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A31E9">
      <w:pPr>
        <w:spacing w:line="720" w:lineRule="exact"/>
        <w:jc w:val="center"/>
        <w:rPr>
          <w:rFonts w:ascii="Times New Roman"/>
          <w:b/>
          <w:spacing w:val="30"/>
          <w:sz w:val="44"/>
          <w:szCs w:val="44"/>
        </w:rPr>
      </w:pPr>
      <w:bookmarkStart w:id="280" w:name="_GoBack"/>
      <w:bookmarkEnd w:id="280"/>
      <w:bookmarkStart w:id="0" w:name="_Hlk77365091"/>
      <w:bookmarkEnd w:id="0"/>
      <w:bookmarkStart w:id="1" w:name="_Toc447196574"/>
      <w:bookmarkStart w:id="2" w:name="_Toc1057"/>
      <w:bookmarkStart w:id="3" w:name="_Toc450322696"/>
      <w:bookmarkStart w:id="4" w:name="_Toc452480775"/>
      <w:bookmarkStart w:id="5" w:name="_Toc246763512"/>
      <w:bookmarkStart w:id="6" w:name="_Toc26673"/>
      <w:bookmarkStart w:id="7" w:name="_Toc13760"/>
      <w:bookmarkStart w:id="8" w:name="_Toc460255608"/>
      <w:bookmarkStart w:id="9" w:name="_Toc390963084"/>
      <w:bookmarkStart w:id="10" w:name="_Toc1806"/>
      <w:bookmarkStart w:id="11" w:name="_Toc422392402"/>
    </w:p>
    <w:p w14:paraId="14AE2147">
      <w:pPr>
        <w:spacing w:line="720" w:lineRule="exact"/>
        <w:jc w:val="center"/>
        <w:rPr>
          <w:rFonts w:ascii="Times New Roman"/>
          <w:b/>
          <w:spacing w:val="30"/>
          <w:sz w:val="44"/>
          <w:szCs w:val="44"/>
        </w:rPr>
      </w:pPr>
    </w:p>
    <w:p w14:paraId="2D9EA455">
      <w:pPr>
        <w:jc w:val="center"/>
        <w:rPr>
          <w:rFonts w:ascii="Times New Roman"/>
          <w:b/>
          <w:spacing w:val="30"/>
          <w:sz w:val="44"/>
          <w:szCs w:val="44"/>
        </w:rPr>
      </w:pPr>
    </w:p>
    <w:p w14:paraId="28D67B89">
      <w:pPr>
        <w:adjustRightInd w:val="0"/>
        <w:snapToGrid w:val="0"/>
        <w:spacing w:line="360" w:lineRule="auto"/>
        <w:ind w:left="1050" w:hanging="1050" w:hangingChars="218"/>
        <w:jc w:val="center"/>
        <w:rPr>
          <w:rFonts w:ascii="Times New Roman"/>
          <w:b/>
          <w:sz w:val="48"/>
          <w:szCs w:val="48"/>
        </w:rPr>
      </w:pPr>
      <w:bookmarkStart w:id="12" w:name="_Toc8241"/>
      <w:r>
        <w:rPr>
          <w:rFonts w:ascii="Times New Roman"/>
          <w:b/>
          <w:sz w:val="48"/>
          <w:szCs w:val="48"/>
        </w:rPr>
        <w:t>运机(唐山)装备有限公司</w:t>
      </w:r>
    </w:p>
    <w:p w14:paraId="55FF6CDA">
      <w:pPr>
        <w:adjustRightInd w:val="0"/>
        <w:snapToGrid w:val="0"/>
        <w:spacing w:line="360" w:lineRule="auto"/>
        <w:ind w:left="1050" w:hanging="1050" w:hangingChars="218"/>
        <w:jc w:val="center"/>
        <w:rPr>
          <w:rFonts w:ascii="Times New Roman"/>
          <w:b/>
          <w:sz w:val="48"/>
          <w:szCs w:val="48"/>
        </w:rPr>
      </w:pPr>
      <w:r>
        <w:rPr>
          <w:rFonts w:ascii="Times New Roman"/>
          <w:b/>
          <w:sz w:val="48"/>
          <w:szCs w:val="48"/>
        </w:rPr>
        <w:t>数字孪生智能输送机生产项目</w:t>
      </w:r>
    </w:p>
    <w:p w14:paraId="686EFD64">
      <w:pPr>
        <w:adjustRightInd w:val="0"/>
        <w:snapToGrid w:val="0"/>
        <w:spacing w:line="360" w:lineRule="auto"/>
        <w:ind w:left="1576" w:hanging="1576" w:hangingChars="218"/>
        <w:jc w:val="center"/>
        <w:rPr>
          <w:rFonts w:ascii="Times New Roman"/>
          <w:b/>
          <w:sz w:val="72"/>
          <w:szCs w:val="72"/>
        </w:rPr>
      </w:pPr>
      <w:r>
        <w:rPr>
          <w:rFonts w:ascii="Times New Roman"/>
          <w:b/>
          <w:sz w:val="72"/>
          <w:szCs w:val="72"/>
        </w:rPr>
        <w:t>环境影响报告书</w:t>
      </w:r>
      <w:bookmarkEnd w:id="12"/>
    </w:p>
    <w:p w14:paraId="0C4F0AB8">
      <w:pPr>
        <w:adjustRightInd w:val="0"/>
        <w:snapToGrid w:val="0"/>
        <w:spacing w:line="360" w:lineRule="auto"/>
        <w:jc w:val="center"/>
        <w:rPr>
          <w:rFonts w:ascii="Times New Roman"/>
          <w:b/>
          <w:sz w:val="44"/>
          <w:szCs w:val="44"/>
        </w:rPr>
      </w:pPr>
      <w:r>
        <w:rPr>
          <w:rFonts w:ascii="Times New Roman"/>
          <w:b/>
          <w:sz w:val="44"/>
          <w:szCs w:val="44"/>
        </w:rPr>
        <w:t>（报</w:t>
      </w:r>
      <w:r>
        <w:rPr>
          <w:rFonts w:hint="eastAsia" w:ascii="Times New Roman"/>
          <w:b/>
          <w:sz w:val="44"/>
          <w:szCs w:val="44"/>
        </w:rPr>
        <w:t>批</w:t>
      </w:r>
      <w:r>
        <w:rPr>
          <w:rFonts w:ascii="Times New Roman"/>
          <w:b/>
          <w:sz w:val="44"/>
          <w:szCs w:val="44"/>
        </w:rPr>
        <w:t>版）</w:t>
      </w:r>
    </w:p>
    <w:p w14:paraId="7AB36DBD">
      <w:pPr>
        <w:spacing w:line="580" w:lineRule="exact"/>
        <w:jc w:val="center"/>
        <w:rPr>
          <w:rFonts w:ascii="Times New Roman"/>
          <w:sz w:val="28"/>
          <w:szCs w:val="20"/>
        </w:rPr>
      </w:pPr>
    </w:p>
    <w:p w14:paraId="67D7C754">
      <w:pPr>
        <w:spacing w:line="580" w:lineRule="exact"/>
        <w:jc w:val="center"/>
        <w:rPr>
          <w:rFonts w:ascii="Times New Roman"/>
          <w:sz w:val="13"/>
          <w:szCs w:val="6"/>
        </w:rPr>
      </w:pPr>
    </w:p>
    <w:p w14:paraId="3E53D35C">
      <w:pPr>
        <w:spacing w:line="580" w:lineRule="exact"/>
        <w:jc w:val="center"/>
        <w:rPr>
          <w:rFonts w:ascii="Times New Roman"/>
          <w:sz w:val="28"/>
          <w:szCs w:val="20"/>
        </w:rPr>
      </w:pPr>
    </w:p>
    <w:p w14:paraId="0224E9C0">
      <w:pPr>
        <w:spacing w:line="580" w:lineRule="exact"/>
        <w:jc w:val="center"/>
        <w:rPr>
          <w:rFonts w:ascii="Times New Roman"/>
          <w:sz w:val="28"/>
          <w:szCs w:val="20"/>
        </w:rPr>
      </w:pPr>
    </w:p>
    <w:p w14:paraId="0688707A">
      <w:pPr>
        <w:spacing w:line="580" w:lineRule="exact"/>
        <w:jc w:val="center"/>
        <w:rPr>
          <w:rFonts w:ascii="Times New Roman"/>
          <w:sz w:val="13"/>
          <w:szCs w:val="6"/>
        </w:rPr>
      </w:pPr>
    </w:p>
    <w:p w14:paraId="3DDAC457">
      <w:pPr>
        <w:spacing w:line="580" w:lineRule="exact"/>
        <w:jc w:val="center"/>
        <w:rPr>
          <w:rFonts w:ascii="Times New Roman"/>
          <w:sz w:val="13"/>
          <w:szCs w:val="6"/>
        </w:rPr>
      </w:pPr>
    </w:p>
    <w:p w14:paraId="5AF65821">
      <w:pPr>
        <w:spacing w:line="580" w:lineRule="exact"/>
        <w:jc w:val="center"/>
        <w:rPr>
          <w:rFonts w:ascii="Times New Roman"/>
          <w:sz w:val="13"/>
          <w:szCs w:val="6"/>
        </w:rPr>
      </w:pPr>
    </w:p>
    <w:p w14:paraId="014A5CF8">
      <w:pPr>
        <w:spacing w:line="580" w:lineRule="exact"/>
        <w:jc w:val="center"/>
        <w:rPr>
          <w:rFonts w:ascii="Times New Roman"/>
          <w:sz w:val="13"/>
          <w:szCs w:val="6"/>
        </w:rPr>
      </w:pPr>
    </w:p>
    <w:p w14:paraId="1FFE4EF9">
      <w:pPr>
        <w:jc w:val="center"/>
        <w:rPr>
          <w:rFonts w:ascii="Times New Roman"/>
          <w:sz w:val="20"/>
          <w:szCs w:val="13"/>
        </w:rPr>
      </w:pPr>
    </w:p>
    <w:tbl>
      <w:tblPr>
        <w:tblStyle w:val="84"/>
        <w:tblpPr w:leftFromText="180" w:rightFromText="180" w:vertAnchor="text" w:horzAnchor="page" w:tblpXSpec="center" w:tblpY="12"/>
        <w:tblOverlap w:val="never"/>
        <w:tblW w:w="0" w:type="auto"/>
        <w:jc w:val="center"/>
        <w:tblLayout w:type="fixed"/>
        <w:tblCellMar>
          <w:top w:w="0" w:type="dxa"/>
          <w:left w:w="108" w:type="dxa"/>
          <w:bottom w:w="0" w:type="dxa"/>
          <w:right w:w="108" w:type="dxa"/>
        </w:tblCellMar>
      </w:tblPr>
      <w:tblGrid>
        <w:gridCol w:w="1701"/>
        <w:gridCol w:w="5607"/>
      </w:tblGrid>
      <w:tr w14:paraId="6BB03CA6">
        <w:trPr>
          <w:jc w:val="center"/>
        </w:trPr>
        <w:tc>
          <w:tcPr>
            <w:tcW w:w="1701" w:type="dxa"/>
            <w:tcBorders>
              <w:top w:val="nil"/>
              <w:left w:val="nil"/>
              <w:bottom w:val="nil"/>
              <w:right w:val="nil"/>
            </w:tcBorders>
            <w:vAlign w:val="center"/>
          </w:tcPr>
          <w:p w14:paraId="41AF995F">
            <w:pPr>
              <w:spacing w:line="360" w:lineRule="auto"/>
              <w:jc w:val="center"/>
              <w:rPr>
                <w:rFonts w:ascii="Times New Roman"/>
                <w:b/>
                <w:sz w:val="32"/>
                <w:szCs w:val="32"/>
              </w:rPr>
            </w:pPr>
            <w:r>
              <w:rPr>
                <w:rFonts w:ascii="Times New Roman"/>
                <w:b/>
                <w:sz w:val="32"/>
                <w:szCs w:val="32"/>
              </w:rPr>
              <w:t>建设单位：</w:t>
            </w:r>
          </w:p>
        </w:tc>
        <w:tc>
          <w:tcPr>
            <w:tcW w:w="5607" w:type="dxa"/>
            <w:tcBorders>
              <w:top w:val="nil"/>
              <w:left w:val="nil"/>
              <w:bottom w:val="nil"/>
              <w:right w:val="nil"/>
            </w:tcBorders>
            <w:vAlign w:val="center"/>
          </w:tcPr>
          <w:p w14:paraId="26F029B9">
            <w:pPr>
              <w:spacing w:line="360" w:lineRule="auto"/>
              <w:jc w:val="left"/>
              <w:rPr>
                <w:rFonts w:ascii="Times New Roman"/>
                <w:b/>
                <w:sz w:val="32"/>
                <w:szCs w:val="32"/>
              </w:rPr>
            </w:pPr>
            <w:r>
              <w:rPr>
                <w:rFonts w:ascii="Times New Roman"/>
                <w:b/>
                <w:sz w:val="32"/>
                <w:szCs w:val="32"/>
              </w:rPr>
              <w:t>运机(唐山)装备有限公司</w:t>
            </w:r>
          </w:p>
        </w:tc>
      </w:tr>
      <w:tr w14:paraId="7D7CCCB3">
        <w:tblPrEx>
          <w:tblCellMar>
            <w:top w:w="0" w:type="dxa"/>
            <w:left w:w="108" w:type="dxa"/>
            <w:bottom w:w="0" w:type="dxa"/>
            <w:right w:w="108" w:type="dxa"/>
          </w:tblCellMar>
        </w:tblPrEx>
        <w:trPr>
          <w:jc w:val="center"/>
        </w:trPr>
        <w:tc>
          <w:tcPr>
            <w:tcW w:w="1701" w:type="dxa"/>
            <w:tcBorders>
              <w:top w:val="nil"/>
              <w:left w:val="nil"/>
              <w:bottom w:val="nil"/>
              <w:right w:val="nil"/>
            </w:tcBorders>
            <w:vAlign w:val="center"/>
          </w:tcPr>
          <w:p w14:paraId="0871C0D2">
            <w:pPr>
              <w:spacing w:line="360" w:lineRule="auto"/>
              <w:jc w:val="center"/>
              <w:rPr>
                <w:rFonts w:ascii="Times New Roman"/>
                <w:b/>
                <w:sz w:val="32"/>
                <w:szCs w:val="32"/>
              </w:rPr>
            </w:pPr>
            <w:r>
              <w:rPr>
                <w:rFonts w:ascii="Times New Roman"/>
                <w:b/>
                <w:sz w:val="32"/>
                <w:szCs w:val="32"/>
              </w:rPr>
              <w:t>评价单位：</w:t>
            </w:r>
          </w:p>
        </w:tc>
        <w:tc>
          <w:tcPr>
            <w:tcW w:w="5607" w:type="dxa"/>
            <w:tcBorders>
              <w:top w:val="nil"/>
              <w:left w:val="nil"/>
              <w:bottom w:val="nil"/>
              <w:right w:val="nil"/>
            </w:tcBorders>
            <w:vAlign w:val="center"/>
          </w:tcPr>
          <w:p w14:paraId="615F4E5D">
            <w:pPr>
              <w:spacing w:line="360" w:lineRule="auto"/>
              <w:jc w:val="left"/>
              <w:rPr>
                <w:rFonts w:ascii="Times New Roman"/>
                <w:b/>
                <w:sz w:val="32"/>
                <w:szCs w:val="32"/>
              </w:rPr>
            </w:pPr>
            <w:r>
              <w:rPr>
                <w:rFonts w:ascii="Times New Roman"/>
                <w:b/>
                <w:sz w:val="32"/>
                <w:szCs w:val="32"/>
              </w:rPr>
              <w:t>河北广维项目管理有限公司</w:t>
            </w:r>
          </w:p>
        </w:tc>
      </w:tr>
      <w:tr w14:paraId="3DE4E048">
        <w:tblPrEx>
          <w:tblCellMar>
            <w:top w:w="0" w:type="dxa"/>
            <w:left w:w="108" w:type="dxa"/>
            <w:bottom w:w="0" w:type="dxa"/>
            <w:right w:w="108" w:type="dxa"/>
          </w:tblCellMar>
        </w:tblPrEx>
        <w:trPr>
          <w:jc w:val="center"/>
        </w:trPr>
        <w:tc>
          <w:tcPr>
            <w:tcW w:w="1701" w:type="dxa"/>
            <w:tcBorders>
              <w:top w:val="nil"/>
              <w:left w:val="nil"/>
              <w:bottom w:val="nil"/>
              <w:right w:val="nil"/>
            </w:tcBorders>
            <w:vAlign w:val="center"/>
          </w:tcPr>
          <w:p w14:paraId="2346F2A0">
            <w:pPr>
              <w:spacing w:line="360" w:lineRule="auto"/>
              <w:jc w:val="center"/>
              <w:rPr>
                <w:rFonts w:ascii="Times New Roman"/>
                <w:b/>
                <w:sz w:val="32"/>
                <w:szCs w:val="32"/>
              </w:rPr>
            </w:pPr>
            <w:r>
              <w:rPr>
                <w:rFonts w:ascii="Times New Roman"/>
                <w:b/>
                <w:sz w:val="32"/>
                <w:szCs w:val="32"/>
              </w:rPr>
              <w:t>编制时间：</w:t>
            </w:r>
          </w:p>
        </w:tc>
        <w:tc>
          <w:tcPr>
            <w:tcW w:w="5607" w:type="dxa"/>
            <w:tcBorders>
              <w:top w:val="nil"/>
              <w:left w:val="nil"/>
              <w:bottom w:val="nil"/>
              <w:right w:val="nil"/>
            </w:tcBorders>
            <w:vAlign w:val="center"/>
          </w:tcPr>
          <w:p w14:paraId="48671ED0">
            <w:pPr>
              <w:spacing w:line="360" w:lineRule="auto"/>
              <w:jc w:val="left"/>
              <w:rPr>
                <w:rFonts w:ascii="Times New Roman"/>
                <w:b/>
                <w:sz w:val="32"/>
                <w:szCs w:val="32"/>
              </w:rPr>
            </w:pPr>
            <w:r>
              <w:rPr>
                <w:rFonts w:ascii="Times New Roman"/>
                <w:b/>
                <w:sz w:val="32"/>
                <w:szCs w:val="32"/>
              </w:rPr>
              <w:t>2025年</w:t>
            </w:r>
            <w:r>
              <w:rPr>
                <w:rFonts w:hint="eastAsia" w:ascii="Times New Roman"/>
                <w:b/>
                <w:sz w:val="32"/>
                <w:szCs w:val="32"/>
              </w:rPr>
              <w:t>2</w:t>
            </w:r>
            <w:r>
              <w:rPr>
                <w:rFonts w:ascii="Times New Roman"/>
                <w:b/>
                <w:sz w:val="32"/>
                <w:szCs w:val="32"/>
              </w:rPr>
              <w:t>月</w:t>
            </w:r>
          </w:p>
        </w:tc>
      </w:tr>
    </w:tbl>
    <w:p w14:paraId="711A2652">
      <w:pPr>
        <w:jc w:val="center"/>
        <w:rPr>
          <w:rFonts w:ascii="Times New Roman"/>
          <w:sz w:val="20"/>
          <w:szCs w:val="13"/>
        </w:rPr>
      </w:pPr>
    </w:p>
    <w:p w14:paraId="6F3DBBDB">
      <w:pPr>
        <w:spacing w:line="580" w:lineRule="exact"/>
        <w:jc w:val="center"/>
        <w:rPr>
          <w:rFonts w:ascii="Times New Roman"/>
          <w:sz w:val="28"/>
          <w:szCs w:val="20"/>
        </w:rPr>
      </w:pPr>
    </w:p>
    <w:p w14:paraId="527C178E">
      <w:pPr>
        <w:spacing w:line="480" w:lineRule="exact"/>
        <w:jc w:val="center"/>
        <w:rPr>
          <w:rFonts w:ascii="Times New Roman"/>
          <w:sz w:val="24"/>
          <w:szCs w:val="24"/>
        </w:rPr>
      </w:pPr>
    </w:p>
    <w:p w14:paraId="053B654A">
      <w:pPr>
        <w:spacing w:line="480" w:lineRule="exact"/>
        <w:jc w:val="center"/>
        <w:rPr>
          <w:rFonts w:ascii="Times New Roman"/>
          <w:sz w:val="24"/>
          <w:szCs w:val="24"/>
        </w:rPr>
      </w:pPr>
    </w:p>
    <w:p w14:paraId="654C846F">
      <w:pPr>
        <w:spacing w:line="480" w:lineRule="exact"/>
        <w:jc w:val="center"/>
        <w:rPr>
          <w:rFonts w:ascii="Times New Roman"/>
          <w:sz w:val="24"/>
          <w:szCs w:val="24"/>
        </w:rPr>
      </w:pPr>
    </w:p>
    <w:p w14:paraId="6DB9BF31">
      <w:pPr>
        <w:jc w:val="center"/>
        <w:rPr>
          <w:rFonts w:ascii="Times New Roman"/>
          <w:sz w:val="24"/>
          <w:szCs w:val="24"/>
        </w:rPr>
      </w:pPr>
    </w:p>
    <w:p w14:paraId="780545B9">
      <w:pPr>
        <w:rPr>
          <w:rFonts w:ascii="Times New Roman"/>
          <w:sz w:val="24"/>
          <w:szCs w:val="24"/>
        </w:rPr>
      </w:pPr>
      <w:r>
        <w:rPr>
          <w:rFonts w:ascii="Times New Roman"/>
          <w:sz w:val="24"/>
          <w:szCs w:val="24"/>
        </w:rPr>
        <w:br w:type="page"/>
      </w:r>
    </w:p>
    <w:p w14:paraId="1D5C27CF">
      <w:pPr>
        <w:pStyle w:val="20"/>
      </w:pPr>
    </w:p>
    <w:p w14:paraId="620D66BA">
      <w:pPr>
        <w:spacing w:line="480" w:lineRule="exact"/>
        <w:jc w:val="center"/>
        <w:outlineLvl w:val="1"/>
        <w:rPr>
          <w:rFonts w:ascii="Times New Roman"/>
          <w:snapToGrid w:val="0"/>
          <w:sz w:val="36"/>
          <w:szCs w:val="36"/>
        </w:rPr>
        <w:sectPr>
          <w:footerReference r:id="rId3" w:type="default"/>
          <w:pgSz w:w="11906" w:h="16838"/>
          <w:pgMar w:top="1440" w:right="1361" w:bottom="1440" w:left="1361" w:header="851" w:footer="992" w:gutter="0"/>
          <w:pgNumType w:start="1"/>
          <w:cols w:space="720" w:num="1"/>
          <w:titlePg/>
          <w:docGrid w:linePitch="340" w:charSpace="0"/>
        </w:sectPr>
      </w:pPr>
    </w:p>
    <w:sdt>
      <w:sdtPr>
        <w:rPr>
          <w:rFonts w:ascii="Times New Roman" w:hAnsi="Times New Roman"/>
          <w:b w:val="0"/>
          <w:bCs w:val="0"/>
          <w:color w:val="auto"/>
          <w:kern w:val="2"/>
          <w:sz w:val="25"/>
          <w:szCs w:val="25"/>
          <w:lang w:val="zh-CN"/>
        </w:rPr>
        <w:id w:val="-729153668"/>
        <w:docPartObj>
          <w:docPartGallery w:val="Table of Contents"/>
          <w:docPartUnique/>
        </w:docPartObj>
      </w:sdtPr>
      <w:sdtEndPr>
        <w:rPr>
          <w:rFonts w:ascii="Times New Roman" w:hAnsi="Times New Roman"/>
          <w:b w:val="0"/>
          <w:bCs w:val="0"/>
          <w:color w:val="auto"/>
          <w:kern w:val="2"/>
          <w:sz w:val="25"/>
          <w:szCs w:val="25"/>
          <w:lang w:val="zh-CN"/>
        </w:rPr>
      </w:sdtEndPr>
      <w:sdtContent>
        <w:p w14:paraId="5336C2B4">
          <w:pPr>
            <w:pStyle w:val="567"/>
            <w:ind w:firstLine="482"/>
            <w:jc w:val="center"/>
            <w:rPr>
              <w:rFonts w:ascii="Times New Roman" w:hAnsi="Times New Roman"/>
              <w:color w:val="auto"/>
            </w:rPr>
          </w:pPr>
          <w:r>
            <w:rPr>
              <w:rFonts w:ascii="Times New Roman" w:hAnsi="Times New Roman"/>
              <w:color w:val="auto"/>
              <w:lang w:val="zh-CN"/>
            </w:rPr>
            <w:t>目 录</w:t>
          </w:r>
        </w:p>
        <w:p w14:paraId="15BD3968">
          <w:pPr>
            <w:pStyle w:val="55"/>
            <w:tabs>
              <w:tab w:val="right" w:leader="dot" w:pos="8312"/>
            </w:tabs>
            <w:spacing w:before="0" w:after="0" w:line="360" w:lineRule="auto"/>
            <w:rPr>
              <w:sz w:val="24"/>
              <w:szCs w:val="24"/>
            </w:rPr>
          </w:pPr>
          <w:r>
            <w:rPr>
              <w:sz w:val="24"/>
              <w:szCs w:val="24"/>
            </w:rPr>
            <w:t>1概述</w:t>
          </w:r>
          <w:r>
            <w:rPr>
              <w:sz w:val="24"/>
              <w:szCs w:val="24"/>
            </w:rPr>
            <w:tab/>
          </w:r>
          <w:r>
            <w:rPr>
              <w:sz w:val="24"/>
              <w:szCs w:val="24"/>
            </w:rPr>
            <w:t>1</w:t>
          </w:r>
        </w:p>
        <w:p w14:paraId="71ECB5F1">
          <w:pPr>
            <w:pStyle w:val="70"/>
            <w:tabs>
              <w:tab w:val="right" w:leader="dot" w:pos="8312"/>
            </w:tabs>
            <w:spacing w:line="360" w:lineRule="auto"/>
            <w:rPr>
              <w:sz w:val="24"/>
              <w:szCs w:val="24"/>
            </w:rPr>
          </w:pPr>
          <w:r>
            <w:rPr>
              <w:sz w:val="24"/>
              <w:szCs w:val="24"/>
            </w:rPr>
            <w:t>1.1 建设项目的由来</w:t>
          </w:r>
          <w:r>
            <w:rPr>
              <w:sz w:val="24"/>
              <w:szCs w:val="24"/>
            </w:rPr>
            <w:tab/>
          </w:r>
          <w:r>
            <w:rPr>
              <w:sz w:val="24"/>
              <w:szCs w:val="24"/>
            </w:rPr>
            <w:t>1</w:t>
          </w:r>
        </w:p>
        <w:p w14:paraId="10A93331">
          <w:pPr>
            <w:pStyle w:val="70"/>
            <w:tabs>
              <w:tab w:val="right" w:leader="dot" w:pos="8312"/>
            </w:tabs>
            <w:spacing w:line="360" w:lineRule="auto"/>
            <w:rPr>
              <w:sz w:val="24"/>
              <w:szCs w:val="24"/>
            </w:rPr>
          </w:pPr>
          <w:r>
            <w:rPr>
              <w:sz w:val="24"/>
              <w:szCs w:val="24"/>
            </w:rPr>
            <w:t>1.2 建设项目的特点</w:t>
          </w:r>
          <w:r>
            <w:rPr>
              <w:sz w:val="24"/>
              <w:szCs w:val="24"/>
            </w:rPr>
            <w:tab/>
          </w:r>
          <w:r>
            <w:rPr>
              <w:sz w:val="24"/>
              <w:szCs w:val="24"/>
            </w:rPr>
            <w:t>1</w:t>
          </w:r>
        </w:p>
        <w:p w14:paraId="02F0367E">
          <w:pPr>
            <w:pStyle w:val="70"/>
            <w:tabs>
              <w:tab w:val="right" w:leader="dot" w:pos="8312"/>
            </w:tabs>
            <w:spacing w:line="360" w:lineRule="auto"/>
            <w:rPr>
              <w:sz w:val="24"/>
              <w:szCs w:val="24"/>
            </w:rPr>
          </w:pPr>
          <w:r>
            <w:rPr>
              <w:sz w:val="24"/>
              <w:szCs w:val="24"/>
            </w:rPr>
            <w:t>1.3 环境影响评价的工作过程</w:t>
          </w:r>
          <w:r>
            <w:rPr>
              <w:sz w:val="24"/>
              <w:szCs w:val="24"/>
            </w:rPr>
            <w:tab/>
          </w:r>
          <w:r>
            <w:rPr>
              <w:sz w:val="24"/>
              <w:szCs w:val="24"/>
            </w:rPr>
            <w:t>2</w:t>
          </w:r>
        </w:p>
        <w:p w14:paraId="425D6EA3">
          <w:pPr>
            <w:pStyle w:val="70"/>
            <w:tabs>
              <w:tab w:val="right" w:leader="dot" w:pos="8312"/>
            </w:tabs>
            <w:spacing w:line="360" w:lineRule="auto"/>
            <w:rPr>
              <w:sz w:val="24"/>
              <w:szCs w:val="24"/>
            </w:rPr>
          </w:pPr>
          <w:r>
            <w:rPr>
              <w:sz w:val="24"/>
              <w:szCs w:val="24"/>
            </w:rPr>
            <w:t>1.4 项目判定</w:t>
          </w:r>
          <w:r>
            <w:rPr>
              <w:sz w:val="24"/>
              <w:szCs w:val="24"/>
            </w:rPr>
            <w:tab/>
          </w:r>
          <w:r>
            <w:rPr>
              <w:sz w:val="24"/>
              <w:szCs w:val="24"/>
            </w:rPr>
            <w:t>3</w:t>
          </w:r>
        </w:p>
        <w:p w14:paraId="67283802">
          <w:pPr>
            <w:pStyle w:val="70"/>
            <w:tabs>
              <w:tab w:val="right" w:leader="dot" w:pos="8312"/>
            </w:tabs>
            <w:spacing w:line="360" w:lineRule="auto"/>
            <w:rPr>
              <w:sz w:val="24"/>
              <w:szCs w:val="24"/>
            </w:rPr>
          </w:pPr>
          <w:r>
            <w:rPr>
              <w:sz w:val="24"/>
              <w:szCs w:val="24"/>
            </w:rPr>
            <w:t>1.5关注的主要环境问题及环境影响</w:t>
          </w:r>
          <w:r>
            <w:rPr>
              <w:sz w:val="24"/>
              <w:szCs w:val="24"/>
            </w:rPr>
            <w:tab/>
          </w:r>
          <w:r>
            <w:rPr>
              <w:sz w:val="24"/>
              <w:szCs w:val="24"/>
            </w:rPr>
            <w:t>4</w:t>
          </w:r>
        </w:p>
        <w:p w14:paraId="1FA1F8C5">
          <w:pPr>
            <w:pStyle w:val="70"/>
            <w:tabs>
              <w:tab w:val="right" w:leader="dot" w:pos="8312"/>
            </w:tabs>
            <w:spacing w:line="360" w:lineRule="auto"/>
            <w:rPr>
              <w:sz w:val="24"/>
              <w:szCs w:val="24"/>
            </w:rPr>
          </w:pPr>
          <w:r>
            <w:rPr>
              <w:sz w:val="24"/>
              <w:szCs w:val="24"/>
            </w:rPr>
            <w:t>1.6环境影响报告书主要结论</w:t>
          </w:r>
          <w:r>
            <w:rPr>
              <w:sz w:val="24"/>
              <w:szCs w:val="24"/>
            </w:rPr>
            <w:tab/>
          </w:r>
          <w:r>
            <w:rPr>
              <w:sz w:val="24"/>
              <w:szCs w:val="24"/>
            </w:rPr>
            <w:t>5</w:t>
          </w:r>
        </w:p>
        <w:p w14:paraId="24251E8E">
          <w:pPr>
            <w:pStyle w:val="55"/>
            <w:tabs>
              <w:tab w:val="right" w:leader="dot" w:pos="8312"/>
            </w:tabs>
            <w:spacing w:before="0" w:after="0" w:line="360" w:lineRule="auto"/>
            <w:rPr>
              <w:sz w:val="24"/>
              <w:szCs w:val="24"/>
            </w:rPr>
          </w:pPr>
          <w:r>
            <w:rPr>
              <w:sz w:val="24"/>
              <w:szCs w:val="24"/>
            </w:rPr>
            <w:t>2总论</w:t>
          </w:r>
          <w:r>
            <w:rPr>
              <w:sz w:val="24"/>
              <w:szCs w:val="24"/>
            </w:rPr>
            <w:tab/>
          </w:r>
          <w:r>
            <w:rPr>
              <w:sz w:val="24"/>
              <w:szCs w:val="24"/>
            </w:rPr>
            <w:t>6</w:t>
          </w:r>
        </w:p>
        <w:p w14:paraId="3D597446">
          <w:pPr>
            <w:pStyle w:val="70"/>
            <w:tabs>
              <w:tab w:val="right" w:leader="dot" w:pos="8312"/>
            </w:tabs>
            <w:spacing w:line="360" w:lineRule="auto"/>
            <w:rPr>
              <w:sz w:val="24"/>
              <w:szCs w:val="24"/>
            </w:rPr>
          </w:pPr>
          <w:r>
            <w:rPr>
              <w:sz w:val="24"/>
              <w:szCs w:val="24"/>
            </w:rPr>
            <w:t>2.1编制依据</w:t>
          </w:r>
          <w:r>
            <w:rPr>
              <w:sz w:val="24"/>
              <w:szCs w:val="24"/>
            </w:rPr>
            <w:tab/>
          </w:r>
          <w:r>
            <w:rPr>
              <w:sz w:val="24"/>
              <w:szCs w:val="24"/>
            </w:rPr>
            <w:t>6</w:t>
          </w:r>
        </w:p>
        <w:p w14:paraId="2661281C">
          <w:pPr>
            <w:pStyle w:val="70"/>
            <w:tabs>
              <w:tab w:val="right" w:leader="dot" w:pos="8312"/>
            </w:tabs>
            <w:spacing w:line="360" w:lineRule="auto"/>
            <w:rPr>
              <w:sz w:val="24"/>
              <w:szCs w:val="24"/>
            </w:rPr>
          </w:pPr>
          <w:r>
            <w:rPr>
              <w:sz w:val="24"/>
              <w:szCs w:val="24"/>
            </w:rPr>
            <w:t>2.2评价目的</w:t>
          </w:r>
          <w:r>
            <w:rPr>
              <w:sz w:val="24"/>
              <w:szCs w:val="24"/>
            </w:rPr>
            <w:tab/>
          </w:r>
          <w:r>
            <w:rPr>
              <w:sz w:val="24"/>
              <w:szCs w:val="24"/>
            </w:rPr>
            <w:t>14</w:t>
          </w:r>
        </w:p>
        <w:p w14:paraId="0411C00D">
          <w:pPr>
            <w:pStyle w:val="70"/>
            <w:tabs>
              <w:tab w:val="right" w:leader="dot" w:pos="8312"/>
            </w:tabs>
            <w:spacing w:line="360" w:lineRule="auto"/>
            <w:rPr>
              <w:sz w:val="24"/>
              <w:szCs w:val="24"/>
            </w:rPr>
          </w:pPr>
          <w:r>
            <w:rPr>
              <w:sz w:val="24"/>
              <w:szCs w:val="24"/>
            </w:rPr>
            <w:t>2.3评价原则</w:t>
          </w:r>
          <w:r>
            <w:rPr>
              <w:sz w:val="24"/>
              <w:szCs w:val="24"/>
            </w:rPr>
            <w:tab/>
          </w:r>
          <w:r>
            <w:rPr>
              <w:sz w:val="24"/>
              <w:szCs w:val="24"/>
            </w:rPr>
            <w:t>14</w:t>
          </w:r>
        </w:p>
        <w:p w14:paraId="3321A441">
          <w:pPr>
            <w:pStyle w:val="70"/>
            <w:tabs>
              <w:tab w:val="right" w:leader="dot" w:pos="8312"/>
            </w:tabs>
            <w:spacing w:line="360" w:lineRule="auto"/>
            <w:rPr>
              <w:sz w:val="24"/>
              <w:szCs w:val="24"/>
            </w:rPr>
          </w:pPr>
          <w:r>
            <w:rPr>
              <w:sz w:val="24"/>
              <w:szCs w:val="24"/>
            </w:rPr>
            <w:t>2.4环境影响要素和评价因子</w:t>
          </w:r>
          <w:r>
            <w:rPr>
              <w:sz w:val="24"/>
              <w:szCs w:val="24"/>
            </w:rPr>
            <w:tab/>
          </w:r>
          <w:r>
            <w:rPr>
              <w:sz w:val="24"/>
              <w:szCs w:val="24"/>
            </w:rPr>
            <w:t>15</w:t>
          </w:r>
        </w:p>
        <w:p w14:paraId="4547E3C3">
          <w:pPr>
            <w:pStyle w:val="70"/>
            <w:tabs>
              <w:tab w:val="right" w:leader="dot" w:pos="8312"/>
            </w:tabs>
            <w:spacing w:line="360" w:lineRule="auto"/>
            <w:rPr>
              <w:sz w:val="24"/>
              <w:szCs w:val="24"/>
            </w:rPr>
          </w:pPr>
          <w:r>
            <w:rPr>
              <w:sz w:val="24"/>
              <w:szCs w:val="24"/>
            </w:rPr>
            <w:t>2.5评价等级及评价范围</w:t>
          </w:r>
          <w:r>
            <w:rPr>
              <w:sz w:val="24"/>
              <w:szCs w:val="24"/>
            </w:rPr>
            <w:tab/>
          </w:r>
          <w:r>
            <w:rPr>
              <w:sz w:val="24"/>
              <w:szCs w:val="24"/>
            </w:rPr>
            <w:t>17</w:t>
          </w:r>
        </w:p>
        <w:p w14:paraId="50DDE453">
          <w:pPr>
            <w:pStyle w:val="70"/>
            <w:tabs>
              <w:tab w:val="right" w:leader="dot" w:pos="8312"/>
            </w:tabs>
            <w:spacing w:line="360" w:lineRule="auto"/>
            <w:rPr>
              <w:sz w:val="24"/>
              <w:szCs w:val="24"/>
            </w:rPr>
          </w:pPr>
          <w:r>
            <w:rPr>
              <w:sz w:val="24"/>
              <w:szCs w:val="24"/>
            </w:rPr>
            <w:t>2.6评价内容和评价重点</w:t>
          </w:r>
          <w:r>
            <w:rPr>
              <w:sz w:val="24"/>
              <w:szCs w:val="24"/>
            </w:rPr>
            <w:tab/>
          </w:r>
          <w:r>
            <w:rPr>
              <w:sz w:val="24"/>
              <w:szCs w:val="24"/>
            </w:rPr>
            <w:t>30</w:t>
          </w:r>
        </w:p>
        <w:p w14:paraId="05A6E154">
          <w:pPr>
            <w:pStyle w:val="70"/>
            <w:tabs>
              <w:tab w:val="right" w:leader="dot" w:pos="8312"/>
            </w:tabs>
            <w:spacing w:line="360" w:lineRule="auto"/>
            <w:rPr>
              <w:sz w:val="24"/>
              <w:szCs w:val="24"/>
            </w:rPr>
          </w:pPr>
          <w:r>
            <w:rPr>
              <w:sz w:val="24"/>
              <w:szCs w:val="24"/>
            </w:rPr>
            <w:t>2.7评价标准及环境保护目标</w:t>
          </w:r>
          <w:r>
            <w:rPr>
              <w:sz w:val="24"/>
              <w:szCs w:val="24"/>
            </w:rPr>
            <w:tab/>
          </w:r>
          <w:r>
            <w:rPr>
              <w:sz w:val="24"/>
              <w:szCs w:val="24"/>
            </w:rPr>
            <w:t>30</w:t>
          </w:r>
        </w:p>
        <w:p w14:paraId="554AB4FD">
          <w:pPr>
            <w:pStyle w:val="70"/>
            <w:tabs>
              <w:tab w:val="right" w:leader="dot" w:pos="8312"/>
            </w:tabs>
            <w:spacing w:line="360" w:lineRule="auto"/>
            <w:rPr>
              <w:sz w:val="24"/>
              <w:szCs w:val="24"/>
            </w:rPr>
          </w:pPr>
          <w:r>
            <w:rPr>
              <w:sz w:val="24"/>
              <w:szCs w:val="24"/>
            </w:rPr>
            <w:t>2.8</w:t>
          </w:r>
          <w:r>
            <w:rPr>
              <w:rFonts w:hint="eastAsia"/>
              <w:sz w:val="24"/>
              <w:szCs w:val="24"/>
            </w:rPr>
            <w:t>“三线一单”生态环境分区管控符合性分析</w:t>
          </w:r>
          <w:r>
            <w:rPr>
              <w:sz w:val="24"/>
              <w:szCs w:val="24"/>
            </w:rPr>
            <w:tab/>
          </w:r>
          <w:r>
            <w:rPr>
              <w:sz w:val="24"/>
              <w:szCs w:val="24"/>
            </w:rPr>
            <w:t>42</w:t>
          </w:r>
        </w:p>
        <w:p w14:paraId="6F2CF0D8">
          <w:pPr>
            <w:pStyle w:val="70"/>
            <w:tabs>
              <w:tab w:val="right" w:leader="dot" w:pos="8312"/>
            </w:tabs>
            <w:spacing w:line="360" w:lineRule="auto"/>
            <w:rPr>
              <w:sz w:val="24"/>
              <w:szCs w:val="24"/>
            </w:rPr>
          </w:pPr>
          <w:r>
            <w:rPr>
              <w:sz w:val="24"/>
              <w:szCs w:val="24"/>
            </w:rPr>
            <w:t>2.9</w:t>
          </w:r>
          <w:r>
            <w:rPr>
              <w:rFonts w:hint="eastAsia"/>
              <w:sz w:val="24"/>
              <w:szCs w:val="24"/>
            </w:rPr>
            <w:t>相关规划及环境功能区划</w:t>
          </w:r>
          <w:r>
            <w:rPr>
              <w:sz w:val="24"/>
              <w:szCs w:val="24"/>
            </w:rPr>
            <w:tab/>
          </w:r>
          <w:r>
            <w:rPr>
              <w:sz w:val="24"/>
              <w:szCs w:val="24"/>
            </w:rPr>
            <w:t>58</w:t>
          </w:r>
        </w:p>
        <w:p w14:paraId="39F64EB2">
          <w:pPr>
            <w:pStyle w:val="55"/>
            <w:tabs>
              <w:tab w:val="right" w:leader="dot" w:pos="8312"/>
            </w:tabs>
            <w:spacing w:before="0" w:after="0" w:line="360" w:lineRule="auto"/>
            <w:rPr>
              <w:sz w:val="24"/>
              <w:szCs w:val="24"/>
            </w:rPr>
          </w:pPr>
          <w:r>
            <w:rPr>
              <w:sz w:val="24"/>
              <w:szCs w:val="24"/>
            </w:rPr>
            <w:t>3建设项目工程分析</w:t>
          </w:r>
          <w:r>
            <w:rPr>
              <w:sz w:val="24"/>
              <w:szCs w:val="24"/>
            </w:rPr>
            <w:tab/>
          </w:r>
          <w:r>
            <w:rPr>
              <w:sz w:val="24"/>
              <w:szCs w:val="24"/>
            </w:rPr>
            <w:t>92</w:t>
          </w:r>
        </w:p>
        <w:p w14:paraId="301AD58B">
          <w:pPr>
            <w:pStyle w:val="70"/>
            <w:tabs>
              <w:tab w:val="right" w:leader="dot" w:pos="8312"/>
            </w:tabs>
            <w:spacing w:line="360" w:lineRule="auto"/>
            <w:rPr>
              <w:sz w:val="24"/>
              <w:szCs w:val="24"/>
            </w:rPr>
          </w:pPr>
          <w:r>
            <w:rPr>
              <w:sz w:val="24"/>
              <w:szCs w:val="24"/>
            </w:rPr>
            <w:t>3.1项目概况</w:t>
          </w:r>
          <w:r>
            <w:rPr>
              <w:sz w:val="24"/>
              <w:szCs w:val="24"/>
            </w:rPr>
            <w:tab/>
          </w:r>
          <w:r>
            <w:rPr>
              <w:sz w:val="24"/>
              <w:szCs w:val="24"/>
            </w:rPr>
            <w:t>92</w:t>
          </w:r>
        </w:p>
        <w:p w14:paraId="5955FC84">
          <w:pPr>
            <w:pStyle w:val="70"/>
            <w:tabs>
              <w:tab w:val="right" w:leader="dot" w:pos="8312"/>
            </w:tabs>
            <w:spacing w:line="360" w:lineRule="auto"/>
            <w:rPr>
              <w:sz w:val="24"/>
              <w:szCs w:val="24"/>
            </w:rPr>
          </w:pPr>
          <w:r>
            <w:rPr>
              <w:sz w:val="24"/>
              <w:szCs w:val="24"/>
            </w:rPr>
            <w:t>3.2产品方案</w:t>
          </w:r>
          <w:r>
            <w:rPr>
              <w:sz w:val="24"/>
              <w:szCs w:val="24"/>
            </w:rPr>
            <w:tab/>
          </w:r>
          <w:r>
            <w:rPr>
              <w:sz w:val="24"/>
              <w:szCs w:val="24"/>
            </w:rPr>
            <w:t>96</w:t>
          </w:r>
        </w:p>
        <w:p w14:paraId="1F439C2E">
          <w:pPr>
            <w:pStyle w:val="70"/>
            <w:tabs>
              <w:tab w:val="right" w:leader="dot" w:pos="8312"/>
            </w:tabs>
            <w:spacing w:line="360" w:lineRule="auto"/>
            <w:rPr>
              <w:sz w:val="24"/>
              <w:szCs w:val="24"/>
            </w:rPr>
          </w:pPr>
          <w:r>
            <w:rPr>
              <w:sz w:val="24"/>
              <w:szCs w:val="24"/>
            </w:rPr>
            <w:t>3.3主要原辅材料</w:t>
          </w:r>
          <w:r>
            <w:rPr>
              <w:sz w:val="24"/>
              <w:szCs w:val="24"/>
            </w:rPr>
            <w:tab/>
          </w:r>
          <w:r>
            <w:rPr>
              <w:sz w:val="24"/>
              <w:szCs w:val="24"/>
            </w:rPr>
            <w:t>96</w:t>
          </w:r>
        </w:p>
        <w:p w14:paraId="31DD366B">
          <w:pPr>
            <w:pStyle w:val="70"/>
            <w:tabs>
              <w:tab w:val="right" w:leader="dot" w:pos="8312"/>
            </w:tabs>
            <w:spacing w:line="360" w:lineRule="auto"/>
            <w:rPr>
              <w:sz w:val="24"/>
              <w:szCs w:val="24"/>
            </w:rPr>
          </w:pPr>
          <w:r>
            <w:rPr>
              <w:sz w:val="24"/>
              <w:szCs w:val="24"/>
            </w:rPr>
            <w:t>3.4主要生产设备</w:t>
          </w:r>
          <w:r>
            <w:rPr>
              <w:sz w:val="24"/>
              <w:szCs w:val="24"/>
            </w:rPr>
            <w:tab/>
          </w:r>
          <w:r>
            <w:rPr>
              <w:sz w:val="24"/>
              <w:szCs w:val="24"/>
            </w:rPr>
            <w:t>102</w:t>
          </w:r>
        </w:p>
        <w:p w14:paraId="564F7918">
          <w:pPr>
            <w:pStyle w:val="70"/>
            <w:tabs>
              <w:tab w:val="right" w:leader="dot" w:pos="8312"/>
            </w:tabs>
            <w:spacing w:line="360" w:lineRule="auto"/>
            <w:rPr>
              <w:sz w:val="24"/>
              <w:szCs w:val="24"/>
            </w:rPr>
          </w:pPr>
          <w:r>
            <w:rPr>
              <w:sz w:val="24"/>
              <w:szCs w:val="24"/>
            </w:rPr>
            <w:t>3.5物料平衡</w:t>
          </w:r>
          <w:r>
            <w:rPr>
              <w:sz w:val="24"/>
              <w:szCs w:val="24"/>
            </w:rPr>
            <w:tab/>
          </w:r>
          <w:r>
            <w:rPr>
              <w:sz w:val="24"/>
              <w:szCs w:val="24"/>
            </w:rPr>
            <w:t>107</w:t>
          </w:r>
        </w:p>
        <w:p w14:paraId="27B49223">
          <w:pPr>
            <w:pStyle w:val="70"/>
            <w:tabs>
              <w:tab w:val="right" w:leader="dot" w:pos="8312"/>
            </w:tabs>
            <w:spacing w:line="360" w:lineRule="auto"/>
            <w:rPr>
              <w:sz w:val="24"/>
              <w:szCs w:val="24"/>
            </w:rPr>
          </w:pPr>
          <w:r>
            <w:rPr>
              <w:sz w:val="24"/>
              <w:szCs w:val="24"/>
            </w:rPr>
            <w:t>3.6公用工程</w:t>
          </w:r>
          <w:r>
            <w:rPr>
              <w:sz w:val="24"/>
              <w:szCs w:val="24"/>
            </w:rPr>
            <w:tab/>
          </w:r>
          <w:r>
            <w:rPr>
              <w:sz w:val="24"/>
              <w:szCs w:val="24"/>
            </w:rPr>
            <w:t>113</w:t>
          </w:r>
        </w:p>
        <w:p w14:paraId="1D7D7986">
          <w:pPr>
            <w:pStyle w:val="70"/>
            <w:tabs>
              <w:tab w:val="right" w:leader="dot" w:pos="8312"/>
            </w:tabs>
            <w:spacing w:line="360" w:lineRule="auto"/>
            <w:rPr>
              <w:sz w:val="24"/>
              <w:szCs w:val="24"/>
            </w:rPr>
          </w:pPr>
          <w:r>
            <w:rPr>
              <w:sz w:val="24"/>
              <w:szCs w:val="24"/>
            </w:rPr>
            <w:t>3.7生产工艺流程及主要污染物</w:t>
          </w:r>
          <w:r>
            <w:rPr>
              <w:sz w:val="24"/>
              <w:szCs w:val="24"/>
            </w:rPr>
            <w:tab/>
          </w:r>
          <w:r>
            <w:rPr>
              <w:sz w:val="24"/>
              <w:szCs w:val="24"/>
            </w:rPr>
            <w:t>120</w:t>
          </w:r>
        </w:p>
        <w:p w14:paraId="5EA29D51">
          <w:pPr>
            <w:pStyle w:val="70"/>
            <w:tabs>
              <w:tab w:val="right" w:leader="dot" w:pos="8312"/>
            </w:tabs>
            <w:spacing w:line="360" w:lineRule="auto"/>
            <w:rPr>
              <w:sz w:val="24"/>
              <w:szCs w:val="24"/>
            </w:rPr>
          </w:pPr>
          <w:r>
            <w:rPr>
              <w:sz w:val="24"/>
              <w:szCs w:val="24"/>
            </w:rPr>
            <w:t>3.7项目主要污染源、污染物治理措施</w:t>
          </w:r>
          <w:r>
            <w:rPr>
              <w:sz w:val="24"/>
              <w:szCs w:val="24"/>
            </w:rPr>
            <w:tab/>
          </w:r>
          <w:r>
            <w:rPr>
              <w:sz w:val="24"/>
              <w:szCs w:val="24"/>
            </w:rPr>
            <w:t>135</w:t>
          </w:r>
        </w:p>
        <w:p w14:paraId="4E5C3318">
          <w:pPr>
            <w:pStyle w:val="70"/>
            <w:tabs>
              <w:tab w:val="right" w:leader="dot" w:pos="8312"/>
            </w:tabs>
            <w:spacing w:line="360" w:lineRule="auto"/>
            <w:rPr>
              <w:sz w:val="24"/>
              <w:szCs w:val="24"/>
            </w:rPr>
          </w:pPr>
          <w:r>
            <w:rPr>
              <w:sz w:val="24"/>
              <w:szCs w:val="24"/>
            </w:rPr>
            <w:t>3.8非正常工况污染物排放分析</w:t>
          </w:r>
          <w:r>
            <w:rPr>
              <w:sz w:val="24"/>
              <w:szCs w:val="24"/>
            </w:rPr>
            <w:tab/>
          </w:r>
          <w:r>
            <w:rPr>
              <w:sz w:val="24"/>
              <w:szCs w:val="24"/>
            </w:rPr>
            <w:t>169</w:t>
          </w:r>
        </w:p>
        <w:p w14:paraId="7D436BDC">
          <w:pPr>
            <w:pStyle w:val="70"/>
            <w:tabs>
              <w:tab w:val="right" w:leader="dot" w:pos="8312"/>
            </w:tabs>
            <w:spacing w:line="360" w:lineRule="auto"/>
            <w:rPr>
              <w:sz w:val="24"/>
              <w:szCs w:val="24"/>
            </w:rPr>
          </w:pPr>
          <w:r>
            <w:rPr>
              <w:sz w:val="24"/>
              <w:szCs w:val="24"/>
            </w:rPr>
            <w:t>3.9清洁生产分析</w:t>
          </w:r>
          <w:r>
            <w:rPr>
              <w:sz w:val="24"/>
              <w:szCs w:val="24"/>
            </w:rPr>
            <w:tab/>
          </w:r>
          <w:r>
            <w:rPr>
              <w:sz w:val="24"/>
              <w:szCs w:val="24"/>
            </w:rPr>
            <w:t>174</w:t>
          </w:r>
        </w:p>
        <w:p w14:paraId="7E9C6BD0">
          <w:pPr>
            <w:pStyle w:val="70"/>
            <w:tabs>
              <w:tab w:val="right" w:leader="dot" w:pos="8312"/>
            </w:tabs>
            <w:spacing w:line="360" w:lineRule="auto"/>
            <w:rPr>
              <w:sz w:val="24"/>
              <w:szCs w:val="24"/>
            </w:rPr>
          </w:pPr>
          <w:r>
            <w:rPr>
              <w:sz w:val="24"/>
              <w:szCs w:val="24"/>
            </w:rPr>
            <w:t>3.10污染物排放汇总</w:t>
          </w:r>
          <w:r>
            <w:rPr>
              <w:sz w:val="24"/>
              <w:szCs w:val="24"/>
            </w:rPr>
            <w:tab/>
          </w:r>
          <w:r>
            <w:rPr>
              <w:sz w:val="24"/>
              <w:szCs w:val="24"/>
            </w:rPr>
            <w:t>180</w:t>
          </w:r>
        </w:p>
        <w:p w14:paraId="5E43D9A0">
          <w:pPr>
            <w:pStyle w:val="55"/>
            <w:tabs>
              <w:tab w:val="right" w:leader="dot" w:pos="8312"/>
            </w:tabs>
            <w:spacing w:before="0" w:after="0" w:line="360" w:lineRule="auto"/>
            <w:rPr>
              <w:sz w:val="24"/>
              <w:szCs w:val="24"/>
            </w:rPr>
          </w:pPr>
          <w:r>
            <w:rPr>
              <w:sz w:val="24"/>
              <w:szCs w:val="24"/>
            </w:rPr>
            <w:t>4环境现状调查与评价</w:t>
          </w:r>
          <w:r>
            <w:rPr>
              <w:sz w:val="24"/>
              <w:szCs w:val="24"/>
            </w:rPr>
            <w:tab/>
          </w:r>
          <w:r>
            <w:rPr>
              <w:sz w:val="24"/>
              <w:szCs w:val="24"/>
            </w:rPr>
            <w:t>184</w:t>
          </w:r>
        </w:p>
        <w:p w14:paraId="2B7610FB">
          <w:pPr>
            <w:pStyle w:val="70"/>
            <w:tabs>
              <w:tab w:val="right" w:leader="dot" w:pos="8312"/>
            </w:tabs>
            <w:spacing w:line="360" w:lineRule="auto"/>
            <w:rPr>
              <w:sz w:val="24"/>
              <w:szCs w:val="24"/>
            </w:rPr>
          </w:pPr>
          <w:r>
            <w:rPr>
              <w:sz w:val="24"/>
              <w:szCs w:val="24"/>
            </w:rPr>
            <w:t>4.1区域自然环境概况</w:t>
          </w:r>
          <w:r>
            <w:rPr>
              <w:sz w:val="24"/>
              <w:szCs w:val="24"/>
            </w:rPr>
            <w:tab/>
          </w:r>
          <w:r>
            <w:rPr>
              <w:sz w:val="24"/>
              <w:szCs w:val="24"/>
            </w:rPr>
            <w:t>184</w:t>
          </w:r>
        </w:p>
        <w:p w14:paraId="038183B8">
          <w:pPr>
            <w:pStyle w:val="70"/>
            <w:tabs>
              <w:tab w:val="right" w:leader="dot" w:pos="8312"/>
            </w:tabs>
            <w:spacing w:line="360" w:lineRule="auto"/>
            <w:rPr>
              <w:sz w:val="24"/>
              <w:szCs w:val="24"/>
            </w:rPr>
          </w:pPr>
          <w:r>
            <w:rPr>
              <w:sz w:val="24"/>
              <w:szCs w:val="24"/>
            </w:rPr>
            <w:t>4.2环境质量现状监测与评价</w:t>
          </w:r>
          <w:r>
            <w:rPr>
              <w:sz w:val="24"/>
              <w:szCs w:val="24"/>
            </w:rPr>
            <w:tab/>
          </w:r>
          <w:r>
            <w:rPr>
              <w:sz w:val="24"/>
              <w:szCs w:val="24"/>
            </w:rPr>
            <w:t>194</w:t>
          </w:r>
        </w:p>
        <w:p w14:paraId="43840153">
          <w:pPr>
            <w:pStyle w:val="55"/>
            <w:tabs>
              <w:tab w:val="right" w:leader="dot" w:pos="8312"/>
            </w:tabs>
            <w:spacing w:before="0" w:after="0" w:line="360" w:lineRule="auto"/>
            <w:rPr>
              <w:sz w:val="24"/>
              <w:szCs w:val="24"/>
            </w:rPr>
          </w:pPr>
          <w:r>
            <w:rPr>
              <w:sz w:val="24"/>
              <w:szCs w:val="24"/>
            </w:rPr>
            <w:t>5 环境影响预测与评价</w:t>
          </w:r>
          <w:r>
            <w:rPr>
              <w:sz w:val="24"/>
              <w:szCs w:val="24"/>
            </w:rPr>
            <w:tab/>
          </w:r>
          <w:r>
            <w:rPr>
              <w:sz w:val="24"/>
              <w:szCs w:val="24"/>
            </w:rPr>
            <w:t>213</w:t>
          </w:r>
        </w:p>
        <w:p w14:paraId="4E7D7A0F">
          <w:pPr>
            <w:pStyle w:val="70"/>
            <w:tabs>
              <w:tab w:val="right" w:leader="dot" w:pos="8312"/>
            </w:tabs>
            <w:spacing w:line="360" w:lineRule="auto"/>
            <w:rPr>
              <w:sz w:val="24"/>
              <w:szCs w:val="24"/>
            </w:rPr>
          </w:pPr>
          <w:r>
            <w:rPr>
              <w:sz w:val="24"/>
              <w:szCs w:val="24"/>
            </w:rPr>
            <w:t>5.1施工期环境影响分析</w:t>
          </w:r>
          <w:r>
            <w:rPr>
              <w:sz w:val="24"/>
              <w:szCs w:val="24"/>
            </w:rPr>
            <w:tab/>
          </w:r>
          <w:r>
            <w:rPr>
              <w:sz w:val="24"/>
              <w:szCs w:val="24"/>
            </w:rPr>
            <w:t>213</w:t>
          </w:r>
        </w:p>
        <w:p w14:paraId="68EA1322">
          <w:pPr>
            <w:pStyle w:val="70"/>
            <w:tabs>
              <w:tab w:val="right" w:leader="dot" w:pos="8312"/>
            </w:tabs>
            <w:spacing w:line="360" w:lineRule="auto"/>
            <w:rPr>
              <w:sz w:val="24"/>
              <w:szCs w:val="24"/>
            </w:rPr>
          </w:pPr>
          <w:r>
            <w:rPr>
              <w:sz w:val="24"/>
              <w:szCs w:val="24"/>
            </w:rPr>
            <w:t>5.2营运期环境影响分析与评价</w:t>
          </w:r>
          <w:r>
            <w:rPr>
              <w:sz w:val="24"/>
              <w:szCs w:val="24"/>
            </w:rPr>
            <w:tab/>
          </w:r>
          <w:r>
            <w:rPr>
              <w:sz w:val="24"/>
              <w:szCs w:val="24"/>
            </w:rPr>
            <w:t>215</w:t>
          </w:r>
        </w:p>
        <w:p w14:paraId="607115CC">
          <w:pPr>
            <w:pStyle w:val="55"/>
            <w:tabs>
              <w:tab w:val="right" w:leader="dot" w:pos="8312"/>
            </w:tabs>
            <w:spacing w:before="0" w:after="0" w:line="360" w:lineRule="auto"/>
            <w:rPr>
              <w:sz w:val="24"/>
              <w:szCs w:val="24"/>
            </w:rPr>
          </w:pPr>
          <w:r>
            <w:rPr>
              <w:sz w:val="24"/>
              <w:szCs w:val="24"/>
            </w:rPr>
            <w:t>6</w:t>
          </w:r>
          <w:r>
            <w:rPr>
              <w:rFonts w:hint="eastAsia"/>
              <w:sz w:val="24"/>
              <w:szCs w:val="24"/>
            </w:rPr>
            <w:t>环境保护措施及其</w:t>
          </w:r>
          <w:r>
            <w:rPr>
              <w:sz w:val="24"/>
              <w:szCs w:val="24"/>
            </w:rPr>
            <w:t>可行性论证</w:t>
          </w:r>
          <w:r>
            <w:rPr>
              <w:sz w:val="24"/>
              <w:szCs w:val="24"/>
            </w:rPr>
            <w:tab/>
          </w:r>
          <w:r>
            <w:rPr>
              <w:sz w:val="24"/>
              <w:szCs w:val="24"/>
            </w:rPr>
            <w:t>295</w:t>
          </w:r>
        </w:p>
        <w:p w14:paraId="75B55245">
          <w:pPr>
            <w:pStyle w:val="70"/>
            <w:tabs>
              <w:tab w:val="right" w:leader="dot" w:pos="8312"/>
            </w:tabs>
            <w:spacing w:line="360" w:lineRule="auto"/>
            <w:rPr>
              <w:sz w:val="24"/>
              <w:szCs w:val="24"/>
            </w:rPr>
          </w:pPr>
          <w:r>
            <w:rPr>
              <w:sz w:val="24"/>
              <w:szCs w:val="24"/>
            </w:rPr>
            <w:t>6.1废气治理措施可行性论证</w:t>
          </w:r>
          <w:r>
            <w:rPr>
              <w:sz w:val="24"/>
              <w:szCs w:val="24"/>
            </w:rPr>
            <w:tab/>
          </w:r>
          <w:r>
            <w:rPr>
              <w:sz w:val="24"/>
              <w:szCs w:val="24"/>
            </w:rPr>
            <w:t>295</w:t>
          </w:r>
        </w:p>
        <w:p w14:paraId="6B7FA25F">
          <w:pPr>
            <w:pStyle w:val="70"/>
            <w:tabs>
              <w:tab w:val="right" w:leader="dot" w:pos="8312"/>
            </w:tabs>
            <w:spacing w:line="360" w:lineRule="auto"/>
            <w:rPr>
              <w:sz w:val="24"/>
              <w:szCs w:val="24"/>
            </w:rPr>
          </w:pPr>
          <w:r>
            <w:rPr>
              <w:sz w:val="24"/>
              <w:szCs w:val="24"/>
            </w:rPr>
            <w:t>6.</w:t>
          </w:r>
          <w:r>
            <w:rPr>
              <w:rFonts w:hint="eastAsia"/>
              <w:sz w:val="24"/>
              <w:szCs w:val="24"/>
            </w:rPr>
            <w:t>2废水</w:t>
          </w:r>
          <w:r>
            <w:rPr>
              <w:sz w:val="24"/>
              <w:szCs w:val="24"/>
            </w:rPr>
            <w:t>污染防治措施可行性论证</w:t>
          </w:r>
          <w:r>
            <w:rPr>
              <w:sz w:val="24"/>
              <w:szCs w:val="24"/>
            </w:rPr>
            <w:tab/>
          </w:r>
          <w:r>
            <w:rPr>
              <w:sz w:val="24"/>
              <w:szCs w:val="24"/>
            </w:rPr>
            <w:t>301</w:t>
          </w:r>
        </w:p>
        <w:p w14:paraId="4F65A618">
          <w:pPr>
            <w:pStyle w:val="70"/>
            <w:tabs>
              <w:tab w:val="right" w:leader="dot" w:pos="8312"/>
            </w:tabs>
            <w:spacing w:line="360" w:lineRule="auto"/>
            <w:rPr>
              <w:sz w:val="24"/>
              <w:szCs w:val="24"/>
            </w:rPr>
          </w:pPr>
          <w:r>
            <w:rPr>
              <w:sz w:val="24"/>
              <w:szCs w:val="24"/>
            </w:rPr>
            <w:t>6.3地下水、土壤环境污染防治措施可行性论证</w:t>
          </w:r>
          <w:r>
            <w:rPr>
              <w:sz w:val="24"/>
              <w:szCs w:val="24"/>
            </w:rPr>
            <w:tab/>
          </w:r>
          <w:r>
            <w:rPr>
              <w:sz w:val="24"/>
              <w:szCs w:val="24"/>
            </w:rPr>
            <w:t>303</w:t>
          </w:r>
        </w:p>
        <w:p w14:paraId="6EEA1CDC">
          <w:pPr>
            <w:pStyle w:val="70"/>
            <w:tabs>
              <w:tab w:val="right" w:leader="dot" w:pos="8312"/>
            </w:tabs>
            <w:spacing w:line="360" w:lineRule="auto"/>
            <w:rPr>
              <w:sz w:val="24"/>
              <w:szCs w:val="24"/>
            </w:rPr>
          </w:pPr>
          <w:r>
            <w:rPr>
              <w:sz w:val="24"/>
              <w:szCs w:val="24"/>
            </w:rPr>
            <w:t>6.4噪声治理措施可行性论证</w:t>
          </w:r>
          <w:r>
            <w:rPr>
              <w:sz w:val="24"/>
              <w:szCs w:val="24"/>
            </w:rPr>
            <w:tab/>
          </w:r>
          <w:r>
            <w:rPr>
              <w:sz w:val="24"/>
              <w:szCs w:val="24"/>
            </w:rPr>
            <w:t>304</w:t>
          </w:r>
        </w:p>
        <w:p w14:paraId="38C60D85">
          <w:pPr>
            <w:pStyle w:val="70"/>
            <w:tabs>
              <w:tab w:val="right" w:leader="dot" w:pos="8312"/>
            </w:tabs>
            <w:spacing w:line="360" w:lineRule="auto"/>
            <w:rPr>
              <w:sz w:val="24"/>
              <w:szCs w:val="24"/>
            </w:rPr>
          </w:pPr>
          <w:r>
            <w:rPr>
              <w:sz w:val="24"/>
              <w:szCs w:val="24"/>
            </w:rPr>
            <w:t>6.5固体废物治理措施可行性论证</w:t>
          </w:r>
          <w:r>
            <w:rPr>
              <w:sz w:val="24"/>
              <w:szCs w:val="24"/>
            </w:rPr>
            <w:tab/>
          </w:r>
          <w:r>
            <w:rPr>
              <w:sz w:val="24"/>
              <w:szCs w:val="24"/>
            </w:rPr>
            <w:t>305</w:t>
          </w:r>
        </w:p>
        <w:p w14:paraId="4578E3F3">
          <w:pPr>
            <w:pStyle w:val="55"/>
            <w:tabs>
              <w:tab w:val="right" w:leader="dot" w:pos="8312"/>
            </w:tabs>
            <w:spacing w:before="0" w:after="0" w:line="360" w:lineRule="auto"/>
            <w:rPr>
              <w:sz w:val="24"/>
              <w:szCs w:val="24"/>
            </w:rPr>
          </w:pPr>
          <w:r>
            <w:rPr>
              <w:sz w:val="24"/>
              <w:szCs w:val="24"/>
            </w:rPr>
            <w:t>7环境影响经济损益分析</w:t>
          </w:r>
          <w:r>
            <w:rPr>
              <w:sz w:val="24"/>
              <w:szCs w:val="24"/>
            </w:rPr>
            <w:tab/>
          </w:r>
          <w:r>
            <w:rPr>
              <w:sz w:val="24"/>
              <w:szCs w:val="24"/>
            </w:rPr>
            <w:t>307</w:t>
          </w:r>
        </w:p>
        <w:p w14:paraId="59B9B010">
          <w:pPr>
            <w:pStyle w:val="70"/>
            <w:tabs>
              <w:tab w:val="right" w:leader="dot" w:pos="8312"/>
            </w:tabs>
            <w:spacing w:line="360" w:lineRule="auto"/>
            <w:rPr>
              <w:sz w:val="24"/>
              <w:szCs w:val="24"/>
            </w:rPr>
          </w:pPr>
          <w:r>
            <w:rPr>
              <w:sz w:val="24"/>
              <w:szCs w:val="24"/>
            </w:rPr>
            <w:t>7.1社会效益分析</w:t>
          </w:r>
          <w:r>
            <w:rPr>
              <w:sz w:val="24"/>
              <w:szCs w:val="24"/>
            </w:rPr>
            <w:tab/>
          </w:r>
          <w:r>
            <w:rPr>
              <w:sz w:val="24"/>
              <w:szCs w:val="24"/>
            </w:rPr>
            <w:t>307</w:t>
          </w:r>
        </w:p>
        <w:p w14:paraId="198BCD61">
          <w:pPr>
            <w:pStyle w:val="70"/>
            <w:tabs>
              <w:tab w:val="right" w:leader="dot" w:pos="8312"/>
            </w:tabs>
            <w:spacing w:line="360" w:lineRule="auto"/>
            <w:rPr>
              <w:sz w:val="24"/>
              <w:szCs w:val="24"/>
            </w:rPr>
          </w:pPr>
          <w:r>
            <w:rPr>
              <w:sz w:val="24"/>
              <w:szCs w:val="24"/>
            </w:rPr>
            <w:t>7.2经济效益分析</w:t>
          </w:r>
          <w:r>
            <w:rPr>
              <w:sz w:val="24"/>
              <w:szCs w:val="24"/>
            </w:rPr>
            <w:tab/>
          </w:r>
          <w:r>
            <w:rPr>
              <w:sz w:val="24"/>
              <w:szCs w:val="24"/>
            </w:rPr>
            <w:t>307</w:t>
          </w:r>
        </w:p>
        <w:p w14:paraId="53AF4BCB">
          <w:pPr>
            <w:pStyle w:val="70"/>
            <w:tabs>
              <w:tab w:val="right" w:leader="dot" w:pos="8312"/>
            </w:tabs>
            <w:spacing w:line="360" w:lineRule="auto"/>
            <w:rPr>
              <w:sz w:val="24"/>
              <w:szCs w:val="24"/>
            </w:rPr>
          </w:pPr>
          <w:r>
            <w:rPr>
              <w:sz w:val="24"/>
              <w:szCs w:val="24"/>
            </w:rPr>
            <w:t>7.3环保投资效益分析</w:t>
          </w:r>
          <w:r>
            <w:rPr>
              <w:sz w:val="24"/>
              <w:szCs w:val="24"/>
            </w:rPr>
            <w:tab/>
          </w:r>
          <w:r>
            <w:rPr>
              <w:sz w:val="24"/>
              <w:szCs w:val="24"/>
            </w:rPr>
            <w:t>307</w:t>
          </w:r>
        </w:p>
        <w:p w14:paraId="43FE67D9">
          <w:pPr>
            <w:pStyle w:val="70"/>
            <w:tabs>
              <w:tab w:val="right" w:leader="dot" w:pos="8312"/>
            </w:tabs>
            <w:spacing w:line="360" w:lineRule="auto"/>
            <w:rPr>
              <w:sz w:val="24"/>
              <w:szCs w:val="24"/>
            </w:rPr>
          </w:pPr>
          <w:r>
            <w:rPr>
              <w:sz w:val="24"/>
              <w:szCs w:val="24"/>
            </w:rPr>
            <w:t>7.4环境效益分析</w:t>
          </w:r>
          <w:r>
            <w:rPr>
              <w:sz w:val="24"/>
              <w:szCs w:val="24"/>
            </w:rPr>
            <w:tab/>
          </w:r>
          <w:r>
            <w:rPr>
              <w:sz w:val="24"/>
              <w:szCs w:val="24"/>
            </w:rPr>
            <w:t>309</w:t>
          </w:r>
        </w:p>
        <w:p w14:paraId="60A3A31A">
          <w:pPr>
            <w:pStyle w:val="70"/>
            <w:tabs>
              <w:tab w:val="right" w:leader="dot" w:pos="8312"/>
            </w:tabs>
            <w:spacing w:line="360" w:lineRule="auto"/>
            <w:rPr>
              <w:sz w:val="24"/>
              <w:szCs w:val="24"/>
            </w:rPr>
          </w:pPr>
          <w:r>
            <w:rPr>
              <w:sz w:val="24"/>
              <w:szCs w:val="24"/>
            </w:rPr>
            <w:t>7.5结论</w:t>
          </w:r>
          <w:r>
            <w:rPr>
              <w:sz w:val="24"/>
              <w:szCs w:val="24"/>
            </w:rPr>
            <w:tab/>
          </w:r>
          <w:r>
            <w:rPr>
              <w:sz w:val="24"/>
              <w:szCs w:val="24"/>
            </w:rPr>
            <w:t>310</w:t>
          </w:r>
        </w:p>
        <w:p w14:paraId="372DC894">
          <w:pPr>
            <w:pStyle w:val="55"/>
            <w:tabs>
              <w:tab w:val="right" w:leader="dot" w:pos="8312"/>
            </w:tabs>
            <w:spacing w:before="0" w:after="0" w:line="360" w:lineRule="auto"/>
            <w:rPr>
              <w:sz w:val="24"/>
              <w:szCs w:val="24"/>
            </w:rPr>
          </w:pPr>
          <w:r>
            <w:rPr>
              <w:sz w:val="24"/>
              <w:szCs w:val="24"/>
            </w:rPr>
            <w:t>8环境管理与监测计划</w:t>
          </w:r>
          <w:r>
            <w:rPr>
              <w:sz w:val="24"/>
              <w:szCs w:val="24"/>
            </w:rPr>
            <w:tab/>
          </w:r>
          <w:r>
            <w:rPr>
              <w:sz w:val="24"/>
              <w:szCs w:val="24"/>
            </w:rPr>
            <w:t>311</w:t>
          </w:r>
        </w:p>
        <w:p w14:paraId="5AFD8480">
          <w:pPr>
            <w:pStyle w:val="70"/>
            <w:tabs>
              <w:tab w:val="right" w:leader="dot" w:pos="8312"/>
            </w:tabs>
            <w:spacing w:line="360" w:lineRule="auto"/>
            <w:rPr>
              <w:sz w:val="24"/>
              <w:szCs w:val="24"/>
            </w:rPr>
          </w:pPr>
          <w:r>
            <w:rPr>
              <w:sz w:val="24"/>
              <w:szCs w:val="24"/>
            </w:rPr>
            <w:t>8.1环境保护管理</w:t>
          </w:r>
          <w:r>
            <w:rPr>
              <w:sz w:val="24"/>
              <w:szCs w:val="24"/>
            </w:rPr>
            <w:tab/>
          </w:r>
          <w:r>
            <w:rPr>
              <w:sz w:val="24"/>
              <w:szCs w:val="24"/>
            </w:rPr>
            <w:t>311</w:t>
          </w:r>
        </w:p>
        <w:p w14:paraId="65776E37">
          <w:pPr>
            <w:pStyle w:val="70"/>
            <w:tabs>
              <w:tab w:val="right" w:leader="dot" w:pos="8312"/>
            </w:tabs>
            <w:spacing w:line="360" w:lineRule="auto"/>
            <w:rPr>
              <w:sz w:val="24"/>
              <w:szCs w:val="24"/>
            </w:rPr>
          </w:pPr>
          <w:r>
            <w:rPr>
              <w:sz w:val="24"/>
              <w:szCs w:val="24"/>
            </w:rPr>
            <w:t>8.2环境监测计划</w:t>
          </w:r>
          <w:r>
            <w:rPr>
              <w:sz w:val="24"/>
              <w:szCs w:val="24"/>
            </w:rPr>
            <w:tab/>
          </w:r>
          <w:r>
            <w:rPr>
              <w:sz w:val="24"/>
              <w:szCs w:val="24"/>
            </w:rPr>
            <w:t>313</w:t>
          </w:r>
        </w:p>
        <w:p w14:paraId="0C895964">
          <w:pPr>
            <w:pStyle w:val="70"/>
            <w:tabs>
              <w:tab w:val="right" w:leader="dot" w:pos="8312"/>
            </w:tabs>
            <w:spacing w:line="360" w:lineRule="auto"/>
            <w:rPr>
              <w:sz w:val="24"/>
              <w:szCs w:val="24"/>
            </w:rPr>
          </w:pPr>
          <w:r>
            <w:rPr>
              <w:sz w:val="24"/>
              <w:szCs w:val="24"/>
            </w:rPr>
            <w:t>8.3</w:t>
          </w:r>
          <w:r>
            <w:rPr>
              <w:kern w:val="0"/>
              <w:sz w:val="24"/>
              <w:szCs w:val="24"/>
            </w:rPr>
            <w:t>污染源排放口规范化要求</w:t>
          </w:r>
          <w:r>
            <w:rPr>
              <w:sz w:val="24"/>
              <w:szCs w:val="24"/>
            </w:rPr>
            <w:tab/>
          </w:r>
          <w:r>
            <w:rPr>
              <w:sz w:val="24"/>
              <w:szCs w:val="24"/>
            </w:rPr>
            <w:t>316</w:t>
          </w:r>
        </w:p>
        <w:p w14:paraId="24B4CB06">
          <w:pPr>
            <w:pStyle w:val="70"/>
            <w:tabs>
              <w:tab w:val="right" w:leader="dot" w:pos="8312"/>
            </w:tabs>
            <w:spacing w:line="360" w:lineRule="auto"/>
            <w:rPr>
              <w:sz w:val="24"/>
              <w:szCs w:val="24"/>
            </w:rPr>
          </w:pPr>
          <w:r>
            <w:rPr>
              <w:sz w:val="24"/>
              <w:szCs w:val="24"/>
            </w:rPr>
            <w:t>8.4污染源排放清单</w:t>
          </w:r>
          <w:r>
            <w:rPr>
              <w:sz w:val="24"/>
              <w:szCs w:val="24"/>
            </w:rPr>
            <w:tab/>
          </w:r>
          <w:r>
            <w:rPr>
              <w:sz w:val="24"/>
              <w:szCs w:val="24"/>
            </w:rPr>
            <w:t>318</w:t>
          </w:r>
        </w:p>
        <w:p w14:paraId="345FB8EC">
          <w:pPr>
            <w:pStyle w:val="70"/>
            <w:tabs>
              <w:tab w:val="right" w:leader="dot" w:pos="8312"/>
            </w:tabs>
            <w:spacing w:line="360" w:lineRule="auto"/>
            <w:rPr>
              <w:sz w:val="24"/>
              <w:szCs w:val="24"/>
            </w:rPr>
          </w:pPr>
          <w:r>
            <w:rPr>
              <w:sz w:val="24"/>
              <w:szCs w:val="24"/>
            </w:rPr>
            <w:t>8.5企业信息公开</w:t>
          </w:r>
          <w:r>
            <w:rPr>
              <w:sz w:val="24"/>
              <w:szCs w:val="24"/>
            </w:rPr>
            <w:tab/>
          </w:r>
          <w:r>
            <w:rPr>
              <w:sz w:val="24"/>
              <w:szCs w:val="24"/>
            </w:rPr>
            <w:t>322</w:t>
          </w:r>
        </w:p>
        <w:p w14:paraId="0F29D20B">
          <w:pPr>
            <w:pStyle w:val="70"/>
            <w:tabs>
              <w:tab w:val="right" w:leader="dot" w:pos="8312"/>
            </w:tabs>
            <w:spacing w:line="360" w:lineRule="auto"/>
            <w:rPr>
              <w:sz w:val="24"/>
              <w:szCs w:val="24"/>
            </w:rPr>
          </w:pPr>
          <w:r>
            <w:rPr>
              <w:sz w:val="24"/>
              <w:szCs w:val="24"/>
            </w:rPr>
            <w:t>8.6环保设施“三同时”验收一览表</w:t>
          </w:r>
          <w:r>
            <w:rPr>
              <w:sz w:val="24"/>
              <w:szCs w:val="24"/>
            </w:rPr>
            <w:tab/>
          </w:r>
          <w:r>
            <w:rPr>
              <w:sz w:val="24"/>
              <w:szCs w:val="24"/>
            </w:rPr>
            <w:t>323</w:t>
          </w:r>
        </w:p>
        <w:p w14:paraId="3DC9C45A">
          <w:pPr>
            <w:pStyle w:val="55"/>
            <w:tabs>
              <w:tab w:val="right" w:leader="dot" w:pos="8312"/>
            </w:tabs>
            <w:spacing w:before="0" w:after="0" w:line="360" w:lineRule="auto"/>
            <w:rPr>
              <w:sz w:val="24"/>
              <w:szCs w:val="24"/>
            </w:rPr>
          </w:pPr>
          <w:r>
            <w:rPr>
              <w:sz w:val="24"/>
              <w:szCs w:val="24"/>
            </w:rPr>
            <w:t>9结论与建议</w:t>
          </w:r>
          <w:r>
            <w:rPr>
              <w:sz w:val="24"/>
              <w:szCs w:val="24"/>
            </w:rPr>
            <w:tab/>
          </w:r>
          <w:r>
            <w:rPr>
              <w:sz w:val="24"/>
              <w:szCs w:val="24"/>
            </w:rPr>
            <w:t>329</w:t>
          </w:r>
        </w:p>
        <w:p w14:paraId="506E1917">
          <w:pPr>
            <w:pStyle w:val="70"/>
            <w:tabs>
              <w:tab w:val="right" w:leader="dot" w:pos="8312"/>
            </w:tabs>
            <w:spacing w:line="360" w:lineRule="auto"/>
            <w:rPr>
              <w:sz w:val="24"/>
              <w:szCs w:val="24"/>
            </w:rPr>
          </w:pPr>
          <w:r>
            <w:rPr>
              <w:sz w:val="24"/>
              <w:szCs w:val="24"/>
            </w:rPr>
            <w:t>9.1结论</w:t>
          </w:r>
          <w:r>
            <w:rPr>
              <w:sz w:val="24"/>
              <w:szCs w:val="24"/>
            </w:rPr>
            <w:tab/>
          </w:r>
          <w:r>
            <w:rPr>
              <w:sz w:val="24"/>
              <w:szCs w:val="24"/>
            </w:rPr>
            <w:t>329</w:t>
          </w:r>
        </w:p>
        <w:p w14:paraId="50FD58F2">
          <w:pPr>
            <w:pStyle w:val="70"/>
            <w:tabs>
              <w:tab w:val="right" w:leader="dot" w:pos="8312"/>
            </w:tabs>
            <w:spacing w:line="360" w:lineRule="auto"/>
          </w:pPr>
          <w:r>
            <w:rPr>
              <w:sz w:val="24"/>
              <w:szCs w:val="24"/>
            </w:rPr>
            <w:t>9.2建议</w:t>
          </w:r>
          <w:r>
            <w:rPr>
              <w:sz w:val="24"/>
              <w:szCs w:val="24"/>
            </w:rPr>
            <w:tab/>
          </w:r>
          <w:r>
            <w:rPr>
              <w:sz w:val="24"/>
              <w:szCs w:val="24"/>
            </w:rPr>
            <w:t>337</w:t>
          </w:r>
        </w:p>
        <w:p w14:paraId="7F19EF6F">
          <w:pPr>
            <w:spacing w:line="360" w:lineRule="auto"/>
            <w:rPr>
              <w:rFonts w:ascii="Times New Roman"/>
            </w:rPr>
          </w:pPr>
        </w:p>
      </w:sdtContent>
    </w:sdt>
    <w:p w14:paraId="7EDD3D2F">
      <w:pPr>
        <w:tabs>
          <w:tab w:val="left" w:pos="6049"/>
        </w:tabs>
        <w:jc w:val="left"/>
        <w:rPr>
          <w:rFonts w:ascii="Times New Roman"/>
        </w:rPr>
        <w:sectPr>
          <w:headerReference r:id="rId4" w:type="default"/>
          <w:footerReference r:id="rId5" w:type="default"/>
          <w:pgSz w:w="11906" w:h="16838"/>
          <w:pgMar w:top="1440" w:right="1797" w:bottom="1440" w:left="1797" w:header="1134" w:footer="1134" w:gutter="0"/>
          <w:pgNumType w:fmt="upperRoman" w:start="1"/>
          <w:cols w:space="720" w:num="1"/>
          <w:docGrid w:linePitch="312" w:charSpace="0"/>
        </w:sectPr>
      </w:pPr>
    </w:p>
    <w:p w14:paraId="528AB32C">
      <w:pPr>
        <w:autoSpaceDE w:val="0"/>
        <w:autoSpaceDN w:val="0"/>
        <w:adjustRightInd w:val="0"/>
        <w:spacing w:line="360" w:lineRule="auto"/>
        <w:jc w:val="left"/>
        <w:rPr>
          <w:rFonts w:ascii="Times New Roman"/>
          <w:b/>
          <w:kern w:val="0"/>
          <w:sz w:val="24"/>
          <w:szCs w:val="24"/>
        </w:rPr>
      </w:pPr>
      <w:r>
        <w:rPr>
          <w:rFonts w:ascii="Times New Roman"/>
          <w:b/>
          <w:kern w:val="0"/>
          <w:sz w:val="24"/>
          <w:szCs w:val="24"/>
        </w:rPr>
        <w:t>附图：</w:t>
      </w:r>
    </w:p>
    <w:p w14:paraId="4FC7618A">
      <w:pPr>
        <w:spacing w:line="360" w:lineRule="auto"/>
        <w:ind w:firstLine="480" w:firstLineChars="200"/>
        <w:rPr>
          <w:rFonts w:ascii="Times New Roman"/>
          <w:sz w:val="24"/>
          <w:szCs w:val="24"/>
        </w:rPr>
      </w:pPr>
      <w:r>
        <w:rPr>
          <w:rFonts w:ascii="Times New Roman"/>
          <w:sz w:val="24"/>
          <w:szCs w:val="24"/>
        </w:rPr>
        <w:t>附图1：</w:t>
      </w:r>
      <w:r>
        <w:rPr>
          <w:rFonts w:hint="eastAsia" w:ascii="Times New Roman"/>
          <w:sz w:val="24"/>
          <w:szCs w:val="24"/>
        </w:rPr>
        <w:t>建设</w:t>
      </w:r>
      <w:r>
        <w:rPr>
          <w:rFonts w:ascii="Times New Roman"/>
          <w:sz w:val="24"/>
          <w:szCs w:val="24"/>
        </w:rPr>
        <w:t>项目地理位置图</w:t>
      </w:r>
    </w:p>
    <w:p w14:paraId="15384FA8">
      <w:pPr>
        <w:spacing w:line="360" w:lineRule="auto"/>
        <w:ind w:firstLine="480" w:firstLineChars="200"/>
        <w:rPr>
          <w:rFonts w:ascii="Times New Roman"/>
          <w:sz w:val="24"/>
          <w:szCs w:val="24"/>
        </w:rPr>
      </w:pPr>
      <w:r>
        <w:rPr>
          <w:rFonts w:ascii="Times New Roman"/>
          <w:sz w:val="24"/>
          <w:szCs w:val="24"/>
        </w:rPr>
        <w:t>附图2：</w:t>
      </w:r>
      <w:r>
        <w:rPr>
          <w:rFonts w:hint="eastAsia" w:ascii="Times New Roman"/>
          <w:sz w:val="24"/>
          <w:szCs w:val="24"/>
        </w:rPr>
        <w:t>建设</w:t>
      </w:r>
      <w:r>
        <w:rPr>
          <w:rFonts w:ascii="Times New Roman"/>
          <w:sz w:val="24"/>
          <w:szCs w:val="24"/>
        </w:rPr>
        <w:t>项目周边关系</w:t>
      </w:r>
      <w:r>
        <w:rPr>
          <w:rFonts w:hint="eastAsia" w:ascii="Times New Roman"/>
          <w:sz w:val="24"/>
          <w:szCs w:val="24"/>
        </w:rPr>
        <w:t>图</w:t>
      </w:r>
    </w:p>
    <w:p w14:paraId="54FFF9B8">
      <w:pPr>
        <w:spacing w:line="360" w:lineRule="auto"/>
        <w:ind w:firstLine="480" w:firstLineChars="200"/>
        <w:rPr>
          <w:rFonts w:ascii="Times New Roman"/>
          <w:sz w:val="24"/>
          <w:szCs w:val="24"/>
        </w:rPr>
      </w:pPr>
      <w:r>
        <w:rPr>
          <w:rFonts w:ascii="Times New Roman"/>
          <w:sz w:val="24"/>
          <w:szCs w:val="24"/>
        </w:rPr>
        <w:t>附图3：项目</w:t>
      </w:r>
      <w:r>
        <w:rPr>
          <w:rFonts w:hint="eastAsia" w:ascii="Times New Roman"/>
          <w:sz w:val="24"/>
          <w:szCs w:val="24"/>
        </w:rPr>
        <w:t>厂区</w:t>
      </w:r>
      <w:r>
        <w:rPr>
          <w:rFonts w:ascii="Times New Roman"/>
          <w:sz w:val="24"/>
          <w:szCs w:val="24"/>
        </w:rPr>
        <w:t>平面布置</w:t>
      </w:r>
      <w:r>
        <w:rPr>
          <w:rFonts w:hint="eastAsia" w:ascii="Times New Roman"/>
          <w:sz w:val="24"/>
          <w:szCs w:val="24"/>
        </w:rPr>
        <w:t>及</w:t>
      </w:r>
      <w:r>
        <w:rPr>
          <w:rFonts w:ascii="Times New Roman"/>
          <w:sz w:val="24"/>
          <w:szCs w:val="24"/>
        </w:rPr>
        <w:t>分区防渗图</w:t>
      </w:r>
    </w:p>
    <w:p w14:paraId="46991D20">
      <w:pPr>
        <w:spacing w:line="360" w:lineRule="auto"/>
        <w:ind w:firstLine="480" w:firstLineChars="200"/>
        <w:rPr>
          <w:rFonts w:ascii="Times New Roman"/>
          <w:sz w:val="24"/>
          <w:szCs w:val="24"/>
        </w:rPr>
      </w:pPr>
      <w:r>
        <w:rPr>
          <w:rFonts w:ascii="Times New Roman"/>
          <w:sz w:val="24"/>
          <w:szCs w:val="24"/>
        </w:rPr>
        <w:t>附图4：</w:t>
      </w:r>
      <w:r>
        <w:rPr>
          <w:rFonts w:hint="eastAsia" w:ascii="Times New Roman"/>
          <w:sz w:val="24"/>
          <w:szCs w:val="24"/>
        </w:rPr>
        <w:t>项目监测布点及评价范围图</w:t>
      </w:r>
    </w:p>
    <w:p w14:paraId="6BDB5AB0">
      <w:pPr>
        <w:spacing w:line="360" w:lineRule="auto"/>
        <w:ind w:firstLine="480" w:firstLineChars="200"/>
        <w:rPr>
          <w:rFonts w:ascii="Times New Roman"/>
          <w:sz w:val="24"/>
          <w:szCs w:val="24"/>
        </w:rPr>
      </w:pPr>
      <w:r>
        <w:rPr>
          <w:rFonts w:ascii="Times New Roman"/>
          <w:sz w:val="24"/>
          <w:szCs w:val="24"/>
        </w:rPr>
        <w:t>附图</w:t>
      </w:r>
      <w:r>
        <w:rPr>
          <w:rFonts w:hint="eastAsia" w:ascii="Times New Roman"/>
          <w:sz w:val="24"/>
          <w:szCs w:val="24"/>
        </w:rPr>
        <w:t>5</w:t>
      </w:r>
      <w:r>
        <w:rPr>
          <w:rFonts w:ascii="Times New Roman"/>
          <w:sz w:val="24"/>
          <w:szCs w:val="24"/>
        </w:rPr>
        <w:t>：</w:t>
      </w:r>
      <w:r>
        <w:rPr>
          <w:rFonts w:hint="eastAsia" w:ascii="Times New Roman"/>
          <w:sz w:val="24"/>
          <w:szCs w:val="24"/>
        </w:rPr>
        <w:t>项目与园区规划产业布局关系图</w:t>
      </w:r>
    </w:p>
    <w:p w14:paraId="6EE76777">
      <w:pPr>
        <w:spacing w:line="360" w:lineRule="auto"/>
        <w:ind w:firstLine="480" w:firstLineChars="200"/>
        <w:rPr>
          <w:rFonts w:ascii="Times New Roman"/>
          <w:sz w:val="24"/>
          <w:szCs w:val="24"/>
        </w:rPr>
      </w:pPr>
      <w:r>
        <w:rPr>
          <w:rFonts w:hint="eastAsia" w:ascii="Times New Roman"/>
          <w:sz w:val="24"/>
          <w:szCs w:val="24"/>
        </w:rPr>
        <w:t>附图6：项目与园区土地利用规划位置关系图</w:t>
      </w:r>
    </w:p>
    <w:p w14:paraId="3BED51AC">
      <w:pPr>
        <w:spacing w:line="360" w:lineRule="auto"/>
        <w:ind w:firstLine="480" w:firstLineChars="200"/>
        <w:rPr>
          <w:rFonts w:ascii="Times New Roman"/>
          <w:sz w:val="24"/>
          <w:szCs w:val="24"/>
        </w:rPr>
      </w:pPr>
      <w:r>
        <w:rPr>
          <w:rFonts w:hint="eastAsia" w:ascii="Times New Roman"/>
          <w:sz w:val="24"/>
          <w:szCs w:val="24"/>
        </w:rPr>
        <w:t>附图7：项目与生态保护红线位置关系图</w:t>
      </w:r>
    </w:p>
    <w:p w14:paraId="40C1391F">
      <w:pPr>
        <w:spacing w:line="360" w:lineRule="auto"/>
        <w:ind w:firstLine="480" w:firstLineChars="200"/>
        <w:rPr>
          <w:rFonts w:ascii="Times New Roman"/>
          <w:sz w:val="24"/>
          <w:szCs w:val="24"/>
        </w:rPr>
      </w:pPr>
      <w:r>
        <w:rPr>
          <w:rFonts w:hint="eastAsia" w:ascii="Times New Roman"/>
          <w:sz w:val="24"/>
          <w:szCs w:val="24"/>
        </w:rPr>
        <w:t>附图8：</w:t>
      </w:r>
      <w:r>
        <w:rPr>
          <w:rFonts w:ascii="Times New Roman"/>
          <w:sz w:val="24"/>
          <w:szCs w:val="24"/>
        </w:rPr>
        <w:t>项目与唐山市环境管控单元分布位置关系图</w:t>
      </w:r>
    </w:p>
    <w:p w14:paraId="383F674D">
      <w:pPr>
        <w:spacing w:line="360" w:lineRule="auto"/>
        <w:rPr>
          <w:rFonts w:ascii="Times New Roman"/>
          <w:b/>
          <w:sz w:val="24"/>
          <w:szCs w:val="24"/>
        </w:rPr>
      </w:pPr>
      <w:r>
        <w:rPr>
          <w:rFonts w:ascii="Times New Roman"/>
          <w:b/>
          <w:sz w:val="24"/>
          <w:szCs w:val="24"/>
        </w:rPr>
        <w:t>附件：</w:t>
      </w:r>
    </w:p>
    <w:p w14:paraId="2BD13EC4">
      <w:pPr>
        <w:spacing w:line="360" w:lineRule="auto"/>
        <w:ind w:firstLine="480" w:firstLineChars="200"/>
        <w:rPr>
          <w:rFonts w:ascii="Times New Roman"/>
          <w:sz w:val="24"/>
          <w:szCs w:val="24"/>
        </w:rPr>
      </w:pPr>
      <w:r>
        <w:rPr>
          <w:rFonts w:ascii="Times New Roman"/>
          <w:sz w:val="24"/>
          <w:szCs w:val="24"/>
        </w:rPr>
        <w:t>附件1：企业</w:t>
      </w:r>
      <w:r>
        <w:rPr>
          <w:rFonts w:hint="eastAsia" w:ascii="Times New Roman"/>
          <w:sz w:val="24"/>
          <w:szCs w:val="24"/>
        </w:rPr>
        <w:t>营业执照</w:t>
      </w:r>
    </w:p>
    <w:p w14:paraId="1E87E033">
      <w:pPr>
        <w:spacing w:line="360" w:lineRule="auto"/>
        <w:ind w:firstLine="480" w:firstLineChars="200"/>
        <w:rPr>
          <w:rFonts w:ascii="Times New Roman"/>
          <w:sz w:val="24"/>
          <w:szCs w:val="24"/>
        </w:rPr>
      </w:pPr>
      <w:r>
        <w:rPr>
          <w:rFonts w:ascii="Times New Roman"/>
          <w:sz w:val="24"/>
          <w:szCs w:val="24"/>
        </w:rPr>
        <w:t>附件</w:t>
      </w:r>
      <w:r>
        <w:rPr>
          <w:rFonts w:hint="eastAsia" w:ascii="Times New Roman"/>
          <w:sz w:val="24"/>
          <w:szCs w:val="24"/>
        </w:rPr>
        <w:t>2</w:t>
      </w:r>
      <w:r>
        <w:rPr>
          <w:rFonts w:ascii="Times New Roman"/>
          <w:sz w:val="24"/>
          <w:szCs w:val="24"/>
        </w:rPr>
        <w:t>：企业投资备案信息</w:t>
      </w:r>
    </w:p>
    <w:p w14:paraId="114F4083">
      <w:pPr>
        <w:spacing w:line="360" w:lineRule="auto"/>
        <w:ind w:firstLine="480" w:firstLineChars="200"/>
        <w:rPr>
          <w:rFonts w:ascii="Times New Roman"/>
          <w:sz w:val="24"/>
          <w:szCs w:val="24"/>
        </w:rPr>
      </w:pPr>
      <w:r>
        <w:rPr>
          <w:rFonts w:ascii="Times New Roman"/>
          <w:sz w:val="24"/>
          <w:szCs w:val="24"/>
        </w:rPr>
        <w:t>附件3：不动产权证书</w:t>
      </w:r>
    </w:p>
    <w:p w14:paraId="34CE63F3">
      <w:pPr>
        <w:spacing w:line="360" w:lineRule="auto"/>
        <w:ind w:firstLine="480" w:firstLineChars="200"/>
        <w:rPr>
          <w:rFonts w:ascii="Times New Roman"/>
          <w:sz w:val="24"/>
          <w:szCs w:val="24"/>
        </w:rPr>
      </w:pPr>
      <w:r>
        <w:rPr>
          <w:rFonts w:ascii="Times New Roman"/>
          <w:sz w:val="24"/>
          <w:szCs w:val="24"/>
        </w:rPr>
        <w:t>附件4：</w:t>
      </w:r>
      <w:r>
        <w:rPr>
          <w:rFonts w:hint="eastAsia" w:ascii="Times New Roman"/>
          <w:sz w:val="24"/>
          <w:szCs w:val="24"/>
        </w:rPr>
        <w:t>规划许可证</w:t>
      </w:r>
    </w:p>
    <w:p w14:paraId="07B5BACF">
      <w:pPr>
        <w:spacing w:line="360" w:lineRule="auto"/>
        <w:ind w:firstLine="480" w:firstLineChars="200"/>
        <w:rPr>
          <w:rFonts w:ascii="Times New Roman"/>
          <w:sz w:val="24"/>
          <w:szCs w:val="24"/>
        </w:rPr>
      </w:pPr>
      <w:r>
        <w:rPr>
          <w:rFonts w:ascii="Times New Roman"/>
          <w:sz w:val="24"/>
          <w:szCs w:val="24"/>
        </w:rPr>
        <w:t>附件</w:t>
      </w:r>
      <w:r>
        <w:rPr>
          <w:rFonts w:hint="eastAsia" w:ascii="Times New Roman"/>
          <w:sz w:val="24"/>
          <w:szCs w:val="24"/>
        </w:rPr>
        <w:t>5</w:t>
      </w:r>
      <w:r>
        <w:rPr>
          <w:rFonts w:ascii="Times New Roman"/>
          <w:sz w:val="24"/>
          <w:szCs w:val="24"/>
        </w:rPr>
        <w:t>：</w:t>
      </w:r>
      <w:r>
        <w:rPr>
          <w:rFonts w:hint="eastAsia" w:ascii="Times New Roman"/>
          <w:sz w:val="24"/>
          <w:szCs w:val="24"/>
        </w:rPr>
        <w:t>2024年[1号]项目入区统筹会会议纪要</w:t>
      </w:r>
    </w:p>
    <w:p w14:paraId="67A11FE4">
      <w:pPr>
        <w:spacing w:line="360" w:lineRule="auto"/>
        <w:ind w:firstLine="480" w:firstLineChars="200"/>
        <w:rPr>
          <w:rFonts w:ascii="Times New Roman"/>
          <w:sz w:val="24"/>
          <w:szCs w:val="24"/>
        </w:rPr>
      </w:pPr>
      <w:r>
        <w:rPr>
          <w:rFonts w:ascii="Times New Roman"/>
          <w:sz w:val="24"/>
          <w:szCs w:val="24"/>
        </w:rPr>
        <w:t>附件</w:t>
      </w:r>
      <w:r>
        <w:rPr>
          <w:rFonts w:hint="eastAsia" w:ascii="Times New Roman"/>
          <w:sz w:val="24"/>
          <w:szCs w:val="24"/>
        </w:rPr>
        <w:t>6</w:t>
      </w:r>
      <w:r>
        <w:rPr>
          <w:rFonts w:ascii="Times New Roman"/>
          <w:sz w:val="24"/>
          <w:szCs w:val="24"/>
        </w:rPr>
        <w:t>：</w:t>
      </w:r>
      <w:r>
        <w:rPr>
          <w:rFonts w:hint="eastAsia" w:ascii="Times New Roman"/>
          <w:sz w:val="24"/>
          <w:szCs w:val="24"/>
        </w:rPr>
        <w:t>国有建设用地交地确认书</w:t>
      </w:r>
    </w:p>
    <w:p w14:paraId="3F61BE28">
      <w:pPr>
        <w:spacing w:line="360" w:lineRule="auto"/>
        <w:ind w:firstLine="480" w:firstLineChars="200"/>
        <w:rPr>
          <w:rFonts w:ascii="Times New Roman"/>
          <w:sz w:val="24"/>
          <w:szCs w:val="24"/>
        </w:rPr>
      </w:pPr>
      <w:r>
        <w:rPr>
          <w:rFonts w:ascii="Times New Roman"/>
          <w:sz w:val="24"/>
          <w:szCs w:val="24"/>
        </w:rPr>
        <w:t>附件</w:t>
      </w:r>
      <w:r>
        <w:rPr>
          <w:rFonts w:hint="eastAsia" w:ascii="Times New Roman"/>
          <w:sz w:val="24"/>
          <w:szCs w:val="24"/>
        </w:rPr>
        <w:t>7</w:t>
      </w:r>
      <w:r>
        <w:rPr>
          <w:rFonts w:ascii="Times New Roman"/>
          <w:sz w:val="24"/>
          <w:szCs w:val="24"/>
        </w:rPr>
        <w:t>：</w:t>
      </w:r>
      <w:r>
        <w:rPr>
          <w:rFonts w:hint="eastAsia" w:ascii="Times New Roman"/>
          <w:sz w:val="24"/>
          <w:szCs w:val="24"/>
        </w:rPr>
        <w:t>省重点项目函</w:t>
      </w:r>
    </w:p>
    <w:p w14:paraId="02E6860D">
      <w:pPr>
        <w:spacing w:line="360" w:lineRule="auto"/>
        <w:ind w:firstLine="480" w:firstLineChars="200"/>
        <w:rPr>
          <w:rFonts w:ascii="Times New Roman"/>
          <w:sz w:val="24"/>
          <w:szCs w:val="24"/>
        </w:rPr>
      </w:pPr>
      <w:r>
        <w:rPr>
          <w:rFonts w:hint="eastAsia" w:ascii="Times New Roman"/>
          <w:sz w:val="24"/>
          <w:szCs w:val="24"/>
        </w:rPr>
        <w:t>附件8</w:t>
      </w:r>
      <w:r>
        <w:rPr>
          <w:rFonts w:ascii="Times New Roman"/>
          <w:sz w:val="24"/>
          <w:szCs w:val="24"/>
        </w:rPr>
        <w:t>：</w:t>
      </w:r>
      <w:r>
        <w:rPr>
          <w:rFonts w:hint="eastAsia" w:ascii="Times New Roman"/>
          <w:sz w:val="24"/>
          <w:szCs w:val="24"/>
        </w:rPr>
        <w:t>项目所用涂料VOC含量检测报告</w:t>
      </w:r>
    </w:p>
    <w:p w14:paraId="2A436204">
      <w:pPr>
        <w:spacing w:line="360" w:lineRule="auto"/>
        <w:ind w:firstLine="480" w:firstLineChars="200"/>
        <w:rPr>
          <w:rFonts w:ascii="Times New Roman"/>
          <w:sz w:val="24"/>
          <w:szCs w:val="24"/>
        </w:rPr>
      </w:pPr>
      <w:r>
        <w:rPr>
          <w:rFonts w:hint="eastAsia" w:ascii="Times New Roman"/>
          <w:sz w:val="24"/>
          <w:szCs w:val="24"/>
        </w:rPr>
        <w:t>附件9</w:t>
      </w:r>
      <w:r>
        <w:rPr>
          <w:rFonts w:ascii="Times New Roman"/>
          <w:sz w:val="24"/>
          <w:szCs w:val="24"/>
        </w:rPr>
        <w:t>：</w:t>
      </w:r>
      <w:r>
        <w:rPr>
          <w:rFonts w:hint="eastAsia" w:ascii="Times New Roman"/>
          <w:sz w:val="24"/>
          <w:szCs w:val="24"/>
        </w:rPr>
        <w:t>项目所用涂料MSDS</w:t>
      </w:r>
    </w:p>
    <w:p w14:paraId="52F3FCEF">
      <w:pPr>
        <w:spacing w:line="360" w:lineRule="auto"/>
        <w:ind w:firstLine="480" w:firstLineChars="200"/>
        <w:rPr>
          <w:rFonts w:ascii="Times New Roman"/>
          <w:sz w:val="24"/>
          <w:szCs w:val="24"/>
        </w:rPr>
      </w:pPr>
      <w:r>
        <w:rPr>
          <w:rFonts w:hint="eastAsia" w:ascii="Times New Roman"/>
          <w:sz w:val="24"/>
          <w:szCs w:val="24"/>
        </w:rPr>
        <w:t>附件10</w:t>
      </w:r>
      <w:r>
        <w:rPr>
          <w:rFonts w:ascii="Times New Roman"/>
          <w:sz w:val="24"/>
          <w:szCs w:val="24"/>
        </w:rPr>
        <w:t>：</w:t>
      </w:r>
      <w:r>
        <w:rPr>
          <w:rFonts w:hint="eastAsia" w:ascii="Times New Roman"/>
          <w:sz w:val="24"/>
          <w:szCs w:val="24"/>
        </w:rPr>
        <w:t>循环经济示范区规划环评批复</w:t>
      </w:r>
    </w:p>
    <w:p w14:paraId="303155B1">
      <w:pPr>
        <w:spacing w:line="360" w:lineRule="auto"/>
        <w:ind w:firstLine="480" w:firstLineChars="200"/>
        <w:rPr>
          <w:rFonts w:ascii="Times New Roman"/>
          <w:sz w:val="24"/>
          <w:szCs w:val="24"/>
        </w:rPr>
      </w:pPr>
      <w:r>
        <w:rPr>
          <w:rFonts w:ascii="Times New Roman"/>
          <w:sz w:val="24"/>
          <w:szCs w:val="24"/>
        </w:rPr>
        <w:t>附件</w:t>
      </w:r>
      <w:r>
        <w:rPr>
          <w:rFonts w:hint="eastAsia" w:ascii="Times New Roman"/>
          <w:sz w:val="24"/>
          <w:szCs w:val="24"/>
        </w:rPr>
        <w:t>11</w:t>
      </w:r>
      <w:r>
        <w:rPr>
          <w:rFonts w:ascii="Times New Roman"/>
          <w:sz w:val="24"/>
          <w:szCs w:val="24"/>
        </w:rPr>
        <w:t>：环境质量现状监测报告</w:t>
      </w:r>
    </w:p>
    <w:p w14:paraId="2D946C5A">
      <w:pPr>
        <w:spacing w:line="360" w:lineRule="auto"/>
        <w:ind w:firstLine="480" w:firstLineChars="200"/>
        <w:rPr>
          <w:rFonts w:ascii="Times New Roman"/>
          <w:sz w:val="24"/>
          <w:szCs w:val="24"/>
        </w:rPr>
      </w:pPr>
      <w:r>
        <w:rPr>
          <w:rFonts w:hint="eastAsia" w:ascii="Times New Roman"/>
          <w:sz w:val="24"/>
          <w:szCs w:val="24"/>
        </w:rPr>
        <w:t>附件12：</w:t>
      </w:r>
      <w:r>
        <w:rPr>
          <w:rFonts w:ascii="Times New Roman"/>
          <w:sz w:val="24"/>
          <w:szCs w:val="24"/>
        </w:rPr>
        <w:t>委托书、承诺书</w:t>
      </w:r>
    </w:p>
    <w:p w14:paraId="40F0E319">
      <w:pPr>
        <w:spacing w:line="360" w:lineRule="auto"/>
        <w:rPr>
          <w:rFonts w:ascii="Times New Roman"/>
          <w:b/>
          <w:bCs/>
          <w:szCs w:val="24"/>
        </w:rPr>
      </w:pPr>
      <w:r>
        <w:rPr>
          <w:rFonts w:ascii="Times New Roman"/>
          <w:b/>
          <w:bCs/>
          <w:szCs w:val="24"/>
        </w:rPr>
        <w:t>附表：</w:t>
      </w:r>
    </w:p>
    <w:p w14:paraId="10419709">
      <w:pPr>
        <w:spacing w:line="360" w:lineRule="auto"/>
        <w:ind w:firstLine="480" w:firstLineChars="200"/>
        <w:rPr>
          <w:rFonts w:ascii="Times New Roman"/>
          <w:sz w:val="24"/>
          <w:szCs w:val="24"/>
        </w:rPr>
      </w:pPr>
      <w:r>
        <w:rPr>
          <w:rFonts w:ascii="Times New Roman"/>
          <w:sz w:val="24"/>
          <w:szCs w:val="24"/>
        </w:rPr>
        <w:t>建设项目环境影响报告书审批基础信息表</w:t>
      </w:r>
    </w:p>
    <w:p w14:paraId="6C16721E">
      <w:pPr>
        <w:spacing w:line="480" w:lineRule="exact"/>
        <w:rPr>
          <w:rFonts w:ascii="Times New Roman"/>
          <w:sz w:val="24"/>
          <w:szCs w:val="24"/>
        </w:rPr>
        <w:sectPr>
          <w:pgSz w:w="11906" w:h="16838"/>
          <w:pgMar w:top="1440" w:right="1797" w:bottom="1440" w:left="1797" w:header="1134" w:footer="1134" w:gutter="0"/>
          <w:pgNumType w:fmt="upperRoman"/>
          <w:cols w:space="720" w:num="1"/>
          <w:docGrid w:linePitch="312" w:charSpace="0"/>
        </w:sectPr>
      </w:pPr>
    </w:p>
    <w:bookmarkEnd w:id="1"/>
    <w:bookmarkEnd w:id="2"/>
    <w:bookmarkEnd w:id="3"/>
    <w:bookmarkEnd w:id="4"/>
    <w:bookmarkEnd w:id="5"/>
    <w:bookmarkEnd w:id="6"/>
    <w:bookmarkEnd w:id="7"/>
    <w:p w14:paraId="73E87ACB">
      <w:pPr>
        <w:spacing w:beforeLines="50" w:afterLines="50" w:line="480" w:lineRule="exact"/>
        <w:outlineLvl w:val="0"/>
        <w:rPr>
          <w:rFonts w:ascii="Times New Roman"/>
          <w:b/>
          <w:sz w:val="32"/>
          <w:szCs w:val="32"/>
        </w:rPr>
      </w:pPr>
      <w:bookmarkStart w:id="13" w:name="_Toc508872089"/>
      <w:bookmarkStart w:id="14" w:name="_Toc7316"/>
      <w:bookmarkStart w:id="15" w:name="_Toc479600448"/>
      <w:r>
        <w:rPr>
          <w:rFonts w:ascii="Times New Roman"/>
          <w:b/>
          <w:sz w:val="32"/>
          <w:szCs w:val="32"/>
        </w:rPr>
        <w:t>1概述</w:t>
      </w:r>
      <w:bookmarkEnd w:id="13"/>
      <w:bookmarkEnd w:id="14"/>
      <w:bookmarkEnd w:id="15"/>
    </w:p>
    <w:p w14:paraId="5FC2FD61">
      <w:pPr>
        <w:spacing w:beforeLines="50" w:afterLines="50" w:line="480" w:lineRule="exact"/>
        <w:outlineLvl w:val="1"/>
        <w:rPr>
          <w:rFonts w:ascii="Times New Roman"/>
          <w:b/>
          <w:sz w:val="30"/>
          <w:szCs w:val="30"/>
        </w:rPr>
      </w:pPr>
      <w:bookmarkStart w:id="16" w:name="_Toc340497765"/>
      <w:bookmarkStart w:id="17" w:name="_Toc508872090"/>
      <w:bookmarkStart w:id="18" w:name="_Toc437842067"/>
      <w:bookmarkStart w:id="19" w:name="_Toc479600449"/>
      <w:bookmarkStart w:id="20" w:name="_Toc25452"/>
      <w:r>
        <w:rPr>
          <w:rFonts w:ascii="Times New Roman"/>
          <w:b/>
          <w:sz w:val="30"/>
          <w:szCs w:val="30"/>
        </w:rPr>
        <w:t>1.1 建设项目的由来</w:t>
      </w:r>
      <w:bookmarkEnd w:id="16"/>
      <w:bookmarkEnd w:id="17"/>
      <w:bookmarkEnd w:id="18"/>
      <w:bookmarkEnd w:id="19"/>
      <w:bookmarkEnd w:id="20"/>
    </w:p>
    <w:p w14:paraId="245461B7">
      <w:pPr>
        <w:spacing w:line="480" w:lineRule="exact"/>
        <w:ind w:firstLine="480" w:firstLineChars="200"/>
        <w:rPr>
          <w:rFonts w:ascii="Times New Roman"/>
          <w:sz w:val="24"/>
          <w:szCs w:val="24"/>
        </w:rPr>
      </w:pPr>
      <w:r>
        <w:rPr>
          <w:rFonts w:ascii="Times New Roman"/>
          <w:sz w:val="24"/>
          <w:szCs w:val="24"/>
        </w:rPr>
        <w:t>近年来，国家出台相应政策鼓励下游工业企业进行智能化转型，明确制造业智能化为重点发展领域。如下游行业煤矿实现智能运输，逐步具备多机协同联动、远程集中控制、运行工况检测及故障智能预警等功能。根据《关于促进钢铁工业高质量发展的指导意见》（工信部联原[202216号），提出关键工序数控化率达到80%左右，生产设备数字化率达到55%，打造30家以上智能工厂。开展钢铁行业智能制造行动计划，推进5G、工业互联网、人工智能、商用密码、数字李生等技术在钢铁行业的应用开展智能制造示范推广，打造一批智能制造示范工厂。根据《关于建设世界一流港口的指导意见》，提出加快智慧港口建设，加强自主创新、集成创新，加大港作机械等装备关键技术、自动化集装箱码头操作系统、远程作业操控技术研发与推厂应用等。</w:t>
      </w:r>
    </w:p>
    <w:p w14:paraId="46AE29E2">
      <w:pPr>
        <w:spacing w:line="480" w:lineRule="exact"/>
        <w:ind w:firstLine="480" w:firstLineChars="200"/>
        <w:rPr>
          <w:rFonts w:ascii="Times New Roman"/>
          <w:sz w:val="24"/>
          <w:szCs w:val="24"/>
        </w:rPr>
      </w:pPr>
      <w:r>
        <w:rPr>
          <w:rFonts w:ascii="Times New Roman"/>
          <w:sz w:val="24"/>
          <w:szCs w:val="24"/>
        </w:rPr>
        <w:t>在智能制造、数字化生产运营的大背景下，下游工业企业积极推进智能化、数字化转型，输送机械作为其智能化转型的重要环节，是下游企业智能化、数字化转型必不可少的有机组成部分。下游智慧矿山、智慧港口、治金等工业企业对处于产业链上游的输送机械产品也提出了更高的输送效率、成本控制、无人值守、自动控制等要求，以满足自身整体港口、矿山等智能运行的建设需求，进而推动输送机械企业必须逐步向智能化、数字化方向进行产品革新升级。</w:t>
      </w:r>
    </w:p>
    <w:p w14:paraId="6E3B1865">
      <w:pPr>
        <w:spacing w:line="480" w:lineRule="exact"/>
        <w:ind w:firstLine="480" w:firstLineChars="200"/>
        <w:rPr>
          <w:rFonts w:ascii="Times New Roman"/>
          <w:sz w:val="24"/>
          <w:szCs w:val="24"/>
        </w:rPr>
      </w:pPr>
      <w:r>
        <w:rPr>
          <w:rFonts w:ascii="Times New Roman"/>
          <w:sz w:val="24"/>
          <w:szCs w:val="24"/>
        </w:rPr>
        <w:t>我国输送机械装备行业起步相对国外较晚，但在煤炭、矿山、电力、冶金、港口、建材等基础工业的带动下，行业发展速度较快。随着国产化技术水平的提高、先进机械制造设备和加工工艺的引进，如今国内部分输送机械装备大型企业的技术水平已经可以与国外先进企业媲美，在某些技术指标方面已经处于国际先进水平。与此同时，近年来，国家出台相应法律法规和政策支持鼓励工业相关行业进行智能化转型，明确制造业智能化为重点发展领域，特别是中国制造2025国家行动纲领明确指出要提高工业领域企业的智能化程度。为此，下游工业企业积极推进智能化转型，输送机械作为其智能化转型的重要环节，下游工业企业对于输送机械产品的功能也提出了更高的智能化要求。这将使数字孪生智能输送机行业应运而生，将成为未来输送机械装备行业的重要发力领域。</w:t>
      </w:r>
    </w:p>
    <w:p w14:paraId="49F3B25F">
      <w:pPr>
        <w:spacing w:line="480" w:lineRule="exact"/>
        <w:ind w:firstLine="480" w:firstLineChars="200"/>
        <w:rPr>
          <w:rFonts w:ascii="Times New Roman"/>
          <w:sz w:val="24"/>
        </w:rPr>
      </w:pPr>
      <w:r>
        <w:rPr>
          <w:rFonts w:ascii="Times New Roman"/>
          <w:sz w:val="24"/>
        </w:rPr>
        <w:t>运机(唐山)装备有限公司为四川省自贡运输机械集团股份有限公司的子公司。四川省自贡运输机械集团股份有限公司创建于2003年9月，系收购四川省自贡运输机械总厂而新组建的股份制企业集团，是中国散料输送机械设计、制造和安装领军企业之一，国家火炬计划重点高新技术企业，中国西部地区最大的输送机械设计、制造商。</w:t>
      </w:r>
    </w:p>
    <w:p w14:paraId="280D6405">
      <w:pPr>
        <w:spacing w:line="480" w:lineRule="exact"/>
        <w:ind w:firstLine="480" w:firstLineChars="200"/>
        <w:rPr>
          <w:rFonts w:ascii="Times New Roman"/>
          <w:sz w:val="24"/>
          <w:szCs w:val="24"/>
        </w:rPr>
      </w:pPr>
      <w:r>
        <w:rPr>
          <w:rFonts w:ascii="Times New Roman"/>
          <w:sz w:val="24"/>
        </w:rPr>
        <w:t>运机(唐山)装备有限公司成立于2024年02月02日，位于中国(河北)自由贸易试验区曹妃甸片区，曹妃甸工业区装备制造园区，拟投资48349.51万元建设数字孪生智能输送机生产项目。该项目主要建设数字孪生输送机智能制造厂房、研发试验楼、倒班宿舍及相关配套辅助设施等，购置数字化生产设备、环保处理设备、检测实验设备及相关配套辅助设备及相关配套辅助设施等。项目建成后，达到年产数字孪生智能输送机4万米的规模。该项目已取得唐山市曹妃甸区行政审批局出具的企业投资项目备案信息表（备案编号：唐曹审批投资备〔2024〕254号）</w:t>
      </w:r>
      <w:r>
        <w:rPr>
          <w:rFonts w:ascii="Times New Roman"/>
          <w:sz w:val="24"/>
          <w:szCs w:val="20"/>
        </w:rPr>
        <w:t>。</w:t>
      </w:r>
    </w:p>
    <w:p w14:paraId="77D7DBBB">
      <w:pPr>
        <w:spacing w:beforeLines="50" w:afterLines="50" w:line="480" w:lineRule="exact"/>
        <w:outlineLvl w:val="1"/>
        <w:rPr>
          <w:rFonts w:ascii="Times New Roman"/>
          <w:b/>
          <w:sz w:val="30"/>
          <w:szCs w:val="30"/>
        </w:rPr>
      </w:pPr>
      <w:bookmarkStart w:id="21" w:name="_Toc23500"/>
      <w:bookmarkStart w:id="22" w:name="_Toc437842068"/>
      <w:bookmarkStart w:id="23" w:name="_Toc508872091"/>
      <w:bookmarkStart w:id="24" w:name="_Toc479600450"/>
      <w:bookmarkStart w:id="25" w:name="_Toc340497766"/>
      <w:r>
        <w:rPr>
          <w:rFonts w:ascii="Times New Roman"/>
          <w:b/>
          <w:sz w:val="30"/>
          <w:szCs w:val="30"/>
        </w:rPr>
        <w:t>1.2 建设项目的特点</w:t>
      </w:r>
      <w:bookmarkEnd w:id="21"/>
      <w:bookmarkEnd w:id="22"/>
      <w:bookmarkEnd w:id="23"/>
      <w:bookmarkEnd w:id="24"/>
      <w:bookmarkEnd w:id="25"/>
    </w:p>
    <w:p w14:paraId="0C5DA2C6">
      <w:pPr>
        <w:autoSpaceDE w:val="0"/>
        <w:autoSpaceDN w:val="0"/>
        <w:adjustRightInd w:val="0"/>
        <w:spacing w:line="480" w:lineRule="exact"/>
        <w:ind w:firstLine="480" w:firstLineChars="200"/>
        <w:rPr>
          <w:rFonts w:ascii="Times New Roman"/>
          <w:kern w:val="0"/>
          <w:sz w:val="24"/>
          <w:szCs w:val="24"/>
        </w:rPr>
      </w:pPr>
      <w:r>
        <w:rPr>
          <w:rFonts w:ascii="Times New Roman"/>
          <w:sz w:val="24"/>
          <w:szCs w:val="24"/>
        </w:rPr>
        <w:t>运机（唐山）装备有限公司</w:t>
      </w:r>
      <w:r>
        <w:rPr>
          <w:rFonts w:ascii="Times New Roman"/>
          <w:kern w:val="0"/>
          <w:sz w:val="24"/>
          <w:szCs w:val="24"/>
        </w:rPr>
        <w:t>位于</w:t>
      </w:r>
      <w:r>
        <w:rPr>
          <w:rFonts w:ascii="Times New Roman"/>
          <w:sz w:val="24"/>
          <w:szCs w:val="24"/>
        </w:rPr>
        <w:t>曹妃甸工业区装备制造园区</w:t>
      </w:r>
      <w:r>
        <w:rPr>
          <w:rFonts w:ascii="Times New Roman"/>
          <w:kern w:val="0"/>
          <w:sz w:val="24"/>
          <w:szCs w:val="24"/>
        </w:rPr>
        <w:t>，主要生产数字孪生智能输送机。本评价从行业、排污、工艺及环境等方面对项目特点进行介绍。</w:t>
      </w:r>
    </w:p>
    <w:p w14:paraId="62EC3E62">
      <w:pPr>
        <w:autoSpaceDE w:val="0"/>
        <w:autoSpaceDN w:val="0"/>
        <w:adjustRightInd w:val="0"/>
        <w:spacing w:line="480" w:lineRule="exact"/>
        <w:ind w:firstLine="480" w:firstLineChars="200"/>
        <w:rPr>
          <w:rFonts w:ascii="Times New Roman"/>
          <w:kern w:val="0"/>
          <w:sz w:val="24"/>
          <w:szCs w:val="24"/>
        </w:rPr>
      </w:pPr>
      <w:r>
        <w:rPr>
          <w:rFonts w:ascii="Times New Roman"/>
          <w:kern w:val="0"/>
          <w:sz w:val="24"/>
          <w:szCs w:val="24"/>
        </w:rPr>
        <w:t>行业特点：根据《国民经济行业分类》（</w:t>
      </w:r>
      <w:r>
        <w:rPr>
          <w:rFonts w:ascii="Times New Roman" w:eastAsia="TimesNewRomanPSMT"/>
          <w:kern w:val="0"/>
          <w:sz w:val="24"/>
          <w:szCs w:val="24"/>
        </w:rPr>
        <w:t>GB/T4754</w:t>
      </w:r>
      <w:r>
        <w:rPr>
          <w:rFonts w:ascii="Times New Roman"/>
          <w:kern w:val="0"/>
          <w:sz w:val="24"/>
          <w:szCs w:val="24"/>
        </w:rPr>
        <w:t>-</w:t>
      </w:r>
      <w:r>
        <w:rPr>
          <w:rFonts w:ascii="Times New Roman" w:eastAsia="TimesNewRomanPSMT"/>
          <w:kern w:val="0"/>
          <w:sz w:val="24"/>
          <w:szCs w:val="24"/>
        </w:rPr>
        <w:t>2017</w:t>
      </w:r>
      <w:r>
        <w:rPr>
          <w:rFonts w:ascii="Times New Roman"/>
          <w:kern w:val="0"/>
          <w:sz w:val="24"/>
          <w:szCs w:val="24"/>
        </w:rPr>
        <w:t>），本项目产品为应用于运输设备中的桁架、栈桥、机架、支柱、平台跨越台等钢结构件生产，属于“C3434连续搬运设备制造”；根据《建设项目环境影响评价分类管理名录》（</w:t>
      </w:r>
      <w:r>
        <w:rPr>
          <w:rFonts w:ascii="Times New Roman" w:eastAsia="TimesNewRomanPSMT"/>
          <w:kern w:val="0"/>
          <w:sz w:val="24"/>
          <w:szCs w:val="24"/>
        </w:rPr>
        <w:t>2021</w:t>
      </w:r>
      <w:r>
        <w:rPr>
          <w:rFonts w:ascii="Times New Roman"/>
          <w:kern w:val="0"/>
          <w:sz w:val="24"/>
          <w:szCs w:val="24"/>
        </w:rPr>
        <w:t>年版），本项目属于“三十一、通用设备制造业34”中“69-物料搬运设备制造343--年用溶剂型涂料（含稀释剂）10吨及以上的”类别。</w:t>
      </w:r>
    </w:p>
    <w:p w14:paraId="0AC5DAD2">
      <w:pPr>
        <w:autoSpaceDE w:val="0"/>
        <w:autoSpaceDN w:val="0"/>
        <w:adjustRightInd w:val="0"/>
        <w:spacing w:line="480" w:lineRule="exact"/>
        <w:ind w:firstLine="480" w:firstLineChars="200"/>
        <w:rPr>
          <w:rFonts w:ascii="Times New Roman"/>
          <w:kern w:val="0"/>
          <w:sz w:val="24"/>
          <w:szCs w:val="24"/>
        </w:rPr>
      </w:pPr>
      <w:r>
        <w:rPr>
          <w:rFonts w:ascii="Times New Roman"/>
          <w:kern w:val="0"/>
          <w:sz w:val="24"/>
          <w:szCs w:val="24"/>
        </w:rPr>
        <w:t>工艺特点：本项目采用工艺均为成熟的技术，且具有自动化程度高、污染物排放少的特点，污染物可达标排放。</w:t>
      </w:r>
    </w:p>
    <w:p w14:paraId="1CDF9785">
      <w:pPr>
        <w:autoSpaceDE w:val="0"/>
        <w:autoSpaceDN w:val="0"/>
        <w:adjustRightInd w:val="0"/>
        <w:spacing w:line="480" w:lineRule="exact"/>
        <w:ind w:firstLine="480" w:firstLineChars="200"/>
        <w:rPr>
          <w:rFonts w:ascii="Times New Roman"/>
          <w:kern w:val="0"/>
          <w:sz w:val="24"/>
          <w:szCs w:val="24"/>
        </w:rPr>
      </w:pPr>
      <w:r>
        <w:rPr>
          <w:rFonts w:ascii="Times New Roman"/>
          <w:kern w:val="0"/>
          <w:sz w:val="24"/>
          <w:szCs w:val="24"/>
        </w:rPr>
        <w:t>排污特点：本项目生产过程中采用集气罩、负压收集型设备，减少无组织排放，从源头控制减少废气产生，同时项目对有组织、无组织废气采取了有效的收集、控制与治理措施，以满足相关污染物排放标准。</w:t>
      </w:r>
    </w:p>
    <w:p w14:paraId="1E895746">
      <w:pPr>
        <w:autoSpaceDE w:val="0"/>
        <w:autoSpaceDN w:val="0"/>
        <w:adjustRightInd w:val="0"/>
        <w:spacing w:line="480" w:lineRule="exact"/>
        <w:ind w:firstLine="480" w:firstLineChars="200"/>
        <w:rPr>
          <w:rFonts w:ascii="Times New Roman"/>
          <w:kern w:val="0"/>
          <w:sz w:val="24"/>
          <w:szCs w:val="24"/>
        </w:rPr>
      </w:pPr>
      <w:r>
        <w:rPr>
          <w:rFonts w:ascii="Times New Roman"/>
          <w:kern w:val="0"/>
          <w:sz w:val="24"/>
          <w:szCs w:val="24"/>
        </w:rPr>
        <w:t>环境特点：本项目现在属于设计阶段，项目未开工建设。厂区所处区域由吹砂填海形成区域，属于滨海堆积地貌，地势平坦。本项目评价范围不涉及自然保护区、风景名胜区等环境保护目标，项目占地不涉及生态保护红线。</w:t>
      </w:r>
    </w:p>
    <w:p w14:paraId="01C79331">
      <w:pPr>
        <w:spacing w:beforeLines="50" w:afterLines="50" w:line="480" w:lineRule="exact"/>
        <w:outlineLvl w:val="1"/>
        <w:rPr>
          <w:rFonts w:ascii="Times New Roman"/>
          <w:b/>
          <w:sz w:val="30"/>
          <w:szCs w:val="30"/>
        </w:rPr>
      </w:pPr>
      <w:bookmarkStart w:id="26" w:name="_Toc479600452"/>
      <w:bookmarkStart w:id="27" w:name="_Toc508872094"/>
      <w:bookmarkStart w:id="28" w:name="_Toc11293"/>
      <w:bookmarkStart w:id="29" w:name="_Toc508872092"/>
      <w:bookmarkStart w:id="30" w:name="_Toc437842069"/>
      <w:bookmarkStart w:id="31" w:name="_Toc479600451"/>
      <w:bookmarkStart w:id="32" w:name="_Toc340497767"/>
      <w:r>
        <w:rPr>
          <w:rFonts w:ascii="Times New Roman"/>
          <w:b/>
          <w:sz w:val="30"/>
          <w:szCs w:val="30"/>
        </w:rPr>
        <w:t>1.3 环境影响评价的工作过程</w:t>
      </w:r>
      <w:bookmarkEnd w:id="26"/>
      <w:bookmarkEnd w:id="27"/>
      <w:bookmarkEnd w:id="28"/>
    </w:p>
    <w:p w14:paraId="1F2E7BAF">
      <w:pPr>
        <w:spacing w:line="360" w:lineRule="auto"/>
        <w:ind w:firstLine="480" w:firstLineChars="200"/>
        <w:rPr>
          <w:rFonts w:ascii="Times New Roman"/>
          <w:sz w:val="24"/>
          <w:szCs w:val="24"/>
        </w:rPr>
      </w:pPr>
      <w:r>
        <w:rPr>
          <w:rFonts w:ascii="Times New Roman"/>
          <w:sz w:val="24"/>
          <w:szCs w:val="22"/>
        </w:rPr>
        <w:t>根据《中华人民共和国环境保护法》《中华人民共和国环境影响评价法》和国务院令第682号《建设项目环境保护管理条例》的要求，本项目应开展环境影响评价工作；同时根据环境保护部令第16号《建设项目环境影响评价分类管理名录》（2021年版）</w:t>
      </w:r>
      <w:r>
        <w:rPr>
          <w:rFonts w:ascii="Times New Roman"/>
          <w:sz w:val="24"/>
        </w:rPr>
        <w:t>，本项目为“三十一、通用设备制造业34—69物料搬运设备制造343—年用溶剂型涂料（含稀释剂）10吨及以上的”项目，因此，项目应</w:t>
      </w:r>
      <w:r>
        <w:rPr>
          <w:rFonts w:ascii="Times New Roman"/>
          <w:kern w:val="0"/>
          <w:sz w:val="24"/>
          <w:szCs w:val="24"/>
        </w:rPr>
        <w:t>编制环境影响评价报告书。</w:t>
      </w:r>
      <w:r>
        <w:rPr>
          <w:rFonts w:ascii="Times New Roman"/>
          <w:sz w:val="24"/>
          <w:szCs w:val="24"/>
        </w:rPr>
        <w:t>受建设单位委托，我单位承担本次项目的环境影响评价工作。</w:t>
      </w:r>
    </w:p>
    <w:p w14:paraId="3097118C">
      <w:pPr>
        <w:spacing w:line="360" w:lineRule="auto"/>
        <w:ind w:firstLine="480" w:firstLineChars="200"/>
        <w:rPr>
          <w:rFonts w:ascii="Times New Roman"/>
          <w:sz w:val="24"/>
          <w:szCs w:val="24"/>
        </w:rPr>
      </w:pPr>
      <w:r>
        <w:rPr>
          <w:rFonts w:ascii="Times New Roman"/>
          <w:sz w:val="24"/>
          <w:szCs w:val="24"/>
        </w:rPr>
        <w:t>我单位接受委托后，首先对工程设计资料等内容进行了研究和分析，在此基础上，我单位工作人员进行了现场踏勘。结合工程资料，根据国家有关环境保护法律法规的有关规定，分析判定建设项目规模、性质和选址等与国家和地方有关环境保护法律法规、标准、政策、规范、相关规划、规划环境影响评价结论及审查意见的符合性。</w:t>
      </w:r>
    </w:p>
    <w:p w14:paraId="4F9F5CCB">
      <w:pPr>
        <w:spacing w:line="360" w:lineRule="auto"/>
        <w:ind w:firstLine="480" w:firstLineChars="200"/>
        <w:rPr>
          <w:rFonts w:ascii="Times New Roman"/>
          <w:sz w:val="24"/>
          <w:szCs w:val="24"/>
        </w:rPr>
      </w:pPr>
      <w:r>
        <w:rPr>
          <w:rFonts w:ascii="Times New Roman"/>
          <w:sz w:val="24"/>
          <w:szCs w:val="24"/>
        </w:rPr>
        <w:t>依据《环境影响评价公众参与办法》（生态环境部令第 4 号）要求，运机（唐山）装备有限公司关于数字孪生智能输送机生产项目环境影响报告书在编制阶段开展了公众参与工作。依据《办法》第三十一条规定，项目为位于依法批准设立的产业园区内的建设项目，该产业园区已依法开展了规划环境影响评价公众参与，且该建设项目性质、规模等符合经生态环境主管部门组织审查通过的规划环境影响报告书和审查意见，因此，本项目开展建设项目环境影响评价公众参与时，可以免于开展首次环境影响评价信息公开程序，相应应当公开的内容，可以纳入征求意见稿完成后的信息公开内容一并公开。评价单位在现场踏勘、调研、咨询的基础上，结合项目特点，依据《建设项目环境影响评价技术导则  总纲》（HJ2.1－2016）要求以及建设单位提供的技术资料编制完成了《运机（唐山）装备有限公司关于数字孪生智能输送机生产项目环境影响报告书》（</w:t>
      </w:r>
      <w:r>
        <w:rPr>
          <w:rFonts w:hint="eastAsia" w:ascii="Times New Roman"/>
          <w:sz w:val="24"/>
          <w:szCs w:val="24"/>
        </w:rPr>
        <w:t>报批稿</w:t>
      </w:r>
      <w:r>
        <w:rPr>
          <w:rFonts w:ascii="Times New Roman"/>
          <w:sz w:val="24"/>
          <w:szCs w:val="24"/>
        </w:rPr>
        <w:t>）。202</w:t>
      </w:r>
      <w:r>
        <w:rPr>
          <w:rFonts w:hint="eastAsia" w:ascii="Times New Roman"/>
          <w:sz w:val="24"/>
          <w:szCs w:val="24"/>
        </w:rPr>
        <w:t>5</w:t>
      </w:r>
      <w:r>
        <w:rPr>
          <w:rFonts w:ascii="Times New Roman"/>
          <w:sz w:val="24"/>
          <w:szCs w:val="24"/>
        </w:rPr>
        <w:t>年</w:t>
      </w:r>
      <w:r>
        <w:rPr>
          <w:rFonts w:hint="eastAsia" w:ascii="Times New Roman"/>
          <w:sz w:val="24"/>
          <w:szCs w:val="24"/>
        </w:rPr>
        <w:t>2</w:t>
      </w:r>
      <w:r>
        <w:rPr>
          <w:rFonts w:ascii="Times New Roman"/>
          <w:sz w:val="24"/>
          <w:szCs w:val="24"/>
        </w:rPr>
        <w:t>月</w:t>
      </w:r>
      <w:r>
        <w:rPr>
          <w:rFonts w:hint="eastAsia" w:ascii="Times New Roman"/>
          <w:sz w:val="24"/>
          <w:szCs w:val="24"/>
        </w:rPr>
        <w:t>6</w:t>
      </w:r>
      <w:r>
        <w:rPr>
          <w:rFonts w:ascii="Times New Roman"/>
          <w:sz w:val="24"/>
          <w:szCs w:val="24"/>
        </w:rPr>
        <w:t>日~</w:t>
      </w:r>
      <w:r>
        <w:rPr>
          <w:rFonts w:hint="eastAsia" w:ascii="Times New Roman"/>
          <w:sz w:val="24"/>
          <w:szCs w:val="24"/>
        </w:rPr>
        <w:t>2</w:t>
      </w:r>
      <w:r>
        <w:rPr>
          <w:rFonts w:ascii="Times New Roman"/>
          <w:sz w:val="24"/>
          <w:szCs w:val="24"/>
        </w:rPr>
        <w:t>月1</w:t>
      </w:r>
      <w:r>
        <w:rPr>
          <w:rFonts w:hint="eastAsia" w:ascii="Times New Roman"/>
          <w:sz w:val="24"/>
          <w:szCs w:val="24"/>
        </w:rPr>
        <w:t>1</w:t>
      </w:r>
      <w:r>
        <w:rPr>
          <w:rFonts w:ascii="Times New Roman"/>
          <w:sz w:val="24"/>
          <w:szCs w:val="24"/>
        </w:rPr>
        <w:t>日，采用公司网站、河北青年报报纸两种公开方式同步进行了征求意见稿环境影响评价信息公开，公示期间均未收到公众反馈意见。</w:t>
      </w:r>
    </w:p>
    <w:p w14:paraId="0B9232E0">
      <w:pPr>
        <w:spacing w:beforeLines="50" w:afterLines="50" w:line="480" w:lineRule="exact"/>
        <w:outlineLvl w:val="1"/>
        <w:rPr>
          <w:rFonts w:ascii="Times New Roman"/>
          <w:b/>
          <w:sz w:val="30"/>
          <w:szCs w:val="30"/>
        </w:rPr>
      </w:pPr>
      <w:bookmarkStart w:id="33" w:name="_Toc28231"/>
      <w:r>
        <w:rPr>
          <w:rFonts w:ascii="Times New Roman"/>
          <w:b/>
          <w:sz w:val="30"/>
          <w:szCs w:val="30"/>
        </w:rPr>
        <w:t>1.4 项目判定</w:t>
      </w:r>
      <w:bookmarkEnd w:id="29"/>
      <w:bookmarkEnd w:id="33"/>
    </w:p>
    <w:p w14:paraId="779832E2">
      <w:pPr>
        <w:spacing w:line="480" w:lineRule="exact"/>
        <w:ind w:firstLine="480" w:firstLineChars="200"/>
        <w:rPr>
          <w:rFonts w:ascii="Times New Roman"/>
          <w:sz w:val="24"/>
          <w:szCs w:val="24"/>
        </w:rPr>
      </w:pPr>
      <w:r>
        <w:rPr>
          <w:rFonts w:ascii="Times New Roman"/>
          <w:sz w:val="24"/>
          <w:szCs w:val="24"/>
        </w:rPr>
        <w:t>分析判定建设项目选址、规模、性质和工艺路线等与国家和地方有关环境保护法律法规、政策、规范、相关规划、规划环境影响评价结论及审查意见的符合性，并与生态保护红线、环境质量底线、资源利用上线和环境准入负面清单进行对照，具体分析判定如下：</w:t>
      </w:r>
    </w:p>
    <w:p w14:paraId="1BA70121">
      <w:pPr>
        <w:spacing w:line="480" w:lineRule="exact"/>
        <w:ind w:firstLine="480" w:firstLineChars="200"/>
        <w:rPr>
          <w:rFonts w:ascii="Times New Roman"/>
          <w:sz w:val="24"/>
          <w:szCs w:val="24"/>
        </w:rPr>
      </w:pPr>
      <w:r>
        <w:rPr>
          <w:rFonts w:ascii="Times New Roman"/>
          <w:sz w:val="24"/>
          <w:szCs w:val="24"/>
        </w:rPr>
        <w:t>（1）产业政策符合性</w:t>
      </w:r>
    </w:p>
    <w:p w14:paraId="034022D2">
      <w:pPr>
        <w:spacing w:line="480" w:lineRule="exact"/>
        <w:ind w:firstLine="480" w:firstLineChars="200"/>
        <w:rPr>
          <w:rFonts w:ascii="Times New Roman"/>
          <w:sz w:val="24"/>
          <w:szCs w:val="24"/>
        </w:rPr>
      </w:pPr>
      <w:r>
        <w:rPr>
          <w:rFonts w:ascii="Times New Roman"/>
          <w:sz w:val="24"/>
          <w:szCs w:val="24"/>
        </w:rPr>
        <w:t>根据《产业结构调整指导目录（2024年本）》可知，项目不属于其中的鼓励、限制或淘汰类，为允许类</w:t>
      </w:r>
      <w:r>
        <w:rPr>
          <w:rFonts w:hint="eastAsia" w:ascii="Times New Roman"/>
          <w:sz w:val="24"/>
          <w:szCs w:val="24"/>
        </w:rPr>
        <w:t>建设项目</w:t>
      </w:r>
      <w:r>
        <w:rPr>
          <w:rFonts w:ascii="Times New Roman"/>
          <w:sz w:val="24"/>
          <w:szCs w:val="24"/>
        </w:rPr>
        <w:t>。不属于《市场准入负面清单（2022年版）》中禁止准入类和许可准入类项目。本项目《河北省发展和改革委员会关于加强新建“两高”项目管理的通知》（冀发改环资[2022]691号）附件1“两高”项目管理目录中“两高”项目。不属于《环境保护综合名录（2021年版）》“高污染”、“高环境风险”、“高污染、高环境风险”项目。</w:t>
      </w:r>
    </w:p>
    <w:p w14:paraId="6D10C0D1">
      <w:pPr>
        <w:spacing w:line="480" w:lineRule="exact"/>
        <w:ind w:firstLine="480" w:firstLineChars="200"/>
        <w:rPr>
          <w:rFonts w:ascii="Times New Roman"/>
          <w:sz w:val="24"/>
          <w:szCs w:val="24"/>
        </w:rPr>
      </w:pPr>
      <w:r>
        <w:rPr>
          <w:rFonts w:ascii="Times New Roman"/>
          <w:bCs/>
          <w:sz w:val="24"/>
          <w:szCs w:val="20"/>
        </w:rPr>
        <w:t>该</w:t>
      </w:r>
      <w:r>
        <w:rPr>
          <w:rFonts w:ascii="Times New Roman"/>
          <w:sz w:val="24"/>
          <w:szCs w:val="20"/>
        </w:rPr>
        <w:t>项目已取得唐山市曹妃甸区行政审批局出具的企业投资项目备案信息表（备案编号：唐曹审批投资备〔2024〕254号）</w:t>
      </w:r>
      <w:r>
        <w:rPr>
          <w:rFonts w:ascii="Times New Roman"/>
          <w:sz w:val="24"/>
          <w:szCs w:val="24"/>
        </w:rPr>
        <w:t>。</w:t>
      </w:r>
    </w:p>
    <w:p w14:paraId="53B947F3">
      <w:pPr>
        <w:spacing w:line="480" w:lineRule="exact"/>
        <w:ind w:firstLine="480" w:firstLineChars="200"/>
        <w:rPr>
          <w:rFonts w:ascii="Times New Roman"/>
          <w:sz w:val="24"/>
          <w:szCs w:val="24"/>
        </w:rPr>
      </w:pPr>
      <w:r>
        <w:rPr>
          <w:rFonts w:ascii="Times New Roman"/>
          <w:sz w:val="24"/>
          <w:szCs w:val="24"/>
        </w:rPr>
        <w:t>综上，</w:t>
      </w:r>
      <w:r>
        <w:rPr>
          <w:rFonts w:ascii="Times New Roman"/>
          <w:sz w:val="24"/>
          <w:szCs w:val="20"/>
        </w:rPr>
        <w:t>本项目建设符合国家及地方产业政策的要求。</w:t>
      </w:r>
    </w:p>
    <w:p w14:paraId="21B5D53F">
      <w:pPr>
        <w:spacing w:line="480" w:lineRule="exact"/>
        <w:ind w:firstLine="480" w:firstLineChars="200"/>
        <w:rPr>
          <w:rFonts w:ascii="Times New Roman"/>
          <w:sz w:val="24"/>
          <w:szCs w:val="24"/>
        </w:rPr>
      </w:pPr>
      <w:r>
        <w:rPr>
          <w:rFonts w:ascii="Times New Roman"/>
          <w:sz w:val="24"/>
          <w:szCs w:val="24"/>
        </w:rPr>
        <w:t>（2）环境政策符合性</w:t>
      </w:r>
    </w:p>
    <w:p w14:paraId="6590B22B">
      <w:pPr>
        <w:spacing w:line="480" w:lineRule="exact"/>
        <w:ind w:firstLine="480" w:firstLineChars="200"/>
        <w:rPr>
          <w:rFonts w:ascii="Times New Roman"/>
          <w:sz w:val="24"/>
          <w:szCs w:val="24"/>
        </w:rPr>
      </w:pPr>
      <w:r>
        <w:rPr>
          <w:rFonts w:ascii="Times New Roman"/>
          <w:sz w:val="24"/>
          <w:szCs w:val="24"/>
        </w:rPr>
        <w:t>经对比分析，项目的建设符合《“十四五”土壤、地下水和农村生态环境保护规划》，《河北省生态环境保护“十四五”规划》《河北省土壤与地下水污染防治“十四五”规划》《河北省建设京津冀生态环境支撑区“十四五”规划》及《唐山市生态环境保护“十四五”规划》等环境保护规划的相关要求。</w:t>
      </w:r>
    </w:p>
    <w:p w14:paraId="7227F73A">
      <w:pPr>
        <w:spacing w:line="480" w:lineRule="exact"/>
        <w:ind w:firstLine="480" w:firstLineChars="200"/>
        <w:rPr>
          <w:rFonts w:ascii="Times New Roman"/>
          <w:sz w:val="24"/>
          <w:szCs w:val="24"/>
        </w:rPr>
      </w:pPr>
      <w:r>
        <w:rPr>
          <w:rFonts w:ascii="Times New Roman"/>
          <w:sz w:val="24"/>
          <w:szCs w:val="24"/>
        </w:rPr>
        <w:t>（3）选址可行性、与规划及规划环评审查意见的符合性</w:t>
      </w:r>
    </w:p>
    <w:p w14:paraId="771DA2F7">
      <w:pPr>
        <w:spacing w:line="480" w:lineRule="exact"/>
        <w:ind w:firstLine="480" w:firstLineChars="200"/>
        <w:rPr>
          <w:rFonts w:ascii="Times New Roman"/>
          <w:sz w:val="24"/>
          <w:szCs w:val="24"/>
        </w:rPr>
      </w:pPr>
      <w:r>
        <w:rPr>
          <w:rFonts w:ascii="Times New Roman"/>
          <w:sz w:val="24"/>
          <w:szCs w:val="24"/>
        </w:rPr>
        <w:t>项目位于唐山市曹妃甸循环经济示范区，属于《全国主体功能区划》和《河北省主体功能区规划》中的优化开发区域，符合全国及河北省主体功能区规划的功能定位。另外项目符合河北省近岸海域环境功能区划、河北省水功能区划、河北省及唐山市海洋功能区划相关要求。</w:t>
      </w:r>
    </w:p>
    <w:p w14:paraId="72DB0F4F">
      <w:pPr>
        <w:spacing w:line="480" w:lineRule="exact"/>
        <w:ind w:firstLine="480" w:firstLineChars="200"/>
        <w:rPr>
          <w:rFonts w:ascii="Times New Roman"/>
          <w:sz w:val="24"/>
          <w:szCs w:val="24"/>
        </w:rPr>
      </w:pPr>
      <w:r>
        <w:rPr>
          <w:rFonts w:ascii="Times New Roman"/>
          <w:sz w:val="24"/>
          <w:szCs w:val="24"/>
        </w:rPr>
        <w:t>本项目位于曹妃甸循环经济示范区装备制造园区，《曹妃甸循环经济示范区规划环境影响跟踪评价报告》于2019年3月29日取得了生态环境部办公厅意见的函（环办环评函【2019】334号）。</w:t>
      </w:r>
    </w:p>
    <w:p w14:paraId="0C2FCE88">
      <w:pPr>
        <w:spacing w:line="480" w:lineRule="exact"/>
        <w:ind w:firstLine="480" w:firstLineChars="200"/>
        <w:rPr>
          <w:rFonts w:ascii="Times New Roman"/>
        </w:rPr>
      </w:pPr>
      <w:r>
        <w:rPr>
          <w:rFonts w:ascii="Times New Roman"/>
          <w:sz w:val="24"/>
          <w:szCs w:val="24"/>
        </w:rPr>
        <w:t>本项目属于通用设备制造业，厂区占地为工业用地，园区已同意本次项目实施，项目符合园区产业布局及用地布局要求。</w:t>
      </w:r>
    </w:p>
    <w:p w14:paraId="52F9C900">
      <w:pPr>
        <w:spacing w:line="480" w:lineRule="exact"/>
        <w:ind w:firstLine="480" w:firstLineChars="200"/>
        <w:rPr>
          <w:rFonts w:ascii="Times New Roman"/>
          <w:sz w:val="24"/>
          <w:szCs w:val="24"/>
        </w:rPr>
      </w:pPr>
      <w:r>
        <w:rPr>
          <w:rFonts w:ascii="Times New Roman"/>
          <w:sz w:val="24"/>
          <w:szCs w:val="24"/>
        </w:rPr>
        <w:t>（4）与“三线一单”符合性分析</w:t>
      </w:r>
    </w:p>
    <w:p w14:paraId="2B48F3E0">
      <w:pPr>
        <w:spacing w:line="480" w:lineRule="exact"/>
        <w:ind w:firstLine="480" w:firstLineChars="200"/>
        <w:rPr>
          <w:rFonts w:ascii="Times New Roman"/>
          <w:sz w:val="24"/>
          <w:szCs w:val="24"/>
        </w:rPr>
      </w:pPr>
      <w:r>
        <w:rPr>
          <w:rFonts w:ascii="Times New Roman"/>
          <w:sz w:val="24"/>
          <w:szCs w:val="24"/>
        </w:rPr>
        <w:t>与《曹妃甸循环经济示范区规划环境影响跟踪评价报告》中“三线一单”要求进行对比，详见第2章，经对比分析可知，本项目选址不涉及生态保护红线区，满足园区环境质量底线要求，满足园区资源利用上线要求。本项目符合园区规划环评及审查意见的总体要求，且不属于《曹妃甸循环经济示范区规划环境影响跟踪评价报告》中的“环境准入负面清单”内容。</w:t>
      </w:r>
    </w:p>
    <w:p w14:paraId="2527286C">
      <w:pPr>
        <w:spacing w:line="480" w:lineRule="exact"/>
        <w:ind w:firstLine="480" w:firstLineChars="200"/>
        <w:rPr>
          <w:rFonts w:ascii="Times New Roman"/>
          <w:sz w:val="24"/>
          <w:szCs w:val="24"/>
        </w:rPr>
      </w:pPr>
      <w:r>
        <w:rPr>
          <w:rFonts w:ascii="Times New Roman"/>
          <w:sz w:val="24"/>
          <w:szCs w:val="24"/>
        </w:rPr>
        <w:t>与《关于加快实施“三线一单”生态环境分区管控的意见》（冀政字〔2020〕71号）、《关于实施“三线一单”生态环境分区管控的意见》（唐政字〔2021〕48号）《唐山市生态环境准入清单动态更新成果》进行对比，详见第2章，经对比分析可知，符合区域相关“三线一单”要求。</w:t>
      </w:r>
    </w:p>
    <w:p w14:paraId="669C465E">
      <w:pPr>
        <w:spacing w:line="480" w:lineRule="exact"/>
        <w:ind w:firstLine="480" w:firstLineChars="200"/>
        <w:rPr>
          <w:rFonts w:ascii="Times New Roman"/>
          <w:sz w:val="24"/>
          <w:szCs w:val="24"/>
        </w:rPr>
      </w:pPr>
      <w:r>
        <w:rPr>
          <w:rFonts w:ascii="Times New Roman"/>
          <w:sz w:val="24"/>
          <w:szCs w:val="24"/>
        </w:rPr>
        <w:t>综上，本项目符合园区规划环评及河北省及唐山市“三线一单”要求。</w:t>
      </w:r>
    </w:p>
    <w:p w14:paraId="704283DD">
      <w:pPr>
        <w:spacing w:beforeLines="50" w:afterLines="50" w:line="480" w:lineRule="exact"/>
        <w:outlineLvl w:val="1"/>
        <w:rPr>
          <w:rFonts w:ascii="Times New Roman"/>
          <w:b/>
          <w:sz w:val="30"/>
          <w:szCs w:val="30"/>
        </w:rPr>
      </w:pPr>
      <w:bookmarkStart w:id="34" w:name="_Toc508872093"/>
      <w:bookmarkStart w:id="35" w:name="_Toc12323"/>
      <w:r>
        <w:rPr>
          <w:rFonts w:ascii="Times New Roman"/>
          <w:b/>
          <w:sz w:val="30"/>
          <w:szCs w:val="30"/>
        </w:rPr>
        <w:t>1.5关注的主要环境问题</w:t>
      </w:r>
      <w:bookmarkEnd w:id="30"/>
      <w:bookmarkEnd w:id="31"/>
      <w:bookmarkEnd w:id="32"/>
      <w:bookmarkEnd w:id="34"/>
      <w:r>
        <w:rPr>
          <w:rFonts w:ascii="Times New Roman"/>
          <w:b/>
          <w:sz w:val="30"/>
          <w:szCs w:val="30"/>
        </w:rPr>
        <w:t>及环境影响</w:t>
      </w:r>
      <w:bookmarkEnd w:id="35"/>
    </w:p>
    <w:p w14:paraId="14CBD76A">
      <w:pPr>
        <w:spacing w:line="480" w:lineRule="exact"/>
        <w:ind w:firstLine="480" w:firstLineChars="200"/>
        <w:rPr>
          <w:rFonts w:ascii="Times New Roman"/>
          <w:kern w:val="0"/>
          <w:sz w:val="24"/>
          <w:szCs w:val="24"/>
        </w:rPr>
      </w:pPr>
      <w:r>
        <w:rPr>
          <w:rFonts w:ascii="Times New Roman"/>
          <w:kern w:val="0"/>
          <w:sz w:val="24"/>
          <w:szCs w:val="24"/>
        </w:rPr>
        <w:t>根据项目生产工艺、污染物排放特征和周围环境特点，确定本次评价关注的主要环境问题是项目运营后主要污染物的产生、控制。</w:t>
      </w:r>
    </w:p>
    <w:p w14:paraId="6A59A91D">
      <w:pPr>
        <w:spacing w:line="480" w:lineRule="exact"/>
        <w:ind w:firstLine="480" w:firstLineChars="200"/>
        <w:rPr>
          <w:rFonts w:ascii="Times New Roman"/>
          <w:kern w:val="0"/>
          <w:sz w:val="24"/>
          <w:szCs w:val="24"/>
        </w:rPr>
      </w:pPr>
      <w:r>
        <w:rPr>
          <w:rFonts w:ascii="Times New Roman"/>
          <w:kern w:val="0"/>
          <w:sz w:val="24"/>
          <w:szCs w:val="24"/>
        </w:rPr>
        <w:t>（1）重点关注对各类废气进行有效收集、处理，并确保达标排放，关注外排废气对周围环境可能产生的影响；</w:t>
      </w:r>
    </w:p>
    <w:p w14:paraId="0DB165C2">
      <w:pPr>
        <w:spacing w:line="480" w:lineRule="exact"/>
        <w:ind w:firstLine="480" w:firstLineChars="200"/>
        <w:rPr>
          <w:rFonts w:ascii="Times New Roman"/>
          <w:kern w:val="0"/>
          <w:sz w:val="24"/>
          <w:szCs w:val="24"/>
        </w:rPr>
      </w:pPr>
      <w:r>
        <w:rPr>
          <w:rFonts w:ascii="Times New Roman"/>
          <w:kern w:val="0"/>
          <w:sz w:val="24"/>
          <w:szCs w:val="24"/>
        </w:rPr>
        <w:t>（2）重点关注外排废水对周围环境的影响；</w:t>
      </w:r>
    </w:p>
    <w:p w14:paraId="33BDE9F9">
      <w:pPr>
        <w:spacing w:line="480" w:lineRule="exact"/>
        <w:ind w:firstLine="480" w:firstLineChars="200"/>
        <w:rPr>
          <w:rFonts w:ascii="Times New Roman"/>
          <w:kern w:val="0"/>
          <w:sz w:val="24"/>
          <w:szCs w:val="24"/>
        </w:rPr>
      </w:pPr>
      <w:r>
        <w:rPr>
          <w:rFonts w:ascii="Times New Roman"/>
          <w:kern w:val="0"/>
          <w:sz w:val="24"/>
          <w:szCs w:val="24"/>
        </w:rPr>
        <w:t>（3）重点关注一般固废和危险废物的暂存、处置情况，确保不会对周围环境产生污染；</w:t>
      </w:r>
    </w:p>
    <w:p w14:paraId="150C0613">
      <w:pPr>
        <w:spacing w:line="480" w:lineRule="exact"/>
        <w:ind w:firstLine="480" w:firstLineChars="200"/>
        <w:rPr>
          <w:rFonts w:ascii="Times New Roman"/>
          <w:kern w:val="0"/>
          <w:sz w:val="24"/>
          <w:szCs w:val="24"/>
        </w:rPr>
      </w:pPr>
      <w:r>
        <w:rPr>
          <w:rFonts w:ascii="Times New Roman"/>
          <w:kern w:val="0"/>
          <w:sz w:val="24"/>
          <w:szCs w:val="24"/>
        </w:rPr>
        <w:t>（4）重点关注噪声排放情况，确保本项目对周围环境和附近居民不会有明显影响；</w:t>
      </w:r>
    </w:p>
    <w:p w14:paraId="0D51F17D">
      <w:pPr>
        <w:spacing w:line="480" w:lineRule="exact"/>
        <w:ind w:firstLine="480" w:firstLineChars="200"/>
        <w:rPr>
          <w:rFonts w:ascii="Times New Roman"/>
          <w:kern w:val="0"/>
          <w:sz w:val="24"/>
          <w:szCs w:val="24"/>
        </w:rPr>
      </w:pPr>
      <w:r>
        <w:rPr>
          <w:rFonts w:ascii="Times New Roman"/>
          <w:kern w:val="0"/>
          <w:sz w:val="24"/>
          <w:szCs w:val="24"/>
        </w:rPr>
        <w:t>（5）重点关注风险物质暂存与放置情况，确保发生风险事故时对周围环境和附近居民不会有明显影响；</w:t>
      </w:r>
    </w:p>
    <w:p w14:paraId="352D54C9">
      <w:pPr>
        <w:spacing w:line="480" w:lineRule="exact"/>
        <w:ind w:firstLine="480" w:firstLineChars="200"/>
        <w:rPr>
          <w:rFonts w:ascii="Times New Roman"/>
          <w:kern w:val="0"/>
          <w:sz w:val="24"/>
          <w:szCs w:val="24"/>
        </w:rPr>
      </w:pPr>
      <w:r>
        <w:rPr>
          <w:rFonts w:ascii="Times New Roman"/>
          <w:kern w:val="0"/>
          <w:sz w:val="24"/>
          <w:szCs w:val="24"/>
        </w:rPr>
        <w:t>（6）重点关注营运期废水在事故泄漏工况下下渗对土壤造成的垂直入渗影响。</w:t>
      </w:r>
    </w:p>
    <w:p w14:paraId="7FABAE9F">
      <w:pPr>
        <w:adjustRightInd w:val="0"/>
        <w:snapToGrid w:val="0"/>
        <w:spacing w:line="480" w:lineRule="exact"/>
        <w:ind w:firstLine="480" w:firstLineChars="200"/>
        <w:rPr>
          <w:sz w:val="24"/>
          <w:szCs w:val="24"/>
        </w:rPr>
      </w:pPr>
      <w:r>
        <w:rPr>
          <w:sz w:val="24"/>
          <w:szCs w:val="24"/>
        </w:rPr>
        <w:t>本项目为</w:t>
      </w:r>
      <w:r>
        <w:rPr>
          <w:rFonts w:hint="eastAsia"/>
          <w:sz w:val="24"/>
          <w:szCs w:val="24"/>
        </w:rPr>
        <w:t>数字孪生智能输送机</w:t>
      </w:r>
      <w:r>
        <w:rPr>
          <w:sz w:val="24"/>
          <w:szCs w:val="24"/>
        </w:rPr>
        <w:t>生产项目，</w:t>
      </w:r>
      <w:r>
        <w:rPr>
          <w:rFonts w:hint="eastAsia"/>
          <w:sz w:val="24"/>
          <w:szCs w:val="24"/>
        </w:rPr>
        <w:t>位于唐山市曹妃甸装备制造产业园，周围均为规划的工业用地，生态环境影响较小。</w:t>
      </w:r>
      <w:r>
        <w:rPr>
          <w:sz w:val="24"/>
          <w:szCs w:val="24"/>
        </w:rPr>
        <w:t>由于项目距离</w:t>
      </w:r>
      <w:r>
        <w:rPr>
          <w:rFonts w:hint="eastAsia"/>
          <w:sz w:val="24"/>
          <w:szCs w:val="24"/>
        </w:rPr>
        <w:t>周围环境敏感点较远，</w:t>
      </w:r>
      <w:r>
        <w:rPr>
          <w:sz w:val="24"/>
          <w:szCs w:val="24"/>
        </w:rPr>
        <w:t>且位于工业园区内，其噪声影响相对较小。</w:t>
      </w:r>
      <w:r>
        <w:rPr>
          <w:rFonts w:hint="eastAsia"/>
          <w:sz w:val="24"/>
          <w:szCs w:val="24"/>
        </w:rPr>
        <w:t>施工期主要关注施工扬尘、施工噪声、固体废物对周围环境的影响；运营期主要关注废气、废水、固废的治理措施及影响。</w:t>
      </w:r>
    </w:p>
    <w:p w14:paraId="616B2E4B">
      <w:pPr>
        <w:adjustRightInd w:val="0"/>
        <w:snapToGrid w:val="0"/>
        <w:spacing w:line="480" w:lineRule="exact"/>
        <w:ind w:firstLine="480" w:firstLineChars="200"/>
        <w:rPr>
          <w:rFonts w:ascii="Times New Roman"/>
          <w:sz w:val="24"/>
          <w:szCs w:val="24"/>
        </w:rPr>
      </w:pPr>
      <w:r>
        <w:rPr>
          <w:rFonts w:ascii="Times New Roman"/>
          <w:sz w:val="24"/>
          <w:szCs w:val="24"/>
        </w:rPr>
        <w:t>经预测，新增大气污染源正常排放下污染物短期浓度贡献值最大占标率均小于100%，年平均浓度贡献值最大占标率均小于30%，实施区域削减方案后，预测范围内叠加现状浓度后，</w:t>
      </w:r>
      <w:r>
        <w:rPr>
          <w:rFonts w:hint="eastAsia" w:ascii="Times New Roman"/>
          <w:sz w:val="24"/>
          <w:szCs w:val="24"/>
        </w:rPr>
        <w:t>苯、甲苯、二甲苯</w:t>
      </w:r>
      <w:r>
        <w:rPr>
          <w:rFonts w:ascii="Times New Roman"/>
          <w:sz w:val="24"/>
          <w:szCs w:val="24"/>
        </w:rPr>
        <w:t>、非甲烷总烃的环境质量浓度最大占标率均小于100%；NO</w:t>
      </w:r>
      <w:r>
        <w:rPr>
          <w:rFonts w:ascii="Times New Roman"/>
          <w:sz w:val="24"/>
          <w:szCs w:val="24"/>
          <w:vertAlign w:val="subscript"/>
        </w:rPr>
        <w:t>2</w:t>
      </w:r>
      <w:r>
        <w:rPr>
          <w:rFonts w:ascii="Times New Roman"/>
          <w:sz w:val="24"/>
          <w:szCs w:val="24"/>
        </w:rPr>
        <w:t>、PM</w:t>
      </w:r>
      <w:r>
        <w:rPr>
          <w:rFonts w:ascii="Times New Roman"/>
          <w:sz w:val="24"/>
          <w:szCs w:val="24"/>
          <w:vertAlign w:val="subscript"/>
        </w:rPr>
        <w:t>10</w:t>
      </w:r>
      <w:r>
        <w:rPr>
          <w:rFonts w:ascii="Times New Roman"/>
          <w:sz w:val="24"/>
          <w:szCs w:val="24"/>
        </w:rPr>
        <w:t>、PM</w:t>
      </w:r>
      <w:r>
        <w:rPr>
          <w:rFonts w:ascii="Times New Roman"/>
          <w:sz w:val="24"/>
          <w:szCs w:val="24"/>
          <w:vertAlign w:val="subscript"/>
        </w:rPr>
        <w:t>2.5</w:t>
      </w:r>
      <w:r>
        <w:rPr>
          <w:rFonts w:ascii="Times New Roman"/>
          <w:sz w:val="24"/>
          <w:szCs w:val="24"/>
        </w:rPr>
        <w:t>的年均质量变化率k均小于-20%，本项目建设后，区域环境质量得到整体改善。正常状况下，厂区生产装置、排污设施、废水处理设施等正常运行，渗水量较小，项目建设过程中，落实防渗措施，可阻隔废水的下渗，本项目运行对地下水基本无影响。噪声源对各厂界的贡献值满足《工业企业厂界环境噪声排放标准》(GB12348-2008)中3类标准，对周围环境影响较轻。生产过程中产生的固体废物均根据其性质采取了相应的处理措施，不会对环境产生影响。</w:t>
      </w:r>
    </w:p>
    <w:p w14:paraId="6C69F2AC">
      <w:pPr>
        <w:spacing w:beforeLines="50" w:afterLines="50" w:line="480" w:lineRule="exact"/>
        <w:outlineLvl w:val="1"/>
        <w:rPr>
          <w:rFonts w:ascii="Times New Roman"/>
          <w:b/>
          <w:sz w:val="30"/>
          <w:szCs w:val="30"/>
        </w:rPr>
      </w:pPr>
      <w:bookmarkStart w:id="36" w:name="_Toc11377"/>
      <w:bookmarkStart w:id="37" w:name="_Toc479600453"/>
      <w:bookmarkStart w:id="38" w:name="_Toc508872095"/>
      <w:r>
        <w:rPr>
          <w:rFonts w:ascii="Times New Roman"/>
          <w:b/>
          <w:sz w:val="30"/>
          <w:szCs w:val="30"/>
        </w:rPr>
        <w:t>1.6环境影响报告书主要结论</w:t>
      </w:r>
      <w:bookmarkEnd w:id="36"/>
      <w:bookmarkEnd w:id="37"/>
      <w:bookmarkEnd w:id="38"/>
    </w:p>
    <w:p w14:paraId="1D42FEF8">
      <w:pPr>
        <w:ind w:firstLine="480"/>
        <w:rPr>
          <w:rFonts w:ascii="Times New Roman"/>
          <w:sz w:val="24"/>
          <w:szCs w:val="20"/>
        </w:rPr>
        <w:sectPr>
          <w:headerReference r:id="rId6" w:type="default"/>
          <w:footerReference r:id="rId7" w:type="default"/>
          <w:pgSz w:w="11906" w:h="16838"/>
          <w:pgMar w:top="1440" w:right="1797" w:bottom="1440" w:left="1797" w:header="1134" w:footer="1134" w:gutter="0"/>
          <w:pgNumType w:start="1"/>
          <w:cols w:space="720" w:num="1"/>
          <w:docGrid w:linePitch="340" w:charSpace="0"/>
        </w:sectPr>
      </w:pPr>
      <w:r>
        <w:rPr>
          <w:rFonts w:ascii="Times New Roman"/>
          <w:sz w:val="24"/>
          <w:szCs w:val="20"/>
        </w:rPr>
        <w:t>项目的建设符产业政策要求；项</w:t>
      </w:r>
      <w:r>
        <w:rPr>
          <w:rFonts w:ascii="Times New Roman"/>
          <w:sz w:val="24"/>
          <w:szCs w:val="24"/>
        </w:rPr>
        <w:t>选址符合相关规划和区域“三线一单”生态环境分区管控要求</w:t>
      </w:r>
      <w:r>
        <w:rPr>
          <w:rFonts w:ascii="Times New Roman"/>
          <w:sz w:val="24"/>
          <w:szCs w:val="20"/>
        </w:rPr>
        <w:t>；</w:t>
      </w:r>
      <w:r>
        <w:rPr>
          <w:rFonts w:ascii="Times New Roman"/>
          <w:sz w:val="24"/>
          <w:szCs w:val="24"/>
        </w:rPr>
        <w:t>项目采取了完善的环保治理措施并制定了完善的环境管理与监测计划，可确保废气、废水、噪声各类污染物的稳定达标排放，固体废物全部综合利用或妥善处置，环境风险可接受；根据建设单位完成的公众参与调查单行本表明，信息公示期间未收到任何公众反馈意见，无公众反对项目建设。在全面加强监督管理，执行环保“三同时”制度和认真落实各项环保措施的条件下，从环境保护角度分析，项目建设可行</w:t>
      </w:r>
      <w:r>
        <w:rPr>
          <w:rFonts w:ascii="Times New Roman"/>
          <w:sz w:val="24"/>
          <w:szCs w:val="20"/>
        </w:rPr>
        <w:t>。</w:t>
      </w:r>
    </w:p>
    <w:p w14:paraId="03573D30">
      <w:pPr>
        <w:spacing w:beforeLines="50" w:afterLines="50" w:line="520" w:lineRule="exact"/>
        <w:outlineLvl w:val="0"/>
        <w:rPr>
          <w:rFonts w:ascii="Times New Roman"/>
          <w:b/>
          <w:sz w:val="32"/>
          <w:szCs w:val="32"/>
        </w:rPr>
      </w:pPr>
      <w:bookmarkStart w:id="39" w:name="_Toc508872096"/>
      <w:bookmarkStart w:id="40" w:name="_Toc8466"/>
      <w:r>
        <w:rPr>
          <w:rFonts w:ascii="Times New Roman"/>
          <w:b/>
          <w:sz w:val="32"/>
          <w:szCs w:val="32"/>
        </w:rPr>
        <w:t>2总论</w:t>
      </w:r>
      <w:bookmarkEnd w:id="39"/>
      <w:bookmarkEnd w:id="40"/>
    </w:p>
    <w:p w14:paraId="0188F6ED">
      <w:pPr>
        <w:spacing w:beforeLines="50" w:afterLines="50" w:line="480" w:lineRule="exact"/>
        <w:outlineLvl w:val="1"/>
        <w:rPr>
          <w:rFonts w:ascii="Times New Roman"/>
          <w:b/>
          <w:sz w:val="30"/>
          <w:szCs w:val="30"/>
        </w:rPr>
      </w:pPr>
      <w:bookmarkStart w:id="41" w:name="_Toc474313783"/>
      <w:bookmarkStart w:id="42" w:name="_Toc14594"/>
      <w:bookmarkStart w:id="43" w:name="_Toc508872097"/>
      <w:r>
        <w:rPr>
          <w:rFonts w:ascii="Times New Roman"/>
          <w:b/>
          <w:sz w:val="30"/>
          <w:szCs w:val="30"/>
        </w:rPr>
        <w:t>2.1编制依据</w:t>
      </w:r>
      <w:bookmarkEnd w:id="41"/>
      <w:bookmarkEnd w:id="42"/>
      <w:bookmarkEnd w:id="43"/>
    </w:p>
    <w:p w14:paraId="53A038DA">
      <w:pPr>
        <w:spacing w:line="520" w:lineRule="exact"/>
        <w:outlineLvl w:val="2"/>
        <w:rPr>
          <w:rFonts w:ascii="Times New Roman"/>
          <w:b/>
          <w:sz w:val="28"/>
          <w:szCs w:val="28"/>
        </w:rPr>
      </w:pPr>
      <w:r>
        <w:rPr>
          <w:rFonts w:ascii="Times New Roman"/>
          <w:b/>
          <w:sz w:val="28"/>
          <w:szCs w:val="28"/>
        </w:rPr>
        <w:t>2.1.1环境保护法律</w:t>
      </w:r>
    </w:p>
    <w:p w14:paraId="2909D285">
      <w:pPr>
        <w:numPr>
          <w:ilvl w:val="0"/>
          <w:numId w:val="5"/>
        </w:numPr>
        <w:spacing w:line="480" w:lineRule="exact"/>
        <w:ind w:left="0" w:firstLine="480"/>
        <w:jc w:val="left"/>
        <w:rPr>
          <w:rFonts w:ascii="Times New Roman"/>
          <w:sz w:val="24"/>
        </w:rPr>
      </w:pPr>
      <w:r>
        <w:rPr>
          <w:rFonts w:ascii="Times New Roman"/>
          <w:sz w:val="24"/>
        </w:rPr>
        <w:t>《中华人民共和国环境保护法》，2015年1月1日；</w:t>
      </w:r>
    </w:p>
    <w:p w14:paraId="64D9C25C">
      <w:pPr>
        <w:numPr>
          <w:ilvl w:val="0"/>
          <w:numId w:val="5"/>
        </w:numPr>
        <w:spacing w:line="480" w:lineRule="exact"/>
        <w:ind w:left="0" w:firstLine="480"/>
        <w:jc w:val="left"/>
        <w:rPr>
          <w:rFonts w:ascii="Times New Roman"/>
          <w:sz w:val="24"/>
        </w:rPr>
      </w:pPr>
      <w:r>
        <w:rPr>
          <w:rFonts w:ascii="Times New Roman"/>
          <w:sz w:val="24"/>
        </w:rPr>
        <w:t>《中华人民共和国环境影响评价法》，2018年12月29日；</w:t>
      </w:r>
    </w:p>
    <w:p w14:paraId="532E8F4F">
      <w:pPr>
        <w:numPr>
          <w:ilvl w:val="0"/>
          <w:numId w:val="5"/>
        </w:numPr>
        <w:spacing w:line="480" w:lineRule="exact"/>
        <w:ind w:left="0" w:firstLine="480"/>
        <w:jc w:val="left"/>
        <w:rPr>
          <w:rFonts w:ascii="Times New Roman"/>
          <w:sz w:val="24"/>
        </w:rPr>
      </w:pPr>
      <w:r>
        <w:rPr>
          <w:rFonts w:ascii="Times New Roman"/>
          <w:sz w:val="24"/>
        </w:rPr>
        <w:t>《中华人民共和国大气污染防治法》，2018年10月26日修订；</w:t>
      </w:r>
    </w:p>
    <w:p w14:paraId="23EE1560">
      <w:pPr>
        <w:numPr>
          <w:ilvl w:val="0"/>
          <w:numId w:val="5"/>
        </w:numPr>
        <w:spacing w:line="480" w:lineRule="exact"/>
        <w:ind w:left="0" w:firstLine="480"/>
        <w:jc w:val="left"/>
        <w:rPr>
          <w:rFonts w:ascii="Times New Roman"/>
          <w:sz w:val="24"/>
        </w:rPr>
      </w:pPr>
      <w:r>
        <w:rPr>
          <w:rFonts w:ascii="Times New Roman"/>
          <w:sz w:val="24"/>
        </w:rPr>
        <w:t>《中华人民共和国水污染防治法》，2017年6月28日修订；</w:t>
      </w:r>
    </w:p>
    <w:p w14:paraId="03727719">
      <w:pPr>
        <w:numPr>
          <w:ilvl w:val="0"/>
          <w:numId w:val="5"/>
        </w:numPr>
        <w:spacing w:line="480" w:lineRule="exact"/>
        <w:ind w:left="0" w:firstLine="480"/>
        <w:jc w:val="left"/>
        <w:rPr>
          <w:rFonts w:ascii="Times New Roman"/>
          <w:sz w:val="24"/>
        </w:rPr>
      </w:pPr>
      <w:r>
        <w:rPr>
          <w:rFonts w:ascii="Times New Roman"/>
          <w:sz w:val="24"/>
        </w:rPr>
        <w:t>《中华人民共和国环境噪声污染防治法》，</w:t>
      </w:r>
      <w:r>
        <w:rPr>
          <w:rFonts w:ascii="Times New Roman"/>
          <w:sz w:val="24"/>
          <w:szCs w:val="24"/>
        </w:rPr>
        <w:t>2022年6月5日</w:t>
      </w:r>
      <w:r>
        <w:rPr>
          <w:rFonts w:ascii="Times New Roman"/>
          <w:sz w:val="24"/>
        </w:rPr>
        <w:t>；</w:t>
      </w:r>
    </w:p>
    <w:p w14:paraId="65068672">
      <w:pPr>
        <w:numPr>
          <w:ilvl w:val="0"/>
          <w:numId w:val="5"/>
        </w:numPr>
        <w:spacing w:line="480" w:lineRule="exact"/>
        <w:ind w:left="0" w:firstLine="464"/>
        <w:jc w:val="left"/>
        <w:rPr>
          <w:rFonts w:ascii="Times New Roman"/>
          <w:spacing w:val="-4"/>
          <w:sz w:val="24"/>
        </w:rPr>
      </w:pPr>
      <w:r>
        <w:rPr>
          <w:rFonts w:ascii="Times New Roman"/>
          <w:spacing w:val="-4"/>
          <w:sz w:val="24"/>
        </w:rPr>
        <w:t>《中华人民共和国固体废物污染环境防治法》，2020年9月1日施行；</w:t>
      </w:r>
    </w:p>
    <w:p w14:paraId="7169E2D7">
      <w:pPr>
        <w:numPr>
          <w:ilvl w:val="0"/>
          <w:numId w:val="5"/>
        </w:numPr>
        <w:spacing w:line="480" w:lineRule="exact"/>
        <w:ind w:left="0" w:firstLine="464"/>
        <w:jc w:val="left"/>
        <w:rPr>
          <w:rFonts w:ascii="Times New Roman"/>
          <w:spacing w:val="-4"/>
          <w:sz w:val="24"/>
        </w:rPr>
      </w:pPr>
      <w:r>
        <w:rPr>
          <w:rFonts w:hint="eastAsia" w:ascii="Times New Roman"/>
          <w:spacing w:val="-4"/>
          <w:sz w:val="24"/>
          <w:lang w:eastAsia="zh-CN"/>
        </w:rPr>
        <w:t>《中华人民共和国土壤污染防治法》</w:t>
      </w:r>
      <w:r>
        <w:rPr>
          <w:rFonts w:ascii="Times New Roman"/>
          <w:spacing w:val="-4"/>
          <w:sz w:val="24"/>
        </w:rPr>
        <w:t>，2019年1月1日施行；</w:t>
      </w:r>
    </w:p>
    <w:p w14:paraId="5836E715">
      <w:pPr>
        <w:numPr>
          <w:ilvl w:val="0"/>
          <w:numId w:val="5"/>
        </w:numPr>
        <w:spacing w:line="480" w:lineRule="exact"/>
        <w:ind w:left="0" w:firstLine="480"/>
        <w:jc w:val="left"/>
        <w:rPr>
          <w:rFonts w:ascii="Times New Roman"/>
          <w:sz w:val="24"/>
        </w:rPr>
      </w:pPr>
      <w:r>
        <w:rPr>
          <w:rFonts w:ascii="Times New Roman"/>
          <w:sz w:val="24"/>
        </w:rPr>
        <w:t>《中华人民共和国清洁生产促进法》，2012年7月1日；</w:t>
      </w:r>
    </w:p>
    <w:p w14:paraId="7FDC01F0">
      <w:pPr>
        <w:numPr>
          <w:ilvl w:val="0"/>
          <w:numId w:val="5"/>
        </w:numPr>
        <w:spacing w:line="480" w:lineRule="exact"/>
        <w:ind w:left="0" w:firstLine="480"/>
        <w:jc w:val="left"/>
        <w:rPr>
          <w:rFonts w:ascii="Times New Roman"/>
          <w:sz w:val="24"/>
        </w:rPr>
      </w:pPr>
      <w:r>
        <w:rPr>
          <w:rFonts w:ascii="Times New Roman"/>
          <w:sz w:val="24"/>
        </w:rPr>
        <w:t>《中华人民共和国循环经济促进法》，2018年10月26日修订；</w:t>
      </w:r>
    </w:p>
    <w:p w14:paraId="6FD9A214">
      <w:pPr>
        <w:numPr>
          <w:ilvl w:val="0"/>
          <w:numId w:val="5"/>
        </w:numPr>
        <w:spacing w:line="480" w:lineRule="exact"/>
        <w:ind w:left="0" w:firstLine="480"/>
        <w:jc w:val="left"/>
        <w:rPr>
          <w:rFonts w:ascii="Times New Roman"/>
          <w:sz w:val="24"/>
        </w:rPr>
      </w:pPr>
      <w:r>
        <w:rPr>
          <w:rFonts w:ascii="Times New Roman"/>
          <w:sz w:val="24"/>
        </w:rPr>
        <w:t>《中华人民共和国节约能源法》，2018年10月26日修订；</w:t>
      </w:r>
    </w:p>
    <w:p w14:paraId="4EB660FD">
      <w:pPr>
        <w:numPr>
          <w:ilvl w:val="0"/>
          <w:numId w:val="5"/>
        </w:numPr>
        <w:spacing w:line="480" w:lineRule="exact"/>
        <w:ind w:left="0" w:firstLine="480"/>
        <w:jc w:val="left"/>
        <w:rPr>
          <w:rFonts w:ascii="Times New Roman"/>
          <w:sz w:val="24"/>
        </w:rPr>
      </w:pPr>
      <w:r>
        <w:rPr>
          <w:rFonts w:ascii="Times New Roman"/>
          <w:sz w:val="24"/>
        </w:rPr>
        <w:t>《中华人民共和国土地管理法》，2019年8月26日修订；</w:t>
      </w:r>
    </w:p>
    <w:p w14:paraId="63037124">
      <w:pPr>
        <w:numPr>
          <w:ilvl w:val="0"/>
          <w:numId w:val="5"/>
        </w:numPr>
        <w:spacing w:line="480" w:lineRule="exact"/>
        <w:ind w:left="0" w:firstLine="480"/>
        <w:jc w:val="left"/>
        <w:rPr>
          <w:rFonts w:ascii="Times New Roman"/>
          <w:sz w:val="24"/>
        </w:rPr>
      </w:pPr>
      <w:r>
        <w:rPr>
          <w:rFonts w:ascii="Times New Roman"/>
          <w:sz w:val="24"/>
        </w:rPr>
        <w:t>《中华人民共和国城乡规划法》，2015年4月24日修订；</w:t>
      </w:r>
    </w:p>
    <w:p w14:paraId="111D20BD">
      <w:pPr>
        <w:numPr>
          <w:ilvl w:val="0"/>
          <w:numId w:val="5"/>
        </w:numPr>
        <w:spacing w:line="480" w:lineRule="exact"/>
        <w:ind w:left="0" w:firstLine="480"/>
        <w:jc w:val="left"/>
        <w:rPr>
          <w:rFonts w:ascii="Times New Roman"/>
          <w:sz w:val="24"/>
        </w:rPr>
      </w:pPr>
      <w:r>
        <w:rPr>
          <w:rFonts w:ascii="Times New Roman"/>
          <w:sz w:val="24"/>
        </w:rPr>
        <w:t>《中华人民共和国水法》，2016年7月2日修订；</w:t>
      </w:r>
    </w:p>
    <w:p w14:paraId="448E4B79">
      <w:pPr>
        <w:numPr>
          <w:ilvl w:val="0"/>
          <w:numId w:val="5"/>
        </w:numPr>
        <w:spacing w:line="480" w:lineRule="exact"/>
        <w:ind w:left="0" w:firstLine="480"/>
        <w:jc w:val="left"/>
        <w:rPr>
          <w:rFonts w:ascii="Times New Roman"/>
          <w:sz w:val="24"/>
        </w:rPr>
      </w:pPr>
      <w:r>
        <w:rPr>
          <w:rFonts w:ascii="Times New Roman"/>
          <w:sz w:val="24"/>
        </w:rPr>
        <w:t>《中华人民共和国环境保护税法》，2016年12月25日。</w:t>
      </w:r>
    </w:p>
    <w:p w14:paraId="6DC6C67F">
      <w:pPr>
        <w:spacing w:line="520" w:lineRule="exact"/>
        <w:outlineLvl w:val="2"/>
        <w:rPr>
          <w:rFonts w:ascii="Times New Roman"/>
          <w:b/>
          <w:sz w:val="28"/>
          <w:szCs w:val="28"/>
        </w:rPr>
      </w:pPr>
      <w:r>
        <w:rPr>
          <w:rFonts w:ascii="Times New Roman"/>
          <w:b/>
          <w:sz w:val="28"/>
          <w:szCs w:val="28"/>
        </w:rPr>
        <w:t>2.1.2国家环境保护法规、规章</w:t>
      </w:r>
    </w:p>
    <w:p w14:paraId="2EC5F700">
      <w:pPr>
        <w:numPr>
          <w:ilvl w:val="0"/>
          <w:numId w:val="6"/>
        </w:numPr>
        <w:snapToGrid w:val="0"/>
        <w:spacing w:line="480" w:lineRule="exact"/>
        <w:ind w:firstLine="480" w:firstLineChars="200"/>
        <w:contextualSpacing/>
        <w:rPr>
          <w:rFonts w:ascii="Times New Roman"/>
          <w:sz w:val="24"/>
        </w:rPr>
      </w:pPr>
      <w:r>
        <w:rPr>
          <w:rFonts w:ascii="Times New Roman"/>
          <w:sz w:val="24"/>
        </w:rPr>
        <w:t>《建设项目环境保护管理条例》，国务院第682号令；</w:t>
      </w:r>
    </w:p>
    <w:p w14:paraId="4384BA42">
      <w:pPr>
        <w:numPr>
          <w:ilvl w:val="0"/>
          <w:numId w:val="6"/>
        </w:numPr>
        <w:spacing w:line="480" w:lineRule="exact"/>
        <w:ind w:firstLine="500" w:firstLineChars="200"/>
        <w:rPr>
          <w:rFonts w:ascii="Times New Roman"/>
          <w:sz w:val="24"/>
        </w:rPr>
      </w:pPr>
      <w:r>
        <w:rPr>
          <w:rFonts w:ascii="Times New Roman"/>
          <w:snapToGrid w:val="0"/>
        </w:rPr>
        <w:t>《产业结构调整指导目录（2024年本）》，国家发展和改革委员会令第7号，2023年12月27日</w:t>
      </w:r>
      <w:r>
        <w:rPr>
          <w:rFonts w:ascii="Times New Roman"/>
          <w:sz w:val="24"/>
        </w:rPr>
        <w:t>；</w:t>
      </w:r>
    </w:p>
    <w:p w14:paraId="72592FDD">
      <w:pPr>
        <w:numPr>
          <w:ilvl w:val="0"/>
          <w:numId w:val="6"/>
        </w:numPr>
        <w:spacing w:line="480" w:lineRule="exact"/>
        <w:ind w:firstLine="480" w:firstLineChars="200"/>
        <w:rPr>
          <w:rFonts w:ascii="Times New Roman"/>
          <w:sz w:val="24"/>
        </w:rPr>
      </w:pPr>
      <w:r>
        <w:rPr>
          <w:rFonts w:ascii="Times New Roman"/>
          <w:bCs/>
          <w:sz w:val="24"/>
        </w:rPr>
        <w:t>《国务院关于印发水污染防治行动计划的通知》，</w:t>
      </w:r>
      <w:r>
        <w:rPr>
          <w:rFonts w:ascii="Times New Roman"/>
          <w:sz w:val="24"/>
        </w:rPr>
        <w:t>国发〔2015〕17号；</w:t>
      </w:r>
    </w:p>
    <w:p w14:paraId="00DB5796">
      <w:pPr>
        <w:numPr>
          <w:ilvl w:val="0"/>
          <w:numId w:val="6"/>
        </w:numPr>
        <w:spacing w:line="480" w:lineRule="exact"/>
        <w:ind w:firstLine="480" w:firstLineChars="200"/>
      </w:pPr>
      <w:r>
        <w:rPr>
          <w:rFonts w:ascii="Times New Roman"/>
          <w:bCs/>
          <w:sz w:val="24"/>
        </w:rPr>
        <w:t>《国务院关于印发土壤污染防治行动计划的通知》，国发〔2016〕31号；</w:t>
      </w:r>
    </w:p>
    <w:p w14:paraId="3B731B84">
      <w:pPr>
        <w:numPr>
          <w:ilvl w:val="0"/>
          <w:numId w:val="6"/>
        </w:numPr>
        <w:spacing w:line="480" w:lineRule="exact"/>
        <w:ind w:firstLine="480" w:firstLineChars="200"/>
        <w:rPr>
          <w:rFonts w:ascii="Times New Roman"/>
          <w:bCs/>
          <w:sz w:val="24"/>
        </w:rPr>
      </w:pPr>
      <w:r>
        <w:rPr>
          <w:rFonts w:ascii="Times New Roman"/>
          <w:bCs/>
          <w:sz w:val="24"/>
        </w:rPr>
        <w:t>《建设项目环境影响评价分类管理名录》，2021年版；</w:t>
      </w:r>
    </w:p>
    <w:p w14:paraId="0FB37C8A">
      <w:pPr>
        <w:numPr>
          <w:ilvl w:val="0"/>
          <w:numId w:val="6"/>
        </w:numPr>
        <w:spacing w:line="480" w:lineRule="exact"/>
        <w:ind w:firstLine="480" w:firstLineChars="200"/>
        <w:rPr>
          <w:rFonts w:ascii="Times New Roman"/>
          <w:bCs/>
          <w:sz w:val="24"/>
        </w:rPr>
      </w:pPr>
      <w:r>
        <w:rPr>
          <w:rFonts w:ascii="Times New Roman"/>
          <w:sz w:val="24"/>
        </w:rPr>
        <w:t>《突发环境事件应急管理办法》，环境保护部令第34号；</w:t>
      </w:r>
    </w:p>
    <w:p w14:paraId="484B4B2C">
      <w:pPr>
        <w:numPr>
          <w:ilvl w:val="0"/>
          <w:numId w:val="6"/>
        </w:numPr>
        <w:spacing w:line="480" w:lineRule="exact"/>
        <w:ind w:firstLine="448" w:firstLineChars="200"/>
        <w:rPr>
          <w:rFonts w:ascii="Times New Roman"/>
          <w:bCs/>
          <w:spacing w:val="-8"/>
          <w:sz w:val="24"/>
        </w:rPr>
      </w:pPr>
      <w:r>
        <w:rPr>
          <w:rFonts w:ascii="Times New Roman"/>
          <w:spacing w:val="-8"/>
          <w:sz w:val="24"/>
        </w:rPr>
        <w:t>《环境影响评价公众参与办法》，生态环境部令第4号，2019年1月1日；</w:t>
      </w:r>
    </w:p>
    <w:p w14:paraId="6F22598D">
      <w:pPr>
        <w:numPr>
          <w:ilvl w:val="0"/>
          <w:numId w:val="6"/>
        </w:numPr>
        <w:spacing w:line="480" w:lineRule="exact"/>
        <w:ind w:firstLine="464" w:firstLineChars="200"/>
        <w:rPr>
          <w:rFonts w:ascii="Times New Roman"/>
          <w:bCs/>
          <w:spacing w:val="-8"/>
          <w:sz w:val="24"/>
        </w:rPr>
      </w:pPr>
      <w:r>
        <w:rPr>
          <w:rFonts w:ascii="Times New Roman"/>
          <w:spacing w:val="-4"/>
          <w:sz w:val="24"/>
        </w:rPr>
        <w:t>《环境保护综合名录（2021年版）》，生态环境部办公厅，2021年10月25日；</w:t>
      </w:r>
    </w:p>
    <w:p w14:paraId="717D66FD">
      <w:pPr>
        <w:widowControl/>
        <w:numPr>
          <w:ilvl w:val="0"/>
          <w:numId w:val="6"/>
        </w:numPr>
        <w:spacing w:line="480" w:lineRule="exact"/>
        <w:ind w:firstLine="480" w:firstLineChars="200"/>
        <w:jc w:val="left"/>
        <w:rPr>
          <w:rFonts w:ascii="Times New Roman"/>
          <w:sz w:val="24"/>
        </w:rPr>
      </w:pPr>
      <w:r>
        <w:rPr>
          <w:rFonts w:ascii="Times New Roman"/>
          <w:sz w:val="24"/>
        </w:rPr>
        <w:t>《关于强化建设项目环境影响评价事中事后监管的实施意见》，环环评〔2018〕11号，2018年1月25日；</w:t>
      </w:r>
    </w:p>
    <w:p w14:paraId="48105200">
      <w:pPr>
        <w:widowControl/>
        <w:numPr>
          <w:ilvl w:val="0"/>
          <w:numId w:val="6"/>
        </w:numPr>
        <w:spacing w:line="480" w:lineRule="exact"/>
        <w:ind w:firstLine="480" w:firstLineChars="200"/>
        <w:jc w:val="left"/>
        <w:rPr>
          <w:rFonts w:ascii="Times New Roman"/>
          <w:sz w:val="24"/>
        </w:rPr>
      </w:pPr>
      <w:r>
        <w:rPr>
          <w:rFonts w:ascii="Times New Roman"/>
          <w:sz w:val="24"/>
        </w:rPr>
        <w:t>《关于以改善环境质量为核心加强环境影响评价管理的通知》，环环评〔2016〕150号，2016年10月26日；</w:t>
      </w:r>
    </w:p>
    <w:p w14:paraId="1EFA4AE5">
      <w:pPr>
        <w:numPr>
          <w:ilvl w:val="0"/>
          <w:numId w:val="6"/>
        </w:numPr>
        <w:spacing w:line="480" w:lineRule="exact"/>
        <w:ind w:firstLine="480" w:firstLineChars="200"/>
        <w:rPr>
          <w:rFonts w:ascii="Times New Roman"/>
          <w:sz w:val="24"/>
        </w:rPr>
      </w:pPr>
      <w:r>
        <w:rPr>
          <w:rFonts w:ascii="Times New Roman"/>
          <w:sz w:val="24"/>
        </w:rPr>
        <w:t>《中共中央国务院关于全面加强生态环境保护坚决打好污染防治攻坚战的意见》，2018年6月16日；</w:t>
      </w:r>
    </w:p>
    <w:p w14:paraId="33240C4A">
      <w:pPr>
        <w:numPr>
          <w:ilvl w:val="0"/>
          <w:numId w:val="6"/>
        </w:numPr>
        <w:spacing w:line="480" w:lineRule="exact"/>
        <w:ind w:firstLine="480" w:firstLineChars="200"/>
        <w:rPr>
          <w:rFonts w:ascii="Times New Roman"/>
          <w:sz w:val="24"/>
        </w:rPr>
      </w:pPr>
      <w:r>
        <w:rPr>
          <w:rFonts w:ascii="Times New Roman"/>
          <w:sz w:val="24"/>
        </w:rPr>
        <w:t>《关于做好环境影响评价制度与排污许可制衔接相关工作的通知》，环办环评〔2017〕84号，2017年11月14日；</w:t>
      </w:r>
    </w:p>
    <w:p w14:paraId="4D6AE595">
      <w:pPr>
        <w:numPr>
          <w:ilvl w:val="0"/>
          <w:numId w:val="6"/>
        </w:numPr>
        <w:spacing w:line="480" w:lineRule="exact"/>
        <w:ind w:firstLine="480" w:firstLineChars="200"/>
        <w:rPr>
          <w:rFonts w:ascii="Times New Roman"/>
          <w:sz w:val="24"/>
        </w:rPr>
      </w:pPr>
      <w:r>
        <w:rPr>
          <w:rFonts w:ascii="Times New Roman"/>
          <w:sz w:val="24"/>
        </w:rPr>
        <w:t>《2020年挥发性有机物治理攻坚方案》（环大气〔2020〕33号），生态环境部，2020年6月23日；</w:t>
      </w:r>
    </w:p>
    <w:p w14:paraId="139148F5">
      <w:pPr>
        <w:numPr>
          <w:ilvl w:val="0"/>
          <w:numId w:val="6"/>
        </w:numPr>
        <w:spacing w:line="480" w:lineRule="exact"/>
        <w:ind w:firstLine="480" w:firstLineChars="200"/>
        <w:rPr>
          <w:rFonts w:ascii="Times New Roman"/>
          <w:sz w:val="24"/>
          <w:szCs w:val="24"/>
        </w:rPr>
      </w:pPr>
      <w:r>
        <w:rPr>
          <w:rFonts w:ascii="Times New Roman"/>
          <w:sz w:val="24"/>
        </w:rPr>
        <w:t>《关于印发&lt;重点行业挥发性有机物综合治理方案&gt;的通知》（环大气〔2</w:t>
      </w:r>
      <w:r>
        <w:rPr>
          <w:rFonts w:ascii="Times New Roman"/>
          <w:sz w:val="24"/>
          <w:szCs w:val="24"/>
        </w:rPr>
        <w:t>019〕53号），2019年6月26日；</w:t>
      </w:r>
    </w:p>
    <w:p w14:paraId="378CCABC">
      <w:pPr>
        <w:numPr>
          <w:ilvl w:val="0"/>
          <w:numId w:val="6"/>
        </w:numPr>
        <w:spacing w:line="480" w:lineRule="exact"/>
        <w:ind w:firstLine="480" w:firstLineChars="200"/>
        <w:rPr>
          <w:rFonts w:ascii="Times New Roman"/>
          <w:sz w:val="24"/>
          <w:szCs w:val="24"/>
        </w:rPr>
      </w:pPr>
      <w:r>
        <w:rPr>
          <w:rFonts w:ascii="Times New Roman"/>
          <w:sz w:val="24"/>
          <w:szCs w:val="24"/>
        </w:rPr>
        <w:t>国务院关于印发《空气质量持续改善行动计划》的通知；国发〔2023〕24号2023年11月30日；</w:t>
      </w:r>
    </w:p>
    <w:p w14:paraId="097D3C7F">
      <w:pPr>
        <w:numPr>
          <w:ilvl w:val="0"/>
          <w:numId w:val="6"/>
        </w:numPr>
        <w:spacing w:line="480" w:lineRule="exact"/>
        <w:ind w:firstLine="480" w:firstLineChars="200"/>
        <w:rPr>
          <w:rFonts w:ascii="Times New Roman"/>
          <w:sz w:val="24"/>
          <w:szCs w:val="24"/>
        </w:rPr>
      </w:pPr>
      <w:r>
        <w:rPr>
          <w:rFonts w:ascii="Times New Roman"/>
          <w:sz w:val="24"/>
          <w:szCs w:val="24"/>
        </w:rPr>
        <w:t>《河北省空气质量持续改善行动计划实施方案》（冀政发〔2024〕4号）</w:t>
      </w:r>
    </w:p>
    <w:p w14:paraId="2AEA5671">
      <w:pPr>
        <w:numPr>
          <w:ilvl w:val="0"/>
          <w:numId w:val="6"/>
        </w:numPr>
        <w:spacing w:line="480" w:lineRule="exact"/>
        <w:ind w:firstLine="480" w:firstLineChars="200"/>
        <w:rPr>
          <w:rFonts w:ascii="Times New Roman"/>
        </w:rPr>
      </w:pPr>
      <w:r>
        <w:rPr>
          <w:rFonts w:ascii="Times New Roman"/>
          <w:sz w:val="24"/>
          <w:szCs w:val="24"/>
        </w:rPr>
        <w:t>《唐山市空气质量持续改善行动计划实施方案》（唐政发〔2024〕42号）</w:t>
      </w:r>
    </w:p>
    <w:p w14:paraId="36122936">
      <w:pPr>
        <w:numPr>
          <w:ilvl w:val="0"/>
          <w:numId w:val="6"/>
        </w:numPr>
        <w:spacing w:line="480" w:lineRule="exact"/>
        <w:ind w:firstLine="480" w:firstLineChars="200"/>
        <w:rPr>
          <w:rFonts w:ascii="Times New Roman"/>
        </w:rPr>
      </w:pPr>
      <w:r>
        <w:rPr>
          <w:rFonts w:ascii="Times New Roman"/>
          <w:sz w:val="24"/>
          <w:szCs w:val="24"/>
        </w:rPr>
        <w:t>《2024年建筑施工扬尘污染防治工作方案》（冀建质安函〔2024〕115号）</w:t>
      </w:r>
    </w:p>
    <w:p w14:paraId="05814EA2">
      <w:pPr>
        <w:numPr>
          <w:ilvl w:val="0"/>
          <w:numId w:val="6"/>
        </w:numPr>
        <w:spacing w:line="480" w:lineRule="exact"/>
        <w:ind w:firstLine="480" w:firstLineChars="200"/>
        <w:rPr>
          <w:rFonts w:ascii="Times New Roman"/>
          <w:sz w:val="24"/>
          <w:szCs w:val="24"/>
        </w:rPr>
      </w:pPr>
      <w:r>
        <w:rPr>
          <w:rFonts w:ascii="Times New Roman"/>
          <w:sz w:val="24"/>
          <w:szCs w:val="24"/>
        </w:rPr>
        <w:t>《国务院关于印发2030年前碳达峰行动方案的通知》（国发〔2021〕23号，2021年10月26日）；</w:t>
      </w:r>
    </w:p>
    <w:p w14:paraId="25261C1E">
      <w:pPr>
        <w:numPr>
          <w:ilvl w:val="0"/>
          <w:numId w:val="6"/>
        </w:numPr>
        <w:spacing w:line="480" w:lineRule="exact"/>
        <w:ind w:firstLine="480" w:firstLineChars="200"/>
        <w:rPr>
          <w:rFonts w:ascii="Times New Roman"/>
          <w:sz w:val="24"/>
          <w:szCs w:val="24"/>
        </w:rPr>
      </w:pPr>
      <w:r>
        <w:rPr>
          <w:rFonts w:ascii="Times New Roman"/>
          <w:sz w:val="24"/>
          <w:szCs w:val="24"/>
        </w:rPr>
        <w:t>《中共中央国务院关于完整准确全面贯彻新发展理念做好碳达峰碳中和工作的意见》（中发〔2021〕36号，2021年9月23日发布并实施）；</w:t>
      </w:r>
    </w:p>
    <w:p w14:paraId="141F7133">
      <w:pPr>
        <w:numPr>
          <w:ilvl w:val="0"/>
          <w:numId w:val="6"/>
        </w:numPr>
        <w:spacing w:line="480" w:lineRule="exact"/>
        <w:ind w:firstLine="480" w:firstLineChars="200"/>
        <w:rPr>
          <w:rFonts w:ascii="Times New Roman"/>
          <w:sz w:val="24"/>
          <w:szCs w:val="24"/>
        </w:rPr>
      </w:pPr>
      <w:r>
        <w:rPr>
          <w:rFonts w:ascii="Times New Roman"/>
          <w:sz w:val="24"/>
          <w:szCs w:val="24"/>
        </w:rPr>
        <w:t>《国务院关于加快建立健全绿色低碳循环发展经济体系的指导意见》（国发〔2021〕4号，2021年2月2日发布并实施）；</w:t>
      </w:r>
    </w:p>
    <w:p w14:paraId="0A31D0AE">
      <w:pPr>
        <w:numPr>
          <w:ilvl w:val="0"/>
          <w:numId w:val="6"/>
        </w:numPr>
        <w:spacing w:line="480" w:lineRule="exact"/>
        <w:ind w:firstLine="480" w:firstLineChars="200"/>
        <w:rPr>
          <w:rFonts w:ascii="Times New Roman"/>
          <w:sz w:val="24"/>
          <w:szCs w:val="24"/>
        </w:rPr>
      </w:pPr>
      <w:r>
        <w:rPr>
          <w:rFonts w:ascii="Times New Roman"/>
          <w:sz w:val="24"/>
          <w:szCs w:val="24"/>
        </w:rPr>
        <w:t>中华人民共和国国务院令第748号《地下水管理条例》（2021年9月15日国务院第149次常务会议通过，自2021年12月1日起施行）；</w:t>
      </w:r>
    </w:p>
    <w:p w14:paraId="1BC2B69E">
      <w:pPr>
        <w:numPr>
          <w:ilvl w:val="0"/>
          <w:numId w:val="6"/>
        </w:numPr>
        <w:spacing w:line="480" w:lineRule="exact"/>
        <w:ind w:firstLine="480" w:firstLineChars="200"/>
        <w:rPr>
          <w:rFonts w:ascii="Times New Roman"/>
          <w:sz w:val="24"/>
          <w:szCs w:val="24"/>
        </w:rPr>
      </w:pPr>
      <w:r>
        <w:rPr>
          <w:rFonts w:ascii="Times New Roman"/>
          <w:sz w:val="24"/>
          <w:szCs w:val="24"/>
        </w:rPr>
        <w:t>中华人民共和国国务院令第736号《排污许可管理条例》（2020年12月9日国务院第117次常务会议通过，自2021年3月1日起施行）；</w:t>
      </w:r>
    </w:p>
    <w:p w14:paraId="5817A2C8">
      <w:pPr>
        <w:numPr>
          <w:ilvl w:val="0"/>
          <w:numId w:val="6"/>
        </w:numPr>
        <w:spacing w:line="480" w:lineRule="exact"/>
        <w:ind w:firstLine="480" w:firstLineChars="200"/>
        <w:rPr>
          <w:rFonts w:ascii="Times New Roman"/>
          <w:sz w:val="24"/>
          <w:szCs w:val="24"/>
        </w:rPr>
      </w:pPr>
      <w:r>
        <w:rPr>
          <w:rFonts w:ascii="Times New Roman"/>
          <w:sz w:val="24"/>
          <w:szCs w:val="24"/>
        </w:rPr>
        <w:t>生态环境部 环环评〔2022〕26号关于印发《“十四五”环境影响评价与排污许可工作实施方案》的通知（2022年4月2日）；</w:t>
      </w:r>
    </w:p>
    <w:p w14:paraId="315E35FE">
      <w:pPr>
        <w:numPr>
          <w:ilvl w:val="0"/>
          <w:numId w:val="6"/>
        </w:numPr>
        <w:spacing w:line="480" w:lineRule="exact"/>
        <w:ind w:firstLine="480" w:firstLineChars="200"/>
        <w:rPr>
          <w:rFonts w:ascii="Times New Roman"/>
          <w:sz w:val="24"/>
          <w:szCs w:val="24"/>
        </w:rPr>
      </w:pPr>
      <w:r>
        <w:rPr>
          <w:rFonts w:ascii="Times New Roman"/>
          <w:sz w:val="24"/>
          <w:szCs w:val="24"/>
        </w:rPr>
        <w:t>《关于印发&lt;十四五噪声污染防治行动计划&gt;的通知》（环大气〔2023〕1号）；</w:t>
      </w:r>
    </w:p>
    <w:p w14:paraId="4023027B">
      <w:pPr>
        <w:numPr>
          <w:ilvl w:val="0"/>
          <w:numId w:val="6"/>
        </w:numPr>
        <w:spacing w:line="480" w:lineRule="exact"/>
        <w:ind w:firstLine="480" w:firstLineChars="200"/>
        <w:rPr>
          <w:rFonts w:ascii="Times New Roman"/>
          <w:sz w:val="24"/>
          <w:szCs w:val="24"/>
        </w:rPr>
      </w:pPr>
      <w:r>
        <w:rPr>
          <w:rFonts w:ascii="Times New Roman"/>
          <w:sz w:val="24"/>
          <w:szCs w:val="24"/>
        </w:rPr>
        <w:t>《关于印发&lt;生态保护红线生态环境监督办法（试行）&gt;的通知》（国环规生态〔2022〕2号）；</w:t>
      </w:r>
    </w:p>
    <w:p w14:paraId="6A0EA738">
      <w:pPr>
        <w:numPr>
          <w:ilvl w:val="0"/>
          <w:numId w:val="6"/>
        </w:numPr>
        <w:spacing w:line="480" w:lineRule="exact"/>
        <w:ind w:firstLine="480" w:firstLineChars="200"/>
        <w:rPr>
          <w:rFonts w:ascii="Times New Roman"/>
          <w:sz w:val="24"/>
          <w:szCs w:val="24"/>
        </w:rPr>
      </w:pPr>
      <w:r>
        <w:rPr>
          <w:rFonts w:ascii="Times New Roman"/>
          <w:sz w:val="24"/>
          <w:szCs w:val="24"/>
        </w:rPr>
        <w:t>《关于印发“十四五”土壤、地下水和农村生态环境保护规划的通知》（环土壤〔2021〕120号）；</w:t>
      </w:r>
    </w:p>
    <w:p w14:paraId="4212BE41">
      <w:pPr>
        <w:numPr>
          <w:ilvl w:val="0"/>
          <w:numId w:val="6"/>
        </w:numPr>
        <w:spacing w:line="480" w:lineRule="exact"/>
        <w:ind w:firstLine="480" w:firstLineChars="200"/>
        <w:rPr>
          <w:rFonts w:ascii="Times New Roman"/>
          <w:sz w:val="24"/>
          <w:szCs w:val="24"/>
        </w:rPr>
      </w:pPr>
      <w:r>
        <w:rPr>
          <w:rFonts w:ascii="Times New Roman"/>
          <w:sz w:val="24"/>
          <w:szCs w:val="24"/>
        </w:rPr>
        <w:t>《关于实施“三线一单”生态环境分区管控的指导意见（试行）》（环环评〔2021〕108号，2021年11月19日）；</w:t>
      </w:r>
    </w:p>
    <w:p w14:paraId="6E22EFF2">
      <w:pPr>
        <w:numPr>
          <w:ilvl w:val="0"/>
          <w:numId w:val="6"/>
        </w:numPr>
        <w:spacing w:line="480" w:lineRule="exact"/>
        <w:ind w:firstLine="480" w:firstLineChars="200"/>
        <w:rPr>
          <w:rFonts w:ascii="Times New Roman"/>
          <w:sz w:val="24"/>
          <w:szCs w:val="24"/>
        </w:rPr>
      </w:pPr>
      <w:r>
        <w:rPr>
          <w:rFonts w:ascii="Times New Roman"/>
          <w:sz w:val="24"/>
          <w:szCs w:val="24"/>
        </w:rPr>
        <w:t>《关于严格能效约束推动重点领域节能降碳的若干意见》（发改产业〔2021〕1464号，2021年10月18日发布并实施）；</w:t>
      </w:r>
    </w:p>
    <w:p w14:paraId="631D4067">
      <w:pPr>
        <w:numPr>
          <w:ilvl w:val="0"/>
          <w:numId w:val="6"/>
        </w:numPr>
        <w:spacing w:line="480" w:lineRule="exact"/>
        <w:ind w:firstLine="480" w:firstLineChars="200"/>
        <w:rPr>
          <w:rFonts w:ascii="Times New Roman"/>
          <w:sz w:val="24"/>
          <w:szCs w:val="24"/>
        </w:rPr>
      </w:pPr>
      <w:r>
        <w:rPr>
          <w:rFonts w:ascii="Times New Roman"/>
          <w:sz w:val="24"/>
          <w:szCs w:val="24"/>
        </w:rPr>
        <w:t>关于开展重点行业建设项目碳排放环境影响评价试点的通知》（环办环评函〔2021〕346号，2021年7月21日）；</w:t>
      </w:r>
    </w:p>
    <w:p w14:paraId="78FDC0BF">
      <w:pPr>
        <w:numPr>
          <w:ilvl w:val="0"/>
          <w:numId w:val="6"/>
        </w:numPr>
        <w:spacing w:line="480" w:lineRule="exact"/>
        <w:ind w:firstLine="480" w:firstLineChars="200"/>
        <w:rPr>
          <w:rFonts w:ascii="Times New Roman"/>
          <w:sz w:val="24"/>
          <w:szCs w:val="24"/>
        </w:rPr>
      </w:pPr>
      <w:r>
        <w:rPr>
          <w:rFonts w:ascii="Times New Roman"/>
          <w:sz w:val="24"/>
          <w:szCs w:val="24"/>
        </w:rPr>
        <w:t>生态环境部《关于加强高耗能、高排放建设项目生态环境源头防控的指导意见》（环环评〔2021〕45号），2021年05月30日；</w:t>
      </w:r>
    </w:p>
    <w:p w14:paraId="6458FAD1">
      <w:pPr>
        <w:numPr>
          <w:ilvl w:val="0"/>
          <w:numId w:val="6"/>
        </w:numPr>
        <w:spacing w:line="480" w:lineRule="exact"/>
        <w:ind w:firstLine="480" w:firstLineChars="200"/>
        <w:rPr>
          <w:rFonts w:ascii="Times New Roman"/>
          <w:sz w:val="24"/>
          <w:szCs w:val="24"/>
        </w:rPr>
      </w:pPr>
      <w:r>
        <w:rPr>
          <w:rFonts w:ascii="Times New Roman"/>
          <w:sz w:val="24"/>
          <w:szCs w:val="24"/>
        </w:rPr>
        <w:t>生态环境部《关于印发《生态保护红线生态环境监督办法（试行）》的通知》（国环规生态〔2022〕2号，2022年12月27日）；</w:t>
      </w:r>
    </w:p>
    <w:p w14:paraId="63D629AB">
      <w:pPr>
        <w:numPr>
          <w:ilvl w:val="0"/>
          <w:numId w:val="6"/>
        </w:numPr>
        <w:spacing w:line="480" w:lineRule="exact"/>
        <w:ind w:firstLine="480" w:firstLineChars="200"/>
        <w:rPr>
          <w:rFonts w:ascii="Times New Roman"/>
          <w:sz w:val="24"/>
          <w:szCs w:val="24"/>
        </w:rPr>
      </w:pPr>
      <w:r>
        <w:rPr>
          <w:rFonts w:ascii="Times New Roman"/>
          <w:sz w:val="24"/>
          <w:szCs w:val="24"/>
        </w:rPr>
        <w:t>生态环境部办公厅《关于加强重点行业建设项目区域削减措施监督管理的通知》（环办环评〔2020〕36号，2020年12月31日）；</w:t>
      </w:r>
    </w:p>
    <w:p w14:paraId="4CBC4CDE">
      <w:pPr>
        <w:numPr>
          <w:ilvl w:val="0"/>
          <w:numId w:val="6"/>
        </w:numPr>
        <w:spacing w:line="480" w:lineRule="exact"/>
        <w:ind w:firstLine="480" w:firstLineChars="200"/>
        <w:rPr>
          <w:rFonts w:ascii="Times New Roman"/>
          <w:sz w:val="24"/>
          <w:szCs w:val="24"/>
        </w:rPr>
      </w:pPr>
      <w:r>
        <w:rPr>
          <w:rFonts w:ascii="Times New Roman"/>
          <w:sz w:val="24"/>
          <w:szCs w:val="24"/>
        </w:rPr>
        <w:t>《一般工业固体废物贮存和填埋污染控制标准》（GB 18599-2020）（生态环境部，自2021年7月1日起实施）；</w:t>
      </w:r>
    </w:p>
    <w:p w14:paraId="57D496A8">
      <w:pPr>
        <w:numPr>
          <w:ilvl w:val="0"/>
          <w:numId w:val="6"/>
        </w:numPr>
        <w:spacing w:line="480" w:lineRule="exact"/>
        <w:ind w:firstLine="480" w:firstLineChars="200"/>
        <w:rPr>
          <w:rFonts w:ascii="Times New Roman"/>
          <w:sz w:val="24"/>
          <w:szCs w:val="24"/>
        </w:rPr>
      </w:pPr>
      <w:r>
        <w:rPr>
          <w:rFonts w:ascii="Times New Roman"/>
          <w:sz w:val="24"/>
          <w:szCs w:val="24"/>
        </w:rPr>
        <w:t>生态环境部公告2023年第6号《危险废物贮存污染控制标准》（GB 18597-2023）（自2023年7月1日起实施）；</w:t>
      </w:r>
    </w:p>
    <w:p w14:paraId="6EAAE3D9">
      <w:pPr>
        <w:numPr>
          <w:ilvl w:val="0"/>
          <w:numId w:val="6"/>
        </w:numPr>
        <w:spacing w:line="480" w:lineRule="exact"/>
        <w:ind w:firstLine="480" w:firstLineChars="200"/>
        <w:rPr>
          <w:rFonts w:ascii="Times New Roman"/>
          <w:sz w:val="24"/>
          <w:szCs w:val="24"/>
        </w:rPr>
      </w:pPr>
      <w:r>
        <w:rPr>
          <w:rFonts w:ascii="Times New Roman"/>
          <w:sz w:val="24"/>
          <w:szCs w:val="24"/>
        </w:rPr>
        <w:t>《危险废物转移管理办法》（生态环境部、公安部、交通运输部 部令 第23号，2021年12月03日）；</w:t>
      </w:r>
    </w:p>
    <w:p w14:paraId="21156362">
      <w:pPr>
        <w:numPr>
          <w:ilvl w:val="0"/>
          <w:numId w:val="6"/>
        </w:numPr>
        <w:spacing w:line="480" w:lineRule="exact"/>
        <w:ind w:firstLine="480" w:firstLineChars="200"/>
        <w:rPr>
          <w:rFonts w:ascii="Times New Roman"/>
          <w:sz w:val="24"/>
          <w:szCs w:val="24"/>
        </w:rPr>
      </w:pPr>
      <w:r>
        <w:rPr>
          <w:rFonts w:ascii="Times New Roman"/>
          <w:sz w:val="24"/>
          <w:szCs w:val="24"/>
        </w:rPr>
        <w:t>关于进一步加强危险废物规范化环境管理有关工作的通知（环办固体〔2023〕17号，2023-11-07）；</w:t>
      </w:r>
    </w:p>
    <w:p w14:paraId="719A2B2B">
      <w:pPr>
        <w:numPr>
          <w:ilvl w:val="0"/>
          <w:numId w:val="6"/>
        </w:numPr>
        <w:spacing w:line="480" w:lineRule="exact"/>
        <w:ind w:firstLine="480" w:firstLineChars="200"/>
        <w:rPr>
          <w:rFonts w:ascii="Times New Roman"/>
          <w:sz w:val="24"/>
          <w:szCs w:val="24"/>
        </w:rPr>
      </w:pPr>
      <w:r>
        <w:rPr>
          <w:rFonts w:ascii="Times New Roman"/>
          <w:sz w:val="24"/>
        </w:rPr>
        <w:t>关于发布《一般工业固体废物管理台账制定指南（试行）》的公告；（生态环境部公告 2021年第82号）；</w:t>
      </w:r>
    </w:p>
    <w:p w14:paraId="4CF50856">
      <w:pPr>
        <w:numPr>
          <w:ilvl w:val="0"/>
          <w:numId w:val="6"/>
        </w:numPr>
        <w:spacing w:line="480" w:lineRule="exact"/>
        <w:ind w:firstLine="480" w:firstLineChars="200"/>
        <w:rPr>
          <w:rFonts w:ascii="Times New Roman"/>
          <w:sz w:val="24"/>
          <w:szCs w:val="24"/>
        </w:rPr>
      </w:pPr>
      <w:r>
        <w:rPr>
          <w:rFonts w:ascii="Times New Roman"/>
          <w:sz w:val="24"/>
        </w:rPr>
        <w:t>生态环境部关于发布《固体废物分类与代码目录》的公告（公2024年第4号）。</w:t>
      </w:r>
    </w:p>
    <w:p w14:paraId="61E05724">
      <w:pPr>
        <w:numPr>
          <w:ilvl w:val="0"/>
          <w:numId w:val="6"/>
        </w:numPr>
        <w:spacing w:line="480" w:lineRule="exact"/>
        <w:ind w:firstLine="480" w:firstLineChars="200"/>
        <w:rPr>
          <w:rFonts w:ascii="Times New Roman"/>
        </w:rPr>
      </w:pPr>
      <w:r>
        <w:rPr>
          <w:rFonts w:ascii="Times New Roman"/>
          <w:sz w:val="24"/>
          <w:szCs w:val="24"/>
        </w:rPr>
        <w:t>《重污染天气重点行业应急减排措施制定技术指南》（2021年修订版）。</w:t>
      </w:r>
    </w:p>
    <w:p w14:paraId="1CB560ED">
      <w:pPr>
        <w:pStyle w:val="5"/>
        <w:tabs>
          <w:tab w:val="left" w:pos="2250"/>
          <w:tab w:val="left" w:pos="6792"/>
        </w:tabs>
        <w:spacing w:before="65" w:after="65"/>
      </w:pPr>
      <w:r>
        <w:t>2.1.3省市环境保护法律</w:t>
      </w:r>
    </w:p>
    <w:p w14:paraId="323A9D95">
      <w:pPr>
        <w:numPr>
          <w:ilvl w:val="0"/>
          <w:numId w:val="7"/>
        </w:numPr>
        <w:spacing w:line="480" w:lineRule="exact"/>
        <w:ind w:left="0" w:firstLine="480"/>
        <w:rPr>
          <w:rFonts w:ascii="Times New Roman"/>
          <w:sz w:val="24"/>
        </w:rPr>
      </w:pPr>
      <w:r>
        <w:rPr>
          <w:rFonts w:ascii="Times New Roman"/>
          <w:sz w:val="24"/>
        </w:rPr>
        <w:t>河北省第十三届人民代表大会常务委员会第十六次会议《河北省生态环境保护条例》，自2020年7月1日起施行；</w:t>
      </w:r>
    </w:p>
    <w:p w14:paraId="6C634516">
      <w:pPr>
        <w:numPr>
          <w:ilvl w:val="0"/>
          <w:numId w:val="7"/>
        </w:numPr>
        <w:spacing w:line="480" w:lineRule="exact"/>
        <w:ind w:left="0" w:firstLine="480"/>
        <w:rPr>
          <w:rFonts w:ascii="Times New Roman"/>
          <w:sz w:val="24"/>
        </w:rPr>
      </w:pPr>
      <w:r>
        <w:rPr>
          <w:rFonts w:ascii="Times New Roman"/>
          <w:sz w:val="24"/>
        </w:rPr>
        <w:t>河北省第十三届人民代表大会常务委员会第三十三次会议《河北省固体废物污染环境防治条例》，2022年9月28日；</w:t>
      </w:r>
    </w:p>
    <w:p w14:paraId="3987FEDC">
      <w:pPr>
        <w:numPr>
          <w:ilvl w:val="0"/>
          <w:numId w:val="7"/>
        </w:numPr>
        <w:spacing w:line="480" w:lineRule="exact"/>
        <w:ind w:left="0" w:firstLine="480"/>
        <w:rPr>
          <w:rFonts w:ascii="Times New Roman"/>
          <w:sz w:val="24"/>
        </w:rPr>
      </w:pPr>
      <w:r>
        <w:rPr>
          <w:rFonts w:ascii="Times New Roman"/>
          <w:sz w:val="24"/>
        </w:rPr>
        <w:t>河北省第十三届人民代表大会常务委员会第三次会议修订《河北省水污染防治条例》，2018年5月31日；</w:t>
      </w:r>
    </w:p>
    <w:p w14:paraId="73B6618B">
      <w:pPr>
        <w:numPr>
          <w:ilvl w:val="0"/>
          <w:numId w:val="7"/>
        </w:numPr>
        <w:spacing w:line="480" w:lineRule="exact"/>
        <w:ind w:left="0" w:firstLine="480"/>
        <w:rPr>
          <w:rFonts w:ascii="Times New Roman"/>
          <w:sz w:val="24"/>
        </w:rPr>
      </w:pPr>
      <w:r>
        <w:rPr>
          <w:rFonts w:ascii="Times New Roman"/>
          <w:sz w:val="24"/>
        </w:rPr>
        <w:t>河北省第十三届人民代表大会常务委员会第二十五次会议修正《河北省大气污染防治条例》，2021年9月29日；</w:t>
      </w:r>
    </w:p>
    <w:p w14:paraId="588D8F59">
      <w:pPr>
        <w:numPr>
          <w:ilvl w:val="0"/>
          <w:numId w:val="7"/>
        </w:numPr>
        <w:spacing w:line="480" w:lineRule="exact"/>
        <w:ind w:left="0" w:firstLine="480"/>
        <w:rPr>
          <w:rFonts w:ascii="Times New Roman"/>
          <w:sz w:val="24"/>
        </w:rPr>
      </w:pPr>
      <w:r>
        <w:rPr>
          <w:rFonts w:ascii="Times New Roman"/>
          <w:sz w:val="24"/>
        </w:rPr>
        <w:t>河北省第十三届人民代表大会常务委员会第五次会议修订《河北省地下水管理条例（2018修订）》，2018年9月20日；</w:t>
      </w:r>
    </w:p>
    <w:p w14:paraId="626EA7E6">
      <w:pPr>
        <w:numPr>
          <w:ilvl w:val="0"/>
          <w:numId w:val="7"/>
        </w:numPr>
        <w:spacing w:line="480" w:lineRule="exact"/>
        <w:ind w:left="0" w:firstLine="480"/>
        <w:rPr>
          <w:rFonts w:ascii="Times New Roman"/>
          <w:sz w:val="24"/>
        </w:rPr>
      </w:pPr>
      <w:r>
        <w:rPr>
          <w:rFonts w:ascii="Times New Roman"/>
          <w:sz w:val="24"/>
        </w:rPr>
        <w:t>河北省第十三届人民代表大会常务委员会第二十七次会议《河北省土壤污染防治条例》，自2022年1月1日起施行；</w:t>
      </w:r>
    </w:p>
    <w:p w14:paraId="10A3C19B">
      <w:pPr>
        <w:numPr>
          <w:ilvl w:val="0"/>
          <w:numId w:val="7"/>
        </w:numPr>
        <w:spacing w:line="480" w:lineRule="exact"/>
        <w:ind w:left="0" w:firstLine="480"/>
        <w:rPr>
          <w:rFonts w:ascii="Times New Roman"/>
          <w:sz w:val="24"/>
        </w:rPr>
      </w:pPr>
      <w:r>
        <w:rPr>
          <w:rFonts w:ascii="Times New Roman"/>
          <w:sz w:val="24"/>
        </w:rPr>
        <w:t>河北省第十三届人民代表大会常务委员会第十八次会议修正《河北省环境保护公众参与条例》，2020年7月30日；</w:t>
      </w:r>
    </w:p>
    <w:p w14:paraId="36D6CFA6">
      <w:pPr>
        <w:numPr>
          <w:ilvl w:val="0"/>
          <w:numId w:val="7"/>
        </w:numPr>
        <w:spacing w:line="480" w:lineRule="exact"/>
        <w:ind w:left="0" w:firstLine="480"/>
        <w:rPr>
          <w:rFonts w:ascii="Times New Roman"/>
          <w:sz w:val="24"/>
        </w:rPr>
      </w:pPr>
      <w:r>
        <w:rPr>
          <w:rFonts w:ascii="Times New Roman"/>
          <w:sz w:val="24"/>
        </w:rPr>
        <w:t>《关于印发&lt;河北省减污降碳协同增效实施方案&gt;的通知》（冀环综合〔2023〕17号）；</w:t>
      </w:r>
    </w:p>
    <w:p w14:paraId="7AE53B2E">
      <w:pPr>
        <w:numPr>
          <w:ilvl w:val="0"/>
          <w:numId w:val="7"/>
        </w:numPr>
        <w:spacing w:line="480" w:lineRule="exact"/>
        <w:ind w:left="0" w:firstLine="480"/>
        <w:rPr>
          <w:rFonts w:ascii="Times New Roman"/>
          <w:sz w:val="24"/>
        </w:rPr>
      </w:pPr>
      <w:r>
        <w:rPr>
          <w:rFonts w:ascii="Times New Roman"/>
          <w:sz w:val="24"/>
        </w:rPr>
        <w:t>河北省政府第66次常务会议关于对《河北省环境污染防治监督管理办法》作出修改的决定，2015年11月12日；</w:t>
      </w:r>
    </w:p>
    <w:p w14:paraId="3DB74867">
      <w:pPr>
        <w:numPr>
          <w:ilvl w:val="0"/>
          <w:numId w:val="7"/>
        </w:numPr>
        <w:spacing w:line="480" w:lineRule="exact"/>
        <w:ind w:left="0" w:firstLine="480"/>
        <w:rPr>
          <w:rFonts w:ascii="Times New Roman"/>
          <w:sz w:val="24"/>
        </w:rPr>
      </w:pPr>
      <w:r>
        <w:rPr>
          <w:rFonts w:ascii="Times New Roman"/>
          <w:sz w:val="24"/>
        </w:rPr>
        <w:t>河北省人民政府办公厅关于印发《河北省建设京津冀生态环境支撑区“十四五”规划》的通知（冀政办字〔2021〕144号），2021年11月12日；</w:t>
      </w:r>
    </w:p>
    <w:p w14:paraId="648EF279">
      <w:pPr>
        <w:numPr>
          <w:ilvl w:val="0"/>
          <w:numId w:val="7"/>
        </w:numPr>
        <w:spacing w:line="480" w:lineRule="exact"/>
        <w:ind w:left="0" w:firstLine="480"/>
        <w:rPr>
          <w:rFonts w:ascii="Times New Roman"/>
          <w:sz w:val="24"/>
        </w:rPr>
      </w:pPr>
      <w:r>
        <w:rPr>
          <w:rFonts w:ascii="Times New Roman"/>
          <w:sz w:val="24"/>
        </w:rPr>
        <w:t>河北省人民政府关于印发《河北省生态环境保护“十四五”规划》的通知（冀政字〔2022〕2号，2022年1月12日）；</w:t>
      </w:r>
    </w:p>
    <w:p w14:paraId="2D79AC92">
      <w:pPr>
        <w:numPr>
          <w:ilvl w:val="0"/>
          <w:numId w:val="7"/>
        </w:numPr>
        <w:spacing w:line="480" w:lineRule="exact"/>
        <w:ind w:left="0" w:firstLine="480"/>
        <w:rPr>
          <w:rFonts w:ascii="Times New Roman"/>
          <w:sz w:val="24"/>
        </w:rPr>
      </w:pPr>
      <w:r>
        <w:rPr>
          <w:rFonts w:ascii="Times New Roman"/>
          <w:sz w:val="24"/>
        </w:rPr>
        <w:t>《河北省人民政府关于加快实施“三线一单”生态环境分区管控的意见》（冀政字〔2021〕71号）；</w:t>
      </w:r>
    </w:p>
    <w:p w14:paraId="2CB36E31">
      <w:pPr>
        <w:numPr>
          <w:ilvl w:val="0"/>
          <w:numId w:val="7"/>
        </w:numPr>
        <w:spacing w:line="480" w:lineRule="exact"/>
        <w:ind w:left="0" w:firstLine="480"/>
        <w:rPr>
          <w:rFonts w:ascii="Times New Roman"/>
          <w:sz w:val="24"/>
        </w:rPr>
      </w:pPr>
      <w:r>
        <w:rPr>
          <w:rFonts w:ascii="Times New Roman"/>
          <w:sz w:val="24"/>
        </w:rPr>
        <w:t>河北省土壤污染防治工作领导小组办公室关于印发《河北省土壤与地下水污染防治“十四五”规划》的通知，2022年1月31日；</w:t>
      </w:r>
    </w:p>
    <w:p w14:paraId="12ACB557">
      <w:pPr>
        <w:numPr>
          <w:ilvl w:val="0"/>
          <w:numId w:val="7"/>
        </w:numPr>
        <w:spacing w:line="480" w:lineRule="exact"/>
        <w:ind w:left="0" w:firstLine="480"/>
        <w:rPr>
          <w:rFonts w:ascii="Times New Roman"/>
          <w:sz w:val="24"/>
        </w:rPr>
      </w:pPr>
      <w:r>
        <w:rPr>
          <w:rFonts w:ascii="Times New Roman"/>
          <w:sz w:val="24"/>
        </w:rPr>
        <w:t>河北省人民政府关于印发《河北省“净土行动”土壤污染防治工作方案》的通知（冀政发（2017）3号），2017年2月26日；</w:t>
      </w:r>
    </w:p>
    <w:p w14:paraId="741815CE">
      <w:pPr>
        <w:numPr>
          <w:ilvl w:val="0"/>
          <w:numId w:val="7"/>
        </w:numPr>
        <w:spacing w:line="480" w:lineRule="exact"/>
        <w:ind w:left="0" w:firstLine="480"/>
        <w:rPr>
          <w:rFonts w:ascii="Times New Roman"/>
          <w:sz w:val="24"/>
        </w:rPr>
      </w:pPr>
      <w:r>
        <w:rPr>
          <w:rFonts w:ascii="Times New Roman"/>
          <w:sz w:val="24"/>
        </w:rPr>
        <w:t>河北省生态环境厅《关于严格执行固体（危险）废物管理规定加强跨省转移监督管理的通知》（冀环土壤〔2018〕82号）；</w:t>
      </w:r>
    </w:p>
    <w:p w14:paraId="6DBF0137">
      <w:pPr>
        <w:numPr>
          <w:ilvl w:val="0"/>
          <w:numId w:val="7"/>
        </w:numPr>
        <w:spacing w:line="480" w:lineRule="exact"/>
        <w:ind w:left="0" w:firstLine="480"/>
        <w:rPr>
          <w:rFonts w:ascii="Times New Roman"/>
          <w:sz w:val="24"/>
        </w:rPr>
      </w:pPr>
      <w:bookmarkStart w:id="44" w:name="OLE_LINK49"/>
      <w:r>
        <w:rPr>
          <w:rFonts w:ascii="Times New Roman"/>
          <w:sz w:val="24"/>
        </w:rPr>
        <w:t>河北省委办公厅印发《中共河北省委 河北省人民政府关于全面加强生态环境保护坚决打好污染防治攻坚战的实施意见》（冀发〔2018〕38号</w:t>
      </w:r>
      <w:bookmarkEnd w:id="44"/>
      <w:r>
        <w:rPr>
          <w:rFonts w:ascii="Times New Roman"/>
          <w:sz w:val="24"/>
        </w:rPr>
        <w:t>）；</w:t>
      </w:r>
    </w:p>
    <w:p w14:paraId="64ED6746">
      <w:pPr>
        <w:numPr>
          <w:ilvl w:val="0"/>
          <w:numId w:val="7"/>
        </w:numPr>
        <w:spacing w:line="480" w:lineRule="exact"/>
        <w:ind w:left="0" w:firstLine="480"/>
        <w:rPr>
          <w:rFonts w:ascii="Times New Roman"/>
          <w:sz w:val="24"/>
        </w:rPr>
      </w:pPr>
      <w:r>
        <w:rPr>
          <w:rFonts w:ascii="Times New Roman"/>
          <w:sz w:val="24"/>
        </w:rPr>
        <w:t>《河北省2021年大气污染物综合治理工作方案》（冀气领组〔2021〕2号），2021年4月26日；</w:t>
      </w:r>
    </w:p>
    <w:p w14:paraId="5417B48E">
      <w:pPr>
        <w:numPr>
          <w:ilvl w:val="0"/>
          <w:numId w:val="7"/>
        </w:numPr>
        <w:spacing w:line="480" w:lineRule="exact"/>
        <w:ind w:left="0" w:firstLine="480"/>
        <w:rPr>
          <w:rFonts w:ascii="Times New Roman"/>
          <w:sz w:val="24"/>
        </w:rPr>
      </w:pPr>
      <w:r>
        <w:rPr>
          <w:rFonts w:ascii="Times New Roman"/>
          <w:sz w:val="24"/>
        </w:rPr>
        <w:t>《河北省深入实施大气污染物综合治理十条措施》（</w:t>
      </w:r>
      <w:r>
        <w:rPr>
          <w:rFonts w:ascii="Times New Roman"/>
          <w:sz w:val="24"/>
          <w:lang w:val="en"/>
        </w:rPr>
        <w:t>河北省委</w:t>
      </w:r>
      <w:r>
        <w:rPr>
          <w:rFonts w:ascii="Times New Roman"/>
          <w:sz w:val="24"/>
        </w:rPr>
        <w:t>办公厅、河北省人民政府办公厅，2021年3月5日）；</w:t>
      </w:r>
    </w:p>
    <w:p w14:paraId="6F5E46DC">
      <w:pPr>
        <w:numPr>
          <w:ilvl w:val="0"/>
          <w:numId w:val="7"/>
        </w:numPr>
        <w:spacing w:line="480" w:lineRule="exact"/>
        <w:ind w:left="0" w:firstLine="480"/>
        <w:rPr>
          <w:rFonts w:ascii="Times New Roman"/>
          <w:sz w:val="24"/>
        </w:rPr>
      </w:pPr>
      <w:r>
        <w:rPr>
          <w:rFonts w:ascii="Times New Roman"/>
          <w:sz w:val="24"/>
        </w:rPr>
        <w:t>《河北省人民政府关于公布地下水超采区、禁止开采区和限制开采区范围的通知》（冀政字〔2022〕59号，2022年12月15日发布并实施）；</w:t>
      </w:r>
    </w:p>
    <w:p w14:paraId="310B87FF">
      <w:pPr>
        <w:numPr>
          <w:ilvl w:val="0"/>
          <w:numId w:val="7"/>
        </w:numPr>
        <w:spacing w:line="480" w:lineRule="exact"/>
        <w:ind w:left="0" w:firstLine="480"/>
        <w:rPr>
          <w:rFonts w:ascii="Times New Roman"/>
          <w:sz w:val="24"/>
        </w:rPr>
      </w:pPr>
      <w:r>
        <w:rPr>
          <w:rFonts w:ascii="Times New Roman"/>
          <w:sz w:val="24"/>
        </w:rPr>
        <w:t>《河北省扬尘污染防治办法》，2020年4月1日起施行；</w:t>
      </w:r>
    </w:p>
    <w:p w14:paraId="52239C3C">
      <w:pPr>
        <w:numPr>
          <w:ilvl w:val="0"/>
          <w:numId w:val="7"/>
        </w:numPr>
        <w:spacing w:line="480" w:lineRule="exact"/>
        <w:ind w:left="0" w:firstLine="480"/>
        <w:rPr>
          <w:rFonts w:ascii="Times New Roman"/>
          <w:sz w:val="24"/>
        </w:rPr>
      </w:pPr>
      <w:r>
        <w:rPr>
          <w:rFonts w:ascii="Times New Roman"/>
          <w:sz w:val="24"/>
        </w:rPr>
        <w:t>河北省住房和城乡建设厅关于印发《河北省2023年建筑施工扬尘污染防治工作方案》的通知（冀建质安函〔2023〕105号），2023年3月22日；</w:t>
      </w:r>
    </w:p>
    <w:p w14:paraId="3EADEE41">
      <w:pPr>
        <w:numPr>
          <w:ilvl w:val="0"/>
          <w:numId w:val="7"/>
        </w:numPr>
        <w:spacing w:line="480" w:lineRule="exact"/>
        <w:ind w:left="0" w:firstLine="480"/>
        <w:rPr>
          <w:rFonts w:ascii="Times New Roman"/>
          <w:sz w:val="24"/>
        </w:rPr>
      </w:pPr>
      <w:r>
        <w:rPr>
          <w:rFonts w:ascii="Times New Roman"/>
          <w:sz w:val="24"/>
        </w:rPr>
        <w:t>河北省环境保护厅冀环评〔2013〕232号《关于进一步加强建设项目环保管理的通知》，2013年7月17日；</w:t>
      </w:r>
    </w:p>
    <w:p w14:paraId="5C770A46">
      <w:pPr>
        <w:numPr>
          <w:ilvl w:val="0"/>
          <w:numId w:val="7"/>
        </w:numPr>
        <w:spacing w:line="480" w:lineRule="exact"/>
        <w:ind w:left="0" w:firstLine="480"/>
        <w:rPr>
          <w:rFonts w:ascii="Times New Roman"/>
          <w:sz w:val="24"/>
        </w:rPr>
      </w:pPr>
      <w:r>
        <w:rPr>
          <w:rFonts w:ascii="Times New Roman"/>
          <w:sz w:val="24"/>
        </w:rPr>
        <w:t>河北省生态环境厅关于印发《河北省主要污染物排污权确权管理暂行办法》的通知（（冀政办字〔2022〕3号），2022年5月13日；</w:t>
      </w:r>
    </w:p>
    <w:p w14:paraId="6F4C8F95">
      <w:pPr>
        <w:numPr>
          <w:ilvl w:val="0"/>
          <w:numId w:val="7"/>
        </w:numPr>
        <w:spacing w:line="480" w:lineRule="exact"/>
        <w:ind w:left="0" w:firstLine="480"/>
        <w:rPr>
          <w:rFonts w:ascii="Times New Roman"/>
          <w:sz w:val="24"/>
        </w:rPr>
      </w:pPr>
      <w:r>
        <w:rPr>
          <w:rFonts w:ascii="Times New Roman"/>
          <w:sz w:val="24"/>
        </w:rPr>
        <w:t>河北省发展和改革委员会关于加强新建“两高”项目管理的通知（冀发改环资〔2022〕691号），2022年5月25日；</w:t>
      </w:r>
    </w:p>
    <w:p w14:paraId="0D1B70A8">
      <w:pPr>
        <w:numPr>
          <w:ilvl w:val="0"/>
          <w:numId w:val="7"/>
        </w:numPr>
        <w:spacing w:line="480" w:lineRule="exact"/>
        <w:ind w:left="0" w:firstLine="480"/>
        <w:rPr>
          <w:rFonts w:ascii="Times New Roman"/>
          <w:sz w:val="24"/>
        </w:rPr>
      </w:pPr>
      <w:r>
        <w:rPr>
          <w:rFonts w:ascii="Times New Roman"/>
          <w:sz w:val="24"/>
        </w:rPr>
        <w:t>《关于进一步加快推进危险废物智能化环境监管建设的通知》（河北省生态环境厅办公室〔2021〕550号，2021年10月11日）；</w:t>
      </w:r>
    </w:p>
    <w:p w14:paraId="52613A70">
      <w:pPr>
        <w:numPr>
          <w:ilvl w:val="0"/>
          <w:numId w:val="7"/>
        </w:numPr>
        <w:spacing w:line="480" w:lineRule="exact"/>
        <w:ind w:left="0" w:firstLine="480"/>
        <w:rPr>
          <w:rFonts w:ascii="Times New Roman"/>
          <w:sz w:val="24"/>
        </w:rPr>
      </w:pPr>
      <w:r>
        <w:rPr>
          <w:rFonts w:ascii="Times New Roman"/>
          <w:sz w:val="24"/>
        </w:rPr>
        <w:t>《河北省生态环境厅关于加快危险废物智能化环境监管平台建设的知道意见》（冀环规范〔2021〕1号，2021年2月23日）</w:t>
      </w:r>
    </w:p>
    <w:p w14:paraId="0939E340">
      <w:pPr>
        <w:numPr>
          <w:ilvl w:val="0"/>
          <w:numId w:val="7"/>
        </w:numPr>
        <w:spacing w:line="480" w:lineRule="exact"/>
        <w:ind w:left="0" w:firstLine="480"/>
        <w:rPr>
          <w:rFonts w:ascii="Times New Roman"/>
          <w:sz w:val="24"/>
        </w:rPr>
      </w:pPr>
      <w:r>
        <w:rPr>
          <w:rFonts w:ascii="Times New Roman"/>
          <w:sz w:val="24"/>
        </w:rPr>
        <w:t>《关于进一步改革和优化建设项目主要污染物排放总量核定工作的通知》，冀环总〔2014〕283号；</w:t>
      </w:r>
    </w:p>
    <w:p w14:paraId="6C97D235">
      <w:pPr>
        <w:numPr>
          <w:ilvl w:val="0"/>
          <w:numId w:val="7"/>
        </w:numPr>
        <w:spacing w:line="480" w:lineRule="exact"/>
        <w:ind w:left="0" w:firstLine="480"/>
        <w:rPr>
          <w:rFonts w:ascii="Times New Roman"/>
          <w:sz w:val="24"/>
        </w:rPr>
      </w:pPr>
      <w:r>
        <w:rPr>
          <w:rFonts w:ascii="Times New Roman"/>
          <w:sz w:val="24"/>
        </w:rPr>
        <w:t>《关于印发&lt;河北省重点行业挥发性有机物污染控制技术指引&gt;的通知》，冀环大气〔2019〕501号，2019年10月25日；</w:t>
      </w:r>
    </w:p>
    <w:p w14:paraId="5B9587C9">
      <w:pPr>
        <w:numPr>
          <w:ilvl w:val="0"/>
          <w:numId w:val="7"/>
        </w:numPr>
        <w:spacing w:line="480" w:lineRule="exact"/>
        <w:ind w:left="0" w:firstLine="480"/>
        <w:rPr>
          <w:rFonts w:ascii="Times New Roman"/>
          <w:sz w:val="24"/>
        </w:rPr>
      </w:pPr>
      <w:r>
        <w:rPr>
          <w:rFonts w:ascii="Times New Roman"/>
          <w:sz w:val="24"/>
        </w:rPr>
        <w:t>《关于加强重点工业源挥发性有机物排放在线监控工作的通知》（冀环办字函〔2017〕544号）；</w:t>
      </w:r>
    </w:p>
    <w:p w14:paraId="428B1B33">
      <w:pPr>
        <w:numPr>
          <w:ilvl w:val="0"/>
          <w:numId w:val="7"/>
        </w:numPr>
        <w:spacing w:line="480" w:lineRule="exact"/>
        <w:ind w:left="0" w:firstLine="480"/>
        <w:rPr>
          <w:rFonts w:ascii="Times New Roman"/>
          <w:sz w:val="24"/>
        </w:rPr>
      </w:pPr>
      <w:r>
        <w:rPr>
          <w:rFonts w:ascii="Times New Roman"/>
        </w:rPr>
        <w:t>关于印发《河北省涉VOCs工业企业常用治理技术指南》的通知，冀环应急</w:t>
      </w:r>
      <w:r>
        <w:rPr>
          <w:rFonts w:ascii="Times New Roman"/>
          <w:sz w:val="24"/>
        </w:rPr>
        <w:t>〔2022〕</w:t>
      </w:r>
      <w:r>
        <w:rPr>
          <w:rFonts w:ascii="Times New Roman"/>
        </w:rPr>
        <w:t>140号，2022.7.8；</w:t>
      </w:r>
    </w:p>
    <w:p w14:paraId="15B23520">
      <w:pPr>
        <w:numPr>
          <w:ilvl w:val="0"/>
          <w:numId w:val="7"/>
        </w:numPr>
        <w:spacing w:line="480" w:lineRule="exact"/>
        <w:ind w:left="0" w:firstLine="480"/>
        <w:rPr>
          <w:rFonts w:ascii="Times New Roman"/>
          <w:sz w:val="24"/>
        </w:rPr>
      </w:pPr>
      <w:r>
        <w:rPr>
          <w:rFonts w:ascii="Times New Roman"/>
          <w:sz w:val="24"/>
        </w:rPr>
        <w:t>《关于印发重点工业源挥发性有机物排放在线监控设备安装联网验收技术指南的通知》（冀环办字函〔2018〕256号）；</w:t>
      </w:r>
    </w:p>
    <w:p w14:paraId="52685779">
      <w:pPr>
        <w:numPr>
          <w:ilvl w:val="0"/>
          <w:numId w:val="7"/>
        </w:numPr>
        <w:spacing w:line="480" w:lineRule="exact"/>
        <w:ind w:left="0" w:firstLine="480"/>
        <w:rPr>
          <w:rFonts w:ascii="Times New Roman"/>
          <w:sz w:val="24"/>
        </w:rPr>
      </w:pPr>
      <w:r>
        <w:rPr>
          <w:rFonts w:ascii="Times New Roman"/>
          <w:sz w:val="24"/>
        </w:rPr>
        <w:t>河北省生态环境厅关于印发《关于进一步优化环境影响评价工作的若干措施》的通知，（冀环环评〔2023〕218号）；</w:t>
      </w:r>
    </w:p>
    <w:p w14:paraId="479275E8">
      <w:pPr>
        <w:numPr>
          <w:ilvl w:val="0"/>
          <w:numId w:val="7"/>
        </w:numPr>
        <w:spacing w:line="480" w:lineRule="exact"/>
        <w:ind w:left="0" w:firstLine="480"/>
        <w:rPr>
          <w:rFonts w:ascii="Times New Roman"/>
          <w:sz w:val="24"/>
        </w:rPr>
      </w:pPr>
      <w:r>
        <w:rPr>
          <w:rFonts w:ascii="Times New Roman"/>
          <w:sz w:val="24"/>
        </w:rPr>
        <w:t>《唐山市生态环境保护条例》（2022年11月29日河北省第十三届人民代表大会常务委员会第三十四次会议通过）；</w:t>
      </w:r>
    </w:p>
    <w:p w14:paraId="1A2CE2CD">
      <w:pPr>
        <w:numPr>
          <w:ilvl w:val="0"/>
          <w:numId w:val="7"/>
        </w:numPr>
        <w:spacing w:line="480" w:lineRule="exact"/>
        <w:ind w:left="0" w:firstLine="480"/>
        <w:rPr>
          <w:rFonts w:ascii="Times New Roman"/>
          <w:sz w:val="24"/>
        </w:rPr>
      </w:pPr>
      <w:r>
        <w:rPr>
          <w:rFonts w:ascii="Times New Roman"/>
          <w:sz w:val="24"/>
          <w:szCs w:val="24"/>
        </w:rPr>
        <w:t>唐山市人民政府关于印发《唐山市生态环境保护“十四五”规划》的通知（唐政字〔2022〕46号），2022年6月1日；</w:t>
      </w:r>
    </w:p>
    <w:p w14:paraId="76A430FA">
      <w:pPr>
        <w:numPr>
          <w:ilvl w:val="0"/>
          <w:numId w:val="7"/>
        </w:numPr>
        <w:spacing w:line="480" w:lineRule="exact"/>
        <w:ind w:left="0" w:firstLine="480"/>
        <w:rPr>
          <w:rFonts w:ascii="Times New Roman"/>
          <w:sz w:val="24"/>
        </w:rPr>
      </w:pPr>
      <w:r>
        <w:rPr>
          <w:rFonts w:ascii="Times New Roman"/>
          <w:sz w:val="24"/>
        </w:rPr>
        <w:t>《唐山市大气污染防治若干规定》根据2020年11月3日唐山市第十五届人民代表大会常务委员会第三十六次会议修正，2021年3月31日河北省第十三届人民代表大会常务委员会第二十二次会议批准，于2021年4月6日公布施行；</w:t>
      </w:r>
    </w:p>
    <w:p w14:paraId="314E80AF">
      <w:pPr>
        <w:numPr>
          <w:ilvl w:val="0"/>
          <w:numId w:val="7"/>
        </w:numPr>
        <w:spacing w:line="480" w:lineRule="exact"/>
        <w:ind w:left="0" w:firstLine="480"/>
        <w:rPr>
          <w:rFonts w:ascii="Times New Roman"/>
          <w:sz w:val="24"/>
        </w:rPr>
      </w:pPr>
      <w:r>
        <w:rPr>
          <w:rFonts w:ascii="Times New Roman"/>
          <w:sz w:val="24"/>
        </w:rPr>
        <w:t>《2020年唐山市水污染防治工作要点》，2020年4月15日；</w:t>
      </w:r>
    </w:p>
    <w:p w14:paraId="09C56BAF">
      <w:pPr>
        <w:numPr>
          <w:ilvl w:val="0"/>
          <w:numId w:val="7"/>
        </w:numPr>
        <w:spacing w:line="480" w:lineRule="exact"/>
        <w:ind w:left="0" w:firstLine="480"/>
        <w:rPr>
          <w:rFonts w:ascii="Times New Roman"/>
          <w:sz w:val="24"/>
        </w:rPr>
      </w:pPr>
      <w:r>
        <w:rPr>
          <w:rFonts w:ascii="Times New Roman"/>
          <w:sz w:val="24"/>
        </w:rPr>
        <w:t>《唐山市地下水污染防治实施方案》，唐山市土壤污染防治工作领导小组办公室，2020年9月；</w:t>
      </w:r>
    </w:p>
    <w:p w14:paraId="262FB830">
      <w:pPr>
        <w:numPr>
          <w:ilvl w:val="0"/>
          <w:numId w:val="7"/>
        </w:numPr>
        <w:spacing w:line="480" w:lineRule="exact"/>
        <w:ind w:left="0" w:firstLine="480"/>
        <w:rPr>
          <w:rFonts w:ascii="Times New Roman"/>
          <w:sz w:val="24"/>
        </w:rPr>
      </w:pPr>
      <w:r>
        <w:rPr>
          <w:rFonts w:ascii="Times New Roman"/>
          <w:sz w:val="24"/>
          <w:szCs w:val="24"/>
        </w:rPr>
        <w:t>唐山市人民政府关于印发《唐山市生态环境保护“十四五”规划》的通知（唐政字〔2022〕46号），2022年6月1日；</w:t>
      </w:r>
    </w:p>
    <w:p w14:paraId="0C780365">
      <w:pPr>
        <w:numPr>
          <w:ilvl w:val="0"/>
          <w:numId w:val="7"/>
        </w:numPr>
        <w:spacing w:line="480" w:lineRule="exact"/>
        <w:ind w:left="0" w:firstLine="480"/>
        <w:rPr>
          <w:rFonts w:ascii="Times New Roman"/>
          <w:sz w:val="24"/>
        </w:rPr>
      </w:pPr>
      <w:r>
        <w:rPr>
          <w:rFonts w:ascii="Times New Roman"/>
          <w:sz w:val="24"/>
        </w:rPr>
        <w:t>《唐山市2022年大气污染综合治理工作要点》（唐气领组〔2022〕1号）；</w:t>
      </w:r>
    </w:p>
    <w:p w14:paraId="5CAFC44F">
      <w:pPr>
        <w:numPr>
          <w:ilvl w:val="0"/>
          <w:numId w:val="7"/>
        </w:numPr>
        <w:spacing w:line="480" w:lineRule="exact"/>
        <w:ind w:left="0" w:firstLine="480"/>
        <w:rPr>
          <w:rFonts w:ascii="Times New Roman"/>
          <w:sz w:val="24"/>
        </w:rPr>
      </w:pPr>
      <w:r>
        <w:rPr>
          <w:rFonts w:ascii="Times New Roman"/>
          <w:sz w:val="24"/>
        </w:rPr>
        <w:t>《唐山市2021年挥发性有机物综合治理工作方案》（唐气领办〔2021〕50号）；</w:t>
      </w:r>
    </w:p>
    <w:p w14:paraId="43E7F023">
      <w:pPr>
        <w:numPr>
          <w:ilvl w:val="0"/>
          <w:numId w:val="7"/>
        </w:numPr>
        <w:spacing w:line="480" w:lineRule="exact"/>
        <w:ind w:left="0" w:firstLine="480"/>
        <w:rPr>
          <w:rFonts w:ascii="Times New Roman"/>
          <w:sz w:val="24"/>
        </w:rPr>
      </w:pPr>
      <w:r>
        <w:rPr>
          <w:rFonts w:ascii="Times New Roman"/>
          <w:sz w:val="24"/>
        </w:rPr>
        <w:t>唐山市生态环境局《关于开展涉挥发性有机物企业提标改造的通知》（唐环气〔2022〕1号，2022年2月25日）；</w:t>
      </w:r>
    </w:p>
    <w:p w14:paraId="4211DE42">
      <w:pPr>
        <w:numPr>
          <w:ilvl w:val="0"/>
          <w:numId w:val="7"/>
        </w:numPr>
        <w:spacing w:line="480" w:lineRule="exact"/>
        <w:ind w:left="0" w:firstLine="480" w:firstLineChars="200"/>
        <w:rPr>
          <w:rFonts w:ascii="Times New Roman"/>
          <w:spacing w:val="-8"/>
          <w:sz w:val="24"/>
        </w:rPr>
      </w:pPr>
      <w:r>
        <w:rPr>
          <w:rFonts w:ascii="Times New Roman"/>
          <w:kern w:val="0"/>
          <w:sz w:val="24"/>
          <w:szCs w:val="24"/>
        </w:rPr>
        <w:t>《唐山市</w:t>
      </w:r>
      <w:r>
        <w:rPr>
          <w:rFonts w:ascii="Times New Roman" w:eastAsia="TimesNewRomanPSMT"/>
          <w:kern w:val="0"/>
          <w:sz w:val="24"/>
          <w:szCs w:val="24"/>
        </w:rPr>
        <w:t>2022</w:t>
      </w:r>
      <w:r>
        <w:rPr>
          <w:rFonts w:ascii="Times New Roman"/>
          <w:kern w:val="0"/>
          <w:sz w:val="24"/>
          <w:szCs w:val="24"/>
        </w:rPr>
        <w:t>年大气污染综合治理暨稳定“退后十”工作方案》（唐字</w:t>
      </w:r>
      <w:r>
        <w:rPr>
          <w:rFonts w:ascii="Times New Roman"/>
          <w:sz w:val="24"/>
        </w:rPr>
        <w:t>〔2022〕</w:t>
      </w:r>
      <w:r>
        <w:rPr>
          <w:rFonts w:ascii="Times New Roman" w:eastAsia="TimesNewRomanPSMT"/>
          <w:kern w:val="0"/>
          <w:sz w:val="24"/>
          <w:szCs w:val="24"/>
        </w:rPr>
        <w:t>2</w:t>
      </w:r>
      <w:r>
        <w:rPr>
          <w:rFonts w:ascii="Times New Roman"/>
          <w:kern w:val="0"/>
          <w:sz w:val="24"/>
          <w:szCs w:val="24"/>
        </w:rPr>
        <w:t>号）；</w:t>
      </w:r>
    </w:p>
    <w:p w14:paraId="46C2F13C">
      <w:pPr>
        <w:numPr>
          <w:ilvl w:val="0"/>
          <w:numId w:val="7"/>
        </w:numPr>
        <w:spacing w:line="480" w:lineRule="exact"/>
        <w:ind w:left="0" w:firstLine="480" w:firstLineChars="200"/>
        <w:rPr>
          <w:rFonts w:ascii="Times New Roman"/>
          <w:spacing w:val="-8"/>
          <w:sz w:val="24"/>
        </w:rPr>
      </w:pPr>
      <w:r>
        <w:rPr>
          <w:rFonts w:ascii="Times New Roman"/>
          <w:sz w:val="24"/>
          <w:szCs w:val="24"/>
        </w:rPr>
        <w:t>《关于进一步做好涉VOCs行业环保监督管理的通知》（唐气领办〔2019〕16号）</w:t>
      </w:r>
      <w:r>
        <w:rPr>
          <w:rFonts w:ascii="Times New Roman"/>
          <w:kern w:val="0"/>
          <w:sz w:val="24"/>
          <w:szCs w:val="24"/>
        </w:rPr>
        <w:t>；</w:t>
      </w:r>
    </w:p>
    <w:p w14:paraId="1E2CF16B">
      <w:pPr>
        <w:numPr>
          <w:ilvl w:val="0"/>
          <w:numId w:val="7"/>
        </w:numPr>
        <w:spacing w:line="480" w:lineRule="exact"/>
        <w:ind w:left="0" w:firstLine="480" w:firstLineChars="200"/>
        <w:rPr>
          <w:rFonts w:ascii="Times New Roman"/>
          <w:spacing w:val="-8"/>
          <w:sz w:val="24"/>
        </w:rPr>
      </w:pPr>
      <w:r>
        <w:rPr>
          <w:rFonts w:ascii="Times New Roman"/>
          <w:kern w:val="0"/>
          <w:sz w:val="24"/>
          <w:szCs w:val="24"/>
        </w:rPr>
        <w:t>《关于实施“三线一单”生态环境分区管控的意见》（唐政字</w:t>
      </w:r>
      <w:r>
        <w:rPr>
          <w:rFonts w:ascii="Times New Roman"/>
          <w:sz w:val="24"/>
        </w:rPr>
        <w:t>〔2021〕</w:t>
      </w:r>
      <w:r>
        <w:rPr>
          <w:rFonts w:ascii="Times New Roman"/>
          <w:kern w:val="0"/>
          <w:sz w:val="24"/>
          <w:szCs w:val="24"/>
        </w:rPr>
        <w:t>48号），2021年6月19日；</w:t>
      </w:r>
    </w:p>
    <w:p w14:paraId="1555CBE7">
      <w:pPr>
        <w:numPr>
          <w:ilvl w:val="0"/>
          <w:numId w:val="7"/>
        </w:numPr>
        <w:spacing w:line="480" w:lineRule="exact"/>
        <w:ind w:left="0" w:firstLine="480" w:firstLineChars="200"/>
        <w:rPr>
          <w:rFonts w:ascii="Times New Roman"/>
          <w:spacing w:val="-8"/>
          <w:sz w:val="24"/>
        </w:rPr>
      </w:pPr>
      <w:r>
        <w:rPr>
          <w:rFonts w:ascii="Times New Roman"/>
          <w:kern w:val="0"/>
          <w:sz w:val="24"/>
          <w:szCs w:val="24"/>
        </w:rPr>
        <w:t>关于印发《唐山市生态环境准入清单动态更新成果》的通知，2023年7月10日；</w:t>
      </w:r>
    </w:p>
    <w:p w14:paraId="696E0B8A">
      <w:pPr>
        <w:numPr>
          <w:ilvl w:val="0"/>
          <w:numId w:val="7"/>
        </w:numPr>
        <w:spacing w:line="480" w:lineRule="exact"/>
        <w:ind w:left="0" w:firstLine="424"/>
        <w:rPr>
          <w:rFonts w:ascii="Times New Roman"/>
        </w:rPr>
      </w:pPr>
      <w:r>
        <w:rPr>
          <w:rFonts w:ascii="Times New Roman"/>
          <w:sz w:val="24"/>
          <w:szCs w:val="24"/>
        </w:rPr>
        <w:t>唐山市生态环境局曹妃甸分局《关于我区涉VOCs企业提标改造期限治理的紧急通知》（2021.3.16）</w:t>
      </w:r>
      <w:r>
        <w:rPr>
          <w:rFonts w:hint="eastAsia" w:ascii="Times New Roman"/>
          <w:sz w:val="24"/>
          <w:szCs w:val="24"/>
        </w:rPr>
        <w:t>；</w:t>
      </w:r>
    </w:p>
    <w:p w14:paraId="7398B872">
      <w:pPr>
        <w:numPr>
          <w:ilvl w:val="0"/>
          <w:numId w:val="7"/>
        </w:numPr>
        <w:spacing w:line="480" w:lineRule="exact"/>
        <w:ind w:left="0" w:firstLine="424"/>
        <w:rPr>
          <w:rFonts w:ascii="Times New Roman"/>
          <w:sz w:val="24"/>
          <w:szCs w:val="24"/>
        </w:rPr>
      </w:pPr>
      <w:r>
        <w:rPr>
          <w:rFonts w:ascii="Times New Roman"/>
          <w:sz w:val="24"/>
          <w:szCs w:val="24"/>
        </w:rPr>
        <w:t>关于印发</w:t>
      </w:r>
      <w:r>
        <w:rPr>
          <w:rFonts w:hint="eastAsia" w:ascii="Times New Roman"/>
          <w:sz w:val="24"/>
          <w:szCs w:val="24"/>
        </w:rPr>
        <w:t>《</w:t>
      </w:r>
      <w:r>
        <w:rPr>
          <w:rFonts w:ascii="Times New Roman"/>
          <w:sz w:val="24"/>
          <w:szCs w:val="24"/>
        </w:rPr>
        <w:t>美丽河北建设行动方案（2023-2027年）</w:t>
      </w:r>
      <w:r>
        <w:rPr>
          <w:rFonts w:hint="eastAsia" w:ascii="Times New Roman"/>
          <w:sz w:val="24"/>
          <w:szCs w:val="24"/>
        </w:rPr>
        <w:t>》（冀政办字[2023]17号）</w:t>
      </w:r>
      <w:r>
        <w:rPr>
          <w:rFonts w:ascii="Times New Roman"/>
          <w:sz w:val="24"/>
          <w:szCs w:val="24"/>
        </w:rPr>
        <w:t>。</w:t>
      </w:r>
    </w:p>
    <w:p w14:paraId="4DF87647">
      <w:pPr>
        <w:spacing w:line="520" w:lineRule="exact"/>
        <w:outlineLvl w:val="2"/>
        <w:rPr>
          <w:rFonts w:ascii="Times New Roman"/>
          <w:b/>
          <w:sz w:val="28"/>
          <w:szCs w:val="28"/>
        </w:rPr>
      </w:pPr>
      <w:r>
        <w:rPr>
          <w:rFonts w:ascii="Times New Roman"/>
          <w:b/>
          <w:sz w:val="28"/>
          <w:szCs w:val="28"/>
        </w:rPr>
        <w:t>2.1.4环境保护技术规范</w:t>
      </w:r>
    </w:p>
    <w:p w14:paraId="2C0F7D34">
      <w:pPr>
        <w:numPr>
          <w:ilvl w:val="0"/>
          <w:numId w:val="8"/>
        </w:numPr>
        <w:spacing w:line="480" w:lineRule="exact"/>
        <w:ind w:left="0" w:firstLine="480"/>
        <w:jc w:val="left"/>
        <w:rPr>
          <w:rFonts w:ascii="Times New Roman"/>
          <w:sz w:val="24"/>
        </w:rPr>
      </w:pPr>
      <w:r>
        <w:rPr>
          <w:rFonts w:ascii="Times New Roman"/>
          <w:sz w:val="24"/>
        </w:rPr>
        <w:t>《建设项目环境影响评价技术导则 总纲》（HJ2.1-2016）；</w:t>
      </w:r>
    </w:p>
    <w:p w14:paraId="0890F11A">
      <w:pPr>
        <w:numPr>
          <w:ilvl w:val="0"/>
          <w:numId w:val="8"/>
        </w:numPr>
        <w:spacing w:line="480" w:lineRule="exact"/>
        <w:ind w:left="0" w:firstLine="480"/>
        <w:jc w:val="left"/>
        <w:rPr>
          <w:rFonts w:ascii="Times New Roman"/>
          <w:sz w:val="24"/>
        </w:rPr>
      </w:pPr>
      <w:r>
        <w:rPr>
          <w:rFonts w:ascii="Times New Roman"/>
          <w:sz w:val="24"/>
        </w:rPr>
        <w:t>《环境影响评价技术导则 大气环境》（HJ2.2-2018）；</w:t>
      </w:r>
    </w:p>
    <w:p w14:paraId="2923C9F3">
      <w:pPr>
        <w:numPr>
          <w:ilvl w:val="0"/>
          <w:numId w:val="8"/>
        </w:numPr>
        <w:spacing w:line="480" w:lineRule="exact"/>
        <w:ind w:left="0" w:firstLine="480"/>
        <w:jc w:val="left"/>
        <w:rPr>
          <w:rFonts w:ascii="Times New Roman"/>
          <w:sz w:val="24"/>
        </w:rPr>
      </w:pPr>
      <w:r>
        <w:rPr>
          <w:rFonts w:ascii="Times New Roman"/>
          <w:sz w:val="24"/>
        </w:rPr>
        <w:t>《环境影响评价技术导则 地表水环境》（HJ2.3-2018）；</w:t>
      </w:r>
    </w:p>
    <w:p w14:paraId="529BE730">
      <w:pPr>
        <w:numPr>
          <w:ilvl w:val="0"/>
          <w:numId w:val="8"/>
        </w:numPr>
        <w:spacing w:line="480" w:lineRule="exact"/>
        <w:ind w:left="0" w:firstLine="480"/>
        <w:jc w:val="left"/>
        <w:rPr>
          <w:rFonts w:ascii="Times New Roman"/>
          <w:sz w:val="24"/>
        </w:rPr>
      </w:pPr>
      <w:r>
        <w:rPr>
          <w:rFonts w:ascii="Times New Roman"/>
          <w:sz w:val="24"/>
        </w:rPr>
        <w:t>《环境影响评价技术导则 地下水环境》（HJ610-2016）；</w:t>
      </w:r>
    </w:p>
    <w:p w14:paraId="2C88727A">
      <w:pPr>
        <w:numPr>
          <w:ilvl w:val="0"/>
          <w:numId w:val="8"/>
        </w:numPr>
        <w:spacing w:line="480" w:lineRule="exact"/>
        <w:ind w:left="0" w:firstLine="480"/>
        <w:jc w:val="left"/>
        <w:rPr>
          <w:rFonts w:ascii="Times New Roman"/>
          <w:sz w:val="24"/>
        </w:rPr>
      </w:pPr>
      <w:r>
        <w:rPr>
          <w:rFonts w:ascii="Times New Roman"/>
          <w:sz w:val="24"/>
        </w:rPr>
        <w:t>《环境影响评价技术导则 声环境》（HJ2.4-2021）；</w:t>
      </w:r>
    </w:p>
    <w:p w14:paraId="2CE116AF">
      <w:pPr>
        <w:numPr>
          <w:ilvl w:val="0"/>
          <w:numId w:val="8"/>
        </w:numPr>
        <w:spacing w:line="480" w:lineRule="exact"/>
        <w:ind w:left="0" w:firstLine="480"/>
        <w:jc w:val="left"/>
        <w:rPr>
          <w:rFonts w:ascii="Times New Roman"/>
          <w:sz w:val="24"/>
        </w:rPr>
      </w:pPr>
      <w:r>
        <w:rPr>
          <w:rFonts w:ascii="Times New Roman"/>
          <w:sz w:val="24"/>
        </w:rPr>
        <w:t>《环境影响评价技术导则 生态影响》（HJ 19-2022）；</w:t>
      </w:r>
    </w:p>
    <w:p w14:paraId="5109EF30">
      <w:pPr>
        <w:numPr>
          <w:ilvl w:val="0"/>
          <w:numId w:val="8"/>
        </w:numPr>
        <w:spacing w:line="480" w:lineRule="exact"/>
        <w:ind w:left="0" w:firstLine="480"/>
        <w:jc w:val="left"/>
        <w:rPr>
          <w:rFonts w:ascii="Times New Roman"/>
          <w:sz w:val="24"/>
        </w:rPr>
      </w:pPr>
      <w:r>
        <w:rPr>
          <w:rFonts w:ascii="Times New Roman"/>
          <w:sz w:val="24"/>
        </w:rPr>
        <w:t>《建设项目环境风险评价技术导则》（HJ169-2018）；</w:t>
      </w:r>
    </w:p>
    <w:p w14:paraId="67489056">
      <w:pPr>
        <w:numPr>
          <w:ilvl w:val="0"/>
          <w:numId w:val="8"/>
        </w:numPr>
        <w:spacing w:line="480" w:lineRule="exact"/>
        <w:ind w:left="0" w:firstLine="480"/>
        <w:jc w:val="left"/>
        <w:rPr>
          <w:rFonts w:ascii="Times New Roman"/>
          <w:sz w:val="24"/>
        </w:rPr>
      </w:pPr>
      <w:r>
        <w:rPr>
          <w:rFonts w:ascii="Times New Roman"/>
          <w:sz w:val="24"/>
        </w:rPr>
        <w:t>《环境影响评价技术导则 土壤环境（试行）》（HJ964-2018）；</w:t>
      </w:r>
    </w:p>
    <w:p w14:paraId="6BBFEA33">
      <w:pPr>
        <w:numPr>
          <w:ilvl w:val="0"/>
          <w:numId w:val="8"/>
        </w:numPr>
        <w:spacing w:line="480" w:lineRule="exact"/>
        <w:ind w:left="0" w:firstLine="480"/>
        <w:jc w:val="left"/>
        <w:rPr>
          <w:rFonts w:ascii="Times New Roman"/>
          <w:sz w:val="24"/>
        </w:rPr>
      </w:pPr>
      <w:r>
        <w:rPr>
          <w:rFonts w:ascii="Times New Roman"/>
          <w:sz w:val="24"/>
        </w:rPr>
        <w:t>《建设项目危险废物环境影响评价指南》（2017.10.01）</w:t>
      </w:r>
    </w:p>
    <w:p w14:paraId="22B4E4B4">
      <w:pPr>
        <w:numPr>
          <w:ilvl w:val="0"/>
          <w:numId w:val="8"/>
        </w:numPr>
        <w:spacing w:line="480" w:lineRule="exact"/>
        <w:ind w:left="0" w:firstLine="480"/>
        <w:jc w:val="left"/>
        <w:rPr>
          <w:rFonts w:ascii="Times New Roman"/>
          <w:sz w:val="24"/>
        </w:rPr>
      </w:pPr>
      <w:r>
        <w:rPr>
          <w:rFonts w:ascii="Times New Roman"/>
          <w:sz w:val="24"/>
        </w:rPr>
        <w:t>《危险化学品重大</w:t>
      </w:r>
      <w:r>
        <w:rPr>
          <w:rFonts w:ascii="Times New Roman"/>
          <w:sz w:val="24"/>
          <w:lang w:val="en"/>
        </w:rPr>
        <w:t>危险源辨识</w:t>
      </w:r>
      <w:r>
        <w:rPr>
          <w:rFonts w:ascii="Times New Roman"/>
          <w:sz w:val="24"/>
        </w:rPr>
        <w:t>》（GB18218-2018）；</w:t>
      </w:r>
    </w:p>
    <w:p w14:paraId="5C75DC5A">
      <w:pPr>
        <w:numPr>
          <w:ilvl w:val="0"/>
          <w:numId w:val="8"/>
        </w:numPr>
        <w:spacing w:line="480" w:lineRule="exact"/>
        <w:ind w:left="0" w:firstLine="480"/>
        <w:jc w:val="left"/>
        <w:rPr>
          <w:rFonts w:ascii="Times New Roman"/>
          <w:sz w:val="24"/>
        </w:rPr>
      </w:pPr>
      <w:r>
        <w:rPr>
          <w:rFonts w:ascii="Times New Roman"/>
          <w:sz w:val="24"/>
        </w:rPr>
        <w:t>《国家危险废物名录》（2025年版）；</w:t>
      </w:r>
    </w:p>
    <w:p w14:paraId="41D666B5">
      <w:pPr>
        <w:numPr>
          <w:ilvl w:val="0"/>
          <w:numId w:val="8"/>
        </w:numPr>
        <w:spacing w:line="480" w:lineRule="exact"/>
        <w:jc w:val="left"/>
        <w:rPr>
          <w:rFonts w:ascii="Times New Roman"/>
          <w:sz w:val="24"/>
        </w:rPr>
      </w:pPr>
      <w:r>
        <w:rPr>
          <w:rFonts w:ascii="Times New Roman"/>
          <w:sz w:val="24"/>
        </w:rPr>
        <w:t>《污染源源强核算技术指南 准则》(HJ 884-2018)；</w:t>
      </w:r>
    </w:p>
    <w:p w14:paraId="3D7D3B14">
      <w:pPr>
        <w:numPr>
          <w:ilvl w:val="0"/>
          <w:numId w:val="8"/>
        </w:numPr>
        <w:spacing w:line="480" w:lineRule="exact"/>
        <w:jc w:val="left"/>
        <w:rPr>
          <w:rFonts w:ascii="Times New Roman"/>
          <w:sz w:val="24"/>
        </w:rPr>
      </w:pPr>
      <w:r>
        <w:rPr>
          <w:rFonts w:ascii="Times New Roman"/>
          <w:sz w:val="24"/>
        </w:rPr>
        <w:t>《排污单位自行监测技术指南 总则》(HJ 819-2017)；</w:t>
      </w:r>
    </w:p>
    <w:p w14:paraId="33477DEE">
      <w:pPr>
        <w:numPr>
          <w:ilvl w:val="0"/>
          <w:numId w:val="8"/>
        </w:numPr>
        <w:spacing w:line="480" w:lineRule="exact"/>
        <w:ind w:left="0" w:firstLine="480"/>
        <w:jc w:val="left"/>
        <w:rPr>
          <w:rFonts w:ascii="Times New Roman"/>
          <w:sz w:val="24"/>
        </w:rPr>
      </w:pPr>
      <w:r>
        <w:rPr>
          <w:rFonts w:ascii="Times New Roman"/>
          <w:sz w:val="24"/>
        </w:rPr>
        <w:t>《排污许可证申请与核发技术规范 总则》(HJ942-2018)；</w:t>
      </w:r>
    </w:p>
    <w:p w14:paraId="1E191865">
      <w:pPr>
        <w:numPr>
          <w:ilvl w:val="0"/>
          <w:numId w:val="8"/>
        </w:numPr>
        <w:spacing w:line="480" w:lineRule="exact"/>
        <w:ind w:left="0" w:firstLine="480"/>
        <w:jc w:val="left"/>
        <w:rPr>
          <w:rFonts w:ascii="Times New Roman"/>
          <w:sz w:val="24"/>
        </w:rPr>
      </w:pPr>
      <w:r>
        <w:rPr>
          <w:rFonts w:ascii="Times New Roman"/>
          <w:sz w:val="24"/>
        </w:rPr>
        <w:t>《排污单位自行监测技术指南 涂装》（HJ 1086-2020）；</w:t>
      </w:r>
    </w:p>
    <w:p w14:paraId="5BBCFFF5">
      <w:pPr>
        <w:numPr>
          <w:ilvl w:val="0"/>
          <w:numId w:val="8"/>
        </w:numPr>
        <w:spacing w:line="480" w:lineRule="exact"/>
        <w:ind w:left="20" w:firstLine="480"/>
        <w:rPr>
          <w:rFonts w:ascii="Times New Roman"/>
          <w:sz w:val="24"/>
        </w:rPr>
      </w:pPr>
      <w:r>
        <w:rPr>
          <w:rFonts w:ascii="Times New Roman"/>
          <w:sz w:val="24"/>
          <w:szCs w:val="24"/>
        </w:rPr>
        <w:t>《排污许可证申请与核发技术规范 工业噪声》（HJ1301-2023）；</w:t>
      </w:r>
    </w:p>
    <w:p w14:paraId="42851B16">
      <w:pPr>
        <w:numPr>
          <w:ilvl w:val="0"/>
          <w:numId w:val="8"/>
        </w:numPr>
        <w:spacing w:line="480" w:lineRule="exact"/>
        <w:ind w:left="0" w:firstLine="480"/>
        <w:jc w:val="left"/>
        <w:rPr>
          <w:rFonts w:ascii="Times New Roman"/>
          <w:sz w:val="24"/>
        </w:rPr>
      </w:pPr>
      <w:r>
        <w:rPr>
          <w:rFonts w:ascii="Times New Roman"/>
        </w:rPr>
        <w:t>《排污许可证</w:t>
      </w:r>
      <w:r>
        <w:rPr>
          <w:rFonts w:ascii="Times New Roman"/>
          <w:sz w:val="24"/>
          <w:szCs w:val="24"/>
        </w:rPr>
        <w:t>申请与核发技术规范 工业炉窑》（HJ1121-2020）》</w:t>
      </w:r>
      <w:r>
        <w:rPr>
          <w:rFonts w:ascii="Times New Roman"/>
          <w:sz w:val="24"/>
        </w:rPr>
        <w:t>；</w:t>
      </w:r>
    </w:p>
    <w:p w14:paraId="24C445D4">
      <w:pPr>
        <w:numPr>
          <w:ilvl w:val="0"/>
          <w:numId w:val="8"/>
        </w:numPr>
        <w:spacing w:line="480" w:lineRule="exact"/>
        <w:ind w:left="0" w:firstLine="480"/>
        <w:jc w:val="left"/>
        <w:rPr>
          <w:rFonts w:ascii="Times New Roman"/>
          <w:sz w:val="24"/>
          <w:szCs w:val="24"/>
        </w:rPr>
      </w:pPr>
      <w:r>
        <w:rPr>
          <w:rFonts w:ascii="Times New Roman"/>
          <w:sz w:val="24"/>
          <w:szCs w:val="24"/>
        </w:rPr>
        <w:t>《低挥发性有机化合物含量涂料产品技术要求》（GB/T38597-2020）；</w:t>
      </w:r>
    </w:p>
    <w:p w14:paraId="45EBDBE4">
      <w:pPr>
        <w:numPr>
          <w:ilvl w:val="0"/>
          <w:numId w:val="8"/>
        </w:numPr>
        <w:spacing w:line="480" w:lineRule="exact"/>
        <w:ind w:left="0" w:firstLine="480"/>
        <w:jc w:val="left"/>
        <w:rPr>
          <w:rFonts w:ascii="Times New Roman"/>
          <w:sz w:val="24"/>
          <w:szCs w:val="24"/>
        </w:rPr>
      </w:pPr>
      <w:r>
        <w:rPr>
          <w:rFonts w:ascii="Times New Roman"/>
          <w:sz w:val="24"/>
          <w:szCs w:val="24"/>
        </w:rPr>
        <w:t>《排污单位自行监测技术指南 工业固体废物和危险废物治理（HJ 1250-2022）》；</w:t>
      </w:r>
    </w:p>
    <w:p w14:paraId="5BAEBD3F">
      <w:pPr>
        <w:numPr>
          <w:ilvl w:val="0"/>
          <w:numId w:val="8"/>
        </w:numPr>
        <w:spacing w:line="480" w:lineRule="exact"/>
        <w:ind w:left="0" w:firstLine="480" w:firstLineChars="200"/>
        <w:jc w:val="left"/>
        <w:rPr>
          <w:rFonts w:ascii="Times New Roman"/>
          <w:sz w:val="24"/>
        </w:rPr>
      </w:pPr>
      <w:r>
        <w:rPr>
          <w:rFonts w:ascii="Times New Roman"/>
          <w:sz w:val="24"/>
        </w:rPr>
        <w:t>《固体废物鉴别通则》（GB34330-2017）；</w:t>
      </w:r>
    </w:p>
    <w:p w14:paraId="7170053F">
      <w:pPr>
        <w:numPr>
          <w:ilvl w:val="0"/>
          <w:numId w:val="8"/>
        </w:numPr>
        <w:spacing w:line="480" w:lineRule="exact"/>
        <w:ind w:left="0" w:firstLine="480" w:firstLineChars="200"/>
        <w:jc w:val="left"/>
        <w:rPr>
          <w:rFonts w:ascii="Times New Roman"/>
          <w:sz w:val="24"/>
        </w:rPr>
      </w:pPr>
      <w:r>
        <w:rPr>
          <w:rFonts w:ascii="Times New Roman"/>
          <w:sz w:val="24"/>
        </w:rPr>
        <w:t>《危险废物鉴别技术规范》（HJ298-2019）；</w:t>
      </w:r>
    </w:p>
    <w:p w14:paraId="46D916B3">
      <w:pPr>
        <w:numPr>
          <w:ilvl w:val="0"/>
          <w:numId w:val="8"/>
        </w:numPr>
        <w:spacing w:line="480" w:lineRule="exact"/>
        <w:ind w:left="0" w:firstLine="480" w:firstLineChars="200"/>
        <w:rPr>
          <w:rFonts w:ascii="Times New Roman"/>
          <w:sz w:val="22"/>
        </w:rPr>
      </w:pPr>
      <w:r>
        <w:rPr>
          <w:rFonts w:ascii="Times New Roman"/>
          <w:sz w:val="24"/>
        </w:rPr>
        <w:t>《危险废物管理计划和管理台账制定技术导则》（HJ1259-2022）；</w:t>
      </w:r>
    </w:p>
    <w:p w14:paraId="5A35B715">
      <w:pPr>
        <w:numPr>
          <w:ilvl w:val="0"/>
          <w:numId w:val="8"/>
        </w:numPr>
        <w:spacing w:line="480" w:lineRule="exact"/>
        <w:ind w:left="0" w:firstLine="480"/>
        <w:jc w:val="left"/>
        <w:rPr>
          <w:rFonts w:ascii="Times New Roman"/>
        </w:rPr>
      </w:pPr>
      <w:r>
        <w:rPr>
          <w:rFonts w:ascii="Times New Roman"/>
          <w:sz w:val="24"/>
          <w:szCs w:val="24"/>
        </w:rPr>
        <w:t>《吸附法工业有机废气治理工程技术规范》（HJ 2026-2013）</w:t>
      </w:r>
    </w:p>
    <w:p w14:paraId="2C1567C6">
      <w:pPr>
        <w:numPr>
          <w:ilvl w:val="0"/>
          <w:numId w:val="8"/>
        </w:numPr>
        <w:spacing w:line="480" w:lineRule="exact"/>
        <w:ind w:left="20" w:firstLine="500"/>
        <w:rPr>
          <w:rFonts w:ascii="Times New Roman"/>
          <w:sz w:val="24"/>
        </w:rPr>
      </w:pPr>
      <w:r>
        <w:rPr>
          <w:rFonts w:ascii="Times New Roman"/>
        </w:rPr>
        <w:t>河北省地方标准《固定污染源挥发性有机物核查与监测技术指南》（DB13/T5500-2022）；</w:t>
      </w:r>
    </w:p>
    <w:p w14:paraId="37DB67A6">
      <w:pPr>
        <w:numPr>
          <w:ilvl w:val="0"/>
          <w:numId w:val="8"/>
        </w:numPr>
        <w:spacing w:line="480" w:lineRule="exact"/>
        <w:ind w:left="20" w:firstLine="480"/>
        <w:jc w:val="left"/>
        <w:rPr>
          <w:rFonts w:ascii="Times New Roman"/>
          <w:sz w:val="24"/>
        </w:rPr>
      </w:pPr>
      <w:r>
        <w:rPr>
          <w:rFonts w:ascii="Times New Roman"/>
          <w:sz w:val="24"/>
        </w:rPr>
        <w:t>《蓄热燃烧法工业有机废气治理工程技术规范》（HJ1093-2020）；</w:t>
      </w:r>
    </w:p>
    <w:p w14:paraId="12C983E4">
      <w:pPr>
        <w:numPr>
          <w:ilvl w:val="0"/>
          <w:numId w:val="8"/>
        </w:numPr>
        <w:spacing w:line="480" w:lineRule="exact"/>
        <w:ind w:left="0" w:firstLine="480"/>
        <w:jc w:val="left"/>
        <w:rPr>
          <w:rFonts w:ascii="Times New Roman"/>
          <w:sz w:val="24"/>
          <w:szCs w:val="24"/>
        </w:rPr>
      </w:pPr>
      <w:r>
        <w:rPr>
          <w:rFonts w:ascii="Times New Roman"/>
          <w:sz w:val="24"/>
        </w:rPr>
        <w:t>《危险废物收集贮存运输技术规范》（HJ2025-2012）；</w:t>
      </w:r>
    </w:p>
    <w:p w14:paraId="2CD2D47A">
      <w:pPr>
        <w:numPr>
          <w:ilvl w:val="0"/>
          <w:numId w:val="8"/>
        </w:numPr>
        <w:spacing w:line="480" w:lineRule="exact"/>
        <w:ind w:left="20" w:firstLine="480"/>
        <w:jc w:val="left"/>
        <w:rPr>
          <w:rFonts w:ascii="Times New Roman"/>
          <w:sz w:val="24"/>
        </w:rPr>
      </w:pPr>
      <w:r>
        <w:rPr>
          <w:rFonts w:ascii="Times New Roman"/>
          <w:sz w:val="24"/>
        </w:rPr>
        <w:t>《涂装行业清洁生产评价指标体系》，国家发展改革委、环境保护部、工业和信息化部公告，2016.11.1。</w:t>
      </w:r>
    </w:p>
    <w:p w14:paraId="292F5289">
      <w:pPr>
        <w:spacing w:line="520" w:lineRule="exact"/>
        <w:outlineLvl w:val="2"/>
        <w:rPr>
          <w:rFonts w:ascii="Times New Roman"/>
          <w:b/>
          <w:sz w:val="28"/>
          <w:szCs w:val="28"/>
        </w:rPr>
      </w:pPr>
      <w:r>
        <w:rPr>
          <w:rFonts w:ascii="Times New Roman"/>
          <w:b/>
          <w:sz w:val="28"/>
          <w:szCs w:val="28"/>
        </w:rPr>
        <w:t>2.1.4相关文件</w:t>
      </w:r>
    </w:p>
    <w:p w14:paraId="413F85F4">
      <w:pPr>
        <w:spacing w:line="480" w:lineRule="exact"/>
        <w:ind w:firstLine="480" w:firstLineChars="200"/>
        <w:jc w:val="left"/>
        <w:rPr>
          <w:rFonts w:ascii="Times New Roman"/>
          <w:sz w:val="24"/>
        </w:rPr>
      </w:pPr>
      <w:r>
        <w:rPr>
          <w:rFonts w:ascii="Times New Roman"/>
          <w:sz w:val="24"/>
        </w:rPr>
        <w:t>（1）《曹妃甸循环经济示范区产业发展总体规划（2005-2030年）；</w:t>
      </w:r>
    </w:p>
    <w:p w14:paraId="018E512F">
      <w:pPr>
        <w:spacing w:line="480" w:lineRule="exact"/>
        <w:ind w:firstLine="480" w:firstLineChars="200"/>
        <w:jc w:val="left"/>
        <w:rPr>
          <w:rFonts w:ascii="Times New Roman"/>
          <w:sz w:val="24"/>
        </w:rPr>
      </w:pPr>
      <w:r>
        <w:rPr>
          <w:rFonts w:ascii="Times New Roman"/>
          <w:sz w:val="24"/>
        </w:rPr>
        <w:t>（2）《唐山市曹妃甸工业区总体规划修编（2009-2020年）》；</w:t>
      </w:r>
    </w:p>
    <w:p w14:paraId="49C6F589">
      <w:pPr>
        <w:spacing w:line="480" w:lineRule="exact"/>
        <w:ind w:firstLine="480" w:firstLineChars="200"/>
        <w:jc w:val="left"/>
        <w:rPr>
          <w:rFonts w:ascii="Times New Roman"/>
          <w:sz w:val="24"/>
        </w:rPr>
      </w:pPr>
      <w:r>
        <w:rPr>
          <w:rFonts w:ascii="Times New Roman"/>
          <w:sz w:val="24"/>
        </w:rPr>
        <w:t>（3）《唐山市曹妃甸区国土空间总体规划（2021-2035年）》；</w:t>
      </w:r>
    </w:p>
    <w:p w14:paraId="2811CE94">
      <w:pPr>
        <w:spacing w:line="480" w:lineRule="exact"/>
        <w:ind w:firstLine="480" w:firstLineChars="200"/>
        <w:jc w:val="left"/>
        <w:rPr>
          <w:rFonts w:ascii="Times New Roman"/>
          <w:sz w:val="24"/>
        </w:rPr>
      </w:pPr>
      <w:r>
        <w:rPr>
          <w:rFonts w:ascii="Times New Roman"/>
          <w:sz w:val="24"/>
        </w:rPr>
        <w:t>（4）《曹妃甸循环经济示范区产业发展总体规划环境影响报告书》，清华大学，2009年；</w:t>
      </w:r>
    </w:p>
    <w:p w14:paraId="418ADE2B">
      <w:pPr>
        <w:spacing w:line="480" w:lineRule="exact"/>
        <w:ind w:firstLine="480" w:firstLineChars="200"/>
        <w:jc w:val="left"/>
        <w:rPr>
          <w:rFonts w:ascii="Times New Roman"/>
          <w:sz w:val="24"/>
        </w:rPr>
      </w:pPr>
      <w:r>
        <w:rPr>
          <w:rFonts w:ascii="Times New Roman"/>
          <w:sz w:val="24"/>
        </w:rPr>
        <w:t>（5）《曹妃甸循环经济示范区产业发展总体规划环境影响报告书》审查意见，环保部，环审[2009]445号；</w:t>
      </w:r>
    </w:p>
    <w:p w14:paraId="616802EF">
      <w:pPr>
        <w:spacing w:line="480" w:lineRule="exact"/>
        <w:ind w:firstLine="480" w:firstLineChars="200"/>
        <w:jc w:val="left"/>
        <w:rPr>
          <w:rFonts w:ascii="Times New Roman"/>
          <w:sz w:val="24"/>
        </w:rPr>
      </w:pPr>
      <w:r>
        <w:rPr>
          <w:rFonts w:ascii="Times New Roman"/>
          <w:sz w:val="24"/>
        </w:rPr>
        <w:t>（6）《曹妃甸循环经济示范区环境影响跟踪评价报告》，2018.12；</w:t>
      </w:r>
    </w:p>
    <w:p w14:paraId="21C60F31">
      <w:pPr>
        <w:spacing w:line="480" w:lineRule="exact"/>
        <w:ind w:firstLine="480" w:firstLineChars="200"/>
        <w:jc w:val="left"/>
        <w:rPr>
          <w:rFonts w:ascii="Times New Roman"/>
          <w:sz w:val="24"/>
          <w:szCs w:val="24"/>
        </w:rPr>
      </w:pPr>
      <w:r>
        <w:rPr>
          <w:rFonts w:ascii="Times New Roman"/>
          <w:sz w:val="24"/>
        </w:rPr>
        <w:t>（7）《关于曹妃甸循环经济示范区环境影响跟踪评价报告工作有关意见的函》，环办环评函[2019]334号；</w:t>
      </w:r>
    </w:p>
    <w:p w14:paraId="25B97BF3">
      <w:pPr>
        <w:spacing w:line="480" w:lineRule="exact"/>
        <w:ind w:firstLine="480" w:firstLineChars="200"/>
        <w:rPr>
          <w:rFonts w:ascii="Times New Roman"/>
          <w:sz w:val="24"/>
          <w:szCs w:val="24"/>
        </w:rPr>
      </w:pPr>
      <w:r>
        <w:rPr>
          <w:rFonts w:ascii="Times New Roman"/>
          <w:sz w:val="24"/>
          <w:szCs w:val="24"/>
        </w:rPr>
        <w:t>（8）项目所在区域环境质量现状检测报告；</w:t>
      </w:r>
    </w:p>
    <w:p w14:paraId="0384B99F">
      <w:pPr>
        <w:spacing w:line="480" w:lineRule="exact"/>
        <w:ind w:firstLine="480" w:firstLineChars="200"/>
        <w:rPr>
          <w:rFonts w:ascii="Times New Roman"/>
          <w:sz w:val="24"/>
          <w:szCs w:val="24"/>
        </w:rPr>
      </w:pPr>
      <w:r>
        <w:rPr>
          <w:rFonts w:ascii="Times New Roman"/>
          <w:sz w:val="24"/>
          <w:szCs w:val="24"/>
        </w:rPr>
        <w:t>（9）项目环评委托书、承诺书；</w:t>
      </w:r>
    </w:p>
    <w:p w14:paraId="140AE4F3">
      <w:pPr>
        <w:spacing w:line="480" w:lineRule="exact"/>
        <w:ind w:firstLine="480" w:firstLineChars="200"/>
        <w:rPr>
          <w:rFonts w:ascii="Times New Roman"/>
          <w:sz w:val="24"/>
          <w:szCs w:val="24"/>
        </w:rPr>
      </w:pPr>
      <w:r>
        <w:rPr>
          <w:rFonts w:ascii="Times New Roman"/>
          <w:sz w:val="24"/>
          <w:szCs w:val="24"/>
        </w:rPr>
        <w:t>（10）建设单位</w:t>
      </w:r>
      <w:r>
        <w:rPr>
          <w:rFonts w:ascii="Times New Roman"/>
        </w:rPr>
        <w:t>提供的</w:t>
      </w:r>
      <w:r>
        <w:rPr>
          <w:rFonts w:ascii="Times New Roman"/>
          <w:sz w:val="24"/>
          <w:szCs w:val="24"/>
        </w:rPr>
        <w:t>其他资料。</w:t>
      </w:r>
    </w:p>
    <w:p w14:paraId="2201710B">
      <w:pPr>
        <w:spacing w:before="120" w:after="120" w:line="440" w:lineRule="exact"/>
        <w:outlineLvl w:val="1"/>
        <w:rPr>
          <w:rFonts w:ascii="Times New Roman"/>
          <w:b/>
          <w:sz w:val="28"/>
        </w:rPr>
      </w:pPr>
      <w:bookmarkStart w:id="45" w:name="_Toc14441"/>
      <w:bookmarkStart w:id="46" w:name="_Toc246763514"/>
      <w:bookmarkStart w:id="47" w:name="_Toc448899480"/>
      <w:bookmarkStart w:id="48" w:name="_Toc460255610"/>
      <w:r>
        <w:rPr>
          <w:rFonts w:ascii="Times New Roman"/>
          <w:b/>
          <w:sz w:val="30"/>
          <w:szCs w:val="30"/>
        </w:rPr>
        <w:t>2.2</w:t>
      </w:r>
      <w:r>
        <w:rPr>
          <w:rFonts w:ascii="Times New Roman"/>
          <w:b/>
          <w:sz w:val="28"/>
        </w:rPr>
        <w:t>评价目的</w:t>
      </w:r>
      <w:bookmarkEnd w:id="45"/>
    </w:p>
    <w:p w14:paraId="24EC14D0">
      <w:pPr>
        <w:spacing w:line="480" w:lineRule="exact"/>
        <w:ind w:firstLine="480" w:firstLineChars="200"/>
        <w:rPr>
          <w:rFonts w:ascii="Times New Roman"/>
          <w:sz w:val="24"/>
          <w:szCs w:val="24"/>
        </w:rPr>
      </w:pPr>
      <w:r>
        <w:rPr>
          <w:rFonts w:ascii="Times New Roman"/>
          <w:sz w:val="24"/>
          <w:szCs w:val="24"/>
        </w:rPr>
        <w:t>（1）通过现场调研、资料收集等手段，查清区域环境特征、主要环境限制因素、项目所在区域环境质量背景状况。</w:t>
      </w:r>
    </w:p>
    <w:p w14:paraId="3D264DEB">
      <w:pPr>
        <w:spacing w:line="480" w:lineRule="exact"/>
        <w:ind w:firstLine="480" w:firstLineChars="200"/>
        <w:rPr>
          <w:rFonts w:ascii="Times New Roman"/>
          <w:sz w:val="24"/>
          <w:szCs w:val="24"/>
        </w:rPr>
      </w:pPr>
      <w:r>
        <w:rPr>
          <w:rFonts w:ascii="Times New Roman"/>
          <w:sz w:val="24"/>
          <w:szCs w:val="24"/>
        </w:rPr>
        <w:t>（2）通过工程分析，明确本项目施工期及营运期主要污染源、污染物种类、排放强度，分析环境污染的影响特征，预测和评价本项目施工期和运营期对环境的影响程度，并提出应采取的污染防治措施。根据该工程污染物排放情况和区域环境容量，提出该工程的主要污染物排放总量控制建议指标。</w:t>
      </w:r>
    </w:p>
    <w:p w14:paraId="7106FBF6">
      <w:pPr>
        <w:spacing w:line="480" w:lineRule="exact"/>
        <w:ind w:firstLine="480" w:firstLineChars="200"/>
        <w:rPr>
          <w:rFonts w:ascii="Times New Roman"/>
          <w:sz w:val="24"/>
          <w:szCs w:val="24"/>
        </w:rPr>
      </w:pPr>
      <w:r>
        <w:rPr>
          <w:rFonts w:ascii="Times New Roman"/>
          <w:sz w:val="24"/>
          <w:szCs w:val="24"/>
        </w:rPr>
        <w:t>（3）通过环境质量现状监测，了解项目和周围环境质量状况，并预测、分析项目主要污染物排放对周围环境的影响程度，根据项目排污情况和所在区域环境条件，提出主要污染物排放的总量控制建议指标。</w:t>
      </w:r>
    </w:p>
    <w:p w14:paraId="7446559C">
      <w:pPr>
        <w:spacing w:line="480" w:lineRule="exact"/>
        <w:ind w:firstLine="480" w:firstLineChars="200"/>
        <w:rPr>
          <w:rFonts w:ascii="Times New Roman"/>
          <w:sz w:val="24"/>
          <w:szCs w:val="24"/>
        </w:rPr>
      </w:pPr>
      <w:r>
        <w:rPr>
          <w:rFonts w:ascii="Times New Roman"/>
          <w:sz w:val="24"/>
          <w:szCs w:val="24"/>
        </w:rPr>
        <w:t>（4）从技术、经济角度分析项目拟采取的环境保护措施的可行性和合理性，必要时提出相应的替代方案，使之对环境的影响降至最低；</w:t>
      </w:r>
    </w:p>
    <w:p w14:paraId="586540AE">
      <w:pPr>
        <w:spacing w:line="480" w:lineRule="exact"/>
        <w:ind w:firstLine="480" w:firstLineChars="200"/>
        <w:rPr>
          <w:rFonts w:ascii="Times New Roman"/>
          <w:sz w:val="24"/>
          <w:szCs w:val="24"/>
        </w:rPr>
      </w:pPr>
      <w:r>
        <w:rPr>
          <w:rFonts w:ascii="Times New Roman"/>
          <w:sz w:val="24"/>
          <w:szCs w:val="24"/>
        </w:rPr>
        <w:t>（5）做好环境风险评价，进行风险识别，源项分析，并重点分析风险事故对周围环境的影响程度，提出风险防范措施和事故应急预案；</w:t>
      </w:r>
    </w:p>
    <w:p w14:paraId="22A40A83">
      <w:pPr>
        <w:spacing w:line="480" w:lineRule="exact"/>
        <w:ind w:firstLine="480" w:firstLineChars="200"/>
        <w:rPr>
          <w:rFonts w:ascii="Times New Roman"/>
          <w:sz w:val="24"/>
          <w:szCs w:val="24"/>
        </w:rPr>
      </w:pPr>
      <w:r>
        <w:rPr>
          <w:rFonts w:ascii="Times New Roman"/>
          <w:sz w:val="24"/>
          <w:szCs w:val="24"/>
        </w:rPr>
        <w:t>（6）分析厂址选择可行性，对项目进行环境经济损益分析，提出环境管理与监测计划；</w:t>
      </w:r>
    </w:p>
    <w:p w14:paraId="4053AC48">
      <w:pPr>
        <w:spacing w:line="480" w:lineRule="exact"/>
        <w:ind w:firstLine="480" w:firstLineChars="200"/>
        <w:rPr>
          <w:rFonts w:ascii="Times New Roman"/>
          <w:sz w:val="24"/>
          <w:szCs w:val="24"/>
        </w:rPr>
      </w:pPr>
      <w:r>
        <w:rPr>
          <w:rFonts w:ascii="Times New Roman"/>
          <w:sz w:val="24"/>
          <w:szCs w:val="24"/>
        </w:rPr>
        <w:t>（7）依据国家有关法律、环保法规和产业政策，对该项目的污染特点、污染防治措施等进行综合分析，从环境保护的角度对该项目建设的可行性做出明确结论，为设计单位项目设计、环境管理部门决策、建设单位的环境管理提供科学依据。</w:t>
      </w:r>
    </w:p>
    <w:p w14:paraId="5012F3EB">
      <w:pPr>
        <w:widowControl/>
        <w:spacing w:line="520" w:lineRule="exact"/>
        <w:jc w:val="left"/>
        <w:outlineLvl w:val="1"/>
        <w:rPr>
          <w:rFonts w:ascii="Times New Roman"/>
          <w:b/>
          <w:sz w:val="30"/>
          <w:szCs w:val="30"/>
        </w:rPr>
      </w:pPr>
      <w:bookmarkStart w:id="49" w:name="_Toc10874"/>
      <w:r>
        <w:rPr>
          <w:rFonts w:ascii="Times New Roman"/>
          <w:b/>
          <w:sz w:val="30"/>
          <w:szCs w:val="30"/>
        </w:rPr>
        <w:t>2.3评价</w:t>
      </w:r>
      <w:bookmarkEnd w:id="46"/>
      <w:r>
        <w:rPr>
          <w:rFonts w:ascii="Times New Roman"/>
          <w:b/>
          <w:sz w:val="30"/>
          <w:szCs w:val="30"/>
        </w:rPr>
        <w:t>原则</w:t>
      </w:r>
      <w:bookmarkEnd w:id="47"/>
      <w:bookmarkEnd w:id="48"/>
      <w:bookmarkEnd w:id="49"/>
    </w:p>
    <w:p w14:paraId="556D537F">
      <w:pPr>
        <w:spacing w:line="480" w:lineRule="exact"/>
        <w:ind w:firstLine="480" w:firstLineChars="200"/>
        <w:rPr>
          <w:rFonts w:ascii="Times New Roman"/>
          <w:sz w:val="24"/>
          <w:szCs w:val="24"/>
        </w:rPr>
      </w:pPr>
      <w:r>
        <w:rPr>
          <w:rFonts w:ascii="Times New Roman"/>
          <w:sz w:val="24"/>
          <w:szCs w:val="24"/>
        </w:rPr>
        <w:t>突出环境影响评价的源头预防作用，坚持保护和改善环境质量。</w:t>
      </w:r>
    </w:p>
    <w:p w14:paraId="2F6D5B7E">
      <w:pPr>
        <w:spacing w:line="480" w:lineRule="exact"/>
        <w:ind w:firstLine="480" w:firstLineChars="200"/>
        <w:rPr>
          <w:rFonts w:ascii="Times New Roman"/>
          <w:sz w:val="24"/>
          <w:szCs w:val="24"/>
        </w:rPr>
      </w:pPr>
      <w:r>
        <w:rPr>
          <w:rFonts w:ascii="Times New Roman"/>
          <w:sz w:val="24"/>
          <w:szCs w:val="24"/>
        </w:rPr>
        <w:t>（1）依法评价</w:t>
      </w:r>
    </w:p>
    <w:p w14:paraId="66DE979B">
      <w:pPr>
        <w:spacing w:line="480" w:lineRule="exact"/>
        <w:ind w:firstLine="480" w:firstLineChars="200"/>
        <w:rPr>
          <w:rFonts w:ascii="Times New Roman"/>
          <w:sz w:val="24"/>
          <w:szCs w:val="24"/>
        </w:rPr>
      </w:pPr>
      <w:r>
        <w:rPr>
          <w:rFonts w:ascii="Times New Roman"/>
          <w:sz w:val="24"/>
          <w:szCs w:val="24"/>
        </w:rPr>
        <w:t>贯彻执行我国环境保护相关法律法规、标准、政策和规划等，优化项目建设，服务环境管理。</w:t>
      </w:r>
    </w:p>
    <w:p w14:paraId="0CF57FD8">
      <w:pPr>
        <w:spacing w:line="480" w:lineRule="exact"/>
        <w:ind w:firstLine="480" w:firstLineChars="200"/>
        <w:rPr>
          <w:rFonts w:ascii="Times New Roman"/>
          <w:sz w:val="24"/>
          <w:szCs w:val="24"/>
        </w:rPr>
      </w:pPr>
      <w:r>
        <w:rPr>
          <w:rFonts w:ascii="Times New Roman"/>
          <w:sz w:val="24"/>
          <w:szCs w:val="24"/>
        </w:rPr>
        <w:t>（2）科学评价</w:t>
      </w:r>
    </w:p>
    <w:p w14:paraId="77B9CB9D">
      <w:pPr>
        <w:spacing w:line="480" w:lineRule="exact"/>
        <w:ind w:firstLine="480" w:firstLineChars="200"/>
        <w:rPr>
          <w:rFonts w:ascii="Times New Roman"/>
          <w:sz w:val="24"/>
          <w:szCs w:val="24"/>
        </w:rPr>
      </w:pPr>
      <w:r>
        <w:rPr>
          <w:rFonts w:ascii="Times New Roman"/>
          <w:sz w:val="24"/>
          <w:szCs w:val="24"/>
        </w:rPr>
        <w:t>规范环境影响评价方法，科学分析项目建设对环境质量的影响。</w:t>
      </w:r>
    </w:p>
    <w:p w14:paraId="5C545271">
      <w:pPr>
        <w:spacing w:line="480" w:lineRule="exact"/>
        <w:ind w:firstLine="480" w:firstLineChars="200"/>
        <w:rPr>
          <w:rFonts w:ascii="Times New Roman"/>
          <w:sz w:val="24"/>
          <w:szCs w:val="24"/>
        </w:rPr>
      </w:pPr>
      <w:r>
        <w:rPr>
          <w:rFonts w:ascii="Times New Roman"/>
          <w:sz w:val="24"/>
          <w:szCs w:val="24"/>
        </w:rPr>
        <w:t>（3）突出重点</w:t>
      </w:r>
    </w:p>
    <w:p w14:paraId="4E7C6335">
      <w:pPr>
        <w:spacing w:line="480" w:lineRule="exact"/>
        <w:ind w:firstLine="480" w:firstLineChars="200"/>
        <w:rPr>
          <w:rFonts w:ascii="Times New Roman"/>
          <w:sz w:val="24"/>
          <w:szCs w:val="24"/>
        </w:rPr>
      </w:pPr>
      <w:r>
        <w:rPr>
          <w:rFonts w:ascii="Times New Roman"/>
          <w:sz w:val="24"/>
          <w:szCs w:val="24"/>
        </w:rPr>
        <w:t>根据建设项目的工程内容及特点，明确与环境要素间的作用效应关系，根据规划环境影响评价结论和审查意见，充分利用符合时效的数据资料及成果，对建设项目主要环境影响予以重点分析和评价</w:t>
      </w:r>
      <w:r>
        <w:rPr>
          <w:rFonts w:hint="eastAsia" w:ascii="Times New Roman"/>
          <w:sz w:val="24"/>
          <w:szCs w:val="24"/>
        </w:rPr>
        <w:t>，涉及辐射的另做环评进行评价</w:t>
      </w:r>
      <w:r>
        <w:rPr>
          <w:rFonts w:ascii="Times New Roman"/>
          <w:sz w:val="24"/>
          <w:szCs w:val="24"/>
        </w:rPr>
        <w:t>。</w:t>
      </w:r>
    </w:p>
    <w:p w14:paraId="77F7353B">
      <w:pPr>
        <w:widowControl/>
        <w:spacing w:line="520" w:lineRule="exact"/>
        <w:jc w:val="left"/>
        <w:outlineLvl w:val="1"/>
        <w:rPr>
          <w:rFonts w:ascii="Times New Roman"/>
          <w:b/>
          <w:sz w:val="30"/>
          <w:szCs w:val="30"/>
        </w:rPr>
      </w:pPr>
      <w:bookmarkStart w:id="50" w:name="_Toc474313785"/>
      <w:bookmarkStart w:id="51" w:name="_Toc29093"/>
      <w:bookmarkStart w:id="52" w:name="_Toc508872099"/>
      <w:r>
        <w:rPr>
          <w:rFonts w:ascii="Times New Roman"/>
          <w:b/>
          <w:sz w:val="30"/>
          <w:szCs w:val="30"/>
        </w:rPr>
        <w:t>2.4环境影响要素和评价因子</w:t>
      </w:r>
      <w:bookmarkEnd w:id="50"/>
      <w:bookmarkEnd w:id="51"/>
      <w:bookmarkEnd w:id="52"/>
    </w:p>
    <w:p w14:paraId="35DCD145">
      <w:pPr>
        <w:spacing w:line="480" w:lineRule="exact"/>
        <w:outlineLvl w:val="2"/>
        <w:rPr>
          <w:rFonts w:ascii="Times New Roman"/>
          <w:b/>
          <w:sz w:val="28"/>
          <w:szCs w:val="28"/>
        </w:rPr>
      </w:pPr>
      <w:r>
        <w:rPr>
          <w:rFonts w:ascii="Times New Roman"/>
          <w:b/>
          <w:sz w:val="28"/>
          <w:szCs w:val="28"/>
        </w:rPr>
        <w:t>2.4.1环境影响因素识别</w:t>
      </w:r>
    </w:p>
    <w:p w14:paraId="2D77D0DD">
      <w:pPr>
        <w:spacing w:line="480" w:lineRule="exact"/>
        <w:ind w:firstLine="480" w:firstLineChars="200"/>
        <w:rPr>
          <w:rFonts w:ascii="Times New Roman"/>
          <w:sz w:val="24"/>
          <w:szCs w:val="24"/>
        </w:rPr>
      </w:pPr>
      <w:r>
        <w:rPr>
          <w:rFonts w:ascii="Times New Roman"/>
          <w:sz w:val="24"/>
          <w:szCs w:val="24"/>
        </w:rPr>
        <w:t>根据本项目主要污染源污染因子及区域环境特征，对本项目实施后的主要环境影响要素进行识别，结果见表2.4-1。</w:t>
      </w:r>
    </w:p>
    <w:p w14:paraId="6FCE8E41">
      <w:pPr>
        <w:spacing w:line="480" w:lineRule="exact"/>
        <w:ind w:firstLine="482" w:firstLineChars="200"/>
        <w:jc w:val="center"/>
        <w:rPr>
          <w:rFonts w:ascii="Times New Roman"/>
          <w:b/>
          <w:sz w:val="24"/>
          <w:szCs w:val="24"/>
        </w:rPr>
      </w:pPr>
      <w:r>
        <w:rPr>
          <w:rFonts w:ascii="Times New Roman"/>
          <w:b/>
          <w:sz w:val="24"/>
          <w:szCs w:val="24"/>
        </w:rPr>
        <w:t>表2.4-1  环境影响因素识别矩阵表</w:t>
      </w:r>
    </w:p>
    <w:tbl>
      <w:tblPr>
        <w:tblStyle w:val="84"/>
        <w:tblW w:w="48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1127"/>
        <w:gridCol w:w="1043"/>
        <w:gridCol w:w="880"/>
        <w:gridCol w:w="1037"/>
        <w:gridCol w:w="856"/>
        <w:gridCol w:w="795"/>
        <w:gridCol w:w="961"/>
        <w:gridCol w:w="1168"/>
      </w:tblGrid>
      <w:tr w14:paraId="1CEFA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936" w:type="pct"/>
            <w:gridSpan w:val="2"/>
            <w:vMerge w:val="restart"/>
            <w:vAlign w:val="center"/>
          </w:tcPr>
          <w:p w14:paraId="11F52BF5">
            <w:pPr>
              <w:jc w:val="center"/>
              <w:rPr>
                <w:rFonts w:ascii="Times New Roman"/>
                <w:b/>
                <w:caps/>
                <w:sz w:val="21"/>
                <w:szCs w:val="21"/>
              </w:rPr>
            </w:pPr>
            <w:r>
              <w:rPr>
                <w:rFonts w:ascii="Times New Roman"/>
                <w:b/>
                <w:caps/>
                <w:sz w:val="21"/>
                <w:szCs w:val="21"/>
              </w:rPr>
              <w:t>类别</w:t>
            </w:r>
          </w:p>
        </w:tc>
        <w:tc>
          <w:tcPr>
            <w:tcW w:w="2780" w:type="pct"/>
            <w:gridSpan w:val="5"/>
            <w:vAlign w:val="center"/>
          </w:tcPr>
          <w:p w14:paraId="09089C7F">
            <w:pPr>
              <w:jc w:val="center"/>
              <w:rPr>
                <w:rFonts w:ascii="Times New Roman"/>
                <w:b/>
                <w:caps/>
                <w:sz w:val="21"/>
                <w:szCs w:val="21"/>
              </w:rPr>
            </w:pPr>
            <w:r>
              <w:rPr>
                <w:rFonts w:ascii="Times New Roman"/>
                <w:b/>
                <w:caps/>
                <w:sz w:val="21"/>
                <w:szCs w:val="21"/>
              </w:rPr>
              <w:t>自然环境</w:t>
            </w:r>
          </w:p>
        </w:tc>
        <w:tc>
          <w:tcPr>
            <w:tcW w:w="1283" w:type="pct"/>
            <w:gridSpan w:val="2"/>
            <w:vAlign w:val="center"/>
          </w:tcPr>
          <w:p w14:paraId="5DF34311">
            <w:pPr>
              <w:jc w:val="center"/>
              <w:rPr>
                <w:rFonts w:ascii="Times New Roman"/>
                <w:b/>
                <w:caps/>
                <w:sz w:val="21"/>
                <w:szCs w:val="21"/>
              </w:rPr>
            </w:pPr>
            <w:r>
              <w:rPr>
                <w:rFonts w:ascii="Times New Roman"/>
                <w:b/>
                <w:caps/>
                <w:sz w:val="21"/>
                <w:szCs w:val="21"/>
              </w:rPr>
              <w:t>生态环境</w:t>
            </w:r>
          </w:p>
        </w:tc>
      </w:tr>
      <w:tr w14:paraId="3537B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936" w:type="pct"/>
            <w:gridSpan w:val="2"/>
            <w:vMerge w:val="continue"/>
            <w:vAlign w:val="center"/>
          </w:tcPr>
          <w:p w14:paraId="10AD942D">
            <w:pPr>
              <w:jc w:val="center"/>
              <w:rPr>
                <w:rFonts w:ascii="Times New Roman"/>
                <w:b/>
                <w:sz w:val="21"/>
                <w:szCs w:val="21"/>
              </w:rPr>
            </w:pPr>
          </w:p>
        </w:tc>
        <w:tc>
          <w:tcPr>
            <w:tcW w:w="629" w:type="pct"/>
            <w:vAlign w:val="center"/>
          </w:tcPr>
          <w:p w14:paraId="096294C4">
            <w:pPr>
              <w:jc w:val="center"/>
              <w:rPr>
                <w:rFonts w:ascii="Times New Roman"/>
                <w:b/>
                <w:sz w:val="21"/>
                <w:szCs w:val="21"/>
              </w:rPr>
            </w:pPr>
            <w:r>
              <w:rPr>
                <w:rFonts w:ascii="Times New Roman"/>
                <w:b/>
                <w:sz w:val="21"/>
                <w:szCs w:val="21"/>
              </w:rPr>
              <w:t>环境</w:t>
            </w:r>
          </w:p>
          <w:p w14:paraId="3EC5D989">
            <w:pPr>
              <w:jc w:val="center"/>
              <w:rPr>
                <w:rFonts w:ascii="Times New Roman"/>
                <w:b/>
                <w:sz w:val="21"/>
                <w:szCs w:val="21"/>
              </w:rPr>
            </w:pPr>
            <w:r>
              <w:rPr>
                <w:rFonts w:ascii="Times New Roman"/>
                <w:b/>
                <w:sz w:val="21"/>
                <w:szCs w:val="21"/>
              </w:rPr>
              <w:t>空气</w:t>
            </w:r>
          </w:p>
        </w:tc>
        <w:tc>
          <w:tcPr>
            <w:tcW w:w="531" w:type="pct"/>
            <w:vAlign w:val="center"/>
          </w:tcPr>
          <w:p w14:paraId="5B4A3990">
            <w:pPr>
              <w:jc w:val="center"/>
              <w:rPr>
                <w:rFonts w:ascii="Times New Roman"/>
                <w:b/>
                <w:spacing w:val="-10"/>
                <w:sz w:val="21"/>
                <w:szCs w:val="21"/>
              </w:rPr>
            </w:pPr>
            <w:r>
              <w:rPr>
                <w:rFonts w:ascii="Times New Roman"/>
                <w:b/>
                <w:spacing w:val="-10"/>
                <w:sz w:val="21"/>
                <w:szCs w:val="21"/>
              </w:rPr>
              <w:t>地表水</w:t>
            </w:r>
          </w:p>
          <w:p w14:paraId="68A0099A">
            <w:pPr>
              <w:jc w:val="center"/>
              <w:rPr>
                <w:rFonts w:ascii="Times New Roman"/>
                <w:b/>
                <w:spacing w:val="-10"/>
                <w:sz w:val="21"/>
                <w:szCs w:val="21"/>
              </w:rPr>
            </w:pPr>
            <w:r>
              <w:rPr>
                <w:rFonts w:ascii="Times New Roman"/>
                <w:b/>
                <w:spacing w:val="-10"/>
                <w:sz w:val="21"/>
                <w:szCs w:val="21"/>
              </w:rPr>
              <w:t>环境</w:t>
            </w:r>
          </w:p>
        </w:tc>
        <w:tc>
          <w:tcPr>
            <w:tcW w:w="625" w:type="pct"/>
            <w:vAlign w:val="center"/>
          </w:tcPr>
          <w:p w14:paraId="574CB24F">
            <w:pPr>
              <w:jc w:val="center"/>
              <w:rPr>
                <w:rFonts w:ascii="Times New Roman"/>
                <w:b/>
                <w:sz w:val="21"/>
                <w:szCs w:val="21"/>
              </w:rPr>
            </w:pPr>
            <w:r>
              <w:rPr>
                <w:rFonts w:ascii="Times New Roman"/>
                <w:b/>
                <w:sz w:val="21"/>
                <w:szCs w:val="21"/>
              </w:rPr>
              <w:t>地下水环境</w:t>
            </w:r>
          </w:p>
        </w:tc>
        <w:tc>
          <w:tcPr>
            <w:tcW w:w="516" w:type="pct"/>
            <w:vAlign w:val="center"/>
          </w:tcPr>
          <w:p w14:paraId="5E17013A">
            <w:pPr>
              <w:jc w:val="center"/>
              <w:rPr>
                <w:rFonts w:ascii="Times New Roman"/>
                <w:b/>
                <w:sz w:val="21"/>
                <w:szCs w:val="21"/>
              </w:rPr>
            </w:pPr>
            <w:r>
              <w:rPr>
                <w:rFonts w:ascii="Times New Roman"/>
                <w:b/>
                <w:sz w:val="21"/>
                <w:szCs w:val="21"/>
              </w:rPr>
              <w:t>声环境</w:t>
            </w:r>
          </w:p>
        </w:tc>
        <w:tc>
          <w:tcPr>
            <w:tcW w:w="478" w:type="pct"/>
            <w:vAlign w:val="center"/>
          </w:tcPr>
          <w:p w14:paraId="5C92B7D4">
            <w:pPr>
              <w:jc w:val="center"/>
              <w:rPr>
                <w:rFonts w:ascii="Times New Roman"/>
                <w:b/>
                <w:sz w:val="21"/>
                <w:szCs w:val="21"/>
              </w:rPr>
            </w:pPr>
            <w:r>
              <w:rPr>
                <w:rFonts w:ascii="Times New Roman"/>
                <w:b/>
                <w:sz w:val="21"/>
                <w:szCs w:val="21"/>
              </w:rPr>
              <w:t>土壤环境</w:t>
            </w:r>
          </w:p>
        </w:tc>
        <w:tc>
          <w:tcPr>
            <w:tcW w:w="579" w:type="pct"/>
            <w:vAlign w:val="center"/>
          </w:tcPr>
          <w:p w14:paraId="0EC18FAB">
            <w:pPr>
              <w:jc w:val="center"/>
              <w:rPr>
                <w:rFonts w:ascii="Times New Roman"/>
                <w:b/>
                <w:sz w:val="21"/>
                <w:szCs w:val="21"/>
              </w:rPr>
            </w:pPr>
            <w:r>
              <w:rPr>
                <w:rFonts w:ascii="Times New Roman"/>
                <w:b/>
                <w:sz w:val="21"/>
                <w:szCs w:val="21"/>
              </w:rPr>
              <w:t>植被</w:t>
            </w:r>
          </w:p>
        </w:tc>
        <w:tc>
          <w:tcPr>
            <w:tcW w:w="704" w:type="pct"/>
            <w:vAlign w:val="center"/>
          </w:tcPr>
          <w:p w14:paraId="12880D66">
            <w:pPr>
              <w:jc w:val="center"/>
              <w:rPr>
                <w:rFonts w:ascii="Times New Roman"/>
                <w:b/>
                <w:sz w:val="21"/>
                <w:szCs w:val="21"/>
              </w:rPr>
            </w:pPr>
            <w:r>
              <w:rPr>
                <w:rFonts w:ascii="Times New Roman"/>
                <w:b/>
                <w:sz w:val="21"/>
                <w:szCs w:val="21"/>
              </w:rPr>
              <w:t>水土流失</w:t>
            </w:r>
          </w:p>
        </w:tc>
      </w:tr>
      <w:tr w14:paraId="06244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56" w:type="pct"/>
            <w:vMerge w:val="restart"/>
            <w:tcBorders>
              <w:right w:val="single" w:color="auto" w:sz="4" w:space="0"/>
            </w:tcBorders>
            <w:vAlign w:val="center"/>
          </w:tcPr>
          <w:p w14:paraId="338D3F6A">
            <w:pPr>
              <w:jc w:val="center"/>
              <w:rPr>
                <w:rFonts w:ascii="Times New Roman"/>
                <w:sz w:val="21"/>
                <w:szCs w:val="21"/>
              </w:rPr>
            </w:pPr>
            <w:r>
              <w:rPr>
                <w:rFonts w:ascii="Times New Roman"/>
                <w:sz w:val="21"/>
                <w:szCs w:val="21"/>
              </w:rPr>
              <w:t>施工期</w:t>
            </w:r>
          </w:p>
        </w:tc>
        <w:tc>
          <w:tcPr>
            <w:tcW w:w="679" w:type="pct"/>
            <w:tcBorders>
              <w:left w:val="single" w:color="auto" w:sz="4" w:space="0"/>
            </w:tcBorders>
            <w:vAlign w:val="center"/>
          </w:tcPr>
          <w:p w14:paraId="771FBCB0">
            <w:pPr>
              <w:spacing w:line="320" w:lineRule="exact"/>
              <w:jc w:val="center"/>
              <w:rPr>
                <w:rFonts w:ascii="Times New Roman"/>
                <w:sz w:val="21"/>
                <w:szCs w:val="21"/>
              </w:rPr>
            </w:pPr>
            <w:r>
              <w:rPr>
                <w:rFonts w:ascii="Times New Roman"/>
                <w:sz w:val="21"/>
                <w:szCs w:val="21"/>
              </w:rPr>
              <w:t>建筑施工</w:t>
            </w:r>
          </w:p>
        </w:tc>
        <w:tc>
          <w:tcPr>
            <w:tcW w:w="629" w:type="pct"/>
            <w:vAlign w:val="center"/>
          </w:tcPr>
          <w:p w14:paraId="428E3028">
            <w:pPr>
              <w:spacing w:line="320" w:lineRule="exact"/>
              <w:jc w:val="center"/>
              <w:rPr>
                <w:rFonts w:ascii="Times New Roman"/>
                <w:sz w:val="21"/>
                <w:szCs w:val="21"/>
              </w:rPr>
            </w:pPr>
            <w:r>
              <w:rPr>
                <w:rFonts w:ascii="Times New Roman"/>
                <w:sz w:val="21"/>
                <w:szCs w:val="21"/>
              </w:rPr>
              <w:t>-1D</w:t>
            </w:r>
          </w:p>
        </w:tc>
        <w:tc>
          <w:tcPr>
            <w:tcW w:w="531" w:type="pct"/>
            <w:vAlign w:val="center"/>
          </w:tcPr>
          <w:p w14:paraId="6752D53A">
            <w:pPr>
              <w:spacing w:line="320" w:lineRule="exact"/>
              <w:jc w:val="center"/>
              <w:rPr>
                <w:rFonts w:ascii="Times New Roman"/>
                <w:sz w:val="21"/>
                <w:szCs w:val="21"/>
              </w:rPr>
            </w:pPr>
            <w:r>
              <w:rPr>
                <w:rFonts w:ascii="Times New Roman"/>
                <w:sz w:val="21"/>
                <w:szCs w:val="21"/>
              </w:rPr>
              <w:t>—</w:t>
            </w:r>
          </w:p>
        </w:tc>
        <w:tc>
          <w:tcPr>
            <w:tcW w:w="625" w:type="pct"/>
            <w:vAlign w:val="center"/>
          </w:tcPr>
          <w:p w14:paraId="537B0DFB">
            <w:pPr>
              <w:spacing w:line="320" w:lineRule="exact"/>
              <w:jc w:val="center"/>
              <w:rPr>
                <w:rFonts w:ascii="Times New Roman"/>
                <w:sz w:val="21"/>
                <w:szCs w:val="21"/>
              </w:rPr>
            </w:pPr>
            <w:r>
              <w:rPr>
                <w:rFonts w:ascii="Times New Roman"/>
                <w:sz w:val="21"/>
                <w:szCs w:val="21"/>
              </w:rPr>
              <w:t>-1D</w:t>
            </w:r>
          </w:p>
        </w:tc>
        <w:tc>
          <w:tcPr>
            <w:tcW w:w="516" w:type="pct"/>
            <w:vAlign w:val="center"/>
          </w:tcPr>
          <w:p w14:paraId="5E8E00D6">
            <w:pPr>
              <w:spacing w:line="320" w:lineRule="exact"/>
              <w:jc w:val="center"/>
              <w:rPr>
                <w:rFonts w:ascii="Times New Roman"/>
                <w:sz w:val="21"/>
                <w:szCs w:val="21"/>
              </w:rPr>
            </w:pPr>
            <w:r>
              <w:rPr>
                <w:rFonts w:ascii="Times New Roman"/>
                <w:sz w:val="21"/>
                <w:szCs w:val="21"/>
              </w:rPr>
              <w:t>-1D</w:t>
            </w:r>
          </w:p>
        </w:tc>
        <w:tc>
          <w:tcPr>
            <w:tcW w:w="478" w:type="pct"/>
            <w:vAlign w:val="center"/>
          </w:tcPr>
          <w:p w14:paraId="6ED4331E">
            <w:pPr>
              <w:spacing w:line="320" w:lineRule="exact"/>
              <w:jc w:val="center"/>
              <w:rPr>
                <w:rFonts w:ascii="Times New Roman"/>
                <w:sz w:val="21"/>
                <w:szCs w:val="21"/>
              </w:rPr>
            </w:pPr>
            <w:r>
              <w:rPr>
                <w:rFonts w:ascii="Times New Roman"/>
                <w:sz w:val="21"/>
                <w:szCs w:val="21"/>
              </w:rPr>
              <w:t>-1D</w:t>
            </w:r>
          </w:p>
        </w:tc>
        <w:tc>
          <w:tcPr>
            <w:tcW w:w="579" w:type="pct"/>
            <w:vAlign w:val="center"/>
          </w:tcPr>
          <w:p w14:paraId="141FBD93">
            <w:pPr>
              <w:spacing w:line="320" w:lineRule="exact"/>
              <w:jc w:val="center"/>
              <w:rPr>
                <w:rFonts w:ascii="Times New Roman"/>
                <w:sz w:val="21"/>
                <w:szCs w:val="21"/>
              </w:rPr>
            </w:pPr>
            <w:r>
              <w:rPr>
                <w:rFonts w:ascii="Times New Roman"/>
                <w:sz w:val="21"/>
                <w:szCs w:val="21"/>
              </w:rPr>
              <w:t>-1D</w:t>
            </w:r>
          </w:p>
        </w:tc>
        <w:tc>
          <w:tcPr>
            <w:tcW w:w="704" w:type="pct"/>
            <w:vAlign w:val="center"/>
          </w:tcPr>
          <w:p w14:paraId="66AC1BE0">
            <w:pPr>
              <w:spacing w:line="320" w:lineRule="exact"/>
              <w:jc w:val="center"/>
              <w:rPr>
                <w:rFonts w:ascii="Times New Roman"/>
                <w:sz w:val="21"/>
                <w:szCs w:val="21"/>
              </w:rPr>
            </w:pPr>
            <w:r>
              <w:rPr>
                <w:rFonts w:ascii="Times New Roman"/>
                <w:sz w:val="21"/>
                <w:szCs w:val="21"/>
              </w:rPr>
              <w:t>-1D</w:t>
            </w:r>
          </w:p>
        </w:tc>
      </w:tr>
      <w:tr w14:paraId="47C7B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56" w:type="pct"/>
            <w:vMerge w:val="continue"/>
            <w:tcBorders>
              <w:right w:val="single" w:color="auto" w:sz="4" w:space="0"/>
            </w:tcBorders>
            <w:vAlign w:val="center"/>
          </w:tcPr>
          <w:p w14:paraId="24D083D3">
            <w:pPr>
              <w:jc w:val="center"/>
              <w:rPr>
                <w:rFonts w:ascii="Times New Roman"/>
              </w:rPr>
            </w:pPr>
          </w:p>
        </w:tc>
        <w:tc>
          <w:tcPr>
            <w:tcW w:w="679" w:type="pct"/>
            <w:tcBorders>
              <w:left w:val="single" w:color="auto" w:sz="4" w:space="0"/>
            </w:tcBorders>
            <w:vAlign w:val="center"/>
          </w:tcPr>
          <w:p w14:paraId="1A64D4C6">
            <w:pPr>
              <w:jc w:val="center"/>
              <w:rPr>
                <w:rFonts w:ascii="Times New Roman"/>
                <w:sz w:val="21"/>
                <w:szCs w:val="21"/>
              </w:rPr>
            </w:pPr>
            <w:r>
              <w:rPr>
                <w:rFonts w:ascii="Times New Roman"/>
                <w:sz w:val="21"/>
                <w:szCs w:val="21"/>
              </w:rPr>
              <w:t>设备安装</w:t>
            </w:r>
          </w:p>
        </w:tc>
        <w:tc>
          <w:tcPr>
            <w:tcW w:w="629" w:type="pct"/>
            <w:vAlign w:val="center"/>
          </w:tcPr>
          <w:p w14:paraId="17B66E96">
            <w:pPr>
              <w:jc w:val="center"/>
              <w:rPr>
                <w:rFonts w:ascii="Times New Roman"/>
                <w:sz w:val="21"/>
                <w:szCs w:val="21"/>
              </w:rPr>
            </w:pPr>
            <w:r>
              <w:rPr>
                <w:rFonts w:ascii="Times New Roman"/>
                <w:sz w:val="21"/>
                <w:szCs w:val="21"/>
              </w:rPr>
              <w:t>—</w:t>
            </w:r>
          </w:p>
        </w:tc>
        <w:tc>
          <w:tcPr>
            <w:tcW w:w="531" w:type="pct"/>
            <w:vAlign w:val="center"/>
          </w:tcPr>
          <w:p w14:paraId="630153FB">
            <w:pPr>
              <w:jc w:val="center"/>
              <w:rPr>
                <w:rFonts w:ascii="Times New Roman"/>
                <w:sz w:val="21"/>
                <w:szCs w:val="21"/>
              </w:rPr>
            </w:pPr>
            <w:r>
              <w:rPr>
                <w:rFonts w:ascii="Times New Roman"/>
                <w:sz w:val="21"/>
                <w:szCs w:val="21"/>
              </w:rPr>
              <w:t>—</w:t>
            </w:r>
          </w:p>
        </w:tc>
        <w:tc>
          <w:tcPr>
            <w:tcW w:w="625" w:type="pct"/>
            <w:vAlign w:val="center"/>
          </w:tcPr>
          <w:p w14:paraId="0A77D47B">
            <w:pPr>
              <w:jc w:val="center"/>
              <w:rPr>
                <w:rFonts w:ascii="Times New Roman"/>
                <w:sz w:val="21"/>
                <w:szCs w:val="21"/>
              </w:rPr>
            </w:pPr>
            <w:r>
              <w:rPr>
                <w:rFonts w:ascii="Times New Roman"/>
                <w:sz w:val="21"/>
                <w:szCs w:val="21"/>
              </w:rPr>
              <w:t>—</w:t>
            </w:r>
          </w:p>
        </w:tc>
        <w:tc>
          <w:tcPr>
            <w:tcW w:w="516" w:type="pct"/>
            <w:vAlign w:val="center"/>
          </w:tcPr>
          <w:p w14:paraId="0CD1C70A">
            <w:pPr>
              <w:jc w:val="center"/>
              <w:rPr>
                <w:rFonts w:ascii="Times New Roman"/>
                <w:sz w:val="21"/>
                <w:szCs w:val="21"/>
              </w:rPr>
            </w:pPr>
            <w:r>
              <w:rPr>
                <w:rFonts w:ascii="Times New Roman"/>
                <w:sz w:val="21"/>
                <w:szCs w:val="21"/>
              </w:rPr>
              <w:t>-1D</w:t>
            </w:r>
          </w:p>
        </w:tc>
        <w:tc>
          <w:tcPr>
            <w:tcW w:w="478" w:type="pct"/>
            <w:vAlign w:val="center"/>
          </w:tcPr>
          <w:p w14:paraId="50F61A44">
            <w:pPr>
              <w:jc w:val="center"/>
              <w:rPr>
                <w:rFonts w:ascii="Times New Roman"/>
                <w:sz w:val="21"/>
                <w:szCs w:val="21"/>
              </w:rPr>
            </w:pPr>
            <w:r>
              <w:rPr>
                <w:rFonts w:ascii="Times New Roman"/>
                <w:sz w:val="21"/>
                <w:szCs w:val="21"/>
              </w:rPr>
              <w:t>—</w:t>
            </w:r>
          </w:p>
        </w:tc>
        <w:tc>
          <w:tcPr>
            <w:tcW w:w="579" w:type="pct"/>
            <w:vAlign w:val="center"/>
          </w:tcPr>
          <w:p w14:paraId="07868253">
            <w:pPr>
              <w:jc w:val="center"/>
              <w:rPr>
                <w:rFonts w:ascii="Times New Roman"/>
                <w:sz w:val="21"/>
                <w:szCs w:val="21"/>
              </w:rPr>
            </w:pPr>
            <w:r>
              <w:rPr>
                <w:rFonts w:ascii="Times New Roman"/>
                <w:sz w:val="21"/>
                <w:szCs w:val="21"/>
              </w:rPr>
              <w:t>—</w:t>
            </w:r>
          </w:p>
        </w:tc>
        <w:tc>
          <w:tcPr>
            <w:tcW w:w="704" w:type="pct"/>
            <w:vAlign w:val="center"/>
          </w:tcPr>
          <w:p w14:paraId="643A6759">
            <w:pPr>
              <w:jc w:val="center"/>
              <w:rPr>
                <w:rFonts w:ascii="Times New Roman"/>
                <w:sz w:val="21"/>
                <w:szCs w:val="21"/>
              </w:rPr>
            </w:pPr>
            <w:r>
              <w:rPr>
                <w:rFonts w:ascii="Times New Roman"/>
                <w:sz w:val="21"/>
                <w:szCs w:val="21"/>
              </w:rPr>
              <w:t>—</w:t>
            </w:r>
          </w:p>
        </w:tc>
      </w:tr>
      <w:tr w14:paraId="5C16D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56" w:type="pct"/>
            <w:vMerge w:val="restart"/>
            <w:tcBorders>
              <w:right w:val="single" w:color="auto" w:sz="4" w:space="0"/>
            </w:tcBorders>
            <w:vAlign w:val="center"/>
          </w:tcPr>
          <w:p w14:paraId="0C61AD0F">
            <w:pPr>
              <w:jc w:val="center"/>
              <w:rPr>
                <w:rFonts w:ascii="Times New Roman"/>
                <w:sz w:val="21"/>
                <w:szCs w:val="21"/>
              </w:rPr>
            </w:pPr>
            <w:r>
              <w:rPr>
                <w:rFonts w:ascii="Times New Roman"/>
                <w:sz w:val="21"/>
                <w:szCs w:val="21"/>
              </w:rPr>
              <w:t>运营期</w:t>
            </w:r>
          </w:p>
        </w:tc>
        <w:tc>
          <w:tcPr>
            <w:tcW w:w="679" w:type="pct"/>
            <w:tcBorders>
              <w:left w:val="single" w:color="auto" w:sz="4" w:space="0"/>
            </w:tcBorders>
            <w:vAlign w:val="center"/>
          </w:tcPr>
          <w:p w14:paraId="7E3FC8F9">
            <w:pPr>
              <w:spacing w:line="320" w:lineRule="exact"/>
              <w:jc w:val="center"/>
              <w:rPr>
                <w:rFonts w:ascii="Times New Roman"/>
                <w:sz w:val="21"/>
                <w:szCs w:val="21"/>
              </w:rPr>
            </w:pPr>
            <w:r>
              <w:rPr>
                <w:rFonts w:ascii="Times New Roman"/>
                <w:sz w:val="21"/>
                <w:szCs w:val="21"/>
              </w:rPr>
              <w:t>物料运输</w:t>
            </w:r>
          </w:p>
        </w:tc>
        <w:tc>
          <w:tcPr>
            <w:tcW w:w="629" w:type="pct"/>
            <w:vAlign w:val="center"/>
          </w:tcPr>
          <w:p w14:paraId="2AD3F1B4">
            <w:pPr>
              <w:spacing w:line="320" w:lineRule="exact"/>
              <w:jc w:val="center"/>
              <w:rPr>
                <w:rFonts w:ascii="Times New Roman"/>
                <w:sz w:val="21"/>
                <w:szCs w:val="21"/>
              </w:rPr>
            </w:pPr>
            <w:r>
              <w:rPr>
                <w:rFonts w:ascii="Times New Roman"/>
                <w:sz w:val="21"/>
                <w:szCs w:val="21"/>
              </w:rPr>
              <w:t>-1C</w:t>
            </w:r>
          </w:p>
        </w:tc>
        <w:tc>
          <w:tcPr>
            <w:tcW w:w="531" w:type="pct"/>
            <w:vAlign w:val="center"/>
          </w:tcPr>
          <w:p w14:paraId="2C76B92B">
            <w:pPr>
              <w:spacing w:line="320" w:lineRule="exact"/>
              <w:jc w:val="center"/>
              <w:rPr>
                <w:rFonts w:ascii="Times New Roman"/>
                <w:sz w:val="21"/>
                <w:szCs w:val="21"/>
              </w:rPr>
            </w:pPr>
            <w:r>
              <w:rPr>
                <w:rFonts w:ascii="Times New Roman"/>
                <w:sz w:val="21"/>
                <w:szCs w:val="21"/>
              </w:rPr>
              <w:t>—</w:t>
            </w:r>
          </w:p>
        </w:tc>
        <w:tc>
          <w:tcPr>
            <w:tcW w:w="625" w:type="pct"/>
            <w:vAlign w:val="center"/>
          </w:tcPr>
          <w:p w14:paraId="4130EB8B">
            <w:pPr>
              <w:spacing w:line="320" w:lineRule="exact"/>
              <w:jc w:val="center"/>
              <w:rPr>
                <w:rFonts w:ascii="Times New Roman"/>
                <w:sz w:val="21"/>
                <w:szCs w:val="21"/>
              </w:rPr>
            </w:pPr>
            <w:r>
              <w:rPr>
                <w:rFonts w:ascii="Times New Roman"/>
                <w:sz w:val="21"/>
                <w:szCs w:val="21"/>
              </w:rPr>
              <w:t>-1C</w:t>
            </w:r>
          </w:p>
        </w:tc>
        <w:tc>
          <w:tcPr>
            <w:tcW w:w="516" w:type="pct"/>
            <w:vAlign w:val="center"/>
          </w:tcPr>
          <w:p w14:paraId="00BA8C09">
            <w:pPr>
              <w:spacing w:line="320" w:lineRule="exact"/>
              <w:jc w:val="center"/>
              <w:rPr>
                <w:rFonts w:ascii="Times New Roman"/>
                <w:sz w:val="21"/>
                <w:szCs w:val="21"/>
              </w:rPr>
            </w:pPr>
            <w:r>
              <w:rPr>
                <w:rFonts w:ascii="Times New Roman"/>
                <w:sz w:val="21"/>
                <w:szCs w:val="21"/>
              </w:rPr>
              <w:t>-1C</w:t>
            </w:r>
          </w:p>
        </w:tc>
        <w:tc>
          <w:tcPr>
            <w:tcW w:w="478" w:type="pct"/>
            <w:vAlign w:val="center"/>
          </w:tcPr>
          <w:p w14:paraId="3AE65E6E">
            <w:pPr>
              <w:spacing w:line="320" w:lineRule="exact"/>
              <w:jc w:val="center"/>
              <w:rPr>
                <w:rFonts w:ascii="Times New Roman"/>
                <w:sz w:val="21"/>
                <w:szCs w:val="21"/>
              </w:rPr>
            </w:pPr>
            <w:r>
              <w:rPr>
                <w:rFonts w:ascii="Times New Roman"/>
                <w:sz w:val="21"/>
                <w:szCs w:val="21"/>
              </w:rPr>
              <w:t>-1C</w:t>
            </w:r>
          </w:p>
        </w:tc>
        <w:tc>
          <w:tcPr>
            <w:tcW w:w="579" w:type="pct"/>
            <w:vAlign w:val="center"/>
          </w:tcPr>
          <w:p w14:paraId="29C2A6FF">
            <w:pPr>
              <w:spacing w:line="320" w:lineRule="exact"/>
              <w:jc w:val="center"/>
              <w:rPr>
                <w:rFonts w:ascii="Times New Roman"/>
                <w:sz w:val="21"/>
                <w:szCs w:val="21"/>
              </w:rPr>
            </w:pPr>
            <w:r>
              <w:rPr>
                <w:rFonts w:ascii="Times New Roman"/>
                <w:sz w:val="21"/>
                <w:szCs w:val="21"/>
              </w:rPr>
              <w:t>—</w:t>
            </w:r>
          </w:p>
        </w:tc>
        <w:tc>
          <w:tcPr>
            <w:tcW w:w="704" w:type="pct"/>
            <w:vAlign w:val="center"/>
          </w:tcPr>
          <w:p w14:paraId="28A88DB0">
            <w:pPr>
              <w:spacing w:line="320" w:lineRule="exact"/>
              <w:jc w:val="center"/>
              <w:rPr>
                <w:rFonts w:ascii="Times New Roman"/>
                <w:sz w:val="21"/>
                <w:szCs w:val="21"/>
              </w:rPr>
            </w:pPr>
            <w:r>
              <w:rPr>
                <w:rFonts w:ascii="Times New Roman"/>
                <w:sz w:val="21"/>
                <w:szCs w:val="21"/>
              </w:rPr>
              <w:t>—</w:t>
            </w:r>
          </w:p>
        </w:tc>
      </w:tr>
      <w:tr w14:paraId="26C18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56" w:type="pct"/>
            <w:vMerge w:val="continue"/>
            <w:tcBorders>
              <w:right w:val="single" w:color="auto" w:sz="4" w:space="0"/>
            </w:tcBorders>
            <w:vAlign w:val="center"/>
          </w:tcPr>
          <w:p w14:paraId="113ACFCD">
            <w:pPr>
              <w:jc w:val="center"/>
              <w:rPr>
                <w:rFonts w:ascii="Times New Roman"/>
                <w:sz w:val="21"/>
                <w:szCs w:val="21"/>
              </w:rPr>
            </w:pPr>
          </w:p>
        </w:tc>
        <w:tc>
          <w:tcPr>
            <w:tcW w:w="679" w:type="pct"/>
            <w:tcBorders>
              <w:left w:val="single" w:color="auto" w:sz="4" w:space="0"/>
            </w:tcBorders>
            <w:vAlign w:val="center"/>
          </w:tcPr>
          <w:p w14:paraId="75D827FC">
            <w:pPr>
              <w:spacing w:line="320" w:lineRule="exact"/>
              <w:jc w:val="center"/>
              <w:rPr>
                <w:rFonts w:ascii="Times New Roman"/>
                <w:sz w:val="21"/>
                <w:szCs w:val="21"/>
              </w:rPr>
            </w:pPr>
            <w:r>
              <w:rPr>
                <w:rFonts w:ascii="Times New Roman"/>
                <w:sz w:val="21"/>
                <w:szCs w:val="21"/>
              </w:rPr>
              <w:t>生产工艺</w:t>
            </w:r>
          </w:p>
        </w:tc>
        <w:tc>
          <w:tcPr>
            <w:tcW w:w="629" w:type="pct"/>
            <w:vAlign w:val="center"/>
          </w:tcPr>
          <w:p w14:paraId="5C5A6BF7">
            <w:pPr>
              <w:spacing w:line="320" w:lineRule="exact"/>
              <w:jc w:val="center"/>
              <w:rPr>
                <w:rFonts w:ascii="Times New Roman"/>
                <w:sz w:val="21"/>
                <w:szCs w:val="21"/>
              </w:rPr>
            </w:pPr>
            <w:r>
              <w:rPr>
                <w:rFonts w:ascii="Times New Roman"/>
                <w:sz w:val="21"/>
                <w:szCs w:val="21"/>
              </w:rPr>
              <w:t>-2C</w:t>
            </w:r>
          </w:p>
        </w:tc>
        <w:tc>
          <w:tcPr>
            <w:tcW w:w="531" w:type="pct"/>
            <w:vAlign w:val="center"/>
          </w:tcPr>
          <w:p w14:paraId="4A778F6C">
            <w:pPr>
              <w:spacing w:line="320" w:lineRule="exact"/>
              <w:jc w:val="center"/>
              <w:rPr>
                <w:rFonts w:ascii="Times New Roman"/>
                <w:sz w:val="21"/>
                <w:szCs w:val="21"/>
              </w:rPr>
            </w:pPr>
            <w:r>
              <w:rPr>
                <w:rFonts w:ascii="Times New Roman"/>
                <w:sz w:val="21"/>
                <w:szCs w:val="21"/>
              </w:rPr>
              <w:t>—</w:t>
            </w:r>
          </w:p>
        </w:tc>
        <w:tc>
          <w:tcPr>
            <w:tcW w:w="625" w:type="pct"/>
            <w:vAlign w:val="center"/>
          </w:tcPr>
          <w:p w14:paraId="0D770288">
            <w:pPr>
              <w:spacing w:line="320" w:lineRule="exact"/>
              <w:jc w:val="center"/>
              <w:rPr>
                <w:rFonts w:ascii="Times New Roman"/>
                <w:sz w:val="21"/>
                <w:szCs w:val="21"/>
              </w:rPr>
            </w:pPr>
            <w:r>
              <w:rPr>
                <w:rFonts w:ascii="Times New Roman"/>
                <w:sz w:val="21"/>
                <w:szCs w:val="21"/>
              </w:rPr>
              <w:t>-1C</w:t>
            </w:r>
          </w:p>
        </w:tc>
        <w:tc>
          <w:tcPr>
            <w:tcW w:w="516" w:type="pct"/>
            <w:vAlign w:val="center"/>
          </w:tcPr>
          <w:p w14:paraId="59BDBD7B">
            <w:pPr>
              <w:spacing w:line="320" w:lineRule="exact"/>
              <w:jc w:val="center"/>
              <w:rPr>
                <w:rFonts w:ascii="Times New Roman"/>
                <w:sz w:val="21"/>
                <w:szCs w:val="21"/>
              </w:rPr>
            </w:pPr>
            <w:r>
              <w:rPr>
                <w:rFonts w:ascii="Times New Roman"/>
                <w:sz w:val="21"/>
                <w:szCs w:val="21"/>
              </w:rPr>
              <w:t>-2C</w:t>
            </w:r>
          </w:p>
        </w:tc>
        <w:tc>
          <w:tcPr>
            <w:tcW w:w="478" w:type="pct"/>
            <w:vAlign w:val="center"/>
          </w:tcPr>
          <w:p w14:paraId="6AC9A46F">
            <w:pPr>
              <w:spacing w:line="320" w:lineRule="exact"/>
              <w:jc w:val="center"/>
              <w:rPr>
                <w:rFonts w:ascii="Times New Roman"/>
                <w:sz w:val="21"/>
                <w:szCs w:val="21"/>
              </w:rPr>
            </w:pPr>
            <w:r>
              <w:rPr>
                <w:rFonts w:ascii="Times New Roman"/>
                <w:sz w:val="21"/>
                <w:szCs w:val="21"/>
              </w:rPr>
              <w:t>-2C</w:t>
            </w:r>
          </w:p>
        </w:tc>
        <w:tc>
          <w:tcPr>
            <w:tcW w:w="579" w:type="pct"/>
            <w:vAlign w:val="center"/>
          </w:tcPr>
          <w:p w14:paraId="5EFEB545">
            <w:pPr>
              <w:spacing w:line="320" w:lineRule="exact"/>
              <w:jc w:val="center"/>
              <w:rPr>
                <w:rFonts w:ascii="Times New Roman"/>
                <w:sz w:val="21"/>
                <w:szCs w:val="21"/>
              </w:rPr>
            </w:pPr>
            <w:r>
              <w:rPr>
                <w:rFonts w:ascii="Times New Roman"/>
                <w:sz w:val="21"/>
                <w:szCs w:val="21"/>
              </w:rPr>
              <w:t>—</w:t>
            </w:r>
          </w:p>
        </w:tc>
        <w:tc>
          <w:tcPr>
            <w:tcW w:w="704" w:type="pct"/>
            <w:vAlign w:val="center"/>
          </w:tcPr>
          <w:p w14:paraId="2A68E706">
            <w:pPr>
              <w:spacing w:line="320" w:lineRule="exact"/>
              <w:jc w:val="center"/>
              <w:rPr>
                <w:rFonts w:ascii="Times New Roman"/>
                <w:sz w:val="21"/>
                <w:szCs w:val="21"/>
              </w:rPr>
            </w:pPr>
            <w:r>
              <w:rPr>
                <w:rFonts w:ascii="Times New Roman"/>
                <w:sz w:val="21"/>
                <w:szCs w:val="21"/>
              </w:rPr>
              <w:t>—</w:t>
            </w:r>
          </w:p>
        </w:tc>
      </w:tr>
    </w:tbl>
    <w:p w14:paraId="3EE40659">
      <w:pPr>
        <w:spacing w:line="240" w:lineRule="exact"/>
        <w:ind w:firstLine="360" w:firstLineChars="200"/>
        <w:rPr>
          <w:rFonts w:ascii="Times New Roman"/>
          <w:bCs/>
          <w:sz w:val="18"/>
          <w:szCs w:val="18"/>
        </w:rPr>
      </w:pPr>
      <w:r>
        <w:rPr>
          <w:rFonts w:ascii="Times New Roman"/>
          <w:bCs/>
          <w:sz w:val="18"/>
          <w:szCs w:val="18"/>
        </w:rPr>
        <w:t>备注：1、表中+表示正效益，-表示负效益；2、表中数字表示影响的相对程度，1表示影响较小，2表示影响中等，3表示影响较大；3、表中D表示短期影响，C表示长期影响。</w:t>
      </w:r>
    </w:p>
    <w:p w14:paraId="008C3928">
      <w:pPr>
        <w:spacing w:line="480" w:lineRule="exact"/>
        <w:ind w:firstLine="480" w:firstLineChars="200"/>
        <w:rPr>
          <w:rFonts w:ascii="Times New Roman"/>
          <w:sz w:val="24"/>
          <w:szCs w:val="24"/>
        </w:rPr>
      </w:pPr>
      <w:r>
        <w:rPr>
          <w:rFonts w:ascii="Times New Roman"/>
          <w:sz w:val="24"/>
          <w:szCs w:val="24"/>
        </w:rPr>
        <w:t>由表2.4-1可知，本项目的建设对环境的影响是多方面的，既存在短期、局部、可恢复的或正或负的影响，也存在长期的或正或负的影响。施工期主要表现在对声环境产生一定程度的负面影响，施工期的影响是局部的、短期的，且随着施工期的结束而消失；本项目运营期</w:t>
      </w:r>
      <w:r>
        <w:rPr>
          <w:rFonts w:ascii="Times New Roman"/>
          <w:kern w:val="0"/>
          <w:sz w:val="24"/>
          <w:szCs w:val="24"/>
        </w:rPr>
        <w:t>污染因素对环境质量的影响是长期的，可能受该项目不利影响的主要环境要素是环境空气、土壤、地下水和声环境，</w:t>
      </w:r>
      <w:r>
        <w:rPr>
          <w:rFonts w:ascii="Times New Roman"/>
          <w:sz w:val="24"/>
          <w:szCs w:val="24"/>
        </w:rPr>
        <w:t>在经济环境和社会环境等诸多方面影响是正面的，对当地的经济发展会起到一定的积极作用，有利于当地工业的发展。</w:t>
      </w:r>
    </w:p>
    <w:p w14:paraId="34B04984">
      <w:pPr>
        <w:spacing w:line="480" w:lineRule="exact"/>
        <w:outlineLvl w:val="2"/>
        <w:rPr>
          <w:rFonts w:ascii="Times New Roman"/>
          <w:b/>
          <w:sz w:val="28"/>
          <w:szCs w:val="28"/>
        </w:rPr>
      </w:pPr>
      <w:r>
        <w:rPr>
          <w:rFonts w:ascii="Times New Roman"/>
          <w:b/>
          <w:sz w:val="28"/>
          <w:szCs w:val="28"/>
        </w:rPr>
        <w:t>2.4.2评价因子</w:t>
      </w:r>
    </w:p>
    <w:p w14:paraId="0307A413">
      <w:pPr>
        <w:spacing w:line="480" w:lineRule="exact"/>
        <w:ind w:firstLine="480" w:firstLineChars="200"/>
        <w:rPr>
          <w:rFonts w:ascii="Times New Roman"/>
          <w:sz w:val="24"/>
          <w:szCs w:val="24"/>
        </w:rPr>
      </w:pPr>
      <w:r>
        <w:rPr>
          <w:rFonts w:ascii="Times New Roman"/>
          <w:sz w:val="24"/>
          <w:szCs w:val="24"/>
        </w:rPr>
        <w:t>根据环境影响因素识别的结果，结合区域环境质量现状，以及项目特点和污染物排放特征，确定本项目评价因子见表2.4-2。</w:t>
      </w:r>
    </w:p>
    <w:p w14:paraId="719FA06D">
      <w:pPr>
        <w:spacing w:line="480" w:lineRule="exact"/>
        <w:ind w:firstLine="482" w:firstLineChars="200"/>
        <w:jc w:val="center"/>
        <w:rPr>
          <w:rFonts w:ascii="Times New Roman"/>
          <w:b/>
          <w:sz w:val="24"/>
          <w:szCs w:val="24"/>
        </w:rPr>
      </w:pPr>
      <w:r>
        <w:rPr>
          <w:rFonts w:ascii="Times New Roman"/>
          <w:b/>
          <w:sz w:val="24"/>
          <w:szCs w:val="24"/>
        </w:rPr>
        <w:t>表2.4-2  评价因子一览表</w:t>
      </w:r>
    </w:p>
    <w:tbl>
      <w:tblPr>
        <w:tblStyle w:val="84"/>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466"/>
        <w:gridCol w:w="6042"/>
      </w:tblGrid>
      <w:tr w14:paraId="1401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Align w:val="center"/>
          </w:tcPr>
          <w:p w14:paraId="70B9EED8">
            <w:pPr>
              <w:spacing w:line="300" w:lineRule="exact"/>
              <w:jc w:val="center"/>
              <w:rPr>
                <w:rFonts w:ascii="Times New Roman"/>
                <w:b/>
                <w:caps/>
                <w:sz w:val="21"/>
                <w:szCs w:val="21"/>
              </w:rPr>
            </w:pPr>
            <w:r>
              <w:rPr>
                <w:rFonts w:ascii="Times New Roman"/>
                <w:b/>
                <w:caps/>
                <w:sz w:val="21"/>
                <w:szCs w:val="21"/>
              </w:rPr>
              <w:t>要素</w:t>
            </w:r>
          </w:p>
        </w:tc>
        <w:tc>
          <w:tcPr>
            <w:tcW w:w="883" w:type="pct"/>
            <w:vAlign w:val="center"/>
          </w:tcPr>
          <w:p w14:paraId="6A59539D">
            <w:pPr>
              <w:spacing w:line="300" w:lineRule="exact"/>
              <w:jc w:val="center"/>
              <w:rPr>
                <w:rFonts w:ascii="Times New Roman"/>
                <w:b/>
                <w:caps/>
                <w:sz w:val="21"/>
                <w:szCs w:val="21"/>
              </w:rPr>
            </w:pPr>
            <w:r>
              <w:rPr>
                <w:rFonts w:ascii="Times New Roman"/>
                <w:b/>
                <w:caps/>
                <w:sz w:val="21"/>
                <w:szCs w:val="21"/>
              </w:rPr>
              <w:t>项目</w:t>
            </w:r>
          </w:p>
        </w:tc>
        <w:tc>
          <w:tcPr>
            <w:tcW w:w="3640" w:type="pct"/>
            <w:vAlign w:val="center"/>
          </w:tcPr>
          <w:p w14:paraId="75C13901">
            <w:pPr>
              <w:spacing w:line="300" w:lineRule="exact"/>
              <w:jc w:val="center"/>
              <w:rPr>
                <w:rFonts w:ascii="Times New Roman"/>
                <w:b/>
                <w:caps/>
                <w:sz w:val="21"/>
                <w:szCs w:val="21"/>
              </w:rPr>
            </w:pPr>
            <w:r>
              <w:rPr>
                <w:rFonts w:ascii="Times New Roman"/>
                <w:b/>
                <w:caps/>
                <w:sz w:val="21"/>
                <w:szCs w:val="21"/>
              </w:rPr>
              <w:t>评价因子</w:t>
            </w:r>
          </w:p>
        </w:tc>
      </w:tr>
      <w:tr w14:paraId="56AF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restart"/>
            <w:vAlign w:val="center"/>
          </w:tcPr>
          <w:p w14:paraId="3DEE27B5">
            <w:pPr>
              <w:spacing w:line="300" w:lineRule="exact"/>
              <w:jc w:val="center"/>
              <w:rPr>
                <w:rFonts w:ascii="Times New Roman"/>
                <w:caps/>
                <w:sz w:val="21"/>
                <w:szCs w:val="21"/>
              </w:rPr>
            </w:pPr>
            <w:r>
              <w:rPr>
                <w:rFonts w:ascii="Times New Roman"/>
                <w:caps/>
                <w:sz w:val="21"/>
                <w:szCs w:val="21"/>
              </w:rPr>
              <w:t>环境空气</w:t>
            </w:r>
          </w:p>
        </w:tc>
        <w:tc>
          <w:tcPr>
            <w:tcW w:w="883" w:type="pct"/>
            <w:vAlign w:val="center"/>
          </w:tcPr>
          <w:p w14:paraId="21109420">
            <w:pPr>
              <w:spacing w:line="300" w:lineRule="exact"/>
              <w:jc w:val="center"/>
              <w:rPr>
                <w:rFonts w:ascii="Times New Roman"/>
                <w:caps/>
                <w:sz w:val="21"/>
                <w:szCs w:val="21"/>
              </w:rPr>
            </w:pPr>
            <w:r>
              <w:rPr>
                <w:rFonts w:ascii="Times New Roman"/>
                <w:caps/>
                <w:sz w:val="21"/>
                <w:szCs w:val="21"/>
              </w:rPr>
              <w:t>现状评价</w:t>
            </w:r>
          </w:p>
        </w:tc>
        <w:tc>
          <w:tcPr>
            <w:tcW w:w="3640" w:type="pct"/>
            <w:vAlign w:val="center"/>
          </w:tcPr>
          <w:p w14:paraId="6016053C">
            <w:pPr>
              <w:spacing w:line="300" w:lineRule="exact"/>
              <w:jc w:val="center"/>
              <w:rPr>
                <w:rFonts w:ascii="Times New Roman"/>
                <w:caps/>
                <w:sz w:val="21"/>
                <w:szCs w:val="21"/>
              </w:rPr>
            </w:pPr>
            <w:r>
              <w:rPr>
                <w:rFonts w:ascii="Times New Roman"/>
                <w:caps/>
                <w:sz w:val="21"/>
                <w:szCs w:val="21"/>
              </w:rPr>
              <w:t>PM</w:t>
            </w:r>
            <w:r>
              <w:rPr>
                <w:rFonts w:ascii="Times New Roman"/>
                <w:caps/>
                <w:sz w:val="21"/>
                <w:szCs w:val="21"/>
                <w:vertAlign w:val="subscript"/>
              </w:rPr>
              <w:t>10</w:t>
            </w:r>
            <w:r>
              <w:rPr>
                <w:rFonts w:ascii="Times New Roman"/>
                <w:caps/>
                <w:sz w:val="21"/>
                <w:szCs w:val="21"/>
              </w:rPr>
              <w:t>、PM</w:t>
            </w:r>
            <w:r>
              <w:rPr>
                <w:rFonts w:ascii="Times New Roman"/>
                <w:caps/>
                <w:sz w:val="21"/>
                <w:szCs w:val="21"/>
                <w:vertAlign w:val="subscript"/>
              </w:rPr>
              <w:t>2.5</w:t>
            </w:r>
            <w:r>
              <w:rPr>
                <w:rFonts w:ascii="Times New Roman"/>
                <w:caps/>
                <w:sz w:val="21"/>
                <w:szCs w:val="21"/>
              </w:rPr>
              <w:t>、SO</w:t>
            </w:r>
            <w:r>
              <w:rPr>
                <w:rFonts w:ascii="Times New Roman"/>
                <w:caps/>
                <w:sz w:val="21"/>
                <w:szCs w:val="21"/>
                <w:vertAlign w:val="subscript"/>
              </w:rPr>
              <w:t>2</w:t>
            </w:r>
            <w:r>
              <w:rPr>
                <w:rFonts w:ascii="Times New Roman"/>
                <w:caps/>
                <w:sz w:val="21"/>
                <w:szCs w:val="21"/>
              </w:rPr>
              <w:t>、NO</w:t>
            </w:r>
            <w:r>
              <w:rPr>
                <w:rFonts w:ascii="Times New Roman"/>
                <w:caps/>
                <w:sz w:val="21"/>
                <w:szCs w:val="21"/>
                <w:vertAlign w:val="subscript"/>
              </w:rPr>
              <w:t>2</w:t>
            </w:r>
            <w:r>
              <w:rPr>
                <w:rFonts w:ascii="Times New Roman"/>
                <w:caps/>
                <w:sz w:val="21"/>
                <w:szCs w:val="21"/>
              </w:rPr>
              <w:t>、CO、O</w:t>
            </w:r>
            <w:r>
              <w:rPr>
                <w:rFonts w:ascii="Times New Roman"/>
                <w:caps/>
                <w:sz w:val="21"/>
                <w:szCs w:val="21"/>
                <w:vertAlign w:val="subscript"/>
              </w:rPr>
              <w:t>3</w:t>
            </w:r>
            <w:r>
              <w:rPr>
                <w:rFonts w:ascii="Times New Roman"/>
                <w:caps/>
                <w:sz w:val="21"/>
                <w:szCs w:val="21"/>
              </w:rPr>
              <w:t>、</w:t>
            </w:r>
            <w:r>
              <w:rPr>
                <w:rFonts w:ascii="Times New Roman"/>
                <w:sz w:val="21"/>
                <w:szCs w:val="21"/>
              </w:rPr>
              <w:t>TSP、非甲烷总烃、</w:t>
            </w:r>
            <w:r>
              <w:rPr>
                <w:rFonts w:hint="eastAsia" w:ascii="Times New Roman"/>
                <w:sz w:val="21"/>
                <w:szCs w:val="21"/>
              </w:rPr>
              <w:t>苯、甲苯、</w:t>
            </w:r>
            <w:r>
              <w:rPr>
                <w:rFonts w:ascii="Times New Roman"/>
                <w:sz w:val="21"/>
                <w:szCs w:val="21"/>
              </w:rPr>
              <w:t>二甲苯</w:t>
            </w:r>
          </w:p>
        </w:tc>
      </w:tr>
      <w:tr w14:paraId="0747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5969F169">
            <w:pPr>
              <w:spacing w:line="300" w:lineRule="exact"/>
              <w:jc w:val="center"/>
              <w:rPr>
                <w:rFonts w:ascii="Times New Roman"/>
                <w:caps/>
                <w:sz w:val="21"/>
                <w:szCs w:val="21"/>
              </w:rPr>
            </w:pPr>
          </w:p>
        </w:tc>
        <w:tc>
          <w:tcPr>
            <w:tcW w:w="883" w:type="pct"/>
            <w:vAlign w:val="center"/>
          </w:tcPr>
          <w:p w14:paraId="100C7D00">
            <w:pPr>
              <w:spacing w:line="300" w:lineRule="exact"/>
              <w:jc w:val="center"/>
              <w:rPr>
                <w:rFonts w:ascii="Times New Roman"/>
                <w:caps/>
                <w:sz w:val="21"/>
                <w:szCs w:val="21"/>
              </w:rPr>
            </w:pPr>
            <w:r>
              <w:rPr>
                <w:rFonts w:ascii="Times New Roman"/>
                <w:caps/>
                <w:sz w:val="21"/>
                <w:szCs w:val="21"/>
              </w:rPr>
              <w:t>污染源评价</w:t>
            </w:r>
          </w:p>
        </w:tc>
        <w:tc>
          <w:tcPr>
            <w:tcW w:w="3640" w:type="pct"/>
            <w:vAlign w:val="center"/>
          </w:tcPr>
          <w:p w14:paraId="45D4E42E">
            <w:pPr>
              <w:spacing w:line="300" w:lineRule="exact"/>
              <w:jc w:val="center"/>
              <w:rPr>
                <w:rFonts w:ascii="Times New Roman"/>
                <w:caps/>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w:t>
            </w:r>
            <w:r>
              <w:rPr>
                <w:rFonts w:hint="eastAsia" w:ascii="Times New Roman"/>
                <w:sz w:val="21"/>
                <w:szCs w:val="21"/>
                <w:vertAlign w:val="subscript"/>
              </w:rPr>
              <w:t>2</w:t>
            </w:r>
            <w:r>
              <w:rPr>
                <w:rFonts w:ascii="Times New Roman"/>
                <w:sz w:val="21"/>
                <w:szCs w:val="21"/>
              </w:rPr>
              <w:t>、非甲烷总烃、二甲苯、油烟</w:t>
            </w:r>
            <w:r>
              <w:rPr>
                <w:rFonts w:hint="eastAsia" w:ascii="Times New Roman"/>
                <w:sz w:val="21"/>
                <w:szCs w:val="21"/>
              </w:rPr>
              <w:t>、臭气浓度</w:t>
            </w:r>
          </w:p>
        </w:tc>
      </w:tr>
      <w:tr w14:paraId="0F1A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353FC6DD">
            <w:pPr>
              <w:spacing w:line="300" w:lineRule="exact"/>
              <w:jc w:val="center"/>
              <w:rPr>
                <w:rFonts w:ascii="Times New Roman"/>
                <w:caps/>
                <w:sz w:val="21"/>
                <w:szCs w:val="21"/>
              </w:rPr>
            </w:pPr>
          </w:p>
        </w:tc>
        <w:tc>
          <w:tcPr>
            <w:tcW w:w="883" w:type="pct"/>
            <w:vAlign w:val="center"/>
          </w:tcPr>
          <w:p w14:paraId="740649DE">
            <w:pPr>
              <w:spacing w:line="300" w:lineRule="exact"/>
              <w:jc w:val="center"/>
              <w:rPr>
                <w:rFonts w:ascii="Times New Roman"/>
                <w:caps/>
                <w:sz w:val="21"/>
                <w:szCs w:val="21"/>
              </w:rPr>
            </w:pPr>
            <w:r>
              <w:rPr>
                <w:rFonts w:ascii="Times New Roman"/>
                <w:caps/>
                <w:sz w:val="21"/>
                <w:szCs w:val="21"/>
              </w:rPr>
              <w:t>影响评价</w:t>
            </w:r>
          </w:p>
        </w:tc>
        <w:tc>
          <w:tcPr>
            <w:tcW w:w="3640" w:type="pct"/>
            <w:vAlign w:val="center"/>
          </w:tcPr>
          <w:p w14:paraId="05862477">
            <w:pPr>
              <w:spacing w:line="30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2</w:t>
            </w:r>
            <w:r>
              <w:rPr>
                <w:rFonts w:ascii="Times New Roman"/>
                <w:sz w:val="21"/>
                <w:szCs w:val="21"/>
              </w:rPr>
              <w:t>、TSP、非甲烷总烃、</w:t>
            </w:r>
            <w:r>
              <w:rPr>
                <w:rFonts w:hint="eastAsia" w:ascii="Times New Roman"/>
                <w:sz w:val="21"/>
                <w:szCs w:val="21"/>
              </w:rPr>
              <w:t>苯、甲苯、</w:t>
            </w:r>
            <w:r>
              <w:rPr>
                <w:rFonts w:ascii="Times New Roman"/>
                <w:sz w:val="21"/>
                <w:szCs w:val="21"/>
              </w:rPr>
              <w:t>二甲苯</w:t>
            </w:r>
          </w:p>
        </w:tc>
      </w:tr>
      <w:tr w14:paraId="674F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restart"/>
            <w:vAlign w:val="center"/>
          </w:tcPr>
          <w:p w14:paraId="18E2349D">
            <w:pPr>
              <w:spacing w:line="300" w:lineRule="exact"/>
              <w:jc w:val="center"/>
              <w:rPr>
                <w:rFonts w:ascii="Times New Roman"/>
                <w:caps/>
                <w:sz w:val="21"/>
                <w:szCs w:val="21"/>
              </w:rPr>
            </w:pPr>
            <w:r>
              <w:rPr>
                <w:rFonts w:ascii="Times New Roman"/>
                <w:caps/>
                <w:sz w:val="21"/>
                <w:szCs w:val="21"/>
              </w:rPr>
              <w:t>地表水</w:t>
            </w:r>
          </w:p>
        </w:tc>
        <w:tc>
          <w:tcPr>
            <w:tcW w:w="883" w:type="pct"/>
            <w:vAlign w:val="center"/>
          </w:tcPr>
          <w:p w14:paraId="2C932A36">
            <w:pPr>
              <w:spacing w:line="300" w:lineRule="exact"/>
              <w:jc w:val="center"/>
              <w:rPr>
                <w:rFonts w:ascii="Times New Roman"/>
                <w:caps/>
                <w:sz w:val="21"/>
                <w:szCs w:val="21"/>
              </w:rPr>
            </w:pPr>
            <w:r>
              <w:rPr>
                <w:rFonts w:ascii="Times New Roman"/>
                <w:caps/>
                <w:sz w:val="21"/>
                <w:szCs w:val="21"/>
              </w:rPr>
              <w:t>污染源评价</w:t>
            </w:r>
          </w:p>
        </w:tc>
        <w:tc>
          <w:tcPr>
            <w:tcW w:w="3640" w:type="pct"/>
            <w:vAlign w:val="center"/>
          </w:tcPr>
          <w:p w14:paraId="69A01D58">
            <w:pPr>
              <w:spacing w:line="300" w:lineRule="exact"/>
              <w:jc w:val="center"/>
              <w:rPr>
                <w:rFonts w:ascii="Times New Roman"/>
                <w:sz w:val="21"/>
                <w:szCs w:val="21"/>
              </w:rPr>
            </w:pPr>
            <w:r>
              <w:rPr>
                <w:rFonts w:ascii="Times New Roman"/>
                <w:sz w:val="21"/>
                <w:szCs w:val="21"/>
              </w:rPr>
              <w:t>pH、COD、BOD</w:t>
            </w:r>
            <w:r>
              <w:rPr>
                <w:rFonts w:ascii="Times New Roman"/>
                <w:sz w:val="21"/>
                <w:szCs w:val="21"/>
                <w:vertAlign w:val="subscript"/>
              </w:rPr>
              <w:t>5</w:t>
            </w:r>
            <w:r>
              <w:rPr>
                <w:rFonts w:ascii="Times New Roman"/>
                <w:sz w:val="21"/>
                <w:szCs w:val="21"/>
              </w:rPr>
              <w:t>、SS、氨氮、总氮、总磷、</w:t>
            </w:r>
            <w:r>
              <w:rPr>
                <w:rFonts w:hint="eastAsia" w:ascii="Times New Roman"/>
                <w:sz w:val="21"/>
                <w:szCs w:val="21"/>
              </w:rPr>
              <w:t>动植物油、</w:t>
            </w:r>
            <w:r>
              <w:rPr>
                <w:rFonts w:ascii="Times New Roman"/>
                <w:sz w:val="21"/>
                <w:szCs w:val="21"/>
              </w:rPr>
              <w:t>石油类</w:t>
            </w:r>
          </w:p>
        </w:tc>
      </w:tr>
      <w:tr w14:paraId="50F7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10375625">
            <w:pPr>
              <w:spacing w:line="300" w:lineRule="exact"/>
              <w:jc w:val="center"/>
              <w:rPr>
                <w:rFonts w:ascii="Times New Roman"/>
                <w:caps/>
                <w:sz w:val="21"/>
                <w:szCs w:val="21"/>
              </w:rPr>
            </w:pPr>
          </w:p>
        </w:tc>
        <w:tc>
          <w:tcPr>
            <w:tcW w:w="883" w:type="pct"/>
            <w:vAlign w:val="center"/>
          </w:tcPr>
          <w:p w14:paraId="3691623C">
            <w:pPr>
              <w:spacing w:line="300" w:lineRule="exact"/>
              <w:jc w:val="center"/>
              <w:rPr>
                <w:rFonts w:ascii="Times New Roman"/>
                <w:caps/>
                <w:sz w:val="21"/>
                <w:szCs w:val="21"/>
              </w:rPr>
            </w:pPr>
            <w:r>
              <w:rPr>
                <w:rFonts w:ascii="Times New Roman"/>
                <w:caps/>
                <w:sz w:val="21"/>
                <w:szCs w:val="21"/>
              </w:rPr>
              <w:t>影响评价</w:t>
            </w:r>
          </w:p>
        </w:tc>
        <w:tc>
          <w:tcPr>
            <w:tcW w:w="3640" w:type="pct"/>
            <w:vAlign w:val="center"/>
          </w:tcPr>
          <w:p w14:paraId="5E85591C">
            <w:pPr>
              <w:spacing w:line="300" w:lineRule="exact"/>
              <w:jc w:val="center"/>
              <w:rPr>
                <w:rFonts w:ascii="Times New Roman"/>
                <w:sz w:val="21"/>
                <w:szCs w:val="21"/>
              </w:rPr>
            </w:pPr>
            <w:r>
              <w:rPr>
                <w:rFonts w:ascii="Times New Roman"/>
                <w:sz w:val="21"/>
                <w:szCs w:val="21"/>
              </w:rPr>
              <w:t>pH、COD、BOD</w:t>
            </w:r>
            <w:r>
              <w:rPr>
                <w:rFonts w:ascii="Times New Roman"/>
                <w:sz w:val="21"/>
                <w:szCs w:val="21"/>
                <w:vertAlign w:val="subscript"/>
              </w:rPr>
              <w:t>5</w:t>
            </w:r>
            <w:r>
              <w:rPr>
                <w:rFonts w:ascii="Times New Roman"/>
                <w:sz w:val="21"/>
                <w:szCs w:val="21"/>
              </w:rPr>
              <w:t>、SS、氨氮、总氮、总磷、</w:t>
            </w:r>
            <w:r>
              <w:rPr>
                <w:rFonts w:hint="eastAsia" w:ascii="Times New Roman"/>
                <w:sz w:val="21"/>
                <w:szCs w:val="21"/>
              </w:rPr>
              <w:t>动植物油、</w:t>
            </w:r>
            <w:r>
              <w:rPr>
                <w:rFonts w:ascii="Times New Roman"/>
                <w:sz w:val="21"/>
                <w:szCs w:val="21"/>
              </w:rPr>
              <w:t>石油类</w:t>
            </w:r>
          </w:p>
        </w:tc>
      </w:tr>
      <w:tr w14:paraId="5EC1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476" w:type="pct"/>
            <w:vMerge w:val="restart"/>
            <w:vAlign w:val="center"/>
          </w:tcPr>
          <w:p w14:paraId="11AC45CF">
            <w:pPr>
              <w:spacing w:line="300" w:lineRule="exact"/>
              <w:jc w:val="center"/>
              <w:rPr>
                <w:rFonts w:ascii="Times New Roman"/>
                <w:caps/>
                <w:sz w:val="21"/>
                <w:szCs w:val="21"/>
              </w:rPr>
            </w:pPr>
            <w:r>
              <w:rPr>
                <w:rFonts w:ascii="Times New Roman"/>
                <w:caps/>
                <w:sz w:val="21"/>
                <w:szCs w:val="21"/>
              </w:rPr>
              <w:t>地下水</w:t>
            </w:r>
          </w:p>
        </w:tc>
        <w:tc>
          <w:tcPr>
            <w:tcW w:w="883" w:type="pct"/>
            <w:vAlign w:val="center"/>
          </w:tcPr>
          <w:p w14:paraId="298A609B">
            <w:pPr>
              <w:spacing w:line="300" w:lineRule="exact"/>
              <w:jc w:val="center"/>
              <w:rPr>
                <w:rFonts w:ascii="Times New Roman"/>
                <w:caps/>
                <w:sz w:val="21"/>
                <w:szCs w:val="21"/>
              </w:rPr>
            </w:pPr>
            <w:r>
              <w:rPr>
                <w:rFonts w:ascii="Times New Roman"/>
                <w:caps/>
                <w:sz w:val="21"/>
                <w:szCs w:val="21"/>
              </w:rPr>
              <w:t>现状评价</w:t>
            </w:r>
          </w:p>
        </w:tc>
        <w:tc>
          <w:tcPr>
            <w:tcW w:w="3640" w:type="pct"/>
            <w:vAlign w:val="center"/>
          </w:tcPr>
          <w:p w14:paraId="3661E5F9">
            <w:pPr>
              <w:spacing w:line="320" w:lineRule="exact"/>
              <w:jc w:val="center"/>
              <w:rPr>
                <w:rFonts w:ascii="Times New Roman"/>
                <w:caps/>
                <w:sz w:val="21"/>
                <w:szCs w:val="21"/>
              </w:rPr>
            </w:pPr>
            <w:r>
              <w:rPr>
                <w:rFonts w:ascii="Times New Roman"/>
                <w:sz w:val="21"/>
                <w:szCs w:val="21"/>
              </w:rPr>
              <w:t>pH、氨氮、硝酸盐氮、亚硝酸盐氮、挥发性酚类、氰化物、铬(六价)、总硬度、高锰酸盐指数、氟化物、溶解性总固体、硫酸盐、碳酸盐、碳酸氢盐、铁、锰、铅、镉、钾、钠、钙、镁、汞、砷、氯化物、石油类、苯、甲苯、总大菌群、菌落总数；</w:t>
            </w:r>
          </w:p>
        </w:tc>
      </w:tr>
      <w:tr w14:paraId="3E7A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6D6FAC7C">
            <w:pPr>
              <w:spacing w:line="300" w:lineRule="exact"/>
              <w:jc w:val="center"/>
              <w:rPr>
                <w:rFonts w:ascii="Times New Roman"/>
                <w:caps/>
                <w:sz w:val="21"/>
                <w:szCs w:val="21"/>
              </w:rPr>
            </w:pPr>
          </w:p>
        </w:tc>
        <w:tc>
          <w:tcPr>
            <w:tcW w:w="883" w:type="pct"/>
            <w:vAlign w:val="center"/>
          </w:tcPr>
          <w:p w14:paraId="6858B811">
            <w:pPr>
              <w:spacing w:line="300" w:lineRule="exact"/>
              <w:jc w:val="center"/>
              <w:rPr>
                <w:rFonts w:ascii="Times New Roman"/>
                <w:caps/>
                <w:sz w:val="21"/>
                <w:szCs w:val="21"/>
              </w:rPr>
            </w:pPr>
            <w:r>
              <w:rPr>
                <w:rFonts w:ascii="Times New Roman"/>
                <w:caps/>
                <w:sz w:val="21"/>
                <w:szCs w:val="21"/>
              </w:rPr>
              <w:t>污染源分析</w:t>
            </w:r>
          </w:p>
        </w:tc>
        <w:tc>
          <w:tcPr>
            <w:tcW w:w="3640" w:type="pct"/>
            <w:vAlign w:val="center"/>
          </w:tcPr>
          <w:p w14:paraId="5D34E774">
            <w:pPr>
              <w:spacing w:line="360" w:lineRule="exact"/>
              <w:ind w:firstLine="210" w:firstLineChars="100"/>
              <w:jc w:val="center"/>
              <w:rPr>
                <w:rFonts w:ascii="Times New Roman"/>
                <w:sz w:val="21"/>
                <w:szCs w:val="21"/>
              </w:rPr>
            </w:pPr>
            <w:r>
              <w:rPr>
                <w:rFonts w:hint="eastAsia" w:ascii="Times New Roman"/>
                <w:sz w:val="21"/>
                <w:szCs w:val="21"/>
              </w:rPr>
              <w:t>COD</w:t>
            </w:r>
            <w:r>
              <w:rPr>
                <w:rFonts w:ascii="Times New Roman"/>
                <w:sz w:val="21"/>
                <w:szCs w:val="21"/>
              </w:rPr>
              <w:t>、石油类</w:t>
            </w:r>
          </w:p>
        </w:tc>
      </w:tr>
      <w:tr w14:paraId="4105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081C9BE7">
            <w:pPr>
              <w:spacing w:line="300" w:lineRule="exact"/>
              <w:jc w:val="center"/>
              <w:rPr>
                <w:rFonts w:ascii="Times New Roman"/>
                <w:caps/>
                <w:sz w:val="21"/>
                <w:szCs w:val="21"/>
              </w:rPr>
            </w:pPr>
          </w:p>
        </w:tc>
        <w:tc>
          <w:tcPr>
            <w:tcW w:w="883" w:type="pct"/>
            <w:vAlign w:val="center"/>
          </w:tcPr>
          <w:p w14:paraId="46A6915F">
            <w:pPr>
              <w:spacing w:line="300" w:lineRule="exact"/>
              <w:jc w:val="center"/>
              <w:rPr>
                <w:rFonts w:ascii="Times New Roman"/>
                <w:caps/>
                <w:sz w:val="21"/>
                <w:szCs w:val="21"/>
              </w:rPr>
            </w:pPr>
            <w:r>
              <w:rPr>
                <w:rFonts w:ascii="Times New Roman"/>
                <w:caps/>
                <w:sz w:val="21"/>
                <w:szCs w:val="21"/>
              </w:rPr>
              <w:t>影响分析</w:t>
            </w:r>
          </w:p>
        </w:tc>
        <w:tc>
          <w:tcPr>
            <w:tcW w:w="3640" w:type="pct"/>
            <w:vAlign w:val="center"/>
          </w:tcPr>
          <w:p w14:paraId="30544C91">
            <w:pPr>
              <w:spacing w:line="360" w:lineRule="exact"/>
              <w:ind w:firstLine="210" w:firstLineChars="100"/>
              <w:jc w:val="center"/>
              <w:rPr>
                <w:rFonts w:ascii="Times New Roman"/>
                <w:sz w:val="21"/>
                <w:szCs w:val="21"/>
              </w:rPr>
            </w:pPr>
            <w:r>
              <w:rPr>
                <w:rFonts w:hint="eastAsia" w:ascii="Times New Roman"/>
                <w:sz w:val="21"/>
                <w:szCs w:val="21"/>
              </w:rPr>
              <w:t>耗氧量</w:t>
            </w:r>
            <w:r>
              <w:rPr>
                <w:rFonts w:ascii="Times New Roman"/>
                <w:sz w:val="21"/>
                <w:szCs w:val="21"/>
              </w:rPr>
              <w:t>、石油类</w:t>
            </w:r>
          </w:p>
        </w:tc>
      </w:tr>
      <w:tr w14:paraId="00A9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restart"/>
            <w:vAlign w:val="center"/>
          </w:tcPr>
          <w:p w14:paraId="40B7FE3E">
            <w:pPr>
              <w:spacing w:line="300" w:lineRule="exact"/>
              <w:jc w:val="center"/>
              <w:rPr>
                <w:rFonts w:ascii="Times New Roman"/>
                <w:caps/>
                <w:sz w:val="21"/>
                <w:szCs w:val="21"/>
              </w:rPr>
            </w:pPr>
            <w:r>
              <w:rPr>
                <w:rFonts w:ascii="Times New Roman"/>
                <w:caps/>
                <w:sz w:val="21"/>
                <w:szCs w:val="21"/>
              </w:rPr>
              <w:t>声环境</w:t>
            </w:r>
          </w:p>
        </w:tc>
        <w:tc>
          <w:tcPr>
            <w:tcW w:w="883" w:type="pct"/>
            <w:vAlign w:val="center"/>
          </w:tcPr>
          <w:p w14:paraId="63AA8140">
            <w:pPr>
              <w:spacing w:line="300" w:lineRule="exact"/>
              <w:jc w:val="center"/>
              <w:rPr>
                <w:rFonts w:ascii="Times New Roman"/>
                <w:caps/>
                <w:sz w:val="21"/>
                <w:szCs w:val="21"/>
              </w:rPr>
            </w:pPr>
            <w:r>
              <w:rPr>
                <w:rFonts w:ascii="Times New Roman"/>
                <w:caps/>
                <w:sz w:val="21"/>
                <w:szCs w:val="21"/>
              </w:rPr>
              <w:t>现状评价</w:t>
            </w:r>
          </w:p>
        </w:tc>
        <w:tc>
          <w:tcPr>
            <w:tcW w:w="3640" w:type="pct"/>
            <w:vAlign w:val="center"/>
          </w:tcPr>
          <w:p w14:paraId="64F338B3">
            <w:pPr>
              <w:spacing w:line="300" w:lineRule="exact"/>
              <w:jc w:val="center"/>
              <w:rPr>
                <w:rFonts w:ascii="Times New Roman"/>
                <w:caps/>
                <w:sz w:val="21"/>
                <w:szCs w:val="21"/>
              </w:rPr>
            </w:pPr>
            <w:r>
              <w:rPr>
                <w:rFonts w:ascii="Times New Roman"/>
                <w:caps/>
                <w:sz w:val="21"/>
                <w:szCs w:val="21"/>
              </w:rPr>
              <w:t>等效连续A声级</w:t>
            </w:r>
          </w:p>
        </w:tc>
      </w:tr>
      <w:tr w14:paraId="6204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653DE917">
            <w:pPr>
              <w:spacing w:line="300" w:lineRule="exact"/>
              <w:jc w:val="center"/>
              <w:rPr>
                <w:rFonts w:ascii="Times New Roman"/>
                <w:caps/>
                <w:sz w:val="21"/>
                <w:szCs w:val="21"/>
              </w:rPr>
            </w:pPr>
          </w:p>
        </w:tc>
        <w:tc>
          <w:tcPr>
            <w:tcW w:w="883" w:type="pct"/>
            <w:vAlign w:val="center"/>
          </w:tcPr>
          <w:p w14:paraId="7D253208">
            <w:pPr>
              <w:spacing w:line="300" w:lineRule="exact"/>
              <w:jc w:val="center"/>
              <w:rPr>
                <w:rFonts w:ascii="Times New Roman"/>
                <w:caps/>
                <w:sz w:val="21"/>
                <w:szCs w:val="21"/>
              </w:rPr>
            </w:pPr>
            <w:r>
              <w:rPr>
                <w:rFonts w:ascii="Times New Roman"/>
                <w:caps/>
                <w:sz w:val="21"/>
                <w:szCs w:val="21"/>
              </w:rPr>
              <w:t>污染源评价</w:t>
            </w:r>
          </w:p>
        </w:tc>
        <w:tc>
          <w:tcPr>
            <w:tcW w:w="3640" w:type="pct"/>
            <w:vAlign w:val="center"/>
          </w:tcPr>
          <w:p w14:paraId="49016E18">
            <w:pPr>
              <w:spacing w:line="300" w:lineRule="exact"/>
              <w:jc w:val="center"/>
              <w:rPr>
                <w:rFonts w:ascii="Times New Roman"/>
                <w:caps/>
                <w:sz w:val="21"/>
                <w:szCs w:val="21"/>
              </w:rPr>
            </w:pPr>
            <w:r>
              <w:rPr>
                <w:rFonts w:ascii="Times New Roman"/>
                <w:caps/>
                <w:sz w:val="21"/>
                <w:szCs w:val="21"/>
              </w:rPr>
              <w:t>A声功率级</w:t>
            </w:r>
          </w:p>
        </w:tc>
      </w:tr>
      <w:tr w14:paraId="693F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384481DB">
            <w:pPr>
              <w:spacing w:line="300" w:lineRule="exact"/>
              <w:jc w:val="center"/>
              <w:rPr>
                <w:rFonts w:ascii="Times New Roman"/>
                <w:caps/>
                <w:sz w:val="21"/>
                <w:szCs w:val="21"/>
              </w:rPr>
            </w:pPr>
          </w:p>
        </w:tc>
        <w:tc>
          <w:tcPr>
            <w:tcW w:w="883" w:type="pct"/>
            <w:vAlign w:val="center"/>
          </w:tcPr>
          <w:p w14:paraId="5A14EB8A">
            <w:pPr>
              <w:spacing w:line="300" w:lineRule="exact"/>
              <w:jc w:val="center"/>
              <w:rPr>
                <w:rFonts w:ascii="Times New Roman"/>
                <w:caps/>
                <w:sz w:val="21"/>
                <w:szCs w:val="21"/>
              </w:rPr>
            </w:pPr>
            <w:r>
              <w:rPr>
                <w:rFonts w:ascii="Times New Roman"/>
                <w:caps/>
                <w:sz w:val="21"/>
                <w:szCs w:val="21"/>
              </w:rPr>
              <w:t>影响评价</w:t>
            </w:r>
          </w:p>
        </w:tc>
        <w:tc>
          <w:tcPr>
            <w:tcW w:w="3640" w:type="pct"/>
            <w:vAlign w:val="center"/>
          </w:tcPr>
          <w:p w14:paraId="3E14F8A4">
            <w:pPr>
              <w:spacing w:line="300" w:lineRule="exact"/>
              <w:jc w:val="center"/>
              <w:rPr>
                <w:rFonts w:ascii="Times New Roman"/>
                <w:caps/>
                <w:sz w:val="21"/>
                <w:szCs w:val="21"/>
              </w:rPr>
            </w:pPr>
            <w:r>
              <w:rPr>
                <w:rFonts w:ascii="Times New Roman"/>
                <w:caps/>
                <w:sz w:val="21"/>
                <w:szCs w:val="21"/>
              </w:rPr>
              <w:t>等效连续A声级</w:t>
            </w:r>
          </w:p>
        </w:tc>
      </w:tr>
      <w:tr w14:paraId="56BC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76" w:type="pct"/>
            <w:vMerge w:val="restart"/>
            <w:vAlign w:val="center"/>
          </w:tcPr>
          <w:p w14:paraId="3F8F015B">
            <w:pPr>
              <w:spacing w:line="300" w:lineRule="exact"/>
              <w:jc w:val="center"/>
              <w:rPr>
                <w:rFonts w:ascii="Times New Roman"/>
                <w:caps/>
                <w:sz w:val="21"/>
                <w:szCs w:val="21"/>
              </w:rPr>
            </w:pPr>
            <w:r>
              <w:rPr>
                <w:rFonts w:ascii="Times New Roman"/>
                <w:caps/>
                <w:sz w:val="21"/>
                <w:szCs w:val="21"/>
              </w:rPr>
              <w:t>固体废物</w:t>
            </w:r>
          </w:p>
        </w:tc>
        <w:tc>
          <w:tcPr>
            <w:tcW w:w="883" w:type="pct"/>
            <w:vAlign w:val="center"/>
          </w:tcPr>
          <w:p w14:paraId="0BDD0B6F">
            <w:pPr>
              <w:spacing w:line="300" w:lineRule="exact"/>
              <w:jc w:val="center"/>
              <w:rPr>
                <w:rFonts w:ascii="Times New Roman"/>
                <w:caps/>
                <w:sz w:val="21"/>
                <w:szCs w:val="21"/>
              </w:rPr>
            </w:pPr>
            <w:r>
              <w:rPr>
                <w:rFonts w:ascii="Times New Roman"/>
                <w:caps/>
                <w:sz w:val="21"/>
                <w:szCs w:val="21"/>
              </w:rPr>
              <w:t>污染源评价</w:t>
            </w:r>
          </w:p>
        </w:tc>
        <w:tc>
          <w:tcPr>
            <w:tcW w:w="3640" w:type="pct"/>
            <w:vMerge w:val="restart"/>
            <w:vAlign w:val="center"/>
          </w:tcPr>
          <w:p w14:paraId="5B6C9BF2">
            <w:pPr>
              <w:tabs>
                <w:tab w:val="left" w:pos="432"/>
              </w:tabs>
              <w:spacing w:line="300" w:lineRule="exact"/>
              <w:jc w:val="center"/>
              <w:rPr>
                <w:rFonts w:ascii="Times New Roman"/>
                <w:caps/>
                <w:sz w:val="21"/>
                <w:szCs w:val="21"/>
              </w:rPr>
            </w:pPr>
            <w:r>
              <w:rPr>
                <w:rFonts w:hint="eastAsia" w:ascii="Times New Roman"/>
                <w:caps/>
                <w:sz w:val="21"/>
                <w:szCs w:val="21"/>
              </w:rPr>
              <w:t>漆渣、</w:t>
            </w:r>
            <w:r>
              <w:rPr>
                <w:rFonts w:ascii="Times New Roman"/>
                <w:caps/>
                <w:sz w:val="21"/>
                <w:szCs w:val="21"/>
              </w:rPr>
              <w:t>废</w:t>
            </w:r>
            <w:r>
              <w:rPr>
                <w:rFonts w:hint="eastAsia" w:ascii="Times New Roman"/>
                <w:caps/>
                <w:sz w:val="21"/>
                <w:szCs w:val="21"/>
              </w:rPr>
              <w:t>油</w:t>
            </w:r>
            <w:r>
              <w:rPr>
                <w:rFonts w:ascii="Times New Roman"/>
                <w:caps/>
                <w:sz w:val="21"/>
                <w:szCs w:val="21"/>
              </w:rPr>
              <w:t>漆桶、废稀释剂桶、</w:t>
            </w:r>
            <w:r>
              <w:rPr>
                <w:rFonts w:hint="eastAsia" w:ascii="Times New Roman"/>
                <w:caps/>
                <w:sz w:val="21"/>
                <w:szCs w:val="21"/>
              </w:rPr>
              <w:t>浮油、</w:t>
            </w:r>
            <w:r>
              <w:rPr>
                <w:rFonts w:ascii="Times New Roman"/>
                <w:caps/>
                <w:sz w:val="21"/>
                <w:szCs w:val="21"/>
              </w:rPr>
              <w:t>废液压油、</w:t>
            </w:r>
            <w:r>
              <w:rPr>
                <w:rFonts w:hint="eastAsia" w:ascii="Times New Roman"/>
                <w:caps/>
                <w:sz w:val="21"/>
                <w:szCs w:val="21"/>
              </w:rPr>
              <w:t>废润滑油、</w:t>
            </w:r>
            <w:r>
              <w:rPr>
                <w:rFonts w:ascii="Times New Roman"/>
                <w:caps/>
                <w:sz w:val="21"/>
                <w:szCs w:val="21"/>
              </w:rPr>
              <w:t>废油桶、废切削液、</w:t>
            </w:r>
            <w:r>
              <w:rPr>
                <w:rFonts w:hint="eastAsia" w:ascii="Times New Roman"/>
                <w:caps/>
                <w:sz w:val="21"/>
                <w:szCs w:val="21"/>
              </w:rPr>
              <w:t>含油金属屑、污泥、</w:t>
            </w:r>
            <w:r>
              <w:rPr>
                <w:rFonts w:ascii="Times New Roman"/>
                <w:caps/>
                <w:sz w:val="21"/>
                <w:szCs w:val="21"/>
              </w:rPr>
              <w:t>废活性炭、</w:t>
            </w:r>
            <w:r>
              <w:rPr>
                <w:rFonts w:ascii="Times New Roman"/>
                <w:sz w:val="21"/>
                <w:szCs w:val="21"/>
              </w:rPr>
              <w:t>废过滤棉、</w:t>
            </w:r>
            <w:r>
              <w:rPr>
                <w:rFonts w:hint="eastAsia" w:ascii="Times New Roman"/>
                <w:sz w:val="21"/>
                <w:szCs w:val="21"/>
              </w:rPr>
              <w:t>废边角料、废焊材、金属碎屑、废钢丸、废钢砂、废包装材料、除尘灰、废布袋、收尘灰、废反渗透膜、生活垃圾</w:t>
            </w:r>
            <w:r>
              <w:rPr>
                <w:rFonts w:ascii="Times New Roman"/>
                <w:caps/>
                <w:sz w:val="21"/>
                <w:szCs w:val="21"/>
              </w:rPr>
              <w:t>等</w:t>
            </w:r>
          </w:p>
        </w:tc>
      </w:tr>
      <w:tr w14:paraId="55AE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476" w:type="pct"/>
            <w:vMerge w:val="continue"/>
            <w:vAlign w:val="center"/>
          </w:tcPr>
          <w:p w14:paraId="34C1CA23">
            <w:pPr>
              <w:spacing w:line="300" w:lineRule="exact"/>
              <w:jc w:val="center"/>
              <w:rPr>
                <w:rFonts w:ascii="Times New Roman"/>
                <w:caps/>
                <w:sz w:val="21"/>
                <w:szCs w:val="21"/>
              </w:rPr>
            </w:pPr>
          </w:p>
        </w:tc>
        <w:tc>
          <w:tcPr>
            <w:tcW w:w="883" w:type="pct"/>
            <w:vAlign w:val="center"/>
          </w:tcPr>
          <w:p w14:paraId="3199EEC9">
            <w:pPr>
              <w:spacing w:line="300" w:lineRule="exact"/>
              <w:jc w:val="center"/>
              <w:rPr>
                <w:rFonts w:ascii="Times New Roman"/>
                <w:caps/>
                <w:sz w:val="21"/>
                <w:szCs w:val="21"/>
              </w:rPr>
            </w:pPr>
            <w:r>
              <w:rPr>
                <w:rFonts w:ascii="Times New Roman"/>
                <w:caps/>
                <w:sz w:val="21"/>
                <w:szCs w:val="21"/>
              </w:rPr>
              <w:t>影响分析</w:t>
            </w:r>
          </w:p>
        </w:tc>
        <w:tc>
          <w:tcPr>
            <w:tcW w:w="3640" w:type="pct"/>
            <w:vMerge w:val="continue"/>
            <w:vAlign w:val="center"/>
          </w:tcPr>
          <w:p w14:paraId="2D8CFE25">
            <w:pPr>
              <w:tabs>
                <w:tab w:val="left" w:pos="432"/>
              </w:tabs>
              <w:spacing w:line="300" w:lineRule="exact"/>
              <w:jc w:val="center"/>
              <w:rPr>
                <w:rFonts w:ascii="Times New Roman"/>
                <w:caps/>
                <w:sz w:val="21"/>
                <w:szCs w:val="21"/>
              </w:rPr>
            </w:pPr>
          </w:p>
        </w:tc>
      </w:tr>
      <w:tr w14:paraId="78E7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restart"/>
            <w:vAlign w:val="center"/>
          </w:tcPr>
          <w:p w14:paraId="4057099C">
            <w:pPr>
              <w:spacing w:line="300" w:lineRule="exact"/>
              <w:jc w:val="center"/>
              <w:rPr>
                <w:rFonts w:ascii="Times New Roman"/>
                <w:caps/>
                <w:sz w:val="21"/>
                <w:szCs w:val="21"/>
              </w:rPr>
            </w:pPr>
            <w:r>
              <w:rPr>
                <w:rFonts w:ascii="Times New Roman"/>
                <w:caps/>
                <w:sz w:val="21"/>
                <w:szCs w:val="21"/>
              </w:rPr>
              <w:t>土壤环境</w:t>
            </w:r>
          </w:p>
        </w:tc>
        <w:tc>
          <w:tcPr>
            <w:tcW w:w="883" w:type="pct"/>
            <w:vAlign w:val="center"/>
          </w:tcPr>
          <w:p w14:paraId="3B433B80">
            <w:pPr>
              <w:spacing w:line="300" w:lineRule="exact"/>
              <w:jc w:val="center"/>
              <w:rPr>
                <w:rFonts w:ascii="Times New Roman"/>
                <w:caps/>
                <w:sz w:val="21"/>
                <w:szCs w:val="21"/>
              </w:rPr>
            </w:pPr>
            <w:r>
              <w:rPr>
                <w:rFonts w:ascii="Times New Roman"/>
                <w:caps/>
                <w:sz w:val="21"/>
                <w:szCs w:val="21"/>
              </w:rPr>
              <w:t>现状评价</w:t>
            </w:r>
          </w:p>
        </w:tc>
        <w:tc>
          <w:tcPr>
            <w:tcW w:w="3640" w:type="pct"/>
            <w:vAlign w:val="center"/>
          </w:tcPr>
          <w:p w14:paraId="36B6EECD">
            <w:pPr>
              <w:spacing w:line="320" w:lineRule="exact"/>
              <w:jc w:val="left"/>
              <w:rPr>
                <w:rFonts w:ascii="Times New Roman"/>
                <w:sz w:val="21"/>
                <w:szCs w:val="16"/>
              </w:rPr>
            </w:pPr>
            <w:r>
              <w:rPr>
                <w:rFonts w:ascii="Times New Roman"/>
                <w:sz w:val="21"/>
                <w:szCs w:val="16"/>
              </w:rPr>
              <w:t>45项基本因子：镉、铬（六价）、铜、铅、镍、汞、砷、氯甲烷、1，1-二氯乙烯、二氯甲烷、反-1，2-二氯乙烯、1，1-二氯乙烷、顺-1，2-二氯乙烯、氯仿、1，2-二氯乙烷、1，1，1-三氯乙烷、四氯化碳、苯、三氯乙烯、1，1，2-三氯乙烷、1，2-二氯丙烷、甲苯、四氯乙烯、1，1，1，2-四氯乙烷、氯苯、乙苯、间二甲苯/对二甲苯、苯乙烯、邻二甲苯、1，1，2，2-四氯乙烷、1，2，3-三氯丙烷、1，4-二氯苯、1，2-二氯苯、氯乙烯、苯胺、2-氯酚、硝基苯、萘、苯并〔a〕蒽、䓛、苯并〔b〕荧蒽、苯并〔k〕荧蒽、苯并〔a〕芘、二苯并〔a， h〕蒽、茚并〔1，2，3-cd〕芘</w:t>
            </w:r>
          </w:p>
          <w:p w14:paraId="1A3AC2D4">
            <w:pPr>
              <w:tabs>
                <w:tab w:val="left" w:pos="432"/>
              </w:tabs>
              <w:spacing w:line="320" w:lineRule="exact"/>
              <w:jc w:val="left"/>
              <w:rPr>
                <w:rFonts w:ascii="Times New Roman"/>
                <w:caps/>
                <w:sz w:val="21"/>
                <w:szCs w:val="16"/>
              </w:rPr>
            </w:pPr>
            <w:r>
              <w:rPr>
                <w:rFonts w:ascii="Times New Roman"/>
                <w:sz w:val="21"/>
                <w:szCs w:val="16"/>
              </w:rPr>
              <w:t>其他因子：pH值、石油烃、氨氮</w:t>
            </w:r>
          </w:p>
        </w:tc>
      </w:tr>
      <w:tr w14:paraId="7E9A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508CE6AD">
            <w:pPr>
              <w:spacing w:line="300" w:lineRule="exact"/>
              <w:jc w:val="center"/>
              <w:rPr>
                <w:rFonts w:ascii="Times New Roman"/>
                <w:caps/>
                <w:sz w:val="21"/>
                <w:szCs w:val="21"/>
              </w:rPr>
            </w:pPr>
          </w:p>
        </w:tc>
        <w:tc>
          <w:tcPr>
            <w:tcW w:w="883" w:type="pct"/>
            <w:vAlign w:val="center"/>
          </w:tcPr>
          <w:p w14:paraId="724AA909">
            <w:pPr>
              <w:spacing w:line="300" w:lineRule="exact"/>
              <w:jc w:val="center"/>
              <w:rPr>
                <w:rFonts w:ascii="Times New Roman"/>
                <w:caps/>
                <w:sz w:val="21"/>
                <w:szCs w:val="21"/>
              </w:rPr>
            </w:pPr>
            <w:r>
              <w:rPr>
                <w:rFonts w:ascii="Times New Roman"/>
                <w:caps/>
                <w:sz w:val="21"/>
                <w:szCs w:val="21"/>
              </w:rPr>
              <w:t>污染源分析</w:t>
            </w:r>
          </w:p>
        </w:tc>
        <w:tc>
          <w:tcPr>
            <w:tcW w:w="3640" w:type="pct"/>
            <w:vAlign w:val="center"/>
          </w:tcPr>
          <w:p w14:paraId="6876D4F4">
            <w:pPr>
              <w:tabs>
                <w:tab w:val="left" w:pos="432"/>
              </w:tabs>
              <w:spacing w:line="300" w:lineRule="exact"/>
              <w:jc w:val="center"/>
              <w:rPr>
                <w:rFonts w:ascii="Times New Roman"/>
                <w:caps/>
                <w:sz w:val="21"/>
                <w:szCs w:val="21"/>
              </w:rPr>
            </w:pPr>
            <w:r>
              <w:rPr>
                <w:rFonts w:ascii="Times New Roman"/>
                <w:sz w:val="21"/>
                <w:szCs w:val="16"/>
              </w:rPr>
              <w:t>pH值、</w:t>
            </w:r>
            <w:r>
              <w:rPr>
                <w:rFonts w:ascii="Times New Roman"/>
                <w:caps/>
                <w:sz w:val="21"/>
                <w:szCs w:val="21"/>
              </w:rPr>
              <w:t>二甲苯</w:t>
            </w:r>
            <w:r>
              <w:rPr>
                <w:rFonts w:ascii="Times New Roman"/>
                <w:sz w:val="21"/>
                <w:szCs w:val="16"/>
              </w:rPr>
              <w:t>、石油烃</w:t>
            </w:r>
          </w:p>
        </w:tc>
      </w:tr>
      <w:tr w14:paraId="1C18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vAlign w:val="center"/>
          </w:tcPr>
          <w:p w14:paraId="1949386A">
            <w:pPr>
              <w:spacing w:line="300" w:lineRule="exact"/>
              <w:jc w:val="center"/>
              <w:rPr>
                <w:rFonts w:ascii="Times New Roman"/>
                <w:caps/>
                <w:sz w:val="21"/>
                <w:szCs w:val="21"/>
              </w:rPr>
            </w:pPr>
          </w:p>
        </w:tc>
        <w:tc>
          <w:tcPr>
            <w:tcW w:w="883" w:type="pct"/>
            <w:vAlign w:val="center"/>
          </w:tcPr>
          <w:p w14:paraId="7B116ADA">
            <w:pPr>
              <w:spacing w:line="300" w:lineRule="exact"/>
              <w:jc w:val="center"/>
              <w:rPr>
                <w:rFonts w:ascii="Times New Roman"/>
                <w:caps/>
                <w:sz w:val="21"/>
                <w:szCs w:val="21"/>
              </w:rPr>
            </w:pPr>
            <w:r>
              <w:rPr>
                <w:rFonts w:ascii="Times New Roman"/>
                <w:caps/>
                <w:sz w:val="21"/>
                <w:szCs w:val="21"/>
              </w:rPr>
              <w:t>影响分析</w:t>
            </w:r>
          </w:p>
        </w:tc>
        <w:tc>
          <w:tcPr>
            <w:tcW w:w="3640" w:type="pct"/>
            <w:vAlign w:val="center"/>
          </w:tcPr>
          <w:p w14:paraId="7A52957E">
            <w:pPr>
              <w:tabs>
                <w:tab w:val="left" w:pos="432"/>
              </w:tabs>
              <w:spacing w:line="300" w:lineRule="exact"/>
              <w:jc w:val="center"/>
              <w:rPr>
                <w:rFonts w:ascii="Times New Roman"/>
                <w:caps/>
                <w:sz w:val="21"/>
                <w:szCs w:val="21"/>
              </w:rPr>
            </w:pPr>
            <w:r>
              <w:rPr>
                <w:rFonts w:ascii="Times New Roman"/>
                <w:caps/>
                <w:sz w:val="21"/>
                <w:szCs w:val="21"/>
              </w:rPr>
              <w:t>二甲苯</w:t>
            </w:r>
            <w:r>
              <w:rPr>
                <w:rFonts w:ascii="Times New Roman"/>
                <w:sz w:val="21"/>
                <w:szCs w:val="16"/>
              </w:rPr>
              <w:t>、石油烃</w:t>
            </w:r>
          </w:p>
        </w:tc>
      </w:tr>
      <w:tr w14:paraId="4E52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76" w:type="pct"/>
            <w:vAlign w:val="center"/>
          </w:tcPr>
          <w:p w14:paraId="70ECD567">
            <w:pPr>
              <w:spacing w:line="300" w:lineRule="exact"/>
              <w:jc w:val="center"/>
              <w:rPr>
                <w:rFonts w:ascii="Times New Roman"/>
                <w:caps/>
                <w:sz w:val="21"/>
                <w:szCs w:val="21"/>
              </w:rPr>
            </w:pPr>
            <w:r>
              <w:rPr>
                <w:rFonts w:ascii="Times New Roman"/>
                <w:caps/>
                <w:sz w:val="21"/>
                <w:szCs w:val="21"/>
              </w:rPr>
              <w:t>风险</w:t>
            </w:r>
          </w:p>
        </w:tc>
        <w:tc>
          <w:tcPr>
            <w:tcW w:w="883" w:type="pct"/>
            <w:vAlign w:val="center"/>
          </w:tcPr>
          <w:p w14:paraId="534930F4">
            <w:pPr>
              <w:spacing w:line="300" w:lineRule="exact"/>
              <w:jc w:val="center"/>
              <w:rPr>
                <w:rFonts w:ascii="Times New Roman"/>
                <w:caps/>
                <w:sz w:val="21"/>
                <w:szCs w:val="21"/>
              </w:rPr>
            </w:pPr>
            <w:r>
              <w:rPr>
                <w:rFonts w:ascii="Times New Roman"/>
                <w:caps/>
                <w:sz w:val="21"/>
                <w:szCs w:val="21"/>
              </w:rPr>
              <w:t>风险评价</w:t>
            </w:r>
          </w:p>
        </w:tc>
        <w:tc>
          <w:tcPr>
            <w:tcW w:w="3640" w:type="pct"/>
            <w:vAlign w:val="center"/>
          </w:tcPr>
          <w:p w14:paraId="6FF66D1A">
            <w:pPr>
              <w:tabs>
                <w:tab w:val="left" w:pos="432"/>
              </w:tabs>
              <w:spacing w:line="300" w:lineRule="exact"/>
              <w:jc w:val="center"/>
              <w:rPr>
                <w:rFonts w:ascii="Times New Roman"/>
                <w:caps/>
                <w:sz w:val="21"/>
                <w:szCs w:val="21"/>
              </w:rPr>
            </w:pPr>
            <w:r>
              <w:rPr>
                <w:rFonts w:ascii="Times New Roman"/>
                <w:caps/>
                <w:sz w:val="21"/>
                <w:szCs w:val="21"/>
              </w:rPr>
              <w:t>天然气（甲烷）、丙烷、</w:t>
            </w:r>
            <w:r>
              <w:rPr>
                <w:rFonts w:hint="eastAsia" w:ascii="Times New Roman"/>
                <w:caps/>
                <w:sz w:val="21"/>
                <w:szCs w:val="21"/>
              </w:rPr>
              <w:t>油漆、</w:t>
            </w:r>
            <w:r>
              <w:rPr>
                <w:rFonts w:ascii="Times New Roman"/>
                <w:caps/>
                <w:sz w:val="21"/>
                <w:szCs w:val="21"/>
              </w:rPr>
              <w:t>稀释剂（二甲苯）、</w:t>
            </w:r>
            <w:r>
              <w:rPr>
                <w:rFonts w:hint="eastAsia" w:ascii="Times New Roman"/>
                <w:caps/>
                <w:sz w:val="21"/>
                <w:szCs w:val="21"/>
              </w:rPr>
              <w:t>硫酸、</w:t>
            </w:r>
            <w:r>
              <w:rPr>
                <w:rFonts w:ascii="Times New Roman"/>
                <w:caps/>
                <w:sz w:val="21"/>
                <w:szCs w:val="21"/>
              </w:rPr>
              <w:t>润滑油、液压油、废润滑油、废液压油、废切削液</w:t>
            </w:r>
            <w:r>
              <w:rPr>
                <w:rFonts w:hint="eastAsia" w:ascii="Times New Roman"/>
                <w:caps/>
                <w:sz w:val="21"/>
                <w:szCs w:val="21"/>
              </w:rPr>
              <w:t>、</w:t>
            </w:r>
            <w:r>
              <w:rPr>
                <w:rFonts w:hint="eastAsia" w:ascii="Times New Roman"/>
                <w:sz w:val="21"/>
                <w:szCs w:val="21"/>
              </w:rPr>
              <w:t>浮油、含油金属屑</w:t>
            </w:r>
            <w:r>
              <w:rPr>
                <w:rFonts w:ascii="Times New Roman"/>
                <w:caps/>
                <w:sz w:val="21"/>
                <w:szCs w:val="21"/>
              </w:rPr>
              <w:t>等</w:t>
            </w:r>
          </w:p>
        </w:tc>
      </w:tr>
    </w:tbl>
    <w:p w14:paraId="1D769F5A">
      <w:pPr>
        <w:widowControl/>
        <w:spacing w:line="520" w:lineRule="exact"/>
        <w:jc w:val="left"/>
        <w:outlineLvl w:val="1"/>
        <w:rPr>
          <w:rFonts w:ascii="Times New Roman"/>
          <w:b/>
          <w:sz w:val="30"/>
          <w:szCs w:val="30"/>
        </w:rPr>
      </w:pPr>
      <w:bookmarkStart w:id="53" w:name="_Toc14712"/>
      <w:bookmarkStart w:id="54" w:name="_Toc474313786"/>
      <w:bookmarkStart w:id="55" w:name="_Toc508872100"/>
      <w:r>
        <w:rPr>
          <w:rFonts w:ascii="Times New Roman"/>
          <w:b/>
          <w:sz w:val="30"/>
          <w:szCs w:val="30"/>
        </w:rPr>
        <w:t>2.5评价等级及评价范围</w:t>
      </w:r>
      <w:bookmarkEnd w:id="53"/>
      <w:bookmarkEnd w:id="54"/>
      <w:bookmarkEnd w:id="55"/>
    </w:p>
    <w:p w14:paraId="44DC5F48">
      <w:pPr>
        <w:spacing w:line="520" w:lineRule="exact"/>
        <w:outlineLvl w:val="2"/>
        <w:rPr>
          <w:rFonts w:ascii="Times New Roman"/>
          <w:b/>
          <w:sz w:val="28"/>
          <w:szCs w:val="28"/>
        </w:rPr>
      </w:pPr>
      <w:r>
        <w:rPr>
          <w:rFonts w:ascii="Times New Roman"/>
          <w:b/>
          <w:sz w:val="28"/>
          <w:szCs w:val="28"/>
        </w:rPr>
        <w:t>2.5.1大气评价等级及评价范围</w:t>
      </w:r>
    </w:p>
    <w:p w14:paraId="5715CD35">
      <w:pPr>
        <w:spacing w:line="520" w:lineRule="exact"/>
        <w:outlineLvl w:val="3"/>
        <w:rPr>
          <w:rFonts w:ascii="Times New Roman"/>
          <w:b/>
          <w:sz w:val="24"/>
          <w:szCs w:val="24"/>
        </w:rPr>
      </w:pPr>
      <w:r>
        <w:rPr>
          <w:rFonts w:ascii="Times New Roman"/>
          <w:b/>
          <w:sz w:val="24"/>
          <w:szCs w:val="24"/>
        </w:rPr>
        <w:t>2.5.1.1大气环境评价等级</w:t>
      </w:r>
    </w:p>
    <w:p w14:paraId="4ABCE7C2">
      <w:pPr>
        <w:tabs>
          <w:tab w:val="left" w:pos="1170"/>
        </w:tabs>
        <w:spacing w:line="480" w:lineRule="exact"/>
        <w:ind w:firstLine="480" w:firstLineChars="200"/>
        <w:rPr>
          <w:rFonts w:ascii="Times New Roman"/>
          <w:sz w:val="24"/>
          <w:szCs w:val="24"/>
        </w:rPr>
      </w:pPr>
      <w:r>
        <w:rPr>
          <w:rFonts w:ascii="Times New Roman"/>
          <w:sz w:val="24"/>
          <w:szCs w:val="24"/>
        </w:rPr>
        <w:t>（1）大气环境评价等级划分依据</w:t>
      </w:r>
    </w:p>
    <w:p w14:paraId="03192CBA">
      <w:pPr>
        <w:tabs>
          <w:tab w:val="left" w:pos="1170"/>
        </w:tabs>
        <w:spacing w:line="480" w:lineRule="exact"/>
        <w:ind w:firstLine="480" w:firstLineChars="200"/>
        <w:jc w:val="left"/>
        <w:rPr>
          <w:rFonts w:ascii="Times New Roman"/>
          <w:kern w:val="0"/>
          <w:sz w:val="24"/>
          <w:szCs w:val="24"/>
        </w:rPr>
      </w:pPr>
      <w:r>
        <w:rPr>
          <w:rFonts w:ascii="Times New Roman"/>
          <w:kern w:val="0"/>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31690D25">
      <w:pPr>
        <w:tabs>
          <w:tab w:val="left" w:pos="1170"/>
        </w:tabs>
        <w:spacing w:line="480" w:lineRule="exact"/>
        <w:ind w:firstLine="480" w:firstLineChars="200"/>
        <w:jc w:val="left"/>
        <w:rPr>
          <w:rFonts w:ascii="Times New Roman"/>
          <w:kern w:val="0"/>
          <w:sz w:val="24"/>
          <w:szCs w:val="24"/>
        </w:rPr>
      </w:pPr>
      <w:r>
        <w:rPr>
          <w:rFonts w:ascii="Times New Roman"/>
          <w:kern w:val="0"/>
          <w:sz w:val="24"/>
          <w:szCs w:val="24"/>
        </w:rPr>
        <w:t>①P</w:t>
      </w:r>
      <w:r>
        <w:rPr>
          <w:rFonts w:ascii="Times New Roman"/>
          <w:kern w:val="0"/>
          <w:sz w:val="24"/>
          <w:szCs w:val="24"/>
          <w:vertAlign w:val="subscript"/>
        </w:rPr>
        <w:t>max</w:t>
      </w:r>
      <w:r>
        <w:rPr>
          <w:rFonts w:ascii="Times New Roman"/>
          <w:kern w:val="0"/>
          <w:sz w:val="24"/>
          <w:szCs w:val="24"/>
        </w:rPr>
        <w:t>及D</w:t>
      </w:r>
      <w:r>
        <w:rPr>
          <w:rFonts w:ascii="Times New Roman"/>
          <w:kern w:val="0"/>
          <w:sz w:val="24"/>
          <w:szCs w:val="24"/>
          <w:vertAlign w:val="subscript"/>
        </w:rPr>
        <w:t>10%</w:t>
      </w:r>
      <w:r>
        <w:rPr>
          <w:rFonts w:ascii="Times New Roman"/>
          <w:kern w:val="0"/>
          <w:sz w:val="24"/>
          <w:szCs w:val="24"/>
        </w:rPr>
        <w:t>的确定</w:t>
      </w:r>
    </w:p>
    <w:p w14:paraId="418DF081">
      <w:pPr>
        <w:spacing w:line="480" w:lineRule="exact"/>
        <w:ind w:firstLine="480" w:firstLineChars="200"/>
        <w:jc w:val="left"/>
        <w:rPr>
          <w:rFonts w:ascii="Times New Roman"/>
          <w:kern w:val="0"/>
          <w:sz w:val="24"/>
          <w:szCs w:val="24"/>
        </w:rPr>
      </w:pPr>
      <w:r>
        <w:rPr>
          <w:rFonts w:ascii="Times New Roman"/>
          <w:kern w:val="0"/>
          <w:sz w:val="24"/>
          <w:szCs w:val="24"/>
        </w:rPr>
        <w:t>依据《环境影响评价技术导则 大气环境》（HJ2.2-2018）中最大地面浓度占标率Pi定义如下：</w:t>
      </w:r>
    </w:p>
    <w:p w14:paraId="04CB9ED0">
      <w:pPr>
        <w:ind w:firstLine="2484" w:firstLineChars="1035"/>
        <w:jc w:val="left"/>
        <w:rPr>
          <w:rFonts w:ascii="Times New Roman"/>
          <w:kern w:val="0"/>
          <w:sz w:val="24"/>
          <w:szCs w:val="24"/>
          <w:lang w:val="pl-PL"/>
        </w:rPr>
      </w:pPr>
      <m:oMathPara>
        <m:oMath>
          <m:sSub>
            <m:sSubPr>
              <m:ctrlPr>
                <w:rPr>
                  <w:rFonts w:ascii="Cambria Math" w:hAnsi="Cambria Math"/>
                  <w:sz w:val="24"/>
                  <w:szCs w:val="24"/>
                </w:rPr>
              </m:ctrlPr>
            </m:sSubPr>
            <m:e>
              <m:r>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num>
            <m:den>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0i</m:t>
                  </m:r>
                  <m:ctrlPr>
                    <w:rPr>
                      <w:rFonts w:ascii="Cambria Math" w:hAnsi="Cambria Math"/>
                      <w:i/>
                      <w:sz w:val="24"/>
                      <w:szCs w:val="24"/>
                    </w:rPr>
                  </m:ctrlPr>
                </m:sub>
              </m:sSub>
              <m:ctrlPr>
                <w:rPr>
                  <w:rFonts w:ascii="Cambria Math" w:hAnsi="Cambria Math"/>
                  <w:sz w:val="24"/>
                  <w:szCs w:val="24"/>
                </w:rPr>
              </m:ctrlPr>
            </m:den>
          </m:f>
          <m:r>
            <m:rPr/>
            <w:rPr>
              <w:rFonts w:ascii="Cambria Math" w:hAnsi="Cambria Math"/>
              <w:sz w:val="24"/>
              <w:szCs w:val="24"/>
            </w:rPr>
            <m:t>×100%</m:t>
          </m:r>
        </m:oMath>
      </m:oMathPara>
    </w:p>
    <w:p w14:paraId="707DD75D">
      <w:pPr>
        <w:spacing w:line="480" w:lineRule="exact"/>
        <w:ind w:firstLine="480" w:firstLineChars="200"/>
        <w:jc w:val="left"/>
        <w:rPr>
          <w:rFonts w:ascii="Times New Roman"/>
          <w:kern w:val="0"/>
          <w:sz w:val="24"/>
          <w:szCs w:val="24"/>
        </w:rPr>
      </w:pPr>
      <w:r>
        <w:rPr>
          <w:rFonts w:ascii="Times New Roman"/>
          <w:kern w:val="0"/>
          <w:sz w:val="24"/>
          <w:szCs w:val="24"/>
        </w:rPr>
        <w:t>式中：P</w:t>
      </w:r>
      <w:r>
        <w:rPr>
          <w:rFonts w:ascii="Times New Roman"/>
          <w:i/>
          <w:kern w:val="0"/>
          <w:sz w:val="24"/>
          <w:szCs w:val="24"/>
          <w:vertAlign w:val="subscript"/>
        </w:rPr>
        <w:t>i</w:t>
      </w:r>
      <w:r>
        <w:rPr>
          <w:rFonts w:ascii="Times New Roman"/>
          <w:kern w:val="0"/>
          <w:sz w:val="24"/>
          <w:szCs w:val="24"/>
        </w:rPr>
        <w:t>——第</w:t>
      </w:r>
      <w:r>
        <w:rPr>
          <w:rFonts w:ascii="Times New Roman"/>
          <w:i/>
          <w:kern w:val="0"/>
          <w:sz w:val="24"/>
          <w:szCs w:val="24"/>
        </w:rPr>
        <w:t>i</w:t>
      </w:r>
      <w:r>
        <w:rPr>
          <w:rFonts w:ascii="Times New Roman"/>
          <w:kern w:val="0"/>
          <w:sz w:val="24"/>
          <w:szCs w:val="24"/>
        </w:rPr>
        <w:t>个污染物的最大地面浓度占标率，%；</w:t>
      </w:r>
    </w:p>
    <w:p w14:paraId="2B1500BF">
      <w:pPr>
        <w:spacing w:line="480" w:lineRule="exact"/>
        <w:ind w:firstLine="1200" w:firstLineChars="500"/>
        <w:jc w:val="left"/>
        <w:rPr>
          <w:rFonts w:ascii="Times New Roman"/>
          <w:kern w:val="0"/>
          <w:sz w:val="24"/>
          <w:szCs w:val="24"/>
        </w:rPr>
      </w:pPr>
      <w:r>
        <w:rPr>
          <w:rFonts w:ascii="Times New Roman"/>
          <w:kern w:val="0"/>
          <w:sz w:val="24"/>
          <w:szCs w:val="24"/>
        </w:rPr>
        <w:t>C</w:t>
      </w:r>
      <w:r>
        <w:rPr>
          <w:rFonts w:ascii="Times New Roman"/>
          <w:i/>
          <w:kern w:val="0"/>
          <w:sz w:val="24"/>
          <w:szCs w:val="24"/>
          <w:vertAlign w:val="subscript"/>
        </w:rPr>
        <w:t>i</w:t>
      </w:r>
      <w:r>
        <w:rPr>
          <w:rFonts w:ascii="Times New Roman"/>
          <w:kern w:val="0"/>
          <w:sz w:val="24"/>
          <w:szCs w:val="24"/>
        </w:rPr>
        <w:t>——采用估算模式计算出的第</w:t>
      </w:r>
      <w:r>
        <w:rPr>
          <w:rFonts w:ascii="Times New Roman"/>
          <w:i/>
          <w:kern w:val="0"/>
          <w:sz w:val="24"/>
          <w:szCs w:val="24"/>
        </w:rPr>
        <w:t>i</w:t>
      </w:r>
      <w:r>
        <w:rPr>
          <w:rFonts w:ascii="Times New Roman"/>
          <w:kern w:val="0"/>
          <w:sz w:val="24"/>
          <w:szCs w:val="24"/>
        </w:rPr>
        <w:t>个污染物的最大地面浓度，mg/m</w:t>
      </w:r>
      <w:r>
        <w:rPr>
          <w:rFonts w:ascii="Times New Roman"/>
          <w:kern w:val="0"/>
          <w:sz w:val="24"/>
          <w:szCs w:val="24"/>
          <w:vertAlign w:val="superscript"/>
        </w:rPr>
        <w:t>3</w:t>
      </w:r>
      <w:r>
        <w:rPr>
          <w:rFonts w:ascii="Times New Roman"/>
          <w:kern w:val="0"/>
          <w:sz w:val="24"/>
          <w:szCs w:val="24"/>
        </w:rPr>
        <w:t>；</w:t>
      </w:r>
    </w:p>
    <w:p w14:paraId="4B0304C9">
      <w:pPr>
        <w:spacing w:line="480" w:lineRule="exact"/>
        <w:ind w:firstLine="1200" w:firstLineChars="500"/>
        <w:jc w:val="left"/>
        <w:rPr>
          <w:rFonts w:ascii="Times New Roman"/>
          <w:kern w:val="0"/>
          <w:sz w:val="24"/>
          <w:szCs w:val="24"/>
        </w:rPr>
      </w:pPr>
      <w:r>
        <w:rPr>
          <w:rFonts w:ascii="Times New Roman"/>
          <w:kern w:val="0"/>
          <w:sz w:val="24"/>
          <w:szCs w:val="24"/>
        </w:rPr>
        <w:t>C</w:t>
      </w:r>
      <w:r>
        <w:rPr>
          <w:rFonts w:ascii="Times New Roman"/>
          <w:i/>
          <w:kern w:val="0"/>
          <w:sz w:val="24"/>
          <w:szCs w:val="24"/>
          <w:vertAlign w:val="subscript"/>
        </w:rPr>
        <w:t>oi</w:t>
      </w:r>
      <w:r>
        <w:rPr>
          <w:rFonts w:ascii="Times New Roman"/>
          <w:kern w:val="0"/>
          <w:sz w:val="24"/>
          <w:szCs w:val="24"/>
        </w:rPr>
        <w:t>——第</w:t>
      </w:r>
      <w:r>
        <w:rPr>
          <w:rFonts w:ascii="Times New Roman"/>
          <w:i/>
          <w:kern w:val="0"/>
          <w:sz w:val="24"/>
          <w:szCs w:val="24"/>
        </w:rPr>
        <w:t>i</w:t>
      </w:r>
      <w:r>
        <w:rPr>
          <w:rFonts w:ascii="Times New Roman"/>
          <w:kern w:val="0"/>
          <w:sz w:val="24"/>
          <w:szCs w:val="24"/>
        </w:rPr>
        <w:t>个污染物的环境空气质量标准，mg/m</w:t>
      </w:r>
      <w:r>
        <w:rPr>
          <w:rFonts w:ascii="Times New Roman"/>
          <w:kern w:val="0"/>
          <w:sz w:val="24"/>
          <w:szCs w:val="24"/>
          <w:vertAlign w:val="superscript"/>
        </w:rPr>
        <w:t>3</w:t>
      </w:r>
      <w:r>
        <w:rPr>
          <w:rFonts w:ascii="Times New Roman"/>
          <w:kern w:val="0"/>
          <w:sz w:val="24"/>
          <w:szCs w:val="24"/>
        </w:rPr>
        <w:t>。</w:t>
      </w:r>
    </w:p>
    <w:p w14:paraId="25DDF048">
      <w:pPr>
        <w:spacing w:line="480" w:lineRule="exact"/>
        <w:ind w:firstLine="1200" w:firstLineChars="500"/>
        <w:jc w:val="left"/>
        <w:rPr>
          <w:rFonts w:ascii="Times New Roman"/>
          <w:kern w:val="0"/>
          <w:sz w:val="24"/>
          <w:szCs w:val="24"/>
        </w:rPr>
      </w:pPr>
      <w:r>
        <w:rPr>
          <w:rFonts w:ascii="Times New Roman"/>
          <w:kern w:val="0"/>
          <w:sz w:val="24"/>
          <w:szCs w:val="24"/>
        </w:rPr>
        <w:t>C</w:t>
      </w:r>
      <w:r>
        <w:rPr>
          <w:rFonts w:ascii="Times New Roman"/>
          <w:i/>
          <w:kern w:val="0"/>
          <w:sz w:val="24"/>
          <w:szCs w:val="24"/>
          <w:vertAlign w:val="subscript"/>
        </w:rPr>
        <w:t>0i</w:t>
      </w:r>
      <w:r>
        <w:rPr>
          <w:rFonts w:ascii="Times New Roman"/>
          <w:kern w:val="0"/>
          <w:sz w:val="24"/>
          <w:szCs w:val="24"/>
        </w:rPr>
        <w:t>一般选用GB3095中1小时平均取样时间的二级标准的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14:paraId="61964E7C">
      <w:pPr>
        <w:spacing w:line="480" w:lineRule="exact"/>
        <w:ind w:firstLine="480" w:firstLineChars="200"/>
        <w:jc w:val="left"/>
        <w:rPr>
          <w:rFonts w:ascii="Times New Roman"/>
          <w:kern w:val="0"/>
          <w:sz w:val="24"/>
          <w:szCs w:val="24"/>
        </w:rPr>
      </w:pPr>
      <w:r>
        <w:rPr>
          <w:rFonts w:ascii="Times New Roman"/>
          <w:kern w:val="0"/>
          <w:sz w:val="24"/>
          <w:szCs w:val="24"/>
        </w:rPr>
        <w:t>根据《环境影响评价技术导则 大气环境》（HJ/T2.2-2018），大气环境评价工作等级划分判据见表2.5-1。</w:t>
      </w:r>
    </w:p>
    <w:p w14:paraId="63F6CA63">
      <w:pPr>
        <w:spacing w:line="480" w:lineRule="exact"/>
        <w:ind w:left="0" w:leftChars="-3" w:hanging="7" w:hangingChars="3"/>
        <w:jc w:val="center"/>
        <w:rPr>
          <w:rFonts w:ascii="Times New Roman"/>
          <w:b/>
          <w:kern w:val="0"/>
          <w:sz w:val="24"/>
          <w:szCs w:val="24"/>
          <w:lang w:val="en-GB"/>
        </w:rPr>
      </w:pPr>
      <w:r>
        <w:rPr>
          <w:rFonts w:ascii="Times New Roman"/>
          <w:b/>
          <w:kern w:val="0"/>
          <w:sz w:val="24"/>
          <w:szCs w:val="24"/>
        </w:rPr>
        <w:t xml:space="preserve">表2.5-1  </w:t>
      </w:r>
      <w:r>
        <w:rPr>
          <w:rFonts w:ascii="Times New Roman"/>
          <w:b/>
          <w:kern w:val="0"/>
          <w:sz w:val="24"/>
          <w:szCs w:val="24"/>
          <w:lang w:val="en-GB"/>
        </w:rPr>
        <w:t>环境空气评价工作等级判据</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9"/>
        <w:gridCol w:w="4269"/>
      </w:tblGrid>
      <w:tr w14:paraId="2A5C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97" w:type="pct"/>
            <w:shd w:val="clear" w:color="auto" w:fill="auto"/>
            <w:vAlign w:val="center"/>
          </w:tcPr>
          <w:p w14:paraId="31DD3A34">
            <w:pPr>
              <w:jc w:val="center"/>
              <w:rPr>
                <w:rFonts w:ascii="Times New Roman"/>
                <w:sz w:val="21"/>
                <w:szCs w:val="21"/>
              </w:rPr>
            </w:pPr>
            <w:r>
              <w:rPr>
                <w:rFonts w:ascii="Times New Roman"/>
                <w:sz w:val="21"/>
                <w:szCs w:val="21"/>
              </w:rPr>
              <w:t>评价工作等级</w:t>
            </w:r>
          </w:p>
        </w:tc>
        <w:tc>
          <w:tcPr>
            <w:tcW w:w="2503" w:type="pct"/>
            <w:shd w:val="clear" w:color="auto" w:fill="auto"/>
            <w:vAlign w:val="center"/>
          </w:tcPr>
          <w:p w14:paraId="047EFB06">
            <w:pPr>
              <w:jc w:val="center"/>
              <w:rPr>
                <w:rFonts w:ascii="Times New Roman"/>
                <w:sz w:val="21"/>
                <w:szCs w:val="21"/>
              </w:rPr>
            </w:pPr>
            <w:r>
              <w:rPr>
                <w:rFonts w:ascii="Times New Roman"/>
                <w:sz w:val="21"/>
                <w:szCs w:val="21"/>
              </w:rPr>
              <w:t>评价工作分级判据</w:t>
            </w:r>
          </w:p>
        </w:tc>
      </w:tr>
      <w:tr w14:paraId="2312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97" w:type="pct"/>
            <w:shd w:val="clear" w:color="auto" w:fill="auto"/>
            <w:vAlign w:val="center"/>
          </w:tcPr>
          <w:p w14:paraId="62ADF911">
            <w:pPr>
              <w:jc w:val="center"/>
              <w:rPr>
                <w:rFonts w:ascii="Times New Roman"/>
                <w:sz w:val="21"/>
                <w:szCs w:val="21"/>
              </w:rPr>
            </w:pPr>
            <w:r>
              <w:rPr>
                <w:rFonts w:ascii="Times New Roman"/>
                <w:sz w:val="21"/>
                <w:szCs w:val="21"/>
              </w:rPr>
              <w:t>一级评价</w:t>
            </w:r>
          </w:p>
        </w:tc>
        <w:tc>
          <w:tcPr>
            <w:tcW w:w="2503" w:type="pct"/>
            <w:shd w:val="clear" w:color="auto" w:fill="auto"/>
            <w:vAlign w:val="center"/>
          </w:tcPr>
          <w:p w14:paraId="1DA42B02">
            <w:pPr>
              <w:jc w:val="center"/>
              <w:rPr>
                <w:rFonts w:ascii="Times New Roman"/>
                <w:sz w:val="21"/>
                <w:szCs w:val="21"/>
              </w:rPr>
            </w:pPr>
            <w:r>
              <w:rPr>
                <w:rFonts w:ascii="Times New Roman"/>
                <w:sz w:val="21"/>
                <w:szCs w:val="21"/>
              </w:rPr>
              <w:t>Pmax≧10%</w:t>
            </w:r>
          </w:p>
        </w:tc>
      </w:tr>
      <w:tr w14:paraId="23B1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97" w:type="pct"/>
            <w:shd w:val="clear" w:color="auto" w:fill="auto"/>
            <w:vAlign w:val="center"/>
          </w:tcPr>
          <w:p w14:paraId="4A77C8DD">
            <w:pPr>
              <w:jc w:val="center"/>
              <w:rPr>
                <w:rFonts w:ascii="Times New Roman"/>
                <w:sz w:val="21"/>
                <w:szCs w:val="21"/>
              </w:rPr>
            </w:pPr>
            <w:r>
              <w:rPr>
                <w:rFonts w:ascii="Times New Roman"/>
                <w:sz w:val="21"/>
                <w:szCs w:val="21"/>
              </w:rPr>
              <w:t>二级评价</w:t>
            </w:r>
          </w:p>
        </w:tc>
        <w:tc>
          <w:tcPr>
            <w:tcW w:w="2503" w:type="pct"/>
            <w:shd w:val="clear" w:color="auto" w:fill="auto"/>
            <w:vAlign w:val="center"/>
          </w:tcPr>
          <w:p w14:paraId="4339A822">
            <w:pPr>
              <w:jc w:val="center"/>
              <w:rPr>
                <w:rFonts w:ascii="Times New Roman"/>
                <w:sz w:val="21"/>
                <w:szCs w:val="21"/>
              </w:rPr>
            </w:pPr>
            <w:r>
              <w:rPr>
                <w:rFonts w:ascii="Times New Roman"/>
                <w:sz w:val="21"/>
                <w:szCs w:val="21"/>
              </w:rPr>
              <w:t>1%≦Pmax&lt;10%</w:t>
            </w:r>
          </w:p>
        </w:tc>
      </w:tr>
      <w:tr w14:paraId="0A91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97" w:type="pct"/>
            <w:shd w:val="clear" w:color="auto" w:fill="auto"/>
            <w:vAlign w:val="center"/>
          </w:tcPr>
          <w:p w14:paraId="5E2EF3E3">
            <w:pPr>
              <w:jc w:val="center"/>
              <w:rPr>
                <w:rFonts w:ascii="Times New Roman"/>
                <w:sz w:val="21"/>
                <w:szCs w:val="21"/>
              </w:rPr>
            </w:pPr>
            <w:r>
              <w:rPr>
                <w:rFonts w:ascii="Times New Roman"/>
                <w:sz w:val="21"/>
                <w:szCs w:val="21"/>
              </w:rPr>
              <w:t>三级评价</w:t>
            </w:r>
          </w:p>
        </w:tc>
        <w:tc>
          <w:tcPr>
            <w:tcW w:w="2503" w:type="pct"/>
            <w:shd w:val="clear" w:color="auto" w:fill="auto"/>
            <w:vAlign w:val="center"/>
          </w:tcPr>
          <w:p w14:paraId="712CC473">
            <w:pPr>
              <w:jc w:val="center"/>
              <w:rPr>
                <w:rFonts w:ascii="Times New Roman"/>
                <w:sz w:val="21"/>
                <w:szCs w:val="21"/>
              </w:rPr>
            </w:pPr>
            <w:r>
              <w:rPr>
                <w:rFonts w:ascii="Times New Roman"/>
                <w:sz w:val="21"/>
                <w:szCs w:val="21"/>
              </w:rPr>
              <w:t>Pmax&lt;1%</w:t>
            </w:r>
          </w:p>
        </w:tc>
      </w:tr>
    </w:tbl>
    <w:p w14:paraId="4148C5E7">
      <w:pPr>
        <w:spacing w:line="480" w:lineRule="exact"/>
        <w:ind w:firstLine="480" w:firstLineChars="200"/>
        <w:jc w:val="left"/>
        <w:rPr>
          <w:rFonts w:ascii="Times New Roman"/>
          <w:kern w:val="0"/>
          <w:sz w:val="24"/>
          <w:szCs w:val="24"/>
          <w:lang w:val="en-GB"/>
        </w:rPr>
      </w:pPr>
      <w:r>
        <w:rPr>
          <w:rFonts w:ascii="Times New Roman"/>
          <w:kern w:val="0"/>
          <w:sz w:val="24"/>
          <w:szCs w:val="24"/>
          <w:lang w:val="en-GB"/>
        </w:rPr>
        <w:t>（2）废气污染源参数</w:t>
      </w:r>
    </w:p>
    <w:p w14:paraId="7B1B5355">
      <w:pPr>
        <w:spacing w:line="480" w:lineRule="exact"/>
        <w:ind w:firstLine="480" w:firstLineChars="200"/>
        <w:jc w:val="left"/>
        <w:rPr>
          <w:rFonts w:ascii="Times New Roman"/>
          <w:sz w:val="24"/>
          <w:szCs w:val="24"/>
        </w:rPr>
      </w:pPr>
      <w:r>
        <w:rPr>
          <w:rFonts w:ascii="Times New Roman"/>
          <w:sz w:val="24"/>
          <w:szCs w:val="24"/>
        </w:rPr>
        <w:t>各污染源参数取值见表2.5-2、表2.5-3。</w:t>
      </w:r>
    </w:p>
    <w:p w14:paraId="3CCD45FE">
      <w:pPr>
        <w:spacing w:line="480" w:lineRule="exact"/>
        <w:ind w:firstLine="480" w:firstLineChars="200"/>
        <w:jc w:val="left"/>
        <w:rPr>
          <w:rFonts w:ascii="Times New Roman"/>
          <w:sz w:val="24"/>
          <w:szCs w:val="24"/>
        </w:rPr>
        <w:sectPr>
          <w:pgSz w:w="11906" w:h="16838"/>
          <w:pgMar w:top="1440" w:right="1797" w:bottom="1440" w:left="1797" w:header="1134" w:footer="1134" w:gutter="0"/>
          <w:cols w:space="720" w:num="1"/>
          <w:docGrid w:linePitch="340" w:charSpace="0"/>
        </w:sectPr>
      </w:pPr>
    </w:p>
    <w:p w14:paraId="7556B764">
      <w:pPr>
        <w:spacing w:line="480" w:lineRule="exact"/>
        <w:ind w:firstLine="482" w:firstLineChars="200"/>
        <w:jc w:val="center"/>
        <w:rPr>
          <w:rFonts w:ascii="Times New Roman"/>
          <w:b/>
          <w:sz w:val="24"/>
          <w:szCs w:val="24"/>
        </w:rPr>
      </w:pPr>
      <w:r>
        <w:rPr>
          <w:rFonts w:ascii="Times New Roman"/>
          <w:b/>
          <w:sz w:val="24"/>
          <w:szCs w:val="24"/>
        </w:rPr>
        <w:t>表2.5-2  主要废气污染源参数一览表（点源）</w:t>
      </w:r>
    </w:p>
    <w:tbl>
      <w:tblPr>
        <w:tblStyle w:val="84"/>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2051"/>
        <w:gridCol w:w="1619"/>
        <w:gridCol w:w="1653"/>
        <w:gridCol w:w="1282"/>
        <w:gridCol w:w="816"/>
        <w:gridCol w:w="749"/>
        <w:gridCol w:w="833"/>
        <w:gridCol w:w="917"/>
        <w:gridCol w:w="648"/>
        <w:gridCol w:w="1349"/>
        <w:gridCol w:w="1049"/>
      </w:tblGrid>
      <w:tr w14:paraId="218E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blHeader/>
          <w:jc w:val="center"/>
        </w:trPr>
        <w:tc>
          <w:tcPr>
            <w:tcW w:w="1106" w:type="pct"/>
            <w:gridSpan w:val="2"/>
            <w:vMerge w:val="restart"/>
            <w:vAlign w:val="center"/>
          </w:tcPr>
          <w:p w14:paraId="2D6C9962">
            <w:pPr>
              <w:spacing w:line="280" w:lineRule="exact"/>
              <w:jc w:val="center"/>
              <w:rPr>
                <w:rFonts w:ascii="Times New Roman"/>
                <w:sz w:val="21"/>
                <w:szCs w:val="21"/>
              </w:rPr>
            </w:pPr>
            <w:r>
              <w:rPr>
                <w:rFonts w:ascii="Times New Roman"/>
                <w:sz w:val="21"/>
                <w:szCs w:val="21"/>
              </w:rPr>
              <w:t>污染源名称</w:t>
            </w:r>
          </w:p>
        </w:tc>
        <w:tc>
          <w:tcPr>
            <w:tcW w:w="1164" w:type="pct"/>
            <w:gridSpan w:val="2"/>
            <w:vAlign w:val="center"/>
          </w:tcPr>
          <w:p w14:paraId="112EC60A">
            <w:pPr>
              <w:spacing w:line="280" w:lineRule="exact"/>
              <w:jc w:val="center"/>
              <w:rPr>
                <w:rFonts w:ascii="Times New Roman"/>
                <w:sz w:val="21"/>
                <w:szCs w:val="21"/>
              </w:rPr>
            </w:pPr>
            <w:r>
              <w:rPr>
                <w:rFonts w:ascii="Times New Roman"/>
                <w:sz w:val="21"/>
                <w:szCs w:val="21"/>
              </w:rPr>
              <w:t>排气筒底部坐标（°）</w:t>
            </w:r>
          </w:p>
        </w:tc>
        <w:tc>
          <w:tcPr>
            <w:tcW w:w="457" w:type="pct"/>
            <w:vMerge w:val="restart"/>
            <w:vAlign w:val="center"/>
          </w:tcPr>
          <w:p w14:paraId="068FF7E0">
            <w:pPr>
              <w:spacing w:line="280" w:lineRule="exact"/>
              <w:jc w:val="center"/>
              <w:rPr>
                <w:rFonts w:ascii="Times New Roman"/>
                <w:sz w:val="21"/>
                <w:szCs w:val="21"/>
              </w:rPr>
            </w:pPr>
            <w:r>
              <w:rPr>
                <w:rFonts w:ascii="Times New Roman"/>
                <w:sz w:val="21"/>
                <w:szCs w:val="21"/>
              </w:rPr>
              <w:t>排气筒底部海拔高度（m）</w:t>
            </w:r>
          </w:p>
        </w:tc>
        <w:tc>
          <w:tcPr>
            <w:tcW w:w="1182" w:type="pct"/>
            <w:gridSpan w:val="4"/>
            <w:vAlign w:val="center"/>
          </w:tcPr>
          <w:p w14:paraId="57A5AEBA">
            <w:pPr>
              <w:spacing w:line="280" w:lineRule="exact"/>
              <w:jc w:val="center"/>
              <w:rPr>
                <w:rFonts w:ascii="Times New Roman"/>
                <w:sz w:val="21"/>
                <w:szCs w:val="21"/>
              </w:rPr>
            </w:pPr>
            <w:r>
              <w:rPr>
                <w:rFonts w:ascii="Times New Roman"/>
                <w:sz w:val="21"/>
                <w:szCs w:val="21"/>
              </w:rPr>
              <w:t>排气筒参数</w:t>
            </w:r>
          </w:p>
        </w:tc>
        <w:tc>
          <w:tcPr>
            <w:tcW w:w="231" w:type="pct"/>
            <w:vMerge w:val="restart"/>
            <w:vAlign w:val="center"/>
          </w:tcPr>
          <w:p w14:paraId="73F998EB">
            <w:pPr>
              <w:spacing w:line="280" w:lineRule="exact"/>
              <w:jc w:val="center"/>
              <w:rPr>
                <w:rFonts w:ascii="Times New Roman"/>
                <w:sz w:val="21"/>
                <w:szCs w:val="21"/>
              </w:rPr>
            </w:pPr>
            <w:r>
              <w:rPr>
                <w:rFonts w:ascii="Times New Roman"/>
                <w:sz w:val="21"/>
                <w:szCs w:val="21"/>
              </w:rPr>
              <w:t>排放工况</w:t>
            </w:r>
          </w:p>
        </w:tc>
        <w:tc>
          <w:tcPr>
            <w:tcW w:w="481" w:type="pct"/>
            <w:vMerge w:val="restart"/>
            <w:vAlign w:val="center"/>
          </w:tcPr>
          <w:p w14:paraId="2D420B2B">
            <w:pPr>
              <w:spacing w:line="280" w:lineRule="exact"/>
              <w:jc w:val="center"/>
              <w:rPr>
                <w:rFonts w:ascii="Times New Roman"/>
                <w:sz w:val="21"/>
                <w:szCs w:val="21"/>
              </w:rPr>
            </w:pPr>
            <w:r>
              <w:rPr>
                <w:rFonts w:ascii="Times New Roman"/>
                <w:sz w:val="21"/>
                <w:szCs w:val="21"/>
              </w:rPr>
              <w:t>污染物名称</w:t>
            </w:r>
          </w:p>
        </w:tc>
        <w:tc>
          <w:tcPr>
            <w:tcW w:w="374" w:type="pct"/>
            <w:vMerge w:val="restart"/>
            <w:vAlign w:val="center"/>
          </w:tcPr>
          <w:p w14:paraId="059F4EE4">
            <w:pPr>
              <w:spacing w:line="280" w:lineRule="exact"/>
              <w:jc w:val="center"/>
              <w:rPr>
                <w:rFonts w:ascii="Times New Roman"/>
                <w:sz w:val="21"/>
                <w:szCs w:val="21"/>
              </w:rPr>
            </w:pPr>
            <w:r>
              <w:rPr>
                <w:rFonts w:ascii="Times New Roman"/>
                <w:sz w:val="21"/>
                <w:szCs w:val="21"/>
              </w:rPr>
              <w:t>排放速率(kg/h)</w:t>
            </w:r>
          </w:p>
        </w:tc>
      </w:tr>
      <w:tr w14:paraId="6825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1106" w:type="pct"/>
            <w:gridSpan w:val="2"/>
            <w:vMerge w:val="continue"/>
            <w:vAlign w:val="center"/>
          </w:tcPr>
          <w:p w14:paraId="612CAFDB">
            <w:pPr>
              <w:spacing w:line="280" w:lineRule="exact"/>
              <w:jc w:val="center"/>
              <w:rPr>
                <w:rFonts w:ascii="Times New Roman"/>
                <w:sz w:val="21"/>
                <w:szCs w:val="21"/>
              </w:rPr>
            </w:pPr>
          </w:p>
        </w:tc>
        <w:tc>
          <w:tcPr>
            <w:tcW w:w="576" w:type="pct"/>
            <w:vAlign w:val="center"/>
          </w:tcPr>
          <w:p w14:paraId="5023336F">
            <w:pPr>
              <w:spacing w:line="280" w:lineRule="exact"/>
              <w:jc w:val="center"/>
              <w:rPr>
                <w:rFonts w:ascii="Times New Roman"/>
                <w:sz w:val="21"/>
                <w:szCs w:val="21"/>
              </w:rPr>
            </w:pPr>
            <w:r>
              <w:rPr>
                <w:rFonts w:ascii="Times New Roman"/>
                <w:sz w:val="21"/>
                <w:szCs w:val="21"/>
              </w:rPr>
              <w:t>经度</w:t>
            </w:r>
          </w:p>
        </w:tc>
        <w:tc>
          <w:tcPr>
            <w:tcW w:w="588" w:type="pct"/>
            <w:vAlign w:val="center"/>
          </w:tcPr>
          <w:p w14:paraId="7618CA68">
            <w:pPr>
              <w:spacing w:line="280" w:lineRule="exact"/>
              <w:jc w:val="center"/>
              <w:rPr>
                <w:rFonts w:ascii="Times New Roman"/>
                <w:sz w:val="21"/>
                <w:szCs w:val="21"/>
              </w:rPr>
            </w:pPr>
            <w:r>
              <w:rPr>
                <w:rFonts w:ascii="Times New Roman"/>
                <w:sz w:val="21"/>
                <w:szCs w:val="21"/>
              </w:rPr>
              <w:t>纬度</w:t>
            </w:r>
          </w:p>
        </w:tc>
        <w:tc>
          <w:tcPr>
            <w:tcW w:w="457" w:type="pct"/>
            <w:vMerge w:val="continue"/>
            <w:vAlign w:val="center"/>
          </w:tcPr>
          <w:p w14:paraId="43170D8D">
            <w:pPr>
              <w:spacing w:line="280" w:lineRule="exact"/>
              <w:jc w:val="center"/>
              <w:rPr>
                <w:rFonts w:ascii="Times New Roman"/>
                <w:sz w:val="21"/>
                <w:szCs w:val="21"/>
              </w:rPr>
            </w:pPr>
          </w:p>
        </w:tc>
        <w:tc>
          <w:tcPr>
            <w:tcW w:w="291" w:type="pct"/>
            <w:vAlign w:val="center"/>
          </w:tcPr>
          <w:p w14:paraId="29B260D1">
            <w:pPr>
              <w:spacing w:line="280" w:lineRule="exact"/>
              <w:jc w:val="center"/>
              <w:rPr>
                <w:rFonts w:ascii="Times New Roman"/>
                <w:sz w:val="21"/>
                <w:szCs w:val="21"/>
              </w:rPr>
            </w:pPr>
            <w:r>
              <w:rPr>
                <w:rFonts w:ascii="Times New Roman"/>
                <w:sz w:val="21"/>
                <w:szCs w:val="21"/>
              </w:rPr>
              <w:t>高度（m）</w:t>
            </w:r>
          </w:p>
        </w:tc>
        <w:tc>
          <w:tcPr>
            <w:tcW w:w="267" w:type="pct"/>
            <w:vAlign w:val="center"/>
          </w:tcPr>
          <w:p w14:paraId="28409F97">
            <w:pPr>
              <w:spacing w:line="280" w:lineRule="exact"/>
              <w:jc w:val="center"/>
              <w:rPr>
                <w:rFonts w:ascii="Times New Roman"/>
                <w:sz w:val="21"/>
                <w:szCs w:val="21"/>
              </w:rPr>
            </w:pPr>
            <w:r>
              <w:rPr>
                <w:rFonts w:ascii="Times New Roman"/>
                <w:sz w:val="21"/>
                <w:szCs w:val="21"/>
              </w:rPr>
              <w:t>内径（m）</w:t>
            </w:r>
          </w:p>
        </w:tc>
        <w:tc>
          <w:tcPr>
            <w:tcW w:w="297" w:type="pct"/>
            <w:vAlign w:val="center"/>
          </w:tcPr>
          <w:p w14:paraId="2C4F6EBF">
            <w:pPr>
              <w:spacing w:line="280" w:lineRule="exact"/>
              <w:jc w:val="center"/>
              <w:rPr>
                <w:rFonts w:ascii="Times New Roman"/>
                <w:sz w:val="21"/>
                <w:szCs w:val="21"/>
              </w:rPr>
            </w:pPr>
            <w:r>
              <w:rPr>
                <w:rFonts w:ascii="Times New Roman"/>
                <w:sz w:val="21"/>
                <w:szCs w:val="21"/>
              </w:rPr>
              <w:t>温度（℃）</w:t>
            </w:r>
          </w:p>
        </w:tc>
        <w:tc>
          <w:tcPr>
            <w:tcW w:w="326" w:type="pct"/>
            <w:vAlign w:val="center"/>
          </w:tcPr>
          <w:p w14:paraId="15B7CCDE">
            <w:pPr>
              <w:spacing w:line="280" w:lineRule="exact"/>
              <w:jc w:val="center"/>
              <w:rPr>
                <w:rFonts w:ascii="Times New Roman"/>
                <w:sz w:val="21"/>
                <w:szCs w:val="21"/>
              </w:rPr>
            </w:pPr>
            <w:r>
              <w:rPr>
                <w:rFonts w:ascii="Times New Roman"/>
                <w:sz w:val="21"/>
                <w:szCs w:val="21"/>
              </w:rPr>
              <w:t>流速（m/s）</w:t>
            </w:r>
          </w:p>
        </w:tc>
        <w:tc>
          <w:tcPr>
            <w:tcW w:w="231" w:type="pct"/>
            <w:vMerge w:val="continue"/>
            <w:vAlign w:val="center"/>
          </w:tcPr>
          <w:p w14:paraId="2F45037C">
            <w:pPr>
              <w:spacing w:line="280" w:lineRule="exact"/>
              <w:jc w:val="center"/>
              <w:rPr>
                <w:rFonts w:ascii="Times New Roman"/>
                <w:sz w:val="21"/>
                <w:szCs w:val="21"/>
              </w:rPr>
            </w:pPr>
          </w:p>
        </w:tc>
        <w:tc>
          <w:tcPr>
            <w:tcW w:w="481" w:type="pct"/>
            <w:vMerge w:val="continue"/>
            <w:vAlign w:val="center"/>
          </w:tcPr>
          <w:p w14:paraId="3C725600">
            <w:pPr>
              <w:spacing w:line="280" w:lineRule="exact"/>
              <w:jc w:val="center"/>
              <w:rPr>
                <w:rFonts w:ascii="Times New Roman"/>
                <w:sz w:val="21"/>
                <w:szCs w:val="21"/>
              </w:rPr>
            </w:pPr>
          </w:p>
        </w:tc>
        <w:tc>
          <w:tcPr>
            <w:tcW w:w="374" w:type="pct"/>
            <w:vMerge w:val="continue"/>
            <w:vAlign w:val="center"/>
          </w:tcPr>
          <w:p w14:paraId="2BDF645D">
            <w:pPr>
              <w:spacing w:line="280" w:lineRule="exact"/>
              <w:jc w:val="center"/>
              <w:rPr>
                <w:rFonts w:ascii="Times New Roman"/>
                <w:sz w:val="21"/>
                <w:szCs w:val="21"/>
              </w:rPr>
            </w:pPr>
          </w:p>
        </w:tc>
      </w:tr>
      <w:tr w14:paraId="3BDF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6" w:type="pct"/>
            <w:shd w:val="clear" w:color="auto" w:fill="auto"/>
            <w:noWrap/>
            <w:vAlign w:val="center"/>
          </w:tcPr>
          <w:p w14:paraId="60627C67">
            <w:pPr>
              <w:spacing w:line="280" w:lineRule="exact"/>
              <w:jc w:val="center"/>
              <w:rPr>
                <w:rFonts w:ascii="Times New Roman"/>
                <w:sz w:val="21"/>
                <w:szCs w:val="21"/>
              </w:rPr>
            </w:pPr>
            <w:r>
              <w:rPr>
                <w:rFonts w:ascii="Times New Roman"/>
                <w:sz w:val="21"/>
                <w:szCs w:val="21"/>
              </w:rPr>
              <w:t>下料生产线</w:t>
            </w:r>
          </w:p>
        </w:tc>
        <w:tc>
          <w:tcPr>
            <w:tcW w:w="729" w:type="pct"/>
            <w:vAlign w:val="center"/>
          </w:tcPr>
          <w:p w14:paraId="1C26A56D">
            <w:pPr>
              <w:spacing w:line="280" w:lineRule="exact"/>
              <w:jc w:val="center"/>
              <w:rPr>
                <w:rFonts w:ascii="Times New Roman"/>
                <w:sz w:val="21"/>
                <w:szCs w:val="21"/>
              </w:rPr>
            </w:pPr>
            <w:r>
              <w:rPr>
                <w:rFonts w:hint="eastAsia" w:ascii="Times New Roman"/>
                <w:sz w:val="21"/>
                <w:szCs w:val="21"/>
              </w:rPr>
              <w:t>下料DA00</w:t>
            </w:r>
            <w:r>
              <w:rPr>
                <w:rFonts w:ascii="Times New Roman"/>
                <w:sz w:val="21"/>
                <w:szCs w:val="21"/>
              </w:rPr>
              <w:t>1</w:t>
            </w:r>
          </w:p>
        </w:tc>
        <w:tc>
          <w:tcPr>
            <w:tcW w:w="576" w:type="pct"/>
            <w:vAlign w:val="center"/>
          </w:tcPr>
          <w:p w14:paraId="15570123">
            <w:pPr>
              <w:spacing w:line="280" w:lineRule="exact"/>
              <w:jc w:val="center"/>
              <w:rPr>
                <w:rFonts w:ascii="Times New Roman"/>
                <w:sz w:val="21"/>
                <w:szCs w:val="21"/>
              </w:rPr>
            </w:pPr>
            <w:r>
              <w:rPr>
                <w:rFonts w:ascii="Times New Roman"/>
                <w:sz w:val="21"/>
                <w:szCs w:val="21"/>
              </w:rPr>
              <w:t>118.512310</w:t>
            </w:r>
          </w:p>
        </w:tc>
        <w:tc>
          <w:tcPr>
            <w:tcW w:w="588" w:type="pct"/>
            <w:vAlign w:val="center"/>
          </w:tcPr>
          <w:p w14:paraId="7E2EC514">
            <w:pPr>
              <w:spacing w:line="280" w:lineRule="exact"/>
              <w:jc w:val="center"/>
              <w:rPr>
                <w:rFonts w:ascii="Times New Roman"/>
                <w:sz w:val="21"/>
                <w:szCs w:val="21"/>
              </w:rPr>
            </w:pPr>
            <w:r>
              <w:rPr>
                <w:rFonts w:ascii="Times New Roman"/>
                <w:sz w:val="21"/>
                <w:szCs w:val="21"/>
              </w:rPr>
              <w:t>39.086819</w:t>
            </w:r>
          </w:p>
        </w:tc>
        <w:tc>
          <w:tcPr>
            <w:tcW w:w="457" w:type="pct"/>
            <w:vAlign w:val="center"/>
          </w:tcPr>
          <w:p w14:paraId="6F8B62C7">
            <w:pPr>
              <w:spacing w:line="280" w:lineRule="exact"/>
              <w:jc w:val="center"/>
              <w:rPr>
                <w:rFonts w:ascii="Times New Roman"/>
                <w:sz w:val="21"/>
                <w:szCs w:val="21"/>
              </w:rPr>
            </w:pPr>
            <w:r>
              <w:rPr>
                <w:rFonts w:ascii="Times New Roman"/>
                <w:sz w:val="21"/>
                <w:szCs w:val="21"/>
              </w:rPr>
              <w:t>0</w:t>
            </w:r>
          </w:p>
        </w:tc>
        <w:tc>
          <w:tcPr>
            <w:tcW w:w="291" w:type="pct"/>
            <w:vAlign w:val="center"/>
          </w:tcPr>
          <w:p w14:paraId="41A78FEB">
            <w:pPr>
              <w:spacing w:line="280" w:lineRule="exact"/>
              <w:jc w:val="center"/>
              <w:rPr>
                <w:rFonts w:ascii="Times New Roman"/>
                <w:sz w:val="21"/>
                <w:szCs w:val="21"/>
              </w:rPr>
            </w:pPr>
            <w:r>
              <w:rPr>
                <w:rFonts w:ascii="Times New Roman"/>
                <w:sz w:val="21"/>
                <w:szCs w:val="21"/>
              </w:rPr>
              <w:t>20</w:t>
            </w:r>
          </w:p>
        </w:tc>
        <w:tc>
          <w:tcPr>
            <w:tcW w:w="267" w:type="pct"/>
            <w:vAlign w:val="center"/>
          </w:tcPr>
          <w:p w14:paraId="3AE0F36D">
            <w:pPr>
              <w:spacing w:line="280" w:lineRule="exact"/>
              <w:jc w:val="center"/>
              <w:rPr>
                <w:rFonts w:ascii="Times New Roman"/>
                <w:sz w:val="21"/>
                <w:szCs w:val="21"/>
              </w:rPr>
            </w:pPr>
            <w:r>
              <w:rPr>
                <w:rFonts w:ascii="Times New Roman"/>
                <w:sz w:val="21"/>
                <w:szCs w:val="21"/>
              </w:rPr>
              <w:t>0.7</w:t>
            </w:r>
          </w:p>
        </w:tc>
        <w:tc>
          <w:tcPr>
            <w:tcW w:w="297" w:type="pct"/>
            <w:vAlign w:val="center"/>
          </w:tcPr>
          <w:p w14:paraId="362FBB8C">
            <w:pPr>
              <w:spacing w:line="280" w:lineRule="exact"/>
              <w:jc w:val="center"/>
              <w:rPr>
                <w:rFonts w:ascii="Times New Roman"/>
                <w:sz w:val="21"/>
                <w:szCs w:val="21"/>
              </w:rPr>
            </w:pPr>
            <w:r>
              <w:rPr>
                <w:rFonts w:ascii="Times New Roman"/>
                <w:sz w:val="21"/>
                <w:szCs w:val="21"/>
              </w:rPr>
              <w:t>25</w:t>
            </w:r>
          </w:p>
        </w:tc>
        <w:tc>
          <w:tcPr>
            <w:tcW w:w="326" w:type="pct"/>
            <w:vAlign w:val="center"/>
          </w:tcPr>
          <w:p w14:paraId="1306838C">
            <w:pPr>
              <w:spacing w:line="280" w:lineRule="exact"/>
              <w:jc w:val="center"/>
              <w:rPr>
                <w:rFonts w:ascii="Times New Roman"/>
                <w:sz w:val="21"/>
                <w:szCs w:val="21"/>
              </w:rPr>
            </w:pPr>
            <w:r>
              <w:rPr>
                <w:rFonts w:ascii="Times New Roman"/>
                <w:sz w:val="21"/>
                <w:szCs w:val="21"/>
              </w:rPr>
              <w:t>14.4</w:t>
            </w:r>
          </w:p>
        </w:tc>
        <w:tc>
          <w:tcPr>
            <w:tcW w:w="231" w:type="pct"/>
            <w:vMerge w:val="restart"/>
            <w:vAlign w:val="center"/>
          </w:tcPr>
          <w:p w14:paraId="4A38A9FD">
            <w:pPr>
              <w:spacing w:line="280" w:lineRule="exact"/>
              <w:jc w:val="center"/>
              <w:rPr>
                <w:rFonts w:ascii="Times New Roman"/>
                <w:sz w:val="21"/>
                <w:szCs w:val="21"/>
              </w:rPr>
            </w:pPr>
            <w:r>
              <w:rPr>
                <w:rFonts w:ascii="Times New Roman"/>
                <w:sz w:val="21"/>
                <w:szCs w:val="21"/>
              </w:rPr>
              <w:t>正常工况</w:t>
            </w:r>
          </w:p>
        </w:tc>
        <w:tc>
          <w:tcPr>
            <w:tcW w:w="481" w:type="pct"/>
            <w:shd w:val="clear" w:color="auto" w:fill="auto"/>
            <w:vAlign w:val="center"/>
          </w:tcPr>
          <w:p w14:paraId="0AF51FD8">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5A897DDB">
            <w:pPr>
              <w:jc w:val="center"/>
              <w:rPr>
                <w:rFonts w:ascii="Times New Roman"/>
                <w:sz w:val="21"/>
                <w:szCs w:val="21"/>
                <w:lang w:bidi="zh-TW"/>
              </w:rPr>
            </w:pPr>
            <w:r>
              <w:rPr>
                <w:rFonts w:ascii="Times New Roman"/>
                <w:sz w:val="21"/>
                <w:szCs w:val="21"/>
              </w:rPr>
              <w:t>0.13</w:t>
            </w:r>
            <w:r>
              <w:rPr>
                <w:rFonts w:hint="eastAsia" w:ascii="Times New Roman"/>
                <w:sz w:val="21"/>
                <w:szCs w:val="21"/>
              </w:rPr>
              <w:t>2</w:t>
            </w:r>
          </w:p>
        </w:tc>
      </w:tr>
      <w:tr w14:paraId="1A5F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76" w:type="pct"/>
            <w:vMerge w:val="restart"/>
            <w:shd w:val="clear" w:color="auto" w:fill="auto"/>
            <w:noWrap/>
            <w:vAlign w:val="center"/>
          </w:tcPr>
          <w:p w14:paraId="558A109E">
            <w:pPr>
              <w:spacing w:line="280" w:lineRule="exact"/>
              <w:jc w:val="center"/>
              <w:rPr>
                <w:rFonts w:ascii="Times New Roman"/>
                <w:sz w:val="21"/>
                <w:szCs w:val="21"/>
              </w:rPr>
            </w:pPr>
            <w:r>
              <w:rPr>
                <w:rFonts w:ascii="Times New Roman"/>
                <w:sz w:val="21"/>
                <w:szCs w:val="21"/>
              </w:rPr>
              <w:t>焊接、滚筒生产线</w:t>
            </w:r>
          </w:p>
        </w:tc>
        <w:tc>
          <w:tcPr>
            <w:tcW w:w="729" w:type="pct"/>
            <w:vAlign w:val="center"/>
          </w:tcPr>
          <w:p w14:paraId="33BB9D3B">
            <w:pPr>
              <w:spacing w:line="280" w:lineRule="exact"/>
              <w:jc w:val="center"/>
              <w:rPr>
                <w:rFonts w:ascii="Times New Roman"/>
                <w:sz w:val="21"/>
                <w:szCs w:val="21"/>
              </w:rPr>
            </w:pPr>
            <w:r>
              <w:rPr>
                <w:rFonts w:hint="eastAsia" w:ascii="Times New Roman"/>
                <w:sz w:val="21"/>
                <w:szCs w:val="21"/>
              </w:rPr>
              <w:t>焊接DA002</w:t>
            </w:r>
          </w:p>
        </w:tc>
        <w:tc>
          <w:tcPr>
            <w:tcW w:w="576" w:type="pct"/>
            <w:vAlign w:val="center"/>
          </w:tcPr>
          <w:p w14:paraId="68E46EF4">
            <w:pPr>
              <w:spacing w:line="280" w:lineRule="exact"/>
              <w:jc w:val="center"/>
              <w:rPr>
                <w:rFonts w:ascii="Times New Roman"/>
                <w:sz w:val="21"/>
                <w:szCs w:val="21"/>
              </w:rPr>
            </w:pPr>
            <w:r>
              <w:rPr>
                <w:rFonts w:ascii="Times New Roman"/>
                <w:sz w:val="21"/>
                <w:szCs w:val="21"/>
              </w:rPr>
              <w:t>118.511270</w:t>
            </w:r>
          </w:p>
        </w:tc>
        <w:tc>
          <w:tcPr>
            <w:tcW w:w="588" w:type="pct"/>
            <w:vAlign w:val="center"/>
          </w:tcPr>
          <w:p w14:paraId="1B85DB13">
            <w:pPr>
              <w:spacing w:line="280" w:lineRule="exact"/>
              <w:jc w:val="center"/>
              <w:rPr>
                <w:rFonts w:ascii="Times New Roman"/>
                <w:sz w:val="21"/>
                <w:szCs w:val="21"/>
              </w:rPr>
            </w:pPr>
            <w:r>
              <w:rPr>
                <w:rFonts w:ascii="Times New Roman"/>
                <w:sz w:val="21"/>
                <w:szCs w:val="21"/>
              </w:rPr>
              <w:t>39.087560</w:t>
            </w:r>
          </w:p>
        </w:tc>
        <w:tc>
          <w:tcPr>
            <w:tcW w:w="457" w:type="pct"/>
            <w:vAlign w:val="center"/>
          </w:tcPr>
          <w:p w14:paraId="7CF3CD74">
            <w:pPr>
              <w:spacing w:line="280" w:lineRule="exact"/>
              <w:jc w:val="center"/>
              <w:rPr>
                <w:rFonts w:ascii="Times New Roman"/>
                <w:sz w:val="21"/>
                <w:szCs w:val="21"/>
              </w:rPr>
            </w:pPr>
            <w:r>
              <w:rPr>
                <w:rFonts w:hint="eastAsia" w:ascii="Times New Roman"/>
                <w:sz w:val="21"/>
                <w:szCs w:val="21"/>
              </w:rPr>
              <w:t>0</w:t>
            </w:r>
          </w:p>
        </w:tc>
        <w:tc>
          <w:tcPr>
            <w:tcW w:w="291" w:type="pct"/>
            <w:shd w:val="clear" w:color="auto" w:fill="auto"/>
            <w:vAlign w:val="center"/>
          </w:tcPr>
          <w:p w14:paraId="09EB2425">
            <w:pPr>
              <w:jc w:val="center"/>
              <w:rPr>
                <w:rFonts w:ascii="Times New Roman"/>
                <w:sz w:val="21"/>
                <w:szCs w:val="21"/>
              </w:rPr>
            </w:pPr>
            <w:r>
              <w:rPr>
                <w:rFonts w:ascii="Times New Roman"/>
                <w:sz w:val="21"/>
                <w:szCs w:val="21"/>
              </w:rPr>
              <w:t>20</w:t>
            </w:r>
          </w:p>
        </w:tc>
        <w:tc>
          <w:tcPr>
            <w:tcW w:w="267" w:type="pct"/>
            <w:shd w:val="clear" w:color="auto" w:fill="auto"/>
            <w:vAlign w:val="center"/>
          </w:tcPr>
          <w:p w14:paraId="6DAC300D">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6</w:t>
            </w:r>
          </w:p>
        </w:tc>
        <w:tc>
          <w:tcPr>
            <w:tcW w:w="297" w:type="pct"/>
            <w:shd w:val="clear" w:color="auto" w:fill="auto"/>
            <w:vAlign w:val="center"/>
          </w:tcPr>
          <w:p w14:paraId="0AC18113">
            <w:pPr>
              <w:jc w:val="center"/>
              <w:rPr>
                <w:rFonts w:ascii="Times New Roman" w:eastAsia="Times New Roman"/>
                <w:sz w:val="21"/>
                <w:szCs w:val="21"/>
              </w:rPr>
            </w:pPr>
            <w:r>
              <w:rPr>
                <w:rFonts w:ascii="Times New Roman" w:eastAsia="Times New Roman"/>
                <w:sz w:val="21"/>
                <w:szCs w:val="21"/>
              </w:rPr>
              <w:t>25</w:t>
            </w:r>
          </w:p>
        </w:tc>
        <w:tc>
          <w:tcPr>
            <w:tcW w:w="326" w:type="pct"/>
            <w:vAlign w:val="center"/>
          </w:tcPr>
          <w:p w14:paraId="369D3007">
            <w:pPr>
              <w:spacing w:line="280" w:lineRule="exact"/>
              <w:jc w:val="center"/>
              <w:rPr>
                <w:rFonts w:ascii="Times New Roman"/>
                <w:sz w:val="21"/>
                <w:szCs w:val="21"/>
              </w:rPr>
            </w:pPr>
            <w:r>
              <w:rPr>
                <w:rFonts w:hint="eastAsia" w:ascii="Times New Roman"/>
                <w:sz w:val="21"/>
                <w:szCs w:val="21"/>
              </w:rPr>
              <w:t>14.7</w:t>
            </w:r>
          </w:p>
        </w:tc>
        <w:tc>
          <w:tcPr>
            <w:tcW w:w="231" w:type="pct"/>
            <w:vMerge w:val="continue"/>
            <w:vAlign w:val="center"/>
          </w:tcPr>
          <w:p w14:paraId="2727AAE2">
            <w:pPr>
              <w:spacing w:line="280" w:lineRule="exact"/>
              <w:jc w:val="center"/>
              <w:rPr>
                <w:rFonts w:ascii="Times New Roman"/>
                <w:sz w:val="21"/>
                <w:szCs w:val="21"/>
              </w:rPr>
            </w:pPr>
          </w:p>
        </w:tc>
        <w:tc>
          <w:tcPr>
            <w:tcW w:w="481" w:type="pct"/>
            <w:shd w:val="clear" w:color="auto" w:fill="auto"/>
            <w:vAlign w:val="center"/>
          </w:tcPr>
          <w:p w14:paraId="1C887D7B">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3B09A29C">
            <w:pPr>
              <w:jc w:val="center"/>
              <w:rPr>
                <w:rFonts w:ascii="Times New Roman"/>
                <w:sz w:val="21"/>
                <w:szCs w:val="21"/>
                <w:lang w:bidi="zh-TW"/>
              </w:rPr>
            </w:pPr>
            <w:r>
              <w:rPr>
                <w:rFonts w:hint="eastAsia" w:ascii="Times New Roman"/>
                <w:sz w:val="21"/>
                <w:szCs w:val="21"/>
                <w:lang w:bidi="zh-TW"/>
              </w:rPr>
              <w:t>0.002</w:t>
            </w:r>
          </w:p>
        </w:tc>
      </w:tr>
      <w:tr w14:paraId="74ED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shd w:val="clear" w:color="auto" w:fill="auto"/>
            <w:noWrap/>
            <w:vAlign w:val="center"/>
          </w:tcPr>
          <w:p w14:paraId="256B8BC4">
            <w:pPr>
              <w:spacing w:line="280" w:lineRule="exact"/>
              <w:jc w:val="center"/>
              <w:rPr>
                <w:rFonts w:ascii="Times New Roman"/>
                <w:sz w:val="21"/>
                <w:szCs w:val="21"/>
              </w:rPr>
            </w:pPr>
          </w:p>
        </w:tc>
        <w:tc>
          <w:tcPr>
            <w:tcW w:w="729" w:type="pct"/>
            <w:vAlign w:val="center"/>
          </w:tcPr>
          <w:p w14:paraId="4CE22424">
            <w:pPr>
              <w:spacing w:line="280" w:lineRule="exact"/>
              <w:jc w:val="center"/>
              <w:rPr>
                <w:rFonts w:ascii="Times New Roman"/>
                <w:sz w:val="21"/>
                <w:szCs w:val="21"/>
              </w:rPr>
            </w:pPr>
            <w:r>
              <w:rPr>
                <w:rFonts w:hint="eastAsia" w:ascii="Times New Roman"/>
                <w:sz w:val="21"/>
                <w:szCs w:val="21"/>
              </w:rPr>
              <w:t>焊接DA003</w:t>
            </w:r>
          </w:p>
        </w:tc>
        <w:tc>
          <w:tcPr>
            <w:tcW w:w="576" w:type="pct"/>
            <w:vAlign w:val="center"/>
          </w:tcPr>
          <w:p w14:paraId="0F85009B">
            <w:pPr>
              <w:spacing w:line="280" w:lineRule="exact"/>
              <w:jc w:val="center"/>
              <w:rPr>
                <w:rFonts w:ascii="Times New Roman"/>
                <w:sz w:val="21"/>
                <w:szCs w:val="21"/>
              </w:rPr>
            </w:pPr>
            <w:r>
              <w:rPr>
                <w:rFonts w:ascii="Times New Roman"/>
                <w:sz w:val="21"/>
                <w:szCs w:val="21"/>
              </w:rPr>
              <w:t>118.511087</w:t>
            </w:r>
          </w:p>
        </w:tc>
        <w:tc>
          <w:tcPr>
            <w:tcW w:w="588" w:type="pct"/>
            <w:vAlign w:val="center"/>
          </w:tcPr>
          <w:p w14:paraId="52337A35">
            <w:pPr>
              <w:spacing w:line="280" w:lineRule="exact"/>
              <w:jc w:val="center"/>
              <w:rPr>
                <w:rFonts w:ascii="Times New Roman"/>
                <w:sz w:val="21"/>
                <w:szCs w:val="21"/>
              </w:rPr>
            </w:pPr>
            <w:r>
              <w:rPr>
                <w:rFonts w:ascii="Times New Roman"/>
                <w:sz w:val="21"/>
                <w:szCs w:val="21"/>
              </w:rPr>
              <w:t>39.089326</w:t>
            </w:r>
          </w:p>
        </w:tc>
        <w:tc>
          <w:tcPr>
            <w:tcW w:w="457" w:type="pct"/>
            <w:vAlign w:val="center"/>
          </w:tcPr>
          <w:p w14:paraId="039AAF43">
            <w:pPr>
              <w:spacing w:line="280" w:lineRule="exact"/>
              <w:jc w:val="center"/>
              <w:rPr>
                <w:rFonts w:ascii="Times New Roman"/>
                <w:sz w:val="21"/>
                <w:szCs w:val="21"/>
              </w:rPr>
            </w:pPr>
            <w:r>
              <w:rPr>
                <w:rFonts w:ascii="Times New Roman"/>
                <w:sz w:val="21"/>
                <w:szCs w:val="21"/>
              </w:rPr>
              <w:t>0</w:t>
            </w:r>
          </w:p>
        </w:tc>
        <w:tc>
          <w:tcPr>
            <w:tcW w:w="291" w:type="pct"/>
            <w:shd w:val="clear" w:color="auto" w:fill="auto"/>
            <w:vAlign w:val="center"/>
          </w:tcPr>
          <w:p w14:paraId="79D4043E">
            <w:pPr>
              <w:jc w:val="center"/>
              <w:rPr>
                <w:rFonts w:ascii="Times New Roman"/>
                <w:sz w:val="21"/>
                <w:szCs w:val="21"/>
              </w:rPr>
            </w:pPr>
            <w:r>
              <w:rPr>
                <w:rFonts w:ascii="Times New Roman"/>
                <w:sz w:val="21"/>
                <w:szCs w:val="21"/>
              </w:rPr>
              <w:t>20</w:t>
            </w:r>
          </w:p>
        </w:tc>
        <w:tc>
          <w:tcPr>
            <w:tcW w:w="267" w:type="pct"/>
            <w:shd w:val="clear" w:color="auto" w:fill="auto"/>
            <w:vAlign w:val="center"/>
          </w:tcPr>
          <w:p w14:paraId="263DB747">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6</w:t>
            </w:r>
          </w:p>
        </w:tc>
        <w:tc>
          <w:tcPr>
            <w:tcW w:w="297" w:type="pct"/>
            <w:shd w:val="clear" w:color="auto" w:fill="auto"/>
            <w:vAlign w:val="center"/>
          </w:tcPr>
          <w:p w14:paraId="5832B9EA">
            <w:pPr>
              <w:jc w:val="center"/>
              <w:rPr>
                <w:rFonts w:ascii="Times New Roman" w:eastAsia="Times New Roman"/>
                <w:sz w:val="21"/>
                <w:szCs w:val="21"/>
              </w:rPr>
            </w:pPr>
            <w:r>
              <w:rPr>
                <w:rFonts w:ascii="Times New Roman" w:eastAsia="Times New Roman"/>
                <w:sz w:val="21"/>
                <w:szCs w:val="21"/>
              </w:rPr>
              <w:t>25</w:t>
            </w:r>
          </w:p>
        </w:tc>
        <w:tc>
          <w:tcPr>
            <w:tcW w:w="326" w:type="pct"/>
            <w:vAlign w:val="center"/>
          </w:tcPr>
          <w:p w14:paraId="22E26559">
            <w:pPr>
              <w:spacing w:line="280" w:lineRule="exact"/>
              <w:jc w:val="center"/>
              <w:rPr>
                <w:rFonts w:ascii="Times New Roman"/>
                <w:sz w:val="21"/>
                <w:szCs w:val="21"/>
              </w:rPr>
            </w:pPr>
            <w:r>
              <w:rPr>
                <w:rFonts w:hint="eastAsia" w:ascii="Times New Roman"/>
                <w:sz w:val="21"/>
                <w:szCs w:val="21"/>
              </w:rPr>
              <w:t>14.7</w:t>
            </w:r>
          </w:p>
        </w:tc>
        <w:tc>
          <w:tcPr>
            <w:tcW w:w="231" w:type="pct"/>
            <w:vMerge w:val="continue"/>
            <w:vAlign w:val="center"/>
          </w:tcPr>
          <w:p w14:paraId="24B6C50A">
            <w:pPr>
              <w:spacing w:line="280" w:lineRule="exact"/>
              <w:jc w:val="center"/>
              <w:rPr>
                <w:rFonts w:ascii="Times New Roman"/>
                <w:sz w:val="21"/>
                <w:szCs w:val="21"/>
              </w:rPr>
            </w:pPr>
          </w:p>
        </w:tc>
        <w:tc>
          <w:tcPr>
            <w:tcW w:w="481" w:type="pct"/>
            <w:shd w:val="clear" w:color="auto" w:fill="auto"/>
            <w:vAlign w:val="center"/>
          </w:tcPr>
          <w:p w14:paraId="50453C72">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6E67F305">
            <w:pPr>
              <w:jc w:val="center"/>
              <w:rPr>
                <w:rFonts w:ascii="Times New Roman"/>
                <w:sz w:val="21"/>
                <w:szCs w:val="21"/>
                <w:lang w:bidi="zh-TW"/>
              </w:rPr>
            </w:pPr>
            <w:r>
              <w:rPr>
                <w:rFonts w:hint="eastAsia" w:ascii="Times New Roman"/>
                <w:sz w:val="21"/>
                <w:szCs w:val="21"/>
                <w:lang w:bidi="zh-TW"/>
              </w:rPr>
              <w:t>0.002</w:t>
            </w:r>
          </w:p>
        </w:tc>
      </w:tr>
      <w:tr w14:paraId="5C42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76" w:type="pct"/>
            <w:vMerge w:val="continue"/>
            <w:shd w:val="clear" w:color="auto" w:fill="auto"/>
            <w:noWrap/>
            <w:vAlign w:val="center"/>
          </w:tcPr>
          <w:p w14:paraId="193FAACC">
            <w:pPr>
              <w:spacing w:line="280" w:lineRule="exact"/>
              <w:jc w:val="center"/>
              <w:rPr>
                <w:rFonts w:ascii="Times New Roman"/>
                <w:sz w:val="21"/>
                <w:szCs w:val="21"/>
              </w:rPr>
            </w:pPr>
          </w:p>
        </w:tc>
        <w:tc>
          <w:tcPr>
            <w:tcW w:w="729" w:type="pct"/>
            <w:vAlign w:val="center"/>
          </w:tcPr>
          <w:p w14:paraId="1F6D0D93">
            <w:pPr>
              <w:spacing w:line="280" w:lineRule="exact"/>
              <w:jc w:val="center"/>
              <w:rPr>
                <w:rFonts w:ascii="Times New Roman"/>
                <w:sz w:val="21"/>
                <w:szCs w:val="21"/>
              </w:rPr>
            </w:pPr>
            <w:r>
              <w:rPr>
                <w:rFonts w:hint="eastAsia" w:ascii="Times New Roman"/>
                <w:sz w:val="21"/>
                <w:szCs w:val="21"/>
              </w:rPr>
              <w:t>焊接DA004</w:t>
            </w:r>
          </w:p>
        </w:tc>
        <w:tc>
          <w:tcPr>
            <w:tcW w:w="576" w:type="pct"/>
            <w:vAlign w:val="center"/>
          </w:tcPr>
          <w:p w14:paraId="37006131">
            <w:pPr>
              <w:spacing w:line="280" w:lineRule="exact"/>
              <w:jc w:val="center"/>
              <w:rPr>
                <w:rFonts w:ascii="Times New Roman"/>
                <w:sz w:val="21"/>
                <w:szCs w:val="21"/>
              </w:rPr>
            </w:pPr>
            <w:r>
              <w:rPr>
                <w:rFonts w:ascii="Times New Roman"/>
                <w:sz w:val="21"/>
                <w:szCs w:val="21"/>
              </w:rPr>
              <w:t>118.512021</w:t>
            </w:r>
          </w:p>
        </w:tc>
        <w:tc>
          <w:tcPr>
            <w:tcW w:w="588" w:type="pct"/>
            <w:vAlign w:val="center"/>
          </w:tcPr>
          <w:p w14:paraId="2144D5FE">
            <w:pPr>
              <w:spacing w:line="280" w:lineRule="exact"/>
              <w:jc w:val="center"/>
              <w:rPr>
                <w:rFonts w:ascii="Times New Roman"/>
                <w:sz w:val="21"/>
                <w:szCs w:val="21"/>
              </w:rPr>
            </w:pPr>
            <w:r>
              <w:rPr>
                <w:rFonts w:ascii="Times New Roman"/>
                <w:sz w:val="21"/>
                <w:szCs w:val="21"/>
              </w:rPr>
              <w:t>39.088993</w:t>
            </w:r>
          </w:p>
        </w:tc>
        <w:tc>
          <w:tcPr>
            <w:tcW w:w="457" w:type="pct"/>
            <w:vAlign w:val="center"/>
          </w:tcPr>
          <w:p w14:paraId="57856F9C">
            <w:pPr>
              <w:spacing w:line="280" w:lineRule="exact"/>
              <w:jc w:val="center"/>
              <w:rPr>
                <w:rFonts w:ascii="Times New Roman"/>
                <w:sz w:val="21"/>
                <w:szCs w:val="21"/>
              </w:rPr>
            </w:pPr>
            <w:r>
              <w:rPr>
                <w:rFonts w:hint="eastAsia" w:ascii="Times New Roman"/>
                <w:sz w:val="21"/>
                <w:szCs w:val="21"/>
              </w:rPr>
              <w:t>0</w:t>
            </w:r>
          </w:p>
        </w:tc>
        <w:tc>
          <w:tcPr>
            <w:tcW w:w="291" w:type="pct"/>
            <w:shd w:val="clear" w:color="auto" w:fill="auto"/>
            <w:vAlign w:val="center"/>
          </w:tcPr>
          <w:p w14:paraId="664CB1E3">
            <w:pPr>
              <w:jc w:val="center"/>
              <w:rPr>
                <w:rFonts w:ascii="Times New Roman"/>
                <w:sz w:val="21"/>
                <w:szCs w:val="21"/>
              </w:rPr>
            </w:pPr>
            <w:r>
              <w:rPr>
                <w:rFonts w:ascii="Times New Roman"/>
                <w:sz w:val="21"/>
                <w:szCs w:val="21"/>
              </w:rPr>
              <w:t>20</w:t>
            </w:r>
          </w:p>
        </w:tc>
        <w:tc>
          <w:tcPr>
            <w:tcW w:w="267" w:type="pct"/>
            <w:shd w:val="clear" w:color="auto" w:fill="auto"/>
            <w:vAlign w:val="center"/>
          </w:tcPr>
          <w:p w14:paraId="323E061E">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6</w:t>
            </w:r>
          </w:p>
        </w:tc>
        <w:tc>
          <w:tcPr>
            <w:tcW w:w="297" w:type="pct"/>
            <w:shd w:val="clear" w:color="auto" w:fill="auto"/>
            <w:vAlign w:val="center"/>
          </w:tcPr>
          <w:p w14:paraId="6CF13F77">
            <w:pPr>
              <w:jc w:val="center"/>
              <w:rPr>
                <w:rFonts w:ascii="Times New Roman" w:eastAsia="Times New Roman"/>
                <w:sz w:val="21"/>
                <w:szCs w:val="21"/>
              </w:rPr>
            </w:pPr>
            <w:r>
              <w:rPr>
                <w:rFonts w:ascii="Times New Roman" w:eastAsia="Times New Roman"/>
                <w:sz w:val="21"/>
                <w:szCs w:val="21"/>
              </w:rPr>
              <w:t>25</w:t>
            </w:r>
          </w:p>
        </w:tc>
        <w:tc>
          <w:tcPr>
            <w:tcW w:w="326" w:type="pct"/>
            <w:vAlign w:val="center"/>
          </w:tcPr>
          <w:p w14:paraId="2756DF6E">
            <w:pPr>
              <w:spacing w:line="280" w:lineRule="exact"/>
              <w:jc w:val="center"/>
              <w:rPr>
                <w:rFonts w:ascii="Times New Roman"/>
                <w:sz w:val="21"/>
                <w:szCs w:val="21"/>
              </w:rPr>
            </w:pPr>
            <w:r>
              <w:rPr>
                <w:rFonts w:hint="eastAsia" w:ascii="Times New Roman"/>
                <w:sz w:val="21"/>
                <w:szCs w:val="21"/>
              </w:rPr>
              <w:t>14.7</w:t>
            </w:r>
          </w:p>
        </w:tc>
        <w:tc>
          <w:tcPr>
            <w:tcW w:w="231" w:type="pct"/>
            <w:vMerge w:val="continue"/>
            <w:vAlign w:val="center"/>
          </w:tcPr>
          <w:p w14:paraId="0BB62507">
            <w:pPr>
              <w:spacing w:line="280" w:lineRule="exact"/>
              <w:jc w:val="center"/>
              <w:rPr>
                <w:rFonts w:ascii="Times New Roman"/>
                <w:sz w:val="21"/>
                <w:szCs w:val="21"/>
              </w:rPr>
            </w:pPr>
          </w:p>
        </w:tc>
        <w:tc>
          <w:tcPr>
            <w:tcW w:w="481" w:type="pct"/>
            <w:shd w:val="clear" w:color="auto" w:fill="auto"/>
            <w:vAlign w:val="center"/>
          </w:tcPr>
          <w:p w14:paraId="060ABCDF">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4E889B78">
            <w:pPr>
              <w:jc w:val="center"/>
              <w:rPr>
                <w:rFonts w:ascii="Times New Roman"/>
                <w:sz w:val="21"/>
                <w:szCs w:val="21"/>
                <w:lang w:bidi="zh-TW"/>
              </w:rPr>
            </w:pPr>
            <w:r>
              <w:rPr>
                <w:rFonts w:hint="eastAsia" w:ascii="Times New Roman"/>
                <w:sz w:val="21"/>
                <w:szCs w:val="21"/>
                <w:lang w:bidi="zh-TW"/>
              </w:rPr>
              <w:t>0.002</w:t>
            </w:r>
          </w:p>
        </w:tc>
      </w:tr>
      <w:tr w14:paraId="745F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76" w:type="pct"/>
            <w:vMerge w:val="continue"/>
            <w:shd w:val="clear" w:color="auto" w:fill="auto"/>
            <w:noWrap/>
            <w:vAlign w:val="center"/>
          </w:tcPr>
          <w:p w14:paraId="03BE3F0F">
            <w:pPr>
              <w:spacing w:line="280" w:lineRule="exact"/>
              <w:jc w:val="center"/>
              <w:rPr>
                <w:rFonts w:ascii="Times New Roman"/>
                <w:sz w:val="21"/>
                <w:szCs w:val="21"/>
              </w:rPr>
            </w:pPr>
          </w:p>
        </w:tc>
        <w:tc>
          <w:tcPr>
            <w:tcW w:w="729" w:type="pct"/>
            <w:vMerge w:val="restart"/>
            <w:vAlign w:val="center"/>
          </w:tcPr>
          <w:p w14:paraId="0BFDEA2B">
            <w:pPr>
              <w:spacing w:line="280" w:lineRule="exact"/>
              <w:jc w:val="center"/>
              <w:rPr>
                <w:rFonts w:ascii="Times New Roman"/>
                <w:sz w:val="21"/>
                <w:szCs w:val="21"/>
              </w:rPr>
            </w:pPr>
            <w:r>
              <w:rPr>
                <w:rFonts w:ascii="Times New Roman"/>
                <w:sz w:val="21"/>
                <w:szCs w:val="21"/>
              </w:rPr>
              <w:t>热处理车炉加热</w:t>
            </w:r>
            <w:r>
              <w:rPr>
                <w:rFonts w:hint="eastAsia" w:ascii="Times New Roman"/>
                <w:sz w:val="21"/>
                <w:szCs w:val="21"/>
              </w:rPr>
              <w:t>DA005</w:t>
            </w:r>
          </w:p>
        </w:tc>
        <w:tc>
          <w:tcPr>
            <w:tcW w:w="576" w:type="pct"/>
            <w:vMerge w:val="restart"/>
            <w:vAlign w:val="center"/>
          </w:tcPr>
          <w:p w14:paraId="420A89D9">
            <w:pPr>
              <w:spacing w:line="280" w:lineRule="exact"/>
              <w:jc w:val="center"/>
              <w:rPr>
                <w:rFonts w:ascii="Times New Roman"/>
                <w:sz w:val="21"/>
                <w:szCs w:val="21"/>
              </w:rPr>
            </w:pPr>
            <w:r>
              <w:rPr>
                <w:rFonts w:ascii="Times New Roman"/>
                <w:sz w:val="21"/>
                <w:szCs w:val="21"/>
              </w:rPr>
              <w:t>118.509280</w:t>
            </w:r>
          </w:p>
        </w:tc>
        <w:tc>
          <w:tcPr>
            <w:tcW w:w="588" w:type="pct"/>
            <w:vMerge w:val="restart"/>
            <w:vAlign w:val="center"/>
          </w:tcPr>
          <w:p w14:paraId="74A7CF4E">
            <w:pPr>
              <w:spacing w:line="280" w:lineRule="exact"/>
              <w:jc w:val="center"/>
              <w:rPr>
                <w:rFonts w:ascii="Times New Roman"/>
                <w:sz w:val="21"/>
                <w:szCs w:val="21"/>
              </w:rPr>
            </w:pPr>
            <w:r>
              <w:rPr>
                <w:rFonts w:ascii="Times New Roman"/>
                <w:sz w:val="21"/>
                <w:szCs w:val="21"/>
              </w:rPr>
              <w:t>39.089059</w:t>
            </w:r>
          </w:p>
        </w:tc>
        <w:tc>
          <w:tcPr>
            <w:tcW w:w="457" w:type="pct"/>
            <w:vMerge w:val="restart"/>
            <w:vAlign w:val="center"/>
          </w:tcPr>
          <w:p w14:paraId="3A36500F">
            <w:pPr>
              <w:spacing w:line="280" w:lineRule="exact"/>
              <w:jc w:val="center"/>
              <w:rPr>
                <w:rFonts w:ascii="Times New Roman"/>
                <w:sz w:val="21"/>
                <w:szCs w:val="21"/>
              </w:rPr>
            </w:pPr>
            <w:r>
              <w:rPr>
                <w:rFonts w:ascii="Times New Roman"/>
                <w:sz w:val="21"/>
                <w:szCs w:val="21"/>
              </w:rPr>
              <w:t>0</w:t>
            </w:r>
          </w:p>
        </w:tc>
        <w:tc>
          <w:tcPr>
            <w:tcW w:w="291" w:type="pct"/>
            <w:vMerge w:val="restart"/>
            <w:shd w:val="clear" w:color="auto" w:fill="auto"/>
            <w:vAlign w:val="center"/>
          </w:tcPr>
          <w:p w14:paraId="7A1FD51B">
            <w:pPr>
              <w:jc w:val="center"/>
              <w:rPr>
                <w:rFonts w:ascii="Times New Roman"/>
                <w:sz w:val="21"/>
                <w:szCs w:val="21"/>
              </w:rPr>
            </w:pPr>
            <w:r>
              <w:rPr>
                <w:rFonts w:ascii="Times New Roman"/>
                <w:sz w:val="21"/>
                <w:szCs w:val="21"/>
              </w:rPr>
              <w:t>20</w:t>
            </w:r>
          </w:p>
        </w:tc>
        <w:tc>
          <w:tcPr>
            <w:tcW w:w="267" w:type="pct"/>
            <w:vMerge w:val="restart"/>
            <w:shd w:val="clear" w:color="auto" w:fill="auto"/>
            <w:vAlign w:val="center"/>
          </w:tcPr>
          <w:p w14:paraId="39CA53FD">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2</w:t>
            </w:r>
          </w:p>
        </w:tc>
        <w:tc>
          <w:tcPr>
            <w:tcW w:w="297" w:type="pct"/>
            <w:vMerge w:val="restart"/>
            <w:shd w:val="clear" w:color="auto" w:fill="auto"/>
            <w:vAlign w:val="center"/>
          </w:tcPr>
          <w:p w14:paraId="5B9D30E6">
            <w:pPr>
              <w:jc w:val="center"/>
              <w:rPr>
                <w:rFonts w:ascii="Times New Roman"/>
                <w:sz w:val="21"/>
                <w:szCs w:val="21"/>
              </w:rPr>
            </w:pPr>
            <w:r>
              <w:rPr>
                <w:rFonts w:ascii="Times New Roman"/>
                <w:sz w:val="21"/>
                <w:szCs w:val="21"/>
              </w:rPr>
              <w:t>120</w:t>
            </w:r>
          </w:p>
        </w:tc>
        <w:tc>
          <w:tcPr>
            <w:tcW w:w="326" w:type="pct"/>
            <w:vMerge w:val="restart"/>
            <w:vAlign w:val="center"/>
          </w:tcPr>
          <w:p w14:paraId="405BE885">
            <w:pPr>
              <w:spacing w:line="280" w:lineRule="exact"/>
              <w:jc w:val="center"/>
              <w:rPr>
                <w:rFonts w:ascii="Times New Roman"/>
                <w:sz w:val="21"/>
                <w:szCs w:val="21"/>
              </w:rPr>
            </w:pPr>
            <w:r>
              <w:rPr>
                <w:rFonts w:hint="eastAsia" w:ascii="Times New Roman"/>
                <w:sz w:val="21"/>
                <w:szCs w:val="21"/>
              </w:rPr>
              <w:t>14.8</w:t>
            </w:r>
          </w:p>
        </w:tc>
        <w:tc>
          <w:tcPr>
            <w:tcW w:w="231" w:type="pct"/>
            <w:vMerge w:val="continue"/>
            <w:vAlign w:val="center"/>
          </w:tcPr>
          <w:p w14:paraId="7389BD2A">
            <w:pPr>
              <w:spacing w:line="280" w:lineRule="exact"/>
              <w:jc w:val="center"/>
              <w:rPr>
                <w:rFonts w:ascii="Times New Roman"/>
                <w:sz w:val="21"/>
                <w:szCs w:val="21"/>
              </w:rPr>
            </w:pPr>
          </w:p>
        </w:tc>
        <w:tc>
          <w:tcPr>
            <w:tcW w:w="481" w:type="pct"/>
            <w:shd w:val="clear" w:color="auto" w:fill="auto"/>
            <w:vAlign w:val="center"/>
          </w:tcPr>
          <w:p w14:paraId="5C07F163">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77E803E9">
            <w:pPr>
              <w:jc w:val="center"/>
              <w:rPr>
                <w:rFonts w:ascii="Times New Roman"/>
                <w:sz w:val="21"/>
                <w:szCs w:val="21"/>
                <w:lang w:bidi="zh-TW"/>
              </w:rPr>
            </w:pPr>
            <w:r>
              <w:rPr>
                <w:rFonts w:hint="eastAsia" w:ascii="Times New Roman"/>
                <w:sz w:val="21"/>
                <w:szCs w:val="21"/>
                <w:lang w:bidi="zh-TW"/>
              </w:rPr>
              <w:t>0.035</w:t>
            </w:r>
          </w:p>
        </w:tc>
      </w:tr>
      <w:tr w14:paraId="6DE7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76" w:type="pct"/>
            <w:vMerge w:val="continue"/>
            <w:shd w:val="clear" w:color="auto" w:fill="auto"/>
            <w:noWrap/>
            <w:vAlign w:val="center"/>
          </w:tcPr>
          <w:p w14:paraId="37D6ECA3">
            <w:pPr>
              <w:spacing w:line="280" w:lineRule="exact"/>
              <w:jc w:val="center"/>
              <w:rPr>
                <w:rFonts w:ascii="Times New Roman"/>
                <w:sz w:val="21"/>
                <w:szCs w:val="21"/>
              </w:rPr>
            </w:pPr>
          </w:p>
        </w:tc>
        <w:tc>
          <w:tcPr>
            <w:tcW w:w="729" w:type="pct"/>
            <w:vMerge w:val="continue"/>
            <w:vAlign w:val="center"/>
          </w:tcPr>
          <w:p w14:paraId="2EDA5122">
            <w:pPr>
              <w:spacing w:line="280" w:lineRule="exact"/>
              <w:jc w:val="center"/>
              <w:rPr>
                <w:rFonts w:ascii="Times New Roman"/>
                <w:sz w:val="21"/>
                <w:szCs w:val="21"/>
              </w:rPr>
            </w:pPr>
          </w:p>
        </w:tc>
        <w:tc>
          <w:tcPr>
            <w:tcW w:w="576" w:type="pct"/>
            <w:vMerge w:val="continue"/>
            <w:vAlign w:val="center"/>
          </w:tcPr>
          <w:p w14:paraId="0D9DEB8B">
            <w:pPr>
              <w:spacing w:line="280" w:lineRule="exact"/>
              <w:jc w:val="center"/>
              <w:rPr>
                <w:rFonts w:ascii="Times New Roman"/>
                <w:sz w:val="21"/>
                <w:szCs w:val="21"/>
              </w:rPr>
            </w:pPr>
          </w:p>
        </w:tc>
        <w:tc>
          <w:tcPr>
            <w:tcW w:w="588" w:type="pct"/>
            <w:vMerge w:val="continue"/>
            <w:vAlign w:val="center"/>
          </w:tcPr>
          <w:p w14:paraId="31057C2D">
            <w:pPr>
              <w:spacing w:line="280" w:lineRule="exact"/>
              <w:jc w:val="center"/>
              <w:rPr>
                <w:rFonts w:ascii="Times New Roman"/>
                <w:sz w:val="21"/>
                <w:szCs w:val="21"/>
              </w:rPr>
            </w:pPr>
          </w:p>
        </w:tc>
        <w:tc>
          <w:tcPr>
            <w:tcW w:w="457" w:type="pct"/>
            <w:vMerge w:val="continue"/>
            <w:vAlign w:val="center"/>
          </w:tcPr>
          <w:p w14:paraId="3B9A4523">
            <w:pPr>
              <w:spacing w:line="280" w:lineRule="exact"/>
              <w:jc w:val="center"/>
              <w:rPr>
                <w:rFonts w:ascii="Times New Roman"/>
                <w:sz w:val="21"/>
                <w:szCs w:val="21"/>
              </w:rPr>
            </w:pPr>
          </w:p>
        </w:tc>
        <w:tc>
          <w:tcPr>
            <w:tcW w:w="291" w:type="pct"/>
            <w:vMerge w:val="continue"/>
            <w:vAlign w:val="center"/>
          </w:tcPr>
          <w:p w14:paraId="785A8118">
            <w:pPr>
              <w:spacing w:line="280" w:lineRule="exact"/>
              <w:jc w:val="center"/>
              <w:rPr>
                <w:rFonts w:ascii="Times New Roman"/>
                <w:sz w:val="21"/>
                <w:szCs w:val="21"/>
              </w:rPr>
            </w:pPr>
          </w:p>
        </w:tc>
        <w:tc>
          <w:tcPr>
            <w:tcW w:w="267" w:type="pct"/>
            <w:vMerge w:val="continue"/>
            <w:vAlign w:val="center"/>
          </w:tcPr>
          <w:p w14:paraId="6CA7FDA7">
            <w:pPr>
              <w:spacing w:line="280" w:lineRule="exact"/>
              <w:jc w:val="center"/>
              <w:rPr>
                <w:rFonts w:ascii="Times New Roman"/>
                <w:sz w:val="21"/>
                <w:szCs w:val="21"/>
              </w:rPr>
            </w:pPr>
          </w:p>
        </w:tc>
        <w:tc>
          <w:tcPr>
            <w:tcW w:w="297" w:type="pct"/>
            <w:vMerge w:val="continue"/>
            <w:vAlign w:val="center"/>
          </w:tcPr>
          <w:p w14:paraId="32B45BD1">
            <w:pPr>
              <w:spacing w:line="280" w:lineRule="exact"/>
              <w:jc w:val="center"/>
              <w:rPr>
                <w:rFonts w:ascii="Times New Roman"/>
                <w:sz w:val="21"/>
                <w:szCs w:val="21"/>
              </w:rPr>
            </w:pPr>
          </w:p>
        </w:tc>
        <w:tc>
          <w:tcPr>
            <w:tcW w:w="326" w:type="pct"/>
            <w:vMerge w:val="continue"/>
            <w:vAlign w:val="center"/>
          </w:tcPr>
          <w:p w14:paraId="00765C57">
            <w:pPr>
              <w:spacing w:line="280" w:lineRule="exact"/>
              <w:jc w:val="center"/>
              <w:rPr>
                <w:rFonts w:ascii="Times New Roman"/>
                <w:sz w:val="21"/>
                <w:szCs w:val="21"/>
              </w:rPr>
            </w:pPr>
          </w:p>
        </w:tc>
        <w:tc>
          <w:tcPr>
            <w:tcW w:w="231" w:type="pct"/>
            <w:vMerge w:val="continue"/>
            <w:vAlign w:val="center"/>
          </w:tcPr>
          <w:p w14:paraId="4026C74A">
            <w:pPr>
              <w:spacing w:line="280" w:lineRule="exact"/>
              <w:jc w:val="center"/>
              <w:rPr>
                <w:rFonts w:ascii="Times New Roman"/>
                <w:sz w:val="21"/>
                <w:szCs w:val="21"/>
              </w:rPr>
            </w:pPr>
          </w:p>
        </w:tc>
        <w:tc>
          <w:tcPr>
            <w:tcW w:w="481" w:type="pct"/>
            <w:shd w:val="clear" w:color="auto" w:fill="auto"/>
            <w:vAlign w:val="center"/>
          </w:tcPr>
          <w:p w14:paraId="35604C6A">
            <w:pPr>
              <w:spacing w:line="28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374" w:type="pct"/>
            <w:shd w:val="clear" w:color="auto" w:fill="auto"/>
            <w:vAlign w:val="center"/>
          </w:tcPr>
          <w:p w14:paraId="514C56C7">
            <w:pPr>
              <w:jc w:val="center"/>
              <w:rPr>
                <w:rFonts w:ascii="Times New Roman"/>
                <w:sz w:val="21"/>
                <w:szCs w:val="21"/>
                <w:lang w:bidi="zh-TW"/>
              </w:rPr>
            </w:pPr>
            <w:r>
              <w:rPr>
                <w:rFonts w:hint="eastAsia" w:ascii="Times New Roman"/>
                <w:sz w:val="21"/>
                <w:szCs w:val="21"/>
                <w:lang w:bidi="zh-TW"/>
              </w:rPr>
              <w:t>0.001</w:t>
            </w:r>
          </w:p>
        </w:tc>
      </w:tr>
      <w:tr w14:paraId="43FE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6" w:type="pct"/>
            <w:vMerge w:val="continue"/>
            <w:shd w:val="clear" w:color="auto" w:fill="auto"/>
            <w:noWrap/>
            <w:vAlign w:val="center"/>
          </w:tcPr>
          <w:p w14:paraId="2AB9C5A7">
            <w:pPr>
              <w:spacing w:line="280" w:lineRule="exact"/>
              <w:jc w:val="center"/>
              <w:rPr>
                <w:rFonts w:ascii="Times New Roman"/>
                <w:sz w:val="21"/>
                <w:szCs w:val="21"/>
              </w:rPr>
            </w:pPr>
          </w:p>
        </w:tc>
        <w:tc>
          <w:tcPr>
            <w:tcW w:w="729" w:type="pct"/>
            <w:vMerge w:val="continue"/>
            <w:vAlign w:val="center"/>
          </w:tcPr>
          <w:p w14:paraId="6F2F1FCF">
            <w:pPr>
              <w:spacing w:line="280" w:lineRule="exact"/>
              <w:jc w:val="center"/>
              <w:rPr>
                <w:rFonts w:ascii="Times New Roman"/>
                <w:sz w:val="21"/>
                <w:szCs w:val="21"/>
              </w:rPr>
            </w:pPr>
          </w:p>
        </w:tc>
        <w:tc>
          <w:tcPr>
            <w:tcW w:w="576" w:type="pct"/>
            <w:vMerge w:val="continue"/>
            <w:vAlign w:val="center"/>
          </w:tcPr>
          <w:p w14:paraId="272FF7C6">
            <w:pPr>
              <w:spacing w:line="280" w:lineRule="exact"/>
              <w:jc w:val="center"/>
              <w:rPr>
                <w:rFonts w:ascii="Times New Roman"/>
                <w:sz w:val="21"/>
                <w:szCs w:val="21"/>
              </w:rPr>
            </w:pPr>
          </w:p>
        </w:tc>
        <w:tc>
          <w:tcPr>
            <w:tcW w:w="588" w:type="pct"/>
            <w:vMerge w:val="continue"/>
            <w:vAlign w:val="center"/>
          </w:tcPr>
          <w:p w14:paraId="54F59286">
            <w:pPr>
              <w:spacing w:line="280" w:lineRule="exact"/>
              <w:jc w:val="center"/>
              <w:rPr>
                <w:rFonts w:ascii="Times New Roman"/>
                <w:sz w:val="21"/>
                <w:szCs w:val="21"/>
              </w:rPr>
            </w:pPr>
          </w:p>
        </w:tc>
        <w:tc>
          <w:tcPr>
            <w:tcW w:w="457" w:type="pct"/>
            <w:vMerge w:val="continue"/>
            <w:vAlign w:val="center"/>
          </w:tcPr>
          <w:p w14:paraId="0C94A12D">
            <w:pPr>
              <w:spacing w:line="280" w:lineRule="exact"/>
              <w:jc w:val="center"/>
              <w:rPr>
                <w:rFonts w:ascii="Times New Roman"/>
                <w:sz w:val="21"/>
                <w:szCs w:val="21"/>
              </w:rPr>
            </w:pPr>
          </w:p>
        </w:tc>
        <w:tc>
          <w:tcPr>
            <w:tcW w:w="291" w:type="pct"/>
            <w:vMerge w:val="continue"/>
            <w:vAlign w:val="center"/>
          </w:tcPr>
          <w:p w14:paraId="5B6B20AA">
            <w:pPr>
              <w:spacing w:line="280" w:lineRule="exact"/>
              <w:jc w:val="center"/>
              <w:rPr>
                <w:rFonts w:ascii="Times New Roman"/>
                <w:sz w:val="21"/>
                <w:szCs w:val="21"/>
              </w:rPr>
            </w:pPr>
          </w:p>
        </w:tc>
        <w:tc>
          <w:tcPr>
            <w:tcW w:w="267" w:type="pct"/>
            <w:vMerge w:val="continue"/>
            <w:vAlign w:val="center"/>
          </w:tcPr>
          <w:p w14:paraId="3D70FCE2">
            <w:pPr>
              <w:spacing w:line="280" w:lineRule="exact"/>
              <w:jc w:val="center"/>
              <w:rPr>
                <w:rFonts w:ascii="Times New Roman"/>
                <w:sz w:val="21"/>
                <w:szCs w:val="21"/>
              </w:rPr>
            </w:pPr>
          </w:p>
        </w:tc>
        <w:tc>
          <w:tcPr>
            <w:tcW w:w="297" w:type="pct"/>
            <w:vMerge w:val="continue"/>
            <w:vAlign w:val="center"/>
          </w:tcPr>
          <w:p w14:paraId="513A7E58">
            <w:pPr>
              <w:spacing w:line="280" w:lineRule="exact"/>
              <w:jc w:val="center"/>
              <w:rPr>
                <w:rFonts w:ascii="Times New Roman"/>
                <w:sz w:val="21"/>
                <w:szCs w:val="21"/>
              </w:rPr>
            </w:pPr>
          </w:p>
        </w:tc>
        <w:tc>
          <w:tcPr>
            <w:tcW w:w="326" w:type="pct"/>
            <w:vMerge w:val="continue"/>
            <w:vAlign w:val="center"/>
          </w:tcPr>
          <w:p w14:paraId="71EC5F6A">
            <w:pPr>
              <w:spacing w:line="280" w:lineRule="exact"/>
              <w:jc w:val="center"/>
              <w:rPr>
                <w:rFonts w:ascii="Times New Roman"/>
                <w:sz w:val="21"/>
                <w:szCs w:val="21"/>
              </w:rPr>
            </w:pPr>
          </w:p>
        </w:tc>
        <w:tc>
          <w:tcPr>
            <w:tcW w:w="231" w:type="pct"/>
            <w:vMerge w:val="continue"/>
            <w:vAlign w:val="center"/>
          </w:tcPr>
          <w:p w14:paraId="493D1BA6">
            <w:pPr>
              <w:spacing w:line="280" w:lineRule="exact"/>
              <w:jc w:val="center"/>
              <w:rPr>
                <w:rFonts w:ascii="Times New Roman"/>
                <w:sz w:val="21"/>
                <w:szCs w:val="21"/>
              </w:rPr>
            </w:pPr>
          </w:p>
        </w:tc>
        <w:tc>
          <w:tcPr>
            <w:tcW w:w="481" w:type="pct"/>
            <w:shd w:val="clear" w:color="auto" w:fill="auto"/>
            <w:vAlign w:val="center"/>
          </w:tcPr>
          <w:p w14:paraId="66348584">
            <w:pPr>
              <w:spacing w:line="280" w:lineRule="exact"/>
              <w:jc w:val="center"/>
              <w:rPr>
                <w:rFonts w:ascii="Times New Roman"/>
                <w:sz w:val="21"/>
                <w:szCs w:val="21"/>
              </w:rPr>
            </w:pPr>
            <w:r>
              <w:rPr>
                <w:rFonts w:ascii="Times New Roman"/>
                <w:snapToGrid w:val="0"/>
                <w:sz w:val="21"/>
                <w:szCs w:val="21"/>
              </w:rPr>
              <w:t>NO</w:t>
            </w:r>
            <w:r>
              <w:rPr>
                <w:rFonts w:hint="eastAsia" w:ascii="Times New Roman"/>
                <w:snapToGrid w:val="0"/>
                <w:sz w:val="21"/>
                <w:szCs w:val="21"/>
                <w:vertAlign w:val="subscript"/>
              </w:rPr>
              <w:t>2</w:t>
            </w:r>
          </w:p>
        </w:tc>
        <w:tc>
          <w:tcPr>
            <w:tcW w:w="374" w:type="pct"/>
            <w:shd w:val="clear" w:color="auto" w:fill="auto"/>
            <w:vAlign w:val="center"/>
          </w:tcPr>
          <w:p w14:paraId="200A27E0">
            <w:pPr>
              <w:jc w:val="center"/>
              <w:rPr>
                <w:rFonts w:ascii="Times New Roman"/>
                <w:sz w:val="21"/>
                <w:szCs w:val="21"/>
                <w:lang w:bidi="zh-TW"/>
              </w:rPr>
            </w:pPr>
            <w:r>
              <w:rPr>
                <w:rFonts w:hint="eastAsia" w:ascii="Times New Roman"/>
                <w:sz w:val="21"/>
                <w:szCs w:val="21"/>
                <w:lang w:bidi="zh-TW"/>
              </w:rPr>
              <w:t>0.115</w:t>
            </w:r>
          </w:p>
        </w:tc>
      </w:tr>
      <w:tr w14:paraId="564E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76" w:type="pct"/>
            <w:vMerge w:val="continue"/>
            <w:shd w:val="clear" w:color="auto" w:fill="auto"/>
            <w:noWrap/>
            <w:vAlign w:val="center"/>
          </w:tcPr>
          <w:p w14:paraId="306A1D04">
            <w:pPr>
              <w:spacing w:line="280" w:lineRule="exact"/>
              <w:jc w:val="center"/>
              <w:rPr>
                <w:rFonts w:ascii="Times New Roman"/>
                <w:sz w:val="21"/>
                <w:szCs w:val="21"/>
              </w:rPr>
            </w:pPr>
          </w:p>
        </w:tc>
        <w:tc>
          <w:tcPr>
            <w:tcW w:w="729" w:type="pct"/>
            <w:vMerge w:val="restart"/>
            <w:vAlign w:val="center"/>
          </w:tcPr>
          <w:p w14:paraId="4D3EC176">
            <w:pPr>
              <w:spacing w:line="280" w:lineRule="exact"/>
              <w:jc w:val="center"/>
              <w:rPr>
                <w:rFonts w:ascii="Times New Roman"/>
                <w:sz w:val="21"/>
                <w:szCs w:val="21"/>
              </w:rPr>
            </w:pPr>
            <w:r>
              <w:rPr>
                <w:rFonts w:ascii="Times New Roman"/>
                <w:sz w:val="21"/>
                <w:szCs w:val="21"/>
              </w:rPr>
              <w:t>淬火、回火</w:t>
            </w:r>
            <w:r>
              <w:rPr>
                <w:rFonts w:hint="eastAsia" w:ascii="Times New Roman"/>
                <w:sz w:val="21"/>
                <w:szCs w:val="21"/>
              </w:rPr>
              <w:t>DA006</w:t>
            </w:r>
          </w:p>
        </w:tc>
        <w:tc>
          <w:tcPr>
            <w:tcW w:w="576" w:type="pct"/>
            <w:vMerge w:val="restart"/>
            <w:vAlign w:val="center"/>
          </w:tcPr>
          <w:p w14:paraId="218B6E9F">
            <w:pPr>
              <w:spacing w:line="280" w:lineRule="exact"/>
              <w:jc w:val="center"/>
              <w:rPr>
                <w:rFonts w:ascii="Times New Roman"/>
                <w:sz w:val="21"/>
                <w:szCs w:val="21"/>
              </w:rPr>
            </w:pPr>
            <w:r>
              <w:rPr>
                <w:rFonts w:ascii="Times New Roman"/>
                <w:sz w:val="21"/>
                <w:szCs w:val="21"/>
              </w:rPr>
              <w:t>118.509408</w:t>
            </w:r>
          </w:p>
        </w:tc>
        <w:tc>
          <w:tcPr>
            <w:tcW w:w="588" w:type="pct"/>
            <w:vMerge w:val="restart"/>
            <w:vAlign w:val="center"/>
          </w:tcPr>
          <w:p w14:paraId="20376400">
            <w:pPr>
              <w:spacing w:line="280" w:lineRule="exact"/>
              <w:jc w:val="center"/>
              <w:rPr>
                <w:rFonts w:ascii="Times New Roman"/>
                <w:sz w:val="21"/>
                <w:szCs w:val="21"/>
              </w:rPr>
            </w:pPr>
            <w:r>
              <w:rPr>
                <w:rFonts w:ascii="Times New Roman"/>
                <w:sz w:val="21"/>
                <w:szCs w:val="21"/>
              </w:rPr>
              <w:t>39.089259</w:t>
            </w:r>
          </w:p>
        </w:tc>
        <w:tc>
          <w:tcPr>
            <w:tcW w:w="457" w:type="pct"/>
            <w:vMerge w:val="restart"/>
            <w:vAlign w:val="center"/>
          </w:tcPr>
          <w:p w14:paraId="1D497633">
            <w:pPr>
              <w:spacing w:line="280" w:lineRule="exact"/>
              <w:jc w:val="center"/>
              <w:rPr>
                <w:rFonts w:ascii="Times New Roman"/>
                <w:sz w:val="21"/>
                <w:szCs w:val="21"/>
              </w:rPr>
            </w:pPr>
            <w:r>
              <w:rPr>
                <w:rFonts w:hint="eastAsia" w:ascii="Times New Roman"/>
                <w:sz w:val="21"/>
                <w:szCs w:val="21"/>
              </w:rPr>
              <w:t>0</w:t>
            </w:r>
          </w:p>
        </w:tc>
        <w:tc>
          <w:tcPr>
            <w:tcW w:w="291" w:type="pct"/>
            <w:vMerge w:val="restart"/>
            <w:shd w:val="clear" w:color="auto" w:fill="auto"/>
            <w:vAlign w:val="center"/>
          </w:tcPr>
          <w:p w14:paraId="15A1E3FC">
            <w:pPr>
              <w:jc w:val="center"/>
              <w:rPr>
                <w:rFonts w:ascii="Times New Roman"/>
                <w:sz w:val="21"/>
                <w:szCs w:val="21"/>
              </w:rPr>
            </w:pPr>
            <w:r>
              <w:rPr>
                <w:rFonts w:ascii="Times New Roman"/>
                <w:sz w:val="21"/>
                <w:szCs w:val="21"/>
              </w:rPr>
              <w:t>20</w:t>
            </w:r>
          </w:p>
        </w:tc>
        <w:tc>
          <w:tcPr>
            <w:tcW w:w="267" w:type="pct"/>
            <w:vMerge w:val="restart"/>
            <w:shd w:val="clear" w:color="auto" w:fill="auto"/>
            <w:vAlign w:val="center"/>
          </w:tcPr>
          <w:p w14:paraId="47569230">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3</w:t>
            </w:r>
          </w:p>
        </w:tc>
        <w:tc>
          <w:tcPr>
            <w:tcW w:w="297" w:type="pct"/>
            <w:vMerge w:val="restart"/>
            <w:shd w:val="clear" w:color="auto" w:fill="auto"/>
            <w:vAlign w:val="center"/>
          </w:tcPr>
          <w:p w14:paraId="0C428C5E">
            <w:pPr>
              <w:jc w:val="center"/>
              <w:rPr>
                <w:rFonts w:ascii="Times New Roman"/>
                <w:sz w:val="21"/>
                <w:szCs w:val="21"/>
              </w:rPr>
            </w:pPr>
            <w:r>
              <w:rPr>
                <w:rFonts w:ascii="Times New Roman"/>
                <w:sz w:val="21"/>
                <w:szCs w:val="21"/>
              </w:rPr>
              <w:t>50</w:t>
            </w:r>
          </w:p>
        </w:tc>
        <w:tc>
          <w:tcPr>
            <w:tcW w:w="326" w:type="pct"/>
            <w:vMerge w:val="restart"/>
            <w:vAlign w:val="center"/>
          </w:tcPr>
          <w:p w14:paraId="2C1A17D4">
            <w:pPr>
              <w:spacing w:line="280" w:lineRule="exact"/>
              <w:jc w:val="center"/>
              <w:rPr>
                <w:rFonts w:ascii="Times New Roman"/>
                <w:sz w:val="21"/>
                <w:szCs w:val="21"/>
              </w:rPr>
            </w:pPr>
            <w:r>
              <w:rPr>
                <w:rFonts w:hint="eastAsia" w:ascii="Times New Roman"/>
                <w:sz w:val="21"/>
                <w:szCs w:val="21"/>
              </w:rPr>
              <w:t>19.6</w:t>
            </w:r>
          </w:p>
        </w:tc>
        <w:tc>
          <w:tcPr>
            <w:tcW w:w="231" w:type="pct"/>
            <w:vMerge w:val="continue"/>
            <w:vAlign w:val="center"/>
          </w:tcPr>
          <w:p w14:paraId="5C0FB214">
            <w:pPr>
              <w:spacing w:line="280" w:lineRule="exact"/>
              <w:jc w:val="center"/>
              <w:rPr>
                <w:rFonts w:ascii="Times New Roman"/>
                <w:sz w:val="21"/>
                <w:szCs w:val="21"/>
              </w:rPr>
            </w:pPr>
          </w:p>
        </w:tc>
        <w:tc>
          <w:tcPr>
            <w:tcW w:w="481" w:type="pct"/>
            <w:shd w:val="clear" w:color="auto" w:fill="auto"/>
            <w:vAlign w:val="center"/>
          </w:tcPr>
          <w:p w14:paraId="0C087FC4">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37FCEDED">
            <w:pPr>
              <w:jc w:val="center"/>
              <w:rPr>
                <w:rFonts w:ascii="Times New Roman"/>
                <w:sz w:val="21"/>
                <w:szCs w:val="21"/>
              </w:rPr>
            </w:pPr>
            <w:r>
              <w:rPr>
                <w:rFonts w:ascii="Times New Roman"/>
                <w:sz w:val="21"/>
                <w:szCs w:val="21"/>
              </w:rPr>
              <w:t>0.</w:t>
            </w:r>
            <w:r>
              <w:rPr>
                <w:rFonts w:hint="eastAsia" w:ascii="Times New Roman"/>
                <w:sz w:val="21"/>
                <w:szCs w:val="21"/>
              </w:rPr>
              <w:t>663</w:t>
            </w:r>
          </w:p>
        </w:tc>
      </w:tr>
      <w:tr w14:paraId="69F0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76" w:type="pct"/>
            <w:vMerge w:val="continue"/>
            <w:shd w:val="clear" w:color="auto" w:fill="auto"/>
            <w:noWrap/>
            <w:vAlign w:val="center"/>
          </w:tcPr>
          <w:p w14:paraId="35B52594">
            <w:pPr>
              <w:spacing w:line="280" w:lineRule="exact"/>
              <w:jc w:val="center"/>
              <w:rPr>
                <w:rFonts w:ascii="Times New Roman"/>
                <w:sz w:val="21"/>
                <w:szCs w:val="21"/>
              </w:rPr>
            </w:pPr>
          </w:p>
        </w:tc>
        <w:tc>
          <w:tcPr>
            <w:tcW w:w="729" w:type="pct"/>
            <w:vMerge w:val="continue"/>
            <w:vAlign w:val="center"/>
          </w:tcPr>
          <w:p w14:paraId="648EE640">
            <w:pPr>
              <w:spacing w:line="280" w:lineRule="exact"/>
              <w:jc w:val="center"/>
              <w:rPr>
                <w:rFonts w:ascii="Times New Roman"/>
                <w:sz w:val="21"/>
                <w:szCs w:val="21"/>
              </w:rPr>
            </w:pPr>
          </w:p>
        </w:tc>
        <w:tc>
          <w:tcPr>
            <w:tcW w:w="576" w:type="pct"/>
            <w:vMerge w:val="continue"/>
            <w:vAlign w:val="center"/>
          </w:tcPr>
          <w:p w14:paraId="3851C952">
            <w:pPr>
              <w:spacing w:line="280" w:lineRule="exact"/>
              <w:jc w:val="center"/>
              <w:rPr>
                <w:rFonts w:ascii="Times New Roman"/>
                <w:sz w:val="21"/>
                <w:szCs w:val="21"/>
              </w:rPr>
            </w:pPr>
          </w:p>
        </w:tc>
        <w:tc>
          <w:tcPr>
            <w:tcW w:w="588" w:type="pct"/>
            <w:vMerge w:val="continue"/>
            <w:vAlign w:val="center"/>
          </w:tcPr>
          <w:p w14:paraId="181CF7B6">
            <w:pPr>
              <w:spacing w:line="280" w:lineRule="exact"/>
              <w:jc w:val="center"/>
              <w:rPr>
                <w:rFonts w:ascii="Times New Roman"/>
                <w:snapToGrid w:val="0"/>
                <w:sz w:val="21"/>
                <w:szCs w:val="21"/>
              </w:rPr>
            </w:pPr>
          </w:p>
        </w:tc>
        <w:tc>
          <w:tcPr>
            <w:tcW w:w="457" w:type="pct"/>
            <w:vMerge w:val="continue"/>
            <w:vAlign w:val="center"/>
          </w:tcPr>
          <w:p w14:paraId="7AE888EA">
            <w:pPr>
              <w:spacing w:line="280" w:lineRule="exact"/>
              <w:jc w:val="center"/>
              <w:rPr>
                <w:rFonts w:ascii="Times New Roman"/>
                <w:sz w:val="21"/>
                <w:szCs w:val="21"/>
              </w:rPr>
            </w:pPr>
          </w:p>
        </w:tc>
        <w:tc>
          <w:tcPr>
            <w:tcW w:w="291" w:type="pct"/>
            <w:vMerge w:val="continue"/>
            <w:vAlign w:val="center"/>
          </w:tcPr>
          <w:p w14:paraId="38CE0066">
            <w:pPr>
              <w:spacing w:line="280" w:lineRule="exact"/>
              <w:jc w:val="center"/>
              <w:rPr>
                <w:rFonts w:ascii="Times New Roman"/>
                <w:sz w:val="21"/>
                <w:szCs w:val="21"/>
              </w:rPr>
            </w:pPr>
          </w:p>
        </w:tc>
        <w:tc>
          <w:tcPr>
            <w:tcW w:w="267" w:type="pct"/>
            <w:vMerge w:val="continue"/>
            <w:vAlign w:val="center"/>
          </w:tcPr>
          <w:p w14:paraId="313FAADC">
            <w:pPr>
              <w:spacing w:line="280" w:lineRule="exact"/>
              <w:jc w:val="center"/>
              <w:rPr>
                <w:rFonts w:ascii="Times New Roman"/>
                <w:sz w:val="21"/>
                <w:szCs w:val="21"/>
              </w:rPr>
            </w:pPr>
          </w:p>
        </w:tc>
        <w:tc>
          <w:tcPr>
            <w:tcW w:w="297" w:type="pct"/>
            <w:vMerge w:val="continue"/>
            <w:vAlign w:val="center"/>
          </w:tcPr>
          <w:p w14:paraId="1BE98523">
            <w:pPr>
              <w:spacing w:line="280" w:lineRule="exact"/>
              <w:jc w:val="center"/>
              <w:rPr>
                <w:rFonts w:ascii="Times New Roman"/>
                <w:sz w:val="21"/>
                <w:szCs w:val="21"/>
              </w:rPr>
            </w:pPr>
          </w:p>
        </w:tc>
        <w:tc>
          <w:tcPr>
            <w:tcW w:w="326" w:type="pct"/>
            <w:vMerge w:val="continue"/>
            <w:vAlign w:val="center"/>
          </w:tcPr>
          <w:p w14:paraId="40054442">
            <w:pPr>
              <w:spacing w:line="280" w:lineRule="exact"/>
              <w:jc w:val="center"/>
              <w:rPr>
                <w:rFonts w:ascii="Times New Roman"/>
                <w:sz w:val="21"/>
                <w:szCs w:val="21"/>
              </w:rPr>
            </w:pPr>
          </w:p>
        </w:tc>
        <w:tc>
          <w:tcPr>
            <w:tcW w:w="231" w:type="pct"/>
            <w:vMerge w:val="continue"/>
            <w:vAlign w:val="center"/>
          </w:tcPr>
          <w:p w14:paraId="177D16C6">
            <w:pPr>
              <w:spacing w:line="280" w:lineRule="exact"/>
              <w:jc w:val="center"/>
              <w:rPr>
                <w:rFonts w:ascii="Times New Roman"/>
                <w:sz w:val="21"/>
                <w:szCs w:val="21"/>
              </w:rPr>
            </w:pPr>
          </w:p>
        </w:tc>
        <w:tc>
          <w:tcPr>
            <w:tcW w:w="481" w:type="pct"/>
            <w:shd w:val="clear" w:color="auto" w:fill="auto"/>
            <w:vAlign w:val="center"/>
          </w:tcPr>
          <w:p w14:paraId="5595CD5C">
            <w:pPr>
              <w:spacing w:line="280" w:lineRule="exact"/>
              <w:jc w:val="center"/>
              <w:rPr>
                <w:rFonts w:ascii="Times New Roman"/>
                <w:sz w:val="21"/>
                <w:szCs w:val="21"/>
              </w:rPr>
            </w:pPr>
            <w:r>
              <w:rPr>
                <w:rFonts w:ascii="Times New Roman"/>
                <w:sz w:val="21"/>
                <w:szCs w:val="21"/>
              </w:rPr>
              <w:t>非甲烷总烃</w:t>
            </w:r>
          </w:p>
        </w:tc>
        <w:tc>
          <w:tcPr>
            <w:tcW w:w="374" w:type="pct"/>
            <w:shd w:val="clear" w:color="auto" w:fill="auto"/>
            <w:vAlign w:val="center"/>
          </w:tcPr>
          <w:p w14:paraId="52DC056F">
            <w:pPr>
              <w:jc w:val="center"/>
              <w:rPr>
                <w:rFonts w:ascii="Times New Roman"/>
                <w:sz w:val="21"/>
                <w:szCs w:val="21"/>
              </w:rPr>
            </w:pPr>
            <w:r>
              <w:rPr>
                <w:rFonts w:hint="eastAsia" w:ascii="Times New Roman"/>
                <w:sz w:val="21"/>
                <w:szCs w:val="21"/>
              </w:rPr>
              <w:t>0.0001</w:t>
            </w:r>
          </w:p>
        </w:tc>
      </w:tr>
      <w:tr w14:paraId="4875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76" w:type="pct"/>
            <w:shd w:val="clear" w:color="auto" w:fill="auto"/>
            <w:noWrap/>
            <w:vAlign w:val="center"/>
          </w:tcPr>
          <w:p w14:paraId="5E1159B4">
            <w:pPr>
              <w:spacing w:line="280" w:lineRule="exact"/>
              <w:jc w:val="center"/>
              <w:rPr>
                <w:rFonts w:ascii="Times New Roman"/>
                <w:sz w:val="21"/>
                <w:szCs w:val="21"/>
              </w:rPr>
            </w:pPr>
            <w:r>
              <w:rPr>
                <w:rFonts w:hint="eastAsia" w:ascii="Times New Roman"/>
                <w:sz w:val="21"/>
                <w:szCs w:val="21"/>
              </w:rPr>
              <w:t>喷涂</w:t>
            </w:r>
            <w:r>
              <w:rPr>
                <w:rFonts w:ascii="Times New Roman"/>
                <w:sz w:val="21"/>
                <w:szCs w:val="21"/>
              </w:rPr>
              <w:t>预处理</w:t>
            </w:r>
          </w:p>
        </w:tc>
        <w:tc>
          <w:tcPr>
            <w:tcW w:w="729" w:type="pct"/>
            <w:vAlign w:val="center"/>
          </w:tcPr>
          <w:p w14:paraId="6529CC44">
            <w:pPr>
              <w:spacing w:line="280" w:lineRule="exact"/>
              <w:jc w:val="center"/>
              <w:rPr>
                <w:rFonts w:ascii="Times New Roman"/>
                <w:sz w:val="21"/>
                <w:szCs w:val="21"/>
              </w:rPr>
            </w:pPr>
            <w:r>
              <w:rPr>
                <w:rFonts w:ascii="Times New Roman"/>
                <w:sz w:val="21"/>
                <w:szCs w:val="21"/>
              </w:rPr>
              <w:t>抛丸</w:t>
            </w:r>
            <w:r>
              <w:rPr>
                <w:rFonts w:hint="eastAsia" w:ascii="Times New Roman"/>
                <w:sz w:val="21"/>
                <w:szCs w:val="21"/>
              </w:rPr>
              <w:t>、喷砂DA007</w:t>
            </w:r>
          </w:p>
        </w:tc>
        <w:tc>
          <w:tcPr>
            <w:tcW w:w="576" w:type="pct"/>
            <w:vAlign w:val="center"/>
          </w:tcPr>
          <w:p w14:paraId="4632B3CE">
            <w:pPr>
              <w:spacing w:line="280" w:lineRule="exact"/>
              <w:jc w:val="center"/>
              <w:rPr>
                <w:rFonts w:ascii="Times New Roman"/>
                <w:sz w:val="21"/>
                <w:szCs w:val="21"/>
              </w:rPr>
            </w:pPr>
            <w:r>
              <w:rPr>
                <w:rFonts w:ascii="Times New Roman"/>
                <w:sz w:val="21"/>
                <w:szCs w:val="21"/>
              </w:rPr>
              <w:t>118.511098</w:t>
            </w:r>
          </w:p>
        </w:tc>
        <w:tc>
          <w:tcPr>
            <w:tcW w:w="588" w:type="pct"/>
            <w:vAlign w:val="center"/>
          </w:tcPr>
          <w:p w14:paraId="3640F2E2">
            <w:pPr>
              <w:spacing w:line="280" w:lineRule="exact"/>
              <w:jc w:val="center"/>
              <w:rPr>
                <w:rFonts w:ascii="Times New Roman"/>
                <w:sz w:val="21"/>
                <w:szCs w:val="21"/>
              </w:rPr>
            </w:pPr>
            <w:r>
              <w:rPr>
                <w:rFonts w:ascii="Times New Roman"/>
                <w:sz w:val="21"/>
                <w:szCs w:val="21"/>
              </w:rPr>
              <w:t>39.090150</w:t>
            </w:r>
          </w:p>
        </w:tc>
        <w:tc>
          <w:tcPr>
            <w:tcW w:w="457" w:type="pct"/>
            <w:vAlign w:val="center"/>
          </w:tcPr>
          <w:p w14:paraId="599ECC3D">
            <w:pPr>
              <w:spacing w:line="280" w:lineRule="exact"/>
              <w:jc w:val="center"/>
              <w:rPr>
                <w:rFonts w:ascii="Times New Roman"/>
                <w:sz w:val="21"/>
                <w:szCs w:val="21"/>
              </w:rPr>
            </w:pPr>
            <w:r>
              <w:rPr>
                <w:rFonts w:ascii="Times New Roman"/>
                <w:sz w:val="21"/>
                <w:szCs w:val="21"/>
              </w:rPr>
              <w:t>0</w:t>
            </w:r>
          </w:p>
        </w:tc>
        <w:tc>
          <w:tcPr>
            <w:tcW w:w="291" w:type="pct"/>
            <w:shd w:val="clear" w:color="auto" w:fill="auto"/>
            <w:vAlign w:val="center"/>
          </w:tcPr>
          <w:p w14:paraId="022F4B3E">
            <w:pPr>
              <w:jc w:val="center"/>
              <w:rPr>
                <w:rFonts w:ascii="Times New Roman"/>
                <w:sz w:val="21"/>
                <w:szCs w:val="21"/>
              </w:rPr>
            </w:pPr>
            <w:r>
              <w:rPr>
                <w:rFonts w:ascii="Times New Roman"/>
                <w:sz w:val="21"/>
                <w:szCs w:val="21"/>
              </w:rPr>
              <w:t>20</w:t>
            </w:r>
          </w:p>
        </w:tc>
        <w:tc>
          <w:tcPr>
            <w:tcW w:w="267" w:type="pct"/>
            <w:shd w:val="clear" w:color="auto" w:fill="auto"/>
            <w:vAlign w:val="center"/>
          </w:tcPr>
          <w:p w14:paraId="6D56A22B">
            <w:pPr>
              <w:spacing w:line="280" w:lineRule="exact"/>
              <w:jc w:val="center"/>
              <w:rPr>
                <w:rFonts w:ascii="Times New Roman" w:eastAsia="Times New Roman"/>
                <w:sz w:val="21"/>
                <w:szCs w:val="21"/>
              </w:rPr>
            </w:pPr>
            <w:r>
              <w:rPr>
                <w:rFonts w:ascii="Times New Roman"/>
                <w:sz w:val="21"/>
                <w:szCs w:val="21"/>
              </w:rPr>
              <w:t>0.</w:t>
            </w:r>
            <w:r>
              <w:rPr>
                <w:rFonts w:hint="eastAsia" w:ascii="Times New Roman"/>
                <w:sz w:val="21"/>
                <w:szCs w:val="21"/>
              </w:rPr>
              <w:t>7</w:t>
            </w:r>
          </w:p>
        </w:tc>
        <w:tc>
          <w:tcPr>
            <w:tcW w:w="297" w:type="pct"/>
            <w:shd w:val="clear" w:color="auto" w:fill="auto"/>
            <w:vAlign w:val="center"/>
          </w:tcPr>
          <w:p w14:paraId="47E3B055">
            <w:pPr>
              <w:jc w:val="center"/>
              <w:rPr>
                <w:rFonts w:ascii="Times New Roman" w:eastAsia="Times New Roman"/>
                <w:sz w:val="21"/>
                <w:szCs w:val="21"/>
              </w:rPr>
            </w:pPr>
            <w:r>
              <w:rPr>
                <w:rFonts w:ascii="Times New Roman" w:eastAsia="Times New Roman"/>
                <w:sz w:val="21"/>
                <w:szCs w:val="21"/>
              </w:rPr>
              <w:t>25</w:t>
            </w:r>
          </w:p>
        </w:tc>
        <w:tc>
          <w:tcPr>
            <w:tcW w:w="326" w:type="pct"/>
            <w:vAlign w:val="center"/>
          </w:tcPr>
          <w:p w14:paraId="44DB8CBF">
            <w:pPr>
              <w:spacing w:line="280" w:lineRule="exact"/>
              <w:jc w:val="center"/>
              <w:rPr>
                <w:rFonts w:ascii="Times New Roman"/>
                <w:sz w:val="21"/>
                <w:szCs w:val="21"/>
              </w:rPr>
            </w:pPr>
            <w:r>
              <w:rPr>
                <w:rFonts w:ascii="Times New Roman"/>
                <w:sz w:val="21"/>
                <w:szCs w:val="21"/>
              </w:rPr>
              <w:t>14.4</w:t>
            </w:r>
          </w:p>
        </w:tc>
        <w:tc>
          <w:tcPr>
            <w:tcW w:w="231" w:type="pct"/>
            <w:vMerge w:val="continue"/>
            <w:vAlign w:val="center"/>
          </w:tcPr>
          <w:p w14:paraId="6105209E">
            <w:pPr>
              <w:spacing w:line="280" w:lineRule="exact"/>
              <w:jc w:val="center"/>
              <w:rPr>
                <w:rFonts w:ascii="Times New Roman"/>
                <w:sz w:val="21"/>
                <w:szCs w:val="21"/>
              </w:rPr>
            </w:pPr>
          </w:p>
        </w:tc>
        <w:tc>
          <w:tcPr>
            <w:tcW w:w="481" w:type="pct"/>
            <w:shd w:val="clear" w:color="auto" w:fill="auto"/>
            <w:vAlign w:val="center"/>
          </w:tcPr>
          <w:p w14:paraId="344CF0FB">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14D5101E">
            <w:pPr>
              <w:jc w:val="center"/>
              <w:rPr>
                <w:rFonts w:ascii="Times New Roman" w:eastAsia="Times New Roman"/>
                <w:sz w:val="21"/>
                <w:szCs w:val="21"/>
              </w:rPr>
            </w:pPr>
            <w:r>
              <w:rPr>
                <w:rFonts w:ascii="Times New Roman" w:eastAsia="Times New Roman"/>
                <w:sz w:val="21"/>
                <w:szCs w:val="21"/>
              </w:rPr>
              <w:t>0.06</w:t>
            </w:r>
            <w:r>
              <w:rPr>
                <w:rFonts w:hint="eastAsia" w:ascii="Times New Roman" w:eastAsia="Times New Roman"/>
                <w:sz w:val="21"/>
                <w:szCs w:val="21"/>
              </w:rPr>
              <w:t>4</w:t>
            </w:r>
          </w:p>
        </w:tc>
      </w:tr>
      <w:tr w14:paraId="38BE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76" w:type="pct"/>
            <w:vMerge w:val="restart"/>
            <w:shd w:val="clear" w:color="auto" w:fill="auto"/>
            <w:noWrap/>
            <w:vAlign w:val="center"/>
          </w:tcPr>
          <w:p w14:paraId="2CBFAF53">
            <w:pPr>
              <w:spacing w:line="280" w:lineRule="exact"/>
              <w:jc w:val="center"/>
              <w:rPr>
                <w:rFonts w:ascii="Times New Roman"/>
                <w:sz w:val="21"/>
                <w:szCs w:val="21"/>
              </w:rPr>
            </w:pPr>
            <w:r>
              <w:rPr>
                <w:rFonts w:ascii="Times New Roman"/>
                <w:sz w:val="21"/>
                <w:szCs w:val="21"/>
              </w:rPr>
              <w:t>电泳</w:t>
            </w:r>
            <w:r>
              <w:rPr>
                <w:rFonts w:hint="eastAsia" w:ascii="Times New Roman"/>
                <w:sz w:val="21"/>
                <w:szCs w:val="21"/>
              </w:rPr>
              <w:t>、喷涂</w:t>
            </w:r>
            <w:r>
              <w:rPr>
                <w:rFonts w:ascii="Times New Roman"/>
                <w:sz w:val="21"/>
                <w:szCs w:val="21"/>
              </w:rPr>
              <w:t>生产线</w:t>
            </w:r>
          </w:p>
        </w:tc>
        <w:tc>
          <w:tcPr>
            <w:tcW w:w="729" w:type="pct"/>
            <w:vAlign w:val="center"/>
          </w:tcPr>
          <w:p w14:paraId="73DC0D94">
            <w:pPr>
              <w:spacing w:line="280" w:lineRule="exact"/>
              <w:jc w:val="center"/>
              <w:rPr>
                <w:rFonts w:ascii="Times New Roman"/>
                <w:sz w:val="21"/>
                <w:szCs w:val="21"/>
              </w:rPr>
            </w:pPr>
            <w:r>
              <w:rPr>
                <w:rFonts w:hint="eastAsia" w:ascii="Times New Roman"/>
                <w:sz w:val="21"/>
                <w:szCs w:val="21"/>
              </w:rPr>
              <w:t>喷塑DA008</w:t>
            </w:r>
          </w:p>
        </w:tc>
        <w:tc>
          <w:tcPr>
            <w:tcW w:w="576" w:type="pct"/>
            <w:vAlign w:val="center"/>
          </w:tcPr>
          <w:p w14:paraId="2B34C418">
            <w:pPr>
              <w:spacing w:line="280" w:lineRule="exact"/>
              <w:jc w:val="center"/>
              <w:rPr>
                <w:rFonts w:ascii="Times New Roman"/>
                <w:sz w:val="21"/>
                <w:szCs w:val="21"/>
              </w:rPr>
            </w:pPr>
            <w:r>
              <w:rPr>
                <w:rFonts w:ascii="Times New Roman"/>
                <w:sz w:val="21"/>
                <w:szCs w:val="21"/>
              </w:rPr>
              <w:t>118.511806</w:t>
            </w:r>
          </w:p>
        </w:tc>
        <w:tc>
          <w:tcPr>
            <w:tcW w:w="588" w:type="pct"/>
            <w:vAlign w:val="center"/>
          </w:tcPr>
          <w:p w14:paraId="26070312">
            <w:pPr>
              <w:spacing w:line="280" w:lineRule="exact"/>
              <w:jc w:val="center"/>
              <w:rPr>
                <w:rFonts w:ascii="Times New Roman"/>
                <w:sz w:val="21"/>
                <w:szCs w:val="21"/>
              </w:rPr>
            </w:pPr>
            <w:r>
              <w:rPr>
                <w:rFonts w:ascii="Times New Roman"/>
                <w:sz w:val="21"/>
                <w:szCs w:val="21"/>
              </w:rPr>
              <w:t>39.089875</w:t>
            </w:r>
          </w:p>
        </w:tc>
        <w:tc>
          <w:tcPr>
            <w:tcW w:w="457" w:type="pct"/>
            <w:vAlign w:val="center"/>
          </w:tcPr>
          <w:p w14:paraId="547C586D">
            <w:pPr>
              <w:spacing w:line="280" w:lineRule="exact"/>
              <w:jc w:val="center"/>
              <w:rPr>
                <w:rFonts w:ascii="Times New Roman"/>
                <w:sz w:val="21"/>
                <w:szCs w:val="21"/>
              </w:rPr>
            </w:pPr>
            <w:r>
              <w:rPr>
                <w:rFonts w:ascii="Times New Roman"/>
                <w:sz w:val="21"/>
                <w:szCs w:val="21"/>
              </w:rPr>
              <w:t>0</w:t>
            </w:r>
          </w:p>
        </w:tc>
        <w:tc>
          <w:tcPr>
            <w:tcW w:w="291" w:type="pct"/>
            <w:shd w:val="clear" w:color="auto" w:fill="auto"/>
            <w:vAlign w:val="center"/>
          </w:tcPr>
          <w:p w14:paraId="33EAE857">
            <w:pPr>
              <w:jc w:val="center"/>
              <w:rPr>
                <w:rFonts w:ascii="Times New Roman"/>
                <w:sz w:val="21"/>
                <w:szCs w:val="21"/>
              </w:rPr>
            </w:pPr>
            <w:r>
              <w:rPr>
                <w:rFonts w:ascii="Times New Roman"/>
                <w:sz w:val="21"/>
                <w:szCs w:val="21"/>
              </w:rPr>
              <w:t>20</w:t>
            </w:r>
          </w:p>
        </w:tc>
        <w:tc>
          <w:tcPr>
            <w:tcW w:w="267" w:type="pct"/>
            <w:shd w:val="clear" w:color="auto" w:fill="auto"/>
            <w:vAlign w:val="center"/>
          </w:tcPr>
          <w:p w14:paraId="7BF9BFF5">
            <w:pPr>
              <w:spacing w:line="280" w:lineRule="exact"/>
              <w:jc w:val="center"/>
              <w:rPr>
                <w:rFonts w:ascii="Times New Roman" w:eastAsia="Times New Roman"/>
                <w:sz w:val="21"/>
                <w:szCs w:val="21"/>
              </w:rPr>
            </w:pPr>
            <w:r>
              <w:rPr>
                <w:rFonts w:ascii="Times New Roman"/>
                <w:sz w:val="21"/>
                <w:szCs w:val="21"/>
              </w:rPr>
              <w:t>0.</w:t>
            </w:r>
            <w:r>
              <w:rPr>
                <w:rFonts w:hint="eastAsia" w:ascii="Times New Roman"/>
                <w:sz w:val="21"/>
                <w:szCs w:val="21"/>
              </w:rPr>
              <w:t>6</w:t>
            </w:r>
          </w:p>
        </w:tc>
        <w:tc>
          <w:tcPr>
            <w:tcW w:w="297" w:type="pct"/>
            <w:shd w:val="clear" w:color="auto" w:fill="auto"/>
            <w:vAlign w:val="center"/>
          </w:tcPr>
          <w:p w14:paraId="3D306684">
            <w:pPr>
              <w:jc w:val="center"/>
              <w:rPr>
                <w:rFonts w:ascii="Times New Roman" w:eastAsia="Times New Roman"/>
                <w:sz w:val="21"/>
                <w:szCs w:val="21"/>
              </w:rPr>
            </w:pPr>
            <w:r>
              <w:rPr>
                <w:rFonts w:ascii="Times New Roman" w:eastAsia="Times New Roman"/>
                <w:sz w:val="21"/>
                <w:szCs w:val="21"/>
              </w:rPr>
              <w:t>25</w:t>
            </w:r>
          </w:p>
        </w:tc>
        <w:tc>
          <w:tcPr>
            <w:tcW w:w="326" w:type="pct"/>
            <w:vAlign w:val="center"/>
          </w:tcPr>
          <w:p w14:paraId="002060D0">
            <w:pPr>
              <w:spacing w:line="280" w:lineRule="exact"/>
              <w:jc w:val="center"/>
              <w:rPr>
                <w:rFonts w:ascii="Times New Roman"/>
                <w:sz w:val="21"/>
                <w:szCs w:val="21"/>
              </w:rPr>
            </w:pPr>
            <w:r>
              <w:rPr>
                <w:rFonts w:hint="eastAsia" w:ascii="Times New Roman"/>
                <w:sz w:val="21"/>
                <w:szCs w:val="21"/>
              </w:rPr>
              <w:t>14.7</w:t>
            </w:r>
          </w:p>
        </w:tc>
        <w:tc>
          <w:tcPr>
            <w:tcW w:w="231" w:type="pct"/>
            <w:vMerge w:val="continue"/>
            <w:vAlign w:val="center"/>
          </w:tcPr>
          <w:p w14:paraId="69E18B55">
            <w:pPr>
              <w:spacing w:line="280" w:lineRule="exact"/>
              <w:jc w:val="center"/>
              <w:rPr>
                <w:rFonts w:ascii="Times New Roman"/>
                <w:sz w:val="21"/>
                <w:szCs w:val="21"/>
              </w:rPr>
            </w:pPr>
          </w:p>
        </w:tc>
        <w:tc>
          <w:tcPr>
            <w:tcW w:w="481" w:type="pct"/>
            <w:shd w:val="clear" w:color="auto" w:fill="auto"/>
            <w:vAlign w:val="center"/>
          </w:tcPr>
          <w:p w14:paraId="048C0391">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66AC4466">
            <w:pPr>
              <w:jc w:val="center"/>
              <w:rPr>
                <w:rFonts w:ascii="Times New Roman" w:eastAsia="Times New Roman"/>
                <w:sz w:val="21"/>
                <w:szCs w:val="21"/>
              </w:rPr>
            </w:pPr>
            <w:r>
              <w:rPr>
                <w:rFonts w:hint="eastAsia" w:ascii="Times New Roman" w:eastAsia="Times New Roman"/>
                <w:sz w:val="21"/>
                <w:szCs w:val="21"/>
              </w:rPr>
              <w:t>0.119</w:t>
            </w:r>
          </w:p>
        </w:tc>
      </w:tr>
      <w:tr w14:paraId="68E7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76" w:type="pct"/>
            <w:vMerge w:val="continue"/>
            <w:shd w:val="clear" w:color="auto" w:fill="auto"/>
            <w:noWrap/>
            <w:vAlign w:val="center"/>
          </w:tcPr>
          <w:p w14:paraId="6E9725C7">
            <w:pPr>
              <w:spacing w:line="280" w:lineRule="exact"/>
              <w:jc w:val="center"/>
              <w:rPr>
                <w:rFonts w:ascii="Times New Roman"/>
                <w:sz w:val="21"/>
                <w:szCs w:val="21"/>
              </w:rPr>
            </w:pPr>
          </w:p>
        </w:tc>
        <w:tc>
          <w:tcPr>
            <w:tcW w:w="729" w:type="pct"/>
            <w:vMerge w:val="restart"/>
            <w:vAlign w:val="center"/>
          </w:tcPr>
          <w:p w14:paraId="3629BB49">
            <w:pPr>
              <w:spacing w:line="280" w:lineRule="exact"/>
              <w:jc w:val="center"/>
              <w:rPr>
                <w:rFonts w:ascii="Times New Roman"/>
                <w:sz w:val="21"/>
                <w:szCs w:val="21"/>
              </w:rPr>
            </w:pPr>
            <w:r>
              <w:rPr>
                <w:rFonts w:ascii="Times New Roman"/>
                <w:kern w:val="0"/>
                <w:sz w:val="21"/>
                <w:szCs w:val="21"/>
              </w:rPr>
              <w:t>电泳、</w:t>
            </w:r>
            <w:r>
              <w:rPr>
                <w:rFonts w:hint="eastAsia" w:ascii="Times New Roman"/>
                <w:kern w:val="0"/>
                <w:sz w:val="21"/>
                <w:szCs w:val="21"/>
              </w:rPr>
              <w:t>调漆、</w:t>
            </w:r>
            <w:r>
              <w:rPr>
                <w:rFonts w:ascii="Times New Roman"/>
                <w:kern w:val="0"/>
                <w:sz w:val="21"/>
                <w:szCs w:val="21"/>
              </w:rPr>
              <w:t>喷漆、流平</w:t>
            </w:r>
            <w:r>
              <w:rPr>
                <w:rFonts w:hint="eastAsia" w:ascii="Times New Roman"/>
                <w:kern w:val="0"/>
                <w:sz w:val="21"/>
                <w:szCs w:val="21"/>
              </w:rPr>
              <w:t>、</w:t>
            </w:r>
            <w:r>
              <w:rPr>
                <w:rFonts w:ascii="Times New Roman"/>
                <w:sz w:val="21"/>
                <w:szCs w:val="21"/>
              </w:rPr>
              <w:t>烘干固化</w:t>
            </w:r>
            <w:r>
              <w:rPr>
                <w:rFonts w:hint="eastAsia" w:ascii="Times New Roman"/>
                <w:sz w:val="21"/>
                <w:szCs w:val="21"/>
              </w:rPr>
              <w:t>、强冷、喷塑后固化DA009</w:t>
            </w:r>
          </w:p>
        </w:tc>
        <w:tc>
          <w:tcPr>
            <w:tcW w:w="576" w:type="pct"/>
            <w:vMerge w:val="restart"/>
            <w:vAlign w:val="center"/>
          </w:tcPr>
          <w:p w14:paraId="192412D6">
            <w:pPr>
              <w:spacing w:line="280" w:lineRule="exact"/>
              <w:jc w:val="center"/>
              <w:rPr>
                <w:rFonts w:ascii="Times New Roman"/>
                <w:sz w:val="21"/>
                <w:szCs w:val="21"/>
              </w:rPr>
            </w:pPr>
            <w:r>
              <w:rPr>
                <w:rFonts w:ascii="Times New Roman"/>
                <w:sz w:val="21"/>
                <w:szCs w:val="21"/>
              </w:rPr>
              <w:t>118.512029</w:t>
            </w:r>
          </w:p>
        </w:tc>
        <w:tc>
          <w:tcPr>
            <w:tcW w:w="588" w:type="pct"/>
            <w:vMerge w:val="restart"/>
            <w:vAlign w:val="center"/>
          </w:tcPr>
          <w:p w14:paraId="7029D6AE">
            <w:pPr>
              <w:spacing w:line="280" w:lineRule="exact"/>
              <w:jc w:val="center"/>
              <w:rPr>
                <w:rFonts w:ascii="Times New Roman"/>
                <w:sz w:val="21"/>
                <w:szCs w:val="21"/>
              </w:rPr>
            </w:pPr>
            <w:r>
              <w:rPr>
                <w:rFonts w:ascii="Times New Roman"/>
                <w:sz w:val="21"/>
                <w:szCs w:val="21"/>
              </w:rPr>
              <w:t>39.089786</w:t>
            </w:r>
          </w:p>
        </w:tc>
        <w:tc>
          <w:tcPr>
            <w:tcW w:w="457" w:type="pct"/>
            <w:vMerge w:val="restart"/>
            <w:vAlign w:val="center"/>
          </w:tcPr>
          <w:p w14:paraId="71A066A0">
            <w:pPr>
              <w:spacing w:line="280" w:lineRule="exact"/>
              <w:jc w:val="center"/>
              <w:rPr>
                <w:rFonts w:ascii="Times New Roman"/>
                <w:sz w:val="21"/>
                <w:szCs w:val="21"/>
              </w:rPr>
            </w:pPr>
            <w:r>
              <w:rPr>
                <w:rFonts w:ascii="Times New Roman"/>
                <w:sz w:val="21"/>
                <w:szCs w:val="21"/>
              </w:rPr>
              <w:t>0</w:t>
            </w:r>
          </w:p>
        </w:tc>
        <w:tc>
          <w:tcPr>
            <w:tcW w:w="291" w:type="pct"/>
            <w:vMerge w:val="restart"/>
            <w:vAlign w:val="center"/>
          </w:tcPr>
          <w:p w14:paraId="5DCECBD6">
            <w:pPr>
              <w:jc w:val="center"/>
              <w:rPr>
                <w:rFonts w:ascii="Times New Roman"/>
                <w:sz w:val="21"/>
                <w:szCs w:val="21"/>
              </w:rPr>
            </w:pPr>
            <w:r>
              <w:rPr>
                <w:rFonts w:hint="eastAsia" w:ascii="Times New Roman"/>
                <w:sz w:val="21"/>
                <w:szCs w:val="21"/>
              </w:rPr>
              <w:t>20</w:t>
            </w:r>
          </w:p>
        </w:tc>
        <w:tc>
          <w:tcPr>
            <w:tcW w:w="267" w:type="pct"/>
            <w:vMerge w:val="restart"/>
            <w:vAlign w:val="center"/>
          </w:tcPr>
          <w:p w14:paraId="6392ED57">
            <w:pPr>
              <w:spacing w:line="280" w:lineRule="exact"/>
              <w:jc w:val="center"/>
              <w:rPr>
                <w:rFonts w:ascii="Times New Roman"/>
                <w:sz w:val="21"/>
                <w:szCs w:val="21"/>
              </w:rPr>
            </w:pPr>
            <w:r>
              <w:rPr>
                <w:rFonts w:hint="eastAsia" w:ascii="Times New Roman"/>
                <w:sz w:val="21"/>
                <w:szCs w:val="21"/>
              </w:rPr>
              <w:t>2</w:t>
            </w:r>
          </w:p>
        </w:tc>
        <w:tc>
          <w:tcPr>
            <w:tcW w:w="297" w:type="pct"/>
            <w:vMerge w:val="restart"/>
            <w:vAlign w:val="center"/>
          </w:tcPr>
          <w:p w14:paraId="17A5B565">
            <w:pPr>
              <w:jc w:val="center"/>
              <w:rPr>
                <w:rFonts w:ascii="Times New Roman"/>
                <w:sz w:val="21"/>
                <w:szCs w:val="21"/>
              </w:rPr>
            </w:pPr>
            <w:r>
              <w:rPr>
                <w:rFonts w:hint="eastAsia" w:ascii="Times New Roman"/>
                <w:sz w:val="21"/>
                <w:szCs w:val="21"/>
              </w:rPr>
              <w:t>60</w:t>
            </w:r>
          </w:p>
        </w:tc>
        <w:tc>
          <w:tcPr>
            <w:tcW w:w="326" w:type="pct"/>
            <w:vMerge w:val="restart"/>
            <w:vAlign w:val="center"/>
          </w:tcPr>
          <w:p w14:paraId="5ECE901C">
            <w:pPr>
              <w:spacing w:line="280" w:lineRule="exact"/>
              <w:jc w:val="center"/>
              <w:rPr>
                <w:rFonts w:ascii="Times New Roman"/>
                <w:sz w:val="21"/>
                <w:szCs w:val="21"/>
              </w:rPr>
            </w:pPr>
            <w:r>
              <w:rPr>
                <w:rFonts w:hint="eastAsia" w:ascii="Times New Roman"/>
                <w:sz w:val="21"/>
                <w:szCs w:val="21"/>
              </w:rPr>
              <w:t>22.2</w:t>
            </w:r>
          </w:p>
        </w:tc>
        <w:tc>
          <w:tcPr>
            <w:tcW w:w="231" w:type="pct"/>
            <w:vMerge w:val="continue"/>
            <w:vAlign w:val="center"/>
          </w:tcPr>
          <w:p w14:paraId="39855481">
            <w:pPr>
              <w:spacing w:line="280" w:lineRule="exact"/>
              <w:jc w:val="center"/>
              <w:rPr>
                <w:rFonts w:ascii="Times New Roman"/>
                <w:sz w:val="21"/>
                <w:szCs w:val="21"/>
              </w:rPr>
            </w:pPr>
          </w:p>
        </w:tc>
        <w:tc>
          <w:tcPr>
            <w:tcW w:w="481" w:type="pct"/>
            <w:shd w:val="clear" w:color="auto" w:fill="auto"/>
            <w:vAlign w:val="center"/>
          </w:tcPr>
          <w:p w14:paraId="20E9A790">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7654EC65">
            <w:pPr>
              <w:jc w:val="center"/>
              <w:rPr>
                <w:rFonts w:ascii="Times New Roman"/>
                <w:sz w:val="21"/>
                <w:szCs w:val="21"/>
                <w:lang w:bidi="zh-TW"/>
              </w:rPr>
            </w:pPr>
            <w:r>
              <w:rPr>
                <w:rFonts w:hint="eastAsia" w:ascii="Times New Roman"/>
                <w:sz w:val="21"/>
                <w:szCs w:val="21"/>
              </w:rPr>
              <w:t>1.449</w:t>
            </w:r>
          </w:p>
        </w:tc>
      </w:tr>
      <w:tr w14:paraId="52BE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76" w:type="pct"/>
            <w:vMerge w:val="continue"/>
            <w:shd w:val="clear" w:color="auto" w:fill="auto"/>
            <w:noWrap/>
            <w:vAlign w:val="center"/>
          </w:tcPr>
          <w:p w14:paraId="44E616FC">
            <w:pPr>
              <w:spacing w:line="280" w:lineRule="exact"/>
              <w:jc w:val="center"/>
              <w:rPr>
                <w:rFonts w:ascii="Times New Roman"/>
                <w:sz w:val="21"/>
                <w:szCs w:val="21"/>
              </w:rPr>
            </w:pPr>
          </w:p>
        </w:tc>
        <w:tc>
          <w:tcPr>
            <w:tcW w:w="729" w:type="pct"/>
            <w:vMerge w:val="continue"/>
            <w:vAlign w:val="center"/>
          </w:tcPr>
          <w:p w14:paraId="6F23B18C">
            <w:pPr>
              <w:spacing w:line="280" w:lineRule="exact"/>
              <w:jc w:val="center"/>
              <w:rPr>
                <w:rFonts w:ascii="Times New Roman"/>
                <w:sz w:val="21"/>
                <w:szCs w:val="21"/>
              </w:rPr>
            </w:pPr>
          </w:p>
        </w:tc>
        <w:tc>
          <w:tcPr>
            <w:tcW w:w="576" w:type="pct"/>
            <w:vMerge w:val="continue"/>
            <w:vAlign w:val="center"/>
          </w:tcPr>
          <w:p w14:paraId="7876C2F3">
            <w:pPr>
              <w:spacing w:line="280" w:lineRule="exact"/>
              <w:jc w:val="center"/>
              <w:rPr>
                <w:rFonts w:ascii="Times New Roman"/>
                <w:sz w:val="21"/>
                <w:szCs w:val="21"/>
              </w:rPr>
            </w:pPr>
          </w:p>
        </w:tc>
        <w:tc>
          <w:tcPr>
            <w:tcW w:w="588" w:type="pct"/>
            <w:vMerge w:val="continue"/>
            <w:vAlign w:val="center"/>
          </w:tcPr>
          <w:p w14:paraId="38593570">
            <w:pPr>
              <w:spacing w:line="280" w:lineRule="exact"/>
              <w:jc w:val="center"/>
              <w:rPr>
                <w:rFonts w:ascii="Times New Roman"/>
                <w:sz w:val="21"/>
                <w:szCs w:val="21"/>
              </w:rPr>
            </w:pPr>
          </w:p>
        </w:tc>
        <w:tc>
          <w:tcPr>
            <w:tcW w:w="457" w:type="pct"/>
            <w:vMerge w:val="continue"/>
            <w:vAlign w:val="center"/>
          </w:tcPr>
          <w:p w14:paraId="58173513">
            <w:pPr>
              <w:spacing w:line="280" w:lineRule="exact"/>
              <w:jc w:val="center"/>
              <w:rPr>
                <w:rFonts w:ascii="Times New Roman"/>
                <w:sz w:val="21"/>
                <w:szCs w:val="21"/>
              </w:rPr>
            </w:pPr>
          </w:p>
        </w:tc>
        <w:tc>
          <w:tcPr>
            <w:tcW w:w="291" w:type="pct"/>
            <w:vMerge w:val="continue"/>
            <w:vAlign w:val="center"/>
          </w:tcPr>
          <w:p w14:paraId="6EC54EB3">
            <w:pPr>
              <w:spacing w:line="280" w:lineRule="exact"/>
              <w:jc w:val="center"/>
              <w:rPr>
                <w:rFonts w:ascii="Times New Roman"/>
                <w:sz w:val="21"/>
                <w:szCs w:val="21"/>
              </w:rPr>
            </w:pPr>
          </w:p>
        </w:tc>
        <w:tc>
          <w:tcPr>
            <w:tcW w:w="267" w:type="pct"/>
            <w:vMerge w:val="continue"/>
            <w:vAlign w:val="center"/>
          </w:tcPr>
          <w:p w14:paraId="6E4F7668">
            <w:pPr>
              <w:spacing w:line="280" w:lineRule="exact"/>
              <w:jc w:val="center"/>
              <w:rPr>
                <w:rFonts w:ascii="Times New Roman"/>
                <w:sz w:val="21"/>
                <w:szCs w:val="21"/>
              </w:rPr>
            </w:pPr>
          </w:p>
        </w:tc>
        <w:tc>
          <w:tcPr>
            <w:tcW w:w="297" w:type="pct"/>
            <w:vMerge w:val="continue"/>
            <w:vAlign w:val="center"/>
          </w:tcPr>
          <w:p w14:paraId="1E154DB7">
            <w:pPr>
              <w:spacing w:line="280" w:lineRule="exact"/>
              <w:jc w:val="center"/>
              <w:rPr>
                <w:rFonts w:ascii="Times New Roman"/>
                <w:sz w:val="21"/>
                <w:szCs w:val="21"/>
              </w:rPr>
            </w:pPr>
          </w:p>
        </w:tc>
        <w:tc>
          <w:tcPr>
            <w:tcW w:w="326" w:type="pct"/>
            <w:vMerge w:val="continue"/>
            <w:vAlign w:val="center"/>
          </w:tcPr>
          <w:p w14:paraId="5A93DA00">
            <w:pPr>
              <w:spacing w:line="280" w:lineRule="exact"/>
              <w:jc w:val="center"/>
              <w:rPr>
                <w:rFonts w:ascii="Times New Roman"/>
                <w:sz w:val="21"/>
                <w:szCs w:val="21"/>
              </w:rPr>
            </w:pPr>
          </w:p>
        </w:tc>
        <w:tc>
          <w:tcPr>
            <w:tcW w:w="231" w:type="pct"/>
            <w:vMerge w:val="continue"/>
            <w:vAlign w:val="center"/>
          </w:tcPr>
          <w:p w14:paraId="26DBCBAE">
            <w:pPr>
              <w:spacing w:line="280" w:lineRule="exact"/>
              <w:jc w:val="center"/>
              <w:rPr>
                <w:rFonts w:ascii="Times New Roman"/>
                <w:sz w:val="21"/>
                <w:szCs w:val="21"/>
              </w:rPr>
            </w:pPr>
          </w:p>
        </w:tc>
        <w:tc>
          <w:tcPr>
            <w:tcW w:w="481" w:type="pct"/>
            <w:shd w:val="clear" w:color="auto" w:fill="auto"/>
            <w:vAlign w:val="center"/>
          </w:tcPr>
          <w:p w14:paraId="592A130E">
            <w:pPr>
              <w:spacing w:line="28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374" w:type="pct"/>
            <w:shd w:val="clear" w:color="auto" w:fill="auto"/>
            <w:vAlign w:val="center"/>
          </w:tcPr>
          <w:p w14:paraId="2215FE0A">
            <w:pPr>
              <w:jc w:val="center"/>
              <w:rPr>
                <w:rFonts w:ascii="Times New Roman"/>
                <w:sz w:val="21"/>
                <w:szCs w:val="21"/>
                <w:lang w:bidi="zh-TW"/>
              </w:rPr>
            </w:pPr>
            <w:r>
              <w:rPr>
                <w:rFonts w:hint="eastAsia" w:ascii="Times New Roman"/>
                <w:sz w:val="21"/>
                <w:szCs w:val="21"/>
                <w:lang w:bidi="zh-TW"/>
              </w:rPr>
              <w:t>0.004</w:t>
            </w:r>
          </w:p>
        </w:tc>
      </w:tr>
      <w:tr w14:paraId="6145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76" w:type="pct"/>
            <w:vMerge w:val="continue"/>
            <w:shd w:val="clear" w:color="auto" w:fill="auto"/>
            <w:noWrap/>
            <w:vAlign w:val="center"/>
          </w:tcPr>
          <w:p w14:paraId="0439A9A5">
            <w:pPr>
              <w:spacing w:line="280" w:lineRule="exact"/>
              <w:jc w:val="center"/>
              <w:rPr>
                <w:rFonts w:ascii="Times New Roman"/>
                <w:sz w:val="21"/>
                <w:szCs w:val="21"/>
              </w:rPr>
            </w:pPr>
          </w:p>
        </w:tc>
        <w:tc>
          <w:tcPr>
            <w:tcW w:w="729" w:type="pct"/>
            <w:vMerge w:val="continue"/>
            <w:vAlign w:val="center"/>
          </w:tcPr>
          <w:p w14:paraId="29E161B5">
            <w:pPr>
              <w:spacing w:line="280" w:lineRule="exact"/>
              <w:jc w:val="center"/>
              <w:rPr>
                <w:rFonts w:ascii="Times New Roman"/>
                <w:sz w:val="21"/>
                <w:szCs w:val="21"/>
              </w:rPr>
            </w:pPr>
          </w:p>
        </w:tc>
        <w:tc>
          <w:tcPr>
            <w:tcW w:w="576" w:type="pct"/>
            <w:vMerge w:val="continue"/>
            <w:vAlign w:val="center"/>
          </w:tcPr>
          <w:p w14:paraId="45A047C2">
            <w:pPr>
              <w:spacing w:line="280" w:lineRule="exact"/>
              <w:jc w:val="center"/>
              <w:rPr>
                <w:rFonts w:ascii="Times New Roman"/>
                <w:sz w:val="21"/>
                <w:szCs w:val="21"/>
              </w:rPr>
            </w:pPr>
          </w:p>
        </w:tc>
        <w:tc>
          <w:tcPr>
            <w:tcW w:w="588" w:type="pct"/>
            <w:vMerge w:val="continue"/>
            <w:vAlign w:val="center"/>
          </w:tcPr>
          <w:p w14:paraId="7A42560A">
            <w:pPr>
              <w:spacing w:line="280" w:lineRule="exact"/>
              <w:jc w:val="center"/>
              <w:rPr>
                <w:rFonts w:ascii="Times New Roman"/>
                <w:sz w:val="21"/>
                <w:szCs w:val="21"/>
              </w:rPr>
            </w:pPr>
          </w:p>
        </w:tc>
        <w:tc>
          <w:tcPr>
            <w:tcW w:w="457" w:type="pct"/>
            <w:vMerge w:val="continue"/>
            <w:vAlign w:val="center"/>
          </w:tcPr>
          <w:p w14:paraId="40A6C303">
            <w:pPr>
              <w:spacing w:line="280" w:lineRule="exact"/>
              <w:jc w:val="center"/>
              <w:rPr>
                <w:rFonts w:ascii="Times New Roman"/>
                <w:sz w:val="21"/>
                <w:szCs w:val="21"/>
              </w:rPr>
            </w:pPr>
          </w:p>
        </w:tc>
        <w:tc>
          <w:tcPr>
            <w:tcW w:w="291" w:type="pct"/>
            <w:vMerge w:val="continue"/>
            <w:vAlign w:val="center"/>
          </w:tcPr>
          <w:p w14:paraId="609D0878">
            <w:pPr>
              <w:spacing w:line="280" w:lineRule="exact"/>
              <w:jc w:val="center"/>
              <w:rPr>
                <w:rFonts w:ascii="Times New Roman"/>
                <w:sz w:val="21"/>
                <w:szCs w:val="21"/>
              </w:rPr>
            </w:pPr>
          </w:p>
        </w:tc>
        <w:tc>
          <w:tcPr>
            <w:tcW w:w="267" w:type="pct"/>
            <w:vMerge w:val="continue"/>
            <w:vAlign w:val="center"/>
          </w:tcPr>
          <w:p w14:paraId="70526AD1">
            <w:pPr>
              <w:spacing w:line="280" w:lineRule="exact"/>
              <w:jc w:val="center"/>
              <w:rPr>
                <w:rFonts w:ascii="Times New Roman"/>
                <w:sz w:val="21"/>
                <w:szCs w:val="21"/>
              </w:rPr>
            </w:pPr>
          </w:p>
        </w:tc>
        <w:tc>
          <w:tcPr>
            <w:tcW w:w="297" w:type="pct"/>
            <w:vMerge w:val="continue"/>
            <w:vAlign w:val="center"/>
          </w:tcPr>
          <w:p w14:paraId="44C79A4D">
            <w:pPr>
              <w:spacing w:line="280" w:lineRule="exact"/>
              <w:jc w:val="center"/>
              <w:rPr>
                <w:rFonts w:ascii="Times New Roman"/>
                <w:sz w:val="21"/>
                <w:szCs w:val="21"/>
              </w:rPr>
            </w:pPr>
          </w:p>
        </w:tc>
        <w:tc>
          <w:tcPr>
            <w:tcW w:w="326" w:type="pct"/>
            <w:vMerge w:val="continue"/>
            <w:vAlign w:val="center"/>
          </w:tcPr>
          <w:p w14:paraId="0E997F40">
            <w:pPr>
              <w:spacing w:line="280" w:lineRule="exact"/>
              <w:jc w:val="center"/>
              <w:rPr>
                <w:rFonts w:ascii="Times New Roman"/>
                <w:sz w:val="21"/>
                <w:szCs w:val="21"/>
              </w:rPr>
            </w:pPr>
          </w:p>
        </w:tc>
        <w:tc>
          <w:tcPr>
            <w:tcW w:w="231" w:type="pct"/>
            <w:vMerge w:val="continue"/>
            <w:vAlign w:val="center"/>
          </w:tcPr>
          <w:p w14:paraId="7D0A7BBC">
            <w:pPr>
              <w:spacing w:line="280" w:lineRule="exact"/>
              <w:jc w:val="center"/>
              <w:rPr>
                <w:rFonts w:ascii="Times New Roman"/>
                <w:sz w:val="21"/>
                <w:szCs w:val="21"/>
              </w:rPr>
            </w:pPr>
          </w:p>
        </w:tc>
        <w:tc>
          <w:tcPr>
            <w:tcW w:w="481" w:type="pct"/>
            <w:shd w:val="clear" w:color="auto" w:fill="auto"/>
            <w:vAlign w:val="center"/>
          </w:tcPr>
          <w:p w14:paraId="21944705">
            <w:pPr>
              <w:spacing w:line="280" w:lineRule="exact"/>
              <w:jc w:val="center"/>
              <w:rPr>
                <w:rFonts w:ascii="Times New Roman"/>
                <w:sz w:val="21"/>
                <w:szCs w:val="21"/>
              </w:rPr>
            </w:pPr>
            <w:r>
              <w:rPr>
                <w:rFonts w:ascii="Times New Roman"/>
                <w:snapToGrid w:val="0"/>
                <w:sz w:val="21"/>
                <w:szCs w:val="21"/>
              </w:rPr>
              <w:t>NO</w:t>
            </w:r>
            <w:r>
              <w:rPr>
                <w:rFonts w:hint="eastAsia" w:ascii="Times New Roman"/>
                <w:snapToGrid w:val="0"/>
                <w:sz w:val="21"/>
                <w:szCs w:val="21"/>
                <w:vertAlign w:val="subscript"/>
              </w:rPr>
              <w:t>2</w:t>
            </w:r>
          </w:p>
        </w:tc>
        <w:tc>
          <w:tcPr>
            <w:tcW w:w="374" w:type="pct"/>
            <w:shd w:val="clear" w:color="auto" w:fill="auto"/>
            <w:vAlign w:val="center"/>
          </w:tcPr>
          <w:p w14:paraId="109A5372">
            <w:pPr>
              <w:jc w:val="center"/>
              <w:rPr>
                <w:rFonts w:ascii="Times New Roman"/>
                <w:sz w:val="21"/>
                <w:szCs w:val="21"/>
                <w:lang w:bidi="zh-TW"/>
              </w:rPr>
            </w:pPr>
            <w:r>
              <w:rPr>
                <w:rFonts w:hint="eastAsia" w:ascii="Times New Roman"/>
                <w:sz w:val="21"/>
                <w:szCs w:val="21"/>
                <w:lang w:bidi="zh-TW"/>
              </w:rPr>
              <w:t>0.469</w:t>
            </w:r>
          </w:p>
        </w:tc>
      </w:tr>
      <w:tr w14:paraId="6532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76" w:type="pct"/>
            <w:vMerge w:val="continue"/>
            <w:shd w:val="clear" w:color="auto" w:fill="auto"/>
            <w:noWrap/>
            <w:vAlign w:val="center"/>
          </w:tcPr>
          <w:p w14:paraId="02C500E5">
            <w:pPr>
              <w:spacing w:line="280" w:lineRule="exact"/>
              <w:jc w:val="center"/>
              <w:rPr>
                <w:rFonts w:ascii="Times New Roman"/>
                <w:sz w:val="21"/>
                <w:szCs w:val="21"/>
              </w:rPr>
            </w:pPr>
          </w:p>
        </w:tc>
        <w:tc>
          <w:tcPr>
            <w:tcW w:w="729" w:type="pct"/>
            <w:vMerge w:val="continue"/>
            <w:vAlign w:val="center"/>
          </w:tcPr>
          <w:p w14:paraId="7A033015">
            <w:pPr>
              <w:spacing w:line="280" w:lineRule="exact"/>
              <w:jc w:val="center"/>
              <w:rPr>
                <w:rFonts w:ascii="Times New Roman"/>
                <w:sz w:val="21"/>
                <w:szCs w:val="21"/>
              </w:rPr>
            </w:pPr>
          </w:p>
        </w:tc>
        <w:tc>
          <w:tcPr>
            <w:tcW w:w="576" w:type="pct"/>
            <w:vMerge w:val="continue"/>
            <w:vAlign w:val="center"/>
          </w:tcPr>
          <w:p w14:paraId="2E838630">
            <w:pPr>
              <w:spacing w:line="280" w:lineRule="exact"/>
              <w:jc w:val="center"/>
              <w:rPr>
                <w:rFonts w:ascii="Times New Roman"/>
                <w:sz w:val="21"/>
                <w:szCs w:val="21"/>
              </w:rPr>
            </w:pPr>
          </w:p>
        </w:tc>
        <w:tc>
          <w:tcPr>
            <w:tcW w:w="588" w:type="pct"/>
            <w:vMerge w:val="continue"/>
            <w:vAlign w:val="center"/>
          </w:tcPr>
          <w:p w14:paraId="23269771">
            <w:pPr>
              <w:spacing w:line="280" w:lineRule="exact"/>
              <w:jc w:val="center"/>
              <w:rPr>
                <w:rFonts w:ascii="Times New Roman"/>
                <w:sz w:val="21"/>
                <w:szCs w:val="21"/>
              </w:rPr>
            </w:pPr>
          </w:p>
        </w:tc>
        <w:tc>
          <w:tcPr>
            <w:tcW w:w="457" w:type="pct"/>
            <w:vMerge w:val="continue"/>
            <w:vAlign w:val="center"/>
          </w:tcPr>
          <w:p w14:paraId="57C31A1B">
            <w:pPr>
              <w:spacing w:line="280" w:lineRule="exact"/>
              <w:jc w:val="center"/>
              <w:rPr>
                <w:rFonts w:ascii="Times New Roman"/>
                <w:sz w:val="21"/>
                <w:szCs w:val="21"/>
              </w:rPr>
            </w:pPr>
          </w:p>
        </w:tc>
        <w:tc>
          <w:tcPr>
            <w:tcW w:w="291" w:type="pct"/>
            <w:vMerge w:val="continue"/>
            <w:vAlign w:val="center"/>
          </w:tcPr>
          <w:p w14:paraId="6059D3A9">
            <w:pPr>
              <w:spacing w:line="280" w:lineRule="exact"/>
              <w:jc w:val="center"/>
              <w:rPr>
                <w:rFonts w:ascii="Times New Roman"/>
                <w:sz w:val="21"/>
                <w:szCs w:val="21"/>
              </w:rPr>
            </w:pPr>
          </w:p>
        </w:tc>
        <w:tc>
          <w:tcPr>
            <w:tcW w:w="267" w:type="pct"/>
            <w:vMerge w:val="continue"/>
            <w:vAlign w:val="center"/>
          </w:tcPr>
          <w:p w14:paraId="22196B1D">
            <w:pPr>
              <w:spacing w:line="280" w:lineRule="exact"/>
              <w:jc w:val="center"/>
              <w:rPr>
                <w:rFonts w:ascii="Times New Roman"/>
                <w:sz w:val="21"/>
                <w:szCs w:val="21"/>
              </w:rPr>
            </w:pPr>
          </w:p>
        </w:tc>
        <w:tc>
          <w:tcPr>
            <w:tcW w:w="297" w:type="pct"/>
            <w:vMerge w:val="continue"/>
            <w:vAlign w:val="center"/>
          </w:tcPr>
          <w:p w14:paraId="58EF66AC">
            <w:pPr>
              <w:spacing w:line="280" w:lineRule="exact"/>
              <w:jc w:val="center"/>
              <w:rPr>
                <w:rFonts w:ascii="Times New Roman"/>
                <w:sz w:val="21"/>
                <w:szCs w:val="21"/>
              </w:rPr>
            </w:pPr>
          </w:p>
        </w:tc>
        <w:tc>
          <w:tcPr>
            <w:tcW w:w="326" w:type="pct"/>
            <w:vMerge w:val="continue"/>
            <w:vAlign w:val="center"/>
          </w:tcPr>
          <w:p w14:paraId="397D514E">
            <w:pPr>
              <w:spacing w:line="280" w:lineRule="exact"/>
              <w:jc w:val="center"/>
              <w:rPr>
                <w:rFonts w:ascii="Times New Roman"/>
                <w:sz w:val="21"/>
                <w:szCs w:val="21"/>
              </w:rPr>
            </w:pPr>
          </w:p>
        </w:tc>
        <w:tc>
          <w:tcPr>
            <w:tcW w:w="231" w:type="pct"/>
            <w:vMerge w:val="continue"/>
            <w:vAlign w:val="center"/>
          </w:tcPr>
          <w:p w14:paraId="38B5BB6E">
            <w:pPr>
              <w:spacing w:line="280" w:lineRule="exact"/>
              <w:jc w:val="center"/>
              <w:rPr>
                <w:rFonts w:ascii="Times New Roman"/>
                <w:sz w:val="21"/>
                <w:szCs w:val="21"/>
              </w:rPr>
            </w:pPr>
          </w:p>
        </w:tc>
        <w:tc>
          <w:tcPr>
            <w:tcW w:w="481" w:type="pct"/>
            <w:shd w:val="clear" w:color="auto" w:fill="auto"/>
            <w:vAlign w:val="center"/>
          </w:tcPr>
          <w:p w14:paraId="4122AA6C">
            <w:pPr>
              <w:spacing w:line="280" w:lineRule="exact"/>
              <w:jc w:val="center"/>
              <w:rPr>
                <w:rFonts w:ascii="Times New Roman"/>
                <w:sz w:val="21"/>
                <w:szCs w:val="21"/>
              </w:rPr>
            </w:pPr>
            <w:r>
              <w:rPr>
                <w:rFonts w:ascii="Times New Roman"/>
                <w:sz w:val="21"/>
                <w:szCs w:val="21"/>
              </w:rPr>
              <w:t>非甲烷总烃</w:t>
            </w:r>
          </w:p>
        </w:tc>
        <w:tc>
          <w:tcPr>
            <w:tcW w:w="374" w:type="pct"/>
            <w:shd w:val="clear" w:color="auto" w:fill="auto"/>
            <w:vAlign w:val="center"/>
          </w:tcPr>
          <w:p w14:paraId="561C1A87">
            <w:pPr>
              <w:jc w:val="center"/>
              <w:rPr>
                <w:rFonts w:ascii="Times New Roman"/>
                <w:sz w:val="21"/>
                <w:szCs w:val="21"/>
                <w:lang w:bidi="zh-TW"/>
              </w:rPr>
            </w:pPr>
            <w:r>
              <w:rPr>
                <w:rFonts w:hint="eastAsia" w:ascii="Times New Roman"/>
                <w:sz w:val="21"/>
                <w:szCs w:val="21"/>
              </w:rPr>
              <w:t>2.311</w:t>
            </w:r>
          </w:p>
        </w:tc>
      </w:tr>
      <w:tr w14:paraId="51E5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6" w:type="pct"/>
            <w:vMerge w:val="continue"/>
            <w:shd w:val="clear" w:color="auto" w:fill="auto"/>
            <w:noWrap/>
            <w:vAlign w:val="center"/>
          </w:tcPr>
          <w:p w14:paraId="7F5A0A45">
            <w:pPr>
              <w:spacing w:line="280" w:lineRule="exact"/>
              <w:jc w:val="center"/>
              <w:rPr>
                <w:rFonts w:ascii="Times New Roman"/>
                <w:sz w:val="21"/>
                <w:szCs w:val="21"/>
              </w:rPr>
            </w:pPr>
          </w:p>
        </w:tc>
        <w:tc>
          <w:tcPr>
            <w:tcW w:w="729" w:type="pct"/>
            <w:vMerge w:val="continue"/>
            <w:vAlign w:val="center"/>
          </w:tcPr>
          <w:p w14:paraId="799CFAD0">
            <w:pPr>
              <w:spacing w:line="280" w:lineRule="exact"/>
              <w:jc w:val="center"/>
              <w:rPr>
                <w:rFonts w:ascii="Times New Roman"/>
                <w:sz w:val="21"/>
                <w:szCs w:val="21"/>
              </w:rPr>
            </w:pPr>
          </w:p>
        </w:tc>
        <w:tc>
          <w:tcPr>
            <w:tcW w:w="576" w:type="pct"/>
            <w:vMerge w:val="continue"/>
            <w:vAlign w:val="center"/>
          </w:tcPr>
          <w:p w14:paraId="36C71FB3">
            <w:pPr>
              <w:spacing w:line="280" w:lineRule="exact"/>
              <w:jc w:val="center"/>
              <w:rPr>
                <w:rFonts w:ascii="Times New Roman"/>
                <w:sz w:val="21"/>
                <w:szCs w:val="21"/>
              </w:rPr>
            </w:pPr>
          </w:p>
        </w:tc>
        <w:tc>
          <w:tcPr>
            <w:tcW w:w="588" w:type="pct"/>
            <w:vMerge w:val="continue"/>
            <w:vAlign w:val="center"/>
          </w:tcPr>
          <w:p w14:paraId="494F02C1">
            <w:pPr>
              <w:spacing w:line="280" w:lineRule="exact"/>
              <w:jc w:val="center"/>
              <w:rPr>
                <w:rFonts w:ascii="Times New Roman"/>
                <w:sz w:val="21"/>
                <w:szCs w:val="21"/>
              </w:rPr>
            </w:pPr>
          </w:p>
        </w:tc>
        <w:tc>
          <w:tcPr>
            <w:tcW w:w="457" w:type="pct"/>
            <w:vMerge w:val="continue"/>
            <w:vAlign w:val="center"/>
          </w:tcPr>
          <w:p w14:paraId="48B435CC">
            <w:pPr>
              <w:spacing w:line="280" w:lineRule="exact"/>
              <w:jc w:val="center"/>
              <w:rPr>
                <w:rFonts w:ascii="Times New Roman"/>
                <w:sz w:val="21"/>
                <w:szCs w:val="21"/>
              </w:rPr>
            </w:pPr>
          </w:p>
        </w:tc>
        <w:tc>
          <w:tcPr>
            <w:tcW w:w="291" w:type="pct"/>
            <w:vMerge w:val="continue"/>
            <w:vAlign w:val="center"/>
          </w:tcPr>
          <w:p w14:paraId="6D0EB6FB">
            <w:pPr>
              <w:spacing w:line="280" w:lineRule="exact"/>
              <w:jc w:val="center"/>
              <w:rPr>
                <w:rFonts w:ascii="Times New Roman"/>
                <w:sz w:val="21"/>
                <w:szCs w:val="21"/>
              </w:rPr>
            </w:pPr>
          </w:p>
        </w:tc>
        <w:tc>
          <w:tcPr>
            <w:tcW w:w="267" w:type="pct"/>
            <w:vMerge w:val="continue"/>
            <w:vAlign w:val="center"/>
          </w:tcPr>
          <w:p w14:paraId="111F43C6">
            <w:pPr>
              <w:spacing w:line="280" w:lineRule="exact"/>
              <w:jc w:val="center"/>
              <w:rPr>
                <w:rFonts w:ascii="Times New Roman"/>
                <w:sz w:val="21"/>
                <w:szCs w:val="21"/>
              </w:rPr>
            </w:pPr>
          </w:p>
        </w:tc>
        <w:tc>
          <w:tcPr>
            <w:tcW w:w="297" w:type="pct"/>
            <w:vMerge w:val="continue"/>
            <w:vAlign w:val="center"/>
          </w:tcPr>
          <w:p w14:paraId="4B5C8C0C">
            <w:pPr>
              <w:spacing w:line="280" w:lineRule="exact"/>
              <w:jc w:val="center"/>
              <w:rPr>
                <w:rFonts w:ascii="Times New Roman"/>
                <w:sz w:val="21"/>
                <w:szCs w:val="21"/>
              </w:rPr>
            </w:pPr>
          </w:p>
        </w:tc>
        <w:tc>
          <w:tcPr>
            <w:tcW w:w="326" w:type="pct"/>
            <w:vMerge w:val="continue"/>
            <w:vAlign w:val="center"/>
          </w:tcPr>
          <w:p w14:paraId="3404E8D8">
            <w:pPr>
              <w:spacing w:line="280" w:lineRule="exact"/>
              <w:jc w:val="center"/>
              <w:rPr>
                <w:rFonts w:ascii="Times New Roman"/>
                <w:sz w:val="21"/>
                <w:szCs w:val="21"/>
              </w:rPr>
            </w:pPr>
          </w:p>
        </w:tc>
        <w:tc>
          <w:tcPr>
            <w:tcW w:w="231" w:type="pct"/>
            <w:vMerge w:val="continue"/>
            <w:vAlign w:val="center"/>
          </w:tcPr>
          <w:p w14:paraId="2DFCC268">
            <w:pPr>
              <w:spacing w:line="280" w:lineRule="exact"/>
              <w:jc w:val="center"/>
              <w:rPr>
                <w:rFonts w:ascii="Times New Roman"/>
                <w:sz w:val="21"/>
                <w:szCs w:val="21"/>
              </w:rPr>
            </w:pPr>
          </w:p>
        </w:tc>
        <w:tc>
          <w:tcPr>
            <w:tcW w:w="481" w:type="pct"/>
            <w:shd w:val="clear" w:color="auto" w:fill="auto"/>
            <w:vAlign w:val="center"/>
          </w:tcPr>
          <w:p w14:paraId="2664CE00">
            <w:pPr>
              <w:spacing w:line="280" w:lineRule="exact"/>
              <w:jc w:val="center"/>
              <w:rPr>
                <w:rFonts w:ascii="Times New Roman"/>
                <w:sz w:val="21"/>
                <w:szCs w:val="21"/>
              </w:rPr>
            </w:pPr>
            <w:r>
              <w:rPr>
                <w:rFonts w:ascii="Times New Roman"/>
                <w:sz w:val="21"/>
                <w:szCs w:val="21"/>
              </w:rPr>
              <w:t>二甲苯</w:t>
            </w:r>
          </w:p>
        </w:tc>
        <w:tc>
          <w:tcPr>
            <w:tcW w:w="374" w:type="pct"/>
            <w:shd w:val="clear" w:color="auto" w:fill="auto"/>
            <w:vAlign w:val="center"/>
          </w:tcPr>
          <w:p w14:paraId="6481A002">
            <w:pPr>
              <w:jc w:val="center"/>
              <w:rPr>
                <w:rFonts w:ascii="Times New Roman"/>
                <w:sz w:val="21"/>
                <w:szCs w:val="21"/>
                <w:lang w:bidi="zh-TW"/>
              </w:rPr>
            </w:pPr>
            <w:r>
              <w:rPr>
                <w:rFonts w:hint="eastAsia" w:ascii="Times New Roman"/>
                <w:sz w:val="21"/>
                <w:szCs w:val="21"/>
              </w:rPr>
              <w:t>0.637</w:t>
            </w:r>
          </w:p>
        </w:tc>
      </w:tr>
      <w:tr w14:paraId="0902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6" w:type="pct"/>
            <w:vMerge w:val="restart"/>
            <w:shd w:val="clear" w:color="auto" w:fill="auto"/>
            <w:noWrap/>
            <w:vAlign w:val="center"/>
          </w:tcPr>
          <w:p w14:paraId="356ACAA2">
            <w:pPr>
              <w:spacing w:line="280" w:lineRule="exact"/>
              <w:jc w:val="center"/>
              <w:rPr>
                <w:rFonts w:ascii="Times New Roman"/>
                <w:sz w:val="21"/>
                <w:szCs w:val="21"/>
              </w:rPr>
            </w:pPr>
            <w:r>
              <w:rPr>
                <w:rFonts w:hint="eastAsia" w:ascii="Times New Roman"/>
                <w:sz w:val="21"/>
                <w:szCs w:val="21"/>
              </w:rPr>
              <w:t>托辊生产线</w:t>
            </w:r>
          </w:p>
        </w:tc>
        <w:tc>
          <w:tcPr>
            <w:tcW w:w="729" w:type="pct"/>
            <w:shd w:val="clear" w:color="auto" w:fill="auto"/>
            <w:vAlign w:val="center"/>
          </w:tcPr>
          <w:p w14:paraId="7D6DCDFB">
            <w:pPr>
              <w:spacing w:line="320" w:lineRule="exact"/>
              <w:jc w:val="center"/>
              <w:rPr>
                <w:rFonts w:ascii="Times New Roman"/>
                <w:sz w:val="21"/>
                <w:szCs w:val="21"/>
              </w:rPr>
            </w:pPr>
            <w:r>
              <w:rPr>
                <w:rFonts w:ascii="Times New Roman"/>
                <w:sz w:val="21"/>
                <w:szCs w:val="21"/>
              </w:rPr>
              <w:t>喷塑</w:t>
            </w:r>
            <w:r>
              <w:rPr>
                <w:rFonts w:hint="eastAsia" w:ascii="Times New Roman"/>
                <w:sz w:val="21"/>
                <w:szCs w:val="21"/>
              </w:rPr>
              <w:t>DA010</w:t>
            </w:r>
          </w:p>
        </w:tc>
        <w:tc>
          <w:tcPr>
            <w:tcW w:w="576" w:type="pct"/>
            <w:vAlign w:val="center"/>
          </w:tcPr>
          <w:p w14:paraId="6113FC76">
            <w:pPr>
              <w:spacing w:line="280" w:lineRule="exact"/>
              <w:jc w:val="center"/>
              <w:rPr>
                <w:rFonts w:ascii="Times New Roman"/>
                <w:sz w:val="21"/>
                <w:szCs w:val="21"/>
              </w:rPr>
            </w:pPr>
            <w:r>
              <w:rPr>
                <w:rFonts w:ascii="Times New Roman"/>
                <w:sz w:val="21"/>
                <w:szCs w:val="21"/>
              </w:rPr>
              <w:t>118.508244</w:t>
            </w:r>
          </w:p>
        </w:tc>
        <w:tc>
          <w:tcPr>
            <w:tcW w:w="588" w:type="pct"/>
            <w:vAlign w:val="center"/>
          </w:tcPr>
          <w:p w14:paraId="27F59DC6">
            <w:pPr>
              <w:spacing w:line="280" w:lineRule="exact"/>
              <w:jc w:val="center"/>
              <w:rPr>
                <w:rFonts w:ascii="Times New Roman"/>
                <w:sz w:val="21"/>
                <w:szCs w:val="21"/>
              </w:rPr>
            </w:pPr>
            <w:r>
              <w:rPr>
                <w:rFonts w:ascii="Times New Roman"/>
                <w:sz w:val="21"/>
                <w:szCs w:val="21"/>
              </w:rPr>
              <w:t>39.089172</w:t>
            </w:r>
          </w:p>
        </w:tc>
        <w:tc>
          <w:tcPr>
            <w:tcW w:w="457" w:type="pct"/>
            <w:vAlign w:val="center"/>
          </w:tcPr>
          <w:p w14:paraId="1E251A16">
            <w:pPr>
              <w:spacing w:line="280" w:lineRule="exact"/>
              <w:jc w:val="center"/>
              <w:rPr>
                <w:rFonts w:ascii="Times New Roman"/>
                <w:sz w:val="21"/>
                <w:szCs w:val="21"/>
              </w:rPr>
            </w:pPr>
            <w:r>
              <w:rPr>
                <w:rFonts w:hint="eastAsia" w:ascii="Times New Roman"/>
                <w:sz w:val="21"/>
                <w:szCs w:val="21"/>
              </w:rPr>
              <w:t>0</w:t>
            </w:r>
          </w:p>
        </w:tc>
        <w:tc>
          <w:tcPr>
            <w:tcW w:w="291" w:type="pct"/>
            <w:shd w:val="clear" w:color="auto" w:fill="auto"/>
            <w:vAlign w:val="center"/>
          </w:tcPr>
          <w:p w14:paraId="3A68A199">
            <w:pPr>
              <w:jc w:val="center"/>
              <w:rPr>
                <w:rFonts w:ascii="Times New Roman"/>
                <w:sz w:val="21"/>
                <w:szCs w:val="21"/>
              </w:rPr>
            </w:pPr>
            <w:r>
              <w:rPr>
                <w:rFonts w:ascii="Times New Roman"/>
                <w:sz w:val="21"/>
                <w:szCs w:val="21"/>
              </w:rPr>
              <w:t>20</w:t>
            </w:r>
          </w:p>
        </w:tc>
        <w:tc>
          <w:tcPr>
            <w:tcW w:w="267" w:type="pct"/>
            <w:shd w:val="clear" w:color="auto" w:fill="auto"/>
            <w:vAlign w:val="center"/>
          </w:tcPr>
          <w:p w14:paraId="268CDC2B">
            <w:pPr>
              <w:spacing w:line="280" w:lineRule="exact"/>
              <w:jc w:val="center"/>
              <w:rPr>
                <w:rFonts w:ascii="Times New Roman"/>
                <w:sz w:val="21"/>
                <w:szCs w:val="21"/>
              </w:rPr>
            </w:pPr>
            <w:r>
              <w:rPr>
                <w:rFonts w:hint="eastAsia" w:ascii="Times New Roman"/>
                <w:sz w:val="21"/>
                <w:szCs w:val="21"/>
              </w:rPr>
              <w:t>0.5</w:t>
            </w:r>
          </w:p>
        </w:tc>
        <w:tc>
          <w:tcPr>
            <w:tcW w:w="297" w:type="pct"/>
            <w:shd w:val="clear" w:color="auto" w:fill="auto"/>
            <w:vAlign w:val="center"/>
          </w:tcPr>
          <w:p w14:paraId="60C23BA3">
            <w:pPr>
              <w:jc w:val="center"/>
              <w:rPr>
                <w:rFonts w:ascii="Times New Roman"/>
                <w:sz w:val="21"/>
                <w:szCs w:val="21"/>
              </w:rPr>
            </w:pPr>
            <w:r>
              <w:rPr>
                <w:rFonts w:hint="eastAsia" w:ascii="Times New Roman"/>
                <w:sz w:val="21"/>
                <w:szCs w:val="21"/>
              </w:rPr>
              <w:t>25</w:t>
            </w:r>
          </w:p>
        </w:tc>
        <w:tc>
          <w:tcPr>
            <w:tcW w:w="326" w:type="pct"/>
            <w:vAlign w:val="center"/>
          </w:tcPr>
          <w:p w14:paraId="31BB474F">
            <w:pPr>
              <w:spacing w:line="280" w:lineRule="exact"/>
              <w:jc w:val="center"/>
              <w:rPr>
                <w:rFonts w:ascii="Times New Roman"/>
                <w:sz w:val="21"/>
                <w:szCs w:val="21"/>
              </w:rPr>
            </w:pPr>
            <w:r>
              <w:rPr>
                <w:rFonts w:hint="eastAsia" w:ascii="Times New Roman"/>
                <w:sz w:val="21"/>
                <w:szCs w:val="21"/>
              </w:rPr>
              <w:t>14.1</w:t>
            </w:r>
          </w:p>
        </w:tc>
        <w:tc>
          <w:tcPr>
            <w:tcW w:w="231" w:type="pct"/>
            <w:vMerge w:val="continue"/>
            <w:vAlign w:val="center"/>
          </w:tcPr>
          <w:p w14:paraId="5928BF35">
            <w:pPr>
              <w:spacing w:line="280" w:lineRule="exact"/>
              <w:jc w:val="center"/>
              <w:rPr>
                <w:rFonts w:ascii="Times New Roman"/>
                <w:sz w:val="21"/>
                <w:szCs w:val="21"/>
              </w:rPr>
            </w:pPr>
          </w:p>
        </w:tc>
        <w:tc>
          <w:tcPr>
            <w:tcW w:w="481" w:type="pct"/>
            <w:shd w:val="clear" w:color="auto" w:fill="auto"/>
            <w:vAlign w:val="center"/>
          </w:tcPr>
          <w:p w14:paraId="524D8944">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005D0A06">
            <w:pPr>
              <w:jc w:val="center"/>
              <w:rPr>
                <w:rFonts w:ascii="Times New Roman"/>
                <w:sz w:val="21"/>
                <w:szCs w:val="21"/>
                <w:lang w:bidi="zh-TW"/>
              </w:rPr>
            </w:pPr>
            <w:r>
              <w:rPr>
                <w:rFonts w:ascii="Times New Roman"/>
                <w:sz w:val="21"/>
                <w:szCs w:val="21"/>
              </w:rPr>
              <w:t>0.</w:t>
            </w:r>
            <w:r>
              <w:rPr>
                <w:rFonts w:hint="eastAsia" w:ascii="Times New Roman"/>
                <w:sz w:val="21"/>
                <w:szCs w:val="21"/>
              </w:rPr>
              <w:t>083</w:t>
            </w:r>
          </w:p>
        </w:tc>
      </w:tr>
      <w:tr w14:paraId="71D9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76" w:type="pct"/>
            <w:vMerge w:val="continue"/>
            <w:shd w:val="clear" w:color="auto" w:fill="auto"/>
            <w:noWrap/>
            <w:vAlign w:val="center"/>
          </w:tcPr>
          <w:p w14:paraId="05D09C15">
            <w:pPr>
              <w:spacing w:line="280" w:lineRule="exact"/>
              <w:jc w:val="center"/>
              <w:rPr>
                <w:rFonts w:ascii="Times New Roman"/>
                <w:sz w:val="21"/>
                <w:szCs w:val="21"/>
              </w:rPr>
            </w:pPr>
          </w:p>
        </w:tc>
        <w:tc>
          <w:tcPr>
            <w:tcW w:w="729" w:type="pct"/>
            <w:vMerge w:val="restart"/>
            <w:shd w:val="clear" w:color="auto" w:fill="auto"/>
            <w:vAlign w:val="center"/>
          </w:tcPr>
          <w:p w14:paraId="787DD7C9">
            <w:pPr>
              <w:spacing w:line="320" w:lineRule="exact"/>
              <w:jc w:val="center"/>
              <w:rPr>
                <w:rFonts w:ascii="Times New Roman"/>
                <w:sz w:val="21"/>
                <w:szCs w:val="21"/>
              </w:rPr>
            </w:pPr>
            <w:r>
              <w:rPr>
                <w:rFonts w:ascii="Times New Roman"/>
                <w:sz w:val="21"/>
                <w:szCs w:val="21"/>
              </w:rPr>
              <w:t>喷塑烘干</w:t>
            </w:r>
            <w:r>
              <w:rPr>
                <w:rFonts w:hint="eastAsia" w:ascii="Times New Roman"/>
                <w:sz w:val="21"/>
                <w:szCs w:val="21"/>
              </w:rPr>
              <w:t>DA011</w:t>
            </w:r>
          </w:p>
        </w:tc>
        <w:tc>
          <w:tcPr>
            <w:tcW w:w="576" w:type="pct"/>
            <w:vMerge w:val="restart"/>
            <w:vAlign w:val="center"/>
          </w:tcPr>
          <w:p w14:paraId="5AC1642F">
            <w:pPr>
              <w:spacing w:line="280" w:lineRule="exact"/>
              <w:jc w:val="center"/>
              <w:rPr>
                <w:rFonts w:ascii="Times New Roman"/>
                <w:sz w:val="21"/>
                <w:szCs w:val="21"/>
              </w:rPr>
            </w:pPr>
            <w:r>
              <w:rPr>
                <w:rFonts w:ascii="Times New Roman"/>
                <w:sz w:val="21"/>
                <w:szCs w:val="21"/>
              </w:rPr>
              <w:t>118.507783</w:t>
            </w:r>
          </w:p>
        </w:tc>
        <w:tc>
          <w:tcPr>
            <w:tcW w:w="588" w:type="pct"/>
            <w:vMerge w:val="restart"/>
            <w:vAlign w:val="center"/>
          </w:tcPr>
          <w:p w14:paraId="49B81E3C">
            <w:pPr>
              <w:spacing w:line="280" w:lineRule="exact"/>
              <w:jc w:val="center"/>
              <w:rPr>
                <w:rFonts w:ascii="Times New Roman"/>
                <w:sz w:val="21"/>
                <w:szCs w:val="21"/>
              </w:rPr>
            </w:pPr>
            <w:r>
              <w:rPr>
                <w:rFonts w:ascii="Times New Roman"/>
                <w:sz w:val="21"/>
                <w:szCs w:val="21"/>
              </w:rPr>
              <w:t>39.089338</w:t>
            </w:r>
          </w:p>
        </w:tc>
        <w:tc>
          <w:tcPr>
            <w:tcW w:w="457" w:type="pct"/>
            <w:vMerge w:val="restart"/>
            <w:vAlign w:val="center"/>
          </w:tcPr>
          <w:p w14:paraId="48A22E71">
            <w:pPr>
              <w:spacing w:line="280" w:lineRule="exact"/>
              <w:jc w:val="center"/>
              <w:rPr>
                <w:rFonts w:ascii="Times New Roman"/>
                <w:sz w:val="21"/>
                <w:szCs w:val="21"/>
              </w:rPr>
            </w:pPr>
            <w:r>
              <w:rPr>
                <w:rFonts w:hint="eastAsia" w:ascii="Times New Roman"/>
                <w:sz w:val="21"/>
                <w:szCs w:val="21"/>
              </w:rPr>
              <w:t>0</w:t>
            </w:r>
          </w:p>
        </w:tc>
        <w:tc>
          <w:tcPr>
            <w:tcW w:w="291" w:type="pct"/>
            <w:vMerge w:val="restart"/>
            <w:shd w:val="clear" w:color="auto" w:fill="auto"/>
            <w:vAlign w:val="center"/>
          </w:tcPr>
          <w:p w14:paraId="5C1B8BF4">
            <w:pPr>
              <w:jc w:val="center"/>
              <w:rPr>
                <w:rFonts w:ascii="Times New Roman"/>
                <w:sz w:val="21"/>
                <w:szCs w:val="21"/>
              </w:rPr>
            </w:pPr>
            <w:r>
              <w:rPr>
                <w:rFonts w:hint="eastAsia" w:ascii="Times New Roman"/>
                <w:sz w:val="21"/>
                <w:szCs w:val="21"/>
              </w:rPr>
              <w:t>20</w:t>
            </w:r>
          </w:p>
        </w:tc>
        <w:tc>
          <w:tcPr>
            <w:tcW w:w="267" w:type="pct"/>
            <w:vMerge w:val="restart"/>
            <w:shd w:val="clear" w:color="auto" w:fill="auto"/>
            <w:vAlign w:val="center"/>
          </w:tcPr>
          <w:p w14:paraId="3A004127">
            <w:pPr>
              <w:jc w:val="center"/>
              <w:rPr>
                <w:rFonts w:ascii="Times New Roman"/>
                <w:sz w:val="21"/>
                <w:szCs w:val="21"/>
              </w:rPr>
            </w:pPr>
            <w:r>
              <w:rPr>
                <w:rFonts w:hint="eastAsia" w:ascii="Times New Roman"/>
                <w:sz w:val="21"/>
                <w:szCs w:val="21"/>
              </w:rPr>
              <w:t>0.4</w:t>
            </w:r>
          </w:p>
        </w:tc>
        <w:tc>
          <w:tcPr>
            <w:tcW w:w="297" w:type="pct"/>
            <w:vMerge w:val="restart"/>
            <w:shd w:val="clear" w:color="auto" w:fill="auto"/>
            <w:vAlign w:val="center"/>
          </w:tcPr>
          <w:p w14:paraId="1BEF7151">
            <w:pPr>
              <w:jc w:val="center"/>
              <w:rPr>
                <w:rFonts w:ascii="Times New Roman"/>
                <w:sz w:val="21"/>
                <w:szCs w:val="21"/>
              </w:rPr>
            </w:pPr>
            <w:r>
              <w:rPr>
                <w:rFonts w:hint="eastAsia" w:ascii="Times New Roman"/>
                <w:sz w:val="21"/>
                <w:szCs w:val="21"/>
              </w:rPr>
              <w:t>60</w:t>
            </w:r>
          </w:p>
        </w:tc>
        <w:tc>
          <w:tcPr>
            <w:tcW w:w="326" w:type="pct"/>
            <w:vMerge w:val="restart"/>
            <w:vAlign w:val="center"/>
          </w:tcPr>
          <w:p w14:paraId="42848691">
            <w:pPr>
              <w:spacing w:line="280" w:lineRule="exact"/>
              <w:jc w:val="center"/>
              <w:rPr>
                <w:rFonts w:ascii="Times New Roman"/>
                <w:sz w:val="21"/>
                <w:szCs w:val="21"/>
              </w:rPr>
            </w:pPr>
            <w:r>
              <w:rPr>
                <w:rFonts w:hint="eastAsia" w:ascii="Times New Roman"/>
                <w:sz w:val="21"/>
                <w:szCs w:val="21"/>
              </w:rPr>
              <w:t>17.7</w:t>
            </w:r>
          </w:p>
        </w:tc>
        <w:tc>
          <w:tcPr>
            <w:tcW w:w="231" w:type="pct"/>
            <w:vMerge w:val="continue"/>
            <w:vAlign w:val="center"/>
          </w:tcPr>
          <w:p w14:paraId="0FA84063">
            <w:pPr>
              <w:spacing w:line="280" w:lineRule="exact"/>
              <w:jc w:val="center"/>
              <w:rPr>
                <w:rFonts w:ascii="Times New Roman"/>
                <w:sz w:val="21"/>
                <w:szCs w:val="21"/>
              </w:rPr>
            </w:pPr>
          </w:p>
        </w:tc>
        <w:tc>
          <w:tcPr>
            <w:tcW w:w="481" w:type="pct"/>
            <w:shd w:val="clear" w:color="auto" w:fill="auto"/>
            <w:vAlign w:val="center"/>
          </w:tcPr>
          <w:p w14:paraId="693AB3F4">
            <w:pPr>
              <w:spacing w:line="280" w:lineRule="exact"/>
              <w:jc w:val="center"/>
              <w:rPr>
                <w:rFonts w:ascii="Times New Roman"/>
                <w:sz w:val="21"/>
                <w:szCs w:val="21"/>
              </w:rPr>
            </w:pPr>
            <w:r>
              <w:rPr>
                <w:rFonts w:hint="eastAsia" w:ascii="Times New Roman"/>
                <w:sz w:val="21"/>
                <w:szCs w:val="21"/>
              </w:rPr>
              <w:t>颗粒物</w:t>
            </w:r>
          </w:p>
        </w:tc>
        <w:tc>
          <w:tcPr>
            <w:tcW w:w="374" w:type="pct"/>
            <w:shd w:val="clear" w:color="auto" w:fill="auto"/>
            <w:vAlign w:val="center"/>
          </w:tcPr>
          <w:p w14:paraId="0DBC71D9">
            <w:pPr>
              <w:jc w:val="center"/>
              <w:rPr>
                <w:rFonts w:ascii="Times New Roman"/>
                <w:sz w:val="21"/>
                <w:szCs w:val="21"/>
                <w:lang w:bidi="zh-TW"/>
              </w:rPr>
            </w:pPr>
            <w:r>
              <w:rPr>
                <w:rFonts w:hint="eastAsia" w:ascii="Times New Roman"/>
                <w:sz w:val="21"/>
                <w:szCs w:val="21"/>
                <w:lang w:bidi="zh-TW"/>
              </w:rPr>
              <w:t>0.013</w:t>
            </w:r>
          </w:p>
        </w:tc>
      </w:tr>
      <w:tr w14:paraId="77FE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76" w:type="pct"/>
            <w:vMerge w:val="continue"/>
            <w:shd w:val="clear" w:color="auto" w:fill="auto"/>
            <w:noWrap/>
            <w:vAlign w:val="center"/>
          </w:tcPr>
          <w:p w14:paraId="32405EB8">
            <w:pPr>
              <w:spacing w:line="280" w:lineRule="exact"/>
              <w:jc w:val="center"/>
              <w:rPr>
                <w:rFonts w:ascii="Times New Roman"/>
                <w:sz w:val="21"/>
                <w:szCs w:val="21"/>
              </w:rPr>
            </w:pPr>
          </w:p>
        </w:tc>
        <w:tc>
          <w:tcPr>
            <w:tcW w:w="729" w:type="pct"/>
            <w:vMerge w:val="continue"/>
            <w:shd w:val="clear" w:color="auto" w:fill="auto"/>
            <w:vAlign w:val="center"/>
          </w:tcPr>
          <w:p w14:paraId="61ED4991">
            <w:pPr>
              <w:spacing w:line="320" w:lineRule="exact"/>
              <w:jc w:val="center"/>
              <w:rPr>
                <w:rFonts w:ascii="Times New Roman"/>
                <w:sz w:val="21"/>
                <w:szCs w:val="21"/>
              </w:rPr>
            </w:pPr>
          </w:p>
        </w:tc>
        <w:tc>
          <w:tcPr>
            <w:tcW w:w="576" w:type="pct"/>
            <w:vMerge w:val="continue"/>
            <w:vAlign w:val="center"/>
          </w:tcPr>
          <w:p w14:paraId="0783B33F">
            <w:pPr>
              <w:spacing w:line="280" w:lineRule="exact"/>
              <w:jc w:val="center"/>
              <w:rPr>
                <w:rFonts w:ascii="Times New Roman"/>
                <w:sz w:val="21"/>
                <w:szCs w:val="21"/>
              </w:rPr>
            </w:pPr>
          </w:p>
        </w:tc>
        <w:tc>
          <w:tcPr>
            <w:tcW w:w="588" w:type="pct"/>
            <w:vMerge w:val="continue"/>
            <w:vAlign w:val="center"/>
          </w:tcPr>
          <w:p w14:paraId="36FAE366">
            <w:pPr>
              <w:spacing w:line="280" w:lineRule="exact"/>
              <w:jc w:val="center"/>
              <w:rPr>
                <w:rFonts w:ascii="Times New Roman"/>
                <w:sz w:val="21"/>
                <w:szCs w:val="21"/>
              </w:rPr>
            </w:pPr>
          </w:p>
        </w:tc>
        <w:tc>
          <w:tcPr>
            <w:tcW w:w="457" w:type="pct"/>
            <w:vMerge w:val="continue"/>
            <w:vAlign w:val="center"/>
          </w:tcPr>
          <w:p w14:paraId="345EAA8D">
            <w:pPr>
              <w:spacing w:line="280" w:lineRule="exact"/>
              <w:jc w:val="center"/>
              <w:rPr>
                <w:rFonts w:ascii="Times New Roman"/>
                <w:sz w:val="21"/>
                <w:szCs w:val="21"/>
              </w:rPr>
            </w:pPr>
          </w:p>
        </w:tc>
        <w:tc>
          <w:tcPr>
            <w:tcW w:w="291" w:type="pct"/>
            <w:vMerge w:val="continue"/>
            <w:vAlign w:val="center"/>
          </w:tcPr>
          <w:p w14:paraId="26B88483">
            <w:pPr>
              <w:spacing w:line="280" w:lineRule="exact"/>
              <w:jc w:val="center"/>
              <w:rPr>
                <w:rFonts w:ascii="Times New Roman"/>
                <w:sz w:val="21"/>
                <w:szCs w:val="21"/>
              </w:rPr>
            </w:pPr>
          </w:p>
        </w:tc>
        <w:tc>
          <w:tcPr>
            <w:tcW w:w="267" w:type="pct"/>
            <w:vMerge w:val="continue"/>
            <w:vAlign w:val="center"/>
          </w:tcPr>
          <w:p w14:paraId="58330F8B">
            <w:pPr>
              <w:spacing w:line="280" w:lineRule="exact"/>
              <w:jc w:val="center"/>
              <w:rPr>
                <w:rFonts w:ascii="Times New Roman"/>
                <w:sz w:val="21"/>
                <w:szCs w:val="21"/>
              </w:rPr>
            </w:pPr>
          </w:p>
        </w:tc>
        <w:tc>
          <w:tcPr>
            <w:tcW w:w="297" w:type="pct"/>
            <w:vMerge w:val="continue"/>
            <w:vAlign w:val="center"/>
          </w:tcPr>
          <w:p w14:paraId="4C0C7D20">
            <w:pPr>
              <w:spacing w:line="280" w:lineRule="exact"/>
              <w:jc w:val="center"/>
              <w:rPr>
                <w:rFonts w:ascii="Times New Roman"/>
                <w:sz w:val="21"/>
                <w:szCs w:val="21"/>
              </w:rPr>
            </w:pPr>
          </w:p>
        </w:tc>
        <w:tc>
          <w:tcPr>
            <w:tcW w:w="326" w:type="pct"/>
            <w:vMerge w:val="continue"/>
            <w:vAlign w:val="center"/>
          </w:tcPr>
          <w:p w14:paraId="78752515">
            <w:pPr>
              <w:spacing w:line="280" w:lineRule="exact"/>
              <w:jc w:val="center"/>
              <w:rPr>
                <w:rFonts w:ascii="Times New Roman"/>
                <w:sz w:val="21"/>
                <w:szCs w:val="21"/>
              </w:rPr>
            </w:pPr>
          </w:p>
        </w:tc>
        <w:tc>
          <w:tcPr>
            <w:tcW w:w="231" w:type="pct"/>
            <w:vMerge w:val="continue"/>
            <w:vAlign w:val="center"/>
          </w:tcPr>
          <w:p w14:paraId="5BA341CA">
            <w:pPr>
              <w:spacing w:line="280" w:lineRule="exact"/>
              <w:jc w:val="center"/>
              <w:rPr>
                <w:rFonts w:ascii="Times New Roman"/>
                <w:sz w:val="21"/>
                <w:szCs w:val="21"/>
              </w:rPr>
            </w:pPr>
          </w:p>
        </w:tc>
        <w:tc>
          <w:tcPr>
            <w:tcW w:w="481" w:type="pct"/>
            <w:shd w:val="clear" w:color="auto" w:fill="auto"/>
            <w:vAlign w:val="center"/>
          </w:tcPr>
          <w:p w14:paraId="5993650D">
            <w:pPr>
              <w:spacing w:line="28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374" w:type="pct"/>
            <w:shd w:val="clear" w:color="auto" w:fill="auto"/>
            <w:vAlign w:val="center"/>
          </w:tcPr>
          <w:p w14:paraId="5E2356D7">
            <w:pPr>
              <w:jc w:val="center"/>
              <w:rPr>
                <w:rFonts w:ascii="Times New Roman"/>
                <w:sz w:val="21"/>
                <w:szCs w:val="21"/>
                <w:lang w:bidi="zh-TW"/>
              </w:rPr>
            </w:pPr>
            <w:r>
              <w:rPr>
                <w:rFonts w:hint="eastAsia" w:ascii="Times New Roman"/>
                <w:sz w:val="21"/>
                <w:szCs w:val="21"/>
                <w:lang w:bidi="zh-TW"/>
              </w:rPr>
              <w:t>0.002</w:t>
            </w:r>
          </w:p>
        </w:tc>
      </w:tr>
      <w:tr w14:paraId="4563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376" w:type="pct"/>
            <w:vMerge w:val="continue"/>
            <w:shd w:val="clear" w:color="auto" w:fill="auto"/>
            <w:noWrap/>
            <w:vAlign w:val="center"/>
          </w:tcPr>
          <w:p w14:paraId="5531CB6C">
            <w:pPr>
              <w:spacing w:line="280" w:lineRule="exact"/>
              <w:jc w:val="center"/>
              <w:rPr>
                <w:rFonts w:ascii="Times New Roman"/>
                <w:sz w:val="21"/>
                <w:szCs w:val="21"/>
              </w:rPr>
            </w:pPr>
          </w:p>
        </w:tc>
        <w:tc>
          <w:tcPr>
            <w:tcW w:w="729" w:type="pct"/>
            <w:vMerge w:val="continue"/>
            <w:shd w:val="clear" w:color="auto" w:fill="auto"/>
            <w:vAlign w:val="center"/>
          </w:tcPr>
          <w:p w14:paraId="3E35DCCA">
            <w:pPr>
              <w:spacing w:line="320" w:lineRule="exact"/>
              <w:jc w:val="center"/>
              <w:rPr>
                <w:rFonts w:ascii="Times New Roman"/>
                <w:sz w:val="21"/>
                <w:szCs w:val="21"/>
              </w:rPr>
            </w:pPr>
          </w:p>
        </w:tc>
        <w:tc>
          <w:tcPr>
            <w:tcW w:w="576" w:type="pct"/>
            <w:vMerge w:val="continue"/>
            <w:vAlign w:val="center"/>
          </w:tcPr>
          <w:p w14:paraId="4D9C18BD">
            <w:pPr>
              <w:spacing w:line="280" w:lineRule="exact"/>
              <w:jc w:val="center"/>
              <w:rPr>
                <w:rFonts w:ascii="Times New Roman"/>
                <w:sz w:val="21"/>
                <w:szCs w:val="21"/>
              </w:rPr>
            </w:pPr>
          </w:p>
        </w:tc>
        <w:tc>
          <w:tcPr>
            <w:tcW w:w="588" w:type="pct"/>
            <w:vMerge w:val="continue"/>
            <w:vAlign w:val="center"/>
          </w:tcPr>
          <w:p w14:paraId="3F741D87">
            <w:pPr>
              <w:spacing w:line="280" w:lineRule="exact"/>
              <w:jc w:val="center"/>
              <w:rPr>
                <w:rFonts w:ascii="Times New Roman"/>
                <w:sz w:val="21"/>
                <w:szCs w:val="21"/>
              </w:rPr>
            </w:pPr>
          </w:p>
        </w:tc>
        <w:tc>
          <w:tcPr>
            <w:tcW w:w="457" w:type="pct"/>
            <w:vMerge w:val="continue"/>
            <w:vAlign w:val="center"/>
          </w:tcPr>
          <w:p w14:paraId="2E651F3D">
            <w:pPr>
              <w:spacing w:line="280" w:lineRule="exact"/>
              <w:jc w:val="center"/>
              <w:rPr>
                <w:rFonts w:ascii="Times New Roman"/>
                <w:sz w:val="21"/>
                <w:szCs w:val="21"/>
              </w:rPr>
            </w:pPr>
          </w:p>
        </w:tc>
        <w:tc>
          <w:tcPr>
            <w:tcW w:w="291" w:type="pct"/>
            <w:vMerge w:val="continue"/>
            <w:vAlign w:val="center"/>
          </w:tcPr>
          <w:p w14:paraId="2616A508">
            <w:pPr>
              <w:spacing w:line="280" w:lineRule="exact"/>
              <w:jc w:val="center"/>
              <w:rPr>
                <w:rFonts w:ascii="Times New Roman"/>
                <w:sz w:val="21"/>
                <w:szCs w:val="21"/>
              </w:rPr>
            </w:pPr>
          </w:p>
        </w:tc>
        <w:tc>
          <w:tcPr>
            <w:tcW w:w="267" w:type="pct"/>
            <w:vMerge w:val="continue"/>
            <w:vAlign w:val="center"/>
          </w:tcPr>
          <w:p w14:paraId="330F7E41">
            <w:pPr>
              <w:spacing w:line="280" w:lineRule="exact"/>
              <w:jc w:val="center"/>
              <w:rPr>
                <w:rFonts w:ascii="Times New Roman"/>
                <w:sz w:val="21"/>
                <w:szCs w:val="21"/>
              </w:rPr>
            </w:pPr>
          </w:p>
        </w:tc>
        <w:tc>
          <w:tcPr>
            <w:tcW w:w="297" w:type="pct"/>
            <w:vMerge w:val="continue"/>
            <w:vAlign w:val="center"/>
          </w:tcPr>
          <w:p w14:paraId="1A23BE3E">
            <w:pPr>
              <w:spacing w:line="280" w:lineRule="exact"/>
              <w:jc w:val="center"/>
              <w:rPr>
                <w:rFonts w:ascii="Times New Roman"/>
                <w:sz w:val="21"/>
                <w:szCs w:val="21"/>
              </w:rPr>
            </w:pPr>
          </w:p>
        </w:tc>
        <w:tc>
          <w:tcPr>
            <w:tcW w:w="326" w:type="pct"/>
            <w:vMerge w:val="continue"/>
            <w:vAlign w:val="center"/>
          </w:tcPr>
          <w:p w14:paraId="6EB56629">
            <w:pPr>
              <w:spacing w:line="280" w:lineRule="exact"/>
              <w:jc w:val="center"/>
              <w:rPr>
                <w:rFonts w:ascii="Times New Roman"/>
                <w:sz w:val="21"/>
                <w:szCs w:val="21"/>
              </w:rPr>
            </w:pPr>
          </w:p>
        </w:tc>
        <w:tc>
          <w:tcPr>
            <w:tcW w:w="231" w:type="pct"/>
            <w:vMerge w:val="continue"/>
            <w:vAlign w:val="center"/>
          </w:tcPr>
          <w:p w14:paraId="62032D1D">
            <w:pPr>
              <w:spacing w:line="280" w:lineRule="exact"/>
              <w:jc w:val="center"/>
              <w:rPr>
                <w:rFonts w:ascii="Times New Roman"/>
                <w:sz w:val="21"/>
                <w:szCs w:val="21"/>
              </w:rPr>
            </w:pPr>
          </w:p>
        </w:tc>
        <w:tc>
          <w:tcPr>
            <w:tcW w:w="481" w:type="pct"/>
            <w:shd w:val="clear" w:color="auto" w:fill="auto"/>
            <w:vAlign w:val="center"/>
          </w:tcPr>
          <w:p w14:paraId="606A483C">
            <w:pPr>
              <w:spacing w:line="280" w:lineRule="exact"/>
              <w:jc w:val="center"/>
              <w:rPr>
                <w:rFonts w:ascii="Times New Roman"/>
                <w:sz w:val="21"/>
                <w:szCs w:val="21"/>
              </w:rPr>
            </w:pPr>
            <w:r>
              <w:rPr>
                <w:rFonts w:ascii="Times New Roman"/>
                <w:snapToGrid w:val="0"/>
                <w:sz w:val="21"/>
                <w:szCs w:val="21"/>
              </w:rPr>
              <w:t>NO</w:t>
            </w:r>
            <w:r>
              <w:rPr>
                <w:rFonts w:hint="eastAsia" w:ascii="Times New Roman"/>
                <w:snapToGrid w:val="0"/>
                <w:sz w:val="21"/>
                <w:szCs w:val="21"/>
                <w:vertAlign w:val="subscript"/>
              </w:rPr>
              <w:t>2</w:t>
            </w:r>
          </w:p>
        </w:tc>
        <w:tc>
          <w:tcPr>
            <w:tcW w:w="374" w:type="pct"/>
            <w:shd w:val="clear" w:color="auto" w:fill="auto"/>
            <w:vAlign w:val="center"/>
          </w:tcPr>
          <w:p w14:paraId="6E0E260E">
            <w:pPr>
              <w:jc w:val="center"/>
              <w:rPr>
                <w:rFonts w:ascii="Times New Roman"/>
                <w:sz w:val="21"/>
                <w:szCs w:val="21"/>
                <w:lang w:bidi="zh-TW"/>
              </w:rPr>
            </w:pPr>
            <w:r>
              <w:rPr>
                <w:rFonts w:hint="eastAsia" w:ascii="Times New Roman"/>
                <w:sz w:val="21"/>
                <w:szCs w:val="21"/>
                <w:lang w:bidi="zh-TW"/>
              </w:rPr>
              <w:t>0.043</w:t>
            </w:r>
          </w:p>
        </w:tc>
      </w:tr>
      <w:tr w14:paraId="0EC4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376" w:type="pct"/>
            <w:vMerge w:val="continue"/>
            <w:shd w:val="clear" w:color="auto" w:fill="auto"/>
            <w:noWrap/>
            <w:vAlign w:val="center"/>
          </w:tcPr>
          <w:p w14:paraId="2A7EE4D9">
            <w:pPr>
              <w:spacing w:line="280" w:lineRule="exact"/>
              <w:jc w:val="center"/>
              <w:rPr>
                <w:rFonts w:ascii="Times New Roman"/>
                <w:sz w:val="21"/>
                <w:szCs w:val="21"/>
              </w:rPr>
            </w:pPr>
          </w:p>
        </w:tc>
        <w:tc>
          <w:tcPr>
            <w:tcW w:w="729" w:type="pct"/>
            <w:vMerge w:val="continue"/>
            <w:shd w:val="clear" w:color="auto" w:fill="auto"/>
            <w:vAlign w:val="center"/>
          </w:tcPr>
          <w:p w14:paraId="7FBDB663">
            <w:pPr>
              <w:spacing w:line="320" w:lineRule="exact"/>
              <w:jc w:val="center"/>
              <w:rPr>
                <w:rFonts w:ascii="Times New Roman"/>
                <w:sz w:val="21"/>
                <w:szCs w:val="21"/>
              </w:rPr>
            </w:pPr>
          </w:p>
        </w:tc>
        <w:tc>
          <w:tcPr>
            <w:tcW w:w="576" w:type="pct"/>
            <w:vMerge w:val="continue"/>
            <w:vAlign w:val="center"/>
          </w:tcPr>
          <w:p w14:paraId="6682CE8C">
            <w:pPr>
              <w:spacing w:line="280" w:lineRule="exact"/>
              <w:jc w:val="center"/>
              <w:rPr>
                <w:rFonts w:ascii="Times New Roman"/>
                <w:sz w:val="21"/>
                <w:szCs w:val="21"/>
              </w:rPr>
            </w:pPr>
          </w:p>
        </w:tc>
        <w:tc>
          <w:tcPr>
            <w:tcW w:w="588" w:type="pct"/>
            <w:vMerge w:val="continue"/>
            <w:vAlign w:val="center"/>
          </w:tcPr>
          <w:p w14:paraId="0AEF0E0C">
            <w:pPr>
              <w:spacing w:line="280" w:lineRule="exact"/>
              <w:jc w:val="center"/>
              <w:rPr>
                <w:rFonts w:ascii="Times New Roman"/>
                <w:sz w:val="21"/>
                <w:szCs w:val="21"/>
              </w:rPr>
            </w:pPr>
          </w:p>
        </w:tc>
        <w:tc>
          <w:tcPr>
            <w:tcW w:w="457" w:type="pct"/>
            <w:vMerge w:val="continue"/>
            <w:vAlign w:val="center"/>
          </w:tcPr>
          <w:p w14:paraId="67652A3C">
            <w:pPr>
              <w:spacing w:line="280" w:lineRule="exact"/>
              <w:jc w:val="center"/>
              <w:rPr>
                <w:rFonts w:ascii="Times New Roman"/>
                <w:sz w:val="21"/>
                <w:szCs w:val="21"/>
              </w:rPr>
            </w:pPr>
          </w:p>
        </w:tc>
        <w:tc>
          <w:tcPr>
            <w:tcW w:w="291" w:type="pct"/>
            <w:vMerge w:val="continue"/>
            <w:vAlign w:val="center"/>
          </w:tcPr>
          <w:p w14:paraId="49AA43FC">
            <w:pPr>
              <w:spacing w:line="280" w:lineRule="exact"/>
              <w:jc w:val="center"/>
              <w:rPr>
                <w:rFonts w:ascii="Times New Roman"/>
                <w:sz w:val="21"/>
                <w:szCs w:val="21"/>
              </w:rPr>
            </w:pPr>
          </w:p>
        </w:tc>
        <w:tc>
          <w:tcPr>
            <w:tcW w:w="267" w:type="pct"/>
            <w:vMerge w:val="continue"/>
            <w:vAlign w:val="center"/>
          </w:tcPr>
          <w:p w14:paraId="7E40A8DF">
            <w:pPr>
              <w:spacing w:line="280" w:lineRule="exact"/>
              <w:jc w:val="center"/>
              <w:rPr>
                <w:rFonts w:ascii="Times New Roman"/>
                <w:sz w:val="21"/>
                <w:szCs w:val="21"/>
              </w:rPr>
            </w:pPr>
          </w:p>
        </w:tc>
        <w:tc>
          <w:tcPr>
            <w:tcW w:w="297" w:type="pct"/>
            <w:vMerge w:val="continue"/>
            <w:vAlign w:val="center"/>
          </w:tcPr>
          <w:p w14:paraId="734E0405">
            <w:pPr>
              <w:spacing w:line="280" w:lineRule="exact"/>
              <w:jc w:val="center"/>
              <w:rPr>
                <w:rFonts w:ascii="Times New Roman"/>
                <w:sz w:val="21"/>
                <w:szCs w:val="21"/>
              </w:rPr>
            </w:pPr>
          </w:p>
        </w:tc>
        <w:tc>
          <w:tcPr>
            <w:tcW w:w="326" w:type="pct"/>
            <w:vMerge w:val="continue"/>
            <w:vAlign w:val="center"/>
          </w:tcPr>
          <w:p w14:paraId="5592CCFB">
            <w:pPr>
              <w:spacing w:line="280" w:lineRule="exact"/>
              <w:jc w:val="center"/>
              <w:rPr>
                <w:rFonts w:ascii="Times New Roman"/>
                <w:sz w:val="21"/>
                <w:szCs w:val="21"/>
              </w:rPr>
            </w:pPr>
          </w:p>
        </w:tc>
        <w:tc>
          <w:tcPr>
            <w:tcW w:w="231" w:type="pct"/>
            <w:vMerge w:val="continue"/>
            <w:vAlign w:val="center"/>
          </w:tcPr>
          <w:p w14:paraId="454FDFBC">
            <w:pPr>
              <w:spacing w:line="280" w:lineRule="exact"/>
              <w:jc w:val="center"/>
              <w:rPr>
                <w:rFonts w:ascii="Times New Roman"/>
                <w:sz w:val="21"/>
                <w:szCs w:val="21"/>
              </w:rPr>
            </w:pPr>
          </w:p>
        </w:tc>
        <w:tc>
          <w:tcPr>
            <w:tcW w:w="481" w:type="pct"/>
            <w:shd w:val="clear" w:color="auto" w:fill="auto"/>
            <w:vAlign w:val="center"/>
          </w:tcPr>
          <w:p w14:paraId="077685D7">
            <w:pPr>
              <w:spacing w:line="280" w:lineRule="exact"/>
              <w:jc w:val="center"/>
              <w:rPr>
                <w:rFonts w:ascii="Times New Roman"/>
                <w:sz w:val="21"/>
                <w:szCs w:val="21"/>
              </w:rPr>
            </w:pPr>
            <w:r>
              <w:rPr>
                <w:rFonts w:ascii="Times New Roman"/>
                <w:sz w:val="21"/>
                <w:szCs w:val="21"/>
              </w:rPr>
              <w:t>非甲烷总烃</w:t>
            </w:r>
          </w:p>
        </w:tc>
        <w:tc>
          <w:tcPr>
            <w:tcW w:w="374" w:type="pct"/>
            <w:vAlign w:val="center"/>
          </w:tcPr>
          <w:p w14:paraId="4FDF0A5B">
            <w:pPr>
              <w:jc w:val="center"/>
              <w:rPr>
                <w:rFonts w:ascii="Times New Roman"/>
                <w:sz w:val="21"/>
                <w:szCs w:val="21"/>
              </w:rPr>
            </w:pPr>
            <w:r>
              <w:rPr>
                <w:rFonts w:hint="eastAsia" w:ascii="Times New Roman"/>
                <w:sz w:val="21"/>
                <w:szCs w:val="21"/>
              </w:rPr>
              <w:t>0.010</w:t>
            </w:r>
          </w:p>
        </w:tc>
      </w:tr>
    </w:tbl>
    <w:p w14:paraId="2E758E1A">
      <w:pPr>
        <w:spacing w:line="480" w:lineRule="exact"/>
        <w:jc w:val="center"/>
        <w:rPr>
          <w:rFonts w:ascii="Times New Roman"/>
          <w:b/>
          <w:sz w:val="24"/>
          <w:szCs w:val="24"/>
        </w:rPr>
      </w:pPr>
      <w:r>
        <w:rPr>
          <w:rFonts w:ascii="Times New Roman"/>
          <w:b/>
          <w:sz w:val="24"/>
          <w:szCs w:val="24"/>
        </w:rPr>
        <w:t>表2.5-3  主要废气污染源参数一览表（矩形面源）</w:t>
      </w:r>
    </w:p>
    <w:tbl>
      <w:tblPr>
        <w:tblStyle w:val="8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1"/>
        <w:gridCol w:w="1548"/>
        <w:gridCol w:w="935"/>
        <w:gridCol w:w="924"/>
        <w:gridCol w:w="924"/>
        <w:gridCol w:w="1267"/>
        <w:gridCol w:w="1106"/>
        <w:gridCol w:w="1253"/>
        <w:gridCol w:w="1505"/>
        <w:gridCol w:w="1333"/>
      </w:tblGrid>
      <w:tr w14:paraId="47FE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restart"/>
            <w:shd w:val="clear" w:color="auto" w:fill="auto"/>
            <w:noWrap/>
            <w:vAlign w:val="center"/>
          </w:tcPr>
          <w:p w14:paraId="1ACAB7C7">
            <w:pPr>
              <w:spacing w:line="240" w:lineRule="exact"/>
              <w:jc w:val="center"/>
              <w:rPr>
                <w:rFonts w:ascii="Times New Roman"/>
                <w:sz w:val="21"/>
                <w:szCs w:val="21"/>
              </w:rPr>
            </w:pPr>
            <w:r>
              <w:rPr>
                <w:rFonts w:ascii="Times New Roman"/>
                <w:sz w:val="21"/>
                <w:szCs w:val="21"/>
              </w:rPr>
              <w:t>污染源名称</w:t>
            </w:r>
          </w:p>
        </w:tc>
        <w:tc>
          <w:tcPr>
            <w:tcW w:w="1139" w:type="pct"/>
            <w:gridSpan w:val="2"/>
            <w:vAlign w:val="center"/>
          </w:tcPr>
          <w:p w14:paraId="52721490">
            <w:pPr>
              <w:spacing w:line="240" w:lineRule="exact"/>
              <w:jc w:val="center"/>
              <w:rPr>
                <w:rFonts w:ascii="Times New Roman"/>
                <w:sz w:val="21"/>
                <w:szCs w:val="21"/>
              </w:rPr>
            </w:pPr>
            <w:r>
              <w:rPr>
                <w:rFonts w:ascii="Times New Roman"/>
                <w:sz w:val="21"/>
                <w:szCs w:val="21"/>
              </w:rPr>
              <w:t>起点坐标</w:t>
            </w:r>
          </w:p>
        </w:tc>
        <w:tc>
          <w:tcPr>
            <w:tcW w:w="330" w:type="pct"/>
            <w:vMerge w:val="restart"/>
            <w:vAlign w:val="center"/>
          </w:tcPr>
          <w:p w14:paraId="3E891AA8">
            <w:pPr>
              <w:spacing w:line="240" w:lineRule="exact"/>
              <w:jc w:val="center"/>
              <w:rPr>
                <w:rFonts w:ascii="Times New Roman"/>
                <w:sz w:val="21"/>
                <w:szCs w:val="21"/>
              </w:rPr>
            </w:pPr>
            <w:r>
              <w:rPr>
                <w:rFonts w:ascii="Times New Roman"/>
                <w:sz w:val="21"/>
                <w:szCs w:val="21"/>
              </w:rPr>
              <w:t>海拔高度/m</w:t>
            </w:r>
          </w:p>
        </w:tc>
        <w:tc>
          <w:tcPr>
            <w:tcW w:w="1099" w:type="pct"/>
            <w:gridSpan w:val="3"/>
            <w:vAlign w:val="center"/>
          </w:tcPr>
          <w:p w14:paraId="14C19609">
            <w:pPr>
              <w:spacing w:line="240" w:lineRule="exact"/>
              <w:jc w:val="center"/>
              <w:rPr>
                <w:rFonts w:ascii="Times New Roman"/>
                <w:sz w:val="21"/>
                <w:szCs w:val="21"/>
              </w:rPr>
            </w:pPr>
            <w:r>
              <w:rPr>
                <w:rFonts w:ascii="Times New Roman"/>
                <w:sz w:val="21"/>
                <w:szCs w:val="21"/>
              </w:rPr>
              <w:t>矩形面源/m</w:t>
            </w:r>
          </w:p>
        </w:tc>
        <w:tc>
          <w:tcPr>
            <w:tcW w:w="390" w:type="pct"/>
            <w:vMerge w:val="restart"/>
            <w:vAlign w:val="center"/>
          </w:tcPr>
          <w:p w14:paraId="7CB17332">
            <w:pPr>
              <w:spacing w:line="240" w:lineRule="exact"/>
              <w:jc w:val="center"/>
              <w:rPr>
                <w:rFonts w:ascii="Times New Roman"/>
                <w:sz w:val="21"/>
                <w:szCs w:val="21"/>
              </w:rPr>
            </w:pPr>
            <w:r>
              <w:rPr>
                <w:rFonts w:ascii="Times New Roman"/>
                <w:sz w:val="21"/>
                <w:szCs w:val="21"/>
              </w:rPr>
              <w:t>与正北向夹角/°</w:t>
            </w:r>
          </w:p>
        </w:tc>
        <w:tc>
          <w:tcPr>
            <w:tcW w:w="442" w:type="pct"/>
            <w:vMerge w:val="restart"/>
            <w:vAlign w:val="center"/>
          </w:tcPr>
          <w:p w14:paraId="68756F04">
            <w:pPr>
              <w:spacing w:line="240" w:lineRule="exact"/>
              <w:jc w:val="center"/>
              <w:rPr>
                <w:rFonts w:ascii="Times New Roman"/>
                <w:sz w:val="21"/>
                <w:szCs w:val="21"/>
              </w:rPr>
            </w:pPr>
            <w:r>
              <w:rPr>
                <w:rFonts w:ascii="Times New Roman"/>
                <w:sz w:val="21"/>
                <w:szCs w:val="21"/>
              </w:rPr>
              <w:t>排放工况</w:t>
            </w:r>
          </w:p>
        </w:tc>
        <w:tc>
          <w:tcPr>
            <w:tcW w:w="531" w:type="pct"/>
            <w:vMerge w:val="restart"/>
            <w:vAlign w:val="center"/>
          </w:tcPr>
          <w:p w14:paraId="27A34FC6">
            <w:pPr>
              <w:spacing w:line="240" w:lineRule="exact"/>
              <w:jc w:val="center"/>
              <w:rPr>
                <w:rFonts w:ascii="Times New Roman"/>
                <w:sz w:val="21"/>
                <w:szCs w:val="21"/>
              </w:rPr>
            </w:pPr>
            <w:r>
              <w:rPr>
                <w:rFonts w:ascii="Times New Roman"/>
                <w:sz w:val="21"/>
                <w:szCs w:val="21"/>
              </w:rPr>
              <w:t>污染物</w:t>
            </w:r>
          </w:p>
        </w:tc>
        <w:tc>
          <w:tcPr>
            <w:tcW w:w="470" w:type="pct"/>
            <w:vMerge w:val="restart"/>
            <w:vAlign w:val="center"/>
          </w:tcPr>
          <w:p w14:paraId="6A820F52">
            <w:pPr>
              <w:spacing w:line="240" w:lineRule="exact"/>
              <w:jc w:val="center"/>
              <w:rPr>
                <w:rFonts w:ascii="Times New Roman"/>
                <w:sz w:val="21"/>
                <w:szCs w:val="21"/>
              </w:rPr>
            </w:pPr>
            <w:r>
              <w:rPr>
                <w:rFonts w:ascii="Times New Roman"/>
                <w:sz w:val="21"/>
                <w:szCs w:val="21"/>
              </w:rPr>
              <w:t>排放速率（kg/h）</w:t>
            </w:r>
          </w:p>
        </w:tc>
      </w:tr>
      <w:tr w14:paraId="4384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continue"/>
            <w:shd w:val="clear" w:color="auto" w:fill="auto"/>
            <w:noWrap/>
            <w:vAlign w:val="center"/>
          </w:tcPr>
          <w:p w14:paraId="252A028A">
            <w:pPr>
              <w:spacing w:line="240" w:lineRule="exact"/>
              <w:jc w:val="center"/>
              <w:rPr>
                <w:rFonts w:ascii="Times New Roman"/>
                <w:sz w:val="21"/>
                <w:szCs w:val="21"/>
              </w:rPr>
            </w:pPr>
          </w:p>
        </w:tc>
        <w:tc>
          <w:tcPr>
            <w:tcW w:w="593" w:type="pct"/>
            <w:vAlign w:val="center"/>
          </w:tcPr>
          <w:p w14:paraId="78E76113">
            <w:pPr>
              <w:spacing w:line="240" w:lineRule="exact"/>
              <w:jc w:val="center"/>
              <w:rPr>
                <w:rFonts w:ascii="Times New Roman"/>
                <w:sz w:val="21"/>
                <w:szCs w:val="21"/>
              </w:rPr>
            </w:pPr>
            <w:r>
              <w:rPr>
                <w:rFonts w:ascii="Times New Roman"/>
                <w:sz w:val="21"/>
                <w:szCs w:val="21"/>
              </w:rPr>
              <w:t>经度</w:t>
            </w:r>
          </w:p>
        </w:tc>
        <w:tc>
          <w:tcPr>
            <w:tcW w:w="546" w:type="pct"/>
            <w:vAlign w:val="center"/>
          </w:tcPr>
          <w:p w14:paraId="2F4FA30D">
            <w:pPr>
              <w:spacing w:line="240" w:lineRule="exact"/>
              <w:jc w:val="center"/>
              <w:rPr>
                <w:rFonts w:ascii="Times New Roman"/>
                <w:sz w:val="21"/>
                <w:szCs w:val="21"/>
              </w:rPr>
            </w:pPr>
            <w:r>
              <w:rPr>
                <w:rFonts w:ascii="Times New Roman"/>
                <w:sz w:val="21"/>
                <w:szCs w:val="21"/>
              </w:rPr>
              <w:t>纬度</w:t>
            </w:r>
          </w:p>
        </w:tc>
        <w:tc>
          <w:tcPr>
            <w:tcW w:w="330" w:type="pct"/>
            <w:vMerge w:val="continue"/>
            <w:vAlign w:val="center"/>
          </w:tcPr>
          <w:p w14:paraId="47A44B7E">
            <w:pPr>
              <w:spacing w:line="240" w:lineRule="exact"/>
              <w:jc w:val="center"/>
              <w:rPr>
                <w:rFonts w:ascii="Times New Roman"/>
                <w:sz w:val="21"/>
                <w:szCs w:val="21"/>
              </w:rPr>
            </w:pPr>
          </w:p>
        </w:tc>
        <w:tc>
          <w:tcPr>
            <w:tcW w:w="326" w:type="pct"/>
            <w:vAlign w:val="center"/>
          </w:tcPr>
          <w:p w14:paraId="4B06265D">
            <w:pPr>
              <w:spacing w:line="240" w:lineRule="exact"/>
              <w:jc w:val="center"/>
              <w:rPr>
                <w:rFonts w:ascii="Times New Roman"/>
                <w:sz w:val="21"/>
                <w:szCs w:val="21"/>
              </w:rPr>
            </w:pPr>
            <w:r>
              <w:rPr>
                <w:rFonts w:ascii="Times New Roman"/>
                <w:sz w:val="21"/>
                <w:szCs w:val="21"/>
              </w:rPr>
              <w:t>长度</w:t>
            </w:r>
          </w:p>
        </w:tc>
        <w:tc>
          <w:tcPr>
            <w:tcW w:w="326" w:type="pct"/>
            <w:vAlign w:val="center"/>
          </w:tcPr>
          <w:p w14:paraId="37008DFE">
            <w:pPr>
              <w:spacing w:line="240" w:lineRule="exact"/>
              <w:jc w:val="center"/>
              <w:rPr>
                <w:rFonts w:ascii="Times New Roman"/>
                <w:sz w:val="21"/>
                <w:szCs w:val="21"/>
              </w:rPr>
            </w:pPr>
            <w:r>
              <w:rPr>
                <w:rFonts w:ascii="Times New Roman"/>
                <w:sz w:val="21"/>
                <w:szCs w:val="21"/>
              </w:rPr>
              <w:t>宽度</w:t>
            </w:r>
          </w:p>
        </w:tc>
        <w:tc>
          <w:tcPr>
            <w:tcW w:w="447" w:type="pct"/>
            <w:vAlign w:val="center"/>
          </w:tcPr>
          <w:p w14:paraId="13B91683">
            <w:pPr>
              <w:spacing w:line="240" w:lineRule="exact"/>
              <w:jc w:val="center"/>
              <w:rPr>
                <w:rFonts w:ascii="Times New Roman"/>
                <w:sz w:val="21"/>
                <w:szCs w:val="21"/>
              </w:rPr>
            </w:pPr>
            <w:r>
              <w:rPr>
                <w:rFonts w:ascii="Times New Roman"/>
                <w:sz w:val="21"/>
                <w:szCs w:val="21"/>
              </w:rPr>
              <w:t>有效高度</w:t>
            </w:r>
          </w:p>
        </w:tc>
        <w:tc>
          <w:tcPr>
            <w:tcW w:w="390" w:type="pct"/>
            <w:vMerge w:val="continue"/>
            <w:vAlign w:val="center"/>
          </w:tcPr>
          <w:p w14:paraId="6FA037DC">
            <w:pPr>
              <w:spacing w:line="240" w:lineRule="exact"/>
              <w:jc w:val="center"/>
              <w:rPr>
                <w:rFonts w:ascii="Times New Roman"/>
                <w:sz w:val="21"/>
                <w:szCs w:val="21"/>
              </w:rPr>
            </w:pPr>
          </w:p>
        </w:tc>
        <w:tc>
          <w:tcPr>
            <w:tcW w:w="442" w:type="pct"/>
            <w:vMerge w:val="continue"/>
            <w:vAlign w:val="center"/>
          </w:tcPr>
          <w:p w14:paraId="230EF668">
            <w:pPr>
              <w:spacing w:line="240" w:lineRule="exact"/>
              <w:jc w:val="center"/>
              <w:rPr>
                <w:rFonts w:ascii="Times New Roman"/>
                <w:sz w:val="21"/>
                <w:szCs w:val="21"/>
              </w:rPr>
            </w:pPr>
          </w:p>
        </w:tc>
        <w:tc>
          <w:tcPr>
            <w:tcW w:w="531" w:type="pct"/>
            <w:vMerge w:val="continue"/>
            <w:vAlign w:val="center"/>
          </w:tcPr>
          <w:p w14:paraId="246714CF">
            <w:pPr>
              <w:spacing w:line="240" w:lineRule="exact"/>
              <w:jc w:val="center"/>
              <w:rPr>
                <w:rFonts w:ascii="Times New Roman"/>
                <w:sz w:val="21"/>
                <w:szCs w:val="21"/>
              </w:rPr>
            </w:pPr>
          </w:p>
        </w:tc>
        <w:tc>
          <w:tcPr>
            <w:tcW w:w="470" w:type="pct"/>
            <w:vMerge w:val="continue"/>
            <w:vAlign w:val="center"/>
          </w:tcPr>
          <w:p w14:paraId="7A859428">
            <w:pPr>
              <w:spacing w:line="240" w:lineRule="exact"/>
              <w:jc w:val="center"/>
              <w:rPr>
                <w:rFonts w:ascii="Times New Roman"/>
                <w:sz w:val="21"/>
                <w:szCs w:val="21"/>
              </w:rPr>
            </w:pPr>
          </w:p>
        </w:tc>
      </w:tr>
      <w:tr w14:paraId="5313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restart"/>
            <w:shd w:val="clear" w:color="auto" w:fill="auto"/>
            <w:noWrap/>
            <w:vAlign w:val="center"/>
          </w:tcPr>
          <w:p w14:paraId="0F115525">
            <w:pPr>
              <w:jc w:val="center"/>
              <w:rPr>
                <w:rFonts w:ascii="Times New Roman"/>
                <w:sz w:val="21"/>
                <w:szCs w:val="21"/>
              </w:rPr>
            </w:pPr>
            <w:r>
              <w:rPr>
                <w:rFonts w:ascii="Times New Roman"/>
                <w:kern w:val="0"/>
                <w:sz w:val="21"/>
                <w:szCs w:val="21"/>
              </w:rPr>
              <w:t>托辊及装配厂房</w:t>
            </w:r>
          </w:p>
        </w:tc>
        <w:tc>
          <w:tcPr>
            <w:tcW w:w="593" w:type="pct"/>
            <w:vMerge w:val="restart"/>
            <w:vAlign w:val="center"/>
          </w:tcPr>
          <w:p w14:paraId="38AE3B60">
            <w:pPr>
              <w:spacing w:line="240" w:lineRule="exact"/>
              <w:jc w:val="center"/>
              <w:rPr>
                <w:rFonts w:ascii="Times New Roman"/>
                <w:sz w:val="21"/>
                <w:szCs w:val="21"/>
              </w:rPr>
            </w:pPr>
            <w:r>
              <w:rPr>
                <w:rFonts w:ascii="Times New Roman"/>
                <w:sz w:val="21"/>
                <w:szCs w:val="21"/>
              </w:rPr>
              <w:t>118.507364</w:t>
            </w:r>
          </w:p>
        </w:tc>
        <w:tc>
          <w:tcPr>
            <w:tcW w:w="546" w:type="pct"/>
            <w:vMerge w:val="restart"/>
            <w:vAlign w:val="center"/>
          </w:tcPr>
          <w:p w14:paraId="5D622F70">
            <w:pPr>
              <w:spacing w:line="240" w:lineRule="exact"/>
              <w:jc w:val="center"/>
              <w:rPr>
                <w:rFonts w:ascii="Times New Roman"/>
                <w:kern w:val="0"/>
                <w:sz w:val="21"/>
                <w:szCs w:val="21"/>
              </w:rPr>
            </w:pPr>
            <w:r>
              <w:rPr>
                <w:rFonts w:ascii="Times New Roman"/>
                <w:kern w:val="0"/>
                <w:sz w:val="21"/>
                <w:szCs w:val="21"/>
              </w:rPr>
              <w:t>39.089534</w:t>
            </w:r>
          </w:p>
        </w:tc>
        <w:tc>
          <w:tcPr>
            <w:tcW w:w="330" w:type="pct"/>
            <w:vMerge w:val="restart"/>
            <w:vAlign w:val="center"/>
          </w:tcPr>
          <w:p w14:paraId="671E53E2">
            <w:pPr>
              <w:spacing w:line="240" w:lineRule="exact"/>
              <w:jc w:val="center"/>
              <w:rPr>
                <w:rFonts w:ascii="Times New Roman"/>
                <w:kern w:val="0"/>
                <w:sz w:val="21"/>
                <w:szCs w:val="21"/>
              </w:rPr>
            </w:pPr>
            <w:r>
              <w:rPr>
                <w:rFonts w:ascii="Times New Roman"/>
                <w:kern w:val="0"/>
                <w:sz w:val="21"/>
                <w:szCs w:val="21"/>
              </w:rPr>
              <w:t>0</w:t>
            </w:r>
          </w:p>
        </w:tc>
        <w:tc>
          <w:tcPr>
            <w:tcW w:w="326" w:type="pct"/>
            <w:vMerge w:val="restart"/>
            <w:vAlign w:val="center"/>
          </w:tcPr>
          <w:p w14:paraId="717C777A">
            <w:pPr>
              <w:spacing w:line="240" w:lineRule="exact"/>
              <w:jc w:val="center"/>
              <w:rPr>
                <w:rFonts w:ascii="Times New Roman"/>
                <w:kern w:val="0"/>
                <w:sz w:val="21"/>
                <w:szCs w:val="21"/>
              </w:rPr>
            </w:pPr>
            <w:r>
              <w:rPr>
                <w:rFonts w:hint="eastAsia" w:ascii="Times New Roman"/>
                <w:kern w:val="0"/>
                <w:sz w:val="21"/>
                <w:szCs w:val="21"/>
              </w:rPr>
              <w:t>152.6</w:t>
            </w:r>
          </w:p>
        </w:tc>
        <w:tc>
          <w:tcPr>
            <w:tcW w:w="326" w:type="pct"/>
            <w:vMerge w:val="restart"/>
            <w:vAlign w:val="center"/>
          </w:tcPr>
          <w:p w14:paraId="5E08A2A8">
            <w:pPr>
              <w:spacing w:line="240" w:lineRule="exact"/>
              <w:jc w:val="center"/>
              <w:rPr>
                <w:rFonts w:ascii="Times New Roman"/>
                <w:kern w:val="0"/>
                <w:sz w:val="21"/>
                <w:szCs w:val="21"/>
              </w:rPr>
            </w:pPr>
            <w:r>
              <w:rPr>
                <w:rFonts w:hint="eastAsia" w:ascii="Times New Roman"/>
                <w:kern w:val="0"/>
                <w:sz w:val="21"/>
                <w:szCs w:val="21"/>
              </w:rPr>
              <w:t>110.66</w:t>
            </w:r>
          </w:p>
        </w:tc>
        <w:tc>
          <w:tcPr>
            <w:tcW w:w="447" w:type="pct"/>
            <w:vMerge w:val="restart"/>
            <w:vAlign w:val="center"/>
          </w:tcPr>
          <w:p w14:paraId="735588B0">
            <w:pPr>
              <w:spacing w:line="240" w:lineRule="exact"/>
              <w:jc w:val="center"/>
              <w:rPr>
                <w:rFonts w:ascii="Times New Roman"/>
                <w:sz w:val="21"/>
                <w:szCs w:val="21"/>
              </w:rPr>
            </w:pPr>
            <w:r>
              <w:rPr>
                <w:rFonts w:hint="eastAsia" w:ascii="Times New Roman"/>
                <w:sz w:val="21"/>
                <w:szCs w:val="21"/>
              </w:rPr>
              <w:t>15.5</w:t>
            </w:r>
          </w:p>
        </w:tc>
        <w:tc>
          <w:tcPr>
            <w:tcW w:w="390" w:type="pct"/>
            <w:vMerge w:val="restart"/>
            <w:vAlign w:val="center"/>
          </w:tcPr>
          <w:p w14:paraId="16BB1201">
            <w:pPr>
              <w:spacing w:line="240" w:lineRule="exact"/>
              <w:jc w:val="center"/>
              <w:rPr>
                <w:rFonts w:ascii="Times New Roman"/>
                <w:sz w:val="21"/>
                <w:szCs w:val="21"/>
              </w:rPr>
            </w:pPr>
            <w:r>
              <w:rPr>
                <w:rFonts w:hint="eastAsia" w:ascii="Times New Roman"/>
                <w:sz w:val="21"/>
                <w:szCs w:val="21"/>
              </w:rPr>
              <w:t>0</w:t>
            </w:r>
          </w:p>
        </w:tc>
        <w:tc>
          <w:tcPr>
            <w:tcW w:w="442" w:type="pct"/>
            <w:vMerge w:val="restart"/>
            <w:vAlign w:val="center"/>
          </w:tcPr>
          <w:p w14:paraId="106E74C3">
            <w:pPr>
              <w:spacing w:line="240" w:lineRule="exact"/>
              <w:jc w:val="center"/>
              <w:rPr>
                <w:rFonts w:ascii="Times New Roman"/>
                <w:sz w:val="21"/>
                <w:szCs w:val="21"/>
              </w:rPr>
            </w:pPr>
            <w:r>
              <w:rPr>
                <w:rFonts w:ascii="Times New Roman"/>
                <w:sz w:val="21"/>
                <w:szCs w:val="21"/>
              </w:rPr>
              <w:t>正常工况</w:t>
            </w:r>
          </w:p>
        </w:tc>
        <w:tc>
          <w:tcPr>
            <w:tcW w:w="531" w:type="pct"/>
            <w:vAlign w:val="center"/>
          </w:tcPr>
          <w:p w14:paraId="397CD8D6">
            <w:pPr>
              <w:spacing w:line="240" w:lineRule="exact"/>
              <w:jc w:val="center"/>
              <w:rPr>
                <w:rFonts w:ascii="Times New Roman"/>
                <w:sz w:val="21"/>
                <w:szCs w:val="21"/>
              </w:rPr>
            </w:pPr>
            <w:r>
              <w:rPr>
                <w:rFonts w:ascii="Times New Roman"/>
                <w:snapToGrid w:val="0"/>
                <w:sz w:val="21"/>
                <w:szCs w:val="21"/>
              </w:rPr>
              <w:t>TSP</w:t>
            </w:r>
          </w:p>
        </w:tc>
        <w:tc>
          <w:tcPr>
            <w:tcW w:w="470" w:type="pct"/>
            <w:shd w:val="clear" w:color="auto" w:fill="auto"/>
            <w:vAlign w:val="center"/>
          </w:tcPr>
          <w:p w14:paraId="4D42E9BE">
            <w:pPr>
              <w:jc w:val="center"/>
              <w:rPr>
                <w:rFonts w:ascii="Times New Roman"/>
                <w:sz w:val="21"/>
                <w:szCs w:val="21"/>
              </w:rPr>
            </w:pPr>
            <w:r>
              <w:rPr>
                <w:rFonts w:hint="eastAsia" w:ascii="Times New Roman"/>
                <w:sz w:val="21"/>
                <w:szCs w:val="21"/>
              </w:rPr>
              <w:t>0.438</w:t>
            </w:r>
          </w:p>
        </w:tc>
      </w:tr>
      <w:tr w14:paraId="1FD1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continue"/>
            <w:shd w:val="clear" w:color="auto" w:fill="auto"/>
            <w:noWrap/>
            <w:vAlign w:val="center"/>
          </w:tcPr>
          <w:p w14:paraId="16E6570C">
            <w:pPr>
              <w:spacing w:line="240" w:lineRule="exact"/>
              <w:jc w:val="center"/>
              <w:rPr>
                <w:rFonts w:ascii="Times New Roman"/>
                <w:sz w:val="21"/>
                <w:szCs w:val="21"/>
              </w:rPr>
            </w:pPr>
          </w:p>
        </w:tc>
        <w:tc>
          <w:tcPr>
            <w:tcW w:w="593" w:type="pct"/>
            <w:vMerge w:val="continue"/>
            <w:vAlign w:val="center"/>
          </w:tcPr>
          <w:p w14:paraId="4F417844">
            <w:pPr>
              <w:spacing w:line="240" w:lineRule="exact"/>
              <w:jc w:val="center"/>
              <w:rPr>
                <w:rFonts w:ascii="Times New Roman"/>
                <w:sz w:val="21"/>
                <w:szCs w:val="21"/>
              </w:rPr>
            </w:pPr>
          </w:p>
        </w:tc>
        <w:tc>
          <w:tcPr>
            <w:tcW w:w="546" w:type="pct"/>
            <w:vMerge w:val="continue"/>
            <w:vAlign w:val="center"/>
          </w:tcPr>
          <w:p w14:paraId="18BC6A62">
            <w:pPr>
              <w:spacing w:line="240" w:lineRule="exact"/>
              <w:jc w:val="center"/>
              <w:rPr>
                <w:rFonts w:ascii="Times New Roman"/>
                <w:kern w:val="0"/>
                <w:sz w:val="18"/>
                <w:szCs w:val="21"/>
              </w:rPr>
            </w:pPr>
          </w:p>
        </w:tc>
        <w:tc>
          <w:tcPr>
            <w:tcW w:w="330" w:type="pct"/>
            <w:vMerge w:val="continue"/>
            <w:vAlign w:val="center"/>
          </w:tcPr>
          <w:p w14:paraId="77F70174">
            <w:pPr>
              <w:spacing w:line="240" w:lineRule="exact"/>
              <w:jc w:val="center"/>
              <w:rPr>
                <w:rFonts w:ascii="Times New Roman"/>
                <w:kern w:val="0"/>
                <w:sz w:val="21"/>
                <w:szCs w:val="21"/>
              </w:rPr>
            </w:pPr>
          </w:p>
        </w:tc>
        <w:tc>
          <w:tcPr>
            <w:tcW w:w="326" w:type="pct"/>
            <w:vMerge w:val="continue"/>
            <w:vAlign w:val="center"/>
          </w:tcPr>
          <w:p w14:paraId="3BFAAD69">
            <w:pPr>
              <w:spacing w:line="240" w:lineRule="exact"/>
              <w:jc w:val="center"/>
              <w:rPr>
                <w:rFonts w:ascii="Times New Roman"/>
                <w:kern w:val="0"/>
                <w:sz w:val="21"/>
                <w:szCs w:val="21"/>
              </w:rPr>
            </w:pPr>
          </w:p>
        </w:tc>
        <w:tc>
          <w:tcPr>
            <w:tcW w:w="326" w:type="pct"/>
            <w:vMerge w:val="continue"/>
            <w:vAlign w:val="center"/>
          </w:tcPr>
          <w:p w14:paraId="6441B78B">
            <w:pPr>
              <w:spacing w:line="240" w:lineRule="exact"/>
              <w:jc w:val="center"/>
              <w:rPr>
                <w:rFonts w:ascii="Times New Roman"/>
                <w:kern w:val="0"/>
                <w:sz w:val="21"/>
                <w:szCs w:val="21"/>
              </w:rPr>
            </w:pPr>
          </w:p>
        </w:tc>
        <w:tc>
          <w:tcPr>
            <w:tcW w:w="447" w:type="pct"/>
            <w:vMerge w:val="continue"/>
            <w:vAlign w:val="center"/>
          </w:tcPr>
          <w:p w14:paraId="4242627D">
            <w:pPr>
              <w:spacing w:line="240" w:lineRule="exact"/>
              <w:jc w:val="center"/>
              <w:rPr>
                <w:rFonts w:ascii="Times New Roman"/>
                <w:sz w:val="21"/>
                <w:szCs w:val="21"/>
              </w:rPr>
            </w:pPr>
          </w:p>
        </w:tc>
        <w:tc>
          <w:tcPr>
            <w:tcW w:w="390" w:type="pct"/>
            <w:vMerge w:val="continue"/>
            <w:vAlign w:val="center"/>
          </w:tcPr>
          <w:p w14:paraId="7AD1740C">
            <w:pPr>
              <w:spacing w:line="240" w:lineRule="exact"/>
              <w:jc w:val="center"/>
              <w:rPr>
                <w:rFonts w:ascii="Times New Roman"/>
                <w:snapToGrid w:val="0"/>
                <w:sz w:val="21"/>
                <w:szCs w:val="21"/>
              </w:rPr>
            </w:pPr>
          </w:p>
        </w:tc>
        <w:tc>
          <w:tcPr>
            <w:tcW w:w="442" w:type="pct"/>
            <w:vMerge w:val="continue"/>
            <w:vAlign w:val="center"/>
          </w:tcPr>
          <w:p w14:paraId="19CE8989">
            <w:pPr>
              <w:spacing w:line="240" w:lineRule="exact"/>
              <w:jc w:val="center"/>
              <w:rPr>
                <w:rFonts w:ascii="Times New Roman"/>
                <w:snapToGrid w:val="0"/>
                <w:sz w:val="21"/>
                <w:szCs w:val="21"/>
              </w:rPr>
            </w:pPr>
          </w:p>
        </w:tc>
        <w:tc>
          <w:tcPr>
            <w:tcW w:w="531" w:type="pct"/>
            <w:vAlign w:val="center"/>
          </w:tcPr>
          <w:p w14:paraId="45E08903">
            <w:pPr>
              <w:spacing w:line="240" w:lineRule="exact"/>
              <w:jc w:val="center"/>
              <w:rPr>
                <w:rFonts w:ascii="Times New Roman"/>
                <w:sz w:val="21"/>
                <w:szCs w:val="21"/>
              </w:rPr>
            </w:pPr>
            <w:r>
              <w:rPr>
                <w:rFonts w:ascii="Times New Roman"/>
                <w:sz w:val="21"/>
                <w:szCs w:val="21"/>
              </w:rPr>
              <w:t>非甲烷总烃</w:t>
            </w:r>
          </w:p>
        </w:tc>
        <w:tc>
          <w:tcPr>
            <w:tcW w:w="470" w:type="pct"/>
            <w:shd w:val="clear" w:color="auto" w:fill="auto"/>
            <w:vAlign w:val="center"/>
          </w:tcPr>
          <w:p w14:paraId="025C5490">
            <w:pPr>
              <w:jc w:val="center"/>
              <w:rPr>
                <w:rFonts w:ascii="Times New Roman"/>
                <w:sz w:val="21"/>
                <w:szCs w:val="21"/>
              </w:rPr>
            </w:pPr>
            <w:r>
              <w:rPr>
                <w:rFonts w:hint="eastAsia" w:ascii="Times New Roman"/>
                <w:sz w:val="21"/>
                <w:szCs w:val="21"/>
              </w:rPr>
              <w:t>0.0006</w:t>
            </w:r>
          </w:p>
        </w:tc>
      </w:tr>
      <w:tr w14:paraId="77CF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restart"/>
            <w:shd w:val="clear" w:color="auto" w:fill="auto"/>
            <w:noWrap/>
            <w:vAlign w:val="center"/>
          </w:tcPr>
          <w:p w14:paraId="772EB05B">
            <w:pPr>
              <w:jc w:val="center"/>
              <w:rPr>
                <w:rFonts w:ascii="Times New Roman"/>
                <w:sz w:val="21"/>
                <w:szCs w:val="21"/>
              </w:rPr>
            </w:pPr>
            <w:r>
              <w:rPr>
                <w:rFonts w:ascii="Times New Roman"/>
                <w:kern w:val="0"/>
                <w:sz w:val="21"/>
                <w:szCs w:val="21"/>
              </w:rPr>
              <w:t>联合厂房</w:t>
            </w:r>
          </w:p>
        </w:tc>
        <w:tc>
          <w:tcPr>
            <w:tcW w:w="593" w:type="pct"/>
            <w:vMerge w:val="restart"/>
            <w:vAlign w:val="center"/>
          </w:tcPr>
          <w:p w14:paraId="44C23BC8">
            <w:pPr>
              <w:spacing w:line="240" w:lineRule="exact"/>
              <w:jc w:val="center"/>
              <w:rPr>
                <w:rFonts w:ascii="Times New Roman"/>
                <w:sz w:val="21"/>
                <w:szCs w:val="21"/>
              </w:rPr>
            </w:pPr>
            <w:r>
              <w:rPr>
                <w:rFonts w:ascii="Times New Roman"/>
                <w:sz w:val="21"/>
                <w:szCs w:val="21"/>
              </w:rPr>
              <w:t>118.508545</w:t>
            </w:r>
          </w:p>
        </w:tc>
        <w:tc>
          <w:tcPr>
            <w:tcW w:w="546" w:type="pct"/>
            <w:vMerge w:val="restart"/>
            <w:vAlign w:val="center"/>
          </w:tcPr>
          <w:p w14:paraId="7311114E">
            <w:pPr>
              <w:spacing w:line="240" w:lineRule="exact"/>
              <w:jc w:val="center"/>
              <w:rPr>
                <w:rFonts w:ascii="Times New Roman"/>
                <w:kern w:val="0"/>
                <w:sz w:val="18"/>
                <w:szCs w:val="21"/>
              </w:rPr>
            </w:pPr>
            <w:r>
              <w:rPr>
                <w:rFonts w:ascii="Times New Roman"/>
                <w:kern w:val="0"/>
                <w:sz w:val="21"/>
                <w:szCs w:val="21"/>
              </w:rPr>
              <w:t>39.087835</w:t>
            </w:r>
          </w:p>
        </w:tc>
        <w:tc>
          <w:tcPr>
            <w:tcW w:w="330" w:type="pct"/>
            <w:vMerge w:val="restart"/>
            <w:vAlign w:val="center"/>
          </w:tcPr>
          <w:p w14:paraId="71AFDBE0">
            <w:pPr>
              <w:spacing w:line="240" w:lineRule="exact"/>
              <w:jc w:val="center"/>
              <w:rPr>
                <w:rFonts w:ascii="Times New Roman"/>
                <w:kern w:val="0"/>
                <w:sz w:val="21"/>
                <w:szCs w:val="21"/>
              </w:rPr>
            </w:pPr>
            <w:r>
              <w:rPr>
                <w:rFonts w:ascii="Times New Roman"/>
                <w:kern w:val="0"/>
                <w:sz w:val="21"/>
                <w:szCs w:val="21"/>
              </w:rPr>
              <w:t>0</w:t>
            </w:r>
          </w:p>
        </w:tc>
        <w:tc>
          <w:tcPr>
            <w:tcW w:w="326" w:type="pct"/>
            <w:vMerge w:val="restart"/>
            <w:vAlign w:val="center"/>
          </w:tcPr>
          <w:p w14:paraId="16E0B3F9">
            <w:pPr>
              <w:spacing w:line="240" w:lineRule="exact"/>
              <w:jc w:val="center"/>
              <w:rPr>
                <w:rFonts w:ascii="Times New Roman"/>
                <w:kern w:val="0"/>
                <w:sz w:val="21"/>
                <w:szCs w:val="21"/>
              </w:rPr>
            </w:pPr>
            <w:r>
              <w:rPr>
                <w:rFonts w:hint="eastAsia" w:ascii="Times New Roman"/>
                <w:kern w:val="0"/>
                <w:sz w:val="21"/>
                <w:szCs w:val="21"/>
              </w:rPr>
              <w:t>338.05</w:t>
            </w:r>
          </w:p>
        </w:tc>
        <w:tc>
          <w:tcPr>
            <w:tcW w:w="326" w:type="pct"/>
            <w:vMerge w:val="restart"/>
            <w:vAlign w:val="center"/>
          </w:tcPr>
          <w:p w14:paraId="045330F3">
            <w:pPr>
              <w:spacing w:line="240" w:lineRule="exact"/>
              <w:jc w:val="center"/>
              <w:rPr>
                <w:rFonts w:ascii="Times New Roman"/>
                <w:kern w:val="0"/>
                <w:sz w:val="21"/>
                <w:szCs w:val="21"/>
              </w:rPr>
            </w:pPr>
            <w:r>
              <w:rPr>
                <w:rFonts w:hint="eastAsia" w:ascii="Times New Roman"/>
                <w:kern w:val="0"/>
                <w:sz w:val="21"/>
                <w:szCs w:val="21"/>
              </w:rPr>
              <w:t>314</w:t>
            </w:r>
          </w:p>
        </w:tc>
        <w:tc>
          <w:tcPr>
            <w:tcW w:w="447" w:type="pct"/>
            <w:vMerge w:val="restart"/>
            <w:vAlign w:val="center"/>
          </w:tcPr>
          <w:p w14:paraId="133628EF">
            <w:pPr>
              <w:spacing w:line="240" w:lineRule="exact"/>
              <w:jc w:val="center"/>
              <w:rPr>
                <w:rFonts w:ascii="Times New Roman"/>
                <w:sz w:val="21"/>
                <w:szCs w:val="21"/>
              </w:rPr>
            </w:pPr>
            <w:r>
              <w:rPr>
                <w:rFonts w:hint="eastAsia" w:ascii="Times New Roman"/>
                <w:sz w:val="21"/>
                <w:szCs w:val="21"/>
              </w:rPr>
              <w:t>16.4</w:t>
            </w:r>
          </w:p>
        </w:tc>
        <w:tc>
          <w:tcPr>
            <w:tcW w:w="390" w:type="pct"/>
            <w:vMerge w:val="restart"/>
            <w:vAlign w:val="center"/>
          </w:tcPr>
          <w:p w14:paraId="1307A097">
            <w:pPr>
              <w:spacing w:line="240" w:lineRule="exact"/>
              <w:jc w:val="center"/>
              <w:rPr>
                <w:rFonts w:ascii="Times New Roman"/>
                <w:sz w:val="21"/>
                <w:szCs w:val="21"/>
              </w:rPr>
            </w:pPr>
            <w:r>
              <w:rPr>
                <w:rFonts w:hint="eastAsia" w:ascii="Times New Roman"/>
                <w:sz w:val="21"/>
                <w:szCs w:val="21"/>
              </w:rPr>
              <w:t>0</w:t>
            </w:r>
          </w:p>
        </w:tc>
        <w:tc>
          <w:tcPr>
            <w:tcW w:w="442" w:type="pct"/>
            <w:vMerge w:val="restart"/>
            <w:vAlign w:val="center"/>
          </w:tcPr>
          <w:p w14:paraId="5660C9C8">
            <w:pPr>
              <w:spacing w:line="240" w:lineRule="exact"/>
              <w:jc w:val="center"/>
              <w:rPr>
                <w:rFonts w:ascii="Times New Roman"/>
                <w:sz w:val="21"/>
                <w:szCs w:val="21"/>
              </w:rPr>
            </w:pPr>
            <w:r>
              <w:rPr>
                <w:rFonts w:ascii="Times New Roman"/>
                <w:sz w:val="21"/>
                <w:szCs w:val="21"/>
              </w:rPr>
              <w:t>正常工况</w:t>
            </w:r>
          </w:p>
        </w:tc>
        <w:tc>
          <w:tcPr>
            <w:tcW w:w="531" w:type="pct"/>
            <w:vAlign w:val="center"/>
          </w:tcPr>
          <w:p w14:paraId="4642F2EC">
            <w:pPr>
              <w:spacing w:line="240" w:lineRule="exact"/>
              <w:jc w:val="center"/>
              <w:rPr>
                <w:rFonts w:ascii="Times New Roman"/>
                <w:sz w:val="21"/>
                <w:szCs w:val="21"/>
              </w:rPr>
            </w:pPr>
            <w:r>
              <w:rPr>
                <w:rFonts w:ascii="Times New Roman"/>
                <w:snapToGrid w:val="0"/>
                <w:sz w:val="21"/>
                <w:szCs w:val="21"/>
              </w:rPr>
              <w:t>TSP</w:t>
            </w:r>
          </w:p>
        </w:tc>
        <w:tc>
          <w:tcPr>
            <w:tcW w:w="470" w:type="pct"/>
            <w:shd w:val="clear" w:color="auto" w:fill="auto"/>
            <w:vAlign w:val="center"/>
          </w:tcPr>
          <w:p w14:paraId="50196F7F">
            <w:pPr>
              <w:jc w:val="center"/>
              <w:rPr>
                <w:rFonts w:ascii="Times New Roman"/>
                <w:sz w:val="21"/>
                <w:szCs w:val="21"/>
              </w:rPr>
            </w:pPr>
            <w:r>
              <w:rPr>
                <w:rFonts w:hint="eastAsia" w:ascii="Times New Roman"/>
                <w:sz w:val="21"/>
                <w:szCs w:val="21"/>
              </w:rPr>
              <w:t>2.871</w:t>
            </w:r>
          </w:p>
        </w:tc>
      </w:tr>
      <w:tr w14:paraId="6C6D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continue"/>
            <w:shd w:val="clear" w:color="auto" w:fill="auto"/>
            <w:noWrap/>
            <w:vAlign w:val="center"/>
          </w:tcPr>
          <w:p w14:paraId="41B4997A">
            <w:pPr>
              <w:spacing w:line="240" w:lineRule="exact"/>
              <w:jc w:val="center"/>
              <w:rPr>
                <w:rFonts w:ascii="Times New Roman"/>
                <w:sz w:val="21"/>
                <w:szCs w:val="21"/>
              </w:rPr>
            </w:pPr>
          </w:p>
        </w:tc>
        <w:tc>
          <w:tcPr>
            <w:tcW w:w="593" w:type="pct"/>
            <w:vMerge w:val="continue"/>
            <w:vAlign w:val="center"/>
          </w:tcPr>
          <w:p w14:paraId="0C638002">
            <w:pPr>
              <w:spacing w:line="240" w:lineRule="exact"/>
              <w:jc w:val="center"/>
              <w:rPr>
                <w:rFonts w:ascii="Times New Roman"/>
                <w:sz w:val="21"/>
                <w:szCs w:val="21"/>
              </w:rPr>
            </w:pPr>
          </w:p>
        </w:tc>
        <w:tc>
          <w:tcPr>
            <w:tcW w:w="546" w:type="pct"/>
            <w:vMerge w:val="continue"/>
            <w:vAlign w:val="center"/>
          </w:tcPr>
          <w:p w14:paraId="5F14EBB6">
            <w:pPr>
              <w:spacing w:line="240" w:lineRule="exact"/>
              <w:jc w:val="center"/>
              <w:rPr>
                <w:rFonts w:ascii="Times New Roman"/>
                <w:sz w:val="21"/>
                <w:szCs w:val="21"/>
              </w:rPr>
            </w:pPr>
          </w:p>
        </w:tc>
        <w:tc>
          <w:tcPr>
            <w:tcW w:w="330" w:type="pct"/>
            <w:vMerge w:val="continue"/>
            <w:vAlign w:val="center"/>
          </w:tcPr>
          <w:p w14:paraId="4153B575">
            <w:pPr>
              <w:spacing w:line="240" w:lineRule="exact"/>
              <w:jc w:val="center"/>
              <w:rPr>
                <w:rFonts w:ascii="Times New Roman"/>
                <w:kern w:val="0"/>
                <w:sz w:val="21"/>
                <w:szCs w:val="21"/>
              </w:rPr>
            </w:pPr>
          </w:p>
        </w:tc>
        <w:tc>
          <w:tcPr>
            <w:tcW w:w="326" w:type="pct"/>
            <w:vMerge w:val="continue"/>
            <w:vAlign w:val="center"/>
          </w:tcPr>
          <w:p w14:paraId="6270F611">
            <w:pPr>
              <w:spacing w:line="240" w:lineRule="exact"/>
              <w:jc w:val="center"/>
              <w:rPr>
                <w:rFonts w:ascii="Times New Roman"/>
                <w:sz w:val="21"/>
                <w:szCs w:val="21"/>
              </w:rPr>
            </w:pPr>
          </w:p>
        </w:tc>
        <w:tc>
          <w:tcPr>
            <w:tcW w:w="326" w:type="pct"/>
            <w:vMerge w:val="continue"/>
            <w:vAlign w:val="center"/>
          </w:tcPr>
          <w:p w14:paraId="23EC30F3">
            <w:pPr>
              <w:spacing w:line="240" w:lineRule="exact"/>
              <w:jc w:val="center"/>
              <w:rPr>
                <w:rFonts w:ascii="Times New Roman"/>
                <w:sz w:val="21"/>
                <w:szCs w:val="21"/>
              </w:rPr>
            </w:pPr>
          </w:p>
        </w:tc>
        <w:tc>
          <w:tcPr>
            <w:tcW w:w="447" w:type="pct"/>
            <w:vMerge w:val="continue"/>
            <w:vAlign w:val="center"/>
          </w:tcPr>
          <w:p w14:paraId="440FFDC2">
            <w:pPr>
              <w:spacing w:line="240" w:lineRule="exact"/>
              <w:jc w:val="center"/>
              <w:rPr>
                <w:rFonts w:ascii="Times New Roman"/>
                <w:sz w:val="21"/>
                <w:szCs w:val="21"/>
              </w:rPr>
            </w:pPr>
          </w:p>
        </w:tc>
        <w:tc>
          <w:tcPr>
            <w:tcW w:w="390" w:type="pct"/>
            <w:vMerge w:val="continue"/>
            <w:vAlign w:val="center"/>
          </w:tcPr>
          <w:p w14:paraId="495A7DFE">
            <w:pPr>
              <w:spacing w:line="240" w:lineRule="exact"/>
              <w:jc w:val="center"/>
              <w:rPr>
                <w:rFonts w:ascii="Times New Roman"/>
                <w:snapToGrid w:val="0"/>
                <w:sz w:val="21"/>
                <w:szCs w:val="21"/>
              </w:rPr>
            </w:pPr>
          </w:p>
        </w:tc>
        <w:tc>
          <w:tcPr>
            <w:tcW w:w="442" w:type="pct"/>
            <w:vMerge w:val="continue"/>
            <w:vAlign w:val="center"/>
          </w:tcPr>
          <w:p w14:paraId="65038652">
            <w:pPr>
              <w:spacing w:line="240" w:lineRule="exact"/>
              <w:jc w:val="center"/>
              <w:rPr>
                <w:rFonts w:ascii="Times New Roman"/>
                <w:snapToGrid w:val="0"/>
                <w:sz w:val="21"/>
                <w:szCs w:val="21"/>
              </w:rPr>
            </w:pPr>
          </w:p>
        </w:tc>
        <w:tc>
          <w:tcPr>
            <w:tcW w:w="531" w:type="pct"/>
            <w:vAlign w:val="center"/>
          </w:tcPr>
          <w:p w14:paraId="2F829833">
            <w:pPr>
              <w:spacing w:line="240" w:lineRule="exact"/>
              <w:jc w:val="center"/>
              <w:rPr>
                <w:rFonts w:ascii="Times New Roman"/>
                <w:sz w:val="21"/>
                <w:szCs w:val="21"/>
              </w:rPr>
            </w:pPr>
            <w:r>
              <w:rPr>
                <w:rFonts w:ascii="Times New Roman"/>
                <w:sz w:val="21"/>
                <w:szCs w:val="21"/>
              </w:rPr>
              <w:t>非甲烷总烃</w:t>
            </w:r>
          </w:p>
        </w:tc>
        <w:tc>
          <w:tcPr>
            <w:tcW w:w="470" w:type="pct"/>
            <w:shd w:val="clear" w:color="auto" w:fill="auto"/>
            <w:vAlign w:val="center"/>
          </w:tcPr>
          <w:p w14:paraId="14FCA754">
            <w:pPr>
              <w:jc w:val="center"/>
              <w:rPr>
                <w:rFonts w:ascii="Times New Roman"/>
                <w:sz w:val="21"/>
                <w:szCs w:val="21"/>
              </w:rPr>
            </w:pPr>
            <w:r>
              <w:rPr>
                <w:rFonts w:hint="eastAsia" w:ascii="Times New Roman"/>
                <w:sz w:val="21"/>
                <w:szCs w:val="21"/>
              </w:rPr>
              <w:t>2.420</w:t>
            </w:r>
          </w:p>
        </w:tc>
      </w:tr>
      <w:tr w14:paraId="3562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5" w:type="pct"/>
            <w:vMerge w:val="continue"/>
            <w:shd w:val="clear" w:color="auto" w:fill="auto"/>
            <w:noWrap/>
            <w:vAlign w:val="center"/>
          </w:tcPr>
          <w:p w14:paraId="6F4416D4">
            <w:pPr>
              <w:spacing w:line="240" w:lineRule="exact"/>
              <w:jc w:val="center"/>
              <w:rPr>
                <w:rFonts w:ascii="Times New Roman"/>
                <w:sz w:val="21"/>
                <w:szCs w:val="21"/>
              </w:rPr>
            </w:pPr>
          </w:p>
        </w:tc>
        <w:tc>
          <w:tcPr>
            <w:tcW w:w="593" w:type="pct"/>
            <w:vMerge w:val="continue"/>
            <w:vAlign w:val="center"/>
          </w:tcPr>
          <w:p w14:paraId="0BAA1F10">
            <w:pPr>
              <w:spacing w:line="240" w:lineRule="exact"/>
              <w:jc w:val="center"/>
              <w:rPr>
                <w:rFonts w:ascii="Times New Roman"/>
                <w:sz w:val="21"/>
                <w:szCs w:val="21"/>
              </w:rPr>
            </w:pPr>
          </w:p>
        </w:tc>
        <w:tc>
          <w:tcPr>
            <w:tcW w:w="546" w:type="pct"/>
            <w:vMerge w:val="continue"/>
            <w:vAlign w:val="center"/>
          </w:tcPr>
          <w:p w14:paraId="32A72659">
            <w:pPr>
              <w:spacing w:line="240" w:lineRule="exact"/>
              <w:jc w:val="center"/>
              <w:rPr>
                <w:rFonts w:ascii="Times New Roman"/>
                <w:sz w:val="21"/>
                <w:szCs w:val="21"/>
              </w:rPr>
            </w:pPr>
          </w:p>
        </w:tc>
        <w:tc>
          <w:tcPr>
            <w:tcW w:w="330" w:type="pct"/>
            <w:vMerge w:val="continue"/>
            <w:vAlign w:val="center"/>
          </w:tcPr>
          <w:p w14:paraId="153DB269">
            <w:pPr>
              <w:spacing w:line="240" w:lineRule="exact"/>
              <w:jc w:val="center"/>
              <w:rPr>
                <w:rFonts w:ascii="Times New Roman"/>
                <w:kern w:val="0"/>
                <w:sz w:val="21"/>
                <w:szCs w:val="21"/>
              </w:rPr>
            </w:pPr>
          </w:p>
        </w:tc>
        <w:tc>
          <w:tcPr>
            <w:tcW w:w="326" w:type="pct"/>
            <w:vMerge w:val="continue"/>
            <w:vAlign w:val="center"/>
          </w:tcPr>
          <w:p w14:paraId="3902B63E">
            <w:pPr>
              <w:spacing w:line="240" w:lineRule="exact"/>
              <w:jc w:val="center"/>
              <w:rPr>
                <w:rFonts w:ascii="Times New Roman"/>
                <w:kern w:val="0"/>
                <w:sz w:val="21"/>
                <w:szCs w:val="21"/>
              </w:rPr>
            </w:pPr>
          </w:p>
        </w:tc>
        <w:tc>
          <w:tcPr>
            <w:tcW w:w="326" w:type="pct"/>
            <w:vMerge w:val="continue"/>
            <w:vAlign w:val="center"/>
          </w:tcPr>
          <w:p w14:paraId="5FDA4CE7">
            <w:pPr>
              <w:spacing w:line="240" w:lineRule="exact"/>
              <w:jc w:val="center"/>
              <w:rPr>
                <w:rFonts w:ascii="Times New Roman"/>
                <w:sz w:val="21"/>
                <w:szCs w:val="21"/>
              </w:rPr>
            </w:pPr>
          </w:p>
        </w:tc>
        <w:tc>
          <w:tcPr>
            <w:tcW w:w="447" w:type="pct"/>
            <w:vMerge w:val="continue"/>
            <w:vAlign w:val="center"/>
          </w:tcPr>
          <w:p w14:paraId="647CD40E">
            <w:pPr>
              <w:spacing w:line="240" w:lineRule="exact"/>
              <w:jc w:val="center"/>
              <w:rPr>
                <w:rFonts w:ascii="Times New Roman"/>
                <w:sz w:val="21"/>
                <w:szCs w:val="21"/>
              </w:rPr>
            </w:pPr>
          </w:p>
        </w:tc>
        <w:tc>
          <w:tcPr>
            <w:tcW w:w="390" w:type="pct"/>
            <w:vMerge w:val="continue"/>
            <w:vAlign w:val="center"/>
          </w:tcPr>
          <w:p w14:paraId="224710CF">
            <w:pPr>
              <w:spacing w:line="240" w:lineRule="exact"/>
              <w:jc w:val="center"/>
              <w:rPr>
                <w:rFonts w:ascii="Times New Roman"/>
                <w:sz w:val="21"/>
                <w:szCs w:val="21"/>
              </w:rPr>
            </w:pPr>
          </w:p>
        </w:tc>
        <w:tc>
          <w:tcPr>
            <w:tcW w:w="442" w:type="pct"/>
            <w:vMerge w:val="continue"/>
            <w:vAlign w:val="center"/>
          </w:tcPr>
          <w:p w14:paraId="2B786B8F">
            <w:pPr>
              <w:spacing w:line="240" w:lineRule="exact"/>
              <w:jc w:val="center"/>
              <w:rPr>
                <w:rFonts w:ascii="Times New Roman"/>
                <w:sz w:val="21"/>
                <w:szCs w:val="21"/>
              </w:rPr>
            </w:pPr>
          </w:p>
        </w:tc>
        <w:tc>
          <w:tcPr>
            <w:tcW w:w="531" w:type="pct"/>
            <w:vAlign w:val="center"/>
          </w:tcPr>
          <w:p w14:paraId="6A8E9AF6">
            <w:pPr>
              <w:spacing w:line="240" w:lineRule="exact"/>
              <w:jc w:val="center"/>
              <w:rPr>
                <w:rFonts w:ascii="Times New Roman"/>
                <w:sz w:val="21"/>
                <w:szCs w:val="21"/>
              </w:rPr>
            </w:pPr>
            <w:r>
              <w:rPr>
                <w:rFonts w:ascii="Times New Roman"/>
                <w:sz w:val="21"/>
                <w:szCs w:val="21"/>
              </w:rPr>
              <w:t>二甲苯</w:t>
            </w:r>
          </w:p>
        </w:tc>
        <w:tc>
          <w:tcPr>
            <w:tcW w:w="470" w:type="pct"/>
            <w:shd w:val="clear" w:color="auto" w:fill="auto"/>
            <w:vAlign w:val="center"/>
          </w:tcPr>
          <w:p w14:paraId="0C47ABFB">
            <w:pPr>
              <w:jc w:val="center"/>
              <w:rPr>
                <w:rFonts w:ascii="Times New Roman"/>
                <w:sz w:val="21"/>
                <w:szCs w:val="21"/>
              </w:rPr>
            </w:pPr>
            <w:r>
              <w:rPr>
                <w:rFonts w:hint="eastAsia" w:ascii="Times New Roman"/>
                <w:sz w:val="21"/>
                <w:szCs w:val="21"/>
              </w:rPr>
              <w:t>0.671</w:t>
            </w:r>
          </w:p>
        </w:tc>
      </w:tr>
    </w:tbl>
    <w:p w14:paraId="5FB52873">
      <w:pPr>
        <w:spacing w:line="480" w:lineRule="exact"/>
        <w:rPr>
          <w:rFonts w:ascii="Times New Roman"/>
          <w:b/>
          <w:sz w:val="24"/>
          <w:szCs w:val="24"/>
        </w:rPr>
        <w:sectPr>
          <w:pgSz w:w="16838" w:h="11906" w:orient="landscape"/>
          <w:pgMar w:top="1797" w:right="1440" w:bottom="1797" w:left="1440" w:header="1474" w:footer="1474" w:gutter="0"/>
          <w:cols w:space="720" w:num="1"/>
          <w:docGrid w:linePitch="340" w:charSpace="0"/>
        </w:sectPr>
      </w:pPr>
    </w:p>
    <w:p w14:paraId="1379B0E8">
      <w:pPr>
        <w:spacing w:line="480" w:lineRule="exact"/>
        <w:ind w:firstLine="422" w:firstLineChars="176"/>
        <w:jc w:val="left"/>
        <w:rPr>
          <w:rFonts w:ascii="Times New Roman"/>
          <w:sz w:val="24"/>
          <w:szCs w:val="24"/>
        </w:rPr>
      </w:pPr>
      <w:r>
        <w:rPr>
          <w:rFonts w:ascii="Times New Roman"/>
          <w:sz w:val="24"/>
          <w:szCs w:val="24"/>
        </w:rPr>
        <w:t>（3）估算模型参数</w:t>
      </w:r>
    </w:p>
    <w:p w14:paraId="63C412A4">
      <w:pPr>
        <w:spacing w:line="480" w:lineRule="exact"/>
        <w:ind w:firstLine="422" w:firstLineChars="176"/>
        <w:jc w:val="left"/>
        <w:rPr>
          <w:rFonts w:ascii="Times New Roman"/>
          <w:sz w:val="24"/>
          <w:szCs w:val="24"/>
        </w:rPr>
      </w:pPr>
      <w:r>
        <w:rPr>
          <w:rFonts w:ascii="Times New Roman"/>
          <w:sz w:val="24"/>
          <w:szCs w:val="24"/>
        </w:rPr>
        <w:t>项目位于唐山市</w:t>
      </w:r>
      <w:r>
        <w:rPr>
          <w:rFonts w:ascii="Times New Roman"/>
          <w:sz w:val="24"/>
        </w:rPr>
        <w:t>曹妃甸工业区装备制造园</w:t>
      </w:r>
      <w:r>
        <w:rPr>
          <w:rFonts w:ascii="Times New Roman"/>
          <w:sz w:val="24"/>
          <w:szCs w:val="24"/>
        </w:rPr>
        <w:t>区，项目周边3km半径范围内一半以上面积属于园区范围，因此估算参数应选城市。项目周边3km范围内占地面积最大的土地利用类型为城市。项目采用环安科技AERSCREEN计算系统自动获取，污染源距海岸线</w:t>
      </w:r>
      <w:r>
        <w:rPr>
          <w:rFonts w:hint="eastAsia" w:ascii="Times New Roman"/>
          <w:sz w:val="24"/>
          <w:szCs w:val="24"/>
        </w:rPr>
        <w:t>小</w:t>
      </w:r>
      <w:r>
        <w:rPr>
          <w:rFonts w:ascii="Times New Roman"/>
          <w:sz w:val="24"/>
          <w:szCs w:val="24"/>
        </w:rPr>
        <w:t>于3km，因此考虑海岸熏烟。</w:t>
      </w:r>
    </w:p>
    <w:p w14:paraId="7D111FB4">
      <w:pPr>
        <w:spacing w:line="480" w:lineRule="exact"/>
        <w:ind w:firstLine="422" w:firstLineChars="176"/>
        <w:jc w:val="left"/>
        <w:rPr>
          <w:rFonts w:ascii="Times New Roman"/>
          <w:sz w:val="24"/>
          <w:szCs w:val="24"/>
        </w:rPr>
      </w:pPr>
      <w:r>
        <w:rPr>
          <w:rFonts w:ascii="Times New Roman"/>
          <w:sz w:val="24"/>
          <w:szCs w:val="24"/>
        </w:rPr>
        <w:t>项目周边3km半径范围图见图2.5-1，估算模型参数表见表2.5-4。</w:t>
      </w:r>
    </w:p>
    <w:p w14:paraId="5E103EE1">
      <w:pPr>
        <w:jc w:val="center"/>
        <w:rPr>
          <w:rFonts w:ascii="Times New Roman"/>
          <w:b/>
          <w:sz w:val="24"/>
          <w:szCs w:val="24"/>
        </w:rPr>
      </w:pPr>
      <w:r>
        <mc:AlternateContent>
          <mc:Choice Requires="wps">
            <w:drawing>
              <wp:anchor distT="0" distB="0" distL="114300" distR="114300" simplePos="0" relativeHeight="251678720" behindDoc="0" locked="0" layoutInCell="1" allowOverlap="1">
                <wp:simplePos x="0" y="0"/>
                <wp:positionH relativeFrom="column">
                  <wp:posOffset>2727960</wp:posOffset>
                </wp:positionH>
                <wp:positionV relativeFrom="paragraph">
                  <wp:posOffset>1525905</wp:posOffset>
                </wp:positionV>
                <wp:extent cx="523875" cy="323850"/>
                <wp:effectExtent l="0" t="0" r="0" b="0"/>
                <wp:wrapNone/>
                <wp:docPr id="88" name="文本框 88"/>
                <wp:cNvGraphicFramePr/>
                <a:graphic xmlns:a="http://schemas.openxmlformats.org/drawingml/2006/main">
                  <a:graphicData uri="http://schemas.microsoft.com/office/word/2010/wordprocessingShape">
                    <wps:wsp>
                      <wps:cNvSpPr txBox="1"/>
                      <wps:spPr>
                        <a:xfrm>
                          <a:off x="4085590" y="4881880"/>
                          <a:ext cx="523875" cy="323850"/>
                        </a:xfrm>
                        <a:prstGeom prst="rect">
                          <a:avLst/>
                        </a:prstGeom>
                        <a:noFill/>
                        <a:ln w="6350">
                          <a:noFill/>
                        </a:ln>
                        <a:effectLst/>
                      </wps:spPr>
                      <wps:txbx>
                        <w:txbxContent>
                          <w:p w14:paraId="26F56452">
                            <w:pPr>
                              <w:rPr>
                                <w:rFonts w:ascii="Times New Roman"/>
                                <w:b/>
                                <w:bCs/>
                                <w:color w:val="FF0000"/>
                                <w:sz w:val="21"/>
                                <w:szCs w:val="21"/>
                              </w:rPr>
                            </w:pPr>
                            <w:r>
                              <w:rPr>
                                <w:rFonts w:ascii="Times New Roman"/>
                                <w:b/>
                                <w:bCs/>
                                <w:color w:val="FF0000"/>
                                <w:sz w:val="21"/>
                                <w:szCs w:val="21"/>
                              </w:rPr>
                              <w:t>3km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pt;margin-top:120.15pt;height:25.5pt;width:41.25pt;z-index:251678720;mso-width-relative:page;mso-height-relative:page;" filled="f" stroked="f" coordsize="21600,21600" o:gfxdata="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jRmb9wAAAALAQAADwAA&#10;AAAAAAABACAAAAAiAAAAZHJzL2Rvd25yZXYueG1sUEsBAhQAFAAAAAgAh07iQPvdhLJLAgAAgQQA&#10;AA4AAAAAAAAAAQAgAAAAKwEAAGRycy9lMm9Eb2MueG1sUEsFBgAAAAAGAAYAWQEAAOgFAAAAAA==&#10;">
                <v:fill on="f" focussize="0,0"/>
                <v:stroke on="f" weight="0.5pt"/>
                <v:imagedata o:title=""/>
                <o:lock v:ext="edit" aspectratio="f"/>
                <v:textbox>
                  <w:txbxContent>
                    <w:p w14:paraId="26F56452">
                      <w:pPr>
                        <w:rPr>
                          <w:rFonts w:ascii="Times New Roman"/>
                          <w:b/>
                          <w:bCs/>
                          <w:color w:val="FF0000"/>
                          <w:sz w:val="21"/>
                          <w:szCs w:val="21"/>
                        </w:rPr>
                      </w:pPr>
                      <w:r>
                        <w:rPr>
                          <w:rFonts w:ascii="Times New Roman"/>
                          <w:b/>
                          <w:bCs/>
                          <w:color w:val="FF0000"/>
                          <w:sz w:val="21"/>
                          <w:szCs w:val="21"/>
                        </w:rPr>
                        <w:t>3km</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2512695</wp:posOffset>
                </wp:positionH>
                <wp:positionV relativeFrom="paragraph">
                  <wp:posOffset>1479550</wp:posOffset>
                </wp:positionV>
                <wp:extent cx="1215390" cy="556895"/>
                <wp:effectExtent l="1905" t="3175" r="1905" b="11430"/>
                <wp:wrapNone/>
                <wp:docPr id="87" name="直接箭头连接符 87"/>
                <wp:cNvGraphicFramePr/>
                <a:graphic xmlns:a="http://schemas.openxmlformats.org/drawingml/2006/main">
                  <a:graphicData uri="http://schemas.microsoft.com/office/word/2010/wordprocessingShape">
                    <wps:wsp>
                      <wps:cNvCnPr/>
                      <wps:spPr>
                        <a:xfrm flipV="1">
                          <a:off x="3814445" y="4819650"/>
                          <a:ext cx="1215390" cy="556895"/>
                        </a:xfrm>
                        <a:prstGeom prst="straightConnector1">
                          <a:avLst/>
                        </a:prstGeom>
                        <a:noFill/>
                        <a:ln w="9525" cap="flat" cmpd="sng" algn="ctr">
                          <a:solidFill>
                            <a:srgbClr val="FF0000"/>
                          </a:solidFill>
                          <a:prstDash val="solid"/>
                          <a:headEnd type="none"/>
                          <a:tailEnd type="triangle" w="med" len="med"/>
                        </a:ln>
                        <a:effectLst/>
                      </wps:spPr>
                      <wps:bodyPr/>
                    </wps:wsp>
                  </a:graphicData>
                </a:graphic>
              </wp:anchor>
            </w:drawing>
          </mc:Choice>
          <mc:Fallback>
            <w:pict>
              <v:shape id="_x0000_s1026" o:spid="_x0000_s1026" o:spt="32" type="#_x0000_t32" style="position:absolute;left:0pt;flip:y;margin-left:197.85pt;margin-top:116.5pt;height:43.85pt;width:95.7pt;z-index:251677696;mso-width-relative:page;mso-height-relative:page;" filled="f" stroked="t" coordsize="21600,21600" o:gfxdata="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691jD2gAAAAsBAAAPAAAAAAAAAAEAIAAAACIAAABkcnMvZG93bnJldi54&#10;bWxQSwECFAAUAAAACACHTuJA6EictDECAAAfBAAADgAAAAAAAAABACAAAAApAQAAZHJzL2Uyb0Rv&#10;Yy54bWxQSwUGAAAAAAYABgBZAQAAzAUAAAAA&#10;">
                <v:fill on="f" focussize="0,0"/>
                <v:stroke color="#FF0000" joinstyle="round" endarrow="block"/>
                <v:imagedata o:title=""/>
                <o:lock v:ext="edit" aspectratio="f"/>
              </v:shape>
            </w:pict>
          </mc:Fallback>
        </mc:AlternateContent>
      </w:r>
      <w:r>
        <w:rPr>
          <w:sz w:val="24"/>
        </w:rPr>
        <w:drawing>
          <wp:anchor distT="0" distB="0" distL="114300" distR="114300" simplePos="0" relativeHeight="251679744" behindDoc="0" locked="0" layoutInCell="1" allowOverlap="1">
            <wp:simplePos x="0" y="0"/>
            <wp:positionH relativeFrom="column">
              <wp:posOffset>4578350</wp:posOffset>
            </wp:positionH>
            <wp:positionV relativeFrom="paragraph">
              <wp:posOffset>102235</wp:posOffset>
            </wp:positionV>
            <wp:extent cx="688340" cy="658495"/>
            <wp:effectExtent l="0" t="0" r="16510" b="8255"/>
            <wp:wrapNone/>
            <wp:docPr id="52"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6"/>
                    <pic:cNvPicPr>
                      <a:picLocks noChangeAspect="1"/>
                    </pic:cNvPicPr>
                  </pic:nvPicPr>
                  <pic:blipFill>
                    <a:blip r:embed="rId19" cstate="print"/>
                    <a:stretch>
                      <a:fillRect/>
                    </a:stretch>
                  </pic:blipFill>
                  <pic:spPr>
                    <a:xfrm>
                      <a:off x="0" y="0"/>
                      <a:ext cx="688340" cy="658495"/>
                    </a:xfrm>
                    <a:prstGeom prst="rect">
                      <a:avLst/>
                    </a:prstGeom>
                    <a:noFill/>
                    <a:ln>
                      <a:noFill/>
                    </a:ln>
                  </pic:spPr>
                </pic:pic>
              </a:graphicData>
            </a:graphic>
          </wp:anchor>
        </w:drawing>
      </w:r>
      <w:r>
        <w:drawing>
          <wp:inline distT="0" distB="0" distL="114300" distR="114300">
            <wp:extent cx="5272405" cy="3681730"/>
            <wp:effectExtent l="0" t="0" r="4445" b="1397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20" cstate="print"/>
                    <a:stretch>
                      <a:fillRect/>
                    </a:stretch>
                  </pic:blipFill>
                  <pic:spPr>
                    <a:xfrm>
                      <a:off x="0" y="0"/>
                      <a:ext cx="5272405" cy="3681730"/>
                    </a:xfrm>
                    <a:prstGeom prst="rect">
                      <a:avLst/>
                    </a:prstGeom>
                    <a:noFill/>
                    <a:ln>
                      <a:noFill/>
                    </a:ln>
                  </pic:spPr>
                </pic:pic>
              </a:graphicData>
            </a:graphic>
          </wp:inline>
        </w:drawing>
      </w:r>
    </w:p>
    <w:p w14:paraId="790E0644">
      <w:pPr>
        <w:spacing w:line="480" w:lineRule="exact"/>
        <w:jc w:val="center"/>
        <w:rPr>
          <w:rFonts w:ascii="Times New Roman"/>
          <w:b/>
          <w:sz w:val="24"/>
          <w:szCs w:val="24"/>
        </w:rPr>
      </w:pPr>
      <w:r>
        <w:rPr>
          <w:rFonts w:ascii="Times New Roman"/>
          <w:b/>
          <w:sz w:val="24"/>
          <w:szCs w:val="24"/>
        </w:rPr>
        <w:t>图2.5-1  项目周边 3km 半径范围</w:t>
      </w:r>
    </w:p>
    <w:p w14:paraId="0D874F47">
      <w:pPr>
        <w:spacing w:line="480" w:lineRule="exact"/>
        <w:ind w:firstLine="424" w:firstLineChars="176"/>
        <w:jc w:val="center"/>
        <w:rPr>
          <w:rFonts w:ascii="Times New Roman"/>
          <w:b/>
          <w:sz w:val="24"/>
          <w:szCs w:val="24"/>
        </w:rPr>
      </w:pPr>
      <w:r>
        <w:rPr>
          <w:rFonts w:ascii="Times New Roman"/>
          <w:b/>
          <w:sz w:val="24"/>
          <w:szCs w:val="24"/>
        </w:rPr>
        <w:br w:type="page"/>
      </w:r>
    </w:p>
    <w:p w14:paraId="13968CD2">
      <w:pPr>
        <w:spacing w:line="480" w:lineRule="exact"/>
        <w:jc w:val="center"/>
        <w:rPr>
          <w:rFonts w:ascii="Times New Roman"/>
          <w:b/>
          <w:sz w:val="24"/>
          <w:szCs w:val="24"/>
        </w:rPr>
      </w:pPr>
      <w:r>
        <w:rPr>
          <w:rFonts w:ascii="Times New Roman"/>
          <w:b/>
          <w:sz w:val="24"/>
          <w:szCs w:val="24"/>
        </w:rPr>
        <w:t>表2.5-4  估算模型参数表</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2654"/>
        <w:gridCol w:w="2978"/>
      </w:tblGrid>
      <w:tr w14:paraId="0F35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56" w:type="dxa"/>
            <w:gridSpan w:val="2"/>
            <w:vAlign w:val="center"/>
          </w:tcPr>
          <w:p w14:paraId="60F7065E">
            <w:pPr>
              <w:tabs>
                <w:tab w:val="center" w:pos="4505"/>
              </w:tabs>
              <w:spacing w:line="360" w:lineRule="exact"/>
              <w:jc w:val="center"/>
              <w:rPr>
                <w:rFonts w:ascii="Times New Roman"/>
                <w:sz w:val="21"/>
                <w:szCs w:val="21"/>
              </w:rPr>
            </w:pPr>
            <w:r>
              <w:rPr>
                <w:rFonts w:ascii="Times New Roman"/>
                <w:sz w:val="21"/>
                <w:szCs w:val="21"/>
              </w:rPr>
              <w:t>参数</w:t>
            </w:r>
          </w:p>
        </w:tc>
        <w:tc>
          <w:tcPr>
            <w:tcW w:w="2978" w:type="dxa"/>
            <w:vAlign w:val="center"/>
          </w:tcPr>
          <w:p w14:paraId="2F7B99C5">
            <w:pPr>
              <w:tabs>
                <w:tab w:val="center" w:pos="4505"/>
              </w:tabs>
              <w:spacing w:line="360" w:lineRule="exact"/>
              <w:jc w:val="center"/>
              <w:rPr>
                <w:rFonts w:ascii="Times New Roman"/>
                <w:sz w:val="21"/>
                <w:szCs w:val="21"/>
              </w:rPr>
            </w:pPr>
            <w:r>
              <w:rPr>
                <w:rFonts w:ascii="Times New Roman"/>
                <w:sz w:val="21"/>
                <w:szCs w:val="21"/>
              </w:rPr>
              <w:t>取值</w:t>
            </w:r>
          </w:p>
        </w:tc>
      </w:tr>
      <w:tr w14:paraId="04B2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restart"/>
            <w:vAlign w:val="center"/>
          </w:tcPr>
          <w:p w14:paraId="5087ED34">
            <w:pPr>
              <w:tabs>
                <w:tab w:val="center" w:pos="4505"/>
              </w:tabs>
              <w:spacing w:line="360" w:lineRule="exact"/>
              <w:jc w:val="center"/>
              <w:rPr>
                <w:rFonts w:ascii="Times New Roman"/>
                <w:sz w:val="21"/>
                <w:szCs w:val="21"/>
              </w:rPr>
            </w:pPr>
            <w:r>
              <w:rPr>
                <w:rFonts w:ascii="Times New Roman"/>
                <w:sz w:val="21"/>
                <w:szCs w:val="21"/>
              </w:rPr>
              <w:t>城市农村/选项</w:t>
            </w:r>
          </w:p>
        </w:tc>
        <w:tc>
          <w:tcPr>
            <w:tcW w:w="2654" w:type="dxa"/>
            <w:vAlign w:val="center"/>
          </w:tcPr>
          <w:p w14:paraId="2CEABAA1">
            <w:pPr>
              <w:tabs>
                <w:tab w:val="center" w:pos="4505"/>
              </w:tabs>
              <w:spacing w:line="360" w:lineRule="exact"/>
              <w:jc w:val="center"/>
              <w:rPr>
                <w:rFonts w:ascii="Times New Roman"/>
                <w:sz w:val="21"/>
                <w:szCs w:val="21"/>
              </w:rPr>
            </w:pPr>
            <w:r>
              <w:rPr>
                <w:rFonts w:ascii="Times New Roman"/>
                <w:sz w:val="21"/>
                <w:szCs w:val="21"/>
              </w:rPr>
              <w:t>城市/农村</w:t>
            </w:r>
          </w:p>
        </w:tc>
        <w:tc>
          <w:tcPr>
            <w:tcW w:w="2978" w:type="dxa"/>
            <w:vAlign w:val="center"/>
          </w:tcPr>
          <w:p w14:paraId="1F7C3E15">
            <w:pPr>
              <w:tabs>
                <w:tab w:val="center" w:pos="4505"/>
              </w:tabs>
              <w:spacing w:line="360" w:lineRule="exact"/>
              <w:jc w:val="center"/>
              <w:rPr>
                <w:rFonts w:ascii="Times New Roman"/>
                <w:sz w:val="21"/>
                <w:szCs w:val="21"/>
              </w:rPr>
            </w:pPr>
            <w:r>
              <w:rPr>
                <w:rFonts w:ascii="Times New Roman"/>
                <w:sz w:val="21"/>
                <w:szCs w:val="21"/>
              </w:rPr>
              <w:t>城市</w:t>
            </w:r>
          </w:p>
        </w:tc>
      </w:tr>
      <w:tr w14:paraId="7E45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continue"/>
            <w:vAlign w:val="center"/>
          </w:tcPr>
          <w:p w14:paraId="5174FD3B">
            <w:pPr>
              <w:tabs>
                <w:tab w:val="center" w:pos="4505"/>
              </w:tabs>
              <w:spacing w:line="360" w:lineRule="exact"/>
              <w:jc w:val="center"/>
              <w:rPr>
                <w:rFonts w:ascii="Times New Roman"/>
                <w:sz w:val="21"/>
                <w:szCs w:val="21"/>
              </w:rPr>
            </w:pPr>
          </w:p>
        </w:tc>
        <w:tc>
          <w:tcPr>
            <w:tcW w:w="2654" w:type="dxa"/>
            <w:vAlign w:val="center"/>
          </w:tcPr>
          <w:p w14:paraId="783A5C30">
            <w:pPr>
              <w:tabs>
                <w:tab w:val="center" w:pos="4505"/>
              </w:tabs>
              <w:spacing w:line="360" w:lineRule="exact"/>
              <w:jc w:val="center"/>
              <w:rPr>
                <w:rFonts w:ascii="Times New Roman"/>
                <w:sz w:val="21"/>
                <w:szCs w:val="21"/>
              </w:rPr>
            </w:pPr>
            <w:r>
              <w:rPr>
                <w:rFonts w:ascii="Times New Roman"/>
                <w:sz w:val="21"/>
                <w:szCs w:val="21"/>
              </w:rPr>
              <w:t>人口数(城市人口数)</w:t>
            </w:r>
          </w:p>
        </w:tc>
        <w:tc>
          <w:tcPr>
            <w:tcW w:w="2978" w:type="dxa"/>
            <w:vAlign w:val="center"/>
          </w:tcPr>
          <w:p w14:paraId="3DE81643">
            <w:pPr>
              <w:tabs>
                <w:tab w:val="center" w:pos="4505"/>
              </w:tabs>
              <w:spacing w:line="360" w:lineRule="exact"/>
              <w:jc w:val="center"/>
              <w:rPr>
                <w:rFonts w:ascii="Times New Roman"/>
                <w:sz w:val="21"/>
                <w:szCs w:val="21"/>
              </w:rPr>
            </w:pPr>
            <w:r>
              <w:rPr>
                <w:rFonts w:ascii="Times New Roman"/>
                <w:sz w:val="21"/>
                <w:szCs w:val="21"/>
              </w:rPr>
              <w:t>29.79万人</w:t>
            </w:r>
          </w:p>
        </w:tc>
      </w:tr>
      <w:tr w14:paraId="087C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56" w:type="dxa"/>
            <w:gridSpan w:val="2"/>
            <w:vAlign w:val="center"/>
          </w:tcPr>
          <w:p w14:paraId="551AAA54">
            <w:pPr>
              <w:tabs>
                <w:tab w:val="center" w:pos="4505"/>
              </w:tabs>
              <w:spacing w:line="360" w:lineRule="exact"/>
              <w:jc w:val="center"/>
              <w:rPr>
                <w:rFonts w:ascii="Times New Roman"/>
                <w:sz w:val="21"/>
                <w:szCs w:val="21"/>
              </w:rPr>
            </w:pPr>
            <w:r>
              <w:rPr>
                <w:rFonts w:ascii="Times New Roman"/>
                <w:sz w:val="21"/>
                <w:szCs w:val="21"/>
              </w:rPr>
              <w:t>最高环境温度</w:t>
            </w:r>
          </w:p>
        </w:tc>
        <w:tc>
          <w:tcPr>
            <w:tcW w:w="2978" w:type="dxa"/>
            <w:vAlign w:val="center"/>
          </w:tcPr>
          <w:p w14:paraId="1E5B720E">
            <w:pPr>
              <w:tabs>
                <w:tab w:val="center" w:pos="4505"/>
              </w:tabs>
              <w:spacing w:line="360" w:lineRule="exact"/>
              <w:jc w:val="center"/>
              <w:rPr>
                <w:rFonts w:ascii="Times New Roman"/>
                <w:sz w:val="21"/>
                <w:szCs w:val="21"/>
              </w:rPr>
            </w:pPr>
            <w:r>
              <w:rPr>
                <w:rFonts w:ascii="Times New Roman"/>
                <w:sz w:val="21"/>
                <w:szCs w:val="21"/>
              </w:rPr>
              <w:t>3</w:t>
            </w:r>
            <w:r>
              <w:rPr>
                <w:rFonts w:hint="eastAsia" w:ascii="Times New Roman"/>
                <w:sz w:val="21"/>
                <w:szCs w:val="21"/>
              </w:rPr>
              <w:t>8</w:t>
            </w:r>
            <w:r>
              <w:rPr>
                <w:rFonts w:ascii="Times New Roman"/>
                <w:sz w:val="21"/>
                <w:szCs w:val="21"/>
              </w:rPr>
              <w:t>.7°C</w:t>
            </w:r>
          </w:p>
        </w:tc>
      </w:tr>
      <w:tr w14:paraId="3F3B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56" w:type="dxa"/>
            <w:gridSpan w:val="2"/>
            <w:vAlign w:val="center"/>
          </w:tcPr>
          <w:p w14:paraId="6EEAE531">
            <w:pPr>
              <w:tabs>
                <w:tab w:val="center" w:pos="4505"/>
              </w:tabs>
              <w:spacing w:line="360" w:lineRule="exact"/>
              <w:jc w:val="center"/>
              <w:rPr>
                <w:rFonts w:ascii="Times New Roman"/>
                <w:sz w:val="21"/>
                <w:szCs w:val="21"/>
              </w:rPr>
            </w:pPr>
            <w:r>
              <w:rPr>
                <w:rFonts w:ascii="Times New Roman"/>
                <w:sz w:val="21"/>
                <w:szCs w:val="21"/>
              </w:rPr>
              <w:t>最低环境温度</w:t>
            </w:r>
          </w:p>
        </w:tc>
        <w:tc>
          <w:tcPr>
            <w:tcW w:w="2978" w:type="dxa"/>
            <w:vAlign w:val="center"/>
          </w:tcPr>
          <w:p w14:paraId="3B631D94">
            <w:pPr>
              <w:tabs>
                <w:tab w:val="center" w:pos="4505"/>
              </w:tabs>
              <w:spacing w:line="360" w:lineRule="exact"/>
              <w:jc w:val="center"/>
              <w:rPr>
                <w:rFonts w:ascii="Times New Roman"/>
                <w:sz w:val="21"/>
                <w:szCs w:val="21"/>
              </w:rPr>
            </w:pPr>
            <w:r>
              <w:rPr>
                <w:rFonts w:ascii="Times New Roman"/>
                <w:sz w:val="21"/>
                <w:szCs w:val="21"/>
              </w:rPr>
              <w:t>-22.8°C</w:t>
            </w:r>
          </w:p>
        </w:tc>
      </w:tr>
      <w:tr w14:paraId="1897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56" w:type="dxa"/>
            <w:gridSpan w:val="2"/>
            <w:vAlign w:val="center"/>
          </w:tcPr>
          <w:p w14:paraId="7AED5BF2">
            <w:pPr>
              <w:tabs>
                <w:tab w:val="center" w:pos="4505"/>
              </w:tabs>
              <w:spacing w:line="360" w:lineRule="exact"/>
              <w:jc w:val="center"/>
              <w:rPr>
                <w:rFonts w:ascii="Times New Roman"/>
                <w:sz w:val="21"/>
                <w:szCs w:val="21"/>
              </w:rPr>
            </w:pPr>
            <w:r>
              <w:rPr>
                <w:rFonts w:ascii="Times New Roman"/>
                <w:sz w:val="21"/>
                <w:szCs w:val="21"/>
              </w:rPr>
              <w:t>土地利用类型</w:t>
            </w:r>
          </w:p>
        </w:tc>
        <w:tc>
          <w:tcPr>
            <w:tcW w:w="2978" w:type="dxa"/>
            <w:vAlign w:val="center"/>
          </w:tcPr>
          <w:p w14:paraId="3A0C0041">
            <w:pPr>
              <w:tabs>
                <w:tab w:val="center" w:pos="4505"/>
              </w:tabs>
              <w:spacing w:line="360" w:lineRule="exact"/>
              <w:jc w:val="center"/>
              <w:rPr>
                <w:rFonts w:ascii="Times New Roman"/>
                <w:sz w:val="21"/>
                <w:szCs w:val="21"/>
              </w:rPr>
            </w:pPr>
            <w:r>
              <w:rPr>
                <w:rFonts w:ascii="Times New Roman"/>
                <w:sz w:val="21"/>
                <w:szCs w:val="21"/>
              </w:rPr>
              <w:t>城市</w:t>
            </w:r>
          </w:p>
        </w:tc>
      </w:tr>
      <w:tr w14:paraId="2C5F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56" w:type="dxa"/>
            <w:gridSpan w:val="2"/>
            <w:vAlign w:val="center"/>
          </w:tcPr>
          <w:p w14:paraId="097019D0">
            <w:pPr>
              <w:tabs>
                <w:tab w:val="center" w:pos="4505"/>
              </w:tabs>
              <w:spacing w:line="360" w:lineRule="exact"/>
              <w:jc w:val="center"/>
              <w:rPr>
                <w:rFonts w:ascii="Times New Roman"/>
                <w:sz w:val="21"/>
                <w:szCs w:val="21"/>
              </w:rPr>
            </w:pPr>
            <w:r>
              <w:rPr>
                <w:rFonts w:ascii="Times New Roman"/>
                <w:sz w:val="21"/>
                <w:szCs w:val="21"/>
              </w:rPr>
              <w:t>区域湿度条件</w:t>
            </w:r>
          </w:p>
        </w:tc>
        <w:tc>
          <w:tcPr>
            <w:tcW w:w="2978" w:type="dxa"/>
            <w:vAlign w:val="center"/>
          </w:tcPr>
          <w:p w14:paraId="4FD68196">
            <w:pPr>
              <w:tabs>
                <w:tab w:val="center" w:pos="4505"/>
              </w:tabs>
              <w:spacing w:line="360" w:lineRule="exact"/>
              <w:jc w:val="center"/>
              <w:rPr>
                <w:rFonts w:ascii="Times New Roman"/>
                <w:sz w:val="21"/>
                <w:szCs w:val="21"/>
              </w:rPr>
            </w:pPr>
            <w:r>
              <w:rPr>
                <w:rFonts w:ascii="Times New Roman"/>
                <w:sz w:val="21"/>
                <w:szCs w:val="21"/>
              </w:rPr>
              <w:t>中等湿度</w:t>
            </w:r>
          </w:p>
        </w:tc>
      </w:tr>
      <w:tr w14:paraId="0C15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restart"/>
            <w:vAlign w:val="center"/>
          </w:tcPr>
          <w:p w14:paraId="7CF06429">
            <w:pPr>
              <w:tabs>
                <w:tab w:val="center" w:pos="4505"/>
              </w:tabs>
              <w:spacing w:line="360" w:lineRule="exact"/>
              <w:jc w:val="center"/>
              <w:rPr>
                <w:rFonts w:ascii="Times New Roman"/>
                <w:sz w:val="21"/>
                <w:szCs w:val="21"/>
              </w:rPr>
            </w:pPr>
            <w:r>
              <w:rPr>
                <w:rFonts w:ascii="Times New Roman"/>
                <w:sz w:val="21"/>
                <w:szCs w:val="21"/>
              </w:rPr>
              <w:t>是否考虑地形</w:t>
            </w:r>
          </w:p>
        </w:tc>
        <w:tc>
          <w:tcPr>
            <w:tcW w:w="2654" w:type="dxa"/>
            <w:vAlign w:val="center"/>
          </w:tcPr>
          <w:p w14:paraId="3B4ED6AD">
            <w:pPr>
              <w:tabs>
                <w:tab w:val="center" w:pos="4505"/>
              </w:tabs>
              <w:spacing w:line="360" w:lineRule="exact"/>
              <w:jc w:val="center"/>
              <w:rPr>
                <w:rFonts w:ascii="Times New Roman"/>
                <w:sz w:val="21"/>
                <w:szCs w:val="21"/>
              </w:rPr>
            </w:pPr>
            <w:r>
              <w:rPr>
                <w:rFonts w:ascii="Times New Roman"/>
                <w:sz w:val="21"/>
                <w:szCs w:val="21"/>
              </w:rPr>
              <w:t>考虑地形</w:t>
            </w:r>
          </w:p>
        </w:tc>
        <w:tc>
          <w:tcPr>
            <w:tcW w:w="2978" w:type="dxa"/>
            <w:vAlign w:val="center"/>
          </w:tcPr>
          <w:p w14:paraId="4222B7CF">
            <w:pPr>
              <w:tabs>
                <w:tab w:val="center" w:pos="4505"/>
              </w:tabs>
              <w:spacing w:line="360" w:lineRule="exact"/>
              <w:jc w:val="center"/>
              <w:rPr>
                <w:rFonts w:ascii="Times New Roman"/>
                <w:sz w:val="21"/>
                <w:szCs w:val="21"/>
              </w:rPr>
            </w:pPr>
            <w:r>
              <w:rPr>
                <w:rFonts w:ascii="Times New Roman"/>
                <w:sz w:val="21"/>
                <w:szCs w:val="21"/>
              </w:rPr>
              <w:t>是</w:t>
            </w:r>
          </w:p>
        </w:tc>
      </w:tr>
      <w:tr w14:paraId="724D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continue"/>
            <w:vAlign w:val="center"/>
          </w:tcPr>
          <w:p w14:paraId="34A9F1C1">
            <w:pPr>
              <w:tabs>
                <w:tab w:val="center" w:pos="4505"/>
              </w:tabs>
              <w:spacing w:line="360" w:lineRule="exact"/>
              <w:jc w:val="center"/>
              <w:rPr>
                <w:rFonts w:ascii="Times New Roman"/>
                <w:sz w:val="21"/>
                <w:szCs w:val="21"/>
              </w:rPr>
            </w:pPr>
          </w:p>
        </w:tc>
        <w:tc>
          <w:tcPr>
            <w:tcW w:w="2654" w:type="dxa"/>
            <w:vAlign w:val="center"/>
          </w:tcPr>
          <w:p w14:paraId="70E1A1BE">
            <w:pPr>
              <w:tabs>
                <w:tab w:val="center" w:pos="4505"/>
              </w:tabs>
              <w:spacing w:line="360" w:lineRule="exact"/>
              <w:jc w:val="center"/>
              <w:rPr>
                <w:rFonts w:ascii="Times New Roman"/>
                <w:sz w:val="21"/>
                <w:szCs w:val="21"/>
              </w:rPr>
            </w:pPr>
            <w:r>
              <w:rPr>
                <w:rFonts w:ascii="Times New Roman"/>
                <w:sz w:val="21"/>
                <w:szCs w:val="21"/>
              </w:rPr>
              <w:t>地形数据分辨率(m)</w:t>
            </w:r>
          </w:p>
        </w:tc>
        <w:tc>
          <w:tcPr>
            <w:tcW w:w="2978" w:type="dxa"/>
            <w:vAlign w:val="center"/>
          </w:tcPr>
          <w:p w14:paraId="40D9642C">
            <w:pPr>
              <w:tabs>
                <w:tab w:val="center" w:pos="4505"/>
              </w:tabs>
              <w:spacing w:line="360" w:lineRule="exact"/>
              <w:jc w:val="center"/>
              <w:rPr>
                <w:rFonts w:ascii="Times New Roman"/>
                <w:sz w:val="21"/>
                <w:szCs w:val="21"/>
              </w:rPr>
            </w:pPr>
            <w:r>
              <w:rPr>
                <w:rFonts w:ascii="Times New Roman"/>
                <w:sz w:val="21"/>
                <w:szCs w:val="21"/>
              </w:rPr>
              <w:t>--</w:t>
            </w:r>
          </w:p>
        </w:tc>
      </w:tr>
      <w:tr w14:paraId="7888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restart"/>
            <w:vAlign w:val="center"/>
          </w:tcPr>
          <w:p w14:paraId="4BAB0A90">
            <w:pPr>
              <w:tabs>
                <w:tab w:val="center" w:pos="4505"/>
              </w:tabs>
              <w:spacing w:line="360" w:lineRule="exact"/>
              <w:jc w:val="center"/>
              <w:rPr>
                <w:rFonts w:ascii="Times New Roman"/>
                <w:sz w:val="21"/>
                <w:szCs w:val="21"/>
              </w:rPr>
            </w:pPr>
            <w:r>
              <w:rPr>
                <w:rFonts w:ascii="Times New Roman"/>
                <w:sz w:val="21"/>
                <w:szCs w:val="21"/>
              </w:rPr>
              <w:t>是否考虑海岸线熏烟</w:t>
            </w:r>
          </w:p>
        </w:tc>
        <w:tc>
          <w:tcPr>
            <w:tcW w:w="2654" w:type="dxa"/>
            <w:vAlign w:val="center"/>
          </w:tcPr>
          <w:p w14:paraId="0E84F02C">
            <w:pPr>
              <w:tabs>
                <w:tab w:val="center" w:pos="4505"/>
              </w:tabs>
              <w:spacing w:line="360" w:lineRule="exact"/>
              <w:jc w:val="center"/>
              <w:rPr>
                <w:rFonts w:ascii="Times New Roman"/>
                <w:sz w:val="21"/>
                <w:szCs w:val="21"/>
              </w:rPr>
            </w:pPr>
            <w:r>
              <w:rPr>
                <w:rFonts w:ascii="Times New Roman"/>
                <w:sz w:val="21"/>
                <w:szCs w:val="21"/>
              </w:rPr>
              <w:t>考虑海岸线熏烟</w:t>
            </w:r>
          </w:p>
        </w:tc>
        <w:tc>
          <w:tcPr>
            <w:tcW w:w="2978" w:type="dxa"/>
            <w:vAlign w:val="center"/>
          </w:tcPr>
          <w:p w14:paraId="28575DBB">
            <w:pPr>
              <w:tabs>
                <w:tab w:val="center" w:pos="4505"/>
              </w:tabs>
              <w:spacing w:line="360" w:lineRule="exact"/>
              <w:jc w:val="center"/>
              <w:rPr>
                <w:rFonts w:ascii="Times New Roman"/>
                <w:sz w:val="21"/>
                <w:szCs w:val="21"/>
              </w:rPr>
            </w:pPr>
            <w:r>
              <w:rPr>
                <w:rFonts w:hint="eastAsia" w:ascii="Times New Roman"/>
                <w:sz w:val="21"/>
                <w:szCs w:val="21"/>
              </w:rPr>
              <w:t>是</w:t>
            </w:r>
          </w:p>
        </w:tc>
      </w:tr>
      <w:tr w14:paraId="754D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continue"/>
            <w:vAlign w:val="center"/>
          </w:tcPr>
          <w:p w14:paraId="407B8D57">
            <w:pPr>
              <w:tabs>
                <w:tab w:val="center" w:pos="4505"/>
              </w:tabs>
              <w:spacing w:line="360" w:lineRule="exact"/>
              <w:jc w:val="center"/>
              <w:rPr>
                <w:rFonts w:ascii="Times New Roman"/>
                <w:sz w:val="21"/>
                <w:szCs w:val="21"/>
              </w:rPr>
            </w:pPr>
          </w:p>
        </w:tc>
        <w:tc>
          <w:tcPr>
            <w:tcW w:w="2654" w:type="dxa"/>
            <w:vAlign w:val="center"/>
          </w:tcPr>
          <w:p w14:paraId="5217140E">
            <w:pPr>
              <w:tabs>
                <w:tab w:val="center" w:pos="4505"/>
              </w:tabs>
              <w:spacing w:line="360" w:lineRule="exact"/>
              <w:jc w:val="center"/>
              <w:rPr>
                <w:rFonts w:ascii="Times New Roman"/>
                <w:sz w:val="21"/>
                <w:szCs w:val="21"/>
              </w:rPr>
            </w:pPr>
            <w:r>
              <w:rPr>
                <w:rFonts w:ascii="Times New Roman"/>
                <w:sz w:val="21"/>
                <w:szCs w:val="21"/>
              </w:rPr>
              <w:t>海岸线距离/km</w:t>
            </w:r>
          </w:p>
        </w:tc>
        <w:tc>
          <w:tcPr>
            <w:tcW w:w="2978" w:type="dxa"/>
            <w:shd w:val="clear" w:color="auto" w:fill="auto"/>
            <w:vAlign w:val="center"/>
          </w:tcPr>
          <w:p w14:paraId="51344E20">
            <w:pPr>
              <w:tabs>
                <w:tab w:val="center" w:pos="4505"/>
              </w:tabs>
              <w:spacing w:line="360" w:lineRule="exact"/>
              <w:jc w:val="center"/>
              <w:rPr>
                <w:rFonts w:ascii="Times New Roman"/>
                <w:sz w:val="21"/>
                <w:szCs w:val="21"/>
              </w:rPr>
            </w:pPr>
            <w:r>
              <w:rPr>
                <w:rFonts w:hint="eastAsia" w:ascii="Times New Roman"/>
                <w:sz w:val="21"/>
                <w:szCs w:val="21"/>
              </w:rPr>
              <w:t>380</w:t>
            </w:r>
          </w:p>
        </w:tc>
      </w:tr>
      <w:tr w14:paraId="2B3E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02" w:type="dxa"/>
            <w:vMerge w:val="continue"/>
            <w:vAlign w:val="center"/>
          </w:tcPr>
          <w:p w14:paraId="493DFFEC">
            <w:pPr>
              <w:tabs>
                <w:tab w:val="center" w:pos="4505"/>
              </w:tabs>
              <w:spacing w:line="360" w:lineRule="exact"/>
              <w:jc w:val="center"/>
              <w:rPr>
                <w:rFonts w:ascii="Times New Roman"/>
                <w:sz w:val="21"/>
                <w:szCs w:val="21"/>
              </w:rPr>
            </w:pPr>
          </w:p>
        </w:tc>
        <w:tc>
          <w:tcPr>
            <w:tcW w:w="2654" w:type="dxa"/>
            <w:vAlign w:val="center"/>
          </w:tcPr>
          <w:p w14:paraId="5E58BBFF">
            <w:pPr>
              <w:tabs>
                <w:tab w:val="center" w:pos="4505"/>
              </w:tabs>
              <w:spacing w:line="360" w:lineRule="exact"/>
              <w:jc w:val="center"/>
              <w:rPr>
                <w:rFonts w:ascii="Times New Roman"/>
                <w:sz w:val="21"/>
                <w:szCs w:val="21"/>
              </w:rPr>
            </w:pPr>
            <w:r>
              <w:rPr>
                <w:rFonts w:ascii="Times New Roman"/>
                <w:sz w:val="21"/>
                <w:szCs w:val="21"/>
              </w:rPr>
              <w:t>海岸线方向/</w:t>
            </w:r>
            <w:r>
              <w:rPr>
                <w:rFonts w:ascii="Times New Roman"/>
                <w:sz w:val="21"/>
                <w:szCs w:val="21"/>
                <w:vertAlign w:val="superscript"/>
              </w:rPr>
              <w:t>o</w:t>
            </w:r>
          </w:p>
        </w:tc>
        <w:tc>
          <w:tcPr>
            <w:tcW w:w="2978" w:type="dxa"/>
            <w:shd w:val="clear" w:color="auto" w:fill="auto"/>
            <w:vAlign w:val="center"/>
          </w:tcPr>
          <w:p w14:paraId="74A3D535">
            <w:pPr>
              <w:tabs>
                <w:tab w:val="center" w:pos="4505"/>
              </w:tabs>
              <w:spacing w:line="360" w:lineRule="exact"/>
              <w:jc w:val="center"/>
              <w:rPr>
                <w:rFonts w:ascii="Times New Roman"/>
                <w:sz w:val="21"/>
                <w:szCs w:val="21"/>
              </w:rPr>
            </w:pPr>
            <w:r>
              <w:rPr>
                <w:rFonts w:hint="eastAsia" w:ascii="Times New Roman"/>
                <w:sz w:val="21"/>
                <w:szCs w:val="21"/>
              </w:rPr>
              <w:t>-25</w:t>
            </w:r>
          </w:p>
        </w:tc>
      </w:tr>
    </w:tbl>
    <w:p w14:paraId="4F75F093">
      <w:pPr>
        <w:spacing w:line="480" w:lineRule="exact"/>
        <w:ind w:firstLine="422" w:firstLineChars="176"/>
        <w:jc w:val="left"/>
        <w:rPr>
          <w:rFonts w:ascii="Times New Roman"/>
          <w:sz w:val="24"/>
          <w:szCs w:val="24"/>
        </w:rPr>
      </w:pPr>
      <w:r>
        <w:rPr>
          <w:rFonts w:ascii="Times New Roman"/>
          <w:sz w:val="24"/>
          <w:szCs w:val="24"/>
        </w:rPr>
        <w:t>（4）估算模型计算结果及评价等级确定</w:t>
      </w:r>
    </w:p>
    <w:p w14:paraId="5485707A">
      <w:pPr>
        <w:spacing w:line="480" w:lineRule="exact"/>
        <w:ind w:firstLine="422" w:firstLineChars="176"/>
        <w:jc w:val="left"/>
        <w:rPr>
          <w:rFonts w:ascii="Times New Roman"/>
          <w:sz w:val="24"/>
          <w:szCs w:val="24"/>
        </w:rPr>
      </w:pPr>
      <w:r>
        <w:rPr>
          <w:rFonts w:ascii="Times New Roman"/>
          <w:sz w:val="24"/>
          <w:szCs w:val="24"/>
        </w:rPr>
        <w:t>本项目所有污染源的正常排放的污染物的P</w:t>
      </w:r>
      <w:r>
        <w:rPr>
          <w:rFonts w:ascii="Times New Roman"/>
          <w:sz w:val="24"/>
          <w:szCs w:val="24"/>
          <w:vertAlign w:val="subscript"/>
        </w:rPr>
        <w:t>max</w:t>
      </w:r>
      <w:r>
        <w:rPr>
          <w:rFonts w:ascii="Times New Roman"/>
          <w:sz w:val="24"/>
          <w:szCs w:val="24"/>
        </w:rPr>
        <w:t>和D</w:t>
      </w:r>
      <w:r>
        <w:rPr>
          <w:rFonts w:ascii="Times New Roman"/>
          <w:sz w:val="24"/>
          <w:szCs w:val="24"/>
          <w:vertAlign w:val="subscript"/>
        </w:rPr>
        <w:t>10%</w:t>
      </w:r>
      <w:r>
        <w:rPr>
          <w:rFonts w:ascii="Times New Roman"/>
          <w:sz w:val="24"/>
          <w:szCs w:val="24"/>
        </w:rPr>
        <w:t>预测结果如下：</w:t>
      </w:r>
    </w:p>
    <w:p w14:paraId="0EC12FC7">
      <w:pPr>
        <w:spacing w:line="480" w:lineRule="exact"/>
        <w:ind w:firstLine="482" w:firstLineChars="200"/>
        <w:jc w:val="center"/>
        <w:rPr>
          <w:rFonts w:ascii="Times New Roman"/>
          <w:b/>
          <w:sz w:val="24"/>
          <w:szCs w:val="24"/>
        </w:rPr>
      </w:pPr>
      <w:r>
        <w:rPr>
          <w:rFonts w:ascii="Times New Roman"/>
          <w:b/>
          <w:sz w:val="24"/>
          <w:szCs w:val="24"/>
        </w:rPr>
        <w:t>表2.5-5  最大P</w:t>
      </w:r>
      <w:r>
        <w:rPr>
          <w:rFonts w:ascii="Times New Roman"/>
          <w:b/>
          <w:sz w:val="24"/>
          <w:szCs w:val="24"/>
          <w:vertAlign w:val="subscript"/>
        </w:rPr>
        <w:t>max</w:t>
      </w:r>
      <w:r>
        <w:rPr>
          <w:rFonts w:ascii="Times New Roman"/>
          <w:b/>
          <w:sz w:val="24"/>
          <w:szCs w:val="24"/>
        </w:rPr>
        <w:t>和D</w:t>
      </w:r>
      <w:r>
        <w:rPr>
          <w:rFonts w:ascii="Times New Roman"/>
          <w:b/>
          <w:sz w:val="24"/>
          <w:szCs w:val="24"/>
          <w:vertAlign w:val="subscript"/>
        </w:rPr>
        <w:t>10%</w:t>
      </w:r>
      <w:r>
        <w:rPr>
          <w:rFonts w:ascii="Times New Roman"/>
          <w:b/>
          <w:sz w:val="24"/>
          <w:szCs w:val="24"/>
        </w:rPr>
        <w:t>预测和计算结果一览表</w:t>
      </w:r>
    </w:p>
    <w:tbl>
      <w:tblPr>
        <w:tblStyle w:val="84"/>
        <w:tblW w:w="8295" w:type="dxa"/>
        <w:jc w:val="center"/>
        <w:tblLayout w:type="autofit"/>
        <w:tblCellMar>
          <w:top w:w="0" w:type="dxa"/>
          <w:left w:w="108" w:type="dxa"/>
          <w:bottom w:w="0" w:type="dxa"/>
          <w:right w:w="108" w:type="dxa"/>
        </w:tblCellMar>
      </w:tblPr>
      <w:tblGrid>
        <w:gridCol w:w="1560"/>
        <w:gridCol w:w="1417"/>
        <w:gridCol w:w="1701"/>
        <w:gridCol w:w="1418"/>
        <w:gridCol w:w="1134"/>
        <w:gridCol w:w="1065"/>
      </w:tblGrid>
      <w:tr w14:paraId="167BDA7F">
        <w:tblPrEx>
          <w:tblCellMar>
            <w:top w:w="0" w:type="dxa"/>
            <w:left w:w="108" w:type="dxa"/>
            <w:bottom w:w="0" w:type="dxa"/>
            <w:right w:w="108" w:type="dxa"/>
          </w:tblCellMar>
        </w:tblPrEx>
        <w:trPr>
          <w:trHeight w:val="363" w:hRule="atLeast"/>
          <w:jc w:val="center"/>
        </w:trPr>
        <w:tc>
          <w:tcPr>
            <w:tcW w:w="1560" w:type="dxa"/>
            <w:vAlign w:val="center"/>
          </w:tcPr>
          <w:p w14:paraId="546C0D96">
            <w:pPr>
              <w:spacing w:line="320" w:lineRule="exact"/>
              <w:jc w:val="center"/>
              <w:rPr>
                <w:rFonts w:ascii="Times New Roman"/>
                <w:sz w:val="21"/>
                <w:szCs w:val="21"/>
              </w:rPr>
            </w:pPr>
            <w:r>
              <w:rPr>
                <w:rFonts w:ascii="Times New Roman"/>
                <w:sz w:val="21"/>
                <w:szCs w:val="21"/>
              </w:rPr>
              <w:t>污染源名称</w:t>
            </w:r>
          </w:p>
        </w:tc>
        <w:tc>
          <w:tcPr>
            <w:tcW w:w="1417" w:type="dxa"/>
            <w:vAlign w:val="center"/>
          </w:tcPr>
          <w:p w14:paraId="597DA6CF">
            <w:pPr>
              <w:spacing w:line="320" w:lineRule="exact"/>
              <w:jc w:val="center"/>
              <w:rPr>
                <w:rFonts w:ascii="Times New Roman"/>
                <w:sz w:val="21"/>
                <w:szCs w:val="21"/>
              </w:rPr>
            </w:pPr>
            <w:r>
              <w:rPr>
                <w:rFonts w:ascii="Times New Roman"/>
                <w:sz w:val="21"/>
                <w:szCs w:val="21"/>
              </w:rPr>
              <w:t>评价因子</w:t>
            </w:r>
          </w:p>
        </w:tc>
        <w:tc>
          <w:tcPr>
            <w:tcW w:w="1701" w:type="dxa"/>
            <w:vAlign w:val="center"/>
          </w:tcPr>
          <w:p w14:paraId="01D42299">
            <w:pPr>
              <w:spacing w:line="320" w:lineRule="exact"/>
              <w:jc w:val="center"/>
              <w:rPr>
                <w:rFonts w:ascii="Times New Roman"/>
                <w:sz w:val="21"/>
                <w:szCs w:val="21"/>
              </w:rPr>
            </w:pPr>
            <w:r>
              <w:rPr>
                <w:rFonts w:ascii="Times New Roman"/>
                <w:sz w:val="21"/>
                <w:szCs w:val="21"/>
              </w:rPr>
              <w:t>评价标准(μg/m³)</w:t>
            </w:r>
          </w:p>
        </w:tc>
        <w:tc>
          <w:tcPr>
            <w:tcW w:w="1418" w:type="dxa"/>
            <w:vAlign w:val="center"/>
          </w:tcPr>
          <w:p w14:paraId="46961FB2">
            <w:pPr>
              <w:spacing w:line="320" w:lineRule="exact"/>
              <w:jc w:val="center"/>
              <w:rPr>
                <w:rFonts w:ascii="Times New Roman"/>
                <w:sz w:val="21"/>
                <w:szCs w:val="21"/>
              </w:rPr>
            </w:pPr>
            <w:r>
              <w:rPr>
                <w:rFonts w:ascii="Times New Roman"/>
                <w:sz w:val="21"/>
                <w:szCs w:val="21"/>
              </w:rPr>
              <w:t>Cmax(μg/m³)</w:t>
            </w:r>
          </w:p>
        </w:tc>
        <w:tc>
          <w:tcPr>
            <w:tcW w:w="1134" w:type="dxa"/>
            <w:vAlign w:val="center"/>
          </w:tcPr>
          <w:p w14:paraId="2518FC49">
            <w:pPr>
              <w:spacing w:line="320" w:lineRule="exact"/>
              <w:jc w:val="center"/>
              <w:rPr>
                <w:rFonts w:ascii="Times New Roman"/>
                <w:sz w:val="21"/>
                <w:szCs w:val="21"/>
              </w:rPr>
            </w:pPr>
            <w:r>
              <w:rPr>
                <w:rFonts w:ascii="Times New Roman"/>
                <w:sz w:val="21"/>
                <w:szCs w:val="21"/>
              </w:rPr>
              <w:t>Pmax(%)</w:t>
            </w:r>
          </w:p>
        </w:tc>
        <w:tc>
          <w:tcPr>
            <w:tcW w:w="1065" w:type="dxa"/>
            <w:vAlign w:val="center"/>
          </w:tcPr>
          <w:p w14:paraId="3FE6021E">
            <w:pPr>
              <w:spacing w:line="320" w:lineRule="exact"/>
              <w:jc w:val="center"/>
              <w:rPr>
                <w:rFonts w:ascii="Times New Roman"/>
                <w:sz w:val="21"/>
                <w:szCs w:val="21"/>
              </w:rPr>
            </w:pPr>
            <w:r>
              <w:rPr>
                <w:rFonts w:ascii="Times New Roman"/>
                <w:sz w:val="21"/>
                <w:szCs w:val="21"/>
              </w:rPr>
              <w:t>D10%(m)</w:t>
            </w:r>
          </w:p>
        </w:tc>
      </w:tr>
      <w:tr w14:paraId="724E5F84">
        <w:tblPrEx>
          <w:tblCellMar>
            <w:top w:w="0" w:type="dxa"/>
            <w:left w:w="108" w:type="dxa"/>
            <w:bottom w:w="0" w:type="dxa"/>
            <w:right w:w="108" w:type="dxa"/>
          </w:tblCellMar>
        </w:tblPrEx>
        <w:trPr>
          <w:trHeight w:val="363" w:hRule="atLeast"/>
          <w:jc w:val="center"/>
        </w:trPr>
        <w:tc>
          <w:tcPr>
            <w:tcW w:w="1560" w:type="dxa"/>
            <w:vAlign w:val="center"/>
          </w:tcPr>
          <w:p w14:paraId="5C9A884A">
            <w:pPr>
              <w:spacing w:line="320" w:lineRule="exact"/>
              <w:jc w:val="center"/>
              <w:rPr>
                <w:rFonts w:ascii="Times New Roman"/>
                <w:sz w:val="21"/>
                <w:szCs w:val="21"/>
              </w:rPr>
            </w:pPr>
            <w:r>
              <w:rPr>
                <w:rFonts w:hint="eastAsia" w:ascii="Times New Roman"/>
                <w:sz w:val="21"/>
                <w:szCs w:val="21"/>
              </w:rPr>
              <w:t>DA001</w:t>
            </w:r>
          </w:p>
        </w:tc>
        <w:tc>
          <w:tcPr>
            <w:tcW w:w="1417" w:type="dxa"/>
            <w:vAlign w:val="center"/>
          </w:tcPr>
          <w:p w14:paraId="25131B2A">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62675BCD">
            <w:pPr>
              <w:spacing w:line="320" w:lineRule="exact"/>
              <w:jc w:val="center"/>
              <w:rPr>
                <w:rFonts w:ascii="Times New Roman"/>
                <w:sz w:val="21"/>
                <w:szCs w:val="21"/>
              </w:rPr>
            </w:pPr>
            <w:r>
              <w:rPr>
                <w:rFonts w:ascii="Times New Roman"/>
                <w:sz w:val="21"/>
                <w:szCs w:val="21"/>
              </w:rPr>
              <w:t>450.0</w:t>
            </w:r>
          </w:p>
        </w:tc>
        <w:tc>
          <w:tcPr>
            <w:tcW w:w="1418" w:type="dxa"/>
            <w:vAlign w:val="center"/>
          </w:tcPr>
          <w:p w14:paraId="43809184">
            <w:pPr>
              <w:jc w:val="center"/>
              <w:rPr>
                <w:rFonts w:ascii="Times New Roman"/>
                <w:sz w:val="21"/>
                <w:szCs w:val="21"/>
              </w:rPr>
            </w:pPr>
            <w:r>
              <w:rPr>
                <w:rFonts w:hint="eastAsia" w:ascii="Times New Roman"/>
                <w:sz w:val="21"/>
                <w:szCs w:val="21"/>
              </w:rPr>
              <w:t>7.6258</w:t>
            </w:r>
          </w:p>
        </w:tc>
        <w:tc>
          <w:tcPr>
            <w:tcW w:w="1134" w:type="dxa"/>
            <w:vAlign w:val="center"/>
          </w:tcPr>
          <w:p w14:paraId="6A3EB4BF">
            <w:pPr>
              <w:jc w:val="center"/>
              <w:rPr>
                <w:rFonts w:ascii="Times New Roman"/>
                <w:sz w:val="21"/>
                <w:szCs w:val="21"/>
              </w:rPr>
            </w:pPr>
            <w:r>
              <w:rPr>
                <w:rFonts w:hint="eastAsia" w:ascii="Times New Roman"/>
                <w:sz w:val="21"/>
                <w:szCs w:val="21"/>
              </w:rPr>
              <w:t>1.69</w:t>
            </w:r>
          </w:p>
        </w:tc>
        <w:tc>
          <w:tcPr>
            <w:tcW w:w="1065" w:type="dxa"/>
            <w:vAlign w:val="center"/>
          </w:tcPr>
          <w:p w14:paraId="058B6464">
            <w:pPr>
              <w:spacing w:line="320" w:lineRule="exact"/>
              <w:jc w:val="center"/>
              <w:rPr>
                <w:rFonts w:ascii="Times New Roman"/>
                <w:sz w:val="21"/>
                <w:szCs w:val="21"/>
              </w:rPr>
            </w:pPr>
            <w:r>
              <w:rPr>
                <w:rFonts w:ascii="Times New Roman"/>
                <w:sz w:val="21"/>
                <w:szCs w:val="21"/>
              </w:rPr>
              <w:t>/</w:t>
            </w:r>
          </w:p>
        </w:tc>
      </w:tr>
      <w:tr w14:paraId="0BD584EB">
        <w:tblPrEx>
          <w:tblCellMar>
            <w:top w:w="0" w:type="dxa"/>
            <w:left w:w="108" w:type="dxa"/>
            <w:bottom w:w="0" w:type="dxa"/>
            <w:right w:w="108" w:type="dxa"/>
          </w:tblCellMar>
        </w:tblPrEx>
        <w:trPr>
          <w:trHeight w:val="90" w:hRule="atLeast"/>
          <w:jc w:val="center"/>
        </w:trPr>
        <w:tc>
          <w:tcPr>
            <w:tcW w:w="1560" w:type="dxa"/>
            <w:shd w:val="clear" w:color="auto" w:fill="auto"/>
            <w:vAlign w:val="center"/>
          </w:tcPr>
          <w:p w14:paraId="1501458F">
            <w:pPr>
              <w:spacing w:line="320" w:lineRule="exact"/>
              <w:jc w:val="center"/>
              <w:rPr>
                <w:rFonts w:ascii="Times New Roman"/>
                <w:sz w:val="21"/>
                <w:szCs w:val="21"/>
              </w:rPr>
            </w:pPr>
            <w:r>
              <w:rPr>
                <w:rFonts w:hint="eastAsia" w:ascii="Times New Roman"/>
                <w:sz w:val="21"/>
                <w:szCs w:val="21"/>
              </w:rPr>
              <w:t>DA002</w:t>
            </w:r>
          </w:p>
        </w:tc>
        <w:tc>
          <w:tcPr>
            <w:tcW w:w="1417" w:type="dxa"/>
            <w:shd w:val="clear" w:color="auto" w:fill="auto"/>
            <w:vAlign w:val="center"/>
          </w:tcPr>
          <w:p w14:paraId="03D4F998">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shd w:val="clear" w:color="auto" w:fill="auto"/>
            <w:vAlign w:val="center"/>
          </w:tcPr>
          <w:p w14:paraId="7D56DD8A">
            <w:pPr>
              <w:spacing w:line="320" w:lineRule="exact"/>
              <w:jc w:val="center"/>
              <w:rPr>
                <w:rFonts w:ascii="Times New Roman"/>
                <w:sz w:val="21"/>
                <w:szCs w:val="21"/>
              </w:rPr>
            </w:pPr>
            <w:r>
              <w:rPr>
                <w:rFonts w:ascii="Times New Roman"/>
                <w:sz w:val="21"/>
                <w:szCs w:val="21"/>
              </w:rPr>
              <w:t>450.0</w:t>
            </w:r>
          </w:p>
        </w:tc>
        <w:tc>
          <w:tcPr>
            <w:tcW w:w="1418" w:type="dxa"/>
            <w:shd w:val="clear" w:color="auto" w:fill="auto"/>
            <w:vAlign w:val="center"/>
          </w:tcPr>
          <w:p w14:paraId="1F4FF390">
            <w:pPr>
              <w:jc w:val="center"/>
              <w:rPr>
                <w:rFonts w:ascii="Times New Roman"/>
                <w:sz w:val="21"/>
                <w:szCs w:val="21"/>
              </w:rPr>
            </w:pPr>
            <w:r>
              <w:rPr>
                <w:rFonts w:hint="eastAsia" w:ascii="Times New Roman"/>
                <w:sz w:val="21"/>
                <w:szCs w:val="21"/>
              </w:rPr>
              <w:t>0.1146</w:t>
            </w:r>
          </w:p>
        </w:tc>
        <w:tc>
          <w:tcPr>
            <w:tcW w:w="1134" w:type="dxa"/>
            <w:shd w:val="clear" w:color="auto" w:fill="auto"/>
            <w:vAlign w:val="center"/>
          </w:tcPr>
          <w:p w14:paraId="4926A6D0">
            <w:pPr>
              <w:jc w:val="center"/>
              <w:rPr>
                <w:rFonts w:ascii="Times New Roman"/>
                <w:sz w:val="21"/>
                <w:szCs w:val="21"/>
              </w:rPr>
            </w:pPr>
            <w:r>
              <w:rPr>
                <w:rFonts w:hint="eastAsia" w:ascii="Times New Roman"/>
                <w:sz w:val="21"/>
                <w:szCs w:val="21"/>
              </w:rPr>
              <w:t>0.03</w:t>
            </w:r>
          </w:p>
        </w:tc>
        <w:tc>
          <w:tcPr>
            <w:tcW w:w="1065" w:type="dxa"/>
            <w:shd w:val="clear" w:color="auto" w:fill="auto"/>
            <w:vAlign w:val="center"/>
          </w:tcPr>
          <w:p w14:paraId="7FE81F0E">
            <w:pPr>
              <w:spacing w:line="320" w:lineRule="exact"/>
              <w:jc w:val="center"/>
              <w:rPr>
                <w:rFonts w:ascii="Times New Roman"/>
                <w:sz w:val="21"/>
                <w:szCs w:val="21"/>
              </w:rPr>
            </w:pPr>
            <w:r>
              <w:rPr>
                <w:rFonts w:ascii="Times New Roman"/>
                <w:sz w:val="21"/>
                <w:szCs w:val="21"/>
              </w:rPr>
              <w:t>/</w:t>
            </w:r>
          </w:p>
        </w:tc>
      </w:tr>
      <w:tr w14:paraId="0E52D4CA">
        <w:tblPrEx>
          <w:tblCellMar>
            <w:top w:w="0" w:type="dxa"/>
            <w:left w:w="108" w:type="dxa"/>
            <w:bottom w:w="0" w:type="dxa"/>
            <w:right w:w="108" w:type="dxa"/>
          </w:tblCellMar>
        </w:tblPrEx>
        <w:trPr>
          <w:trHeight w:val="363" w:hRule="atLeast"/>
          <w:jc w:val="center"/>
        </w:trPr>
        <w:tc>
          <w:tcPr>
            <w:tcW w:w="1560" w:type="dxa"/>
            <w:shd w:val="clear" w:color="auto" w:fill="auto"/>
            <w:vAlign w:val="center"/>
          </w:tcPr>
          <w:p w14:paraId="698F44F3">
            <w:pPr>
              <w:spacing w:line="320" w:lineRule="exact"/>
              <w:jc w:val="center"/>
              <w:rPr>
                <w:rFonts w:ascii="Times New Roman"/>
                <w:sz w:val="21"/>
                <w:szCs w:val="21"/>
              </w:rPr>
            </w:pPr>
            <w:r>
              <w:rPr>
                <w:rFonts w:hint="eastAsia" w:ascii="Times New Roman"/>
                <w:sz w:val="21"/>
                <w:szCs w:val="21"/>
              </w:rPr>
              <w:t>DA003</w:t>
            </w:r>
          </w:p>
        </w:tc>
        <w:tc>
          <w:tcPr>
            <w:tcW w:w="1417" w:type="dxa"/>
            <w:shd w:val="clear" w:color="auto" w:fill="auto"/>
            <w:vAlign w:val="center"/>
          </w:tcPr>
          <w:p w14:paraId="60D8C954">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shd w:val="clear" w:color="auto" w:fill="auto"/>
            <w:vAlign w:val="center"/>
          </w:tcPr>
          <w:p w14:paraId="430E3D46">
            <w:pPr>
              <w:spacing w:line="320" w:lineRule="exact"/>
              <w:jc w:val="center"/>
              <w:rPr>
                <w:rFonts w:ascii="Times New Roman"/>
                <w:sz w:val="21"/>
                <w:szCs w:val="21"/>
              </w:rPr>
            </w:pPr>
            <w:r>
              <w:rPr>
                <w:rFonts w:ascii="Times New Roman"/>
                <w:sz w:val="21"/>
                <w:szCs w:val="21"/>
              </w:rPr>
              <w:t>450.0</w:t>
            </w:r>
          </w:p>
        </w:tc>
        <w:tc>
          <w:tcPr>
            <w:tcW w:w="1418" w:type="dxa"/>
            <w:shd w:val="clear" w:color="auto" w:fill="auto"/>
            <w:vAlign w:val="center"/>
          </w:tcPr>
          <w:p w14:paraId="5DDAC76F">
            <w:pPr>
              <w:jc w:val="center"/>
              <w:rPr>
                <w:rFonts w:ascii="Times New Roman"/>
                <w:sz w:val="21"/>
                <w:szCs w:val="21"/>
              </w:rPr>
            </w:pPr>
            <w:r>
              <w:rPr>
                <w:rFonts w:hint="eastAsia" w:ascii="Times New Roman"/>
                <w:sz w:val="21"/>
                <w:szCs w:val="21"/>
              </w:rPr>
              <w:t>0.1146</w:t>
            </w:r>
          </w:p>
        </w:tc>
        <w:tc>
          <w:tcPr>
            <w:tcW w:w="1134" w:type="dxa"/>
            <w:shd w:val="clear" w:color="auto" w:fill="auto"/>
            <w:vAlign w:val="center"/>
          </w:tcPr>
          <w:p w14:paraId="098EEE39">
            <w:pPr>
              <w:jc w:val="center"/>
              <w:rPr>
                <w:rFonts w:ascii="Times New Roman"/>
                <w:sz w:val="21"/>
                <w:szCs w:val="21"/>
              </w:rPr>
            </w:pPr>
            <w:r>
              <w:rPr>
                <w:rFonts w:hint="eastAsia" w:ascii="Times New Roman"/>
                <w:sz w:val="21"/>
                <w:szCs w:val="21"/>
              </w:rPr>
              <w:t>0.03</w:t>
            </w:r>
          </w:p>
        </w:tc>
        <w:tc>
          <w:tcPr>
            <w:tcW w:w="1065" w:type="dxa"/>
            <w:shd w:val="clear" w:color="auto" w:fill="auto"/>
            <w:vAlign w:val="center"/>
          </w:tcPr>
          <w:p w14:paraId="1D54E637">
            <w:pPr>
              <w:spacing w:line="320" w:lineRule="exact"/>
              <w:jc w:val="center"/>
              <w:rPr>
                <w:rFonts w:ascii="Times New Roman"/>
                <w:sz w:val="21"/>
                <w:szCs w:val="21"/>
              </w:rPr>
            </w:pPr>
            <w:r>
              <w:rPr>
                <w:rFonts w:ascii="Times New Roman"/>
                <w:sz w:val="21"/>
                <w:szCs w:val="21"/>
              </w:rPr>
              <w:t>/</w:t>
            </w:r>
          </w:p>
        </w:tc>
      </w:tr>
      <w:tr w14:paraId="0B406679">
        <w:tblPrEx>
          <w:tblCellMar>
            <w:top w:w="0" w:type="dxa"/>
            <w:left w:w="108" w:type="dxa"/>
            <w:bottom w:w="0" w:type="dxa"/>
            <w:right w:w="108" w:type="dxa"/>
          </w:tblCellMar>
        </w:tblPrEx>
        <w:trPr>
          <w:trHeight w:val="363" w:hRule="atLeast"/>
          <w:jc w:val="center"/>
        </w:trPr>
        <w:tc>
          <w:tcPr>
            <w:tcW w:w="1560" w:type="dxa"/>
            <w:shd w:val="clear" w:color="auto" w:fill="auto"/>
            <w:vAlign w:val="center"/>
          </w:tcPr>
          <w:p w14:paraId="02AF2E33">
            <w:pPr>
              <w:spacing w:line="320" w:lineRule="exact"/>
              <w:jc w:val="center"/>
              <w:rPr>
                <w:rFonts w:ascii="Times New Roman"/>
                <w:sz w:val="21"/>
                <w:szCs w:val="21"/>
              </w:rPr>
            </w:pPr>
            <w:r>
              <w:rPr>
                <w:rFonts w:hint="eastAsia" w:ascii="Times New Roman"/>
                <w:sz w:val="21"/>
                <w:szCs w:val="21"/>
              </w:rPr>
              <w:t>DA004</w:t>
            </w:r>
          </w:p>
        </w:tc>
        <w:tc>
          <w:tcPr>
            <w:tcW w:w="1417" w:type="dxa"/>
            <w:shd w:val="clear" w:color="auto" w:fill="auto"/>
            <w:vAlign w:val="center"/>
          </w:tcPr>
          <w:p w14:paraId="16FE1617">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shd w:val="clear" w:color="auto" w:fill="auto"/>
            <w:vAlign w:val="center"/>
          </w:tcPr>
          <w:p w14:paraId="4021E3EC">
            <w:pPr>
              <w:spacing w:line="320" w:lineRule="exact"/>
              <w:jc w:val="center"/>
              <w:rPr>
                <w:rFonts w:ascii="Times New Roman"/>
                <w:sz w:val="21"/>
                <w:szCs w:val="21"/>
              </w:rPr>
            </w:pPr>
            <w:r>
              <w:rPr>
                <w:rFonts w:ascii="Times New Roman"/>
                <w:sz w:val="21"/>
                <w:szCs w:val="21"/>
              </w:rPr>
              <w:t>450.0</w:t>
            </w:r>
          </w:p>
        </w:tc>
        <w:tc>
          <w:tcPr>
            <w:tcW w:w="1418" w:type="dxa"/>
            <w:shd w:val="clear" w:color="auto" w:fill="auto"/>
            <w:vAlign w:val="center"/>
          </w:tcPr>
          <w:p w14:paraId="6A314F3E">
            <w:pPr>
              <w:jc w:val="center"/>
              <w:rPr>
                <w:rFonts w:ascii="Times New Roman"/>
                <w:sz w:val="21"/>
                <w:szCs w:val="21"/>
              </w:rPr>
            </w:pPr>
            <w:r>
              <w:rPr>
                <w:rFonts w:hint="eastAsia" w:ascii="Times New Roman"/>
                <w:sz w:val="21"/>
                <w:szCs w:val="21"/>
              </w:rPr>
              <w:t>0.1146</w:t>
            </w:r>
          </w:p>
        </w:tc>
        <w:tc>
          <w:tcPr>
            <w:tcW w:w="1134" w:type="dxa"/>
            <w:shd w:val="clear" w:color="auto" w:fill="auto"/>
            <w:vAlign w:val="center"/>
          </w:tcPr>
          <w:p w14:paraId="436FE83B">
            <w:pPr>
              <w:jc w:val="center"/>
              <w:rPr>
                <w:rFonts w:ascii="Times New Roman"/>
                <w:sz w:val="21"/>
                <w:szCs w:val="21"/>
              </w:rPr>
            </w:pPr>
            <w:r>
              <w:rPr>
                <w:rFonts w:hint="eastAsia" w:ascii="Times New Roman"/>
                <w:sz w:val="21"/>
                <w:szCs w:val="21"/>
              </w:rPr>
              <w:t>0.03</w:t>
            </w:r>
          </w:p>
        </w:tc>
        <w:tc>
          <w:tcPr>
            <w:tcW w:w="1065" w:type="dxa"/>
            <w:shd w:val="clear" w:color="auto" w:fill="auto"/>
            <w:vAlign w:val="center"/>
          </w:tcPr>
          <w:p w14:paraId="0F965209">
            <w:pPr>
              <w:spacing w:line="320" w:lineRule="exact"/>
              <w:jc w:val="center"/>
              <w:rPr>
                <w:rFonts w:ascii="Times New Roman"/>
                <w:sz w:val="21"/>
                <w:szCs w:val="21"/>
              </w:rPr>
            </w:pPr>
            <w:r>
              <w:rPr>
                <w:rFonts w:ascii="Times New Roman"/>
                <w:sz w:val="21"/>
                <w:szCs w:val="21"/>
              </w:rPr>
              <w:t>/</w:t>
            </w:r>
          </w:p>
        </w:tc>
      </w:tr>
      <w:tr w14:paraId="2C506669">
        <w:tblPrEx>
          <w:tblCellMar>
            <w:top w:w="0" w:type="dxa"/>
            <w:left w:w="108" w:type="dxa"/>
            <w:bottom w:w="0" w:type="dxa"/>
            <w:right w:w="108" w:type="dxa"/>
          </w:tblCellMar>
        </w:tblPrEx>
        <w:trPr>
          <w:trHeight w:val="363" w:hRule="atLeast"/>
          <w:jc w:val="center"/>
        </w:trPr>
        <w:tc>
          <w:tcPr>
            <w:tcW w:w="1560" w:type="dxa"/>
            <w:vMerge w:val="restart"/>
            <w:vAlign w:val="center"/>
          </w:tcPr>
          <w:p w14:paraId="414EF21D">
            <w:pPr>
              <w:spacing w:line="320" w:lineRule="exact"/>
              <w:jc w:val="center"/>
              <w:rPr>
                <w:rFonts w:ascii="Times New Roman"/>
                <w:sz w:val="21"/>
                <w:szCs w:val="21"/>
              </w:rPr>
            </w:pPr>
            <w:r>
              <w:rPr>
                <w:rFonts w:hint="eastAsia" w:ascii="Times New Roman"/>
                <w:sz w:val="21"/>
                <w:szCs w:val="21"/>
              </w:rPr>
              <w:t>DA005</w:t>
            </w:r>
          </w:p>
        </w:tc>
        <w:tc>
          <w:tcPr>
            <w:tcW w:w="1417" w:type="dxa"/>
            <w:vAlign w:val="center"/>
          </w:tcPr>
          <w:p w14:paraId="109D8020">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154F0898">
            <w:pPr>
              <w:spacing w:line="320" w:lineRule="exact"/>
              <w:jc w:val="center"/>
              <w:rPr>
                <w:rFonts w:ascii="Times New Roman"/>
                <w:sz w:val="21"/>
                <w:szCs w:val="21"/>
              </w:rPr>
            </w:pPr>
            <w:r>
              <w:rPr>
                <w:rFonts w:ascii="Times New Roman"/>
                <w:sz w:val="21"/>
                <w:szCs w:val="21"/>
              </w:rPr>
              <w:t>450.0</w:t>
            </w:r>
          </w:p>
        </w:tc>
        <w:tc>
          <w:tcPr>
            <w:tcW w:w="1418" w:type="dxa"/>
            <w:vAlign w:val="center"/>
          </w:tcPr>
          <w:p w14:paraId="68295DF5">
            <w:pPr>
              <w:jc w:val="center"/>
              <w:rPr>
                <w:rFonts w:ascii="Times New Roman"/>
                <w:sz w:val="21"/>
                <w:szCs w:val="21"/>
              </w:rPr>
            </w:pPr>
            <w:r>
              <w:rPr>
                <w:rFonts w:hint="eastAsia" w:ascii="Times New Roman"/>
                <w:sz w:val="21"/>
                <w:szCs w:val="21"/>
              </w:rPr>
              <w:t>1.3203</w:t>
            </w:r>
          </w:p>
        </w:tc>
        <w:tc>
          <w:tcPr>
            <w:tcW w:w="1134" w:type="dxa"/>
            <w:vAlign w:val="center"/>
          </w:tcPr>
          <w:p w14:paraId="7C0ED2A9">
            <w:pPr>
              <w:jc w:val="center"/>
              <w:rPr>
                <w:rFonts w:ascii="Times New Roman"/>
                <w:sz w:val="21"/>
                <w:szCs w:val="21"/>
              </w:rPr>
            </w:pPr>
            <w:r>
              <w:rPr>
                <w:rFonts w:hint="eastAsia" w:ascii="Times New Roman"/>
                <w:sz w:val="21"/>
                <w:szCs w:val="21"/>
              </w:rPr>
              <w:t>0.29</w:t>
            </w:r>
          </w:p>
        </w:tc>
        <w:tc>
          <w:tcPr>
            <w:tcW w:w="1065" w:type="dxa"/>
            <w:vAlign w:val="center"/>
          </w:tcPr>
          <w:p w14:paraId="1A3C60A7">
            <w:pPr>
              <w:spacing w:line="320" w:lineRule="exact"/>
              <w:jc w:val="center"/>
              <w:rPr>
                <w:rFonts w:ascii="Times New Roman"/>
                <w:sz w:val="21"/>
                <w:szCs w:val="21"/>
              </w:rPr>
            </w:pPr>
            <w:r>
              <w:rPr>
                <w:rFonts w:ascii="Times New Roman"/>
                <w:sz w:val="21"/>
                <w:szCs w:val="21"/>
              </w:rPr>
              <w:t>/</w:t>
            </w:r>
          </w:p>
        </w:tc>
      </w:tr>
      <w:tr w14:paraId="7BC92289">
        <w:tblPrEx>
          <w:tblCellMar>
            <w:top w:w="0" w:type="dxa"/>
            <w:left w:w="108" w:type="dxa"/>
            <w:bottom w:w="0" w:type="dxa"/>
            <w:right w:w="108" w:type="dxa"/>
          </w:tblCellMar>
        </w:tblPrEx>
        <w:trPr>
          <w:trHeight w:val="363" w:hRule="atLeast"/>
          <w:jc w:val="center"/>
        </w:trPr>
        <w:tc>
          <w:tcPr>
            <w:tcW w:w="1560" w:type="dxa"/>
            <w:vMerge w:val="continue"/>
            <w:vAlign w:val="center"/>
          </w:tcPr>
          <w:p w14:paraId="51257363">
            <w:pPr>
              <w:spacing w:line="320" w:lineRule="exact"/>
              <w:jc w:val="center"/>
              <w:rPr>
                <w:rFonts w:ascii="Times New Roman"/>
                <w:sz w:val="21"/>
                <w:szCs w:val="21"/>
              </w:rPr>
            </w:pPr>
          </w:p>
        </w:tc>
        <w:tc>
          <w:tcPr>
            <w:tcW w:w="1417" w:type="dxa"/>
            <w:vAlign w:val="center"/>
          </w:tcPr>
          <w:p w14:paraId="19CC9FE9">
            <w:pPr>
              <w:spacing w:line="32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701" w:type="dxa"/>
            <w:vAlign w:val="center"/>
          </w:tcPr>
          <w:p w14:paraId="200C4555">
            <w:pPr>
              <w:spacing w:line="320" w:lineRule="exact"/>
              <w:jc w:val="center"/>
              <w:rPr>
                <w:rFonts w:ascii="Times New Roman"/>
                <w:sz w:val="21"/>
                <w:szCs w:val="21"/>
              </w:rPr>
            </w:pPr>
            <w:r>
              <w:rPr>
                <w:rFonts w:ascii="Times New Roman"/>
                <w:sz w:val="21"/>
                <w:szCs w:val="21"/>
              </w:rPr>
              <w:t>500.0</w:t>
            </w:r>
          </w:p>
        </w:tc>
        <w:tc>
          <w:tcPr>
            <w:tcW w:w="1418" w:type="dxa"/>
            <w:vAlign w:val="center"/>
          </w:tcPr>
          <w:p w14:paraId="261E6B12">
            <w:pPr>
              <w:jc w:val="center"/>
              <w:rPr>
                <w:rFonts w:ascii="Times New Roman"/>
                <w:sz w:val="21"/>
                <w:szCs w:val="21"/>
              </w:rPr>
            </w:pPr>
            <w:r>
              <w:rPr>
                <w:rFonts w:hint="eastAsia" w:ascii="Times New Roman"/>
                <w:sz w:val="21"/>
                <w:szCs w:val="21"/>
              </w:rPr>
              <w:t>0.0378</w:t>
            </w:r>
          </w:p>
        </w:tc>
        <w:tc>
          <w:tcPr>
            <w:tcW w:w="1134" w:type="dxa"/>
            <w:vAlign w:val="center"/>
          </w:tcPr>
          <w:p w14:paraId="36F1A86B">
            <w:pPr>
              <w:jc w:val="center"/>
              <w:rPr>
                <w:rFonts w:ascii="Times New Roman"/>
                <w:sz w:val="21"/>
                <w:szCs w:val="21"/>
              </w:rPr>
            </w:pPr>
            <w:r>
              <w:rPr>
                <w:rFonts w:hint="eastAsia" w:ascii="Times New Roman"/>
                <w:sz w:val="21"/>
                <w:szCs w:val="21"/>
              </w:rPr>
              <w:t>0.01</w:t>
            </w:r>
          </w:p>
        </w:tc>
        <w:tc>
          <w:tcPr>
            <w:tcW w:w="1065" w:type="dxa"/>
            <w:vAlign w:val="center"/>
          </w:tcPr>
          <w:p w14:paraId="1EA72AD3">
            <w:pPr>
              <w:spacing w:line="320" w:lineRule="exact"/>
              <w:jc w:val="center"/>
              <w:rPr>
                <w:rFonts w:ascii="Times New Roman"/>
                <w:sz w:val="21"/>
                <w:szCs w:val="21"/>
              </w:rPr>
            </w:pPr>
          </w:p>
        </w:tc>
      </w:tr>
      <w:tr w14:paraId="04235602">
        <w:tblPrEx>
          <w:tblCellMar>
            <w:top w:w="0" w:type="dxa"/>
            <w:left w:w="108" w:type="dxa"/>
            <w:bottom w:w="0" w:type="dxa"/>
            <w:right w:w="108" w:type="dxa"/>
          </w:tblCellMar>
        </w:tblPrEx>
        <w:trPr>
          <w:trHeight w:val="363" w:hRule="atLeast"/>
          <w:jc w:val="center"/>
        </w:trPr>
        <w:tc>
          <w:tcPr>
            <w:tcW w:w="1560" w:type="dxa"/>
            <w:vMerge w:val="continue"/>
            <w:vAlign w:val="center"/>
          </w:tcPr>
          <w:p w14:paraId="432013BC">
            <w:pPr>
              <w:spacing w:line="320" w:lineRule="exact"/>
              <w:jc w:val="center"/>
              <w:rPr>
                <w:rFonts w:ascii="Times New Roman"/>
                <w:sz w:val="21"/>
                <w:szCs w:val="21"/>
              </w:rPr>
            </w:pPr>
          </w:p>
        </w:tc>
        <w:tc>
          <w:tcPr>
            <w:tcW w:w="1417" w:type="dxa"/>
            <w:vAlign w:val="center"/>
          </w:tcPr>
          <w:p w14:paraId="74CB96B7">
            <w:pPr>
              <w:spacing w:line="320" w:lineRule="exac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701" w:type="dxa"/>
            <w:vAlign w:val="center"/>
          </w:tcPr>
          <w:p w14:paraId="760B2519">
            <w:pPr>
              <w:spacing w:line="320" w:lineRule="exact"/>
              <w:jc w:val="center"/>
              <w:rPr>
                <w:rFonts w:ascii="Times New Roman"/>
                <w:sz w:val="21"/>
                <w:szCs w:val="21"/>
              </w:rPr>
            </w:pPr>
            <w:r>
              <w:rPr>
                <w:rFonts w:ascii="Times New Roman"/>
                <w:sz w:val="21"/>
                <w:szCs w:val="21"/>
              </w:rPr>
              <w:t>200.0</w:t>
            </w:r>
          </w:p>
        </w:tc>
        <w:tc>
          <w:tcPr>
            <w:tcW w:w="1418" w:type="dxa"/>
            <w:vAlign w:val="center"/>
          </w:tcPr>
          <w:p w14:paraId="3149B0D3">
            <w:pPr>
              <w:jc w:val="center"/>
              <w:rPr>
                <w:rFonts w:ascii="Times New Roman"/>
                <w:sz w:val="21"/>
                <w:szCs w:val="21"/>
              </w:rPr>
            </w:pPr>
            <w:r>
              <w:rPr>
                <w:rFonts w:hint="eastAsia" w:ascii="Times New Roman"/>
                <w:sz w:val="21"/>
                <w:szCs w:val="21"/>
              </w:rPr>
              <w:t>4.3467</w:t>
            </w:r>
          </w:p>
        </w:tc>
        <w:tc>
          <w:tcPr>
            <w:tcW w:w="1134" w:type="dxa"/>
            <w:vAlign w:val="center"/>
          </w:tcPr>
          <w:p w14:paraId="47203C41">
            <w:pPr>
              <w:jc w:val="center"/>
              <w:rPr>
                <w:rFonts w:ascii="Times New Roman"/>
                <w:sz w:val="21"/>
                <w:szCs w:val="21"/>
              </w:rPr>
            </w:pPr>
            <w:r>
              <w:rPr>
                <w:rFonts w:hint="eastAsia" w:ascii="Times New Roman"/>
                <w:sz w:val="21"/>
                <w:szCs w:val="21"/>
              </w:rPr>
              <w:t>1.74</w:t>
            </w:r>
          </w:p>
        </w:tc>
        <w:tc>
          <w:tcPr>
            <w:tcW w:w="1065" w:type="dxa"/>
            <w:vAlign w:val="center"/>
          </w:tcPr>
          <w:p w14:paraId="03250026">
            <w:pPr>
              <w:spacing w:line="320" w:lineRule="exact"/>
              <w:jc w:val="center"/>
              <w:rPr>
                <w:rFonts w:ascii="Times New Roman"/>
                <w:sz w:val="21"/>
                <w:szCs w:val="21"/>
              </w:rPr>
            </w:pPr>
          </w:p>
        </w:tc>
      </w:tr>
      <w:tr w14:paraId="0A12B163">
        <w:tblPrEx>
          <w:tblCellMar>
            <w:top w:w="0" w:type="dxa"/>
            <w:left w:w="108" w:type="dxa"/>
            <w:bottom w:w="0" w:type="dxa"/>
            <w:right w:w="108" w:type="dxa"/>
          </w:tblCellMar>
        </w:tblPrEx>
        <w:trPr>
          <w:trHeight w:val="363" w:hRule="atLeast"/>
          <w:jc w:val="center"/>
        </w:trPr>
        <w:tc>
          <w:tcPr>
            <w:tcW w:w="1560" w:type="dxa"/>
            <w:vMerge w:val="restart"/>
            <w:vAlign w:val="center"/>
          </w:tcPr>
          <w:p w14:paraId="5DA132EF">
            <w:pPr>
              <w:spacing w:line="320" w:lineRule="exact"/>
              <w:jc w:val="center"/>
              <w:rPr>
                <w:rFonts w:ascii="Times New Roman"/>
                <w:sz w:val="21"/>
                <w:szCs w:val="21"/>
              </w:rPr>
            </w:pPr>
            <w:r>
              <w:rPr>
                <w:rFonts w:hint="eastAsia" w:ascii="Times New Roman"/>
                <w:sz w:val="21"/>
                <w:szCs w:val="21"/>
              </w:rPr>
              <w:t>DA006</w:t>
            </w:r>
          </w:p>
        </w:tc>
        <w:tc>
          <w:tcPr>
            <w:tcW w:w="1417" w:type="dxa"/>
            <w:vAlign w:val="center"/>
          </w:tcPr>
          <w:p w14:paraId="49D03AFD">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4EB4B1D2">
            <w:pPr>
              <w:spacing w:line="320" w:lineRule="exact"/>
              <w:jc w:val="center"/>
              <w:rPr>
                <w:rFonts w:ascii="Times New Roman"/>
                <w:sz w:val="21"/>
                <w:szCs w:val="21"/>
              </w:rPr>
            </w:pPr>
            <w:r>
              <w:rPr>
                <w:rFonts w:ascii="Times New Roman"/>
                <w:sz w:val="21"/>
                <w:szCs w:val="21"/>
              </w:rPr>
              <w:t>450.0</w:t>
            </w:r>
          </w:p>
        </w:tc>
        <w:tc>
          <w:tcPr>
            <w:tcW w:w="1418" w:type="dxa"/>
            <w:vAlign w:val="center"/>
          </w:tcPr>
          <w:p w14:paraId="11FAD72A">
            <w:pPr>
              <w:jc w:val="center"/>
              <w:rPr>
                <w:rFonts w:ascii="Times New Roman"/>
                <w:sz w:val="21"/>
                <w:szCs w:val="21"/>
              </w:rPr>
            </w:pPr>
            <w:r>
              <w:rPr>
                <w:rFonts w:hint="eastAsia" w:ascii="Times New Roman"/>
                <w:sz w:val="21"/>
                <w:szCs w:val="21"/>
              </w:rPr>
              <w:t>1.817</w:t>
            </w:r>
          </w:p>
        </w:tc>
        <w:tc>
          <w:tcPr>
            <w:tcW w:w="1134" w:type="dxa"/>
            <w:vAlign w:val="center"/>
          </w:tcPr>
          <w:p w14:paraId="3191315A">
            <w:pPr>
              <w:jc w:val="center"/>
              <w:rPr>
                <w:rFonts w:ascii="Times New Roman"/>
                <w:sz w:val="21"/>
                <w:szCs w:val="21"/>
              </w:rPr>
            </w:pPr>
            <w:r>
              <w:rPr>
                <w:rFonts w:hint="eastAsia" w:ascii="Times New Roman"/>
                <w:sz w:val="21"/>
                <w:szCs w:val="21"/>
              </w:rPr>
              <w:t>0.40</w:t>
            </w:r>
          </w:p>
        </w:tc>
        <w:tc>
          <w:tcPr>
            <w:tcW w:w="1065" w:type="dxa"/>
            <w:vAlign w:val="center"/>
          </w:tcPr>
          <w:p w14:paraId="4A6F524B">
            <w:pPr>
              <w:spacing w:line="320" w:lineRule="exact"/>
              <w:jc w:val="center"/>
              <w:rPr>
                <w:rFonts w:ascii="Times New Roman"/>
                <w:sz w:val="21"/>
                <w:szCs w:val="21"/>
              </w:rPr>
            </w:pPr>
            <w:r>
              <w:rPr>
                <w:rFonts w:ascii="Times New Roman"/>
                <w:sz w:val="21"/>
                <w:szCs w:val="21"/>
              </w:rPr>
              <w:t>/</w:t>
            </w:r>
          </w:p>
        </w:tc>
      </w:tr>
      <w:tr w14:paraId="0F96D6A1">
        <w:tblPrEx>
          <w:tblCellMar>
            <w:top w:w="0" w:type="dxa"/>
            <w:left w:w="108" w:type="dxa"/>
            <w:bottom w:w="0" w:type="dxa"/>
            <w:right w:w="108" w:type="dxa"/>
          </w:tblCellMar>
        </w:tblPrEx>
        <w:trPr>
          <w:trHeight w:val="363" w:hRule="atLeast"/>
          <w:jc w:val="center"/>
        </w:trPr>
        <w:tc>
          <w:tcPr>
            <w:tcW w:w="1560" w:type="dxa"/>
            <w:vMerge w:val="continue"/>
            <w:vAlign w:val="center"/>
          </w:tcPr>
          <w:p w14:paraId="0571F215">
            <w:pPr>
              <w:spacing w:line="320" w:lineRule="exact"/>
              <w:jc w:val="center"/>
              <w:rPr>
                <w:rFonts w:ascii="Times New Roman"/>
                <w:sz w:val="21"/>
                <w:szCs w:val="21"/>
              </w:rPr>
            </w:pPr>
          </w:p>
        </w:tc>
        <w:tc>
          <w:tcPr>
            <w:tcW w:w="1417" w:type="dxa"/>
            <w:vAlign w:val="center"/>
          </w:tcPr>
          <w:p w14:paraId="21F0B3D0">
            <w:pPr>
              <w:spacing w:line="320" w:lineRule="exact"/>
              <w:jc w:val="center"/>
              <w:rPr>
                <w:rFonts w:ascii="Times New Roman"/>
                <w:sz w:val="21"/>
                <w:szCs w:val="21"/>
              </w:rPr>
            </w:pPr>
            <w:r>
              <w:rPr>
                <w:rFonts w:ascii="Times New Roman"/>
                <w:sz w:val="21"/>
                <w:szCs w:val="21"/>
              </w:rPr>
              <w:t>非甲烷总烃</w:t>
            </w:r>
          </w:p>
        </w:tc>
        <w:tc>
          <w:tcPr>
            <w:tcW w:w="1701" w:type="dxa"/>
            <w:vAlign w:val="center"/>
          </w:tcPr>
          <w:p w14:paraId="4FCF154D">
            <w:pPr>
              <w:spacing w:line="320" w:lineRule="exact"/>
              <w:jc w:val="center"/>
              <w:rPr>
                <w:rFonts w:ascii="Times New Roman"/>
                <w:sz w:val="21"/>
                <w:szCs w:val="21"/>
              </w:rPr>
            </w:pPr>
            <w:r>
              <w:rPr>
                <w:rFonts w:ascii="Times New Roman"/>
                <w:sz w:val="21"/>
                <w:szCs w:val="21"/>
              </w:rPr>
              <w:t>2000.0</w:t>
            </w:r>
          </w:p>
        </w:tc>
        <w:tc>
          <w:tcPr>
            <w:tcW w:w="1418" w:type="dxa"/>
            <w:vAlign w:val="center"/>
          </w:tcPr>
          <w:p w14:paraId="4DCC6D53">
            <w:pPr>
              <w:jc w:val="center"/>
              <w:rPr>
                <w:rFonts w:ascii="Times New Roman"/>
                <w:sz w:val="21"/>
                <w:szCs w:val="21"/>
              </w:rPr>
            </w:pPr>
            <w:r>
              <w:rPr>
                <w:rFonts w:hint="eastAsia" w:ascii="Times New Roman"/>
                <w:sz w:val="21"/>
                <w:szCs w:val="21"/>
              </w:rPr>
              <w:t>0.0001</w:t>
            </w:r>
          </w:p>
        </w:tc>
        <w:tc>
          <w:tcPr>
            <w:tcW w:w="1134" w:type="dxa"/>
            <w:vAlign w:val="center"/>
          </w:tcPr>
          <w:p w14:paraId="1930C15F">
            <w:pPr>
              <w:jc w:val="center"/>
              <w:rPr>
                <w:rFonts w:ascii="Times New Roman"/>
                <w:sz w:val="21"/>
                <w:szCs w:val="21"/>
              </w:rPr>
            </w:pPr>
            <w:r>
              <w:rPr>
                <w:rFonts w:hint="eastAsia" w:ascii="Times New Roman"/>
                <w:sz w:val="21"/>
                <w:szCs w:val="21"/>
              </w:rPr>
              <w:t>0.00</w:t>
            </w:r>
          </w:p>
        </w:tc>
        <w:tc>
          <w:tcPr>
            <w:tcW w:w="1065" w:type="dxa"/>
            <w:vAlign w:val="center"/>
          </w:tcPr>
          <w:p w14:paraId="0FD06EBC">
            <w:pPr>
              <w:spacing w:line="320" w:lineRule="exact"/>
              <w:jc w:val="center"/>
              <w:rPr>
                <w:rFonts w:ascii="Times New Roman"/>
                <w:sz w:val="21"/>
                <w:szCs w:val="21"/>
              </w:rPr>
            </w:pPr>
            <w:r>
              <w:rPr>
                <w:rFonts w:ascii="Times New Roman"/>
                <w:sz w:val="21"/>
                <w:szCs w:val="21"/>
              </w:rPr>
              <w:t>/</w:t>
            </w:r>
          </w:p>
        </w:tc>
      </w:tr>
      <w:tr w14:paraId="674AFB7E">
        <w:tblPrEx>
          <w:tblCellMar>
            <w:top w:w="0" w:type="dxa"/>
            <w:left w:w="108" w:type="dxa"/>
            <w:bottom w:w="0" w:type="dxa"/>
            <w:right w:w="108" w:type="dxa"/>
          </w:tblCellMar>
        </w:tblPrEx>
        <w:trPr>
          <w:trHeight w:val="363" w:hRule="atLeast"/>
          <w:jc w:val="center"/>
        </w:trPr>
        <w:tc>
          <w:tcPr>
            <w:tcW w:w="1560" w:type="dxa"/>
            <w:vAlign w:val="center"/>
          </w:tcPr>
          <w:p w14:paraId="43E69BF1">
            <w:pPr>
              <w:spacing w:line="320" w:lineRule="exact"/>
              <w:jc w:val="center"/>
              <w:rPr>
                <w:rFonts w:ascii="Times New Roman"/>
                <w:sz w:val="21"/>
                <w:szCs w:val="21"/>
              </w:rPr>
            </w:pPr>
            <w:r>
              <w:rPr>
                <w:rFonts w:hint="eastAsia" w:ascii="Times New Roman"/>
                <w:sz w:val="21"/>
                <w:szCs w:val="21"/>
              </w:rPr>
              <w:t>DA007</w:t>
            </w:r>
          </w:p>
        </w:tc>
        <w:tc>
          <w:tcPr>
            <w:tcW w:w="1417" w:type="dxa"/>
            <w:vAlign w:val="center"/>
          </w:tcPr>
          <w:p w14:paraId="44A0D22E">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7C19C394">
            <w:pPr>
              <w:spacing w:line="320" w:lineRule="exact"/>
              <w:jc w:val="center"/>
              <w:rPr>
                <w:rFonts w:ascii="Times New Roman"/>
                <w:sz w:val="21"/>
                <w:szCs w:val="21"/>
              </w:rPr>
            </w:pPr>
            <w:r>
              <w:rPr>
                <w:rFonts w:ascii="Times New Roman"/>
                <w:sz w:val="21"/>
                <w:szCs w:val="21"/>
              </w:rPr>
              <w:t>450.0</w:t>
            </w:r>
          </w:p>
        </w:tc>
        <w:tc>
          <w:tcPr>
            <w:tcW w:w="1418" w:type="dxa"/>
            <w:vAlign w:val="center"/>
          </w:tcPr>
          <w:p w14:paraId="56A31CDC">
            <w:pPr>
              <w:jc w:val="center"/>
              <w:rPr>
                <w:rFonts w:ascii="Times New Roman"/>
                <w:sz w:val="21"/>
                <w:szCs w:val="21"/>
              </w:rPr>
            </w:pPr>
            <w:r>
              <w:rPr>
                <w:rFonts w:hint="eastAsia" w:ascii="Times New Roman"/>
                <w:sz w:val="21"/>
                <w:szCs w:val="21"/>
              </w:rPr>
              <w:t>3.7099</w:t>
            </w:r>
          </w:p>
        </w:tc>
        <w:tc>
          <w:tcPr>
            <w:tcW w:w="1134" w:type="dxa"/>
            <w:vAlign w:val="center"/>
          </w:tcPr>
          <w:p w14:paraId="2E3FE914">
            <w:pPr>
              <w:jc w:val="center"/>
              <w:rPr>
                <w:rFonts w:ascii="Times New Roman"/>
                <w:sz w:val="21"/>
                <w:szCs w:val="21"/>
              </w:rPr>
            </w:pPr>
            <w:r>
              <w:rPr>
                <w:rFonts w:hint="eastAsia" w:ascii="Times New Roman"/>
                <w:sz w:val="21"/>
                <w:szCs w:val="21"/>
              </w:rPr>
              <w:t>0.82</w:t>
            </w:r>
          </w:p>
        </w:tc>
        <w:tc>
          <w:tcPr>
            <w:tcW w:w="1065" w:type="dxa"/>
            <w:vAlign w:val="center"/>
          </w:tcPr>
          <w:p w14:paraId="07BFD187">
            <w:pPr>
              <w:spacing w:line="320" w:lineRule="exact"/>
              <w:jc w:val="center"/>
              <w:rPr>
                <w:rFonts w:ascii="Times New Roman"/>
                <w:sz w:val="21"/>
                <w:szCs w:val="21"/>
              </w:rPr>
            </w:pPr>
            <w:r>
              <w:rPr>
                <w:rFonts w:ascii="Times New Roman"/>
                <w:sz w:val="21"/>
                <w:szCs w:val="21"/>
              </w:rPr>
              <w:t>/</w:t>
            </w:r>
          </w:p>
        </w:tc>
      </w:tr>
      <w:tr w14:paraId="23F2336E">
        <w:tblPrEx>
          <w:tblCellMar>
            <w:top w:w="0" w:type="dxa"/>
            <w:left w:w="108" w:type="dxa"/>
            <w:bottom w:w="0" w:type="dxa"/>
            <w:right w:w="108" w:type="dxa"/>
          </w:tblCellMar>
        </w:tblPrEx>
        <w:trPr>
          <w:trHeight w:val="363" w:hRule="atLeast"/>
          <w:jc w:val="center"/>
        </w:trPr>
        <w:tc>
          <w:tcPr>
            <w:tcW w:w="1560" w:type="dxa"/>
            <w:vAlign w:val="center"/>
          </w:tcPr>
          <w:p w14:paraId="25D80CC8">
            <w:pPr>
              <w:spacing w:line="320" w:lineRule="exact"/>
              <w:jc w:val="center"/>
              <w:rPr>
                <w:rFonts w:ascii="Times New Roman"/>
                <w:sz w:val="21"/>
                <w:szCs w:val="21"/>
              </w:rPr>
            </w:pPr>
            <w:r>
              <w:rPr>
                <w:rFonts w:hint="eastAsia" w:ascii="Times New Roman"/>
                <w:sz w:val="21"/>
                <w:szCs w:val="21"/>
              </w:rPr>
              <w:t>DA008</w:t>
            </w:r>
          </w:p>
        </w:tc>
        <w:tc>
          <w:tcPr>
            <w:tcW w:w="1417" w:type="dxa"/>
            <w:vAlign w:val="center"/>
          </w:tcPr>
          <w:p w14:paraId="3B07BD82">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59E6B489">
            <w:pPr>
              <w:spacing w:line="320" w:lineRule="exact"/>
              <w:jc w:val="center"/>
              <w:rPr>
                <w:rFonts w:ascii="Times New Roman"/>
                <w:sz w:val="21"/>
                <w:szCs w:val="21"/>
              </w:rPr>
            </w:pPr>
            <w:r>
              <w:rPr>
                <w:rFonts w:ascii="Times New Roman"/>
                <w:sz w:val="21"/>
                <w:szCs w:val="21"/>
              </w:rPr>
              <w:t>450.0</w:t>
            </w:r>
          </w:p>
        </w:tc>
        <w:tc>
          <w:tcPr>
            <w:tcW w:w="1418" w:type="dxa"/>
            <w:vAlign w:val="center"/>
          </w:tcPr>
          <w:p w14:paraId="05A32EC5">
            <w:pPr>
              <w:jc w:val="center"/>
              <w:rPr>
                <w:rFonts w:ascii="Times New Roman"/>
                <w:sz w:val="21"/>
                <w:szCs w:val="21"/>
              </w:rPr>
            </w:pPr>
            <w:r>
              <w:rPr>
                <w:rFonts w:hint="eastAsia" w:ascii="Times New Roman"/>
                <w:sz w:val="21"/>
                <w:szCs w:val="21"/>
              </w:rPr>
              <w:t>6.8014</w:t>
            </w:r>
          </w:p>
        </w:tc>
        <w:tc>
          <w:tcPr>
            <w:tcW w:w="1134" w:type="dxa"/>
            <w:vAlign w:val="center"/>
          </w:tcPr>
          <w:p w14:paraId="7C4C5F35">
            <w:pPr>
              <w:jc w:val="center"/>
              <w:rPr>
                <w:rFonts w:ascii="Times New Roman"/>
                <w:sz w:val="21"/>
                <w:szCs w:val="21"/>
              </w:rPr>
            </w:pPr>
            <w:r>
              <w:rPr>
                <w:rFonts w:hint="eastAsia" w:ascii="Times New Roman"/>
                <w:sz w:val="21"/>
                <w:szCs w:val="21"/>
              </w:rPr>
              <w:t>1.51</w:t>
            </w:r>
          </w:p>
        </w:tc>
        <w:tc>
          <w:tcPr>
            <w:tcW w:w="1065" w:type="dxa"/>
            <w:vAlign w:val="center"/>
          </w:tcPr>
          <w:p w14:paraId="2BD5FD81">
            <w:pPr>
              <w:spacing w:line="320" w:lineRule="exact"/>
              <w:jc w:val="center"/>
              <w:rPr>
                <w:rFonts w:ascii="Times New Roman"/>
                <w:sz w:val="21"/>
                <w:szCs w:val="21"/>
              </w:rPr>
            </w:pPr>
            <w:r>
              <w:rPr>
                <w:rFonts w:ascii="Times New Roman"/>
                <w:sz w:val="21"/>
                <w:szCs w:val="21"/>
              </w:rPr>
              <w:t>/</w:t>
            </w:r>
          </w:p>
        </w:tc>
      </w:tr>
      <w:tr w14:paraId="074B1860">
        <w:tblPrEx>
          <w:tblCellMar>
            <w:top w:w="0" w:type="dxa"/>
            <w:left w:w="108" w:type="dxa"/>
            <w:bottom w:w="0" w:type="dxa"/>
            <w:right w:w="108" w:type="dxa"/>
          </w:tblCellMar>
        </w:tblPrEx>
        <w:trPr>
          <w:trHeight w:val="363" w:hRule="atLeast"/>
          <w:jc w:val="center"/>
        </w:trPr>
        <w:tc>
          <w:tcPr>
            <w:tcW w:w="1560" w:type="dxa"/>
            <w:vMerge w:val="restart"/>
            <w:vAlign w:val="center"/>
          </w:tcPr>
          <w:p w14:paraId="2EA70303">
            <w:pPr>
              <w:spacing w:line="320" w:lineRule="exact"/>
              <w:jc w:val="center"/>
              <w:rPr>
                <w:rFonts w:ascii="Times New Roman"/>
                <w:sz w:val="21"/>
                <w:szCs w:val="21"/>
                <w:highlight w:val="yellow"/>
              </w:rPr>
            </w:pPr>
            <w:r>
              <w:rPr>
                <w:rFonts w:hint="eastAsia" w:ascii="Times New Roman"/>
                <w:sz w:val="21"/>
                <w:szCs w:val="21"/>
              </w:rPr>
              <w:t>DA009</w:t>
            </w:r>
          </w:p>
        </w:tc>
        <w:tc>
          <w:tcPr>
            <w:tcW w:w="1417" w:type="dxa"/>
            <w:vAlign w:val="center"/>
          </w:tcPr>
          <w:p w14:paraId="36CC7EB5">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37CC167C">
            <w:pPr>
              <w:spacing w:line="320" w:lineRule="exact"/>
              <w:jc w:val="center"/>
              <w:rPr>
                <w:rFonts w:ascii="Times New Roman"/>
                <w:sz w:val="21"/>
                <w:szCs w:val="21"/>
              </w:rPr>
            </w:pPr>
            <w:r>
              <w:rPr>
                <w:rFonts w:ascii="Times New Roman"/>
                <w:sz w:val="21"/>
                <w:szCs w:val="21"/>
              </w:rPr>
              <w:t>450.0</w:t>
            </w:r>
          </w:p>
        </w:tc>
        <w:tc>
          <w:tcPr>
            <w:tcW w:w="1418" w:type="dxa"/>
            <w:vAlign w:val="center"/>
          </w:tcPr>
          <w:p w14:paraId="41075093">
            <w:pPr>
              <w:jc w:val="center"/>
              <w:rPr>
                <w:rFonts w:ascii="Times New Roman"/>
                <w:sz w:val="21"/>
                <w:szCs w:val="21"/>
              </w:rPr>
            </w:pPr>
            <w:r>
              <w:rPr>
                <w:rFonts w:hint="eastAsia" w:ascii="Times New Roman"/>
                <w:sz w:val="21"/>
                <w:szCs w:val="21"/>
              </w:rPr>
              <w:t>6.9505</w:t>
            </w:r>
          </w:p>
        </w:tc>
        <w:tc>
          <w:tcPr>
            <w:tcW w:w="1134" w:type="dxa"/>
            <w:vAlign w:val="center"/>
          </w:tcPr>
          <w:p w14:paraId="60729E0A">
            <w:pPr>
              <w:jc w:val="center"/>
              <w:rPr>
                <w:rFonts w:ascii="Times New Roman"/>
                <w:sz w:val="21"/>
                <w:szCs w:val="21"/>
              </w:rPr>
            </w:pPr>
            <w:r>
              <w:rPr>
                <w:rFonts w:hint="eastAsia" w:ascii="Times New Roman"/>
                <w:sz w:val="21"/>
                <w:szCs w:val="21"/>
              </w:rPr>
              <w:t>1.54</w:t>
            </w:r>
          </w:p>
        </w:tc>
        <w:tc>
          <w:tcPr>
            <w:tcW w:w="1065" w:type="dxa"/>
            <w:vAlign w:val="center"/>
          </w:tcPr>
          <w:p w14:paraId="1AF0FA2F">
            <w:pPr>
              <w:spacing w:line="320" w:lineRule="exact"/>
              <w:jc w:val="center"/>
              <w:rPr>
                <w:rFonts w:ascii="Times New Roman"/>
                <w:sz w:val="21"/>
                <w:szCs w:val="21"/>
              </w:rPr>
            </w:pPr>
            <w:r>
              <w:rPr>
                <w:rFonts w:ascii="Times New Roman"/>
                <w:sz w:val="21"/>
                <w:szCs w:val="21"/>
              </w:rPr>
              <w:t>/</w:t>
            </w:r>
          </w:p>
        </w:tc>
      </w:tr>
      <w:tr w14:paraId="7ECC2884">
        <w:tblPrEx>
          <w:tblCellMar>
            <w:top w:w="0" w:type="dxa"/>
            <w:left w:w="108" w:type="dxa"/>
            <w:bottom w:w="0" w:type="dxa"/>
            <w:right w:w="108" w:type="dxa"/>
          </w:tblCellMar>
        </w:tblPrEx>
        <w:trPr>
          <w:trHeight w:val="363" w:hRule="atLeast"/>
          <w:jc w:val="center"/>
        </w:trPr>
        <w:tc>
          <w:tcPr>
            <w:tcW w:w="1560" w:type="dxa"/>
            <w:vMerge w:val="continue"/>
            <w:vAlign w:val="center"/>
          </w:tcPr>
          <w:p w14:paraId="72C1AE83">
            <w:pPr>
              <w:spacing w:line="320" w:lineRule="exact"/>
              <w:jc w:val="center"/>
              <w:rPr>
                <w:rFonts w:ascii="Times New Roman"/>
                <w:sz w:val="21"/>
                <w:szCs w:val="21"/>
                <w:highlight w:val="yellow"/>
              </w:rPr>
            </w:pPr>
          </w:p>
        </w:tc>
        <w:tc>
          <w:tcPr>
            <w:tcW w:w="1417" w:type="dxa"/>
            <w:vAlign w:val="center"/>
          </w:tcPr>
          <w:p w14:paraId="2751DB7F">
            <w:pPr>
              <w:spacing w:line="32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701" w:type="dxa"/>
            <w:vAlign w:val="center"/>
          </w:tcPr>
          <w:p w14:paraId="1DCBAB36">
            <w:pPr>
              <w:spacing w:line="320" w:lineRule="exact"/>
              <w:jc w:val="center"/>
              <w:rPr>
                <w:rFonts w:ascii="Times New Roman"/>
                <w:sz w:val="21"/>
                <w:szCs w:val="21"/>
              </w:rPr>
            </w:pPr>
            <w:r>
              <w:rPr>
                <w:rFonts w:ascii="Times New Roman"/>
                <w:sz w:val="21"/>
                <w:szCs w:val="21"/>
              </w:rPr>
              <w:t>500.0</w:t>
            </w:r>
          </w:p>
        </w:tc>
        <w:tc>
          <w:tcPr>
            <w:tcW w:w="1418" w:type="dxa"/>
            <w:vAlign w:val="center"/>
          </w:tcPr>
          <w:p w14:paraId="58CF4840">
            <w:pPr>
              <w:jc w:val="center"/>
              <w:rPr>
                <w:rFonts w:ascii="Times New Roman"/>
                <w:sz w:val="21"/>
                <w:szCs w:val="21"/>
              </w:rPr>
            </w:pPr>
            <w:r>
              <w:rPr>
                <w:rFonts w:hint="eastAsia" w:ascii="Times New Roman"/>
                <w:sz w:val="21"/>
                <w:szCs w:val="21"/>
              </w:rPr>
              <w:t>0.0192</w:t>
            </w:r>
          </w:p>
        </w:tc>
        <w:tc>
          <w:tcPr>
            <w:tcW w:w="1134" w:type="dxa"/>
            <w:vAlign w:val="center"/>
          </w:tcPr>
          <w:p w14:paraId="1FFC2593">
            <w:pPr>
              <w:jc w:val="center"/>
              <w:rPr>
                <w:rFonts w:ascii="Times New Roman"/>
                <w:sz w:val="21"/>
                <w:szCs w:val="21"/>
              </w:rPr>
            </w:pPr>
            <w:r>
              <w:rPr>
                <w:rFonts w:hint="eastAsia" w:ascii="Times New Roman"/>
                <w:sz w:val="21"/>
                <w:szCs w:val="21"/>
              </w:rPr>
              <w:t>0.00</w:t>
            </w:r>
          </w:p>
        </w:tc>
        <w:tc>
          <w:tcPr>
            <w:tcW w:w="1065" w:type="dxa"/>
            <w:vAlign w:val="center"/>
          </w:tcPr>
          <w:p w14:paraId="595B6A21">
            <w:pPr>
              <w:spacing w:line="320" w:lineRule="exact"/>
              <w:jc w:val="center"/>
              <w:rPr>
                <w:rFonts w:ascii="Times New Roman"/>
                <w:sz w:val="21"/>
                <w:szCs w:val="21"/>
              </w:rPr>
            </w:pPr>
            <w:r>
              <w:rPr>
                <w:rFonts w:ascii="Times New Roman"/>
                <w:sz w:val="21"/>
                <w:szCs w:val="21"/>
              </w:rPr>
              <w:t>/</w:t>
            </w:r>
          </w:p>
        </w:tc>
      </w:tr>
      <w:tr w14:paraId="4A44DCD5">
        <w:tblPrEx>
          <w:tblCellMar>
            <w:top w:w="0" w:type="dxa"/>
            <w:left w:w="108" w:type="dxa"/>
            <w:bottom w:w="0" w:type="dxa"/>
            <w:right w:w="108" w:type="dxa"/>
          </w:tblCellMar>
        </w:tblPrEx>
        <w:trPr>
          <w:trHeight w:val="363" w:hRule="atLeast"/>
          <w:jc w:val="center"/>
        </w:trPr>
        <w:tc>
          <w:tcPr>
            <w:tcW w:w="1560" w:type="dxa"/>
            <w:vMerge w:val="continue"/>
            <w:vAlign w:val="center"/>
          </w:tcPr>
          <w:p w14:paraId="1F1CD4A8">
            <w:pPr>
              <w:spacing w:line="320" w:lineRule="exact"/>
              <w:jc w:val="center"/>
              <w:rPr>
                <w:rFonts w:ascii="Times New Roman"/>
                <w:sz w:val="21"/>
                <w:szCs w:val="21"/>
                <w:highlight w:val="yellow"/>
              </w:rPr>
            </w:pPr>
          </w:p>
        </w:tc>
        <w:tc>
          <w:tcPr>
            <w:tcW w:w="1417" w:type="dxa"/>
            <w:vAlign w:val="center"/>
          </w:tcPr>
          <w:p w14:paraId="06B502C0">
            <w:pPr>
              <w:spacing w:line="320" w:lineRule="exac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701" w:type="dxa"/>
            <w:vAlign w:val="center"/>
          </w:tcPr>
          <w:p w14:paraId="284EDC81">
            <w:pPr>
              <w:spacing w:line="320" w:lineRule="exact"/>
              <w:jc w:val="center"/>
              <w:rPr>
                <w:rFonts w:ascii="Times New Roman"/>
                <w:sz w:val="21"/>
                <w:szCs w:val="21"/>
              </w:rPr>
            </w:pPr>
            <w:r>
              <w:rPr>
                <w:rFonts w:ascii="Times New Roman"/>
                <w:sz w:val="21"/>
                <w:szCs w:val="21"/>
              </w:rPr>
              <w:t>200.0</w:t>
            </w:r>
          </w:p>
        </w:tc>
        <w:tc>
          <w:tcPr>
            <w:tcW w:w="1418" w:type="dxa"/>
            <w:vAlign w:val="center"/>
          </w:tcPr>
          <w:p w14:paraId="662A0768">
            <w:pPr>
              <w:jc w:val="center"/>
              <w:rPr>
                <w:rFonts w:ascii="Times New Roman"/>
                <w:sz w:val="21"/>
                <w:szCs w:val="21"/>
              </w:rPr>
            </w:pPr>
            <w:r>
              <w:rPr>
                <w:rFonts w:hint="eastAsia" w:ascii="Times New Roman"/>
                <w:sz w:val="21"/>
                <w:szCs w:val="21"/>
              </w:rPr>
              <w:t>2.2497</w:t>
            </w:r>
          </w:p>
        </w:tc>
        <w:tc>
          <w:tcPr>
            <w:tcW w:w="1134" w:type="dxa"/>
            <w:vAlign w:val="center"/>
          </w:tcPr>
          <w:p w14:paraId="3C69B182">
            <w:pPr>
              <w:jc w:val="center"/>
              <w:rPr>
                <w:rFonts w:ascii="Times New Roman"/>
                <w:sz w:val="21"/>
                <w:szCs w:val="21"/>
              </w:rPr>
            </w:pPr>
            <w:r>
              <w:rPr>
                <w:rFonts w:hint="eastAsia" w:ascii="Times New Roman"/>
                <w:sz w:val="21"/>
                <w:szCs w:val="21"/>
              </w:rPr>
              <w:t>1.12</w:t>
            </w:r>
          </w:p>
        </w:tc>
        <w:tc>
          <w:tcPr>
            <w:tcW w:w="1065" w:type="dxa"/>
            <w:vAlign w:val="center"/>
          </w:tcPr>
          <w:p w14:paraId="58846883">
            <w:pPr>
              <w:spacing w:line="320" w:lineRule="exact"/>
              <w:jc w:val="center"/>
              <w:rPr>
                <w:rFonts w:ascii="Times New Roman"/>
                <w:sz w:val="21"/>
                <w:szCs w:val="21"/>
              </w:rPr>
            </w:pPr>
            <w:r>
              <w:rPr>
                <w:rFonts w:ascii="Times New Roman"/>
                <w:sz w:val="21"/>
                <w:szCs w:val="21"/>
              </w:rPr>
              <w:t>/</w:t>
            </w:r>
          </w:p>
        </w:tc>
      </w:tr>
      <w:tr w14:paraId="42A40040">
        <w:tblPrEx>
          <w:tblCellMar>
            <w:top w:w="0" w:type="dxa"/>
            <w:left w:w="108" w:type="dxa"/>
            <w:bottom w:w="0" w:type="dxa"/>
            <w:right w:w="108" w:type="dxa"/>
          </w:tblCellMar>
        </w:tblPrEx>
        <w:trPr>
          <w:trHeight w:val="363" w:hRule="atLeast"/>
          <w:jc w:val="center"/>
        </w:trPr>
        <w:tc>
          <w:tcPr>
            <w:tcW w:w="1560" w:type="dxa"/>
            <w:vMerge w:val="continue"/>
            <w:vAlign w:val="center"/>
          </w:tcPr>
          <w:p w14:paraId="2F5C1BB0">
            <w:pPr>
              <w:spacing w:line="320" w:lineRule="exact"/>
              <w:jc w:val="center"/>
              <w:rPr>
                <w:rFonts w:ascii="Times New Roman"/>
                <w:sz w:val="21"/>
                <w:szCs w:val="21"/>
                <w:highlight w:val="yellow"/>
              </w:rPr>
            </w:pPr>
          </w:p>
        </w:tc>
        <w:tc>
          <w:tcPr>
            <w:tcW w:w="1417" w:type="dxa"/>
            <w:vAlign w:val="center"/>
          </w:tcPr>
          <w:p w14:paraId="7BEF0935">
            <w:pPr>
              <w:spacing w:line="320" w:lineRule="exact"/>
              <w:jc w:val="center"/>
              <w:rPr>
                <w:rFonts w:ascii="Times New Roman"/>
                <w:sz w:val="21"/>
                <w:szCs w:val="21"/>
              </w:rPr>
            </w:pPr>
            <w:r>
              <w:rPr>
                <w:rFonts w:ascii="Times New Roman"/>
                <w:sz w:val="21"/>
                <w:szCs w:val="21"/>
              </w:rPr>
              <w:t>非甲烷总烃</w:t>
            </w:r>
          </w:p>
        </w:tc>
        <w:tc>
          <w:tcPr>
            <w:tcW w:w="1701" w:type="dxa"/>
            <w:vAlign w:val="center"/>
          </w:tcPr>
          <w:p w14:paraId="4B7B8BA0">
            <w:pPr>
              <w:spacing w:line="320" w:lineRule="exact"/>
              <w:jc w:val="center"/>
              <w:rPr>
                <w:rFonts w:ascii="Times New Roman"/>
                <w:sz w:val="21"/>
                <w:szCs w:val="21"/>
              </w:rPr>
            </w:pPr>
            <w:r>
              <w:rPr>
                <w:rFonts w:ascii="Times New Roman"/>
                <w:sz w:val="21"/>
                <w:szCs w:val="21"/>
              </w:rPr>
              <w:t>2000.0</w:t>
            </w:r>
          </w:p>
        </w:tc>
        <w:tc>
          <w:tcPr>
            <w:tcW w:w="1418" w:type="dxa"/>
            <w:shd w:val="clear" w:color="auto" w:fill="auto"/>
            <w:vAlign w:val="center"/>
          </w:tcPr>
          <w:p w14:paraId="7BF7D99A">
            <w:pPr>
              <w:jc w:val="center"/>
              <w:rPr>
                <w:rFonts w:ascii="Times New Roman"/>
                <w:sz w:val="21"/>
                <w:szCs w:val="21"/>
              </w:rPr>
            </w:pPr>
            <w:r>
              <w:rPr>
                <w:rFonts w:hint="eastAsia" w:ascii="Times New Roman"/>
                <w:sz w:val="21"/>
                <w:szCs w:val="21"/>
              </w:rPr>
              <w:t>11.0853</w:t>
            </w:r>
          </w:p>
        </w:tc>
        <w:tc>
          <w:tcPr>
            <w:tcW w:w="1134" w:type="dxa"/>
            <w:shd w:val="clear" w:color="auto" w:fill="auto"/>
            <w:vAlign w:val="center"/>
          </w:tcPr>
          <w:p w14:paraId="08114073">
            <w:pPr>
              <w:jc w:val="center"/>
              <w:rPr>
                <w:rFonts w:ascii="Times New Roman"/>
                <w:sz w:val="21"/>
                <w:szCs w:val="21"/>
              </w:rPr>
            </w:pPr>
            <w:r>
              <w:rPr>
                <w:rFonts w:hint="eastAsia" w:ascii="Times New Roman"/>
                <w:sz w:val="21"/>
                <w:szCs w:val="21"/>
              </w:rPr>
              <w:t xml:space="preserve">0.55 </w:t>
            </w:r>
          </w:p>
        </w:tc>
        <w:tc>
          <w:tcPr>
            <w:tcW w:w="1065" w:type="dxa"/>
            <w:vAlign w:val="center"/>
          </w:tcPr>
          <w:p w14:paraId="7E5B26C0">
            <w:pPr>
              <w:spacing w:line="320" w:lineRule="exact"/>
              <w:jc w:val="center"/>
              <w:rPr>
                <w:rFonts w:ascii="Times New Roman"/>
                <w:sz w:val="21"/>
                <w:szCs w:val="21"/>
              </w:rPr>
            </w:pPr>
            <w:r>
              <w:rPr>
                <w:rFonts w:ascii="Times New Roman"/>
                <w:sz w:val="21"/>
                <w:szCs w:val="21"/>
              </w:rPr>
              <w:t>/</w:t>
            </w:r>
          </w:p>
        </w:tc>
      </w:tr>
      <w:tr w14:paraId="1923461E">
        <w:tblPrEx>
          <w:tblCellMar>
            <w:top w:w="0" w:type="dxa"/>
            <w:left w:w="108" w:type="dxa"/>
            <w:bottom w:w="0" w:type="dxa"/>
            <w:right w:w="108" w:type="dxa"/>
          </w:tblCellMar>
        </w:tblPrEx>
        <w:trPr>
          <w:trHeight w:val="90" w:hRule="atLeast"/>
          <w:jc w:val="center"/>
        </w:trPr>
        <w:tc>
          <w:tcPr>
            <w:tcW w:w="1560" w:type="dxa"/>
            <w:vMerge w:val="continue"/>
            <w:vAlign w:val="center"/>
          </w:tcPr>
          <w:p w14:paraId="359B33BE">
            <w:pPr>
              <w:spacing w:line="320" w:lineRule="exact"/>
              <w:jc w:val="center"/>
              <w:rPr>
                <w:rFonts w:ascii="Times New Roman"/>
                <w:sz w:val="21"/>
                <w:szCs w:val="21"/>
                <w:highlight w:val="yellow"/>
              </w:rPr>
            </w:pPr>
          </w:p>
        </w:tc>
        <w:tc>
          <w:tcPr>
            <w:tcW w:w="1417" w:type="dxa"/>
            <w:vAlign w:val="center"/>
          </w:tcPr>
          <w:p w14:paraId="1C2F4092">
            <w:pPr>
              <w:spacing w:line="320" w:lineRule="exact"/>
              <w:jc w:val="center"/>
              <w:rPr>
                <w:rFonts w:ascii="Times New Roman"/>
                <w:sz w:val="21"/>
                <w:szCs w:val="21"/>
              </w:rPr>
            </w:pPr>
            <w:r>
              <w:rPr>
                <w:rFonts w:ascii="Times New Roman"/>
                <w:sz w:val="21"/>
                <w:szCs w:val="21"/>
              </w:rPr>
              <w:t>二甲苯</w:t>
            </w:r>
          </w:p>
        </w:tc>
        <w:tc>
          <w:tcPr>
            <w:tcW w:w="1701" w:type="dxa"/>
            <w:vAlign w:val="center"/>
          </w:tcPr>
          <w:p w14:paraId="113D8CEB">
            <w:pPr>
              <w:spacing w:line="320" w:lineRule="exact"/>
              <w:jc w:val="center"/>
              <w:rPr>
                <w:rFonts w:ascii="Times New Roman"/>
                <w:sz w:val="21"/>
                <w:szCs w:val="21"/>
              </w:rPr>
            </w:pPr>
            <w:r>
              <w:rPr>
                <w:rFonts w:ascii="Times New Roman"/>
                <w:sz w:val="21"/>
                <w:szCs w:val="21"/>
              </w:rPr>
              <w:t>200.0</w:t>
            </w:r>
          </w:p>
        </w:tc>
        <w:tc>
          <w:tcPr>
            <w:tcW w:w="1418" w:type="dxa"/>
            <w:vAlign w:val="center"/>
          </w:tcPr>
          <w:p w14:paraId="2F8B3388">
            <w:pPr>
              <w:jc w:val="center"/>
              <w:rPr>
                <w:rFonts w:ascii="Times New Roman"/>
                <w:sz w:val="21"/>
                <w:szCs w:val="21"/>
              </w:rPr>
            </w:pPr>
            <w:r>
              <w:rPr>
                <w:rFonts w:hint="eastAsia" w:ascii="Times New Roman"/>
                <w:sz w:val="21"/>
                <w:szCs w:val="21"/>
              </w:rPr>
              <w:t>3.0555</w:t>
            </w:r>
          </w:p>
        </w:tc>
        <w:tc>
          <w:tcPr>
            <w:tcW w:w="1134" w:type="dxa"/>
            <w:vAlign w:val="center"/>
          </w:tcPr>
          <w:p w14:paraId="2DA8A7C6">
            <w:pPr>
              <w:jc w:val="center"/>
              <w:rPr>
                <w:rFonts w:ascii="Times New Roman"/>
                <w:sz w:val="21"/>
                <w:szCs w:val="21"/>
              </w:rPr>
            </w:pPr>
            <w:r>
              <w:rPr>
                <w:rFonts w:ascii="Times New Roman"/>
                <w:sz w:val="21"/>
                <w:szCs w:val="21"/>
              </w:rPr>
              <w:t>1.5</w:t>
            </w:r>
            <w:r>
              <w:rPr>
                <w:rFonts w:hint="eastAsia" w:ascii="Times New Roman"/>
                <w:sz w:val="21"/>
                <w:szCs w:val="21"/>
              </w:rPr>
              <w:t>3</w:t>
            </w:r>
          </w:p>
        </w:tc>
        <w:tc>
          <w:tcPr>
            <w:tcW w:w="1065" w:type="dxa"/>
            <w:vAlign w:val="center"/>
          </w:tcPr>
          <w:p w14:paraId="0742FAA2">
            <w:pPr>
              <w:spacing w:line="320" w:lineRule="exact"/>
              <w:jc w:val="center"/>
              <w:rPr>
                <w:rFonts w:ascii="Times New Roman"/>
                <w:sz w:val="21"/>
                <w:szCs w:val="21"/>
              </w:rPr>
            </w:pPr>
            <w:r>
              <w:rPr>
                <w:rFonts w:ascii="Times New Roman"/>
                <w:sz w:val="21"/>
                <w:szCs w:val="21"/>
              </w:rPr>
              <w:t>/</w:t>
            </w:r>
          </w:p>
        </w:tc>
      </w:tr>
      <w:tr w14:paraId="2858B47D">
        <w:tblPrEx>
          <w:tblCellMar>
            <w:top w:w="0" w:type="dxa"/>
            <w:left w:w="108" w:type="dxa"/>
            <w:bottom w:w="0" w:type="dxa"/>
            <w:right w:w="108" w:type="dxa"/>
          </w:tblCellMar>
        </w:tblPrEx>
        <w:trPr>
          <w:trHeight w:val="90" w:hRule="atLeast"/>
          <w:jc w:val="center"/>
        </w:trPr>
        <w:tc>
          <w:tcPr>
            <w:tcW w:w="1560" w:type="dxa"/>
            <w:vAlign w:val="center"/>
          </w:tcPr>
          <w:p w14:paraId="156728AC">
            <w:pPr>
              <w:spacing w:line="320" w:lineRule="exact"/>
              <w:jc w:val="center"/>
              <w:rPr>
                <w:rFonts w:ascii="Times New Roman"/>
                <w:sz w:val="21"/>
                <w:szCs w:val="21"/>
                <w:highlight w:val="yellow"/>
              </w:rPr>
            </w:pPr>
            <w:r>
              <w:rPr>
                <w:rFonts w:hint="eastAsia" w:ascii="Times New Roman"/>
                <w:sz w:val="21"/>
                <w:szCs w:val="21"/>
              </w:rPr>
              <w:t>DA010</w:t>
            </w:r>
          </w:p>
        </w:tc>
        <w:tc>
          <w:tcPr>
            <w:tcW w:w="1417" w:type="dxa"/>
            <w:vAlign w:val="center"/>
          </w:tcPr>
          <w:p w14:paraId="70177F30">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vAlign w:val="center"/>
          </w:tcPr>
          <w:p w14:paraId="4DD237FA">
            <w:pPr>
              <w:spacing w:line="320" w:lineRule="exact"/>
              <w:jc w:val="center"/>
              <w:rPr>
                <w:rFonts w:ascii="Times New Roman"/>
                <w:sz w:val="21"/>
                <w:szCs w:val="21"/>
              </w:rPr>
            </w:pPr>
            <w:r>
              <w:rPr>
                <w:rFonts w:ascii="Times New Roman"/>
                <w:sz w:val="21"/>
                <w:szCs w:val="21"/>
              </w:rPr>
              <w:t>450.0</w:t>
            </w:r>
          </w:p>
        </w:tc>
        <w:tc>
          <w:tcPr>
            <w:tcW w:w="1418" w:type="dxa"/>
            <w:vAlign w:val="center"/>
          </w:tcPr>
          <w:p w14:paraId="1DBBFEB1">
            <w:pPr>
              <w:jc w:val="center"/>
              <w:rPr>
                <w:rFonts w:ascii="Times New Roman"/>
                <w:sz w:val="21"/>
                <w:szCs w:val="21"/>
              </w:rPr>
            </w:pPr>
            <w:r>
              <w:rPr>
                <w:rFonts w:hint="eastAsia" w:ascii="Times New Roman"/>
                <w:sz w:val="21"/>
                <w:szCs w:val="21"/>
              </w:rPr>
              <w:t>4.7404</w:t>
            </w:r>
          </w:p>
        </w:tc>
        <w:tc>
          <w:tcPr>
            <w:tcW w:w="1134" w:type="dxa"/>
            <w:vAlign w:val="center"/>
          </w:tcPr>
          <w:p w14:paraId="1418652E">
            <w:pPr>
              <w:jc w:val="center"/>
              <w:rPr>
                <w:rFonts w:ascii="Times New Roman"/>
                <w:sz w:val="21"/>
                <w:szCs w:val="21"/>
              </w:rPr>
            </w:pPr>
            <w:r>
              <w:rPr>
                <w:rFonts w:hint="eastAsia" w:ascii="Times New Roman"/>
                <w:sz w:val="21"/>
                <w:szCs w:val="21"/>
              </w:rPr>
              <w:t>1.05</w:t>
            </w:r>
          </w:p>
        </w:tc>
        <w:tc>
          <w:tcPr>
            <w:tcW w:w="1065" w:type="dxa"/>
            <w:vAlign w:val="center"/>
          </w:tcPr>
          <w:p w14:paraId="294F0973">
            <w:pPr>
              <w:spacing w:line="320" w:lineRule="exact"/>
              <w:jc w:val="center"/>
              <w:rPr>
                <w:rFonts w:ascii="Times New Roman"/>
                <w:sz w:val="21"/>
                <w:szCs w:val="21"/>
              </w:rPr>
            </w:pPr>
            <w:r>
              <w:rPr>
                <w:rFonts w:ascii="Times New Roman"/>
                <w:sz w:val="21"/>
                <w:szCs w:val="21"/>
              </w:rPr>
              <w:t>/</w:t>
            </w:r>
          </w:p>
        </w:tc>
      </w:tr>
      <w:tr w14:paraId="6375BBAC">
        <w:tblPrEx>
          <w:tblCellMar>
            <w:top w:w="0" w:type="dxa"/>
            <w:left w:w="108" w:type="dxa"/>
            <w:bottom w:w="0" w:type="dxa"/>
            <w:right w:w="108" w:type="dxa"/>
          </w:tblCellMar>
        </w:tblPrEx>
        <w:trPr>
          <w:trHeight w:val="90" w:hRule="atLeast"/>
          <w:jc w:val="center"/>
        </w:trPr>
        <w:tc>
          <w:tcPr>
            <w:tcW w:w="1560" w:type="dxa"/>
            <w:vMerge w:val="restart"/>
            <w:shd w:val="clear" w:color="auto" w:fill="auto"/>
            <w:vAlign w:val="center"/>
          </w:tcPr>
          <w:p w14:paraId="1853C357">
            <w:pPr>
              <w:spacing w:line="320" w:lineRule="exact"/>
              <w:jc w:val="center"/>
              <w:rPr>
                <w:rFonts w:ascii="Times New Roman"/>
                <w:sz w:val="21"/>
                <w:szCs w:val="21"/>
                <w:highlight w:val="yellow"/>
              </w:rPr>
            </w:pPr>
            <w:r>
              <w:rPr>
                <w:rFonts w:hint="eastAsia" w:ascii="Times New Roman"/>
                <w:sz w:val="21"/>
                <w:szCs w:val="21"/>
              </w:rPr>
              <w:t>DA011</w:t>
            </w:r>
          </w:p>
        </w:tc>
        <w:tc>
          <w:tcPr>
            <w:tcW w:w="1417" w:type="dxa"/>
            <w:shd w:val="clear" w:color="auto" w:fill="auto"/>
            <w:vAlign w:val="center"/>
          </w:tcPr>
          <w:p w14:paraId="7B2EE28D">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701" w:type="dxa"/>
            <w:shd w:val="clear" w:color="auto" w:fill="auto"/>
            <w:vAlign w:val="center"/>
          </w:tcPr>
          <w:p w14:paraId="088A3E10">
            <w:pPr>
              <w:spacing w:line="320" w:lineRule="exact"/>
              <w:jc w:val="center"/>
              <w:rPr>
                <w:rFonts w:ascii="Times New Roman"/>
                <w:sz w:val="21"/>
                <w:szCs w:val="21"/>
              </w:rPr>
            </w:pPr>
            <w:r>
              <w:rPr>
                <w:rFonts w:ascii="Times New Roman"/>
                <w:sz w:val="21"/>
                <w:szCs w:val="21"/>
              </w:rPr>
              <w:t>450.0</w:t>
            </w:r>
          </w:p>
        </w:tc>
        <w:tc>
          <w:tcPr>
            <w:tcW w:w="1418" w:type="dxa"/>
            <w:shd w:val="clear" w:color="auto" w:fill="auto"/>
            <w:vAlign w:val="center"/>
          </w:tcPr>
          <w:p w14:paraId="62B4B821">
            <w:pPr>
              <w:jc w:val="center"/>
              <w:rPr>
                <w:rFonts w:ascii="Times New Roman"/>
                <w:sz w:val="21"/>
                <w:szCs w:val="21"/>
              </w:rPr>
            </w:pPr>
            <w:r>
              <w:rPr>
                <w:rFonts w:hint="eastAsia" w:ascii="Times New Roman"/>
                <w:sz w:val="21"/>
                <w:szCs w:val="21"/>
              </w:rPr>
              <w:t>0.3048</w:t>
            </w:r>
          </w:p>
        </w:tc>
        <w:tc>
          <w:tcPr>
            <w:tcW w:w="1134" w:type="dxa"/>
            <w:shd w:val="clear" w:color="auto" w:fill="auto"/>
            <w:vAlign w:val="center"/>
          </w:tcPr>
          <w:p w14:paraId="14FAA383">
            <w:pPr>
              <w:jc w:val="center"/>
              <w:rPr>
                <w:rFonts w:ascii="Times New Roman"/>
                <w:sz w:val="21"/>
                <w:szCs w:val="21"/>
              </w:rPr>
            </w:pPr>
            <w:r>
              <w:rPr>
                <w:rFonts w:ascii="Times New Roman"/>
                <w:sz w:val="21"/>
                <w:szCs w:val="21"/>
              </w:rPr>
              <w:t>0.0</w:t>
            </w:r>
            <w:r>
              <w:rPr>
                <w:rFonts w:hint="eastAsia" w:ascii="Times New Roman"/>
                <w:sz w:val="21"/>
                <w:szCs w:val="21"/>
              </w:rPr>
              <w:t>7</w:t>
            </w:r>
          </w:p>
        </w:tc>
        <w:tc>
          <w:tcPr>
            <w:tcW w:w="1065" w:type="dxa"/>
            <w:shd w:val="clear" w:color="auto" w:fill="auto"/>
            <w:vAlign w:val="center"/>
          </w:tcPr>
          <w:p w14:paraId="373F6286">
            <w:pPr>
              <w:spacing w:line="320" w:lineRule="exact"/>
              <w:jc w:val="center"/>
              <w:rPr>
                <w:rFonts w:ascii="Times New Roman"/>
                <w:sz w:val="21"/>
                <w:szCs w:val="21"/>
              </w:rPr>
            </w:pPr>
            <w:r>
              <w:rPr>
                <w:rFonts w:ascii="Times New Roman"/>
                <w:sz w:val="21"/>
                <w:szCs w:val="21"/>
              </w:rPr>
              <w:t>/</w:t>
            </w:r>
          </w:p>
        </w:tc>
      </w:tr>
      <w:tr w14:paraId="1AD8D6FB">
        <w:tblPrEx>
          <w:tblCellMar>
            <w:top w:w="0" w:type="dxa"/>
            <w:left w:w="108" w:type="dxa"/>
            <w:bottom w:w="0" w:type="dxa"/>
            <w:right w:w="108" w:type="dxa"/>
          </w:tblCellMar>
        </w:tblPrEx>
        <w:trPr>
          <w:trHeight w:val="90" w:hRule="atLeast"/>
          <w:jc w:val="center"/>
        </w:trPr>
        <w:tc>
          <w:tcPr>
            <w:tcW w:w="1560" w:type="dxa"/>
            <w:vMerge w:val="continue"/>
            <w:vAlign w:val="center"/>
          </w:tcPr>
          <w:p w14:paraId="16D324DD">
            <w:pPr>
              <w:spacing w:line="320" w:lineRule="exact"/>
              <w:jc w:val="center"/>
              <w:rPr>
                <w:rFonts w:ascii="Times New Roman"/>
                <w:sz w:val="21"/>
                <w:szCs w:val="21"/>
                <w:highlight w:val="yellow"/>
              </w:rPr>
            </w:pPr>
          </w:p>
        </w:tc>
        <w:tc>
          <w:tcPr>
            <w:tcW w:w="1417" w:type="dxa"/>
            <w:shd w:val="clear" w:color="auto" w:fill="auto"/>
            <w:vAlign w:val="center"/>
          </w:tcPr>
          <w:p w14:paraId="2B00488C">
            <w:pPr>
              <w:spacing w:line="32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701" w:type="dxa"/>
            <w:shd w:val="clear" w:color="auto" w:fill="auto"/>
            <w:vAlign w:val="center"/>
          </w:tcPr>
          <w:p w14:paraId="65EED46B">
            <w:pPr>
              <w:spacing w:line="320" w:lineRule="exact"/>
              <w:jc w:val="center"/>
              <w:rPr>
                <w:rFonts w:ascii="Times New Roman"/>
                <w:sz w:val="21"/>
                <w:szCs w:val="21"/>
              </w:rPr>
            </w:pPr>
            <w:r>
              <w:rPr>
                <w:rFonts w:ascii="Times New Roman"/>
                <w:sz w:val="21"/>
                <w:szCs w:val="21"/>
              </w:rPr>
              <w:t>500.0</w:t>
            </w:r>
          </w:p>
        </w:tc>
        <w:tc>
          <w:tcPr>
            <w:tcW w:w="1418" w:type="dxa"/>
            <w:shd w:val="clear" w:color="auto" w:fill="auto"/>
            <w:vAlign w:val="center"/>
          </w:tcPr>
          <w:p w14:paraId="05002714">
            <w:pPr>
              <w:jc w:val="center"/>
              <w:rPr>
                <w:rFonts w:ascii="Times New Roman"/>
                <w:sz w:val="21"/>
                <w:szCs w:val="21"/>
              </w:rPr>
            </w:pPr>
            <w:r>
              <w:rPr>
                <w:rFonts w:hint="eastAsia" w:ascii="Times New Roman"/>
                <w:sz w:val="21"/>
                <w:szCs w:val="21"/>
              </w:rPr>
              <w:t>0.0469</w:t>
            </w:r>
          </w:p>
        </w:tc>
        <w:tc>
          <w:tcPr>
            <w:tcW w:w="1134" w:type="dxa"/>
            <w:shd w:val="clear" w:color="auto" w:fill="auto"/>
            <w:vAlign w:val="center"/>
          </w:tcPr>
          <w:p w14:paraId="3D298AD6">
            <w:pPr>
              <w:jc w:val="center"/>
              <w:rPr>
                <w:rFonts w:ascii="Times New Roman"/>
                <w:sz w:val="21"/>
                <w:szCs w:val="21"/>
              </w:rPr>
            </w:pPr>
            <w:r>
              <w:rPr>
                <w:rFonts w:ascii="Times New Roman"/>
                <w:sz w:val="21"/>
                <w:szCs w:val="21"/>
              </w:rPr>
              <w:t>0.0</w:t>
            </w:r>
            <w:r>
              <w:rPr>
                <w:rFonts w:hint="eastAsia" w:ascii="Times New Roman"/>
                <w:sz w:val="21"/>
                <w:szCs w:val="21"/>
              </w:rPr>
              <w:t>1</w:t>
            </w:r>
          </w:p>
        </w:tc>
        <w:tc>
          <w:tcPr>
            <w:tcW w:w="1065" w:type="dxa"/>
            <w:shd w:val="clear" w:color="auto" w:fill="auto"/>
            <w:vAlign w:val="center"/>
          </w:tcPr>
          <w:p w14:paraId="518E7258">
            <w:pPr>
              <w:spacing w:line="320" w:lineRule="exact"/>
              <w:jc w:val="center"/>
              <w:rPr>
                <w:rFonts w:ascii="Times New Roman"/>
                <w:sz w:val="21"/>
                <w:szCs w:val="21"/>
              </w:rPr>
            </w:pPr>
            <w:r>
              <w:rPr>
                <w:rFonts w:ascii="Times New Roman"/>
                <w:sz w:val="21"/>
                <w:szCs w:val="21"/>
              </w:rPr>
              <w:t>/</w:t>
            </w:r>
          </w:p>
        </w:tc>
      </w:tr>
      <w:tr w14:paraId="0EE84E69">
        <w:tblPrEx>
          <w:tblCellMar>
            <w:top w:w="0" w:type="dxa"/>
            <w:left w:w="108" w:type="dxa"/>
            <w:bottom w:w="0" w:type="dxa"/>
            <w:right w:w="108" w:type="dxa"/>
          </w:tblCellMar>
        </w:tblPrEx>
        <w:trPr>
          <w:trHeight w:val="90" w:hRule="atLeast"/>
          <w:jc w:val="center"/>
        </w:trPr>
        <w:tc>
          <w:tcPr>
            <w:tcW w:w="1560" w:type="dxa"/>
            <w:vMerge w:val="continue"/>
            <w:vAlign w:val="center"/>
          </w:tcPr>
          <w:p w14:paraId="42576833">
            <w:pPr>
              <w:spacing w:line="320" w:lineRule="exact"/>
              <w:jc w:val="center"/>
              <w:rPr>
                <w:rFonts w:ascii="Times New Roman"/>
                <w:sz w:val="21"/>
                <w:szCs w:val="21"/>
                <w:highlight w:val="yellow"/>
              </w:rPr>
            </w:pPr>
          </w:p>
        </w:tc>
        <w:tc>
          <w:tcPr>
            <w:tcW w:w="1417" w:type="dxa"/>
            <w:shd w:val="clear" w:color="auto" w:fill="auto"/>
            <w:vAlign w:val="center"/>
          </w:tcPr>
          <w:p w14:paraId="63B22D53">
            <w:pPr>
              <w:spacing w:line="320" w:lineRule="exac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701" w:type="dxa"/>
            <w:shd w:val="clear" w:color="auto" w:fill="auto"/>
            <w:vAlign w:val="center"/>
          </w:tcPr>
          <w:p w14:paraId="40A4335F">
            <w:pPr>
              <w:spacing w:line="320" w:lineRule="exact"/>
              <w:jc w:val="center"/>
              <w:rPr>
                <w:rFonts w:ascii="Times New Roman"/>
                <w:sz w:val="21"/>
                <w:szCs w:val="21"/>
              </w:rPr>
            </w:pPr>
            <w:r>
              <w:rPr>
                <w:rFonts w:ascii="Times New Roman"/>
                <w:sz w:val="21"/>
                <w:szCs w:val="21"/>
              </w:rPr>
              <w:t>200.0</w:t>
            </w:r>
          </w:p>
        </w:tc>
        <w:tc>
          <w:tcPr>
            <w:tcW w:w="1418" w:type="dxa"/>
            <w:shd w:val="clear" w:color="auto" w:fill="auto"/>
            <w:vAlign w:val="center"/>
          </w:tcPr>
          <w:p w14:paraId="53EF4675">
            <w:pPr>
              <w:jc w:val="center"/>
              <w:rPr>
                <w:rFonts w:ascii="Times New Roman"/>
                <w:sz w:val="21"/>
                <w:szCs w:val="21"/>
              </w:rPr>
            </w:pPr>
            <w:r>
              <w:rPr>
                <w:rFonts w:hint="eastAsia" w:ascii="Times New Roman"/>
                <w:sz w:val="21"/>
                <w:szCs w:val="21"/>
              </w:rPr>
              <w:t>1.0082</w:t>
            </w:r>
          </w:p>
        </w:tc>
        <w:tc>
          <w:tcPr>
            <w:tcW w:w="1134" w:type="dxa"/>
            <w:shd w:val="clear" w:color="auto" w:fill="auto"/>
            <w:vAlign w:val="center"/>
          </w:tcPr>
          <w:p w14:paraId="749ECFA5">
            <w:pPr>
              <w:jc w:val="center"/>
              <w:rPr>
                <w:rFonts w:ascii="Times New Roman"/>
                <w:sz w:val="21"/>
                <w:szCs w:val="21"/>
              </w:rPr>
            </w:pPr>
            <w:r>
              <w:rPr>
                <w:rFonts w:ascii="Times New Roman"/>
                <w:sz w:val="21"/>
                <w:szCs w:val="21"/>
              </w:rPr>
              <w:t>0.</w:t>
            </w:r>
            <w:r>
              <w:rPr>
                <w:rFonts w:hint="eastAsia" w:ascii="Times New Roman"/>
                <w:sz w:val="21"/>
                <w:szCs w:val="21"/>
              </w:rPr>
              <w:t>5</w:t>
            </w:r>
          </w:p>
        </w:tc>
        <w:tc>
          <w:tcPr>
            <w:tcW w:w="1065" w:type="dxa"/>
            <w:shd w:val="clear" w:color="auto" w:fill="auto"/>
            <w:vAlign w:val="center"/>
          </w:tcPr>
          <w:p w14:paraId="0EC952B5">
            <w:pPr>
              <w:spacing w:line="320" w:lineRule="exact"/>
              <w:jc w:val="center"/>
              <w:rPr>
                <w:rFonts w:ascii="Times New Roman"/>
                <w:sz w:val="21"/>
                <w:szCs w:val="21"/>
              </w:rPr>
            </w:pPr>
            <w:r>
              <w:rPr>
                <w:rFonts w:ascii="Times New Roman"/>
                <w:sz w:val="21"/>
                <w:szCs w:val="21"/>
              </w:rPr>
              <w:t>/</w:t>
            </w:r>
          </w:p>
        </w:tc>
      </w:tr>
      <w:tr w14:paraId="7AE7F087">
        <w:tblPrEx>
          <w:tblCellMar>
            <w:top w:w="0" w:type="dxa"/>
            <w:left w:w="108" w:type="dxa"/>
            <w:bottom w:w="0" w:type="dxa"/>
            <w:right w:w="108" w:type="dxa"/>
          </w:tblCellMar>
        </w:tblPrEx>
        <w:trPr>
          <w:trHeight w:val="90" w:hRule="atLeast"/>
          <w:jc w:val="center"/>
        </w:trPr>
        <w:tc>
          <w:tcPr>
            <w:tcW w:w="1560" w:type="dxa"/>
            <w:vMerge w:val="continue"/>
            <w:vAlign w:val="center"/>
          </w:tcPr>
          <w:p w14:paraId="4A04D7A7">
            <w:pPr>
              <w:spacing w:line="320" w:lineRule="exact"/>
              <w:jc w:val="center"/>
              <w:rPr>
                <w:rFonts w:ascii="Times New Roman"/>
                <w:sz w:val="21"/>
                <w:szCs w:val="21"/>
                <w:highlight w:val="yellow"/>
              </w:rPr>
            </w:pPr>
          </w:p>
        </w:tc>
        <w:tc>
          <w:tcPr>
            <w:tcW w:w="1417" w:type="dxa"/>
            <w:shd w:val="clear" w:color="auto" w:fill="auto"/>
            <w:vAlign w:val="center"/>
          </w:tcPr>
          <w:p w14:paraId="6061453B">
            <w:pPr>
              <w:spacing w:line="320" w:lineRule="exact"/>
              <w:jc w:val="center"/>
              <w:rPr>
                <w:rFonts w:ascii="Times New Roman"/>
                <w:sz w:val="21"/>
                <w:szCs w:val="21"/>
              </w:rPr>
            </w:pPr>
            <w:r>
              <w:rPr>
                <w:rFonts w:ascii="Times New Roman"/>
                <w:sz w:val="21"/>
                <w:szCs w:val="21"/>
              </w:rPr>
              <w:t>非甲烷总烃</w:t>
            </w:r>
          </w:p>
        </w:tc>
        <w:tc>
          <w:tcPr>
            <w:tcW w:w="1701" w:type="dxa"/>
            <w:shd w:val="clear" w:color="auto" w:fill="auto"/>
            <w:vAlign w:val="center"/>
          </w:tcPr>
          <w:p w14:paraId="60DC0120">
            <w:pPr>
              <w:spacing w:line="320" w:lineRule="exact"/>
              <w:jc w:val="center"/>
              <w:rPr>
                <w:rFonts w:ascii="Times New Roman"/>
                <w:sz w:val="21"/>
                <w:szCs w:val="21"/>
              </w:rPr>
            </w:pPr>
            <w:r>
              <w:rPr>
                <w:rFonts w:ascii="Times New Roman"/>
                <w:sz w:val="21"/>
                <w:szCs w:val="21"/>
              </w:rPr>
              <w:t>2000.0</w:t>
            </w:r>
          </w:p>
        </w:tc>
        <w:tc>
          <w:tcPr>
            <w:tcW w:w="1418" w:type="dxa"/>
            <w:shd w:val="clear" w:color="auto" w:fill="auto"/>
            <w:vAlign w:val="center"/>
          </w:tcPr>
          <w:p w14:paraId="74AEDB68">
            <w:pPr>
              <w:jc w:val="center"/>
              <w:rPr>
                <w:rFonts w:ascii="Times New Roman"/>
                <w:sz w:val="21"/>
                <w:szCs w:val="21"/>
              </w:rPr>
            </w:pPr>
            <w:r>
              <w:rPr>
                <w:rFonts w:hint="eastAsia" w:ascii="Times New Roman"/>
                <w:sz w:val="21"/>
                <w:szCs w:val="21"/>
              </w:rPr>
              <w:t>0.2345</w:t>
            </w:r>
          </w:p>
        </w:tc>
        <w:tc>
          <w:tcPr>
            <w:tcW w:w="1134" w:type="dxa"/>
            <w:shd w:val="clear" w:color="auto" w:fill="auto"/>
            <w:vAlign w:val="center"/>
          </w:tcPr>
          <w:p w14:paraId="52DFF7B5">
            <w:pPr>
              <w:jc w:val="center"/>
              <w:rPr>
                <w:rFonts w:ascii="Times New Roman"/>
                <w:sz w:val="21"/>
                <w:szCs w:val="21"/>
              </w:rPr>
            </w:pPr>
            <w:r>
              <w:rPr>
                <w:rFonts w:hint="eastAsia" w:ascii="Times New Roman"/>
                <w:sz w:val="21"/>
                <w:szCs w:val="21"/>
              </w:rPr>
              <w:t>0.01</w:t>
            </w:r>
          </w:p>
        </w:tc>
        <w:tc>
          <w:tcPr>
            <w:tcW w:w="1065" w:type="dxa"/>
            <w:shd w:val="clear" w:color="auto" w:fill="auto"/>
            <w:vAlign w:val="center"/>
          </w:tcPr>
          <w:p w14:paraId="70C328C1">
            <w:pPr>
              <w:spacing w:line="320" w:lineRule="exact"/>
              <w:jc w:val="center"/>
              <w:rPr>
                <w:rFonts w:ascii="Times New Roman"/>
                <w:sz w:val="21"/>
                <w:szCs w:val="21"/>
              </w:rPr>
            </w:pPr>
            <w:r>
              <w:rPr>
                <w:rFonts w:ascii="Times New Roman"/>
                <w:sz w:val="21"/>
                <w:szCs w:val="21"/>
              </w:rPr>
              <w:t>/</w:t>
            </w:r>
          </w:p>
        </w:tc>
      </w:tr>
      <w:tr w14:paraId="179ADA05">
        <w:tblPrEx>
          <w:tblCellMar>
            <w:top w:w="0" w:type="dxa"/>
            <w:left w:w="108" w:type="dxa"/>
            <w:bottom w:w="0" w:type="dxa"/>
            <w:right w:w="108" w:type="dxa"/>
          </w:tblCellMar>
        </w:tblPrEx>
        <w:trPr>
          <w:trHeight w:val="363" w:hRule="atLeast"/>
          <w:jc w:val="center"/>
        </w:trPr>
        <w:tc>
          <w:tcPr>
            <w:tcW w:w="1560" w:type="dxa"/>
            <w:vMerge w:val="restart"/>
            <w:vAlign w:val="center"/>
          </w:tcPr>
          <w:p w14:paraId="7A616AF4">
            <w:pPr>
              <w:spacing w:line="320" w:lineRule="exact"/>
              <w:jc w:val="center"/>
              <w:rPr>
                <w:rFonts w:ascii="Times New Roman"/>
                <w:sz w:val="21"/>
                <w:szCs w:val="21"/>
                <w:highlight w:val="yellow"/>
              </w:rPr>
            </w:pPr>
            <w:r>
              <w:rPr>
                <w:rFonts w:ascii="Times New Roman"/>
                <w:kern w:val="0"/>
                <w:sz w:val="21"/>
                <w:szCs w:val="21"/>
              </w:rPr>
              <w:t>托辊及装配厂房</w:t>
            </w:r>
          </w:p>
        </w:tc>
        <w:tc>
          <w:tcPr>
            <w:tcW w:w="1417" w:type="dxa"/>
            <w:vAlign w:val="center"/>
          </w:tcPr>
          <w:p w14:paraId="01B2918B">
            <w:pPr>
              <w:spacing w:line="320" w:lineRule="exact"/>
              <w:jc w:val="center"/>
              <w:rPr>
                <w:rFonts w:ascii="Times New Roman"/>
                <w:sz w:val="21"/>
                <w:szCs w:val="21"/>
              </w:rPr>
            </w:pPr>
            <w:r>
              <w:rPr>
                <w:rFonts w:ascii="Times New Roman"/>
                <w:sz w:val="21"/>
                <w:szCs w:val="21"/>
              </w:rPr>
              <w:t>TSP</w:t>
            </w:r>
          </w:p>
        </w:tc>
        <w:tc>
          <w:tcPr>
            <w:tcW w:w="1701" w:type="dxa"/>
            <w:vAlign w:val="center"/>
          </w:tcPr>
          <w:p w14:paraId="162F578B">
            <w:pPr>
              <w:spacing w:line="320" w:lineRule="exact"/>
              <w:jc w:val="center"/>
              <w:rPr>
                <w:rFonts w:ascii="Times New Roman"/>
                <w:sz w:val="21"/>
                <w:szCs w:val="21"/>
              </w:rPr>
            </w:pPr>
            <w:r>
              <w:rPr>
                <w:rFonts w:ascii="Times New Roman"/>
                <w:sz w:val="21"/>
                <w:szCs w:val="21"/>
              </w:rPr>
              <w:t>900.0</w:t>
            </w:r>
          </w:p>
        </w:tc>
        <w:tc>
          <w:tcPr>
            <w:tcW w:w="1418" w:type="dxa"/>
            <w:vAlign w:val="center"/>
          </w:tcPr>
          <w:p w14:paraId="0F660C68">
            <w:pPr>
              <w:jc w:val="center"/>
              <w:rPr>
                <w:rFonts w:ascii="Times New Roman"/>
                <w:sz w:val="21"/>
                <w:szCs w:val="21"/>
              </w:rPr>
            </w:pPr>
            <w:r>
              <w:rPr>
                <w:rFonts w:hint="eastAsia" w:ascii="Times New Roman"/>
                <w:sz w:val="21"/>
                <w:szCs w:val="21"/>
              </w:rPr>
              <w:t>24.3720</w:t>
            </w:r>
          </w:p>
        </w:tc>
        <w:tc>
          <w:tcPr>
            <w:tcW w:w="1134" w:type="dxa"/>
            <w:vAlign w:val="center"/>
          </w:tcPr>
          <w:p w14:paraId="0960D1DD">
            <w:pPr>
              <w:jc w:val="center"/>
              <w:rPr>
                <w:rFonts w:ascii="Times New Roman"/>
                <w:sz w:val="21"/>
                <w:szCs w:val="21"/>
              </w:rPr>
            </w:pPr>
            <w:r>
              <w:rPr>
                <w:rFonts w:hint="eastAsia" w:ascii="Times New Roman"/>
                <w:sz w:val="21"/>
                <w:szCs w:val="21"/>
              </w:rPr>
              <w:t>2.71</w:t>
            </w:r>
          </w:p>
        </w:tc>
        <w:tc>
          <w:tcPr>
            <w:tcW w:w="1065" w:type="dxa"/>
            <w:vAlign w:val="center"/>
          </w:tcPr>
          <w:p w14:paraId="5C3EF648">
            <w:pPr>
              <w:spacing w:line="320" w:lineRule="exact"/>
              <w:jc w:val="center"/>
              <w:rPr>
                <w:rFonts w:ascii="Times New Roman"/>
                <w:sz w:val="21"/>
                <w:szCs w:val="21"/>
              </w:rPr>
            </w:pPr>
            <w:r>
              <w:rPr>
                <w:rFonts w:ascii="Times New Roman"/>
                <w:sz w:val="21"/>
                <w:szCs w:val="21"/>
              </w:rPr>
              <w:t>/</w:t>
            </w:r>
          </w:p>
        </w:tc>
      </w:tr>
      <w:tr w14:paraId="6A68C399">
        <w:tblPrEx>
          <w:tblCellMar>
            <w:top w:w="0" w:type="dxa"/>
            <w:left w:w="108" w:type="dxa"/>
            <w:bottom w:w="0" w:type="dxa"/>
            <w:right w:w="108" w:type="dxa"/>
          </w:tblCellMar>
        </w:tblPrEx>
        <w:trPr>
          <w:trHeight w:val="238" w:hRule="atLeast"/>
          <w:jc w:val="center"/>
        </w:trPr>
        <w:tc>
          <w:tcPr>
            <w:tcW w:w="1560" w:type="dxa"/>
            <w:vMerge w:val="continue"/>
            <w:vAlign w:val="center"/>
          </w:tcPr>
          <w:p w14:paraId="635496C8">
            <w:pPr>
              <w:spacing w:line="320" w:lineRule="exact"/>
              <w:jc w:val="center"/>
              <w:rPr>
                <w:rFonts w:ascii="Times New Roman"/>
                <w:sz w:val="21"/>
                <w:szCs w:val="21"/>
                <w:highlight w:val="yellow"/>
              </w:rPr>
            </w:pPr>
          </w:p>
        </w:tc>
        <w:tc>
          <w:tcPr>
            <w:tcW w:w="1417" w:type="dxa"/>
            <w:vAlign w:val="center"/>
          </w:tcPr>
          <w:p w14:paraId="661BBE0A">
            <w:pPr>
              <w:spacing w:line="320" w:lineRule="exact"/>
              <w:jc w:val="center"/>
              <w:rPr>
                <w:rFonts w:ascii="Times New Roman"/>
                <w:sz w:val="21"/>
                <w:szCs w:val="21"/>
              </w:rPr>
            </w:pPr>
            <w:r>
              <w:rPr>
                <w:rFonts w:ascii="Times New Roman"/>
                <w:sz w:val="21"/>
                <w:szCs w:val="21"/>
              </w:rPr>
              <w:t>非甲烷总烃</w:t>
            </w:r>
          </w:p>
        </w:tc>
        <w:tc>
          <w:tcPr>
            <w:tcW w:w="1701" w:type="dxa"/>
            <w:vAlign w:val="center"/>
          </w:tcPr>
          <w:p w14:paraId="33C954C0">
            <w:pPr>
              <w:spacing w:line="320" w:lineRule="exact"/>
              <w:jc w:val="center"/>
              <w:rPr>
                <w:rFonts w:ascii="Times New Roman"/>
                <w:sz w:val="21"/>
                <w:szCs w:val="21"/>
              </w:rPr>
            </w:pPr>
            <w:r>
              <w:rPr>
                <w:rFonts w:ascii="Times New Roman"/>
                <w:sz w:val="21"/>
                <w:szCs w:val="21"/>
              </w:rPr>
              <w:t>2000.0</w:t>
            </w:r>
          </w:p>
        </w:tc>
        <w:tc>
          <w:tcPr>
            <w:tcW w:w="1418" w:type="dxa"/>
            <w:vAlign w:val="center"/>
          </w:tcPr>
          <w:p w14:paraId="6946FD5F">
            <w:pPr>
              <w:jc w:val="center"/>
              <w:rPr>
                <w:rFonts w:ascii="Times New Roman"/>
                <w:sz w:val="21"/>
                <w:szCs w:val="21"/>
              </w:rPr>
            </w:pPr>
            <w:r>
              <w:rPr>
                <w:rFonts w:hint="eastAsia" w:ascii="Times New Roman"/>
                <w:sz w:val="21"/>
                <w:szCs w:val="21"/>
              </w:rPr>
              <w:t>0.0334</w:t>
            </w:r>
          </w:p>
        </w:tc>
        <w:tc>
          <w:tcPr>
            <w:tcW w:w="1134" w:type="dxa"/>
            <w:vAlign w:val="center"/>
          </w:tcPr>
          <w:p w14:paraId="5437EF31">
            <w:pPr>
              <w:jc w:val="center"/>
              <w:rPr>
                <w:rFonts w:ascii="Times New Roman"/>
                <w:sz w:val="21"/>
                <w:szCs w:val="21"/>
              </w:rPr>
            </w:pPr>
            <w:r>
              <w:rPr>
                <w:rFonts w:hint="eastAsia" w:ascii="Times New Roman"/>
                <w:sz w:val="21"/>
                <w:szCs w:val="21"/>
              </w:rPr>
              <w:t>0.00</w:t>
            </w:r>
          </w:p>
        </w:tc>
        <w:tc>
          <w:tcPr>
            <w:tcW w:w="1065" w:type="dxa"/>
            <w:vAlign w:val="center"/>
          </w:tcPr>
          <w:p w14:paraId="0776634D">
            <w:pPr>
              <w:spacing w:line="320" w:lineRule="exact"/>
              <w:jc w:val="center"/>
              <w:rPr>
                <w:rFonts w:ascii="Times New Roman"/>
                <w:sz w:val="21"/>
                <w:szCs w:val="21"/>
              </w:rPr>
            </w:pPr>
            <w:r>
              <w:rPr>
                <w:rFonts w:ascii="Times New Roman"/>
                <w:sz w:val="21"/>
                <w:szCs w:val="21"/>
              </w:rPr>
              <w:t>/</w:t>
            </w:r>
          </w:p>
        </w:tc>
      </w:tr>
      <w:tr w14:paraId="459AA8A0">
        <w:tblPrEx>
          <w:tblCellMar>
            <w:top w:w="0" w:type="dxa"/>
            <w:left w:w="108" w:type="dxa"/>
            <w:bottom w:w="0" w:type="dxa"/>
            <w:right w:w="108" w:type="dxa"/>
          </w:tblCellMar>
        </w:tblPrEx>
        <w:trPr>
          <w:trHeight w:val="363" w:hRule="atLeast"/>
          <w:jc w:val="center"/>
        </w:trPr>
        <w:tc>
          <w:tcPr>
            <w:tcW w:w="1560" w:type="dxa"/>
            <w:vMerge w:val="restart"/>
            <w:vAlign w:val="center"/>
          </w:tcPr>
          <w:p w14:paraId="52203FF6">
            <w:pPr>
              <w:spacing w:line="320" w:lineRule="exact"/>
              <w:jc w:val="center"/>
              <w:rPr>
                <w:rFonts w:ascii="Times New Roman"/>
                <w:sz w:val="21"/>
                <w:szCs w:val="21"/>
              </w:rPr>
            </w:pPr>
            <w:r>
              <w:rPr>
                <w:rFonts w:ascii="Times New Roman"/>
                <w:kern w:val="0"/>
                <w:sz w:val="21"/>
                <w:szCs w:val="21"/>
              </w:rPr>
              <w:t>联合厂房</w:t>
            </w:r>
          </w:p>
        </w:tc>
        <w:tc>
          <w:tcPr>
            <w:tcW w:w="1417" w:type="dxa"/>
            <w:vAlign w:val="center"/>
          </w:tcPr>
          <w:p w14:paraId="6007C7EA">
            <w:pPr>
              <w:spacing w:line="320" w:lineRule="exact"/>
              <w:jc w:val="center"/>
              <w:rPr>
                <w:rFonts w:ascii="Times New Roman"/>
                <w:sz w:val="21"/>
                <w:szCs w:val="21"/>
              </w:rPr>
            </w:pPr>
            <w:r>
              <w:rPr>
                <w:rFonts w:ascii="Times New Roman"/>
                <w:sz w:val="21"/>
                <w:szCs w:val="21"/>
              </w:rPr>
              <w:t>TSP</w:t>
            </w:r>
          </w:p>
        </w:tc>
        <w:tc>
          <w:tcPr>
            <w:tcW w:w="1701" w:type="dxa"/>
            <w:vAlign w:val="center"/>
          </w:tcPr>
          <w:p w14:paraId="1250E99C">
            <w:pPr>
              <w:spacing w:line="320" w:lineRule="exact"/>
              <w:jc w:val="center"/>
              <w:rPr>
                <w:rFonts w:ascii="Times New Roman"/>
                <w:sz w:val="21"/>
                <w:szCs w:val="21"/>
              </w:rPr>
            </w:pPr>
            <w:r>
              <w:rPr>
                <w:rFonts w:ascii="Times New Roman"/>
                <w:sz w:val="21"/>
                <w:szCs w:val="21"/>
              </w:rPr>
              <w:t>900.0</w:t>
            </w:r>
          </w:p>
        </w:tc>
        <w:tc>
          <w:tcPr>
            <w:tcW w:w="1418" w:type="dxa"/>
            <w:vAlign w:val="center"/>
          </w:tcPr>
          <w:p w14:paraId="2449B139">
            <w:pPr>
              <w:jc w:val="center"/>
              <w:rPr>
                <w:rFonts w:ascii="Times New Roman"/>
                <w:sz w:val="21"/>
                <w:szCs w:val="21"/>
              </w:rPr>
            </w:pPr>
            <w:r>
              <w:rPr>
                <w:rFonts w:hint="eastAsia" w:ascii="Times New Roman"/>
                <w:sz w:val="21"/>
                <w:szCs w:val="21"/>
              </w:rPr>
              <w:t>68.8180</w:t>
            </w:r>
          </w:p>
        </w:tc>
        <w:tc>
          <w:tcPr>
            <w:tcW w:w="1134" w:type="dxa"/>
            <w:vAlign w:val="center"/>
          </w:tcPr>
          <w:p w14:paraId="4A605CA8">
            <w:pPr>
              <w:jc w:val="center"/>
              <w:rPr>
                <w:rFonts w:ascii="Times New Roman"/>
                <w:sz w:val="21"/>
                <w:szCs w:val="21"/>
              </w:rPr>
            </w:pPr>
            <w:r>
              <w:rPr>
                <w:rFonts w:hint="eastAsia" w:ascii="Times New Roman"/>
                <w:sz w:val="21"/>
                <w:szCs w:val="21"/>
              </w:rPr>
              <w:t>7.65</w:t>
            </w:r>
          </w:p>
        </w:tc>
        <w:tc>
          <w:tcPr>
            <w:tcW w:w="1065" w:type="dxa"/>
            <w:vAlign w:val="center"/>
          </w:tcPr>
          <w:p w14:paraId="4A7E85C2">
            <w:pPr>
              <w:spacing w:line="320" w:lineRule="exact"/>
              <w:jc w:val="center"/>
              <w:rPr>
                <w:rFonts w:ascii="Times New Roman"/>
                <w:sz w:val="21"/>
                <w:szCs w:val="21"/>
              </w:rPr>
            </w:pPr>
            <w:r>
              <w:rPr>
                <w:rFonts w:ascii="Times New Roman"/>
                <w:sz w:val="21"/>
                <w:szCs w:val="21"/>
              </w:rPr>
              <w:t>/</w:t>
            </w:r>
          </w:p>
        </w:tc>
      </w:tr>
      <w:tr w14:paraId="7BE6B630">
        <w:tblPrEx>
          <w:tblCellMar>
            <w:top w:w="0" w:type="dxa"/>
            <w:left w:w="108" w:type="dxa"/>
            <w:bottom w:w="0" w:type="dxa"/>
            <w:right w:w="108" w:type="dxa"/>
          </w:tblCellMar>
        </w:tblPrEx>
        <w:trPr>
          <w:trHeight w:val="363" w:hRule="atLeast"/>
          <w:jc w:val="center"/>
        </w:trPr>
        <w:tc>
          <w:tcPr>
            <w:tcW w:w="1560" w:type="dxa"/>
            <w:vMerge w:val="continue"/>
            <w:vAlign w:val="center"/>
          </w:tcPr>
          <w:p w14:paraId="4A6E109A">
            <w:pPr>
              <w:spacing w:line="320" w:lineRule="exact"/>
              <w:jc w:val="center"/>
              <w:rPr>
                <w:rFonts w:ascii="Times New Roman"/>
                <w:sz w:val="21"/>
                <w:szCs w:val="21"/>
              </w:rPr>
            </w:pPr>
          </w:p>
        </w:tc>
        <w:tc>
          <w:tcPr>
            <w:tcW w:w="1417" w:type="dxa"/>
            <w:vAlign w:val="center"/>
          </w:tcPr>
          <w:p w14:paraId="2FD54687">
            <w:pPr>
              <w:spacing w:line="320" w:lineRule="exact"/>
              <w:jc w:val="center"/>
              <w:rPr>
                <w:rFonts w:ascii="Times New Roman"/>
                <w:sz w:val="21"/>
                <w:szCs w:val="21"/>
              </w:rPr>
            </w:pPr>
            <w:r>
              <w:rPr>
                <w:rFonts w:ascii="Times New Roman"/>
                <w:sz w:val="21"/>
                <w:szCs w:val="21"/>
              </w:rPr>
              <w:t>非甲烷总烃</w:t>
            </w:r>
          </w:p>
        </w:tc>
        <w:tc>
          <w:tcPr>
            <w:tcW w:w="1701" w:type="dxa"/>
            <w:vAlign w:val="center"/>
          </w:tcPr>
          <w:p w14:paraId="03E1C8F6">
            <w:pPr>
              <w:spacing w:line="320" w:lineRule="exact"/>
              <w:jc w:val="center"/>
              <w:rPr>
                <w:rFonts w:ascii="Times New Roman"/>
                <w:sz w:val="21"/>
                <w:szCs w:val="21"/>
              </w:rPr>
            </w:pPr>
            <w:r>
              <w:rPr>
                <w:rFonts w:ascii="Times New Roman"/>
                <w:sz w:val="21"/>
                <w:szCs w:val="21"/>
              </w:rPr>
              <w:t>2000.0</w:t>
            </w:r>
          </w:p>
        </w:tc>
        <w:tc>
          <w:tcPr>
            <w:tcW w:w="1418" w:type="dxa"/>
            <w:vAlign w:val="center"/>
          </w:tcPr>
          <w:p w14:paraId="6D645DFB">
            <w:pPr>
              <w:jc w:val="center"/>
              <w:rPr>
                <w:rFonts w:ascii="Times New Roman"/>
                <w:sz w:val="21"/>
                <w:szCs w:val="21"/>
              </w:rPr>
            </w:pPr>
            <w:r>
              <w:rPr>
                <w:rFonts w:hint="eastAsia" w:ascii="Times New Roman"/>
                <w:sz w:val="21"/>
                <w:szCs w:val="21"/>
              </w:rPr>
              <w:t>57.9520</w:t>
            </w:r>
          </w:p>
        </w:tc>
        <w:tc>
          <w:tcPr>
            <w:tcW w:w="1134" w:type="dxa"/>
            <w:vAlign w:val="center"/>
          </w:tcPr>
          <w:p w14:paraId="40CC581B">
            <w:pPr>
              <w:jc w:val="center"/>
              <w:rPr>
                <w:rFonts w:ascii="Times New Roman"/>
                <w:sz w:val="21"/>
                <w:szCs w:val="21"/>
              </w:rPr>
            </w:pPr>
            <w:r>
              <w:rPr>
                <w:rFonts w:hint="eastAsia" w:ascii="Times New Roman"/>
                <w:sz w:val="21"/>
                <w:szCs w:val="21"/>
              </w:rPr>
              <w:t>2.90</w:t>
            </w:r>
          </w:p>
        </w:tc>
        <w:tc>
          <w:tcPr>
            <w:tcW w:w="1065" w:type="dxa"/>
            <w:vAlign w:val="center"/>
          </w:tcPr>
          <w:p w14:paraId="49B868A0">
            <w:pPr>
              <w:spacing w:line="320" w:lineRule="exact"/>
              <w:jc w:val="center"/>
              <w:rPr>
                <w:rFonts w:ascii="Times New Roman"/>
                <w:sz w:val="21"/>
                <w:szCs w:val="21"/>
              </w:rPr>
            </w:pPr>
            <w:r>
              <w:rPr>
                <w:rFonts w:ascii="Times New Roman"/>
                <w:sz w:val="21"/>
                <w:szCs w:val="21"/>
              </w:rPr>
              <w:t>/</w:t>
            </w:r>
          </w:p>
        </w:tc>
      </w:tr>
      <w:tr w14:paraId="287D57C6">
        <w:tblPrEx>
          <w:tblCellMar>
            <w:top w:w="0" w:type="dxa"/>
            <w:left w:w="108" w:type="dxa"/>
            <w:bottom w:w="0" w:type="dxa"/>
            <w:right w:w="108" w:type="dxa"/>
          </w:tblCellMar>
        </w:tblPrEx>
        <w:trPr>
          <w:trHeight w:val="363" w:hRule="atLeast"/>
          <w:jc w:val="center"/>
        </w:trPr>
        <w:tc>
          <w:tcPr>
            <w:tcW w:w="1560" w:type="dxa"/>
            <w:vMerge w:val="continue"/>
            <w:vAlign w:val="center"/>
          </w:tcPr>
          <w:p w14:paraId="5A4A2DF1">
            <w:pPr>
              <w:spacing w:line="320" w:lineRule="exact"/>
              <w:jc w:val="center"/>
              <w:rPr>
                <w:rFonts w:ascii="Times New Roman"/>
                <w:sz w:val="21"/>
                <w:szCs w:val="21"/>
              </w:rPr>
            </w:pPr>
          </w:p>
        </w:tc>
        <w:tc>
          <w:tcPr>
            <w:tcW w:w="1417" w:type="dxa"/>
            <w:vAlign w:val="center"/>
          </w:tcPr>
          <w:p w14:paraId="2252CE6E">
            <w:pPr>
              <w:spacing w:line="320" w:lineRule="exact"/>
              <w:jc w:val="center"/>
              <w:rPr>
                <w:rFonts w:ascii="Times New Roman"/>
                <w:sz w:val="21"/>
                <w:szCs w:val="21"/>
              </w:rPr>
            </w:pPr>
            <w:r>
              <w:rPr>
                <w:rFonts w:ascii="Times New Roman"/>
                <w:sz w:val="21"/>
                <w:szCs w:val="21"/>
              </w:rPr>
              <w:t>二甲苯</w:t>
            </w:r>
          </w:p>
        </w:tc>
        <w:tc>
          <w:tcPr>
            <w:tcW w:w="1701" w:type="dxa"/>
            <w:vAlign w:val="center"/>
          </w:tcPr>
          <w:p w14:paraId="7C962CE4">
            <w:pPr>
              <w:spacing w:line="320" w:lineRule="exact"/>
              <w:jc w:val="center"/>
              <w:rPr>
                <w:rFonts w:ascii="Times New Roman"/>
                <w:sz w:val="21"/>
                <w:szCs w:val="21"/>
              </w:rPr>
            </w:pPr>
            <w:r>
              <w:rPr>
                <w:rFonts w:ascii="Times New Roman"/>
                <w:sz w:val="21"/>
                <w:szCs w:val="21"/>
              </w:rPr>
              <w:t>200.0</w:t>
            </w:r>
          </w:p>
        </w:tc>
        <w:tc>
          <w:tcPr>
            <w:tcW w:w="1418" w:type="dxa"/>
            <w:vAlign w:val="center"/>
          </w:tcPr>
          <w:p w14:paraId="11D27F5A">
            <w:pPr>
              <w:jc w:val="center"/>
              <w:rPr>
                <w:rFonts w:ascii="Times New Roman"/>
                <w:sz w:val="21"/>
                <w:szCs w:val="21"/>
              </w:rPr>
            </w:pPr>
            <w:r>
              <w:rPr>
                <w:rFonts w:hint="eastAsia" w:ascii="Times New Roman"/>
                <w:sz w:val="21"/>
                <w:szCs w:val="21"/>
              </w:rPr>
              <w:t>16.0403</w:t>
            </w:r>
          </w:p>
        </w:tc>
        <w:tc>
          <w:tcPr>
            <w:tcW w:w="1134" w:type="dxa"/>
            <w:vAlign w:val="center"/>
          </w:tcPr>
          <w:p w14:paraId="1DA88896">
            <w:pPr>
              <w:jc w:val="center"/>
              <w:rPr>
                <w:rFonts w:ascii="Times New Roman"/>
                <w:sz w:val="21"/>
                <w:szCs w:val="21"/>
              </w:rPr>
            </w:pPr>
            <w:r>
              <w:rPr>
                <w:rFonts w:hint="eastAsia" w:ascii="Times New Roman"/>
                <w:sz w:val="21"/>
                <w:szCs w:val="21"/>
              </w:rPr>
              <w:t>8.02</w:t>
            </w:r>
          </w:p>
        </w:tc>
        <w:tc>
          <w:tcPr>
            <w:tcW w:w="1065" w:type="dxa"/>
            <w:vAlign w:val="center"/>
          </w:tcPr>
          <w:p w14:paraId="70690314">
            <w:pPr>
              <w:spacing w:line="320" w:lineRule="exact"/>
              <w:jc w:val="center"/>
              <w:rPr>
                <w:rFonts w:ascii="Times New Roman"/>
                <w:sz w:val="21"/>
                <w:szCs w:val="21"/>
              </w:rPr>
            </w:pPr>
            <w:r>
              <w:rPr>
                <w:rFonts w:ascii="Times New Roman"/>
                <w:sz w:val="21"/>
                <w:szCs w:val="21"/>
              </w:rPr>
              <w:t>/</w:t>
            </w:r>
          </w:p>
        </w:tc>
      </w:tr>
    </w:tbl>
    <w:p w14:paraId="376DBF91">
      <w:pPr>
        <w:spacing w:line="480" w:lineRule="exact"/>
        <w:ind w:firstLine="480" w:firstLineChars="200"/>
        <w:rPr>
          <w:rFonts w:ascii="Times New Roman"/>
          <w:sz w:val="24"/>
          <w:szCs w:val="24"/>
        </w:rPr>
      </w:pPr>
      <w:r>
        <w:rPr>
          <w:rFonts w:ascii="Times New Roman"/>
          <w:sz w:val="24"/>
        </w:rPr>
        <w:t>本项目Pmax最大值出现为下料车间排放的</w:t>
      </w:r>
      <w:r>
        <w:rPr>
          <w:rFonts w:hint="eastAsia" w:ascii="Times New Roman"/>
          <w:sz w:val="24"/>
        </w:rPr>
        <w:t>二甲苯，</w:t>
      </w:r>
      <w:r>
        <w:rPr>
          <w:rFonts w:ascii="Times New Roman"/>
          <w:sz w:val="24"/>
        </w:rPr>
        <w:t>Pmax值为</w:t>
      </w:r>
      <w:r>
        <w:rPr>
          <w:rFonts w:hint="eastAsia" w:ascii="Times New Roman"/>
          <w:sz w:val="24"/>
        </w:rPr>
        <w:t>8.02</w:t>
      </w:r>
      <w:r>
        <w:rPr>
          <w:rFonts w:ascii="Times New Roman"/>
          <w:sz w:val="24"/>
        </w:rPr>
        <w:t>%，Cmax为</w:t>
      </w:r>
      <w:r>
        <w:rPr>
          <w:rFonts w:hint="eastAsia" w:ascii="Times New Roman"/>
          <w:sz w:val="24"/>
        </w:rPr>
        <w:t>16.0403</w:t>
      </w:r>
      <w:r>
        <w:rPr>
          <w:rFonts w:ascii="Times New Roman"/>
          <w:sz w:val="24"/>
        </w:rPr>
        <w:t>μg/m</w:t>
      </w:r>
      <w:r>
        <w:rPr>
          <w:rFonts w:hint="eastAsia" w:ascii="Times New Roman"/>
          <w:sz w:val="24"/>
          <w:vertAlign w:val="superscript"/>
        </w:rPr>
        <w:t>3</w:t>
      </w:r>
      <w:r>
        <w:rPr>
          <w:rFonts w:ascii="Times New Roman"/>
          <w:sz w:val="24"/>
        </w:rPr>
        <w:t>。根据《环境影响评价技术导则 大气环境》（HJ2.2-2018）分级判据，确定本项目大气环境影响评价工作等级为二级。</w:t>
      </w:r>
    </w:p>
    <w:p w14:paraId="4D139D28">
      <w:pPr>
        <w:spacing w:line="520" w:lineRule="exact"/>
        <w:outlineLvl w:val="3"/>
        <w:rPr>
          <w:rFonts w:ascii="Times New Roman"/>
          <w:b/>
          <w:sz w:val="24"/>
          <w:szCs w:val="24"/>
        </w:rPr>
      </w:pPr>
      <w:r>
        <w:rPr>
          <w:rFonts w:ascii="Times New Roman"/>
          <w:b/>
          <w:sz w:val="24"/>
          <w:szCs w:val="24"/>
        </w:rPr>
        <w:t>2.5.1.2大气环境评价范围</w:t>
      </w:r>
    </w:p>
    <w:p w14:paraId="17F629BA">
      <w:pPr>
        <w:spacing w:line="480" w:lineRule="exact"/>
        <w:ind w:firstLine="480" w:firstLineChars="200"/>
        <w:rPr>
          <w:rFonts w:ascii="Times New Roman"/>
          <w:sz w:val="24"/>
        </w:rPr>
      </w:pPr>
      <w:r>
        <w:rPr>
          <w:rFonts w:ascii="Times New Roman"/>
          <w:sz w:val="24"/>
        </w:rPr>
        <w:t>根据《环境影响评价技术导则 大气环境》（HJ2.2-2018）中评价范围确定要求，本次环评大气评价范围以项目厂址为中心，边长5km的矩形为评价范围。</w:t>
      </w:r>
    </w:p>
    <w:p w14:paraId="0D15F364">
      <w:pPr>
        <w:spacing w:line="520" w:lineRule="exact"/>
        <w:outlineLvl w:val="2"/>
        <w:rPr>
          <w:rFonts w:ascii="Times New Roman"/>
          <w:b/>
          <w:sz w:val="28"/>
          <w:szCs w:val="28"/>
        </w:rPr>
      </w:pPr>
      <w:r>
        <w:rPr>
          <w:rFonts w:ascii="Times New Roman"/>
          <w:b/>
          <w:sz w:val="28"/>
          <w:szCs w:val="28"/>
        </w:rPr>
        <w:t>2.5.2水环境影响评价等级及范围</w:t>
      </w:r>
    </w:p>
    <w:p w14:paraId="5C36BC65">
      <w:pPr>
        <w:spacing w:line="360" w:lineRule="auto"/>
        <w:outlineLvl w:val="3"/>
        <w:rPr>
          <w:rFonts w:ascii="Times New Roman"/>
          <w:b/>
          <w:sz w:val="24"/>
          <w:szCs w:val="24"/>
        </w:rPr>
      </w:pPr>
      <w:r>
        <w:rPr>
          <w:rFonts w:ascii="Times New Roman"/>
          <w:b/>
          <w:sz w:val="24"/>
          <w:szCs w:val="24"/>
        </w:rPr>
        <w:t>2.5.2.1地表水环境评价等级</w:t>
      </w:r>
    </w:p>
    <w:p w14:paraId="7B5CC7C4">
      <w:pPr>
        <w:spacing w:line="360" w:lineRule="auto"/>
        <w:ind w:firstLine="375" w:firstLineChars="150"/>
        <w:rPr>
          <w:rFonts w:ascii="Times New Roman"/>
          <w:sz w:val="24"/>
          <w:szCs w:val="24"/>
        </w:rPr>
      </w:pPr>
      <w:r>
        <w:rPr>
          <w:rFonts w:ascii="Times New Roman"/>
          <w:szCs w:val="24"/>
        </w:rPr>
        <w:t>根据《环境影响评价技术导则 地表水环境》（HJ2.3-2018），地表水环境评价工作等级划</w:t>
      </w:r>
      <w:r>
        <w:rPr>
          <w:rFonts w:ascii="Times New Roman"/>
          <w:sz w:val="24"/>
          <w:szCs w:val="24"/>
        </w:rPr>
        <w:t>分情况见表2.5-7。</w:t>
      </w:r>
    </w:p>
    <w:p w14:paraId="2C1F9C3B">
      <w:pPr>
        <w:jc w:val="center"/>
        <w:rPr>
          <w:rFonts w:ascii="Times New Roman"/>
          <w:kern w:val="0"/>
          <w:sz w:val="24"/>
          <w:szCs w:val="24"/>
        </w:rPr>
      </w:pPr>
      <w:r>
        <w:rPr>
          <w:rFonts w:ascii="Times New Roman"/>
          <w:b/>
          <w:bCs/>
          <w:sz w:val="24"/>
          <w:szCs w:val="24"/>
        </w:rPr>
        <w:t>表2.5-7  地表水评价等级判别表</w:t>
      </w:r>
    </w:p>
    <w:tbl>
      <w:tblPr>
        <w:tblStyle w:val="8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056"/>
        <w:gridCol w:w="3626"/>
      </w:tblGrid>
      <w:tr w14:paraId="6C58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Merge w:val="restart"/>
            <w:vAlign w:val="center"/>
          </w:tcPr>
          <w:p w14:paraId="0B3F89B3">
            <w:pPr>
              <w:adjustRightInd w:val="0"/>
              <w:rPr>
                <w:rFonts w:ascii="Times New Roman"/>
                <w:b/>
                <w:bCs/>
                <w:sz w:val="21"/>
                <w:szCs w:val="21"/>
              </w:rPr>
            </w:pPr>
            <w:r>
              <w:rPr>
                <w:rFonts w:ascii="Times New Roman"/>
                <w:b/>
                <w:bCs/>
                <w:sz w:val="21"/>
                <w:szCs w:val="21"/>
              </w:rPr>
              <w:t>评价等级</w:t>
            </w:r>
          </w:p>
        </w:tc>
        <w:tc>
          <w:tcPr>
            <w:tcW w:w="5682" w:type="dxa"/>
            <w:gridSpan w:val="2"/>
            <w:vAlign w:val="center"/>
          </w:tcPr>
          <w:p w14:paraId="162BC3C6">
            <w:pPr>
              <w:adjustRightInd w:val="0"/>
              <w:rPr>
                <w:rFonts w:ascii="Times New Roman"/>
                <w:b/>
                <w:bCs/>
                <w:sz w:val="21"/>
                <w:szCs w:val="21"/>
              </w:rPr>
            </w:pPr>
            <w:r>
              <w:rPr>
                <w:rFonts w:ascii="Times New Roman"/>
                <w:b/>
                <w:bCs/>
                <w:sz w:val="21"/>
                <w:szCs w:val="21"/>
              </w:rPr>
              <w:t>判定依据</w:t>
            </w:r>
          </w:p>
        </w:tc>
      </w:tr>
      <w:tr w14:paraId="4120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Merge w:val="continue"/>
            <w:vAlign w:val="center"/>
          </w:tcPr>
          <w:p w14:paraId="143F9A56">
            <w:pPr>
              <w:adjustRightInd w:val="0"/>
              <w:rPr>
                <w:rFonts w:ascii="Times New Roman"/>
                <w:b/>
                <w:bCs/>
                <w:sz w:val="21"/>
                <w:szCs w:val="21"/>
              </w:rPr>
            </w:pPr>
          </w:p>
        </w:tc>
        <w:tc>
          <w:tcPr>
            <w:tcW w:w="2056" w:type="dxa"/>
            <w:vAlign w:val="center"/>
          </w:tcPr>
          <w:p w14:paraId="21EB1A70">
            <w:pPr>
              <w:adjustRightInd w:val="0"/>
              <w:rPr>
                <w:rFonts w:ascii="Times New Roman"/>
                <w:b/>
                <w:bCs/>
                <w:sz w:val="21"/>
                <w:szCs w:val="21"/>
              </w:rPr>
            </w:pPr>
            <w:r>
              <w:rPr>
                <w:rFonts w:ascii="Times New Roman"/>
                <w:b/>
                <w:bCs/>
                <w:sz w:val="21"/>
                <w:szCs w:val="21"/>
              </w:rPr>
              <w:t>排放方式</w:t>
            </w:r>
          </w:p>
        </w:tc>
        <w:tc>
          <w:tcPr>
            <w:tcW w:w="3626" w:type="dxa"/>
            <w:vAlign w:val="center"/>
          </w:tcPr>
          <w:p w14:paraId="7D9225DB">
            <w:pPr>
              <w:adjustRightInd w:val="0"/>
              <w:rPr>
                <w:rFonts w:ascii="Times New Roman"/>
                <w:b/>
                <w:bCs/>
                <w:sz w:val="21"/>
                <w:szCs w:val="21"/>
              </w:rPr>
            </w:pPr>
            <w:r>
              <w:rPr>
                <w:rFonts w:ascii="Times New Roman"/>
                <w:b/>
                <w:bCs/>
                <w:sz w:val="21"/>
                <w:szCs w:val="21"/>
              </w:rPr>
              <w:t>废水排放量Q/（m</w:t>
            </w:r>
            <w:r>
              <w:rPr>
                <w:rFonts w:ascii="Times New Roman"/>
                <w:b/>
                <w:bCs/>
                <w:sz w:val="21"/>
                <w:szCs w:val="21"/>
                <w:vertAlign w:val="superscript"/>
              </w:rPr>
              <w:t>3</w:t>
            </w:r>
            <w:r>
              <w:rPr>
                <w:rFonts w:ascii="Times New Roman"/>
                <w:b/>
                <w:bCs/>
                <w:sz w:val="21"/>
                <w:szCs w:val="21"/>
              </w:rPr>
              <w:t>/d）；</w:t>
            </w:r>
          </w:p>
          <w:p w14:paraId="2CF03302">
            <w:pPr>
              <w:adjustRightInd w:val="0"/>
              <w:rPr>
                <w:rFonts w:ascii="Times New Roman"/>
                <w:b/>
                <w:bCs/>
                <w:sz w:val="21"/>
                <w:szCs w:val="21"/>
              </w:rPr>
            </w:pPr>
            <w:r>
              <w:rPr>
                <w:rFonts w:ascii="Times New Roman"/>
                <w:b/>
                <w:bCs/>
                <w:sz w:val="21"/>
                <w:szCs w:val="21"/>
              </w:rPr>
              <w:t>水污染物当量数W/（无量纲）</w:t>
            </w:r>
          </w:p>
        </w:tc>
      </w:tr>
      <w:tr w14:paraId="1C5D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Align w:val="center"/>
          </w:tcPr>
          <w:p w14:paraId="3B0C3E65">
            <w:pPr>
              <w:adjustRightInd w:val="0"/>
              <w:rPr>
                <w:rFonts w:ascii="Times New Roman"/>
                <w:sz w:val="21"/>
                <w:szCs w:val="21"/>
              </w:rPr>
            </w:pPr>
            <w:r>
              <w:rPr>
                <w:rFonts w:ascii="Times New Roman"/>
                <w:sz w:val="21"/>
                <w:szCs w:val="21"/>
              </w:rPr>
              <w:t>一级</w:t>
            </w:r>
          </w:p>
        </w:tc>
        <w:tc>
          <w:tcPr>
            <w:tcW w:w="2056" w:type="dxa"/>
            <w:vAlign w:val="center"/>
          </w:tcPr>
          <w:p w14:paraId="1055C56A">
            <w:pPr>
              <w:adjustRightInd w:val="0"/>
              <w:rPr>
                <w:rFonts w:ascii="Times New Roman"/>
                <w:sz w:val="21"/>
                <w:szCs w:val="21"/>
              </w:rPr>
            </w:pPr>
            <w:r>
              <w:rPr>
                <w:rFonts w:ascii="Times New Roman"/>
                <w:sz w:val="21"/>
                <w:szCs w:val="21"/>
              </w:rPr>
              <w:t>直接排放</w:t>
            </w:r>
          </w:p>
        </w:tc>
        <w:tc>
          <w:tcPr>
            <w:tcW w:w="3626" w:type="dxa"/>
            <w:vAlign w:val="center"/>
          </w:tcPr>
          <w:p w14:paraId="590E24BB">
            <w:pPr>
              <w:adjustRightInd w:val="0"/>
              <w:rPr>
                <w:rFonts w:ascii="Times New Roman"/>
                <w:sz w:val="21"/>
                <w:szCs w:val="21"/>
              </w:rPr>
            </w:pPr>
            <w:r>
              <w:rPr>
                <w:rFonts w:ascii="Times New Roman"/>
                <w:sz w:val="21"/>
                <w:szCs w:val="21"/>
              </w:rPr>
              <w:t>Q≥20000或W≥600000</w:t>
            </w:r>
          </w:p>
        </w:tc>
      </w:tr>
      <w:tr w14:paraId="416E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Align w:val="center"/>
          </w:tcPr>
          <w:p w14:paraId="18F7147A">
            <w:pPr>
              <w:adjustRightInd w:val="0"/>
              <w:rPr>
                <w:rFonts w:ascii="Times New Roman"/>
                <w:sz w:val="21"/>
                <w:szCs w:val="21"/>
              </w:rPr>
            </w:pPr>
            <w:r>
              <w:rPr>
                <w:rFonts w:ascii="Times New Roman"/>
                <w:sz w:val="21"/>
                <w:szCs w:val="21"/>
              </w:rPr>
              <w:t>二级</w:t>
            </w:r>
          </w:p>
        </w:tc>
        <w:tc>
          <w:tcPr>
            <w:tcW w:w="2056" w:type="dxa"/>
            <w:vAlign w:val="center"/>
          </w:tcPr>
          <w:p w14:paraId="2E8CE2A9">
            <w:pPr>
              <w:adjustRightInd w:val="0"/>
              <w:rPr>
                <w:rFonts w:ascii="Times New Roman"/>
                <w:sz w:val="21"/>
                <w:szCs w:val="21"/>
              </w:rPr>
            </w:pPr>
            <w:r>
              <w:rPr>
                <w:rFonts w:ascii="Times New Roman"/>
                <w:sz w:val="21"/>
                <w:szCs w:val="21"/>
              </w:rPr>
              <w:t>直接排放</w:t>
            </w:r>
          </w:p>
        </w:tc>
        <w:tc>
          <w:tcPr>
            <w:tcW w:w="3626" w:type="dxa"/>
            <w:vAlign w:val="center"/>
          </w:tcPr>
          <w:p w14:paraId="399027DA">
            <w:pPr>
              <w:adjustRightInd w:val="0"/>
              <w:rPr>
                <w:rFonts w:ascii="Times New Roman"/>
                <w:sz w:val="21"/>
                <w:szCs w:val="21"/>
              </w:rPr>
            </w:pPr>
            <w:r>
              <w:rPr>
                <w:rFonts w:ascii="Times New Roman"/>
                <w:sz w:val="21"/>
                <w:szCs w:val="21"/>
              </w:rPr>
              <w:t>其他</w:t>
            </w:r>
          </w:p>
        </w:tc>
      </w:tr>
      <w:tr w14:paraId="1F72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Align w:val="center"/>
          </w:tcPr>
          <w:p w14:paraId="011DD58B">
            <w:pPr>
              <w:adjustRightInd w:val="0"/>
              <w:rPr>
                <w:rFonts w:ascii="Times New Roman"/>
                <w:sz w:val="21"/>
                <w:szCs w:val="21"/>
              </w:rPr>
            </w:pPr>
            <w:r>
              <w:rPr>
                <w:rFonts w:ascii="Times New Roman"/>
                <w:sz w:val="21"/>
                <w:szCs w:val="21"/>
              </w:rPr>
              <w:t>三级A</w:t>
            </w:r>
          </w:p>
        </w:tc>
        <w:tc>
          <w:tcPr>
            <w:tcW w:w="2056" w:type="dxa"/>
            <w:vAlign w:val="center"/>
          </w:tcPr>
          <w:p w14:paraId="2260C8BC">
            <w:pPr>
              <w:adjustRightInd w:val="0"/>
              <w:rPr>
                <w:rFonts w:ascii="Times New Roman"/>
                <w:sz w:val="21"/>
                <w:szCs w:val="21"/>
              </w:rPr>
            </w:pPr>
            <w:r>
              <w:rPr>
                <w:rFonts w:ascii="Times New Roman"/>
                <w:sz w:val="21"/>
                <w:szCs w:val="21"/>
              </w:rPr>
              <w:t>直接排放</w:t>
            </w:r>
          </w:p>
        </w:tc>
        <w:tc>
          <w:tcPr>
            <w:tcW w:w="3626" w:type="dxa"/>
            <w:vAlign w:val="center"/>
          </w:tcPr>
          <w:p w14:paraId="299DD421">
            <w:pPr>
              <w:adjustRightInd w:val="0"/>
              <w:rPr>
                <w:rFonts w:ascii="Times New Roman"/>
                <w:sz w:val="21"/>
                <w:szCs w:val="21"/>
              </w:rPr>
            </w:pPr>
            <w:r>
              <w:rPr>
                <w:rFonts w:ascii="Times New Roman"/>
                <w:sz w:val="21"/>
                <w:szCs w:val="21"/>
              </w:rPr>
              <w:t>Q＜200且W小于6000</w:t>
            </w:r>
          </w:p>
        </w:tc>
      </w:tr>
      <w:tr w14:paraId="7CE9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vAlign w:val="center"/>
          </w:tcPr>
          <w:p w14:paraId="730EAF06">
            <w:pPr>
              <w:adjustRightInd w:val="0"/>
              <w:rPr>
                <w:rFonts w:ascii="Times New Roman"/>
                <w:sz w:val="21"/>
                <w:szCs w:val="21"/>
              </w:rPr>
            </w:pPr>
            <w:r>
              <w:rPr>
                <w:rFonts w:ascii="Times New Roman"/>
                <w:sz w:val="21"/>
                <w:szCs w:val="21"/>
              </w:rPr>
              <w:t>三级B</w:t>
            </w:r>
          </w:p>
        </w:tc>
        <w:tc>
          <w:tcPr>
            <w:tcW w:w="2056" w:type="dxa"/>
            <w:vAlign w:val="center"/>
          </w:tcPr>
          <w:p w14:paraId="1EA98C39">
            <w:pPr>
              <w:adjustRightInd w:val="0"/>
              <w:rPr>
                <w:rFonts w:ascii="Times New Roman"/>
                <w:sz w:val="21"/>
                <w:szCs w:val="21"/>
              </w:rPr>
            </w:pPr>
            <w:r>
              <w:rPr>
                <w:rFonts w:ascii="Times New Roman"/>
                <w:sz w:val="21"/>
                <w:szCs w:val="21"/>
              </w:rPr>
              <w:t>间接排放</w:t>
            </w:r>
          </w:p>
        </w:tc>
        <w:tc>
          <w:tcPr>
            <w:tcW w:w="3626" w:type="dxa"/>
            <w:vAlign w:val="center"/>
          </w:tcPr>
          <w:p w14:paraId="5139446D">
            <w:pPr>
              <w:adjustRightInd w:val="0"/>
              <w:rPr>
                <w:rFonts w:ascii="Times New Roman"/>
                <w:sz w:val="21"/>
                <w:szCs w:val="21"/>
              </w:rPr>
            </w:pPr>
            <w:r>
              <w:rPr>
                <w:rFonts w:ascii="Times New Roman"/>
                <w:sz w:val="21"/>
                <w:szCs w:val="21"/>
              </w:rPr>
              <w:t>-</w:t>
            </w:r>
          </w:p>
        </w:tc>
      </w:tr>
    </w:tbl>
    <w:p w14:paraId="4BE030BA">
      <w:pPr>
        <w:spacing w:line="480" w:lineRule="exact"/>
        <w:ind w:firstLine="480" w:firstLineChars="200"/>
        <w:rPr>
          <w:rFonts w:ascii="Times New Roman"/>
          <w:sz w:val="24"/>
          <w:szCs w:val="24"/>
        </w:rPr>
      </w:pPr>
      <w:r>
        <w:rPr>
          <w:rFonts w:ascii="Times New Roman"/>
          <w:sz w:val="24"/>
          <w:szCs w:val="22"/>
        </w:rPr>
        <w:t>项目排水主要为</w:t>
      </w:r>
      <w:r>
        <w:rPr>
          <w:rFonts w:hint="eastAsia" w:ascii="Times New Roman"/>
          <w:sz w:val="24"/>
          <w:szCs w:val="22"/>
        </w:rPr>
        <w:t>生产废水和</w:t>
      </w:r>
      <w:r>
        <w:rPr>
          <w:rFonts w:ascii="Times New Roman"/>
          <w:sz w:val="24"/>
          <w:szCs w:val="22"/>
        </w:rPr>
        <w:t>生活污水</w:t>
      </w:r>
      <w:r>
        <w:rPr>
          <w:rFonts w:hint="eastAsia" w:ascii="Times New Roman"/>
          <w:sz w:val="24"/>
          <w:szCs w:val="22"/>
        </w:rPr>
        <w:t>，食堂废水采用隔油池与处理后与日常生活污水</w:t>
      </w:r>
      <w:r>
        <w:rPr>
          <w:rFonts w:ascii="Times New Roman"/>
          <w:sz w:val="24"/>
          <w:szCs w:val="22"/>
        </w:rPr>
        <w:t>经化粪池预处理</w:t>
      </w:r>
      <w:r>
        <w:rPr>
          <w:rFonts w:hint="eastAsia" w:ascii="Times New Roman"/>
          <w:sz w:val="24"/>
          <w:szCs w:val="22"/>
        </w:rPr>
        <w:t>；水洗、纯水洗2、电泳槽清洗废水先经预处理反应斜管沉淀槽处理后，热水洗与预脱脂、脱脂、硅烷化槽体清洗废水一同进入污水处理站“一体化气浮槽+综合反应斜管沉淀槽+综合芬顿反应槽+多介质过滤器+活性炭过滤器”系统进行处理，处理达标后由园区污水管网，入园区污水处理厂进一步处理</w:t>
      </w:r>
      <w:r>
        <w:rPr>
          <w:rFonts w:ascii="Times New Roman"/>
          <w:sz w:val="24"/>
          <w:szCs w:val="22"/>
        </w:rPr>
        <w:t>。污泥经压滤后，委托资质单位处置。</w:t>
      </w:r>
    </w:p>
    <w:p w14:paraId="0673561C">
      <w:pPr>
        <w:spacing w:line="480" w:lineRule="exact"/>
        <w:ind w:firstLine="480" w:firstLineChars="200"/>
        <w:rPr>
          <w:rFonts w:ascii="Times New Roman"/>
          <w:sz w:val="24"/>
        </w:rPr>
      </w:pPr>
      <w:r>
        <w:rPr>
          <w:rFonts w:ascii="Times New Roman"/>
          <w:sz w:val="24"/>
          <w:szCs w:val="24"/>
        </w:rPr>
        <w:t>根据《环境影响评价技术导则 地表水环境》（HJ2.3-2018）中的相关规定，评价等级为三级B，</w:t>
      </w:r>
      <w:r>
        <w:rPr>
          <w:rFonts w:ascii="Times New Roman"/>
          <w:sz w:val="24"/>
          <w:szCs w:val="22"/>
        </w:rPr>
        <w:t>着重分析废水处理工艺有效性、废水排入曹妃甸装备制造园区污水处理站可行性</w:t>
      </w:r>
      <w:r>
        <w:rPr>
          <w:rFonts w:ascii="Times New Roman"/>
          <w:sz w:val="24"/>
        </w:rPr>
        <w:t>。</w:t>
      </w:r>
    </w:p>
    <w:p w14:paraId="6C5C7F09">
      <w:pPr>
        <w:spacing w:line="520" w:lineRule="exact"/>
        <w:outlineLvl w:val="3"/>
        <w:rPr>
          <w:rFonts w:ascii="Times New Roman"/>
          <w:b/>
          <w:sz w:val="24"/>
          <w:szCs w:val="24"/>
        </w:rPr>
      </w:pPr>
      <w:r>
        <w:rPr>
          <w:rFonts w:ascii="Times New Roman"/>
          <w:b/>
          <w:sz w:val="24"/>
          <w:szCs w:val="24"/>
        </w:rPr>
        <w:t>2.5.2.2地下水环境影响评价等级及范围</w:t>
      </w:r>
    </w:p>
    <w:p w14:paraId="033BEC5C">
      <w:pPr>
        <w:spacing w:line="480" w:lineRule="exact"/>
        <w:ind w:firstLine="480" w:firstLineChars="200"/>
        <w:rPr>
          <w:rFonts w:ascii="Times New Roman"/>
          <w:snapToGrid w:val="0"/>
          <w:sz w:val="24"/>
          <w:szCs w:val="24"/>
        </w:rPr>
      </w:pPr>
      <w:r>
        <w:rPr>
          <w:rFonts w:ascii="Times New Roman"/>
          <w:snapToGrid w:val="0"/>
          <w:sz w:val="24"/>
          <w:szCs w:val="24"/>
        </w:rPr>
        <w:t>一、地下水环境评价等级</w:t>
      </w:r>
    </w:p>
    <w:p w14:paraId="03E43BDB">
      <w:pPr>
        <w:spacing w:line="480" w:lineRule="exact"/>
        <w:ind w:firstLine="480" w:firstLineChars="200"/>
        <w:rPr>
          <w:rFonts w:ascii="Times New Roman"/>
          <w:snapToGrid w:val="0"/>
          <w:sz w:val="24"/>
          <w:szCs w:val="24"/>
        </w:rPr>
      </w:pPr>
      <w:r>
        <w:rPr>
          <w:rFonts w:ascii="Times New Roman"/>
          <w:snapToGrid w:val="0"/>
          <w:sz w:val="24"/>
          <w:szCs w:val="24"/>
        </w:rPr>
        <w:t>（1）建设项目分类</w:t>
      </w:r>
    </w:p>
    <w:p w14:paraId="6386827F">
      <w:pPr>
        <w:spacing w:line="480" w:lineRule="exact"/>
        <w:ind w:firstLine="480" w:firstLineChars="200"/>
        <w:rPr>
          <w:rFonts w:ascii="Times New Roman"/>
          <w:sz w:val="24"/>
          <w:szCs w:val="20"/>
        </w:rPr>
      </w:pPr>
      <w:r>
        <w:rPr>
          <w:rFonts w:ascii="Times New Roman"/>
          <w:sz w:val="24"/>
          <w:szCs w:val="20"/>
        </w:rPr>
        <w:t>根据《环境影响评价技术导则－地下水环境》（HJ610-2016）附录A，本项目所属行业类别为“71、通用、专用设备制造及维修-有电镀或喷漆工艺的”，地下水环境影响评价项目报告书类别为“Ⅲ类”，因此，地下水环境影响评价等级判定中项目类别按“Ⅲ类”进行评价。</w:t>
      </w:r>
    </w:p>
    <w:p w14:paraId="51C10410">
      <w:pPr>
        <w:spacing w:line="480" w:lineRule="exact"/>
        <w:ind w:firstLine="480" w:firstLineChars="200"/>
        <w:rPr>
          <w:rFonts w:ascii="Times New Roman"/>
          <w:sz w:val="24"/>
          <w:szCs w:val="24"/>
        </w:rPr>
      </w:pPr>
      <w:r>
        <w:rPr>
          <w:rFonts w:ascii="Times New Roman"/>
          <w:sz w:val="24"/>
          <w:szCs w:val="24"/>
        </w:rPr>
        <w:t>（2）建设项目地下水环境敏感程度</w:t>
      </w:r>
    </w:p>
    <w:p w14:paraId="2ACA7BD3">
      <w:pPr>
        <w:spacing w:line="480" w:lineRule="exact"/>
        <w:ind w:firstLine="482"/>
        <w:rPr>
          <w:rFonts w:ascii="Times New Roman"/>
          <w:sz w:val="24"/>
          <w:szCs w:val="24"/>
        </w:rPr>
      </w:pPr>
      <w:r>
        <w:rPr>
          <w:rFonts w:ascii="Times New Roman"/>
          <w:sz w:val="24"/>
          <w:szCs w:val="24"/>
        </w:rPr>
        <w:t>根据《环境影响评价技术导则 地下水环境》（HJ610-2016），建设项目地下水环境敏感程度可分为敏感、较敏感、不敏感三级，具体分级原则见表2.5-6。</w:t>
      </w:r>
    </w:p>
    <w:p w14:paraId="7EBD6E1B">
      <w:pPr>
        <w:spacing w:line="480" w:lineRule="exact"/>
        <w:jc w:val="center"/>
        <w:rPr>
          <w:rFonts w:ascii="Times New Roman"/>
          <w:b/>
          <w:bCs/>
          <w:snapToGrid w:val="0"/>
          <w:sz w:val="24"/>
          <w:szCs w:val="24"/>
        </w:rPr>
      </w:pPr>
      <w:r>
        <w:rPr>
          <w:rFonts w:ascii="Times New Roman"/>
          <w:b/>
          <w:bCs/>
          <w:snapToGrid w:val="0"/>
          <w:sz w:val="24"/>
          <w:szCs w:val="24"/>
        </w:rPr>
        <w:t>表2.5-6  地下水环境敏感程度分级表</w:t>
      </w:r>
    </w:p>
    <w:tbl>
      <w:tblPr>
        <w:tblStyle w:val="84"/>
        <w:tblW w:w="82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1271"/>
        <w:gridCol w:w="7005"/>
      </w:tblGrid>
      <w:tr w14:paraId="5DCA9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363" w:hRule="atLeast"/>
          <w:jc w:val="center"/>
        </w:trPr>
        <w:tc>
          <w:tcPr>
            <w:tcW w:w="1271" w:type="dxa"/>
            <w:vAlign w:val="center"/>
          </w:tcPr>
          <w:p w14:paraId="7A863C84">
            <w:pPr>
              <w:spacing w:line="300" w:lineRule="exact"/>
              <w:jc w:val="center"/>
              <w:rPr>
                <w:rFonts w:ascii="Times New Roman"/>
                <w:sz w:val="21"/>
                <w:szCs w:val="24"/>
              </w:rPr>
            </w:pPr>
            <w:r>
              <w:rPr>
                <w:rFonts w:ascii="Times New Roman"/>
                <w:sz w:val="21"/>
                <w:szCs w:val="24"/>
              </w:rPr>
              <w:t>敏感程度</w:t>
            </w:r>
          </w:p>
        </w:tc>
        <w:tc>
          <w:tcPr>
            <w:tcW w:w="7005" w:type="dxa"/>
            <w:vAlign w:val="center"/>
          </w:tcPr>
          <w:p w14:paraId="2D178684">
            <w:pPr>
              <w:spacing w:line="300" w:lineRule="exact"/>
              <w:jc w:val="center"/>
              <w:rPr>
                <w:rFonts w:ascii="Times New Roman"/>
                <w:sz w:val="21"/>
                <w:szCs w:val="24"/>
              </w:rPr>
            </w:pPr>
            <w:r>
              <w:rPr>
                <w:rFonts w:ascii="Times New Roman"/>
                <w:sz w:val="21"/>
                <w:szCs w:val="24"/>
              </w:rPr>
              <w:t>地下水环境敏感特征</w:t>
            </w:r>
          </w:p>
        </w:tc>
      </w:tr>
      <w:tr w14:paraId="26D3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363" w:hRule="atLeast"/>
          <w:jc w:val="center"/>
        </w:trPr>
        <w:tc>
          <w:tcPr>
            <w:tcW w:w="1271" w:type="dxa"/>
            <w:vAlign w:val="center"/>
          </w:tcPr>
          <w:p w14:paraId="09CABA8A">
            <w:pPr>
              <w:spacing w:line="300" w:lineRule="exact"/>
              <w:jc w:val="center"/>
              <w:rPr>
                <w:rFonts w:ascii="Times New Roman"/>
                <w:sz w:val="21"/>
                <w:szCs w:val="24"/>
              </w:rPr>
            </w:pPr>
            <w:r>
              <w:rPr>
                <w:rFonts w:ascii="Times New Roman"/>
                <w:sz w:val="21"/>
                <w:szCs w:val="24"/>
              </w:rPr>
              <w:t>敏感</w:t>
            </w:r>
          </w:p>
        </w:tc>
        <w:tc>
          <w:tcPr>
            <w:tcW w:w="7005" w:type="dxa"/>
            <w:vAlign w:val="center"/>
          </w:tcPr>
          <w:p w14:paraId="0A2BECEF">
            <w:pPr>
              <w:spacing w:line="300" w:lineRule="exact"/>
              <w:jc w:val="left"/>
              <w:rPr>
                <w:rFonts w:ascii="Times New Roman"/>
                <w:sz w:val="21"/>
                <w:szCs w:val="24"/>
              </w:rPr>
            </w:pPr>
            <w:r>
              <w:rPr>
                <w:rFonts w:ascii="Times New Roman"/>
                <w:sz w:val="21"/>
                <w:szCs w:val="24"/>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12668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363" w:hRule="atLeast"/>
          <w:jc w:val="center"/>
        </w:trPr>
        <w:tc>
          <w:tcPr>
            <w:tcW w:w="1271" w:type="dxa"/>
            <w:vAlign w:val="center"/>
          </w:tcPr>
          <w:p w14:paraId="1C817EB5">
            <w:pPr>
              <w:spacing w:line="300" w:lineRule="exact"/>
              <w:jc w:val="center"/>
              <w:rPr>
                <w:rFonts w:ascii="Times New Roman"/>
                <w:sz w:val="21"/>
                <w:szCs w:val="24"/>
              </w:rPr>
            </w:pPr>
            <w:r>
              <w:rPr>
                <w:rFonts w:ascii="Times New Roman"/>
                <w:sz w:val="21"/>
                <w:szCs w:val="24"/>
              </w:rPr>
              <w:t>较敏感</w:t>
            </w:r>
          </w:p>
        </w:tc>
        <w:tc>
          <w:tcPr>
            <w:tcW w:w="7005" w:type="dxa"/>
            <w:vAlign w:val="center"/>
          </w:tcPr>
          <w:p w14:paraId="33284744">
            <w:pPr>
              <w:spacing w:line="300" w:lineRule="exact"/>
              <w:jc w:val="left"/>
              <w:rPr>
                <w:rFonts w:ascii="Times New Roman"/>
                <w:sz w:val="21"/>
                <w:szCs w:val="24"/>
              </w:rPr>
            </w:pPr>
            <w:r>
              <w:rPr>
                <w:rFonts w:ascii="Times New Roman"/>
                <w:sz w:val="21"/>
                <w:szCs w:val="24"/>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sz w:val="21"/>
                <w:szCs w:val="24"/>
                <w:vertAlign w:val="superscript"/>
              </w:rPr>
              <w:t>a</w:t>
            </w:r>
            <w:r>
              <w:rPr>
                <w:rFonts w:ascii="Times New Roman"/>
                <w:sz w:val="21"/>
                <w:szCs w:val="24"/>
              </w:rPr>
              <w:t>。</w:t>
            </w:r>
          </w:p>
        </w:tc>
      </w:tr>
      <w:tr w14:paraId="65A01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363" w:hRule="atLeast"/>
          <w:jc w:val="center"/>
        </w:trPr>
        <w:tc>
          <w:tcPr>
            <w:tcW w:w="1271" w:type="dxa"/>
            <w:vAlign w:val="center"/>
          </w:tcPr>
          <w:p w14:paraId="34940EED">
            <w:pPr>
              <w:spacing w:line="300" w:lineRule="exact"/>
              <w:jc w:val="center"/>
              <w:rPr>
                <w:rFonts w:ascii="Times New Roman"/>
                <w:sz w:val="21"/>
                <w:szCs w:val="24"/>
              </w:rPr>
            </w:pPr>
            <w:r>
              <w:rPr>
                <w:rFonts w:ascii="Times New Roman"/>
                <w:sz w:val="21"/>
                <w:szCs w:val="24"/>
              </w:rPr>
              <w:t>不敏感</w:t>
            </w:r>
          </w:p>
        </w:tc>
        <w:tc>
          <w:tcPr>
            <w:tcW w:w="7005" w:type="dxa"/>
            <w:vAlign w:val="center"/>
          </w:tcPr>
          <w:p w14:paraId="3532F3A9">
            <w:pPr>
              <w:spacing w:line="300" w:lineRule="exact"/>
              <w:jc w:val="center"/>
              <w:rPr>
                <w:rFonts w:ascii="Times New Roman"/>
                <w:sz w:val="21"/>
                <w:szCs w:val="24"/>
              </w:rPr>
            </w:pPr>
            <w:r>
              <w:rPr>
                <w:rFonts w:ascii="Times New Roman"/>
                <w:sz w:val="21"/>
                <w:szCs w:val="24"/>
              </w:rPr>
              <w:t>上述地区之外的其他地区。</w:t>
            </w:r>
          </w:p>
        </w:tc>
      </w:tr>
      <w:tr w14:paraId="0D21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363" w:hRule="atLeast"/>
          <w:jc w:val="center"/>
        </w:trPr>
        <w:tc>
          <w:tcPr>
            <w:tcW w:w="8276" w:type="dxa"/>
            <w:gridSpan w:val="2"/>
            <w:vAlign w:val="center"/>
          </w:tcPr>
          <w:p w14:paraId="70EAB113">
            <w:pPr>
              <w:spacing w:line="300" w:lineRule="exact"/>
              <w:jc w:val="left"/>
              <w:rPr>
                <w:rFonts w:ascii="Times New Roman"/>
                <w:sz w:val="21"/>
                <w:szCs w:val="24"/>
              </w:rPr>
            </w:pPr>
            <w:r>
              <w:rPr>
                <w:rFonts w:ascii="Times New Roman"/>
                <w:sz w:val="21"/>
                <w:szCs w:val="24"/>
              </w:rPr>
              <w:t>注：a“环境敏感程度”是指《建设项目环境影响评价分类管理名录》中所界定的涉及地下水的环境敏感区</w:t>
            </w:r>
          </w:p>
        </w:tc>
      </w:tr>
    </w:tbl>
    <w:p w14:paraId="360D2A29">
      <w:pPr>
        <w:spacing w:line="480" w:lineRule="exact"/>
        <w:ind w:firstLine="482"/>
        <w:rPr>
          <w:rFonts w:ascii="Times New Roman"/>
          <w:sz w:val="24"/>
          <w:szCs w:val="24"/>
        </w:rPr>
      </w:pPr>
      <w:r>
        <w:rPr>
          <w:rFonts w:ascii="Times New Roman"/>
          <w:sz w:val="24"/>
          <w:szCs w:val="24"/>
        </w:rPr>
        <w:t>建设项目场地不在集中式饮用水水源准保护区、特殊地下水资源保护区，也不在集中式饮用水水源准保护区以外的补给径流区，评价区域范围内地下水径流上、下游方向无分散饮用水井。因此，项目所在区域地下水环境敏感程度为“不敏感”。</w:t>
      </w:r>
    </w:p>
    <w:p w14:paraId="0A1FB485">
      <w:pPr>
        <w:widowControl/>
        <w:spacing w:line="480" w:lineRule="exact"/>
        <w:ind w:firstLine="482"/>
        <w:jc w:val="left"/>
        <w:rPr>
          <w:rFonts w:ascii="Times New Roman"/>
          <w:snapToGrid w:val="0"/>
          <w:sz w:val="24"/>
          <w:szCs w:val="24"/>
        </w:rPr>
      </w:pPr>
      <w:bookmarkStart w:id="56" w:name="_Toc448148893"/>
      <w:r>
        <w:rPr>
          <w:rFonts w:ascii="Times New Roman"/>
          <w:snapToGrid w:val="0"/>
          <w:sz w:val="24"/>
          <w:szCs w:val="24"/>
        </w:rPr>
        <w:t>（3）</w:t>
      </w:r>
      <w:bookmarkEnd w:id="56"/>
      <w:r>
        <w:rPr>
          <w:rFonts w:ascii="Times New Roman"/>
          <w:snapToGrid w:val="0"/>
          <w:sz w:val="24"/>
          <w:szCs w:val="24"/>
        </w:rPr>
        <w:t>评价等级确定</w:t>
      </w:r>
    </w:p>
    <w:p w14:paraId="2D7EF776">
      <w:pPr>
        <w:spacing w:line="480" w:lineRule="exact"/>
        <w:ind w:firstLine="482"/>
        <w:rPr>
          <w:rFonts w:ascii="Times New Roman"/>
          <w:sz w:val="24"/>
          <w:szCs w:val="24"/>
        </w:rPr>
      </w:pPr>
      <w:bookmarkStart w:id="57" w:name="_Toc448148894"/>
      <w:r>
        <w:rPr>
          <w:rFonts w:ascii="Times New Roman"/>
          <w:sz w:val="24"/>
          <w:szCs w:val="24"/>
        </w:rPr>
        <w:t>根据《环境影响评价技术导则 地下水环境》（HJ610-2016），建设项目地下水环境评价等级根据建设项目类别、建设区域地下水敏感程度来确定。评价等级分级见表2.5-7。</w:t>
      </w:r>
    </w:p>
    <w:p w14:paraId="52FF5978">
      <w:pPr>
        <w:overflowPunct w:val="0"/>
        <w:spacing w:line="440" w:lineRule="exact"/>
        <w:jc w:val="center"/>
        <w:rPr>
          <w:rFonts w:ascii="Times New Roman"/>
          <w:b/>
          <w:snapToGrid w:val="0"/>
          <w:sz w:val="24"/>
          <w:szCs w:val="24"/>
        </w:rPr>
      </w:pPr>
      <w:r>
        <w:rPr>
          <w:rFonts w:ascii="Times New Roman"/>
          <w:b/>
          <w:snapToGrid w:val="0"/>
          <w:sz w:val="24"/>
          <w:szCs w:val="24"/>
        </w:rPr>
        <w:t>表2.5-7  评价工作等级分级表</w:t>
      </w:r>
      <w:bookmarkEnd w:id="57"/>
    </w:p>
    <w:tbl>
      <w:tblPr>
        <w:tblStyle w:val="8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2027"/>
        <w:gridCol w:w="2027"/>
        <w:gridCol w:w="2026"/>
      </w:tblGrid>
      <w:tr w14:paraId="2416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35" w:type="pct"/>
            <w:tcBorders>
              <w:tl2br w:val="single" w:color="auto" w:sz="4" w:space="0"/>
            </w:tcBorders>
            <w:vAlign w:val="center"/>
          </w:tcPr>
          <w:p w14:paraId="6F3F3A7C">
            <w:pPr>
              <w:overflowPunct w:val="0"/>
              <w:spacing w:line="320" w:lineRule="exact"/>
              <w:jc w:val="right"/>
              <w:rPr>
                <w:rFonts w:ascii="Times New Roman"/>
                <w:snapToGrid w:val="0"/>
                <w:sz w:val="21"/>
                <w:szCs w:val="21"/>
              </w:rPr>
            </w:pPr>
            <w:bookmarkStart w:id="58" w:name="_Toc448148895"/>
            <w:r>
              <w:rPr>
                <w:rFonts w:ascii="Times New Roman"/>
                <w:snapToGrid w:val="0"/>
                <w:sz w:val="21"/>
                <w:szCs w:val="21"/>
              </w:rPr>
              <w:t>项目类别</w:t>
            </w:r>
            <w:bookmarkEnd w:id="58"/>
          </w:p>
          <w:p w14:paraId="7EFDD573">
            <w:pPr>
              <w:overflowPunct w:val="0"/>
              <w:spacing w:line="320" w:lineRule="exact"/>
              <w:rPr>
                <w:rFonts w:ascii="Times New Roman"/>
                <w:snapToGrid w:val="0"/>
                <w:sz w:val="21"/>
                <w:szCs w:val="21"/>
              </w:rPr>
            </w:pPr>
            <w:bookmarkStart w:id="59" w:name="_Toc448148896"/>
            <w:r>
              <w:rPr>
                <w:rFonts w:ascii="Times New Roman"/>
                <w:snapToGrid w:val="0"/>
                <w:sz w:val="21"/>
                <w:szCs w:val="21"/>
              </w:rPr>
              <w:t>环境敏感程度</w:t>
            </w:r>
            <w:bookmarkEnd w:id="59"/>
          </w:p>
        </w:tc>
        <w:tc>
          <w:tcPr>
            <w:tcW w:w="1222" w:type="pct"/>
            <w:vAlign w:val="center"/>
          </w:tcPr>
          <w:p w14:paraId="25AF7811">
            <w:pPr>
              <w:overflowPunct w:val="0"/>
              <w:spacing w:line="320" w:lineRule="exact"/>
              <w:jc w:val="center"/>
              <w:rPr>
                <w:rFonts w:ascii="Times New Roman"/>
                <w:snapToGrid w:val="0"/>
                <w:sz w:val="21"/>
                <w:szCs w:val="21"/>
              </w:rPr>
            </w:pPr>
            <w:bookmarkStart w:id="60" w:name="_Toc448148897"/>
            <w:r>
              <w:rPr>
                <w:rFonts w:ascii="Times New Roman"/>
                <w:snapToGrid w:val="0"/>
                <w:sz w:val="21"/>
                <w:szCs w:val="21"/>
              </w:rPr>
              <w:t>Ⅰ类项目</w:t>
            </w:r>
            <w:bookmarkEnd w:id="60"/>
          </w:p>
        </w:tc>
        <w:tc>
          <w:tcPr>
            <w:tcW w:w="1222" w:type="pct"/>
            <w:vAlign w:val="center"/>
          </w:tcPr>
          <w:p w14:paraId="7149D9A7">
            <w:pPr>
              <w:overflowPunct w:val="0"/>
              <w:spacing w:line="320" w:lineRule="exact"/>
              <w:jc w:val="center"/>
              <w:rPr>
                <w:rFonts w:ascii="Times New Roman"/>
                <w:snapToGrid w:val="0"/>
                <w:sz w:val="21"/>
                <w:szCs w:val="21"/>
              </w:rPr>
            </w:pPr>
            <w:bookmarkStart w:id="61" w:name="_Toc448148898"/>
            <w:r>
              <w:rPr>
                <w:rFonts w:ascii="Times New Roman"/>
                <w:snapToGrid w:val="0"/>
                <w:sz w:val="21"/>
                <w:szCs w:val="21"/>
              </w:rPr>
              <w:t>Ⅱ类项目</w:t>
            </w:r>
            <w:bookmarkEnd w:id="61"/>
          </w:p>
        </w:tc>
        <w:tc>
          <w:tcPr>
            <w:tcW w:w="1222" w:type="pct"/>
            <w:vAlign w:val="center"/>
          </w:tcPr>
          <w:p w14:paraId="6EBF71B9">
            <w:pPr>
              <w:overflowPunct w:val="0"/>
              <w:spacing w:line="320" w:lineRule="exact"/>
              <w:jc w:val="center"/>
              <w:rPr>
                <w:rFonts w:ascii="Times New Roman"/>
                <w:b/>
                <w:bCs/>
                <w:snapToGrid w:val="0"/>
                <w:sz w:val="21"/>
                <w:szCs w:val="21"/>
              </w:rPr>
            </w:pPr>
            <w:bookmarkStart w:id="62" w:name="_Toc448148899"/>
            <w:r>
              <w:rPr>
                <w:rFonts w:ascii="Times New Roman"/>
                <w:b/>
                <w:bCs/>
                <w:snapToGrid w:val="0"/>
                <w:sz w:val="21"/>
                <w:szCs w:val="21"/>
              </w:rPr>
              <w:t>Ⅲ类项目</w:t>
            </w:r>
            <w:bookmarkEnd w:id="62"/>
          </w:p>
        </w:tc>
      </w:tr>
      <w:tr w14:paraId="79A4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35" w:type="pct"/>
            <w:vAlign w:val="center"/>
          </w:tcPr>
          <w:p w14:paraId="09483F41">
            <w:pPr>
              <w:spacing w:line="320" w:lineRule="exact"/>
              <w:jc w:val="center"/>
              <w:rPr>
                <w:rFonts w:ascii="Times New Roman"/>
                <w:sz w:val="21"/>
                <w:szCs w:val="21"/>
              </w:rPr>
            </w:pPr>
            <w:bookmarkStart w:id="63" w:name="_Toc448148900"/>
            <w:r>
              <w:rPr>
                <w:rFonts w:ascii="Times New Roman"/>
                <w:sz w:val="21"/>
                <w:szCs w:val="21"/>
              </w:rPr>
              <w:t>敏感</w:t>
            </w:r>
            <w:bookmarkEnd w:id="63"/>
          </w:p>
        </w:tc>
        <w:tc>
          <w:tcPr>
            <w:tcW w:w="1222" w:type="pct"/>
            <w:tcBorders>
              <w:bottom w:val="single" w:color="auto" w:sz="4" w:space="0"/>
            </w:tcBorders>
            <w:vAlign w:val="center"/>
          </w:tcPr>
          <w:p w14:paraId="431838F5">
            <w:pPr>
              <w:spacing w:line="320" w:lineRule="exact"/>
              <w:jc w:val="center"/>
              <w:rPr>
                <w:rFonts w:ascii="Times New Roman"/>
                <w:sz w:val="21"/>
                <w:szCs w:val="21"/>
              </w:rPr>
            </w:pPr>
            <w:bookmarkStart w:id="64" w:name="_Toc448148901"/>
            <w:r>
              <w:rPr>
                <w:rFonts w:ascii="Times New Roman"/>
                <w:sz w:val="21"/>
                <w:szCs w:val="21"/>
              </w:rPr>
              <w:t>一</w:t>
            </w:r>
            <w:bookmarkEnd w:id="64"/>
          </w:p>
        </w:tc>
        <w:tc>
          <w:tcPr>
            <w:tcW w:w="1222" w:type="pct"/>
            <w:vAlign w:val="center"/>
          </w:tcPr>
          <w:p w14:paraId="2E04D210">
            <w:pPr>
              <w:spacing w:line="320" w:lineRule="exact"/>
              <w:jc w:val="center"/>
              <w:rPr>
                <w:rFonts w:ascii="Times New Roman"/>
                <w:sz w:val="21"/>
                <w:szCs w:val="21"/>
              </w:rPr>
            </w:pPr>
            <w:bookmarkStart w:id="65" w:name="_Toc448148902"/>
            <w:r>
              <w:rPr>
                <w:rFonts w:ascii="Times New Roman"/>
                <w:sz w:val="21"/>
                <w:szCs w:val="21"/>
              </w:rPr>
              <w:t>一</w:t>
            </w:r>
            <w:bookmarkEnd w:id="65"/>
          </w:p>
        </w:tc>
        <w:tc>
          <w:tcPr>
            <w:tcW w:w="1222" w:type="pct"/>
            <w:vAlign w:val="center"/>
          </w:tcPr>
          <w:p w14:paraId="1FE9BA8C">
            <w:pPr>
              <w:spacing w:line="320" w:lineRule="exact"/>
              <w:jc w:val="center"/>
              <w:rPr>
                <w:rFonts w:ascii="Times New Roman"/>
                <w:sz w:val="21"/>
                <w:szCs w:val="21"/>
              </w:rPr>
            </w:pPr>
            <w:bookmarkStart w:id="66" w:name="_Toc448148903"/>
            <w:r>
              <w:rPr>
                <w:rFonts w:ascii="Times New Roman"/>
                <w:sz w:val="21"/>
                <w:szCs w:val="21"/>
              </w:rPr>
              <w:t>二</w:t>
            </w:r>
            <w:bookmarkEnd w:id="66"/>
          </w:p>
        </w:tc>
      </w:tr>
      <w:tr w14:paraId="4D20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35" w:type="pct"/>
            <w:shd w:val="clear" w:color="auto" w:fill="auto"/>
            <w:vAlign w:val="center"/>
          </w:tcPr>
          <w:p w14:paraId="67EADF4A">
            <w:pPr>
              <w:spacing w:line="320" w:lineRule="exact"/>
              <w:jc w:val="center"/>
              <w:rPr>
                <w:rFonts w:ascii="Times New Roman"/>
                <w:sz w:val="21"/>
                <w:szCs w:val="21"/>
              </w:rPr>
            </w:pPr>
            <w:bookmarkStart w:id="67" w:name="_Toc448148904"/>
            <w:r>
              <w:rPr>
                <w:rFonts w:ascii="Times New Roman"/>
                <w:sz w:val="21"/>
                <w:szCs w:val="21"/>
              </w:rPr>
              <w:t>较敏感</w:t>
            </w:r>
            <w:bookmarkEnd w:id="67"/>
          </w:p>
        </w:tc>
        <w:tc>
          <w:tcPr>
            <w:tcW w:w="1222" w:type="pct"/>
            <w:shd w:val="clear" w:color="auto" w:fill="auto"/>
            <w:vAlign w:val="center"/>
          </w:tcPr>
          <w:p w14:paraId="3FBEE348">
            <w:pPr>
              <w:spacing w:line="320" w:lineRule="exact"/>
              <w:jc w:val="center"/>
              <w:rPr>
                <w:rFonts w:ascii="Times New Roman"/>
                <w:sz w:val="21"/>
                <w:szCs w:val="21"/>
              </w:rPr>
            </w:pPr>
            <w:bookmarkStart w:id="68" w:name="_Toc448148905"/>
            <w:r>
              <w:rPr>
                <w:rFonts w:ascii="Times New Roman"/>
                <w:sz w:val="21"/>
                <w:szCs w:val="21"/>
              </w:rPr>
              <w:t>一</w:t>
            </w:r>
            <w:bookmarkEnd w:id="68"/>
          </w:p>
        </w:tc>
        <w:tc>
          <w:tcPr>
            <w:tcW w:w="1222" w:type="pct"/>
            <w:vAlign w:val="center"/>
          </w:tcPr>
          <w:p w14:paraId="53FDACAC">
            <w:pPr>
              <w:spacing w:line="320" w:lineRule="exact"/>
              <w:jc w:val="center"/>
              <w:rPr>
                <w:rFonts w:ascii="Times New Roman"/>
                <w:sz w:val="21"/>
                <w:szCs w:val="21"/>
              </w:rPr>
            </w:pPr>
            <w:bookmarkStart w:id="69" w:name="_Toc448148906"/>
            <w:r>
              <w:rPr>
                <w:rFonts w:ascii="Times New Roman"/>
                <w:sz w:val="21"/>
                <w:szCs w:val="21"/>
              </w:rPr>
              <w:t>二</w:t>
            </w:r>
            <w:bookmarkEnd w:id="69"/>
          </w:p>
        </w:tc>
        <w:tc>
          <w:tcPr>
            <w:tcW w:w="1222" w:type="pct"/>
            <w:vAlign w:val="center"/>
          </w:tcPr>
          <w:p w14:paraId="025B0CC4">
            <w:pPr>
              <w:spacing w:line="320" w:lineRule="exact"/>
              <w:jc w:val="center"/>
              <w:rPr>
                <w:rFonts w:ascii="Times New Roman"/>
                <w:sz w:val="21"/>
                <w:szCs w:val="21"/>
              </w:rPr>
            </w:pPr>
            <w:bookmarkStart w:id="70" w:name="_Toc448148907"/>
            <w:r>
              <w:rPr>
                <w:rFonts w:ascii="Times New Roman"/>
                <w:sz w:val="21"/>
                <w:szCs w:val="21"/>
              </w:rPr>
              <w:t>三</w:t>
            </w:r>
            <w:bookmarkEnd w:id="70"/>
          </w:p>
        </w:tc>
      </w:tr>
      <w:tr w14:paraId="0771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35" w:type="pct"/>
            <w:vAlign w:val="center"/>
          </w:tcPr>
          <w:p w14:paraId="09F6CC33">
            <w:pPr>
              <w:spacing w:line="320" w:lineRule="exact"/>
              <w:jc w:val="center"/>
              <w:rPr>
                <w:rFonts w:ascii="Times New Roman"/>
                <w:b/>
                <w:bCs/>
                <w:sz w:val="21"/>
                <w:szCs w:val="21"/>
              </w:rPr>
            </w:pPr>
            <w:bookmarkStart w:id="71" w:name="_Toc448148908"/>
            <w:r>
              <w:rPr>
                <w:rFonts w:ascii="Times New Roman"/>
                <w:b/>
                <w:bCs/>
                <w:sz w:val="21"/>
                <w:szCs w:val="21"/>
              </w:rPr>
              <w:t>不敏感</w:t>
            </w:r>
            <w:bookmarkEnd w:id="71"/>
          </w:p>
        </w:tc>
        <w:tc>
          <w:tcPr>
            <w:tcW w:w="1222" w:type="pct"/>
            <w:vAlign w:val="center"/>
          </w:tcPr>
          <w:p w14:paraId="43CA8D8E">
            <w:pPr>
              <w:spacing w:line="320" w:lineRule="exact"/>
              <w:jc w:val="center"/>
              <w:rPr>
                <w:rFonts w:ascii="Times New Roman"/>
                <w:sz w:val="21"/>
                <w:szCs w:val="21"/>
              </w:rPr>
            </w:pPr>
            <w:bookmarkStart w:id="72" w:name="_Toc448148909"/>
            <w:r>
              <w:rPr>
                <w:rFonts w:ascii="Times New Roman"/>
                <w:sz w:val="21"/>
                <w:szCs w:val="21"/>
              </w:rPr>
              <w:t>二</w:t>
            </w:r>
            <w:bookmarkEnd w:id="72"/>
          </w:p>
        </w:tc>
        <w:tc>
          <w:tcPr>
            <w:tcW w:w="1222" w:type="pct"/>
            <w:vAlign w:val="center"/>
          </w:tcPr>
          <w:p w14:paraId="4CA5AD3D">
            <w:pPr>
              <w:spacing w:line="320" w:lineRule="exact"/>
              <w:jc w:val="center"/>
              <w:rPr>
                <w:rFonts w:ascii="Times New Roman"/>
                <w:sz w:val="21"/>
                <w:szCs w:val="21"/>
              </w:rPr>
            </w:pPr>
            <w:bookmarkStart w:id="73" w:name="_Toc448148910"/>
            <w:r>
              <w:rPr>
                <w:rFonts w:ascii="Times New Roman"/>
                <w:sz w:val="21"/>
                <w:szCs w:val="21"/>
              </w:rPr>
              <w:t>三</w:t>
            </w:r>
            <w:bookmarkEnd w:id="73"/>
          </w:p>
        </w:tc>
        <w:tc>
          <w:tcPr>
            <w:tcW w:w="1222" w:type="pct"/>
            <w:shd w:val="clear" w:color="auto" w:fill="auto"/>
            <w:vAlign w:val="center"/>
          </w:tcPr>
          <w:p w14:paraId="7D8F758F">
            <w:pPr>
              <w:spacing w:line="320" w:lineRule="exact"/>
              <w:jc w:val="center"/>
              <w:rPr>
                <w:rFonts w:ascii="Times New Roman"/>
                <w:b/>
                <w:sz w:val="21"/>
                <w:szCs w:val="21"/>
              </w:rPr>
            </w:pPr>
            <w:bookmarkStart w:id="74" w:name="_Toc448148911"/>
            <w:r>
              <w:rPr>
                <w:rFonts w:ascii="Times New Roman"/>
                <w:b/>
                <w:sz w:val="21"/>
                <w:szCs w:val="21"/>
              </w:rPr>
              <w:t>三</w:t>
            </w:r>
            <w:bookmarkEnd w:id="74"/>
          </w:p>
        </w:tc>
      </w:tr>
    </w:tbl>
    <w:p w14:paraId="60B9663A">
      <w:pPr>
        <w:spacing w:line="480" w:lineRule="exact"/>
        <w:ind w:firstLine="480" w:firstLineChars="200"/>
        <w:rPr>
          <w:rFonts w:ascii="Times New Roman"/>
          <w:sz w:val="24"/>
          <w:szCs w:val="24"/>
        </w:rPr>
      </w:pPr>
      <w:r>
        <w:rPr>
          <w:rFonts w:ascii="Times New Roman"/>
          <w:sz w:val="24"/>
          <w:szCs w:val="24"/>
        </w:rPr>
        <w:t>综上分析，根据《环境影响评价技术导则 地下水环境》（HJ610-2016），本项目地下水环境影响评价类别为“</w:t>
      </w:r>
      <w:r>
        <w:rPr>
          <w:rFonts w:ascii="Times New Roman"/>
          <w:sz w:val="24"/>
          <w:szCs w:val="20"/>
        </w:rPr>
        <w:t>Ⅲ类</w:t>
      </w:r>
      <w:r>
        <w:rPr>
          <w:rFonts w:ascii="Times New Roman"/>
          <w:sz w:val="24"/>
          <w:szCs w:val="24"/>
        </w:rPr>
        <w:t>”建设项目，</w:t>
      </w:r>
      <w:r>
        <w:rPr>
          <w:rFonts w:ascii="Times New Roman"/>
          <w:kern w:val="0"/>
          <w:sz w:val="24"/>
          <w:szCs w:val="24"/>
        </w:rPr>
        <w:t>建设项目</w:t>
      </w:r>
      <w:r>
        <w:rPr>
          <w:rFonts w:ascii="Times New Roman"/>
          <w:sz w:val="24"/>
          <w:szCs w:val="24"/>
        </w:rPr>
        <w:t>地下水环境敏感程度为“不敏感”，因此，确定本项目地下水环境影响评价等级为“三级”。</w:t>
      </w:r>
    </w:p>
    <w:p w14:paraId="39518D5D">
      <w:pPr>
        <w:numPr>
          <w:ilvl w:val="0"/>
          <w:numId w:val="9"/>
        </w:numPr>
        <w:spacing w:line="480" w:lineRule="exact"/>
        <w:ind w:firstLine="480" w:firstLineChars="200"/>
        <w:rPr>
          <w:rFonts w:ascii="Times New Roman"/>
          <w:sz w:val="24"/>
          <w:szCs w:val="24"/>
        </w:rPr>
      </w:pPr>
      <w:r>
        <w:rPr>
          <w:rFonts w:ascii="Times New Roman"/>
          <w:sz w:val="24"/>
          <w:szCs w:val="24"/>
        </w:rPr>
        <w:t>地下水环境影响评价范围</w:t>
      </w:r>
    </w:p>
    <w:p w14:paraId="531F186A">
      <w:pPr>
        <w:spacing w:line="480" w:lineRule="exact"/>
        <w:ind w:firstLine="480" w:firstLineChars="200"/>
        <w:rPr>
          <w:rFonts w:ascii="Times New Roman"/>
          <w:snapToGrid w:val="0"/>
          <w:sz w:val="24"/>
          <w:szCs w:val="24"/>
        </w:rPr>
      </w:pPr>
      <w:r>
        <w:rPr>
          <w:rFonts w:ascii="Times New Roman"/>
          <w:sz w:val="24"/>
          <w:szCs w:val="24"/>
        </w:rPr>
        <w:t>按照《环境影响评价技术导则 地下水环境》（HJ610-2016）表3地下水现状调查评价范围参照表，三级评价调查面积≤6km</w:t>
      </w:r>
      <w:r>
        <w:rPr>
          <w:rFonts w:ascii="Times New Roman"/>
          <w:sz w:val="24"/>
          <w:szCs w:val="24"/>
          <w:vertAlign w:val="superscript"/>
        </w:rPr>
        <w:t>2</w:t>
      </w:r>
      <w:r>
        <w:rPr>
          <w:rFonts w:ascii="Times New Roman"/>
          <w:sz w:val="24"/>
          <w:szCs w:val="24"/>
        </w:rPr>
        <w:t>。因此，确定本次工作地下水环境现状调查与评价范围：以地下水流向为轴向（由西北向东南），以项目厂址为中心，左右各延伸1km，下游延伸2km，上游延伸1km。调查评价区总面积为6km</w:t>
      </w:r>
      <w:r>
        <w:rPr>
          <w:rFonts w:ascii="Times New Roman"/>
          <w:sz w:val="24"/>
          <w:szCs w:val="24"/>
          <w:vertAlign w:val="superscript"/>
        </w:rPr>
        <w:t>2</w:t>
      </w:r>
      <w:r>
        <w:rPr>
          <w:rFonts w:ascii="Times New Roman"/>
          <w:sz w:val="24"/>
          <w:szCs w:val="24"/>
        </w:rPr>
        <w:t>。</w:t>
      </w:r>
    </w:p>
    <w:p w14:paraId="12196D79">
      <w:pPr>
        <w:spacing w:line="520" w:lineRule="exact"/>
        <w:outlineLvl w:val="2"/>
        <w:rPr>
          <w:rFonts w:ascii="Times New Roman"/>
          <w:b/>
          <w:sz w:val="28"/>
          <w:szCs w:val="28"/>
        </w:rPr>
      </w:pPr>
      <w:r>
        <w:rPr>
          <w:rFonts w:ascii="Times New Roman"/>
          <w:b/>
          <w:sz w:val="28"/>
          <w:szCs w:val="28"/>
        </w:rPr>
        <w:t>2.5.3声环境影响评价等级及范围</w:t>
      </w:r>
    </w:p>
    <w:p w14:paraId="3E55F92A">
      <w:pPr>
        <w:spacing w:line="480" w:lineRule="exact"/>
        <w:ind w:firstLine="480" w:firstLineChars="200"/>
        <w:rPr>
          <w:rFonts w:ascii="Times New Roman"/>
          <w:sz w:val="24"/>
          <w:szCs w:val="24"/>
        </w:rPr>
      </w:pPr>
      <w:r>
        <w:rPr>
          <w:rFonts w:ascii="Times New Roman"/>
          <w:sz w:val="24"/>
          <w:szCs w:val="24"/>
        </w:rPr>
        <w:t>（1）环境特征</w:t>
      </w:r>
    </w:p>
    <w:p w14:paraId="09C3231A">
      <w:pPr>
        <w:spacing w:line="480" w:lineRule="exact"/>
        <w:ind w:firstLine="480" w:firstLineChars="200"/>
        <w:rPr>
          <w:rFonts w:ascii="Times New Roman"/>
          <w:sz w:val="24"/>
          <w:szCs w:val="24"/>
        </w:rPr>
      </w:pPr>
      <w:r>
        <w:rPr>
          <w:rFonts w:ascii="Times New Roman"/>
          <w:sz w:val="24"/>
          <w:szCs w:val="24"/>
        </w:rPr>
        <w:t>本项目位于曹妃甸工业区装备制造园区，按照环境质量功能区划，该区域声环境执行3类，项目厂址周围无疗养院、医院及风景游览区等敏感目标。</w:t>
      </w:r>
    </w:p>
    <w:p w14:paraId="5F45189B">
      <w:pPr>
        <w:spacing w:line="480" w:lineRule="exact"/>
        <w:ind w:firstLine="480" w:firstLineChars="200"/>
        <w:rPr>
          <w:rFonts w:ascii="Times New Roman"/>
          <w:sz w:val="24"/>
          <w:szCs w:val="24"/>
        </w:rPr>
      </w:pPr>
      <w:r>
        <w:rPr>
          <w:rFonts w:ascii="Times New Roman"/>
          <w:sz w:val="24"/>
          <w:szCs w:val="24"/>
        </w:rPr>
        <w:t>（2）对周围环境影响</w:t>
      </w:r>
    </w:p>
    <w:p w14:paraId="3F9B1B0D">
      <w:pPr>
        <w:spacing w:line="480" w:lineRule="exact"/>
        <w:ind w:firstLine="480" w:firstLineChars="200"/>
        <w:rPr>
          <w:rFonts w:ascii="Times New Roman"/>
          <w:sz w:val="24"/>
          <w:szCs w:val="24"/>
        </w:rPr>
      </w:pPr>
      <w:r>
        <w:rPr>
          <w:rFonts w:ascii="Times New Roman"/>
          <w:sz w:val="24"/>
          <w:szCs w:val="24"/>
        </w:rPr>
        <w:t>项目采取完善的噪声防范措施，预计投产后敏感点噪声增加值小于3dB（A），且受影响人口不发生变化，不会对周围环境产生明显影响。</w:t>
      </w:r>
    </w:p>
    <w:p w14:paraId="59F813A3">
      <w:pPr>
        <w:spacing w:line="360" w:lineRule="auto"/>
        <w:ind w:firstLine="480" w:firstLineChars="200"/>
        <w:rPr>
          <w:rFonts w:ascii="Times New Roman"/>
          <w:sz w:val="24"/>
          <w:szCs w:val="24"/>
        </w:rPr>
      </w:pPr>
      <w:r>
        <w:rPr>
          <w:rFonts w:ascii="Times New Roman"/>
          <w:sz w:val="24"/>
          <w:szCs w:val="24"/>
        </w:rPr>
        <w:t>综合以上分析，按照《环境影响评价技术导则 声环境》（HJ2.4-2021）中声环境影响评价级别划分原则，确定本项目</w:t>
      </w:r>
      <w:r>
        <w:rPr>
          <w:rFonts w:hint="eastAsia" w:ascii="Times New Roman"/>
          <w:sz w:val="24"/>
          <w:szCs w:val="24"/>
        </w:rPr>
        <w:t>东、西、北厂界</w:t>
      </w:r>
      <w:r>
        <w:rPr>
          <w:rFonts w:ascii="Times New Roman"/>
          <w:sz w:val="24"/>
          <w:szCs w:val="24"/>
        </w:rPr>
        <w:t>声环境影响评价级别为三级</w:t>
      </w:r>
      <w:r>
        <w:rPr>
          <w:rFonts w:hint="eastAsia" w:ascii="Times New Roman"/>
          <w:sz w:val="24"/>
          <w:szCs w:val="24"/>
        </w:rPr>
        <w:t>；南厂界声环境影响评价级别为四级</w:t>
      </w:r>
      <w:r>
        <w:rPr>
          <w:rFonts w:ascii="Times New Roman"/>
          <w:sz w:val="24"/>
          <w:szCs w:val="24"/>
        </w:rPr>
        <w:t>。</w:t>
      </w:r>
    </w:p>
    <w:p w14:paraId="03587893">
      <w:pPr>
        <w:spacing w:line="360" w:lineRule="auto"/>
        <w:ind w:firstLine="480"/>
        <w:rPr>
          <w:rFonts w:ascii="Times New Roman"/>
        </w:rPr>
      </w:pPr>
      <w:r>
        <w:rPr>
          <w:rFonts w:ascii="Times New Roman"/>
        </w:rPr>
        <w:t>（3）评价范围</w:t>
      </w:r>
    </w:p>
    <w:p w14:paraId="1AFE7AEB">
      <w:pPr>
        <w:spacing w:line="360" w:lineRule="auto"/>
        <w:ind w:firstLine="480"/>
        <w:rPr>
          <w:rFonts w:ascii="Times New Roman"/>
        </w:rPr>
      </w:pPr>
      <w:r>
        <w:rPr>
          <w:rFonts w:ascii="Times New Roman"/>
          <w:kern w:val="0"/>
        </w:rPr>
        <w:t>依据《环境影响评价技术导则</w:t>
      </w:r>
      <w:r>
        <w:rPr>
          <w:rFonts w:ascii="Times New Roman"/>
        </w:rPr>
        <w:t xml:space="preserve"> </w:t>
      </w:r>
      <w:r>
        <w:rPr>
          <w:rFonts w:ascii="Times New Roman"/>
          <w:kern w:val="0"/>
        </w:rPr>
        <w:t>声环境》（HJ2.4-2021），本项目声环境影响评价范围为厂址边界外200m</w:t>
      </w:r>
      <w:r>
        <w:rPr>
          <w:rFonts w:ascii="Times New Roman"/>
        </w:rPr>
        <w:t>。</w:t>
      </w:r>
    </w:p>
    <w:p w14:paraId="43885D4B">
      <w:pPr>
        <w:snapToGrid w:val="0"/>
        <w:spacing w:line="480" w:lineRule="exact"/>
        <w:ind w:left="480" w:firstLine="482"/>
        <w:jc w:val="center"/>
        <w:rPr>
          <w:rFonts w:ascii="Times New Roman"/>
        </w:rPr>
      </w:pPr>
      <w:r>
        <w:rPr>
          <w:rFonts w:ascii="Times New Roman"/>
          <w:b/>
          <w:sz w:val="24"/>
          <w:szCs w:val="24"/>
          <w:lang w:val="zh-CN"/>
        </w:rPr>
        <w:t>表2.</w:t>
      </w:r>
      <w:r>
        <w:rPr>
          <w:rFonts w:ascii="Times New Roman"/>
          <w:b/>
          <w:sz w:val="24"/>
          <w:szCs w:val="24"/>
        </w:rPr>
        <w:t>5</w:t>
      </w:r>
      <w:r>
        <w:rPr>
          <w:rFonts w:ascii="Times New Roman"/>
          <w:b/>
          <w:sz w:val="24"/>
          <w:szCs w:val="24"/>
          <w:lang w:val="zh-CN"/>
        </w:rPr>
        <w:t>-8  环境风险评价工作等级划分依据表</w:t>
      </w:r>
    </w:p>
    <w:tbl>
      <w:tblPr>
        <w:tblStyle w:val="84"/>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5"/>
        <w:gridCol w:w="1068"/>
        <w:gridCol w:w="986"/>
        <w:gridCol w:w="1441"/>
        <w:gridCol w:w="3713"/>
      </w:tblGrid>
      <w:tr w14:paraId="623E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80" w:type="pct"/>
            <w:vMerge w:val="restart"/>
            <w:tcBorders>
              <w:tl2br w:val="nil"/>
              <w:tr2bl w:val="nil"/>
            </w:tcBorders>
            <w:vAlign w:val="center"/>
          </w:tcPr>
          <w:p w14:paraId="5A2B1794">
            <w:pPr>
              <w:adjustRightInd w:val="0"/>
              <w:snapToGrid w:val="0"/>
              <w:jc w:val="center"/>
              <w:rPr>
                <w:rFonts w:ascii="Times New Roman"/>
                <w:sz w:val="21"/>
                <w:szCs w:val="21"/>
              </w:rPr>
            </w:pPr>
            <w:r>
              <w:rPr>
                <w:rFonts w:ascii="Times New Roman"/>
                <w:sz w:val="21"/>
                <w:szCs w:val="21"/>
              </w:rPr>
              <w:t>污染物</w:t>
            </w:r>
          </w:p>
        </w:tc>
        <w:tc>
          <w:tcPr>
            <w:tcW w:w="1231" w:type="pct"/>
            <w:gridSpan w:val="2"/>
            <w:tcBorders>
              <w:tl2br w:val="nil"/>
              <w:tr2bl w:val="nil"/>
            </w:tcBorders>
            <w:vAlign w:val="center"/>
          </w:tcPr>
          <w:p w14:paraId="44CA8815">
            <w:pPr>
              <w:adjustRightInd w:val="0"/>
              <w:snapToGrid w:val="0"/>
              <w:jc w:val="center"/>
              <w:rPr>
                <w:rFonts w:ascii="Times New Roman"/>
                <w:sz w:val="21"/>
                <w:szCs w:val="21"/>
              </w:rPr>
            </w:pPr>
            <w:r>
              <w:rPr>
                <w:rFonts w:ascii="Times New Roman"/>
                <w:sz w:val="21"/>
                <w:szCs w:val="21"/>
              </w:rPr>
              <w:t>等效声级dB(A)</w:t>
            </w:r>
          </w:p>
        </w:tc>
        <w:tc>
          <w:tcPr>
            <w:tcW w:w="863" w:type="pct"/>
            <w:vMerge w:val="restart"/>
            <w:tcBorders>
              <w:tl2br w:val="nil"/>
              <w:tr2bl w:val="nil"/>
            </w:tcBorders>
            <w:vAlign w:val="center"/>
          </w:tcPr>
          <w:p w14:paraId="4EB83A70">
            <w:pPr>
              <w:adjustRightInd w:val="0"/>
              <w:snapToGrid w:val="0"/>
              <w:jc w:val="center"/>
              <w:rPr>
                <w:rFonts w:ascii="Times New Roman"/>
                <w:sz w:val="21"/>
                <w:szCs w:val="21"/>
              </w:rPr>
            </w:pPr>
            <w:r>
              <w:rPr>
                <w:rFonts w:ascii="Times New Roman"/>
                <w:sz w:val="21"/>
                <w:szCs w:val="21"/>
              </w:rPr>
              <w:t>执行区域</w:t>
            </w:r>
          </w:p>
        </w:tc>
        <w:tc>
          <w:tcPr>
            <w:tcW w:w="2224" w:type="pct"/>
            <w:vMerge w:val="restart"/>
            <w:tcBorders>
              <w:tl2br w:val="nil"/>
              <w:tr2bl w:val="nil"/>
            </w:tcBorders>
            <w:vAlign w:val="center"/>
          </w:tcPr>
          <w:p w14:paraId="46D17788">
            <w:pPr>
              <w:adjustRightInd w:val="0"/>
              <w:snapToGrid w:val="0"/>
              <w:jc w:val="center"/>
              <w:rPr>
                <w:rFonts w:ascii="Times New Roman"/>
                <w:sz w:val="21"/>
                <w:szCs w:val="21"/>
              </w:rPr>
            </w:pPr>
            <w:r>
              <w:rPr>
                <w:rFonts w:ascii="Times New Roman"/>
                <w:sz w:val="21"/>
                <w:szCs w:val="21"/>
              </w:rPr>
              <w:t>标准来源</w:t>
            </w:r>
          </w:p>
        </w:tc>
      </w:tr>
      <w:tr w14:paraId="0403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80" w:type="pct"/>
            <w:vMerge w:val="continue"/>
            <w:tcBorders>
              <w:tl2br w:val="nil"/>
              <w:tr2bl w:val="nil"/>
            </w:tcBorders>
            <w:vAlign w:val="center"/>
          </w:tcPr>
          <w:p w14:paraId="3AB65057">
            <w:pPr>
              <w:pStyle w:val="21"/>
              <w:rPr>
                <w:rFonts w:ascii="Times New Roman" w:hAnsi="Times New Roman" w:cs="Times New Roman"/>
                <w:sz w:val="21"/>
                <w:szCs w:val="21"/>
              </w:rPr>
            </w:pPr>
          </w:p>
        </w:tc>
        <w:tc>
          <w:tcPr>
            <w:tcW w:w="640" w:type="pct"/>
            <w:tcBorders>
              <w:tl2br w:val="nil"/>
              <w:tr2bl w:val="nil"/>
            </w:tcBorders>
            <w:vAlign w:val="center"/>
          </w:tcPr>
          <w:p w14:paraId="6ED0E114">
            <w:pPr>
              <w:adjustRightInd w:val="0"/>
              <w:snapToGrid w:val="0"/>
              <w:jc w:val="center"/>
              <w:rPr>
                <w:rFonts w:ascii="Times New Roman"/>
                <w:sz w:val="21"/>
                <w:szCs w:val="21"/>
              </w:rPr>
            </w:pPr>
            <w:r>
              <w:rPr>
                <w:rFonts w:ascii="Times New Roman"/>
                <w:sz w:val="21"/>
                <w:szCs w:val="21"/>
              </w:rPr>
              <w:t>昼间</w:t>
            </w:r>
          </w:p>
        </w:tc>
        <w:tc>
          <w:tcPr>
            <w:tcW w:w="591" w:type="pct"/>
            <w:tcBorders>
              <w:tl2br w:val="nil"/>
              <w:tr2bl w:val="nil"/>
            </w:tcBorders>
            <w:vAlign w:val="center"/>
          </w:tcPr>
          <w:p w14:paraId="4CE418DE">
            <w:pPr>
              <w:adjustRightInd w:val="0"/>
              <w:snapToGrid w:val="0"/>
              <w:jc w:val="center"/>
              <w:rPr>
                <w:rFonts w:ascii="Times New Roman"/>
                <w:sz w:val="21"/>
                <w:szCs w:val="21"/>
              </w:rPr>
            </w:pPr>
            <w:r>
              <w:rPr>
                <w:rFonts w:ascii="Times New Roman"/>
                <w:sz w:val="21"/>
                <w:szCs w:val="21"/>
              </w:rPr>
              <w:t>夜间</w:t>
            </w:r>
          </w:p>
        </w:tc>
        <w:tc>
          <w:tcPr>
            <w:tcW w:w="863" w:type="pct"/>
            <w:vMerge w:val="continue"/>
            <w:tcBorders>
              <w:tl2br w:val="nil"/>
              <w:tr2bl w:val="nil"/>
            </w:tcBorders>
            <w:vAlign w:val="center"/>
          </w:tcPr>
          <w:p w14:paraId="6BE1E84F">
            <w:pPr>
              <w:pStyle w:val="21"/>
              <w:rPr>
                <w:rFonts w:ascii="Times New Roman" w:hAnsi="Times New Roman" w:cs="Times New Roman"/>
                <w:sz w:val="21"/>
                <w:szCs w:val="21"/>
              </w:rPr>
            </w:pPr>
          </w:p>
        </w:tc>
        <w:tc>
          <w:tcPr>
            <w:tcW w:w="2224" w:type="pct"/>
            <w:vMerge w:val="continue"/>
            <w:tcBorders>
              <w:tl2br w:val="nil"/>
              <w:tr2bl w:val="nil"/>
            </w:tcBorders>
            <w:vAlign w:val="center"/>
          </w:tcPr>
          <w:p w14:paraId="15FA85BF">
            <w:pPr>
              <w:pStyle w:val="21"/>
              <w:rPr>
                <w:rFonts w:ascii="Times New Roman" w:hAnsi="Times New Roman" w:cs="Times New Roman"/>
                <w:sz w:val="21"/>
                <w:szCs w:val="21"/>
              </w:rPr>
            </w:pPr>
          </w:p>
        </w:tc>
      </w:tr>
      <w:tr w14:paraId="34C0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0" w:hRule="atLeast"/>
        </w:trPr>
        <w:tc>
          <w:tcPr>
            <w:tcW w:w="680" w:type="pct"/>
            <w:vMerge w:val="restart"/>
            <w:tcBorders>
              <w:tl2br w:val="nil"/>
              <w:tr2bl w:val="nil"/>
            </w:tcBorders>
            <w:vAlign w:val="center"/>
          </w:tcPr>
          <w:p w14:paraId="070422BD">
            <w:pPr>
              <w:adjustRightInd w:val="0"/>
              <w:snapToGrid w:val="0"/>
              <w:jc w:val="center"/>
              <w:rPr>
                <w:rFonts w:ascii="Times New Roman"/>
                <w:sz w:val="21"/>
                <w:szCs w:val="21"/>
              </w:rPr>
            </w:pPr>
            <w:r>
              <w:rPr>
                <w:rFonts w:ascii="Times New Roman"/>
                <w:sz w:val="21"/>
                <w:szCs w:val="21"/>
              </w:rPr>
              <w:t>等效连续A声级</w:t>
            </w:r>
          </w:p>
        </w:tc>
        <w:tc>
          <w:tcPr>
            <w:tcW w:w="640" w:type="pct"/>
            <w:tcBorders>
              <w:tl2br w:val="nil"/>
              <w:tr2bl w:val="nil"/>
            </w:tcBorders>
            <w:vAlign w:val="center"/>
          </w:tcPr>
          <w:p w14:paraId="162577B6">
            <w:pPr>
              <w:adjustRightInd w:val="0"/>
              <w:snapToGrid w:val="0"/>
              <w:jc w:val="center"/>
              <w:rPr>
                <w:rFonts w:ascii="Times New Roman"/>
                <w:snapToGrid w:val="0"/>
                <w:kern w:val="0"/>
                <w:sz w:val="21"/>
                <w:szCs w:val="21"/>
              </w:rPr>
            </w:pPr>
            <w:r>
              <w:rPr>
                <w:rFonts w:ascii="Times New Roman"/>
                <w:snapToGrid w:val="0"/>
                <w:kern w:val="0"/>
                <w:sz w:val="21"/>
                <w:szCs w:val="21"/>
              </w:rPr>
              <w:t>65</w:t>
            </w:r>
          </w:p>
        </w:tc>
        <w:tc>
          <w:tcPr>
            <w:tcW w:w="591" w:type="pct"/>
            <w:tcBorders>
              <w:tl2br w:val="nil"/>
              <w:tr2bl w:val="nil"/>
            </w:tcBorders>
            <w:vAlign w:val="center"/>
          </w:tcPr>
          <w:p w14:paraId="1A67BD2B">
            <w:pPr>
              <w:adjustRightInd w:val="0"/>
              <w:snapToGrid w:val="0"/>
              <w:jc w:val="center"/>
              <w:rPr>
                <w:rFonts w:ascii="Times New Roman"/>
                <w:snapToGrid w:val="0"/>
                <w:kern w:val="0"/>
                <w:sz w:val="21"/>
                <w:szCs w:val="21"/>
              </w:rPr>
            </w:pPr>
            <w:r>
              <w:rPr>
                <w:rFonts w:ascii="Times New Roman"/>
                <w:snapToGrid w:val="0"/>
                <w:kern w:val="0"/>
                <w:sz w:val="21"/>
                <w:szCs w:val="21"/>
              </w:rPr>
              <w:t>55</w:t>
            </w:r>
          </w:p>
        </w:tc>
        <w:tc>
          <w:tcPr>
            <w:tcW w:w="863" w:type="pct"/>
            <w:tcBorders>
              <w:tl2br w:val="nil"/>
              <w:tr2bl w:val="nil"/>
            </w:tcBorders>
            <w:vAlign w:val="center"/>
          </w:tcPr>
          <w:p w14:paraId="7AA05451">
            <w:pPr>
              <w:adjustRightInd w:val="0"/>
              <w:snapToGrid w:val="0"/>
              <w:jc w:val="center"/>
              <w:rPr>
                <w:rFonts w:ascii="Times New Roman"/>
                <w:sz w:val="21"/>
                <w:szCs w:val="21"/>
              </w:rPr>
            </w:pPr>
            <w:r>
              <w:rPr>
                <w:rFonts w:ascii="Times New Roman"/>
                <w:sz w:val="21"/>
                <w:szCs w:val="21"/>
              </w:rPr>
              <w:t>东、西、北厂界边外200m</w:t>
            </w:r>
          </w:p>
        </w:tc>
        <w:tc>
          <w:tcPr>
            <w:tcW w:w="2224" w:type="pct"/>
            <w:tcBorders>
              <w:tl2br w:val="nil"/>
              <w:tr2bl w:val="nil"/>
            </w:tcBorders>
            <w:vAlign w:val="center"/>
          </w:tcPr>
          <w:p w14:paraId="0F678D51">
            <w:pPr>
              <w:adjustRightInd w:val="0"/>
              <w:snapToGrid w:val="0"/>
              <w:jc w:val="center"/>
              <w:rPr>
                <w:rFonts w:ascii="Times New Roman"/>
                <w:sz w:val="21"/>
                <w:szCs w:val="21"/>
              </w:rPr>
            </w:pPr>
            <w:r>
              <w:rPr>
                <w:rFonts w:ascii="Times New Roman"/>
                <w:sz w:val="21"/>
                <w:szCs w:val="21"/>
              </w:rPr>
              <w:t>《工业企业厂界环境噪声排放标准》</w:t>
            </w:r>
            <w:r>
              <w:rPr>
                <w:rFonts w:ascii="Times New Roman"/>
                <w:sz w:val="21"/>
                <w:szCs w:val="21"/>
              </w:rPr>
              <w:cr/>
            </w:r>
            <w:r>
              <w:rPr>
                <w:rFonts w:ascii="Times New Roman"/>
                <w:sz w:val="21"/>
                <w:szCs w:val="21"/>
              </w:rPr>
              <w:t>（GB12348-2008）3类标准</w:t>
            </w:r>
          </w:p>
        </w:tc>
      </w:tr>
      <w:tr w14:paraId="4494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80" w:type="pct"/>
            <w:vMerge w:val="continue"/>
            <w:tcBorders>
              <w:tl2br w:val="nil"/>
              <w:tr2bl w:val="nil"/>
            </w:tcBorders>
            <w:vAlign w:val="center"/>
          </w:tcPr>
          <w:p w14:paraId="21719BCE">
            <w:pPr>
              <w:adjustRightInd w:val="0"/>
              <w:snapToGrid w:val="0"/>
              <w:jc w:val="center"/>
              <w:rPr>
                <w:rFonts w:ascii="Times New Roman"/>
                <w:sz w:val="21"/>
                <w:szCs w:val="21"/>
              </w:rPr>
            </w:pPr>
          </w:p>
        </w:tc>
        <w:tc>
          <w:tcPr>
            <w:tcW w:w="640" w:type="pct"/>
            <w:tcBorders>
              <w:tl2br w:val="nil"/>
              <w:tr2bl w:val="nil"/>
            </w:tcBorders>
            <w:vAlign w:val="center"/>
          </w:tcPr>
          <w:p w14:paraId="1A56E20C">
            <w:pPr>
              <w:adjustRightInd w:val="0"/>
              <w:snapToGrid w:val="0"/>
              <w:jc w:val="center"/>
              <w:rPr>
                <w:rFonts w:ascii="Times New Roman"/>
                <w:snapToGrid w:val="0"/>
                <w:kern w:val="0"/>
                <w:sz w:val="21"/>
                <w:szCs w:val="21"/>
              </w:rPr>
            </w:pPr>
            <w:r>
              <w:rPr>
                <w:rFonts w:ascii="Times New Roman"/>
                <w:snapToGrid w:val="0"/>
                <w:kern w:val="0"/>
                <w:sz w:val="21"/>
                <w:szCs w:val="21"/>
              </w:rPr>
              <w:t>70</w:t>
            </w:r>
          </w:p>
        </w:tc>
        <w:tc>
          <w:tcPr>
            <w:tcW w:w="591" w:type="pct"/>
            <w:tcBorders>
              <w:tl2br w:val="nil"/>
              <w:tr2bl w:val="nil"/>
            </w:tcBorders>
            <w:vAlign w:val="center"/>
          </w:tcPr>
          <w:p w14:paraId="58F59F2B">
            <w:pPr>
              <w:adjustRightInd w:val="0"/>
              <w:snapToGrid w:val="0"/>
              <w:jc w:val="center"/>
              <w:rPr>
                <w:rFonts w:ascii="Times New Roman"/>
                <w:snapToGrid w:val="0"/>
                <w:kern w:val="0"/>
                <w:sz w:val="21"/>
                <w:szCs w:val="21"/>
              </w:rPr>
            </w:pPr>
            <w:r>
              <w:rPr>
                <w:rFonts w:ascii="Times New Roman"/>
                <w:snapToGrid w:val="0"/>
                <w:kern w:val="0"/>
                <w:sz w:val="21"/>
                <w:szCs w:val="21"/>
              </w:rPr>
              <w:t>55</w:t>
            </w:r>
          </w:p>
        </w:tc>
        <w:tc>
          <w:tcPr>
            <w:tcW w:w="863" w:type="pct"/>
            <w:tcBorders>
              <w:tl2br w:val="nil"/>
              <w:tr2bl w:val="nil"/>
            </w:tcBorders>
            <w:vAlign w:val="center"/>
          </w:tcPr>
          <w:p w14:paraId="6FF5787D">
            <w:pPr>
              <w:adjustRightInd w:val="0"/>
              <w:snapToGrid w:val="0"/>
              <w:jc w:val="center"/>
              <w:rPr>
                <w:rFonts w:ascii="Times New Roman"/>
                <w:sz w:val="21"/>
                <w:szCs w:val="21"/>
              </w:rPr>
            </w:pPr>
            <w:r>
              <w:rPr>
                <w:rFonts w:ascii="Times New Roman"/>
                <w:sz w:val="21"/>
                <w:szCs w:val="21"/>
              </w:rPr>
              <w:t>南厂界边外200m</w:t>
            </w:r>
          </w:p>
        </w:tc>
        <w:tc>
          <w:tcPr>
            <w:tcW w:w="2224" w:type="pct"/>
            <w:tcBorders>
              <w:tl2br w:val="nil"/>
              <w:tr2bl w:val="nil"/>
            </w:tcBorders>
            <w:vAlign w:val="center"/>
          </w:tcPr>
          <w:p w14:paraId="7251FBCE">
            <w:pPr>
              <w:adjustRightInd w:val="0"/>
              <w:snapToGrid w:val="0"/>
              <w:jc w:val="center"/>
              <w:rPr>
                <w:rFonts w:ascii="Times New Roman"/>
                <w:sz w:val="21"/>
                <w:szCs w:val="21"/>
              </w:rPr>
            </w:pPr>
            <w:r>
              <w:rPr>
                <w:rFonts w:ascii="Times New Roman"/>
                <w:sz w:val="21"/>
                <w:szCs w:val="21"/>
              </w:rPr>
              <w:t>《工业企业厂界环境噪声排放标准》</w:t>
            </w:r>
            <w:r>
              <w:rPr>
                <w:rFonts w:ascii="Times New Roman"/>
                <w:sz w:val="21"/>
                <w:szCs w:val="21"/>
              </w:rPr>
              <w:cr/>
            </w:r>
            <w:r>
              <w:rPr>
                <w:rFonts w:ascii="Times New Roman"/>
                <w:sz w:val="21"/>
                <w:szCs w:val="21"/>
              </w:rPr>
              <w:t>（GB12348-2008）4类标准</w:t>
            </w:r>
          </w:p>
        </w:tc>
      </w:tr>
    </w:tbl>
    <w:p w14:paraId="3B9D00B6">
      <w:pPr>
        <w:spacing w:line="520" w:lineRule="exact"/>
        <w:outlineLvl w:val="2"/>
        <w:rPr>
          <w:rFonts w:ascii="Times New Roman"/>
          <w:b/>
          <w:sz w:val="28"/>
          <w:szCs w:val="28"/>
        </w:rPr>
      </w:pPr>
      <w:r>
        <w:rPr>
          <w:rFonts w:ascii="Times New Roman"/>
          <w:b/>
          <w:sz w:val="28"/>
          <w:szCs w:val="28"/>
        </w:rPr>
        <w:t>2.5.4环境风险评价等级及评价范围</w:t>
      </w:r>
    </w:p>
    <w:p w14:paraId="4A19FBE7">
      <w:pPr>
        <w:spacing w:line="520" w:lineRule="exact"/>
        <w:outlineLvl w:val="3"/>
        <w:rPr>
          <w:rFonts w:ascii="Times New Roman"/>
          <w:b/>
          <w:sz w:val="24"/>
          <w:szCs w:val="24"/>
        </w:rPr>
      </w:pPr>
      <w:r>
        <w:rPr>
          <w:rFonts w:ascii="Times New Roman"/>
          <w:b/>
          <w:sz w:val="24"/>
          <w:szCs w:val="24"/>
        </w:rPr>
        <w:t>2.5.4.1环境风险评价等级</w:t>
      </w:r>
    </w:p>
    <w:p w14:paraId="0B45C813">
      <w:pPr>
        <w:spacing w:line="480" w:lineRule="exact"/>
        <w:ind w:firstLine="480" w:firstLineChars="200"/>
        <w:rPr>
          <w:rFonts w:ascii="Times New Roman"/>
          <w:sz w:val="24"/>
          <w:szCs w:val="24"/>
        </w:rPr>
      </w:pPr>
      <w:r>
        <w:rPr>
          <w:rFonts w:ascii="Times New Roman"/>
          <w:sz w:val="24"/>
          <w:szCs w:val="24"/>
        </w:rPr>
        <w:t>（1）风险评价等级划分依据</w:t>
      </w:r>
    </w:p>
    <w:p w14:paraId="3CB37D45">
      <w:pPr>
        <w:spacing w:line="480" w:lineRule="exact"/>
        <w:ind w:firstLine="480" w:firstLineChars="200"/>
        <w:rPr>
          <w:rFonts w:ascii="Times New Roman"/>
          <w:sz w:val="24"/>
          <w:szCs w:val="24"/>
        </w:rPr>
      </w:pPr>
      <w:r>
        <w:rPr>
          <w:rFonts w:ascii="Times New Roman"/>
          <w:sz w:val="24"/>
          <w:szCs w:val="24"/>
        </w:rPr>
        <w:t>根据《建设项目环境风险评价技术导则》（HJ169-2018），进行环境风险评价等级的确定。环境风险评价工作等级划分为一级、二级、三级。风险评价等级划分依据见表2.5-</w:t>
      </w:r>
      <w:r>
        <w:rPr>
          <w:rFonts w:hint="eastAsia" w:ascii="Times New Roman"/>
          <w:sz w:val="24"/>
          <w:szCs w:val="24"/>
        </w:rPr>
        <w:t>9</w:t>
      </w:r>
      <w:r>
        <w:rPr>
          <w:rFonts w:ascii="Times New Roman"/>
          <w:sz w:val="24"/>
          <w:szCs w:val="24"/>
        </w:rPr>
        <w:t>。</w:t>
      </w:r>
    </w:p>
    <w:p w14:paraId="03756840">
      <w:pPr>
        <w:snapToGrid w:val="0"/>
        <w:spacing w:line="480" w:lineRule="exact"/>
        <w:ind w:left="480" w:firstLine="482"/>
        <w:jc w:val="center"/>
        <w:rPr>
          <w:rFonts w:ascii="Times New Roman"/>
          <w:b/>
          <w:sz w:val="24"/>
          <w:szCs w:val="24"/>
          <w:lang w:val="zh-CN"/>
        </w:rPr>
      </w:pPr>
      <w:r>
        <w:rPr>
          <w:rFonts w:ascii="Times New Roman"/>
          <w:b/>
          <w:sz w:val="24"/>
          <w:szCs w:val="24"/>
          <w:lang w:val="zh-CN"/>
        </w:rPr>
        <w:t>表2.</w:t>
      </w:r>
      <w:r>
        <w:rPr>
          <w:rFonts w:ascii="Times New Roman"/>
          <w:b/>
          <w:sz w:val="24"/>
          <w:szCs w:val="24"/>
        </w:rPr>
        <w:t>5</w:t>
      </w:r>
      <w:r>
        <w:rPr>
          <w:rFonts w:ascii="Times New Roman"/>
          <w:b/>
          <w:sz w:val="24"/>
          <w:szCs w:val="24"/>
          <w:lang w:val="zh-CN"/>
        </w:rPr>
        <w:t>-</w:t>
      </w:r>
      <w:r>
        <w:rPr>
          <w:rFonts w:hint="eastAsia" w:ascii="Times New Roman"/>
          <w:b/>
          <w:sz w:val="24"/>
          <w:szCs w:val="24"/>
        </w:rPr>
        <w:t>9</w:t>
      </w:r>
      <w:r>
        <w:rPr>
          <w:rFonts w:ascii="Times New Roman"/>
          <w:b/>
          <w:sz w:val="24"/>
          <w:szCs w:val="24"/>
          <w:lang w:val="zh-CN"/>
        </w:rPr>
        <w:t xml:space="preserve">  环境风险评价工作等级划分依据表</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1705"/>
        <w:gridCol w:w="1705"/>
        <w:gridCol w:w="1705"/>
      </w:tblGrid>
      <w:tr w14:paraId="4F3A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783BB42C">
            <w:pPr>
              <w:spacing w:line="360" w:lineRule="exact"/>
              <w:jc w:val="center"/>
              <w:rPr>
                <w:rFonts w:ascii="Times New Roman"/>
                <w:sz w:val="21"/>
                <w:szCs w:val="21"/>
              </w:rPr>
            </w:pPr>
            <w:r>
              <w:rPr>
                <w:rFonts w:ascii="Times New Roman"/>
                <w:sz w:val="21"/>
                <w:szCs w:val="21"/>
              </w:rPr>
              <w:t>环境风险潜势</w:t>
            </w:r>
          </w:p>
        </w:tc>
        <w:tc>
          <w:tcPr>
            <w:tcW w:w="1705" w:type="dxa"/>
            <w:vAlign w:val="center"/>
          </w:tcPr>
          <w:p w14:paraId="24F96A6A">
            <w:pPr>
              <w:spacing w:line="360" w:lineRule="exact"/>
              <w:jc w:val="center"/>
              <w:rPr>
                <w:rFonts w:ascii="Times New Roman"/>
                <w:sz w:val="21"/>
                <w:szCs w:val="21"/>
              </w:rPr>
            </w:pPr>
            <w:r>
              <w:rPr>
                <w:rFonts w:ascii="Times New Roman"/>
                <w:sz w:val="21"/>
                <w:szCs w:val="21"/>
              </w:rPr>
              <w:t>Ⅳ、Ⅳ</w:t>
            </w:r>
            <w:r>
              <w:rPr>
                <w:rFonts w:ascii="Times New Roman"/>
                <w:sz w:val="21"/>
                <w:szCs w:val="21"/>
                <w:vertAlign w:val="superscript"/>
              </w:rPr>
              <w:t>+</w:t>
            </w:r>
          </w:p>
        </w:tc>
        <w:tc>
          <w:tcPr>
            <w:tcW w:w="1706" w:type="dxa"/>
            <w:vAlign w:val="center"/>
          </w:tcPr>
          <w:p w14:paraId="11BCF495">
            <w:pPr>
              <w:spacing w:line="360" w:lineRule="exact"/>
              <w:jc w:val="center"/>
              <w:rPr>
                <w:rFonts w:ascii="Times New Roman"/>
                <w:sz w:val="21"/>
                <w:szCs w:val="21"/>
              </w:rPr>
            </w:pPr>
            <w:r>
              <w:rPr>
                <w:rFonts w:ascii="Times New Roman"/>
                <w:sz w:val="21"/>
                <w:szCs w:val="21"/>
              </w:rPr>
              <w:t>Ⅲ</w:t>
            </w:r>
          </w:p>
        </w:tc>
        <w:tc>
          <w:tcPr>
            <w:tcW w:w="1706" w:type="dxa"/>
            <w:vAlign w:val="center"/>
          </w:tcPr>
          <w:p w14:paraId="31EA24CE">
            <w:pPr>
              <w:spacing w:line="360" w:lineRule="exact"/>
              <w:jc w:val="center"/>
              <w:rPr>
                <w:rFonts w:ascii="Times New Roman"/>
                <w:sz w:val="21"/>
                <w:szCs w:val="21"/>
              </w:rPr>
            </w:pPr>
            <w:r>
              <w:rPr>
                <w:rFonts w:ascii="Times New Roman"/>
                <w:sz w:val="21"/>
                <w:szCs w:val="21"/>
              </w:rPr>
              <w:t>Ⅱ</w:t>
            </w:r>
          </w:p>
        </w:tc>
        <w:tc>
          <w:tcPr>
            <w:tcW w:w="1706" w:type="dxa"/>
            <w:vAlign w:val="center"/>
          </w:tcPr>
          <w:p w14:paraId="15813F43">
            <w:pPr>
              <w:spacing w:line="360" w:lineRule="exact"/>
              <w:jc w:val="center"/>
              <w:rPr>
                <w:rFonts w:ascii="Times New Roman"/>
                <w:sz w:val="21"/>
                <w:szCs w:val="21"/>
              </w:rPr>
            </w:pPr>
            <w:r>
              <w:rPr>
                <w:rFonts w:ascii="Times New Roman"/>
                <w:sz w:val="21"/>
                <w:szCs w:val="21"/>
              </w:rPr>
              <w:t>Ⅰ</w:t>
            </w:r>
          </w:p>
        </w:tc>
      </w:tr>
      <w:tr w14:paraId="4607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6950CBA6">
            <w:pPr>
              <w:spacing w:line="360" w:lineRule="exact"/>
              <w:jc w:val="center"/>
              <w:rPr>
                <w:rFonts w:ascii="Times New Roman"/>
                <w:sz w:val="21"/>
                <w:szCs w:val="21"/>
              </w:rPr>
            </w:pPr>
            <w:r>
              <w:rPr>
                <w:rFonts w:ascii="Times New Roman"/>
                <w:sz w:val="21"/>
                <w:szCs w:val="21"/>
              </w:rPr>
              <w:t>评价等级</w:t>
            </w:r>
          </w:p>
        </w:tc>
        <w:tc>
          <w:tcPr>
            <w:tcW w:w="1705" w:type="dxa"/>
            <w:vAlign w:val="center"/>
          </w:tcPr>
          <w:p w14:paraId="62744D09">
            <w:pPr>
              <w:spacing w:line="360" w:lineRule="exact"/>
              <w:jc w:val="center"/>
              <w:rPr>
                <w:rFonts w:ascii="Times New Roman"/>
                <w:sz w:val="21"/>
                <w:szCs w:val="21"/>
              </w:rPr>
            </w:pPr>
            <w:r>
              <w:rPr>
                <w:rFonts w:ascii="Times New Roman"/>
                <w:sz w:val="21"/>
                <w:szCs w:val="21"/>
              </w:rPr>
              <w:t>一</w:t>
            </w:r>
          </w:p>
        </w:tc>
        <w:tc>
          <w:tcPr>
            <w:tcW w:w="1706" w:type="dxa"/>
            <w:vAlign w:val="center"/>
          </w:tcPr>
          <w:p w14:paraId="6BBD27BC">
            <w:pPr>
              <w:spacing w:line="360" w:lineRule="exact"/>
              <w:jc w:val="center"/>
              <w:rPr>
                <w:rFonts w:ascii="Times New Roman"/>
                <w:sz w:val="21"/>
                <w:szCs w:val="21"/>
              </w:rPr>
            </w:pPr>
            <w:r>
              <w:rPr>
                <w:rFonts w:ascii="Times New Roman"/>
                <w:sz w:val="21"/>
                <w:szCs w:val="21"/>
              </w:rPr>
              <w:t>二</w:t>
            </w:r>
          </w:p>
        </w:tc>
        <w:tc>
          <w:tcPr>
            <w:tcW w:w="1706" w:type="dxa"/>
            <w:vAlign w:val="center"/>
          </w:tcPr>
          <w:p w14:paraId="282BB3D0">
            <w:pPr>
              <w:spacing w:line="360" w:lineRule="exact"/>
              <w:jc w:val="center"/>
              <w:rPr>
                <w:rFonts w:ascii="Times New Roman"/>
                <w:sz w:val="21"/>
                <w:szCs w:val="21"/>
              </w:rPr>
            </w:pPr>
            <w:r>
              <w:rPr>
                <w:rFonts w:ascii="Times New Roman"/>
                <w:sz w:val="21"/>
                <w:szCs w:val="21"/>
              </w:rPr>
              <w:t>三</w:t>
            </w:r>
          </w:p>
        </w:tc>
        <w:tc>
          <w:tcPr>
            <w:tcW w:w="1706" w:type="dxa"/>
            <w:vAlign w:val="center"/>
          </w:tcPr>
          <w:p w14:paraId="3CEC5BB7">
            <w:pPr>
              <w:spacing w:line="360" w:lineRule="exact"/>
              <w:jc w:val="center"/>
              <w:rPr>
                <w:rFonts w:ascii="Times New Roman"/>
                <w:sz w:val="21"/>
                <w:szCs w:val="21"/>
              </w:rPr>
            </w:pPr>
            <w:r>
              <w:rPr>
                <w:rFonts w:ascii="Times New Roman"/>
                <w:sz w:val="21"/>
                <w:szCs w:val="21"/>
              </w:rPr>
              <w:t>简单分析</w:t>
            </w:r>
            <w:r>
              <w:rPr>
                <w:rFonts w:ascii="Times New Roman"/>
                <w:sz w:val="21"/>
                <w:szCs w:val="21"/>
                <w:vertAlign w:val="superscript"/>
              </w:rPr>
              <w:t>a</w:t>
            </w:r>
          </w:p>
        </w:tc>
      </w:tr>
      <w:tr w14:paraId="6B0A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5"/>
            <w:vAlign w:val="center"/>
          </w:tcPr>
          <w:p w14:paraId="54B53382">
            <w:pPr>
              <w:spacing w:line="360" w:lineRule="exact"/>
              <w:jc w:val="left"/>
              <w:rPr>
                <w:rFonts w:ascii="Times New Roman"/>
                <w:sz w:val="21"/>
                <w:szCs w:val="21"/>
              </w:rPr>
            </w:pPr>
            <w:r>
              <w:rPr>
                <w:rFonts w:ascii="Times New Roman"/>
                <w:sz w:val="21"/>
                <w:szCs w:val="21"/>
                <w:vertAlign w:val="superscript"/>
              </w:rPr>
              <w:t>a</w:t>
            </w:r>
            <w:r>
              <w:rPr>
                <w:rFonts w:ascii="Times New Roman"/>
                <w:sz w:val="21"/>
                <w:szCs w:val="21"/>
              </w:rPr>
              <w:t>是相对于详细评价工作内容而言，在描述危险物质、环境影响途径、环境危害后果、风险防范措施等方面给出定性的说明。</w:t>
            </w:r>
          </w:p>
        </w:tc>
      </w:tr>
    </w:tbl>
    <w:p w14:paraId="5ADA8A46">
      <w:pPr>
        <w:spacing w:line="480" w:lineRule="exact"/>
        <w:ind w:firstLine="480" w:firstLineChars="200"/>
        <w:rPr>
          <w:rFonts w:ascii="Times New Roman"/>
          <w:sz w:val="24"/>
          <w:szCs w:val="24"/>
        </w:rPr>
      </w:pPr>
      <w:r>
        <w:rPr>
          <w:rFonts w:ascii="Times New Roman"/>
          <w:sz w:val="24"/>
          <w:szCs w:val="24"/>
        </w:rPr>
        <w:t>（2）环境风险潜势初判</w:t>
      </w:r>
    </w:p>
    <w:p w14:paraId="3839789C">
      <w:pPr>
        <w:spacing w:line="480" w:lineRule="exact"/>
        <w:ind w:firstLine="480" w:firstLineChars="200"/>
        <w:rPr>
          <w:rFonts w:ascii="Times New Roman"/>
          <w:sz w:val="24"/>
          <w:szCs w:val="24"/>
        </w:rPr>
      </w:pPr>
      <w:r>
        <w:rPr>
          <w:rFonts w:ascii="Times New Roman"/>
          <w:sz w:val="24"/>
          <w:szCs w:val="24"/>
        </w:rPr>
        <w:t>1）环境风险潜势划分</w:t>
      </w:r>
    </w:p>
    <w:p w14:paraId="21B764A8">
      <w:pPr>
        <w:spacing w:line="480" w:lineRule="exact"/>
        <w:ind w:firstLine="480" w:firstLineChars="200"/>
        <w:rPr>
          <w:rFonts w:ascii="Times New Roman"/>
          <w:sz w:val="24"/>
          <w:szCs w:val="24"/>
        </w:rPr>
      </w:pPr>
      <w:r>
        <w:rPr>
          <w:rFonts w:ascii="Times New Roman"/>
          <w:sz w:val="24"/>
          <w:szCs w:val="24"/>
        </w:rPr>
        <w:t>根据《建设项目环境风险评价技术导则》（HJ169-2018）要求，需根据建设项目涉及的物质和工艺系统的危险性（P）及其所在地的环境敏感程度（E），结合事故情形下环境影响途径，对建设项目潜在环境危害程度进行概化分析。按表2.5-</w:t>
      </w:r>
      <w:r>
        <w:rPr>
          <w:rFonts w:hint="eastAsia" w:ascii="Times New Roman"/>
          <w:sz w:val="24"/>
          <w:szCs w:val="24"/>
        </w:rPr>
        <w:t>10</w:t>
      </w:r>
      <w:r>
        <w:rPr>
          <w:rFonts w:ascii="Times New Roman"/>
          <w:sz w:val="24"/>
          <w:szCs w:val="24"/>
        </w:rPr>
        <w:t>确定环境风险潜势。</w:t>
      </w:r>
    </w:p>
    <w:p w14:paraId="4FF2B471">
      <w:pPr>
        <w:snapToGrid w:val="0"/>
        <w:spacing w:line="480" w:lineRule="exact"/>
        <w:ind w:left="480" w:firstLine="482"/>
        <w:jc w:val="center"/>
        <w:rPr>
          <w:rFonts w:ascii="Times New Roman"/>
          <w:b/>
          <w:sz w:val="24"/>
          <w:szCs w:val="24"/>
          <w:lang w:val="zh-CN"/>
        </w:rPr>
      </w:pPr>
      <w:r>
        <w:rPr>
          <w:rFonts w:ascii="Times New Roman"/>
          <w:b/>
          <w:sz w:val="24"/>
          <w:szCs w:val="24"/>
          <w:lang w:val="zh-CN"/>
        </w:rPr>
        <w:t>表2.</w:t>
      </w:r>
      <w:r>
        <w:rPr>
          <w:rFonts w:ascii="Times New Roman"/>
          <w:b/>
          <w:sz w:val="24"/>
          <w:szCs w:val="24"/>
        </w:rPr>
        <w:t>5</w:t>
      </w:r>
      <w:r>
        <w:rPr>
          <w:rFonts w:ascii="Times New Roman"/>
          <w:b/>
          <w:sz w:val="24"/>
          <w:szCs w:val="24"/>
          <w:lang w:val="zh-CN"/>
        </w:rPr>
        <w:t>-</w:t>
      </w:r>
      <w:r>
        <w:rPr>
          <w:rFonts w:hint="eastAsia" w:ascii="Times New Roman"/>
          <w:b/>
          <w:sz w:val="24"/>
          <w:szCs w:val="24"/>
        </w:rPr>
        <w:t>10</w:t>
      </w:r>
      <w:r>
        <w:rPr>
          <w:rFonts w:ascii="Times New Roman"/>
          <w:b/>
          <w:sz w:val="24"/>
          <w:szCs w:val="24"/>
          <w:lang w:val="zh-CN"/>
        </w:rPr>
        <w:t xml:space="preserve">  建设项目环境风险潜势划分</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531"/>
        <w:gridCol w:w="1471"/>
        <w:gridCol w:w="1565"/>
        <w:gridCol w:w="1525"/>
      </w:tblGrid>
      <w:tr w14:paraId="2184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26" w:type="pct"/>
            <w:vMerge w:val="restart"/>
            <w:vAlign w:val="center"/>
          </w:tcPr>
          <w:p w14:paraId="0B449EB0">
            <w:pPr>
              <w:spacing w:line="320" w:lineRule="exact"/>
              <w:jc w:val="center"/>
              <w:rPr>
                <w:rFonts w:ascii="Times New Roman"/>
                <w:sz w:val="21"/>
                <w:szCs w:val="21"/>
              </w:rPr>
            </w:pPr>
            <w:r>
              <w:rPr>
                <w:rFonts w:ascii="Times New Roman"/>
                <w:sz w:val="21"/>
                <w:szCs w:val="21"/>
              </w:rPr>
              <w:t>环境敏感程度（E）</w:t>
            </w:r>
          </w:p>
        </w:tc>
        <w:tc>
          <w:tcPr>
            <w:tcW w:w="3573" w:type="pct"/>
            <w:gridSpan w:val="4"/>
            <w:vAlign w:val="center"/>
          </w:tcPr>
          <w:p w14:paraId="04A2D01C">
            <w:pPr>
              <w:spacing w:line="320" w:lineRule="exact"/>
              <w:jc w:val="center"/>
              <w:rPr>
                <w:rFonts w:ascii="Times New Roman"/>
                <w:sz w:val="21"/>
                <w:szCs w:val="21"/>
              </w:rPr>
            </w:pPr>
            <w:r>
              <w:rPr>
                <w:rFonts w:ascii="Times New Roman"/>
                <w:sz w:val="21"/>
                <w:szCs w:val="21"/>
              </w:rPr>
              <w:t>危险物质及工艺系统危险性（P）</w:t>
            </w:r>
          </w:p>
        </w:tc>
      </w:tr>
      <w:tr w14:paraId="2C00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426" w:type="pct"/>
            <w:vMerge w:val="continue"/>
            <w:vAlign w:val="center"/>
          </w:tcPr>
          <w:p w14:paraId="7FA38173">
            <w:pPr>
              <w:spacing w:line="320" w:lineRule="exact"/>
              <w:jc w:val="center"/>
              <w:rPr>
                <w:rFonts w:ascii="Times New Roman"/>
                <w:sz w:val="21"/>
                <w:szCs w:val="21"/>
              </w:rPr>
            </w:pPr>
          </w:p>
        </w:tc>
        <w:tc>
          <w:tcPr>
            <w:tcW w:w="898" w:type="pct"/>
            <w:vAlign w:val="center"/>
          </w:tcPr>
          <w:p w14:paraId="72E9BAB6">
            <w:pPr>
              <w:spacing w:line="320" w:lineRule="exact"/>
              <w:jc w:val="center"/>
              <w:rPr>
                <w:rFonts w:ascii="Times New Roman"/>
                <w:sz w:val="21"/>
                <w:szCs w:val="21"/>
              </w:rPr>
            </w:pPr>
            <w:r>
              <w:rPr>
                <w:rFonts w:ascii="Times New Roman"/>
                <w:sz w:val="21"/>
                <w:szCs w:val="21"/>
              </w:rPr>
              <w:t>极高危害</w:t>
            </w:r>
          </w:p>
          <w:p w14:paraId="77E611E1">
            <w:pPr>
              <w:spacing w:line="320" w:lineRule="exact"/>
              <w:jc w:val="center"/>
              <w:rPr>
                <w:rFonts w:ascii="Times New Roman"/>
                <w:sz w:val="21"/>
                <w:szCs w:val="21"/>
              </w:rPr>
            </w:pPr>
            <w:r>
              <w:rPr>
                <w:rFonts w:ascii="Times New Roman"/>
                <w:sz w:val="21"/>
                <w:szCs w:val="21"/>
              </w:rPr>
              <w:t>（P1）</w:t>
            </w:r>
          </w:p>
        </w:tc>
        <w:tc>
          <w:tcPr>
            <w:tcW w:w="863" w:type="pct"/>
            <w:vAlign w:val="center"/>
          </w:tcPr>
          <w:p w14:paraId="57A8CAF1">
            <w:pPr>
              <w:spacing w:line="320" w:lineRule="exact"/>
              <w:jc w:val="center"/>
              <w:rPr>
                <w:rFonts w:ascii="Times New Roman"/>
                <w:sz w:val="21"/>
                <w:szCs w:val="21"/>
              </w:rPr>
            </w:pPr>
            <w:r>
              <w:rPr>
                <w:rFonts w:ascii="Times New Roman"/>
                <w:sz w:val="21"/>
                <w:szCs w:val="21"/>
              </w:rPr>
              <w:t>高度危害（P2）</w:t>
            </w:r>
          </w:p>
        </w:tc>
        <w:tc>
          <w:tcPr>
            <w:tcW w:w="918" w:type="pct"/>
            <w:vAlign w:val="center"/>
          </w:tcPr>
          <w:p w14:paraId="1B69B001">
            <w:pPr>
              <w:spacing w:line="320" w:lineRule="exact"/>
              <w:jc w:val="center"/>
              <w:rPr>
                <w:rFonts w:ascii="Times New Roman"/>
                <w:sz w:val="21"/>
                <w:szCs w:val="21"/>
              </w:rPr>
            </w:pPr>
            <w:r>
              <w:rPr>
                <w:rFonts w:ascii="Times New Roman"/>
                <w:sz w:val="21"/>
                <w:szCs w:val="21"/>
              </w:rPr>
              <w:t>中毒危害</w:t>
            </w:r>
          </w:p>
          <w:p w14:paraId="4A993990">
            <w:pPr>
              <w:spacing w:line="320" w:lineRule="exact"/>
              <w:jc w:val="center"/>
              <w:rPr>
                <w:rFonts w:ascii="Times New Roman"/>
                <w:sz w:val="21"/>
                <w:szCs w:val="21"/>
              </w:rPr>
            </w:pPr>
            <w:r>
              <w:rPr>
                <w:rFonts w:ascii="Times New Roman"/>
                <w:sz w:val="21"/>
                <w:szCs w:val="21"/>
              </w:rPr>
              <w:t>（P3）</w:t>
            </w:r>
          </w:p>
        </w:tc>
        <w:tc>
          <w:tcPr>
            <w:tcW w:w="893" w:type="pct"/>
            <w:vAlign w:val="center"/>
          </w:tcPr>
          <w:p w14:paraId="6A03E5F1">
            <w:pPr>
              <w:spacing w:line="320" w:lineRule="exact"/>
              <w:jc w:val="center"/>
              <w:rPr>
                <w:rFonts w:ascii="Times New Roman"/>
                <w:sz w:val="21"/>
                <w:szCs w:val="21"/>
              </w:rPr>
            </w:pPr>
            <w:r>
              <w:rPr>
                <w:rFonts w:ascii="Times New Roman"/>
                <w:sz w:val="21"/>
                <w:szCs w:val="21"/>
              </w:rPr>
              <w:t>轻度危害</w:t>
            </w:r>
          </w:p>
          <w:p w14:paraId="62DD017D">
            <w:pPr>
              <w:spacing w:line="320" w:lineRule="exact"/>
              <w:jc w:val="center"/>
              <w:rPr>
                <w:rFonts w:ascii="Times New Roman"/>
                <w:sz w:val="21"/>
                <w:szCs w:val="21"/>
              </w:rPr>
            </w:pPr>
            <w:r>
              <w:rPr>
                <w:rFonts w:ascii="Times New Roman"/>
                <w:sz w:val="21"/>
                <w:szCs w:val="21"/>
              </w:rPr>
              <w:t>（P4）</w:t>
            </w:r>
          </w:p>
        </w:tc>
      </w:tr>
      <w:tr w14:paraId="54EA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426" w:type="pct"/>
            <w:vAlign w:val="center"/>
          </w:tcPr>
          <w:p w14:paraId="69E15599">
            <w:pPr>
              <w:spacing w:line="320" w:lineRule="exact"/>
              <w:jc w:val="center"/>
              <w:rPr>
                <w:rFonts w:ascii="Times New Roman"/>
                <w:sz w:val="21"/>
                <w:szCs w:val="21"/>
              </w:rPr>
            </w:pPr>
            <w:r>
              <w:rPr>
                <w:rFonts w:ascii="Times New Roman"/>
                <w:sz w:val="21"/>
                <w:szCs w:val="21"/>
              </w:rPr>
              <w:t>环境高度敏感区（E1）</w:t>
            </w:r>
          </w:p>
        </w:tc>
        <w:tc>
          <w:tcPr>
            <w:tcW w:w="898" w:type="pct"/>
            <w:vAlign w:val="center"/>
          </w:tcPr>
          <w:p w14:paraId="2458702F">
            <w:pPr>
              <w:spacing w:line="320" w:lineRule="exact"/>
              <w:jc w:val="center"/>
              <w:rPr>
                <w:rFonts w:ascii="Times New Roman"/>
                <w:sz w:val="21"/>
                <w:szCs w:val="21"/>
              </w:rPr>
            </w:pPr>
            <w:r>
              <w:rPr>
                <w:rFonts w:ascii="Times New Roman"/>
                <w:sz w:val="21"/>
                <w:szCs w:val="21"/>
              </w:rPr>
              <w:t>Ⅳ</w:t>
            </w:r>
            <w:r>
              <w:rPr>
                <w:rFonts w:ascii="Times New Roman"/>
                <w:sz w:val="21"/>
                <w:szCs w:val="21"/>
                <w:vertAlign w:val="superscript"/>
              </w:rPr>
              <w:t>+</w:t>
            </w:r>
          </w:p>
        </w:tc>
        <w:tc>
          <w:tcPr>
            <w:tcW w:w="863" w:type="pct"/>
            <w:vAlign w:val="center"/>
          </w:tcPr>
          <w:p w14:paraId="4C407A1B">
            <w:pPr>
              <w:spacing w:line="320" w:lineRule="exact"/>
              <w:jc w:val="center"/>
              <w:rPr>
                <w:rFonts w:ascii="Times New Roman"/>
                <w:sz w:val="21"/>
                <w:szCs w:val="21"/>
              </w:rPr>
            </w:pPr>
            <w:r>
              <w:rPr>
                <w:rFonts w:ascii="Times New Roman"/>
                <w:sz w:val="21"/>
                <w:szCs w:val="21"/>
              </w:rPr>
              <w:t>Ⅳ</w:t>
            </w:r>
          </w:p>
        </w:tc>
        <w:tc>
          <w:tcPr>
            <w:tcW w:w="918" w:type="pct"/>
            <w:vAlign w:val="center"/>
          </w:tcPr>
          <w:p w14:paraId="186740B4">
            <w:pPr>
              <w:spacing w:line="320" w:lineRule="exact"/>
              <w:jc w:val="center"/>
              <w:rPr>
                <w:rFonts w:ascii="Times New Roman"/>
                <w:sz w:val="21"/>
                <w:szCs w:val="21"/>
              </w:rPr>
            </w:pPr>
            <w:r>
              <w:rPr>
                <w:rFonts w:ascii="Times New Roman"/>
                <w:sz w:val="21"/>
                <w:szCs w:val="21"/>
              </w:rPr>
              <w:t>Ⅲ</w:t>
            </w:r>
          </w:p>
        </w:tc>
        <w:tc>
          <w:tcPr>
            <w:tcW w:w="893" w:type="pct"/>
            <w:vAlign w:val="center"/>
          </w:tcPr>
          <w:p w14:paraId="1DD91461">
            <w:pPr>
              <w:spacing w:line="320" w:lineRule="exact"/>
              <w:jc w:val="center"/>
              <w:rPr>
                <w:rFonts w:ascii="Times New Roman"/>
                <w:sz w:val="21"/>
                <w:szCs w:val="21"/>
              </w:rPr>
            </w:pPr>
            <w:r>
              <w:rPr>
                <w:rFonts w:ascii="Times New Roman"/>
                <w:sz w:val="21"/>
                <w:szCs w:val="21"/>
              </w:rPr>
              <w:t>Ⅲ</w:t>
            </w:r>
          </w:p>
        </w:tc>
      </w:tr>
      <w:tr w14:paraId="72FC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26" w:type="pct"/>
            <w:vAlign w:val="center"/>
          </w:tcPr>
          <w:p w14:paraId="50B3CC4A">
            <w:pPr>
              <w:spacing w:line="320" w:lineRule="exact"/>
              <w:jc w:val="center"/>
              <w:rPr>
                <w:rFonts w:ascii="Times New Roman"/>
                <w:sz w:val="21"/>
                <w:szCs w:val="21"/>
              </w:rPr>
            </w:pPr>
            <w:r>
              <w:rPr>
                <w:rFonts w:ascii="Times New Roman"/>
                <w:sz w:val="21"/>
                <w:szCs w:val="21"/>
              </w:rPr>
              <w:t>环境中度敏感区（E2）</w:t>
            </w:r>
          </w:p>
        </w:tc>
        <w:tc>
          <w:tcPr>
            <w:tcW w:w="898" w:type="pct"/>
            <w:vAlign w:val="center"/>
          </w:tcPr>
          <w:p w14:paraId="2A57336A">
            <w:pPr>
              <w:spacing w:line="320" w:lineRule="exact"/>
              <w:jc w:val="center"/>
              <w:rPr>
                <w:rFonts w:ascii="Times New Roman"/>
                <w:sz w:val="21"/>
                <w:szCs w:val="21"/>
              </w:rPr>
            </w:pPr>
            <w:r>
              <w:rPr>
                <w:rFonts w:ascii="Times New Roman"/>
                <w:sz w:val="21"/>
                <w:szCs w:val="21"/>
              </w:rPr>
              <w:t>Ⅳ</w:t>
            </w:r>
          </w:p>
        </w:tc>
        <w:tc>
          <w:tcPr>
            <w:tcW w:w="863" w:type="pct"/>
            <w:vAlign w:val="center"/>
          </w:tcPr>
          <w:p w14:paraId="0AD8FF4E">
            <w:pPr>
              <w:spacing w:line="320" w:lineRule="exact"/>
              <w:jc w:val="center"/>
              <w:rPr>
                <w:rFonts w:ascii="Times New Roman"/>
                <w:sz w:val="21"/>
                <w:szCs w:val="21"/>
              </w:rPr>
            </w:pPr>
            <w:r>
              <w:rPr>
                <w:rFonts w:ascii="Times New Roman"/>
                <w:sz w:val="21"/>
                <w:szCs w:val="21"/>
              </w:rPr>
              <w:t>Ⅲ</w:t>
            </w:r>
          </w:p>
        </w:tc>
        <w:tc>
          <w:tcPr>
            <w:tcW w:w="918" w:type="pct"/>
            <w:vAlign w:val="center"/>
          </w:tcPr>
          <w:p w14:paraId="48173F62">
            <w:pPr>
              <w:spacing w:line="320" w:lineRule="exact"/>
              <w:jc w:val="center"/>
              <w:rPr>
                <w:rFonts w:ascii="Times New Roman"/>
                <w:sz w:val="21"/>
                <w:szCs w:val="21"/>
              </w:rPr>
            </w:pPr>
            <w:r>
              <w:rPr>
                <w:rFonts w:ascii="Times New Roman"/>
                <w:sz w:val="21"/>
                <w:szCs w:val="21"/>
              </w:rPr>
              <w:t>Ⅲ</w:t>
            </w:r>
          </w:p>
        </w:tc>
        <w:tc>
          <w:tcPr>
            <w:tcW w:w="893" w:type="pct"/>
            <w:vAlign w:val="center"/>
          </w:tcPr>
          <w:p w14:paraId="1EE817AF">
            <w:pPr>
              <w:spacing w:line="320" w:lineRule="exact"/>
              <w:jc w:val="center"/>
              <w:rPr>
                <w:rFonts w:ascii="Times New Roman"/>
                <w:sz w:val="21"/>
                <w:szCs w:val="21"/>
              </w:rPr>
            </w:pPr>
            <w:r>
              <w:rPr>
                <w:rFonts w:ascii="Times New Roman"/>
                <w:sz w:val="21"/>
                <w:szCs w:val="21"/>
              </w:rPr>
              <w:t>Ⅱ</w:t>
            </w:r>
          </w:p>
        </w:tc>
      </w:tr>
      <w:tr w14:paraId="5307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426" w:type="pct"/>
            <w:vAlign w:val="center"/>
          </w:tcPr>
          <w:p w14:paraId="504F9579">
            <w:pPr>
              <w:spacing w:line="320" w:lineRule="exact"/>
              <w:jc w:val="center"/>
              <w:rPr>
                <w:rFonts w:ascii="Times New Roman"/>
                <w:sz w:val="21"/>
                <w:szCs w:val="21"/>
              </w:rPr>
            </w:pPr>
            <w:r>
              <w:rPr>
                <w:rFonts w:ascii="Times New Roman"/>
                <w:sz w:val="21"/>
                <w:szCs w:val="21"/>
              </w:rPr>
              <w:t>环境低度敏感区（E3）</w:t>
            </w:r>
          </w:p>
        </w:tc>
        <w:tc>
          <w:tcPr>
            <w:tcW w:w="898" w:type="pct"/>
            <w:vAlign w:val="center"/>
          </w:tcPr>
          <w:p w14:paraId="273351ED">
            <w:pPr>
              <w:spacing w:line="320" w:lineRule="exact"/>
              <w:jc w:val="center"/>
              <w:rPr>
                <w:rFonts w:ascii="Times New Roman"/>
                <w:sz w:val="21"/>
                <w:szCs w:val="21"/>
              </w:rPr>
            </w:pPr>
            <w:r>
              <w:rPr>
                <w:rFonts w:ascii="Times New Roman"/>
                <w:sz w:val="21"/>
                <w:szCs w:val="21"/>
              </w:rPr>
              <w:t>Ⅲ</w:t>
            </w:r>
          </w:p>
        </w:tc>
        <w:tc>
          <w:tcPr>
            <w:tcW w:w="863" w:type="pct"/>
            <w:vAlign w:val="center"/>
          </w:tcPr>
          <w:p w14:paraId="046ADF49">
            <w:pPr>
              <w:spacing w:line="320" w:lineRule="exact"/>
              <w:jc w:val="center"/>
              <w:rPr>
                <w:rFonts w:ascii="Times New Roman"/>
                <w:sz w:val="21"/>
                <w:szCs w:val="21"/>
              </w:rPr>
            </w:pPr>
            <w:r>
              <w:rPr>
                <w:rFonts w:ascii="Times New Roman"/>
                <w:sz w:val="21"/>
                <w:szCs w:val="21"/>
              </w:rPr>
              <w:t>Ⅲ</w:t>
            </w:r>
          </w:p>
        </w:tc>
        <w:tc>
          <w:tcPr>
            <w:tcW w:w="918" w:type="pct"/>
            <w:vAlign w:val="center"/>
          </w:tcPr>
          <w:p w14:paraId="6DD96603">
            <w:pPr>
              <w:spacing w:line="320" w:lineRule="exact"/>
              <w:jc w:val="center"/>
              <w:rPr>
                <w:rFonts w:ascii="Times New Roman"/>
                <w:sz w:val="21"/>
                <w:szCs w:val="21"/>
              </w:rPr>
            </w:pPr>
            <w:r>
              <w:rPr>
                <w:rFonts w:ascii="Times New Roman"/>
                <w:sz w:val="21"/>
                <w:szCs w:val="21"/>
              </w:rPr>
              <w:t>Ⅱ</w:t>
            </w:r>
          </w:p>
        </w:tc>
        <w:tc>
          <w:tcPr>
            <w:tcW w:w="893" w:type="pct"/>
            <w:vAlign w:val="center"/>
          </w:tcPr>
          <w:p w14:paraId="4F41EEEC">
            <w:pPr>
              <w:spacing w:line="320" w:lineRule="exact"/>
              <w:jc w:val="center"/>
              <w:rPr>
                <w:rFonts w:ascii="Times New Roman"/>
                <w:sz w:val="21"/>
                <w:szCs w:val="21"/>
              </w:rPr>
            </w:pPr>
            <w:r>
              <w:rPr>
                <w:rFonts w:ascii="Times New Roman"/>
                <w:sz w:val="21"/>
                <w:szCs w:val="21"/>
              </w:rPr>
              <w:t>Ⅰ</w:t>
            </w:r>
          </w:p>
        </w:tc>
      </w:tr>
      <w:tr w14:paraId="64D6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0" w:type="pct"/>
            <w:gridSpan w:val="5"/>
            <w:vAlign w:val="center"/>
          </w:tcPr>
          <w:p w14:paraId="31066AC7">
            <w:pPr>
              <w:spacing w:line="320" w:lineRule="exact"/>
              <w:jc w:val="left"/>
              <w:rPr>
                <w:rFonts w:ascii="Times New Roman"/>
                <w:sz w:val="21"/>
                <w:szCs w:val="21"/>
              </w:rPr>
            </w:pPr>
            <w:r>
              <w:rPr>
                <w:rFonts w:ascii="Times New Roman"/>
                <w:sz w:val="21"/>
                <w:szCs w:val="21"/>
              </w:rPr>
              <w:t>注：Ⅳ</w:t>
            </w:r>
            <w:r>
              <w:rPr>
                <w:rFonts w:ascii="Times New Roman"/>
                <w:sz w:val="21"/>
                <w:szCs w:val="21"/>
                <w:vertAlign w:val="superscript"/>
              </w:rPr>
              <w:t>+</w:t>
            </w:r>
            <w:r>
              <w:rPr>
                <w:rFonts w:ascii="Times New Roman"/>
                <w:sz w:val="21"/>
                <w:szCs w:val="21"/>
              </w:rPr>
              <w:t>为极高环境风险</w:t>
            </w:r>
          </w:p>
        </w:tc>
      </w:tr>
    </w:tbl>
    <w:p w14:paraId="2F03C496">
      <w:pPr>
        <w:spacing w:line="440" w:lineRule="exact"/>
        <w:ind w:firstLine="480" w:firstLineChars="200"/>
        <w:rPr>
          <w:rFonts w:ascii="Times New Roman"/>
          <w:sz w:val="24"/>
          <w:szCs w:val="24"/>
        </w:rPr>
      </w:pPr>
      <w:r>
        <w:rPr>
          <w:rFonts w:ascii="Times New Roman"/>
          <w:sz w:val="24"/>
          <w:szCs w:val="24"/>
        </w:rPr>
        <w:t>2）P的分级确定</w:t>
      </w:r>
    </w:p>
    <w:p w14:paraId="6EB5AD33">
      <w:pPr>
        <w:spacing w:line="440" w:lineRule="exact"/>
        <w:ind w:firstLine="480" w:firstLineChars="200"/>
        <w:rPr>
          <w:rFonts w:ascii="Times New Roman"/>
          <w:sz w:val="24"/>
          <w:szCs w:val="24"/>
        </w:rPr>
      </w:pPr>
      <w:r>
        <w:rPr>
          <w:rFonts w:ascii="Times New Roman"/>
          <w:sz w:val="24"/>
          <w:szCs w:val="24"/>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14:paraId="22FEC536">
      <w:pPr>
        <w:spacing w:line="440" w:lineRule="exact"/>
        <w:ind w:firstLine="480" w:firstLineChars="200"/>
        <w:rPr>
          <w:rFonts w:ascii="Times New Roman"/>
          <w:kern w:val="0"/>
          <w:sz w:val="24"/>
          <w:szCs w:val="24"/>
        </w:rPr>
      </w:pPr>
      <w:r>
        <w:rPr>
          <w:rFonts w:ascii="Times New Roman"/>
          <w:kern w:val="0"/>
          <w:sz w:val="24"/>
          <w:szCs w:val="24"/>
        </w:rPr>
        <w:t>计算所涉及的每种危险物质在厂界内的最大存在总量与其在附录B中对应临界Q。在不同厂区的同一种物质，按其在厂界内的最大存在总量计算。</w:t>
      </w:r>
    </w:p>
    <w:p w14:paraId="529FCD7D">
      <w:pPr>
        <w:spacing w:line="440" w:lineRule="exact"/>
        <w:ind w:firstLine="480" w:firstLineChars="200"/>
        <w:rPr>
          <w:rFonts w:ascii="Times New Roman"/>
          <w:kern w:val="0"/>
          <w:sz w:val="24"/>
          <w:szCs w:val="24"/>
        </w:rPr>
      </w:pPr>
      <w:r>
        <w:rPr>
          <w:rFonts w:ascii="Times New Roman"/>
          <w:kern w:val="0"/>
          <w:sz w:val="24"/>
          <w:szCs w:val="24"/>
        </w:rPr>
        <w:t>危险物质数量与临界量比值（Q）：当只涉及一种危险物质时，计算该物质的总量与其临界量的比值，即为Q；当存在多种危险物质时，则按下面公式计算物质总量与其临界量的比值（Q）：</w:t>
      </w:r>
    </w:p>
    <w:p w14:paraId="5AB62427">
      <w:pPr>
        <w:spacing w:line="480" w:lineRule="exact"/>
        <w:ind w:firstLine="480" w:firstLineChars="200"/>
        <w:rPr>
          <w:rFonts w:ascii="Times New Roman"/>
          <w:kern w:val="0"/>
          <w:sz w:val="24"/>
          <w:szCs w:val="24"/>
        </w:rPr>
      </w:pPr>
      <w:r>
        <w:rPr>
          <w:rFonts w:ascii="Times New Roman"/>
          <w:sz w:val="24"/>
          <w:szCs w:val="20"/>
        </w:rPr>
        <w:drawing>
          <wp:anchor distT="0" distB="0" distL="114300" distR="114300" simplePos="0" relativeHeight="251671552" behindDoc="0" locked="0" layoutInCell="1" allowOverlap="1">
            <wp:simplePos x="0" y="0"/>
            <wp:positionH relativeFrom="column">
              <wp:posOffset>2565400</wp:posOffset>
            </wp:positionH>
            <wp:positionV relativeFrom="paragraph">
              <wp:posOffset>171450</wp:posOffset>
            </wp:positionV>
            <wp:extent cx="1475105" cy="497840"/>
            <wp:effectExtent l="0" t="0" r="10795" b="171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r="14769"/>
                    <a:stretch>
                      <a:fillRect/>
                    </a:stretch>
                  </pic:blipFill>
                  <pic:spPr>
                    <a:xfrm>
                      <a:off x="0" y="0"/>
                      <a:ext cx="1475105" cy="497840"/>
                    </a:xfrm>
                    <a:prstGeom prst="rect">
                      <a:avLst/>
                    </a:prstGeom>
                    <a:noFill/>
                    <a:ln>
                      <a:noFill/>
                    </a:ln>
                  </pic:spPr>
                </pic:pic>
              </a:graphicData>
            </a:graphic>
          </wp:anchor>
        </w:drawing>
      </w:r>
    </w:p>
    <w:p w14:paraId="0862863E">
      <w:pPr>
        <w:widowControl/>
        <w:spacing w:line="360" w:lineRule="auto"/>
        <w:ind w:firstLine="3600" w:firstLineChars="1500"/>
        <w:rPr>
          <w:rFonts w:ascii="Times New Roman"/>
          <w:sz w:val="24"/>
          <w:szCs w:val="20"/>
        </w:rPr>
      </w:pPr>
      <w:r>
        <w:rPr>
          <w:rFonts w:ascii="Times New Roman"/>
          <w:sz w:val="24"/>
          <w:szCs w:val="20"/>
        </w:rPr>
        <w:t>Q＝</w:t>
      </w:r>
    </w:p>
    <w:p w14:paraId="5775DE19">
      <w:pPr>
        <w:spacing w:line="440" w:lineRule="exact"/>
        <w:ind w:firstLine="480" w:firstLineChars="200"/>
        <w:rPr>
          <w:rFonts w:ascii="Times New Roman"/>
          <w:kern w:val="0"/>
          <w:sz w:val="24"/>
          <w:szCs w:val="24"/>
        </w:rPr>
      </w:pPr>
      <w:r>
        <w:rPr>
          <w:rFonts w:ascii="Times New Roman"/>
          <w:kern w:val="0"/>
          <w:sz w:val="24"/>
          <w:szCs w:val="24"/>
        </w:rPr>
        <w:t>式中：q</w:t>
      </w:r>
      <w:r>
        <w:rPr>
          <w:rFonts w:ascii="Times New Roman"/>
          <w:kern w:val="0"/>
          <w:sz w:val="24"/>
          <w:szCs w:val="24"/>
          <w:vertAlign w:val="subscript"/>
        </w:rPr>
        <w:t>1</w:t>
      </w:r>
      <w:r>
        <w:rPr>
          <w:rFonts w:ascii="Times New Roman"/>
          <w:kern w:val="0"/>
          <w:sz w:val="24"/>
          <w:szCs w:val="24"/>
        </w:rPr>
        <w:t>，q</w:t>
      </w:r>
      <w:r>
        <w:rPr>
          <w:rFonts w:ascii="Times New Roman"/>
          <w:kern w:val="0"/>
          <w:sz w:val="24"/>
          <w:szCs w:val="24"/>
          <w:vertAlign w:val="subscript"/>
        </w:rPr>
        <w:t>2</w:t>
      </w:r>
      <w:r>
        <w:rPr>
          <w:rFonts w:ascii="Times New Roman"/>
          <w:kern w:val="0"/>
          <w:sz w:val="24"/>
          <w:szCs w:val="24"/>
        </w:rPr>
        <w:t>····qn—每种危险物质的最大存在总量，t。</w:t>
      </w:r>
    </w:p>
    <w:p w14:paraId="78E88DDC">
      <w:pPr>
        <w:spacing w:line="440" w:lineRule="exact"/>
        <w:ind w:firstLine="480" w:firstLineChars="200"/>
        <w:rPr>
          <w:rFonts w:ascii="Times New Roman"/>
          <w:kern w:val="0"/>
          <w:sz w:val="24"/>
          <w:szCs w:val="24"/>
        </w:rPr>
      </w:pPr>
      <w:r>
        <w:rPr>
          <w:rFonts w:ascii="Times New Roman"/>
          <w:kern w:val="0"/>
          <w:sz w:val="24"/>
          <w:szCs w:val="24"/>
        </w:rPr>
        <w:t xml:space="preserve">      Q</w:t>
      </w:r>
      <w:r>
        <w:rPr>
          <w:rFonts w:ascii="Times New Roman"/>
          <w:kern w:val="0"/>
          <w:sz w:val="24"/>
          <w:szCs w:val="24"/>
          <w:vertAlign w:val="subscript"/>
        </w:rPr>
        <w:t>1</w:t>
      </w:r>
      <w:r>
        <w:rPr>
          <w:rFonts w:ascii="Times New Roman"/>
          <w:kern w:val="0"/>
          <w:sz w:val="24"/>
          <w:szCs w:val="24"/>
        </w:rPr>
        <w:t>，Q</w:t>
      </w:r>
      <w:r>
        <w:rPr>
          <w:rFonts w:ascii="Times New Roman"/>
          <w:kern w:val="0"/>
          <w:sz w:val="24"/>
          <w:szCs w:val="24"/>
          <w:vertAlign w:val="subscript"/>
        </w:rPr>
        <w:t>2</w:t>
      </w:r>
      <w:r>
        <w:rPr>
          <w:rFonts w:ascii="Times New Roman"/>
          <w:kern w:val="0"/>
          <w:sz w:val="24"/>
          <w:szCs w:val="24"/>
        </w:rPr>
        <w:t xml:space="preserve">···Qn—每种危险物质的临界量，t。 </w:t>
      </w:r>
    </w:p>
    <w:p w14:paraId="05460168">
      <w:pPr>
        <w:spacing w:line="440" w:lineRule="exact"/>
        <w:ind w:firstLine="480" w:firstLineChars="200"/>
        <w:rPr>
          <w:rFonts w:ascii="Times New Roman"/>
          <w:kern w:val="0"/>
          <w:sz w:val="24"/>
          <w:szCs w:val="24"/>
        </w:rPr>
      </w:pPr>
      <w:r>
        <w:rPr>
          <w:rFonts w:ascii="Times New Roman"/>
          <w:kern w:val="0"/>
          <w:sz w:val="24"/>
          <w:szCs w:val="24"/>
        </w:rPr>
        <w:t>当Q&lt;1时，该项目环境风险潜势为Ⅰ。</w:t>
      </w:r>
    </w:p>
    <w:p w14:paraId="66C55632">
      <w:pPr>
        <w:spacing w:line="440" w:lineRule="exact"/>
        <w:ind w:firstLine="480" w:firstLineChars="200"/>
        <w:rPr>
          <w:rFonts w:ascii="Times New Roman"/>
          <w:sz w:val="24"/>
          <w:szCs w:val="24"/>
        </w:rPr>
      </w:pPr>
      <w:r>
        <w:rPr>
          <w:rFonts w:ascii="Times New Roman"/>
          <w:kern w:val="0"/>
          <w:sz w:val="24"/>
          <w:szCs w:val="24"/>
        </w:rPr>
        <w:t>当Q≥1时候，将Q值划分为：（1）1≤Q&lt;10；（2）10≤Q&lt;100；（3）Q≥100。</w:t>
      </w:r>
    </w:p>
    <w:p w14:paraId="34BBE8C8">
      <w:pPr>
        <w:spacing w:line="440" w:lineRule="exact"/>
        <w:ind w:firstLine="480" w:firstLineChars="200"/>
        <w:rPr>
          <w:rFonts w:ascii="Times New Roman"/>
          <w:sz w:val="24"/>
          <w:szCs w:val="24"/>
        </w:rPr>
      </w:pPr>
      <w:r>
        <w:rPr>
          <w:rFonts w:ascii="Times New Roman"/>
          <w:sz w:val="24"/>
          <w:szCs w:val="24"/>
        </w:rPr>
        <w:t>对照《建设项目环境风险评价技术导则》（HJ169-2018）附录B，本项目建成后，整个厂区生产、使用、储存过程中涉及的有毒有害、易燃易爆物质储存量及Q值判定过程见表2.5-1</w:t>
      </w:r>
      <w:r>
        <w:rPr>
          <w:rFonts w:hint="eastAsia" w:ascii="Times New Roman"/>
          <w:sz w:val="24"/>
          <w:szCs w:val="24"/>
        </w:rPr>
        <w:t>1</w:t>
      </w:r>
      <w:r>
        <w:rPr>
          <w:rFonts w:ascii="Times New Roman"/>
          <w:sz w:val="24"/>
          <w:szCs w:val="24"/>
        </w:rPr>
        <w:t>。</w:t>
      </w:r>
    </w:p>
    <w:p w14:paraId="345B34B7">
      <w:pPr>
        <w:snapToGrid w:val="0"/>
        <w:spacing w:line="480" w:lineRule="exact"/>
        <w:jc w:val="center"/>
        <w:rPr>
          <w:rFonts w:ascii="Times New Roman"/>
          <w:b/>
          <w:sz w:val="24"/>
          <w:szCs w:val="24"/>
          <w:lang w:val="zh-CN"/>
        </w:rPr>
      </w:pPr>
      <w:r>
        <w:rPr>
          <w:rFonts w:ascii="Times New Roman"/>
          <w:b/>
          <w:sz w:val="24"/>
          <w:szCs w:val="24"/>
          <w:lang w:val="zh-CN"/>
        </w:rPr>
        <w:t>表2.</w:t>
      </w:r>
      <w:r>
        <w:rPr>
          <w:rFonts w:ascii="Times New Roman"/>
          <w:b/>
          <w:sz w:val="24"/>
          <w:szCs w:val="24"/>
        </w:rPr>
        <w:t>5</w:t>
      </w:r>
      <w:r>
        <w:rPr>
          <w:rFonts w:ascii="Times New Roman"/>
          <w:b/>
          <w:sz w:val="24"/>
          <w:szCs w:val="24"/>
          <w:lang w:val="zh-CN"/>
        </w:rPr>
        <w:t>-1</w:t>
      </w:r>
      <w:r>
        <w:rPr>
          <w:rFonts w:hint="eastAsia" w:ascii="Times New Roman"/>
          <w:b/>
          <w:sz w:val="24"/>
          <w:szCs w:val="24"/>
        </w:rPr>
        <w:t>1</w:t>
      </w:r>
      <w:r>
        <w:rPr>
          <w:rFonts w:ascii="Times New Roman"/>
          <w:b/>
          <w:sz w:val="24"/>
          <w:szCs w:val="24"/>
          <w:lang w:val="zh-CN"/>
        </w:rPr>
        <w:t xml:space="preserve">  本项目</w:t>
      </w:r>
      <w:r>
        <w:rPr>
          <w:rFonts w:ascii="Times New Roman"/>
          <w:b/>
          <w:sz w:val="24"/>
          <w:szCs w:val="24"/>
        </w:rPr>
        <w:t>风险</w:t>
      </w:r>
      <w:r>
        <w:rPr>
          <w:rFonts w:ascii="Times New Roman"/>
          <w:b/>
          <w:sz w:val="24"/>
          <w:szCs w:val="24"/>
          <w:lang w:val="zh-CN"/>
        </w:rPr>
        <w:t>物质Q值计算表</w:t>
      </w:r>
    </w:p>
    <w:tbl>
      <w:tblPr>
        <w:tblStyle w:val="8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942"/>
        <w:gridCol w:w="1169"/>
        <w:gridCol w:w="1439"/>
        <w:gridCol w:w="1225"/>
        <w:gridCol w:w="910"/>
        <w:gridCol w:w="1078"/>
      </w:tblGrid>
      <w:tr w14:paraId="15BF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3B05DFB7">
            <w:pPr>
              <w:spacing w:line="360" w:lineRule="exact"/>
              <w:jc w:val="center"/>
              <w:rPr>
                <w:rFonts w:ascii="Times New Roman"/>
                <w:sz w:val="21"/>
                <w:szCs w:val="21"/>
              </w:rPr>
            </w:pPr>
            <w:r>
              <w:rPr>
                <w:rFonts w:ascii="Times New Roman"/>
                <w:sz w:val="21"/>
                <w:szCs w:val="21"/>
              </w:rPr>
              <w:t>序号</w:t>
            </w:r>
          </w:p>
        </w:tc>
        <w:tc>
          <w:tcPr>
            <w:tcW w:w="1150" w:type="pct"/>
            <w:vAlign w:val="center"/>
          </w:tcPr>
          <w:p w14:paraId="6621FC26">
            <w:pPr>
              <w:spacing w:line="360" w:lineRule="exact"/>
              <w:jc w:val="center"/>
              <w:rPr>
                <w:rFonts w:ascii="Times New Roman"/>
                <w:sz w:val="21"/>
                <w:szCs w:val="21"/>
              </w:rPr>
            </w:pPr>
            <w:r>
              <w:rPr>
                <w:rFonts w:ascii="Times New Roman"/>
                <w:sz w:val="21"/>
                <w:szCs w:val="21"/>
              </w:rPr>
              <w:t>风险物质名称</w:t>
            </w:r>
          </w:p>
        </w:tc>
        <w:tc>
          <w:tcPr>
            <w:tcW w:w="693" w:type="pct"/>
            <w:vAlign w:val="center"/>
          </w:tcPr>
          <w:p w14:paraId="26B07FAA">
            <w:pPr>
              <w:spacing w:line="360" w:lineRule="exact"/>
              <w:jc w:val="center"/>
              <w:rPr>
                <w:rFonts w:ascii="Times New Roman"/>
                <w:sz w:val="21"/>
                <w:szCs w:val="21"/>
              </w:rPr>
            </w:pPr>
            <w:r>
              <w:rPr>
                <w:rFonts w:ascii="Times New Roman"/>
                <w:sz w:val="21"/>
                <w:szCs w:val="21"/>
              </w:rPr>
              <w:t>CAS号</w:t>
            </w:r>
          </w:p>
        </w:tc>
        <w:tc>
          <w:tcPr>
            <w:tcW w:w="853" w:type="pct"/>
            <w:vAlign w:val="center"/>
          </w:tcPr>
          <w:p w14:paraId="67FFC247">
            <w:pPr>
              <w:spacing w:line="360" w:lineRule="exact"/>
              <w:ind w:right="-125" w:rightChars="-50"/>
              <w:jc w:val="center"/>
              <w:rPr>
                <w:rFonts w:ascii="Times New Roman"/>
                <w:sz w:val="21"/>
                <w:szCs w:val="21"/>
              </w:rPr>
            </w:pPr>
            <w:r>
              <w:rPr>
                <w:rFonts w:ascii="Times New Roman"/>
                <w:sz w:val="21"/>
                <w:szCs w:val="21"/>
              </w:rPr>
              <w:t>最大存在总量（t）</w:t>
            </w:r>
          </w:p>
        </w:tc>
        <w:tc>
          <w:tcPr>
            <w:tcW w:w="724" w:type="pct"/>
            <w:vAlign w:val="center"/>
          </w:tcPr>
          <w:p w14:paraId="6B9348E7">
            <w:pPr>
              <w:spacing w:line="360" w:lineRule="exact"/>
              <w:jc w:val="center"/>
              <w:rPr>
                <w:rFonts w:ascii="Times New Roman"/>
                <w:sz w:val="21"/>
                <w:szCs w:val="21"/>
              </w:rPr>
            </w:pPr>
            <w:r>
              <w:rPr>
                <w:rFonts w:ascii="Times New Roman"/>
                <w:sz w:val="21"/>
                <w:szCs w:val="21"/>
              </w:rPr>
              <w:t>临界量（t）</w:t>
            </w:r>
          </w:p>
        </w:tc>
        <w:tc>
          <w:tcPr>
            <w:tcW w:w="539" w:type="pct"/>
            <w:vAlign w:val="center"/>
          </w:tcPr>
          <w:p w14:paraId="2D289ACB">
            <w:pPr>
              <w:spacing w:line="360" w:lineRule="exact"/>
              <w:jc w:val="center"/>
              <w:rPr>
                <w:rFonts w:ascii="Times New Roman"/>
                <w:sz w:val="21"/>
                <w:szCs w:val="21"/>
              </w:rPr>
            </w:pPr>
            <w:r>
              <w:rPr>
                <w:rFonts w:ascii="Times New Roman"/>
                <w:sz w:val="21"/>
                <w:szCs w:val="21"/>
              </w:rPr>
              <w:t>q</w:t>
            </w:r>
            <w:r>
              <w:rPr>
                <w:rFonts w:ascii="Times New Roman"/>
                <w:sz w:val="21"/>
                <w:szCs w:val="21"/>
                <w:vertAlign w:val="subscript"/>
              </w:rPr>
              <w:t>i</w:t>
            </w:r>
            <w:r>
              <w:rPr>
                <w:rFonts w:ascii="Times New Roman"/>
                <w:sz w:val="21"/>
                <w:szCs w:val="21"/>
              </w:rPr>
              <w:t>/Q</w:t>
            </w:r>
            <w:r>
              <w:rPr>
                <w:rFonts w:ascii="Times New Roman"/>
                <w:sz w:val="21"/>
                <w:szCs w:val="21"/>
                <w:vertAlign w:val="subscript"/>
              </w:rPr>
              <w:t>i</w:t>
            </w:r>
          </w:p>
        </w:tc>
        <w:tc>
          <w:tcPr>
            <w:tcW w:w="639" w:type="pct"/>
            <w:vAlign w:val="center"/>
          </w:tcPr>
          <w:p w14:paraId="3550584A">
            <w:pPr>
              <w:spacing w:line="360" w:lineRule="exact"/>
              <w:jc w:val="center"/>
              <w:rPr>
                <w:rFonts w:ascii="Times New Roman"/>
                <w:sz w:val="21"/>
                <w:szCs w:val="21"/>
              </w:rPr>
            </w:pPr>
            <w:r>
              <w:rPr>
                <w:rFonts w:ascii="Times New Roman"/>
                <w:sz w:val="21"/>
                <w:szCs w:val="21"/>
              </w:rPr>
              <w:t>Q值划分</w:t>
            </w:r>
          </w:p>
        </w:tc>
      </w:tr>
      <w:tr w14:paraId="64CD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2BCC6C64">
            <w:pPr>
              <w:spacing w:line="360" w:lineRule="exact"/>
              <w:jc w:val="center"/>
              <w:rPr>
                <w:rFonts w:ascii="Times New Roman"/>
                <w:sz w:val="21"/>
                <w:szCs w:val="21"/>
              </w:rPr>
            </w:pPr>
            <w:r>
              <w:rPr>
                <w:rFonts w:ascii="Times New Roman"/>
                <w:sz w:val="21"/>
                <w:szCs w:val="21"/>
              </w:rPr>
              <w:t>1</w:t>
            </w:r>
          </w:p>
        </w:tc>
        <w:tc>
          <w:tcPr>
            <w:tcW w:w="1150" w:type="pct"/>
            <w:vAlign w:val="center"/>
          </w:tcPr>
          <w:p w14:paraId="0342123D">
            <w:pPr>
              <w:spacing w:line="360" w:lineRule="exact"/>
              <w:jc w:val="center"/>
              <w:rPr>
                <w:rFonts w:ascii="Times New Roman"/>
                <w:sz w:val="21"/>
                <w:szCs w:val="21"/>
              </w:rPr>
            </w:pPr>
            <w:r>
              <w:rPr>
                <w:rFonts w:ascii="Times New Roman"/>
                <w:sz w:val="21"/>
                <w:szCs w:val="21"/>
              </w:rPr>
              <w:t>天然气（以CH</w:t>
            </w:r>
            <w:r>
              <w:rPr>
                <w:rFonts w:ascii="Times New Roman"/>
                <w:sz w:val="21"/>
                <w:szCs w:val="21"/>
                <w:vertAlign w:val="subscript"/>
              </w:rPr>
              <w:t>4</w:t>
            </w:r>
            <w:r>
              <w:rPr>
                <w:rFonts w:ascii="Times New Roman"/>
                <w:sz w:val="21"/>
                <w:szCs w:val="21"/>
              </w:rPr>
              <w:t>计）</w:t>
            </w:r>
          </w:p>
        </w:tc>
        <w:tc>
          <w:tcPr>
            <w:tcW w:w="693" w:type="pct"/>
            <w:vAlign w:val="center"/>
          </w:tcPr>
          <w:p w14:paraId="33979E18">
            <w:pPr>
              <w:spacing w:line="360" w:lineRule="exact"/>
              <w:jc w:val="center"/>
              <w:rPr>
                <w:rFonts w:ascii="Times New Roman"/>
                <w:sz w:val="21"/>
                <w:szCs w:val="21"/>
              </w:rPr>
            </w:pPr>
            <w:r>
              <w:rPr>
                <w:rFonts w:ascii="Times New Roman"/>
                <w:sz w:val="21"/>
                <w:szCs w:val="21"/>
              </w:rPr>
              <w:t>74-92-8</w:t>
            </w:r>
          </w:p>
        </w:tc>
        <w:tc>
          <w:tcPr>
            <w:tcW w:w="853" w:type="pct"/>
            <w:vAlign w:val="center"/>
          </w:tcPr>
          <w:p w14:paraId="5C657F2A">
            <w:pPr>
              <w:spacing w:line="360" w:lineRule="exact"/>
              <w:jc w:val="center"/>
              <w:rPr>
                <w:rFonts w:ascii="Times New Roman"/>
                <w:sz w:val="21"/>
                <w:szCs w:val="21"/>
              </w:rPr>
            </w:pPr>
            <w:r>
              <w:rPr>
                <w:rFonts w:ascii="Times New Roman"/>
                <w:sz w:val="21"/>
                <w:szCs w:val="21"/>
              </w:rPr>
              <w:t>0.0</w:t>
            </w:r>
            <w:r>
              <w:rPr>
                <w:rFonts w:hint="eastAsia" w:ascii="Times New Roman"/>
                <w:sz w:val="21"/>
                <w:szCs w:val="21"/>
              </w:rPr>
              <w:t>01</w:t>
            </w:r>
          </w:p>
        </w:tc>
        <w:tc>
          <w:tcPr>
            <w:tcW w:w="724" w:type="pct"/>
            <w:vAlign w:val="center"/>
          </w:tcPr>
          <w:p w14:paraId="715EF4B4">
            <w:pPr>
              <w:spacing w:line="360" w:lineRule="exact"/>
              <w:jc w:val="center"/>
              <w:rPr>
                <w:rFonts w:ascii="Times New Roman"/>
                <w:sz w:val="21"/>
                <w:szCs w:val="21"/>
              </w:rPr>
            </w:pPr>
            <w:r>
              <w:rPr>
                <w:rFonts w:ascii="Times New Roman"/>
                <w:sz w:val="21"/>
                <w:szCs w:val="21"/>
              </w:rPr>
              <w:t>10</w:t>
            </w:r>
          </w:p>
        </w:tc>
        <w:tc>
          <w:tcPr>
            <w:tcW w:w="539" w:type="pct"/>
            <w:vAlign w:val="center"/>
          </w:tcPr>
          <w:p w14:paraId="15944B4E">
            <w:pPr>
              <w:spacing w:line="360" w:lineRule="exact"/>
              <w:jc w:val="center"/>
              <w:rPr>
                <w:rFonts w:ascii="Times New Roman"/>
                <w:sz w:val="21"/>
                <w:szCs w:val="21"/>
              </w:rPr>
            </w:pPr>
            <w:r>
              <w:rPr>
                <w:rFonts w:ascii="Times New Roman"/>
                <w:sz w:val="21"/>
                <w:szCs w:val="21"/>
              </w:rPr>
              <w:t>0.00</w:t>
            </w:r>
            <w:r>
              <w:rPr>
                <w:rFonts w:hint="eastAsia" w:ascii="Times New Roman"/>
                <w:sz w:val="21"/>
                <w:szCs w:val="21"/>
              </w:rPr>
              <w:t>01</w:t>
            </w:r>
          </w:p>
        </w:tc>
        <w:tc>
          <w:tcPr>
            <w:tcW w:w="639" w:type="pct"/>
            <w:vMerge w:val="restart"/>
            <w:vAlign w:val="center"/>
          </w:tcPr>
          <w:p w14:paraId="1FCF71DA">
            <w:pPr>
              <w:spacing w:line="360" w:lineRule="exact"/>
              <w:jc w:val="center"/>
              <w:rPr>
                <w:rFonts w:ascii="Times New Roman"/>
                <w:sz w:val="21"/>
                <w:szCs w:val="21"/>
              </w:rPr>
            </w:pPr>
            <w:r>
              <w:rPr>
                <w:rFonts w:ascii="Times New Roman"/>
                <w:sz w:val="21"/>
                <w:szCs w:val="21"/>
              </w:rPr>
              <w:t>Q＜1</w:t>
            </w:r>
          </w:p>
        </w:tc>
      </w:tr>
      <w:tr w14:paraId="22AA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25CC2D3A">
            <w:pPr>
              <w:spacing w:line="360" w:lineRule="exact"/>
              <w:jc w:val="center"/>
              <w:rPr>
                <w:rFonts w:ascii="Times New Roman"/>
                <w:sz w:val="21"/>
                <w:szCs w:val="21"/>
              </w:rPr>
            </w:pPr>
            <w:r>
              <w:rPr>
                <w:rFonts w:ascii="Times New Roman"/>
                <w:sz w:val="21"/>
                <w:szCs w:val="21"/>
              </w:rPr>
              <w:t>2</w:t>
            </w:r>
          </w:p>
        </w:tc>
        <w:tc>
          <w:tcPr>
            <w:tcW w:w="1150" w:type="pct"/>
            <w:vAlign w:val="center"/>
          </w:tcPr>
          <w:p w14:paraId="02FCA090">
            <w:pPr>
              <w:spacing w:line="360" w:lineRule="exact"/>
              <w:jc w:val="center"/>
              <w:rPr>
                <w:rFonts w:ascii="Times New Roman"/>
                <w:sz w:val="21"/>
                <w:szCs w:val="21"/>
              </w:rPr>
            </w:pPr>
            <w:r>
              <w:rPr>
                <w:rFonts w:ascii="Times New Roman"/>
                <w:sz w:val="21"/>
                <w:szCs w:val="21"/>
              </w:rPr>
              <w:t>丙烷</w:t>
            </w:r>
          </w:p>
        </w:tc>
        <w:tc>
          <w:tcPr>
            <w:tcW w:w="693" w:type="pct"/>
            <w:vAlign w:val="center"/>
          </w:tcPr>
          <w:p w14:paraId="11D676F6">
            <w:pPr>
              <w:spacing w:line="360" w:lineRule="exact"/>
              <w:jc w:val="center"/>
              <w:rPr>
                <w:rFonts w:ascii="Times New Roman"/>
                <w:sz w:val="21"/>
                <w:szCs w:val="21"/>
              </w:rPr>
            </w:pPr>
            <w:r>
              <w:rPr>
                <w:rFonts w:ascii="Times New Roman"/>
                <w:sz w:val="21"/>
                <w:szCs w:val="21"/>
              </w:rPr>
              <w:t>74-98-6</w:t>
            </w:r>
          </w:p>
        </w:tc>
        <w:tc>
          <w:tcPr>
            <w:tcW w:w="853" w:type="pct"/>
            <w:shd w:val="clear" w:color="auto" w:fill="auto"/>
            <w:vAlign w:val="center"/>
          </w:tcPr>
          <w:p w14:paraId="719DEFD1">
            <w:pPr>
              <w:jc w:val="center"/>
              <w:rPr>
                <w:rFonts w:ascii="Times New Roman"/>
                <w:sz w:val="21"/>
                <w:szCs w:val="21"/>
              </w:rPr>
            </w:pPr>
            <w:r>
              <w:rPr>
                <w:rFonts w:hint="eastAsia" w:ascii="Times New Roman"/>
                <w:sz w:val="21"/>
                <w:szCs w:val="21"/>
              </w:rPr>
              <w:t>0.1</w:t>
            </w:r>
          </w:p>
        </w:tc>
        <w:tc>
          <w:tcPr>
            <w:tcW w:w="724" w:type="pct"/>
            <w:vAlign w:val="center"/>
          </w:tcPr>
          <w:p w14:paraId="288FF4C6">
            <w:pPr>
              <w:spacing w:line="360" w:lineRule="exact"/>
              <w:jc w:val="center"/>
              <w:rPr>
                <w:rFonts w:ascii="Times New Roman"/>
                <w:sz w:val="21"/>
                <w:szCs w:val="21"/>
              </w:rPr>
            </w:pPr>
            <w:r>
              <w:rPr>
                <w:rFonts w:ascii="Times New Roman"/>
                <w:sz w:val="21"/>
                <w:szCs w:val="21"/>
              </w:rPr>
              <w:t>10</w:t>
            </w:r>
          </w:p>
        </w:tc>
        <w:tc>
          <w:tcPr>
            <w:tcW w:w="539" w:type="pct"/>
            <w:vAlign w:val="center"/>
          </w:tcPr>
          <w:p w14:paraId="02E1FB9F">
            <w:pPr>
              <w:spacing w:line="360" w:lineRule="exact"/>
              <w:jc w:val="center"/>
              <w:rPr>
                <w:rFonts w:ascii="Times New Roman"/>
                <w:sz w:val="21"/>
                <w:szCs w:val="21"/>
              </w:rPr>
            </w:pPr>
            <w:r>
              <w:rPr>
                <w:rFonts w:ascii="Times New Roman"/>
                <w:sz w:val="21"/>
                <w:szCs w:val="21"/>
              </w:rPr>
              <w:t>0.</w:t>
            </w:r>
            <w:r>
              <w:rPr>
                <w:rFonts w:hint="eastAsia" w:ascii="Times New Roman"/>
                <w:sz w:val="21"/>
                <w:szCs w:val="21"/>
              </w:rPr>
              <w:t>01</w:t>
            </w:r>
          </w:p>
        </w:tc>
        <w:tc>
          <w:tcPr>
            <w:tcW w:w="639" w:type="pct"/>
            <w:vMerge w:val="continue"/>
            <w:vAlign w:val="center"/>
          </w:tcPr>
          <w:p w14:paraId="239F4570">
            <w:pPr>
              <w:spacing w:line="360" w:lineRule="exact"/>
              <w:jc w:val="center"/>
              <w:rPr>
                <w:rFonts w:ascii="Times New Roman"/>
                <w:sz w:val="21"/>
                <w:szCs w:val="21"/>
              </w:rPr>
            </w:pPr>
          </w:p>
        </w:tc>
      </w:tr>
      <w:tr w14:paraId="4465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42116928">
            <w:pPr>
              <w:spacing w:line="360" w:lineRule="exact"/>
              <w:jc w:val="center"/>
              <w:rPr>
                <w:rFonts w:ascii="Times New Roman"/>
                <w:sz w:val="21"/>
                <w:szCs w:val="21"/>
              </w:rPr>
            </w:pPr>
            <w:r>
              <w:rPr>
                <w:rFonts w:ascii="Times New Roman"/>
                <w:sz w:val="21"/>
                <w:szCs w:val="21"/>
              </w:rPr>
              <w:t>3</w:t>
            </w:r>
          </w:p>
        </w:tc>
        <w:tc>
          <w:tcPr>
            <w:tcW w:w="1150" w:type="pct"/>
            <w:vAlign w:val="center"/>
          </w:tcPr>
          <w:p w14:paraId="1F2537EE">
            <w:pPr>
              <w:spacing w:line="360" w:lineRule="exact"/>
              <w:jc w:val="center"/>
              <w:rPr>
                <w:rFonts w:ascii="Times New Roman"/>
                <w:sz w:val="21"/>
                <w:szCs w:val="21"/>
              </w:rPr>
            </w:pPr>
            <w:r>
              <w:rPr>
                <w:rFonts w:ascii="Times New Roman"/>
                <w:sz w:val="21"/>
                <w:szCs w:val="21"/>
              </w:rPr>
              <w:t>硫酸</w:t>
            </w:r>
          </w:p>
        </w:tc>
        <w:tc>
          <w:tcPr>
            <w:tcW w:w="693" w:type="pct"/>
            <w:vAlign w:val="center"/>
          </w:tcPr>
          <w:p w14:paraId="6A2B83AB">
            <w:pPr>
              <w:spacing w:line="360" w:lineRule="exact"/>
              <w:jc w:val="center"/>
              <w:rPr>
                <w:rFonts w:ascii="Times New Roman"/>
                <w:sz w:val="21"/>
                <w:szCs w:val="21"/>
              </w:rPr>
            </w:pPr>
            <w:r>
              <w:rPr>
                <w:rFonts w:ascii="Times New Roman"/>
                <w:sz w:val="21"/>
                <w:szCs w:val="21"/>
              </w:rPr>
              <w:t>7664-93-9</w:t>
            </w:r>
          </w:p>
        </w:tc>
        <w:tc>
          <w:tcPr>
            <w:tcW w:w="853" w:type="pct"/>
            <w:shd w:val="clear" w:color="auto" w:fill="auto"/>
            <w:vAlign w:val="center"/>
          </w:tcPr>
          <w:p w14:paraId="4E899A95">
            <w:pPr>
              <w:jc w:val="center"/>
              <w:rPr>
                <w:rFonts w:ascii="Times New Roman"/>
                <w:sz w:val="21"/>
                <w:szCs w:val="21"/>
              </w:rPr>
            </w:pPr>
            <w:r>
              <w:rPr>
                <w:rFonts w:hint="eastAsia" w:ascii="Times New Roman"/>
                <w:sz w:val="21"/>
                <w:szCs w:val="21"/>
              </w:rPr>
              <w:t>0.06</w:t>
            </w:r>
          </w:p>
        </w:tc>
        <w:tc>
          <w:tcPr>
            <w:tcW w:w="724" w:type="pct"/>
            <w:vAlign w:val="center"/>
          </w:tcPr>
          <w:p w14:paraId="74D0A891">
            <w:pPr>
              <w:spacing w:line="360" w:lineRule="exact"/>
              <w:jc w:val="center"/>
              <w:rPr>
                <w:rFonts w:ascii="Times New Roman"/>
                <w:sz w:val="21"/>
                <w:szCs w:val="21"/>
              </w:rPr>
            </w:pPr>
            <w:r>
              <w:rPr>
                <w:rFonts w:ascii="Times New Roman"/>
                <w:sz w:val="21"/>
                <w:szCs w:val="21"/>
              </w:rPr>
              <w:t>10</w:t>
            </w:r>
          </w:p>
        </w:tc>
        <w:tc>
          <w:tcPr>
            <w:tcW w:w="539" w:type="pct"/>
            <w:vAlign w:val="center"/>
          </w:tcPr>
          <w:p w14:paraId="47A99590">
            <w:pPr>
              <w:spacing w:line="360" w:lineRule="exact"/>
              <w:jc w:val="center"/>
              <w:rPr>
                <w:rFonts w:ascii="Times New Roman"/>
                <w:sz w:val="21"/>
                <w:szCs w:val="21"/>
              </w:rPr>
            </w:pPr>
            <w:r>
              <w:rPr>
                <w:rFonts w:ascii="Times New Roman"/>
                <w:sz w:val="21"/>
                <w:szCs w:val="21"/>
              </w:rPr>
              <w:t>0.0</w:t>
            </w:r>
            <w:r>
              <w:rPr>
                <w:rFonts w:hint="eastAsia" w:ascii="Times New Roman"/>
                <w:sz w:val="21"/>
                <w:szCs w:val="21"/>
              </w:rPr>
              <w:t>06</w:t>
            </w:r>
          </w:p>
        </w:tc>
        <w:tc>
          <w:tcPr>
            <w:tcW w:w="639" w:type="pct"/>
            <w:vMerge w:val="continue"/>
            <w:vAlign w:val="center"/>
          </w:tcPr>
          <w:p w14:paraId="15C8B92B">
            <w:pPr>
              <w:spacing w:line="360" w:lineRule="exact"/>
              <w:jc w:val="center"/>
              <w:rPr>
                <w:rFonts w:ascii="Times New Roman"/>
                <w:sz w:val="21"/>
                <w:szCs w:val="21"/>
              </w:rPr>
            </w:pPr>
          </w:p>
        </w:tc>
      </w:tr>
      <w:tr w14:paraId="40AC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shd w:val="clear" w:color="auto" w:fill="auto"/>
            <w:vAlign w:val="center"/>
          </w:tcPr>
          <w:p w14:paraId="0AAB0752">
            <w:pPr>
              <w:spacing w:line="360" w:lineRule="exact"/>
              <w:jc w:val="center"/>
              <w:rPr>
                <w:rFonts w:ascii="Times New Roman"/>
                <w:sz w:val="21"/>
                <w:szCs w:val="21"/>
              </w:rPr>
            </w:pPr>
            <w:r>
              <w:rPr>
                <w:rFonts w:ascii="Times New Roman"/>
                <w:sz w:val="21"/>
                <w:szCs w:val="21"/>
              </w:rPr>
              <w:t>4</w:t>
            </w:r>
          </w:p>
        </w:tc>
        <w:tc>
          <w:tcPr>
            <w:tcW w:w="1150" w:type="pct"/>
            <w:vAlign w:val="center"/>
          </w:tcPr>
          <w:p w14:paraId="07631D6A">
            <w:pPr>
              <w:pStyle w:val="1979"/>
              <w:jc w:val="center"/>
              <w:rPr>
                <w:rFonts w:ascii="Times New Roman" w:hAnsi="Times New Roman" w:cs="Times New Roman"/>
                <w:sz w:val="21"/>
                <w:szCs w:val="21"/>
              </w:rPr>
            </w:pPr>
            <w:r>
              <w:rPr>
                <w:rFonts w:hint="eastAsia" w:ascii="Times New Roman" w:cs="Times New Roman"/>
                <w:sz w:val="21"/>
                <w:szCs w:val="21"/>
              </w:rPr>
              <w:t>油漆、</w:t>
            </w:r>
            <w:r>
              <w:rPr>
                <w:rFonts w:ascii="Times New Roman" w:hAnsi="Times New Roman" w:cs="Times New Roman"/>
                <w:sz w:val="21"/>
                <w:szCs w:val="21"/>
              </w:rPr>
              <w:t>稀释剂</w:t>
            </w:r>
          </w:p>
          <w:p w14:paraId="217A225C">
            <w:pPr>
              <w:pStyle w:val="1979"/>
              <w:jc w:val="center"/>
              <w:rPr>
                <w:rFonts w:ascii="Times New Roman" w:hAnsi="Times New Roman" w:cs="Times New Roman"/>
                <w:kern w:val="2"/>
                <w:sz w:val="21"/>
                <w:szCs w:val="21"/>
              </w:rPr>
            </w:pPr>
            <w:r>
              <w:rPr>
                <w:rFonts w:hint="eastAsia" w:ascii="Times New Roman" w:hAnsi="Times New Roman" w:cs="Times New Roman"/>
                <w:sz w:val="21"/>
                <w:szCs w:val="21"/>
              </w:rPr>
              <w:t>（二甲苯）</w:t>
            </w:r>
          </w:p>
        </w:tc>
        <w:tc>
          <w:tcPr>
            <w:tcW w:w="693" w:type="pct"/>
            <w:vAlign w:val="center"/>
          </w:tcPr>
          <w:p w14:paraId="5D6FCE4C">
            <w:pPr>
              <w:pStyle w:val="1979"/>
              <w:jc w:val="center"/>
              <w:rPr>
                <w:rFonts w:ascii="Times New Roman" w:hAnsi="Times New Roman" w:cs="Times New Roman"/>
                <w:kern w:val="2"/>
                <w:sz w:val="21"/>
                <w:szCs w:val="21"/>
              </w:rPr>
            </w:pPr>
            <w:r>
              <w:rPr>
                <w:rFonts w:ascii="Times New Roman" w:hAnsi="Times New Roman" w:cs="Times New Roman"/>
                <w:sz w:val="21"/>
                <w:szCs w:val="21"/>
              </w:rPr>
              <w:t>1330-20-7</w:t>
            </w:r>
          </w:p>
        </w:tc>
        <w:tc>
          <w:tcPr>
            <w:tcW w:w="853" w:type="pct"/>
            <w:shd w:val="clear" w:color="auto" w:fill="auto"/>
            <w:vAlign w:val="center"/>
          </w:tcPr>
          <w:p w14:paraId="6D79F782">
            <w:pPr>
              <w:jc w:val="center"/>
              <w:rPr>
                <w:rFonts w:ascii="Times New Roman"/>
                <w:sz w:val="21"/>
                <w:szCs w:val="21"/>
              </w:rPr>
            </w:pPr>
            <w:r>
              <w:rPr>
                <w:rFonts w:hint="eastAsia" w:ascii="Times New Roman"/>
                <w:sz w:val="21"/>
                <w:szCs w:val="21"/>
              </w:rPr>
              <w:t>6.97</w:t>
            </w:r>
          </w:p>
        </w:tc>
        <w:tc>
          <w:tcPr>
            <w:tcW w:w="724" w:type="pct"/>
            <w:vAlign w:val="center"/>
          </w:tcPr>
          <w:p w14:paraId="23782581">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10</w:t>
            </w:r>
          </w:p>
        </w:tc>
        <w:tc>
          <w:tcPr>
            <w:tcW w:w="539" w:type="pct"/>
            <w:vAlign w:val="center"/>
          </w:tcPr>
          <w:p w14:paraId="6B4FC35B">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0.697</w:t>
            </w:r>
          </w:p>
        </w:tc>
        <w:tc>
          <w:tcPr>
            <w:tcW w:w="639" w:type="pct"/>
            <w:vMerge w:val="continue"/>
            <w:vAlign w:val="center"/>
          </w:tcPr>
          <w:p w14:paraId="28BE218B">
            <w:pPr>
              <w:spacing w:line="360" w:lineRule="exact"/>
              <w:jc w:val="center"/>
              <w:rPr>
                <w:rFonts w:ascii="Times New Roman"/>
                <w:sz w:val="21"/>
                <w:szCs w:val="21"/>
              </w:rPr>
            </w:pPr>
          </w:p>
        </w:tc>
      </w:tr>
      <w:tr w14:paraId="0FD4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shd w:val="clear" w:color="auto" w:fill="auto"/>
            <w:vAlign w:val="center"/>
          </w:tcPr>
          <w:p w14:paraId="3F43973C">
            <w:pPr>
              <w:spacing w:line="360" w:lineRule="exact"/>
              <w:jc w:val="center"/>
              <w:rPr>
                <w:rFonts w:ascii="Times New Roman"/>
                <w:sz w:val="21"/>
                <w:szCs w:val="21"/>
              </w:rPr>
            </w:pPr>
            <w:r>
              <w:rPr>
                <w:rFonts w:ascii="Times New Roman"/>
                <w:sz w:val="21"/>
                <w:szCs w:val="21"/>
              </w:rPr>
              <w:t>5</w:t>
            </w:r>
          </w:p>
        </w:tc>
        <w:tc>
          <w:tcPr>
            <w:tcW w:w="1150" w:type="pct"/>
            <w:shd w:val="clear" w:color="auto" w:fill="auto"/>
            <w:vAlign w:val="center"/>
          </w:tcPr>
          <w:p w14:paraId="609E4B60">
            <w:pPr>
              <w:widowControl/>
              <w:spacing w:line="320" w:lineRule="exact"/>
              <w:jc w:val="center"/>
              <w:rPr>
                <w:rFonts w:ascii="Times New Roman"/>
                <w:sz w:val="21"/>
                <w:szCs w:val="21"/>
              </w:rPr>
            </w:pPr>
            <w:r>
              <w:rPr>
                <w:rFonts w:hint="eastAsia" w:ascii="Times New Roman"/>
                <w:kern w:val="0"/>
                <w:sz w:val="21"/>
                <w:szCs w:val="21"/>
              </w:rPr>
              <w:t>润滑</w:t>
            </w:r>
            <w:r>
              <w:rPr>
                <w:rFonts w:ascii="Times New Roman"/>
                <w:kern w:val="0"/>
                <w:sz w:val="21"/>
                <w:szCs w:val="21"/>
              </w:rPr>
              <w:t>油</w:t>
            </w:r>
          </w:p>
        </w:tc>
        <w:tc>
          <w:tcPr>
            <w:tcW w:w="693" w:type="pct"/>
            <w:vAlign w:val="center"/>
          </w:tcPr>
          <w:p w14:paraId="7BF24663">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w:t>
            </w:r>
          </w:p>
        </w:tc>
        <w:tc>
          <w:tcPr>
            <w:tcW w:w="853" w:type="pct"/>
            <w:shd w:val="clear" w:color="auto" w:fill="auto"/>
            <w:vAlign w:val="center"/>
          </w:tcPr>
          <w:p w14:paraId="0EA30E02">
            <w:pPr>
              <w:widowControl/>
              <w:spacing w:line="320" w:lineRule="exact"/>
              <w:jc w:val="center"/>
              <w:rPr>
                <w:rFonts w:ascii="Times New Roman"/>
                <w:sz w:val="21"/>
                <w:szCs w:val="21"/>
              </w:rPr>
            </w:pPr>
            <w:r>
              <w:rPr>
                <w:rFonts w:hint="eastAsia" w:ascii="Times New Roman"/>
                <w:kern w:val="0"/>
                <w:sz w:val="21"/>
                <w:szCs w:val="21"/>
              </w:rPr>
              <w:t>1</w:t>
            </w:r>
          </w:p>
        </w:tc>
        <w:tc>
          <w:tcPr>
            <w:tcW w:w="724" w:type="pct"/>
            <w:vAlign w:val="center"/>
          </w:tcPr>
          <w:p w14:paraId="2463B273">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64CC4D12">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0.0004</w:t>
            </w:r>
          </w:p>
        </w:tc>
        <w:tc>
          <w:tcPr>
            <w:tcW w:w="639" w:type="pct"/>
            <w:vMerge w:val="continue"/>
            <w:vAlign w:val="center"/>
          </w:tcPr>
          <w:p w14:paraId="65020AC2">
            <w:pPr>
              <w:spacing w:line="360" w:lineRule="exact"/>
              <w:jc w:val="center"/>
              <w:rPr>
                <w:rFonts w:ascii="Times New Roman"/>
                <w:sz w:val="21"/>
                <w:szCs w:val="21"/>
              </w:rPr>
            </w:pPr>
          </w:p>
        </w:tc>
      </w:tr>
      <w:tr w14:paraId="2868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shd w:val="clear" w:color="auto" w:fill="auto"/>
            <w:vAlign w:val="center"/>
          </w:tcPr>
          <w:p w14:paraId="3AC6B4BF">
            <w:pPr>
              <w:spacing w:line="360" w:lineRule="exact"/>
              <w:jc w:val="center"/>
              <w:rPr>
                <w:rFonts w:ascii="Times New Roman"/>
                <w:sz w:val="21"/>
                <w:szCs w:val="21"/>
              </w:rPr>
            </w:pPr>
            <w:r>
              <w:rPr>
                <w:rFonts w:ascii="Times New Roman"/>
                <w:sz w:val="21"/>
                <w:szCs w:val="21"/>
              </w:rPr>
              <w:t>6</w:t>
            </w:r>
          </w:p>
        </w:tc>
        <w:tc>
          <w:tcPr>
            <w:tcW w:w="1150" w:type="pct"/>
            <w:shd w:val="clear" w:color="auto" w:fill="auto"/>
            <w:vAlign w:val="center"/>
          </w:tcPr>
          <w:p w14:paraId="5DD68C2E">
            <w:pPr>
              <w:widowControl/>
              <w:spacing w:line="320" w:lineRule="exact"/>
              <w:jc w:val="center"/>
              <w:rPr>
                <w:rFonts w:ascii="Times New Roman"/>
                <w:kern w:val="0"/>
                <w:sz w:val="21"/>
                <w:szCs w:val="21"/>
              </w:rPr>
            </w:pPr>
            <w:r>
              <w:rPr>
                <w:rFonts w:hint="eastAsia" w:ascii="Times New Roman"/>
                <w:sz w:val="21"/>
                <w:szCs w:val="21"/>
              </w:rPr>
              <w:t>切削液</w:t>
            </w:r>
          </w:p>
        </w:tc>
        <w:tc>
          <w:tcPr>
            <w:tcW w:w="693" w:type="pct"/>
            <w:vAlign w:val="center"/>
          </w:tcPr>
          <w:p w14:paraId="0ACE4DE1">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53" w:type="pct"/>
            <w:shd w:val="clear" w:color="auto" w:fill="auto"/>
            <w:vAlign w:val="center"/>
          </w:tcPr>
          <w:p w14:paraId="0522AFAF">
            <w:pPr>
              <w:widowControl/>
              <w:spacing w:line="320" w:lineRule="exact"/>
              <w:jc w:val="center"/>
              <w:rPr>
                <w:rFonts w:ascii="Times New Roman"/>
                <w:kern w:val="0"/>
                <w:sz w:val="21"/>
                <w:szCs w:val="21"/>
              </w:rPr>
            </w:pPr>
            <w:r>
              <w:rPr>
                <w:rFonts w:hint="eastAsia" w:ascii="Times New Roman"/>
                <w:kern w:val="0"/>
                <w:sz w:val="21"/>
                <w:szCs w:val="21"/>
              </w:rPr>
              <w:t>2</w:t>
            </w:r>
          </w:p>
        </w:tc>
        <w:tc>
          <w:tcPr>
            <w:tcW w:w="724" w:type="pct"/>
            <w:vAlign w:val="center"/>
          </w:tcPr>
          <w:p w14:paraId="594F0A27">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573F14F5">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0.0008</w:t>
            </w:r>
          </w:p>
        </w:tc>
        <w:tc>
          <w:tcPr>
            <w:tcW w:w="639" w:type="pct"/>
            <w:vMerge w:val="continue"/>
            <w:vAlign w:val="center"/>
          </w:tcPr>
          <w:p w14:paraId="0B5974DA">
            <w:pPr>
              <w:spacing w:line="360" w:lineRule="exact"/>
              <w:jc w:val="center"/>
              <w:rPr>
                <w:rFonts w:ascii="Times New Roman"/>
                <w:sz w:val="21"/>
                <w:szCs w:val="21"/>
              </w:rPr>
            </w:pPr>
          </w:p>
        </w:tc>
      </w:tr>
      <w:tr w14:paraId="5C11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shd w:val="clear" w:color="auto" w:fill="auto"/>
            <w:vAlign w:val="center"/>
          </w:tcPr>
          <w:p w14:paraId="03E5B23C">
            <w:pPr>
              <w:spacing w:line="360" w:lineRule="exact"/>
              <w:jc w:val="center"/>
              <w:rPr>
                <w:rFonts w:ascii="Times New Roman"/>
                <w:sz w:val="21"/>
                <w:szCs w:val="21"/>
              </w:rPr>
            </w:pPr>
            <w:r>
              <w:rPr>
                <w:rFonts w:ascii="Times New Roman"/>
                <w:sz w:val="21"/>
                <w:szCs w:val="21"/>
              </w:rPr>
              <w:t>7</w:t>
            </w:r>
          </w:p>
        </w:tc>
        <w:tc>
          <w:tcPr>
            <w:tcW w:w="1150" w:type="pct"/>
            <w:shd w:val="clear" w:color="auto" w:fill="auto"/>
            <w:vAlign w:val="center"/>
          </w:tcPr>
          <w:p w14:paraId="461C0CC3">
            <w:pPr>
              <w:widowControl/>
              <w:spacing w:line="320" w:lineRule="exact"/>
              <w:jc w:val="center"/>
              <w:rPr>
                <w:rFonts w:ascii="Times New Roman"/>
                <w:kern w:val="0"/>
                <w:sz w:val="21"/>
                <w:szCs w:val="21"/>
              </w:rPr>
            </w:pPr>
            <w:r>
              <w:rPr>
                <w:rFonts w:hint="eastAsia" w:ascii="Times New Roman"/>
                <w:kern w:val="0"/>
                <w:sz w:val="21"/>
                <w:szCs w:val="21"/>
              </w:rPr>
              <w:t>液压油</w:t>
            </w:r>
          </w:p>
        </w:tc>
        <w:tc>
          <w:tcPr>
            <w:tcW w:w="693" w:type="pct"/>
            <w:vAlign w:val="center"/>
          </w:tcPr>
          <w:p w14:paraId="47B8C110">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53" w:type="pct"/>
            <w:shd w:val="clear" w:color="auto" w:fill="auto"/>
            <w:vAlign w:val="center"/>
          </w:tcPr>
          <w:p w14:paraId="2ABEA923">
            <w:pPr>
              <w:widowControl/>
              <w:spacing w:line="320" w:lineRule="exact"/>
              <w:jc w:val="center"/>
              <w:rPr>
                <w:rFonts w:ascii="Times New Roman"/>
                <w:sz w:val="21"/>
                <w:szCs w:val="21"/>
              </w:rPr>
            </w:pPr>
            <w:r>
              <w:rPr>
                <w:rFonts w:hint="eastAsia" w:ascii="Times New Roman"/>
                <w:kern w:val="0"/>
                <w:sz w:val="21"/>
                <w:szCs w:val="21"/>
              </w:rPr>
              <w:t>2</w:t>
            </w:r>
          </w:p>
        </w:tc>
        <w:tc>
          <w:tcPr>
            <w:tcW w:w="724" w:type="pct"/>
            <w:vAlign w:val="center"/>
          </w:tcPr>
          <w:p w14:paraId="203826BD">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6BE68AD8">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0.0008</w:t>
            </w:r>
          </w:p>
        </w:tc>
        <w:tc>
          <w:tcPr>
            <w:tcW w:w="639" w:type="pct"/>
            <w:vMerge w:val="continue"/>
            <w:vAlign w:val="center"/>
          </w:tcPr>
          <w:p w14:paraId="596DA9AF">
            <w:pPr>
              <w:spacing w:line="360" w:lineRule="exact"/>
              <w:jc w:val="center"/>
              <w:rPr>
                <w:rFonts w:ascii="Times New Roman"/>
                <w:sz w:val="21"/>
                <w:szCs w:val="21"/>
              </w:rPr>
            </w:pPr>
          </w:p>
        </w:tc>
      </w:tr>
      <w:tr w14:paraId="1023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shd w:val="clear" w:color="auto" w:fill="auto"/>
            <w:vAlign w:val="center"/>
          </w:tcPr>
          <w:p w14:paraId="6C1AD79B">
            <w:pPr>
              <w:spacing w:line="360" w:lineRule="exact"/>
              <w:jc w:val="center"/>
              <w:rPr>
                <w:rFonts w:ascii="Times New Roman"/>
                <w:sz w:val="21"/>
                <w:szCs w:val="21"/>
              </w:rPr>
            </w:pPr>
            <w:r>
              <w:rPr>
                <w:rFonts w:ascii="Times New Roman"/>
                <w:sz w:val="21"/>
                <w:szCs w:val="21"/>
              </w:rPr>
              <w:t>8</w:t>
            </w:r>
          </w:p>
        </w:tc>
        <w:tc>
          <w:tcPr>
            <w:tcW w:w="1150" w:type="pct"/>
            <w:shd w:val="clear" w:color="auto" w:fill="auto"/>
            <w:vAlign w:val="center"/>
          </w:tcPr>
          <w:p w14:paraId="2092170F">
            <w:pPr>
              <w:adjustRightInd w:val="0"/>
              <w:snapToGrid w:val="0"/>
              <w:spacing w:line="320" w:lineRule="exact"/>
              <w:jc w:val="center"/>
              <w:rPr>
                <w:rFonts w:ascii="Times New Roman"/>
                <w:sz w:val="21"/>
                <w:szCs w:val="21"/>
              </w:rPr>
            </w:pPr>
            <w:r>
              <w:rPr>
                <w:rFonts w:ascii="Times New Roman"/>
                <w:sz w:val="21"/>
                <w:szCs w:val="21"/>
              </w:rPr>
              <w:t>废液压油</w:t>
            </w:r>
          </w:p>
        </w:tc>
        <w:tc>
          <w:tcPr>
            <w:tcW w:w="693" w:type="pct"/>
            <w:vAlign w:val="center"/>
          </w:tcPr>
          <w:p w14:paraId="3042951D">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53" w:type="pct"/>
            <w:shd w:val="clear" w:color="auto" w:fill="auto"/>
            <w:vAlign w:val="center"/>
          </w:tcPr>
          <w:p w14:paraId="565B5A14">
            <w:pPr>
              <w:adjustRightInd w:val="0"/>
              <w:snapToGrid w:val="0"/>
              <w:spacing w:line="320" w:lineRule="exact"/>
              <w:jc w:val="center"/>
              <w:rPr>
                <w:rFonts w:ascii="Times New Roman"/>
                <w:sz w:val="21"/>
                <w:szCs w:val="21"/>
              </w:rPr>
            </w:pPr>
            <w:r>
              <w:rPr>
                <w:rFonts w:hint="eastAsia" w:ascii="Times New Roman"/>
                <w:sz w:val="21"/>
                <w:szCs w:val="21"/>
              </w:rPr>
              <w:t>1.2</w:t>
            </w:r>
          </w:p>
        </w:tc>
        <w:tc>
          <w:tcPr>
            <w:tcW w:w="724" w:type="pct"/>
            <w:shd w:val="clear" w:color="auto" w:fill="auto"/>
            <w:vAlign w:val="center"/>
          </w:tcPr>
          <w:p w14:paraId="67EF021F">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60B7C2B0">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0.00048</w:t>
            </w:r>
          </w:p>
        </w:tc>
        <w:tc>
          <w:tcPr>
            <w:tcW w:w="639" w:type="pct"/>
            <w:vMerge w:val="continue"/>
            <w:vAlign w:val="center"/>
          </w:tcPr>
          <w:p w14:paraId="2CCE2C37">
            <w:pPr>
              <w:spacing w:line="360" w:lineRule="exact"/>
              <w:jc w:val="center"/>
              <w:rPr>
                <w:rFonts w:ascii="Times New Roman"/>
                <w:sz w:val="21"/>
                <w:szCs w:val="21"/>
              </w:rPr>
            </w:pPr>
          </w:p>
        </w:tc>
      </w:tr>
      <w:tr w14:paraId="7570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5F278F66">
            <w:pPr>
              <w:spacing w:line="360" w:lineRule="exact"/>
              <w:jc w:val="center"/>
              <w:rPr>
                <w:rFonts w:ascii="Times New Roman"/>
                <w:sz w:val="21"/>
                <w:szCs w:val="21"/>
              </w:rPr>
            </w:pPr>
            <w:r>
              <w:rPr>
                <w:rFonts w:hint="eastAsia" w:ascii="Times New Roman"/>
                <w:sz w:val="21"/>
                <w:szCs w:val="21"/>
              </w:rPr>
              <w:t>9</w:t>
            </w:r>
          </w:p>
        </w:tc>
        <w:tc>
          <w:tcPr>
            <w:tcW w:w="1150" w:type="pct"/>
            <w:shd w:val="clear" w:color="auto" w:fill="auto"/>
            <w:vAlign w:val="center"/>
          </w:tcPr>
          <w:p w14:paraId="4D8ECC30">
            <w:pPr>
              <w:adjustRightInd w:val="0"/>
              <w:snapToGrid w:val="0"/>
              <w:spacing w:line="320" w:lineRule="exact"/>
              <w:jc w:val="center"/>
              <w:rPr>
                <w:rFonts w:ascii="Times New Roman"/>
                <w:sz w:val="21"/>
                <w:szCs w:val="21"/>
              </w:rPr>
            </w:pPr>
            <w:r>
              <w:rPr>
                <w:rFonts w:ascii="Times New Roman"/>
                <w:sz w:val="21"/>
                <w:szCs w:val="21"/>
              </w:rPr>
              <w:t>废润滑油</w:t>
            </w:r>
          </w:p>
        </w:tc>
        <w:tc>
          <w:tcPr>
            <w:tcW w:w="693" w:type="pct"/>
            <w:vAlign w:val="center"/>
          </w:tcPr>
          <w:p w14:paraId="34A764C5">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53" w:type="pct"/>
            <w:shd w:val="clear" w:color="auto" w:fill="auto"/>
            <w:vAlign w:val="center"/>
          </w:tcPr>
          <w:p w14:paraId="7ED63E10">
            <w:pPr>
              <w:adjustRightInd w:val="0"/>
              <w:snapToGrid w:val="0"/>
              <w:spacing w:line="320" w:lineRule="exact"/>
              <w:jc w:val="center"/>
              <w:rPr>
                <w:rFonts w:ascii="Times New Roman"/>
                <w:sz w:val="21"/>
                <w:szCs w:val="21"/>
              </w:rPr>
            </w:pPr>
            <w:r>
              <w:rPr>
                <w:rFonts w:hint="eastAsia" w:ascii="Times New Roman"/>
                <w:sz w:val="21"/>
                <w:szCs w:val="21"/>
              </w:rPr>
              <w:t>2</w:t>
            </w:r>
          </w:p>
        </w:tc>
        <w:tc>
          <w:tcPr>
            <w:tcW w:w="724" w:type="pct"/>
            <w:shd w:val="clear" w:color="auto" w:fill="auto"/>
            <w:vAlign w:val="center"/>
          </w:tcPr>
          <w:p w14:paraId="70D32A69">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438DA8CC">
            <w:pPr>
              <w:jc w:val="center"/>
              <w:rPr>
                <w:rFonts w:ascii="Times New Roman"/>
                <w:sz w:val="21"/>
                <w:szCs w:val="21"/>
              </w:rPr>
            </w:pPr>
            <w:r>
              <w:rPr>
                <w:rFonts w:hint="eastAsia" w:ascii="Times New Roman"/>
                <w:sz w:val="21"/>
                <w:szCs w:val="21"/>
              </w:rPr>
              <w:t>0.0008</w:t>
            </w:r>
          </w:p>
        </w:tc>
        <w:tc>
          <w:tcPr>
            <w:tcW w:w="639" w:type="pct"/>
            <w:vMerge w:val="continue"/>
            <w:vAlign w:val="center"/>
          </w:tcPr>
          <w:p w14:paraId="111EB622">
            <w:pPr>
              <w:spacing w:line="360" w:lineRule="exact"/>
              <w:jc w:val="center"/>
              <w:rPr>
                <w:rFonts w:ascii="Times New Roman"/>
                <w:sz w:val="21"/>
                <w:szCs w:val="21"/>
              </w:rPr>
            </w:pPr>
          </w:p>
        </w:tc>
      </w:tr>
      <w:tr w14:paraId="5146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7E58E10D">
            <w:pPr>
              <w:spacing w:line="360" w:lineRule="exact"/>
              <w:jc w:val="center"/>
              <w:rPr>
                <w:rFonts w:ascii="Times New Roman"/>
                <w:sz w:val="21"/>
                <w:szCs w:val="21"/>
              </w:rPr>
            </w:pPr>
            <w:r>
              <w:rPr>
                <w:rFonts w:hint="eastAsia" w:ascii="Times New Roman"/>
                <w:sz w:val="21"/>
                <w:szCs w:val="21"/>
              </w:rPr>
              <w:t>10</w:t>
            </w:r>
          </w:p>
        </w:tc>
        <w:tc>
          <w:tcPr>
            <w:tcW w:w="1150" w:type="pct"/>
            <w:shd w:val="clear" w:color="auto" w:fill="auto"/>
            <w:vAlign w:val="center"/>
          </w:tcPr>
          <w:p w14:paraId="57AAE1C4">
            <w:pPr>
              <w:adjustRightInd w:val="0"/>
              <w:snapToGrid w:val="0"/>
              <w:spacing w:line="320" w:lineRule="exact"/>
              <w:jc w:val="center"/>
              <w:rPr>
                <w:rFonts w:ascii="Times New Roman"/>
                <w:sz w:val="21"/>
                <w:szCs w:val="21"/>
              </w:rPr>
            </w:pPr>
            <w:r>
              <w:rPr>
                <w:rFonts w:hint="eastAsia" w:ascii="Times New Roman"/>
                <w:sz w:val="21"/>
                <w:szCs w:val="21"/>
              </w:rPr>
              <w:t>废切削液</w:t>
            </w:r>
          </w:p>
        </w:tc>
        <w:tc>
          <w:tcPr>
            <w:tcW w:w="693" w:type="pct"/>
            <w:vAlign w:val="center"/>
          </w:tcPr>
          <w:p w14:paraId="526AF0A0">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53" w:type="pct"/>
            <w:shd w:val="clear" w:color="auto" w:fill="auto"/>
            <w:vAlign w:val="center"/>
          </w:tcPr>
          <w:p w14:paraId="62667720">
            <w:pPr>
              <w:spacing w:line="360" w:lineRule="exact"/>
              <w:jc w:val="center"/>
              <w:rPr>
                <w:rFonts w:ascii="Times New Roman"/>
                <w:sz w:val="21"/>
                <w:szCs w:val="21"/>
              </w:rPr>
            </w:pPr>
            <w:r>
              <w:rPr>
                <w:rFonts w:hint="eastAsia" w:ascii="Times New Roman"/>
                <w:sz w:val="21"/>
                <w:szCs w:val="21"/>
              </w:rPr>
              <w:t>7.5</w:t>
            </w:r>
          </w:p>
        </w:tc>
        <w:tc>
          <w:tcPr>
            <w:tcW w:w="724" w:type="pct"/>
            <w:shd w:val="clear" w:color="auto" w:fill="auto"/>
            <w:vAlign w:val="center"/>
          </w:tcPr>
          <w:p w14:paraId="52DD14D3">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33F971AD">
            <w:pPr>
              <w:jc w:val="center"/>
              <w:rPr>
                <w:rFonts w:ascii="Times New Roman"/>
                <w:sz w:val="21"/>
                <w:szCs w:val="21"/>
              </w:rPr>
            </w:pPr>
            <w:r>
              <w:rPr>
                <w:rFonts w:hint="eastAsia" w:ascii="Times New Roman"/>
                <w:sz w:val="21"/>
                <w:szCs w:val="21"/>
              </w:rPr>
              <w:t>0.003</w:t>
            </w:r>
          </w:p>
        </w:tc>
        <w:tc>
          <w:tcPr>
            <w:tcW w:w="639" w:type="pct"/>
            <w:vMerge w:val="continue"/>
            <w:vAlign w:val="center"/>
          </w:tcPr>
          <w:p w14:paraId="5E6AA523">
            <w:pPr>
              <w:spacing w:line="360" w:lineRule="exact"/>
              <w:jc w:val="center"/>
              <w:rPr>
                <w:rFonts w:ascii="Times New Roman"/>
                <w:sz w:val="21"/>
                <w:szCs w:val="21"/>
              </w:rPr>
            </w:pPr>
          </w:p>
        </w:tc>
      </w:tr>
      <w:tr w14:paraId="078B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37F45C1F">
            <w:pPr>
              <w:spacing w:line="360" w:lineRule="exact"/>
              <w:jc w:val="center"/>
              <w:rPr>
                <w:rFonts w:ascii="Times New Roman"/>
                <w:sz w:val="21"/>
                <w:szCs w:val="21"/>
              </w:rPr>
            </w:pPr>
            <w:r>
              <w:rPr>
                <w:rFonts w:hint="eastAsia" w:ascii="Times New Roman"/>
                <w:sz w:val="21"/>
                <w:szCs w:val="21"/>
              </w:rPr>
              <w:t>11</w:t>
            </w:r>
          </w:p>
        </w:tc>
        <w:tc>
          <w:tcPr>
            <w:tcW w:w="1150" w:type="pct"/>
            <w:shd w:val="clear" w:color="auto" w:fill="auto"/>
            <w:vAlign w:val="center"/>
          </w:tcPr>
          <w:p w14:paraId="2D7BA471">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693" w:type="pct"/>
            <w:vAlign w:val="center"/>
          </w:tcPr>
          <w:p w14:paraId="2CE8D51D">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w:t>
            </w:r>
          </w:p>
        </w:tc>
        <w:tc>
          <w:tcPr>
            <w:tcW w:w="853" w:type="pct"/>
            <w:shd w:val="clear" w:color="auto" w:fill="auto"/>
            <w:vAlign w:val="center"/>
          </w:tcPr>
          <w:p w14:paraId="480FD4D7">
            <w:pPr>
              <w:spacing w:line="360" w:lineRule="exact"/>
              <w:jc w:val="center"/>
              <w:rPr>
                <w:rFonts w:ascii="Times New Roman"/>
                <w:sz w:val="21"/>
                <w:szCs w:val="21"/>
              </w:rPr>
            </w:pPr>
            <w:r>
              <w:rPr>
                <w:rFonts w:hint="eastAsia" w:ascii="Times New Roman"/>
                <w:sz w:val="21"/>
                <w:szCs w:val="21"/>
              </w:rPr>
              <w:t>5</w:t>
            </w:r>
          </w:p>
        </w:tc>
        <w:tc>
          <w:tcPr>
            <w:tcW w:w="724" w:type="pct"/>
            <w:shd w:val="clear" w:color="auto" w:fill="auto"/>
            <w:vAlign w:val="center"/>
          </w:tcPr>
          <w:p w14:paraId="6280EC1D">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4BF0E7AD">
            <w:pPr>
              <w:jc w:val="center"/>
              <w:rPr>
                <w:rFonts w:ascii="Times New Roman"/>
                <w:sz w:val="21"/>
                <w:szCs w:val="21"/>
              </w:rPr>
            </w:pPr>
            <w:r>
              <w:rPr>
                <w:rFonts w:hint="eastAsia" w:ascii="Times New Roman"/>
                <w:sz w:val="21"/>
                <w:szCs w:val="21"/>
              </w:rPr>
              <w:t>0.002</w:t>
            </w:r>
          </w:p>
        </w:tc>
        <w:tc>
          <w:tcPr>
            <w:tcW w:w="639" w:type="pct"/>
            <w:vMerge w:val="continue"/>
            <w:vAlign w:val="center"/>
          </w:tcPr>
          <w:p w14:paraId="0AA3ABC3">
            <w:pPr>
              <w:spacing w:line="360" w:lineRule="exact"/>
              <w:jc w:val="center"/>
              <w:rPr>
                <w:rFonts w:ascii="Times New Roman"/>
                <w:sz w:val="21"/>
                <w:szCs w:val="21"/>
              </w:rPr>
            </w:pPr>
          </w:p>
        </w:tc>
      </w:tr>
      <w:tr w14:paraId="1D6E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99" w:type="pct"/>
            <w:vAlign w:val="center"/>
          </w:tcPr>
          <w:p w14:paraId="7C902B26">
            <w:pPr>
              <w:spacing w:line="360" w:lineRule="exact"/>
              <w:jc w:val="center"/>
              <w:rPr>
                <w:rFonts w:ascii="Times New Roman"/>
                <w:sz w:val="21"/>
                <w:szCs w:val="21"/>
              </w:rPr>
            </w:pPr>
            <w:r>
              <w:rPr>
                <w:rFonts w:hint="eastAsia" w:ascii="Times New Roman"/>
                <w:sz w:val="21"/>
                <w:szCs w:val="21"/>
              </w:rPr>
              <w:t>12</w:t>
            </w:r>
          </w:p>
        </w:tc>
        <w:tc>
          <w:tcPr>
            <w:tcW w:w="1150" w:type="pct"/>
            <w:shd w:val="clear" w:color="auto" w:fill="auto"/>
            <w:vAlign w:val="center"/>
          </w:tcPr>
          <w:p w14:paraId="668179E2">
            <w:pPr>
              <w:adjustRightInd w:val="0"/>
              <w:snapToGrid w:val="0"/>
              <w:spacing w:line="320" w:lineRule="exact"/>
              <w:jc w:val="center"/>
              <w:rPr>
                <w:rFonts w:ascii="Times New Roman"/>
                <w:sz w:val="21"/>
                <w:szCs w:val="21"/>
              </w:rPr>
            </w:pPr>
            <w:r>
              <w:rPr>
                <w:rFonts w:ascii="Times New Roman"/>
                <w:sz w:val="21"/>
                <w:szCs w:val="21"/>
              </w:rPr>
              <w:t>含油金属屑</w:t>
            </w:r>
          </w:p>
        </w:tc>
        <w:tc>
          <w:tcPr>
            <w:tcW w:w="693" w:type="pct"/>
            <w:vAlign w:val="center"/>
          </w:tcPr>
          <w:p w14:paraId="7E1955BE">
            <w:pPr>
              <w:pStyle w:val="1979"/>
              <w:jc w:val="center"/>
              <w:rPr>
                <w:rFonts w:ascii="Times New Roman" w:hAnsi="Times New Roman" w:cs="Times New Roman"/>
                <w:kern w:val="2"/>
                <w:sz w:val="21"/>
                <w:szCs w:val="21"/>
              </w:rPr>
            </w:pPr>
            <w:r>
              <w:rPr>
                <w:rFonts w:hint="eastAsia" w:ascii="Times New Roman" w:hAnsi="Times New Roman" w:cs="Times New Roman"/>
                <w:kern w:val="2"/>
                <w:sz w:val="21"/>
                <w:szCs w:val="21"/>
              </w:rPr>
              <w:t>/</w:t>
            </w:r>
          </w:p>
        </w:tc>
        <w:tc>
          <w:tcPr>
            <w:tcW w:w="853" w:type="pct"/>
            <w:shd w:val="clear" w:color="auto" w:fill="auto"/>
            <w:vAlign w:val="center"/>
          </w:tcPr>
          <w:p w14:paraId="7A2E6C37">
            <w:pPr>
              <w:spacing w:line="360" w:lineRule="exact"/>
              <w:jc w:val="center"/>
              <w:rPr>
                <w:rFonts w:ascii="Times New Roman"/>
                <w:sz w:val="21"/>
                <w:szCs w:val="21"/>
              </w:rPr>
            </w:pPr>
            <w:r>
              <w:rPr>
                <w:rFonts w:hint="eastAsia" w:ascii="Times New Roman"/>
                <w:sz w:val="21"/>
                <w:szCs w:val="21"/>
              </w:rPr>
              <w:t>2</w:t>
            </w:r>
          </w:p>
        </w:tc>
        <w:tc>
          <w:tcPr>
            <w:tcW w:w="724" w:type="pct"/>
            <w:shd w:val="clear" w:color="auto" w:fill="auto"/>
            <w:vAlign w:val="center"/>
          </w:tcPr>
          <w:p w14:paraId="228C77E9">
            <w:pPr>
              <w:pStyle w:val="1979"/>
              <w:jc w:val="center"/>
              <w:rPr>
                <w:rFonts w:ascii="Times New Roman" w:hAnsi="Times New Roman" w:cs="Times New Roman"/>
                <w:kern w:val="2"/>
                <w:sz w:val="21"/>
                <w:szCs w:val="21"/>
              </w:rPr>
            </w:pPr>
            <w:r>
              <w:rPr>
                <w:rFonts w:ascii="Times New Roman" w:hAnsi="Times New Roman" w:cs="Times New Roman"/>
                <w:kern w:val="2"/>
                <w:sz w:val="21"/>
                <w:szCs w:val="21"/>
              </w:rPr>
              <w:t>2500</w:t>
            </w:r>
          </w:p>
        </w:tc>
        <w:tc>
          <w:tcPr>
            <w:tcW w:w="539" w:type="pct"/>
            <w:vAlign w:val="center"/>
          </w:tcPr>
          <w:p w14:paraId="65594C31">
            <w:pPr>
              <w:jc w:val="center"/>
              <w:rPr>
                <w:rFonts w:ascii="Times New Roman"/>
                <w:sz w:val="21"/>
                <w:szCs w:val="21"/>
              </w:rPr>
            </w:pPr>
            <w:r>
              <w:rPr>
                <w:rFonts w:hint="eastAsia" w:ascii="Times New Roman"/>
                <w:sz w:val="21"/>
                <w:szCs w:val="21"/>
              </w:rPr>
              <w:t>0.0008</w:t>
            </w:r>
          </w:p>
        </w:tc>
        <w:tc>
          <w:tcPr>
            <w:tcW w:w="639" w:type="pct"/>
            <w:vMerge w:val="continue"/>
            <w:vAlign w:val="center"/>
          </w:tcPr>
          <w:p w14:paraId="0E77E710">
            <w:pPr>
              <w:spacing w:line="360" w:lineRule="exact"/>
              <w:jc w:val="center"/>
              <w:rPr>
                <w:rFonts w:ascii="Times New Roman"/>
                <w:sz w:val="21"/>
                <w:szCs w:val="21"/>
              </w:rPr>
            </w:pPr>
          </w:p>
        </w:tc>
      </w:tr>
      <w:tr w14:paraId="63B1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821" w:type="pct"/>
            <w:gridSpan w:val="5"/>
            <w:vAlign w:val="center"/>
          </w:tcPr>
          <w:p w14:paraId="3219C72A">
            <w:pPr>
              <w:spacing w:line="360" w:lineRule="exact"/>
              <w:jc w:val="center"/>
              <w:rPr>
                <w:rFonts w:ascii="Times New Roman"/>
                <w:sz w:val="21"/>
                <w:szCs w:val="21"/>
              </w:rPr>
            </w:pPr>
            <w:r>
              <w:rPr>
                <w:rFonts w:ascii="Times New Roman"/>
                <w:sz w:val="21"/>
                <w:szCs w:val="21"/>
              </w:rPr>
              <w:t>合计Q</w:t>
            </w:r>
          </w:p>
        </w:tc>
        <w:tc>
          <w:tcPr>
            <w:tcW w:w="539" w:type="pct"/>
            <w:vAlign w:val="center"/>
          </w:tcPr>
          <w:p w14:paraId="00E1D61D">
            <w:pPr>
              <w:spacing w:line="360" w:lineRule="exact"/>
              <w:jc w:val="center"/>
              <w:rPr>
                <w:rFonts w:ascii="Times New Roman"/>
                <w:sz w:val="21"/>
                <w:szCs w:val="21"/>
              </w:rPr>
            </w:pPr>
            <w:r>
              <w:rPr>
                <w:rFonts w:hint="eastAsia" w:ascii="Times New Roman"/>
                <w:sz w:val="21"/>
                <w:szCs w:val="21"/>
              </w:rPr>
              <w:t>0.72218</w:t>
            </w:r>
          </w:p>
        </w:tc>
        <w:tc>
          <w:tcPr>
            <w:tcW w:w="639" w:type="pct"/>
            <w:vMerge w:val="continue"/>
            <w:vAlign w:val="center"/>
          </w:tcPr>
          <w:p w14:paraId="2D3823E6">
            <w:pPr>
              <w:spacing w:line="360" w:lineRule="exact"/>
              <w:jc w:val="center"/>
              <w:rPr>
                <w:rFonts w:ascii="Times New Roman"/>
                <w:sz w:val="21"/>
                <w:szCs w:val="21"/>
              </w:rPr>
            </w:pPr>
          </w:p>
        </w:tc>
      </w:tr>
    </w:tbl>
    <w:p w14:paraId="272AF39D">
      <w:pPr>
        <w:spacing w:line="480" w:lineRule="exact"/>
        <w:ind w:firstLine="480" w:firstLineChars="200"/>
        <w:rPr>
          <w:rFonts w:ascii="Times New Roman"/>
          <w:sz w:val="24"/>
          <w:szCs w:val="24"/>
        </w:rPr>
      </w:pPr>
      <w:r>
        <w:rPr>
          <w:rFonts w:ascii="Times New Roman"/>
          <w:sz w:val="24"/>
          <w:szCs w:val="24"/>
        </w:rPr>
        <w:t>由上表可知，本项目Q=0.</w:t>
      </w:r>
      <w:r>
        <w:rPr>
          <w:rFonts w:hint="eastAsia" w:ascii="Times New Roman"/>
          <w:sz w:val="24"/>
          <w:szCs w:val="24"/>
        </w:rPr>
        <w:t>96218</w:t>
      </w:r>
      <w:r>
        <w:rPr>
          <w:rFonts w:ascii="Times New Roman"/>
          <w:sz w:val="24"/>
          <w:szCs w:val="24"/>
        </w:rPr>
        <w:t>。</w:t>
      </w:r>
    </w:p>
    <w:p w14:paraId="3844C9EB">
      <w:pPr>
        <w:spacing w:line="440" w:lineRule="exact"/>
        <w:ind w:firstLine="480" w:firstLineChars="200"/>
        <w:rPr>
          <w:rFonts w:ascii="Times New Roman"/>
          <w:kern w:val="0"/>
          <w:sz w:val="24"/>
          <w:szCs w:val="20"/>
        </w:rPr>
      </w:pPr>
      <w:r>
        <w:rPr>
          <w:rFonts w:ascii="Times New Roman"/>
          <w:kern w:val="0"/>
          <w:sz w:val="24"/>
          <w:szCs w:val="20"/>
        </w:rPr>
        <w:t>根据以上分析，本项目危险物质最大存在量均未超过《建设项目环境风险评价技术导则》（HJ169-2018）和《危险化学品重大危险源辨识》（GB18218-2018）中危险化学品临界量，不构成重大危险源，Q＜1时，该项目环境风险潜势为Ⅰ。</w:t>
      </w:r>
    </w:p>
    <w:p w14:paraId="6140BF8E">
      <w:pPr>
        <w:spacing w:line="440" w:lineRule="exact"/>
        <w:ind w:firstLine="480" w:firstLineChars="200"/>
        <w:rPr>
          <w:rFonts w:ascii="Times New Roman"/>
          <w:kern w:val="0"/>
          <w:sz w:val="24"/>
          <w:szCs w:val="20"/>
        </w:rPr>
      </w:pPr>
      <w:r>
        <w:rPr>
          <w:rFonts w:ascii="Times New Roman"/>
          <w:kern w:val="0"/>
          <w:sz w:val="24"/>
          <w:szCs w:val="20"/>
        </w:rPr>
        <w:t>（3）风险评价等级确定</w:t>
      </w:r>
    </w:p>
    <w:p w14:paraId="7FD5E251">
      <w:pPr>
        <w:spacing w:line="440" w:lineRule="exact"/>
        <w:ind w:firstLine="480" w:firstLineChars="200"/>
        <w:rPr>
          <w:rFonts w:ascii="Times New Roman"/>
          <w:kern w:val="0"/>
          <w:sz w:val="24"/>
          <w:szCs w:val="20"/>
        </w:rPr>
      </w:pPr>
      <w:r>
        <w:rPr>
          <w:rFonts w:ascii="Times New Roman"/>
          <w:kern w:val="0"/>
          <w:sz w:val="24"/>
          <w:szCs w:val="20"/>
        </w:rPr>
        <w:t>综合以上分析，根据《建设项目环境风险评价技术导则》（HJ169-2018）环境风险评价工作级别划分的判据，确定本项目环境风险评价工作级别为“简单分析”。</w:t>
      </w:r>
    </w:p>
    <w:p w14:paraId="2905227B">
      <w:pPr>
        <w:spacing w:line="440" w:lineRule="exact"/>
        <w:ind w:firstLine="480" w:firstLineChars="200"/>
        <w:rPr>
          <w:rFonts w:ascii="Times New Roman"/>
          <w:kern w:val="0"/>
          <w:sz w:val="24"/>
          <w:szCs w:val="20"/>
        </w:rPr>
      </w:pPr>
      <w:r>
        <w:rPr>
          <w:rFonts w:ascii="Times New Roman"/>
          <w:kern w:val="0"/>
          <w:sz w:val="24"/>
          <w:szCs w:val="20"/>
        </w:rPr>
        <w:t>（4）评价范围</w:t>
      </w:r>
    </w:p>
    <w:p w14:paraId="5A976707">
      <w:pPr>
        <w:spacing w:line="440" w:lineRule="exact"/>
        <w:ind w:firstLine="480" w:firstLineChars="200"/>
        <w:rPr>
          <w:rFonts w:ascii="Times New Roman"/>
          <w:kern w:val="0"/>
          <w:sz w:val="24"/>
          <w:szCs w:val="20"/>
        </w:rPr>
      </w:pPr>
      <w:r>
        <w:rPr>
          <w:rFonts w:ascii="Times New Roman"/>
          <w:kern w:val="0"/>
          <w:sz w:val="24"/>
          <w:szCs w:val="20"/>
        </w:rPr>
        <w:t>依据《环境影响风险评价技术导则》（HJ169-2018），本项目环境风险评价范围为：环境空气，以风险源为中心，半径3km的圆形区域；地下水：项目厂址所在区域。</w:t>
      </w:r>
    </w:p>
    <w:p w14:paraId="07FBC277">
      <w:pPr>
        <w:spacing w:line="520" w:lineRule="exact"/>
        <w:outlineLvl w:val="2"/>
        <w:rPr>
          <w:rFonts w:ascii="Times New Roman"/>
          <w:b/>
          <w:sz w:val="28"/>
          <w:szCs w:val="28"/>
        </w:rPr>
      </w:pPr>
      <w:r>
        <w:rPr>
          <w:rFonts w:ascii="Times New Roman"/>
          <w:b/>
          <w:sz w:val="28"/>
          <w:szCs w:val="28"/>
        </w:rPr>
        <w:t>2.5.5生态环境评价等级及评价范围</w:t>
      </w:r>
    </w:p>
    <w:p w14:paraId="2F4449CD">
      <w:pPr>
        <w:spacing w:line="480" w:lineRule="exact"/>
        <w:ind w:firstLine="480" w:firstLineChars="200"/>
        <w:rPr>
          <w:rFonts w:ascii="Times New Roman"/>
          <w:sz w:val="24"/>
          <w:szCs w:val="24"/>
        </w:rPr>
      </w:pPr>
      <w:r>
        <w:rPr>
          <w:rFonts w:ascii="Times New Roman"/>
          <w:sz w:val="24"/>
          <w:szCs w:val="24"/>
        </w:rPr>
        <w:t>根据《环境影响评价技术导则 生态影响》（HJ19-2022）6.1评价等级判定中：</w:t>
      </w:r>
    </w:p>
    <w:p w14:paraId="12842FED">
      <w:pPr>
        <w:spacing w:line="480" w:lineRule="exact"/>
        <w:ind w:firstLine="480" w:firstLineChars="200"/>
        <w:rPr>
          <w:rFonts w:ascii="Times New Roman"/>
          <w:sz w:val="24"/>
          <w:szCs w:val="24"/>
        </w:rPr>
      </w:pPr>
      <w:r>
        <w:rPr>
          <w:rFonts w:ascii="Times New Roman"/>
          <w:sz w:val="24"/>
          <w:szCs w:val="24"/>
        </w:rPr>
        <w:t>依据建设项目影响区域的生态敏感性和影响程度，评价等级划分为一级、二级和三级。</w:t>
      </w:r>
    </w:p>
    <w:p w14:paraId="52634F8B">
      <w:pPr>
        <w:spacing w:line="480" w:lineRule="exact"/>
        <w:ind w:firstLine="480" w:firstLineChars="200"/>
        <w:rPr>
          <w:rFonts w:ascii="Times New Roman"/>
          <w:sz w:val="24"/>
          <w:szCs w:val="24"/>
        </w:rPr>
      </w:pPr>
      <w:r>
        <w:rPr>
          <w:rFonts w:ascii="Times New Roman"/>
          <w:sz w:val="24"/>
          <w:szCs w:val="24"/>
        </w:rPr>
        <w:t>按以下原则确定评价等级：</w:t>
      </w:r>
    </w:p>
    <w:p w14:paraId="48AC78CB">
      <w:pPr>
        <w:spacing w:line="480" w:lineRule="exact"/>
        <w:ind w:firstLine="480" w:firstLineChars="200"/>
        <w:rPr>
          <w:rFonts w:ascii="Times New Roman"/>
          <w:sz w:val="24"/>
          <w:szCs w:val="24"/>
        </w:rPr>
      </w:pPr>
      <w:r>
        <w:rPr>
          <w:rFonts w:ascii="Times New Roman"/>
          <w:sz w:val="24"/>
          <w:szCs w:val="24"/>
        </w:rPr>
        <w:t>a）涉及国家公园、自然保护区、世界自然遗产、重要生境时，评价等级为一级；</w:t>
      </w:r>
    </w:p>
    <w:p w14:paraId="1BBD8214">
      <w:pPr>
        <w:spacing w:line="480" w:lineRule="exact"/>
        <w:ind w:firstLine="480" w:firstLineChars="200"/>
        <w:rPr>
          <w:rFonts w:ascii="Times New Roman"/>
          <w:sz w:val="24"/>
          <w:szCs w:val="24"/>
        </w:rPr>
      </w:pPr>
      <w:r>
        <w:rPr>
          <w:rFonts w:ascii="Times New Roman"/>
          <w:sz w:val="24"/>
          <w:szCs w:val="24"/>
        </w:rPr>
        <w:t>b）涉及自然公园时，评价等级为二级；</w:t>
      </w:r>
    </w:p>
    <w:p w14:paraId="62C8F219">
      <w:pPr>
        <w:spacing w:line="480" w:lineRule="exact"/>
        <w:ind w:firstLine="480" w:firstLineChars="200"/>
        <w:rPr>
          <w:rFonts w:ascii="Times New Roman"/>
          <w:sz w:val="24"/>
          <w:szCs w:val="24"/>
        </w:rPr>
      </w:pPr>
      <w:r>
        <w:rPr>
          <w:rFonts w:ascii="Times New Roman"/>
          <w:sz w:val="24"/>
          <w:szCs w:val="24"/>
        </w:rPr>
        <w:t>c）涉及生态保护红线时，评价等级不低于二级；</w:t>
      </w:r>
    </w:p>
    <w:p w14:paraId="1EBCB955">
      <w:pPr>
        <w:spacing w:line="480" w:lineRule="exact"/>
        <w:ind w:firstLine="480" w:firstLineChars="200"/>
        <w:rPr>
          <w:rFonts w:ascii="Times New Roman"/>
          <w:sz w:val="24"/>
          <w:szCs w:val="24"/>
        </w:rPr>
      </w:pPr>
      <w:r>
        <w:rPr>
          <w:rFonts w:ascii="Times New Roman"/>
          <w:sz w:val="24"/>
          <w:szCs w:val="24"/>
        </w:rPr>
        <w:t>d）根据HJ2.3判断属于水文要素影响型且地表水评价等级不低于二级的建设项目，生态影响评价等级不低于二级；</w:t>
      </w:r>
    </w:p>
    <w:p w14:paraId="5BE8F02C">
      <w:pPr>
        <w:spacing w:line="480" w:lineRule="exact"/>
        <w:ind w:firstLine="480" w:firstLineChars="200"/>
        <w:rPr>
          <w:rFonts w:ascii="Times New Roman"/>
          <w:sz w:val="24"/>
          <w:szCs w:val="24"/>
        </w:rPr>
      </w:pPr>
      <w:r>
        <w:rPr>
          <w:rFonts w:ascii="Times New Roman"/>
          <w:sz w:val="24"/>
          <w:szCs w:val="24"/>
        </w:rPr>
        <w:t>e）根据HJ610、HJ964判断地下水水位或土壤影响范围内分布有天然林、公益林、湿地等生态保护目标的建设项目，生态影响评价等级不低于二级；</w:t>
      </w:r>
    </w:p>
    <w:p w14:paraId="0B1DB365">
      <w:pPr>
        <w:spacing w:line="480" w:lineRule="exact"/>
        <w:ind w:firstLine="480" w:firstLineChars="200"/>
        <w:rPr>
          <w:rFonts w:ascii="Times New Roman"/>
          <w:sz w:val="24"/>
          <w:szCs w:val="24"/>
        </w:rPr>
      </w:pPr>
      <w:r>
        <w:rPr>
          <w:rFonts w:ascii="Times New Roman"/>
          <w:sz w:val="24"/>
          <w:szCs w:val="24"/>
        </w:rPr>
        <w:t>f）当工程占地规模大于20km</w:t>
      </w:r>
      <w:r>
        <w:rPr>
          <w:rFonts w:ascii="Times New Roman"/>
          <w:sz w:val="24"/>
          <w:szCs w:val="24"/>
          <w:vertAlign w:val="superscript"/>
        </w:rPr>
        <w:t>2</w:t>
      </w:r>
      <w:r>
        <w:rPr>
          <w:rFonts w:ascii="Times New Roman"/>
          <w:sz w:val="24"/>
          <w:szCs w:val="24"/>
        </w:rPr>
        <w:t>时（包括永久和临时占用陆域和水域），评价等级不低于二级；改扩建项目的占地范围以新增占地（包括陆域和水域）确定；</w:t>
      </w:r>
    </w:p>
    <w:p w14:paraId="6311BAA2">
      <w:pPr>
        <w:spacing w:line="480" w:lineRule="exact"/>
        <w:ind w:firstLine="480" w:firstLineChars="200"/>
        <w:rPr>
          <w:rFonts w:ascii="Times New Roman"/>
          <w:sz w:val="24"/>
          <w:szCs w:val="24"/>
        </w:rPr>
      </w:pPr>
      <w:r>
        <w:rPr>
          <w:rFonts w:ascii="Times New Roman"/>
          <w:sz w:val="24"/>
          <w:szCs w:val="24"/>
        </w:rPr>
        <w:t>g）除本条a）、b）、c）、d）、e）、f）以外的情况，评价等级为三级；</w:t>
      </w:r>
    </w:p>
    <w:p w14:paraId="62B5A1E4">
      <w:pPr>
        <w:spacing w:line="480" w:lineRule="exact"/>
        <w:ind w:firstLine="480" w:firstLineChars="200"/>
        <w:rPr>
          <w:rFonts w:ascii="Times New Roman"/>
          <w:sz w:val="24"/>
          <w:szCs w:val="24"/>
        </w:rPr>
      </w:pPr>
      <w:r>
        <w:rPr>
          <w:rFonts w:ascii="Times New Roman"/>
          <w:sz w:val="24"/>
          <w:szCs w:val="24"/>
        </w:rPr>
        <w:t>h）当评价等级判定同时符合上述多种情况时，应采用其中最高的评价等级。</w:t>
      </w:r>
    </w:p>
    <w:p w14:paraId="79D29DED">
      <w:pPr>
        <w:spacing w:line="480" w:lineRule="exact"/>
        <w:ind w:firstLine="480" w:firstLineChars="200"/>
        <w:rPr>
          <w:rFonts w:ascii="Times New Roman"/>
          <w:sz w:val="24"/>
          <w:szCs w:val="24"/>
        </w:rPr>
      </w:pPr>
      <w:r>
        <w:rPr>
          <w:rFonts w:ascii="Times New Roman"/>
          <w:sz w:val="24"/>
          <w:szCs w:val="24"/>
        </w:rPr>
        <w:t>建设项目涉及经论证对保护生物多样性具有重要意义的区域时，可适当上调评价等级。</w:t>
      </w:r>
    </w:p>
    <w:p w14:paraId="212981C5">
      <w:pPr>
        <w:spacing w:line="480" w:lineRule="exact"/>
        <w:ind w:firstLine="480" w:firstLineChars="200"/>
        <w:rPr>
          <w:rFonts w:ascii="Times New Roman"/>
          <w:sz w:val="24"/>
          <w:szCs w:val="24"/>
        </w:rPr>
      </w:pPr>
      <w:r>
        <w:rPr>
          <w:rFonts w:ascii="Times New Roman"/>
          <w:sz w:val="24"/>
          <w:szCs w:val="24"/>
        </w:rPr>
        <w:t>建设项目同时涉及陆生、水生生态影响时，可针对陆生生态、水生生态分别判定评价等级。</w:t>
      </w:r>
    </w:p>
    <w:p w14:paraId="23120094">
      <w:pPr>
        <w:spacing w:line="480" w:lineRule="exact"/>
        <w:ind w:firstLine="480" w:firstLineChars="200"/>
        <w:rPr>
          <w:rFonts w:ascii="Times New Roman"/>
          <w:sz w:val="24"/>
          <w:szCs w:val="24"/>
        </w:rPr>
      </w:pPr>
      <w:r>
        <w:rPr>
          <w:rFonts w:ascii="Times New Roman"/>
          <w:sz w:val="24"/>
          <w:szCs w:val="24"/>
        </w:rPr>
        <w:t>在矿山开采可能导致矿区土地利用类型明显改变，或拦河闸坝建设可能明显改变水文情势等情况下，评价等级应上调一级。</w:t>
      </w:r>
    </w:p>
    <w:p w14:paraId="267C0AC6">
      <w:pPr>
        <w:spacing w:line="480" w:lineRule="exact"/>
        <w:ind w:firstLine="480" w:firstLineChars="200"/>
        <w:rPr>
          <w:rFonts w:ascii="Times New Roman"/>
          <w:sz w:val="24"/>
          <w:szCs w:val="24"/>
        </w:rPr>
      </w:pPr>
      <w:r>
        <w:rPr>
          <w:rFonts w:ascii="Times New Roman"/>
          <w:sz w:val="24"/>
          <w:szCs w:val="24"/>
        </w:rPr>
        <w:t>线性工程可分段确定评价等级。线性工程地下穿越或地表跨越生态敏感区，在生态敏感区范围内无永久、临时占地时，评价等级可下调一级。</w:t>
      </w:r>
    </w:p>
    <w:p w14:paraId="0EE9418B">
      <w:pPr>
        <w:spacing w:line="480" w:lineRule="exact"/>
        <w:ind w:firstLine="480" w:firstLineChars="200"/>
        <w:rPr>
          <w:rFonts w:ascii="Times New Roman"/>
          <w:sz w:val="24"/>
          <w:szCs w:val="24"/>
        </w:rPr>
      </w:pPr>
      <w:r>
        <w:rPr>
          <w:rFonts w:ascii="Times New Roman"/>
          <w:sz w:val="24"/>
          <w:szCs w:val="24"/>
        </w:rPr>
        <w:t>涉海工程评价等级判定参照GB/T 19485。</w:t>
      </w:r>
    </w:p>
    <w:p w14:paraId="4467180B">
      <w:pPr>
        <w:spacing w:line="480" w:lineRule="exact"/>
        <w:ind w:firstLine="480" w:firstLineChars="200"/>
        <w:rPr>
          <w:rFonts w:ascii="Times New Roman"/>
          <w:sz w:val="24"/>
          <w:szCs w:val="24"/>
        </w:rPr>
      </w:pPr>
      <w:r>
        <w:rPr>
          <w:rFonts w:ascii="Times New Roman"/>
          <w:sz w:val="24"/>
          <w:szCs w:val="24"/>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7E1ED4DE">
      <w:pPr>
        <w:spacing w:line="480" w:lineRule="exact"/>
        <w:ind w:firstLine="480" w:firstLineChars="200"/>
        <w:rPr>
          <w:rFonts w:ascii="Times New Roman"/>
          <w:sz w:val="24"/>
          <w:szCs w:val="24"/>
        </w:rPr>
      </w:pPr>
      <w:r>
        <w:rPr>
          <w:rFonts w:ascii="Times New Roman"/>
          <w:sz w:val="24"/>
          <w:szCs w:val="24"/>
        </w:rPr>
        <w:t>本项目位于唐山市曹妃甸装备制造园区，属于已批准规划环评的产业园区，且项目评价区域内无自然保护区、风景名胜区等特殊和重要生态敏感区，属一般工业区。根据《环境影响评价技术导则·生态影响》（HJ 19-2022）中评价等级的划分依据，位于已批准规划环评的产业园区内且符合规划环评要求、不涉及生态敏感区的污染影响类建设项目，可不确定评价等级，直接进行生态影响简单分析。</w:t>
      </w:r>
    </w:p>
    <w:p w14:paraId="6D93FFA2">
      <w:pPr>
        <w:spacing w:line="520" w:lineRule="exact"/>
        <w:outlineLvl w:val="2"/>
        <w:rPr>
          <w:rFonts w:ascii="Times New Roman"/>
          <w:b/>
          <w:sz w:val="28"/>
          <w:szCs w:val="28"/>
        </w:rPr>
      </w:pPr>
      <w:r>
        <w:rPr>
          <w:rFonts w:ascii="Times New Roman"/>
          <w:b/>
          <w:sz w:val="28"/>
          <w:szCs w:val="28"/>
        </w:rPr>
        <w:t>2.5.6土壤环境评价等级及评价范围</w:t>
      </w:r>
    </w:p>
    <w:p w14:paraId="7532C83D">
      <w:pPr>
        <w:spacing w:line="480" w:lineRule="exact"/>
        <w:ind w:firstLine="480" w:firstLineChars="200"/>
        <w:rPr>
          <w:rFonts w:ascii="Times New Roman"/>
          <w:sz w:val="24"/>
          <w:szCs w:val="24"/>
        </w:rPr>
      </w:pPr>
      <w:r>
        <w:rPr>
          <w:rFonts w:ascii="Times New Roman"/>
          <w:sz w:val="24"/>
          <w:szCs w:val="24"/>
        </w:rPr>
        <w:t>（1）划分依据</w:t>
      </w:r>
    </w:p>
    <w:p w14:paraId="7FB7FA14">
      <w:pPr>
        <w:spacing w:line="480" w:lineRule="exact"/>
        <w:ind w:firstLine="480" w:firstLineChars="200"/>
        <w:rPr>
          <w:rFonts w:ascii="Times New Roman"/>
          <w:sz w:val="24"/>
          <w:szCs w:val="24"/>
        </w:rPr>
      </w:pPr>
      <w:r>
        <w:rPr>
          <w:rFonts w:ascii="Times New Roman"/>
          <w:sz w:val="24"/>
          <w:szCs w:val="24"/>
        </w:rPr>
        <w:t>①项目类型</w:t>
      </w:r>
    </w:p>
    <w:p w14:paraId="476215D9">
      <w:pPr>
        <w:spacing w:line="480" w:lineRule="exact"/>
        <w:ind w:firstLine="480" w:firstLineChars="200"/>
        <w:rPr>
          <w:rFonts w:ascii="Times New Roman"/>
          <w:sz w:val="24"/>
          <w:szCs w:val="24"/>
        </w:rPr>
      </w:pPr>
      <w:r>
        <w:rPr>
          <w:rFonts w:ascii="Times New Roman"/>
          <w:sz w:val="24"/>
          <w:szCs w:val="24"/>
        </w:rPr>
        <w:t>结合本项目工程分析，拟建工程对土壤环境可能产生的影响主要为人为造成某种物质进入土壤环境，导致土壤质量恶化。因此，本项目土壤环境影响类型为“污染影响型”。</w:t>
      </w:r>
    </w:p>
    <w:p w14:paraId="07838CA4">
      <w:pPr>
        <w:spacing w:line="480" w:lineRule="exact"/>
        <w:ind w:firstLine="480" w:firstLineChars="200"/>
        <w:rPr>
          <w:rFonts w:ascii="Times New Roman"/>
          <w:sz w:val="24"/>
          <w:szCs w:val="24"/>
        </w:rPr>
      </w:pPr>
      <w:r>
        <w:rPr>
          <w:rFonts w:ascii="Times New Roman"/>
          <w:sz w:val="24"/>
          <w:szCs w:val="24"/>
        </w:rPr>
        <w:t>②项目类别</w:t>
      </w:r>
    </w:p>
    <w:p w14:paraId="27538EAF">
      <w:pPr>
        <w:spacing w:line="480" w:lineRule="exact"/>
        <w:ind w:firstLine="480" w:firstLineChars="200"/>
        <w:rPr>
          <w:rFonts w:ascii="Times New Roman"/>
          <w:sz w:val="24"/>
          <w:szCs w:val="24"/>
        </w:rPr>
      </w:pPr>
      <w:r>
        <w:rPr>
          <w:rFonts w:ascii="Times New Roman"/>
          <w:sz w:val="24"/>
          <w:szCs w:val="24"/>
        </w:rPr>
        <w:t>根据《环境影响评价技术导则 土壤环境（试行）》（HJ 964-2018）附录A-土壤环境影响评价项目类别，本项目为</w:t>
      </w:r>
      <w:r>
        <w:rPr>
          <w:rFonts w:ascii="Times New Roman"/>
        </w:rPr>
        <w:t>“</w:t>
      </w:r>
      <w:r>
        <w:rPr>
          <w:rFonts w:ascii="Times New Roman"/>
          <w:sz w:val="24"/>
          <w:szCs w:val="24"/>
        </w:rPr>
        <w:t>设备制造、金属制品、汽车制造及其他用品制造，金属表面处理及热处理加工的，</w:t>
      </w:r>
      <w:r>
        <w:rPr>
          <w:rFonts w:ascii="Times New Roman"/>
        </w:rPr>
        <w:t>使用有机涂层的（喷粉、喷塑和电泳除外）”</w:t>
      </w:r>
      <w:r>
        <w:rPr>
          <w:rFonts w:ascii="Times New Roman"/>
          <w:sz w:val="24"/>
          <w:szCs w:val="24"/>
        </w:rPr>
        <w:t>，因此确定本项目土壤环境影响评价类别为“I类项目”。</w:t>
      </w:r>
    </w:p>
    <w:p w14:paraId="1236A3BF">
      <w:pPr>
        <w:spacing w:line="480" w:lineRule="exact"/>
        <w:ind w:firstLine="480" w:firstLineChars="200"/>
        <w:rPr>
          <w:rFonts w:ascii="Times New Roman"/>
          <w:sz w:val="24"/>
          <w:szCs w:val="24"/>
        </w:rPr>
      </w:pPr>
      <w:r>
        <w:rPr>
          <w:rFonts w:ascii="Times New Roman"/>
          <w:sz w:val="24"/>
          <w:szCs w:val="24"/>
        </w:rPr>
        <w:t>②土壤环境敏感程度</w:t>
      </w:r>
    </w:p>
    <w:p w14:paraId="11EE1066">
      <w:pPr>
        <w:spacing w:line="480" w:lineRule="exact"/>
        <w:ind w:firstLine="480" w:firstLineChars="200"/>
        <w:rPr>
          <w:rFonts w:ascii="Times New Roman"/>
          <w:sz w:val="24"/>
          <w:szCs w:val="24"/>
        </w:rPr>
      </w:pPr>
      <w:r>
        <w:rPr>
          <w:rFonts w:ascii="Times New Roman"/>
          <w:sz w:val="24"/>
          <w:szCs w:val="24"/>
        </w:rPr>
        <w:t>本项目</w:t>
      </w:r>
      <w:r>
        <w:rPr>
          <w:rFonts w:ascii="Times New Roman"/>
          <w:sz w:val="24"/>
          <w:szCs w:val="24"/>
          <w:lang w:val="en"/>
        </w:rPr>
        <w:t>位于</w:t>
      </w:r>
      <w:r>
        <w:rPr>
          <w:rFonts w:ascii="Times New Roman"/>
          <w:sz w:val="24"/>
          <w:szCs w:val="24"/>
        </w:rPr>
        <w:t>曹妃甸装备制造产业园区，厂址周边内无耕地、居民区等土壤环境敏感目标，因此将本项目土壤环境敏感程度定为“不敏感”。</w:t>
      </w:r>
    </w:p>
    <w:p w14:paraId="1B5A456A">
      <w:pPr>
        <w:spacing w:line="480" w:lineRule="exact"/>
        <w:ind w:firstLine="480" w:firstLineChars="200"/>
        <w:rPr>
          <w:rFonts w:ascii="Times New Roman"/>
          <w:sz w:val="24"/>
          <w:szCs w:val="24"/>
        </w:rPr>
      </w:pPr>
      <w:r>
        <w:rPr>
          <w:rFonts w:ascii="Times New Roman"/>
          <w:sz w:val="24"/>
          <w:szCs w:val="24"/>
        </w:rPr>
        <w:t>③建设项目占地规模</w:t>
      </w:r>
    </w:p>
    <w:p w14:paraId="3B22784A">
      <w:pPr>
        <w:spacing w:line="480" w:lineRule="exact"/>
        <w:ind w:firstLine="480" w:firstLineChars="200"/>
        <w:rPr>
          <w:rFonts w:ascii="Times New Roman"/>
          <w:sz w:val="24"/>
          <w:szCs w:val="24"/>
        </w:rPr>
      </w:pPr>
      <w:r>
        <w:rPr>
          <w:rFonts w:ascii="Times New Roman"/>
          <w:sz w:val="24"/>
          <w:szCs w:val="24"/>
        </w:rPr>
        <w:t>本项目占地面积为约300亩（</w:t>
      </w:r>
      <w:r>
        <w:rPr>
          <w:rFonts w:ascii="Times New Roman"/>
          <w:sz w:val="24"/>
          <w:szCs w:val="20"/>
        </w:rPr>
        <w:t>20</w:t>
      </w:r>
      <w:r>
        <w:rPr>
          <w:rFonts w:ascii="Times New Roman"/>
          <w:sz w:val="24"/>
          <w:szCs w:val="24"/>
        </w:rPr>
        <w:t>hm</w:t>
      </w:r>
      <w:r>
        <w:rPr>
          <w:rFonts w:ascii="Times New Roman"/>
          <w:sz w:val="24"/>
          <w:szCs w:val="24"/>
          <w:vertAlign w:val="superscript"/>
        </w:rPr>
        <w:t>2</w:t>
      </w:r>
      <w:r>
        <w:rPr>
          <w:rFonts w:ascii="Times New Roman"/>
          <w:sz w:val="24"/>
          <w:szCs w:val="24"/>
        </w:rPr>
        <w:t>），占地规模为中型（5hm</w:t>
      </w:r>
      <w:r>
        <w:rPr>
          <w:rFonts w:ascii="Times New Roman"/>
          <w:sz w:val="24"/>
          <w:szCs w:val="24"/>
          <w:vertAlign w:val="superscript"/>
        </w:rPr>
        <w:t>2</w:t>
      </w:r>
      <w:r>
        <w:rPr>
          <w:rFonts w:ascii="Times New Roman"/>
          <w:sz w:val="24"/>
          <w:szCs w:val="24"/>
        </w:rPr>
        <w:t>＜占地＜50hm</w:t>
      </w:r>
      <w:r>
        <w:rPr>
          <w:rFonts w:ascii="Times New Roman"/>
          <w:sz w:val="24"/>
          <w:szCs w:val="24"/>
          <w:vertAlign w:val="superscript"/>
        </w:rPr>
        <w:t>2</w:t>
      </w:r>
      <w:r>
        <w:rPr>
          <w:rFonts w:ascii="Times New Roman"/>
          <w:sz w:val="24"/>
          <w:szCs w:val="24"/>
        </w:rPr>
        <w:t>）。</w:t>
      </w:r>
    </w:p>
    <w:p w14:paraId="194C51DF">
      <w:pPr>
        <w:spacing w:line="480" w:lineRule="exact"/>
        <w:ind w:firstLine="480" w:firstLineChars="200"/>
        <w:rPr>
          <w:rFonts w:ascii="Times New Roman"/>
          <w:sz w:val="24"/>
          <w:szCs w:val="24"/>
        </w:rPr>
      </w:pPr>
      <w:r>
        <w:rPr>
          <w:rFonts w:ascii="Times New Roman"/>
          <w:sz w:val="24"/>
          <w:szCs w:val="24"/>
        </w:rPr>
        <w:t>（2）评价等级确定</w:t>
      </w:r>
    </w:p>
    <w:p w14:paraId="3E3AEC68">
      <w:pPr>
        <w:spacing w:line="480" w:lineRule="exact"/>
        <w:ind w:firstLine="480" w:firstLineChars="200"/>
        <w:rPr>
          <w:rFonts w:ascii="Times New Roman"/>
          <w:sz w:val="24"/>
          <w:szCs w:val="24"/>
        </w:rPr>
      </w:pPr>
      <w:r>
        <w:rPr>
          <w:rFonts w:ascii="Times New Roman"/>
          <w:kern w:val="0"/>
          <w:sz w:val="24"/>
          <w:szCs w:val="24"/>
        </w:rPr>
        <w:t>根据《环境影响评价技术导则·土壤环境（试行）》（HJ964-2018），土壤环境影响评价工作等级划分见表</w:t>
      </w:r>
      <w:r>
        <w:rPr>
          <w:rFonts w:ascii="Times New Roman"/>
          <w:sz w:val="24"/>
          <w:szCs w:val="24"/>
        </w:rPr>
        <w:t>2.5-1</w:t>
      </w:r>
      <w:r>
        <w:rPr>
          <w:rFonts w:hint="eastAsia" w:ascii="Times New Roman"/>
          <w:sz w:val="24"/>
          <w:szCs w:val="24"/>
        </w:rPr>
        <w:t>2</w:t>
      </w:r>
      <w:r>
        <w:rPr>
          <w:rFonts w:ascii="Times New Roman"/>
          <w:sz w:val="24"/>
          <w:szCs w:val="24"/>
        </w:rPr>
        <w:t>。</w:t>
      </w:r>
    </w:p>
    <w:p w14:paraId="72A6E7FE">
      <w:pPr>
        <w:spacing w:line="480" w:lineRule="exact"/>
        <w:ind w:firstLine="482" w:firstLineChars="200"/>
        <w:jc w:val="center"/>
        <w:rPr>
          <w:rFonts w:ascii="Times New Roman"/>
          <w:b/>
          <w:sz w:val="24"/>
          <w:szCs w:val="24"/>
        </w:rPr>
      </w:pPr>
      <w:r>
        <w:rPr>
          <w:rFonts w:ascii="Times New Roman"/>
          <w:b/>
          <w:sz w:val="24"/>
          <w:szCs w:val="24"/>
        </w:rPr>
        <w:t>表2.5-1</w:t>
      </w:r>
      <w:r>
        <w:rPr>
          <w:rFonts w:hint="eastAsia" w:ascii="Times New Roman"/>
          <w:b/>
          <w:sz w:val="24"/>
          <w:szCs w:val="24"/>
        </w:rPr>
        <w:t>2</w:t>
      </w:r>
      <w:r>
        <w:rPr>
          <w:rFonts w:ascii="Times New Roman"/>
          <w:b/>
          <w:sz w:val="24"/>
          <w:szCs w:val="24"/>
        </w:rPr>
        <w:t xml:space="preserve">  </w:t>
      </w:r>
      <w:r>
        <w:rPr>
          <w:rFonts w:ascii="Times New Roman"/>
          <w:b/>
          <w:snapToGrid w:val="0"/>
          <w:sz w:val="24"/>
          <w:szCs w:val="24"/>
        </w:rPr>
        <w:t>建设项目土壤环境影响评价工作等级划分表</w:t>
      </w:r>
    </w:p>
    <w:tbl>
      <w:tblPr>
        <w:tblStyle w:val="84"/>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68"/>
        <w:gridCol w:w="694"/>
        <w:gridCol w:w="580"/>
        <w:gridCol w:w="647"/>
        <w:gridCol w:w="550"/>
        <w:gridCol w:w="660"/>
        <w:gridCol w:w="807"/>
        <w:gridCol w:w="749"/>
        <w:gridCol w:w="764"/>
        <w:gridCol w:w="817"/>
      </w:tblGrid>
      <w:tr w14:paraId="6B85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240" w:type="pct"/>
            <w:vMerge w:val="restart"/>
            <w:tcBorders>
              <w:tl2br w:val="nil"/>
              <w:tr2bl w:val="nil"/>
            </w:tcBorders>
            <w:shd w:val="clear" w:color="auto" w:fill="auto"/>
            <w:vAlign w:val="center"/>
          </w:tcPr>
          <w:p w14:paraId="616D2C39">
            <w:pPr>
              <w:adjustRightInd w:val="0"/>
              <w:snapToGrid w:val="0"/>
              <w:spacing w:line="320" w:lineRule="exact"/>
              <w:jc w:val="center"/>
              <w:rPr>
                <w:rFonts w:ascii="Times New Roman"/>
                <w:bCs/>
                <w:sz w:val="21"/>
                <w:szCs w:val="21"/>
              </w:rPr>
            </w:pPr>
            <w:r>
              <w:rPr>
                <w:rFonts w:ascii="Times New Roman"/>
              </w:rPr>
              <mc:AlternateContent>
                <mc:Choice Requires="wps">
                  <w:drawing>
                    <wp:anchor distT="0" distB="0" distL="114300" distR="114300" simplePos="0" relativeHeight="251672576" behindDoc="0" locked="0" layoutInCell="1" allowOverlap="1">
                      <wp:simplePos x="0" y="0"/>
                      <wp:positionH relativeFrom="column">
                        <wp:posOffset>572770</wp:posOffset>
                      </wp:positionH>
                      <wp:positionV relativeFrom="paragraph">
                        <wp:posOffset>-635</wp:posOffset>
                      </wp:positionV>
                      <wp:extent cx="751205" cy="699770"/>
                      <wp:effectExtent l="3175" t="3175" r="7620" b="8255"/>
                      <wp:wrapNone/>
                      <wp:docPr id="5713" name="Line 433"/>
                      <wp:cNvGraphicFramePr/>
                      <a:graphic xmlns:a="http://schemas.openxmlformats.org/drawingml/2006/main">
                        <a:graphicData uri="http://schemas.microsoft.com/office/word/2010/wordprocessingShape">
                          <wps:wsp>
                            <wps:cNvCnPr>
                              <a:cxnSpLocks noChangeShapeType="1"/>
                            </wps:cNvCnPr>
                            <wps:spPr bwMode="auto">
                              <a:xfrm flipH="1" flipV="1">
                                <a:off x="0" y="0"/>
                                <a:ext cx="751205" cy="699770"/>
                              </a:xfrm>
                              <a:prstGeom prst="line">
                                <a:avLst/>
                              </a:prstGeom>
                              <a:noFill/>
                              <a:ln w="6350">
                                <a:solidFill>
                                  <a:srgbClr val="000000"/>
                                </a:solidFill>
                                <a:round/>
                              </a:ln>
                              <a:effectLst/>
                            </wps:spPr>
                            <wps:bodyPr/>
                          </wps:wsp>
                        </a:graphicData>
                      </a:graphic>
                    </wp:anchor>
                  </w:drawing>
                </mc:Choice>
                <mc:Fallback>
                  <w:pict>
                    <v:line id="Line 433" o:spid="_x0000_s1026" o:spt="20" style="position:absolute;left:0pt;flip:x y;margin-left:45.1pt;margin-top:-0.05pt;height:55.1pt;width:59.15pt;z-index:251672576;mso-width-relative:page;mso-height-relative:page;" filled="f" stroked="t" coordsize="21600,21600" o:gfxdata="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Tc6RjWAAAACAEA&#10;AA8AAAAAAAAAAQAgAAAAIgAAAGRycy9kb3ducmV2LnhtbFBLAQIUABQAAAAIAIdO4kAQaMAq4wEA&#10;AMoDAAAOAAAAAAAAAAEAIAAAACUBAABkcnMvZTJvRG9jLnhtbFBLBQYAAAAABgAGAFkBAAB6BQAA&#10;AAA=&#10;">
                      <v:fill on="f" focussize="0,0"/>
                      <v:stroke weight="0.5pt" color="#000000" joinstyle="round"/>
                      <v:imagedata o:title=""/>
                      <o:lock v:ext="edit" aspectratio="f"/>
                    </v:line>
                  </w:pict>
                </mc:Fallback>
              </mc:AlternateContent>
            </w:r>
            <w:r>
              <w:rPr>
                <w:rFonts w:ascii="Times New Roman"/>
              </w:rPr>
              <mc:AlternateContent>
                <mc:Choice Requires="wps">
                  <w:drawing>
                    <wp:anchor distT="0" distB="0" distL="114300" distR="114300" simplePos="0" relativeHeight="251673600" behindDoc="0" locked="0" layoutInCell="1" allowOverlap="1">
                      <wp:simplePos x="0" y="0"/>
                      <wp:positionH relativeFrom="column">
                        <wp:posOffset>-14605</wp:posOffset>
                      </wp:positionH>
                      <wp:positionV relativeFrom="paragraph">
                        <wp:posOffset>309245</wp:posOffset>
                      </wp:positionV>
                      <wp:extent cx="1330325" cy="387985"/>
                      <wp:effectExtent l="1270" t="4445" r="1905" b="13970"/>
                      <wp:wrapNone/>
                      <wp:docPr id="5712" name="Line 432"/>
                      <wp:cNvGraphicFramePr/>
                      <a:graphic xmlns:a="http://schemas.openxmlformats.org/drawingml/2006/main">
                        <a:graphicData uri="http://schemas.microsoft.com/office/word/2010/wordprocessingShape">
                          <wps:wsp>
                            <wps:cNvCnPr>
                              <a:cxnSpLocks noChangeShapeType="1"/>
                            </wps:cNvCnPr>
                            <wps:spPr bwMode="auto">
                              <a:xfrm flipH="1" flipV="1">
                                <a:off x="0" y="0"/>
                                <a:ext cx="1330325" cy="387985"/>
                              </a:xfrm>
                              <a:prstGeom prst="line">
                                <a:avLst/>
                              </a:prstGeom>
                              <a:noFill/>
                              <a:ln w="6350">
                                <a:solidFill>
                                  <a:srgbClr val="000000"/>
                                </a:solidFill>
                                <a:round/>
                              </a:ln>
                              <a:effectLst/>
                            </wps:spPr>
                            <wps:bodyPr/>
                          </wps:wsp>
                        </a:graphicData>
                      </a:graphic>
                    </wp:anchor>
                  </w:drawing>
                </mc:Choice>
                <mc:Fallback>
                  <w:pict>
                    <v:line id="Line 432" o:spid="_x0000_s1026" o:spt="20" style="position:absolute;left:0pt;flip:x y;margin-left:-1.15pt;margin-top:24.35pt;height:30.55pt;width:104.75pt;z-index:251673600;mso-width-relative:page;mso-height-relative:page;" filled="f" stroked="t" coordsize="21600,21600" o:gfxdata="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3vR39gAAAAJ&#10;AQAADwAAAAAAAAABACAAAAAiAAAAZHJzL2Rvd25yZXYueG1sUEsBAhQAFAAAAAgAh07iQLfDNfLj&#10;AQAAywMAAA4AAAAAAAAAAQAgAAAAJwEAAGRycy9lMm9Eb2MueG1sUEsFBgAAAAAGAAYAWQEAAHwF&#10;AAAAAA==&#10;">
                      <v:fill on="f" focussize="0,0"/>
                      <v:stroke weight="0.5pt" color="#000000" joinstyle="round"/>
                      <v:imagedata o:title=""/>
                      <o:lock v:ext="edit" aspectratio="f"/>
                    </v:line>
                  </w:pict>
                </mc:Fallback>
              </mc:AlternateContent>
            </w:r>
            <w:r>
              <w:rPr>
                <w:rFonts w:ascii="Times New Roman"/>
              </w:rPr>
              <mc:AlternateContent>
                <mc:Choice Requires="wps">
                  <w:drawing>
                    <wp:anchor distT="0" distB="0" distL="114300" distR="114300" simplePos="0" relativeHeight="251674624" behindDoc="0" locked="0" layoutInCell="1" allowOverlap="1">
                      <wp:simplePos x="0" y="0"/>
                      <wp:positionH relativeFrom="column">
                        <wp:posOffset>688975</wp:posOffset>
                      </wp:positionH>
                      <wp:positionV relativeFrom="paragraph">
                        <wp:posOffset>107315</wp:posOffset>
                      </wp:positionV>
                      <wp:extent cx="819150" cy="318770"/>
                      <wp:effectExtent l="0" t="0" r="0" b="0"/>
                      <wp:wrapNone/>
                      <wp:docPr id="491" name="文本框 275"/>
                      <wp:cNvGraphicFramePr/>
                      <a:graphic xmlns:a="http://schemas.openxmlformats.org/drawingml/2006/main">
                        <a:graphicData uri="http://schemas.microsoft.com/office/word/2010/wordprocessingShape">
                          <wps:wsp>
                            <wps:cNvSpPr txBox="1"/>
                            <wps:spPr>
                              <a:xfrm rot="2327615">
                                <a:off x="0" y="0"/>
                                <a:ext cx="819150" cy="318770"/>
                              </a:xfrm>
                              <a:prstGeom prst="rect">
                                <a:avLst/>
                              </a:prstGeom>
                              <a:noFill/>
                              <a:ln w="6350">
                                <a:noFill/>
                              </a:ln>
                              <a:effectLst/>
                            </wps:spPr>
                            <wps:txbx>
                              <w:txbxContent>
                                <w:p w14:paraId="7D03E6E7">
                                  <w:pPr>
                                    <w:rPr>
                                      <w:sz w:val="21"/>
                                      <w:szCs w:val="21"/>
                                    </w:rPr>
                                  </w:pPr>
                                  <w:r>
                                    <w:rPr>
                                      <w:rFonts w:hint="eastAsia"/>
                                      <w:sz w:val="21"/>
                                      <w:szCs w:val="21"/>
                                    </w:rPr>
                                    <w:t>占地规模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5" o:spid="_x0000_s1026" o:spt="202" type="#_x0000_t202" style="position:absolute;left:0pt;margin-left:54.25pt;margin-top:8.45pt;height:25.1pt;width:64.5pt;rotation:2542376f;z-index:251674624;mso-width-relative:page;mso-height-relative:page;" filled="f" stroked="f" coordsize="21600,21600" o:gfxdata="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pH0mtkAAAAJAQAADwAA&#10;AAAAAAABACAAAAAiAAAAZHJzL2Rvd25yZXYueG1sUEsBAhQAFAAAAAgAh07iQKAEtOROAgAAhQQA&#10;AA4AAAAAAAAAAQAgAAAAKAEAAGRycy9lMm9Eb2MueG1sUEsFBgAAAAAGAAYAWQEAAOgFAAAAAA==&#10;">
                      <v:fill on="f" focussize="0,0"/>
                      <v:stroke on="f" weight="0.5pt"/>
                      <v:imagedata o:title=""/>
                      <o:lock v:ext="edit" aspectratio="f"/>
                      <v:textbox>
                        <w:txbxContent>
                          <w:p w14:paraId="7D03E6E7">
                            <w:pPr>
                              <w:rPr>
                                <w:sz w:val="21"/>
                                <w:szCs w:val="21"/>
                              </w:rPr>
                            </w:pPr>
                            <w:r>
                              <w:rPr>
                                <w:rFonts w:hint="eastAsia"/>
                                <w:sz w:val="21"/>
                                <w:szCs w:val="21"/>
                              </w:rPr>
                              <w:t>占地规模</w:t>
                            </w:r>
                          </w:p>
                        </w:txbxContent>
                      </v:textbox>
                    </v:shape>
                  </w:pict>
                </mc:Fallback>
              </mc:AlternateContent>
            </w:r>
            <w:r>
              <w:rPr>
                <w:rFonts w:ascii="Times New Roman"/>
              </w:rPr>
              <mc:AlternateContent>
                <mc:Choice Requires="wps">
                  <w:drawing>
                    <wp:anchor distT="0" distB="0" distL="114300" distR="114300" simplePos="0" relativeHeight="251675648" behindDoc="0" locked="0" layoutInCell="1" allowOverlap="1">
                      <wp:simplePos x="0" y="0"/>
                      <wp:positionH relativeFrom="column">
                        <wp:posOffset>90170</wp:posOffset>
                      </wp:positionH>
                      <wp:positionV relativeFrom="paragraph">
                        <wp:posOffset>168910</wp:posOffset>
                      </wp:positionV>
                      <wp:extent cx="922655" cy="318770"/>
                      <wp:effectExtent l="0" t="0" r="0" b="0"/>
                      <wp:wrapNone/>
                      <wp:docPr id="492" name="文本框 282"/>
                      <wp:cNvGraphicFramePr/>
                      <a:graphic xmlns:a="http://schemas.openxmlformats.org/drawingml/2006/main">
                        <a:graphicData uri="http://schemas.microsoft.com/office/word/2010/wordprocessingShape">
                          <wps:wsp>
                            <wps:cNvSpPr txBox="1"/>
                            <wps:spPr>
                              <a:xfrm rot="1348208">
                                <a:off x="0" y="0"/>
                                <a:ext cx="922655" cy="318770"/>
                              </a:xfrm>
                              <a:prstGeom prst="rect">
                                <a:avLst/>
                              </a:prstGeom>
                              <a:noFill/>
                              <a:ln w="6350">
                                <a:noFill/>
                              </a:ln>
                              <a:effectLst/>
                            </wps:spPr>
                            <wps:txbx>
                              <w:txbxContent>
                                <w:p w14:paraId="51B5CA0D">
                                  <w:pPr>
                                    <w:rPr>
                                      <w:spacing w:val="-18"/>
                                      <w:sz w:val="21"/>
                                      <w:szCs w:val="21"/>
                                    </w:rPr>
                                  </w:pPr>
                                  <w:r>
                                    <w:rPr>
                                      <w:rFonts w:hint="eastAsia"/>
                                      <w:spacing w:val="-18"/>
                                      <w:sz w:val="21"/>
                                      <w:szCs w:val="21"/>
                                    </w:rPr>
                                    <w:t>评价工作等级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2" o:spid="_x0000_s1026" o:spt="202" type="#_x0000_t202" style="position:absolute;left:0pt;margin-left:7.1pt;margin-top:13.3pt;height:25.1pt;width:72.65pt;rotation:1472603f;z-index:251675648;mso-width-relative:page;mso-height-relative:page;" filled="f" stroked="f" coordsize="21600,21600" o:gfxdata="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ZXbI1AAAAAgBAAAPAAAAAAAA&#10;AAEAIAAAACIAAABkcnMvZG93bnJldi54bWxQSwECFAAUAAAACACHTuJA91HEYU8CAACFBAAADgAA&#10;AAAAAAABACAAAAAjAQAAZHJzL2Uyb0RvYy54bWxQSwUGAAAAAAYABgBZAQAA5AUAAAAA&#10;">
                      <v:fill on="f" focussize="0,0"/>
                      <v:stroke on="f" weight="0.5pt"/>
                      <v:imagedata o:title=""/>
                      <o:lock v:ext="edit" aspectratio="f"/>
                      <v:textbox>
                        <w:txbxContent>
                          <w:p w14:paraId="51B5CA0D">
                            <w:pPr>
                              <w:rPr>
                                <w:spacing w:val="-18"/>
                                <w:sz w:val="21"/>
                                <w:szCs w:val="21"/>
                              </w:rPr>
                            </w:pPr>
                            <w:r>
                              <w:rPr>
                                <w:rFonts w:hint="eastAsia"/>
                                <w:spacing w:val="-18"/>
                                <w:sz w:val="21"/>
                                <w:szCs w:val="21"/>
                              </w:rPr>
                              <w:t>评价工作等级</w:t>
                            </w:r>
                          </w:p>
                        </w:txbxContent>
                      </v:textbox>
                    </v:shape>
                  </w:pict>
                </mc:Fallback>
              </mc:AlternateContent>
            </w:r>
            <w:r>
              <w:rPr>
                <w:rFonts w:ascii="Times New Roman"/>
              </w:rPr>
              <mc:AlternateContent>
                <mc:Choice Requires="wps">
                  <w:drawing>
                    <wp:anchor distT="0" distB="0" distL="114300" distR="114300" simplePos="0" relativeHeight="251676672" behindDoc="0" locked="0" layoutInCell="1" allowOverlap="1">
                      <wp:simplePos x="0" y="0"/>
                      <wp:positionH relativeFrom="column">
                        <wp:posOffset>43815</wp:posOffset>
                      </wp:positionH>
                      <wp:positionV relativeFrom="paragraph">
                        <wp:posOffset>447675</wp:posOffset>
                      </wp:positionV>
                      <wp:extent cx="922655" cy="318770"/>
                      <wp:effectExtent l="0" t="0" r="0" b="0"/>
                      <wp:wrapNone/>
                      <wp:docPr id="493" name="文本框 416"/>
                      <wp:cNvGraphicFramePr/>
                      <a:graphic xmlns:a="http://schemas.openxmlformats.org/drawingml/2006/main">
                        <a:graphicData uri="http://schemas.microsoft.com/office/word/2010/wordprocessingShape">
                          <wps:wsp>
                            <wps:cNvSpPr txBox="1"/>
                            <wps:spPr>
                              <a:xfrm rot="868949">
                                <a:off x="0" y="0"/>
                                <a:ext cx="922655" cy="318770"/>
                              </a:xfrm>
                              <a:prstGeom prst="rect">
                                <a:avLst/>
                              </a:prstGeom>
                              <a:noFill/>
                              <a:ln w="6350">
                                <a:noFill/>
                              </a:ln>
                              <a:effectLst/>
                            </wps:spPr>
                            <wps:txbx>
                              <w:txbxContent>
                                <w:p w14:paraId="0519EC7E">
                                  <w:pPr>
                                    <w:rPr>
                                      <w:spacing w:val="-18"/>
                                      <w:sz w:val="21"/>
                                      <w:szCs w:val="21"/>
                                    </w:rPr>
                                  </w:pPr>
                                  <w:r>
                                    <w:rPr>
                                      <w:rFonts w:hint="eastAsia"/>
                                      <w:spacing w:val="-18"/>
                                      <w:sz w:val="21"/>
                                      <w:szCs w:val="21"/>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6" o:spid="_x0000_s1026" o:spt="202" type="#_x0000_t202" style="position:absolute;left:0pt;margin-left:3.45pt;margin-top:35.25pt;height:25.1pt;width:72.65pt;rotation:949124f;z-index:251676672;mso-width-relative:page;mso-height-relative:page;" filled="f" stroked="f" coordsize="21600,21600" o:gfxdata="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qfDcPYAAAACAEAAA8AAAAA&#10;AAAAAQAgAAAAIgAAAGRycy9kb3ducmV2LnhtbFBLAQIUABQAAAAIAIdO4kCrusjhTQIAAIQEAAAO&#10;AAAAAAAAAAEAIAAAACcBAABkcnMvZTJvRG9jLnhtbFBLBQYAAAAABgAGAFkBAADmBQAAAAA=&#10;">
                      <v:fill on="f" focussize="0,0"/>
                      <v:stroke on="f" weight="0.5pt"/>
                      <v:imagedata o:title=""/>
                      <o:lock v:ext="edit" aspectratio="f"/>
                      <v:textbox>
                        <w:txbxContent>
                          <w:p w14:paraId="0519EC7E">
                            <w:pPr>
                              <w:rPr>
                                <w:spacing w:val="-18"/>
                                <w:sz w:val="21"/>
                                <w:szCs w:val="21"/>
                              </w:rPr>
                            </w:pPr>
                            <w:r>
                              <w:rPr>
                                <w:rFonts w:hint="eastAsia"/>
                                <w:spacing w:val="-18"/>
                                <w:sz w:val="21"/>
                                <w:szCs w:val="21"/>
                              </w:rPr>
                              <w:t>敏感程度</w:t>
                            </w:r>
                          </w:p>
                        </w:txbxContent>
                      </v:textbox>
                    </v:shape>
                  </w:pict>
                </mc:Fallback>
              </mc:AlternateContent>
            </w:r>
          </w:p>
        </w:tc>
        <w:tc>
          <w:tcPr>
            <w:tcW w:w="1152" w:type="pct"/>
            <w:gridSpan w:val="3"/>
            <w:tcBorders>
              <w:tl2br w:val="nil"/>
              <w:tr2bl w:val="nil"/>
            </w:tcBorders>
            <w:shd w:val="clear" w:color="auto" w:fill="auto"/>
            <w:vAlign w:val="center"/>
          </w:tcPr>
          <w:p w14:paraId="6BA0BD63">
            <w:pPr>
              <w:adjustRightInd w:val="0"/>
              <w:snapToGrid w:val="0"/>
              <w:spacing w:line="320" w:lineRule="exact"/>
              <w:jc w:val="center"/>
              <w:rPr>
                <w:rFonts w:ascii="Times New Roman"/>
                <w:b/>
                <w:bCs/>
                <w:sz w:val="21"/>
                <w:szCs w:val="21"/>
              </w:rPr>
            </w:pPr>
            <w:r>
              <w:rPr>
                <w:rFonts w:ascii="Times New Roman"/>
                <w:b/>
                <w:bCs/>
                <w:sz w:val="21"/>
                <w:szCs w:val="21"/>
              </w:rPr>
              <w:t>Ⅰ类</w:t>
            </w:r>
          </w:p>
        </w:tc>
        <w:tc>
          <w:tcPr>
            <w:tcW w:w="1210" w:type="pct"/>
            <w:gridSpan w:val="3"/>
            <w:tcBorders>
              <w:tl2br w:val="nil"/>
              <w:tr2bl w:val="nil"/>
            </w:tcBorders>
            <w:shd w:val="clear" w:color="auto" w:fill="auto"/>
            <w:vAlign w:val="center"/>
          </w:tcPr>
          <w:p w14:paraId="0DFEE7F6">
            <w:pPr>
              <w:adjustRightInd w:val="0"/>
              <w:snapToGrid w:val="0"/>
              <w:spacing w:line="320" w:lineRule="exact"/>
              <w:jc w:val="center"/>
              <w:rPr>
                <w:rFonts w:ascii="Times New Roman"/>
                <w:bCs/>
                <w:sz w:val="21"/>
                <w:szCs w:val="21"/>
              </w:rPr>
            </w:pPr>
            <w:r>
              <w:rPr>
                <w:rFonts w:ascii="Times New Roman"/>
                <w:bCs/>
                <w:sz w:val="21"/>
                <w:szCs w:val="21"/>
              </w:rPr>
              <w:t>Ⅱ类</w:t>
            </w:r>
          </w:p>
        </w:tc>
        <w:tc>
          <w:tcPr>
            <w:tcW w:w="1396" w:type="pct"/>
            <w:gridSpan w:val="3"/>
            <w:tcBorders>
              <w:tl2br w:val="nil"/>
              <w:tr2bl w:val="nil"/>
            </w:tcBorders>
            <w:shd w:val="clear" w:color="auto" w:fill="auto"/>
            <w:vAlign w:val="center"/>
          </w:tcPr>
          <w:p w14:paraId="54438BFF">
            <w:pPr>
              <w:adjustRightInd w:val="0"/>
              <w:snapToGrid w:val="0"/>
              <w:spacing w:line="320" w:lineRule="exact"/>
              <w:jc w:val="center"/>
              <w:rPr>
                <w:rFonts w:ascii="Times New Roman"/>
                <w:bCs/>
                <w:sz w:val="21"/>
                <w:szCs w:val="21"/>
              </w:rPr>
            </w:pPr>
            <w:r>
              <w:rPr>
                <w:rFonts w:ascii="Times New Roman"/>
                <w:bCs/>
                <w:sz w:val="21"/>
                <w:szCs w:val="21"/>
              </w:rPr>
              <w:t>Ⅲ类</w:t>
            </w:r>
          </w:p>
        </w:tc>
      </w:tr>
      <w:tr w14:paraId="51C9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240" w:type="pct"/>
            <w:vMerge w:val="continue"/>
            <w:tcBorders>
              <w:tl2br w:val="nil"/>
              <w:tr2bl w:val="nil"/>
            </w:tcBorders>
            <w:shd w:val="clear" w:color="auto" w:fill="auto"/>
            <w:vAlign w:val="center"/>
          </w:tcPr>
          <w:p w14:paraId="6C44B3DD">
            <w:pPr>
              <w:adjustRightInd w:val="0"/>
              <w:snapToGrid w:val="0"/>
              <w:spacing w:line="320" w:lineRule="exact"/>
              <w:jc w:val="center"/>
              <w:rPr>
                <w:rFonts w:ascii="Times New Roman"/>
                <w:bCs/>
                <w:sz w:val="21"/>
                <w:szCs w:val="21"/>
              </w:rPr>
            </w:pPr>
          </w:p>
        </w:tc>
        <w:tc>
          <w:tcPr>
            <w:tcW w:w="416" w:type="pct"/>
            <w:tcBorders>
              <w:tl2br w:val="nil"/>
              <w:tr2bl w:val="nil"/>
            </w:tcBorders>
            <w:shd w:val="clear" w:color="auto" w:fill="auto"/>
            <w:vAlign w:val="center"/>
          </w:tcPr>
          <w:p w14:paraId="6546B950">
            <w:pPr>
              <w:adjustRightInd w:val="0"/>
              <w:snapToGrid w:val="0"/>
              <w:spacing w:line="320" w:lineRule="exact"/>
              <w:jc w:val="center"/>
              <w:rPr>
                <w:rFonts w:ascii="Times New Roman"/>
                <w:bCs/>
                <w:sz w:val="21"/>
                <w:szCs w:val="21"/>
              </w:rPr>
            </w:pPr>
            <w:r>
              <w:rPr>
                <w:rFonts w:ascii="Times New Roman"/>
                <w:bCs/>
                <w:sz w:val="21"/>
                <w:szCs w:val="21"/>
              </w:rPr>
              <w:t>大</w:t>
            </w:r>
          </w:p>
        </w:tc>
        <w:tc>
          <w:tcPr>
            <w:tcW w:w="348" w:type="pct"/>
            <w:tcBorders>
              <w:tl2br w:val="nil"/>
              <w:tr2bl w:val="nil"/>
            </w:tcBorders>
            <w:shd w:val="clear" w:color="auto" w:fill="auto"/>
            <w:vAlign w:val="center"/>
          </w:tcPr>
          <w:p w14:paraId="3E5B0D06">
            <w:pPr>
              <w:adjustRightInd w:val="0"/>
              <w:snapToGrid w:val="0"/>
              <w:spacing w:line="320" w:lineRule="exact"/>
              <w:jc w:val="center"/>
              <w:rPr>
                <w:rFonts w:ascii="Times New Roman"/>
                <w:bCs/>
                <w:sz w:val="21"/>
                <w:szCs w:val="21"/>
              </w:rPr>
            </w:pPr>
            <w:r>
              <w:rPr>
                <w:rFonts w:ascii="Times New Roman"/>
                <w:bCs/>
                <w:sz w:val="21"/>
                <w:szCs w:val="21"/>
              </w:rPr>
              <w:t>中</w:t>
            </w:r>
          </w:p>
        </w:tc>
        <w:tc>
          <w:tcPr>
            <w:tcW w:w="387" w:type="pct"/>
            <w:tcBorders>
              <w:tl2br w:val="nil"/>
              <w:tr2bl w:val="nil"/>
            </w:tcBorders>
            <w:shd w:val="clear" w:color="auto" w:fill="auto"/>
            <w:vAlign w:val="center"/>
          </w:tcPr>
          <w:p w14:paraId="2DF3566A">
            <w:pPr>
              <w:adjustRightInd w:val="0"/>
              <w:snapToGrid w:val="0"/>
              <w:spacing w:line="320" w:lineRule="exact"/>
              <w:jc w:val="center"/>
              <w:rPr>
                <w:rFonts w:ascii="Times New Roman"/>
                <w:bCs/>
                <w:sz w:val="21"/>
                <w:szCs w:val="21"/>
              </w:rPr>
            </w:pPr>
            <w:r>
              <w:rPr>
                <w:rFonts w:ascii="Times New Roman"/>
                <w:bCs/>
                <w:sz w:val="21"/>
                <w:szCs w:val="21"/>
              </w:rPr>
              <w:t>小</w:t>
            </w:r>
          </w:p>
        </w:tc>
        <w:tc>
          <w:tcPr>
            <w:tcW w:w="330" w:type="pct"/>
            <w:tcBorders>
              <w:tl2br w:val="nil"/>
              <w:tr2bl w:val="nil"/>
            </w:tcBorders>
            <w:shd w:val="clear" w:color="auto" w:fill="auto"/>
            <w:vAlign w:val="center"/>
          </w:tcPr>
          <w:p w14:paraId="536A76D7">
            <w:pPr>
              <w:adjustRightInd w:val="0"/>
              <w:snapToGrid w:val="0"/>
              <w:spacing w:line="320" w:lineRule="exact"/>
              <w:jc w:val="center"/>
              <w:rPr>
                <w:rFonts w:ascii="Times New Roman"/>
                <w:bCs/>
                <w:sz w:val="21"/>
                <w:szCs w:val="21"/>
              </w:rPr>
            </w:pPr>
            <w:r>
              <w:rPr>
                <w:rFonts w:ascii="Times New Roman"/>
                <w:bCs/>
                <w:sz w:val="21"/>
                <w:szCs w:val="21"/>
              </w:rPr>
              <w:t>大</w:t>
            </w:r>
          </w:p>
        </w:tc>
        <w:tc>
          <w:tcPr>
            <w:tcW w:w="396" w:type="pct"/>
            <w:tcBorders>
              <w:tl2br w:val="nil"/>
              <w:tr2bl w:val="nil"/>
            </w:tcBorders>
            <w:shd w:val="clear" w:color="auto" w:fill="auto"/>
            <w:vAlign w:val="center"/>
          </w:tcPr>
          <w:p w14:paraId="187858D6">
            <w:pPr>
              <w:adjustRightInd w:val="0"/>
              <w:snapToGrid w:val="0"/>
              <w:spacing w:line="320" w:lineRule="exact"/>
              <w:jc w:val="center"/>
              <w:rPr>
                <w:rFonts w:ascii="Times New Roman"/>
                <w:bCs/>
                <w:sz w:val="21"/>
                <w:szCs w:val="21"/>
              </w:rPr>
            </w:pPr>
            <w:r>
              <w:rPr>
                <w:rFonts w:ascii="Times New Roman"/>
                <w:bCs/>
                <w:sz w:val="21"/>
                <w:szCs w:val="21"/>
              </w:rPr>
              <w:t>中</w:t>
            </w:r>
          </w:p>
        </w:tc>
        <w:tc>
          <w:tcPr>
            <w:tcW w:w="483" w:type="pct"/>
            <w:tcBorders>
              <w:tl2br w:val="nil"/>
              <w:tr2bl w:val="nil"/>
            </w:tcBorders>
            <w:shd w:val="clear" w:color="auto" w:fill="auto"/>
            <w:vAlign w:val="center"/>
          </w:tcPr>
          <w:p w14:paraId="73240275">
            <w:pPr>
              <w:adjustRightInd w:val="0"/>
              <w:snapToGrid w:val="0"/>
              <w:spacing w:line="320" w:lineRule="exact"/>
              <w:jc w:val="center"/>
              <w:rPr>
                <w:rFonts w:ascii="Times New Roman"/>
                <w:bCs/>
                <w:sz w:val="21"/>
                <w:szCs w:val="21"/>
              </w:rPr>
            </w:pPr>
            <w:r>
              <w:rPr>
                <w:rFonts w:ascii="Times New Roman"/>
                <w:bCs/>
                <w:sz w:val="21"/>
                <w:szCs w:val="21"/>
              </w:rPr>
              <w:t>小</w:t>
            </w:r>
          </w:p>
        </w:tc>
        <w:tc>
          <w:tcPr>
            <w:tcW w:w="449" w:type="pct"/>
            <w:tcBorders>
              <w:tl2br w:val="nil"/>
              <w:tr2bl w:val="nil"/>
            </w:tcBorders>
            <w:shd w:val="clear" w:color="auto" w:fill="auto"/>
            <w:vAlign w:val="center"/>
          </w:tcPr>
          <w:p w14:paraId="268B2B73">
            <w:pPr>
              <w:adjustRightInd w:val="0"/>
              <w:snapToGrid w:val="0"/>
              <w:spacing w:line="320" w:lineRule="exact"/>
              <w:jc w:val="center"/>
              <w:rPr>
                <w:rFonts w:ascii="Times New Roman"/>
                <w:bCs/>
                <w:sz w:val="21"/>
                <w:szCs w:val="21"/>
              </w:rPr>
            </w:pPr>
            <w:r>
              <w:rPr>
                <w:rFonts w:ascii="Times New Roman"/>
                <w:bCs/>
                <w:sz w:val="21"/>
                <w:szCs w:val="21"/>
              </w:rPr>
              <w:t>大</w:t>
            </w:r>
          </w:p>
        </w:tc>
        <w:tc>
          <w:tcPr>
            <w:tcW w:w="458" w:type="pct"/>
            <w:tcBorders>
              <w:tl2br w:val="nil"/>
              <w:tr2bl w:val="nil"/>
            </w:tcBorders>
            <w:shd w:val="clear" w:color="auto" w:fill="auto"/>
            <w:vAlign w:val="center"/>
          </w:tcPr>
          <w:p w14:paraId="2F50F6B0">
            <w:pPr>
              <w:adjustRightInd w:val="0"/>
              <w:snapToGrid w:val="0"/>
              <w:spacing w:line="320" w:lineRule="exact"/>
              <w:jc w:val="center"/>
              <w:rPr>
                <w:rFonts w:ascii="Times New Roman"/>
                <w:bCs/>
                <w:sz w:val="21"/>
                <w:szCs w:val="21"/>
              </w:rPr>
            </w:pPr>
            <w:r>
              <w:rPr>
                <w:rFonts w:ascii="Times New Roman"/>
                <w:bCs/>
                <w:sz w:val="21"/>
                <w:szCs w:val="21"/>
              </w:rPr>
              <w:t>中</w:t>
            </w:r>
          </w:p>
        </w:tc>
        <w:tc>
          <w:tcPr>
            <w:tcW w:w="489" w:type="pct"/>
            <w:tcBorders>
              <w:tl2br w:val="nil"/>
              <w:tr2bl w:val="nil"/>
            </w:tcBorders>
            <w:shd w:val="clear" w:color="auto" w:fill="auto"/>
            <w:vAlign w:val="center"/>
          </w:tcPr>
          <w:p w14:paraId="48EFD2D7">
            <w:pPr>
              <w:adjustRightInd w:val="0"/>
              <w:snapToGrid w:val="0"/>
              <w:spacing w:line="320" w:lineRule="exact"/>
              <w:jc w:val="center"/>
              <w:rPr>
                <w:rFonts w:ascii="Times New Roman"/>
                <w:bCs/>
                <w:sz w:val="21"/>
                <w:szCs w:val="21"/>
              </w:rPr>
            </w:pPr>
            <w:r>
              <w:rPr>
                <w:rFonts w:ascii="Times New Roman"/>
                <w:bCs/>
                <w:sz w:val="21"/>
                <w:szCs w:val="21"/>
              </w:rPr>
              <w:t>小</w:t>
            </w:r>
          </w:p>
        </w:tc>
      </w:tr>
      <w:tr w14:paraId="2591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0" w:type="pct"/>
            <w:tcBorders>
              <w:tl2br w:val="nil"/>
              <w:tr2bl w:val="nil"/>
            </w:tcBorders>
            <w:shd w:val="clear" w:color="auto" w:fill="auto"/>
            <w:vAlign w:val="center"/>
          </w:tcPr>
          <w:p w14:paraId="3CA50FD9">
            <w:pPr>
              <w:adjustRightInd w:val="0"/>
              <w:snapToGrid w:val="0"/>
              <w:spacing w:line="320" w:lineRule="exact"/>
              <w:jc w:val="center"/>
              <w:rPr>
                <w:rFonts w:ascii="Times New Roman"/>
                <w:bCs/>
                <w:sz w:val="21"/>
                <w:szCs w:val="21"/>
              </w:rPr>
            </w:pPr>
            <w:r>
              <w:rPr>
                <w:rFonts w:ascii="Times New Roman"/>
                <w:bCs/>
                <w:sz w:val="21"/>
                <w:szCs w:val="21"/>
              </w:rPr>
              <w:t>敏感</w:t>
            </w:r>
          </w:p>
        </w:tc>
        <w:tc>
          <w:tcPr>
            <w:tcW w:w="416" w:type="pct"/>
            <w:tcBorders>
              <w:tl2br w:val="nil"/>
              <w:tr2bl w:val="nil"/>
            </w:tcBorders>
            <w:shd w:val="clear" w:color="auto" w:fill="auto"/>
            <w:vAlign w:val="center"/>
          </w:tcPr>
          <w:p w14:paraId="29CEB7F2">
            <w:pPr>
              <w:adjustRightInd w:val="0"/>
              <w:snapToGrid w:val="0"/>
              <w:spacing w:line="320" w:lineRule="exact"/>
              <w:jc w:val="center"/>
              <w:rPr>
                <w:rFonts w:ascii="Times New Roman"/>
                <w:bCs/>
                <w:sz w:val="21"/>
                <w:szCs w:val="21"/>
              </w:rPr>
            </w:pPr>
            <w:r>
              <w:rPr>
                <w:rFonts w:ascii="Times New Roman"/>
                <w:bCs/>
                <w:sz w:val="21"/>
                <w:szCs w:val="21"/>
              </w:rPr>
              <w:t>一级</w:t>
            </w:r>
          </w:p>
        </w:tc>
        <w:tc>
          <w:tcPr>
            <w:tcW w:w="348" w:type="pct"/>
            <w:tcBorders>
              <w:tl2br w:val="nil"/>
              <w:tr2bl w:val="nil"/>
            </w:tcBorders>
            <w:shd w:val="clear" w:color="auto" w:fill="auto"/>
            <w:vAlign w:val="center"/>
          </w:tcPr>
          <w:p w14:paraId="17BF5CB9">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一级</w:t>
            </w:r>
          </w:p>
        </w:tc>
        <w:tc>
          <w:tcPr>
            <w:tcW w:w="387" w:type="pct"/>
            <w:tcBorders>
              <w:tl2br w:val="nil"/>
              <w:tr2bl w:val="nil"/>
            </w:tcBorders>
            <w:shd w:val="clear" w:color="auto" w:fill="auto"/>
            <w:vAlign w:val="center"/>
          </w:tcPr>
          <w:p w14:paraId="57E157A8">
            <w:pPr>
              <w:adjustRightInd w:val="0"/>
              <w:snapToGrid w:val="0"/>
              <w:spacing w:line="320" w:lineRule="exact"/>
              <w:jc w:val="center"/>
              <w:rPr>
                <w:rFonts w:ascii="Times New Roman"/>
                <w:bCs/>
                <w:sz w:val="21"/>
                <w:szCs w:val="21"/>
              </w:rPr>
            </w:pPr>
            <w:r>
              <w:rPr>
                <w:rFonts w:ascii="Times New Roman"/>
                <w:bCs/>
                <w:sz w:val="21"/>
                <w:szCs w:val="21"/>
              </w:rPr>
              <w:t>一级</w:t>
            </w:r>
          </w:p>
        </w:tc>
        <w:tc>
          <w:tcPr>
            <w:tcW w:w="330" w:type="pct"/>
            <w:tcBorders>
              <w:tl2br w:val="nil"/>
              <w:tr2bl w:val="nil"/>
            </w:tcBorders>
            <w:shd w:val="clear" w:color="auto" w:fill="auto"/>
            <w:vAlign w:val="center"/>
          </w:tcPr>
          <w:p w14:paraId="7B04476F">
            <w:pPr>
              <w:adjustRightInd w:val="0"/>
              <w:snapToGrid w:val="0"/>
              <w:spacing w:line="320" w:lineRule="exact"/>
              <w:jc w:val="center"/>
              <w:rPr>
                <w:rFonts w:ascii="Times New Roman"/>
                <w:bCs/>
                <w:sz w:val="21"/>
                <w:szCs w:val="21"/>
              </w:rPr>
            </w:pPr>
            <w:r>
              <w:rPr>
                <w:rFonts w:ascii="Times New Roman"/>
                <w:bCs/>
                <w:sz w:val="21"/>
                <w:szCs w:val="21"/>
              </w:rPr>
              <w:t>二级</w:t>
            </w:r>
          </w:p>
        </w:tc>
        <w:tc>
          <w:tcPr>
            <w:tcW w:w="396" w:type="pct"/>
            <w:tcBorders>
              <w:tl2br w:val="nil"/>
              <w:tr2bl w:val="nil"/>
            </w:tcBorders>
            <w:shd w:val="clear" w:color="auto" w:fill="auto"/>
            <w:vAlign w:val="center"/>
          </w:tcPr>
          <w:p w14:paraId="4A0E2D20">
            <w:pPr>
              <w:adjustRightInd w:val="0"/>
              <w:snapToGrid w:val="0"/>
              <w:spacing w:line="320" w:lineRule="exact"/>
              <w:jc w:val="center"/>
              <w:rPr>
                <w:rFonts w:ascii="Times New Roman"/>
                <w:bCs/>
                <w:sz w:val="21"/>
                <w:szCs w:val="21"/>
              </w:rPr>
            </w:pPr>
            <w:r>
              <w:rPr>
                <w:rFonts w:ascii="Times New Roman"/>
                <w:bCs/>
                <w:sz w:val="21"/>
                <w:szCs w:val="21"/>
              </w:rPr>
              <w:t>二级</w:t>
            </w:r>
          </w:p>
        </w:tc>
        <w:tc>
          <w:tcPr>
            <w:tcW w:w="483" w:type="pct"/>
            <w:tcBorders>
              <w:tl2br w:val="nil"/>
              <w:tr2bl w:val="nil"/>
            </w:tcBorders>
            <w:shd w:val="clear" w:color="auto" w:fill="auto"/>
            <w:vAlign w:val="center"/>
          </w:tcPr>
          <w:p w14:paraId="2BA27BBF">
            <w:pPr>
              <w:adjustRightInd w:val="0"/>
              <w:snapToGrid w:val="0"/>
              <w:spacing w:line="320" w:lineRule="exact"/>
              <w:jc w:val="center"/>
              <w:rPr>
                <w:rFonts w:ascii="Times New Roman"/>
                <w:bCs/>
                <w:sz w:val="21"/>
                <w:szCs w:val="21"/>
              </w:rPr>
            </w:pPr>
            <w:r>
              <w:rPr>
                <w:rFonts w:ascii="Times New Roman"/>
                <w:bCs/>
                <w:sz w:val="21"/>
                <w:szCs w:val="21"/>
              </w:rPr>
              <w:t>二级</w:t>
            </w:r>
          </w:p>
        </w:tc>
        <w:tc>
          <w:tcPr>
            <w:tcW w:w="449" w:type="pct"/>
            <w:tcBorders>
              <w:tl2br w:val="nil"/>
              <w:tr2bl w:val="nil"/>
            </w:tcBorders>
            <w:shd w:val="clear" w:color="auto" w:fill="auto"/>
            <w:vAlign w:val="center"/>
          </w:tcPr>
          <w:p w14:paraId="2ABB1740">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三级</w:t>
            </w:r>
          </w:p>
        </w:tc>
        <w:tc>
          <w:tcPr>
            <w:tcW w:w="458" w:type="pct"/>
            <w:tcBorders>
              <w:tl2br w:val="nil"/>
              <w:tr2bl w:val="nil"/>
            </w:tcBorders>
            <w:shd w:val="clear" w:color="auto" w:fill="auto"/>
            <w:vAlign w:val="center"/>
          </w:tcPr>
          <w:p w14:paraId="4A983948">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三级</w:t>
            </w:r>
          </w:p>
        </w:tc>
        <w:tc>
          <w:tcPr>
            <w:tcW w:w="489" w:type="pct"/>
            <w:tcBorders>
              <w:tl2br w:val="nil"/>
              <w:tr2bl w:val="nil"/>
            </w:tcBorders>
            <w:shd w:val="clear" w:color="auto" w:fill="auto"/>
            <w:vAlign w:val="center"/>
          </w:tcPr>
          <w:p w14:paraId="2834CD30">
            <w:pPr>
              <w:adjustRightInd w:val="0"/>
              <w:snapToGrid w:val="0"/>
              <w:spacing w:line="320" w:lineRule="exact"/>
              <w:jc w:val="center"/>
              <w:rPr>
                <w:rFonts w:ascii="Times New Roman"/>
                <w:bCs/>
                <w:sz w:val="21"/>
                <w:szCs w:val="21"/>
              </w:rPr>
            </w:pPr>
            <w:r>
              <w:rPr>
                <w:rFonts w:ascii="Times New Roman"/>
                <w:bCs/>
                <w:sz w:val="21"/>
                <w:szCs w:val="21"/>
              </w:rPr>
              <w:t>三级</w:t>
            </w:r>
          </w:p>
        </w:tc>
      </w:tr>
      <w:tr w14:paraId="772C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0" w:type="pct"/>
            <w:tcBorders>
              <w:tl2br w:val="nil"/>
              <w:tr2bl w:val="nil"/>
            </w:tcBorders>
            <w:shd w:val="clear" w:color="auto" w:fill="auto"/>
            <w:vAlign w:val="center"/>
          </w:tcPr>
          <w:p w14:paraId="150A3754">
            <w:pPr>
              <w:adjustRightInd w:val="0"/>
              <w:snapToGrid w:val="0"/>
              <w:spacing w:line="320" w:lineRule="exact"/>
              <w:jc w:val="center"/>
              <w:rPr>
                <w:rFonts w:ascii="Times New Roman"/>
                <w:bCs/>
                <w:sz w:val="21"/>
                <w:szCs w:val="21"/>
              </w:rPr>
            </w:pPr>
            <w:r>
              <w:rPr>
                <w:rFonts w:ascii="Times New Roman"/>
                <w:bCs/>
                <w:sz w:val="21"/>
                <w:szCs w:val="21"/>
              </w:rPr>
              <w:t>较敏感</w:t>
            </w:r>
          </w:p>
        </w:tc>
        <w:tc>
          <w:tcPr>
            <w:tcW w:w="416" w:type="pct"/>
            <w:tcBorders>
              <w:tl2br w:val="nil"/>
              <w:tr2bl w:val="nil"/>
            </w:tcBorders>
            <w:shd w:val="clear" w:color="auto" w:fill="auto"/>
            <w:vAlign w:val="center"/>
          </w:tcPr>
          <w:p w14:paraId="77EDCE35">
            <w:pPr>
              <w:adjustRightInd w:val="0"/>
              <w:snapToGrid w:val="0"/>
              <w:spacing w:line="320" w:lineRule="exact"/>
              <w:jc w:val="center"/>
              <w:rPr>
                <w:rFonts w:ascii="Times New Roman"/>
                <w:bCs/>
                <w:sz w:val="21"/>
                <w:szCs w:val="21"/>
              </w:rPr>
            </w:pPr>
            <w:r>
              <w:rPr>
                <w:rFonts w:ascii="Times New Roman"/>
                <w:bCs/>
                <w:sz w:val="21"/>
                <w:szCs w:val="21"/>
              </w:rPr>
              <w:t>一级</w:t>
            </w:r>
          </w:p>
        </w:tc>
        <w:tc>
          <w:tcPr>
            <w:tcW w:w="348" w:type="pct"/>
            <w:tcBorders>
              <w:tl2br w:val="nil"/>
              <w:tr2bl w:val="nil"/>
            </w:tcBorders>
            <w:shd w:val="clear" w:color="auto" w:fill="auto"/>
            <w:vAlign w:val="center"/>
          </w:tcPr>
          <w:p w14:paraId="21481735">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一级</w:t>
            </w:r>
          </w:p>
        </w:tc>
        <w:tc>
          <w:tcPr>
            <w:tcW w:w="387" w:type="pct"/>
            <w:tcBorders>
              <w:tl2br w:val="nil"/>
              <w:tr2bl w:val="nil"/>
            </w:tcBorders>
            <w:shd w:val="clear" w:color="auto" w:fill="auto"/>
            <w:vAlign w:val="center"/>
          </w:tcPr>
          <w:p w14:paraId="44F942E6">
            <w:pPr>
              <w:adjustRightInd w:val="0"/>
              <w:snapToGrid w:val="0"/>
              <w:spacing w:line="320" w:lineRule="exact"/>
              <w:jc w:val="center"/>
              <w:rPr>
                <w:rFonts w:ascii="Times New Roman"/>
                <w:bCs/>
                <w:sz w:val="21"/>
                <w:szCs w:val="21"/>
              </w:rPr>
            </w:pPr>
            <w:r>
              <w:rPr>
                <w:rFonts w:ascii="Times New Roman"/>
                <w:bCs/>
                <w:sz w:val="21"/>
                <w:szCs w:val="21"/>
              </w:rPr>
              <w:t>二级</w:t>
            </w:r>
          </w:p>
        </w:tc>
        <w:tc>
          <w:tcPr>
            <w:tcW w:w="330" w:type="pct"/>
            <w:tcBorders>
              <w:tl2br w:val="nil"/>
              <w:tr2bl w:val="nil"/>
            </w:tcBorders>
            <w:shd w:val="clear" w:color="auto" w:fill="auto"/>
            <w:vAlign w:val="center"/>
          </w:tcPr>
          <w:p w14:paraId="383F11C1">
            <w:pPr>
              <w:adjustRightInd w:val="0"/>
              <w:snapToGrid w:val="0"/>
              <w:spacing w:line="320" w:lineRule="exact"/>
              <w:jc w:val="center"/>
              <w:rPr>
                <w:rFonts w:ascii="Times New Roman"/>
                <w:bCs/>
                <w:sz w:val="21"/>
                <w:szCs w:val="21"/>
              </w:rPr>
            </w:pPr>
            <w:r>
              <w:rPr>
                <w:rFonts w:ascii="Times New Roman"/>
                <w:bCs/>
                <w:sz w:val="21"/>
                <w:szCs w:val="21"/>
              </w:rPr>
              <w:t>二级</w:t>
            </w:r>
          </w:p>
        </w:tc>
        <w:tc>
          <w:tcPr>
            <w:tcW w:w="396" w:type="pct"/>
            <w:tcBorders>
              <w:tl2br w:val="nil"/>
              <w:tr2bl w:val="nil"/>
            </w:tcBorders>
            <w:shd w:val="clear" w:color="auto" w:fill="auto"/>
            <w:vAlign w:val="center"/>
          </w:tcPr>
          <w:p w14:paraId="27F5E1F3">
            <w:pPr>
              <w:adjustRightInd w:val="0"/>
              <w:snapToGrid w:val="0"/>
              <w:spacing w:line="320" w:lineRule="exact"/>
              <w:jc w:val="center"/>
              <w:rPr>
                <w:rFonts w:ascii="Times New Roman"/>
                <w:bCs/>
                <w:sz w:val="21"/>
                <w:szCs w:val="21"/>
              </w:rPr>
            </w:pPr>
            <w:r>
              <w:rPr>
                <w:rFonts w:ascii="Times New Roman"/>
                <w:bCs/>
                <w:sz w:val="21"/>
                <w:szCs w:val="21"/>
              </w:rPr>
              <w:t>二级</w:t>
            </w:r>
          </w:p>
        </w:tc>
        <w:tc>
          <w:tcPr>
            <w:tcW w:w="483" w:type="pct"/>
            <w:tcBorders>
              <w:tl2br w:val="nil"/>
              <w:tr2bl w:val="nil"/>
            </w:tcBorders>
            <w:shd w:val="clear" w:color="auto" w:fill="auto"/>
            <w:vAlign w:val="center"/>
          </w:tcPr>
          <w:p w14:paraId="6622D3E5">
            <w:pPr>
              <w:adjustRightInd w:val="0"/>
              <w:snapToGrid w:val="0"/>
              <w:spacing w:line="320" w:lineRule="exact"/>
              <w:jc w:val="center"/>
              <w:rPr>
                <w:rFonts w:ascii="Times New Roman"/>
                <w:bCs/>
                <w:sz w:val="21"/>
                <w:szCs w:val="21"/>
              </w:rPr>
            </w:pPr>
            <w:r>
              <w:rPr>
                <w:rFonts w:ascii="Times New Roman"/>
                <w:bCs/>
                <w:sz w:val="21"/>
                <w:szCs w:val="21"/>
              </w:rPr>
              <w:t>三级</w:t>
            </w:r>
          </w:p>
        </w:tc>
        <w:tc>
          <w:tcPr>
            <w:tcW w:w="449" w:type="pct"/>
            <w:tcBorders>
              <w:tl2br w:val="nil"/>
              <w:tr2bl w:val="nil"/>
            </w:tcBorders>
            <w:shd w:val="clear" w:color="auto" w:fill="auto"/>
            <w:vAlign w:val="center"/>
          </w:tcPr>
          <w:p w14:paraId="6C850A91">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三级</w:t>
            </w:r>
          </w:p>
        </w:tc>
        <w:tc>
          <w:tcPr>
            <w:tcW w:w="458" w:type="pct"/>
            <w:tcBorders>
              <w:tl2br w:val="nil"/>
              <w:tr2bl w:val="nil"/>
            </w:tcBorders>
            <w:shd w:val="clear" w:color="auto" w:fill="auto"/>
            <w:vAlign w:val="center"/>
          </w:tcPr>
          <w:p w14:paraId="15483F44">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三级</w:t>
            </w:r>
          </w:p>
        </w:tc>
        <w:tc>
          <w:tcPr>
            <w:tcW w:w="489" w:type="pct"/>
            <w:tcBorders>
              <w:tl2br w:val="nil"/>
              <w:tr2bl w:val="nil"/>
            </w:tcBorders>
            <w:shd w:val="clear" w:color="auto" w:fill="auto"/>
            <w:vAlign w:val="center"/>
          </w:tcPr>
          <w:p w14:paraId="1B066961">
            <w:pPr>
              <w:adjustRightInd w:val="0"/>
              <w:snapToGrid w:val="0"/>
              <w:spacing w:line="320" w:lineRule="exact"/>
              <w:jc w:val="center"/>
              <w:rPr>
                <w:rFonts w:ascii="Times New Roman"/>
                <w:bCs/>
                <w:sz w:val="21"/>
                <w:szCs w:val="21"/>
              </w:rPr>
            </w:pPr>
            <w:r>
              <w:rPr>
                <w:rFonts w:ascii="Times New Roman"/>
                <w:bCs/>
                <w:sz w:val="21"/>
                <w:szCs w:val="21"/>
              </w:rPr>
              <w:t>/</w:t>
            </w:r>
          </w:p>
        </w:tc>
      </w:tr>
      <w:tr w14:paraId="7DF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1240" w:type="pct"/>
            <w:tcBorders>
              <w:tl2br w:val="nil"/>
              <w:tr2bl w:val="nil"/>
            </w:tcBorders>
            <w:shd w:val="clear" w:color="auto" w:fill="auto"/>
            <w:vAlign w:val="center"/>
          </w:tcPr>
          <w:p w14:paraId="619B1492">
            <w:pPr>
              <w:adjustRightInd w:val="0"/>
              <w:snapToGrid w:val="0"/>
              <w:spacing w:line="320" w:lineRule="exact"/>
              <w:jc w:val="center"/>
              <w:rPr>
                <w:rFonts w:ascii="Times New Roman"/>
                <w:b/>
                <w:bCs/>
                <w:sz w:val="21"/>
                <w:szCs w:val="21"/>
              </w:rPr>
            </w:pPr>
            <w:r>
              <w:rPr>
                <w:rFonts w:ascii="Times New Roman"/>
                <w:b/>
                <w:bCs/>
                <w:sz w:val="21"/>
                <w:szCs w:val="21"/>
              </w:rPr>
              <w:t>不敏感</w:t>
            </w:r>
          </w:p>
        </w:tc>
        <w:tc>
          <w:tcPr>
            <w:tcW w:w="416" w:type="pct"/>
            <w:tcBorders>
              <w:tl2br w:val="nil"/>
              <w:tr2bl w:val="nil"/>
            </w:tcBorders>
            <w:shd w:val="clear" w:color="auto" w:fill="auto"/>
            <w:vAlign w:val="center"/>
          </w:tcPr>
          <w:p w14:paraId="7C518649">
            <w:pPr>
              <w:adjustRightInd w:val="0"/>
              <w:snapToGrid w:val="0"/>
              <w:spacing w:line="320" w:lineRule="exact"/>
              <w:jc w:val="center"/>
              <w:rPr>
                <w:rFonts w:ascii="Times New Roman"/>
                <w:bCs/>
                <w:sz w:val="21"/>
                <w:szCs w:val="21"/>
              </w:rPr>
            </w:pPr>
            <w:r>
              <w:rPr>
                <w:rFonts w:ascii="Times New Roman"/>
                <w:bCs/>
                <w:sz w:val="21"/>
                <w:szCs w:val="21"/>
              </w:rPr>
              <w:t>一级</w:t>
            </w:r>
          </w:p>
        </w:tc>
        <w:tc>
          <w:tcPr>
            <w:tcW w:w="348" w:type="pct"/>
            <w:tcBorders>
              <w:tl2br w:val="nil"/>
              <w:tr2bl w:val="nil"/>
            </w:tcBorders>
            <w:shd w:val="clear" w:color="auto" w:fill="auto"/>
            <w:vAlign w:val="center"/>
          </w:tcPr>
          <w:p w14:paraId="3E5634E0">
            <w:pPr>
              <w:adjustRightInd w:val="0"/>
              <w:snapToGrid w:val="0"/>
              <w:spacing w:line="320" w:lineRule="exact"/>
              <w:jc w:val="center"/>
              <w:rPr>
                <w:rFonts w:ascii="Times New Roman"/>
                <w:bCs/>
                <w:sz w:val="21"/>
                <w:szCs w:val="21"/>
              </w:rPr>
            </w:pPr>
            <w:r>
              <w:rPr>
                <w:rFonts w:ascii="Times New Roman"/>
                <w:bCs/>
                <w:sz w:val="21"/>
                <w:szCs w:val="21"/>
              </w:rPr>
              <w:t>二级</w:t>
            </w:r>
          </w:p>
        </w:tc>
        <w:tc>
          <w:tcPr>
            <w:tcW w:w="387" w:type="pct"/>
            <w:tcBorders>
              <w:tl2br w:val="nil"/>
              <w:tr2bl w:val="nil"/>
            </w:tcBorders>
            <w:shd w:val="clear" w:color="auto" w:fill="auto"/>
            <w:vAlign w:val="center"/>
          </w:tcPr>
          <w:p w14:paraId="708B920F">
            <w:pPr>
              <w:adjustRightInd w:val="0"/>
              <w:snapToGrid w:val="0"/>
              <w:spacing w:line="320" w:lineRule="exact"/>
              <w:jc w:val="center"/>
              <w:rPr>
                <w:rFonts w:ascii="Times New Roman"/>
                <w:bCs/>
                <w:sz w:val="21"/>
                <w:szCs w:val="21"/>
              </w:rPr>
            </w:pPr>
            <w:r>
              <w:rPr>
                <w:rFonts w:ascii="Times New Roman"/>
                <w:bCs/>
                <w:sz w:val="21"/>
                <w:szCs w:val="21"/>
              </w:rPr>
              <w:t>二级</w:t>
            </w:r>
          </w:p>
        </w:tc>
        <w:tc>
          <w:tcPr>
            <w:tcW w:w="330" w:type="pct"/>
            <w:tcBorders>
              <w:tl2br w:val="nil"/>
              <w:tr2bl w:val="nil"/>
            </w:tcBorders>
            <w:shd w:val="clear" w:color="auto" w:fill="auto"/>
            <w:vAlign w:val="center"/>
          </w:tcPr>
          <w:p w14:paraId="282B225D">
            <w:pPr>
              <w:adjustRightInd w:val="0"/>
              <w:snapToGrid w:val="0"/>
              <w:spacing w:line="320" w:lineRule="exact"/>
              <w:jc w:val="center"/>
              <w:rPr>
                <w:rFonts w:ascii="Times New Roman"/>
                <w:bCs/>
                <w:sz w:val="21"/>
                <w:szCs w:val="21"/>
              </w:rPr>
            </w:pPr>
            <w:r>
              <w:rPr>
                <w:rFonts w:ascii="Times New Roman"/>
                <w:bCs/>
                <w:sz w:val="21"/>
                <w:szCs w:val="21"/>
              </w:rPr>
              <w:t>二级</w:t>
            </w:r>
          </w:p>
        </w:tc>
        <w:tc>
          <w:tcPr>
            <w:tcW w:w="396" w:type="pct"/>
            <w:tcBorders>
              <w:tl2br w:val="nil"/>
              <w:tr2bl w:val="nil"/>
            </w:tcBorders>
            <w:shd w:val="clear" w:color="auto" w:fill="auto"/>
            <w:vAlign w:val="center"/>
          </w:tcPr>
          <w:p w14:paraId="2CF80FDE">
            <w:pPr>
              <w:adjustRightInd w:val="0"/>
              <w:snapToGrid w:val="0"/>
              <w:spacing w:line="320" w:lineRule="exact"/>
              <w:jc w:val="center"/>
              <w:rPr>
                <w:rFonts w:ascii="Times New Roman"/>
                <w:bCs/>
                <w:sz w:val="21"/>
                <w:szCs w:val="21"/>
              </w:rPr>
            </w:pPr>
            <w:r>
              <w:rPr>
                <w:rFonts w:ascii="Times New Roman"/>
                <w:bCs/>
                <w:sz w:val="21"/>
                <w:szCs w:val="21"/>
              </w:rPr>
              <w:t>三级</w:t>
            </w:r>
          </w:p>
        </w:tc>
        <w:tc>
          <w:tcPr>
            <w:tcW w:w="483" w:type="pct"/>
            <w:tcBorders>
              <w:tl2br w:val="nil"/>
              <w:tr2bl w:val="nil"/>
            </w:tcBorders>
            <w:shd w:val="clear" w:color="auto" w:fill="auto"/>
            <w:vAlign w:val="center"/>
          </w:tcPr>
          <w:p w14:paraId="1594855C">
            <w:pPr>
              <w:adjustRightInd w:val="0"/>
              <w:snapToGrid w:val="0"/>
              <w:spacing w:line="320" w:lineRule="exact"/>
              <w:jc w:val="center"/>
              <w:rPr>
                <w:rFonts w:ascii="Times New Roman"/>
                <w:bCs/>
                <w:sz w:val="21"/>
                <w:szCs w:val="21"/>
              </w:rPr>
            </w:pPr>
            <w:r>
              <w:rPr>
                <w:rFonts w:ascii="Times New Roman"/>
                <w:bCs/>
                <w:sz w:val="21"/>
                <w:szCs w:val="21"/>
              </w:rPr>
              <w:t>三级</w:t>
            </w:r>
          </w:p>
        </w:tc>
        <w:tc>
          <w:tcPr>
            <w:tcW w:w="449" w:type="pct"/>
            <w:tcBorders>
              <w:tl2br w:val="nil"/>
              <w:tr2bl w:val="nil"/>
            </w:tcBorders>
            <w:shd w:val="clear" w:color="auto" w:fill="auto"/>
            <w:vAlign w:val="center"/>
          </w:tcPr>
          <w:p w14:paraId="0A1808C3">
            <w:pPr>
              <w:adjustRightInd w:val="0"/>
              <w:snapToGrid w:val="0"/>
              <w:spacing w:line="320" w:lineRule="exact"/>
              <w:jc w:val="center"/>
              <w:rPr>
                <w:rFonts w:ascii="Times New Roman"/>
                <w:bCs/>
                <w:snapToGrid w:val="0"/>
                <w:sz w:val="21"/>
                <w:szCs w:val="21"/>
              </w:rPr>
            </w:pPr>
            <w:r>
              <w:rPr>
                <w:rFonts w:ascii="Times New Roman"/>
                <w:bCs/>
                <w:snapToGrid w:val="0"/>
                <w:sz w:val="21"/>
                <w:szCs w:val="21"/>
              </w:rPr>
              <w:t>三级</w:t>
            </w:r>
          </w:p>
        </w:tc>
        <w:tc>
          <w:tcPr>
            <w:tcW w:w="458" w:type="pct"/>
            <w:tcBorders>
              <w:tl2br w:val="nil"/>
              <w:tr2bl w:val="nil"/>
            </w:tcBorders>
            <w:shd w:val="clear" w:color="auto" w:fill="auto"/>
            <w:vAlign w:val="center"/>
          </w:tcPr>
          <w:p w14:paraId="6AB1D78E">
            <w:pPr>
              <w:adjustRightInd w:val="0"/>
              <w:snapToGrid w:val="0"/>
              <w:spacing w:line="320" w:lineRule="exact"/>
              <w:jc w:val="center"/>
              <w:rPr>
                <w:rFonts w:ascii="Times New Roman"/>
                <w:bCs/>
                <w:sz w:val="21"/>
                <w:szCs w:val="21"/>
              </w:rPr>
            </w:pPr>
            <w:r>
              <w:rPr>
                <w:rFonts w:ascii="Times New Roman"/>
                <w:bCs/>
                <w:sz w:val="21"/>
                <w:szCs w:val="21"/>
              </w:rPr>
              <w:t>/</w:t>
            </w:r>
          </w:p>
        </w:tc>
        <w:tc>
          <w:tcPr>
            <w:tcW w:w="489" w:type="pct"/>
            <w:tcBorders>
              <w:tl2br w:val="nil"/>
              <w:tr2bl w:val="nil"/>
            </w:tcBorders>
            <w:shd w:val="clear" w:color="auto" w:fill="auto"/>
            <w:vAlign w:val="center"/>
          </w:tcPr>
          <w:p w14:paraId="7D9BE9C1">
            <w:pPr>
              <w:adjustRightInd w:val="0"/>
              <w:snapToGrid w:val="0"/>
              <w:spacing w:line="320" w:lineRule="exact"/>
              <w:jc w:val="center"/>
              <w:rPr>
                <w:rFonts w:ascii="Times New Roman"/>
                <w:bCs/>
                <w:sz w:val="21"/>
                <w:szCs w:val="21"/>
              </w:rPr>
            </w:pPr>
            <w:r>
              <w:rPr>
                <w:rFonts w:ascii="Times New Roman"/>
                <w:bCs/>
                <w:sz w:val="21"/>
                <w:szCs w:val="21"/>
              </w:rPr>
              <w:t>/</w:t>
            </w:r>
          </w:p>
        </w:tc>
      </w:tr>
    </w:tbl>
    <w:p w14:paraId="5B557F7A">
      <w:pPr>
        <w:spacing w:line="480" w:lineRule="exact"/>
        <w:ind w:firstLine="480" w:firstLineChars="200"/>
        <w:rPr>
          <w:rFonts w:ascii="Times New Roman"/>
          <w:snapToGrid w:val="0"/>
          <w:kern w:val="0"/>
          <w:sz w:val="24"/>
          <w:szCs w:val="24"/>
        </w:rPr>
      </w:pPr>
      <w:r>
        <w:rPr>
          <w:rFonts w:ascii="Times New Roman"/>
          <w:snapToGrid w:val="0"/>
          <w:kern w:val="0"/>
          <w:sz w:val="24"/>
          <w:szCs w:val="24"/>
        </w:rPr>
        <w:t>综上所述，</w:t>
      </w:r>
      <w:r>
        <w:rPr>
          <w:rFonts w:ascii="Times New Roman"/>
          <w:sz w:val="24"/>
          <w:szCs w:val="24"/>
        </w:rPr>
        <w:t>本项目属于Ⅰ类项目，占地规模为“中型”，项目周边土壤环境敏感程度为“不敏感”，确定本项目土壤环境影响评价等级为二级</w:t>
      </w:r>
      <w:r>
        <w:rPr>
          <w:rFonts w:ascii="Times New Roman"/>
          <w:snapToGrid w:val="0"/>
          <w:kern w:val="0"/>
          <w:sz w:val="24"/>
          <w:szCs w:val="24"/>
        </w:rPr>
        <w:t>。</w:t>
      </w:r>
    </w:p>
    <w:p w14:paraId="7A5A1C45">
      <w:pPr>
        <w:numPr>
          <w:ilvl w:val="0"/>
          <w:numId w:val="10"/>
        </w:numPr>
        <w:spacing w:line="480" w:lineRule="exact"/>
        <w:ind w:firstLine="480" w:firstLineChars="200"/>
        <w:rPr>
          <w:rFonts w:ascii="Times New Roman"/>
          <w:snapToGrid w:val="0"/>
          <w:kern w:val="0"/>
          <w:sz w:val="24"/>
          <w:szCs w:val="24"/>
        </w:rPr>
      </w:pPr>
      <w:r>
        <w:rPr>
          <w:rFonts w:ascii="Times New Roman"/>
          <w:snapToGrid w:val="0"/>
          <w:kern w:val="0"/>
          <w:sz w:val="24"/>
          <w:szCs w:val="24"/>
        </w:rPr>
        <w:t>评价范围</w:t>
      </w:r>
    </w:p>
    <w:p w14:paraId="291BFA16">
      <w:pPr>
        <w:spacing w:line="480" w:lineRule="exact"/>
        <w:ind w:firstLine="480" w:firstLineChars="200"/>
        <w:rPr>
          <w:rFonts w:ascii="Times New Roman"/>
          <w:sz w:val="24"/>
          <w:szCs w:val="24"/>
        </w:rPr>
      </w:pPr>
      <w:r>
        <w:rPr>
          <w:rFonts w:ascii="Times New Roman"/>
          <w:kern w:val="0"/>
          <w:sz w:val="24"/>
          <w:szCs w:val="24"/>
        </w:rPr>
        <w:t>根据《环境影响评价技术导则·土壤环境（试行）》（HJ964-2018），项目土壤环境评价范围为：</w:t>
      </w:r>
      <w:r>
        <w:rPr>
          <w:rFonts w:ascii="Times New Roman"/>
          <w:sz w:val="24"/>
          <w:szCs w:val="24"/>
        </w:rPr>
        <w:t>项目占地范围及占地范围外扩200m范围。</w:t>
      </w:r>
    </w:p>
    <w:p w14:paraId="51FC504F">
      <w:pPr>
        <w:spacing w:line="520" w:lineRule="exact"/>
        <w:outlineLvl w:val="2"/>
        <w:rPr>
          <w:rFonts w:ascii="Times New Roman"/>
          <w:b/>
          <w:sz w:val="28"/>
          <w:szCs w:val="28"/>
        </w:rPr>
      </w:pPr>
      <w:bookmarkStart w:id="75" w:name="_Toc508872101"/>
      <w:bookmarkStart w:id="76" w:name="_Toc474313787"/>
      <w:r>
        <w:rPr>
          <w:rFonts w:ascii="Times New Roman"/>
          <w:b/>
          <w:sz w:val="28"/>
          <w:szCs w:val="28"/>
        </w:rPr>
        <w:t>2.5.7评价等级及评价范围汇总</w:t>
      </w:r>
    </w:p>
    <w:p w14:paraId="03A7EB38">
      <w:pPr>
        <w:spacing w:line="480" w:lineRule="exact"/>
        <w:ind w:firstLine="480" w:firstLineChars="200"/>
        <w:rPr>
          <w:rFonts w:ascii="Times New Roman"/>
          <w:sz w:val="24"/>
          <w:szCs w:val="24"/>
        </w:rPr>
      </w:pPr>
      <w:r>
        <w:rPr>
          <w:rFonts w:ascii="Times New Roman"/>
          <w:sz w:val="24"/>
          <w:szCs w:val="24"/>
        </w:rPr>
        <w:t>根据本项目各环境要素确定的评价等级，结合区域环境特征，按“导则”中评价范围确定的相关规定，并综合本项目污染源排放特征，确定本评价各环境要素评价范围见表2.5</w:t>
      </w:r>
      <w:r>
        <w:rPr>
          <w:rFonts w:ascii="Times New Roman"/>
          <w:sz w:val="24"/>
          <w:szCs w:val="24"/>
        </w:rPr>
        <w:noBreakHyphen/>
      </w:r>
      <w:r>
        <w:rPr>
          <w:rFonts w:ascii="Times New Roman"/>
          <w:sz w:val="24"/>
          <w:szCs w:val="24"/>
        </w:rPr>
        <w:t>1</w:t>
      </w:r>
      <w:r>
        <w:rPr>
          <w:rFonts w:hint="eastAsia" w:ascii="Times New Roman"/>
          <w:sz w:val="24"/>
          <w:szCs w:val="24"/>
        </w:rPr>
        <w:t>3</w:t>
      </w:r>
      <w:r>
        <w:rPr>
          <w:rFonts w:ascii="Times New Roman"/>
          <w:sz w:val="24"/>
          <w:szCs w:val="24"/>
        </w:rPr>
        <w:t>。</w:t>
      </w:r>
    </w:p>
    <w:p w14:paraId="7558FAB8">
      <w:pPr>
        <w:spacing w:line="480" w:lineRule="exact"/>
        <w:ind w:firstLine="482" w:firstLineChars="200"/>
        <w:jc w:val="center"/>
        <w:rPr>
          <w:rFonts w:ascii="Times New Roman"/>
          <w:b/>
          <w:sz w:val="24"/>
          <w:szCs w:val="24"/>
        </w:rPr>
      </w:pPr>
      <w:bookmarkStart w:id="77" w:name="_Ref147085098"/>
      <w:r>
        <w:rPr>
          <w:rFonts w:ascii="Times New Roman"/>
          <w:b/>
          <w:sz w:val="24"/>
          <w:szCs w:val="24"/>
        </w:rPr>
        <w:t>表2.5</w:t>
      </w:r>
      <w:r>
        <w:rPr>
          <w:rFonts w:ascii="Times New Roman"/>
          <w:b/>
          <w:sz w:val="24"/>
          <w:szCs w:val="24"/>
        </w:rPr>
        <w:noBreakHyphen/>
      </w:r>
      <w:r>
        <w:rPr>
          <w:rFonts w:ascii="Times New Roman"/>
          <w:b/>
          <w:sz w:val="24"/>
          <w:szCs w:val="24"/>
        </w:rPr>
        <w:t>1</w:t>
      </w:r>
      <w:r>
        <w:rPr>
          <w:rFonts w:hint="eastAsia" w:ascii="Times New Roman"/>
          <w:b/>
          <w:sz w:val="24"/>
          <w:szCs w:val="24"/>
        </w:rPr>
        <w:t>3</w:t>
      </w:r>
      <w:bookmarkEnd w:id="77"/>
      <w:r>
        <w:rPr>
          <w:rFonts w:ascii="Times New Roman"/>
          <w:b/>
          <w:sz w:val="24"/>
          <w:szCs w:val="24"/>
          <w:lang w:val="zh-CN"/>
        </w:rPr>
        <w:t xml:space="preserve">  </w:t>
      </w:r>
      <w:r>
        <w:rPr>
          <w:rFonts w:ascii="Times New Roman"/>
          <w:b/>
          <w:sz w:val="24"/>
          <w:szCs w:val="24"/>
        </w:rPr>
        <w:t>各环境要素评价等级及评价范围一览表</w:t>
      </w:r>
    </w:p>
    <w:tbl>
      <w:tblPr>
        <w:tblStyle w:val="84"/>
        <w:tblW w:w="489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772"/>
        <w:gridCol w:w="1844"/>
        <w:gridCol w:w="1169"/>
        <w:gridCol w:w="4550"/>
      </w:tblGrid>
      <w:tr w14:paraId="4774FF4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03" w:hRule="atLeast"/>
          <w:jc w:val="center"/>
        </w:trPr>
        <w:tc>
          <w:tcPr>
            <w:tcW w:w="463" w:type="pct"/>
            <w:vAlign w:val="center"/>
          </w:tcPr>
          <w:p w14:paraId="1B0DD4E2">
            <w:pPr>
              <w:spacing w:line="260" w:lineRule="exact"/>
              <w:jc w:val="center"/>
              <w:rPr>
                <w:rFonts w:ascii="Times New Roman"/>
                <w:bCs/>
                <w:sz w:val="21"/>
                <w:szCs w:val="21"/>
              </w:rPr>
            </w:pPr>
            <w:r>
              <w:rPr>
                <w:rFonts w:ascii="Times New Roman"/>
                <w:bCs/>
                <w:sz w:val="21"/>
                <w:szCs w:val="21"/>
              </w:rPr>
              <w:t>序号</w:t>
            </w:r>
          </w:p>
        </w:tc>
        <w:tc>
          <w:tcPr>
            <w:tcW w:w="1106" w:type="pct"/>
            <w:vAlign w:val="center"/>
          </w:tcPr>
          <w:p w14:paraId="71BEF31F">
            <w:pPr>
              <w:spacing w:line="260" w:lineRule="exact"/>
              <w:jc w:val="center"/>
              <w:rPr>
                <w:rFonts w:ascii="Times New Roman"/>
                <w:bCs/>
                <w:sz w:val="21"/>
                <w:szCs w:val="21"/>
              </w:rPr>
            </w:pPr>
            <w:r>
              <w:rPr>
                <w:rFonts w:ascii="Times New Roman"/>
                <w:bCs/>
                <w:sz w:val="21"/>
                <w:szCs w:val="21"/>
              </w:rPr>
              <w:t>环境要素</w:t>
            </w:r>
          </w:p>
        </w:tc>
        <w:tc>
          <w:tcPr>
            <w:tcW w:w="701" w:type="pct"/>
            <w:vAlign w:val="center"/>
          </w:tcPr>
          <w:p w14:paraId="6143D395">
            <w:pPr>
              <w:spacing w:line="260" w:lineRule="exact"/>
              <w:jc w:val="center"/>
              <w:rPr>
                <w:rFonts w:ascii="Times New Roman"/>
                <w:bCs/>
                <w:sz w:val="21"/>
                <w:szCs w:val="21"/>
              </w:rPr>
            </w:pPr>
            <w:r>
              <w:rPr>
                <w:rFonts w:ascii="Times New Roman"/>
                <w:bCs/>
                <w:sz w:val="21"/>
                <w:szCs w:val="21"/>
              </w:rPr>
              <w:t>评价等级</w:t>
            </w:r>
          </w:p>
        </w:tc>
        <w:tc>
          <w:tcPr>
            <w:tcW w:w="2728" w:type="pct"/>
            <w:vAlign w:val="center"/>
          </w:tcPr>
          <w:p w14:paraId="1A83A601">
            <w:pPr>
              <w:spacing w:line="260" w:lineRule="exact"/>
              <w:jc w:val="center"/>
              <w:rPr>
                <w:rFonts w:ascii="Times New Roman"/>
                <w:bCs/>
                <w:sz w:val="21"/>
                <w:szCs w:val="21"/>
              </w:rPr>
            </w:pPr>
            <w:r>
              <w:rPr>
                <w:rFonts w:ascii="Times New Roman"/>
                <w:bCs/>
                <w:sz w:val="21"/>
                <w:szCs w:val="21"/>
              </w:rPr>
              <w:t>评价范围</w:t>
            </w:r>
          </w:p>
        </w:tc>
      </w:tr>
      <w:tr w14:paraId="64D07A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463" w:type="pct"/>
            <w:vAlign w:val="center"/>
          </w:tcPr>
          <w:p w14:paraId="1C05688B">
            <w:pPr>
              <w:spacing w:line="260" w:lineRule="exact"/>
              <w:jc w:val="center"/>
              <w:rPr>
                <w:rFonts w:ascii="Times New Roman"/>
                <w:sz w:val="21"/>
                <w:szCs w:val="21"/>
              </w:rPr>
            </w:pPr>
            <w:r>
              <w:rPr>
                <w:rFonts w:ascii="Times New Roman"/>
                <w:sz w:val="21"/>
                <w:szCs w:val="21"/>
              </w:rPr>
              <w:t>1</w:t>
            </w:r>
          </w:p>
        </w:tc>
        <w:tc>
          <w:tcPr>
            <w:tcW w:w="1106" w:type="pct"/>
            <w:vAlign w:val="center"/>
          </w:tcPr>
          <w:p w14:paraId="60C376DC">
            <w:pPr>
              <w:spacing w:line="260" w:lineRule="exact"/>
              <w:jc w:val="center"/>
              <w:rPr>
                <w:rFonts w:ascii="Times New Roman"/>
                <w:sz w:val="21"/>
                <w:szCs w:val="21"/>
              </w:rPr>
            </w:pPr>
            <w:r>
              <w:rPr>
                <w:rFonts w:ascii="Times New Roman"/>
                <w:sz w:val="21"/>
                <w:szCs w:val="21"/>
              </w:rPr>
              <w:t>环境空气</w:t>
            </w:r>
          </w:p>
        </w:tc>
        <w:tc>
          <w:tcPr>
            <w:tcW w:w="701" w:type="pct"/>
            <w:vAlign w:val="center"/>
          </w:tcPr>
          <w:p w14:paraId="05D0803C">
            <w:pPr>
              <w:spacing w:line="260" w:lineRule="exact"/>
              <w:jc w:val="center"/>
              <w:rPr>
                <w:rFonts w:ascii="Times New Roman"/>
                <w:sz w:val="21"/>
                <w:szCs w:val="21"/>
              </w:rPr>
            </w:pPr>
            <w:r>
              <w:rPr>
                <w:rFonts w:ascii="Times New Roman"/>
                <w:sz w:val="21"/>
                <w:szCs w:val="21"/>
              </w:rPr>
              <w:t>二级</w:t>
            </w:r>
          </w:p>
        </w:tc>
        <w:tc>
          <w:tcPr>
            <w:tcW w:w="2728" w:type="pct"/>
            <w:vAlign w:val="center"/>
          </w:tcPr>
          <w:p w14:paraId="08E9AD19">
            <w:pPr>
              <w:spacing w:line="260" w:lineRule="exact"/>
              <w:jc w:val="center"/>
              <w:rPr>
                <w:rFonts w:ascii="Times New Roman"/>
                <w:sz w:val="21"/>
                <w:szCs w:val="21"/>
              </w:rPr>
            </w:pPr>
            <w:r>
              <w:rPr>
                <w:rFonts w:ascii="Times New Roman"/>
                <w:sz w:val="21"/>
                <w:szCs w:val="21"/>
              </w:rPr>
              <w:t>以厂区为中心，边长5km的矩形区域</w:t>
            </w:r>
          </w:p>
        </w:tc>
      </w:tr>
      <w:tr w14:paraId="181AFEB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8" w:hRule="atLeast"/>
          <w:jc w:val="center"/>
        </w:trPr>
        <w:tc>
          <w:tcPr>
            <w:tcW w:w="463" w:type="pct"/>
            <w:vAlign w:val="center"/>
          </w:tcPr>
          <w:p w14:paraId="74D43642">
            <w:pPr>
              <w:spacing w:line="260" w:lineRule="exact"/>
              <w:jc w:val="center"/>
              <w:rPr>
                <w:rFonts w:ascii="Times New Roman"/>
                <w:sz w:val="21"/>
                <w:szCs w:val="21"/>
              </w:rPr>
            </w:pPr>
            <w:r>
              <w:rPr>
                <w:rFonts w:ascii="Times New Roman"/>
                <w:sz w:val="21"/>
                <w:szCs w:val="21"/>
              </w:rPr>
              <w:t>2</w:t>
            </w:r>
          </w:p>
        </w:tc>
        <w:tc>
          <w:tcPr>
            <w:tcW w:w="1106" w:type="pct"/>
            <w:vAlign w:val="center"/>
          </w:tcPr>
          <w:p w14:paraId="25360CF0">
            <w:pPr>
              <w:spacing w:line="260" w:lineRule="exact"/>
              <w:jc w:val="center"/>
              <w:rPr>
                <w:rFonts w:ascii="Times New Roman"/>
                <w:sz w:val="21"/>
                <w:szCs w:val="21"/>
              </w:rPr>
            </w:pPr>
            <w:r>
              <w:rPr>
                <w:rFonts w:ascii="Times New Roman"/>
                <w:sz w:val="21"/>
                <w:szCs w:val="21"/>
              </w:rPr>
              <w:t>声环境</w:t>
            </w:r>
          </w:p>
        </w:tc>
        <w:tc>
          <w:tcPr>
            <w:tcW w:w="701" w:type="pct"/>
            <w:vAlign w:val="center"/>
          </w:tcPr>
          <w:p w14:paraId="314DCFE9">
            <w:pPr>
              <w:spacing w:line="260" w:lineRule="exact"/>
              <w:jc w:val="center"/>
              <w:rPr>
                <w:rFonts w:ascii="Times New Roman"/>
                <w:sz w:val="21"/>
                <w:szCs w:val="21"/>
              </w:rPr>
            </w:pPr>
            <w:r>
              <w:rPr>
                <w:rFonts w:ascii="Times New Roman"/>
                <w:sz w:val="21"/>
                <w:szCs w:val="21"/>
              </w:rPr>
              <w:t>三级</w:t>
            </w:r>
          </w:p>
        </w:tc>
        <w:tc>
          <w:tcPr>
            <w:tcW w:w="2728" w:type="pct"/>
            <w:vAlign w:val="center"/>
          </w:tcPr>
          <w:p w14:paraId="757C1810">
            <w:pPr>
              <w:spacing w:line="260" w:lineRule="exact"/>
              <w:jc w:val="center"/>
              <w:rPr>
                <w:rFonts w:ascii="Times New Roman"/>
                <w:sz w:val="21"/>
                <w:szCs w:val="21"/>
              </w:rPr>
            </w:pPr>
            <w:r>
              <w:rPr>
                <w:rFonts w:ascii="Times New Roman"/>
                <w:sz w:val="21"/>
                <w:szCs w:val="21"/>
              </w:rPr>
              <w:t>厂界外</w:t>
            </w:r>
            <w:r>
              <w:rPr>
                <w:rFonts w:hint="eastAsia" w:ascii="Times New Roman"/>
                <w:sz w:val="21"/>
                <w:szCs w:val="21"/>
              </w:rPr>
              <w:t>200</w:t>
            </w:r>
            <w:r>
              <w:rPr>
                <w:rFonts w:ascii="Times New Roman"/>
                <w:sz w:val="21"/>
                <w:szCs w:val="21"/>
              </w:rPr>
              <w:t>m处</w:t>
            </w:r>
          </w:p>
        </w:tc>
      </w:tr>
      <w:tr w14:paraId="76CC2B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463" w:type="pct"/>
            <w:shd w:val="clear" w:color="auto" w:fill="auto"/>
            <w:vAlign w:val="center"/>
          </w:tcPr>
          <w:p w14:paraId="0CCB1FD8">
            <w:pPr>
              <w:spacing w:line="260" w:lineRule="exact"/>
              <w:jc w:val="center"/>
              <w:rPr>
                <w:rFonts w:ascii="Times New Roman"/>
                <w:sz w:val="21"/>
                <w:szCs w:val="21"/>
              </w:rPr>
            </w:pPr>
            <w:r>
              <w:rPr>
                <w:rFonts w:ascii="Times New Roman"/>
                <w:sz w:val="21"/>
                <w:szCs w:val="21"/>
              </w:rPr>
              <w:t>3</w:t>
            </w:r>
          </w:p>
        </w:tc>
        <w:tc>
          <w:tcPr>
            <w:tcW w:w="1106" w:type="pct"/>
            <w:vAlign w:val="center"/>
          </w:tcPr>
          <w:p w14:paraId="5B6E9F79">
            <w:pPr>
              <w:spacing w:line="260" w:lineRule="exact"/>
              <w:jc w:val="center"/>
              <w:rPr>
                <w:rFonts w:ascii="Times New Roman"/>
                <w:sz w:val="21"/>
                <w:szCs w:val="21"/>
              </w:rPr>
            </w:pPr>
            <w:r>
              <w:rPr>
                <w:rFonts w:hint="eastAsia" w:ascii="Times New Roman"/>
                <w:sz w:val="21"/>
                <w:szCs w:val="21"/>
              </w:rPr>
              <w:t>地表水</w:t>
            </w:r>
          </w:p>
        </w:tc>
        <w:tc>
          <w:tcPr>
            <w:tcW w:w="701" w:type="pct"/>
            <w:shd w:val="clear" w:color="auto" w:fill="auto"/>
            <w:vAlign w:val="center"/>
          </w:tcPr>
          <w:p w14:paraId="4CCAF127">
            <w:pPr>
              <w:jc w:val="center"/>
              <w:outlineLvl w:val="2"/>
              <w:rPr>
                <w:rFonts w:ascii="Times New Roman"/>
                <w:sz w:val="21"/>
                <w:szCs w:val="21"/>
              </w:rPr>
            </w:pPr>
            <w:r>
              <w:rPr>
                <w:rFonts w:ascii="Times New Roman"/>
                <w:sz w:val="21"/>
                <w:szCs w:val="21"/>
              </w:rPr>
              <w:t>三级B</w:t>
            </w:r>
          </w:p>
        </w:tc>
        <w:tc>
          <w:tcPr>
            <w:tcW w:w="2728" w:type="pct"/>
            <w:shd w:val="clear" w:color="auto" w:fill="auto"/>
            <w:vAlign w:val="center"/>
          </w:tcPr>
          <w:p w14:paraId="43AD10B3">
            <w:pPr>
              <w:jc w:val="center"/>
              <w:outlineLvl w:val="2"/>
              <w:rPr>
                <w:rFonts w:ascii="Times New Roman"/>
                <w:sz w:val="21"/>
                <w:szCs w:val="21"/>
              </w:rPr>
            </w:pPr>
            <w:r>
              <w:rPr>
                <w:rFonts w:ascii="Times New Roman"/>
                <w:sz w:val="21"/>
                <w:szCs w:val="21"/>
              </w:rPr>
              <w:t>--</w:t>
            </w:r>
          </w:p>
        </w:tc>
      </w:tr>
      <w:tr w14:paraId="5C3CE0F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463" w:type="pct"/>
            <w:shd w:val="clear" w:color="auto" w:fill="auto"/>
            <w:vAlign w:val="center"/>
          </w:tcPr>
          <w:p w14:paraId="72046426">
            <w:pPr>
              <w:spacing w:line="260" w:lineRule="exact"/>
              <w:jc w:val="center"/>
              <w:rPr>
                <w:rFonts w:ascii="Times New Roman"/>
                <w:sz w:val="21"/>
                <w:szCs w:val="21"/>
              </w:rPr>
            </w:pPr>
            <w:r>
              <w:rPr>
                <w:rFonts w:ascii="Times New Roman"/>
                <w:sz w:val="21"/>
                <w:szCs w:val="21"/>
              </w:rPr>
              <w:t>4</w:t>
            </w:r>
          </w:p>
        </w:tc>
        <w:tc>
          <w:tcPr>
            <w:tcW w:w="1106" w:type="pct"/>
            <w:vAlign w:val="center"/>
          </w:tcPr>
          <w:p w14:paraId="462133E1">
            <w:pPr>
              <w:spacing w:line="260" w:lineRule="exact"/>
              <w:jc w:val="center"/>
              <w:rPr>
                <w:rFonts w:ascii="Times New Roman"/>
                <w:sz w:val="21"/>
                <w:szCs w:val="21"/>
              </w:rPr>
            </w:pPr>
            <w:r>
              <w:rPr>
                <w:rFonts w:ascii="Times New Roman"/>
                <w:sz w:val="21"/>
                <w:szCs w:val="21"/>
              </w:rPr>
              <w:t>地下水</w:t>
            </w:r>
          </w:p>
        </w:tc>
        <w:tc>
          <w:tcPr>
            <w:tcW w:w="701" w:type="pct"/>
            <w:vAlign w:val="center"/>
          </w:tcPr>
          <w:p w14:paraId="044D9F62">
            <w:pPr>
              <w:spacing w:line="260" w:lineRule="exact"/>
              <w:jc w:val="center"/>
              <w:rPr>
                <w:rFonts w:ascii="Times New Roman"/>
                <w:sz w:val="21"/>
                <w:szCs w:val="21"/>
              </w:rPr>
            </w:pPr>
            <w:r>
              <w:rPr>
                <w:rFonts w:ascii="Times New Roman"/>
                <w:sz w:val="21"/>
                <w:szCs w:val="21"/>
              </w:rPr>
              <w:t>三级</w:t>
            </w:r>
          </w:p>
        </w:tc>
        <w:tc>
          <w:tcPr>
            <w:tcW w:w="2728" w:type="pct"/>
            <w:vAlign w:val="center"/>
          </w:tcPr>
          <w:p w14:paraId="11A59D1C">
            <w:pPr>
              <w:spacing w:line="260" w:lineRule="exact"/>
              <w:jc w:val="center"/>
              <w:rPr>
                <w:rFonts w:ascii="Times New Roman"/>
                <w:sz w:val="21"/>
                <w:szCs w:val="21"/>
              </w:rPr>
            </w:pPr>
            <w:r>
              <w:rPr>
                <w:rFonts w:ascii="Times New Roman"/>
                <w:sz w:val="21"/>
                <w:szCs w:val="21"/>
              </w:rPr>
              <w:t>以地下水流向为轴向（由西北向东南），以项目厂址为中心，左右各延伸1km，下游延伸2km，上游延伸1km。调查评价区总面积为6km</w:t>
            </w:r>
            <w:r>
              <w:rPr>
                <w:rFonts w:ascii="Times New Roman"/>
                <w:sz w:val="21"/>
                <w:szCs w:val="21"/>
                <w:vertAlign w:val="superscript"/>
              </w:rPr>
              <w:t>2</w:t>
            </w:r>
            <w:r>
              <w:rPr>
                <w:rFonts w:ascii="Times New Roman"/>
                <w:sz w:val="21"/>
                <w:szCs w:val="21"/>
              </w:rPr>
              <w:t>。</w:t>
            </w:r>
          </w:p>
        </w:tc>
      </w:tr>
      <w:tr w14:paraId="7340D1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463" w:type="pct"/>
            <w:shd w:val="clear" w:color="auto" w:fill="auto"/>
            <w:vAlign w:val="center"/>
          </w:tcPr>
          <w:p w14:paraId="50401FD1">
            <w:pPr>
              <w:spacing w:line="260" w:lineRule="exact"/>
              <w:jc w:val="center"/>
              <w:rPr>
                <w:rFonts w:ascii="Times New Roman"/>
                <w:sz w:val="21"/>
                <w:szCs w:val="21"/>
              </w:rPr>
            </w:pPr>
            <w:r>
              <w:rPr>
                <w:rFonts w:ascii="Times New Roman"/>
                <w:sz w:val="21"/>
                <w:szCs w:val="21"/>
              </w:rPr>
              <w:t>5</w:t>
            </w:r>
          </w:p>
        </w:tc>
        <w:tc>
          <w:tcPr>
            <w:tcW w:w="1106" w:type="pct"/>
            <w:vAlign w:val="center"/>
          </w:tcPr>
          <w:p w14:paraId="5DAA7115">
            <w:pPr>
              <w:spacing w:line="260" w:lineRule="exact"/>
              <w:jc w:val="center"/>
              <w:rPr>
                <w:rFonts w:ascii="Times New Roman"/>
                <w:sz w:val="21"/>
                <w:szCs w:val="21"/>
              </w:rPr>
            </w:pPr>
            <w:r>
              <w:rPr>
                <w:rFonts w:ascii="Times New Roman"/>
                <w:sz w:val="21"/>
                <w:szCs w:val="21"/>
              </w:rPr>
              <w:t>土壤环境</w:t>
            </w:r>
          </w:p>
        </w:tc>
        <w:tc>
          <w:tcPr>
            <w:tcW w:w="701" w:type="pct"/>
            <w:vAlign w:val="center"/>
          </w:tcPr>
          <w:p w14:paraId="0EF3D4FA">
            <w:pPr>
              <w:spacing w:line="260" w:lineRule="exact"/>
              <w:jc w:val="center"/>
              <w:rPr>
                <w:rFonts w:ascii="Times New Roman"/>
                <w:sz w:val="21"/>
                <w:szCs w:val="21"/>
              </w:rPr>
            </w:pPr>
            <w:r>
              <w:rPr>
                <w:rFonts w:ascii="Times New Roman"/>
                <w:sz w:val="21"/>
                <w:szCs w:val="21"/>
              </w:rPr>
              <w:t>二级</w:t>
            </w:r>
          </w:p>
        </w:tc>
        <w:tc>
          <w:tcPr>
            <w:tcW w:w="2728" w:type="pct"/>
            <w:vAlign w:val="center"/>
          </w:tcPr>
          <w:p w14:paraId="5916CBF3">
            <w:pPr>
              <w:spacing w:line="260" w:lineRule="exact"/>
              <w:jc w:val="center"/>
              <w:rPr>
                <w:rFonts w:ascii="Times New Roman"/>
                <w:sz w:val="21"/>
                <w:szCs w:val="21"/>
              </w:rPr>
            </w:pPr>
            <w:r>
              <w:rPr>
                <w:rFonts w:ascii="Times New Roman"/>
                <w:sz w:val="21"/>
                <w:szCs w:val="21"/>
              </w:rPr>
              <w:t>项目占地范围及占地范围外扩200m范围</w:t>
            </w:r>
          </w:p>
        </w:tc>
      </w:tr>
      <w:tr w14:paraId="0D30FB3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463" w:type="pct"/>
            <w:shd w:val="clear" w:color="auto" w:fill="auto"/>
            <w:vAlign w:val="center"/>
          </w:tcPr>
          <w:p w14:paraId="61E20B0C">
            <w:pPr>
              <w:spacing w:line="260" w:lineRule="exact"/>
              <w:jc w:val="center"/>
              <w:rPr>
                <w:rFonts w:ascii="Times New Roman"/>
                <w:sz w:val="21"/>
                <w:szCs w:val="21"/>
              </w:rPr>
            </w:pPr>
            <w:r>
              <w:rPr>
                <w:rFonts w:ascii="Times New Roman"/>
                <w:sz w:val="21"/>
                <w:szCs w:val="21"/>
              </w:rPr>
              <w:t>6</w:t>
            </w:r>
          </w:p>
        </w:tc>
        <w:tc>
          <w:tcPr>
            <w:tcW w:w="1106" w:type="pct"/>
            <w:vAlign w:val="center"/>
          </w:tcPr>
          <w:p w14:paraId="7DCADC64">
            <w:pPr>
              <w:spacing w:line="260" w:lineRule="exact"/>
              <w:jc w:val="center"/>
              <w:rPr>
                <w:rFonts w:ascii="Times New Roman"/>
                <w:sz w:val="21"/>
                <w:szCs w:val="21"/>
              </w:rPr>
            </w:pPr>
            <w:r>
              <w:rPr>
                <w:rFonts w:ascii="Times New Roman"/>
                <w:sz w:val="21"/>
                <w:szCs w:val="21"/>
              </w:rPr>
              <w:t>生态环境</w:t>
            </w:r>
          </w:p>
        </w:tc>
        <w:tc>
          <w:tcPr>
            <w:tcW w:w="701" w:type="pct"/>
            <w:vAlign w:val="center"/>
          </w:tcPr>
          <w:p w14:paraId="5D056CB3">
            <w:pPr>
              <w:spacing w:line="260" w:lineRule="exact"/>
              <w:jc w:val="center"/>
              <w:rPr>
                <w:rFonts w:ascii="Times New Roman"/>
                <w:sz w:val="21"/>
                <w:szCs w:val="21"/>
              </w:rPr>
            </w:pPr>
            <w:r>
              <w:rPr>
                <w:rFonts w:ascii="Times New Roman"/>
                <w:sz w:val="21"/>
                <w:szCs w:val="21"/>
              </w:rPr>
              <w:t>简单分析</w:t>
            </w:r>
          </w:p>
        </w:tc>
        <w:tc>
          <w:tcPr>
            <w:tcW w:w="2728" w:type="pct"/>
            <w:vAlign w:val="center"/>
          </w:tcPr>
          <w:p w14:paraId="0A2C7EF2">
            <w:pPr>
              <w:spacing w:line="260" w:lineRule="exact"/>
              <w:jc w:val="center"/>
              <w:rPr>
                <w:rFonts w:ascii="Times New Roman"/>
                <w:sz w:val="21"/>
                <w:szCs w:val="21"/>
              </w:rPr>
            </w:pPr>
            <w:r>
              <w:rPr>
                <w:rFonts w:ascii="Times New Roman"/>
                <w:sz w:val="21"/>
                <w:szCs w:val="21"/>
              </w:rPr>
              <w:t>项目占地范围</w:t>
            </w:r>
          </w:p>
        </w:tc>
      </w:tr>
      <w:tr w14:paraId="3CA52F7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463" w:type="pct"/>
            <w:vAlign w:val="center"/>
          </w:tcPr>
          <w:p w14:paraId="20D9A7AF">
            <w:pPr>
              <w:spacing w:line="260" w:lineRule="exact"/>
              <w:jc w:val="center"/>
              <w:rPr>
                <w:rFonts w:ascii="Times New Roman"/>
                <w:sz w:val="21"/>
                <w:szCs w:val="21"/>
              </w:rPr>
            </w:pPr>
            <w:r>
              <w:rPr>
                <w:rFonts w:hint="eastAsia" w:ascii="Times New Roman"/>
                <w:sz w:val="21"/>
                <w:szCs w:val="21"/>
              </w:rPr>
              <w:t>7</w:t>
            </w:r>
          </w:p>
        </w:tc>
        <w:tc>
          <w:tcPr>
            <w:tcW w:w="1106" w:type="pct"/>
            <w:vAlign w:val="center"/>
          </w:tcPr>
          <w:p w14:paraId="58DE458B">
            <w:pPr>
              <w:spacing w:line="260" w:lineRule="exact"/>
              <w:jc w:val="center"/>
              <w:rPr>
                <w:rFonts w:ascii="Times New Roman"/>
                <w:sz w:val="21"/>
                <w:szCs w:val="21"/>
              </w:rPr>
            </w:pPr>
            <w:r>
              <w:rPr>
                <w:rFonts w:ascii="Times New Roman"/>
                <w:sz w:val="21"/>
                <w:szCs w:val="21"/>
              </w:rPr>
              <w:t>环境风险</w:t>
            </w:r>
          </w:p>
        </w:tc>
        <w:tc>
          <w:tcPr>
            <w:tcW w:w="701" w:type="pct"/>
            <w:vAlign w:val="center"/>
          </w:tcPr>
          <w:p w14:paraId="43CCBE85">
            <w:pPr>
              <w:spacing w:line="260" w:lineRule="exact"/>
              <w:jc w:val="center"/>
              <w:rPr>
                <w:rFonts w:ascii="Times New Roman"/>
                <w:sz w:val="21"/>
                <w:szCs w:val="21"/>
              </w:rPr>
            </w:pPr>
            <w:r>
              <w:rPr>
                <w:rFonts w:ascii="Times New Roman"/>
                <w:sz w:val="21"/>
                <w:szCs w:val="21"/>
              </w:rPr>
              <w:t>简单分析</w:t>
            </w:r>
          </w:p>
        </w:tc>
        <w:tc>
          <w:tcPr>
            <w:tcW w:w="2728" w:type="pct"/>
            <w:vAlign w:val="center"/>
          </w:tcPr>
          <w:p w14:paraId="00347C1B">
            <w:pPr>
              <w:spacing w:line="260" w:lineRule="exact"/>
              <w:jc w:val="center"/>
              <w:rPr>
                <w:rFonts w:ascii="Times New Roman"/>
                <w:sz w:val="21"/>
                <w:szCs w:val="21"/>
              </w:rPr>
            </w:pPr>
            <w:r>
              <w:rPr>
                <w:rFonts w:ascii="Times New Roman"/>
                <w:sz w:val="21"/>
                <w:szCs w:val="21"/>
              </w:rPr>
              <w:t>环境空气，以</w:t>
            </w:r>
            <w:r>
              <w:rPr>
                <w:rFonts w:ascii="Times New Roman"/>
                <w:sz w:val="21"/>
                <w:szCs w:val="21"/>
                <w:lang w:val="zh-CN"/>
              </w:rPr>
              <w:t>风险源为中心，半径3km的圆形区域。地下水：项目厂址所在区域。</w:t>
            </w:r>
          </w:p>
        </w:tc>
      </w:tr>
    </w:tbl>
    <w:p w14:paraId="7B2CAB3D">
      <w:pPr>
        <w:widowControl/>
        <w:spacing w:beforeLines="50" w:afterLines="50" w:line="520" w:lineRule="exact"/>
        <w:jc w:val="left"/>
        <w:outlineLvl w:val="1"/>
        <w:rPr>
          <w:rFonts w:ascii="Times New Roman"/>
          <w:b/>
          <w:sz w:val="30"/>
          <w:szCs w:val="30"/>
        </w:rPr>
      </w:pPr>
      <w:bookmarkStart w:id="78" w:name="_Toc27059"/>
      <w:r>
        <w:rPr>
          <w:rFonts w:ascii="Times New Roman"/>
          <w:b/>
          <w:sz w:val="30"/>
          <w:szCs w:val="30"/>
        </w:rPr>
        <w:t>2.6评价内容和评价重点</w:t>
      </w:r>
      <w:bookmarkEnd w:id="75"/>
      <w:bookmarkEnd w:id="76"/>
      <w:bookmarkEnd w:id="78"/>
    </w:p>
    <w:p w14:paraId="44526527">
      <w:pPr>
        <w:spacing w:line="520" w:lineRule="exact"/>
        <w:outlineLvl w:val="2"/>
        <w:rPr>
          <w:rFonts w:ascii="Times New Roman"/>
          <w:b/>
          <w:sz w:val="28"/>
          <w:szCs w:val="28"/>
        </w:rPr>
      </w:pPr>
      <w:r>
        <w:rPr>
          <w:rFonts w:ascii="Times New Roman"/>
          <w:b/>
          <w:sz w:val="28"/>
          <w:szCs w:val="28"/>
        </w:rPr>
        <w:t>2.6.1评价内容</w:t>
      </w:r>
    </w:p>
    <w:p w14:paraId="0604BD77">
      <w:pPr>
        <w:spacing w:line="480" w:lineRule="exact"/>
        <w:ind w:firstLine="480" w:firstLineChars="200"/>
        <w:rPr>
          <w:rFonts w:ascii="Times New Roman"/>
          <w:sz w:val="24"/>
          <w:szCs w:val="24"/>
        </w:rPr>
      </w:pPr>
      <w:r>
        <w:rPr>
          <w:rFonts w:ascii="Times New Roman"/>
          <w:sz w:val="24"/>
          <w:szCs w:val="24"/>
        </w:rPr>
        <w:t>根据本项目的项目特点和区域环境特征，并按照“导则”的要求，确定本次评价工作内容包括概述、总论、工程分析、自然环境现状调查与评价、环境影响预测与评价、环保措施可行性论证、环境影响经济损益分析、环境管理与监测计划、结论与建议等。</w:t>
      </w:r>
    </w:p>
    <w:p w14:paraId="401D1FF9">
      <w:pPr>
        <w:spacing w:line="520" w:lineRule="exact"/>
        <w:outlineLvl w:val="2"/>
        <w:rPr>
          <w:rFonts w:ascii="Times New Roman"/>
          <w:b/>
          <w:sz w:val="28"/>
          <w:szCs w:val="28"/>
        </w:rPr>
      </w:pPr>
      <w:r>
        <w:rPr>
          <w:rFonts w:ascii="Times New Roman"/>
          <w:b/>
          <w:sz w:val="28"/>
          <w:szCs w:val="28"/>
        </w:rPr>
        <w:t>2.6.2评价重点</w:t>
      </w:r>
    </w:p>
    <w:p w14:paraId="6F2A9E5D">
      <w:pPr>
        <w:spacing w:line="480" w:lineRule="exact"/>
        <w:ind w:firstLine="480" w:firstLineChars="200"/>
        <w:rPr>
          <w:rFonts w:ascii="Times New Roman"/>
          <w:sz w:val="24"/>
          <w:szCs w:val="24"/>
        </w:rPr>
      </w:pPr>
      <w:r>
        <w:rPr>
          <w:rFonts w:ascii="Times New Roman"/>
          <w:sz w:val="24"/>
          <w:szCs w:val="24"/>
        </w:rPr>
        <w:t>结合本项目的排污特点及周围环境特征，确定本次评价工作重点为：为工程分析、环境影响预测与评价、环境保护措施及其可行性论证、环境管理与监测计划。</w:t>
      </w:r>
    </w:p>
    <w:p w14:paraId="2C9B0B00">
      <w:pPr>
        <w:widowControl/>
        <w:spacing w:beforeLines="50" w:afterLines="50" w:line="520" w:lineRule="exact"/>
        <w:jc w:val="left"/>
        <w:outlineLvl w:val="1"/>
        <w:rPr>
          <w:rFonts w:ascii="Times New Roman"/>
          <w:b/>
          <w:sz w:val="30"/>
          <w:szCs w:val="30"/>
        </w:rPr>
      </w:pPr>
      <w:bookmarkStart w:id="79" w:name="_Toc508872102"/>
      <w:bookmarkStart w:id="80" w:name="_Toc25305"/>
      <w:bookmarkStart w:id="81" w:name="_Toc474313788"/>
      <w:r>
        <w:rPr>
          <w:rFonts w:ascii="Times New Roman"/>
          <w:b/>
          <w:sz w:val="30"/>
          <w:szCs w:val="30"/>
        </w:rPr>
        <w:t>2.7评价标准及环境保护目标</w:t>
      </w:r>
      <w:bookmarkEnd w:id="79"/>
      <w:bookmarkEnd w:id="80"/>
      <w:bookmarkEnd w:id="81"/>
    </w:p>
    <w:p w14:paraId="10A1E2DE">
      <w:pPr>
        <w:spacing w:line="520" w:lineRule="exact"/>
        <w:outlineLvl w:val="2"/>
        <w:rPr>
          <w:rFonts w:ascii="Times New Roman"/>
          <w:b/>
          <w:sz w:val="28"/>
          <w:szCs w:val="28"/>
        </w:rPr>
      </w:pPr>
      <w:r>
        <w:rPr>
          <w:rFonts w:ascii="Times New Roman"/>
          <w:b/>
          <w:sz w:val="28"/>
          <w:szCs w:val="28"/>
        </w:rPr>
        <w:t>2.7.1评价标准</w:t>
      </w:r>
    </w:p>
    <w:p w14:paraId="26DD14F9">
      <w:pPr>
        <w:tabs>
          <w:tab w:val="left" w:pos="1170"/>
        </w:tabs>
        <w:spacing w:line="480" w:lineRule="exact"/>
        <w:ind w:firstLine="480" w:firstLineChars="200"/>
        <w:rPr>
          <w:rFonts w:ascii="Times New Roman"/>
          <w:sz w:val="24"/>
          <w:szCs w:val="24"/>
        </w:rPr>
      </w:pPr>
      <w:r>
        <w:rPr>
          <w:rFonts w:ascii="Times New Roman"/>
          <w:sz w:val="24"/>
          <w:szCs w:val="24"/>
        </w:rPr>
        <w:t>（1）环境质量标准</w:t>
      </w:r>
    </w:p>
    <w:p w14:paraId="1F3C6BC8">
      <w:pPr>
        <w:spacing w:line="480" w:lineRule="exact"/>
        <w:ind w:firstLine="480" w:firstLineChars="200"/>
        <w:rPr>
          <w:rFonts w:ascii="Times New Roman"/>
          <w:sz w:val="24"/>
          <w:szCs w:val="24"/>
        </w:rPr>
      </w:pPr>
      <w:r>
        <w:rPr>
          <w:rFonts w:ascii="Times New Roman"/>
          <w:sz w:val="24"/>
          <w:szCs w:val="24"/>
        </w:rPr>
        <w:t>①环境空气质量：PM</w:t>
      </w:r>
      <w:r>
        <w:rPr>
          <w:rFonts w:ascii="Times New Roman"/>
          <w:sz w:val="24"/>
          <w:szCs w:val="24"/>
          <w:vertAlign w:val="subscript"/>
        </w:rPr>
        <w:t>10</w:t>
      </w:r>
      <w:r>
        <w:rPr>
          <w:rFonts w:ascii="Times New Roman"/>
          <w:sz w:val="24"/>
          <w:szCs w:val="24"/>
        </w:rPr>
        <w:t>、PM</w:t>
      </w:r>
      <w:r>
        <w:rPr>
          <w:rFonts w:ascii="Times New Roman"/>
          <w:sz w:val="24"/>
          <w:szCs w:val="24"/>
          <w:vertAlign w:val="subscript"/>
        </w:rPr>
        <w:t>2.5</w:t>
      </w:r>
      <w:r>
        <w:rPr>
          <w:rFonts w:ascii="Times New Roman"/>
          <w:sz w:val="24"/>
          <w:szCs w:val="24"/>
        </w:rPr>
        <w:t>、TSP、SO</w:t>
      </w:r>
      <w:r>
        <w:rPr>
          <w:rFonts w:ascii="Times New Roman"/>
          <w:sz w:val="24"/>
          <w:szCs w:val="24"/>
          <w:vertAlign w:val="subscript"/>
        </w:rPr>
        <w:t>2</w:t>
      </w:r>
      <w:r>
        <w:rPr>
          <w:rFonts w:ascii="Times New Roman"/>
          <w:sz w:val="24"/>
          <w:szCs w:val="24"/>
        </w:rPr>
        <w:t>、NO</w:t>
      </w:r>
      <w:r>
        <w:rPr>
          <w:rFonts w:ascii="Times New Roman"/>
          <w:sz w:val="24"/>
          <w:szCs w:val="24"/>
          <w:vertAlign w:val="subscript"/>
        </w:rPr>
        <w:t>2</w:t>
      </w:r>
      <w:r>
        <w:rPr>
          <w:rFonts w:ascii="Times New Roman"/>
          <w:sz w:val="24"/>
          <w:szCs w:val="24"/>
        </w:rPr>
        <w:t>、CO、O</w:t>
      </w:r>
      <w:r>
        <w:rPr>
          <w:rFonts w:ascii="Times New Roman"/>
          <w:sz w:val="24"/>
          <w:szCs w:val="24"/>
          <w:vertAlign w:val="subscript"/>
        </w:rPr>
        <w:t>3</w:t>
      </w:r>
      <w:r>
        <w:rPr>
          <w:rFonts w:ascii="Times New Roman"/>
          <w:sz w:val="24"/>
          <w:szCs w:val="24"/>
        </w:rPr>
        <w:t>执行《环境空气质量标准》（GB3095-2012）中的二级标准及修改单要求；</w:t>
      </w:r>
    </w:p>
    <w:p w14:paraId="506F65B4">
      <w:pPr>
        <w:spacing w:line="480" w:lineRule="exact"/>
        <w:ind w:firstLine="480" w:firstLineChars="200"/>
        <w:rPr>
          <w:rFonts w:ascii="Times New Roman"/>
          <w:sz w:val="24"/>
          <w:szCs w:val="24"/>
        </w:rPr>
      </w:pPr>
      <w:r>
        <w:rPr>
          <w:rFonts w:ascii="Times New Roman"/>
          <w:sz w:val="24"/>
          <w:szCs w:val="24"/>
        </w:rPr>
        <w:t>非甲烷总烃执行河北省地方标准《环境空气质量 非甲烷总烃限值》（DB13/1577-2012）二级标准；</w:t>
      </w:r>
    </w:p>
    <w:p w14:paraId="1437F0DA">
      <w:pPr>
        <w:spacing w:line="480" w:lineRule="exact"/>
        <w:ind w:firstLine="500" w:firstLineChars="200"/>
        <w:rPr>
          <w:rFonts w:ascii="Times New Roman"/>
          <w:sz w:val="24"/>
          <w:szCs w:val="24"/>
        </w:rPr>
      </w:pPr>
      <w:r>
        <w:rPr>
          <w:rFonts w:ascii="Times New Roman"/>
          <w:szCs w:val="22"/>
        </w:rPr>
        <w:t>二甲苯参照《环境影响评价技术导则 大气环境》（HJ2.2-2018）附录D表D.1其他污染物空气质量浓度参考限值。</w:t>
      </w:r>
    </w:p>
    <w:p w14:paraId="1B212086">
      <w:pPr>
        <w:spacing w:line="480" w:lineRule="exact"/>
        <w:ind w:firstLine="480" w:firstLineChars="200"/>
        <w:rPr>
          <w:rFonts w:ascii="Times New Roman"/>
          <w:sz w:val="24"/>
          <w:szCs w:val="24"/>
        </w:rPr>
      </w:pPr>
      <w:r>
        <w:rPr>
          <w:rFonts w:ascii="Times New Roman"/>
          <w:sz w:val="24"/>
          <w:szCs w:val="24"/>
        </w:rPr>
        <w:t>②地下水环境：执行《地下水质量标准》（GB/T14848-2017）Ⅲ类标准，石油类参照执行《地表水环境质量标准》（GB3838-2002）III类标准。</w:t>
      </w:r>
    </w:p>
    <w:p w14:paraId="39EC087C">
      <w:pPr>
        <w:spacing w:line="480" w:lineRule="exact"/>
        <w:ind w:firstLine="480" w:firstLineChars="200"/>
        <w:rPr>
          <w:rFonts w:ascii="Times New Roman"/>
          <w:sz w:val="24"/>
          <w:szCs w:val="24"/>
        </w:rPr>
      </w:pPr>
      <w:r>
        <w:rPr>
          <w:rFonts w:ascii="Times New Roman"/>
          <w:sz w:val="24"/>
          <w:szCs w:val="24"/>
        </w:rPr>
        <w:t>③声环境：执行《声环境质量标准》（GB3096-2008）中3类声环境功能区标准。</w:t>
      </w:r>
    </w:p>
    <w:p w14:paraId="1268FDD1">
      <w:pPr>
        <w:spacing w:line="480" w:lineRule="exact"/>
        <w:ind w:firstLine="480" w:firstLineChars="200"/>
        <w:rPr>
          <w:rFonts w:ascii="Times New Roman"/>
          <w:sz w:val="24"/>
          <w:szCs w:val="24"/>
        </w:rPr>
      </w:pPr>
      <w:r>
        <w:rPr>
          <w:rFonts w:ascii="Times New Roman"/>
          <w:sz w:val="24"/>
          <w:szCs w:val="24"/>
        </w:rPr>
        <w:t>④土壤环境：执行《土壤环境质量 建设用地土壤污染风险管控标准（试行）》（GB36600-2018）表1</w:t>
      </w:r>
      <w:r>
        <w:rPr>
          <w:rFonts w:ascii="Times New Roman"/>
        </w:rPr>
        <w:t>中第二类用地土壤风险筛选值标准</w:t>
      </w:r>
      <w:r>
        <w:rPr>
          <w:rFonts w:ascii="Times New Roman"/>
          <w:sz w:val="24"/>
          <w:szCs w:val="24"/>
        </w:rPr>
        <w:t>、《建设用地土壤污染风险筛选值》（DB13/T5216-2020）表1相关标准要求。</w:t>
      </w:r>
    </w:p>
    <w:p w14:paraId="1380614D">
      <w:pPr>
        <w:pStyle w:val="151"/>
        <w:ind w:left="500"/>
      </w:pPr>
    </w:p>
    <w:p w14:paraId="775BD146">
      <w:pPr>
        <w:spacing w:line="480" w:lineRule="exact"/>
        <w:ind w:firstLine="482" w:firstLineChars="200"/>
        <w:jc w:val="center"/>
        <w:rPr>
          <w:rFonts w:ascii="Times New Roman"/>
          <w:b/>
          <w:sz w:val="24"/>
          <w:szCs w:val="24"/>
        </w:rPr>
      </w:pPr>
      <w:r>
        <w:rPr>
          <w:rFonts w:ascii="Times New Roman"/>
          <w:b/>
          <w:sz w:val="24"/>
          <w:szCs w:val="24"/>
        </w:rPr>
        <w:t>表2.7-1  环境空气质量标准</w:t>
      </w:r>
    </w:p>
    <w:tbl>
      <w:tblPr>
        <w:tblStyle w:val="8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8"/>
        <w:gridCol w:w="1433"/>
        <w:gridCol w:w="1546"/>
        <w:gridCol w:w="854"/>
        <w:gridCol w:w="946"/>
        <w:gridCol w:w="2488"/>
      </w:tblGrid>
      <w:tr w14:paraId="25FC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blHeader/>
          <w:jc w:val="center"/>
        </w:trPr>
        <w:tc>
          <w:tcPr>
            <w:tcW w:w="1028" w:type="dxa"/>
            <w:vAlign w:val="center"/>
          </w:tcPr>
          <w:p w14:paraId="1B5F83EF">
            <w:pPr>
              <w:jc w:val="center"/>
              <w:rPr>
                <w:rFonts w:ascii="Times New Roman"/>
                <w:bCs/>
                <w:sz w:val="21"/>
                <w:szCs w:val="21"/>
              </w:rPr>
            </w:pPr>
            <w:r>
              <w:rPr>
                <w:rFonts w:ascii="Times New Roman"/>
                <w:bCs/>
                <w:sz w:val="21"/>
                <w:szCs w:val="21"/>
              </w:rPr>
              <w:t>环境要素</w:t>
            </w:r>
          </w:p>
        </w:tc>
        <w:tc>
          <w:tcPr>
            <w:tcW w:w="1433" w:type="dxa"/>
            <w:vAlign w:val="center"/>
          </w:tcPr>
          <w:p w14:paraId="22B85DC3">
            <w:pPr>
              <w:jc w:val="center"/>
              <w:rPr>
                <w:rFonts w:ascii="Times New Roman"/>
                <w:bCs/>
                <w:sz w:val="21"/>
                <w:szCs w:val="21"/>
              </w:rPr>
            </w:pPr>
            <w:r>
              <w:rPr>
                <w:rFonts w:ascii="Times New Roman"/>
                <w:bCs/>
                <w:sz w:val="21"/>
                <w:szCs w:val="21"/>
              </w:rPr>
              <w:t>污染物名称</w:t>
            </w:r>
          </w:p>
        </w:tc>
        <w:tc>
          <w:tcPr>
            <w:tcW w:w="1546" w:type="dxa"/>
            <w:vAlign w:val="center"/>
          </w:tcPr>
          <w:p w14:paraId="0089BF19">
            <w:pPr>
              <w:jc w:val="center"/>
              <w:rPr>
                <w:rFonts w:ascii="Times New Roman"/>
                <w:bCs/>
                <w:sz w:val="21"/>
                <w:szCs w:val="21"/>
              </w:rPr>
            </w:pPr>
            <w:r>
              <w:rPr>
                <w:rFonts w:ascii="Times New Roman"/>
                <w:bCs/>
                <w:sz w:val="21"/>
                <w:szCs w:val="21"/>
              </w:rPr>
              <w:t>时段</w:t>
            </w:r>
          </w:p>
        </w:tc>
        <w:tc>
          <w:tcPr>
            <w:tcW w:w="854" w:type="dxa"/>
            <w:vAlign w:val="center"/>
          </w:tcPr>
          <w:p w14:paraId="69E1FB27">
            <w:pPr>
              <w:jc w:val="center"/>
              <w:rPr>
                <w:rFonts w:ascii="Times New Roman"/>
                <w:bCs/>
                <w:sz w:val="21"/>
                <w:szCs w:val="21"/>
              </w:rPr>
            </w:pPr>
            <w:r>
              <w:rPr>
                <w:rFonts w:ascii="Times New Roman"/>
                <w:bCs/>
                <w:sz w:val="21"/>
                <w:szCs w:val="21"/>
              </w:rPr>
              <w:t>标准值</w:t>
            </w:r>
          </w:p>
        </w:tc>
        <w:tc>
          <w:tcPr>
            <w:tcW w:w="946" w:type="dxa"/>
            <w:vAlign w:val="center"/>
          </w:tcPr>
          <w:p w14:paraId="01CC6A42">
            <w:pPr>
              <w:jc w:val="center"/>
              <w:rPr>
                <w:rFonts w:ascii="Times New Roman"/>
                <w:bCs/>
                <w:sz w:val="21"/>
                <w:szCs w:val="21"/>
              </w:rPr>
            </w:pPr>
            <w:r>
              <w:rPr>
                <w:rFonts w:ascii="Times New Roman"/>
                <w:bCs/>
                <w:sz w:val="21"/>
                <w:szCs w:val="21"/>
              </w:rPr>
              <w:t>单位</w:t>
            </w:r>
          </w:p>
        </w:tc>
        <w:tc>
          <w:tcPr>
            <w:tcW w:w="2488" w:type="dxa"/>
            <w:vAlign w:val="center"/>
          </w:tcPr>
          <w:p w14:paraId="41A8F346">
            <w:pPr>
              <w:jc w:val="center"/>
              <w:rPr>
                <w:rFonts w:ascii="Times New Roman"/>
                <w:bCs/>
                <w:sz w:val="21"/>
                <w:szCs w:val="21"/>
              </w:rPr>
            </w:pPr>
            <w:r>
              <w:rPr>
                <w:rFonts w:ascii="Times New Roman"/>
                <w:bCs/>
                <w:sz w:val="21"/>
                <w:szCs w:val="21"/>
              </w:rPr>
              <w:t>标准来源</w:t>
            </w:r>
          </w:p>
        </w:tc>
      </w:tr>
      <w:tr w14:paraId="0DF8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restart"/>
            <w:vAlign w:val="center"/>
          </w:tcPr>
          <w:p w14:paraId="4B359672">
            <w:pPr>
              <w:jc w:val="center"/>
              <w:rPr>
                <w:rFonts w:ascii="Times New Roman"/>
                <w:sz w:val="21"/>
                <w:szCs w:val="21"/>
              </w:rPr>
            </w:pPr>
            <w:r>
              <w:rPr>
                <w:rFonts w:ascii="Times New Roman"/>
                <w:sz w:val="21"/>
                <w:szCs w:val="21"/>
              </w:rPr>
              <w:t>大气环境</w:t>
            </w:r>
          </w:p>
        </w:tc>
        <w:tc>
          <w:tcPr>
            <w:tcW w:w="1433" w:type="dxa"/>
            <w:vAlign w:val="center"/>
          </w:tcPr>
          <w:p w14:paraId="7B606EBD">
            <w:pPr>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546" w:type="dxa"/>
            <w:vAlign w:val="center"/>
          </w:tcPr>
          <w:p w14:paraId="1C489CE9">
            <w:pPr>
              <w:jc w:val="center"/>
              <w:rPr>
                <w:rFonts w:ascii="Times New Roman"/>
                <w:sz w:val="21"/>
                <w:szCs w:val="21"/>
              </w:rPr>
            </w:pPr>
            <w:r>
              <w:rPr>
                <w:rFonts w:ascii="Times New Roman"/>
                <w:sz w:val="21"/>
                <w:szCs w:val="21"/>
              </w:rPr>
              <w:t>1h平均</w:t>
            </w:r>
          </w:p>
          <w:p w14:paraId="579AF301">
            <w:pPr>
              <w:jc w:val="center"/>
              <w:rPr>
                <w:rFonts w:ascii="Times New Roman"/>
                <w:sz w:val="21"/>
                <w:szCs w:val="21"/>
              </w:rPr>
            </w:pPr>
            <w:r>
              <w:rPr>
                <w:rFonts w:ascii="Times New Roman"/>
                <w:sz w:val="21"/>
                <w:szCs w:val="21"/>
              </w:rPr>
              <w:t>24h平均</w:t>
            </w:r>
          </w:p>
          <w:p w14:paraId="76BCDC07">
            <w:pPr>
              <w:jc w:val="center"/>
              <w:rPr>
                <w:rFonts w:ascii="Times New Roman"/>
                <w:sz w:val="21"/>
                <w:szCs w:val="21"/>
              </w:rPr>
            </w:pPr>
            <w:r>
              <w:rPr>
                <w:rFonts w:ascii="Times New Roman"/>
                <w:sz w:val="21"/>
                <w:szCs w:val="21"/>
              </w:rPr>
              <w:t>年平均</w:t>
            </w:r>
          </w:p>
        </w:tc>
        <w:tc>
          <w:tcPr>
            <w:tcW w:w="854" w:type="dxa"/>
            <w:vAlign w:val="center"/>
          </w:tcPr>
          <w:p w14:paraId="37EE6815">
            <w:pPr>
              <w:jc w:val="center"/>
              <w:rPr>
                <w:rFonts w:ascii="Times New Roman"/>
                <w:sz w:val="21"/>
                <w:szCs w:val="21"/>
              </w:rPr>
            </w:pPr>
            <w:r>
              <w:rPr>
                <w:rFonts w:ascii="Times New Roman"/>
                <w:sz w:val="21"/>
                <w:szCs w:val="21"/>
              </w:rPr>
              <w:t>500</w:t>
            </w:r>
          </w:p>
          <w:p w14:paraId="3DD8A002">
            <w:pPr>
              <w:jc w:val="center"/>
              <w:rPr>
                <w:rFonts w:ascii="Times New Roman"/>
                <w:sz w:val="21"/>
                <w:szCs w:val="21"/>
              </w:rPr>
            </w:pPr>
            <w:r>
              <w:rPr>
                <w:rFonts w:ascii="Times New Roman"/>
                <w:sz w:val="21"/>
                <w:szCs w:val="21"/>
              </w:rPr>
              <w:t>150</w:t>
            </w:r>
          </w:p>
          <w:p w14:paraId="578EC59C">
            <w:pPr>
              <w:jc w:val="center"/>
              <w:rPr>
                <w:rFonts w:ascii="Times New Roman"/>
                <w:sz w:val="21"/>
                <w:szCs w:val="21"/>
              </w:rPr>
            </w:pPr>
            <w:r>
              <w:rPr>
                <w:rFonts w:ascii="Times New Roman"/>
                <w:sz w:val="21"/>
                <w:szCs w:val="21"/>
              </w:rPr>
              <w:t>60</w:t>
            </w:r>
          </w:p>
        </w:tc>
        <w:tc>
          <w:tcPr>
            <w:tcW w:w="946" w:type="dxa"/>
            <w:vAlign w:val="center"/>
          </w:tcPr>
          <w:p w14:paraId="3E7FB81A">
            <w:pPr>
              <w:jc w:val="center"/>
              <w:rPr>
                <w:rFonts w:ascii="Times New Roman"/>
                <w:sz w:val="21"/>
                <w:szCs w:val="21"/>
              </w:rPr>
            </w:pPr>
            <w:r>
              <w:rPr>
                <w:rFonts w:ascii="Times New Roman"/>
                <w:sz w:val="21"/>
                <w:szCs w:val="21"/>
              </w:rPr>
              <w:t>μg/m³</w:t>
            </w:r>
          </w:p>
        </w:tc>
        <w:tc>
          <w:tcPr>
            <w:tcW w:w="2488" w:type="dxa"/>
            <w:vMerge w:val="restart"/>
            <w:vAlign w:val="center"/>
          </w:tcPr>
          <w:p w14:paraId="141F9C2D">
            <w:pPr>
              <w:jc w:val="center"/>
              <w:rPr>
                <w:rFonts w:ascii="Times New Roman"/>
                <w:sz w:val="21"/>
                <w:szCs w:val="21"/>
              </w:rPr>
            </w:pPr>
            <w:r>
              <w:rPr>
                <w:rFonts w:ascii="Times New Roman"/>
                <w:sz w:val="21"/>
                <w:szCs w:val="21"/>
              </w:rPr>
              <w:t>《环境空气质量标准》（GB3095-2012）中二级标准及修改单要求</w:t>
            </w:r>
          </w:p>
        </w:tc>
      </w:tr>
      <w:tr w14:paraId="183C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0C793DAC">
            <w:pPr>
              <w:jc w:val="center"/>
              <w:rPr>
                <w:rFonts w:ascii="Times New Roman"/>
                <w:sz w:val="21"/>
                <w:szCs w:val="21"/>
              </w:rPr>
            </w:pPr>
          </w:p>
        </w:tc>
        <w:tc>
          <w:tcPr>
            <w:tcW w:w="1433" w:type="dxa"/>
            <w:vAlign w:val="center"/>
          </w:tcPr>
          <w:p w14:paraId="3096E456">
            <w:pPr>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546" w:type="dxa"/>
            <w:vAlign w:val="center"/>
          </w:tcPr>
          <w:p w14:paraId="2ED2CA6E">
            <w:pPr>
              <w:jc w:val="center"/>
              <w:rPr>
                <w:rFonts w:ascii="Times New Roman"/>
                <w:sz w:val="21"/>
                <w:szCs w:val="21"/>
              </w:rPr>
            </w:pPr>
            <w:r>
              <w:rPr>
                <w:rFonts w:ascii="Times New Roman"/>
                <w:sz w:val="21"/>
                <w:szCs w:val="21"/>
              </w:rPr>
              <w:t>1h平均</w:t>
            </w:r>
          </w:p>
          <w:p w14:paraId="6FA7487E">
            <w:pPr>
              <w:jc w:val="center"/>
              <w:rPr>
                <w:rFonts w:ascii="Times New Roman"/>
                <w:sz w:val="21"/>
                <w:szCs w:val="21"/>
              </w:rPr>
            </w:pPr>
            <w:r>
              <w:rPr>
                <w:rFonts w:ascii="Times New Roman"/>
                <w:sz w:val="21"/>
                <w:szCs w:val="21"/>
              </w:rPr>
              <w:t>24h平均</w:t>
            </w:r>
          </w:p>
        </w:tc>
        <w:tc>
          <w:tcPr>
            <w:tcW w:w="854" w:type="dxa"/>
            <w:vAlign w:val="center"/>
          </w:tcPr>
          <w:p w14:paraId="6D053A64">
            <w:pPr>
              <w:jc w:val="center"/>
              <w:rPr>
                <w:rFonts w:ascii="Times New Roman"/>
                <w:sz w:val="21"/>
                <w:szCs w:val="21"/>
              </w:rPr>
            </w:pPr>
            <w:r>
              <w:rPr>
                <w:rFonts w:ascii="Times New Roman"/>
                <w:sz w:val="21"/>
                <w:szCs w:val="21"/>
              </w:rPr>
              <w:t>200</w:t>
            </w:r>
          </w:p>
          <w:p w14:paraId="63C09E11">
            <w:pPr>
              <w:jc w:val="center"/>
              <w:rPr>
                <w:rFonts w:ascii="Times New Roman"/>
                <w:sz w:val="21"/>
                <w:szCs w:val="21"/>
              </w:rPr>
            </w:pPr>
            <w:r>
              <w:rPr>
                <w:rFonts w:ascii="Times New Roman"/>
                <w:sz w:val="21"/>
                <w:szCs w:val="21"/>
              </w:rPr>
              <w:t>80</w:t>
            </w:r>
          </w:p>
        </w:tc>
        <w:tc>
          <w:tcPr>
            <w:tcW w:w="946" w:type="dxa"/>
            <w:vAlign w:val="center"/>
          </w:tcPr>
          <w:p w14:paraId="636541CE">
            <w:pPr>
              <w:jc w:val="center"/>
              <w:rPr>
                <w:rFonts w:ascii="Times New Roman"/>
                <w:sz w:val="21"/>
                <w:szCs w:val="21"/>
              </w:rPr>
            </w:pPr>
            <w:r>
              <w:rPr>
                <w:rFonts w:ascii="Times New Roman"/>
                <w:sz w:val="21"/>
                <w:szCs w:val="21"/>
              </w:rPr>
              <w:t>μg/m³</w:t>
            </w:r>
          </w:p>
        </w:tc>
        <w:tc>
          <w:tcPr>
            <w:tcW w:w="2488" w:type="dxa"/>
            <w:vMerge w:val="continue"/>
            <w:vAlign w:val="center"/>
          </w:tcPr>
          <w:p w14:paraId="373AAF00">
            <w:pPr>
              <w:jc w:val="center"/>
              <w:rPr>
                <w:rFonts w:ascii="Times New Roman"/>
                <w:sz w:val="21"/>
                <w:szCs w:val="21"/>
              </w:rPr>
            </w:pPr>
          </w:p>
        </w:tc>
      </w:tr>
      <w:tr w14:paraId="04FB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5D107AD2">
            <w:pPr>
              <w:jc w:val="center"/>
              <w:rPr>
                <w:rFonts w:ascii="Times New Roman"/>
                <w:sz w:val="21"/>
                <w:szCs w:val="21"/>
              </w:rPr>
            </w:pPr>
          </w:p>
        </w:tc>
        <w:tc>
          <w:tcPr>
            <w:tcW w:w="1433" w:type="dxa"/>
            <w:vAlign w:val="center"/>
          </w:tcPr>
          <w:p w14:paraId="53983BF9">
            <w:pPr>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546" w:type="dxa"/>
            <w:vAlign w:val="center"/>
          </w:tcPr>
          <w:p w14:paraId="6EE79988">
            <w:pPr>
              <w:jc w:val="center"/>
              <w:rPr>
                <w:rFonts w:ascii="Times New Roman"/>
                <w:sz w:val="21"/>
                <w:szCs w:val="21"/>
              </w:rPr>
            </w:pPr>
            <w:r>
              <w:rPr>
                <w:rFonts w:ascii="Times New Roman"/>
                <w:sz w:val="21"/>
                <w:szCs w:val="21"/>
              </w:rPr>
              <w:t>年均</w:t>
            </w:r>
          </w:p>
          <w:p w14:paraId="2844D96D">
            <w:pPr>
              <w:jc w:val="center"/>
              <w:rPr>
                <w:rFonts w:ascii="Times New Roman"/>
                <w:sz w:val="21"/>
                <w:szCs w:val="21"/>
              </w:rPr>
            </w:pPr>
            <w:r>
              <w:rPr>
                <w:rFonts w:ascii="Times New Roman"/>
                <w:sz w:val="21"/>
                <w:szCs w:val="21"/>
              </w:rPr>
              <w:t>24h平均</w:t>
            </w:r>
          </w:p>
        </w:tc>
        <w:tc>
          <w:tcPr>
            <w:tcW w:w="854" w:type="dxa"/>
            <w:vAlign w:val="center"/>
          </w:tcPr>
          <w:p w14:paraId="41361211">
            <w:pPr>
              <w:jc w:val="center"/>
              <w:rPr>
                <w:rFonts w:ascii="Times New Roman"/>
                <w:sz w:val="21"/>
                <w:szCs w:val="21"/>
              </w:rPr>
            </w:pPr>
            <w:r>
              <w:rPr>
                <w:rFonts w:ascii="Times New Roman"/>
                <w:sz w:val="21"/>
                <w:szCs w:val="21"/>
              </w:rPr>
              <w:t>70</w:t>
            </w:r>
          </w:p>
          <w:p w14:paraId="7E7B04D9">
            <w:pPr>
              <w:jc w:val="center"/>
              <w:rPr>
                <w:rFonts w:ascii="Times New Roman"/>
                <w:sz w:val="21"/>
                <w:szCs w:val="21"/>
              </w:rPr>
            </w:pPr>
            <w:r>
              <w:rPr>
                <w:rFonts w:ascii="Times New Roman"/>
                <w:sz w:val="21"/>
                <w:szCs w:val="21"/>
              </w:rPr>
              <w:t>150</w:t>
            </w:r>
          </w:p>
        </w:tc>
        <w:tc>
          <w:tcPr>
            <w:tcW w:w="946" w:type="dxa"/>
            <w:vAlign w:val="center"/>
          </w:tcPr>
          <w:p w14:paraId="2095A0F0">
            <w:pPr>
              <w:jc w:val="center"/>
              <w:rPr>
                <w:rFonts w:ascii="Times New Roman"/>
                <w:sz w:val="21"/>
                <w:szCs w:val="21"/>
              </w:rPr>
            </w:pPr>
            <w:r>
              <w:rPr>
                <w:rFonts w:ascii="Times New Roman"/>
                <w:sz w:val="21"/>
                <w:szCs w:val="21"/>
              </w:rPr>
              <w:t>μg/m³</w:t>
            </w:r>
          </w:p>
        </w:tc>
        <w:tc>
          <w:tcPr>
            <w:tcW w:w="2488" w:type="dxa"/>
            <w:vMerge w:val="continue"/>
            <w:vAlign w:val="center"/>
          </w:tcPr>
          <w:p w14:paraId="626E08A3">
            <w:pPr>
              <w:jc w:val="center"/>
              <w:rPr>
                <w:rFonts w:ascii="Times New Roman"/>
                <w:sz w:val="21"/>
                <w:szCs w:val="21"/>
              </w:rPr>
            </w:pPr>
          </w:p>
        </w:tc>
      </w:tr>
      <w:tr w14:paraId="6D14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39394F4C">
            <w:pPr>
              <w:jc w:val="center"/>
              <w:rPr>
                <w:rFonts w:ascii="Times New Roman"/>
                <w:sz w:val="21"/>
                <w:szCs w:val="21"/>
              </w:rPr>
            </w:pPr>
          </w:p>
        </w:tc>
        <w:tc>
          <w:tcPr>
            <w:tcW w:w="1433" w:type="dxa"/>
            <w:vAlign w:val="center"/>
          </w:tcPr>
          <w:p w14:paraId="708CF664">
            <w:pPr>
              <w:jc w:val="center"/>
              <w:rPr>
                <w:rFonts w:ascii="Times New Roman"/>
                <w:sz w:val="21"/>
                <w:szCs w:val="21"/>
              </w:rPr>
            </w:pPr>
            <w:r>
              <w:rPr>
                <w:rFonts w:ascii="Times New Roman"/>
                <w:sz w:val="21"/>
                <w:szCs w:val="21"/>
              </w:rPr>
              <w:t>PM</w:t>
            </w:r>
            <w:r>
              <w:rPr>
                <w:rFonts w:ascii="Times New Roman"/>
                <w:sz w:val="21"/>
                <w:szCs w:val="21"/>
                <w:vertAlign w:val="subscript"/>
              </w:rPr>
              <w:t>2.5</w:t>
            </w:r>
          </w:p>
        </w:tc>
        <w:tc>
          <w:tcPr>
            <w:tcW w:w="1546" w:type="dxa"/>
            <w:vAlign w:val="center"/>
          </w:tcPr>
          <w:p w14:paraId="17763D95">
            <w:pPr>
              <w:jc w:val="center"/>
              <w:rPr>
                <w:rFonts w:ascii="Times New Roman"/>
                <w:sz w:val="21"/>
                <w:szCs w:val="21"/>
              </w:rPr>
            </w:pPr>
            <w:r>
              <w:rPr>
                <w:rFonts w:ascii="Times New Roman"/>
                <w:sz w:val="21"/>
                <w:szCs w:val="21"/>
              </w:rPr>
              <w:t>年均</w:t>
            </w:r>
          </w:p>
          <w:p w14:paraId="30A90461">
            <w:pPr>
              <w:jc w:val="center"/>
              <w:rPr>
                <w:rFonts w:ascii="Times New Roman"/>
                <w:sz w:val="21"/>
                <w:szCs w:val="21"/>
              </w:rPr>
            </w:pPr>
            <w:r>
              <w:rPr>
                <w:rFonts w:ascii="Times New Roman"/>
                <w:sz w:val="21"/>
                <w:szCs w:val="21"/>
              </w:rPr>
              <w:t>24h平均</w:t>
            </w:r>
          </w:p>
        </w:tc>
        <w:tc>
          <w:tcPr>
            <w:tcW w:w="854" w:type="dxa"/>
            <w:vAlign w:val="center"/>
          </w:tcPr>
          <w:p w14:paraId="616744B3">
            <w:pPr>
              <w:jc w:val="center"/>
              <w:rPr>
                <w:rFonts w:ascii="Times New Roman"/>
                <w:sz w:val="21"/>
                <w:szCs w:val="21"/>
              </w:rPr>
            </w:pPr>
            <w:r>
              <w:rPr>
                <w:rFonts w:ascii="Times New Roman"/>
                <w:sz w:val="21"/>
                <w:szCs w:val="21"/>
              </w:rPr>
              <w:t>35</w:t>
            </w:r>
          </w:p>
          <w:p w14:paraId="677DC29D">
            <w:pPr>
              <w:jc w:val="center"/>
              <w:rPr>
                <w:rFonts w:ascii="Times New Roman"/>
                <w:sz w:val="21"/>
                <w:szCs w:val="21"/>
              </w:rPr>
            </w:pPr>
            <w:r>
              <w:rPr>
                <w:rFonts w:ascii="Times New Roman"/>
                <w:sz w:val="21"/>
                <w:szCs w:val="21"/>
              </w:rPr>
              <w:t>75</w:t>
            </w:r>
          </w:p>
        </w:tc>
        <w:tc>
          <w:tcPr>
            <w:tcW w:w="946" w:type="dxa"/>
            <w:vAlign w:val="center"/>
          </w:tcPr>
          <w:p w14:paraId="7308EDE5">
            <w:pPr>
              <w:jc w:val="center"/>
              <w:rPr>
                <w:rFonts w:ascii="Times New Roman"/>
                <w:sz w:val="21"/>
                <w:szCs w:val="21"/>
              </w:rPr>
            </w:pPr>
            <w:r>
              <w:rPr>
                <w:rFonts w:ascii="Times New Roman"/>
                <w:sz w:val="21"/>
                <w:szCs w:val="21"/>
              </w:rPr>
              <w:t>μg/m³</w:t>
            </w:r>
          </w:p>
        </w:tc>
        <w:tc>
          <w:tcPr>
            <w:tcW w:w="2488" w:type="dxa"/>
            <w:vMerge w:val="continue"/>
            <w:vAlign w:val="center"/>
          </w:tcPr>
          <w:p w14:paraId="70A222EC">
            <w:pPr>
              <w:jc w:val="center"/>
              <w:rPr>
                <w:rFonts w:ascii="Times New Roman"/>
                <w:sz w:val="21"/>
                <w:szCs w:val="21"/>
              </w:rPr>
            </w:pPr>
          </w:p>
        </w:tc>
      </w:tr>
      <w:tr w14:paraId="74D5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58F7B17A">
            <w:pPr>
              <w:jc w:val="center"/>
              <w:rPr>
                <w:rFonts w:ascii="Times New Roman"/>
                <w:sz w:val="21"/>
                <w:szCs w:val="21"/>
              </w:rPr>
            </w:pPr>
          </w:p>
        </w:tc>
        <w:tc>
          <w:tcPr>
            <w:tcW w:w="1433" w:type="dxa"/>
            <w:vAlign w:val="center"/>
          </w:tcPr>
          <w:p w14:paraId="5DB15CE3">
            <w:pPr>
              <w:jc w:val="center"/>
              <w:rPr>
                <w:rFonts w:ascii="Times New Roman"/>
                <w:sz w:val="21"/>
                <w:szCs w:val="21"/>
              </w:rPr>
            </w:pPr>
            <w:r>
              <w:rPr>
                <w:rFonts w:ascii="Times New Roman"/>
                <w:sz w:val="21"/>
                <w:szCs w:val="21"/>
              </w:rPr>
              <w:t>CO</w:t>
            </w:r>
          </w:p>
        </w:tc>
        <w:tc>
          <w:tcPr>
            <w:tcW w:w="1546" w:type="dxa"/>
            <w:vAlign w:val="center"/>
          </w:tcPr>
          <w:p w14:paraId="1A791C24">
            <w:pPr>
              <w:jc w:val="center"/>
              <w:rPr>
                <w:rFonts w:ascii="Times New Roman"/>
                <w:sz w:val="21"/>
                <w:szCs w:val="21"/>
              </w:rPr>
            </w:pPr>
            <w:r>
              <w:rPr>
                <w:rFonts w:ascii="Times New Roman"/>
                <w:sz w:val="21"/>
                <w:szCs w:val="21"/>
              </w:rPr>
              <w:t>1h平均</w:t>
            </w:r>
          </w:p>
          <w:p w14:paraId="077FC830">
            <w:pPr>
              <w:jc w:val="center"/>
              <w:rPr>
                <w:rFonts w:ascii="Times New Roman"/>
                <w:sz w:val="21"/>
                <w:szCs w:val="21"/>
              </w:rPr>
            </w:pPr>
            <w:r>
              <w:rPr>
                <w:rFonts w:ascii="Times New Roman"/>
                <w:sz w:val="21"/>
                <w:szCs w:val="21"/>
              </w:rPr>
              <w:t>24h平均</w:t>
            </w:r>
          </w:p>
        </w:tc>
        <w:tc>
          <w:tcPr>
            <w:tcW w:w="854" w:type="dxa"/>
            <w:vAlign w:val="center"/>
          </w:tcPr>
          <w:p w14:paraId="524B50F5">
            <w:pPr>
              <w:jc w:val="center"/>
              <w:rPr>
                <w:rFonts w:ascii="Times New Roman"/>
                <w:sz w:val="21"/>
                <w:szCs w:val="21"/>
              </w:rPr>
            </w:pPr>
            <w:r>
              <w:rPr>
                <w:rFonts w:ascii="Times New Roman"/>
                <w:sz w:val="21"/>
                <w:szCs w:val="21"/>
              </w:rPr>
              <w:t>10</w:t>
            </w:r>
          </w:p>
          <w:p w14:paraId="37C0270E">
            <w:pPr>
              <w:jc w:val="center"/>
              <w:rPr>
                <w:rFonts w:ascii="Times New Roman"/>
                <w:sz w:val="21"/>
                <w:szCs w:val="21"/>
              </w:rPr>
            </w:pPr>
            <w:r>
              <w:rPr>
                <w:rFonts w:ascii="Times New Roman"/>
                <w:sz w:val="21"/>
                <w:szCs w:val="21"/>
              </w:rPr>
              <w:t>4</w:t>
            </w:r>
          </w:p>
        </w:tc>
        <w:tc>
          <w:tcPr>
            <w:tcW w:w="946" w:type="dxa"/>
            <w:vAlign w:val="center"/>
          </w:tcPr>
          <w:p w14:paraId="1DAE57B1">
            <w:pPr>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2488" w:type="dxa"/>
            <w:vMerge w:val="continue"/>
            <w:vAlign w:val="center"/>
          </w:tcPr>
          <w:p w14:paraId="77F34F75">
            <w:pPr>
              <w:jc w:val="center"/>
              <w:rPr>
                <w:rFonts w:ascii="Times New Roman"/>
                <w:sz w:val="21"/>
                <w:szCs w:val="21"/>
              </w:rPr>
            </w:pPr>
          </w:p>
        </w:tc>
      </w:tr>
      <w:tr w14:paraId="52B6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49FCAD23">
            <w:pPr>
              <w:jc w:val="center"/>
              <w:rPr>
                <w:rFonts w:ascii="Times New Roman"/>
                <w:sz w:val="21"/>
                <w:szCs w:val="21"/>
              </w:rPr>
            </w:pPr>
          </w:p>
        </w:tc>
        <w:tc>
          <w:tcPr>
            <w:tcW w:w="1433" w:type="dxa"/>
            <w:vAlign w:val="center"/>
          </w:tcPr>
          <w:p w14:paraId="66F61C23">
            <w:pPr>
              <w:jc w:val="center"/>
              <w:rPr>
                <w:rFonts w:ascii="Times New Roman"/>
                <w:sz w:val="21"/>
                <w:szCs w:val="21"/>
              </w:rPr>
            </w:pPr>
            <w:r>
              <w:rPr>
                <w:rFonts w:ascii="Times New Roman"/>
                <w:sz w:val="21"/>
                <w:szCs w:val="21"/>
              </w:rPr>
              <w:t>O</w:t>
            </w:r>
            <w:r>
              <w:rPr>
                <w:rFonts w:ascii="Times New Roman"/>
                <w:sz w:val="21"/>
                <w:szCs w:val="21"/>
                <w:vertAlign w:val="subscript"/>
              </w:rPr>
              <w:t>3</w:t>
            </w:r>
          </w:p>
        </w:tc>
        <w:tc>
          <w:tcPr>
            <w:tcW w:w="1546" w:type="dxa"/>
            <w:vAlign w:val="center"/>
          </w:tcPr>
          <w:p w14:paraId="28655FB2">
            <w:pPr>
              <w:jc w:val="center"/>
              <w:rPr>
                <w:rFonts w:ascii="Times New Roman"/>
                <w:sz w:val="21"/>
                <w:szCs w:val="21"/>
              </w:rPr>
            </w:pPr>
            <w:r>
              <w:rPr>
                <w:rFonts w:ascii="Times New Roman"/>
                <w:sz w:val="21"/>
                <w:szCs w:val="21"/>
              </w:rPr>
              <w:t>1h平均</w:t>
            </w:r>
          </w:p>
          <w:p w14:paraId="43778476">
            <w:pPr>
              <w:jc w:val="center"/>
              <w:rPr>
                <w:rFonts w:ascii="Times New Roman"/>
                <w:sz w:val="21"/>
                <w:szCs w:val="21"/>
              </w:rPr>
            </w:pPr>
            <w:r>
              <w:rPr>
                <w:rFonts w:ascii="Times New Roman"/>
                <w:sz w:val="21"/>
                <w:szCs w:val="21"/>
              </w:rPr>
              <w:t>日最大8h平均</w:t>
            </w:r>
          </w:p>
        </w:tc>
        <w:tc>
          <w:tcPr>
            <w:tcW w:w="854" w:type="dxa"/>
            <w:vAlign w:val="center"/>
          </w:tcPr>
          <w:p w14:paraId="38C8F7D3">
            <w:pPr>
              <w:jc w:val="center"/>
              <w:rPr>
                <w:rFonts w:ascii="Times New Roman"/>
                <w:sz w:val="21"/>
                <w:szCs w:val="21"/>
              </w:rPr>
            </w:pPr>
            <w:r>
              <w:rPr>
                <w:rFonts w:ascii="Times New Roman"/>
                <w:sz w:val="21"/>
                <w:szCs w:val="21"/>
              </w:rPr>
              <w:t>200</w:t>
            </w:r>
          </w:p>
          <w:p w14:paraId="34C4F0BF">
            <w:pPr>
              <w:jc w:val="center"/>
              <w:rPr>
                <w:rFonts w:ascii="Times New Roman"/>
                <w:sz w:val="21"/>
                <w:szCs w:val="21"/>
              </w:rPr>
            </w:pPr>
            <w:r>
              <w:rPr>
                <w:rFonts w:ascii="Times New Roman"/>
                <w:sz w:val="21"/>
                <w:szCs w:val="21"/>
              </w:rPr>
              <w:t>160</w:t>
            </w:r>
          </w:p>
        </w:tc>
        <w:tc>
          <w:tcPr>
            <w:tcW w:w="946" w:type="dxa"/>
            <w:vAlign w:val="center"/>
          </w:tcPr>
          <w:p w14:paraId="14F53290">
            <w:pPr>
              <w:jc w:val="center"/>
              <w:rPr>
                <w:rFonts w:ascii="Times New Roman"/>
                <w:sz w:val="21"/>
                <w:szCs w:val="21"/>
              </w:rPr>
            </w:pPr>
            <w:r>
              <w:rPr>
                <w:rFonts w:ascii="Times New Roman"/>
                <w:sz w:val="21"/>
                <w:szCs w:val="21"/>
              </w:rPr>
              <w:t>μg/m³</w:t>
            </w:r>
          </w:p>
        </w:tc>
        <w:tc>
          <w:tcPr>
            <w:tcW w:w="2488" w:type="dxa"/>
            <w:vMerge w:val="continue"/>
            <w:vAlign w:val="center"/>
          </w:tcPr>
          <w:p w14:paraId="1DFBAAB5">
            <w:pPr>
              <w:jc w:val="center"/>
              <w:rPr>
                <w:rFonts w:ascii="Times New Roman"/>
                <w:sz w:val="21"/>
                <w:szCs w:val="21"/>
              </w:rPr>
            </w:pPr>
          </w:p>
        </w:tc>
      </w:tr>
      <w:tr w14:paraId="7FD7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7FCC82E5">
            <w:pPr>
              <w:jc w:val="center"/>
              <w:rPr>
                <w:rFonts w:ascii="Times New Roman"/>
                <w:sz w:val="21"/>
                <w:szCs w:val="21"/>
              </w:rPr>
            </w:pPr>
          </w:p>
        </w:tc>
        <w:tc>
          <w:tcPr>
            <w:tcW w:w="1433" w:type="dxa"/>
            <w:vAlign w:val="center"/>
          </w:tcPr>
          <w:p w14:paraId="71FCA5AA">
            <w:pPr>
              <w:jc w:val="center"/>
              <w:rPr>
                <w:rFonts w:ascii="Times New Roman"/>
                <w:sz w:val="21"/>
                <w:szCs w:val="21"/>
              </w:rPr>
            </w:pPr>
            <w:r>
              <w:rPr>
                <w:rFonts w:ascii="Times New Roman"/>
                <w:sz w:val="21"/>
                <w:szCs w:val="21"/>
              </w:rPr>
              <w:t>TSP</w:t>
            </w:r>
          </w:p>
        </w:tc>
        <w:tc>
          <w:tcPr>
            <w:tcW w:w="1546" w:type="dxa"/>
            <w:vAlign w:val="center"/>
          </w:tcPr>
          <w:p w14:paraId="2EAE3F12">
            <w:pPr>
              <w:jc w:val="center"/>
              <w:rPr>
                <w:rFonts w:ascii="Times New Roman"/>
                <w:sz w:val="21"/>
                <w:szCs w:val="21"/>
              </w:rPr>
            </w:pPr>
            <w:r>
              <w:rPr>
                <w:rFonts w:ascii="Times New Roman"/>
                <w:sz w:val="21"/>
                <w:szCs w:val="21"/>
              </w:rPr>
              <w:t>年平均</w:t>
            </w:r>
          </w:p>
          <w:p w14:paraId="5A2D3D12">
            <w:pPr>
              <w:jc w:val="center"/>
              <w:rPr>
                <w:rFonts w:ascii="Times New Roman"/>
                <w:sz w:val="21"/>
                <w:szCs w:val="21"/>
              </w:rPr>
            </w:pPr>
            <w:r>
              <w:rPr>
                <w:rFonts w:ascii="Times New Roman"/>
                <w:sz w:val="21"/>
                <w:szCs w:val="21"/>
              </w:rPr>
              <w:t>24小时平均</w:t>
            </w:r>
          </w:p>
        </w:tc>
        <w:tc>
          <w:tcPr>
            <w:tcW w:w="854" w:type="dxa"/>
            <w:vAlign w:val="center"/>
          </w:tcPr>
          <w:p w14:paraId="3B37343B">
            <w:pPr>
              <w:jc w:val="center"/>
              <w:rPr>
                <w:rFonts w:ascii="Times New Roman"/>
                <w:sz w:val="21"/>
                <w:szCs w:val="21"/>
              </w:rPr>
            </w:pPr>
            <w:r>
              <w:rPr>
                <w:rFonts w:ascii="Times New Roman"/>
                <w:sz w:val="21"/>
                <w:szCs w:val="21"/>
              </w:rPr>
              <w:t>200</w:t>
            </w:r>
          </w:p>
          <w:p w14:paraId="6044F60B">
            <w:pPr>
              <w:jc w:val="center"/>
              <w:rPr>
                <w:rFonts w:ascii="Times New Roman"/>
                <w:sz w:val="21"/>
                <w:szCs w:val="21"/>
              </w:rPr>
            </w:pPr>
            <w:r>
              <w:rPr>
                <w:rFonts w:ascii="Times New Roman"/>
                <w:sz w:val="21"/>
                <w:szCs w:val="21"/>
              </w:rPr>
              <w:t>300</w:t>
            </w:r>
          </w:p>
        </w:tc>
        <w:tc>
          <w:tcPr>
            <w:tcW w:w="946" w:type="dxa"/>
            <w:vAlign w:val="center"/>
          </w:tcPr>
          <w:p w14:paraId="7217F395">
            <w:pPr>
              <w:jc w:val="center"/>
              <w:rPr>
                <w:rFonts w:ascii="Times New Roman"/>
                <w:sz w:val="21"/>
                <w:szCs w:val="21"/>
              </w:rPr>
            </w:pPr>
            <w:r>
              <w:rPr>
                <w:rFonts w:ascii="Times New Roman"/>
                <w:sz w:val="21"/>
                <w:szCs w:val="21"/>
              </w:rPr>
              <w:t>µg/m</w:t>
            </w:r>
            <w:r>
              <w:rPr>
                <w:rFonts w:ascii="Times New Roman"/>
                <w:sz w:val="21"/>
                <w:szCs w:val="21"/>
                <w:vertAlign w:val="superscript"/>
              </w:rPr>
              <w:t>3</w:t>
            </w:r>
          </w:p>
        </w:tc>
        <w:tc>
          <w:tcPr>
            <w:tcW w:w="2488" w:type="dxa"/>
            <w:vMerge w:val="continue"/>
            <w:vAlign w:val="center"/>
          </w:tcPr>
          <w:p w14:paraId="10EDBE15">
            <w:pPr>
              <w:jc w:val="center"/>
              <w:rPr>
                <w:rFonts w:ascii="Times New Roman"/>
                <w:sz w:val="21"/>
                <w:szCs w:val="21"/>
              </w:rPr>
            </w:pPr>
          </w:p>
        </w:tc>
      </w:tr>
      <w:tr w14:paraId="527C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5B521565">
            <w:pPr>
              <w:jc w:val="center"/>
              <w:rPr>
                <w:rFonts w:ascii="Times New Roman"/>
                <w:sz w:val="21"/>
                <w:szCs w:val="21"/>
              </w:rPr>
            </w:pPr>
          </w:p>
        </w:tc>
        <w:tc>
          <w:tcPr>
            <w:tcW w:w="1433" w:type="dxa"/>
            <w:vAlign w:val="center"/>
          </w:tcPr>
          <w:p w14:paraId="299AE3F9">
            <w:pPr>
              <w:jc w:val="center"/>
              <w:rPr>
                <w:rFonts w:ascii="Times New Roman"/>
                <w:sz w:val="21"/>
                <w:szCs w:val="21"/>
              </w:rPr>
            </w:pPr>
            <w:r>
              <w:rPr>
                <w:rFonts w:ascii="Times New Roman"/>
                <w:sz w:val="21"/>
                <w:szCs w:val="21"/>
              </w:rPr>
              <w:t>非甲烷总烃</w:t>
            </w:r>
          </w:p>
        </w:tc>
        <w:tc>
          <w:tcPr>
            <w:tcW w:w="1546" w:type="dxa"/>
            <w:vAlign w:val="center"/>
          </w:tcPr>
          <w:p w14:paraId="46C8865D">
            <w:pPr>
              <w:jc w:val="center"/>
              <w:rPr>
                <w:rFonts w:ascii="Times New Roman"/>
                <w:sz w:val="21"/>
                <w:szCs w:val="21"/>
              </w:rPr>
            </w:pPr>
            <w:r>
              <w:rPr>
                <w:rFonts w:ascii="Times New Roman"/>
                <w:sz w:val="21"/>
                <w:szCs w:val="21"/>
              </w:rPr>
              <w:t>1h平均</w:t>
            </w:r>
          </w:p>
        </w:tc>
        <w:tc>
          <w:tcPr>
            <w:tcW w:w="854" w:type="dxa"/>
            <w:vAlign w:val="center"/>
          </w:tcPr>
          <w:p w14:paraId="0FCC7DAA">
            <w:pPr>
              <w:jc w:val="center"/>
              <w:rPr>
                <w:rFonts w:ascii="Times New Roman"/>
                <w:sz w:val="21"/>
                <w:szCs w:val="21"/>
              </w:rPr>
            </w:pPr>
            <w:r>
              <w:rPr>
                <w:rFonts w:ascii="Times New Roman"/>
                <w:sz w:val="21"/>
                <w:szCs w:val="21"/>
              </w:rPr>
              <w:t>2.0</w:t>
            </w:r>
          </w:p>
        </w:tc>
        <w:tc>
          <w:tcPr>
            <w:tcW w:w="946" w:type="dxa"/>
            <w:vAlign w:val="center"/>
          </w:tcPr>
          <w:p w14:paraId="6288176F">
            <w:pPr>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2488" w:type="dxa"/>
            <w:vAlign w:val="center"/>
          </w:tcPr>
          <w:p w14:paraId="35894DE8">
            <w:pPr>
              <w:jc w:val="center"/>
              <w:rPr>
                <w:rFonts w:ascii="Times New Roman"/>
                <w:sz w:val="21"/>
                <w:szCs w:val="21"/>
              </w:rPr>
            </w:pPr>
            <w:r>
              <w:rPr>
                <w:rFonts w:ascii="Times New Roman"/>
                <w:sz w:val="21"/>
                <w:szCs w:val="21"/>
              </w:rPr>
              <w:t>《环境空气质量 非甲烷总烃限值》（DB13/1577-2012）二级标准要求</w:t>
            </w:r>
          </w:p>
        </w:tc>
      </w:tr>
      <w:tr w14:paraId="5E3D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continue"/>
            <w:vAlign w:val="center"/>
          </w:tcPr>
          <w:p w14:paraId="3CBE901B">
            <w:pPr>
              <w:jc w:val="center"/>
              <w:rPr>
                <w:rFonts w:ascii="Times New Roman"/>
                <w:sz w:val="21"/>
                <w:szCs w:val="21"/>
              </w:rPr>
            </w:pPr>
          </w:p>
        </w:tc>
        <w:tc>
          <w:tcPr>
            <w:tcW w:w="1433" w:type="dxa"/>
            <w:shd w:val="clear" w:color="auto" w:fill="auto"/>
            <w:vAlign w:val="center"/>
          </w:tcPr>
          <w:p w14:paraId="03B4D713">
            <w:pPr>
              <w:jc w:val="center"/>
              <w:rPr>
                <w:rFonts w:ascii="Times New Roman"/>
                <w:sz w:val="21"/>
                <w:szCs w:val="21"/>
              </w:rPr>
            </w:pPr>
            <w:r>
              <w:rPr>
                <w:rFonts w:ascii="Times New Roman"/>
                <w:sz w:val="21"/>
                <w:szCs w:val="21"/>
              </w:rPr>
              <w:t>二甲苯</w:t>
            </w:r>
          </w:p>
        </w:tc>
        <w:tc>
          <w:tcPr>
            <w:tcW w:w="1546" w:type="dxa"/>
            <w:shd w:val="clear" w:color="auto" w:fill="auto"/>
            <w:vAlign w:val="center"/>
          </w:tcPr>
          <w:p w14:paraId="088B9F64">
            <w:pPr>
              <w:jc w:val="center"/>
              <w:rPr>
                <w:rFonts w:ascii="Times New Roman"/>
                <w:sz w:val="21"/>
                <w:szCs w:val="21"/>
              </w:rPr>
            </w:pPr>
            <w:r>
              <w:rPr>
                <w:rFonts w:ascii="Times New Roman"/>
                <w:sz w:val="21"/>
                <w:szCs w:val="21"/>
              </w:rPr>
              <w:t>1h平均</w:t>
            </w:r>
          </w:p>
        </w:tc>
        <w:tc>
          <w:tcPr>
            <w:tcW w:w="854" w:type="dxa"/>
            <w:shd w:val="clear" w:color="auto" w:fill="auto"/>
            <w:vAlign w:val="center"/>
          </w:tcPr>
          <w:p w14:paraId="163E966C">
            <w:pPr>
              <w:jc w:val="center"/>
              <w:rPr>
                <w:rFonts w:ascii="Times New Roman"/>
                <w:sz w:val="21"/>
                <w:szCs w:val="21"/>
              </w:rPr>
            </w:pPr>
            <w:r>
              <w:rPr>
                <w:rFonts w:ascii="Times New Roman"/>
                <w:sz w:val="21"/>
                <w:szCs w:val="21"/>
              </w:rPr>
              <w:t>200</w:t>
            </w:r>
          </w:p>
        </w:tc>
        <w:tc>
          <w:tcPr>
            <w:tcW w:w="946" w:type="dxa"/>
            <w:shd w:val="clear" w:color="auto" w:fill="auto"/>
            <w:vAlign w:val="center"/>
          </w:tcPr>
          <w:p w14:paraId="56223141">
            <w:pPr>
              <w:jc w:val="center"/>
              <w:rPr>
                <w:rFonts w:ascii="Times New Roman"/>
                <w:sz w:val="21"/>
                <w:szCs w:val="21"/>
              </w:rPr>
            </w:pPr>
            <w:r>
              <w:rPr>
                <w:rFonts w:ascii="Times New Roman"/>
                <w:sz w:val="21"/>
                <w:szCs w:val="21"/>
              </w:rPr>
              <w:t>μg/m³</w:t>
            </w:r>
          </w:p>
        </w:tc>
        <w:tc>
          <w:tcPr>
            <w:tcW w:w="2488" w:type="dxa"/>
            <w:vAlign w:val="center"/>
          </w:tcPr>
          <w:p w14:paraId="661E506E">
            <w:pPr>
              <w:jc w:val="center"/>
              <w:rPr>
                <w:rFonts w:ascii="Times New Roman"/>
                <w:sz w:val="21"/>
                <w:szCs w:val="21"/>
              </w:rPr>
            </w:pPr>
            <w:r>
              <w:rPr>
                <w:rFonts w:ascii="Times New Roman"/>
                <w:sz w:val="21"/>
                <w:szCs w:val="21"/>
              </w:rPr>
              <w:t>《环境影响评价技术导则 大气环境》（HJ2.2-2018）中附录D其他污染物空气质量浓度参考限值</w:t>
            </w:r>
          </w:p>
        </w:tc>
      </w:tr>
    </w:tbl>
    <w:p w14:paraId="58FD9DBB">
      <w:pPr>
        <w:spacing w:line="480" w:lineRule="exact"/>
        <w:ind w:firstLine="482" w:firstLineChars="200"/>
        <w:jc w:val="center"/>
        <w:rPr>
          <w:rFonts w:ascii="Times New Roman"/>
          <w:b/>
          <w:sz w:val="24"/>
          <w:szCs w:val="24"/>
        </w:rPr>
      </w:pPr>
      <w:r>
        <w:rPr>
          <w:rFonts w:ascii="Times New Roman"/>
          <w:b/>
          <w:sz w:val="24"/>
          <w:szCs w:val="24"/>
        </w:rPr>
        <w:t>表2.7-2  地下水环境质量标准</w:t>
      </w:r>
    </w:p>
    <w:tbl>
      <w:tblPr>
        <w:tblStyle w:val="84"/>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4"/>
        <w:gridCol w:w="2096"/>
        <w:gridCol w:w="1229"/>
        <w:gridCol w:w="1143"/>
        <w:gridCol w:w="2545"/>
      </w:tblGrid>
      <w:tr w14:paraId="1D6A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14:paraId="41087410">
            <w:pPr>
              <w:jc w:val="center"/>
              <w:rPr>
                <w:rFonts w:ascii="Times New Roman"/>
                <w:sz w:val="21"/>
                <w:szCs w:val="21"/>
              </w:rPr>
            </w:pPr>
            <w:r>
              <w:rPr>
                <w:rFonts w:ascii="Times New Roman"/>
                <w:sz w:val="21"/>
                <w:szCs w:val="21"/>
              </w:rPr>
              <w:t>环境要素</w:t>
            </w:r>
          </w:p>
        </w:tc>
        <w:tc>
          <w:tcPr>
            <w:tcW w:w="2096" w:type="dxa"/>
            <w:tcBorders>
              <w:top w:val="single" w:color="auto" w:sz="4" w:space="0"/>
              <w:left w:val="nil"/>
              <w:bottom w:val="single" w:color="auto" w:sz="4" w:space="0"/>
              <w:right w:val="single" w:color="auto" w:sz="4" w:space="0"/>
            </w:tcBorders>
            <w:vAlign w:val="center"/>
          </w:tcPr>
          <w:p w14:paraId="2C389AC1">
            <w:pPr>
              <w:jc w:val="center"/>
              <w:rPr>
                <w:rFonts w:ascii="Times New Roman"/>
                <w:sz w:val="21"/>
                <w:szCs w:val="21"/>
              </w:rPr>
            </w:pPr>
            <w:r>
              <w:rPr>
                <w:rFonts w:ascii="Times New Roman"/>
                <w:sz w:val="21"/>
                <w:szCs w:val="21"/>
              </w:rPr>
              <w:t>污染物名称</w:t>
            </w:r>
          </w:p>
        </w:tc>
        <w:tc>
          <w:tcPr>
            <w:tcW w:w="1229" w:type="dxa"/>
            <w:tcBorders>
              <w:top w:val="single" w:color="auto" w:sz="4" w:space="0"/>
              <w:left w:val="nil"/>
              <w:bottom w:val="single" w:color="auto" w:sz="4" w:space="0"/>
              <w:right w:val="single" w:color="auto" w:sz="4" w:space="0"/>
            </w:tcBorders>
            <w:vAlign w:val="center"/>
          </w:tcPr>
          <w:p w14:paraId="68F02897">
            <w:pPr>
              <w:jc w:val="center"/>
              <w:rPr>
                <w:rFonts w:ascii="Times New Roman"/>
                <w:sz w:val="21"/>
                <w:szCs w:val="21"/>
              </w:rPr>
            </w:pPr>
            <w:r>
              <w:rPr>
                <w:rFonts w:ascii="Times New Roman"/>
                <w:sz w:val="21"/>
                <w:szCs w:val="21"/>
              </w:rPr>
              <w:t>标准值</w:t>
            </w:r>
          </w:p>
        </w:tc>
        <w:tc>
          <w:tcPr>
            <w:tcW w:w="1143" w:type="dxa"/>
            <w:tcBorders>
              <w:top w:val="single" w:color="auto" w:sz="4" w:space="0"/>
              <w:left w:val="nil"/>
              <w:bottom w:val="single" w:color="auto" w:sz="4" w:space="0"/>
              <w:right w:val="single" w:color="auto" w:sz="4" w:space="0"/>
            </w:tcBorders>
            <w:vAlign w:val="center"/>
          </w:tcPr>
          <w:p w14:paraId="75AADAB3">
            <w:pPr>
              <w:jc w:val="center"/>
              <w:rPr>
                <w:rFonts w:ascii="Times New Roman"/>
                <w:sz w:val="21"/>
                <w:szCs w:val="21"/>
              </w:rPr>
            </w:pPr>
            <w:r>
              <w:rPr>
                <w:rFonts w:ascii="Times New Roman"/>
                <w:sz w:val="21"/>
                <w:szCs w:val="21"/>
              </w:rPr>
              <w:t>单位</w:t>
            </w:r>
          </w:p>
        </w:tc>
        <w:tc>
          <w:tcPr>
            <w:tcW w:w="2545" w:type="dxa"/>
            <w:tcBorders>
              <w:top w:val="single" w:color="auto" w:sz="4" w:space="0"/>
              <w:left w:val="nil"/>
              <w:bottom w:val="single" w:color="auto" w:sz="4" w:space="0"/>
              <w:right w:val="single" w:color="auto" w:sz="4" w:space="0"/>
            </w:tcBorders>
            <w:vAlign w:val="center"/>
          </w:tcPr>
          <w:p w14:paraId="6884D5E7">
            <w:pPr>
              <w:jc w:val="center"/>
              <w:rPr>
                <w:rFonts w:ascii="Times New Roman"/>
                <w:sz w:val="21"/>
                <w:szCs w:val="21"/>
              </w:rPr>
            </w:pPr>
            <w:r>
              <w:rPr>
                <w:rFonts w:ascii="Times New Roman"/>
                <w:sz w:val="21"/>
                <w:szCs w:val="21"/>
              </w:rPr>
              <w:t>标准来源</w:t>
            </w:r>
          </w:p>
        </w:tc>
      </w:tr>
      <w:tr w14:paraId="6D37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restart"/>
            <w:tcBorders>
              <w:top w:val="nil"/>
              <w:left w:val="single" w:color="auto" w:sz="4" w:space="0"/>
              <w:bottom w:val="single" w:color="auto" w:sz="4" w:space="0"/>
              <w:right w:val="single" w:color="auto" w:sz="4" w:space="0"/>
            </w:tcBorders>
            <w:vAlign w:val="center"/>
          </w:tcPr>
          <w:p w14:paraId="05A94016">
            <w:pPr>
              <w:jc w:val="center"/>
              <w:rPr>
                <w:rFonts w:ascii="Times New Roman"/>
                <w:sz w:val="21"/>
                <w:szCs w:val="21"/>
              </w:rPr>
            </w:pPr>
            <w:r>
              <w:rPr>
                <w:rFonts w:ascii="Times New Roman"/>
                <w:sz w:val="21"/>
                <w:szCs w:val="21"/>
              </w:rPr>
              <w:t>地下水</w:t>
            </w:r>
          </w:p>
          <w:p w14:paraId="57C0C512">
            <w:pPr>
              <w:jc w:val="center"/>
              <w:rPr>
                <w:rFonts w:ascii="Times New Roman"/>
                <w:sz w:val="21"/>
                <w:szCs w:val="21"/>
              </w:rPr>
            </w:pPr>
            <w:r>
              <w:rPr>
                <w:rFonts w:ascii="Times New Roman"/>
                <w:sz w:val="21"/>
                <w:szCs w:val="21"/>
              </w:rPr>
              <w:t>环境</w:t>
            </w:r>
          </w:p>
        </w:tc>
        <w:tc>
          <w:tcPr>
            <w:tcW w:w="2096" w:type="dxa"/>
            <w:tcBorders>
              <w:top w:val="single" w:color="auto" w:sz="4" w:space="0"/>
              <w:left w:val="nil"/>
              <w:bottom w:val="single" w:color="auto" w:sz="4" w:space="0"/>
              <w:right w:val="single" w:color="auto" w:sz="4" w:space="0"/>
            </w:tcBorders>
            <w:vAlign w:val="center"/>
          </w:tcPr>
          <w:p w14:paraId="698D0AA3">
            <w:pPr>
              <w:jc w:val="center"/>
              <w:rPr>
                <w:rFonts w:ascii="Times New Roman"/>
                <w:sz w:val="21"/>
                <w:szCs w:val="21"/>
              </w:rPr>
            </w:pPr>
            <w:r>
              <w:rPr>
                <w:rFonts w:ascii="Times New Roman"/>
                <w:sz w:val="21"/>
                <w:szCs w:val="21"/>
              </w:rPr>
              <w:t>pH</w:t>
            </w:r>
          </w:p>
        </w:tc>
        <w:tc>
          <w:tcPr>
            <w:tcW w:w="1229" w:type="dxa"/>
            <w:tcBorders>
              <w:top w:val="single" w:color="auto" w:sz="4" w:space="0"/>
              <w:left w:val="nil"/>
              <w:bottom w:val="single" w:color="auto" w:sz="4" w:space="0"/>
              <w:right w:val="single" w:color="auto" w:sz="4" w:space="0"/>
            </w:tcBorders>
            <w:vAlign w:val="center"/>
          </w:tcPr>
          <w:p w14:paraId="32F7F1C3">
            <w:pPr>
              <w:jc w:val="center"/>
              <w:rPr>
                <w:rFonts w:ascii="Times New Roman"/>
                <w:sz w:val="21"/>
                <w:szCs w:val="21"/>
              </w:rPr>
            </w:pPr>
            <w:r>
              <w:rPr>
                <w:rFonts w:ascii="Times New Roman"/>
                <w:sz w:val="21"/>
                <w:szCs w:val="21"/>
              </w:rPr>
              <w:t>6.5~8.5</w:t>
            </w:r>
          </w:p>
        </w:tc>
        <w:tc>
          <w:tcPr>
            <w:tcW w:w="1143" w:type="dxa"/>
            <w:tcBorders>
              <w:top w:val="single" w:color="auto" w:sz="4" w:space="0"/>
              <w:left w:val="nil"/>
              <w:bottom w:val="single" w:color="auto" w:sz="4" w:space="0"/>
              <w:right w:val="single" w:color="auto" w:sz="4" w:space="0"/>
            </w:tcBorders>
            <w:vAlign w:val="center"/>
          </w:tcPr>
          <w:p w14:paraId="5DADD29D">
            <w:pPr>
              <w:jc w:val="center"/>
              <w:rPr>
                <w:rFonts w:ascii="Times New Roman"/>
                <w:sz w:val="21"/>
                <w:szCs w:val="21"/>
              </w:rPr>
            </w:pPr>
            <w:r>
              <w:rPr>
                <w:rFonts w:ascii="Times New Roman"/>
                <w:sz w:val="21"/>
                <w:szCs w:val="21"/>
              </w:rPr>
              <w:t>无量纲</w:t>
            </w:r>
          </w:p>
        </w:tc>
        <w:tc>
          <w:tcPr>
            <w:tcW w:w="2545" w:type="dxa"/>
            <w:vMerge w:val="restart"/>
            <w:tcBorders>
              <w:top w:val="nil"/>
              <w:left w:val="nil"/>
              <w:bottom w:val="single" w:color="auto" w:sz="4" w:space="0"/>
              <w:right w:val="single" w:color="auto" w:sz="4" w:space="0"/>
            </w:tcBorders>
            <w:vAlign w:val="center"/>
          </w:tcPr>
          <w:p w14:paraId="2D2362B1">
            <w:pPr>
              <w:snapToGrid w:val="0"/>
              <w:jc w:val="center"/>
              <w:rPr>
                <w:rFonts w:ascii="Times New Roman"/>
                <w:sz w:val="21"/>
                <w:szCs w:val="21"/>
              </w:rPr>
            </w:pPr>
            <w:r>
              <w:rPr>
                <w:rFonts w:ascii="Times New Roman"/>
                <w:sz w:val="21"/>
                <w:szCs w:val="21"/>
              </w:rPr>
              <w:t>《地下水质量标准》</w:t>
            </w:r>
          </w:p>
          <w:p w14:paraId="3CAABB4B">
            <w:pPr>
              <w:snapToGrid w:val="0"/>
              <w:jc w:val="center"/>
              <w:rPr>
                <w:rFonts w:ascii="Times New Roman"/>
                <w:sz w:val="21"/>
                <w:szCs w:val="21"/>
              </w:rPr>
            </w:pPr>
            <w:r>
              <w:rPr>
                <w:rFonts w:ascii="Times New Roman"/>
                <w:sz w:val="21"/>
                <w:szCs w:val="21"/>
              </w:rPr>
              <w:t>（GB/T14848-2017）Ⅲ类标准</w:t>
            </w:r>
          </w:p>
        </w:tc>
      </w:tr>
      <w:tr w14:paraId="4427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1BCEA6E8">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68B40F99">
            <w:pPr>
              <w:jc w:val="center"/>
              <w:rPr>
                <w:rFonts w:ascii="Times New Roman"/>
                <w:sz w:val="21"/>
                <w:szCs w:val="21"/>
              </w:rPr>
            </w:pPr>
            <w:r>
              <w:rPr>
                <w:rFonts w:ascii="Times New Roman"/>
                <w:sz w:val="21"/>
                <w:szCs w:val="21"/>
              </w:rPr>
              <w:t>总硬度</w:t>
            </w:r>
          </w:p>
        </w:tc>
        <w:tc>
          <w:tcPr>
            <w:tcW w:w="1229" w:type="dxa"/>
            <w:tcBorders>
              <w:top w:val="single" w:color="auto" w:sz="4" w:space="0"/>
              <w:left w:val="nil"/>
              <w:bottom w:val="single" w:color="auto" w:sz="4" w:space="0"/>
              <w:right w:val="single" w:color="auto" w:sz="4" w:space="0"/>
            </w:tcBorders>
            <w:vAlign w:val="center"/>
          </w:tcPr>
          <w:p w14:paraId="167521BD">
            <w:pPr>
              <w:jc w:val="center"/>
              <w:rPr>
                <w:rFonts w:ascii="Times New Roman"/>
                <w:sz w:val="21"/>
                <w:szCs w:val="21"/>
              </w:rPr>
            </w:pPr>
            <w:r>
              <w:rPr>
                <w:rFonts w:ascii="Times New Roman"/>
                <w:sz w:val="21"/>
                <w:szCs w:val="21"/>
              </w:rPr>
              <w:t>≤450</w:t>
            </w:r>
          </w:p>
        </w:tc>
        <w:tc>
          <w:tcPr>
            <w:tcW w:w="1143" w:type="dxa"/>
            <w:tcBorders>
              <w:top w:val="single" w:color="auto" w:sz="4" w:space="0"/>
              <w:left w:val="nil"/>
              <w:bottom w:val="single" w:color="auto" w:sz="4" w:space="0"/>
              <w:right w:val="single" w:color="auto" w:sz="4" w:space="0"/>
            </w:tcBorders>
            <w:vAlign w:val="center"/>
          </w:tcPr>
          <w:p w14:paraId="73DBC9A3">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1E96D948">
            <w:pPr>
              <w:jc w:val="center"/>
              <w:rPr>
                <w:rFonts w:ascii="Times New Roman"/>
                <w:sz w:val="21"/>
                <w:szCs w:val="21"/>
              </w:rPr>
            </w:pPr>
          </w:p>
        </w:tc>
      </w:tr>
      <w:tr w14:paraId="6A4C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3D5A1BD9">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2C36861B">
            <w:pPr>
              <w:jc w:val="center"/>
              <w:rPr>
                <w:rFonts w:ascii="Times New Roman"/>
                <w:sz w:val="21"/>
                <w:szCs w:val="21"/>
              </w:rPr>
            </w:pPr>
            <w:r>
              <w:rPr>
                <w:rFonts w:ascii="Times New Roman"/>
                <w:sz w:val="21"/>
                <w:szCs w:val="21"/>
              </w:rPr>
              <w:t>耗氧量（COD</w:t>
            </w:r>
            <w:r>
              <w:rPr>
                <w:rFonts w:ascii="Times New Roman"/>
                <w:sz w:val="21"/>
                <w:szCs w:val="21"/>
                <w:vertAlign w:val="subscript"/>
              </w:rPr>
              <w:t>Mn</w:t>
            </w:r>
            <w:r>
              <w:rPr>
                <w:rFonts w:ascii="Times New Roman"/>
                <w:sz w:val="21"/>
                <w:szCs w:val="21"/>
              </w:rPr>
              <w:t>法）</w:t>
            </w:r>
          </w:p>
        </w:tc>
        <w:tc>
          <w:tcPr>
            <w:tcW w:w="1229" w:type="dxa"/>
            <w:tcBorders>
              <w:top w:val="single" w:color="auto" w:sz="4" w:space="0"/>
              <w:left w:val="nil"/>
              <w:bottom w:val="single" w:color="auto" w:sz="4" w:space="0"/>
              <w:right w:val="single" w:color="auto" w:sz="4" w:space="0"/>
            </w:tcBorders>
            <w:vAlign w:val="center"/>
          </w:tcPr>
          <w:p w14:paraId="1AD28E6C">
            <w:pPr>
              <w:jc w:val="center"/>
              <w:rPr>
                <w:rFonts w:ascii="Times New Roman"/>
                <w:sz w:val="21"/>
                <w:szCs w:val="21"/>
              </w:rPr>
            </w:pPr>
            <w:r>
              <w:rPr>
                <w:rFonts w:ascii="Times New Roman"/>
                <w:sz w:val="21"/>
                <w:szCs w:val="21"/>
              </w:rPr>
              <w:t>≤3.0</w:t>
            </w:r>
          </w:p>
        </w:tc>
        <w:tc>
          <w:tcPr>
            <w:tcW w:w="1143" w:type="dxa"/>
            <w:tcBorders>
              <w:top w:val="single" w:color="auto" w:sz="4" w:space="0"/>
              <w:left w:val="nil"/>
              <w:bottom w:val="single" w:color="auto" w:sz="4" w:space="0"/>
              <w:right w:val="single" w:color="auto" w:sz="4" w:space="0"/>
            </w:tcBorders>
            <w:vAlign w:val="center"/>
          </w:tcPr>
          <w:p w14:paraId="62DD4074">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77ACD08C">
            <w:pPr>
              <w:jc w:val="center"/>
              <w:rPr>
                <w:rFonts w:ascii="Times New Roman"/>
                <w:sz w:val="21"/>
                <w:szCs w:val="21"/>
              </w:rPr>
            </w:pPr>
          </w:p>
        </w:tc>
      </w:tr>
      <w:tr w14:paraId="72D2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53BF43E4">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736B7A04">
            <w:pPr>
              <w:jc w:val="center"/>
              <w:rPr>
                <w:rFonts w:ascii="Times New Roman"/>
                <w:sz w:val="21"/>
                <w:szCs w:val="21"/>
              </w:rPr>
            </w:pPr>
            <w:r>
              <w:rPr>
                <w:rFonts w:ascii="Times New Roman"/>
                <w:sz w:val="21"/>
                <w:szCs w:val="21"/>
              </w:rPr>
              <w:t>溶解性总固体</w:t>
            </w:r>
          </w:p>
        </w:tc>
        <w:tc>
          <w:tcPr>
            <w:tcW w:w="1229" w:type="dxa"/>
            <w:tcBorders>
              <w:top w:val="single" w:color="auto" w:sz="4" w:space="0"/>
              <w:left w:val="nil"/>
              <w:bottom w:val="single" w:color="auto" w:sz="4" w:space="0"/>
              <w:right w:val="single" w:color="auto" w:sz="4" w:space="0"/>
            </w:tcBorders>
            <w:vAlign w:val="center"/>
          </w:tcPr>
          <w:p w14:paraId="63BE656E">
            <w:pPr>
              <w:jc w:val="center"/>
              <w:rPr>
                <w:rFonts w:ascii="Times New Roman"/>
                <w:sz w:val="21"/>
                <w:szCs w:val="21"/>
              </w:rPr>
            </w:pPr>
            <w:r>
              <w:rPr>
                <w:rFonts w:ascii="Times New Roman"/>
                <w:sz w:val="21"/>
                <w:szCs w:val="21"/>
              </w:rPr>
              <w:t>≤1000</w:t>
            </w:r>
          </w:p>
        </w:tc>
        <w:tc>
          <w:tcPr>
            <w:tcW w:w="1143" w:type="dxa"/>
            <w:tcBorders>
              <w:top w:val="single" w:color="auto" w:sz="4" w:space="0"/>
              <w:left w:val="nil"/>
              <w:bottom w:val="single" w:color="auto" w:sz="4" w:space="0"/>
              <w:right w:val="single" w:color="auto" w:sz="4" w:space="0"/>
            </w:tcBorders>
            <w:vAlign w:val="center"/>
          </w:tcPr>
          <w:p w14:paraId="257159D1">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5B4716CA">
            <w:pPr>
              <w:jc w:val="center"/>
              <w:rPr>
                <w:rFonts w:ascii="Times New Roman"/>
                <w:sz w:val="21"/>
                <w:szCs w:val="21"/>
              </w:rPr>
            </w:pPr>
          </w:p>
        </w:tc>
      </w:tr>
      <w:tr w14:paraId="2588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084C05C8">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6F6C3BF4">
            <w:pPr>
              <w:jc w:val="center"/>
              <w:rPr>
                <w:rFonts w:ascii="Times New Roman"/>
                <w:sz w:val="21"/>
                <w:szCs w:val="21"/>
              </w:rPr>
            </w:pPr>
            <w:r>
              <w:rPr>
                <w:rFonts w:ascii="Times New Roman"/>
                <w:sz w:val="21"/>
                <w:szCs w:val="21"/>
              </w:rPr>
              <w:t>硝酸盐（以N计）</w:t>
            </w:r>
          </w:p>
        </w:tc>
        <w:tc>
          <w:tcPr>
            <w:tcW w:w="1229" w:type="dxa"/>
            <w:tcBorders>
              <w:top w:val="single" w:color="auto" w:sz="4" w:space="0"/>
              <w:left w:val="nil"/>
              <w:bottom w:val="single" w:color="auto" w:sz="4" w:space="0"/>
              <w:right w:val="single" w:color="auto" w:sz="4" w:space="0"/>
            </w:tcBorders>
            <w:vAlign w:val="center"/>
          </w:tcPr>
          <w:p w14:paraId="1EAA0732">
            <w:pPr>
              <w:jc w:val="center"/>
              <w:rPr>
                <w:rFonts w:ascii="Times New Roman"/>
                <w:sz w:val="21"/>
                <w:szCs w:val="21"/>
              </w:rPr>
            </w:pPr>
            <w:r>
              <w:rPr>
                <w:rFonts w:ascii="Times New Roman"/>
                <w:sz w:val="21"/>
                <w:szCs w:val="21"/>
              </w:rPr>
              <w:t>≤20</w:t>
            </w:r>
          </w:p>
        </w:tc>
        <w:tc>
          <w:tcPr>
            <w:tcW w:w="1143" w:type="dxa"/>
            <w:tcBorders>
              <w:top w:val="single" w:color="auto" w:sz="4" w:space="0"/>
              <w:left w:val="nil"/>
              <w:bottom w:val="single" w:color="auto" w:sz="4" w:space="0"/>
              <w:right w:val="single" w:color="auto" w:sz="4" w:space="0"/>
            </w:tcBorders>
            <w:vAlign w:val="center"/>
          </w:tcPr>
          <w:p w14:paraId="6C8BB7DF">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616666A3">
            <w:pPr>
              <w:jc w:val="center"/>
              <w:rPr>
                <w:rFonts w:ascii="Times New Roman"/>
                <w:sz w:val="21"/>
                <w:szCs w:val="21"/>
              </w:rPr>
            </w:pPr>
          </w:p>
        </w:tc>
      </w:tr>
      <w:tr w14:paraId="4922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5B71A4DA">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056CA77B">
            <w:pPr>
              <w:jc w:val="center"/>
              <w:rPr>
                <w:rFonts w:ascii="Times New Roman"/>
                <w:sz w:val="21"/>
                <w:szCs w:val="21"/>
              </w:rPr>
            </w:pPr>
            <w:r>
              <w:rPr>
                <w:rFonts w:ascii="Times New Roman"/>
                <w:sz w:val="21"/>
                <w:szCs w:val="21"/>
              </w:rPr>
              <w:t>亚硝酸盐（以N计）</w:t>
            </w:r>
          </w:p>
        </w:tc>
        <w:tc>
          <w:tcPr>
            <w:tcW w:w="1229" w:type="dxa"/>
            <w:tcBorders>
              <w:top w:val="single" w:color="auto" w:sz="4" w:space="0"/>
              <w:left w:val="nil"/>
              <w:bottom w:val="single" w:color="auto" w:sz="4" w:space="0"/>
              <w:right w:val="single" w:color="auto" w:sz="4" w:space="0"/>
            </w:tcBorders>
            <w:vAlign w:val="center"/>
          </w:tcPr>
          <w:p w14:paraId="1CCB076B">
            <w:pPr>
              <w:jc w:val="center"/>
              <w:rPr>
                <w:rFonts w:ascii="Times New Roman"/>
                <w:sz w:val="21"/>
                <w:szCs w:val="21"/>
              </w:rPr>
            </w:pPr>
            <w:r>
              <w:rPr>
                <w:rFonts w:ascii="Times New Roman"/>
                <w:sz w:val="21"/>
                <w:szCs w:val="21"/>
              </w:rPr>
              <w:t>≤1.0</w:t>
            </w:r>
          </w:p>
        </w:tc>
        <w:tc>
          <w:tcPr>
            <w:tcW w:w="1143" w:type="dxa"/>
            <w:tcBorders>
              <w:top w:val="single" w:color="auto" w:sz="4" w:space="0"/>
              <w:left w:val="nil"/>
              <w:bottom w:val="single" w:color="auto" w:sz="4" w:space="0"/>
              <w:right w:val="single" w:color="auto" w:sz="4" w:space="0"/>
            </w:tcBorders>
            <w:vAlign w:val="center"/>
          </w:tcPr>
          <w:p w14:paraId="1C7CE416">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20191640">
            <w:pPr>
              <w:jc w:val="center"/>
              <w:rPr>
                <w:rFonts w:ascii="Times New Roman"/>
                <w:sz w:val="21"/>
                <w:szCs w:val="21"/>
              </w:rPr>
            </w:pPr>
          </w:p>
        </w:tc>
      </w:tr>
      <w:tr w14:paraId="796D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23068ABB">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4502E297">
            <w:pPr>
              <w:jc w:val="center"/>
              <w:rPr>
                <w:rFonts w:ascii="Times New Roman"/>
                <w:sz w:val="21"/>
                <w:szCs w:val="21"/>
              </w:rPr>
            </w:pPr>
            <w:r>
              <w:rPr>
                <w:rFonts w:ascii="Times New Roman"/>
                <w:sz w:val="21"/>
                <w:szCs w:val="21"/>
              </w:rPr>
              <w:t>氨氮（以N计）</w:t>
            </w:r>
          </w:p>
        </w:tc>
        <w:tc>
          <w:tcPr>
            <w:tcW w:w="1229" w:type="dxa"/>
            <w:tcBorders>
              <w:top w:val="single" w:color="auto" w:sz="4" w:space="0"/>
              <w:left w:val="nil"/>
              <w:bottom w:val="single" w:color="auto" w:sz="4" w:space="0"/>
              <w:right w:val="single" w:color="auto" w:sz="4" w:space="0"/>
            </w:tcBorders>
            <w:vAlign w:val="center"/>
          </w:tcPr>
          <w:p w14:paraId="243C91DB">
            <w:pPr>
              <w:jc w:val="center"/>
              <w:rPr>
                <w:rFonts w:ascii="Times New Roman"/>
                <w:sz w:val="21"/>
                <w:szCs w:val="21"/>
              </w:rPr>
            </w:pPr>
            <w:r>
              <w:rPr>
                <w:rFonts w:ascii="Times New Roman"/>
                <w:sz w:val="21"/>
                <w:szCs w:val="21"/>
              </w:rPr>
              <w:t>≤0.5</w:t>
            </w:r>
          </w:p>
        </w:tc>
        <w:tc>
          <w:tcPr>
            <w:tcW w:w="1143" w:type="dxa"/>
            <w:tcBorders>
              <w:top w:val="single" w:color="auto" w:sz="4" w:space="0"/>
              <w:left w:val="nil"/>
              <w:bottom w:val="single" w:color="auto" w:sz="4" w:space="0"/>
              <w:right w:val="single" w:color="auto" w:sz="4" w:space="0"/>
            </w:tcBorders>
            <w:vAlign w:val="center"/>
          </w:tcPr>
          <w:p w14:paraId="370FBF84">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4C2478F6">
            <w:pPr>
              <w:jc w:val="center"/>
              <w:rPr>
                <w:rFonts w:ascii="Times New Roman"/>
                <w:sz w:val="21"/>
                <w:szCs w:val="21"/>
              </w:rPr>
            </w:pPr>
          </w:p>
        </w:tc>
      </w:tr>
      <w:tr w14:paraId="5375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022723F8">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0731EA97">
            <w:pPr>
              <w:jc w:val="center"/>
              <w:rPr>
                <w:rFonts w:ascii="Times New Roman"/>
                <w:sz w:val="21"/>
                <w:szCs w:val="21"/>
              </w:rPr>
            </w:pPr>
            <w:r>
              <w:rPr>
                <w:rFonts w:ascii="Times New Roman"/>
                <w:sz w:val="21"/>
                <w:szCs w:val="21"/>
              </w:rPr>
              <w:t>氯化物</w:t>
            </w:r>
          </w:p>
        </w:tc>
        <w:tc>
          <w:tcPr>
            <w:tcW w:w="1229" w:type="dxa"/>
            <w:tcBorders>
              <w:top w:val="single" w:color="auto" w:sz="4" w:space="0"/>
              <w:left w:val="nil"/>
              <w:bottom w:val="single" w:color="auto" w:sz="4" w:space="0"/>
              <w:right w:val="single" w:color="auto" w:sz="4" w:space="0"/>
            </w:tcBorders>
            <w:vAlign w:val="center"/>
          </w:tcPr>
          <w:p w14:paraId="654C37A1">
            <w:pPr>
              <w:jc w:val="center"/>
              <w:rPr>
                <w:rFonts w:ascii="Times New Roman"/>
                <w:sz w:val="21"/>
                <w:szCs w:val="21"/>
              </w:rPr>
            </w:pPr>
            <w:r>
              <w:rPr>
                <w:rFonts w:ascii="Times New Roman"/>
                <w:sz w:val="21"/>
                <w:szCs w:val="21"/>
              </w:rPr>
              <w:t>≤250</w:t>
            </w:r>
          </w:p>
        </w:tc>
        <w:tc>
          <w:tcPr>
            <w:tcW w:w="1143" w:type="dxa"/>
            <w:tcBorders>
              <w:top w:val="single" w:color="auto" w:sz="4" w:space="0"/>
              <w:left w:val="nil"/>
              <w:bottom w:val="single" w:color="auto" w:sz="4" w:space="0"/>
              <w:right w:val="single" w:color="auto" w:sz="4" w:space="0"/>
            </w:tcBorders>
            <w:vAlign w:val="center"/>
          </w:tcPr>
          <w:p w14:paraId="38DD9DFA">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7705A7E3">
            <w:pPr>
              <w:jc w:val="center"/>
              <w:rPr>
                <w:rFonts w:ascii="Times New Roman"/>
                <w:sz w:val="21"/>
                <w:szCs w:val="21"/>
              </w:rPr>
            </w:pPr>
          </w:p>
        </w:tc>
      </w:tr>
      <w:tr w14:paraId="1B44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6E6DADD3">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39197134">
            <w:pPr>
              <w:jc w:val="center"/>
              <w:rPr>
                <w:rFonts w:ascii="Times New Roman"/>
                <w:sz w:val="21"/>
                <w:szCs w:val="21"/>
              </w:rPr>
            </w:pPr>
            <w:r>
              <w:rPr>
                <w:rFonts w:ascii="Times New Roman"/>
                <w:sz w:val="21"/>
                <w:szCs w:val="21"/>
              </w:rPr>
              <w:t>硫酸盐</w:t>
            </w:r>
          </w:p>
        </w:tc>
        <w:tc>
          <w:tcPr>
            <w:tcW w:w="1229" w:type="dxa"/>
            <w:tcBorders>
              <w:top w:val="single" w:color="auto" w:sz="4" w:space="0"/>
              <w:left w:val="nil"/>
              <w:bottom w:val="single" w:color="auto" w:sz="4" w:space="0"/>
              <w:right w:val="single" w:color="auto" w:sz="4" w:space="0"/>
            </w:tcBorders>
            <w:vAlign w:val="center"/>
          </w:tcPr>
          <w:p w14:paraId="37B35EA0">
            <w:pPr>
              <w:snapToGrid w:val="0"/>
              <w:jc w:val="center"/>
              <w:rPr>
                <w:rFonts w:ascii="Times New Roman"/>
                <w:sz w:val="21"/>
                <w:szCs w:val="21"/>
              </w:rPr>
            </w:pPr>
            <w:r>
              <w:rPr>
                <w:rFonts w:ascii="Times New Roman"/>
                <w:sz w:val="21"/>
                <w:szCs w:val="21"/>
              </w:rPr>
              <w:t>≤250</w:t>
            </w:r>
          </w:p>
        </w:tc>
        <w:tc>
          <w:tcPr>
            <w:tcW w:w="1143" w:type="dxa"/>
            <w:tcBorders>
              <w:top w:val="single" w:color="auto" w:sz="4" w:space="0"/>
              <w:left w:val="nil"/>
              <w:bottom w:val="single" w:color="auto" w:sz="4" w:space="0"/>
              <w:right w:val="single" w:color="auto" w:sz="4" w:space="0"/>
            </w:tcBorders>
            <w:vAlign w:val="center"/>
          </w:tcPr>
          <w:p w14:paraId="1074DA91">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2DA3BC5A">
            <w:pPr>
              <w:jc w:val="center"/>
              <w:rPr>
                <w:rFonts w:ascii="Times New Roman"/>
                <w:sz w:val="21"/>
                <w:szCs w:val="21"/>
              </w:rPr>
            </w:pPr>
          </w:p>
        </w:tc>
      </w:tr>
      <w:tr w14:paraId="302D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19660A48">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66031D9D">
            <w:pPr>
              <w:jc w:val="center"/>
              <w:rPr>
                <w:rFonts w:ascii="Times New Roman"/>
                <w:sz w:val="21"/>
                <w:szCs w:val="21"/>
              </w:rPr>
            </w:pPr>
            <w:r>
              <w:rPr>
                <w:rFonts w:ascii="Times New Roman"/>
                <w:sz w:val="21"/>
                <w:szCs w:val="21"/>
              </w:rPr>
              <w:t>挥发性酚类</w:t>
            </w:r>
          </w:p>
        </w:tc>
        <w:tc>
          <w:tcPr>
            <w:tcW w:w="1229" w:type="dxa"/>
            <w:tcBorders>
              <w:top w:val="single" w:color="auto" w:sz="4" w:space="0"/>
              <w:left w:val="nil"/>
              <w:bottom w:val="single" w:color="auto" w:sz="4" w:space="0"/>
              <w:right w:val="single" w:color="auto" w:sz="4" w:space="0"/>
            </w:tcBorders>
            <w:vAlign w:val="center"/>
          </w:tcPr>
          <w:p w14:paraId="4B1AABCB">
            <w:pPr>
              <w:snapToGrid w:val="0"/>
              <w:jc w:val="center"/>
              <w:rPr>
                <w:rFonts w:ascii="Times New Roman"/>
                <w:sz w:val="21"/>
                <w:szCs w:val="21"/>
              </w:rPr>
            </w:pPr>
            <w:r>
              <w:rPr>
                <w:rFonts w:ascii="Times New Roman"/>
                <w:sz w:val="21"/>
                <w:szCs w:val="21"/>
              </w:rPr>
              <w:t>≤0.002</w:t>
            </w:r>
          </w:p>
        </w:tc>
        <w:tc>
          <w:tcPr>
            <w:tcW w:w="1143" w:type="dxa"/>
            <w:tcBorders>
              <w:top w:val="single" w:color="auto" w:sz="4" w:space="0"/>
              <w:left w:val="nil"/>
              <w:bottom w:val="single" w:color="auto" w:sz="4" w:space="0"/>
              <w:right w:val="single" w:color="auto" w:sz="4" w:space="0"/>
            </w:tcBorders>
            <w:vAlign w:val="center"/>
          </w:tcPr>
          <w:p w14:paraId="4EE88166">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410F2164">
            <w:pPr>
              <w:jc w:val="center"/>
              <w:rPr>
                <w:rFonts w:ascii="Times New Roman"/>
                <w:sz w:val="21"/>
                <w:szCs w:val="21"/>
              </w:rPr>
            </w:pPr>
          </w:p>
        </w:tc>
      </w:tr>
      <w:tr w14:paraId="5AC1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42EA8F5C">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65C549BF">
            <w:pPr>
              <w:jc w:val="center"/>
              <w:rPr>
                <w:rFonts w:ascii="Times New Roman"/>
                <w:sz w:val="21"/>
                <w:szCs w:val="21"/>
              </w:rPr>
            </w:pPr>
            <w:r>
              <w:rPr>
                <w:rFonts w:ascii="Times New Roman"/>
                <w:sz w:val="21"/>
                <w:szCs w:val="21"/>
              </w:rPr>
              <w:t>氰化物</w:t>
            </w:r>
          </w:p>
        </w:tc>
        <w:tc>
          <w:tcPr>
            <w:tcW w:w="1229" w:type="dxa"/>
            <w:tcBorders>
              <w:top w:val="single" w:color="auto" w:sz="4" w:space="0"/>
              <w:left w:val="nil"/>
              <w:bottom w:val="single" w:color="auto" w:sz="4" w:space="0"/>
              <w:right w:val="single" w:color="auto" w:sz="4" w:space="0"/>
            </w:tcBorders>
            <w:vAlign w:val="center"/>
          </w:tcPr>
          <w:p w14:paraId="6D9F383D">
            <w:pPr>
              <w:snapToGrid w:val="0"/>
              <w:jc w:val="center"/>
              <w:rPr>
                <w:rFonts w:ascii="Times New Roman"/>
                <w:sz w:val="21"/>
                <w:szCs w:val="21"/>
              </w:rPr>
            </w:pPr>
            <w:r>
              <w:rPr>
                <w:rFonts w:ascii="Times New Roman"/>
                <w:sz w:val="21"/>
                <w:szCs w:val="21"/>
              </w:rPr>
              <w:t>≤0.05</w:t>
            </w:r>
          </w:p>
        </w:tc>
        <w:tc>
          <w:tcPr>
            <w:tcW w:w="1143" w:type="dxa"/>
            <w:tcBorders>
              <w:top w:val="single" w:color="auto" w:sz="4" w:space="0"/>
              <w:left w:val="nil"/>
              <w:bottom w:val="single" w:color="auto" w:sz="4" w:space="0"/>
              <w:right w:val="single" w:color="auto" w:sz="4" w:space="0"/>
            </w:tcBorders>
            <w:vAlign w:val="center"/>
          </w:tcPr>
          <w:p w14:paraId="5A7DA157">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462D818A">
            <w:pPr>
              <w:jc w:val="center"/>
              <w:rPr>
                <w:rFonts w:ascii="Times New Roman"/>
                <w:sz w:val="21"/>
                <w:szCs w:val="21"/>
              </w:rPr>
            </w:pPr>
          </w:p>
        </w:tc>
      </w:tr>
      <w:tr w14:paraId="6D3A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2C58D6AD">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3C1A89F5">
            <w:pPr>
              <w:jc w:val="center"/>
              <w:rPr>
                <w:rFonts w:ascii="Times New Roman"/>
                <w:sz w:val="21"/>
                <w:szCs w:val="21"/>
              </w:rPr>
            </w:pPr>
            <w:r>
              <w:rPr>
                <w:rFonts w:ascii="Times New Roman"/>
                <w:sz w:val="21"/>
                <w:szCs w:val="21"/>
              </w:rPr>
              <w:t>氟化物</w:t>
            </w:r>
          </w:p>
        </w:tc>
        <w:tc>
          <w:tcPr>
            <w:tcW w:w="1229" w:type="dxa"/>
            <w:tcBorders>
              <w:top w:val="single" w:color="auto" w:sz="4" w:space="0"/>
              <w:left w:val="nil"/>
              <w:bottom w:val="single" w:color="auto" w:sz="4" w:space="0"/>
              <w:right w:val="single" w:color="auto" w:sz="4" w:space="0"/>
            </w:tcBorders>
            <w:vAlign w:val="center"/>
          </w:tcPr>
          <w:p w14:paraId="7A875A94">
            <w:pPr>
              <w:snapToGrid w:val="0"/>
              <w:jc w:val="center"/>
              <w:rPr>
                <w:rFonts w:ascii="Times New Roman"/>
                <w:sz w:val="21"/>
                <w:szCs w:val="21"/>
              </w:rPr>
            </w:pPr>
            <w:r>
              <w:rPr>
                <w:rFonts w:ascii="Times New Roman"/>
                <w:sz w:val="21"/>
                <w:szCs w:val="21"/>
              </w:rPr>
              <w:t>≤1.0</w:t>
            </w:r>
          </w:p>
        </w:tc>
        <w:tc>
          <w:tcPr>
            <w:tcW w:w="1143" w:type="dxa"/>
            <w:tcBorders>
              <w:top w:val="single" w:color="auto" w:sz="4" w:space="0"/>
              <w:left w:val="nil"/>
              <w:bottom w:val="single" w:color="auto" w:sz="4" w:space="0"/>
              <w:right w:val="single" w:color="auto" w:sz="4" w:space="0"/>
            </w:tcBorders>
            <w:vAlign w:val="center"/>
          </w:tcPr>
          <w:p w14:paraId="15F1269D">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593F41C3">
            <w:pPr>
              <w:jc w:val="center"/>
              <w:rPr>
                <w:rFonts w:ascii="Times New Roman"/>
                <w:sz w:val="21"/>
                <w:szCs w:val="21"/>
              </w:rPr>
            </w:pPr>
          </w:p>
        </w:tc>
      </w:tr>
      <w:tr w14:paraId="03BF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72C86ACC">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37E0050E">
            <w:pPr>
              <w:jc w:val="center"/>
              <w:rPr>
                <w:rFonts w:ascii="Times New Roman"/>
                <w:sz w:val="21"/>
                <w:szCs w:val="21"/>
              </w:rPr>
            </w:pPr>
            <w:r>
              <w:rPr>
                <w:rFonts w:ascii="Times New Roman"/>
                <w:sz w:val="21"/>
                <w:szCs w:val="21"/>
              </w:rPr>
              <w:t>铜</w:t>
            </w:r>
          </w:p>
        </w:tc>
        <w:tc>
          <w:tcPr>
            <w:tcW w:w="1229" w:type="dxa"/>
            <w:tcBorders>
              <w:top w:val="single" w:color="auto" w:sz="4" w:space="0"/>
              <w:left w:val="nil"/>
              <w:bottom w:val="single" w:color="auto" w:sz="4" w:space="0"/>
              <w:right w:val="single" w:color="auto" w:sz="4" w:space="0"/>
            </w:tcBorders>
            <w:vAlign w:val="center"/>
          </w:tcPr>
          <w:p w14:paraId="16563E57">
            <w:pPr>
              <w:jc w:val="center"/>
              <w:rPr>
                <w:rFonts w:ascii="Times New Roman"/>
                <w:sz w:val="21"/>
                <w:szCs w:val="21"/>
              </w:rPr>
            </w:pPr>
            <w:r>
              <w:rPr>
                <w:rFonts w:ascii="Times New Roman"/>
                <w:sz w:val="21"/>
                <w:szCs w:val="21"/>
              </w:rPr>
              <w:t>≤1.0</w:t>
            </w:r>
          </w:p>
        </w:tc>
        <w:tc>
          <w:tcPr>
            <w:tcW w:w="1143" w:type="dxa"/>
            <w:tcBorders>
              <w:top w:val="single" w:color="auto" w:sz="4" w:space="0"/>
              <w:left w:val="nil"/>
              <w:bottom w:val="single" w:color="auto" w:sz="4" w:space="0"/>
              <w:right w:val="single" w:color="auto" w:sz="4" w:space="0"/>
            </w:tcBorders>
            <w:vAlign w:val="center"/>
          </w:tcPr>
          <w:p w14:paraId="73D2C80B">
            <w:pPr>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0B833720">
            <w:pPr>
              <w:jc w:val="center"/>
              <w:rPr>
                <w:rFonts w:ascii="Times New Roman"/>
                <w:sz w:val="21"/>
                <w:szCs w:val="21"/>
              </w:rPr>
            </w:pPr>
          </w:p>
        </w:tc>
      </w:tr>
      <w:tr w14:paraId="7192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71C0DDDC">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5FEF3847">
            <w:pPr>
              <w:jc w:val="center"/>
              <w:rPr>
                <w:rFonts w:ascii="Times New Roman"/>
                <w:sz w:val="21"/>
                <w:szCs w:val="21"/>
              </w:rPr>
            </w:pPr>
            <w:r>
              <w:rPr>
                <w:rFonts w:ascii="Times New Roman"/>
                <w:sz w:val="21"/>
                <w:szCs w:val="21"/>
              </w:rPr>
              <w:t>铁</w:t>
            </w:r>
          </w:p>
        </w:tc>
        <w:tc>
          <w:tcPr>
            <w:tcW w:w="1229" w:type="dxa"/>
            <w:tcBorders>
              <w:top w:val="single" w:color="auto" w:sz="4" w:space="0"/>
              <w:left w:val="nil"/>
              <w:bottom w:val="single" w:color="auto" w:sz="4" w:space="0"/>
              <w:right w:val="single" w:color="auto" w:sz="4" w:space="0"/>
            </w:tcBorders>
            <w:vAlign w:val="center"/>
          </w:tcPr>
          <w:p w14:paraId="00E1FA23">
            <w:pPr>
              <w:snapToGrid w:val="0"/>
              <w:jc w:val="center"/>
              <w:rPr>
                <w:rFonts w:ascii="Times New Roman"/>
                <w:sz w:val="21"/>
                <w:szCs w:val="21"/>
              </w:rPr>
            </w:pPr>
            <w:r>
              <w:rPr>
                <w:rFonts w:ascii="Times New Roman"/>
                <w:sz w:val="21"/>
                <w:szCs w:val="21"/>
              </w:rPr>
              <w:t>≤0.3</w:t>
            </w:r>
          </w:p>
        </w:tc>
        <w:tc>
          <w:tcPr>
            <w:tcW w:w="1143" w:type="dxa"/>
            <w:tcBorders>
              <w:top w:val="single" w:color="auto" w:sz="4" w:space="0"/>
              <w:left w:val="nil"/>
              <w:bottom w:val="single" w:color="auto" w:sz="4" w:space="0"/>
              <w:right w:val="single" w:color="auto" w:sz="4" w:space="0"/>
            </w:tcBorders>
            <w:vAlign w:val="center"/>
          </w:tcPr>
          <w:p w14:paraId="25E408CF">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0F0D06FF">
            <w:pPr>
              <w:jc w:val="center"/>
              <w:rPr>
                <w:rFonts w:ascii="Times New Roman"/>
                <w:sz w:val="21"/>
                <w:szCs w:val="21"/>
              </w:rPr>
            </w:pPr>
          </w:p>
        </w:tc>
      </w:tr>
      <w:tr w14:paraId="2377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6EA88652">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0BD12DC2">
            <w:pPr>
              <w:jc w:val="center"/>
              <w:rPr>
                <w:rFonts w:ascii="Times New Roman"/>
                <w:sz w:val="21"/>
                <w:szCs w:val="21"/>
              </w:rPr>
            </w:pPr>
            <w:r>
              <w:rPr>
                <w:rFonts w:ascii="Times New Roman"/>
                <w:sz w:val="21"/>
                <w:szCs w:val="21"/>
              </w:rPr>
              <w:t>锰</w:t>
            </w:r>
          </w:p>
        </w:tc>
        <w:tc>
          <w:tcPr>
            <w:tcW w:w="1229" w:type="dxa"/>
            <w:tcBorders>
              <w:top w:val="single" w:color="auto" w:sz="4" w:space="0"/>
              <w:left w:val="nil"/>
              <w:bottom w:val="single" w:color="auto" w:sz="4" w:space="0"/>
              <w:right w:val="single" w:color="auto" w:sz="4" w:space="0"/>
            </w:tcBorders>
            <w:vAlign w:val="center"/>
          </w:tcPr>
          <w:p w14:paraId="11ED98E9">
            <w:pPr>
              <w:snapToGrid w:val="0"/>
              <w:jc w:val="center"/>
              <w:rPr>
                <w:rFonts w:ascii="Times New Roman"/>
                <w:sz w:val="21"/>
                <w:szCs w:val="21"/>
              </w:rPr>
            </w:pPr>
            <w:r>
              <w:rPr>
                <w:rFonts w:ascii="Times New Roman"/>
                <w:sz w:val="21"/>
                <w:szCs w:val="21"/>
              </w:rPr>
              <w:t>≤0.1</w:t>
            </w:r>
          </w:p>
        </w:tc>
        <w:tc>
          <w:tcPr>
            <w:tcW w:w="1143" w:type="dxa"/>
            <w:tcBorders>
              <w:top w:val="single" w:color="auto" w:sz="4" w:space="0"/>
              <w:left w:val="nil"/>
              <w:bottom w:val="single" w:color="auto" w:sz="4" w:space="0"/>
              <w:right w:val="single" w:color="auto" w:sz="4" w:space="0"/>
            </w:tcBorders>
            <w:vAlign w:val="center"/>
          </w:tcPr>
          <w:p w14:paraId="02917983">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16767B86">
            <w:pPr>
              <w:jc w:val="center"/>
              <w:rPr>
                <w:rFonts w:ascii="Times New Roman"/>
                <w:sz w:val="21"/>
                <w:szCs w:val="21"/>
              </w:rPr>
            </w:pPr>
          </w:p>
        </w:tc>
      </w:tr>
      <w:tr w14:paraId="63BC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2D0472DD">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shd w:val="clear" w:color="auto" w:fill="auto"/>
            <w:vAlign w:val="center"/>
          </w:tcPr>
          <w:p w14:paraId="1C5C0FD7">
            <w:pPr>
              <w:jc w:val="center"/>
              <w:rPr>
                <w:rFonts w:ascii="Times New Roman"/>
                <w:sz w:val="21"/>
                <w:szCs w:val="21"/>
              </w:rPr>
            </w:pPr>
            <w:r>
              <w:rPr>
                <w:rFonts w:ascii="Times New Roman"/>
                <w:sz w:val="21"/>
                <w:szCs w:val="21"/>
              </w:rPr>
              <w:t>铝</w:t>
            </w:r>
          </w:p>
        </w:tc>
        <w:tc>
          <w:tcPr>
            <w:tcW w:w="1229" w:type="dxa"/>
            <w:tcBorders>
              <w:top w:val="single" w:color="auto" w:sz="4" w:space="0"/>
              <w:left w:val="nil"/>
              <w:bottom w:val="single" w:color="auto" w:sz="4" w:space="0"/>
              <w:right w:val="single" w:color="auto" w:sz="4" w:space="0"/>
            </w:tcBorders>
            <w:shd w:val="clear" w:color="auto" w:fill="auto"/>
            <w:vAlign w:val="center"/>
          </w:tcPr>
          <w:p w14:paraId="6FF099FD">
            <w:pPr>
              <w:snapToGrid w:val="0"/>
              <w:jc w:val="center"/>
              <w:rPr>
                <w:rFonts w:ascii="Times New Roman"/>
                <w:sz w:val="21"/>
                <w:szCs w:val="21"/>
              </w:rPr>
            </w:pPr>
            <w:r>
              <w:rPr>
                <w:rFonts w:ascii="Times New Roman"/>
                <w:sz w:val="21"/>
                <w:szCs w:val="21"/>
              </w:rPr>
              <w:t>≤0.2</w:t>
            </w:r>
          </w:p>
        </w:tc>
        <w:tc>
          <w:tcPr>
            <w:tcW w:w="1143" w:type="dxa"/>
            <w:tcBorders>
              <w:top w:val="single" w:color="auto" w:sz="4" w:space="0"/>
              <w:left w:val="nil"/>
              <w:bottom w:val="single" w:color="auto" w:sz="4" w:space="0"/>
              <w:right w:val="single" w:color="auto" w:sz="4" w:space="0"/>
            </w:tcBorders>
            <w:shd w:val="clear" w:color="auto" w:fill="auto"/>
            <w:vAlign w:val="center"/>
          </w:tcPr>
          <w:p w14:paraId="110849F6">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42FD9458">
            <w:pPr>
              <w:jc w:val="center"/>
              <w:rPr>
                <w:rFonts w:ascii="Times New Roman"/>
                <w:sz w:val="21"/>
                <w:szCs w:val="21"/>
              </w:rPr>
            </w:pPr>
          </w:p>
        </w:tc>
      </w:tr>
      <w:tr w14:paraId="1EF9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34F9D3E7">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shd w:val="clear" w:color="auto" w:fill="auto"/>
            <w:vAlign w:val="center"/>
          </w:tcPr>
          <w:p w14:paraId="4E06A9D4">
            <w:pPr>
              <w:jc w:val="center"/>
              <w:rPr>
                <w:rFonts w:ascii="Times New Roman"/>
                <w:sz w:val="21"/>
                <w:szCs w:val="21"/>
              </w:rPr>
            </w:pPr>
            <w:r>
              <w:rPr>
                <w:rFonts w:ascii="Times New Roman"/>
                <w:sz w:val="21"/>
                <w:szCs w:val="21"/>
              </w:rPr>
              <w:t>阴离子表面活性剂</w:t>
            </w:r>
          </w:p>
        </w:tc>
        <w:tc>
          <w:tcPr>
            <w:tcW w:w="1229" w:type="dxa"/>
            <w:tcBorders>
              <w:top w:val="single" w:color="auto" w:sz="4" w:space="0"/>
              <w:left w:val="nil"/>
              <w:bottom w:val="single" w:color="auto" w:sz="4" w:space="0"/>
              <w:right w:val="single" w:color="auto" w:sz="4" w:space="0"/>
            </w:tcBorders>
            <w:shd w:val="clear" w:color="auto" w:fill="auto"/>
            <w:vAlign w:val="center"/>
          </w:tcPr>
          <w:p w14:paraId="1C96249A">
            <w:pPr>
              <w:snapToGrid w:val="0"/>
              <w:jc w:val="center"/>
              <w:rPr>
                <w:rFonts w:ascii="Times New Roman"/>
                <w:sz w:val="21"/>
                <w:szCs w:val="21"/>
              </w:rPr>
            </w:pPr>
            <w:r>
              <w:rPr>
                <w:rFonts w:ascii="Times New Roman"/>
                <w:sz w:val="21"/>
                <w:szCs w:val="21"/>
              </w:rPr>
              <w:t>≤0.3</w:t>
            </w:r>
          </w:p>
        </w:tc>
        <w:tc>
          <w:tcPr>
            <w:tcW w:w="1143" w:type="dxa"/>
            <w:tcBorders>
              <w:top w:val="single" w:color="auto" w:sz="4" w:space="0"/>
              <w:left w:val="nil"/>
              <w:bottom w:val="single" w:color="auto" w:sz="4" w:space="0"/>
              <w:right w:val="single" w:color="auto" w:sz="4" w:space="0"/>
            </w:tcBorders>
            <w:shd w:val="clear" w:color="auto" w:fill="auto"/>
            <w:vAlign w:val="center"/>
          </w:tcPr>
          <w:p w14:paraId="78554F6B">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5D51C947">
            <w:pPr>
              <w:jc w:val="center"/>
              <w:rPr>
                <w:rFonts w:ascii="Times New Roman"/>
                <w:sz w:val="21"/>
                <w:szCs w:val="21"/>
              </w:rPr>
            </w:pPr>
          </w:p>
        </w:tc>
      </w:tr>
      <w:tr w14:paraId="7024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44CD1199">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shd w:val="clear" w:color="auto" w:fill="auto"/>
            <w:vAlign w:val="center"/>
          </w:tcPr>
          <w:p w14:paraId="41F947FF">
            <w:pPr>
              <w:jc w:val="center"/>
              <w:rPr>
                <w:rFonts w:ascii="Times New Roman"/>
                <w:sz w:val="21"/>
                <w:szCs w:val="21"/>
              </w:rPr>
            </w:pPr>
            <w:r>
              <w:rPr>
                <w:rFonts w:ascii="Times New Roman"/>
                <w:sz w:val="21"/>
                <w:szCs w:val="21"/>
              </w:rPr>
              <w:t>硒</w:t>
            </w:r>
          </w:p>
        </w:tc>
        <w:tc>
          <w:tcPr>
            <w:tcW w:w="1229" w:type="dxa"/>
            <w:tcBorders>
              <w:top w:val="single" w:color="auto" w:sz="4" w:space="0"/>
              <w:left w:val="nil"/>
              <w:bottom w:val="single" w:color="auto" w:sz="4" w:space="0"/>
              <w:right w:val="single" w:color="auto" w:sz="4" w:space="0"/>
            </w:tcBorders>
            <w:shd w:val="clear" w:color="auto" w:fill="auto"/>
            <w:vAlign w:val="center"/>
          </w:tcPr>
          <w:p w14:paraId="023BD5C4">
            <w:pPr>
              <w:snapToGrid w:val="0"/>
              <w:jc w:val="center"/>
              <w:rPr>
                <w:rFonts w:ascii="Times New Roman"/>
                <w:sz w:val="21"/>
                <w:szCs w:val="21"/>
              </w:rPr>
            </w:pPr>
            <w:r>
              <w:rPr>
                <w:rFonts w:ascii="Times New Roman"/>
                <w:sz w:val="21"/>
                <w:szCs w:val="21"/>
              </w:rPr>
              <w:t>≤0.01</w:t>
            </w:r>
          </w:p>
        </w:tc>
        <w:tc>
          <w:tcPr>
            <w:tcW w:w="1143" w:type="dxa"/>
            <w:tcBorders>
              <w:top w:val="single" w:color="auto" w:sz="4" w:space="0"/>
              <w:left w:val="nil"/>
              <w:bottom w:val="single" w:color="auto" w:sz="4" w:space="0"/>
              <w:right w:val="single" w:color="auto" w:sz="4" w:space="0"/>
            </w:tcBorders>
            <w:shd w:val="clear" w:color="auto" w:fill="auto"/>
            <w:vAlign w:val="center"/>
          </w:tcPr>
          <w:p w14:paraId="1637EDFB">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689BF459">
            <w:pPr>
              <w:jc w:val="center"/>
              <w:rPr>
                <w:rFonts w:ascii="Times New Roman"/>
                <w:sz w:val="21"/>
                <w:szCs w:val="21"/>
              </w:rPr>
            </w:pPr>
          </w:p>
        </w:tc>
      </w:tr>
      <w:tr w14:paraId="0024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0E34EACA">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46CACB91">
            <w:pPr>
              <w:jc w:val="center"/>
              <w:rPr>
                <w:rFonts w:ascii="Times New Roman"/>
                <w:sz w:val="21"/>
                <w:szCs w:val="21"/>
              </w:rPr>
            </w:pPr>
            <w:r>
              <w:rPr>
                <w:rFonts w:ascii="Times New Roman"/>
                <w:sz w:val="21"/>
                <w:szCs w:val="21"/>
              </w:rPr>
              <w:t>汞</w:t>
            </w:r>
          </w:p>
        </w:tc>
        <w:tc>
          <w:tcPr>
            <w:tcW w:w="1229" w:type="dxa"/>
            <w:tcBorders>
              <w:top w:val="single" w:color="auto" w:sz="4" w:space="0"/>
              <w:left w:val="nil"/>
              <w:bottom w:val="single" w:color="auto" w:sz="4" w:space="0"/>
              <w:right w:val="single" w:color="auto" w:sz="4" w:space="0"/>
            </w:tcBorders>
            <w:vAlign w:val="center"/>
          </w:tcPr>
          <w:p w14:paraId="67C39B49">
            <w:pPr>
              <w:snapToGrid w:val="0"/>
              <w:jc w:val="center"/>
              <w:rPr>
                <w:rFonts w:ascii="Times New Roman"/>
                <w:sz w:val="21"/>
                <w:szCs w:val="21"/>
              </w:rPr>
            </w:pPr>
            <w:r>
              <w:rPr>
                <w:rFonts w:ascii="Times New Roman"/>
                <w:sz w:val="21"/>
                <w:szCs w:val="21"/>
              </w:rPr>
              <w:t>≤0.001</w:t>
            </w:r>
          </w:p>
        </w:tc>
        <w:tc>
          <w:tcPr>
            <w:tcW w:w="1143" w:type="dxa"/>
            <w:tcBorders>
              <w:top w:val="single" w:color="auto" w:sz="4" w:space="0"/>
              <w:left w:val="nil"/>
              <w:bottom w:val="single" w:color="auto" w:sz="4" w:space="0"/>
              <w:right w:val="single" w:color="auto" w:sz="4" w:space="0"/>
            </w:tcBorders>
            <w:vAlign w:val="center"/>
          </w:tcPr>
          <w:p w14:paraId="43300DA6">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3C193A27">
            <w:pPr>
              <w:jc w:val="center"/>
              <w:rPr>
                <w:rFonts w:ascii="Times New Roman"/>
                <w:sz w:val="21"/>
                <w:szCs w:val="21"/>
              </w:rPr>
            </w:pPr>
          </w:p>
        </w:tc>
      </w:tr>
      <w:tr w14:paraId="3F85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5B55147F">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48258C72">
            <w:pPr>
              <w:jc w:val="center"/>
              <w:rPr>
                <w:rFonts w:ascii="Times New Roman"/>
                <w:sz w:val="21"/>
                <w:szCs w:val="21"/>
              </w:rPr>
            </w:pPr>
            <w:r>
              <w:rPr>
                <w:rFonts w:ascii="Times New Roman"/>
                <w:sz w:val="21"/>
                <w:szCs w:val="21"/>
              </w:rPr>
              <w:t>砷</w:t>
            </w:r>
          </w:p>
        </w:tc>
        <w:tc>
          <w:tcPr>
            <w:tcW w:w="1229" w:type="dxa"/>
            <w:tcBorders>
              <w:top w:val="single" w:color="auto" w:sz="4" w:space="0"/>
              <w:left w:val="nil"/>
              <w:bottom w:val="single" w:color="auto" w:sz="4" w:space="0"/>
              <w:right w:val="single" w:color="auto" w:sz="4" w:space="0"/>
            </w:tcBorders>
            <w:vAlign w:val="center"/>
          </w:tcPr>
          <w:p w14:paraId="512DC10A">
            <w:pPr>
              <w:snapToGrid w:val="0"/>
              <w:jc w:val="center"/>
              <w:rPr>
                <w:rFonts w:ascii="Times New Roman"/>
                <w:sz w:val="21"/>
                <w:szCs w:val="21"/>
              </w:rPr>
            </w:pPr>
            <w:r>
              <w:rPr>
                <w:rFonts w:ascii="Times New Roman"/>
                <w:sz w:val="21"/>
                <w:szCs w:val="21"/>
              </w:rPr>
              <w:t>≤0.01</w:t>
            </w:r>
          </w:p>
        </w:tc>
        <w:tc>
          <w:tcPr>
            <w:tcW w:w="1143" w:type="dxa"/>
            <w:tcBorders>
              <w:top w:val="single" w:color="auto" w:sz="4" w:space="0"/>
              <w:left w:val="nil"/>
              <w:bottom w:val="single" w:color="auto" w:sz="4" w:space="0"/>
              <w:right w:val="single" w:color="auto" w:sz="4" w:space="0"/>
            </w:tcBorders>
            <w:vAlign w:val="center"/>
          </w:tcPr>
          <w:p w14:paraId="41FC822F">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07CB4CF6">
            <w:pPr>
              <w:jc w:val="center"/>
              <w:rPr>
                <w:rFonts w:ascii="Times New Roman"/>
                <w:sz w:val="21"/>
                <w:szCs w:val="21"/>
              </w:rPr>
            </w:pPr>
          </w:p>
        </w:tc>
      </w:tr>
      <w:tr w14:paraId="276B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1A60E60E">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58706850">
            <w:pPr>
              <w:jc w:val="center"/>
              <w:rPr>
                <w:rFonts w:ascii="Times New Roman"/>
                <w:sz w:val="21"/>
                <w:szCs w:val="21"/>
              </w:rPr>
            </w:pPr>
            <w:r>
              <w:rPr>
                <w:rFonts w:ascii="Times New Roman"/>
                <w:sz w:val="21"/>
                <w:szCs w:val="21"/>
              </w:rPr>
              <w:t>铅</w:t>
            </w:r>
          </w:p>
        </w:tc>
        <w:tc>
          <w:tcPr>
            <w:tcW w:w="1229" w:type="dxa"/>
            <w:tcBorders>
              <w:top w:val="single" w:color="auto" w:sz="4" w:space="0"/>
              <w:left w:val="nil"/>
              <w:bottom w:val="single" w:color="auto" w:sz="4" w:space="0"/>
              <w:right w:val="single" w:color="auto" w:sz="4" w:space="0"/>
            </w:tcBorders>
            <w:vAlign w:val="center"/>
          </w:tcPr>
          <w:p w14:paraId="6258451F">
            <w:pPr>
              <w:snapToGrid w:val="0"/>
              <w:jc w:val="center"/>
              <w:rPr>
                <w:rFonts w:ascii="Times New Roman"/>
                <w:sz w:val="21"/>
                <w:szCs w:val="21"/>
              </w:rPr>
            </w:pPr>
            <w:r>
              <w:rPr>
                <w:rFonts w:ascii="Times New Roman"/>
                <w:sz w:val="21"/>
                <w:szCs w:val="21"/>
              </w:rPr>
              <w:t>≤0.01</w:t>
            </w:r>
          </w:p>
        </w:tc>
        <w:tc>
          <w:tcPr>
            <w:tcW w:w="1143" w:type="dxa"/>
            <w:tcBorders>
              <w:top w:val="single" w:color="auto" w:sz="4" w:space="0"/>
              <w:left w:val="nil"/>
              <w:bottom w:val="single" w:color="auto" w:sz="4" w:space="0"/>
              <w:right w:val="single" w:color="auto" w:sz="4" w:space="0"/>
            </w:tcBorders>
            <w:vAlign w:val="center"/>
          </w:tcPr>
          <w:p w14:paraId="6C658D1E">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7791D4C5">
            <w:pPr>
              <w:jc w:val="center"/>
              <w:rPr>
                <w:rFonts w:ascii="Times New Roman"/>
                <w:sz w:val="21"/>
                <w:szCs w:val="21"/>
              </w:rPr>
            </w:pPr>
          </w:p>
        </w:tc>
      </w:tr>
      <w:tr w14:paraId="4249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40EC9C17">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549D0033">
            <w:pPr>
              <w:jc w:val="center"/>
              <w:rPr>
                <w:rFonts w:ascii="Times New Roman"/>
                <w:sz w:val="21"/>
                <w:szCs w:val="21"/>
              </w:rPr>
            </w:pPr>
            <w:r>
              <w:rPr>
                <w:rFonts w:ascii="Times New Roman"/>
                <w:sz w:val="21"/>
                <w:szCs w:val="21"/>
              </w:rPr>
              <w:t>锌</w:t>
            </w:r>
          </w:p>
        </w:tc>
        <w:tc>
          <w:tcPr>
            <w:tcW w:w="1229" w:type="dxa"/>
            <w:tcBorders>
              <w:top w:val="single" w:color="auto" w:sz="4" w:space="0"/>
              <w:left w:val="nil"/>
              <w:bottom w:val="single" w:color="auto" w:sz="4" w:space="0"/>
              <w:right w:val="single" w:color="auto" w:sz="4" w:space="0"/>
            </w:tcBorders>
            <w:vAlign w:val="center"/>
          </w:tcPr>
          <w:p w14:paraId="4222EAF1">
            <w:pPr>
              <w:snapToGrid w:val="0"/>
              <w:jc w:val="center"/>
              <w:rPr>
                <w:rFonts w:ascii="Times New Roman"/>
                <w:sz w:val="21"/>
                <w:szCs w:val="21"/>
              </w:rPr>
            </w:pPr>
            <w:r>
              <w:rPr>
                <w:rFonts w:ascii="Times New Roman"/>
                <w:sz w:val="21"/>
                <w:szCs w:val="21"/>
              </w:rPr>
              <w:t>≤1.0</w:t>
            </w:r>
          </w:p>
        </w:tc>
        <w:tc>
          <w:tcPr>
            <w:tcW w:w="1143" w:type="dxa"/>
            <w:tcBorders>
              <w:top w:val="single" w:color="auto" w:sz="4" w:space="0"/>
              <w:left w:val="nil"/>
              <w:bottom w:val="single" w:color="auto" w:sz="4" w:space="0"/>
              <w:right w:val="single" w:color="auto" w:sz="4" w:space="0"/>
            </w:tcBorders>
            <w:vAlign w:val="center"/>
          </w:tcPr>
          <w:p w14:paraId="482FDD83">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76DC2BCB">
            <w:pPr>
              <w:jc w:val="center"/>
              <w:rPr>
                <w:rFonts w:ascii="Times New Roman"/>
                <w:sz w:val="21"/>
                <w:szCs w:val="21"/>
              </w:rPr>
            </w:pPr>
          </w:p>
        </w:tc>
      </w:tr>
      <w:tr w14:paraId="706B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1FE6553D">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52FC4766">
            <w:pPr>
              <w:jc w:val="center"/>
              <w:rPr>
                <w:rFonts w:ascii="Times New Roman"/>
                <w:sz w:val="21"/>
                <w:szCs w:val="21"/>
              </w:rPr>
            </w:pPr>
            <w:r>
              <w:rPr>
                <w:rFonts w:ascii="Times New Roman"/>
                <w:sz w:val="21"/>
                <w:szCs w:val="21"/>
              </w:rPr>
              <w:t>镉</w:t>
            </w:r>
          </w:p>
        </w:tc>
        <w:tc>
          <w:tcPr>
            <w:tcW w:w="1229" w:type="dxa"/>
            <w:tcBorders>
              <w:top w:val="single" w:color="auto" w:sz="4" w:space="0"/>
              <w:left w:val="nil"/>
              <w:bottom w:val="single" w:color="auto" w:sz="4" w:space="0"/>
              <w:right w:val="single" w:color="auto" w:sz="4" w:space="0"/>
            </w:tcBorders>
            <w:vAlign w:val="center"/>
          </w:tcPr>
          <w:p w14:paraId="37488FE6">
            <w:pPr>
              <w:snapToGrid w:val="0"/>
              <w:jc w:val="center"/>
              <w:rPr>
                <w:rFonts w:ascii="Times New Roman"/>
                <w:sz w:val="21"/>
                <w:szCs w:val="21"/>
              </w:rPr>
            </w:pPr>
            <w:r>
              <w:rPr>
                <w:rFonts w:ascii="Times New Roman"/>
                <w:sz w:val="21"/>
                <w:szCs w:val="21"/>
              </w:rPr>
              <w:t>≤0.005</w:t>
            </w:r>
          </w:p>
        </w:tc>
        <w:tc>
          <w:tcPr>
            <w:tcW w:w="1143" w:type="dxa"/>
            <w:tcBorders>
              <w:top w:val="single" w:color="auto" w:sz="4" w:space="0"/>
              <w:left w:val="nil"/>
              <w:bottom w:val="single" w:color="auto" w:sz="4" w:space="0"/>
              <w:right w:val="single" w:color="auto" w:sz="4" w:space="0"/>
            </w:tcBorders>
            <w:vAlign w:val="center"/>
          </w:tcPr>
          <w:p w14:paraId="38A87D99">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23FF295D">
            <w:pPr>
              <w:jc w:val="center"/>
              <w:rPr>
                <w:rFonts w:ascii="Times New Roman"/>
                <w:sz w:val="21"/>
                <w:szCs w:val="21"/>
              </w:rPr>
            </w:pPr>
          </w:p>
        </w:tc>
      </w:tr>
      <w:tr w14:paraId="3A10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34024FA0">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03E1A67B">
            <w:pPr>
              <w:jc w:val="center"/>
              <w:rPr>
                <w:rFonts w:ascii="Times New Roman"/>
                <w:sz w:val="21"/>
                <w:szCs w:val="21"/>
              </w:rPr>
            </w:pPr>
            <w:r>
              <w:rPr>
                <w:rFonts w:ascii="Times New Roman"/>
                <w:sz w:val="21"/>
                <w:szCs w:val="21"/>
              </w:rPr>
              <w:t>铬（六价）</w:t>
            </w:r>
          </w:p>
        </w:tc>
        <w:tc>
          <w:tcPr>
            <w:tcW w:w="1229" w:type="dxa"/>
            <w:tcBorders>
              <w:top w:val="single" w:color="auto" w:sz="4" w:space="0"/>
              <w:left w:val="nil"/>
              <w:bottom w:val="single" w:color="auto" w:sz="4" w:space="0"/>
              <w:right w:val="single" w:color="auto" w:sz="4" w:space="0"/>
            </w:tcBorders>
            <w:vAlign w:val="center"/>
          </w:tcPr>
          <w:p w14:paraId="30506E0E">
            <w:pPr>
              <w:snapToGrid w:val="0"/>
              <w:jc w:val="center"/>
              <w:rPr>
                <w:rFonts w:ascii="Times New Roman"/>
                <w:sz w:val="21"/>
                <w:szCs w:val="21"/>
              </w:rPr>
            </w:pPr>
            <w:r>
              <w:rPr>
                <w:rFonts w:ascii="Times New Roman"/>
                <w:sz w:val="21"/>
                <w:szCs w:val="21"/>
              </w:rPr>
              <w:t>≤0.05</w:t>
            </w:r>
          </w:p>
        </w:tc>
        <w:tc>
          <w:tcPr>
            <w:tcW w:w="1143" w:type="dxa"/>
            <w:tcBorders>
              <w:top w:val="single" w:color="auto" w:sz="4" w:space="0"/>
              <w:left w:val="nil"/>
              <w:bottom w:val="single" w:color="auto" w:sz="4" w:space="0"/>
              <w:right w:val="single" w:color="auto" w:sz="4" w:space="0"/>
            </w:tcBorders>
            <w:vAlign w:val="center"/>
          </w:tcPr>
          <w:p w14:paraId="5D03C411">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7444D6D1">
            <w:pPr>
              <w:jc w:val="center"/>
              <w:rPr>
                <w:rFonts w:ascii="Times New Roman"/>
                <w:sz w:val="21"/>
                <w:szCs w:val="21"/>
              </w:rPr>
            </w:pPr>
          </w:p>
        </w:tc>
      </w:tr>
      <w:tr w14:paraId="0F27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6A36DE99">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shd w:val="clear" w:color="auto" w:fill="auto"/>
            <w:vAlign w:val="center"/>
          </w:tcPr>
          <w:p w14:paraId="544E682B">
            <w:pPr>
              <w:jc w:val="center"/>
              <w:rPr>
                <w:rFonts w:ascii="Times New Roman"/>
                <w:sz w:val="21"/>
                <w:szCs w:val="21"/>
              </w:rPr>
            </w:pPr>
            <w:r>
              <w:rPr>
                <w:rFonts w:ascii="Times New Roman"/>
                <w:sz w:val="21"/>
                <w:szCs w:val="21"/>
              </w:rPr>
              <w:t>镍</w:t>
            </w:r>
          </w:p>
        </w:tc>
        <w:tc>
          <w:tcPr>
            <w:tcW w:w="1229" w:type="dxa"/>
            <w:tcBorders>
              <w:top w:val="single" w:color="auto" w:sz="4" w:space="0"/>
              <w:left w:val="nil"/>
              <w:bottom w:val="single" w:color="auto" w:sz="4" w:space="0"/>
              <w:right w:val="single" w:color="auto" w:sz="4" w:space="0"/>
            </w:tcBorders>
            <w:shd w:val="clear" w:color="auto" w:fill="auto"/>
            <w:vAlign w:val="center"/>
          </w:tcPr>
          <w:p w14:paraId="4F7A8965">
            <w:pPr>
              <w:snapToGrid w:val="0"/>
              <w:jc w:val="center"/>
              <w:rPr>
                <w:rFonts w:ascii="Times New Roman"/>
                <w:sz w:val="21"/>
                <w:szCs w:val="21"/>
              </w:rPr>
            </w:pPr>
            <w:r>
              <w:rPr>
                <w:rFonts w:ascii="Times New Roman"/>
                <w:sz w:val="21"/>
                <w:szCs w:val="21"/>
              </w:rPr>
              <w:t>≤0.02</w:t>
            </w:r>
          </w:p>
        </w:tc>
        <w:tc>
          <w:tcPr>
            <w:tcW w:w="1143" w:type="dxa"/>
            <w:tcBorders>
              <w:top w:val="single" w:color="auto" w:sz="4" w:space="0"/>
              <w:left w:val="nil"/>
              <w:bottom w:val="single" w:color="auto" w:sz="4" w:space="0"/>
              <w:right w:val="single" w:color="auto" w:sz="4" w:space="0"/>
            </w:tcBorders>
            <w:shd w:val="clear" w:color="auto" w:fill="auto"/>
            <w:vAlign w:val="center"/>
          </w:tcPr>
          <w:p w14:paraId="08BB162C">
            <w:pPr>
              <w:snapToGrid w:val="0"/>
              <w:jc w:val="center"/>
              <w:rPr>
                <w:rFonts w:ascii="Times New Roman"/>
                <w:sz w:val="21"/>
                <w:szCs w:val="21"/>
              </w:rPr>
            </w:pPr>
            <w:r>
              <w:rPr>
                <w:rFonts w:ascii="Times New Roman"/>
                <w:sz w:val="21"/>
                <w:szCs w:val="21"/>
              </w:rPr>
              <w:t>mg/L</w:t>
            </w:r>
          </w:p>
        </w:tc>
        <w:tc>
          <w:tcPr>
            <w:tcW w:w="2545" w:type="dxa"/>
            <w:vMerge w:val="continue"/>
            <w:tcBorders>
              <w:top w:val="nil"/>
              <w:left w:val="nil"/>
              <w:bottom w:val="single" w:color="auto" w:sz="4" w:space="0"/>
              <w:right w:val="single" w:color="auto" w:sz="4" w:space="0"/>
            </w:tcBorders>
            <w:vAlign w:val="center"/>
          </w:tcPr>
          <w:p w14:paraId="2604FFE9">
            <w:pPr>
              <w:jc w:val="center"/>
              <w:rPr>
                <w:rFonts w:ascii="Times New Roman"/>
                <w:sz w:val="21"/>
                <w:szCs w:val="21"/>
              </w:rPr>
            </w:pPr>
          </w:p>
        </w:tc>
      </w:tr>
      <w:tr w14:paraId="2ED2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1EF4B3FD">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shd w:val="clear" w:color="auto" w:fill="auto"/>
            <w:vAlign w:val="center"/>
          </w:tcPr>
          <w:p w14:paraId="510CECFF">
            <w:pPr>
              <w:jc w:val="center"/>
              <w:rPr>
                <w:rFonts w:ascii="Times New Roman"/>
                <w:sz w:val="21"/>
                <w:szCs w:val="21"/>
              </w:rPr>
            </w:pPr>
            <w:r>
              <w:rPr>
                <w:rFonts w:ascii="Times New Roman"/>
                <w:sz w:val="21"/>
                <w:szCs w:val="21"/>
              </w:rPr>
              <w:t>菌落总数</w:t>
            </w:r>
          </w:p>
        </w:tc>
        <w:tc>
          <w:tcPr>
            <w:tcW w:w="1229" w:type="dxa"/>
            <w:tcBorders>
              <w:top w:val="single" w:color="auto" w:sz="4" w:space="0"/>
              <w:left w:val="nil"/>
              <w:bottom w:val="single" w:color="auto" w:sz="4" w:space="0"/>
              <w:right w:val="single" w:color="auto" w:sz="4" w:space="0"/>
            </w:tcBorders>
            <w:shd w:val="clear" w:color="auto" w:fill="auto"/>
            <w:vAlign w:val="center"/>
          </w:tcPr>
          <w:p w14:paraId="685E3216">
            <w:pPr>
              <w:snapToGrid w:val="0"/>
              <w:jc w:val="center"/>
              <w:rPr>
                <w:rFonts w:ascii="Times New Roman"/>
                <w:sz w:val="21"/>
                <w:szCs w:val="21"/>
              </w:rPr>
            </w:pPr>
            <w:r>
              <w:rPr>
                <w:rFonts w:ascii="Times New Roman"/>
                <w:sz w:val="21"/>
                <w:szCs w:val="21"/>
              </w:rPr>
              <w:t>≤100</w:t>
            </w:r>
          </w:p>
        </w:tc>
        <w:tc>
          <w:tcPr>
            <w:tcW w:w="1143" w:type="dxa"/>
            <w:tcBorders>
              <w:top w:val="single" w:color="auto" w:sz="4" w:space="0"/>
              <w:left w:val="nil"/>
              <w:bottom w:val="single" w:color="auto" w:sz="4" w:space="0"/>
              <w:right w:val="single" w:color="auto" w:sz="4" w:space="0"/>
            </w:tcBorders>
            <w:shd w:val="clear" w:color="auto" w:fill="auto"/>
            <w:vAlign w:val="center"/>
          </w:tcPr>
          <w:p w14:paraId="5D12BDAF">
            <w:pPr>
              <w:snapToGrid w:val="0"/>
              <w:jc w:val="center"/>
              <w:rPr>
                <w:rFonts w:ascii="Times New Roman"/>
                <w:sz w:val="21"/>
                <w:szCs w:val="21"/>
              </w:rPr>
            </w:pPr>
            <w:r>
              <w:rPr>
                <w:rFonts w:ascii="Times New Roman"/>
                <w:sz w:val="21"/>
                <w:szCs w:val="21"/>
              </w:rPr>
              <w:t>CFU/ml</w:t>
            </w:r>
          </w:p>
        </w:tc>
        <w:tc>
          <w:tcPr>
            <w:tcW w:w="2545" w:type="dxa"/>
            <w:vMerge w:val="continue"/>
            <w:tcBorders>
              <w:top w:val="nil"/>
              <w:left w:val="nil"/>
              <w:bottom w:val="single" w:color="auto" w:sz="4" w:space="0"/>
              <w:right w:val="single" w:color="auto" w:sz="4" w:space="0"/>
            </w:tcBorders>
            <w:vAlign w:val="center"/>
          </w:tcPr>
          <w:p w14:paraId="32ADEA95">
            <w:pPr>
              <w:jc w:val="center"/>
              <w:rPr>
                <w:rFonts w:ascii="Times New Roman"/>
                <w:sz w:val="21"/>
                <w:szCs w:val="21"/>
              </w:rPr>
            </w:pPr>
          </w:p>
        </w:tc>
      </w:tr>
      <w:tr w14:paraId="790A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2C7CDB58">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shd w:val="clear" w:color="auto" w:fill="auto"/>
            <w:vAlign w:val="center"/>
          </w:tcPr>
          <w:p w14:paraId="09974DCC">
            <w:pPr>
              <w:jc w:val="center"/>
              <w:rPr>
                <w:rFonts w:ascii="Times New Roman"/>
                <w:sz w:val="21"/>
                <w:szCs w:val="21"/>
              </w:rPr>
            </w:pPr>
            <w:r>
              <w:rPr>
                <w:rFonts w:ascii="Times New Roman"/>
                <w:sz w:val="21"/>
                <w:szCs w:val="21"/>
              </w:rPr>
              <w:t>总大肠杆菌群</w:t>
            </w:r>
          </w:p>
        </w:tc>
        <w:tc>
          <w:tcPr>
            <w:tcW w:w="1229" w:type="dxa"/>
            <w:tcBorders>
              <w:top w:val="single" w:color="auto" w:sz="4" w:space="0"/>
              <w:left w:val="nil"/>
              <w:bottom w:val="single" w:color="auto" w:sz="4" w:space="0"/>
              <w:right w:val="single" w:color="auto" w:sz="4" w:space="0"/>
            </w:tcBorders>
            <w:shd w:val="clear" w:color="auto" w:fill="auto"/>
            <w:vAlign w:val="center"/>
          </w:tcPr>
          <w:p w14:paraId="0BE7BD59">
            <w:pPr>
              <w:jc w:val="center"/>
              <w:rPr>
                <w:rFonts w:ascii="Times New Roman"/>
                <w:sz w:val="21"/>
                <w:szCs w:val="21"/>
              </w:rPr>
            </w:pPr>
            <w:r>
              <w:rPr>
                <w:rFonts w:ascii="Times New Roman"/>
                <w:sz w:val="21"/>
                <w:szCs w:val="21"/>
              </w:rPr>
              <w:t>≤3.0</w:t>
            </w:r>
          </w:p>
        </w:tc>
        <w:tc>
          <w:tcPr>
            <w:tcW w:w="1143" w:type="dxa"/>
            <w:tcBorders>
              <w:top w:val="single" w:color="auto" w:sz="4" w:space="0"/>
              <w:left w:val="nil"/>
              <w:bottom w:val="single" w:color="auto" w:sz="4" w:space="0"/>
              <w:right w:val="single" w:color="auto" w:sz="4" w:space="0"/>
            </w:tcBorders>
            <w:shd w:val="clear" w:color="auto" w:fill="auto"/>
            <w:vAlign w:val="center"/>
          </w:tcPr>
          <w:p w14:paraId="70CC28C7">
            <w:pPr>
              <w:jc w:val="center"/>
              <w:rPr>
                <w:rFonts w:ascii="Times New Roman"/>
                <w:sz w:val="21"/>
                <w:szCs w:val="21"/>
              </w:rPr>
            </w:pPr>
            <w:r>
              <w:rPr>
                <w:rFonts w:ascii="Times New Roman"/>
                <w:sz w:val="21"/>
                <w:szCs w:val="21"/>
              </w:rPr>
              <w:t>CFU/100ml</w:t>
            </w:r>
          </w:p>
        </w:tc>
        <w:tc>
          <w:tcPr>
            <w:tcW w:w="2545" w:type="dxa"/>
            <w:vMerge w:val="continue"/>
            <w:tcBorders>
              <w:top w:val="nil"/>
              <w:left w:val="nil"/>
              <w:bottom w:val="single" w:color="auto" w:sz="4" w:space="0"/>
              <w:right w:val="single" w:color="auto" w:sz="4" w:space="0"/>
            </w:tcBorders>
            <w:vAlign w:val="center"/>
          </w:tcPr>
          <w:p w14:paraId="020C0DBD">
            <w:pPr>
              <w:jc w:val="center"/>
              <w:rPr>
                <w:rFonts w:ascii="Times New Roman"/>
                <w:sz w:val="21"/>
                <w:szCs w:val="21"/>
              </w:rPr>
            </w:pPr>
          </w:p>
        </w:tc>
      </w:tr>
      <w:tr w14:paraId="66ED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304D0108">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08808649">
            <w:pPr>
              <w:jc w:val="center"/>
              <w:rPr>
                <w:rFonts w:ascii="Times New Roman"/>
                <w:sz w:val="21"/>
                <w:szCs w:val="21"/>
              </w:rPr>
            </w:pPr>
            <w:r>
              <w:rPr>
                <w:rFonts w:ascii="Times New Roman"/>
                <w:sz w:val="21"/>
                <w:szCs w:val="21"/>
              </w:rPr>
              <w:t>苯</w:t>
            </w:r>
          </w:p>
        </w:tc>
        <w:tc>
          <w:tcPr>
            <w:tcW w:w="1229" w:type="dxa"/>
            <w:tcBorders>
              <w:top w:val="single" w:color="auto" w:sz="4" w:space="0"/>
              <w:left w:val="nil"/>
              <w:bottom w:val="single" w:color="auto" w:sz="4" w:space="0"/>
              <w:right w:val="single" w:color="auto" w:sz="4" w:space="0"/>
            </w:tcBorders>
            <w:vAlign w:val="center"/>
          </w:tcPr>
          <w:p w14:paraId="0E638125">
            <w:pPr>
              <w:snapToGrid w:val="0"/>
              <w:jc w:val="center"/>
              <w:rPr>
                <w:rFonts w:ascii="Times New Roman"/>
                <w:sz w:val="21"/>
                <w:szCs w:val="21"/>
              </w:rPr>
            </w:pPr>
            <w:r>
              <w:rPr>
                <w:rFonts w:ascii="Times New Roman"/>
                <w:sz w:val="21"/>
                <w:szCs w:val="21"/>
              </w:rPr>
              <w:t>≤10</w:t>
            </w:r>
          </w:p>
        </w:tc>
        <w:tc>
          <w:tcPr>
            <w:tcW w:w="1143" w:type="dxa"/>
            <w:tcBorders>
              <w:top w:val="single" w:color="auto" w:sz="4" w:space="0"/>
              <w:left w:val="nil"/>
              <w:bottom w:val="single" w:color="auto" w:sz="4" w:space="0"/>
              <w:right w:val="single" w:color="auto" w:sz="4" w:space="0"/>
            </w:tcBorders>
            <w:vAlign w:val="center"/>
          </w:tcPr>
          <w:p w14:paraId="4FA0EED2">
            <w:pPr>
              <w:snapToGrid w:val="0"/>
              <w:jc w:val="center"/>
              <w:rPr>
                <w:rFonts w:ascii="Times New Roman"/>
                <w:sz w:val="21"/>
                <w:szCs w:val="21"/>
              </w:rPr>
            </w:pPr>
            <w:r>
              <w:rPr>
                <w:rFonts w:ascii="Times New Roman"/>
                <w:sz w:val="21"/>
                <w:szCs w:val="21"/>
              </w:rPr>
              <w:t>μg/ L</w:t>
            </w:r>
          </w:p>
        </w:tc>
        <w:tc>
          <w:tcPr>
            <w:tcW w:w="2545" w:type="dxa"/>
            <w:vMerge w:val="continue"/>
            <w:tcBorders>
              <w:top w:val="nil"/>
              <w:left w:val="nil"/>
              <w:bottom w:val="single" w:color="auto" w:sz="4" w:space="0"/>
              <w:right w:val="single" w:color="auto" w:sz="4" w:space="0"/>
            </w:tcBorders>
            <w:vAlign w:val="center"/>
          </w:tcPr>
          <w:p w14:paraId="2CC24EA6">
            <w:pPr>
              <w:jc w:val="center"/>
              <w:rPr>
                <w:rFonts w:ascii="Times New Roman"/>
                <w:sz w:val="21"/>
                <w:szCs w:val="21"/>
              </w:rPr>
            </w:pPr>
          </w:p>
        </w:tc>
      </w:tr>
      <w:tr w14:paraId="2ED6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04E7D15E">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4051BD25">
            <w:pPr>
              <w:jc w:val="center"/>
              <w:rPr>
                <w:rFonts w:ascii="Times New Roman"/>
                <w:sz w:val="21"/>
                <w:szCs w:val="21"/>
              </w:rPr>
            </w:pPr>
            <w:r>
              <w:rPr>
                <w:rFonts w:ascii="Times New Roman"/>
                <w:sz w:val="21"/>
                <w:szCs w:val="21"/>
              </w:rPr>
              <w:t>甲苯</w:t>
            </w:r>
          </w:p>
        </w:tc>
        <w:tc>
          <w:tcPr>
            <w:tcW w:w="1229" w:type="dxa"/>
            <w:tcBorders>
              <w:top w:val="single" w:color="auto" w:sz="4" w:space="0"/>
              <w:left w:val="nil"/>
              <w:bottom w:val="single" w:color="auto" w:sz="4" w:space="0"/>
              <w:right w:val="single" w:color="auto" w:sz="4" w:space="0"/>
            </w:tcBorders>
            <w:vAlign w:val="center"/>
          </w:tcPr>
          <w:p w14:paraId="47B2FA40">
            <w:pPr>
              <w:snapToGrid w:val="0"/>
              <w:jc w:val="center"/>
              <w:rPr>
                <w:rFonts w:ascii="Times New Roman"/>
                <w:sz w:val="21"/>
                <w:szCs w:val="21"/>
              </w:rPr>
            </w:pPr>
            <w:r>
              <w:rPr>
                <w:rFonts w:ascii="Times New Roman"/>
                <w:sz w:val="21"/>
                <w:szCs w:val="21"/>
              </w:rPr>
              <w:t>≤700</w:t>
            </w:r>
          </w:p>
        </w:tc>
        <w:tc>
          <w:tcPr>
            <w:tcW w:w="1143" w:type="dxa"/>
            <w:tcBorders>
              <w:top w:val="single" w:color="auto" w:sz="4" w:space="0"/>
              <w:left w:val="nil"/>
              <w:bottom w:val="single" w:color="auto" w:sz="4" w:space="0"/>
              <w:right w:val="single" w:color="auto" w:sz="4" w:space="0"/>
            </w:tcBorders>
            <w:vAlign w:val="center"/>
          </w:tcPr>
          <w:p w14:paraId="1C5ADD79">
            <w:pPr>
              <w:snapToGrid w:val="0"/>
              <w:jc w:val="center"/>
              <w:rPr>
                <w:rFonts w:ascii="Times New Roman"/>
                <w:sz w:val="21"/>
                <w:szCs w:val="21"/>
              </w:rPr>
            </w:pPr>
            <w:r>
              <w:rPr>
                <w:rFonts w:ascii="Times New Roman"/>
                <w:sz w:val="21"/>
                <w:szCs w:val="21"/>
              </w:rPr>
              <w:t>μg/ L</w:t>
            </w:r>
          </w:p>
        </w:tc>
        <w:tc>
          <w:tcPr>
            <w:tcW w:w="2545" w:type="dxa"/>
            <w:vMerge w:val="continue"/>
            <w:tcBorders>
              <w:top w:val="nil"/>
              <w:left w:val="nil"/>
              <w:bottom w:val="single" w:color="auto" w:sz="4" w:space="0"/>
              <w:right w:val="single" w:color="auto" w:sz="4" w:space="0"/>
            </w:tcBorders>
            <w:vAlign w:val="center"/>
          </w:tcPr>
          <w:p w14:paraId="53C6F971">
            <w:pPr>
              <w:jc w:val="center"/>
              <w:rPr>
                <w:rFonts w:ascii="Times New Roman"/>
                <w:sz w:val="21"/>
                <w:szCs w:val="21"/>
              </w:rPr>
            </w:pPr>
          </w:p>
        </w:tc>
      </w:tr>
      <w:tr w14:paraId="2EF1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56ADEB7E">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39E811B8">
            <w:pPr>
              <w:jc w:val="center"/>
              <w:rPr>
                <w:rFonts w:ascii="Times New Roman"/>
                <w:sz w:val="21"/>
                <w:szCs w:val="21"/>
              </w:rPr>
            </w:pPr>
            <w:r>
              <w:rPr>
                <w:rFonts w:ascii="Times New Roman"/>
                <w:sz w:val="21"/>
                <w:szCs w:val="21"/>
              </w:rPr>
              <w:t>二甲苯</w:t>
            </w:r>
          </w:p>
        </w:tc>
        <w:tc>
          <w:tcPr>
            <w:tcW w:w="1229" w:type="dxa"/>
            <w:tcBorders>
              <w:top w:val="single" w:color="auto" w:sz="4" w:space="0"/>
              <w:left w:val="nil"/>
              <w:bottom w:val="single" w:color="auto" w:sz="4" w:space="0"/>
              <w:right w:val="single" w:color="auto" w:sz="4" w:space="0"/>
            </w:tcBorders>
            <w:vAlign w:val="center"/>
          </w:tcPr>
          <w:p w14:paraId="3E6CDB92">
            <w:pPr>
              <w:snapToGrid w:val="0"/>
              <w:jc w:val="center"/>
              <w:rPr>
                <w:rFonts w:ascii="Times New Roman"/>
                <w:sz w:val="21"/>
                <w:szCs w:val="21"/>
              </w:rPr>
            </w:pPr>
            <w:r>
              <w:rPr>
                <w:rFonts w:ascii="Times New Roman"/>
                <w:sz w:val="21"/>
                <w:szCs w:val="21"/>
              </w:rPr>
              <w:t>≤500</w:t>
            </w:r>
          </w:p>
        </w:tc>
        <w:tc>
          <w:tcPr>
            <w:tcW w:w="1143" w:type="dxa"/>
            <w:tcBorders>
              <w:top w:val="single" w:color="auto" w:sz="4" w:space="0"/>
              <w:left w:val="nil"/>
              <w:bottom w:val="single" w:color="auto" w:sz="4" w:space="0"/>
              <w:right w:val="single" w:color="auto" w:sz="4" w:space="0"/>
            </w:tcBorders>
            <w:vAlign w:val="center"/>
          </w:tcPr>
          <w:p w14:paraId="7BC07EB4">
            <w:pPr>
              <w:snapToGrid w:val="0"/>
              <w:jc w:val="center"/>
              <w:rPr>
                <w:rFonts w:ascii="Times New Roman"/>
                <w:sz w:val="21"/>
                <w:szCs w:val="21"/>
              </w:rPr>
            </w:pPr>
            <w:r>
              <w:rPr>
                <w:rFonts w:ascii="Times New Roman"/>
                <w:sz w:val="21"/>
                <w:szCs w:val="21"/>
              </w:rPr>
              <w:t>μg/ L</w:t>
            </w:r>
          </w:p>
        </w:tc>
        <w:tc>
          <w:tcPr>
            <w:tcW w:w="2545" w:type="dxa"/>
            <w:vMerge w:val="continue"/>
            <w:tcBorders>
              <w:top w:val="nil"/>
              <w:left w:val="nil"/>
              <w:bottom w:val="single" w:color="auto" w:sz="4" w:space="0"/>
              <w:right w:val="single" w:color="auto" w:sz="4" w:space="0"/>
            </w:tcBorders>
            <w:vAlign w:val="center"/>
          </w:tcPr>
          <w:p w14:paraId="39BF3AF7">
            <w:pPr>
              <w:jc w:val="center"/>
              <w:rPr>
                <w:rFonts w:ascii="Times New Roman"/>
                <w:sz w:val="21"/>
                <w:szCs w:val="21"/>
              </w:rPr>
            </w:pPr>
          </w:p>
        </w:tc>
      </w:tr>
      <w:tr w14:paraId="715F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1284" w:type="dxa"/>
            <w:vMerge w:val="continue"/>
            <w:tcBorders>
              <w:top w:val="nil"/>
              <w:left w:val="single" w:color="auto" w:sz="4" w:space="0"/>
              <w:bottom w:val="single" w:color="auto" w:sz="4" w:space="0"/>
              <w:right w:val="single" w:color="auto" w:sz="4" w:space="0"/>
            </w:tcBorders>
            <w:vAlign w:val="center"/>
          </w:tcPr>
          <w:p w14:paraId="572D788F">
            <w:pPr>
              <w:jc w:val="center"/>
              <w:rPr>
                <w:rFonts w:ascii="Times New Roman"/>
                <w:spacing w:val="5"/>
                <w:sz w:val="21"/>
                <w:szCs w:val="21"/>
              </w:rPr>
            </w:pPr>
          </w:p>
        </w:tc>
        <w:tc>
          <w:tcPr>
            <w:tcW w:w="2096" w:type="dxa"/>
            <w:tcBorders>
              <w:top w:val="single" w:color="auto" w:sz="4" w:space="0"/>
              <w:left w:val="nil"/>
              <w:bottom w:val="single" w:color="auto" w:sz="4" w:space="0"/>
              <w:right w:val="single" w:color="auto" w:sz="4" w:space="0"/>
            </w:tcBorders>
            <w:vAlign w:val="center"/>
          </w:tcPr>
          <w:p w14:paraId="6AB5E903">
            <w:pPr>
              <w:jc w:val="center"/>
              <w:rPr>
                <w:rFonts w:ascii="Times New Roman"/>
                <w:sz w:val="21"/>
                <w:szCs w:val="21"/>
              </w:rPr>
            </w:pPr>
            <w:r>
              <w:rPr>
                <w:rFonts w:ascii="Times New Roman"/>
                <w:sz w:val="21"/>
                <w:szCs w:val="21"/>
              </w:rPr>
              <w:t>石油类</w:t>
            </w:r>
          </w:p>
        </w:tc>
        <w:tc>
          <w:tcPr>
            <w:tcW w:w="1229" w:type="dxa"/>
            <w:tcBorders>
              <w:top w:val="single" w:color="auto" w:sz="4" w:space="0"/>
              <w:left w:val="nil"/>
              <w:bottom w:val="single" w:color="auto" w:sz="4" w:space="0"/>
              <w:right w:val="single" w:color="auto" w:sz="4" w:space="0"/>
            </w:tcBorders>
            <w:vAlign w:val="center"/>
          </w:tcPr>
          <w:p w14:paraId="26D8C99E">
            <w:pPr>
              <w:jc w:val="center"/>
              <w:rPr>
                <w:rFonts w:ascii="Times New Roman"/>
                <w:sz w:val="21"/>
                <w:szCs w:val="21"/>
              </w:rPr>
            </w:pPr>
            <w:r>
              <w:rPr>
                <w:rFonts w:ascii="Times New Roman"/>
                <w:sz w:val="21"/>
                <w:szCs w:val="21"/>
              </w:rPr>
              <w:t>≤0.05</w:t>
            </w:r>
          </w:p>
        </w:tc>
        <w:tc>
          <w:tcPr>
            <w:tcW w:w="1143" w:type="dxa"/>
            <w:tcBorders>
              <w:top w:val="single" w:color="auto" w:sz="4" w:space="0"/>
              <w:left w:val="nil"/>
              <w:bottom w:val="single" w:color="auto" w:sz="4" w:space="0"/>
              <w:right w:val="single" w:color="auto" w:sz="4" w:space="0"/>
            </w:tcBorders>
            <w:vAlign w:val="center"/>
          </w:tcPr>
          <w:p w14:paraId="47972FEC">
            <w:pPr>
              <w:snapToGrid w:val="0"/>
              <w:jc w:val="center"/>
              <w:rPr>
                <w:rFonts w:ascii="Times New Roman"/>
                <w:sz w:val="21"/>
                <w:szCs w:val="21"/>
              </w:rPr>
            </w:pPr>
            <w:r>
              <w:rPr>
                <w:rFonts w:ascii="Times New Roman"/>
                <w:sz w:val="21"/>
                <w:szCs w:val="21"/>
              </w:rPr>
              <w:t>mg/L</w:t>
            </w:r>
          </w:p>
        </w:tc>
        <w:tc>
          <w:tcPr>
            <w:tcW w:w="2545" w:type="dxa"/>
            <w:tcBorders>
              <w:top w:val="single" w:color="auto" w:sz="4" w:space="0"/>
              <w:left w:val="nil"/>
              <w:bottom w:val="single" w:color="auto" w:sz="4" w:space="0"/>
              <w:right w:val="single" w:color="auto" w:sz="4" w:space="0"/>
            </w:tcBorders>
            <w:vAlign w:val="center"/>
          </w:tcPr>
          <w:p w14:paraId="6AF7583C">
            <w:pPr>
              <w:jc w:val="center"/>
              <w:rPr>
                <w:rFonts w:ascii="Times New Roman"/>
                <w:sz w:val="21"/>
                <w:szCs w:val="21"/>
              </w:rPr>
            </w:pPr>
            <w:r>
              <w:rPr>
                <w:rFonts w:ascii="Times New Roman"/>
                <w:sz w:val="21"/>
                <w:szCs w:val="21"/>
              </w:rPr>
              <w:t>《地表水环境质量标准》（GB3838-2002）III类标准</w:t>
            </w:r>
          </w:p>
        </w:tc>
      </w:tr>
    </w:tbl>
    <w:p w14:paraId="753B948D">
      <w:pPr>
        <w:spacing w:line="480" w:lineRule="exact"/>
        <w:jc w:val="center"/>
        <w:rPr>
          <w:rFonts w:ascii="Times New Roman"/>
          <w:b/>
          <w:sz w:val="24"/>
          <w:szCs w:val="24"/>
        </w:rPr>
      </w:pPr>
      <w:r>
        <w:rPr>
          <w:rFonts w:ascii="Times New Roman"/>
          <w:b/>
          <w:sz w:val="24"/>
          <w:szCs w:val="24"/>
        </w:rPr>
        <w:t>表2.7-3  声环境质量标准</w:t>
      </w:r>
    </w:p>
    <w:tbl>
      <w:tblPr>
        <w:tblStyle w:val="8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8"/>
        <w:gridCol w:w="1313"/>
        <w:gridCol w:w="1065"/>
        <w:gridCol w:w="1125"/>
        <w:gridCol w:w="1035"/>
        <w:gridCol w:w="2729"/>
      </w:tblGrid>
      <w:tr w14:paraId="74AB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Align w:val="center"/>
          </w:tcPr>
          <w:p w14:paraId="21F5C8D6">
            <w:pPr>
              <w:jc w:val="center"/>
              <w:rPr>
                <w:rFonts w:ascii="Times New Roman"/>
                <w:sz w:val="21"/>
                <w:szCs w:val="21"/>
              </w:rPr>
            </w:pPr>
            <w:r>
              <w:rPr>
                <w:rFonts w:ascii="Times New Roman"/>
                <w:sz w:val="21"/>
                <w:szCs w:val="21"/>
              </w:rPr>
              <w:t>环境要素</w:t>
            </w:r>
          </w:p>
        </w:tc>
        <w:tc>
          <w:tcPr>
            <w:tcW w:w="1313" w:type="dxa"/>
            <w:vAlign w:val="center"/>
          </w:tcPr>
          <w:p w14:paraId="2287295B">
            <w:pPr>
              <w:jc w:val="center"/>
              <w:rPr>
                <w:rFonts w:ascii="Times New Roman"/>
                <w:sz w:val="21"/>
                <w:szCs w:val="21"/>
              </w:rPr>
            </w:pPr>
            <w:r>
              <w:rPr>
                <w:rFonts w:ascii="Times New Roman"/>
                <w:sz w:val="21"/>
                <w:szCs w:val="21"/>
              </w:rPr>
              <w:t>污染物名称</w:t>
            </w:r>
          </w:p>
        </w:tc>
        <w:tc>
          <w:tcPr>
            <w:tcW w:w="2190" w:type="dxa"/>
            <w:gridSpan w:val="2"/>
            <w:vAlign w:val="center"/>
          </w:tcPr>
          <w:p w14:paraId="49F6CE79">
            <w:pPr>
              <w:jc w:val="center"/>
              <w:rPr>
                <w:rFonts w:ascii="Times New Roman"/>
                <w:sz w:val="21"/>
                <w:szCs w:val="21"/>
              </w:rPr>
            </w:pPr>
            <w:r>
              <w:rPr>
                <w:rFonts w:ascii="Times New Roman"/>
                <w:sz w:val="21"/>
                <w:szCs w:val="21"/>
              </w:rPr>
              <w:t>标准值</w:t>
            </w:r>
          </w:p>
        </w:tc>
        <w:tc>
          <w:tcPr>
            <w:tcW w:w="1035" w:type="dxa"/>
            <w:vAlign w:val="center"/>
          </w:tcPr>
          <w:p w14:paraId="3FAA1678">
            <w:pPr>
              <w:jc w:val="center"/>
              <w:rPr>
                <w:rFonts w:ascii="Times New Roman"/>
                <w:sz w:val="21"/>
                <w:szCs w:val="21"/>
              </w:rPr>
            </w:pPr>
            <w:r>
              <w:rPr>
                <w:rFonts w:ascii="Times New Roman"/>
                <w:sz w:val="21"/>
                <w:szCs w:val="21"/>
              </w:rPr>
              <w:t>单位</w:t>
            </w:r>
          </w:p>
        </w:tc>
        <w:tc>
          <w:tcPr>
            <w:tcW w:w="2729" w:type="dxa"/>
            <w:vAlign w:val="center"/>
          </w:tcPr>
          <w:p w14:paraId="3D78BB8D">
            <w:pPr>
              <w:jc w:val="center"/>
              <w:rPr>
                <w:rFonts w:ascii="Times New Roman"/>
                <w:sz w:val="21"/>
                <w:szCs w:val="21"/>
              </w:rPr>
            </w:pPr>
            <w:r>
              <w:rPr>
                <w:rFonts w:ascii="Times New Roman"/>
                <w:sz w:val="21"/>
                <w:szCs w:val="21"/>
              </w:rPr>
              <w:t>标准来源</w:t>
            </w:r>
          </w:p>
        </w:tc>
      </w:tr>
      <w:tr w14:paraId="3CDC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028" w:type="dxa"/>
            <w:vMerge w:val="restart"/>
            <w:vAlign w:val="center"/>
          </w:tcPr>
          <w:p w14:paraId="037E4581">
            <w:pPr>
              <w:jc w:val="center"/>
              <w:rPr>
                <w:rFonts w:ascii="Times New Roman"/>
                <w:sz w:val="21"/>
                <w:szCs w:val="21"/>
              </w:rPr>
            </w:pPr>
            <w:r>
              <w:rPr>
                <w:rFonts w:ascii="Times New Roman"/>
                <w:sz w:val="21"/>
                <w:szCs w:val="21"/>
              </w:rPr>
              <w:t>声环境</w:t>
            </w:r>
          </w:p>
        </w:tc>
        <w:tc>
          <w:tcPr>
            <w:tcW w:w="1313" w:type="dxa"/>
            <w:vMerge w:val="restart"/>
            <w:vAlign w:val="center"/>
          </w:tcPr>
          <w:p w14:paraId="242A3F0A">
            <w:pPr>
              <w:jc w:val="center"/>
              <w:rPr>
                <w:rFonts w:ascii="Times New Roman"/>
                <w:sz w:val="21"/>
                <w:szCs w:val="21"/>
              </w:rPr>
            </w:pPr>
            <w:r>
              <w:rPr>
                <w:rFonts w:ascii="Times New Roman"/>
                <w:sz w:val="21"/>
                <w:szCs w:val="21"/>
              </w:rPr>
              <w:t>厂界环境</w:t>
            </w:r>
          </w:p>
          <w:p w14:paraId="25A7990E">
            <w:pPr>
              <w:jc w:val="center"/>
              <w:rPr>
                <w:rFonts w:ascii="Times New Roman"/>
                <w:sz w:val="21"/>
                <w:szCs w:val="21"/>
                <w:vertAlign w:val="subscript"/>
              </w:rPr>
            </w:pPr>
            <w:r>
              <w:rPr>
                <w:rFonts w:ascii="Times New Roman"/>
                <w:sz w:val="21"/>
                <w:szCs w:val="21"/>
              </w:rPr>
              <w:t>噪声</w:t>
            </w:r>
          </w:p>
        </w:tc>
        <w:tc>
          <w:tcPr>
            <w:tcW w:w="1065" w:type="dxa"/>
            <w:vAlign w:val="center"/>
          </w:tcPr>
          <w:p w14:paraId="06B1AC30">
            <w:pPr>
              <w:jc w:val="center"/>
              <w:rPr>
                <w:rFonts w:ascii="Times New Roman"/>
                <w:sz w:val="21"/>
                <w:szCs w:val="21"/>
              </w:rPr>
            </w:pPr>
            <w:r>
              <w:rPr>
                <w:rFonts w:ascii="Times New Roman"/>
                <w:sz w:val="21"/>
                <w:szCs w:val="21"/>
              </w:rPr>
              <w:t>昼间</w:t>
            </w:r>
          </w:p>
        </w:tc>
        <w:tc>
          <w:tcPr>
            <w:tcW w:w="1125" w:type="dxa"/>
            <w:vAlign w:val="center"/>
          </w:tcPr>
          <w:p w14:paraId="497C5B8A">
            <w:pPr>
              <w:jc w:val="center"/>
              <w:rPr>
                <w:rFonts w:ascii="Times New Roman"/>
                <w:sz w:val="21"/>
                <w:szCs w:val="21"/>
              </w:rPr>
            </w:pPr>
            <w:r>
              <w:rPr>
                <w:rFonts w:ascii="Times New Roman"/>
                <w:sz w:val="21"/>
                <w:szCs w:val="21"/>
              </w:rPr>
              <w:t>65</w:t>
            </w:r>
          </w:p>
        </w:tc>
        <w:tc>
          <w:tcPr>
            <w:tcW w:w="1035" w:type="dxa"/>
            <w:vMerge w:val="restart"/>
            <w:vAlign w:val="center"/>
          </w:tcPr>
          <w:p w14:paraId="0D118127">
            <w:pPr>
              <w:jc w:val="center"/>
              <w:rPr>
                <w:rFonts w:ascii="Times New Roman"/>
                <w:sz w:val="21"/>
                <w:szCs w:val="21"/>
              </w:rPr>
            </w:pPr>
            <w:r>
              <w:rPr>
                <w:rFonts w:ascii="Times New Roman"/>
                <w:sz w:val="21"/>
                <w:szCs w:val="21"/>
              </w:rPr>
              <w:t>dB（A）</w:t>
            </w:r>
          </w:p>
        </w:tc>
        <w:tc>
          <w:tcPr>
            <w:tcW w:w="2729" w:type="dxa"/>
            <w:vMerge w:val="restart"/>
            <w:vAlign w:val="center"/>
          </w:tcPr>
          <w:p w14:paraId="6D150081">
            <w:pPr>
              <w:jc w:val="center"/>
              <w:rPr>
                <w:rFonts w:ascii="Times New Roman"/>
                <w:sz w:val="21"/>
                <w:szCs w:val="21"/>
              </w:rPr>
            </w:pPr>
            <w:r>
              <w:rPr>
                <w:rFonts w:ascii="Times New Roman"/>
                <w:sz w:val="21"/>
                <w:szCs w:val="21"/>
              </w:rPr>
              <w:t>《声环境质量标准》（GB3096-2008）3类区标准</w:t>
            </w:r>
          </w:p>
        </w:tc>
      </w:tr>
      <w:tr w14:paraId="023A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28" w:type="dxa"/>
            <w:vMerge w:val="continue"/>
            <w:vAlign w:val="center"/>
          </w:tcPr>
          <w:p w14:paraId="37D9C0A8">
            <w:pPr>
              <w:jc w:val="center"/>
              <w:rPr>
                <w:rFonts w:ascii="Times New Roman"/>
                <w:sz w:val="21"/>
                <w:szCs w:val="21"/>
              </w:rPr>
            </w:pPr>
          </w:p>
        </w:tc>
        <w:tc>
          <w:tcPr>
            <w:tcW w:w="1313" w:type="dxa"/>
            <w:vMerge w:val="continue"/>
            <w:vAlign w:val="center"/>
          </w:tcPr>
          <w:p w14:paraId="60B1E6CA">
            <w:pPr>
              <w:jc w:val="center"/>
              <w:rPr>
                <w:rFonts w:ascii="Times New Roman"/>
                <w:sz w:val="21"/>
                <w:szCs w:val="21"/>
              </w:rPr>
            </w:pPr>
          </w:p>
        </w:tc>
        <w:tc>
          <w:tcPr>
            <w:tcW w:w="1065" w:type="dxa"/>
            <w:vAlign w:val="center"/>
          </w:tcPr>
          <w:p w14:paraId="7871F661">
            <w:pPr>
              <w:jc w:val="center"/>
              <w:rPr>
                <w:rFonts w:ascii="Times New Roman"/>
                <w:sz w:val="21"/>
                <w:szCs w:val="21"/>
              </w:rPr>
            </w:pPr>
            <w:r>
              <w:rPr>
                <w:rFonts w:ascii="Times New Roman"/>
                <w:sz w:val="21"/>
                <w:szCs w:val="21"/>
              </w:rPr>
              <w:t>夜间</w:t>
            </w:r>
          </w:p>
        </w:tc>
        <w:tc>
          <w:tcPr>
            <w:tcW w:w="1125" w:type="dxa"/>
            <w:vAlign w:val="center"/>
          </w:tcPr>
          <w:p w14:paraId="7D6FDC2D">
            <w:pPr>
              <w:jc w:val="center"/>
              <w:rPr>
                <w:rFonts w:ascii="Times New Roman"/>
                <w:sz w:val="21"/>
                <w:szCs w:val="21"/>
              </w:rPr>
            </w:pPr>
            <w:r>
              <w:rPr>
                <w:rFonts w:ascii="Times New Roman"/>
                <w:sz w:val="21"/>
                <w:szCs w:val="21"/>
              </w:rPr>
              <w:t>55</w:t>
            </w:r>
          </w:p>
        </w:tc>
        <w:tc>
          <w:tcPr>
            <w:tcW w:w="1035" w:type="dxa"/>
            <w:vMerge w:val="continue"/>
            <w:vAlign w:val="center"/>
          </w:tcPr>
          <w:p w14:paraId="302C9D47">
            <w:pPr>
              <w:jc w:val="center"/>
              <w:rPr>
                <w:rFonts w:ascii="Times New Roman"/>
                <w:sz w:val="21"/>
                <w:szCs w:val="21"/>
              </w:rPr>
            </w:pPr>
          </w:p>
        </w:tc>
        <w:tc>
          <w:tcPr>
            <w:tcW w:w="2729" w:type="dxa"/>
            <w:vMerge w:val="continue"/>
            <w:vAlign w:val="center"/>
          </w:tcPr>
          <w:p w14:paraId="6E918E54">
            <w:pPr>
              <w:jc w:val="center"/>
              <w:rPr>
                <w:rFonts w:ascii="Times New Roman"/>
                <w:sz w:val="21"/>
                <w:szCs w:val="21"/>
              </w:rPr>
            </w:pPr>
          </w:p>
        </w:tc>
      </w:tr>
    </w:tbl>
    <w:p w14:paraId="04FF4AB8">
      <w:pPr>
        <w:widowControl/>
        <w:adjustRightInd w:val="0"/>
        <w:snapToGrid w:val="0"/>
        <w:spacing w:line="500" w:lineRule="exact"/>
        <w:jc w:val="center"/>
        <w:rPr>
          <w:rFonts w:ascii="Times New Roman"/>
          <w:b/>
          <w:bCs/>
          <w:kern w:val="0"/>
          <w:sz w:val="24"/>
          <w:szCs w:val="24"/>
        </w:rPr>
      </w:pPr>
      <w:r>
        <w:rPr>
          <w:rFonts w:ascii="Times New Roman"/>
          <w:b/>
          <w:sz w:val="24"/>
          <w:szCs w:val="24"/>
        </w:rPr>
        <w:t>表2.7-4</w:t>
      </w:r>
      <w:r>
        <w:rPr>
          <w:rFonts w:ascii="Times New Roman"/>
          <w:b/>
          <w:bCs/>
          <w:kern w:val="0"/>
          <w:sz w:val="24"/>
          <w:szCs w:val="24"/>
        </w:rPr>
        <w:t xml:space="preserve">  土壤环境质量标准</w:t>
      </w:r>
    </w:p>
    <w:tbl>
      <w:tblPr>
        <w:tblStyle w:val="84"/>
        <w:tblW w:w="48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230"/>
        <w:gridCol w:w="1009"/>
        <w:gridCol w:w="1119"/>
        <w:gridCol w:w="2784"/>
      </w:tblGrid>
      <w:tr w14:paraId="7AD3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tcBorders>
              <w:top w:val="single" w:color="auto" w:sz="4" w:space="0"/>
              <w:left w:val="single" w:color="auto" w:sz="4" w:space="0"/>
              <w:bottom w:val="single" w:color="auto" w:sz="4" w:space="0"/>
              <w:right w:val="single" w:color="auto" w:sz="4" w:space="0"/>
            </w:tcBorders>
            <w:vAlign w:val="center"/>
          </w:tcPr>
          <w:p w14:paraId="352616D4">
            <w:pPr>
              <w:pStyle w:val="77"/>
              <w:spacing w:before="0" w:beforeAutospacing="0" w:after="0" w:afterAutospacing="0"/>
              <w:jc w:val="center"/>
              <w:rPr>
                <w:rFonts w:ascii="Times New Roman" w:hAnsi="Times New Roman"/>
                <w:sz w:val="21"/>
                <w:szCs w:val="21"/>
              </w:rPr>
            </w:pPr>
            <w:r>
              <w:rPr>
                <w:rFonts w:ascii="Times New Roman" w:hAnsi="Times New Roman"/>
                <w:sz w:val="21"/>
                <w:szCs w:val="21"/>
              </w:rPr>
              <w:t>项目</w:t>
            </w:r>
          </w:p>
        </w:tc>
        <w:tc>
          <w:tcPr>
            <w:tcW w:w="1353" w:type="pct"/>
            <w:tcBorders>
              <w:top w:val="single" w:color="auto" w:sz="4" w:space="0"/>
              <w:left w:val="single" w:color="auto" w:sz="4" w:space="0"/>
              <w:bottom w:val="single" w:color="auto" w:sz="4" w:space="0"/>
              <w:right w:val="single" w:color="auto" w:sz="4" w:space="0"/>
            </w:tcBorders>
            <w:vAlign w:val="center"/>
          </w:tcPr>
          <w:p w14:paraId="22042174">
            <w:pPr>
              <w:jc w:val="center"/>
              <w:rPr>
                <w:rFonts w:ascii="Times New Roman"/>
                <w:sz w:val="21"/>
                <w:szCs w:val="21"/>
              </w:rPr>
            </w:pPr>
            <w:r>
              <w:rPr>
                <w:rFonts w:ascii="Times New Roman"/>
                <w:sz w:val="21"/>
                <w:szCs w:val="21"/>
              </w:rPr>
              <w:t>污染物</w:t>
            </w:r>
          </w:p>
        </w:tc>
        <w:tc>
          <w:tcPr>
            <w:tcW w:w="612" w:type="pct"/>
            <w:tcBorders>
              <w:top w:val="single" w:color="auto" w:sz="4" w:space="0"/>
              <w:left w:val="single" w:color="auto" w:sz="4" w:space="0"/>
              <w:bottom w:val="single" w:color="auto" w:sz="4" w:space="0"/>
              <w:right w:val="single" w:color="auto" w:sz="4" w:space="0"/>
            </w:tcBorders>
            <w:vAlign w:val="center"/>
          </w:tcPr>
          <w:p w14:paraId="739859B3">
            <w:pPr>
              <w:jc w:val="center"/>
              <w:rPr>
                <w:rFonts w:ascii="Times New Roman"/>
                <w:sz w:val="21"/>
                <w:szCs w:val="21"/>
              </w:rPr>
            </w:pPr>
            <w:r>
              <w:rPr>
                <w:rFonts w:ascii="Times New Roman"/>
                <w:sz w:val="21"/>
                <w:szCs w:val="21"/>
              </w:rPr>
              <w:t>标准值</w:t>
            </w:r>
          </w:p>
        </w:tc>
        <w:tc>
          <w:tcPr>
            <w:tcW w:w="679" w:type="pct"/>
            <w:tcBorders>
              <w:top w:val="single" w:color="auto" w:sz="4" w:space="0"/>
              <w:left w:val="single" w:color="auto" w:sz="4" w:space="0"/>
              <w:bottom w:val="single" w:color="auto" w:sz="4" w:space="0"/>
              <w:right w:val="single" w:color="auto" w:sz="4" w:space="0"/>
            </w:tcBorders>
            <w:vAlign w:val="center"/>
          </w:tcPr>
          <w:p w14:paraId="439AF284">
            <w:pPr>
              <w:jc w:val="center"/>
              <w:rPr>
                <w:rFonts w:ascii="Times New Roman"/>
                <w:sz w:val="21"/>
                <w:szCs w:val="21"/>
              </w:rPr>
            </w:pPr>
            <w:r>
              <w:rPr>
                <w:rFonts w:ascii="Times New Roman"/>
                <w:sz w:val="21"/>
                <w:szCs w:val="21"/>
              </w:rPr>
              <w:t>单位</w:t>
            </w:r>
          </w:p>
        </w:tc>
        <w:tc>
          <w:tcPr>
            <w:tcW w:w="1689" w:type="pct"/>
            <w:tcBorders>
              <w:top w:val="single" w:color="auto" w:sz="4" w:space="0"/>
              <w:left w:val="single" w:color="auto" w:sz="4" w:space="0"/>
              <w:bottom w:val="single" w:color="auto" w:sz="4" w:space="0"/>
              <w:right w:val="single" w:color="auto" w:sz="4" w:space="0"/>
            </w:tcBorders>
            <w:vAlign w:val="center"/>
          </w:tcPr>
          <w:p w14:paraId="42D534C5">
            <w:pPr>
              <w:jc w:val="center"/>
              <w:rPr>
                <w:rFonts w:ascii="Times New Roman"/>
                <w:sz w:val="21"/>
                <w:szCs w:val="21"/>
              </w:rPr>
            </w:pPr>
            <w:r>
              <w:rPr>
                <w:rFonts w:ascii="Times New Roman"/>
                <w:sz w:val="21"/>
                <w:szCs w:val="21"/>
              </w:rPr>
              <w:t>标准来源</w:t>
            </w:r>
          </w:p>
        </w:tc>
      </w:tr>
      <w:tr w14:paraId="2DC2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restart"/>
            <w:tcBorders>
              <w:top w:val="single" w:color="auto" w:sz="4" w:space="0"/>
              <w:left w:val="single" w:color="auto" w:sz="4" w:space="0"/>
              <w:right w:val="single" w:color="auto" w:sz="4" w:space="0"/>
            </w:tcBorders>
            <w:vAlign w:val="center"/>
          </w:tcPr>
          <w:p w14:paraId="51A6D8E7">
            <w:pPr>
              <w:pStyle w:val="77"/>
              <w:spacing w:before="0" w:beforeAutospacing="0" w:after="0" w:afterAutospacing="0"/>
              <w:jc w:val="center"/>
              <w:rPr>
                <w:rFonts w:ascii="Times New Roman" w:hAnsi="Times New Roman"/>
                <w:sz w:val="21"/>
                <w:szCs w:val="21"/>
              </w:rPr>
            </w:pPr>
            <w:r>
              <w:rPr>
                <w:rFonts w:ascii="Times New Roman" w:hAnsi="Times New Roman"/>
                <w:sz w:val="21"/>
                <w:szCs w:val="21"/>
              </w:rPr>
              <w:t>土壤</w:t>
            </w:r>
          </w:p>
        </w:tc>
        <w:tc>
          <w:tcPr>
            <w:tcW w:w="1353" w:type="pct"/>
            <w:tcBorders>
              <w:top w:val="single" w:color="auto" w:sz="4" w:space="0"/>
              <w:left w:val="single" w:color="auto" w:sz="4" w:space="0"/>
              <w:bottom w:val="single" w:color="auto" w:sz="4" w:space="0"/>
              <w:right w:val="single" w:color="auto" w:sz="4" w:space="0"/>
            </w:tcBorders>
            <w:vAlign w:val="center"/>
          </w:tcPr>
          <w:p w14:paraId="2D56A7D1">
            <w:pPr>
              <w:jc w:val="center"/>
              <w:rPr>
                <w:rFonts w:ascii="Times New Roman"/>
                <w:sz w:val="21"/>
                <w:szCs w:val="21"/>
              </w:rPr>
            </w:pPr>
            <w:r>
              <w:rPr>
                <w:rFonts w:ascii="Times New Roman"/>
                <w:sz w:val="21"/>
                <w:szCs w:val="21"/>
              </w:rPr>
              <w:t>砷</w:t>
            </w:r>
          </w:p>
        </w:tc>
        <w:tc>
          <w:tcPr>
            <w:tcW w:w="612" w:type="pct"/>
            <w:tcBorders>
              <w:top w:val="single" w:color="auto" w:sz="4" w:space="0"/>
              <w:left w:val="single" w:color="auto" w:sz="4" w:space="0"/>
              <w:bottom w:val="single" w:color="auto" w:sz="4" w:space="0"/>
              <w:right w:val="single" w:color="auto" w:sz="4" w:space="0"/>
            </w:tcBorders>
            <w:vAlign w:val="center"/>
          </w:tcPr>
          <w:p w14:paraId="2E18F271">
            <w:pPr>
              <w:jc w:val="center"/>
              <w:rPr>
                <w:rFonts w:ascii="Times New Roman"/>
                <w:sz w:val="21"/>
                <w:szCs w:val="21"/>
              </w:rPr>
            </w:pPr>
            <w:r>
              <w:rPr>
                <w:rFonts w:ascii="Times New Roman"/>
                <w:sz w:val="21"/>
                <w:szCs w:val="21"/>
              </w:rPr>
              <w:t>60</w:t>
            </w:r>
          </w:p>
        </w:tc>
        <w:tc>
          <w:tcPr>
            <w:tcW w:w="679" w:type="pct"/>
            <w:tcBorders>
              <w:top w:val="single" w:color="auto" w:sz="4" w:space="0"/>
              <w:left w:val="single" w:color="auto" w:sz="4" w:space="0"/>
              <w:bottom w:val="single" w:color="auto" w:sz="4" w:space="0"/>
              <w:right w:val="single" w:color="auto" w:sz="4" w:space="0"/>
            </w:tcBorders>
            <w:vAlign w:val="center"/>
          </w:tcPr>
          <w:p w14:paraId="701DFDB0">
            <w:pPr>
              <w:jc w:val="center"/>
              <w:rPr>
                <w:rFonts w:ascii="Times New Roman"/>
                <w:sz w:val="21"/>
                <w:szCs w:val="21"/>
              </w:rPr>
            </w:pPr>
            <w:r>
              <w:rPr>
                <w:rFonts w:ascii="Times New Roman"/>
                <w:sz w:val="21"/>
                <w:szCs w:val="21"/>
              </w:rPr>
              <w:t>mg/kg</w:t>
            </w:r>
          </w:p>
        </w:tc>
        <w:tc>
          <w:tcPr>
            <w:tcW w:w="1689" w:type="pct"/>
            <w:vMerge w:val="restart"/>
            <w:tcBorders>
              <w:top w:val="single" w:color="auto" w:sz="4" w:space="0"/>
              <w:left w:val="single" w:color="auto" w:sz="4" w:space="0"/>
              <w:right w:val="single" w:color="auto" w:sz="4" w:space="0"/>
            </w:tcBorders>
            <w:vAlign w:val="center"/>
          </w:tcPr>
          <w:p w14:paraId="1E7DDA53">
            <w:pPr>
              <w:pStyle w:val="77"/>
              <w:spacing w:before="0" w:beforeAutospacing="0" w:after="0" w:afterAutospacing="0"/>
              <w:jc w:val="center"/>
              <w:rPr>
                <w:rFonts w:ascii="Times New Roman" w:hAnsi="Times New Roman"/>
                <w:sz w:val="21"/>
                <w:szCs w:val="21"/>
              </w:rPr>
            </w:pPr>
            <w:r>
              <w:rPr>
                <w:rFonts w:ascii="Times New Roman" w:hAnsi="Times New Roman"/>
                <w:sz w:val="21"/>
                <w:szCs w:val="21"/>
              </w:rPr>
              <w:t>《土壤环境质量 建设用地土壤污染风险管控标准（试行）》（GB36600-2018）表1二类用地标筛选值</w:t>
            </w:r>
          </w:p>
        </w:tc>
      </w:tr>
      <w:tr w14:paraId="53E6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3647501">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2D3E9E8F">
            <w:pPr>
              <w:jc w:val="center"/>
              <w:rPr>
                <w:rFonts w:ascii="Times New Roman"/>
                <w:sz w:val="21"/>
                <w:szCs w:val="21"/>
              </w:rPr>
            </w:pPr>
            <w:r>
              <w:rPr>
                <w:rFonts w:ascii="Times New Roman"/>
                <w:sz w:val="21"/>
                <w:szCs w:val="21"/>
              </w:rPr>
              <w:t>镉</w:t>
            </w:r>
          </w:p>
        </w:tc>
        <w:tc>
          <w:tcPr>
            <w:tcW w:w="612" w:type="pct"/>
            <w:tcBorders>
              <w:top w:val="single" w:color="auto" w:sz="4" w:space="0"/>
              <w:left w:val="single" w:color="auto" w:sz="4" w:space="0"/>
              <w:bottom w:val="single" w:color="auto" w:sz="4" w:space="0"/>
              <w:right w:val="single" w:color="auto" w:sz="4" w:space="0"/>
            </w:tcBorders>
            <w:vAlign w:val="center"/>
          </w:tcPr>
          <w:p w14:paraId="38C19608">
            <w:pPr>
              <w:jc w:val="center"/>
              <w:rPr>
                <w:rFonts w:ascii="Times New Roman"/>
                <w:sz w:val="21"/>
                <w:szCs w:val="21"/>
              </w:rPr>
            </w:pPr>
            <w:r>
              <w:rPr>
                <w:rFonts w:ascii="Times New Roman"/>
                <w:sz w:val="21"/>
                <w:szCs w:val="21"/>
              </w:rPr>
              <w:t>65</w:t>
            </w:r>
          </w:p>
        </w:tc>
        <w:tc>
          <w:tcPr>
            <w:tcW w:w="679" w:type="pct"/>
            <w:tcBorders>
              <w:top w:val="single" w:color="auto" w:sz="4" w:space="0"/>
              <w:left w:val="single" w:color="auto" w:sz="4" w:space="0"/>
              <w:bottom w:val="single" w:color="auto" w:sz="4" w:space="0"/>
              <w:right w:val="single" w:color="auto" w:sz="4" w:space="0"/>
            </w:tcBorders>
            <w:vAlign w:val="center"/>
          </w:tcPr>
          <w:p w14:paraId="5C138E72">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10E7214C">
            <w:pPr>
              <w:jc w:val="center"/>
              <w:rPr>
                <w:rFonts w:ascii="Times New Roman"/>
                <w:kern w:val="0"/>
                <w:sz w:val="21"/>
                <w:szCs w:val="21"/>
              </w:rPr>
            </w:pPr>
          </w:p>
        </w:tc>
      </w:tr>
      <w:tr w14:paraId="7E24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0221F4E">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24A4CD87">
            <w:pPr>
              <w:jc w:val="center"/>
              <w:rPr>
                <w:rFonts w:ascii="Times New Roman"/>
                <w:sz w:val="21"/>
                <w:szCs w:val="21"/>
              </w:rPr>
            </w:pPr>
            <w:r>
              <w:rPr>
                <w:rFonts w:ascii="Times New Roman"/>
                <w:sz w:val="21"/>
                <w:szCs w:val="21"/>
              </w:rPr>
              <w:t>铬（六价）</w:t>
            </w:r>
          </w:p>
        </w:tc>
        <w:tc>
          <w:tcPr>
            <w:tcW w:w="612" w:type="pct"/>
            <w:tcBorders>
              <w:top w:val="single" w:color="auto" w:sz="4" w:space="0"/>
              <w:left w:val="single" w:color="auto" w:sz="4" w:space="0"/>
              <w:bottom w:val="single" w:color="auto" w:sz="4" w:space="0"/>
              <w:right w:val="single" w:color="auto" w:sz="4" w:space="0"/>
            </w:tcBorders>
            <w:vAlign w:val="center"/>
          </w:tcPr>
          <w:p w14:paraId="04957EC1">
            <w:pPr>
              <w:jc w:val="center"/>
              <w:rPr>
                <w:rFonts w:ascii="Times New Roman"/>
                <w:sz w:val="21"/>
                <w:szCs w:val="21"/>
              </w:rPr>
            </w:pPr>
            <w:r>
              <w:rPr>
                <w:rFonts w:ascii="Times New Roman"/>
                <w:sz w:val="21"/>
                <w:szCs w:val="21"/>
              </w:rPr>
              <w:t>5.7</w:t>
            </w:r>
          </w:p>
        </w:tc>
        <w:tc>
          <w:tcPr>
            <w:tcW w:w="679" w:type="pct"/>
            <w:tcBorders>
              <w:top w:val="single" w:color="auto" w:sz="4" w:space="0"/>
              <w:left w:val="single" w:color="auto" w:sz="4" w:space="0"/>
              <w:bottom w:val="single" w:color="auto" w:sz="4" w:space="0"/>
              <w:right w:val="single" w:color="auto" w:sz="4" w:space="0"/>
            </w:tcBorders>
            <w:vAlign w:val="center"/>
          </w:tcPr>
          <w:p w14:paraId="020CAE17">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F77E9C7">
            <w:pPr>
              <w:jc w:val="center"/>
              <w:rPr>
                <w:rFonts w:ascii="Times New Roman"/>
                <w:kern w:val="0"/>
                <w:sz w:val="21"/>
                <w:szCs w:val="21"/>
              </w:rPr>
            </w:pPr>
          </w:p>
        </w:tc>
      </w:tr>
      <w:tr w14:paraId="098F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006B9C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036ABCE9">
            <w:pPr>
              <w:jc w:val="center"/>
              <w:rPr>
                <w:rFonts w:ascii="Times New Roman"/>
                <w:sz w:val="21"/>
                <w:szCs w:val="21"/>
              </w:rPr>
            </w:pPr>
            <w:r>
              <w:rPr>
                <w:rFonts w:ascii="Times New Roman"/>
                <w:sz w:val="21"/>
                <w:szCs w:val="21"/>
              </w:rPr>
              <w:t>铜</w:t>
            </w:r>
          </w:p>
        </w:tc>
        <w:tc>
          <w:tcPr>
            <w:tcW w:w="612" w:type="pct"/>
            <w:tcBorders>
              <w:top w:val="single" w:color="auto" w:sz="4" w:space="0"/>
              <w:left w:val="single" w:color="auto" w:sz="4" w:space="0"/>
              <w:bottom w:val="single" w:color="auto" w:sz="4" w:space="0"/>
              <w:right w:val="single" w:color="auto" w:sz="4" w:space="0"/>
            </w:tcBorders>
            <w:vAlign w:val="center"/>
          </w:tcPr>
          <w:p w14:paraId="1BEB442F">
            <w:pPr>
              <w:jc w:val="center"/>
              <w:rPr>
                <w:rFonts w:ascii="Times New Roman"/>
                <w:sz w:val="21"/>
                <w:szCs w:val="21"/>
              </w:rPr>
            </w:pPr>
            <w:r>
              <w:rPr>
                <w:rFonts w:ascii="Times New Roman"/>
                <w:sz w:val="21"/>
                <w:szCs w:val="21"/>
              </w:rPr>
              <w:t>18000</w:t>
            </w:r>
          </w:p>
        </w:tc>
        <w:tc>
          <w:tcPr>
            <w:tcW w:w="679" w:type="pct"/>
            <w:tcBorders>
              <w:top w:val="single" w:color="auto" w:sz="4" w:space="0"/>
              <w:left w:val="single" w:color="auto" w:sz="4" w:space="0"/>
              <w:bottom w:val="single" w:color="auto" w:sz="4" w:space="0"/>
              <w:right w:val="single" w:color="auto" w:sz="4" w:space="0"/>
            </w:tcBorders>
            <w:vAlign w:val="center"/>
          </w:tcPr>
          <w:p w14:paraId="6529AE7F">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402375D">
            <w:pPr>
              <w:jc w:val="center"/>
              <w:rPr>
                <w:rFonts w:ascii="Times New Roman"/>
                <w:kern w:val="0"/>
                <w:sz w:val="21"/>
                <w:szCs w:val="21"/>
              </w:rPr>
            </w:pPr>
          </w:p>
        </w:tc>
      </w:tr>
      <w:tr w14:paraId="64F6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6CC84331">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429F3B14">
            <w:pPr>
              <w:jc w:val="center"/>
              <w:rPr>
                <w:rFonts w:ascii="Times New Roman"/>
                <w:sz w:val="21"/>
                <w:szCs w:val="21"/>
              </w:rPr>
            </w:pPr>
            <w:r>
              <w:rPr>
                <w:rFonts w:ascii="Times New Roman"/>
                <w:sz w:val="21"/>
                <w:szCs w:val="21"/>
              </w:rPr>
              <w:t>铅</w:t>
            </w:r>
          </w:p>
        </w:tc>
        <w:tc>
          <w:tcPr>
            <w:tcW w:w="612" w:type="pct"/>
            <w:tcBorders>
              <w:top w:val="single" w:color="auto" w:sz="4" w:space="0"/>
              <w:left w:val="single" w:color="auto" w:sz="4" w:space="0"/>
              <w:bottom w:val="single" w:color="auto" w:sz="4" w:space="0"/>
              <w:right w:val="single" w:color="auto" w:sz="4" w:space="0"/>
            </w:tcBorders>
            <w:vAlign w:val="center"/>
          </w:tcPr>
          <w:p w14:paraId="379D71C1">
            <w:pPr>
              <w:jc w:val="center"/>
              <w:rPr>
                <w:rFonts w:ascii="Times New Roman"/>
                <w:sz w:val="21"/>
                <w:szCs w:val="21"/>
              </w:rPr>
            </w:pPr>
            <w:r>
              <w:rPr>
                <w:rFonts w:ascii="Times New Roman"/>
                <w:sz w:val="21"/>
                <w:szCs w:val="21"/>
              </w:rPr>
              <w:t>800</w:t>
            </w:r>
          </w:p>
        </w:tc>
        <w:tc>
          <w:tcPr>
            <w:tcW w:w="679" w:type="pct"/>
            <w:tcBorders>
              <w:top w:val="single" w:color="auto" w:sz="4" w:space="0"/>
              <w:left w:val="single" w:color="auto" w:sz="4" w:space="0"/>
              <w:bottom w:val="single" w:color="auto" w:sz="4" w:space="0"/>
              <w:right w:val="single" w:color="auto" w:sz="4" w:space="0"/>
            </w:tcBorders>
            <w:vAlign w:val="center"/>
          </w:tcPr>
          <w:p w14:paraId="5585289E">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9F8F2E9">
            <w:pPr>
              <w:jc w:val="center"/>
              <w:rPr>
                <w:rFonts w:ascii="Times New Roman"/>
                <w:kern w:val="0"/>
                <w:sz w:val="21"/>
                <w:szCs w:val="21"/>
              </w:rPr>
            </w:pPr>
          </w:p>
        </w:tc>
      </w:tr>
      <w:tr w14:paraId="2C0B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3FFA848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480EECC2">
            <w:pPr>
              <w:jc w:val="center"/>
              <w:rPr>
                <w:rFonts w:ascii="Times New Roman"/>
                <w:sz w:val="21"/>
                <w:szCs w:val="21"/>
              </w:rPr>
            </w:pPr>
            <w:r>
              <w:rPr>
                <w:rFonts w:ascii="Times New Roman"/>
                <w:sz w:val="21"/>
                <w:szCs w:val="21"/>
              </w:rPr>
              <w:t>汞</w:t>
            </w:r>
          </w:p>
        </w:tc>
        <w:tc>
          <w:tcPr>
            <w:tcW w:w="612" w:type="pct"/>
            <w:tcBorders>
              <w:top w:val="single" w:color="auto" w:sz="4" w:space="0"/>
              <w:left w:val="single" w:color="auto" w:sz="4" w:space="0"/>
              <w:bottom w:val="single" w:color="auto" w:sz="4" w:space="0"/>
              <w:right w:val="single" w:color="auto" w:sz="4" w:space="0"/>
            </w:tcBorders>
            <w:vAlign w:val="center"/>
          </w:tcPr>
          <w:p w14:paraId="16D9AB92">
            <w:pPr>
              <w:jc w:val="center"/>
              <w:rPr>
                <w:rFonts w:ascii="Times New Roman"/>
                <w:sz w:val="21"/>
                <w:szCs w:val="21"/>
              </w:rPr>
            </w:pPr>
            <w:r>
              <w:rPr>
                <w:rFonts w:ascii="Times New Roman"/>
                <w:sz w:val="21"/>
                <w:szCs w:val="21"/>
              </w:rPr>
              <w:t>38</w:t>
            </w:r>
          </w:p>
        </w:tc>
        <w:tc>
          <w:tcPr>
            <w:tcW w:w="679" w:type="pct"/>
            <w:tcBorders>
              <w:top w:val="single" w:color="auto" w:sz="4" w:space="0"/>
              <w:left w:val="single" w:color="auto" w:sz="4" w:space="0"/>
              <w:bottom w:val="single" w:color="auto" w:sz="4" w:space="0"/>
              <w:right w:val="single" w:color="auto" w:sz="4" w:space="0"/>
            </w:tcBorders>
            <w:vAlign w:val="center"/>
          </w:tcPr>
          <w:p w14:paraId="43EF2659">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4F719F95">
            <w:pPr>
              <w:jc w:val="center"/>
              <w:rPr>
                <w:rFonts w:ascii="Times New Roman"/>
                <w:kern w:val="0"/>
                <w:sz w:val="21"/>
                <w:szCs w:val="21"/>
              </w:rPr>
            </w:pPr>
          </w:p>
        </w:tc>
      </w:tr>
      <w:tr w14:paraId="6E55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6CFB68B1">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5F90E241">
            <w:pPr>
              <w:jc w:val="center"/>
              <w:rPr>
                <w:rFonts w:ascii="Times New Roman"/>
                <w:sz w:val="21"/>
                <w:szCs w:val="21"/>
              </w:rPr>
            </w:pPr>
            <w:r>
              <w:rPr>
                <w:rFonts w:ascii="Times New Roman"/>
                <w:sz w:val="21"/>
                <w:szCs w:val="21"/>
              </w:rPr>
              <w:t>镍</w:t>
            </w:r>
          </w:p>
        </w:tc>
        <w:tc>
          <w:tcPr>
            <w:tcW w:w="612" w:type="pct"/>
            <w:tcBorders>
              <w:top w:val="single" w:color="auto" w:sz="4" w:space="0"/>
              <w:left w:val="single" w:color="auto" w:sz="4" w:space="0"/>
              <w:bottom w:val="single" w:color="auto" w:sz="4" w:space="0"/>
              <w:right w:val="single" w:color="auto" w:sz="4" w:space="0"/>
            </w:tcBorders>
            <w:vAlign w:val="center"/>
          </w:tcPr>
          <w:p w14:paraId="34BC50D8">
            <w:pPr>
              <w:jc w:val="center"/>
              <w:rPr>
                <w:rFonts w:ascii="Times New Roman"/>
                <w:sz w:val="21"/>
                <w:szCs w:val="21"/>
              </w:rPr>
            </w:pPr>
            <w:r>
              <w:rPr>
                <w:rFonts w:ascii="Times New Roman"/>
                <w:sz w:val="21"/>
                <w:szCs w:val="21"/>
              </w:rPr>
              <w:t>900</w:t>
            </w:r>
          </w:p>
        </w:tc>
        <w:tc>
          <w:tcPr>
            <w:tcW w:w="679" w:type="pct"/>
            <w:tcBorders>
              <w:top w:val="single" w:color="auto" w:sz="4" w:space="0"/>
              <w:left w:val="single" w:color="auto" w:sz="4" w:space="0"/>
              <w:bottom w:val="single" w:color="auto" w:sz="4" w:space="0"/>
              <w:right w:val="single" w:color="auto" w:sz="4" w:space="0"/>
            </w:tcBorders>
            <w:vAlign w:val="center"/>
          </w:tcPr>
          <w:p w14:paraId="794D468E">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E1A171F">
            <w:pPr>
              <w:jc w:val="center"/>
              <w:rPr>
                <w:rFonts w:ascii="Times New Roman"/>
                <w:kern w:val="0"/>
                <w:sz w:val="21"/>
                <w:szCs w:val="21"/>
              </w:rPr>
            </w:pPr>
          </w:p>
        </w:tc>
      </w:tr>
      <w:tr w14:paraId="3038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3787F810">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DF9056D">
            <w:pPr>
              <w:jc w:val="center"/>
              <w:rPr>
                <w:rFonts w:ascii="Times New Roman"/>
                <w:sz w:val="21"/>
                <w:szCs w:val="21"/>
              </w:rPr>
            </w:pPr>
            <w:r>
              <w:rPr>
                <w:rFonts w:ascii="Times New Roman"/>
                <w:sz w:val="21"/>
                <w:szCs w:val="21"/>
              </w:rPr>
              <w:t>四氯化碳</w:t>
            </w:r>
          </w:p>
        </w:tc>
        <w:tc>
          <w:tcPr>
            <w:tcW w:w="612" w:type="pct"/>
            <w:tcBorders>
              <w:top w:val="single" w:color="auto" w:sz="4" w:space="0"/>
              <w:left w:val="single" w:color="auto" w:sz="4" w:space="0"/>
              <w:bottom w:val="single" w:color="auto" w:sz="4" w:space="0"/>
              <w:right w:val="single" w:color="auto" w:sz="4" w:space="0"/>
            </w:tcBorders>
            <w:vAlign w:val="center"/>
          </w:tcPr>
          <w:p w14:paraId="758A3260">
            <w:pPr>
              <w:jc w:val="center"/>
              <w:rPr>
                <w:rFonts w:ascii="Times New Roman"/>
                <w:sz w:val="21"/>
                <w:szCs w:val="21"/>
              </w:rPr>
            </w:pPr>
            <w:r>
              <w:rPr>
                <w:rFonts w:ascii="Times New Roman"/>
                <w:sz w:val="21"/>
                <w:szCs w:val="21"/>
              </w:rPr>
              <w:t>2.8</w:t>
            </w:r>
          </w:p>
        </w:tc>
        <w:tc>
          <w:tcPr>
            <w:tcW w:w="679" w:type="pct"/>
            <w:tcBorders>
              <w:top w:val="single" w:color="auto" w:sz="4" w:space="0"/>
              <w:left w:val="single" w:color="auto" w:sz="4" w:space="0"/>
              <w:bottom w:val="single" w:color="auto" w:sz="4" w:space="0"/>
              <w:right w:val="single" w:color="auto" w:sz="4" w:space="0"/>
            </w:tcBorders>
            <w:vAlign w:val="center"/>
          </w:tcPr>
          <w:p w14:paraId="1EBB5236">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009ECBD">
            <w:pPr>
              <w:jc w:val="center"/>
              <w:rPr>
                <w:rFonts w:ascii="Times New Roman"/>
                <w:kern w:val="0"/>
                <w:sz w:val="21"/>
                <w:szCs w:val="21"/>
              </w:rPr>
            </w:pPr>
          </w:p>
        </w:tc>
      </w:tr>
      <w:tr w14:paraId="2113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E28F568">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DE5CA53">
            <w:pPr>
              <w:jc w:val="center"/>
              <w:rPr>
                <w:rFonts w:ascii="Times New Roman"/>
                <w:sz w:val="21"/>
                <w:szCs w:val="21"/>
              </w:rPr>
            </w:pPr>
            <w:r>
              <w:rPr>
                <w:rFonts w:ascii="Times New Roman"/>
                <w:sz w:val="21"/>
                <w:szCs w:val="21"/>
              </w:rPr>
              <w:t>氯仿</w:t>
            </w:r>
          </w:p>
        </w:tc>
        <w:tc>
          <w:tcPr>
            <w:tcW w:w="612" w:type="pct"/>
            <w:tcBorders>
              <w:top w:val="single" w:color="auto" w:sz="4" w:space="0"/>
              <w:left w:val="single" w:color="auto" w:sz="4" w:space="0"/>
              <w:bottom w:val="single" w:color="auto" w:sz="4" w:space="0"/>
              <w:right w:val="single" w:color="auto" w:sz="4" w:space="0"/>
            </w:tcBorders>
            <w:vAlign w:val="center"/>
          </w:tcPr>
          <w:p w14:paraId="0664F86B">
            <w:pPr>
              <w:jc w:val="center"/>
              <w:rPr>
                <w:rFonts w:ascii="Times New Roman"/>
                <w:sz w:val="21"/>
                <w:szCs w:val="21"/>
              </w:rPr>
            </w:pPr>
            <w:r>
              <w:rPr>
                <w:rFonts w:ascii="Times New Roman"/>
                <w:sz w:val="21"/>
                <w:szCs w:val="21"/>
              </w:rPr>
              <w:t>0.9</w:t>
            </w:r>
          </w:p>
        </w:tc>
        <w:tc>
          <w:tcPr>
            <w:tcW w:w="679" w:type="pct"/>
            <w:tcBorders>
              <w:top w:val="single" w:color="auto" w:sz="4" w:space="0"/>
              <w:left w:val="single" w:color="auto" w:sz="4" w:space="0"/>
              <w:bottom w:val="single" w:color="auto" w:sz="4" w:space="0"/>
              <w:right w:val="single" w:color="auto" w:sz="4" w:space="0"/>
            </w:tcBorders>
            <w:vAlign w:val="center"/>
          </w:tcPr>
          <w:p w14:paraId="7B628738">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4245AEE6">
            <w:pPr>
              <w:jc w:val="center"/>
              <w:rPr>
                <w:rFonts w:ascii="Times New Roman"/>
                <w:kern w:val="0"/>
                <w:sz w:val="21"/>
                <w:szCs w:val="21"/>
              </w:rPr>
            </w:pPr>
          </w:p>
        </w:tc>
      </w:tr>
      <w:tr w14:paraId="7D2C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32BEC92D">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9827815">
            <w:pPr>
              <w:jc w:val="center"/>
              <w:rPr>
                <w:rFonts w:ascii="Times New Roman"/>
                <w:sz w:val="21"/>
                <w:szCs w:val="21"/>
              </w:rPr>
            </w:pPr>
            <w:r>
              <w:rPr>
                <w:rFonts w:ascii="Times New Roman"/>
                <w:sz w:val="21"/>
                <w:szCs w:val="21"/>
              </w:rPr>
              <w:t>氯甲烷</w:t>
            </w:r>
          </w:p>
        </w:tc>
        <w:tc>
          <w:tcPr>
            <w:tcW w:w="612" w:type="pct"/>
            <w:tcBorders>
              <w:top w:val="single" w:color="auto" w:sz="4" w:space="0"/>
              <w:left w:val="single" w:color="auto" w:sz="4" w:space="0"/>
              <w:bottom w:val="single" w:color="auto" w:sz="4" w:space="0"/>
              <w:right w:val="single" w:color="auto" w:sz="4" w:space="0"/>
            </w:tcBorders>
            <w:vAlign w:val="center"/>
          </w:tcPr>
          <w:p w14:paraId="0B9819D8">
            <w:pPr>
              <w:jc w:val="center"/>
              <w:rPr>
                <w:rFonts w:ascii="Times New Roman"/>
                <w:sz w:val="21"/>
                <w:szCs w:val="21"/>
              </w:rPr>
            </w:pPr>
            <w:r>
              <w:rPr>
                <w:rFonts w:ascii="Times New Roman"/>
                <w:sz w:val="21"/>
                <w:szCs w:val="21"/>
              </w:rPr>
              <w:t>37</w:t>
            </w:r>
          </w:p>
        </w:tc>
        <w:tc>
          <w:tcPr>
            <w:tcW w:w="679" w:type="pct"/>
            <w:tcBorders>
              <w:top w:val="single" w:color="auto" w:sz="4" w:space="0"/>
              <w:left w:val="single" w:color="auto" w:sz="4" w:space="0"/>
              <w:bottom w:val="single" w:color="auto" w:sz="4" w:space="0"/>
              <w:right w:val="single" w:color="auto" w:sz="4" w:space="0"/>
            </w:tcBorders>
            <w:vAlign w:val="center"/>
          </w:tcPr>
          <w:p w14:paraId="74AA91D9">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482B49F5">
            <w:pPr>
              <w:jc w:val="center"/>
              <w:rPr>
                <w:rFonts w:ascii="Times New Roman"/>
                <w:kern w:val="0"/>
                <w:sz w:val="21"/>
                <w:szCs w:val="21"/>
              </w:rPr>
            </w:pPr>
          </w:p>
        </w:tc>
      </w:tr>
      <w:tr w14:paraId="3B35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12A3D67">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5892DDA5">
            <w:pPr>
              <w:jc w:val="center"/>
              <w:rPr>
                <w:rFonts w:ascii="Times New Roman"/>
                <w:sz w:val="21"/>
                <w:szCs w:val="21"/>
              </w:rPr>
            </w:pPr>
            <w:r>
              <w:rPr>
                <w:rFonts w:ascii="Times New Roman"/>
                <w:sz w:val="21"/>
                <w:szCs w:val="21"/>
              </w:rPr>
              <w:t>1，1-二氯乙烷</w:t>
            </w:r>
          </w:p>
        </w:tc>
        <w:tc>
          <w:tcPr>
            <w:tcW w:w="612" w:type="pct"/>
            <w:tcBorders>
              <w:top w:val="single" w:color="auto" w:sz="4" w:space="0"/>
              <w:left w:val="single" w:color="auto" w:sz="4" w:space="0"/>
              <w:bottom w:val="single" w:color="auto" w:sz="4" w:space="0"/>
              <w:right w:val="single" w:color="auto" w:sz="4" w:space="0"/>
            </w:tcBorders>
            <w:vAlign w:val="center"/>
          </w:tcPr>
          <w:p w14:paraId="7C607055">
            <w:pPr>
              <w:jc w:val="center"/>
              <w:rPr>
                <w:rFonts w:ascii="Times New Roman"/>
                <w:sz w:val="21"/>
                <w:szCs w:val="21"/>
              </w:rPr>
            </w:pPr>
            <w:r>
              <w:rPr>
                <w:rFonts w:ascii="Times New Roman"/>
                <w:sz w:val="21"/>
                <w:szCs w:val="21"/>
              </w:rPr>
              <w:t>9</w:t>
            </w:r>
          </w:p>
        </w:tc>
        <w:tc>
          <w:tcPr>
            <w:tcW w:w="679" w:type="pct"/>
            <w:tcBorders>
              <w:top w:val="single" w:color="auto" w:sz="4" w:space="0"/>
              <w:left w:val="single" w:color="auto" w:sz="4" w:space="0"/>
              <w:bottom w:val="single" w:color="auto" w:sz="4" w:space="0"/>
              <w:right w:val="single" w:color="auto" w:sz="4" w:space="0"/>
            </w:tcBorders>
            <w:vAlign w:val="center"/>
          </w:tcPr>
          <w:p w14:paraId="26F68F9B">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95A8FAC">
            <w:pPr>
              <w:jc w:val="center"/>
              <w:rPr>
                <w:rFonts w:ascii="Times New Roman"/>
                <w:kern w:val="0"/>
                <w:sz w:val="21"/>
                <w:szCs w:val="21"/>
              </w:rPr>
            </w:pPr>
          </w:p>
        </w:tc>
      </w:tr>
      <w:tr w14:paraId="1D39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C59AE55">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1EAE9BD">
            <w:pPr>
              <w:jc w:val="center"/>
              <w:rPr>
                <w:rFonts w:ascii="Times New Roman"/>
                <w:sz w:val="21"/>
                <w:szCs w:val="21"/>
              </w:rPr>
            </w:pPr>
            <w:r>
              <w:rPr>
                <w:rFonts w:ascii="Times New Roman"/>
                <w:sz w:val="21"/>
                <w:szCs w:val="21"/>
              </w:rPr>
              <w:t>1，2-二氯乙烷</w:t>
            </w:r>
          </w:p>
        </w:tc>
        <w:tc>
          <w:tcPr>
            <w:tcW w:w="612" w:type="pct"/>
            <w:tcBorders>
              <w:top w:val="single" w:color="auto" w:sz="4" w:space="0"/>
              <w:left w:val="single" w:color="auto" w:sz="4" w:space="0"/>
              <w:bottom w:val="single" w:color="auto" w:sz="4" w:space="0"/>
              <w:right w:val="single" w:color="auto" w:sz="4" w:space="0"/>
            </w:tcBorders>
            <w:vAlign w:val="center"/>
          </w:tcPr>
          <w:p w14:paraId="6D60591A">
            <w:pPr>
              <w:jc w:val="center"/>
              <w:rPr>
                <w:rFonts w:ascii="Times New Roman"/>
                <w:sz w:val="21"/>
                <w:szCs w:val="21"/>
              </w:rPr>
            </w:pPr>
            <w:r>
              <w:rPr>
                <w:rFonts w:ascii="Times New Roman"/>
                <w:sz w:val="21"/>
                <w:szCs w:val="21"/>
              </w:rPr>
              <w:t>5</w:t>
            </w:r>
          </w:p>
        </w:tc>
        <w:tc>
          <w:tcPr>
            <w:tcW w:w="679" w:type="pct"/>
            <w:tcBorders>
              <w:top w:val="single" w:color="auto" w:sz="4" w:space="0"/>
              <w:left w:val="single" w:color="auto" w:sz="4" w:space="0"/>
              <w:bottom w:val="single" w:color="auto" w:sz="4" w:space="0"/>
              <w:right w:val="single" w:color="auto" w:sz="4" w:space="0"/>
            </w:tcBorders>
            <w:vAlign w:val="center"/>
          </w:tcPr>
          <w:p w14:paraId="3E6A07D7">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A40B714">
            <w:pPr>
              <w:jc w:val="center"/>
              <w:rPr>
                <w:rFonts w:ascii="Times New Roman"/>
                <w:kern w:val="0"/>
                <w:sz w:val="21"/>
                <w:szCs w:val="21"/>
              </w:rPr>
            </w:pPr>
          </w:p>
        </w:tc>
      </w:tr>
      <w:tr w14:paraId="6349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6A068DB6">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533FF288">
            <w:pPr>
              <w:jc w:val="center"/>
              <w:rPr>
                <w:rFonts w:ascii="Times New Roman"/>
                <w:sz w:val="21"/>
                <w:szCs w:val="21"/>
              </w:rPr>
            </w:pPr>
            <w:r>
              <w:rPr>
                <w:rFonts w:ascii="Times New Roman"/>
                <w:sz w:val="21"/>
                <w:szCs w:val="21"/>
              </w:rPr>
              <w:t>1，1-二氯乙烯</w:t>
            </w:r>
          </w:p>
        </w:tc>
        <w:tc>
          <w:tcPr>
            <w:tcW w:w="612" w:type="pct"/>
            <w:tcBorders>
              <w:top w:val="single" w:color="auto" w:sz="4" w:space="0"/>
              <w:left w:val="single" w:color="auto" w:sz="4" w:space="0"/>
              <w:bottom w:val="single" w:color="auto" w:sz="4" w:space="0"/>
              <w:right w:val="single" w:color="auto" w:sz="4" w:space="0"/>
            </w:tcBorders>
            <w:vAlign w:val="center"/>
          </w:tcPr>
          <w:p w14:paraId="0E4C2E92">
            <w:pPr>
              <w:jc w:val="center"/>
              <w:rPr>
                <w:rFonts w:ascii="Times New Roman"/>
                <w:sz w:val="21"/>
                <w:szCs w:val="21"/>
              </w:rPr>
            </w:pPr>
            <w:r>
              <w:rPr>
                <w:rFonts w:ascii="Times New Roman"/>
                <w:sz w:val="21"/>
                <w:szCs w:val="21"/>
              </w:rPr>
              <w:t>66</w:t>
            </w:r>
          </w:p>
        </w:tc>
        <w:tc>
          <w:tcPr>
            <w:tcW w:w="679" w:type="pct"/>
            <w:tcBorders>
              <w:top w:val="single" w:color="auto" w:sz="4" w:space="0"/>
              <w:left w:val="single" w:color="auto" w:sz="4" w:space="0"/>
              <w:bottom w:val="single" w:color="auto" w:sz="4" w:space="0"/>
              <w:right w:val="single" w:color="auto" w:sz="4" w:space="0"/>
            </w:tcBorders>
            <w:vAlign w:val="center"/>
          </w:tcPr>
          <w:p w14:paraId="5255E8E2">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34A41714">
            <w:pPr>
              <w:jc w:val="center"/>
              <w:rPr>
                <w:rFonts w:ascii="Times New Roman"/>
                <w:kern w:val="0"/>
                <w:sz w:val="21"/>
                <w:szCs w:val="21"/>
              </w:rPr>
            </w:pPr>
          </w:p>
        </w:tc>
      </w:tr>
      <w:tr w14:paraId="63F0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F9FF548">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09DDA01">
            <w:pPr>
              <w:jc w:val="center"/>
              <w:rPr>
                <w:rFonts w:ascii="Times New Roman"/>
                <w:sz w:val="21"/>
                <w:szCs w:val="21"/>
              </w:rPr>
            </w:pPr>
            <w:r>
              <w:rPr>
                <w:rFonts w:ascii="Times New Roman"/>
                <w:sz w:val="21"/>
                <w:szCs w:val="21"/>
              </w:rPr>
              <w:t>顺-1，2-二氯乙烯</w:t>
            </w:r>
          </w:p>
        </w:tc>
        <w:tc>
          <w:tcPr>
            <w:tcW w:w="612" w:type="pct"/>
            <w:tcBorders>
              <w:top w:val="single" w:color="auto" w:sz="4" w:space="0"/>
              <w:left w:val="single" w:color="auto" w:sz="4" w:space="0"/>
              <w:bottom w:val="single" w:color="auto" w:sz="4" w:space="0"/>
              <w:right w:val="single" w:color="auto" w:sz="4" w:space="0"/>
            </w:tcBorders>
            <w:vAlign w:val="center"/>
          </w:tcPr>
          <w:p w14:paraId="7E6F68EE">
            <w:pPr>
              <w:jc w:val="center"/>
              <w:rPr>
                <w:rFonts w:ascii="Times New Roman"/>
                <w:sz w:val="21"/>
                <w:szCs w:val="21"/>
              </w:rPr>
            </w:pPr>
            <w:r>
              <w:rPr>
                <w:rFonts w:ascii="Times New Roman"/>
                <w:sz w:val="21"/>
                <w:szCs w:val="21"/>
              </w:rPr>
              <w:t>596</w:t>
            </w:r>
          </w:p>
        </w:tc>
        <w:tc>
          <w:tcPr>
            <w:tcW w:w="679" w:type="pct"/>
            <w:tcBorders>
              <w:top w:val="single" w:color="auto" w:sz="4" w:space="0"/>
              <w:left w:val="single" w:color="auto" w:sz="4" w:space="0"/>
              <w:bottom w:val="single" w:color="auto" w:sz="4" w:space="0"/>
              <w:right w:val="single" w:color="auto" w:sz="4" w:space="0"/>
            </w:tcBorders>
            <w:vAlign w:val="center"/>
          </w:tcPr>
          <w:p w14:paraId="6BF79AB0">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D75AC66">
            <w:pPr>
              <w:jc w:val="center"/>
              <w:rPr>
                <w:rFonts w:ascii="Times New Roman"/>
                <w:kern w:val="0"/>
                <w:sz w:val="21"/>
                <w:szCs w:val="21"/>
              </w:rPr>
            </w:pPr>
          </w:p>
        </w:tc>
      </w:tr>
      <w:tr w14:paraId="347C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96F7873">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071D9CE7">
            <w:pPr>
              <w:jc w:val="center"/>
              <w:rPr>
                <w:rFonts w:ascii="Times New Roman"/>
                <w:sz w:val="21"/>
                <w:szCs w:val="21"/>
              </w:rPr>
            </w:pPr>
            <w:r>
              <w:rPr>
                <w:rFonts w:ascii="Times New Roman"/>
                <w:sz w:val="21"/>
                <w:szCs w:val="21"/>
              </w:rPr>
              <w:t>反-1，2-二氯乙烯</w:t>
            </w:r>
          </w:p>
        </w:tc>
        <w:tc>
          <w:tcPr>
            <w:tcW w:w="612" w:type="pct"/>
            <w:tcBorders>
              <w:top w:val="single" w:color="auto" w:sz="4" w:space="0"/>
              <w:left w:val="single" w:color="auto" w:sz="4" w:space="0"/>
              <w:bottom w:val="single" w:color="auto" w:sz="4" w:space="0"/>
              <w:right w:val="single" w:color="auto" w:sz="4" w:space="0"/>
            </w:tcBorders>
            <w:vAlign w:val="center"/>
          </w:tcPr>
          <w:p w14:paraId="215B0DA8">
            <w:pPr>
              <w:jc w:val="center"/>
              <w:rPr>
                <w:rFonts w:ascii="Times New Roman"/>
                <w:sz w:val="21"/>
                <w:szCs w:val="21"/>
              </w:rPr>
            </w:pPr>
            <w:r>
              <w:rPr>
                <w:rFonts w:ascii="Times New Roman"/>
                <w:sz w:val="21"/>
                <w:szCs w:val="21"/>
              </w:rPr>
              <w:t>54</w:t>
            </w:r>
          </w:p>
        </w:tc>
        <w:tc>
          <w:tcPr>
            <w:tcW w:w="679" w:type="pct"/>
            <w:tcBorders>
              <w:top w:val="single" w:color="auto" w:sz="4" w:space="0"/>
              <w:left w:val="single" w:color="auto" w:sz="4" w:space="0"/>
              <w:bottom w:val="single" w:color="auto" w:sz="4" w:space="0"/>
              <w:right w:val="single" w:color="auto" w:sz="4" w:space="0"/>
            </w:tcBorders>
            <w:vAlign w:val="center"/>
          </w:tcPr>
          <w:p w14:paraId="688E0FC8">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7FD011A">
            <w:pPr>
              <w:jc w:val="center"/>
              <w:rPr>
                <w:rFonts w:ascii="Times New Roman"/>
                <w:kern w:val="0"/>
                <w:sz w:val="21"/>
                <w:szCs w:val="21"/>
              </w:rPr>
            </w:pPr>
          </w:p>
        </w:tc>
      </w:tr>
      <w:tr w14:paraId="411E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7769FF37">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A928B01">
            <w:pPr>
              <w:jc w:val="center"/>
              <w:rPr>
                <w:rFonts w:ascii="Times New Roman"/>
                <w:sz w:val="21"/>
                <w:szCs w:val="21"/>
              </w:rPr>
            </w:pPr>
            <w:r>
              <w:rPr>
                <w:rFonts w:ascii="Times New Roman"/>
                <w:sz w:val="21"/>
                <w:szCs w:val="21"/>
              </w:rPr>
              <w:t>二氯甲烷</w:t>
            </w:r>
          </w:p>
        </w:tc>
        <w:tc>
          <w:tcPr>
            <w:tcW w:w="612" w:type="pct"/>
            <w:tcBorders>
              <w:top w:val="single" w:color="auto" w:sz="4" w:space="0"/>
              <w:left w:val="single" w:color="auto" w:sz="4" w:space="0"/>
              <w:bottom w:val="single" w:color="auto" w:sz="4" w:space="0"/>
              <w:right w:val="single" w:color="auto" w:sz="4" w:space="0"/>
            </w:tcBorders>
            <w:vAlign w:val="center"/>
          </w:tcPr>
          <w:p w14:paraId="2A4EE8A9">
            <w:pPr>
              <w:jc w:val="center"/>
              <w:rPr>
                <w:rFonts w:ascii="Times New Roman"/>
                <w:sz w:val="21"/>
                <w:szCs w:val="21"/>
              </w:rPr>
            </w:pPr>
            <w:r>
              <w:rPr>
                <w:rFonts w:ascii="Times New Roman"/>
                <w:sz w:val="21"/>
                <w:szCs w:val="21"/>
              </w:rPr>
              <w:t>616</w:t>
            </w:r>
          </w:p>
        </w:tc>
        <w:tc>
          <w:tcPr>
            <w:tcW w:w="679" w:type="pct"/>
            <w:tcBorders>
              <w:top w:val="single" w:color="auto" w:sz="4" w:space="0"/>
              <w:left w:val="single" w:color="auto" w:sz="4" w:space="0"/>
              <w:bottom w:val="single" w:color="auto" w:sz="4" w:space="0"/>
              <w:right w:val="single" w:color="auto" w:sz="4" w:space="0"/>
            </w:tcBorders>
            <w:vAlign w:val="center"/>
          </w:tcPr>
          <w:p w14:paraId="1CFE0965">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366FDB8B">
            <w:pPr>
              <w:jc w:val="center"/>
              <w:rPr>
                <w:rFonts w:ascii="Times New Roman"/>
                <w:kern w:val="0"/>
                <w:sz w:val="21"/>
                <w:szCs w:val="21"/>
              </w:rPr>
            </w:pPr>
          </w:p>
        </w:tc>
      </w:tr>
      <w:tr w14:paraId="19FB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10C8945">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7C6153F0">
            <w:pPr>
              <w:jc w:val="center"/>
              <w:rPr>
                <w:rFonts w:ascii="Times New Roman"/>
                <w:sz w:val="21"/>
                <w:szCs w:val="21"/>
              </w:rPr>
            </w:pPr>
            <w:r>
              <w:rPr>
                <w:rFonts w:ascii="Times New Roman"/>
                <w:sz w:val="21"/>
                <w:szCs w:val="21"/>
              </w:rPr>
              <w:t>1，2-二氯丙烷</w:t>
            </w:r>
          </w:p>
        </w:tc>
        <w:tc>
          <w:tcPr>
            <w:tcW w:w="612" w:type="pct"/>
            <w:tcBorders>
              <w:top w:val="single" w:color="auto" w:sz="4" w:space="0"/>
              <w:left w:val="single" w:color="auto" w:sz="4" w:space="0"/>
              <w:bottom w:val="single" w:color="auto" w:sz="4" w:space="0"/>
              <w:right w:val="single" w:color="auto" w:sz="4" w:space="0"/>
            </w:tcBorders>
            <w:vAlign w:val="center"/>
          </w:tcPr>
          <w:p w14:paraId="381350CB">
            <w:pPr>
              <w:jc w:val="center"/>
              <w:rPr>
                <w:rFonts w:ascii="Times New Roman"/>
                <w:sz w:val="21"/>
                <w:szCs w:val="21"/>
              </w:rPr>
            </w:pPr>
            <w:r>
              <w:rPr>
                <w:rFonts w:ascii="Times New Roman"/>
                <w:sz w:val="21"/>
                <w:szCs w:val="21"/>
              </w:rPr>
              <w:t>5</w:t>
            </w:r>
          </w:p>
        </w:tc>
        <w:tc>
          <w:tcPr>
            <w:tcW w:w="679" w:type="pct"/>
            <w:tcBorders>
              <w:top w:val="single" w:color="auto" w:sz="4" w:space="0"/>
              <w:left w:val="single" w:color="auto" w:sz="4" w:space="0"/>
              <w:bottom w:val="single" w:color="auto" w:sz="4" w:space="0"/>
              <w:right w:val="single" w:color="auto" w:sz="4" w:space="0"/>
            </w:tcBorders>
            <w:vAlign w:val="center"/>
          </w:tcPr>
          <w:p w14:paraId="0552065D">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039425A">
            <w:pPr>
              <w:jc w:val="center"/>
              <w:rPr>
                <w:rFonts w:ascii="Times New Roman"/>
                <w:kern w:val="0"/>
                <w:sz w:val="21"/>
                <w:szCs w:val="21"/>
              </w:rPr>
            </w:pPr>
          </w:p>
        </w:tc>
      </w:tr>
      <w:tr w14:paraId="7CD8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28DFF4E">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90ABC4C">
            <w:pPr>
              <w:jc w:val="center"/>
              <w:rPr>
                <w:rFonts w:ascii="Times New Roman"/>
                <w:sz w:val="21"/>
                <w:szCs w:val="21"/>
              </w:rPr>
            </w:pPr>
            <w:r>
              <w:rPr>
                <w:rFonts w:ascii="Times New Roman"/>
                <w:sz w:val="21"/>
                <w:szCs w:val="21"/>
              </w:rPr>
              <w:t>1，1，1，2-四氯乙烷</w:t>
            </w:r>
          </w:p>
        </w:tc>
        <w:tc>
          <w:tcPr>
            <w:tcW w:w="612" w:type="pct"/>
            <w:tcBorders>
              <w:top w:val="single" w:color="auto" w:sz="4" w:space="0"/>
              <w:left w:val="single" w:color="auto" w:sz="4" w:space="0"/>
              <w:bottom w:val="single" w:color="auto" w:sz="4" w:space="0"/>
              <w:right w:val="single" w:color="auto" w:sz="4" w:space="0"/>
            </w:tcBorders>
            <w:vAlign w:val="center"/>
          </w:tcPr>
          <w:p w14:paraId="1E222001">
            <w:pPr>
              <w:jc w:val="center"/>
              <w:rPr>
                <w:rFonts w:ascii="Times New Roman"/>
                <w:sz w:val="21"/>
                <w:szCs w:val="21"/>
              </w:rPr>
            </w:pPr>
            <w:r>
              <w:rPr>
                <w:rFonts w:ascii="Times New Roman"/>
                <w:sz w:val="21"/>
                <w:szCs w:val="21"/>
              </w:rPr>
              <w:t>10</w:t>
            </w:r>
          </w:p>
        </w:tc>
        <w:tc>
          <w:tcPr>
            <w:tcW w:w="679" w:type="pct"/>
            <w:tcBorders>
              <w:top w:val="single" w:color="auto" w:sz="4" w:space="0"/>
              <w:left w:val="single" w:color="auto" w:sz="4" w:space="0"/>
              <w:bottom w:val="single" w:color="auto" w:sz="4" w:space="0"/>
              <w:right w:val="single" w:color="auto" w:sz="4" w:space="0"/>
            </w:tcBorders>
            <w:vAlign w:val="center"/>
          </w:tcPr>
          <w:p w14:paraId="70737581">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97613F4">
            <w:pPr>
              <w:jc w:val="center"/>
              <w:rPr>
                <w:rFonts w:ascii="Times New Roman"/>
                <w:kern w:val="0"/>
                <w:sz w:val="21"/>
                <w:szCs w:val="21"/>
              </w:rPr>
            </w:pPr>
          </w:p>
        </w:tc>
      </w:tr>
      <w:tr w14:paraId="0BB7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08D07FA">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F8A67BF">
            <w:pPr>
              <w:jc w:val="center"/>
              <w:rPr>
                <w:rFonts w:ascii="Times New Roman"/>
                <w:sz w:val="21"/>
                <w:szCs w:val="21"/>
              </w:rPr>
            </w:pPr>
            <w:r>
              <w:rPr>
                <w:rFonts w:ascii="Times New Roman"/>
                <w:sz w:val="21"/>
                <w:szCs w:val="21"/>
              </w:rPr>
              <w:t>1，1，2，2-四氯乙烷</w:t>
            </w:r>
          </w:p>
        </w:tc>
        <w:tc>
          <w:tcPr>
            <w:tcW w:w="612" w:type="pct"/>
            <w:tcBorders>
              <w:top w:val="single" w:color="auto" w:sz="4" w:space="0"/>
              <w:left w:val="single" w:color="auto" w:sz="4" w:space="0"/>
              <w:bottom w:val="single" w:color="auto" w:sz="4" w:space="0"/>
              <w:right w:val="single" w:color="auto" w:sz="4" w:space="0"/>
            </w:tcBorders>
            <w:vAlign w:val="center"/>
          </w:tcPr>
          <w:p w14:paraId="3628DBB3">
            <w:pPr>
              <w:jc w:val="center"/>
              <w:rPr>
                <w:rFonts w:ascii="Times New Roman"/>
                <w:sz w:val="21"/>
                <w:szCs w:val="21"/>
              </w:rPr>
            </w:pPr>
            <w:r>
              <w:rPr>
                <w:rFonts w:ascii="Times New Roman"/>
                <w:sz w:val="21"/>
                <w:szCs w:val="21"/>
              </w:rPr>
              <w:t>6.8</w:t>
            </w:r>
          </w:p>
        </w:tc>
        <w:tc>
          <w:tcPr>
            <w:tcW w:w="679" w:type="pct"/>
            <w:tcBorders>
              <w:top w:val="single" w:color="auto" w:sz="4" w:space="0"/>
              <w:left w:val="single" w:color="auto" w:sz="4" w:space="0"/>
              <w:bottom w:val="single" w:color="auto" w:sz="4" w:space="0"/>
              <w:right w:val="single" w:color="auto" w:sz="4" w:space="0"/>
            </w:tcBorders>
            <w:vAlign w:val="center"/>
          </w:tcPr>
          <w:p w14:paraId="0B564243">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326F1F05">
            <w:pPr>
              <w:jc w:val="center"/>
              <w:rPr>
                <w:rFonts w:ascii="Times New Roman"/>
                <w:kern w:val="0"/>
                <w:sz w:val="21"/>
                <w:szCs w:val="21"/>
              </w:rPr>
            </w:pPr>
          </w:p>
        </w:tc>
      </w:tr>
      <w:tr w14:paraId="02FB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6F0EB51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7D523A16">
            <w:pPr>
              <w:jc w:val="center"/>
              <w:rPr>
                <w:rFonts w:ascii="Times New Roman"/>
                <w:sz w:val="21"/>
                <w:szCs w:val="21"/>
              </w:rPr>
            </w:pPr>
            <w:r>
              <w:rPr>
                <w:rFonts w:ascii="Times New Roman"/>
                <w:sz w:val="21"/>
                <w:szCs w:val="21"/>
              </w:rPr>
              <w:t>四氯乙烯</w:t>
            </w:r>
          </w:p>
        </w:tc>
        <w:tc>
          <w:tcPr>
            <w:tcW w:w="612" w:type="pct"/>
            <w:tcBorders>
              <w:top w:val="single" w:color="auto" w:sz="4" w:space="0"/>
              <w:left w:val="single" w:color="auto" w:sz="4" w:space="0"/>
              <w:bottom w:val="single" w:color="auto" w:sz="4" w:space="0"/>
              <w:right w:val="single" w:color="auto" w:sz="4" w:space="0"/>
            </w:tcBorders>
            <w:vAlign w:val="center"/>
          </w:tcPr>
          <w:p w14:paraId="29D135F5">
            <w:pPr>
              <w:jc w:val="center"/>
              <w:rPr>
                <w:rFonts w:ascii="Times New Roman"/>
                <w:sz w:val="21"/>
                <w:szCs w:val="21"/>
              </w:rPr>
            </w:pPr>
            <w:r>
              <w:rPr>
                <w:rFonts w:ascii="Times New Roman"/>
                <w:sz w:val="21"/>
                <w:szCs w:val="21"/>
              </w:rPr>
              <w:t>53</w:t>
            </w:r>
          </w:p>
        </w:tc>
        <w:tc>
          <w:tcPr>
            <w:tcW w:w="679" w:type="pct"/>
            <w:tcBorders>
              <w:top w:val="single" w:color="auto" w:sz="4" w:space="0"/>
              <w:left w:val="single" w:color="auto" w:sz="4" w:space="0"/>
              <w:bottom w:val="single" w:color="auto" w:sz="4" w:space="0"/>
              <w:right w:val="single" w:color="auto" w:sz="4" w:space="0"/>
            </w:tcBorders>
            <w:vAlign w:val="center"/>
          </w:tcPr>
          <w:p w14:paraId="16F646F0">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195386D">
            <w:pPr>
              <w:jc w:val="center"/>
              <w:rPr>
                <w:rFonts w:ascii="Times New Roman"/>
                <w:kern w:val="0"/>
                <w:sz w:val="21"/>
                <w:szCs w:val="21"/>
              </w:rPr>
            </w:pPr>
          </w:p>
        </w:tc>
      </w:tr>
      <w:tr w14:paraId="5ECE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65A76EA6">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277DC721">
            <w:pPr>
              <w:jc w:val="center"/>
              <w:rPr>
                <w:rFonts w:ascii="Times New Roman"/>
                <w:sz w:val="21"/>
                <w:szCs w:val="21"/>
              </w:rPr>
            </w:pPr>
            <w:r>
              <w:rPr>
                <w:rFonts w:ascii="Times New Roman"/>
                <w:sz w:val="21"/>
                <w:szCs w:val="21"/>
              </w:rPr>
              <w:t>1，1，1-三氯乙烷</w:t>
            </w:r>
          </w:p>
        </w:tc>
        <w:tc>
          <w:tcPr>
            <w:tcW w:w="612" w:type="pct"/>
            <w:tcBorders>
              <w:top w:val="single" w:color="auto" w:sz="4" w:space="0"/>
              <w:left w:val="single" w:color="auto" w:sz="4" w:space="0"/>
              <w:bottom w:val="single" w:color="auto" w:sz="4" w:space="0"/>
              <w:right w:val="single" w:color="auto" w:sz="4" w:space="0"/>
            </w:tcBorders>
            <w:vAlign w:val="center"/>
          </w:tcPr>
          <w:p w14:paraId="12F6D335">
            <w:pPr>
              <w:jc w:val="center"/>
              <w:rPr>
                <w:rFonts w:ascii="Times New Roman"/>
                <w:sz w:val="21"/>
                <w:szCs w:val="21"/>
              </w:rPr>
            </w:pPr>
            <w:r>
              <w:rPr>
                <w:rFonts w:ascii="Times New Roman"/>
                <w:sz w:val="21"/>
                <w:szCs w:val="21"/>
              </w:rPr>
              <w:t>840</w:t>
            </w:r>
          </w:p>
        </w:tc>
        <w:tc>
          <w:tcPr>
            <w:tcW w:w="679" w:type="pct"/>
            <w:tcBorders>
              <w:top w:val="single" w:color="auto" w:sz="4" w:space="0"/>
              <w:left w:val="single" w:color="auto" w:sz="4" w:space="0"/>
              <w:bottom w:val="single" w:color="auto" w:sz="4" w:space="0"/>
              <w:right w:val="single" w:color="auto" w:sz="4" w:space="0"/>
            </w:tcBorders>
            <w:vAlign w:val="center"/>
          </w:tcPr>
          <w:p w14:paraId="01506FEA">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18868E43">
            <w:pPr>
              <w:jc w:val="center"/>
              <w:rPr>
                <w:rFonts w:ascii="Times New Roman"/>
                <w:kern w:val="0"/>
                <w:sz w:val="21"/>
                <w:szCs w:val="21"/>
              </w:rPr>
            </w:pPr>
          </w:p>
        </w:tc>
      </w:tr>
      <w:tr w14:paraId="50F6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7D777088">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65BADF9F">
            <w:pPr>
              <w:jc w:val="center"/>
              <w:rPr>
                <w:rFonts w:ascii="Times New Roman"/>
                <w:sz w:val="21"/>
                <w:szCs w:val="21"/>
              </w:rPr>
            </w:pPr>
            <w:r>
              <w:rPr>
                <w:rFonts w:ascii="Times New Roman"/>
                <w:sz w:val="21"/>
                <w:szCs w:val="21"/>
              </w:rPr>
              <w:t>1，1，2-三氯乙烷</w:t>
            </w:r>
          </w:p>
        </w:tc>
        <w:tc>
          <w:tcPr>
            <w:tcW w:w="612" w:type="pct"/>
            <w:tcBorders>
              <w:top w:val="single" w:color="auto" w:sz="4" w:space="0"/>
              <w:left w:val="single" w:color="auto" w:sz="4" w:space="0"/>
              <w:bottom w:val="single" w:color="auto" w:sz="4" w:space="0"/>
              <w:right w:val="single" w:color="auto" w:sz="4" w:space="0"/>
            </w:tcBorders>
            <w:vAlign w:val="center"/>
          </w:tcPr>
          <w:p w14:paraId="6205CEBA">
            <w:pPr>
              <w:jc w:val="center"/>
              <w:rPr>
                <w:rFonts w:ascii="Times New Roman"/>
                <w:sz w:val="21"/>
                <w:szCs w:val="21"/>
              </w:rPr>
            </w:pPr>
            <w:r>
              <w:rPr>
                <w:rFonts w:ascii="Times New Roman"/>
                <w:sz w:val="21"/>
                <w:szCs w:val="21"/>
              </w:rPr>
              <w:t>2.8</w:t>
            </w:r>
          </w:p>
        </w:tc>
        <w:tc>
          <w:tcPr>
            <w:tcW w:w="679" w:type="pct"/>
            <w:tcBorders>
              <w:top w:val="single" w:color="auto" w:sz="4" w:space="0"/>
              <w:left w:val="single" w:color="auto" w:sz="4" w:space="0"/>
              <w:bottom w:val="single" w:color="auto" w:sz="4" w:space="0"/>
              <w:right w:val="single" w:color="auto" w:sz="4" w:space="0"/>
            </w:tcBorders>
            <w:vAlign w:val="center"/>
          </w:tcPr>
          <w:p w14:paraId="7D52E461">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E693209">
            <w:pPr>
              <w:jc w:val="center"/>
              <w:rPr>
                <w:rFonts w:ascii="Times New Roman"/>
                <w:kern w:val="0"/>
                <w:sz w:val="21"/>
                <w:szCs w:val="21"/>
              </w:rPr>
            </w:pPr>
          </w:p>
        </w:tc>
      </w:tr>
      <w:tr w14:paraId="545B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750FB79A">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1FE17EC8">
            <w:pPr>
              <w:jc w:val="center"/>
              <w:rPr>
                <w:rFonts w:ascii="Times New Roman"/>
                <w:sz w:val="21"/>
                <w:szCs w:val="21"/>
              </w:rPr>
            </w:pPr>
            <w:r>
              <w:rPr>
                <w:rFonts w:ascii="Times New Roman"/>
                <w:sz w:val="21"/>
                <w:szCs w:val="21"/>
              </w:rPr>
              <w:t>三氯乙烯</w:t>
            </w:r>
          </w:p>
        </w:tc>
        <w:tc>
          <w:tcPr>
            <w:tcW w:w="612" w:type="pct"/>
            <w:tcBorders>
              <w:top w:val="single" w:color="auto" w:sz="4" w:space="0"/>
              <w:left w:val="single" w:color="auto" w:sz="4" w:space="0"/>
              <w:bottom w:val="single" w:color="auto" w:sz="4" w:space="0"/>
              <w:right w:val="single" w:color="auto" w:sz="4" w:space="0"/>
            </w:tcBorders>
            <w:vAlign w:val="center"/>
          </w:tcPr>
          <w:p w14:paraId="6E8B0831">
            <w:pPr>
              <w:jc w:val="center"/>
              <w:rPr>
                <w:rFonts w:ascii="Times New Roman"/>
                <w:sz w:val="21"/>
                <w:szCs w:val="21"/>
              </w:rPr>
            </w:pPr>
            <w:r>
              <w:rPr>
                <w:rFonts w:ascii="Times New Roman"/>
                <w:sz w:val="21"/>
                <w:szCs w:val="21"/>
              </w:rPr>
              <w:t>2.8</w:t>
            </w:r>
          </w:p>
        </w:tc>
        <w:tc>
          <w:tcPr>
            <w:tcW w:w="679" w:type="pct"/>
            <w:tcBorders>
              <w:top w:val="single" w:color="auto" w:sz="4" w:space="0"/>
              <w:left w:val="single" w:color="auto" w:sz="4" w:space="0"/>
              <w:bottom w:val="single" w:color="auto" w:sz="4" w:space="0"/>
              <w:right w:val="single" w:color="auto" w:sz="4" w:space="0"/>
            </w:tcBorders>
            <w:vAlign w:val="center"/>
          </w:tcPr>
          <w:p w14:paraId="4CB46743">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9B641CE">
            <w:pPr>
              <w:jc w:val="center"/>
              <w:rPr>
                <w:rFonts w:ascii="Times New Roman"/>
                <w:kern w:val="0"/>
                <w:sz w:val="21"/>
                <w:szCs w:val="21"/>
              </w:rPr>
            </w:pPr>
          </w:p>
        </w:tc>
      </w:tr>
      <w:tr w14:paraId="7E68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409D5423">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169F6D85">
            <w:pPr>
              <w:jc w:val="center"/>
              <w:rPr>
                <w:rFonts w:ascii="Times New Roman"/>
                <w:sz w:val="21"/>
                <w:szCs w:val="21"/>
              </w:rPr>
            </w:pPr>
            <w:r>
              <w:rPr>
                <w:rFonts w:ascii="Times New Roman"/>
                <w:sz w:val="21"/>
                <w:szCs w:val="21"/>
              </w:rPr>
              <w:t>1，2，3-三氯丙烷</w:t>
            </w:r>
          </w:p>
        </w:tc>
        <w:tc>
          <w:tcPr>
            <w:tcW w:w="612" w:type="pct"/>
            <w:tcBorders>
              <w:top w:val="single" w:color="auto" w:sz="4" w:space="0"/>
              <w:left w:val="single" w:color="auto" w:sz="4" w:space="0"/>
              <w:bottom w:val="single" w:color="auto" w:sz="4" w:space="0"/>
              <w:right w:val="single" w:color="auto" w:sz="4" w:space="0"/>
            </w:tcBorders>
            <w:vAlign w:val="center"/>
          </w:tcPr>
          <w:p w14:paraId="330DCAAD">
            <w:pPr>
              <w:jc w:val="center"/>
              <w:rPr>
                <w:rFonts w:ascii="Times New Roman"/>
                <w:sz w:val="21"/>
                <w:szCs w:val="21"/>
              </w:rPr>
            </w:pPr>
            <w:r>
              <w:rPr>
                <w:rFonts w:ascii="Times New Roman"/>
                <w:sz w:val="21"/>
                <w:szCs w:val="21"/>
              </w:rPr>
              <w:t>0.5</w:t>
            </w:r>
          </w:p>
        </w:tc>
        <w:tc>
          <w:tcPr>
            <w:tcW w:w="679" w:type="pct"/>
            <w:tcBorders>
              <w:top w:val="single" w:color="auto" w:sz="4" w:space="0"/>
              <w:left w:val="single" w:color="auto" w:sz="4" w:space="0"/>
              <w:bottom w:val="single" w:color="auto" w:sz="4" w:space="0"/>
              <w:right w:val="single" w:color="auto" w:sz="4" w:space="0"/>
            </w:tcBorders>
            <w:vAlign w:val="center"/>
          </w:tcPr>
          <w:p w14:paraId="660A98CC">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786FFFD2">
            <w:pPr>
              <w:jc w:val="center"/>
              <w:rPr>
                <w:rFonts w:ascii="Times New Roman"/>
                <w:kern w:val="0"/>
                <w:sz w:val="21"/>
                <w:szCs w:val="21"/>
              </w:rPr>
            </w:pPr>
          </w:p>
        </w:tc>
      </w:tr>
      <w:tr w14:paraId="606F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106412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92670DE">
            <w:pPr>
              <w:jc w:val="center"/>
              <w:rPr>
                <w:rFonts w:ascii="Times New Roman"/>
                <w:sz w:val="21"/>
                <w:szCs w:val="21"/>
              </w:rPr>
            </w:pPr>
            <w:r>
              <w:rPr>
                <w:rFonts w:ascii="Times New Roman"/>
                <w:sz w:val="21"/>
                <w:szCs w:val="21"/>
              </w:rPr>
              <w:t>氯乙烯</w:t>
            </w:r>
          </w:p>
        </w:tc>
        <w:tc>
          <w:tcPr>
            <w:tcW w:w="612" w:type="pct"/>
            <w:tcBorders>
              <w:top w:val="single" w:color="auto" w:sz="4" w:space="0"/>
              <w:left w:val="single" w:color="auto" w:sz="4" w:space="0"/>
              <w:bottom w:val="single" w:color="auto" w:sz="4" w:space="0"/>
              <w:right w:val="single" w:color="auto" w:sz="4" w:space="0"/>
            </w:tcBorders>
            <w:vAlign w:val="center"/>
          </w:tcPr>
          <w:p w14:paraId="69855505">
            <w:pPr>
              <w:jc w:val="center"/>
              <w:rPr>
                <w:rFonts w:ascii="Times New Roman"/>
                <w:sz w:val="21"/>
                <w:szCs w:val="21"/>
              </w:rPr>
            </w:pPr>
            <w:r>
              <w:rPr>
                <w:rFonts w:ascii="Times New Roman"/>
                <w:sz w:val="21"/>
                <w:szCs w:val="21"/>
              </w:rPr>
              <w:t>0.43</w:t>
            </w:r>
          </w:p>
        </w:tc>
        <w:tc>
          <w:tcPr>
            <w:tcW w:w="679" w:type="pct"/>
            <w:tcBorders>
              <w:top w:val="single" w:color="auto" w:sz="4" w:space="0"/>
              <w:left w:val="single" w:color="auto" w:sz="4" w:space="0"/>
              <w:bottom w:val="single" w:color="auto" w:sz="4" w:space="0"/>
              <w:right w:val="single" w:color="auto" w:sz="4" w:space="0"/>
            </w:tcBorders>
            <w:vAlign w:val="center"/>
          </w:tcPr>
          <w:p w14:paraId="034ACEF4">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45C2C9DA">
            <w:pPr>
              <w:jc w:val="center"/>
              <w:rPr>
                <w:rFonts w:ascii="Times New Roman"/>
                <w:kern w:val="0"/>
                <w:sz w:val="21"/>
                <w:szCs w:val="21"/>
              </w:rPr>
            </w:pPr>
          </w:p>
        </w:tc>
      </w:tr>
      <w:tr w14:paraId="63F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E2DF593">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57A32E0A">
            <w:pPr>
              <w:jc w:val="center"/>
              <w:rPr>
                <w:rFonts w:ascii="Times New Roman"/>
                <w:sz w:val="21"/>
                <w:szCs w:val="21"/>
              </w:rPr>
            </w:pPr>
            <w:r>
              <w:rPr>
                <w:rFonts w:ascii="Times New Roman"/>
                <w:sz w:val="21"/>
                <w:szCs w:val="21"/>
              </w:rPr>
              <w:t>苯</w:t>
            </w:r>
          </w:p>
        </w:tc>
        <w:tc>
          <w:tcPr>
            <w:tcW w:w="612" w:type="pct"/>
            <w:tcBorders>
              <w:top w:val="single" w:color="auto" w:sz="4" w:space="0"/>
              <w:left w:val="single" w:color="auto" w:sz="4" w:space="0"/>
              <w:bottom w:val="single" w:color="auto" w:sz="4" w:space="0"/>
              <w:right w:val="single" w:color="auto" w:sz="4" w:space="0"/>
            </w:tcBorders>
            <w:vAlign w:val="center"/>
          </w:tcPr>
          <w:p w14:paraId="217D6D37">
            <w:pPr>
              <w:jc w:val="center"/>
              <w:rPr>
                <w:rFonts w:ascii="Times New Roman"/>
                <w:sz w:val="21"/>
                <w:szCs w:val="21"/>
              </w:rPr>
            </w:pPr>
            <w:r>
              <w:rPr>
                <w:rFonts w:ascii="Times New Roman"/>
                <w:sz w:val="21"/>
                <w:szCs w:val="21"/>
              </w:rPr>
              <w:t>4</w:t>
            </w:r>
          </w:p>
        </w:tc>
        <w:tc>
          <w:tcPr>
            <w:tcW w:w="679" w:type="pct"/>
            <w:tcBorders>
              <w:top w:val="single" w:color="auto" w:sz="4" w:space="0"/>
              <w:left w:val="single" w:color="auto" w:sz="4" w:space="0"/>
              <w:bottom w:val="single" w:color="auto" w:sz="4" w:space="0"/>
              <w:right w:val="single" w:color="auto" w:sz="4" w:space="0"/>
            </w:tcBorders>
            <w:vAlign w:val="center"/>
          </w:tcPr>
          <w:p w14:paraId="055934B7">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31CAF866">
            <w:pPr>
              <w:jc w:val="center"/>
              <w:rPr>
                <w:rFonts w:ascii="Times New Roman"/>
                <w:kern w:val="0"/>
                <w:sz w:val="21"/>
                <w:szCs w:val="21"/>
              </w:rPr>
            </w:pPr>
          </w:p>
        </w:tc>
      </w:tr>
      <w:tr w14:paraId="67C9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24ED26D3">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3209C9F0">
            <w:pPr>
              <w:jc w:val="center"/>
              <w:rPr>
                <w:rFonts w:ascii="Times New Roman"/>
                <w:sz w:val="21"/>
                <w:szCs w:val="21"/>
              </w:rPr>
            </w:pPr>
            <w:r>
              <w:rPr>
                <w:rFonts w:ascii="Times New Roman"/>
                <w:sz w:val="21"/>
                <w:szCs w:val="21"/>
              </w:rPr>
              <w:t>氯苯</w:t>
            </w:r>
          </w:p>
        </w:tc>
        <w:tc>
          <w:tcPr>
            <w:tcW w:w="612" w:type="pct"/>
            <w:tcBorders>
              <w:top w:val="single" w:color="auto" w:sz="4" w:space="0"/>
              <w:left w:val="single" w:color="auto" w:sz="4" w:space="0"/>
              <w:bottom w:val="single" w:color="auto" w:sz="4" w:space="0"/>
              <w:right w:val="single" w:color="auto" w:sz="4" w:space="0"/>
            </w:tcBorders>
            <w:vAlign w:val="center"/>
          </w:tcPr>
          <w:p w14:paraId="3AF6E9D2">
            <w:pPr>
              <w:jc w:val="center"/>
              <w:rPr>
                <w:rFonts w:ascii="Times New Roman"/>
                <w:sz w:val="21"/>
                <w:szCs w:val="21"/>
              </w:rPr>
            </w:pPr>
            <w:r>
              <w:rPr>
                <w:rFonts w:ascii="Times New Roman"/>
                <w:sz w:val="21"/>
                <w:szCs w:val="21"/>
              </w:rPr>
              <w:t>270</w:t>
            </w:r>
          </w:p>
        </w:tc>
        <w:tc>
          <w:tcPr>
            <w:tcW w:w="679" w:type="pct"/>
            <w:tcBorders>
              <w:top w:val="single" w:color="auto" w:sz="4" w:space="0"/>
              <w:left w:val="single" w:color="auto" w:sz="4" w:space="0"/>
              <w:bottom w:val="single" w:color="auto" w:sz="4" w:space="0"/>
              <w:right w:val="single" w:color="auto" w:sz="4" w:space="0"/>
            </w:tcBorders>
            <w:vAlign w:val="center"/>
          </w:tcPr>
          <w:p w14:paraId="722EE259">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1128B27">
            <w:pPr>
              <w:jc w:val="center"/>
              <w:rPr>
                <w:rFonts w:ascii="Times New Roman"/>
                <w:kern w:val="0"/>
                <w:sz w:val="21"/>
                <w:szCs w:val="21"/>
              </w:rPr>
            </w:pPr>
          </w:p>
        </w:tc>
      </w:tr>
      <w:tr w14:paraId="16A8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325847DB">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73544723">
            <w:pPr>
              <w:jc w:val="center"/>
              <w:rPr>
                <w:rFonts w:ascii="Times New Roman"/>
                <w:sz w:val="21"/>
                <w:szCs w:val="21"/>
              </w:rPr>
            </w:pPr>
            <w:r>
              <w:rPr>
                <w:rFonts w:ascii="Times New Roman"/>
                <w:sz w:val="21"/>
                <w:szCs w:val="21"/>
              </w:rPr>
              <w:t>1，2-二氯苯</w:t>
            </w:r>
          </w:p>
        </w:tc>
        <w:tc>
          <w:tcPr>
            <w:tcW w:w="612" w:type="pct"/>
            <w:tcBorders>
              <w:top w:val="single" w:color="auto" w:sz="4" w:space="0"/>
              <w:left w:val="single" w:color="auto" w:sz="4" w:space="0"/>
              <w:bottom w:val="single" w:color="auto" w:sz="4" w:space="0"/>
              <w:right w:val="single" w:color="auto" w:sz="4" w:space="0"/>
            </w:tcBorders>
            <w:vAlign w:val="center"/>
          </w:tcPr>
          <w:p w14:paraId="20591BF8">
            <w:pPr>
              <w:jc w:val="center"/>
              <w:rPr>
                <w:rFonts w:ascii="Times New Roman"/>
                <w:sz w:val="21"/>
                <w:szCs w:val="21"/>
              </w:rPr>
            </w:pPr>
            <w:r>
              <w:rPr>
                <w:rFonts w:ascii="Times New Roman"/>
                <w:sz w:val="21"/>
                <w:szCs w:val="21"/>
              </w:rPr>
              <w:t>560</w:t>
            </w:r>
          </w:p>
        </w:tc>
        <w:tc>
          <w:tcPr>
            <w:tcW w:w="679" w:type="pct"/>
            <w:tcBorders>
              <w:top w:val="single" w:color="auto" w:sz="4" w:space="0"/>
              <w:left w:val="single" w:color="auto" w:sz="4" w:space="0"/>
              <w:bottom w:val="single" w:color="auto" w:sz="4" w:space="0"/>
              <w:right w:val="single" w:color="auto" w:sz="4" w:space="0"/>
            </w:tcBorders>
            <w:vAlign w:val="center"/>
          </w:tcPr>
          <w:p w14:paraId="0933A7E1">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1A8B2CA9">
            <w:pPr>
              <w:jc w:val="center"/>
              <w:rPr>
                <w:rFonts w:ascii="Times New Roman"/>
                <w:kern w:val="0"/>
                <w:sz w:val="21"/>
                <w:szCs w:val="21"/>
              </w:rPr>
            </w:pPr>
          </w:p>
        </w:tc>
      </w:tr>
      <w:tr w14:paraId="2093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C9F226C">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4CB92F17">
            <w:pPr>
              <w:jc w:val="center"/>
              <w:rPr>
                <w:rFonts w:ascii="Times New Roman"/>
                <w:sz w:val="21"/>
                <w:szCs w:val="21"/>
              </w:rPr>
            </w:pPr>
            <w:r>
              <w:rPr>
                <w:rFonts w:ascii="Times New Roman"/>
                <w:sz w:val="21"/>
                <w:szCs w:val="21"/>
              </w:rPr>
              <w:t>1，4-二氯苯</w:t>
            </w:r>
          </w:p>
        </w:tc>
        <w:tc>
          <w:tcPr>
            <w:tcW w:w="612" w:type="pct"/>
            <w:tcBorders>
              <w:top w:val="single" w:color="auto" w:sz="4" w:space="0"/>
              <w:left w:val="single" w:color="auto" w:sz="4" w:space="0"/>
              <w:bottom w:val="single" w:color="auto" w:sz="4" w:space="0"/>
              <w:right w:val="single" w:color="auto" w:sz="4" w:space="0"/>
            </w:tcBorders>
            <w:vAlign w:val="center"/>
          </w:tcPr>
          <w:p w14:paraId="1CF17303">
            <w:pPr>
              <w:jc w:val="center"/>
              <w:rPr>
                <w:rFonts w:ascii="Times New Roman"/>
                <w:sz w:val="21"/>
                <w:szCs w:val="21"/>
              </w:rPr>
            </w:pPr>
            <w:r>
              <w:rPr>
                <w:rFonts w:ascii="Times New Roman"/>
                <w:sz w:val="21"/>
                <w:szCs w:val="21"/>
              </w:rPr>
              <w:t>20</w:t>
            </w:r>
          </w:p>
        </w:tc>
        <w:tc>
          <w:tcPr>
            <w:tcW w:w="679" w:type="pct"/>
            <w:tcBorders>
              <w:top w:val="single" w:color="auto" w:sz="4" w:space="0"/>
              <w:left w:val="single" w:color="auto" w:sz="4" w:space="0"/>
              <w:bottom w:val="single" w:color="auto" w:sz="4" w:space="0"/>
              <w:right w:val="single" w:color="auto" w:sz="4" w:space="0"/>
            </w:tcBorders>
            <w:vAlign w:val="center"/>
          </w:tcPr>
          <w:p w14:paraId="57C2BA71">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3E60CB05">
            <w:pPr>
              <w:jc w:val="center"/>
              <w:rPr>
                <w:rFonts w:ascii="Times New Roman"/>
                <w:kern w:val="0"/>
                <w:sz w:val="21"/>
                <w:szCs w:val="21"/>
              </w:rPr>
            </w:pPr>
          </w:p>
        </w:tc>
      </w:tr>
      <w:tr w14:paraId="3A08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297374B0">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19B73342">
            <w:pPr>
              <w:jc w:val="center"/>
              <w:rPr>
                <w:rFonts w:ascii="Times New Roman"/>
                <w:sz w:val="21"/>
                <w:szCs w:val="21"/>
              </w:rPr>
            </w:pPr>
            <w:r>
              <w:rPr>
                <w:rFonts w:ascii="Times New Roman"/>
                <w:sz w:val="21"/>
                <w:szCs w:val="21"/>
              </w:rPr>
              <w:t>乙苯</w:t>
            </w:r>
          </w:p>
        </w:tc>
        <w:tc>
          <w:tcPr>
            <w:tcW w:w="612" w:type="pct"/>
            <w:tcBorders>
              <w:top w:val="single" w:color="auto" w:sz="4" w:space="0"/>
              <w:left w:val="single" w:color="auto" w:sz="4" w:space="0"/>
              <w:bottom w:val="single" w:color="auto" w:sz="4" w:space="0"/>
              <w:right w:val="single" w:color="auto" w:sz="4" w:space="0"/>
            </w:tcBorders>
            <w:vAlign w:val="center"/>
          </w:tcPr>
          <w:p w14:paraId="31EAFCE9">
            <w:pPr>
              <w:jc w:val="center"/>
              <w:rPr>
                <w:rFonts w:ascii="Times New Roman"/>
                <w:sz w:val="21"/>
                <w:szCs w:val="21"/>
              </w:rPr>
            </w:pPr>
            <w:r>
              <w:rPr>
                <w:rFonts w:ascii="Times New Roman"/>
                <w:sz w:val="21"/>
                <w:szCs w:val="21"/>
              </w:rPr>
              <w:t>28</w:t>
            </w:r>
          </w:p>
        </w:tc>
        <w:tc>
          <w:tcPr>
            <w:tcW w:w="679" w:type="pct"/>
            <w:tcBorders>
              <w:top w:val="single" w:color="auto" w:sz="4" w:space="0"/>
              <w:left w:val="single" w:color="auto" w:sz="4" w:space="0"/>
              <w:bottom w:val="single" w:color="auto" w:sz="4" w:space="0"/>
              <w:right w:val="single" w:color="auto" w:sz="4" w:space="0"/>
            </w:tcBorders>
            <w:vAlign w:val="center"/>
          </w:tcPr>
          <w:p w14:paraId="278C47C5">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48174C5D">
            <w:pPr>
              <w:jc w:val="center"/>
              <w:rPr>
                <w:rFonts w:ascii="Times New Roman"/>
                <w:kern w:val="0"/>
                <w:sz w:val="21"/>
                <w:szCs w:val="21"/>
              </w:rPr>
            </w:pPr>
          </w:p>
        </w:tc>
      </w:tr>
      <w:tr w14:paraId="3D61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26A502D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51A01D64">
            <w:pPr>
              <w:jc w:val="center"/>
              <w:rPr>
                <w:rFonts w:ascii="Times New Roman"/>
                <w:sz w:val="21"/>
                <w:szCs w:val="21"/>
              </w:rPr>
            </w:pPr>
            <w:r>
              <w:rPr>
                <w:rFonts w:ascii="Times New Roman"/>
                <w:sz w:val="21"/>
                <w:szCs w:val="21"/>
              </w:rPr>
              <w:t>苯乙烯</w:t>
            </w:r>
          </w:p>
        </w:tc>
        <w:tc>
          <w:tcPr>
            <w:tcW w:w="612" w:type="pct"/>
            <w:tcBorders>
              <w:top w:val="single" w:color="auto" w:sz="4" w:space="0"/>
              <w:left w:val="single" w:color="auto" w:sz="4" w:space="0"/>
              <w:bottom w:val="single" w:color="auto" w:sz="4" w:space="0"/>
              <w:right w:val="single" w:color="auto" w:sz="4" w:space="0"/>
            </w:tcBorders>
            <w:vAlign w:val="center"/>
          </w:tcPr>
          <w:p w14:paraId="50D88E75">
            <w:pPr>
              <w:jc w:val="center"/>
              <w:rPr>
                <w:rFonts w:ascii="Times New Roman"/>
                <w:sz w:val="21"/>
                <w:szCs w:val="21"/>
              </w:rPr>
            </w:pPr>
            <w:r>
              <w:rPr>
                <w:rFonts w:ascii="Times New Roman"/>
                <w:sz w:val="21"/>
                <w:szCs w:val="21"/>
              </w:rPr>
              <w:t>1290</w:t>
            </w:r>
          </w:p>
        </w:tc>
        <w:tc>
          <w:tcPr>
            <w:tcW w:w="679" w:type="pct"/>
            <w:tcBorders>
              <w:top w:val="single" w:color="auto" w:sz="4" w:space="0"/>
              <w:left w:val="single" w:color="auto" w:sz="4" w:space="0"/>
              <w:bottom w:val="single" w:color="auto" w:sz="4" w:space="0"/>
              <w:right w:val="single" w:color="auto" w:sz="4" w:space="0"/>
            </w:tcBorders>
            <w:vAlign w:val="center"/>
          </w:tcPr>
          <w:p w14:paraId="6A680D7C">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A170662">
            <w:pPr>
              <w:jc w:val="center"/>
              <w:rPr>
                <w:rFonts w:ascii="Times New Roman"/>
                <w:kern w:val="0"/>
                <w:sz w:val="21"/>
                <w:szCs w:val="21"/>
              </w:rPr>
            </w:pPr>
          </w:p>
        </w:tc>
      </w:tr>
      <w:tr w14:paraId="7EF9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33DEDBBE">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74DB43DF">
            <w:pPr>
              <w:jc w:val="center"/>
              <w:rPr>
                <w:rFonts w:ascii="Times New Roman"/>
                <w:sz w:val="21"/>
                <w:szCs w:val="21"/>
              </w:rPr>
            </w:pPr>
            <w:r>
              <w:rPr>
                <w:rFonts w:ascii="Times New Roman"/>
                <w:sz w:val="21"/>
                <w:szCs w:val="21"/>
              </w:rPr>
              <w:t>甲苯</w:t>
            </w:r>
          </w:p>
        </w:tc>
        <w:tc>
          <w:tcPr>
            <w:tcW w:w="612" w:type="pct"/>
            <w:tcBorders>
              <w:top w:val="single" w:color="auto" w:sz="4" w:space="0"/>
              <w:left w:val="single" w:color="auto" w:sz="4" w:space="0"/>
              <w:bottom w:val="single" w:color="auto" w:sz="4" w:space="0"/>
              <w:right w:val="single" w:color="auto" w:sz="4" w:space="0"/>
            </w:tcBorders>
            <w:vAlign w:val="center"/>
          </w:tcPr>
          <w:p w14:paraId="0FEA0C50">
            <w:pPr>
              <w:jc w:val="center"/>
              <w:rPr>
                <w:rFonts w:ascii="Times New Roman"/>
                <w:sz w:val="21"/>
                <w:szCs w:val="21"/>
              </w:rPr>
            </w:pPr>
            <w:r>
              <w:rPr>
                <w:rFonts w:ascii="Times New Roman"/>
                <w:sz w:val="21"/>
                <w:szCs w:val="21"/>
              </w:rPr>
              <w:t>1200</w:t>
            </w:r>
          </w:p>
        </w:tc>
        <w:tc>
          <w:tcPr>
            <w:tcW w:w="679" w:type="pct"/>
            <w:tcBorders>
              <w:top w:val="single" w:color="auto" w:sz="4" w:space="0"/>
              <w:left w:val="single" w:color="auto" w:sz="4" w:space="0"/>
              <w:bottom w:val="single" w:color="auto" w:sz="4" w:space="0"/>
              <w:right w:val="single" w:color="auto" w:sz="4" w:space="0"/>
            </w:tcBorders>
            <w:vAlign w:val="center"/>
          </w:tcPr>
          <w:p w14:paraId="7E549DE0">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1057E4D">
            <w:pPr>
              <w:jc w:val="center"/>
              <w:rPr>
                <w:rFonts w:ascii="Times New Roman"/>
                <w:kern w:val="0"/>
                <w:sz w:val="21"/>
                <w:szCs w:val="21"/>
              </w:rPr>
            </w:pPr>
          </w:p>
        </w:tc>
      </w:tr>
      <w:tr w14:paraId="0509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2105E120">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076C0ACB">
            <w:pPr>
              <w:jc w:val="center"/>
              <w:rPr>
                <w:rFonts w:ascii="Times New Roman"/>
                <w:sz w:val="21"/>
                <w:szCs w:val="21"/>
              </w:rPr>
            </w:pPr>
            <w:r>
              <w:rPr>
                <w:rFonts w:ascii="Times New Roman"/>
                <w:sz w:val="21"/>
                <w:szCs w:val="21"/>
              </w:rPr>
              <w:t>间二甲苯+对二甲苯</w:t>
            </w:r>
          </w:p>
        </w:tc>
        <w:tc>
          <w:tcPr>
            <w:tcW w:w="612" w:type="pct"/>
            <w:tcBorders>
              <w:top w:val="single" w:color="auto" w:sz="4" w:space="0"/>
              <w:left w:val="single" w:color="auto" w:sz="4" w:space="0"/>
              <w:bottom w:val="single" w:color="auto" w:sz="4" w:space="0"/>
              <w:right w:val="single" w:color="auto" w:sz="4" w:space="0"/>
            </w:tcBorders>
            <w:vAlign w:val="center"/>
          </w:tcPr>
          <w:p w14:paraId="7DA9B906">
            <w:pPr>
              <w:jc w:val="center"/>
              <w:rPr>
                <w:rFonts w:ascii="Times New Roman"/>
                <w:sz w:val="21"/>
                <w:szCs w:val="21"/>
              </w:rPr>
            </w:pPr>
            <w:r>
              <w:rPr>
                <w:rFonts w:ascii="Times New Roman"/>
                <w:sz w:val="21"/>
                <w:szCs w:val="21"/>
              </w:rPr>
              <w:t>570</w:t>
            </w:r>
          </w:p>
        </w:tc>
        <w:tc>
          <w:tcPr>
            <w:tcW w:w="679" w:type="pct"/>
            <w:tcBorders>
              <w:top w:val="single" w:color="auto" w:sz="4" w:space="0"/>
              <w:left w:val="single" w:color="auto" w:sz="4" w:space="0"/>
              <w:bottom w:val="single" w:color="auto" w:sz="4" w:space="0"/>
              <w:right w:val="single" w:color="auto" w:sz="4" w:space="0"/>
            </w:tcBorders>
            <w:vAlign w:val="center"/>
          </w:tcPr>
          <w:p w14:paraId="585F2AE4">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68C98493">
            <w:pPr>
              <w:jc w:val="center"/>
              <w:rPr>
                <w:rFonts w:ascii="Times New Roman"/>
                <w:kern w:val="0"/>
                <w:sz w:val="21"/>
                <w:szCs w:val="21"/>
              </w:rPr>
            </w:pPr>
          </w:p>
        </w:tc>
      </w:tr>
      <w:tr w14:paraId="0CB6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7D44CB5">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12931BD8">
            <w:pPr>
              <w:jc w:val="center"/>
              <w:rPr>
                <w:rFonts w:ascii="Times New Roman"/>
                <w:sz w:val="21"/>
                <w:szCs w:val="21"/>
              </w:rPr>
            </w:pPr>
            <w:r>
              <w:rPr>
                <w:rFonts w:ascii="Times New Roman"/>
                <w:sz w:val="21"/>
                <w:szCs w:val="21"/>
              </w:rPr>
              <w:t>邻二甲苯</w:t>
            </w:r>
          </w:p>
        </w:tc>
        <w:tc>
          <w:tcPr>
            <w:tcW w:w="612" w:type="pct"/>
            <w:tcBorders>
              <w:top w:val="single" w:color="auto" w:sz="4" w:space="0"/>
              <w:left w:val="single" w:color="auto" w:sz="4" w:space="0"/>
              <w:bottom w:val="single" w:color="auto" w:sz="4" w:space="0"/>
              <w:right w:val="single" w:color="auto" w:sz="4" w:space="0"/>
            </w:tcBorders>
            <w:vAlign w:val="center"/>
          </w:tcPr>
          <w:p w14:paraId="53F391B6">
            <w:pPr>
              <w:jc w:val="center"/>
              <w:rPr>
                <w:rFonts w:ascii="Times New Roman"/>
                <w:sz w:val="21"/>
                <w:szCs w:val="21"/>
              </w:rPr>
            </w:pPr>
            <w:r>
              <w:rPr>
                <w:rFonts w:ascii="Times New Roman"/>
                <w:sz w:val="21"/>
                <w:szCs w:val="21"/>
              </w:rPr>
              <w:t>640</w:t>
            </w:r>
          </w:p>
        </w:tc>
        <w:tc>
          <w:tcPr>
            <w:tcW w:w="679" w:type="pct"/>
            <w:tcBorders>
              <w:top w:val="single" w:color="auto" w:sz="4" w:space="0"/>
              <w:left w:val="single" w:color="auto" w:sz="4" w:space="0"/>
              <w:bottom w:val="single" w:color="auto" w:sz="4" w:space="0"/>
              <w:right w:val="single" w:color="auto" w:sz="4" w:space="0"/>
            </w:tcBorders>
            <w:vAlign w:val="center"/>
          </w:tcPr>
          <w:p w14:paraId="5A9262EC">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71CF0948">
            <w:pPr>
              <w:jc w:val="center"/>
              <w:rPr>
                <w:rFonts w:ascii="Times New Roman"/>
                <w:kern w:val="0"/>
                <w:sz w:val="21"/>
                <w:szCs w:val="21"/>
              </w:rPr>
            </w:pPr>
          </w:p>
        </w:tc>
      </w:tr>
      <w:tr w14:paraId="36AC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D07595D">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4E4AB0EA">
            <w:pPr>
              <w:jc w:val="center"/>
              <w:rPr>
                <w:rFonts w:ascii="Times New Roman"/>
                <w:sz w:val="21"/>
                <w:szCs w:val="21"/>
              </w:rPr>
            </w:pPr>
            <w:r>
              <w:rPr>
                <w:rFonts w:ascii="Times New Roman"/>
                <w:sz w:val="21"/>
                <w:szCs w:val="21"/>
              </w:rPr>
              <w:t>硝基苯</w:t>
            </w:r>
          </w:p>
        </w:tc>
        <w:tc>
          <w:tcPr>
            <w:tcW w:w="612" w:type="pct"/>
            <w:tcBorders>
              <w:top w:val="single" w:color="auto" w:sz="4" w:space="0"/>
              <w:left w:val="single" w:color="auto" w:sz="4" w:space="0"/>
              <w:bottom w:val="single" w:color="auto" w:sz="4" w:space="0"/>
              <w:right w:val="single" w:color="auto" w:sz="4" w:space="0"/>
            </w:tcBorders>
            <w:vAlign w:val="center"/>
          </w:tcPr>
          <w:p w14:paraId="2EEADD05">
            <w:pPr>
              <w:jc w:val="center"/>
              <w:rPr>
                <w:rFonts w:ascii="Times New Roman"/>
                <w:sz w:val="21"/>
                <w:szCs w:val="21"/>
              </w:rPr>
            </w:pPr>
            <w:r>
              <w:rPr>
                <w:rFonts w:ascii="Times New Roman"/>
                <w:sz w:val="21"/>
                <w:szCs w:val="21"/>
              </w:rPr>
              <w:t>76</w:t>
            </w:r>
          </w:p>
        </w:tc>
        <w:tc>
          <w:tcPr>
            <w:tcW w:w="679" w:type="pct"/>
            <w:tcBorders>
              <w:top w:val="single" w:color="auto" w:sz="4" w:space="0"/>
              <w:left w:val="single" w:color="auto" w:sz="4" w:space="0"/>
              <w:bottom w:val="single" w:color="auto" w:sz="4" w:space="0"/>
              <w:right w:val="single" w:color="auto" w:sz="4" w:space="0"/>
            </w:tcBorders>
            <w:vAlign w:val="center"/>
          </w:tcPr>
          <w:p w14:paraId="1D3CF361">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3533728">
            <w:pPr>
              <w:jc w:val="center"/>
              <w:rPr>
                <w:rFonts w:ascii="Times New Roman"/>
                <w:kern w:val="0"/>
                <w:sz w:val="21"/>
                <w:szCs w:val="21"/>
              </w:rPr>
            </w:pPr>
          </w:p>
        </w:tc>
      </w:tr>
      <w:tr w14:paraId="3158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86AFB56">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2F5030EF">
            <w:pPr>
              <w:jc w:val="center"/>
              <w:rPr>
                <w:rFonts w:ascii="Times New Roman"/>
                <w:sz w:val="21"/>
                <w:szCs w:val="21"/>
              </w:rPr>
            </w:pPr>
            <w:r>
              <w:rPr>
                <w:rFonts w:ascii="Times New Roman"/>
                <w:sz w:val="21"/>
                <w:szCs w:val="21"/>
              </w:rPr>
              <w:t>苯胺</w:t>
            </w:r>
          </w:p>
        </w:tc>
        <w:tc>
          <w:tcPr>
            <w:tcW w:w="612" w:type="pct"/>
            <w:tcBorders>
              <w:top w:val="single" w:color="auto" w:sz="4" w:space="0"/>
              <w:left w:val="single" w:color="auto" w:sz="4" w:space="0"/>
              <w:bottom w:val="single" w:color="auto" w:sz="4" w:space="0"/>
              <w:right w:val="single" w:color="auto" w:sz="4" w:space="0"/>
            </w:tcBorders>
            <w:vAlign w:val="center"/>
          </w:tcPr>
          <w:p w14:paraId="0696B08F">
            <w:pPr>
              <w:jc w:val="center"/>
              <w:rPr>
                <w:rFonts w:ascii="Times New Roman"/>
                <w:sz w:val="21"/>
                <w:szCs w:val="21"/>
              </w:rPr>
            </w:pPr>
            <w:r>
              <w:rPr>
                <w:rFonts w:ascii="Times New Roman"/>
                <w:sz w:val="21"/>
                <w:szCs w:val="21"/>
              </w:rPr>
              <w:t>260</w:t>
            </w:r>
          </w:p>
        </w:tc>
        <w:tc>
          <w:tcPr>
            <w:tcW w:w="679" w:type="pct"/>
            <w:tcBorders>
              <w:top w:val="single" w:color="auto" w:sz="4" w:space="0"/>
              <w:left w:val="single" w:color="auto" w:sz="4" w:space="0"/>
              <w:bottom w:val="single" w:color="auto" w:sz="4" w:space="0"/>
              <w:right w:val="single" w:color="auto" w:sz="4" w:space="0"/>
            </w:tcBorders>
            <w:vAlign w:val="center"/>
          </w:tcPr>
          <w:p w14:paraId="423F85DA">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1C61F59">
            <w:pPr>
              <w:jc w:val="center"/>
              <w:rPr>
                <w:rFonts w:ascii="Times New Roman"/>
                <w:kern w:val="0"/>
                <w:sz w:val="21"/>
                <w:szCs w:val="21"/>
              </w:rPr>
            </w:pPr>
          </w:p>
        </w:tc>
      </w:tr>
      <w:tr w14:paraId="757F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79793F2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022FE6A3">
            <w:pPr>
              <w:jc w:val="center"/>
              <w:rPr>
                <w:rFonts w:ascii="Times New Roman"/>
                <w:sz w:val="21"/>
                <w:szCs w:val="21"/>
              </w:rPr>
            </w:pPr>
            <w:r>
              <w:rPr>
                <w:rFonts w:ascii="Times New Roman"/>
                <w:sz w:val="21"/>
                <w:szCs w:val="21"/>
              </w:rPr>
              <w:t>2-氯酚</w:t>
            </w:r>
          </w:p>
        </w:tc>
        <w:tc>
          <w:tcPr>
            <w:tcW w:w="612" w:type="pct"/>
            <w:tcBorders>
              <w:top w:val="single" w:color="auto" w:sz="4" w:space="0"/>
              <w:left w:val="single" w:color="auto" w:sz="4" w:space="0"/>
              <w:bottom w:val="single" w:color="auto" w:sz="4" w:space="0"/>
              <w:right w:val="single" w:color="auto" w:sz="4" w:space="0"/>
            </w:tcBorders>
            <w:vAlign w:val="center"/>
          </w:tcPr>
          <w:p w14:paraId="10C4DF43">
            <w:pPr>
              <w:jc w:val="center"/>
              <w:rPr>
                <w:rFonts w:ascii="Times New Roman"/>
                <w:sz w:val="21"/>
                <w:szCs w:val="21"/>
              </w:rPr>
            </w:pPr>
            <w:r>
              <w:rPr>
                <w:rFonts w:ascii="Times New Roman"/>
                <w:sz w:val="21"/>
                <w:szCs w:val="21"/>
              </w:rPr>
              <w:t>2256</w:t>
            </w:r>
          </w:p>
        </w:tc>
        <w:tc>
          <w:tcPr>
            <w:tcW w:w="679" w:type="pct"/>
            <w:tcBorders>
              <w:top w:val="single" w:color="auto" w:sz="4" w:space="0"/>
              <w:left w:val="single" w:color="auto" w:sz="4" w:space="0"/>
              <w:bottom w:val="single" w:color="auto" w:sz="4" w:space="0"/>
              <w:right w:val="single" w:color="auto" w:sz="4" w:space="0"/>
            </w:tcBorders>
            <w:vAlign w:val="center"/>
          </w:tcPr>
          <w:p w14:paraId="7FD54E08">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2C9319C6">
            <w:pPr>
              <w:jc w:val="center"/>
              <w:rPr>
                <w:rFonts w:ascii="Times New Roman"/>
                <w:kern w:val="0"/>
                <w:sz w:val="21"/>
                <w:szCs w:val="21"/>
              </w:rPr>
            </w:pPr>
          </w:p>
        </w:tc>
      </w:tr>
      <w:tr w14:paraId="5C63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5A55F12D">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450CC6C9">
            <w:pPr>
              <w:jc w:val="center"/>
              <w:rPr>
                <w:rFonts w:ascii="Times New Roman"/>
                <w:sz w:val="21"/>
                <w:szCs w:val="21"/>
              </w:rPr>
            </w:pPr>
            <w:r>
              <w:rPr>
                <w:rFonts w:ascii="Times New Roman"/>
                <w:sz w:val="21"/>
                <w:szCs w:val="21"/>
              </w:rPr>
              <w:t>苯并［a］蒽</w:t>
            </w:r>
          </w:p>
        </w:tc>
        <w:tc>
          <w:tcPr>
            <w:tcW w:w="612" w:type="pct"/>
            <w:tcBorders>
              <w:top w:val="single" w:color="auto" w:sz="4" w:space="0"/>
              <w:left w:val="single" w:color="auto" w:sz="4" w:space="0"/>
              <w:bottom w:val="single" w:color="auto" w:sz="4" w:space="0"/>
              <w:right w:val="single" w:color="auto" w:sz="4" w:space="0"/>
            </w:tcBorders>
            <w:vAlign w:val="center"/>
          </w:tcPr>
          <w:p w14:paraId="0F643BFA">
            <w:pPr>
              <w:jc w:val="center"/>
              <w:rPr>
                <w:rFonts w:ascii="Times New Roman"/>
                <w:sz w:val="21"/>
                <w:szCs w:val="21"/>
              </w:rPr>
            </w:pPr>
            <w:r>
              <w:rPr>
                <w:rFonts w:ascii="Times New Roman"/>
                <w:sz w:val="21"/>
                <w:szCs w:val="21"/>
              </w:rPr>
              <w:t>15</w:t>
            </w:r>
          </w:p>
        </w:tc>
        <w:tc>
          <w:tcPr>
            <w:tcW w:w="679" w:type="pct"/>
            <w:tcBorders>
              <w:top w:val="single" w:color="auto" w:sz="4" w:space="0"/>
              <w:left w:val="single" w:color="auto" w:sz="4" w:space="0"/>
              <w:bottom w:val="single" w:color="auto" w:sz="4" w:space="0"/>
              <w:right w:val="single" w:color="auto" w:sz="4" w:space="0"/>
            </w:tcBorders>
            <w:vAlign w:val="center"/>
          </w:tcPr>
          <w:p w14:paraId="628D78F8">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17C32F13">
            <w:pPr>
              <w:jc w:val="center"/>
              <w:rPr>
                <w:rFonts w:ascii="Times New Roman"/>
                <w:kern w:val="0"/>
                <w:sz w:val="21"/>
                <w:szCs w:val="21"/>
              </w:rPr>
            </w:pPr>
          </w:p>
        </w:tc>
      </w:tr>
      <w:tr w14:paraId="6C29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3930F78A">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7ECE8EAC">
            <w:pPr>
              <w:jc w:val="center"/>
              <w:rPr>
                <w:rFonts w:ascii="Times New Roman"/>
                <w:sz w:val="21"/>
                <w:szCs w:val="21"/>
              </w:rPr>
            </w:pPr>
            <w:r>
              <w:rPr>
                <w:rFonts w:ascii="Times New Roman"/>
                <w:sz w:val="21"/>
                <w:szCs w:val="21"/>
              </w:rPr>
              <w:t>苯并［a］芘</w:t>
            </w:r>
          </w:p>
        </w:tc>
        <w:tc>
          <w:tcPr>
            <w:tcW w:w="612" w:type="pct"/>
            <w:tcBorders>
              <w:top w:val="single" w:color="auto" w:sz="4" w:space="0"/>
              <w:left w:val="single" w:color="auto" w:sz="4" w:space="0"/>
              <w:bottom w:val="single" w:color="auto" w:sz="4" w:space="0"/>
              <w:right w:val="single" w:color="auto" w:sz="4" w:space="0"/>
            </w:tcBorders>
            <w:vAlign w:val="center"/>
          </w:tcPr>
          <w:p w14:paraId="0D6B1D9D">
            <w:pPr>
              <w:jc w:val="center"/>
              <w:rPr>
                <w:rFonts w:ascii="Times New Roman"/>
                <w:sz w:val="21"/>
                <w:szCs w:val="21"/>
              </w:rPr>
            </w:pPr>
            <w:r>
              <w:rPr>
                <w:rFonts w:ascii="Times New Roman"/>
                <w:sz w:val="21"/>
                <w:szCs w:val="21"/>
              </w:rPr>
              <w:t>1.5</w:t>
            </w:r>
          </w:p>
        </w:tc>
        <w:tc>
          <w:tcPr>
            <w:tcW w:w="679" w:type="pct"/>
            <w:tcBorders>
              <w:top w:val="single" w:color="auto" w:sz="4" w:space="0"/>
              <w:left w:val="single" w:color="auto" w:sz="4" w:space="0"/>
              <w:bottom w:val="single" w:color="auto" w:sz="4" w:space="0"/>
              <w:right w:val="single" w:color="auto" w:sz="4" w:space="0"/>
            </w:tcBorders>
            <w:vAlign w:val="center"/>
          </w:tcPr>
          <w:p w14:paraId="24D2CDF3">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0EE1515C">
            <w:pPr>
              <w:jc w:val="center"/>
              <w:rPr>
                <w:rFonts w:ascii="Times New Roman"/>
                <w:kern w:val="0"/>
                <w:sz w:val="21"/>
                <w:szCs w:val="21"/>
              </w:rPr>
            </w:pPr>
          </w:p>
        </w:tc>
      </w:tr>
      <w:tr w14:paraId="4E13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405A2D72">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0378A07C">
            <w:pPr>
              <w:jc w:val="center"/>
              <w:rPr>
                <w:rFonts w:ascii="Times New Roman"/>
                <w:sz w:val="21"/>
                <w:szCs w:val="21"/>
              </w:rPr>
            </w:pPr>
            <w:r>
              <w:rPr>
                <w:rFonts w:ascii="Times New Roman"/>
                <w:sz w:val="21"/>
                <w:szCs w:val="21"/>
              </w:rPr>
              <w:t>苯并［b］荧蒽</w:t>
            </w:r>
          </w:p>
        </w:tc>
        <w:tc>
          <w:tcPr>
            <w:tcW w:w="612" w:type="pct"/>
            <w:tcBorders>
              <w:top w:val="single" w:color="auto" w:sz="4" w:space="0"/>
              <w:left w:val="single" w:color="auto" w:sz="4" w:space="0"/>
              <w:bottom w:val="single" w:color="auto" w:sz="4" w:space="0"/>
              <w:right w:val="single" w:color="auto" w:sz="4" w:space="0"/>
            </w:tcBorders>
            <w:vAlign w:val="center"/>
          </w:tcPr>
          <w:p w14:paraId="4D87FD32">
            <w:pPr>
              <w:jc w:val="center"/>
              <w:rPr>
                <w:rFonts w:ascii="Times New Roman"/>
                <w:sz w:val="21"/>
                <w:szCs w:val="21"/>
              </w:rPr>
            </w:pPr>
            <w:r>
              <w:rPr>
                <w:rFonts w:ascii="Times New Roman"/>
                <w:sz w:val="21"/>
                <w:szCs w:val="21"/>
              </w:rPr>
              <w:t>15</w:t>
            </w:r>
          </w:p>
        </w:tc>
        <w:tc>
          <w:tcPr>
            <w:tcW w:w="679" w:type="pct"/>
            <w:tcBorders>
              <w:top w:val="single" w:color="auto" w:sz="4" w:space="0"/>
              <w:left w:val="single" w:color="auto" w:sz="4" w:space="0"/>
              <w:bottom w:val="single" w:color="auto" w:sz="4" w:space="0"/>
              <w:right w:val="single" w:color="auto" w:sz="4" w:space="0"/>
            </w:tcBorders>
            <w:vAlign w:val="center"/>
          </w:tcPr>
          <w:p w14:paraId="0F3AD00A">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118B8BFA">
            <w:pPr>
              <w:jc w:val="center"/>
              <w:rPr>
                <w:rFonts w:ascii="Times New Roman"/>
                <w:kern w:val="0"/>
                <w:sz w:val="21"/>
                <w:szCs w:val="21"/>
              </w:rPr>
            </w:pPr>
          </w:p>
        </w:tc>
      </w:tr>
      <w:tr w14:paraId="06EC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417A0910">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0747E1B7">
            <w:pPr>
              <w:jc w:val="center"/>
              <w:rPr>
                <w:rFonts w:ascii="Times New Roman"/>
                <w:sz w:val="21"/>
                <w:szCs w:val="21"/>
              </w:rPr>
            </w:pPr>
            <w:r>
              <w:rPr>
                <w:rFonts w:ascii="Times New Roman"/>
                <w:sz w:val="21"/>
                <w:szCs w:val="21"/>
              </w:rPr>
              <w:t>苯并［k］荧蒽</w:t>
            </w:r>
          </w:p>
        </w:tc>
        <w:tc>
          <w:tcPr>
            <w:tcW w:w="612" w:type="pct"/>
            <w:tcBorders>
              <w:top w:val="single" w:color="auto" w:sz="4" w:space="0"/>
              <w:left w:val="single" w:color="auto" w:sz="4" w:space="0"/>
              <w:bottom w:val="single" w:color="auto" w:sz="4" w:space="0"/>
              <w:right w:val="single" w:color="auto" w:sz="4" w:space="0"/>
            </w:tcBorders>
            <w:vAlign w:val="center"/>
          </w:tcPr>
          <w:p w14:paraId="443BE449">
            <w:pPr>
              <w:jc w:val="center"/>
              <w:rPr>
                <w:rFonts w:ascii="Times New Roman"/>
                <w:sz w:val="21"/>
                <w:szCs w:val="21"/>
              </w:rPr>
            </w:pPr>
            <w:r>
              <w:rPr>
                <w:rFonts w:ascii="Times New Roman"/>
                <w:sz w:val="21"/>
                <w:szCs w:val="21"/>
              </w:rPr>
              <w:t>151</w:t>
            </w:r>
          </w:p>
        </w:tc>
        <w:tc>
          <w:tcPr>
            <w:tcW w:w="679" w:type="pct"/>
            <w:tcBorders>
              <w:top w:val="single" w:color="auto" w:sz="4" w:space="0"/>
              <w:left w:val="single" w:color="auto" w:sz="4" w:space="0"/>
              <w:bottom w:val="single" w:color="auto" w:sz="4" w:space="0"/>
              <w:right w:val="single" w:color="auto" w:sz="4" w:space="0"/>
            </w:tcBorders>
            <w:vAlign w:val="center"/>
          </w:tcPr>
          <w:p w14:paraId="30ABD591">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6D7A16D0">
            <w:pPr>
              <w:jc w:val="center"/>
              <w:rPr>
                <w:rFonts w:ascii="Times New Roman"/>
                <w:kern w:val="0"/>
                <w:sz w:val="21"/>
                <w:szCs w:val="21"/>
              </w:rPr>
            </w:pPr>
          </w:p>
        </w:tc>
      </w:tr>
      <w:tr w14:paraId="0B88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426D753">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2B94FE96">
            <w:pPr>
              <w:jc w:val="center"/>
              <w:rPr>
                <w:rFonts w:ascii="Times New Roman"/>
                <w:sz w:val="21"/>
                <w:szCs w:val="21"/>
              </w:rPr>
            </w:pPr>
            <w:r>
              <w:rPr>
                <w:rFonts w:ascii="Times New Roman"/>
                <w:sz w:val="21"/>
                <w:szCs w:val="21"/>
              </w:rPr>
              <w:t>䓛</w:t>
            </w:r>
          </w:p>
        </w:tc>
        <w:tc>
          <w:tcPr>
            <w:tcW w:w="612" w:type="pct"/>
            <w:tcBorders>
              <w:top w:val="single" w:color="auto" w:sz="4" w:space="0"/>
              <w:left w:val="single" w:color="auto" w:sz="4" w:space="0"/>
              <w:bottom w:val="single" w:color="auto" w:sz="4" w:space="0"/>
              <w:right w:val="single" w:color="auto" w:sz="4" w:space="0"/>
            </w:tcBorders>
            <w:vAlign w:val="center"/>
          </w:tcPr>
          <w:p w14:paraId="6FEF1A5F">
            <w:pPr>
              <w:jc w:val="center"/>
              <w:rPr>
                <w:rFonts w:ascii="Times New Roman"/>
                <w:sz w:val="21"/>
                <w:szCs w:val="21"/>
              </w:rPr>
            </w:pPr>
            <w:r>
              <w:rPr>
                <w:rFonts w:ascii="Times New Roman"/>
                <w:sz w:val="21"/>
                <w:szCs w:val="21"/>
              </w:rPr>
              <w:t>1293</w:t>
            </w:r>
          </w:p>
        </w:tc>
        <w:tc>
          <w:tcPr>
            <w:tcW w:w="679" w:type="pct"/>
            <w:tcBorders>
              <w:top w:val="single" w:color="auto" w:sz="4" w:space="0"/>
              <w:left w:val="single" w:color="auto" w:sz="4" w:space="0"/>
              <w:bottom w:val="single" w:color="auto" w:sz="4" w:space="0"/>
              <w:right w:val="single" w:color="auto" w:sz="4" w:space="0"/>
            </w:tcBorders>
            <w:vAlign w:val="center"/>
          </w:tcPr>
          <w:p w14:paraId="1202EDE3">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79B40791">
            <w:pPr>
              <w:jc w:val="center"/>
              <w:rPr>
                <w:rFonts w:ascii="Times New Roman"/>
                <w:kern w:val="0"/>
                <w:sz w:val="21"/>
                <w:szCs w:val="21"/>
              </w:rPr>
            </w:pPr>
          </w:p>
        </w:tc>
      </w:tr>
      <w:tr w14:paraId="78E8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0D4E7F83">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6497503A">
            <w:pPr>
              <w:jc w:val="center"/>
              <w:rPr>
                <w:rFonts w:ascii="Times New Roman"/>
                <w:sz w:val="21"/>
                <w:szCs w:val="21"/>
              </w:rPr>
            </w:pPr>
            <w:r>
              <w:rPr>
                <w:rFonts w:ascii="Times New Roman"/>
                <w:sz w:val="21"/>
                <w:szCs w:val="21"/>
              </w:rPr>
              <w:t>二苯并［a、h］蒽</w:t>
            </w:r>
          </w:p>
        </w:tc>
        <w:tc>
          <w:tcPr>
            <w:tcW w:w="612" w:type="pct"/>
            <w:tcBorders>
              <w:top w:val="single" w:color="auto" w:sz="4" w:space="0"/>
              <w:left w:val="single" w:color="auto" w:sz="4" w:space="0"/>
              <w:bottom w:val="single" w:color="auto" w:sz="4" w:space="0"/>
              <w:right w:val="single" w:color="auto" w:sz="4" w:space="0"/>
            </w:tcBorders>
            <w:vAlign w:val="center"/>
          </w:tcPr>
          <w:p w14:paraId="260676F9">
            <w:pPr>
              <w:jc w:val="center"/>
              <w:rPr>
                <w:rFonts w:ascii="Times New Roman"/>
                <w:sz w:val="21"/>
                <w:szCs w:val="21"/>
              </w:rPr>
            </w:pPr>
            <w:r>
              <w:rPr>
                <w:rFonts w:ascii="Times New Roman"/>
                <w:sz w:val="21"/>
                <w:szCs w:val="21"/>
              </w:rPr>
              <w:t>1.5</w:t>
            </w:r>
          </w:p>
        </w:tc>
        <w:tc>
          <w:tcPr>
            <w:tcW w:w="679" w:type="pct"/>
            <w:tcBorders>
              <w:top w:val="single" w:color="auto" w:sz="4" w:space="0"/>
              <w:left w:val="single" w:color="auto" w:sz="4" w:space="0"/>
              <w:bottom w:val="single" w:color="auto" w:sz="4" w:space="0"/>
              <w:right w:val="single" w:color="auto" w:sz="4" w:space="0"/>
            </w:tcBorders>
            <w:vAlign w:val="center"/>
          </w:tcPr>
          <w:p w14:paraId="31D8DC25">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3EBA1CC">
            <w:pPr>
              <w:jc w:val="center"/>
              <w:rPr>
                <w:rFonts w:ascii="Times New Roman"/>
                <w:kern w:val="0"/>
                <w:sz w:val="21"/>
                <w:szCs w:val="21"/>
              </w:rPr>
            </w:pPr>
          </w:p>
        </w:tc>
      </w:tr>
      <w:tr w14:paraId="6A45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1EC3BE1F">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6B3F7EFB">
            <w:pPr>
              <w:jc w:val="center"/>
              <w:rPr>
                <w:rFonts w:ascii="Times New Roman"/>
                <w:sz w:val="21"/>
                <w:szCs w:val="21"/>
              </w:rPr>
            </w:pPr>
            <w:r>
              <w:rPr>
                <w:rFonts w:ascii="Times New Roman"/>
                <w:sz w:val="21"/>
                <w:szCs w:val="21"/>
              </w:rPr>
              <w:t>茚并［1，2，3-cd］芘</w:t>
            </w:r>
          </w:p>
        </w:tc>
        <w:tc>
          <w:tcPr>
            <w:tcW w:w="612" w:type="pct"/>
            <w:tcBorders>
              <w:top w:val="single" w:color="auto" w:sz="4" w:space="0"/>
              <w:left w:val="single" w:color="auto" w:sz="4" w:space="0"/>
              <w:bottom w:val="single" w:color="auto" w:sz="4" w:space="0"/>
              <w:right w:val="single" w:color="auto" w:sz="4" w:space="0"/>
            </w:tcBorders>
            <w:vAlign w:val="center"/>
          </w:tcPr>
          <w:p w14:paraId="57EB0C29">
            <w:pPr>
              <w:jc w:val="center"/>
              <w:rPr>
                <w:rFonts w:ascii="Times New Roman"/>
                <w:sz w:val="21"/>
                <w:szCs w:val="21"/>
              </w:rPr>
            </w:pPr>
            <w:r>
              <w:rPr>
                <w:rFonts w:ascii="Times New Roman"/>
                <w:sz w:val="21"/>
                <w:szCs w:val="21"/>
              </w:rPr>
              <w:t>15</w:t>
            </w:r>
          </w:p>
        </w:tc>
        <w:tc>
          <w:tcPr>
            <w:tcW w:w="679" w:type="pct"/>
            <w:tcBorders>
              <w:top w:val="single" w:color="auto" w:sz="4" w:space="0"/>
              <w:left w:val="single" w:color="auto" w:sz="4" w:space="0"/>
              <w:bottom w:val="single" w:color="auto" w:sz="4" w:space="0"/>
              <w:right w:val="single" w:color="auto" w:sz="4" w:space="0"/>
            </w:tcBorders>
            <w:vAlign w:val="center"/>
          </w:tcPr>
          <w:p w14:paraId="48DB0F32">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509D9DE5">
            <w:pPr>
              <w:jc w:val="center"/>
              <w:rPr>
                <w:rFonts w:ascii="Times New Roman"/>
                <w:kern w:val="0"/>
                <w:sz w:val="21"/>
                <w:szCs w:val="21"/>
              </w:rPr>
            </w:pPr>
          </w:p>
        </w:tc>
      </w:tr>
      <w:tr w14:paraId="0DFD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66D49E8C">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28A117DE">
            <w:pPr>
              <w:jc w:val="center"/>
              <w:rPr>
                <w:rFonts w:ascii="Times New Roman"/>
                <w:sz w:val="21"/>
                <w:szCs w:val="21"/>
              </w:rPr>
            </w:pPr>
            <w:r>
              <w:rPr>
                <w:rFonts w:ascii="Times New Roman"/>
                <w:sz w:val="21"/>
                <w:szCs w:val="21"/>
              </w:rPr>
              <w:t>萘</w:t>
            </w:r>
          </w:p>
        </w:tc>
        <w:tc>
          <w:tcPr>
            <w:tcW w:w="612" w:type="pct"/>
            <w:tcBorders>
              <w:top w:val="single" w:color="auto" w:sz="4" w:space="0"/>
              <w:left w:val="single" w:color="auto" w:sz="4" w:space="0"/>
              <w:bottom w:val="single" w:color="auto" w:sz="4" w:space="0"/>
              <w:right w:val="single" w:color="auto" w:sz="4" w:space="0"/>
            </w:tcBorders>
            <w:vAlign w:val="center"/>
          </w:tcPr>
          <w:p w14:paraId="502B6E65">
            <w:pPr>
              <w:jc w:val="center"/>
              <w:rPr>
                <w:rFonts w:ascii="Times New Roman"/>
                <w:sz w:val="21"/>
                <w:szCs w:val="21"/>
              </w:rPr>
            </w:pPr>
            <w:r>
              <w:rPr>
                <w:rFonts w:ascii="Times New Roman"/>
                <w:sz w:val="21"/>
                <w:szCs w:val="21"/>
              </w:rPr>
              <w:t>70</w:t>
            </w:r>
          </w:p>
        </w:tc>
        <w:tc>
          <w:tcPr>
            <w:tcW w:w="679" w:type="pct"/>
            <w:tcBorders>
              <w:top w:val="single" w:color="auto" w:sz="4" w:space="0"/>
              <w:left w:val="single" w:color="auto" w:sz="4" w:space="0"/>
              <w:bottom w:val="single" w:color="auto" w:sz="4" w:space="0"/>
              <w:right w:val="single" w:color="auto" w:sz="4" w:space="0"/>
            </w:tcBorders>
            <w:vAlign w:val="center"/>
          </w:tcPr>
          <w:p w14:paraId="041C9860">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right w:val="single" w:color="auto" w:sz="4" w:space="0"/>
            </w:tcBorders>
            <w:vAlign w:val="center"/>
          </w:tcPr>
          <w:p w14:paraId="7DDBFA1B">
            <w:pPr>
              <w:jc w:val="center"/>
              <w:rPr>
                <w:rFonts w:ascii="Times New Roman"/>
                <w:kern w:val="0"/>
                <w:sz w:val="21"/>
                <w:szCs w:val="21"/>
              </w:rPr>
            </w:pPr>
          </w:p>
        </w:tc>
      </w:tr>
      <w:tr w14:paraId="18F1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4" w:type="pct"/>
            <w:vMerge w:val="continue"/>
            <w:tcBorders>
              <w:left w:val="single" w:color="auto" w:sz="4" w:space="0"/>
              <w:right w:val="single" w:color="auto" w:sz="4" w:space="0"/>
            </w:tcBorders>
            <w:vAlign w:val="center"/>
          </w:tcPr>
          <w:p w14:paraId="288D8290">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62252997">
            <w:pPr>
              <w:jc w:val="center"/>
              <w:rPr>
                <w:rFonts w:ascii="Times New Roman"/>
                <w:sz w:val="21"/>
                <w:szCs w:val="21"/>
              </w:rPr>
            </w:pPr>
            <w:r>
              <w:rPr>
                <w:rFonts w:ascii="Times New Roman"/>
                <w:sz w:val="21"/>
                <w:szCs w:val="21"/>
              </w:rPr>
              <w:t>石油烃</w:t>
            </w:r>
          </w:p>
        </w:tc>
        <w:tc>
          <w:tcPr>
            <w:tcW w:w="612" w:type="pct"/>
            <w:tcBorders>
              <w:top w:val="single" w:color="auto" w:sz="4" w:space="0"/>
              <w:left w:val="single" w:color="auto" w:sz="4" w:space="0"/>
              <w:bottom w:val="single" w:color="auto" w:sz="4" w:space="0"/>
              <w:right w:val="single" w:color="auto" w:sz="4" w:space="0"/>
            </w:tcBorders>
            <w:vAlign w:val="center"/>
          </w:tcPr>
          <w:p w14:paraId="27E3A107">
            <w:pPr>
              <w:jc w:val="center"/>
              <w:rPr>
                <w:rFonts w:ascii="Times New Roman"/>
                <w:sz w:val="21"/>
                <w:szCs w:val="21"/>
              </w:rPr>
            </w:pPr>
            <w:r>
              <w:rPr>
                <w:rFonts w:ascii="Times New Roman"/>
                <w:sz w:val="21"/>
                <w:szCs w:val="21"/>
              </w:rPr>
              <w:t>4500</w:t>
            </w:r>
          </w:p>
        </w:tc>
        <w:tc>
          <w:tcPr>
            <w:tcW w:w="679" w:type="pct"/>
            <w:tcBorders>
              <w:top w:val="single" w:color="auto" w:sz="4" w:space="0"/>
              <w:left w:val="single" w:color="auto" w:sz="4" w:space="0"/>
              <w:bottom w:val="single" w:color="auto" w:sz="4" w:space="0"/>
              <w:right w:val="single" w:color="auto" w:sz="4" w:space="0"/>
            </w:tcBorders>
            <w:vAlign w:val="center"/>
          </w:tcPr>
          <w:p w14:paraId="0858B398">
            <w:pPr>
              <w:jc w:val="center"/>
              <w:rPr>
                <w:rFonts w:ascii="Times New Roman"/>
                <w:sz w:val="21"/>
                <w:szCs w:val="21"/>
              </w:rPr>
            </w:pPr>
            <w:r>
              <w:rPr>
                <w:rFonts w:ascii="Times New Roman"/>
                <w:sz w:val="21"/>
                <w:szCs w:val="21"/>
              </w:rPr>
              <w:t>mg/kg</w:t>
            </w:r>
          </w:p>
        </w:tc>
        <w:tc>
          <w:tcPr>
            <w:tcW w:w="1689" w:type="pct"/>
            <w:vMerge w:val="continue"/>
            <w:tcBorders>
              <w:left w:val="single" w:color="auto" w:sz="4" w:space="0"/>
              <w:bottom w:val="single" w:color="auto" w:sz="4" w:space="0"/>
              <w:right w:val="single" w:color="auto" w:sz="4" w:space="0"/>
            </w:tcBorders>
            <w:vAlign w:val="center"/>
          </w:tcPr>
          <w:p w14:paraId="61AD6C55">
            <w:pPr>
              <w:jc w:val="center"/>
              <w:rPr>
                <w:rFonts w:ascii="Times New Roman"/>
                <w:kern w:val="0"/>
                <w:sz w:val="21"/>
                <w:szCs w:val="21"/>
              </w:rPr>
            </w:pPr>
          </w:p>
        </w:tc>
      </w:tr>
      <w:tr w14:paraId="1FB4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64" w:type="pct"/>
            <w:vMerge w:val="continue"/>
            <w:tcBorders>
              <w:left w:val="single" w:color="auto" w:sz="4" w:space="0"/>
              <w:right w:val="single" w:color="auto" w:sz="4" w:space="0"/>
            </w:tcBorders>
            <w:vAlign w:val="center"/>
          </w:tcPr>
          <w:p w14:paraId="7CCF0724">
            <w:pPr>
              <w:jc w:val="center"/>
              <w:rPr>
                <w:rFonts w:ascii="Times New Roman"/>
                <w:kern w:val="0"/>
                <w:sz w:val="21"/>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7BFAD175">
            <w:pPr>
              <w:jc w:val="center"/>
              <w:rPr>
                <w:rFonts w:ascii="Times New Roman"/>
                <w:sz w:val="21"/>
                <w:szCs w:val="21"/>
              </w:rPr>
            </w:pPr>
            <w:r>
              <w:rPr>
                <w:rFonts w:ascii="Times New Roman"/>
                <w:sz w:val="21"/>
                <w:szCs w:val="21"/>
              </w:rPr>
              <w:t>氨氮</w:t>
            </w:r>
          </w:p>
        </w:tc>
        <w:tc>
          <w:tcPr>
            <w:tcW w:w="612" w:type="pct"/>
            <w:tcBorders>
              <w:top w:val="single" w:color="auto" w:sz="4" w:space="0"/>
              <w:left w:val="single" w:color="auto" w:sz="4" w:space="0"/>
              <w:bottom w:val="single" w:color="auto" w:sz="4" w:space="0"/>
              <w:right w:val="single" w:color="auto" w:sz="4" w:space="0"/>
            </w:tcBorders>
            <w:vAlign w:val="center"/>
          </w:tcPr>
          <w:p w14:paraId="1F94DA5D">
            <w:pPr>
              <w:jc w:val="center"/>
              <w:rPr>
                <w:rFonts w:ascii="Times New Roman"/>
                <w:sz w:val="21"/>
                <w:szCs w:val="21"/>
              </w:rPr>
            </w:pPr>
            <w:r>
              <w:rPr>
                <w:rFonts w:ascii="Times New Roman"/>
                <w:sz w:val="21"/>
                <w:szCs w:val="21"/>
              </w:rPr>
              <w:t>1200</w:t>
            </w:r>
          </w:p>
        </w:tc>
        <w:tc>
          <w:tcPr>
            <w:tcW w:w="679" w:type="pct"/>
            <w:tcBorders>
              <w:top w:val="single" w:color="auto" w:sz="4" w:space="0"/>
              <w:left w:val="single" w:color="auto" w:sz="4" w:space="0"/>
              <w:bottom w:val="single" w:color="auto" w:sz="4" w:space="0"/>
              <w:right w:val="single" w:color="auto" w:sz="4" w:space="0"/>
            </w:tcBorders>
            <w:vAlign w:val="center"/>
          </w:tcPr>
          <w:p w14:paraId="555D067D">
            <w:pPr>
              <w:jc w:val="center"/>
              <w:rPr>
                <w:rFonts w:ascii="Times New Roman"/>
                <w:sz w:val="21"/>
                <w:szCs w:val="21"/>
              </w:rPr>
            </w:pPr>
            <w:r>
              <w:rPr>
                <w:rFonts w:ascii="Times New Roman"/>
                <w:sz w:val="21"/>
                <w:szCs w:val="21"/>
              </w:rPr>
              <w:t>mg/kg</w:t>
            </w:r>
          </w:p>
        </w:tc>
        <w:tc>
          <w:tcPr>
            <w:tcW w:w="1689" w:type="pct"/>
            <w:tcBorders>
              <w:left w:val="single" w:color="auto" w:sz="4" w:space="0"/>
              <w:bottom w:val="single" w:color="auto" w:sz="4" w:space="0"/>
              <w:right w:val="single" w:color="auto" w:sz="4" w:space="0"/>
            </w:tcBorders>
            <w:vAlign w:val="center"/>
          </w:tcPr>
          <w:p w14:paraId="39BCEC24">
            <w:pPr>
              <w:jc w:val="center"/>
              <w:rPr>
                <w:rFonts w:ascii="Times New Roman"/>
                <w:kern w:val="0"/>
                <w:sz w:val="21"/>
                <w:szCs w:val="21"/>
              </w:rPr>
            </w:pPr>
            <w:r>
              <w:rPr>
                <w:rFonts w:ascii="Times New Roman"/>
                <w:kern w:val="0"/>
                <w:sz w:val="21"/>
                <w:szCs w:val="21"/>
              </w:rPr>
              <w:t>《建设用地土壤污染风险筛选值》（DB13/T5216-2020）</w:t>
            </w:r>
          </w:p>
        </w:tc>
      </w:tr>
    </w:tbl>
    <w:p w14:paraId="036E7E4E">
      <w:pPr>
        <w:spacing w:line="480" w:lineRule="exact"/>
        <w:ind w:firstLine="480" w:firstLineChars="200"/>
        <w:rPr>
          <w:rFonts w:ascii="Times New Roman"/>
          <w:sz w:val="24"/>
          <w:szCs w:val="24"/>
        </w:rPr>
      </w:pPr>
      <w:r>
        <w:rPr>
          <w:rFonts w:ascii="Times New Roman"/>
          <w:sz w:val="24"/>
          <w:szCs w:val="24"/>
        </w:rPr>
        <w:t>（2）污染物排放标准</w:t>
      </w:r>
    </w:p>
    <w:p w14:paraId="7E78CF27">
      <w:pPr>
        <w:spacing w:line="480" w:lineRule="exact"/>
        <w:ind w:firstLine="480" w:firstLineChars="200"/>
        <w:rPr>
          <w:rFonts w:ascii="Times New Roman"/>
          <w:sz w:val="24"/>
          <w:szCs w:val="24"/>
        </w:rPr>
      </w:pPr>
      <w:r>
        <w:rPr>
          <w:rFonts w:ascii="Times New Roman"/>
          <w:sz w:val="24"/>
          <w:szCs w:val="24"/>
        </w:rPr>
        <w:t>1）废气：</w:t>
      </w:r>
    </w:p>
    <w:p w14:paraId="1FC4206A">
      <w:pPr>
        <w:spacing w:line="480" w:lineRule="exact"/>
        <w:ind w:firstLine="480" w:firstLineChars="200"/>
        <w:rPr>
          <w:rFonts w:ascii="Times New Roman"/>
          <w:sz w:val="24"/>
          <w:szCs w:val="24"/>
        </w:rPr>
      </w:pPr>
      <w:r>
        <w:rPr>
          <w:rFonts w:ascii="Times New Roman"/>
          <w:sz w:val="24"/>
          <w:szCs w:val="24"/>
        </w:rPr>
        <w:t>①施工期废气排放标准</w:t>
      </w:r>
    </w:p>
    <w:p w14:paraId="6BAAEA21">
      <w:pPr>
        <w:spacing w:line="480" w:lineRule="exact"/>
        <w:ind w:firstLine="480" w:firstLineChars="200"/>
        <w:rPr>
          <w:rFonts w:ascii="Times New Roman"/>
          <w:sz w:val="24"/>
          <w:szCs w:val="24"/>
        </w:rPr>
      </w:pPr>
      <w:r>
        <w:rPr>
          <w:rFonts w:ascii="Times New Roman"/>
          <w:sz w:val="24"/>
          <w:szCs w:val="24"/>
        </w:rPr>
        <w:t>施工期施工场地扬尘执行《施工场地扬尘排放标准》（DB13/2934-2019）表1标准，施工期废气排放标准见表2.7-5。</w:t>
      </w:r>
    </w:p>
    <w:p w14:paraId="36EC3309">
      <w:pPr>
        <w:widowControl/>
        <w:adjustRightInd w:val="0"/>
        <w:snapToGrid w:val="0"/>
        <w:spacing w:line="480" w:lineRule="exact"/>
        <w:jc w:val="center"/>
        <w:rPr>
          <w:rFonts w:ascii="Times New Roman"/>
          <w:b/>
          <w:sz w:val="24"/>
          <w:szCs w:val="24"/>
        </w:rPr>
      </w:pPr>
      <w:r>
        <w:rPr>
          <w:rFonts w:ascii="Times New Roman"/>
          <w:b/>
          <w:sz w:val="24"/>
          <w:szCs w:val="24"/>
        </w:rPr>
        <w:t>表2.7-5   施工期废气排放标准一览表</w:t>
      </w:r>
    </w:p>
    <w:tbl>
      <w:tblPr>
        <w:tblStyle w:val="84"/>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68"/>
        <w:gridCol w:w="2665"/>
        <w:gridCol w:w="2900"/>
      </w:tblGrid>
      <w:tr w14:paraId="618C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661" w:type="pct"/>
            <w:vAlign w:val="center"/>
          </w:tcPr>
          <w:p w14:paraId="391D70F7">
            <w:pPr>
              <w:widowControl/>
              <w:jc w:val="center"/>
              <w:rPr>
                <w:rFonts w:ascii="Times New Roman"/>
                <w:sz w:val="21"/>
                <w:szCs w:val="21"/>
              </w:rPr>
            </w:pPr>
            <w:r>
              <w:rPr>
                <w:rFonts w:ascii="Times New Roman"/>
                <w:sz w:val="21"/>
                <w:szCs w:val="21"/>
              </w:rPr>
              <w:t>控制项目</w:t>
            </w:r>
          </w:p>
        </w:tc>
        <w:tc>
          <w:tcPr>
            <w:tcW w:w="1599" w:type="pct"/>
            <w:vAlign w:val="center"/>
          </w:tcPr>
          <w:p w14:paraId="7F7C8FE3">
            <w:pPr>
              <w:widowControl/>
              <w:jc w:val="center"/>
              <w:rPr>
                <w:rFonts w:ascii="Times New Roman"/>
                <w:sz w:val="21"/>
                <w:szCs w:val="21"/>
              </w:rPr>
            </w:pPr>
            <w:r>
              <w:rPr>
                <w:rFonts w:ascii="Times New Roman"/>
                <w:sz w:val="21"/>
                <w:szCs w:val="21"/>
              </w:rPr>
              <w:t>监测点浓度限值</w:t>
            </w:r>
            <w:r>
              <w:rPr>
                <w:rFonts w:ascii="Times New Roman"/>
                <w:sz w:val="21"/>
                <w:szCs w:val="21"/>
                <w:vertAlign w:val="superscript"/>
              </w:rPr>
              <w:t>a</w:t>
            </w:r>
            <w:r>
              <w:rPr>
                <w:rFonts w:ascii="Times New Roman"/>
                <w:sz w:val="21"/>
                <w:szCs w:val="21"/>
              </w:rPr>
              <w:t>（μg/m</w:t>
            </w:r>
            <w:r>
              <w:rPr>
                <w:rFonts w:ascii="Times New Roman"/>
                <w:sz w:val="21"/>
                <w:szCs w:val="21"/>
                <w:vertAlign w:val="superscript"/>
              </w:rPr>
              <w:t>3</w:t>
            </w:r>
            <w:r>
              <w:rPr>
                <w:rFonts w:ascii="Times New Roman"/>
                <w:sz w:val="21"/>
                <w:szCs w:val="21"/>
              </w:rPr>
              <w:t>）</w:t>
            </w:r>
          </w:p>
        </w:tc>
        <w:tc>
          <w:tcPr>
            <w:tcW w:w="1739" w:type="pct"/>
            <w:vAlign w:val="center"/>
          </w:tcPr>
          <w:p w14:paraId="7EA0547D">
            <w:pPr>
              <w:widowControl/>
              <w:jc w:val="center"/>
              <w:rPr>
                <w:rFonts w:ascii="Times New Roman"/>
                <w:sz w:val="21"/>
                <w:szCs w:val="21"/>
              </w:rPr>
            </w:pPr>
            <w:r>
              <w:rPr>
                <w:rFonts w:ascii="Times New Roman"/>
                <w:sz w:val="21"/>
                <w:szCs w:val="21"/>
              </w:rPr>
              <w:t>达标判定依据（次/天）</w:t>
            </w:r>
          </w:p>
        </w:tc>
      </w:tr>
      <w:tr w14:paraId="2A2E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1661" w:type="pct"/>
            <w:vAlign w:val="center"/>
          </w:tcPr>
          <w:p w14:paraId="77D183FB">
            <w:pPr>
              <w:widowControl/>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599" w:type="pct"/>
            <w:vAlign w:val="center"/>
          </w:tcPr>
          <w:p w14:paraId="1C712764">
            <w:pPr>
              <w:widowControl/>
              <w:jc w:val="center"/>
              <w:rPr>
                <w:rFonts w:ascii="Times New Roman"/>
                <w:sz w:val="21"/>
                <w:szCs w:val="21"/>
              </w:rPr>
            </w:pPr>
            <w:r>
              <w:rPr>
                <w:rFonts w:ascii="Times New Roman"/>
                <w:sz w:val="21"/>
                <w:szCs w:val="21"/>
              </w:rPr>
              <w:t>80</w:t>
            </w:r>
          </w:p>
        </w:tc>
        <w:tc>
          <w:tcPr>
            <w:tcW w:w="1739" w:type="pct"/>
            <w:vAlign w:val="center"/>
          </w:tcPr>
          <w:p w14:paraId="2A79BCE7">
            <w:pPr>
              <w:widowControl/>
              <w:jc w:val="center"/>
              <w:rPr>
                <w:rFonts w:ascii="Times New Roman"/>
                <w:sz w:val="21"/>
                <w:szCs w:val="21"/>
              </w:rPr>
            </w:pPr>
            <w:r>
              <w:rPr>
                <w:rFonts w:ascii="Times New Roman"/>
                <w:sz w:val="21"/>
                <w:szCs w:val="21"/>
              </w:rPr>
              <w:t>≤2</w:t>
            </w:r>
          </w:p>
        </w:tc>
      </w:tr>
      <w:tr w14:paraId="638F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5000" w:type="pct"/>
            <w:gridSpan w:val="3"/>
            <w:vAlign w:val="center"/>
          </w:tcPr>
          <w:p w14:paraId="597BF0FD">
            <w:pPr>
              <w:widowControl/>
              <w:jc w:val="left"/>
              <w:rPr>
                <w:rFonts w:ascii="Times New Roman"/>
                <w:sz w:val="21"/>
                <w:szCs w:val="21"/>
              </w:rPr>
            </w:pPr>
            <w:r>
              <w:rPr>
                <w:rFonts w:ascii="Times New Roman"/>
                <w:sz w:val="21"/>
                <w:szCs w:val="21"/>
                <w:vertAlign w:val="superscript"/>
              </w:rPr>
              <w:t>a</w:t>
            </w:r>
            <w:r>
              <w:rPr>
                <w:rFonts w:ascii="Times New Roman"/>
                <w:sz w:val="21"/>
                <w:szCs w:val="21"/>
              </w:rPr>
              <w:t>指监测点PM</w:t>
            </w:r>
            <w:r>
              <w:rPr>
                <w:rFonts w:ascii="Times New Roman"/>
                <w:sz w:val="21"/>
                <w:szCs w:val="21"/>
                <w:vertAlign w:val="subscript"/>
              </w:rPr>
              <w:t>10</w:t>
            </w:r>
            <w:r>
              <w:rPr>
                <w:rFonts w:ascii="Times New Roman"/>
                <w:sz w:val="21"/>
                <w:szCs w:val="21"/>
              </w:rPr>
              <w:t>小时平均浓度实测值与同时段所属县（市、区）PM</w:t>
            </w:r>
            <w:r>
              <w:rPr>
                <w:rFonts w:ascii="Times New Roman"/>
                <w:sz w:val="21"/>
                <w:szCs w:val="21"/>
                <w:vertAlign w:val="subscript"/>
              </w:rPr>
              <w:t>10</w:t>
            </w:r>
            <w:r>
              <w:rPr>
                <w:rFonts w:ascii="Times New Roman"/>
                <w:sz w:val="21"/>
                <w:szCs w:val="21"/>
              </w:rPr>
              <w:t>小时平均浓度的差值。当县（市、区）PM</w:t>
            </w:r>
            <w:r>
              <w:rPr>
                <w:rFonts w:ascii="Times New Roman"/>
                <w:sz w:val="21"/>
                <w:szCs w:val="21"/>
                <w:vertAlign w:val="subscript"/>
              </w:rPr>
              <w:t>10</w:t>
            </w:r>
            <w:r>
              <w:rPr>
                <w:rFonts w:ascii="Times New Roman"/>
                <w:sz w:val="21"/>
                <w:szCs w:val="21"/>
              </w:rPr>
              <w:t>小时平均浓度值大于150μg/m</w:t>
            </w:r>
            <w:r>
              <w:rPr>
                <w:rFonts w:ascii="Times New Roman"/>
                <w:sz w:val="21"/>
                <w:szCs w:val="21"/>
                <w:vertAlign w:val="superscript"/>
              </w:rPr>
              <w:t>3</w:t>
            </w:r>
            <w:r>
              <w:rPr>
                <w:rFonts w:ascii="Times New Roman"/>
                <w:sz w:val="21"/>
                <w:szCs w:val="21"/>
              </w:rPr>
              <w:t>时，以150μg/m</w:t>
            </w:r>
            <w:r>
              <w:rPr>
                <w:rFonts w:ascii="Times New Roman"/>
                <w:sz w:val="21"/>
                <w:szCs w:val="21"/>
                <w:vertAlign w:val="superscript"/>
              </w:rPr>
              <w:t>3</w:t>
            </w:r>
            <w:r>
              <w:rPr>
                <w:rFonts w:ascii="Times New Roman"/>
                <w:sz w:val="21"/>
                <w:szCs w:val="21"/>
              </w:rPr>
              <w:t>计。</w:t>
            </w:r>
          </w:p>
        </w:tc>
      </w:tr>
    </w:tbl>
    <w:p w14:paraId="4F7A1636">
      <w:pPr>
        <w:spacing w:line="360" w:lineRule="auto"/>
        <w:ind w:firstLine="480" w:firstLineChars="200"/>
        <w:rPr>
          <w:rFonts w:ascii="Times New Roman"/>
          <w:sz w:val="24"/>
          <w:szCs w:val="24"/>
        </w:rPr>
      </w:pPr>
      <w:r>
        <w:rPr>
          <w:rFonts w:ascii="Times New Roman"/>
          <w:sz w:val="24"/>
          <w:szCs w:val="24"/>
        </w:rPr>
        <w:t>②运营期废气排放标准</w:t>
      </w:r>
    </w:p>
    <w:p w14:paraId="2518A416">
      <w:pPr>
        <w:spacing w:line="360" w:lineRule="auto"/>
        <w:ind w:firstLine="480" w:firstLineChars="200"/>
        <w:rPr>
          <w:rFonts w:ascii="Times New Roman"/>
          <w:sz w:val="24"/>
          <w:szCs w:val="24"/>
        </w:rPr>
      </w:pPr>
      <w:r>
        <w:rPr>
          <w:rFonts w:hint="eastAsia" w:ascii="Times New Roman"/>
          <w:sz w:val="24"/>
          <w:szCs w:val="24"/>
        </w:rPr>
        <w:t>1.</w:t>
      </w:r>
      <w:r>
        <w:rPr>
          <w:rFonts w:ascii="Times New Roman"/>
          <w:sz w:val="24"/>
          <w:szCs w:val="24"/>
        </w:rPr>
        <w:t>有组织废气排放标准</w:t>
      </w:r>
    </w:p>
    <w:p w14:paraId="1FED7973">
      <w:pPr>
        <w:spacing w:line="360" w:lineRule="auto"/>
        <w:ind w:firstLine="482" w:firstLineChars="200"/>
        <w:rPr>
          <w:rFonts w:ascii="Times New Roman"/>
          <w:sz w:val="24"/>
          <w:szCs w:val="24"/>
        </w:rPr>
      </w:pPr>
      <w:r>
        <w:rPr>
          <w:rFonts w:ascii="Times New Roman"/>
          <w:b/>
          <w:bCs/>
          <w:sz w:val="24"/>
          <w:szCs w:val="24"/>
        </w:rPr>
        <w:t>排气筒DA001：</w:t>
      </w:r>
      <w:r>
        <w:rPr>
          <w:rFonts w:ascii="Times New Roman"/>
          <w:sz w:val="24"/>
          <w:szCs w:val="24"/>
        </w:rPr>
        <w:t>切割、清理、打磨废气（颗粒物）排放执行《钢铁工业大气污染物超低排放标准》（DB13/2169-2018）表1轧钢“热处理炉、拉矫、精整、抛丸、修磨、焊接机及其他生产设施”排放限值要求。</w:t>
      </w:r>
    </w:p>
    <w:p w14:paraId="241753FA">
      <w:pPr>
        <w:spacing w:line="360" w:lineRule="auto"/>
        <w:ind w:firstLine="482" w:firstLineChars="200"/>
        <w:rPr>
          <w:rFonts w:ascii="Times New Roman"/>
          <w:sz w:val="24"/>
          <w:szCs w:val="24"/>
        </w:rPr>
      </w:pPr>
      <w:r>
        <w:rPr>
          <w:rFonts w:ascii="Times New Roman"/>
          <w:b/>
          <w:bCs/>
          <w:sz w:val="24"/>
          <w:szCs w:val="24"/>
        </w:rPr>
        <w:t>排气筒DA002-排气筒DA004：</w:t>
      </w:r>
      <w:r>
        <w:rPr>
          <w:rFonts w:ascii="Times New Roman"/>
          <w:sz w:val="24"/>
          <w:szCs w:val="24"/>
        </w:rPr>
        <w:t>焊接工序废气（颗粒物）排放执行《钢铁工业大气污染物超低排放标准》（DB13/2169-2018）表1轧钢“热处理炉、拉矫、精整、抛丸、修磨、焊接机及其他生产设施”排放限值要求。</w:t>
      </w:r>
    </w:p>
    <w:p w14:paraId="289BF610">
      <w:pPr>
        <w:spacing w:line="360" w:lineRule="auto"/>
        <w:ind w:firstLine="482" w:firstLineChars="200"/>
        <w:rPr>
          <w:rFonts w:ascii="Times New Roman"/>
          <w:b/>
          <w:bCs/>
          <w:sz w:val="24"/>
          <w:szCs w:val="24"/>
        </w:rPr>
      </w:pPr>
      <w:r>
        <w:rPr>
          <w:rFonts w:ascii="Times New Roman"/>
          <w:b/>
          <w:bCs/>
          <w:sz w:val="24"/>
          <w:szCs w:val="24"/>
        </w:rPr>
        <w:t>排气筒DA005：</w:t>
      </w:r>
      <w:r>
        <w:rPr>
          <w:rFonts w:ascii="Times New Roman"/>
          <w:sz w:val="24"/>
          <w:szCs w:val="24"/>
        </w:rPr>
        <w:t>热处理车炉加热</w:t>
      </w:r>
      <w:r>
        <w:rPr>
          <w:rFonts w:ascii="Times New Roman"/>
          <w:szCs w:val="24"/>
        </w:rPr>
        <w:t>废气颗粒物、SO</w:t>
      </w:r>
      <w:r>
        <w:rPr>
          <w:rFonts w:ascii="Times New Roman"/>
          <w:szCs w:val="24"/>
          <w:vertAlign w:val="subscript"/>
        </w:rPr>
        <w:t>2</w:t>
      </w:r>
      <w:r>
        <w:rPr>
          <w:rFonts w:ascii="Times New Roman"/>
          <w:szCs w:val="24"/>
        </w:rPr>
        <w:t>、NO</w:t>
      </w:r>
      <w:r>
        <w:rPr>
          <w:rFonts w:ascii="Times New Roman"/>
          <w:szCs w:val="24"/>
          <w:vertAlign w:val="subscript"/>
        </w:rPr>
        <w:t>X</w:t>
      </w:r>
      <w:r>
        <w:rPr>
          <w:rFonts w:ascii="Times New Roman"/>
          <w:szCs w:val="24"/>
        </w:rPr>
        <w:t>排放执行《工业炉窑大气污染物排放标准》（DB13/1640-2012）标准及《关于印发&lt;工业炉窑大气污染综合治理方案&gt;的通知》（环大气[2019]56号）排放标准。</w:t>
      </w:r>
    </w:p>
    <w:p w14:paraId="49E21672">
      <w:pPr>
        <w:spacing w:line="360" w:lineRule="auto"/>
        <w:ind w:firstLine="482" w:firstLineChars="200"/>
        <w:rPr>
          <w:rFonts w:ascii="Times New Roman"/>
          <w:sz w:val="24"/>
          <w:szCs w:val="24"/>
        </w:rPr>
      </w:pPr>
      <w:r>
        <w:rPr>
          <w:rFonts w:ascii="Times New Roman"/>
          <w:b/>
          <w:bCs/>
          <w:sz w:val="24"/>
          <w:szCs w:val="24"/>
        </w:rPr>
        <w:t>排气筒DA006：</w:t>
      </w:r>
      <w:r>
        <w:rPr>
          <w:rFonts w:ascii="Times New Roman"/>
          <w:szCs w:val="24"/>
        </w:rPr>
        <w:t>淬油工序废气油雾排放执行</w:t>
      </w:r>
      <w:r>
        <w:rPr>
          <w:rFonts w:ascii="Times New Roman"/>
          <w:sz w:val="24"/>
          <w:szCs w:val="24"/>
        </w:rPr>
        <w:t>《钢铁工业大气污染物超低排放标准》（DB13/2169-2018）表4中的排放浓度限值；非甲烷总烃排放执行行《工业企业挥发性有机物排放控制标准》（DB13/2322-2016）表1“其他行业”。</w:t>
      </w:r>
    </w:p>
    <w:p w14:paraId="2E1395CD">
      <w:pPr>
        <w:spacing w:line="360" w:lineRule="auto"/>
        <w:ind w:firstLine="482" w:firstLineChars="200"/>
        <w:rPr>
          <w:rFonts w:ascii="Times New Roman"/>
          <w:sz w:val="24"/>
          <w:szCs w:val="24"/>
        </w:rPr>
      </w:pPr>
      <w:r>
        <w:rPr>
          <w:rFonts w:ascii="Times New Roman"/>
          <w:b/>
          <w:bCs/>
          <w:sz w:val="24"/>
          <w:szCs w:val="24"/>
        </w:rPr>
        <w:t>排气筒DA007：</w:t>
      </w:r>
      <w:r>
        <w:rPr>
          <w:rFonts w:ascii="Times New Roman"/>
          <w:szCs w:val="24"/>
        </w:rPr>
        <w:t>抛丸、喷砂工序废气（颗粒物）排放执行</w:t>
      </w:r>
      <w:r>
        <w:rPr>
          <w:rFonts w:ascii="Times New Roman"/>
          <w:sz w:val="24"/>
          <w:szCs w:val="24"/>
        </w:rPr>
        <w:t>《钢铁工业大气污染物超低排放标准》（DB13/2169-2018）表1轧钢“热处理炉、拉矫、精整、抛丸、修磨、焊接机及其他生产设施”排放限值要求。</w:t>
      </w:r>
    </w:p>
    <w:p w14:paraId="05893898">
      <w:pPr>
        <w:spacing w:line="360" w:lineRule="auto"/>
        <w:ind w:firstLine="482" w:firstLineChars="200"/>
        <w:rPr>
          <w:rFonts w:ascii="Times New Roman"/>
          <w:szCs w:val="24"/>
        </w:rPr>
      </w:pPr>
      <w:r>
        <w:rPr>
          <w:rFonts w:ascii="Times New Roman"/>
          <w:b/>
          <w:bCs/>
          <w:sz w:val="24"/>
          <w:szCs w:val="24"/>
        </w:rPr>
        <w:t>排气筒DA00</w:t>
      </w:r>
      <w:r>
        <w:rPr>
          <w:rFonts w:hint="eastAsia" w:ascii="Times New Roman"/>
          <w:b/>
          <w:bCs/>
          <w:sz w:val="24"/>
          <w:szCs w:val="24"/>
        </w:rPr>
        <w:t>8</w:t>
      </w:r>
      <w:r>
        <w:rPr>
          <w:rFonts w:ascii="Times New Roman"/>
          <w:b/>
          <w:bCs/>
          <w:sz w:val="24"/>
          <w:szCs w:val="24"/>
        </w:rPr>
        <w:t>：</w:t>
      </w:r>
      <w:r>
        <w:rPr>
          <w:rFonts w:hint="eastAsia" w:ascii="Times New Roman"/>
          <w:szCs w:val="24"/>
        </w:rPr>
        <w:t>热水锅炉燃烧</w:t>
      </w:r>
      <w:r>
        <w:rPr>
          <w:rFonts w:ascii="Times New Roman"/>
          <w:szCs w:val="24"/>
        </w:rPr>
        <w:t>工序废气颗粒物、SO</w:t>
      </w:r>
      <w:r>
        <w:rPr>
          <w:rFonts w:ascii="Times New Roman"/>
          <w:szCs w:val="24"/>
          <w:vertAlign w:val="subscript"/>
        </w:rPr>
        <w:t>2</w:t>
      </w:r>
      <w:r>
        <w:rPr>
          <w:rFonts w:ascii="Times New Roman"/>
          <w:szCs w:val="24"/>
        </w:rPr>
        <w:t>、NO</w:t>
      </w:r>
      <w:r>
        <w:rPr>
          <w:rFonts w:ascii="Times New Roman"/>
          <w:szCs w:val="24"/>
          <w:vertAlign w:val="subscript"/>
        </w:rPr>
        <w:t>X</w:t>
      </w:r>
      <w:r>
        <w:rPr>
          <w:rFonts w:ascii="Times New Roman"/>
          <w:szCs w:val="24"/>
        </w:rPr>
        <w:t>排放执行《工业炉窑大气污染物排放标准》（DB13/1640-2012）标准及《关于印发&lt;工业炉窑大气污染综合治理方案&gt;的通知》（环大气[2019]56号）排放标准。</w:t>
      </w:r>
    </w:p>
    <w:p w14:paraId="7D2D8BA2">
      <w:pPr>
        <w:spacing w:line="360" w:lineRule="auto"/>
        <w:ind w:firstLine="482" w:firstLineChars="200"/>
        <w:rPr>
          <w:rFonts w:ascii="Times New Roman"/>
          <w:sz w:val="24"/>
          <w:szCs w:val="24"/>
        </w:rPr>
      </w:pPr>
      <w:r>
        <w:rPr>
          <w:rFonts w:ascii="Times New Roman"/>
          <w:b/>
          <w:bCs/>
          <w:sz w:val="24"/>
          <w:szCs w:val="24"/>
        </w:rPr>
        <w:t>排气筒DA00</w:t>
      </w:r>
      <w:r>
        <w:rPr>
          <w:rFonts w:hint="eastAsia" w:ascii="Times New Roman"/>
          <w:b/>
          <w:bCs/>
          <w:sz w:val="24"/>
          <w:szCs w:val="24"/>
        </w:rPr>
        <w:t>9</w:t>
      </w:r>
      <w:r>
        <w:rPr>
          <w:rFonts w:ascii="Times New Roman"/>
          <w:b/>
          <w:bCs/>
          <w:sz w:val="24"/>
          <w:szCs w:val="24"/>
        </w:rPr>
        <w:t>：</w:t>
      </w:r>
      <w:r>
        <w:rPr>
          <w:rFonts w:ascii="Times New Roman"/>
          <w:szCs w:val="24"/>
        </w:rPr>
        <w:t>喷塑工序废气（颗粒物）排放执行</w:t>
      </w:r>
      <w:r>
        <w:rPr>
          <w:rFonts w:ascii="Times New Roman"/>
          <w:sz w:val="24"/>
          <w:szCs w:val="24"/>
        </w:rPr>
        <w:t>《大气污染物综合排放标准》（GB16297-1996）表2中“染料尘”标准限值要求。</w:t>
      </w:r>
    </w:p>
    <w:p w14:paraId="70471228">
      <w:pPr>
        <w:spacing w:line="360" w:lineRule="auto"/>
        <w:ind w:firstLine="482" w:firstLineChars="200"/>
        <w:rPr>
          <w:rFonts w:ascii="Times New Roman"/>
          <w:szCs w:val="24"/>
        </w:rPr>
      </w:pPr>
      <w:r>
        <w:rPr>
          <w:rFonts w:ascii="Times New Roman"/>
          <w:b/>
          <w:bCs/>
          <w:sz w:val="24"/>
          <w:szCs w:val="24"/>
        </w:rPr>
        <w:t>排气筒DA0</w:t>
      </w:r>
      <w:r>
        <w:rPr>
          <w:rFonts w:hint="eastAsia" w:ascii="Times New Roman"/>
          <w:b/>
          <w:bCs/>
          <w:sz w:val="24"/>
          <w:szCs w:val="24"/>
        </w:rPr>
        <w:t>10</w:t>
      </w:r>
      <w:r>
        <w:rPr>
          <w:rFonts w:ascii="Times New Roman"/>
          <w:b/>
          <w:bCs/>
          <w:sz w:val="24"/>
          <w:szCs w:val="24"/>
        </w:rPr>
        <w:t>：</w:t>
      </w:r>
      <w:r>
        <w:rPr>
          <w:rFonts w:ascii="Times New Roman"/>
          <w:sz w:val="24"/>
          <w:szCs w:val="24"/>
        </w:rPr>
        <w:t>喷塑固化、强冷工序非甲烷总烃及</w:t>
      </w:r>
      <w:r>
        <w:rPr>
          <w:rFonts w:ascii="Times New Roman"/>
          <w:szCs w:val="24"/>
        </w:rPr>
        <w:t>喷漆排放非甲烷总烃、</w:t>
      </w:r>
      <w:r>
        <w:rPr>
          <w:rFonts w:hint="eastAsia" w:ascii="Times New Roman"/>
          <w:szCs w:val="24"/>
        </w:rPr>
        <w:t>苯、</w:t>
      </w:r>
      <w:r>
        <w:rPr>
          <w:rFonts w:ascii="Times New Roman"/>
          <w:szCs w:val="24"/>
        </w:rPr>
        <w:t>甲苯与二甲苯</w:t>
      </w:r>
      <w:r>
        <w:rPr>
          <w:rFonts w:hint="eastAsia" w:ascii="Times New Roman"/>
          <w:szCs w:val="24"/>
        </w:rPr>
        <w:t>合计</w:t>
      </w:r>
      <w:r>
        <w:rPr>
          <w:rFonts w:ascii="Times New Roman"/>
          <w:szCs w:val="24"/>
        </w:rPr>
        <w:t>排放执行《工业企业挥发性有机物排放控制标准》（DB13/2322-2016）表1表面涂装业标准限值要求；</w:t>
      </w:r>
    </w:p>
    <w:p w14:paraId="71A7E31D">
      <w:pPr>
        <w:spacing w:line="360" w:lineRule="auto"/>
        <w:ind w:firstLine="482" w:firstLineChars="200"/>
        <w:rPr>
          <w:rFonts w:ascii="Times New Roman"/>
          <w:szCs w:val="24"/>
        </w:rPr>
      </w:pPr>
      <w:r>
        <w:rPr>
          <w:rFonts w:ascii="Times New Roman"/>
          <w:b/>
          <w:bCs/>
          <w:sz w:val="24"/>
          <w:szCs w:val="24"/>
        </w:rPr>
        <w:t>排气筒DA0</w:t>
      </w:r>
      <w:r>
        <w:rPr>
          <w:rFonts w:hint="eastAsia" w:ascii="Times New Roman"/>
          <w:b/>
          <w:bCs/>
          <w:sz w:val="24"/>
          <w:szCs w:val="24"/>
        </w:rPr>
        <w:t>11</w:t>
      </w:r>
      <w:r>
        <w:rPr>
          <w:rFonts w:ascii="Times New Roman"/>
          <w:b/>
          <w:bCs/>
          <w:sz w:val="24"/>
          <w:szCs w:val="24"/>
        </w:rPr>
        <w:t>：</w:t>
      </w:r>
      <w:r>
        <w:rPr>
          <w:rFonts w:ascii="Times New Roman"/>
          <w:szCs w:val="24"/>
        </w:rPr>
        <w:t>喷漆序废气（颗粒物）排放执行</w:t>
      </w:r>
      <w:r>
        <w:rPr>
          <w:rFonts w:ascii="Times New Roman"/>
          <w:sz w:val="24"/>
          <w:szCs w:val="24"/>
        </w:rPr>
        <w:t>《大气污染物综合排放标准》（GB16297-1996）表2中“染料尘”标准限值要求；</w:t>
      </w:r>
      <w:r>
        <w:rPr>
          <w:rFonts w:hint="eastAsia" w:ascii="Times New Roman"/>
          <w:sz w:val="24"/>
          <w:szCs w:val="24"/>
        </w:rPr>
        <w:t>电泳、流平、烘干固化、强冷</w:t>
      </w:r>
      <w:r>
        <w:rPr>
          <w:rFonts w:ascii="Times New Roman"/>
          <w:sz w:val="24"/>
          <w:szCs w:val="24"/>
        </w:rPr>
        <w:t>工序非甲烷总烃及</w:t>
      </w:r>
      <w:r>
        <w:rPr>
          <w:rFonts w:ascii="Times New Roman"/>
          <w:szCs w:val="24"/>
        </w:rPr>
        <w:t>喷漆排放非甲烷总烃、甲苯与二甲苯</w:t>
      </w:r>
      <w:r>
        <w:rPr>
          <w:rFonts w:hint="eastAsia" w:ascii="Times New Roman"/>
          <w:szCs w:val="24"/>
        </w:rPr>
        <w:t>合计</w:t>
      </w:r>
      <w:r>
        <w:rPr>
          <w:rFonts w:ascii="Times New Roman"/>
          <w:szCs w:val="24"/>
        </w:rPr>
        <w:t>排放执行《工业企业挥发性有机物排放控制标准》（DB13/2322-2016）表1表面涂装业标准限值要求；天然气燃烧机废气颗粒物、SO</w:t>
      </w:r>
      <w:r>
        <w:rPr>
          <w:rFonts w:ascii="Times New Roman"/>
          <w:szCs w:val="24"/>
          <w:vertAlign w:val="subscript"/>
        </w:rPr>
        <w:t>2</w:t>
      </w:r>
      <w:r>
        <w:rPr>
          <w:rFonts w:ascii="Times New Roman"/>
          <w:szCs w:val="24"/>
        </w:rPr>
        <w:t>、NO</w:t>
      </w:r>
      <w:r>
        <w:rPr>
          <w:rFonts w:ascii="Times New Roman"/>
          <w:szCs w:val="24"/>
          <w:vertAlign w:val="subscript"/>
        </w:rPr>
        <w:t>X</w:t>
      </w:r>
      <w:r>
        <w:rPr>
          <w:rFonts w:ascii="Times New Roman"/>
          <w:szCs w:val="24"/>
        </w:rPr>
        <w:t>排放执行《工业炉窑大气污染物排放标准》（DB13/1640-2012）标准及《关于印发&lt;工业炉窑大气污染综合治理方案&gt;的通知》（环大气[2019]56号）排放标准。</w:t>
      </w:r>
    </w:p>
    <w:p w14:paraId="2B12717A">
      <w:pPr>
        <w:spacing w:line="360" w:lineRule="auto"/>
        <w:ind w:firstLine="482" w:firstLineChars="200"/>
        <w:rPr>
          <w:rFonts w:ascii="Times New Roman"/>
          <w:sz w:val="24"/>
          <w:szCs w:val="24"/>
        </w:rPr>
      </w:pPr>
      <w:r>
        <w:rPr>
          <w:rFonts w:ascii="Times New Roman"/>
          <w:b/>
          <w:bCs/>
          <w:sz w:val="24"/>
          <w:szCs w:val="24"/>
        </w:rPr>
        <w:t>排气筒DA01</w:t>
      </w:r>
      <w:r>
        <w:rPr>
          <w:rFonts w:hint="eastAsia" w:ascii="Times New Roman"/>
          <w:b/>
          <w:bCs/>
          <w:sz w:val="24"/>
          <w:szCs w:val="24"/>
        </w:rPr>
        <w:t>2</w:t>
      </w:r>
      <w:r>
        <w:rPr>
          <w:rFonts w:ascii="Times New Roman"/>
          <w:b/>
          <w:bCs/>
          <w:sz w:val="24"/>
          <w:szCs w:val="24"/>
        </w:rPr>
        <w:t>：</w:t>
      </w:r>
      <w:r>
        <w:rPr>
          <w:rFonts w:ascii="Times New Roman"/>
          <w:szCs w:val="24"/>
        </w:rPr>
        <w:t>喷塑工序废气（颗粒物）排放执行</w:t>
      </w:r>
      <w:r>
        <w:rPr>
          <w:rFonts w:ascii="Times New Roman"/>
          <w:sz w:val="24"/>
          <w:szCs w:val="24"/>
        </w:rPr>
        <w:t>《大气污染物综合排放标准》（GB16297-1996）表2中“染料尘”标准限值要求。</w:t>
      </w:r>
    </w:p>
    <w:p w14:paraId="341E1FAA">
      <w:pPr>
        <w:spacing w:line="360" w:lineRule="auto"/>
        <w:ind w:firstLine="482" w:firstLineChars="200"/>
        <w:rPr>
          <w:rFonts w:ascii="Times New Roman"/>
          <w:szCs w:val="24"/>
        </w:rPr>
      </w:pPr>
      <w:r>
        <w:rPr>
          <w:rFonts w:ascii="Times New Roman"/>
          <w:b/>
          <w:bCs/>
          <w:sz w:val="24"/>
          <w:szCs w:val="24"/>
        </w:rPr>
        <w:t>排气筒DA01</w:t>
      </w:r>
      <w:r>
        <w:rPr>
          <w:rFonts w:hint="eastAsia" w:ascii="Times New Roman"/>
          <w:b/>
          <w:bCs/>
          <w:sz w:val="24"/>
          <w:szCs w:val="24"/>
        </w:rPr>
        <w:t>3</w:t>
      </w:r>
      <w:r>
        <w:rPr>
          <w:rFonts w:ascii="Times New Roman"/>
          <w:b/>
          <w:bCs/>
          <w:sz w:val="24"/>
          <w:szCs w:val="24"/>
        </w:rPr>
        <w:t>：</w:t>
      </w:r>
      <w:r>
        <w:rPr>
          <w:rFonts w:ascii="Times New Roman"/>
          <w:sz w:val="24"/>
          <w:szCs w:val="24"/>
        </w:rPr>
        <w:t>喷塑固化工序非甲烷总烃</w:t>
      </w:r>
      <w:r>
        <w:rPr>
          <w:rFonts w:ascii="Times New Roman"/>
          <w:szCs w:val="24"/>
        </w:rPr>
        <w:t>执行《工业企业挥发性有机物排放控制标准》（DB13/2322-2016）表1表面涂装业标准限值要求；天然气燃烧机废气颗粒物、SO</w:t>
      </w:r>
      <w:r>
        <w:rPr>
          <w:rFonts w:ascii="Times New Roman"/>
          <w:szCs w:val="24"/>
          <w:vertAlign w:val="subscript"/>
        </w:rPr>
        <w:t>2</w:t>
      </w:r>
      <w:r>
        <w:rPr>
          <w:rFonts w:ascii="Times New Roman"/>
          <w:szCs w:val="24"/>
        </w:rPr>
        <w:t>、NO</w:t>
      </w:r>
      <w:r>
        <w:rPr>
          <w:rFonts w:ascii="Times New Roman"/>
          <w:szCs w:val="24"/>
          <w:vertAlign w:val="subscript"/>
        </w:rPr>
        <w:t>X</w:t>
      </w:r>
      <w:r>
        <w:rPr>
          <w:rFonts w:ascii="Times New Roman"/>
          <w:szCs w:val="24"/>
        </w:rPr>
        <w:t>排放执行《工业炉窑大气污染物排放标准》（DB13/1640-2012）标准及《关于印发&lt;工业炉窑大气污染综合治理方案&gt;的通知》（环大气[2019]56号）排放标准。</w:t>
      </w:r>
    </w:p>
    <w:p w14:paraId="0AE108B3">
      <w:pPr>
        <w:spacing w:line="360" w:lineRule="auto"/>
        <w:ind w:firstLine="482" w:firstLineChars="200"/>
        <w:rPr>
          <w:rFonts w:ascii="Times New Roman"/>
        </w:rPr>
      </w:pPr>
      <w:r>
        <w:rPr>
          <w:rFonts w:ascii="Times New Roman"/>
          <w:b/>
          <w:bCs/>
          <w:sz w:val="24"/>
          <w:szCs w:val="24"/>
        </w:rPr>
        <w:t>排气筒DA01</w:t>
      </w:r>
      <w:r>
        <w:rPr>
          <w:rFonts w:hint="eastAsia" w:ascii="Times New Roman"/>
          <w:b/>
          <w:bCs/>
          <w:sz w:val="24"/>
          <w:szCs w:val="24"/>
        </w:rPr>
        <w:t>4</w:t>
      </w:r>
      <w:r>
        <w:rPr>
          <w:rFonts w:ascii="Times New Roman"/>
          <w:b/>
          <w:bCs/>
          <w:sz w:val="24"/>
          <w:szCs w:val="24"/>
        </w:rPr>
        <w:t>：</w:t>
      </w:r>
      <w:r>
        <w:rPr>
          <w:rFonts w:ascii="Times New Roman"/>
          <w:szCs w:val="24"/>
        </w:rPr>
        <w:t>食堂油烟、非甲烷总烃排放</w:t>
      </w:r>
      <w:r>
        <w:rPr>
          <w:rFonts w:hint="eastAsia" w:ascii="Times New Roman"/>
          <w:szCs w:val="24"/>
        </w:rPr>
        <w:t>参照</w:t>
      </w:r>
      <w:r>
        <w:rPr>
          <w:rFonts w:ascii="Times New Roman"/>
          <w:szCs w:val="24"/>
        </w:rPr>
        <w:t>《餐饮业大气污染物排放标准》（DB13/5808-2023）大型规模限值要求。</w:t>
      </w:r>
    </w:p>
    <w:p w14:paraId="03509C86">
      <w:pPr>
        <w:spacing w:line="360" w:lineRule="auto"/>
        <w:ind w:firstLine="480" w:firstLineChars="200"/>
        <w:rPr>
          <w:rFonts w:ascii="Times New Roman"/>
          <w:sz w:val="24"/>
          <w:szCs w:val="24"/>
        </w:rPr>
      </w:pPr>
      <w:r>
        <w:rPr>
          <w:rFonts w:hint="eastAsia" w:ascii="Times New Roman"/>
          <w:sz w:val="24"/>
          <w:szCs w:val="24"/>
        </w:rPr>
        <w:t>2.</w:t>
      </w:r>
      <w:r>
        <w:rPr>
          <w:rFonts w:ascii="Times New Roman"/>
          <w:sz w:val="24"/>
          <w:szCs w:val="24"/>
        </w:rPr>
        <w:t>无组织废气排放标准</w:t>
      </w:r>
    </w:p>
    <w:p w14:paraId="1F98953A">
      <w:pPr>
        <w:spacing w:line="360" w:lineRule="auto"/>
        <w:ind w:firstLine="480"/>
        <w:rPr>
          <w:rFonts w:ascii="Times New Roman"/>
          <w:szCs w:val="24"/>
        </w:rPr>
      </w:pPr>
      <w:r>
        <w:rPr>
          <w:rFonts w:ascii="Times New Roman"/>
          <w:sz w:val="24"/>
          <w:szCs w:val="24"/>
        </w:rPr>
        <w:t>厂界无组织监控浓度颗粒物执行</w:t>
      </w:r>
      <w:r>
        <w:rPr>
          <w:rFonts w:ascii="Times New Roman"/>
          <w:sz w:val="24"/>
          <w:szCs w:val="24"/>
          <w:lang w:val="zh-CN"/>
        </w:rPr>
        <w:t>《钢铁工业大气污染物超低排放标准》（DB13/2169-201</w:t>
      </w:r>
      <w:r>
        <w:rPr>
          <w:rFonts w:ascii="Times New Roman"/>
          <w:sz w:val="24"/>
          <w:szCs w:val="24"/>
        </w:rPr>
        <w:t>8</w:t>
      </w:r>
      <w:r>
        <w:rPr>
          <w:rFonts w:ascii="Times New Roman"/>
          <w:sz w:val="24"/>
          <w:szCs w:val="24"/>
          <w:lang w:val="zh-CN"/>
        </w:rPr>
        <w:t>）表</w:t>
      </w:r>
      <w:r>
        <w:rPr>
          <w:rFonts w:ascii="Times New Roman"/>
          <w:sz w:val="24"/>
          <w:szCs w:val="24"/>
        </w:rPr>
        <w:t>5企业大气污染物</w:t>
      </w:r>
      <w:r>
        <w:rPr>
          <w:rFonts w:ascii="Times New Roman"/>
          <w:sz w:val="24"/>
          <w:szCs w:val="24"/>
          <w:lang w:val="zh-CN"/>
        </w:rPr>
        <w:t>无组织排放浓度限值</w:t>
      </w:r>
      <w:r>
        <w:rPr>
          <w:rFonts w:ascii="Times New Roman"/>
          <w:sz w:val="24"/>
          <w:szCs w:val="24"/>
        </w:rPr>
        <w:t>；</w:t>
      </w:r>
      <w:r>
        <w:rPr>
          <w:rFonts w:ascii="Times New Roman"/>
          <w:bCs/>
          <w:sz w:val="24"/>
          <w:szCs w:val="24"/>
        </w:rPr>
        <w:t>无组织非甲烷总烃执行《工业企业挥发性有机物排放控制标准》（DB13/2322-2016）表2企业边界大气污染物浓度限值</w:t>
      </w:r>
      <w:r>
        <w:rPr>
          <w:rFonts w:hint="eastAsia" w:ascii="Times New Roman"/>
          <w:bCs/>
          <w:sz w:val="24"/>
          <w:szCs w:val="24"/>
        </w:rPr>
        <w:t>及</w:t>
      </w:r>
      <w:r>
        <w:rPr>
          <w:rFonts w:ascii="Times New Roman"/>
          <w:bCs/>
          <w:sz w:val="24"/>
          <w:szCs w:val="24"/>
        </w:rPr>
        <w:t>《挥发性有机物无组织排放控制标准》（GB37822-2019）</w:t>
      </w:r>
      <w:r>
        <w:rPr>
          <w:rFonts w:ascii="Times New Roman"/>
          <w:szCs w:val="24"/>
        </w:rPr>
        <w:t>表A.1厂区内VOCs无组织排放限值要求</w:t>
      </w:r>
      <w:r>
        <w:rPr>
          <w:rFonts w:ascii="Times New Roman"/>
          <w:bCs/>
          <w:sz w:val="24"/>
          <w:szCs w:val="24"/>
        </w:rPr>
        <w:t>；</w:t>
      </w:r>
      <w:r>
        <w:rPr>
          <w:rFonts w:hint="eastAsia" w:ascii="Times New Roman"/>
          <w:bCs/>
          <w:sz w:val="24"/>
          <w:szCs w:val="24"/>
        </w:rPr>
        <w:t>无组织二甲苯执行</w:t>
      </w:r>
      <w:r>
        <w:rPr>
          <w:rFonts w:ascii="Times New Roman"/>
          <w:bCs/>
          <w:sz w:val="24"/>
          <w:szCs w:val="24"/>
        </w:rPr>
        <w:t>《工业企业挥发性有机物排放控制标准》（DB13/2322-2016）表2企业边界大气污染物浓度限值；</w:t>
      </w:r>
      <w:r>
        <w:rPr>
          <w:rFonts w:ascii="Times New Roman"/>
          <w:szCs w:val="24"/>
        </w:rPr>
        <w:t>恶臭污染物执行《恶臭污染物排放标准》（GB14554-93）表1二级新扩改建标准。</w:t>
      </w:r>
    </w:p>
    <w:p w14:paraId="5B29B216">
      <w:pPr>
        <w:spacing w:line="480" w:lineRule="exact"/>
        <w:ind w:firstLine="480"/>
        <w:rPr>
          <w:rFonts w:ascii="Times New Roman"/>
          <w:sz w:val="24"/>
          <w:szCs w:val="24"/>
        </w:rPr>
      </w:pPr>
      <w:r>
        <w:rPr>
          <w:rFonts w:ascii="Times New Roman"/>
          <w:szCs w:val="24"/>
        </w:rPr>
        <w:t>非甲烷总烃去除效率不满足要求的情况下执行《工业企业挥发性有机物排放控制标准》（DB13/2322-2016）表3生产车间或生产设备边界大气污染物浓度限值要求。</w:t>
      </w:r>
    </w:p>
    <w:p w14:paraId="4DC396D8">
      <w:pPr>
        <w:spacing w:line="480" w:lineRule="exact"/>
        <w:jc w:val="center"/>
        <w:rPr>
          <w:rFonts w:ascii="Times New Roman"/>
          <w:b/>
          <w:sz w:val="24"/>
          <w:szCs w:val="24"/>
        </w:rPr>
      </w:pPr>
      <w:r>
        <w:rPr>
          <w:rFonts w:ascii="Times New Roman"/>
          <w:b/>
          <w:sz w:val="24"/>
          <w:szCs w:val="24"/>
        </w:rPr>
        <w:t>表2.7-6  运营期大气污染物排放标准</w:t>
      </w:r>
    </w:p>
    <w:tbl>
      <w:tblPr>
        <w:tblStyle w:val="8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
        <w:gridCol w:w="752"/>
        <w:gridCol w:w="165"/>
        <w:gridCol w:w="595"/>
        <w:gridCol w:w="478"/>
        <w:gridCol w:w="939"/>
        <w:gridCol w:w="1916"/>
        <w:gridCol w:w="289"/>
        <w:gridCol w:w="602"/>
        <w:gridCol w:w="2545"/>
      </w:tblGrid>
      <w:tr w14:paraId="3C32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9" w:type="pct"/>
            <w:vAlign w:val="center"/>
          </w:tcPr>
          <w:p w14:paraId="6A4A6BC5">
            <w:pPr>
              <w:widowControl/>
              <w:jc w:val="center"/>
              <w:rPr>
                <w:rFonts w:ascii="Times New Roman"/>
                <w:sz w:val="21"/>
                <w:szCs w:val="21"/>
              </w:rPr>
            </w:pPr>
            <w:r>
              <w:rPr>
                <w:rFonts w:ascii="Times New Roman"/>
                <w:sz w:val="21"/>
                <w:szCs w:val="21"/>
              </w:rPr>
              <w:t>类别</w:t>
            </w:r>
          </w:p>
        </w:tc>
        <w:tc>
          <w:tcPr>
            <w:tcW w:w="889" w:type="pct"/>
            <w:gridSpan w:val="3"/>
            <w:vAlign w:val="center"/>
          </w:tcPr>
          <w:p w14:paraId="20139CE8">
            <w:pPr>
              <w:widowControl/>
              <w:jc w:val="center"/>
              <w:rPr>
                <w:rFonts w:ascii="Times New Roman"/>
                <w:sz w:val="21"/>
                <w:szCs w:val="21"/>
              </w:rPr>
            </w:pPr>
            <w:r>
              <w:rPr>
                <w:rFonts w:ascii="Times New Roman"/>
                <w:sz w:val="21"/>
                <w:szCs w:val="21"/>
              </w:rPr>
              <w:t>污染源</w:t>
            </w:r>
          </w:p>
        </w:tc>
        <w:tc>
          <w:tcPr>
            <w:tcW w:w="280" w:type="pct"/>
            <w:vAlign w:val="center"/>
          </w:tcPr>
          <w:p w14:paraId="7458EC54">
            <w:pPr>
              <w:widowControl/>
              <w:jc w:val="center"/>
              <w:rPr>
                <w:rFonts w:ascii="Times New Roman"/>
                <w:sz w:val="21"/>
                <w:szCs w:val="21"/>
              </w:rPr>
            </w:pPr>
            <w:r>
              <w:rPr>
                <w:rFonts w:ascii="Times New Roman"/>
                <w:sz w:val="21"/>
                <w:szCs w:val="21"/>
              </w:rPr>
              <w:t>评价因子</w:t>
            </w:r>
          </w:p>
        </w:tc>
        <w:tc>
          <w:tcPr>
            <w:tcW w:w="552" w:type="pct"/>
            <w:vAlign w:val="center"/>
          </w:tcPr>
          <w:p w14:paraId="5B5D3709">
            <w:pPr>
              <w:widowControl/>
              <w:jc w:val="center"/>
              <w:rPr>
                <w:rFonts w:ascii="Times New Roman"/>
                <w:sz w:val="21"/>
                <w:szCs w:val="21"/>
              </w:rPr>
            </w:pPr>
            <w:r>
              <w:rPr>
                <w:rFonts w:ascii="Times New Roman"/>
                <w:sz w:val="21"/>
                <w:szCs w:val="21"/>
              </w:rPr>
              <w:t>标准值</w:t>
            </w:r>
          </w:p>
        </w:tc>
        <w:tc>
          <w:tcPr>
            <w:tcW w:w="1296" w:type="pct"/>
            <w:gridSpan w:val="2"/>
            <w:vAlign w:val="center"/>
          </w:tcPr>
          <w:p w14:paraId="3CB54B66">
            <w:pPr>
              <w:widowControl/>
              <w:jc w:val="center"/>
              <w:rPr>
                <w:rFonts w:ascii="Times New Roman"/>
                <w:sz w:val="21"/>
                <w:szCs w:val="21"/>
              </w:rPr>
            </w:pPr>
            <w:r>
              <w:rPr>
                <w:rFonts w:ascii="Times New Roman"/>
                <w:sz w:val="21"/>
                <w:szCs w:val="21"/>
              </w:rPr>
              <w:t>执行标准</w:t>
            </w:r>
          </w:p>
        </w:tc>
        <w:tc>
          <w:tcPr>
            <w:tcW w:w="1850" w:type="pct"/>
            <w:gridSpan w:val="2"/>
            <w:vAlign w:val="center"/>
          </w:tcPr>
          <w:p w14:paraId="6486C5A6">
            <w:pPr>
              <w:widowControl/>
              <w:jc w:val="center"/>
              <w:rPr>
                <w:rFonts w:ascii="Times New Roman"/>
                <w:sz w:val="21"/>
                <w:szCs w:val="21"/>
              </w:rPr>
            </w:pPr>
            <w:r>
              <w:rPr>
                <w:rFonts w:ascii="Times New Roman"/>
                <w:sz w:val="21"/>
                <w:szCs w:val="21"/>
              </w:rPr>
              <w:t>备注</w:t>
            </w:r>
          </w:p>
        </w:tc>
      </w:tr>
      <w:tr w14:paraId="6896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9" w:hRule="atLeast"/>
          <w:jc w:val="center"/>
        </w:trPr>
        <w:tc>
          <w:tcPr>
            <w:tcW w:w="129" w:type="pct"/>
            <w:vMerge w:val="restart"/>
            <w:vAlign w:val="center"/>
          </w:tcPr>
          <w:p w14:paraId="7B4ECD99">
            <w:pPr>
              <w:widowControl/>
              <w:jc w:val="center"/>
              <w:rPr>
                <w:rFonts w:ascii="Times New Roman"/>
                <w:sz w:val="21"/>
                <w:szCs w:val="21"/>
              </w:rPr>
            </w:pPr>
            <w:r>
              <w:rPr>
                <w:rFonts w:ascii="Times New Roman"/>
                <w:sz w:val="21"/>
                <w:szCs w:val="21"/>
              </w:rPr>
              <w:t>有组织</w:t>
            </w:r>
          </w:p>
        </w:tc>
        <w:tc>
          <w:tcPr>
            <w:tcW w:w="889" w:type="pct"/>
            <w:gridSpan w:val="3"/>
            <w:vAlign w:val="center"/>
          </w:tcPr>
          <w:p w14:paraId="0F8001D6">
            <w:pPr>
              <w:widowControl/>
              <w:jc w:val="center"/>
              <w:rPr>
                <w:rFonts w:ascii="Times New Roman"/>
                <w:sz w:val="21"/>
                <w:szCs w:val="21"/>
              </w:rPr>
            </w:pPr>
            <w:r>
              <w:rPr>
                <w:rFonts w:ascii="Times New Roman"/>
                <w:sz w:val="21"/>
                <w:szCs w:val="21"/>
              </w:rPr>
              <w:t>排气筒DA001切割、清理、打磨</w:t>
            </w:r>
          </w:p>
        </w:tc>
        <w:tc>
          <w:tcPr>
            <w:tcW w:w="280" w:type="pct"/>
            <w:vAlign w:val="center"/>
          </w:tcPr>
          <w:p w14:paraId="22D1EC70">
            <w:pPr>
              <w:widowControl/>
              <w:jc w:val="center"/>
              <w:rPr>
                <w:rFonts w:ascii="Times New Roman"/>
                <w:sz w:val="21"/>
                <w:szCs w:val="21"/>
              </w:rPr>
            </w:pPr>
            <w:r>
              <w:rPr>
                <w:rFonts w:ascii="Times New Roman"/>
                <w:sz w:val="21"/>
                <w:szCs w:val="21"/>
              </w:rPr>
              <w:t>颗粒物</w:t>
            </w:r>
          </w:p>
        </w:tc>
        <w:tc>
          <w:tcPr>
            <w:tcW w:w="552" w:type="pct"/>
            <w:vAlign w:val="center"/>
          </w:tcPr>
          <w:p w14:paraId="56905DED">
            <w:pPr>
              <w:widowControl/>
              <w:jc w:val="center"/>
              <w:rPr>
                <w:rFonts w:ascii="Times New Roman"/>
                <w:sz w:val="21"/>
                <w:szCs w:val="21"/>
              </w:rPr>
            </w:pPr>
            <w:r>
              <w:rPr>
                <w:rFonts w:ascii="Times New Roman"/>
                <w:sz w:val="21"/>
                <w:szCs w:val="21"/>
              </w:rPr>
              <w:t>10</w:t>
            </w:r>
            <w:r>
              <w:rPr>
                <w:rFonts w:ascii="Times New Roman"/>
                <w:bCs/>
                <w:sz w:val="21"/>
                <w:szCs w:val="21"/>
              </w:rPr>
              <w:t>mg/m</w:t>
            </w:r>
            <w:r>
              <w:rPr>
                <w:rFonts w:ascii="Times New Roman"/>
                <w:bCs/>
                <w:sz w:val="21"/>
                <w:szCs w:val="21"/>
                <w:vertAlign w:val="superscript"/>
              </w:rPr>
              <w:t>3</w:t>
            </w:r>
          </w:p>
        </w:tc>
        <w:tc>
          <w:tcPr>
            <w:tcW w:w="1296" w:type="pct"/>
            <w:gridSpan w:val="2"/>
            <w:vAlign w:val="center"/>
          </w:tcPr>
          <w:p w14:paraId="12BE4889">
            <w:pPr>
              <w:widowControl/>
              <w:jc w:val="center"/>
              <w:rPr>
                <w:rFonts w:ascii="Times New Roman"/>
                <w:sz w:val="21"/>
                <w:szCs w:val="21"/>
              </w:rPr>
            </w:pPr>
            <w:r>
              <w:rPr>
                <w:rFonts w:ascii="Times New Roman"/>
                <w:sz w:val="21"/>
                <w:szCs w:val="21"/>
              </w:rPr>
              <w:t>《钢铁工业大气污染物超低排放标准》（DB13/2169-2018）表1轧钢“热处理炉、拉矫、精整、抛丸、修磨、焊接机及其他生产设施”排放限值要求。</w:t>
            </w:r>
          </w:p>
        </w:tc>
        <w:tc>
          <w:tcPr>
            <w:tcW w:w="1850" w:type="pct"/>
            <w:gridSpan w:val="2"/>
            <w:vAlign w:val="center"/>
          </w:tcPr>
          <w:p w14:paraId="1FA8CCAD">
            <w:pPr>
              <w:widowControl/>
              <w:ind w:firstLine="420" w:firstLineChars="200"/>
              <w:jc w:val="center"/>
              <w:rPr>
                <w:rFonts w:ascii="Times New Roman"/>
                <w:bCs/>
                <w:sz w:val="21"/>
                <w:szCs w:val="21"/>
              </w:rPr>
            </w:pPr>
            <w:r>
              <w:rPr>
                <w:rFonts w:hint="eastAsia" w:ascii="Times New Roman"/>
                <w:bCs/>
                <w:sz w:val="21"/>
                <w:szCs w:val="21"/>
              </w:rPr>
              <w:t>/</w:t>
            </w:r>
          </w:p>
        </w:tc>
      </w:tr>
      <w:tr w14:paraId="62C4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9" w:hRule="atLeast"/>
          <w:jc w:val="center"/>
        </w:trPr>
        <w:tc>
          <w:tcPr>
            <w:tcW w:w="129" w:type="pct"/>
            <w:vMerge w:val="continue"/>
            <w:vAlign w:val="center"/>
          </w:tcPr>
          <w:p w14:paraId="35BDFD25">
            <w:pPr>
              <w:widowControl/>
              <w:jc w:val="center"/>
              <w:rPr>
                <w:rFonts w:ascii="Times New Roman"/>
                <w:sz w:val="21"/>
                <w:szCs w:val="21"/>
              </w:rPr>
            </w:pPr>
          </w:p>
        </w:tc>
        <w:tc>
          <w:tcPr>
            <w:tcW w:w="889" w:type="pct"/>
            <w:gridSpan w:val="3"/>
            <w:vAlign w:val="center"/>
          </w:tcPr>
          <w:p w14:paraId="564F4E91">
            <w:pPr>
              <w:widowControl/>
              <w:jc w:val="center"/>
              <w:rPr>
                <w:rFonts w:ascii="Times New Roman"/>
                <w:sz w:val="21"/>
                <w:szCs w:val="21"/>
              </w:rPr>
            </w:pPr>
            <w:r>
              <w:rPr>
                <w:rFonts w:ascii="Times New Roman"/>
                <w:sz w:val="21"/>
                <w:szCs w:val="21"/>
              </w:rPr>
              <w:t>排气筒DA002-DA004焊接</w:t>
            </w:r>
          </w:p>
        </w:tc>
        <w:tc>
          <w:tcPr>
            <w:tcW w:w="280" w:type="pct"/>
            <w:vAlign w:val="center"/>
          </w:tcPr>
          <w:p w14:paraId="7D856F35">
            <w:pPr>
              <w:widowControl/>
              <w:jc w:val="center"/>
              <w:rPr>
                <w:rFonts w:ascii="Times New Roman"/>
                <w:sz w:val="21"/>
                <w:szCs w:val="21"/>
              </w:rPr>
            </w:pPr>
            <w:r>
              <w:rPr>
                <w:rFonts w:ascii="Times New Roman"/>
                <w:sz w:val="21"/>
                <w:szCs w:val="21"/>
              </w:rPr>
              <w:t>颗粒物</w:t>
            </w:r>
          </w:p>
        </w:tc>
        <w:tc>
          <w:tcPr>
            <w:tcW w:w="552" w:type="pct"/>
            <w:vAlign w:val="center"/>
          </w:tcPr>
          <w:p w14:paraId="5AA178E3">
            <w:pPr>
              <w:widowControl/>
              <w:jc w:val="center"/>
              <w:rPr>
                <w:rFonts w:ascii="Times New Roman"/>
                <w:sz w:val="21"/>
                <w:szCs w:val="21"/>
              </w:rPr>
            </w:pPr>
            <w:r>
              <w:rPr>
                <w:rFonts w:ascii="Times New Roman"/>
                <w:sz w:val="21"/>
                <w:szCs w:val="21"/>
              </w:rPr>
              <w:t>10</w:t>
            </w:r>
            <w:r>
              <w:rPr>
                <w:rFonts w:ascii="Times New Roman"/>
                <w:bCs/>
                <w:sz w:val="21"/>
                <w:szCs w:val="21"/>
              </w:rPr>
              <w:t>mg/m</w:t>
            </w:r>
            <w:r>
              <w:rPr>
                <w:rFonts w:ascii="Times New Roman"/>
                <w:bCs/>
                <w:sz w:val="21"/>
                <w:szCs w:val="21"/>
                <w:vertAlign w:val="superscript"/>
              </w:rPr>
              <w:t>3</w:t>
            </w:r>
          </w:p>
        </w:tc>
        <w:tc>
          <w:tcPr>
            <w:tcW w:w="1296" w:type="pct"/>
            <w:gridSpan w:val="2"/>
            <w:vAlign w:val="center"/>
          </w:tcPr>
          <w:p w14:paraId="47480CC7">
            <w:pPr>
              <w:widowControl/>
              <w:jc w:val="center"/>
              <w:rPr>
                <w:rFonts w:ascii="Times New Roman"/>
                <w:sz w:val="21"/>
                <w:szCs w:val="21"/>
              </w:rPr>
            </w:pPr>
            <w:r>
              <w:rPr>
                <w:rFonts w:ascii="Times New Roman"/>
                <w:sz w:val="21"/>
                <w:szCs w:val="21"/>
              </w:rPr>
              <w:t>《钢铁工业大气污染物超低排放标准》（DB13/2169-2018）表1轧钢“热处理炉、拉矫、精整、抛丸、修磨、焊接机及其他生产设施”排放限值要求。</w:t>
            </w:r>
          </w:p>
        </w:tc>
        <w:tc>
          <w:tcPr>
            <w:tcW w:w="1850" w:type="pct"/>
            <w:gridSpan w:val="2"/>
            <w:vAlign w:val="center"/>
          </w:tcPr>
          <w:p w14:paraId="27C33CCC">
            <w:pPr>
              <w:widowControl/>
              <w:ind w:firstLine="420" w:firstLineChars="200"/>
              <w:jc w:val="center"/>
              <w:rPr>
                <w:rFonts w:ascii="Times New Roman"/>
                <w:sz w:val="21"/>
                <w:szCs w:val="21"/>
              </w:rPr>
            </w:pPr>
            <w:r>
              <w:rPr>
                <w:rFonts w:hint="eastAsia" w:ascii="Times New Roman"/>
                <w:sz w:val="21"/>
                <w:szCs w:val="21"/>
              </w:rPr>
              <w:t>/</w:t>
            </w:r>
          </w:p>
        </w:tc>
      </w:tr>
      <w:tr w14:paraId="06B3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3" w:hRule="atLeast"/>
          <w:jc w:val="center"/>
        </w:trPr>
        <w:tc>
          <w:tcPr>
            <w:tcW w:w="129" w:type="pct"/>
            <w:vMerge w:val="continue"/>
            <w:vAlign w:val="center"/>
          </w:tcPr>
          <w:p w14:paraId="1D6D797E">
            <w:pPr>
              <w:widowControl/>
              <w:jc w:val="center"/>
              <w:rPr>
                <w:rFonts w:ascii="Times New Roman"/>
                <w:sz w:val="21"/>
                <w:szCs w:val="21"/>
              </w:rPr>
            </w:pPr>
          </w:p>
        </w:tc>
        <w:tc>
          <w:tcPr>
            <w:tcW w:w="539" w:type="pct"/>
            <w:gridSpan w:val="2"/>
            <w:vMerge w:val="restart"/>
            <w:vAlign w:val="center"/>
          </w:tcPr>
          <w:p w14:paraId="7157CF4A">
            <w:pPr>
              <w:widowControl/>
              <w:jc w:val="center"/>
              <w:rPr>
                <w:rFonts w:ascii="Times New Roman"/>
                <w:sz w:val="21"/>
                <w:szCs w:val="21"/>
              </w:rPr>
            </w:pPr>
            <w:r>
              <w:rPr>
                <w:rFonts w:ascii="Times New Roman"/>
                <w:sz w:val="21"/>
                <w:szCs w:val="21"/>
              </w:rPr>
              <w:t>排气筒DA005</w:t>
            </w:r>
          </w:p>
        </w:tc>
        <w:tc>
          <w:tcPr>
            <w:tcW w:w="349" w:type="pct"/>
            <w:vMerge w:val="restart"/>
            <w:vAlign w:val="center"/>
          </w:tcPr>
          <w:p w14:paraId="6AB2F06A">
            <w:pPr>
              <w:widowControl/>
              <w:jc w:val="center"/>
              <w:rPr>
                <w:rFonts w:ascii="Times New Roman"/>
                <w:sz w:val="21"/>
                <w:szCs w:val="21"/>
              </w:rPr>
            </w:pPr>
            <w:r>
              <w:rPr>
                <w:rFonts w:ascii="Times New Roman"/>
                <w:sz w:val="21"/>
                <w:szCs w:val="21"/>
              </w:rPr>
              <w:t>热处理车炉加热</w:t>
            </w:r>
          </w:p>
        </w:tc>
        <w:tc>
          <w:tcPr>
            <w:tcW w:w="280" w:type="pct"/>
            <w:vAlign w:val="center"/>
          </w:tcPr>
          <w:p w14:paraId="4B7597D9">
            <w:pPr>
              <w:widowControl/>
              <w:jc w:val="center"/>
              <w:rPr>
                <w:rFonts w:ascii="Times New Roman"/>
                <w:sz w:val="21"/>
                <w:szCs w:val="21"/>
              </w:rPr>
            </w:pPr>
            <w:r>
              <w:rPr>
                <w:rFonts w:ascii="Times New Roman"/>
                <w:sz w:val="21"/>
                <w:szCs w:val="21"/>
              </w:rPr>
              <w:t>颗粒物</w:t>
            </w:r>
          </w:p>
        </w:tc>
        <w:tc>
          <w:tcPr>
            <w:tcW w:w="552" w:type="pct"/>
            <w:vAlign w:val="center"/>
          </w:tcPr>
          <w:p w14:paraId="57A21385">
            <w:pPr>
              <w:widowControl/>
              <w:jc w:val="center"/>
              <w:rPr>
                <w:rFonts w:ascii="Times New Roman"/>
                <w:sz w:val="21"/>
                <w:szCs w:val="21"/>
              </w:rPr>
            </w:pPr>
            <w:r>
              <w:rPr>
                <w:rFonts w:ascii="Times New Roman"/>
                <w:sz w:val="21"/>
                <w:szCs w:val="21"/>
              </w:rPr>
              <w:t>排放浓度50mg/m</w:t>
            </w:r>
            <w:r>
              <w:rPr>
                <w:rFonts w:ascii="Times New Roman"/>
                <w:sz w:val="21"/>
                <w:szCs w:val="21"/>
                <w:vertAlign w:val="superscript"/>
              </w:rPr>
              <w:t>3</w:t>
            </w:r>
          </w:p>
        </w:tc>
        <w:tc>
          <w:tcPr>
            <w:tcW w:w="1296" w:type="pct"/>
            <w:gridSpan w:val="2"/>
            <w:vMerge w:val="restart"/>
            <w:vAlign w:val="center"/>
          </w:tcPr>
          <w:p w14:paraId="76566CE5">
            <w:pPr>
              <w:widowControl/>
              <w:jc w:val="center"/>
              <w:rPr>
                <w:rFonts w:ascii="Times New Roman"/>
                <w:sz w:val="21"/>
                <w:szCs w:val="21"/>
              </w:rPr>
            </w:pPr>
            <w:r>
              <w:rPr>
                <w:rFonts w:ascii="Times New Roman"/>
                <w:sz w:val="21"/>
                <w:szCs w:val="21"/>
              </w:rPr>
              <w:t>《工业炉窑大气污染物排放标准》（DB13/1640-2012）标准</w:t>
            </w:r>
          </w:p>
        </w:tc>
        <w:tc>
          <w:tcPr>
            <w:tcW w:w="1850" w:type="pct"/>
            <w:gridSpan w:val="2"/>
            <w:vMerge w:val="restart"/>
            <w:vAlign w:val="center"/>
          </w:tcPr>
          <w:p w14:paraId="73737185">
            <w:pPr>
              <w:widowControl/>
              <w:ind w:firstLine="420" w:firstLineChars="200"/>
              <w:jc w:val="center"/>
              <w:rPr>
                <w:rFonts w:ascii="Times New Roman"/>
                <w:sz w:val="21"/>
                <w:szCs w:val="21"/>
              </w:rPr>
            </w:pPr>
            <w:r>
              <w:rPr>
                <w:rFonts w:hint="eastAsia" w:ascii="Times New Roman"/>
                <w:sz w:val="21"/>
                <w:szCs w:val="21"/>
              </w:rPr>
              <w:t>/</w:t>
            </w:r>
          </w:p>
        </w:tc>
      </w:tr>
      <w:tr w14:paraId="3AB2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29" w:type="pct"/>
            <w:vMerge w:val="continue"/>
            <w:vAlign w:val="center"/>
          </w:tcPr>
          <w:p w14:paraId="30DD2E78">
            <w:pPr>
              <w:widowControl/>
              <w:jc w:val="center"/>
              <w:rPr>
                <w:rFonts w:ascii="Times New Roman"/>
                <w:sz w:val="21"/>
                <w:szCs w:val="21"/>
              </w:rPr>
            </w:pPr>
          </w:p>
        </w:tc>
        <w:tc>
          <w:tcPr>
            <w:tcW w:w="539" w:type="pct"/>
            <w:gridSpan w:val="2"/>
            <w:vMerge w:val="continue"/>
            <w:vAlign w:val="center"/>
          </w:tcPr>
          <w:p w14:paraId="6F98FA53">
            <w:pPr>
              <w:widowControl/>
              <w:jc w:val="center"/>
              <w:rPr>
                <w:rFonts w:ascii="Times New Roman"/>
                <w:sz w:val="21"/>
                <w:szCs w:val="21"/>
              </w:rPr>
            </w:pPr>
          </w:p>
        </w:tc>
        <w:tc>
          <w:tcPr>
            <w:tcW w:w="349" w:type="pct"/>
            <w:vMerge w:val="continue"/>
            <w:vAlign w:val="center"/>
          </w:tcPr>
          <w:p w14:paraId="0173E1BD">
            <w:pPr>
              <w:widowControl/>
              <w:jc w:val="center"/>
              <w:rPr>
                <w:rFonts w:ascii="Times New Roman"/>
                <w:sz w:val="21"/>
                <w:szCs w:val="21"/>
              </w:rPr>
            </w:pPr>
          </w:p>
        </w:tc>
        <w:tc>
          <w:tcPr>
            <w:tcW w:w="280" w:type="pct"/>
            <w:vAlign w:val="center"/>
          </w:tcPr>
          <w:p w14:paraId="623231B2">
            <w:pPr>
              <w:widowControl/>
              <w:jc w:val="center"/>
              <w:rPr>
                <w:rFonts w:ascii="Times New Roman"/>
                <w:sz w:val="21"/>
                <w:szCs w:val="21"/>
              </w:rPr>
            </w:pPr>
            <w:r>
              <w:rPr>
                <w:rFonts w:ascii="Times New Roman"/>
                <w:sz w:val="21"/>
                <w:szCs w:val="21"/>
              </w:rPr>
              <w:t>二氧化硫</w:t>
            </w:r>
          </w:p>
        </w:tc>
        <w:tc>
          <w:tcPr>
            <w:tcW w:w="552" w:type="pct"/>
            <w:vAlign w:val="center"/>
          </w:tcPr>
          <w:p w14:paraId="432E9218">
            <w:pPr>
              <w:widowControl/>
              <w:jc w:val="center"/>
              <w:rPr>
                <w:rFonts w:ascii="Times New Roman"/>
                <w:sz w:val="21"/>
                <w:szCs w:val="21"/>
              </w:rPr>
            </w:pPr>
            <w:r>
              <w:rPr>
                <w:rFonts w:ascii="Times New Roman"/>
                <w:sz w:val="21"/>
                <w:szCs w:val="21"/>
              </w:rPr>
              <w:t>排放浓度400mg/m</w:t>
            </w:r>
            <w:r>
              <w:rPr>
                <w:rFonts w:ascii="Times New Roman"/>
                <w:sz w:val="21"/>
                <w:szCs w:val="21"/>
                <w:vertAlign w:val="superscript"/>
              </w:rPr>
              <w:t>3</w:t>
            </w:r>
          </w:p>
        </w:tc>
        <w:tc>
          <w:tcPr>
            <w:tcW w:w="1296" w:type="pct"/>
            <w:gridSpan w:val="2"/>
            <w:vMerge w:val="continue"/>
            <w:vAlign w:val="center"/>
          </w:tcPr>
          <w:p w14:paraId="47645A93">
            <w:pPr>
              <w:widowControl/>
              <w:jc w:val="center"/>
              <w:rPr>
                <w:rFonts w:ascii="Times New Roman"/>
                <w:sz w:val="21"/>
                <w:szCs w:val="21"/>
              </w:rPr>
            </w:pPr>
          </w:p>
        </w:tc>
        <w:tc>
          <w:tcPr>
            <w:tcW w:w="1850" w:type="pct"/>
            <w:gridSpan w:val="2"/>
            <w:vMerge w:val="continue"/>
            <w:vAlign w:val="center"/>
          </w:tcPr>
          <w:p w14:paraId="6222D027">
            <w:pPr>
              <w:widowControl/>
              <w:ind w:firstLine="420" w:firstLineChars="200"/>
              <w:jc w:val="left"/>
              <w:rPr>
                <w:rFonts w:ascii="Times New Roman"/>
                <w:bCs/>
                <w:sz w:val="21"/>
                <w:szCs w:val="21"/>
              </w:rPr>
            </w:pPr>
          </w:p>
        </w:tc>
      </w:tr>
      <w:tr w14:paraId="52B0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29" w:type="pct"/>
            <w:vMerge w:val="continue"/>
            <w:vAlign w:val="center"/>
          </w:tcPr>
          <w:p w14:paraId="3918087B">
            <w:pPr>
              <w:widowControl/>
              <w:jc w:val="center"/>
              <w:rPr>
                <w:rFonts w:ascii="Times New Roman"/>
                <w:sz w:val="21"/>
                <w:szCs w:val="21"/>
              </w:rPr>
            </w:pPr>
          </w:p>
        </w:tc>
        <w:tc>
          <w:tcPr>
            <w:tcW w:w="539" w:type="pct"/>
            <w:gridSpan w:val="2"/>
            <w:vMerge w:val="continue"/>
            <w:vAlign w:val="center"/>
          </w:tcPr>
          <w:p w14:paraId="4D1BAA1B">
            <w:pPr>
              <w:widowControl/>
              <w:jc w:val="center"/>
              <w:rPr>
                <w:rFonts w:ascii="Times New Roman"/>
                <w:sz w:val="21"/>
                <w:szCs w:val="21"/>
              </w:rPr>
            </w:pPr>
          </w:p>
        </w:tc>
        <w:tc>
          <w:tcPr>
            <w:tcW w:w="349" w:type="pct"/>
            <w:vMerge w:val="continue"/>
            <w:vAlign w:val="center"/>
          </w:tcPr>
          <w:p w14:paraId="56708BD9">
            <w:pPr>
              <w:widowControl/>
              <w:jc w:val="center"/>
              <w:rPr>
                <w:rFonts w:ascii="Times New Roman"/>
                <w:sz w:val="21"/>
                <w:szCs w:val="21"/>
              </w:rPr>
            </w:pPr>
          </w:p>
        </w:tc>
        <w:tc>
          <w:tcPr>
            <w:tcW w:w="280" w:type="pct"/>
            <w:vAlign w:val="center"/>
          </w:tcPr>
          <w:p w14:paraId="2F817EC2">
            <w:pPr>
              <w:widowControl/>
              <w:jc w:val="center"/>
              <w:rPr>
                <w:rFonts w:ascii="Times New Roman"/>
                <w:sz w:val="21"/>
                <w:szCs w:val="21"/>
              </w:rPr>
            </w:pPr>
            <w:r>
              <w:rPr>
                <w:rFonts w:ascii="Times New Roman"/>
                <w:sz w:val="21"/>
                <w:szCs w:val="21"/>
              </w:rPr>
              <w:t>氮氧化物</w:t>
            </w:r>
          </w:p>
        </w:tc>
        <w:tc>
          <w:tcPr>
            <w:tcW w:w="552" w:type="pct"/>
            <w:vAlign w:val="center"/>
          </w:tcPr>
          <w:p w14:paraId="00157FCD">
            <w:pPr>
              <w:widowControl/>
              <w:jc w:val="center"/>
              <w:rPr>
                <w:rFonts w:ascii="Times New Roman"/>
                <w:sz w:val="21"/>
                <w:szCs w:val="21"/>
              </w:rPr>
            </w:pPr>
            <w:r>
              <w:rPr>
                <w:rFonts w:ascii="Times New Roman"/>
                <w:sz w:val="21"/>
                <w:szCs w:val="21"/>
              </w:rPr>
              <w:t>排放浓度400mg/m</w:t>
            </w:r>
            <w:r>
              <w:rPr>
                <w:rFonts w:ascii="Times New Roman"/>
                <w:sz w:val="21"/>
                <w:szCs w:val="21"/>
                <w:vertAlign w:val="superscript"/>
              </w:rPr>
              <w:t>3</w:t>
            </w:r>
          </w:p>
        </w:tc>
        <w:tc>
          <w:tcPr>
            <w:tcW w:w="1296" w:type="pct"/>
            <w:gridSpan w:val="2"/>
            <w:vMerge w:val="continue"/>
            <w:vAlign w:val="center"/>
          </w:tcPr>
          <w:p w14:paraId="44157431">
            <w:pPr>
              <w:widowControl/>
              <w:jc w:val="center"/>
              <w:rPr>
                <w:rFonts w:ascii="Times New Roman"/>
                <w:sz w:val="21"/>
                <w:szCs w:val="21"/>
              </w:rPr>
            </w:pPr>
          </w:p>
        </w:tc>
        <w:tc>
          <w:tcPr>
            <w:tcW w:w="1850" w:type="pct"/>
            <w:gridSpan w:val="2"/>
            <w:vMerge w:val="continue"/>
            <w:vAlign w:val="center"/>
          </w:tcPr>
          <w:p w14:paraId="15D5DBC4">
            <w:pPr>
              <w:widowControl/>
              <w:ind w:firstLine="420" w:firstLineChars="200"/>
              <w:jc w:val="left"/>
              <w:rPr>
                <w:rFonts w:ascii="Times New Roman"/>
                <w:bCs/>
                <w:sz w:val="21"/>
                <w:szCs w:val="21"/>
              </w:rPr>
            </w:pPr>
          </w:p>
        </w:tc>
      </w:tr>
      <w:tr w14:paraId="6337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29" w:type="pct"/>
            <w:vMerge w:val="continue"/>
            <w:vAlign w:val="center"/>
          </w:tcPr>
          <w:p w14:paraId="49A38EFE">
            <w:pPr>
              <w:widowControl/>
              <w:jc w:val="center"/>
              <w:rPr>
                <w:rFonts w:ascii="Times New Roman"/>
                <w:sz w:val="21"/>
                <w:szCs w:val="21"/>
              </w:rPr>
            </w:pPr>
          </w:p>
        </w:tc>
        <w:tc>
          <w:tcPr>
            <w:tcW w:w="539" w:type="pct"/>
            <w:gridSpan w:val="2"/>
            <w:vMerge w:val="continue"/>
            <w:vAlign w:val="center"/>
          </w:tcPr>
          <w:p w14:paraId="4A68D7FD">
            <w:pPr>
              <w:widowControl/>
              <w:jc w:val="center"/>
              <w:rPr>
                <w:rFonts w:ascii="Times New Roman"/>
                <w:sz w:val="21"/>
                <w:szCs w:val="21"/>
              </w:rPr>
            </w:pPr>
          </w:p>
        </w:tc>
        <w:tc>
          <w:tcPr>
            <w:tcW w:w="349" w:type="pct"/>
            <w:vMerge w:val="continue"/>
            <w:vAlign w:val="center"/>
          </w:tcPr>
          <w:p w14:paraId="4B279445">
            <w:pPr>
              <w:widowControl/>
              <w:jc w:val="center"/>
              <w:rPr>
                <w:rFonts w:ascii="Times New Roman"/>
                <w:sz w:val="21"/>
                <w:szCs w:val="21"/>
              </w:rPr>
            </w:pPr>
          </w:p>
        </w:tc>
        <w:tc>
          <w:tcPr>
            <w:tcW w:w="280" w:type="pct"/>
            <w:vAlign w:val="center"/>
          </w:tcPr>
          <w:p w14:paraId="72596F3F">
            <w:pPr>
              <w:widowControl/>
              <w:jc w:val="center"/>
              <w:rPr>
                <w:rFonts w:ascii="Times New Roman"/>
                <w:sz w:val="21"/>
                <w:szCs w:val="21"/>
              </w:rPr>
            </w:pPr>
            <w:r>
              <w:rPr>
                <w:rFonts w:ascii="Times New Roman"/>
                <w:sz w:val="21"/>
                <w:szCs w:val="21"/>
              </w:rPr>
              <w:t>烟气黑度</w:t>
            </w:r>
          </w:p>
        </w:tc>
        <w:tc>
          <w:tcPr>
            <w:tcW w:w="552" w:type="pct"/>
            <w:vAlign w:val="center"/>
          </w:tcPr>
          <w:p w14:paraId="030E2923">
            <w:pPr>
              <w:widowControl/>
              <w:jc w:val="center"/>
              <w:rPr>
                <w:rFonts w:ascii="Times New Roman"/>
                <w:sz w:val="21"/>
                <w:szCs w:val="21"/>
              </w:rPr>
            </w:pPr>
            <w:r>
              <w:rPr>
                <w:rFonts w:ascii="Times New Roman"/>
                <w:sz w:val="21"/>
                <w:szCs w:val="21"/>
                <w:lang w:bidi="zh-TW"/>
              </w:rPr>
              <w:t>≤</w:t>
            </w:r>
            <w:r>
              <w:rPr>
                <w:rFonts w:ascii="Times New Roman"/>
                <w:sz w:val="21"/>
                <w:szCs w:val="21"/>
              </w:rPr>
              <w:t>1级</w:t>
            </w:r>
          </w:p>
        </w:tc>
        <w:tc>
          <w:tcPr>
            <w:tcW w:w="1296" w:type="pct"/>
            <w:gridSpan w:val="2"/>
            <w:vMerge w:val="continue"/>
            <w:vAlign w:val="center"/>
          </w:tcPr>
          <w:p w14:paraId="7872BAC1">
            <w:pPr>
              <w:widowControl/>
              <w:jc w:val="center"/>
              <w:rPr>
                <w:rFonts w:ascii="Times New Roman"/>
                <w:sz w:val="21"/>
                <w:szCs w:val="21"/>
              </w:rPr>
            </w:pPr>
          </w:p>
        </w:tc>
        <w:tc>
          <w:tcPr>
            <w:tcW w:w="1850" w:type="pct"/>
            <w:gridSpan w:val="2"/>
            <w:vMerge w:val="continue"/>
            <w:vAlign w:val="center"/>
          </w:tcPr>
          <w:p w14:paraId="01A0589A">
            <w:pPr>
              <w:widowControl/>
              <w:ind w:firstLine="420" w:firstLineChars="200"/>
              <w:jc w:val="left"/>
              <w:rPr>
                <w:rFonts w:ascii="Times New Roman"/>
                <w:bCs/>
                <w:sz w:val="21"/>
                <w:szCs w:val="21"/>
              </w:rPr>
            </w:pPr>
          </w:p>
        </w:tc>
      </w:tr>
      <w:tr w14:paraId="28E1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129" w:type="pct"/>
            <w:vMerge w:val="continue"/>
            <w:vAlign w:val="center"/>
          </w:tcPr>
          <w:p w14:paraId="6F649E46">
            <w:pPr>
              <w:widowControl/>
              <w:jc w:val="center"/>
              <w:rPr>
                <w:rFonts w:ascii="Times New Roman"/>
                <w:sz w:val="21"/>
                <w:szCs w:val="21"/>
              </w:rPr>
            </w:pPr>
          </w:p>
        </w:tc>
        <w:tc>
          <w:tcPr>
            <w:tcW w:w="539" w:type="pct"/>
            <w:gridSpan w:val="2"/>
            <w:vMerge w:val="continue"/>
            <w:vAlign w:val="center"/>
          </w:tcPr>
          <w:p w14:paraId="0D1F889A">
            <w:pPr>
              <w:widowControl/>
              <w:jc w:val="center"/>
              <w:rPr>
                <w:rFonts w:ascii="Times New Roman"/>
                <w:sz w:val="21"/>
                <w:szCs w:val="21"/>
              </w:rPr>
            </w:pPr>
          </w:p>
        </w:tc>
        <w:tc>
          <w:tcPr>
            <w:tcW w:w="349" w:type="pct"/>
            <w:vMerge w:val="continue"/>
            <w:vAlign w:val="center"/>
          </w:tcPr>
          <w:p w14:paraId="5F480C91">
            <w:pPr>
              <w:widowControl/>
              <w:jc w:val="center"/>
              <w:rPr>
                <w:rFonts w:ascii="Times New Roman"/>
                <w:sz w:val="21"/>
                <w:szCs w:val="21"/>
              </w:rPr>
            </w:pPr>
          </w:p>
        </w:tc>
        <w:tc>
          <w:tcPr>
            <w:tcW w:w="280" w:type="pct"/>
            <w:vAlign w:val="center"/>
          </w:tcPr>
          <w:p w14:paraId="234CB76A">
            <w:pPr>
              <w:widowControl/>
              <w:jc w:val="center"/>
              <w:rPr>
                <w:rFonts w:ascii="Times New Roman"/>
                <w:sz w:val="21"/>
                <w:szCs w:val="21"/>
              </w:rPr>
            </w:pPr>
            <w:r>
              <w:rPr>
                <w:rFonts w:ascii="Times New Roman"/>
                <w:sz w:val="21"/>
                <w:szCs w:val="21"/>
              </w:rPr>
              <w:t>颗粒物</w:t>
            </w:r>
          </w:p>
        </w:tc>
        <w:tc>
          <w:tcPr>
            <w:tcW w:w="552" w:type="pct"/>
            <w:vAlign w:val="center"/>
          </w:tcPr>
          <w:p w14:paraId="26E2605C">
            <w:pPr>
              <w:widowControl/>
              <w:jc w:val="center"/>
              <w:rPr>
                <w:rFonts w:ascii="Times New Roman"/>
                <w:sz w:val="21"/>
                <w:szCs w:val="21"/>
              </w:rPr>
            </w:pPr>
            <w:r>
              <w:rPr>
                <w:rFonts w:ascii="Times New Roman"/>
                <w:sz w:val="21"/>
                <w:szCs w:val="21"/>
              </w:rPr>
              <w:t>排放浓度</w:t>
            </w:r>
          </w:p>
          <w:p w14:paraId="3E5BEFD9">
            <w:pPr>
              <w:widowControl/>
              <w:jc w:val="center"/>
              <w:rPr>
                <w:rFonts w:ascii="Times New Roman"/>
                <w:sz w:val="21"/>
                <w:szCs w:val="21"/>
              </w:rPr>
            </w:pPr>
            <w:r>
              <w:rPr>
                <w:rFonts w:ascii="Times New Roman"/>
                <w:sz w:val="21"/>
                <w:szCs w:val="21"/>
              </w:rPr>
              <w:t>30mg/m</w:t>
            </w:r>
            <w:r>
              <w:rPr>
                <w:rFonts w:ascii="Times New Roman"/>
                <w:sz w:val="21"/>
                <w:szCs w:val="21"/>
                <w:vertAlign w:val="superscript"/>
              </w:rPr>
              <w:t>3</w:t>
            </w:r>
          </w:p>
        </w:tc>
        <w:tc>
          <w:tcPr>
            <w:tcW w:w="1296" w:type="pct"/>
            <w:gridSpan w:val="2"/>
            <w:vMerge w:val="restart"/>
            <w:vAlign w:val="center"/>
          </w:tcPr>
          <w:p w14:paraId="3FD875FF">
            <w:pPr>
              <w:widowControl/>
              <w:jc w:val="center"/>
              <w:rPr>
                <w:rFonts w:ascii="Times New Roman"/>
                <w:sz w:val="21"/>
                <w:szCs w:val="21"/>
              </w:rPr>
            </w:pPr>
            <w:r>
              <w:rPr>
                <w:rFonts w:ascii="Times New Roman"/>
                <w:sz w:val="21"/>
                <w:szCs w:val="21"/>
              </w:rPr>
              <w:t>《关于印发&lt;工业炉窑大气污染综合治理方案&gt;的通知》（环大气[2019]56号）排放标准</w:t>
            </w:r>
          </w:p>
        </w:tc>
        <w:tc>
          <w:tcPr>
            <w:tcW w:w="1850" w:type="pct"/>
            <w:gridSpan w:val="2"/>
            <w:vMerge w:val="continue"/>
            <w:vAlign w:val="center"/>
          </w:tcPr>
          <w:p w14:paraId="2117DAF0">
            <w:pPr>
              <w:widowControl/>
              <w:ind w:firstLine="420" w:firstLineChars="200"/>
              <w:jc w:val="left"/>
              <w:rPr>
                <w:rFonts w:ascii="Times New Roman"/>
                <w:bCs/>
                <w:sz w:val="21"/>
                <w:szCs w:val="21"/>
              </w:rPr>
            </w:pPr>
          </w:p>
        </w:tc>
      </w:tr>
      <w:tr w14:paraId="2BF3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129" w:type="pct"/>
            <w:vMerge w:val="continue"/>
            <w:vAlign w:val="center"/>
          </w:tcPr>
          <w:p w14:paraId="6ED3ED78">
            <w:pPr>
              <w:widowControl/>
              <w:jc w:val="center"/>
              <w:rPr>
                <w:rFonts w:ascii="Times New Roman"/>
                <w:sz w:val="21"/>
                <w:szCs w:val="21"/>
              </w:rPr>
            </w:pPr>
          </w:p>
        </w:tc>
        <w:tc>
          <w:tcPr>
            <w:tcW w:w="539" w:type="pct"/>
            <w:gridSpan w:val="2"/>
            <w:vMerge w:val="continue"/>
            <w:vAlign w:val="center"/>
          </w:tcPr>
          <w:p w14:paraId="297A16D5">
            <w:pPr>
              <w:widowControl/>
              <w:jc w:val="center"/>
              <w:rPr>
                <w:rFonts w:ascii="Times New Roman"/>
                <w:sz w:val="21"/>
                <w:szCs w:val="21"/>
              </w:rPr>
            </w:pPr>
          </w:p>
        </w:tc>
        <w:tc>
          <w:tcPr>
            <w:tcW w:w="349" w:type="pct"/>
            <w:vMerge w:val="continue"/>
            <w:vAlign w:val="center"/>
          </w:tcPr>
          <w:p w14:paraId="7DBCAD8E">
            <w:pPr>
              <w:widowControl/>
              <w:jc w:val="center"/>
              <w:rPr>
                <w:rFonts w:ascii="Times New Roman"/>
                <w:sz w:val="21"/>
                <w:szCs w:val="21"/>
              </w:rPr>
            </w:pPr>
          </w:p>
        </w:tc>
        <w:tc>
          <w:tcPr>
            <w:tcW w:w="280" w:type="pct"/>
            <w:vAlign w:val="center"/>
          </w:tcPr>
          <w:p w14:paraId="60A33424">
            <w:pPr>
              <w:widowControl/>
              <w:jc w:val="center"/>
              <w:rPr>
                <w:rFonts w:ascii="Times New Roman"/>
                <w:sz w:val="21"/>
                <w:szCs w:val="21"/>
              </w:rPr>
            </w:pPr>
            <w:r>
              <w:rPr>
                <w:rFonts w:ascii="Times New Roman"/>
                <w:sz w:val="21"/>
                <w:szCs w:val="21"/>
              </w:rPr>
              <w:t>二氧化硫</w:t>
            </w:r>
          </w:p>
        </w:tc>
        <w:tc>
          <w:tcPr>
            <w:tcW w:w="552" w:type="pct"/>
            <w:vAlign w:val="center"/>
          </w:tcPr>
          <w:p w14:paraId="5DD7111B">
            <w:pPr>
              <w:widowControl/>
              <w:jc w:val="center"/>
              <w:rPr>
                <w:rFonts w:ascii="Times New Roman"/>
                <w:sz w:val="21"/>
                <w:szCs w:val="21"/>
              </w:rPr>
            </w:pPr>
            <w:r>
              <w:rPr>
                <w:rFonts w:ascii="Times New Roman"/>
                <w:sz w:val="21"/>
                <w:szCs w:val="21"/>
              </w:rPr>
              <w:t>排放浓度200mg/m</w:t>
            </w:r>
            <w:r>
              <w:rPr>
                <w:rFonts w:ascii="Times New Roman"/>
                <w:sz w:val="21"/>
                <w:szCs w:val="21"/>
                <w:vertAlign w:val="superscript"/>
              </w:rPr>
              <w:t>3</w:t>
            </w:r>
          </w:p>
        </w:tc>
        <w:tc>
          <w:tcPr>
            <w:tcW w:w="1296" w:type="pct"/>
            <w:gridSpan w:val="2"/>
            <w:vMerge w:val="continue"/>
            <w:vAlign w:val="center"/>
          </w:tcPr>
          <w:p w14:paraId="7CACDB28">
            <w:pPr>
              <w:widowControl/>
              <w:jc w:val="center"/>
              <w:rPr>
                <w:rFonts w:ascii="Times New Roman"/>
                <w:sz w:val="21"/>
                <w:szCs w:val="21"/>
              </w:rPr>
            </w:pPr>
          </w:p>
        </w:tc>
        <w:tc>
          <w:tcPr>
            <w:tcW w:w="1850" w:type="pct"/>
            <w:gridSpan w:val="2"/>
            <w:vMerge w:val="continue"/>
            <w:vAlign w:val="center"/>
          </w:tcPr>
          <w:p w14:paraId="2B69F58E">
            <w:pPr>
              <w:widowControl/>
              <w:ind w:firstLine="420" w:firstLineChars="200"/>
              <w:jc w:val="left"/>
              <w:rPr>
                <w:rFonts w:ascii="Times New Roman"/>
                <w:bCs/>
                <w:sz w:val="21"/>
                <w:szCs w:val="21"/>
              </w:rPr>
            </w:pPr>
          </w:p>
        </w:tc>
      </w:tr>
      <w:tr w14:paraId="7DEE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129" w:type="pct"/>
            <w:vMerge w:val="continue"/>
            <w:vAlign w:val="center"/>
          </w:tcPr>
          <w:p w14:paraId="5B3390E9">
            <w:pPr>
              <w:widowControl/>
              <w:jc w:val="center"/>
              <w:rPr>
                <w:rFonts w:ascii="Times New Roman"/>
                <w:sz w:val="21"/>
                <w:szCs w:val="21"/>
              </w:rPr>
            </w:pPr>
          </w:p>
        </w:tc>
        <w:tc>
          <w:tcPr>
            <w:tcW w:w="539" w:type="pct"/>
            <w:gridSpan w:val="2"/>
            <w:vMerge w:val="continue"/>
            <w:vAlign w:val="center"/>
          </w:tcPr>
          <w:p w14:paraId="7DAE8FC1">
            <w:pPr>
              <w:widowControl/>
              <w:jc w:val="center"/>
              <w:rPr>
                <w:rFonts w:ascii="Times New Roman"/>
                <w:sz w:val="21"/>
                <w:szCs w:val="21"/>
              </w:rPr>
            </w:pPr>
          </w:p>
        </w:tc>
        <w:tc>
          <w:tcPr>
            <w:tcW w:w="349" w:type="pct"/>
            <w:vMerge w:val="continue"/>
            <w:vAlign w:val="center"/>
          </w:tcPr>
          <w:p w14:paraId="4B78773E">
            <w:pPr>
              <w:widowControl/>
              <w:jc w:val="center"/>
              <w:rPr>
                <w:rFonts w:ascii="Times New Roman"/>
                <w:sz w:val="21"/>
                <w:szCs w:val="21"/>
              </w:rPr>
            </w:pPr>
          </w:p>
        </w:tc>
        <w:tc>
          <w:tcPr>
            <w:tcW w:w="280" w:type="pct"/>
            <w:vAlign w:val="center"/>
          </w:tcPr>
          <w:p w14:paraId="286A41C7">
            <w:pPr>
              <w:widowControl/>
              <w:jc w:val="center"/>
              <w:rPr>
                <w:rFonts w:ascii="Times New Roman"/>
                <w:sz w:val="21"/>
                <w:szCs w:val="21"/>
              </w:rPr>
            </w:pPr>
            <w:r>
              <w:rPr>
                <w:rFonts w:ascii="Times New Roman"/>
                <w:sz w:val="21"/>
                <w:szCs w:val="21"/>
              </w:rPr>
              <w:t>氮氧化物</w:t>
            </w:r>
          </w:p>
        </w:tc>
        <w:tc>
          <w:tcPr>
            <w:tcW w:w="552" w:type="pct"/>
            <w:vAlign w:val="center"/>
          </w:tcPr>
          <w:p w14:paraId="70412F5D">
            <w:pPr>
              <w:widowControl/>
              <w:jc w:val="center"/>
              <w:rPr>
                <w:rFonts w:ascii="Times New Roman"/>
                <w:sz w:val="21"/>
                <w:szCs w:val="21"/>
              </w:rPr>
            </w:pPr>
            <w:r>
              <w:rPr>
                <w:rFonts w:ascii="Times New Roman"/>
                <w:sz w:val="21"/>
                <w:szCs w:val="21"/>
              </w:rPr>
              <w:t>排放浓度300mg/m</w:t>
            </w:r>
            <w:r>
              <w:rPr>
                <w:rFonts w:ascii="Times New Roman"/>
                <w:sz w:val="21"/>
                <w:szCs w:val="21"/>
                <w:vertAlign w:val="superscript"/>
              </w:rPr>
              <w:t>3</w:t>
            </w:r>
          </w:p>
        </w:tc>
        <w:tc>
          <w:tcPr>
            <w:tcW w:w="1296" w:type="pct"/>
            <w:gridSpan w:val="2"/>
            <w:vMerge w:val="continue"/>
            <w:vAlign w:val="center"/>
          </w:tcPr>
          <w:p w14:paraId="61E525E3">
            <w:pPr>
              <w:widowControl/>
              <w:jc w:val="center"/>
              <w:rPr>
                <w:rFonts w:ascii="Times New Roman"/>
                <w:sz w:val="21"/>
                <w:szCs w:val="21"/>
              </w:rPr>
            </w:pPr>
          </w:p>
        </w:tc>
        <w:tc>
          <w:tcPr>
            <w:tcW w:w="1850" w:type="pct"/>
            <w:gridSpan w:val="2"/>
            <w:vMerge w:val="continue"/>
            <w:vAlign w:val="center"/>
          </w:tcPr>
          <w:p w14:paraId="4C58A5F5">
            <w:pPr>
              <w:widowControl/>
              <w:ind w:firstLine="420" w:firstLineChars="200"/>
              <w:jc w:val="left"/>
              <w:rPr>
                <w:rFonts w:ascii="Times New Roman"/>
                <w:bCs/>
                <w:sz w:val="21"/>
                <w:szCs w:val="21"/>
              </w:rPr>
            </w:pPr>
          </w:p>
        </w:tc>
      </w:tr>
      <w:tr w14:paraId="4BCA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129" w:type="pct"/>
            <w:vMerge w:val="continue"/>
            <w:vAlign w:val="center"/>
          </w:tcPr>
          <w:p w14:paraId="4D023674">
            <w:pPr>
              <w:widowControl/>
              <w:jc w:val="center"/>
              <w:rPr>
                <w:rFonts w:ascii="Times New Roman"/>
                <w:sz w:val="21"/>
                <w:szCs w:val="21"/>
              </w:rPr>
            </w:pPr>
          </w:p>
        </w:tc>
        <w:tc>
          <w:tcPr>
            <w:tcW w:w="539" w:type="pct"/>
            <w:gridSpan w:val="2"/>
            <w:vMerge w:val="restart"/>
            <w:vAlign w:val="center"/>
          </w:tcPr>
          <w:p w14:paraId="3AA1AF07">
            <w:pPr>
              <w:widowControl/>
              <w:jc w:val="center"/>
              <w:rPr>
                <w:rFonts w:ascii="Times New Roman"/>
                <w:sz w:val="21"/>
                <w:szCs w:val="21"/>
              </w:rPr>
            </w:pPr>
            <w:r>
              <w:rPr>
                <w:rFonts w:ascii="Times New Roman"/>
                <w:sz w:val="21"/>
                <w:szCs w:val="21"/>
              </w:rPr>
              <w:t>排气筒DA006</w:t>
            </w:r>
          </w:p>
        </w:tc>
        <w:tc>
          <w:tcPr>
            <w:tcW w:w="349" w:type="pct"/>
            <w:vMerge w:val="restart"/>
            <w:vAlign w:val="center"/>
          </w:tcPr>
          <w:p w14:paraId="31396451">
            <w:pPr>
              <w:widowControl/>
              <w:jc w:val="center"/>
              <w:rPr>
                <w:rFonts w:ascii="Times New Roman"/>
                <w:sz w:val="21"/>
                <w:szCs w:val="21"/>
              </w:rPr>
            </w:pPr>
            <w:r>
              <w:rPr>
                <w:rFonts w:ascii="Times New Roman"/>
                <w:sz w:val="21"/>
                <w:szCs w:val="21"/>
              </w:rPr>
              <w:t>淬油工序</w:t>
            </w:r>
          </w:p>
        </w:tc>
        <w:tc>
          <w:tcPr>
            <w:tcW w:w="280" w:type="pct"/>
            <w:vAlign w:val="center"/>
          </w:tcPr>
          <w:p w14:paraId="626F0124">
            <w:pPr>
              <w:widowControl/>
              <w:jc w:val="center"/>
              <w:rPr>
                <w:rFonts w:ascii="Times New Roman"/>
                <w:sz w:val="21"/>
                <w:szCs w:val="21"/>
              </w:rPr>
            </w:pPr>
            <w:r>
              <w:rPr>
                <w:rFonts w:ascii="Times New Roman"/>
                <w:sz w:val="21"/>
                <w:szCs w:val="21"/>
              </w:rPr>
              <w:t>油雾（以颗粒物计）</w:t>
            </w:r>
          </w:p>
        </w:tc>
        <w:tc>
          <w:tcPr>
            <w:tcW w:w="552" w:type="pct"/>
            <w:vAlign w:val="center"/>
          </w:tcPr>
          <w:p w14:paraId="5C8D69AB">
            <w:pPr>
              <w:widowControl/>
              <w:jc w:val="center"/>
              <w:rPr>
                <w:rFonts w:ascii="Times New Roman"/>
                <w:sz w:val="21"/>
                <w:szCs w:val="21"/>
              </w:rPr>
            </w:pPr>
            <w:r>
              <w:rPr>
                <w:rFonts w:ascii="Times New Roman"/>
                <w:sz w:val="21"/>
                <w:szCs w:val="21"/>
              </w:rPr>
              <w:t>排放浓度20mg/m</w:t>
            </w:r>
            <w:r>
              <w:rPr>
                <w:rFonts w:ascii="Times New Roman"/>
                <w:sz w:val="21"/>
                <w:szCs w:val="21"/>
                <w:vertAlign w:val="superscript"/>
              </w:rPr>
              <w:t>3</w:t>
            </w:r>
          </w:p>
        </w:tc>
        <w:tc>
          <w:tcPr>
            <w:tcW w:w="1296" w:type="pct"/>
            <w:gridSpan w:val="2"/>
            <w:vAlign w:val="center"/>
          </w:tcPr>
          <w:p w14:paraId="2E32591A">
            <w:pPr>
              <w:widowControl/>
              <w:jc w:val="center"/>
              <w:rPr>
                <w:rFonts w:ascii="Times New Roman"/>
                <w:sz w:val="21"/>
                <w:szCs w:val="21"/>
              </w:rPr>
            </w:pPr>
            <w:r>
              <w:rPr>
                <w:rFonts w:ascii="Times New Roman"/>
                <w:sz w:val="21"/>
                <w:szCs w:val="21"/>
              </w:rPr>
              <w:t>《钢铁工业大气污染物超低排放标准》（DB13/2169-2018）表4中的排放浓度限值</w:t>
            </w:r>
          </w:p>
        </w:tc>
        <w:tc>
          <w:tcPr>
            <w:tcW w:w="1850" w:type="pct"/>
            <w:gridSpan w:val="2"/>
            <w:vAlign w:val="center"/>
          </w:tcPr>
          <w:p w14:paraId="03960161">
            <w:pPr>
              <w:widowControl/>
              <w:ind w:firstLine="420" w:firstLineChars="200"/>
              <w:jc w:val="center"/>
              <w:rPr>
                <w:rFonts w:ascii="Times New Roman"/>
                <w:bCs/>
                <w:sz w:val="21"/>
                <w:szCs w:val="21"/>
              </w:rPr>
            </w:pPr>
            <w:r>
              <w:rPr>
                <w:rFonts w:hint="eastAsia" w:ascii="Times New Roman"/>
                <w:bCs/>
                <w:sz w:val="21"/>
                <w:szCs w:val="21"/>
              </w:rPr>
              <w:t>/</w:t>
            </w:r>
          </w:p>
        </w:tc>
      </w:tr>
      <w:tr w14:paraId="5F81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129" w:type="pct"/>
            <w:vMerge w:val="continue"/>
            <w:vAlign w:val="center"/>
          </w:tcPr>
          <w:p w14:paraId="135A4E4D">
            <w:pPr>
              <w:widowControl/>
              <w:jc w:val="center"/>
              <w:rPr>
                <w:rFonts w:ascii="Times New Roman"/>
                <w:sz w:val="21"/>
                <w:szCs w:val="21"/>
              </w:rPr>
            </w:pPr>
          </w:p>
        </w:tc>
        <w:tc>
          <w:tcPr>
            <w:tcW w:w="539" w:type="pct"/>
            <w:gridSpan w:val="2"/>
            <w:vMerge w:val="continue"/>
            <w:vAlign w:val="center"/>
          </w:tcPr>
          <w:p w14:paraId="6BFE43BA">
            <w:pPr>
              <w:widowControl/>
              <w:jc w:val="center"/>
              <w:rPr>
                <w:rFonts w:ascii="Times New Roman"/>
                <w:sz w:val="21"/>
                <w:szCs w:val="21"/>
              </w:rPr>
            </w:pPr>
          </w:p>
        </w:tc>
        <w:tc>
          <w:tcPr>
            <w:tcW w:w="349" w:type="pct"/>
            <w:vMerge w:val="continue"/>
            <w:vAlign w:val="center"/>
          </w:tcPr>
          <w:p w14:paraId="7E942921">
            <w:pPr>
              <w:widowControl/>
              <w:jc w:val="center"/>
              <w:rPr>
                <w:rFonts w:ascii="Times New Roman"/>
                <w:sz w:val="21"/>
                <w:szCs w:val="21"/>
              </w:rPr>
            </w:pPr>
          </w:p>
        </w:tc>
        <w:tc>
          <w:tcPr>
            <w:tcW w:w="280" w:type="pct"/>
            <w:vAlign w:val="center"/>
          </w:tcPr>
          <w:p w14:paraId="75019BB1">
            <w:pPr>
              <w:widowControl/>
              <w:jc w:val="center"/>
              <w:rPr>
                <w:rFonts w:ascii="Times New Roman"/>
                <w:sz w:val="21"/>
                <w:szCs w:val="21"/>
              </w:rPr>
            </w:pPr>
            <w:r>
              <w:rPr>
                <w:rFonts w:ascii="Times New Roman"/>
                <w:sz w:val="21"/>
                <w:szCs w:val="21"/>
              </w:rPr>
              <w:t>非甲烷总烃</w:t>
            </w:r>
          </w:p>
        </w:tc>
        <w:tc>
          <w:tcPr>
            <w:tcW w:w="552" w:type="pct"/>
            <w:vAlign w:val="center"/>
          </w:tcPr>
          <w:p w14:paraId="5E61A702">
            <w:pPr>
              <w:widowControl/>
              <w:jc w:val="center"/>
              <w:rPr>
                <w:rFonts w:ascii="Times New Roman"/>
                <w:sz w:val="21"/>
                <w:szCs w:val="21"/>
              </w:rPr>
            </w:pPr>
            <w:r>
              <w:rPr>
                <w:rFonts w:ascii="Times New Roman"/>
                <w:sz w:val="21"/>
                <w:szCs w:val="21"/>
              </w:rPr>
              <w:t>最高允许排放浓度</w:t>
            </w:r>
            <w:r>
              <w:rPr>
                <w:rFonts w:hint="eastAsia" w:ascii="Times New Roman"/>
                <w:sz w:val="21"/>
                <w:szCs w:val="21"/>
              </w:rPr>
              <w:t>8</w:t>
            </w:r>
            <w:r>
              <w:rPr>
                <w:rFonts w:ascii="Times New Roman"/>
                <w:sz w:val="21"/>
                <w:szCs w:val="21"/>
              </w:rPr>
              <w:t>0mg/m</w:t>
            </w:r>
            <w:r>
              <w:rPr>
                <w:rFonts w:ascii="Times New Roman"/>
                <w:sz w:val="21"/>
                <w:szCs w:val="21"/>
                <w:vertAlign w:val="superscript"/>
              </w:rPr>
              <w:t>3</w:t>
            </w:r>
          </w:p>
        </w:tc>
        <w:tc>
          <w:tcPr>
            <w:tcW w:w="1296" w:type="pct"/>
            <w:gridSpan w:val="2"/>
            <w:vAlign w:val="center"/>
          </w:tcPr>
          <w:p w14:paraId="354BED76">
            <w:pPr>
              <w:widowControl/>
              <w:jc w:val="center"/>
              <w:rPr>
                <w:rFonts w:ascii="Times New Roman"/>
                <w:sz w:val="21"/>
                <w:szCs w:val="21"/>
              </w:rPr>
            </w:pPr>
            <w:r>
              <w:rPr>
                <w:rFonts w:ascii="Times New Roman"/>
                <w:sz w:val="21"/>
                <w:szCs w:val="21"/>
              </w:rPr>
              <w:t>《工业企业挥发性有机物排放控制标准》（DB13/2322-2016）表1其他行业限值要求</w:t>
            </w:r>
          </w:p>
        </w:tc>
        <w:tc>
          <w:tcPr>
            <w:tcW w:w="1850" w:type="pct"/>
            <w:gridSpan w:val="2"/>
            <w:vAlign w:val="center"/>
          </w:tcPr>
          <w:p w14:paraId="045A0B87">
            <w:pPr>
              <w:widowControl/>
              <w:ind w:firstLine="420" w:firstLineChars="200"/>
              <w:jc w:val="center"/>
              <w:rPr>
                <w:rFonts w:ascii="Times New Roman"/>
                <w:bCs/>
                <w:sz w:val="21"/>
                <w:szCs w:val="21"/>
              </w:rPr>
            </w:pPr>
            <w:r>
              <w:rPr>
                <w:rFonts w:hint="eastAsia" w:ascii="Times New Roman"/>
                <w:bCs/>
                <w:sz w:val="21"/>
                <w:szCs w:val="21"/>
              </w:rPr>
              <w:t>/</w:t>
            </w:r>
          </w:p>
        </w:tc>
      </w:tr>
      <w:tr w14:paraId="453C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129" w:type="pct"/>
            <w:vMerge w:val="continue"/>
            <w:vAlign w:val="center"/>
          </w:tcPr>
          <w:p w14:paraId="73663AB0">
            <w:pPr>
              <w:widowControl/>
              <w:jc w:val="center"/>
              <w:rPr>
                <w:rFonts w:ascii="Times New Roman"/>
                <w:sz w:val="21"/>
                <w:szCs w:val="21"/>
              </w:rPr>
            </w:pPr>
          </w:p>
        </w:tc>
        <w:tc>
          <w:tcPr>
            <w:tcW w:w="889" w:type="pct"/>
            <w:gridSpan w:val="3"/>
            <w:vAlign w:val="center"/>
          </w:tcPr>
          <w:p w14:paraId="68AE502E">
            <w:pPr>
              <w:widowControl/>
              <w:jc w:val="center"/>
              <w:rPr>
                <w:rFonts w:ascii="Times New Roman"/>
                <w:sz w:val="21"/>
                <w:szCs w:val="21"/>
              </w:rPr>
            </w:pPr>
            <w:r>
              <w:rPr>
                <w:rFonts w:ascii="Times New Roman"/>
                <w:sz w:val="21"/>
                <w:szCs w:val="21"/>
              </w:rPr>
              <w:t>排气筒DA007抛丸、喷砂</w:t>
            </w:r>
          </w:p>
        </w:tc>
        <w:tc>
          <w:tcPr>
            <w:tcW w:w="280" w:type="pct"/>
            <w:vAlign w:val="center"/>
          </w:tcPr>
          <w:p w14:paraId="244CA354">
            <w:pPr>
              <w:widowControl/>
              <w:jc w:val="center"/>
              <w:rPr>
                <w:rFonts w:ascii="Times New Roman"/>
                <w:sz w:val="21"/>
                <w:szCs w:val="21"/>
              </w:rPr>
            </w:pPr>
            <w:r>
              <w:rPr>
                <w:rFonts w:ascii="Times New Roman"/>
                <w:sz w:val="21"/>
                <w:szCs w:val="21"/>
              </w:rPr>
              <w:t>颗粒物</w:t>
            </w:r>
          </w:p>
        </w:tc>
        <w:tc>
          <w:tcPr>
            <w:tcW w:w="552" w:type="pct"/>
            <w:vAlign w:val="center"/>
          </w:tcPr>
          <w:p w14:paraId="43A5FEBC">
            <w:pPr>
              <w:widowControl/>
              <w:jc w:val="center"/>
              <w:rPr>
                <w:rFonts w:ascii="Times New Roman"/>
                <w:sz w:val="21"/>
                <w:szCs w:val="21"/>
              </w:rPr>
            </w:pPr>
            <w:r>
              <w:rPr>
                <w:rFonts w:ascii="Times New Roman"/>
                <w:sz w:val="21"/>
                <w:szCs w:val="21"/>
              </w:rPr>
              <w:t>10</w:t>
            </w:r>
            <w:r>
              <w:rPr>
                <w:rFonts w:ascii="Times New Roman"/>
                <w:bCs/>
                <w:sz w:val="21"/>
                <w:szCs w:val="21"/>
              </w:rPr>
              <w:t>mg/m</w:t>
            </w:r>
            <w:r>
              <w:rPr>
                <w:rFonts w:ascii="Times New Roman"/>
                <w:bCs/>
                <w:sz w:val="21"/>
                <w:szCs w:val="21"/>
                <w:vertAlign w:val="superscript"/>
              </w:rPr>
              <w:t>3</w:t>
            </w:r>
          </w:p>
        </w:tc>
        <w:tc>
          <w:tcPr>
            <w:tcW w:w="1296" w:type="pct"/>
            <w:gridSpan w:val="2"/>
            <w:vAlign w:val="center"/>
          </w:tcPr>
          <w:p w14:paraId="5FC6F44B">
            <w:pPr>
              <w:widowControl/>
              <w:jc w:val="center"/>
              <w:rPr>
                <w:rFonts w:ascii="Times New Roman"/>
                <w:sz w:val="21"/>
                <w:szCs w:val="21"/>
              </w:rPr>
            </w:pPr>
            <w:r>
              <w:rPr>
                <w:rFonts w:ascii="Times New Roman"/>
                <w:sz w:val="21"/>
                <w:szCs w:val="21"/>
              </w:rPr>
              <w:t>《钢铁工业大气污染物超低排放标准》（DB13/2169-2018）表1轧钢“热处理炉、拉矫、精整、抛丸、修磨、焊接机及其他生产设施”排放限值要求</w:t>
            </w:r>
          </w:p>
        </w:tc>
        <w:tc>
          <w:tcPr>
            <w:tcW w:w="1850" w:type="pct"/>
            <w:gridSpan w:val="2"/>
            <w:vAlign w:val="center"/>
          </w:tcPr>
          <w:p w14:paraId="4B80156A">
            <w:pPr>
              <w:widowControl/>
              <w:ind w:firstLine="420" w:firstLineChars="200"/>
              <w:jc w:val="center"/>
              <w:rPr>
                <w:rFonts w:ascii="Times New Roman"/>
                <w:sz w:val="21"/>
                <w:szCs w:val="21"/>
              </w:rPr>
            </w:pPr>
            <w:r>
              <w:rPr>
                <w:rFonts w:hint="eastAsia" w:ascii="Times New Roman"/>
                <w:sz w:val="21"/>
                <w:szCs w:val="21"/>
              </w:rPr>
              <w:t>/</w:t>
            </w:r>
          </w:p>
        </w:tc>
      </w:tr>
      <w:tr w14:paraId="0C32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0A50CCAE">
            <w:pPr>
              <w:widowControl/>
              <w:jc w:val="center"/>
              <w:rPr>
                <w:rFonts w:ascii="Times New Roman"/>
                <w:sz w:val="21"/>
                <w:szCs w:val="21"/>
              </w:rPr>
            </w:pPr>
          </w:p>
        </w:tc>
        <w:tc>
          <w:tcPr>
            <w:tcW w:w="442" w:type="pct"/>
            <w:vMerge w:val="restart"/>
            <w:vAlign w:val="center"/>
          </w:tcPr>
          <w:p w14:paraId="7C15742A">
            <w:pPr>
              <w:widowControl/>
              <w:jc w:val="center"/>
              <w:rPr>
                <w:rFonts w:ascii="Times New Roman"/>
                <w:sz w:val="21"/>
                <w:szCs w:val="21"/>
              </w:rPr>
            </w:pPr>
            <w:r>
              <w:rPr>
                <w:rFonts w:hint="eastAsia" w:ascii="Times New Roman"/>
                <w:sz w:val="21"/>
                <w:szCs w:val="21"/>
              </w:rPr>
              <w:t>排气筒DA008</w:t>
            </w:r>
          </w:p>
        </w:tc>
        <w:tc>
          <w:tcPr>
            <w:tcW w:w="446" w:type="pct"/>
            <w:gridSpan w:val="2"/>
            <w:vMerge w:val="restart"/>
            <w:vAlign w:val="center"/>
          </w:tcPr>
          <w:p w14:paraId="174CE7C0">
            <w:pPr>
              <w:widowControl/>
              <w:jc w:val="center"/>
              <w:rPr>
                <w:rFonts w:ascii="Times New Roman"/>
                <w:sz w:val="21"/>
                <w:szCs w:val="21"/>
              </w:rPr>
            </w:pPr>
            <w:r>
              <w:rPr>
                <w:rFonts w:hint="eastAsia" w:ascii="Times New Roman"/>
                <w:sz w:val="21"/>
                <w:szCs w:val="21"/>
              </w:rPr>
              <w:t>热水锅炉</w:t>
            </w:r>
          </w:p>
        </w:tc>
        <w:tc>
          <w:tcPr>
            <w:tcW w:w="280" w:type="pct"/>
            <w:vAlign w:val="center"/>
          </w:tcPr>
          <w:p w14:paraId="1328687F">
            <w:pPr>
              <w:widowControl/>
              <w:jc w:val="center"/>
              <w:rPr>
                <w:rFonts w:ascii="Times New Roman"/>
                <w:sz w:val="21"/>
                <w:szCs w:val="21"/>
              </w:rPr>
            </w:pPr>
            <w:r>
              <w:rPr>
                <w:rFonts w:ascii="Times New Roman"/>
                <w:sz w:val="21"/>
                <w:szCs w:val="21"/>
              </w:rPr>
              <w:t>颗粒物</w:t>
            </w:r>
          </w:p>
        </w:tc>
        <w:tc>
          <w:tcPr>
            <w:tcW w:w="552" w:type="pct"/>
            <w:vAlign w:val="center"/>
          </w:tcPr>
          <w:p w14:paraId="0FEC5597">
            <w:pPr>
              <w:widowControl/>
              <w:jc w:val="center"/>
              <w:rPr>
                <w:rFonts w:ascii="Times New Roman"/>
                <w:sz w:val="21"/>
                <w:szCs w:val="21"/>
              </w:rPr>
            </w:pPr>
            <w:r>
              <w:rPr>
                <w:rFonts w:ascii="Times New Roman"/>
                <w:sz w:val="21"/>
                <w:szCs w:val="21"/>
              </w:rPr>
              <w:t>排放浓度50mg/m</w:t>
            </w:r>
            <w:r>
              <w:rPr>
                <w:rFonts w:ascii="Times New Roman"/>
                <w:sz w:val="21"/>
                <w:szCs w:val="21"/>
                <w:vertAlign w:val="superscript"/>
              </w:rPr>
              <w:t>3</w:t>
            </w:r>
          </w:p>
        </w:tc>
        <w:tc>
          <w:tcPr>
            <w:tcW w:w="1296" w:type="pct"/>
            <w:gridSpan w:val="2"/>
            <w:vMerge w:val="restart"/>
            <w:vAlign w:val="center"/>
          </w:tcPr>
          <w:p w14:paraId="30E4BBCE">
            <w:pPr>
              <w:widowControl/>
              <w:jc w:val="center"/>
              <w:rPr>
                <w:rFonts w:ascii="Times New Roman"/>
                <w:sz w:val="21"/>
                <w:szCs w:val="21"/>
              </w:rPr>
            </w:pPr>
            <w:r>
              <w:rPr>
                <w:rFonts w:ascii="Times New Roman"/>
                <w:sz w:val="21"/>
                <w:szCs w:val="21"/>
              </w:rPr>
              <w:t>《工业炉窑大气污染物排放标准》（DB13/1640-2012）标准</w:t>
            </w:r>
          </w:p>
        </w:tc>
        <w:tc>
          <w:tcPr>
            <w:tcW w:w="1850" w:type="pct"/>
            <w:gridSpan w:val="2"/>
            <w:vMerge w:val="restart"/>
            <w:vAlign w:val="center"/>
          </w:tcPr>
          <w:p w14:paraId="3A05659B">
            <w:pPr>
              <w:widowControl/>
              <w:ind w:firstLine="420" w:firstLineChars="200"/>
              <w:jc w:val="center"/>
              <w:rPr>
                <w:rFonts w:ascii="Times New Roman"/>
                <w:bCs/>
                <w:sz w:val="21"/>
                <w:szCs w:val="21"/>
              </w:rPr>
            </w:pPr>
            <w:r>
              <w:rPr>
                <w:rFonts w:hint="eastAsia" w:ascii="Times New Roman"/>
                <w:bCs/>
                <w:sz w:val="21"/>
                <w:szCs w:val="21"/>
              </w:rPr>
              <w:t>/</w:t>
            </w:r>
          </w:p>
        </w:tc>
      </w:tr>
      <w:tr w14:paraId="06DC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081CEEAC">
            <w:pPr>
              <w:widowControl/>
              <w:jc w:val="center"/>
            </w:pPr>
          </w:p>
        </w:tc>
        <w:tc>
          <w:tcPr>
            <w:tcW w:w="442" w:type="pct"/>
            <w:vMerge w:val="continue"/>
            <w:vAlign w:val="center"/>
          </w:tcPr>
          <w:p w14:paraId="77C05997">
            <w:pPr>
              <w:widowControl/>
              <w:jc w:val="center"/>
            </w:pPr>
          </w:p>
        </w:tc>
        <w:tc>
          <w:tcPr>
            <w:tcW w:w="446" w:type="pct"/>
            <w:gridSpan w:val="2"/>
            <w:vMerge w:val="continue"/>
            <w:vAlign w:val="center"/>
          </w:tcPr>
          <w:p w14:paraId="2D2A38E9">
            <w:pPr>
              <w:widowControl/>
              <w:jc w:val="center"/>
            </w:pPr>
          </w:p>
        </w:tc>
        <w:tc>
          <w:tcPr>
            <w:tcW w:w="280" w:type="pct"/>
            <w:vAlign w:val="center"/>
          </w:tcPr>
          <w:p w14:paraId="3D692530">
            <w:pPr>
              <w:widowControl/>
              <w:jc w:val="center"/>
              <w:rPr>
                <w:rFonts w:ascii="Times New Roman"/>
                <w:sz w:val="21"/>
                <w:szCs w:val="21"/>
              </w:rPr>
            </w:pPr>
            <w:r>
              <w:rPr>
                <w:rFonts w:ascii="Times New Roman"/>
                <w:sz w:val="21"/>
                <w:szCs w:val="21"/>
              </w:rPr>
              <w:t>二氧化硫</w:t>
            </w:r>
          </w:p>
        </w:tc>
        <w:tc>
          <w:tcPr>
            <w:tcW w:w="552" w:type="pct"/>
            <w:vAlign w:val="center"/>
          </w:tcPr>
          <w:p w14:paraId="7B63E179">
            <w:pPr>
              <w:widowControl/>
              <w:jc w:val="center"/>
              <w:rPr>
                <w:rFonts w:ascii="Times New Roman"/>
                <w:sz w:val="21"/>
                <w:szCs w:val="21"/>
              </w:rPr>
            </w:pPr>
            <w:r>
              <w:rPr>
                <w:rFonts w:ascii="Times New Roman"/>
                <w:sz w:val="21"/>
                <w:szCs w:val="21"/>
              </w:rPr>
              <w:t>排放浓度400mg/m</w:t>
            </w:r>
            <w:r>
              <w:rPr>
                <w:rFonts w:ascii="Times New Roman"/>
                <w:sz w:val="21"/>
                <w:szCs w:val="21"/>
                <w:vertAlign w:val="superscript"/>
              </w:rPr>
              <w:t>3</w:t>
            </w:r>
          </w:p>
        </w:tc>
        <w:tc>
          <w:tcPr>
            <w:tcW w:w="1296" w:type="pct"/>
            <w:gridSpan w:val="2"/>
            <w:vMerge w:val="continue"/>
            <w:vAlign w:val="center"/>
          </w:tcPr>
          <w:p w14:paraId="7F2F50B3">
            <w:pPr>
              <w:widowControl/>
              <w:jc w:val="center"/>
              <w:rPr>
                <w:rFonts w:ascii="Times New Roman"/>
                <w:sz w:val="21"/>
                <w:szCs w:val="21"/>
              </w:rPr>
            </w:pPr>
          </w:p>
        </w:tc>
        <w:tc>
          <w:tcPr>
            <w:tcW w:w="1850" w:type="pct"/>
            <w:gridSpan w:val="2"/>
            <w:vMerge w:val="continue"/>
            <w:vAlign w:val="center"/>
          </w:tcPr>
          <w:p w14:paraId="7AC348A9">
            <w:pPr>
              <w:widowControl/>
              <w:jc w:val="center"/>
              <w:rPr>
                <w:rFonts w:ascii="Times New Roman"/>
                <w:sz w:val="21"/>
                <w:szCs w:val="21"/>
              </w:rPr>
            </w:pPr>
          </w:p>
        </w:tc>
      </w:tr>
      <w:tr w14:paraId="444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0BB6DBCB">
            <w:pPr>
              <w:widowControl/>
              <w:jc w:val="center"/>
              <w:rPr>
                <w:rFonts w:ascii="Times New Roman"/>
                <w:sz w:val="21"/>
                <w:szCs w:val="21"/>
              </w:rPr>
            </w:pPr>
          </w:p>
        </w:tc>
        <w:tc>
          <w:tcPr>
            <w:tcW w:w="442" w:type="pct"/>
            <w:vMerge w:val="continue"/>
            <w:vAlign w:val="center"/>
          </w:tcPr>
          <w:p w14:paraId="58445923">
            <w:pPr>
              <w:widowControl/>
              <w:jc w:val="center"/>
              <w:rPr>
                <w:rFonts w:ascii="Times New Roman"/>
                <w:sz w:val="21"/>
                <w:szCs w:val="21"/>
              </w:rPr>
            </w:pPr>
          </w:p>
        </w:tc>
        <w:tc>
          <w:tcPr>
            <w:tcW w:w="446" w:type="pct"/>
            <w:gridSpan w:val="2"/>
            <w:vMerge w:val="continue"/>
            <w:vAlign w:val="center"/>
          </w:tcPr>
          <w:p w14:paraId="737E1914">
            <w:pPr>
              <w:widowControl/>
              <w:jc w:val="center"/>
              <w:rPr>
                <w:rFonts w:ascii="Times New Roman"/>
                <w:sz w:val="21"/>
                <w:szCs w:val="21"/>
              </w:rPr>
            </w:pPr>
          </w:p>
        </w:tc>
        <w:tc>
          <w:tcPr>
            <w:tcW w:w="280" w:type="pct"/>
            <w:vAlign w:val="center"/>
          </w:tcPr>
          <w:p w14:paraId="0A95C6BE">
            <w:pPr>
              <w:widowControl/>
              <w:jc w:val="center"/>
              <w:rPr>
                <w:rFonts w:ascii="Times New Roman"/>
                <w:sz w:val="21"/>
                <w:szCs w:val="21"/>
              </w:rPr>
            </w:pPr>
            <w:r>
              <w:rPr>
                <w:rFonts w:ascii="Times New Roman"/>
                <w:sz w:val="21"/>
                <w:szCs w:val="21"/>
              </w:rPr>
              <w:t>氮氧化物</w:t>
            </w:r>
          </w:p>
        </w:tc>
        <w:tc>
          <w:tcPr>
            <w:tcW w:w="552" w:type="pct"/>
            <w:vAlign w:val="center"/>
          </w:tcPr>
          <w:p w14:paraId="75BBAD27">
            <w:pPr>
              <w:widowControl/>
              <w:jc w:val="center"/>
              <w:rPr>
                <w:rFonts w:ascii="Times New Roman"/>
                <w:sz w:val="21"/>
                <w:szCs w:val="21"/>
              </w:rPr>
            </w:pPr>
            <w:r>
              <w:rPr>
                <w:rFonts w:ascii="Times New Roman"/>
                <w:sz w:val="21"/>
                <w:szCs w:val="21"/>
              </w:rPr>
              <w:t>排放浓度400mg/m</w:t>
            </w:r>
            <w:r>
              <w:rPr>
                <w:rFonts w:ascii="Times New Roman"/>
                <w:sz w:val="21"/>
                <w:szCs w:val="21"/>
                <w:vertAlign w:val="superscript"/>
              </w:rPr>
              <w:t>3</w:t>
            </w:r>
          </w:p>
        </w:tc>
        <w:tc>
          <w:tcPr>
            <w:tcW w:w="1296" w:type="pct"/>
            <w:gridSpan w:val="2"/>
            <w:vMerge w:val="continue"/>
            <w:vAlign w:val="center"/>
          </w:tcPr>
          <w:p w14:paraId="0E3562FB">
            <w:pPr>
              <w:widowControl/>
              <w:jc w:val="center"/>
              <w:rPr>
                <w:rFonts w:ascii="Times New Roman"/>
                <w:sz w:val="21"/>
                <w:szCs w:val="21"/>
              </w:rPr>
            </w:pPr>
          </w:p>
        </w:tc>
        <w:tc>
          <w:tcPr>
            <w:tcW w:w="1850" w:type="pct"/>
            <w:gridSpan w:val="2"/>
            <w:vMerge w:val="continue"/>
            <w:vAlign w:val="center"/>
          </w:tcPr>
          <w:p w14:paraId="445B7EC6">
            <w:pPr>
              <w:widowControl/>
              <w:jc w:val="center"/>
              <w:rPr>
                <w:rFonts w:ascii="Times New Roman"/>
                <w:sz w:val="21"/>
                <w:szCs w:val="21"/>
              </w:rPr>
            </w:pPr>
          </w:p>
        </w:tc>
      </w:tr>
      <w:tr w14:paraId="4CBF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7D956D0D">
            <w:pPr>
              <w:widowControl/>
              <w:jc w:val="center"/>
              <w:rPr>
                <w:rFonts w:ascii="Times New Roman"/>
                <w:sz w:val="21"/>
                <w:szCs w:val="21"/>
              </w:rPr>
            </w:pPr>
          </w:p>
        </w:tc>
        <w:tc>
          <w:tcPr>
            <w:tcW w:w="442" w:type="pct"/>
            <w:vMerge w:val="continue"/>
            <w:vAlign w:val="center"/>
          </w:tcPr>
          <w:p w14:paraId="17FCEEC0">
            <w:pPr>
              <w:widowControl/>
              <w:jc w:val="center"/>
              <w:rPr>
                <w:rFonts w:ascii="Times New Roman"/>
                <w:sz w:val="21"/>
                <w:szCs w:val="21"/>
              </w:rPr>
            </w:pPr>
          </w:p>
        </w:tc>
        <w:tc>
          <w:tcPr>
            <w:tcW w:w="446" w:type="pct"/>
            <w:gridSpan w:val="2"/>
            <w:vMerge w:val="continue"/>
            <w:vAlign w:val="center"/>
          </w:tcPr>
          <w:p w14:paraId="4978F065">
            <w:pPr>
              <w:widowControl/>
              <w:jc w:val="center"/>
              <w:rPr>
                <w:rFonts w:ascii="Times New Roman"/>
                <w:sz w:val="21"/>
                <w:szCs w:val="21"/>
              </w:rPr>
            </w:pPr>
          </w:p>
        </w:tc>
        <w:tc>
          <w:tcPr>
            <w:tcW w:w="280" w:type="pct"/>
            <w:vAlign w:val="center"/>
          </w:tcPr>
          <w:p w14:paraId="6E4062E0">
            <w:pPr>
              <w:widowControl/>
              <w:jc w:val="center"/>
              <w:rPr>
                <w:rFonts w:ascii="Times New Roman"/>
                <w:sz w:val="21"/>
                <w:szCs w:val="21"/>
              </w:rPr>
            </w:pPr>
            <w:r>
              <w:rPr>
                <w:rFonts w:ascii="Times New Roman"/>
                <w:sz w:val="21"/>
                <w:szCs w:val="21"/>
              </w:rPr>
              <w:t>烟气黑度</w:t>
            </w:r>
          </w:p>
        </w:tc>
        <w:tc>
          <w:tcPr>
            <w:tcW w:w="552" w:type="pct"/>
            <w:vAlign w:val="center"/>
          </w:tcPr>
          <w:p w14:paraId="698B0D08">
            <w:pPr>
              <w:widowControl/>
              <w:jc w:val="center"/>
              <w:rPr>
                <w:rFonts w:ascii="Times New Roman"/>
                <w:sz w:val="21"/>
                <w:szCs w:val="21"/>
              </w:rPr>
            </w:pPr>
            <w:r>
              <w:rPr>
                <w:rFonts w:ascii="Times New Roman"/>
                <w:sz w:val="21"/>
                <w:szCs w:val="21"/>
                <w:lang w:bidi="zh-TW"/>
              </w:rPr>
              <w:t>≤</w:t>
            </w:r>
            <w:r>
              <w:rPr>
                <w:rFonts w:ascii="Times New Roman"/>
                <w:sz w:val="21"/>
                <w:szCs w:val="21"/>
              </w:rPr>
              <w:t>1级</w:t>
            </w:r>
          </w:p>
        </w:tc>
        <w:tc>
          <w:tcPr>
            <w:tcW w:w="1296" w:type="pct"/>
            <w:gridSpan w:val="2"/>
            <w:vMerge w:val="continue"/>
            <w:vAlign w:val="center"/>
          </w:tcPr>
          <w:p w14:paraId="2ED63255">
            <w:pPr>
              <w:widowControl/>
              <w:jc w:val="center"/>
              <w:rPr>
                <w:rFonts w:ascii="Times New Roman"/>
                <w:sz w:val="21"/>
                <w:szCs w:val="21"/>
              </w:rPr>
            </w:pPr>
          </w:p>
        </w:tc>
        <w:tc>
          <w:tcPr>
            <w:tcW w:w="1850" w:type="pct"/>
            <w:gridSpan w:val="2"/>
            <w:vMerge w:val="continue"/>
            <w:vAlign w:val="center"/>
          </w:tcPr>
          <w:p w14:paraId="70089BF3">
            <w:pPr>
              <w:widowControl/>
              <w:jc w:val="center"/>
              <w:rPr>
                <w:rFonts w:ascii="Times New Roman"/>
                <w:sz w:val="21"/>
                <w:szCs w:val="21"/>
              </w:rPr>
            </w:pPr>
          </w:p>
        </w:tc>
      </w:tr>
      <w:tr w14:paraId="1071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58DC97CA">
            <w:pPr>
              <w:widowControl/>
              <w:jc w:val="center"/>
              <w:rPr>
                <w:rFonts w:ascii="Times New Roman"/>
                <w:sz w:val="21"/>
                <w:szCs w:val="21"/>
              </w:rPr>
            </w:pPr>
          </w:p>
        </w:tc>
        <w:tc>
          <w:tcPr>
            <w:tcW w:w="442" w:type="pct"/>
            <w:vMerge w:val="continue"/>
            <w:vAlign w:val="center"/>
          </w:tcPr>
          <w:p w14:paraId="631B5E31">
            <w:pPr>
              <w:widowControl/>
              <w:jc w:val="center"/>
              <w:rPr>
                <w:rFonts w:ascii="Times New Roman"/>
                <w:sz w:val="21"/>
                <w:szCs w:val="21"/>
              </w:rPr>
            </w:pPr>
          </w:p>
        </w:tc>
        <w:tc>
          <w:tcPr>
            <w:tcW w:w="446" w:type="pct"/>
            <w:gridSpan w:val="2"/>
            <w:vMerge w:val="continue"/>
            <w:vAlign w:val="center"/>
          </w:tcPr>
          <w:p w14:paraId="54B8E061">
            <w:pPr>
              <w:widowControl/>
              <w:jc w:val="center"/>
              <w:rPr>
                <w:rFonts w:ascii="Times New Roman"/>
                <w:sz w:val="21"/>
                <w:szCs w:val="21"/>
              </w:rPr>
            </w:pPr>
          </w:p>
        </w:tc>
        <w:tc>
          <w:tcPr>
            <w:tcW w:w="280" w:type="pct"/>
            <w:vAlign w:val="center"/>
          </w:tcPr>
          <w:p w14:paraId="74274D80">
            <w:pPr>
              <w:widowControl/>
              <w:jc w:val="center"/>
              <w:rPr>
                <w:rFonts w:ascii="Times New Roman"/>
                <w:sz w:val="21"/>
                <w:szCs w:val="21"/>
              </w:rPr>
            </w:pPr>
            <w:r>
              <w:rPr>
                <w:rFonts w:ascii="Times New Roman"/>
                <w:sz w:val="21"/>
                <w:szCs w:val="21"/>
              </w:rPr>
              <w:t>颗粒物</w:t>
            </w:r>
          </w:p>
        </w:tc>
        <w:tc>
          <w:tcPr>
            <w:tcW w:w="552" w:type="pct"/>
            <w:vAlign w:val="center"/>
          </w:tcPr>
          <w:p w14:paraId="0493DFB5">
            <w:pPr>
              <w:widowControl/>
              <w:jc w:val="center"/>
              <w:rPr>
                <w:rFonts w:ascii="Times New Roman"/>
                <w:sz w:val="21"/>
                <w:szCs w:val="21"/>
              </w:rPr>
            </w:pPr>
            <w:r>
              <w:rPr>
                <w:rFonts w:ascii="Times New Roman"/>
                <w:sz w:val="21"/>
                <w:szCs w:val="21"/>
              </w:rPr>
              <w:t>排放浓度</w:t>
            </w:r>
          </w:p>
          <w:p w14:paraId="6C5E4AE0">
            <w:pPr>
              <w:widowControl/>
              <w:jc w:val="center"/>
              <w:rPr>
                <w:rFonts w:ascii="Times New Roman"/>
                <w:sz w:val="21"/>
                <w:szCs w:val="21"/>
              </w:rPr>
            </w:pPr>
            <w:r>
              <w:rPr>
                <w:rFonts w:ascii="Times New Roman"/>
                <w:sz w:val="21"/>
                <w:szCs w:val="21"/>
              </w:rPr>
              <w:t>30mg/m</w:t>
            </w:r>
            <w:r>
              <w:rPr>
                <w:rFonts w:ascii="Times New Roman"/>
                <w:sz w:val="21"/>
                <w:szCs w:val="21"/>
                <w:vertAlign w:val="superscript"/>
              </w:rPr>
              <w:t>3</w:t>
            </w:r>
          </w:p>
        </w:tc>
        <w:tc>
          <w:tcPr>
            <w:tcW w:w="1296" w:type="pct"/>
            <w:gridSpan w:val="2"/>
            <w:vMerge w:val="restart"/>
            <w:vAlign w:val="center"/>
          </w:tcPr>
          <w:p w14:paraId="789832E6">
            <w:pPr>
              <w:widowControl/>
              <w:jc w:val="center"/>
              <w:rPr>
                <w:rFonts w:ascii="Times New Roman"/>
                <w:sz w:val="21"/>
                <w:szCs w:val="21"/>
              </w:rPr>
            </w:pPr>
            <w:r>
              <w:rPr>
                <w:rFonts w:ascii="Times New Roman"/>
                <w:sz w:val="21"/>
                <w:szCs w:val="21"/>
              </w:rPr>
              <w:t>《关于印发&lt;工业炉窑大气污染综合治理方案&gt;的通知》（环大气[2019]56号）排放标准</w:t>
            </w:r>
          </w:p>
        </w:tc>
        <w:tc>
          <w:tcPr>
            <w:tcW w:w="1850" w:type="pct"/>
            <w:gridSpan w:val="2"/>
            <w:vMerge w:val="continue"/>
            <w:vAlign w:val="center"/>
          </w:tcPr>
          <w:p w14:paraId="16BBCE54">
            <w:pPr>
              <w:widowControl/>
              <w:jc w:val="center"/>
              <w:rPr>
                <w:rFonts w:ascii="Times New Roman"/>
                <w:sz w:val="21"/>
                <w:szCs w:val="21"/>
              </w:rPr>
            </w:pPr>
          </w:p>
        </w:tc>
      </w:tr>
      <w:tr w14:paraId="6F97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479BC4EF">
            <w:pPr>
              <w:widowControl/>
              <w:jc w:val="center"/>
              <w:rPr>
                <w:rFonts w:ascii="Times New Roman"/>
                <w:sz w:val="21"/>
                <w:szCs w:val="21"/>
              </w:rPr>
            </w:pPr>
          </w:p>
        </w:tc>
        <w:tc>
          <w:tcPr>
            <w:tcW w:w="442" w:type="pct"/>
            <w:vMerge w:val="continue"/>
            <w:vAlign w:val="center"/>
          </w:tcPr>
          <w:p w14:paraId="017E947D">
            <w:pPr>
              <w:widowControl/>
              <w:jc w:val="center"/>
              <w:rPr>
                <w:rFonts w:ascii="Times New Roman"/>
                <w:sz w:val="21"/>
                <w:szCs w:val="21"/>
              </w:rPr>
            </w:pPr>
          </w:p>
        </w:tc>
        <w:tc>
          <w:tcPr>
            <w:tcW w:w="446" w:type="pct"/>
            <w:gridSpan w:val="2"/>
            <w:vMerge w:val="continue"/>
            <w:vAlign w:val="center"/>
          </w:tcPr>
          <w:p w14:paraId="5EC80F9C">
            <w:pPr>
              <w:widowControl/>
              <w:jc w:val="center"/>
              <w:rPr>
                <w:rFonts w:ascii="Times New Roman"/>
                <w:sz w:val="21"/>
                <w:szCs w:val="21"/>
              </w:rPr>
            </w:pPr>
          </w:p>
        </w:tc>
        <w:tc>
          <w:tcPr>
            <w:tcW w:w="280" w:type="pct"/>
            <w:vAlign w:val="center"/>
          </w:tcPr>
          <w:p w14:paraId="433982AD">
            <w:pPr>
              <w:widowControl/>
              <w:jc w:val="center"/>
              <w:rPr>
                <w:rFonts w:ascii="Times New Roman"/>
                <w:sz w:val="21"/>
                <w:szCs w:val="21"/>
              </w:rPr>
            </w:pPr>
            <w:r>
              <w:rPr>
                <w:rFonts w:ascii="Times New Roman"/>
                <w:sz w:val="21"/>
                <w:szCs w:val="21"/>
              </w:rPr>
              <w:t>二氧化硫</w:t>
            </w:r>
          </w:p>
        </w:tc>
        <w:tc>
          <w:tcPr>
            <w:tcW w:w="552" w:type="pct"/>
            <w:vAlign w:val="center"/>
          </w:tcPr>
          <w:p w14:paraId="2AB120C9">
            <w:pPr>
              <w:widowControl/>
              <w:jc w:val="center"/>
              <w:rPr>
                <w:rFonts w:ascii="Times New Roman"/>
                <w:sz w:val="21"/>
                <w:szCs w:val="21"/>
              </w:rPr>
            </w:pPr>
            <w:r>
              <w:rPr>
                <w:rFonts w:ascii="Times New Roman"/>
                <w:sz w:val="21"/>
                <w:szCs w:val="21"/>
              </w:rPr>
              <w:t>排放浓度200mg/m</w:t>
            </w:r>
            <w:r>
              <w:rPr>
                <w:rFonts w:ascii="Times New Roman"/>
                <w:sz w:val="21"/>
                <w:szCs w:val="21"/>
                <w:vertAlign w:val="superscript"/>
              </w:rPr>
              <w:t>3</w:t>
            </w:r>
          </w:p>
        </w:tc>
        <w:tc>
          <w:tcPr>
            <w:tcW w:w="1296" w:type="pct"/>
            <w:gridSpan w:val="2"/>
            <w:vMerge w:val="continue"/>
            <w:vAlign w:val="center"/>
          </w:tcPr>
          <w:p w14:paraId="48A8EBE3">
            <w:pPr>
              <w:widowControl/>
              <w:jc w:val="center"/>
              <w:rPr>
                <w:rFonts w:ascii="Times New Roman"/>
                <w:sz w:val="21"/>
                <w:szCs w:val="21"/>
              </w:rPr>
            </w:pPr>
          </w:p>
        </w:tc>
        <w:tc>
          <w:tcPr>
            <w:tcW w:w="1850" w:type="pct"/>
            <w:gridSpan w:val="2"/>
            <w:vMerge w:val="continue"/>
            <w:vAlign w:val="center"/>
          </w:tcPr>
          <w:p w14:paraId="101D51E0">
            <w:pPr>
              <w:widowControl/>
              <w:jc w:val="center"/>
              <w:rPr>
                <w:rFonts w:ascii="Times New Roman"/>
                <w:sz w:val="21"/>
                <w:szCs w:val="21"/>
              </w:rPr>
            </w:pPr>
          </w:p>
        </w:tc>
      </w:tr>
      <w:tr w14:paraId="3837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7788E9C5">
            <w:pPr>
              <w:widowControl/>
              <w:jc w:val="center"/>
              <w:rPr>
                <w:rFonts w:ascii="Times New Roman"/>
                <w:sz w:val="21"/>
                <w:szCs w:val="21"/>
              </w:rPr>
            </w:pPr>
          </w:p>
        </w:tc>
        <w:tc>
          <w:tcPr>
            <w:tcW w:w="442" w:type="pct"/>
            <w:vMerge w:val="continue"/>
            <w:vAlign w:val="center"/>
          </w:tcPr>
          <w:p w14:paraId="68214881">
            <w:pPr>
              <w:widowControl/>
              <w:jc w:val="center"/>
              <w:rPr>
                <w:rFonts w:ascii="Times New Roman"/>
                <w:sz w:val="21"/>
                <w:szCs w:val="21"/>
              </w:rPr>
            </w:pPr>
          </w:p>
        </w:tc>
        <w:tc>
          <w:tcPr>
            <w:tcW w:w="446" w:type="pct"/>
            <w:gridSpan w:val="2"/>
            <w:vMerge w:val="continue"/>
            <w:vAlign w:val="center"/>
          </w:tcPr>
          <w:p w14:paraId="4E34E042">
            <w:pPr>
              <w:widowControl/>
              <w:jc w:val="center"/>
              <w:rPr>
                <w:rFonts w:ascii="Times New Roman"/>
                <w:sz w:val="21"/>
                <w:szCs w:val="21"/>
              </w:rPr>
            </w:pPr>
          </w:p>
        </w:tc>
        <w:tc>
          <w:tcPr>
            <w:tcW w:w="280" w:type="pct"/>
            <w:vAlign w:val="center"/>
          </w:tcPr>
          <w:p w14:paraId="5B048AB3">
            <w:pPr>
              <w:widowControl/>
              <w:jc w:val="center"/>
              <w:rPr>
                <w:rFonts w:ascii="Times New Roman"/>
                <w:sz w:val="21"/>
                <w:szCs w:val="21"/>
              </w:rPr>
            </w:pPr>
            <w:r>
              <w:rPr>
                <w:rFonts w:ascii="Times New Roman"/>
                <w:sz w:val="21"/>
                <w:szCs w:val="21"/>
              </w:rPr>
              <w:t>氮氧化物</w:t>
            </w:r>
          </w:p>
        </w:tc>
        <w:tc>
          <w:tcPr>
            <w:tcW w:w="552" w:type="pct"/>
            <w:vAlign w:val="center"/>
          </w:tcPr>
          <w:p w14:paraId="39DFDFB2">
            <w:pPr>
              <w:widowControl/>
              <w:jc w:val="center"/>
              <w:rPr>
                <w:rFonts w:ascii="Times New Roman"/>
                <w:sz w:val="21"/>
                <w:szCs w:val="21"/>
              </w:rPr>
            </w:pPr>
            <w:r>
              <w:rPr>
                <w:rFonts w:ascii="Times New Roman"/>
                <w:sz w:val="21"/>
                <w:szCs w:val="21"/>
              </w:rPr>
              <w:t>排放浓度300mg/m</w:t>
            </w:r>
            <w:r>
              <w:rPr>
                <w:rFonts w:ascii="Times New Roman"/>
                <w:sz w:val="21"/>
                <w:szCs w:val="21"/>
                <w:vertAlign w:val="superscript"/>
              </w:rPr>
              <w:t>3</w:t>
            </w:r>
          </w:p>
        </w:tc>
        <w:tc>
          <w:tcPr>
            <w:tcW w:w="1296" w:type="pct"/>
            <w:gridSpan w:val="2"/>
            <w:vMerge w:val="continue"/>
            <w:vAlign w:val="center"/>
          </w:tcPr>
          <w:p w14:paraId="53D13A78">
            <w:pPr>
              <w:widowControl/>
              <w:jc w:val="center"/>
              <w:rPr>
                <w:rFonts w:ascii="Times New Roman"/>
                <w:sz w:val="21"/>
                <w:szCs w:val="21"/>
              </w:rPr>
            </w:pPr>
          </w:p>
        </w:tc>
        <w:tc>
          <w:tcPr>
            <w:tcW w:w="1850" w:type="pct"/>
            <w:gridSpan w:val="2"/>
            <w:vMerge w:val="continue"/>
            <w:vAlign w:val="center"/>
          </w:tcPr>
          <w:p w14:paraId="75D1151F">
            <w:pPr>
              <w:widowControl/>
              <w:jc w:val="center"/>
              <w:rPr>
                <w:rFonts w:ascii="Times New Roman"/>
                <w:sz w:val="21"/>
                <w:szCs w:val="21"/>
              </w:rPr>
            </w:pPr>
          </w:p>
        </w:tc>
      </w:tr>
      <w:tr w14:paraId="138D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129" w:type="pct"/>
            <w:vMerge w:val="continue"/>
            <w:vAlign w:val="center"/>
          </w:tcPr>
          <w:p w14:paraId="5B855493">
            <w:pPr>
              <w:widowControl/>
              <w:jc w:val="center"/>
              <w:rPr>
                <w:rFonts w:ascii="Times New Roman"/>
                <w:sz w:val="21"/>
                <w:szCs w:val="21"/>
              </w:rPr>
            </w:pPr>
          </w:p>
        </w:tc>
        <w:tc>
          <w:tcPr>
            <w:tcW w:w="889" w:type="pct"/>
            <w:gridSpan w:val="3"/>
            <w:vAlign w:val="center"/>
          </w:tcPr>
          <w:p w14:paraId="54CA7DA9">
            <w:pPr>
              <w:widowControl/>
              <w:jc w:val="center"/>
              <w:rPr>
                <w:rFonts w:ascii="Times New Roman"/>
                <w:sz w:val="21"/>
                <w:szCs w:val="21"/>
              </w:rPr>
            </w:pPr>
            <w:r>
              <w:rPr>
                <w:rFonts w:ascii="Times New Roman"/>
                <w:sz w:val="21"/>
                <w:szCs w:val="21"/>
              </w:rPr>
              <w:t>排气筒DA00</w:t>
            </w:r>
            <w:r>
              <w:rPr>
                <w:rFonts w:hint="eastAsia" w:ascii="Times New Roman"/>
                <w:sz w:val="21"/>
                <w:szCs w:val="21"/>
              </w:rPr>
              <w:t>9</w:t>
            </w:r>
            <w:r>
              <w:rPr>
                <w:rFonts w:ascii="Times New Roman"/>
                <w:sz w:val="21"/>
                <w:szCs w:val="21"/>
              </w:rPr>
              <w:t>喷塑</w:t>
            </w:r>
          </w:p>
        </w:tc>
        <w:tc>
          <w:tcPr>
            <w:tcW w:w="280" w:type="pct"/>
            <w:vAlign w:val="center"/>
          </w:tcPr>
          <w:p w14:paraId="038D80BB">
            <w:pPr>
              <w:widowControl/>
              <w:jc w:val="center"/>
              <w:rPr>
                <w:rFonts w:ascii="Times New Roman"/>
                <w:sz w:val="21"/>
                <w:szCs w:val="21"/>
              </w:rPr>
            </w:pPr>
            <w:r>
              <w:rPr>
                <w:rFonts w:ascii="Times New Roman"/>
                <w:sz w:val="21"/>
                <w:szCs w:val="21"/>
              </w:rPr>
              <w:t>颗粒物</w:t>
            </w:r>
          </w:p>
        </w:tc>
        <w:tc>
          <w:tcPr>
            <w:tcW w:w="552" w:type="pct"/>
            <w:vAlign w:val="center"/>
          </w:tcPr>
          <w:p w14:paraId="769B9BC3">
            <w:pPr>
              <w:widowControl/>
              <w:jc w:val="center"/>
              <w:rPr>
                <w:rFonts w:ascii="Times New Roman"/>
                <w:sz w:val="21"/>
                <w:szCs w:val="21"/>
              </w:rPr>
            </w:pPr>
            <w:r>
              <w:rPr>
                <w:rFonts w:ascii="Times New Roman"/>
                <w:sz w:val="21"/>
                <w:szCs w:val="21"/>
              </w:rPr>
              <w:t>排放浓度18mg/m</w:t>
            </w:r>
            <w:r>
              <w:rPr>
                <w:rFonts w:ascii="Times New Roman"/>
                <w:sz w:val="21"/>
                <w:szCs w:val="21"/>
                <w:vertAlign w:val="superscript"/>
              </w:rPr>
              <w:t>3</w:t>
            </w:r>
          </w:p>
          <w:p w14:paraId="2B0062AF">
            <w:pPr>
              <w:widowControl/>
              <w:jc w:val="center"/>
              <w:rPr>
                <w:rFonts w:ascii="Times New Roman"/>
                <w:sz w:val="21"/>
                <w:szCs w:val="21"/>
              </w:rPr>
            </w:pPr>
            <w:r>
              <w:rPr>
                <w:rFonts w:ascii="Times New Roman"/>
                <w:sz w:val="21"/>
                <w:szCs w:val="21"/>
              </w:rPr>
              <w:t>排放速率0.</w:t>
            </w:r>
            <w:r>
              <w:rPr>
                <w:rFonts w:hint="eastAsia" w:ascii="Times New Roman"/>
                <w:sz w:val="21"/>
                <w:szCs w:val="21"/>
              </w:rPr>
              <w:t>85</w:t>
            </w:r>
            <w:r>
              <w:rPr>
                <w:rFonts w:ascii="Times New Roman"/>
                <w:sz w:val="21"/>
                <w:szCs w:val="21"/>
              </w:rPr>
              <w:t>kg/h</w:t>
            </w:r>
          </w:p>
        </w:tc>
        <w:tc>
          <w:tcPr>
            <w:tcW w:w="1296" w:type="pct"/>
            <w:gridSpan w:val="2"/>
            <w:vAlign w:val="center"/>
          </w:tcPr>
          <w:p w14:paraId="7281EF71">
            <w:pPr>
              <w:widowControl/>
              <w:jc w:val="center"/>
              <w:rPr>
                <w:rFonts w:ascii="Times New Roman"/>
                <w:sz w:val="21"/>
                <w:szCs w:val="21"/>
              </w:rPr>
            </w:pPr>
            <w:r>
              <w:rPr>
                <w:rFonts w:ascii="Times New Roman"/>
                <w:sz w:val="21"/>
                <w:szCs w:val="21"/>
              </w:rPr>
              <w:t>《大气污染物综合排放标准》（GB16297-1996）表2中“染料尘”标准限值要求</w:t>
            </w:r>
          </w:p>
        </w:tc>
        <w:tc>
          <w:tcPr>
            <w:tcW w:w="1850" w:type="pct"/>
            <w:gridSpan w:val="2"/>
            <w:vAlign w:val="center"/>
          </w:tcPr>
          <w:p w14:paraId="3C2F76F4">
            <w:pPr>
              <w:widowControl/>
              <w:ind w:firstLine="420" w:firstLineChars="200"/>
              <w:jc w:val="center"/>
              <w:rPr>
                <w:rFonts w:ascii="Times New Roman"/>
                <w:bCs/>
                <w:sz w:val="21"/>
                <w:szCs w:val="21"/>
              </w:rPr>
            </w:pPr>
            <w:r>
              <w:rPr>
                <w:rFonts w:hint="eastAsia" w:ascii="Times New Roman"/>
                <w:bCs/>
                <w:sz w:val="21"/>
                <w:szCs w:val="21"/>
              </w:rPr>
              <w:t>/</w:t>
            </w:r>
          </w:p>
        </w:tc>
      </w:tr>
      <w:tr w14:paraId="5131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29" w:type="pct"/>
            <w:vMerge w:val="continue"/>
            <w:textDirection w:val="tbRlV"/>
            <w:vAlign w:val="center"/>
          </w:tcPr>
          <w:p w14:paraId="6D5A4746">
            <w:pPr>
              <w:widowControl/>
              <w:jc w:val="center"/>
              <w:rPr>
                <w:rFonts w:ascii="Times New Roman"/>
                <w:sz w:val="21"/>
                <w:szCs w:val="21"/>
              </w:rPr>
            </w:pPr>
          </w:p>
        </w:tc>
        <w:tc>
          <w:tcPr>
            <w:tcW w:w="539" w:type="pct"/>
            <w:gridSpan w:val="2"/>
            <w:vMerge w:val="restart"/>
            <w:vAlign w:val="center"/>
          </w:tcPr>
          <w:p w14:paraId="7AA72C2A">
            <w:pPr>
              <w:widowControl/>
              <w:jc w:val="center"/>
              <w:rPr>
                <w:rFonts w:ascii="Times New Roman"/>
                <w:sz w:val="21"/>
                <w:szCs w:val="21"/>
              </w:rPr>
            </w:pPr>
            <w:r>
              <w:rPr>
                <w:rFonts w:hint="eastAsia" w:ascii="Times New Roman"/>
                <w:sz w:val="21"/>
                <w:szCs w:val="21"/>
              </w:rPr>
              <w:t>排气筒DA010</w:t>
            </w:r>
          </w:p>
        </w:tc>
        <w:tc>
          <w:tcPr>
            <w:tcW w:w="349" w:type="pct"/>
            <w:vMerge w:val="restart"/>
            <w:vAlign w:val="center"/>
          </w:tcPr>
          <w:p w14:paraId="04053B7D">
            <w:pPr>
              <w:widowControl/>
              <w:jc w:val="center"/>
              <w:rPr>
                <w:rFonts w:ascii="Times New Roman"/>
                <w:sz w:val="21"/>
                <w:szCs w:val="21"/>
              </w:rPr>
            </w:pPr>
            <w:r>
              <w:rPr>
                <w:rFonts w:hint="eastAsia" w:ascii="Times New Roman"/>
                <w:sz w:val="21"/>
                <w:szCs w:val="21"/>
              </w:rPr>
              <w:t>喷塑固化、强冷</w:t>
            </w:r>
          </w:p>
        </w:tc>
        <w:tc>
          <w:tcPr>
            <w:tcW w:w="280" w:type="pct"/>
            <w:vMerge w:val="restart"/>
            <w:vAlign w:val="center"/>
          </w:tcPr>
          <w:p w14:paraId="1EB6DA14">
            <w:pPr>
              <w:widowControl/>
              <w:jc w:val="center"/>
              <w:rPr>
                <w:rFonts w:ascii="Times New Roman"/>
                <w:sz w:val="21"/>
                <w:szCs w:val="21"/>
              </w:rPr>
            </w:pPr>
            <w:r>
              <w:rPr>
                <w:rFonts w:ascii="Times New Roman"/>
                <w:sz w:val="21"/>
                <w:szCs w:val="21"/>
              </w:rPr>
              <w:t>非</w:t>
            </w:r>
            <w:r>
              <w:rPr>
                <w:rFonts w:ascii="Times New Roman"/>
                <w:sz w:val="18"/>
                <w:szCs w:val="18"/>
              </w:rPr>
              <w:t>甲烷总烃</w:t>
            </w:r>
          </w:p>
        </w:tc>
        <w:tc>
          <w:tcPr>
            <w:tcW w:w="552" w:type="pct"/>
            <w:vAlign w:val="center"/>
          </w:tcPr>
          <w:p w14:paraId="38092E42">
            <w:pPr>
              <w:widowControl/>
              <w:jc w:val="center"/>
              <w:rPr>
                <w:rFonts w:ascii="Times New Roman"/>
                <w:sz w:val="21"/>
                <w:szCs w:val="21"/>
              </w:rPr>
            </w:pPr>
            <w:r>
              <w:rPr>
                <w:rFonts w:ascii="Times New Roman"/>
                <w:sz w:val="21"/>
                <w:szCs w:val="21"/>
              </w:rPr>
              <w:t>最高允许排放浓度</w:t>
            </w:r>
            <w:r>
              <w:rPr>
                <w:rFonts w:hint="eastAsia" w:ascii="Times New Roman"/>
                <w:sz w:val="21"/>
                <w:szCs w:val="21"/>
              </w:rPr>
              <w:t>6</w:t>
            </w:r>
            <w:r>
              <w:rPr>
                <w:rFonts w:ascii="Times New Roman"/>
                <w:sz w:val="21"/>
                <w:szCs w:val="21"/>
              </w:rPr>
              <w:t>0mg/m</w:t>
            </w:r>
            <w:r>
              <w:rPr>
                <w:rFonts w:ascii="Times New Roman"/>
                <w:sz w:val="21"/>
                <w:szCs w:val="21"/>
                <w:vertAlign w:val="superscript"/>
              </w:rPr>
              <w:t>3</w:t>
            </w:r>
          </w:p>
        </w:tc>
        <w:tc>
          <w:tcPr>
            <w:tcW w:w="1296" w:type="pct"/>
            <w:gridSpan w:val="2"/>
            <w:vMerge w:val="restart"/>
            <w:vAlign w:val="center"/>
          </w:tcPr>
          <w:p w14:paraId="6254CB66">
            <w:pPr>
              <w:widowControl/>
              <w:jc w:val="center"/>
              <w:rPr>
                <w:rFonts w:ascii="Times New Roman"/>
                <w:sz w:val="21"/>
                <w:szCs w:val="21"/>
              </w:rPr>
            </w:pPr>
            <w:r>
              <w:rPr>
                <w:rFonts w:ascii="Times New Roman"/>
                <w:sz w:val="21"/>
                <w:szCs w:val="21"/>
              </w:rPr>
              <w:t>《工业企业挥发性有机物排放控制标准》（DB13/2322-2016）表1表面涂装业标准限值要求</w:t>
            </w:r>
          </w:p>
        </w:tc>
        <w:tc>
          <w:tcPr>
            <w:tcW w:w="1850" w:type="pct"/>
            <w:gridSpan w:val="2"/>
            <w:vMerge w:val="restart"/>
            <w:vAlign w:val="center"/>
          </w:tcPr>
          <w:p w14:paraId="10717C01">
            <w:pPr>
              <w:widowControl/>
              <w:jc w:val="center"/>
              <w:rPr>
                <w:rFonts w:ascii="Times New Roman"/>
                <w:sz w:val="21"/>
                <w:szCs w:val="21"/>
              </w:rPr>
            </w:pPr>
          </w:p>
        </w:tc>
      </w:tr>
      <w:tr w14:paraId="45DB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29" w:type="pct"/>
            <w:vMerge w:val="continue"/>
            <w:textDirection w:val="tbRlV"/>
            <w:vAlign w:val="center"/>
          </w:tcPr>
          <w:p w14:paraId="3D7286EC">
            <w:pPr>
              <w:widowControl/>
              <w:jc w:val="center"/>
            </w:pPr>
          </w:p>
        </w:tc>
        <w:tc>
          <w:tcPr>
            <w:tcW w:w="539" w:type="pct"/>
            <w:gridSpan w:val="2"/>
            <w:vMerge w:val="continue"/>
            <w:vAlign w:val="center"/>
          </w:tcPr>
          <w:p w14:paraId="680FC355">
            <w:pPr>
              <w:widowControl/>
              <w:jc w:val="center"/>
            </w:pPr>
          </w:p>
        </w:tc>
        <w:tc>
          <w:tcPr>
            <w:tcW w:w="349" w:type="pct"/>
            <w:vMerge w:val="continue"/>
            <w:vAlign w:val="center"/>
          </w:tcPr>
          <w:p w14:paraId="4C032F7B">
            <w:pPr>
              <w:widowControl/>
              <w:jc w:val="center"/>
            </w:pPr>
          </w:p>
        </w:tc>
        <w:tc>
          <w:tcPr>
            <w:tcW w:w="280" w:type="pct"/>
            <w:vMerge w:val="continue"/>
            <w:vAlign w:val="center"/>
          </w:tcPr>
          <w:p w14:paraId="46C0868A">
            <w:pPr>
              <w:widowControl/>
              <w:jc w:val="center"/>
              <w:rPr>
                <w:rFonts w:ascii="Times New Roman"/>
                <w:sz w:val="21"/>
                <w:szCs w:val="21"/>
              </w:rPr>
            </w:pPr>
          </w:p>
        </w:tc>
        <w:tc>
          <w:tcPr>
            <w:tcW w:w="552" w:type="pct"/>
            <w:vAlign w:val="center"/>
          </w:tcPr>
          <w:p w14:paraId="0FB83626">
            <w:pPr>
              <w:widowControl/>
              <w:jc w:val="center"/>
              <w:rPr>
                <w:rFonts w:ascii="Times New Roman"/>
                <w:sz w:val="21"/>
                <w:szCs w:val="21"/>
              </w:rPr>
            </w:pPr>
            <w:r>
              <w:rPr>
                <w:rFonts w:ascii="Times New Roman"/>
                <w:sz w:val="21"/>
                <w:szCs w:val="21"/>
              </w:rPr>
              <w:t>最低去除效率70%</w:t>
            </w:r>
          </w:p>
        </w:tc>
        <w:tc>
          <w:tcPr>
            <w:tcW w:w="1296" w:type="pct"/>
            <w:gridSpan w:val="2"/>
            <w:vMerge w:val="continue"/>
            <w:vAlign w:val="center"/>
          </w:tcPr>
          <w:p w14:paraId="463FA61D">
            <w:pPr>
              <w:widowControl/>
              <w:jc w:val="center"/>
              <w:rPr>
                <w:rFonts w:ascii="Times New Roman"/>
                <w:sz w:val="21"/>
                <w:szCs w:val="21"/>
              </w:rPr>
            </w:pPr>
          </w:p>
        </w:tc>
        <w:tc>
          <w:tcPr>
            <w:tcW w:w="1850" w:type="pct"/>
            <w:gridSpan w:val="2"/>
            <w:vMerge w:val="continue"/>
            <w:vAlign w:val="center"/>
          </w:tcPr>
          <w:p w14:paraId="2DA3AEAA">
            <w:pPr>
              <w:widowControl/>
              <w:jc w:val="center"/>
              <w:rPr>
                <w:rFonts w:ascii="Times New Roman"/>
                <w:sz w:val="21"/>
                <w:szCs w:val="21"/>
              </w:rPr>
            </w:pPr>
          </w:p>
        </w:tc>
      </w:tr>
      <w:tr w14:paraId="3EF4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29" w:type="pct"/>
            <w:vMerge w:val="continue"/>
            <w:textDirection w:val="tbRlV"/>
            <w:vAlign w:val="center"/>
          </w:tcPr>
          <w:p w14:paraId="2C9F0EB8">
            <w:pPr>
              <w:widowControl/>
              <w:jc w:val="center"/>
            </w:pPr>
          </w:p>
        </w:tc>
        <w:tc>
          <w:tcPr>
            <w:tcW w:w="539" w:type="pct"/>
            <w:gridSpan w:val="2"/>
            <w:vMerge w:val="continue"/>
            <w:vAlign w:val="center"/>
          </w:tcPr>
          <w:p w14:paraId="59FB03A3">
            <w:pPr>
              <w:widowControl/>
              <w:jc w:val="center"/>
            </w:pPr>
          </w:p>
        </w:tc>
        <w:tc>
          <w:tcPr>
            <w:tcW w:w="349" w:type="pct"/>
            <w:vMerge w:val="continue"/>
            <w:vAlign w:val="center"/>
          </w:tcPr>
          <w:p w14:paraId="495F2C1D">
            <w:pPr>
              <w:widowControl/>
              <w:jc w:val="center"/>
            </w:pPr>
          </w:p>
        </w:tc>
        <w:tc>
          <w:tcPr>
            <w:tcW w:w="280" w:type="pct"/>
            <w:vAlign w:val="center"/>
          </w:tcPr>
          <w:p w14:paraId="2668D835">
            <w:pPr>
              <w:widowControl/>
              <w:jc w:val="center"/>
              <w:rPr>
                <w:rFonts w:ascii="Times New Roman"/>
                <w:sz w:val="21"/>
                <w:szCs w:val="21"/>
              </w:rPr>
            </w:pPr>
            <w:r>
              <w:rPr>
                <w:rFonts w:hint="eastAsia" w:ascii="Times New Roman"/>
                <w:sz w:val="21"/>
                <w:szCs w:val="21"/>
              </w:rPr>
              <w:t>苯</w:t>
            </w:r>
          </w:p>
        </w:tc>
        <w:tc>
          <w:tcPr>
            <w:tcW w:w="552" w:type="pct"/>
            <w:vAlign w:val="center"/>
          </w:tcPr>
          <w:p w14:paraId="4FFF0BF1">
            <w:pPr>
              <w:widowControl/>
              <w:jc w:val="center"/>
              <w:rPr>
                <w:rFonts w:ascii="Times New Roman"/>
                <w:sz w:val="21"/>
                <w:szCs w:val="21"/>
              </w:rPr>
            </w:pPr>
            <w:r>
              <w:rPr>
                <w:rFonts w:ascii="Times New Roman"/>
                <w:sz w:val="21"/>
                <w:szCs w:val="21"/>
              </w:rPr>
              <w:t>排放浓度</w:t>
            </w:r>
            <w:r>
              <w:rPr>
                <w:rFonts w:hint="eastAsia" w:ascii="Times New Roman"/>
                <w:sz w:val="21"/>
                <w:szCs w:val="21"/>
              </w:rPr>
              <w:t>1</w:t>
            </w:r>
            <w:r>
              <w:rPr>
                <w:rFonts w:ascii="Times New Roman"/>
                <w:sz w:val="21"/>
                <w:szCs w:val="21"/>
              </w:rPr>
              <w:t>mg/m</w:t>
            </w:r>
          </w:p>
        </w:tc>
        <w:tc>
          <w:tcPr>
            <w:tcW w:w="1296" w:type="pct"/>
            <w:gridSpan w:val="2"/>
            <w:vMerge w:val="continue"/>
            <w:vAlign w:val="center"/>
          </w:tcPr>
          <w:p w14:paraId="6FD68FD1">
            <w:pPr>
              <w:widowControl/>
              <w:jc w:val="center"/>
              <w:rPr>
                <w:rFonts w:ascii="Times New Roman"/>
                <w:sz w:val="21"/>
                <w:szCs w:val="21"/>
              </w:rPr>
            </w:pPr>
          </w:p>
        </w:tc>
        <w:tc>
          <w:tcPr>
            <w:tcW w:w="1850" w:type="pct"/>
            <w:gridSpan w:val="2"/>
            <w:vMerge w:val="continue"/>
            <w:vAlign w:val="center"/>
          </w:tcPr>
          <w:p w14:paraId="38848599">
            <w:pPr>
              <w:widowControl/>
              <w:jc w:val="center"/>
              <w:rPr>
                <w:rFonts w:ascii="Times New Roman"/>
                <w:sz w:val="21"/>
                <w:szCs w:val="21"/>
              </w:rPr>
            </w:pPr>
          </w:p>
        </w:tc>
      </w:tr>
      <w:tr w14:paraId="381C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29" w:type="pct"/>
            <w:vMerge w:val="continue"/>
            <w:textDirection w:val="tbRlV"/>
            <w:vAlign w:val="center"/>
          </w:tcPr>
          <w:p w14:paraId="0409309F">
            <w:pPr>
              <w:widowControl/>
              <w:jc w:val="center"/>
              <w:rPr>
                <w:rFonts w:ascii="Times New Roman"/>
                <w:sz w:val="21"/>
                <w:szCs w:val="21"/>
              </w:rPr>
            </w:pPr>
          </w:p>
        </w:tc>
        <w:tc>
          <w:tcPr>
            <w:tcW w:w="539" w:type="pct"/>
            <w:gridSpan w:val="2"/>
            <w:vMerge w:val="continue"/>
            <w:vAlign w:val="center"/>
          </w:tcPr>
          <w:p w14:paraId="271F3ECE">
            <w:pPr>
              <w:widowControl/>
              <w:jc w:val="center"/>
              <w:rPr>
                <w:rFonts w:ascii="Times New Roman"/>
                <w:sz w:val="21"/>
                <w:szCs w:val="21"/>
              </w:rPr>
            </w:pPr>
          </w:p>
        </w:tc>
        <w:tc>
          <w:tcPr>
            <w:tcW w:w="349" w:type="pct"/>
            <w:vMerge w:val="continue"/>
            <w:vAlign w:val="center"/>
          </w:tcPr>
          <w:p w14:paraId="5D0B6CD2">
            <w:pPr>
              <w:widowControl/>
              <w:jc w:val="center"/>
              <w:rPr>
                <w:rFonts w:ascii="Times New Roman"/>
                <w:sz w:val="21"/>
                <w:szCs w:val="21"/>
              </w:rPr>
            </w:pPr>
          </w:p>
        </w:tc>
        <w:tc>
          <w:tcPr>
            <w:tcW w:w="280" w:type="pct"/>
            <w:vAlign w:val="center"/>
          </w:tcPr>
          <w:p w14:paraId="642105A6">
            <w:pPr>
              <w:widowControl/>
              <w:jc w:val="center"/>
              <w:rPr>
                <w:rFonts w:ascii="Times New Roman"/>
                <w:sz w:val="21"/>
                <w:szCs w:val="21"/>
              </w:rPr>
            </w:pPr>
            <w:r>
              <w:rPr>
                <w:rFonts w:ascii="Times New Roman"/>
                <w:sz w:val="21"/>
                <w:szCs w:val="21"/>
              </w:rPr>
              <w:t>甲苯+二甲苯</w:t>
            </w:r>
          </w:p>
        </w:tc>
        <w:tc>
          <w:tcPr>
            <w:tcW w:w="552" w:type="pct"/>
            <w:vAlign w:val="center"/>
          </w:tcPr>
          <w:p w14:paraId="1EF6EE65">
            <w:pPr>
              <w:widowControl/>
              <w:jc w:val="center"/>
              <w:rPr>
                <w:rFonts w:ascii="Times New Roman"/>
                <w:sz w:val="21"/>
                <w:szCs w:val="21"/>
              </w:rPr>
            </w:pPr>
            <w:r>
              <w:rPr>
                <w:rFonts w:ascii="Times New Roman"/>
                <w:sz w:val="21"/>
                <w:szCs w:val="21"/>
              </w:rPr>
              <w:t>甲苯与二甲苯合计</w:t>
            </w:r>
            <w:r>
              <w:rPr>
                <w:rFonts w:hint="eastAsia" w:ascii="Times New Roman"/>
                <w:sz w:val="21"/>
                <w:szCs w:val="21"/>
              </w:rPr>
              <w:t>2</w:t>
            </w:r>
            <w:r>
              <w:rPr>
                <w:rFonts w:ascii="Times New Roman"/>
                <w:sz w:val="21"/>
                <w:szCs w:val="21"/>
              </w:rPr>
              <w:t>0mg/m</w:t>
            </w:r>
            <w:r>
              <w:rPr>
                <w:rFonts w:ascii="Times New Roman"/>
                <w:sz w:val="21"/>
                <w:szCs w:val="21"/>
                <w:vertAlign w:val="superscript"/>
              </w:rPr>
              <w:t>3</w:t>
            </w:r>
          </w:p>
        </w:tc>
        <w:tc>
          <w:tcPr>
            <w:tcW w:w="1296" w:type="pct"/>
            <w:gridSpan w:val="2"/>
            <w:vMerge w:val="continue"/>
            <w:vAlign w:val="center"/>
          </w:tcPr>
          <w:p w14:paraId="015F6533">
            <w:pPr>
              <w:widowControl/>
              <w:jc w:val="center"/>
              <w:rPr>
                <w:rFonts w:ascii="Times New Roman"/>
                <w:sz w:val="21"/>
                <w:szCs w:val="21"/>
              </w:rPr>
            </w:pPr>
          </w:p>
        </w:tc>
        <w:tc>
          <w:tcPr>
            <w:tcW w:w="1850" w:type="pct"/>
            <w:gridSpan w:val="2"/>
            <w:vMerge w:val="continue"/>
            <w:vAlign w:val="center"/>
          </w:tcPr>
          <w:p w14:paraId="730908EC">
            <w:pPr>
              <w:widowControl/>
              <w:jc w:val="center"/>
              <w:rPr>
                <w:rFonts w:ascii="Times New Roman"/>
                <w:sz w:val="21"/>
                <w:szCs w:val="21"/>
              </w:rPr>
            </w:pPr>
          </w:p>
        </w:tc>
      </w:tr>
      <w:tr w14:paraId="090A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4" w:hRule="atLeast"/>
          <w:jc w:val="center"/>
        </w:trPr>
        <w:tc>
          <w:tcPr>
            <w:tcW w:w="129" w:type="pct"/>
            <w:vMerge w:val="continue"/>
            <w:textDirection w:val="tbRlV"/>
            <w:vAlign w:val="center"/>
          </w:tcPr>
          <w:p w14:paraId="1FE36A77">
            <w:pPr>
              <w:widowControl/>
              <w:jc w:val="center"/>
              <w:rPr>
                <w:rFonts w:ascii="Times New Roman"/>
                <w:sz w:val="21"/>
                <w:szCs w:val="21"/>
              </w:rPr>
            </w:pPr>
          </w:p>
        </w:tc>
        <w:tc>
          <w:tcPr>
            <w:tcW w:w="539" w:type="pct"/>
            <w:gridSpan w:val="2"/>
            <w:vMerge w:val="restart"/>
            <w:vAlign w:val="center"/>
          </w:tcPr>
          <w:p w14:paraId="299B3E40">
            <w:pPr>
              <w:widowControl/>
              <w:jc w:val="center"/>
              <w:rPr>
                <w:rFonts w:ascii="Times New Roman"/>
                <w:sz w:val="21"/>
                <w:szCs w:val="21"/>
              </w:rPr>
            </w:pPr>
            <w:r>
              <w:rPr>
                <w:rFonts w:ascii="Times New Roman"/>
                <w:sz w:val="21"/>
                <w:szCs w:val="21"/>
              </w:rPr>
              <w:t>排气筒DA00</w:t>
            </w:r>
            <w:r>
              <w:rPr>
                <w:rFonts w:hint="eastAsia" w:ascii="Times New Roman"/>
                <w:sz w:val="21"/>
                <w:szCs w:val="21"/>
              </w:rPr>
              <w:t>11</w:t>
            </w:r>
          </w:p>
        </w:tc>
        <w:tc>
          <w:tcPr>
            <w:tcW w:w="349" w:type="pct"/>
            <w:vMerge w:val="restart"/>
            <w:vAlign w:val="center"/>
          </w:tcPr>
          <w:p w14:paraId="62A6BBC3">
            <w:pPr>
              <w:widowControl/>
              <w:jc w:val="center"/>
              <w:rPr>
                <w:rFonts w:ascii="Times New Roman"/>
                <w:sz w:val="21"/>
                <w:szCs w:val="21"/>
              </w:rPr>
            </w:pPr>
            <w:r>
              <w:rPr>
                <w:rFonts w:ascii="Times New Roman"/>
                <w:sz w:val="21"/>
                <w:szCs w:val="21"/>
              </w:rPr>
              <w:t>喷漆、</w:t>
            </w:r>
            <w:r>
              <w:rPr>
                <w:rFonts w:hint="eastAsia" w:ascii="Times New Roman"/>
                <w:sz w:val="21"/>
                <w:szCs w:val="21"/>
              </w:rPr>
              <w:t>电泳、流平、烘干固化、强冷</w:t>
            </w:r>
            <w:r>
              <w:rPr>
                <w:rFonts w:ascii="Times New Roman"/>
                <w:sz w:val="21"/>
                <w:szCs w:val="21"/>
              </w:rPr>
              <w:t>工序</w:t>
            </w:r>
          </w:p>
        </w:tc>
        <w:tc>
          <w:tcPr>
            <w:tcW w:w="280" w:type="pct"/>
            <w:vMerge w:val="restart"/>
            <w:vAlign w:val="center"/>
          </w:tcPr>
          <w:p w14:paraId="0E5892FB">
            <w:pPr>
              <w:widowControl/>
              <w:jc w:val="center"/>
              <w:rPr>
                <w:rFonts w:ascii="Times New Roman"/>
                <w:sz w:val="21"/>
                <w:szCs w:val="21"/>
              </w:rPr>
            </w:pPr>
            <w:r>
              <w:rPr>
                <w:rFonts w:ascii="Times New Roman"/>
                <w:sz w:val="21"/>
                <w:szCs w:val="21"/>
              </w:rPr>
              <w:t>颗粒物</w:t>
            </w:r>
          </w:p>
        </w:tc>
        <w:tc>
          <w:tcPr>
            <w:tcW w:w="552" w:type="pct"/>
            <w:vAlign w:val="center"/>
          </w:tcPr>
          <w:p w14:paraId="7E8C0F48">
            <w:pPr>
              <w:widowControl/>
              <w:jc w:val="center"/>
              <w:rPr>
                <w:rFonts w:ascii="Times New Roman"/>
                <w:sz w:val="21"/>
                <w:szCs w:val="21"/>
              </w:rPr>
            </w:pPr>
            <w:r>
              <w:rPr>
                <w:rFonts w:ascii="Times New Roman"/>
                <w:sz w:val="21"/>
                <w:szCs w:val="21"/>
              </w:rPr>
              <w:t>最高允许排放浓度18mg/m</w:t>
            </w:r>
            <w:r>
              <w:rPr>
                <w:rFonts w:ascii="Times New Roman"/>
                <w:sz w:val="21"/>
                <w:szCs w:val="21"/>
                <w:vertAlign w:val="superscript"/>
              </w:rPr>
              <w:t>3</w:t>
            </w:r>
          </w:p>
        </w:tc>
        <w:tc>
          <w:tcPr>
            <w:tcW w:w="1296" w:type="pct"/>
            <w:gridSpan w:val="2"/>
            <w:vMerge w:val="restart"/>
            <w:vAlign w:val="center"/>
          </w:tcPr>
          <w:p w14:paraId="54B520BF">
            <w:pPr>
              <w:widowControl/>
              <w:jc w:val="center"/>
              <w:rPr>
                <w:rFonts w:ascii="Times New Roman"/>
                <w:sz w:val="21"/>
                <w:szCs w:val="21"/>
              </w:rPr>
            </w:pPr>
            <w:r>
              <w:rPr>
                <w:rFonts w:ascii="Times New Roman"/>
                <w:sz w:val="21"/>
                <w:szCs w:val="21"/>
              </w:rPr>
              <w:t>《大气污染物综合排放标准》（GB16297-1996）表2中“染料尘”标准限值要求</w:t>
            </w:r>
          </w:p>
        </w:tc>
        <w:tc>
          <w:tcPr>
            <w:tcW w:w="1850" w:type="pct"/>
            <w:gridSpan w:val="2"/>
            <w:vMerge w:val="restart"/>
            <w:vAlign w:val="center"/>
          </w:tcPr>
          <w:p w14:paraId="5E3D24A7">
            <w:pPr>
              <w:widowControl/>
              <w:jc w:val="center"/>
              <w:rPr>
                <w:rFonts w:ascii="Times New Roman"/>
                <w:sz w:val="21"/>
                <w:szCs w:val="21"/>
              </w:rPr>
            </w:pPr>
            <w:r>
              <w:rPr>
                <w:rFonts w:hint="eastAsia" w:ascii="Times New Roman"/>
                <w:sz w:val="21"/>
                <w:szCs w:val="21"/>
              </w:rPr>
              <w:t>/</w:t>
            </w:r>
          </w:p>
        </w:tc>
      </w:tr>
      <w:tr w14:paraId="159A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continue"/>
            <w:vAlign w:val="center"/>
          </w:tcPr>
          <w:p w14:paraId="4EA20AC6">
            <w:pPr>
              <w:widowControl/>
              <w:jc w:val="center"/>
              <w:rPr>
                <w:rFonts w:ascii="Times New Roman"/>
                <w:sz w:val="21"/>
                <w:szCs w:val="21"/>
              </w:rPr>
            </w:pPr>
          </w:p>
        </w:tc>
        <w:tc>
          <w:tcPr>
            <w:tcW w:w="539" w:type="pct"/>
            <w:gridSpan w:val="2"/>
            <w:vMerge w:val="continue"/>
            <w:vAlign w:val="center"/>
          </w:tcPr>
          <w:p w14:paraId="39F7550D">
            <w:pPr>
              <w:widowControl/>
              <w:jc w:val="center"/>
              <w:rPr>
                <w:rFonts w:ascii="Times New Roman"/>
                <w:sz w:val="21"/>
                <w:szCs w:val="21"/>
              </w:rPr>
            </w:pPr>
          </w:p>
        </w:tc>
        <w:tc>
          <w:tcPr>
            <w:tcW w:w="349" w:type="pct"/>
            <w:vMerge w:val="continue"/>
            <w:vAlign w:val="center"/>
          </w:tcPr>
          <w:p w14:paraId="37F87A32">
            <w:pPr>
              <w:widowControl/>
              <w:jc w:val="center"/>
              <w:rPr>
                <w:rFonts w:ascii="Times New Roman"/>
                <w:sz w:val="21"/>
                <w:szCs w:val="21"/>
              </w:rPr>
            </w:pPr>
          </w:p>
        </w:tc>
        <w:tc>
          <w:tcPr>
            <w:tcW w:w="280" w:type="pct"/>
            <w:vMerge w:val="continue"/>
            <w:vAlign w:val="center"/>
          </w:tcPr>
          <w:p w14:paraId="6F24EB00">
            <w:pPr>
              <w:widowControl/>
              <w:jc w:val="center"/>
              <w:rPr>
                <w:rFonts w:ascii="Times New Roman"/>
                <w:sz w:val="21"/>
                <w:szCs w:val="21"/>
              </w:rPr>
            </w:pPr>
          </w:p>
        </w:tc>
        <w:tc>
          <w:tcPr>
            <w:tcW w:w="552" w:type="pct"/>
            <w:vAlign w:val="center"/>
          </w:tcPr>
          <w:p w14:paraId="1AF74A7B">
            <w:pPr>
              <w:widowControl/>
              <w:jc w:val="center"/>
              <w:rPr>
                <w:rFonts w:ascii="Times New Roman"/>
                <w:sz w:val="21"/>
                <w:szCs w:val="21"/>
              </w:rPr>
            </w:pPr>
            <w:r>
              <w:rPr>
                <w:rFonts w:ascii="Times New Roman"/>
                <w:sz w:val="21"/>
                <w:szCs w:val="21"/>
              </w:rPr>
              <w:t>最高允许排放速率0.</w:t>
            </w:r>
            <w:r>
              <w:rPr>
                <w:rFonts w:hint="eastAsia" w:ascii="Times New Roman"/>
                <w:sz w:val="21"/>
                <w:szCs w:val="21"/>
              </w:rPr>
              <w:t>85</w:t>
            </w:r>
            <w:r>
              <w:rPr>
                <w:rFonts w:ascii="Times New Roman"/>
                <w:sz w:val="21"/>
                <w:szCs w:val="21"/>
              </w:rPr>
              <w:t>kg/h</w:t>
            </w:r>
          </w:p>
        </w:tc>
        <w:tc>
          <w:tcPr>
            <w:tcW w:w="1296" w:type="pct"/>
            <w:gridSpan w:val="2"/>
            <w:vMerge w:val="continue"/>
            <w:vAlign w:val="center"/>
          </w:tcPr>
          <w:p w14:paraId="413A8FCF">
            <w:pPr>
              <w:widowControl/>
              <w:jc w:val="center"/>
              <w:rPr>
                <w:rFonts w:ascii="Times New Roman"/>
                <w:sz w:val="21"/>
                <w:szCs w:val="21"/>
              </w:rPr>
            </w:pPr>
          </w:p>
        </w:tc>
        <w:tc>
          <w:tcPr>
            <w:tcW w:w="1850" w:type="pct"/>
            <w:gridSpan w:val="2"/>
            <w:vMerge w:val="continue"/>
            <w:vAlign w:val="center"/>
          </w:tcPr>
          <w:p w14:paraId="648A41B5">
            <w:pPr>
              <w:widowControl/>
              <w:jc w:val="center"/>
              <w:rPr>
                <w:rFonts w:ascii="Times New Roman"/>
                <w:sz w:val="21"/>
                <w:szCs w:val="21"/>
              </w:rPr>
            </w:pPr>
          </w:p>
        </w:tc>
      </w:tr>
      <w:tr w14:paraId="1BE9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 w:type="pct"/>
            <w:vMerge w:val="continue"/>
            <w:vAlign w:val="center"/>
          </w:tcPr>
          <w:p w14:paraId="63245C79">
            <w:pPr>
              <w:widowControl/>
              <w:jc w:val="center"/>
              <w:rPr>
                <w:rFonts w:ascii="Times New Roman"/>
                <w:sz w:val="21"/>
                <w:szCs w:val="21"/>
              </w:rPr>
            </w:pPr>
          </w:p>
        </w:tc>
        <w:tc>
          <w:tcPr>
            <w:tcW w:w="539" w:type="pct"/>
            <w:gridSpan w:val="2"/>
            <w:vMerge w:val="continue"/>
            <w:vAlign w:val="center"/>
          </w:tcPr>
          <w:p w14:paraId="06C7E21E">
            <w:pPr>
              <w:widowControl/>
              <w:jc w:val="center"/>
              <w:rPr>
                <w:rFonts w:ascii="Times New Roman"/>
                <w:sz w:val="21"/>
                <w:szCs w:val="21"/>
              </w:rPr>
            </w:pPr>
          </w:p>
        </w:tc>
        <w:tc>
          <w:tcPr>
            <w:tcW w:w="349" w:type="pct"/>
            <w:vMerge w:val="continue"/>
            <w:vAlign w:val="center"/>
          </w:tcPr>
          <w:p w14:paraId="3EB9375F">
            <w:pPr>
              <w:widowControl/>
              <w:jc w:val="center"/>
              <w:rPr>
                <w:rFonts w:ascii="Times New Roman"/>
                <w:sz w:val="21"/>
                <w:szCs w:val="21"/>
              </w:rPr>
            </w:pPr>
          </w:p>
        </w:tc>
        <w:tc>
          <w:tcPr>
            <w:tcW w:w="280" w:type="pct"/>
            <w:vMerge w:val="continue"/>
            <w:vAlign w:val="center"/>
          </w:tcPr>
          <w:p w14:paraId="79B3382A">
            <w:pPr>
              <w:widowControl/>
              <w:jc w:val="center"/>
              <w:rPr>
                <w:rFonts w:ascii="Times New Roman"/>
                <w:sz w:val="21"/>
                <w:szCs w:val="21"/>
              </w:rPr>
            </w:pPr>
          </w:p>
        </w:tc>
        <w:tc>
          <w:tcPr>
            <w:tcW w:w="552" w:type="pct"/>
            <w:vAlign w:val="center"/>
          </w:tcPr>
          <w:p w14:paraId="212A610F">
            <w:pPr>
              <w:widowControl/>
              <w:jc w:val="center"/>
              <w:rPr>
                <w:rFonts w:ascii="Times New Roman"/>
                <w:sz w:val="21"/>
                <w:szCs w:val="21"/>
              </w:rPr>
            </w:pPr>
            <w:r>
              <w:rPr>
                <w:rFonts w:ascii="Times New Roman"/>
                <w:sz w:val="21"/>
                <w:szCs w:val="21"/>
              </w:rPr>
              <w:t>排气筒高度20m</w:t>
            </w:r>
          </w:p>
        </w:tc>
        <w:tc>
          <w:tcPr>
            <w:tcW w:w="1296" w:type="pct"/>
            <w:gridSpan w:val="2"/>
            <w:vMerge w:val="continue"/>
            <w:vAlign w:val="center"/>
          </w:tcPr>
          <w:p w14:paraId="5D0C0C32">
            <w:pPr>
              <w:widowControl/>
              <w:jc w:val="center"/>
              <w:rPr>
                <w:rFonts w:ascii="Times New Roman"/>
                <w:sz w:val="21"/>
                <w:szCs w:val="21"/>
              </w:rPr>
            </w:pPr>
          </w:p>
        </w:tc>
        <w:tc>
          <w:tcPr>
            <w:tcW w:w="1850" w:type="pct"/>
            <w:gridSpan w:val="2"/>
            <w:vMerge w:val="continue"/>
            <w:vAlign w:val="center"/>
          </w:tcPr>
          <w:p w14:paraId="6537E7A2">
            <w:pPr>
              <w:widowControl/>
              <w:jc w:val="center"/>
              <w:rPr>
                <w:rFonts w:ascii="Times New Roman"/>
                <w:sz w:val="21"/>
                <w:szCs w:val="21"/>
              </w:rPr>
            </w:pPr>
          </w:p>
        </w:tc>
      </w:tr>
      <w:tr w14:paraId="1618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continue"/>
            <w:vAlign w:val="center"/>
          </w:tcPr>
          <w:p w14:paraId="062864E2">
            <w:pPr>
              <w:widowControl/>
              <w:jc w:val="center"/>
              <w:rPr>
                <w:rFonts w:ascii="Times New Roman"/>
                <w:sz w:val="21"/>
                <w:szCs w:val="21"/>
              </w:rPr>
            </w:pPr>
          </w:p>
        </w:tc>
        <w:tc>
          <w:tcPr>
            <w:tcW w:w="539" w:type="pct"/>
            <w:gridSpan w:val="2"/>
            <w:vMerge w:val="continue"/>
            <w:vAlign w:val="center"/>
          </w:tcPr>
          <w:p w14:paraId="61D45D99">
            <w:pPr>
              <w:widowControl/>
              <w:jc w:val="center"/>
              <w:rPr>
                <w:rFonts w:ascii="Times New Roman"/>
                <w:sz w:val="21"/>
                <w:szCs w:val="21"/>
              </w:rPr>
            </w:pPr>
          </w:p>
        </w:tc>
        <w:tc>
          <w:tcPr>
            <w:tcW w:w="349" w:type="pct"/>
            <w:vMerge w:val="continue"/>
            <w:vAlign w:val="center"/>
          </w:tcPr>
          <w:p w14:paraId="768DEE19">
            <w:pPr>
              <w:widowControl/>
              <w:jc w:val="center"/>
              <w:rPr>
                <w:rFonts w:ascii="Times New Roman"/>
                <w:sz w:val="21"/>
                <w:szCs w:val="21"/>
              </w:rPr>
            </w:pPr>
          </w:p>
        </w:tc>
        <w:tc>
          <w:tcPr>
            <w:tcW w:w="280" w:type="pct"/>
            <w:vMerge w:val="restart"/>
            <w:vAlign w:val="center"/>
          </w:tcPr>
          <w:p w14:paraId="528ACB6A">
            <w:pPr>
              <w:widowControl/>
              <w:jc w:val="center"/>
              <w:rPr>
                <w:rFonts w:ascii="Times New Roman"/>
                <w:sz w:val="21"/>
                <w:szCs w:val="21"/>
              </w:rPr>
            </w:pPr>
            <w:r>
              <w:rPr>
                <w:rFonts w:ascii="Times New Roman"/>
                <w:sz w:val="21"/>
                <w:szCs w:val="21"/>
              </w:rPr>
              <w:t>非</w:t>
            </w:r>
            <w:r>
              <w:rPr>
                <w:rFonts w:ascii="Times New Roman"/>
                <w:sz w:val="18"/>
                <w:szCs w:val="18"/>
              </w:rPr>
              <w:t>甲烷总烃</w:t>
            </w:r>
            <w:r>
              <w:rPr>
                <w:rFonts w:ascii="Times New Roman"/>
                <w:sz w:val="21"/>
                <w:szCs w:val="21"/>
              </w:rPr>
              <w:t xml:space="preserve"> </w:t>
            </w:r>
          </w:p>
        </w:tc>
        <w:tc>
          <w:tcPr>
            <w:tcW w:w="552" w:type="pct"/>
            <w:vAlign w:val="center"/>
          </w:tcPr>
          <w:p w14:paraId="4F3774F6">
            <w:pPr>
              <w:widowControl/>
              <w:jc w:val="center"/>
              <w:rPr>
                <w:rFonts w:ascii="Times New Roman"/>
                <w:sz w:val="21"/>
                <w:szCs w:val="21"/>
              </w:rPr>
            </w:pPr>
            <w:r>
              <w:rPr>
                <w:rFonts w:ascii="Times New Roman"/>
                <w:sz w:val="21"/>
                <w:szCs w:val="21"/>
              </w:rPr>
              <w:t>最高允许排放浓度</w:t>
            </w:r>
            <w:r>
              <w:rPr>
                <w:rFonts w:hint="eastAsia" w:ascii="Times New Roman"/>
                <w:sz w:val="21"/>
                <w:szCs w:val="21"/>
              </w:rPr>
              <w:t>6</w:t>
            </w:r>
            <w:r>
              <w:rPr>
                <w:rFonts w:ascii="Times New Roman"/>
                <w:sz w:val="21"/>
                <w:szCs w:val="21"/>
              </w:rPr>
              <w:t>0mg/m</w:t>
            </w:r>
            <w:r>
              <w:rPr>
                <w:rFonts w:ascii="Times New Roman"/>
                <w:sz w:val="21"/>
                <w:szCs w:val="21"/>
                <w:vertAlign w:val="superscript"/>
              </w:rPr>
              <w:t>3</w:t>
            </w:r>
          </w:p>
        </w:tc>
        <w:tc>
          <w:tcPr>
            <w:tcW w:w="1296" w:type="pct"/>
            <w:gridSpan w:val="2"/>
            <w:vMerge w:val="restart"/>
            <w:vAlign w:val="center"/>
          </w:tcPr>
          <w:p w14:paraId="32672DD7">
            <w:pPr>
              <w:widowControl/>
              <w:jc w:val="center"/>
              <w:rPr>
                <w:rFonts w:ascii="Times New Roman"/>
                <w:sz w:val="21"/>
                <w:szCs w:val="21"/>
              </w:rPr>
            </w:pPr>
            <w:r>
              <w:rPr>
                <w:rFonts w:ascii="Times New Roman"/>
                <w:sz w:val="21"/>
                <w:szCs w:val="21"/>
              </w:rPr>
              <w:t>《工业企业挥发性有机物排放控制标准》（DB13/2322-2016）表1表面涂装业标准限值要求</w:t>
            </w:r>
          </w:p>
        </w:tc>
        <w:tc>
          <w:tcPr>
            <w:tcW w:w="1850" w:type="pct"/>
            <w:gridSpan w:val="2"/>
            <w:vMerge w:val="continue"/>
            <w:vAlign w:val="center"/>
          </w:tcPr>
          <w:p w14:paraId="5309DB24">
            <w:pPr>
              <w:widowControl/>
              <w:jc w:val="center"/>
              <w:rPr>
                <w:rFonts w:ascii="Times New Roman"/>
                <w:sz w:val="21"/>
                <w:szCs w:val="21"/>
              </w:rPr>
            </w:pPr>
          </w:p>
        </w:tc>
      </w:tr>
      <w:tr w14:paraId="042E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continue"/>
            <w:vAlign w:val="center"/>
          </w:tcPr>
          <w:p w14:paraId="50DC5166">
            <w:pPr>
              <w:widowControl/>
              <w:jc w:val="center"/>
              <w:rPr>
                <w:rFonts w:ascii="Times New Roman"/>
                <w:sz w:val="21"/>
                <w:szCs w:val="21"/>
              </w:rPr>
            </w:pPr>
          </w:p>
        </w:tc>
        <w:tc>
          <w:tcPr>
            <w:tcW w:w="539" w:type="pct"/>
            <w:gridSpan w:val="2"/>
            <w:vMerge w:val="continue"/>
            <w:vAlign w:val="center"/>
          </w:tcPr>
          <w:p w14:paraId="30D37232">
            <w:pPr>
              <w:widowControl/>
              <w:jc w:val="center"/>
              <w:rPr>
                <w:rFonts w:ascii="Times New Roman"/>
                <w:sz w:val="21"/>
                <w:szCs w:val="21"/>
              </w:rPr>
            </w:pPr>
          </w:p>
        </w:tc>
        <w:tc>
          <w:tcPr>
            <w:tcW w:w="349" w:type="pct"/>
            <w:vMerge w:val="continue"/>
            <w:vAlign w:val="center"/>
          </w:tcPr>
          <w:p w14:paraId="4D1275C9">
            <w:pPr>
              <w:widowControl/>
              <w:jc w:val="center"/>
              <w:rPr>
                <w:rFonts w:ascii="Times New Roman"/>
                <w:sz w:val="21"/>
                <w:szCs w:val="21"/>
              </w:rPr>
            </w:pPr>
          </w:p>
        </w:tc>
        <w:tc>
          <w:tcPr>
            <w:tcW w:w="280" w:type="pct"/>
            <w:vMerge w:val="continue"/>
            <w:vAlign w:val="center"/>
          </w:tcPr>
          <w:p w14:paraId="6CEFD3DC">
            <w:pPr>
              <w:widowControl/>
              <w:jc w:val="center"/>
              <w:rPr>
                <w:rFonts w:ascii="Times New Roman"/>
                <w:sz w:val="21"/>
                <w:szCs w:val="21"/>
              </w:rPr>
            </w:pPr>
          </w:p>
        </w:tc>
        <w:tc>
          <w:tcPr>
            <w:tcW w:w="552" w:type="pct"/>
            <w:vAlign w:val="center"/>
          </w:tcPr>
          <w:p w14:paraId="7F0B95D2">
            <w:pPr>
              <w:widowControl/>
              <w:jc w:val="center"/>
              <w:rPr>
                <w:rFonts w:ascii="Times New Roman"/>
                <w:sz w:val="21"/>
                <w:szCs w:val="21"/>
              </w:rPr>
            </w:pPr>
            <w:r>
              <w:rPr>
                <w:rFonts w:ascii="Times New Roman"/>
                <w:sz w:val="21"/>
                <w:szCs w:val="21"/>
              </w:rPr>
              <w:t>最低去除效率70%</w:t>
            </w:r>
          </w:p>
        </w:tc>
        <w:tc>
          <w:tcPr>
            <w:tcW w:w="1296" w:type="pct"/>
            <w:gridSpan w:val="2"/>
            <w:vMerge w:val="continue"/>
            <w:vAlign w:val="center"/>
          </w:tcPr>
          <w:p w14:paraId="23BC515B">
            <w:pPr>
              <w:widowControl/>
              <w:jc w:val="center"/>
              <w:rPr>
                <w:rFonts w:ascii="Times New Roman"/>
                <w:sz w:val="21"/>
                <w:szCs w:val="21"/>
              </w:rPr>
            </w:pPr>
          </w:p>
        </w:tc>
        <w:tc>
          <w:tcPr>
            <w:tcW w:w="1850" w:type="pct"/>
            <w:gridSpan w:val="2"/>
            <w:vMerge w:val="continue"/>
            <w:vAlign w:val="center"/>
          </w:tcPr>
          <w:p w14:paraId="0564BF7F">
            <w:pPr>
              <w:widowControl/>
              <w:jc w:val="center"/>
              <w:rPr>
                <w:rFonts w:ascii="Times New Roman"/>
                <w:sz w:val="21"/>
                <w:szCs w:val="21"/>
              </w:rPr>
            </w:pPr>
          </w:p>
        </w:tc>
      </w:tr>
      <w:tr w14:paraId="2860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29" w:type="pct"/>
            <w:vMerge w:val="continue"/>
            <w:vAlign w:val="center"/>
          </w:tcPr>
          <w:p w14:paraId="78DB06EF">
            <w:pPr>
              <w:widowControl/>
              <w:jc w:val="center"/>
              <w:rPr>
                <w:rFonts w:ascii="Times New Roman"/>
                <w:sz w:val="21"/>
                <w:szCs w:val="21"/>
              </w:rPr>
            </w:pPr>
          </w:p>
        </w:tc>
        <w:tc>
          <w:tcPr>
            <w:tcW w:w="539" w:type="pct"/>
            <w:gridSpan w:val="2"/>
            <w:vMerge w:val="continue"/>
            <w:vAlign w:val="center"/>
          </w:tcPr>
          <w:p w14:paraId="6A0B7B48">
            <w:pPr>
              <w:widowControl/>
              <w:jc w:val="center"/>
              <w:rPr>
                <w:rFonts w:ascii="Times New Roman"/>
                <w:sz w:val="21"/>
                <w:szCs w:val="21"/>
              </w:rPr>
            </w:pPr>
          </w:p>
        </w:tc>
        <w:tc>
          <w:tcPr>
            <w:tcW w:w="349" w:type="pct"/>
            <w:vMerge w:val="continue"/>
            <w:vAlign w:val="center"/>
          </w:tcPr>
          <w:p w14:paraId="00F03CD3">
            <w:pPr>
              <w:widowControl/>
              <w:jc w:val="center"/>
              <w:rPr>
                <w:rFonts w:ascii="Times New Roman"/>
                <w:sz w:val="21"/>
                <w:szCs w:val="21"/>
              </w:rPr>
            </w:pPr>
          </w:p>
        </w:tc>
        <w:tc>
          <w:tcPr>
            <w:tcW w:w="280" w:type="pct"/>
            <w:vAlign w:val="center"/>
          </w:tcPr>
          <w:p w14:paraId="058D9334">
            <w:pPr>
              <w:widowControl/>
              <w:jc w:val="center"/>
              <w:rPr>
                <w:rFonts w:ascii="Times New Roman"/>
                <w:sz w:val="21"/>
                <w:szCs w:val="21"/>
              </w:rPr>
            </w:pPr>
            <w:r>
              <w:rPr>
                <w:rFonts w:hint="eastAsia" w:ascii="Times New Roman"/>
                <w:sz w:val="21"/>
                <w:szCs w:val="21"/>
              </w:rPr>
              <w:t>苯</w:t>
            </w:r>
          </w:p>
        </w:tc>
        <w:tc>
          <w:tcPr>
            <w:tcW w:w="552" w:type="pct"/>
            <w:vAlign w:val="center"/>
          </w:tcPr>
          <w:p w14:paraId="5A873B7C">
            <w:pPr>
              <w:widowControl/>
              <w:jc w:val="center"/>
              <w:rPr>
                <w:rFonts w:ascii="Times New Roman"/>
                <w:sz w:val="21"/>
                <w:szCs w:val="21"/>
              </w:rPr>
            </w:pPr>
            <w:r>
              <w:rPr>
                <w:rFonts w:ascii="Times New Roman"/>
                <w:sz w:val="21"/>
                <w:szCs w:val="21"/>
              </w:rPr>
              <w:t>排放浓度</w:t>
            </w:r>
            <w:r>
              <w:rPr>
                <w:rFonts w:hint="eastAsia" w:ascii="Times New Roman"/>
                <w:sz w:val="21"/>
                <w:szCs w:val="21"/>
              </w:rPr>
              <w:t>1</w:t>
            </w:r>
            <w:r>
              <w:rPr>
                <w:rFonts w:ascii="Times New Roman"/>
                <w:sz w:val="21"/>
                <w:szCs w:val="21"/>
              </w:rPr>
              <w:t>mg/m</w:t>
            </w:r>
          </w:p>
        </w:tc>
        <w:tc>
          <w:tcPr>
            <w:tcW w:w="1296" w:type="pct"/>
            <w:gridSpan w:val="2"/>
            <w:vMerge w:val="continue"/>
            <w:vAlign w:val="center"/>
          </w:tcPr>
          <w:p w14:paraId="4AE119BC">
            <w:pPr>
              <w:widowControl/>
              <w:jc w:val="center"/>
              <w:rPr>
                <w:rFonts w:ascii="Times New Roman"/>
                <w:sz w:val="21"/>
                <w:szCs w:val="21"/>
              </w:rPr>
            </w:pPr>
          </w:p>
        </w:tc>
        <w:tc>
          <w:tcPr>
            <w:tcW w:w="1850" w:type="pct"/>
            <w:gridSpan w:val="2"/>
            <w:vMerge w:val="continue"/>
            <w:vAlign w:val="center"/>
          </w:tcPr>
          <w:p w14:paraId="03734495">
            <w:pPr>
              <w:widowControl/>
              <w:jc w:val="center"/>
              <w:rPr>
                <w:rFonts w:ascii="Times New Roman"/>
                <w:sz w:val="21"/>
                <w:szCs w:val="21"/>
              </w:rPr>
            </w:pPr>
          </w:p>
        </w:tc>
      </w:tr>
      <w:tr w14:paraId="5BB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29" w:type="pct"/>
            <w:vMerge w:val="continue"/>
            <w:vAlign w:val="center"/>
          </w:tcPr>
          <w:p w14:paraId="09C2C27A">
            <w:pPr>
              <w:widowControl/>
              <w:jc w:val="center"/>
              <w:rPr>
                <w:rFonts w:ascii="Times New Roman"/>
                <w:sz w:val="21"/>
                <w:szCs w:val="21"/>
              </w:rPr>
            </w:pPr>
          </w:p>
        </w:tc>
        <w:tc>
          <w:tcPr>
            <w:tcW w:w="539" w:type="pct"/>
            <w:gridSpan w:val="2"/>
            <w:vMerge w:val="continue"/>
            <w:vAlign w:val="center"/>
          </w:tcPr>
          <w:p w14:paraId="042EA24D">
            <w:pPr>
              <w:widowControl/>
              <w:jc w:val="center"/>
              <w:rPr>
                <w:rFonts w:ascii="Times New Roman"/>
                <w:sz w:val="21"/>
                <w:szCs w:val="21"/>
              </w:rPr>
            </w:pPr>
          </w:p>
        </w:tc>
        <w:tc>
          <w:tcPr>
            <w:tcW w:w="349" w:type="pct"/>
            <w:vMerge w:val="continue"/>
            <w:vAlign w:val="center"/>
          </w:tcPr>
          <w:p w14:paraId="369F5BE9">
            <w:pPr>
              <w:widowControl/>
              <w:jc w:val="center"/>
              <w:rPr>
                <w:rFonts w:ascii="Times New Roman"/>
                <w:sz w:val="21"/>
                <w:szCs w:val="21"/>
              </w:rPr>
            </w:pPr>
          </w:p>
        </w:tc>
        <w:tc>
          <w:tcPr>
            <w:tcW w:w="280" w:type="pct"/>
            <w:vAlign w:val="center"/>
          </w:tcPr>
          <w:p w14:paraId="6C5B8401">
            <w:pPr>
              <w:widowControl/>
              <w:jc w:val="center"/>
              <w:rPr>
                <w:rFonts w:ascii="Times New Roman"/>
                <w:sz w:val="21"/>
                <w:szCs w:val="21"/>
              </w:rPr>
            </w:pPr>
            <w:r>
              <w:rPr>
                <w:rFonts w:ascii="Times New Roman"/>
                <w:sz w:val="21"/>
                <w:szCs w:val="21"/>
              </w:rPr>
              <w:t>甲苯+二甲苯</w:t>
            </w:r>
          </w:p>
        </w:tc>
        <w:tc>
          <w:tcPr>
            <w:tcW w:w="552" w:type="pct"/>
            <w:vAlign w:val="center"/>
          </w:tcPr>
          <w:p w14:paraId="079F4F38">
            <w:pPr>
              <w:widowControl/>
              <w:jc w:val="center"/>
              <w:rPr>
                <w:rFonts w:ascii="Times New Roman"/>
                <w:sz w:val="21"/>
                <w:szCs w:val="21"/>
              </w:rPr>
            </w:pPr>
            <w:r>
              <w:rPr>
                <w:rFonts w:ascii="Times New Roman"/>
                <w:sz w:val="21"/>
                <w:szCs w:val="21"/>
              </w:rPr>
              <w:t>甲苯与二甲苯合计</w:t>
            </w:r>
            <w:r>
              <w:rPr>
                <w:rFonts w:hint="eastAsia" w:ascii="Times New Roman"/>
                <w:sz w:val="21"/>
                <w:szCs w:val="21"/>
              </w:rPr>
              <w:t>2</w:t>
            </w:r>
            <w:r>
              <w:rPr>
                <w:rFonts w:ascii="Times New Roman"/>
                <w:sz w:val="21"/>
                <w:szCs w:val="21"/>
              </w:rPr>
              <w:t>0mg/m</w:t>
            </w:r>
            <w:r>
              <w:rPr>
                <w:rFonts w:ascii="Times New Roman"/>
                <w:sz w:val="21"/>
                <w:szCs w:val="21"/>
                <w:vertAlign w:val="superscript"/>
              </w:rPr>
              <w:t>3</w:t>
            </w:r>
          </w:p>
        </w:tc>
        <w:tc>
          <w:tcPr>
            <w:tcW w:w="1296" w:type="pct"/>
            <w:gridSpan w:val="2"/>
            <w:vMerge w:val="continue"/>
            <w:vAlign w:val="center"/>
          </w:tcPr>
          <w:p w14:paraId="117EC2E6">
            <w:pPr>
              <w:widowControl/>
              <w:jc w:val="center"/>
              <w:rPr>
                <w:rFonts w:ascii="Times New Roman"/>
                <w:sz w:val="21"/>
                <w:szCs w:val="21"/>
              </w:rPr>
            </w:pPr>
          </w:p>
        </w:tc>
        <w:tc>
          <w:tcPr>
            <w:tcW w:w="1850" w:type="pct"/>
            <w:gridSpan w:val="2"/>
            <w:vMerge w:val="continue"/>
            <w:vAlign w:val="center"/>
          </w:tcPr>
          <w:p w14:paraId="565F9EB3">
            <w:pPr>
              <w:widowControl/>
              <w:jc w:val="center"/>
              <w:rPr>
                <w:rFonts w:ascii="Times New Roman"/>
                <w:sz w:val="21"/>
                <w:szCs w:val="21"/>
              </w:rPr>
            </w:pPr>
          </w:p>
        </w:tc>
      </w:tr>
      <w:tr w14:paraId="0A35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129" w:type="pct"/>
            <w:vMerge w:val="continue"/>
            <w:vAlign w:val="center"/>
          </w:tcPr>
          <w:p w14:paraId="452CA758">
            <w:pPr>
              <w:widowControl/>
              <w:jc w:val="center"/>
              <w:rPr>
                <w:rFonts w:ascii="Times New Roman"/>
                <w:sz w:val="21"/>
                <w:szCs w:val="21"/>
              </w:rPr>
            </w:pPr>
          </w:p>
        </w:tc>
        <w:tc>
          <w:tcPr>
            <w:tcW w:w="539" w:type="pct"/>
            <w:gridSpan w:val="2"/>
            <w:vMerge w:val="continue"/>
            <w:vAlign w:val="center"/>
          </w:tcPr>
          <w:p w14:paraId="325DF668">
            <w:pPr>
              <w:widowControl/>
              <w:jc w:val="center"/>
              <w:rPr>
                <w:rFonts w:ascii="Times New Roman"/>
                <w:sz w:val="21"/>
                <w:szCs w:val="21"/>
              </w:rPr>
            </w:pPr>
          </w:p>
        </w:tc>
        <w:tc>
          <w:tcPr>
            <w:tcW w:w="349" w:type="pct"/>
            <w:vMerge w:val="restart"/>
            <w:vAlign w:val="center"/>
          </w:tcPr>
          <w:p w14:paraId="090C87CE">
            <w:pPr>
              <w:widowControl/>
              <w:jc w:val="center"/>
              <w:rPr>
                <w:rFonts w:ascii="Times New Roman"/>
                <w:sz w:val="21"/>
                <w:szCs w:val="21"/>
              </w:rPr>
            </w:pPr>
            <w:r>
              <w:rPr>
                <w:rFonts w:ascii="Times New Roman"/>
                <w:sz w:val="21"/>
                <w:szCs w:val="21"/>
              </w:rPr>
              <w:t>天然气燃烧机</w:t>
            </w:r>
          </w:p>
        </w:tc>
        <w:tc>
          <w:tcPr>
            <w:tcW w:w="280" w:type="pct"/>
            <w:vAlign w:val="center"/>
          </w:tcPr>
          <w:p w14:paraId="6AF24B3B">
            <w:pPr>
              <w:widowControl/>
              <w:jc w:val="center"/>
              <w:rPr>
                <w:rFonts w:ascii="Times New Roman"/>
                <w:sz w:val="21"/>
                <w:szCs w:val="21"/>
              </w:rPr>
            </w:pPr>
            <w:r>
              <w:rPr>
                <w:rFonts w:ascii="Times New Roman"/>
                <w:sz w:val="21"/>
                <w:szCs w:val="21"/>
              </w:rPr>
              <w:t>颗粒物</w:t>
            </w:r>
          </w:p>
        </w:tc>
        <w:tc>
          <w:tcPr>
            <w:tcW w:w="552" w:type="pct"/>
            <w:vAlign w:val="center"/>
          </w:tcPr>
          <w:p w14:paraId="34A9CC05">
            <w:pPr>
              <w:widowControl/>
              <w:jc w:val="center"/>
              <w:rPr>
                <w:rFonts w:ascii="Times New Roman"/>
                <w:sz w:val="21"/>
                <w:szCs w:val="21"/>
              </w:rPr>
            </w:pPr>
            <w:r>
              <w:rPr>
                <w:rFonts w:ascii="Times New Roman"/>
                <w:sz w:val="21"/>
                <w:szCs w:val="21"/>
              </w:rPr>
              <w:t>排放浓度50mg/m</w:t>
            </w:r>
            <w:r>
              <w:rPr>
                <w:rFonts w:ascii="Times New Roman"/>
                <w:sz w:val="21"/>
                <w:szCs w:val="21"/>
                <w:vertAlign w:val="superscript"/>
              </w:rPr>
              <w:t>3</w:t>
            </w:r>
          </w:p>
        </w:tc>
        <w:tc>
          <w:tcPr>
            <w:tcW w:w="1296" w:type="pct"/>
            <w:gridSpan w:val="2"/>
            <w:vMerge w:val="restart"/>
            <w:vAlign w:val="center"/>
          </w:tcPr>
          <w:p w14:paraId="6BF0B0F5">
            <w:pPr>
              <w:widowControl/>
              <w:jc w:val="center"/>
              <w:rPr>
                <w:rFonts w:ascii="Times New Roman"/>
                <w:sz w:val="21"/>
                <w:szCs w:val="21"/>
              </w:rPr>
            </w:pPr>
            <w:r>
              <w:rPr>
                <w:rFonts w:ascii="Times New Roman"/>
                <w:sz w:val="21"/>
                <w:szCs w:val="21"/>
              </w:rPr>
              <w:t>《工业炉窑大气污染物排放标准》（DB13/1640-2012）标准</w:t>
            </w:r>
          </w:p>
        </w:tc>
        <w:tc>
          <w:tcPr>
            <w:tcW w:w="1850" w:type="pct"/>
            <w:gridSpan w:val="2"/>
            <w:vMerge w:val="continue"/>
            <w:vAlign w:val="center"/>
          </w:tcPr>
          <w:p w14:paraId="7A7FC64C">
            <w:pPr>
              <w:widowControl/>
              <w:jc w:val="center"/>
              <w:rPr>
                <w:rFonts w:ascii="Times New Roman"/>
                <w:sz w:val="21"/>
                <w:szCs w:val="21"/>
              </w:rPr>
            </w:pPr>
          </w:p>
        </w:tc>
      </w:tr>
      <w:tr w14:paraId="312F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29" w:type="pct"/>
            <w:vMerge w:val="continue"/>
            <w:vAlign w:val="center"/>
          </w:tcPr>
          <w:p w14:paraId="2C4F6979">
            <w:pPr>
              <w:widowControl/>
              <w:jc w:val="center"/>
              <w:rPr>
                <w:rFonts w:ascii="Times New Roman"/>
                <w:sz w:val="21"/>
                <w:szCs w:val="21"/>
              </w:rPr>
            </w:pPr>
          </w:p>
        </w:tc>
        <w:tc>
          <w:tcPr>
            <w:tcW w:w="539" w:type="pct"/>
            <w:gridSpan w:val="2"/>
            <w:vMerge w:val="continue"/>
            <w:vAlign w:val="center"/>
          </w:tcPr>
          <w:p w14:paraId="2E432434">
            <w:pPr>
              <w:widowControl/>
              <w:jc w:val="center"/>
              <w:rPr>
                <w:rFonts w:ascii="Times New Roman"/>
                <w:sz w:val="21"/>
                <w:szCs w:val="21"/>
              </w:rPr>
            </w:pPr>
          </w:p>
        </w:tc>
        <w:tc>
          <w:tcPr>
            <w:tcW w:w="349" w:type="pct"/>
            <w:vMerge w:val="continue"/>
            <w:vAlign w:val="center"/>
          </w:tcPr>
          <w:p w14:paraId="7ADC4A61">
            <w:pPr>
              <w:widowControl/>
              <w:jc w:val="center"/>
              <w:rPr>
                <w:rFonts w:ascii="Times New Roman"/>
                <w:sz w:val="21"/>
                <w:szCs w:val="21"/>
              </w:rPr>
            </w:pPr>
          </w:p>
        </w:tc>
        <w:tc>
          <w:tcPr>
            <w:tcW w:w="280" w:type="pct"/>
            <w:vAlign w:val="center"/>
          </w:tcPr>
          <w:p w14:paraId="2E2E6D62">
            <w:pPr>
              <w:widowControl/>
              <w:jc w:val="center"/>
              <w:rPr>
                <w:rFonts w:ascii="Times New Roman"/>
                <w:sz w:val="21"/>
                <w:szCs w:val="21"/>
              </w:rPr>
            </w:pPr>
            <w:r>
              <w:rPr>
                <w:rFonts w:ascii="Times New Roman"/>
                <w:sz w:val="21"/>
                <w:szCs w:val="21"/>
              </w:rPr>
              <w:t>二氧化硫</w:t>
            </w:r>
          </w:p>
        </w:tc>
        <w:tc>
          <w:tcPr>
            <w:tcW w:w="552" w:type="pct"/>
            <w:vAlign w:val="center"/>
          </w:tcPr>
          <w:p w14:paraId="11616394">
            <w:pPr>
              <w:widowControl/>
              <w:jc w:val="center"/>
              <w:rPr>
                <w:rFonts w:ascii="Times New Roman"/>
                <w:sz w:val="21"/>
                <w:szCs w:val="21"/>
              </w:rPr>
            </w:pPr>
            <w:r>
              <w:rPr>
                <w:rFonts w:ascii="Times New Roman"/>
                <w:sz w:val="21"/>
                <w:szCs w:val="21"/>
              </w:rPr>
              <w:t>排放浓度400mg/m</w:t>
            </w:r>
            <w:r>
              <w:rPr>
                <w:rFonts w:ascii="Times New Roman"/>
                <w:sz w:val="21"/>
                <w:szCs w:val="21"/>
                <w:vertAlign w:val="superscript"/>
              </w:rPr>
              <w:t>3</w:t>
            </w:r>
          </w:p>
        </w:tc>
        <w:tc>
          <w:tcPr>
            <w:tcW w:w="1296" w:type="pct"/>
            <w:gridSpan w:val="2"/>
            <w:vMerge w:val="continue"/>
            <w:vAlign w:val="center"/>
          </w:tcPr>
          <w:p w14:paraId="0575435A">
            <w:pPr>
              <w:widowControl/>
              <w:jc w:val="center"/>
              <w:rPr>
                <w:rFonts w:ascii="Times New Roman"/>
                <w:sz w:val="21"/>
                <w:szCs w:val="21"/>
              </w:rPr>
            </w:pPr>
          </w:p>
        </w:tc>
        <w:tc>
          <w:tcPr>
            <w:tcW w:w="1850" w:type="pct"/>
            <w:gridSpan w:val="2"/>
            <w:vMerge w:val="continue"/>
            <w:vAlign w:val="center"/>
          </w:tcPr>
          <w:p w14:paraId="752736EB">
            <w:pPr>
              <w:widowControl/>
              <w:jc w:val="center"/>
              <w:rPr>
                <w:rFonts w:ascii="Times New Roman"/>
                <w:sz w:val="21"/>
                <w:szCs w:val="21"/>
              </w:rPr>
            </w:pPr>
          </w:p>
        </w:tc>
      </w:tr>
      <w:tr w14:paraId="4738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129" w:type="pct"/>
            <w:vMerge w:val="continue"/>
            <w:vAlign w:val="center"/>
          </w:tcPr>
          <w:p w14:paraId="5D142A01">
            <w:pPr>
              <w:widowControl/>
              <w:jc w:val="center"/>
              <w:rPr>
                <w:rFonts w:ascii="Times New Roman"/>
                <w:sz w:val="21"/>
                <w:szCs w:val="21"/>
              </w:rPr>
            </w:pPr>
          </w:p>
        </w:tc>
        <w:tc>
          <w:tcPr>
            <w:tcW w:w="539" w:type="pct"/>
            <w:gridSpan w:val="2"/>
            <w:vMerge w:val="continue"/>
            <w:vAlign w:val="center"/>
          </w:tcPr>
          <w:p w14:paraId="18F570F9">
            <w:pPr>
              <w:widowControl/>
              <w:jc w:val="center"/>
              <w:rPr>
                <w:rFonts w:ascii="Times New Roman"/>
                <w:sz w:val="21"/>
                <w:szCs w:val="21"/>
              </w:rPr>
            </w:pPr>
          </w:p>
        </w:tc>
        <w:tc>
          <w:tcPr>
            <w:tcW w:w="349" w:type="pct"/>
            <w:vMerge w:val="continue"/>
            <w:vAlign w:val="center"/>
          </w:tcPr>
          <w:p w14:paraId="048B8010">
            <w:pPr>
              <w:widowControl/>
              <w:jc w:val="center"/>
              <w:rPr>
                <w:rFonts w:ascii="Times New Roman"/>
                <w:sz w:val="21"/>
                <w:szCs w:val="21"/>
              </w:rPr>
            </w:pPr>
          </w:p>
        </w:tc>
        <w:tc>
          <w:tcPr>
            <w:tcW w:w="280" w:type="pct"/>
            <w:vAlign w:val="center"/>
          </w:tcPr>
          <w:p w14:paraId="32334D97">
            <w:pPr>
              <w:widowControl/>
              <w:jc w:val="center"/>
              <w:rPr>
                <w:rFonts w:ascii="Times New Roman"/>
                <w:sz w:val="21"/>
                <w:szCs w:val="21"/>
              </w:rPr>
            </w:pPr>
            <w:r>
              <w:rPr>
                <w:rFonts w:ascii="Times New Roman"/>
                <w:sz w:val="21"/>
                <w:szCs w:val="21"/>
              </w:rPr>
              <w:t>氮氧化物</w:t>
            </w:r>
          </w:p>
        </w:tc>
        <w:tc>
          <w:tcPr>
            <w:tcW w:w="552" w:type="pct"/>
            <w:vAlign w:val="center"/>
          </w:tcPr>
          <w:p w14:paraId="057B5F0A">
            <w:pPr>
              <w:widowControl/>
              <w:jc w:val="center"/>
              <w:rPr>
                <w:rFonts w:ascii="Times New Roman"/>
                <w:sz w:val="21"/>
                <w:szCs w:val="21"/>
              </w:rPr>
            </w:pPr>
            <w:r>
              <w:rPr>
                <w:rFonts w:ascii="Times New Roman"/>
                <w:sz w:val="21"/>
                <w:szCs w:val="21"/>
              </w:rPr>
              <w:t>排放浓度400mg/m</w:t>
            </w:r>
            <w:r>
              <w:rPr>
                <w:rFonts w:ascii="Times New Roman"/>
                <w:sz w:val="21"/>
                <w:szCs w:val="21"/>
                <w:vertAlign w:val="superscript"/>
              </w:rPr>
              <w:t>3</w:t>
            </w:r>
          </w:p>
        </w:tc>
        <w:tc>
          <w:tcPr>
            <w:tcW w:w="1296" w:type="pct"/>
            <w:gridSpan w:val="2"/>
            <w:vMerge w:val="continue"/>
            <w:vAlign w:val="center"/>
          </w:tcPr>
          <w:p w14:paraId="44768F20">
            <w:pPr>
              <w:widowControl/>
              <w:jc w:val="center"/>
              <w:rPr>
                <w:rFonts w:ascii="Times New Roman"/>
                <w:sz w:val="21"/>
                <w:szCs w:val="21"/>
              </w:rPr>
            </w:pPr>
          </w:p>
        </w:tc>
        <w:tc>
          <w:tcPr>
            <w:tcW w:w="1850" w:type="pct"/>
            <w:gridSpan w:val="2"/>
            <w:vMerge w:val="continue"/>
            <w:vAlign w:val="center"/>
          </w:tcPr>
          <w:p w14:paraId="52F23486">
            <w:pPr>
              <w:widowControl/>
              <w:jc w:val="center"/>
              <w:rPr>
                <w:rFonts w:ascii="Times New Roman"/>
                <w:sz w:val="21"/>
                <w:szCs w:val="21"/>
              </w:rPr>
            </w:pPr>
          </w:p>
        </w:tc>
      </w:tr>
      <w:tr w14:paraId="301C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29" w:type="pct"/>
            <w:vMerge w:val="continue"/>
            <w:vAlign w:val="center"/>
          </w:tcPr>
          <w:p w14:paraId="7631336A">
            <w:pPr>
              <w:widowControl/>
              <w:jc w:val="center"/>
              <w:rPr>
                <w:rFonts w:ascii="Times New Roman"/>
                <w:sz w:val="21"/>
                <w:szCs w:val="21"/>
              </w:rPr>
            </w:pPr>
          </w:p>
        </w:tc>
        <w:tc>
          <w:tcPr>
            <w:tcW w:w="539" w:type="pct"/>
            <w:gridSpan w:val="2"/>
            <w:vMerge w:val="continue"/>
            <w:vAlign w:val="center"/>
          </w:tcPr>
          <w:p w14:paraId="67CDEB28">
            <w:pPr>
              <w:widowControl/>
              <w:jc w:val="center"/>
              <w:rPr>
                <w:rFonts w:ascii="Times New Roman"/>
                <w:sz w:val="21"/>
                <w:szCs w:val="21"/>
              </w:rPr>
            </w:pPr>
          </w:p>
        </w:tc>
        <w:tc>
          <w:tcPr>
            <w:tcW w:w="349" w:type="pct"/>
            <w:vMerge w:val="continue"/>
            <w:vAlign w:val="center"/>
          </w:tcPr>
          <w:p w14:paraId="238BED37">
            <w:pPr>
              <w:widowControl/>
              <w:jc w:val="center"/>
              <w:rPr>
                <w:rFonts w:ascii="Times New Roman"/>
                <w:sz w:val="21"/>
                <w:szCs w:val="21"/>
              </w:rPr>
            </w:pPr>
          </w:p>
        </w:tc>
        <w:tc>
          <w:tcPr>
            <w:tcW w:w="280" w:type="pct"/>
            <w:vAlign w:val="center"/>
          </w:tcPr>
          <w:p w14:paraId="45498818">
            <w:pPr>
              <w:widowControl/>
              <w:jc w:val="center"/>
              <w:rPr>
                <w:rFonts w:ascii="Times New Roman"/>
                <w:sz w:val="21"/>
                <w:szCs w:val="21"/>
              </w:rPr>
            </w:pPr>
            <w:r>
              <w:rPr>
                <w:rFonts w:ascii="Times New Roman"/>
                <w:sz w:val="21"/>
                <w:szCs w:val="21"/>
              </w:rPr>
              <w:t>颗粒物</w:t>
            </w:r>
          </w:p>
        </w:tc>
        <w:tc>
          <w:tcPr>
            <w:tcW w:w="552" w:type="pct"/>
            <w:vAlign w:val="center"/>
          </w:tcPr>
          <w:p w14:paraId="04C08E44">
            <w:pPr>
              <w:widowControl/>
              <w:jc w:val="center"/>
              <w:rPr>
                <w:rFonts w:ascii="Times New Roman"/>
                <w:sz w:val="21"/>
                <w:szCs w:val="21"/>
              </w:rPr>
            </w:pPr>
            <w:r>
              <w:rPr>
                <w:rFonts w:ascii="Times New Roman"/>
                <w:sz w:val="21"/>
                <w:szCs w:val="21"/>
              </w:rPr>
              <w:t>排放浓度30mg/m</w:t>
            </w:r>
            <w:r>
              <w:rPr>
                <w:rFonts w:ascii="Times New Roman"/>
                <w:sz w:val="21"/>
                <w:szCs w:val="21"/>
                <w:vertAlign w:val="superscript"/>
              </w:rPr>
              <w:t>3</w:t>
            </w:r>
          </w:p>
        </w:tc>
        <w:tc>
          <w:tcPr>
            <w:tcW w:w="1296" w:type="pct"/>
            <w:gridSpan w:val="2"/>
            <w:vMerge w:val="restart"/>
            <w:vAlign w:val="center"/>
          </w:tcPr>
          <w:p w14:paraId="034AEC13">
            <w:pPr>
              <w:widowControl/>
              <w:jc w:val="center"/>
              <w:rPr>
                <w:rFonts w:ascii="Times New Roman"/>
                <w:sz w:val="21"/>
                <w:szCs w:val="21"/>
              </w:rPr>
            </w:pPr>
            <w:r>
              <w:rPr>
                <w:rFonts w:ascii="Times New Roman"/>
                <w:sz w:val="21"/>
                <w:szCs w:val="21"/>
              </w:rPr>
              <w:t>《关于印发&lt;工业炉窑大气污染综合治理方案&gt;的通知》（环大气[2019]56号）排放标准</w:t>
            </w:r>
          </w:p>
        </w:tc>
        <w:tc>
          <w:tcPr>
            <w:tcW w:w="1850" w:type="pct"/>
            <w:gridSpan w:val="2"/>
            <w:vMerge w:val="continue"/>
            <w:vAlign w:val="center"/>
          </w:tcPr>
          <w:p w14:paraId="184A95A8">
            <w:pPr>
              <w:widowControl/>
              <w:jc w:val="center"/>
              <w:rPr>
                <w:rFonts w:ascii="Times New Roman"/>
                <w:sz w:val="21"/>
                <w:szCs w:val="21"/>
              </w:rPr>
            </w:pPr>
          </w:p>
        </w:tc>
      </w:tr>
      <w:tr w14:paraId="159D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129" w:type="pct"/>
            <w:vMerge w:val="continue"/>
            <w:vAlign w:val="center"/>
          </w:tcPr>
          <w:p w14:paraId="034E62E4">
            <w:pPr>
              <w:widowControl/>
              <w:jc w:val="center"/>
              <w:rPr>
                <w:rFonts w:ascii="Times New Roman"/>
                <w:sz w:val="21"/>
                <w:szCs w:val="21"/>
              </w:rPr>
            </w:pPr>
          </w:p>
        </w:tc>
        <w:tc>
          <w:tcPr>
            <w:tcW w:w="539" w:type="pct"/>
            <w:gridSpan w:val="2"/>
            <w:vMerge w:val="continue"/>
            <w:vAlign w:val="center"/>
          </w:tcPr>
          <w:p w14:paraId="11F90F58">
            <w:pPr>
              <w:widowControl/>
              <w:jc w:val="center"/>
              <w:rPr>
                <w:rFonts w:ascii="Times New Roman"/>
                <w:sz w:val="21"/>
                <w:szCs w:val="21"/>
              </w:rPr>
            </w:pPr>
          </w:p>
        </w:tc>
        <w:tc>
          <w:tcPr>
            <w:tcW w:w="349" w:type="pct"/>
            <w:vMerge w:val="continue"/>
            <w:vAlign w:val="center"/>
          </w:tcPr>
          <w:p w14:paraId="6F6047A6">
            <w:pPr>
              <w:widowControl/>
              <w:jc w:val="center"/>
              <w:rPr>
                <w:rFonts w:ascii="Times New Roman"/>
                <w:sz w:val="21"/>
                <w:szCs w:val="21"/>
              </w:rPr>
            </w:pPr>
          </w:p>
        </w:tc>
        <w:tc>
          <w:tcPr>
            <w:tcW w:w="280" w:type="pct"/>
            <w:vAlign w:val="center"/>
          </w:tcPr>
          <w:p w14:paraId="11027C07">
            <w:pPr>
              <w:widowControl/>
              <w:jc w:val="center"/>
              <w:rPr>
                <w:rFonts w:ascii="Times New Roman"/>
                <w:sz w:val="21"/>
                <w:szCs w:val="21"/>
              </w:rPr>
            </w:pPr>
            <w:r>
              <w:rPr>
                <w:rFonts w:ascii="Times New Roman"/>
                <w:sz w:val="21"/>
                <w:szCs w:val="21"/>
              </w:rPr>
              <w:t>二氧化硫</w:t>
            </w:r>
          </w:p>
        </w:tc>
        <w:tc>
          <w:tcPr>
            <w:tcW w:w="552" w:type="pct"/>
            <w:vAlign w:val="center"/>
          </w:tcPr>
          <w:p w14:paraId="728DDD26">
            <w:pPr>
              <w:widowControl/>
              <w:jc w:val="center"/>
              <w:rPr>
                <w:rFonts w:ascii="Times New Roman"/>
                <w:sz w:val="21"/>
                <w:szCs w:val="21"/>
              </w:rPr>
            </w:pPr>
            <w:r>
              <w:rPr>
                <w:rFonts w:ascii="Times New Roman"/>
                <w:sz w:val="21"/>
                <w:szCs w:val="21"/>
              </w:rPr>
              <w:t>排放浓度200mg/m</w:t>
            </w:r>
            <w:r>
              <w:rPr>
                <w:rFonts w:ascii="Times New Roman"/>
                <w:sz w:val="21"/>
                <w:szCs w:val="21"/>
                <w:vertAlign w:val="superscript"/>
              </w:rPr>
              <w:t>3</w:t>
            </w:r>
          </w:p>
        </w:tc>
        <w:tc>
          <w:tcPr>
            <w:tcW w:w="1296" w:type="pct"/>
            <w:gridSpan w:val="2"/>
            <w:vMerge w:val="continue"/>
            <w:vAlign w:val="center"/>
          </w:tcPr>
          <w:p w14:paraId="6AF49473">
            <w:pPr>
              <w:widowControl/>
              <w:jc w:val="center"/>
              <w:rPr>
                <w:rFonts w:ascii="Times New Roman"/>
                <w:sz w:val="21"/>
                <w:szCs w:val="21"/>
              </w:rPr>
            </w:pPr>
          </w:p>
        </w:tc>
        <w:tc>
          <w:tcPr>
            <w:tcW w:w="1850" w:type="pct"/>
            <w:gridSpan w:val="2"/>
            <w:vMerge w:val="continue"/>
            <w:vAlign w:val="center"/>
          </w:tcPr>
          <w:p w14:paraId="199C6315">
            <w:pPr>
              <w:widowControl/>
              <w:jc w:val="center"/>
              <w:rPr>
                <w:rFonts w:ascii="Times New Roman"/>
                <w:sz w:val="21"/>
                <w:szCs w:val="21"/>
              </w:rPr>
            </w:pPr>
          </w:p>
        </w:tc>
      </w:tr>
      <w:tr w14:paraId="4257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129" w:type="pct"/>
            <w:vMerge w:val="continue"/>
            <w:vAlign w:val="center"/>
          </w:tcPr>
          <w:p w14:paraId="73D01588">
            <w:pPr>
              <w:widowControl/>
              <w:jc w:val="center"/>
              <w:rPr>
                <w:rFonts w:ascii="Times New Roman"/>
                <w:sz w:val="21"/>
                <w:szCs w:val="21"/>
              </w:rPr>
            </w:pPr>
          </w:p>
        </w:tc>
        <w:tc>
          <w:tcPr>
            <w:tcW w:w="539" w:type="pct"/>
            <w:gridSpan w:val="2"/>
            <w:vMerge w:val="continue"/>
            <w:vAlign w:val="center"/>
          </w:tcPr>
          <w:p w14:paraId="012E33C5">
            <w:pPr>
              <w:widowControl/>
              <w:jc w:val="center"/>
              <w:rPr>
                <w:rFonts w:ascii="Times New Roman"/>
                <w:sz w:val="21"/>
                <w:szCs w:val="21"/>
              </w:rPr>
            </w:pPr>
          </w:p>
        </w:tc>
        <w:tc>
          <w:tcPr>
            <w:tcW w:w="349" w:type="pct"/>
            <w:vMerge w:val="continue"/>
            <w:vAlign w:val="center"/>
          </w:tcPr>
          <w:p w14:paraId="06FE697C">
            <w:pPr>
              <w:widowControl/>
              <w:jc w:val="center"/>
              <w:rPr>
                <w:rFonts w:ascii="Times New Roman"/>
                <w:sz w:val="21"/>
                <w:szCs w:val="21"/>
              </w:rPr>
            </w:pPr>
          </w:p>
        </w:tc>
        <w:tc>
          <w:tcPr>
            <w:tcW w:w="280" w:type="pct"/>
            <w:vAlign w:val="center"/>
          </w:tcPr>
          <w:p w14:paraId="426277DD">
            <w:pPr>
              <w:widowControl/>
              <w:jc w:val="center"/>
              <w:rPr>
                <w:rFonts w:ascii="Times New Roman"/>
                <w:sz w:val="21"/>
                <w:szCs w:val="21"/>
              </w:rPr>
            </w:pPr>
            <w:r>
              <w:rPr>
                <w:rFonts w:ascii="Times New Roman"/>
                <w:sz w:val="21"/>
                <w:szCs w:val="21"/>
              </w:rPr>
              <w:t>氮氧化物</w:t>
            </w:r>
          </w:p>
        </w:tc>
        <w:tc>
          <w:tcPr>
            <w:tcW w:w="552" w:type="pct"/>
            <w:vAlign w:val="center"/>
          </w:tcPr>
          <w:p w14:paraId="22E92B84">
            <w:pPr>
              <w:widowControl/>
              <w:jc w:val="center"/>
              <w:rPr>
                <w:rFonts w:ascii="Times New Roman"/>
                <w:sz w:val="21"/>
                <w:szCs w:val="21"/>
              </w:rPr>
            </w:pPr>
            <w:r>
              <w:rPr>
                <w:rFonts w:ascii="Times New Roman"/>
                <w:sz w:val="21"/>
                <w:szCs w:val="21"/>
              </w:rPr>
              <w:t>排放浓度300mg/m</w:t>
            </w:r>
            <w:r>
              <w:rPr>
                <w:rFonts w:ascii="Times New Roman"/>
                <w:sz w:val="21"/>
                <w:szCs w:val="21"/>
                <w:vertAlign w:val="superscript"/>
              </w:rPr>
              <w:t>3</w:t>
            </w:r>
          </w:p>
        </w:tc>
        <w:tc>
          <w:tcPr>
            <w:tcW w:w="1296" w:type="pct"/>
            <w:gridSpan w:val="2"/>
            <w:vMerge w:val="continue"/>
            <w:vAlign w:val="center"/>
          </w:tcPr>
          <w:p w14:paraId="7A88A022">
            <w:pPr>
              <w:widowControl/>
              <w:jc w:val="center"/>
              <w:rPr>
                <w:rFonts w:ascii="Times New Roman"/>
                <w:sz w:val="21"/>
                <w:szCs w:val="21"/>
              </w:rPr>
            </w:pPr>
          </w:p>
        </w:tc>
        <w:tc>
          <w:tcPr>
            <w:tcW w:w="1850" w:type="pct"/>
            <w:gridSpan w:val="2"/>
            <w:vMerge w:val="continue"/>
            <w:vAlign w:val="center"/>
          </w:tcPr>
          <w:p w14:paraId="65EFF4C8">
            <w:pPr>
              <w:widowControl/>
              <w:jc w:val="center"/>
              <w:rPr>
                <w:rFonts w:ascii="Times New Roman"/>
                <w:sz w:val="21"/>
                <w:szCs w:val="21"/>
              </w:rPr>
            </w:pPr>
          </w:p>
        </w:tc>
      </w:tr>
      <w:tr w14:paraId="5957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0" w:hRule="atLeast"/>
          <w:jc w:val="center"/>
        </w:trPr>
        <w:tc>
          <w:tcPr>
            <w:tcW w:w="129" w:type="pct"/>
            <w:vMerge w:val="continue"/>
            <w:vAlign w:val="center"/>
          </w:tcPr>
          <w:p w14:paraId="7E41088C">
            <w:pPr>
              <w:widowControl/>
              <w:jc w:val="center"/>
              <w:rPr>
                <w:rFonts w:ascii="Times New Roman"/>
                <w:sz w:val="21"/>
                <w:szCs w:val="21"/>
              </w:rPr>
            </w:pPr>
          </w:p>
        </w:tc>
        <w:tc>
          <w:tcPr>
            <w:tcW w:w="539" w:type="pct"/>
            <w:gridSpan w:val="2"/>
            <w:vMerge w:val="restart"/>
            <w:vAlign w:val="center"/>
          </w:tcPr>
          <w:p w14:paraId="14F8CEC0">
            <w:pPr>
              <w:widowControl/>
              <w:jc w:val="center"/>
              <w:rPr>
                <w:rFonts w:ascii="Times New Roman"/>
                <w:sz w:val="21"/>
                <w:szCs w:val="21"/>
              </w:rPr>
            </w:pPr>
            <w:r>
              <w:rPr>
                <w:rFonts w:ascii="Times New Roman"/>
                <w:sz w:val="21"/>
                <w:szCs w:val="21"/>
              </w:rPr>
              <w:t>DA010</w:t>
            </w:r>
          </w:p>
        </w:tc>
        <w:tc>
          <w:tcPr>
            <w:tcW w:w="349" w:type="pct"/>
            <w:vAlign w:val="center"/>
          </w:tcPr>
          <w:p w14:paraId="6F3DB91F">
            <w:pPr>
              <w:widowControl/>
              <w:jc w:val="center"/>
              <w:rPr>
                <w:rFonts w:ascii="Times New Roman"/>
                <w:sz w:val="21"/>
                <w:szCs w:val="21"/>
              </w:rPr>
            </w:pPr>
            <w:r>
              <w:rPr>
                <w:rFonts w:ascii="Times New Roman"/>
                <w:sz w:val="21"/>
                <w:szCs w:val="21"/>
              </w:rPr>
              <w:t>喷塑工序</w:t>
            </w:r>
          </w:p>
        </w:tc>
        <w:tc>
          <w:tcPr>
            <w:tcW w:w="280" w:type="pct"/>
            <w:vAlign w:val="center"/>
          </w:tcPr>
          <w:p w14:paraId="282D4C61">
            <w:pPr>
              <w:widowControl/>
              <w:jc w:val="center"/>
              <w:rPr>
                <w:rFonts w:ascii="Times New Roman"/>
                <w:sz w:val="21"/>
                <w:szCs w:val="21"/>
              </w:rPr>
            </w:pPr>
            <w:r>
              <w:rPr>
                <w:rFonts w:ascii="Times New Roman"/>
                <w:sz w:val="21"/>
                <w:szCs w:val="21"/>
              </w:rPr>
              <w:t>颗粒物</w:t>
            </w:r>
          </w:p>
        </w:tc>
        <w:tc>
          <w:tcPr>
            <w:tcW w:w="552" w:type="pct"/>
            <w:shd w:val="clear" w:color="auto" w:fill="auto"/>
            <w:vAlign w:val="center"/>
          </w:tcPr>
          <w:p w14:paraId="262E52C6">
            <w:pPr>
              <w:widowControl/>
              <w:jc w:val="center"/>
              <w:rPr>
                <w:rFonts w:ascii="Times New Roman"/>
                <w:sz w:val="21"/>
                <w:szCs w:val="21"/>
                <w:vertAlign w:val="superscript"/>
              </w:rPr>
            </w:pPr>
            <w:r>
              <w:rPr>
                <w:rFonts w:ascii="Times New Roman"/>
                <w:sz w:val="21"/>
                <w:szCs w:val="21"/>
              </w:rPr>
              <w:t>最高允许排放浓度18mg/m</w:t>
            </w:r>
            <w:r>
              <w:rPr>
                <w:rFonts w:ascii="Times New Roman"/>
                <w:sz w:val="21"/>
                <w:szCs w:val="21"/>
                <w:vertAlign w:val="superscript"/>
              </w:rPr>
              <w:t>3</w:t>
            </w:r>
          </w:p>
          <w:p w14:paraId="67F8E021">
            <w:pPr>
              <w:widowControl/>
              <w:jc w:val="center"/>
              <w:rPr>
                <w:rFonts w:ascii="Times New Roman"/>
                <w:sz w:val="21"/>
                <w:szCs w:val="21"/>
              </w:rPr>
            </w:pPr>
            <w:r>
              <w:rPr>
                <w:rFonts w:ascii="Times New Roman"/>
                <w:sz w:val="21"/>
                <w:szCs w:val="21"/>
              </w:rPr>
              <w:t>最高允许排放速率0.425kg/h</w:t>
            </w:r>
          </w:p>
        </w:tc>
        <w:tc>
          <w:tcPr>
            <w:tcW w:w="1296" w:type="pct"/>
            <w:gridSpan w:val="2"/>
            <w:vAlign w:val="center"/>
          </w:tcPr>
          <w:p w14:paraId="3DBAF67E">
            <w:pPr>
              <w:widowControl/>
              <w:jc w:val="center"/>
              <w:rPr>
                <w:rFonts w:ascii="Times New Roman"/>
                <w:sz w:val="21"/>
                <w:szCs w:val="21"/>
              </w:rPr>
            </w:pPr>
            <w:r>
              <w:rPr>
                <w:rFonts w:ascii="Times New Roman"/>
                <w:sz w:val="21"/>
                <w:szCs w:val="21"/>
              </w:rPr>
              <w:t>《大气污染物综合排放标准》（GB16297-1996）表2中“染料尘”标准限值要求</w:t>
            </w:r>
          </w:p>
        </w:tc>
        <w:tc>
          <w:tcPr>
            <w:tcW w:w="1850" w:type="pct"/>
            <w:gridSpan w:val="2"/>
            <w:vAlign w:val="center"/>
          </w:tcPr>
          <w:p w14:paraId="04C49928">
            <w:pPr>
              <w:widowControl/>
              <w:jc w:val="center"/>
              <w:rPr>
                <w:rFonts w:ascii="Times New Roman"/>
                <w:sz w:val="21"/>
                <w:szCs w:val="21"/>
              </w:rPr>
            </w:pPr>
            <w:r>
              <w:rPr>
                <w:rFonts w:hint="eastAsia" w:ascii="Times New Roman"/>
                <w:sz w:val="21"/>
                <w:szCs w:val="21"/>
              </w:rPr>
              <w:t>/</w:t>
            </w:r>
          </w:p>
        </w:tc>
      </w:tr>
      <w:tr w14:paraId="715D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399CF8DF">
            <w:pPr>
              <w:widowControl/>
              <w:jc w:val="center"/>
              <w:rPr>
                <w:rFonts w:ascii="Times New Roman"/>
                <w:sz w:val="21"/>
                <w:szCs w:val="21"/>
              </w:rPr>
            </w:pPr>
          </w:p>
        </w:tc>
        <w:tc>
          <w:tcPr>
            <w:tcW w:w="539" w:type="pct"/>
            <w:gridSpan w:val="2"/>
            <w:vMerge w:val="restart"/>
            <w:vAlign w:val="center"/>
          </w:tcPr>
          <w:p w14:paraId="7134599A">
            <w:pPr>
              <w:widowControl/>
              <w:jc w:val="center"/>
              <w:rPr>
                <w:rFonts w:ascii="Times New Roman"/>
                <w:sz w:val="21"/>
                <w:szCs w:val="21"/>
              </w:rPr>
            </w:pPr>
            <w:r>
              <w:rPr>
                <w:rFonts w:ascii="Times New Roman"/>
                <w:sz w:val="21"/>
                <w:szCs w:val="21"/>
              </w:rPr>
              <w:t>DA011</w:t>
            </w:r>
          </w:p>
        </w:tc>
        <w:tc>
          <w:tcPr>
            <w:tcW w:w="349" w:type="pct"/>
            <w:vAlign w:val="center"/>
          </w:tcPr>
          <w:p w14:paraId="30C2FA7F">
            <w:pPr>
              <w:widowControl/>
              <w:jc w:val="center"/>
              <w:rPr>
                <w:rFonts w:ascii="Times New Roman"/>
                <w:sz w:val="21"/>
                <w:szCs w:val="21"/>
              </w:rPr>
            </w:pPr>
            <w:r>
              <w:rPr>
                <w:rFonts w:ascii="Times New Roman"/>
                <w:sz w:val="21"/>
                <w:szCs w:val="21"/>
              </w:rPr>
              <w:t>喷塑固化</w:t>
            </w:r>
          </w:p>
        </w:tc>
        <w:tc>
          <w:tcPr>
            <w:tcW w:w="280" w:type="pct"/>
            <w:vAlign w:val="center"/>
          </w:tcPr>
          <w:p w14:paraId="31B3C0DB">
            <w:pPr>
              <w:widowControl/>
              <w:jc w:val="center"/>
              <w:rPr>
                <w:rFonts w:ascii="Times New Roman"/>
                <w:sz w:val="21"/>
                <w:szCs w:val="21"/>
              </w:rPr>
            </w:pPr>
            <w:r>
              <w:rPr>
                <w:rFonts w:ascii="Times New Roman"/>
                <w:sz w:val="21"/>
                <w:szCs w:val="21"/>
              </w:rPr>
              <w:t>非甲烷总烃</w:t>
            </w:r>
          </w:p>
        </w:tc>
        <w:tc>
          <w:tcPr>
            <w:tcW w:w="552" w:type="pct"/>
            <w:shd w:val="clear" w:color="auto" w:fill="auto"/>
            <w:vAlign w:val="center"/>
          </w:tcPr>
          <w:p w14:paraId="414C94E4">
            <w:pPr>
              <w:widowControl/>
              <w:jc w:val="center"/>
              <w:rPr>
                <w:rFonts w:ascii="Times New Roman"/>
                <w:sz w:val="21"/>
                <w:szCs w:val="21"/>
                <w:vertAlign w:val="superscript"/>
              </w:rPr>
            </w:pPr>
            <w:r>
              <w:rPr>
                <w:rFonts w:ascii="Times New Roman"/>
                <w:sz w:val="21"/>
                <w:szCs w:val="21"/>
              </w:rPr>
              <w:t>最高允许排放浓度30mg/m</w:t>
            </w:r>
            <w:r>
              <w:rPr>
                <w:rFonts w:ascii="Times New Roman"/>
                <w:sz w:val="21"/>
                <w:szCs w:val="21"/>
                <w:vertAlign w:val="superscript"/>
              </w:rPr>
              <w:t>3</w:t>
            </w:r>
          </w:p>
          <w:p w14:paraId="668AF741">
            <w:pPr>
              <w:widowControl/>
              <w:jc w:val="center"/>
              <w:rPr>
                <w:rFonts w:ascii="Times New Roman"/>
                <w:sz w:val="21"/>
                <w:szCs w:val="21"/>
              </w:rPr>
            </w:pPr>
            <w:r>
              <w:rPr>
                <w:rFonts w:ascii="Times New Roman"/>
                <w:sz w:val="21"/>
                <w:szCs w:val="21"/>
              </w:rPr>
              <w:t>最低去除效率70%</w:t>
            </w:r>
          </w:p>
        </w:tc>
        <w:tc>
          <w:tcPr>
            <w:tcW w:w="1296" w:type="pct"/>
            <w:gridSpan w:val="2"/>
            <w:vAlign w:val="center"/>
          </w:tcPr>
          <w:p w14:paraId="00B317DA">
            <w:pPr>
              <w:widowControl/>
              <w:jc w:val="center"/>
              <w:rPr>
                <w:rFonts w:ascii="Times New Roman"/>
                <w:sz w:val="21"/>
                <w:szCs w:val="21"/>
              </w:rPr>
            </w:pPr>
            <w:r>
              <w:rPr>
                <w:rFonts w:ascii="Times New Roman"/>
                <w:sz w:val="21"/>
                <w:szCs w:val="21"/>
              </w:rPr>
              <w:t>《工业企业挥发性有机物排放控制标准》（DB13/2322-2016）表1表面涂装业标准限值要求</w:t>
            </w:r>
          </w:p>
        </w:tc>
        <w:tc>
          <w:tcPr>
            <w:tcW w:w="1850" w:type="pct"/>
            <w:gridSpan w:val="2"/>
            <w:vAlign w:val="center"/>
          </w:tcPr>
          <w:p w14:paraId="6B0F95AC">
            <w:pPr>
              <w:widowControl/>
              <w:jc w:val="center"/>
              <w:rPr>
                <w:rFonts w:ascii="Times New Roman"/>
                <w:sz w:val="21"/>
                <w:szCs w:val="21"/>
              </w:rPr>
            </w:pPr>
            <w:r>
              <w:rPr>
                <w:rFonts w:hint="eastAsia" w:ascii="Times New Roman"/>
                <w:sz w:val="21"/>
                <w:szCs w:val="21"/>
              </w:rPr>
              <w:t>/</w:t>
            </w:r>
          </w:p>
        </w:tc>
      </w:tr>
      <w:tr w14:paraId="7511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16EA6FC2">
            <w:pPr>
              <w:widowControl/>
              <w:jc w:val="center"/>
              <w:rPr>
                <w:rFonts w:ascii="Times New Roman"/>
                <w:sz w:val="21"/>
                <w:szCs w:val="21"/>
              </w:rPr>
            </w:pPr>
          </w:p>
        </w:tc>
        <w:tc>
          <w:tcPr>
            <w:tcW w:w="539" w:type="pct"/>
            <w:gridSpan w:val="2"/>
            <w:vMerge w:val="continue"/>
            <w:vAlign w:val="center"/>
          </w:tcPr>
          <w:p w14:paraId="4A816313">
            <w:pPr>
              <w:widowControl/>
              <w:jc w:val="center"/>
              <w:rPr>
                <w:rFonts w:ascii="Times New Roman"/>
                <w:sz w:val="21"/>
                <w:szCs w:val="21"/>
              </w:rPr>
            </w:pPr>
          </w:p>
        </w:tc>
        <w:tc>
          <w:tcPr>
            <w:tcW w:w="349" w:type="pct"/>
            <w:vMerge w:val="restart"/>
            <w:vAlign w:val="center"/>
          </w:tcPr>
          <w:p w14:paraId="7FFCB74C">
            <w:pPr>
              <w:widowControl/>
              <w:jc w:val="center"/>
              <w:rPr>
                <w:rFonts w:ascii="Times New Roman"/>
                <w:sz w:val="21"/>
                <w:szCs w:val="21"/>
              </w:rPr>
            </w:pPr>
            <w:r>
              <w:rPr>
                <w:rFonts w:ascii="Times New Roman"/>
                <w:sz w:val="21"/>
                <w:szCs w:val="21"/>
              </w:rPr>
              <w:t>天然气燃烧机</w:t>
            </w:r>
          </w:p>
        </w:tc>
        <w:tc>
          <w:tcPr>
            <w:tcW w:w="280" w:type="pct"/>
            <w:vAlign w:val="center"/>
          </w:tcPr>
          <w:p w14:paraId="12A428F2">
            <w:pPr>
              <w:widowControl/>
              <w:jc w:val="center"/>
              <w:rPr>
                <w:rFonts w:ascii="Times New Roman"/>
                <w:sz w:val="21"/>
                <w:szCs w:val="21"/>
              </w:rPr>
            </w:pPr>
            <w:r>
              <w:rPr>
                <w:rFonts w:ascii="Times New Roman"/>
                <w:sz w:val="21"/>
                <w:szCs w:val="21"/>
              </w:rPr>
              <w:t>颗粒物</w:t>
            </w:r>
          </w:p>
        </w:tc>
        <w:tc>
          <w:tcPr>
            <w:tcW w:w="552" w:type="pct"/>
            <w:shd w:val="clear" w:color="auto" w:fill="auto"/>
            <w:vAlign w:val="center"/>
          </w:tcPr>
          <w:p w14:paraId="78B27836">
            <w:pPr>
              <w:widowControl/>
              <w:jc w:val="center"/>
              <w:rPr>
                <w:rFonts w:ascii="Times New Roman"/>
                <w:sz w:val="21"/>
                <w:szCs w:val="21"/>
              </w:rPr>
            </w:pPr>
            <w:r>
              <w:rPr>
                <w:rFonts w:ascii="Times New Roman"/>
                <w:sz w:val="21"/>
                <w:szCs w:val="21"/>
              </w:rPr>
              <w:t>排放浓度</w:t>
            </w:r>
            <w:r>
              <w:rPr>
                <w:rFonts w:hint="eastAsia" w:ascii="Times New Roman"/>
                <w:sz w:val="21"/>
                <w:szCs w:val="21"/>
              </w:rPr>
              <w:t>50</w:t>
            </w:r>
            <w:r>
              <w:rPr>
                <w:rFonts w:ascii="Times New Roman"/>
                <w:sz w:val="21"/>
                <w:szCs w:val="21"/>
              </w:rPr>
              <w:t>mg/m</w:t>
            </w:r>
            <w:r>
              <w:rPr>
                <w:rFonts w:ascii="Times New Roman"/>
                <w:sz w:val="21"/>
                <w:szCs w:val="21"/>
                <w:vertAlign w:val="superscript"/>
              </w:rPr>
              <w:t>3</w:t>
            </w:r>
          </w:p>
        </w:tc>
        <w:tc>
          <w:tcPr>
            <w:tcW w:w="1296" w:type="pct"/>
            <w:gridSpan w:val="2"/>
            <w:vMerge w:val="restart"/>
            <w:vAlign w:val="center"/>
          </w:tcPr>
          <w:p w14:paraId="2E866A69">
            <w:pPr>
              <w:widowControl/>
              <w:jc w:val="center"/>
              <w:rPr>
                <w:rFonts w:ascii="Times New Roman"/>
                <w:sz w:val="21"/>
                <w:szCs w:val="21"/>
              </w:rPr>
            </w:pPr>
            <w:r>
              <w:rPr>
                <w:rFonts w:ascii="Times New Roman"/>
                <w:sz w:val="21"/>
                <w:szCs w:val="21"/>
              </w:rPr>
              <w:t>《工业炉窑大气污染物排放标准》（DB13/1640-2012）标准</w:t>
            </w:r>
          </w:p>
        </w:tc>
        <w:tc>
          <w:tcPr>
            <w:tcW w:w="1850" w:type="pct"/>
            <w:gridSpan w:val="2"/>
            <w:vMerge w:val="restart"/>
            <w:vAlign w:val="center"/>
          </w:tcPr>
          <w:p w14:paraId="7EE8F02A">
            <w:pPr>
              <w:widowControl/>
              <w:jc w:val="center"/>
              <w:rPr>
                <w:rFonts w:ascii="Times New Roman"/>
                <w:sz w:val="21"/>
                <w:szCs w:val="21"/>
              </w:rPr>
            </w:pPr>
            <w:r>
              <w:rPr>
                <w:rFonts w:hint="eastAsia" w:ascii="Times New Roman"/>
                <w:sz w:val="21"/>
                <w:szCs w:val="21"/>
              </w:rPr>
              <w:t>/</w:t>
            </w:r>
          </w:p>
        </w:tc>
      </w:tr>
      <w:tr w14:paraId="3564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71C3B154">
            <w:pPr>
              <w:widowControl/>
              <w:jc w:val="center"/>
              <w:rPr>
                <w:rFonts w:ascii="Times New Roman"/>
                <w:sz w:val="21"/>
                <w:szCs w:val="21"/>
              </w:rPr>
            </w:pPr>
          </w:p>
        </w:tc>
        <w:tc>
          <w:tcPr>
            <w:tcW w:w="539" w:type="pct"/>
            <w:gridSpan w:val="2"/>
            <w:vMerge w:val="continue"/>
            <w:vAlign w:val="center"/>
          </w:tcPr>
          <w:p w14:paraId="0467B311">
            <w:pPr>
              <w:widowControl/>
              <w:jc w:val="center"/>
              <w:rPr>
                <w:rFonts w:ascii="Times New Roman"/>
                <w:sz w:val="21"/>
                <w:szCs w:val="21"/>
              </w:rPr>
            </w:pPr>
          </w:p>
        </w:tc>
        <w:tc>
          <w:tcPr>
            <w:tcW w:w="349" w:type="pct"/>
            <w:vMerge w:val="continue"/>
            <w:vAlign w:val="center"/>
          </w:tcPr>
          <w:p w14:paraId="268CEA56">
            <w:pPr>
              <w:widowControl/>
              <w:jc w:val="center"/>
              <w:rPr>
                <w:rFonts w:ascii="Times New Roman"/>
                <w:sz w:val="21"/>
                <w:szCs w:val="21"/>
              </w:rPr>
            </w:pPr>
          </w:p>
        </w:tc>
        <w:tc>
          <w:tcPr>
            <w:tcW w:w="280" w:type="pct"/>
            <w:vAlign w:val="center"/>
          </w:tcPr>
          <w:p w14:paraId="6212DE78">
            <w:pPr>
              <w:widowControl/>
              <w:jc w:val="center"/>
              <w:rPr>
                <w:rFonts w:ascii="Times New Roman"/>
                <w:sz w:val="21"/>
                <w:szCs w:val="21"/>
              </w:rPr>
            </w:pPr>
            <w:r>
              <w:rPr>
                <w:rFonts w:ascii="Times New Roman"/>
                <w:sz w:val="21"/>
                <w:szCs w:val="21"/>
              </w:rPr>
              <w:t>二氧化硫</w:t>
            </w:r>
          </w:p>
        </w:tc>
        <w:tc>
          <w:tcPr>
            <w:tcW w:w="552" w:type="pct"/>
            <w:vAlign w:val="center"/>
          </w:tcPr>
          <w:p w14:paraId="76F79D55">
            <w:pPr>
              <w:widowControl/>
              <w:jc w:val="center"/>
              <w:rPr>
                <w:rFonts w:ascii="Times New Roman"/>
                <w:sz w:val="21"/>
                <w:szCs w:val="21"/>
              </w:rPr>
            </w:pPr>
            <w:r>
              <w:rPr>
                <w:rFonts w:ascii="Times New Roman"/>
                <w:sz w:val="21"/>
                <w:szCs w:val="21"/>
              </w:rPr>
              <w:t>排放浓度</w:t>
            </w:r>
            <w:r>
              <w:rPr>
                <w:rFonts w:hint="eastAsia" w:ascii="Times New Roman"/>
                <w:sz w:val="21"/>
                <w:szCs w:val="21"/>
              </w:rPr>
              <w:t>4</w:t>
            </w:r>
            <w:r>
              <w:rPr>
                <w:rFonts w:ascii="Times New Roman"/>
                <w:sz w:val="21"/>
                <w:szCs w:val="21"/>
              </w:rPr>
              <w:t>00mg/m</w:t>
            </w:r>
            <w:r>
              <w:rPr>
                <w:rFonts w:ascii="Times New Roman"/>
                <w:sz w:val="21"/>
                <w:szCs w:val="21"/>
                <w:vertAlign w:val="superscript"/>
              </w:rPr>
              <w:t>3</w:t>
            </w:r>
          </w:p>
        </w:tc>
        <w:tc>
          <w:tcPr>
            <w:tcW w:w="1296" w:type="pct"/>
            <w:gridSpan w:val="2"/>
            <w:vMerge w:val="continue"/>
            <w:vAlign w:val="center"/>
          </w:tcPr>
          <w:p w14:paraId="2A84862C">
            <w:pPr>
              <w:widowControl/>
              <w:jc w:val="center"/>
              <w:rPr>
                <w:rFonts w:ascii="Times New Roman"/>
                <w:sz w:val="21"/>
                <w:szCs w:val="21"/>
              </w:rPr>
            </w:pPr>
          </w:p>
        </w:tc>
        <w:tc>
          <w:tcPr>
            <w:tcW w:w="1850" w:type="pct"/>
            <w:gridSpan w:val="2"/>
            <w:vMerge w:val="continue"/>
            <w:vAlign w:val="center"/>
          </w:tcPr>
          <w:p w14:paraId="178A32D7">
            <w:pPr>
              <w:widowControl/>
              <w:jc w:val="center"/>
              <w:rPr>
                <w:rFonts w:ascii="Times New Roman"/>
                <w:sz w:val="21"/>
                <w:szCs w:val="21"/>
              </w:rPr>
            </w:pPr>
          </w:p>
        </w:tc>
      </w:tr>
      <w:tr w14:paraId="71C2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40417588">
            <w:pPr>
              <w:widowControl/>
              <w:jc w:val="center"/>
              <w:rPr>
                <w:rFonts w:ascii="Times New Roman"/>
                <w:sz w:val="21"/>
                <w:szCs w:val="21"/>
              </w:rPr>
            </w:pPr>
          </w:p>
        </w:tc>
        <w:tc>
          <w:tcPr>
            <w:tcW w:w="539" w:type="pct"/>
            <w:gridSpan w:val="2"/>
            <w:vMerge w:val="continue"/>
            <w:vAlign w:val="center"/>
          </w:tcPr>
          <w:p w14:paraId="1760C89D">
            <w:pPr>
              <w:widowControl/>
              <w:jc w:val="center"/>
              <w:rPr>
                <w:rFonts w:ascii="Times New Roman"/>
                <w:sz w:val="21"/>
                <w:szCs w:val="21"/>
              </w:rPr>
            </w:pPr>
          </w:p>
        </w:tc>
        <w:tc>
          <w:tcPr>
            <w:tcW w:w="349" w:type="pct"/>
            <w:vMerge w:val="continue"/>
            <w:vAlign w:val="center"/>
          </w:tcPr>
          <w:p w14:paraId="2A1369EB">
            <w:pPr>
              <w:widowControl/>
              <w:jc w:val="center"/>
              <w:rPr>
                <w:rFonts w:ascii="Times New Roman"/>
                <w:sz w:val="21"/>
                <w:szCs w:val="21"/>
              </w:rPr>
            </w:pPr>
          </w:p>
        </w:tc>
        <w:tc>
          <w:tcPr>
            <w:tcW w:w="280" w:type="pct"/>
            <w:vAlign w:val="center"/>
          </w:tcPr>
          <w:p w14:paraId="01063FA3">
            <w:pPr>
              <w:widowControl/>
              <w:jc w:val="center"/>
              <w:rPr>
                <w:rFonts w:ascii="Times New Roman"/>
                <w:sz w:val="21"/>
                <w:szCs w:val="21"/>
              </w:rPr>
            </w:pPr>
            <w:r>
              <w:rPr>
                <w:rFonts w:ascii="Times New Roman"/>
                <w:sz w:val="21"/>
                <w:szCs w:val="21"/>
              </w:rPr>
              <w:t>氮氧化物</w:t>
            </w:r>
          </w:p>
        </w:tc>
        <w:tc>
          <w:tcPr>
            <w:tcW w:w="552" w:type="pct"/>
            <w:vAlign w:val="center"/>
          </w:tcPr>
          <w:p w14:paraId="535926FE">
            <w:pPr>
              <w:widowControl/>
              <w:jc w:val="center"/>
              <w:rPr>
                <w:rFonts w:ascii="Times New Roman"/>
                <w:sz w:val="21"/>
                <w:szCs w:val="21"/>
              </w:rPr>
            </w:pPr>
            <w:r>
              <w:rPr>
                <w:rFonts w:ascii="Times New Roman"/>
                <w:sz w:val="21"/>
                <w:szCs w:val="21"/>
              </w:rPr>
              <w:t>排放浓度</w:t>
            </w:r>
            <w:r>
              <w:rPr>
                <w:rFonts w:hint="eastAsia" w:ascii="Times New Roman"/>
                <w:sz w:val="21"/>
                <w:szCs w:val="21"/>
              </w:rPr>
              <w:t>4</w:t>
            </w:r>
            <w:r>
              <w:rPr>
                <w:rFonts w:ascii="Times New Roman"/>
                <w:sz w:val="21"/>
                <w:szCs w:val="21"/>
              </w:rPr>
              <w:t>00mg/m</w:t>
            </w:r>
            <w:r>
              <w:rPr>
                <w:rFonts w:ascii="Times New Roman"/>
                <w:sz w:val="21"/>
                <w:szCs w:val="21"/>
                <w:vertAlign w:val="superscript"/>
              </w:rPr>
              <w:t>3</w:t>
            </w:r>
          </w:p>
        </w:tc>
        <w:tc>
          <w:tcPr>
            <w:tcW w:w="1296" w:type="pct"/>
            <w:gridSpan w:val="2"/>
            <w:vMerge w:val="continue"/>
            <w:vAlign w:val="center"/>
          </w:tcPr>
          <w:p w14:paraId="0140D47F">
            <w:pPr>
              <w:widowControl/>
              <w:jc w:val="center"/>
              <w:rPr>
                <w:rFonts w:ascii="Times New Roman"/>
                <w:sz w:val="21"/>
                <w:szCs w:val="21"/>
              </w:rPr>
            </w:pPr>
          </w:p>
        </w:tc>
        <w:tc>
          <w:tcPr>
            <w:tcW w:w="1850" w:type="pct"/>
            <w:gridSpan w:val="2"/>
            <w:vMerge w:val="continue"/>
            <w:vAlign w:val="center"/>
          </w:tcPr>
          <w:p w14:paraId="17B4A02D">
            <w:pPr>
              <w:widowControl/>
              <w:jc w:val="center"/>
              <w:rPr>
                <w:rFonts w:ascii="Times New Roman"/>
                <w:sz w:val="21"/>
                <w:szCs w:val="21"/>
              </w:rPr>
            </w:pPr>
          </w:p>
        </w:tc>
      </w:tr>
      <w:tr w14:paraId="330D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0C3FAF86">
            <w:pPr>
              <w:widowControl/>
              <w:jc w:val="center"/>
              <w:rPr>
                <w:rFonts w:ascii="Times New Roman"/>
                <w:sz w:val="21"/>
                <w:szCs w:val="21"/>
              </w:rPr>
            </w:pPr>
          </w:p>
        </w:tc>
        <w:tc>
          <w:tcPr>
            <w:tcW w:w="539" w:type="pct"/>
            <w:gridSpan w:val="2"/>
            <w:vMerge w:val="continue"/>
            <w:vAlign w:val="center"/>
          </w:tcPr>
          <w:p w14:paraId="2AB74193">
            <w:pPr>
              <w:widowControl/>
              <w:jc w:val="center"/>
              <w:rPr>
                <w:rFonts w:ascii="Times New Roman"/>
                <w:sz w:val="21"/>
                <w:szCs w:val="21"/>
              </w:rPr>
            </w:pPr>
          </w:p>
        </w:tc>
        <w:tc>
          <w:tcPr>
            <w:tcW w:w="349" w:type="pct"/>
            <w:vMerge w:val="continue"/>
            <w:vAlign w:val="center"/>
          </w:tcPr>
          <w:p w14:paraId="02FDF201">
            <w:pPr>
              <w:widowControl/>
              <w:jc w:val="center"/>
              <w:rPr>
                <w:rFonts w:ascii="Times New Roman"/>
                <w:sz w:val="21"/>
                <w:szCs w:val="21"/>
              </w:rPr>
            </w:pPr>
          </w:p>
        </w:tc>
        <w:tc>
          <w:tcPr>
            <w:tcW w:w="280" w:type="pct"/>
            <w:vAlign w:val="center"/>
          </w:tcPr>
          <w:p w14:paraId="530321E3">
            <w:pPr>
              <w:widowControl/>
              <w:jc w:val="center"/>
              <w:rPr>
                <w:rFonts w:ascii="Times New Roman"/>
                <w:sz w:val="21"/>
                <w:szCs w:val="21"/>
              </w:rPr>
            </w:pPr>
            <w:r>
              <w:rPr>
                <w:rFonts w:ascii="Times New Roman"/>
                <w:sz w:val="21"/>
                <w:szCs w:val="21"/>
              </w:rPr>
              <w:t>烟气黑度</w:t>
            </w:r>
          </w:p>
        </w:tc>
        <w:tc>
          <w:tcPr>
            <w:tcW w:w="552" w:type="pct"/>
            <w:vAlign w:val="center"/>
          </w:tcPr>
          <w:p w14:paraId="534A2149">
            <w:pPr>
              <w:widowControl/>
              <w:jc w:val="center"/>
              <w:rPr>
                <w:rFonts w:ascii="Times New Roman"/>
                <w:sz w:val="21"/>
                <w:szCs w:val="21"/>
              </w:rPr>
            </w:pPr>
            <w:r>
              <w:rPr>
                <w:rFonts w:ascii="Times New Roman"/>
                <w:sz w:val="21"/>
                <w:szCs w:val="21"/>
                <w:lang w:bidi="zh-TW"/>
              </w:rPr>
              <w:t>≤1级</w:t>
            </w:r>
          </w:p>
        </w:tc>
        <w:tc>
          <w:tcPr>
            <w:tcW w:w="1296" w:type="pct"/>
            <w:gridSpan w:val="2"/>
            <w:vMerge w:val="continue"/>
            <w:vAlign w:val="center"/>
          </w:tcPr>
          <w:p w14:paraId="44DA8B50">
            <w:pPr>
              <w:widowControl/>
              <w:jc w:val="center"/>
              <w:rPr>
                <w:rFonts w:ascii="Times New Roman"/>
                <w:sz w:val="21"/>
                <w:szCs w:val="21"/>
              </w:rPr>
            </w:pPr>
          </w:p>
        </w:tc>
        <w:tc>
          <w:tcPr>
            <w:tcW w:w="1850" w:type="pct"/>
            <w:gridSpan w:val="2"/>
            <w:vMerge w:val="continue"/>
            <w:vAlign w:val="center"/>
          </w:tcPr>
          <w:p w14:paraId="3A135B55">
            <w:pPr>
              <w:widowControl/>
              <w:jc w:val="center"/>
              <w:rPr>
                <w:rFonts w:ascii="Times New Roman"/>
                <w:sz w:val="21"/>
                <w:szCs w:val="21"/>
              </w:rPr>
            </w:pPr>
          </w:p>
        </w:tc>
      </w:tr>
      <w:tr w14:paraId="0278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2F476A06">
            <w:pPr>
              <w:widowControl/>
              <w:jc w:val="center"/>
              <w:rPr>
                <w:rFonts w:ascii="Times New Roman"/>
                <w:sz w:val="21"/>
                <w:szCs w:val="21"/>
              </w:rPr>
            </w:pPr>
          </w:p>
        </w:tc>
        <w:tc>
          <w:tcPr>
            <w:tcW w:w="539" w:type="pct"/>
            <w:gridSpan w:val="2"/>
            <w:vMerge w:val="continue"/>
            <w:vAlign w:val="center"/>
          </w:tcPr>
          <w:p w14:paraId="56A72242">
            <w:pPr>
              <w:widowControl/>
              <w:jc w:val="center"/>
              <w:rPr>
                <w:rFonts w:ascii="Times New Roman"/>
                <w:sz w:val="21"/>
                <w:szCs w:val="21"/>
              </w:rPr>
            </w:pPr>
          </w:p>
        </w:tc>
        <w:tc>
          <w:tcPr>
            <w:tcW w:w="349" w:type="pct"/>
            <w:vMerge w:val="continue"/>
            <w:vAlign w:val="center"/>
          </w:tcPr>
          <w:p w14:paraId="37C434CC">
            <w:pPr>
              <w:widowControl/>
              <w:jc w:val="center"/>
              <w:rPr>
                <w:rFonts w:ascii="Times New Roman"/>
                <w:sz w:val="21"/>
                <w:szCs w:val="21"/>
              </w:rPr>
            </w:pPr>
          </w:p>
        </w:tc>
        <w:tc>
          <w:tcPr>
            <w:tcW w:w="280" w:type="pct"/>
            <w:vAlign w:val="center"/>
          </w:tcPr>
          <w:p w14:paraId="5CB618E7">
            <w:pPr>
              <w:widowControl/>
              <w:jc w:val="center"/>
              <w:rPr>
                <w:rFonts w:ascii="Times New Roman"/>
                <w:sz w:val="21"/>
                <w:szCs w:val="21"/>
              </w:rPr>
            </w:pPr>
            <w:r>
              <w:rPr>
                <w:rFonts w:ascii="Times New Roman"/>
                <w:sz w:val="21"/>
                <w:szCs w:val="21"/>
              </w:rPr>
              <w:t>颗粒物</w:t>
            </w:r>
          </w:p>
        </w:tc>
        <w:tc>
          <w:tcPr>
            <w:tcW w:w="552" w:type="pct"/>
            <w:vAlign w:val="center"/>
          </w:tcPr>
          <w:p w14:paraId="5C6F11E6">
            <w:pPr>
              <w:widowControl/>
              <w:jc w:val="center"/>
              <w:rPr>
                <w:rFonts w:ascii="Times New Roman"/>
                <w:sz w:val="21"/>
                <w:szCs w:val="21"/>
              </w:rPr>
            </w:pPr>
            <w:r>
              <w:rPr>
                <w:rFonts w:ascii="Times New Roman"/>
                <w:sz w:val="21"/>
                <w:szCs w:val="21"/>
              </w:rPr>
              <w:t>排放浓度30mg/m</w:t>
            </w:r>
            <w:r>
              <w:rPr>
                <w:rFonts w:ascii="Times New Roman"/>
                <w:sz w:val="21"/>
                <w:szCs w:val="21"/>
                <w:vertAlign w:val="superscript"/>
              </w:rPr>
              <w:t>3</w:t>
            </w:r>
          </w:p>
        </w:tc>
        <w:tc>
          <w:tcPr>
            <w:tcW w:w="1296" w:type="pct"/>
            <w:gridSpan w:val="2"/>
            <w:vMerge w:val="restart"/>
            <w:vAlign w:val="center"/>
          </w:tcPr>
          <w:p w14:paraId="5394DB2D">
            <w:pPr>
              <w:widowControl/>
              <w:jc w:val="center"/>
              <w:rPr>
                <w:rFonts w:ascii="Times New Roman"/>
                <w:sz w:val="21"/>
                <w:szCs w:val="21"/>
              </w:rPr>
            </w:pPr>
            <w:r>
              <w:rPr>
                <w:rFonts w:ascii="Times New Roman"/>
                <w:sz w:val="21"/>
                <w:szCs w:val="21"/>
              </w:rPr>
              <w:t>《关于印发&lt;工业炉窑大气污染综合治理方案&gt;的通知》（环大气[2019]56号）排放标准</w:t>
            </w:r>
          </w:p>
        </w:tc>
        <w:tc>
          <w:tcPr>
            <w:tcW w:w="1850" w:type="pct"/>
            <w:gridSpan w:val="2"/>
            <w:vMerge w:val="continue"/>
            <w:vAlign w:val="center"/>
          </w:tcPr>
          <w:p w14:paraId="03628B4D">
            <w:pPr>
              <w:widowControl/>
              <w:jc w:val="center"/>
              <w:rPr>
                <w:rFonts w:ascii="Times New Roman"/>
                <w:sz w:val="21"/>
                <w:szCs w:val="21"/>
              </w:rPr>
            </w:pPr>
          </w:p>
        </w:tc>
      </w:tr>
      <w:tr w14:paraId="426B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7C033852">
            <w:pPr>
              <w:widowControl/>
              <w:jc w:val="center"/>
              <w:rPr>
                <w:rFonts w:ascii="Times New Roman"/>
                <w:sz w:val="21"/>
                <w:szCs w:val="21"/>
              </w:rPr>
            </w:pPr>
          </w:p>
        </w:tc>
        <w:tc>
          <w:tcPr>
            <w:tcW w:w="539" w:type="pct"/>
            <w:gridSpan w:val="2"/>
            <w:vMerge w:val="continue"/>
            <w:vAlign w:val="center"/>
          </w:tcPr>
          <w:p w14:paraId="6216CE0C">
            <w:pPr>
              <w:widowControl/>
              <w:jc w:val="center"/>
              <w:rPr>
                <w:rFonts w:ascii="Times New Roman"/>
                <w:sz w:val="21"/>
                <w:szCs w:val="21"/>
              </w:rPr>
            </w:pPr>
          </w:p>
        </w:tc>
        <w:tc>
          <w:tcPr>
            <w:tcW w:w="349" w:type="pct"/>
            <w:vMerge w:val="continue"/>
            <w:vAlign w:val="center"/>
          </w:tcPr>
          <w:p w14:paraId="66409A5C">
            <w:pPr>
              <w:widowControl/>
              <w:jc w:val="center"/>
              <w:rPr>
                <w:rFonts w:ascii="Times New Roman"/>
                <w:sz w:val="21"/>
                <w:szCs w:val="21"/>
              </w:rPr>
            </w:pPr>
          </w:p>
        </w:tc>
        <w:tc>
          <w:tcPr>
            <w:tcW w:w="280" w:type="pct"/>
            <w:vAlign w:val="center"/>
          </w:tcPr>
          <w:p w14:paraId="5262A347">
            <w:pPr>
              <w:widowControl/>
              <w:jc w:val="center"/>
              <w:rPr>
                <w:rFonts w:ascii="Times New Roman"/>
                <w:sz w:val="21"/>
                <w:szCs w:val="21"/>
              </w:rPr>
            </w:pPr>
            <w:r>
              <w:rPr>
                <w:rFonts w:ascii="Times New Roman"/>
                <w:sz w:val="21"/>
                <w:szCs w:val="21"/>
              </w:rPr>
              <w:t>二氧化硫</w:t>
            </w:r>
          </w:p>
        </w:tc>
        <w:tc>
          <w:tcPr>
            <w:tcW w:w="552" w:type="pct"/>
            <w:vAlign w:val="center"/>
          </w:tcPr>
          <w:p w14:paraId="37561635">
            <w:pPr>
              <w:widowControl/>
              <w:jc w:val="center"/>
              <w:rPr>
                <w:rFonts w:ascii="Times New Roman"/>
                <w:sz w:val="21"/>
                <w:szCs w:val="21"/>
              </w:rPr>
            </w:pPr>
            <w:r>
              <w:rPr>
                <w:rFonts w:ascii="Times New Roman"/>
                <w:sz w:val="21"/>
                <w:szCs w:val="21"/>
              </w:rPr>
              <w:t>排放浓度200mg/m</w:t>
            </w:r>
            <w:r>
              <w:rPr>
                <w:rFonts w:ascii="Times New Roman"/>
                <w:sz w:val="21"/>
                <w:szCs w:val="21"/>
                <w:vertAlign w:val="superscript"/>
              </w:rPr>
              <w:t>3</w:t>
            </w:r>
          </w:p>
        </w:tc>
        <w:tc>
          <w:tcPr>
            <w:tcW w:w="1296" w:type="pct"/>
            <w:gridSpan w:val="2"/>
            <w:vMerge w:val="continue"/>
            <w:vAlign w:val="center"/>
          </w:tcPr>
          <w:p w14:paraId="0A6D6685">
            <w:pPr>
              <w:widowControl/>
              <w:jc w:val="center"/>
              <w:rPr>
                <w:rFonts w:ascii="Times New Roman"/>
                <w:sz w:val="21"/>
                <w:szCs w:val="21"/>
              </w:rPr>
            </w:pPr>
          </w:p>
        </w:tc>
        <w:tc>
          <w:tcPr>
            <w:tcW w:w="1850" w:type="pct"/>
            <w:gridSpan w:val="2"/>
            <w:vMerge w:val="continue"/>
            <w:vAlign w:val="center"/>
          </w:tcPr>
          <w:p w14:paraId="78396C95">
            <w:pPr>
              <w:widowControl/>
              <w:jc w:val="center"/>
              <w:rPr>
                <w:rFonts w:ascii="Times New Roman"/>
                <w:sz w:val="21"/>
                <w:szCs w:val="21"/>
              </w:rPr>
            </w:pPr>
          </w:p>
        </w:tc>
      </w:tr>
      <w:tr w14:paraId="2C71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29" w:type="pct"/>
            <w:vMerge w:val="continue"/>
            <w:vAlign w:val="center"/>
          </w:tcPr>
          <w:p w14:paraId="4B242C30">
            <w:pPr>
              <w:widowControl/>
              <w:jc w:val="center"/>
              <w:rPr>
                <w:rFonts w:ascii="Times New Roman"/>
                <w:sz w:val="21"/>
                <w:szCs w:val="21"/>
              </w:rPr>
            </w:pPr>
          </w:p>
        </w:tc>
        <w:tc>
          <w:tcPr>
            <w:tcW w:w="539" w:type="pct"/>
            <w:gridSpan w:val="2"/>
            <w:vMerge w:val="continue"/>
            <w:vAlign w:val="center"/>
          </w:tcPr>
          <w:p w14:paraId="47EC9F3D">
            <w:pPr>
              <w:widowControl/>
              <w:jc w:val="center"/>
              <w:rPr>
                <w:rFonts w:ascii="Times New Roman"/>
                <w:sz w:val="21"/>
                <w:szCs w:val="21"/>
              </w:rPr>
            </w:pPr>
          </w:p>
        </w:tc>
        <w:tc>
          <w:tcPr>
            <w:tcW w:w="349" w:type="pct"/>
            <w:vMerge w:val="continue"/>
            <w:vAlign w:val="center"/>
          </w:tcPr>
          <w:p w14:paraId="792F0475">
            <w:pPr>
              <w:widowControl/>
              <w:jc w:val="center"/>
              <w:rPr>
                <w:rFonts w:ascii="Times New Roman"/>
                <w:sz w:val="21"/>
                <w:szCs w:val="21"/>
              </w:rPr>
            </w:pPr>
          </w:p>
        </w:tc>
        <w:tc>
          <w:tcPr>
            <w:tcW w:w="280" w:type="pct"/>
            <w:vAlign w:val="center"/>
          </w:tcPr>
          <w:p w14:paraId="445B640D">
            <w:pPr>
              <w:widowControl/>
              <w:jc w:val="center"/>
              <w:rPr>
                <w:rFonts w:ascii="Times New Roman"/>
                <w:sz w:val="21"/>
                <w:szCs w:val="21"/>
              </w:rPr>
            </w:pPr>
            <w:r>
              <w:rPr>
                <w:rFonts w:ascii="Times New Roman"/>
                <w:sz w:val="21"/>
                <w:szCs w:val="21"/>
              </w:rPr>
              <w:t>氮氧化物</w:t>
            </w:r>
          </w:p>
        </w:tc>
        <w:tc>
          <w:tcPr>
            <w:tcW w:w="552" w:type="pct"/>
            <w:vAlign w:val="center"/>
          </w:tcPr>
          <w:p w14:paraId="7A98F782">
            <w:pPr>
              <w:widowControl/>
              <w:jc w:val="center"/>
              <w:rPr>
                <w:rFonts w:ascii="Times New Roman"/>
                <w:sz w:val="21"/>
                <w:szCs w:val="21"/>
              </w:rPr>
            </w:pPr>
            <w:r>
              <w:rPr>
                <w:rFonts w:ascii="Times New Roman"/>
                <w:sz w:val="21"/>
                <w:szCs w:val="21"/>
              </w:rPr>
              <w:t>排放浓度300mg/m</w:t>
            </w:r>
            <w:r>
              <w:rPr>
                <w:rFonts w:ascii="Times New Roman"/>
                <w:sz w:val="21"/>
                <w:szCs w:val="21"/>
                <w:vertAlign w:val="superscript"/>
              </w:rPr>
              <w:t>3</w:t>
            </w:r>
          </w:p>
        </w:tc>
        <w:tc>
          <w:tcPr>
            <w:tcW w:w="1296" w:type="pct"/>
            <w:gridSpan w:val="2"/>
            <w:vMerge w:val="continue"/>
            <w:vAlign w:val="center"/>
          </w:tcPr>
          <w:p w14:paraId="5D669F50">
            <w:pPr>
              <w:widowControl/>
              <w:jc w:val="center"/>
              <w:rPr>
                <w:rFonts w:ascii="Times New Roman"/>
                <w:sz w:val="21"/>
                <w:szCs w:val="21"/>
              </w:rPr>
            </w:pPr>
          </w:p>
        </w:tc>
        <w:tc>
          <w:tcPr>
            <w:tcW w:w="1850" w:type="pct"/>
            <w:gridSpan w:val="2"/>
            <w:vMerge w:val="continue"/>
            <w:vAlign w:val="center"/>
          </w:tcPr>
          <w:p w14:paraId="5991D54D">
            <w:pPr>
              <w:widowControl/>
              <w:jc w:val="center"/>
              <w:rPr>
                <w:rFonts w:ascii="Times New Roman"/>
                <w:sz w:val="21"/>
                <w:szCs w:val="21"/>
              </w:rPr>
            </w:pPr>
          </w:p>
        </w:tc>
      </w:tr>
      <w:tr w14:paraId="7DFC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129" w:type="pct"/>
            <w:vMerge w:val="continue"/>
            <w:vAlign w:val="center"/>
          </w:tcPr>
          <w:p w14:paraId="347C6DCB">
            <w:pPr>
              <w:widowControl/>
              <w:jc w:val="center"/>
              <w:rPr>
                <w:rFonts w:ascii="Times New Roman"/>
                <w:sz w:val="21"/>
                <w:szCs w:val="21"/>
              </w:rPr>
            </w:pPr>
          </w:p>
        </w:tc>
        <w:tc>
          <w:tcPr>
            <w:tcW w:w="889" w:type="pct"/>
            <w:gridSpan w:val="3"/>
            <w:vAlign w:val="center"/>
          </w:tcPr>
          <w:p w14:paraId="5C0D0C46">
            <w:pPr>
              <w:widowControl/>
              <w:jc w:val="center"/>
              <w:rPr>
                <w:rFonts w:ascii="Times New Roman"/>
                <w:sz w:val="21"/>
                <w:szCs w:val="21"/>
              </w:rPr>
            </w:pPr>
            <w:r>
              <w:rPr>
                <w:rFonts w:ascii="Times New Roman"/>
                <w:sz w:val="21"/>
                <w:szCs w:val="21"/>
              </w:rPr>
              <w:t>排气筒DA0</w:t>
            </w:r>
            <w:r>
              <w:rPr>
                <w:rFonts w:hint="eastAsia" w:ascii="Times New Roman"/>
                <w:sz w:val="21"/>
                <w:szCs w:val="21"/>
              </w:rPr>
              <w:t>12</w:t>
            </w:r>
            <w:r>
              <w:rPr>
                <w:rFonts w:ascii="Times New Roman"/>
                <w:sz w:val="21"/>
                <w:szCs w:val="21"/>
              </w:rPr>
              <w:t>喷塑</w:t>
            </w:r>
          </w:p>
        </w:tc>
        <w:tc>
          <w:tcPr>
            <w:tcW w:w="280" w:type="pct"/>
            <w:vAlign w:val="center"/>
          </w:tcPr>
          <w:p w14:paraId="33D3BA6B">
            <w:pPr>
              <w:widowControl/>
              <w:jc w:val="center"/>
              <w:rPr>
                <w:rFonts w:ascii="Times New Roman"/>
                <w:sz w:val="21"/>
                <w:szCs w:val="21"/>
              </w:rPr>
            </w:pPr>
            <w:r>
              <w:rPr>
                <w:rFonts w:ascii="Times New Roman"/>
                <w:sz w:val="21"/>
                <w:szCs w:val="21"/>
              </w:rPr>
              <w:t>颗粒物</w:t>
            </w:r>
          </w:p>
        </w:tc>
        <w:tc>
          <w:tcPr>
            <w:tcW w:w="552" w:type="pct"/>
            <w:vAlign w:val="center"/>
          </w:tcPr>
          <w:p w14:paraId="4D559BE2">
            <w:pPr>
              <w:widowControl/>
              <w:jc w:val="center"/>
              <w:rPr>
                <w:rFonts w:ascii="Times New Roman"/>
                <w:sz w:val="21"/>
                <w:szCs w:val="21"/>
              </w:rPr>
            </w:pPr>
            <w:r>
              <w:rPr>
                <w:rFonts w:ascii="Times New Roman"/>
                <w:sz w:val="21"/>
                <w:szCs w:val="21"/>
              </w:rPr>
              <w:t>排放浓度18mg/m</w:t>
            </w:r>
            <w:r>
              <w:rPr>
                <w:rFonts w:ascii="Times New Roman"/>
                <w:sz w:val="21"/>
                <w:szCs w:val="21"/>
                <w:vertAlign w:val="superscript"/>
              </w:rPr>
              <w:t>3</w:t>
            </w:r>
          </w:p>
          <w:p w14:paraId="1B05C657">
            <w:pPr>
              <w:widowControl/>
              <w:jc w:val="center"/>
              <w:rPr>
                <w:rFonts w:ascii="Times New Roman"/>
                <w:sz w:val="21"/>
                <w:szCs w:val="21"/>
              </w:rPr>
            </w:pPr>
            <w:r>
              <w:rPr>
                <w:rFonts w:ascii="Times New Roman"/>
                <w:sz w:val="21"/>
                <w:szCs w:val="21"/>
              </w:rPr>
              <w:t>排放速率0.</w:t>
            </w:r>
            <w:r>
              <w:rPr>
                <w:rFonts w:hint="eastAsia" w:ascii="Times New Roman"/>
                <w:sz w:val="21"/>
                <w:szCs w:val="21"/>
              </w:rPr>
              <w:t>85</w:t>
            </w:r>
            <w:r>
              <w:rPr>
                <w:rFonts w:ascii="Times New Roman"/>
                <w:sz w:val="21"/>
                <w:szCs w:val="21"/>
              </w:rPr>
              <w:t>kg/h</w:t>
            </w:r>
          </w:p>
        </w:tc>
        <w:tc>
          <w:tcPr>
            <w:tcW w:w="1296" w:type="pct"/>
            <w:gridSpan w:val="2"/>
            <w:vAlign w:val="center"/>
          </w:tcPr>
          <w:p w14:paraId="4A02BD46">
            <w:pPr>
              <w:widowControl/>
              <w:jc w:val="center"/>
              <w:rPr>
                <w:rFonts w:ascii="Times New Roman"/>
                <w:sz w:val="21"/>
                <w:szCs w:val="21"/>
              </w:rPr>
            </w:pPr>
            <w:r>
              <w:rPr>
                <w:rFonts w:ascii="Times New Roman"/>
                <w:sz w:val="21"/>
                <w:szCs w:val="21"/>
              </w:rPr>
              <w:t>《大气污染物综合排放标准》（GB16297-1996）表2中“染料尘”标准限值要求</w:t>
            </w:r>
          </w:p>
        </w:tc>
        <w:tc>
          <w:tcPr>
            <w:tcW w:w="1850" w:type="pct"/>
            <w:gridSpan w:val="2"/>
            <w:vAlign w:val="center"/>
          </w:tcPr>
          <w:p w14:paraId="2CC63751">
            <w:pPr>
              <w:widowControl/>
              <w:jc w:val="center"/>
              <w:rPr>
                <w:rFonts w:ascii="Times New Roman"/>
                <w:bCs/>
                <w:sz w:val="21"/>
                <w:szCs w:val="21"/>
              </w:rPr>
            </w:pPr>
            <w:r>
              <w:rPr>
                <w:rFonts w:hint="eastAsia" w:ascii="Times New Roman"/>
                <w:bCs/>
                <w:sz w:val="21"/>
                <w:szCs w:val="21"/>
              </w:rPr>
              <w:t>/</w:t>
            </w:r>
          </w:p>
        </w:tc>
      </w:tr>
      <w:tr w14:paraId="37D8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29" w:type="pct"/>
            <w:vMerge w:val="continue"/>
            <w:vAlign w:val="center"/>
          </w:tcPr>
          <w:p w14:paraId="7C359698">
            <w:pPr>
              <w:widowControl/>
              <w:jc w:val="center"/>
              <w:rPr>
                <w:rFonts w:ascii="Times New Roman"/>
                <w:sz w:val="21"/>
                <w:szCs w:val="21"/>
              </w:rPr>
            </w:pPr>
          </w:p>
        </w:tc>
        <w:tc>
          <w:tcPr>
            <w:tcW w:w="442" w:type="pct"/>
            <w:vMerge w:val="restart"/>
            <w:vAlign w:val="center"/>
          </w:tcPr>
          <w:p w14:paraId="316FFB98">
            <w:pPr>
              <w:widowControl/>
              <w:jc w:val="center"/>
              <w:rPr>
                <w:rFonts w:ascii="Times New Roman"/>
                <w:sz w:val="21"/>
                <w:szCs w:val="21"/>
              </w:rPr>
            </w:pPr>
            <w:r>
              <w:rPr>
                <w:rFonts w:hint="eastAsia" w:ascii="Times New Roman"/>
                <w:sz w:val="21"/>
                <w:szCs w:val="21"/>
              </w:rPr>
              <w:t>DA013</w:t>
            </w:r>
          </w:p>
        </w:tc>
        <w:tc>
          <w:tcPr>
            <w:tcW w:w="446" w:type="pct"/>
            <w:gridSpan w:val="2"/>
            <w:vAlign w:val="center"/>
          </w:tcPr>
          <w:p w14:paraId="16A03773">
            <w:pPr>
              <w:widowControl/>
              <w:jc w:val="center"/>
              <w:rPr>
                <w:rFonts w:ascii="Times New Roman"/>
                <w:sz w:val="21"/>
                <w:szCs w:val="21"/>
              </w:rPr>
            </w:pPr>
            <w:r>
              <w:rPr>
                <w:rFonts w:ascii="Times New Roman"/>
                <w:sz w:val="21"/>
                <w:szCs w:val="21"/>
              </w:rPr>
              <w:t>喷塑固化</w:t>
            </w:r>
          </w:p>
        </w:tc>
        <w:tc>
          <w:tcPr>
            <w:tcW w:w="280" w:type="pct"/>
            <w:vAlign w:val="center"/>
          </w:tcPr>
          <w:p w14:paraId="1A285B0F">
            <w:pPr>
              <w:widowControl/>
              <w:jc w:val="center"/>
              <w:rPr>
                <w:rFonts w:ascii="Times New Roman"/>
                <w:sz w:val="21"/>
                <w:szCs w:val="21"/>
              </w:rPr>
            </w:pPr>
            <w:r>
              <w:rPr>
                <w:rFonts w:ascii="Times New Roman"/>
                <w:sz w:val="21"/>
                <w:szCs w:val="21"/>
              </w:rPr>
              <w:t>非甲烷总烃</w:t>
            </w:r>
          </w:p>
        </w:tc>
        <w:tc>
          <w:tcPr>
            <w:tcW w:w="552" w:type="pct"/>
            <w:vAlign w:val="center"/>
          </w:tcPr>
          <w:p w14:paraId="56023BD8">
            <w:pPr>
              <w:widowControl/>
              <w:jc w:val="center"/>
              <w:rPr>
                <w:rFonts w:ascii="Times New Roman"/>
                <w:sz w:val="21"/>
                <w:szCs w:val="21"/>
                <w:vertAlign w:val="superscript"/>
              </w:rPr>
            </w:pPr>
            <w:r>
              <w:rPr>
                <w:rFonts w:ascii="Times New Roman"/>
                <w:sz w:val="21"/>
                <w:szCs w:val="21"/>
              </w:rPr>
              <w:t>最高允许排放浓度30mg/m</w:t>
            </w:r>
            <w:r>
              <w:rPr>
                <w:rFonts w:ascii="Times New Roman"/>
                <w:sz w:val="21"/>
                <w:szCs w:val="21"/>
                <w:vertAlign w:val="superscript"/>
              </w:rPr>
              <w:t>3</w:t>
            </w:r>
          </w:p>
          <w:p w14:paraId="5BB43D65">
            <w:pPr>
              <w:widowControl/>
              <w:jc w:val="center"/>
              <w:rPr>
                <w:rFonts w:ascii="Times New Roman"/>
                <w:sz w:val="21"/>
                <w:szCs w:val="21"/>
              </w:rPr>
            </w:pPr>
            <w:r>
              <w:rPr>
                <w:rFonts w:ascii="Times New Roman"/>
                <w:sz w:val="21"/>
                <w:szCs w:val="21"/>
              </w:rPr>
              <w:t>最低去除效率70%</w:t>
            </w:r>
          </w:p>
        </w:tc>
        <w:tc>
          <w:tcPr>
            <w:tcW w:w="1296" w:type="pct"/>
            <w:gridSpan w:val="2"/>
            <w:vAlign w:val="center"/>
          </w:tcPr>
          <w:p w14:paraId="19D995D1">
            <w:pPr>
              <w:widowControl/>
              <w:jc w:val="center"/>
              <w:rPr>
                <w:rFonts w:ascii="Times New Roman"/>
                <w:sz w:val="21"/>
                <w:szCs w:val="21"/>
              </w:rPr>
            </w:pPr>
            <w:r>
              <w:rPr>
                <w:rFonts w:ascii="Times New Roman"/>
                <w:sz w:val="21"/>
                <w:szCs w:val="21"/>
              </w:rPr>
              <w:t>《工业企业挥发性有机物排放控制标准》（DB13/2322-2016）表1表面涂装业标准限值要求</w:t>
            </w:r>
          </w:p>
        </w:tc>
        <w:tc>
          <w:tcPr>
            <w:tcW w:w="1850" w:type="pct"/>
            <w:gridSpan w:val="2"/>
            <w:vMerge w:val="restart"/>
            <w:vAlign w:val="center"/>
          </w:tcPr>
          <w:p w14:paraId="66F30945">
            <w:pPr>
              <w:widowControl/>
              <w:jc w:val="center"/>
              <w:rPr>
                <w:rFonts w:ascii="Times New Roman"/>
                <w:bCs/>
                <w:sz w:val="21"/>
                <w:szCs w:val="21"/>
              </w:rPr>
            </w:pPr>
          </w:p>
        </w:tc>
      </w:tr>
      <w:tr w14:paraId="0984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4F02C55E">
            <w:pPr>
              <w:widowControl/>
              <w:jc w:val="center"/>
            </w:pPr>
          </w:p>
        </w:tc>
        <w:tc>
          <w:tcPr>
            <w:tcW w:w="442" w:type="pct"/>
            <w:vMerge w:val="continue"/>
            <w:vAlign w:val="center"/>
          </w:tcPr>
          <w:p w14:paraId="1BD007E9">
            <w:pPr>
              <w:widowControl/>
              <w:jc w:val="center"/>
            </w:pPr>
          </w:p>
        </w:tc>
        <w:tc>
          <w:tcPr>
            <w:tcW w:w="446" w:type="pct"/>
            <w:gridSpan w:val="2"/>
            <w:vMerge w:val="restart"/>
            <w:vAlign w:val="center"/>
          </w:tcPr>
          <w:p w14:paraId="4C216C84">
            <w:pPr>
              <w:widowControl/>
              <w:jc w:val="center"/>
              <w:rPr>
                <w:rFonts w:ascii="Times New Roman"/>
                <w:sz w:val="21"/>
                <w:szCs w:val="21"/>
              </w:rPr>
            </w:pPr>
            <w:r>
              <w:rPr>
                <w:rFonts w:ascii="Times New Roman"/>
                <w:sz w:val="21"/>
                <w:szCs w:val="21"/>
              </w:rPr>
              <w:t>天然气燃烧机</w:t>
            </w:r>
          </w:p>
        </w:tc>
        <w:tc>
          <w:tcPr>
            <w:tcW w:w="280" w:type="pct"/>
            <w:vAlign w:val="center"/>
          </w:tcPr>
          <w:p w14:paraId="4D4C5D5C">
            <w:pPr>
              <w:widowControl/>
              <w:jc w:val="center"/>
              <w:rPr>
                <w:rFonts w:ascii="Times New Roman"/>
                <w:sz w:val="21"/>
                <w:szCs w:val="21"/>
              </w:rPr>
            </w:pPr>
            <w:r>
              <w:rPr>
                <w:rFonts w:ascii="Times New Roman"/>
                <w:sz w:val="21"/>
                <w:szCs w:val="21"/>
              </w:rPr>
              <w:t>颗粒物</w:t>
            </w:r>
          </w:p>
        </w:tc>
        <w:tc>
          <w:tcPr>
            <w:tcW w:w="552" w:type="pct"/>
            <w:vAlign w:val="center"/>
          </w:tcPr>
          <w:p w14:paraId="2804D229">
            <w:pPr>
              <w:widowControl/>
              <w:jc w:val="center"/>
              <w:rPr>
                <w:rFonts w:ascii="Times New Roman"/>
                <w:sz w:val="21"/>
                <w:szCs w:val="21"/>
              </w:rPr>
            </w:pPr>
            <w:r>
              <w:rPr>
                <w:rFonts w:ascii="Times New Roman"/>
                <w:sz w:val="21"/>
                <w:szCs w:val="21"/>
              </w:rPr>
              <w:t>排放浓度</w:t>
            </w:r>
            <w:r>
              <w:rPr>
                <w:rFonts w:hint="eastAsia" w:ascii="Times New Roman"/>
                <w:sz w:val="21"/>
                <w:szCs w:val="21"/>
              </w:rPr>
              <w:t>50</w:t>
            </w:r>
            <w:r>
              <w:rPr>
                <w:rFonts w:ascii="Times New Roman"/>
                <w:sz w:val="21"/>
                <w:szCs w:val="21"/>
              </w:rPr>
              <w:t>mg/m</w:t>
            </w:r>
            <w:r>
              <w:rPr>
                <w:rFonts w:ascii="Times New Roman"/>
                <w:sz w:val="21"/>
                <w:szCs w:val="21"/>
                <w:vertAlign w:val="superscript"/>
              </w:rPr>
              <w:t>3</w:t>
            </w:r>
          </w:p>
        </w:tc>
        <w:tc>
          <w:tcPr>
            <w:tcW w:w="1296" w:type="pct"/>
            <w:gridSpan w:val="2"/>
            <w:vMerge w:val="restart"/>
            <w:vAlign w:val="center"/>
          </w:tcPr>
          <w:p w14:paraId="708B1902">
            <w:pPr>
              <w:widowControl/>
              <w:jc w:val="center"/>
              <w:rPr>
                <w:rFonts w:ascii="Times New Roman"/>
                <w:sz w:val="21"/>
                <w:szCs w:val="21"/>
              </w:rPr>
            </w:pPr>
            <w:r>
              <w:rPr>
                <w:rFonts w:ascii="Times New Roman"/>
                <w:sz w:val="21"/>
                <w:szCs w:val="21"/>
              </w:rPr>
              <w:t>《工业炉窑大气污染物排放标准》（DB13/1640-2012）标准</w:t>
            </w:r>
          </w:p>
        </w:tc>
        <w:tc>
          <w:tcPr>
            <w:tcW w:w="1850" w:type="pct"/>
            <w:gridSpan w:val="2"/>
            <w:vMerge w:val="continue"/>
            <w:vAlign w:val="center"/>
          </w:tcPr>
          <w:p w14:paraId="0F5889C5">
            <w:pPr>
              <w:widowControl/>
              <w:jc w:val="center"/>
              <w:rPr>
                <w:rFonts w:ascii="Times New Roman"/>
                <w:sz w:val="21"/>
                <w:szCs w:val="21"/>
              </w:rPr>
            </w:pPr>
          </w:p>
        </w:tc>
      </w:tr>
      <w:tr w14:paraId="6710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5077D57E">
            <w:pPr>
              <w:widowControl/>
              <w:jc w:val="center"/>
            </w:pPr>
          </w:p>
        </w:tc>
        <w:tc>
          <w:tcPr>
            <w:tcW w:w="442" w:type="pct"/>
            <w:vMerge w:val="continue"/>
            <w:vAlign w:val="center"/>
          </w:tcPr>
          <w:p w14:paraId="6B48C930">
            <w:pPr>
              <w:widowControl/>
              <w:jc w:val="center"/>
            </w:pPr>
          </w:p>
        </w:tc>
        <w:tc>
          <w:tcPr>
            <w:tcW w:w="446" w:type="pct"/>
            <w:gridSpan w:val="2"/>
            <w:vMerge w:val="continue"/>
            <w:vAlign w:val="center"/>
          </w:tcPr>
          <w:p w14:paraId="60553099">
            <w:pPr>
              <w:widowControl/>
              <w:jc w:val="center"/>
            </w:pPr>
          </w:p>
        </w:tc>
        <w:tc>
          <w:tcPr>
            <w:tcW w:w="280" w:type="pct"/>
            <w:vAlign w:val="center"/>
          </w:tcPr>
          <w:p w14:paraId="1689F315">
            <w:pPr>
              <w:widowControl/>
              <w:jc w:val="center"/>
              <w:rPr>
                <w:rFonts w:ascii="Times New Roman"/>
                <w:sz w:val="21"/>
                <w:szCs w:val="21"/>
              </w:rPr>
            </w:pPr>
            <w:r>
              <w:rPr>
                <w:rFonts w:ascii="Times New Roman"/>
                <w:sz w:val="21"/>
                <w:szCs w:val="21"/>
              </w:rPr>
              <w:t>二氧化硫</w:t>
            </w:r>
          </w:p>
        </w:tc>
        <w:tc>
          <w:tcPr>
            <w:tcW w:w="552" w:type="pct"/>
            <w:vAlign w:val="center"/>
          </w:tcPr>
          <w:p w14:paraId="09EA258F">
            <w:pPr>
              <w:widowControl/>
              <w:jc w:val="center"/>
              <w:rPr>
                <w:rFonts w:ascii="Times New Roman"/>
                <w:sz w:val="21"/>
                <w:szCs w:val="21"/>
              </w:rPr>
            </w:pPr>
            <w:r>
              <w:rPr>
                <w:rFonts w:ascii="Times New Roman"/>
                <w:sz w:val="21"/>
                <w:szCs w:val="21"/>
              </w:rPr>
              <w:t>排放浓度</w:t>
            </w:r>
            <w:r>
              <w:rPr>
                <w:rFonts w:hint="eastAsia" w:ascii="Times New Roman"/>
                <w:sz w:val="21"/>
                <w:szCs w:val="21"/>
              </w:rPr>
              <w:t>4</w:t>
            </w:r>
            <w:r>
              <w:rPr>
                <w:rFonts w:ascii="Times New Roman"/>
                <w:sz w:val="21"/>
                <w:szCs w:val="21"/>
              </w:rPr>
              <w:t>00mg/m</w:t>
            </w:r>
            <w:r>
              <w:rPr>
                <w:rFonts w:ascii="Times New Roman"/>
                <w:sz w:val="21"/>
                <w:szCs w:val="21"/>
                <w:vertAlign w:val="superscript"/>
              </w:rPr>
              <w:t>3</w:t>
            </w:r>
          </w:p>
        </w:tc>
        <w:tc>
          <w:tcPr>
            <w:tcW w:w="1296" w:type="pct"/>
            <w:gridSpan w:val="2"/>
            <w:vMerge w:val="continue"/>
            <w:vAlign w:val="center"/>
          </w:tcPr>
          <w:p w14:paraId="2946237C">
            <w:pPr>
              <w:widowControl/>
              <w:jc w:val="center"/>
              <w:rPr>
                <w:rFonts w:ascii="Times New Roman"/>
                <w:sz w:val="21"/>
                <w:szCs w:val="21"/>
              </w:rPr>
            </w:pPr>
          </w:p>
        </w:tc>
        <w:tc>
          <w:tcPr>
            <w:tcW w:w="1850" w:type="pct"/>
            <w:gridSpan w:val="2"/>
            <w:vMerge w:val="continue"/>
            <w:vAlign w:val="center"/>
          </w:tcPr>
          <w:p w14:paraId="7DD59641">
            <w:pPr>
              <w:widowControl/>
              <w:jc w:val="center"/>
              <w:rPr>
                <w:rFonts w:ascii="Times New Roman"/>
                <w:sz w:val="21"/>
                <w:szCs w:val="21"/>
              </w:rPr>
            </w:pPr>
          </w:p>
        </w:tc>
      </w:tr>
      <w:tr w14:paraId="1793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0348C5AF">
            <w:pPr>
              <w:widowControl/>
              <w:jc w:val="center"/>
              <w:rPr>
                <w:rFonts w:ascii="Times New Roman"/>
                <w:sz w:val="21"/>
                <w:szCs w:val="21"/>
              </w:rPr>
            </w:pPr>
          </w:p>
        </w:tc>
        <w:tc>
          <w:tcPr>
            <w:tcW w:w="442" w:type="pct"/>
            <w:vMerge w:val="continue"/>
            <w:vAlign w:val="center"/>
          </w:tcPr>
          <w:p w14:paraId="4B9F3D37">
            <w:pPr>
              <w:widowControl/>
              <w:jc w:val="center"/>
              <w:rPr>
                <w:rFonts w:ascii="Times New Roman"/>
                <w:sz w:val="21"/>
                <w:szCs w:val="21"/>
              </w:rPr>
            </w:pPr>
          </w:p>
        </w:tc>
        <w:tc>
          <w:tcPr>
            <w:tcW w:w="446" w:type="pct"/>
            <w:gridSpan w:val="2"/>
            <w:vMerge w:val="continue"/>
            <w:vAlign w:val="center"/>
          </w:tcPr>
          <w:p w14:paraId="51935696">
            <w:pPr>
              <w:widowControl/>
              <w:jc w:val="center"/>
              <w:rPr>
                <w:rFonts w:ascii="Times New Roman"/>
                <w:sz w:val="21"/>
                <w:szCs w:val="21"/>
              </w:rPr>
            </w:pPr>
          </w:p>
        </w:tc>
        <w:tc>
          <w:tcPr>
            <w:tcW w:w="280" w:type="pct"/>
            <w:vAlign w:val="center"/>
          </w:tcPr>
          <w:p w14:paraId="5D09F64D">
            <w:pPr>
              <w:widowControl/>
              <w:jc w:val="center"/>
              <w:rPr>
                <w:rFonts w:ascii="Times New Roman"/>
                <w:sz w:val="21"/>
                <w:szCs w:val="21"/>
              </w:rPr>
            </w:pPr>
            <w:r>
              <w:rPr>
                <w:rFonts w:ascii="Times New Roman"/>
                <w:sz w:val="21"/>
                <w:szCs w:val="21"/>
              </w:rPr>
              <w:t>氮氧化物</w:t>
            </w:r>
          </w:p>
        </w:tc>
        <w:tc>
          <w:tcPr>
            <w:tcW w:w="552" w:type="pct"/>
            <w:vAlign w:val="center"/>
          </w:tcPr>
          <w:p w14:paraId="6EB5EB1D">
            <w:pPr>
              <w:widowControl/>
              <w:jc w:val="center"/>
              <w:rPr>
                <w:rFonts w:ascii="Times New Roman"/>
                <w:sz w:val="21"/>
                <w:szCs w:val="21"/>
              </w:rPr>
            </w:pPr>
            <w:r>
              <w:rPr>
                <w:rFonts w:ascii="Times New Roman"/>
                <w:sz w:val="21"/>
                <w:szCs w:val="21"/>
              </w:rPr>
              <w:t>排放浓度</w:t>
            </w:r>
            <w:r>
              <w:rPr>
                <w:rFonts w:hint="eastAsia" w:ascii="Times New Roman"/>
                <w:sz w:val="21"/>
                <w:szCs w:val="21"/>
              </w:rPr>
              <w:t>4</w:t>
            </w:r>
            <w:r>
              <w:rPr>
                <w:rFonts w:ascii="Times New Roman"/>
                <w:sz w:val="21"/>
                <w:szCs w:val="21"/>
              </w:rPr>
              <w:t>00mg/m</w:t>
            </w:r>
            <w:r>
              <w:rPr>
                <w:rFonts w:ascii="Times New Roman"/>
                <w:sz w:val="21"/>
                <w:szCs w:val="21"/>
                <w:vertAlign w:val="superscript"/>
              </w:rPr>
              <w:t>3</w:t>
            </w:r>
          </w:p>
        </w:tc>
        <w:tc>
          <w:tcPr>
            <w:tcW w:w="1296" w:type="pct"/>
            <w:gridSpan w:val="2"/>
            <w:vMerge w:val="continue"/>
            <w:vAlign w:val="center"/>
          </w:tcPr>
          <w:p w14:paraId="6FBA2E92">
            <w:pPr>
              <w:widowControl/>
              <w:jc w:val="center"/>
              <w:rPr>
                <w:rFonts w:ascii="Times New Roman"/>
                <w:sz w:val="21"/>
                <w:szCs w:val="21"/>
              </w:rPr>
            </w:pPr>
          </w:p>
        </w:tc>
        <w:tc>
          <w:tcPr>
            <w:tcW w:w="1850" w:type="pct"/>
            <w:gridSpan w:val="2"/>
            <w:vMerge w:val="continue"/>
            <w:vAlign w:val="center"/>
          </w:tcPr>
          <w:p w14:paraId="1BC6E1AF">
            <w:pPr>
              <w:widowControl/>
              <w:jc w:val="center"/>
              <w:rPr>
                <w:rFonts w:ascii="Times New Roman"/>
                <w:sz w:val="21"/>
                <w:szCs w:val="21"/>
              </w:rPr>
            </w:pPr>
          </w:p>
        </w:tc>
      </w:tr>
      <w:tr w14:paraId="118D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5C30B05A">
            <w:pPr>
              <w:widowControl/>
              <w:jc w:val="center"/>
              <w:rPr>
                <w:rFonts w:ascii="Times New Roman"/>
                <w:sz w:val="21"/>
                <w:szCs w:val="21"/>
              </w:rPr>
            </w:pPr>
          </w:p>
        </w:tc>
        <w:tc>
          <w:tcPr>
            <w:tcW w:w="442" w:type="pct"/>
            <w:vMerge w:val="continue"/>
            <w:vAlign w:val="center"/>
          </w:tcPr>
          <w:p w14:paraId="2466E1C1">
            <w:pPr>
              <w:widowControl/>
              <w:jc w:val="center"/>
              <w:rPr>
                <w:rFonts w:ascii="Times New Roman"/>
                <w:sz w:val="21"/>
                <w:szCs w:val="21"/>
              </w:rPr>
            </w:pPr>
          </w:p>
        </w:tc>
        <w:tc>
          <w:tcPr>
            <w:tcW w:w="446" w:type="pct"/>
            <w:gridSpan w:val="2"/>
            <w:vMerge w:val="continue"/>
            <w:vAlign w:val="center"/>
          </w:tcPr>
          <w:p w14:paraId="72778BD8">
            <w:pPr>
              <w:widowControl/>
              <w:jc w:val="center"/>
              <w:rPr>
                <w:rFonts w:ascii="Times New Roman"/>
                <w:sz w:val="21"/>
                <w:szCs w:val="21"/>
              </w:rPr>
            </w:pPr>
          </w:p>
        </w:tc>
        <w:tc>
          <w:tcPr>
            <w:tcW w:w="280" w:type="pct"/>
            <w:vAlign w:val="center"/>
          </w:tcPr>
          <w:p w14:paraId="58DB705D">
            <w:pPr>
              <w:widowControl/>
              <w:jc w:val="center"/>
              <w:rPr>
                <w:rFonts w:ascii="Times New Roman"/>
                <w:sz w:val="21"/>
                <w:szCs w:val="21"/>
              </w:rPr>
            </w:pPr>
            <w:r>
              <w:rPr>
                <w:rFonts w:ascii="Times New Roman"/>
                <w:sz w:val="21"/>
                <w:szCs w:val="21"/>
              </w:rPr>
              <w:t>烟气黑度</w:t>
            </w:r>
          </w:p>
        </w:tc>
        <w:tc>
          <w:tcPr>
            <w:tcW w:w="552" w:type="pct"/>
            <w:vAlign w:val="center"/>
          </w:tcPr>
          <w:p w14:paraId="6BE123D4">
            <w:pPr>
              <w:widowControl/>
              <w:jc w:val="center"/>
              <w:rPr>
                <w:rFonts w:ascii="Times New Roman"/>
                <w:sz w:val="21"/>
                <w:szCs w:val="21"/>
              </w:rPr>
            </w:pPr>
            <w:r>
              <w:rPr>
                <w:rFonts w:ascii="Times New Roman"/>
                <w:sz w:val="21"/>
                <w:szCs w:val="21"/>
                <w:lang w:bidi="zh-TW"/>
              </w:rPr>
              <w:t>≤1级</w:t>
            </w:r>
          </w:p>
        </w:tc>
        <w:tc>
          <w:tcPr>
            <w:tcW w:w="1296" w:type="pct"/>
            <w:gridSpan w:val="2"/>
            <w:vMerge w:val="continue"/>
            <w:vAlign w:val="center"/>
          </w:tcPr>
          <w:p w14:paraId="13E989CB">
            <w:pPr>
              <w:widowControl/>
              <w:jc w:val="center"/>
              <w:rPr>
                <w:rFonts w:ascii="Times New Roman"/>
                <w:sz w:val="21"/>
                <w:szCs w:val="21"/>
              </w:rPr>
            </w:pPr>
          </w:p>
        </w:tc>
        <w:tc>
          <w:tcPr>
            <w:tcW w:w="1850" w:type="pct"/>
            <w:gridSpan w:val="2"/>
            <w:vMerge w:val="continue"/>
            <w:vAlign w:val="center"/>
          </w:tcPr>
          <w:p w14:paraId="4CE3D52D">
            <w:pPr>
              <w:widowControl/>
              <w:jc w:val="center"/>
              <w:rPr>
                <w:rFonts w:ascii="Times New Roman"/>
                <w:sz w:val="21"/>
                <w:szCs w:val="21"/>
              </w:rPr>
            </w:pPr>
          </w:p>
        </w:tc>
      </w:tr>
      <w:tr w14:paraId="719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3F0524FC">
            <w:pPr>
              <w:widowControl/>
              <w:jc w:val="center"/>
              <w:rPr>
                <w:rFonts w:ascii="Times New Roman"/>
                <w:sz w:val="21"/>
                <w:szCs w:val="21"/>
              </w:rPr>
            </w:pPr>
          </w:p>
        </w:tc>
        <w:tc>
          <w:tcPr>
            <w:tcW w:w="442" w:type="pct"/>
            <w:vMerge w:val="continue"/>
            <w:vAlign w:val="center"/>
          </w:tcPr>
          <w:p w14:paraId="4FA08A5A">
            <w:pPr>
              <w:widowControl/>
              <w:jc w:val="center"/>
              <w:rPr>
                <w:rFonts w:ascii="Times New Roman"/>
                <w:sz w:val="21"/>
                <w:szCs w:val="21"/>
              </w:rPr>
            </w:pPr>
          </w:p>
        </w:tc>
        <w:tc>
          <w:tcPr>
            <w:tcW w:w="446" w:type="pct"/>
            <w:gridSpan w:val="2"/>
            <w:vMerge w:val="continue"/>
            <w:vAlign w:val="center"/>
          </w:tcPr>
          <w:p w14:paraId="7922B6D8">
            <w:pPr>
              <w:widowControl/>
              <w:jc w:val="center"/>
              <w:rPr>
                <w:rFonts w:ascii="Times New Roman"/>
                <w:sz w:val="21"/>
                <w:szCs w:val="21"/>
              </w:rPr>
            </w:pPr>
          </w:p>
        </w:tc>
        <w:tc>
          <w:tcPr>
            <w:tcW w:w="280" w:type="pct"/>
            <w:vAlign w:val="center"/>
          </w:tcPr>
          <w:p w14:paraId="61C67782">
            <w:pPr>
              <w:widowControl/>
              <w:jc w:val="center"/>
              <w:rPr>
                <w:rFonts w:ascii="Times New Roman"/>
                <w:sz w:val="21"/>
                <w:szCs w:val="21"/>
              </w:rPr>
            </w:pPr>
            <w:r>
              <w:rPr>
                <w:rFonts w:ascii="Times New Roman"/>
                <w:sz w:val="21"/>
                <w:szCs w:val="21"/>
              </w:rPr>
              <w:t>颗粒物</w:t>
            </w:r>
          </w:p>
        </w:tc>
        <w:tc>
          <w:tcPr>
            <w:tcW w:w="552" w:type="pct"/>
            <w:vAlign w:val="center"/>
          </w:tcPr>
          <w:p w14:paraId="4DEAD9A1">
            <w:pPr>
              <w:widowControl/>
              <w:jc w:val="center"/>
              <w:rPr>
                <w:rFonts w:ascii="Times New Roman"/>
                <w:sz w:val="21"/>
                <w:szCs w:val="21"/>
              </w:rPr>
            </w:pPr>
            <w:r>
              <w:rPr>
                <w:rFonts w:ascii="Times New Roman"/>
                <w:sz w:val="21"/>
                <w:szCs w:val="21"/>
              </w:rPr>
              <w:t>排放浓度30mg/m</w:t>
            </w:r>
            <w:r>
              <w:rPr>
                <w:rFonts w:ascii="Times New Roman"/>
                <w:sz w:val="21"/>
                <w:szCs w:val="21"/>
                <w:vertAlign w:val="superscript"/>
              </w:rPr>
              <w:t>3</w:t>
            </w:r>
          </w:p>
        </w:tc>
        <w:tc>
          <w:tcPr>
            <w:tcW w:w="1296" w:type="pct"/>
            <w:gridSpan w:val="2"/>
            <w:vMerge w:val="restart"/>
            <w:vAlign w:val="center"/>
          </w:tcPr>
          <w:p w14:paraId="5CD7E3BB">
            <w:pPr>
              <w:widowControl/>
              <w:jc w:val="center"/>
              <w:rPr>
                <w:rFonts w:ascii="Times New Roman"/>
                <w:sz w:val="21"/>
                <w:szCs w:val="21"/>
              </w:rPr>
            </w:pPr>
            <w:r>
              <w:rPr>
                <w:rFonts w:ascii="Times New Roman"/>
                <w:sz w:val="21"/>
                <w:szCs w:val="21"/>
              </w:rPr>
              <w:t>《关于印发&lt;工业炉窑大气污染综合治理方案&gt;的通知》（环大气[2019]56号）排放标准</w:t>
            </w:r>
          </w:p>
        </w:tc>
        <w:tc>
          <w:tcPr>
            <w:tcW w:w="1850" w:type="pct"/>
            <w:gridSpan w:val="2"/>
            <w:vMerge w:val="continue"/>
            <w:vAlign w:val="center"/>
          </w:tcPr>
          <w:p w14:paraId="7B8FEC77">
            <w:pPr>
              <w:widowControl/>
              <w:jc w:val="center"/>
              <w:rPr>
                <w:rFonts w:ascii="Times New Roman"/>
                <w:sz w:val="21"/>
                <w:szCs w:val="21"/>
              </w:rPr>
            </w:pPr>
          </w:p>
        </w:tc>
      </w:tr>
      <w:tr w14:paraId="62B7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07A22736">
            <w:pPr>
              <w:widowControl/>
              <w:jc w:val="center"/>
              <w:rPr>
                <w:rFonts w:ascii="Times New Roman"/>
                <w:sz w:val="21"/>
                <w:szCs w:val="21"/>
              </w:rPr>
            </w:pPr>
          </w:p>
        </w:tc>
        <w:tc>
          <w:tcPr>
            <w:tcW w:w="442" w:type="pct"/>
            <w:vMerge w:val="continue"/>
            <w:vAlign w:val="center"/>
          </w:tcPr>
          <w:p w14:paraId="63E0000F">
            <w:pPr>
              <w:widowControl/>
              <w:jc w:val="center"/>
              <w:rPr>
                <w:rFonts w:ascii="Times New Roman"/>
                <w:sz w:val="21"/>
                <w:szCs w:val="21"/>
              </w:rPr>
            </w:pPr>
          </w:p>
        </w:tc>
        <w:tc>
          <w:tcPr>
            <w:tcW w:w="446" w:type="pct"/>
            <w:gridSpan w:val="2"/>
            <w:vMerge w:val="continue"/>
            <w:vAlign w:val="center"/>
          </w:tcPr>
          <w:p w14:paraId="2B134AB4">
            <w:pPr>
              <w:widowControl/>
              <w:jc w:val="center"/>
              <w:rPr>
                <w:rFonts w:ascii="Times New Roman"/>
                <w:sz w:val="21"/>
                <w:szCs w:val="21"/>
              </w:rPr>
            </w:pPr>
          </w:p>
        </w:tc>
        <w:tc>
          <w:tcPr>
            <w:tcW w:w="280" w:type="pct"/>
            <w:vAlign w:val="center"/>
          </w:tcPr>
          <w:p w14:paraId="7A57A895">
            <w:pPr>
              <w:widowControl/>
              <w:jc w:val="center"/>
              <w:rPr>
                <w:rFonts w:ascii="Times New Roman"/>
                <w:sz w:val="21"/>
                <w:szCs w:val="21"/>
              </w:rPr>
            </w:pPr>
            <w:r>
              <w:rPr>
                <w:rFonts w:ascii="Times New Roman"/>
                <w:sz w:val="21"/>
                <w:szCs w:val="21"/>
              </w:rPr>
              <w:t>二氧化硫</w:t>
            </w:r>
          </w:p>
        </w:tc>
        <w:tc>
          <w:tcPr>
            <w:tcW w:w="552" w:type="pct"/>
            <w:vAlign w:val="center"/>
          </w:tcPr>
          <w:p w14:paraId="3ECE1768">
            <w:pPr>
              <w:widowControl/>
              <w:jc w:val="center"/>
              <w:rPr>
                <w:rFonts w:ascii="Times New Roman"/>
                <w:sz w:val="21"/>
                <w:szCs w:val="21"/>
              </w:rPr>
            </w:pPr>
            <w:r>
              <w:rPr>
                <w:rFonts w:ascii="Times New Roman"/>
                <w:sz w:val="21"/>
                <w:szCs w:val="21"/>
              </w:rPr>
              <w:t>排放浓度200mg/m</w:t>
            </w:r>
            <w:r>
              <w:rPr>
                <w:rFonts w:ascii="Times New Roman"/>
                <w:sz w:val="21"/>
                <w:szCs w:val="21"/>
                <w:vertAlign w:val="superscript"/>
              </w:rPr>
              <w:t>3</w:t>
            </w:r>
          </w:p>
        </w:tc>
        <w:tc>
          <w:tcPr>
            <w:tcW w:w="1296" w:type="pct"/>
            <w:gridSpan w:val="2"/>
            <w:vMerge w:val="continue"/>
            <w:vAlign w:val="center"/>
          </w:tcPr>
          <w:p w14:paraId="207E32F9">
            <w:pPr>
              <w:widowControl/>
              <w:jc w:val="center"/>
              <w:rPr>
                <w:rFonts w:ascii="Times New Roman"/>
                <w:sz w:val="21"/>
                <w:szCs w:val="21"/>
              </w:rPr>
            </w:pPr>
          </w:p>
        </w:tc>
        <w:tc>
          <w:tcPr>
            <w:tcW w:w="1850" w:type="pct"/>
            <w:gridSpan w:val="2"/>
            <w:vMerge w:val="continue"/>
            <w:vAlign w:val="center"/>
          </w:tcPr>
          <w:p w14:paraId="16E791A1">
            <w:pPr>
              <w:widowControl/>
              <w:jc w:val="center"/>
              <w:rPr>
                <w:rFonts w:ascii="Times New Roman"/>
                <w:sz w:val="21"/>
                <w:szCs w:val="21"/>
              </w:rPr>
            </w:pPr>
          </w:p>
        </w:tc>
      </w:tr>
      <w:tr w14:paraId="0F7E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129" w:type="pct"/>
            <w:vMerge w:val="continue"/>
            <w:vAlign w:val="center"/>
          </w:tcPr>
          <w:p w14:paraId="772F4194">
            <w:pPr>
              <w:widowControl/>
              <w:jc w:val="center"/>
              <w:rPr>
                <w:rFonts w:ascii="Times New Roman"/>
                <w:sz w:val="21"/>
                <w:szCs w:val="21"/>
              </w:rPr>
            </w:pPr>
          </w:p>
        </w:tc>
        <w:tc>
          <w:tcPr>
            <w:tcW w:w="442" w:type="pct"/>
            <w:vMerge w:val="continue"/>
            <w:vAlign w:val="center"/>
          </w:tcPr>
          <w:p w14:paraId="75D2AB37">
            <w:pPr>
              <w:widowControl/>
              <w:jc w:val="center"/>
              <w:rPr>
                <w:rFonts w:ascii="Times New Roman"/>
                <w:sz w:val="21"/>
                <w:szCs w:val="21"/>
              </w:rPr>
            </w:pPr>
          </w:p>
        </w:tc>
        <w:tc>
          <w:tcPr>
            <w:tcW w:w="446" w:type="pct"/>
            <w:gridSpan w:val="2"/>
            <w:vMerge w:val="continue"/>
            <w:vAlign w:val="center"/>
          </w:tcPr>
          <w:p w14:paraId="6B0BD0D2">
            <w:pPr>
              <w:widowControl/>
              <w:jc w:val="center"/>
              <w:rPr>
                <w:rFonts w:ascii="Times New Roman"/>
                <w:sz w:val="21"/>
                <w:szCs w:val="21"/>
              </w:rPr>
            </w:pPr>
          </w:p>
        </w:tc>
        <w:tc>
          <w:tcPr>
            <w:tcW w:w="280" w:type="pct"/>
            <w:vAlign w:val="center"/>
          </w:tcPr>
          <w:p w14:paraId="35B473A7">
            <w:pPr>
              <w:widowControl/>
              <w:jc w:val="center"/>
              <w:rPr>
                <w:rFonts w:ascii="Times New Roman"/>
                <w:sz w:val="21"/>
                <w:szCs w:val="21"/>
              </w:rPr>
            </w:pPr>
            <w:r>
              <w:rPr>
                <w:rFonts w:ascii="Times New Roman"/>
                <w:sz w:val="21"/>
                <w:szCs w:val="21"/>
              </w:rPr>
              <w:t>氮氧化物</w:t>
            </w:r>
          </w:p>
        </w:tc>
        <w:tc>
          <w:tcPr>
            <w:tcW w:w="552" w:type="pct"/>
            <w:vAlign w:val="center"/>
          </w:tcPr>
          <w:p w14:paraId="04ABFDB5">
            <w:pPr>
              <w:widowControl/>
              <w:jc w:val="center"/>
              <w:rPr>
                <w:rFonts w:ascii="Times New Roman"/>
                <w:sz w:val="21"/>
                <w:szCs w:val="21"/>
              </w:rPr>
            </w:pPr>
            <w:r>
              <w:rPr>
                <w:rFonts w:ascii="Times New Roman"/>
                <w:sz w:val="21"/>
                <w:szCs w:val="21"/>
              </w:rPr>
              <w:t>排放浓度300mg/m</w:t>
            </w:r>
            <w:r>
              <w:rPr>
                <w:rFonts w:ascii="Times New Roman"/>
                <w:sz w:val="21"/>
                <w:szCs w:val="21"/>
                <w:vertAlign w:val="superscript"/>
              </w:rPr>
              <w:t>3</w:t>
            </w:r>
          </w:p>
        </w:tc>
        <w:tc>
          <w:tcPr>
            <w:tcW w:w="1296" w:type="pct"/>
            <w:gridSpan w:val="2"/>
            <w:vMerge w:val="continue"/>
            <w:vAlign w:val="center"/>
          </w:tcPr>
          <w:p w14:paraId="23DF02C5">
            <w:pPr>
              <w:widowControl/>
              <w:jc w:val="center"/>
              <w:rPr>
                <w:rFonts w:ascii="Times New Roman"/>
                <w:sz w:val="21"/>
                <w:szCs w:val="21"/>
              </w:rPr>
            </w:pPr>
          </w:p>
        </w:tc>
        <w:tc>
          <w:tcPr>
            <w:tcW w:w="1850" w:type="pct"/>
            <w:gridSpan w:val="2"/>
            <w:vMerge w:val="continue"/>
            <w:vAlign w:val="center"/>
          </w:tcPr>
          <w:p w14:paraId="7F334F54">
            <w:pPr>
              <w:widowControl/>
              <w:jc w:val="center"/>
              <w:rPr>
                <w:rFonts w:ascii="Times New Roman"/>
                <w:sz w:val="21"/>
                <w:szCs w:val="21"/>
              </w:rPr>
            </w:pPr>
          </w:p>
        </w:tc>
      </w:tr>
      <w:tr w14:paraId="121A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129" w:type="pct"/>
            <w:vMerge w:val="continue"/>
            <w:vAlign w:val="center"/>
          </w:tcPr>
          <w:p w14:paraId="44358E2F">
            <w:pPr>
              <w:widowControl/>
              <w:jc w:val="center"/>
              <w:rPr>
                <w:rFonts w:ascii="Times New Roman"/>
                <w:sz w:val="21"/>
                <w:szCs w:val="21"/>
              </w:rPr>
            </w:pPr>
          </w:p>
        </w:tc>
        <w:tc>
          <w:tcPr>
            <w:tcW w:w="889" w:type="pct"/>
            <w:gridSpan w:val="3"/>
            <w:vMerge w:val="restart"/>
            <w:vAlign w:val="center"/>
          </w:tcPr>
          <w:p w14:paraId="25606FEE">
            <w:pPr>
              <w:widowControl/>
              <w:jc w:val="center"/>
              <w:rPr>
                <w:rFonts w:ascii="Times New Roman"/>
                <w:sz w:val="21"/>
                <w:szCs w:val="21"/>
              </w:rPr>
            </w:pPr>
            <w:r>
              <w:rPr>
                <w:rFonts w:ascii="Times New Roman"/>
                <w:sz w:val="21"/>
                <w:szCs w:val="21"/>
              </w:rPr>
              <w:t>DA01</w:t>
            </w:r>
            <w:r>
              <w:rPr>
                <w:rFonts w:hint="eastAsia" w:ascii="Times New Roman"/>
                <w:sz w:val="21"/>
                <w:szCs w:val="21"/>
              </w:rPr>
              <w:t>4</w:t>
            </w:r>
            <w:r>
              <w:rPr>
                <w:rFonts w:ascii="Times New Roman"/>
                <w:sz w:val="21"/>
                <w:szCs w:val="21"/>
              </w:rPr>
              <w:t>食堂废气</w:t>
            </w:r>
          </w:p>
        </w:tc>
        <w:tc>
          <w:tcPr>
            <w:tcW w:w="280" w:type="pct"/>
            <w:vAlign w:val="center"/>
          </w:tcPr>
          <w:p w14:paraId="72AAC46A">
            <w:pPr>
              <w:widowControl/>
              <w:jc w:val="center"/>
              <w:rPr>
                <w:rFonts w:ascii="Times New Roman"/>
                <w:sz w:val="21"/>
                <w:szCs w:val="21"/>
              </w:rPr>
            </w:pPr>
            <w:r>
              <w:rPr>
                <w:rFonts w:ascii="Times New Roman"/>
                <w:sz w:val="21"/>
                <w:szCs w:val="21"/>
              </w:rPr>
              <w:t>油烟</w:t>
            </w:r>
          </w:p>
        </w:tc>
        <w:tc>
          <w:tcPr>
            <w:tcW w:w="552" w:type="pct"/>
            <w:vAlign w:val="center"/>
          </w:tcPr>
          <w:p w14:paraId="1E6F307F">
            <w:pPr>
              <w:widowControl/>
              <w:jc w:val="center"/>
              <w:rPr>
                <w:rFonts w:ascii="Times New Roman"/>
                <w:sz w:val="21"/>
                <w:szCs w:val="21"/>
              </w:rPr>
            </w:pPr>
            <w:r>
              <w:rPr>
                <w:rFonts w:ascii="Times New Roman"/>
                <w:sz w:val="21"/>
                <w:szCs w:val="21"/>
              </w:rPr>
              <w:t>排放浓度1.0mg/m</w:t>
            </w:r>
            <w:r>
              <w:rPr>
                <w:rFonts w:ascii="Times New Roman"/>
                <w:sz w:val="21"/>
                <w:szCs w:val="21"/>
                <w:vertAlign w:val="superscript"/>
              </w:rPr>
              <w:t>3</w:t>
            </w:r>
          </w:p>
        </w:tc>
        <w:tc>
          <w:tcPr>
            <w:tcW w:w="1296" w:type="pct"/>
            <w:gridSpan w:val="2"/>
            <w:vMerge w:val="restart"/>
            <w:vAlign w:val="center"/>
          </w:tcPr>
          <w:p w14:paraId="2108132C">
            <w:pPr>
              <w:widowControl/>
              <w:jc w:val="center"/>
              <w:rPr>
                <w:rFonts w:ascii="Times New Roman"/>
                <w:sz w:val="21"/>
                <w:szCs w:val="21"/>
              </w:rPr>
            </w:pPr>
            <w:r>
              <w:rPr>
                <w:rFonts w:ascii="Times New Roman"/>
                <w:sz w:val="21"/>
                <w:szCs w:val="21"/>
              </w:rPr>
              <w:t>《餐饮业大气污染物排放标准》（DB13/5808-2023）大型规模标准</w:t>
            </w:r>
          </w:p>
        </w:tc>
        <w:tc>
          <w:tcPr>
            <w:tcW w:w="1850" w:type="pct"/>
            <w:gridSpan w:val="2"/>
            <w:vMerge w:val="restart"/>
            <w:vAlign w:val="center"/>
          </w:tcPr>
          <w:p w14:paraId="7F598104">
            <w:pPr>
              <w:widowControl/>
              <w:jc w:val="center"/>
              <w:rPr>
                <w:rFonts w:ascii="Times New Roman"/>
                <w:sz w:val="21"/>
                <w:szCs w:val="21"/>
              </w:rPr>
            </w:pPr>
            <w:r>
              <w:rPr>
                <w:rFonts w:ascii="Times New Roman"/>
                <w:bCs/>
                <w:sz w:val="21"/>
                <w:szCs w:val="21"/>
              </w:rPr>
              <w:t>污染物排放监控位置：车间或生产设施排气筒。</w:t>
            </w:r>
          </w:p>
        </w:tc>
      </w:tr>
      <w:tr w14:paraId="074E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29" w:type="pct"/>
            <w:vMerge w:val="continue"/>
            <w:vAlign w:val="center"/>
          </w:tcPr>
          <w:p w14:paraId="620917CF">
            <w:pPr>
              <w:widowControl/>
              <w:jc w:val="center"/>
              <w:rPr>
                <w:rFonts w:ascii="Times New Roman"/>
                <w:sz w:val="21"/>
                <w:szCs w:val="21"/>
              </w:rPr>
            </w:pPr>
          </w:p>
        </w:tc>
        <w:tc>
          <w:tcPr>
            <w:tcW w:w="889" w:type="pct"/>
            <w:gridSpan w:val="3"/>
            <w:vMerge w:val="continue"/>
            <w:vAlign w:val="center"/>
          </w:tcPr>
          <w:p w14:paraId="41FF3C70">
            <w:pPr>
              <w:widowControl/>
              <w:jc w:val="center"/>
              <w:rPr>
                <w:rFonts w:ascii="Times New Roman"/>
                <w:sz w:val="21"/>
                <w:szCs w:val="21"/>
              </w:rPr>
            </w:pPr>
          </w:p>
        </w:tc>
        <w:tc>
          <w:tcPr>
            <w:tcW w:w="280" w:type="pct"/>
            <w:vAlign w:val="center"/>
          </w:tcPr>
          <w:p w14:paraId="7967741B">
            <w:pPr>
              <w:widowControl/>
              <w:jc w:val="center"/>
              <w:rPr>
                <w:rFonts w:ascii="Times New Roman"/>
                <w:sz w:val="21"/>
                <w:szCs w:val="21"/>
              </w:rPr>
            </w:pPr>
            <w:r>
              <w:rPr>
                <w:rFonts w:ascii="Times New Roman"/>
                <w:sz w:val="21"/>
                <w:szCs w:val="21"/>
              </w:rPr>
              <w:t>非甲烷总烃</w:t>
            </w:r>
          </w:p>
        </w:tc>
        <w:tc>
          <w:tcPr>
            <w:tcW w:w="552" w:type="pct"/>
            <w:vAlign w:val="center"/>
          </w:tcPr>
          <w:p w14:paraId="45C60D53">
            <w:pPr>
              <w:widowControl/>
              <w:jc w:val="center"/>
              <w:rPr>
                <w:rFonts w:ascii="Times New Roman"/>
                <w:sz w:val="21"/>
                <w:szCs w:val="21"/>
              </w:rPr>
            </w:pPr>
            <w:r>
              <w:rPr>
                <w:rFonts w:ascii="Times New Roman"/>
                <w:sz w:val="21"/>
                <w:szCs w:val="21"/>
              </w:rPr>
              <w:t>排放浓度10mg/m</w:t>
            </w:r>
            <w:r>
              <w:rPr>
                <w:rFonts w:ascii="Times New Roman"/>
                <w:sz w:val="21"/>
                <w:szCs w:val="21"/>
                <w:vertAlign w:val="superscript"/>
              </w:rPr>
              <w:t>3</w:t>
            </w:r>
          </w:p>
        </w:tc>
        <w:tc>
          <w:tcPr>
            <w:tcW w:w="1296" w:type="pct"/>
            <w:gridSpan w:val="2"/>
            <w:vMerge w:val="continue"/>
            <w:vAlign w:val="center"/>
          </w:tcPr>
          <w:p w14:paraId="1E30A37F">
            <w:pPr>
              <w:widowControl/>
              <w:jc w:val="center"/>
              <w:rPr>
                <w:rFonts w:ascii="Times New Roman"/>
                <w:sz w:val="21"/>
                <w:szCs w:val="21"/>
              </w:rPr>
            </w:pPr>
          </w:p>
        </w:tc>
        <w:tc>
          <w:tcPr>
            <w:tcW w:w="1850" w:type="pct"/>
            <w:gridSpan w:val="2"/>
            <w:vMerge w:val="continue"/>
            <w:vAlign w:val="center"/>
          </w:tcPr>
          <w:p w14:paraId="24D01112">
            <w:pPr>
              <w:widowControl/>
              <w:jc w:val="center"/>
              <w:rPr>
                <w:rFonts w:ascii="Times New Roman"/>
                <w:bCs/>
                <w:sz w:val="21"/>
                <w:szCs w:val="21"/>
              </w:rPr>
            </w:pPr>
          </w:p>
        </w:tc>
      </w:tr>
      <w:tr w14:paraId="126D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restart"/>
            <w:vAlign w:val="center"/>
          </w:tcPr>
          <w:p w14:paraId="1F572185">
            <w:pPr>
              <w:widowControl/>
              <w:jc w:val="center"/>
              <w:rPr>
                <w:rFonts w:ascii="Times New Roman"/>
                <w:sz w:val="21"/>
                <w:szCs w:val="21"/>
              </w:rPr>
            </w:pPr>
            <w:r>
              <w:rPr>
                <w:rFonts w:ascii="Times New Roman"/>
                <w:sz w:val="21"/>
                <w:szCs w:val="21"/>
              </w:rPr>
              <w:t>无组织</w:t>
            </w:r>
          </w:p>
        </w:tc>
        <w:tc>
          <w:tcPr>
            <w:tcW w:w="1170" w:type="pct"/>
            <w:gridSpan w:val="4"/>
            <w:vAlign w:val="center"/>
          </w:tcPr>
          <w:p w14:paraId="3F3A64F1">
            <w:pPr>
              <w:widowControl/>
              <w:jc w:val="center"/>
              <w:rPr>
                <w:rFonts w:ascii="Times New Roman"/>
                <w:sz w:val="21"/>
                <w:szCs w:val="21"/>
              </w:rPr>
            </w:pPr>
            <w:r>
              <w:rPr>
                <w:rFonts w:ascii="Times New Roman"/>
                <w:sz w:val="21"/>
                <w:szCs w:val="21"/>
              </w:rPr>
              <w:t>污染源</w:t>
            </w:r>
          </w:p>
        </w:tc>
        <w:tc>
          <w:tcPr>
            <w:tcW w:w="552" w:type="pct"/>
            <w:vAlign w:val="center"/>
          </w:tcPr>
          <w:p w14:paraId="75A32189">
            <w:pPr>
              <w:widowControl/>
              <w:jc w:val="center"/>
              <w:rPr>
                <w:rFonts w:ascii="Times New Roman"/>
                <w:sz w:val="21"/>
                <w:szCs w:val="21"/>
              </w:rPr>
            </w:pPr>
            <w:r>
              <w:rPr>
                <w:rFonts w:ascii="Times New Roman"/>
                <w:sz w:val="21"/>
                <w:szCs w:val="21"/>
              </w:rPr>
              <w:t>污染物</w:t>
            </w:r>
          </w:p>
        </w:tc>
        <w:tc>
          <w:tcPr>
            <w:tcW w:w="1296" w:type="pct"/>
            <w:gridSpan w:val="2"/>
            <w:vAlign w:val="center"/>
          </w:tcPr>
          <w:p w14:paraId="11A1716D">
            <w:pPr>
              <w:widowControl/>
              <w:jc w:val="center"/>
              <w:rPr>
                <w:rFonts w:ascii="Times New Roman"/>
                <w:sz w:val="21"/>
                <w:szCs w:val="21"/>
              </w:rPr>
            </w:pPr>
            <w:r>
              <w:rPr>
                <w:rFonts w:ascii="Times New Roman"/>
                <w:sz w:val="21"/>
                <w:szCs w:val="21"/>
              </w:rPr>
              <w:t>标准值</w:t>
            </w:r>
          </w:p>
        </w:tc>
        <w:tc>
          <w:tcPr>
            <w:tcW w:w="353" w:type="pct"/>
            <w:vAlign w:val="center"/>
          </w:tcPr>
          <w:p w14:paraId="796DE1F0">
            <w:pPr>
              <w:widowControl/>
              <w:jc w:val="center"/>
              <w:rPr>
                <w:rFonts w:ascii="Times New Roman"/>
                <w:sz w:val="21"/>
                <w:szCs w:val="21"/>
              </w:rPr>
            </w:pPr>
            <w:r>
              <w:rPr>
                <w:rFonts w:ascii="Times New Roman"/>
                <w:sz w:val="21"/>
                <w:szCs w:val="21"/>
              </w:rPr>
              <w:t>单位</w:t>
            </w:r>
          </w:p>
        </w:tc>
        <w:tc>
          <w:tcPr>
            <w:tcW w:w="1496" w:type="pct"/>
            <w:vAlign w:val="center"/>
          </w:tcPr>
          <w:p w14:paraId="54DFFA26">
            <w:pPr>
              <w:widowControl/>
              <w:jc w:val="center"/>
              <w:rPr>
                <w:rFonts w:ascii="Times New Roman"/>
                <w:sz w:val="21"/>
                <w:szCs w:val="21"/>
              </w:rPr>
            </w:pPr>
            <w:r>
              <w:rPr>
                <w:rFonts w:ascii="Times New Roman"/>
                <w:sz w:val="21"/>
                <w:szCs w:val="21"/>
              </w:rPr>
              <w:t>标准来源</w:t>
            </w:r>
          </w:p>
        </w:tc>
      </w:tr>
      <w:tr w14:paraId="2508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continue"/>
            <w:vAlign w:val="center"/>
          </w:tcPr>
          <w:p w14:paraId="60ACB813">
            <w:pPr>
              <w:widowControl/>
              <w:jc w:val="center"/>
              <w:rPr>
                <w:rFonts w:ascii="Times New Roman"/>
                <w:sz w:val="21"/>
                <w:szCs w:val="21"/>
              </w:rPr>
            </w:pPr>
          </w:p>
        </w:tc>
        <w:tc>
          <w:tcPr>
            <w:tcW w:w="1170" w:type="pct"/>
            <w:gridSpan w:val="4"/>
            <w:vMerge w:val="restart"/>
            <w:vAlign w:val="center"/>
          </w:tcPr>
          <w:p w14:paraId="09DB3139">
            <w:pPr>
              <w:widowControl/>
              <w:jc w:val="center"/>
              <w:rPr>
                <w:rFonts w:ascii="Times New Roman"/>
                <w:sz w:val="21"/>
                <w:szCs w:val="21"/>
              </w:rPr>
            </w:pPr>
            <w:r>
              <w:rPr>
                <w:rFonts w:ascii="Times New Roman"/>
                <w:sz w:val="21"/>
                <w:szCs w:val="21"/>
              </w:rPr>
              <w:t>厂区边界</w:t>
            </w:r>
          </w:p>
        </w:tc>
        <w:tc>
          <w:tcPr>
            <w:tcW w:w="552" w:type="pct"/>
            <w:vAlign w:val="center"/>
          </w:tcPr>
          <w:p w14:paraId="34FCDCE6">
            <w:pPr>
              <w:widowControl/>
              <w:jc w:val="center"/>
              <w:rPr>
                <w:rFonts w:ascii="Times New Roman"/>
                <w:sz w:val="21"/>
                <w:szCs w:val="21"/>
              </w:rPr>
            </w:pPr>
            <w:r>
              <w:rPr>
                <w:rFonts w:ascii="Times New Roman"/>
                <w:sz w:val="21"/>
                <w:szCs w:val="21"/>
              </w:rPr>
              <w:t>臭气浓度</w:t>
            </w:r>
          </w:p>
        </w:tc>
        <w:tc>
          <w:tcPr>
            <w:tcW w:w="1296" w:type="pct"/>
            <w:gridSpan w:val="2"/>
            <w:vAlign w:val="center"/>
          </w:tcPr>
          <w:p w14:paraId="7EF2B714">
            <w:pPr>
              <w:widowControl/>
              <w:jc w:val="center"/>
              <w:rPr>
                <w:rFonts w:ascii="Times New Roman"/>
                <w:sz w:val="21"/>
                <w:szCs w:val="21"/>
              </w:rPr>
            </w:pPr>
            <w:r>
              <w:rPr>
                <w:rFonts w:ascii="Times New Roman"/>
                <w:sz w:val="21"/>
                <w:szCs w:val="21"/>
              </w:rPr>
              <w:t>20（无量纲）</w:t>
            </w:r>
          </w:p>
        </w:tc>
        <w:tc>
          <w:tcPr>
            <w:tcW w:w="353" w:type="pct"/>
            <w:vAlign w:val="center"/>
          </w:tcPr>
          <w:p w14:paraId="0E986B52">
            <w:pPr>
              <w:widowControl/>
              <w:jc w:val="center"/>
              <w:rPr>
                <w:rFonts w:ascii="Times New Roman"/>
                <w:sz w:val="21"/>
                <w:szCs w:val="21"/>
              </w:rPr>
            </w:pPr>
            <w:r>
              <w:rPr>
                <w:rFonts w:ascii="Times New Roman"/>
                <w:sz w:val="21"/>
                <w:szCs w:val="21"/>
              </w:rPr>
              <w:t>/</w:t>
            </w:r>
          </w:p>
        </w:tc>
        <w:tc>
          <w:tcPr>
            <w:tcW w:w="1496" w:type="pct"/>
            <w:vAlign w:val="center"/>
          </w:tcPr>
          <w:p w14:paraId="499B4FD0">
            <w:pPr>
              <w:widowControl/>
              <w:jc w:val="center"/>
              <w:rPr>
                <w:rFonts w:ascii="Times New Roman"/>
                <w:sz w:val="21"/>
                <w:szCs w:val="21"/>
              </w:rPr>
            </w:pPr>
            <w:r>
              <w:rPr>
                <w:rFonts w:ascii="Times New Roman"/>
                <w:sz w:val="21"/>
                <w:szCs w:val="21"/>
              </w:rPr>
              <w:t>《恶臭污染物排放标准》（GB14554-93）表1二级新扩改建标准</w:t>
            </w:r>
          </w:p>
        </w:tc>
      </w:tr>
      <w:tr w14:paraId="3BFA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129" w:type="pct"/>
            <w:vMerge w:val="continue"/>
            <w:textDirection w:val="tbRlV"/>
            <w:vAlign w:val="center"/>
          </w:tcPr>
          <w:p w14:paraId="31D7C6CD">
            <w:pPr>
              <w:widowControl/>
              <w:jc w:val="center"/>
              <w:rPr>
                <w:rFonts w:ascii="Times New Roman"/>
                <w:sz w:val="21"/>
                <w:szCs w:val="21"/>
              </w:rPr>
            </w:pPr>
          </w:p>
        </w:tc>
        <w:tc>
          <w:tcPr>
            <w:tcW w:w="1170" w:type="pct"/>
            <w:gridSpan w:val="4"/>
            <w:vMerge w:val="continue"/>
            <w:vAlign w:val="center"/>
          </w:tcPr>
          <w:p w14:paraId="4CA73AE0">
            <w:pPr>
              <w:widowControl/>
              <w:jc w:val="center"/>
              <w:rPr>
                <w:rFonts w:ascii="Times New Roman"/>
                <w:sz w:val="21"/>
                <w:szCs w:val="21"/>
              </w:rPr>
            </w:pPr>
          </w:p>
        </w:tc>
        <w:tc>
          <w:tcPr>
            <w:tcW w:w="552" w:type="pct"/>
            <w:vAlign w:val="center"/>
          </w:tcPr>
          <w:p w14:paraId="64C65F85">
            <w:pPr>
              <w:widowControl/>
              <w:jc w:val="center"/>
              <w:rPr>
                <w:rFonts w:ascii="Times New Roman"/>
                <w:sz w:val="21"/>
                <w:szCs w:val="21"/>
              </w:rPr>
            </w:pPr>
            <w:r>
              <w:rPr>
                <w:rFonts w:ascii="Times New Roman"/>
                <w:sz w:val="21"/>
                <w:szCs w:val="21"/>
              </w:rPr>
              <w:t>颗粒物</w:t>
            </w:r>
          </w:p>
        </w:tc>
        <w:tc>
          <w:tcPr>
            <w:tcW w:w="1126" w:type="pct"/>
            <w:vMerge w:val="restart"/>
            <w:vAlign w:val="center"/>
          </w:tcPr>
          <w:p w14:paraId="0469F4C2">
            <w:pPr>
              <w:widowControl/>
              <w:jc w:val="center"/>
              <w:rPr>
                <w:rFonts w:ascii="Times New Roman"/>
                <w:sz w:val="21"/>
                <w:szCs w:val="21"/>
              </w:rPr>
            </w:pPr>
            <w:r>
              <w:rPr>
                <w:rFonts w:ascii="Times New Roman"/>
                <w:sz w:val="21"/>
                <w:szCs w:val="21"/>
              </w:rPr>
              <w:t>无组织排放监控浓度（周界外浓度最高点）</w:t>
            </w:r>
          </w:p>
        </w:tc>
        <w:tc>
          <w:tcPr>
            <w:tcW w:w="170" w:type="pct"/>
            <w:vAlign w:val="center"/>
          </w:tcPr>
          <w:p w14:paraId="1575B2C3">
            <w:pPr>
              <w:widowControl/>
              <w:jc w:val="center"/>
              <w:rPr>
                <w:rFonts w:ascii="Times New Roman"/>
                <w:sz w:val="21"/>
                <w:szCs w:val="21"/>
              </w:rPr>
            </w:pPr>
            <w:r>
              <w:rPr>
                <w:rFonts w:ascii="Times New Roman"/>
                <w:sz w:val="21"/>
                <w:szCs w:val="21"/>
              </w:rPr>
              <w:t>1.0</w:t>
            </w:r>
          </w:p>
        </w:tc>
        <w:tc>
          <w:tcPr>
            <w:tcW w:w="353" w:type="pct"/>
            <w:vAlign w:val="center"/>
          </w:tcPr>
          <w:p w14:paraId="42AD8F2D">
            <w:pPr>
              <w:widowControl/>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1496" w:type="pct"/>
            <w:vAlign w:val="center"/>
          </w:tcPr>
          <w:p w14:paraId="460CE209">
            <w:pPr>
              <w:widowControl/>
              <w:jc w:val="center"/>
              <w:rPr>
                <w:rFonts w:ascii="Times New Roman"/>
                <w:sz w:val="21"/>
                <w:szCs w:val="21"/>
              </w:rPr>
            </w:pPr>
            <w:r>
              <w:rPr>
                <w:rFonts w:ascii="Times New Roman"/>
                <w:sz w:val="21"/>
                <w:szCs w:val="21"/>
              </w:rPr>
              <w:t>《钢铁工业大气污染物超低排放标准》（DB13/2169-2018）表5企业大气污染物无组织排放浓度</w:t>
            </w:r>
          </w:p>
        </w:tc>
      </w:tr>
      <w:tr w14:paraId="4AF0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continue"/>
            <w:textDirection w:val="tbRlV"/>
            <w:vAlign w:val="center"/>
          </w:tcPr>
          <w:p w14:paraId="3ADE50EC">
            <w:pPr>
              <w:widowControl/>
              <w:jc w:val="center"/>
              <w:rPr>
                <w:rFonts w:ascii="Times New Roman"/>
                <w:sz w:val="21"/>
                <w:szCs w:val="21"/>
              </w:rPr>
            </w:pPr>
          </w:p>
        </w:tc>
        <w:tc>
          <w:tcPr>
            <w:tcW w:w="1170" w:type="pct"/>
            <w:gridSpan w:val="4"/>
            <w:vMerge w:val="continue"/>
            <w:vAlign w:val="center"/>
          </w:tcPr>
          <w:p w14:paraId="292BEBE0">
            <w:pPr>
              <w:widowControl/>
              <w:jc w:val="center"/>
              <w:rPr>
                <w:rFonts w:ascii="Times New Roman"/>
                <w:sz w:val="21"/>
                <w:szCs w:val="21"/>
              </w:rPr>
            </w:pPr>
          </w:p>
        </w:tc>
        <w:tc>
          <w:tcPr>
            <w:tcW w:w="552" w:type="pct"/>
            <w:vAlign w:val="center"/>
          </w:tcPr>
          <w:p w14:paraId="403A2FE1">
            <w:pPr>
              <w:widowControl/>
              <w:jc w:val="center"/>
              <w:rPr>
                <w:rFonts w:ascii="Times New Roman"/>
                <w:sz w:val="21"/>
                <w:szCs w:val="21"/>
              </w:rPr>
            </w:pPr>
            <w:r>
              <w:rPr>
                <w:rFonts w:ascii="Times New Roman"/>
                <w:sz w:val="21"/>
                <w:szCs w:val="21"/>
              </w:rPr>
              <w:t>颗粒物</w:t>
            </w:r>
          </w:p>
        </w:tc>
        <w:tc>
          <w:tcPr>
            <w:tcW w:w="1126" w:type="pct"/>
            <w:vMerge w:val="continue"/>
            <w:vAlign w:val="center"/>
          </w:tcPr>
          <w:p w14:paraId="7DFA9735">
            <w:pPr>
              <w:widowControl/>
              <w:jc w:val="center"/>
              <w:rPr>
                <w:rFonts w:ascii="Times New Roman"/>
                <w:sz w:val="21"/>
                <w:szCs w:val="21"/>
              </w:rPr>
            </w:pPr>
          </w:p>
        </w:tc>
        <w:tc>
          <w:tcPr>
            <w:tcW w:w="524" w:type="pct"/>
            <w:gridSpan w:val="2"/>
            <w:vAlign w:val="center"/>
          </w:tcPr>
          <w:p w14:paraId="027023D4">
            <w:pPr>
              <w:widowControl/>
              <w:jc w:val="center"/>
              <w:rPr>
                <w:rFonts w:ascii="Times New Roman"/>
                <w:sz w:val="21"/>
                <w:szCs w:val="21"/>
              </w:rPr>
            </w:pPr>
            <w:r>
              <w:rPr>
                <w:rFonts w:ascii="Times New Roman"/>
                <w:sz w:val="21"/>
                <w:szCs w:val="21"/>
              </w:rPr>
              <w:t>肉眼不可见</w:t>
            </w:r>
          </w:p>
        </w:tc>
        <w:tc>
          <w:tcPr>
            <w:tcW w:w="1496" w:type="pct"/>
            <w:vAlign w:val="center"/>
          </w:tcPr>
          <w:p w14:paraId="1EA3BE85">
            <w:pPr>
              <w:widowControl/>
              <w:jc w:val="center"/>
              <w:rPr>
                <w:rFonts w:ascii="Times New Roman"/>
                <w:sz w:val="21"/>
                <w:szCs w:val="21"/>
              </w:rPr>
            </w:pPr>
            <w:r>
              <w:rPr>
                <w:rFonts w:ascii="Times New Roman"/>
                <w:sz w:val="21"/>
                <w:szCs w:val="21"/>
              </w:rPr>
              <w:t>《大气污染物综合排放标准》（GB16297-1996）表2无组织排放监控限值要求</w:t>
            </w:r>
          </w:p>
        </w:tc>
      </w:tr>
      <w:tr w14:paraId="404B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129" w:type="pct"/>
            <w:vMerge w:val="continue"/>
            <w:textDirection w:val="tbRlV"/>
            <w:vAlign w:val="center"/>
          </w:tcPr>
          <w:p w14:paraId="3065F59B">
            <w:pPr>
              <w:widowControl/>
              <w:jc w:val="center"/>
              <w:rPr>
                <w:rFonts w:ascii="Times New Roman"/>
                <w:sz w:val="21"/>
                <w:szCs w:val="21"/>
              </w:rPr>
            </w:pPr>
          </w:p>
        </w:tc>
        <w:tc>
          <w:tcPr>
            <w:tcW w:w="1170" w:type="pct"/>
            <w:gridSpan w:val="4"/>
            <w:vMerge w:val="continue"/>
            <w:vAlign w:val="center"/>
          </w:tcPr>
          <w:p w14:paraId="0E79F2A1">
            <w:pPr>
              <w:widowControl/>
              <w:jc w:val="center"/>
              <w:rPr>
                <w:rFonts w:ascii="Times New Roman"/>
                <w:sz w:val="21"/>
                <w:szCs w:val="21"/>
              </w:rPr>
            </w:pPr>
          </w:p>
        </w:tc>
        <w:tc>
          <w:tcPr>
            <w:tcW w:w="552" w:type="pct"/>
            <w:vAlign w:val="center"/>
          </w:tcPr>
          <w:p w14:paraId="37B5C6DA">
            <w:pPr>
              <w:widowControl/>
              <w:jc w:val="center"/>
              <w:rPr>
                <w:rFonts w:ascii="Times New Roman"/>
                <w:sz w:val="21"/>
                <w:szCs w:val="21"/>
              </w:rPr>
            </w:pPr>
            <w:r>
              <w:rPr>
                <w:rFonts w:hint="eastAsia" w:ascii="Times New Roman"/>
                <w:sz w:val="21"/>
                <w:szCs w:val="21"/>
              </w:rPr>
              <w:t>非甲烷总烃</w:t>
            </w:r>
          </w:p>
        </w:tc>
        <w:tc>
          <w:tcPr>
            <w:tcW w:w="1126" w:type="pct"/>
            <w:vMerge w:val="continue"/>
            <w:vAlign w:val="center"/>
          </w:tcPr>
          <w:p w14:paraId="2604D054">
            <w:pPr>
              <w:widowControl/>
              <w:jc w:val="center"/>
              <w:rPr>
                <w:rFonts w:ascii="Times New Roman"/>
                <w:sz w:val="21"/>
                <w:szCs w:val="21"/>
              </w:rPr>
            </w:pPr>
          </w:p>
        </w:tc>
        <w:tc>
          <w:tcPr>
            <w:tcW w:w="170" w:type="pct"/>
            <w:vAlign w:val="center"/>
          </w:tcPr>
          <w:p w14:paraId="2546B850">
            <w:pPr>
              <w:widowControl/>
              <w:jc w:val="center"/>
              <w:rPr>
                <w:rFonts w:ascii="Times New Roman"/>
                <w:sz w:val="21"/>
                <w:szCs w:val="21"/>
              </w:rPr>
            </w:pPr>
            <w:r>
              <w:rPr>
                <w:rFonts w:hint="eastAsia" w:ascii="Times New Roman"/>
                <w:sz w:val="21"/>
                <w:szCs w:val="21"/>
              </w:rPr>
              <w:t>2.0</w:t>
            </w:r>
          </w:p>
        </w:tc>
        <w:tc>
          <w:tcPr>
            <w:tcW w:w="353" w:type="pct"/>
            <w:vMerge w:val="restart"/>
            <w:vAlign w:val="center"/>
          </w:tcPr>
          <w:p w14:paraId="77ECD332">
            <w:pPr>
              <w:widowControl/>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1496" w:type="pct"/>
            <w:vMerge w:val="restart"/>
            <w:vAlign w:val="center"/>
          </w:tcPr>
          <w:p w14:paraId="6772AAD5">
            <w:pPr>
              <w:widowControl/>
              <w:jc w:val="center"/>
              <w:rPr>
                <w:rFonts w:ascii="Times New Roman"/>
                <w:sz w:val="21"/>
                <w:szCs w:val="21"/>
              </w:rPr>
            </w:pPr>
            <w:r>
              <w:rPr>
                <w:rFonts w:ascii="Times New Roman"/>
                <w:sz w:val="21"/>
                <w:szCs w:val="21"/>
              </w:rPr>
              <w:t>《工业企业挥发性有机物排放控制标准》（DB13/2332-2016）表 2中其他企业无组织排放监控浓度限值</w:t>
            </w:r>
          </w:p>
        </w:tc>
      </w:tr>
      <w:tr w14:paraId="4A71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29" w:type="pct"/>
            <w:vMerge w:val="continue"/>
            <w:textDirection w:val="tbRlV"/>
            <w:vAlign w:val="center"/>
          </w:tcPr>
          <w:p w14:paraId="32FE9EEE">
            <w:pPr>
              <w:widowControl/>
              <w:jc w:val="center"/>
              <w:rPr>
                <w:rFonts w:ascii="Times New Roman"/>
                <w:sz w:val="21"/>
                <w:szCs w:val="21"/>
              </w:rPr>
            </w:pPr>
          </w:p>
        </w:tc>
        <w:tc>
          <w:tcPr>
            <w:tcW w:w="1170" w:type="pct"/>
            <w:gridSpan w:val="4"/>
            <w:vMerge w:val="continue"/>
            <w:vAlign w:val="center"/>
          </w:tcPr>
          <w:p w14:paraId="0EE253A9">
            <w:pPr>
              <w:widowControl/>
              <w:jc w:val="center"/>
              <w:rPr>
                <w:rFonts w:ascii="Times New Roman"/>
                <w:sz w:val="21"/>
                <w:szCs w:val="21"/>
              </w:rPr>
            </w:pPr>
          </w:p>
        </w:tc>
        <w:tc>
          <w:tcPr>
            <w:tcW w:w="552" w:type="pct"/>
            <w:vAlign w:val="center"/>
          </w:tcPr>
          <w:p w14:paraId="093416DA">
            <w:pPr>
              <w:widowControl/>
              <w:jc w:val="center"/>
              <w:rPr>
                <w:rFonts w:ascii="Times New Roman"/>
                <w:sz w:val="21"/>
                <w:szCs w:val="21"/>
              </w:rPr>
            </w:pPr>
            <w:r>
              <w:rPr>
                <w:rFonts w:ascii="Times New Roman"/>
                <w:sz w:val="21"/>
                <w:szCs w:val="21"/>
              </w:rPr>
              <w:t>二甲苯</w:t>
            </w:r>
          </w:p>
        </w:tc>
        <w:tc>
          <w:tcPr>
            <w:tcW w:w="1126" w:type="pct"/>
            <w:vMerge w:val="continue"/>
            <w:vAlign w:val="center"/>
          </w:tcPr>
          <w:p w14:paraId="53FA0190">
            <w:pPr>
              <w:widowControl/>
              <w:jc w:val="center"/>
              <w:rPr>
                <w:rFonts w:ascii="Times New Roman"/>
                <w:sz w:val="21"/>
                <w:szCs w:val="21"/>
              </w:rPr>
            </w:pPr>
          </w:p>
        </w:tc>
        <w:tc>
          <w:tcPr>
            <w:tcW w:w="170" w:type="pct"/>
            <w:vAlign w:val="center"/>
          </w:tcPr>
          <w:p w14:paraId="3D3BFB28">
            <w:pPr>
              <w:widowControl/>
              <w:jc w:val="center"/>
              <w:rPr>
                <w:rFonts w:ascii="Times New Roman"/>
                <w:sz w:val="21"/>
                <w:szCs w:val="21"/>
              </w:rPr>
            </w:pPr>
            <w:r>
              <w:rPr>
                <w:rFonts w:ascii="Times New Roman"/>
                <w:sz w:val="21"/>
                <w:szCs w:val="21"/>
              </w:rPr>
              <w:t>0.2</w:t>
            </w:r>
          </w:p>
        </w:tc>
        <w:tc>
          <w:tcPr>
            <w:tcW w:w="353" w:type="pct"/>
            <w:vMerge w:val="continue"/>
            <w:vAlign w:val="center"/>
          </w:tcPr>
          <w:p w14:paraId="523DC7CC">
            <w:pPr>
              <w:widowControl/>
              <w:jc w:val="center"/>
              <w:rPr>
                <w:rFonts w:ascii="Times New Roman"/>
                <w:sz w:val="21"/>
                <w:szCs w:val="21"/>
              </w:rPr>
            </w:pPr>
          </w:p>
        </w:tc>
        <w:tc>
          <w:tcPr>
            <w:tcW w:w="1496" w:type="pct"/>
            <w:vMerge w:val="continue"/>
            <w:vAlign w:val="center"/>
          </w:tcPr>
          <w:p w14:paraId="46266231">
            <w:pPr>
              <w:widowControl/>
              <w:jc w:val="center"/>
              <w:rPr>
                <w:rFonts w:ascii="Times New Roman"/>
                <w:sz w:val="21"/>
                <w:szCs w:val="21"/>
              </w:rPr>
            </w:pPr>
          </w:p>
        </w:tc>
      </w:tr>
      <w:tr w14:paraId="39C5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jc w:val="center"/>
        </w:trPr>
        <w:tc>
          <w:tcPr>
            <w:tcW w:w="129" w:type="pct"/>
            <w:vMerge w:val="continue"/>
            <w:textDirection w:val="tbRlV"/>
            <w:vAlign w:val="center"/>
          </w:tcPr>
          <w:p w14:paraId="4914066A">
            <w:pPr>
              <w:widowControl/>
              <w:jc w:val="center"/>
              <w:rPr>
                <w:rFonts w:ascii="Times New Roman"/>
                <w:sz w:val="21"/>
                <w:szCs w:val="21"/>
              </w:rPr>
            </w:pPr>
          </w:p>
        </w:tc>
        <w:tc>
          <w:tcPr>
            <w:tcW w:w="1170" w:type="pct"/>
            <w:gridSpan w:val="4"/>
            <w:vMerge w:val="restart"/>
            <w:vAlign w:val="center"/>
          </w:tcPr>
          <w:p w14:paraId="5638AA98">
            <w:pPr>
              <w:widowControl/>
              <w:jc w:val="center"/>
              <w:rPr>
                <w:rFonts w:ascii="Times New Roman"/>
                <w:sz w:val="21"/>
                <w:szCs w:val="21"/>
              </w:rPr>
            </w:pPr>
            <w:r>
              <w:rPr>
                <w:rFonts w:ascii="Times New Roman"/>
                <w:sz w:val="21"/>
                <w:szCs w:val="21"/>
              </w:rPr>
              <w:t>车间界</w:t>
            </w:r>
          </w:p>
        </w:tc>
        <w:tc>
          <w:tcPr>
            <w:tcW w:w="552" w:type="pct"/>
            <w:vAlign w:val="center"/>
          </w:tcPr>
          <w:p w14:paraId="2B91F1E7">
            <w:pPr>
              <w:widowControl/>
              <w:jc w:val="center"/>
              <w:rPr>
                <w:rFonts w:ascii="Times New Roman"/>
                <w:sz w:val="21"/>
                <w:szCs w:val="21"/>
              </w:rPr>
            </w:pPr>
            <w:r>
              <w:rPr>
                <w:rFonts w:ascii="Times New Roman"/>
                <w:sz w:val="21"/>
                <w:szCs w:val="21"/>
              </w:rPr>
              <w:t>非甲烷总烃</w:t>
            </w:r>
          </w:p>
        </w:tc>
        <w:tc>
          <w:tcPr>
            <w:tcW w:w="1126" w:type="pct"/>
            <w:vMerge w:val="restart"/>
            <w:vAlign w:val="center"/>
          </w:tcPr>
          <w:p w14:paraId="2F62160E">
            <w:pPr>
              <w:widowControl/>
              <w:jc w:val="center"/>
              <w:rPr>
                <w:rFonts w:ascii="Times New Roman"/>
                <w:sz w:val="21"/>
                <w:szCs w:val="21"/>
              </w:rPr>
            </w:pPr>
            <w:r>
              <w:rPr>
                <w:rFonts w:ascii="Times New Roman"/>
                <w:sz w:val="21"/>
                <w:szCs w:val="21"/>
              </w:rPr>
              <w:t>去除效率不满足要求时，监测点位在生产车间或生产设备边界</w:t>
            </w:r>
          </w:p>
        </w:tc>
        <w:tc>
          <w:tcPr>
            <w:tcW w:w="170" w:type="pct"/>
            <w:vAlign w:val="center"/>
          </w:tcPr>
          <w:p w14:paraId="6F6442A1">
            <w:pPr>
              <w:widowControl/>
              <w:jc w:val="center"/>
              <w:rPr>
                <w:rFonts w:ascii="Times New Roman"/>
                <w:sz w:val="21"/>
                <w:szCs w:val="21"/>
              </w:rPr>
            </w:pPr>
            <w:r>
              <w:rPr>
                <w:rFonts w:ascii="Times New Roman"/>
                <w:sz w:val="21"/>
                <w:szCs w:val="21"/>
              </w:rPr>
              <w:t>4.0</w:t>
            </w:r>
          </w:p>
        </w:tc>
        <w:tc>
          <w:tcPr>
            <w:tcW w:w="353" w:type="pct"/>
            <w:vMerge w:val="continue"/>
            <w:vAlign w:val="center"/>
          </w:tcPr>
          <w:p w14:paraId="2C94DAA0">
            <w:pPr>
              <w:widowControl/>
              <w:jc w:val="center"/>
              <w:rPr>
                <w:rFonts w:ascii="Times New Roman"/>
                <w:sz w:val="21"/>
                <w:szCs w:val="21"/>
              </w:rPr>
            </w:pPr>
          </w:p>
        </w:tc>
        <w:tc>
          <w:tcPr>
            <w:tcW w:w="1496" w:type="pct"/>
            <w:vMerge w:val="continue"/>
            <w:vAlign w:val="center"/>
          </w:tcPr>
          <w:p w14:paraId="2F146B01">
            <w:pPr>
              <w:widowControl/>
              <w:jc w:val="center"/>
              <w:rPr>
                <w:rFonts w:ascii="Times New Roman"/>
                <w:sz w:val="21"/>
                <w:szCs w:val="21"/>
              </w:rPr>
            </w:pPr>
          </w:p>
        </w:tc>
      </w:tr>
      <w:tr w14:paraId="439F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129" w:type="pct"/>
            <w:vMerge w:val="continue"/>
            <w:textDirection w:val="tbRlV"/>
            <w:vAlign w:val="center"/>
          </w:tcPr>
          <w:p w14:paraId="00D21925">
            <w:pPr>
              <w:widowControl/>
              <w:jc w:val="center"/>
              <w:rPr>
                <w:rFonts w:ascii="Times New Roman"/>
                <w:sz w:val="21"/>
                <w:szCs w:val="21"/>
              </w:rPr>
            </w:pPr>
          </w:p>
        </w:tc>
        <w:tc>
          <w:tcPr>
            <w:tcW w:w="1170" w:type="pct"/>
            <w:gridSpan w:val="4"/>
            <w:vMerge w:val="continue"/>
            <w:vAlign w:val="center"/>
          </w:tcPr>
          <w:p w14:paraId="5823E887">
            <w:pPr>
              <w:widowControl/>
              <w:jc w:val="center"/>
              <w:rPr>
                <w:rFonts w:ascii="Times New Roman"/>
                <w:sz w:val="21"/>
                <w:szCs w:val="21"/>
              </w:rPr>
            </w:pPr>
          </w:p>
        </w:tc>
        <w:tc>
          <w:tcPr>
            <w:tcW w:w="552" w:type="pct"/>
            <w:vAlign w:val="center"/>
          </w:tcPr>
          <w:p w14:paraId="728CAD34">
            <w:pPr>
              <w:widowControl/>
              <w:jc w:val="center"/>
              <w:rPr>
                <w:rFonts w:ascii="Times New Roman"/>
                <w:sz w:val="21"/>
                <w:szCs w:val="21"/>
              </w:rPr>
            </w:pPr>
            <w:r>
              <w:rPr>
                <w:rFonts w:hint="eastAsia" w:ascii="Times New Roman"/>
                <w:sz w:val="21"/>
                <w:szCs w:val="21"/>
              </w:rPr>
              <w:t>二甲苯</w:t>
            </w:r>
          </w:p>
        </w:tc>
        <w:tc>
          <w:tcPr>
            <w:tcW w:w="1126" w:type="pct"/>
            <w:vMerge w:val="continue"/>
            <w:vAlign w:val="center"/>
          </w:tcPr>
          <w:p w14:paraId="51FFFDD8">
            <w:pPr>
              <w:widowControl/>
              <w:jc w:val="center"/>
              <w:rPr>
                <w:rFonts w:ascii="Times New Roman"/>
                <w:sz w:val="21"/>
                <w:szCs w:val="21"/>
              </w:rPr>
            </w:pPr>
          </w:p>
        </w:tc>
        <w:tc>
          <w:tcPr>
            <w:tcW w:w="170" w:type="pct"/>
            <w:vAlign w:val="center"/>
          </w:tcPr>
          <w:p w14:paraId="2AD593B3">
            <w:pPr>
              <w:widowControl/>
              <w:jc w:val="center"/>
              <w:rPr>
                <w:rFonts w:ascii="Times New Roman"/>
                <w:sz w:val="21"/>
                <w:szCs w:val="21"/>
              </w:rPr>
            </w:pPr>
            <w:r>
              <w:rPr>
                <w:rFonts w:hint="eastAsia" w:ascii="Times New Roman"/>
                <w:sz w:val="21"/>
                <w:szCs w:val="21"/>
              </w:rPr>
              <w:t>1.2</w:t>
            </w:r>
          </w:p>
        </w:tc>
        <w:tc>
          <w:tcPr>
            <w:tcW w:w="353" w:type="pct"/>
            <w:vMerge w:val="continue"/>
            <w:vAlign w:val="center"/>
          </w:tcPr>
          <w:p w14:paraId="03A6111E">
            <w:pPr>
              <w:widowControl/>
              <w:jc w:val="center"/>
              <w:rPr>
                <w:rFonts w:ascii="Times New Roman"/>
                <w:sz w:val="21"/>
                <w:szCs w:val="21"/>
              </w:rPr>
            </w:pPr>
          </w:p>
        </w:tc>
        <w:tc>
          <w:tcPr>
            <w:tcW w:w="1496" w:type="pct"/>
            <w:vMerge w:val="continue"/>
            <w:vAlign w:val="center"/>
          </w:tcPr>
          <w:p w14:paraId="7F6BCC44">
            <w:pPr>
              <w:widowControl/>
              <w:jc w:val="center"/>
              <w:rPr>
                <w:rFonts w:ascii="Times New Roman"/>
                <w:sz w:val="21"/>
                <w:szCs w:val="21"/>
              </w:rPr>
            </w:pPr>
          </w:p>
        </w:tc>
      </w:tr>
      <w:tr w14:paraId="38C7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 w:type="pct"/>
            <w:vMerge w:val="continue"/>
            <w:textDirection w:val="tbRlV"/>
            <w:vAlign w:val="center"/>
          </w:tcPr>
          <w:p w14:paraId="460D38B8">
            <w:pPr>
              <w:widowControl/>
              <w:jc w:val="center"/>
              <w:rPr>
                <w:rFonts w:ascii="Times New Roman"/>
                <w:sz w:val="21"/>
                <w:szCs w:val="21"/>
              </w:rPr>
            </w:pPr>
          </w:p>
        </w:tc>
        <w:tc>
          <w:tcPr>
            <w:tcW w:w="1170" w:type="pct"/>
            <w:gridSpan w:val="4"/>
            <w:vMerge w:val="restart"/>
            <w:vAlign w:val="center"/>
          </w:tcPr>
          <w:p w14:paraId="6FF24033">
            <w:pPr>
              <w:widowControl/>
              <w:jc w:val="center"/>
              <w:rPr>
                <w:rFonts w:ascii="Times New Roman"/>
                <w:sz w:val="21"/>
                <w:szCs w:val="21"/>
              </w:rPr>
            </w:pPr>
            <w:r>
              <w:rPr>
                <w:rFonts w:ascii="Times New Roman"/>
                <w:sz w:val="21"/>
                <w:szCs w:val="21"/>
              </w:rPr>
              <w:t>厂区内</w:t>
            </w:r>
          </w:p>
        </w:tc>
        <w:tc>
          <w:tcPr>
            <w:tcW w:w="552" w:type="pct"/>
            <w:vMerge w:val="restart"/>
            <w:vAlign w:val="center"/>
          </w:tcPr>
          <w:p w14:paraId="1B86D0FC">
            <w:pPr>
              <w:widowControl/>
              <w:jc w:val="center"/>
              <w:rPr>
                <w:rFonts w:ascii="Times New Roman"/>
                <w:sz w:val="21"/>
                <w:szCs w:val="21"/>
              </w:rPr>
            </w:pPr>
            <w:r>
              <w:rPr>
                <w:rFonts w:ascii="Times New Roman"/>
                <w:sz w:val="21"/>
                <w:szCs w:val="21"/>
              </w:rPr>
              <w:t>非甲烷总烃</w:t>
            </w:r>
          </w:p>
        </w:tc>
        <w:tc>
          <w:tcPr>
            <w:tcW w:w="1126" w:type="pct"/>
            <w:vAlign w:val="center"/>
          </w:tcPr>
          <w:p w14:paraId="7A042864">
            <w:pPr>
              <w:widowControl/>
              <w:jc w:val="center"/>
              <w:rPr>
                <w:rFonts w:ascii="Times New Roman"/>
                <w:sz w:val="21"/>
                <w:szCs w:val="21"/>
              </w:rPr>
            </w:pPr>
            <w:r>
              <w:rPr>
                <w:rFonts w:ascii="Times New Roman"/>
                <w:sz w:val="21"/>
                <w:szCs w:val="21"/>
              </w:rPr>
              <w:t>监控点处1h 平均浓度值</w:t>
            </w:r>
          </w:p>
        </w:tc>
        <w:tc>
          <w:tcPr>
            <w:tcW w:w="170" w:type="pct"/>
            <w:vAlign w:val="center"/>
          </w:tcPr>
          <w:p w14:paraId="577A75F5">
            <w:pPr>
              <w:widowControl/>
              <w:jc w:val="center"/>
              <w:rPr>
                <w:rFonts w:ascii="Times New Roman"/>
                <w:sz w:val="21"/>
                <w:szCs w:val="21"/>
              </w:rPr>
            </w:pPr>
            <w:r>
              <w:rPr>
                <w:rFonts w:ascii="Times New Roman"/>
                <w:sz w:val="21"/>
                <w:szCs w:val="21"/>
              </w:rPr>
              <w:t>6</w:t>
            </w:r>
          </w:p>
        </w:tc>
        <w:tc>
          <w:tcPr>
            <w:tcW w:w="353" w:type="pct"/>
            <w:vAlign w:val="center"/>
          </w:tcPr>
          <w:p w14:paraId="128B46CD">
            <w:pPr>
              <w:widowControl/>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1496" w:type="pct"/>
            <w:vMerge w:val="restart"/>
            <w:vAlign w:val="center"/>
          </w:tcPr>
          <w:p w14:paraId="3D2A41FB">
            <w:pPr>
              <w:widowControl/>
              <w:jc w:val="center"/>
              <w:rPr>
                <w:rFonts w:ascii="Times New Roman"/>
                <w:sz w:val="21"/>
                <w:szCs w:val="21"/>
              </w:rPr>
            </w:pPr>
            <w:r>
              <w:rPr>
                <w:rFonts w:ascii="Times New Roman"/>
                <w:sz w:val="21"/>
                <w:szCs w:val="21"/>
              </w:rPr>
              <w:t>《挥发性有机物无组织</w:t>
            </w:r>
          </w:p>
          <w:p w14:paraId="7F5560AB">
            <w:pPr>
              <w:widowControl/>
              <w:jc w:val="center"/>
              <w:rPr>
                <w:rFonts w:ascii="Times New Roman"/>
                <w:sz w:val="21"/>
                <w:szCs w:val="21"/>
              </w:rPr>
            </w:pPr>
            <w:r>
              <w:rPr>
                <w:rFonts w:ascii="Times New Roman"/>
                <w:sz w:val="21"/>
                <w:szCs w:val="21"/>
              </w:rPr>
              <w:t>排放控制标准》（GB37822-2019）表A.1厂区内VOCs无组织排放特别排放限值（在厂房外设置监控点）</w:t>
            </w:r>
          </w:p>
        </w:tc>
      </w:tr>
      <w:tr w14:paraId="370A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129" w:type="pct"/>
            <w:vMerge w:val="continue"/>
            <w:textDirection w:val="tbRlV"/>
            <w:vAlign w:val="center"/>
          </w:tcPr>
          <w:p w14:paraId="45C630BD">
            <w:pPr>
              <w:widowControl/>
              <w:jc w:val="center"/>
              <w:rPr>
                <w:rFonts w:ascii="Times New Roman"/>
                <w:sz w:val="21"/>
                <w:szCs w:val="21"/>
              </w:rPr>
            </w:pPr>
          </w:p>
        </w:tc>
        <w:tc>
          <w:tcPr>
            <w:tcW w:w="1170" w:type="pct"/>
            <w:gridSpan w:val="4"/>
            <w:vMerge w:val="continue"/>
            <w:vAlign w:val="center"/>
          </w:tcPr>
          <w:p w14:paraId="1EFEFB0C">
            <w:pPr>
              <w:widowControl/>
              <w:jc w:val="center"/>
              <w:rPr>
                <w:rFonts w:ascii="Times New Roman"/>
                <w:sz w:val="21"/>
                <w:szCs w:val="21"/>
              </w:rPr>
            </w:pPr>
          </w:p>
        </w:tc>
        <w:tc>
          <w:tcPr>
            <w:tcW w:w="552" w:type="pct"/>
            <w:vMerge w:val="continue"/>
            <w:vAlign w:val="center"/>
          </w:tcPr>
          <w:p w14:paraId="65124BED">
            <w:pPr>
              <w:widowControl/>
              <w:jc w:val="center"/>
              <w:rPr>
                <w:rFonts w:ascii="Times New Roman"/>
                <w:sz w:val="21"/>
                <w:szCs w:val="21"/>
              </w:rPr>
            </w:pPr>
          </w:p>
        </w:tc>
        <w:tc>
          <w:tcPr>
            <w:tcW w:w="1126" w:type="pct"/>
            <w:vAlign w:val="center"/>
          </w:tcPr>
          <w:p w14:paraId="0CA2B785">
            <w:pPr>
              <w:widowControl/>
              <w:jc w:val="center"/>
              <w:rPr>
                <w:rFonts w:ascii="Times New Roman"/>
                <w:sz w:val="21"/>
                <w:szCs w:val="21"/>
              </w:rPr>
            </w:pPr>
            <w:r>
              <w:rPr>
                <w:rFonts w:ascii="Times New Roman"/>
                <w:sz w:val="21"/>
                <w:szCs w:val="21"/>
              </w:rPr>
              <w:t>监控点处任意一次浓度值</w:t>
            </w:r>
          </w:p>
        </w:tc>
        <w:tc>
          <w:tcPr>
            <w:tcW w:w="170" w:type="pct"/>
            <w:vAlign w:val="center"/>
          </w:tcPr>
          <w:p w14:paraId="642BAC3F">
            <w:pPr>
              <w:widowControl/>
              <w:jc w:val="center"/>
              <w:rPr>
                <w:rFonts w:ascii="Times New Roman"/>
                <w:sz w:val="21"/>
                <w:szCs w:val="21"/>
              </w:rPr>
            </w:pPr>
            <w:r>
              <w:rPr>
                <w:rFonts w:ascii="Times New Roman"/>
                <w:sz w:val="21"/>
                <w:szCs w:val="21"/>
              </w:rPr>
              <w:t>20</w:t>
            </w:r>
          </w:p>
        </w:tc>
        <w:tc>
          <w:tcPr>
            <w:tcW w:w="353" w:type="pct"/>
            <w:vAlign w:val="center"/>
          </w:tcPr>
          <w:p w14:paraId="66986157">
            <w:pPr>
              <w:widowControl/>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1496" w:type="pct"/>
            <w:vMerge w:val="continue"/>
            <w:vAlign w:val="center"/>
          </w:tcPr>
          <w:p w14:paraId="7C31B168">
            <w:pPr>
              <w:widowControl/>
              <w:jc w:val="center"/>
              <w:rPr>
                <w:rFonts w:ascii="Times New Roman"/>
                <w:sz w:val="21"/>
                <w:szCs w:val="21"/>
              </w:rPr>
            </w:pPr>
          </w:p>
        </w:tc>
      </w:tr>
    </w:tbl>
    <w:p w14:paraId="6229F48A">
      <w:pPr>
        <w:spacing w:line="480" w:lineRule="exact"/>
        <w:ind w:firstLine="480" w:firstLineChars="200"/>
        <w:rPr>
          <w:rFonts w:ascii="Times New Roman"/>
          <w:sz w:val="24"/>
          <w:szCs w:val="24"/>
        </w:rPr>
      </w:pPr>
      <w:r>
        <w:rPr>
          <w:rFonts w:hint="eastAsia" w:ascii="Times New Roman"/>
          <w:sz w:val="24"/>
          <w:szCs w:val="24"/>
        </w:rPr>
        <w:t>2）</w:t>
      </w:r>
      <w:r>
        <w:rPr>
          <w:rFonts w:ascii="Times New Roman"/>
          <w:sz w:val="24"/>
          <w:szCs w:val="24"/>
        </w:rPr>
        <w:t>废水：废水排放执行《污水综合排放标准》（GB8978-1996）表4中三级标准，同时满足曹妃甸装备制造园区污水处理站进水水质要求。</w:t>
      </w:r>
    </w:p>
    <w:p w14:paraId="74A62E79">
      <w:pPr>
        <w:spacing w:line="480" w:lineRule="exact"/>
        <w:jc w:val="center"/>
        <w:rPr>
          <w:rFonts w:ascii="Times New Roman"/>
          <w:b/>
          <w:sz w:val="24"/>
          <w:szCs w:val="24"/>
        </w:rPr>
      </w:pPr>
      <w:r>
        <w:rPr>
          <w:rFonts w:ascii="Times New Roman"/>
          <w:b/>
          <w:sz w:val="24"/>
          <w:szCs w:val="24"/>
        </w:rPr>
        <w:t>表2.7-7  废水污染物排放标准</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2889"/>
        <w:gridCol w:w="2315"/>
        <w:gridCol w:w="1706"/>
      </w:tblGrid>
      <w:tr w14:paraId="3B2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503505F8">
            <w:pPr>
              <w:jc w:val="center"/>
              <w:rPr>
                <w:rFonts w:ascii="Times New Roman"/>
                <w:bCs/>
                <w:sz w:val="21"/>
                <w:szCs w:val="21"/>
              </w:rPr>
            </w:pPr>
            <w:r>
              <w:rPr>
                <w:rFonts w:ascii="Times New Roman"/>
                <w:bCs/>
                <w:sz w:val="21"/>
                <w:szCs w:val="21"/>
              </w:rPr>
              <w:t>标准因子</w:t>
            </w:r>
          </w:p>
        </w:tc>
        <w:tc>
          <w:tcPr>
            <w:tcW w:w="1695" w:type="pct"/>
            <w:vAlign w:val="center"/>
          </w:tcPr>
          <w:p w14:paraId="537B7FC2">
            <w:pPr>
              <w:jc w:val="center"/>
              <w:rPr>
                <w:rFonts w:ascii="Times New Roman"/>
                <w:bCs/>
                <w:sz w:val="21"/>
                <w:szCs w:val="21"/>
              </w:rPr>
            </w:pPr>
            <w:r>
              <w:rPr>
                <w:rFonts w:ascii="Times New Roman"/>
                <w:bCs/>
                <w:sz w:val="21"/>
                <w:szCs w:val="21"/>
              </w:rPr>
              <w:t xml:space="preserve">《污水综合排放标准》(GB8978-1996) </w:t>
            </w:r>
          </w:p>
        </w:tc>
        <w:tc>
          <w:tcPr>
            <w:tcW w:w="1358" w:type="pct"/>
            <w:vAlign w:val="center"/>
          </w:tcPr>
          <w:p w14:paraId="4458ACCB">
            <w:pPr>
              <w:jc w:val="center"/>
              <w:rPr>
                <w:rFonts w:ascii="Times New Roman"/>
                <w:bCs/>
                <w:sz w:val="21"/>
                <w:szCs w:val="21"/>
              </w:rPr>
            </w:pPr>
            <w:r>
              <w:rPr>
                <w:rFonts w:ascii="Times New Roman"/>
                <w:bCs/>
                <w:sz w:val="21"/>
                <w:szCs w:val="21"/>
              </w:rPr>
              <w:t>园区</w:t>
            </w:r>
            <w:r>
              <w:rPr>
                <w:rFonts w:hint="eastAsia" w:ascii="Times New Roman"/>
                <w:bCs/>
                <w:sz w:val="21"/>
                <w:szCs w:val="21"/>
              </w:rPr>
              <w:t>污水处理站</w:t>
            </w:r>
            <w:r>
              <w:rPr>
                <w:rFonts w:ascii="Times New Roman"/>
                <w:bCs/>
                <w:sz w:val="21"/>
                <w:szCs w:val="21"/>
              </w:rPr>
              <w:t>进水要求</w:t>
            </w:r>
          </w:p>
        </w:tc>
        <w:tc>
          <w:tcPr>
            <w:tcW w:w="1001" w:type="pct"/>
            <w:vAlign w:val="center"/>
          </w:tcPr>
          <w:p w14:paraId="0A7A7018">
            <w:pPr>
              <w:jc w:val="center"/>
              <w:rPr>
                <w:rFonts w:ascii="Times New Roman"/>
                <w:bCs/>
                <w:sz w:val="21"/>
                <w:szCs w:val="21"/>
              </w:rPr>
            </w:pPr>
            <w:r>
              <w:rPr>
                <w:rFonts w:ascii="Times New Roman"/>
                <w:bCs/>
                <w:sz w:val="21"/>
                <w:szCs w:val="21"/>
              </w:rPr>
              <w:t>项目执行</w:t>
            </w:r>
          </w:p>
        </w:tc>
      </w:tr>
      <w:tr w14:paraId="32AF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40805D1F">
            <w:pPr>
              <w:jc w:val="center"/>
              <w:rPr>
                <w:rFonts w:ascii="Times New Roman"/>
                <w:bCs/>
                <w:sz w:val="21"/>
                <w:szCs w:val="21"/>
              </w:rPr>
            </w:pPr>
            <w:r>
              <w:rPr>
                <w:rFonts w:ascii="Times New Roman"/>
                <w:bCs/>
                <w:sz w:val="21"/>
                <w:szCs w:val="21"/>
              </w:rPr>
              <w:t>pH</w:t>
            </w:r>
          </w:p>
        </w:tc>
        <w:tc>
          <w:tcPr>
            <w:tcW w:w="1695" w:type="pct"/>
            <w:vAlign w:val="center"/>
          </w:tcPr>
          <w:p w14:paraId="7C4F86C8">
            <w:pPr>
              <w:jc w:val="center"/>
              <w:rPr>
                <w:rFonts w:ascii="Times New Roman"/>
                <w:bCs/>
                <w:sz w:val="21"/>
                <w:szCs w:val="21"/>
              </w:rPr>
            </w:pPr>
            <w:r>
              <w:rPr>
                <w:rFonts w:ascii="Times New Roman"/>
                <w:bCs/>
                <w:sz w:val="21"/>
                <w:szCs w:val="21"/>
              </w:rPr>
              <w:t>6～9</w:t>
            </w:r>
          </w:p>
        </w:tc>
        <w:tc>
          <w:tcPr>
            <w:tcW w:w="1358" w:type="pct"/>
            <w:vAlign w:val="center"/>
          </w:tcPr>
          <w:p w14:paraId="350B3694">
            <w:pPr>
              <w:jc w:val="center"/>
              <w:rPr>
                <w:rFonts w:ascii="Times New Roman"/>
                <w:bCs/>
                <w:sz w:val="21"/>
                <w:szCs w:val="21"/>
              </w:rPr>
            </w:pPr>
            <w:r>
              <w:rPr>
                <w:rFonts w:ascii="Times New Roman"/>
                <w:bCs/>
                <w:sz w:val="21"/>
                <w:szCs w:val="21"/>
              </w:rPr>
              <w:t>6～9</w:t>
            </w:r>
          </w:p>
        </w:tc>
        <w:tc>
          <w:tcPr>
            <w:tcW w:w="1001" w:type="pct"/>
            <w:vAlign w:val="center"/>
          </w:tcPr>
          <w:p w14:paraId="16EAC1CE">
            <w:pPr>
              <w:jc w:val="center"/>
              <w:rPr>
                <w:rFonts w:ascii="Times New Roman"/>
                <w:bCs/>
                <w:sz w:val="21"/>
                <w:szCs w:val="21"/>
              </w:rPr>
            </w:pPr>
            <w:r>
              <w:rPr>
                <w:rFonts w:ascii="Times New Roman"/>
                <w:bCs/>
                <w:sz w:val="21"/>
                <w:szCs w:val="21"/>
              </w:rPr>
              <w:t>6～9</w:t>
            </w:r>
          </w:p>
        </w:tc>
      </w:tr>
      <w:tr w14:paraId="5629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14BEF9C8">
            <w:pPr>
              <w:jc w:val="center"/>
              <w:rPr>
                <w:rFonts w:ascii="Times New Roman"/>
                <w:bCs/>
                <w:sz w:val="21"/>
                <w:szCs w:val="21"/>
              </w:rPr>
            </w:pPr>
            <w:r>
              <w:rPr>
                <w:rFonts w:ascii="Times New Roman"/>
                <w:bCs/>
                <w:sz w:val="21"/>
                <w:szCs w:val="21"/>
              </w:rPr>
              <w:t>SS</w:t>
            </w:r>
          </w:p>
        </w:tc>
        <w:tc>
          <w:tcPr>
            <w:tcW w:w="1695" w:type="pct"/>
            <w:vAlign w:val="center"/>
          </w:tcPr>
          <w:p w14:paraId="64F9CD23">
            <w:pPr>
              <w:jc w:val="center"/>
              <w:rPr>
                <w:rFonts w:ascii="Times New Roman"/>
                <w:bCs/>
                <w:sz w:val="21"/>
                <w:szCs w:val="21"/>
              </w:rPr>
            </w:pPr>
            <w:r>
              <w:rPr>
                <w:rFonts w:ascii="Times New Roman"/>
                <w:bCs/>
                <w:sz w:val="21"/>
                <w:szCs w:val="21"/>
              </w:rPr>
              <w:t>400</w:t>
            </w:r>
          </w:p>
        </w:tc>
        <w:tc>
          <w:tcPr>
            <w:tcW w:w="1358" w:type="pct"/>
            <w:vAlign w:val="center"/>
          </w:tcPr>
          <w:p w14:paraId="6A1DFEBC">
            <w:pPr>
              <w:jc w:val="center"/>
              <w:rPr>
                <w:rFonts w:ascii="Times New Roman"/>
                <w:bCs/>
                <w:sz w:val="21"/>
                <w:szCs w:val="21"/>
              </w:rPr>
            </w:pPr>
            <w:r>
              <w:rPr>
                <w:rFonts w:ascii="Times New Roman"/>
                <w:bCs/>
                <w:sz w:val="21"/>
                <w:szCs w:val="21"/>
              </w:rPr>
              <w:t>390</w:t>
            </w:r>
          </w:p>
        </w:tc>
        <w:tc>
          <w:tcPr>
            <w:tcW w:w="1001" w:type="pct"/>
            <w:vAlign w:val="center"/>
          </w:tcPr>
          <w:p w14:paraId="6D46CBA8">
            <w:pPr>
              <w:jc w:val="center"/>
              <w:rPr>
                <w:rFonts w:ascii="Times New Roman"/>
                <w:bCs/>
                <w:sz w:val="21"/>
                <w:szCs w:val="21"/>
              </w:rPr>
            </w:pPr>
            <w:r>
              <w:rPr>
                <w:rFonts w:ascii="Times New Roman"/>
                <w:bCs/>
                <w:sz w:val="21"/>
                <w:szCs w:val="21"/>
              </w:rPr>
              <w:t>390</w:t>
            </w:r>
          </w:p>
        </w:tc>
      </w:tr>
      <w:tr w14:paraId="1A2E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69A98DBE">
            <w:pPr>
              <w:jc w:val="center"/>
              <w:rPr>
                <w:rFonts w:ascii="Times New Roman"/>
                <w:bCs/>
                <w:sz w:val="21"/>
                <w:szCs w:val="21"/>
              </w:rPr>
            </w:pPr>
            <w:r>
              <w:rPr>
                <w:rFonts w:ascii="Times New Roman"/>
                <w:bCs/>
                <w:sz w:val="21"/>
                <w:szCs w:val="21"/>
              </w:rPr>
              <w:t>COD</w:t>
            </w:r>
          </w:p>
        </w:tc>
        <w:tc>
          <w:tcPr>
            <w:tcW w:w="1695" w:type="pct"/>
            <w:vAlign w:val="center"/>
          </w:tcPr>
          <w:p w14:paraId="751F9A93">
            <w:pPr>
              <w:jc w:val="center"/>
              <w:rPr>
                <w:rFonts w:ascii="Times New Roman"/>
                <w:bCs/>
                <w:sz w:val="21"/>
                <w:szCs w:val="21"/>
              </w:rPr>
            </w:pPr>
            <w:r>
              <w:rPr>
                <w:rFonts w:ascii="Times New Roman"/>
                <w:bCs/>
                <w:sz w:val="21"/>
                <w:szCs w:val="21"/>
              </w:rPr>
              <w:t>500</w:t>
            </w:r>
          </w:p>
        </w:tc>
        <w:tc>
          <w:tcPr>
            <w:tcW w:w="1358" w:type="pct"/>
            <w:vAlign w:val="center"/>
          </w:tcPr>
          <w:p w14:paraId="3C1D73CA">
            <w:pPr>
              <w:jc w:val="center"/>
              <w:rPr>
                <w:rFonts w:ascii="Times New Roman"/>
                <w:bCs/>
                <w:sz w:val="21"/>
                <w:szCs w:val="21"/>
              </w:rPr>
            </w:pPr>
            <w:r>
              <w:rPr>
                <w:rFonts w:ascii="Times New Roman"/>
                <w:bCs/>
                <w:sz w:val="21"/>
                <w:szCs w:val="21"/>
              </w:rPr>
              <w:t>350</w:t>
            </w:r>
          </w:p>
        </w:tc>
        <w:tc>
          <w:tcPr>
            <w:tcW w:w="1001" w:type="pct"/>
            <w:vAlign w:val="center"/>
          </w:tcPr>
          <w:p w14:paraId="04BF5760">
            <w:pPr>
              <w:jc w:val="center"/>
              <w:rPr>
                <w:rFonts w:ascii="Times New Roman"/>
                <w:bCs/>
                <w:sz w:val="21"/>
                <w:szCs w:val="21"/>
              </w:rPr>
            </w:pPr>
            <w:r>
              <w:rPr>
                <w:rFonts w:ascii="Times New Roman"/>
                <w:bCs/>
                <w:sz w:val="21"/>
                <w:szCs w:val="21"/>
              </w:rPr>
              <w:t>350</w:t>
            </w:r>
          </w:p>
        </w:tc>
      </w:tr>
      <w:tr w14:paraId="1087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46964D34">
            <w:pPr>
              <w:jc w:val="center"/>
              <w:rPr>
                <w:rFonts w:ascii="Times New Roman"/>
                <w:bCs/>
                <w:sz w:val="21"/>
                <w:szCs w:val="21"/>
              </w:rPr>
            </w:pPr>
            <w:r>
              <w:rPr>
                <w:rFonts w:ascii="Times New Roman"/>
                <w:bCs/>
                <w:sz w:val="21"/>
                <w:szCs w:val="21"/>
              </w:rPr>
              <w:t>BOD</w:t>
            </w:r>
            <w:r>
              <w:rPr>
                <w:rFonts w:ascii="Times New Roman"/>
                <w:bCs/>
                <w:sz w:val="21"/>
                <w:szCs w:val="21"/>
                <w:vertAlign w:val="subscript"/>
              </w:rPr>
              <w:t>5</w:t>
            </w:r>
          </w:p>
        </w:tc>
        <w:tc>
          <w:tcPr>
            <w:tcW w:w="1695" w:type="pct"/>
            <w:vAlign w:val="center"/>
          </w:tcPr>
          <w:p w14:paraId="1A30ACEB">
            <w:pPr>
              <w:jc w:val="center"/>
              <w:rPr>
                <w:rFonts w:ascii="Times New Roman"/>
                <w:bCs/>
                <w:sz w:val="21"/>
                <w:szCs w:val="21"/>
              </w:rPr>
            </w:pPr>
            <w:r>
              <w:rPr>
                <w:rFonts w:ascii="Times New Roman"/>
                <w:bCs/>
                <w:sz w:val="21"/>
                <w:szCs w:val="21"/>
              </w:rPr>
              <w:t>300</w:t>
            </w:r>
          </w:p>
        </w:tc>
        <w:tc>
          <w:tcPr>
            <w:tcW w:w="1358" w:type="pct"/>
            <w:vAlign w:val="center"/>
          </w:tcPr>
          <w:p w14:paraId="420D6257">
            <w:pPr>
              <w:jc w:val="center"/>
              <w:rPr>
                <w:rFonts w:ascii="Times New Roman"/>
                <w:bCs/>
                <w:sz w:val="21"/>
                <w:szCs w:val="21"/>
              </w:rPr>
            </w:pPr>
            <w:r>
              <w:rPr>
                <w:rFonts w:ascii="Times New Roman"/>
                <w:bCs/>
                <w:sz w:val="21"/>
                <w:szCs w:val="21"/>
              </w:rPr>
              <w:t>150</w:t>
            </w:r>
          </w:p>
        </w:tc>
        <w:tc>
          <w:tcPr>
            <w:tcW w:w="1001" w:type="pct"/>
            <w:vAlign w:val="center"/>
          </w:tcPr>
          <w:p w14:paraId="1959289B">
            <w:pPr>
              <w:jc w:val="center"/>
              <w:rPr>
                <w:rFonts w:ascii="Times New Roman"/>
                <w:bCs/>
                <w:sz w:val="21"/>
                <w:szCs w:val="21"/>
              </w:rPr>
            </w:pPr>
            <w:r>
              <w:rPr>
                <w:rFonts w:ascii="Times New Roman"/>
                <w:bCs/>
                <w:sz w:val="21"/>
                <w:szCs w:val="21"/>
              </w:rPr>
              <w:t>150</w:t>
            </w:r>
          </w:p>
        </w:tc>
      </w:tr>
      <w:tr w14:paraId="1499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077CCE50">
            <w:pPr>
              <w:jc w:val="center"/>
              <w:rPr>
                <w:rFonts w:ascii="Times New Roman"/>
                <w:bCs/>
                <w:sz w:val="21"/>
                <w:szCs w:val="21"/>
              </w:rPr>
            </w:pPr>
            <w:r>
              <w:rPr>
                <w:rFonts w:ascii="Times New Roman"/>
                <w:bCs/>
                <w:sz w:val="21"/>
                <w:szCs w:val="21"/>
              </w:rPr>
              <w:t>NH</w:t>
            </w:r>
            <w:r>
              <w:rPr>
                <w:rFonts w:ascii="Times New Roman"/>
                <w:bCs/>
                <w:sz w:val="21"/>
                <w:szCs w:val="21"/>
                <w:vertAlign w:val="subscript"/>
              </w:rPr>
              <w:t>3</w:t>
            </w:r>
            <w:r>
              <w:rPr>
                <w:rFonts w:ascii="Times New Roman"/>
                <w:bCs/>
                <w:sz w:val="21"/>
                <w:szCs w:val="21"/>
              </w:rPr>
              <w:t>-N</w:t>
            </w:r>
          </w:p>
        </w:tc>
        <w:tc>
          <w:tcPr>
            <w:tcW w:w="1695" w:type="pct"/>
            <w:vAlign w:val="center"/>
          </w:tcPr>
          <w:p w14:paraId="7373C8D2">
            <w:pPr>
              <w:jc w:val="center"/>
              <w:rPr>
                <w:rFonts w:ascii="Times New Roman"/>
                <w:bCs/>
                <w:sz w:val="21"/>
                <w:szCs w:val="21"/>
              </w:rPr>
            </w:pPr>
            <w:r>
              <w:rPr>
                <w:rFonts w:ascii="Times New Roman"/>
                <w:bCs/>
                <w:sz w:val="21"/>
                <w:szCs w:val="21"/>
              </w:rPr>
              <w:t>--</w:t>
            </w:r>
          </w:p>
        </w:tc>
        <w:tc>
          <w:tcPr>
            <w:tcW w:w="1358" w:type="pct"/>
            <w:vAlign w:val="center"/>
          </w:tcPr>
          <w:p w14:paraId="1F690EE7">
            <w:pPr>
              <w:jc w:val="center"/>
              <w:rPr>
                <w:rFonts w:ascii="Times New Roman"/>
                <w:bCs/>
                <w:sz w:val="21"/>
                <w:szCs w:val="21"/>
              </w:rPr>
            </w:pPr>
            <w:r>
              <w:rPr>
                <w:rFonts w:ascii="Times New Roman"/>
                <w:bCs/>
                <w:sz w:val="21"/>
                <w:szCs w:val="21"/>
              </w:rPr>
              <w:t>35</w:t>
            </w:r>
          </w:p>
        </w:tc>
        <w:tc>
          <w:tcPr>
            <w:tcW w:w="1001" w:type="pct"/>
            <w:vAlign w:val="center"/>
          </w:tcPr>
          <w:p w14:paraId="5B7626EB">
            <w:pPr>
              <w:jc w:val="center"/>
              <w:rPr>
                <w:rFonts w:ascii="Times New Roman"/>
                <w:bCs/>
                <w:sz w:val="21"/>
                <w:szCs w:val="21"/>
              </w:rPr>
            </w:pPr>
            <w:r>
              <w:rPr>
                <w:rFonts w:ascii="Times New Roman"/>
                <w:bCs/>
                <w:sz w:val="21"/>
                <w:szCs w:val="21"/>
              </w:rPr>
              <w:t>35</w:t>
            </w:r>
          </w:p>
        </w:tc>
      </w:tr>
      <w:tr w14:paraId="2D6E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424EBECE">
            <w:pPr>
              <w:jc w:val="center"/>
              <w:rPr>
                <w:rFonts w:ascii="Times New Roman"/>
                <w:bCs/>
                <w:sz w:val="21"/>
                <w:szCs w:val="21"/>
              </w:rPr>
            </w:pPr>
            <w:r>
              <w:rPr>
                <w:rFonts w:ascii="Times New Roman"/>
                <w:bCs/>
                <w:sz w:val="21"/>
                <w:szCs w:val="21"/>
              </w:rPr>
              <w:t>总氮</w:t>
            </w:r>
          </w:p>
        </w:tc>
        <w:tc>
          <w:tcPr>
            <w:tcW w:w="1695" w:type="pct"/>
            <w:vAlign w:val="center"/>
          </w:tcPr>
          <w:p w14:paraId="3080BE30">
            <w:pPr>
              <w:jc w:val="center"/>
              <w:rPr>
                <w:rFonts w:ascii="Times New Roman"/>
                <w:bCs/>
                <w:sz w:val="21"/>
                <w:szCs w:val="21"/>
              </w:rPr>
            </w:pPr>
            <w:r>
              <w:rPr>
                <w:rFonts w:ascii="Times New Roman"/>
                <w:bCs/>
                <w:sz w:val="21"/>
                <w:szCs w:val="21"/>
              </w:rPr>
              <w:t>--</w:t>
            </w:r>
          </w:p>
        </w:tc>
        <w:tc>
          <w:tcPr>
            <w:tcW w:w="1358" w:type="pct"/>
            <w:vAlign w:val="center"/>
          </w:tcPr>
          <w:p w14:paraId="03EDEEE2">
            <w:pPr>
              <w:jc w:val="center"/>
              <w:rPr>
                <w:rFonts w:ascii="Times New Roman"/>
                <w:bCs/>
                <w:sz w:val="21"/>
                <w:szCs w:val="21"/>
              </w:rPr>
            </w:pPr>
            <w:r>
              <w:rPr>
                <w:rFonts w:ascii="Times New Roman"/>
                <w:bCs/>
                <w:sz w:val="21"/>
                <w:szCs w:val="21"/>
              </w:rPr>
              <w:t>40</w:t>
            </w:r>
          </w:p>
        </w:tc>
        <w:tc>
          <w:tcPr>
            <w:tcW w:w="1001" w:type="pct"/>
            <w:vAlign w:val="center"/>
          </w:tcPr>
          <w:p w14:paraId="1A881731">
            <w:pPr>
              <w:jc w:val="center"/>
              <w:rPr>
                <w:rFonts w:ascii="Times New Roman"/>
                <w:bCs/>
                <w:sz w:val="21"/>
                <w:szCs w:val="21"/>
              </w:rPr>
            </w:pPr>
            <w:r>
              <w:rPr>
                <w:rFonts w:ascii="Times New Roman"/>
                <w:bCs/>
                <w:sz w:val="21"/>
                <w:szCs w:val="21"/>
              </w:rPr>
              <w:t>40</w:t>
            </w:r>
          </w:p>
        </w:tc>
      </w:tr>
      <w:tr w14:paraId="6D26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40761EA7">
            <w:pPr>
              <w:jc w:val="center"/>
              <w:rPr>
                <w:rFonts w:ascii="Times New Roman"/>
                <w:bCs/>
                <w:sz w:val="21"/>
                <w:szCs w:val="21"/>
              </w:rPr>
            </w:pPr>
            <w:r>
              <w:rPr>
                <w:rFonts w:ascii="Times New Roman"/>
                <w:bCs/>
                <w:sz w:val="21"/>
                <w:szCs w:val="21"/>
              </w:rPr>
              <w:t>总磷</w:t>
            </w:r>
          </w:p>
        </w:tc>
        <w:tc>
          <w:tcPr>
            <w:tcW w:w="1695" w:type="pct"/>
            <w:vAlign w:val="center"/>
          </w:tcPr>
          <w:p w14:paraId="6FE8BF65">
            <w:pPr>
              <w:jc w:val="center"/>
              <w:rPr>
                <w:rFonts w:ascii="Times New Roman"/>
                <w:bCs/>
                <w:sz w:val="21"/>
                <w:szCs w:val="21"/>
              </w:rPr>
            </w:pPr>
            <w:r>
              <w:rPr>
                <w:rFonts w:ascii="Times New Roman"/>
                <w:bCs/>
                <w:sz w:val="21"/>
                <w:szCs w:val="21"/>
              </w:rPr>
              <w:t>--</w:t>
            </w:r>
          </w:p>
        </w:tc>
        <w:tc>
          <w:tcPr>
            <w:tcW w:w="1358" w:type="pct"/>
            <w:vAlign w:val="center"/>
          </w:tcPr>
          <w:p w14:paraId="0258C8A2">
            <w:pPr>
              <w:jc w:val="center"/>
              <w:rPr>
                <w:rFonts w:ascii="Times New Roman"/>
                <w:bCs/>
                <w:sz w:val="21"/>
                <w:szCs w:val="21"/>
              </w:rPr>
            </w:pPr>
            <w:r>
              <w:rPr>
                <w:rFonts w:ascii="Times New Roman"/>
                <w:bCs/>
                <w:sz w:val="21"/>
                <w:szCs w:val="21"/>
              </w:rPr>
              <w:t>6</w:t>
            </w:r>
          </w:p>
        </w:tc>
        <w:tc>
          <w:tcPr>
            <w:tcW w:w="1001" w:type="pct"/>
            <w:vAlign w:val="center"/>
          </w:tcPr>
          <w:p w14:paraId="092158B5">
            <w:pPr>
              <w:jc w:val="center"/>
              <w:rPr>
                <w:rFonts w:ascii="Times New Roman"/>
                <w:bCs/>
                <w:sz w:val="21"/>
                <w:szCs w:val="21"/>
              </w:rPr>
            </w:pPr>
            <w:r>
              <w:rPr>
                <w:rFonts w:ascii="Times New Roman"/>
                <w:bCs/>
                <w:sz w:val="21"/>
                <w:szCs w:val="21"/>
              </w:rPr>
              <w:t>6</w:t>
            </w:r>
          </w:p>
        </w:tc>
      </w:tr>
      <w:tr w14:paraId="2B2E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40CE0051">
            <w:pPr>
              <w:jc w:val="center"/>
              <w:rPr>
                <w:rFonts w:ascii="Times New Roman"/>
                <w:bCs/>
                <w:sz w:val="21"/>
                <w:szCs w:val="21"/>
              </w:rPr>
            </w:pPr>
            <w:r>
              <w:rPr>
                <w:rFonts w:hint="eastAsia" w:ascii="Times New Roman"/>
                <w:bCs/>
                <w:sz w:val="21"/>
                <w:szCs w:val="21"/>
              </w:rPr>
              <w:t>动植物油</w:t>
            </w:r>
          </w:p>
        </w:tc>
        <w:tc>
          <w:tcPr>
            <w:tcW w:w="1695" w:type="pct"/>
            <w:vAlign w:val="center"/>
          </w:tcPr>
          <w:p w14:paraId="2F8774D8">
            <w:pPr>
              <w:jc w:val="center"/>
              <w:rPr>
                <w:rFonts w:ascii="Times New Roman"/>
                <w:bCs/>
                <w:sz w:val="21"/>
                <w:szCs w:val="21"/>
              </w:rPr>
            </w:pPr>
            <w:r>
              <w:rPr>
                <w:rFonts w:hint="eastAsia" w:ascii="Times New Roman"/>
                <w:bCs/>
                <w:sz w:val="21"/>
                <w:szCs w:val="21"/>
              </w:rPr>
              <w:t>100</w:t>
            </w:r>
          </w:p>
        </w:tc>
        <w:tc>
          <w:tcPr>
            <w:tcW w:w="1358" w:type="pct"/>
            <w:vAlign w:val="center"/>
          </w:tcPr>
          <w:p w14:paraId="72AADA7F">
            <w:pPr>
              <w:jc w:val="center"/>
              <w:rPr>
                <w:rFonts w:ascii="Times New Roman"/>
                <w:bCs/>
                <w:sz w:val="21"/>
                <w:szCs w:val="21"/>
              </w:rPr>
            </w:pPr>
            <w:r>
              <w:rPr>
                <w:rFonts w:hint="eastAsia" w:ascii="Times New Roman"/>
                <w:bCs/>
                <w:sz w:val="21"/>
                <w:szCs w:val="21"/>
              </w:rPr>
              <w:t>--</w:t>
            </w:r>
          </w:p>
        </w:tc>
        <w:tc>
          <w:tcPr>
            <w:tcW w:w="1001" w:type="pct"/>
            <w:vAlign w:val="center"/>
          </w:tcPr>
          <w:p w14:paraId="6B0497FA">
            <w:pPr>
              <w:jc w:val="center"/>
              <w:rPr>
                <w:rFonts w:ascii="Times New Roman"/>
                <w:bCs/>
                <w:sz w:val="21"/>
                <w:szCs w:val="21"/>
              </w:rPr>
            </w:pPr>
            <w:r>
              <w:rPr>
                <w:rFonts w:hint="eastAsia" w:ascii="Times New Roman"/>
                <w:bCs/>
                <w:sz w:val="21"/>
                <w:szCs w:val="21"/>
              </w:rPr>
              <w:t>100</w:t>
            </w:r>
          </w:p>
        </w:tc>
      </w:tr>
      <w:tr w14:paraId="1007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Align w:val="center"/>
          </w:tcPr>
          <w:p w14:paraId="5F32483B">
            <w:pPr>
              <w:jc w:val="center"/>
              <w:rPr>
                <w:rFonts w:ascii="Times New Roman"/>
                <w:bCs/>
                <w:sz w:val="21"/>
                <w:szCs w:val="21"/>
              </w:rPr>
            </w:pPr>
            <w:r>
              <w:rPr>
                <w:rFonts w:hint="eastAsia" w:ascii="Times New Roman"/>
                <w:bCs/>
                <w:sz w:val="21"/>
                <w:szCs w:val="21"/>
              </w:rPr>
              <w:t>石油类</w:t>
            </w:r>
          </w:p>
        </w:tc>
        <w:tc>
          <w:tcPr>
            <w:tcW w:w="1695" w:type="pct"/>
            <w:vAlign w:val="center"/>
          </w:tcPr>
          <w:p w14:paraId="6C628CA4">
            <w:pPr>
              <w:jc w:val="center"/>
              <w:rPr>
                <w:rFonts w:ascii="Times New Roman"/>
                <w:bCs/>
                <w:sz w:val="21"/>
                <w:szCs w:val="21"/>
              </w:rPr>
            </w:pPr>
            <w:r>
              <w:rPr>
                <w:rFonts w:hint="eastAsia" w:ascii="Times New Roman"/>
                <w:bCs/>
                <w:sz w:val="21"/>
                <w:szCs w:val="21"/>
              </w:rPr>
              <w:t>20</w:t>
            </w:r>
          </w:p>
        </w:tc>
        <w:tc>
          <w:tcPr>
            <w:tcW w:w="1358" w:type="pct"/>
            <w:vAlign w:val="center"/>
          </w:tcPr>
          <w:p w14:paraId="0AC9BF3A">
            <w:pPr>
              <w:jc w:val="center"/>
              <w:rPr>
                <w:rFonts w:ascii="Times New Roman"/>
                <w:bCs/>
                <w:sz w:val="21"/>
                <w:szCs w:val="21"/>
              </w:rPr>
            </w:pPr>
            <w:r>
              <w:rPr>
                <w:rFonts w:hint="eastAsia" w:ascii="Times New Roman"/>
                <w:bCs/>
                <w:sz w:val="21"/>
                <w:szCs w:val="21"/>
              </w:rPr>
              <w:t>--</w:t>
            </w:r>
          </w:p>
        </w:tc>
        <w:tc>
          <w:tcPr>
            <w:tcW w:w="1001" w:type="pct"/>
            <w:vAlign w:val="center"/>
          </w:tcPr>
          <w:p w14:paraId="10807548">
            <w:pPr>
              <w:jc w:val="center"/>
              <w:rPr>
                <w:rFonts w:ascii="Times New Roman"/>
                <w:bCs/>
                <w:sz w:val="21"/>
                <w:szCs w:val="21"/>
              </w:rPr>
            </w:pPr>
            <w:r>
              <w:rPr>
                <w:rFonts w:hint="eastAsia" w:ascii="Times New Roman"/>
                <w:bCs/>
                <w:sz w:val="21"/>
                <w:szCs w:val="21"/>
              </w:rPr>
              <w:t>20</w:t>
            </w:r>
          </w:p>
        </w:tc>
      </w:tr>
    </w:tbl>
    <w:p w14:paraId="0503671F">
      <w:pPr>
        <w:spacing w:line="480" w:lineRule="exact"/>
        <w:ind w:firstLine="480" w:firstLineChars="200"/>
        <w:rPr>
          <w:rFonts w:ascii="Times New Roman"/>
          <w:sz w:val="24"/>
          <w:szCs w:val="24"/>
        </w:rPr>
      </w:pPr>
      <w:r>
        <w:rPr>
          <w:rFonts w:hint="eastAsia" w:ascii="Times New Roman"/>
          <w:sz w:val="24"/>
          <w:szCs w:val="24"/>
        </w:rPr>
        <w:t>3）</w:t>
      </w:r>
      <w:r>
        <w:rPr>
          <w:rFonts w:ascii="Times New Roman"/>
          <w:sz w:val="24"/>
          <w:szCs w:val="24"/>
        </w:rPr>
        <w:t>噪声：</w:t>
      </w:r>
    </w:p>
    <w:p w14:paraId="07C20C20">
      <w:pPr>
        <w:spacing w:line="480" w:lineRule="exact"/>
        <w:ind w:firstLine="480" w:firstLineChars="200"/>
        <w:rPr>
          <w:rFonts w:ascii="Times New Roman"/>
          <w:sz w:val="24"/>
          <w:szCs w:val="24"/>
        </w:rPr>
      </w:pPr>
      <w:r>
        <w:rPr>
          <w:rFonts w:hint="eastAsia" w:ascii="Times New Roman"/>
          <w:sz w:val="24"/>
          <w:szCs w:val="24"/>
        </w:rPr>
        <w:t>①</w:t>
      </w:r>
      <w:r>
        <w:rPr>
          <w:rFonts w:ascii="Times New Roman"/>
          <w:sz w:val="24"/>
          <w:szCs w:val="24"/>
        </w:rPr>
        <w:t>施工期：噪声执行《建筑施工场界环境噪声排放标准》（GB12523-2011）中标准限值。</w:t>
      </w:r>
    </w:p>
    <w:p w14:paraId="4DA8D915">
      <w:pPr>
        <w:spacing w:line="360" w:lineRule="auto"/>
        <w:jc w:val="center"/>
        <w:rPr>
          <w:rFonts w:ascii="Times New Roman"/>
          <w:b/>
          <w:sz w:val="24"/>
          <w:szCs w:val="24"/>
        </w:rPr>
      </w:pPr>
      <w:r>
        <w:rPr>
          <w:rFonts w:ascii="Times New Roman"/>
          <w:b/>
          <w:sz w:val="24"/>
          <w:szCs w:val="24"/>
        </w:rPr>
        <w:t>表2.7-</w:t>
      </w:r>
      <w:r>
        <w:rPr>
          <w:rFonts w:hint="eastAsia" w:ascii="Times New Roman"/>
          <w:b/>
          <w:sz w:val="24"/>
          <w:szCs w:val="24"/>
        </w:rPr>
        <w:t>8</w:t>
      </w:r>
      <w:r>
        <w:rPr>
          <w:rFonts w:ascii="Times New Roman"/>
          <w:b/>
          <w:sz w:val="24"/>
          <w:szCs w:val="24"/>
        </w:rPr>
        <w:t xml:space="preserve"> 建筑施工厂界环境噪声排放限值</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2228"/>
        <w:gridCol w:w="4208"/>
      </w:tblGrid>
      <w:tr w14:paraId="73D6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31" w:type="pct"/>
            <w:gridSpan w:val="2"/>
            <w:vAlign w:val="center"/>
          </w:tcPr>
          <w:p w14:paraId="476BEEA9">
            <w:pPr>
              <w:jc w:val="center"/>
              <w:rPr>
                <w:rFonts w:ascii="Times New Roman"/>
                <w:sz w:val="21"/>
                <w:szCs w:val="21"/>
              </w:rPr>
            </w:pPr>
            <w:r>
              <w:rPr>
                <w:rFonts w:ascii="Times New Roman"/>
                <w:sz w:val="21"/>
                <w:szCs w:val="21"/>
              </w:rPr>
              <w:t>噪声限值dB（A）</w:t>
            </w:r>
          </w:p>
        </w:tc>
        <w:tc>
          <w:tcPr>
            <w:tcW w:w="2469" w:type="pct"/>
            <w:vMerge w:val="restart"/>
            <w:vAlign w:val="center"/>
          </w:tcPr>
          <w:p w14:paraId="0F2EE6CA">
            <w:pPr>
              <w:jc w:val="center"/>
              <w:rPr>
                <w:rFonts w:ascii="Times New Roman"/>
                <w:sz w:val="21"/>
                <w:szCs w:val="21"/>
              </w:rPr>
            </w:pPr>
            <w:r>
              <w:rPr>
                <w:rFonts w:ascii="Times New Roman"/>
                <w:sz w:val="21"/>
                <w:szCs w:val="21"/>
              </w:rPr>
              <w:t>标准来源</w:t>
            </w:r>
          </w:p>
        </w:tc>
      </w:tr>
      <w:tr w14:paraId="5CE4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pct"/>
            <w:vAlign w:val="center"/>
          </w:tcPr>
          <w:p w14:paraId="1BF0DA4A">
            <w:pPr>
              <w:jc w:val="center"/>
              <w:rPr>
                <w:rFonts w:ascii="Times New Roman"/>
                <w:sz w:val="21"/>
                <w:szCs w:val="21"/>
              </w:rPr>
            </w:pPr>
            <w:r>
              <w:rPr>
                <w:rFonts w:ascii="Times New Roman"/>
                <w:sz w:val="21"/>
                <w:szCs w:val="21"/>
              </w:rPr>
              <w:t>昼间</w:t>
            </w:r>
          </w:p>
        </w:tc>
        <w:tc>
          <w:tcPr>
            <w:tcW w:w="1307" w:type="pct"/>
            <w:vAlign w:val="center"/>
          </w:tcPr>
          <w:p w14:paraId="09F6F50C">
            <w:pPr>
              <w:jc w:val="center"/>
              <w:rPr>
                <w:rFonts w:ascii="Times New Roman"/>
                <w:sz w:val="21"/>
                <w:szCs w:val="21"/>
              </w:rPr>
            </w:pPr>
            <w:r>
              <w:rPr>
                <w:rFonts w:ascii="Times New Roman"/>
                <w:sz w:val="21"/>
                <w:szCs w:val="21"/>
              </w:rPr>
              <w:t>夜间</w:t>
            </w:r>
          </w:p>
        </w:tc>
        <w:tc>
          <w:tcPr>
            <w:tcW w:w="2469" w:type="pct"/>
            <w:vMerge w:val="continue"/>
            <w:vAlign w:val="center"/>
          </w:tcPr>
          <w:p w14:paraId="604186FA">
            <w:pPr>
              <w:rPr>
                <w:rFonts w:ascii="Times New Roman"/>
                <w:sz w:val="21"/>
                <w:szCs w:val="21"/>
              </w:rPr>
            </w:pPr>
          </w:p>
        </w:tc>
      </w:tr>
      <w:tr w14:paraId="4E74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4" w:type="pct"/>
            <w:vAlign w:val="center"/>
          </w:tcPr>
          <w:p w14:paraId="025F6F61">
            <w:pPr>
              <w:jc w:val="center"/>
              <w:rPr>
                <w:rFonts w:ascii="Times New Roman"/>
                <w:sz w:val="21"/>
                <w:szCs w:val="21"/>
              </w:rPr>
            </w:pPr>
            <w:r>
              <w:rPr>
                <w:rFonts w:ascii="Times New Roman"/>
                <w:sz w:val="21"/>
                <w:szCs w:val="21"/>
              </w:rPr>
              <w:t>70</w:t>
            </w:r>
          </w:p>
        </w:tc>
        <w:tc>
          <w:tcPr>
            <w:tcW w:w="1307" w:type="pct"/>
            <w:vAlign w:val="center"/>
          </w:tcPr>
          <w:p w14:paraId="062771B0">
            <w:pPr>
              <w:jc w:val="center"/>
              <w:rPr>
                <w:rFonts w:ascii="Times New Roman"/>
                <w:sz w:val="21"/>
                <w:szCs w:val="21"/>
              </w:rPr>
            </w:pPr>
            <w:r>
              <w:rPr>
                <w:rFonts w:ascii="Times New Roman"/>
                <w:sz w:val="21"/>
                <w:szCs w:val="21"/>
              </w:rPr>
              <w:t>55</w:t>
            </w:r>
          </w:p>
        </w:tc>
        <w:tc>
          <w:tcPr>
            <w:tcW w:w="2469" w:type="pct"/>
            <w:vAlign w:val="center"/>
          </w:tcPr>
          <w:p w14:paraId="44CD5268">
            <w:pPr>
              <w:jc w:val="center"/>
              <w:rPr>
                <w:rFonts w:ascii="Times New Roman"/>
                <w:sz w:val="21"/>
                <w:szCs w:val="21"/>
              </w:rPr>
            </w:pPr>
            <w:r>
              <w:rPr>
                <w:rFonts w:ascii="Times New Roman"/>
                <w:sz w:val="21"/>
                <w:szCs w:val="21"/>
              </w:rPr>
              <w:t>《建筑施工场界环境噪声排放标准》（GB12523-2011）表1标准</w:t>
            </w:r>
          </w:p>
        </w:tc>
      </w:tr>
    </w:tbl>
    <w:p w14:paraId="470BECF6">
      <w:pPr>
        <w:spacing w:line="480" w:lineRule="exact"/>
        <w:ind w:firstLine="480" w:firstLineChars="200"/>
        <w:rPr>
          <w:rFonts w:ascii="Times New Roman"/>
          <w:sz w:val="24"/>
          <w:szCs w:val="24"/>
        </w:rPr>
      </w:pPr>
      <w:r>
        <w:rPr>
          <w:rFonts w:hint="eastAsia" w:ascii="Times New Roman"/>
          <w:sz w:val="24"/>
          <w:szCs w:val="24"/>
        </w:rPr>
        <w:t>②</w:t>
      </w:r>
      <w:r>
        <w:rPr>
          <w:rFonts w:ascii="Times New Roman"/>
          <w:sz w:val="24"/>
          <w:szCs w:val="24"/>
        </w:rPr>
        <w:t>运营期：</w:t>
      </w:r>
      <w:r>
        <w:rPr>
          <w:rFonts w:hint="eastAsia" w:ascii="Times New Roman"/>
          <w:sz w:val="24"/>
          <w:szCs w:val="24"/>
        </w:rPr>
        <w:t>东、西、北</w:t>
      </w:r>
      <w:r>
        <w:rPr>
          <w:rFonts w:ascii="Times New Roman"/>
          <w:sz w:val="24"/>
          <w:szCs w:val="24"/>
        </w:rPr>
        <w:t>厂界噪声执行《工业企业厂界环境噪声排放标准》（GB12348-2008）表中的3类标准</w:t>
      </w:r>
      <w:r>
        <w:rPr>
          <w:rFonts w:hint="eastAsia" w:ascii="Times New Roman"/>
          <w:sz w:val="24"/>
          <w:szCs w:val="24"/>
        </w:rPr>
        <w:t>；南厂界执行</w:t>
      </w:r>
      <w:r>
        <w:rPr>
          <w:rFonts w:ascii="Times New Roman"/>
          <w:sz w:val="24"/>
          <w:szCs w:val="24"/>
        </w:rPr>
        <w:t>《工业企业厂界环境噪声排放标准》（GB12348-2008）表中的</w:t>
      </w:r>
      <w:r>
        <w:rPr>
          <w:rFonts w:hint="eastAsia" w:ascii="Times New Roman"/>
          <w:sz w:val="24"/>
          <w:szCs w:val="24"/>
        </w:rPr>
        <w:t>4</w:t>
      </w:r>
      <w:r>
        <w:rPr>
          <w:rFonts w:ascii="Times New Roman"/>
          <w:sz w:val="24"/>
          <w:szCs w:val="24"/>
        </w:rPr>
        <w:t>类标准。</w:t>
      </w:r>
    </w:p>
    <w:p w14:paraId="0C32B2C2">
      <w:pPr>
        <w:spacing w:line="360" w:lineRule="auto"/>
        <w:jc w:val="center"/>
        <w:rPr>
          <w:rFonts w:ascii="Times New Roman"/>
          <w:b/>
          <w:sz w:val="24"/>
          <w:szCs w:val="24"/>
        </w:rPr>
      </w:pPr>
      <w:r>
        <w:rPr>
          <w:rFonts w:ascii="Times New Roman"/>
          <w:b/>
          <w:sz w:val="24"/>
          <w:szCs w:val="24"/>
        </w:rPr>
        <w:t>表2.7-</w:t>
      </w:r>
      <w:r>
        <w:rPr>
          <w:rFonts w:hint="eastAsia" w:ascii="Times New Roman"/>
          <w:b/>
          <w:sz w:val="24"/>
          <w:szCs w:val="24"/>
        </w:rPr>
        <w:t>9</w:t>
      </w:r>
      <w:r>
        <w:rPr>
          <w:rFonts w:ascii="Times New Roman"/>
          <w:b/>
          <w:sz w:val="24"/>
          <w:szCs w:val="24"/>
        </w:rPr>
        <w:t xml:space="preserve">  工业企业噪声限值一览表</w:t>
      </w:r>
    </w:p>
    <w:tbl>
      <w:tblPr>
        <w:tblStyle w:val="84"/>
        <w:tblW w:w="5000"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6" w:space="0"/>
        </w:tblBorders>
        <w:tblLayout w:type="autofit"/>
        <w:tblCellMar>
          <w:top w:w="0" w:type="dxa"/>
          <w:left w:w="108" w:type="dxa"/>
          <w:bottom w:w="0" w:type="dxa"/>
          <w:right w:w="108" w:type="dxa"/>
        </w:tblCellMar>
      </w:tblPr>
      <w:tblGrid>
        <w:gridCol w:w="897"/>
        <w:gridCol w:w="1289"/>
        <w:gridCol w:w="1716"/>
        <w:gridCol w:w="1404"/>
        <w:gridCol w:w="3216"/>
      </w:tblGrid>
      <w:tr w14:paraId="0501ED15">
        <w:tblPrEx>
          <w:tblBorders>
            <w:top w:val="single" w:color="auto" w:sz="6" w:space="0"/>
            <w:left w:val="single" w:color="auto" w:sz="6" w:space="0"/>
            <w:bottom w:val="single" w:color="auto" w:sz="6" w:space="0"/>
            <w:right w:val="single" w:color="auto" w:sz="6" w:space="0"/>
            <w:insideH w:val="single" w:color="auto" w:sz="2" w:space="0"/>
            <w:insideV w:val="single" w:color="auto" w:sz="6" w:space="0"/>
          </w:tblBorders>
          <w:tblCellMar>
            <w:top w:w="0" w:type="dxa"/>
            <w:left w:w="108" w:type="dxa"/>
            <w:bottom w:w="0" w:type="dxa"/>
            <w:right w:w="108" w:type="dxa"/>
          </w:tblCellMar>
        </w:tblPrEx>
        <w:trPr>
          <w:trHeight w:val="340" w:hRule="atLeast"/>
          <w:jc w:val="center"/>
        </w:trPr>
        <w:tc>
          <w:tcPr>
            <w:tcW w:w="526" w:type="pct"/>
            <w:vAlign w:val="center"/>
          </w:tcPr>
          <w:p w14:paraId="5D9CE647">
            <w:pPr>
              <w:jc w:val="center"/>
              <w:rPr>
                <w:rFonts w:ascii="Times New Roman"/>
                <w:sz w:val="21"/>
                <w:szCs w:val="21"/>
              </w:rPr>
            </w:pPr>
            <w:r>
              <w:rPr>
                <w:rFonts w:ascii="Times New Roman"/>
                <w:sz w:val="21"/>
                <w:szCs w:val="21"/>
              </w:rPr>
              <w:t>类别</w:t>
            </w:r>
          </w:p>
        </w:tc>
        <w:tc>
          <w:tcPr>
            <w:tcW w:w="756" w:type="pct"/>
            <w:vAlign w:val="center"/>
          </w:tcPr>
          <w:p w14:paraId="56F68A6B">
            <w:pPr>
              <w:ind w:left="107" w:hanging="107" w:hangingChars="51"/>
              <w:jc w:val="center"/>
              <w:rPr>
                <w:rFonts w:ascii="Times New Roman"/>
                <w:sz w:val="21"/>
                <w:szCs w:val="21"/>
              </w:rPr>
            </w:pPr>
            <w:r>
              <w:rPr>
                <w:rFonts w:ascii="Times New Roman"/>
                <w:sz w:val="21"/>
                <w:szCs w:val="21"/>
              </w:rPr>
              <w:t>项目</w:t>
            </w:r>
          </w:p>
        </w:tc>
        <w:tc>
          <w:tcPr>
            <w:tcW w:w="1006" w:type="pct"/>
            <w:vAlign w:val="center"/>
          </w:tcPr>
          <w:p w14:paraId="68EBD3CC">
            <w:pPr>
              <w:jc w:val="center"/>
              <w:rPr>
                <w:rFonts w:ascii="Times New Roman"/>
                <w:sz w:val="21"/>
                <w:szCs w:val="21"/>
              </w:rPr>
            </w:pPr>
            <w:r>
              <w:rPr>
                <w:rFonts w:ascii="Times New Roman"/>
                <w:sz w:val="21"/>
                <w:szCs w:val="21"/>
              </w:rPr>
              <w:t>标准值</w:t>
            </w:r>
          </w:p>
        </w:tc>
        <w:tc>
          <w:tcPr>
            <w:tcW w:w="823" w:type="pct"/>
            <w:vAlign w:val="center"/>
          </w:tcPr>
          <w:p w14:paraId="5D0602C3">
            <w:pPr>
              <w:jc w:val="center"/>
              <w:rPr>
                <w:rFonts w:ascii="Times New Roman"/>
                <w:sz w:val="21"/>
                <w:szCs w:val="21"/>
              </w:rPr>
            </w:pPr>
            <w:r>
              <w:rPr>
                <w:rFonts w:ascii="Times New Roman"/>
                <w:sz w:val="21"/>
                <w:szCs w:val="21"/>
              </w:rPr>
              <w:t>单位</w:t>
            </w:r>
          </w:p>
        </w:tc>
        <w:tc>
          <w:tcPr>
            <w:tcW w:w="1886" w:type="pct"/>
            <w:vAlign w:val="center"/>
          </w:tcPr>
          <w:p w14:paraId="592EDC24">
            <w:pPr>
              <w:jc w:val="center"/>
              <w:rPr>
                <w:rFonts w:ascii="Times New Roman"/>
                <w:sz w:val="21"/>
                <w:szCs w:val="21"/>
              </w:rPr>
            </w:pPr>
            <w:r>
              <w:rPr>
                <w:rFonts w:ascii="Times New Roman"/>
                <w:sz w:val="21"/>
                <w:szCs w:val="21"/>
              </w:rPr>
              <w:t>标准来源</w:t>
            </w:r>
          </w:p>
        </w:tc>
      </w:tr>
      <w:tr w14:paraId="6F21B97B">
        <w:tblPrEx>
          <w:tblBorders>
            <w:top w:val="single" w:color="auto" w:sz="6" w:space="0"/>
            <w:left w:val="single" w:color="auto" w:sz="6" w:space="0"/>
            <w:bottom w:val="single" w:color="auto" w:sz="6" w:space="0"/>
            <w:right w:val="single" w:color="auto" w:sz="6" w:space="0"/>
            <w:insideH w:val="single" w:color="auto" w:sz="2" w:space="0"/>
            <w:insideV w:val="single" w:color="auto" w:sz="6" w:space="0"/>
          </w:tblBorders>
          <w:tblCellMar>
            <w:top w:w="0" w:type="dxa"/>
            <w:left w:w="108" w:type="dxa"/>
            <w:bottom w:w="0" w:type="dxa"/>
            <w:right w:w="108" w:type="dxa"/>
          </w:tblCellMar>
        </w:tblPrEx>
        <w:trPr>
          <w:trHeight w:val="619" w:hRule="atLeast"/>
          <w:jc w:val="center"/>
        </w:trPr>
        <w:tc>
          <w:tcPr>
            <w:tcW w:w="526" w:type="pct"/>
            <w:vAlign w:val="center"/>
          </w:tcPr>
          <w:p w14:paraId="5CEB1196">
            <w:pPr>
              <w:jc w:val="center"/>
              <w:rPr>
                <w:rFonts w:ascii="Times New Roman"/>
                <w:sz w:val="21"/>
                <w:szCs w:val="21"/>
              </w:rPr>
            </w:pPr>
            <w:r>
              <w:rPr>
                <w:rFonts w:hint="eastAsia" w:ascii="Times New Roman"/>
                <w:sz w:val="21"/>
                <w:szCs w:val="21"/>
              </w:rPr>
              <w:t>东、西北厂界</w:t>
            </w:r>
            <w:r>
              <w:rPr>
                <w:rFonts w:ascii="Times New Roman"/>
                <w:sz w:val="21"/>
                <w:szCs w:val="21"/>
              </w:rPr>
              <w:t>噪声</w:t>
            </w:r>
          </w:p>
        </w:tc>
        <w:tc>
          <w:tcPr>
            <w:tcW w:w="756" w:type="pct"/>
            <w:vMerge w:val="restart"/>
            <w:vAlign w:val="center"/>
          </w:tcPr>
          <w:p w14:paraId="3235BC79">
            <w:pPr>
              <w:ind w:left="107" w:hanging="107" w:hangingChars="51"/>
              <w:jc w:val="center"/>
              <w:rPr>
                <w:rFonts w:ascii="Times New Roman"/>
                <w:sz w:val="21"/>
                <w:szCs w:val="21"/>
              </w:rPr>
            </w:pPr>
            <w:r>
              <w:rPr>
                <w:rFonts w:ascii="Times New Roman"/>
                <w:sz w:val="21"/>
                <w:szCs w:val="21"/>
              </w:rPr>
              <w:t>等效A声级</w:t>
            </w:r>
          </w:p>
        </w:tc>
        <w:tc>
          <w:tcPr>
            <w:tcW w:w="1006" w:type="pct"/>
            <w:vAlign w:val="center"/>
          </w:tcPr>
          <w:p w14:paraId="2CBEA2FD">
            <w:pPr>
              <w:jc w:val="center"/>
              <w:rPr>
                <w:rFonts w:ascii="Times New Roman"/>
                <w:sz w:val="21"/>
                <w:szCs w:val="21"/>
              </w:rPr>
            </w:pPr>
            <w:r>
              <w:rPr>
                <w:rFonts w:ascii="Times New Roman"/>
                <w:sz w:val="21"/>
                <w:szCs w:val="21"/>
              </w:rPr>
              <w:t>昼间≤65</w:t>
            </w:r>
          </w:p>
          <w:p w14:paraId="31BCED56">
            <w:pPr>
              <w:jc w:val="center"/>
              <w:rPr>
                <w:rFonts w:ascii="Times New Roman"/>
                <w:sz w:val="21"/>
                <w:szCs w:val="21"/>
              </w:rPr>
            </w:pPr>
            <w:r>
              <w:rPr>
                <w:rFonts w:ascii="Times New Roman"/>
                <w:sz w:val="21"/>
                <w:szCs w:val="21"/>
              </w:rPr>
              <w:t>夜间≤55</w:t>
            </w:r>
          </w:p>
        </w:tc>
        <w:tc>
          <w:tcPr>
            <w:tcW w:w="823" w:type="pct"/>
            <w:vAlign w:val="center"/>
          </w:tcPr>
          <w:p w14:paraId="0FC3D5F7">
            <w:pPr>
              <w:jc w:val="center"/>
              <w:rPr>
                <w:rFonts w:ascii="Times New Roman"/>
                <w:sz w:val="21"/>
                <w:szCs w:val="21"/>
              </w:rPr>
            </w:pPr>
            <w:r>
              <w:rPr>
                <w:rFonts w:ascii="Times New Roman"/>
                <w:sz w:val="21"/>
                <w:szCs w:val="21"/>
              </w:rPr>
              <w:t>dB（A）</w:t>
            </w:r>
          </w:p>
        </w:tc>
        <w:tc>
          <w:tcPr>
            <w:tcW w:w="1886" w:type="pct"/>
            <w:vAlign w:val="center"/>
          </w:tcPr>
          <w:p w14:paraId="30D93828">
            <w:pPr>
              <w:jc w:val="center"/>
              <w:rPr>
                <w:rFonts w:ascii="Times New Roman"/>
                <w:sz w:val="21"/>
                <w:szCs w:val="21"/>
              </w:rPr>
            </w:pPr>
            <w:r>
              <w:rPr>
                <w:rFonts w:ascii="Times New Roman"/>
                <w:sz w:val="21"/>
                <w:szCs w:val="21"/>
              </w:rPr>
              <w:t>《工业企业厂界环境噪声排放标准》(GB12348-2008)3类标准</w:t>
            </w:r>
          </w:p>
        </w:tc>
      </w:tr>
      <w:tr w14:paraId="64D82F25">
        <w:tblPrEx>
          <w:tblBorders>
            <w:top w:val="single" w:color="auto" w:sz="6" w:space="0"/>
            <w:left w:val="single" w:color="auto" w:sz="6" w:space="0"/>
            <w:bottom w:val="single" w:color="auto" w:sz="6" w:space="0"/>
            <w:right w:val="single" w:color="auto" w:sz="6" w:space="0"/>
            <w:insideH w:val="single" w:color="auto" w:sz="2" w:space="0"/>
            <w:insideV w:val="single" w:color="auto" w:sz="6" w:space="0"/>
          </w:tblBorders>
          <w:tblCellMar>
            <w:top w:w="0" w:type="dxa"/>
            <w:left w:w="108" w:type="dxa"/>
            <w:bottom w:w="0" w:type="dxa"/>
            <w:right w:w="108" w:type="dxa"/>
          </w:tblCellMar>
        </w:tblPrEx>
        <w:trPr>
          <w:trHeight w:val="619" w:hRule="atLeast"/>
          <w:jc w:val="center"/>
        </w:trPr>
        <w:tc>
          <w:tcPr>
            <w:tcW w:w="526" w:type="pct"/>
            <w:vAlign w:val="center"/>
          </w:tcPr>
          <w:p w14:paraId="7C14DB07">
            <w:pPr>
              <w:jc w:val="center"/>
              <w:rPr>
                <w:rFonts w:ascii="Times New Roman"/>
                <w:sz w:val="21"/>
                <w:szCs w:val="21"/>
              </w:rPr>
            </w:pPr>
            <w:r>
              <w:rPr>
                <w:rFonts w:hint="eastAsia" w:ascii="Times New Roman"/>
                <w:sz w:val="21"/>
                <w:szCs w:val="21"/>
              </w:rPr>
              <w:t>南厂界</w:t>
            </w:r>
            <w:r>
              <w:rPr>
                <w:rFonts w:ascii="Times New Roman"/>
                <w:sz w:val="21"/>
                <w:szCs w:val="21"/>
              </w:rPr>
              <w:t>噪声</w:t>
            </w:r>
          </w:p>
        </w:tc>
        <w:tc>
          <w:tcPr>
            <w:tcW w:w="756" w:type="pct"/>
            <w:vMerge w:val="continue"/>
            <w:vAlign w:val="center"/>
          </w:tcPr>
          <w:p w14:paraId="27B6E71B">
            <w:pPr>
              <w:ind w:left="107" w:hanging="107" w:hangingChars="51"/>
              <w:jc w:val="center"/>
              <w:rPr>
                <w:rFonts w:ascii="Times New Roman"/>
                <w:sz w:val="21"/>
                <w:szCs w:val="21"/>
              </w:rPr>
            </w:pPr>
          </w:p>
        </w:tc>
        <w:tc>
          <w:tcPr>
            <w:tcW w:w="1006" w:type="pct"/>
            <w:vAlign w:val="center"/>
          </w:tcPr>
          <w:p w14:paraId="590ED6F7">
            <w:pPr>
              <w:jc w:val="center"/>
              <w:rPr>
                <w:rFonts w:ascii="Times New Roman"/>
                <w:sz w:val="21"/>
                <w:szCs w:val="21"/>
              </w:rPr>
            </w:pPr>
            <w:r>
              <w:rPr>
                <w:rFonts w:ascii="Times New Roman"/>
                <w:sz w:val="21"/>
                <w:szCs w:val="21"/>
              </w:rPr>
              <w:t>昼间≤</w:t>
            </w:r>
            <w:r>
              <w:rPr>
                <w:rFonts w:hint="eastAsia" w:ascii="Times New Roman"/>
                <w:sz w:val="21"/>
                <w:szCs w:val="21"/>
              </w:rPr>
              <w:t>70</w:t>
            </w:r>
          </w:p>
          <w:p w14:paraId="133E847C">
            <w:pPr>
              <w:jc w:val="center"/>
              <w:rPr>
                <w:rFonts w:ascii="Times New Roman"/>
                <w:sz w:val="21"/>
                <w:szCs w:val="21"/>
              </w:rPr>
            </w:pPr>
            <w:r>
              <w:rPr>
                <w:rFonts w:ascii="Times New Roman"/>
                <w:sz w:val="21"/>
                <w:szCs w:val="21"/>
              </w:rPr>
              <w:t>夜间≤55</w:t>
            </w:r>
          </w:p>
        </w:tc>
        <w:tc>
          <w:tcPr>
            <w:tcW w:w="823" w:type="pct"/>
            <w:vAlign w:val="center"/>
          </w:tcPr>
          <w:p w14:paraId="061A766D">
            <w:pPr>
              <w:jc w:val="center"/>
              <w:rPr>
                <w:rFonts w:ascii="Times New Roman"/>
                <w:sz w:val="21"/>
                <w:szCs w:val="21"/>
              </w:rPr>
            </w:pPr>
            <w:r>
              <w:rPr>
                <w:rFonts w:ascii="Times New Roman"/>
                <w:sz w:val="21"/>
                <w:szCs w:val="21"/>
              </w:rPr>
              <w:t>dB（A）</w:t>
            </w:r>
          </w:p>
        </w:tc>
        <w:tc>
          <w:tcPr>
            <w:tcW w:w="1886" w:type="pct"/>
            <w:vAlign w:val="center"/>
          </w:tcPr>
          <w:p w14:paraId="44524B17">
            <w:pPr>
              <w:jc w:val="center"/>
              <w:rPr>
                <w:rFonts w:ascii="Times New Roman"/>
                <w:sz w:val="21"/>
                <w:szCs w:val="21"/>
              </w:rPr>
            </w:pPr>
            <w:r>
              <w:rPr>
                <w:rFonts w:ascii="Times New Roman"/>
                <w:sz w:val="21"/>
                <w:szCs w:val="21"/>
              </w:rPr>
              <w:t>《工业企业厂界环境噪声排放标准》(GB12348-2008)</w:t>
            </w:r>
            <w:r>
              <w:rPr>
                <w:rFonts w:hint="eastAsia" w:ascii="Times New Roman"/>
                <w:sz w:val="21"/>
                <w:szCs w:val="21"/>
              </w:rPr>
              <w:t>4</w:t>
            </w:r>
            <w:r>
              <w:rPr>
                <w:rFonts w:ascii="Times New Roman"/>
                <w:sz w:val="21"/>
                <w:szCs w:val="21"/>
              </w:rPr>
              <w:t>类标准</w:t>
            </w:r>
          </w:p>
        </w:tc>
      </w:tr>
    </w:tbl>
    <w:p w14:paraId="7A6C4FF1">
      <w:pPr>
        <w:spacing w:line="480" w:lineRule="exact"/>
        <w:ind w:firstLine="480" w:firstLineChars="200"/>
        <w:rPr>
          <w:rFonts w:ascii="Times New Roman"/>
          <w:sz w:val="24"/>
          <w:szCs w:val="24"/>
        </w:rPr>
      </w:pPr>
      <w:r>
        <w:rPr>
          <w:rFonts w:hint="eastAsia" w:ascii="Times New Roman"/>
          <w:sz w:val="24"/>
          <w:szCs w:val="24"/>
        </w:rPr>
        <w:t>4）</w:t>
      </w:r>
      <w:r>
        <w:rPr>
          <w:rFonts w:ascii="Times New Roman"/>
          <w:sz w:val="24"/>
          <w:szCs w:val="24"/>
        </w:rPr>
        <w:t>固体废物：</w:t>
      </w:r>
    </w:p>
    <w:p w14:paraId="7EB56BBE">
      <w:pPr>
        <w:spacing w:line="480" w:lineRule="exact"/>
        <w:ind w:firstLine="480" w:firstLineChars="200"/>
        <w:rPr>
          <w:rFonts w:ascii="Times New Roman"/>
          <w:sz w:val="24"/>
          <w:szCs w:val="24"/>
        </w:rPr>
      </w:pPr>
      <w:r>
        <w:rPr>
          <w:rFonts w:hint="eastAsia" w:ascii="Times New Roman"/>
          <w:sz w:val="24"/>
          <w:szCs w:val="24"/>
        </w:rPr>
        <w:t>一般固体废物参照执行《一般工业固体废物贮存和填埋污染控制标准》（GB18599-2020）中采用库房、包装工具贮存应满足的环境保护要求（防渗漏、防雨淋、防扬尘）；危险废物执行《危险废物贮存污染控制标准》（GB18597-2023）相关要求；生活垃圾执行《中华人民共和国固体废物污染环境防治法》（2020年4月29日修正版）“生活垃圾污染环境的防治”中规定</w:t>
      </w:r>
      <w:r>
        <w:rPr>
          <w:rFonts w:ascii="Times New Roman"/>
          <w:sz w:val="24"/>
          <w:szCs w:val="24"/>
        </w:rPr>
        <w:t>。</w:t>
      </w:r>
    </w:p>
    <w:p w14:paraId="3FBB8873">
      <w:pPr>
        <w:spacing w:line="480" w:lineRule="exact"/>
        <w:outlineLvl w:val="2"/>
        <w:rPr>
          <w:rFonts w:ascii="Times New Roman"/>
          <w:b/>
          <w:sz w:val="28"/>
          <w:szCs w:val="28"/>
        </w:rPr>
      </w:pPr>
      <w:r>
        <w:rPr>
          <w:rFonts w:ascii="Times New Roman"/>
          <w:b/>
          <w:sz w:val="28"/>
          <w:szCs w:val="28"/>
        </w:rPr>
        <w:t>2.7.2环境保护目标</w:t>
      </w:r>
    </w:p>
    <w:p w14:paraId="3C4F9A51">
      <w:pPr>
        <w:spacing w:line="360" w:lineRule="auto"/>
        <w:ind w:firstLine="480" w:firstLineChars="200"/>
        <w:rPr>
          <w:rFonts w:ascii="Times New Roman"/>
          <w:sz w:val="24"/>
          <w:szCs w:val="24"/>
        </w:rPr>
      </w:pPr>
      <w:r>
        <w:rPr>
          <w:rFonts w:ascii="Times New Roman"/>
          <w:sz w:val="24"/>
          <w:szCs w:val="24"/>
        </w:rPr>
        <w:t>经现场踏勘，项目评价区域附近无重点文物、自然保护区、珍稀动植物资源等重点保护目标；根据项目性质及周围环境特征，将评价区域内无大气环境保护目标；声环境评价范围内无医院、学校、机关、科研单位、住宅等声环境敏感目标，主要考虑厂界处声环境质量；评价范围内潜水作为地下水保护目标；环境风险评价区域内的居民点等作为环境风险保护目标；</w:t>
      </w:r>
      <w:r>
        <w:rPr>
          <w:rFonts w:ascii="Times New Roman"/>
          <w:kern w:val="0"/>
          <w:sz w:val="24"/>
          <w:szCs w:val="24"/>
        </w:rPr>
        <w:t>土壤评价范围内无耕地、村庄等土壤环境敏感目标</w:t>
      </w:r>
      <w:r>
        <w:rPr>
          <w:rFonts w:ascii="Times New Roman"/>
          <w:sz w:val="24"/>
          <w:szCs w:val="24"/>
        </w:rPr>
        <w:t>。环境保护对象及其保护见</w:t>
      </w:r>
      <w:r>
        <w:rPr>
          <w:rFonts w:ascii="Times New Roman"/>
          <w:sz w:val="24"/>
        </w:rPr>
        <w:t>表2.7</w:t>
      </w:r>
      <w:r>
        <w:rPr>
          <w:rFonts w:ascii="Times New Roman"/>
          <w:sz w:val="24"/>
        </w:rPr>
        <w:noBreakHyphen/>
      </w:r>
      <w:r>
        <w:rPr>
          <w:rFonts w:ascii="Times New Roman"/>
          <w:sz w:val="24"/>
        </w:rPr>
        <w:t>1</w:t>
      </w:r>
      <w:r>
        <w:rPr>
          <w:rFonts w:ascii="Times New Roman"/>
          <w:sz w:val="24"/>
          <w:szCs w:val="24"/>
        </w:rPr>
        <w:t>0。</w:t>
      </w:r>
    </w:p>
    <w:p w14:paraId="14449841">
      <w:pPr>
        <w:pStyle w:val="83"/>
        <w:ind w:left="500"/>
      </w:pPr>
    </w:p>
    <w:p w14:paraId="48D5A1A4">
      <w:pPr>
        <w:spacing w:line="360" w:lineRule="auto"/>
        <w:jc w:val="center"/>
        <w:rPr>
          <w:rFonts w:ascii="Times New Roman"/>
          <w:b/>
          <w:sz w:val="24"/>
          <w:szCs w:val="24"/>
        </w:rPr>
      </w:pPr>
      <w:r>
        <w:rPr>
          <w:rFonts w:hint="eastAsia" w:ascii="Times New Roman"/>
          <w:b/>
          <w:sz w:val="24"/>
          <w:szCs w:val="24"/>
        </w:rPr>
        <w:t>表</w:t>
      </w:r>
      <w:r>
        <w:rPr>
          <w:rFonts w:ascii="Times New Roman"/>
          <w:b/>
          <w:sz w:val="24"/>
          <w:szCs w:val="24"/>
        </w:rPr>
        <w:t>2.7</w:t>
      </w:r>
      <w:r>
        <w:rPr>
          <w:rFonts w:ascii="Times New Roman"/>
          <w:b/>
          <w:sz w:val="24"/>
          <w:szCs w:val="24"/>
        </w:rPr>
        <w:noBreakHyphen/>
      </w:r>
      <w:r>
        <w:rPr>
          <w:rFonts w:hint="eastAsia" w:ascii="Times New Roman"/>
          <w:b/>
          <w:sz w:val="24"/>
          <w:szCs w:val="24"/>
        </w:rPr>
        <w:t>10</w:t>
      </w:r>
      <w:r>
        <w:rPr>
          <w:rFonts w:ascii="Times New Roman"/>
          <w:b/>
          <w:sz w:val="24"/>
          <w:szCs w:val="24"/>
        </w:rPr>
        <w:t xml:space="preserve">  环境保护对象及保护目标一览表</w:t>
      </w:r>
    </w:p>
    <w:tbl>
      <w:tblPr>
        <w:tblStyle w:val="8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608"/>
        <w:gridCol w:w="4758"/>
      </w:tblGrid>
      <w:tr w14:paraId="1A02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7" w:type="pct"/>
            <w:vAlign w:val="center"/>
          </w:tcPr>
          <w:p w14:paraId="2A3A6FF4">
            <w:pPr>
              <w:widowControl/>
              <w:jc w:val="center"/>
              <w:textAlignment w:val="baseline"/>
              <w:rPr>
                <w:rFonts w:ascii="Times New Roman"/>
                <w:kern w:val="0"/>
                <w:sz w:val="21"/>
                <w:szCs w:val="21"/>
              </w:rPr>
            </w:pPr>
            <w:r>
              <w:rPr>
                <w:rFonts w:ascii="Times New Roman"/>
                <w:kern w:val="0"/>
                <w:sz w:val="21"/>
                <w:szCs w:val="21"/>
              </w:rPr>
              <w:t>环境要素</w:t>
            </w:r>
          </w:p>
        </w:tc>
        <w:tc>
          <w:tcPr>
            <w:tcW w:w="1530" w:type="pct"/>
            <w:vAlign w:val="center"/>
          </w:tcPr>
          <w:p w14:paraId="3F8ED967">
            <w:pPr>
              <w:widowControl/>
              <w:jc w:val="center"/>
              <w:textAlignment w:val="baseline"/>
              <w:rPr>
                <w:rFonts w:ascii="Times New Roman"/>
                <w:kern w:val="0"/>
                <w:sz w:val="21"/>
                <w:szCs w:val="21"/>
              </w:rPr>
            </w:pPr>
            <w:r>
              <w:rPr>
                <w:rFonts w:hint="eastAsia" w:ascii="Times New Roman"/>
                <w:kern w:val="0"/>
                <w:sz w:val="21"/>
                <w:szCs w:val="21"/>
              </w:rPr>
              <w:t>保护目标</w:t>
            </w:r>
          </w:p>
        </w:tc>
        <w:tc>
          <w:tcPr>
            <w:tcW w:w="2791" w:type="pct"/>
            <w:vAlign w:val="center"/>
          </w:tcPr>
          <w:p w14:paraId="580A16EC">
            <w:pPr>
              <w:widowControl/>
              <w:jc w:val="center"/>
              <w:textAlignment w:val="baseline"/>
              <w:rPr>
                <w:rFonts w:ascii="Times New Roman"/>
                <w:kern w:val="0"/>
                <w:sz w:val="21"/>
                <w:szCs w:val="21"/>
              </w:rPr>
            </w:pPr>
            <w:r>
              <w:rPr>
                <w:rFonts w:ascii="Times New Roman"/>
                <w:kern w:val="0"/>
                <w:sz w:val="21"/>
                <w:szCs w:val="21"/>
              </w:rPr>
              <w:t>环境质量控制目标</w:t>
            </w:r>
          </w:p>
        </w:tc>
      </w:tr>
      <w:tr w14:paraId="0DB4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7" w:type="pct"/>
            <w:vAlign w:val="center"/>
          </w:tcPr>
          <w:p w14:paraId="29C374BB">
            <w:pPr>
              <w:jc w:val="center"/>
              <w:textAlignment w:val="baseline"/>
              <w:rPr>
                <w:rFonts w:ascii="Times New Roman"/>
                <w:kern w:val="0"/>
                <w:sz w:val="21"/>
                <w:szCs w:val="21"/>
              </w:rPr>
            </w:pPr>
            <w:r>
              <w:rPr>
                <w:rFonts w:ascii="Times New Roman"/>
                <w:kern w:val="0"/>
                <w:sz w:val="21"/>
                <w:szCs w:val="21"/>
              </w:rPr>
              <w:t>声环境</w:t>
            </w:r>
          </w:p>
        </w:tc>
        <w:tc>
          <w:tcPr>
            <w:tcW w:w="1530" w:type="pct"/>
            <w:vAlign w:val="center"/>
          </w:tcPr>
          <w:p w14:paraId="16C9E71F">
            <w:pPr>
              <w:widowControl/>
              <w:jc w:val="center"/>
              <w:textAlignment w:val="baseline"/>
              <w:rPr>
                <w:rFonts w:ascii="Times New Roman"/>
                <w:kern w:val="0"/>
                <w:sz w:val="21"/>
                <w:szCs w:val="21"/>
              </w:rPr>
            </w:pPr>
            <w:r>
              <w:rPr>
                <w:rFonts w:ascii="Times New Roman"/>
                <w:kern w:val="0"/>
                <w:sz w:val="21"/>
                <w:szCs w:val="21"/>
              </w:rPr>
              <w:t>厂界外</w:t>
            </w:r>
            <w:r>
              <w:rPr>
                <w:rFonts w:hint="eastAsia" w:ascii="Times New Roman"/>
                <w:kern w:val="0"/>
                <w:sz w:val="21"/>
                <w:szCs w:val="21"/>
              </w:rPr>
              <w:t>200</w:t>
            </w:r>
            <w:r>
              <w:rPr>
                <w:rFonts w:ascii="Times New Roman"/>
                <w:kern w:val="0"/>
                <w:sz w:val="21"/>
                <w:szCs w:val="21"/>
              </w:rPr>
              <w:t>m</w:t>
            </w:r>
          </w:p>
        </w:tc>
        <w:tc>
          <w:tcPr>
            <w:tcW w:w="2791" w:type="pct"/>
            <w:vAlign w:val="center"/>
          </w:tcPr>
          <w:p w14:paraId="3856E97C">
            <w:pPr>
              <w:widowControl/>
              <w:jc w:val="center"/>
              <w:textAlignment w:val="baseline"/>
              <w:rPr>
                <w:rFonts w:ascii="Times New Roman"/>
                <w:kern w:val="0"/>
                <w:sz w:val="21"/>
                <w:szCs w:val="21"/>
              </w:rPr>
            </w:pPr>
            <w:r>
              <w:rPr>
                <w:rFonts w:ascii="Times New Roman"/>
                <w:kern w:val="0"/>
                <w:sz w:val="21"/>
                <w:szCs w:val="21"/>
              </w:rPr>
              <w:t>《声环境质量标准》（GB3096-2008）3类标准</w:t>
            </w:r>
          </w:p>
        </w:tc>
      </w:tr>
      <w:tr w14:paraId="409A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7" w:type="pct"/>
            <w:vAlign w:val="center"/>
          </w:tcPr>
          <w:p w14:paraId="16EC2309">
            <w:pPr>
              <w:widowControl/>
              <w:jc w:val="center"/>
              <w:textAlignment w:val="baseline"/>
              <w:rPr>
                <w:rFonts w:ascii="Times New Roman"/>
                <w:kern w:val="0"/>
                <w:sz w:val="21"/>
                <w:szCs w:val="21"/>
              </w:rPr>
            </w:pPr>
            <w:r>
              <w:rPr>
                <w:rFonts w:hint="eastAsia" w:ascii="Times New Roman"/>
                <w:kern w:val="0"/>
                <w:sz w:val="21"/>
                <w:szCs w:val="21"/>
              </w:rPr>
              <w:t>地下水</w:t>
            </w:r>
          </w:p>
        </w:tc>
        <w:tc>
          <w:tcPr>
            <w:tcW w:w="1530" w:type="pct"/>
            <w:vAlign w:val="center"/>
          </w:tcPr>
          <w:p w14:paraId="3C8AB35F">
            <w:pPr>
              <w:widowControl/>
              <w:jc w:val="center"/>
              <w:textAlignment w:val="baseline"/>
              <w:rPr>
                <w:rFonts w:ascii="Times New Roman"/>
                <w:kern w:val="0"/>
                <w:sz w:val="21"/>
                <w:szCs w:val="21"/>
              </w:rPr>
            </w:pPr>
            <w:r>
              <w:rPr>
                <w:rFonts w:hint="eastAsia" w:ascii="Times New Roman"/>
                <w:kern w:val="0"/>
                <w:sz w:val="21"/>
                <w:szCs w:val="21"/>
              </w:rPr>
              <w:t>项目所在区域潜水及具有开发价值的含水层</w:t>
            </w:r>
          </w:p>
        </w:tc>
        <w:tc>
          <w:tcPr>
            <w:tcW w:w="2791" w:type="pct"/>
            <w:vAlign w:val="center"/>
          </w:tcPr>
          <w:p w14:paraId="66E161B9">
            <w:pPr>
              <w:widowControl/>
              <w:jc w:val="center"/>
              <w:textAlignment w:val="baseline"/>
              <w:rPr>
                <w:rFonts w:ascii="Times New Roman"/>
                <w:kern w:val="0"/>
                <w:sz w:val="21"/>
                <w:szCs w:val="21"/>
              </w:rPr>
            </w:pPr>
            <w:r>
              <w:rPr>
                <w:rFonts w:ascii="Times New Roman"/>
                <w:kern w:val="0"/>
                <w:sz w:val="21"/>
                <w:szCs w:val="21"/>
              </w:rPr>
              <w:t>《地下水质量标准》（GB/T14848-2017）Ⅲ类标准</w:t>
            </w:r>
          </w:p>
        </w:tc>
      </w:tr>
      <w:tr w14:paraId="3AB6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7" w:type="pct"/>
            <w:vAlign w:val="center"/>
          </w:tcPr>
          <w:p w14:paraId="090EEAAF">
            <w:pPr>
              <w:widowControl/>
              <w:jc w:val="center"/>
              <w:textAlignment w:val="baseline"/>
              <w:rPr>
                <w:rFonts w:ascii="Times New Roman"/>
                <w:kern w:val="0"/>
                <w:sz w:val="21"/>
                <w:szCs w:val="21"/>
              </w:rPr>
            </w:pPr>
            <w:r>
              <w:rPr>
                <w:rFonts w:ascii="Times New Roman"/>
                <w:kern w:val="0"/>
                <w:sz w:val="21"/>
                <w:szCs w:val="21"/>
              </w:rPr>
              <w:t>生态环境</w:t>
            </w:r>
          </w:p>
        </w:tc>
        <w:tc>
          <w:tcPr>
            <w:tcW w:w="1530" w:type="pct"/>
            <w:vAlign w:val="center"/>
          </w:tcPr>
          <w:p w14:paraId="06B41291">
            <w:pPr>
              <w:widowControl/>
              <w:jc w:val="center"/>
              <w:textAlignment w:val="baseline"/>
              <w:rPr>
                <w:rFonts w:ascii="Times New Roman"/>
                <w:kern w:val="0"/>
                <w:sz w:val="21"/>
                <w:szCs w:val="21"/>
              </w:rPr>
            </w:pPr>
            <w:r>
              <w:rPr>
                <w:rFonts w:ascii="Times New Roman"/>
                <w:kern w:val="0"/>
                <w:sz w:val="21"/>
                <w:szCs w:val="21"/>
              </w:rPr>
              <w:t>项目占地区域</w:t>
            </w:r>
          </w:p>
        </w:tc>
        <w:tc>
          <w:tcPr>
            <w:tcW w:w="2791" w:type="pct"/>
            <w:vAlign w:val="center"/>
          </w:tcPr>
          <w:p w14:paraId="08C6B6F6">
            <w:pPr>
              <w:widowControl/>
              <w:jc w:val="center"/>
              <w:textAlignment w:val="baseline"/>
              <w:rPr>
                <w:rFonts w:ascii="Times New Roman"/>
                <w:kern w:val="0"/>
                <w:sz w:val="21"/>
                <w:szCs w:val="21"/>
              </w:rPr>
            </w:pPr>
            <w:r>
              <w:rPr>
                <w:rFonts w:hint="eastAsia" w:ascii="Times New Roman"/>
                <w:kern w:val="0"/>
                <w:sz w:val="21"/>
                <w:szCs w:val="21"/>
              </w:rPr>
              <w:t>--</w:t>
            </w:r>
          </w:p>
        </w:tc>
      </w:tr>
      <w:tr w14:paraId="0E3F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7" w:type="pct"/>
            <w:vAlign w:val="center"/>
          </w:tcPr>
          <w:p w14:paraId="5D86BD22">
            <w:pPr>
              <w:widowControl/>
              <w:jc w:val="center"/>
              <w:textAlignment w:val="baseline"/>
              <w:rPr>
                <w:rFonts w:ascii="Times New Roman"/>
                <w:kern w:val="0"/>
                <w:sz w:val="21"/>
                <w:szCs w:val="21"/>
              </w:rPr>
            </w:pPr>
            <w:r>
              <w:rPr>
                <w:rFonts w:ascii="Times New Roman"/>
                <w:kern w:val="0"/>
                <w:sz w:val="21"/>
                <w:szCs w:val="21"/>
              </w:rPr>
              <w:t>土壤</w:t>
            </w:r>
          </w:p>
        </w:tc>
        <w:tc>
          <w:tcPr>
            <w:tcW w:w="1530" w:type="pct"/>
            <w:vAlign w:val="center"/>
          </w:tcPr>
          <w:p w14:paraId="0D6A62C9">
            <w:pPr>
              <w:widowControl/>
              <w:jc w:val="center"/>
              <w:textAlignment w:val="baseline"/>
              <w:rPr>
                <w:rFonts w:ascii="Times New Roman"/>
                <w:kern w:val="0"/>
                <w:sz w:val="21"/>
                <w:szCs w:val="21"/>
              </w:rPr>
            </w:pPr>
            <w:r>
              <w:rPr>
                <w:rFonts w:ascii="Times New Roman"/>
                <w:kern w:val="0"/>
                <w:sz w:val="21"/>
                <w:szCs w:val="21"/>
              </w:rPr>
              <w:t>厂区</w:t>
            </w:r>
            <w:r>
              <w:rPr>
                <w:rFonts w:hint="eastAsia" w:ascii="Times New Roman"/>
                <w:kern w:val="0"/>
                <w:sz w:val="21"/>
                <w:szCs w:val="21"/>
              </w:rPr>
              <w:t>及</w:t>
            </w:r>
            <w:r>
              <w:rPr>
                <w:rFonts w:ascii="Times New Roman"/>
                <w:sz w:val="21"/>
                <w:szCs w:val="21"/>
              </w:rPr>
              <w:t>占地范围外扩200m范围</w:t>
            </w:r>
          </w:p>
        </w:tc>
        <w:tc>
          <w:tcPr>
            <w:tcW w:w="2791" w:type="pct"/>
            <w:vAlign w:val="center"/>
          </w:tcPr>
          <w:p w14:paraId="6B29A6C5">
            <w:pPr>
              <w:widowControl/>
              <w:jc w:val="center"/>
              <w:textAlignment w:val="baseline"/>
              <w:rPr>
                <w:rFonts w:ascii="Times New Roman"/>
                <w:kern w:val="0"/>
                <w:sz w:val="21"/>
                <w:szCs w:val="21"/>
              </w:rPr>
            </w:pPr>
            <w:r>
              <w:rPr>
                <w:rFonts w:hint="eastAsia" w:ascii="Times New Roman"/>
                <w:kern w:val="0"/>
                <w:sz w:val="21"/>
                <w:szCs w:val="21"/>
              </w:rPr>
              <w:t>《土壤环境质量标准  建设用地土壤污染风险管控标准》（GB36600-2018）执行第二类用地筛选值；《建设用地土壤污染风险筛选值》（DB13/T5216-2022）</w:t>
            </w:r>
          </w:p>
        </w:tc>
      </w:tr>
    </w:tbl>
    <w:p w14:paraId="1166BC2A">
      <w:pPr>
        <w:pStyle w:val="4"/>
        <w:numPr>
          <w:ilvl w:val="1"/>
          <w:numId w:val="0"/>
        </w:numPr>
        <w:spacing w:before="0" w:after="0" w:line="360" w:lineRule="auto"/>
        <w:rPr>
          <w:rFonts w:ascii="Times New Roman" w:hAnsi="Times New Roman"/>
          <w:bCs w:val="0"/>
          <w:snapToGrid/>
          <w:sz w:val="30"/>
          <w:szCs w:val="30"/>
        </w:rPr>
      </w:pPr>
      <w:bookmarkStart w:id="82" w:name="_Toc14102"/>
      <w:r>
        <w:rPr>
          <w:rFonts w:ascii="Times New Roman" w:hAnsi="Times New Roman"/>
          <w:sz w:val="30"/>
          <w:szCs w:val="30"/>
        </w:rPr>
        <w:t>2.8</w:t>
      </w:r>
      <w:r>
        <w:rPr>
          <w:rFonts w:hint="eastAsia" w:ascii="Times New Roman" w:hAnsi="Times New Roman"/>
          <w:bCs w:val="0"/>
          <w:snapToGrid/>
          <w:sz w:val="30"/>
          <w:szCs w:val="30"/>
        </w:rPr>
        <w:t>“三线一单”生态环境分区管控符合性分析</w:t>
      </w:r>
      <w:bookmarkEnd w:id="82"/>
    </w:p>
    <w:bookmarkEnd w:id="8"/>
    <w:p w14:paraId="3B95D036">
      <w:pPr>
        <w:spacing w:line="360" w:lineRule="auto"/>
        <w:ind w:firstLine="480" w:firstLineChars="200"/>
        <w:rPr>
          <w:rFonts w:ascii="Times New Roman"/>
          <w:sz w:val="24"/>
          <w:szCs w:val="24"/>
        </w:rPr>
      </w:pPr>
      <w:r>
        <w:rPr>
          <w:rFonts w:ascii="Times New Roman"/>
          <w:sz w:val="24"/>
          <w:szCs w:val="24"/>
        </w:rPr>
        <w:t>结合《河北省人民政府关于加快实施“三线一单”生态环境分区管控的意见》（冀政字〔2020〕71号）、《唐山市人民政府关于实施“三线一单”生态环境分区管控的意见》（唐政字〔2021〕48号）、《关于印发</w:t>
      </w:r>
      <w:r>
        <w:rPr>
          <w:rFonts w:hint="eastAsia" w:ascii="Times New Roman"/>
          <w:sz w:val="24"/>
          <w:szCs w:val="24"/>
        </w:rPr>
        <w:t>《</w:t>
      </w:r>
      <w:r>
        <w:rPr>
          <w:rFonts w:ascii="Times New Roman"/>
          <w:sz w:val="24"/>
          <w:szCs w:val="24"/>
        </w:rPr>
        <w:t>唐山市生态环境准入清单（2023年版）</w:t>
      </w:r>
      <w:r>
        <w:rPr>
          <w:rFonts w:hint="eastAsia" w:ascii="Times New Roman"/>
          <w:sz w:val="24"/>
          <w:szCs w:val="24"/>
        </w:rPr>
        <w:t>》</w:t>
      </w:r>
      <w:r>
        <w:rPr>
          <w:rFonts w:ascii="Times New Roman"/>
          <w:sz w:val="24"/>
          <w:szCs w:val="24"/>
        </w:rPr>
        <w:t>的通知》（</w:t>
      </w:r>
      <w:r>
        <w:rPr>
          <w:rFonts w:hint="eastAsia" w:ascii="Times New Roman"/>
          <w:sz w:val="24"/>
          <w:szCs w:val="24"/>
        </w:rPr>
        <w:t>2024.4.9</w:t>
      </w:r>
      <w:r>
        <w:rPr>
          <w:rFonts w:ascii="Times New Roman"/>
          <w:sz w:val="24"/>
          <w:szCs w:val="24"/>
        </w:rPr>
        <w:t>），项目与河北省及唐山市“三线一单”的符合性分析见下表：</w:t>
      </w:r>
    </w:p>
    <w:p w14:paraId="4ED5F2B1">
      <w:pPr>
        <w:spacing w:line="360" w:lineRule="auto"/>
        <w:ind w:firstLine="480" w:firstLineChars="200"/>
        <w:rPr>
          <w:rFonts w:ascii="Times New Roman"/>
          <w:sz w:val="24"/>
          <w:szCs w:val="24"/>
        </w:rPr>
        <w:sectPr>
          <w:pgSz w:w="11906" w:h="16838"/>
          <w:pgMar w:top="1440" w:right="1800" w:bottom="1440" w:left="1800" w:header="1134" w:footer="1134" w:gutter="0"/>
          <w:cols w:space="720" w:num="1"/>
          <w:docGrid w:type="lines" w:linePitch="340" w:charSpace="0"/>
        </w:sectPr>
      </w:pPr>
    </w:p>
    <w:p w14:paraId="1D8AE36E">
      <w:pPr>
        <w:spacing w:line="460" w:lineRule="exact"/>
        <w:jc w:val="center"/>
        <w:rPr>
          <w:rFonts w:ascii="Times New Roman"/>
          <w:b/>
          <w:bCs/>
          <w:sz w:val="24"/>
          <w:szCs w:val="24"/>
        </w:rPr>
      </w:pPr>
      <w:r>
        <w:rPr>
          <w:rFonts w:ascii="Times New Roman"/>
          <w:b/>
          <w:bCs/>
          <w:sz w:val="24"/>
          <w:szCs w:val="24"/>
        </w:rPr>
        <w:t>表2.8-1  项目与河北省及唐山市“三线一单”的符合性分析</w:t>
      </w:r>
    </w:p>
    <w:tbl>
      <w:tblPr>
        <w:tblStyle w:val="85"/>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40"/>
        <w:gridCol w:w="156"/>
        <w:gridCol w:w="550"/>
        <w:gridCol w:w="184"/>
        <w:gridCol w:w="234"/>
        <w:gridCol w:w="770"/>
        <w:gridCol w:w="681"/>
        <w:gridCol w:w="862"/>
        <w:gridCol w:w="5088"/>
        <w:gridCol w:w="315"/>
        <w:gridCol w:w="3570"/>
        <w:gridCol w:w="569"/>
      </w:tblGrid>
      <w:tr w14:paraId="0287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2846DE51">
            <w:pPr>
              <w:widowControl/>
              <w:spacing w:line="260" w:lineRule="exact"/>
              <w:rPr>
                <w:rFonts w:ascii="Times New Roman"/>
                <w:sz w:val="21"/>
                <w:szCs w:val="21"/>
              </w:rPr>
            </w:pPr>
            <w:r>
              <w:rPr>
                <w:rFonts w:ascii="Times New Roman"/>
                <w:b/>
                <w:bCs/>
                <w:kern w:val="0"/>
                <w:sz w:val="21"/>
                <w:szCs w:val="21"/>
              </w:rPr>
              <w:t>《关于加快实施“三线一单”生态环境分区管控的意见》（冀政字〔2020〕71号）</w:t>
            </w:r>
          </w:p>
        </w:tc>
      </w:tr>
      <w:tr w14:paraId="11E7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4B918A2B">
            <w:pPr>
              <w:widowControl/>
              <w:spacing w:line="260" w:lineRule="exact"/>
              <w:rPr>
                <w:rFonts w:ascii="Times New Roman"/>
                <w:sz w:val="21"/>
                <w:szCs w:val="21"/>
              </w:rPr>
            </w:pPr>
            <w:r>
              <w:rPr>
                <w:rFonts w:ascii="Times New Roman"/>
                <w:kern w:val="0"/>
                <w:sz w:val="21"/>
                <w:szCs w:val="21"/>
              </w:rPr>
              <w:t>一、总体要求——主要目标</w:t>
            </w:r>
          </w:p>
        </w:tc>
      </w:tr>
      <w:tr w14:paraId="2F97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5D00DF6B">
            <w:pPr>
              <w:spacing w:line="260" w:lineRule="exact"/>
              <w:rPr>
                <w:rFonts w:ascii="Times New Roman"/>
                <w:sz w:val="21"/>
                <w:szCs w:val="21"/>
              </w:rPr>
            </w:pPr>
            <w:r>
              <w:rPr>
                <w:rFonts w:ascii="Times New Roman"/>
                <w:sz w:val="21"/>
                <w:szCs w:val="21"/>
              </w:rPr>
              <w:t>1</w:t>
            </w:r>
          </w:p>
        </w:tc>
        <w:tc>
          <w:tcPr>
            <w:tcW w:w="3178" w:type="pct"/>
            <w:gridSpan w:val="9"/>
            <w:vAlign w:val="center"/>
          </w:tcPr>
          <w:p w14:paraId="63BBA2C5">
            <w:pPr>
              <w:widowControl/>
              <w:spacing w:line="260" w:lineRule="exact"/>
              <w:rPr>
                <w:rFonts w:ascii="Times New Roman"/>
                <w:sz w:val="21"/>
                <w:szCs w:val="21"/>
              </w:rPr>
            </w:pPr>
            <w:r>
              <w:rPr>
                <w:rFonts w:ascii="Times New Roman"/>
                <w:kern w:val="0"/>
                <w:sz w:val="21"/>
                <w:szCs w:val="21"/>
              </w:rPr>
              <w:t>生态保护红线：重要生态功能区域生态功能不降低、面积不减少、性质不改变。</w:t>
            </w:r>
          </w:p>
        </w:tc>
        <w:tc>
          <w:tcPr>
            <w:tcW w:w="1393" w:type="pct"/>
            <w:gridSpan w:val="2"/>
            <w:vAlign w:val="center"/>
          </w:tcPr>
          <w:p w14:paraId="1BEB9395">
            <w:pPr>
              <w:widowControl/>
              <w:spacing w:line="260" w:lineRule="exact"/>
              <w:rPr>
                <w:rFonts w:ascii="Times New Roman"/>
                <w:sz w:val="21"/>
                <w:szCs w:val="21"/>
              </w:rPr>
            </w:pPr>
            <w:r>
              <w:rPr>
                <w:rFonts w:ascii="Times New Roman"/>
                <w:kern w:val="0"/>
                <w:sz w:val="21"/>
                <w:szCs w:val="21"/>
              </w:rPr>
              <w:t>本项目不涉及生态保护红线。</w:t>
            </w:r>
          </w:p>
        </w:tc>
        <w:tc>
          <w:tcPr>
            <w:tcW w:w="202" w:type="pct"/>
            <w:vAlign w:val="center"/>
          </w:tcPr>
          <w:p w14:paraId="3A27D7E8">
            <w:pPr>
              <w:spacing w:line="260" w:lineRule="exact"/>
              <w:jc w:val="center"/>
              <w:rPr>
                <w:rFonts w:ascii="Times New Roman"/>
                <w:sz w:val="21"/>
                <w:szCs w:val="21"/>
              </w:rPr>
            </w:pPr>
            <w:r>
              <w:rPr>
                <w:rFonts w:ascii="Times New Roman"/>
                <w:sz w:val="21"/>
                <w:szCs w:val="21"/>
              </w:rPr>
              <w:t>符合</w:t>
            </w:r>
          </w:p>
        </w:tc>
      </w:tr>
      <w:tr w14:paraId="5046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01340D9D">
            <w:pPr>
              <w:spacing w:line="260" w:lineRule="exact"/>
              <w:rPr>
                <w:rFonts w:ascii="Times New Roman"/>
                <w:sz w:val="21"/>
                <w:szCs w:val="21"/>
              </w:rPr>
            </w:pPr>
            <w:r>
              <w:rPr>
                <w:rFonts w:ascii="Times New Roman"/>
                <w:sz w:val="21"/>
                <w:szCs w:val="21"/>
              </w:rPr>
              <w:t>2</w:t>
            </w:r>
          </w:p>
        </w:tc>
        <w:tc>
          <w:tcPr>
            <w:tcW w:w="3178" w:type="pct"/>
            <w:gridSpan w:val="9"/>
            <w:vAlign w:val="center"/>
          </w:tcPr>
          <w:p w14:paraId="003196D2">
            <w:pPr>
              <w:widowControl/>
              <w:spacing w:line="260" w:lineRule="exact"/>
              <w:rPr>
                <w:rFonts w:ascii="Times New Roman"/>
                <w:sz w:val="21"/>
                <w:szCs w:val="21"/>
              </w:rPr>
            </w:pPr>
            <w:r>
              <w:rPr>
                <w:rFonts w:ascii="Times New Roman"/>
                <w:kern w:val="0"/>
                <w:sz w:val="21"/>
                <w:szCs w:val="21"/>
              </w:rPr>
              <w:t>环境质量底线：到2025年，地表水国考断面优良（Ⅲ类以上）比例、近岸海域优良海水比例逐步提升；PM2.5年均浓度持续降低、优良天数比例稳步提升；土壤受污染耕地安全利用率、污染地块安全利用率进一步提升。</w:t>
            </w:r>
          </w:p>
        </w:tc>
        <w:tc>
          <w:tcPr>
            <w:tcW w:w="1393" w:type="pct"/>
            <w:gridSpan w:val="2"/>
            <w:vAlign w:val="center"/>
          </w:tcPr>
          <w:p w14:paraId="43681BA7">
            <w:pPr>
              <w:widowControl/>
              <w:spacing w:line="260" w:lineRule="exact"/>
              <w:rPr>
                <w:rFonts w:ascii="Times New Roman"/>
                <w:kern w:val="0"/>
                <w:sz w:val="21"/>
                <w:szCs w:val="21"/>
              </w:rPr>
            </w:pPr>
            <w:r>
              <w:rPr>
                <w:rFonts w:ascii="Times New Roman"/>
                <w:sz w:val="21"/>
                <w:szCs w:val="21"/>
              </w:rPr>
              <w:t>项目</w:t>
            </w:r>
            <w:r>
              <w:rPr>
                <w:rFonts w:hint="eastAsia" w:ascii="Times New Roman"/>
                <w:sz w:val="21"/>
                <w:szCs w:val="21"/>
              </w:rPr>
              <w:t>废水经自建污水处理设施净化达标后，通过市政污水管网建排</w:t>
            </w:r>
            <w:r>
              <w:rPr>
                <w:rFonts w:ascii="Times New Roman"/>
                <w:kern w:val="0"/>
                <w:sz w:val="21"/>
                <w:szCs w:val="21"/>
              </w:rPr>
              <w:t>至</w:t>
            </w:r>
            <w:r>
              <w:rPr>
                <w:rFonts w:hint="eastAsia" w:ascii="Times New Roman"/>
                <w:kern w:val="0"/>
                <w:sz w:val="21"/>
                <w:szCs w:val="21"/>
              </w:rPr>
              <w:t>曹妃甸工业区装备制造区污水处理站进一步处理</w:t>
            </w:r>
            <w:r>
              <w:rPr>
                <w:rFonts w:ascii="Times New Roman"/>
                <w:kern w:val="0"/>
                <w:sz w:val="21"/>
                <w:szCs w:val="21"/>
              </w:rPr>
              <w:t>，不直接外排地表水体。</w:t>
            </w:r>
          </w:p>
          <w:p w14:paraId="55C3BCF4">
            <w:pPr>
              <w:widowControl/>
              <w:spacing w:line="260" w:lineRule="exact"/>
              <w:rPr>
                <w:rFonts w:ascii="Times New Roman"/>
                <w:kern w:val="0"/>
                <w:sz w:val="21"/>
                <w:szCs w:val="21"/>
              </w:rPr>
            </w:pPr>
            <w:r>
              <w:rPr>
                <w:rFonts w:hint="eastAsia" w:ascii="Times New Roman"/>
                <w:kern w:val="0"/>
                <w:sz w:val="21"/>
                <w:szCs w:val="21"/>
              </w:rPr>
              <w:t>本项目对新增污染源采取了严格的污染防治措施，大气污染物排放满足相关标准要求；</w:t>
            </w:r>
            <w:r>
              <w:rPr>
                <w:rFonts w:ascii="Times New Roman"/>
                <w:kern w:val="0"/>
                <w:sz w:val="21"/>
                <w:szCs w:val="21"/>
              </w:rPr>
              <w:t>项目对新增主要废气污染物进行倍量削减。</w:t>
            </w:r>
          </w:p>
          <w:p w14:paraId="4E8AA65B">
            <w:pPr>
              <w:widowControl/>
              <w:spacing w:line="260" w:lineRule="exact"/>
              <w:rPr>
                <w:rFonts w:ascii="Times New Roman"/>
                <w:sz w:val="21"/>
                <w:szCs w:val="21"/>
              </w:rPr>
            </w:pPr>
            <w:r>
              <w:rPr>
                <w:rFonts w:ascii="Times New Roman"/>
                <w:kern w:val="0"/>
                <w:sz w:val="21"/>
                <w:szCs w:val="21"/>
              </w:rPr>
              <w:t>项目位于</w:t>
            </w:r>
            <w:r>
              <w:rPr>
                <w:rFonts w:hint="eastAsia" w:ascii="Times New Roman"/>
                <w:kern w:val="0"/>
                <w:sz w:val="21"/>
                <w:szCs w:val="21"/>
              </w:rPr>
              <w:t>曹妃甸工业区装备制造园区</w:t>
            </w:r>
            <w:r>
              <w:rPr>
                <w:rFonts w:ascii="Times New Roman"/>
                <w:kern w:val="0"/>
                <w:sz w:val="21"/>
                <w:szCs w:val="21"/>
              </w:rPr>
              <w:t>内，不涉及利用耕地。</w:t>
            </w:r>
          </w:p>
        </w:tc>
        <w:tc>
          <w:tcPr>
            <w:tcW w:w="202" w:type="pct"/>
            <w:vAlign w:val="center"/>
          </w:tcPr>
          <w:p w14:paraId="768CFBB3">
            <w:pPr>
              <w:spacing w:line="260" w:lineRule="exact"/>
              <w:jc w:val="center"/>
              <w:rPr>
                <w:rFonts w:ascii="Times New Roman"/>
                <w:sz w:val="21"/>
                <w:szCs w:val="21"/>
              </w:rPr>
            </w:pPr>
            <w:r>
              <w:rPr>
                <w:rFonts w:ascii="Times New Roman"/>
                <w:sz w:val="21"/>
                <w:szCs w:val="21"/>
              </w:rPr>
              <w:t>符合</w:t>
            </w:r>
          </w:p>
        </w:tc>
      </w:tr>
      <w:tr w14:paraId="2E6C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2770D9BA">
            <w:pPr>
              <w:spacing w:line="260" w:lineRule="exact"/>
              <w:rPr>
                <w:rFonts w:ascii="Times New Roman"/>
                <w:sz w:val="21"/>
                <w:szCs w:val="21"/>
              </w:rPr>
            </w:pPr>
            <w:r>
              <w:rPr>
                <w:rFonts w:ascii="Times New Roman"/>
                <w:sz w:val="21"/>
                <w:szCs w:val="21"/>
              </w:rPr>
              <w:t>3</w:t>
            </w:r>
          </w:p>
        </w:tc>
        <w:tc>
          <w:tcPr>
            <w:tcW w:w="3178" w:type="pct"/>
            <w:gridSpan w:val="9"/>
            <w:vAlign w:val="center"/>
          </w:tcPr>
          <w:p w14:paraId="7BB875ED">
            <w:pPr>
              <w:widowControl/>
              <w:spacing w:line="260" w:lineRule="exact"/>
              <w:rPr>
                <w:rFonts w:ascii="Times New Roman"/>
                <w:sz w:val="21"/>
                <w:szCs w:val="21"/>
              </w:rPr>
            </w:pPr>
            <w:r>
              <w:rPr>
                <w:rFonts w:ascii="Times New Roman"/>
                <w:kern w:val="0"/>
                <w:sz w:val="21"/>
                <w:szCs w:val="21"/>
              </w:rPr>
              <w:t>资源利用上线：以保障生态安全、改善环境质量为核心，合理确定全省资源利用上线目标，实现水资源与水环境、能源与大气环境、岸线与海洋环境的系统管控。</w:t>
            </w:r>
          </w:p>
        </w:tc>
        <w:tc>
          <w:tcPr>
            <w:tcW w:w="1393" w:type="pct"/>
            <w:gridSpan w:val="2"/>
            <w:vAlign w:val="center"/>
          </w:tcPr>
          <w:p w14:paraId="016EB205">
            <w:pPr>
              <w:widowControl/>
              <w:spacing w:line="260" w:lineRule="exact"/>
              <w:rPr>
                <w:rFonts w:ascii="Times New Roman"/>
                <w:sz w:val="21"/>
                <w:szCs w:val="21"/>
              </w:rPr>
            </w:pPr>
            <w:r>
              <w:rPr>
                <w:rFonts w:ascii="Times New Roman"/>
                <w:kern w:val="0"/>
                <w:sz w:val="21"/>
                <w:szCs w:val="21"/>
              </w:rPr>
              <w:t>本项目</w:t>
            </w:r>
            <w:r>
              <w:rPr>
                <w:rFonts w:hint="eastAsia" w:ascii="Times New Roman"/>
                <w:kern w:val="0"/>
                <w:sz w:val="21"/>
                <w:szCs w:val="21"/>
              </w:rPr>
              <w:t>用水由园区供水管网供给，</w:t>
            </w:r>
            <w:r>
              <w:rPr>
                <w:rFonts w:ascii="Times New Roman"/>
                <w:kern w:val="0"/>
                <w:sz w:val="21"/>
                <w:szCs w:val="21"/>
              </w:rPr>
              <w:t>厂区内不设自备井，不取用地下水，不会突破区域水资源利用上限；天然气</w:t>
            </w:r>
            <w:r>
              <w:rPr>
                <w:rFonts w:hint="eastAsia" w:ascii="Times New Roman"/>
                <w:kern w:val="0"/>
                <w:sz w:val="21"/>
                <w:szCs w:val="21"/>
              </w:rPr>
              <w:t>由园区天然气管网供应，不设燃煤锅炉；</w:t>
            </w:r>
            <w:r>
              <w:rPr>
                <w:rFonts w:ascii="Times New Roman"/>
                <w:kern w:val="0"/>
                <w:sz w:val="21"/>
                <w:szCs w:val="21"/>
              </w:rPr>
              <w:t>占地范围不涉及耕地。</w:t>
            </w:r>
          </w:p>
        </w:tc>
        <w:tc>
          <w:tcPr>
            <w:tcW w:w="202" w:type="pct"/>
            <w:vAlign w:val="center"/>
          </w:tcPr>
          <w:p w14:paraId="3C86609A">
            <w:pPr>
              <w:spacing w:line="260" w:lineRule="exact"/>
              <w:jc w:val="center"/>
              <w:rPr>
                <w:rFonts w:ascii="Times New Roman"/>
                <w:sz w:val="21"/>
                <w:szCs w:val="21"/>
              </w:rPr>
            </w:pPr>
            <w:r>
              <w:rPr>
                <w:rFonts w:ascii="Times New Roman"/>
                <w:sz w:val="21"/>
                <w:szCs w:val="21"/>
              </w:rPr>
              <w:t>符合</w:t>
            </w:r>
          </w:p>
        </w:tc>
      </w:tr>
      <w:tr w14:paraId="2D98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4E73F18D">
            <w:pPr>
              <w:widowControl/>
              <w:spacing w:line="260" w:lineRule="exact"/>
              <w:rPr>
                <w:rFonts w:ascii="Times New Roman"/>
                <w:sz w:val="21"/>
                <w:szCs w:val="21"/>
              </w:rPr>
            </w:pPr>
            <w:r>
              <w:rPr>
                <w:rFonts w:ascii="Times New Roman"/>
                <w:kern w:val="0"/>
                <w:sz w:val="21"/>
                <w:szCs w:val="21"/>
              </w:rPr>
              <w:t>二、构建生态环境分区管控体系——分类管控要求</w:t>
            </w:r>
          </w:p>
        </w:tc>
      </w:tr>
      <w:tr w14:paraId="1147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25D30CF1">
            <w:pPr>
              <w:spacing w:line="260" w:lineRule="exact"/>
              <w:rPr>
                <w:rFonts w:ascii="Times New Roman"/>
                <w:sz w:val="21"/>
                <w:szCs w:val="21"/>
              </w:rPr>
            </w:pPr>
            <w:r>
              <w:rPr>
                <w:rFonts w:ascii="Times New Roman"/>
                <w:sz w:val="21"/>
                <w:szCs w:val="21"/>
              </w:rPr>
              <w:t>4</w:t>
            </w:r>
          </w:p>
        </w:tc>
        <w:tc>
          <w:tcPr>
            <w:tcW w:w="3178" w:type="pct"/>
            <w:gridSpan w:val="9"/>
            <w:vAlign w:val="center"/>
          </w:tcPr>
          <w:p w14:paraId="52B4FF66">
            <w:pPr>
              <w:widowControl/>
              <w:spacing w:line="260" w:lineRule="exact"/>
              <w:rPr>
                <w:rFonts w:ascii="Times New Roman"/>
                <w:sz w:val="21"/>
                <w:szCs w:val="21"/>
              </w:rPr>
            </w:pPr>
            <w:r>
              <w:rPr>
                <w:rFonts w:ascii="Times New Roman"/>
                <w:kern w:val="0"/>
                <w:sz w:val="21"/>
                <w:szCs w:val="21"/>
              </w:rPr>
              <w:t>重点管控单元：省级以上产业园区重点管控单元：严格产业准入，完善园区设施建设，推动设施提标改造；实施污染物总量控制，落实排污许可证制度；强化资源利用效率和地下水开采管控。</w:t>
            </w:r>
          </w:p>
        </w:tc>
        <w:tc>
          <w:tcPr>
            <w:tcW w:w="1393" w:type="pct"/>
            <w:gridSpan w:val="2"/>
            <w:vAlign w:val="center"/>
          </w:tcPr>
          <w:p w14:paraId="5C417106">
            <w:pPr>
              <w:widowControl/>
              <w:spacing w:line="260" w:lineRule="exact"/>
              <w:rPr>
                <w:rFonts w:ascii="Times New Roman"/>
                <w:bCs/>
                <w:sz w:val="21"/>
                <w:szCs w:val="21"/>
              </w:rPr>
            </w:pPr>
            <w:r>
              <w:rPr>
                <w:rFonts w:ascii="Times New Roman"/>
                <w:kern w:val="0"/>
                <w:sz w:val="21"/>
                <w:szCs w:val="21"/>
              </w:rPr>
              <w:t>项目位于</w:t>
            </w:r>
            <w:r>
              <w:rPr>
                <w:rFonts w:ascii="Times New Roman"/>
                <w:sz w:val="21"/>
                <w:szCs w:val="21"/>
              </w:rPr>
              <w:t>首批国家循环经济试点园区-曹妃甸循环经济示范区</w:t>
            </w:r>
            <w:r>
              <w:rPr>
                <w:rFonts w:ascii="Times New Roman"/>
                <w:kern w:val="0"/>
                <w:sz w:val="21"/>
                <w:szCs w:val="21"/>
              </w:rPr>
              <w:t>，</w:t>
            </w:r>
            <w:r>
              <w:rPr>
                <w:rFonts w:ascii="Times New Roman"/>
                <w:bCs/>
                <w:sz w:val="21"/>
                <w:szCs w:val="21"/>
              </w:rPr>
              <w:t>已取得入园进区手续。</w:t>
            </w:r>
          </w:p>
          <w:p w14:paraId="5441AFD4">
            <w:pPr>
              <w:widowControl/>
              <w:spacing w:line="260" w:lineRule="exact"/>
              <w:rPr>
                <w:rFonts w:ascii="Times New Roman"/>
                <w:sz w:val="21"/>
                <w:szCs w:val="21"/>
              </w:rPr>
            </w:pPr>
            <w:r>
              <w:rPr>
                <w:rFonts w:ascii="Times New Roman"/>
                <w:kern w:val="0"/>
                <w:sz w:val="21"/>
                <w:szCs w:val="21"/>
              </w:rPr>
              <w:t>项目</w:t>
            </w:r>
            <w:r>
              <w:rPr>
                <w:rFonts w:hint="eastAsia" w:ascii="Times New Roman" w:eastAsia="新宋体"/>
                <w:sz w:val="21"/>
                <w:szCs w:val="21"/>
              </w:rPr>
              <w:t>位于曹妃甸循环经济示范区装备制造园区</w:t>
            </w:r>
            <w:r>
              <w:rPr>
                <w:rFonts w:ascii="Times New Roman"/>
                <w:sz w:val="21"/>
                <w:szCs w:val="21"/>
              </w:rPr>
              <w:t>，发展方向与园区规划相符</w:t>
            </w:r>
            <w:r>
              <w:rPr>
                <w:rFonts w:ascii="Times New Roman"/>
                <w:kern w:val="0"/>
                <w:sz w:val="21"/>
                <w:szCs w:val="21"/>
              </w:rPr>
              <w:t>；本项目废气、废水污染物排放均可满足相关排放标准要求；按要求实施总量控制，落实排污许可证制度；项目厂区内不设自备井，不取用地下水。</w:t>
            </w:r>
          </w:p>
        </w:tc>
        <w:tc>
          <w:tcPr>
            <w:tcW w:w="202" w:type="pct"/>
            <w:vAlign w:val="center"/>
          </w:tcPr>
          <w:p w14:paraId="78BF2AEF">
            <w:pPr>
              <w:spacing w:line="260" w:lineRule="exact"/>
              <w:rPr>
                <w:rFonts w:ascii="Times New Roman"/>
                <w:sz w:val="21"/>
                <w:szCs w:val="21"/>
              </w:rPr>
            </w:pPr>
            <w:r>
              <w:rPr>
                <w:rFonts w:ascii="Times New Roman"/>
                <w:sz w:val="21"/>
                <w:szCs w:val="21"/>
              </w:rPr>
              <w:t>符合</w:t>
            </w:r>
          </w:p>
        </w:tc>
      </w:tr>
      <w:tr w14:paraId="006D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3F10F385">
            <w:pPr>
              <w:widowControl/>
              <w:spacing w:line="260" w:lineRule="exact"/>
              <w:rPr>
                <w:rFonts w:ascii="Times New Roman"/>
                <w:sz w:val="21"/>
                <w:szCs w:val="21"/>
              </w:rPr>
            </w:pPr>
            <w:r>
              <w:rPr>
                <w:rFonts w:ascii="Times New Roman"/>
                <w:kern w:val="0"/>
                <w:sz w:val="21"/>
                <w:szCs w:val="21"/>
              </w:rPr>
              <w:t>三、加快“三线一单”成果应用——做好产业准入环保支撑</w:t>
            </w:r>
          </w:p>
        </w:tc>
      </w:tr>
      <w:tr w14:paraId="4730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1E995E50">
            <w:pPr>
              <w:spacing w:line="260" w:lineRule="exact"/>
              <w:rPr>
                <w:rFonts w:ascii="Times New Roman"/>
                <w:sz w:val="21"/>
                <w:szCs w:val="21"/>
              </w:rPr>
            </w:pPr>
            <w:r>
              <w:rPr>
                <w:rFonts w:ascii="Times New Roman"/>
                <w:sz w:val="21"/>
                <w:szCs w:val="21"/>
              </w:rPr>
              <w:t>5</w:t>
            </w:r>
          </w:p>
        </w:tc>
        <w:tc>
          <w:tcPr>
            <w:tcW w:w="3178" w:type="pct"/>
            <w:gridSpan w:val="9"/>
            <w:vAlign w:val="center"/>
          </w:tcPr>
          <w:p w14:paraId="6E489887">
            <w:pPr>
              <w:widowControl/>
              <w:spacing w:line="260" w:lineRule="exact"/>
              <w:rPr>
                <w:rFonts w:ascii="Times New Roman"/>
                <w:sz w:val="21"/>
                <w:szCs w:val="21"/>
              </w:rPr>
            </w:pPr>
            <w:r>
              <w:rPr>
                <w:rFonts w:ascii="Times New Roman"/>
                <w:kern w:val="0"/>
                <w:sz w:val="21"/>
                <w:szCs w:val="21"/>
              </w:rPr>
              <w:t>各地各部门要充分发挥生态环境准入清单编制及落实实施等方面的作用，将“三线一单”成果应用到规划环评审查和建设项目环评审批中，将“三线一单”生态环境分区管控要求作为具体区域、园区和单元项目准入的重要支撑。</w:t>
            </w:r>
          </w:p>
        </w:tc>
        <w:tc>
          <w:tcPr>
            <w:tcW w:w="1393" w:type="pct"/>
            <w:gridSpan w:val="2"/>
            <w:vAlign w:val="center"/>
          </w:tcPr>
          <w:p w14:paraId="3DB62C3F">
            <w:pPr>
              <w:widowControl/>
              <w:spacing w:line="260" w:lineRule="exact"/>
              <w:rPr>
                <w:rFonts w:ascii="Times New Roman"/>
                <w:sz w:val="21"/>
                <w:szCs w:val="21"/>
              </w:rPr>
            </w:pPr>
            <w:r>
              <w:rPr>
                <w:rFonts w:ascii="Times New Roman"/>
                <w:kern w:val="0"/>
                <w:sz w:val="21"/>
                <w:szCs w:val="21"/>
              </w:rPr>
              <w:t>项目位于</w:t>
            </w:r>
            <w:r>
              <w:rPr>
                <w:rFonts w:hint="eastAsia" w:ascii="Times New Roman"/>
                <w:sz w:val="21"/>
                <w:szCs w:val="21"/>
              </w:rPr>
              <w:t>曹妃甸工业区装备制造园区</w:t>
            </w:r>
            <w:r>
              <w:rPr>
                <w:rFonts w:ascii="Times New Roman"/>
                <w:kern w:val="0"/>
                <w:sz w:val="21"/>
                <w:szCs w:val="21"/>
              </w:rPr>
              <w:t>，符合园区“三线一单”相关要求。</w:t>
            </w:r>
          </w:p>
        </w:tc>
        <w:tc>
          <w:tcPr>
            <w:tcW w:w="202" w:type="pct"/>
            <w:vAlign w:val="center"/>
          </w:tcPr>
          <w:p w14:paraId="713CB8F2">
            <w:pPr>
              <w:spacing w:line="260" w:lineRule="exact"/>
              <w:rPr>
                <w:rFonts w:ascii="Times New Roman"/>
                <w:sz w:val="21"/>
                <w:szCs w:val="21"/>
              </w:rPr>
            </w:pPr>
            <w:r>
              <w:rPr>
                <w:rFonts w:ascii="Times New Roman"/>
                <w:sz w:val="21"/>
                <w:szCs w:val="21"/>
              </w:rPr>
              <w:t>符合</w:t>
            </w:r>
          </w:p>
        </w:tc>
      </w:tr>
      <w:tr w14:paraId="6A59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1F5F61A2">
            <w:pPr>
              <w:widowControl/>
              <w:spacing w:line="260" w:lineRule="exact"/>
              <w:rPr>
                <w:rFonts w:ascii="Times New Roman"/>
                <w:sz w:val="21"/>
                <w:szCs w:val="21"/>
              </w:rPr>
            </w:pPr>
            <w:r>
              <w:rPr>
                <w:rFonts w:ascii="Times New Roman"/>
                <w:b/>
                <w:bCs/>
                <w:kern w:val="0"/>
                <w:sz w:val="21"/>
                <w:szCs w:val="21"/>
              </w:rPr>
              <w:t>《关于实施“三线一单”生态环境分区管控的意见》（唐政字〔2021〕48号）</w:t>
            </w:r>
          </w:p>
        </w:tc>
      </w:tr>
      <w:tr w14:paraId="62F2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6697530C">
            <w:pPr>
              <w:widowControl/>
              <w:spacing w:line="260" w:lineRule="exact"/>
              <w:rPr>
                <w:rFonts w:ascii="Times New Roman"/>
                <w:sz w:val="21"/>
                <w:szCs w:val="21"/>
              </w:rPr>
            </w:pPr>
            <w:r>
              <w:rPr>
                <w:rFonts w:ascii="Times New Roman"/>
                <w:kern w:val="0"/>
                <w:sz w:val="21"/>
                <w:szCs w:val="21"/>
              </w:rPr>
              <w:t>一、总体要求——主要目标</w:t>
            </w:r>
          </w:p>
        </w:tc>
      </w:tr>
      <w:tr w14:paraId="54E7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6845B0E2">
            <w:pPr>
              <w:spacing w:line="260" w:lineRule="exact"/>
              <w:rPr>
                <w:rFonts w:ascii="Times New Roman"/>
                <w:sz w:val="21"/>
                <w:szCs w:val="21"/>
              </w:rPr>
            </w:pPr>
            <w:r>
              <w:rPr>
                <w:rFonts w:ascii="Times New Roman"/>
                <w:sz w:val="21"/>
                <w:szCs w:val="21"/>
              </w:rPr>
              <w:t>1</w:t>
            </w:r>
          </w:p>
        </w:tc>
        <w:tc>
          <w:tcPr>
            <w:tcW w:w="3178" w:type="pct"/>
            <w:gridSpan w:val="9"/>
            <w:vAlign w:val="center"/>
          </w:tcPr>
          <w:p w14:paraId="1B271CF4">
            <w:pPr>
              <w:widowControl/>
              <w:spacing w:line="260" w:lineRule="exact"/>
              <w:rPr>
                <w:rFonts w:ascii="Times New Roman"/>
                <w:sz w:val="21"/>
                <w:szCs w:val="21"/>
              </w:rPr>
            </w:pPr>
            <w:r>
              <w:rPr>
                <w:rFonts w:ascii="Times New Roman"/>
                <w:kern w:val="0"/>
                <w:sz w:val="21"/>
                <w:szCs w:val="21"/>
              </w:rPr>
              <w:t>生态保护红线：重要生态功能区域生态功能不降低、面积不减少、性质不改变。</w:t>
            </w:r>
          </w:p>
        </w:tc>
        <w:tc>
          <w:tcPr>
            <w:tcW w:w="1393" w:type="pct"/>
            <w:gridSpan w:val="2"/>
            <w:vAlign w:val="center"/>
          </w:tcPr>
          <w:p w14:paraId="07B7B651">
            <w:pPr>
              <w:widowControl/>
              <w:spacing w:line="260" w:lineRule="exact"/>
              <w:rPr>
                <w:rFonts w:ascii="Times New Roman"/>
                <w:sz w:val="21"/>
                <w:szCs w:val="21"/>
              </w:rPr>
            </w:pPr>
            <w:r>
              <w:rPr>
                <w:rFonts w:ascii="Times New Roman"/>
                <w:kern w:val="0"/>
                <w:sz w:val="21"/>
                <w:szCs w:val="21"/>
              </w:rPr>
              <w:t>本项目不涉及生态保护红线。</w:t>
            </w:r>
          </w:p>
        </w:tc>
        <w:tc>
          <w:tcPr>
            <w:tcW w:w="202" w:type="pct"/>
            <w:vAlign w:val="center"/>
          </w:tcPr>
          <w:p w14:paraId="09B6B4FE">
            <w:pPr>
              <w:spacing w:line="260" w:lineRule="exact"/>
              <w:rPr>
                <w:rFonts w:ascii="Times New Roman"/>
                <w:sz w:val="21"/>
                <w:szCs w:val="21"/>
              </w:rPr>
            </w:pPr>
            <w:r>
              <w:rPr>
                <w:rFonts w:ascii="Times New Roman"/>
                <w:sz w:val="21"/>
                <w:szCs w:val="21"/>
              </w:rPr>
              <w:t>符合</w:t>
            </w:r>
          </w:p>
        </w:tc>
      </w:tr>
      <w:tr w14:paraId="5D44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72A76EBC">
            <w:pPr>
              <w:spacing w:line="260" w:lineRule="exact"/>
              <w:rPr>
                <w:rFonts w:ascii="Times New Roman"/>
                <w:sz w:val="21"/>
                <w:szCs w:val="21"/>
              </w:rPr>
            </w:pPr>
            <w:r>
              <w:rPr>
                <w:rFonts w:ascii="Times New Roman"/>
                <w:sz w:val="21"/>
                <w:szCs w:val="21"/>
              </w:rPr>
              <w:t>2</w:t>
            </w:r>
          </w:p>
        </w:tc>
        <w:tc>
          <w:tcPr>
            <w:tcW w:w="3178" w:type="pct"/>
            <w:gridSpan w:val="9"/>
            <w:vAlign w:val="center"/>
          </w:tcPr>
          <w:p w14:paraId="1F2AE4F9">
            <w:pPr>
              <w:widowControl/>
              <w:spacing w:line="260" w:lineRule="exact"/>
              <w:rPr>
                <w:rFonts w:ascii="Times New Roman"/>
                <w:sz w:val="21"/>
                <w:szCs w:val="21"/>
              </w:rPr>
            </w:pPr>
            <w:r>
              <w:rPr>
                <w:rFonts w:ascii="Times New Roman"/>
                <w:kern w:val="0"/>
                <w:sz w:val="21"/>
                <w:szCs w:val="21"/>
              </w:rPr>
              <w:t>环境质量底线：到2025年，地表水国考断面优良（Ⅲ类以上）比例、近岸海域优良海水比例稳定达标；PM</w:t>
            </w:r>
            <w:r>
              <w:rPr>
                <w:rFonts w:ascii="Times New Roman"/>
                <w:kern w:val="0"/>
                <w:sz w:val="21"/>
                <w:szCs w:val="21"/>
                <w:vertAlign w:val="subscript"/>
              </w:rPr>
              <w:t>2.5</w:t>
            </w:r>
            <w:r>
              <w:rPr>
                <w:rFonts w:ascii="Times New Roman"/>
                <w:kern w:val="0"/>
                <w:sz w:val="21"/>
                <w:szCs w:val="21"/>
              </w:rPr>
              <w:t>年均浓度持续降低、优良天数比例稳步提升；受污染耕地安全利用率、污染地块安全利用率进一步提升。</w:t>
            </w:r>
          </w:p>
        </w:tc>
        <w:tc>
          <w:tcPr>
            <w:tcW w:w="1393" w:type="pct"/>
            <w:gridSpan w:val="2"/>
            <w:vAlign w:val="center"/>
          </w:tcPr>
          <w:p w14:paraId="32DB95BD">
            <w:pPr>
              <w:widowControl/>
              <w:spacing w:line="260" w:lineRule="exact"/>
              <w:rPr>
                <w:rFonts w:ascii="Times New Roman"/>
                <w:sz w:val="21"/>
                <w:szCs w:val="21"/>
              </w:rPr>
            </w:pPr>
            <w:r>
              <w:rPr>
                <w:rFonts w:hint="eastAsia" w:hAnsi="宋体" w:cs="宋体"/>
                <w:kern w:val="0"/>
                <w:sz w:val="21"/>
                <w:szCs w:val="21"/>
              </w:rPr>
              <w:t>项目废水经自建污水处理设施净化达标后，通过市政污水管网排至</w:t>
            </w:r>
            <w:r>
              <w:rPr>
                <w:rFonts w:hAnsi="宋体" w:cs="宋体"/>
                <w:kern w:val="0"/>
                <w:sz w:val="21"/>
                <w:szCs w:val="21"/>
              </w:rPr>
              <w:t>曹妃甸工业区</w:t>
            </w:r>
            <w:r>
              <w:rPr>
                <w:rFonts w:hint="eastAsia" w:hAnsi="宋体" w:cs="宋体"/>
                <w:kern w:val="0"/>
                <w:sz w:val="21"/>
                <w:szCs w:val="21"/>
              </w:rPr>
              <w:t>装备制造区污水处理站进一步处理，不直接外排地表水体；</w:t>
            </w:r>
            <w:r>
              <w:rPr>
                <w:rFonts w:ascii="Times New Roman"/>
                <w:kern w:val="0"/>
                <w:sz w:val="21"/>
                <w:szCs w:val="21"/>
              </w:rPr>
              <w:t>项目对新增主要废气污染物进行倍量削减。项目位于</w:t>
            </w:r>
            <w:r>
              <w:rPr>
                <w:rFonts w:hint="eastAsia" w:ascii="Times New Roman"/>
                <w:kern w:val="0"/>
                <w:sz w:val="21"/>
                <w:szCs w:val="21"/>
              </w:rPr>
              <w:t>曹妃甸工业区装备制造园区</w:t>
            </w:r>
            <w:r>
              <w:rPr>
                <w:rFonts w:ascii="Times New Roman"/>
                <w:kern w:val="0"/>
                <w:sz w:val="21"/>
                <w:szCs w:val="21"/>
              </w:rPr>
              <w:t>内，不涉及利用耕地。</w:t>
            </w:r>
          </w:p>
        </w:tc>
        <w:tc>
          <w:tcPr>
            <w:tcW w:w="202" w:type="pct"/>
            <w:vAlign w:val="center"/>
          </w:tcPr>
          <w:p w14:paraId="502C77A2">
            <w:pPr>
              <w:spacing w:line="260" w:lineRule="exact"/>
              <w:rPr>
                <w:rFonts w:ascii="Times New Roman"/>
                <w:sz w:val="21"/>
                <w:szCs w:val="21"/>
              </w:rPr>
            </w:pPr>
            <w:r>
              <w:rPr>
                <w:rFonts w:ascii="Times New Roman"/>
                <w:sz w:val="21"/>
                <w:szCs w:val="21"/>
              </w:rPr>
              <w:t>符合</w:t>
            </w:r>
          </w:p>
        </w:tc>
      </w:tr>
      <w:tr w14:paraId="0160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322EDA2B">
            <w:pPr>
              <w:spacing w:line="260" w:lineRule="exact"/>
              <w:rPr>
                <w:rFonts w:ascii="Times New Roman"/>
                <w:sz w:val="21"/>
                <w:szCs w:val="21"/>
              </w:rPr>
            </w:pPr>
            <w:r>
              <w:rPr>
                <w:rFonts w:ascii="Times New Roman"/>
                <w:sz w:val="21"/>
                <w:szCs w:val="21"/>
              </w:rPr>
              <w:t>3</w:t>
            </w:r>
          </w:p>
        </w:tc>
        <w:tc>
          <w:tcPr>
            <w:tcW w:w="3178" w:type="pct"/>
            <w:gridSpan w:val="9"/>
            <w:vAlign w:val="center"/>
          </w:tcPr>
          <w:p w14:paraId="3F7AAB04">
            <w:pPr>
              <w:widowControl/>
              <w:spacing w:line="260" w:lineRule="exact"/>
              <w:rPr>
                <w:rFonts w:ascii="Times New Roman"/>
                <w:sz w:val="21"/>
                <w:szCs w:val="21"/>
              </w:rPr>
            </w:pPr>
            <w:r>
              <w:rPr>
                <w:rFonts w:ascii="Times New Roman"/>
                <w:kern w:val="0"/>
                <w:sz w:val="21"/>
                <w:szCs w:val="21"/>
              </w:rPr>
              <w:t>资源利用上线：以保障生态安全、改善环境质量为核心，合理确定全市资源利用上线目标，实现水资源与水环境、能源与大气环境、岸线与海洋环境的协同管控。</w:t>
            </w:r>
          </w:p>
        </w:tc>
        <w:tc>
          <w:tcPr>
            <w:tcW w:w="1393" w:type="pct"/>
            <w:gridSpan w:val="2"/>
            <w:vAlign w:val="center"/>
          </w:tcPr>
          <w:p w14:paraId="02D9FB70">
            <w:pPr>
              <w:widowControl/>
              <w:spacing w:line="260" w:lineRule="exact"/>
              <w:rPr>
                <w:rFonts w:ascii="Times New Roman"/>
                <w:sz w:val="21"/>
                <w:szCs w:val="21"/>
              </w:rPr>
            </w:pPr>
            <w:r>
              <w:rPr>
                <w:rFonts w:ascii="Times New Roman"/>
                <w:kern w:val="0"/>
                <w:sz w:val="21"/>
                <w:szCs w:val="21"/>
              </w:rPr>
              <w:t>本项目厂区内不设自备井，不取用地下水，不会突破区域水资源利用上限；天然气</w:t>
            </w:r>
            <w:r>
              <w:rPr>
                <w:rFonts w:hint="eastAsia" w:ascii="Times New Roman"/>
                <w:kern w:val="0"/>
                <w:sz w:val="21"/>
                <w:szCs w:val="21"/>
              </w:rPr>
              <w:t>由园区天然气管网供应，不设燃煤锅炉</w:t>
            </w:r>
            <w:r>
              <w:rPr>
                <w:rFonts w:ascii="Times New Roman"/>
                <w:kern w:val="0"/>
                <w:sz w:val="21"/>
                <w:szCs w:val="21"/>
              </w:rPr>
              <w:t>，占地范围不涉及耕地。</w:t>
            </w:r>
          </w:p>
        </w:tc>
        <w:tc>
          <w:tcPr>
            <w:tcW w:w="202" w:type="pct"/>
            <w:vAlign w:val="center"/>
          </w:tcPr>
          <w:p w14:paraId="0D7FDAC5">
            <w:pPr>
              <w:spacing w:line="260" w:lineRule="exact"/>
              <w:rPr>
                <w:rFonts w:ascii="Times New Roman"/>
                <w:sz w:val="21"/>
                <w:szCs w:val="21"/>
              </w:rPr>
            </w:pPr>
            <w:r>
              <w:rPr>
                <w:rFonts w:ascii="Times New Roman"/>
                <w:sz w:val="21"/>
                <w:szCs w:val="21"/>
              </w:rPr>
              <w:t>符合</w:t>
            </w:r>
          </w:p>
        </w:tc>
      </w:tr>
      <w:tr w14:paraId="149E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678377E0">
            <w:pPr>
              <w:widowControl/>
              <w:spacing w:line="260" w:lineRule="exact"/>
              <w:rPr>
                <w:rFonts w:ascii="Times New Roman"/>
                <w:sz w:val="21"/>
                <w:szCs w:val="21"/>
              </w:rPr>
            </w:pPr>
            <w:r>
              <w:rPr>
                <w:rFonts w:ascii="Times New Roman"/>
                <w:kern w:val="0"/>
                <w:sz w:val="21"/>
                <w:szCs w:val="21"/>
              </w:rPr>
              <w:t>二、构建生态环境分区管控体系——分类管控要求</w:t>
            </w:r>
          </w:p>
        </w:tc>
      </w:tr>
      <w:tr w14:paraId="10C3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7B643264">
            <w:pPr>
              <w:spacing w:line="260" w:lineRule="exact"/>
              <w:rPr>
                <w:rFonts w:ascii="Times New Roman"/>
                <w:sz w:val="21"/>
                <w:szCs w:val="21"/>
              </w:rPr>
            </w:pPr>
            <w:r>
              <w:rPr>
                <w:rFonts w:ascii="Times New Roman"/>
                <w:sz w:val="21"/>
                <w:szCs w:val="21"/>
              </w:rPr>
              <w:t>4</w:t>
            </w:r>
          </w:p>
        </w:tc>
        <w:tc>
          <w:tcPr>
            <w:tcW w:w="3178" w:type="pct"/>
            <w:gridSpan w:val="9"/>
            <w:vAlign w:val="center"/>
          </w:tcPr>
          <w:p w14:paraId="694E64DB">
            <w:pPr>
              <w:widowControl/>
              <w:spacing w:line="260" w:lineRule="exact"/>
              <w:rPr>
                <w:rFonts w:ascii="Times New Roman"/>
                <w:sz w:val="21"/>
                <w:szCs w:val="21"/>
              </w:rPr>
            </w:pPr>
            <w:r>
              <w:rPr>
                <w:rFonts w:ascii="Times New Roman"/>
                <w:kern w:val="0"/>
                <w:sz w:val="21"/>
                <w:szCs w:val="21"/>
              </w:rPr>
              <w:t>重点管控单元：工业园区（工业集聚区）重点管控单元：严格项目准入，优化产业布局；完善园区设施建设，推动设施提标改造；实施污染物总量控制，落实排污许可证制度；强化资源利用效率和地下水开采管控。</w:t>
            </w:r>
          </w:p>
        </w:tc>
        <w:tc>
          <w:tcPr>
            <w:tcW w:w="1393" w:type="pct"/>
            <w:gridSpan w:val="2"/>
            <w:vAlign w:val="center"/>
          </w:tcPr>
          <w:p w14:paraId="300BFE86">
            <w:pPr>
              <w:widowControl/>
              <w:spacing w:line="260" w:lineRule="exact"/>
              <w:rPr>
                <w:rFonts w:ascii="Times New Roman"/>
                <w:bCs/>
                <w:sz w:val="21"/>
                <w:szCs w:val="21"/>
              </w:rPr>
            </w:pPr>
            <w:r>
              <w:rPr>
                <w:rFonts w:ascii="Times New Roman"/>
                <w:kern w:val="0"/>
                <w:sz w:val="21"/>
                <w:szCs w:val="21"/>
              </w:rPr>
              <w:t>项目位于</w:t>
            </w:r>
            <w:r>
              <w:rPr>
                <w:rFonts w:ascii="Times New Roman"/>
                <w:sz w:val="21"/>
                <w:szCs w:val="21"/>
              </w:rPr>
              <w:t>首批国家循环经济试点园区-曹妃甸循环经济示范区</w:t>
            </w:r>
            <w:r>
              <w:rPr>
                <w:rFonts w:ascii="Times New Roman"/>
                <w:kern w:val="0"/>
                <w:sz w:val="21"/>
                <w:szCs w:val="21"/>
              </w:rPr>
              <w:t>，</w:t>
            </w:r>
            <w:r>
              <w:rPr>
                <w:rFonts w:ascii="Times New Roman"/>
                <w:bCs/>
                <w:sz w:val="21"/>
                <w:szCs w:val="21"/>
              </w:rPr>
              <w:t>已取得入园进区手续。</w:t>
            </w:r>
          </w:p>
          <w:p w14:paraId="6FF31783">
            <w:pPr>
              <w:widowControl/>
              <w:spacing w:line="260" w:lineRule="exact"/>
              <w:rPr>
                <w:rFonts w:ascii="Times New Roman"/>
                <w:sz w:val="21"/>
                <w:szCs w:val="21"/>
              </w:rPr>
            </w:pPr>
            <w:r>
              <w:rPr>
                <w:rFonts w:ascii="Times New Roman"/>
                <w:kern w:val="0"/>
                <w:sz w:val="21"/>
                <w:szCs w:val="21"/>
              </w:rPr>
              <w:t>项目</w:t>
            </w:r>
            <w:r>
              <w:rPr>
                <w:rFonts w:hint="eastAsia" w:ascii="Times New Roman" w:eastAsia="新宋体"/>
                <w:sz w:val="21"/>
                <w:szCs w:val="21"/>
              </w:rPr>
              <w:t>位于曹妃甸循环经济示范区装备制造园区</w:t>
            </w:r>
            <w:r>
              <w:rPr>
                <w:rFonts w:ascii="Times New Roman"/>
                <w:sz w:val="21"/>
                <w:szCs w:val="21"/>
              </w:rPr>
              <w:t>，发展方向与园区规划相符</w:t>
            </w:r>
            <w:r>
              <w:rPr>
                <w:rFonts w:ascii="Times New Roman"/>
                <w:kern w:val="0"/>
                <w:sz w:val="21"/>
                <w:szCs w:val="21"/>
              </w:rPr>
              <w:t>；本项目废气、废水污染物排放均可满足相关排放标准要求；按要求实施总量控制，落实排污许可证制度；项目厂区内不设自备井，不取用地下水。</w:t>
            </w:r>
          </w:p>
        </w:tc>
        <w:tc>
          <w:tcPr>
            <w:tcW w:w="202" w:type="pct"/>
            <w:vAlign w:val="center"/>
          </w:tcPr>
          <w:p w14:paraId="24FC96FF">
            <w:pPr>
              <w:spacing w:line="260" w:lineRule="exact"/>
              <w:rPr>
                <w:rFonts w:ascii="Times New Roman"/>
                <w:sz w:val="21"/>
                <w:szCs w:val="21"/>
              </w:rPr>
            </w:pPr>
            <w:r>
              <w:rPr>
                <w:rFonts w:ascii="Times New Roman"/>
                <w:sz w:val="21"/>
                <w:szCs w:val="21"/>
              </w:rPr>
              <w:t>符合</w:t>
            </w:r>
          </w:p>
        </w:tc>
      </w:tr>
      <w:tr w14:paraId="5B17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61B1B7C7">
            <w:pPr>
              <w:widowControl/>
              <w:spacing w:line="260" w:lineRule="exact"/>
              <w:rPr>
                <w:rFonts w:ascii="Times New Roman"/>
                <w:sz w:val="21"/>
                <w:szCs w:val="21"/>
              </w:rPr>
            </w:pPr>
            <w:r>
              <w:rPr>
                <w:rFonts w:ascii="Times New Roman"/>
                <w:kern w:val="0"/>
                <w:sz w:val="21"/>
                <w:szCs w:val="21"/>
              </w:rPr>
              <w:t>三、实施要求——做好产业准入环保支撑</w:t>
            </w:r>
          </w:p>
        </w:tc>
      </w:tr>
      <w:tr w14:paraId="6841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7E3A6481">
            <w:pPr>
              <w:spacing w:line="260" w:lineRule="exact"/>
              <w:rPr>
                <w:rFonts w:ascii="Times New Roman"/>
                <w:sz w:val="21"/>
                <w:szCs w:val="21"/>
              </w:rPr>
            </w:pPr>
            <w:r>
              <w:rPr>
                <w:rFonts w:ascii="Times New Roman"/>
                <w:sz w:val="21"/>
                <w:szCs w:val="21"/>
              </w:rPr>
              <w:t>5</w:t>
            </w:r>
          </w:p>
        </w:tc>
        <w:tc>
          <w:tcPr>
            <w:tcW w:w="3178" w:type="pct"/>
            <w:gridSpan w:val="9"/>
            <w:vAlign w:val="center"/>
          </w:tcPr>
          <w:p w14:paraId="1A8A90DD">
            <w:pPr>
              <w:widowControl/>
              <w:spacing w:line="260" w:lineRule="exact"/>
              <w:rPr>
                <w:rFonts w:ascii="Times New Roman"/>
                <w:sz w:val="21"/>
                <w:szCs w:val="21"/>
              </w:rPr>
            </w:pPr>
            <w:r>
              <w:rPr>
                <w:rFonts w:ascii="Times New Roman"/>
                <w:kern w:val="0"/>
                <w:sz w:val="21"/>
                <w:szCs w:val="21"/>
              </w:rPr>
              <w:t>各县（市）区、各部门要充分发挥生态环境准入清单编制及落实实施等方面的作用，将“三线一单”成果应用到规划环评审查和建设项目环评审批中，将“三线一单”生态环境分区管控要求作为具体区域、工业园区和单元项目准入的重要支撑。</w:t>
            </w:r>
          </w:p>
        </w:tc>
        <w:tc>
          <w:tcPr>
            <w:tcW w:w="1393" w:type="pct"/>
            <w:gridSpan w:val="2"/>
            <w:vAlign w:val="center"/>
          </w:tcPr>
          <w:p w14:paraId="172A4EC8">
            <w:pPr>
              <w:spacing w:line="260" w:lineRule="exact"/>
              <w:rPr>
                <w:rFonts w:ascii="Times New Roman"/>
                <w:sz w:val="21"/>
                <w:szCs w:val="21"/>
              </w:rPr>
            </w:pPr>
            <w:r>
              <w:rPr>
                <w:rFonts w:ascii="Times New Roman"/>
                <w:kern w:val="0"/>
                <w:sz w:val="21"/>
                <w:szCs w:val="21"/>
              </w:rPr>
              <w:t>本项目位于</w:t>
            </w:r>
            <w:r>
              <w:rPr>
                <w:rFonts w:hint="eastAsia" w:ascii="Times New Roman" w:eastAsia="新宋体"/>
                <w:sz w:val="21"/>
                <w:szCs w:val="21"/>
              </w:rPr>
              <w:t>曹妃甸循环经济示范区装备制造园区</w:t>
            </w:r>
            <w:r>
              <w:rPr>
                <w:rFonts w:ascii="Times New Roman"/>
                <w:kern w:val="0"/>
                <w:sz w:val="21"/>
                <w:szCs w:val="21"/>
              </w:rPr>
              <w:t>，符合园区“三线一单”相关要求。</w:t>
            </w:r>
          </w:p>
        </w:tc>
        <w:tc>
          <w:tcPr>
            <w:tcW w:w="202" w:type="pct"/>
            <w:vAlign w:val="center"/>
          </w:tcPr>
          <w:p w14:paraId="7E1CF5A7">
            <w:pPr>
              <w:spacing w:line="260" w:lineRule="exact"/>
              <w:rPr>
                <w:rFonts w:ascii="Times New Roman"/>
                <w:sz w:val="21"/>
                <w:szCs w:val="21"/>
              </w:rPr>
            </w:pPr>
            <w:r>
              <w:rPr>
                <w:rFonts w:ascii="Times New Roman"/>
                <w:sz w:val="21"/>
                <w:szCs w:val="21"/>
              </w:rPr>
              <w:t>符合</w:t>
            </w:r>
          </w:p>
        </w:tc>
      </w:tr>
      <w:tr w14:paraId="5E3D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63D91D3C">
            <w:pPr>
              <w:widowControl/>
              <w:spacing w:line="260" w:lineRule="exact"/>
              <w:rPr>
                <w:rFonts w:ascii="Times New Roman"/>
                <w:sz w:val="21"/>
                <w:szCs w:val="21"/>
              </w:rPr>
            </w:pPr>
            <w:r>
              <w:rPr>
                <w:rFonts w:ascii="Times New Roman"/>
                <w:b/>
                <w:bCs/>
                <w:sz w:val="21"/>
                <w:szCs w:val="21"/>
              </w:rPr>
              <w:t>《唐山市生态环境准入清单（2023年版）》（202</w:t>
            </w:r>
            <w:r>
              <w:rPr>
                <w:rFonts w:hint="eastAsia" w:ascii="Times New Roman"/>
                <w:b/>
                <w:bCs/>
                <w:sz w:val="21"/>
                <w:szCs w:val="21"/>
              </w:rPr>
              <w:t>4.4.9</w:t>
            </w:r>
            <w:r>
              <w:rPr>
                <w:rFonts w:ascii="Times New Roman"/>
                <w:b/>
                <w:bCs/>
                <w:sz w:val="21"/>
                <w:szCs w:val="21"/>
              </w:rPr>
              <w:t>）</w:t>
            </w:r>
          </w:p>
        </w:tc>
      </w:tr>
      <w:tr w14:paraId="23B4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4341EFD2">
            <w:pPr>
              <w:widowControl/>
              <w:spacing w:line="260" w:lineRule="exact"/>
              <w:rPr>
                <w:rFonts w:ascii="Times New Roman"/>
                <w:kern w:val="0"/>
                <w:sz w:val="21"/>
                <w:szCs w:val="21"/>
              </w:rPr>
            </w:pPr>
            <w:r>
              <w:rPr>
                <w:rFonts w:ascii="Times New Roman"/>
                <w:kern w:val="0"/>
                <w:sz w:val="21"/>
                <w:szCs w:val="21"/>
              </w:rPr>
              <w:t>唐山市生态环境准入清单（全市总体要求）</w:t>
            </w:r>
          </w:p>
        </w:tc>
      </w:tr>
      <w:tr w14:paraId="71AB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restart"/>
            <w:vAlign w:val="center"/>
          </w:tcPr>
          <w:p w14:paraId="4EDFD215">
            <w:pPr>
              <w:spacing w:line="260" w:lineRule="exact"/>
              <w:rPr>
                <w:rFonts w:ascii="Times New Roman"/>
                <w:sz w:val="21"/>
                <w:szCs w:val="21"/>
              </w:rPr>
            </w:pPr>
            <w:r>
              <w:rPr>
                <w:rFonts w:ascii="Times New Roman"/>
                <w:sz w:val="21"/>
                <w:szCs w:val="21"/>
              </w:rPr>
              <w:t>6</w:t>
            </w:r>
          </w:p>
        </w:tc>
        <w:tc>
          <w:tcPr>
            <w:tcW w:w="178" w:type="pct"/>
            <w:gridSpan w:val="2"/>
            <w:vMerge w:val="restart"/>
            <w:vAlign w:val="center"/>
          </w:tcPr>
          <w:p w14:paraId="374FAA27">
            <w:pPr>
              <w:spacing w:line="260" w:lineRule="exact"/>
              <w:jc w:val="center"/>
              <w:rPr>
                <w:rFonts w:ascii="Times New Roman"/>
                <w:sz w:val="21"/>
                <w:szCs w:val="21"/>
              </w:rPr>
            </w:pPr>
            <w:r>
              <w:rPr>
                <w:rFonts w:ascii="Times New Roman"/>
                <w:sz w:val="21"/>
                <w:szCs w:val="21"/>
              </w:rPr>
              <w:t>大气环境</w:t>
            </w:r>
          </w:p>
        </w:tc>
        <w:tc>
          <w:tcPr>
            <w:tcW w:w="263" w:type="pct"/>
            <w:gridSpan w:val="2"/>
            <w:vAlign w:val="center"/>
          </w:tcPr>
          <w:p w14:paraId="2B0C5493">
            <w:pPr>
              <w:spacing w:line="260" w:lineRule="exact"/>
              <w:rPr>
                <w:rFonts w:ascii="Times New Roman"/>
                <w:sz w:val="21"/>
                <w:szCs w:val="21"/>
              </w:rPr>
            </w:pPr>
            <w:r>
              <w:rPr>
                <w:rFonts w:ascii="Times New Roman"/>
                <w:sz w:val="21"/>
                <w:szCs w:val="21"/>
              </w:rPr>
              <w:t>空间布局约束</w:t>
            </w:r>
          </w:p>
        </w:tc>
        <w:tc>
          <w:tcPr>
            <w:tcW w:w="2736" w:type="pct"/>
            <w:gridSpan w:val="5"/>
            <w:shd w:val="clear" w:color="auto" w:fill="auto"/>
            <w:vAlign w:val="center"/>
          </w:tcPr>
          <w:p w14:paraId="06A01B5F">
            <w:pPr>
              <w:spacing w:line="260" w:lineRule="exact"/>
              <w:rPr>
                <w:rFonts w:ascii="Times New Roman"/>
                <w:sz w:val="21"/>
                <w:szCs w:val="21"/>
              </w:rPr>
            </w:pPr>
            <w:r>
              <w:rPr>
                <w:rFonts w:ascii="Times New Roman"/>
                <w:sz w:val="21"/>
                <w:szCs w:val="21"/>
              </w:rPr>
              <w:t>1、全面推进沿海、迁安、滦州、迁西（遵化）4大片区规划建设，加快推进钢铁企业整合搬迁项目建设，推进“公转铁”、“公转水”和物料集中输送管廊项目建设，形成“沿海临港、铁路沿线”产业新布局。</w:t>
            </w:r>
          </w:p>
          <w:p w14:paraId="42BC951F">
            <w:pPr>
              <w:spacing w:line="260" w:lineRule="exact"/>
              <w:rPr>
                <w:rFonts w:ascii="Times New Roman"/>
                <w:sz w:val="21"/>
                <w:szCs w:val="21"/>
              </w:rPr>
            </w:pPr>
            <w:r>
              <w:rPr>
                <w:rFonts w:ascii="Times New Roman"/>
                <w:sz w:val="21"/>
                <w:szCs w:val="21"/>
              </w:rPr>
              <w:t>2、严禁违规新增钢铁、焦化、水泥</w:t>
            </w:r>
            <w:r>
              <w:rPr>
                <w:rFonts w:hint="eastAsia" w:ascii="Times New Roman"/>
                <w:sz w:val="21"/>
                <w:szCs w:val="21"/>
              </w:rPr>
              <w:t>、平板玻璃等</w:t>
            </w:r>
            <w:r>
              <w:rPr>
                <w:rFonts w:ascii="Times New Roman"/>
                <w:sz w:val="21"/>
                <w:szCs w:val="21"/>
              </w:rPr>
              <w:t>产能，</w:t>
            </w:r>
            <w:r>
              <w:rPr>
                <w:rFonts w:hint="eastAsia" w:ascii="Times New Roman"/>
                <w:sz w:val="21"/>
                <w:szCs w:val="21"/>
              </w:rPr>
              <w:t>依法推动独立焦化、独立石灰、独立球团逐步退出</w:t>
            </w:r>
            <w:r>
              <w:rPr>
                <w:rFonts w:ascii="Times New Roman"/>
                <w:sz w:val="21"/>
                <w:szCs w:val="21"/>
              </w:rPr>
              <w:t>。</w:t>
            </w:r>
          </w:p>
          <w:p w14:paraId="5479933F">
            <w:pPr>
              <w:spacing w:line="260" w:lineRule="exact"/>
              <w:rPr>
                <w:rFonts w:ascii="Times New Roman"/>
                <w:sz w:val="21"/>
                <w:szCs w:val="21"/>
              </w:rPr>
            </w:pPr>
            <w:r>
              <w:rPr>
                <w:rFonts w:ascii="Times New Roman"/>
                <w:sz w:val="21"/>
                <w:szCs w:val="21"/>
              </w:rPr>
              <w:t>3、新（改、扩）建项目严格执行产能置换、煤炭替代和污染物倍量削减替代制度，当地有相关园区规划的，原则上要进入园区并配套建设高效环保治理设施，符合园区规划环评、建设项目环评要求。</w:t>
            </w:r>
          </w:p>
          <w:p w14:paraId="1EB5256B">
            <w:pPr>
              <w:spacing w:line="260" w:lineRule="exact"/>
              <w:rPr>
                <w:rFonts w:ascii="Times New Roman"/>
                <w:sz w:val="21"/>
                <w:szCs w:val="21"/>
              </w:rPr>
            </w:pPr>
            <w:r>
              <w:rPr>
                <w:rFonts w:ascii="Times New Roman"/>
                <w:sz w:val="21"/>
                <w:szCs w:val="21"/>
              </w:rPr>
              <w:t>4、基本取缔燃煤热风炉和钢铁行业燃煤供热锅炉，基本淘汰热电联产供热管网覆盖范围内的燃煤加热、烘干炉（窑）。</w:t>
            </w:r>
          </w:p>
          <w:p w14:paraId="02B24E27">
            <w:pPr>
              <w:spacing w:line="260" w:lineRule="exact"/>
              <w:rPr>
                <w:rFonts w:ascii="Times New Roman"/>
                <w:sz w:val="21"/>
                <w:szCs w:val="21"/>
              </w:rPr>
            </w:pPr>
            <w:r>
              <w:rPr>
                <w:rFonts w:ascii="Times New Roman"/>
                <w:sz w:val="21"/>
                <w:szCs w:val="21"/>
              </w:rPr>
              <w:t>5、</w:t>
            </w:r>
            <w:r>
              <w:rPr>
                <w:rFonts w:hint="eastAsia" w:ascii="Times New Roman"/>
                <w:sz w:val="21"/>
                <w:szCs w:val="21"/>
              </w:rPr>
              <w:t>企业事业单位和其他生产经营者应当在规定期限内，淘汰列入河北省淘汰落后生产工艺、设备和产品名录的生产工艺、设备和产品。</w:t>
            </w:r>
          </w:p>
          <w:p w14:paraId="64299E9C">
            <w:pPr>
              <w:spacing w:line="260" w:lineRule="exact"/>
              <w:rPr>
                <w:rFonts w:ascii="Times New Roman"/>
                <w:sz w:val="21"/>
                <w:szCs w:val="21"/>
              </w:rPr>
            </w:pPr>
            <w:r>
              <w:rPr>
                <w:rFonts w:hint="eastAsia" w:ascii="Times New Roman"/>
                <w:sz w:val="21"/>
                <w:szCs w:val="21"/>
              </w:rPr>
              <w:t>6、全面取缔35蒸吨及以下燃煤锅炉，发现一台，拆除一台，确保实现动态“清零”；严禁新增 35 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1393" w:type="pct"/>
            <w:gridSpan w:val="2"/>
            <w:shd w:val="clear" w:color="auto" w:fill="auto"/>
            <w:vAlign w:val="center"/>
          </w:tcPr>
          <w:p w14:paraId="20742AB2">
            <w:pPr>
              <w:widowControl/>
              <w:spacing w:line="260" w:lineRule="exact"/>
              <w:rPr>
                <w:rFonts w:ascii="Times New Roman"/>
                <w:sz w:val="21"/>
                <w:szCs w:val="21"/>
              </w:rPr>
            </w:pPr>
            <w:r>
              <w:rPr>
                <w:rFonts w:ascii="Times New Roman"/>
                <w:kern w:val="0"/>
                <w:sz w:val="21"/>
                <w:szCs w:val="21"/>
              </w:rPr>
              <w:t>本项目位</w:t>
            </w:r>
            <w:r>
              <w:rPr>
                <w:rFonts w:hint="eastAsia" w:ascii="Times New Roman" w:eastAsia="新宋体"/>
                <w:sz w:val="21"/>
                <w:szCs w:val="21"/>
              </w:rPr>
              <w:t>曹妃甸循环经济示范区装备制造园区</w:t>
            </w:r>
            <w:r>
              <w:rPr>
                <w:rFonts w:ascii="Times New Roman"/>
                <w:kern w:val="0"/>
                <w:sz w:val="21"/>
                <w:szCs w:val="21"/>
              </w:rPr>
              <w:t>，符合园区规划环评中的相关要求</w:t>
            </w:r>
            <w:r>
              <w:rPr>
                <w:rFonts w:hint="eastAsia" w:ascii="Times New Roman"/>
                <w:kern w:val="0"/>
                <w:sz w:val="21"/>
                <w:szCs w:val="21"/>
              </w:rPr>
              <w:t>，符合国家及地方产业政策要求，</w:t>
            </w:r>
            <w:r>
              <w:rPr>
                <w:rFonts w:ascii="Times New Roman"/>
                <w:kern w:val="0"/>
                <w:sz w:val="21"/>
                <w:szCs w:val="21"/>
              </w:rPr>
              <w:t>项目为</w:t>
            </w:r>
            <w:r>
              <w:rPr>
                <w:rFonts w:hint="eastAsia" w:ascii="Times New Roman"/>
                <w:kern w:val="0"/>
                <w:sz w:val="21"/>
                <w:szCs w:val="21"/>
              </w:rPr>
              <w:t>数字孪生智能输送机</w:t>
            </w:r>
            <w:r>
              <w:rPr>
                <w:rFonts w:ascii="Times New Roman"/>
                <w:kern w:val="0"/>
                <w:sz w:val="21"/>
                <w:szCs w:val="21"/>
              </w:rPr>
              <w:t>生产项目</w:t>
            </w:r>
            <w:r>
              <w:rPr>
                <w:rFonts w:hint="eastAsia" w:ascii="Times New Roman"/>
                <w:kern w:val="0"/>
                <w:sz w:val="21"/>
                <w:szCs w:val="21"/>
              </w:rPr>
              <w:t>，不属于钢铁、焦化、水泥、平板玻璃等行业，生产用热由天然气燃烧机提供，不涉及燃煤锅炉。</w:t>
            </w:r>
          </w:p>
        </w:tc>
        <w:tc>
          <w:tcPr>
            <w:tcW w:w="202" w:type="pct"/>
            <w:vAlign w:val="center"/>
          </w:tcPr>
          <w:p w14:paraId="477B3180">
            <w:pPr>
              <w:spacing w:line="260" w:lineRule="exact"/>
              <w:rPr>
                <w:rFonts w:ascii="Times New Roman"/>
                <w:sz w:val="21"/>
                <w:szCs w:val="21"/>
              </w:rPr>
            </w:pPr>
            <w:r>
              <w:rPr>
                <w:rFonts w:ascii="Times New Roman"/>
                <w:sz w:val="21"/>
                <w:szCs w:val="21"/>
              </w:rPr>
              <w:t>符合</w:t>
            </w:r>
          </w:p>
        </w:tc>
      </w:tr>
      <w:tr w14:paraId="3919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0EAC86D9">
            <w:pPr>
              <w:spacing w:line="260" w:lineRule="exact"/>
              <w:rPr>
                <w:rFonts w:ascii="Times New Roman"/>
                <w:sz w:val="21"/>
                <w:szCs w:val="21"/>
              </w:rPr>
            </w:pPr>
          </w:p>
        </w:tc>
        <w:tc>
          <w:tcPr>
            <w:tcW w:w="178" w:type="pct"/>
            <w:gridSpan w:val="2"/>
            <w:vMerge w:val="continue"/>
            <w:vAlign w:val="center"/>
          </w:tcPr>
          <w:p w14:paraId="250D39BF">
            <w:pPr>
              <w:spacing w:line="260" w:lineRule="exact"/>
              <w:jc w:val="center"/>
              <w:rPr>
                <w:rFonts w:ascii="Times New Roman"/>
                <w:sz w:val="21"/>
                <w:szCs w:val="21"/>
              </w:rPr>
            </w:pPr>
          </w:p>
        </w:tc>
        <w:tc>
          <w:tcPr>
            <w:tcW w:w="263" w:type="pct"/>
            <w:gridSpan w:val="2"/>
            <w:vAlign w:val="center"/>
          </w:tcPr>
          <w:p w14:paraId="6FCEB4DE">
            <w:pPr>
              <w:spacing w:line="260" w:lineRule="exact"/>
              <w:jc w:val="center"/>
              <w:rPr>
                <w:rFonts w:ascii="Times New Roman"/>
                <w:sz w:val="21"/>
                <w:szCs w:val="21"/>
              </w:rPr>
            </w:pPr>
            <w:r>
              <w:rPr>
                <w:rFonts w:ascii="Times New Roman"/>
                <w:sz w:val="21"/>
                <w:szCs w:val="21"/>
              </w:rPr>
              <w:t>污染物排放管控</w:t>
            </w:r>
          </w:p>
        </w:tc>
        <w:tc>
          <w:tcPr>
            <w:tcW w:w="2736" w:type="pct"/>
            <w:gridSpan w:val="5"/>
            <w:shd w:val="clear" w:color="auto" w:fill="auto"/>
            <w:vAlign w:val="center"/>
          </w:tcPr>
          <w:p w14:paraId="5C721CCB">
            <w:pPr>
              <w:adjustRightInd w:val="0"/>
              <w:snapToGrid w:val="0"/>
              <w:spacing w:line="260" w:lineRule="exact"/>
              <w:rPr>
                <w:rFonts w:ascii="Times New Roman"/>
                <w:sz w:val="21"/>
                <w:szCs w:val="21"/>
              </w:rPr>
            </w:pPr>
            <w:r>
              <w:rPr>
                <w:rFonts w:ascii="Times New Roman"/>
                <w:sz w:val="21"/>
                <w:szCs w:val="21"/>
              </w:rPr>
              <w:t>1、细颗粒物（PM</w:t>
            </w:r>
            <w:r>
              <w:rPr>
                <w:rFonts w:ascii="Times New Roman"/>
                <w:sz w:val="21"/>
                <w:szCs w:val="21"/>
                <w:vertAlign w:val="subscript"/>
              </w:rPr>
              <w:t>2.5</w:t>
            </w:r>
            <w:r>
              <w:rPr>
                <w:rFonts w:ascii="Times New Roman"/>
                <w:sz w:val="21"/>
                <w:szCs w:val="21"/>
              </w:rPr>
              <w:t>）年平均浓度不达标的城市，二氧化硫、氮氧化物、烟粉尘、挥发性有机物四项污染物均需进行2倍削减替代（燃煤发电机组大气污染物排放浓度基本达到燃气轮机组排放限值的除外）。</w:t>
            </w:r>
          </w:p>
          <w:p w14:paraId="2570C8EA">
            <w:pPr>
              <w:adjustRightInd w:val="0"/>
              <w:snapToGrid w:val="0"/>
              <w:spacing w:line="260" w:lineRule="exact"/>
              <w:rPr>
                <w:rFonts w:ascii="Times New Roman"/>
                <w:sz w:val="21"/>
                <w:szCs w:val="21"/>
              </w:rPr>
            </w:pPr>
            <w:r>
              <w:rPr>
                <w:rFonts w:ascii="Times New Roman"/>
                <w:sz w:val="21"/>
                <w:szCs w:val="21"/>
              </w:rPr>
              <w:t>2、</w:t>
            </w:r>
            <w:r>
              <w:rPr>
                <w:rFonts w:hint="eastAsia" w:ascii="Times New Roman"/>
                <w:sz w:val="21"/>
                <w:szCs w:val="21"/>
              </w:rPr>
              <w:t>35 蒸吨以上燃煤锅炉、燃油（醇基燃料）锅炉、燃用生物质专用锅炉各污染物排放浓度达到《河北省锅炉大气污染物排放标准（DB13/5161）》要求；燃煤气、天然气锅炉各污染物排放浓度达到《唐山市锅炉治理专项实施方案》（唐气领办〔2019〕10 号）要求。</w:t>
            </w:r>
          </w:p>
          <w:p w14:paraId="6BEACA6F">
            <w:pPr>
              <w:adjustRightInd w:val="0"/>
              <w:snapToGrid w:val="0"/>
              <w:spacing w:line="260" w:lineRule="exact"/>
              <w:rPr>
                <w:rFonts w:ascii="Times New Roman"/>
                <w:sz w:val="21"/>
                <w:szCs w:val="21"/>
              </w:rPr>
            </w:pPr>
            <w:r>
              <w:rPr>
                <w:rFonts w:ascii="Times New Roman"/>
                <w:sz w:val="21"/>
                <w:szCs w:val="21"/>
              </w:rPr>
              <w:t>3、</w:t>
            </w:r>
            <w:r>
              <w:rPr>
                <w:rFonts w:hint="eastAsia" w:ascii="Times New Roman"/>
                <w:sz w:val="21"/>
                <w:szCs w:val="21"/>
              </w:rPr>
              <w:t>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p w14:paraId="408D3F80">
            <w:pPr>
              <w:adjustRightInd w:val="0"/>
              <w:snapToGrid w:val="0"/>
              <w:spacing w:line="260" w:lineRule="exact"/>
              <w:rPr>
                <w:rFonts w:ascii="Times New Roman"/>
                <w:sz w:val="21"/>
                <w:szCs w:val="21"/>
              </w:rPr>
            </w:pPr>
            <w:r>
              <w:rPr>
                <w:rFonts w:ascii="Times New Roman"/>
                <w:sz w:val="21"/>
                <w:szCs w:val="21"/>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p w14:paraId="2C9F8759">
            <w:pPr>
              <w:adjustRightInd w:val="0"/>
              <w:snapToGrid w:val="0"/>
              <w:spacing w:line="260" w:lineRule="exact"/>
              <w:rPr>
                <w:rFonts w:ascii="Times New Roman"/>
                <w:sz w:val="21"/>
                <w:szCs w:val="21"/>
              </w:rPr>
            </w:pPr>
            <w:r>
              <w:rPr>
                <w:rFonts w:ascii="Times New Roman"/>
                <w:sz w:val="21"/>
                <w:szCs w:val="21"/>
              </w:rPr>
              <w:t>5、</w:t>
            </w:r>
            <w:r>
              <w:rPr>
                <w:rFonts w:hint="eastAsia" w:ascii="Times New Roman"/>
                <w:sz w:val="21"/>
                <w:szCs w:val="21"/>
              </w:rPr>
              <w:t>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p w14:paraId="0E1B1B0B">
            <w:pPr>
              <w:adjustRightInd w:val="0"/>
              <w:snapToGrid w:val="0"/>
              <w:spacing w:line="260" w:lineRule="exact"/>
              <w:rPr>
                <w:rFonts w:ascii="Times New Roman"/>
                <w:sz w:val="21"/>
                <w:szCs w:val="21"/>
              </w:rPr>
            </w:pPr>
            <w:r>
              <w:rPr>
                <w:rFonts w:ascii="Times New Roman"/>
                <w:sz w:val="21"/>
                <w:szCs w:val="21"/>
              </w:rPr>
              <w:t>6、加快油品质量升级。停止销售低于国Ⅵ标准的汽柴油，实现车用柴油、普通柴油、部分船舶用油“三油并轨”。</w:t>
            </w:r>
          </w:p>
          <w:p w14:paraId="43CF74E0">
            <w:pPr>
              <w:adjustRightInd w:val="0"/>
              <w:snapToGrid w:val="0"/>
              <w:spacing w:line="260" w:lineRule="exact"/>
              <w:rPr>
                <w:rFonts w:ascii="Times New Roman"/>
                <w:sz w:val="21"/>
                <w:szCs w:val="21"/>
              </w:rPr>
            </w:pPr>
            <w:r>
              <w:rPr>
                <w:rFonts w:ascii="Times New Roman"/>
                <w:sz w:val="21"/>
                <w:szCs w:val="21"/>
              </w:rPr>
              <w:t>7、</w:t>
            </w:r>
            <w:r>
              <w:rPr>
                <w:rFonts w:hint="eastAsia" w:ascii="Times New Roman"/>
                <w:sz w:val="21"/>
                <w:szCs w:val="21"/>
              </w:rPr>
              <w:t>推进矿山综合整治。按照“能关则关、应合尽合、能转则转”的原则，对违反法律法规、列入关闭计划、整改不达标、乱采滥挖的矿山，依法依规坚决关闭取缔。</w:t>
            </w:r>
          </w:p>
          <w:p w14:paraId="3707CD53">
            <w:pPr>
              <w:adjustRightInd w:val="0"/>
              <w:snapToGrid w:val="0"/>
              <w:spacing w:line="260" w:lineRule="exact"/>
              <w:rPr>
                <w:rFonts w:ascii="Times New Roman"/>
                <w:sz w:val="21"/>
                <w:szCs w:val="21"/>
              </w:rPr>
            </w:pPr>
            <w:r>
              <w:rPr>
                <w:rFonts w:ascii="Times New Roman"/>
                <w:sz w:val="21"/>
                <w:szCs w:val="21"/>
              </w:rPr>
              <w:t>8、</w:t>
            </w:r>
            <w:r>
              <w:rPr>
                <w:rFonts w:hint="eastAsia" w:ascii="Times New Roman"/>
                <w:sz w:val="21"/>
                <w:szCs w:val="21"/>
              </w:rPr>
              <w:t>强化建筑施工扬尘污染防治，严格落实《河北省扬尘污染防治办法》，对城市建成区、县城建筑施工工地实施全面监管。强化道路扬尘综合治理，按照《河北省城市精细化管理标准》有关要求，全面巩固洁净城市创建成果。</w:t>
            </w:r>
          </w:p>
          <w:p w14:paraId="22DE187C">
            <w:pPr>
              <w:adjustRightInd w:val="0"/>
              <w:snapToGrid w:val="0"/>
              <w:spacing w:line="260" w:lineRule="exact"/>
              <w:rPr>
                <w:rFonts w:ascii="Times New Roman"/>
                <w:sz w:val="21"/>
                <w:szCs w:val="21"/>
              </w:rPr>
            </w:pPr>
            <w:r>
              <w:rPr>
                <w:rFonts w:ascii="Times New Roman"/>
                <w:sz w:val="21"/>
                <w:szCs w:val="21"/>
              </w:rPr>
              <w:t>9、</w:t>
            </w:r>
            <w:r>
              <w:rPr>
                <w:rFonts w:hint="eastAsia" w:ascii="Times New Roman"/>
                <w:sz w:val="21"/>
                <w:szCs w:val="21"/>
              </w:rPr>
              <w:t>深化重点行业深度治理。巩固钢铁、焦化、煤电、水泥、平板玻璃等重点行业超低排放改造成效，实施工艺全流程深度治理，推进全过程无组织排放管控。</w:t>
            </w:r>
          </w:p>
          <w:p w14:paraId="0D8C4436">
            <w:pPr>
              <w:adjustRightInd w:val="0"/>
              <w:snapToGrid w:val="0"/>
              <w:spacing w:line="260" w:lineRule="exact"/>
              <w:rPr>
                <w:rFonts w:ascii="Times New Roman"/>
                <w:sz w:val="21"/>
                <w:szCs w:val="21"/>
              </w:rPr>
            </w:pPr>
            <w:r>
              <w:rPr>
                <w:rFonts w:ascii="Times New Roman"/>
                <w:sz w:val="21"/>
                <w:szCs w:val="21"/>
              </w:rPr>
              <w:t>10、</w:t>
            </w:r>
            <w:r>
              <w:rPr>
                <w:rFonts w:hint="eastAsia" w:ascii="Times New Roman"/>
                <w:sz w:val="21"/>
                <w:szCs w:val="21"/>
              </w:rPr>
              <w:t>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p w14:paraId="268BA7AE">
            <w:pPr>
              <w:adjustRightInd w:val="0"/>
              <w:snapToGrid w:val="0"/>
              <w:spacing w:line="260" w:lineRule="exact"/>
              <w:rPr>
                <w:rFonts w:ascii="Times New Roman"/>
                <w:sz w:val="21"/>
                <w:szCs w:val="21"/>
              </w:rPr>
            </w:pPr>
            <w:r>
              <w:rPr>
                <w:rFonts w:ascii="Times New Roman"/>
                <w:sz w:val="21"/>
                <w:szCs w:val="21"/>
              </w:rPr>
              <w:t>11、</w:t>
            </w:r>
            <w:r>
              <w:rPr>
                <w:rFonts w:hint="eastAsia" w:ascii="Times New Roman"/>
                <w:sz w:val="21"/>
                <w:szCs w:val="21"/>
              </w:rPr>
              <w:t>强化柴油货车污染防治。加快柴油货车治理，推动货运经营整合升级、提质增效，加快规模化发展、连锁化经营。实施清洁柴油车、清洁运输和清洁油品行动，降低污染排放总量。</w:t>
            </w:r>
          </w:p>
          <w:p w14:paraId="02B8960A">
            <w:pPr>
              <w:adjustRightInd w:val="0"/>
              <w:snapToGrid w:val="0"/>
              <w:spacing w:line="260" w:lineRule="exact"/>
              <w:rPr>
                <w:rFonts w:ascii="Times New Roman"/>
                <w:sz w:val="21"/>
                <w:szCs w:val="21"/>
              </w:rPr>
            </w:pPr>
            <w:r>
              <w:rPr>
                <w:rFonts w:ascii="Times New Roman"/>
                <w:sz w:val="21"/>
                <w:szCs w:val="21"/>
              </w:rPr>
              <w:t>12、</w:t>
            </w:r>
            <w:r>
              <w:rPr>
                <w:rFonts w:hint="eastAsia" w:ascii="Times New Roman"/>
                <w:sz w:val="21"/>
                <w:szCs w:val="21"/>
              </w:rPr>
              <w:t>禁止露天焚烧秸秆、落叶、枯草等产生烟尘污染的物质，以及电子废弃物、油毡、橡胶、塑料、皮革、沥青、垃圾等产生有毒有害、恶臭或者强烈异味气体的物质。</w:t>
            </w:r>
          </w:p>
          <w:p w14:paraId="4062D863">
            <w:pPr>
              <w:adjustRightInd w:val="0"/>
              <w:snapToGrid w:val="0"/>
              <w:spacing w:line="260" w:lineRule="exact"/>
              <w:rPr>
                <w:rFonts w:ascii="Times New Roman"/>
                <w:sz w:val="21"/>
                <w:szCs w:val="21"/>
              </w:rPr>
            </w:pPr>
            <w:r>
              <w:rPr>
                <w:rFonts w:ascii="Times New Roman"/>
                <w:sz w:val="21"/>
                <w:szCs w:val="21"/>
              </w:rPr>
              <w:t>13、</w:t>
            </w:r>
            <w:r>
              <w:rPr>
                <w:rFonts w:hint="eastAsia" w:ascii="Times New Roman"/>
                <w:sz w:val="21"/>
                <w:szCs w:val="21"/>
              </w:rPr>
              <w:t>以化工、工业涂装、包装印刷、油品储运销等行业领域为重点，安全高效推进挥发性有机物综合治理，无组织排放和末端深度治理等提升改造工程。</w:t>
            </w:r>
          </w:p>
          <w:p w14:paraId="78B71E5E">
            <w:pPr>
              <w:adjustRightInd w:val="0"/>
              <w:snapToGrid w:val="0"/>
              <w:spacing w:line="260" w:lineRule="exact"/>
              <w:rPr>
                <w:rFonts w:ascii="Times New Roman"/>
                <w:sz w:val="21"/>
                <w:szCs w:val="21"/>
              </w:rPr>
            </w:pPr>
            <w:r>
              <w:rPr>
                <w:rFonts w:ascii="Times New Roman"/>
                <w:sz w:val="21"/>
                <w:szCs w:val="21"/>
              </w:rPr>
              <w:t>14、</w:t>
            </w:r>
            <w:r>
              <w:rPr>
                <w:rFonts w:hint="eastAsia" w:ascii="Times New Roman"/>
                <w:sz w:val="21"/>
                <w:szCs w:val="21"/>
              </w:rPr>
              <w:t>推动大气氨排放控制。加强烟气脱硝和氨法脱硫氨逃逸控制。推进种植业、养殖业大气氨减排，加强源头防控，优化肥料、饲料结构。</w:t>
            </w:r>
          </w:p>
          <w:p w14:paraId="3C34B761">
            <w:pPr>
              <w:adjustRightInd w:val="0"/>
              <w:snapToGrid w:val="0"/>
              <w:spacing w:line="260" w:lineRule="exact"/>
              <w:rPr>
                <w:rFonts w:ascii="Times New Roman"/>
                <w:sz w:val="21"/>
                <w:szCs w:val="21"/>
              </w:rPr>
            </w:pPr>
            <w:r>
              <w:rPr>
                <w:rFonts w:ascii="Times New Roman"/>
                <w:sz w:val="21"/>
                <w:szCs w:val="21"/>
              </w:rPr>
              <w:t>15、</w:t>
            </w:r>
            <w:r>
              <w:rPr>
                <w:rFonts w:hint="eastAsia" w:ascii="Times New Roman"/>
                <w:sz w:val="21"/>
                <w:szCs w:val="21"/>
              </w:rPr>
              <w:t>严格控制二氧化碳排放强度。加强甲烷等非二氧化碳温室气体管控。</w:t>
            </w:r>
          </w:p>
        </w:tc>
        <w:tc>
          <w:tcPr>
            <w:tcW w:w="1393" w:type="pct"/>
            <w:gridSpan w:val="2"/>
            <w:shd w:val="clear" w:color="auto" w:fill="auto"/>
            <w:vAlign w:val="center"/>
          </w:tcPr>
          <w:p w14:paraId="666426E5">
            <w:pPr>
              <w:widowControl/>
              <w:spacing w:line="260" w:lineRule="exact"/>
              <w:rPr>
                <w:rFonts w:ascii="Times New Roman"/>
                <w:sz w:val="21"/>
                <w:szCs w:val="21"/>
              </w:rPr>
            </w:pPr>
            <w:r>
              <w:rPr>
                <w:rFonts w:ascii="Times New Roman"/>
                <w:kern w:val="0"/>
                <w:sz w:val="21"/>
                <w:szCs w:val="21"/>
              </w:rPr>
              <w:t>项目对新增主要废气污染物进行倍量削减；项目不涉及建设锅炉；区域环境随着唐字〔2021〕5号“退后十”攻评价要求项目施工期间按照相关要求严格落实建筑扬尘防治措施。坚行动方案、唐字〔2022〕2号暨稳定“退后十”工作方案的实施，区域颗粒物等污染物排放量将逐渐减少，环境逐步改善</w:t>
            </w:r>
            <w:r>
              <w:rPr>
                <w:rFonts w:ascii="Times New Roman"/>
                <w:spacing w:val="2"/>
                <w:kern w:val="0"/>
                <w:sz w:val="21"/>
                <w:szCs w:val="21"/>
              </w:rPr>
              <w:t>。</w:t>
            </w:r>
          </w:p>
        </w:tc>
        <w:tc>
          <w:tcPr>
            <w:tcW w:w="202" w:type="pct"/>
            <w:vAlign w:val="center"/>
          </w:tcPr>
          <w:p w14:paraId="27782166">
            <w:pPr>
              <w:spacing w:line="260" w:lineRule="exact"/>
              <w:rPr>
                <w:rFonts w:ascii="Times New Roman"/>
                <w:sz w:val="21"/>
                <w:szCs w:val="21"/>
              </w:rPr>
            </w:pPr>
            <w:r>
              <w:rPr>
                <w:rFonts w:ascii="Times New Roman"/>
                <w:sz w:val="21"/>
                <w:szCs w:val="21"/>
              </w:rPr>
              <w:t>符合</w:t>
            </w:r>
          </w:p>
        </w:tc>
      </w:tr>
      <w:tr w14:paraId="484A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46BBEF17">
            <w:pPr>
              <w:spacing w:line="260" w:lineRule="exact"/>
              <w:rPr>
                <w:rFonts w:ascii="Times New Roman"/>
                <w:sz w:val="21"/>
                <w:szCs w:val="21"/>
              </w:rPr>
            </w:pPr>
          </w:p>
        </w:tc>
        <w:tc>
          <w:tcPr>
            <w:tcW w:w="178" w:type="pct"/>
            <w:gridSpan w:val="2"/>
            <w:vMerge w:val="continue"/>
            <w:vAlign w:val="center"/>
          </w:tcPr>
          <w:p w14:paraId="04C68FCB">
            <w:pPr>
              <w:spacing w:line="260" w:lineRule="exact"/>
              <w:jc w:val="center"/>
              <w:rPr>
                <w:rFonts w:ascii="Times New Roman"/>
                <w:sz w:val="21"/>
                <w:szCs w:val="21"/>
              </w:rPr>
            </w:pPr>
          </w:p>
        </w:tc>
        <w:tc>
          <w:tcPr>
            <w:tcW w:w="263" w:type="pct"/>
            <w:gridSpan w:val="2"/>
            <w:vAlign w:val="center"/>
          </w:tcPr>
          <w:p w14:paraId="15B1611C">
            <w:pPr>
              <w:spacing w:line="260" w:lineRule="exact"/>
              <w:jc w:val="center"/>
              <w:rPr>
                <w:rFonts w:ascii="Times New Roman"/>
                <w:sz w:val="21"/>
                <w:szCs w:val="21"/>
              </w:rPr>
            </w:pPr>
            <w:r>
              <w:rPr>
                <w:rFonts w:ascii="Times New Roman"/>
                <w:sz w:val="21"/>
                <w:szCs w:val="21"/>
              </w:rPr>
              <w:t>环境风险管控</w:t>
            </w:r>
          </w:p>
        </w:tc>
        <w:tc>
          <w:tcPr>
            <w:tcW w:w="2736" w:type="pct"/>
            <w:gridSpan w:val="5"/>
            <w:vAlign w:val="center"/>
          </w:tcPr>
          <w:p w14:paraId="0EC15D06">
            <w:pPr>
              <w:adjustRightInd w:val="0"/>
              <w:snapToGrid w:val="0"/>
              <w:spacing w:line="260" w:lineRule="exact"/>
              <w:rPr>
                <w:rFonts w:ascii="Times New Roman"/>
                <w:sz w:val="21"/>
                <w:szCs w:val="21"/>
              </w:rPr>
            </w:pPr>
            <w:r>
              <w:rPr>
                <w:rFonts w:ascii="Times New Roman"/>
                <w:sz w:val="21"/>
                <w:szCs w:val="21"/>
              </w:rPr>
              <w:t>完善市、县、乡、村网格化环境监管体系，建立信息全面、要素齐全、处置高效、决策科学的市级大气环境监管大数据平台，实现对各级网格和各类污染源的集中在线监测、全程监控和监管指挥。</w:t>
            </w:r>
          </w:p>
        </w:tc>
        <w:tc>
          <w:tcPr>
            <w:tcW w:w="1393" w:type="pct"/>
            <w:gridSpan w:val="2"/>
            <w:vAlign w:val="center"/>
          </w:tcPr>
          <w:p w14:paraId="3CC14283">
            <w:pPr>
              <w:widowControl/>
              <w:spacing w:line="260" w:lineRule="exact"/>
              <w:jc w:val="center"/>
              <w:rPr>
                <w:rFonts w:ascii="Times New Roman"/>
                <w:kern w:val="0"/>
                <w:sz w:val="21"/>
                <w:szCs w:val="21"/>
              </w:rPr>
            </w:pPr>
            <w:r>
              <w:rPr>
                <w:rFonts w:hint="eastAsia" w:ascii="Times New Roman"/>
                <w:kern w:val="0"/>
                <w:sz w:val="21"/>
                <w:szCs w:val="21"/>
              </w:rPr>
              <w:t>不涉及</w:t>
            </w:r>
          </w:p>
        </w:tc>
        <w:tc>
          <w:tcPr>
            <w:tcW w:w="202" w:type="pct"/>
            <w:vAlign w:val="center"/>
          </w:tcPr>
          <w:p w14:paraId="555C6327">
            <w:pPr>
              <w:spacing w:line="260" w:lineRule="exact"/>
              <w:rPr>
                <w:rFonts w:ascii="Times New Roman"/>
                <w:sz w:val="21"/>
                <w:szCs w:val="21"/>
              </w:rPr>
            </w:pPr>
            <w:r>
              <w:rPr>
                <w:rFonts w:hint="eastAsia" w:ascii="Times New Roman"/>
                <w:sz w:val="21"/>
                <w:szCs w:val="21"/>
              </w:rPr>
              <w:t>符合</w:t>
            </w:r>
          </w:p>
        </w:tc>
      </w:tr>
      <w:tr w14:paraId="7B25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2F239691">
            <w:pPr>
              <w:spacing w:line="260" w:lineRule="exact"/>
              <w:rPr>
                <w:rFonts w:ascii="Times New Roman"/>
                <w:sz w:val="21"/>
                <w:szCs w:val="21"/>
              </w:rPr>
            </w:pPr>
          </w:p>
        </w:tc>
        <w:tc>
          <w:tcPr>
            <w:tcW w:w="178" w:type="pct"/>
            <w:gridSpan w:val="2"/>
            <w:vMerge w:val="continue"/>
            <w:vAlign w:val="center"/>
          </w:tcPr>
          <w:p w14:paraId="70D95865">
            <w:pPr>
              <w:spacing w:line="260" w:lineRule="exact"/>
              <w:jc w:val="center"/>
              <w:rPr>
                <w:rFonts w:ascii="Times New Roman"/>
                <w:sz w:val="21"/>
                <w:szCs w:val="21"/>
              </w:rPr>
            </w:pPr>
          </w:p>
        </w:tc>
        <w:tc>
          <w:tcPr>
            <w:tcW w:w="263" w:type="pct"/>
            <w:gridSpan w:val="2"/>
            <w:vAlign w:val="center"/>
          </w:tcPr>
          <w:p w14:paraId="673B4A35">
            <w:pPr>
              <w:spacing w:line="260" w:lineRule="exact"/>
              <w:jc w:val="center"/>
              <w:rPr>
                <w:rFonts w:ascii="Times New Roman"/>
                <w:sz w:val="21"/>
                <w:szCs w:val="21"/>
              </w:rPr>
            </w:pPr>
            <w:r>
              <w:rPr>
                <w:rFonts w:ascii="Times New Roman"/>
                <w:sz w:val="21"/>
                <w:szCs w:val="21"/>
              </w:rPr>
              <w:t>资源开发利用</w:t>
            </w:r>
          </w:p>
        </w:tc>
        <w:tc>
          <w:tcPr>
            <w:tcW w:w="2736" w:type="pct"/>
            <w:gridSpan w:val="5"/>
            <w:shd w:val="clear" w:color="auto" w:fill="auto"/>
            <w:vAlign w:val="center"/>
          </w:tcPr>
          <w:p w14:paraId="5A4A91D0">
            <w:pPr>
              <w:adjustRightInd w:val="0"/>
              <w:snapToGrid w:val="0"/>
              <w:spacing w:line="260" w:lineRule="exact"/>
              <w:rPr>
                <w:rFonts w:ascii="Times New Roman"/>
                <w:sz w:val="21"/>
                <w:szCs w:val="21"/>
              </w:rPr>
            </w:pPr>
            <w:r>
              <w:rPr>
                <w:rFonts w:ascii="Times New Roman"/>
                <w:sz w:val="21"/>
                <w:szCs w:val="21"/>
              </w:rPr>
              <w:t>1、</w:t>
            </w:r>
            <w:r>
              <w:rPr>
                <w:rFonts w:hint="eastAsia" w:ascii="Times New Roman"/>
                <w:sz w:val="21"/>
                <w:szCs w:val="21"/>
              </w:rPr>
              <w:t>国家大气污染防治重点区域内新建、改建、扩建用煤项目的，应当实行煤炭的等量或者减量替代。</w:t>
            </w:r>
          </w:p>
          <w:p w14:paraId="19330C11">
            <w:pPr>
              <w:adjustRightInd w:val="0"/>
              <w:snapToGrid w:val="0"/>
              <w:spacing w:line="260" w:lineRule="exact"/>
              <w:rPr>
                <w:rFonts w:ascii="Times New Roman"/>
                <w:sz w:val="21"/>
                <w:szCs w:val="21"/>
              </w:rPr>
            </w:pPr>
            <w:r>
              <w:rPr>
                <w:rFonts w:ascii="Times New Roman"/>
                <w:sz w:val="21"/>
                <w:szCs w:val="21"/>
              </w:rPr>
              <w:t>2、</w:t>
            </w:r>
            <w:r>
              <w:rPr>
                <w:rFonts w:hint="eastAsia" w:ascii="Times New Roman"/>
                <w:sz w:val="21"/>
                <w:szCs w:val="21"/>
              </w:rPr>
              <w:t>实施能源消耗总量和强度双控行动。健全节能标准体系，大力开发、推广节能高效技术和产品，实现重点用能行业、设备节能标准全覆盖。</w:t>
            </w:r>
          </w:p>
          <w:p w14:paraId="7F722EFE">
            <w:pPr>
              <w:adjustRightInd w:val="0"/>
              <w:snapToGrid w:val="0"/>
              <w:spacing w:line="260" w:lineRule="exact"/>
              <w:rPr>
                <w:rFonts w:ascii="Times New Roman"/>
                <w:sz w:val="21"/>
                <w:szCs w:val="21"/>
              </w:rPr>
            </w:pPr>
            <w:r>
              <w:rPr>
                <w:rFonts w:ascii="Times New Roman"/>
                <w:sz w:val="21"/>
                <w:szCs w:val="21"/>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393" w:type="pct"/>
            <w:gridSpan w:val="2"/>
            <w:shd w:val="clear" w:color="auto" w:fill="auto"/>
            <w:vAlign w:val="center"/>
          </w:tcPr>
          <w:p w14:paraId="0E3D2378">
            <w:pPr>
              <w:spacing w:line="260" w:lineRule="exact"/>
              <w:rPr>
                <w:rFonts w:ascii="Times New Roman"/>
                <w:sz w:val="21"/>
                <w:szCs w:val="21"/>
              </w:rPr>
            </w:pPr>
            <w:r>
              <w:rPr>
                <w:rFonts w:hint="eastAsia" w:ascii="Times New Roman"/>
                <w:sz w:val="21"/>
                <w:szCs w:val="21"/>
              </w:rPr>
              <w:t>天然气燃烧机为生产线提供</w:t>
            </w:r>
            <w:r>
              <w:rPr>
                <w:rFonts w:ascii="Times New Roman"/>
                <w:sz w:val="21"/>
                <w:szCs w:val="21"/>
              </w:rPr>
              <w:t>生产用热；</w:t>
            </w:r>
            <w:r>
              <w:rPr>
                <w:rFonts w:hint="eastAsia" w:ascii="Times New Roman"/>
                <w:sz w:val="21"/>
                <w:szCs w:val="21"/>
              </w:rPr>
              <w:t>厂区供暖采用风冷热泵、中央空调</w:t>
            </w:r>
            <w:r>
              <w:rPr>
                <w:rFonts w:ascii="Times New Roman"/>
                <w:sz w:val="21"/>
                <w:szCs w:val="21"/>
              </w:rPr>
              <w:t>。</w:t>
            </w:r>
          </w:p>
        </w:tc>
        <w:tc>
          <w:tcPr>
            <w:tcW w:w="202" w:type="pct"/>
            <w:vAlign w:val="center"/>
          </w:tcPr>
          <w:p w14:paraId="5E24A06D">
            <w:pPr>
              <w:spacing w:line="260" w:lineRule="exact"/>
              <w:rPr>
                <w:rFonts w:ascii="Times New Roman"/>
                <w:sz w:val="21"/>
                <w:szCs w:val="21"/>
              </w:rPr>
            </w:pPr>
            <w:r>
              <w:rPr>
                <w:rFonts w:ascii="Times New Roman"/>
                <w:sz w:val="21"/>
                <w:szCs w:val="21"/>
              </w:rPr>
              <w:t>符合</w:t>
            </w:r>
          </w:p>
        </w:tc>
      </w:tr>
      <w:tr w14:paraId="7060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restart"/>
            <w:vAlign w:val="center"/>
          </w:tcPr>
          <w:p w14:paraId="5B44A31E">
            <w:pPr>
              <w:spacing w:line="260" w:lineRule="exact"/>
              <w:rPr>
                <w:rFonts w:ascii="Times New Roman"/>
                <w:sz w:val="21"/>
                <w:szCs w:val="21"/>
              </w:rPr>
            </w:pPr>
            <w:r>
              <w:rPr>
                <w:rFonts w:ascii="Times New Roman"/>
                <w:sz w:val="21"/>
                <w:szCs w:val="21"/>
              </w:rPr>
              <w:t>7</w:t>
            </w:r>
          </w:p>
        </w:tc>
        <w:tc>
          <w:tcPr>
            <w:tcW w:w="178" w:type="pct"/>
            <w:gridSpan w:val="2"/>
            <w:vMerge w:val="restart"/>
            <w:vAlign w:val="center"/>
          </w:tcPr>
          <w:p w14:paraId="5BF798DF">
            <w:pPr>
              <w:adjustRightInd w:val="0"/>
              <w:snapToGrid w:val="0"/>
              <w:spacing w:line="260" w:lineRule="exact"/>
              <w:jc w:val="center"/>
              <w:rPr>
                <w:rFonts w:ascii="Times New Roman"/>
                <w:sz w:val="21"/>
                <w:szCs w:val="21"/>
              </w:rPr>
            </w:pPr>
            <w:r>
              <w:rPr>
                <w:rFonts w:ascii="Times New Roman"/>
                <w:sz w:val="21"/>
                <w:szCs w:val="21"/>
              </w:rPr>
              <w:t>地表水环境</w:t>
            </w:r>
          </w:p>
        </w:tc>
        <w:tc>
          <w:tcPr>
            <w:tcW w:w="263" w:type="pct"/>
            <w:gridSpan w:val="2"/>
            <w:vAlign w:val="center"/>
          </w:tcPr>
          <w:p w14:paraId="6FBC1E31">
            <w:pPr>
              <w:adjustRightInd w:val="0"/>
              <w:snapToGrid w:val="0"/>
              <w:spacing w:line="260" w:lineRule="exact"/>
              <w:jc w:val="center"/>
              <w:rPr>
                <w:rFonts w:ascii="Times New Roman"/>
                <w:sz w:val="21"/>
                <w:szCs w:val="21"/>
              </w:rPr>
            </w:pPr>
            <w:r>
              <w:rPr>
                <w:rFonts w:ascii="Times New Roman"/>
                <w:sz w:val="21"/>
                <w:szCs w:val="21"/>
              </w:rPr>
              <w:t>空间布局约束</w:t>
            </w:r>
          </w:p>
        </w:tc>
        <w:tc>
          <w:tcPr>
            <w:tcW w:w="2736" w:type="pct"/>
            <w:gridSpan w:val="5"/>
            <w:shd w:val="clear" w:color="auto" w:fill="auto"/>
            <w:vAlign w:val="center"/>
          </w:tcPr>
          <w:p w14:paraId="25A9267C">
            <w:pPr>
              <w:adjustRightInd w:val="0"/>
              <w:snapToGrid w:val="0"/>
              <w:spacing w:line="260" w:lineRule="exact"/>
              <w:rPr>
                <w:rFonts w:ascii="Times New Roman"/>
                <w:sz w:val="21"/>
                <w:szCs w:val="21"/>
              </w:rPr>
            </w:pPr>
            <w:r>
              <w:rPr>
                <w:rFonts w:ascii="Times New Roman"/>
                <w:sz w:val="21"/>
                <w:szCs w:val="21"/>
              </w:rPr>
              <w:t>1、</w:t>
            </w:r>
            <w:r>
              <w:rPr>
                <w:rFonts w:hint="eastAsia" w:ascii="Times New Roman"/>
                <w:sz w:val="21"/>
                <w:szCs w:val="21"/>
              </w:rPr>
              <w:t>涉地表水自然保护区、湿地公园、饮用水水源保护区管控参照生态环境空间总体管控要求中各类保护地总体管控要求</w:t>
            </w:r>
            <w:r>
              <w:rPr>
                <w:rFonts w:ascii="Times New Roman"/>
                <w:sz w:val="21"/>
                <w:szCs w:val="21"/>
              </w:rPr>
              <w:t>。</w:t>
            </w:r>
          </w:p>
          <w:p w14:paraId="2FBBB609">
            <w:pPr>
              <w:adjustRightInd w:val="0"/>
              <w:snapToGrid w:val="0"/>
              <w:spacing w:line="260" w:lineRule="exact"/>
              <w:rPr>
                <w:rFonts w:ascii="Times New Roman"/>
                <w:sz w:val="21"/>
                <w:szCs w:val="21"/>
              </w:rPr>
            </w:pPr>
            <w:r>
              <w:rPr>
                <w:rFonts w:ascii="Times New Roman"/>
                <w:sz w:val="21"/>
                <w:szCs w:val="21"/>
              </w:rPr>
              <w:t>2、鼓励发展节水高效现代农业、低耗水高新技术产业以及生态保护型旅游业，严格控制缺水地区、水污染严重地区和敏感区域高耗水、高污染行业发展。</w:t>
            </w:r>
          </w:p>
          <w:p w14:paraId="20EFF6D6">
            <w:pPr>
              <w:adjustRightInd w:val="0"/>
              <w:snapToGrid w:val="0"/>
              <w:spacing w:line="260" w:lineRule="exact"/>
              <w:rPr>
                <w:rFonts w:ascii="Times New Roman"/>
                <w:sz w:val="21"/>
                <w:szCs w:val="21"/>
              </w:rPr>
            </w:pPr>
            <w:r>
              <w:rPr>
                <w:rFonts w:ascii="Times New Roman"/>
                <w:sz w:val="21"/>
                <w:szCs w:val="21"/>
              </w:rPr>
              <w:t>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p w14:paraId="3BE7C5BE">
            <w:pPr>
              <w:adjustRightInd w:val="0"/>
              <w:snapToGrid w:val="0"/>
              <w:spacing w:line="260" w:lineRule="exact"/>
              <w:rPr>
                <w:rFonts w:ascii="Times New Roman"/>
                <w:sz w:val="21"/>
                <w:szCs w:val="21"/>
              </w:rPr>
            </w:pPr>
            <w:r>
              <w:rPr>
                <w:rFonts w:ascii="Times New Roman"/>
                <w:sz w:val="21"/>
                <w:szCs w:val="21"/>
              </w:rPr>
              <w:t>4、</w:t>
            </w:r>
            <w:r>
              <w:rPr>
                <w:rFonts w:hint="eastAsia" w:ascii="Times New Roman"/>
                <w:sz w:val="21"/>
                <w:szCs w:val="21"/>
              </w:rPr>
              <w:t>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p w14:paraId="5FD35102">
            <w:pPr>
              <w:adjustRightInd w:val="0"/>
              <w:snapToGrid w:val="0"/>
              <w:spacing w:line="260" w:lineRule="exact"/>
              <w:rPr>
                <w:rFonts w:ascii="Times New Roman"/>
                <w:sz w:val="21"/>
                <w:szCs w:val="21"/>
              </w:rPr>
            </w:pPr>
            <w:r>
              <w:rPr>
                <w:rFonts w:ascii="Times New Roman"/>
                <w:sz w:val="21"/>
                <w:szCs w:val="21"/>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393" w:type="pct"/>
            <w:gridSpan w:val="2"/>
            <w:shd w:val="clear" w:color="auto" w:fill="auto"/>
            <w:vAlign w:val="center"/>
          </w:tcPr>
          <w:p w14:paraId="2D03CC9F">
            <w:pPr>
              <w:spacing w:line="260" w:lineRule="exact"/>
              <w:rPr>
                <w:rFonts w:ascii="Times New Roman"/>
                <w:sz w:val="21"/>
                <w:szCs w:val="21"/>
              </w:rPr>
            </w:pPr>
            <w:r>
              <w:rPr>
                <w:rFonts w:hint="eastAsia" w:ascii="Times New Roman"/>
                <w:sz w:val="21"/>
                <w:szCs w:val="21"/>
              </w:rPr>
              <w:t>曹妃甸工业区装备园区区域规划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w:t>
            </w:r>
            <w:r>
              <w:rPr>
                <w:rFonts w:ascii="Times New Roman"/>
                <w:sz w:val="21"/>
                <w:szCs w:val="21"/>
              </w:rPr>
              <w:t>本项目厂区位于曹妃甸循环经济示范区装备园区，</w:t>
            </w:r>
            <w:r>
              <w:rPr>
                <w:rFonts w:ascii="Times New Roman"/>
                <w:snapToGrid w:val="0"/>
                <w:sz w:val="21"/>
                <w:szCs w:val="21"/>
              </w:rPr>
              <w:t>所属行业为</w:t>
            </w:r>
            <w:r>
              <w:rPr>
                <w:rFonts w:hint="eastAsia" w:ascii="Times New Roman"/>
                <w:sz w:val="21"/>
                <w:szCs w:val="21"/>
              </w:rPr>
              <w:t>C</w:t>
            </w:r>
            <w:r>
              <w:rPr>
                <w:rFonts w:ascii="Times New Roman"/>
                <w:sz w:val="21"/>
                <w:szCs w:val="21"/>
              </w:rPr>
              <w:t>3434</w:t>
            </w:r>
            <w:r>
              <w:rPr>
                <w:rFonts w:hint="eastAsia" w:ascii="Times New Roman"/>
                <w:sz w:val="21"/>
                <w:szCs w:val="21"/>
              </w:rPr>
              <w:t>连续搬运设备制造</w:t>
            </w:r>
            <w:r>
              <w:rPr>
                <w:rFonts w:ascii="Times New Roman"/>
                <w:snapToGrid w:val="0"/>
                <w:sz w:val="21"/>
                <w:szCs w:val="21"/>
              </w:rPr>
              <w:t>，符合园区规划</w:t>
            </w:r>
            <w:r>
              <w:rPr>
                <w:rFonts w:ascii="Times New Roman"/>
                <w:sz w:val="21"/>
                <w:szCs w:val="21"/>
              </w:rPr>
              <w:t>，</w:t>
            </w:r>
            <w:r>
              <w:rPr>
                <w:rFonts w:ascii="Times New Roman"/>
                <w:snapToGrid w:val="0"/>
                <w:sz w:val="21"/>
                <w:szCs w:val="21"/>
              </w:rPr>
              <w:t>为满足市场需求，</w:t>
            </w:r>
            <w:r>
              <w:rPr>
                <w:rFonts w:ascii="Times New Roman"/>
                <w:bCs/>
                <w:sz w:val="21"/>
                <w:szCs w:val="21"/>
              </w:rPr>
              <w:t>本次项目实施后</w:t>
            </w:r>
            <w:r>
              <w:rPr>
                <w:rFonts w:hint="eastAsia" w:ascii="Times New Roman"/>
                <w:bCs/>
                <w:sz w:val="21"/>
                <w:szCs w:val="21"/>
              </w:rPr>
              <w:t>年产数字孪生智能输送机4万米</w:t>
            </w:r>
            <w:r>
              <w:rPr>
                <w:rFonts w:hint="eastAsia" w:ascii="Times New Roman"/>
                <w:sz w:val="21"/>
                <w:szCs w:val="21"/>
              </w:rPr>
              <w:t>，园区已同意本次项目实施的意见，项目符合园区产业规划布局要求。</w:t>
            </w:r>
          </w:p>
        </w:tc>
        <w:tc>
          <w:tcPr>
            <w:tcW w:w="202" w:type="pct"/>
            <w:vAlign w:val="center"/>
          </w:tcPr>
          <w:p w14:paraId="499E04FA">
            <w:pPr>
              <w:spacing w:line="260" w:lineRule="exact"/>
              <w:rPr>
                <w:rFonts w:ascii="Times New Roman"/>
                <w:sz w:val="21"/>
                <w:szCs w:val="21"/>
              </w:rPr>
            </w:pPr>
            <w:r>
              <w:rPr>
                <w:rFonts w:ascii="Times New Roman"/>
                <w:sz w:val="21"/>
                <w:szCs w:val="21"/>
              </w:rPr>
              <w:t>符合</w:t>
            </w:r>
          </w:p>
        </w:tc>
      </w:tr>
      <w:tr w14:paraId="50E1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154D550A">
            <w:pPr>
              <w:spacing w:line="260" w:lineRule="exact"/>
              <w:rPr>
                <w:rFonts w:ascii="Times New Roman"/>
                <w:sz w:val="21"/>
                <w:szCs w:val="21"/>
              </w:rPr>
            </w:pPr>
          </w:p>
        </w:tc>
        <w:tc>
          <w:tcPr>
            <w:tcW w:w="178" w:type="pct"/>
            <w:gridSpan w:val="2"/>
            <w:vMerge w:val="continue"/>
            <w:vAlign w:val="center"/>
          </w:tcPr>
          <w:p w14:paraId="14C89F07">
            <w:pPr>
              <w:adjustRightInd w:val="0"/>
              <w:snapToGrid w:val="0"/>
              <w:spacing w:line="260" w:lineRule="exact"/>
              <w:jc w:val="center"/>
              <w:rPr>
                <w:rFonts w:ascii="Times New Roman"/>
                <w:sz w:val="21"/>
                <w:szCs w:val="21"/>
              </w:rPr>
            </w:pPr>
          </w:p>
        </w:tc>
        <w:tc>
          <w:tcPr>
            <w:tcW w:w="263" w:type="pct"/>
            <w:gridSpan w:val="2"/>
            <w:vAlign w:val="center"/>
          </w:tcPr>
          <w:p w14:paraId="77C08FF6">
            <w:pPr>
              <w:adjustRightInd w:val="0"/>
              <w:snapToGrid w:val="0"/>
              <w:spacing w:line="260" w:lineRule="exact"/>
              <w:jc w:val="center"/>
              <w:rPr>
                <w:rFonts w:ascii="Times New Roman"/>
                <w:sz w:val="21"/>
                <w:szCs w:val="21"/>
              </w:rPr>
            </w:pPr>
            <w:r>
              <w:rPr>
                <w:rFonts w:ascii="Times New Roman"/>
                <w:sz w:val="21"/>
                <w:szCs w:val="21"/>
              </w:rPr>
              <w:t>污染物排放管控</w:t>
            </w:r>
          </w:p>
        </w:tc>
        <w:tc>
          <w:tcPr>
            <w:tcW w:w="2736" w:type="pct"/>
            <w:gridSpan w:val="5"/>
            <w:vAlign w:val="center"/>
          </w:tcPr>
          <w:p w14:paraId="76184F20">
            <w:pPr>
              <w:adjustRightInd w:val="0"/>
              <w:snapToGrid w:val="0"/>
              <w:spacing w:line="260" w:lineRule="exact"/>
              <w:rPr>
                <w:rFonts w:ascii="Times New Roman"/>
                <w:sz w:val="21"/>
                <w:szCs w:val="21"/>
              </w:rPr>
            </w:pPr>
            <w:r>
              <w:rPr>
                <w:rFonts w:ascii="Times New Roman"/>
                <w:sz w:val="21"/>
                <w:szCs w:val="21"/>
              </w:rPr>
              <w:t>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p w14:paraId="5CD5122E">
            <w:pPr>
              <w:adjustRightInd w:val="0"/>
              <w:snapToGrid w:val="0"/>
              <w:spacing w:line="260" w:lineRule="exact"/>
              <w:rPr>
                <w:rFonts w:ascii="Times New Roman"/>
                <w:sz w:val="21"/>
                <w:szCs w:val="21"/>
              </w:rPr>
            </w:pPr>
            <w:r>
              <w:rPr>
                <w:rFonts w:ascii="Times New Roman"/>
                <w:sz w:val="21"/>
                <w:szCs w:val="21"/>
              </w:rPr>
              <w:t>2、全面加强城镇污水管网建设，提升污水收集能力。扩大城镇污水管网覆盖范围，推进新 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p w14:paraId="47413A0D">
            <w:pPr>
              <w:adjustRightInd w:val="0"/>
              <w:snapToGrid w:val="0"/>
              <w:spacing w:line="260" w:lineRule="exact"/>
              <w:rPr>
                <w:rFonts w:ascii="Times New Roman"/>
                <w:sz w:val="21"/>
                <w:szCs w:val="21"/>
              </w:rPr>
            </w:pPr>
            <w:r>
              <w:rPr>
                <w:rFonts w:ascii="Times New Roman"/>
                <w:sz w:val="21"/>
                <w:szCs w:val="21"/>
              </w:rPr>
              <w:t>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p w14:paraId="1464361B">
            <w:pPr>
              <w:adjustRightInd w:val="0"/>
              <w:snapToGrid w:val="0"/>
              <w:spacing w:line="260" w:lineRule="exact"/>
              <w:rPr>
                <w:rFonts w:ascii="Times New Roman"/>
                <w:sz w:val="21"/>
                <w:szCs w:val="21"/>
              </w:rPr>
            </w:pPr>
            <w:r>
              <w:rPr>
                <w:rFonts w:ascii="Times New Roman"/>
                <w:sz w:val="21"/>
                <w:szCs w:val="21"/>
              </w:rPr>
              <w:t>4、推进农业面源污染治理。减少化肥农药使用量，严格控制高毒高风险农药使用，推进有机肥替代化肥、病虫害绿色防控替代化学防治，积极推进废旧农膜回收，完善废旧地膜和包装废 弃物等回收处理制度。</w:t>
            </w:r>
          </w:p>
          <w:p w14:paraId="493EFA03">
            <w:pPr>
              <w:adjustRightInd w:val="0"/>
              <w:snapToGrid w:val="0"/>
              <w:spacing w:line="260" w:lineRule="exact"/>
              <w:rPr>
                <w:rFonts w:ascii="Times New Roman"/>
                <w:sz w:val="21"/>
                <w:szCs w:val="21"/>
              </w:rPr>
            </w:pPr>
            <w:r>
              <w:rPr>
                <w:rFonts w:ascii="Times New Roman"/>
                <w:sz w:val="21"/>
                <w:szCs w:val="21"/>
              </w:rPr>
              <w:t>5、推进养殖废弃物资源化利用。坚持种植和养殖相结合，就地就近消纳利用畜禽养殖废弃 物。合理布局水产养殖空间，深入推进生态健康养殖，开展重点河流湖库及近岸海域破坏生态环 境的养殖方式综合整治。</w:t>
            </w:r>
          </w:p>
          <w:p w14:paraId="20EB733B">
            <w:pPr>
              <w:adjustRightInd w:val="0"/>
              <w:snapToGrid w:val="0"/>
              <w:spacing w:line="260" w:lineRule="exact"/>
              <w:rPr>
                <w:rFonts w:ascii="Times New Roman"/>
                <w:sz w:val="21"/>
                <w:szCs w:val="21"/>
              </w:rPr>
            </w:pPr>
            <w:r>
              <w:rPr>
                <w:rFonts w:ascii="Times New Roman"/>
                <w:sz w:val="21"/>
                <w:szCs w:val="21"/>
              </w:rPr>
              <w:t>6、实施总氮排放总量控制，新建、改建、扩建涉及总氮排放的建设项目，实施总氮排放总量指标减量替代，并在相关单位排污许可证中予以明确、严格落实，严控新增总氮排放量。</w:t>
            </w:r>
          </w:p>
        </w:tc>
        <w:tc>
          <w:tcPr>
            <w:tcW w:w="1393" w:type="pct"/>
            <w:gridSpan w:val="2"/>
            <w:vAlign w:val="center"/>
          </w:tcPr>
          <w:p w14:paraId="0895A14D">
            <w:pPr>
              <w:spacing w:line="260" w:lineRule="exact"/>
              <w:rPr>
                <w:rFonts w:ascii="Times New Roman"/>
                <w:kern w:val="0"/>
                <w:sz w:val="21"/>
                <w:szCs w:val="21"/>
              </w:rPr>
            </w:pPr>
            <w:r>
              <w:rPr>
                <w:rFonts w:ascii="Times New Roman"/>
                <w:sz w:val="21"/>
                <w:szCs w:val="21"/>
              </w:rPr>
              <w:t>项目不属于</w:t>
            </w:r>
            <w:r>
              <w:rPr>
                <w:rFonts w:ascii="Times New Roman"/>
                <w:kern w:val="0"/>
                <w:sz w:val="21"/>
                <w:szCs w:val="21"/>
              </w:rPr>
              <w:t>“十大”重点行业</w:t>
            </w:r>
            <w:r>
              <w:rPr>
                <w:rFonts w:hint="eastAsia" w:ascii="Times New Roman"/>
                <w:kern w:val="0"/>
                <w:sz w:val="21"/>
                <w:szCs w:val="21"/>
              </w:rPr>
              <w:t>。</w:t>
            </w:r>
          </w:p>
          <w:p w14:paraId="49B08223">
            <w:pPr>
              <w:widowControl/>
              <w:spacing w:line="260" w:lineRule="exact"/>
              <w:rPr>
                <w:rFonts w:ascii="Times New Roman"/>
                <w:kern w:val="0"/>
                <w:sz w:val="21"/>
                <w:szCs w:val="21"/>
              </w:rPr>
            </w:pPr>
            <w:r>
              <w:rPr>
                <w:rFonts w:ascii="Times New Roman"/>
                <w:kern w:val="0"/>
                <w:sz w:val="21"/>
                <w:szCs w:val="21"/>
              </w:rPr>
              <w:t>项目</w:t>
            </w:r>
            <w:r>
              <w:rPr>
                <w:rFonts w:hint="eastAsia" w:ascii="Times New Roman"/>
                <w:kern w:val="0"/>
                <w:sz w:val="21"/>
                <w:szCs w:val="21"/>
              </w:rPr>
              <w:t>废水经自建污水处理设施净化达标后</w:t>
            </w:r>
            <w:r>
              <w:rPr>
                <w:rFonts w:ascii="Times New Roman"/>
                <w:kern w:val="0"/>
                <w:sz w:val="21"/>
                <w:szCs w:val="21"/>
              </w:rPr>
              <w:t>经</w:t>
            </w:r>
            <w:r>
              <w:rPr>
                <w:rFonts w:hint="eastAsia" w:ascii="Times New Roman"/>
                <w:kern w:val="0"/>
                <w:sz w:val="21"/>
                <w:szCs w:val="21"/>
              </w:rPr>
              <w:t>市政</w:t>
            </w:r>
            <w:r>
              <w:rPr>
                <w:rFonts w:ascii="Times New Roman"/>
                <w:kern w:val="0"/>
                <w:sz w:val="21"/>
                <w:szCs w:val="21"/>
              </w:rPr>
              <w:t>污水管网送至</w:t>
            </w:r>
            <w:r>
              <w:rPr>
                <w:rFonts w:hint="eastAsia" w:ascii="Times New Roman"/>
                <w:kern w:val="0"/>
                <w:sz w:val="21"/>
                <w:szCs w:val="21"/>
              </w:rPr>
              <w:t>曹妃甸装备制造区污水处理站进一步处理</w:t>
            </w:r>
            <w:r>
              <w:rPr>
                <w:rFonts w:ascii="Times New Roman"/>
                <w:kern w:val="0"/>
                <w:sz w:val="21"/>
                <w:szCs w:val="21"/>
              </w:rPr>
              <w:t>，不直接外排地表水体。</w:t>
            </w:r>
          </w:p>
        </w:tc>
        <w:tc>
          <w:tcPr>
            <w:tcW w:w="202" w:type="pct"/>
            <w:vAlign w:val="center"/>
          </w:tcPr>
          <w:p w14:paraId="352C5187">
            <w:pPr>
              <w:spacing w:line="260" w:lineRule="exact"/>
              <w:rPr>
                <w:rFonts w:ascii="Times New Roman"/>
                <w:sz w:val="21"/>
                <w:szCs w:val="21"/>
              </w:rPr>
            </w:pPr>
            <w:r>
              <w:rPr>
                <w:rFonts w:ascii="Times New Roman"/>
                <w:sz w:val="21"/>
                <w:szCs w:val="21"/>
              </w:rPr>
              <w:t>符合</w:t>
            </w:r>
          </w:p>
        </w:tc>
      </w:tr>
      <w:tr w14:paraId="0411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7159C890">
            <w:pPr>
              <w:spacing w:line="260" w:lineRule="exact"/>
              <w:rPr>
                <w:rFonts w:ascii="Times New Roman"/>
                <w:sz w:val="21"/>
                <w:szCs w:val="21"/>
              </w:rPr>
            </w:pPr>
          </w:p>
        </w:tc>
        <w:tc>
          <w:tcPr>
            <w:tcW w:w="178" w:type="pct"/>
            <w:gridSpan w:val="2"/>
            <w:vMerge w:val="continue"/>
            <w:vAlign w:val="center"/>
          </w:tcPr>
          <w:p w14:paraId="7C8047F4">
            <w:pPr>
              <w:adjustRightInd w:val="0"/>
              <w:snapToGrid w:val="0"/>
              <w:spacing w:line="260" w:lineRule="exact"/>
              <w:jc w:val="center"/>
              <w:rPr>
                <w:rFonts w:ascii="Times New Roman"/>
                <w:sz w:val="21"/>
                <w:szCs w:val="21"/>
              </w:rPr>
            </w:pPr>
          </w:p>
        </w:tc>
        <w:tc>
          <w:tcPr>
            <w:tcW w:w="263" w:type="pct"/>
            <w:gridSpan w:val="2"/>
            <w:vAlign w:val="center"/>
          </w:tcPr>
          <w:p w14:paraId="0E4C1504">
            <w:pPr>
              <w:spacing w:line="260" w:lineRule="exact"/>
              <w:jc w:val="center"/>
              <w:rPr>
                <w:rFonts w:ascii="Times New Roman"/>
                <w:sz w:val="21"/>
                <w:szCs w:val="21"/>
              </w:rPr>
            </w:pPr>
            <w:r>
              <w:rPr>
                <w:rFonts w:ascii="Times New Roman"/>
                <w:sz w:val="21"/>
                <w:szCs w:val="21"/>
              </w:rPr>
              <w:t>环境风险管控</w:t>
            </w:r>
          </w:p>
        </w:tc>
        <w:tc>
          <w:tcPr>
            <w:tcW w:w="2736" w:type="pct"/>
            <w:gridSpan w:val="5"/>
            <w:vAlign w:val="center"/>
          </w:tcPr>
          <w:p w14:paraId="0E5C68D7">
            <w:pPr>
              <w:adjustRightInd w:val="0"/>
              <w:snapToGrid w:val="0"/>
              <w:spacing w:line="260" w:lineRule="exact"/>
              <w:rPr>
                <w:rFonts w:ascii="Times New Roman"/>
                <w:sz w:val="21"/>
                <w:szCs w:val="21"/>
              </w:rPr>
            </w:pPr>
            <w:r>
              <w:rPr>
                <w:rFonts w:ascii="Times New Roman"/>
                <w:sz w:val="21"/>
                <w:szCs w:val="21"/>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1393" w:type="pct"/>
            <w:gridSpan w:val="2"/>
            <w:vAlign w:val="center"/>
          </w:tcPr>
          <w:p w14:paraId="2396504E">
            <w:pPr>
              <w:spacing w:line="260" w:lineRule="exact"/>
              <w:rPr>
                <w:rFonts w:ascii="Times New Roman"/>
                <w:sz w:val="21"/>
                <w:szCs w:val="21"/>
              </w:rPr>
            </w:pPr>
            <w:r>
              <w:rPr>
                <w:rFonts w:hint="eastAsia" w:ascii="Times New Roman"/>
                <w:sz w:val="21"/>
                <w:szCs w:val="21"/>
              </w:rPr>
              <w:t>项目评价范围内不涉及</w:t>
            </w:r>
            <w:r>
              <w:rPr>
                <w:rFonts w:ascii="Times New Roman"/>
                <w:sz w:val="21"/>
                <w:szCs w:val="21"/>
              </w:rPr>
              <w:t>水源地</w:t>
            </w:r>
            <w:r>
              <w:rPr>
                <w:rFonts w:hint="eastAsia" w:ascii="Times New Roman"/>
                <w:sz w:val="21"/>
                <w:szCs w:val="21"/>
              </w:rPr>
              <w:t>。</w:t>
            </w:r>
          </w:p>
        </w:tc>
        <w:tc>
          <w:tcPr>
            <w:tcW w:w="202" w:type="pct"/>
            <w:vAlign w:val="center"/>
          </w:tcPr>
          <w:p w14:paraId="571AEFAA">
            <w:pPr>
              <w:spacing w:line="260" w:lineRule="exact"/>
              <w:rPr>
                <w:rFonts w:ascii="Times New Roman"/>
                <w:sz w:val="21"/>
                <w:szCs w:val="21"/>
              </w:rPr>
            </w:pPr>
            <w:r>
              <w:rPr>
                <w:rFonts w:hint="eastAsia" w:ascii="Times New Roman"/>
                <w:sz w:val="21"/>
                <w:szCs w:val="21"/>
              </w:rPr>
              <w:t>符合</w:t>
            </w:r>
          </w:p>
        </w:tc>
      </w:tr>
      <w:tr w14:paraId="3D42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0B6927D1">
            <w:pPr>
              <w:spacing w:line="260" w:lineRule="exact"/>
              <w:rPr>
                <w:rFonts w:ascii="Times New Roman"/>
                <w:sz w:val="21"/>
                <w:szCs w:val="21"/>
              </w:rPr>
            </w:pPr>
          </w:p>
        </w:tc>
        <w:tc>
          <w:tcPr>
            <w:tcW w:w="178" w:type="pct"/>
            <w:gridSpan w:val="2"/>
            <w:vMerge w:val="continue"/>
            <w:vAlign w:val="center"/>
          </w:tcPr>
          <w:p w14:paraId="7D330BE1">
            <w:pPr>
              <w:adjustRightInd w:val="0"/>
              <w:snapToGrid w:val="0"/>
              <w:spacing w:line="260" w:lineRule="exact"/>
              <w:jc w:val="center"/>
              <w:rPr>
                <w:rFonts w:ascii="Times New Roman"/>
                <w:sz w:val="21"/>
                <w:szCs w:val="21"/>
              </w:rPr>
            </w:pPr>
          </w:p>
        </w:tc>
        <w:tc>
          <w:tcPr>
            <w:tcW w:w="263" w:type="pct"/>
            <w:gridSpan w:val="2"/>
            <w:vAlign w:val="center"/>
          </w:tcPr>
          <w:p w14:paraId="4B2C2FA3">
            <w:pPr>
              <w:spacing w:line="260" w:lineRule="exact"/>
              <w:jc w:val="center"/>
              <w:rPr>
                <w:rFonts w:ascii="Times New Roman"/>
                <w:sz w:val="21"/>
                <w:szCs w:val="21"/>
              </w:rPr>
            </w:pPr>
            <w:r>
              <w:rPr>
                <w:rFonts w:ascii="Times New Roman"/>
                <w:sz w:val="21"/>
                <w:szCs w:val="21"/>
              </w:rPr>
              <w:t>资源开发利用</w:t>
            </w:r>
          </w:p>
        </w:tc>
        <w:tc>
          <w:tcPr>
            <w:tcW w:w="2736" w:type="pct"/>
            <w:gridSpan w:val="5"/>
            <w:vAlign w:val="center"/>
          </w:tcPr>
          <w:p w14:paraId="17566DCE">
            <w:pPr>
              <w:adjustRightInd w:val="0"/>
              <w:snapToGrid w:val="0"/>
              <w:spacing w:line="260" w:lineRule="exact"/>
              <w:rPr>
                <w:rFonts w:ascii="Times New Roman"/>
                <w:sz w:val="21"/>
                <w:szCs w:val="21"/>
              </w:rPr>
            </w:pPr>
            <w:r>
              <w:rPr>
                <w:rFonts w:ascii="Times New Roman"/>
                <w:sz w:val="21"/>
                <w:szCs w:val="21"/>
              </w:rPr>
              <w:t>1、开展用水效率评估，建立万元工业增加值水耗指标等用水效率评估体系，把节水目标任务完成情况纳入地方政府政绩考核。将再生水、雨水和微咸水等非常规水源纳入水资源统一配置。</w:t>
            </w:r>
          </w:p>
          <w:p w14:paraId="0528D8D5">
            <w:pPr>
              <w:adjustRightInd w:val="0"/>
              <w:snapToGrid w:val="0"/>
              <w:spacing w:line="260" w:lineRule="exact"/>
              <w:rPr>
                <w:rFonts w:ascii="Times New Roman"/>
                <w:sz w:val="21"/>
                <w:szCs w:val="21"/>
              </w:rPr>
            </w:pPr>
            <w:r>
              <w:rPr>
                <w:rFonts w:ascii="Times New Roman"/>
                <w:sz w:val="21"/>
                <w:szCs w:val="21"/>
              </w:rPr>
              <w:t>2、发展农业节水。调整农业种植结构，发展旱作节水农业，推进田间节水设施建设，大力 推广耐旱节水品种、耕作保墒、地膜覆盖、秸秆还田、水肥一体化等农业综合节水技术。推广渠 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1393" w:type="pct"/>
            <w:gridSpan w:val="2"/>
            <w:vAlign w:val="center"/>
          </w:tcPr>
          <w:p w14:paraId="201BD6FF">
            <w:pPr>
              <w:spacing w:line="260" w:lineRule="exact"/>
              <w:rPr>
                <w:rFonts w:ascii="Times New Roman"/>
                <w:sz w:val="21"/>
                <w:szCs w:val="21"/>
              </w:rPr>
            </w:pPr>
            <w:r>
              <w:rPr>
                <w:rFonts w:hint="eastAsia" w:ascii="Times New Roman"/>
                <w:sz w:val="21"/>
                <w:szCs w:val="21"/>
              </w:rPr>
              <w:t>本项目冷却水循环使用，可减少新水使用量。</w:t>
            </w:r>
          </w:p>
        </w:tc>
        <w:tc>
          <w:tcPr>
            <w:tcW w:w="202" w:type="pct"/>
            <w:vAlign w:val="center"/>
          </w:tcPr>
          <w:p w14:paraId="28ABDEE9">
            <w:pPr>
              <w:spacing w:line="260" w:lineRule="exact"/>
              <w:rPr>
                <w:rFonts w:ascii="Times New Roman"/>
                <w:sz w:val="21"/>
                <w:szCs w:val="21"/>
              </w:rPr>
            </w:pPr>
            <w:r>
              <w:rPr>
                <w:rFonts w:hint="eastAsia" w:ascii="Times New Roman"/>
                <w:sz w:val="21"/>
                <w:szCs w:val="21"/>
              </w:rPr>
              <w:t>符合</w:t>
            </w:r>
          </w:p>
        </w:tc>
      </w:tr>
      <w:tr w14:paraId="0C82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restart"/>
            <w:vAlign w:val="center"/>
          </w:tcPr>
          <w:p w14:paraId="1D40EF8A">
            <w:pPr>
              <w:spacing w:line="260" w:lineRule="exact"/>
              <w:rPr>
                <w:rFonts w:ascii="Times New Roman"/>
                <w:sz w:val="21"/>
                <w:szCs w:val="21"/>
              </w:rPr>
            </w:pPr>
            <w:r>
              <w:rPr>
                <w:rFonts w:ascii="Times New Roman"/>
                <w:sz w:val="21"/>
                <w:szCs w:val="21"/>
              </w:rPr>
              <w:t>8</w:t>
            </w:r>
          </w:p>
        </w:tc>
        <w:tc>
          <w:tcPr>
            <w:tcW w:w="178" w:type="pct"/>
            <w:gridSpan w:val="2"/>
            <w:vMerge w:val="restart"/>
            <w:vAlign w:val="center"/>
          </w:tcPr>
          <w:p w14:paraId="1CBBA437">
            <w:pPr>
              <w:adjustRightInd w:val="0"/>
              <w:snapToGrid w:val="0"/>
              <w:spacing w:line="260" w:lineRule="exact"/>
              <w:jc w:val="center"/>
              <w:rPr>
                <w:rFonts w:ascii="Times New Roman"/>
                <w:sz w:val="21"/>
                <w:szCs w:val="21"/>
              </w:rPr>
            </w:pPr>
            <w:r>
              <w:rPr>
                <w:rFonts w:ascii="Times New Roman"/>
                <w:sz w:val="21"/>
                <w:szCs w:val="21"/>
              </w:rPr>
              <w:t>土壤及地下水环境</w:t>
            </w:r>
          </w:p>
        </w:tc>
        <w:tc>
          <w:tcPr>
            <w:tcW w:w="263" w:type="pct"/>
            <w:gridSpan w:val="2"/>
            <w:vAlign w:val="center"/>
          </w:tcPr>
          <w:p w14:paraId="0CC0E5A7">
            <w:pPr>
              <w:spacing w:line="260" w:lineRule="exact"/>
              <w:jc w:val="center"/>
              <w:rPr>
                <w:rFonts w:ascii="Times New Roman"/>
                <w:sz w:val="21"/>
                <w:szCs w:val="21"/>
              </w:rPr>
            </w:pPr>
            <w:r>
              <w:rPr>
                <w:rFonts w:ascii="Times New Roman"/>
                <w:sz w:val="21"/>
                <w:szCs w:val="21"/>
              </w:rPr>
              <w:t>空间布局约束</w:t>
            </w:r>
          </w:p>
        </w:tc>
        <w:tc>
          <w:tcPr>
            <w:tcW w:w="2736" w:type="pct"/>
            <w:gridSpan w:val="5"/>
            <w:shd w:val="clear" w:color="auto" w:fill="auto"/>
            <w:vAlign w:val="center"/>
          </w:tcPr>
          <w:p w14:paraId="6FFD5169">
            <w:pPr>
              <w:adjustRightInd w:val="0"/>
              <w:snapToGrid w:val="0"/>
              <w:spacing w:line="260" w:lineRule="exact"/>
              <w:rPr>
                <w:rFonts w:ascii="Times New Roman"/>
                <w:sz w:val="21"/>
                <w:szCs w:val="21"/>
              </w:rPr>
            </w:pPr>
            <w:r>
              <w:rPr>
                <w:rFonts w:hint="eastAsia" w:ascii="Times New Roman"/>
                <w:sz w:val="21"/>
                <w:szCs w:val="21"/>
              </w:rPr>
              <w:t>1、严格执行相关行业企业布局选址要求，禁止在居民区和学校、医院、疗养院、养老院等单位周边新建、改建、扩建可能造成土壤污染的建设项目。</w:t>
            </w:r>
          </w:p>
          <w:p w14:paraId="71647604">
            <w:pPr>
              <w:adjustRightInd w:val="0"/>
              <w:snapToGrid w:val="0"/>
              <w:spacing w:line="260" w:lineRule="exact"/>
              <w:rPr>
                <w:rFonts w:ascii="Times New Roman"/>
                <w:sz w:val="21"/>
                <w:szCs w:val="21"/>
              </w:rPr>
            </w:pPr>
            <w:r>
              <w:rPr>
                <w:rFonts w:hint="eastAsia" w:ascii="Times New Roman"/>
                <w:sz w:val="21"/>
                <w:szCs w:val="21"/>
              </w:rPr>
              <w:t>2、禁止在集中式地下水饮用水水源地建设需要取水的地热能开发利用项目。禁止抽取难以更新的地下水用于需要取水的地热能开发利用项目。</w:t>
            </w:r>
          </w:p>
          <w:p w14:paraId="1B9FD6BF">
            <w:pPr>
              <w:adjustRightInd w:val="0"/>
              <w:snapToGrid w:val="0"/>
              <w:spacing w:line="260" w:lineRule="exact"/>
              <w:rPr>
                <w:rFonts w:ascii="Times New Roman"/>
                <w:sz w:val="21"/>
                <w:szCs w:val="21"/>
              </w:rPr>
            </w:pPr>
            <w:r>
              <w:rPr>
                <w:rFonts w:hint="eastAsia" w:ascii="Times New Roman"/>
                <w:sz w:val="21"/>
                <w:szCs w:val="21"/>
              </w:rPr>
              <w:t>3、地下水饮用水水源地优先保护区管控参照生态环境空间总体管控要求中地下水饮用水水源地保护区总体管控要求。</w:t>
            </w:r>
          </w:p>
        </w:tc>
        <w:tc>
          <w:tcPr>
            <w:tcW w:w="1393" w:type="pct"/>
            <w:gridSpan w:val="2"/>
            <w:shd w:val="clear" w:color="auto" w:fill="auto"/>
            <w:vAlign w:val="center"/>
          </w:tcPr>
          <w:p w14:paraId="4DF51391">
            <w:pPr>
              <w:spacing w:line="260" w:lineRule="exact"/>
              <w:rPr>
                <w:rFonts w:ascii="Times New Roman"/>
                <w:sz w:val="21"/>
                <w:szCs w:val="21"/>
              </w:rPr>
            </w:pPr>
            <w:r>
              <w:rPr>
                <w:rFonts w:ascii="Times New Roman"/>
                <w:kern w:val="0"/>
                <w:sz w:val="21"/>
                <w:szCs w:val="21"/>
              </w:rPr>
              <w:t>项目位于</w:t>
            </w:r>
            <w:r>
              <w:rPr>
                <w:rFonts w:ascii="Times New Roman"/>
                <w:sz w:val="21"/>
                <w:szCs w:val="21"/>
              </w:rPr>
              <w:t>曹妃甸循环经济示范区装备园区，周围无</w:t>
            </w:r>
            <w:r>
              <w:rPr>
                <w:rFonts w:ascii="Times New Roman"/>
                <w:sz w:val="21"/>
                <w:szCs w:val="21"/>
                <w:lang w:val="zh-CN"/>
              </w:rPr>
              <w:t>居民区和学校、医院、疗养院、养老院等单位</w:t>
            </w:r>
            <w:r>
              <w:rPr>
                <w:rFonts w:hint="eastAsia" w:ascii="Times New Roman"/>
                <w:sz w:val="21"/>
                <w:szCs w:val="21"/>
                <w:lang w:val="zh-CN"/>
              </w:rPr>
              <w:t>；</w:t>
            </w:r>
            <w:r>
              <w:rPr>
                <w:rFonts w:hint="eastAsia" w:ascii="Times New Roman"/>
                <w:sz w:val="21"/>
                <w:szCs w:val="21"/>
              </w:rPr>
              <w:t>项目用水由园区供水管网提供，不开采地下水。</w:t>
            </w:r>
          </w:p>
        </w:tc>
        <w:tc>
          <w:tcPr>
            <w:tcW w:w="202" w:type="pct"/>
            <w:vAlign w:val="center"/>
          </w:tcPr>
          <w:p w14:paraId="757C9729">
            <w:pPr>
              <w:spacing w:line="260" w:lineRule="exact"/>
              <w:rPr>
                <w:rFonts w:ascii="Times New Roman"/>
                <w:sz w:val="21"/>
                <w:szCs w:val="21"/>
              </w:rPr>
            </w:pPr>
            <w:r>
              <w:rPr>
                <w:rFonts w:ascii="Times New Roman"/>
                <w:sz w:val="21"/>
                <w:szCs w:val="21"/>
              </w:rPr>
              <w:t>符合</w:t>
            </w:r>
          </w:p>
        </w:tc>
      </w:tr>
      <w:tr w14:paraId="0DDF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1718CE5E">
            <w:pPr>
              <w:spacing w:line="260" w:lineRule="exact"/>
              <w:rPr>
                <w:rFonts w:ascii="Times New Roman"/>
                <w:sz w:val="21"/>
                <w:szCs w:val="21"/>
              </w:rPr>
            </w:pPr>
          </w:p>
        </w:tc>
        <w:tc>
          <w:tcPr>
            <w:tcW w:w="178" w:type="pct"/>
            <w:gridSpan w:val="2"/>
            <w:vMerge w:val="continue"/>
            <w:vAlign w:val="center"/>
          </w:tcPr>
          <w:p w14:paraId="24D0B328">
            <w:pPr>
              <w:spacing w:line="260" w:lineRule="exact"/>
              <w:jc w:val="center"/>
              <w:rPr>
                <w:rFonts w:ascii="Times New Roman"/>
                <w:sz w:val="21"/>
                <w:szCs w:val="21"/>
              </w:rPr>
            </w:pPr>
          </w:p>
        </w:tc>
        <w:tc>
          <w:tcPr>
            <w:tcW w:w="263" w:type="pct"/>
            <w:gridSpan w:val="2"/>
            <w:vAlign w:val="center"/>
          </w:tcPr>
          <w:p w14:paraId="12B12F50">
            <w:pPr>
              <w:spacing w:line="260" w:lineRule="exact"/>
              <w:jc w:val="center"/>
              <w:rPr>
                <w:rFonts w:ascii="Times New Roman"/>
                <w:sz w:val="21"/>
                <w:szCs w:val="21"/>
              </w:rPr>
            </w:pPr>
            <w:r>
              <w:rPr>
                <w:rFonts w:ascii="Times New Roman"/>
                <w:sz w:val="21"/>
                <w:szCs w:val="21"/>
              </w:rPr>
              <w:t>污染物排放管控</w:t>
            </w:r>
          </w:p>
        </w:tc>
        <w:tc>
          <w:tcPr>
            <w:tcW w:w="2736" w:type="pct"/>
            <w:gridSpan w:val="5"/>
            <w:shd w:val="clear" w:color="auto" w:fill="auto"/>
            <w:vAlign w:val="center"/>
          </w:tcPr>
          <w:p w14:paraId="5764EA2F">
            <w:pPr>
              <w:adjustRightInd w:val="0"/>
              <w:snapToGrid w:val="0"/>
              <w:spacing w:line="260" w:lineRule="exact"/>
              <w:rPr>
                <w:rFonts w:ascii="Times New Roman"/>
                <w:sz w:val="21"/>
                <w:szCs w:val="21"/>
              </w:rPr>
            </w:pPr>
            <w:r>
              <w:rPr>
                <w:rFonts w:ascii="Times New Roman"/>
                <w:sz w:val="21"/>
                <w:szCs w:val="21"/>
              </w:rPr>
              <w:t>1、严禁将污泥直接用作肥料，禁止不达标污泥就地堆放，结合污泥处理设施升级改造，逐步取消原生污泥简易填埋等不符合环保要求的处置方式。鼓励利用水泥厂等工业窑炉，开展污泥协同焚烧处置。</w:t>
            </w:r>
          </w:p>
          <w:p w14:paraId="4E8ABB79">
            <w:pPr>
              <w:adjustRightInd w:val="0"/>
              <w:snapToGrid w:val="0"/>
              <w:spacing w:line="260" w:lineRule="exact"/>
              <w:rPr>
                <w:rFonts w:ascii="Times New Roman"/>
                <w:sz w:val="21"/>
                <w:szCs w:val="21"/>
              </w:rPr>
            </w:pPr>
            <w:r>
              <w:rPr>
                <w:rFonts w:ascii="Times New Roman"/>
                <w:sz w:val="21"/>
                <w:szCs w:val="21"/>
              </w:rPr>
              <w:t>2、严格落实总量控制制度，减少重金属污染物排放。新、改、扩建涉重金属重点行业建设项目，污染物排放实施等量或倍量替换，</w:t>
            </w:r>
            <w:r>
              <w:rPr>
                <w:rFonts w:hint="eastAsia" w:ascii="Times New Roman"/>
                <w:sz w:val="21"/>
                <w:szCs w:val="21"/>
              </w:rPr>
              <w:t>对重金属排放量继续上升的地区，暂停审批新增重金属污染物排放的建设项目。加大减排项目督导力度，确保项目按期实施。</w:t>
            </w:r>
          </w:p>
          <w:p w14:paraId="43325947">
            <w:pPr>
              <w:adjustRightInd w:val="0"/>
              <w:snapToGrid w:val="0"/>
              <w:spacing w:line="260" w:lineRule="exact"/>
              <w:rPr>
                <w:rFonts w:ascii="Times New Roman"/>
                <w:sz w:val="21"/>
                <w:szCs w:val="21"/>
              </w:rPr>
            </w:pPr>
            <w:r>
              <w:rPr>
                <w:rFonts w:ascii="Times New Roman"/>
                <w:sz w:val="21"/>
                <w:szCs w:val="21"/>
              </w:rPr>
              <w:t>3、</w:t>
            </w:r>
            <w:r>
              <w:rPr>
                <w:rFonts w:hint="eastAsia" w:ascii="Times New Roman"/>
                <w:sz w:val="21"/>
                <w:szCs w:val="21"/>
              </w:rPr>
              <w:t>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p w14:paraId="7D498A95">
            <w:pPr>
              <w:adjustRightInd w:val="0"/>
              <w:snapToGrid w:val="0"/>
              <w:spacing w:line="260" w:lineRule="exact"/>
              <w:rPr>
                <w:rFonts w:ascii="Times New Roman"/>
                <w:sz w:val="21"/>
                <w:szCs w:val="21"/>
              </w:rPr>
            </w:pPr>
            <w:r>
              <w:rPr>
                <w:rFonts w:ascii="Times New Roman"/>
                <w:sz w:val="21"/>
                <w:szCs w:val="21"/>
              </w:rPr>
              <w:t>4、</w:t>
            </w:r>
            <w:r>
              <w:rPr>
                <w:rFonts w:hint="eastAsia" w:ascii="Times New Roman"/>
                <w:sz w:val="21"/>
                <w:szCs w:val="21"/>
              </w:rPr>
              <w:t>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p w14:paraId="5A75D079">
            <w:pPr>
              <w:adjustRightInd w:val="0"/>
              <w:snapToGrid w:val="0"/>
              <w:spacing w:line="260" w:lineRule="exact"/>
              <w:rPr>
                <w:rFonts w:ascii="Times New Roman"/>
                <w:sz w:val="21"/>
                <w:szCs w:val="21"/>
              </w:rPr>
            </w:pPr>
            <w:r>
              <w:rPr>
                <w:rFonts w:ascii="Times New Roman"/>
                <w:sz w:val="21"/>
                <w:szCs w:val="21"/>
              </w:rPr>
              <w:t>5、</w:t>
            </w:r>
            <w:r>
              <w:rPr>
                <w:rFonts w:hint="eastAsia" w:ascii="Times New Roman"/>
                <w:sz w:val="21"/>
                <w:szCs w:val="21"/>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393" w:type="pct"/>
            <w:gridSpan w:val="2"/>
            <w:shd w:val="clear" w:color="auto" w:fill="auto"/>
            <w:vAlign w:val="center"/>
          </w:tcPr>
          <w:p w14:paraId="596F6C0F">
            <w:pPr>
              <w:spacing w:line="260" w:lineRule="exact"/>
              <w:rPr>
                <w:rFonts w:ascii="Times New Roman"/>
                <w:sz w:val="21"/>
                <w:szCs w:val="21"/>
              </w:rPr>
            </w:pPr>
            <w:r>
              <w:rPr>
                <w:rFonts w:ascii="Times New Roman"/>
                <w:snapToGrid w:val="0"/>
                <w:sz w:val="21"/>
                <w:szCs w:val="21"/>
              </w:rPr>
              <w:t>项目</w:t>
            </w:r>
            <w:r>
              <w:rPr>
                <w:rFonts w:hint="eastAsia" w:ascii="Times New Roman"/>
                <w:snapToGrid w:val="0"/>
                <w:kern w:val="0"/>
                <w:sz w:val="21"/>
                <w:szCs w:val="21"/>
              </w:rPr>
              <w:t>不涉及重金属</w:t>
            </w:r>
            <w:r>
              <w:rPr>
                <w:rFonts w:ascii="Times New Roman"/>
                <w:snapToGrid w:val="0"/>
                <w:kern w:val="0"/>
                <w:sz w:val="21"/>
                <w:szCs w:val="21"/>
              </w:rPr>
              <w:t>。项目对废气、废水经净化处理后可达标排放；厂区实施分区防腐防渗措施。</w:t>
            </w:r>
          </w:p>
        </w:tc>
        <w:tc>
          <w:tcPr>
            <w:tcW w:w="202" w:type="pct"/>
            <w:vAlign w:val="center"/>
          </w:tcPr>
          <w:p w14:paraId="4B73243C">
            <w:pPr>
              <w:spacing w:line="260" w:lineRule="exact"/>
              <w:rPr>
                <w:rFonts w:ascii="Times New Roman"/>
                <w:sz w:val="21"/>
                <w:szCs w:val="21"/>
              </w:rPr>
            </w:pPr>
            <w:r>
              <w:rPr>
                <w:rFonts w:ascii="Times New Roman"/>
                <w:sz w:val="21"/>
                <w:szCs w:val="21"/>
              </w:rPr>
              <w:t>符合</w:t>
            </w:r>
          </w:p>
        </w:tc>
      </w:tr>
      <w:tr w14:paraId="7780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01717309">
            <w:pPr>
              <w:spacing w:line="260" w:lineRule="exact"/>
              <w:rPr>
                <w:rFonts w:ascii="Times New Roman"/>
                <w:sz w:val="21"/>
                <w:szCs w:val="21"/>
              </w:rPr>
            </w:pPr>
          </w:p>
        </w:tc>
        <w:tc>
          <w:tcPr>
            <w:tcW w:w="178" w:type="pct"/>
            <w:gridSpan w:val="2"/>
            <w:vMerge w:val="continue"/>
            <w:vAlign w:val="center"/>
          </w:tcPr>
          <w:p w14:paraId="02CAA6D9">
            <w:pPr>
              <w:spacing w:line="260" w:lineRule="exact"/>
              <w:jc w:val="center"/>
              <w:rPr>
                <w:rFonts w:ascii="Times New Roman"/>
                <w:sz w:val="21"/>
                <w:szCs w:val="21"/>
              </w:rPr>
            </w:pPr>
          </w:p>
        </w:tc>
        <w:tc>
          <w:tcPr>
            <w:tcW w:w="263" w:type="pct"/>
            <w:gridSpan w:val="2"/>
            <w:vAlign w:val="center"/>
          </w:tcPr>
          <w:p w14:paraId="2FED376F">
            <w:pPr>
              <w:spacing w:line="260" w:lineRule="exact"/>
              <w:jc w:val="center"/>
              <w:rPr>
                <w:rFonts w:ascii="Times New Roman"/>
                <w:sz w:val="21"/>
                <w:szCs w:val="21"/>
              </w:rPr>
            </w:pPr>
            <w:r>
              <w:rPr>
                <w:rFonts w:ascii="Times New Roman"/>
                <w:sz w:val="21"/>
                <w:szCs w:val="21"/>
              </w:rPr>
              <w:t>环境风险管控</w:t>
            </w:r>
          </w:p>
        </w:tc>
        <w:tc>
          <w:tcPr>
            <w:tcW w:w="2736" w:type="pct"/>
            <w:gridSpan w:val="5"/>
            <w:shd w:val="clear" w:color="auto" w:fill="auto"/>
          </w:tcPr>
          <w:p w14:paraId="23E9C6C7">
            <w:pPr>
              <w:adjustRightInd w:val="0"/>
              <w:snapToGrid w:val="0"/>
              <w:spacing w:line="260" w:lineRule="exact"/>
              <w:rPr>
                <w:rFonts w:ascii="Times New Roman"/>
                <w:sz w:val="21"/>
                <w:szCs w:val="21"/>
              </w:rPr>
            </w:pPr>
            <w:r>
              <w:rPr>
                <w:rFonts w:ascii="Times New Roman"/>
                <w:sz w:val="21"/>
                <w:szCs w:val="21"/>
              </w:rPr>
              <w:t>1、每年对集中式饮用水水源保护区开展基础调查与评估，将可能影响水源水质安全的风险源全部列入档案，实行“一源一案”，对每个风险源开展隐患排查、整改，编制风险应急方案，建立联防联控应急机制。</w:t>
            </w:r>
          </w:p>
          <w:p w14:paraId="2B0AF28E">
            <w:pPr>
              <w:adjustRightInd w:val="0"/>
              <w:snapToGrid w:val="0"/>
              <w:spacing w:line="260" w:lineRule="exact"/>
              <w:rPr>
                <w:rFonts w:ascii="Times New Roman"/>
                <w:sz w:val="21"/>
                <w:szCs w:val="21"/>
              </w:rPr>
            </w:pPr>
            <w:r>
              <w:rPr>
                <w:rFonts w:ascii="Times New Roman"/>
                <w:sz w:val="21"/>
                <w:szCs w:val="21"/>
              </w:rPr>
              <w:t>2、</w:t>
            </w:r>
            <w:r>
              <w:rPr>
                <w:rFonts w:hint="eastAsia" w:ascii="Times New Roman"/>
                <w:sz w:val="21"/>
                <w:szCs w:val="21"/>
              </w:rPr>
              <w:t>尾矿库运营、管理单位应当按照规定加强尾矿库的安全管理，采取措施防止土壤污染。危库、险库、病库以及其他需要重点监管的尾矿库运营、管理单位应当按照规定进行土壤污染状况监测和定期评估。</w:t>
            </w:r>
          </w:p>
          <w:p w14:paraId="28A0A4C6">
            <w:pPr>
              <w:adjustRightInd w:val="0"/>
              <w:snapToGrid w:val="0"/>
              <w:spacing w:line="260" w:lineRule="exact"/>
              <w:rPr>
                <w:rFonts w:ascii="Times New Roman"/>
                <w:sz w:val="21"/>
                <w:szCs w:val="21"/>
              </w:rPr>
            </w:pPr>
            <w:r>
              <w:rPr>
                <w:rFonts w:ascii="Times New Roman"/>
                <w:sz w:val="21"/>
                <w:szCs w:val="21"/>
              </w:rPr>
              <w:t>3、产生、收集、贮存、运输、利用、处置危险废物的单位，应当依法制定意外事故的防范措施和应急预案，并向所在地生态环境主管部门和其他负有固体废物污染环境防治监督管理职责的部门备案。</w:t>
            </w:r>
          </w:p>
          <w:p w14:paraId="138C6F76">
            <w:pPr>
              <w:adjustRightInd w:val="0"/>
              <w:snapToGrid w:val="0"/>
              <w:spacing w:line="260" w:lineRule="exact"/>
              <w:rPr>
                <w:rFonts w:ascii="Times New Roman"/>
                <w:sz w:val="21"/>
                <w:szCs w:val="21"/>
              </w:rPr>
            </w:pPr>
            <w:r>
              <w:rPr>
                <w:rFonts w:ascii="Times New Roman"/>
                <w:sz w:val="21"/>
                <w:szCs w:val="21"/>
              </w:rPr>
              <w:t>4、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w:t>
            </w:r>
          </w:p>
          <w:p w14:paraId="08FCA089">
            <w:pPr>
              <w:adjustRightInd w:val="0"/>
              <w:snapToGrid w:val="0"/>
              <w:spacing w:line="260" w:lineRule="exact"/>
              <w:rPr>
                <w:rFonts w:ascii="Times New Roman"/>
                <w:sz w:val="21"/>
                <w:szCs w:val="21"/>
              </w:rPr>
            </w:pPr>
            <w:r>
              <w:rPr>
                <w:rFonts w:ascii="Times New Roman"/>
                <w:sz w:val="21"/>
                <w:szCs w:val="21"/>
              </w:rPr>
              <w:t>5、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w:t>
            </w:r>
          </w:p>
          <w:p w14:paraId="6D825F78">
            <w:pPr>
              <w:adjustRightInd w:val="0"/>
              <w:snapToGrid w:val="0"/>
              <w:spacing w:line="260" w:lineRule="exact"/>
              <w:rPr>
                <w:rFonts w:ascii="Times New Roman"/>
                <w:sz w:val="21"/>
                <w:szCs w:val="21"/>
              </w:rPr>
            </w:pPr>
            <w:r>
              <w:rPr>
                <w:rFonts w:ascii="Times New Roman"/>
                <w:sz w:val="21"/>
                <w:szCs w:val="21"/>
              </w:rPr>
              <w:t>6、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 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p w14:paraId="6D6EB927">
            <w:pPr>
              <w:adjustRightInd w:val="0"/>
              <w:snapToGrid w:val="0"/>
              <w:spacing w:line="260" w:lineRule="exact"/>
              <w:rPr>
                <w:rFonts w:ascii="Times New Roman"/>
                <w:sz w:val="21"/>
                <w:szCs w:val="21"/>
              </w:rPr>
            </w:pPr>
            <w:r>
              <w:rPr>
                <w:rFonts w:ascii="Times New Roman"/>
                <w:sz w:val="21"/>
                <w:szCs w:val="21"/>
              </w:rPr>
              <w:t>7、加强污染地块风险管控及修复。对暂不开发利用的污染地块，实施以防止污染扩散为目的的风险管控，设立标识、发布公告，并组织开展土壤、地表水、地下水、空气环境监测。对需要实施治理与修复的污染地块，应结合土地利用总体规划和城乡规划编制修复方案并组织实施。加 强治理与修复施工的环境监理，并严防治理与修复过程中产生废水、废气和固体废物二次污染。</w:t>
            </w:r>
          </w:p>
          <w:p w14:paraId="11771C17">
            <w:pPr>
              <w:adjustRightInd w:val="0"/>
              <w:snapToGrid w:val="0"/>
              <w:spacing w:line="260" w:lineRule="exact"/>
              <w:rPr>
                <w:rFonts w:ascii="Times New Roman"/>
                <w:sz w:val="21"/>
                <w:szCs w:val="21"/>
              </w:rPr>
            </w:pPr>
            <w:r>
              <w:rPr>
                <w:rFonts w:ascii="Times New Roman"/>
                <w:sz w:val="21"/>
                <w:szCs w:val="21"/>
              </w:rPr>
              <w:t>8、</w:t>
            </w:r>
            <w:r>
              <w:rPr>
                <w:rFonts w:hint="eastAsia" w:ascii="Times New Roman"/>
                <w:sz w:val="21"/>
                <w:szCs w:val="21"/>
              </w:rPr>
              <w:t>县级以上地方人民政府应当根据地下水水源条件和需要，建设应急备用饮用水水源，制定应急预案，确保需要时正常使用。应急备用地下水水源结束应急使用后，应当立即停止取水</w:t>
            </w:r>
            <w:r>
              <w:rPr>
                <w:rFonts w:ascii="Times New Roman"/>
                <w:sz w:val="21"/>
                <w:szCs w:val="21"/>
              </w:rPr>
              <w:t>。</w:t>
            </w:r>
          </w:p>
          <w:p w14:paraId="555E2AA7">
            <w:pPr>
              <w:adjustRightInd w:val="0"/>
              <w:snapToGrid w:val="0"/>
              <w:spacing w:line="260" w:lineRule="exact"/>
              <w:rPr>
                <w:rFonts w:ascii="Times New Roman"/>
                <w:sz w:val="21"/>
                <w:szCs w:val="21"/>
              </w:rPr>
            </w:pPr>
            <w:r>
              <w:rPr>
                <w:rFonts w:ascii="Times New Roman"/>
                <w:sz w:val="21"/>
                <w:szCs w:val="21"/>
              </w:rPr>
              <w:t>9、针对存在地下水污染的化工园区、危险废物处置场和生活垃圾填埋场等，实施地下水污染风险管控，因地制宜选择阻隔、制度控制、渗透反应格栅等技术，阻止污染扩散，加强风险管控后期地下水环境监管。</w:t>
            </w:r>
          </w:p>
          <w:p w14:paraId="1C6FD5C0">
            <w:pPr>
              <w:adjustRightInd w:val="0"/>
              <w:snapToGrid w:val="0"/>
              <w:spacing w:line="260" w:lineRule="exact"/>
              <w:rPr>
                <w:rFonts w:ascii="Times New Roman"/>
                <w:sz w:val="21"/>
                <w:szCs w:val="21"/>
              </w:rPr>
            </w:pPr>
            <w:r>
              <w:rPr>
                <w:rFonts w:hint="eastAsia" w:ascii="Times New Roman"/>
                <w:sz w:val="21"/>
                <w:szCs w:val="21"/>
              </w:rPr>
              <w:t>10、地下水污染风险重点管控区执行《唐山市地下水污染防治重点区划定方案（试行）》中管控类区域管理要求。</w:t>
            </w:r>
          </w:p>
        </w:tc>
        <w:tc>
          <w:tcPr>
            <w:tcW w:w="1393" w:type="pct"/>
            <w:gridSpan w:val="2"/>
            <w:shd w:val="clear" w:color="auto" w:fill="auto"/>
            <w:vAlign w:val="center"/>
          </w:tcPr>
          <w:p w14:paraId="0114E245">
            <w:pPr>
              <w:spacing w:line="260" w:lineRule="exact"/>
              <w:rPr>
                <w:rFonts w:ascii="Times New Roman"/>
                <w:sz w:val="21"/>
                <w:szCs w:val="21"/>
              </w:rPr>
            </w:pPr>
            <w:r>
              <w:rPr>
                <w:rFonts w:hint="eastAsia" w:ascii="Times New Roman"/>
                <w:sz w:val="21"/>
                <w:szCs w:val="21"/>
              </w:rPr>
              <w:t>评价要求，项目投产前，</w:t>
            </w:r>
            <w:r>
              <w:rPr>
                <w:rFonts w:ascii="Times New Roman"/>
                <w:sz w:val="21"/>
                <w:szCs w:val="21"/>
              </w:rPr>
              <w:t>编制突发环境事件应急预案，并</w:t>
            </w:r>
            <w:r>
              <w:rPr>
                <w:rFonts w:hint="eastAsia" w:ascii="Times New Roman"/>
                <w:sz w:val="21"/>
                <w:szCs w:val="21"/>
              </w:rPr>
              <w:t>报主管部门</w:t>
            </w:r>
            <w:r>
              <w:rPr>
                <w:rFonts w:ascii="Times New Roman"/>
                <w:sz w:val="21"/>
                <w:szCs w:val="21"/>
              </w:rPr>
              <w:t>备案，定期开展应急演练。</w:t>
            </w:r>
          </w:p>
        </w:tc>
        <w:tc>
          <w:tcPr>
            <w:tcW w:w="202" w:type="pct"/>
            <w:vAlign w:val="center"/>
          </w:tcPr>
          <w:p w14:paraId="30D07BC9">
            <w:pPr>
              <w:spacing w:line="260" w:lineRule="exact"/>
              <w:rPr>
                <w:rFonts w:ascii="Times New Roman"/>
                <w:sz w:val="21"/>
                <w:szCs w:val="21"/>
              </w:rPr>
            </w:pPr>
            <w:r>
              <w:rPr>
                <w:rFonts w:ascii="Times New Roman"/>
                <w:sz w:val="21"/>
                <w:szCs w:val="21"/>
              </w:rPr>
              <w:t>符合</w:t>
            </w:r>
          </w:p>
        </w:tc>
      </w:tr>
      <w:tr w14:paraId="52B3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restart"/>
            <w:vAlign w:val="center"/>
          </w:tcPr>
          <w:p w14:paraId="5042817C">
            <w:pPr>
              <w:spacing w:line="260" w:lineRule="exact"/>
              <w:rPr>
                <w:rFonts w:ascii="Times New Roman"/>
                <w:sz w:val="21"/>
                <w:szCs w:val="21"/>
              </w:rPr>
            </w:pPr>
            <w:r>
              <w:rPr>
                <w:rFonts w:ascii="Times New Roman"/>
                <w:sz w:val="21"/>
                <w:szCs w:val="21"/>
              </w:rPr>
              <w:t>9</w:t>
            </w:r>
          </w:p>
        </w:tc>
        <w:tc>
          <w:tcPr>
            <w:tcW w:w="178" w:type="pct"/>
            <w:gridSpan w:val="2"/>
            <w:vMerge w:val="restart"/>
            <w:vAlign w:val="center"/>
          </w:tcPr>
          <w:p w14:paraId="0B5B09FE">
            <w:pPr>
              <w:spacing w:line="260" w:lineRule="exact"/>
              <w:jc w:val="center"/>
              <w:rPr>
                <w:rFonts w:ascii="Times New Roman"/>
                <w:sz w:val="21"/>
                <w:szCs w:val="21"/>
              </w:rPr>
            </w:pPr>
            <w:r>
              <w:rPr>
                <w:rFonts w:ascii="Times New Roman"/>
                <w:sz w:val="21"/>
                <w:szCs w:val="21"/>
              </w:rPr>
              <w:t>资源</w:t>
            </w:r>
          </w:p>
        </w:tc>
        <w:tc>
          <w:tcPr>
            <w:tcW w:w="263" w:type="pct"/>
            <w:gridSpan w:val="2"/>
            <w:vAlign w:val="center"/>
          </w:tcPr>
          <w:p w14:paraId="612B0916">
            <w:pPr>
              <w:spacing w:line="260" w:lineRule="exact"/>
              <w:jc w:val="center"/>
              <w:rPr>
                <w:rFonts w:ascii="Times New Roman"/>
                <w:sz w:val="21"/>
                <w:szCs w:val="21"/>
              </w:rPr>
            </w:pPr>
            <w:r>
              <w:rPr>
                <w:rFonts w:ascii="Times New Roman"/>
                <w:sz w:val="21"/>
                <w:szCs w:val="21"/>
              </w:rPr>
              <w:t>水资源</w:t>
            </w:r>
          </w:p>
        </w:tc>
        <w:tc>
          <w:tcPr>
            <w:tcW w:w="360" w:type="pct"/>
            <w:gridSpan w:val="2"/>
            <w:vAlign w:val="center"/>
          </w:tcPr>
          <w:p w14:paraId="5443E950">
            <w:pPr>
              <w:spacing w:line="260" w:lineRule="exact"/>
              <w:jc w:val="center"/>
              <w:rPr>
                <w:rFonts w:ascii="Times New Roman"/>
                <w:sz w:val="21"/>
                <w:szCs w:val="21"/>
              </w:rPr>
            </w:pPr>
            <w:r>
              <w:rPr>
                <w:rFonts w:ascii="Times New Roman"/>
                <w:sz w:val="21"/>
                <w:szCs w:val="21"/>
              </w:rPr>
              <w:t>资源利用效率要求</w:t>
            </w:r>
          </w:p>
        </w:tc>
        <w:tc>
          <w:tcPr>
            <w:tcW w:w="2375" w:type="pct"/>
            <w:gridSpan w:val="3"/>
            <w:shd w:val="clear" w:color="auto" w:fill="auto"/>
            <w:vAlign w:val="center"/>
          </w:tcPr>
          <w:p w14:paraId="5621CF6D">
            <w:pPr>
              <w:adjustRightInd w:val="0"/>
              <w:snapToGrid w:val="0"/>
              <w:spacing w:line="260" w:lineRule="exact"/>
              <w:rPr>
                <w:rFonts w:ascii="Times New Roman"/>
                <w:sz w:val="21"/>
                <w:szCs w:val="21"/>
              </w:rPr>
            </w:pPr>
            <w:r>
              <w:rPr>
                <w:rFonts w:ascii="Times New Roman"/>
                <w:sz w:val="21"/>
                <w:szCs w:val="21"/>
              </w:rPr>
              <w:t>1、严格地下水管理。在地下水禁止开采区，一律禁止开凿新的取水井，对已有的取水井，应当制定计划逐步予以关停。在地下水限制开采区，一般不得开凿新的取水井，生活用水更新井除外；因抢险救灾、应急供水开凿的取水井，用完后应当及时封存，不得作为长期井使用；对当地社会发展和群众生活有重大影响的重点建设项目确需取用地下水的，应按照用1减2的比例以及先减后加的原则，同步削减其他取水单位的地下水用水量，且不得深层、浅层地下水相互替代。</w:t>
            </w:r>
            <w:r>
              <w:rPr>
                <w:rFonts w:hint="eastAsia" w:ascii="Times New Roman"/>
                <w:sz w:val="21"/>
                <w:szCs w:val="21"/>
              </w:rPr>
              <w:t>地下水开发利用应当</w:t>
            </w:r>
          </w:p>
          <w:p w14:paraId="1BCD2587">
            <w:pPr>
              <w:adjustRightInd w:val="0"/>
              <w:snapToGrid w:val="0"/>
              <w:spacing w:line="260" w:lineRule="exact"/>
              <w:rPr>
                <w:rFonts w:ascii="Times New Roman"/>
                <w:sz w:val="21"/>
                <w:szCs w:val="21"/>
              </w:rPr>
            </w:pPr>
            <w:r>
              <w:rPr>
                <w:rFonts w:hint="eastAsia" w:ascii="Times New Roman"/>
                <w:sz w:val="21"/>
                <w:szCs w:val="21"/>
              </w:rPr>
              <w:t>以浅层地下水为主。深层地下水作为战略储备水源、应急供水水源、无替代水源地区的居民生活水源，应当严格限制开采</w:t>
            </w:r>
            <w:r>
              <w:rPr>
                <w:rFonts w:ascii="Times New Roman"/>
                <w:sz w:val="21"/>
                <w:szCs w:val="21"/>
              </w:rPr>
              <w:t>。</w:t>
            </w:r>
          </w:p>
          <w:p w14:paraId="47B65AB4">
            <w:pPr>
              <w:adjustRightInd w:val="0"/>
              <w:snapToGrid w:val="0"/>
              <w:spacing w:line="260" w:lineRule="exact"/>
              <w:rPr>
                <w:rFonts w:ascii="Times New Roman"/>
                <w:sz w:val="21"/>
                <w:szCs w:val="21"/>
              </w:rPr>
            </w:pPr>
            <w:r>
              <w:rPr>
                <w:rFonts w:ascii="Times New Roman"/>
                <w:sz w:val="21"/>
                <w:szCs w:val="21"/>
              </w:rPr>
              <w:t>2、</w:t>
            </w:r>
            <w:r>
              <w:rPr>
                <w:rFonts w:hint="eastAsia" w:ascii="Times New Roman"/>
                <w:sz w:val="21"/>
                <w:szCs w:val="21"/>
              </w:rPr>
              <w:t>在地下水严重超采地区，实施轮作休耕、旱作雨养，适度退减灌溉面积。严格限制开采深层地下水用于农业灌溉。科学利用水库调蓄功能，用足用好外调水，合理利用当地地表水，鼓励利用非常规水，严格控制开采地下水，确需开采地下水的，由县级人民政府逐级报省人民政府批准。县级以上人民政府水行政主管部门应当加强大中型灌区续建配套和现代化改造，改善灌溉条件，提高灌溉用水效率，建设节水型灌区。</w:t>
            </w:r>
          </w:p>
          <w:p w14:paraId="551EE0E9">
            <w:pPr>
              <w:spacing w:line="260" w:lineRule="exact"/>
              <w:rPr>
                <w:rFonts w:ascii="Times New Roman"/>
                <w:sz w:val="21"/>
                <w:szCs w:val="21"/>
              </w:rPr>
            </w:pPr>
            <w:r>
              <w:rPr>
                <w:rFonts w:ascii="Times New Roman"/>
                <w:sz w:val="21"/>
                <w:szCs w:val="21"/>
              </w:rPr>
              <w:t>3、</w:t>
            </w:r>
            <w:r>
              <w:rPr>
                <w:rFonts w:hint="eastAsia" w:ascii="Times New Roman"/>
                <w:sz w:val="21"/>
                <w:szCs w:val="21"/>
              </w:rPr>
              <w:t>把节水作为水资源开发、利用、保护、配置、调度的前提，加强水资源调度管理。开展城镇后备水源建设，大力开发利用非常规水源，提高水资源的利用效率和效益</w:t>
            </w:r>
            <w:r>
              <w:rPr>
                <w:rFonts w:ascii="Times New Roman"/>
                <w:sz w:val="21"/>
                <w:szCs w:val="21"/>
              </w:rPr>
              <w:t>。</w:t>
            </w:r>
          </w:p>
        </w:tc>
        <w:tc>
          <w:tcPr>
            <w:tcW w:w="1393" w:type="pct"/>
            <w:gridSpan w:val="2"/>
            <w:shd w:val="clear" w:color="auto" w:fill="auto"/>
            <w:vAlign w:val="center"/>
          </w:tcPr>
          <w:p w14:paraId="51492277">
            <w:pPr>
              <w:spacing w:line="260" w:lineRule="exact"/>
              <w:rPr>
                <w:rFonts w:ascii="Times New Roman"/>
                <w:sz w:val="21"/>
                <w:szCs w:val="21"/>
              </w:rPr>
            </w:pPr>
            <w:r>
              <w:rPr>
                <w:rFonts w:hint="eastAsia" w:ascii="Times New Roman"/>
                <w:kern w:val="0"/>
                <w:sz w:val="21"/>
                <w:szCs w:val="21"/>
              </w:rPr>
              <w:t>项目用水由园区供水管网供给，</w:t>
            </w:r>
            <w:r>
              <w:rPr>
                <w:rFonts w:ascii="Times New Roman"/>
                <w:kern w:val="0"/>
                <w:sz w:val="21"/>
                <w:szCs w:val="21"/>
              </w:rPr>
              <w:t>厂区内不设自备井，不取用地下水。</w:t>
            </w:r>
          </w:p>
        </w:tc>
        <w:tc>
          <w:tcPr>
            <w:tcW w:w="202" w:type="pct"/>
            <w:vAlign w:val="center"/>
          </w:tcPr>
          <w:p w14:paraId="21FC133E">
            <w:pPr>
              <w:spacing w:line="260" w:lineRule="exact"/>
              <w:rPr>
                <w:rFonts w:ascii="Times New Roman"/>
                <w:sz w:val="21"/>
                <w:szCs w:val="21"/>
              </w:rPr>
            </w:pPr>
            <w:r>
              <w:rPr>
                <w:rFonts w:ascii="Times New Roman"/>
                <w:sz w:val="21"/>
                <w:szCs w:val="21"/>
              </w:rPr>
              <w:t>符合</w:t>
            </w:r>
          </w:p>
        </w:tc>
      </w:tr>
      <w:tr w14:paraId="6052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0D5F48D3">
            <w:pPr>
              <w:spacing w:line="260" w:lineRule="exact"/>
              <w:rPr>
                <w:rFonts w:ascii="Times New Roman"/>
                <w:sz w:val="21"/>
                <w:szCs w:val="21"/>
              </w:rPr>
            </w:pPr>
          </w:p>
        </w:tc>
        <w:tc>
          <w:tcPr>
            <w:tcW w:w="178" w:type="pct"/>
            <w:gridSpan w:val="2"/>
            <w:vMerge w:val="continue"/>
            <w:vAlign w:val="center"/>
          </w:tcPr>
          <w:p w14:paraId="60D04167">
            <w:pPr>
              <w:spacing w:line="260" w:lineRule="exact"/>
              <w:jc w:val="center"/>
              <w:rPr>
                <w:rFonts w:ascii="Times New Roman"/>
                <w:sz w:val="21"/>
                <w:szCs w:val="21"/>
              </w:rPr>
            </w:pPr>
          </w:p>
        </w:tc>
        <w:tc>
          <w:tcPr>
            <w:tcW w:w="263" w:type="pct"/>
            <w:gridSpan w:val="2"/>
            <w:vAlign w:val="center"/>
          </w:tcPr>
          <w:p w14:paraId="6FCBBBBB">
            <w:pPr>
              <w:spacing w:line="260" w:lineRule="exact"/>
              <w:jc w:val="center"/>
              <w:rPr>
                <w:rFonts w:ascii="Times New Roman"/>
                <w:sz w:val="21"/>
                <w:szCs w:val="21"/>
              </w:rPr>
            </w:pPr>
            <w:r>
              <w:rPr>
                <w:rFonts w:ascii="Times New Roman"/>
                <w:sz w:val="21"/>
                <w:szCs w:val="21"/>
              </w:rPr>
              <w:t>能源</w:t>
            </w:r>
          </w:p>
        </w:tc>
        <w:tc>
          <w:tcPr>
            <w:tcW w:w="360" w:type="pct"/>
            <w:gridSpan w:val="2"/>
            <w:vAlign w:val="center"/>
          </w:tcPr>
          <w:p w14:paraId="7EF29056">
            <w:pPr>
              <w:spacing w:line="260" w:lineRule="exact"/>
              <w:jc w:val="center"/>
              <w:rPr>
                <w:rFonts w:ascii="Times New Roman"/>
                <w:sz w:val="21"/>
                <w:szCs w:val="21"/>
              </w:rPr>
            </w:pPr>
            <w:r>
              <w:rPr>
                <w:rFonts w:ascii="Times New Roman"/>
                <w:sz w:val="21"/>
                <w:szCs w:val="21"/>
              </w:rPr>
              <w:t>资源利用效率要求</w:t>
            </w:r>
          </w:p>
        </w:tc>
        <w:tc>
          <w:tcPr>
            <w:tcW w:w="2375" w:type="pct"/>
            <w:gridSpan w:val="3"/>
            <w:shd w:val="clear" w:color="auto" w:fill="auto"/>
            <w:vAlign w:val="center"/>
          </w:tcPr>
          <w:p w14:paraId="5755496E">
            <w:pPr>
              <w:adjustRightInd w:val="0"/>
              <w:snapToGrid w:val="0"/>
              <w:spacing w:line="260" w:lineRule="exact"/>
              <w:jc w:val="left"/>
              <w:rPr>
                <w:rFonts w:ascii="Times New Roman"/>
                <w:sz w:val="21"/>
                <w:szCs w:val="21"/>
              </w:rPr>
            </w:pPr>
            <w:r>
              <w:rPr>
                <w:rFonts w:ascii="Times New Roman"/>
                <w:sz w:val="21"/>
                <w:szCs w:val="21"/>
              </w:rPr>
              <w:t>1、</w:t>
            </w:r>
            <w:r>
              <w:rPr>
                <w:rFonts w:hint="eastAsia" w:ascii="Times New Roman"/>
                <w:sz w:val="21"/>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14:paraId="36689114">
            <w:pPr>
              <w:adjustRightInd w:val="0"/>
              <w:snapToGrid w:val="0"/>
              <w:spacing w:line="260" w:lineRule="exact"/>
              <w:jc w:val="left"/>
              <w:rPr>
                <w:rFonts w:ascii="Times New Roman"/>
                <w:sz w:val="21"/>
                <w:szCs w:val="21"/>
              </w:rPr>
            </w:pPr>
            <w:r>
              <w:rPr>
                <w:rFonts w:ascii="Times New Roman"/>
                <w:sz w:val="21"/>
                <w:szCs w:val="21"/>
              </w:rPr>
              <w:t>2、</w:t>
            </w:r>
            <w:r>
              <w:rPr>
                <w:rFonts w:hint="eastAsia" w:ascii="Times New Roman"/>
                <w:sz w:val="21"/>
                <w:szCs w:val="21"/>
              </w:rPr>
              <w:t>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p w14:paraId="43D8DFAB">
            <w:pPr>
              <w:spacing w:line="260" w:lineRule="exact"/>
              <w:rPr>
                <w:rFonts w:ascii="Times New Roman"/>
                <w:sz w:val="21"/>
                <w:szCs w:val="21"/>
              </w:rPr>
            </w:pPr>
            <w:r>
              <w:rPr>
                <w:rFonts w:ascii="Times New Roman"/>
                <w:sz w:val="21"/>
                <w:szCs w:val="21"/>
              </w:rPr>
              <w:t>3、新建项目禁止配套建设自备燃煤电站。除热电联产外，禁止审批新建燃煤发电项目，现有多台燃煤机组装机容量合计达到国家规定要求的，可以按照煤炭等量替代的原则建设为大容量燃煤机组。</w:t>
            </w:r>
          </w:p>
          <w:p w14:paraId="586E516B">
            <w:pPr>
              <w:spacing w:line="260" w:lineRule="exact"/>
              <w:rPr>
                <w:rFonts w:ascii="Times New Roman"/>
                <w:sz w:val="21"/>
                <w:szCs w:val="21"/>
              </w:rPr>
            </w:pPr>
            <w:r>
              <w:rPr>
                <w:rFonts w:ascii="Times New Roman"/>
                <w:sz w:val="21"/>
                <w:szCs w:val="21"/>
              </w:rPr>
              <w:t>4、对以煤、石油焦、渣油、重油等为燃料的工业炉窑，加快使用清洁低碳能源以及利用工厂余热、电厂热力等进行替代，全市禁止掺烧高硫石油焦（硫含量大于3%）。玻璃行业全面禁止掺烧高硫石油焦。</w:t>
            </w:r>
          </w:p>
          <w:p w14:paraId="7EC907E5">
            <w:pPr>
              <w:spacing w:line="260" w:lineRule="exact"/>
              <w:rPr>
                <w:rFonts w:ascii="Times New Roman"/>
                <w:sz w:val="21"/>
                <w:szCs w:val="21"/>
              </w:rPr>
            </w:pPr>
            <w:r>
              <w:rPr>
                <w:rFonts w:hint="eastAsia" w:ascii="Times New Roman"/>
                <w:sz w:val="21"/>
                <w:szCs w:val="21"/>
              </w:rPr>
              <w:t>5、钢铁行业按期完成 1000 立方米以下高炉、100 吨以下转炉升级改造，大力推广高炉富氧喷煤、大球团比等先进冶炼工艺技术，探索推进气基竖炉直接还原炼铁、熔融还原炼铁、富氢燃气炼铁积极推进全废钢电炉工艺，有序实施短流程炼钢改造。焦化行业加快高效精馏系统、高温高压干熄焦等节能技术推广应用。推动工业窑炉、油机、压缩机等重点用能设备进行系统节能改造。</w:t>
            </w:r>
          </w:p>
        </w:tc>
        <w:tc>
          <w:tcPr>
            <w:tcW w:w="1393" w:type="pct"/>
            <w:gridSpan w:val="2"/>
            <w:shd w:val="clear" w:color="auto" w:fill="auto"/>
            <w:vAlign w:val="center"/>
          </w:tcPr>
          <w:p w14:paraId="4022E397">
            <w:pPr>
              <w:spacing w:line="260" w:lineRule="exact"/>
              <w:rPr>
                <w:rFonts w:ascii="Times New Roman"/>
                <w:sz w:val="21"/>
                <w:szCs w:val="21"/>
              </w:rPr>
            </w:pPr>
            <w:r>
              <w:rPr>
                <w:rFonts w:hint="eastAsia" w:ascii="Times New Roman"/>
                <w:sz w:val="21"/>
                <w:szCs w:val="21"/>
              </w:rPr>
              <w:t>天然气燃烧机为</w:t>
            </w:r>
            <w:r>
              <w:rPr>
                <w:rFonts w:ascii="Times New Roman"/>
                <w:sz w:val="21"/>
                <w:szCs w:val="21"/>
              </w:rPr>
              <w:t>生产线提供生产用热；</w:t>
            </w:r>
            <w:r>
              <w:rPr>
                <w:rFonts w:hint="eastAsia" w:ascii="Times New Roman"/>
                <w:sz w:val="21"/>
                <w:szCs w:val="21"/>
              </w:rPr>
              <w:t>厂区供暖采用风冷热泵、中央空调</w:t>
            </w:r>
            <w:r>
              <w:rPr>
                <w:rFonts w:ascii="Times New Roman"/>
                <w:sz w:val="21"/>
                <w:szCs w:val="21"/>
              </w:rPr>
              <w:t>。</w:t>
            </w:r>
          </w:p>
        </w:tc>
        <w:tc>
          <w:tcPr>
            <w:tcW w:w="202" w:type="pct"/>
            <w:vAlign w:val="center"/>
          </w:tcPr>
          <w:p w14:paraId="00F9D1BE">
            <w:pPr>
              <w:spacing w:line="260" w:lineRule="exact"/>
              <w:rPr>
                <w:rFonts w:ascii="Times New Roman"/>
                <w:sz w:val="21"/>
                <w:szCs w:val="21"/>
              </w:rPr>
            </w:pPr>
          </w:p>
          <w:p w14:paraId="422DB8CC">
            <w:pPr>
              <w:spacing w:line="260" w:lineRule="exact"/>
              <w:rPr>
                <w:rFonts w:ascii="Times New Roman"/>
                <w:sz w:val="21"/>
                <w:szCs w:val="21"/>
              </w:rPr>
            </w:pPr>
            <w:r>
              <w:rPr>
                <w:rFonts w:ascii="Times New Roman"/>
                <w:sz w:val="21"/>
                <w:szCs w:val="21"/>
              </w:rPr>
              <w:t>符合</w:t>
            </w:r>
          </w:p>
        </w:tc>
      </w:tr>
      <w:tr w14:paraId="040C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03157BA7">
            <w:pPr>
              <w:spacing w:line="260" w:lineRule="exact"/>
              <w:rPr>
                <w:rFonts w:ascii="Times New Roman"/>
                <w:sz w:val="21"/>
                <w:szCs w:val="21"/>
              </w:rPr>
            </w:pPr>
          </w:p>
        </w:tc>
        <w:tc>
          <w:tcPr>
            <w:tcW w:w="178" w:type="pct"/>
            <w:gridSpan w:val="2"/>
            <w:vMerge w:val="continue"/>
            <w:vAlign w:val="center"/>
          </w:tcPr>
          <w:p w14:paraId="520F9097">
            <w:pPr>
              <w:spacing w:line="260" w:lineRule="exact"/>
              <w:jc w:val="center"/>
              <w:rPr>
                <w:rFonts w:ascii="Times New Roman"/>
                <w:sz w:val="21"/>
                <w:szCs w:val="21"/>
              </w:rPr>
            </w:pPr>
          </w:p>
        </w:tc>
        <w:tc>
          <w:tcPr>
            <w:tcW w:w="263" w:type="pct"/>
            <w:gridSpan w:val="2"/>
            <w:vAlign w:val="center"/>
          </w:tcPr>
          <w:p w14:paraId="6D337B67">
            <w:pPr>
              <w:spacing w:line="260" w:lineRule="exact"/>
              <w:jc w:val="center"/>
              <w:rPr>
                <w:rFonts w:ascii="Times New Roman"/>
                <w:sz w:val="21"/>
                <w:szCs w:val="21"/>
              </w:rPr>
            </w:pPr>
            <w:r>
              <w:rPr>
                <w:rFonts w:ascii="Times New Roman"/>
                <w:sz w:val="21"/>
                <w:szCs w:val="21"/>
              </w:rPr>
              <w:t>岸线资源</w:t>
            </w:r>
          </w:p>
        </w:tc>
        <w:tc>
          <w:tcPr>
            <w:tcW w:w="360" w:type="pct"/>
            <w:gridSpan w:val="2"/>
            <w:vAlign w:val="center"/>
          </w:tcPr>
          <w:p w14:paraId="32A309AA">
            <w:pPr>
              <w:spacing w:line="260" w:lineRule="exact"/>
              <w:jc w:val="center"/>
              <w:rPr>
                <w:rFonts w:ascii="Times New Roman"/>
                <w:sz w:val="21"/>
                <w:szCs w:val="21"/>
              </w:rPr>
            </w:pPr>
            <w:r>
              <w:rPr>
                <w:rFonts w:ascii="Times New Roman"/>
                <w:sz w:val="21"/>
                <w:szCs w:val="21"/>
              </w:rPr>
              <w:t>资源利用效率要求</w:t>
            </w:r>
          </w:p>
        </w:tc>
        <w:tc>
          <w:tcPr>
            <w:tcW w:w="2375" w:type="pct"/>
            <w:gridSpan w:val="3"/>
            <w:vAlign w:val="center"/>
          </w:tcPr>
          <w:p w14:paraId="5CEAF2EA">
            <w:pPr>
              <w:spacing w:line="260" w:lineRule="exact"/>
              <w:rPr>
                <w:rFonts w:ascii="Times New Roman"/>
                <w:sz w:val="21"/>
                <w:szCs w:val="21"/>
              </w:rPr>
            </w:pPr>
            <w:r>
              <w:rPr>
                <w:rFonts w:ascii="Times New Roman"/>
                <w:sz w:val="21"/>
                <w:szCs w:val="21"/>
              </w:rPr>
              <w:t>1、除国防安全需要外，禁止在严格保护岸线的保护范围内构建永久性建筑物、围填海、开采海砂、设置排污口等损害海岸地形地貌和生态环境的活动。</w:t>
            </w:r>
          </w:p>
          <w:p w14:paraId="1BB27CAF">
            <w:pPr>
              <w:spacing w:line="260" w:lineRule="exact"/>
              <w:rPr>
                <w:rFonts w:ascii="Times New Roman"/>
                <w:sz w:val="21"/>
                <w:szCs w:val="21"/>
              </w:rPr>
            </w:pPr>
            <w:r>
              <w:rPr>
                <w:rFonts w:ascii="Times New Roman"/>
                <w:sz w:val="21"/>
                <w:szCs w:val="21"/>
              </w:rPr>
              <w:t>2、限制开发岸线严格控制改变海岸自然形态和影响海岸生态功能的开发利用活动，预留未来 发展空间，严格海域使用审批。</w:t>
            </w:r>
          </w:p>
          <w:p w14:paraId="742B2FC1">
            <w:pPr>
              <w:spacing w:line="260" w:lineRule="exact"/>
              <w:rPr>
                <w:rFonts w:ascii="Times New Roman"/>
                <w:sz w:val="21"/>
                <w:szCs w:val="21"/>
              </w:rPr>
            </w:pPr>
            <w:r>
              <w:rPr>
                <w:rFonts w:ascii="Times New Roman"/>
                <w:sz w:val="21"/>
                <w:szCs w:val="21"/>
              </w:rPr>
              <w:t>3、优化利用岸线应集中布局确需占用海岸线的建设项目，严格控制占用岸线长度，提高投资强度和利用效率，优化海岸线开发利用格局。</w:t>
            </w:r>
          </w:p>
          <w:p w14:paraId="64628870">
            <w:pPr>
              <w:spacing w:line="260" w:lineRule="exact"/>
              <w:rPr>
                <w:rFonts w:ascii="Times New Roman"/>
                <w:sz w:val="21"/>
                <w:szCs w:val="21"/>
              </w:rPr>
            </w:pPr>
            <w:r>
              <w:rPr>
                <w:rFonts w:ascii="Times New Roman"/>
                <w:sz w:val="21"/>
                <w:szCs w:val="21"/>
              </w:rPr>
              <w:t>4、严格限制建设项目占用自然岸线，确需占用自然岸线的建设项目应严格进行论证和审批。海域使用论证报告应明确提出占用自然岸线的必要性与合理性结论。不能满足自然岸线保有率管控目标和要求的建设项目用海不予批准。</w:t>
            </w:r>
          </w:p>
        </w:tc>
        <w:tc>
          <w:tcPr>
            <w:tcW w:w="1393" w:type="pct"/>
            <w:gridSpan w:val="2"/>
            <w:vAlign w:val="center"/>
          </w:tcPr>
          <w:p w14:paraId="787106A5">
            <w:pPr>
              <w:spacing w:line="260" w:lineRule="exact"/>
              <w:rPr>
                <w:rFonts w:ascii="Times New Roman"/>
                <w:sz w:val="21"/>
                <w:szCs w:val="21"/>
              </w:rPr>
            </w:pPr>
            <w:r>
              <w:rPr>
                <w:rFonts w:ascii="Times New Roman"/>
                <w:sz w:val="21"/>
                <w:szCs w:val="21"/>
              </w:rPr>
              <w:t>项目不涉及岸线资源使用</w:t>
            </w:r>
          </w:p>
        </w:tc>
        <w:tc>
          <w:tcPr>
            <w:tcW w:w="202" w:type="pct"/>
            <w:vAlign w:val="center"/>
          </w:tcPr>
          <w:p w14:paraId="10121DB3">
            <w:pPr>
              <w:spacing w:line="260" w:lineRule="exact"/>
              <w:rPr>
                <w:rFonts w:ascii="Times New Roman"/>
                <w:sz w:val="21"/>
                <w:szCs w:val="21"/>
              </w:rPr>
            </w:pPr>
            <w:r>
              <w:rPr>
                <w:rFonts w:ascii="Times New Roman"/>
                <w:sz w:val="21"/>
                <w:szCs w:val="21"/>
              </w:rPr>
              <w:t>符合</w:t>
            </w:r>
          </w:p>
        </w:tc>
      </w:tr>
      <w:tr w14:paraId="0868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5E00B2DB">
            <w:pPr>
              <w:spacing w:line="260" w:lineRule="exact"/>
              <w:rPr>
                <w:rFonts w:ascii="Times New Roman"/>
                <w:sz w:val="21"/>
                <w:szCs w:val="21"/>
              </w:rPr>
            </w:pPr>
          </w:p>
        </w:tc>
        <w:tc>
          <w:tcPr>
            <w:tcW w:w="178" w:type="pct"/>
            <w:gridSpan w:val="2"/>
            <w:vMerge w:val="continue"/>
            <w:vAlign w:val="center"/>
          </w:tcPr>
          <w:p w14:paraId="39840264">
            <w:pPr>
              <w:spacing w:line="260" w:lineRule="exact"/>
              <w:jc w:val="center"/>
              <w:rPr>
                <w:rFonts w:ascii="Times New Roman"/>
                <w:sz w:val="21"/>
                <w:szCs w:val="21"/>
              </w:rPr>
            </w:pPr>
          </w:p>
        </w:tc>
        <w:tc>
          <w:tcPr>
            <w:tcW w:w="263" w:type="pct"/>
            <w:gridSpan w:val="2"/>
            <w:shd w:val="clear" w:color="auto" w:fill="auto"/>
            <w:vAlign w:val="center"/>
          </w:tcPr>
          <w:p w14:paraId="36345A32">
            <w:pPr>
              <w:spacing w:line="260" w:lineRule="exact"/>
              <w:jc w:val="center"/>
              <w:rPr>
                <w:rFonts w:ascii="Times New Roman"/>
                <w:sz w:val="21"/>
                <w:szCs w:val="21"/>
              </w:rPr>
            </w:pPr>
            <w:r>
              <w:rPr>
                <w:rFonts w:hint="eastAsia" w:ascii="Times New Roman"/>
                <w:sz w:val="21"/>
                <w:szCs w:val="21"/>
              </w:rPr>
              <w:t>土地资源</w:t>
            </w:r>
          </w:p>
        </w:tc>
        <w:tc>
          <w:tcPr>
            <w:tcW w:w="360" w:type="pct"/>
            <w:gridSpan w:val="2"/>
            <w:shd w:val="clear" w:color="auto" w:fill="auto"/>
            <w:vAlign w:val="center"/>
          </w:tcPr>
          <w:p w14:paraId="2BF511E1">
            <w:pPr>
              <w:spacing w:line="260" w:lineRule="exact"/>
              <w:jc w:val="center"/>
              <w:rPr>
                <w:rFonts w:ascii="Times New Roman"/>
                <w:sz w:val="21"/>
                <w:szCs w:val="21"/>
              </w:rPr>
            </w:pPr>
            <w:r>
              <w:rPr>
                <w:rFonts w:ascii="Times New Roman"/>
                <w:sz w:val="21"/>
                <w:szCs w:val="21"/>
              </w:rPr>
              <w:t>资源利用效率要求</w:t>
            </w:r>
          </w:p>
        </w:tc>
        <w:tc>
          <w:tcPr>
            <w:tcW w:w="2375" w:type="pct"/>
            <w:gridSpan w:val="3"/>
            <w:shd w:val="clear" w:color="auto" w:fill="auto"/>
            <w:vAlign w:val="center"/>
          </w:tcPr>
          <w:p w14:paraId="4ED945EF">
            <w:pPr>
              <w:spacing w:line="260" w:lineRule="exact"/>
              <w:rPr>
                <w:rFonts w:ascii="Times New Roman"/>
                <w:sz w:val="21"/>
                <w:szCs w:val="21"/>
              </w:rPr>
            </w:pPr>
            <w:r>
              <w:rPr>
                <w:rFonts w:hint="eastAsia" w:ascii="Times New Roman"/>
                <w:sz w:val="21"/>
                <w:szCs w:val="21"/>
              </w:rPr>
              <w:t>1、不得擅自突破城镇建设用地规模和城镇开发边界扩展倍数，严禁违反法律和规划开展用地用海审批。</w:t>
            </w:r>
          </w:p>
          <w:p w14:paraId="72AA56F3">
            <w:pPr>
              <w:spacing w:line="260" w:lineRule="exact"/>
              <w:rPr>
                <w:rFonts w:ascii="Times New Roman"/>
                <w:sz w:val="21"/>
                <w:szCs w:val="21"/>
              </w:rPr>
            </w:pPr>
            <w:r>
              <w:rPr>
                <w:rFonts w:hint="eastAsia" w:ascii="Times New Roman"/>
                <w:sz w:val="21"/>
                <w:szCs w:val="21"/>
              </w:rPr>
              <w:t>2、城镇开发边界外不得进行城镇集中建设，不得规划建设各类开发区和产业园区，不得规划城镇居住用地。</w:t>
            </w:r>
          </w:p>
        </w:tc>
        <w:tc>
          <w:tcPr>
            <w:tcW w:w="1393" w:type="pct"/>
            <w:gridSpan w:val="2"/>
            <w:shd w:val="clear" w:color="auto" w:fill="auto"/>
            <w:vAlign w:val="center"/>
          </w:tcPr>
          <w:p w14:paraId="57FE5C76">
            <w:pPr>
              <w:spacing w:line="260" w:lineRule="exact"/>
              <w:rPr>
                <w:rFonts w:ascii="Times New Roman"/>
                <w:sz w:val="21"/>
                <w:szCs w:val="21"/>
              </w:rPr>
            </w:pPr>
            <w:r>
              <w:rPr>
                <w:rFonts w:hint="eastAsia" w:ascii="Times New Roman"/>
                <w:sz w:val="21"/>
                <w:szCs w:val="21"/>
              </w:rPr>
              <w:t>不涉及</w:t>
            </w:r>
          </w:p>
        </w:tc>
        <w:tc>
          <w:tcPr>
            <w:tcW w:w="202" w:type="pct"/>
            <w:vAlign w:val="center"/>
          </w:tcPr>
          <w:p w14:paraId="2D91C389">
            <w:pPr>
              <w:spacing w:line="260" w:lineRule="exact"/>
              <w:rPr>
                <w:rFonts w:ascii="Times New Roman"/>
                <w:sz w:val="21"/>
                <w:szCs w:val="21"/>
              </w:rPr>
            </w:pPr>
          </w:p>
        </w:tc>
      </w:tr>
      <w:tr w14:paraId="7C07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6D6630E9">
            <w:pPr>
              <w:spacing w:line="260" w:lineRule="exact"/>
              <w:rPr>
                <w:rFonts w:ascii="Times New Roman"/>
                <w:sz w:val="21"/>
                <w:szCs w:val="21"/>
              </w:rPr>
            </w:pPr>
            <w:r>
              <w:rPr>
                <w:rFonts w:ascii="Times New Roman"/>
                <w:sz w:val="21"/>
                <w:szCs w:val="21"/>
              </w:rPr>
              <w:t>10</w:t>
            </w:r>
          </w:p>
        </w:tc>
        <w:tc>
          <w:tcPr>
            <w:tcW w:w="178" w:type="pct"/>
            <w:gridSpan w:val="2"/>
            <w:vAlign w:val="center"/>
          </w:tcPr>
          <w:p w14:paraId="58CC3413">
            <w:pPr>
              <w:spacing w:line="260" w:lineRule="exact"/>
              <w:jc w:val="center"/>
              <w:rPr>
                <w:rFonts w:ascii="Times New Roman"/>
                <w:sz w:val="21"/>
                <w:szCs w:val="21"/>
              </w:rPr>
            </w:pPr>
            <w:r>
              <w:rPr>
                <w:rFonts w:ascii="Times New Roman"/>
                <w:sz w:val="21"/>
                <w:szCs w:val="21"/>
              </w:rPr>
              <w:t>产业总体布局要求</w:t>
            </w:r>
          </w:p>
        </w:tc>
        <w:tc>
          <w:tcPr>
            <w:tcW w:w="263" w:type="pct"/>
            <w:gridSpan w:val="2"/>
            <w:vAlign w:val="center"/>
          </w:tcPr>
          <w:p w14:paraId="7093DDD2">
            <w:pPr>
              <w:spacing w:line="260" w:lineRule="exact"/>
              <w:jc w:val="center"/>
              <w:rPr>
                <w:rFonts w:ascii="Times New Roman"/>
                <w:sz w:val="21"/>
                <w:szCs w:val="21"/>
              </w:rPr>
            </w:pPr>
            <w:r>
              <w:rPr>
                <w:rFonts w:ascii="Times New Roman"/>
                <w:sz w:val="21"/>
                <w:szCs w:val="21"/>
              </w:rPr>
              <w:t>空间布局约束</w:t>
            </w:r>
          </w:p>
        </w:tc>
        <w:tc>
          <w:tcPr>
            <w:tcW w:w="2736" w:type="pct"/>
            <w:gridSpan w:val="5"/>
            <w:shd w:val="clear" w:color="auto" w:fill="auto"/>
            <w:vAlign w:val="center"/>
          </w:tcPr>
          <w:p w14:paraId="4010A7ED">
            <w:pPr>
              <w:adjustRightInd w:val="0"/>
              <w:snapToGrid w:val="0"/>
              <w:spacing w:line="260" w:lineRule="exact"/>
              <w:jc w:val="left"/>
              <w:rPr>
                <w:rFonts w:ascii="Times New Roman"/>
                <w:sz w:val="21"/>
                <w:szCs w:val="21"/>
              </w:rPr>
            </w:pPr>
            <w:r>
              <w:rPr>
                <w:rFonts w:ascii="Times New Roman"/>
                <w:sz w:val="21"/>
                <w:szCs w:val="21"/>
              </w:rPr>
              <w:t>1、严格执行《产业结构调整指导目录》《市场准入负面清单》《河北省禁止投资的产业目录》相关要求。</w:t>
            </w:r>
          </w:p>
          <w:p w14:paraId="1591128A">
            <w:pPr>
              <w:adjustRightInd w:val="0"/>
              <w:snapToGrid w:val="0"/>
              <w:spacing w:line="260" w:lineRule="exact"/>
              <w:jc w:val="left"/>
              <w:rPr>
                <w:rFonts w:ascii="Times New Roman"/>
                <w:sz w:val="21"/>
                <w:szCs w:val="21"/>
              </w:rPr>
            </w:pPr>
            <w:r>
              <w:rPr>
                <w:rFonts w:ascii="Times New Roman"/>
                <w:sz w:val="21"/>
                <w:szCs w:val="21"/>
              </w:rPr>
              <w:t>2、</w:t>
            </w:r>
            <w:r>
              <w:rPr>
                <w:rFonts w:hint="eastAsia" w:ascii="Times New Roman"/>
                <w:sz w:val="21"/>
                <w:szCs w:val="21"/>
              </w:rPr>
              <w:t>严格执行国家产业政策和准入标准，实行生态环境准入清单制度，禁止新建、扩建高污染项目，严格控制高耗能、高排放项目准入。新建、改建和扩建项目按照相关规定实行减量置换或者等量置换。</w:t>
            </w:r>
          </w:p>
          <w:p w14:paraId="3B75B541">
            <w:pPr>
              <w:adjustRightInd w:val="0"/>
              <w:snapToGrid w:val="0"/>
              <w:spacing w:line="260" w:lineRule="exact"/>
              <w:jc w:val="left"/>
              <w:rPr>
                <w:rFonts w:ascii="Times New Roman"/>
                <w:sz w:val="21"/>
                <w:szCs w:val="21"/>
              </w:rPr>
            </w:pPr>
            <w:r>
              <w:rPr>
                <w:rFonts w:ascii="Times New Roman"/>
                <w:sz w:val="21"/>
                <w:szCs w:val="21"/>
              </w:rPr>
              <w:t>3、禁止投资钢铁冶炼、水泥、电解铝、平板玻璃等产能严重过剩行业和炼焦、有色、电石、铁合金等新增产能项目。</w:t>
            </w:r>
          </w:p>
          <w:p w14:paraId="55F6EA73">
            <w:pPr>
              <w:adjustRightInd w:val="0"/>
              <w:snapToGrid w:val="0"/>
              <w:spacing w:line="260" w:lineRule="exact"/>
              <w:jc w:val="left"/>
              <w:rPr>
                <w:rFonts w:ascii="Times New Roman"/>
                <w:sz w:val="21"/>
                <w:szCs w:val="21"/>
              </w:rPr>
            </w:pPr>
            <w:r>
              <w:rPr>
                <w:rFonts w:ascii="Times New Roman"/>
                <w:sz w:val="21"/>
                <w:szCs w:val="21"/>
              </w:rPr>
              <w:t>4、</w:t>
            </w:r>
            <w:r>
              <w:rPr>
                <w:rFonts w:hint="eastAsia" w:ascii="Times New Roman"/>
                <w:sz w:val="21"/>
                <w:szCs w:val="21"/>
              </w:rPr>
              <w:t>上一年度环境空气质量年平均浓度不达标的城市、水环境质量未达到要求的市县，相关污染物应按照建设项目所需替代的主要污染物排放总量指标的 2 倍进行削减替代（燃煤发电机组大气污染物排放浓度基本达到燃气轮机组排放限值的除外）。</w:t>
            </w:r>
          </w:p>
          <w:p w14:paraId="2423EEED">
            <w:pPr>
              <w:adjustRightInd w:val="0"/>
              <w:snapToGrid w:val="0"/>
              <w:spacing w:line="260" w:lineRule="exact"/>
              <w:jc w:val="left"/>
              <w:rPr>
                <w:rFonts w:ascii="Times New Roman"/>
                <w:sz w:val="21"/>
                <w:szCs w:val="21"/>
              </w:rPr>
            </w:pPr>
            <w:r>
              <w:rPr>
                <w:rFonts w:ascii="Times New Roman"/>
                <w:sz w:val="21"/>
                <w:szCs w:val="21"/>
              </w:rPr>
              <w:t>5、</w:t>
            </w:r>
            <w:r>
              <w:rPr>
                <w:rFonts w:hint="eastAsia" w:ascii="Times New Roman"/>
                <w:sz w:val="21"/>
                <w:szCs w:val="21"/>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p w14:paraId="5145FB48">
            <w:pPr>
              <w:adjustRightInd w:val="0"/>
              <w:snapToGrid w:val="0"/>
              <w:spacing w:line="260" w:lineRule="exact"/>
              <w:jc w:val="left"/>
              <w:rPr>
                <w:rFonts w:ascii="Times New Roman"/>
                <w:sz w:val="21"/>
                <w:szCs w:val="21"/>
              </w:rPr>
            </w:pPr>
            <w:r>
              <w:rPr>
                <w:rFonts w:ascii="Times New Roman"/>
                <w:sz w:val="21"/>
                <w:szCs w:val="21"/>
              </w:rPr>
              <w:t>6、</w:t>
            </w:r>
            <w:r>
              <w:rPr>
                <w:rFonts w:hint="eastAsia" w:ascii="Times New Roman"/>
                <w:sz w:val="21"/>
                <w:szCs w:val="21"/>
              </w:rPr>
              <w:t>在优先保护类耕地集中区域严格控制新建有色金属冶炼、石油加工、化工、焦化、电镀、制革、铅蓄电池等行业企业，防止对耕地造成污染。</w:t>
            </w:r>
          </w:p>
          <w:p w14:paraId="5C142A72">
            <w:pPr>
              <w:adjustRightInd w:val="0"/>
              <w:snapToGrid w:val="0"/>
              <w:spacing w:line="260" w:lineRule="exact"/>
              <w:jc w:val="left"/>
              <w:rPr>
                <w:rFonts w:ascii="Times New Roman"/>
                <w:sz w:val="21"/>
                <w:szCs w:val="21"/>
              </w:rPr>
            </w:pPr>
            <w:r>
              <w:rPr>
                <w:rFonts w:ascii="Times New Roman"/>
                <w:sz w:val="21"/>
                <w:szCs w:val="21"/>
              </w:rPr>
              <w:t>7、</w:t>
            </w:r>
            <w:r>
              <w:rPr>
                <w:rFonts w:hint="eastAsia" w:ascii="Times New Roman"/>
                <w:sz w:val="21"/>
                <w:szCs w:val="21"/>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6053A40E">
            <w:pPr>
              <w:adjustRightInd w:val="0"/>
              <w:snapToGrid w:val="0"/>
              <w:spacing w:line="260" w:lineRule="exact"/>
              <w:jc w:val="left"/>
              <w:rPr>
                <w:rFonts w:ascii="Times New Roman"/>
                <w:sz w:val="21"/>
                <w:szCs w:val="21"/>
              </w:rPr>
            </w:pPr>
            <w:r>
              <w:rPr>
                <w:rFonts w:ascii="Times New Roman"/>
                <w:sz w:val="21"/>
                <w:szCs w:val="21"/>
              </w:rPr>
              <w:t>8、</w:t>
            </w:r>
            <w:r>
              <w:rPr>
                <w:rFonts w:hint="eastAsia" w:ascii="Times New Roman"/>
                <w:sz w:val="21"/>
                <w:szCs w:val="21"/>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p w14:paraId="23F65E38">
            <w:pPr>
              <w:adjustRightInd w:val="0"/>
              <w:snapToGrid w:val="0"/>
              <w:spacing w:line="260" w:lineRule="exact"/>
              <w:jc w:val="left"/>
              <w:rPr>
                <w:rFonts w:ascii="Times New Roman"/>
                <w:sz w:val="21"/>
                <w:szCs w:val="21"/>
              </w:rPr>
            </w:pPr>
            <w:r>
              <w:rPr>
                <w:rFonts w:ascii="Times New Roman"/>
                <w:sz w:val="21"/>
                <w:szCs w:val="21"/>
              </w:rPr>
              <w:t>9、</w:t>
            </w:r>
            <w:r>
              <w:rPr>
                <w:rFonts w:hint="eastAsia" w:ascii="Times New Roman"/>
                <w:sz w:val="21"/>
                <w:szCs w:val="21"/>
              </w:rPr>
              <w:t>严格规范危化品管理，逐步退出人口聚集区内危化品的生产、储存、加工机构，加快实施重污染企业搬迁；加强居住区生态环境防护，建设封闭式石化园区，严格控制危化品仓储基地、运输路径等，减少对居民生活影响</w:t>
            </w:r>
            <w:r>
              <w:rPr>
                <w:rFonts w:ascii="Times New Roman"/>
                <w:sz w:val="21"/>
                <w:szCs w:val="21"/>
              </w:rPr>
              <w:t>。</w:t>
            </w:r>
          </w:p>
          <w:p w14:paraId="71358FE6">
            <w:pPr>
              <w:adjustRightInd w:val="0"/>
              <w:snapToGrid w:val="0"/>
              <w:spacing w:line="260" w:lineRule="exact"/>
              <w:jc w:val="left"/>
              <w:rPr>
                <w:rFonts w:ascii="Times New Roman"/>
                <w:sz w:val="21"/>
                <w:szCs w:val="21"/>
              </w:rPr>
            </w:pPr>
            <w:r>
              <w:rPr>
                <w:rFonts w:ascii="Times New Roman"/>
                <w:sz w:val="21"/>
                <w:szCs w:val="21"/>
              </w:rPr>
              <w:t>10、</w:t>
            </w:r>
            <w:r>
              <w:rPr>
                <w:rFonts w:hint="eastAsia" w:ascii="Times New Roman"/>
                <w:sz w:val="21"/>
                <w:szCs w:val="21"/>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r>
              <w:rPr>
                <w:rFonts w:ascii="Times New Roman"/>
                <w:sz w:val="21"/>
                <w:szCs w:val="21"/>
              </w:rPr>
              <w:t>。</w:t>
            </w:r>
          </w:p>
          <w:p w14:paraId="254D3063">
            <w:pPr>
              <w:adjustRightInd w:val="0"/>
              <w:snapToGrid w:val="0"/>
              <w:spacing w:line="260" w:lineRule="exact"/>
              <w:jc w:val="left"/>
              <w:rPr>
                <w:rFonts w:ascii="Times New Roman"/>
                <w:sz w:val="21"/>
                <w:szCs w:val="21"/>
              </w:rPr>
            </w:pPr>
            <w:r>
              <w:rPr>
                <w:rFonts w:ascii="Times New Roman"/>
                <w:sz w:val="21"/>
                <w:szCs w:val="21"/>
              </w:rPr>
              <w:t>11、</w:t>
            </w:r>
            <w:r>
              <w:rPr>
                <w:rFonts w:hint="eastAsia" w:ascii="Times New Roman"/>
                <w:sz w:val="21"/>
                <w:szCs w:val="21"/>
              </w:rPr>
              <w:t>逐步淘汰 180 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r>
              <w:rPr>
                <w:rFonts w:ascii="Times New Roman"/>
                <w:sz w:val="21"/>
                <w:szCs w:val="21"/>
              </w:rPr>
              <w:t>。</w:t>
            </w:r>
          </w:p>
          <w:p w14:paraId="0AA61DD2">
            <w:pPr>
              <w:spacing w:line="260" w:lineRule="exact"/>
              <w:rPr>
                <w:rFonts w:ascii="Times New Roman"/>
                <w:sz w:val="21"/>
                <w:szCs w:val="21"/>
              </w:rPr>
            </w:pPr>
            <w:r>
              <w:rPr>
                <w:rFonts w:ascii="Times New Roman"/>
                <w:sz w:val="21"/>
                <w:szCs w:val="21"/>
              </w:rPr>
              <w:t>12、</w:t>
            </w:r>
            <w:r>
              <w:rPr>
                <w:rFonts w:hint="eastAsia" w:ascii="Times New Roman"/>
                <w:sz w:val="21"/>
                <w:szCs w:val="21"/>
              </w:rPr>
              <w:t>技术装备全面升级，高炉逐步达到 1000 立方米及以上、转炉逐步达到 100 吨及以上、烧结机逐步达到 180 平方米烧结机及以上。严格按照国家规定的产能减量置换政策实施改造升级，坚决杜绝借改造升级之机变相扩大生产能力；推广“一罐到底”工艺或采用鱼雷罐车运输铁水。</w:t>
            </w:r>
          </w:p>
          <w:p w14:paraId="29A9E5C6">
            <w:pPr>
              <w:spacing w:line="260" w:lineRule="exact"/>
              <w:rPr>
                <w:rFonts w:ascii="Times New Roman"/>
                <w:sz w:val="21"/>
                <w:szCs w:val="21"/>
              </w:rPr>
            </w:pPr>
            <w:r>
              <w:rPr>
                <w:rFonts w:ascii="Times New Roman"/>
                <w:sz w:val="21"/>
                <w:szCs w:val="21"/>
              </w:rPr>
              <w:t>13、</w:t>
            </w:r>
            <w:r>
              <w:rPr>
                <w:rFonts w:hint="eastAsia" w:ascii="Times New Roman"/>
                <w:sz w:val="21"/>
                <w:szCs w:val="21"/>
              </w:rPr>
              <w:t>尚未配备脱硫装置的球团竖炉，立即停产淘汰，不再予以改造；烧结厂房实现全封闭。</w:t>
            </w:r>
          </w:p>
          <w:p w14:paraId="716E5BD4">
            <w:pPr>
              <w:spacing w:line="260" w:lineRule="exact"/>
              <w:rPr>
                <w:rFonts w:ascii="Times New Roman"/>
                <w:sz w:val="21"/>
                <w:szCs w:val="21"/>
              </w:rPr>
            </w:pPr>
            <w:r>
              <w:rPr>
                <w:rFonts w:ascii="Times New Roman"/>
                <w:sz w:val="21"/>
                <w:szCs w:val="21"/>
              </w:rPr>
              <w:t>14、</w:t>
            </w:r>
            <w:r>
              <w:rPr>
                <w:rFonts w:hint="eastAsia" w:ascii="Times New Roman"/>
                <w:sz w:val="21"/>
                <w:szCs w:val="21"/>
              </w:rPr>
              <w:t>严禁备案和新建扩大产能的水泥熟料、平板玻璃项目。确有必要新建的，必须制定产能置换方案，实施产能置换。用于产能置换的生产线，必须在建设项目投产前关停并完成拆除退出</w:t>
            </w:r>
            <w:r>
              <w:rPr>
                <w:rFonts w:ascii="Times New Roman"/>
                <w:sz w:val="21"/>
                <w:szCs w:val="21"/>
              </w:rPr>
              <w:t>。</w:t>
            </w:r>
          </w:p>
          <w:p w14:paraId="6256AE66">
            <w:pPr>
              <w:spacing w:line="260" w:lineRule="exact"/>
              <w:rPr>
                <w:rFonts w:ascii="Times New Roman"/>
                <w:sz w:val="21"/>
                <w:szCs w:val="21"/>
              </w:rPr>
            </w:pPr>
            <w:r>
              <w:rPr>
                <w:rFonts w:ascii="Times New Roman"/>
                <w:sz w:val="21"/>
                <w:szCs w:val="21"/>
              </w:rPr>
              <w:t>15、</w:t>
            </w:r>
            <w:r>
              <w:rPr>
                <w:rFonts w:hint="eastAsia" w:ascii="Times New Roman"/>
                <w:sz w:val="21"/>
                <w:szCs w:val="21"/>
              </w:rPr>
              <w:t>引导和支持优势水泥熟料企业开展对单独粉磨企业的整合</w:t>
            </w:r>
            <w:r>
              <w:rPr>
                <w:rFonts w:ascii="Times New Roman"/>
                <w:sz w:val="21"/>
                <w:szCs w:val="21"/>
              </w:rPr>
              <w:t>。</w:t>
            </w:r>
          </w:p>
          <w:p w14:paraId="286114EC">
            <w:pPr>
              <w:spacing w:line="260" w:lineRule="exact"/>
              <w:rPr>
                <w:rFonts w:ascii="Times New Roman"/>
                <w:sz w:val="21"/>
                <w:szCs w:val="21"/>
              </w:rPr>
            </w:pPr>
            <w:r>
              <w:rPr>
                <w:rFonts w:ascii="Times New Roman"/>
                <w:sz w:val="21"/>
                <w:szCs w:val="21"/>
              </w:rPr>
              <w:t>16、</w:t>
            </w:r>
            <w:r>
              <w:rPr>
                <w:rFonts w:hint="eastAsia" w:ascii="Times New Roman"/>
                <w:sz w:val="21"/>
                <w:szCs w:val="21"/>
              </w:rPr>
              <w:t>平板玻璃行业生产布局应满足《平板玻璃行业规范条件》要求</w:t>
            </w:r>
            <w:r>
              <w:rPr>
                <w:rFonts w:ascii="Times New Roman"/>
                <w:sz w:val="21"/>
                <w:szCs w:val="21"/>
              </w:rPr>
              <w:t>。</w:t>
            </w:r>
          </w:p>
          <w:p w14:paraId="34A9D47B">
            <w:pPr>
              <w:spacing w:line="260" w:lineRule="exact"/>
              <w:rPr>
                <w:rFonts w:ascii="Times New Roman"/>
                <w:sz w:val="21"/>
                <w:szCs w:val="21"/>
              </w:rPr>
            </w:pPr>
            <w:r>
              <w:rPr>
                <w:rFonts w:ascii="Times New Roman"/>
                <w:sz w:val="21"/>
                <w:szCs w:val="21"/>
              </w:rPr>
              <w:t>17、</w:t>
            </w:r>
            <w:r>
              <w:rPr>
                <w:rFonts w:hint="eastAsia" w:ascii="Times New Roman"/>
                <w:sz w:val="21"/>
                <w:szCs w:val="21"/>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r>
              <w:rPr>
                <w:rFonts w:ascii="Times New Roman"/>
                <w:sz w:val="21"/>
                <w:szCs w:val="21"/>
              </w:rPr>
              <w:t>。</w:t>
            </w:r>
          </w:p>
          <w:p w14:paraId="243B6430">
            <w:pPr>
              <w:spacing w:line="260" w:lineRule="exact"/>
              <w:rPr>
                <w:rFonts w:ascii="Times New Roman"/>
                <w:sz w:val="21"/>
                <w:szCs w:val="21"/>
              </w:rPr>
            </w:pPr>
            <w:r>
              <w:rPr>
                <w:rFonts w:ascii="Times New Roman"/>
                <w:sz w:val="21"/>
                <w:szCs w:val="21"/>
              </w:rPr>
              <w:t>18、</w:t>
            </w:r>
            <w:r>
              <w:rPr>
                <w:rFonts w:hint="eastAsia" w:ascii="Times New Roman"/>
                <w:sz w:val="21"/>
                <w:szCs w:val="21"/>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1393" w:type="pct"/>
            <w:gridSpan w:val="2"/>
            <w:shd w:val="clear" w:color="auto" w:fill="auto"/>
            <w:vAlign w:val="center"/>
          </w:tcPr>
          <w:p w14:paraId="07296CA0">
            <w:pPr>
              <w:spacing w:line="260" w:lineRule="exact"/>
              <w:rPr>
                <w:rFonts w:ascii="Times New Roman"/>
                <w:sz w:val="21"/>
                <w:szCs w:val="21"/>
              </w:rPr>
            </w:pPr>
            <w:r>
              <w:rPr>
                <w:rFonts w:hint="eastAsia" w:ascii="Times New Roman"/>
                <w:sz w:val="21"/>
                <w:szCs w:val="21"/>
              </w:rPr>
              <w:t>对照《产业结构调整指导目录（2024年本）》，国家发展和改革委员会令第7号，2023年12月27日，项目不属于限制类、淘汰类项目，属允许类建设项目；不属于《市场准入负面清单（2022年）版》禁止准入类，不属于《环境保护综合名录》（2021年版）“两高”类项目；也不属于《河北省发展和改革委员会关于加强新建”两高”项目管理的通知》（冀发改环资〔2022〕691号）“两高”项目</w:t>
            </w:r>
            <w:r>
              <w:rPr>
                <w:rFonts w:ascii="Times New Roman"/>
                <w:sz w:val="21"/>
                <w:szCs w:val="21"/>
              </w:rPr>
              <w:t>。</w:t>
            </w:r>
            <w:r>
              <w:rPr>
                <w:rFonts w:hint="eastAsia" w:ascii="Times New Roman"/>
                <w:sz w:val="21"/>
                <w:szCs w:val="21"/>
              </w:rPr>
              <w:t>项目不属于造纸、焦化、氮肥、石油化工、印染、农副食品加工、原料药制造、制革、农药、电镀等“十大”重点行业。</w:t>
            </w:r>
            <w:r>
              <w:rPr>
                <w:rFonts w:ascii="Times New Roman"/>
                <w:sz w:val="21"/>
                <w:szCs w:val="21"/>
              </w:rPr>
              <w:t>项目位于曹妃甸循环经济示范区装备园区，占地为工业用地；对新增</w:t>
            </w:r>
            <w:r>
              <w:rPr>
                <w:rFonts w:hint="eastAsia" w:ascii="Times New Roman"/>
                <w:sz w:val="21"/>
                <w:szCs w:val="21"/>
              </w:rPr>
              <w:t>主要</w:t>
            </w:r>
            <w:r>
              <w:rPr>
                <w:rFonts w:ascii="Times New Roman"/>
                <w:sz w:val="21"/>
                <w:szCs w:val="21"/>
              </w:rPr>
              <w:t>废气污染物</w:t>
            </w:r>
            <w:r>
              <w:rPr>
                <w:rFonts w:hint="eastAsia" w:ascii="Times New Roman"/>
                <w:sz w:val="21"/>
                <w:szCs w:val="21"/>
              </w:rPr>
              <w:t>按要求</w:t>
            </w:r>
            <w:r>
              <w:rPr>
                <w:rFonts w:ascii="Times New Roman"/>
                <w:sz w:val="21"/>
                <w:szCs w:val="21"/>
              </w:rPr>
              <w:t>实施倍量削减。</w:t>
            </w:r>
          </w:p>
          <w:p w14:paraId="090D0FA0">
            <w:pPr>
              <w:spacing w:line="260" w:lineRule="exact"/>
              <w:rPr>
                <w:rFonts w:ascii="Times New Roman"/>
                <w:sz w:val="21"/>
                <w:szCs w:val="21"/>
              </w:rPr>
            </w:pPr>
            <w:r>
              <w:rPr>
                <w:rFonts w:hint="eastAsia" w:ascii="Times New Roman"/>
                <w:sz w:val="21"/>
                <w:szCs w:val="21"/>
              </w:rPr>
              <w:t>项目位于唐山市曹妃甸循环经济示范区装备园区，生产过程中产生的危险废物暂存危废间，定期交由有资质单位处置。</w:t>
            </w:r>
          </w:p>
        </w:tc>
        <w:tc>
          <w:tcPr>
            <w:tcW w:w="202" w:type="pct"/>
            <w:vAlign w:val="center"/>
          </w:tcPr>
          <w:p w14:paraId="2A78B3F8">
            <w:pPr>
              <w:spacing w:line="260" w:lineRule="exact"/>
              <w:rPr>
                <w:rFonts w:ascii="Times New Roman"/>
                <w:sz w:val="21"/>
                <w:szCs w:val="21"/>
              </w:rPr>
            </w:pPr>
            <w:r>
              <w:rPr>
                <w:rFonts w:ascii="Times New Roman"/>
                <w:sz w:val="21"/>
                <w:szCs w:val="21"/>
              </w:rPr>
              <w:t>符合</w:t>
            </w:r>
          </w:p>
        </w:tc>
      </w:tr>
      <w:tr w14:paraId="036B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468D4921">
            <w:pPr>
              <w:spacing w:line="260" w:lineRule="exact"/>
              <w:rPr>
                <w:rFonts w:ascii="Times New Roman"/>
                <w:sz w:val="21"/>
                <w:szCs w:val="21"/>
              </w:rPr>
            </w:pPr>
            <w:r>
              <w:rPr>
                <w:rFonts w:ascii="Times New Roman"/>
                <w:sz w:val="21"/>
                <w:szCs w:val="21"/>
              </w:rPr>
              <w:t>11</w:t>
            </w:r>
          </w:p>
        </w:tc>
        <w:tc>
          <w:tcPr>
            <w:tcW w:w="178" w:type="pct"/>
            <w:gridSpan w:val="2"/>
            <w:vAlign w:val="center"/>
          </w:tcPr>
          <w:p w14:paraId="451C1EFE">
            <w:pPr>
              <w:adjustRightInd w:val="0"/>
              <w:snapToGrid w:val="0"/>
              <w:spacing w:line="260" w:lineRule="exact"/>
              <w:jc w:val="center"/>
              <w:rPr>
                <w:rFonts w:ascii="Times New Roman"/>
                <w:sz w:val="21"/>
                <w:szCs w:val="21"/>
              </w:rPr>
            </w:pPr>
            <w:r>
              <w:rPr>
                <w:rFonts w:ascii="Times New Roman"/>
                <w:sz w:val="21"/>
                <w:szCs w:val="21"/>
              </w:rPr>
              <w:t>项目入园准入要求</w:t>
            </w:r>
          </w:p>
        </w:tc>
        <w:tc>
          <w:tcPr>
            <w:tcW w:w="263" w:type="pct"/>
            <w:gridSpan w:val="2"/>
            <w:vAlign w:val="center"/>
          </w:tcPr>
          <w:p w14:paraId="3F1DC8F2">
            <w:pPr>
              <w:adjustRightInd w:val="0"/>
              <w:snapToGrid w:val="0"/>
              <w:spacing w:line="260" w:lineRule="exact"/>
              <w:jc w:val="center"/>
              <w:rPr>
                <w:rFonts w:ascii="Times New Roman"/>
                <w:sz w:val="21"/>
                <w:szCs w:val="21"/>
              </w:rPr>
            </w:pPr>
            <w:r>
              <w:rPr>
                <w:rFonts w:ascii="Times New Roman"/>
                <w:sz w:val="21"/>
                <w:szCs w:val="21"/>
              </w:rPr>
              <w:t>空间布局约束</w:t>
            </w:r>
          </w:p>
        </w:tc>
        <w:tc>
          <w:tcPr>
            <w:tcW w:w="2736" w:type="pct"/>
            <w:gridSpan w:val="5"/>
            <w:shd w:val="clear" w:color="auto" w:fill="auto"/>
            <w:vAlign w:val="center"/>
          </w:tcPr>
          <w:p w14:paraId="0CA7E285">
            <w:pPr>
              <w:adjustRightInd w:val="0"/>
              <w:snapToGrid w:val="0"/>
              <w:spacing w:line="260" w:lineRule="exact"/>
              <w:jc w:val="left"/>
              <w:rPr>
                <w:rFonts w:ascii="Times New Roman"/>
                <w:sz w:val="21"/>
                <w:szCs w:val="21"/>
              </w:rPr>
            </w:pPr>
            <w:r>
              <w:rPr>
                <w:rFonts w:ascii="Times New Roman"/>
                <w:sz w:val="21"/>
                <w:szCs w:val="21"/>
              </w:rPr>
              <w:t>1、禁止资源消耗高、环境污染重、废物难处理、不符合国家、河北省、唐山市产业政策的落后的生产技术、工艺、装备和产品进入工业园区。</w:t>
            </w:r>
          </w:p>
          <w:p w14:paraId="48F8F096">
            <w:pPr>
              <w:widowControl/>
              <w:spacing w:line="260" w:lineRule="exact"/>
              <w:jc w:val="left"/>
              <w:rPr>
                <w:rFonts w:ascii="Times New Roman"/>
                <w:sz w:val="21"/>
                <w:szCs w:val="21"/>
              </w:rPr>
            </w:pPr>
            <w:r>
              <w:rPr>
                <w:rFonts w:ascii="Times New Roman"/>
                <w:sz w:val="21"/>
                <w:szCs w:val="21"/>
              </w:rPr>
              <w:t>2、</w:t>
            </w:r>
            <w:r>
              <w:rPr>
                <w:rFonts w:ascii="Times New Roman"/>
                <w:kern w:val="0"/>
                <w:sz w:val="21"/>
                <w:szCs w:val="21"/>
              </w:rPr>
              <w:t>加强企业入区管理，严格按照工业园区规划产业定位及产业布局安排入区项目，禁止不符工业园区产业定位的项目入驻。合理安排工业园区发展时序，入驻企业选址与周围居民点的距离应满足大气环境防护距离要求，生活空间周边禁止布局高噪声生产企业</w:t>
            </w:r>
            <w:r>
              <w:rPr>
                <w:rFonts w:ascii="Times New Roman"/>
                <w:sz w:val="21"/>
                <w:szCs w:val="21"/>
              </w:rPr>
              <w:t>。</w:t>
            </w:r>
          </w:p>
          <w:p w14:paraId="59EE8755">
            <w:pPr>
              <w:widowControl/>
              <w:spacing w:line="260" w:lineRule="exact"/>
              <w:jc w:val="left"/>
              <w:rPr>
                <w:rFonts w:ascii="Times New Roman"/>
                <w:sz w:val="21"/>
                <w:szCs w:val="21"/>
              </w:rPr>
            </w:pPr>
            <w:r>
              <w:rPr>
                <w:rFonts w:ascii="Times New Roman"/>
                <w:sz w:val="21"/>
                <w:szCs w:val="21"/>
              </w:rPr>
              <w:t>3、</w:t>
            </w:r>
            <w:r>
              <w:rPr>
                <w:rFonts w:ascii="Times New Roman"/>
                <w:kern w:val="0"/>
                <w:sz w:val="21"/>
                <w:szCs w:val="21"/>
              </w:rPr>
              <w:t>县级以下一律不再建设新的园区，造纸、焦化、氮肥、有色金属、印染、原料药制造、皮革、农药、电镀、钢铁、石灰、平板玻璃、石化、化工等高污染工业项目必须入园进区，其他工业项目原则上也不在园区外布局</w:t>
            </w:r>
            <w:r>
              <w:rPr>
                <w:rFonts w:hint="eastAsia" w:ascii="Times New Roman"/>
                <w:kern w:val="0"/>
                <w:sz w:val="21"/>
                <w:szCs w:val="21"/>
              </w:rPr>
              <w:t>，认定为化工重点监控点的企业项目除外</w:t>
            </w:r>
            <w:r>
              <w:rPr>
                <w:rFonts w:ascii="Times New Roman"/>
                <w:kern w:val="0"/>
                <w:sz w:val="21"/>
                <w:szCs w:val="21"/>
              </w:rPr>
              <w:t>。</w:t>
            </w:r>
          </w:p>
          <w:p w14:paraId="4D960BCB">
            <w:pPr>
              <w:widowControl/>
              <w:spacing w:line="260" w:lineRule="exact"/>
              <w:jc w:val="left"/>
              <w:rPr>
                <w:rFonts w:ascii="Times New Roman"/>
                <w:sz w:val="21"/>
                <w:szCs w:val="21"/>
              </w:rPr>
            </w:pPr>
            <w:r>
              <w:rPr>
                <w:rFonts w:ascii="Times New Roman"/>
                <w:sz w:val="21"/>
                <w:szCs w:val="21"/>
              </w:rPr>
              <w:t>4、</w:t>
            </w:r>
            <w:r>
              <w:rPr>
                <w:rFonts w:ascii="Times New Roman"/>
                <w:kern w:val="0"/>
                <w:sz w:val="21"/>
                <w:szCs w:val="21"/>
              </w:rPr>
              <w:t>新建、升级工业园区（工业集聚区）必须同步规划、建设污水、垃圾集中处理等污染治理设施施。所有工业园区全部建成污水集中处理设施，并安装自动在线监控装置。</w:t>
            </w:r>
            <w:r>
              <w:rPr>
                <w:rFonts w:ascii="Times New Roman"/>
                <w:sz w:val="21"/>
                <w:szCs w:val="21"/>
              </w:rPr>
              <w:t>加快完善配套污水管网，推进“清污分流、雨污分流”，实现园区内工业企业废水统一收集，集中处理，污水集中处理设施稳定达标运行。推进重点流域工业园区污水集中处理设施提标改造，推进工业园区“一园一档”、“一企一册”环保管理制度建设，逐步规范完善园区水环境管理台账。</w:t>
            </w:r>
          </w:p>
          <w:p w14:paraId="69BBB434">
            <w:pPr>
              <w:adjustRightInd w:val="0"/>
              <w:snapToGrid w:val="0"/>
              <w:spacing w:line="260" w:lineRule="exact"/>
              <w:jc w:val="left"/>
              <w:rPr>
                <w:rFonts w:ascii="Times New Roman"/>
                <w:sz w:val="21"/>
                <w:szCs w:val="21"/>
              </w:rPr>
            </w:pPr>
            <w:r>
              <w:rPr>
                <w:rFonts w:hint="eastAsia" w:ascii="Times New Roman"/>
                <w:sz w:val="21"/>
                <w:szCs w:val="21"/>
              </w:rPr>
              <w:t>5</w:t>
            </w:r>
            <w:r>
              <w:rPr>
                <w:rFonts w:ascii="Times New Roman"/>
                <w:sz w:val="21"/>
                <w:szCs w:val="21"/>
              </w:rPr>
              <w:t>、</w:t>
            </w:r>
            <w:r>
              <w:rPr>
                <w:rFonts w:hint="eastAsia" w:ascii="Times New Roman"/>
                <w:sz w:val="21"/>
                <w:szCs w:val="21"/>
              </w:rPr>
              <w:t>新建涉高 VOCs 排放的建设项目，即石化、化工、包装印刷、工业涂装等重点行业及其他工业行业 VOCs 排放量大、排放强度高的新建项目，原则上要进入园区，认定为化工重点监控点的企业项目除外</w:t>
            </w:r>
            <w:r>
              <w:rPr>
                <w:rFonts w:ascii="Times New Roman"/>
                <w:sz w:val="21"/>
                <w:szCs w:val="21"/>
              </w:rPr>
              <w:t>。</w:t>
            </w:r>
          </w:p>
        </w:tc>
        <w:tc>
          <w:tcPr>
            <w:tcW w:w="1393" w:type="pct"/>
            <w:gridSpan w:val="2"/>
            <w:shd w:val="clear" w:color="auto" w:fill="auto"/>
            <w:vAlign w:val="center"/>
          </w:tcPr>
          <w:p w14:paraId="2640D5E4">
            <w:pPr>
              <w:spacing w:line="260" w:lineRule="exact"/>
              <w:rPr>
                <w:rFonts w:ascii="Times New Roman"/>
                <w:kern w:val="0"/>
                <w:sz w:val="21"/>
                <w:szCs w:val="21"/>
              </w:rPr>
            </w:pPr>
            <w:r>
              <w:rPr>
                <w:rFonts w:ascii="Times New Roman"/>
                <w:kern w:val="0"/>
                <w:sz w:val="21"/>
                <w:szCs w:val="21"/>
              </w:rPr>
              <w:t>项目符合国家、河北省产业政策及行业准入条件，无</w:t>
            </w:r>
            <w:r>
              <w:rPr>
                <w:rFonts w:ascii="Times New Roman"/>
                <w:sz w:val="21"/>
                <w:szCs w:val="21"/>
              </w:rPr>
              <w:t>落后的生产技术、工艺、装备和产品。</w:t>
            </w:r>
            <w:r>
              <w:rPr>
                <w:rFonts w:ascii="Times New Roman"/>
                <w:kern w:val="0"/>
                <w:sz w:val="21"/>
                <w:szCs w:val="21"/>
              </w:rPr>
              <w:t>项目废水经处理达标后通过市政污水管网外排园区污水处理厂集中处理</w:t>
            </w:r>
            <w:r>
              <w:rPr>
                <w:rFonts w:hint="eastAsia" w:ascii="Times New Roman"/>
                <w:kern w:val="0"/>
                <w:sz w:val="21"/>
                <w:szCs w:val="21"/>
              </w:rPr>
              <w:t>；</w:t>
            </w:r>
            <w:r>
              <w:rPr>
                <w:rFonts w:ascii="Times New Roman"/>
                <w:kern w:val="0"/>
                <w:sz w:val="21"/>
                <w:szCs w:val="21"/>
              </w:rPr>
              <w:t>厂区实施雨污分流。</w:t>
            </w:r>
          </w:p>
          <w:p w14:paraId="594C31F7">
            <w:pPr>
              <w:spacing w:line="260" w:lineRule="exact"/>
              <w:rPr>
                <w:rFonts w:ascii="Times New Roman"/>
                <w:sz w:val="21"/>
                <w:szCs w:val="21"/>
              </w:rPr>
            </w:pPr>
            <w:r>
              <w:rPr>
                <w:rFonts w:hint="eastAsia" w:ascii="Times New Roman"/>
                <w:sz w:val="21"/>
                <w:szCs w:val="21"/>
              </w:rPr>
              <w:t>项目</w:t>
            </w:r>
            <w:r>
              <w:rPr>
                <w:rFonts w:ascii="Times New Roman"/>
                <w:kern w:val="0"/>
                <w:sz w:val="21"/>
                <w:szCs w:val="21"/>
              </w:rPr>
              <w:t>位于</w:t>
            </w:r>
            <w:r>
              <w:rPr>
                <w:rFonts w:ascii="Times New Roman"/>
                <w:sz w:val="21"/>
                <w:szCs w:val="21"/>
              </w:rPr>
              <w:t>曹妃甸循环经济示范区装备园区</w:t>
            </w:r>
            <w:r>
              <w:rPr>
                <w:rFonts w:ascii="Times New Roman"/>
                <w:kern w:val="0"/>
                <w:sz w:val="21"/>
                <w:szCs w:val="21"/>
              </w:rPr>
              <w:t>，</w:t>
            </w:r>
            <w:r>
              <w:rPr>
                <w:rFonts w:hint="eastAsia" w:ascii="Times New Roman"/>
                <w:sz w:val="21"/>
                <w:szCs w:val="21"/>
              </w:rPr>
              <w:t>发展方向与园区规划相符。</w:t>
            </w:r>
            <w:r>
              <w:rPr>
                <w:rFonts w:hint="eastAsia" w:ascii="Times New Roman"/>
                <w:kern w:val="0"/>
                <w:sz w:val="21"/>
                <w:szCs w:val="21"/>
              </w:rPr>
              <w:t>园区已出具同意项目建设意见，项目符合园区的产业布局规划和用地布局规划。项目周边无声环境敏感点。</w:t>
            </w:r>
          </w:p>
        </w:tc>
        <w:tc>
          <w:tcPr>
            <w:tcW w:w="202" w:type="pct"/>
            <w:vAlign w:val="center"/>
          </w:tcPr>
          <w:p w14:paraId="0BED835B">
            <w:pPr>
              <w:spacing w:line="260" w:lineRule="exact"/>
              <w:rPr>
                <w:rFonts w:ascii="Times New Roman"/>
                <w:sz w:val="21"/>
                <w:szCs w:val="21"/>
              </w:rPr>
            </w:pPr>
            <w:r>
              <w:rPr>
                <w:rFonts w:ascii="Times New Roman"/>
                <w:sz w:val="21"/>
                <w:szCs w:val="21"/>
              </w:rPr>
              <w:t>符合</w:t>
            </w:r>
          </w:p>
        </w:tc>
      </w:tr>
      <w:tr w14:paraId="5CA9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Align w:val="center"/>
          </w:tcPr>
          <w:p w14:paraId="5E736723">
            <w:pPr>
              <w:spacing w:line="260" w:lineRule="exact"/>
              <w:rPr>
                <w:rFonts w:ascii="Times New Roman"/>
                <w:sz w:val="21"/>
                <w:szCs w:val="21"/>
              </w:rPr>
            </w:pPr>
            <w:r>
              <w:rPr>
                <w:rFonts w:ascii="Times New Roman"/>
                <w:sz w:val="21"/>
                <w:szCs w:val="21"/>
              </w:rPr>
              <w:t>12</w:t>
            </w:r>
          </w:p>
        </w:tc>
        <w:tc>
          <w:tcPr>
            <w:tcW w:w="178" w:type="pct"/>
            <w:gridSpan w:val="2"/>
            <w:shd w:val="clear" w:color="auto" w:fill="auto"/>
            <w:vAlign w:val="center"/>
          </w:tcPr>
          <w:p w14:paraId="116BD486">
            <w:pPr>
              <w:adjustRightInd w:val="0"/>
              <w:snapToGrid w:val="0"/>
              <w:spacing w:line="260" w:lineRule="exact"/>
              <w:jc w:val="left"/>
              <w:rPr>
                <w:rFonts w:ascii="Times New Roman"/>
                <w:sz w:val="21"/>
                <w:szCs w:val="21"/>
              </w:rPr>
            </w:pPr>
            <w:r>
              <w:rPr>
                <w:rFonts w:hint="eastAsia" w:ascii="Times New Roman"/>
                <w:sz w:val="21"/>
                <w:szCs w:val="21"/>
              </w:rPr>
              <w:t>涉VOCs</w:t>
            </w:r>
          </w:p>
        </w:tc>
        <w:tc>
          <w:tcPr>
            <w:tcW w:w="263" w:type="pct"/>
            <w:gridSpan w:val="2"/>
            <w:shd w:val="clear" w:color="auto" w:fill="auto"/>
            <w:vAlign w:val="center"/>
          </w:tcPr>
          <w:p w14:paraId="49FDBA7D">
            <w:pPr>
              <w:adjustRightInd w:val="0"/>
              <w:snapToGrid w:val="0"/>
              <w:spacing w:line="260" w:lineRule="exact"/>
              <w:jc w:val="left"/>
              <w:rPr>
                <w:rFonts w:ascii="Times New Roman"/>
                <w:sz w:val="21"/>
                <w:szCs w:val="21"/>
              </w:rPr>
            </w:pPr>
            <w:r>
              <w:rPr>
                <w:rFonts w:hint="eastAsia" w:ascii="Times New Roman"/>
                <w:sz w:val="21"/>
                <w:szCs w:val="21"/>
              </w:rPr>
              <w:t>污染物排放管控</w:t>
            </w:r>
          </w:p>
        </w:tc>
        <w:tc>
          <w:tcPr>
            <w:tcW w:w="2736" w:type="pct"/>
            <w:gridSpan w:val="5"/>
            <w:shd w:val="clear" w:color="auto" w:fill="auto"/>
            <w:vAlign w:val="center"/>
          </w:tcPr>
          <w:p w14:paraId="19D8E8E0">
            <w:pPr>
              <w:adjustRightInd w:val="0"/>
              <w:snapToGrid w:val="0"/>
              <w:spacing w:line="260" w:lineRule="exact"/>
              <w:rPr>
                <w:rFonts w:ascii="Times New Roman"/>
                <w:sz w:val="21"/>
                <w:szCs w:val="21"/>
              </w:rPr>
            </w:pPr>
            <w:r>
              <w:rPr>
                <w:rFonts w:hint="eastAsia" w:ascii="Times New Roman"/>
                <w:sz w:val="21"/>
                <w:szCs w:val="21"/>
              </w:rPr>
              <w:t>涉 VOCs 排放工业企业污染物排放应达到《挥发性有机物无组织排放控制标准》（GB37822）、《工业企业挥发性有机物排放控制标准》（DB13/2322）及国家、省、市相关排放标准要求。</w:t>
            </w:r>
          </w:p>
        </w:tc>
        <w:tc>
          <w:tcPr>
            <w:tcW w:w="1393" w:type="pct"/>
            <w:gridSpan w:val="2"/>
            <w:shd w:val="clear" w:color="auto" w:fill="auto"/>
            <w:vAlign w:val="center"/>
          </w:tcPr>
          <w:p w14:paraId="12F81E79">
            <w:pPr>
              <w:spacing w:line="260" w:lineRule="exact"/>
              <w:jc w:val="center"/>
              <w:rPr>
                <w:rFonts w:ascii="Times New Roman" w:cs="宋体"/>
                <w:sz w:val="21"/>
                <w:szCs w:val="21"/>
              </w:rPr>
            </w:pPr>
            <w:r>
              <w:rPr>
                <w:rFonts w:hint="eastAsia" w:ascii="Times New Roman" w:cs="宋体"/>
                <w:sz w:val="21"/>
                <w:szCs w:val="21"/>
              </w:rPr>
              <w:t>本项目执行</w:t>
            </w:r>
            <w:r>
              <w:rPr>
                <w:rFonts w:hint="eastAsia" w:ascii="Times New Roman"/>
                <w:sz w:val="21"/>
                <w:szCs w:val="21"/>
              </w:rPr>
              <w:t>《挥发性有机物无组织排放控制标准》（GB37822）、《工业企业挥发性有机物排放控制标准》（DB13/2322）及国家、省、市相关排放标准要求</w:t>
            </w:r>
          </w:p>
        </w:tc>
        <w:tc>
          <w:tcPr>
            <w:tcW w:w="202" w:type="pct"/>
            <w:vAlign w:val="center"/>
          </w:tcPr>
          <w:p w14:paraId="74CD710A">
            <w:pPr>
              <w:spacing w:line="260" w:lineRule="exact"/>
              <w:rPr>
                <w:rFonts w:ascii="Times New Roman"/>
                <w:sz w:val="21"/>
                <w:szCs w:val="21"/>
              </w:rPr>
            </w:pPr>
            <w:r>
              <w:rPr>
                <w:rFonts w:hint="eastAsia" w:ascii="Times New Roman"/>
                <w:sz w:val="21"/>
                <w:szCs w:val="21"/>
              </w:rPr>
              <w:t>符合</w:t>
            </w:r>
          </w:p>
        </w:tc>
      </w:tr>
      <w:tr w14:paraId="70B4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3"/>
            <w:vAlign w:val="center"/>
          </w:tcPr>
          <w:p w14:paraId="4D775684">
            <w:pPr>
              <w:widowControl/>
              <w:spacing w:line="260" w:lineRule="exact"/>
              <w:jc w:val="left"/>
              <w:rPr>
                <w:rFonts w:ascii="Times New Roman"/>
                <w:kern w:val="0"/>
                <w:sz w:val="21"/>
                <w:szCs w:val="21"/>
              </w:rPr>
            </w:pPr>
            <w:r>
              <w:rPr>
                <w:rFonts w:hint="eastAsia" w:ascii="Times New Roman"/>
                <w:kern w:val="0"/>
                <w:sz w:val="21"/>
                <w:szCs w:val="21"/>
              </w:rPr>
              <w:t>曹妃甸区产业园区管控单元要求</w:t>
            </w:r>
          </w:p>
        </w:tc>
      </w:tr>
      <w:tr w14:paraId="4E0C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restart"/>
            <w:shd w:val="clear" w:color="auto" w:fill="auto"/>
            <w:vAlign w:val="center"/>
          </w:tcPr>
          <w:p w14:paraId="22E7EEA8">
            <w:pPr>
              <w:widowControl/>
              <w:spacing w:line="260" w:lineRule="exact"/>
              <w:jc w:val="left"/>
              <w:rPr>
                <w:rFonts w:ascii="Times New Roman"/>
                <w:kern w:val="0"/>
                <w:sz w:val="21"/>
                <w:szCs w:val="21"/>
              </w:rPr>
            </w:pPr>
            <w:r>
              <w:rPr>
                <w:rFonts w:ascii="Times New Roman"/>
                <w:kern w:val="0"/>
                <w:sz w:val="21"/>
                <w:szCs w:val="21"/>
              </w:rPr>
              <w:t>ZH13020</w:t>
            </w:r>
            <w:r>
              <w:rPr>
                <w:rFonts w:hint="eastAsia" w:ascii="Times New Roman"/>
                <w:kern w:val="0"/>
                <w:sz w:val="21"/>
                <w:szCs w:val="21"/>
              </w:rPr>
              <w:t>9</w:t>
            </w:r>
            <w:r>
              <w:rPr>
                <w:rFonts w:ascii="Times New Roman"/>
                <w:kern w:val="0"/>
                <w:sz w:val="21"/>
                <w:szCs w:val="21"/>
              </w:rPr>
              <w:t>2000</w:t>
            </w:r>
            <w:r>
              <w:rPr>
                <w:rFonts w:hint="eastAsia" w:ascii="Times New Roman"/>
                <w:kern w:val="0"/>
                <w:sz w:val="21"/>
                <w:szCs w:val="21"/>
              </w:rPr>
              <w:t>2</w:t>
            </w:r>
          </w:p>
        </w:tc>
        <w:tc>
          <w:tcPr>
            <w:tcW w:w="122" w:type="pct"/>
            <w:vMerge w:val="restart"/>
            <w:shd w:val="clear" w:color="auto" w:fill="auto"/>
            <w:vAlign w:val="center"/>
          </w:tcPr>
          <w:p w14:paraId="1C6C0BDC">
            <w:pPr>
              <w:widowControl/>
              <w:spacing w:line="260" w:lineRule="exact"/>
              <w:jc w:val="left"/>
              <w:rPr>
                <w:rFonts w:ascii="Times New Roman"/>
                <w:kern w:val="0"/>
                <w:sz w:val="21"/>
                <w:szCs w:val="21"/>
              </w:rPr>
            </w:pPr>
            <w:r>
              <w:rPr>
                <w:rFonts w:hint="eastAsia" w:ascii="Times New Roman"/>
                <w:kern w:val="0"/>
                <w:sz w:val="21"/>
                <w:szCs w:val="21"/>
              </w:rPr>
              <w:t>曹妃甸区</w:t>
            </w:r>
          </w:p>
        </w:tc>
        <w:tc>
          <w:tcPr>
            <w:tcW w:w="253" w:type="pct"/>
            <w:gridSpan w:val="2"/>
            <w:vMerge w:val="restart"/>
            <w:shd w:val="clear" w:color="auto" w:fill="auto"/>
            <w:vAlign w:val="center"/>
          </w:tcPr>
          <w:p w14:paraId="0D98CEE3">
            <w:pPr>
              <w:widowControl/>
              <w:spacing w:line="260" w:lineRule="exact"/>
              <w:jc w:val="left"/>
              <w:rPr>
                <w:rFonts w:ascii="Times New Roman"/>
                <w:kern w:val="0"/>
                <w:sz w:val="21"/>
                <w:szCs w:val="21"/>
              </w:rPr>
            </w:pPr>
            <w:r>
              <w:rPr>
                <w:rFonts w:hint="eastAsia" w:ascii="Times New Roman"/>
                <w:kern w:val="0"/>
                <w:sz w:val="21"/>
                <w:szCs w:val="21"/>
              </w:rPr>
              <w:t>中山路街道</w:t>
            </w:r>
          </w:p>
        </w:tc>
        <w:tc>
          <w:tcPr>
            <w:tcW w:w="150" w:type="pct"/>
            <w:gridSpan w:val="2"/>
            <w:vMerge w:val="restart"/>
            <w:shd w:val="clear" w:color="auto" w:fill="auto"/>
            <w:vAlign w:val="center"/>
          </w:tcPr>
          <w:p w14:paraId="1B3120FA">
            <w:pPr>
              <w:widowControl/>
              <w:spacing w:line="260" w:lineRule="exact"/>
              <w:jc w:val="left"/>
              <w:rPr>
                <w:rFonts w:ascii="Times New Roman"/>
                <w:kern w:val="0"/>
                <w:sz w:val="21"/>
                <w:szCs w:val="21"/>
              </w:rPr>
            </w:pPr>
            <w:r>
              <w:rPr>
                <w:rFonts w:ascii="Times New Roman"/>
                <w:kern w:val="0"/>
                <w:sz w:val="21"/>
                <w:szCs w:val="21"/>
              </w:rPr>
              <w:t>重点管控区</w:t>
            </w:r>
          </w:p>
        </w:tc>
        <w:tc>
          <w:tcPr>
            <w:tcW w:w="520" w:type="pct"/>
            <w:gridSpan w:val="2"/>
            <w:vMerge w:val="restart"/>
            <w:shd w:val="clear" w:color="auto" w:fill="auto"/>
            <w:vAlign w:val="center"/>
          </w:tcPr>
          <w:p w14:paraId="3DE9E554">
            <w:pPr>
              <w:widowControl/>
              <w:spacing w:line="260" w:lineRule="exact"/>
              <w:jc w:val="left"/>
              <w:rPr>
                <w:rFonts w:ascii="Times New Roman"/>
                <w:kern w:val="0"/>
                <w:sz w:val="21"/>
                <w:szCs w:val="21"/>
              </w:rPr>
            </w:pPr>
            <w:r>
              <w:rPr>
                <w:rFonts w:ascii="Times New Roman"/>
                <w:kern w:val="0"/>
                <w:sz w:val="21"/>
                <w:szCs w:val="21"/>
              </w:rPr>
              <w:t>1</w:t>
            </w:r>
            <w:r>
              <w:rPr>
                <w:rFonts w:hint="eastAsia" w:ascii="Times New Roman"/>
                <w:kern w:val="0"/>
                <w:sz w:val="21"/>
                <w:szCs w:val="21"/>
              </w:rPr>
              <w:t>、唐山曹妃甸经济技术开发区</w:t>
            </w:r>
          </w:p>
          <w:p w14:paraId="3207DE6D">
            <w:pPr>
              <w:widowControl/>
              <w:spacing w:line="260" w:lineRule="exact"/>
              <w:jc w:val="left"/>
              <w:rPr>
                <w:rFonts w:ascii="Times New Roman"/>
                <w:kern w:val="0"/>
                <w:sz w:val="21"/>
                <w:szCs w:val="21"/>
              </w:rPr>
            </w:pPr>
            <w:r>
              <w:rPr>
                <w:rFonts w:ascii="Times New Roman"/>
                <w:kern w:val="0"/>
                <w:sz w:val="21"/>
                <w:szCs w:val="21"/>
              </w:rPr>
              <w:t>2</w:t>
            </w:r>
            <w:r>
              <w:rPr>
                <w:rFonts w:hint="eastAsia" w:ascii="Times New Roman"/>
                <w:kern w:val="0"/>
                <w:sz w:val="21"/>
                <w:szCs w:val="21"/>
              </w:rPr>
              <w:t>、大气环境高排放重点管控区</w:t>
            </w:r>
          </w:p>
          <w:p w14:paraId="2956DEEE">
            <w:pPr>
              <w:widowControl/>
              <w:spacing w:line="260" w:lineRule="exact"/>
              <w:jc w:val="left"/>
              <w:rPr>
                <w:rFonts w:ascii="Times New Roman"/>
                <w:kern w:val="0"/>
                <w:sz w:val="21"/>
                <w:szCs w:val="21"/>
              </w:rPr>
            </w:pPr>
            <w:r>
              <w:rPr>
                <w:rFonts w:ascii="Times New Roman"/>
                <w:kern w:val="0"/>
                <w:sz w:val="21"/>
                <w:szCs w:val="21"/>
              </w:rPr>
              <w:t>3</w:t>
            </w:r>
            <w:r>
              <w:rPr>
                <w:rFonts w:hint="eastAsia" w:ascii="Times New Roman"/>
                <w:kern w:val="0"/>
                <w:sz w:val="21"/>
                <w:szCs w:val="21"/>
              </w:rPr>
              <w:t>、水环境工业污染重点管控区</w:t>
            </w:r>
          </w:p>
          <w:p w14:paraId="03C23526">
            <w:pPr>
              <w:widowControl/>
              <w:spacing w:line="260" w:lineRule="exact"/>
              <w:jc w:val="left"/>
              <w:rPr>
                <w:rFonts w:ascii="Times New Roman"/>
                <w:kern w:val="0"/>
                <w:sz w:val="21"/>
                <w:szCs w:val="21"/>
              </w:rPr>
            </w:pPr>
            <w:r>
              <w:rPr>
                <w:rFonts w:ascii="Times New Roman"/>
                <w:kern w:val="0"/>
                <w:sz w:val="21"/>
                <w:szCs w:val="21"/>
              </w:rPr>
              <w:t>4</w:t>
            </w:r>
            <w:r>
              <w:rPr>
                <w:rFonts w:hint="eastAsia" w:ascii="Times New Roman"/>
                <w:kern w:val="0"/>
                <w:sz w:val="21"/>
                <w:szCs w:val="21"/>
              </w:rPr>
              <w:t>、土壤建设用地污染风险重点管控区</w:t>
            </w:r>
          </w:p>
          <w:p w14:paraId="3BDF6F8E">
            <w:pPr>
              <w:widowControl/>
              <w:spacing w:line="260" w:lineRule="exact"/>
              <w:jc w:val="left"/>
              <w:rPr>
                <w:rFonts w:ascii="Times New Roman"/>
                <w:kern w:val="0"/>
                <w:sz w:val="21"/>
                <w:szCs w:val="21"/>
              </w:rPr>
            </w:pPr>
            <w:r>
              <w:rPr>
                <w:rFonts w:hint="eastAsia" w:ascii="Times New Roman"/>
                <w:kern w:val="0"/>
                <w:sz w:val="21"/>
                <w:szCs w:val="21"/>
              </w:rPr>
              <w:t>5、禁燃区</w:t>
            </w:r>
          </w:p>
          <w:p w14:paraId="61C55B0F">
            <w:pPr>
              <w:widowControl/>
              <w:spacing w:line="260" w:lineRule="exact"/>
              <w:jc w:val="left"/>
              <w:rPr>
                <w:rFonts w:ascii="Times New Roman"/>
                <w:kern w:val="0"/>
                <w:sz w:val="21"/>
                <w:szCs w:val="21"/>
              </w:rPr>
            </w:pPr>
            <w:r>
              <w:rPr>
                <w:rFonts w:hint="eastAsia" w:ascii="Times New Roman"/>
                <w:kern w:val="0"/>
                <w:sz w:val="21"/>
                <w:szCs w:val="21"/>
              </w:rPr>
              <w:t>6、地下水开采重点管控区</w:t>
            </w:r>
          </w:p>
          <w:p w14:paraId="16903A42">
            <w:pPr>
              <w:widowControl/>
              <w:spacing w:line="260" w:lineRule="exact"/>
              <w:jc w:val="left"/>
              <w:rPr>
                <w:rFonts w:ascii="Times New Roman"/>
                <w:kern w:val="0"/>
                <w:sz w:val="21"/>
                <w:szCs w:val="21"/>
              </w:rPr>
            </w:pPr>
            <w:r>
              <w:rPr>
                <w:rFonts w:hint="eastAsia" w:ascii="Times New Roman"/>
                <w:kern w:val="0"/>
                <w:sz w:val="21"/>
                <w:szCs w:val="21"/>
              </w:rPr>
              <w:t>7、土地资源重点管控区</w:t>
            </w:r>
          </w:p>
        </w:tc>
        <w:tc>
          <w:tcPr>
            <w:tcW w:w="309" w:type="pct"/>
            <w:shd w:val="clear" w:color="auto" w:fill="auto"/>
            <w:vAlign w:val="center"/>
          </w:tcPr>
          <w:p w14:paraId="39FE46A9">
            <w:pPr>
              <w:widowControl/>
              <w:spacing w:line="260" w:lineRule="exact"/>
              <w:jc w:val="center"/>
              <w:rPr>
                <w:rFonts w:ascii="Times New Roman"/>
                <w:kern w:val="0"/>
                <w:sz w:val="21"/>
                <w:szCs w:val="21"/>
              </w:rPr>
            </w:pPr>
            <w:r>
              <w:rPr>
                <w:rFonts w:ascii="Times New Roman"/>
                <w:kern w:val="0"/>
                <w:sz w:val="21"/>
                <w:szCs w:val="21"/>
              </w:rPr>
              <w:t>空间约束</w:t>
            </w:r>
          </w:p>
        </w:tc>
        <w:tc>
          <w:tcPr>
            <w:tcW w:w="1937" w:type="pct"/>
            <w:gridSpan w:val="2"/>
            <w:shd w:val="clear" w:color="auto" w:fill="auto"/>
            <w:vAlign w:val="center"/>
          </w:tcPr>
          <w:p w14:paraId="113DCDC3">
            <w:pPr>
              <w:autoSpaceDE w:val="0"/>
              <w:autoSpaceDN w:val="0"/>
              <w:adjustRightInd w:val="0"/>
              <w:rPr>
                <w:rFonts w:ascii="Times New Roman"/>
                <w:bCs/>
                <w:sz w:val="21"/>
                <w:szCs w:val="21"/>
              </w:rPr>
            </w:pPr>
            <w:r>
              <w:rPr>
                <w:rFonts w:hint="eastAsia" w:ascii="Times New Roman"/>
                <w:bCs/>
                <w:sz w:val="21"/>
                <w:szCs w:val="21"/>
              </w:rPr>
              <w:t>1、禁止资源消耗高、环境污染重、废物难处理、不符合国家、河北省产业政策、行业准入条件和落后的生产技术、工艺、装备和产品入驻。</w:t>
            </w:r>
          </w:p>
          <w:p w14:paraId="7A420EF3">
            <w:pPr>
              <w:autoSpaceDE w:val="0"/>
              <w:autoSpaceDN w:val="0"/>
              <w:adjustRightInd w:val="0"/>
              <w:rPr>
                <w:rFonts w:ascii="Times New Roman"/>
                <w:kern w:val="0"/>
                <w:sz w:val="21"/>
                <w:szCs w:val="21"/>
              </w:rPr>
            </w:pPr>
            <w:r>
              <w:rPr>
                <w:rFonts w:ascii="Times New Roman"/>
                <w:bCs/>
                <w:sz w:val="21"/>
                <w:szCs w:val="21"/>
              </w:rPr>
              <w:t>2</w:t>
            </w:r>
            <w:r>
              <w:rPr>
                <w:rFonts w:hint="eastAsia" w:ascii="Times New Roman"/>
                <w:bCs/>
                <w:sz w:val="21"/>
                <w:szCs w:val="21"/>
              </w:rPr>
              <w:t>、优化基地内部产业链上下游项目的空间布局，尽量将产业链下游项目与上游项目靠近设置，缩短输送危险化学品的管道长度，最大限度减少氯等高风险物料管道敷设距离。</w:t>
            </w:r>
          </w:p>
        </w:tc>
        <w:tc>
          <w:tcPr>
            <w:tcW w:w="1277" w:type="pct"/>
            <w:shd w:val="clear" w:color="auto" w:fill="auto"/>
            <w:vAlign w:val="center"/>
          </w:tcPr>
          <w:p w14:paraId="214DBA93">
            <w:pPr>
              <w:spacing w:line="260" w:lineRule="exact"/>
              <w:rPr>
                <w:rFonts w:ascii="Times New Roman"/>
                <w:sz w:val="21"/>
                <w:szCs w:val="21"/>
              </w:rPr>
            </w:pPr>
            <w:r>
              <w:rPr>
                <w:rFonts w:hint="eastAsia" w:ascii="Times New Roman"/>
                <w:bCs/>
                <w:sz w:val="21"/>
                <w:szCs w:val="21"/>
              </w:rPr>
              <w:t>本项目不属于资源消耗高、环境污染重行业，符合国家、河北省产业政策、行业准入条件，不涉及</w:t>
            </w:r>
            <w:r>
              <w:rPr>
                <w:rFonts w:ascii="Times New Roman"/>
                <w:bCs/>
                <w:sz w:val="21"/>
                <w:szCs w:val="21"/>
              </w:rPr>
              <w:t>危险化学品管道输送</w:t>
            </w:r>
            <w:r>
              <w:rPr>
                <w:rFonts w:hint="eastAsia" w:ascii="Times New Roman"/>
                <w:bCs/>
                <w:sz w:val="21"/>
                <w:szCs w:val="21"/>
              </w:rPr>
              <w:t>。</w:t>
            </w:r>
          </w:p>
        </w:tc>
        <w:tc>
          <w:tcPr>
            <w:tcW w:w="202" w:type="pct"/>
            <w:vAlign w:val="center"/>
          </w:tcPr>
          <w:p w14:paraId="2FC0A784">
            <w:pPr>
              <w:widowControl/>
              <w:spacing w:line="260" w:lineRule="exact"/>
              <w:jc w:val="left"/>
              <w:rPr>
                <w:rFonts w:ascii="Times New Roman"/>
                <w:kern w:val="0"/>
                <w:sz w:val="21"/>
                <w:szCs w:val="21"/>
              </w:rPr>
            </w:pPr>
            <w:r>
              <w:rPr>
                <w:rFonts w:ascii="Times New Roman"/>
                <w:kern w:val="0"/>
                <w:sz w:val="21"/>
                <w:szCs w:val="21"/>
              </w:rPr>
              <w:t>符合</w:t>
            </w:r>
          </w:p>
        </w:tc>
      </w:tr>
      <w:tr w14:paraId="1272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460E40A9">
            <w:pPr>
              <w:widowControl/>
              <w:spacing w:line="260" w:lineRule="exact"/>
              <w:jc w:val="left"/>
              <w:rPr>
                <w:rFonts w:ascii="Times New Roman"/>
                <w:kern w:val="0"/>
                <w:sz w:val="21"/>
                <w:szCs w:val="21"/>
              </w:rPr>
            </w:pPr>
          </w:p>
        </w:tc>
        <w:tc>
          <w:tcPr>
            <w:tcW w:w="122" w:type="pct"/>
            <w:vMerge w:val="continue"/>
            <w:vAlign w:val="center"/>
          </w:tcPr>
          <w:p w14:paraId="6822FDDF">
            <w:pPr>
              <w:widowControl/>
              <w:spacing w:line="260" w:lineRule="exact"/>
              <w:jc w:val="left"/>
              <w:rPr>
                <w:rFonts w:ascii="Times New Roman"/>
                <w:kern w:val="0"/>
                <w:sz w:val="21"/>
                <w:szCs w:val="21"/>
              </w:rPr>
            </w:pPr>
          </w:p>
        </w:tc>
        <w:tc>
          <w:tcPr>
            <w:tcW w:w="253" w:type="pct"/>
            <w:gridSpan w:val="2"/>
            <w:vMerge w:val="continue"/>
            <w:vAlign w:val="center"/>
          </w:tcPr>
          <w:p w14:paraId="574FCA9C">
            <w:pPr>
              <w:widowControl/>
              <w:spacing w:line="260" w:lineRule="exact"/>
              <w:jc w:val="left"/>
              <w:rPr>
                <w:rFonts w:ascii="Times New Roman"/>
                <w:kern w:val="0"/>
                <w:sz w:val="21"/>
                <w:szCs w:val="21"/>
              </w:rPr>
            </w:pPr>
          </w:p>
        </w:tc>
        <w:tc>
          <w:tcPr>
            <w:tcW w:w="150" w:type="pct"/>
            <w:gridSpan w:val="2"/>
            <w:vMerge w:val="continue"/>
            <w:vAlign w:val="center"/>
          </w:tcPr>
          <w:p w14:paraId="4F39EBEC">
            <w:pPr>
              <w:widowControl/>
              <w:spacing w:line="260" w:lineRule="exact"/>
              <w:jc w:val="left"/>
              <w:rPr>
                <w:rFonts w:ascii="Times New Roman"/>
                <w:kern w:val="0"/>
                <w:sz w:val="21"/>
                <w:szCs w:val="21"/>
              </w:rPr>
            </w:pPr>
          </w:p>
        </w:tc>
        <w:tc>
          <w:tcPr>
            <w:tcW w:w="520" w:type="pct"/>
            <w:gridSpan w:val="2"/>
            <w:vMerge w:val="continue"/>
            <w:vAlign w:val="center"/>
          </w:tcPr>
          <w:p w14:paraId="3E61B936">
            <w:pPr>
              <w:widowControl/>
              <w:spacing w:line="260" w:lineRule="exact"/>
              <w:jc w:val="left"/>
              <w:rPr>
                <w:rFonts w:ascii="Times New Roman"/>
                <w:kern w:val="0"/>
                <w:sz w:val="21"/>
                <w:szCs w:val="21"/>
              </w:rPr>
            </w:pPr>
          </w:p>
        </w:tc>
        <w:tc>
          <w:tcPr>
            <w:tcW w:w="309" w:type="pct"/>
            <w:shd w:val="clear" w:color="auto" w:fill="auto"/>
            <w:vAlign w:val="center"/>
          </w:tcPr>
          <w:p w14:paraId="5B5428E7">
            <w:pPr>
              <w:widowControl/>
              <w:spacing w:line="260" w:lineRule="exact"/>
              <w:jc w:val="center"/>
              <w:rPr>
                <w:rFonts w:ascii="Times New Roman"/>
                <w:kern w:val="0"/>
                <w:sz w:val="21"/>
                <w:szCs w:val="21"/>
              </w:rPr>
            </w:pPr>
            <w:r>
              <w:rPr>
                <w:rFonts w:ascii="Times New Roman"/>
                <w:kern w:val="0"/>
                <w:sz w:val="21"/>
                <w:szCs w:val="21"/>
              </w:rPr>
              <w:t>污染物排放</w:t>
            </w:r>
          </w:p>
        </w:tc>
        <w:tc>
          <w:tcPr>
            <w:tcW w:w="1937" w:type="pct"/>
            <w:gridSpan w:val="2"/>
            <w:shd w:val="clear" w:color="auto" w:fill="auto"/>
            <w:vAlign w:val="center"/>
          </w:tcPr>
          <w:p w14:paraId="3497D82B">
            <w:pPr>
              <w:autoSpaceDE w:val="0"/>
              <w:autoSpaceDN w:val="0"/>
              <w:adjustRightInd w:val="0"/>
              <w:rPr>
                <w:rFonts w:ascii="Times New Roman"/>
                <w:bCs/>
                <w:sz w:val="21"/>
                <w:szCs w:val="21"/>
              </w:rPr>
            </w:pPr>
            <w:r>
              <w:rPr>
                <w:rFonts w:ascii="Times New Roman"/>
                <w:bCs/>
                <w:sz w:val="21"/>
                <w:szCs w:val="21"/>
              </w:rPr>
              <w:t>1</w:t>
            </w:r>
            <w:r>
              <w:rPr>
                <w:rFonts w:hint="eastAsia" w:ascii="Times New Roman"/>
                <w:bCs/>
                <w:sz w:val="21"/>
                <w:szCs w:val="21"/>
              </w:rPr>
              <w:t>、深化企业超低排放标准治理，加快“五大行业”全流程达标治理。钢铁、焦化、电力、水泥、平板玻璃等五大行业在点源达到超低排放的基础上强化无组织排放管理，完成全流程整治。</w:t>
            </w:r>
          </w:p>
          <w:p w14:paraId="547E3186">
            <w:pPr>
              <w:widowControl/>
              <w:spacing w:line="260" w:lineRule="exact"/>
              <w:rPr>
                <w:rFonts w:ascii="Times New Roman"/>
                <w:kern w:val="0"/>
                <w:sz w:val="21"/>
                <w:szCs w:val="21"/>
              </w:rPr>
            </w:pPr>
            <w:r>
              <w:rPr>
                <w:rFonts w:hint="eastAsia" w:ascii="Times New Roman"/>
                <w:bCs/>
                <w:sz w:val="21"/>
                <w:szCs w:val="21"/>
              </w:rPr>
              <w:t>2、推进园区内工业企业废水统一收集、集中处理，污水集中处理设施稳定达标运行，逐步提高全市工业聚集区监管水平，完善工业园区水污染防治工作台账。</w:t>
            </w:r>
          </w:p>
        </w:tc>
        <w:tc>
          <w:tcPr>
            <w:tcW w:w="1277" w:type="pct"/>
            <w:shd w:val="clear" w:color="auto" w:fill="auto"/>
            <w:vAlign w:val="center"/>
          </w:tcPr>
          <w:p w14:paraId="07ED0514">
            <w:pPr>
              <w:widowControl/>
              <w:spacing w:line="260" w:lineRule="exact"/>
              <w:rPr>
                <w:sz w:val="21"/>
                <w:szCs w:val="21"/>
              </w:rPr>
            </w:pPr>
            <w:r>
              <w:rPr>
                <w:rFonts w:hint="eastAsia"/>
                <w:sz w:val="21"/>
                <w:szCs w:val="21"/>
              </w:rPr>
              <w:t>项目不属于“五大行业”，同时对新增污染源采取了严格的污染防治措施，大气污染物排放满足相关排放要求。</w:t>
            </w:r>
          </w:p>
          <w:p w14:paraId="13DC6774">
            <w:pPr>
              <w:widowControl/>
              <w:spacing w:line="260" w:lineRule="exact"/>
              <w:rPr>
                <w:rFonts w:ascii="Times New Roman"/>
                <w:kern w:val="0"/>
                <w:sz w:val="21"/>
                <w:szCs w:val="21"/>
              </w:rPr>
            </w:pPr>
            <w:r>
              <w:rPr>
                <w:rFonts w:ascii="Times New Roman"/>
                <w:kern w:val="0"/>
                <w:sz w:val="21"/>
                <w:szCs w:val="21"/>
              </w:rPr>
              <w:t>项目排水主要为</w:t>
            </w:r>
            <w:r>
              <w:rPr>
                <w:rFonts w:hint="eastAsia" w:ascii="Times New Roman"/>
                <w:kern w:val="0"/>
                <w:sz w:val="21"/>
                <w:szCs w:val="21"/>
              </w:rPr>
              <w:t>生产废水和</w:t>
            </w:r>
            <w:r>
              <w:rPr>
                <w:rFonts w:ascii="Times New Roman"/>
                <w:kern w:val="0"/>
                <w:sz w:val="21"/>
                <w:szCs w:val="21"/>
              </w:rPr>
              <w:t>生活污水</w:t>
            </w:r>
            <w:r>
              <w:rPr>
                <w:rFonts w:hint="eastAsia" w:ascii="Times New Roman"/>
                <w:kern w:val="0"/>
                <w:sz w:val="21"/>
                <w:szCs w:val="21"/>
              </w:rPr>
              <w:t>，食堂废水采用隔油池与处理后与日常生活污水</w:t>
            </w:r>
            <w:r>
              <w:rPr>
                <w:rFonts w:ascii="Times New Roman"/>
                <w:kern w:val="0"/>
                <w:sz w:val="21"/>
                <w:szCs w:val="21"/>
              </w:rPr>
              <w:t>经化粪池预处理</w:t>
            </w:r>
            <w:r>
              <w:rPr>
                <w:rFonts w:hint="eastAsia" w:ascii="Times New Roman"/>
                <w:kern w:val="0"/>
                <w:sz w:val="21"/>
                <w:szCs w:val="21"/>
              </w:rPr>
              <w:t>；水洗、纯水洗2、电泳槽清洗废水先经预处理反应斜管沉淀槽处理后，热水洗与预脱脂、脱脂、硅烷化槽体清洗废水一同进入污水处理站“一体化气浮槽+综合反应斜管沉淀槽+综合芬顿反应槽+多介质过滤器+活性炭过滤器”系统进行处理，处理达标后由园区污水管网，入园区污水处理厂进一步处理；</w:t>
            </w:r>
            <w:r>
              <w:rPr>
                <w:rFonts w:ascii="Times New Roman"/>
                <w:kern w:val="0"/>
                <w:sz w:val="21"/>
                <w:szCs w:val="21"/>
              </w:rPr>
              <w:t>处理达标后由园区污水管网，入园区污水处理厂进一步处理。</w:t>
            </w:r>
          </w:p>
        </w:tc>
        <w:tc>
          <w:tcPr>
            <w:tcW w:w="202" w:type="pct"/>
            <w:vAlign w:val="center"/>
          </w:tcPr>
          <w:p w14:paraId="39424165">
            <w:pPr>
              <w:widowControl/>
              <w:spacing w:line="260" w:lineRule="exact"/>
              <w:jc w:val="left"/>
              <w:rPr>
                <w:rFonts w:ascii="Times New Roman"/>
                <w:kern w:val="0"/>
                <w:sz w:val="21"/>
                <w:szCs w:val="21"/>
              </w:rPr>
            </w:pPr>
            <w:r>
              <w:rPr>
                <w:rFonts w:ascii="Times New Roman"/>
                <w:kern w:val="0"/>
                <w:sz w:val="21"/>
                <w:szCs w:val="21"/>
              </w:rPr>
              <w:t>符合</w:t>
            </w:r>
          </w:p>
        </w:tc>
      </w:tr>
      <w:tr w14:paraId="5CFC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1EF06DC1">
            <w:pPr>
              <w:widowControl/>
              <w:spacing w:line="260" w:lineRule="exact"/>
              <w:jc w:val="left"/>
              <w:rPr>
                <w:rFonts w:ascii="Times New Roman"/>
                <w:kern w:val="0"/>
                <w:sz w:val="21"/>
                <w:szCs w:val="21"/>
              </w:rPr>
            </w:pPr>
          </w:p>
        </w:tc>
        <w:tc>
          <w:tcPr>
            <w:tcW w:w="122" w:type="pct"/>
            <w:vMerge w:val="continue"/>
            <w:vAlign w:val="center"/>
          </w:tcPr>
          <w:p w14:paraId="397C7DC0">
            <w:pPr>
              <w:widowControl/>
              <w:spacing w:line="260" w:lineRule="exact"/>
              <w:jc w:val="left"/>
              <w:rPr>
                <w:rFonts w:ascii="Times New Roman"/>
                <w:kern w:val="0"/>
                <w:sz w:val="21"/>
                <w:szCs w:val="21"/>
              </w:rPr>
            </w:pPr>
          </w:p>
        </w:tc>
        <w:tc>
          <w:tcPr>
            <w:tcW w:w="253" w:type="pct"/>
            <w:gridSpan w:val="2"/>
            <w:vMerge w:val="continue"/>
            <w:vAlign w:val="center"/>
          </w:tcPr>
          <w:p w14:paraId="09B2C17D">
            <w:pPr>
              <w:widowControl/>
              <w:spacing w:line="260" w:lineRule="exact"/>
              <w:jc w:val="left"/>
              <w:rPr>
                <w:rFonts w:ascii="Times New Roman"/>
                <w:kern w:val="0"/>
                <w:sz w:val="21"/>
                <w:szCs w:val="21"/>
              </w:rPr>
            </w:pPr>
          </w:p>
        </w:tc>
        <w:tc>
          <w:tcPr>
            <w:tcW w:w="150" w:type="pct"/>
            <w:gridSpan w:val="2"/>
            <w:vMerge w:val="continue"/>
            <w:vAlign w:val="center"/>
          </w:tcPr>
          <w:p w14:paraId="1D8E4879">
            <w:pPr>
              <w:widowControl/>
              <w:spacing w:line="260" w:lineRule="exact"/>
              <w:jc w:val="left"/>
              <w:rPr>
                <w:rFonts w:ascii="Times New Roman"/>
                <w:kern w:val="0"/>
                <w:sz w:val="21"/>
                <w:szCs w:val="21"/>
              </w:rPr>
            </w:pPr>
          </w:p>
        </w:tc>
        <w:tc>
          <w:tcPr>
            <w:tcW w:w="520" w:type="pct"/>
            <w:gridSpan w:val="2"/>
            <w:vMerge w:val="continue"/>
            <w:vAlign w:val="center"/>
          </w:tcPr>
          <w:p w14:paraId="087025A8">
            <w:pPr>
              <w:widowControl/>
              <w:spacing w:line="260" w:lineRule="exact"/>
              <w:jc w:val="left"/>
              <w:rPr>
                <w:rFonts w:ascii="Times New Roman"/>
                <w:kern w:val="0"/>
                <w:sz w:val="21"/>
                <w:szCs w:val="21"/>
              </w:rPr>
            </w:pPr>
          </w:p>
        </w:tc>
        <w:tc>
          <w:tcPr>
            <w:tcW w:w="309" w:type="pct"/>
            <w:shd w:val="clear" w:color="auto" w:fill="auto"/>
            <w:vAlign w:val="center"/>
          </w:tcPr>
          <w:p w14:paraId="499B2773">
            <w:pPr>
              <w:widowControl/>
              <w:spacing w:line="260" w:lineRule="exact"/>
              <w:jc w:val="center"/>
              <w:rPr>
                <w:rFonts w:ascii="Times New Roman"/>
                <w:kern w:val="0"/>
                <w:sz w:val="21"/>
                <w:szCs w:val="21"/>
              </w:rPr>
            </w:pPr>
            <w:r>
              <w:rPr>
                <w:rFonts w:ascii="Times New Roman"/>
                <w:kern w:val="0"/>
                <w:sz w:val="21"/>
                <w:szCs w:val="21"/>
              </w:rPr>
              <w:t>环境风险防控</w:t>
            </w:r>
          </w:p>
        </w:tc>
        <w:tc>
          <w:tcPr>
            <w:tcW w:w="1937" w:type="pct"/>
            <w:gridSpan w:val="2"/>
            <w:shd w:val="clear" w:color="auto" w:fill="auto"/>
            <w:vAlign w:val="center"/>
          </w:tcPr>
          <w:p w14:paraId="7560E2B1">
            <w:pPr>
              <w:widowControl/>
              <w:spacing w:line="260" w:lineRule="exact"/>
              <w:rPr>
                <w:rFonts w:ascii="Times New Roman" w:cs="宋体"/>
                <w:kern w:val="0"/>
                <w:sz w:val="21"/>
                <w:szCs w:val="21"/>
              </w:rPr>
            </w:pPr>
            <w:r>
              <w:rPr>
                <w:rFonts w:hint="eastAsia" w:ascii="Times New Roman" w:cs="宋体"/>
                <w:kern w:val="0"/>
                <w:sz w:val="21"/>
                <w:szCs w:val="21"/>
              </w:rPr>
              <w:t>1、石化产业基地应建设公共应急设施与企业三级防控体系相互连通，确保基地陆域事故废水不入海。</w:t>
            </w:r>
          </w:p>
          <w:p w14:paraId="26EAE8AB">
            <w:pPr>
              <w:widowControl/>
              <w:spacing w:line="260" w:lineRule="exact"/>
              <w:rPr>
                <w:rFonts w:ascii="Times New Roman" w:cs="宋体"/>
                <w:kern w:val="0"/>
                <w:sz w:val="21"/>
                <w:szCs w:val="21"/>
              </w:rPr>
            </w:pPr>
            <w:r>
              <w:rPr>
                <w:rFonts w:hint="eastAsia" w:ascii="Times New Roman" w:cs="宋体"/>
                <w:kern w:val="0"/>
                <w:sz w:val="21"/>
                <w:szCs w:val="21"/>
              </w:rPr>
              <w:t>2、石化产业基地光气及光气化产品项目生产区实行封闭式管理，采用“五重防护”措施，即工艺设计上确保光气安全和最小的光气在线量、一级安全隔离、二级安全隔离、监测监控与破坏体系、日常运行安全管理及风险应急体系等。</w:t>
            </w:r>
          </w:p>
          <w:p w14:paraId="28B8845A">
            <w:pPr>
              <w:widowControl/>
              <w:spacing w:line="260" w:lineRule="exact"/>
              <w:rPr>
                <w:rFonts w:ascii="Times New Roman"/>
                <w:kern w:val="0"/>
                <w:sz w:val="21"/>
                <w:szCs w:val="21"/>
              </w:rPr>
            </w:pPr>
            <w:r>
              <w:rPr>
                <w:rFonts w:hint="eastAsia" w:ascii="Times New Roman" w:cs="宋体"/>
                <w:kern w:val="0"/>
                <w:sz w:val="21"/>
                <w:szCs w:val="21"/>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tc>
        <w:tc>
          <w:tcPr>
            <w:tcW w:w="1277" w:type="pct"/>
            <w:shd w:val="clear" w:color="auto" w:fill="auto"/>
            <w:vAlign w:val="center"/>
          </w:tcPr>
          <w:p w14:paraId="6E377E83">
            <w:pPr>
              <w:widowControl/>
              <w:spacing w:line="260" w:lineRule="exact"/>
              <w:rPr>
                <w:rFonts w:ascii="Times New Roman"/>
                <w:kern w:val="0"/>
                <w:sz w:val="21"/>
                <w:szCs w:val="21"/>
              </w:rPr>
            </w:pPr>
            <w:r>
              <w:rPr>
                <w:rFonts w:hint="eastAsia" w:ascii="Times New Roman"/>
                <w:bCs/>
                <w:sz w:val="21"/>
                <w:szCs w:val="21"/>
              </w:rPr>
              <w:t>本项目不涉及</w:t>
            </w:r>
          </w:p>
        </w:tc>
        <w:tc>
          <w:tcPr>
            <w:tcW w:w="202" w:type="pct"/>
            <w:vAlign w:val="center"/>
          </w:tcPr>
          <w:p w14:paraId="5AA9927D">
            <w:pPr>
              <w:widowControl/>
              <w:spacing w:line="260" w:lineRule="exact"/>
              <w:jc w:val="left"/>
              <w:rPr>
                <w:rFonts w:ascii="Times New Roman"/>
                <w:kern w:val="0"/>
                <w:sz w:val="21"/>
                <w:szCs w:val="21"/>
              </w:rPr>
            </w:pPr>
            <w:r>
              <w:rPr>
                <w:rFonts w:ascii="Times New Roman"/>
                <w:kern w:val="0"/>
                <w:sz w:val="21"/>
                <w:szCs w:val="21"/>
              </w:rPr>
              <w:t>符合</w:t>
            </w:r>
          </w:p>
        </w:tc>
      </w:tr>
      <w:tr w14:paraId="43BA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5" w:type="pct"/>
            <w:vMerge w:val="continue"/>
            <w:vAlign w:val="center"/>
          </w:tcPr>
          <w:p w14:paraId="3DB0DF0C">
            <w:pPr>
              <w:widowControl/>
              <w:spacing w:line="260" w:lineRule="exact"/>
              <w:jc w:val="left"/>
              <w:rPr>
                <w:rFonts w:ascii="Times New Roman"/>
                <w:kern w:val="0"/>
                <w:sz w:val="21"/>
                <w:szCs w:val="21"/>
              </w:rPr>
            </w:pPr>
          </w:p>
        </w:tc>
        <w:tc>
          <w:tcPr>
            <w:tcW w:w="122" w:type="pct"/>
            <w:vMerge w:val="continue"/>
            <w:vAlign w:val="center"/>
          </w:tcPr>
          <w:p w14:paraId="50D066BF">
            <w:pPr>
              <w:widowControl/>
              <w:spacing w:line="260" w:lineRule="exact"/>
              <w:jc w:val="left"/>
              <w:rPr>
                <w:rFonts w:ascii="Times New Roman"/>
                <w:kern w:val="0"/>
                <w:sz w:val="21"/>
                <w:szCs w:val="21"/>
              </w:rPr>
            </w:pPr>
          </w:p>
        </w:tc>
        <w:tc>
          <w:tcPr>
            <w:tcW w:w="253" w:type="pct"/>
            <w:gridSpan w:val="2"/>
            <w:vMerge w:val="continue"/>
            <w:vAlign w:val="center"/>
          </w:tcPr>
          <w:p w14:paraId="14550824">
            <w:pPr>
              <w:widowControl/>
              <w:spacing w:line="260" w:lineRule="exact"/>
              <w:jc w:val="left"/>
              <w:rPr>
                <w:rFonts w:ascii="Times New Roman"/>
                <w:kern w:val="0"/>
                <w:sz w:val="21"/>
                <w:szCs w:val="21"/>
              </w:rPr>
            </w:pPr>
          </w:p>
        </w:tc>
        <w:tc>
          <w:tcPr>
            <w:tcW w:w="150" w:type="pct"/>
            <w:gridSpan w:val="2"/>
            <w:vMerge w:val="continue"/>
            <w:vAlign w:val="center"/>
          </w:tcPr>
          <w:p w14:paraId="032D39FA">
            <w:pPr>
              <w:widowControl/>
              <w:spacing w:line="260" w:lineRule="exact"/>
              <w:jc w:val="left"/>
              <w:rPr>
                <w:rFonts w:ascii="Times New Roman"/>
                <w:kern w:val="0"/>
                <w:sz w:val="21"/>
                <w:szCs w:val="21"/>
              </w:rPr>
            </w:pPr>
          </w:p>
        </w:tc>
        <w:tc>
          <w:tcPr>
            <w:tcW w:w="520" w:type="pct"/>
            <w:gridSpan w:val="2"/>
            <w:vMerge w:val="continue"/>
            <w:vAlign w:val="center"/>
          </w:tcPr>
          <w:p w14:paraId="15AB0C88">
            <w:pPr>
              <w:widowControl/>
              <w:spacing w:line="260" w:lineRule="exact"/>
              <w:jc w:val="left"/>
              <w:rPr>
                <w:rFonts w:ascii="Times New Roman"/>
                <w:kern w:val="0"/>
                <w:sz w:val="21"/>
                <w:szCs w:val="21"/>
              </w:rPr>
            </w:pPr>
          </w:p>
        </w:tc>
        <w:tc>
          <w:tcPr>
            <w:tcW w:w="309" w:type="pct"/>
            <w:shd w:val="clear" w:color="auto" w:fill="auto"/>
            <w:vAlign w:val="center"/>
          </w:tcPr>
          <w:p w14:paraId="15ECB091">
            <w:pPr>
              <w:widowControl/>
              <w:spacing w:line="260" w:lineRule="exact"/>
              <w:jc w:val="center"/>
              <w:rPr>
                <w:rFonts w:ascii="Times New Roman"/>
                <w:kern w:val="0"/>
                <w:sz w:val="21"/>
                <w:szCs w:val="21"/>
              </w:rPr>
            </w:pPr>
            <w:r>
              <w:rPr>
                <w:rFonts w:hint="eastAsia" w:ascii="Times New Roman"/>
                <w:kern w:val="0"/>
                <w:sz w:val="21"/>
                <w:szCs w:val="21"/>
              </w:rPr>
              <w:t>资源利用效率要求</w:t>
            </w:r>
          </w:p>
        </w:tc>
        <w:tc>
          <w:tcPr>
            <w:tcW w:w="1937" w:type="pct"/>
            <w:gridSpan w:val="2"/>
            <w:shd w:val="clear" w:color="auto" w:fill="auto"/>
            <w:vAlign w:val="center"/>
          </w:tcPr>
          <w:p w14:paraId="29019E27">
            <w:pPr>
              <w:autoSpaceDE w:val="0"/>
              <w:autoSpaceDN w:val="0"/>
              <w:adjustRightInd w:val="0"/>
              <w:jc w:val="left"/>
              <w:rPr>
                <w:rFonts w:ascii="Times New Roman"/>
                <w:bCs/>
                <w:sz w:val="21"/>
                <w:szCs w:val="21"/>
              </w:rPr>
            </w:pPr>
            <w:r>
              <w:rPr>
                <w:rFonts w:hint="eastAsia" w:ascii="Times New Roman"/>
                <w:bCs/>
                <w:sz w:val="21"/>
                <w:szCs w:val="21"/>
              </w:rPr>
              <w:t>1、禁燃区执行全市资源利用总体管控要求中禁燃区管控要求。</w:t>
            </w:r>
          </w:p>
          <w:p w14:paraId="6B53B764">
            <w:pPr>
              <w:autoSpaceDE w:val="0"/>
              <w:autoSpaceDN w:val="0"/>
              <w:adjustRightInd w:val="0"/>
              <w:jc w:val="left"/>
              <w:rPr>
                <w:rFonts w:ascii="Times New Roman"/>
                <w:bCs/>
                <w:sz w:val="21"/>
                <w:szCs w:val="21"/>
              </w:rPr>
            </w:pPr>
            <w:r>
              <w:rPr>
                <w:rFonts w:hint="eastAsia" w:ascii="Times New Roman"/>
                <w:bCs/>
                <w:sz w:val="21"/>
                <w:szCs w:val="21"/>
              </w:rPr>
              <w:t>2、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发展。</w:t>
            </w:r>
          </w:p>
          <w:p w14:paraId="17792A09">
            <w:pPr>
              <w:autoSpaceDE w:val="0"/>
              <w:autoSpaceDN w:val="0"/>
              <w:adjustRightInd w:val="0"/>
              <w:jc w:val="left"/>
              <w:rPr>
                <w:rFonts w:ascii="Times New Roman"/>
                <w:bCs/>
                <w:sz w:val="21"/>
                <w:szCs w:val="21"/>
              </w:rPr>
            </w:pPr>
            <w:r>
              <w:rPr>
                <w:rFonts w:hint="eastAsia" w:ascii="Times New Roman"/>
                <w:bCs/>
                <w:sz w:val="21"/>
                <w:szCs w:val="21"/>
              </w:rPr>
              <w:t>3、中山路街道位于深层地下水限采区，执行全市资源利用总体管控要求中地下水限采区管控要求。</w:t>
            </w:r>
          </w:p>
          <w:p w14:paraId="63758B18">
            <w:pPr>
              <w:autoSpaceDE w:val="0"/>
              <w:autoSpaceDN w:val="0"/>
              <w:adjustRightInd w:val="0"/>
              <w:jc w:val="left"/>
              <w:rPr>
                <w:rFonts w:ascii="Times New Roman"/>
                <w:kern w:val="0"/>
                <w:sz w:val="21"/>
                <w:szCs w:val="21"/>
              </w:rPr>
            </w:pPr>
            <w:r>
              <w:rPr>
                <w:rFonts w:hint="eastAsia" w:ascii="Times New Roman"/>
                <w:bCs/>
                <w:sz w:val="21"/>
                <w:szCs w:val="21"/>
              </w:rPr>
              <w:t>4、城镇开发边界外区域，暂不开发建设，待土地性质调整后方可开发利用</w:t>
            </w:r>
          </w:p>
        </w:tc>
        <w:tc>
          <w:tcPr>
            <w:tcW w:w="1277" w:type="pct"/>
            <w:shd w:val="clear" w:color="auto" w:fill="auto"/>
            <w:vAlign w:val="center"/>
          </w:tcPr>
          <w:p w14:paraId="2B886F68">
            <w:pPr>
              <w:widowControl/>
              <w:spacing w:line="260" w:lineRule="exact"/>
              <w:jc w:val="left"/>
              <w:rPr>
                <w:rFonts w:ascii="Times New Roman"/>
                <w:kern w:val="0"/>
                <w:sz w:val="21"/>
                <w:szCs w:val="21"/>
              </w:rPr>
            </w:pPr>
            <w:r>
              <w:rPr>
                <w:rFonts w:hint="eastAsia" w:ascii="Times New Roman"/>
                <w:bCs/>
                <w:sz w:val="21"/>
                <w:szCs w:val="21"/>
              </w:rPr>
              <w:t>本项目</w:t>
            </w:r>
            <w:r>
              <w:rPr>
                <w:rFonts w:ascii="Times New Roman"/>
                <w:bCs/>
                <w:sz w:val="21"/>
                <w:szCs w:val="21"/>
              </w:rPr>
              <w:t>用水由园区</w:t>
            </w:r>
            <w:r>
              <w:rPr>
                <w:rFonts w:hint="eastAsia" w:ascii="Times New Roman"/>
                <w:bCs/>
                <w:sz w:val="21"/>
                <w:szCs w:val="21"/>
              </w:rPr>
              <w:t>集中供给</w:t>
            </w:r>
            <w:r>
              <w:rPr>
                <w:rFonts w:ascii="Times New Roman"/>
                <w:bCs/>
                <w:sz w:val="21"/>
                <w:szCs w:val="21"/>
              </w:rPr>
              <w:t>，</w:t>
            </w:r>
            <w:r>
              <w:rPr>
                <w:rFonts w:hint="eastAsia" w:ascii="Times New Roman"/>
                <w:bCs/>
                <w:sz w:val="21"/>
                <w:szCs w:val="21"/>
              </w:rPr>
              <w:t>厂区不设置地下水井；项目生产用热采用天然气燃烧机加热方式。</w:t>
            </w:r>
          </w:p>
        </w:tc>
        <w:tc>
          <w:tcPr>
            <w:tcW w:w="202" w:type="pct"/>
            <w:vAlign w:val="center"/>
          </w:tcPr>
          <w:p w14:paraId="45A65B56">
            <w:pPr>
              <w:widowControl/>
              <w:spacing w:line="260" w:lineRule="exact"/>
              <w:jc w:val="left"/>
              <w:rPr>
                <w:rFonts w:ascii="Times New Roman"/>
                <w:kern w:val="0"/>
                <w:sz w:val="21"/>
                <w:szCs w:val="21"/>
              </w:rPr>
            </w:pPr>
            <w:r>
              <w:rPr>
                <w:rFonts w:ascii="Times New Roman"/>
                <w:kern w:val="0"/>
                <w:sz w:val="21"/>
                <w:szCs w:val="21"/>
              </w:rPr>
              <w:t>符合</w:t>
            </w:r>
          </w:p>
        </w:tc>
      </w:tr>
    </w:tbl>
    <w:p w14:paraId="48C9EC71">
      <w:pPr>
        <w:spacing w:line="360" w:lineRule="auto"/>
        <w:ind w:firstLine="480" w:firstLineChars="200"/>
        <w:jc w:val="left"/>
        <w:rPr>
          <w:rFonts w:ascii="Times New Roman"/>
          <w:sz w:val="24"/>
          <w:szCs w:val="24"/>
        </w:rPr>
      </w:pPr>
      <w:r>
        <w:rPr>
          <w:rFonts w:ascii="Times New Roman"/>
          <w:kern w:val="0"/>
          <w:sz w:val="24"/>
          <w:szCs w:val="24"/>
        </w:rPr>
        <w:t>经分析，项目建设符合河北省及唐山市“三线一单”生态环境分区管控要求。</w:t>
      </w:r>
    </w:p>
    <w:p w14:paraId="3BD5E8FD">
      <w:pPr>
        <w:widowControl/>
        <w:spacing w:line="480" w:lineRule="exact"/>
        <w:jc w:val="left"/>
        <w:outlineLvl w:val="1"/>
        <w:rPr>
          <w:rFonts w:ascii="Times New Roman"/>
          <w:b/>
          <w:sz w:val="30"/>
          <w:szCs w:val="30"/>
        </w:rPr>
        <w:sectPr>
          <w:pgSz w:w="16838" w:h="11906" w:orient="landscape"/>
          <w:pgMar w:top="1800" w:right="1440" w:bottom="1800" w:left="1440" w:header="1474" w:footer="1474" w:gutter="0"/>
          <w:cols w:space="720" w:num="1"/>
          <w:docGrid w:type="lines" w:linePitch="340" w:charSpace="0"/>
        </w:sectPr>
      </w:pPr>
    </w:p>
    <w:p w14:paraId="0E38043F">
      <w:pPr>
        <w:widowControl/>
        <w:spacing w:line="480" w:lineRule="exact"/>
        <w:jc w:val="left"/>
        <w:outlineLvl w:val="1"/>
        <w:rPr>
          <w:rFonts w:ascii="Times New Roman"/>
          <w:b/>
          <w:sz w:val="30"/>
          <w:szCs w:val="30"/>
        </w:rPr>
      </w:pPr>
      <w:bookmarkStart w:id="83" w:name="_Toc9153"/>
      <w:r>
        <w:rPr>
          <w:rFonts w:ascii="Times New Roman"/>
          <w:b/>
          <w:sz w:val="30"/>
          <w:szCs w:val="30"/>
        </w:rPr>
        <w:t>2.9</w:t>
      </w:r>
      <w:r>
        <w:rPr>
          <w:rFonts w:hint="eastAsia" w:ascii="Times New Roman"/>
          <w:b/>
          <w:sz w:val="30"/>
          <w:szCs w:val="30"/>
        </w:rPr>
        <w:t>相关规划及环境功能区划</w:t>
      </w:r>
      <w:bookmarkEnd w:id="83"/>
    </w:p>
    <w:p w14:paraId="557A5B62">
      <w:pPr>
        <w:spacing w:line="480" w:lineRule="exact"/>
        <w:outlineLvl w:val="2"/>
        <w:rPr>
          <w:rFonts w:ascii="Times New Roman"/>
          <w:b/>
          <w:sz w:val="28"/>
          <w:szCs w:val="28"/>
        </w:rPr>
      </w:pPr>
      <w:r>
        <w:rPr>
          <w:rFonts w:ascii="Times New Roman"/>
          <w:b/>
          <w:sz w:val="28"/>
          <w:szCs w:val="28"/>
        </w:rPr>
        <w:t>2.</w:t>
      </w:r>
      <w:r>
        <w:rPr>
          <w:rFonts w:hint="eastAsia" w:ascii="Times New Roman"/>
          <w:b/>
          <w:sz w:val="28"/>
          <w:szCs w:val="28"/>
        </w:rPr>
        <w:t>9</w:t>
      </w:r>
      <w:r>
        <w:rPr>
          <w:rFonts w:ascii="Times New Roman"/>
          <w:b/>
          <w:sz w:val="28"/>
          <w:szCs w:val="28"/>
        </w:rPr>
        <w:t>.</w:t>
      </w:r>
      <w:r>
        <w:rPr>
          <w:rFonts w:hint="eastAsia" w:ascii="Times New Roman"/>
          <w:b/>
          <w:sz w:val="28"/>
          <w:szCs w:val="28"/>
        </w:rPr>
        <w:t>1相关规划符合性分析</w:t>
      </w:r>
    </w:p>
    <w:p w14:paraId="6E121920">
      <w:pPr>
        <w:spacing w:line="480" w:lineRule="exact"/>
        <w:rPr>
          <w:sz w:val="24"/>
          <w:szCs w:val="24"/>
        </w:rPr>
      </w:pPr>
      <w:r>
        <w:rPr>
          <w:rFonts w:ascii="Times New Roman"/>
          <w:b/>
          <w:sz w:val="24"/>
          <w:szCs w:val="24"/>
        </w:rPr>
        <w:t>2.</w:t>
      </w:r>
      <w:r>
        <w:rPr>
          <w:rFonts w:hint="eastAsia" w:ascii="Times New Roman"/>
          <w:b/>
          <w:sz w:val="24"/>
          <w:szCs w:val="24"/>
        </w:rPr>
        <w:t>9</w:t>
      </w:r>
      <w:r>
        <w:rPr>
          <w:rFonts w:ascii="Times New Roman"/>
          <w:b/>
          <w:sz w:val="24"/>
          <w:szCs w:val="24"/>
        </w:rPr>
        <w:t>.</w:t>
      </w:r>
      <w:r>
        <w:rPr>
          <w:rFonts w:hint="eastAsia" w:ascii="Times New Roman"/>
          <w:b/>
          <w:sz w:val="24"/>
          <w:szCs w:val="24"/>
        </w:rPr>
        <w:t>1.1全国主体功能区划</w:t>
      </w:r>
    </w:p>
    <w:p w14:paraId="270A25B7">
      <w:pPr>
        <w:spacing w:line="480" w:lineRule="exact"/>
        <w:ind w:firstLine="480" w:firstLineChars="200"/>
        <w:rPr>
          <w:rFonts w:ascii="Times New Roman"/>
          <w:sz w:val="24"/>
          <w:szCs w:val="24"/>
        </w:rPr>
      </w:pPr>
      <w:r>
        <w:rPr>
          <w:rFonts w:hint="eastAsia" w:ascii="Times New Roman"/>
          <w:sz w:val="24"/>
          <w:szCs w:val="24"/>
        </w:rPr>
        <w:t>《全国主体功能区划》将我国国土空间分为以下主体功能区：按开发方式，分为优化开发区域、重点开发区域、限制开发区域和禁止开发区域；按开发内容，分为城市化地区、农产品主产区和重点生态功能区；按层级，分为国家和省级两个层面。</w:t>
      </w:r>
    </w:p>
    <w:p w14:paraId="31C17D6A">
      <w:pPr>
        <w:spacing w:line="480" w:lineRule="exact"/>
        <w:ind w:firstLine="480" w:firstLineChars="200"/>
        <w:rPr>
          <w:rFonts w:ascii="Times New Roman"/>
          <w:sz w:val="24"/>
          <w:szCs w:val="24"/>
        </w:rPr>
      </w:pPr>
      <w:r>
        <w:rPr>
          <w:rFonts w:hint="eastAsia" w:ascii="Times New Roman"/>
          <w:sz w:val="24"/>
          <w:szCs w:val="24"/>
        </w:rPr>
        <w:t>根据《全国主体功能区划》，环渤海地区中京津冀地区被确定为优化开发区域，该区域功能定位为：三北地区重要的枢纽和出海通道，全国科技创新与技术研发基地，全国服务业、先进制造业、高新技术产业和战略性新兴产业基地，我国北方的经济中心。</w:t>
      </w:r>
    </w:p>
    <w:p w14:paraId="16A1143D">
      <w:pPr>
        <w:spacing w:line="480" w:lineRule="exact"/>
        <w:ind w:firstLine="480" w:firstLineChars="200"/>
        <w:rPr>
          <w:rFonts w:ascii="Times New Roman"/>
          <w:b/>
          <w:bCs/>
        </w:rPr>
      </w:pPr>
      <w:r>
        <w:rPr>
          <w:rFonts w:ascii="Times New Roman"/>
          <w:kern w:val="0"/>
          <w:sz w:val="24"/>
          <w:szCs w:val="24"/>
        </w:rPr>
        <w:t>根据《关于以改善环境质量为核心加强环境影响评价管理的通知》（环环评〔2016〕150号），要求以生态保护红线、环境质量底线、资源利用上线和环境准入负面清单（以下简称“三线一单”）为手段，强化空间、总量和准入环境管理。</w:t>
      </w:r>
      <w:r>
        <w:rPr>
          <w:rFonts w:ascii="Times New Roman"/>
          <w:b/>
          <w:sz w:val="24"/>
          <w:szCs w:val="24"/>
        </w:rPr>
        <w:t>2.</w:t>
      </w:r>
      <w:r>
        <w:rPr>
          <w:rFonts w:hint="eastAsia" w:ascii="Times New Roman"/>
          <w:b/>
          <w:sz w:val="24"/>
          <w:szCs w:val="24"/>
        </w:rPr>
        <w:t>9</w:t>
      </w:r>
      <w:r>
        <w:rPr>
          <w:rFonts w:ascii="Times New Roman"/>
          <w:b/>
          <w:sz w:val="24"/>
          <w:szCs w:val="24"/>
        </w:rPr>
        <w:t>.</w:t>
      </w:r>
      <w:r>
        <w:rPr>
          <w:rFonts w:hint="eastAsia" w:ascii="Times New Roman"/>
          <w:b/>
          <w:sz w:val="24"/>
          <w:szCs w:val="24"/>
        </w:rPr>
        <w:t>1.2河北省主体功能区划</w:t>
      </w:r>
    </w:p>
    <w:p w14:paraId="065C863A">
      <w:pPr>
        <w:pStyle w:val="3509"/>
        <w:spacing w:after="0" w:line="480" w:lineRule="exact"/>
        <w:ind w:firstLine="480" w:firstLineChars="200"/>
        <w:jc w:val="both"/>
        <w:rPr>
          <w:rFonts w:ascii="Times New Roman" w:hAnsi="Times New Roman"/>
          <w:kern w:val="2"/>
          <w:sz w:val="24"/>
          <w:szCs w:val="24"/>
          <w:lang w:eastAsia="zh-CN"/>
        </w:rPr>
      </w:pPr>
      <w:r>
        <w:rPr>
          <w:rFonts w:hint="eastAsia" w:ascii="Times New Roman" w:hAnsi="Times New Roman"/>
          <w:kern w:val="2"/>
          <w:sz w:val="24"/>
          <w:szCs w:val="24"/>
          <w:lang w:eastAsia="zh-CN"/>
        </w:rPr>
        <w:t>根据《河北省主体功能区划》，优化开发区域包括沿海地区，包括唐山市丰南区、曹妃甸区、乐亭、滦南，该区功能定位为环渤海地区新兴增长区域，京津城市功能拓展和产业转移的主要承接地，全国重要的新型工业化基地，我国开放合作的新高地，北方沿海生态良好的宜居区，国家循环经济示范区，面向东北亚、内联华北、西北地区对外开放的重要门户，国家重要的海陆综合交通物流枢纽，全省重要的产业、人口聚集区和经济隆起带。</w:t>
      </w:r>
    </w:p>
    <w:p w14:paraId="32DB3CE2">
      <w:pPr>
        <w:pStyle w:val="3509"/>
        <w:spacing w:after="0" w:line="480" w:lineRule="exact"/>
        <w:ind w:firstLine="480" w:firstLineChars="200"/>
        <w:jc w:val="both"/>
        <w:rPr>
          <w:rFonts w:ascii="Times New Roman" w:hAnsi="Times New Roman"/>
          <w:kern w:val="2"/>
          <w:sz w:val="24"/>
          <w:szCs w:val="24"/>
          <w:lang w:eastAsia="zh-CN"/>
        </w:rPr>
      </w:pPr>
      <w:r>
        <w:rPr>
          <w:rFonts w:hint="eastAsia" w:ascii="Times New Roman" w:hAnsi="Times New Roman"/>
          <w:kern w:val="2"/>
          <w:sz w:val="24"/>
          <w:szCs w:val="24"/>
          <w:lang w:eastAsia="zh-CN"/>
        </w:rPr>
        <w:t>该区产业布局：唐山沿海地区积极发展装备制造、石油化工、精品钢铁、新型建材、电子信息等先进制造业，大力发展现代物流、休闲旅游等服务业，稳定粮食生产，加快发展蔬菜、畜禽、经济林果、水产等特色农业，推进丰南沿海工业区、唐山冀东北工业聚集区建设。</w:t>
      </w:r>
    </w:p>
    <w:p w14:paraId="0D59DE48">
      <w:pPr>
        <w:pStyle w:val="3509"/>
        <w:spacing w:after="0" w:line="480" w:lineRule="exact"/>
        <w:ind w:firstLine="480" w:firstLineChars="200"/>
        <w:jc w:val="both"/>
        <w:rPr>
          <w:rFonts w:ascii="Times New Roman" w:hAnsi="Times New Roman"/>
          <w:kern w:val="2"/>
          <w:sz w:val="24"/>
          <w:szCs w:val="24"/>
          <w:lang w:eastAsia="zh-CN"/>
        </w:rPr>
      </w:pPr>
      <w:r>
        <w:rPr>
          <w:rFonts w:hint="eastAsia" w:ascii="Times New Roman" w:hAnsi="Times New Roman"/>
          <w:kern w:val="2"/>
          <w:sz w:val="24"/>
          <w:szCs w:val="24"/>
          <w:lang w:eastAsia="zh-CN"/>
        </w:rPr>
        <w:t>本项目位于唐山市曹妃甸区，属于《全国主体功能区划》和《河北省主体功能区划》中的优化开发区域，符合全国及河北省主体功能区规划的功能定位。河北省主体功能区规划下图。</w:t>
      </w:r>
    </w:p>
    <w:p w14:paraId="51EC21A8">
      <w:pPr>
        <w:pStyle w:val="70"/>
        <w:rPr>
          <w:kern w:val="0"/>
          <w:sz w:val="24"/>
          <w:szCs w:val="24"/>
        </w:rPr>
      </w:pPr>
      <w:r>
        <mc:AlternateContent>
          <mc:Choice Requires="wpg">
            <w:drawing>
              <wp:anchor distT="0" distB="0" distL="114300" distR="114300" simplePos="0" relativeHeight="251680768" behindDoc="0" locked="0" layoutInCell="1" allowOverlap="1">
                <wp:simplePos x="0" y="0"/>
                <wp:positionH relativeFrom="column">
                  <wp:posOffset>3854450</wp:posOffset>
                </wp:positionH>
                <wp:positionV relativeFrom="paragraph">
                  <wp:posOffset>3571875</wp:posOffset>
                </wp:positionV>
                <wp:extent cx="932180" cy="846455"/>
                <wp:effectExtent l="4445" t="13970" r="15875" b="15875"/>
                <wp:wrapNone/>
                <wp:docPr id="42" name="组合 188"/>
                <wp:cNvGraphicFramePr/>
                <a:graphic xmlns:a="http://schemas.openxmlformats.org/drawingml/2006/main">
                  <a:graphicData uri="http://schemas.microsoft.com/office/word/2010/wordprocessingGroup">
                    <wpg:wgp>
                      <wpg:cNvGrpSpPr/>
                      <wpg:grpSpPr>
                        <a:xfrm>
                          <a:off x="0" y="0"/>
                          <a:ext cx="932180" cy="846455"/>
                          <a:chOff x="8811" y="901924"/>
                          <a:chExt cx="1468" cy="1333"/>
                        </a:xfrm>
                        <a:effectLst/>
                      </wpg:grpSpPr>
                      <wps:wsp>
                        <wps:cNvPr id="48" name="圆角矩形标注 17"/>
                        <wps:cNvSpPr>
                          <a:spLocks noChangeArrowheads="1"/>
                        </wps:cNvSpPr>
                        <wps:spPr bwMode="auto">
                          <a:xfrm>
                            <a:off x="8811" y="902877"/>
                            <a:ext cx="1468" cy="380"/>
                          </a:xfrm>
                          <a:prstGeom prst="wedgeRoundRectCallout">
                            <a:avLst>
                              <a:gd name="adj1" fmla="val -21585"/>
                              <a:gd name="adj2" fmla="val -268539"/>
                              <a:gd name="adj3" fmla="val 16667"/>
                            </a:avLst>
                          </a:prstGeom>
                          <a:solidFill>
                            <a:srgbClr val="FFFFFF">
                              <a:alpha val="53000"/>
                            </a:srgbClr>
                          </a:solidFill>
                          <a:ln w="9525">
                            <a:solidFill>
                              <a:srgbClr val="000000"/>
                            </a:solidFill>
                            <a:miter lim="800000"/>
                          </a:ln>
                          <a:effectLst/>
                        </wps:spPr>
                        <wps:txbx>
                          <w:txbxContent>
                            <w:p w14:paraId="7BBA1E22">
                              <w:pPr>
                                <w:jc w:val="center"/>
                                <w:rPr>
                                  <w:b/>
                                  <w:color w:val="000000"/>
                                </w:rPr>
                              </w:pPr>
                              <w:r>
                                <w:rPr>
                                  <w:rFonts w:hint="eastAsia"/>
                                  <w:b/>
                                  <w:color w:val="000000"/>
                                </w:rPr>
                                <w:t>项目位置</w:t>
                              </w:r>
                            </w:p>
                          </w:txbxContent>
                        </wps:txbx>
                        <wps:bodyPr rot="0" vert="horz" wrap="square" lIns="0" tIns="0" rIns="0" bIns="0" anchor="t" anchorCtr="0" upright="1">
                          <a:noAutofit/>
                        </wps:bodyPr>
                      </wps:wsp>
                      <wps:wsp>
                        <wps:cNvPr id="50" name="五角星 18"/>
                        <wps:cNvSpPr>
                          <a:spLocks noChangeArrowheads="1"/>
                        </wps:cNvSpPr>
                        <wps:spPr bwMode="auto">
                          <a:xfrm>
                            <a:off x="9099" y="901924"/>
                            <a:ext cx="255" cy="217"/>
                          </a:xfrm>
                          <a:prstGeom prst="star5">
                            <a:avLst/>
                          </a:prstGeom>
                          <a:solidFill>
                            <a:srgbClr val="FFFFFF">
                              <a:alpha val="42000"/>
                            </a:srgbClr>
                          </a:solidFill>
                          <a:ln w="9525" algn="ctr">
                            <a:solidFill>
                              <a:srgbClr val="000000"/>
                            </a:solidFill>
                            <a:miter lim="800000"/>
                          </a:ln>
                          <a:effectLst/>
                        </wps:spPr>
                        <wps:bodyPr rot="0" vert="horz" wrap="square" lIns="91440" tIns="45720" rIns="91440" bIns="45720" anchor="t" anchorCtr="0" upright="1">
                          <a:noAutofit/>
                        </wps:bodyPr>
                      </wps:wsp>
                    </wpg:wgp>
                  </a:graphicData>
                </a:graphic>
              </wp:anchor>
            </w:drawing>
          </mc:Choice>
          <mc:Fallback>
            <w:pict>
              <v:group id="组合 188" o:spid="_x0000_s1026" o:spt="203" style="position:absolute;left:0pt;margin-left:303.5pt;margin-top:281.25pt;height:66.65pt;width:73.4pt;z-index:251680768;mso-width-relative:page;mso-height-relative:page;" coordorigin="8811,901924" coordsize="1468,1333" o:gfxdata="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T5urb9sAAAALAQAADwAAAAAAAAABACAAAAAiAAAAZHJzL2Rvd25yZXYueG1s&#10;UEsBAhQAFAAAAAgAh07iQK9wB7iEAwAARgkAAA4AAAAAAAAAAQAgAAAAKgEAAGRycy9lMm9Eb2Mu&#10;eG1sUEsFBgAAAAAGAAYAWQEAACAHAAAAAA==&#10;">
                <o:lock v:ext="edit" aspectratio="f"/>
                <v:shape id="圆角矩形标注 17" o:spid="_x0000_s1026" o:spt="62" type="#_x0000_t62" style="position:absolute;left:8811;top:902877;height:380;width:1468;" fillcolor="#FFFFFF" filled="t" stroked="t" coordsize="21600,21600" o:gfxdata="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pRdZtwAAANsAAAAP&#10;AAAAAAAAAAEAIAAAACIAAABkcnMvZG93bnJldi54bWxQSwECFAAUAAAACACHTuJAMy8FnjsAAAA5&#10;AAAAEAAAAAAAAAABACAAAAAGAQAAZHJzL3NoYXBleG1sLnhtbFBLBQYAAAAABgAGAFsBAACwAwAA&#10;AAA=&#10;" adj="6138,-47204,14400">
                  <v:fill on="t" opacity="34734f" focussize="0,0"/>
                  <v:stroke color="#000000" miterlimit="8" joinstyle="miter"/>
                  <v:imagedata o:title=""/>
                  <o:lock v:ext="edit" aspectratio="f"/>
                  <v:textbox inset="0mm,0mm,0mm,0mm">
                    <w:txbxContent>
                      <w:p w14:paraId="7BBA1E22">
                        <w:pPr>
                          <w:jc w:val="center"/>
                          <w:rPr>
                            <w:b/>
                            <w:color w:val="000000"/>
                          </w:rPr>
                        </w:pPr>
                        <w:r>
                          <w:rPr>
                            <w:rFonts w:hint="eastAsia"/>
                            <w:b/>
                            <w:color w:val="000000"/>
                          </w:rPr>
                          <w:t>项目位置</w:t>
                        </w:r>
                      </w:p>
                    </w:txbxContent>
                  </v:textbox>
                </v:shape>
                <v:shape id="五角星 18" o:spid="_x0000_s1026" style="position:absolute;left:9099;top:901924;height:217;width:255;" fillcolor="#FFFFFF" filled="t" stroked="t" coordsize="255,217" o:gfxdata="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6vMe5AAAA2wAA&#10;AA8AAAAAAAAAAQAgAAAAIgAAAGRycy9kb3ducmV2LnhtbFBLAQIUABQAAAAIAIdO4kAzLwWeOwAA&#10;ADkAAAAQAAAAAAAAAAEAIAAAAAgBAABkcnMvc2hhcGV4bWwueG1sUEsFBgAAAAAGAAYAWwEAALID&#10;AAAAAA==&#10;" path="m0,82l97,82,127,0,157,82,254,82,176,134,206,216,127,165,48,216,78,134xe">
                  <v:path o:connectlocs="127,0;0,82;48,216;206,216;254,82" o:connectangles="247,164,82,82,0"/>
                  <v:fill on="t" opacity="27525f" focussize="0,0"/>
                  <v:stroke color="#000000" miterlimit="8" joinstyle="miter"/>
                  <v:imagedata o:title=""/>
                  <o:lock v:ext="edit" aspectratio="f"/>
                </v:shape>
              </v:group>
            </w:pict>
          </mc:Fallback>
        </mc:AlternateContent>
      </w:r>
      <w:r>
        <w:drawing>
          <wp:inline distT="0" distB="0" distL="114300" distR="114300">
            <wp:extent cx="5083810" cy="7073900"/>
            <wp:effectExtent l="0" t="0" r="2540" b="12700"/>
            <wp:docPr id="53" name="图片 5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1"/>
                    <pic:cNvPicPr>
                      <a:picLocks noChangeAspect="1"/>
                    </pic:cNvPicPr>
                  </pic:nvPicPr>
                  <pic:blipFill>
                    <a:blip r:embed="rId22" cstate="print"/>
                    <a:stretch>
                      <a:fillRect/>
                    </a:stretch>
                  </pic:blipFill>
                  <pic:spPr>
                    <a:xfrm>
                      <a:off x="0" y="0"/>
                      <a:ext cx="5083810" cy="7073900"/>
                    </a:xfrm>
                    <a:prstGeom prst="rect">
                      <a:avLst/>
                    </a:prstGeom>
                  </pic:spPr>
                </pic:pic>
              </a:graphicData>
            </a:graphic>
          </wp:inline>
        </w:drawing>
      </w:r>
    </w:p>
    <w:p w14:paraId="11A6944E">
      <w:pPr>
        <w:spacing w:line="480" w:lineRule="exact"/>
        <w:jc w:val="center"/>
        <w:rPr>
          <w:rFonts w:ascii="Times New Roman"/>
          <w:b/>
          <w:bCs/>
          <w:sz w:val="24"/>
          <w:szCs w:val="24"/>
        </w:rPr>
      </w:pPr>
      <w:r>
        <w:rPr>
          <w:rFonts w:ascii="Times New Roman"/>
          <w:b/>
          <w:bCs/>
          <w:sz w:val="24"/>
          <w:szCs w:val="24"/>
        </w:rPr>
        <w:t>图2.9</w:t>
      </w:r>
      <w:r>
        <w:rPr>
          <w:rFonts w:ascii="Times New Roman"/>
          <w:b/>
          <w:bCs/>
          <w:sz w:val="24"/>
          <w:szCs w:val="24"/>
        </w:rPr>
        <w:noBreakHyphen/>
      </w:r>
      <w:r>
        <w:rPr>
          <w:rFonts w:ascii="Times New Roman"/>
          <w:b/>
          <w:bCs/>
          <w:sz w:val="24"/>
          <w:szCs w:val="24"/>
        </w:rPr>
        <w:t>1  河北省主体功能区规划图</w:t>
      </w:r>
    </w:p>
    <w:p w14:paraId="769F9790">
      <w:pPr>
        <w:spacing w:line="480" w:lineRule="exact"/>
        <w:rPr>
          <w:rFonts w:ascii="Times New Roman"/>
          <w:b/>
          <w:bCs/>
          <w:sz w:val="24"/>
          <w:szCs w:val="24"/>
        </w:rPr>
      </w:pPr>
      <w:r>
        <w:rPr>
          <w:rFonts w:ascii="Times New Roman"/>
          <w:b/>
          <w:bCs/>
          <w:snapToGrid w:val="0"/>
          <w:sz w:val="24"/>
          <w:szCs w:val="24"/>
        </w:rPr>
        <w:t>2.9.1.3</w:t>
      </w:r>
      <w:r>
        <w:rPr>
          <w:rFonts w:ascii="Times New Roman"/>
          <w:b/>
          <w:bCs/>
          <w:sz w:val="24"/>
          <w:szCs w:val="24"/>
        </w:rPr>
        <w:t>生态功能区划</w:t>
      </w:r>
    </w:p>
    <w:p w14:paraId="0100694D">
      <w:pPr>
        <w:spacing w:line="480" w:lineRule="exact"/>
        <w:rPr>
          <w:rFonts w:ascii="Times New Roman"/>
          <w:b/>
          <w:bCs/>
          <w:sz w:val="24"/>
          <w:szCs w:val="24"/>
        </w:rPr>
      </w:pPr>
      <w:r>
        <w:rPr>
          <w:rFonts w:ascii="Times New Roman"/>
          <w:b/>
          <w:bCs/>
          <w:sz w:val="24"/>
          <w:szCs w:val="24"/>
        </w:rPr>
        <w:t>2.</w:t>
      </w:r>
      <w:r>
        <w:rPr>
          <w:rFonts w:hint="eastAsia" w:ascii="Times New Roman"/>
          <w:b/>
          <w:bCs/>
          <w:sz w:val="24"/>
          <w:szCs w:val="24"/>
        </w:rPr>
        <w:t>9</w:t>
      </w:r>
      <w:r>
        <w:rPr>
          <w:rFonts w:ascii="Times New Roman"/>
          <w:b/>
          <w:bCs/>
          <w:sz w:val="24"/>
          <w:szCs w:val="24"/>
        </w:rPr>
        <w:t>.1.3.1全国生态功能区划</w:t>
      </w:r>
    </w:p>
    <w:p w14:paraId="5B4F8490">
      <w:pPr>
        <w:spacing w:line="480" w:lineRule="exact"/>
        <w:ind w:firstLine="480" w:firstLineChars="200"/>
        <w:rPr>
          <w:rFonts w:ascii="Times New Roman"/>
          <w:sz w:val="24"/>
          <w:szCs w:val="24"/>
        </w:rPr>
      </w:pPr>
      <w:r>
        <w:rPr>
          <w:rFonts w:ascii="Times New Roman"/>
          <w:sz w:val="24"/>
          <w:szCs w:val="24"/>
        </w:rPr>
        <w:t>将全国生态功能区分为3个等级，其中一级区共有3类31个区，生态功能二级区共有9类67个区以及216个生态功能三级区。</w:t>
      </w:r>
    </w:p>
    <w:p w14:paraId="0E59A787">
      <w:pPr>
        <w:spacing w:line="480" w:lineRule="exact"/>
        <w:ind w:firstLine="480" w:firstLineChars="200"/>
        <w:rPr>
          <w:rFonts w:ascii="Times New Roman"/>
          <w:sz w:val="24"/>
          <w:szCs w:val="24"/>
        </w:rPr>
      </w:pPr>
      <w:r>
        <w:rPr>
          <w:rFonts w:ascii="Times New Roman"/>
          <w:sz w:val="24"/>
          <w:szCs w:val="24"/>
        </w:rPr>
        <w:t>项目所在区域属于《全国生态功能区划》中的“III-01-01京津冀大都市群”，其生态系统服务功能为人居保障。该类型区的主要生态问题：城市无限制扩张，生态承载力严重超载，生态功能低，污染严重，人居环境质量下降。该类型区生态保护主要方向：加强城市发展规划，控制城市规模，合理布局城市功能组团；加强生态城市建设，大力调整产业结构，提高资源利用效率，控制城市污染，推进循环经济和循环社会的建设。</w:t>
      </w:r>
    </w:p>
    <w:p w14:paraId="2406F320">
      <w:pPr>
        <w:spacing w:line="480" w:lineRule="exact"/>
        <w:ind w:firstLine="480" w:firstLineChars="200"/>
        <w:rPr>
          <w:rFonts w:ascii="Times New Roman"/>
          <w:sz w:val="24"/>
          <w:szCs w:val="24"/>
        </w:rPr>
      </w:pPr>
      <w:r>
        <w:rPr>
          <w:rFonts w:ascii="Times New Roman"/>
          <w:sz w:val="24"/>
          <w:szCs w:val="24"/>
        </w:rPr>
        <w:t>项目位于京津冀地区，属于国家层面的优化开发区域，不属于《全国主体功能区规划》中的限制开发区域和禁止开发区。</w:t>
      </w:r>
    </w:p>
    <w:p w14:paraId="28AB5050">
      <w:pPr>
        <w:spacing w:line="480" w:lineRule="exact"/>
        <w:ind w:firstLine="480" w:firstLineChars="200"/>
        <w:rPr>
          <w:rFonts w:ascii="Times New Roman"/>
          <w:sz w:val="24"/>
          <w:szCs w:val="24"/>
        </w:rPr>
        <w:sectPr>
          <w:pgSz w:w="11906" w:h="16838"/>
          <w:pgMar w:top="1440" w:right="1800" w:bottom="1440" w:left="1800" w:header="1474" w:footer="1474" w:gutter="0"/>
          <w:cols w:space="720" w:num="1"/>
          <w:docGrid w:type="lines" w:linePitch="340" w:charSpace="0"/>
        </w:sectPr>
      </w:pPr>
      <w:r>
        <w:rPr>
          <w:rFonts w:ascii="Times New Roman"/>
          <w:sz w:val="24"/>
          <w:szCs w:val="24"/>
        </w:rPr>
        <w:t>全国重要生态功能区分布图见下图。</w:t>
      </w:r>
    </w:p>
    <w:p w14:paraId="321BD322">
      <w:pPr>
        <w:pStyle w:val="70"/>
      </w:pPr>
      <w:r>
        <w:drawing>
          <wp:anchor distT="0" distB="0" distL="0" distR="0" simplePos="0" relativeHeight="251682816" behindDoc="0" locked="0" layoutInCell="1" allowOverlap="1">
            <wp:simplePos x="0" y="0"/>
            <wp:positionH relativeFrom="column">
              <wp:posOffset>254000</wp:posOffset>
            </wp:positionH>
            <wp:positionV relativeFrom="paragraph">
              <wp:posOffset>82550</wp:posOffset>
            </wp:positionV>
            <wp:extent cx="7677785" cy="4865370"/>
            <wp:effectExtent l="0" t="0" r="18415" b="1143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677785" cy="4865370"/>
                    </a:xfrm>
                    <a:prstGeom prst="rect">
                      <a:avLst/>
                    </a:prstGeom>
                    <a:noFill/>
                    <a:ln>
                      <a:noFill/>
                    </a:ln>
                  </pic:spPr>
                </pic:pic>
              </a:graphicData>
            </a:graphic>
          </wp:anchor>
        </w:drawing>
      </w:r>
    </w:p>
    <w:p w14:paraId="492BCC77">
      <w:pPr>
        <w:pStyle w:val="70"/>
      </w:pPr>
    </w:p>
    <w:p w14:paraId="0C99449A">
      <w:pPr>
        <w:pStyle w:val="70"/>
      </w:pPr>
    </w:p>
    <w:p w14:paraId="2D978818">
      <w:pPr>
        <w:pStyle w:val="70"/>
      </w:pPr>
    </w:p>
    <w:p w14:paraId="409FABA6">
      <w:pPr>
        <w:pStyle w:val="70"/>
      </w:pPr>
    </w:p>
    <w:p w14:paraId="7901E937">
      <w:pPr>
        <w:pStyle w:val="70"/>
      </w:pPr>
    </w:p>
    <w:p w14:paraId="543C599F">
      <w:pPr>
        <w:pStyle w:val="70"/>
      </w:pPr>
    </w:p>
    <w:p w14:paraId="2773C021">
      <w:pPr>
        <w:pStyle w:val="70"/>
      </w:pPr>
    </w:p>
    <w:p w14:paraId="3C9C4E48">
      <w:pPr>
        <w:pStyle w:val="70"/>
      </w:pPr>
    </w:p>
    <w:p w14:paraId="5C21848A">
      <w:pPr>
        <w:pStyle w:val="70"/>
      </w:pPr>
    </w:p>
    <w:p w14:paraId="00F22E49">
      <w:pPr>
        <w:pStyle w:val="70"/>
      </w:pPr>
    </w:p>
    <w:p w14:paraId="5D4640B6">
      <w:pPr>
        <w:pStyle w:val="70"/>
      </w:pPr>
    </w:p>
    <w:p w14:paraId="0D13E5CB">
      <w:pPr>
        <w:pStyle w:val="70"/>
      </w:pPr>
    </w:p>
    <w:p w14:paraId="6D0F3D6C">
      <w:pPr>
        <w:pStyle w:val="70"/>
      </w:pPr>
      <w:r>
        <mc:AlternateContent>
          <mc:Choice Requires="wps">
            <w:drawing>
              <wp:anchor distT="0" distB="0" distL="114300" distR="114300" simplePos="0" relativeHeight="251688960" behindDoc="0" locked="0" layoutInCell="1" allowOverlap="1">
                <wp:simplePos x="0" y="0"/>
                <wp:positionH relativeFrom="column">
                  <wp:posOffset>5969000</wp:posOffset>
                </wp:positionH>
                <wp:positionV relativeFrom="paragraph">
                  <wp:posOffset>158750</wp:posOffset>
                </wp:positionV>
                <wp:extent cx="1014095" cy="360045"/>
                <wp:effectExtent l="309245" t="878840" r="10160" b="5715"/>
                <wp:wrapNone/>
                <wp:docPr id="80" name="矩形标注 19"/>
                <wp:cNvGraphicFramePr/>
                <a:graphic xmlns:a="http://schemas.openxmlformats.org/drawingml/2006/main">
                  <a:graphicData uri="http://schemas.microsoft.com/office/word/2010/wordprocessingShape">
                    <wps:wsp>
                      <wps:cNvSpPr/>
                      <wps:spPr>
                        <a:xfrm>
                          <a:off x="0" y="0"/>
                          <a:ext cx="1014095" cy="360045"/>
                        </a:xfrm>
                        <a:prstGeom prst="wedgeRectCallout">
                          <a:avLst>
                            <a:gd name="adj1" fmla="val -78301"/>
                            <a:gd name="adj2" fmla="val -285148"/>
                          </a:avLst>
                        </a:prstGeom>
                        <a:solidFill>
                          <a:srgbClr val="FFFFFF"/>
                        </a:solidFill>
                        <a:ln w="9525" cap="flat" cmpd="sng">
                          <a:solidFill>
                            <a:srgbClr val="000000"/>
                          </a:solidFill>
                          <a:prstDash val="solid"/>
                          <a:miter/>
                          <a:headEnd type="none" w="med" len="med"/>
                          <a:tailEnd type="none" w="med" len="med"/>
                        </a:ln>
                        <a:effectLst/>
                      </wps:spPr>
                      <wps:txbx>
                        <w:txbxContent>
                          <w:p w14:paraId="758B4956">
                            <w:r>
                              <w:rPr>
                                <w:rFonts w:hint="eastAsia"/>
                              </w:rPr>
                              <w:t>本项目位置</w:t>
                            </w:r>
                          </w:p>
                        </w:txbxContent>
                      </wps:txbx>
                      <wps:bodyPr upright="1">
                        <a:noAutofit/>
                      </wps:bodyPr>
                    </wps:wsp>
                  </a:graphicData>
                </a:graphic>
              </wp:anchor>
            </w:drawing>
          </mc:Choice>
          <mc:Fallback>
            <w:pict>
              <v:shape id="矩形标注 19" o:spid="_x0000_s1026" o:spt="61" type="#_x0000_t61" style="position:absolute;left:0pt;margin-left:470pt;margin-top:12.5pt;height:28.35pt;width:79.85pt;z-index:251688960;mso-width-relative:page;mso-height-relative:page;" fillcolor="#FFFFFF" filled="t" stroked="t" coordsize="21600,21600" o:gfxdata="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pwTd1wAAAAoBAAAPAAAAAAAA&#10;AAEAIAAAACIAAABkcnMvZG93bnJldi54bWxQSwECFAAUAAAACACHTuJAIY5QqUwCAAC5BAAADgAA&#10;AAAAAAABACAAAAAmAQAAZHJzL2Uyb0RvYy54bWxQSwUGAAAAAAYABgBZAQAA5AUAAAAA&#10;" adj="-6113,-50792">
                <v:fill on="t" focussize="0,0"/>
                <v:stroke color="#000000" joinstyle="miter"/>
                <v:imagedata o:title=""/>
                <o:lock v:ext="edit" aspectratio="f"/>
                <v:textbox>
                  <w:txbxContent>
                    <w:p w14:paraId="758B4956">
                      <w:r>
                        <w:rPr>
                          <w:rFonts w:hint="eastAsia"/>
                        </w:rPr>
                        <w:t>本项目位置</w:t>
                      </w:r>
                    </w:p>
                  </w:txbxContent>
                </v:textbox>
              </v:shape>
            </w:pict>
          </mc:Fallback>
        </mc:AlternateContent>
      </w:r>
    </w:p>
    <w:p w14:paraId="765FD63F">
      <w:pPr>
        <w:pStyle w:val="70"/>
      </w:pPr>
    </w:p>
    <w:p w14:paraId="0D693CFD">
      <w:pPr>
        <w:pStyle w:val="70"/>
      </w:pPr>
    </w:p>
    <w:p w14:paraId="6C46D91B">
      <w:pPr>
        <w:pStyle w:val="70"/>
      </w:pPr>
    </w:p>
    <w:p w14:paraId="69BAC535">
      <w:pPr>
        <w:pStyle w:val="70"/>
        <w:sectPr>
          <w:pgSz w:w="16838" w:h="11906" w:orient="landscape"/>
          <w:pgMar w:top="1800" w:right="1440" w:bottom="1800" w:left="1440" w:header="1474" w:footer="1474" w:gutter="0"/>
          <w:cols w:space="720" w:num="1"/>
          <w:docGrid w:type="lines" w:linePitch="340" w:charSpace="0"/>
        </w:sectPr>
      </w:pPr>
      <w:r>
        <mc:AlternateContent>
          <mc:Choice Requires="wps">
            <w:drawing>
              <wp:anchor distT="0" distB="0" distL="114300" distR="114300" simplePos="0" relativeHeight="251683840" behindDoc="0" locked="0" layoutInCell="1" allowOverlap="1">
                <wp:simplePos x="0" y="0"/>
                <wp:positionH relativeFrom="column">
                  <wp:posOffset>2771775</wp:posOffset>
                </wp:positionH>
                <wp:positionV relativeFrom="paragraph">
                  <wp:posOffset>1263015</wp:posOffset>
                </wp:positionV>
                <wp:extent cx="2768600" cy="299085"/>
                <wp:effectExtent l="0" t="0" r="0" b="0"/>
                <wp:wrapNone/>
                <wp:docPr id="84" name="文本框 84"/>
                <wp:cNvGraphicFramePr/>
                <a:graphic xmlns:a="http://schemas.openxmlformats.org/drawingml/2006/main">
                  <a:graphicData uri="http://schemas.microsoft.com/office/word/2010/wordprocessingShape">
                    <wps:wsp>
                      <wps:cNvSpPr txBox="1"/>
                      <wps:spPr>
                        <a:xfrm>
                          <a:off x="3641725" y="6195695"/>
                          <a:ext cx="2768600" cy="299085"/>
                        </a:xfrm>
                        <a:prstGeom prst="rect">
                          <a:avLst/>
                        </a:prstGeom>
                        <a:noFill/>
                        <a:ln w="6350">
                          <a:noFill/>
                        </a:ln>
                        <a:effectLst/>
                      </wps:spPr>
                      <wps:txbx>
                        <w:txbxContent>
                          <w:p w14:paraId="7CDDD7EF">
                            <w:r>
                              <w:rPr>
                                <w:rFonts w:ascii="Times New Roman"/>
                                <w:b/>
                                <w:bCs/>
                                <w:sz w:val="24"/>
                                <w:szCs w:val="24"/>
                              </w:rPr>
                              <w:t>图</w:t>
                            </w:r>
                            <w:r>
                              <w:rPr>
                                <w:rFonts w:ascii="Times New Roman"/>
                                <w:b/>
                                <w:bCs/>
                                <w:sz w:val="24"/>
                                <w:szCs w:val="24"/>
                              </w:rPr>
                              <w:fldChar w:fldCharType="begin"/>
                            </w:r>
                            <w:r>
                              <w:rPr>
                                <w:rFonts w:ascii="Times New Roman"/>
                                <w:b/>
                                <w:bCs/>
                                <w:sz w:val="24"/>
                                <w:szCs w:val="24"/>
                              </w:rPr>
                              <w:instrText xml:space="preserve"> STYLEREF 2 \s </w:instrText>
                            </w:r>
                            <w:r>
                              <w:rPr>
                                <w:rFonts w:ascii="Times New Roman"/>
                                <w:b/>
                                <w:bCs/>
                                <w:sz w:val="24"/>
                                <w:szCs w:val="24"/>
                              </w:rPr>
                              <w:fldChar w:fldCharType="separate"/>
                            </w:r>
                            <w:r>
                              <w:rPr>
                                <w:rFonts w:ascii="Times New Roman"/>
                                <w:b/>
                                <w:bCs/>
                                <w:sz w:val="24"/>
                                <w:szCs w:val="24"/>
                              </w:rPr>
                              <w:t>2.9</w:t>
                            </w:r>
                            <w:r>
                              <w:rPr>
                                <w:rFonts w:ascii="Times New Roman"/>
                                <w:b/>
                                <w:bCs/>
                                <w:sz w:val="24"/>
                                <w:szCs w:val="24"/>
                              </w:rPr>
                              <w:fldChar w:fldCharType="end"/>
                            </w:r>
                            <w:r>
                              <w:rPr>
                                <w:rFonts w:ascii="Times New Roman"/>
                                <w:b/>
                                <w:bCs/>
                                <w:sz w:val="24"/>
                                <w:szCs w:val="24"/>
                              </w:rPr>
                              <w:noBreakHyphen/>
                            </w:r>
                            <w:r>
                              <w:rPr>
                                <w:rFonts w:ascii="Times New Roman"/>
                                <w:b/>
                                <w:bCs/>
                                <w:sz w:val="24"/>
                                <w:szCs w:val="24"/>
                              </w:rPr>
                              <w:fldChar w:fldCharType="begin"/>
                            </w:r>
                            <w:r>
                              <w:rPr>
                                <w:rFonts w:ascii="Times New Roman"/>
                                <w:b/>
                                <w:bCs/>
                                <w:sz w:val="24"/>
                                <w:szCs w:val="24"/>
                              </w:rPr>
                              <w:instrText xml:space="preserve"> SEQ 图 \* ARABIC \s 2 </w:instrText>
                            </w:r>
                            <w:r>
                              <w:rPr>
                                <w:rFonts w:ascii="Times New Roman"/>
                                <w:b/>
                                <w:bCs/>
                                <w:sz w:val="24"/>
                                <w:szCs w:val="24"/>
                              </w:rPr>
                              <w:fldChar w:fldCharType="separate"/>
                            </w:r>
                            <w:r>
                              <w:rPr>
                                <w:rFonts w:ascii="Times New Roman"/>
                                <w:b/>
                                <w:bCs/>
                                <w:sz w:val="24"/>
                                <w:szCs w:val="24"/>
                              </w:rPr>
                              <w:t>2</w:t>
                            </w:r>
                            <w:r>
                              <w:rPr>
                                <w:rFonts w:ascii="Times New Roman"/>
                                <w:b/>
                                <w:bCs/>
                                <w:sz w:val="24"/>
                                <w:szCs w:val="24"/>
                              </w:rPr>
                              <w:fldChar w:fldCharType="end"/>
                            </w:r>
                            <w:r>
                              <w:rPr>
                                <w:rFonts w:ascii="Times New Roman"/>
                                <w:b/>
                                <w:bCs/>
                                <w:sz w:val="24"/>
                                <w:szCs w:val="24"/>
                              </w:rPr>
                              <w:t xml:space="preserve">  全国生态功能区划图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25pt;margin-top:99.45pt;height:23.55pt;width:218pt;z-index:251683840;mso-width-relative:page;mso-height-relative:page;" filled="f" stroked="f" coordsize="21600,21600" o:gfxdata="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7NF4NwAAAAL&#10;AQAADwAAAAAAAAABACAAAAAiAAAAZHJzL2Rvd25yZXYueG1sUEsBAhQAFAAAAAgAh07iQHhgwPlR&#10;AgAAggQAAA4AAAAAAAAAAQAgAAAAKwEAAGRycy9lMm9Eb2MueG1sUEsFBgAAAAAGAAYAWQEAAO4F&#10;AAAAAA==&#10;">
                <v:fill on="f" focussize="0,0"/>
                <v:stroke on="f" weight="0.5pt"/>
                <v:imagedata o:title=""/>
                <o:lock v:ext="edit" aspectratio="f"/>
                <v:textbox>
                  <w:txbxContent>
                    <w:p w14:paraId="7CDDD7EF">
                      <w:r>
                        <w:rPr>
                          <w:rFonts w:ascii="Times New Roman"/>
                          <w:b/>
                          <w:bCs/>
                          <w:sz w:val="24"/>
                          <w:szCs w:val="24"/>
                        </w:rPr>
                        <w:t>图</w:t>
                      </w:r>
                      <w:r>
                        <w:rPr>
                          <w:rFonts w:ascii="Times New Roman"/>
                          <w:b/>
                          <w:bCs/>
                          <w:sz w:val="24"/>
                          <w:szCs w:val="24"/>
                        </w:rPr>
                        <w:fldChar w:fldCharType="begin"/>
                      </w:r>
                      <w:r>
                        <w:rPr>
                          <w:rFonts w:ascii="Times New Roman"/>
                          <w:b/>
                          <w:bCs/>
                          <w:sz w:val="24"/>
                          <w:szCs w:val="24"/>
                        </w:rPr>
                        <w:instrText xml:space="preserve"> STYLEREF 2 \s </w:instrText>
                      </w:r>
                      <w:r>
                        <w:rPr>
                          <w:rFonts w:ascii="Times New Roman"/>
                          <w:b/>
                          <w:bCs/>
                          <w:sz w:val="24"/>
                          <w:szCs w:val="24"/>
                        </w:rPr>
                        <w:fldChar w:fldCharType="separate"/>
                      </w:r>
                      <w:r>
                        <w:rPr>
                          <w:rFonts w:ascii="Times New Roman"/>
                          <w:b/>
                          <w:bCs/>
                          <w:sz w:val="24"/>
                          <w:szCs w:val="24"/>
                        </w:rPr>
                        <w:t>2.9</w:t>
                      </w:r>
                      <w:r>
                        <w:rPr>
                          <w:rFonts w:ascii="Times New Roman"/>
                          <w:b/>
                          <w:bCs/>
                          <w:sz w:val="24"/>
                          <w:szCs w:val="24"/>
                        </w:rPr>
                        <w:fldChar w:fldCharType="end"/>
                      </w:r>
                      <w:r>
                        <w:rPr>
                          <w:rFonts w:ascii="Times New Roman"/>
                          <w:b/>
                          <w:bCs/>
                          <w:sz w:val="24"/>
                          <w:szCs w:val="24"/>
                        </w:rPr>
                        <w:noBreakHyphen/>
                      </w:r>
                      <w:r>
                        <w:rPr>
                          <w:rFonts w:ascii="Times New Roman"/>
                          <w:b/>
                          <w:bCs/>
                          <w:sz w:val="24"/>
                          <w:szCs w:val="24"/>
                        </w:rPr>
                        <w:fldChar w:fldCharType="begin"/>
                      </w:r>
                      <w:r>
                        <w:rPr>
                          <w:rFonts w:ascii="Times New Roman"/>
                          <w:b/>
                          <w:bCs/>
                          <w:sz w:val="24"/>
                          <w:szCs w:val="24"/>
                        </w:rPr>
                        <w:instrText xml:space="preserve"> SEQ 图 \* ARABIC \s 2 </w:instrText>
                      </w:r>
                      <w:r>
                        <w:rPr>
                          <w:rFonts w:ascii="Times New Roman"/>
                          <w:b/>
                          <w:bCs/>
                          <w:sz w:val="24"/>
                          <w:szCs w:val="24"/>
                        </w:rPr>
                        <w:fldChar w:fldCharType="separate"/>
                      </w:r>
                      <w:r>
                        <w:rPr>
                          <w:rFonts w:ascii="Times New Roman"/>
                          <w:b/>
                          <w:bCs/>
                          <w:sz w:val="24"/>
                          <w:szCs w:val="24"/>
                        </w:rPr>
                        <w:t>2</w:t>
                      </w:r>
                      <w:r>
                        <w:rPr>
                          <w:rFonts w:ascii="Times New Roman"/>
                          <w:b/>
                          <w:bCs/>
                          <w:sz w:val="24"/>
                          <w:szCs w:val="24"/>
                        </w:rPr>
                        <w:fldChar w:fldCharType="end"/>
                      </w:r>
                      <w:r>
                        <w:rPr>
                          <w:rFonts w:ascii="Times New Roman"/>
                          <w:b/>
                          <w:bCs/>
                          <w:sz w:val="24"/>
                          <w:szCs w:val="24"/>
                        </w:rPr>
                        <w:t xml:space="preserve">  全国生态功能区划图</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6087110</wp:posOffset>
                </wp:positionH>
                <wp:positionV relativeFrom="paragraph">
                  <wp:posOffset>161290</wp:posOffset>
                </wp:positionV>
                <wp:extent cx="1014095" cy="360045"/>
                <wp:effectExtent l="309245" t="878840" r="10160" b="5715"/>
                <wp:wrapNone/>
                <wp:docPr id="92" name="矩形标注 19"/>
                <wp:cNvGraphicFramePr/>
                <a:graphic xmlns:a="http://schemas.openxmlformats.org/drawingml/2006/main">
                  <a:graphicData uri="http://schemas.microsoft.com/office/word/2010/wordprocessingShape">
                    <wps:wsp>
                      <wps:cNvSpPr/>
                      <wps:spPr>
                        <a:xfrm>
                          <a:off x="0" y="0"/>
                          <a:ext cx="1014095" cy="360045"/>
                        </a:xfrm>
                        <a:prstGeom prst="wedgeRectCallout">
                          <a:avLst>
                            <a:gd name="adj1" fmla="val -78301"/>
                            <a:gd name="adj2" fmla="val -285148"/>
                          </a:avLst>
                        </a:prstGeom>
                        <a:solidFill>
                          <a:srgbClr val="FFFFFF"/>
                        </a:solidFill>
                        <a:ln w="9525" cap="flat" cmpd="sng">
                          <a:solidFill>
                            <a:srgbClr val="000000"/>
                          </a:solidFill>
                          <a:prstDash val="solid"/>
                          <a:miter/>
                          <a:headEnd type="none" w="med" len="med"/>
                          <a:tailEnd type="none" w="med" len="med"/>
                        </a:ln>
                        <a:effectLst/>
                      </wps:spPr>
                      <wps:txbx>
                        <w:txbxContent>
                          <w:p w14:paraId="5FE33E6E">
                            <w:r>
                              <w:rPr>
                                <w:rFonts w:hint="eastAsia"/>
                              </w:rPr>
                              <w:t>本项目位置</w:t>
                            </w:r>
                          </w:p>
                        </w:txbxContent>
                      </wps:txbx>
                      <wps:bodyPr upright="1">
                        <a:noAutofit/>
                      </wps:bodyPr>
                    </wps:wsp>
                  </a:graphicData>
                </a:graphic>
              </wp:anchor>
            </w:drawing>
          </mc:Choice>
          <mc:Fallback>
            <w:pict>
              <v:shape id="矩形标注 19" o:spid="_x0000_s1026" o:spt="61" type="#_x0000_t61" style="position:absolute;left:0pt;margin-left:479.3pt;margin-top:12.7pt;height:28.35pt;width:79.85pt;z-index:251681792;mso-width-relative:page;mso-height-relative:page;" fillcolor="#FFFFFF" filled="t" stroked="t" coordsize="21600,21600" o:gfxdata="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IISst1gAAAAoBAAAPAAAAAAAA&#10;AAEAIAAAACIAAABkcnMvZG93bnJldi54bWxQSwECFAAUAAAACACHTuJAA1DY3E0CAAC5BAAADgAA&#10;AAAAAAABACAAAAAlAQAAZHJzL2Uyb0RvYy54bWxQSwUGAAAAAAYABgBZAQAA5AUAAAAA&#10;" adj="-6113,-50792">
                <v:fill on="t" focussize="0,0"/>
                <v:stroke color="#000000" joinstyle="miter"/>
                <v:imagedata o:title=""/>
                <o:lock v:ext="edit" aspectratio="f"/>
                <v:textbox>
                  <w:txbxContent>
                    <w:p w14:paraId="5FE33E6E">
                      <w:r>
                        <w:rPr>
                          <w:rFonts w:hint="eastAsia"/>
                        </w:rPr>
                        <w:t>本项目位置</w:t>
                      </w:r>
                    </w:p>
                  </w:txbxContent>
                </v:textbox>
              </v:shape>
            </w:pict>
          </mc:Fallback>
        </mc:AlternateContent>
      </w:r>
    </w:p>
    <w:p w14:paraId="078E3863">
      <w:pPr>
        <w:spacing w:line="480" w:lineRule="exact"/>
        <w:rPr>
          <w:rFonts w:ascii="Times New Roman"/>
          <w:b/>
          <w:bCs/>
        </w:rPr>
      </w:pPr>
      <w:r>
        <w:rPr>
          <w:rFonts w:ascii="Times New Roman"/>
          <w:b/>
          <w:bCs/>
        </w:rPr>
        <w:t>2.</w:t>
      </w:r>
      <w:r>
        <w:rPr>
          <w:rFonts w:hint="eastAsia" w:ascii="Times New Roman"/>
          <w:b/>
          <w:bCs/>
        </w:rPr>
        <w:t>9</w:t>
      </w:r>
      <w:r>
        <w:rPr>
          <w:rFonts w:ascii="Times New Roman"/>
          <w:b/>
          <w:bCs/>
        </w:rPr>
        <w:t>.1.3.2河北省生态功能区划</w:t>
      </w:r>
    </w:p>
    <w:p w14:paraId="55907E43">
      <w:pPr>
        <w:spacing w:line="480" w:lineRule="exact"/>
        <w:ind w:firstLine="480" w:firstLineChars="200"/>
        <w:rPr>
          <w:rFonts w:ascii="Times New Roman"/>
          <w:sz w:val="24"/>
        </w:rPr>
      </w:pPr>
      <w:r>
        <w:rPr>
          <w:rFonts w:ascii="Times New Roman"/>
          <w:sz w:val="24"/>
        </w:rPr>
        <w:t>《河北省生态功能区划》将河北省分为3个生态区、9个生态亚区、31个生态功能区。</w:t>
      </w:r>
    </w:p>
    <w:p w14:paraId="5A563363">
      <w:pPr>
        <w:spacing w:line="480" w:lineRule="exact"/>
        <w:ind w:firstLine="480" w:firstLineChars="200"/>
        <w:rPr>
          <w:rFonts w:ascii="Times New Roman"/>
          <w:sz w:val="24"/>
          <w:szCs w:val="24"/>
        </w:rPr>
      </w:pPr>
      <w:r>
        <w:rPr>
          <w:rFonts w:hint="eastAsia" w:ascii="Times New Roman"/>
          <w:sz w:val="24"/>
          <w:szCs w:val="24"/>
        </w:rPr>
        <w:t>在《河北省生态功能区划》中，项目所在区域位于秦唐海岸海域生物多样性保护生态服务功能区，该生态功能区位于本区北部，起于秦皇岛市的山海关张庄子至昌黎、乐亭，止于涧河口。行政区划秦皇岛海区包括秦皇岛市的山海关区、海港区、北戴河区、抚宁县和昌黎县的沿海区域及浅海；唐山海区包括唐山市的乐亭县、滦南县、唐海县和丰南市的沿海区域及浅海。</w:t>
      </w:r>
    </w:p>
    <w:p w14:paraId="45E130E5">
      <w:pPr>
        <w:spacing w:line="480" w:lineRule="exact"/>
        <w:ind w:firstLine="480" w:firstLineChars="200"/>
        <w:rPr>
          <w:rFonts w:ascii="Times New Roman"/>
          <w:sz w:val="24"/>
          <w:szCs w:val="24"/>
        </w:rPr>
      </w:pPr>
      <w:r>
        <w:rPr>
          <w:rFonts w:hint="eastAsia" w:ascii="Times New Roman"/>
          <w:sz w:val="24"/>
          <w:szCs w:val="24"/>
        </w:rPr>
        <w:t>该生态功能区地貌在近海陆地上表现为河谷与岗地沿海岸带横向排列以及砂质地貌，其海岸类型为基岩海岸，潮间带地貌类型繁多，主要有岩滩、砾石滩、海滩、泻湖、水下砂贝壳堤、三角洲、海蚀平台、海蚀崖、海蚀穴、连岛沙坝等类型。</w:t>
      </w:r>
    </w:p>
    <w:p w14:paraId="56603D8F">
      <w:r>
        <w:rPr>
          <w:rFonts w:ascii="Times New Roman"/>
        </w:rPr>
        <mc:AlternateContent>
          <mc:Choice Requires="wps">
            <w:drawing>
              <wp:anchor distT="0" distB="0" distL="114300" distR="114300" simplePos="0" relativeHeight="251685888" behindDoc="0" locked="0" layoutInCell="1" allowOverlap="1">
                <wp:simplePos x="0" y="0"/>
                <wp:positionH relativeFrom="margin">
                  <wp:posOffset>2836545</wp:posOffset>
                </wp:positionH>
                <wp:positionV relativeFrom="margin">
                  <wp:posOffset>4961890</wp:posOffset>
                </wp:positionV>
                <wp:extent cx="836295" cy="314325"/>
                <wp:effectExtent l="5080" t="885190" r="276225" b="6985"/>
                <wp:wrapNone/>
                <wp:docPr id="93" name="圆角矩形标注 21"/>
                <wp:cNvGraphicFramePr/>
                <a:graphic xmlns:a="http://schemas.openxmlformats.org/drawingml/2006/main">
                  <a:graphicData uri="http://schemas.microsoft.com/office/word/2010/wordprocessingShape">
                    <wps:wsp>
                      <wps:cNvSpPr>
                        <a:spLocks noChangeArrowheads="1"/>
                      </wps:cNvSpPr>
                      <wps:spPr bwMode="auto">
                        <a:xfrm>
                          <a:off x="0" y="0"/>
                          <a:ext cx="836295" cy="314325"/>
                        </a:xfrm>
                        <a:prstGeom prst="wedgeRoundRectCallout">
                          <a:avLst>
                            <a:gd name="adj1" fmla="val 80637"/>
                            <a:gd name="adj2" fmla="val -320907"/>
                            <a:gd name="adj3" fmla="val 16667"/>
                          </a:avLst>
                        </a:prstGeom>
                        <a:noFill/>
                        <a:ln w="9525">
                          <a:solidFill>
                            <a:srgbClr val="FF0000"/>
                          </a:solidFill>
                          <a:miter lim="800000"/>
                        </a:ln>
                        <a:effectLst/>
                      </wps:spPr>
                      <wps:txbx>
                        <w:txbxContent>
                          <w:p w14:paraId="7E2598B9">
                            <w:pPr>
                              <w:spacing w:beforeLines="20" w:line="240" w:lineRule="exact"/>
                              <w:ind w:firstLine="123" w:firstLineChars="49"/>
                              <w:rPr>
                                <w:b/>
                                <w:color w:val="FF0000"/>
                              </w:rPr>
                            </w:pPr>
                            <w:r>
                              <w:rPr>
                                <w:rFonts w:hint="eastAsia"/>
                                <w:b/>
                                <w:color w:val="FF0000"/>
                              </w:rPr>
                              <w:t>项目位置</w:t>
                            </w:r>
                          </w:p>
                        </w:txbxContent>
                      </wps:txbx>
                      <wps:bodyPr rot="0" vert="horz" wrap="square" lIns="0" tIns="0" rIns="0" bIns="0" anchor="t" anchorCtr="0" upright="1">
                        <a:noAutofit/>
                      </wps:bodyPr>
                    </wps:wsp>
                  </a:graphicData>
                </a:graphic>
              </wp:anchor>
            </w:drawing>
          </mc:Choice>
          <mc:Fallback>
            <w:pict>
              <v:shape id="圆角矩形标注 21" o:spid="_x0000_s1026" o:spt="62" type="#_x0000_t62" style="position:absolute;left:0pt;margin-left:223.35pt;margin-top:390.7pt;height:24.75pt;width:65.85pt;mso-position-horizontal-relative:margin;mso-position-vertical-relative:margin;z-index:251685888;mso-width-relative:page;mso-height-relative:page;" filled="f" stroked="t" coordsize="21600,21600" o:gfxdata="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i4xYfbAAAACwEAAA8AAAAA&#10;AAAAAQAgAAAAIgAAAGRycy9kb3ducmV2LnhtbFBLAQIUABQAAAAIAIdO4kBeg3v7gwIAAOQEAAAO&#10;AAAAAAAAAAEAIAAAACoBAABkcnMvZTJvRG9jLnhtbFBLBQYAAAAABgAGAFkBAAAfBgAAAAA=&#10;" adj="28218,-58516,14400">
                <v:fill on="f" focussize="0,0"/>
                <v:stroke color="#FF0000" miterlimit="8" joinstyle="miter"/>
                <v:imagedata o:title=""/>
                <o:lock v:ext="edit" aspectratio="f"/>
                <v:textbox inset="0mm,0mm,0mm,0mm">
                  <w:txbxContent>
                    <w:p w14:paraId="7E2598B9">
                      <w:pPr>
                        <w:spacing w:beforeLines="20" w:line="240" w:lineRule="exact"/>
                        <w:ind w:firstLine="123" w:firstLineChars="49"/>
                        <w:rPr>
                          <w:b/>
                          <w:color w:val="FF0000"/>
                        </w:rPr>
                      </w:pPr>
                      <w:r>
                        <w:rPr>
                          <w:rFonts w:hint="eastAsia"/>
                          <w:b/>
                          <w:color w:val="FF0000"/>
                        </w:rPr>
                        <w:t>项目位置</w:t>
                      </w:r>
                    </w:p>
                  </w:txbxContent>
                </v:textbox>
              </v:shape>
            </w:pict>
          </mc:Fallback>
        </mc:AlternateContent>
      </w:r>
      <w:r>
        <w:rPr>
          <w:rFonts w:ascii="Times New Roman"/>
        </w:rPr>
        <mc:AlternateContent>
          <mc:Choice Requires="wps">
            <w:drawing>
              <wp:anchor distT="0" distB="0" distL="114300" distR="114300" simplePos="0" relativeHeight="251684864" behindDoc="0" locked="0" layoutInCell="1" allowOverlap="1">
                <wp:simplePos x="0" y="0"/>
                <wp:positionH relativeFrom="column">
                  <wp:posOffset>3427730</wp:posOffset>
                </wp:positionH>
                <wp:positionV relativeFrom="paragraph">
                  <wp:posOffset>7249160</wp:posOffset>
                </wp:positionV>
                <wp:extent cx="1432560" cy="180975"/>
                <wp:effectExtent l="9525" t="9525" r="18415" b="12700"/>
                <wp:wrapNone/>
                <wp:docPr id="94" name="矩形 94"/>
                <wp:cNvGraphicFramePr/>
                <a:graphic xmlns:a="http://schemas.openxmlformats.org/drawingml/2006/main">
                  <a:graphicData uri="http://schemas.microsoft.com/office/word/2010/wordprocessingShape">
                    <wps:wsp>
                      <wps:cNvSpPr>
                        <a:spLocks noChangeArrowheads="1"/>
                      </wps:cNvSpPr>
                      <wps:spPr bwMode="auto">
                        <a:xfrm>
                          <a:off x="0" y="0"/>
                          <a:ext cx="1432560" cy="180975"/>
                        </a:xfrm>
                        <a:prstGeom prst="rect">
                          <a:avLst/>
                        </a:prstGeom>
                        <a:noFill/>
                        <a:ln w="190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9.9pt;margin-top:570.8pt;height:14.25pt;width:112.8pt;z-index:251684864;mso-width-relative:page;mso-height-relative:page;" filled="f" stroked="t" coordsize="21600,21600" o:gfxdata="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wAuD9oAAAANAQAADwAAAAAAAAABACAAAAAiAAAAZHJzL2Rv&#10;d25yZXYueG1sUEsBAhQAFAAAAAgAh07iQMOhpJ04AgAAVwQAAA4AAAAAAAAAAQAgAAAAKQEAAGRy&#10;cy9lMm9Eb2MueG1sUEsFBgAAAAAGAAYAWQEAANMFAAAAAA==&#10;">
                <v:fill on="f" focussize="0,0"/>
                <v:stroke weight="1.5pt" color="#FF0000" miterlimit="8" joinstyle="miter"/>
                <v:imagedata o:title=""/>
                <o:lock v:ext="edit" aspectratio="f"/>
              </v:rect>
            </w:pict>
          </mc:Fallback>
        </mc:AlternateContent>
      </w:r>
      <w:r>
        <w:rPr>
          <w:rFonts w:ascii="Times New Roman"/>
        </w:rPr>
        <mc:AlternateContent>
          <mc:Choice Requires="wps">
            <w:drawing>
              <wp:anchor distT="0" distB="0" distL="114300" distR="114300" simplePos="0" relativeHeight="251686912" behindDoc="0" locked="0" layoutInCell="1" allowOverlap="1">
                <wp:simplePos x="0" y="0"/>
                <wp:positionH relativeFrom="column">
                  <wp:posOffset>3730625</wp:posOffset>
                </wp:positionH>
                <wp:positionV relativeFrom="paragraph">
                  <wp:posOffset>4070985</wp:posOffset>
                </wp:positionV>
                <wp:extent cx="64770" cy="67310"/>
                <wp:effectExtent l="4445" t="4445" r="6985" b="17145"/>
                <wp:wrapNone/>
                <wp:docPr id="101" name="椭圆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7310"/>
                        </a:xfrm>
                        <a:prstGeom prst="ellipse">
                          <a:avLst/>
                        </a:prstGeom>
                        <a:solidFill>
                          <a:srgbClr val="FF0000"/>
                        </a:solidFill>
                        <a:ln w="9525">
                          <a:solidFill>
                            <a:srgbClr val="FF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93.75pt;margin-top:320.55pt;height:5.3pt;width:5.1pt;z-index:251686912;mso-width-relative:page;mso-height-relative:page;" fillcolor="#FF0000" filled="t" stroked="t" coordsize="21600,21600" o:gfxdata="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CusNk2AAAAAsBAAAPAAAAAAAAAAEAIAAAACIAAABkcnMv&#10;ZG93bnJldi54bWxQSwECFAAUAAAACACHTuJA0mTwmzwCAACHBAAADgAAAAAAAAABACAAAAAnAQAA&#10;ZHJzL2Uyb0RvYy54bWxQSwUGAAAAAAYABgBZAQAA1QUAAAAA&#10;">
                <v:fill on="t" focussize="0,0"/>
                <v:stroke color="#FF0000" joinstyle="round"/>
                <v:imagedata o:title=""/>
                <o:lock v:ext="edit" aspectratio="t"/>
              </v:shape>
            </w:pict>
          </mc:Fallback>
        </mc:AlternateContent>
      </w:r>
      <w:r>
        <w:rPr>
          <w:rFonts w:ascii="Times New Roman"/>
        </w:rPr>
        <w:drawing>
          <wp:inline distT="0" distB="0" distL="0" distR="0">
            <wp:extent cx="5183505" cy="7593330"/>
            <wp:effectExtent l="12700" t="12700" r="23495" b="13970"/>
            <wp:docPr id="102" name="图片 102" descr="说明: 生态区划亚区（包括海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说明: 生态区划亚区（包括海岸）1"/>
                    <pic:cNvPicPr>
                      <a:picLocks noChangeAspect="1" noChangeArrowheads="1"/>
                    </pic:cNvPicPr>
                  </pic:nvPicPr>
                  <pic:blipFill>
                    <a:blip r:embed="rId24" cstate="print">
                      <a:extLst>
                        <a:ext uri="{28A0092B-C50C-407E-A947-70E740481C1C}">
                          <a14:useLocalDpi xmlns:a14="http://schemas.microsoft.com/office/drawing/2010/main" val="0"/>
                        </a:ext>
                      </a:extLst>
                    </a:blip>
                    <a:srcRect l="3542" t="1979" r="1471"/>
                    <a:stretch>
                      <a:fillRect/>
                    </a:stretch>
                  </pic:blipFill>
                  <pic:spPr>
                    <a:xfrm>
                      <a:off x="0" y="0"/>
                      <a:ext cx="5184000" cy="7593756"/>
                    </a:xfrm>
                    <a:prstGeom prst="rect">
                      <a:avLst/>
                    </a:prstGeom>
                    <a:noFill/>
                    <a:ln w="12700">
                      <a:solidFill>
                        <a:srgbClr val="000000"/>
                      </a:solidFill>
                      <a:miter lim="800000"/>
                      <a:headEnd/>
                      <a:tailEnd/>
                    </a:ln>
                  </pic:spPr>
                </pic:pic>
              </a:graphicData>
            </a:graphic>
          </wp:inline>
        </w:drawing>
      </w:r>
    </w:p>
    <w:p w14:paraId="78C069A1">
      <w:pPr>
        <w:pStyle w:val="70"/>
        <w:jc w:val="center"/>
        <w:rPr>
          <w:b/>
          <w:bCs/>
          <w:sz w:val="24"/>
          <w:szCs w:val="24"/>
        </w:rPr>
      </w:pPr>
      <w:r>
        <w:rPr>
          <w:b/>
          <w:bCs/>
          <w:sz w:val="24"/>
          <w:szCs w:val="24"/>
        </w:rPr>
        <w:t>图2.9</w:t>
      </w:r>
      <w:r>
        <w:rPr>
          <w:b/>
          <w:bCs/>
          <w:sz w:val="24"/>
          <w:szCs w:val="24"/>
        </w:rPr>
        <w:noBreakHyphen/>
      </w:r>
      <w:r>
        <w:rPr>
          <w:b/>
          <w:bCs/>
          <w:sz w:val="24"/>
          <w:szCs w:val="24"/>
        </w:rPr>
        <w:t>3  河北生态功能区划图</w:t>
      </w:r>
    </w:p>
    <w:p w14:paraId="57131714">
      <w:pPr>
        <w:pStyle w:val="70"/>
        <w:jc w:val="center"/>
        <w:rPr>
          <w:b/>
          <w:bCs/>
          <w:sz w:val="24"/>
          <w:szCs w:val="24"/>
        </w:rPr>
      </w:pPr>
    </w:p>
    <w:p w14:paraId="620E1D38">
      <w:pPr>
        <w:pStyle w:val="70"/>
        <w:spacing w:line="360" w:lineRule="auto"/>
        <w:ind w:left="0"/>
        <w:jc w:val="both"/>
        <w:outlineLvl w:val="2"/>
        <w:rPr>
          <w:b/>
          <w:bCs/>
          <w:sz w:val="28"/>
          <w:szCs w:val="28"/>
        </w:rPr>
      </w:pPr>
      <w:r>
        <w:rPr>
          <w:rFonts w:hint="eastAsia"/>
          <w:b/>
          <w:bCs/>
          <w:sz w:val="28"/>
          <w:szCs w:val="28"/>
        </w:rPr>
        <w:t>2.9.2环境功能区划</w:t>
      </w:r>
    </w:p>
    <w:p w14:paraId="52A6F5A4">
      <w:pPr>
        <w:autoSpaceDE w:val="0"/>
        <w:autoSpaceDN w:val="0"/>
        <w:adjustRightInd w:val="0"/>
        <w:snapToGrid w:val="0"/>
        <w:spacing w:line="360" w:lineRule="auto"/>
        <w:ind w:firstLine="480" w:firstLineChars="200"/>
        <w:rPr>
          <w:rFonts w:ascii="Times New Roman"/>
          <w:sz w:val="24"/>
          <w:szCs w:val="24"/>
        </w:rPr>
      </w:pPr>
      <w:r>
        <w:rPr>
          <w:rFonts w:hint="eastAsia" w:ascii="Times New Roman"/>
          <w:sz w:val="24"/>
          <w:szCs w:val="24"/>
        </w:rPr>
        <w:t>根据《</w:t>
      </w:r>
      <w:r>
        <w:rPr>
          <w:rFonts w:ascii="Times New Roman"/>
          <w:sz w:val="24"/>
          <w:szCs w:val="24"/>
        </w:rPr>
        <w:t>曹妃甸循环经济示范区规划环境影响跟踪评价报告</w:t>
      </w:r>
      <w:r>
        <w:rPr>
          <w:rFonts w:hint="eastAsia" w:ascii="Times New Roman"/>
          <w:sz w:val="24"/>
          <w:szCs w:val="24"/>
        </w:rPr>
        <w:t>》，项目所在区域环境功能区划分：</w:t>
      </w:r>
    </w:p>
    <w:p w14:paraId="1E33AF00">
      <w:pPr>
        <w:autoSpaceDE w:val="0"/>
        <w:autoSpaceDN w:val="0"/>
        <w:adjustRightInd w:val="0"/>
        <w:snapToGrid w:val="0"/>
        <w:spacing w:line="360" w:lineRule="auto"/>
        <w:ind w:firstLine="480" w:firstLineChars="200"/>
        <w:rPr>
          <w:rFonts w:ascii="Times New Roman"/>
          <w:sz w:val="24"/>
          <w:szCs w:val="24"/>
        </w:rPr>
      </w:pPr>
      <w:r>
        <w:rPr>
          <w:rFonts w:hint="eastAsia" w:ascii="Times New Roman"/>
          <w:sz w:val="24"/>
          <w:szCs w:val="24"/>
        </w:rPr>
        <w:t>1、</w:t>
      </w:r>
      <w:r>
        <w:rPr>
          <w:rFonts w:ascii="Times New Roman"/>
          <w:sz w:val="24"/>
          <w:szCs w:val="24"/>
        </w:rPr>
        <w:t>大气环境功能区划</w:t>
      </w:r>
    </w:p>
    <w:p w14:paraId="6C85B36D">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项目所在区域大气环境功能区划为二类区，执行《环境空气质量标准》（GB3095-2012）的二类区要求。</w:t>
      </w:r>
    </w:p>
    <w:p w14:paraId="3E4FC783">
      <w:pPr>
        <w:autoSpaceDE w:val="0"/>
        <w:autoSpaceDN w:val="0"/>
        <w:adjustRightInd w:val="0"/>
        <w:snapToGrid w:val="0"/>
        <w:spacing w:line="360" w:lineRule="auto"/>
        <w:ind w:firstLine="480" w:firstLineChars="200"/>
        <w:rPr>
          <w:rFonts w:ascii="Times New Roman"/>
          <w:sz w:val="24"/>
          <w:szCs w:val="24"/>
        </w:rPr>
      </w:pPr>
      <w:r>
        <w:rPr>
          <w:rFonts w:hint="eastAsia" w:ascii="Times New Roman"/>
          <w:sz w:val="24"/>
          <w:szCs w:val="24"/>
        </w:rPr>
        <w:t>2、</w:t>
      </w:r>
      <w:r>
        <w:rPr>
          <w:rFonts w:ascii="Times New Roman"/>
          <w:sz w:val="24"/>
          <w:szCs w:val="24"/>
        </w:rPr>
        <w:t>地下水环境功能区划</w:t>
      </w:r>
    </w:p>
    <w:p w14:paraId="20E12028">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区域</w:t>
      </w:r>
      <w:r>
        <w:rPr>
          <w:rFonts w:ascii="Times New Roman"/>
          <w:sz w:val="24"/>
          <w:szCs w:val="24"/>
          <w:lang w:val="en"/>
        </w:rPr>
        <w:t>浅层地下水</w:t>
      </w:r>
      <w:r>
        <w:rPr>
          <w:rFonts w:ascii="Times New Roman"/>
          <w:sz w:val="24"/>
          <w:szCs w:val="24"/>
        </w:rPr>
        <w:t>环境质量为Ⅲ类，执行《地下水质量标准》（GB/T14848-2017）Ⅲ类标准，石油类执行《地表水环境质量标准》（GB3838-2002）Ⅲ类标准。</w:t>
      </w:r>
    </w:p>
    <w:p w14:paraId="775EDC72">
      <w:pPr>
        <w:autoSpaceDE w:val="0"/>
        <w:autoSpaceDN w:val="0"/>
        <w:adjustRightInd w:val="0"/>
        <w:snapToGrid w:val="0"/>
        <w:spacing w:line="360" w:lineRule="auto"/>
        <w:ind w:firstLine="480" w:firstLineChars="200"/>
        <w:rPr>
          <w:rFonts w:ascii="Times New Roman"/>
          <w:sz w:val="24"/>
          <w:szCs w:val="24"/>
        </w:rPr>
      </w:pPr>
      <w:r>
        <w:rPr>
          <w:rFonts w:hint="eastAsia" w:ascii="Times New Roman"/>
          <w:sz w:val="24"/>
          <w:szCs w:val="24"/>
        </w:rPr>
        <w:t>3、</w:t>
      </w:r>
      <w:r>
        <w:rPr>
          <w:rFonts w:ascii="Times New Roman"/>
          <w:sz w:val="24"/>
          <w:szCs w:val="24"/>
        </w:rPr>
        <w:t>声环境功能区划</w:t>
      </w:r>
    </w:p>
    <w:p w14:paraId="50B02CF8">
      <w:pPr>
        <w:autoSpaceDE w:val="0"/>
        <w:autoSpaceDN w:val="0"/>
        <w:adjustRightInd w:val="0"/>
        <w:snapToGrid w:val="0"/>
        <w:spacing w:line="360" w:lineRule="auto"/>
        <w:ind w:firstLine="480" w:firstLineChars="200"/>
        <w:rPr>
          <w:rFonts w:ascii="Times New Roman"/>
          <w:sz w:val="24"/>
          <w:szCs w:val="24"/>
        </w:rPr>
      </w:pPr>
      <w:r>
        <w:rPr>
          <w:rFonts w:hint="eastAsia" w:ascii="Times New Roman"/>
          <w:sz w:val="24"/>
          <w:szCs w:val="24"/>
        </w:rPr>
        <w:t>项目位于工业生产区，</w:t>
      </w:r>
      <w:r>
        <w:rPr>
          <w:rFonts w:ascii="Times New Roman"/>
          <w:sz w:val="24"/>
          <w:szCs w:val="24"/>
        </w:rPr>
        <w:t>区域环境噪声为3类功能区域，厂界噪声执行《声环境质量标准》（GB3096-2008）3类区标准。</w:t>
      </w:r>
    </w:p>
    <w:p w14:paraId="61C7C159">
      <w:pPr>
        <w:autoSpaceDE w:val="0"/>
        <w:autoSpaceDN w:val="0"/>
        <w:adjustRightInd w:val="0"/>
        <w:snapToGrid w:val="0"/>
        <w:spacing w:line="360" w:lineRule="auto"/>
        <w:ind w:firstLine="480" w:firstLineChars="200"/>
        <w:rPr>
          <w:rFonts w:ascii="Times New Roman"/>
          <w:sz w:val="24"/>
          <w:szCs w:val="24"/>
        </w:rPr>
      </w:pPr>
      <w:r>
        <w:rPr>
          <w:rFonts w:hint="eastAsia" w:ascii="Times New Roman"/>
          <w:sz w:val="24"/>
          <w:szCs w:val="24"/>
        </w:rPr>
        <w:t>4、</w:t>
      </w:r>
      <w:r>
        <w:rPr>
          <w:rFonts w:ascii="Times New Roman"/>
          <w:sz w:val="24"/>
          <w:szCs w:val="24"/>
        </w:rPr>
        <w:t>土壤环境功能区划</w:t>
      </w:r>
    </w:p>
    <w:p w14:paraId="352AEC32">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土壤环境执行《土壤环境质量 建设用地土壤污染风险管控标准（试行）》（GB36600-2018）中第二类用地筛选值限值要求、《建设用地土壤污染风险筛选值》（DB13/T5216-2020）</w:t>
      </w:r>
      <w:r>
        <w:rPr>
          <w:rFonts w:hint="eastAsia" w:ascii="Times New Roman"/>
          <w:sz w:val="24"/>
          <w:szCs w:val="24"/>
        </w:rPr>
        <w:t>。</w:t>
      </w:r>
    </w:p>
    <w:p w14:paraId="2883974A">
      <w:pPr>
        <w:autoSpaceDE w:val="0"/>
        <w:autoSpaceDN w:val="0"/>
        <w:adjustRightInd w:val="0"/>
        <w:snapToGrid w:val="0"/>
        <w:spacing w:line="360" w:lineRule="auto"/>
        <w:outlineLvl w:val="2"/>
        <w:rPr>
          <w:b/>
          <w:bCs/>
          <w:sz w:val="28"/>
          <w:szCs w:val="28"/>
        </w:rPr>
      </w:pPr>
      <w:r>
        <w:rPr>
          <w:rFonts w:ascii="Times New Roman"/>
          <w:b/>
          <w:bCs/>
          <w:sz w:val="28"/>
          <w:szCs w:val="28"/>
        </w:rPr>
        <w:t>2.9.3</w:t>
      </w:r>
      <w:r>
        <w:rPr>
          <w:rFonts w:hint="eastAsia"/>
          <w:b/>
          <w:bCs/>
          <w:sz w:val="28"/>
          <w:szCs w:val="28"/>
        </w:rPr>
        <w:t>与各生态环境保护规划的符合性分析</w:t>
      </w:r>
    </w:p>
    <w:p w14:paraId="160FC0C8">
      <w:pPr>
        <w:pStyle w:val="70"/>
      </w:pPr>
      <w:r>
        <w:rPr>
          <w:rFonts w:hint="eastAsia"/>
          <w:sz w:val="24"/>
          <w:szCs w:val="24"/>
        </w:rPr>
        <w:t>本项目与国家及地方生态环境保护规划分析结果见下表。</w:t>
      </w:r>
    </w:p>
    <w:p w14:paraId="07DDB461">
      <w:pPr>
        <w:spacing w:line="480" w:lineRule="exact"/>
        <w:jc w:val="center"/>
        <w:rPr>
          <w:rFonts w:ascii="Times New Roman"/>
          <w:b/>
          <w:bCs/>
          <w:sz w:val="24"/>
          <w:szCs w:val="24"/>
        </w:rPr>
      </w:pPr>
      <w:r>
        <w:rPr>
          <w:rFonts w:ascii="Times New Roman"/>
          <w:b/>
          <w:bCs/>
          <w:sz w:val="24"/>
          <w:szCs w:val="24"/>
        </w:rPr>
        <w:t>表2.9</w:t>
      </w:r>
      <w:r>
        <w:rPr>
          <w:rFonts w:ascii="Times New Roman"/>
          <w:b/>
          <w:bCs/>
          <w:sz w:val="24"/>
          <w:szCs w:val="24"/>
        </w:rPr>
        <w:noBreakHyphen/>
      </w:r>
      <w:r>
        <w:rPr>
          <w:rFonts w:ascii="Times New Roman"/>
          <w:b/>
          <w:bCs/>
          <w:sz w:val="24"/>
          <w:szCs w:val="24"/>
        </w:rPr>
        <w:t xml:space="preserve">1 </w:t>
      </w:r>
      <w:r>
        <w:rPr>
          <w:rFonts w:hint="eastAsia" w:ascii="Times New Roman"/>
          <w:b/>
          <w:bCs/>
          <w:sz w:val="24"/>
          <w:szCs w:val="24"/>
        </w:rPr>
        <w:t>本项目与各生态环境保护规划分析结果汇总一览表</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1"/>
        <w:gridCol w:w="1419"/>
        <w:gridCol w:w="3261"/>
        <w:gridCol w:w="2269"/>
        <w:gridCol w:w="825"/>
      </w:tblGrid>
      <w:tr w14:paraId="24BD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Align w:val="center"/>
          </w:tcPr>
          <w:p w14:paraId="04D0DD06">
            <w:pPr>
              <w:snapToGrid w:val="0"/>
              <w:spacing w:line="280" w:lineRule="exact"/>
              <w:jc w:val="center"/>
              <w:rPr>
                <w:rFonts w:ascii="Times New Roman"/>
                <w:b/>
                <w:sz w:val="21"/>
                <w:szCs w:val="21"/>
              </w:rPr>
            </w:pPr>
            <w:r>
              <w:rPr>
                <w:rFonts w:hint="eastAsia" w:ascii="Times New Roman"/>
                <w:b/>
                <w:sz w:val="21"/>
                <w:szCs w:val="21"/>
              </w:rPr>
              <w:t>序号</w:t>
            </w:r>
          </w:p>
        </w:tc>
        <w:tc>
          <w:tcPr>
            <w:tcW w:w="851" w:type="pct"/>
            <w:vAlign w:val="center"/>
          </w:tcPr>
          <w:p w14:paraId="54B875A9">
            <w:pPr>
              <w:snapToGrid w:val="0"/>
              <w:spacing w:line="280" w:lineRule="exact"/>
              <w:jc w:val="center"/>
              <w:rPr>
                <w:rFonts w:ascii="Times New Roman"/>
                <w:b/>
                <w:sz w:val="21"/>
                <w:szCs w:val="21"/>
              </w:rPr>
            </w:pPr>
            <w:r>
              <w:rPr>
                <w:rFonts w:hint="eastAsia" w:ascii="Times New Roman"/>
                <w:b/>
                <w:sz w:val="21"/>
                <w:szCs w:val="21"/>
              </w:rPr>
              <w:t>规划名称</w:t>
            </w:r>
          </w:p>
        </w:tc>
        <w:tc>
          <w:tcPr>
            <w:tcW w:w="1956" w:type="pct"/>
            <w:vAlign w:val="center"/>
          </w:tcPr>
          <w:p w14:paraId="7DD59F93">
            <w:pPr>
              <w:snapToGrid w:val="0"/>
              <w:spacing w:line="280" w:lineRule="exact"/>
              <w:jc w:val="center"/>
              <w:rPr>
                <w:rFonts w:ascii="Times New Roman"/>
                <w:b/>
                <w:sz w:val="21"/>
                <w:szCs w:val="21"/>
              </w:rPr>
            </w:pPr>
            <w:r>
              <w:rPr>
                <w:rFonts w:ascii="Times New Roman"/>
                <w:b/>
                <w:sz w:val="21"/>
                <w:szCs w:val="21"/>
              </w:rPr>
              <w:t>与项目有关的要求</w:t>
            </w:r>
          </w:p>
        </w:tc>
        <w:tc>
          <w:tcPr>
            <w:tcW w:w="1361" w:type="pct"/>
            <w:vAlign w:val="center"/>
          </w:tcPr>
          <w:p w14:paraId="29B78D92">
            <w:pPr>
              <w:snapToGrid w:val="0"/>
              <w:spacing w:line="280" w:lineRule="exact"/>
              <w:jc w:val="center"/>
              <w:rPr>
                <w:rFonts w:ascii="Times New Roman"/>
                <w:b/>
                <w:sz w:val="21"/>
                <w:szCs w:val="21"/>
              </w:rPr>
            </w:pPr>
            <w:r>
              <w:rPr>
                <w:rFonts w:ascii="Times New Roman"/>
                <w:b/>
                <w:sz w:val="21"/>
                <w:szCs w:val="21"/>
              </w:rPr>
              <w:t>项目情况</w:t>
            </w:r>
          </w:p>
        </w:tc>
        <w:tc>
          <w:tcPr>
            <w:tcW w:w="495" w:type="pct"/>
            <w:vAlign w:val="center"/>
          </w:tcPr>
          <w:p w14:paraId="5EDF955F">
            <w:pPr>
              <w:snapToGrid w:val="0"/>
              <w:spacing w:line="280" w:lineRule="exact"/>
              <w:jc w:val="center"/>
              <w:rPr>
                <w:rFonts w:ascii="Times New Roman"/>
                <w:b/>
                <w:sz w:val="21"/>
                <w:szCs w:val="21"/>
              </w:rPr>
            </w:pPr>
            <w:r>
              <w:rPr>
                <w:rFonts w:ascii="Times New Roman"/>
                <w:b/>
                <w:sz w:val="21"/>
                <w:szCs w:val="21"/>
              </w:rPr>
              <w:t>符合性</w:t>
            </w:r>
          </w:p>
        </w:tc>
      </w:tr>
      <w:tr w14:paraId="1485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restart"/>
            <w:vAlign w:val="center"/>
          </w:tcPr>
          <w:p w14:paraId="252C7A53">
            <w:pPr>
              <w:snapToGrid w:val="0"/>
              <w:spacing w:line="280" w:lineRule="exact"/>
              <w:jc w:val="center"/>
              <w:rPr>
                <w:rFonts w:ascii="Times New Roman"/>
                <w:sz w:val="21"/>
                <w:szCs w:val="21"/>
              </w:rPr>
            </w:pPr>
            <w:r>
              <w:rPr>
                <w:rFonts w:hint="eastAsia" w:ascii="Times New Roman"/>
                <w:sz w:val="21"/>
                <w:szCs w:val="21"/>
              </w:rPr>
              <w:t>1</w:t>
            </w:r>
          </w:p>
        </w:tc>
        <w:tc>
          <w:tcPr>
            <w:tcW w:w="851" w:type="pct"/>
            <w:vMerge w:val="restart"/>
            <w:vAlign w:val="center"/>
          </w:tcPr>
          <w:p w14:paraId="4CAD6D48">
            <w:pPr>
              <w:snapToGrid w:val="0"/>
              <w:spacing w:line="280" w:lineRule="exact"/>
              <w:rPr>
                <w:rFonts w:ascii="Times New Roman"/>
                <w:sz w:val="21"/>
                <w:szCs w:val="21"/>
              </w:rPr>
            </w:pPr>
            <w:r>
              <w:rPr>
                <w:rFonts w:hint="eastAsia" w:ascii="Times New Roman"/>
                <w:sz w:val="21"/>
                <w:szCs w:val="21"/>
              </w:rPr>
              <w:t>《河北省生态环境保护“十四五”规划》</w:t>
            </w:r>
          </w:p>
        </w:tc>
        <w:tc>
          <w:tcPr>
            <w:tcW w:w="1956" w:type="pct"/>
            <w:vAlign w:val="center"/>
          </w:tcPr>
          <w:p w14:paraId="7F7ED37B">
            <w:pPr>
              <w:snapToGrid w:val="0"/>
              <w:spacing w:line="280" w:lineRule="exact"/>
              <w:jc w:val="center"/>
              <w:rPr>
                <w:rFonts w:ascii="Times New Roman"/>
                <w:sz w:val="21"/>
                <w:szCs w:val="21"/>
              </w:rPr>
            </w:pPr>
            <w:r>
              <w:rPr>
                <w:rFonts w:hint="eastAsia" w:ascii="Times New Roman"/>
                <w:sz w:val="21"/>
                <w:szCs w:val="21"/>
              </w:rPr>
              <w:t>强化工业污染减排。实施差别化环境准入政策，推进涉水工业企业全面入园进区。</w:t>
            </w:r>
          </w:p>
        </w:tc>
        <w:tc>
          <w:tcPr>
            <w:tcW w:w="1361" w:type="pct"/>
            <w:vAlign w:val="center"/>
          </w:tcPr>
          <w:p w14:paraId="4FD42A8A">
            <w:pPr>
              <w:widowControl/>
              <w:spacing w:line="260" w:lineRule="exact"/>
              <w:rPr>
                <w:rFonts w:ascii="Times New Roman"/>
                <w:kern w:val="0"/>
                <w:sz w:val="21"/>
                <w:szCs w:val="21"/>
              </w:rPr>
            </w:pPr>
            <w:r>
              <w:rPr>
                <w:rFonts w:ascii="Times New Roman"/>
                <w:sz w:val="21"/>
                <w:szCs w:val="21"/>
              </w:rPr>
              <w:t>项目</w:t>
            </w:r>
            <w:r>
              <w:rPr>
                <w:rFonts w:hint="eastAsia" w:ascii="Times New Roman"/>
                <w:sz w:val="21"/>
                <w:szCs w:val="21"/>
              </w:rPr>
              <w:t>生产废水经自建污水处理设施处理达标后经市政污水管网</w:t>
            </w:r>
            <w:r>
              <w:rPr>
                <w:rFonts w:ascii="Times New Roman"/>
                <w:kern w:val="0"/>
                <w:sz w:val="21"/>
                <w:szCs w:val="21"/>
              </w:rPr>
              <w:t>送至</w:t>
            </w:r>
            <w:r>
              <w:rPr>
                <w:rFonts w:hint="eastAsia" w:ascii="Times New Roman"/>
                <w:kern w:val="0"/>
                <w:sz w:val="21"/>
                <w:szCs w:val="21"/>
              </w:rPr>
              <w:t>曹妃甸装备制造区污水处理站</w:t>
            </w:r>
            <w:r>
              <w:rPr>
                <w:rFonts w:ascii="Times New Roman"/>
                <w:kern w:val="0"/>
                <w:sz w:val="21"/>
                <w:szCs w:val="21"/>
              </w:rPr>
              <w:t>集中处理，不直接外排地表水体。</w:t>
            </w:r>
          </w:p>
        </w:tc>
        <w:tc>
          <w:tcPr>
            <w:tcW w:w="495" w:type="pct"/>
            <w:vAlign w:val="center"/>
          </w:tcPr>
          <w:p w14:paraId="1D547E2D">
            <w:pPr>
              <w:autoSpaceDE w:val="0"/>
              <w:autoSpaceDN w:val="0"/>
              <w:adjustRightInd w:val="0"/>
              <w:jc w:val="center"/>
              <w:rPr>
                <w:rFonts w:ascii="Times New Roman"/>
                <w:sz w:val="21"/>
                <w:szCs w:val="21"/>
              </w:rPr>
            </w:pPr>
            <w:r>
              <w:rPr>
                <w:rFonts w:ascii="Times New Roman"/>
                <w:sz w:val="21"/>
                <w:szCs w:val="21"/>
              </w:rPr>
              <w:t>符合</w:t>
            </w:r>
          </w:p>
        </w:tc>
      </w:tr>
      <w:tr w14:paraId="1191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3E613F58">
            <w:pPr>
              <w:snapToGrid w:val="0"/>
              <w:spacing w:line="280" w:lineRule="exact"/>
              <w:jc w:val="center"/>
              <w:rPr>
                <w:rFonts w:ascii="Times New Roman"/>
                <w:sz w:val="21"/>
                <w:szCs w:val="21"/>
              </w:rPr>
            </w:pPr>
          </w:p>
        </w:tc>
        <w:tc>
          <w:tcPr>
            <w:tcW w:w="851" w:type="pct"/>
            <w:vMerge w:val="continue"/>
            <w:vAlign w:val="center"/>
          </w:tcPr>
          <w:p w14:paraId="754A34FA">
            <w:pPr>
              <w:snapToGrid w:val="0"/>
              <w:spacing w:line="280" w:lineRule="exact"/>
              <w:rPr>
                <w:rFonts w:ascii="Times New Roman"/>
                <w:sz w:val="21"/>
                <w:szCs w:val="21"/>
              </w:rPr>
            </w:pPr>
          </w:p>
        </w:tc>
        <w:tc>
          <w:tcPr>
            <w:tcW w:w="1956" w:type="pct"/>
            <w:vAlign w:val="center"/>
          </w:tcPr>
          <w:p w14:paraId="6E14910A">
            <w:pPr>
              <w:snapToGrid w:val="0"/>
              <w:spacing w:line="280" w:lineRule="exact"/>
              <w:rPr>
                <w:rFonts w:ascii="Times New Roman"/>
                <w:sz w:val="21"/>
                <w:szCs w:val="21"/>
              </w:rPr>
            </w:pPr>
            <w:r>
              <w:rPr>
                <w:rFonts w:hint="eastAsia" w:ascii="Times New Roman"/>
                <w:sz w:val="21"/>
                <w:szCs w:val="21"/>
              </w:rPr>
              <w:t>强化工业企业土壤污染风险防控。新（改、扩）建项目涉及有毒有害物质可能造成土壤污染的，落实土壤和地下水污染防治要求。</w:t>
            </w:r>
          </w:p>
        </w:tc>
        <w:tc>
          <w:tcPr>
            <w:tcW w:w="1361" w:type="pct"/>
            <w:vAlign w:val="center"/>
          </w:tcPr>
          <w:p w14:paraId="40AC0E81">
            <w:pPr>
              <w:autoSpaceDE w:val="0"/>
              <w:autoSpaceDN w:val="0"/>
              <w:adjustRightInd w:val="0"/>
              <w:jc w:val="center"/>
              <w:rPr>
                <w:rFonts w:ascii="Times New Roman"/>
                <w:sz w:val="21"/>
                <w:szCs w:val="21"/>
              </w:rPr>
            </w:pPr>
            <w:r>
              <w:rPr>
                <w:rFonts w:hint="eastAsia" w:ascii="Times New Roman"/>
                <w:sz w:val="21"/>
                <w:szCs w:val="21"/>
              </w:rPr>
              <w:t>本项目占地为规划的工业用地，并且报告中提出了完善的土壤及地下水污染防治要求。</w:t>
            </w:r>
          </w:p>
        </w:tc>
        <w:tc>
          <w:tcPr>
            <w:tcW w:w="495" w:type="pct"/>
            <w:vAlign w:val="center"/>
          </w:tcPr>
          <w:p w14:paraId="302D8561">
            <w:pPr>
              <w:autoSpaceDE w:val="0"/>
              <w:autoSpaceDN w:val="0"/>
              <w:adjustRightInd w:val="0"/>
              <w:jc w:val="center"/>
              <w:rPr>
                <w:rFonts w:ascii="Times New Roman"/>
                <w:sz w:val="21"/>
                <w:szCs w:val="21"/>
              </w:rPr>
            </w:pPr>
            <w:r>
              <w:rPr>
                <w:rFonts w:ascii="Times New Roman"/>
                <w:sz w:val="21"/>
                <w:szCs w:val="21"/>
              </w:rPr>
              <w:t>符合</w:t>
            </w:r>
          </w:p>
        </w:tc>
      </w:tr>
      <w:tr w14:paraId="605E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restart"/>
            <w:vAlign w:val="center"/>
          </w:tcPr>
          <w:p w14:paraId="484C17EF">
            <w:pPr>
              <w:snapToGrid w:val="0"/>
              <w:spacing w:line="280" w:lineRule="exact"/>
              <w:jc w:val="center"/>
              <w:rPr>
                <w:rFonts w:ascii="Times New Roman"/>
                <w:sz w:val="21"/>
                <w:szCs w:val="21"/>
              </w:rPr>
            </w:pPr>
            <w:r>
              <w:rPr>
                <w:rFonts w:hint="eastAsia" w:ascii="Times New Roman"/>
                <w:sz w:val="21"/>
                <w:szCs w:val="21"/>
              </w:rPr>
              <w:t>2</w:t>
            </w:r>
          </w:p>
        </w:tc>
        <w:tc>
          <w:tcPr>
            <w:tcW w:w="851" w:type="pct"/>
            <w:vMerge w:val="restart"/>
            <w:vAlign w:val="center"/>
          </w:tcPr>
          <w:p w14:paraId="7B4859A5">
            <w:pPr>
              <w:snapToGrid w:val="0"/>
              <w:spacing w:line="280" w:lineRule="exact"/>
              <w:jc w:val="center"/>
              <w:rPr>
                <w:rFonts w:ascii="Times New Roman"/>
                <w:sz w:val="21"/>
                <w:szCs w:val="21"/>
              </w:rPr>
            </w:pPr>
            <w:r>
              <w:rPr>
                <w:rFonts w:hint="eastAsia" w:ascii="Times New Roman"/>
                <w:sz w:val="21"/>
                <w:szCs w:val="21"/>
              </w:rPr>
              <w:t>《河北省建设京津冀生态环境支撑区“十四五”规划》</w:t>
            </w:r>
          </w:p>
        </w:tc>
        <w:tc>
          <w:tcPr>
            <w:tcW w:w="1956" w:type="pct"/>
            <w:vAlign w:val="center"/>
          </w:tcPr>
          <w:p w14:paraId="4D46DCAB">
            <w:pPr>
              <w:snapToGrid w:val="0"/>
              <w:spacing w:line="280" w:lineRule="exact"/>
              <w:rPr>
                <w:rFonts w:ascii="Times New Roman"/>
                <w:sz w:val="21"/>
                <w:szCs w:val="21"/>
              </w:rPr>
            </w:pPr>
            <w:r>
              <w:rPr>
                <w:rFonts w:hint="eastAsia" w:ascii="Times New Roman"/>
                <w:sz w:val="21"/>
                <w:szCs w:val="21"/>
              </w:rPr>
              <w:t>完善生态环境分区管控体系。立足资源环境承载能力，落实并完善“三线一单”生态环境分区管控体系，建立动态更新和调整机制，完善环境管控单元环境准入清单，严格执行高耗能、高排放项目环境准入及管控要求。加强“三线一单”成果与国土空间规划协调联动，强化在政策制定、环境准入、园区管理、执法监管等方面的应用，推动污染物排放和生态环境质量目标联动管理。</w:t>
            </w:r>
          </w:p>
        </w:tc>
        <w:tc>
          <w:tcPr>
            <w:tcW w:w="1361" w:type="pct"/>
            <w:vAlign w:val="center"/>
          </w:tcPr>
          <w:p w14:paraId="5DF2F4F6">
            <w:pPr>
              <w:autoSpaceDE w:val="0"/>
              <w:autoSpaceDN w:val="0"/>
              <w:adjustRightInd w:val="0"/>
              <w:rPr>
                <w:rFonts w:ascii="Times New Roman"/>
                <w:sz w:val="21"/>
                <w:szCs w:val="21"/>
              </w:rPr>
            </w:pPr>
            <w:r>
              <w:rPr>
                <w:rFonts w:hint="eastAsia" w:ascii="Times New Roman"/>
                <w:sz w:val="21"/>
                <w:szCs w:val="21"/>
              </w:rPr>
              <w:t>本项目符合《曹妃甸循环经济示范区规划环境影响报告书》中“三线一单”要求，符合《关于实施“三线一单”生态环境分区管控的意见》（唐政字[2021]48号）相关要求。</w:t>
            </w:r>
          </w:p>
        </w:tc>
        <w:tc>
          <w:tcPr>
            <w:tcW w:w="495" w:type="pct"/>
            <w:vAlign w:val="center"/>
          </w:tcPr>
          <w:p w14:paraId="196B24EE">
            <w:pPr>
              <w:autoSpaceDE w:val="0"/>
              <w:autoSpaceDN w:val="0"/>
              <w:adjustRightInd w:val="0"/>
              <w:jc w:val="center"/>
              <w:rPr>
                <w:rFonts w:ascii="Times New Roman"/>
                <w:sz w:val="21"/>
                <w:szCs w:val="21"/>
              </w:rPr>
            </w:pPr>
            <w:r>
              <w:rPr>
                <w:rFonts w:ascii="Times New Roman"/>
                <w:sz w:val="21"/>
                <w:szCs w:val="21"/>
              </w:rPr>
              <w:t>符合</w:t>
            </w:r>
          </w:p>
        </w:tc>
      </w:tr>
      <w:tr w14:paraId="547F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133726F4">
            <w:pPr>
              <w:snapToGrid w:val="0"/>
              <w:spacing w:line="280" w:lineRule="exact"/>
              <w:jc w:val="center"/>
              <w:rPr>
                <w:rFonts w:ascii="Times New Roman"/>
                <w:sz w:val="21"/>
                <w:szCs w:val="21"/>
              </w:rPr>
            </w:pPr>
          </w:p>
        </w:tc>
        <w:tc>
          <w:tcPr>
            <w:tcW w:w="851" w:type="pct"/>
            <w:vMerge w:val="continue"/>
            <w:vAlign w:val="center"/>
          </w:tcPr>
          <w:p w14:paraId="6F9F983B">
            <w:pPr>
              <w:snapToGrid w:val="0"/>
              <w:spacing w:line="280" w:lineRule="exact"/>
              <w:jc w:val="center"/>
              <w:rPr>
                <w:rFonts w:ascii="Times New Roman"/>
                <w:sz w:val="21"/>
                <w:szCs w:val="21"/>
              </w:rPr>
            </w:pPr>
          </w:p>
        </w:tc>
        <w:tc>
          <w:tcPr>
            <w:tcW w:w="1956" w:type="pct"/>
            <w:vAlign w:val="center"/>
          </w:tcPr>
          <w:p w14:paraId="1DFBE9FE">
            <w:pPr>
              <w:autoSpaceDE w:val="0"/>
              <w:autoSpaceDN w:val="0"/>
              <w:adjustRightInd w:val="0"/>
              <w:rPr>
                <w:rFonts w:ascii="Times New Roman" w:cs="宋体"/>
                <w:kern w:val="0"/>
                <w:sz w:val="21"/>
                <w:szCs w:val="21"/>
              </w:rPr>
            </w:pPr>
            <w:r>
              <w:rPr>
                <w:rFonts w:hint="eastAsia" w:ascii="Times New Roman" w:cs="宋体"/>
                <w:kern w:val="0"/>
                <w:sz w:val="21"/>
                <w:szCs w:val="21"/>
              </w:rPr>
              <w:t>源头防控土壤环境安全风险。对土壤污染重点监管单位、工业园区、污水集中处理设施、固体废物处置设施周边土壤定期开展监测。</w:t>
            </w:r>
          </w:p>
        </w:tc>
        <w:tc>
          <w:tcPr>
            <w:tcW w:w="1361" w:type="pct"/>
            <w:vAlign w:val="center"/>
          </w:tcPr>
          <w:p w14:paraId="3FFB8693">
            <w:pPr>
              <w:autoSpaceDE w:val="0"/>
              <w:autoSpaceDN w:val="0"/>
              <w:adjustRightInd w:val="0"/>
              <w:jc w:val="center"/>
              <w:rPr>
                <w:rFonts w:ascii="Times New Roman"/>
                <w:sz w:val="21"/>
                <w:szCs w:val="21"/>
              </w:rPr>
            </w:pPr>
            <w:r>
              <w:rPr>
                <w:rFonts w:hint="eastAsia" w:ascii="Times New Roman"/>
                <w:sz w:val="21"/>
                <w:szCs w:val="21"/>
              </w:rPr>
              <w:t>为了及时准确的掌握本项目厂址及周围土壤环境质量状况和土壤中污染物的动态变化情况，本项目对所在区域土壤环境质量进行定期的监测，防止项目对土壤环境的污染。</w:t>
            </w:r>
          </w:p>
        </w:tc>
        <w:tc>
          <w:tcPr>
            <w:tcW w:w="495" w:type="pct"/>
            <w:vAlign w:val="center"/>
          </w:tcPr>
          <w:p w14:paraId="06C04065">
            <w:pPr>
              <w:autoSpaceDE w:val="0"/>
              <w:autoSpaceDN w:val="0"/>
              <w:adjustRightInd w:val="0"/>
              <w:jc w:val="center"/>
              <w:rPr>
                <w:rFonts w:ascii="Times New Roman"/>
                <w:sz w:val="21"/>
                <w:szCs w:val="21"/>
              </w:rPr>
            </w:pPr>
            <w:r>
              <w:rPr>
                <w:rFonts w:hint="eastAsia" w:ascii="Times New Roman"/>
                <w:sz w:val="21"/>
                <w:szCs w:val="21"/>
              </w:rPr>
              <w:t>符合</w:t>
            </w:r>
          </w:p>
        </w:tc>
      </w:tr>
      <w:tr w14:paraId="174F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restart"/>
            <w:vAlign w:val="center"/>
          </w:tcPr>
          <w:p w14:paraId="3FFE6496">
            <w:pPr>
              <w:snapToGrid w:val="0"/>
              <w:spacing w:line="280" w:lineRule="exact"/>
              <w:jc w:val="center"/>
              <w:rPr>
                <w:rFonts w:ascii="Times New Roman"/>
                <w:sz w:val="21"/>
                <w:szCs w:val="21"/>
              </w:rPr>
            </w:pPr>
            <w:r>
              <w:rPr>
                <w:rFonts w:hint="eastAsia" w:ascii="Times New Roman"/>
                <w:sz w:val="21"/>
                <w:szCs w:val="21"/>
              </w:rPr>
              <w:t>3</w:t>
            </w:r>
          </w:p>
        </w:tc>
        <w:tc>
          <w:tcPr>
            <w:tcW w:w="851" w:type="pct"/>
            <w:vMerge w:val="restart"/>
            <w:vAlign w:val="center"/>
          </w:tcPr>
          <w:p w14:paraId="3CA358C0">
            <w:pPr>
              <w:snapToGrid w:val="0"/>
              <w:spacing w:line="280" w:lineRule="exact"/>
              <w:jc w:val="center"/>
              <w:rPr>
                <w:rFonts w:ascii="Times New Roman"/>
                <w:sz w:val="21"/>
                <w:szCs w:val="21"/>
              </w:rPr>
            </w:pPr>
            <w:r>
              <w:rPr>
                <w:rFonts w:hint="eastAsia" w:ascii="Times New Roman"/>
                <w:sz w:val="21"/>
                <w:szCs w:val="21"/>
              </w:rPr>
              <w:t>《“十四五”</w:t>
            </w:r>
          </w:p>
          <w:p w14:paraId="554BC93D">
            <w:pPr>
              <w:snapToGrid w:val="0"/>
              <w:spacing w:line="280" w:lineRule="exact"/>
              <w:jc w:val="center"/>
              <w:rPr>
                <w:rFonts w:ascii="Times New Roman"/>
                <w:sz w:val="21"/>
                <w:szCs w:val="21"/>
              </w:rPr>
            </w:pPr>
            <w:r>
              <w:rPr>
                <w:rFonts w:hint="eastAsia" w:ascii="Times New Roman"/>
                <w:sz w:val="21"/>
                <w:szCs w:val="21"/>
              </w:rPr>
              <w:t>土壤、地下</w:t>
            </w:r>
          </w:p>
          <w:p w14:paraId="57EA0E55">
            <w:pPr>
              <w:snapToGrid w:val="0"/>
              <w:spacing w:line="280" w:lineRule="exact"/>
              <w:jc w:val="center"/>
              <w:rPr>
                <w:rFonts w:ascii="Times New Roman"/>
                <w:sz w:val="21"/>
                <w:szCs w:val="21"/>
              </w:rPr>
            </w:pPr>
            <w:r>
              <w:rPr>
                <w:rFonts w:hint="eastAsia" w:ascii="Times New Roman"/>
                <w:sz w:val="21"/>
                <w:szCs w:val="21"/>
              </w:rPr>
              <w:t>水和农村生</w:t>
            </w:r>
          </w:p>
          <w:p w14:paraId="4168B70C">
            <w:pPr>
              <w:snapToGrid w:val="0"/>
              <w:spacing w:line="280" w:lineRule="exact"/>
              <w:jc w:val="center"/>
              <w:rPr>
                <w:rFonts w:ascii="Times New Roman"/>
                <w:sz w:val="21"/>
                <w:szCs w:val="21"/>
              </w:rPr>
            </w:pPr>
            <w:r>
              <w:rPr>
                <w:rFonts w:hint="eastAsia" w:ascii="Times New Roman"/>
                <w:sz w:val="21"/>
                <w:szCs w:val="21"/>
              </w:rPr>
              <w:t>态环境保护</w:t>
            </w:r>
          </w:p>
          <w:p w14:paraId="60EC8421">
            <w:pPr>
              <w:snapToGrid w:val="0"/>
              <w:spacing w:line="280" w:lineRule="exact"/>
              <w:rPr>
                <w:rFonts w:ascii="Times New Roman"/>
                <w:sz w:val="21"/>
                <w:szCs w:val="21"/>
              </w:rPr>
            </w:pPr>
            <w:r>
              <w:rPr>
                <w:rFonts w:hint="eastAsia" w:ascii="Times New Roman"/>
                <w:sz w:val="21"/>
                <w:szCs w:val="21"/>
              </w:rPr>
              <w:t>规划》</w:t>
            </w:r>
          </w:p>
        </w:tc>
        <w:tc>
          <w:tcPr>
            <w:tcW w:w="1956" w:type="pct"/>
            <w:vAlign w:val="center"/>
          </w:tcPr>
          <w:p w14:paraId="1358BF28">
            <w:pPr>
              <w:snapToGrid w:val="0"/>
              <w:spacing w:line="280" w:lineRule="exact"/>
              <w:jc w:val="center"/>
              <w:rPr>
                <w:rFonts w:ascii="Times New Roman"/>
                <w:sz w:val="21"/>
                <w:szCs w:val="21"/>
              </w:rPr>
            </w:pPr>
            <w:r>
              <w:rPr>
                <w:rFonts w:hint="eastAsia" w:ascii="Times New Roman"/>
                <w:sz w:val="21"/>
                <w:szCs w:val="21"/>
              </w:rPr>
              <w:t>从事土地开发利用活动，应当采取有效措施，防止、减少土壤污染，并确保建设用地符合土壤环境质量要求。</w:t>
            </w:r>
          </w:p>
        </w:tc>
        <w:tc>
          <w:tcPr>
            <w:tcW w:w="1361" w:type="pct"/>
            <w:vAlign w:val="center"/>
          </w:tcPr>
          <w:p w14:paraId="2CCCAC5F">
            <w:pPr>
              <w:autoSpaceDE w:val="0"/>
              <w:autoSpaceDN w:val="0"/>
              <w:adjustRightInd w:val="0"/>
              <w:jc w:val="center"/>
              <w:rPr>
                <w:rFonts w:ascii="Times New Roman"/>
                <w:sz w:val="21"/>
                <w:szCs w:val="21"/>
              </w:rPr>
            </w:pPr>
            <w:r>
              <w:rPr>
                <w:rFonts w:hint="eastAsia" w:ascii="Times New Roman"/>
                <w:sz w:val="21"/>
                <w:szCs w:val="21"/>
              </w:rPr>
              <w:t>本项目采取了源头控制措施和过程防控措施，从源头上减少了污染物的排放量，同时通过采取严格的防渗措施，切断了垂直入渗进入土壤的途径，并且提出了土壤跟踪监测计划，对项目所在区域土壤环境质量进行定期的监测，防止或最大限度的减轻项目对土壤环境的污染。</w:t>
            </w:r>
          </w:p>
        </w:tc>
        <w:tc>
          <w:tcPr>
            <w:tcW w:w="495" w:type="pct"/>
            <w:vAlign w:val="center"/>
          </w:tcPr>
          <w:p w14:paraId="6712AD7F">
            <w:pPr>
              <w:autoSpaceDE w:val="0"/>
              <w:autoSpaceDN w:val="0"/>
              <w:adjustRightInd w:val="0"/>
              <w:jc w:val="center"/>
              <w:rPr>
                <w:rFonts w:ascii="Times New Roman"/>
                <w:sz w:val="21"/>
                <w:szCs w:val="21"/>
              </w:rPr>
            </w:pPr>
            <w:r>
              <w:rPr>
                <w:rFonts w:hint="eastAsia" w:ascii="Times New Roman"/>
                <w:sz w:val="21"/>
                <w:szCs w:val="21"/>
              </w:rPr>
              <w:t>符合</w:t>
            </w:r>
          </w:p>
        </w:tc>
      </w:tr>
      <w:tr w14:paraId="305D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00DA64E6">
            <w:pPr>
              <w:snapToGrid w:val="0"/>
              <w:spacing w:line="280" w:lineRule="exact"/>
              <w:jc w:val="center"/>
              <w:rPr>
                <w:rFonts w:ascii="Times New Roman"/>
                <w:sz w:val="21"/>
                <w:szCs w:val="21"/>
              </w:rPr>
            </w:pPr>
          </w:p>
        </w:tc>
        <w:tc>
          <w:tcPr>
            <w:tcW w:w="851" w:type="pct"/>
            <w:vMerge w:val="continue"/>
            <w:vAlign w:val="center"/>
          </w:tcPr>
          <w:p w14:paraId="0381CD3B">
            <w:pPr>
              <w:snapToGrid w:val="0"/>
              <w:spacing w:line="280" w:lineRule="exact"/>
              <w:jc w:val="center"/>
              <w:rPr>
                <w:rFonts w:ascii="Times New Roman"/>
                <w:sz w:val="21"/>
                <w:szCs w:val="21"/>
              </w:rPr>
            </w:pPr>
          </w:p>
        </w:tc>
        <w:tc>
          <w:tcPr>
            <w:tcW w:w="1956" w:type="pct"/>
            <w:vAlign w:val="center"/>
          </w:tcPr>
          <w:p w14:paraId="323816B4">
            <w:pPr>
              <w:snapToGrid w:val="0"/>
              <w:spacing w:line="280" w:lineRule="exact"/>
              <w:rPr>
                <w:rFonts w:ascii="Times New Roman"/>
                <w:sz w:val="21"/>
                <w:szCs w:val="21"/>
              </w:rPr>
            </w:pPr>
            <w:r>
              <w:rPr>
                <w:rFonts w:hint="eastAsia" w:ascii="Times New Roman"/>
                <w:sz w:val="21"/>
                <w:szCs w:val="21"/>
              </w:rPr>
              <w:t>督促“一企一库”“两场两区”采取防渗漏措施，按要求建设地下水环境监测井，开展地下水环境自行监测。</w:t>
            </w:r>
          </w:p>
        </w:tc>
        <w:tc>
          <w:tcPr>
            <w:tcW w:w="1361" w:type="pct"/>
            <w:vAlign w:val="center"/>
          </w:tcPr>
          <w:p w14:paraId="40EF64CD">
            <w:pPr>
              <w:autoSpaceDE w:val="0"/>
              <w:autoSpaceDN w:val="0"/>
              <w:adjustRightInd w:val="0"/>
              <w:rPr>
                <w:rFonts w:ascii="Times New Roman"/>
                <w:sz w:val="21"/>
                <w:szCs w:val="21"/>
              </w:rPr>
            </w:pPr>
            <w:r>
              <w:rPr>
                <w:rFonts w:hint="eastAsia" w:ascii="Times New Roman"/>
                <w:sz w:val="21"/>
                <w:szCs w:val="21"/>
              </w:rPr>
              <w:t>本项目污水处理站各处理池、综合站房及车间地面等按照《环境影响评价技术导则地下水环境》（HJ610-2016）中的相关标准要求采取防渗措施，在厂区内设置地下水监测井，定期进行自行监测</w:t>
            </w:r>
          </w:p>
        </w:tc>
        <w:tc>
          <w:tcPr>
            <w:tcW w:w="495" w:type="pct"/>
            <w:vAlign w:val="center"/>
          </w:tcPr>
          <w:p w14:paraId="31168322">
            <w:pPr>
              <w:autoSpaceDE w:val="0"/>
              <w:autoSpaceDN w:val="0"/>
              <w:adjustRightInd w:val="0"/>
              <w:jc w:val="center"/>
              <w:rPr>
                <w:rFonts w:ascii="Times New Roman"/>
                <w:sz w:val="21"/>
                <w:szCs w:val="21"/>
              </w:rPr>
            </w:pPr>
            <w:r>
              <w:rPr>
                <w:rFonts w:hint="eastAsia" w:ascii="Times New Roman"/>
                <w:sz w:val="21"/>
                <w:szCs w:val="21"/>
              </w:rPr>
              <w:t>符合</w:t>
            </w:r>
          </w:p>
        </w:tc>
      </w:tr>
      <w:tr w14:paraId="13A0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restart"/>
            <w:vAlign w:val="center"/>
          </w:tcPr>
          <w:p w14:paraId="3F9CF2F4">
            <w:pPr>
              <w:snapToGrid w:val="0"/>
              <w:spacing w:line="280" w:lineRule="exact"/>
              <w:jc w:val="center"/>
              <w:rPr>
                <w:rFonts w:ascii="Times New Roman"/>
                <w:sz w:val="21"/>
                <w:szCs w:val="21"/>
              </w:rPr>
            </w:pPr>
            <w:r>
              <w:rPr>
                <w:rFonts w:hint="eastAsia" w:ascii="Times New Roman"/>
                <w:sz w:val="21"/>
                <w:szCs w:val="21"/>
              </w:rPr>
              <w:t>4</w:t>
            </w:r>
          </w:p>
        </w:tc>
        <w:tc>
          <w:tcPr>
            <w:tcW w:w="851" w:type="pct"/>
            <w:vMerge w:val="restart"/>
            <w:vAlign w:val="center"/>
          </w:tcPr>
          <w:p w14:paraId="3FAB99B8">
            <w:pPr>
              <w:snapToGrid w:val="0"/>
              <w:spacing w:line="280" w:lineRule="exact"/>
              <w:jc w:val="center"/>
              <w:rPr>
                <w:rFonts w:ascii="Times New Roman"/>
                <w:sz w:val="21"/>
                <w:szCs w:val="21"/>
              </w:rPr>
            </w:pPr>
            <w:r>
              <w:rPr>
                <w:rFonts w:hint="eastAsia" w:ascii="Times New Roman"/>
                <w:sz w:val="21"/>
                <w:szCs w:val="21"/>
              </w:rPr>
              <w:t>《河北省土壤与地下水污染防治“十四五”规划》</w:t>
            </w:r>
          </w:p>
        </w:tc>
        <w:tc>
          <w:tcPr>
            <w:tcW w:w="1956" w:type="pct"/>
            <w:vAlign w:val="center"/>
          </w:tcPr>
          <w:p w14:paraId="4DDAFC7F">
            <w:pPr>
              <w:snapToGrid w:val="0"/>
              <w:spacing w:line="280" w:lineRule="exact"/>
              <w:rPr>
                <w:rFonts w:ascii="Times New Roman"/>
                <w:sz w:val="21"/>
                <w:szCs w:val="21"/>
              </w:rPr>
            </w:pPr>
            <w:r>
              <w:rPr>
                <w:rFonts w:ascii="Times New Roman"/>
                <w:kern w:val="0"/>
                <w:sz w:val="21"/>
                <w:szCs w:val="21"/>
              </w:rPr>
              <w:t>持续推进重金属减排，动态更新涉重金属重点行业企业全口径清单，按照国家部署明确重点区域执行颗粒物和重点重金属特别排放限值。</w:t>
            </w:r>
          </w:p>
        </w:tc>
        <w:tc>
          <w:tcPr>
            <w:tcW w:w="1361" w:type="pct"/>
            <w:vAlign w:val="center"/>
          </w:tcPr>
          <w:p w14:paraId="3242357D">
            <w:pPr>
              <w:autoSpaceDE w:val="0"/>
              <w:autoSpaceDN w:val="0"/>
              <w:adjustRightInd w:val="0"/>
              <w:jc w:val="center"/>
              <w:rPr>
                <w:rFonts w:ascii="Times New Roman"/>
                <w:sz w:val="21"/>
                <w:szCs w:val="21"/>
              </w:rPr>
            </w:pPr>
            <w:r>
              <w:rPr>
                <w:rFonts w:ascii="Times New Roman"/>
                <w:spacing w:val="2"/>
                <w:kern w:val="0"/>
                <w:sz w:val="21"/>
                <w:szCs w:val="21"/>
              </w:rPr>
              <w:t>本项目不属于涉重金属重点行业</w:t>
            </w:r>
          </w:p>
        </w:tc>
        <w:tc>
          <w:tcPr>
            <w:tcW w:w="495" w:type="pct"/>
            <w:vAlign w:val="center"/>
          </w:tcPr>
          <w:p w14:paraId="10B66555">
            <w:pPr>
              <w:autoSpaceDE w:val="0"/>
              <w:autoSpaceDN w:val="0"/>
              <w:adjustRightInd w:val="0"/>
              <w:jc w:val="center"/>
              <w:rPr>
                <w:rFonts w:ascii="Times New Roman"/>
                <w:sz w:val="21"/>
                <w:szCs w:val="21"/>
              </w:rPr>
            </w:pPr>
            <w:r>
              <w:rPr>
                <w:rFonts w:hint="eastAsia" w:ascii="Times New Roman"/>
                <w:sz w:val="21"/>
                <w:szCs w:val="21"/>
              </w:rPr>
              <w:t>符合</w:t>
            </w:r>
          </w:p>
        </w:tc>
      </w:tr>
      <w:tr w14:paraId="2CF6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1E9EF3CB">
            <w:pPr>
              <w:snapToGrid w:val="0"/>
              <w:spacing w:line="280" w:lineRule="exact"/>
              <w:jc w:val="center"/>
              <w:rPr>
                <w:rFonts w:ascii="Times New Roman"/>
                <w:sz w:val="21"/>
                <w:szCs w:val="21"/>
              </w:rPr>
            </w:pPr>
          </w:p>
        </w:tc>
        <w:tc>
          <w:tcPr>
            <w:tcW w:w="851" w:type="pct"/>
            <w:vMerge w:val="continue"/>
            <w:vAlign w:val="center"/>
          </w:tcPr>
          <w:p w14:paraId="2B2A193C">
            <w:pPr>
              <w:snapToGrid w:val="0"/>
              <w:spacing w:line="280" w:lineRule="exact"/>
              <w:jc w:val="center"/>
              <w:rPr>
                <w:rFonts w:ascii="Times New Roman"/>
                <w:sz w:val="21"/>
                <w:szCs w:val="21"/>
              </w:rPr>
            </w:pPr>
          </w:p>
        </w:tc>
        <w:tc>
          <w:tcPr>
            <w:tcW w:w="1956" w:type="pct"/>
            <w:vAlign w:val="center"/>
          </w:tcPr>
          <w:p w14:paraId="73540547">
            <w:pPr>
              <w:snapToGrid w:val="0"/>
              <w:spacing w:line="280" w:lineRule="exact"/>
              <w:jc w:val="center"/>
              <w:rPr>
                <w:rFonts w:ascii="Times New Roman"/>
                <w:sz w:val="21"/>
                <w:szCs w:val="21"/>
              </w:rPr>
            </w:pPr>
            <w:r>
              <w:rPr>
                <w:rFonts w:hint="eastAsia" w:ascii="Times New Roman"/>
                <w:sz w:val="21"/>
                <w:szCs w:val="21"/>
              </w:rPr>
              <w:t>按照国家统一部署，督促“一企一库”“两场两区”采取防渗漏措施，建设地下水环境监测井，开展地下水环境自行监测</w:t>
            </w:r>
          </w:p>
        </w:tc>
        <w:tc>
          <w:tcPr>
            <w:tcW w:w="1361" w:type="pct"/>
            <w:vAlign w:val="center"/>
          </w:tcPr>
          <w:p w14:paraId="44E4C6C0">
            <w:pPr>
              <w:autoSpaceDE w:val="0"/>
              <w:autoSpaceDN w:val="0"/>
              <w:adjustRightInd w:val="0"/>
              <w:jc w:val="center"/>
              <w:rPr>
                <w:rFonts w:ascii="Times New Roman"/>
                <w:sz w:val="21"/>
                <w:szCs w:val="21"/>
              </w:rPr>
            </w:pPr>
            <w:r>
              <w:rPr>
                <w:rFonts w:hint="eastAsia" w:ascii="Times New Roman"/>
                <w:sz w:val="21"/>
                <w:szCs w:val="21"/>
              </w:rPr>
              <w:t>本项目污水处理站各处理池、综合站房及车间地面等按照《环境影响评价技术导则地下水环境》（HJ610-2016）中的相关标准要求采取防渗措施，在厂区内设置地下水监测井，定期进行自行监测</w:t>
            </w:r>
          </w:p>
        </w:tc>
        <w:tc>
          <w:tcPr>
            <w:tcW w:w="495" w:type="pct"/>
            <w:vAlign w:val="center"/>
          </w:tcPr>
          <w:p w14:paraId="72CF8908">
            <w:pPr>
              <w:autoSpaceDE w:val="0"/>
              <w:autoSpaceDN w:val="0"/>
              <w:adjustRightInd w:val="0"/>
              <w:jc w:val="center"/>
              <w:rPr>
                <w:rFonts w:ascii="Times New Roman"/>
                <w:sz w:val="21"/>
                <w:szCs w:val="21"/>
              </w:rPr>
            </w:pPr>
            <w:r>
              <w:rPr>
                <w:rFonts w:hint="eastAsia" w:ascii="Times New Roman"/>
                <w:sz w:val="21"/>
                <w:szCs w:val="21"/>
              </w:rPr>
              <w:t>符合</w:t>
            </w:r>
          </w:p>
        </w:tc>
      </w:tr>
      <w:tr w14:paraId="1E58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287F60B5">
            <w:pPr>
              <w:snapToGrid w:val="0"/>
              <w:spacing w:line="280" w:lineRule="exact"/>
              <w:jc w:val="center"/>
              <w:rPr>
                <w:rFonts w:ascii="Times New Roman"/>
                <w:sz w:val="21"/>
                <w:szCs w:val="21"/>
              </w:rPr>
            </w:pPr>
          </w:p>
        </w:tc>
        <w:tc>
          <w:tcPr>
            <w:tcW w:w="851" w:type="pct"/>
            <w:vMerge w:val="continue"/>
            <w:vAlign w:val="center"/>
          </w:tcPr>
          <w:p w14:paraId="14298BA6">
            <w:pPr>
              <w:snapToGrid w:val="0"/>
              <w:spacing w:line="280" w:lineRule="exact"/>
              <w:jc w:val="center"/>
              <w:rPr>
                <w:rFonts w:ascii="Times New Roman"/>
                <w:sz w:val="21"/>
                <w:szCs w:val="21"/>
              </w:rPr>
            </w:pPr>
          </w:p>
        </w:tc>
        <w:tc>
          <w:tcPr>
            <w:tcW w:w="1956" w:type="pct"/>
            <w:vAlign w:val="center"/>
          </w:tcPr>
          <w:p w14:paraId="778AED02">
            <w:pPr>
              <w:snapToGrid w:val="0"/>
              <w:spacing w:line="280" w:lineRule="exact"/>
              <w:jc w:val="center"/>
              <w:rPr>
                <w:rFonts w:ascii="Times New Roman"/>
                <w:sz w:val="21"/>
                <w:szCs w:val="21"/>
              </w:rPr>
            </w:pPr>
            <w:r>
              <w:rPr>
                <w:rFonts w:hint="eastAsia" w:ascii="Times New Roman"/>
                <w:sz w:val="21"/>
                <w:szCs w:val="21"/>
              </w:rPr>
              <w:t>强化生态环境保护力度。坚持最严格的耕地保护制度，强化国土空间规划和用途管控，落实永久基本农田控制线。依法将符合条件的优先保护类耕地划为永久基本农田。加大优质耕地保护力度，确保耕地质量不降低</w:t>
            </w:r>
          </w:p>
        </w:tc>
        <w:tc>
          <w:tcPr>
            <w:tcW w:w="1361" w:type="pct"/>
            <w:vAlign w:val="center"/>
          </w:tcPr>
          <w:p w14:paraId="667B8625">
            <w:pPr>
              <w:autoSpaceDE w:val="0"/>
              <w:autoSpaceDN w:val="0"/>
              <w:adjustRightInd w:val="0"/>
              <w:jc w:val="center"/>
              <w:rPr>
                <w:rFonts w:ascii="Times New Roman"/>
                <w:sz w:val="21"/>
                <w:szCs w:val="21"/>
              </w:rPr>
            </w:pPr>
            <w:r>
              <w:rPr>
                <w:rFonts w:hint="eastAsia" w:ascii="Times New Roman"/>
                <w:sz w:val="21"/>
                <w:szCs w:val="21"/>
              </w:rPr>
              <w:t>本项目占地为规划的工业用地，不涉及基本农田</w:t>
            </w:r>
          </w:p>
        </w:tc>
        <w:tc>
          <w:tcPr>
            <w:tcW w:w="495" w:type="pct"/>
            <w:vAlign w:val="center"/>
          </w:tcPr>
          <w:p w14:paraId="3D7B2EEF">
            <w:pPr>
              <w:autoSpaceDE w:val="0"/>
              <w:autoSpaceDN w:val="0"/>
              <w:adjustRightInd w:val="0"/>
              <w:jc w:val="center"/>
              <w:rPr>
                <w:rFonts w:ascii="Times New Roman"/>
                <w:sz w:val="21"/>
                <w:szCs w:val="21"/>
              </w:rPr>
            </w:pPr>
            <w:r>
              <w:rPr>
                <w:rFonts w:hint="eastAsia" w:ascii="Times New Roman"/>
                <w:sz w:val="21"/>
                <w:szCs w:val="21"/>
              </w:rPr>
              <w:t>符合</w:t>
            </w:r>
          </w:p>
        </w:tc>
      </w:tr>
      <w:tr w14:paraId="71AE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restart"/>
            <w:vAlign w:val="center"/>
          </w:tcPr>
          <w:p w14:paraId="12423FEC">
            <w:pPr>
              <w:snapToGrid w:val="0"/>
              <w:spacing w:line="280" w:lineRule="exact"/>
              <w:jc w:val="center"/>
              <w:rPr>
                <w:rFonts w:ascii="Times New Roman"/>
                <w:sz w:val="21"/>
                <w:szCs w:val="21"/>
              </w:rPr>
            </w:pPr>
            <w:r>
              <w:rPr>
                <w:rFonts w:hint="eastAsia" w:ascii="Times New Roman"/>
                <w:sz w:val="21"/>
                <w:szCs w:val="21"/>
              </w:rPr>
              <w:t>5</w:t>
            </w:r>
          </w:p>
        </w:tc>
        <w:tc>
          <w:tcPr>
            <w:tcW w:w="851" w:type="pct"/>
            <w:vMerge w:val="restart"/>
            <w:vAlign w:val="center"/>
          </w:tcPr>
          <w:p w14:paraId="471C025B">
            <w:pPr>
              <w:snapToGrid w:val="0"/>
              <w:spacing w:line="280" w:lineRule="exact"/>
              <w:jc w:val="center"/>
              <w:rPr>
                <w:rFonts w:ascii="Times New Roman"/>
                <w:sz w:val="21"/>
                <w:szCs w:val="21"/>
              </w:rPr>
            </w:pPr>
            <w:r>
              <w:rPr>
                <w:rFonts w:hint="eastAsia" w:ascii="Times New Roman"/>
                <w:sz w:val="21"/>
                <w:szCs w:val="21"/>
              </w:rPr>
              <w:t>《唐山市生态环境保护“十四五”规划》</w:t>
            </w:r>
          </w:p>
        </w:tc>
        <w:tc>
          <w:tcPr>
            <w:tcW w:w="1956" w:type="pct"/>
            <w:vAlign w:val="center"/>
          </w:tcPr>
          <w:p w14:paraId="2EEF0FDF">
            <w:pPr>
              <w:snapToGrid w:val="0"/>
              <w:spacing w:line="280" w:lineRule="exact"/>
              <w:rPr>
                <w:rFonts w:ascii="Times New Roman"/>
                <w:sz w:val="21"/>
                <w:szCs w:val="21"/>
              </w:rPr>
            </w:pPr>
            <w:r>
              <w:rPr>
                <w:rFonts w:hint="eastAsia" w:ascii="Times New Roman"/>
                <w:sz w:val="21"/>
                <w:szCs w:val="21"/>
              </w:rPr>
              <w:t>实施差别化环境准入政策，推进涉水工业企业全面入园进区。新设立和升级的经济开发区、高新技术产业开发区、出口加工区等工业园区必须同步规划和建设污水集中处理设施。</w:t>
            </w:r>
          </w:p>
        </w:tc>
        <w:tc>
          <w:tcPr>
            <w:tcW w:w="1361" w:type="pct"/>
            <w:vAlign w:val="center"/>
          </w:tcPr>
          <w:p w14:paraId="30FCDD63">
            <w:pPr>
              <w:widowControl/>
              <w:spacing w:line="260" w:lineRule="exact"/>
              <w:rPr>
                <w:rFonts w:ascii="Times New Roman"/>
                <w:kern w:val="0"/>
                <w:sz w:val="21"/>
                <w:szCs w:val="21"/>
              </w:rPr>
            </w:pPr>
            <w:r>
              <w:rPr>
                <w:rFonts w:ascii="Times New Roman"/>
                <w:sz w:val="21"/>
                <w:szCs w:val="21"/>
              </w:rPr>
              <w:t>项目</w:t>
            </w:r>
            <w:r>
              <w:rPr>
                <w:rFonts w:hint="eastAsia" w:ascii="Times New Roman"/>
                <w:sz w:val="21"/>
                <w:szCs w:val="21"/>
              </w:rPr>
              <w:t>废水经自建污水处理设施处理达标后经市政污水管网排入</w:t>
            </w:r>
            <w:r>
              <w:rPr>
                <w:rFonts w:hint="eastAsia" w:ascii="Times New Roman"/>
                <w:kern w:val="0"/>
                <w:sz w:val="21"/>
                <w:szCs w:val="21"/>
              </w:rPr>
              <w:t>曹妃甸装备制造区污水处理站</w:t>
            </w:r>
            <w:r>
              <w:rPr>
                <w:rFonts w:ascii="Times New Roman"/>
                <w:kern w:val="0"/>
                <w:sz w:val="21"/>
                <w:szCs w:val="21"/>
              </w:rPr>
              <w:t>集中处理，不直接外排地表水体。</w:t>
            </w:r>
          </w:p>
        </w:tc>
        <w:tc>
          <w:tcPr>
            <w:tcW w:w="495" w:type="pct"/>
            <w:vAlign w:val="center"/>
          </w:tcPr>
          <w:p w14:paraId="383635A1">
            <w:pPr>
              <w:autoSpaceDE w:val="0"/>
              <w:autoSpaceDN w:val="0"/>
              <w:adjustRightInd w:val="0"/>
              <w:jc w:val="center"/>
              <w:rPr>
                <w:rFonts w:ascii="Times New Roman"/>
                <w:sz w:val="21"/>
                <w:szCs w:val="21"/>
              </w:rPr>
            </w:pPr>
            <w:r>
              <w:rPr>
                <w:rFonts w:hint="eastAsia" w:ascii="Times New Roman"/>
                <w:sz w:val="21"/>
                <w:szCs w:val="21"/>
              </w:rPr>
              <w:t>符合</w:t>
            </w:r>
          </w:p>
        </w:tc>
      </w:tr>
      <w:tr w14:paraId="5A1D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7FEF91A8">
            <w:pPr>
              <w:snapToGrid w:val="0"/>
              <w:spacing w:line="280" w:lineRule="exact"/>
              <w:jc w:val="center"/>
              <w:rPr>
                <w:rFonts w:ascii="Times New Roman"/>
                <w:sz w:val="21"/>
                <w:szCs w:val="21"/>
              </w:rPr>
            </w:pPr>
          </w:p>
        </w:tc>
        <w:tc>
          <w:tcPr>
            <w:tcW w:w="851" w:type="pct"/>
            <w:vMerge w:val="continue"/>
            <w:vAlign w:val="center"/>
          </w:tcPr>
          <w:p w14:paraId="49BEE5A0">
            <w:pPr>
              <w:snapToGrid w:val="0"/>
              <w:spacing w:line="280" w:lineRule="exact"/>
              <w:jc w:val="center"/>
              <w:rPr>
                <w:rFonts w:ascii="Times New Roman"/>
                <w:sz w:val="21"/>
                <w:szCs w:val="21"/>
              </w:rPr>
            </w:pPr>
          </w:p>
        </w:tc>
        <w:tc>
          <w:tcPr>
            <w:tcW w:w="1956" w:type="pct"/>
            <w:vAlign w:val="center"/>
          </w:tcPr>
          <w:p w14:paraId="7C807A30">
            <w:pPr>
              <w:snapToGrid w:val="0"/>
              <w:spacing w:line="280" w:lineRule="exact"/>
              <w:rPr>
                <w:rFonts w:ascii="Times New Roman"/>
                <w:sz w:val="21"/>
                <w:szCs w:val="21"/>
              </w:rPr>
            </w:pPr>
            <w:r>
              <w:rPr>
                <w:rFonts w:hint="eastAsia" w:ascii="Times New Roman"/>
                <w:sz w:val="21"/>
                <w:szCs w:val="21"/>
              </w:rPr>
              <w:t>严格落实环境影响评价制度，涉及有毒有害物质可能造成土壤污染的新（改、扩）建项目，依法进行环境影响评价，提出并落实防腐蚀、防渗漏、防遗撒等土壤污染防治具体措施。落实土壤和地下水污染防治要求。</w:t>
            </w:r>
          </w:p>
        </w:tc>
        <w:tc>
          <w:tcPr>
            <w:tcW w:w="1361" w:type="pct"/>
            <w:vAlign w:val="center"/>
          </w:tcPr>
          <w:p w14:paraId="46EBB72F">
            <w:pPr>
              <w:autoSpaceDE w:val="0"/>
              <w:autoSpaceDN w:val="0"/>
              <w:adjustRightInd w:val="0"/>
              <w:jc w:val="center"/>
              <w:rPr>
                <w:rFonts w:ascii="Times New Roman"/>
                <w:sz w:val="21"/>
                <w:szCs w:val="21"/>
              </w:rPr>
            </w:pPr>
            <w:r>
              <w:rPr>
                <w:rFonts w:hint="eastAsia" w:ascii="Times New Roman"/>
                <w:sz w:val="21"/>
                <w:szCs w:val="21"/>
              </w:rPr>
              <w:t>本项目采取了源头控制措施和过程防控措施，从源头上减少了污染物的排放量，同时通过采取严格的防渗措施，切断了垂直入渗进入土壤的途径，并且提出了土壤跟踪监测计划，对项目所在区域土壤环境质量进行定期的监测，防止或最大限度的减轻项目对土壤环境的污染</w:t>
            </w:r>
          </w:p>
        </w:tc>
        <w:tc>
          <w:tcPr>
            <w:tcW w:w="495" w:type="pct"/>
            <w:vAlign w:val="center"/>
          </w:tcPr>
          <w:p w14:paraId="0335A0F2">
            <w:pPr>
              <w:autoSpaceDE w:val="0"/>
              <w:autoSpaceDN w:val="0"/>
              <w:adjustRightInd w:val="0"/>
              <w:jc w:val="center"/>
              <w:rPr>
                <w:rFonts w:ascii="Times New Roman"/>
                <w:sz w:val="21"/>
                <w:szCs w:val="21"/>
              </w:rPr>
            </w:pPr>
            <w:r>
              <w:rPr>
                <w:rFonts w:hint="eastAsia" w:ascii="Times New Roman"/>
                <w:sz w:val="21"/>
                <w:szCs w:val="21"/>
              </w:rPr>
              <w:t>符合</w:t>
            </w:r>
          </w:p>
        </w:tc>
      </w:tr>
      <w:tr w14:paraId="2EBD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restart"/>
            <w:vAlign w:val="center"/>
          </w:tcPr>
          <w:p w14:paraId="088FB37D">
            <w:pPr>
              <w:snapToGrid w:val="0"/>
              <w:spacing w:line="280" w:lineRule="exact"/>
              <w:jc w:val="center"/>
              <w:rPr>
                <w:rFonts w:ascii="Times New Roman"/>
                <w:sz w:val="21"/>
                <w:szCs w:val="21"/>
              </w:rPr>
            </w:pPr>
            <w:r>
              <w:rPr>
                <w:rFonts w:hint="eastAsia" w:ascii="Times New Roman"/>
                <w:sz w:val="21"/>
                <w:szCs w:val="21"/>
              </w:rPr>
              <w:t>6</w:t>
            </w:r>
          </w:p>
        </w:tc>
        <w:tc>
          <w:tcPr>
            <w:tcW w:w="851" w:type="pct"/>
            <w:vMerge w:val="restart"/>
            <w:vAlign w:val="center"/>
          </w:tcPr>
          <w:p w14:paraId="20C64DA9">
            <w:pPr>
              <w:snapToGrid w:val="0"/>
              <w:spacing w:line="280" w:lineRule="exact"/>
              <w:jc w:val="center"/>
              <w:rPr>
                <w:rFonts w:ascii="Times New Roman"/>
                <w:sz w:val="21"/>
                <w:szCs w:val="21"/>
              </w:rPr>
            </w:pPr>
            <w:r>
              <w:rPr>
                <w:rFonts w:hint="eastAsia" w:ascii="Times New Roman"/>
                <w:sz w:val="21"/>
                <w:szCs w:val="21"/>
              </w:rPr>
              <w:t>《唐山市土壤与地下水污染防治“十四五”规划》</w:t>
            </w:r>
          </w:p>
        </w:tc>
        <w:tc>
          <w:tcPr>
            <w:tcW w:w="1956" w:type="pct"/>
            <w:vAlign w:val="center"/>
          </w:tcPr>
          <w:p w14:paraId="53C6860B">
            <w:pPr>
              <w:snapToGrid w:val="0"/>
              <w:spacing w:line="280" w:lineRule="exact"/>
              <w:rPr>
                <w:rFonts w:ascii="Times New Roman"/>
                <w:sz w:val="21"/>
                <w:szCs w:val="21"/>
              </w:rPr>
            </w:pPr>
            <w:r>
              <w:rPr>
                <w:rFonts w:hint="eastAsia" w:ascii="Times New Roman"/>
                <w:sz w:val="21"/>
                <w:szCs w:val="21"/>
              </w:rPr>
              <w:t>严格控制重点重金属污染物排放。持续推进重金属减排，动态更新涉重金属重点行业企业全口径清单，按照国家和河北省部署要求，明确重点区域执行颗粒物和重点重金属特别排放限值。</w:t>
            </w:r>
          </w:p>
        </w:tc>
        <w:tc>
          <w:tcPr>
            <w:tcW w:w="1361" w:type="pct"/>
            <w:vAlign w:val="center"/>
          </w:tcPr>
          <w:p w14:paraId="1886C0F1">
            <w:pPr>
              <w:autoSpaceDE w:val="0"/>
              <w:autoSpaceDN w:val="0"/>
              <w:adjustRightInd w:val="0"/>
              <w:jc w:val="center"/>
              <w:rPr>
                <w:rFonts w:ascii="Times New Roman"/>
                <w:sz w:val="21"/>
                <w:szCs w:val="21"/>
              </w:rPr>
            </w:pPr>
            <w:r>
              <w:rPr>
                <w:rFonts w:hint="eastAsia" w:ascii="Times New Roman"/>
                <w:sz w:val="21"/>
                <w:szCs w:val="21"/>
              </w:rPr>
              <w:t>本项目不涉及重金属污染物的排放</w:t>
            </w:r>
          </w:p>
        </w:tc>
        <w:tc>
          <w:tcPr>
            <w:tcW w:w="495" w:type="pct"/>
            <w:vAlign w:val="center"/>
          </w:tcPr>
          <w:p w14:paraId="1C17A911">
            <w:pPr>
              <w:autoSpaceDE w:val="0"/>
              <w:autoSpaceDN w:val="0"/>
              <w:adjustRightInd w:val="0"/>
              <w:jc w:val="center"/>
              <w:rPr>
                <w:rFonts w:ascii="Times New Roman"/>
                <w:sz w:val="21"/>
                <w:szCs w:val="21"/>
              </w:rPr>
            </w:pPr>
            <w:r>
              <w:rPr>
                <w:rFonts w:hint="eastAsia" w:ascii="Times New Roman"/>
                <w:sz w:val="21"/>
                <w:szCs w:val="21"/>
              </w:rPr>
              <w:t>符合</w:t>
            </w:r>
          </w:p>
        </w:tc>
      </w:tr>
      <w:tr w14:paraId="4293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337" w:type="pct"/>
            <w:vMerge w:val="continue"/>
            <w:vAlign w:val="center"/>
          </w:tcPr>
          <w:p w14:paraId="48FBFBB2">
            <w:pPr>
              <w:snapToGrid w:val="0"/>
              <w:spacing w:line="280" w:lineRule="exact"/>
              <w:jc w:val="center"/>
              <w:rPr>
                <w:rFonts w:ascii="Times New Roman"/>
                <w:sz w:val="21"/>
                <w:szCs w:val="21"/>
              </w:rPr>
            </w:pPr>
          </w:p>
        </w:tc>
        <w:tc>
          <w:tcPr>
            <w:tcW w:w="851" w:type="pct"/>
            <w:vMerge w:val="continue"/>
            <w:vAlign w:val="center"/>
          </w:tcPr>
          <w:p w14:paraId="7C2BCDD8">
            <w:pPr>
              <w:snapToGrid w:val="0"/>
              <w:spacing w:line="280" w:lineRule="exact"/>
              <w:jc w:val="center"/>
              <w:rPr>
                <w:rFonts w:ascii="Times New Roman"/>
                <w:sz w:val="21"/>
                <w:szCs w:val="21"/>
              </w:rPr>
            </w:pPr>
          </w:p>
        </w:tc>
        <w:tc>
          <w:tcPr>
            <w:tcW w:w="1956" w:type="pct"/>
            <w:vAlign w:val="center"/>
          </w:tcPr>
          <w:p w14:paraId="79ECED39">
            <w:pPr>
              <w:snapToGrid w:val="0"/>
              <w:spacing w:line="280" w:lineRule="exact"/>
              <w:rPr>
                <w:rFonts w:ascii="Times New Roman"/>
                <w:sz w:val="21"/>
                <w:szCs w:val="21"/>
              </w:rPr>
            </w:pPr>
            <w:r>
              <w:rPr>
                <w:rFonts w:hint="eastAsia" w:ascii="Times New Roman"/>
                <w:sz w:val="21"/>
                <w:szCs w:val="21"/>
              </w:rPr>
              <w:t>以国家地下水污染防治试验区建设为契机，以保护和改善地下水环境质量为核心，建立健全地下水污染防治管理体系。加强地下水污染源头预防，强化饮用水地保护，保障地下水型饮用水水源环境安全。</w:t>
            </w:r>
          </w:p>
        </w:tc>
        <w:tc>
          <w:tcPr>
            <w:tcW w:w="1361" w:type="pct"/>
            <w:vAlign w:val="center"/>
          </w:tcPr>
          <w:p w14:paraId="235648A1">
            <w:pPr>
              <w:autoSpaceDE w:val="0"/>
              <w:autoSpaceDN w:val="0"/>
              <w:adjustRightInd w:val="0"/>
              <w:jc w:val="center"/>
              <w:rPr>
                <w:rFonts w:ascii="Times New Roman"/>
                <w:sz w:val="21"/>
                <w:szCs w:val="21"/>
              </w:rPr>
            </w:pPr>
            <w:r>
              <w:rPr>
                <w:rFonts w:hint="eastAsia" w:ascii="Times New Roman"/>
                <w:sz w:val="21"/>
                <w:szCs w:val="21"/>
              </w:rPr>
              <w:t>本项目采取严格的地下水环境管理，强化源头治理、分区防渗及应急响应等措施，项目实施对地下水环境的影响可接受。</w:t>
            </w:r>
          </w:p>
        </w:tc>
        <w:tc>
          <w:tcPr>
            <w:tcW w:w="495" w:type="pct"/>
            <w:vAlign w:val="center"/>
          </w:tcPr>
          <w:p w14:paraId="356E9300">
            <w:pPr>
              <w:autoSpaceDE w:val="0"/>
              <w:autoSpaceDN w:val="0"/>
              <w:adjustRightInd w:val="0"/>
              <w:jc w:val="center"/>
              <w:rPr>
                <w:rFonts w:ascii="Times New Roman"/>
                <w:sz w:val="21"/>
                <w:szCs w:val="21"/>
              </w:rPr>
            </w:pPr>
            <w:r>
              <w:rPr>
                <w:rFonts w:hint="eastAsia" w:ascii="Times New Roman"/>
                <w:sz w:val="21"/>
                <w:szCs w:val="21"/>
              </w:rPr>
              <w:t>符合</w:t>
            </w:r>
          </w:p>
        </w:tc>
      </w:tr>
      <w:tr w14:paraId="1670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6" w:hRule="atLeast"/>
          <w:jc w:val="center"/>
        </w:trPr>
        <w:tc>
          <w:tcPr>
            <w:tcW w:w="337" w:type="pct"/>
            <w:vMerge w:val="restart"/>
            <w:vAlign w:val="center"/>
          </w:tcPr>
          <w:p w14:paraId="776FA231">
            <w:pPr>
              <w:snapToGrid w:val="0"/>
              <w:spacing w:line="280" w:lineRule="exact"/>
              <w:jc w:val="center"/>
              <w:rPr>
                <w:rFonts w:ascii="Times New Roman"/>
                <w:sz w:val="21"/>
                <w:szCs w:val="21"/>
              </w:rPr>
            </w:pPr>
            <w:r>
              <w:rPr>
                <w:rFonts w:hint="eastAsia" w:ascii="Times New Roman"/>
                <w:sz w:val="21"/>
                <w:szCs w:val="21"/>
              </w:rPr>
              <w:t>7</w:t>
            </w:r>
          </w:p>
        </w:tc>
        <w:tc>
          <w:tcPr>
            <w:tcW w:w="851" w:type="pct"/>
            <w:vMerge w:val="restart"/>
            <w:vAlign w:val="center"/>
          </w:tcPr>
          <w:p w14:paraId="0A98BDF5">
            <w:pPr>
              <w:snapToGrid w:val="0"/>
              <w:spacing w:line="280" w:lineRule="exact"/>
              <w:jc w:val="center"/>
              <w:rPr>
                <w:rFonts w:ascii="Times New Roman"/>
                <w:sz w:val="21"/>
                <w:szCs w:val="21"/>
              </w:rPr>
            </w:pPr>
            <w:r>
              <w:rPr>
                <w:rFonts w:hint="eastAsia" w:ascii="Times New Roman"/>
                <w:sz w:val="21"/>
                <w:szCs w:val="21"/>
              </w:rPr>
              <w:t>《曹妃甸区生态环境保护“十四五”规划》</w:t>
            </w:r>
          </w:p>
        </w:tc>
        <w:tc>
          <w:tcPr>
            <w:tcW w:w="3261" w:type="dxa"/>
            <w:vAlign w:val="center"/>
          </w:tcPr>
          <w:p w14:paraId="70BF1BA3">
            <w:pPr>
              <w:kinsoku w:val="0"/>
              <w:overflowPunct w:val="0"/>
              <w:autoSpaceDE w:val="0"/>
              <w:autoSpaceDN w:val="0"/>
              <w:adjustRightInd w:val="0"/>
              <w:spacing w:line="260" w:lineRule="exact"/>
              <w:jc w:val="left"/>
              <w:rPr>
                <w:rFonts w:ascii="Times New Roman"/>
                <w:sz w:val="21"/>
                <w:szCs w:val="21"/>
              </w:rPr>
            </w:pPr>
            <w:r>
              <w:rPr>
                <w:rFonts w:ascii="Times New Roman"/>
                <w:kern w:val="0"/>
                <w:sz w:val="21"/>
                <w:szCs w:val="21"/>
              </w:rPr>
              <w:t>强化工业企业土壤污染风险防控严格落实环境影响评价制度，涉及有毒有害物质可能造成土壤污染的新（改、扩）建项目，依法进行环境影响评价，提出并落实防腐蚀、防渗漏、防遗撒等土壤污染防治具体措施。</w:t>
            </w:r>
          </w:p>
        </w:tc>
        <w:tc>
          <w:tcPr>
            <w:tcW w:w="2269" w:type="dxa"/>
            <w:vAlign w:val="center"/>
          </w:tcPr>
          <w:p w14:paraId="45A49CEF">
            <w:pPr>
              <w:adjustRightInd w:val="0"/>
              <w:snapToGrid w:val="0"/>
              <w:jc w:val="left"/>
              <w:rPr>
                <w:rFonts w:ascii="Times New Roman"/>
                <w:sz w:val="21"/>
                <w:szCs w:val="21"/>
              </w:rPr>
            </w:pPr>
            <w:r>
              <w:rPr>
                <w:rFonts w:ascii="Times New Roman"/>
                <w:spacing w:val="2"/>
                <w:kern w:val="0"/>
                <w:sz w:val="21"/>
                <w:szCs w:val="21"/>
              </w:rPr>
              <w:t>本项目采取源头控制和过程防控措施，从源头上减少污染物的排放量，同时通过采取严格的防腐防渗措施，切断垂直入渗土壤的途径。</w:t>
            </w:r>
          </w:p>
        </w:tc>
        <w:tc>
          <w:tcPr>
            <w:tcW w:w="825" w:type="dxa"/>
            <w:vAlign w:val="center"/>
          </w:tcPr>
          <w:p w14:paraId="07793E77">
            <w:pPr>
              <w:kinsoku w:val="0"/>
              <w:overflowPunct w:val="0"/>
              <w:autoSpaceDE w:val="0"/>
              <w:autoSpaceDN w:val="0"/>
              <w:adjustRightInd w:val="0"/>
              <w:spacing w:line="260" w:lineRule="exact"/>
              <w:jc w:val="center"/>
              <w:rPr>
                <w:rFonts w:ascii="Times New Roman"/>
                <w:sz w:val="21"/>
                <w:szCs w:val="21"/>
              </w:rPr>
            </w:pPr>
            <w:r>
              <w:rPr>
                <w:rFonts w:ascii="Times New Roman"/>
                <w:sz w:val="21"/>
                <w:szCs w:val="21"/>
              </w:rPr>
              <w:t>符合</w:t>
            </w:r>
          </w:p>
        </w:tc>
      </w:tr>
      <w:tr w14:paraId="316F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4" w:hRule="atLeast"/>
          <w:jc w:val="center"/>
        </w:trPr>
        <w:tc>
          <w:tcPr>
            <w:tcW w:w="337" w:type="pct"/>
            <w:vMerge w:val="continue"/>
            <w:vAlign w:val="center"/>
          </w:tcPr>
          <w:p w14:paraId="55ED30CF">
            <w:pPr>
              <w:snapToGrid w:val="0"/>
              <w:spacing w:line="280" w:lineRule="exact"/>
              <w:jc w:val="center"/>
              <w:rPr>
                <w:rFonts w:ascii="Times New Roman"/>
                <w:sz w:val="21"/>
                <w:szCs w:val="21"/>
              </w:rPr>
            </w:pPr>
          </w:p>
        </w:tc>
        <w:tc>
          <w:tcPr>
            <w:tcW w:w="851" w:type="pct"/>
            <w:vMerge w:val="continue"/>
            <w:vAlign w:val="center"/>
          </w:tcPr>
          <w:p w14:paraId="6E83BDF7">
            <w:pPr>
              <w:snapToGrid w:val="0"/>
              <w:spacing w:line="280" w:lineRule="exact"/>
              <w:jc w:val="center"/>
              <w:rPr>
                <w:rFonts w:ascii="Times New Roman"/>
                <w:sz w:val="21"/>
                <w:szCs w:val="21"/>
              </w:rPr>
            </w:pPr>
          </w:p>
        </w:tc>
        <w:tc>
          <w:tcPr>
            <w:tcW w:w="3261" w:type="dxa"/>
            <w:vAlign w:val="center"/>
          </w:tcPr>
          <w:p w14:paraId="0E8DF6A7">
            <w:pPr>
              <w:kinsoku w:val="0"/>
              <w:overflowPunct w:val="0"/>
              <w:autoSpaceDE w:val="0"/>
              <w:autoSpaceDN w:val="0"/>
              <w:adjustRightInd w:val="0"/>
              <w:spacing w:line="260" w:lineRule="exact"/>
              <w:jc w:val="left"/>
              <w:rPr>
                <w:rFonts w:ascii="Times New Roman"/>
                <w:sz w:val="21"/>
                <w:szCs w:val="21"/>
              </w:rPr>
            </w:pPr>
            <w:r>
              <w:rPr>
                <w:rFonts w:ascii="Times New Roman"/>
                <w:kern w:val="0"/>
                <w:sz w:val="21"/>
                <w:szCs w:val="21"/>
              </w:rPr>
              <w:t>严格控制重金属排放总量新（改、扩）建涉重金属重点行业建设项目实施污染物排放减量替代。</w:t>
            </w:r>
          </w:p>
        </w:tc>
        <w:tc>
          <w:tcPr>
            <w:tcW w:w="2269" w:type="dxa"/>
            <w:vAlign w:val="center"/>
          </w:tcPr>
          <w:p w14:paraId="446A4D89">
            <w:pPr>
              <w:adjustRightInd w:val="0"/>
              <w:snapToGrid w:val="0"/>
              <w:jc w:val="left"/>
              <w:rPr>
                <w:rFonts w:ascii="Times New Roman"/>
                <w:sz w:val="21"/>
                <w:szCs w:val="21"/>
              </w:rPr>
            </w:pPr>
            <w:r>
              <w:rPr>
                <w:rFonts w:ascii="Times New Roman"/>
                <w:spacing w:val="2"/>
                <w:kern w:val="0"/>
                <w:sz w:val="21"/>
                <w:szCs w:val="21"/>
              </w:rPr>
              <w:t>项目不属于涉重金属重点行业建设项目</w:t>
            </w:r>
          </w:p>
        </w:tc>
        <w:tc>
          <w:tcPr>
            <w:tcW w:w="825" w:type="dxa"/>
            <w:vAlign w:val="center"/>
          </w:tcPr>
          <w:p w14:paraId="58D24AE5">
            <w:pPr>
              <w:kinsoku w:val="0"/>
              <w:overflowPunct w:val="0"/>
              <w:autoSpaceDE w:val="0"/>
              <w:autoSpaceDN w:val="0"/>
              <w:adjustRightInd w:val="0"/>
              <w:spacing w:line="260" w:lineRule="exact"/>
              <w:jc w:val="center"/>
              <w:rPr>
                <w:rFonts w:ascii="Times New Roman"/>
                <w:sz w:val="21"/>
                <w:szCs w:val="21"/>
              </w:rPr>
            </w:pPr>
            <w:r>
              <w:rPr>
                <w:rFonts w:ascii="Times New Roman"/>
                <w:sz w:val="21"/>
                <w:szCs w:val="21"/>
              </w:rPr>
              <w:t>符合</w:t>
            </w:r>
          </w:p>
        </w:tc>
      </w:tr>
    </w:tbl>
    <w:p w14:paraId="040E2191">
      <w:pPr>
        <w:spacing w:line="360" w:lineRule="auto"/>
        <w:outlineLvl w:val="2"/>
        <w:rPr>
          <w:rFonts w:ascii="Times New Roman"/>
          <w:b/>
          <w:bCs/>
          <w:sz w:val="28"/>
          <w:szCs w:val="28"/>
        </w:rPr>
      </w:pPr>
      <w:r>
        <w:rPr>
          <w:rFonts w:ascii="Times New Roman"/>
          <w:b/>
          <w:bCs/>
          <w:sz w:val="28"/>
          <w:szCs w:val="28"/>
        </w:rPr>
        <w:t>2.9.4</w:t>
      </w:r>
      <w:r>
        <w:rPr>
          <w:rFonts w:hint="eastAsia" w:ascii="Times New Roman"/>
          <w:b/>
          <w:bCs/>
          <w:sz w:val="28"/>
          <w:szCs w:val="28"/>
        </w:rPr>
        <w:t>曹妃甸循环经济示范区规划</w:t>
      </w:r>
    </w:p>
    <w:p w14:paraId="3B42E0D0">
      <w:pPr>
        <w:spacing w:line="360" w:lineRule="auto"/>
        <w:rPr>
          <w:rFonts w:ascii="Times New Roman"/>
          <w:b/>
          <w:bCs/>
          <w:sz w:val="24"/>
          <w:szCs w:val="24"/>
        </w:rPr>
      </w:pPr>
      <w:r>
        <w:rPr>
          <w:rFonts w:hint="eastAsia" w:ascii="Times New Roman"/>
          <w:b/>
          <w:bCs/>
          <w:sz w:val="24"/>
          <w:szCs w:val="24"/>
        </w:rPr>
        <w:t>2.9.4.1园区概况</w:t>
      </w:r>
    </w:p>
    <w:p w14:paraId="157FCABE">
      <w:pPr>
        <w:spacing w:line="360" w:lineRule="auto"/>
        <w:ind w:firstLine="480" w:firstLineChars="200"/>
        <w:rPr>
          <w:rFonts w:ascii="Times New Roman"/>
          <w:sz w:val="24"/>
          <w:szCs w:val="24"/>
        </w:rPr>
      </w:pPr>
      <w:r>
        <w:rPr>
          <w:rFonts w:hint="eastAsia" w:ascii="Times New Roman"/>
          <w:sz w:val="24"/>
          <w:szCs w:val="24"/>
        </w:rPr>
        <w:t>2003年，首钢决定迁址曹妃甸。2005年2月，国家发改委正式批复首钢搬迁方案。同年10月，曹妃甸循环经济示范区被列为首批国家循环经济试点园区。</w:t>
      </w:r>
    </w:p>
    <w:p w14:paraId="70F1B766">
      <w:pPr>
        <w:spacing w:line="360" w:lineRule="auto"/>
        <w:ind w:firstLine="480" w:firstLineChars="200"/>
        <w:rPr>
          <w:rFonts w:ascii="Times New Roman"/>
          <w:sz w:val="24"/>
          <w:szCs w:val="24"/>
        </w:rPr>
      </w:pPr>
      <w:r>
        <w:rPr>
          <w:rFonts w:hint="eastAsia" w:ascii="Times New Roman"/>
          <w:sz w:val="24"/>
          <w:szCs w:val="24"/>
        </w:rPr>
        <w:t>2008年1月，国务院批准《曹妃甸循环经济示范区产业发展总体规划》2009年，《曹妃甸循环经济示范区产业发展总体规划环境影响报告书》通过环保部审查。根据《关于加强产业园区规划环境影响评价有关工作的通知》（环发〔2011〕14号），规划环评满五年以上的产业园区，应开展跟踪环境影响评价工作。2017年4月，曹妃甸区人民政府委托北京清华同衡规划设计研究院有限公司牵头，开展《曹妃甸循环经济示范区规划环境影响跟踪评价》，落实环保部产业园区规划环评清单式管理试点工作。2019年3月29日生态环境部出具了关于曹妃甸循环经济示范区规划环境影响跟踪评价工作有关意见的函（环办环评函〔2019〕334）。</w:t>
      </w:r>
    </w:p>
    <w:p w14:paraId="138760C4">
      <w:pPr>
        <w:spacing w:line="360" w:lineRule="auto"/>
        <w:ind w:firstLine="480" w:firstLineChars="200"/>
        <w:rPr>
          <w:rFonts w:ascii="Times New Roman"/>
          <w:sz w:val="24"/>
          <w:szCs w:val="24"/>
        </w:rPr>
      </w:pPr>
      <w:r>
        <w:rPr>
          <w:rFonts w:hint="eastAsia" w:ascii="Times New Roman"/>
          <w:sz w:val="24"/>
          <w:szCs w:val="24"/>
        </w:rPr>
        <w:t>曹妃甸循环经济示范区规划总面积</w:t>
      </w:r>
      <w:r>
        <w:rPr>
          <w:rFonts w:ascii="Times New Roman"/>
          <w:sz w:val="24"/>
          <w:szCs w:val="24"/>
        </w:rPr>
        <w:t>380km</w:t>
      </w:r>
      <w:r>
        <w:rPr>
          <w:rFonts w:ascii="Times New Roman"/>
          <w:sz w:val="24"/>
          <w:szCs w:val="24"/>
          <w:vertAlign w:val="superscript"/>
        </w:rPr>
        <w:t>2</w:t>
      </w:r>
      <w:r>
        <w:rPr>
          <w:rFonts w:hint="eastAsia" w:ascii="Times New Roman"/>
          <w:sz w:val="24"/>
          <w:szCs w:val="24"/>
        </w:rPr>
        <w:t>，其中陆域面积约</w:t>
      </w:r>
      <w:r>
        <w:rPr>
          <w:rFonts w:ascii="Times New Roman"/>
          <w:sz w:val="24"/>
          <w:szCs w:val="24"/>
        </w:rPr>
        <w:t>310km</w:t>
      </w:r>
      <w:r>
        <w:rPr>
          <w:rFonts w:ascii="Times New Roman"/>
          <w:sz w:val="24"/>
          <w:szCs w:val="24"/>
          <w:vertAlign w:val="superscript"/>
        </w:rPr>
        <w:t>2</w:t>
      </w:r>
      <w:r>
        <w:rPr>
          <w:rFonts w:hint="eastAsia" w:ascii="Times New Roman"/>
          <w:sz w:val="24"/>
          <w:szCs w:val="24"/>
        </w:rPr>
        <w:t>，水域面积</w:t>
      </w:r>
      <w:r>
        <w:rPr>
          <w:rFonts w:ascii="Times New Roman"/>
          <w:sz w:val="24"/>
          <w:szCs w:val="24"/>
        </w:rPr>
        <w:t>70km</w:t>
      </w:r>
      <w:r>
        <w:rPr>
          <w:rFonts w:ascii="Times New Roman"/>
          <w:sz w:val="24"/>
          <w:szCs w:val="24"/>
          <w:vertAlign w:val="superscript"/>
        </w:rPr>
        <w:t>2</w:t>
      </w:r>
      <w:r>
        <w:rPr>
          <w:rFonts w:hint="eastAsia" w:ascii="Times New Roman"/>
          <w:sz w:val="24"/>
          <w:szCs w:val="24"/>
        </w:rPr>
        <w:t>，以精品钢铁项目、大型炼化一体化装置和港口物流作为核心主导产业，以现代港口物流、钢铁、石化、装备制造等四大产业为主导，电力、海水淡化、建材、环保等关联产业循环配套，信息、金融、商贸、旅游等现代服务业协调发展的产业体系，工业区现状已形成</w:t>
      </w:r>
      <w:r>
        <w:rPr>
          <w:rFonts w:ascii="Times New Roman"/>
          <w:sz w:val="24"/>
          <w:szCs w:val="24"/>
        </w:rPr>
        <w:t>1</w:t>
      </w:r>
      <w:r>
        <w:rPr>
          <w:rFonts w:hint="eastAsia" w:ascii="Times New Roman"/>
          <w:sz w:val="24"/>
          <w:szCs w:val="24"/>
        </w:rPr>
        <w:t>区（临港商务区）</w:t>
      </w:r>
      <w:r>
        <w:rPr>
          <w:rFonts w:ascii="Times New Roman"/>
          <w:sz w:val="24"/>
          <w:szCs w:val="24"/>
        </w:rPr>
        <w:t>8</w:t>
      </w:r>
      <w:r>
        <w:rPr>
          <w:rFonts w:hint="eastAsia" w:ascii="Times New Roman"/>
          <w:sz w:val="24"/>
          <w:szCs w:val="24"/>
        </w:rPr>
        <w:t>园（石化基地、钢电园区、装备园区、新兴产业园区、中日生态园区、中日韩循环经济区（即再生园区）、港口物流园区、综合保税区）产业布局。</w:t>
      </w:r>
    </w:p>
    <w:p w14:paraId="296CC4DE">
      <w:pPr>
        <w:spacing w:line="360" w:lineRule="auto"/>
        <w:ind w:firstLine="480" w:firstLineChars="200"/>
        <w:rPr>
          <w:rFonts w:ascii="Times New Roman"/>
          <w:spacing w:val="5"/>
          <w:sz w:val="24"/>
          <w:szCs w:val="24"/>
        </w:rPr>
      </w:pPr>
      <w:r>
        <w:rPr>
          <w:rFonts w:hint="eastAsia" w:ascii="Times New Roman"/>
          <w:sz w:val="24"/>
          <w:szCs w:val="24"/>
        </w:rPr>
        <w:t>装备园区：北起评价范围北边界，南至三号港池南边界，西至通岛路，东至国安路。依托曹妃甸精品钢铁基地、深水大港及唐山市深厚的工业基础，重点发展以修造船为主、特种船舶与海工设备制造的船舶产业，汽车装配、零部件加工及整车制造，高端智能装备及配件制造，8282能环保设备，优质木材深加工及家具制造等主导及关联产业。园区临近临港商务区地区，禁止新增布局高污染高排放类型</w:t>
      </w:r>
      <w:r>
        <w:rPr>
          <w:rFonts w:hint="eastAsia" w:ascii="Times New Roman"/>
          <w:spacing w:val="5"/>
          <w:sz w:val="24"/>
          <w:szCs w:val="24"/>
        </w:rPr>
        <w:t>。</w:t>
      </w:r>
    </w:p>
    <w:p w14:paraId="48B4C95B">
      <w:pPr>
        <w:spacing w:line="360" w:lineRule="auto"/>
        <w:ind w:firstLine="482"/>
        <w:rPr>
          <w:rFonts w:ascii="Times New Roman"/>
          <w:sz w:val="24"/>
          <w:szCs w:val="24"/>
        </w:rPr>
      </w:pPr>
      <w:r>
        <w:rPr>
          <w:rFonts w:ascii="Times New Roman"/>
          <w:sz w:val="24"/>
          <w:szCs w:val="24"/>
        </w:rPr>
        <w:t>本项目厂区位于曹妃甸循环经济示范区装备园区，</w:t>
      </w:r>
      <w:r>
        <w:rPr>
          <w:rFonts w:ascii="Times New Roman"/>
          <w:snapToGrid w:val="0"/>
          <w:sz w:val="24"/>
          <w:szCs w:val="24"/>
        </w:rPr>
        <w:t>所属行业为</w:t>
      </w:r>
      <w:r>
        <w:rPr>
          <w:rFonts w:hint="eastAsia" w:ascii="Times New Roman" w:cs="宋体"/>
          <w:kern w:val="0"/>
          <w:sz w:val="24"/>
          <w:szCs w:val="24"/>
        </w:rPr>
        <w:t>C</w:t>
      </w:r>
      <w:r>
        <w:rPr>
          <w:rFonts w:ascii="Times New Roman" w:cs="宋体"/>
          <w:kern w:val="0"/>
          <w:sz w:val="24"/>
          <w:szCs w:val="24"/>
        </w:rPr>
        <w:t>3434</w:t>
      </w:r>
      <w:r>
        <w:rPr>
          <w:rFonts w:hint="eastAsia" w:ascii="Times New Roman" w:cs="宋体"/>
          <w:kern w:val="0"/>
          <w:sz w:val="24"/>
          <w:szCs w:val="24"/>
        </w:rPr>
        <w:t>连续搬运设备制造</w:t>
      </w:r>
      <w:r>
        <w:rPr>
          <w:rFonts w:ascii="Times New Roman"/>
          <w:snapToGrid w:val="0"/>
          <w:sz w:val="24"/>
          <w:szCs w:val="24"/>
        </w:rPr>
        <w:t>，符合园区规划，本次项目</w:t>
      </w:r>
      <w:r>
        <w:rPr>
          <w:rFonts w:hint="eastAsia" w:ascii="Times New Roman"/>
          <w:snapToGrid w:val="0"/>
          <w:sz w:val="24"/>
          <w:szCs w:val="24"/>
        </w:rPr>
        <w:t>为</w:t>
      </w:r>
      <w:r>
        <w:rPr>
          <w:rFonts w:ascii="Times New Roman"/>
          <w:snapToGrid w:val="0"/>
          <w:sz w:val="24"/>
          <w:szCs w:val="24"/>
        </w:rPr>
        <w:t>满足市场需求，</w:t>
      </w:r>
      <w:r>
        <w:rPr>
          <w:rFonts w:hint="eastAsia" w:ascii="Times New Roman"/>
          <w:snapToGrid w:val="0"/>
          <w:sz w:val="24"/>
          <w:szCs w:val="24"/>
        </w:rPr>
        <w:t>项目建设后形成年产数字孪生智能输送机4万米规模。</w:t>
      </w:r>
      <w:r>
        <w:rPr>
          <w:rFonts w:hint="eastAsia" w:ascii="Times New Roman"/>
          <w:sz w:val="24"/>
          <w:szCs w:val="24"/>
        </w:rPr>
        <w:t>园区已同意本次项目实施的意见，项目符合园区产业规划布局要求。</w:t>
      </w:r>
    </w:p>
    <w:p w14:paraId="35161487">
      <w:pPr>
        <w:keepNext/>
        <w:keepLines/>
        <w:numPr>
          <w:ilvl w:val="3"/>
          <w:numId w:val="0"/>
        </w:numPr>
        <w:spacing w:line="480" w:lineRule="exact"/>
        <w:rPr>
          <w:rFonts w:ascii="Times New Roman"/>
          <w:b/>
          <w:bCs/>
        </w:rPr>
      </w:pPr>
      <w:r>
        <w:rPr>
          <w:rFonts w:ascii="Times New Roman"/>
          <w:b/>
          <w:bCs/>
          <w:snapToGrid w:val="0"/>
          <w:sz w:val="24"/>
          <w:szCs w:val="24"/>
        </w:rPr>
        <w:t>2.9.4.2</w:t>
      </w:r>
      <w:r>
        <w:rPr>
          <w:rFonts w:hint="eastAsia" w:ascii="Times New Roman"/>
          <w:b/>
        </w:rPr>
        <w:t>与规划环评结论符合性分析</w:t>
      </w:r>
    </w:p>
    <w:p w14:paraId="1B81E6FE">
      <w:pPr>
        <w:spacing w:line="480" w:lineRule="exact"/>
        <w:ind w:firstLine="480" w:firstLineChars="200"/>
        <w:rPr>
          <w:rFonts w:ascii="Times New Roman"/>
          <w:sz w:val="24"/>
          <w:szCs w:val="24"/>
        </w:rPr>
      </w:pPr>
      <w:r>
        <w:rPr>
          <w:rFonts w:ascii="Times New Roman"/>
          <w:sz w:val="24"/>
          <w:szCs w:val="24"/>
        </w:rPr>
        <w:t>根据《曹妃甸循环经济示范区规划环境影响跟踪评价报告》，项目建设与规划环评结论符合性分析如下：</w:t>
      </w:r>
    </w:p>
    <w:p w14:paraId="3B387F84">
      <w:pPr>
        <w:pStyle w:val="32"/>
        <w:spacing w:after="0" w:line="480" w:lineRule="exact"/>
        <w:ind w:firstLine="198" w:firstLineChars="82"/>
        <w:jc w:val="center"/>
        <w:rPr>
          <w:rFonts w:ascii="Times New Roman"/>
          <w:b/>
          <w:bCs/>
          <w:sz w:val="24"/>
          <w:szCs w:val="24"/>
        </w:rPr>
      </w:pPr>
      <w:r>
        <w:rPr>
          <w:rFonts w:ascii="Times New Roman"/>
          <w:b/>
          <w:bCs/>
          <w:sz w:val="24"/>
          <w:szCs w:val="24"/>
        </w:rPr>
        <w:t>表2.9</w:t>
      </w:r>
      <w:r>
        <w:rPr>
          <w:rFonts w:ascii="Times New Roman"/>
          <w:b/>
          <w:bCs/>
          <w:sz w:val="24"/>
          <w:szCs w:val="24"/>
        </w:rPr>
        <w:noBreakHyphen/>
      </w:r>
      <w:r>
        <w:rPr>
          <w:rFonts w:hint="eastAsia" w:ascii="Times New Roman"/>
          <w:b/>
          <w:bCs/>
          <w:sz w:val="24"/>
          <w:szCs w:val="24"/>
        </w:rPr>
        <w:t>2</w:t>
      </w:r>
      <w:r>
        <w:rPr>
          <w:rFonts w:ascii="Times New Roman"/>
          <w:b/>
          <w:bCs/>
          <w:sz w:val="24"/>
          <w:szCs w:val="24"/>
        </w:rPr>
        <w:t xml:space="preserve">  规划环评结论符合性分析一览表</w:t>
      </w:r>
    </w:p>
    <w:tbl>
      <w:tblPr>
        <w:tblStyle w:val="84"/>
        <w:tblW w:w="83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962"/>
        <w:gridCol w:w="3012"/>
        <w:gridCol w:w="653"/>
      </w:tblGrid>
      <w:tr w14:paraId="170BB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4" w:type="pct"/>
            <w:tcBorders>
              <w:top w:val="single" w:color="auto" w:sz="4" w:space="0"/>
              <w:left w:val="single" w:color="auto" w:sz="4" w:space="0"/>
              <w:bottom w:val="single" w:color="auto" w:sz="4" w:space="0"/>
            </w:tcBorders>
            <w:vAlign w:val="center"/>
          </w:tcPr>
          <w:p w14:paraId="321E9C0E">
            <w:pPr>
              <w:adjustRightInd w:val="0"/>
              <w:snapToGrid w:val="0"/>
              <w:jc w:val="center"/>
              <w:rPr>
                <w:rFonts w:ascii="Times New Roman"/>
                <w:b/>
                <w:bCs/>
                <w:kern w:val="44"/>
                <w:sz w:val="21"/>
                <w:szCs w:val="21"/>
              </w:rPr>
            </w:pPr>
            <w:r>
              <w:rPr>
                <w:rFonts w:ascii="Times New Roman"/>
                <w:b/>
                <w:bCs/>
                <w:kern w:val="44"/>
                <w:sz w:val="21"/>
                <w:szCs w:val="21"/>
              </w:rPr>
              <w:t>序号</w:t>
            </w:r>
          </w:p>
        </w:tc>
        <w:tc>
          <w:tcPr>
            <w:tcW w:w="2376" w:type="pct"/>
            <w:tcBorders>
              <w:top w:val="single" w:color="auto" w:sz="4" w:space="0"/>
              <w:bottom w:val="single" w:color="auto" w:sz="4" w:space="0"/>
              <w:right w:val="single" w:color="auto" w:sz="4" w:space="0"/>
            </w:tcBorders>
            <w:vAlign w:val="center"/>
          </w:tcPr>
          <w:p w14:paraId="5C107FC0">
            <w:pPr>
              <w:adjustRightInd w:val="0"/>
              <w:snapToGrid w:val="0"/>
              <w:jc w:val="center"/>
              <w:rPr>
                <w:rFonts w:ascii="Times New Roman"/>
                <w:b/>
                <w:bCs/>
                <w:kern w:val="44"/>
                <w:sz w:val="21"/>
                <w:szCs w:val="21"/>
              </w:rPr>
            </w:pPr>
            <w:r>
              <w:rPr>
                <w:rFonts w:ascii="Times New Roman"/>
                <w:b/>
                <w:bCs/>
                <w:kern w:val="44"/>
                <w:sz w:val="21"/>
                <w:szCs w:val="21"/>
              </w:rPr>
              <w:t>规划内容</w:t>
            </w:r>
          </w:p>
        </w:tc>
        <w:tc>
          <w:tcPr>
            <w:tcW w:w="1806" w:type="pct"/>
            <w:tcBorders>
              <w:top w:val="single" w:color="auto" w:sz="4" w:space="0"/>
              <w:bottom w:val="single" w:color="auto" w:sz="4" w:space="0"/>
              <w:right w:val="single" w:color="auto" w:sz="4" w:space="0"/>
            </w:tcBorders>
            <w:vAlign w:val="center"/>
          </w:tcPr>
          <w:p w14:paraId="0D4E91AB">
            <w:pPr>
              <w:adjustRightInd w:val="0"/>
              <w:snapToGrid w:val="0"/>
              <w:jc w:val="center"/>
              <w:rPr>
                <w:rFonts w:ascii="Times New Roman"/>
                <w:b/>
                <w:bCs/>
                <w:kern w:val="44"/>
                <w:sz w:val="21"/>
                <w:szCs w:val="21"/>
              </w:rPr>
            </w:pPr>
            <w:r>
              <w:rPr>
                <w:rFonts w:ascii="Times New Roman"/>
                <w:b/>
                <w:bCs/>
                <w:kern w:val="44"/>
                <w:sz w:val="21"/>
                <w:szCs w:val="21"/>
              </w:rPr>
              <w:t>本项目</w:t>
            </w:r>
          </w:p>
        </w:tc>
        <w:tc>
          <w:tcPr>
            <w:tcW w:w="392" w:type="pct"/>
            <w:tcBorders>
              <w:top w:val="single" w:color="auto" w:sz="4" w:space="0"/>
              <w:bottom w:val="single" w:color="auto" w:sz="4" w:space="0"/>
              <w:right w:val="single" w:color="auto" w:sz="4" w:space="0"/>
            </w:tcBorders>
            <w:vAlign w:val="center"/>
          </w:tcPr>
          <w:p w14:paraId="21EFE7C3">
            <w:pPr>
              <w:adjustRightInd w:val="0"/>
              <w:snapToGrid w:val="0"/>
              <w:jc w:val="center"/>
              <w:rPr>
                <w:rFonts w:ascii="Times New Roman"/>
                <w:b/>
                <w:bCs/>
                <w:kern w:val="44"/>
                <w:sz w:val="21"/>
                <w:szCs w:val="21"/>
              </w:rPr>
            </w:pPr>
            <w:r>
              <w:rPr>
                <w:rFonts w:ascii="Times New Roman"/>
                <w:b/>
                <w:bCs/>
                <w:kern w:val="44"/>
                <w:sz w:val="21"/>
                <w:szCs w:val="21"/>
              </w:rPr>
              <w:t>结论</w:t>
            </w:r>
          </w:p>
        </w:tc>
      </w:tr>
      <w:tr w14:paraId="297D4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tcBorders>
              <w:top w:val="single" w:color="auto" w:sz="4" w:space="0"/>
              <w:left w:val="single" w:color="auto" w:sz="4" w:space="0"/>
              <w:bottom w:val="single" w:color="auto" w:sz="4" w:space="0"/>
            </w:tcBorders>
            <w:vAlign w:val="center"/>
          </w:tcPr>
          <w:p w14:paraId="446E5232">
            <w:pPr>
              <w:adjustRightInd w:val="0"/>
              <w:snapToGrid w:val="0"/>
              <w:jc w:val="center"/>
              <w:rPr>
                <w:rFonts w:ascii="Times New Roman"/>
                <w:bCs/>
                <w:kern w:val="44"/>
                <w:sz w:val="21"/>
                <w:szCs w:val="21"/>
              </w:rPr>
            </w:pPr>
            <w:r>
              <w:rPr>
                <w:rFonts w:ascii="Times New Roman"/>
                <w:bCs/>
                <w:kern w:val="44"/>
                <w:sz w:val="21"/>
                <w:szCs w:val="21"/>
              </w:rPr>
              <w:t>1</w:t>
            </w:r>
          </w:p>
        </w:tc>
        <w:tc>
          <w:tcPr>
            <w:tcW w:w="2376" w:type="pct"/>
            <w:tcBorders>
              <w:top w:val="single" w:color="auto" w:sz="4" w:space="0"/>
              <w:bottom w:val="single" w:color="auto" w:sz="4" w:space="0"/>
              <w:right w:val="single" w:color="auto" w:sz="4" w:space="0"/>
            </w:tcBorders>
            <w:vAlign w:val="center"/>
          </w:tcPr>
          <w:p w14:paraId="2B7A58FD">
            <w:pPr>
              <w:adjustRightInd w:val="0"/>
              <w:snapToGrid w:val="0"/>
              <w:rPr>
                <w:rFonts w:ascii="Times New Roman"/>
                <w:bCs/>
                <w:kern w:val="44"/>
                <w:sz w:val="21"/>
                <w:szCs w:val="21"/>
              </w:rPr>
            </w:pPr>
            <w:r>
              <w:rPr>
                <w:rFonts w:ascii="Times New Roman"/>
                <w:bCs/>
                <w:kern w:val="44"/>
                <w:sz w:val="21"/>
                <w:szCs w:val="21"/>
              </w:rPr>
              <w:t>工业布局由原来的一区六组团（临港商务区、港口物流组团、煤盐化组团、高新技术组团、钢铁产业组团、石化组团），调整为一区八园（临港商务区、综合保税区、装制造园、新兴产业园、中日生态园、中日韩循环经济区、钢电产业园、石化基地、港口物流园），新兴产业园、中日生态园与临港商务区用地调整，钢铁、石化园区用地互调。</w:t>
            </w:r>
          </w:p>
        </w:tc>
        <w:tc>
          <w:tcPr>
            <w:tcW w:w="1806" w:type="pct"/>
            <w:tcBorders>
              <w:top w:val="single" w:color="auto" w:sz="4" w:space="0"/>
              <w:bottom w:val="single" w:color="auto" w:sz="4" w:space="0"/>
              <w:right w:val="single" w:color="auto" w:sz="4" w:space="0"/>
            </w:tcBorders>
            <w:vAlign w:val="center"/>
          </w:tcPr>
          <w:p w14:paraId="305D74D6">
            <w:pPr>
              <w:adjustRightInd w:val="0"/>
              <w:snapToGrid w:val="0"/>
              <w:jc w:val="center"/>
              <w:rPr>
                <w:rFonts w:ascii="Times New Roman"/>
                <w:bCs/>
                <w:kern w:val="44"/>
                <w:sz w:val="21"/>
                <w:szCs w:val="21"/>
              </w:rPr>
            </w:pPr>
            <w:r>
              <w:rPr>
                <w:rFonts w:hint="eastAsia" w:ascii="Times New Roman"/>
                <w:bCs/>
                <w:sz w:val="21"/>
                <w:szCs w:val="21"/>
              </w:rPr>
              <w:t>本项目厂区位于曹妃甸循环经济示范区装备园区，所属行业为C3434连续搬运设备制造</w:t>
            </w:r>
            <w:r>
              <w:rPr>
                <w:rFonts w:ascii="Times New Roman"/>
                <w:sz w:val="21"/>
                <w:szCs w:val="21"/>
              </w:rPr>
              <w:t>，发展方向与园区规划相符。曹妃甸</w:t>
            </w:r>
            <w:r>
              <w:rPr>
                <w:rFonts w:hint="eastAsia" w:ascii="Times New Roman"/>
                <w:bCs/>
                <w:sz w:val="21"/>
                <w:szCs w:val="21"/>
              </w:rPr>
              <w:t>装备制造园区</w:t>
            </w:r>
            <w:r>
              <w:rPr>
                <w:rFonts w:ascii="Times New Roman"/>
                <w:sz w:val="21"/>
                <w:szCs w:val="21"/>
              </w:rPr>
              <w:t>管理委员会</w:t>
            </w:r>
            <w:r>
              <w:rPr>
                <w:rFonts w:hint="eastAsia" w:ascii="Times New Roman"/>
                <w:sz w:val="21"/>
                <w:szCs w:val="21"/>
              </w:rPr>
              <w:t>同意企业建设</w:t>
            </w:r>
          </w:p>
        </w:tc>
        <w:tc>
          <w:tcPr>
            <w:tcW w:w="392" w:type="pct"/>
            <w:tcBorders>
              <w:top w:val="single" w:color="auto" w:sz="4" w:space="0"/>
              <w:bottom w:val="single" w:color="auto" w:sz="4" w:space="0"/>
              <w:right w:val="single" w:color="auto" w:sz="4" w:space="0"/>
            </w:tcBorders>
            <w:vAlign w:val="center"/>
          </w:tcPr>
          <w:p w14:paraId="2D0EDFF9">
            <w:pPr>
              <w:adjustRightInd w:val="0"/>
              <w:snapToGrid w:val="0"/>
              <w:jc w:val="center"/>
              <w:rPr>
                <w:rFonts w:ascii="Times New Roman"/>
                <w:bCs/>
                <w:kern w:val="44"/>
                <w:sz w:val="21"/>
                <w:szCs w:val="21"/>
              </w:rPr>
            </w:pPr>
            <w:r>
              <w:rPr>
                <w:rFonts w:ascii="Times New Roman"/>
                <w:bCs/>
                <w:kern w:val="44"/>
                <w:sz w:val="21"/>
                <w:szCs w:val="21"/>
              </w:rPr>
              <w:t>符合</w:t>
            </w:r>
          </w:p>
        </w:tc>
      </w:tr>
      <w:tr w14:paraId="16787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4" w:type="pct"/>
            <w:tcBorders>
              <w:top w:val="single" w:color="auto" w:sz="4" w:space="0"/>
              <w:left w:val="single" w:color="auto" w:sz="4" w:space="0"/>
              <w:bottom w:val="single" w:color="auto" w:sz="4" w:space="0"/>
            </w:tcBorders>
            <w:vAlign w:val="center"/>
          </w:tcPr>
          <w:p w14:paraId="66372710">
            <w:pPr>
              <w:adjustRightInd w:val="0"/>
              <w:snapToGrid w:val="0"/>
              <w:jc w:val="center"/>
              <w:rPr>
                <w:rFonts w:ascii="Times New Roman"/>
                <w:bCs/>
                <w:kern w:val="44"/>
                <w:sz w:val="21"/>
                <w:szCs w:val="21"/>
              </w:rPr>
            </w:pPr>
            <w:r>
              <w:rPr>
                <w:rFonts w:ascii="Times New Roman"/>
                <w:bCs/>
                <w:kern w:val="44"/>
                <w:sz w:val="21"/>
                <w:szCs w:val="21"/>
              </w:rPr>
              <w:t>2</w:t>
            </w:r>
          </w:p>
        </w:tc>
        <w:tc>
          <w:tcPr>
            <w:tcW w:w="2376" w:type="pct"/>
            <w:tcBorders>
              <w:top w:val="single" w:color="auto" w:sz="4" w:space="0"/>
              <w:bottom w:val="single" w:color="auto" w:sz="4" w:space="0"/>
              <w:right w:val="single" w:color="auto" w:sz="4" w:space="0"/>
            </w:tcBorders>
            <w:vAlign w:val="center"/>
          </w:tcPr>
          <w:p w14:paraId="526569A1">
            <w:pPr>
              <w:adjustRightInd w:val="0"/>
              <w:snapToGrid w:val="0"/>
              <w:rPr>
                <w:rFonts w:ascii="Times New Roman"/>
                <w:bCs/>
                <w:kern w:val="44"/>
                <w:sz w:val="21"/>
                <w:szCs w:val="21"/>
              </w:rPr>
            </w:pPr>
            <w:r>
              <w:rPr>
                <w:rFonts w:ascii="Times New Roman"/>
                <w:bCs/>
                <w:kern w:val="44"/>
                <w:sz w:val="21"/>
                <w:szCs w:val="21"/>
              </w:rPr>
              <w:t>工业区发展缓慢导致排水、供热、中水等管网设施建设严重滞后，个别企业污水自行处置、供暖及生产类锅炉自建；污水处置发生重大变化，首钢、华电等企业污水自处，污水厂进入量极低，南区、北区污水厂能力利用率不足1%；危险废物均采用远距离跨域处置的模式，风险性较高，亟待开展基础设施规划修编。</w:t>
            </w:r>
          </w:p>
        </w:tc>
        <w:tc>
          <w:tcPr>
            <w:tcW w:w="1806" w:type="pct"/>
            <w:tcBorders>
              <w:top w:val="single" w:color="auto" w:sz="4" w:space="0"/>
              <w:bottom w:val="single" w:color="auto" w:sz="4" w:space="0"/>
              <w:right w:val="single" w:color="auto" w:sz="4" w:space="0"/>
            </w:tcBorders>
            <w:vAlign w:val="center"/>
          </w:tcPr>
          <w:p w14:paraId="617E95AB">
            <w:pPr>
              <w:widowControl/>
              <w:spacing w:line="240" w:lineRule="exact"/>
              <w:rPr>
                <w:rFonts w:ascii="Times New Roman"/>
                <w:kern w:val="0"/>
                <w:sz w:val="21"/>
                <w:szCs w:val="21"/>
              </w:rPr>
            </w:pPr>
            <w:r>
              <w:rPr>
                <w:rFonts w:ascii="Times New Roman"/>
                <w:kern w:val="0"/>
                <w:sz w:val="21"/>
                <w:szCs w:val="21"/>
              </w:rPr>
              <w:t>项目污水经</w:t>
            </w:r>
            <w:r>
              <w:rPr>
                <w:rFonts w:hint="eastAsia" w:ascii="Times New Roman"/>
                <w:kern w:val="0"/>
                <w:sz w:val="21"/>
                <w:szCs w:val="21"/>
              </w:rPr>
              <w:t>自建污水处理设施处理达标后经</w:t>
            </w:r>
            <w:r>
              <w:rPr>
                <w:rFonts w:ascii="Times New Roman"/>
                <w:kern w:val="0"/>
                <w:sz w:val="21"/>
                <w:szCs w:val="21"/>
              </w:rPr>
              <w:t>污水管网送至</w:t>
            </w:r>
            <w:r>
              <w:rPr>
                <w:rFonts w:hint="eastAsia" w:ascii="Times New Roman"/>
                <w:kern w:val="0"/>
                <w:sz w:val="21"/>
                <w:szCs w:val="21"/>
              </w:rPr>
              <w:t>曹妃甸装备制造区污水处理站</w:t>
            </w:r>
            <w:r>
              <w:rPr>
                <w:rFonts w:ascii="Times New Roman"/>
                <w:kern w:val="0"/>
                <w:sz w:val="21"/>
                <w:szCs w:val="21"/>
              </w:rPr>
              <w:t>集中处理，不直接外排地表水体。</w:t>
            </w:r>
          </w:p>
          <w:p w14:paraId="3A186026">
            <w:pPr>
              <w:adjustRightInd w:val="0"/>
              <w:snapToGrid w:val="0"/>
              <w:rPr>
                <w:rFonts w:ascii="Times New Roman"/>
                <w:bCs/>
                <w:kern w:val="44"/>
                <w:sz w:val="21"/>
                <w:szCs w:val="21"/>
              </w:rPr>
            </w:pPr>
            <w:r>
              <w:rPr>
                <w:rFonts w:hint="eastAsia" w:ascii="Times New Roman"/>
                <w:sz w:val="21"/>
                <w:szCs w:val="21"/>
              </w:rPr>
              <w:t>企业采用天然气燃烧机</w:t>
            </w:r>
            <w:r>
              <w:rPr>
                <w:rFonts w:ascii="Times New Roman"/>
                <w:sz w:val="21"/>
                <w:szCs w:val="21"/>
              </w:rPr>
              <w:t>为生产线提供生产用热；地源热泵为厂区供暖</w:t>
            </w:r>
            <w:r>
              <w:rPr>
                <w:rFonts w:ascii="Times New Roman"/>
                <w:bCs/>
                <w:kern w:val="44"/>
                <w:sz w:val="21"/>
                <w:szCs w:val="21"/>
              </w:rPr>
              <w:t>。</w:t>
            </w:r>
          </w:p>
        </w:tc>
        <w:tc>
          <w:tcPr>
            <w:tcW w:w="392" w:type="pct"/>
            <w:tcBorders>
              <w:top w:val="single" w:color="auto" w:sz="4" w:space="0"/>
              <w:bottom w:val="single" w:color="auto" w:sz="4" w:space="0"/>
              <w:right w:val="single" w:color="auto" w:sz="4" w:space="0"/>
            </w:tcBorders>
            <w:vAlign w:val="center"/>
          </w:tcPr>
          <w:p w14:paraId="138261C0">
            <w:pPr>
              <w:adjustRightInd w:val="0"/>
              <w:snapToGrid w:val="0"/>
              <w:jc w:val="center"/>
              <w:rPr>
                <w:rFonts w:ascii="Times New Roman"/>
                <w:bCs/>
                <w:kern w:val="44"/>
                <w:sz w:val="21"/>
                <w:szCs w:val="21"/>
              </w:rPr>
            </w:pPr>
            <w:r>
              <w:rPr>
                <w:rFonts w:ascii="Times New Roman"/>
                <w:bCs/>
                <w:kern w:val="44"/>
                <w:sz w:val="21"/>
                <w:szCs w:val="21"/>
              </w:rPr>
              <w:t>符合</w:t>
            </w:r>
          </w:p>
        </w:tc>
      </w:tr>
      <w:tr w14:paraId="2184F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4" w:type="pct"/>
            <w:tcBorders>
              <w:top w:val="single" w:color="auto" w:sz="4" w:space="0"/>
              <w:left w:val="single" w:color="auto" w:sz="4" w:space="0"/>
              <w:bottom w:val="single" w:color="auto" w:sz="4" w:space="0"/>
            </w:tcBorders>
            <w:vAlign w:val="center"/>
          </w:tcPr>
          <w:p w14:paraId="7279599B">
            <w:pPr>
              <w:adjustRightInd w:val="0"/>
              <w:snapToGrid w:val="0"/>
              <w:jc w:val="center"/>
              <w:rPr>
                <w:rFonts w:ascii="Times New Roman"/>
                <w:bCs/>
                <w:kern w:val="44"/>
                <w:sz w:val="21"/>
                <w:szCs w:val="21"/>
              </w:rPr>
            </w:pPr>
            <w:r>
              <w:rPr>
                <w:rFonts w:ascii="Times New Roman"/>
                <w:bCs/>
                <w:kern w:val="44"/>
                <w:sz w:val="21"/>
                <w:szCs w:val="21"/>
              </w:rPr>
              <w:t>3</w:t>
            </w:r>
          </w:p>
        </w:tc>
        <w:tc>
          <w:tcPr>
            <w:tcW w:w="2376" w:type="pct"/>
            <w:tcBorders>
              <w:top w:val="single" w:color="auto" w:sz="4" w:space="0"/>
              <w:bottom w:val="single" w:color="auto" w:sz="4" w:space="0"/>
              <w:right w:val="single" w:color="auto" w:sz="4" w:space="0"/>
            </w:tcBorders>
            <w:vAlign w:val="center"/>
          </w:tcPr>
          <w:p w14:paraId="1E719657">
            <w:pPr>
              <w:adjustRightInd w:val="0"/>
              <w:snapToGrid w:val="0"/>
              <w:rPr>
                <w:rFonts w:ascii="Times New Roman"/>
                <w:bCs/>
                <w:kern w:val="44"/>
                <w:sz w:val="21"/>
                <w:szCs w:val="21"/>
              </w:rPr>
            </w:pPr>
            <w:r>
              <w:rPr>
                <w:rFonts w:ascii="Times New Roman"/>
                <w:bCs/>
                <w:kern w:val="44"/>
                <w:sz w:val="21"/>
                <w:szCs w:val="21"/>
              </w:rPr>
              <w:t>优化固体废物处理模式，危险废物就近处理。建议石化基地近期不建危废处理中心，待曹妃甸区危险废物处置中心投入运营后，近期应优先考虑由该中心进行处置，远期小批量、危险系数低的危险废物，可协调考虑区域内运输距离近、运输条件优越的处理单位或适时推动危险废物处置中心扩建。</w:t>
            </w:r>
          </w:p>
        </w:tc>
        <w:tc>
          <w:tcPr>
            <w:tcW w:w="1806" w:type="pct"/>
            <w:tcBorders>
              <w:top w:val="single" w:color="auto" w:sz="4" w:space="0"/>
              <w:bottom w:val="single" w:color="auto" w:sz="4" w:space="0"/>
              <w:right w:val="single" w:color="auto" w:sz="4" w:space="0"/>
            </w:tcBorders>
            <w:vAlign w:val="center"/>
          </w:tcPr>
          <w:p w14:paraId="2BC68207">
            <w:pPr>
              <w:adjustRightInd w:val="0"/>
              <w:snapToGrid w:val="0"/>
              <w:jc w:val="center"/>
              <w:rPr>
                <w:rFonts w:ascii="Times New Roman"/>
                <w:bCs/>
                <w:kern w:val="44"/>
                <w:sz w:val="21"/>
                <w:szCs w:val="21"/>
              </w:rPr>
            </w:pPr>
            <w:r>
              <w:rPr>
                <w:rFonts w:ascii="Times New Roman"/>
                <w:bCs/>
                <w:kern w:val="44"/>
                <w:sz w:val="21"/>
                <w:szCs w:val="21"/>
              </w:rPr>
              <w:t>本项目按要求对固废进行合规处置</w:t>
            </w:r>
          </w:p>
        </w:tc>
        <w:tc>
          <w:tcPr>
            <w:tcW w:w="392" w:type="pct"/>
            <w:tcBorders>
              <w:top w:val="single" w:color="auto" w:sz="4" w:space="0"/>
              <w:bottom w:val="single" w:color="auto" w:sz="4" w:space="0"/>
              <w:right w:val="single" w:color="auto" w:sz="4" w:space="0"/>
            </w:tcBorders>
            <w:vAlign w:val="center"/>
          </w:tcPr>
          <w:p w14:paraId="1ADF2A97">
            <w:pPr>
              <w:adjustRightInd w:val="0"/>
              <w:snapToGrid w:val="0"/>
              <w:jc w:val="center"/>
              <w:rPr>
                <w:rFonts w:ascii="Times New Roman"/>
                <w:bCs/>
                <w:kern w:val="44"/>
                <w:sz w:val="21"/>
                <w:szCs w:val="21"/>
              </w:rPr>
            </w:pPr>
            <w:r>
              <w:rPr>
                <w:rFonts w:ascii="Times New Roman"/>
                <w:bCs/>
                <w:kern w:val="44"/>
                <w:sz w:val="21"/>
                <w:szCs w:val="21"/>
              </w:rPr>
              <w:t>符合</w:t>
            </w:r>
          </w:p>
        </w:tc>
      </w:tr>
      <w:tr w14:paraId="392F4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4" w:type="pct"/>
            <w:tcBorders>
              <w:top w:val="single" w:color="auto" w:sz="4" w:space="0"/>
              <w:left w:val="single" w:color="auto" w:sz="4" w:space="0"/>
              <w:bottom w:val="single" w:color="auto" w:sz="4" w:space="0"/>
            </w:tcBorders>
            <w:vAlign w:val="center"/>
          </w:tcPr>
          <w:p w14:paraId="5BBDD96B">
            <w:pPr>
              <w:adjustRightInd w:val="0"/>
              <w:snapToGrid w:val="0"/>
              <w:jc w:val="center"/>
              <w:rPr>
                <w:rFonts w:ascii="Times New Roman"/>
                <w:bCs/>
                <w:kern w:val="44"/>
                <w:sz w:val="21"/>
                <w:szCs w:val="21"/>
              </w:rPr>
            </w:pPr>
            <w:r>
              <w:rPr>
                <w:rFonts w:ascii="Times New Roman"/>
                <w:bCs/>
                <w:kern w:val="44"/>
                <w:sz w:val="21"/>
                <w:szCs w:val="21"/>
              </w:rPr>
              <w:t>4</w:t>
            </w:r>
          </w:p>
        </w:tc>
        <w:tc>
          <w:tcPr>
            <w:tcW w:w="2376" w:type="pct"/>
            <w:tcBorders>
              <w:top w:val="single" w:color="auto" w:sz="4" w:space="0"/>
              <w:bottom w:val="single" w:color="auto" w:sz="4" w:space="0"/>
              <w:right w:val="single" w:color="auto" w:sz="4" w:space="0"/>
            </w:tcBorders>
            <w:vAlign w:val="center"/>
          </w:tcPr>
          <w:p w14:paraId="2C20D0B7">
            <w:pPr>
              <w:adjustRightInd w:val="0"/>
              <w:snapToGrid w:val="0"/>
              <w:rPr>
                <w:rFonts w:ascii="Times New Roman"/>
                <w:bCs/>
                <w:kern w:val="44"/>
                <w:sz w:val="21"/>
                <w:szCs w:val="21"/>
              </w:rPr>
            </w:pPr>
            <w:r>
              <w:rPr>
                <w:rFonts w:ascii="Times New Roman"/>
                <w:bCs/>
                <w:kern w:val="44"/>
                <w:sz w:val="21"/>
                <w:szCs w:val="21"/>
              </w:rPr>
              <w:t>重点针对钢铁、电力、煤化工等行业开展现状污染物减排，开展工序脱硫脱硝改造；建设绿色生态港口，加强船舶燃油、岸电建设、货车集疏运替代、燃油标准提升等管控；针对焦化、装备制造及石化基地，全面开展VOCs集中整治</w:t>
            </w:r>
          </w:p>
        </w:tc>
        <w:tc>
          <w:tcPr>
            <w:tcW w:w="1806" w:type="pct"/>
            <w:tcBorders>
              <w:top w:val="single" w:color="auto" w:sz="4" w:space="0"/>
              <w:bottom w:val="single" w:color="auto" w:sz="4" w:space="0"/>
              <w:right w:val="single" w:color="auto" w:sz="4" w:space="0"/>
            </w:tcBorders>
            <w:vAlign w:val="center"/>
          </w:tcPr>
          <w:p w14:paraId="64999C6E">
            <w:pPr>
              <w:adjustRightInd w:val="0"/>
              <w:snapToGrid w:val="0"/>
              <w:jc w:val="center"/>
              <w:rPr>
                <w:rFonts w:ascii="Times New Roman"/>
                <w:bCs/>
                <w:kern w:val="44"/>
                <w:sz w:val="21"/>
                <w:szCs w:val="21"/>
              </w:rPr>
            </w:pPr>
            <w:r>
              <w:rPr>
                <w:rFonts w:ascii="Times New Roman"/>
                <w:sz w:val="21"/>
                <w:szCs w:val="21"/>
              </w:rPr>
              <w:t>项目无组织有机废气</w:t>
            </w:r>
            <w:r>
              <w:rPr>
                <w:rFonts w:hint="eastAsia" w:ascii="Times New Roman"/>
                <w:sz w:val="21"/>
                <w:szCs w:val="21"/>
              </w:rPr>
              <w:t>满足</w:t>
            </w:r>
            <w:r>
              <w:rPr>
                <w:rFonts w:ascii="Times New Roman"/>
                <w:sz w:val="21"/>
                <w:szCs w:val="21"/>
              </w:rPr>
              <w:t>《挥发性有机物无组织排放控制标准》中控制要求执行</w:t>
            </w:r>
            <w:r>
              <w:rPr>
                <w:rFonts w:hint="eastAsia" w:ascii="Times New Roman"/>
                <w:sz w:val="21"/>
                <w:szCs w:val="21"/>
              </w:rPr>
              <w:t>，</w:t>
            </w:r>
            <w:r>
              <w:rPr>
                <w:rFonts w:ascii="Times New Roman"/>
                <w:sz w:val="21"/>
                <w:szCs w:val="21"/>
              </w:rPr>
              <w:t>其排放</w:t>
            </w:r>
            <w:r>
              <w:rPr>
                <w:rFonts w:hint="eastAsia" w:ascii="Times New Roman"/>
                <w:sz w:val="21"/>
                <w:szCs w:val="21"/>
              </w:rPr>
              <w:t>满足《工业企业挥发性有机物排放控制标准》（DB13/2322-2016）要求</w:t>
            </w:r>
          </w:p>
        </w:tc>
        <w:tc>
          <w:tcPr>
            <w:tcW w:w="392" w:type="pct"/>
            <w:tcBorders>
              <w:top w:val="single" w:color="auto" w:sz="4" w:space="0"/>
              <w:bottom w:val="single" w:color="auto" w:sz="4" w:space="0"/>
              <w:right w:val="single" w:color="auto" w:sz="4" w:space="0"/>
            </w:tcBorders>
            <w:vAlign w:val="center"/>
          </w:tcPr>
          <w:p w14:paraId="5C124320">
            <w:pPr>
              <w:adjustRightInd w:val="0"/>
              <w:snapToGrid w:val="0"/>
              <w:jc w:val="center"/>
              <w:rPr>
                <w:rFonts w:ascii="Times New Roman"/>
                <w:bCs/>
                <w:kern w:val="44"/>
                <w:sz w:val="21"/>
                <w:szCs w:val="21"/>
              </w:rPr>
            </w:pPr>
            <w:r>
              <w:rPr>
                <w:rFonts w:ascii="Times New Roman"/>
                <w:bCs/>
                <w:kern w:val="44"/>
                <w:sz w:val="21"/>
                <w:szCs w:val="21"/>
              </w:rPr>
              <w:t>符合</w:t>
            </w:r>
          </w:p>
        </w:tc>
      </w:tr>
      <w:tr w14:paraId="5651C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4" w:type="pct"/>
            <w:tcBorders>
              <w:top w:val="single" w:color="auto" w:sz="4" w:space="0"/>
              <w:left w:val="single" w:color="auto" w:sz="4" w:space="0"/>
              <w:bottom w:val="single" w:color="auto" w:sz="4" w:space="0"/>
            </w:tcBorders>
            <w:vAlign w:val="center"/>
          </w:tcPr>
          <w:p w14:paraId="1CDF7169">
            <w:pPr>
              <w:adjustRightInd w:val="0"/>
              <w:snapToGrid w:val="0"/>
              <w:jc w:val="center"/>
              <w:rPr>
                <w:rFonts w:ascii="Times New Roman"/>
                <w:bCs/>
                <w:kern w:val="44"/>
                <w:sz w:val="21"/>
                <w:szCs w:val="21"/>
              </w:rPr>
            </w:pPr>
            <w:r>
              <w:rPr>
                <w:rFonts w:ascii="Times New Roman"/>
                <w:bCs/>
                <w:kern w:val="44"/>
                <w:sz w:val="21"/>
                <w:szCs w:val="21"/>
              </w:rPr>
              <w:t>5</w:t>
            </w:r>
          </w:p>
        </w:tc>
        <w:tc>
          <w:tcPr>
            <w:tcW w:w="2376" w:type="pct"/>
            <w:tcBorders>
              <w:top w:val="single" w:color="auto" w:sz="4" w:space="0"/>
              <w:bottom w:val="single" w:color="auto" w:sz="4" w:space="0"/>
              <w:right w:val="single" w:color="auto" w:sz="4" w:space="0"/>
            </w:tcBorders>
            <w:vAlign w:val="center"/>
          </w:tcPr>
          <w:p w14:paraId="261712BC">
            <w:pPr>
              <w:adjustRightInd w:val="0"/>
              <w:snapToGrid w:val="0"/>
              <w:rPr>
                <w:rFonts w:ascii="Times New Roman"/>
                <w:bCs/>
                <w:kern w:val="44"/>
                <w:sz w:val="21"/>
                <w:szCs w:val="21"/>
              </w:rPr>
            </w:pPr>
            <w:r>
              <w:rPr>
                <w:rFonts w:ascii="Times New Roman"/>
                <w:bCs/>
                <w:kern w:val="44"/>
                <w:sz w:val="21"/>
                <w:szCs w:val="21"/>
              </w:rPr>
              <w:t>严控工业区新增污染源，钢铁、电力行业实现污水回用率达100%。统筹水污染处理设施建设，加强污染治理强度，根据石化基地建设时序，加快建设深海排口，禁止在工业区内任意设置排污口，所有达标尾水均由统一污水排海管线深海排放。</w:t>
            </w:r>
          </w:p>
        </w:tc>
        <w:tc>
          <w:tcPr>
            <w:tcW w:w="1806" w:type="pct"/>
            <w:tcBorders>
              <w:top w:val="single" w:color="auto" w:sz="4" w:space="0"/>
              <w:bottom w:val="single" w:color="auto" w:sz="4" w:space="0"/>
              <w:right w:val="single" w:color="auto" w:sz="4" w:space="0"/>
            </w:tcBorders>
            <w:vAlign w:val="center"/>
          </w:tcPr>
          <w:p w14:paraId="775CE0DB">
            <w:pPr>
              <w:widowControl/>
              <w:spacing w:line="240" w:lineRule="exact"/>
              <w:rPr>
                <w:rFonts w:ascii="Times New Roman"/>
                <w:kern w:val="0"/>
                <w:sz w:val="21"/>
                <w:szCs w:val="21"/>
              </w:rPr>
            </w:pPr>
            <w:r>
              <w:rPr>
                <w:rFonts w:ascii="Times New Roman"/>
                <w:kern w:val="0"/>
                <w:sz w:val="21"/>
                <w:szCs w:val="21"/>
              </w:rPr>
              <w:t>项目污水经</w:t>
            </w:r>
            <w:r>
              <w:rPr>
                <w:rFonts w:hint="eastAsia" w:ascii="Times New Roman"/>
                <w:kern w:val="0"/>
                <w:sz w:val="21"/>
                <w:szCs w:val="21"/>
              </w:rPr>
              <w:t>自建污水处理设施处理达标后经</w:t>
            </w:r>
            <w:r>
              <w:rPr>
                <w:rFonts w:ascii="Times New Roman"/>
                <w:kern w:val="0"/>
                <w:sz w:val="21"/>
                <w:szCs w:val="21"/>
              </w:rPr>
              <w:t>污水管网送至</w:t>
            </w:r>
            <w:r>
              <w:rPr>
                <w:rFonts w:hint="eastAsia" w:ascii="Times New Roman"/>
                <w:kern w:val="0"/>
                <w:sz w:val="21"/>
                <w:szCs w:val="21"/>
              </w:rPr>
              <w:t>曹妃甸装备制造区污水处理站</w:t>
            </w:r>
            <w:r>
              <w:rPr>
                <w:rFonts w:ascii="Times New Roman"/>
                <w:kern w:val="0"/>
                <w:sz w:val="21"/>
                <w:szCs w:val="21"/>
              </w:rPr>
              <w:t>集中处理，不直接外排地表水体。</w:t>
            </w:r>
          </w:p>
        </w:tc>
        <w:tc>
          <w:tcPr>
            <w:tcW w:w="392" w:type="pct"/>
            <w:tcBorders>
              <w:top w:val="single" w:color="auto" w:sz="4" w:space="0"/>
              <w:bottom w:val="single" w:color="auto" w:sz="4" w:space="0"/>
              <w:right w:val="single" w:color="auto" w:sz="4" w:space="0"/>
            </w:tcBorders>
            <w:vAlign w:val="center"/>
          </w:tcPr>
          <w:p w14:paraId="3FF5864C">
            <w:pPr>
              <w:adjustRightInd w:val="0"/>
              <w:snapToGrid w:val="0"/>
              <w:jc w:val="center"/>
              <w:rPr>
                <w:rFonts w:ascii="Times New Roman"/>
                <w:bCs/>
                <w:kern w:val="44"/>
                <w:sz w:val="21"/>
                <w:szCs w:val="21"/>
              </w:rPr>
            </w:pPr>
            <w:r>
              <w:rPr>
                <w:rFonts w:ascii="Times New Roman"/>
                <w:bCs/>
                <w:kern w:val="44"/>
                <w:sz w:val="21"/>
                <w:szCs w:val="21"/>
              </w:rPr>
              <w:t>符合</w:t>
            </w:r>
          </w:p>
        </w:tc>
      </w:tr>
      <w:tr w14:paraId="6A94C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4" w:type="pct"/>
            <w:tcBorders>
              <w:top w:val="single" w:color="auto" w:sz="4" w:space="0"/>
              <w:left w:val="single" w:color="auto" w:sz="4" w:space="0"/>
              <w:bottom w:val="single" w:color="auto" w:sz="4" w:space="0"/>
            </w:tcBorders>
            <w:vAlign w:val="center"/>
          </w:tcPr>
          <w:p w14:paraId="7E50DD7E">
            <w:pPr>
              <w:adjustRightInd w:val="0"/>
              <w:snapToGrid w:val="0"/>
              <w:jc w:val="center"/>
              <w:rPr>
                <w:rFonts w:ascii="Times New Roman"/>
                <w:bCs/>
                <w:kern w:val="44"/>
                <w:sz w:val="21"/>
                <w:szCs w:val="21"/>
              </w:rPr>
            </w:pPr>
            <w:r>
              <w:rPr>
                <w:rFonts w:ascii="Times New Roman"/>
                <w:bCs/>
                <w:kern w:val="44"/>
                <w:sz w:val="21"/>
                <w:szCs w:val="21"/>
              </w:rPr>
              <w:t>6</w:t>
            </w:r>
          </w:p>
        </w:tc>
        <w:tc>
          <w:tcPr>
            <w:tcW w:w="2376" w:type="pct"/>
            <w:tcBorders>
              <w:top w:val="single" w:color="auto" w:sz="4" w:space="0"/>
              <w:bottom w:val="single" w:color="auto" w:sz="4" w:space="0"/>
              <w:right w:val="single" w:color="auto" w:sz="4" w:space="0"/>
            </w:tcBorders>
            <w:vAlign w:val="center"/>
          </w:tcPr>
          <w:p w14:paraId="6D869D81">
            <w:pPr>
              <w:adjustRightInd w:val="0"/>
              <w:snapToGrid w:val="0"/>
              <w:rPr>
                <w:rFonts w:ascii="Times New Roman"/>
                <w:bCs/>
                <w:kern w:val="44"/>
                <w:sz w:val="21"/>
                <w:szCs w:val="21"/>
              </w:rPr>
            </w:pPr>
            <w:r>
              <w:rPr>
                <w:rFonts w:ascii="Times New Roman"/>
                <w:bCs/>
                <w:kern w:val="44"/>
                <w:sz w:val="21"/>
                <w:szCs w:val="21"/>
              </w:rPr>
              <w:t>建立工业企业土壤及地下水影响分级管理制度，以石化、化工、钢铁等排放重金属和其他有毒有害污染物的工业行业为重点。加强工业区土壤和地下水环境监测能力建设。逐步开展场地调查工作，摸清重点行业企业用地中的污染地块分布及其环境风险情况。加强土壤和地下水污染风险防范体系建设。</w:t>
            </w:r>
          </w:p>
        </w:tc>
        <w:tc>
          <w:tcPr>
            <w:tcW w:w="1806" w:type="pct"/>
            <w:tcBorders>
              <w:top w:val="single" w:color="auto" w:sz="4" w:space="0"/>
              <w:bottom w:val="single" w:color="auto" w:sz="4" w:space="0"/>
              <w:right w:val="single" w:color="auto" w:sz="4" w:space="0"/>
            </w:tcBorders>
            <w:vAlign w:val="center"/>
          </w:tcPr>
          <w:p w14:paraId="47E1A89C">
            <w:pPr>
              <w:adjustRightInd w:val="0"/>
              <w:snapToGrid w:val="0"/>
              <w:jc w:val="center"/>
              <w:rPr>
                <w:rFonts w:ascii="Times New Roman"/>
                <w:bCs/>
                <w:kern w:val="44"/>
                <w:sz w:val="21"/>
                <w:szCs w:val="21"/>
              </w:rPr>
            </w:pPr>
            <w:r>
              <w:rPr>
                <w:rFonts w:ascii="Times New Roman"/>
                <w:bCs/>
                <w:kern w:val="44"/>
                <w:sz w:val="21"/>
                <w:szCs w:val="21"/>
              </w:rPr>
              <w:t>项目拟按要求设置地下水</w:t>
            </w:r>
            <w:r>
              <w:rPr>
                <w:rFonts w:hint="eastAsia" w:ascii="Times New Roman"/>
                <w:bCs/>
                <w:kern w:val="44"/>
                <w:sz w:val="21"/>
                <w:szCs w:val="21"/>
              </w:rPr>
              <w:t>、土壤</w:t>
            </w:r>
            <w:r>
              <w:rPr>
                <w:rFonts w:ascii="Times New Roman"/>
                <w:bCs/>
                <w:kern w:val="44"/>
                <w:sz w:val="21"/>
                <w:szCs w:val="21"/>
              </w:rPr>
              <w:t>环境监测</w:t>
            </w:r>
            <w:r>
              <w:rPr>
                <w:rFonts w:hint="eastAsia" w:ascii="Times New Roman"/>
                <w:bCs/>
                <w:kern w:val="44"/>
                <w:sz w:val="21"/>
                <w:szCs w:val="21"/>
              </w:rPr>
              <w:t>点位</w:t>
            </w:r>
            <w:r>
              <w:rPr>
                <w:rFonts w:ascii="Times New Roman"/>
                <w:bCs/>
                <w:kern w:val="44"/>
                <w:sz w:val="21"/>
                <w:szCs w:val="21"/>
              </w:rPr>
              <w:t>；并定期开展地下水、土壤等自行监测。</w:t>
            </w:r>
          </w:p>
        </w:tc>
        <w:tc>
          <w:tcPr>
            <w:tcW w:w="392" w:type="pct"/>
            <w:tcBorders>
              <w:top w:val="single" w:color="auto" w:sz="4" w:space="0"/>
              <w:bottom w:val="single" w:color="auto" w:sz="4" w:space="0"/>
              <w:right w:val="single" w:color="auto" w:sz="4" w:space="0"/>
            </w:tcBorders>
            <w:vAlign w:val="center"/>
          </w:tcPr>
          <w:p w14:paraId="0072A2DE">
            <w:pPr>
              <w:adjustRightInd w:val="0"/>
              <w:snapToGrid w:val="0"/>
              <w:jc w:val="center"/>
              <w:rPr>
                <w:rFonts w:ascii="Times New Roman"/>
                <w:bCs/>
                <w:kern w:val="44"/>
                <w:sz w:val="21"/>
                <w:szCs w:val="21"/>
              </w:rPr>
            </w:pPr>
            <w:r>
              <w:rPr>
                <w:rFonts w:ascii="Times New Roman"/>
                <w:bCs/>
                <w:kern w:val="44"/>
                <w:sz w:val="21"/>
                <w:szCs w:val="21"/>
              </w:rPr>
              <w:t>符合</w:t>
            </w:r>
          </w:p>
        </w:tc>
      </w:tr>
    </w:tbl>
    <w:p w14:paraId="36824004">
      <w:pPr>
        <w:keepNext/>
        <w:keepLines/>
        <w:numPr>
          <w:ilvl w:val="3"/>
          <w:numId w:val="0"/>
        </w:numPr>
        <w:spacing w:line="360" w:lineRule="auto"/>
        <w:rPr>
          <w:rFonts w:ascii="Times New Roman"/>
          <w:b/>
          <w:bCs/>
        </w:rPr>
      </w:pPr>
      <w:r>
        <w:rPr>
          <w:rFonts w:ascii="Times New Roman"/>
          <w:b/>
          <w:bCs/>
          <w:snapToGrid w:val="0"/>
          <w:sz w:val="24"/>
          <w:szCs w:val="24"/>
        </w:rPr>
        <w:t>2.9.4.</w:t>
      </w:r>
      <w:r>
        <w:rPr>
          <w:rFonts w:hint="eastAsia" w:ascii="Times New Roman"/>
          <w:b/>
          <w:bCs/>
          <w:snapToGrid w:val="0"/>
          <w:sz w:val="24"/>
          <w:szCs w:val="24"/>
        </w:rPr>
        <w:t>3</w:t>
      </w:r>
      <w:r>
        <w:rPr>
          <w:rFonts w:hint="eastAsia" w:ascii="Times New Roman"/>
          <w:b/>
        </w:rPr>
        <w:t>与规划环评审查意见符合性分析</w:t>
      </w:r>
    </w:p>
    <w:p w14:paraId="428022D5">
      <w:pPr>
        <w:spacing w:line="360" w:lineRule="auto"/>
        <w:ind w:firstLine="480" w:firstLineChars="200"/>
        <w:rPr>
          <w:rFonts w:ascii="Times New Roman"/>
          <w:sz w:val="24"/>
          <w:szCs w:val="24"/>
        </w:rPr>
      </w:pPr>
      <w:r>
        <w:rPr>
          <w:rFonts w:ascii="Times New Roman"/>
          <w:sz w:val="24"/>
          <w:szCs w:val="24"/>
        </w:rPr>
        <w:t>《曹妃甸循环经济示范区规划环境影响跟踪评价报告》于2019年3月29日取得了生态环境部办公厅意见的函（环办环评函【2019】334号），项目建设与园区意见符合性分析如下：</w:t>
      </w:r>
    </w:p>
    <w:p w14:paraId="0EEAB4A8">
      <w:pPr>
        <w:pStyle w:val="70"/>
        <w:rPr>
          <w:sz w:val="24"/>
          <w:szCs w:val="24"/>
        </w:rPr>
      </w:pPr>
    </w:p>
    <w:p w14:paraId="55BCE2B7">
      <w:pPr>
        <w:spacing w:line="360" w:lineRule="auto"/>
        <w:ind w:firstLine="482"/>
        <w:jc w:val="center"/>
        <w:rPr>
          <w:rFonts w:ascii="Times New Roman"/>
          <w:b/>
          <w:bCs/>
          <w:snapToGrid w:val="0"/>
          <w:sz w:val="24"/>
          <w:szCs w:val="24"/>
        </w:rPr>
      </w:pPr>
      <w:r>
        <w:rPr>
          <w:rFonts w:ascii="Times New Roman"/>
          <w:b/>
          <w:bCs/>
          <w:sz w:val="24"/>
          <w:szCs w:val="24"/>
        </w:rPr>
        <w:t>表2.9</w:t>
      </w:r>
      <w:r>
        <w:rPr>
          <w:rFonts w:ascii="Times New Roman"/>
          <w:b/>
          <w:bCs/>
          <w:sz w:val="24"/>
          <w:szCs w:val="24"/>
        </w:rPr>
        <w:noBreakHyphen/>
      </w:r>
      <w:r>
        <w:rPr>
          <w:rFonts w:ascii="Times New Roman"/>
          <w:b/>
          <w:bCs/>
          <w:sz w:val="24"/>
          <w:szCs w:val="24"/>
        </w:rPr>
        <w:t xml:space="preserve">3  </w:t>
      </w:r>
      <w:r>
        <w:rPr>
          <w:rFonts w:ascii="Times New Roman"/>
          <w:b/>
          <w:bCs/>
          <w:snapToGrid w:val="0"/>
          <w:sz w:val="24"/>
          <w:szCs w:val="24"/>
        </w:rPr>
        <w:t>规划环评审查意见符合性分析一览表</w:t>
      </w:r>
    </w:p>
    <w:tbl>
      <w:tblPr>
        <w:tblStyle w:val="84"/>
        <w:tblW w:w="83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649"/>
        <w:gridCol w:w="3297"/>
        <w:gridCol w:w="685"/>
      </w:tblGrid>
      <w:tr w14:paraId="5DCB7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28505CBC">
            <w:pPr>
              <w:adjustRightInd w:val="0"/>
              <w:snapToGrid w:val="0"/>
              <w:jc w:val="center"/>
              <w:rPr>
                <w:rFonts w:ascii="Times New Roman"/>
                <w:b/>
                <w:bCs/>
                <w:kern w:val="44"/>
                <w:sz w:val="21"/>
                <w:szCs w:val="18"/>
              </w:rPr>
            </w:pPr>
            <w:r>
              <w:rPr>
                <w:rFonts w:ascii="Times New Roman"/>
                <w:b/>
                <w:bCs/>
                <w:kern w:val="44"/>
                <w:sz w:val="21"/>
                <w:szCs w:val="18"/>
              </w:rPr>
              <w:t>序号</w:t>
            </w:r>
          </w:p>
        </w:tc>
        <w:tc>
          <w:tcPr>
            <w:tcW w:w="2189" w:type="pct"/>
            <w:tcBorders>
              <w:top w:val="single" w:color="auto" w:sz="4" w:space="0"/>
              <w:bottom w:val="single" w:color="auto" w:sz="4" w:space="0"/>
              <w:right w:val="single" w:color="auto" w:sz="4" w:space="0"/>
            </w:tcBorders>
            <w:vAlign w:val="center"/>
          </w:tcPr>
          <w:p w14:paraId="1DE632A8">
            <w:pPr>
              <w:adjustRightInd w:val="0"/>
              <w:snapToGrid w:val="0"/>
              <w:jc w:val="center"/>
              <w:rPr>
                <w:rFonts w:ascii="Times New Roman"/>
                <w:b/>
                <w:bCs/>
                <w:kern w:val="44"/>
                <w:sz w:val="21"/>
                <w:szCs w:val="18"/>
              </w:rPr>
            </w:pPr>
            <w:r>
              <w:rPr>
                <w:rFonts w:ascii="Times New Roman"/>
                <w:b/>
                <w:bCs/>
                <w:kern w:val="44"/>
                <w:sz w:val="21"/>
                <w:szCs w:val="18"/>
              </w:rPr>
              <w:t>规划内容</w:t>
            </w:r>
          </w:p>
        </w:tc>
        <w:tc>
          <w:tcPr>
            <w:tcW w:w="1978" w:type="pct"/>
            <w:tcBorders>
              <w:top w:val="single" w:color="auto" w:sz="4" w:space="0"/>
              <w:bottom w:val="single" w:color="auto" w:sz="4" w:space="0"/>
              <w:right w:val="single" w:color="auto" w:sz="4" w:space="0"/>
            </w:tcBorders>
            <w:vAlign w:val="center"/>
          </w:tcPr>
          <w:p w14:paraId="533C2945">
            <w:pPr>
              <w:adjustRightInd w:val="0"/>
              <w:snapToGrid w:val="0"/>
              <w:jc w:val="center"/>
              <w:rPr>
                <w:rFonts w:ascii="Times New Roman"/>
                <w:b/>
                <w:bCs/>
                <w:kern w:val="44"/>
                <w:sz w:val="21"/>
                <w:szCs w:val="18"/>
              </w:rPr>
            </w:pPr>
            <w:r>
              <w:rPr>
                <w:rFonts w:ascii="Times New Roman"/>
                <w:b/>
                <w:bCs/>
                <w:kern w:val="44"/>
                <w:sz w:val="21"/>
                <w:szCs w:val="18"/>
              </w:rPr>
              <w:t>本项目</w:t>
            </w:r>
          </w:p>
        </w:tc>
        <w:tc>
          <w:tcPr>
            <w:tcW w:w="411" w:type="pct"/>
            <w:tcBorders>
              <w:top w:val="single" w:color="auto" w:sz="4" w:space="0"/>
              <w:bottom w:val="single" w:color="auto" w:sz="4" w:space="0"/>
              <w:right w:val="single" w:color="auto" w:sz="4" w:space="0"/>
            </w:tcBorders>
            <w:vAlign w:val="center"/>
          </w:tcPr>
          <w:p w14:paraId="53FF03C6">
            <w:pPr>
              <w:adjustRightInd w:val="0"/>
              <w:snapToGrid w:val="0"/>
              <w:jc w:val="center"/>
              <w:rPr>
                <w:rFonts w:ascii="Times New Roman"/>
                <w:b/>
                <w:bCs/>
                <w:kern w:val="44"/>
                <w:sz w:val="21"/>
                <w:szCs w:val="18"/>
              </w:rPr>
            </w:pPr>
            <w:r>
              <w:rPr>
                <w:rFonts w:ascii="Times New Roman"/>
                <w:b/>
                <w:bCs/>
                <w:kern w:val="44"/>
                <w:sz w:val="21"/>
                <w:szCs w:val="18"/>
              </w:rPr>
              <w:t>结论</w:t>
            </w:r>
          </w:p>
        </w:tc>
      </w:tr>
      <w:tr w14:paraId="49A10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7F22CE5B">
            <w:pPr>
              <w:adjustRightInd w:val="0"/>
              <w:snapToGrid w:val="0"/>
              <w:jc w:val="center"/>
              <w:rPr>
                <w:rFonts w:ascii="Times New Roman"/>
                <w:bCs/>
                <w:kern w:val="44"/>
                <w:sz w:val="21"/>
                <w:szCs w:val="18"/>
              </w:rPr>
            </w:pPr>
            <w:r>
              <w:rPr>
                <w:rFonts w:ascii="Times New Roman"/>
                <w:bCs/>
                <w:kern w:val="44"/>
                <w:sz w:val="21"/>
                <w:szCs w:val="18"/>
              </w:rPr>
              <w:t>1</w:t>
            </w:r>
          </w:p>
        </w:tc>
        <w:tc>
          <w:tcPr>
            <w:tcW w:w="2189" w:type="pct"/>
            <w:tcBorders>
              <w:top w:val="single" w:color="auto" w:sz="4" w:space="0"/>
              <w:bottom w:val="single" w:color="auto" w:sz="4" w:space="0"/>
              <w:right w:val="single" w:color="auto" w:sz="4" w:space="0"/>
            </w:tcBorders>
            <w:vAlign w:val="center"/>
          </w:tcPr>
          <w:p w14:paraId="375AFC54">
            <w:pPr>
              <w:adjustRightInd w:val="0"/>
              <w:snapToGrid w:val="0"/>
              <w:rPr>
                <w:rFonts w:ascii="Times New Roman"/>
                <w:bCs/>
                <w:kern w:val="44"/>
                <w:sz w:val="21"/>
                <w:szCs w:val="18"/>
              </w:rPr>
            </w:pPr>
            <w:r>
              <w:rPr>
                <w:rFonts w:ascii="Times New Roman"/>
                <w:bCs/>
                <w:kern w:val="44"/>
                <w:sz w:val="21"/>
                <w:szCs w:val="18"/>
              </w:rPr>
              <w:t>根据国家及京津冀发展战略，结合唐山市和曹妃甸区相关规划对示范区发展定位和要求，加强与京津冀战略环评成果的衔接，加快主导产业的规模化和集约化，深入推进示范区循环化、绿色化发展，加强能源梯级利用和中水回用，严格控制煤炭消费总量，落实区域环境质量改善的目标要求</w:t>
            </w:r>
          </w:p>
        </w:tc>
        <w:tc>
          <w:tcPr>
            <w:tcW w:w="1978" w:type="pct"/>
            <w:tcBorders>
              <w:top w:val="single" w:color="auto" w:sz="4" w:space="0"/>
              <w:bottom w:val="single" w:color="auto" w:sz="4" w:space="0"/>
              <w:right w:val="single" w:color="auto" w:sz="4" w:space="0"/>
            </w:tcBorders>
            <w:vAlign w:val="center"/>
          </w:tcPr>
          <w:p w14:paraId="0F77EACA">
            <w:pPr>
              <w:adjustRightInd w:val="0"/>
              <w:snapToGrid w:val="0"/>
              <w:jc w:val="center"/>
              <w:rPr>
                <w:rFonts w:ascii="Times New Roman"/>
                <w:bCs/>
                <w:kern w:val="44"/>
                <w:sz w:val="21"/>
                <w:szCs w:val="18"/>
              </w:rPr>
            </w:pPr>
            <w:r>
              <w:rPr>
                <w:rFonts w:ascii="Times New Roman"/>
                <w:bCs/>
                <w:kern w:val="44"/>
                <w:sz w:val="21"/>
                <w:szCs w:val="18"/>
              </w:rPr>
              <w:t>本项目配套建设废气、废水、噪声治理措施，各污染物均达标排放；固废分类暂存，妥善处置</w:t>
            </w:r>
          </w:p>
        </w:tc>
        <w:tc>
          <w:tcPr>
            <w:tcW w:w="411" w:type="pct"/>
            <w:tcBorders>
              <w:top w:val="single" w:color="auto" w:sz="4" w:space="0"/>
              <w:bottom w:val="single" w:color="auto" w:sz="4" w:space="0"/>
              <w:right w:val="single" w:color="auto" w:sz="4" w:space="0"/>
            </w:tcBorders>
            <w:vAlign w:val="center"/>
          </w:tcPr>
          <w:p w14:paraId="565C8B7F">
            <w:pPr>
              <w:adjustRightInd w:val="0"/>
              <w:snapToGrid w:val="0"/>
              <w:jc w:val="center"/>
              <w:rPr>
                <w:rFonts w:ascii="Times New Roman"/>
                <w:bCs/>
                <w:kern w:val="44"/>
                <w:sz w:val="21"/>
                <w:szCs w:val="18"/>
              </w:rPr>
            </w:pPr>
            <w:r>
              <w:rPr>
                <w:rFonts w:ascii="Times New Roman"/>
                <w:bCs/>
                <w:kern w:val="44"/>
                <w:sz w:val="21"/>
                <w:szCs w:val="18"/>
              </w:rPr>
              <w:t>符合</w:t>
            </w:r>
          </w:p>
        </w:tc>
      </w:tr>
      <w:tr w14:paraId="53F22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77A5B8C9">
            <w:pPr>
              <w:adjustRightInd w:val="0"/>
              <w:snapToGrid w:val="0"/>
              <w:jc w:val="center"/>
              <w:rPr>
                <w:rFonts w:ascii="Times New Roman"/>
                <w:bCs/>
                <w:kern w:val="44"/>
                <w:sz w:val="21"/>
                <w:szCs w:val="18"/>
              </w:rPr>
            </w:pPr>
            <w:r>
              <w:rPr>
                <w:rFonts w:ascii="Times New Roman"/>
                <w:bCs/>
                <w:kern w:val="44"/>
                <w:sz w:val="21"/>
                <w:szCs w:val="18"/>
              </w:rPr>
              <w:t>2</w:t>
            </w:r>
          </w:p>
        </w:tc>
        <w:tc>
          <w:tcPr>
            <w:tcW w:w="2189" w:type="pct"/>
            <w:tcBorders>
              <w:top w:val="single" w:color="auto" w:sz="4" w:space="0"/>
              <w:bottom w:val="single" w:color="auto" w:sz="4" w:space="0"/>
              <w:right w:val="single" w:color="auto" w:sz="4" w:space="0"/>
            </w:tcBorders>
            <w:vAlign w:val="center"/>
          </w:tcPr>
          <w:p w14:paraId="03389893">
            <w:pPr>
              <w:adjustRightInd w:val="0"/>
              <w:snapToGrid w:val="0"/>
              <w:jc w:val="center"/>
              <w:rPr>
                <w:rFonts w:ascii="Times New Roman"/>
                <w:bCs/>
                <w:kern w:val="44"/>
                <w:sz w:val="21"/>
                <w:szCs w:val="18"/>
              </w:rPr>
            </w:pPr>
            <w:r>
              <w:rPr>
                <w:rFonts w:ascii="Times New Roman"/>
                <w:bCs/>
                <w:kern w:val="44"/>
                <w:sz w:val="21"/>
                <w:szCs w:val="18"/>
              </w:rPr>
              <w:t>落实国家关于加强渤海生态环境保护及围填海管理等要求，加强海域生态环境保护。加强示范区内生态隔离带、绿廊等生态空间的环境管控。积极引导产业集中优化布局，避免产业发展对人居环境安全的不良影响</w:t>
            </w:r>
          </w:p>
        </w:tc>
        <w:tc>
          <w:tcPr>
            <w:tcW w:w="1978" w:type="pct"/>
            <w:tcBorders>
              <w:top w:val="single" w:color="auto" w:sz="4" w:space="0"/>
              <w:bottom w:val="single" w:color="auto" w:sz="4" w:space="0"/>
              <w:right w:val="single" w:color="auto" w:sz="4" w:space="0"/>
            </w:tcBorders>
            <w:vAlign w:val="center"/>
          </w:tcPr>
          <w:p w14:paraId="07620D50">
            <w:pPr>
              <w:adjustRightInd w:val="0"/>
              <w:snapToGrid w:val="0"/>
              <w:rPr>
                <w:rFonts w:ascii="Times New Roman"/>
                <w:sz w:val="21"/>
              </w:rPr>
            </w:pPr>
            <w:r>
              <w:rPr>
                <w:rFonts w:hint="eastAsia" w:ascii="Times New Roman"/>
                <w:bCs/>
                <w:sz w:val="21"/>
                <w:szCs w:val="21"/>
              </w:rPr>
              <w:t>本项目厂区位于曹妃甸循环经济示范区装备园区</w:t>
            </w:r>
            <w:r>
              <w:rPr>
                <w:rFonts w:ascii="Times New Roman"/>
                <w:bCs/>
                <w:kern w:val="44"/>
                <w:sz w:val="21"/>
                <w:szCs w:val="18"/>
              </w:rPr>
              <w:t>，不会对人居环境安全产生不良影响</w:t>
            </w:r>
            <w:r>
              <w:rPr>
                <w:rFonts w:hint="eastAsia" w:ascii="Times New Roman"/>
                <w:bCs/>
                <w:kern w:val="44"/>
                <w:sz w:val="21"/>
                <w:szCs w:val="18"/>
              </w:rPr>
              <w:t>。项目</w:t>
            </w:r>
            <w:r>
              <w:rPr>
                <w:rFonts w:ascii="Times New Roman"/>
                <w:kern w:val="0"/>
                <w:sz w:val="21"/>
                <w:szCs w:val="18"/>
              </w:rPr>
              <w:t>不涉及占用海洋保护区、湿地公园、重要滨海湿地以及具有重要生态功能和保护价值的近海与海岸生态敏感区；项目无涉海施工，施工期落实环境保护措施的情况下无污染物排海</w:t>
            </w:r>
            <w:r>
              <w:rPr>
                <w:rFonts w:hint="eastAsia" w:ascii="Times New Roman"/>
                <w:kern w:val="0"/>
                <w:sz w:val="21"/>
                <w:szCs w:val="18"/>
              </w:rPr>
              <w:t>；运营期</w:t>
            </w:r>
            <w:r>
              <w:rPr>
                <w:rFonts w:hint="eastAsia" w:ascii="Times New Roman"/>
                <w:bCs/>
                <w:kern w:val="44"/>
                <w:sz w:val="21"/>
                <w:szCs w:val="18"/>
              </w:rPr>
              <w:t>项目</w:t>
            </w:r>
            <w:r>
              <w:rPr>
                <w:rFonts w:hint="eastAsia" w:ascii="Times New Roman"/>
                <w:kern w:val="0"/>
                <w:sz w:val="21"/>
                <w:szCs w:val="18"/>
              </w:rPr>
              <w:t>污水经自建污水处理设施处理达标后经污水管网送至曹妃甸装备制造区污水处理站集中处理，不直接外排地表水体</w:t>
            </w:r>
          </w:p>
        </w:tc>
        <w:tc>
          <w:tcPr>
            <w:tcW w:w="411" w:type="pct"/>
            <w:tcBorders>
              <w:top w:val="single" w:color="auto" w:sz="4" w:space="0"/>
              <w:bottom w:val="single" w:color="auto" w:sz="4" w:space="0"/>
              <w:right w:val="single" w:color="auto" w:sz="4" w:space="0"/>
            </w:tcBorders>
            <w:vAlign w:val="center"/>
          </w:tcPr>
          <w:p w14:paraId="2107A7F7">
            <w:pPr>
              <w:adjustRightInd w:val="0"/>
              <w:snapToGrid w:val="0"/>
              <w:jc w:val="center"/>
              <w:rPr>
                <w:rFonts w:ascii="Times New Roman"/>
                <w:bCs/>
                <w:kern w:val="44"/>
                <w:sz w:val="21"/>
                <w:szCs w:val="18"/>
              </w:rPr>
            </w:pPr>
            <w:r>
              <w:rPr>
                <w:rFonts w:ascii="Times New Roman"/>
                <w:bCs/>
                <w:kern w:val="44"/>
                <w:sz w:val="21"/>
                <w:szCs w:val="18"/>
              </w:rPr>
              <w:t>符合</w:t>
            </w:r>
          </w:p>
        </w:tc>
      </w:tr>
      <w:tr w14:paraId="15C2E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507425CD">
            <w:pPr>
              <w:adjustRightInd w:val="0"/>
              <w:snapToGrid w:val="0"/>
              <w:jc w:val="center"/>
              <w:rPr>
                <w:rFonts w:ascii="Times New Roman"/>
                <w:bCs/>
                <w:kern w:val="44"/>
                <w:sz w:val="21"/>
                <w:szCs w:val="18"/>
              </w:rPr>
            </w:pPr>
            <w:r>
              <w:rPr>
                <w:rFonts w:ascii="Times New Roman"/>
                <w:bCs/>
                <w:kern w:val="44"/>
                <w:sz w:val="21"/>
                <w:szCs w:val="18"/>
              </w:rPr>
              <w:t>3</w:t>
            </w:r>
          </w:p>
        </w:tc>
        <w:tc>
          <w:tcPr>
            <w:tcW w:w="2189" w:type="pct"/>
            <w:tcBorders>
              <w:top w:val="single" w:color="auto" w:sz="4" w:space="0"/>
              <w:bottom w:val="single" w:color="auto" w:sz="4" w:space="0"/>
              <w:right w:val="single" w:color="auto" w:sz="4" w:space="0"/>
            </w:tcBorders>
            <w:vAlign w:val="center"/>
          </w:tcPr>
          <w:p w14:paraId="232DAE04">
            <w:pPr>
              <w:adjustRightInd w:val="0"/>
              <w:snapToGrid w:val="0"/>
              <w:rPr>
                <w:rFonts w:ascii="Times New Roman"/>
                <w:bCs/>
                <w:kern w:val="44"/>
                <w:sz w:val="21"/>
                <w:szCs w:val="18"/>
              </w:rPr>
            </w:pPr>
            <w:r>
              <w:rPr>
                <w:rFonts w:ascii="Times New Roman"/>
                <w:bCs/>
                <w:kern w:val="44"/>
                <w:sz w:val="21"/>
                <w:szCs w:val="18"/>
              </w:rPr>
              <w:t>示范区项目建设、环境管理应落实《报告》生态环境准入清单的要求。不满足生态环境准入清单的已建项目，应制定并落实整改方案</w:t>
            </w:r>
          </w:p>
        </w:tc>
        <w:tc>
          <w:tcPr>
            <w:tcW w:w="1978" w:type="pct"/>
            <w:tcBorders>
              <w:top w:val="single" w:color="auto" w:sz="4" w:space="0"/>
              <w:bottom w:val="single" w:color="auto" w:sz="4" w:space="0"/>
              <w:right w:val="single" w:color="auto" w:sz="4" w:space="0"/>
            </w:tcBorders>
            <w:vAlign w:val="center"/>
          </w:tcPr>
          <w:p w14:paraId="02D7A515">
            <w:pPr>
              <w:adjustRightInd w:val="0"/>
              <w:snapToGrid w:val="0"/>
              <w:jc w:val="center"/>
              <w:rPr>
                <w:rFonts w:ascii="Times New Roman"/>
                <w:bCs/>
                <w:kern w:val="44"/>
                <w:sz w:val="21"/>
                <w:szCs w:val="18"/>
              </w:rPr>
            </w:pPr>
            <w:r>
              <w:rPr>
                <w:rFonts w:ascii="Times New Roman"/>
                <w:bCs/>
                <w:kern w:val="44"/>
                <w:sz w:val="21"/>
                <w:szCs w:val="18"/>
              </w:rPr>
              <w:t>本项目不属于曹妃甸工业区规划产业禁止及限制准入环境负面清单内项目</w:t>
            </w:r>
          </w:p>
        </w:tc>
        <w:tc>
          <w:tcPr>
            <w:tcW w:w="411" w:type="pct"/>
            <w:tcBorders>
              <w:top w:val="single" w:color="auto" w:sz="4" w:space="0"/>
              <w:bottom w:val="single" w:color="auto" w:sz="4" w:space="0"/>
              <w:right w:val="single" w:color="auto" w:sz="4" w:space="0"/>
            </w:tcBorders>
            <w:vAlign w:val="center"/>
          </w:tcPr>
          <w:p w14:paraId="37942BA0">
            <w:pPr>
              <w:adjustRightInd w:val="0"/>
              <w:snapToGrid w:val="0"/>
              <w:jc w:val="center"/>
              <w:rPr>
                <w:rFonts w:ascii="Times New Roman"/>
                <w:bCs/>
                <w:kern w:val="44"/>
                <w:sz w:val="21"/>
                <w:szCs w:val="18"/>
              </w:rPr>
            </w:pPr>
            <w:r>
              <w:rPr>
                <w:rFonts w:ascii="Times New Roman"/>
                <w:bCs/>
                <w:kern w:val="44"/>
                <w:sz w:val="21"/>
                <w:szCs w:val="18"/>
              </w:rPr>
              <w:t>符合</w:t>
            </w:r>
          </w:p>
        </w:tc>
      </w:tr>
      <w:tr w14:paraId="18563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1A50BEA0">
            <w:pPr>
              <w:adjustRightInd w:val="0"/>
              <w:snapToGrid w:val="0"/>
              <w:jc w:val="center"/>
              <w:rPr>
                <w:rFonts w:ascii="Times New Roman"/>
                <w:bCs/>
                <w:kern w:val="44"/>
                <w:sz w:val="21"/>
                <w:szCs w:val="18"/>
              </w:rPr>
            </w:pPr>
            <w:r>
              <w:rPr>
                <w:rFonts w:ascii="Times New Roman"/>
                <w:bCs/>
                <w:kern w:val="44"/>
                <w:sz w:val="21"/>
                <w:szCs w:val="18"/>
              </w:rPr>
              <w:t>4</w:t>
            </w:r>
          </w:p>
        </w:tc>
        <w:tc>
          <w:tcPr>
            <w:tcW w:w="2189" w:type="pct"/>
            <w:tcBorders>
              <w:top w:val="single" w:color="auto" w:sz="4" w:space="0"/>
              <w:bottom w:val="single" w:color="auto" w:sz="4" w:space="0"/>
              <w:right w:val="single" w:color="auto" w:sz="4" w:space="0"/>
            </w:tcBorders>
            <w:vAlign w:val="center"/>
          </w:tcPr>
          <w:p w14:paraId="227B728E">
            <w:pPr>
              <w:adjustRightInd w:val="0"/>
              <w:snapToGrid w:val="0"/>
              <w:spacing w:line="240" w:lineRule="exact"/>
              <w:jc w:val="center"/>
              <w:rPr>
                <w:rFonts w:ascii="Times New Roman"/>
                <w:bCs/>
                <w:kern w:val="44"/>
                <w:sz w:val="21"/>
                <w:szCs w:val="18"/>
              </w:rPr>
            </w:pPr>
            <w:r>
              <w:rPr>
                <w:rFonts w:ascii="Times New Roman"/>
                <w:bCs/>
                <w:kern w:val="44"/>
                <w:sz w:val="21"/>
                <w:szCs w:val="18"/>
              </w:rPr>
              <w:t>根据各阶段环境质量底线目标，加强示范区污染物排放总量管控，落实区域内现有污染物减排任务和措施，减少污染物的排放量</w:t>
            </w:r>
          </w:p>
        </w:tc>
        <w:tc>
          <w:tcPr>
            <w:tcW w:w="1978" w:type="pct"/>
            <w:tcBorders>
              <w:top w:val="single" w:color="auto" w:sz="4" w:space="0"/>
              <w:bottom w:val="single" w:color="auto" w:sz="4" w:space="0"/>
              <w:right w:val="single" w:color="auto" w:sz="4" w:space="0"/>
            </w:tcBorders>
            <w:vAlign w:val="center"/>
          </w:tcPr>
          <w:p w14:paraId="2DED9CA8">
            <w:pPr>
              <w:adjustRightInd w:val="0"/>
              <w:snapToGrid w:val="0"/>
              <w:spacing w:line="240" w:lineRule="exact"/>
              <w:jc w:val="center"/>
              <w:rPr>
                <w:rFonts w:ascii="Times New Roman"/>
                <w:bCs/>
                <w:kern w:val="44"/>
                <w:sz w:val="21"/>
                <w:szCs w:val="18"/>
              </w:rPr>
            </w:pPr>
            <w:r>
              <w:rPr>
                <w:rFonts w:ascii="Times New Roman"/>
                <w:kern w:val="0"/>
                <w:sz w:val="21"/>
                <w:szCs w:val="18"/>
              </w:rPr>
              <w:t>项目对排放的污染物根据当地环保现行要求进行控制。区域随着唐字〔2022〕2号“退后十”方案的实施，区域颗粒物、氮氧化物等污染物排放量将逐渐减少，环境逐步改善。</w:t>
            </w:r>
          </w:p>
        </w:tc>
        <w:tc>
          <w:tcPr>
            <w:tcW w:w="411" w:type="pct"/>
            <w:tcBorders>
              <w:top w:val="single" w:color="auto" w:sz="4" w:space="0"/>
              <w:bottom w:val="single" w:color="auto" w:sz="4" w:space="0"/>
              <w:right w:val="single" w:color="auto" w:sz="4" w:space="0"/>
            </w:tcBorders>
            <w:vAlign w:val="center"/>
          </w:tcPr>
          <w:p w14:paraId="4D9D9E4F">
            <w:pPr>
              <w:adjustRightInd w:val="0"/>
              <w:snapToGrid w:val="0"/>
              <w:jc w:val="center"/>
              <w:rPr>
                <w:rFonts w:ascii="Times New Roman"/>
                <w:bCs/>
                <w:kern w:val="44"/>
                <w:sz w:val="21"/>
                <w:szCs w:val="18"/>
              </w:rPr>
            </w:pPr>
            <w:r>
              <w:rPr>
                <w:rFonts w:ascii="Times New Roman"/>
                <w:bCs/>
                <w:kern w:val="44"/>
                <w:sz w:val="21"/>
                <w:szCs w:val="18"/>
              </w:rPr>
              <w:t>符合</w:t>
            </w:r>
          </w:p>
        </w:tc>
      </w:tr>
      <w:tr w14:paraId="6737D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604BD816">
            <w:pPr>
              <w:adjustRightInd w:val="0"/>
              <w:snapToGrid w:val="0"/>
              <w:jc w:val="center"/>
              <w:rPr>
                <w:rFonts w:ascii="Times New Roman"/>
                <w:bCs/>
                <w:kern w:val="44"/>
                <w:sz w:val="21"/>
                <w:szCs w:val="18"/>
              </w:rPr>
            </w:pPr>
            <w:r>
              <w:rPr>
                <w:rFonts w:ascii="Times New Roman"/>
                <w:bCs/>
                <w:kern w:val="44"/>
                <w:sz w:val="21"/>
                <w:szCs w:val="18"/>
              </w:rPr>
              <w:t>5</w:t>
            </w:r>
          </w:p>
        </w:tc>
        <w:tc>
          <w:tcPr>
            <w:tcW w:w="2189" w:type="pct"/>
            <w:tcBorders>
              <w:top w:val="single" w:color="auto" w:sz="4" w:space="0"/>
              <w:bottom w:val="single" w:color="auto" w:sz="4" w:space="0"/>
              <w:right w:val="single" w:color="auto" w:sz="4" w:space="0"/>
            </w:tcBorders>
            <w:vAlign w:val="center"/>
          </w:tcPr>
          <w:p w14:paraId="7BD25E0A">
            <w:pPr>
              <w:adjustRightInd w:val="0"/>
              <w:snapToGrid w:val="0"/>
              <w:spacing w:line="240" w:lineRule="exact"/>
              <w:jc w:val="center"/>
              <w:rPr>
                <w:rFonts w:ascii="Times New Roman"/>
                <w:bCs/>
                <w:kern w:val="44"/>
                <w:sz w:val="21"/>
                <w:szCs w:val="18"/>
              </w:rPr>
            </w:pPr>
            <w:r>
              <w:rPr>
                <w:rFonts w:ascii="Times New Roman"/>
                <w:bCs/>
                <w:kern w:val="44"/>
                <w:sz w:val="21"/>
                <w:szCs w:val="18"/>
              </w:rPr>
              <w:t>健全示范区环境监测和环境管理体系。加强挥发性有机物等特征因子自动监测；强化重点企业监督监控及环境信息公开；加强示范区环境管理队伍建设</w:t>
            </w:r>
          </w:p>
        </w:tc>
        <w:tc>
          <w:tcPr>
            <w:tcW w:w="1978" w:type="pct"/>
            <w:tcBorders>
              <w:top w:val="single" w:color="auto" w:sz="4" w:space="0"/>
              <w:bottom w:val="single" w:color="auto" w:sz="4" w:space="0"/>
              <w:right w:val="single" w:color="auto" w:sz="4" w:space="0"/>
            </w:tcBorders>
            <w:vAlign w:val="center"/>
          </w:tcPr>
          <w:p w14:paraId="7E7F9ED0">
            <w:pPr>
              <w:adjustRightInd w:val="0"/>
              <w:snapToGrid w:val="0"/>
              <w:spacing w:line="240" w:lineRule="exact"/>
              <w:jc w:val="center"/>
              <w:rPr>
                <w:rFonts w:ascii="Times New Roman"/>
                <w:bCs/>
                <w:kern w:val="44"/>
                <w:sz w:val="21"/>
                <w:szCs w:val="18"/>
              </w:rPr>
            </w:pPr>
            <w:r>
              <w:rPr>
                <w:rFonts w:ascii="Times New Roman"/>
                <w:bCs/>
                <w:kern w:val="44"/>
                <w:sz w:val="21"/>
                <w:szCs w:val="18"/>
              </w:rPr>
              <w:t>本项目建设符合规划环评规划要求，对污染环节进行了分析，提出了环境监测和环境保护措施监督检查清单</w:t>
            </w:r>
            <w:r>
              <w:rPr>
                <w:rFonts w:hint="eastAsia" w:ascii="Times New Roman"/>
                <w:bCs/>
                <w:kern w:val="44"/>
                <w:sz w:val="21"/>
                <w:szCs w:val="18"/>
              </w:rPr>
              <w:t>。</w:t>
            </w:r>
          </w:p>
        </w:tc>
        <w:tc>
          <w:tcPr>
            <w:tcW w:w="411" w:type="pct"/>
            <w:tcBorders>
              <w:top w:val="single" w:color="auto" w:sz="4" w:space="0"/>
              <w:bottom w:val="single" w:color="auto" w:sz="4" w:space="0"/>
              <w:right w:val="single" w:color="auto" w:sz="4" w:space="0"/>
            </w:tcBorders>
            <w:vAlign w:val="center"/>
          </w:tcPr>
          <w:p w14:paraId="1A13CABE">
            <w:pPr>
              <w:adjustRightInd w:val="0"/>
              <w:snapToGrid w:val="0"/>
              <w:jc w:val="center"/>
              <w:rPr>
                <w:rFonts w:ascii="Times New Roman"/>
                <w:bCs/>
                <w:kern w:val="44"/>
                <w:sz w:val="21"/>
                <w:szCs w:val="18"/>
              </w:rPr>
            </w:pPr>
            <w:r>
              <w:rPr>
                <w:rFonts w:ascii="Times New Roman"/>
                <w:bCs/>
                <w:kern w:val="44"/>
                <w:sz w:val="21"/>
                <w:szCs w:val="18"/>
              </w:rPr>
              <w:t>符合</w:t>
            </w:r>
          </w:p>
        </w:tc>
      </w:tr>
      <w:tr w14:paraId="63916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2" w:type="pct"/>
            <w:tcBorders>
              <w:top w:val="single" w:color="auto" w:sz="4" w:space="0"/>
              <w:left w:val="single" w:color="auto" w:sz="4" w:space="0"/>
              <w:bottom w:val="single" w:color="auto" w:sz="4" w:space="0"/>
            </w:tcBorders>
            <w:vAlign w:val="center"/>
          </w:tcPr>
          <w:p w14:paraId="369EE399">
            <w:pPr>
              <w:adjustRightInd w:val="0"/>
              <w:snapToGrid w:val="0"/>
              <w:jc w:val="center"/>
              <w:rPr>
                <w:rFonts w:ascii="Times New Roman"/>
                <w:bCs/>
                <w:kern w:val="44"/>
                <w:sz w:val="21"/>
                <w:szCs w:val="18"/>
              </w:rPr>
            </w:pPr>
            <w:r>
              <w:rPr>
                <w:rFonts w:hint="eastAsia" w:ascii="Times New Roman"/>
                <w:bCs/>
                <w:kern w:val="44"/>
                <w:sz w:val="21"/>
                <w:szCs w:val="18"/>
              </w:rPr>
              <w:t>6</w:t>
            </w:r>
          </w:p>
        </w:tc>
        <w:tc>
          <w:tcPr>
            <w:tcW w:w="2189" w:type="pct"/>
            <w:tcBorders>
              <w:top w:val="single" w:color="auto" w:sz="4" w:space="0"/>
              <w:bottom w:val="single" w:color="auto" w:sz="4" w:space="0"/>
              <w:right w:val="single" w:color="auto" w:sz="4" w:space="0"/>
            </w:tcBorders>
            <w:vAlign w:val="center"/>
          </w:tcPr>
          <w:p w14:paraId="6AD31F01">
            <w:pPr>
              <w:adjustRightInd w:val="0"/>
              <w:snapToGrid w:val="0"/>
              <w:spacing w:line="240" w:lineRule="exact"/>
              <w:jc w:val="center"/>
              <w:rPr>
                <w:rFonts w:ascii="Times New Roman"/>
                <w:bCs/>
                <w:kern w:val="44"/>
                <w:sz w:val="21"/>
                <w:szCs w:val="18"/>
              </w:rPr>
            </w:pPr>
            <w:r>
              <w:rPr>
                <w:rFonts w:hint="eastAsia" w:ascii="Times New Roman"/>
                <w:bCs/>
                <w:kern w:val="44"/>
                <w:sz w:val="21"/>
                <w:szCs w:val="18"/>
              </w:rPr>
              <w:t>建立健全示范区环境风险防控体系。强化示范区危险化学品、危险废物等储运管理与监控。制定示范区环境风险防范措施及应急预案，确保与区域及示范区内企业等各级应急系统的有效衔接。</w:t>
            </w:r>
          </w:p>
        </w:tc>
        <w:tc>
          <w:tcPr>
            <w:tcW w:w="1978" w:type="pct"/>
            <w:tcBorders>
              <w:top w:val="single" w:color="auto" w:sz="4" w:space="0"/>
              <w:bottom w:val="single" w:color="auto" w:sz="4" w:space="0"/>
              <w:right w:val="single" w:color="auto" w:sz="4" w:space="0"/>
            </w:tcBorders>
            <w:vAlign w:val="center"/>
          </w:tcPr>
          <w:p w14:paraId="5F4B475B">
            <w:pPr>
              <w:adjustRightInd w:val="0"/>
              <w:snapToGrid w:val="0"/>
              <w:spacing w:line="240" w:lineRule="exact"/>
              <w:jc w:val="center"/>
              <w:rPr>
                <w:rFonts w:ascii="Times New Roman"/>
                <w:bCs/>
                <w:kern w:val="44"/>
                <w:sz w:val="21"/>
                <w:szCs w:val="18"/>
              </w:rPr>
            </w:pPr>
            <w:r>
              <w:rPr>
                <w:rFonts w:hint="eastAsia" w:ascii="Times New Roman"/>
                <w:kern w:val="0"/>
                <w:sz w:val="21"/>
                <w:szCs w:val="18"/>
              </w:rPr>
              <w:t>评价根据项目特点提出相关环境风险防范措施，并要求项目投产前编制突发环境事件应急预案，报主管部门备案。</w:t>
            </w:r>
          </w:p>
        </w:tc>
        <w:tc>
          <w:tcPr>
            <w:tcW w:w="411" w:type="pct"/>
            <w:tcBorders>
              <w:top w:val="single" w:color="auto" w:sz="4" w:space="0"/>
              <w:bottom w:val="single" w:color="auto" w:sz="4" w:space="0"/>
              <w:right w:val="single" w:color="auto" w:sz="4" w:space="0"/>
            </w:tcBorders>
            <w:vAlign w:val="center"/>
          </w:tcPr>
          <w:p w14:paraId="3B0A94E1">
            <w:pPr>
              <w:adjustRightInd w:val="0"/>
              <w:snapToGrid w:val="0"/>
              <w:jc w:val="center"/>
              <w:rPr>
                <w:rFonts w:ascii="Times New Roman"/>
                <w:bCs/>
                <w:kern w:val="44"/>
                <w:sz w:val="21"/>
                <w:szCs w:val="18"/>
              </w:rPr>
            </w:pPr>
            <w:r>
              <w:rPr>
                <w:rFonts w:ascii="Times New Roman"/>
                <w:bCs/>
                <w:kern w:val="44"/>
                <w:sz w:val="21"/>
                <w:szCs w:val="18"/>
              </w:rPr>
              <w:t>符合</w:t>
            </w:r>
          </w:p>
        </w:tc>
      </w:tr>
    </w:tbl>
    <w:p w14:paraId="3A985CD8">
      <w:pPr>
        <w:keepNext/>
        <w:keepLines/>
        <w:numPr>
          <w:ilvl w:val="3"/>
          <w:numId w:val="0"/>
        </w:numPr>
        <w:spacing w:line="480" w:lineRule="exact"/>
        <w:rPr>
          <w:rFonts w:ascii="Times New Roman"/>
        </w:rPr>
      </w:pPr>
      <w:r>
        <w:rPr>
          <w:rFonts w:ascii="Times New Roman"/>
          <w:b/>
          <w:snapToGrid w:val="0"/>
          <w:sz w:val="24"/>
          <w:szCs w:val="24"/>
        </w:rPr>
        <w:t>2.9.4.4</w:t>
      </w:r>
      <w:r>
        <w:rPr>
          <w:rFonts w:hint="eastAsia" w:ascii="Times New Roman"/>
          <w:b/>
        </w:rPr>
        <w:t>与园区“三线一单”符合性分析</w:t>
      </w:r>
    </w:p>
    <w:p w14:paraId="70033FDB">
      <w:pPr>
        <w:spacing w:line="360" w:lineRule="auto"/>
        <w:ind w:firstLine="480" w:firstLineChars="200"/>
        <w:rPr>
          <w:rFonts w:ascii="Times New Roman"/>
          <w:sz w:val="24"/>
        </w:rPr>
      </w:pPr>
      <w:r>
        <w:rPr>
          <w:rFonts w:ascii="Times New Roman"/>
          <w:sz w:val="24"/>
          <w:szCs w:val="24"/>
        </w:rPr>
        <w:t>（1）生态保护红线</w:t>
      </w:r>
      <w:r>
        <w:rPr>
          <w:rFonts w:hint="eastAsia" w:ascii="Times New Roman"/>
          <w:sz w:val="24"/>
        </w:rPr>
        <w:t>及空间管控</w:t>
      </w:r>
    </w:p>
    <w:p w14:paraId="40539801">
      <w:pPr>
        <w:spacing w:line="360" w:lineRule="auto"/>
        <w:ind w:firstLine="480" w:firstLineChars="200"/>
        <w:jc w:val="left"/>
        <w:rPr>
          <w:rFonts w:ascii="Times New Roman"/>
          <w:sz w:val="24"/>
        </w:rPr>
      </w:pPr>
      <w:r>
        <w:rPr>
          <w:rFonts w:hint="eastAsia" w:ascii="Times New Roman"/>
          <w:sz w:val="24"/>
        </w:rPr>
        <w:t>项目建设内容与《曹妃甸循环经济示范区规划环境影响跟踪评价报告》中的生态保护红线及空间管控要求进行对比分析，具体内容见下表。</w:t>
      </w:r>
    </w:p>
    <w:p w14:paraId="48F8DECD">
      <w:pPr>
        <w:pStyle w:val="70"/>
      </w:pPr>
    </w:p>
    <w:p w14:paraId="05D22A21">
      <w:pPr>
        <w:spacing w:line="480" w:lineRule="exact"/>
        <w:jc w:val="center"/>
        <w:rPr>
          <w:rFonts w:ascii="Times New Roman"/>
          <w:b/>
          <w:bCs/>
          <w:sz w:val="24"/>
        </w:rPr>
      </w:pPr>
      <w:r>
        <w:rPr>
          <w:rFonts w:ascii="Times New Roman"/>
          <w:b/>
          <w:bCs/>
          <w:sz w:val="24"/>
          <w:szCs w:val="24"/>
        </w:rPr>
        <w:t>表2.9</w:t>
      </w:r>
      <w:r>
        <w:rPr>
          <w:rFonts w:ascii="Times New Roman"/>
          <w:b/>
          <w:bCs/>
          <w:sz w:val="24"/>
          <w:szCs w:val="24"/>
        </w:rPr>
        <w:noBreakHyphen/>
      </w:r>
      <w:r>
        <w:rPr>
          <w:rFonts w:hint="eastAsia" w:ascii="Times New Roman"/>
          <w:b/>
          <w:bCs/>
          <w:sz w:val="24"/>
          <w:szCs w:val="24"/>
        </w:rPr>
        <w:t>4</w:t>
      </w:r>
      <w:r>
        <w:rPr>
          <w:rFonts w:ascii="Times New Roman"/>
          <w:b/>
          <w:bCs/>
          <w:sz w:val="24"/>
          <w:szCs w:val="24"/>
        </w:rPr>
        <w:t xml:space="preserve">  </w:t>
      </w:r>
      <w:r>
        <w:rPr>
          <w:rFonts w:hint="eastAsia" w:ascii="Times New Roman"/>
          <w:b/>
          <w:bCs/>
          <w:sz w:val="24"/>
        </w:rPr>
        <w:t>与示范区生态保护红线及空间管控对比分析一览表</w:t>
      </w:r>
    </w:p>
    <w:tbl>
      <w:tblPr>
        <w:tblStyle w:val="85"/>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191"/>
        <w:gridCol w:w="1432"/>
        <w:gridCol w:w="1352"/>
        <w:gridCol w:w="1092"/>
        <w:gridCol w:w="1551"/>
        <w:gridCol w:w="526"/>
      </w:tblGrid>
      <w:tr w14:paraId="151E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Align w:val="center"/>
          </w:tcPr>
          <w:p w14:paraId="45C04EC5">
            <w:pPr>
              <w:widowControl/>
              <w:spacing w:line="280" w:lineRule="exact"/>
              <w:jc w:val="center"/>
              <w:rPr>
                <w:rFonts w:ascii="Times New Roman"/>
                <w:sz w:val="21"/>
                <w:szCs w:val="21"/>
              </w:rPr>
            </w:pPr>
            <w:r>
              <w:rPr>
                <w:rFonts w:ascii="Times New Roman"/>
                <w:sz w:val="21"/>
                <w:szCs w:val="21"/>
              </w:rPr>
              <w:t>生态保护红线</w:t>
            </w:r>
          </w:p>
        </w:tc>
        <w:tc>
          <w:tcPr>
            <w:tcW w:w="714" w:type="pct"/>
            <w:vAlign w:val="center"/>
          </w:tcPr>
          <w:p w14:paraId="131C4244">
            <w:pPr>
              <w:widowControl/>
              <w:spacing w:line="280" w:lineRule="exact"/>
              <w:jc w:val="center"/>
              <w:rPr>
                <w:rFonts w:ascii="Times New Roman"/>
                <w:sz w:val="21"/>
                <w:szCs w:val="21"/>
              </w:rPr>
            </w:pPr>
            <w:r>
              <w:rPr>
                <w:rFonts w:ascii="Times New Roman"/>
                <w:sz w:val="21"/>
                <w:szCs w:val="21"/>
              </w:rPr>
              <w:t>一般生态空间</w:t>
            </w:r>
          </w:p>
        </w:tc>
        <w:tc>
          <w:tcPr>
            <w:tcW w:w="859" w:type="pct"/>
            <w:vAlign w:val="center"/>
          </w:tcPr>
          <w:p w14:paraId="15D99A90">
            <w:pPr>
              <w:widowControl/>
              <w:spacing w:line="280" w:lineRule="exact"/>
              <w:jc w:val="center"/>
              <w:rPr>
                <w:rFonts w:ascii="Times New Roman"/>
                <w:sz w:val="21"/>
                <w:szCs w:val="21"/>
              </w:rPr>
            </w:pPr>
            <w:r>
              <w:rPr>
                <w:rFonts w:ascii="Times New Roman"/>
                <w:sz w:val="21"/>
                <w:szCs w:val="21"/>
              </w:rPr>
              <w:t>建设要求</w:t>
            </w:r>
          </w:p>
        </w:tc>
        <w:tc>
          <w:tcPr>
            <w:tcW w:w="811" w:type="pct"/>
            <w:vAlign w:val="center"/>
          </w:tcPr>
          <w:p w14:paraId="651C5F58">
            <w:pPr>
              <w:widowControl/>
              <w:spacing w:line="280" w:lineRule="exact"/>
              <w:jc w:val="center"/>
              <w:rPr>
                <w:rFonts w:ascii="Times New Roman"/>
                <w:sz w:val="21"/>
                <w:szCs w:val="21"/>
              </w:rPr>
            </w:pPr>
            <w:r>
              <w:rPr>
                <w:rFonts w:ascii="Times New Roman"/>
                <w:sz w:val="21"/>
                <w:szCs w:val="21"/>
              </w:rPr>
              <w:t>面积</w:t>
            </w:r>
          </w:p>
        </w:tc>
        <w:tc>
          <w:tcPr>
            <w:tcW w:w="655" w:type="pct"/>
            <w:vAlign w:val="center"/>
          </w:tcPr>
          <w:p w14:paraId="21B6F267">
            <w:pPr>
              <w:widowControl/>
              <w:spacing w:line="280" w:lineRule="exact"/>
              <w:jc w:val="center"/>
              <w:rPr>
                <w:rFonts w:ascii="Times New Roman"/>
                <w:sz w:val="21"/>
                <w:szCs w:val="21"/>
              </w:rPr>
            </w:pPr>
            <w:r>
              <w:rPr>
                <w:rFonts w:ascii="Times New Roman"/>
                <w:sz w:val="21"/>
                <w:szCs w:val="21"/>
              </w:rPr>
              <w:t>管控要求</w:t>
            </w:r>
          </w:p>
        </w:tc>
        <w:tc>
          <w:tcPr>
            <w:tcW w:w="930" w:type="pct"/>
            <w:vAlign w:val="center"/>
          </w:tcPr>
          <w:p w14:paraId="5F9988E5">
            <w:pPr>
              <w:widowControl/>
              <w:spacing w:line="280" w:lineRule="exact"/>
              <w:jc w:val="center"/>
              <w:rPr>
                <w:rFonts w:ascii="Times New Roman"/>
                <w:sz w:val="21"/>
                <w:szCs w:val="21"/>
              </w:rPr>
            </w:pPr>
            <w:r>
              <w:rPr>
                <w:rFonts w:ascii="Times New Roman"/>
                <w:sz w:val="21"/>
                <w:szCs w:val="21"/>
              </w:rPr>
              <w:t>本项目</w:t>
            </w:r>
          </w:p>
        </w:tc>
        <w:tc>
          <w:tcPr>
            <w:tcW w:w="315" w:type="pct"/>
            <w:vAlign w:val="center"/>
          </w:tcPr>
          <w:p w14:paraId="01BE67EF">
            <w:pPr>
              <w:widowControl/>
              <w:spacing w:line="280" w:lineRule="exact"/>
              <w:jc w:val="center"/>
              <w:rPr>
                <w:rFonts w:ascii="Times New Roman"/>
                <w:sz w:val="21"/>
                <w:szCs w:val="21"/>
              </w:rPr>
            </w:pPr>
            <w:r>
              <w:rPr>
                <w:rFonts w:ascii="Times New Roman"/>
                <w:sz w:val="21"/>
                <w:szCs w:val="21"/>
              </w:rPr>
              <w:t>结论</w:t>
            </w:r>
          </w:p>
        </w:tc>
      </w:tr>
      <w:tr w14:paraId="5A85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restart"/>
            <w:vAlign w:val="center"/>
          </w:tcPr>
          <w:p w14:paraId="5778B71D">
            <w:pPr>
              <w:widowControl/>
              <w:spacing w:line="280" w:lineRule="exact"/>
              <w:jc w:val="center"/>
              <w:rPr>
                <w:rFonts w:ascii="Times New Roman"/>
                <w:sz w:val="21"/>
                <w:szCs w:val="21"/>
              </w:rPr>
            </w:pPr>
            <w:r>
              <w:rPr>
                <w:rFonts w:ascii="Times New Roman"/>
                <w:kern w:val="0"/>
                <w:sz w:val="21"/>
                <w:szCs w:val="21"/>
              </w:rPr>
              <w:t>根据《河北省生态功能区划》《唐山市海洋生态保护红线》《曹妃甸区陆域生态保护红线》等文件要求，工业区不涉及重要的海洋功能区、生态功能区、生态保护红线</w:t>
            </w:r>
          </w:p>
        </w:tc>
        <w:tc>
          <w:tcPr>
            <w:tcW w:w="714" w:type="pct"/>
            <w:vAlign w:val="center"/>
          </w:tcPr>
          <w:p w14:paraId="29EA9FB1">
            <w:pPr>
              <w:widowControl/>
              <w:spacing w:line="280" w:lineRule="exact"/>
              <w:jc w:val="center"/>
              <w:rPr>
                <w:rFonts w:ascii="Times New Roman"/>
                <w:sz w:val="21"/>
                <w:szCs w:val="21"/>
              </w:rPr>
            </w:pPr>
            <w:r>
              <w:rPr>
                <w:rFonts w:ascii="Times New Roman"/>
                <w:kern w:val="0"/>
                <w:sz w:val="21"/>
                <w:szCs w:val="21"/>
              </w:rPr>
              <w:t>纳潮河生态隔离带</w:t>
            </w:r>
          </w:p>
        </w:tc>
        <w:tc>
          <w:tcPr>
            <w:tcW w:w="859" w:type="pct"/>
            <w:vAlign w:val="center"/>
          </w:tcPr>
          <w:p w14:paraId="4782C388">
            <w:pPr>
              <w:widowControl/>
              <w:spacing w:line="280" w:lineRule="exact"/>
              <w:jc w:val="center"/>
              <w:rPr>
                <w:rFonts w:ascii="Times New Roman"/>
                <w:kern w:val="0"/>
                <w:sz w:val="21"/>
                <w:szCs w:val="21"/>
              </w:rPr>
            </w:pPr>
            <w:r>
              <w:rPr>
                <w:rFonts w:ascii="Times New Roman"/>
                <w:kern w:val="0"/>
                <w:sz w:val="21"/>
                <w:szCs w:val="21"/>
              </w:rPr>
              <w:t>形成1200～1500米生态隔离带</w:t>
            </w:r>
          </w:p>
        </w:tc>
        <w:tc>
          <w:tcPr>
            <w:tcW w:w="811" w:type="pct"/>
            <w:vAlign w:val="center"/>
          </w:tcPr>
          <w:p w14:paraId="4772F97A">
            <w:pPr>
              <w:widowControl/>
              <w:spacing w:line="280" w:lineRule="exact"/>
              <w:jc w:val="center"/>
              <w:rPr>
                <w:rFonts w:ascii="Times New Roman"/>
                <w:kern w:val="0"/>
                <w:sz w:val="21"/>
                <w:szCs w:val="21"/>
              </w:rPr>
            </w:pPr>
            <w:r>
              <w:rPr>
                <w:rFonts w:ascii="Times New Roman"/>
                <w:kern w:val="0"/>
                <w:sz w:val="21"/>
                <w:szCs w:val="21"/>
              </w:rPr>
              <w:t>绿地面积1.84平方公里（不含纳潮河）</w:t>
            </w:r>
          </w:p>
        </w:tc>
        <w:tc>
          <w:tcPr>
            <w:tcW w:w="655" w:type="pct"/>
            <w:vMerge w:val="restart"/>
            <w:vAlign w:val="center"/>
          </w:tcPr>
          <w:p w14:paraId="3442E9C5">
            <w:pPr>
              <w:widowControl/>
              <w:spacing w:line="280" w:lineRule="exact"/>
              <w:jc w:val="center"/>
              <w:rPr>
                <w:rFonts w:ascii="Times New Roman"/>
                <w:sz w:val="21"/>
                <w:szCs w:val="21"/>
              </w:rPr>
            </w:pPr>
            <w:r>
              <w:rPr>
                <w:rFonts w:ascii="Times New Roman"/>
                <w:kern w:val="0"/>
                <w:sz w:val="21"/>
                <w:szCs w:val="21"/>
              </w:rPr>
              <w:t>生态空间以绿地、林地、河流、道路为主，原则上除必要的基础设施建设外，不得作为工业生产用地，严禁安排固体废物堆存、污水直排等活动。</w:t>
            </w:r>
          </w:p>
        </w:tc>
        <w:tc>
          <w:tcPr>
            <w:tcW w:w="930" w:type="pct"/>
            <w:vMerge w:val="restart"/>
            <w:vAlign w:val="center"/>
          </w:tcPr>
          <w:p w14:paraId="38AF707B">
            <w:pPr>
              <w:widowControl/>
              <w:spacing w:line="280" w:lineRule="exact"/>
              <w:jc w:val="center"/>
              <w:rPr>
                <w:rFonts w:ascii="Times New Roman"/>
                <w:sz w:val="21"/>
                <w:szCs w:val="21"/>
              </w:rPr>
            </w:pPr>
            <w:r>
              <w:rPr>
                <w:rFonts w:ascii="Times New Roman"/>
                <w:sz w:val="21"/>
                <w:szCs w:val="21"/>
              </w:rPr>
              <w:t>本项目选址位于曹妃甸循环经济示范园</w:t>
            </w:r>
            <w:r>
              <w:rPr>
                <w:rFonts w:hint="eastAsia" w:ascii="Times New Roman" w:eastAsia="新宋体"/>
                <w:sz w:val="21"/>
                <w:szCs w:val="21"/>
              </w:rPr>
              <w:t>装备制造园区现有厂区内</w:t>
            </w:r>
            <w:r>
              <w:rPr>
                <w:rFonts w:ascii="Times New Roman"/>
                <w:sz w:val="21"/>
                <w:szCs w:val="21"/>
              </w:rPr>
              <w:t>，</w:t>
            </w:r>
          </w:p>
          <w:p w14:paraId="183EC01A">
            <w:pPr>
              <w:widowControl/>
              <w:spacing w:line="280" w:lineRule="exact"/>
              <w:jc w:val="center"/>
              <w:rPr>
                <w:rFonts w:ascii="Times New Roman"/>
                <w:sz w:val="21"/>
                <w:szCs w:val="21"/>
              </w:rPr>
            </w:pPr>
            <w:r>
              <w:rPr>
                <w:rFonts w:ascii="Times New Roman"/>
                <w:kern w:val="0"/>
                <w:sz w:val="21"/>
                <w:szCs w:val="21"/>
              </w:rPr>
              <w:t>不涉及重要海洋生态功能区、生态功能区及生态保护红线，不占用规划的绿地、林地、河流及道路。</w:t>
            </w:r>
          </w:p>
        </w:tc>
        <w:tc>
          <w:tcPr>
            <w:tcW w:w="315" w:type="pct"/>
            <w:vMerge w:val="restart"/>
            <w:vAlign w:val="center"/>
          </w:tcPr>
          <w:p w14:paraId="38097FC0">
            <w:pPr>
              <w:widowControl/>
              <w:spacing w:line="280" w:lineRule="exact"/>
              <w:jc w:val="center"/>
              <w:rPr>
                <w:rFonts w:ascii="Times New Roman"/>
                <w:sz w:val="21"/>
                <w:szCs w:val="21"/>
              </w:rPr>
            </w:pPr>
            <w:r>
              <w:rPr>
                <w:rFonts w:ascii="Times New Roman"/>
                <w:sz w:val="21"/>
                <w:szCs w:val="21"/>
              </w:rPr>
              <w:t>符合</w:t>
            </w:r>
          </w:p>
        </w:tc>
      </w:tr>
      <w:tr w14:paraId="7EFF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1B713490">
            <w:pPr>
              <w:widowControl/>
              <w:spacing w:line="280" w:lineRule="exact"/>
              <w:jc w:val="center"/>
              <w:rPr>
                <w:rFonts w:ascii="Times New Roman"/>
                <w:sz w:val="21"/>
                <w:szCs w:val="21"/>
              </w:rPr>
            </w:pPr>
          </w:p>
        </w:tc>
        <w:tc>
          <w:tcPr>
            <w:tcW w:w="714" w:type="pct"/>
            <w:vAlign w:val="center"/>
          </w:tcPr>
          <w:p w14:paraId="723F5BBE">
            <w:pPr>
              <w:widowControl/>
              <w:spacing w:line="280" w:lineRule="exact"/>
              <w:jc w:val="center"/>
              <w:rPr>
                <w:rFonts w:ascii="Times New Roman"/>
                <w:sz w:val="21"/>
                <w:szCs w:val="21"/>
              </w:rPr>
            </w:pPr>
            <w:r>
              <w:rPr>
                <w:rFonts w:ascii="Times New Roman"/>
                <w:kern w:val="0"/>
                <w:sz w:val="21"/>
                <w:szCs w:val="21"/>
              </w:rPr>
              <w:t>迁曹高速生态隔离带</w:t>
            </w:r>
          </w:p>
        </w:tc>
        <w:tc>
          <w:tcPr>
            <w:tcW w:w="859" w:type="pct"/>
            <w:vAlign w:val="center"/>
          </w:tcPr>
          <w:p w14:paraId="624064AC">
            <w:pPr>
              <w:widowControl/>
              <w:spacing w:line="280" w:lineRule="exact"/>
              <w:jc w:val="center"/>
              <w:rPr>
                <w:rFonts w:ascii="Times New Roman"/>
                <w:kern w:val="0"/>
                <w:sz w:val="21"/>
                <w:szCs w:val="21"/>
              </w:rPr>
            </w:pPr>
            <w:r>
              <w:rPr>
                <w:rFonts w:ascii="Times New Roman"/>
                <w:kern w:val="0"/>
                <w:sz w:val="21"/>
                <w:szCs w:val="21"/>
              </w:rPr>
              <w:t>结合高速、铁路及水系，形成300～500米生态隔离带</w:t>
            </w:r>
          </w:p>
        </w:tc>
        <w:tc>
          <w:tcPr>
            <w:tcW w:w="811" w:type="pct"/>
            <w:vAlign w:val="center"/>
          </w:tcPr>
          <w:p w14:paraId="115276EF">
            <w:pPr>
              <w:widowControl/>
              <w:spacing w:line="280" w:lineRule="exact"/>
              <w:jc w:val="center"/>
              <w:rPr>
                <w:rFonts w:ascii="Times New Roman"/>
                <w:kern w:val="0"/>
                <w:sz w:val="21"/>
                <w:szCs w:val="21"/>
              </w:rPr>
            </w:pPr>
            <w:r>
              <w:rPr>
                <w:rFonts w:ascii="Times New Roman"/>
                <w:kern w:val="0"/>
                <w:sz w:val="21"/>
                <w:szCs w:val="21"/>
              </w:rPr>
              <w:t>面积8.77平方公里（含道路、铁路用地）</w:t>
            </w:r>
          </w:p>
        </w:tc>
        <w:tc>
          <w:tcPr>
            <w:tcW w:w="655" w:type="pct"/>
            <w:vMerge w:val="continue"/>
            <w:vAlign w:val="center"/>
          </w:tcPr>
          <w:p w14:paraId="2EBCD226">
            <w:pPr>
              <w:widowControl/>
              <w:spacing w:line="280" w:lineRule="exact"/>
              <w:jc w:val="center"/>
              <w:rPr>
                <w:rFonts w:ascii="Times New Roman"/>
                <w:sz w:val="21"/>
                <w:szCs w:val="21"/>
              </w:rPr>
            </w:pPr>
          </w:p>
        </w:tc>
        <w:tc>
          <w:tcPr>
            <w:tcW w:w="930" w:type="pct"/>
            <w:vMerge w:val="continue"/>
            <w:vAlign w:val="center"/>
          </w:tcPr>
          <w:p w14:paraId="48A690A5">
            <w:pPr>
              <w:widowControl/>
              <w:spacing w:line="280" w:lineRule="exact"/>
              <w:jc w:val="center"/>
              <w:rPr>
                <w:rFonts w:ascii="Times New Roman"/>
                <w:sz w:val="21"/>
                <w:szCs w:val="21"/>
              </w:rPr>
            </w:pPr>
          </w:p>
        </w:tc>
        <w:tc>
          <w:tcPr>
            <w:tcW w:w="315" w:type="pct"/>
            <w:vMerge w:val="continue"/>
            <w:vAlign w:val="center"/>
          </w:tcPr>
          <w:p w14:paraId="20275E70">
            <w:pPr>
              <w:widowControl/>
              <w:spacing w:line="280" w:lineRule="exact"/>
              <w:jc w:val="center"/>
              <w:rPr>
                <w:rFonts w:ascii="Times New Roman"/>
                <w:sz w:val="21"/>
                <w:szCs w:val="21"/>
              </w:rPr>
            </w:pPr>
          </w:p>
        </w:tc>
      </w:tr>
      <w:tr w14:paraId="6A9A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5860DB6B">
            <w:pPr>
              <w:widowControl/>
              <w:spacing w:line="280" w:lineRule="exact"/>
              <w:jc w:val="center"/>
              <w:rPr>
                <w:rFonts w:ascii="Times New Roman"/>
                <w:sz w:val="21"/>
                <w:szCs w:val="21"/>
              </w:rPr>
            </w:pPr>
          </w:p>
        </w:tc>
        <w:tc>
          <w:tcPr>
            <w:tcW w:w="714" w:type="pct"/>
            <w:vAlign w:val="center"/>
          </w:tcPr>
          <w:p w14:paraId="5B825484">
            <w:pPr>
              <w:widowControl/>
              <w:spacing w:line="280" w:lineRule="exact"/>
              <w:jc w:val="center"/>
              <w:rPr>
                <w:rFonts w:ascii="Times New Roman"/>
                <w:sz w:val="21"/>
                <w:szCs w:val="21"/>
              </w:rPr>
            </w:pPr>
            <w:r>
              <w:rPr>
                <w:rFonts w:ascii="Times New Roman"/>
                <w:kern w:val="0"/>
                <w:sz w:val="21"/>
                <w:szCs w:val="21"/>
              </w:rPr>
              <w:t>工业区北侧绿廊</w:t>
            </w:r>
          </w:p>
        </w:tc>
        <w:tc>
          <w:tcPr>
            <w:tcW w:w="859" w:type="pct"/>
            <w:vAlign w:val="center"/>
          </w:tcPr>
          <w:p w14:paraId="4E1594E6">
            <w:pPr>
              <w:widowControl/>
              <w:spacing w:line="280" w:lineRule="exact"/>
              <w:jc w:val="center"/>
              <w:rPr>
                <w:rFonts w:ascii="Times New Roman"/>
                <w:kern w:val="0"/>
                <w:sz w:val="21"/>
                <w:szCs w:val="21"/>
              </w:rPr>
            </w:pPr>
            <w:r>
              <w:rPr>
                <w:rFonts w:ascii="Times New Roman"/>
                <w:kern w:val="0"/>
                <w:sz w:val="21"/>
                <w:szCs w:val="21"/>
              </w:rPr>
              <w:t>建设宽度约为200米绿化带</w:t>
            </w:r>
          </w:p>
        </w:tc>
        <w:tc>
          <w:tcPr>
            <w:tcW w:w="811" w:type="pct"/>
            <w:vAlign w:val="center"/>
          </w:tcPr>
          <w:p w14:paraId="10AAB296">
            <w:pPr>
              <w:widowControl/>
              <w:spacing w:line="280" w:lineRule="exact"/>
              <w:jc w:val="center"/>
              <w:rPr>
                <w:rFonts w:ascii="Times New Roman"/>
                <w:kern w:val="0"/>
                <w:sz w:val="21"/>
                <w:szCs w:val="21"/>
              </w:rPr>
            </w:pPr>
            <w:r>
              <w:rPr>
                <w:rFonts w:ascii="Times New Roman"/>
                <w:kern w:val="0"/>
                <w:sz w:val="21"/>
                <w:szCs w:val="21"/>
              </w:rPr>
              <w:t>绿地面积3.7平方公里</w:t>
            </w:r>
          </w:p>
        </w:tc>
        <w:tc>
          <w:tcPr>
            <w:tcW w:w="655" w:type="pct"/>
            <w:vMerge w:val="continue"/>
            <w:vAlign w:val="center"/>
          </w:tcPr>
          <w:p w14:paraId="12BCD9D4">
            <w:pPr>
              <w:widowControl/>
              <w:spacing w:line="280" w:lineRule="exact"/>
              <w:jc w:val="center"/>
              <w:rPr>
                <w:rFonts w:ascii="Times New Roman"/>
                <w:sz w:val="21"/>
                <w:szCs w:val="21"/>
              </w:rPr>
            </w:pPr>
          </w:p>
        </w:tc>
        <w:tc>
          <w:tcPr>
            <w:tcW w:w="930" w:type="pct"/>
            <w:vMerge w:val="continue"/>
            <w:vAlign w:val="center"/>
          </w:tcPr>
          <w:p w14:paraId="251CC4B8">
            <w:pPr>
              <w:widowControl/>
              <w:spacing w:line="280" w:lineRule="exact"/>
              <w:jc w:val="center"/>
              <w:rPr>
                <w:rFonts w:ascii="Times New Roman"/>
                <w:sz w:val="21"/>
                <w:szCs w:val="21"/>
              </w:rPr>
            </w:pPr>
          </w:p>
        </w:tc>
        <w:tc>
          <w:tcPr>
            <w:tcW w:w="315" w:type="pct"/>
            <w:vMerge w:val="continue"/>
            <w:vAlign w:val="center"/>
          </w:tcPr>
          <w:p w14:paraId="15881DBD">
            <w:pPr>
              <w:widowControl/>
              <w:spacing w:line="280" w:lineRule="exact"/>
              <w:jc w:val="center"/>
              <w:rPr>
                <w:rFonts w:ascii="Times New Roman"/>
                <w:sz w:val="21"/>
                <w:szCs w:val="21"/>
              </w:rPr>
            </w:pPr>
          </w:p>
        </w:tc>
      </w:tr>
      <w:tr w14:paraId="2A2E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7F92C7AD">
            <w:pPr>
              <w:widowControl/>
              <w:spacing w:line="280" w:lineRule="exact"/>
              <w:jc w:val="center"/>
              <w:rPr>
                <w:rFonts w:ascii="Times New Roman"/>
                <w:sz w:val="21"/>
                <w:szCs w:val="21"/>
              </w:rPr>
            </w:pPr>
          </w:p>
        </w:tc>
        <w:tc>
          <w:tcPr>
            <w:tcW w:w="714" w:type="pct"/>
            <w:vAlign w:val="center"/>
          </w:tcPr>
          <w:p w14:paraId="127943B0">
            <w:pPr>
              <w:widowControl/>
              <w:spacing w:line="280" w:lineRule="exact"/>
              <w:jc w:val="center"/>
              <w:rPr>
                <w:rFonts w:ascii="Times New Roman"/>
                <w:sz w:val="21"/>
                <w:szCs w:val="21"/>
              </w:rPr>
            </w:pPr>
            <w:r>
              <w:rPr>
                <w:rFonts w:ascii="Times New Roman"/>
                <w:kern w:val="0"/>
                <w:sz w:val="21"/>
                <w:szCs w:val="21"/>
              </w:rPr>
              <w:t>北环大道绿廊</w:t>
            </w:r>
          </w:p>
        </w:tc>
        <w:tc>
          <w:tcPr>
            <w:tcW w:w="859" w:type="pct"/>
            <w:vMerge w:val="restart"/>
            <w:vAlign w:val="center"/>
          </w:tcPr>
          <w:p w14:paraId="4BEFBFA4">
            <w:pPr>
              <w:widowControl/>
              <w:spacing w:line="280" w:lineRule="exact"/>
              <w:jc w:val="center"/>
              <w:rPr>
                <w:rFonts w:ascii="Times New Roman"/>
                <w:kern w:val="0"/>
                <w:sz w:val="21"/>
                <w:szCs w:val="21"/>
              </w:rPr>
            </w:pPr>
            <w:r>
              <w:rPr>
                <w:rFonts w:ascii="Times New Roman"/>
                <w:kern w:val="0"/>
                <w:sz w:val="21"/>
                <w:szCs w:val="21"/>
              </w:rPr>
              <w:t>形成宽度30～50米的绿化带</w:t>
            </w:r>
          </w:p>
        </w:tc>
        <w:tc>
          <w:tcPr>
            <w:tcW w:w="811" w:type="pct"/>
            <w:vAlign w:val="center"/>
          </w:tcPr>
          <w:p w14:paraId="4C3BB38F">
            <w:pPr>
              <w:widowControl/>
              <w:spacing w:line="280" w:lineRule="exact"/>
              <w:jc w:val="center"/>
              <w:rPr>
                <w:rFonts w:ascii="Times New Roman"/>
                <w:kern w:val="0"/>
                <w:sz w:val="21"/>
                <w:szCs w:val="21"/>
              </w:rPr>
            </w:pPr>
            <w:r>
              <w:rPr>
                <w:rFonts w:ascii="Times New Roman"/>
                <w:kern w:val="0"/>
                <w:sz w:val="21"/>
                <w:szCs w:val="21"/>
              </w:rPr>
              <w:t>绿地面积3.9平方公里</w:t>
            </w:r>
          </w:p>
        </w:tc>
        <w:tc>
          <w:tcPr>
            <w:tcW w:w="655" w:type="pct"/>
            <w:vMerge w:val="continue"/>
            <w:vAlign w:val="center"/>
          </w:tcPr>
          <w:p w14:paraId="3E02F1D3">
            <w:pPr>
              <w:widowControl/>
              <w:spacing w:line="280" w:lineRule="exact"/>
              <w:jc w:val="center"/>
              <w:rPr>
                <w:rFonts w:ascii="Times New Roman"/>
                <w:sz w:val="21"/>
                <w:szCs w:val="21"/>
              </w:rPr>
            </w:pPr>
          </w:p>
        </w:tc>
        <w:tc>
          <w:tcPr>
            <w:tcW w:w="930" w:type="pct"/>
            <w:vMerge w:val="continue"/>
            <w:vAlign w:val="center"/>
          </w:tcPr>
          <w:p w14:paraId="3E844DE4">
            <w:pPr>
              <w:widowControl/>
              <w:spacing w:line="280" w:lineRule="exact"/>
              <w:jc w:val="center"/>
              <w:rPr>
                <w:rFonts w:ascii="Times New Roman"/>
                <w:sz w:val="21"/>
                <w:szCs w:val="21"/>
              </w:rPr>
            </w:pPr>
          </w:p>
        </w:tc>
        <w:tc>
          <w:tcPr>
            <w:tcW w:w="315" w:type="pct"/>
            <w:vMerge w:val="continue"/>
            <w:vAlign w:val="center"/>
          </w:tcPr>
          <w:p w14:paraId="798AAD30">
            <w:pPr>
              <w:widowControl/>
              <w:spacing w:line="280" w:lineRule="exact"/>
              <w:jc w:val="center"/>
              <w:rPr>
                <w:rFonts w:ascii="Times New Roman"/>
                <w:sz w:val="21"/>
                <w:szCs w:val="21"/>
              </w:rPr>
            </w:pPr>
          </w:p>
        </w:tc>
      </w:tr>
      <w:tr w14:paraId="2E01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15BD7B98">
            <w:pPr>
              <w:widowControl/>
              <w:spacing w:line="280" w:lineRule="exact"/>
              <w:jc w:val="center"/>
              <w:rPr>
                <w:rFonts w:ascii="Times New Roman"/>
                <w:sz w:val="21"/>
                <w:szCs w:val="21"/>
              </w:rPr>
            </w:pPr>
          </w:p>
        </w:tc>
        <w:tc>
          <w:tcPr>
            <w:tcW w:w="714" w:type="pct"/>
            <w:vAlign w:val="center"/>
          </w:tcPr>
          <w:p w14:paraId="499E17EA">
            <w:pPr>
              <w:widowControl/>
              <w:spacing w:line="280" w:lineRule="exact"/>
              <w:jc w:val="center"/>
              <w:rPr>
                <w:rFonts w:ascii="Times New Roman"/>
                <w:sz w:val="21"/>
                <w:szCs w:val="21"/>
              </w:rPr>
            </w:pPr>
            <w:r>
              <w:rPr>
                <w:rFonts w:ascii="Times New Roman"/>
                <w:kern w:val="0"/>
                <w:sz w:val="21"/>
                <w:szCs w:val="21"/>
              </w:rPr>
              <w:t>唐曹高速（纳潮河以北路段）绿廊</w:t>
            </w:r>
          </w:p>
        </w:tc>
        <w:tc>
          <w:tcPr>
            <w:tcW w:w="859" w:type="pct"/>
            <w:vMerge w:val="continue"/>
            <w:vAlign w:val="center"/>
          </w:tcPr>
          <w:p w14:paraId="733D8032">
            <w:pPr>
              <w:widowControl/>
              <w:spacing w:line="280" w:lineRule="exact"/>
              <w:jc w:val="center"/>
              <w:rPr>
                <w:rFonts w:ascii="Times New Roman"/>
                <w:kern w:val="0"/>
                <w:sz w:val="21"/>
                <w:szCs w:val="21"/>
              </w:rPr>
            </w:pPr>
          </w:p>
        </w:tc>
        <w:tc>
          <w:tcPr>
            <w:tcW w:w="811" w:type="pct"/>
            <w:vAlign w:val="center"/>
          </w:tcPr>
          <w:p w14:paraId="00075178">
            <w:pPr>
              <w:widowControl/>
              <w:spacing w:line="280" w:lineRule="exact"/>
              <w:jc w:val="center"/>
              <w:rPr>
                <w:rFonts w:ascii="Times New Roman"/>
                <w:kern w:val="0"/>
                <w:sz w:val="21"/>
                <w:szCs w:val="21"/>
              </w:rPr>
            </w:pPr>
            <w:r>
              <w:rPr>
                <w:rFonts w:ascii="Times New Roman"/>
                <w:kern w:val="0"/>
                <w:sz w:val="21"/>
                <w:szCs w:val="21"/>
              </w:rPr>
              <w:t>绿地面积0.24平方公里</w:t>
            </w:r>
          </w:p>
        </w:tc>
        <w:tc>
          <w:tcPr>
            <w:tcW w:w="655" w:type="pct"/>
            <w:vMerge w:val="continue"/>
            <w:vAlign w:val="center"/>
          </w:tcPr>
          <w:p w14:paraId="7F1214E8">
            <w:pPr>
              <w:widowControl/>
              <w:spacing w:line="280" w:lineRule="exact"/>
              <w:jc w:val="center"/>
              <w:rPr>
                <w:rFonts w:ascii="Times New Roman"/>
                <w:sz w:val="21"/>
                <w:szCs w:val="21"/>
              </w:rPr>
            </w:pPr>
          </w:p>
        </w:tc>
        <w:tc>
          <w:tcPr>
            <w:tcW w:w="930" w:type="pct"/>
            <w:vMerge w:val="continue"/>
            <w:vAlign w:val="center"/>
          </w:tcPr>
          <w:p w14:paraId="24E22F0E">
            <w:pPr>
              <w:widowControl/>
              <w:spacing w:line="280" w:lineRule="exact"/>
              <w:jc w:val="center"/>
              <w:rPr>
                <w:rFonts w:ascii="Times New Roman"/>
                <w:sz w:val="21"/>
                <w:szCs w:val="21"/>
              </w:rPr>
            </w:pPr>
          </w:p>
        </w:tc>
        <w:tc>
          <w:tcPr>
            <w:tcW w:w="315" w:type="pct"/>
            <w:vMerge w:val="continue"/>
            <w:vAlign w:val="center"/>
          </w:tcPr>
          <w:p w14:paraId="2877858A">
            <w:pPr>
              <w:widowControl/>
              <w:spacing w:line="280" w:lineRule="exact"/>
              <w:jc w:val="center"/>
              <w:rPr>
                <w:rFonts w:ascii="Times New Roman"/>
                <w:sz w:val="21"/>
                <w:szCs w:val="21"/>
              </w:rPr>
            </w:pPr>
          </w:p>
        </w:tc>
      </w:tr>
      <w:tr w14:paraId="29DC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522C491F">
            <w:pPr>
              <w:widowControl/>
              <w:spacing w:line="280" w:lineRule="exact"/>
              <w:jc w:val="center"/>
              <w:rPr>
                <w:rFonts w:ascii="Times New Roman"/>
                <w:sz w:val="21"/>
                <w:szCs w:val="21"/>
              </w:rPr>
            </w:pPr>
          </w:p>
        </w:tc>
        <w:tc>
          <w:tcPr>
            <w:tcW w:w="714" w:type="pct"/>
            <w:vAlign w:val="center"/>
          </w:tcPr>
          <w:p w14:paraId="5BA63BBC">
            <w:pPr>
              <w:widowControl/>
              <w:spacing w:line="280" w:lineRule="exact"/>
              <w:jc w:val="center"/>
              <w:rPr>
                <w:rFonts w:ascii="Times New Roman"/>
                <w:sz w:val="21"/>
                <w:szCs w:val="21"/>
              </w:rPr>
            </w:pPr>
            <w:r>
              <w:rPr>
                <w:rFonts w:ascii="Times New Roman"/>
                <w:kern w:val="0"/>
                <w:sz w:val="21"/>
                <w:szCs w:val="21"/>
              </w:rPr>
              <w:t>电力廊道河绿廊</w:t>
            </w:r>
          </w:p>
        </w:tc>
        <w:tc>
          <w:tcPr>
            <w:tcW w:w="859" w:type="pct"/>
            <w:vMerge w:val="continue"/>
            <w:vAlign w:val="center"/>
          </w:tcPr>
          <w:p w14:paraId="3FA680C7">
            <w:pPr>
              <w:widowControl/>
              <w:spacing w:line="280" w:lineRule="exact"/>
              <w:jc w:val="center"/>
              <w:rPr>
                <w:rFonts w:ascii="Times New Roman"/>
                <w:kern w:val="0"/>
                <w:sz w:val="21"/>
                <w:szCs w:val="21"/>
              </w:rPr>
            </w:pPr>
          </w:p>
        </w:tc>
        <w:tc>
          <w:tcPr>
            <w:tcW w:w="811" w:type="pct"/>
            <w:vAlign w:val="center"/>
          </w:tcPr>
          <w:p w14:paraId="3901E114">
            <w:pPr>
              <w:widowControl/>
              <w:spacing w:line="280" w:lineRule="exact"/>
              <w:jc w:val="center"/>
              <w:rPr>
                <w:rFonts w:ascii="Times New Roman"/>
                <w:kern w:val="0"/>
                <w:sz w:val="21"/>
                <w:szCs w:val="21"/>
              </w:rPr>
            </w:pPr>
            <w:r>
              <w:rPr>
                <w:rFonts w:ascii="Times New Roman"/>
                <w:kern w:val="0"/>
                <w:sz w:val="21"/>
                <w:szCs w:val="21"/>
              </w:rPr>
              <w:t>4.23平方公里（含水域面积）</w:t>
            </w:r>
          </w:p>
        </w:tc>
        <w:tc>
          <w:tcPr>
            <w:tcW w:w="655" w:type="pct"/>
            <w:vMerge w:val="continue"/>
            <w:vAlign w:val="center"/>
          </w:tcPr>
          <w:p w14:paraId="0D4E28FF">
            <w:pPr>
              <w:widowControl/>
              <w:spacing w:line="280" w:lineRule="exact"/>
              <w:jc w:val="center"/>
              <w:rPr>
                <w:rFonts w:ascii="Times New Roman"/>
                <w:sz w:val="21"/>
                <w:szCs w:val="21"/>
              </w:rPr>
            </w:pPr>
          </w:p>
        </w:tc>
        <w:tc>
          <w:tcPr>
            <w:tcW w:w="930" w:type="pct"/>
            <w:vMerge w:val="continue"/>
            <w:vAlign w:val="center"/>
          </w:tcPr>
          <w:p w14:paraId="04797242">
            <w:pPr>
              <w:widowControl/>
              <w:spacing w:line="280" w:lineRule="exact"/>
              <w:jc w:val="center"/>
              <w:rPr>
                <w:rFonts w:ascii="Times New Roman"/>
                <w:sz w:val="21"/>
                <w:szCs w:val="21"/>
              </w:rPr>
            </w:pPr>
          </w:p>
        </w:tc>
        <w:tc>
          <w:tcPr>
            <w:tcW w:w="315" w:type="pct"/>
            <w:vMerge w:val="continue"/>
            <w:vAlign w:val="center"/>
          </w:tcPr>
          <w:p w14:paraId="0CE5A891">
            <w:pPr>
              <w:widowControl/>
              <w:spacing w:line="280" w:lineRule="exact"/>
              <w:jc w:val="center"/>
              <w:rPr>
                <w:rFonts w:ascii="Times New Roman"/>
                <w:sz w:val="21"/>
                <w:szCs w:val="21"/>
              </w:rPr>
            </w:pPr>
          </w:p>
        </w:tc>
      </w:tr>
      <w:tr w14:paraId="06A4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11FAA380">
            <w:pPr>
              <w:widowControl/>
              <w:spacing w:line="280" w:lineRule="exact"/>
              <w:jc w:val="center"/>
              <w:rPr>
                <w:rFonts w:ascii="Times New Roman"/>
                <w:sz w:val="21"/>
                <w:szCs w:val="21"/>
              </w:rPr>
            </w:pPr>
          </w:p>
        </w:tc>
        <w:tc>
          <w:tcPr>
            <w:tcW w:w="714" w:type="pct"/>
            <w:vAlign w:val="center"/>
          </w:tcPr>
          <w:p w14:paraId="2C12BB08">
            <w:pPr>
              <w:widowControl/>
              <w:spacing w:line="280" w:lineRule="exact"/>
              <w:jc w:val="center"/>
              <w:rPr>
                <w:rFonts w:ascii="Times New Roman"/>
                <w:sz w:val="21"/>
                <w:szCs w:val="21"/>
              </w:rPr>
            </w:pPr>
            <w:r>
              <w:rPr>
                <w:rFonts w:ascii="Times New Roman"/>
                <w:kern w:val="0"/>
                <w:sz w:val="21"/>
                <w:szCs w:val="21"/>
              </w:rPr>
              <w:t>小龙河生态廊道</w:t>
            </w:r>
          </w:p>
        </w:tc>
        <w:tc>
          <w:tcPr>
            <w:tcW w:w="859" w:type="pct"/>
            <w:vAlign w:val="center"/>
          </w:tcPr>
          <w:p w14:paraId="21D352E7">
            <w:pPr>
              <w:widowControl/>
              <w:spacing w:line="280" w:lineRule="exact"/>
              <w:jc w:val="center"/>
              <w:rPr>
                <w:rFonts w:ascii="Times New Roman"/>
                <w:kern w:val="0"/>
                <w:sz w:val="21"/>
                <w:szCs w:val="21"/>
              </w:rPr>
            </w:pPr>
            <w:r>
              <w:rPr>
                <w:rFonts w:ascii="Times New Roman"/>
                <w:kern w:val="0"/>
                <w:sz w:val="21"/>
                <w:szCs w:val="21"/>
              </w:rPr>
              <w:t>宽度为30～300米</w:t>
            </w:r>
          </w:p>
        </w:tc>
        <w:tc>
          <w:tcPr>
            <w:tcW w:w="811" w:type="pct"/>
            <w:vAlign w:val="center"/>
          </w:tcPr>
          <w:p w14:paraId="5DE01262">
            <w:pPr>
              <w:widowControl/>
              <w:spacing w:line="280" w:lineRule="exact"/>
              <w:jc w:val="center"/>
              <w:rPr>
                <w:rFonts w:ascii="Times New Roman"/>
                <w:kern w:val="0"/>
                <w:sz w:val="21"/>
                <w:szCs w:val="21"/>
              </w:rPr>
            </w:pPr>
            <w:r>
              <w:rPr>
                <w:rFonts w:ascii="Times New Roman"/>
                <w:kern w:val="0"/>
                <w:sz w:val="21"/>
                <w:szCs w:val="21"/>
              </w:rPr>
              <w:t>3.28平方公里（含水域面积）</w:t>
            </w:r>
          </w:p>
        </w:tc>
        <w:tc>
          <w:tcPr>
            <w:tcW w:w="655" w:type="pct"/>
            <w:vMerge w:val="continue"/>
            <w:vAlign w:val="center"/>
          </w:tcPr>
          <w:p w14:paraId="00379777">
            <w:pPr>
              <w:widowControl/>
              <w:spacing w:line="280" w:lineRule="exact"/>
              <w:jc w:val="center"/>
              <w:rPr>
                <w:rFonts w:ascii="Times New Roman"/>
                <w:sz w:val="21"/>
                <w:szCs w:val="21"/>
              </w:rPr>
            </w:pPr>
          </w:p>
        </w:tc>
        <w:tc>
          <w:tcPr>
            <w:tcW w:w="930" w:type="pct"/>
            <w:vMerge w:val="continue"/>
            <w:vAlign w:val="center"/>
          </w:tcPr>
          <w:p w14:paraId="428E36B2">
            <w:pPr>
              <w:widowControl/>
              <w:spacing w:line="280" w:lineRule="exact"/>
              <w:jc w:val="center"/>
              <w:rPr>
                <w:rFonts w:ascii="Times New Roman"/>
                <w:sz w:val="21"/>
                <w:szCs w:val="21"/>
              </w:rPr>
            </w:pPr>
          </w:p>
        </w:tc>
        <w:tc>
          <w:tcPr>
            <w:tcW w:w="315" w:type="pct"/>
            <w:vMerge w:val="continue"/>
            <w:vAlign w:val="center"/>
          </w:tcPr>
          <w:p w14:paraId="30DD410A">
            <w:pPr>
              <w:widowControl/>
              <w:spacing w:line="280" w:lineRule="exact"/>
              <w:jc w:val="center"/>
              <w:rPr>
                <w:rFonts w:ascii="Times New Roman"/>
                <w:sz w:val="21"/>
                <w:szCs w:val="21"/>
              </w:rPr>
            </w:pPr>
          </w:p>
        </w:tc>
      </w:tr>
      <w:tr w14:paraId="0EB9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4578335C">
            <w:pPr>
              <w:widowControl/>
              <w:spacing w:line="280" w:lineRule="exact"/>
              <w:jc w:val="center"/>
              <w:rPr>
                <w:rFonts w:ascii="Times New Roman"/>
                <w:sz w:val="21"/>
                <w:szCs w:val="21"/>
              </w:rPr>
            </w:pPr>
          </w:p>
        </w:tc>
        <w:tc>
          <w:tcPr>
            <w:tcW w:w="714" w:type="pct"/>
            <w:vAlign w:val="center"/>
          </w:tcPr>
          <w:p w14:paraId="656D3B00">
            <w:pPr>
              <w:widowControl/>
              <w:spacing w:line="280" w:lineRule="exact"/>
              <w:jc w:val="center"/>
              <w:rPr>
                <w:rFonts w:ascii="Times New Roman"/>
                <w:sz w:val="21"/>
                <w:szCs w:val="21"/>
              </w:rPr>
            </w:pPr>
            <w:r>
              <w:rPr>
                <w:rFonts w:ascii="Times New Roman"/>
                <w:kern w:val="0"/>
                <w:sz w:val="21"/>
                <w:szCs w:val="21"/>
              </w:rPr>
              <w:t>其他道路、铁路、河流</w:t>
            </w:r>
          </w:p>
        </w:tc>
        <w:tc>
          <w:tcPr>
            <w:tcW w:w="859" w:type="pct"/>
            <w:vAlign w:val="center"/>
          </w:tcPr>
          <w:p w14:paraId="29DBFF2B">
            <w:pPr>
              <w:widowControl/>
              <w:spacing w:line="280" w:lineRule="exact"/>
              <w:jc w:val="center"/>
              <w:rPr>
                <w:rFonts w:ascii="Times New Roman"/>
                <w:kern w:val="0"/>
                <w:sz w:val="21"/>
                <w:szCs w:val="21"/>
              </w:rPr>
            </w:pPr>
            <w:r>
              <w:rPr>
                <w:rFonts w:ascii="Times New Roman"/>
                <w:kern w:val="0"/>
                <w:sz w:val="21"/>
                <w:szCs w:val="21"/>
              </w:rPr>
              <w:t>宽度为30～300米</w:t>
            </w:r>
          </w:p>
        </w:tc>
        <w:tc>
          <w:tcPr>
            <w:tcW w:w="811" w:type="pct"/>
            <w:vAlign w:val="center"/>
          </w:tcPr>
          <w:p w14:paraId="6C0EBA34">
            <w:pPr>
              <w:widowControl/>
              <w:spacing w:line="280" w:lineRule="exact"/>
              <w:jc w:val="center"/>
              <w:rPr>
                <w:rFonts w:ascii="Times New Roman"/>
                <w:kern w:val="0"/>
                <w:sz w:val="21"/>
                <w:szCs w:val="21"/>
              </w:rPr>
            </w:pPr>
            <w:r>
              <w:rPr>
                <w:rFonts w:ascii="Times New Roman"/>
                <w:kern w:val="0"/>
                <w:sz w:val="21"/>
                <w:szCs w:val="21"/>
              </w:rPr>
              <w:t>—</w:t>
            </w:r>
          </w:p>
        </w:tc>
        <w:tc>
          <w:tcPr>
            <w:tcW w:w="655" w:type="pct"/>
            <w:vMerge w:val="continue"/>
            <w:vAlign w:val="center"/>
          </w:tcPr>
          <w:p w14:paraId="27E5C799">
            <w:pPr>
              <w:widowControl/>
              <w:spacing w:line="280" w:lineRule="exact"/>
              <w:jc w:val="center"/>
              <w:rPr>
                <w:rFonts w:ascii="Times New Roman"/>
                <w:sz w:val="21"/>
                <w:szCs w:val="21"/>
              </w:rPr>
            </w:pPr>
          </w:p>
        </w:tc>
        <w:tc>
          <w:tcPr>
            <w:tcW w:w="930" w:type="pct"/>
            <w:vMerge w:val="continue"/>
            <w:vAlign w:val="center"/>
          </w:tcPr>
          <w:p w14:paraId="288BEDF1">
            <w:pPr>
              <w:widowControl/>
              <w:spacing w:line="280" w:lineRule="exact"/>
              <w:jc w:val="center"/>
              <w:rPr>
                <w:rFonts w:ascii="Times New Roman"/>
                <w:sz w:val="21"/>
                <w:szCs w:val="21"/>
              </w:rPr>
            </w:pPr>
          </w:p>
        </w:tc>
        <w:tc>
          <w:tcPr>
            <w:tcW w:w="315" w:type="pct"/>
            <w:vMerge w:val="continue"/>
            <w:vAlign w:val="center"/>
          </w:tcPr>
          <w:p w14:paraId="58279920">
            <w:pPr>
              <w:widowControl/>
              <w:spacing w:line="280" w:lineRule="exact"/>
              <w:jc w:val="center"/>
              <w:rPr>
                <w:rFonts w:ascii="Times New Roman"/>
                <w:sz w:val="21"/>
                <w:szCs w:val="21"/>
              </w:rPr>
            </w:pPr>
          </w:p>
        </w:tc>
      </w:tr>
      <w:tr w14:paraId="6966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61EBFC76">
            <w:pPr>
              <w:widowControl/>
              <w:spacing w:line="280" w:lineRule="exact"/>
              <w:jc w:val="center"/>
              <w:rPr>
                <w:rFonts w:ascii="Times New Roman"/>
                <w:sz w:val="21"/>
                <w:szCs w:val="21"/>
              </w:rPr>
            </w:pPr>
          </w:p>
        </w:tc>
        <w:tc>
          <w:tcPr>
            <w:tcW w:w="714" w:type="pct"/>
            <w:vAlign w:val="center"/>
          </w:tcPr>
          <w:p w14:paraId="3838B8E8">
            <w:pPr>
              <w:widowControl/>
              <w:spacing w:line="280" w:lineRule="exact"/>
              <w:jc w:val="center"/>
              <w:rPr>
                <w:rFonts w:ascii="Times New Roman"/>
                <w:sz w:val="21"/>
                <w:szCs w:val="21"/>
              </w:rPr>
            </w:pPr>
            <w:r>
              <w:rPr>
                <w:rFonts w:ascii="Times New Roman"/>
                <w:kern w:val="0"/>
                <w:sz w:val="21"/>
                <w:szCs w:val="21"/>
              </w:rPr>
              <w:t>石化钢铁防护廊道</w:t>
            </w:r>
          </w:p>
        </w:tc>
        <w:tc>
          <w:tcPr>
            <w:tcW w:w="859" w:type="pct"/>
            <w:vAlign w:val="center"/>
          </w:tcPr>
          <w:p w14:paraId="455467F0">
            <w:pPr>
              <w:widowControl/>
              <w:spacing w:line="280" w:lineRule="exact"/>
              <w:jc w:val="center"/>
              <w:rPr>
                <w:rFonts w:ascii="Times New Roman"/>
                <w:kern w:val="0"/>
                <w:sz w:val="21"/>
                <w:szCs w:val="21"/>
              </w:rPr>
            </w:pPr>
            <w:r>
              <w:rPr>
                <w:rFonts w:ascii="Times New Roman"/>
                <w:kern w:val="0"/>
                <w:sz w:val="21"/>
                <w:szCs w:val="21"/>
              </w:rPr>
              <w:t>钢电园区首钢及石化用地之间，建设300生态隔离带</w:t>
            </w:r>
          </w:p>
        </w:tc>
        <w:tc>
          <w:tcPr>
            <w:tcW w:w="811" w:type="pct"/>
            <w:vAlign w:val="center"/>
          </w:tcPr>
          <w:p w14:paraId="57FF0831">
            <w:pPr>
              <w:widowControl/>
              <w:spacing w:line="280" w:lineRule="exact"/>
              <w:jc w:val="center"/>
              <w:rPr>
                <w:rFonts w:ascii="Times New Roman"/>
                <w:kern w:val="0"/>
                <w:sz w:val="21"/>
                <w:szCs w:val="21"/>
              </w:rPr>
            </w:pPr>
            <w:r>
              <w:rPr>
                <w:rFonts w:ascii="Times New Roman"/>
                <w:kern w:val="0"/>
                <w:sz w:val="21"/>
                <w:szCs w:val="21"/>
              </w:rPr>
              <w:t>1.4平方公里（含水道路面积）</w:t>
            </w:r>
          </w:p>
        </w:tc>
        <w:tc>
          <w:tcPr>
            <w:tcW w:w="655" w:type="pct"/>
            <w:vMerge w:val="continue"/>
            <w:vAlign w:val="center"/>
          </w:tcPr>
          <w:p w14:paraId="5BDFFA81">
            <w:pPr>
              <w:widowControl/>
              <w:spacing w:line="280" w:lineRule="exact"/>
              <w:jc w:val="center"/>
              <w:rPr>
                <w:rFonts w:ascii="Times New Roman"/>
                <w:sz w:val="21"/>
                <w:szCs w:val="21"/>
              </w:rPr>
            </w:pPr>
          </w:p>
        </w:tc>
        <w:tc>
          <w:tcPr>
            <w:tcW w:w="930" w:type="pct"/>
            <w:vMerge w:val="continue"/>
            <w:vAlign w:val="center"/>
          </w:tcPr>
          <w:p w14:paraId="72ED0F71">
            <w:pPr>
              <w:widowControl/>
              <w:spacing w:line="280" w:lineRule="exact"/>
              <w:jc w:val="center"/>
              <w:rPr>
                <w:rFonts w:ascii="Times New Roman"/>
                <w:sz w:val="21"/>
                <w:szCs w:val="21"/>
              </w:rPr>
            </w:pPr>
          </w:p>
        </w:tc>
        <w:tc>
          <w:tcPr>
            <w:tcW w:w="315" w:type="pct"/>
            <w:vMerge w:val="continue"/>
            <w:vAlign w:val="center"/>
          </w:tcPr>
          <w:p w14:paraId="628A2A48">
            <w:pPr>
              <w:widowControl/>
              <w:spacing w:line="280" w:lineRule="exact"/>
              <w:jc w:val="center"/>
              <w:rPr>
                <w:rFonts w:ascii="Times New Roman"/>
                <w:sz w:val="21"/>
                <w:szCs w:val="21"/>
              </w:rPr>
            </w:pPr>
          </w:p>
        </w:tc>
      </w:tr>
      <w:tr w14:paraId="2AB2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4" w:type="pct"/>
            <w:vMerge w:val="continue"/>
            <w:vAlign w:val="center"/>
          </w:tcPr>
          <w:p w14:paraId="6C1CBF3D">
            <w:pPr>
              <w:widowControl/>
              <w:spacing w:line="280" w:lineRule="exact"/>
              <w:jc w:val="center"/>
              <w:rPr>
                <w:rFonts w:ascii="Times New Roman"/>
                <w:sz w:val="21"/>
                <w:szCs w:val="21"/>
              </w:rPr>
            </w:pPr>
          </w:p>
        </w:tc>
        <w:tc>
          <w:tcPr>
            <w:tcW w:w="714" w:type="pct"/>
            <w:vAlign w:val="center"/>
          </w:tcPr>
          <w:p w14:paraId="0DC89375">
            <w:pPr>
              <w:widowControl/>
              <w:spacing w:line="280" w:lineRule="exact"/>
              <w:jc w:val="center"/>
              <w:rPr>
                <w:rFonts w:ascii="Times New Roman"/>
                <w:sz w:val="21"/>
                <w:szCs w:val="21"/>
              </w:rPr>
            </w:pPr>
            <w:r>
              <w:rPr>
                <w:rFonts w:ascii="Times New Roman"/>
                <w:kern w:val="0"/>
                <w:sz w:val="21"/>
                <w:szCs w:val="21"/>
              </w:rPr>
              <w:t>湿地公园、水上运动公园、渤海公园</w:t>
            </w:r>
          </w:p>
        </w:tc>
        <w:tc>
          <w:tcPr>
            <w:tcW w:w="859" w:type="pct"/>
            <w:vAlign w:val="center"/>
          </w:tcPr>
          <w:p w14:paraId="459A5ACF">
            <w:pPr>
              <w:widowControl/>
              <w:spacing w:line="280" w:lineRule="exact"/>
              <w:jc w:val="center"/>
              <w:rPr>
                <w:rFonts w:ascii="Times New Roman"/>
                <w:kern w:val="0"/>
                <w:sz w:val="21"/>
                <w:szCs w:val="21"/>
              </w:rPr>
            </w:pPr>
            <w:r>
              <w:rPr>
                <w:rFonts w:ascii="Times New Roman"/>
                <w:kern w:val="0"/>
                <w:sz w:val="21"/>
                <w:szCs w:val="21"/>
              </w:rPr>
              <w:t>预留公园用地，逐步推进绿地公园建设</w:t>
            </w:r>
          </w:p>
        </w:tc>
        <w:tc>
          <w:tcPr>
            <w:tcW w:w="811" w:type="pct"/>
            <w:vAlign w:val="center"/>
          </w:tcPr>
          <w:p w14:paraId="07F9703C">
            <w:pPr>
              <w:widowControl/>
              <w:spacing w:line="280" w:lineRule="exact"/>
              <w:jc w:val="center"/>
              <w:rPr>
                <w:rFonts w:ascii="Times New Roman"/>
                <w:kern w:val="0"/>
                <w:sz w:val="21"/>
                <w:szCs w:val="21"/>
              </w:rPr>
            </w:pPr>
            <w:r>
              <w:rPr>
                <w:rFonts w:ascii="Times New Roman"/>
                <w:kern w:val="0"/>
                <w:sz w:val="21"/>
                <w:szCs w:val="21"/>
              </w:rPr>
              <w:t>1.96平方公里（水上运动公园不含水域面积）</w:t>
            </w:r>
          </w:p>
        </w:tc>
        <w:tc>
          <w:tcPr>
            <w:tcW w:w="655" w:type="pct"/>
            <w:vMerge w:val="continue"/>
            <w:vAlign w:val="center"/>
          </w:tcPr>
          <w:p w14:paraId="186B6597">
            <w:pPr>
              <w:widowControl/>
              <w:spacing w:line="280" w:lineRule="exact"/>
              <w:jc w:val="center"/>
              <w:rPr>
                <w:rFonts w:ascii="Times New Roman"/>
                <w:sz w:val="21"/>
                <w:szCs w:val="21"/>
              </w:rPr>
            </w:pPr>
          </w:p>
        </w:tc>
        <w:tc>
          <w:tcPr>
            <w:tcW w:w="930" w:type="pct"/>
            <w:vMerge w:val="continue"/>
            <w:vAlign w:val="center"/>
          </w:tcPr>
          <w:p w14:paraId="67C88E1D">
            <w:pPr>
              <w:widowControl/>
              <w:spacing w:line="280" w:lineRule="exact"/>
              <w:jc w:val="center"/>
              <w:rPr>
                <w:rFonts w:ascii="Times New Roman"/>
                <w:sz w:val="21"/>
                <w:szCs w:val="21"/>
              </w:rPr>
            </w:pPr>
          </w:p>
        </w:tc>
        <w:tc>
          <w:tcPr>
            <w:tcW w:w="315" w:type="pct"/>
            <w:vMerge w:val="continue"/>
            <w:vAlign w:val="center"/>
          </w:tcPr>
          <w:p w14:paraId="679E6FD6">
            <w:pPr>
              <w:widowControl/>
              <w:spacing w:line="280" w:lineRule="exact"/>
              <w:jc w:val="center"/>
              <w:rPr>
                <w:rFonts w:ascii="Times New Roman"/>
                <w:sz w:val="21"/>
                <w:szCs w:val="21"/>
              </w:rPr>
            </w:pPr>
          </w:p>
        </w:tc>
      </w:tr>
    </w:tbl>
    <w:p w14:paraId="11D1A54E">
      <w:pPr>
        <w:spacing w:line="360" w:lineRule="auto"/>
        <w:ind w:firstLine="480" w:firstLineChars="200"/>
        <w:rPr>
          <w:rFonts w:ascii="Times New Roman" w:cs="宋体"/>
          <w:kern w:val="0"/>
          <w:sz w:val="24"/>
          <w:szCs w:val="24"/>
        </w:rPr>
      </w:pPr>
      <w:r>
        <w:rPr>
          <w:rFonts w:hint="eastAsia" w:ascii="Times New Roman" w:cs="宋体"/>
          <w:kern w:val="0"/>
          <w:sz w:val="24"/>
          <w:szCs w:val="24"/>
        </w:rPr>
        <w:t>陆域生态保护红线：根据《河北省生态保护红线》，河北省生态保护红线体系共包括陆域生态功能极重要区、极敏感脆弱区、各类保护地和海洋生态功能区、海洋敏感脆弱区等。</w:t>
      </w:r>
    </w:p>
    <w:p w14:paraId="0BEE8BE1">
      <w:pPr>
        <w:spacing w:line="360" w:lineRule="auto"/>
        <w:ind w:firstLine="480" w:firstLineChars="200"/>
        <w:rPr>
          <w:rFonts w:ascii="Times New Roman" w:cs="宋体"/>
          <w:kern w:val="0"/>
          <w:sz w:val="24"/>
          <w:szCs w:val="24"/>
        </w:rPr>
      </w:pPr>
      <w:r>
        <w:rPr>
          <w:rFonts w:hint="eastAsia" w:ascii="Times New Roman" w:cs="宋体"/>
          <w:kern w:val="0"/>
          <w:sz w:val="24"/>
          <w:szCs w:val="24"/>
        </w:rPr>
        <w:t>全省生态保护红线总面积</w:t>
      </w:r>
      <w:r>
        <w:rPr>
          <w:rFonts w:ascii="Times New Roman" w:cs="宋体"/>
          <w:kern w:val="0"/>
          <w:sz w:val="24"/>
          <w:szCs w:val="24"/>
        </w:rPr>
        <w:t>4.05</w:t>
      </w:r>
      <w:r>
        <w:rPr>
          <w:rFonts w:hint="eastAsia" w:ascii="Times New Roman" w:cs="宋体"/>
          <w:kern w:val="0"/>
          <w:sz w:val="24"/>
          <w:szCs w:val="24"/>
        </w:rPr>
        <w:t>万平方公里，占全省国土面积的</w:t>
      </w:r>
      <w:r>
        <w:rPr>
          <w:rFonts w:ascii="Times New Roman" w:cs="宋体"/>
          <w:kern w:val="0"/>
          <w:sz w:val="24"/>
          <w:szCs w:val="24"/>
        </w:rPr>
        <w:t>20.70%</w:t>
      </w:r>
      <w:r>
        <w:rPr>
          <w:rFonts w:hint="eastAsia" w:ascii="Times New Roman" w:cs="宋体"/>
          <w:kern w:val="0"/>
          <w:sz w:val="24"/>
          <w:szCs w:val="24"/>
        </w:rPr>
        <w:t>。其中，陆域生态保护红线面积</w:t>
      </w:r>
      <w:r>
        <w:rPr>
          <w:rFonts w:ascii="Times New Roman" w:cs="宋体"/>
          <w:kern w:val="0"/>
          <w:sz w:val="24"/>
          <w:szCs w:val="24"/>
        </w:rPr>
        <w:t>3.86</w:t>
      </w:r>
      <w:r>
        <w:rPr>
          <w:rFonts w:hint="eastAsia" w:ascii="Times New Roman" w:cs="宋体"/>
          <w:kern w:val="0"/>
          <w:sz w:val="24"/>
          <w:szCs w:val="24"/>
        </w:rPr>
        <w:t>万平方公里，占全省陆域国土面积的</w:t>
      </w:r>
      <w:r>
        <w:rPr>
          <w:rFonts w:ascii="Times New Roman" w:cs="宋体"/>
          <w:kern w:val="0"/>
          <w:sz w:val="24"/>
          <w:szCs w:val="24"/>
        </w:rPr>
        <w:t>20.49%</w:t>
      </w:r>
      <w:r>
        <w:rPr>
          <w:rFonts w:hint="eastAsia" w:ascii="Times New Roman" w:cs="宋体"/>
          <w:kern w:val="0"/>
          <w:sz w:val="24"/>
          <w:szCs w:val="24"/>
        </w:rPr>
        <w:t>，</w:t>
      </w:r>
    </w:p>
    <w:p w14:paraId="7BB05D0F">
      <w:pPr>
        <w:spacing w:line="360" w:lineRule="auto"/>
        <w:ind w:firstLine="480" w:firstLineChars="200"/>
        <w:rPr>
          <w:rFonts w:ascii="Times New Roman" w:cs="宋体"/>
          <w:kern w:val="0"/>
          <w:sz w:val="24"/>
          <w:szCs w:val="24"/>
        </w:rPr>
      </w:pPr>
      <w:r>
        <w:rPr>
          <w:rFonts w:hint="eastAsia" w:ascii="Times New Roman" w:cs="宋体"/>
          <w:kern w:val="0"/>
          <w:sz w:val="24"/>
          <w:szCs w:val="24"/>
        </w:rPr>
        <w:t>海洋生态保护红线面积</w:t>
      </w:r>
      <w:r>
        <w:rPr>
          <w:rFonts w:ascii="Times New Roman" w:cs="宋体"/>
          <w:kern w:val="0"/>
          <w:sz w:val="24"/>
          <w:szCs w:val="24"/>
        </w:rPr>
        <w:t>1880</w:t>
      </w:r>
      <w:r>
        <w:rPr>
          <w:rFonts w:hint="eastAsia" w:ascii="Times New Roman" w:cs="宋体"/>
          <w:kern w:val="0"/>
          <w:sz w:val="24"/>
          <w:szCs w:val="24"/>
        </w:rPr>
        <w:t>平方公里，占全省管辖海域面积的</w:t>
      </w:r>
      <w:r>
        <w:rPr>
          <w:rFonts w:ascii="Times New Roman" w:cs="宋体"/>
          <w:kern w:val="0"/>
          <w:sz w:val="24"/>
          <w:szCs w:val="24"/>
        </w:rPr>
        <w:t>26.02%</w:t>
      </w:r>
      <w:r>
        <w:rPr>
          <w:rFonts w:hint="eastAsia" w:ascii="Times New Roman" w:cs="宋体"/>
          <w:kern w:val="0"/>
          <w:sz w:val="24"/>
          <w:szCs w:val="24"/>
        </w:rPr>
        <w:t>。</w:t>
      </w:r>
    </w:p>
    <w:p w14:paraId="0070DEEC">
      <w:pPr>
        <w:spacing w:line="360" w:lineRule="auto"/>
        <w:ind w:firstLine="480" w:firstLineChars="200"/>
        <w:rPr>
          <w:rFonts w:ascii="Times New Roman" w:cs="宋体"/>
          <w:kern w:val="0"/>
          <w:sz w:val="24"/>
          <w:szCs w:val="24"/>
        </w:rPr>
      </w:pPr>
      <w:r>
        <w:rPr>
          <w:rFonts w:hint="eastAsia" w:ascii="Times New Roman" w:cs="宋体"/>
          <w:kern w:val="0"/>
          <w:sz w:val="24"/>
          <w:szCs w:val="24"/>
        </w:rPr>
        <w:t>唐山市生态保护红线主要生态服务功能包括水源涵养、生物多样性保护、河滨岸带；涉及燕山水源涵养、生物多样性维护生态保护红线，河北平原河滨岸带敏感生态保护红线。</w:t>
      </w:r>
    </w:p>
    <w:p w14:paraId="02C00E34">
      <w:pPr>
        <w:spacing w:line="360" w:lineRule="auto"/>
        <w:ind w:firstLine="480" w:firstLineChars="200"/>
        <w:rPr>
          <w:rFonts w:ascii="Times New Roman" w:cs="宋体"/>
          <w:kern w:val="0"/>
          <w:sz w:val="24"/>
          <w:szCs w:val="24"/>
        </w:rPr>
      </w:pPr>
      <w:r>
        <w:rPr>
          <w:rFonts w:hint="eastAsia" w:ascii="Times New Roman" w:cs="宋体"/>
          <w:kern w:val="0"/>
          <w:sz w:val="24"/>
          <w:szCs w:val="24"/>
        </w:rPr>
        <w:t>唐山市生态保护红线总面积</w:t>
      </w:r>
      <w:r>
        <w:rPr>
          <w:rFonts w:ascii="Times New Roman" w:eastAsia="TimesNewRomanPSMT" w:cs="TimesNewRomanPSMT"/>
          <w:kern w:val="0"/>
          <w:sz w:val="24"/>
          <w:szCs w:val="24"/>
        </w:rPr>
        <w:t>1085.47km</w:t>
      </w:r>
      <w:r>
        <w:rPr>
          <w:rFonts w:ascii="Times New Roman" w:eastAsia="TimesNewRomanPSMT" w:cs="TimesNewRomanPSMT"/>
          <w:kern w:val="0"/>
          <w:sz w:val="24"/>
          <w:szCs w:val="24"/>
          <w:vertAlign w:val="superscript"/>
        </w:rPr>
        <w:t>2</w:t>
      </w:r>
      <w:r>
        <w:rPr>
          <w:rFonts w:hint="eastAsia" w:ascii="Times New Roman" w:cs="宋体"/>
          <w:kern w:val="0"/>
          <w:sz w:val="24"/>
          <w:szCs w:val="24"/>
        </w:rPr>
        <w:t>，占唐山市土地面积比例为</w:t>
      </w:r>
      <w:r>
        <w:rPr>
          <w:rFonts w:ascii="Times New Roman" w:eastAsia="TimesNewRomanPSMT" w:cs="TimesNewRomanPSMT"/>
          <w:kern w:val="0"/>
          <w:sz w:val="24"/>
          <w:szCs w:val="24"/>
        </w:rPr>
        <w:t>7.65%</w:t>
      </w:r>
      <w:r>
        <w:rPr>
          <w:rFonts w:hint="eastAsia" w:ascii="Times New Roman" w:cs="宋体"/>
          <w:kern w:val="0"/>
          <w:sz w:val="24"/>
          <w:szCs w:val="24"/>
        </w:rPr>
        <w:t>，主要分布在迁西县、迁安市、遵化市、曹妃甸区、滦州市等。</w:t>
      </w:r>
    </w:p>
    <w:p w14:paraId="74C4A2A6">
      <w:pPr>
        <w:spacing w:line="360" w:lineRule="auto"/>
        <w:ind w:firstLine="480" w:firstLineChars="200"/>
        <w:rPr>
          <w:rFonts w:ascii="Times New Roman" w:cs="宋体"/>
          <w:kern w:val="0"/>
          <w:sz w:val="24"/>
          <w:szCs w:val="24"/>
        </w:rPr>
      </w:pPr>
      <w:r>
        <w:rPr>
          <w:rFonts w:hint="eastAsia" w:ascii="Times New Roman" w:cs="宋体"/>
          <w:kern w:val="0"/>
          <w:sz w:val="24"/>
          <w:szCs w:val="24"/>
        </w:rPr>
        <w:t>河北省生态保护红线主要分布于承德市，张家口市，唐山市北部山区，秦皇岛市中北部，保定市、石家庄市、邢台市、邯郸市西部山区。</w:t>
      </w:r>
    </w:p>
    <w:p w14:paraId="3B61F716">
      <w:pPr>
        <w:spacing w:line="360" w:lineRule="auto"/>
        <w:ind w:firstLine="480" w:firstLineChars="200"/>
        <w:rPr>
          <w:rFonts w:ascii="Times New Roman" w:cs="宋体"/>
          <w:kern w:val="0"/>
          <w:sz w:val="24"/>
          <w:szCs w:val="24"/>
        </w:rPr>
      </w:pPr>
      <w:r>
        <w:rPr>
          <w:rFonts w:hint="eastAsia" w:ascii="Times New Roman"/>
          <w:kern w:val="0"/>
          <w:sz w:val="24"/>
          <w:szCs w:val="24"/>
        </w:rPr>
        <w:t>项目位于曹妃甸工业区装备制造园区，西北侧距唐海湿地与鸟类省级自然保护区约11.2k</w:t>
      </w:r>
      <w:r>
        <w:rPr>
          <w:rFonts w:ascii="Times New Roman"/>
          <w:kern w:val="0"/>
          <w:sz w:val="24"/>
          <w:szCs w:val="24"/>
        </w:rPr>
        <w:t>m</w:t>
      </w:r>
      <w:r>
        <w:rPr>
          <w:rFonts w:hint="eastAsia" w:ascii="Times New Roman"/>
          <w:kern w:val="0"/>
          <w:sz w:val="24"/>
          <w:szCs w:val="24"/>
        </w:rPr>
        <w:t>，不涉及陆域生态保护红线，项目与生态保护红线位置关系见下图：</w:t>
      </w:r>
    </w:p>
    <w:p w14:paraId="7B60C9D9">
      <w:pPr>
        <w:spacing w:line="360" w:lineRule="auto"/>
        <w:ind w:firstLine="480" w:firstLineChars="200"/>
        <w:rPr>
          <w:rFonts w:ascii="Times New Roman" w:cs="宋体"/>
          <w:kern w:val="0"/>
          <w:sz w:val="24"/>
          <w:szCs w:val="24"/>
        </w:rPr>
        <w:sectPr>
          <w:headerReference r:id="rId8" w:type="default"/>
          <w:footerReference r:id="rId9" w:type="default"/>
          <w:pgSz w:w="11906" w:h="16838"/>
          <w:pgMar w:top="1440" w:right="1797" w:bottom="1440" w:left="1797" w:header="1077" w:footer="1077" w:gutter="0"/>
          <w:cols w:space="720" w:num="1"/>
          <w:docGrid w:linePitch="340" w:charSpace="0"/>
        </w:sectPr>
      </w:pPr>
    </w:p>
    <w:p w14:paraId="753EEDE4">
      <w:pPr>
        <w:pStyle w:val="70"/>
        <w:spacing w:line="360" w:lineRule="auto"/>
        <w:ind w:left="0"/>
        <w:jc w:val="center"/>
        <w:rPr>
          <w:rFonts w:cs="宋体"/>
          <w:kern w:val="0"/>
          <w:sz w:val="24"/>
          <w:szCs w:val="24"/>
        </w:rPr>
      </w:pPr>
      <w:r>
        <w:rPr>
          <w:rFonts w:hint="eastAsia" w:cs="宋体"/>
          <w:kern w:val="0"/>
          <w:sz w:val="24"/>
          <w:szCs w:val="24"/>
        </w:rPr>
        <w:drawing>
          <wp:inline distT="0" distB="0" distL="114300" distR="114300">
            <wp:extent cx="6927850" cy="4831715"/>
            <wp:effectExtent l="0" t="0" r="6350" b="6985"/>
            <wp:docPr id="103" name="图片 103" descr="173484097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734840971134"/>
                    <pic:cNvPicPr>
                      <a:picLocks noChangeAspect="1"/>
                    </pic:cNvPicPr>
                  </pic:nvPicPr>
                  <pic:blipFill>
                    <a:blip r:embed="rId25" cstate="print"/>
                    <a:stretch>
                      <a:fillRect/>
                    </a:stretch>
                  </pic:blipFill>
                  <pic:spPr>
                    <a:xfrm>
                      <a:off x="0" y="0"/>
                      <a:ext cx="6927850" cy="4831715"/>
                    </a:xfrm>
                    <a:prstGeom prst="rect">
                      <a:avLst/>
                    </a:prstGeom>
                  </pic:spPr>
                </pic:pic>
              </a:graphicData>
            </a:graphic>
          </wp:inline>
        </w:drawing>
      </w:r>
    </w:p>
    <w:p w14:paraId="52BBADA8">
      <w:pPr>
        <w:pStyle w:val="70"/>
        <w:spacing w:line="360" w:lineRule="auto"/>
        <w:ind w:left="0"/>
        <w:jc w:val="center"/>
        <w:rPr>
          <w:b/>
        </w:rPr>
      </w:pPr>
      <w:r>
        <w:rPr>
          <w:rFonts w:hint="eastAsia"/>
          <w:b/>
        </w:rPr>
        <w:t xml:space="preserve">图 </w:t>
      </w:r>
      <w:r>
        <w:rPr>
          <w:b/>
        </w:rPr>
        <w:t>2.9</w:t>
      </w:r>
      <w:r>
        <w:rPr>
          <w:b/>
        </w:rPr>
        <w:noBreakHyphen/>
      </w:r>
      <w:r>
        <w:rPr>
          <w:b/>
        </w:rPr>
        <w:t>4</w:t>
      </w:r>
      <w:r>
        <w:rPr>
          <w:rFonts w:hint="eastAsia"/>
          <w:b/>
        </w:rPr>
        <w:t xml:space="preserve">  项目在唐山市陆域生态保护红线图位置关系图</w:t>
      </w:r>
    </w:p>
    <w:p w14:paraId="54533C3B">
      <w:pPr>
        <w:sectPr>
          <w:pgSz w:w="16838" w:h="11906" w:orient="landscape"/>
          <w:pgMar w:top="1800" w:right="1440" w:bottom="1800" w:left="1440" w:header="1474" w:footer="1474" w:gutter="0"/>
          <w:cols w:space="720" w:num="1"/>
          <w:docGrid w:type="lines" w:linePitch="340" w:charSpace="0"/>
        </w:sectPr>
      </w:pPr>
    </w:p>
    <w:p w14:paraId="36AE317B">
      <w:r>
        <w:rPr>
          <w:rFonts w:ascii="Times New Roman"/>
          <w:kern w:val="0"/>
          <w:sz w:val="20"/>
          <w:szCs w:val="20"/>
        </w:rPr>
        <mc:AlternateContent>
          <mc:Choice Requires="wps">
            <w:drawing>
              <wp:anchor distT="0" distB="0" distL="114300" distR="114300" simplePos="0" relativeHeight="251687936" behindDoc="0" locked="0" layoutInCell="1" allowOverlap="1">
                <wp:simplePos x="0" y="0"/>
                <wp:positionH relativeFrom="column">
                  <wp:posOffset>1236980</wp:posOffset>
                </wp:positionH>
                <wp:positionV relativeFrom="paragraph">
                  <wp:posOffset>2593340</wp:posOffset>
                </wp:positionV>
                <wp:extent cx="787400" cy="274955"/>
                <wp:effectExtent l="4445" t="826770" r="8255" b="15875"/>
                <wp:wrapNone/>
                <wp:docPr id="302" name="对话气泡: 矩形 5"/>
                <wp:cNvGraphicFramePr/>
                <a:graphic xmlns:a="http://schemas.openxmlformats.org/drawingml/2006/main">
                  <a:graphicData uri="http://schemas.microsoft.com/office/word/2010/wordprocessingShape">
                    <wps:wsp>
                      <wps:cNvSpPr/>
                      <wps:spPr>
                        <a:xfrm>
                          <a:off x="0" y="0"/>
                          <a:ext cx="787400" cy="274955"/>
                        </a:xfrm>
                        <a:prstGeom prst="wedgeRectCallout">
                          <a:avLst>
                            <a:gd name="adj1" fmla="val -10055"/>
                            <a:gd name="adj2" fmla="val -349052"/>
                          </a:avLst>
                        </a:prstGeom>
                        <a:noFill/>
                        <a:ln w="3175" cap="flat" cmpd="sng" algn="ctr">
                          <a:solidFill>
                            <a:srgbClr val="1C334E">
                              <a:shade val="15000"/>
                            </a:srgbClr>
                          </a:solidFill>
                          <a:prstDash val="solid"/>
                        </a:ln>
                        <a:effectLst/>
                      </wps:spPr>
                      <wps:txbx>
                        <w:txbxContent>
                          <w:p w14:paraId="18964F60">
                            <w:pPr>
                              <w:spacing w:line="240" w:lineRule="exact"/>
                              <w:jc w:val="center"/>
                              <w:rPr>
                                <w:sz w:val="20"/>
                                <w:szCs w:val="20"/>
                              </w:rPr>
                            </w:pPr>
                            <w:r>
                              <w:rPr>
                                <w:rFonts w:hint="eastAsia"/>
                                <w:sz w:val="20"/>
                                <w:szCs w:val="2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97.4pt;margin-top:204.2pt;height:21.65pt;width:62pt;z-index:251687936;v-text-anchor:middle;mso-width-relative:page;mso-height-relative:page;" filled="f" stroked="t" coordsize="21600,21600" o:gfxdata="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wszhy9oAAAALAQAADwAA&#10;AAAAAAABACAAAAAiAAAAZHJzL2Rvd25yZXYueG1sUEsBAhQAFAAAAAgAh07iQCk/1TO/AgAAXAUA&#10;AA4AAAAAAAAAAQAgAAAAKQEAAGRycy9lMm9Eb2MueG1sUEsFBgAAAAAGAAYAWQEAAFoGAAAAAA==&#10;" adj="8628,-64595">
                <v:fill on="f" focussize="0,0"/>
                <v:stroke weight="0.25pt" color="#060F1C" joinstyle="round"/>
                <v:imagedata o:title=""/>
                <o:lock v:ext="edit" aspectratio="f"/>
                <v:textbox>
                  <w:txbxContent>
                    <w:p w14:paraId="18964F60">
                      <w:pPr>
                        <w:spacing w:line="240" w:lineRule="exact"/>
                        <w:jc w:val="center"/>
                        <w:rPr>
                          <w:sz w:val="20"/>
                          <w:szCs w:val="20"/>
                        </w:rPr>
                      </w:pPr>
                      <w:r>
                        <w:rPr>
                          <w:rFonts w:hint="eastAsia"/>
                          <w:sz w:val="20"/>
                          <w:szCs w:val="20"/>
                        </w:rPr>
                        <w:t>项目位置</w:t>
                      </w:r>
                    </w:p>
                  </w:txbxContent>
                </v:textbox>
              </v:shape>
            </w:pict>
          </mc:Fallback>
        </mc:AlternateContent>
      </w:r>
      <w:r>
        <w:rPr>
          <w:rFonts w:ascii="Times New Roman"/>
          <w:kern w:val="0"/>
          <w:sz w:val="20"/>
          <w:szCs w:val="20"/>
        </w:rPr>
        <mc:AlternateContent>
          <mc:Choice Requires="wps">
            <w:drawing>
              <wp:inline distT="0" distB="0" distL="114300" distR="114300">
                <wp:extent cx="5176520" cy="3538220"/>
                <wp:effectExtent l="0" t="0" r="0" b="0"/>
                <wp:docPr id="67"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76520" cy="3538220"/>
                        </a:xfrm>
                        <a:prstGeom prst="rect">
                          <a:avLst/>
                        </a:prstGeom>
                        <a:noFill/>
                        <a:ln>
                          <a:noFill/>
                        </a:ln>
                      </wps:spPr>
                      <wps:bodyPr upright="1"/>
                    </wps:wsp>
                  </a:graphicData>
                </a:graphic>
              </wp:inline>
            </w:drawing>
          </mc:Choice>
          <mc:Fallback>
            <w:pict>
              <v:rect id="图片 1" o:spid="_x0000_s1026" o:spt="1" style="height:278.6pt;width:407.6pt;" filled="f" stroked="f" coordsize="21600,21600" o:gfxdata="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7tQ21wAAAAUBAAAPAAAAAAAAAAEAIAAAACIAAABkcnMvZG93bnJldi54bWxQSwECFAAUAAAACACH&#10;TuJASg6j+bMBAABkAwAADgAAAAAAAAABACAAAAAmAQAAZHJzL2Uyb0RvYy54bWxQSwUGAAAAAAYA&#10;BgBZAQAASwUAAAAA&#10;">
                <v:fill on="f" focussize="0,0"/>
                <v:stroke on="f"/>
                <v:imagedata o:title=""/>
                <o:lock v:ext="edit" aspectratio="t"/>
                <w10:wrap type="none"/>
                <w10:anchorlock/>
              </v:rect>
            </w:pict>
          </mc:Fallback>
        </mc:AlternateContent>
      </w:r>
    </w:p>
    <w:p w14:paraId="7350B717">
      <w:pPr>
        <w:spacing w:line="360" w:lineRule="auto"/>
        <w:jc w:val="center"/>
        <w:rPr>
          <w:rFonts w:ascii="Times New Roman"/>
          <w:sz w:val="24"/>
          <w:szCs w:val="24"/>
        </w:rPr>
      </w:pPr>
      <w:r>
        <w:rPr>
          <w:rFonts w:hint="eastAsia" w:ascii="Times New Roman"/>
          <w:b/>
          <w:sz w:val="24"/>
          <w:szCs w:val="24"/>
        </w:rPr>
        <w:t xml:space="preserve">图 </w:t>
      </w:r>
      <w:r>
        <w:rPr>
          <w:rFonts w:ascii="Times New Roman"/>
          <w:b/>
          <w:sz w:val="24"/>
          <w:szCs w:val="24"/>
        </w:rPr>
        <w:t>2.9</w:t>
      </w:r>
      <w:r>
        <w:rPr>
          <w:rFonts w:ascii="Times New Roman"/>
          <w:b/>
          <w:sz w:val="24"/>
          <w:szCs w:val="24"/>
        </w:rPr>
        <w:noBreakHyphen/>
      </w:r>
      <w:r>
        <w:rPr>
          <w:rFonts w:ascii="Times New Roman"/>
          <w:b/>
          <w:sz w:val="24"/>
          <w:szCs w:val="24"/>
        </w:rPr>
        <w:t>5</w:t>
      </w:r>
      <w:r>
        <w:rPr>
          <w:rFonts w:hint="eastAsia" w:ascii="Times New Roman"/>
          <w:b/>
          <w:sz w:val="24"/>
          <w:szCs w:val="24"/>
        </w:rPr>
        <w:t xml:space="preserve">  </w:t>
      </w:r>
      <w:r>
        <w:rPr>
          <w:rFonts w:hint="eastAsia" w:ascii="Times New Roman" w:cs="宋体"/>
          <w:b/>
          <w:kern w:val="0"/>
          <w:sz w:val="24"/>
          <w:szCs w:val="24"/>
        </w:rPr>
        <w:t>本项目在唐山市海洋生态保护红线图中的位置</w:t>
      </w:r>
    </w:p>
    <w:p w14:paraId="7C60624B">
      <w:pPr>
        <w:spacing w:line="360" w:lineRule="auto"/>
        <w:ind w:firstLine="480" w:firstLineChars="200"/>
        <w:rPr>
          <w:rFonts w:ascii="Times New Roman"/>
          <w:sz w:val="24"/>
          <w:szCs w:val="24"/>
        </w:rPr>
      </w:pPr>
      <w:r>
        <w:rPr>
          <w:rFonts w:ascii="Times New Roman"/>
          <w:sz w:val="24"/>
          <w:szCs w:val="24"/>
        </w:rPr>
        <w:t>（2）环境质量底线</w:t>
      </w:r>
    </w:p>
    <w:p w14:paraId="204B4151">
      <w:pPr>
        <w:spacing w:line="480" w:lineRule="exact"/>
        <w:jc w:val="center"/>
        <w:rPr>
          <w:rFonts w:ascii="Times New Roman"/>
          <w:b/>
          <w:bCs/>
          <w:sz w:val="24"/>
          <w:szCs w:val="24"/>
        </w:rPr>
      </w:pPr>
      <w:r>
        <w:rPr>
          <w:rFonts w:hint="eastAsia" w:ascii="Times New Roman"/>
          <w:b/>
        </w:rPr>
        <w:t>表</w:t>
      </w:r>
      <w:r>
        <w:rPr>
          <w:rFonts w:ascii="Times New Roman"/>
          <w:b/>
        </w:rPr>
        <w:t>2.9</w:t>
      </w:r>
      <w:r>
        <w:rPr>
          <w:rFonts w:ascii="Times New Roman"/>
          <w:b/>
        </w:rPr>
        <w:noBreakHyphen/>
      </w:r>
      <w:r>
        <w:rPr>
          <w:rFonts w:hint="eastAsia" w:ascii="Times New Roman"/>
          <w:b/>
        </w:rPr>
        <w:t>5</w:t>
      </w:r>
      <w:r>
        <w:rPr>
          <w:rFonts w:ascii="Times New Roman"/>
          <w:b/>
        </w:rPr>
        <w:t xml:space="preserve">  项目与</w:t>
      </w:r>
      <w:r>
        <w:rPr>
          <w:rFonts w:hint="eastAsia" w:ascii="Times New Roman"/>
          <w:b/>
        </w:rPr>
        <w:t>环境质量底线</w:t>
      </w:r>
      <w:r>
        <w:rPr>
          <w:rFonts w:ascii="Times New Roman"/>
          <w:b/>
        </w:rPr>
        <w:t>符合性分析一览表</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484"/>
        <w:gridCol w:w="3810"/>
        <w:gridCol w:w="2641"/>
        <w:gridCol w:w="738"/>
      </w:tblGrid>
      <w:tr w14:paraId="473D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7" w:type="pct"/>
            <w:vAlign w:val="center"/>
          </w:tcPr>
          <w:p w14:paraId="35DED9F1">
            <w:pPr>
              <w:spacing w:line="320" w:lineRule="exact"/>
              <w:jc w:val="center"/>
              <w:rPr>
                <w:rFonts w:ascii="Times New Roman"/>
                <w:sz w:val="21"/>
                <w:szCs w:val="21"/>
              </w:rPr>
            </w:pPr>
            <w:r>
              <w:rPr>
                <w:rFonts w:ascii="Times New Roman"/>
                <w:sz w:val="21"/>
                <w:szCs w:val="21"/>
              </w:rPr>
              <w:t>类别</w:t>
            </w:r>
          </w:p>
        </w:tc>
        <w:tc>
          <w:tcPr>
            <w:tcW w:w="2575" w:type="pct"/>
            <w:gridSpan w:val="2"/>
            <w:vAlign w:val="center"/>
          </w:tcPr>
          <w:p w14:paraId="4DA692C6">
            <w:pPr>
              <w:spacing w:line="320" w:lineRule="exact"/>
              <w:jc w:val="center"/>
              <w:rPr>
                <w:rFonts w:ascii="Times New Roman"/>
                <w:sz w:val="21"/>
                <w:szCs w:val="21"/>
              </w:rPr>
            </w:pPr>
            <w:r>
              <w:rPr>
                <w:rFonts w:ascii="Times New Roman"/>
                <w:sz w:val="21"/>
                <w:szCs w:val="21"/>
              </w:rPr>
              <w:t>规划要求</w:t>
            </w:r>
          </w:p>
        </w:tc>
        <w:tc>
          <w:tcPr>
            <w:tcW w:w="1584" w:type="pct"/>
            <w:vAlign w:val="center"/>
          </w:tcPr>
          <w:p w14:paraId="62688D78">
            <w:pPr>
              <w:spacing w:line="320" w:lineRule="exact"/>
              <w:jc w:val="center"/>
              <w:rPr>
                <w:rFonts w:ascii="Times New Roman"/>
                <w:sz w:val="21"/>
                <w:szCs w:val="21"/>
              </w:rPr>
            </w:pPr>
            <w:r>
              <w:rPr>
                <w:rFonts w:ascii="Times New Roman"/>
                <w:sz w:val="21"/>
                <w:szCs w:val="21"/>
              </w:rPr>
              <w:t>本项目</w:t>
            </w:r>
          </w:p>
        </w:tc>
        <w:tc>
          <w:tcPr>
            <w:tcW w:w="442" w:type="pct"/>
            <w:vAlign w:val="center"/>
          </w:tcPr>
          <w:p w14:paraId="49C1B3D8">
            <w:pPr>
              <w:spacing w:line="320" w:lineRule="exact"/>
              <w:jc w:val="center"/>
              <w:rPr>
                <w:rFonts w:ascii="Times New Roman"/>
                <w:sz w:val="21"/>
                <w:szCs w:val="21"/>
              </w:rPr>
            </w:pPr>
            <w:r>
              <w:rPr>
                <w:rFonts w:ascii="Times New Roman"/>
                <w:sz w:val="21"/>
                <w:szCs w:val="21"/>
              </w:rPr>
              <w:t>符合性</w:t>
            </w:r>
          </w:p>
        </w:tc>
      </w:tr>
      <w:tr w14:paraId="0271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7" w:type="pct"/>
            <w:vMerge w:val="restart"/>
            <w:vAlign w:val="center"/>
          </w:tcPr>
          <w:p w14:paraId="0DBB5699">
            <w:pPr>
              <w:spacing w:line="320" w:lineRule="exact"/>
              <w:jc w:val="center"/>
              <w:rPr>
                <w:rFonts w:ascii="Times New Roman"/>
                <w:sz w:val="21"/>
                <w:szCs w:val="21"/>
              </w:rPr>
            </w:pPr>
            <w:r>
              <w:rPr>
                <w:rFonts w:ascii="Times New Roman"/>
                <w:sz w:val="21"/>
                <w:szCs w:val="21"/>
              </w:rPr>
              <w:t>环境质量底线相关要求</w:t>
            </w:r>
          </w:p>
        </w:tc>
        <w:tc>
          <w:tcPr>
            <w:tcW w:w="290" w:type="pct"/>
            <w:vAlign w:val="center"/>
          </w:tcPr>
          <w:p w14:paraId="5FFFD2CB">
            <w:pPr>
              <w:spacing w:line="320" w:lineRule="exact"/>
              <w:jc w:val="center"/>
              <w:rPr>
                <w:rFonts w:ascii="Times New Roman"/>
                <w:sz w:val="21"/>
                <w:szCs w:val="21"/>
              </w:rPr>
            </w:pPr>
            <w:r>
              <w:rPr>
                <w:rFonts w:ascii="Times New Roman"/>
                <w:sz w:val="21"/>
                <w:szCs w:val="21"/>
              </w:rPr>
              <w:t>大气</w:t>
            </w:r>
          </w:p>
        </w:tc>
        <w:tc>
          <w:tcPr>
            <w:tcW w:w="2285" w:type="pct"/>
            <w:vAlign w:val="center"/>
          </w:tcPr>
          <w:p w14:paraId="6B9A6B96">
            <w:pPr>
              <w:spacing w:line="320" w:lineRule="exact"/>
              <w:rPr>
                <w:rFonts w:ascii="Times New Roman"/>
                <w:sz w:val="21"/>
                <w:szCs w:val="21"/>
              </w:rPr>
            </w:pPr>
            <w:r>
              <w:rPr>
                <w:rFonts w:ascii="Times New Roman"/>
                <w:sz w:val="21"/>
                <w:szCs w:val="21"/>
              </w:rPr>
              <w:t>综合考虑河北省、唐山市及曹妃甸区“十三五”期间各种主要的减排方案，叠加调整后的产业基地近期规划及其同层位园区规划的影响，</w:t>
            </w:r>
            <w:r>
              <w:rPr>
                <w:rFonts w:hint="eastAsia" w:ascii="Times New Roman"/>
                <w:sz w:val="21"/>
                <w:szCs w:val="21"/>
              </w:rPr>
              <w:t>唐山市中期2025年PM</w:t>
            </w:r>
            <w:r>
              <w:rPr>
                <w:rFonts w:hint="eastAsia" w:ascii="Times New Roman"/>
                <w:sz w:val="21"/>
                <w:szCs w:val="21"/>
                <w:vertAlign w:val="subscript"/>
              </w:rPr>
              <w:t>2.5</w:t>
            </w:r>
            <w:r>
              <w:rPr>
                <w:rFonts w:hint="eastAsia" w:ascii="Times New Roman"/>
                <w:sz w:val="21"/>
                <w:szCs w:val="21"/>
              </w:rPr>
              <w:t>年均浓度降低到51ug/m</w:t>
            </w:r>
            <w:r>
              <w:rPr>
                <w:rFonts w:hint="eastAsia" w:ascii="Times New Roman"/>
                <w:sz w:val="21"/>
                <w:szCs w:val="21"/>
                <w:vertAlign w:val="superscript"/>
              </w:rPr>
              <w:t>3</w:t>
            </w:r>
            <w:r>
              <w:rPr>
                <w:rFonts w:hint="eastAsia" w:ascii="Times New Roman"/>
                <w:sz w:val="21"/>
                <w:szCs w:val="21"/>
              </w:rPr>
              <w:t>，远期PM</w:t>
            </w:r>
            <w:r>
              <w:rPr>
                <w:rFonts w:hint="eastAsia" w:ascii="Times New Roman"/>
                <w:sz w:val="21"/>
                <w:szCs w:val="21"/>
                <w:vertAlign w:val="subscript"/>
              </w:rPr>
              <w:t>2.5</w:t>
            </w:r>
            <w:r>
              <w:rPr>
                <w:rFonts w:hint="eastAsia" w:ascii="Times New Roman"/>
                <w:sz w:val="21"/>
                <w:szCs w:val="21"/>
              </w:rPr>
              <w:t>年均浓度降低到45pgm.为实现上述环境空气质量目标，唐山市2030年全市SO</w:t>
            </w:r>
            <w:r>
              <w:rPr>
                <w:rFonts w:hint="eastAsia" w:ascii="Times New Roman"/>
                <w:sz w:val="21"/>
                <w:szCs w:val="21"/>
                <w:vertAlign w:val="subscript"/>
              </w:rPr>
              <w:t>2</w:t>
            </w:r>
            <w:r>
              <w:rPr>
                <w:rFonts w:hint="eastAsia" w:ascii="Times New Roman"/>
                <w:sz w:val="21"/>
                <w:szCs w:val="21"/>
              </w:rPr>
              <w:t>、NO</w:t>
            </w:r>
            <w:r>
              <w:rPr>
                <w:rFonts w:hint="eastAsia" w:ascii="Times New Roman"/>
                <w:sz w:val="21"/>
                <w:szCs w:val="21"/>
                <w:vertAlign w:val="subscript"/>
              </w:rPr>
              <w:t>x</w:t>
            </w:r>
            <w:r>
              <w:rPr>
                <w:rFonts w:hint="eastAsia" w:ascii="Times New Roman"/>
                <w:sz w:val="21"/>
                <w:szCs w:val="21"/>
              </w:rPr>
              <w:t>及烟（粉）尘排放量分别不超过7.6万t/a、8.6万t/a及8.6万t/a。</w:t>
            </w:r>
          </w:p>
        </w:tc>
        <w:tc>
          <w:tcPr>
            <w:tcW w:w="1584" w:type="pct"/>
            <w:vAlign w:val="center"/>
          </w:tcPr>
          <w:p w14:paraId="77D06FFE">
            <w:pPr>
              <w:spacing w:line="320" w:lineRule="exact"/>
              <w:rPr>
                <w:rFonts w:ascii="Times New Roman"/>
                <w:sz w:val="21"/>
                <w:szCs w:val="21"/>
              </w:rPr>
            </w:pPr>
            <w:r>
              <w:rPr>
                <w:rFonts w:ascii="Times New Roman"/>
                <w:kern w:val="0"/>
                <w:sz w:val="21"/>
                <w:szCs w:val="21"/>
              </w:rPr>
              <w:t>项目采取了较为完善的污染治理措施，外排废气能够满足</w:t>
            </w:r>
            <w:r>
              <w:rPr>
                <w:rFonts w:hint="eastAsia" w:ascii="Times New Roman"/>
                <w:kern w:val="0"/>
                <w:sz w:val="21"/>
                <w:szCs w:val="21"/>
              </w:rPr>
              <w:t>相关排放</w:t>
            </w:r>
            <w:r>
              <w:rPr>
                <w:rFonts w:ascii="Times New Roman"/>
                <w:kern w:val="0"/>
                <w:sz w:val="21"/>
                <w:szCs w:val="21"/>
              </w:rPr>
              <w:t>标准限值要求</w:t>
            </w:r>
            <w:r>
              <w:rPr>
                <w:rFonts w:hint="eastAsia" w:ascii="Times New Roman"/>
                <w:kern w:val="0"/>
                <w:sz w:val="21"/>
                <w:szCs w:val="21"/>
              </w:rPr>
              <w:t>。项目对新增主要污染物实施倍量削减；同时，</w:t>
            </w:r>
            <w:r>
              <w:rPr>
                <w:rFonts w:ascii="Times New Roman"/>
                <w:kern w:val="0"/>
                <w:sz w:val="21"/>
                <w:szCs w:val="21"/>
              </w:rPr>
              <w:t>区域环境随着唐字〔2022〕2号暨稳定“退后十”工作方案的实施，区域颗粒物等污染物排放量将逐渐减少，环境逐步改善</w:t>
            </w:r>
            <w:r>
              <w:rPr>
                <w:rFonts w:ascii="Times New Roman"/>
                <w:spacing w:val="2"/>
                <w:kern w:val="0"/>
                <w:sz w:val="21"/>
                <w:szCs w:val="21"/>
              </w:rPr>
              <w:t>。</w:t>
            </w:r>
          </w:p>
        </w:tc>
        <w:tc>
          <w:tcPr>
            <w:tcW w:w="442" w:type="pct"/>
            <w:vAlign w:val="center"/>
          </w:tcPr>
          <w:p w14:paraId="17AE6B6D">
            <w:pPr>
              <w:spacing w:line="320" w:lineRule="exact"/>
              <w:jc w:val="center"/>
              <w:rPr>
                <w:rFonts w:ascii="Times New Roman"/>
                <w:sz w:val="21"/>
                <w:szCs w:val="21"/>
              </w:rPr>
            </w:pPr>
            <w:r>
              <w:rPr>
                <w:rFonts w:ascii="Times New Roman"/>
                <w:sz w:val="21"/>
                <w:szCs w:val="21"/>
              </w:rPr>
              <w:t>符合</w:t>
            </w:r>
          </w:p>
        </w:tc>
      </w:tr>
      <w:tr w14:paraId="6BF0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7" w:type="pct"/>
            <w:vMerge w:val="continue"/>
            <w:vAlign w:val="center"/>
          </w:tcPr>
          <w:p w14:paraId="078979A6">
            <w:pPr>
              <w:spacing w:line="320" w:lineRule="exact"/>
              <w:jc w:val="center"/>
              <w:rPr>
                <w:rFonts w:ascii="Times New Roman"/>
                <w:sz w:val="21"/>
                <w:szCs w:val="21"/>
              </w:rPr>
            </w:pPr>
          </w:p>
        </w:tc>
        <w:tc>
          <w:tcPr>
            <w:tcW w:w="290" w:type="pct"/>
            <w:vAlign w:val="center"/>
          </w:tcPr>
          <w:p w14:paraId="4B1D0A4A">
            <w:pPr>
              <w:spacing w:line="320" w:lineRule="exact"/>
              <w:jc w:val="center"/>
              <w:rPr>
                <w:rFonts w:ascii="Times New Roman"/>
                <w:sz w:val="21"/>
                <w:szCs w:val="21"/>
              </w:rPr>
            </w:pPr>
            <w:r>
              <w:rPr>
                <w:rFonts w:hint="eastAsia" w:ascii="Times New Roman"/>
                <w:sz w:val="21"/>
                <w:szCs w:val="21"/>
              </w:rPr>
              <w:t>地表水</w:t>
            </w:r>
          </w:p>
        </w:tc>
        <w:tc>
          <w:tcPr>
            <w:tcW w:w="2285" w:type="pct"/>
            <w:vAlign w:val="center"/>
          </w:tcPr>
          <w:p w14:paraId="365BDEEC">
            <w:pPr>
              <w:spacing w:line="320" w:lineRule="exact"/>
              <w:jc w:val="center"/>
              <w:rPr>
                <w:rFonts w:ascii="Times New Roman"/>
                <w:sz w:val="21"/>
                <w:szCs w:val="21"/>
              </w:rPr>
            </w:pPr>
            <w:r>
              <w:rPr>
                <w:rFonts w:hint="eastAsia" w:ascii="Times New Roman"/>
                <w:sz w:val="21"/>
                <w:szCs w:val="21"/>
              </w:rPr>
              <w:t>根据海洋功能区划，规划环评设定水环境质量底线为排污口附近达到二类海水水质标准</w:t>
            </w:r>
          </w:p>
        </w:tc>
        <w:tc>
          <w:tcPr>
            <w:tcW w:w="1584" w:type="pct"/>
            <w:vAlign w:val="center"/>
          </w:tcPr>
          <w:p w14:paraId="6F63190C">
            <w:pPr>
              <w:spacing w:line="320" w:lineRule="exact"/>
              <w:rPr>
                <w:rFonts w:ascii="Times New Roman"/>
                <w:sz w:val="21"/>
                <w:szCs w:val="21"/>
              </w:rPr>
            </w:pPr>
            <w:r>
              <w:rPr>
                <w:rFonts w:hint="eastAsia" w:ascii="Times New Roman"/>
                <w:sz w:val="21"/>
                <w:szCs w:val="21"/>
              </w:rPr>
              <w:t>本项目位于曹妃甸工业区装备制造园区，生产废水经厂区自建污水处理站处理达标后经市政污水管网排入曹妃甸装备制造区污水处理站处理。</w:t>
            </w:r>
          </w:p>
        </w:tc>
        <w:tc>
          <w:tcPr>
            <w:tcW w:w="442" w:type="pct"/>
            <w:vAlign w:val="center"/>
          </w:tcPr>
          <w:p w14:paraId="2FEFEE9F">
            <w:pPr>
              <w:spacing w:line="320" w:lineRule="exact"/>
              <w:jc w:val="center"/>
              <w:rPr>
                <w:rFonts w:ascii="Times New Roman"/>
                <w:sz w:val="21"/>
                <w:szCs w:val="21"/>
              </w:rPr>
            </w:pPr>
            <w:r>
              <w:rPr>
                <w:rFonts w:ascii="Times New Roman"/>
                <w:sz w:val="21"/>
                <w:szCs w:val="21"/>
              </w:rPr>
              <w:t>符合</w:t>
            </w:r>
          </w:p>
        </w:tc>
      </w:tr>
      <w:tr w14:paraId="3F43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7" w:type="pct"/>
            <w:vMerge w:val="continue"/>
            <w:vAlign w:val="center"/>
          </w:tcPr>
          <w:p w14:paraId="38D495F5">
            <w:pPr>
              <w:spacing w:line="320" w:lineRule="exact"/>
              <w:jc w:val="center"/>
              <w:rPr>
                <w:rFonts w:ascii="Times New Roman"/>
                <w:sz w:val="21"/>
                <w:szCs w:val="21"/>
              </w:rPr>
            </w:pPr>
          </w:p>
        </w:tc>
        <w:tc>
          <w:tcPr>
            <w:tcW w:w="290" w:type="pct"/>
            <w:vAlign w:val="center"/>
          </w:tcPr>
          <w:p w14:paraId="4B912C26">
            <w:pPr>
              <w:spacing w:line="320" w:lineRule="exact"/>
              <w:jc w:val="center"/>
              <w:rPr>
                <w:rFonts w:ascii="Times New Roman"/>
                <w:sz w:val="21"/>
                <w:szCs w:val="21"/>
              </w:rPr>
            </w:pPr>
            <w:r>
              <w:rPr>
                <w:rFonts w:hint="eastAsia" w:ascii="Times New Roman"/>
                <w:sz w:val="21"/>
                <w:szCs w:val="21"/>
              </w:rPr>
              <w:t>地下水</w:t>
            </w:r>
          </w:p>
        </w:tc>
        <w:tc>
          <w:tcPr>
            <w:tcW w:w="2285" w:type="pct"/>
            <w:vAlign w:val="center"/>
          </w:tcPr>
          <w:p w14:paraId="7F95A250">
            <w:pPr>
              <w:spacing w:line="320" w:lineRule="exact"/>
              <w:jc w:val="center"/>
              <w:rPr>
                <w:rFonts w:ascii="Times New Roman"/>
                <w:sz w:val="21"/>
                <w:szCs w:val="21"/>
              </w:rPr>
            </w:pPr>
            <w:r>
              <w:rPr>
                <w:rFonts w:hint="eastAsia" w:ascii="Times New Roman"/>
                <w:sz w:val="21"/>
                <w:szCs w:val="21"/>
              </w:rPr>
              <w:t>做好初期雨水污染防护，建设相应的初期雨水收集设施，经过预处理后，统一由集中污水设施处置。建立定期检查机制，防止污染物渗漏造成土壤、地下水污染，严控地下水入海污染通道</w:t>
            </w:r>
          </w:p>
        </w:tc>
        <w:tc>
          <w:tcPr>
            <w:tcW w:w="1584" w:type="pct"/>
            <w:vAlign w:val="center"/>
          </w:tcPr>
          <w:p w14:paraId="642511D8">
            <w:pPr>
              <w:spacing w:line="320" w:lineRule="exact"/>
              <w:jc w:val="center"/>
              <w:rPr>
                <w:rFonts w:ascii="Times New Roman"/>
                <w:sz w:val="21"/>
                <w:szCs w:val="21"/>
              </w:rPr>
            </w:pPr>
            <w:r>
              <w:rPr>
                <w:rFonts w:hint="eastAsia" w:ascii="Times New Roman"/>
                <w:sz w:val="21"/>
                <w:szCs w:val="21"/>
              </w:rPr>
              <w:t>项目厂区初期雨水收集进雨水收集池，经</w:t>
            </w:r>
            <w:r>
              <w:rPr>
                <w:rFonts w:ascii="Times New Roman"/>
                <w:sz w:val="21"/>
                <w:szCs w:val="21"/>
              </w:rPr>
              <w:t>污水处理站</w:t>
            </w:r>
            <w:r>
              <w:rPr>
                <w:rFonts w:hint="eastAsia" w:ascii="Times New Roman"/>
                <w:sz w:val="21"/>
                <w:szCs w:val="21"/>
              </w:rPr>
              <w:t>处理后排入</w:t>
            </w:r>
            <w:r>
              <w:rPr>
                <w:rFonts w:ascii="Times New Roman"/>
                <w:sz w:val="21"/>
                <w:szCs w:val="21"/>
              </w:rPr>
              <w:t>曹妃甸装备制造区污水处理站</w:t>
            </w:r>
            <w:r>
              <w:rPr>
                <w:rFonts w:hint="eastAsia" w:ascii="Times New Roman"/>
                <w:sz w:val="21"/>
                <w:szCs w:val="21"/>
              </w:rPr>
              <w:t>集中处理</w:t>
            </w:r>
          </w:p>
        </w:tc>
        <w:tc>
          <w:tcPr>
            <w:tcW w:w="442" w:type="pct"/>
            <w:vAlign w:val="center"/>
          </w:tcPr>
          <w:p w14:paraId="29669062">
            <w:pPr>
              <w:spacing w:line="320" w:lineRule="exact"/>
              <w:jc w:val="center"/>
              <w:rPr>
                <w:rFonts w:ascii="Times New Roman"/>
                <w:sz w:val="21"/>
                <w:szCs w:val="21"/>
              </w:rPr>
            </w:pPr>
            <w:r>
              <w:rPr>
                <w:rFonts w:ascii="Times New Roman"/>
                <w:sz w:val="21"/>
                <w:szCs w:val="21"/>
              </w:rPr>
              <w:t>符合</w:t>
            </w:r>
          </w:p>
        </w:tc>
      </w:tr>
      <w:tr w14:paraId="2147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7" w:type="pct"/>
            <w:vMerge w:val="continue"/>
            <w:vAlign w:val="center"/>
          </w:tcPr>
          <w:p w14:paraId="15A8E929">
            <w:pPr>
              <w:spacing w:line="320" w:lineRule="exact"/>
              <w:jc w:val="center"/>
              <w:rPr>
                <w:rFonts w:ascii="Times New Roman"/>
                <w:sz w:val="21"/>
                <w:szCs w:val="21"/>
              </w:rPr>
            </w:pPr>
          </w:p>
        </w:tc>
        <w:tc>
          <w:tcPr>
            <w:tcW w:w="290" w:type="pct"/>
            <w:vAlign w:val="center"/>
          </w:tcPr>
          <w:p w14:paraId="7C12D890">
            <w:pPr>
              <w:spacing w:line="320" w:lineRule="exact"/>
              <w:jc w:val="center"/>
              <w:rPr>
                <w:rFonts w:ascii="Times New Roman"/>
                <w:sz w:val="21"/>
                <w:szCs w:val="21"/>
              </w:rPr>
            </w:pPr>
            <w:r>
              <w:rPr>
                <w:rFonts w:ascii="Times New Roman"/>
                <w:sz w:val="21"/>
                <w:szCs w:val="21"/>
              </w:rPr>
              <w:t>土壤</w:t>
            </w:r>
          </w:p>
        </w:tc>
        <w:tc>
          <w:tcPr>
            <w:tcW w:w="2285" w:type="pct"/>
            <w:vAlign w:val="center"/>
          </w:tcPr>
          <w:p w14:paraId="15790A19">
            <w:pPr>
              <w:spacing w:line="320" w:lineRule="exact"/>
              <w:jc w:val="center"/>
              <w:rPr>
                <w:rFonts w:ascii="Times New Roman"/>
                <w:sz w:val="21"/>
                <w:szCs w:val="21"/>
              </w:rPr>
            </w:pPr>
            <w:r>
              <w:rPr>
                <w:rFonts w:hint="eastAsia" w:ascii="Times New Roman"/>
                <w:sz w:val="21"/>
                <w:szCs w:val="21"/>
              </w:rPr>
              <w:t>土地开发利用</w:t>
            </w:r>
            <w:r>
              <w:rPr>
                <w:rFonts w:ascii="Times New Roman"/>
                <w:sz w:val="21"/>
                <w:szCs w:val="21"/>
              </w:rPr>
              <w:t>必须符合土壤环境质量要求</w:t>
            </w:r>
            <w:r>
              <w:rPr>
                <w:rFonts w:hint="eastAsia" w:ascii="Times New Roman"/>
                <w:sz w:val="21"/>
                <w:szCs w:val="21"/>
              </w:rPr>
              <w:t>，</w:t>
            </w:r>
            <w:r>
              <w:rPr>
                <w:rFonts w:ascii="Times New Roman"/>
                <w:sz w:val="21"/>
                <w:szCs w:val="21"/>
              </w:rPr>
              <w:t>充分考虑污染地块的环境风险</w:t>
            </w:r>
            <w:r>
              <w:rPr>
                <w:rFonts w:hint="eastAsia" w:ascii="Times New Roman"/>
                <w:sz w:val="21"/>
                <w:szCs w:val="21"/>
              </w:rPr>
              <w:t>，</w:t>
            </w:r>
            <w:r>
              <w:rPr>
                <w:rFonts w:ascii="Times New Roman"/>
                <w:sz w:val="21"/>
                <w:szCs w:val="21"/>
              </w:rPr>
              <w:t>合理确定土地用途</w:t>
            </w:r>
            <w:r>
              <w:rPr>
                <w:rFonts w:hint="eastAsia" w:ascii="Times New Roman"/>
                <w:sz w:val="21"/>
                <w:szCs w:val="21"/>
              </w:rPr>
              <w:t>。</w:t>
            </w:r>
            <w:r>
              <w:rPr>
                <w:rFonts w:ascii="Times New Roman"/>
                <w:sz w:val="21"/>
                <w:szCs w:val="21"/>
              </w:rPr>
              <w:t>建立重点金属排放清单</w:t>
            </w:r>
            <w:r>
              <w:rPr>
                <w:rFonts w:hint="eastAsia" w:ascii="Times New Roman"/>
                <w:sz w:val="21"/>
                <w:szCs w:val="21"/>
              </w:rPr>
              <w:t>，</w:t>
            </w:r>
            <w:r>
              <w:rPr>
                <w:rFonts w:ascii="Times New Roman"/>
                <w:sz w:val="21"/>
                <w:szCs w:val="21"/>
              </w:rPr>
              <w:t>并纳入总量控制要求</w:t>
            </w:r>
            <w:r>
              <w:rPr>
                <w:rFonts w:hint="eastAsia" w:ascii="Times New Roman"/>
                <w:sz w:val="21"/>
                <w:szCs w:val="21"/>
              </w:rPr>
              <w:t>，</w:t>
            </w:r>
            <w:r>
              <w:rPr>
                <w:rFonts w:ascii="Times New Roman"/>
                <w:sz w:val="21"/>
                <w:szCs w:val="21"/>
              </w:rPr>
              <w:t>新改</w:t>
            </w:r>
            <w:r>
              <w:rPr>
                <w:rFonts w:hint="eastAsia" w:ascii="Times New Roman"/>
                <w:sz w:val="21"/>
                <w:szCs w:val="21"/>
              </w:rPr>
              <w:t>（扩）建项目实行新增重金属污染物排放等量或倍量替代，明确具体的重金属污染物排放总量来源</w:t>
            </w:r>
          </w:p>
        </w:tc>
        <w:tc>
          <w:tcPr>
            <w:tcW w:w="1584" w:type="pct"/>
            <w:vAlign w:val="center"/>
          </w:tcPr>
          <w:p w14:paraId="69AEE081">
            <w:pPr>
              <w:spacing w:line="320" w:lineRule="exact"/>
              <w:rPr>
                <w:rFonts w:ascii="Times New Roman"/>
                <w:sz w:val="21"/>
                <w:szCs w:val="21"/>
              </w:rPr>
            </w:pPr>
            <w:r>
              <w:rPr>
                <w:rFonts w:ascii="Times New Roman"/>
                <w:sz w:val="21"/>
                <w:szCs w:val="21"/>
              </w:rPr>
              <w:t>根据环境质量现状数据可知</w:t>
            </w:r>
            <w:r>
              <w:rPr>
                <w:rFonts w:hint="eastAsia" w:ascii="Times New Roman"/>
                <w:sz w:val="21"/>
                <w:szCs w:val="21"/>
              </w:rPr>
              <w:t>，</w:t>
            </w:r>
            <w:r>
              <w:rPr>
                <w:rFonts w:ascii="Times New Roman"/>
                <w:sz w:val="21"/>
                <w:szCs w:val="21"/>
              </w:rPr>
              <w:t>厂区内部及厂区周边土壤满足</w:t>
            </w:r>
            <w:r>
              <w:rPr>
                <w:rFonts w:hint="eastAsia" w:ascii="Times New Roman"/>
                <w:sz w:val="21"/>
                <w:szCs w:val="21"/>
              </w:rPr>
              <w:t>《土壤环境质量 建设用地土壤污染风险管控标准</w:t>
            </w:r>
            <w:r>
              <w:rPr>
                <w:rFonts w:hint="default" w:ascii="Times New Roman"/>
                <w:sz w:val="21"/>
                <w:szCs w:val="21"/>
                <w:lang w:val="en"/>
              </w:rPr>
              <w:t>（试行）》</w:t>
            </w:r>
            <w:r>
              <w:rPr>
                <w:rFonts w:hint="eastAsia" w:ascii="Times New Roman"/>
                <w:sz w:val="21"/>
                <w:szCs w:val="21"/>
              </w:rPr>
              <w:t>（GB36600-2018）中筛选值相关标准及河北省地方标准《建设用地土壤污染风险筛选值》（DB13/T5216-2022）中相关标准，本项目不涉及重金属</w:t>
            </w:r>
          </w:p>
        </w:tc>
        <w:tc>
          <w:tcPr>
            <w:tcW w:w="442" w:type="pct"/>
            <w:vAlign w:val="center"/>
          </w:tcPr>
          <w:p w14:paraId="49E946E0">
            <w:pPr>
              <w:spacing w:line="320" w:lineRule="exact"/>
              <w:jc w:val="center"/>
              <w:rPr>
                <w:rFonts w:ascii="Times New Roman"/>
                <w:sz w:val="21"/>
                <w:szCs w:val="21"/>
              </w:rPr>
            </w:pPr>
            <w:r>
              <w:rPr>
                <w:rFonts w:ascii="Times New Roman"/>
                <w:sz w:val="21"/>
                <w:szCs w:val="21"/>
              </w:rPr>
              <w:t>符合</w:t>
            </w:r>
          </w:p>
        </w:tc>
      </w:tr>
      <w:tr w14:paraId="774E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7" w:type="pct"/>
            <w:vMerge w:val="continue"/>
            <w:vAlign w:val="center"/>
          </w:tcPr>
          <w:p w14:paraId="4BA15D2E">
            <w:pPr>
              <w:spacing w:line="320" w:lineRule="exact"/>
              <w:jc w:val="center"/>
              <w:rPr>
                <w:rFonts w:ascii="Times New Roman"/>
                <w:sz w:val="21"/>
                <w:szCs w:val="21"/>
              </w:rPr>
            </w:pPr>
          </w:p>
        </w:tc>
        <w:tc>
          <w:tcPr>
            <w:tcW w:w="290" w:type="pct"/>
            <w:vAlign w:val="center"/>
          </w:tcPr>
          <w:p w14:paraId="4E553111">
            <w:pPr>
              <w:spacing w:line="320" w:lineRule="exact"/>
              <w:jc w:val="center"/>
              <w:rPr>
                <w:rFonts w:ascii="Times New Roman"/>
                <w:sz w:val="21"/>
                <w:szCs w:val="21"/>
              </w:rPr>
            </w:pPr>
            <w:r>
              <w:rPr>
                <w:rFonts w:hint="eastAsia" w:ascii="Times New Roman"/>
                <w:sz w:val="21"/>
                <w:szCs w:val="21"/>
              </w:rPr>
              <w:t>固体废物</w:t>
            </w:r>
          </w:p>
        </w:tc>
        <w:tc>
          <w:tcPr>
            <w:tcW w:w="2285" w:type="pct"/>
            <w:vAlign w:val="center"/>
          </w:tcPr>
          <w:p w14:paraId="26EA4D80">
            <w:pPr>
              <w:spacing w:line="320" w:lineRule="exact"/>
              <w:jc w:val="center"/>
              <w:rPr>
                <w:rFonts w:ascii="Times New Roman"/>
                <w:sz w:val="21"/>
                <w:szCs w:val="21"/>
              </w:rPr>
            </w:pPr>
            <w:r>
              <w:rPr>
                <w:rFonts w:hint="eastAsia" w:ascii="Times New Roman"/>
                <w:sz w:val="21"/>
                <w:szCs w:val="21"/>
              </w:rPr>
              <w:t>根据高标准建设，从严控制原则，提高工业区固体废物资源化利用，强化危险废物管控，2020年和2030年工业区危险废物综合利用处置利用率达到100%</w:t>
            </w:r>
          </w:p>
        </w:tc>
        <w:tc>
          <w:tcPr>
            <w:tcW w:w="1584" w:type="pct"/>
            <w:vAlign w:val="center"/>
          </w:tcPr>
          <w:p w14:paraId="35912384">
            <w:pPr>
              <w:spacing w:line="320" w:lineRule="exact"/>
              <w:rPr>
                <w:rFonts w:ascii="Times New Roman"/>
                <w:sz w:val="21"/>
                <w:szCs w:val="21"/>
              </w:rPr>
            </w:pPr>
            <w:r>
              <w:rPr>
                <w:rFonts w:hint="eastAsia" w:ascii="Times New Roman"/>
                <w:sz w:val="21"/>
                <w:szCs w:val="21"/>
              </w:rPr>
              <w:t>本项目一般固体废物均能得到合理处置，危险废物全部交由有资质单位处置，综合处置利用率达到100%。</w:t>
            </w:r>
          </w:p>
        </w:tc>
        <w:tc>
          <w:tcPr>
            <w:tcW w:w="442" w:type="pct"/>
            <w:vAlign w:val="center"/>
          </w:tcPr>
          <w:p w14:paraId="42639D0B">
            <w:pPr>
              <w:spacing w:line="320" w:lineRule="exact"/>
              <w:jc w:val="center"/>
              <w:rPr>
                <w:rFonts w:ascii="Times New Roman"/>
                <w:sz w:val="21"/>
                <w:szCs w:val="21"/>
              </w:rPr>
            </w:pPr>
            <w:r>
              <w:rPr>
                <w:rFonts w:ascii="Times New Roman"/>
                <w:sz w:val="21"/>
                <w:szCs w:val="21"/>
              </w:rPr>
              <w:t>符合</w:t>
            </w:r>
          </w:p>
        </w:tc>
      </w:tr>
    </w:tbl>
    <w:p w14:paraId="7580935D">
      <w:pPr>
        <w:spacing w:line="480" w:lineRule="exact"/>
        <w:ind w:firstLine="480" w:firstLineChars="200"/>
        <w:rPr>
          <w:rFonts w:ascii="Times New Roman"/>
          <w:sz w:val="24"/>
          <w:szCs w:val="24"/>
        </w:rPr>
      </w:pPr>
      <w:r>
        <w:rPr>
          <w:rFonts w:hint="eastAsia" w:ascii="Times New Roman"/>
          <w:sz w:val="24"/>
          <w:szCs w:val="24"/>
        </w:rPr>
        <w:t>（</w:t>
      </w:r>
      <w:r>
        <w:rPr>
          <w:rFonts w:ascii="Times New Roman"/>
          <w:sz w:val="24"/>
          <w:szCs w:val="24"/>
        </w:rPr>
        <w:t>3</w:t>
      </w:r>
      <w:r>
        <w:rPr>
          <w:rFonts w:hint="eastAsia" w:ascii="Times New Roman"/>
          <w:sz w:val="24"/>
          <w:szCs w:val="24"/>
        </w:rPr>
        <w:t>）资源利用上线</w:t>
      </w:r>
    </w:p>
    <w:p w14:paraId="33343037">
      <w:pPr>
        <w:spacing w:line="480" w:lineRule="exact"/>
        <w:jc w:val="center"/>
        <w:rPr>
          <w:rFonts w:ascii="Times New Roman"/>
          <w:b/>
          <w:bCs/>
          <w:sz w:val="24"/>
          <w:szCs w:val="24"/>
        </w:rPr>
      </w:pPr>
      <w:r>
        <w:rPr>
          <w:rFonts w:hint="eastAsia" w:ascii="Times New Roman"/>
          <w:b/>
          <w:sz w:val="24"/>
          <w:szCs w:val="24"/>
        </w:rPr>
        <w:t>表</w:t>
      </w:r>
      <w:r>
        <w:rPr>
          <w:rFonts w:ascii="Times New Roman"/>
          <w:b/>
          <w:sz w:val="24"/>
          <w:szCs w:val="24"/>
        </w:rPr>
        <w:t>2.9</w:t>
      </w:r>
      <w:r>
        <w:rPr>
          <w:rFonts w:ascii="Times New Roman"/>
          <w:b/>
          <w:sz w:val="24"/>
          <w:szCs w:val="24"/>
        </w:rPr>
        <w:noBreakHyphen/>
      </w:r>
      <w:r>
        <w:rPr>
          <w:rFonts w:hint="eastAsia" w:ascii="Times New Roman"/>
          <w:b/>
          <w:sz w:val="24"/>
          <w:szCs w:val="24"/>
        </w:rPr>
        <w:t>6</w:t>
      </w:r>
      <w:r>
        <w:rPr>
          <w:rFonts w:ascii="Times New Roman"/>
          <w:b/>
          <w:sz w:val="24"/>
          <w:szCs w:val="24"/>
        </w:rPr>
        <w:t xml:space="preserve"> </w:t>
      </w:r>
      <w:r>
        <w:rPr>
          <w:rFonts w:ascii="Times New Roman"/>
          <w:b/>
          <w:bCs/>
          <w:sz w:val="24"/>
          <w:szCs w:val="24"/>
        </w:rPr>
        <w:t xml:space="preserve"> 项目与</w:t>
      </w:r>
      <w:r>
        <w:rPr>
          <w:rFonts w:hint="eastAsia" w:ascii="Times New Roman"/>
          <w:b/>
          <w:bCs/>
          <w:sz w:val="24"/>
          <w:szCs w:val="24"/>
        </w:rPr>
        <w:t>资源利用</w:t>
      </w:r>
      <w:r>
        <w:rPr>
          <w:rFonts w:ascii="Times New Roman"/>
          <w:b/>
          <w:bCs/>
          <w:sz w:val="24"/>
          <w:szCs w:val="24"/>
        </w:rPr>
        <w:t>上线符合性分析一览表</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787"/>
        <w:gridCol w:w="3777"/>
        <w:gridCol w:w="1850"/>
        <w:gridCol w:w="932"/>
      </w:tblGrid>
      <w:tr w14:paraId="2C51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3" w:type="pct"/>
            <w:vAlign w:val="center"/>
          </w:tcPr>
          <w:p w14:paraId="0299D110">
            <w:pPr>
              <w:spacing w:line="320" w:lineRule="exact"/>
              <w:jc w:val="center"/>
              <w:rPr>
                <w:rFonts w:ascii="Times New Roman"/>
                <w:sz w:val="21"/>
                <w:szCs w:val="21"/>
              </w:rPr>
            </w:pPr>
            <w:r>
              <w:rPr>
                <w:rFonts w:ascii="Times New Roman"/>
                <w:sz w:val="21"/>
                <w:szCs w:val="21"/>
              </w:rPr>
              <w:t>类别</w:t>
            </w:r>
          </w:p>
        </w:tc>
        <w:tc>
          <w:tcPr>
            <w:tcW w:w="2737" w:type="pct"/>
            <w:gridSpan w:val="2"/>
            <w:vAlign w:val="center"/>
          </w:tcPr>
          <w:p w14:paraId="0C91AEB8">
            <w:pPr>
              <w:spacing w:line="320" w:lineRule="exact"/>
              <w:jc w:val="center"/>
              <w:rPr>
                <w:rFonts w:ascii="Times New Roman"/>
                <w:sz w:val="21"/>
                <w:szCs w:val="21"/>
              </w:rPr>
            </w:pPr>
            <w:r>
              <w:rPr>
                <w:rFonts w:ascii="Times New Roman"/>
                <w:sz w:val="21"/>
                <w:szCs w:val="21"/>
              </w:rPr>
              <w:t>规划要求</w:t>
            </w:r>
          </w:p>
        </w:tc>
        <w:tc>
          <w:tcPr>
            <w:tcW w:w="1110" w:type="pct"/>
            <w:vAlign w:val="center"/>
          </w:tcPr>
          <w:p w14:paraId="0D9F73E0">
            <w:pPr>
              <w:spacing w:line="320" w:lineRule="exact"/>
              <w:jc w:val="center"/>
              <w:rPr>
                <w:rFonts w:ascii="Times New Roman"/>
                <w:sz w:val="21"/>
                <w:szCs w:val="21"/>
              </w:rPr>
            </w:pPr>
            <w:r>
              <w:rPr>
                <w:rFonts w:ascii="Times New Roman"/>
                <w:sz w:val="21"/>
                <w:szCs w:val="21"/>
              </w:rPr>
              <w:t>本项目</w:t>
            </w:r>
          </w:p>
        </w:tc>
        <w:tc>
          <w:tcPr>
            <w:tcW w:w="560" w:type="pct"/>
            <w:vAlign w:val="center"/>
          </w:tcPr>
          <w:p w14:paraId="545D51F0">
            <w:pPr>
              <w:spacing w:line="320" w:lineRule="exact"/>
              <w:jc w:val="center"/>
              <w:rPr>
                <w:rFonts w:ascii="Times New Roman"/>
                <w:sz w:val="21"/>
                <w:szCs w:val="21"/>
              </w:rPr>
            </w:pPr>
            <w:r>
              <w:rPr>
                <w:rFonts w:ascii="Times New Roman"/>
                <w:sz w:val="21"/>
                <w:szCs w:val="21"/>
              </w:rPr>
              <w:t>符合性</w:t>
            </w:r>
          </w:p>
        </w:tc>
      </w:tr>
      <w:tr w14:paraId="10B2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3" w:type="pct"/>
            <w:vMerge w:val="restart"/>
            <w:vAlign w:val="center"/>
          </w:tcPr>
          <w:p w14:paraId="3ADEEE79">
            <w:pPr>
              <w:spacing w:line="320" w:lineRule="exact"/>
              <w:jc w:val="center"/>
              <w:rPr>
                <w:rFonts w:ascii="Times New Roman"/>
                <w:sz w:val="21"/>
                <w:szCs w:val="21"/>
              </w:rPr>
            </w:pPr>
            <w:r>
              <w:rPr>
                <w:rFonts w:ascii="Times New Roman"/>
                <w:sz w:val="21"/>
                <w:szCs w:val="21"/>
              </w:rPr>
              <w:t>资源利用上线相关要求</w:t>
            </w:r>
          </w:p>
        </w:tc>
        <w:tc>
          <w:tcPr>
            <w:tcW w:w="472" w:type="pct"/>
            <w:vAlign w:val="center"/>
          </w:tcPr>
          <w:p w14:paraId="0CB5DF9B">
            <w:pPr>
              <w:spacing w:line="320" w:lineRule="exact"/>
              <w:jc w:val="center"/>
              <w:rPr>
                <w:rFonts w:ascii="Times New Roman"/>
                <w:sz w:val="21"/>
                <w:szCs w:val="21"/>
              </w:rPr>
            </w:pPr>
            <w:r>
              <w:rPr>
                <w:rFonts w:ascii="Times New Roman"/>
                <w:sz w:val="21"/>
                <w:szCs w:val="21"/>
              </w:rPr>
              <w:t>能源</w:t>
            </w:r>
          </w:p>
        </w:tc>
        <w:tc>
          <w:tcPr>
            <w:tcW w:w="2266" w:type="pct"/>
            <w:vAlign w:val="center"/>
          </w:tcPr>
          <w:p w14:paraId="78D61E89">
            <w:pPr>
              <w:spacing w:line="320" w:lineRule="exact"/>
              <w:jc w:val="center"/>
              <w:rPr>
                <w:rFonts w:ascii="Times New Roman"/>
                <w:sz w:val="21"/>
                <w:szCs w:val="21"/>
              </w:rPr>
            </w:pPr>
            <w:r>
              <w:rPr>
                <w:rFonts w:hint="eastAsia" w:ascii="Times New Roman"/>
                <w:sz w:val="21"/>
                <w:szCs w:val="21"/>
              </w:rPr>
              <w:t>规划近期、中期及远期能源消耗总量上线分别为0.10亿吨标准煤、0.14亿吨标准煤和0.16亿吨标准煤。其中，煤炭消耗量上线分别为32万t/a、61万t/a及70万t/a。</w:t>
            </w:r>
          </w:p>
        </w:tc>
        <w:tc>
          <w:tcPr>
            <w:tcW w:w="1110" w:type="pct"/>
            <w:vAlign w:val="center"/>
          </w:tcPr>
          <w:p w14:paraId="5B836EB5">
            <w:pPr>
              <w:spacing w:line="320" w:lineRule="exact"/>
              <w:jc w:val="center"/>
              <w:rPr>
                <w:rFonts w:ascii="Times New Roman"/>
                <w:sz w:val="21"/>
                <w:szCs w:val="21"/>
                <w:vertAlign w:val="superscript"/>
              </w:rPr>
            </w:pPr>
            <w:r>
              <w:rPr>
                <w:rFonts w:hint="eastAsia" w:ascii="Times New Roman"/>
                <w:sz w:val="21"/>
                <w:szCs w:val="21"/>
              </w:rPr>
              <w:t>本项目不属于高污染、高消耗型企业，本项目建成后，营运过程中会有一定量天然气、电源等能源的消耗，本项目天然气、电能均由当地集中供给设施提供，建成后资源消耗量相对区域资源利用总量较少，能源消耗未超出区域负荷上限，负荷资源利用上限要求。</w:t>
            </w:r>
          </w:p>
        </w:tc>
        <w:tc>
          <w:tcPr>
            <w:tcW w:w="560" w:type="pct"/>
            <w:vMerge w:val="restart"/>
            <w:vAlign w:val="center"/>
          </w:tcPr>
          <w:p w14:paraId="65B8017F">
            <w:pPr>
              <w:spacing w:line="320" w:lineRule="exact"/>
              <w:jc w:val="center"/>
              <w:rPr>
                <w:rFonts w:ascii="Times New Roman"/>
                <w:sz w:val="21"/>
                <w:szCs w:val="21"/>
              </w:rPr>
            </w:pPr>
            <w:r>
              <w:rPr>
                <w:rFonts w:ascii="Times New Roman"/>
                <w:sz w:val="21"/>
                <w:szCs w:val="21"/>
              </w:rPr>
              <w:t>符合</w:t>
            </w:r>
          </w:p>
        </w:tc>
      </w:tr>
      <w:tr w14:paraId="7248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3" w:type="pct"/>
            <w:vMerge w:val="continue"/>
            <w:vAlign w:val="center"/>
          </w:tcPr>
          <w:p w14:paraId="3C21F295">
            <w:pPr>
              <w:spacing w:line="320" w:lineRule="exact"/>
              <w:jc w:val="center"/>
              <w:rPr>
                <w:rFonts w:ascii="Times New Roman"/>
                <w:sz w:val="21"/>
                <w:szCs w:val="21"/>
              </w:rPr>
            </w:pPr>
          </w:p>
        </w:tc>
        <w:tc>
          <w:tcPr>
            <w:tcW w:w="472" w:type="pct"/>
            <w:vAlign w:val="center"/>
          </w:tcPr>
          <w:p w14:paraId="231FF96A">
            <w:pPr>
              <w:spacing w:line="320" w:lineRule="exact"/>
              <w:jc w:val="center"/>
              <w:rPr>
                <w:rFonts w:ascii="Times New Roman"/>
                <w:sz w:val="21"/>
                <w:szCs w:val="21"/>
              </w:rPr>
            </w:pPr>
            <w:r>
              <w:rPr>
                <w:rFonts w:ascii="Times New Roman"/>
                <w:sz w:val="21"/>
                <w:szCs w:val="21"/>
              </w:rPr>
              <w:t>水</w:t>
            </w:r>
          </w:p>
        </w:tc>
        <w:tc>
          <w:tcPr>
            <w:tcW w:w="2266" w:type="pct"/>
            <w:vAlign w:val="center"/>
          </w:tcPr>
          <w:p w14:paraId="4D64DA76">
            <w:pPr>
              <w:spacing w:line="320" w:lineRule="exact"/>
              <w:rPr>
                <w:rFonts w:ascii="Times New Roman"/>
                <w:sz w:val="21"/>
                <w:szCs w:val="21"/>
              </w:rPr>
            </w:pPr>
            <w:r>
              <w:rPr>
                <w:rFonts w:hint="eastAsia" w:ascii="Times New Roman"/>
                <w:sz w:val="21"/>
                <w:szCs w:val="21"/>
              </w:rPr>
              <w:t>规划环评设定规划近期、中期及远期水资源总量上线分别为0.7亿m</w:t>
            </w:r>
            <w:r>
              <w:rPr>
                <w:rFonts w:hint="eastAsia" w:ascii="Times New Roman"/>
                <w:sz w:val="21"/>
                <w:szCs w:val="21"/>
                <w:vertAlign w:val="superscript"/>
              </w:rPr>
              <w:t>3</w:t>
            </w:r>
            <w:r>
              <w:rPr>
                <w:rFonts w:hint="eastAsia" w:ascii="Times New Roman"/>
                <w:sz w:val="21"/>
                <w:szCs w:val="21"/>
              </w:rPr>
              <w:t>/a、1.2亿m</w:t>
            </w:r>
            <w:r>
              <w:rPr>
                <w:rFonts w:hint="eastAsia" w:ascii="Times New Roman"/>
                <w:sz w:val="21"/>
                <w:szCs w:val="21"/>
                <w:vertAlign w:val="superscript"/>
              </w:rPr>
              <w:t>3</w:t>
            </w:r>
            <w:r>
              <w:rPr>
                <w:rFonts w:hint="eastAsia" w:ascii="Times New Roman"/>
                <w:sz w:val="21"/>
                <w:szCs w:val="21"/>
              </w:rPr>
              <w:t>/a及1.5亿m</w:t>
            </w:r>
            <w:r>
              <w:rPr>
                <w:rFonts w:hint="eastAsia" w:ascii="Times New Roman"/>
                <w:sz w:val="21"/>
                <w:szCs w:val="21"/>
                <w:vertAlign w:val="superscript"/>
              </w:rPr>
              <w:t>3</w:t>
            </w:r>
            <w:r>
              <w:rPr>
                <w:rFonts w:hint="eastAsia" w:ascii="Times New Roman"/>
                <w:sz w:val="21"/>
                <w:szCs w:val="21"/>
              </w:rPr>
              <w:t>/a</w:t>
            </w:r>
          </w:p>
        </w:tc>
        <w:tc>
          <w:tcPr>
            <w:tcW w:w="1110" w:type="pct"/>
            <w:vAlign w:val="center"/>
          </w:tcPr>
          <w:p w14:paraId="7C57590C">
            <w:pPr>
              <w:spacing w:line="320" w:lineRule="exact"/>
              <w:jc w:val="center"/>
              <w:rPr>
                <w:rFonts w:ascii="Times New Roman"/>
                <w:sz w:val="21"/>
                <w:szCs w:val="21"/>
              </w:rPr>
            </w:pPr>
            <w:r>
              <w:rPr>
                <w:rFonts w:ascii="Times New Roman"/>
                <w:sz w:val="21"/>
                <w:szCs w:val="21"/>
              </w:rPr>
              <w:t>本项目用水依托园区管网</w:t>
            </w:r>
            <w:r>
              <w:rPr>
                <w:rFonts w:hint="eastAsia" w:ascii="Times New Roman"/>
                <w:sz w:val="21"/>
                <w:szCs w:val="21"/>
              </w:rPr>
              <w:t>，</w:t>
            </w:r>
            <w:r>
              <w:rPr>
                <w:rFonts w:ascii="Times New Roman"/>
                <w:sz w:val="21"/>
                <w:szCs w:val="21"/>
              </w:rPr>
              <w:t>为集中供水</w:t>
            </w:r>
          </w:p>
        </w:tc>
        <w:tc>
          <w:tcPr>
            <w:tcW w:w="560" w:type="pct"/>
            <w:vMerge w:val="continue"/>
            <w:vAlign w:val="center"/>
          </w:tcPr>
          <w:p w14:paraId="622961B9">
            <w:pPr>
              <w:spacing w:line="320" w:lineRule="exact"/>
              <w:jc w:val="center"/>
              <w:rPr>
                <w:rFonts w:ascii="Times New Roman"/>
                <w:sz w:val="21"/>
                <w:szCs w:val="21"/>
              </w:rPr>
            </w:pPr>
          </w:p>
        </w:tc>
      </w:tr>
      <w:tr w14:paraId="1E21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3" w:type="pct"/>
            <w:vMerge w:val="continue"/>
            <w:vAlign w:val="center"/>
          </w:tcPr>
          <w:p w14:paraId="13EBD54B">
            <w:pPr>
              <w:spacing w:line="320" w:lineRule="exact"/>
              <w:jc w:val="center"/>
              <w:rPr>
                <w:rFonts w:ascii="Times New Roman"/>
                <w:sz w:val="21"/>
                <w:szCs w:val="21"/>
              </w:rPr>
            </w:pPr>
          </w:p>
        </w:tc>
        <w:tc>
          <w:tcPr>
            <w:tcW w:w="472" w:type="pct"/>
            <w:vAlign w:val="center"/>
          </w:tcPr>
          <w:p w14:paraId="284A18DD">
            <w:pPr>
              <w:spacing w:line="320" w:lineRule="exact"/>
              <w:jc w:val="center"/>
              <w:rPr>
                <w:rFonts w:ascii="Times New Roman"/>
                <w:sz w:val="21"/>
                <w:szCs w:val="21"/>
              </w:rPr>
            </w:pPr>
            <w:r>
              <w:rPr>
                <w:rFonts w:ascii="Times New Roman"/>
                <w:sz w:val="21"/>
                <w:szCs w:val="21"/>
              </w:rPr>
              <w:t>土地</w:t>
            </w:r>
          </w:p>
        </w:tc>
        <w:tc>
          <w:tcPr>
            <w:tcW w:w="2266" w:type="pct"/>
            <w:vAlign w:val="center"/>
          </w:tcPr>
          <w:p w14:paraId="389F2CCD">
            <w:pPr>
              <w:spacing w:line="320" w:lineRule="exact"/>
              <w:jc w:val="center"/>
              <w:rPr>
                <w:rFonts w:ascii="Times New Roman"/>
                <w:sz w:val="21"/>
                <w:szCs w:val="21"/>
              </w:rPr>
            </w:pPr>
            <w:r>
              <w:rPr>
                <w:rFonts w:hint="eastAsia" w:ascii="Times New Roman"/>
                <w:sz w:val="21"/>
                <w:szCs w:val="21"/>
              </w:rPr>
              <w:t>2020年土地资源总量上线控制在210平方公里，提升土地产出率，到2020年工业区单位工业用地产值达到3800万元/公顷；2030年土地资源总量上线控制在310平方公里，提升土地产出率，到2030年工业区单位工业用地产值达到5100万元/公顷</w:t>
            </w:r>
          </w:p>
        </w:tc>
        <w:tc>
          <w:tcPr>
            <w:tcW w:w="1110" w:type="pct"/>
            <w:vAlign w:val="center"/>
          </w:tcPr>
          <w:p w14:paraId="2E74C907">
            <w:pPr>
              <w:spacing w:line="320" w:lineRule="exact"/>
              <w:jc w:val="center"/>
              <w:rPr>
                <w:rFonts w:ascii="Times New Roman"/>
                <w:sz w:val="21"/>
                <w:szCs w:val="21"/>
              </w:rPr>
            </w:pPr>
            <w:r>
              <w:rPr>
                <w:rFonts w:hint="eastAsia" w:ascii="Times New Roman"/>
                <w:sz w:val="21"/>
                <w:szCs w:val="21"/>
              </w:rPr>
              <w:t>本项目位于曹妃甸工业区装备制造园区，不涉及突破土地资源总量上线</w:t>
            </w:r>
          </w:p>
        </w:tc>
        <w:tc>
          <w:tcPr>
            <w:tcW w:w="560" w:type="pct"/>
            <w:vMerge w:val="continue"/>
            <w:vAlign w:val="center"/>
          </w:tcPr>
          <w:p w14:paraId="2032F0BB">
            <w:pPr>
              <w:spacing w:line="320" w:lineRule="exact"/>
              <w:jc w:val="center"/>
              <w:rPr>
                <w:rFonts w:ascii="Times New Roman"/>
                <w:sz w:val="21"/>
                <w:szCs w:val="21"/>
              </w:rPr>
            </w:pPr>
          </w:p>
        </w:tc>
      </w:tr>
    </w:tbl>
    <w:p w14:paraId="2F2D0E49">
      <w:pPr>
        <w:spacing w:line="360" w:lineRule="auto"/>
        <w:ind w:firstLine="480" w:firstLineChars="200"/>
        <w:rPr>
          <w:rFonts w:ascii="Times New Roman" w:cs="宋体"/>
          <w:kern w:val="0"/>
          <w:sz w:val="24"/>
          <w:szCs w:val="24"/>
        </w:rPr>
      </w:pPr>
      <w:r>
        <w:rPr>
          <w:rFonts w:hint="eastAsia" w:ascii="Times New Roman" w:cs="宋体"/>
          <w:kern w:val="0"/>
          <w:sz w:val="24"/>
          <w:szCs w:val="24"/>
        </w:rPr>
        <w:t>（</w:t>
      </w:r>
      <w:r>
        <w:rPr>
          <w:rFonts w:ascii="Times New Roman" w:cs="宋体"/>
          <w:kern w:val="0"/>
          <w:sz w:val="24"/>
          <w:szCs w:val="24"/>
        </w:rPr>
        <w:t>4</w:t>
      </w:r>
      <w:r>
        <w:rPr>
          <w:rFonts w:hint="eastAsia" w:ascii="Times New Roman" w:cs="宋体"/>
          <w:kern w:val="0"/>
          <w:sz w:val="24"/>
          <w:szCs w:val="24"/>
        </w:rPr>
        <w:t>）环境准入负面清单</w:t>
      </w:r>
    </w:p>
    <w:p w14:paraId="2F9AC135">
      <w:pPr>
        <w:spacing w:line="360" w:lineRule="auto"/>
        <w:ind w:firstLine="480" w:firstLineChars="200"/>
        <w:jc w:val="left"/>
        <w:rPr>
          <w:rFonts w:ascii="Times New Roman"/>
          <w:sz w:val="24"/>
          <w:szCs w:val="24"/>
        </w:rPr>
      </w:pPr>
      <w:r>
        <w:rPr>
          <w:rFonts w:ascii="Times New Roman"/>
          <w:sz w:val="24"/>
          <w:szCs w:val="24"/>
        </w:rPr>
        <w:t>根据《曹妃甸循环经济示范区规划环境影响跟踪评价报告》可知，</w:t>
      </w:r>
      <w:r>
        <w:rPr>
          <w:rFonts w:hint="eastAsia" w:ascii="Times New Roman" w:cs="宋体"/>
          <w:kern w:val="0"/>
          <w:sz w:val="24"/>
          <w:szCs w:val="24"/>
        </w:rPr>
        <w:t>曹妃甸循环经济示范区</w:t>
      </w:r>
      <w:r>
        <w:rPr>
          <w:rFonts w:ascii="Times New Roman"/>
          <w:sz w:val="24"/>
          <w:szCs w:val="24"/>
        </w:rPr>
        <w:t>所有产业园环境准入负面清单见</w:t>
      </w:r>
      <w:r>
        <w:rPr>
          <w:rFonts w:hint="eastAsia" w:ascii="Times New Roman"/>
          <w:sz w:val="24"/>
          <w:szCs w:val="24"/>
        </w:rPr>
        <w:t>下表</w:t>
      </w:r>
      <w:r>
        <w:rPr>
          <w:rFonts w:ascii="Times New Roman"/>
          <w:sz w:val="24"/>
          <w:szCs w:val="24"/>
        </w:rPr>
        <w:t>。</w:t>
      </w:r>
    </w:p>
    <w:p w14:paraId="6EA3A376">
      <w:pPr>
        <w:spacing w:line="360" w:lineRule="auto"/>
        <w:jc w:val="center"/>
        <w:rPr>
          <w:rFonts w:ascii="Times New Roman"/>
          <w:b/>
          <w:sz w:val="24"/>
          <w:szCs w:val="20"/>
        </w:rPr>
      </w:pPr>
      <w:r>
        <w:rPr>
          <w:rFonts w:hint="eastAsia" w:ascii="Times New Roman"/>
          <w:b/>
          <w:sz w:val="24"/>
          <w:szCs w:val="24"/>
        </w:rPr>
        <w:t>表</w:t>
      </w:r>
      <w:r>
        <w:rPr>
          <w:rFonts w:ascii="Times New Roman"/>
          <w:b/>
          <w:sz w:val="24"/>
          <w:szCs w:val="24"/>
        </w:rPr>
        <w:t>2.9</w:t>
      </w:r>
      <w:r>
        <w:rPr>
          <w:rFonts w:ascii="Times New Roman"/>
          <w:b/>
          <w:sz w:val="24"/>
          <w:szCs w:val="24"/>
        </w:rPr>
        <w:noBreakHyphen/>
      </w:r>
      <w:r>
        <w:rPr>
          <w:rFonts w:hint="eastAsia" w:ascii="Times New Roman"/>
          <w:b/>
          <w:sz w:val="24"/>
          <w:szCs w:val="24"/>
        </w:rPr>
        <w:t>7</w:t>
      </w:r>
      <w:r>
        <w:rPr>
          <w:rFonts w:ascii="Times New Roman"/>
          <w:b/>
          <w:sz w:val="24"/>
          <w:szCs w:val="24"/>
        </w:rPr>
        <w:t xml:space="preserve"> </w:t>
      </w:r>
      <w:r>
        <w:rPr>
          <w:rFonts w:ascii="Times New Roman"/>
          <w:b/>
          <w:bCs/>
          <w:sz w:val="24"/>
          <w:szCs w:val="24"/>
        </w:rPr>
        <w:t xml:space="preserve"> </w:t>
      </w:r>
      <w:r>
        <w:rPr>
          <w:rFonts w:hint="eastAsia" w:ascii="Times New Roman"/>
          <w:b/>
          <w:sz w:val="24"/>
          <w:szCs w:val="24"/>
        </w:rPr>
        <w:t>曹妃甸工业区规划产业禁止及限制准入环境负面清</w:t>
      </w:r>
      <w:r>
        <w:rPr>
          <w:rFonts w:hint="eastAsia" w:ascii="Times New Roman"/>
          <w:b/>
          <w:sz w:val="24"/>
          <w:szCs w:val="20"/>
        </w:rPr>
        <w:t>单</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7"/>
        <w:gridCol w:w="1110"/>
        <w:gridCol w:w="3351"/>
        <w:gridCol w:w="2384"/>
        <w:gridCol w:w="637"/>
      </w:tblGrid>
      <w:tr w14:paraId="4617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87" w:type="pct"/>
            <w:gridSpan w:val="4"/>
            <w:vAlign w:val="center"/>
          </w:tcPr>
          <w:p w14:paraId="0A3443B0">
            <w:pPr>
              <w:spacing w:line="240" w:lineRule="exact"/>
              <w:jc w:val="center"/>
              <w:rPr>
                <w:rFonts w:ascii="Times New Roman"/>
                <w:sz w:val="21"/>
                <w:szCs w:val="21"/>
              </w:rPr>
            </w:pPr>
            <w:r>
              <w:rPr>
                <w:rFonts w:ascii="Times New Roman"/>
                <w:sz w:val="21"/>
                <w:szCs w:val="21"/>
              </w:rPr>
              <w:t>园区准入负面清单</w:t>
            </w:r>
          </w:p>
        </w:tc>
        <w:tc>
          <w:tcPr>
            <w:tcW w:w="1430" w:type="pct"/>
            <w:vAlign w:val="center"/>
          </w:tcPr>
          <w:p w14:paraId="4AEF4A19">
            <w:pPr>
              <w:spacing w:line="240" w:lineRule="exact"/>
              <w:jc w:val="center"/>
              <w:rPr>
                <w:rFonts w:ascii="Times New Roman"/>
                <w:sz w:val="21"/>
                <w:szCs w:val="21"/>
              </w:rPr>
            </w:pPr>
            <w:r>
              <w:rPr>
                <w:rFonts w:hint="eastAsia" w:ascii="Times New Roman"/>
                <w:sz w:val="21"/>
                <w:szCs w:val="21"/>
              </w:rPr>
              <w:t>本项目</w:t>
            </w:r>
          </w:p>
        </w:tc>
        <w:tc>
          <w:tcPr>
            <w:tcW w:w="382" w:type="pct"/>
            <w:vAlign w:val="center"/>
          </w:tcPr>
          <w:p w14:paraId="4F074BB9">
            <w:pPr>
              <w:spacing w:line="240" w:lineRule="exact"/>
              <w:jc w:val="center"/>
              <w:rPr>
                <w:rFonts w:ascii="Times New Roman"/>
                <w:sz w:val="21"/>
                <w:szCs w:val="21"/>
              </w:rPr>
            </w:pPr>
            <w:r>
              <w:rPr>
                <w:rFonts w:hint="eastAsia" w:ascii="Times New Roman"/>
                <w:sz w:val="21"/>
                <w:szCs w:val="21"/>
              </w:rPr>
              <w:t>结论</w:t>
            </w:r>
          </w:p>
        </w:tc>
      </w:tr>
      <w:tr w14:paraId="68C9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255" w:type="pct"/>
            <w:vMerge w:val="restart"/>
            <w:vAlign w:val="center"/>
          </w:tcPr>
          <w:p w14:paraId="0EE504D1">
            <w:pPr>
              <w:spacing w:line="240" w:lineRule="exact"/>
              <w:jc w:val="center"/>
              <w:rPr>
                <w:rFonts w:ascii="Times New Roman"/>
                <w:sz w:val="21"/>
                <w:szCs w:val="21"/>
              </w:rPr>
            </w:pPr>
            <w:r>
              <w:rPr>
                <w:rFonts w:ascii="Times New Roman"/>
                <w:sz w:val="21"/>
                <w:szCs w:val="21"/>
              </w:rPr>
              <w:t>所有产业园</w:t>
            </w:r>
          </w:p>
        </w:tc>
        <w:tc>
          <w:tcPr>
            <w:tcW w:w="2932" w:type="pct"/>
            <w:gridSpan w:val="3"/>
            <w:vAlign w:val="center"/>
          </w:tcPr>
          <w:p w14:paraId="4A73C2D9">
            <w:pPr>
              <w:widowControl/>
              <w:spacing w:line="240" w:lineRule="exact"/>
              <w:jc w:val="center"/>
              <w:rPr>
                <w:rFonts w:ascii="Times New Roman"/>
                <w:sz w:val="21"/>
                <w:szCs w:val="21"/>
              </w:rPr>
            </w:pPr>
            <w:r>
              <w:rPr>
                <w:rFonts w:ascii="Times New Roman"/>
                <w:kern w:val="0"/>
                <w:sz w:val="21"/>
                <w:szCs w:val="21"/>
              </w:rPr>
              <w:t>入园项目不符合各园区产业发展定位，与规划定位存在冲突，不得准入</w:t>
            </w:r>
          </w:p>
        </w:tc>
        <w:tc>
          <w:tcPr>
            <w:tcW w:w="1430" w:type="pct"/>
            <w:vAlign w:val="center"/>
          </w:tcPr>
          <w:p w14:paraId="22EE4473">
            <w:pPr>
              <w:widowControl/>
              <w:spacing w:line="240" w:lineRule="exact"/>
              <w:jc w:val="center"/>
              <w:rPr>
                <w:rFonts w:ascii="Times New Roman"/>
                <w:kern w:val="0"/>
                <w:sz w:val="21"/>
                <w:szCs w:val="21"/>
              </w:rPr>
            </w:pPr>
            <w:r>
              <w:rPr>
                <w:rFonts w:hint="eastAsia" w:ascii="Times New Roman"/>
                <w:bCs/>
                <w:sz w:val="21"/>
                <w:szCs w:val="21"/>
              </w:rPr>
              <w:t>本项目厂区位于曹妃甸循环经济示范区装备园区，所属行业为C3434连续搬运设备制造</w:t>
            </w:r>
            <w:r>
              <w:rPr>
                <w:rFonts w:ascii="Times New Roman"/>
                <w:sz w:val="21"/>
                <w:szCs w:val="21"/>
              </w:rPr>
              <w:t>，发展方向与园区规划相符。曹妃甸</w:t>
            </w:r>
            <w:r>
              <w:rPr>
                <w:rFonts w:hint="eastAsia" w:ascii="Times New Roman"/>
                <w:bCs/>
                <w:sz w:val="21"/>
                <w:szCs w:val="21"/>
              </w:rPr>
              <w:t>装备制造园区</w:t>
            </w:r>
            <w:r>
              <w:rPr>
                <w:rFonts w:ascii="Times New Roman"/>
                <w:sz w:val="21"/>
                <w:szCs w:val="21"/>
              </w:rPr>
              <w:t>管理委员会</w:t>
            </w:r>
            <w:r>
              <w:rPr>
                <w:rFonts w:hint="eastAsia" w:ascii="Times New Roman"/>
                <w:sz w:val="21"/>
                <w:szCs w:val="21"/>
              </w:rPr>
              <w:t>同意企业建设</w:t>
            </w:r>
          </w:p>
        </w:tc>
        <w:tc>
          <w:tcPr>
            <w:tcW w:w="382" w:type="pct"/>
            <w:vAlign w:val="center"/>
          </w:tcPr>
          <w:p w14:paraId="26A06D01">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61E1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55" w:type="pct"/>
            <w:vMerge w:val="continue"/>
            <w:vAlign w:val="center"/>
          </w:tcPr>
          <w:p w14:paraId="43EC66B2">
            <w:pPr>
              <w:spacing w:line="240" w:lineRule="exact"/>
              <w:jc w:val="center"/>
              <w:rPr>
                <w:rFonts w:ascii="Times New Roman"/>
                <w:sz w:val="21"/>
                <w:szCs w:val="21"/>
              </w:rPr>
            </w:pPr>
          </w:p>
        </w:tc>
        <w:tc>
          <w:tcPr>
            <w:tcW w:w="2932" w:type="pct"/>
            <w:gridSpan w:val="3"/>
            <w:vAlign w:val="center"/>
          </w:tcPr>
          <w:p w14:paraId="609B8576">
            <w:pPr>
              <w:widowControl/>
              <w:spacing w:line="240" w:lineRule="exact"/>
              <w:jc w:val="center"/>
              <w:rPr>
                <w:rFonts w:ascii="Times New Roman"/>
                <w:sz w:val="21"/>
                <w:szCs w:val="21"/>
              </w:rPr>
            </w:pPr>
            <w:r>
              <w:rPr>
                <w:rFonts w:ascii="Times New Roman"/>
                <w:kern w:val="0"/>
                <w:sz w:val="21"/>
                <w:szCs w:val="21"/>
              </w:rPr>
              <w:t>承接产业转移的项目环境准入要求低于疏解地标准，不得准入</w:t>
            </w:r>
          </w:p>
        </w:tc>
        <w:tc>
          <w:tcPr>
            <w:tcW w:w="1430" w:type="pct"/>
            <w:vAlign w:val="center"/>
          </w:tcPr>
          <w:p w14:paraId="3682E47D">
            <w:pPr>
              <w:widowControl/>
              <w:spacing w:line="240" w:lineRule="exact"/>
              <w:jc w:val="center"/>
              <w:rPr>
                <w:rFonts w:ascii="Times New Roman"/>
                <w:kern w:val="0"/>
                <w:sz w:val="21"/>
                <w:szCs w:val="21"/>
              </w:rPr>
            </w:pPr>
            <w:r>
              <w:rPr>
                <w:rFonts w:hint="eastAsia" w:ascii="Times New Roman"/>
                <w:kern w:val="0"/>
                <w:sz w:val="21"/>
                <w:szCs w:val="21"/>
              </w:rPr>
              <w:t>本项目不涉及</w:t>
            </w:r>
          </w:p>
        </w:tc>
        <w:tc>
          <w:tcPr>
            <w:tcW w:w="382" w:type="pct"/>
            <w:vAlign w:val="center"/>
          </w:tcPr>
          <w:p w14:paraId="6AE1D2A7">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3979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55" w:type="pct"/>
            <w:vMerge w:val="continue"/>
            <w:vAlign w:val="center"/>
          </w:tcPr>
          <w:p w14:paraId="5E610009">
            <w:pPr>
              <w:spacing w:line="240" w:lineRule="exact"/>
              <w:jc w:val="center"/>
              <w:rPr>
                <w:rFonts w:ascii="Times New Roman"/>
                <w:sz w:val="21"/>
                <w:szCs w:val="21"/>
              </w:rPr>
            </w:pPr>
          </w:p>
        </w:tc>
        <w:tc>
          <w:tcPr>
            <w:tcW w:w="2932" w:type="pct"/>
            <w:gridSpan w:val="3"/>
            <w:vAlign w:val="center"/>
          </w:tcPr>
          <w:p w14:paraId="32759B87">
            <w:pPr>
              <w:widowControl/>
              <w:spacing w:line="240" w:lineRule="exact"/>
              <w:jc w:val="center"/>
              <w:rPr>
                <w:rFonts w:ascii="Times New Roman"/>
                <w:sz w:val="21"/>
                <w:szCs w:val="21"/>
              </w:rPr>
            </w:pPr>
            <w:r>
              <w:rPr>
                <w:rFonts w:ascii="Times New Roman"/>
                <w:kern w:val="0"/>
                <w:sz w:val="21"/>
                <w:szCs w:val="21"/>
              </w:rPr>
              <w:t>涉水、大气、危废污染物的入园项目需满足污染物控制总量要求，未取得污染物减量或倍量替代批复的项目，不得准入</w:t>
            </w:r>
          </w:p>
        </w:tc>
        <w:tc>
          <w:tcPr>
            <w:tcW w:w="1430" w:type="pct"/>
            <w:vMerge w:val="restart"/>
            <w:vAlign w:val="center"/>
          </w:tcPr>
          <w:p w14:paraId="635FD279">
            <w:pPr>
              <w:widowControl/>
              <w:spacing w:line="240" w:lineRule="exact"/>
              <w:rPr>
                <w:rFonts w:ascii="Times New Roman"/>
                <w:kern w:val="0"/>
                <w:sz w:val="21"/>
                <w:szCs w:val="21"/>
              </w:rPr>
            </w:pPr>
            <w:r>
              <w:rPr>
                <w:rFonts w:ascii="Times New Roman"/>
                <w:kern w:val="0"/>
                <w:sz w:val="21"/>
                <w:szCs w:val="18"/>
              </w:rPr>
              <w:t>项目对排放的污染物根据当地环保现行要求进行控制。区域随着唐字〔2022〕2号“退后十”方案的实施，区域颗粒物、</w:t>
            </w:r>
            <w:r>
              <w:rPr>
                <w:rFonts w:hint="eastAsia" w:ascii="Times New Roman"/>
                <w:kern w:val="0"/>
                <w:sz w:val="21"/>
                <w:szCs w:val="18"/>
              </w:rPr>
              <w:t>S</w:t>
            </w:r>
            <w:r>
              <w:rPr>
                <w:rFonts w:ascii="Times New Roman"/>
                <w:kern w:val="0"/>
                <w:sz w:val="21"/>
                <w:szCs w:val="18"/>
              </w:rPr>
              <w:t>O</w:t>
            </w:r>
            <w:r>
              <w:rPr>
                <w:rFonts w:ascii="Times New Roman"/>
                <w:kern w:val="0"/>
                <w:sz w:val="21"/>
                <w:szCs w:val="18"/>
                <w:vertAlign w:val="subscript"/>
              </w:rPr>
              <w:t>2</w:t>
            </w:r>
            <w:r>
              <w:rPr>
                <w:rFonts w:hint="eastAsia" w:ascii="Times New Roman"/>
                <w:kern w:val="0"/>
                <w:sz w:val="21"/>
                <w:szCs w:val="18"/>
              </w:rPr>
              <w:t>、</w:t>
            </w:r>
            <w:r>
              <w:rPr>
                <w:rFonts w:ascii="Times New Roman"/>
                <w:kern w:val="0"/>
                <w:sz w:val="21"/>
                <w:szCs w:val="18"/>
              </w:rPr>
              <w:t>氮氧化物等污染物排放量将逐渐减少，环境逐步改善。</w:t>
            </w:r>
          </w:p>
        </w:tc>
        <w:tc>
          <w:tcPr>
            <w:tcW w:w="382" w:type="pct"/>
            <w:vAlign w:val="center"/>
          </w:tcPr>
          <w:p w14:paraId="79C40A65">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29B9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255" w:type="pct"/>
            <w:vMerge w:val="continue"/>
            <w:vAlign w:val="center"/>
          </w:tcPr>
          <w:p w14:paraId="54822CF4">
            <w:pPr>
              <w:spacing w:line="240" w:lineRule="exact"/>
              <w:jc w:val="center"/>
              <w:rPr>
                <w:rFonts w:ascii="Times New Roman"/>
                <w:sz w:val="21"/>
                <w:szCs w:val="21"/>
              </w:rPr>
            </w:pPr>
          </w:p>
        </w:tc>
        <w:tc>
          <w:tcPr>
            <w:tcW w:w="2932" w:type="pct"/>
            <w:gridSpan w:val="3"/>
            <w:vAlign w:val="center"/>
          </w:tcPr>
          <w:p w14:paraId="34F83FCD">
            <w:pPr>
              <w:widowControl/>
              <w:spacing w:line="240" w:lineRule="exact"/>
              <w:jc w:val="center"/>
              <w:rPr>
                <w:rFonts w:ascii="Times New Roman"/>
                <w:sz w:val="21"/>
                <w:szCs w:val="21"/>
              </w:rPr>
            </w:pPr>
            <w:r>
              <w:rPr>
                <w:rFonts w:ascii="Times New Roman"/>
                <w:kern w:val="0"/>
                <w:sz w:val="21"/>
                <w:szCs w:val="21"/>
              </w:rPr>
              <w:t>入园项目资源利用总量，不满足工业区能源、水资源、土地资源等控制要求，不得准入；钢铁、石化、电力等重点行业新增产能，不满足环境准入清单资源环境要求，不得准入</w:t>
            </w:r>
          </w:p>
        </w:tc>
        <w:tc>
          <w:tcPr>
            <w:tcW w:w="1430" w:type="pct"/>
            <w:vMerge w:val="continue"/>
            <w:vAlign w:val="center"/>
          </w:tcPr>
          <w:p w14:paraId="6CC573DF">
            <w:pPr>
              <w:widowControl/>
              <w:spacing w:line="240" w:lineRule="exact"/>
              <w:jc w:val="center"/>
              <w:rPr>
                <w:rFonts w:ascii="Times New Roman"/>
                <w:kern w:val="0"/>
                <w:sz w:val="21"/>
                <w:szCs w:val="21"/>
              </w:rPr>
            </w:pPr>
          </w:p>
        </w:tc>
        <w:tc>
          <w:tcPr>
            <w:tcW w:w="382" w:type="pct"/>
            <w:vAlign w:val="center"/>
          </w:tcPr>
          <w:p w14:paraId="4EB1154B">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3345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553EEED3">
            <w:pPr>
              <w:spacing w:line="240" w:lineRule="exact"/>
              <w:jc w:val="center"/>
              <w:rPr>
                <w:rFonts w:ascii="Times New Roman"/>
                <w:sz w:val="21"/>
                <w:szCs w:val="21"/>
              </w:rPr>
            </w:pPr>
          </w:p>
        </w:tc>
        <w:tc>
          <w:tcPr>
            <w:tcW w:w="2932" w:type="pct"/>
            <w:gridSpan w:val="3"/>
            <w:vAlign w:val="center"/>
          </w:tcPr>
          <w:p w14:paraId="0FEAE20B">
            <w:pPr>
              <w:widowControl/>
              <w:spacing w:line="240" w:lineRule="exact"/>
              <w:jc w:val="center"/>
              <w:rPr>
                <w:rFonts w:ascii="Times New Roman"/>
                <w:sz w:val="21"/>
                <w:szCs w:val="21"/>
              </w:rPr>
            </w:pPr>
            <w:r>
              <w:rPr>
                <w:rFonts w:ascii="Times New Roman"/>
                <w:kern w:val="0"/>
                <w:sz w:val="21"/>
                <w:szCs w:val="21"/>
              </w:rPr>
              <w:t>大气、重金属等风险防控措施不能满足环境风险管理要求，对周边敏感受体、海域等存在污染风险的项目，不得准入</w:t>
            </w:r>
          </w:p>
        </w:tc>
        <w:tc>
          <w:tcPr>
            <w:tcW w:w="1430" w:type="pct"/>
            <w:vAlign w:val="center"/>
          </w:tcPr>
          <w:p w14:paraId="7FCD6B60">
            <w:pPr>
              <w:widowControl/>
              <w:spacing w:line="240" w:lineRule="exact"/>
              <w:jc w:val="center"/>
              <w:rPr>
                <w:rFonts w:ascii="Times New Roman"/>
                <w:kern w:val="0"/>
                <w:sz w:val="21"/>
                <w:szCs w:val="21"/>
              </w:rPr>
            </w:pPr>
            <w:r>
              <w:rPr>
                <w:rFonts w:hint="eastAsia" w:ascii="Times New Roman"/>
                <w:kern w:val="0"/>
                <w:sz w:val="21"/>
                <w:szCs w:val="21"/>
              </w:rPr>
              <w:t>本项目不涉及重金属排放</w:t>
            </w:r>
          </w:p>
        </w:tc>
        <w:tc>
          <w:tcPr>
            <w:tcW w:w="382" w:type="pct"/>
            <w:vAlign w:val="center"/>
          </w:tcPr>
          <w:p w14:paraId="32270978">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276B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restart"/>
            <w:vAlign w:val="center"/>
          </w:tcPr>
          <w:p w14:paraId="352A56CE">
            <w:pPr>
              <w:spacing w:line="240" w:lineRule="exact"/>
              <w:jc w:val="center"/>
              <w:rPr>
                <w:rFonts w:ascii="Times New Roman"/>
                <w:sz w:val="21"/>
                <w:szCs w:val="21"/>
              </w:rPr>
            </w:pPr>
            <w:r>
              <w:rPr>
                <w:rFonts w:hint="eastAsia" w:ascii="Times New Roman"/>
                <w:sz w:val="21"/>
                <w:szCs w:val="21"/>
              </w:rPr>
              <w:t>装备制造园区</w:t>
            </w:r>
          </w:p>
        </w:tc>
        <w:tc>
          <w:tcPr>
            <w:tcW w:w="256" w:type="pct"/>
            <w:vMerge w:val="restart"/>
            <w:vAlign w:val="center"/>
          </w:tcPr>
          <w:p w14:paraId="553967BB">
            <w:pPr>
              <w:widowControl/>
              <w:spacing w:line="240" w:lineRule="exact"/>
              <w:jc w:val="center"/>
              <w:rPr>
                <w:rFonts w:ascii="Times New Roman"/>
                <w:kern w:val="0"/>
                <w:sz w:val="21"/>
                <w:szCs w:val="21"/>
              </w:rPr>
            </w:pPr>
            <w:r>
              <w:rPr>
                <w:rFonts w:hint="eastAsia" w:ascii="Times New Roman"/>
                <w:kern w:val="0"/>
                <w:sz w:val="21"/>
                <w:szCs w:val="21"/>
              </w:rPr>
              <w:t>禁止类</w:t>
            </w:r>
          </w:p>
        </w:tc>
        <w:tc>
          <w:tcPr>
            <w:tcW w:w="666" w:type="pct"/>
            <w:vMerge w:val="restart"/>
            <w:vAlign w:val="center"/>
          </w:tcPr>
          <w:p w14:paraId="5491F53B">
            <w:pPr>
              <w:widowControl/>
              <w:spacing w:line="240" w:lineRule="exact"/>
              <w:jc w:val="center"/>
              <w:rPr>
                <w:rFonts w:ascii="Times New Roman"/>
                <w:kern w:val="0"/>
                <w:sz w:val="21"/>
                <w:szCs w:val="21"/>
              </w:rPr>
            </w:pPr>
            <w:r>
              <w:rPr>
                <w:rFonts w:hint="eastAsia" w:ascii="Times New Roman"/>
                <w:kern w:val="0"/>
                <w:sz w:val="21"/>
                <w:szCs w:val="21"/>
              </w:rPr>
              <w:t>C3</w:t>
            </w:r>
            <w:r>
              <w:rPr>
                <w:rFonts w:ascii="Times New Roman"/>
                <w:kern w:val="0"/>
                <w:sz w:val="21"/>
                <w:szCs w:val="21"/>
              </w:rPr>
              <w:t>36</w:t>
            </w:r>
            <w:r>
              <w:rPr>
                <w:rFonts w:hint="eastAsia" w:ascii="Times New Roman"/>
                <w:kern w:val="0"/>
                <w:sz w:val="21"/>
                <w:szCs w:val="21"/>
              </w:rPr>
              <w:t>金属表面处理及热处理加工</w:t>
            </w:r>
          </w:p>
        </w:tc>
        <w:tc>
          <w:tcPr>
            <w:tcW w:w="2009" w:type="pct"/>
            <w:vAlign w:val="center"/>
          </w:tcPr>
          <w:p w14:paraId="51C34263">
            <w:pPr>
              <w:widowControl/>
              <w:spacing w:line="240" w:lineRule="exact"/>
              <w:jc w:val="center"/>
              <w:rPr>
                <w:rFonts w:ascii="Times New Roman"/>
                <w:kern w:val="0"/>
                <w:sz w:val="21"/>
                <w:szCs w:val="21"/>
              </w:rPr>
            </w:pPr>
            <w:r>
              <w:rPr>
                <w:rFonts w:hint="eastAsia" w:ascii="Times New Roman"/>
                <w:kern w:val="0"/>
                <w:sz w:val="21"/>
                <w:szCs w:val="21"/>
              </w:rPr>
              <w:t>禁止含有毒害氰化物电镀工艺</w:t>
            </w:r>
          </w:p>
        </w:tc>
        <w:tc>
          <w:tcPr>
            <w:tcW w:w="1430" w:type="pct"/>
            <w:vAlign w:val="center"/>
          </w:tcPr>
          <w:p w14:paraId="6E1BE14B">
            <w:pPr>
              <w:widowControl/>
              <w:spacing w:line="240" w:lineRule="exact"/>
              <w:jc w:val="center"/>
              <w:rPr>
                <w:rFonts w:ascii="Times New Roman"/>
                <w:kern w:val="0"/>
                <w:sz w:val="21"/>
                <w:szCs w:val="21"/>
              </w:rPr>
            </w:pPr>
            <w:r>
              <w:rPr>
                <w:rFonts w:hint="eastAsia" w:ascii="Times New Roman"/>
                <w:kern w:val="0"/>
                <w:sz w:val="21"/>
                <w:szCs w:val="21"/>
              </w:rPr>
              <w:t>本项目不涉及</w:t>
            </w:r>
          </w:p>
        </w:tc>
        <w:tc>
          <w:tcPr>
            <w:tcW w:w="382" w:type="pct"/>
            <w:vAlign w:val="center"/>
          </w:tcPr>
          <w:p w14:paraId="2C5268B6">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7EE2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09F2A844">
            <w:pPr>
              <w:spacing w:line="240" w:lineRule="exact"/>
              <w:jc w:val="center"/>
              <w:rPr>
                <w:rFonts w:ascii="Times New Roman"/>
                <w:sz w:val="21"/>
                <w:szCs w:val="21"/>
              </w:rPr>
            </w:pPr>
          </w:p>
        </w:tc>
        <w:tc>
          <w:tcPr>
            <w:tcW w:w="256" w:type="pct"/>
            <w:vMerge w:val="continue"/>
            <w:vAlign w:val="center"/>
          </w:tcPr>
          <w:p w14:paraId="3D626B33">
            <w:pPr>
              <w:widowControl/>
              <w:spacing w:line="240" w:lineRule="exact"/>
              <w:jc w:val="center"/>
              <w:rPr>
                <w:rFonts w:ascii="Times New Roman"/>
                <w:kern w:val="0"/>
                <w:sz w:val="21"/>
                <w:szCs w:val="21"/>
              </w:rPr>
            </w:pPr>
          </w:p>
        </w:tc>
        <w:tc>
          <w:tcPr>
            <w:tcW w:w="666" w:type="pct"/>
            <w:vMerge w:val="continue"/>
            <w:vAlign w:val="center"/>
          </w:tcPr>
          <w:p w14:paraId="59534AC0">
            <w:pPr>
              <w:widowControl/>
              <w:spacing w:line="240" w:lineRule="exact"/>
              <w:jc w:val="center"/>
              <w:rPr>
                <w:rFonts w:ascii="Times New Roman"/>
                <w:kern w:val="0"/>
                <w:sz w:val="21"/>
                <w:szCs w:val="21"/>
              </w:rPr>
            </w:pPr>
          </w:p>
        </w:tc>
        <w:tc>
          <w:tcPr>
            <w:tcW w:w="2009" w:type="pct"/>
            <w:vAlign w:val="center"/>
          </w:tcPr>
          <w:p w14:paraId="4F2E9348">
            <w:pPr>
              <w:widowControl/>
              <w:spacing w:line="240" w:lineRule="exact"/>
              <w:jc w:val="center"/>
              <w:rPr>
                <w:rFonts w:ascii="Times New Roman"/>
                <w:kern w:val="0"/>
                <w:sz w:val="21"/>
                <w:szCs w:val="21"/>
              </w:rPr>
            </w:pPr>
            <w:r>
              <w:rPr>
                <w:rFonts w:hint="eastAsia" w:ascii="Times New Roman"/>
                <w:kern w:val="0"/>
                <w:sz w:val="21"/>
                <w:szCs w:val="21"/>
              </w:rPr>
              <w:t>禁止银铜基合金及予镀打底工艺</w:t>
            </w:r>
          </w:p>
        </w:tc>
        <w:tc>
          <w:tcPr>
            <w:tcW w:w="1430" w:type="pct"/>
            <w:vAlign w:val="center"/>
          </w:tcPr>
          <w:p w14:paraId="146067D2">
            <w:pPr>
              <w:widowControl/>
              <w:spacing w:line="240" w:lineRule="exact"/>
              <w:jc w:val="center"/>
              <w:rPr>
                <w:rFonts w:ascii="Times New Roman"/>
                <w:kern w:val="0"/>
                <w:sz w:val="21"/>
                <w:szCs w:val="21"/>
              </w:rPr>
            </w:pPr>
            <w:r>
              <w:rPr>
                <w:rFonts w:hint="eastAsia" w:ascii="Times New Roman"/>
                <w:kern w:val="0"/>
                <w:sz w:val="21"/>
                <w:szCs w:val="21"/>
              </w:rPr>
              <w:t>本项目不涉及</w:t>
            </w:r>
          </w:p>
        </w:tc>
        <w:tc>
          <w:tcPr>
            <w:tcW w:w="382" w:type="pct"/>
            <w:vAlign w:val="center"/>
          </w:tcPr>
          <w:p w14:paraId="4CB533FD">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5942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142A85C3">
            <w:pPr>
              <w:spacing w:line="240" w:lineRule="exact"/>
              <w:jc w:val="center"/>
              <w:rPr>
                <w:rFonts w:ascii="Times New Roman"/>
                <w:sz w:val="21"/>
                <w:szCs w:val="21"/>
              </w:rPr>
            </w:pPr>
          </w:p>
        </w:tc>
        <w:tc>
          <w:tcPr>
            <w:tcW w:w="256" w:type="pct"/>
            <w:vMerge w:val="continue"/>
            <w:vAlign w:val="center"/>
          </w:tcPr>
          <w:p w14:paraId="184493B7">
            <w:pPr>
              <w:widowControl/>
              <w:spacing w:line="240" w:lineRule="exact"/>
              <w:jc w:val="center"/>
              <w:rPr>
                <w:rFonts w:ascii="Times New Roman"/>
                <w:kern w:val="0"/>
                <w:sz w:val="21"/>
                <w:szCs w:val="21"/>
              </w:rPr>
            </w:pPr>
          </w:p>
        </w:tc>
        <w:tc>
          <w:tcPr>
            <w:tcW w:w="666" w:type="pct"/>
            <w:vMerge w:val="continue"/>
            <w:vAlign w:val="center"/>
          </w:tcPr>
          <w:p w14:paraId="09CB069C">
            <w:pPr>
              <w:widowControl/>
              <w:spacing w:line="240" w:lineRule="exact"/>
              <w:jc w:val="center"/>
              <w:rPr>
                <w:rFonts w:ascii="Times New Roman"/>
                <w:kern w:val="0"/>
                <w:sz w:val="21"/>
                <w:szCs w:val="21"/>
              </w:rPr>
            </w:pPr>
          </w:p>
        </w:tc>
        <w:tc>
          <w:tcPr>
            <w:tcW w:w="2009" w:type="pct"/>
            <w:vAlign w:val="center"/>
          </w:tcPr>
          <w:p w14:paraId="05C2C3CF">
            <w:pPr>
              <w:widowControl/>
              <w:spacing w:line="240" w:lineRule="exact"/>
              <w:jc w:val="center"/>
              <w:rPr>
                <w:rFonts w:ascii="Times New Roman"/>
                <w:kern w:val="0"/>
                <w:sz w:val="21"/>
                <w:szCs w:val="21"/>
              </w:rPr>
            </w:pPr>
            <w:r>
              <w:rPr>
                <w:rFonts w:hint="eastAsia" w:ascii="Times New Roman"/>
                <w:kern w:val="0"/>
                <w:sz w:val="21"/>
                <w:szCs w:val="21"/>
              </w:rPr>
              <w:t>禁止鎏金、镀镉等落后工艺及设备</w:t>
            </w:r>
          </w:p>
        </w:tc>
        <w:tc>
          <w:tcPr>
            <w:tcW w:w="1430" w:type="pct"/>
            <w:vAlign w:val="center"/>
          </w:tcPr>
          <w:p w14:paraId="5D1105D3">
            <w:pPr>
              <w:widowControl/>
              <w:spacing w:line="240" w:lineRule="exact"/>
              <w:jc w:val="center"/>
              <w:rPr>
                <w:rFonts w:ascii="Times New Roman"/>
                <w:kern w:val="0"/>
                <w:sz w:val="21"/>
                <w:szCs w:val="21"/>
              </w:rPr>
            </w:pPr>
            <w:r>
              <w:rPr>
                <w:rFonts w:hint="eastAsia" w:ascii="Times New Roman"/>
                <w:kern w:val="0"/>
                <w:sz w:val="21"/>
                <w:szCs w:val="21"/>
              </w:rPr>
              <w:t>本项目不涉及</w:t>
            </w:r>
          </w:p>
        </w:tc>
        <w:tc>
          <w:tcPr>
            <w:tcW w:w="382" w:type="pct"/>
            <w:vAlign w:val="center"/>
          </w:tcPr>
          <w:p w14:paraId="05741826">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25AD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03979307">
            <w:pPr>
              <w:spacing w:line="240" w:lineRule="exact"/>
              <w:jc w:val="center"/>
              <w:rPr>
                <w:rFonts w:ascii="Times New Roman"/>
                <w:sz w:val="21"/>
                <w:szCs w:val="21"/>
              </w:rPr>
            </w:pPr>
          </w:p>
        </w:tc>
        <w:tc>
          <w:tcPr>
            <w:tcW w:w="256" w:type="pct"/>
            <w:vMerge w:val="continue"/>
            <w:vAlign w:val="center"/>
          </w:tcPr>
          <w:p w14:paraId="228DACFF">
            <w:pPr>
              <w:widowControl/>
              <w:spacing w:line="240" w:lineRule="exact"/>
              <w:jc w:val="center"/>
              <w:rPr>
                <w:rFonts w:ascii="Times New Roman"/>
                <w:kern w:val="0"/>
                <w:sz w:val="21"/>
                <w:szCs w:val="21"/>
              </w:rPr>
            </w:pPr>
          </w:p>
        </w:tc>
        <w:tc>
          <w:tcPr>
            <w:tcW w:w="666" w:type="pct"/>
            <w:vAlign w:val="center"/>
          </w:tcPr>
          <w:p w14:paraId="5770473F">
            <w:pPr>
              <w:widowControl/>
              <w:spacing w:line="240" w:lineRule="exact"/>
              <w:jc w:val="center"/>
              <w:rPr>
                <w:rFonts w:ascii="Times New Roman"/>
                <w:kern w:val="0"/>
                <w:sz w:val="21"/>
                <w:szCs w:val="21"/>
              </w:rPr>
            </w:pPr>
            <w:r>
              <w:rPr>
                <w:rFonts w:hint="eastAsia" w:ascii="Times New Roman"/>
                <w:kern w:val="0"/>
                <w:sz w:val="21"/>
                <w:szCs w:val="21"/>
              </w:rPr>
              <w:t>C</w:t>
            </w:r>
            <w:r>
              <w:rPr>
                <w:rFonts w:ascii="Times New Roman"/>
                <w:kern w:val="0"/>
                <w:sz w:val="21"/>
                <w:szCs w:val="21"/>
              </w:rPr>
              <w:t>14</w:t>
            </w:r>
            <w:r>
              <w:rPr>
                <w:rFonts w:hint="eastAsia" w:ascii="Times New Roman"/>
                <w:kern w:val="0"/>
                <w:sz w:val="21"/>
                <w:szCs w:val="21"/>
              </w:rPr>
              <w:t>食品制造业</w:t>
            </w:r>
          </w:p>
        </w:tc>
        <w:tc>
          <w:tcPr>
            <w:tcW w:w="2009" w:type="pct"/>
            <w:vAlign w:val="center"/>
          </w:tcPr>
          <w:p w14:paraId="1F850DCC">
            <w:pPr>
              <w:widowControl/>
              <w:spacing w:line="240" w:lineRule="exact"/>
              <w:jc w:val="center"/>
              <w:rPr>
                <w:rFonts w:ascii="Times New Roman"/>
                <w:kern w:val="0"/>
                <w:sz w:val="21"/>
                <w:szCs w:val="21"/>
              </w:rPr>
            </w:pPr>
            <w:r>
              <w:rPr>
                <w:rFonts w:hint="eastAsia" w:ascii="Times New Roman"/>
                <w:kern w:val="0"/>
                <w:sz w:val="21"/>
                <w:szCs w:val="21"/>
              </w:rPr>
              <w:t>严禁新建食品加工类项目</w:t>
            </w:r>
          </w:p>
        </w:tc>
        <w:tc>
          <w:tcPr>
            <w:tcW w:w="1430" w:type="pct"/>
            <w:vAlign w:val="center"/>
          </w:tcPr>
          <w:p w14:paraId="7BC4E10F">
            <w:pPr>
              <w:widowControl/>
              <w:spacing w:line="240" w:lineRule="exact"/>
              <w:jc w:val="center"/>
              <w:rPr>
                <w:rFonts w:ascii="Times New Roman"/>
                <w:kern w:val="0"/>
                <w:sz w:val="21"/>
                <w:szCs w:val="21"/>
              </w:rPr>
            </w:pPr>
            <w:r>
              <w:rPr>
                <w:rFonts w:hint="eastAsia" w:ascii="Times New Roman"/>
                <w:kern w:val="0"/>
                <w:sz w:val="21"/>
                <w:szCs w:val="21"/>
              </w:rPr>
              <w:t>本项目不涉及</w:t>
            </w:r>
          </w:p>
        </w:tc>
        <w:tc>
          <w:tcPr>
            <w:tcW w:w="382" w:type="pct"/>
            <w:vAlign w:val="center"/>
          </w:tcPr>
          <w:p w14:paraId="3F6A23C6">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7232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3DD26421">
            <w:pPr>
              <w:spacing w:line="240" w:lineRule="exact"/>
              <w:jc w:val="center"/>
              <w:rPr>
                <w:rFonts w:ascii="Times New Roman"/>
                <w:sz w:val="21"/>
                <w:szCs w:val="21"/>
              </w:rPr>
            </w:pPr>
          </w:p>
        </w:tc>
        <w:tc>
          <w:tcPr>
            <w:tcW w:w="256" w:type="pct"/>
            <w:vMerge w:val="continue"/>
            <w:vAlign w:val="center"/>
          </w:tcPr>
          <w:p w14:paraId="2C6C79ED">
            <w:pPr>
              <w:widowControl/>
              <w:spacing w:line="240" w:lineRule="exact"/>
              <w:jc w:val="center"/>
              <w:rPr>
                <w:rFonts w:ascii="Times New Roman"/>
                <w:kern w:val="0"/>
                <w:sz w:val="21"/>
                <w:szCs w:val="21"/>
              </w:rPr>
            </w:pPr>
          </w:p>
        </w:tc>
        <w:tc>
          <w:tcPr>
            <w:tcW w:w="666" w:type="pct"/>
            <w:vMerge w:val="restart"/>
            <w:vAlign w:val="center"/>
          </w:tcPr>
          <w:p w14:paraId="14DDFA54">
            <w:pPr>
              <w:widowControl/>
              <w:spacing w:line="240" w:lineRule="exact"/>
              <w:rPr>
                <w:rFonts w:ascii="Times New Roman"/>
                <w:kern w:val="0"/>
                <w:sz w:val="21"/>
                <w:szCs w:val="21"/>
              </w:rPr>
            </w:pPr>
            <w:r>
              <w:rPr>
                <w:rFonts w:hint="eastAsia" w:ascii="Times New Roman"/>
                <w:kern w:val="0"/>
                <w:sz w:val="21"/>
                <w:szCs w:val="21"/>
              </w:rPr>
              <w:t>C</w:t>
            </w:r>
            <w:r>
              <w:rPr>
                <w:rFonts w:ascii="Times New Roman"/>
                <w:kern w:val="0"/>
                <w:sz w:val="21"/>
                <w:szCs w:val="21"/>
              </w:rPr>
              <w:t>20</w:t>
            </w:r>
            <w:r>
              <w:rPr>
                <w:rFonts w:hint="eastAsia" w:ascii="Times New Roman"/>
                <w:kern w:val="0"/>
                <w:sz w:val="21"/>
                <w:szCs w:val="21"/>
              </w:rPr>
              <w:t>木材加工和竹、藤棕、草制品业</w:t>
            </w:r>
          </w:p>
        </w:tc>
        <w:tc>
          <w:tcPr>
            <w:tcW w:w="2009" w:type="pct"/>
            <w:vAlign w:val="center"/>
          </w:tcPr>
          <w:p w14:paraId="71B2C6BF">
            <w:pPr>
              <w:widowControl/>
              <w:spacing w:line="240" w:lineRule="exact"/>
              <w:rPr>
                <w:rFonts w:ascii="Times New Roman"/>
                <w:kern w:val="0"/>
                <w:sz w:val="21"/>
                <w:szCs w:val="21"/>
              </w:rPr>
            </w:pPr>
            <w:r>
              <w:rPr>
                <w:rFonts w:hint="eastAsia" w:ascii="Times New Roman"/>
                <w:kern w:val="0"/>
                <w:sz w:val="21"/>
                <w:szCs w:val="21"/>
              </w:rPr>
              <w:t>禁止1万立方米/年以下的胶合板和细木工生产线</w:t>
            </w:r>
          </w:p>
        </w:tc>
        <w:tc>
          <w:tcPr>
            <w:tcW w:w="1430" w:type="pct"/>
            <w:vMerge w:val="restart"/>
            <w:vAlign w:val="center"/>
          </w:tcPr>
          <w:p w14:paraId="7BE63E59">
            <w:pPr>
              <w:widowControl/>
              <w:spacing w:line="240" w:lineRule="exact"/>
              <w:jc w:val="center"/>
              <w:rPr>
                <w:rFonts w:ascii="Times New Roman"/>
                <w:kern w:val="0"/>
                <w:sz w:val="21"/>
                <w:szCs w:val="21"/>
              </w:rPr>
            </w:pPr>
            <w:r>
              <w:rPr>
                <w:rFonts w:hint="eastAsia" w:ascii="Times New Roman"/>
                <w:kern w:val="0"/>
                <w:sz w:val="21"/>
                <w:szCs w:val="21"/>
              </w:rPr>
              <w:t>本项目不涉及</w:t>
            </w:r>
          </w:p>
        </w:tc>
        <w:tc>
          <w:tcPr>
            <w:tcW w:w="382" w:type="pct"/>
            <w:vAlign w:val="center"/>
          </w:tcPr>
          <w:p w14:paraId="76D8CF2C">
            <w:pPr>
              <w:widowControl/>
              <w:spacing w:line="240" w:lineRule="exact"/>
              <w:rPr>
                <w:rFonts w:ascii="Times New Roman"/>
                <w:kern w:val="0"/>
                <w:sz w:val="21"/>
                <w:szCs w:val="21"/>
              </w:rPr>
            </w:pPr>
            <w:r>
              <w:rPr>
                <w:rFonts w:hint="eastAsia" w:ascii="Times New Roman"/>
                <w:kern w:val="0"/>
                <w:sz w:val="21"/>
                <w:szCs w:val="21"/>
              </w:rPr>
              <w:t>符合</w:t>
            </w:r>
          </w:p>
        </w:tc>
      </w:tr>
      <w:tr w14:paraId="2462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37068D3E">
            <w:pPr>
              <w:spacing w:line="240" w:lineRule="exact"/>
              <w:jc w:val="center"/>
              <w:rPr>
                <w:rFonts w:ascii="Times New Roman"/>
                <w:sz w:val="21"/>
                <w:szCs w:val="21"/>
              </w:rPr>
            </w:pPr>
          </w:p>
        </w:tc>
        <w:tc>
          <w:tcPr>
            <w:tcW w:w="256" w:type="pct"/>
            <w:vMerge w:val="continue"/>
            <w:vAlign w:val="center"/>
          </w:tcPr>
          <w:p w14:paraId="07E3DA12">
            <w:pPr>
              <w:widowControl/>
              <w:spacing w:line="240" w:lineRule="exact"/>
              <w:jc w:val="center"/>
              <w:rPr>
                <w:rFonts w:ascii="Times New Roman"/>
                <w:kern w:val="0"/>
                <w:sz w:val="21"/>
                <w:szCs w:val="21"/>
              </w:rPr>
            </w:pPr>
          </w:p>
        </w:tc>
        <w:tc>
          <w:tcPr>
            <w:tcW w:w="666" w:type="pct"/>
            <w:vMerge w:val="continue"/>
            <w:vAlign w:val="center"/>
          </w:tcPr>
          <w:p w14:paraId="7F8A18FE">
            <w:pPr>
              <w:widowControl/>
              <w:spacing w:line="240" w:lineRule="exact"/>
              <w:jc w:val="center"/>
              <w:rPr>
                <w:rFonts w:ascii="Times New Roman"/>
                <w:kern w:val="0"/>
                <w:sz w:val="21"/>
                <w:szCs w:val="21"/>
              </w:rPr>
            </w:pPr>
          </w:p>
        </w:tc>
        <w:tc>
          <w:tcPr>
            <w:tcW w:w="2009" w:type="pct"/>
            <w:vAlign w:val="center"/>
          </w:tcPr>
          <w:p w14:paraId="57386BE3">
            <w:pPr>
              <w:widowControl/>
              <w:spacing w:line="240" w:lineRule="exact"/>
              <w:jc w:val="center"/>
              <w:rPr>
                <w:rFonts w:ascii="Times New Roman"/>
                <w:kern w:val="0"/>
                <w:sz w:val="21"/>
                <w:szCs w:val="21"/>
              </w:rPr>
            </w:pPr>
            <w:r>
              <w:rPr>
                <w:rFonts w:hint="eastAsia" w:ascii="Times New Roman"/>
                <w:kern w:val="0"/>
                <w:sz w:val="21"/>
                <w:szCs w:val="21"/>
              </w:rPr>
              <w:t>禁止单线3万立方米/年以下的木质刨花板生产装置等禁止类项目</w:t>
            </w:r>
          </w:p>
        </w:tc>
        <w:tc>
          <w:tcPr>
            <w:tcW w:w="1430" w:type="pct"/>
            <w:vMerge w:val="continue"/>
            <w:vAlign w:val="center"/>
          </w:tcPr>
          <w:p w14:paraId="500CB91F">
            <w:pPr>
              <w:widowControl/>
              <w:spacing w:line="240" w:lineRule="exact"/>
              <w:jc w:val="center"/>
              <w:rPr>
                <w:rFonts w:ascii="Times New Roman"/>
                <w:kern w:val="0"/>
                <w:sz w:val="21"/>
                <w:szCs w:val="21"/>
              </w:rPr>
            </w:pPr>
          </w:p>
        </w:tc>
        <w:tc>
          <w:tcPr>
            <w:tcW w:w="382" w:type="pct"/>
            <w:vAlign w:val="center"/>
          </w:tcPr>
          <w:p w14:paraId="30258F8C">
            <w:pPr>
              <w:widowControl/>
              <w:spacing w:line="240" w:lineRule="exact"/>
              <w:jc w:val="center"/>
              <w:rPr>
                <w:rFonts w:ascii="Times New Roman"/>
                <w:kern w:val="0"/>
                <w:sz w:val="21"/>
                <w:szCs w:val="21"/>
              </w:rPr>
            </w:pPr>
            <w:r>
              <w:rPr>
                <w:rFonts w:hint="eastAsia" w:ascii="Times New Roman"/>
                <w:kern w:val="0"/>
                <w:sz w:val="21"/>
                <w:szCs w:val="21"/>
              </w:rPr>
              <w:t>符合</w:t>
            </w:r>
          </w:p>
        </w:tc>
      </w:tr>
      <w:tr w14:paraId="03FB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21649606">
            <w:pPr>
              <w:spacing w:line="240" w:lineRule="exact"/>
              <w:jc w:val="center"/>
              <w:rPr>
                <w:rFonts w:ascii="Times New Roman"/>
                <w:sz w:val="21"/>
                <w:szCs w:val="21"/>
              </w:rPr>
            </w:pPr>
          </w:p>
        </w:tc>
        <w:tc>
          <w:tcPr>
            <w:tcW w:w="256" w:type="pct"/>
            <w:vMerge w:val="restart"/>
            <w:vAlign w:val="center"/>
          </w:tcPr>
          <w:p w14:paraId="16B7B2B7">
            <w:pPr>
              <w:spacing w:line="240" w:lineRule="exact"/>
              <w:jc w:val="center"/>
              <w:rPr>
                <w:rFonts w:ascii="Times New Roman"/>
                <w:kern w:val="0"/>
                <w:sz w:val="21"/>
                <w:szCs w:val="21"/>
              </w:rPr>
            </w:pPr>
            <w:r>
              <w:rPr>
                <w:rFonts w:hint="eastAsia" w:ascii="Times New Roman"/>
                <w:kern w:val="0"/>
                <w:sz w:val="21"/>
                <w:szCs w:val="21"/>
              </w:rPr>
              <w:t>限制</w:t>
            </w:r>
            <w:r>
              <w:rPr>
                <w:rFonts w:ascii="Times New Roman"/>
                <w:kern w:val="0"/>
                <w:sz w:val="21"/>
                <w:szCs w:val="21"/>
              </w:rPr>
              <w:t>类</w:t>
            </w:r>
          </w:p>
        </w:tc>
        <w:tc>
          <w:tcPr>
            <w:tcW w:w="666" w:type="pct"/>
            <w:vAlign w:val="center"/>
          </w:tcPr>
          <w:p w14:paraId="3DA1D290">
            <w:pPr>
              <w:widowControl/>
              <w:spacing w:line="240" w:lineRule="exact"/>
              <w:jc w:val="center"/>
              <w:rPr>
                <w:rFonts w:ascii="Times New Roman"/>
                <w:kern w:val="0"/>
                <w:sz w:val="21"/>
                <w:szCs w:val="21"/>
              </w:rPr>
            </w:pPr>
            <w:r>
              <w:rPr>
                <w:rFonts w:hint="eastAsia" w:ascii="Times New Roman"/>
                <w:kern w:val="0"/>
                <w:sz w:val="21"/>
                <w:szCs w:val="21"/>
              </w:rPr>
              <w:t>C3</w:t>
            </w:r>
            <w:r>
              <w:rPr>
                <w:rFonts w:ascii="Times New Roman"/>
                <w:kern w:val="0"/>
                <w:sz w:val="21"/>
                <w:szCs w:val="21"/>
              </w:rPr>
              <w:t>36</w:t>
            </w:r>
            <w:r>
              <w:rPr>
                <w:rFonts w:hint="eastAsia" w:ascii="Times New Roman"/>
                <w:kern w:val="0"/>
                <w:sz w:val="21"/>
                <w:szCs w:val="21"/>
              </w:rPr>
              <w:t>金属表面处理及热处理加工</w:t>
            </w:r>
          </w:p>
        </w:tc>
        <w:tc>
          <w:tcPr>
            <w:tcW w:w="2009" w:type="pct"/>
            <w:vAlign w:val="center"/>
          </w:tcPr>
          <w:p w14:paraId="54C0E8BA">
            <w:pPr>
              <w:pStyle w:val="154"/>
              <w:spacing w:line="240" w:lineRule="exact"/>
              <w:jc w:val="both"/>
              <w:rPr>
                <w:rFonts w:ascii="Times New Roman" w:hAnsi="Times New Roman"/>
                <w:color w:val="auto"/>
                <w:sz w:val="21"/>
                <w:szCs w:val="21"/>
              </w:rPr>
            </w:pPr>
            <w:r>
              <w:rPr>
                <w:rFonts w:hint="eastAsia" w:ascii="Times New Roman" w:hAnsi="Times New Roman" w:eastAsia="宋体" w:cs="宋体"/>
                <w:color w:val="auto"/>
                <w:sz w:val="21"/>
                <w:szCs w:val="21"/>
              </w:rPr>
              <w:t>适度发展配套含有排放废水的酸洗、磷化工艺、喷漆工艺的机械设备制造项目；表面处理企业满足电镀行业规范准入标准，配套重金属防渗设施</w:t>
            </w:r>
          </w:p>
        </w:tc>
        <w:tc>
          <w:tcPr>
            <w:tcW w:w="1430" w:type="pct"/>
            <w:vAlign w:val="center"/>
          </w:tcPr>
          <w:p w14:paraId="6D121840">
            <w:pPr>
              <w:pStyle w:val="154"/>
              <w:spacing w:line="240" w:lineRule="exact"/>
              <w:jc w:val="both"/>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项目厂区主要进行数字孪生智能输送机生产，企业承诺项目其生产工艺装备、污染治理及收集技术等严格按照《河北省十一个行业重污染天气应急减排措施制定技术指南（试行）》（2021.8）“金属表面处理及热加工行业绩效分级指标-A级企业”相关要求进行设计、实施；项目车间、污水处理等区域按照重点防渗区进行设计施工，根据《环境影响评价技术导则 地下水环境》（HJ 610-2016）防渗技术要求：等效黏土防渗层Mb≥6.0m，K≤1.0×10-7cm/s；或参照GB18598执行。</w:t>
            </w:r>
          </w:p>
          <w:p w14:paraId="40D7798A">
            <w:pPr>
              <w:pStyle w:val="154"/>
              <w:spacing w:line="240" w:lineRule="exact"/>
              <w:jc w:val="both"/>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园区管理委员会已同意实施本次项目的函。</w:t>
            </w:r>
          </w:p>
        </w:tc>
        <w:tc>
          <w:tcPr>
            <w:tcW w:w="382" w:type="pct"/>
            <w:vAlign w:val="center"/>
          </w:tcPr>
          <w:p w14:paraId="3CAB2108">
            <w:pPr>
              <w:pStyle w:val="154"/>
              <w:spacing w:line="240" w:lineRule="exact"/>
              <w:jc w:val="both"/>
              <w:rPr>
                <w:rFonts w:ascii="Times New Roman" w:hAnsi="Times New Roman" w:eastAsia="宋体" w:cs="宋体"/>
                <w:color w:val="auto"/>
                <w:sz w:val="21"/>
                <w:szCs w:val="21"/>
              </w:rPr>
            </w:pPr>
            <w:r>
              <w:rPr>
                <w:rFonts w:hint="eastAsia" w:ascii="Times New Roman" w:hAnsi="Times New Roman" w:eastAsia="微软雅黑" w:cs="微软雅黑"/>
                <w:color w:val="auto"/>
                <w:sz w:val="21"/>
                <w:szCs w:val="21"/>
              </w:rPr>
              <w:t>符合</w:t>
            </w:r>
          </w:p>
        </w:tc>
      </w:tr>
      <w:tr w14:paraId="7444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1E573C5B">
            <w:pPr>
              <w:spacing w:line="240" w:lineRule="exact"/>
              <w:jc w:val="center"/>
              <w:rPr>
                <w:rFonts w:ascii="Times New Roman"/>
                <w:sz w:val="21"/>
                <w:szCs w:val="21"/>
              </w:rPr>
            </w:pPr>
          </w:p>
        </w:tc>
        <w:tc>
          <w:tcPr>
            <w:tcW w:w="256" w:type="pct"/>
            <w:vMerge w:val="continue"/>
            <w:vAlign w:val="center"/>
          </w:tcPr>
          <w:p w14:paraId="756C38EE">
            <w:pPr>
              <w:widowControl/>
              <w:spacing w:line="240" w:lineRule="exact"/>
              <w:jc w:val="center"/>
              <w:rPr>
                <w:rFonts w:ascii="Times New Roman"/>
                <w:kern w:val="0"/>
                <w:sz w:val="21"/>
                <w:szCs w:val="21"/>
              </w:rPr>
            </w:pPr>
          </w:p>
        </w:tc>
        <w:tc>
          <w:tcPr>
            <w:tcW w:w="666" w:type="pct"/>
            <w:vAlign w:val="center"/>
          </w:tcPr>
          <w:p w14:paraId="38E93A37">
            <w:pPr>
              <w:widowControl/>
              <w:spacing w:line="240" w:lineRule="exact"/>
              <w:rPr>
                <w:rFonts w:ascii="Times New Roman"/>
                <w:kern w:val="0"/>
                <w:sz w:val="21"/>
                <w:szCs w:val="21"/>
              </w:rPr>
            </w:pPr>
            <w:r>
              <w:rPr>
                <w:rFonts w:hint="eastAsia" w:ascii="Times New Roman"/>
                <w:kern w:val="0"/>
                <w:sz w:val="21"/>
                <w:szCs w:val="21"/>
              </w:rPr>
              <w:t>C</w:t>
            </w:r>
            <w:r>
              <w:rPr>
                <w:rFonts w:ascii="Times New Roman"/>
                <w:kern w:val="0"/>
                <w:sz w:val="21"/>
                <w:szCs w:val="21"/>
              </w:rPr>
              <w:t>20</w:t>
            </w:r>
            <w:r>
              <w:rPr>
                <w:rFonts w:hint="eastAsia" w:ascii="Times New Roman"/>
                <w:kern w:val="0"/>
                <w:sz w:val="21"/>
                <w:szCs w:val="21"/>
              </w:rPr>
              <w:t>木材加工和竹、藤棕、草制品业</w:t>
            </w:r>
          </w:p>
        </w:tc>
        <w:tc>
          <w:tcPr>
            <w:tcW w:w="2009" w:type="pct"/>
            <w:vAlign w:val="center"/>
          </w:tcPr>
          <w:p w14:paraId="7B3E73A9">
            <w:pPr>
              <w:pStyle w:val="154"/>
              <w:spacing w:line="240" w:lineRule="exact"/>
              <w:jc w:val="both"/>
              <w:rPr>
                <w:rFonts w:ascii="Times New Roman" w:hAnsi="Times New Roman"/>
                <w:color w:val="auto"/>
                <w:sz w:val="21"/>
                <w:szCs w:val="21"/>
              </w:rPr>
            </w:pPr>
            <w:r>
              <w:rPr>
                <w:rFonts w:hint="eastAsia" w:ascii="Times New Roman" w:hAnsi="Times New Roman" w:eastAsia="宋体" w:cs="宋体"/>
                <w:color w:val="auto"/>
                <w:sz w:val="21"/>
                <w:szCs w:val="21"/>
              </w:rPr>
              <w:t>发展以优质林木为原料的一次性木制品与木制包装的生产和使用以及木竹加工综合利用率偏低的木竹加工项目</w:t>
            </w:r>
          </w:p>
        </w:tc>
        <w:tc>
          <w:tcPr>
            <w:tcW w:w="1430" w:type="pct"/>
            <w:vAlign w:val="center"/>
          </w:tcPr>
          <w:p w14:paraId="25D824D3">
            <w:pPr>
              <w:pStyle w:val="154"/>
              <w:spacing w:line="240" w:lineRule="exact"/>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本项目不涉及</w:t>
            </w:r>
          </w:p>
        </w:tc>
        <w:tc>
          <w:tcPr>
            <w:tcW w:w="382" w:type="pct"/>
            <w:vAlign w:val="center"/>
          </w:tcPr>
          <w:p w14:paraId="6602D9C0">
            <w:pPr>
              <w:pStyle w:val="154"/>
              <w:spacing w:line="240" w:lineRule="exact"/>
              <w:jc w:val="both"/>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符合</w:t>
            </w:r>
          </w:p>
        </w:tc>
      </w:tr>
    </w:tbl>
    <w:p w14:paraId="6E95E0E8">
      <w:pPr>
        <w:spacing w:line="360" w:lineRule="auto"/>
        <w:ind w:firstLine="482"/>
        <w:rPr>
          <w:rFonts w:ascii="Times New Roman"/>
          <w:sz w:val="24"/>
          <w:szCs w:val="24"/>
        </w:rPr>
      </w:pPr>
      <w:r>
        <w:rPr>
          <w:rFonts w:ascii="Times New Roman"/>
          <w:sz w:val="24"/>
          <w:szCs w:val="24"/>
        </w:rPr>
        <w:t>对照</w:t>
      </w:r>
      <w:r>
        <w:rPr>
          <w:rFonts w:ascii="Times New Roman"/>
          <w:snapToGrid w:val="0"/>
        </w:rPr>
        <w:t>《产业结构调整指导目录（2024年本）》，国家发展和改革委员会令第7号，2023年12月27日</w:t>
      </w:r>
      <w:r>
        <w:rPr>
          <w:rFonts w:hint="eastAsia" w:ascii="Times New Roman"/>
          <w:sz w:val="24"/>
          <w:szCs w:val="24"/>
        </w:rPr>
        <w:t>，项目</w:t>
      </w:r>
      <w:r>
        <w:rPr>
          <w:rFonts w:ascii="Times New Roman"/>
          <w:sz w:val="24"/>
          <w:szCs w:val="24"/>
        </w:rPr>
        <w:t>不</w:t>
      </w:r>
      <w:r>
        <w:rPr>
          <w:rFonts w:hint="eastAsia" w:ascii="Times New Roman"/>
          <w:sz w:val="24"/>
          <w:szCs w:val="24"/>
        </w:rPr>
        <w:t>属于</w:t>
      </w:r>
      <w:r>
        <w:rPr>
          <w:rFonts w:ascii="Times New Roman"/>
          <w:sz w:val="24"/>
          <w:szCs w:val="24"/>
        </w:rPr>
        <w:t>限制类、淘汰类</w:t>
      </w:r>
      <w:r>
        <w:rPr>
          <w:rFonts w:hint="eastAsia" w:ascii="Times New Roman"/>
          <w:sz w:val="24"/>
          <w:szCs w:val="24"/>
        </w:rPr>
        <w:t>项目，属允许类建设项目；不属于《市场准入负面清单（</w:t>
      </w:r>
      <w:r>
        <w:rPr>
          <w:rFonts w:ascii="Times New Roman"/>
          <w:sz w:val="24"/>
          <w:szCs w:val="24"/>
        </w:rPr>
        <w:t>2022</w:t>
      </w:r>
      <w:r>
        <w:rPr>
          <w:rFonts w:hint="eastAsia" w:ascii="Times New Roman"/>
          <w:sz w:val="24"/>
          <w:szCs w:val="24"/>
        </w:rPr>
        <w:t>年版）》禁止准入项目；对照《河北省发展和改革委员会关于加强新建“两高”项目管理的通知》（冀发改环资</w:t>
      </w:r>
      <w:r>
        <w:rPr>
          <w:rFonts w:ascii="Times New Roman"/>
          <w:sz w:val="24"/>
          <w:szCs w:val="24"/>
        </w:rPr>
        <w:t>〔2022〕691</w:t>
      </w:r>
      <w:r>
        <w:rPr>
          <w:rFonts w:hint="eastAsia" w:ascii="Times New Roman"/>
          <w:sz w:val="24"/>
          <w:szCs w:val="24"/>
        </w:rPr>
        <w:t>号），不属于“两高”项目。本项目属于C3434连续搬运设备制造，园区已同意本次项目实施的意见，项目符合园区产业布局及用地布局要求。不属于负面清单内禁止及限制类项目。</w:t>
      </w:r>
    </w:p>
    <w:p w14:paraId="4EC92A28">
      <w:pPr>
        <w:spacing w:line="360" w:lineRule="auto"/>
        <w:ind w:firstLine="480" w:firstLineChars="200"/>
        <w:rPr>
          <w:rFonts w:ascii="Times New Roman"/>
          <w:sz w:val="24"/>
          <w:szCs w:val="24"/>
        </w:rPr>
      </w:pPr>
      <w:r>
        <w:rPr>
          <w:rFonts w:hint="eastAsia" w:ascii="Times New Roman"/>
          <w:sz w:val="24"/>
          <w:szCs w:val="24"/>
        </w:rPr>
        <w:t>综合以上分析，项目符合《曹妃甸循环经济示范区规划环境影响跟踪评价报告》中“三线一单”相关要求。</w:t>
      </w:r>
    </w:p>
    <w:p w14:paraId="49E72C21">
      <w:pPr>
        <w:keepNext/>
        <w:keepLines/>
        <w:numPr>
          <w:ilvl w:val="3"/>
          <w:numId w:val="0"/>
        </w:numPr>
        <w:spacing w:line="360" w:lineRule="auto"/>
        <w:rPr>
          <w:rFonts w:ascii="Times New Roman"/>
          <w:b/>
          <w:bCs/>
        </w:rPr>
      </w:pPr>
      <w:r>
        <w:rPr>
          <w:rFonts w:ascii="Times New Roman"/>
          <w:b/>
          <w:bCs/>
          <w:snapToGrid w:val="0"/>
          <w:sz w:val="24"/>
          <w:szCs w:val="24"/>
        </w:rPr>
        <w:t>2.9.4.5</w:t>
      </w:r>
      <w:r>
        <w:rPr>
          <w:rFonts w:hint="eastAsia" w:ascii="Times New Roman"/>
          <w:b/>
          <w:bCs/>
        </w:rPr>
        <w:t>基础设施配套及运行情况</w:t>
      </w:r>
    </w:p>
    <w:p w14:paraId="6BBF4C90">
      <w:pPr>
        <w:autoSpaceDE w:val="0"/>
        <w:autoSpaceDN w:val="0"/>
        <w:adjustRightInd w:val="0"/>
        <w:spacing w:line="360" w:lineRule="auto"/>
        <w:ind w:firstLine="480" w:firstLineChars="200"/>
        <w:rPr>
          <w:rFonts w:ascii="Times New Roman" w:cs="宋体"/>
          <w:kern w:val="0"/>
          <w:sz w:val="24"/>
          <w:szCs w:val="24"/>
        </w:rPr>
      </w:pPr>
      <w:r>
        <w:rPr>
          <w:rFonts w:ascii="Times New Roman"/>
          <w:kern w:val="0"/>
          <w:sz w:val="24"/>
          <w:szCs w:val="24"/>
        </w:rPr>
        <w:t>（1</w:t>
      </w:r>
      <w:r>
        <w:rPr>
          <w:rFonts w:hint="eastAsia" w:ascii="Times New Roman" w:cs="宋体"/>
          <w:kern w:val="0"/>
          <w:sz w:val="24"/>
          <w:szCs w:val="24"/>
        </w:rPr>
        <w:t>）给水规划</w:t>
      </w:r>
    </w:p>
    <w:p w14:paraId="440F4A40">
      <w:pPr>
        <w:pStyle w:val="265"/>
        <w:spacing w:line="360" w:lineRule="auto"/>
        <w:ind w:firstLine="480" w:firstLineChars="200"/>
      </w:pPr>
      <w:r>
        <w:t>目前曹妃甸工业区水资源的主要来源为地表水和海水淡化。2017年5月，工业区实现双水源地表水供水，主水源为引滦入唐供水系统，陡河水库为水源地；地表水辅助水源为桃林口水库。</w:t>
      </w:r>
    </w:p>
    <w:p w14:paraId="056033D2">
      <w:pPr>
        <w:pStyle w:val="265"/>
        <w:spacing w:line="360" w:lineRule="auto"/>
        <w:ind w:firstLine="480" w:firstLineChars="200"/>
      </w:pPr>
      <w:r>
        <w:t>曹妃甸工业区以发展港口物流、钢铁、化工和高端装备制造等高耗水产业为主，为解决自身无淡水资源的矛盾，自建设起步阶段就将海水淡化纳入了区内循环经济产业中重要的一环。</w:t>
      </w:r>
    </w:p>
    <w:p w14:paraId="4BEC5A1E">
      <w:pPr>
        <w:pStyle w:val="265"/>
        <w:spacing w:line="360" w:lineRule="auto"/>
        <w:ind w:firstLine="480" w:firstLineChars="200"/>
      </w:pPr>
      <w:r>
        <w:t>工业区内由唐山市曹妃甸供水公司修建的自唐山陡河水库引水管线供应地表淡水。该管线沿上海路西侧管廊带敷设，管径1200毫米，管材为钢管，水压0.2MPa左右，管顶平均标高3.3米（覆土1.2米）输水量可达8200万立方米；沈阳道装备区段的给水干管管径600~1200毫米。2017年5月，完成滦下提水泵站工程，于桃林口水库取水，取水量可达5000万吨每年，实现双水源供水。</w:t>
      </w:r>
    </w:p>
    <w:p w14:paraId="498E2EF5">
      <w:pPr>
        <w:pStyle w:val="265"/>
        <w:spacing w:line="360" w:lineRule="auto"/>
        <w:ind w:firstLine="480" w:firstLineChars="200"/>
      </w:pPr>
      <w:r>
        <w:t>工业区内净水厂净水产能8.5万吨/天，钢电园区水厂北侧修建了总占地约20公顷的的蓄水池，总容积近95万立方米。</w:t>
      </w:r>
    </w:p>
    <w:p w14:paraId="780DDCE3">
      <w:pPr>
        <w:pStyle w:val="265"/>
        <w:spacing w:line="360" w:lineRule="auto"/>
        <w:ind w:firstLine="480" w:firstLineChars="200"/>
      </w:pPr>
      <w:r>
        <w:t>工业区内先后建设了首钢京唐5万吨/日低温多效海水淡化项目和北控水务5万吨/日反渗透海水淡化项目并投产使用。目前曹妃甸海水淡化产能10万吨/日，年可供淡水0.33亿立方米。</w:t>
      </w:r>
    </w:p>
    <w:p w14:paraId="5573E8D5">
      <w:pPr>
        <w:pStyle w:val="1599"/>
        <w:spacing w:beforeLines="0" w:line="360" w:lineRule="auto"/>
        <w:ind w:firstLine="482"/>
        <w:jc w:val="both"/>
        <w:rPr>
          <w:rFonts w:ascii="Times New Roman" w:hAnsi="Times New Roman"/>
          <w:b/>
          <w:sz w:val="24"/>
          <w:szCs w:val="24"/>
        </w:rPr>
      </w:pPr>
      <w:r>
        <w:rPr>
          <w:rFonts w:hint="eastAsia" w:ascii="Times New Roman" w:hAnsi="Times New Roman"/>
          <w:b/>
          <w:sz w:val="24"/>
          <w:szCs w:val="24"/>
        </w:rPr>
        <w:t>项目厂区用水由园区供水管网接入，可满足项目需求。</w:t>
      </w:r>
    </w:p>
    <w:p w14:paraId="2E04BB01">
      <w:pPr>
        <w:spacing w:line="360" w:lineRule="auto"/>
        <w:ind w:firstLine="480" w:firstLineChars="200"/>
        <w:rPr>
          <w:rFonts w:ascii="Times New Roman"/>
          <w:sz w:val="24"/>
          <w:szCs w:val="24"/>
        </w:rPr>
      </w:pPr>
      <w:r>
        <w:rPr>
          <w:rFonts w:hint="eastAsia" w:ascii="Times New Roman"/>
          <w:sz w:val="24"/>
          <w:szCs w:val="24"/>
        </w:rPr>
        <w:t>（</w:t>
      </w:r>
      <w:r>
        <w:rPr>
          <w:rFonts w:ascii="Times New Roman"/>
          <w:sz w:val="24"/>
          <w:szCs w:val="24"/>
        </w:rPr>
        <w:t>2</w:t>
      </w:r>
      <w:r>
        <w:rPr>
          <w:rFonts w:hint="eastAsia" w:ascii="Times New Roman"/>
          <w:sz w:val="24"/>
          <w:szCs w:val="24"/>
        </w:rPr>
        <w:t>）排水规划</w:t>
      </w:r>
    </w:p>
    <w:p w14:paraId="7F8ABDED">
      <w:pPr>
        <w:spacing w:line="360" w:lineRule="auto"/>
        <w:ind w:firstLine="480" w:firstLineChars="200"/>
        <w:rPr>
          <w:rFonts w:ascii="Times New Roman"/>
          <w:sz w:val="24"/>
          <w:szCs w:val="24"/>
        </w:rPr>
      </w:pPr>
      <w:r>
        <w:rPr>
          <w:rFonts w:hint="eastAsia" w:ascii="Times New Roman"/>
          <w:sz w:val="24"/>
          <w:szCs w:val="24"/>
        </w:rPr>
        <w:t>目前曹妃甸工区已建成</w:t>
      </w:r>
      <w:r>
        <w:rPr>
          <w:rFonts w:ascii="Times New Roman"/>
          <w:sz w:val="24"/>
          <w:szCs w:val="24"/>
        </w:rPr>
        <w:t>2</w:t>
      </w:r>
      <w:r>
        <w:rPr>
          <w:rFonts w:hint="eastAsia" w:ascii="Times New Roman"/>
          <w:sz w:val="24"/>
          <w:szCs w:val="24"/>
        </w:rPr>
        <w:t>座污水处理厂和</w:t>
      </w:r>
      <w:r>
        <w:rPr>
          <w:rFonts w:ascii="Times New Roman"/>
          <w:sz w:val="24"/>
          <w:szCs w:val="24"/>
        </w:rPr>
        <w:t>1</w:t>
      </w:r>
      <w:r>
        <w:rPr>
          <w:rFonts w:hint="eastAsia" w:ascii="Times New Roman"/>
          <w:sz w:val="24"/>
          <w:szCs w:val="24"/>
        </w:rPr>
        <w:t>座污水处理站，即曹妃甸装备制造区污水处理站、曹妃甸工业区污水处理厂（南区）和曹妃甸工业区装备园区临时污水处理站，在建</w:t>
      </w:r>
      <w:r>
        <w:rPr>
          <w:rFonts w:ascii="Times New Roman"/>
          <w:sz w:val="24"/>
          <w:szCs w:val="24"/>
        </w:rPr>
        <w:t>1</w:t>
      </w:r>
      <w:r>
        <w:rPr>
          <w:rFonts w:hint="eastAsia" w:ascii="Times New Roman"/>
          <w:sz w:val="24"/>
          <w:szCs w:val="24"/>
        </w:rPr>
        <w:t>座污水处理厂，即石化基地污水处理厂。除园区污水处理厂外，重点涉水排污单位及各码头公司配套建设了污水处理设施。</w:t>
      </w:r>
    </w:p>
    <w:p w14:paraId="0185E103">
      <w:pPr>
        <w:pStyle w:val="20"/>
        <w:spacing w:line="360" w:lineRule="auto"/>
        <w:ind w:firstLine="480" w:firstLineChars="200"/>
        <w:rPr>
          <w:rFonts w:eastAsia="宋体"/>
          <w:sz w:val="24"/>
        </w:rPr>
      </w:pPr>
      <w:r>
        <w:rPr>
          <w:rFonts w:eastAsia="宋体"/>
          <w:sz w:val="24"/>
        </w:rPr>
        <w:t>曹妃甸</w:t>
      </w:r>
      <w:r>
        <w:rPr>
          <w:rFonts w:hint="eastAsia" w:eastAsia="宋体"/>
          <w:sz w:val="24"/>
        </w:rPr>
        <w:t>工业</w:t>
      </w:r>
      <w:r>
        <w:rPr>
          <w:rFonts w:eastAsia="宋体"/>
          <w:sz w:val="24"/>
        </w:rPr>
        <w:t>区装备制造区污水处理站位于曹妃甸</w:t>
      </w:r>
      <w:r>
        <w:rPr>
          <w:rFonts w:hint="eastAsia" w:eastAsia="宋体"/>
          <w:sz w:val="24"/>
        </w:rPr>
        <w:t>装备园区A6路以东，装备道以北</w:t>
      </w:r>
      <w:r>
        <w:rPr>
          <w:rFonts w:eastAsia="宋体"/>
          <w:sz w:val="24"/>
        </w:rPr>
        <w:t>，占地面积</w:t>
      </w:r>
      <w:r>
        <w:rPr>
          <w:rFonts w:hint="eastAsia" w:eastAsia="宋体"/>
          <w:sz w:val="24"/>
        </w:rPr>
        <w:t>20</w:t>
      </w:r>
      <w:r>
        <w:rPr>
          <w:rFonts w:eastAsia="宋体"/>
          <w:sz w:val="24"/>
        </w:rPr>
        <w:t>00平方米，污水处理规模为</w:t>
      </w:r>
      <w:r>
        <w:rPr>
          <w:rFonts w:hint="eastAsia" w:eastAsia="宋体"/>
          <w:sz w:val="24"/>
        </w:rPr>
        <w:t>1</w:t>
      </w:r>
      <w:r>
        <w:rPr>
          <w:rFonts w:eastAsia="宋体"/>
          <w:sz w:val="24"/>
        </w:rPr>
        <w:t>500m</w:t>
      </w:r>
      <w:r>
        <w:rPr>
          <w:rFonts w:eastAsia="宋体"/>
          <w:sz w:val="24"/>
          <w:vertAlign w:val="superscript"/>
        </w:rPr>
        <w:t>3</w:t>
      </w:r>
      <w:r>
        <w:rPr>
          <w:rFonts w:eastAsia="宋体"/>
          <w:sz w:val="24"/>
        </w:rPr>
        <w:t>/d，服务范围为</w:t>
      </w:r>
      <w:r>
        <w:rPr>
          <w:rFonts w:hint="eastAsia" w:eastAsia="宋体"/>
          <w:sz w:val="24"/>
        </w:rPr>
        <w:t>曹妃甸工业区装备区（含综合保税区）</w:t>
      </w:r>
      <w:r>
        <w:rPr>
          <w:rFonts w:eastAsia="宋体"/>
          <w:sz w:val="24"/>
        </w:rPr>
        <w:t>。污水处理站总体工艺流程包括：一级</w:t>
      </w:r>
      <w:r>
        <w:rPr>
          <w:rFonts w:hint="eastAsia" w:eastAsia="宋体"/>
          <w:sz w:val="24"/>
        </w:rPr>
        <w:t>预</w:t>
      </w:r>
      <w:r>
        <w:rPr>
          <w:rFonts w:eastAsia="宋体"/>
          <w:sz w:val="24"/>
        </w:rPr>
        <w:t>处理段</w:t>
      </w:r>
      <w:r>
        <w:rPr>
          <w:rFonts w:hint="eastAsia" w:eastAsia="宋体"/>
          <w:sz w:val="24"/>
        </w:rPr>
        <w:t>（格栅+细格栅+调节池）</w:t>
      </w:r>
      <w:r>
        <w:rPr>
          <w:rFonts w:eastAsia="宋体"/>
          <w:sz w:val="24"/>
        </w:rPr>
        <w:t>、二级生物处理段（</w:t>
      </w:r>
      <w:r>
        <w:rPr>
          <w:rFonts w:hint="eastAsia" w:eastAsia="宋体"/>
          <w:sz w:val="24"/>
        </w:rPr>
        <w:t>生物流化床技术（M</w:t>
      </w:r>
      <w:r>
        <w:rPr>
          <w:rFonts w:eastAsia="宋体"/>
          <w:sz w:val="24"/>
        </w:rPr>
        <w:t>BBR</w:t>
      </w:r>
      <w:r>
        <w:rPr>
          <w:rFonts w:hint="eastAsia" w:eastAsia="宋体"/>
          <w:sz w:val="24"/>
        </w:rPr>
        <w:t>），包含厌氧+缺氧+好氧</w:t>
      </w:r>
      <w:r>
        <w:rPr>
          <w:rFonts w:eastAsia="宋体"/>
          <w:sz w:val="24"/>
        </w:rPr>
        <w:t>）、三级深度处理段（</w:t>
      </w:r>
      <w:r>
        <w:rPr>
          <w:rFonts w:hint="eastAsia" w:eastAsia="宋体"/>
          <w:sz w:val="24"/>
        </w:rPr>
        <w:t>斜管沉淀池+砂滤池</w:t>
      </w:r>
      <w:r>
        <w:rPr>
          <w:rFonts w:eastAsia="宋体"/>
          <w:sz w:val="24"/>
        </w:rPr>
        <w:t>）、</w:t>
      </w:r>
      <w:r>
        <w:rPr>
          <w:rFonts w:hint="eastAsia" w:eastAsia="宋体"/>
          <w:sz w:val="24"/>
        </w:rPr>
        <w:t>消毒处理（次氯酸钠消毒工艺）、</w:t>
      </w:r>
      <w:r>
        <w:rPr>
          <w:rFonts w:eastAsia="宋体"/>
          <w:sz w:val="24"/>
        </w:rPr>
        <w:t>污</w:t>
      </w:r>
      <w:r>
        <w:rPr>
          <w:rFonts w:eastAsia="宋体"/>
          <w:snapToGrid/>
          <w:sz w:val="24"/>
        </w:rPr>
        <w:t>泥处理段，出水达到《城镇污水处理厂污染物排放标准》（GB18918-2002）中一级A标准</w:t>
      </w:r>
      <w:r>
        <w:rPr>
          <w:rFonts w:hint="eastAsia" w:eastAsia="宋体"/>
          <w:snapToGrid/>
          <w:sz w:val="24"/>
        </w:rPr>
        <w:t>要求，同时达到《城镇污水再生利用城市杂用水水质》（G</w:t>
      </w:r>
      <w:r>
        <w:rPr>
          <w:rFonts w:eastAsia="宋体"/>
          <w:snapToGrid/>
          <w:sz w:val="24"/>
        </w:rPr>
        <w:t>B/T18920-2002</w:t>
      </w:r>
      <w:r>
        <w:rPr>
          <w:rFonts w:hint="eastAsia" w:eastAsia="宋体"/>
          <w:snapToGrid/>
          <w:sz w:val="24"/>
        </w:rPr>
        <w:t>）表1</w:t>
      </w:r>
      <w:r>
        <w:rPr>
          <w:rFonts w:hint="eastAsia" w:eastAsia="宋体"/>
          <w:sz w:val="24"/>
        </w:rPr>
        <w:t>标准</w:t>
      </w:r>
      <w:r>
        <w:rPr>
          <w:rFonts w:eastAsia="宋体"/>
          <w:sz w:val="24"/>
        </w:rPr>
        <w:t>。</w:t>
      </w:r>
      <w:r>
        <w:rPr>
          <w:rFonts w:hint="eastAsia" w:eastAsia="宋体"/>
          <w:sz w:val="24"/>
        </w:rPr>
        <w:t>污水处理站的出水排入A</w:t>
      </w:r>
      <w:r>
        <w:rPr>
          <w:rFonts w:eastAsia="宋体"/>
          <w:sz w:val="24"/>
        </w:rPr>
        <w:t>6</w:t>
      </w:r>
      <w:r>
        <w:rPr>
          <w:rFonts w:hint="eastAsia" w:eastAsia="宋体"/>
          <w:sz w:val="24"/>
        </w:rPr>
        <w:t>河，再由</w:t>
      </w:r>
      <w:r>
        <w:rPr>
          <w:rFonts w:eastAsia="宋体"/>
          <w:sz w:val="24"/>
        </w:rPr>
        <w:t>A6</w:t>
      </w:r>
      <w:r>
        <w:rPr>
          <w:rFonts w:hint="eastAsia" w:eastAsia="宋体"/>
          <w:sz w:val="24"/>
        </w:rPr>
        <w:t>河汇入北环河，A</w:t>
      </w:r>
      <w:r>
        <w:rPr>
          <w:rFonts w:eastAsia="宋体"/>
          <w:sz w:val="24"/>
        </w:rPr>
        <w:t>6</w:t>
      </w:r>
      <w:r>
        <w:rPr>
          <w:rFonts w:hint="eastAsia" w:eastAsia="宋体"/>
          <w:sz w:val="24"/>
        </w:rPr>
        <w:t>河、北环河均为景观河。待项目周边的中水回用设施完善后，本项目污水处理站出水可回用于城市绿化、道路清扫、冲厕等。</w:t>
      </w:r>
    </w:p>
    <w:p w14:paraId="715F272D">
      <w:pPr>
        <w:spacing w:line="480" w:lineRule="exact"/>
        <w:jc w:val="center"/>
        <w:rPr>
          <w:rFonts w:ascii="Times New Roman"/>
          <w:b/>
          <w:bCs/>
          <w:kern w:val="44"/>
          <w:sz w:val="24"/>
          <w:szCs w:val="24"/>
        </w:rPr>
      </w:pPr>
      <w:r>
        <w:rPr>
          <w:rFonts w:ascii="Times New Roman"/>
          <w:b/>
          <w:bCs/>
          <w:sz w:val="24"/>
          <w:szCs w:val="24"/>
        </w:rPr>
        <w:t>表2.9</w:t>
      </w:r>
      <w:r>
        <w:rPr>
          <w:rFonts w:ascii="Times New Roman"/>
          <w:b/>
          <w:bCs/>
          <w:sz w:val="24"/>
          <w:szCs w:val="24"/>
        </w:rPr>
        <w:noBreakHyphen/>
      </w:r>
      <w:r>
        <w:rPr>
          <w:rFonts w:hint="eastAsia" w:ascii="Times New Roman"/>
          <w:b/>
          <w:bCs/>
          <w:sz w:val="24"/>
          <w:szCs w:val="24"/>
        </w:rPr>
        <w:t>8</w:t>
      </w:r>
      <w:r>
        <w:rPr>
          <w:rFonts w:ascii="Times New Roman"/>
          <w:b/>
          <w:bCs/>
          <w:sz w:val="24"/>
          <w:szCs w:val="24"/>
        </w:rPr>
        <w:t xml:space="preserve">  </w:t>
      </w:r>
      <w:r>
        <w:rPr>
          <w:rFonts w:ascii="Times New Roman"/>
          <w:b/>
          <w:bCs/>
          <w:kern w:val="44"/>
          <w:sz w:val="24"/>
          <w:szCs w:val="24"/>
        </w:rPr>
        <w:t>污水处理厂污水设计出水水质</w:t>
      </w:r>
      <w:r>
        <w:rPr>
          <w:rFonts w:hint="eastAsia" w:ascii="Times New Roman"/>
          <w:b/>
          <w:bCs/>
          <w:kern w:val="44"/>
          <w:sz w:val="24"/>
          <w:szCs w:val="24"/>
        </w:rPr>
        <w:t xml:space="preserve"> </w:t>
      </w:r>
      <w:r>
        <w:rPr>
          <w:rFonts w:ascii="Times New Roman"/>
          <w:b/>
          <w:bCs/>
          <w:kern w:val="44"/>
          <w:sz w:val="24"/>
          <w:szCs w:val="24"/>
        </w:rPr>
        <w:t xml:space="preserve">  </w:t>
      </w:r>
      <w:r>
        <w:rPr>
          <w:rFonts w:hint="eastAsia" w:ascii="Times New Roman"/>
          <w:b/>
          <w:bCs/>
          <w:kern w:val="44"/>
          <w:sz w:val="24"/>
          <w:szCs w:val="24"/>
        </w:rPr>
        <w:t>单位mg/L</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1012"/>
        <w:gridCol w:w="1014"/>
        <w:gridCol w:w="1055"/>
        <w:gridCol w:w="1007"/>
        <w:gridCol w:w="1080"/>
        <w:gridCol w:w="2150"/>
      </w:tblGrid>
      <w:tr w14:paraId="4D13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10" w:type="pct"/>
            <w:tcBorders>
              <w:tl2br w:val="nil"/>
              <w:tr2bl w:val="nil"/>
            </w:tcBorders>
            <w:vAlign w:val="center"/>
          </w:tcPr>
          <w:p w14:paraId="5720F2F3">
            <w:pPr>
              <w:jc w:val="center"/>
              <w:rPr>
                <w:rFonts w:ascii="Times New Roman"/>
                <w:kern w:val="44"/>
                <w:sz w:val="21"/>
                <w:szCs w:val="21"/>
              </w:rPr>
            </w:pPr>
            <w:r>
              <w:rPr>
                <w:rFonts w:ascii="Times New Roman"/>
                <w:kern w:val="44"/>
                <w:sz w:val="21"/>
                <w:szCs w:val="21"/>
              </w:rPr>
              <w:t>COD</w:t>
            </w:r>
          </w:p>
        </w:tc>
        <w:tc>
          <w:tcPr>
            <w:tcW w:w="607" w:type="pct"/>
            <w:tcBorders>
              <w:tl2br w:val="nil"/>
              <w:tr2bl w:val="nil"/>
            </w:tcBorders>
            <w:vAlign w:val="center"/>
          </w:tcPr>
          <w:p w14:paraId="12F8922A">
            <w:pPr>
              <w:jc w:val="center"/>
              <w:rPr>
                <w:rFonts w:ascii="Times New Roman"/>
                <w:kern w:val="44"/>
                <w:sz w:val="21"/>
                <w:szCs w:val="21"/>
              </w:rPr>
            </w:pPr>
            <w:r>
              <w:rPr>
                <w:rFonts w:ascii="Times New Roman"/>
                <w:kern w:val="44"/>
                <w:sz w:val="21"/>
                <w:szCs w:val="21"/>
              </w:rPr>
              <w:t>BOD</w:t>
            </w:r>
            <w:r>
              <w:rPr>
                <w:rFonts w:ascii="Times New Roman"/>
                <w:kern w:val="44"/>
                <w:sz w:val="21"/>
                <w:szCs w:val="21"/>
                <w:vertAlign w:val="subscript"/>
              </w:rPr>
              <w:t>5</w:t>
            </w:r>
          </w:p>
        </w:tc>
        <w:tc>
          <w:tcPr>
            <w:tcW w:w="608" w:type="pct"/>
            <w:tcBorders>
              <w:tl2br w:val="nil"/>
              <w:tr2bl w:val="nil"/>
            </w:tcBorders>
            <w:vAlign w:val="center"/>
          </w:tcPr>
          <w:p w14:paraId="6DA342A7">
            <w:pPr>
              <w:jc w:val="center"/>
              <w:rPr>
                <w:rFonts w:ascii="Times New Roman"/>
                <w:kern w:val="44"/>
                <w:sz w:val="21"/>
                <w:szCs w:val="21"/>
              </w:rPr>
            </w:pPr>
            <w:r>
              <w:rPr>
                <w:rFonts w:ascii="Times New Roman"/>
                <w:kern w:val="44"/>
                <w:sz w:val="21"/>
                <w:szCs w:val="21"/>
              </w:rPr>
              <w:t>SS</w:t>
            </w:r>
          </w:p>
        </w:tc>
        <w:tc>
          <w:tcPr>
            <w:tcW w:w="633" w:type="pct"/>
            <w:tcBorders>
              <w:tl2br w:val="nil"/>
              <w:tr2bl w:val="nil"/>
            </w:tcBorders>
            <w:vAlign w:val="center"/>
          </w:tcPr>
          <w:p w14:paraId="4A92DD23">
            <w:pPr>
              <w:jc w:val="center"/>
              <w:rPr>
                <w:rFonts w:ascii="Times New Roman"/>
                <w:kern w:val="44"/>
                <w:sz w:val="21"/>
                <w:szCs w:val="21"/>
              </w:rPr>
            </w:pPr>
            <w:r>
              <w:rPr>
                <w:rFonts w:ascii="Times New Roman"/>
                <w:kern w:val="44"/>
                <w:sz w:val="21"/>
                <w:szCs w:val="21"/>
              </w:rPr>
              <w:t>NH</w:t>
            </w:r>
            <w:r>
              <w:rPr>
                <w:rFonts w:ascii="Times New Roman"/>
                <w:kern w:val="44"/>
                <w:sz w:val="21"/>
                <w:szCs w:val="21"/>
                <w:vertAlign w:val="subscript"/>
              </w:rPr>
              <w:t>3</w:t>
            </w:r>
            <w:r>
              <w:rPr>
                <w:rFonts w:ascii="Times New Roman"/>
                <w:kern w:val="44"/>
                <w:sz w:val="21"/>
                <w:szCs w:val="21"/>
              </w:rPr>
              <w:t>-N</w:t>
            </w:r>
          </w:p>
        </w:tc>
        <w:tc>
          <w:tcPr>
            <w:tcW w:w="604" w:type="pct"/>
            <w:tcBorders>
              <w:tl2br w:val="nil"/>
              <w:tr2bl w:val="nil"/>
            </w:tcBorders>
            <w:vAlign w:val="center"/>
          </w:tcPr>
          <w:p w14:paraId="589EB9EE">
            <w:pPr>
              <w:jc w:val="center"/>
              <w:rPr>
                <w:rFonts w:ascii="Times New Roman"/>
                <w:kern w:val="44"/>
                <w:sz w:val="21"/>
                <w:szCs w:val="21"/>
              </w:rPr>
            </w:pPr>
            <w:r>
              <w:rPr>
                <w:rFonts w:ascii="Times New Roman"/>
                <w:kern w:val="44"/>
                <w:sz w:val="21"/>
                <w:szCs w:val="21"/>
              </w:rPr>
              <w:t>TN</w:t>
            </w:r>
          </w:p>
        </w:tc>
        <w:tc>
          <w:tcPr>
            <w:tcW w:w="648" w:type="pct"/>
            <w:tcBorders>
              <w:tl2br w:val="nil"/>
              <w:tr2bl w:val="nil"/>
            </w:tcBorders>
            <w:vAlign w:val="center"/>
          </w:tcPr>
          <w:p w14:paraId="35465B93">
            <w:pPr>
              <w:jc w:val="center"/>
              <w:rPr>
                <w:rFonts w:ascii="Times New Roman"/>
                <w:kern w:val="44"/>
                <w:sz w:val="21"/>
                <w:szCs w:val="21"/>
              </w:rPr>
            </w:pPr>
            <w:r>
              <w:rPr>
                <w:rFonts w:ascii="Times New Roman"/>
                <w:kern w:val="44"/>
                <w:sz w:val="21"/>
                <w:szCs w:val="21"/>
              </w:rPr>
              <w:t>TP</w:t>
            </w:r>
          </w:p>
        </w:tc>
        <w:tc>
          <w:tcPr>
            <w:tcW w:w="1287" w:type="pct"/>
            <w:tcBorders>
              <w:tl2br w:val="nil"/>
              <w:tr2bl w:val="nil"/>
            </w:tcBorders>
            <w:vAlign w:val="center"/>
          </w:tcPr>
          <w:p w14:paraId="5C99342F">
            <w:pPr>
              <w:jc w:val="center"/>
              <w:rPr>
                <w:rFonts w:ascii="Times New Roman"/>
                <w:kern w:val="44"/>
                <w:sz w:val="21"/>
                <w:szCs w:val="21"/>
              </w:rPr>
            </w:pPr>
            <w:r>
              <w:rPr>
                <w:rFonts w:ascii="Times New Roman"/>
                <w:kern w:val="44"/>
                <w:sz w:val="21"/>
                <w:szCs w:val="21"/>
              </w:rPr>
              <w:t>总余氯</w:t>
            </w:r>
          </w:p>
        </w:tc>
      </w:tr>
      <w:tr w14:paraId="4A4C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0" w:type="pct"/>
            <w:tcBorders>
              <w:tl2br w:val="nil"/>
              <w:tr2bl w:val="nil"/>
            </w:tcBorders>
            <w:vAlign w:val="center"/>
          </w:tcPr>
          <w:p w14:paraId="6A4A01C6">
            <w:pPr>
              <w:jc w:val="center"/>
              <w:rPr>
                <w:rFonts w:ascii="Times New Roman"/>
                <w:kern w:val="44"/>
                <w:sz w:val="21"/>
                <w:szCs w:val="21"/>
              </w:rPr>
            </w:pPr>
            <w:r>
              <w:rPr>
                <w:rFonts w:ascii="Times New Roman"/>
                <w:kern w:val="44"/>
                <w:sz w:val="21"/>
                <w:szCs w:val="21"/>
              </w:rPr>
              <w:t>50</w:t>
            </w:r>
          </w:p>
        </w:tc>
        <w:tc>
          <w:tcPr>
            <w:tcW w:w="607" w:type="pct"/>
            <w:tcBorders>
              <w:tl2br w:val="nil"/>
              <w:tr2bl w:val="nil"/>
            </w:tcBorders>
            <w:vAlign w:val="center"/>
          </w:tcPr>
          <w:p w14:paraId="21778D67">
            <w:pPr>
              <w:jc w:val="center"/>
              <w:rPr>
                <w:rFonts w:ascii="Times New Roman"/>
                <w:kern w:val="44"/>
                <w:sz w:val="21"/>
                <w:szCs w:val="21"/>
              </w:rPr>
            </w:pPr>
            <w:r>
              <w:rPr>
                <w:rFonts w:ascii="Times New Roman"/>
                <w:kern w:val="44"/>
                <w:sz w:val="21"/>
                <w:szCs w:val="21"/>
              </w:rPr>
              <w:t>10</w:t>
            </w:r>
          </w:p>
        </w:tc>
        <w:tc>
          <w:tcPr>
            <w:tcW w:w="608" w:type="pct"/>
            <w:tcBorders>
              <w:tl2br w:val="nil"/>
              <w:tr2bl w:val="nil"/>
            </w:tcBorders>
            <w:vAlign w:val="center"/>
          </w:tcPr>
          <w:p w14:paraId="35259B0D">
            <w:pPr>
              <w:jc w:val="center"/>
              <w:rPr>
                <w:rFonts w:ascii="Times New Roman"/>
                <w:kern w:val="44"/>
                <w:sz w:val="21"/>
                <w:szCs w:val="21"/>
              </w:rPr>
            </w:pPr>
            <w:r>
              <w:rPr>
                <w:rFonts w:ascii="Times New Roman"/>
                <w:kern w:val="44"/>
                <w:sz w:val="21"/>
                <w:szCs w:val="21"/>
              </w:rPr>
              <w:t>10</w:t>
            </w:r>
          </w:p>
        </w:tc>
        <w:tc>
          <w:tcPr>
            <w:tcW w:w="633" w:type="pct"/>
            <w:tcBorders>
              <w:tl2br w:val="nil"/>
              <w:tr2bl w:val="nil"/>
            </w:tcBorders>
            <w:vAlign w:val="center"/>
          </w:tcPr>
          <w:p w14:paraId="5F8775CD">
            <w:pPr>
              <w:jc w:val="center"/>
              <w:rPr>
                <w:rFonts w:ascii="Times New Roman"/>
                <w:kern w:val="44"/>
                <w:sz w:val="21"/>
                <w:szCs w:val="21"/>
              </w:rPr>
            </w:pPr>
            <w:r>
              <w:rPr>
                <w:rFonts w:ascii="Times New Roman"/>
                <w:kern w:val="44"/>
                <w:sz w:val="21"/>
                <w:szCs w:val="21"/>
              </w:rPr>
              <w:t>5（8）</w:t>
            </w:r>
          </w:p>
        </w:tc>
        <w:tc>
          <w:tcPr>
            <w:tcW w:w="604" w:type="pct"/>
            <w:tcBorders>
              <w:tl2br w:val="nil"/>
              <w:tr2bl w:val="nil"/>
            </w:tcBorders>
            <w:vAlign w:val="center"/>
          </w:tcPr>
          <w:p w14:paraId="20CE3EE5">
            <w:pPr>
              <w:jc w:val="center"/>
              <w:rPr>
                <w:rFonts w:ascii="Times New Roman"/>
                <w:kern w:val="44"/>
                <w:sz w:val="21"/>
                <w:szCs w:val="21"/>
              </w:rPr>
            </w:pPr>
            <w:r>
              <w:rPr>
                <w:rFonts w:ascii="Times New Roman"/>
                <w:kern w:val="44"/>
                <w:sz w:val="21"/>
                <w:szCs w:val="21"/>
              </w:rPr>
              <w:t>15</w:t>
            </w:r>
          </w:p>
        </w:tc>
        <w:tc>
          <w:tcPr>
            <w:tcW w:w="648" w:type="pct"/>
            <w:tcBorders>
              <w:tl2br w:val="nil"/>
              <w:tr2bl w:val="nil"/>
            </w:tcBorders>
            <w:vAlign w:val="center"/>
          </w:tcPr>
          <w:p w14:paraId="1A907B04">
            <w:pPr>
              <w:jc w:val="center"/>
              <w:rPr>
                <w:rFonts w:ascii="Times New Roman"/>
                <w:kern w:val="44"/>
                <w:sz w:val="21"/>
                <w:szCs w:val="21"/>
              </w:rPr>
            </w:pPr>
            <w:r>
              <w:rPr>
                <w:rFonts w:ascii="Times New Roman"/>
                <w:kern w:val="44"/>
                <w:sz w:val="21"/>
                <w:szCs w:val="21"/>
              </w:rPr>
              <w:t>0.5</w:t>
            </w:r>
          </w:p>
        </w:tc>
        <w:tc>
          <w:tcPr>
            <w:tcW w:w="1287" w:type="pct"/>
            <w:tcBorders>
              <w:tl2br w:val="nil"/>
              <w:tr2bl w:val="nil"/>
            </w:tcBorders>
            <w:vAlign w:val="center"/>
          </w:tcPr>
          <w:p w14:paraId="7A08ECEC">
            <w:pPr>
              <w:jc w:val="center"/>
              <w:rPr>
                <w:rFonts w:ascii="Times New Roman"/>
                <w:kern w:val="44"/>
                <w:sz w:val="21"/>
                <w:szCs w:val="21"/>
              </w:rPr>
            </w:pPr>
            <w:r>
              <w:rPr>
                <w:rFonts w:ascii="Times New Roman"/>
                <w:kern w:val="44"/>
                <w:sz w:val="21"/>
                <w:szCs w:val="21"/>
              </w:rPr>
              <w:t>接触30min后≥1，管网末端≥0.2</w:t>
            </w:r>
          </w:p>
        </w:tc>
      </w:tr>
      <w:tr w14:paraId="689B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7"/>
            <w:tcBorders>
              <w:tl2br w:val="nil"/>
              <w:tr2bl w:val="nil"/>
            </w:tcBorders>
            <w:vAlign w:val="center"/>
          </w:tcPr>
          <w:p w14:paraId="167A5AE0">
            <w:pPr>
              <w:rPr>
                <w:rFonts w:ascii="Times New Roman"/>
                <w:kern w:val="44"/>
                <w:sz w:val="21"/>
                <w:szCs w:val="21"/>
              </w:rPr>
            </w:pPr>
            <w:r>
              <w:rPr>
                <w:rFonts w:ascii="Times New Roman"/>
                <w:kern w:val="44"/>
                <w:sz w:val="21"/>
                <w:szCs w:val="21"/>
              </w:rPr>
              <w:t>注：括号外数值为水温&gt;12℃时的控制指标，括号内数值为水温≤12℃的控制指标。</w:t>
            </w:r>
          </w:p>
        </w:tc>
      </w:tr>
    </w:tbl>
    <w:p w14:paraId="42743A28">
      <w:pPr>
        <w:spacing w:line="360" w:lineRule="auto"/>
        <w:rPr>
          <w:rFonts w:ascii="Times New Roman"/>
          <w:sz w:val="24"/>
          <w:szCs w:val="24"/>
        </w:rPr>
      </w:pPr>
      <w:r>
        <w:rPr>
          <w:rFonts w:ascii="Times New Roman"/>
          <w:sz w:val="24"/>
          <w:szCs w:val="24"/>
        </w:rPr>
        <w:drawing>
          <wp:inline distT="0" distB="0" distL="114300" distR="114300">
            <wp:extent cx="5208270" cy="1741170"/>
            <wp:effectExtent l="0" t="0" r="0" b="0"/>
            <wp:docPr id="70" name="图片 2"/>
            <wp:cNvGraphicFramePr/>
            <a:graphic xmlns:a="http://schemas.openxmlformats.org/drawingml/2006/main">
              <a:graphicData uri="http://schemas.openxmlformats.org/drawingml/2006/picture">
                <pic:pic xmlns:pic="http://schemas.openxmlformats.org/drawingml/2006/picture">
                  <pic:nvPicPr>
                    <pic:cNvPr id="70" name="图片 2"/>
                    <pic:cNvPicPr/>
                  </pic:nvPicPr>
                  <pic:blipFill>
                    <a:blip r:embed="rId26"/>
                    <a:stretch>
                      <a:fillRect/>
                    </a:stretch>
                  </pic:blipFill>
                  <pic:spPr>
                    <a:xfrm>
                      <a:off x="0" y="0"/>
                      <a:ext cx="5208270" cy="1741170"/>
                    </a:xfrm>
                    <a:prstGeom prst="rect">
                      <a:avLst/>
                    </a:prstGeom>
                    <a:noFill/>
                    <a:ln>
                      <a:noFill/>
                    </a:ln>
                  </pic:spPr>
                </pic:pic>
              </a:graphicData>
            </a:graphic>
          </wp:inline>
        </w:drawing>
      </w:r>
    </w:p>
    <w:p w14:paraId="6C039F4F">
      <w:pPr>
        <w:spacing w:line="360" w:lineRule="auto"/>
        <w:jc w:val="center"/>
        <w:rPr>
          <w:rFonts w:ascii="Times New Roman"/>
          <w:b/>
          <w:bCs/>
          <w:sz w:val="24"/>
          <w:szCs w:val="24"/>
        </w:rPr>
      </w:pPr>
      <w:r>
        <w:rPr>
          <w:rFonts w:ascii="Times New Roman"/>
          <w:b/>
          <w:bCs/>
          <w:sz w:val="24"/>
          <w:szCs w:val="24"/>
        </w:rPr>
        <w:t>图2.9</w:t>
      </w:r>
      <w:r>
        <w:rPr>
          <w:rFonts w:ascii="Times New Roman"/>
          <w:b/>
          <w:bCs/>
          <w:sz w:val="24"/>
          <w:szCs w:val="24"/>
        </w:rPr>
        <w:noBreakHyphen/>
      </w:r>
      <w:r>
        <w:rPr>
          <w:rFonts w:ascii="Times New Roman"/>
          <w:b/>
          <w:bCs/>
          <w:sz w:val="24"/>
          <w:szCs w:val="24"/>
        </w:rPr>
        <w:t xml:space="preserve">6  </w:t>
      </w:r>
      <w:r>
        <w:rPr>
          <w:rFonts w:hint="eastAsia" w:ascii="Times New Roman"/>
          <w:b/>
          <w:bCs/>
          <w:sz w:val="24"/>
          <w:szCs w:val="24"/>
        </w:rPr>
        <w:t>曹妃甸装备制造区污水处理站污水处理工艺流程</w:t>
      </w:r>
    </w:p>
    <w:p w14:paraId="50DAA145">
      <w:pPr>
        <w:spacing w:line="360" w:lineRule="auto"/>
        <w:ind w:firstLine="480" w:firstLineChars="200"/>
        <w:rPr>
          <w:rFonts w:ascii="Times New Roman"/>
          <w:sz w:val="24"/>
          <w:szCs w:val="24"/>
        </w:rPr>
      </w:pPr>
      <w:r>
        <w:rPr>
          <w:rFonts w:hint="eastAsia" w:ascii="Times New Roman"/>
          <w:sz w:val="24"/>
          <w:szCs w:val="24"/>
        </w:rPr>
        <w:t>项目厂区</w:t>
      </w:r>
      <w:r>
        <w:rPr>
          <w:rFonts w:ascii="Times New Roman"/>
          <w:sz w:val="24"/>
          <w:szCs w:val="24"/>
        </w:rPr>
        <w:t>位于曹妃甸装备制造园区污水处理站收水范围内，</w:t>
      </w:r>
      <w:r>
        <w:rPr>
          <w:rFonts w:hint="eastAsia" w:ascii="Times New Roman"/>
          <w:sz w:val="24"/>
          <w:szCs w:val="24"/>
        </w:rPr>
        <w:t>厂区废水经自建污水处理站处理达标后，经</w:t>
      </w:r>
      <w:r>
        <w:rPr>
          <w:rFonts w:ascii="Times New Roman"/>
          <w:sz w:val="24"/>
          <w:szCs w:val="24"/>
        </w:rPr>
        <w:t>市政污水管网排入曹妃甸装备制造园区污水处理站进一步处理</w:t>
      </w:r>
      <w:r>
        <w:rPr>
          <w:rFonts w:hint="eastAsia" w:ascii="Times New Roman"/>
          <w:sz w:val="24"/>
          <w:szCs w:val="24"/>
        </w:rPr>
        <w:t>。</w:t>
      </w:r>
    </w:p>
    <w:p w14:paraId="3E86C13D">
      <w:pPr>
        <w:autoSpaceDE w:val="0"/>
        <w:autoSpaceDN w:val="0"/>
        <w:adjustRightInd w:val="0"/>
        <w:spacing w:line="360" w:lineRule="auto"/>
        <w:ind w:firstLine="480" w:firstLineChars="200"/>
        <w:rPr>
          <w:rFonts w:ascii="Times New Roman"/>
          <w:sz w:val="24"/>
          <w:szCs w:val="24"/>
        </w:rPr>
      </w:pPr>
      <w:r>
        <w:rPr>
          <w:rFonts w:ascii="Times New Roman"/>
          <w:sz w:val="24"/>
          <w:szCs w:val="24"/>
        </w:rPr>
        <w:t>（3）电力供应</w:t>
      </w:r>
    </w:p>
    <w:p w14:paraId="105E2336">
      <w:pPr>
        <w:autoSpaceDE w:val="0"/>
        <w:autoSpaceDN w:val="0"/>
        <w:adjustRightInd w:val="0"/>
        <w:spacing w:line="360" w:lineRule="auto"/>
        <w:ind w:firstLine="480" w:firstLineChars="200"/>
        <w:rPr>
          <w:rFonts w:ascii="Times New Roman"/>
          <w:sz w:val="24"/>
          <w:szCs w:val="24"/>
        </w:rPr>
      </w:pPr>
      <w:r>
        <w:rPr>
          <w:rFonts w:ascii="Times New Roman"/>
          <w:sz w:val="24"/>
          <w:szCs w:val="24"/>
        </w:rPr>
        <w:t>目前曹妃甸工区内有2座电厂，即华润电厂和首钢自备电厂。华润电厂地处首钢京唐钢铁联合有限公司以北、港区以东，首钢北进厂道路以西的三角地区域。厂区南侧紧邻首钢京唐钢铁联合有限公司，北侧距离工业区临港商务区约1.7公里，东侧距青林公路2.0公里，西侧距一港池东岸1.1公里。一期工程采用2*300MW亚临界单抽凝汽式汽轮发电机组，已投产运行，2015年实行烟气处理改造，已达到超低排放改造。一期供热机组由中压缸排汽提供工业、采暖和海水淡化用抽汽，抽汽压力取0.4MPa，温度2500℃。规划采暖季节（冬季）每台机抽汽量550吨/小时，非采暖季节（夏季）每台机抽汽量370吨/小时。目前由于园区建设进度较慢，热力管网辐射面积较小。因此热负荷处于较低运行状态。二期2*1000MW 超超临界机组已通过项目环评，处于开工建设阶段。</w:t>
      </w:r>
    </w:p>
    <w:p w14:paraId="3A59D4AA">
      <w:pPr>
        <w:autoSpaceDE w:val="0"/>
        <w:autoSpaceDN w:val="0"/>
        <w:adjustRightInd w:val="0"/>
        <w:spacing w:line="360" w:lineRule="auto"/>
        <w:ind w:firstLine="480" w:firstLineChars="200"/>
        <w:rPr>
          <w:rFonts w:ascii="Times New Roman"/>
          <w:b/>
          <w:bCs/>
          <w:sz w:val="24"/>
          <w:szCs w:val="24"/>
        </w:rPr>
      </w:pPr>
      <w:r>
        <w:rPr>
          <w:rFonts w:hint="eastAsia" w:ascii="Times New Roman"/>
          <w:sz w:val="24"/>
          <w:szCs w:val="24"/>
        </w:rPr>
        <w:t>首钢京唐公司自备电站建设规模为</w:t>
      </w:r>
      <w:r>
        <w:rPr>
          <w:rFonts w:ascii="Times New Roman"/>
          <w:sz w:val="24"/>
          <w:szCs w:val="24"/>
        </w:rPr>
        <w:t xml:space="preserve">2×300MW </w:t>
      </w:r>
      <w:r>
        <w:rPr>
          <w:rFonts w:hint="eastAsia" w:ascii="Times New Roman"/>
          <w:sz w:val="24"/>
          <w:szCs w:val="24"/>
        </w:rPr>
        <w:t>燃煤汽轮发电机组，其位于一港池的东岸，东侧为海水淡化区，北侧为废钢堆场，占地面积约</w:t>
      </w:r>
      <w:r>
        <w:rPr>
          <w:rFonts w:ascii="Times New Roman"/>
          <w:sz w:val="24"/>
          <w:szCs w:val="24"/>
        </w:rPr>
        <w:t>11.29</w:t>
      </w:r>
      <w:r>
        <w:rPr>
          <w:rFonts w:hint="eastAsia" w:ascii="Times New Roman"/>
          <w:sz w:val="24"/>
          <w:szCs w:val="24"/>
        </w:rPr>
        <w:t>公顷。配套建设</w:t>
      </w:r>
      <w:r>
        <w:rPr>
          <w:rFonts w:ascii="Times New Roman"/>
          <w:sz w:val="24"/>
          <w:szCs w:val="24"/>
        </w:rPr>
        <w:t>2</w:t>
      </w:r>
      <w:r>
        <w:rPr>
          <w:rFonts w:hint="eastAsia" w:ascii="Times New Roman"/>
          <w:sz w:val="24"/>
          <w:szCs w:val="24"/>
        </w:rPr>
        <w:t>台过热蒸汽流量</w:t>
      </w:r>
      <w:r>
        <w:rPr>
          <w:rFonts w:ascii="Times New Roman"/>
          <w:sz w:val="24"/>
          <w:szCs w:val="24"/>
        </w:rPr>
        <w:t>1025</w:t>
      </w:r>
      <w:r>
        <w:rPr>
          <w:rFonts w:hint="eastAsia" w:ascii="Times New Roman"/>
          <w:sz w:val="24"/>
          <w:szCs w:val="24"/>
        </w:rPr>
        <w:t>吨</w:t>
      </w:r>
      <w:r>
        <w:rPr>
          <w:rFonts w:ascii="Times New Roman"/>
          <w:sz w:val="24"/>
          <w:szCs w:val="24"/>
        </w:rPr>
        <w:t>/</w:t>
      </w:r>
      <w:r>
        <w:rPr>
          <w:rFonts w:hint="eastAsia" w:ascii="Times New Roman"/>
          <w:sz w:val="24"/>
          <w:szCs w:val="24"/>
        </w:rPr>
        <w:t>小时的亚临界压力燃煤锅炉；台额定功率为</w:t>
      </w:r>
      <w:r>
        <w:rPr>
          <w:rFonts w:ascii="Times New Roman"/>
          <w:sz w:val="24"/>
          <w:szCs w:val="24"/>
        </w:rPr>
        <w:t>300MW</w:t>
      </w:r>
      <w:r>
        <w:rPr>
          <w:rFonts w:hint="eastAsia" w:ascii="Times New Roman"/>
          <w:sz w:val="24"/>
          <w:szCs w:val="24"/>
        </w:rPr>
        <w:t>的亚临界抽汽凝汽式汽轮机。脱硫采用海水脱硫工艺，脱硝采用</w:t>
      </w:r>
      <w:r>
        <w:rPr>
          <w:rFonts w:ascii="Times New Roman"/>
          <w:sz w:val="24"/>
          <w:szCs w:val="24"/>
        </w:rPr>
        <w:t>SCR</w:t>
      </w:r>
      <w:r>
        <w:rPr>
          <w:rFonts w:hint="eastAsia" w:ascii="Times New Roman"/>
          <w:sz w:val="24"/>
          <w:szCs w:val="24"/>
        </w:rPr>
        <w:t>工艺，锅炉烟气采用干法除尘方式。</w:t>
      </w:r>
      <w:r>
        <w:rPr>
          <w:rFonts w:ascii="Times New Roman"/>
          <w:sz w:val="24"/>
          <w:szCs w:val="24"/>
        </w:rPr>
        <w:t>2015</w:t>
      </w:r>
      <w:r>
        <w:rPr>
          <w:rFonts w:hint="eastAsia" w:ascii="Times New Roman"/>
          <w:sz w:val="24"/>
          <w:szCs w:val="24"/>
        </w:rPr>
        <w:t>年投资</w:t>
      </w:r>
      <w:r>
        <w:rPr>
          <w:rFonts w:ascii="Times New Roman"/>
          <w:sz w:val="24"/>
          <w:szCs w:val="24"/>
        </w:rPr>
        <w:t>508</w:t>
      </w:r>
      <w:r>
        <w:rPr>
          <w:rFonts w:hint="eastAsia" w:ascii="Times New Roman"/>
          <w:sz w:val="24"/>
          <w:szCs w:val="24"/>
        </w:rPr>
        <w:t>万</w:t>
      </w:r>
      <w:r>
        <w:rPr>
          <w:rFonts w:ascii="Times New Roman"/>
          <w:sz w:val="24"/>
          <w:szCs w:val="24"/>
        </w:rPr>
        <w:t>2#</w:t>
      </w:r>
      <w:r>
        <w:rPr>
          <w:rFonts w:hint="eastAsia" w:ascii="Times New Roman"/>
          <w:sz w:val="24"/>
          <w:szCs w:val="24"/>
        </w:rPr>
        <w:t>机组完成脱硝超低排放改造，实现燃煤机组超低排放。</w:t>
      </w:r>
    </w:p>
    <w:p w14:paraId="3ABA4CED">
      <w:pPr>
        <w:autoSpaceDE w:val="0"/>
        <w:autoSpaceDN w:val="0"/>
        <w:adjustRightInd w:val="0"/>
        <w:spacing w:line="360" w:lineRule="auto"/>
        <w:ind w:firstLine="480" w:firstLineChars="200"/>
        <w:rPr>
          <w:rFonts w:ascii="Times New Roman"/>
          <w:bCs/>
          <w:sz w:val="24"/>
          <w:szCs w:val="24"/>
        </w:rPr>
      </w:pPr>
      <w:r>
        <w:rPr>
          <w:rFonts w:hint="eastAsia" w:ascii="Times New Roman"/>
          <w:bCs/>
          <w:sz w:val="24"/>
          <w:szCs w:val="24"/>
        </w:rPr>
        <w:t>项目厂区供电由园区供电网络接入，厂区建设变电所，设置4台160KVA的变压器、2台2500KVA的变压器，可满足项目需求。</w:t>
      </w:r>
    </w:p>
    <w:p w14:paraId="0CB6D61F">
      <w:pPr>
        <w:autoSpaceDE w:val="0"/>
        <w:autoSpaceDN w:val="0"/>
        <w:adjustRightInd w:val="0"/>
        <w:spacing w:line="360" w:lineRule="auto"/>
        <w:ind w:firstLine="480" w:firstLineChars="200"/>
        <w:jc w:val="left"/>
        <w:rPr>
          <w:rFonts w:ascii="Times New Roman"/>
          <w:sz w:val="24"/>
          <w:szCs w:val="24"/>
        </w:rPr>
      </w:pPr>
      <w:r>
        <w:rPr>
          <w:rFonts w:hint="eastAsia" w:ascii="Times New Roman"/>
          <w:sz w:val="24"/>
          <w:szCs w:val="24"/>
        </w:rPr>
        <w:t>（4）供热供气</w:t>
      </w:r>
    </w:p>
    <w:p w14:paraId="7963B4FB">
      <w:pPr>
        <w:autoSpaceDE w:val="0"/>
        <w:autoSpaceDN w:val="0"/>
        <w:adjustRightInd w:val="0"/>
        <w:spacing w:line="360" w:lineRule="auto"/>
        <w:ind w:firstLine="480" w:firstLineChars="200"/>
        <w:rPr>
          <w:rFonts w:ascii="Times New Roman"/>
          <w:sz w:val="24"/>
          <w:szCs w:val="24"/>
        </w:rPr>
      </w:pPr>
      <w:r>
        <w:rPr>
          <w:rFonts w:ascii="Times New Roman"/>
          <w:bCs/>
          <w:kern w:val="0"/>
          <w:sz w:val="24"/>
          <w:szCs w:val="24"/>
        </w:rPr>
        <w:t>目前工业区以集中供热为主，个别企业自供，共有锅炉</w:t>
      </w:r>
      <w:r>
        <w:rPr>
          <w:rFonts w:ascii="Times New Roman" w:eastAsia="TimesNewRomanPSMT"/>
          <w:bCs/>
          <w:kern w:val="0"/>
          <w:sz w:val="24"/>
          <w:szCs w:val="24"/>
        </w:rPr>
        <w:t>14</w:t>
      </w:r>
      <w:r>
        <w:rPr>
          <w:rFonts w:ascii="Times New Roman"/>
          <w:bCs/>
          <w:kern w:val="0"/>
          <w:sz w:val="24"/>
          <w:szCs w:val="24"/>
        </w:rPr>
        <w:t>台，合计</w:t>
      </w:r>
      <w:r>
        <w:rPr>
          <w:rFonts w:ascii="Times New Roman" w:eastAsia="TimesNewRomanPSMT"/>
          <w:bCs/>
          <w:kern w:val="0"/>
          <w:sz w:val="24"/>
          <w:szCs w:val="24"/>
        </w:rPr>
        <w:t>4277t/h</w:t>
      </w:r>
      <w:r>
        <w:rPr>
          <w:rFonts w:ascii="Times New Roman"/>
          <w:bCs/>
          <w:kern w:val="0"/>
          <w:sz w:val="24"/>
          <w:szCs w:val="24"/>
        </w:rPr>
        <w:t>。其中</w:t>
      </w:r>
      <w:r>
        <w:rPr>
          <w:rFonts w:ascii="Times New Roman" w:eastAsia="TimesNewRomanPSMT"/>
          <w:bCs/>
          <w:kern w:val="0"/>
          <w:sz w:val="24"/>
          <w:szCs w:val="24"/>
        </w:rPr>
        <w:t>35t/h</w:t>
      </w:r>
      <w:r>
        <w:rPr>
          <w:rFonts w:ascii="Times New Roman"/>
          <w:bCs/>
          <w:kern w:val="0"/>
          <w:sz w:val="24"/>
          <w:szCs w:val="24"/>
        </w:rPr>
        <w:t>以上锅炉</w:t>
      </w:r>
      <w:r>
        <w:rPr>
          <w:rFonts w:ascii="Times New Roman" w:eastAsia="TimesNewRomanPSMT"/>
          <w:bCs/>
          <w:kern w:val="0"/>
          <w:sz w:val="24"/>
          <w:szCs w:val="24"/>
        </w:rPr>
        <w:t>6</w:t>
      </w:r>
      <w:r>
        <w:rPr>
          <w:rFonts w:ascii="Times New Roman"/>
          <w:bCs/>
          <w:kern w:val="0"/>
          <w:sz w:val="24"/>
          <w:szCs w:val="24"/>
        </w:rPr>
        <w:t>台（</w:t>
      </w:r>
      <w:r>
        <w:rPr>
          <w:rFonts w:ascii="Times New Roman" w:eastAsia="TimesNewRomanPSMT"/>
          <w:bCs/>
          <w:kern w:val="0"/>
          <w:sz w:val="24"/>
          <w:szCs w:val="24"/>
        </w:rPr>
        <w:t>4</w:t>
      </w:r>
      <w:r>
        <w:rPr>
          <w:rFonts w:ascii="Times New Roman"/>
          <w:bCs/>
          <w:kern w:val="0"/>
          <w:sz w:val="24"/>
          <w:szCs w:val="24"/>
        </w:rPr>
        <w:t>台热电厂锅炉及中粮、龙成生产用锅炉）；除龙成外，其余</w:t>
      </w:r>
      <w:r>
        <w:rPr>
          <w:rFonts w:ascii="Times New Roman" w:eastAsia="TimesNewRomanPSMT"/>
          <w:bCs/>
          <w:kern w:val="0"/>
          <w:sz w:val="24"/>
          <w:szCs w:val="24"/>
        </w:rPr>
        <w:t>5</w:t>
      </w:r>
      <w:r>
        <w:rPr>
          <w:rFonts w:ascii="Times New Roman"/>
          <w:bCs/>
          <w:kern w:val="0"/>
          <w:sz w:val="24"/>
          <w:szCs w:val="24"/>
        </w:rPr>
        <w:t>台大型锅炉以燃煤为原料，均配有完备的脱硫脱硝除尘设施，其中首钢自备电厂及华润电厂已达到超低排放标准。其余锅炉燃料为天然气或生物质</w:t>
      </w:r>
      <w:r>
        <w:rPr>
          <w:rFonts w:hint="eastAsia" w:ascii="Times New Roman"/>
          <w:sz w:val="24"/>
          <w:szCs w:val="24"/>
        </w:rPr>
        <w:t>。</w:t>
      </w:r>
    </w:p>
    <w:p w14:paraId="304B1604">
      <w:pPr>
        <w:autoSpaceDE w:val="0"/>
        <w:autoSpaceDN w:val="0"/>
        <w:adjustRightInd w:val="0"/>
        <w:spacing w:line="360" w:lineRule="auto"/>
        <w:ind w:firstLine="480" w:firstLineChars="200"/>
        <w:rPr>
          <w:rFonts w:ascii="Times New Roman"/>
          <w:b/>
          <w:sz w:val="24"/>
          <w:szCs w:val="24"/>
        </w:rPr>
        <w:sectPr>
          <w:pgSz w:w="11906" w:h="16838"/>
          <w:pgMar w:top="1440" w:right="1800" w:bottom="1440" w:left="1800" w:header="1134" w:footer="1134" w:gutter="0"/>
          <w:cols w:space="720" w:num="1"/>
          <w:docGrid w:type="lines" w:linePitch="340" w:charSpace="0"/>
        </w:sectPr>
      </w:pPr>
      <w:r>
        <w:rPr>
          <w:rFonts w:hint="eastAsia" w:ascii="Times New Roman"/>
          <w:bCs/>
          <w:sz w:val="24"/>
          <w:szCs w:val="24"/>
        </w:rPr>
        <w:t>项目厂区采用天然气燃烧炉为生产线提供生产用热；冬季供暖采用地源热泵，可满足项目需求。</w:t>
      </w:r>
    </w:p>
    <w:p w14:paraId="180FC396">
      <w:pPr>
        <w:pStyle w:val="5"/>
        <w:numPr>
          <w:ilvl w:val="2"/>
          <w:numId w:val="0"/>
        </w:numPr>
        <w:spacing w:before="0" w:after="0" w:line="360" w:lineRule="auto"/>
        <w:rPr>
          <w:sz w:val="28"/>
          <w:szCs w:val="28"/>
        </w:rPr>
      </w:pPr>
      <w:r>
        <w:rPr>
          <w:sz w:val="28"/>
          <w:szCs w:val="28"/>
        </w:rPr>
        <w:t>2.9.5其他产业政策分析</w:t>
      </w:r>
    </w:p>
    <w:p w14:paraId="4AC8D128">
      <w:pPr>
        <w:autoSpaceDE w:val="0"/>
        <w:autoSpaceDN w:val="0"/>
        <w:adjustRightInd w:val="0"/>
        <w:spacing w:line="360" w:lineRule="auto"/>
        <w:jc w:val="center"/>
        <w:rPr>
          <w:rFonts w:ascii="Times New Roman"/>
          <w:b/>
          <w:bCs/>
          <w:sz w:val="24"/>
          <w:szCs w:val="20"/>
        </w:rPr>
      </w:pPr>
      <w:r>
        <w:rPr>
          <w:rFonts w:hint="eastAsia" w:ascii="Times New Roman"/>
          <w:b/>
          <w:sz w:val="24"/>
          <w:szCs w:val="24"/>
        </w:rPr>
        <w:t>表</w:t>
      </w:r>
      <w:r>
        <w:rPr>
          <w:rFonts w:ascii="Times New Roman"/>
          <w:b/>
          <w:sz w:val="24"/>
          <w:szCs w:val="24"/>
        </w:rPr>
        <w:t>2.9</w:t>
      </w:r>
      <w:r>
        <w:rPr>
          <w:rFonts w:ascii="Times New Roman"/>
          <w:b/>
          <w:sz w:val="24"/>
          <w:szCs w:val="24"/>
        </w:rPr>
        <w:noBreakHyphen/>
      </w:r>
      <w:r>
        <w:rPr>
          <w:rFonts w:hint="eastAsia" w:ascii="Times New Roman"/>
          <w:b/>
          <w:sz w:val="24"/>
          <w:szCs w:val="24"/>
        </w:rPr>
        <w:t>9</w:t>
      </w:r>
      <w:r>
        <w:rPr>
          <w:rFonts w:ascii="Times New Roman"/>
          <w:b/>
          <w:bCs/>
          <w:sz w:val="22"/>
          <w:szCs w:val="18"/>
        </w:rPr>
        <w:t xml:space="preserve"> </w:t>
      </w:r>
      <w:r>
        <w:rPr>
          <w:rFonts w:ascii="Times New Roman"/>
          <w:b/>
          <w:bCs/>
          <w:sz w:val="24"/>
          <w:szCs w:val="20"/>
        </w:rPr>
        <w:t xml:space="preserve"> 本项目与</w:t>
      </w:r>
      <w:r>
        <w:rPr>
          <w:rFonts w:hint="eastAsia" w:ascii="Times New Roman"/>
          <w:b/>
          <w:bCs/>
          <w:sz w:val="24"/>
          <w:szCs w:val="20"/>
        </w:rPr>
        <w:t>相关</w:t>
      </w:r>
      <w:r>
        <w:rPr>
          <w:rFonts w:ascii="Times New Roman"/>
          <w:b/>
          <w:bCs/>
          <w:sz w:val="24"/>
          <w:szCs w:val="20"/>
        </w:rPr>
        <w:t>污染防治政策的符合性</w:t>
      </w:r>
    </w:p>
    <w:tbl>
      <w:tblPr>
        <w:tblStyle w:val="84"/>
        <w:tblW w:w="50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6"/>
        <w:gridCol w:w="3403"/>
        <w:gridCol w:w="2823"/>
        <w:gridCol w:w="904"/>
      </w:tblGrid>
      <w:tr w14:paraId="0149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5" w:type="pct"/>
            <w:gridSpan w:val="2"/>
            <w:tcBorders>
              <w:top w:val="single" w:color="auto" w:sz="4" w:space="0"/>
              <w:left w:val="single" w:color="auto" w:sz="4" w:space="0"/>
              <w:bottom w:val="single" w:color="auto" w:sz="4" w:space="0"/>
              <w:right w:val="single" w:color="auto" w:sz="4" w:space="0"/>
            </w:tcBorders>
            <w:vAlign w:val="center"/>
          </w:tcPr>
          <w:p w14:paraId="2D9EFEAF">
            <w:pPr>
              <w:jc w:val="center"/>
              <w:rPr>
                <w:rFonts w:ascii="Times New Roman"/>
                <w:sz w:val="21"/>
                <w:szCs w:val="21"/>
              </w:rPr>
            </w:pPr>
            <w:r>
              <w:rPr>
                <w:rFonts w:ascii="Times New Roman"/>
                <w:bCs/>
                <w:sz w:val="21"/>
                <w:szCs w:val="21"/>
              </w:rPr>
              <w:t>其他相关环保政策</w:t>
            </w:r>
          </w:p>
        </w:tc>
        <w:tc>
          <w:tcPr>
            <w:tcW w:w="1677" w:type="pct"/>
            <w:tcBorders>
              <w:top w:val="single" w:color="auto" w:sz="4" w:space="0"/>
              <w:left w:val="single" w:color="auto" w:sz="4" w:space="0"/>
              <w:bottom w:val="single" w:color="auto" w:sz="4" w:space="0"/>
              <w:right w:val="single" w:color="auto" w:sz="4" w:space="0"/>
            </w:tcBorders>
            <w:vAlign w:val="center"/>
          </w:tcPr>
          <w:p w14:paraId="4D1B0AA9">
            <w:pPr>
              <w:jc w:val="center"/>
              <w:rPr>
                <w:rFonts w:ascii="Times New Roman"/>
                <w:sz w:val="21"/>
                <w:szCs w:val="21"/>
              </w:rPr>
            </w:pPr>
            <w:r>
              <w:rPr>
                <w:rFonts w:ascii="Times New Roman"/>
                <w:sz w:val="21"/>
                <w:szCs w:val="21"/>
              </w:rPr>
              <w:t>本项目情况</w:t>
            </w:r>
          </w:p>
        </w:tc>
        <w:tc>
          <w:tcPr>
            <w:tcW w:w="537" w:type="pct"/>
            <w:tcBorders>
              <w:top w:val="single" w:color="auto" w:sz="4" w:space="0"/>
              <w:left w:val="single" w:color="auto" w:sz="4" w:space="0"/>
              <w:bottom w:val="single" w:color="auto" w:sz="4" w:space="0"/>
              <w:right w:val="single" w:color="auto" w:sz="4" w:space="0"/>
            </w:tcBorders>
            <w:vAlign w:val="center"/>
          </w:tcPr>
          <w:p w14:paraId="3DF5C7BD">
            <w:pPr>
              <w:jc w:val="center"/>
              <w:rPr>
                <w:rFonts w:ascii="Times New Roman"/>
                <w:sz w:val="21"/>
                <w:szCs w:val="21"/>
              </w:rPr>
            </w:pPr>
            <w:r>
              <w:rPr>
                <w:rFonts w:ascii="Times New Roman"/>
                <w:sz w:val="21"/>
                <w:szCs w:val="21"/>
              </w:rPr>
              <w:t>符合性</w:t>
            </w:r>
          </w:p>
        </w:tc>
      </w:tr>
      <w:tr w14:paraId="7F54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restart"/>
            <w:tcBorders>
              <w:top w:val="single" w:color="auto" w:sz="4" w:space="0"/>
              <w:left w:val="single" w:color="auto" w:sz="4" w:space="0"/>
              <w:right w:val="single" w:color="auto" w:sz="4" w:space="0"/>
            </w:tcBorders>
            <w:vAlign w:val="center"/>
          </w:tcPr>
          <w:p w14:paraId="5A902E24">
            <w:pPr>
              <w:jc w:val="center"/>
              <w:rPr>
                <w:rFonts w:ascii="Times New Roman"/>
                <w:bCs/>
                <w:sz w:val="21"/>
                <w:szCs w:val="21"/>
              </w:rPr>
            </w:pPr>
            <w:r>
              <w:rPr>
                <w:rFonts w:hint="eastAsia" w:ascii="Times New Roman"/>
                <w:bCs/>
                <w:sz w:val="21"/>
                <w:szCs w:val="21"/>
              </w:rPr>
              <w:t>国务院关于印发《空气质量持续改善行动计划》的通知，国发〔2023〕24号</w:t>
            </w:r>
          </w:p>
        </w:tc>
        <w:tc>
          <w:tcPr>
            <w:tcW w:w="2020" w:type="pct"/>
            <w:tcBorders>
              <w:top w:val="single" w:color="auto" w:sz="4" w:space="0"/>
              <w:left w:val="single" w:color="auto" w:sz="4" w:space="0"/>
              <w:bottom w:val="single" w:color="auto" w:sz="4" w:space="0"/>
              <w:right w:val="single" w:color="auto" w:sz="4" w:space="0"/>
            </w:tcBorders>
            <w:vAlign w:val="center"/>
          </w:tcPr>
          <w:p w14:paraId="490EB823">
            <w:pPr>
              <w:jc w:val="center"/>
              <w:rPr>
                <w:rFonts w:ascii="Times New Roman"/>
                <w:bCs/>
                <w:sz w:val="21"/>
                <w:szCs w:val="21"/>
              </w:rPr>
            </w:pPr>
            <w:r>
              <w:rPr>
                <w:rFonts w:hint="eastAsia" w:ascii="Times New Roman"/>
                <w:bCs/>
                <w:sz w:val="21"/>
                <w:szCs w:val="21"/>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677" w:type="pct"/>
            <w:tcBorders>
              <w:top w:val="single" w:color="auto" w:sz="4" w:space="0"/>
              <w:left w:val="single" w:color="auto" w:sz="4" w:space="0"/>
              <w:right w:val="single" w:color="auto" w:sz="4" w:space="0"/>
            </w:tcBorders>
            <w:vAlign w:val="center"/>
          </w:tcPr>
          <w:p w14:paraId="292995B1">
            <w:pPr>
              <w:jc w:val="center"/>
              <w:rPr>
                <w:rFonts w:ascii="Times New Roman"/>
                <w:sz w:val="21"/>
                <w:szCs w:val="21"/>
              </w:rPr>
            </w:pPr>
            <w:r>
              <w:rPr>
                <w:rFonts w:hint="eastAsia" w:ascii="Times New Roman"/>
                <w:bCs/>
                <w:sz w:val="21"/>
                <w:szCs w:val="21"/>
              </w:rPr>
              <w:t>本项目厂区位于曹妃甸循环经济示范区装备园区，所属行业为C3434连续搬运设备制造</w:t>
            </w:r>
            <w:r>
              <w:rPr>
                <w:rFonts w:ascii="Times New Roman"/>
                <w:sz w:val="21"/>
                <w:szCs w:val="21"/>
              </w:rPr>
              <w:t>，发展方向与园区规划相符。曹妃甸</w:t>
            </w:r>
            <w:r>
              <w:rPr>
                <w:rFonts w:hint="eastAsia" w:ascii="Times New Roman"/>
                <w:bCs/>
                <w:sz w:val="21"/>
                <w:szCs w:val="21"/>
              </w:rPr>
              <w:t>装备制造园区</w:t>
            </w:r>
            <w:r>
              <w:rPr>
                <w:rFonts w:ascii="Times New Roman"/>
                <w:sz w:val="21"/>
                <w:szCs w:val="21"/>
              </w:rPr>
              <w:t>管理委员会</w:t>
            </w:r>
            <w:r>
              <w:rPr>
                <w:rFonts w:hint="eastAsia" w:ascii="Times New Roman"/>
                <w:sz w:val="21"/>
                <w:szCs w:val="21"/>
              </w:rPr>
              <w:t>同意企业建设。</w:t>
            </w:r>
            <w:r>
              <w:rPr>
                <w:rFonts w:ascii="Times New Roman"/>
                <w:kern w:val="0"/>
                <w:sz w:val="21"/>
                <w:szCs w:val="18"/>
              </w:rPr>
              <w:t>项目对排放的污染物根据当地环保现行要求进行控制。区域随着唐字〔2022〕2号“退后十”方案的实施，区域颗粒物、</w:t>
            </w:r>
            <w:r>
              <w:rPr>
                <w:rFonts w:hint="eastAsia" w:ascii="Times New Roman"/>
                <w:kern w:val="0"/>
                <w:sz w:val="21"/>
                <w:szCs w:val="18"/>
              </w:rPr>
              <w:t>二氧化硫、</w:t>
            </w:r>
            <w:r>
              <w:rPr>
                <w:rFonts w:ascii="Times New Roman"/>
                <w:kern w:val="0"/>
                <w:sz w:val="21"/>
                <w:szCs w:val="18"/>
              </w:rPr>
              <w:t>氮氧化物等污染物排放量将逐渐减少，环境逐步改善。</w:t>
            </w:r>
          </w:p>
        </w:tc>
        <w:tc>
          <w:tcPr>
            <w:tcW w:w="537" w:type="pct"/>
            <w:tcBorders>
              <w:top w:val="single" w:color="auto" w:sz="4" w:space="0"/>
              <w:left w:val="single" w:color="auto" w:sz="4" w:space="0"/>
              <w:bottom w:val="single" w:color="auto" w:sz="4" w:space="0"/>
              <w:right w:val="single" w:color="auto" w:sz="4" w:space="0"/>
            </w:tcBorders>
            <w:vAlign w:val="center"/>
          </w:tcPr>
          <w:p w14:paraId="23564DEE">
            <w:pPr>
              <w:jc w:val="center"/>
              <w:rPr>
                <w:rFonts w:ascii="Times New Roman"/>
                <w:sz w:val="21"/>
                <w:szCs w:val="21"/>
              </w:rPr>
            </w:pPr>
            <w:r>
              <w:rPr>
                <w:rFonts w:hint="eastAsia" w:ascii="Times New Roman"/>
                <w:sz w:val="21"/>
                <w:szCs w:val="21"/>
              </w:rPr>
              <w:t>符合</w:t>
            </w:r>
          </w:p>
        </w:tc>
      </w:tr>
      <w:tr w14:paraId="3E56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continue"/>
            <w:tcBorders>
              <w:left w:val="single" w:color="auto" w:sz="4" w:space="0"/>
              <w:bottom w:val="single" w:color="auto" w:sz="4" w:space="0"/>
              <w:right w:val="single" w:color="auto" w:sz="4" w:space="0"/>
            </w:tcBorders>
            <w:vAlign w:val="center"/>
          </w:tcPr>
          <w:p w14:paraId="1FDF8905">
            <w:pPr>
              <w:jc w:val="center"/>
              <w:rPr>
                <w:rFonts w:ascii="Times New Roman"/>
                <w:bCs/>
                <w:sz w:val="21"/>
                <w:szCs w:val="21"/>
              </w:rPr>
            </w:pPr>
          </w:p>
        </w:tc>
        <w:tc>
          <w:tcPr>
            <w:tcW w:w="2020" w:type="pct"/>
            <w:tcBorders>
              <w:top w:val="single" w:color="auto" w:sz="4" w:space="0"/>
              <w:left w:val="single" w:color="auto" w:sz="4" w:space="0"/>
              <w:bottom w:val="single" w:color="auto" w:sz="4" w:space="0"/>
              <w:right w:val="single" w:color="auto" w:sz="4" w:space="0"/>
            </w:tcBorders>
            <w:vAlign w:val="center"/>
          </w:tcPr>
          <w:p w14:paraId="298FE2FC">
            <w:pPr>
              <w:jc w:val="center"/>
              <w:rPr>
                <w:rFonts w:ascii="Times New Roman"/>
                <w:bCs/>
                <w:sz w:val="21"/>
                <w:szCs w:val="21"/>
              </w:rPr>
            </w:pPr>
            <w:r>
              <w:rPr>
                <w:rFonts w:hint="eastAsia" w:ascii="Times New Roman"/>
                <w:bCs/>
                <w:sz w:val="21"/>
                <w:szCs w:val="21"/>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677" w:type="pct"/>
            <w:tcBorders>
              <w:top w:val="single" w:color="auto" w:sz="4" w:space="0"/>
              <w:left w:val="single" w:color="auto" w:sz="4" w:space="0"/>
              <w:right w:val="single" w:color="auto" w:sz="4" w:space="0"/>
            </w:tcBorders>
            <w:vAlign w:val="center"/>
          </w:tcPr>
          <w:p w14:paraId="45C0D340">
            <w:pPr>
              <w:jc w:val="center"/>
              <w:rPr>
                <w:rFonts w:ascii="Times New Roman"/>
                <w:bCs/>
                <w:sz w:val="21"/>
                <w:szCs w:val="21"/>
              </w:rPr>
            </w:pPr>
            <w:r>
              <w:rPr>
                <w:rFonts w:hint="eastAsia" w:ascii="Times New Roman" w:cs="宋体"/>
                <w:kern w:val="0"/>
                <w:sz w:val="21"/>
                <w:szCs w:val="24"/>
              </w:rPr>
              <w:t>根据企业提供的挥发性有机化合物含量检验报告，本项目使用丙烯酸聚氨酯面漆</w:t>
            </w:r>
            <w:r>
              <w:rPr>
                <w:rFonts w:ascii="Times New Roman" w:cs="宋体"/>
                <w:kern w:val="0"/>
                <w:sz w:val="21"/>
                <w:szCs w:val="24"/>
              </w:rPr>
              <w:t>VOC</w:t>
            </w:r>
            <w:r>
              <w:rPr>
                <w:rFonts w:hint="eastAsia" w:ascii="Times New Roman" w:cs="宋体"/>
                <w:kern w:val="0"/>
                <w:sz w:val="21"/>
                <w:szCs w:val="24"/>
              </w:rPr>
              <w:t>最大含量392</w:t>
            </w:r>
            <w:r>
              <w:rPr>
                <w:rFonts w:ascii="Times New Roman" w:cs="宋体"/>
                <w:kern w:val="0"/>
                <w:sz w:val="21"/>
                <w:szCs w:val="24"/>
              </w:rPr>
              <w:t>g/L</w:t>
            </w:r>
            <w:r>
              <w:rPr>
                <w:rFonts w:hint="eastAsia" w:ascii="Times New Roman" w:cs="宋体"/>
                <w:kern w:val="0"/>
                <w:sz w:val="21"/>
                <w:szCs w:val="24"/>
              </w:rPr>
              <w:t>≤480</w:t>
            </w:r>
            <w:r>
              <w:rPr>
                <w:rFonts w:ascii="Times New Roman" w:cs="宋体"/>
                <w:kern w:val="0"/>
                <w:sz w:val="21"/>
                <w:szCs w:val="24"/>
              </w:rPr>
              <w:t>g/</w:t>
            </w:r>
            <w:r>
              <w:rPr>
                <w:rFonts w:hint="eastAsia" w:ascii="Times New Roman" w:cs="宋体"/>
                <w:kern w:val="0"/>
                <w:sz w:val="21"/>
                <w:szCs w:val="24"/>
              </w:rPr>
              <w:t>L，</w:t>
            </w:r>
            <w:r>
              <w:rPr>
                <w:rFonts w:ascii="Times New Roman" w:cs="宋体"/>
                <w:kern w:val="0"/>
                <w:sz w:val="21"/>
                <w:szCs w:val="24"/>
              </w:rPr>
              <w:t>VOC</w:t>
            </w:r>
            <w:r>
              <w:rPr>
                <w:rFonts w:hint="eastAsia" w:ascii="Times New Roman" w:cs="宋体"/>
                <w:kern w:val="0"/>
                <w:sz w:val="21"/>
                <w:szCs w:val="24"/>
              </w:rPr>
              <w:t>含量符合《低挥发性有机化合物含量涂料产品技术要求》（GB/T38597-2020）。</w:t>
            </w:r>
          </w:p>
        </w:tc>
        <w:tc>
          <w:tcPr>
            <w:tcW w:w="537" w:type="pct"/>
            <w:tcBorders>
              <w:top w:val="single" w:color="auto" w:sz="4" w:space="0"/>
              <w:left w:val="single" w:color="auto" w:sz="4" w:space="0"/>
              <w:bottom w:val="single" w:color="auto" w:sz="4" w:space="0"/>
              <w:right w:val="single" w:color="auto" w:sz="4" w:space="0"/>
            </w:tcBorders>
            <w:vAlign w:val="center"/>
          </w:tcPr>
          <w:p w14:paraId="730CB3FE">
            <w:pPr>
              <w:jc w:val="center"/>
              <w:rPr>
                <w:rFonts w:ascii="Times New Roman"/>
                <w:sz w:val="21"/>
                <w:szCs w:val="21"/>
              </w:rPr>
            </w:pPr>
            <w:r>
              <w:rPr>
                <w:rFonts w:hint="eastAsia" w:ascii="Times New Roman"/>
                <w:sz w:val="21"/>
                <w:szCs w:val="21"/>
              </w:rPr>
              <w:t>符合</w:t>
            </w:r>
          </w:p>
        </w:tc>
      </w:tr>
      <w:tr w14:paraId="2563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24E67467">
            <w:pPr>
              <w:jc w:val="center"/>
              <w:rPr>
                <w:rFonts w:ascii="Times New Roman"/>
                <w:bCs/>
                <w:sz w:val="21"/>
                <w:szCs w:val="21"/>
              </w:rPr>
            </w:pPr>
            <w:r>
              <w:rPr>
                <w:rFonts w:ascii="Times New Roman"/>
                <w:bCs/>
                <w:sz w:val="21"/>
                <w:szCs w:val="21"/>
              </w:rPr>
              <w:t>《水污染防治行动计划》</w:t>
            </w:r>
            <w:r>
              <w:rPr>
                <w:rFonts w:hint="eastAsia" w:ascii="Times New Roman"/>
                <w:bCs/>
                <w:sz w:val="21"/>
                <w:szCs w:val="21"/>
              </w:rPr>
              <w:t>，国发〔2015〕17号</w:t>
            </w:r>
          </w:p>
        </w:tc>
        <w:tc>
          <w:tcPr>
            <w:tcW w:w="2020" w:type="pct"/>
            <w:tcBorders>
              <w:top w:val="single" w:color="auto" w:sz="4" w:space="0"/>
              <w:left w:val="single" w:color="auto" w:sz="4" w:space="0"/>
              <w:bottom w:val="single" w:color="auto" w:sz="4" w:space="0"/>
              <w:right w:val="single" w:color="auto" w:sz="4" w:space="0"/>
            </w:tcBorders>
            <w:vAlign w:val="center"/>
          </w:tcPr>
          <w:p w14:paraId="688CB548">
            <w:pPr>
              <w:jc w:val="center"/>
              <w:rPr>
                <w:rFonts w:ascii="Times New Roman"/>
                <w:bCs/>
                <w:sz w:val="21"/>
                <w:szCs w:val="21"/>
              </w:rPr>
            </w:pPr>
            <w:r>
              <w:rPr>
                <w:rFonts w:ascii="Times New Roman"/>
                <w:bCs/>
                <w:sz w:val="21"/>
                <w:szCs w:val="21"/>
              </w:rPr>
              <w:t>集中治理工业集聚区水污染。强化经济技术开发区、高新技术产业开发区、出口加工区等工业集聚区污染治理。集聚区内工业废水必须经预处理达到集中处理要求，方可进入污水集中处理设施</w:t>
            </w:r>
          </w:p>
        </w:tc>
        <w:tc>
          <w:tcPr>
            <w:tcW w:w="1677" w:type="pct"/>
            <w:vMerge w:val="restart"/>
            <w:tcBorders>
              <w:top w:val="single" w:color="auto" w:sz="4" w:space="0"/>
              <w:left w:val="single" w:color="auto" w:sz="4" w:space="0"/>
              <w:right w:val="single" w:color="auto" w:sz="4" w:space="0"/>
            </w:tcBorders>
            <w:vAlign w:val="center"/>
          </w:tcPr>
          <w:p w14:paraId="58D83190">
            <w:pPr>
              <w:jc w:val="center"/>
              <w:rPr>
                <w:rFonts w:ascii="Times New Roman"/>
                <w:sz w:val="21"/>
                <w:szCs w:val="21"/>
              </w:rPr>
            </w:pPr>
            <w:r>
              <w:rPr>
                <w:rFonts w:ascii="Times New Roman"/>
                <w:sz w:val="21"/>
                <w:szCs w:val="21"/>
              </w:rPr>
              <w:t>项目</w:t>
            </w:r>
            <w:r>
              <w:rPr>
                <w:rFonts w:hint="eastAsia" w:ascii="Times New Roman"/>
                <w:sz w:val="21"/>
                <w:szCs w:val="21"/>
              </w:rPr>
              <w:t>废水经自建污水处理设施处理达标后经市政污水管网排入</w:t>
            </w:r>
            <w:r>
              <w:rPr>
                <w:rFonts w:ascii="Times New Roman"/>
                <w:bCs/>
                <w:sz w:val="21"/>
                <w:szCs w:val="21"/>
              </w:rPr>
              <w:t>厂区污水处理</w:t>
            </w:r>
            <w:r>
              <w:rPr>
                <w:rFonts w:hint="eastAsia" w:ascii="Times New Roman"/>
                <w:bCs/>
                <w:sz w:val="21"/>
                <w:szCs w:val="21"/>
              </w:rPr>
              <w:t>站</w:t>
            </w:r>
            <w:r>
              <w:rPr>
                <w:rFonts w:ascii="Times New Roman"/>
                <w:bCs/>
                <w:sz w:val="21"/>
                <w:szCs w:val="21"/>
              </w:rPr>
              <w:t>处理达标后</w:t>
            </w:r>
            <w:r>
              <w:rPr>
                <w:rFonts w:hint="eastAsia" w:ascii="Times New Roman"/>
                <w:bCs/>
                <w:sz w:val="21"/>
                <w:szCs w:val="21"/>
              </w:rPr>
              <w:t>排入曹妃甸装备制造区污水处理站</w:t>
            </w:r>
            <w:r>
              <w:rPr>
                <w:rFonts w:ascii="Times New Roman"/>
                <w:sz w:val="21"/>
                <w:szCs w:val="21"/>
              </w:rPr>
              <w:t>。</w:t>
            </w:r>
          </w:p>
        </w:tc>
        <w:tc>
          <w:tcPr>
            <w:tcW w:w="537" w:type="pct"/>
            <w:tcBorders>
              <w:top w:val="single" w:color="auto" w:sz="4" w:space="0"/>
              <w:left w:val="single" w:color="auto" w:sz="4" w:space="0"/>
              <w:bottom w:val="single" w:color="auto" w:sz="4" w:space="0"/>
              <w:right w:val="single" w:color="auto" w:sz="4" w:space="0"/>
            </w:tcBorders>
            <w:vAlign w:val="center"/>
          </w:tcPr>
          <w:p w14:paraId="53806306">
            <w:pPr>
              <w:jc w:val="center"/>
              <w:rPr>
                <w:rFonts w:ascii="Times New Roman"/>
                <w:sz w:val="21"/>
                <w:szCs w:val="21"/>
              </w:rPr>
            </w:pPr>
            <w:r>
              <w:rPr>
                <w:rFonts w:ascii="Times New Roman"/>
                <w:sz w:val="21"/>
                <w:szCs w:val="21"/>
              </w:rPr>
              <w:t>符合</w:t>
            </w:r>
          </w:p>
        </w:tc>
      </w:tr>
      <w:tr w14:paraId="5366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16120CA7">
            <w:pPr>
              <w:rPr>
                <w:rFonts w:ascii="Times New Roman"/>
                <w:kern w:val="0"/>
                <w:sz w:val="21"/>
                <w:szCs w:val="21"/>
              </w:rPr>
            </w:pPr>
            <w:r>
              <w:rPr>
                <w:rFonts w:ascii="Times New Roman"/>
                <w:kern w:val="0"/>
                <w:sz w:val="21"/>
                <w:szCs w:val="21"/>
              </w:rPr>
              <w:t>《河北省水污染防治工作方案》</w:t>
            </w:r>
            <w:r>
              <w:rPr>
                <w:rFonts w:hint="eastAsia" w:ascii="Times New Roman"/>
                <w:kern w:val="0"/>
                <w:sz w:val="21"/>
                <w:szCs w:val="21"/>
              </w:rPr>
              <w:t>2016年9月14日</w:t>
            </w:r>
          </w:p>
        </w:tc>
        <w:tc>
          <w:tcPr>
            <w:tcW w:w="2020" w:type="pct"/>
            <w:tcBorders>
              <w:top w:val="single" w:color="auto" w:sz="4" w:space="0"/>
              <w:left w:val="single" w:color="auto" w:sz="4" w:space="0"/>
              <w:bottom w:val="single" w:color="auto" w:sz="4" w:space="0"/>
              <w:right w:val="single" w:color="auto" w:sz="4" w:space="0"/>
            </w:tcBorders>
            <w:vAlign w:val="center"/>
          </w:tcPr>
          <w:p w14:paraId="5BEAFA64">
            <w:pPr>
              <w:jc w:val="left"/>
              <w:rPr>
                <w:rFonts w:ascii="Times New Roman"/>
                <w:bCs/>
                <w:sz w:val="21"/>
                <w:szCs w:val="21"/>
              </w:rPr>
            </w:pPr>
            <w:r>
              <w:rPr>
                <w:rFonts w:hint="eastAsia" w:ascii="Times New Roman"/>
                <w:bCs/>
                <w:sz w:val="21"/>
                <w:szCs w:val="21"/>
              </w:rPr>
              <w:t>1、向污水集中处理设施排放工业废水的，应当按照国家有关规定进行预处理，达到集中处理设施处理工艺要求后方可排放。</w:t>
            </w:r>
          </w:p>
          <w:p w14:paraId="76A593F2">
            <w:pPr>
              <w:jc w:val="left"/>
              <w:rPr>
                <w:rFonts w:ascii="Times New Roman"/>
                <w:bCs/>
                <w:sz w:val="21"/>
                <w:szCs w:val="21"/>
              </w:rPr>
            </w:pPr>
            <w:r>
              <w:rPr>
                <w:rFonts w:hint="eastAsia" w:ascii="Times New Roman"/>
                <w:bCs/>
                <w:sz w:val="21"/>
                <w:szCs w:val="21"/>
              </w:rPr>
              <w:t>2、排放工业废水的企业应当采取有效措施，收集和处理产生的全部废水，防止污染环境。含有毒有害水污染物的工业废水应当分类收集和处理，不得稀释排放。</w:t>
            </w:r>
          </w:p>
        </w:tc>
        <w:tc>
          <w:tcPr>
            <w:tcW w:w="1677" w:type="pct"/>
            <w:vMerge w:val="continue"/>
            <w:tcBorders>
              <w:left w:val="single" w:color="auto" w:sz="4" w:space="0"/>
              <w:bottom w:val="single" w:color="auto" w:sz="4" w:space="0"/>
              <w:right w:val="single" w:color="auto" w:sz="4" w:space="0"/>
            </w:tcBorders>
            <w:vAlign w:val="center"/>
          </w:tcPr>
          <w:p w14:paraId="2B92017F">
            <w:pPr>
              <w:rPr>
                <w:rFonts w:ascii="Times New Roman"/>
                <w:bCs/>
                <w:sz w:val="21"/>
                <w:szCs w:val="21"/>
              </w:rPr>
            </w:pPr>
          </w:p>
        </w:tc>
        <w:tc>
          <w:tcPr>
            <w:tcW w:w="537" w:type="pct"/>
            <w:tcBorders>
              <w:top w:val="single" w:color="auto" w:sz="4" w:space="0"/>
              <w:left w:val="single" w:color="auto" w:sz="4" w:space="0"/>
              <w:bottom w:val="single" w:color="auto" w:sz="4" w:space="0"/>
              <w:right w:val="single" w:color="auto" w:sz="4" w:space="0"/>
            </w:tcBorders>
            <w:vAlign w:val="center"/>
          </w:tcPr>
          <w:p w14:paraId="48DA3859">
            <w:pPr>
              <w:jc w:val="center"/>
              <w:rPr>
                <w:rFonts w:ascii="Times New Roman"/>
                <w:sz w:val="21"/>
                <w:szCs w:val="21"/>
              </w:rPr>
            </w:pPr>
            <w:r>
              <w:rPr>
                <w:rFonts w:ascii="Times New Roman"/>
                <w:sz w:val="21"/>
                <w:szCs w:val="21"/>
              </w:rPr>
              <w:t>符合</w:t>
            </w:r>
          </w:p>
        </w:tc>
      </w:tr>
      <w:tr w14:paraId="7B6E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65996885">
            <w:pPr>
              <w:jc w:val="center"/>
              <w:rPr>
                <w:rFonts w:ascii="Times New Roman"/>
                <w:kern w:val="0"/>
                <w:sz w:val="21"/>
                <w:szCs w:val="21"/>
              </w:rPr>
            </w:pPr>
            <w:r>
              <w:rPr>
                <w:rFonts w:ascii="Times New Roman"/>
                <w:sz w:val="21"/>
                <w:szCs w:val="21"/>
              </w:rPr>
              <w:t>《关于切实加强风险防范严格环境影响评价管理的通知》，生态环境部，环发〔2012〕98号</w:t>
            </w:r>
          </w:p>
        </w:tc>
        <w:tc>
          <w:tcPr>
            <w:tcW w:w="2020" w:type="pct"/>
            <w:tcBorders>
              <w:top w:val="single" w:color="auto" w:sz="4" w:space="0"/>
              <w:left w:val="single" w:color="auto" w:sz="4" w:space="0"/>
              <w:bottom w:val="single" w:color="auto" w:sz="4" w:space="0"/>
              <w:right w:val="single" w:color="auto" w:sz="4" w:space="0"/>
            </w:tcBorders>
            <w:vAlign w:val="center"/>
          </w:tcPr>
          <w:p w14:paraId="5F8C1429">
            <w:pPr>
              <w:jc w:val="center"/>
              <w:rPr>
                <w:rFonts w:ascii="Times New Roman"/>
                <w:sz w:val="21"/>
                <w:szCs w:val="21"/>
              </w:rPr>
            </w:pPr>
            <w:r>
              <w:rPr>
                <w:rFonts w:ascii="Times New Roman"/>
                <w:bCs/>
                <w:sz w:val="21"/>
                <w:szCs w:val="21"/>
              </w:rPr>
              <w:t>化工石化、有色冶炼、制浆造纸等有可能引发环境风险的项目，在符合国家产业政策，清洁生产水平要求，满足污染物排放标准及污染物总量控制指标前提下，必须在依法设立、环境保护基础设施齐全并经规划环评的产业园区内布设</w:t>
            </w:r>
          </w:p>
        </w:tc>
        <w:tc>
          <w:tcPr>
            <w:tcW w:w="1677" w:type="pct"/>
            <w:tcBorders>
              <w:left w:val="single" w:color="auto" w:sz="4" w:space="0"/>
              <w:bottom w:val="single" w:color="auto" w:sz="4" w:space="0"/>
              <w:right w:val="single" w:color="auto" w:sz="4" w:space="0"/>
            </w:tcBorders>
            <w:vAlign w:val="center"/>
          </w:tcPr>
          <w:p w14:paraId="7C32DAB2">
            <w:pPr>
              <w:jc w:val="center"/>
              <w:rPr>
                <w:rFonts w:ascii="Times New Roman"/>
                <w:sz w:val="21"/>
                <w:szCs w:val="21"/>
              </w:rPr>
            </w:pPr>
            <w:r>
              <w:rPr>
                <w:rFonts w:ascii="Times New Roman"/>
                <w:sz w:val="21"/>
                <w:szCs w:val="21"/>
              </w:rPr>
              <w:t>项目符合国家产业政策要求，清洁生产水平处于国内先进水平，建设地点位于</w:t>
            </w:r>
            <w:r>
              <w:rPr>
                <w:rFonts w:hint="eastAsia" w:ascii="Times New Roman"/>
                <w:sz w:val="21"/>
                <w:szCs w:val="21"/>
              </w:rPr>
              <w:t>曹妃甸循环经济示范区</w:t>
            </w:r>
            <w:r>
              <w:rPr>
                <w:rFonts w:ascii="Times New Roman"/>
                <w:sz w:val="21"/>
                <w:szCs w:val="21"/>
              </w:rPr>
              <w:t>，属于</w:t>
            </w:r>
            <w:r>
              <w:rPr>
                <w:rFonts w:ascii="Times New Roman"/>
                <w:bCs/>
                <w:sz w:val="21"/>
                <w:szCs w:val="21"/>
              </w:rPr>
              <w:t>依法设立、环境保护基础设施齐全并经规划环评的产业园区范围</w:t>
            </w:r>
          </w:p>
        </w:tc>
        <w:tc>
          <w:tcPr>
            <w:tcW w:w="537" w:type="pct"/>
            <w:tcBorders>
              <w:top w:val="single" w:color="auto" w:sz="4" w:space="0"/>
              <w:left w:val="single" w:color="auto" w:sz="4" w:space="0"/>
              <w:bottom w:val="single" w:color="auto" w:sz="4" w:space="0"/>
              <w:right w:val="single" w:color="auto" w:sz="4" w:space="0"/>
            </w:tcBorders>
            <w:vAlign w:val="center"/>
          </w:tcPr>
          <w:p w14:paraId="7389BD15">
            <w:pPr>
              <w:jc w:val="center"/>
              <w:rPr>
                <w:rFonts w:ascii="Times New Roman"/>
                <w:bCs/>
                <w:sz w:val="21"/>
                <w:szCs w:val="21"/>
              </w:rPr>
            </w:pPr>
            <w:r>
              <w:rPr>
                <w:rFonts w:ascii="Times New Roman"/>
                <w:bCs/>
                <w:sz w:val="21"/>
                <w:szCs w:val="21"/>
              </w:rPr>
              <w:t>符合</w:t>
            </w:r>
          </w:p>
        </w:tc>
      </w:tr>
      <w:tr w14:paraId="2DE4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4383AE79">
            <w:pPr>
              <w:jc w:val="center"/>
              <w:rPr>
                <w:rFonts w:ascii="Times New Roman"/>
                <w:sz w:val="21"/>
                <w:szCs w:val="21"/>
              </w:rPr>
            </w:pPr>
            <w:r>
              <w:rPr>
                <w:rFonts w:ascii="Times New Roman"/>
                <w:sz w:val="21"/>
                <w:szCs w:val="21"/>
              </w:rPr>
              <w:t>《挥发性有机物（VOCs）污染防治技术政策》</w:t>
            </w:r>
          </w:p>
        </w:tc>
        <w:tc>
          <w:tcPr>
            <w:tcW w:w="2020" w:type="pct"/>
            <w:tcBorders>
              <w:top w:val="single" w:color="auto" w:sz="4" w:space="0"/>
              <w:left w:val="single" w:color="auto" w:sz="4" w:space="0"/>
              <w:bottom w:val="single" w:color="auto" w:sz="4" w:space="0"/>
              <w:right w:val="single" w:color="auto" w:sz="4" w:space="0"/>
            </w:tcBorders>
            <w:vAlign w:val="center"/>
          </w:tcPr>
          <w:p w14:paraId="15C2A4A2">
            <w:pPr>
              <w:rPr>
                <w:rFonts w:ascii="Times New Roman"/>
                <w:bCs/>
                <w:sz w:val="21"/>
                <w:szCs w:val="21"/>
              </w:rPr>
            </w:pPr>
            <w:r>
              <w:rPr>
                <w:rFonts w:ascii="Times New Roman"/>
                <w:sz w:val="21"/>
                <w:szCs w:val="21"/>
              </w:rPr>
              <w:t>含VOCs产品的使用过程中，应采取废气收集措施，提高废气收集效率，减少废气的无组织排放与逸散，并对收集后的废气进行回收或处理后达标排放。</w:t>
            </w:r>
          </w:p>
        </w:tc>
        <w:tc>
          <w:tcPr>
            <w:tcW w:w="1677" w:type="pct"/>
            <w:vMerge w:val="restart"/>
            <w:tcBorders>
              <w:left w:val="single" w:color="auto" w:sz="4" w:space="0"/>
              <w:right w:val="single" w:color="auto" w:sz="4" w:space="0"/>
            </w:tcBorders>
            <w:vAlign w:val="center"/>
          </w:tcPr>
          <w:p w14:paraId="7591D00D">
            <w:pPr>
              <w:jc w:val="center"/>
              <w:rPr>
                <w:rFonts w:ascii="Times New Roman"/>
                <w:sz w:val="21"/>
                <w:szCs w:val="21"/>
              </w:rPr>
            </w:pPr>
            <w:r>
              <w:rPr>
                <w:rFonts w:hint="eastAsia" w:ascii="Times New Roman"/>
                <w:sz w:val="21"/>
                <w:szCs w:val="21"/>
              </w:rPr>
              <w:t>项目喷漆废气收集采用负压收集、喷塑、电泳废气采用集气罩收集净化处理后达标排放。</w:t>
            </w:r>
            <w:r>
              <w:rPr>
                <w:rFonts w:ascii="Times New Roman"/>
                <w:sz w:val="21"/>
                <w:szCs w:val="21"/>
              </w:rPr>
              <w:t>项目无组织有机废气按照《挥发性有机物无组织排放控制标准》中控制要求执行</w:t>
            </w:r>
            <w:r>
              <w:rPr>
                <w:rFonts w:hint="eastAsia" w:ascii="Times New Roman"/>
                <w:sz w:val="21"/>
                <w:szCs w:val="21"/>
              </w:rPr>
              <w:t>，</w:t>
            </w:r>
            <w:r>
              <w:rPr>
                <w:rFonts w:ascii="Times New Roman"/>
                <w:sz w:val="21"/>
                <w:szCs w:val="21"/>
              </w:rPr>
              <w:t>其排放执行</w:t>
            </w:r>
            <w:r>
              <w:rPr>
                <w:rFonts w:hint="eastAsia" w:ascii="Times New Roman"/>
                <w:sz w:val="21"/>
                <w:szCs w:val="21"/>
              </w:rPr>
              <w:t>《工业企业挥发性有机物排放控制标准》（DB13/2322-2016）要求；</w:t>
            </w:r>
            <w:r>
              <w:rPr>
                <w:rFonts w:ascii="Times New Roman"/>
                <w:sz w:val="21"/>
                <w:szCs w:val="21"/>
              </w:rPr>
              <w:t>本项目有机废气</w:t>
            </w:r>
            <w:r>
              <w:rPr>
                <w:rFonts w:hint="eastAsia" w:ascii="Times New Roman"/>
                <w:sz w:val="21"/>
                <w:szCs w:val="21"/>
              </w:rPr>
              <w:t>使用“沸石轮转浓缩+RTO焚烧装置”处理，</w:t>
            </w:r>
            <w:r>
              <w:rPr>
                <w:rFonts w:ascii="Times New Roman"/>
                <w:sz w:val="21"/>
                <w:szCs w:val="21"/>
              </w:rPr>
              <w:t>满足相关</w:t>
            </w:r>
            <w:r>
              <w:rPr>
                <w:rFonts w:hint="eastAsia" w:ascii="Times New Roman"/>
                <w:sz w:val="21"/>
                <w:szCs w:val="21"/>
              </w:rPr>
              <w:t>排放</w:t>
            </w:r>
            <w:r>
              <w:rPr>
                <w:rFonts w:ascii="Times New Roman"/>
                <w:sz w:val="21"/>
                <w:szCs w:val="21"/>
              </w:rPr>
              <w:t>标准要求后</w:t>
            </w:r>
            <w:r>
              <w:rPr>
                <w:rFonts w:hint="eastAsia" w:ascii="Times New Roman"/>
                <w:sz w:val="21"/>
                <w:szCs w:val="21"/>
              </w:rPr>
              <w:t>排放</w:t>
            </w:r>
          </w:p>
        </w:tc>
        <w:tc>
          <w:tcPr>
            <w:tcW w:w="537" w:type="pct"/>
            <w:tcBorders>
              <w:top w:val="single" w:color="auto" w:sz="4" w:space="0"/>
              <w:left w:val="single" w:color="auto" w:sz="4" w:space="0"/>
              <w:bottom w:val="single" w:color="auto" w:sz="4" w:space="0"/>
              <w:right w:val="single" w:color="auto" w:sz="4" w:space="0"/>
            </w:tcBorders>
            <w:vAlign w:val="center"/>
          </w:tcPr>
          <w:p w14:paraId="5B5ACA92">
            <w:pPr>
              <w:jc w:val="center"/>
              <w:rPr>
                <w:rFonts w:ascii="Times New Roman"/>
                <w:bCs/>
                <w:sz w:val="21"/>
                <w:szCs w:val="21"/>
              </w:rPr>
            </w:pPr>
          </w:p>
        </w:tc>
      </w:tr>
      <w:tr w14:paraId="1155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139C3189">
            <w:pPr>
              <w:jc w:val="center"/>
              <w:rPr>
                <w:rFonts w:ascii="Times New Roman"/>
                <w:kern w:val="0"/>
                <w:sz w:val="21"/>
                <w:szCs w:val="21"/>
              </w:rPr>
            </w:pPr>
            <w:r>
              <w:rPr>
                <w:rFonts w:hint="eastAsia" w:ascii="Times New Roman"/>
                <w:kern w:val="0"/>
                <w:sz w:val="21"/>
                <w:szCs w:val="21"/>
              </w:rPr>
              <w:t>《2020年挥发性有机物治理攻坚方案》，环大气〔2020〕33号</w:t>
            </w:r>
          </w:p>
        </w:tc>
        <w:tc>
          <w:tcPr>
            <w:tcW w:w="2020" w:type="pct"/>
            <w:tcBorders>
              <w:top w:val="single" w:color="auto" w:sz="4" w:space="0"/>
              <w:left w:val="single" w:color="auto" w:sz="4" w:space="0"/>
              <w:bottom w:val="single" w:color="auto" w:sz="4" w:space="0"/>
              <w:right w:val="single" w:color="auto" w:sz="4" w:space="0"/>
            </w:tcBorders>
            <w:vAlign w:val="center"/>
          </w:tcPr>
          <w:p w14:paraId="2B84BCE3">
            <w:pPr>
              <w:rPr>
                <w:rFonts w:ascii="Times New Roman"/>
                <w:sz w:val="21"/>
                <w:szCs w:val="21"/>
              </w:rPr>
            </w:pPr>
            <w:r>
              <w:rPr>
                <w:rFonts w:hint="eastAsia" w:ascii="Times New Roman"/>
                <w:sz w:val="21"/>
                <w:szCs w:val="21"/>
              </w:rPr>
              <w:t>全面落实标准要求，强化无组织排放控制；2020年7月1日起，全面执行《挥发性有机物无组织排放控制标准》，重点区域应落实无组织排放特别控制要求。聚焦治污设施“三率”，提升综合治理效率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677" w:type="pct"/>
            <w:vMerge w:val="continue"/>
            <w:tcBorders>
              <w:left w:val="single" w:color="auto" w:sz="4" w:space="0"/>
              <w:bottom w:val="single" w:color="auto" w:sz="4" w:space="0"/>
              <w:right w:val="single" w:color="auto" w:sz="4" w:space="0"/>
            </w:tcBorders>
            <w:vAlign w:val="center"/>
          </w:tcPr>
          <w:p w14:paraId="184DA5FE">
            <w:pPr>
              <w:jc w:val="center"/>
              <w:rPr>
                <w:rFonts w:ascii="Times New Roman"/>
                <w:sz w:val="21"/>
                <w:szCs w:val="21"/>
              </w:rPr>
            </w:pPr>
          </w:p>
        </w:tc>
        <w:tc>
          <w:tcPr>
            <w:tcW w:w="537" w:type="pct"/>
            <w:tcBorders>
              <w:top w:val="single" w:color="auto" w:sz="4" w:space="0"/>
              <w:left w:val="single" w:color="auto" w:sz="4" w:space="0"/>
              <w:bottom w:val="single" w:color="auto" w:sz="4" w:space="0"/>
              <w:right w:val="single" w:color="auto" w:sz="4" w:space="0"/>
            </w:tcBorders>
            <w:vAlign w:val="center"/>
          </w:tcPr>
          <w:p w14:paraId="22889D74">
            <w:pPr>
              <w:jc w:val="center"/>
              <w:rPr>
                <w:rFonts w:ascii="Times New Roman"/>
                <w:sz w:val="21"/>
                <w:szCs w:val="21"/>
              </w:rPr>
            </w:pPr>
            <w:r>
              <w:rPr>
                <w:rFonts w:ascii="Times New Roman"/>
                <w:sz w:val="21"/>
                <w:szCs w:val="21"/>
              </w:rPr>
              <w:t>符合</w:t>
            </w:r>
          </w:p>
        </w:tc>
      </w:tr>
      <w:tr w14:paraId="0022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restart"/>
            <w:tcBorders>
              <w:top w:val="single" w:color="auto" w:sz="4" w:space="0"/>
              <w:left w:val="single" w:color="auto" w:sz="4" w:space="0"/>
              <w:bottom w:val="single" w:color="auto" w:sz="4" w:space="0"/>
              <w:right w:val="single" w:color="auto" w:sz="4" w:space="0"/>
            </w:tcBorders>
            <w:vAlign w:val="center"/>
          </w:tcPr>
          <w:p w14:paraId="487B6115">
            <w:pPr>
              <w:jc w:val="center"/>
              <w:rPr>
                <w:rFonts w:ascii="Times New Roman"/>
                <w:sz w:val="21"/>
                <w:szCs w:val="21"/>
              </w:rPr>
            </w:pPr>
            <w:r>
              <w:rPr>
                <w:rFonts w:ascii="Times New Roman"/>
                <w:sz w:val="21"/>
                <w:szCs w:val="21"/>
              </w:rPr>
              <w:t>“十三五”挥发性有机物污染防治工作方案</w:t>
            </w:r>
            <w:r>
              <w:rPr>
                <w:rFonts w:hint="eastAsia" w:ascii="Times New Roman"/>
                <w:sz w:val="21"/>
                <w:szCs w:val="21"/>
              </w:rPr>
              <w:t>，</w:t>
            </w:r>
            <w:r>
              <w:rPr>
                <w:rFonts w:ascii="Times New Roman"/>
                <w:sz w:val="21"/>
                <w:szCs w:val="21"/>
              </w:rPr>
              <w:t>环大气</w:t>
            </w:r>
            <w:r>
              <w:rPr>
                <w:rFonts w:hint="eastAsia" w:ascii="Times New Roman"/>
                <w:sz w:val="21"/>
                <w:szCs w:val="21"/>
              </w:rPr>
              <w:t>〔2017〕121号</w:t>
            </w:r>
          </w:p>
        </w:tc>
        <w:tc>
          <w:tcPr>
            <w:tcW w:w="2020" w:type="pct"/>
            <w:tcBorders>
              <w:top w:val="single" w:color="auto" w:sz="4" w:space="0"/>
              <w:left w:val="single" w:color="auto" w:sz="4" w:space="0"/>
              <w:bottom w:val="single" w:color="auto" w:sz="4" w:space="0"/>
              <w:right w:val="single" w:color="auto" w:sz="4" w:space="0"/>
            </w:tcBorders>
            <w:vAlign w:val="center"/>
          </w:tcPr>
          <w:p w14:paraId="6C113277">
            <w:pPr>
              <w:jc w:val="center"/>
              <w:rPr>
                <w:rFonts w:ascii="Times New Roman"/>
                <w:sz w:val="21"/>
                <w:szCs w:val="21"/>
              </w:rPr>
            </w:pPr>
            <w:r>
              <w:rPr>
                <w:rFonts w:ascii="Times New Roman"/>
                <w:sz w:val="21"/>
                <w:szCs w:val="21"/>
              </w:rPr>
              <w:t>新建涉VOCs排放的工业企业要入园区</w:t>
            </w:r>
          </w:p>
        </w:tc>
        <w:tc>
          <w:tcPr>
            <w:tcW w:w="1677" w:type="pct"/>
            <w:tcBorders>
              <w:top w:val="single" w:color="auto" w:sz="4" w:space="0"/>
              <w:left w:val="single" w:color="auto" w:sz="4" w:space="0"/>
              <w:bottom w:val="single" w:color="auto" w:sz="4" w:space="0"/>
              <w:right w:val="single" w:color="auto" w:sz="4" w:space="0"/>
            </w:tcBorders>
            <w:vAlign w:val="center"/>
          </w:tcPr>
          <w:p w14:paraId="6CC28AC3">
            <w:pPr>
              <w:jc w:val="center"/>
              <w:rPr>
                <w:rFonts w:ascii="Times New Roman"/>
                <w:sz w:val="21"/>
                <w:szCs w:val="21"/>
              </w:rPr>
            </w:pPr>
            <w:r>
              <w:rPr>
                <w:rFonts w:ascii="Times New Roman"/>
                <w:sz w:val="21"/>
                <w:szCs w:val="21"/>
              </w:rPr>
              <w:t>本项目位于</w:t>
            </w:r>
            <w:r>
              <w:rPr>
                <w:rFonts w:hint="eastAsia" w:ascii="Times New Roman"/>
                <w:sz w:val="21"/>
                <w:szCs w:val="21"/>
              </w:rPr>
              <w:t>曹妃甸循环经济示范区</w:t>
            </w:r>
            <w:r>
              <w:rPr>
                <w:rFonts w:ascii="Times New Roman"/>
                <w:sz w:val="21"/>
                <w:szCs w:val="21"/>
              </w:rPr>
              <w:t>，为国家级工业园区</w:t>
            </w:r>
          </w:p>
        </w:tc>
        <w:tc>
          <w:tcPr>
            <w:tcW w:w="537" w:type="pct"/>
            <w:tcBorders>
              <w:top w:val="single" w:color="auto" w:sz="4" w:space="0"/>
              <w:left w:val="single" w:color="auto" w:sz="4" w:space="0"/>
              <w:bottom w:val="single" w:color="auto" w:sz="4" w:space="0"/>
              <w:right w:val="single" w:color="auto" w:sz="4" w:space="0"/>
            </w:tcBorders>
            <w:vAlign w:val="center"/>
          </w:tcPr>
          <w:p w14:paraId="7B1CA655">
            <w:pPr>
              <w:jc w:val="center"/>
              <w:rPr>
                <w:rFonts w:ascii="Times New Roman"/>
                <w:sz w:val="21"/>
                <w:szCs w:val="21"/>
              </w:rPr>
            </w:pPr>
            <w:r>
              <w:rPr>
                <w:rFonts w:ascii="Times New Roman"/>
                <w:sz w:val="21"/>
                <w:szCs w:val="21"/>
              </w:rPr>
              <w:t>符合</w:t>
            </w:r>
          </w:p>
        </w:tc>
      </w:tr>
      <w:tr w14:paraId="2985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continue"/>
            <w:tcBorders>
              <w:top w:val="single" w:color="auto" w:sz="4" w:space="0"/>
              <w:left w:val="single" w:color="auto" w:sz="4" w:space="0"/>
              <w:bottom w:val="single" w:color="auto" w:sz="4" w:space="0"/>
              <w:right w:val="single" w:color="auto" w:sz="4" w:space="0"/>
            </w:tcBorders>
            <w:vAlign w:val="center"/>
          </w:tcPr>
          <w:p w14:paraId="69E58FE1">
            <w:pPr>
              <w:rPr>
                <w:rFonts w:ascii="Times New Roman"/>
                <w:sz w:val="21"/>
                <w:szCs w:val="21"/>
              </w:rPr>
            </w:pPr>
          </w:p>
        </w:tc>
        <w:tc>
          <w:tcPr>
            <w:tcW w:w="2020" w:type="pct"/>
            <w:tcBorders>
              <w:top w:val="single" w:color="auto" w:sz="4" w:space="0"/>
              <w:left w:val="single" w:color="auto" w:sz="4" w:space="0"/>
              <w:bottom w:val="single" w:color="auto" w:sz="4" w:space="0"/>
              <w:right w:val="single" w:color="auto" w:sz="4" w:space="0"/>
            </w:tcBorders>
            <w:vAlign w:val="center"/>
          </w:tcPr>
          <w:p w14:paraId="54935CC6">
            <w:pPr>
              <w:rPr>
                <w:rFonts w:ascii="Times New Roman"/>
                <w:sz w:val="21"/>
                <w:szCs w:val="21"/>
              </w:rPr>
            </w:pPr>
            <w:r>
              <w:rPr>
                <w:rFonts w:ascii="Times New Roman"/>
                <w:sz w:val="21"/>
                <w:szCs w:val="21"/>
              </w:rPr>
              <w:t>新、改、扩建涉VOCs排放项目，应从源头加强控制，使用低（无）VOCs含量的原辅材料，加强废气收集，安装高效治理设施</w:t>
            </w:r>
          </w:p>
        </w:tc>
        <w:tc>
          <w:tcPr>
            <w:tcW w:w="1677" w:type="pct"/>
            <w:tcBorders>
              <w:top w:val="single" w:color="auto" w:sz="4" w:space="0"/>
              <w:left w:val="single" w:color="auto" w:sz="4" w:space="0"/>
              <w:bottom w:val="single" w:color="auto" w:sz="4" w:space="0"/>
              <w:right w:val="single" w:color="auto" w:sz="4" w:space="0"/>
            </w:tcBorders>
            <w:vAlign w:val="center"/>
          </w:tcPr>
          <w:p w14:paraId="37E81F41">
            <w:pPr>
              <w:rPr>
                <w:rFonts w:ascii="Times New Roman"/>
                <w:sz w:val="21"/>
                <w:szCs w:val="21"/>
              </w:rPr>
            </w:pPr>
            <w:r>
              <w:rPr>
                <w:rFonts w:ascii="Times New Roman"/>
                <w:sz w:val="21"/>
                <w:szCs w:val="21"/>
              </w:rPr>
              <w:t>本项目有机废气</w:t>
            </w:r>
            <w:r>
              <w:rPr>
                <w:rFonts w:hint="eastAsia" w:ascii="Times New Roman"/>
                <w:sz w:val="21"/>
                <w:szCs w:val="21"/>
              </w:rPr>
              <w:t>采取“沸石轮转浓缩+RTO焚烧装置”处理设施处理后</w:t>
            </w:r>
            <w:r>
              <w:rPr>
                <w:rFonts w:ascii="Times New Roman"/>
                <w:sz w:val="21"/>
                <w:szCs w:val="21"/>
              </w:rPr>
              <w:t>满足相关</w:t>
            </w:r>
            <w:r>
              <w:rPr>
                <w:rFonts w:hint="eastAsia" w:ascii="Times New Roman"/>
                <w:sz w:val="21"/>
                <w:szCs w:val="21"/>
              </w:rPr>
              <w:t>排放</w:t>
            </w:r>
            <w:r>
              <w:rPr>
                <w:rFonts w:ascii="Times New Roman"/>
                <w:sz w:val="21"/>
                <w:szCs w:val="21"/>
              </w:rPr>
              <w:t>标准要求后</w:t>
            </w:r>
            <w:r>
              <w:rPr>
                <w:rFonts w:hint="eastAsia" w:ascii="Times New Roman"/>
                <w:sz w:val="21"/>
                <w:szCs w:val="21"/>
              </w:rPr>
              <w:t>排放</w:t>
            </w:r>
          </w:p>
        </w:tc>
        <w:tc>
          <w:tcPr>
            <w:tcW w:w="537" w:type="pct"/>
            <w:tcBorders>
              <w:top w:val="single" w:color="auto" w:sz="4" w:space="0"/>
              <w:left w:val="single" w:color="auto" w:sz="4" w:space="0"/>
              <w:bottom w:val="single" w:color="auto" w:sz="4" w:space="0"/>
              <w:right w:val="single" w:color="auto" w:sz="4" w:space="0"/>
            </w:tcBorders>
            <w:vAlign w:val="center"/>
          </w:tcPr>
          <w:p w14:paraId="02693E70">
            <w:pPr>
              <w:jc w:val="center"/>
              <w:rPr>
                <w:rFonts w:ascii="Times New Roman"/>
                <w:sz w:val="21"/>
                <w:szCs w:val="21"/>
              </w:rPr>
            </w:pPr>
            <w:r>
              <w:rPr>
                <w:rFonts w:ascii="Times New Roman"/>
                <w:sz w:val="21"/>
                <w:szCs w:val="21"/>
              </w:rPr>
              <w:t>符合</w:t>
            </w:r>
          </w:p>
        </w:tc>
      </w:tr>
      <w:tr w14:paraId="4EBC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restart"/>
            <w:tcBorders>
              <w:top w:val="single" w:color="auto" w:sz="4" w:space="0"/>
              <w:left w:val="single" w:color="auto" w:sz="4" w:space="0"/>
              <w:right w:val="single" w:color="auto" w:sz="4" w:space="0"/>
            </w:tcBorders>
            <w:vAlign w:val="center"/>
          </w:tcPr>
          <w:p w14:paraId="130BEAE9">
            <w:pPr>
              <w:jc w:val="center"/>
              <w:rPr>
                <w:rFonts w:ascii="Times New Roman"/>
                <w:sz w:val="21"/>
                <w:szCs w:val="21"/>
              </w:rPr>
            </w:pPr>
            <w:r>
              <w:rPr>
                <w:rFonts w:ascii="Times New Roman"/>
                <w:sz w:val="21"/>
                <w:szCs w:val="21"/>
              </w:rPr>
              <w:t>《重点行业挥发性有机物综合治理方案》</w:t>
            </w:r>
            <w:r>
              <w:rPr>
                <w:rFonts w:hint="eastAsia" w:ascii="Times New Roman"/>
                <w:sz w:val="21"/>
                <w:szCs w:val="21"/>
              </w:rPr>
              <w:t>，环大气〔2019〕53号</w:t>
            </w:r>
          </w:p>
        </w:tc>
        <w:tc>
          <w:tcPr>
            <w:tcW w:w="2020" w:type="pct"/>
            <w:tcBorders>
              <w:top w:val="single" w:color="auto" w:sz="4" w:space="0"/>
              <w:left w:val="single" w:color="auto" w:sz="4" w:space="0"/>
              <w:bottom w:val="single" w:color="auto" w:sz="4" w:space="0"/>
              <w:right w:val="single" w:color="auto" w:sz="4" w:space="0"/>
            </w:tcBorders>
            <w:vAlign w:val="center"/>
          </w:tcPr>
          <w:p w14:paraId="0E68175F">
            <w:pPr>
              <w:autoSpaceDE w:val="0"/>
              <w:autoSpaceDN w:val="0"/>
              <w:adjustRightInd w:val="0"/>
              <w:rPr>
                <w:rFonts w:ascii="Times New Roman" w:cs="TimesNewRomanPSMT"/>
                <w:kern w:val="0"/>
                <w:sz w:val="21"/>
                <w:szCs w:val="21"/>
              </w:rPr>
            </w:pPr>
            <w:r>
              <w:rPr>
                <w:rFonts w:hint="eastAsia" w:ascii="Times New Roman" w:cs="宋体"/>
                <w:kern w:val="0"/>
                <w:sz w:val="21"/>
                <w:szCs w:val="21"/>
              </w:rPr>
              <w:t>大力推进源头替代。通过使用水性、粉末、高固体分、无溶剂、辐射固化等低</w:t>
            </w:r>
            <w:r>
              <w:rPr>
                <w:rFonts w:ascii="Times New Roman" w:cs="TimesNewRomanPSMT"/>
                <w:kern w:val="0"/>
                <w:sz w:val="21"/>
                <w:szCs w:val="21"/>
              </w:rPr>
              <w:t>VOCs</w:t>
            </w:r>
            <w:r>
              <w:rPr>
                <w:rFonts w:hint="eastAsia" w:ascii="Times New Roman" w:cs="宋体"/>
                <w:kern w:val="0"/>
                <w:sz w:val="21"/>
                <w:szCs w:val="21"/>
              </w:rPr>
              <w:t>含量的涂料，水性、辐射固化、植物基等低</w:t>
            </w:r>
            <w:r>
              <w:rPr>
                <w:rFonts w:ascii="Times New Roman" w:cs="TimesNewRomanPSMT"/>
                <w:kern w:val="0"/>
                <w:sz w:val="21"/>
                <w:szCs w:val="21"/>
              </w:rPr>
              <w:t>VOCs</w:t>
            </w:r>
            <w:r>
              <w:rPr>
                <w:rFonts w:hint="eastAsia" w:ascii="Times New Roman" w:cs="宋体"/>
                <w:kern w:val="0"/>
                <w:sz w:val="21"/>
                <w:szCs w:val="21"/>
              </w:rPr>
              <w:t>含量的油墨，水基、热熔、无溶剂、辐射固化、改性、生物降解等低</w:t>
            </w:r>
            <w:r>
              <w:rPr>
                <w:rFonts w:ascii="Times New Roman" w:cs="TimesNewRomanPSMT"/>
                <w:kern w:val="0"/>
                <w:sz w:val="21"/>
                <w:szCs w:val="21"/>
              </w:rPr>
              <w:t>VOCs</w:t>
            </w:r>
            <w:r>
              <w:rPr>
                <w:rFonts w:hint="eastAsia" w:ascii="Times New Roman" w:cs="宋体"/>
                <w:kern w:val="0"/>
                <w:sz w:val="21"/>
                <w:szCs w:val="21"/>
              </w:rPr>
              <w:t>含量的胶粘剂，以及低</w:t>
            </w:r>
            <w:r>
              <w:rPr>
                <w:rFonts w:ascii="Times New Roman" w:cs="TimesNewRomanPSMT"/>
                <w:kern w:val="0"/>
                <w:sz w:val="21"/>
                <w:szCs w:val="21"/>
              </w:rPr>
              <w:t>VOCs</w:t>
            </w:r>
            <w:r>
              <w:rPr>
                <w:rFonts w:hint="eastAsia" w:ascii="Times New Roman" w:cs="宋体"/>
                <w:kern w:val="0"/>
                <w:sz w:val="21"/>
                <w:szCs w:val="21"/>
              </w:rPr>
              <w:t>含量、低反应活性的清洗剂等，替代溶剂型涂料、油墨、胶粘剂、清洗剂等，从源头减少</w:t>
            </w:r>
            <w:r>
              <w:rPr>
                <w:rFonts w:ascii="Times New Roman" w:cs="TimesNewRomanPSMT"/>
                <w:kern w:val="0"/>
                <w:sz w:val="21"/>
                <w:szCs w:val="21"/>
              </w:rPr>
              <w:t xml:space="preserve">VOCs </w:t>
            </w:r>
            <w:r>
              <w:rPr>
                <w:rFonts w:hint="eastAsia" w:ascii="Times New Roman" w:cs="宋体"/>
                <w:kern w:val="0"/>
                <w:sz w:val="21"/>
                <w:szCs w:val="21"/>
              </w:rPr>
              <w:t>产生。</w:t>
            </w:r>
          </w:p>
        </w:tc>
        <w:tc>
          <w:tcPr>
            <w:tcW w:w="1677" w:type="pct"/>
            <w:tcBorders>
              <w:top w:val="single" w:color="auto" w:sz="4" w:space="0"/>
              <w:left w:val="single" w:color="auto" w:sz="4" w:space="0"/>
              <w:right w:val="single" w:color="auto" w:sz="4" w:space="0"/>
            </w:tcBorders>
            <w:vAlign w:val="center"/>
          </w:tcPr>
          <w:p w14:paraId="332BB231">
            <w:pPr>
              <w:rPr>
                <w:rFonts w:ascii="Times New Roman" w:cs="宋体"/>
                <w:kern w:val="0"/>
                <w:sz w:val="21"/>
                <w:szCs w:val="24"/>
              </w:rPr>
            </w:pPr>
            <w:r>
              <w:rPr>
                <w:rFonts w:hint="eastAsia" w:ascii="Times New Roman" w:cs="宋体"/>
                <w:kern w:val="0"/>
                <w:sz w:val="21"/>
                <w:szCs w:val="24"/>
              </w:rPr>
              <w:t>项目使用电泳漆和油漆中VOC含量符合《低挥发性有机化合物含量涂料产品技术要求》（GB/T38597-2020）表1、表2中VOC含量限值要求，为低挥发性有机化合物含量涂料产品</w:t>
            </w:r>
          </w:p>
        </w:tc>
        <w:tc>
          <w:tcPr>
            <w:tcW w:w="537" w:type="pct"/>
            <w:tcBorders>
              <w:top w:val="single" w:color="auto" w:sz="4" w:space="0"/>
              <w:left w:val="single" w:color="auto" w:sz="4" w:space="0"/>
              <w:bottom w:val="single" w:color="auto" w:sz="4" w:space="0"/>
              <w:right w:val="single" w:color="auto" w:sz="4" w:space="0"/>
            </w:tcBorders>
            <w:vAlign w:val="center"/>
          </w:tcPr>
          <w:p w14:paraId="27392C1D">
            <w:pPr>
              <w:jc w:val="center"/>
              <w:rPr>
                <w:rFonts w:ascii="Times New Roman"/>
                <w:sz w:val="21"/>
                <w:szCs w:val="21"/>
              </w:rPr>
            </w:pPr>
            <w:r>
              <w:rPr>
                <w:rFonts w:ascii="Times New Roman"/>
                <w:sz w:val="21"/>
                <w:szCs w:val="21"/>
              </w:rPr>
              <w:t>符合</w:t>
            </w:r>
          </w:p>
        </w:tc>
      </w:tr>
      <w:tr w14:paraId="4B52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continue"/>
            <w:tcBorders>
              <w:left w:val="single" w:color="auto" w:sz="4" w:space="0"/>
              <w:bottom w:val="single" w:color="auto" w:sz="4" w:space="0"/>
              <w:right w:val="single" w:color="auto" w:sz="4" w:space="0"/>
            </w:tcBorders>
            <w:vAlign w:val="center"/>
          </w:tcPr>
          <w:p w14:paraId="0D7C7637">
            <w:pPr>
              <w:jc w:val="center"/>
              <w:rPr>
                <w:rFonts w:ascii="Times New Roman"/>
                <w:sz w:val="21"/>
                <w:szCs w:val="21"/>
              </w:rPr>
            </w:pPr>
          </w:p>
        </w:tc>
        <w:tc>
          <w:tcPr>
            <w:tcW w:w="2020" w:type="pct"/>
            <w:tcBorders>
              <w:top w:val="single" w:color="auto" w:sz="4" w:space="0"/>
              <w:left w:val="single" w:color="auto" w:sz="4" w:space="0"/>
              <w:bottom w:val="single" w:color="auto" w:sz="4" w:space="0"/>
              <w:right w:val="single" w:color="auto" w:sz="4" w:space="0"/>
            </w:tcBorders>
            <w:vAlign w:val="center"/>
          </w:tcPr>
          <w:p w14:paraId="394BD49D">
            <w:pPr>
              <w:jc w:val="center"/>
              <w:rPr>
                <w:rFonts w:ascii="Times New Roman"/>
                <w:sz w:val="21"/>
                <w:szCs w:val="21"/>
              </w:rPr>
            </w:pPr>
            <w:r>
              <w:rPr>
                <w:rFonts w:ascii="Times New Roman"/>
                <w:sz w:val="21"/>
                <w:szCs w:val="21"/>
              </w:rPr>
              <w:t>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w:t>
            </w:r>
          </w:p>
        </w:tc>
        <w:tc>
          <w:tcPr>
            <w:tcW w:w="1677" w:type="pct"/>
            <w:tcBorders>
              <w:top w:val="single" w:color="auto" w:sz="4" w:space="0"/>
              <w:left w:val="single" w:color="auto" w:sz="4" w:space="0"/>
              <w:right w:val="single" w:color="auto" w:sz="4" w:space="0"/>
            </w:tcBorders>
            <w:vAlign w:val="center"/>
          </w:tcPr>
          <w:p w14:paraId="76E22CF7">
            <w:pPr>
              <w:jc w:val="center"/>
              <w:rPr>
                <w:rFonts w:ascii="Times New Roman"/>
                <w:sz w:val="21"/>
                <w:szCs w:val="21"/>
              </w:rPr>
            </w:pPr>
            <w:r>
              <w:rPr>
                <w:rFonts w:ascii="Times New Roman"/>
                <w:sz w:val="21"/>
                <w:szCs w:val="21"/>
              </w:rPr>
              <w:t>本项目</w:t>
            </w:r>
            <w:r>
              <w:rPr>
                <w:rFonts w:hint="eastAsia" w:ascii="Times New Roman"/>
                <w:sz w:val="21"/>
                <w:szCs w:val="21"/>
              </w:rPr>
              <w:t>喷塑固化、强冷工序废气负压收集引入“水喷淋+二级活性炭吸附装置”净化工艺处理；喷漆房为干式，电泳、喷漆，流平废气与烘干固化、强冷废气负压收集一并引入“4级干式过滤器+沸石轮转吸附+RTO焚烧装置”净化工艺处理；托辊生产线喷塑固化工序废气负压收集引入“水喷淋+二级活性炭吸附装置”净化工艺处理。</w:t>
            </w:r>
          </w:p>
        </w:tc>
        <w:tc>
          <w:tcPr>
            <w:tcW w:w="537" w:type="pct"/>
            <w:tcBorders>
              <w:top w:val="single" w:color="auto" w:sz="4" w:space="0"/>
              <w:left w:val="single" w:color="auto" w:sz="4" w:space="0"/>
              <w:bottom w:val="single" w:color="auto" w:sz="4" w:space="0"/>
              <w:right w:val="single" w:color="auto" w:sz="4" w:space="0"/>
            </w:tcBorders>
            <w:vAlign w:val="center"/>
          </w:tcPr>
          <w:p w14:paraId="143657FD">
            <w:pPr>
              <w:jc w:val="center"/>
              <w:rPr>
                <w:rFonts w:ascii="Times New Roman"/>
                <w:sz w:val="21"/>
                <w:szCs w:val="21"/>
              </w:rPr>
            </w:pPr>
            <w:r>
              <w:rPr>
                <w:rFonts w:ascii="Times New Roman"/>
                <w:sz w:val="21"/>
                <w:szCs w:val="21"/>
              </w:rPr>
              <w:t>符合</w:t>
            </w:r>
          </w:p>
        </w:tc>
      </w:tr>
      <w:tr w14:paraId="45DD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44D1606C">
            <w:pPr>
              <w:jc w:val="center"/>
              <w:rPr>
                <w:rFonts w:ascii="Times New Roman"/>
                <w:sz w:val="21"/>
                <w:szCs w:val="21"/>
              </w:rPr>
            </w:pPr>
            <w:r>
              <w:rPr>
                <w:rFonts w:ascii="Times New Roman"/>
                <w:sz w:val="21"/>
                <w:szCs w:val="21"/>
              </w:rPr>
              <w:t>《关于印发&lt;河北省重点行业挥发性有机物污染控制技术指引&gt;的通知》（冀环大气〔2019〕501号）</w:t>
            </w:r>
          </w:p>
        </w:tc>
        <w:tc>
          <w:tcPr>
            <w:tcW w:w="2020" w:type="pct"/>
            <w:tcBorders>
              <w:top w:val="single" w:color="auto" w:sz="4" w:space="0"/>
              <w:left w:val="single" w:color="auto" w:sz="4" w:space="0"/>
              <w:bottom w:val="single" w:color="auto" w:sz="4" w:space="0"/>
              <w:right w:val="single" w:color="auto" w:sz="4" w:space="0"/>
            </w:tcBorders>
            <w:vAlign w:val="center"/>
          </w:tcPr>
          <w:p w14:paraId="23D4BA21">
            <w:pPr>
              <w:rPr>
                <w:rFonts w:ascii="Times New Roman"/>
                <w:sz w:val="21"/>
                <w:szCs w:val="21"/>
              </w:rPr>
            </w:pPr>
            <w:r>
              <w:rPr>
                <w:rFonts w:hint="eastAsia" w:ascii="Times New Roman" w:cs="宋体"/>
                <w:sz w:val="21"/>
                <w:szCs w:val="21"/>
              </w:rPr>
              <w:t>①</w:t>
            </w:r>
            <w:r>
              <w:rPr>
                <w:rFonts w:ascii="Times New Roman"/>
                <w:sz w:val="21"/>
                <w:szCs w:val="21"/>
              </w:rPr>
              <w:t>大力推进源头替代，产生有机废气的企业应优先采用绿色环保型原辅料、先进的生产工艺和装备，从源头控制VOC</w:t>
            </w:r>
            <w:r>
              <w:rPr>
                <w:rFonts w:ascii="Times New Roman"/>
                <w:sz w:val="21"/>
                <w:szCs w:val="21"/>
                <w:vertAlign w:val="subscript"/>
              </w:rPr>
              <w:t>S</w:t>
            </w:r>
            <w:r>
              <w:rPr>
                <w:rFonts w:ascii="Times New Roman"/>
                <w:sz w:val="21"/>
                <w:szCs w:val="21"/>
              </w:rPr>
              <w:t>的产生，减少废气污染物排放；</w:t>
            </w:r>
            <w:r>
              <w:rPr>
                <w:rFonts w:hint="eastAsia" w:ascii="Times New Roman" w:cs="宋体"/>
                <w:sz w:val="21"/>
                <w:szCs w:val="21"/>
              </w:rPr>
              <w:t>②</w:t>
            </w:r>
            <w:r>
              <w:rPr>
                <w:rFonts w:ascii="Times New Roman"/>
                <w:sz w:val="21"/>
                <w:szCs w:val="21"/>
              </w:rPr>
              <w:t>全面加强无组织排放控制，重点对VOC</w:t>
            </w:r>
            <w:r>
              <w:rPr>
                <w:rFonts w:ascii="Times New Roman"/>
                <w:sz w:val="21"/>
                <w:szCs w:val="21"/>
                <w:vertAlign w:val="subscript"/>
              </w:rPr>
              <w:t>S</w:t>
            </w:r>
            <w:r>
              <w:rPr>
                <w:rFonts w:ascii="Times New Roman"/>
                <w:sz w:val="21"/>
                <w:szCs w:val="21"/>
              </w:rPr>
              <w:t>物料储存、转移和输送、设备与管线组件泄漏、敞开液面逸散以及工艺过程等5类排放源实施管控，通过采取设备与场所密闭、工艺改进、废气有效收集等措施，消减VOC</w:t>
            </w:r>
            <w:r>
              <w:rPr>
                <w:rFonts w:ascii="Times New Roman"/>
                <w:sz w:val="21"/>
                <w:szCs w:val="21"/>
                <w:vertAlign w:val="subscript"/>
              </w:rPr>
              <w:t>S</w:t>
            </w:r>
            <w:r>
              <w:rPr>
                <w:rFonts w:ascii="Times New Roman"/>
                <w:sz w:val="21"/>
                <w:szCs w:val="21"/>
              </w:rPr>
              <w:t>无组织排放，按要求开展LDAR工作；</w:t>
            </w:r>
            <w:r>
              <w:rPr>
                <w:rFonts w:hint="eastAsia" w:ascii="Times New Roman" w:cs="宋体"/>
                <w:sz w:val="21"/>
                <w:szCs w:val="21"/>
              </w:rPr>
              <w:t>③</w:t>
            </w:r>
            <w:r>
              <w:rPr>
                <w:rFonts w:ascii="Times New Roman"/>
                <w:sz w:val="21"/>
                <w:szCs w:val="21"/>
              </w:rPr>
              <w:t>推广适宜规范高效的治理设施，鼓励对产生的VOC</w:t>
            </w:r>
            <w:r>
              <w:rPr>
                <w:rFonts w:ascii="Times New Roman"/>
                <w:sz w:val="21"/>
                <w:szCs w:val="21"/>
                <w:vertAlign w:val="subscript"/>
              </w:rPr>
              <w:t>S</w:t>
            </w:r>
            <w:r>
              <w:rPr>
                <w:rFonts w:ascii="Times New Roman"/>
                <w:sz w:val="21"/>
                <w:szCs w:val="21"/>
              </w:rPr>
              <w:t>进行回收利用，并优先在生产系统内回用，对浓度、性状差异较大的废气应分类收集，并采作适宜的方式进行有效处理</w:t>
            </w:r>
          </w:p>
        </w:tc>
        <w:tc>
          <w:tcPr>
            <w:tcW w:w="1677" w:type="pct"/>
            <w:vMerge w:val="restart"/>
            <w:tcBorders>
              <w:left w:val="single" w:color="auto" w:sz="4" w:space="0"/>
              <w:right w:val="single" w:color="auto" w:sz="4" w:space="0"/>
            </w:tcBorders>
            <w:vAlign w:val="center"/>
          </w:tcPr>
          <w:p w14:paraId="793DDFB0">
            <w:pPr>
              <w:jc w:val="center"/>
              <w:rPr>
                <w:rFonts w:ascii="Times New Roman"/>
                <w:sz w:val="21"/>
                <w:szCs w:val="21"/>
              </w:rPr>
            </w:pPr>
            <w:r>
              <w:rPr>
                <w:rFonts w:hint="eastAsia" w:ascii="Times New Roman"/>
                <w:sz w:val="21"/>
                <w:szCs w:val="21"/>
              </w:rPr>
              <w:t>项目使用电泳漆和油漆中VOC含量符合《低挥发性有机化合物含量涂料产品技术要求》（GB/T38597-2020）表1、表2中VOC含量限值要求，为低挥发性有机化合物含量涂料产品；</w:t>
            </w:r>
            <w:r>
              <w:rPr>
                <w:rFonts w:ascii="Times New Roman"/>
                <w:sz w:val="21"/>
                <w:szCs w:val="21"/>
              </w:rPr>
              <w:t>本项目有机废气</w:t>
            </w:r>
            <w:r>
              <w:rPr>
                <w:rFonts w:hint="eastAsia" w:ascii="Times New Roman"/>
                <w:sz w:val="21"/>
                <w:szCs w:val="21"/>
              </w:rPr>
              <w:t>采用</w:t>
            </w:r>
            <w:r>
              <w:rPr>
                <w:rFonts w:ascii="Times New Roman"/>
                <w:sz w:val="21"/>
                <w:szCs w:val="21"/>
              </w:rPr>
              <w:t>送至</w:t>
            </w:r>
            <w:r>
              <w:rPr>
                <w:rFonts w:hint="eastAsia" w:ascii="Times New Roman"/>
                <w:sz w:val="21"/>
                <w:szCs w:val="21"/>
              </w:rPr>
              <w:t>“沸石轮转浓缩+RTO焚烧装置”，</w:t>
            </w:r>
            <w:r>
              <w:rPr>
                <w:rFonts w:ascii="Times New Roman"/>
                <w:sz w:val="21"/>
                <w:szCs w:val="21"/>
              </w:rPr>
              <w:t>满足相关</w:t>
            </w:r>
            <w:r>
              <w:rPr>
                <w:rFonts w:hint="eastAsia" w:ascii="Times New Roman"/>
                <w:sz w:val="21"/>
                <w:szCs w:val="21"/>
              </w:rPr>
              <w:t>排放</w:t>
            </w:r>
            <w:r>
              <w:rPr>
                <w:rFonts w:ascii="Times New Roman"/>
                <w:sz w:val="21"/>
                <w:szCs w:val="21"/>
              </w:rPr>
              <w:t>标准要求后</w:t>
            </w:r>
            <w:r>
              <w:rPr>
                <w:rFonts w:hint="eastAsia" w:ascii="Times New Roman"/>
                <w:sz w:val="21"/>
                <w:szCs w:val="21"/>
              </w:rPr>
              <w:t>排放</w:t>
            </w:r>
          </w:p>
        </w:tc>
        <w:tc>
          <w:tcPr>
            <w:tcW w:w="537" w:type="pct"/>
            <w:tcBorders>
              <w:top w:val="single" w:color="auto" w:sz="4" w:space="0"/>
              <w:left w:val="single" w:color="auto" w:sz="4" w:space="0"/>
              <w:bottom w:val="single" w:color="auto" w:sz="4" w:space="0"/>
              <w:right w:val="single" w:color="auto" w:sz="4" w:space="0"/>
            </w:tcBorders>
            <w:vAlign w:val="center"/>
          </w:tcPr>
          <w:p w14:paraId="0DC4F5B2">
            <w:pPr>
              <w:jc w:val="center"/>
              <w:rPr>
                <w:rFonts w:ascii="Times New Roman"/>
                <w:sz w:val="21"/>
                <w:szCs w:val="21"/>
              </w:rPr>
            </w:pPr>
            <w:r>
              <w:rPr>
                <w:rFonts w:ascii="Times New Roman"/>
                <w:sz w:val="21"/>
                <w:szCs w:val="21"/>
              </w:rPr>
              <w:t>符合</w:t>
            </w:r>
          </w:p>
        </w:tc>
      </w:tr>
      <w:tr w14:paraId="5164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op w:val="single" w:color="auto" w:sz="4" w:space="0"/>
              <w:left w:val="single" w:color="auto" w:sz="4" w:space="0"/>
              <w:bottom w:val="single" w:color="auto" w:sz="4" w:space="0"/>
              <w:right w:val="single" w:color="auto" w:sz="4" w:space="0"/>
            </w:tcBorders>
            <w:vAlign w:val="center"/>
          </w:tcPr>
          <w:p w14:paraId="39727D38">
            <w:pPr>
              <w:autoSpaceDE w:val="0"/>
              <w:autoSpaceDN w:val="0"/>
              <w:adjustRightInd w:val="0"/>
              <w:jc w:val="left"/>
              <w:rPr>
                <w:rFonts w:ascii="Times New Roman" w:cs="宋体"/>
                <w:kern w:val="0"/>
                <w:sz w:val="21"/>
                <w:szCs w:val="21"/>
              </w:rPr>
            </w:pPr>
            <w:r>
              <w:rPr>
                <w:rFonts w:hint="eastAsia" w:ascii="Times New Roman" w:cs="宋体"/>
                <w:kern w:val="0"/>
                <w:sz w:val="21"/>
                <w:szCs w:val="21"/>
              </w:rPr>
              <w:t>唐山市生态环境局《关于在重点行业开展推广替代使用低挥发性有机物含量用漆（涂料）工</w:t>
            </w:r>
          </w:p>
          <w:p w14:paraId="60C95C9B">
            <w:pPr>
              <w:rPr>
                <w:rFonts w:ascii="Times New Roman"/>
                <w:sz w:val="21"/>
                <w:szCs w:val="21"/>
              </w:rPr>
            </w:pPr>
            <w:r>
              <w:rPr>
                <w:rFonts w:hint="eastAsia" w:ascii="Times New Roman" w:cs="宋体"/>
                <w:kern w:val="0"/>
                <w:sz w:val="21"/>
                <w:szCs w:val="21"/>
              </w:rPr>
              <w:t>作的通知》</w:t>
            </w:r>
          </w:p>
        </w:tc>
        <w:tc>
          <w:tcPr>
            <w:tcW w:w="2020" w:type="pct"/>
            <w:tcBorders>
              <w:top w:val="single" w:color="auto" w:sz="4" w:space="0"/>
              <w:left w:val="single" w:color="auto" w:sz="4" w:space="0"/>
              <w:bottom w:val="single" w:color="auto" w:sz="4" w:space="0"/>
              <w:right w:val="single" w:color="auto" w:sz="4" w:space="0"/>
            </w:tcBorders>
            <w:vAlign w:val="center"/>
          </w:tcPr>
          <w:p w14:paraId="49CA72F4">
            <w:pPr>
              <w:autoSpaceDE w:val="0"/>
              <w:autoSpaceDN w:val="0"/>
              <w:adjustRightInd w:val="0"/>
              <w:rPr>
                <w:rFonts w:ascii="Times New Roman" w:cs="宋体"/>
                <w:kern w:val="0"/>
                <w:sz w:val="21"/>
                <w:szCs w:val="21"/>
              </w:rPr>
            </w:pPr>
            <w:r>
              <w:rPr>
                <w:rFonts w:hint="eastAsia" w:ascii="Times New Roman" w:cs="宋体"/>
                <w:kern w:val="0"/>
                <w:sz w:val="21"/>
                <w:szCs w:val="21"/>
              </w:rPr>
              <w:t>减少含挥发性有机物物质的使用或使用低挥发性有机物含量的物质替代高挥发性有机物含量的物质……一、工作目标：（二）</w:t>
            </w:r>
            <w:r>
              <w:rPr>
                <w:rFonts w:ascii="Times New Roman" w:cs="TimesNewRomanPSMT"/>
                <w:kern w:val="0"/>
                <w:sz w:val="21"/>
                <w:szCs w:val="21"/>
              </w:rPr>
              <w:t>2020</w:t>
            </w:r>
            <w:r>
              <w:rPr>
                <w:rFonts w:hint="eastAsia" w:ascii="Times New Roman" w:cs="宋体"/>
                <w:kern w:val="0"/>
                <w:sz w:val="21"/>
                <w:szCs w:val="21"/>
              </w:rPr>
              <w:t>年</w:t>
            </w:r>
            <w:r>
              <w:rPr>
                <w:rFonts w:ascii="Times New Roman" w:cs="TimesNewRomanPSMT"/>
                <w:kern w:val="0"/>
                <w:sz w:val="21"/>
                <w:szCs w:val="21"/>
              </w:rPr>
              <w:t>10</w:t>
            </w:r>
            <w:r>
              <w:rPr>
                <w:rFonts w:hint="eastAsia" w:ascii="Times New Roman" w:cs="宋体"/>
                <w:kern w:val="0"/>
                <w:sz w:val="21"/>
                <w:szCs w:val="21"/>
              </w:rPr>
              <w:t>月底前，钢结构行业涂装工序（防腐类别为</w:t>
            </w:r>
            <w:r>
              <w:rPr>
                <w:rFonts w:ascii="Times New Roman" w:cs="TimesNewRomanPSMT"/>
                <w:kern w:val="0"/>
                <w:sz w:val="21"/>
                <w:szCs w:val="21"/>
              </w:rPr>
              <w:t>C5</w:t>
            </w:r>
            <w:r>
              <w:rPr>
                <w:rFonts w:hint="eastAsia" w:ascii="Times New Roman" w:cs="宋体"/>
                <w:kern w:val="0"/>
                <w:sz w:val="21"/>
                <w:szCs w:val="21"/>
              </w:rPr>
              <w:t>除外）底漆、中间漆、面漆的替代全部完成。二、重点领域：以木制家具、钢结构、工程机械、汽车（船舶）制造与维修、地坪、玩具制造等行业为重点，分阶段面推进水性漆（涂料）等低挥发性有机物含量用漆（涂料）替代工作。</w:t>
            </w:r>
          </w:p>
        </w:tc>
        <w:tc>
          <w:tcPr>
            <w:tcW w:w="1677" w:type="pct"/>
            <w:vMerge w:val="continue"/>
            <w:tcBorders>
              <w:left w:val="single" w:color="auto" w:sz="4" w:space="0"/>
              <w:right w:val="single" w:color="auto" w:sz="4" w:space="0"/>
            </w:tcBorders>
            <w:vAlign w:val="center"/>
          </w:tcPr>
          <w:p w14:paraId="72203806">
            <w:pPr>
              <w:rPr>
                <w:rFonts w:ascii="Times New Roman"/>
                <w:sz w:val="21"/>
                <w:szCs w:val="21"/>
              </w:rPr>
            </w:pPr>
          </w:p>
        </w:tc>
        <w:tc>
          <w:tcPr>
            <w:tcW w:w="537" w:type="pct"/>
            <w:tcBorders>
              <w:top w:val="single" w:color="auto" w:sz="4" w:space="0"/>
              <w:left w:val="single" w:color="auto" w:sz="4" w:space="0"/>
              <w:bottom w:val="single" w:color="auto" w:sz="4" w:space="0"/>
              <w:right w:val="single" w:color="auto" w:sz="4" w:space="0"/>
            </w:tcBorders>
            <w:vAlign w:val="center"/>
          </w:tcPr>
          <w:p w14:paraId="1A9799AB">
            <w:pPr>
              <w:jc w:val="center"/>
              <w:rPr>
                <w:rFonts w:ascii="Times New Roman"/>
                <w:bCs/>
                <w:sz w:val="21"/>
                <w:szCs w:val="21"/>
              </w:rPr>
            </w:pPr>
            <w:r>
              <w:rPr>
                <w:rFonts w:ascii="Times New Roman"/>
                <w:sz w:val="21"/>
                <w:szCs w:val="21"/>
              </w:rPr>
              <w:t>符合</w:t>
            </w:r>
          </w:p>
        </w:tc>
      </w:tr>
      <w:tr w14:paraId="195F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restart"/>
            <w:tcBorders>
              <w:left w:val="single" w:color="auto" w:sz="4" w:space="0"/>
              <w:right w:val="single" w:color="auto" w:sz="4" w:space="0"/>
            </w:tcBorders>
            <w:vAlign w:val="center"/>
          </w:tcPr>
          <w:p w14:paraId="0F3D53C6">
            <w:pPr>
              <w:jc w:val="center"/>
              <w:rPr>
                <w:rFonts w:ascii="Times New Roman"/>
                <w:sz w:val="21"/>
                <w:szCs w:val="21"/>
              </w:rPr>
            </w:pPr>
            <w:r>
              <w:rPr>
                <w:rFonts w:hint="eastAsia" w:ascii="Times New Roman"/>
                <w:sz w:val="21"/>
                <w:szCs w:val="21"/>
              </w:rPr>
              <w:t>《唐山市2021年挥发性有机物综合治理工作方案》，唐气领办〔2021〕50号</w:t>
            </w:r>
          </w:p>
        </w:tc>
        <w:tc>
          <w:tcPr>
            <w:tcW w:w="2020" w:type="pct"/>
            <w:tcBorders>
              <w:left w:val="single" w:color="auto" w:sz="4" w:space="0"/>
              <w:right w:val="single" w:color="auto" w:sz="4" w:space="0"/>
            </w:tcBorders>
            <w:vAlign w:val="center"/>
          </w:tcPr>
          <w:p w14:paraId="081103A7">
            <w:pPr>
              <w:rPr>
                <w:rFonts w:ascii="Times New Roman"/>
                <w:sz w:val="21"/>
                <w:szCs w:val="21"/>
              </w:rPr>
            </w:pPr>
            <w:r>
              <w:rPr>
                <w:rFonts w:hint="eastAsia" w:ascii="Times New Roman"/>
                <w:sz w:val="21"/>
                <w:szCs w:val="21"/>
              </w:rPr>
              <w:t>原辅料方面，可使用水性、粉末、高固体分、无溶剂、辐射固化等低VOCs含量的涂料，水性、辐射固化、植物基等低VOCs含量的油墨，水基、热熔、无溶剂、辐射固化、改性、生物降解等低VOCs含量的胶粘剂，以及低VOCs含量、低反应活性的清洗剂等</w:t>
            </w:r>
          </w:p>
        </w:tc>
        <w:tc>
          <w:tcPr>
            <w:tcW w:w="1677" w:type="pct"/>
            <w:vMerge w:val="continue"/>
            <w:tcBorders>
              <w:left w:val="single" w:color="auto" w:sz="4" w:space="0"/>
              <w:right w:val="single" w:color="auto" w:sz="4" w:space="0"/>
            </w:tcBorders>
            <w:vAlign w:val="center"/>
          </w:tcPr>
          <w:p w14:paraId="1CC00FDB">
            <w:pPr>
              <w:jc w:val="center"/>
              <w:rPr>
                <w:rFonts w:ascii="Times New Roman"/>
                <w:sz w:val="21"/>
                <w:szCs w:val="21"/>
              </w:rPr>
            </w:pPr>
          </w:p>
        </w:tc>
        <w:tc>
          <w:tcPr>
            <w:tcW w:w="537" w:type="pct"/>
            <w:tcBorders>
              <w:left w:val="single" w:color="auto" w:sz="4" w:space="0"/>
              <w:right w:val="single" w:color="auto" w:sz="4" w:space="0"/>
            </w:tcBorders>
            <w:vAlign w:val="center"/>
          </w:tcPr>
          <w:p w14:paraId="551FA5B2">
            <w:pPr>
              <w:jc w:val="center"/>
              <w:rPr>
                <w:rFonts w:ascii="Times New Roman"/>
                <w:sz w:val="21"/>
                <w:szCs w:val="21"/>
              </w:rPr>
            </w:pPr>
            <w:r>
              <w:rPr>
                <w:rFonts w:hint="eastAsia" w:ascii="Times New Roman"/>
                <w:sz w:val="21"/>
                <w:szCs w:val="21"/>
              </w:rPr>
              <w:t>符合</w:t>
            </w:r>
          </w:p>
        </w:tc>
      </w:tr>
      <w:tr w14:paraId="3AE4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continue"/>
            <w:tcBorders>
              <w:left w:val="single" w:color="auto" w:sz="4" w:space="0"/>
              <w:right w:val="single" w:color="auto" w:sz="4" w:space="0"/>
            </w:tcBorders>
            <w:vAlign w:val="center"/>
          </w:tcPr>
          <w:p w14:paraId="7C160386">
            <w:pPr>
              <w:jc w:val="center"/>
              <w:rPr>
                <w:rFonts w:ascii="Times New Roman"/>
                <w:sz w:val="21"/>
                <w:szCs w:val="21"/>
              </w:rPr>
            </w:pPr>
          </w:p>
        </w:tc>
        <w:tc>
          <w:tcPr>
            <w:tcW w:w="2020" w:type="pct"/>
            <w:tcBorders>
              <w:left w:val="single" w:color="auto" w:sz="4" w:space="0"/>
              <w:right w:val="single" w:color="auto" w:sz="4" w:space="0"/>
            </w:tcBorders>
            <w:vAlign w:val="center"/>
          </w:tcPr>
          <w:p w14:paraId="2B4443D5">
            <w:pPr>
              <w:rPr>
                <w:rFonts w:ascii="Times New Roman"/>
                <w:sz w:val="21"/>
                <w:szCs w:val="21"/>
              </w:rPr>
            </w:pPr>
            <w:r>
              <w:rPr>
                <w:rFonts w:hint="eastAsia" w:ascii="Times New Roman"/>
                <w:sz w:val="21"/>
                <w:szCs w:val="21"/>
              </w:rPr>
              <w:t>严格落实《挥发性有机物无组织排放控制标准》（GB37822—2019）标准要求，从VOCs物料储存、VOCs物料转移和输送、工艺过程VOCs无组织排放、含VOCs产品的使用、敞开液面控制等方面进行分类管控，避免产生不必要的无组织排放</w:t>
            </w:r>
          </w:p>
        </w:tc>
        <w:tc>
          <w:tcPr>
            <w:tcW w:w="1677" w:type="pct"/>
            <w:tcBorders>
              <w:left w:val="single" w:color="auto" w:sz="4" w:space="0"/>
              <w:right w:val="single" w:color="auto" w:sz="4" w:space="0"/>
            </w:tcBorders>
            <w:vAlign w:val="center"/>
          </w:tcPr>
          <w:p w14:paraId="31C0E8FE">
            <w:pPr>
              <w:jc w:val="center"/>
              <w:rPr>
                <w:rFonts w:ascii="Times New Roman"/>
                <w:sz w:val="21"/>
                <w:szCs w:val="21"/>
              </w:rPr>
            </w:pPr>
            <w:r>
              <w:rPr>
                <w:rFonts w:ascii="Times New Roman"/>
                <w:sz w:val="21"/>
                <w:szCs w:val="21"/>
              </w:rPr>
              <w:t>项目无组织有机废气按照《挥发性有机物无组织排放控制标准》中控制要求执行</w:t>
            </w:r>
            <w:r>
              <w:rPr>
                <w:rFonts w:hint="eastAsia" w:ascii="Times New Roman"/>
                <w:sz w:val="21"/>
                <w:szCs w:val="21"/>
              </w:rPr>
              <w:t>，</w:t>
            </w:r>
            <w:r>
              <w:rPr>
                <w:rFonts w:ascii="Times New Roman"/>
                <w:sz w:val="21"/>
                <w:szCs w:val="21"/>
              </w:rPr>
              <w:t>其排放执行</w:t>
            </w:r>
            <w:r>
              <w:rPr>
                <w:rFonts w:hint="eastAsia" w:ascii="Times New Roman"/>
                <w:sz w:val="21"/>
                <w:szCs w:val="21"/>
              </w:rPr>
              <w:t>《工业企业挥发性有机物排放控制标准》（DB13/2322-2016）要求</w:t>
            </w:r>
          </w:p>
        </w:tc>
        <w:tc>
          <w:tcPr>
            <w:tcW w:w="537" w:type="pct"/>
            <w:tcBorders>
              <w:left w:val="single" w:color="auto" w:sz="4" w:space="0"/>
              <w:right w:val="single" w:color="auto" w:sz="4" w:space="0"/>
            </w:tcBorders>
            <w:vAlign w:val="center"/>
          </w:tcPr>
          <w:p w14:paraId="39A964A3">
            <w:pPr>
              <w:jc w:val="center"/>
              <w:rPr>
                <w:rFonts w:ascii="Times New Roman"/>
                <w:sz w:val="21"/>
                <w:szCs w:val="21"/>
              </w:rPr>
            </w:pPr>
            <w:r>
              <w:rPr>
                <w:rFonts w:ascii="Times New Roman"/>
                <w:sz w:val="21"/>
                <w:szCs w:val="21"/>
              </w:rPr>
              <w:t>符合</w:t>
            </w:r>
          </w:p>
        </w:tc>
      </w:tr>
      <w:tr w14:paraId="7BDF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8" w:hRule="atLeast"/>
        </w:trPr>
        <w:tc>
          <w:tcPr>
            <w:tcW w:w="764" w:type="pct"/>
            <w:vMerge w:val="continue"/>
            <w:tcBorders>
              <w:left w:val="single" w:color="auto" w:sz="4" w:space="0"/>
              <w:right w:val="single" w:color="auto" w:sz="4" w:space="0"/>
            </w:tcBorders>
            <w:vAlign w:val="center"/>
          </w:tcPr>
          <w:p w14:paraId="558D5B11">
            <w:pPr>
              <w:jc w:val="center"/>
              <w:rPr>
                <w:rFonts w:ascii="Times New Roman"/>
                <w:sz w:val="21"/>
                <w:szCs w:val="21"/>
              </w:rPr>
            </w:pPr>
          </w:p>
        </w:tc>
        <w:tc>
          <w:tcPr>
            <w:tcW w:w="2020" w:type="pct"/>
            <w:tcBorders>
              <w:left w:val="single" w:color="auto" w:sz="4" w:space="0"/>
              <w:right w:val="single" w:color="auto" w:sz="4" w:space="0"/>
            </w:tcBorders>
            <w:vAlign w:val="center"/>
          </w:tcPr>
          <w:p w14:paraId="22055450">
            <w:pPr>
              <w:rPr>
                <w:rFonts w:ascii="Times New Roman"/>
                <w:sz w:val="21"/>
                <w:szCs w:val="21"/>
              </w:rPr>
            </w:pPr>
            <w:r>
              <w:rPr>
                <w:rFonts w:hint="eastAsia" w:ascii="Times New Roman"/>
                <w:sz w:val="21"/>
                <w:szCs w:val="21"/>
              </w:rPr>
              <w:t>对产生废气的行业（有机化工行业除外），应在有机废气处理设施前段加装高效除尘设施或油烟净化装置，确保废气中粉尘或油烟浓度满足VOCs治理设施要求</w:t>
            </w:r>
          </w:p>
        </w:tc>
        <w:tc>
          <w:tcPr>
            <w:tcW w:w="1677" w:type="pct"/>
            <w:tcBorders>
              <w:left w:val="single" w:color="auto" w:sz="4" w:space="0"/>
              <w:right w:val="single" w:color="auto" w:sz="4" w:space="0"/>
            </w:tcBorders>
            <w:vAlign w:val="center"/>
          </w:tcPr>
          <w:p w14:paraId="1596E564">
            <w:pPr>
              <w:jc w:val="center"/>
              <w:rPr>
                <w:rFonts w:ascii="Times New Roman"/>
                <w:sz w:val="21"/>
                <w:szCs w:val="21"/>
              </w:rPr>
            </w:pPr>
            <w:r>
              <w:rPr>
                <w:rFonts w:hint="eastAsia" w:ascii="Times New Roman"/>
                <w:sz w:val="21"/>
                <w:szCs w:val="21"/>
              </w:rPr>
              <w:t>本项目</w:t>
            </w:r>
            <w:r>
              <w:rPr>
                <w:rFonts w:ascii="Times New Roman"/>
                <w:sz w:val="21"/>
                <w:szCs w:val="21"/>
              </w:rPr>
              <w:t>有机废气处理设施前段增加</w:t>
            </w:r>
            <w:r>
              <w:rPr>
                <w:rFonts w:hint="eastAsia" w:ascii="Times New Roman"/>
                <w:sz w:val="21"/>
                <w:szCs w:val="21"/>
              </w:rPr>
              <w:t>干式过滤工序</w:t>
            </w:r>
          </w:p>
        </w:tc>
        <w:tc>
          <w:tcPr>
            <w:tcW w:w="537" w:type="pct"/>
            <w:tcBorders>
              <w:left w:val="single" w:color="auto" w:sz="4" w:space="0"/>
              <w:right w:val="single" w:color="auto" w:sz="4" w:space="0"/>
            </w:tcBorders>
            <w:vAlign w:val="center"/>
          </w:tcPr>
          <w:p w14:paraId="13EF7469">
            <w:pPr>
              <w:jc w:val="center"/>
              <w:rPr>
                <w:rFonts w:ascii="Times New Roman"/>
                <w:sz w:val="21"/>
                <w:szCs w:val="21"/>
              </w:rPr>
            </w:pPr>
            <w:r>
              <w:rPr>
                <w:rFonts w:ascii="Times New Roman"/>
                <w:sz w:val="21"/>
                <w:szCs w:val="21"/>
              </w:rPr>
              <w:t>符合</w:t>
            </w:r>
          </w:p>
        </w:tc>
      </w:tr>
      <w:tr w14:paraId="01DB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764" w:type="pct"/>
            <w:vMerge w:val="restart"/>
            <w:tcBorders>
              <w:left w:val="single" w:color="auto" w:sz="4" w:space="0"/>
              <w:right w:val="single" w:color="auto" w:sz="4" w:space="0"/>
            </w:tcBorders>
            <w:vAlign w:val="center"/>
          </w:tcPr>
          <w:p w14:paraId="54A19294">
            <w:pPr>
              <w:jc w:val="center"/>
              <w:rPr>
                <w:rFonts w:ascii="Times New Roman"/>
                <w:sz w:val="21"/>
                <w:szCs w:val="21"/>
              </w:rPr>
            </w:pPr>
            <w:r>
              <w:rPr>
                <w:rFonts w:ascii="Times New Roman"/>
                <w:sz w:val="21"/>
                <w:szCs w:val="21"/>
              </w:rPr>
              <w:t>《关于开展涉挥发性有机物企业提标改造的通知》（唐环气〔2022〕1号</w:t>
            </w:r>
          </w:p>
        </w:tc>
        <w:tc>
          <w:tcPr>
            <w:tcW w:w="3405" w:type="dxa"/>
            <w:tcBorders>
              <w:left w:val="single" w:color="auto" w:sz="4" w:space="0"/>
              <w:right w:val="single" w:color="auto" w:sz="4" w:space="0"/>
            </w:tcBorders>
            <w:vAlign w:val="center"/>
          </w:tcPr>
          <w:p w14:paraId="1320D1AA">
            <w:pPr>
              <w:jc w:val="center"/>
              <w:rPr>
                <w:rFonts w:ascii="Times New Roman"/>
                <w:sz w:val="21"/>
                <w:szCs w:val="21"/>
              </w:rPr>
            </w:pPr>
            <w:r>
              <w:rPr>
                <w:rFonts w:hint="eastAsia" w:ascii="Times New Roman"/>
                <w:sz w:val="21"/>
                <w:szCs w:val="21"/>
              </w:rPr>
              <w:t>1、提倡使用低VOCs或无VOCs的环保型原辅料。工业涂装推荐使用粉末、水性、高固体分、辐射固化等低VOCs含量涂料，以及低VOCs含量、低反应活性的稀释剂、清洗剂、固化剂、胶粘剂、密封胶等，替代溶剂型涂料类材料。</w:t>
            </w:r>
          </w:p>
        </w:tc>
        <w:tc>
          <w:tcPr>
            <w:tcW w:w="2826" w:type="dxa"/>
            <w:tcBorders>
              <w:left w:val="single" w:color="auto" w:sz="4" w:space="0"/>
              <w:right w:val="single" w:color="auto" w:sz="4" w:space="0"/>
            </w:tcBorders>
            <w:vAlign w:val="center"/>
          </w:tcPr>
          <w:p w14:paraId="10B3D563">
            <w:pPr>
              <w:jc w:val="center"/>
              <w:rPr>
                <w:rFonts w:ascii="Times New Roman"/>
                <w:sz w:val="21"/>
                <w:szCs w:val="21"/>
              </w:rPr>
            </w:pPr>
            <w:r>
              <w:rPr>
                <w:rFonts w:hint="eastAsia" w:ascii="Times New Roman"/>
                <w:sz w:val="21"/>
                <w:szCs w:val="21"/>
              </w:rPr>
              <w:t>项目使用的水性漆和油漆VOC含量均符合《低挥发性有机化合物含量涂料产品技术要求》（GB/T38597-2020）相关限值要求，属于低挥发性有机化合物含量涂料</w:t>
            </w:r>
          </w:p>
        </w:tc>
        <w:tc>
          <w:tcPr>
            <w:tcW w:w="537" w:type="pct"/>
            <w:tcBorders>
              <w:left w:val="single" w:color="auto" w:sz="4" w:space="0"/>
              <w:right w:val="single" w:color="auto" w:sz="4" w:space="0"/>
            </w:tcBorders>
            <w:vAlign w:val="center"/>
          </w:tcPr>
          <w:p w14:paraId="5DCF593E">
            <w:pPr>
              <w:jc w:val="center"/>
              <w:rPr>
                <w:rFonts w:ascii="Times New Roman"/>
                <w:sz w:val="21"/>
                <w:szCs w:val="21"/>
              </w:rPr>
            </w:pPr>
            <w:r>
              <w:rPr>
                <w:rFonts w:hint="eastAsia" w:ascii="Times New Roman"/>
                <w:sz w:val="21"/>
                <w:szCs w:val="21"/>
              </w:rPr>
              <w:t>符合</w:t>
            </w:r>
          </w:p>
        </w:tc>
      </w:tr>
      <w:tr w14:paraId="6A19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764" w:type="pct"/>
            <w:vMerge w:val="continue"/>
            <w:tcBorders>
              <w:left w:val="single" w:color="auto" w:sz="4" w:space="0"/>
              <w:right w:val="single" w:color="auto" w:sz="4" w:space="0"/>
            </w:tcBorders>
            <w:vAlign w:val="center"/>
          </w:tcPr>
          <w:p w14:paraId="278E8249">
            <w:pPr>
              <w:jc w:val="center"/>
              <w:rPr>
                <w:rFonts w:ascii="Times New Roman"/>
                <w:sz w:val="21"/>
                <w:szCs w:val="21"/>
              </w:rPr>
            </w:pPr>
          </w:p>
        </w:tc>
        <w:tc>
          <w:tcPr>
            <w:tcW w:w="3405" w:type="dxa"/>
            <w:tcBorders>
              <w:left w:val="single" w:color="auto" w:sz="4" w:space="0"/>
              <w:right w:val="single" w:color="auto" w:sz="4" w:space="0"/>
            </w:tcBorders>
            <w:vAlign w:val="center"/>
          </w:tcPr>
          <w:p w14:paraId="365BB7F2">
            <w:pPr>
              <w:jc w:val="center"/>
              <w:rPr>
                <w:rFonts w:ascii="Times New Roman"/>
                <w:sz w:val="21"/>
                <w:szCs w:val="21"/>
              </w:rPr>
            </w:pPr>
            <w:r>
              <w:rPr>
                <w:rFonts w:ascii="Times New Roman"/>
                <w:sz w:val="21"/>
                <w:szCs w:val="21"/>
              </w:rPr>
              <w:t>2、改进涂装工艺，以高效涂装工艺代替低效工艺。工业涂装采用静电喷涂、自动喷涂、高压无气喷涂或高流低压（HVLP）喷枪等高效涂装装备，替代手动空气喷涂技术。推广紧凑式涂装工艺，减少喷涂、烘干次数。</w:t>
            </w:r>
          </w:p>
        </w:tc>
        <w:tc>
          <w:tcPr>
            <w:tcW w:w="2826" w:type="dxa"/>
            <w:tcBorders>
              <w:left w:val="single" w:color="auto" w:sz="4" w:space="0"/>
              <w:right w:val="single" w:color="auto" w:sz="4" w:space="0"/>
            </w:tcBorders>
            <w:vAlign w:val="center"/>
          </w:tcPr>
          <w:p w14:paraId="10BC6E72">
            <w:pPr>
              <w:jc w:val="center"/>
              <w:rPr>
                <w:rFonts w:ascii="Times New Roman"/>
                <w:sz w:val="21"/>
                <w:szCs w:val="21"/>
              </w:rPr>
            </w:pPr>
            <w:r>
              <w:rPr>
                <w:rFonts w:hint="eastAsia" w:ascii="Times New Roman"/>
                <w:sz w:val="21"/>
                <w:szCs w:val="21"/>
              </w:rPr>
              <w:t>项目喷涂工艺均使用高压无气喷涂和静电喷涂工艺</w:t>
            </w:r>
          </w:p>
        </w:tc>
        <w:tc>
          <w:tcPr>
            <w:tcW w:w="537" w:type="pct"/>
            <w:tcBorders>
              <w:left w:val="single" w:color="auto" w:sz="4" w:space="0"/>
              <w:right w:val="single" w:color="auto" w:sz="4" w:space="0"/>
            </w:tcBorders>
            <w:vAlign w:val="center"/>
          </w:tcPr>
          <w:p w14:paraId="22B026FE">
            <w:pPr>
              <w:jc w:val="center"/>
              <w:rPr>
                <w:rFonts w:ascii="Times New Roman"/>
                <w:sz w:val="21"/>
                <w:szCs w:val="21"/>
              </w:rPr>
            </w:pPr>
            <w:r>
              <w:rPr>
                <w:rFonts w:hint="eastAsia" w:ascii="Times New Roman"/>
                <w:sz w:val="21"/>
                <w:szCs w:val="21"/>
              </w:rPr>
              <w:t>符合</w:t>
            </w:r>
          </w:p>
        </w:tc>
      </w:tr>
      <w:tr w14:paraId="7512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764" w:type="pct"/>
            <w:vMerge w:val="continue"/>
            <w:tcBorders>
              <w:left w:val="single" w:color="auto" w:sz="4" w:space="0"/>
              <w:right w:val="single" w:color="auto" w:sz="4" w:space="0"/>
            </w:tcBorders>
            <w:vAlign w:val="center"/>
          </w:tcPr>
          <w:p w14:paraId="5FFEED60">
            <w:pPr>
              <w:jc w:val="center"/>
              <w:rPr>
                <w:rFonts w:ascii="Times New Roman"/>
                <w:sz w:val="21"/>
                <w:szCs w:val="21"/>
              </w:rPr>
            </w:pPr>
          </w:p>
        </w:tc>
        <w:tc>
          <w:tcPr>
            <w:tcW w:w="3405" w:type="dxa"/>
            <w:tcBorders>
              <w:left w:val="single" w:color="auto" w:sz="4" w:space="0"/>
              <w:right w:val="single" w:color="auto" w:sz="4" w:space="0"/>
            </w:tcBorders>
            <w:vAlign w:val="center"/>
          </w:tcPr>
          <w:p w14:paraId="00704237">
            <w:pPr>
              <w:jc w:val="center"/>
              <w:rPr>
                <w:rFonts w:ascii="Times New Roman"/>
                <w:sz w:val="21"/>
                <w:szCs w:val="21"/>
              </w:rPr>
            </w:pPr>
            <w:r>
              <w:rPr>
                <w:rFonts w:hint="eastAsia" w:ascii="Times New Roman"/>
                <w:sz w:val="21"/>
                <w:szCs w:val="21"/>
              </w:rPr>
              <w:t>3</w:t>
            </w:r>
            <w:r>
              <w:rPr>
                <w:rFonts w:ascii="Times New Roman"/>
                <w:sz w:val="21"/>
                <w:szCs w:val="21"/>
              </w:rPr>
              <w:t>、含VOCs物料储存和输送管控要求。①盛装含VOCs的涂料、稀释剂、清洗剂等原辅材料应密闭存储于密闭的容器、包装袋、储罐中，并置于具有防渗设施的室内或专用场地，确保VOCs原辅料贮存过程中容器加盖、封口、无破损和泄漏。②容器在使用过程中随用随开，用后及时密闭，在非取用状态时应加盖、封口，减少挥发；③废涂料桶和废溶剂存放于密闭的危废仓库中；④原辅材料采用密闭管道或密闭容器等输送。⑤以上要求写入车间操作规程，建立管理制度，明确专人负责落实到位。</w:t>
            </w:r>
          </w:p>
        </w:tc>
        <w:tc>
          <w:tcPr>
            <w:tcW w:w="2826" w:type="dxa"/>
            <w:tcBorders>
              <w:left w:val="single" w:color="auto" w:sz="4" w:space="0"/>
              <w:right w:val="single" w:color="auto" w:sz="4" w:space="0"/>
            </w:tcBorders>
            <w:vAlign w:val="center"/>
          </w:tcPr>
          <w:p w14:paraId="4EE781AF">
            <w:pPr>
              <w:jc w:val="center"/>
              <w:rPr>
                <w:rFonts w:ascii="Times New Roman"/>
                <w:sz w:val="21"/>
                <w:szCs w:val="21"/>
              </w:rPr>
            </w:pPr>
            <w:r>
              <w:rPr>
                <w:rFonts w:hint="eastAsia" w:ascii="Times New Roman"/>
                <w:sz w:val="21"/>
                <w:szCs w:val="21"/>
              </w:rPr>
              <w:t>①项目油漆、水性漆和稀释剂均储存于密闭包装桶中；②容器在使用过程中随用随开，用后及时密闭，在非取用状态时应加盖、封口；③废漆桶盖盖存放于密闭的危废间内；</w:t>
            </w:r>
            <w:r>
              <w:rPr>
                <w:rFonts w:ascii="Times New Roman"/>
                <w:sz w:val="21"/>
                <w:szCs w:val="21"/>
              </w:rPr>
              <w:t>④</w:t>
            </w:r>
            <w:r>
              <w:rPr>
                <w:rFonts w:hint="eastAsia" w:ascii="Times New Roman"/>
                <w:sz w:val="21"/>
                <w:szCs w:val="21"/>
              </w:rPr>
              <w:t>油漆、水性漆和稀释剂</w:t>
            </w:r>
            <w:r>
              <w:rPr>
                <w:rFonts w:ascii="Times New Roman"/>
                <w:sz w:val="21"/>
                <w:szCs w:val="21"/>
              </w:rPr>
              <w:t>采用密闭密闭容器输送。⑤</w:t>
            </w:r>
            <w:r>
              <w:rPr>
                <w:rFonts w:hint="eastAsia" w:ascii="Times New Roman"/>
                <w:sz w:val="21"/>
                <w:szCs w:val="21"/>
              </w:rPr>
              <w:t>评价要求上述</w:t>
            </w:r>
            <w:r>
              <w:rPr>
                <w:rFonts w:ascii="Times New Roman"/>
                <w:sz w:val="21"/>
                <w:szCs w:val="21"/>
              </w:rPr>
              <w:t>要求写入车间操作规程，建立管理制度，明确专人负责落实到位。</w:t>
            </w:r>
          </w:p>
        </w:tc>
        <w:tc>
          <w:tcPr>
            <w:tcW w:w="537" w:type="pct"/>
            <w:tcBorders>
              <w:left w:val="single" w:color="auto" w:sz="4" w:space="0"/>
              <w:right w:val="single" w:color="auto" w:sz="4" w:space="0"/>
            </w:tcBorders>
            <w:vAlign w:val="center"/>
          </w:tcPr>
          <w:p w14:paraId="25DA41BE">
            <w:pPr>
              <w:jc w:val="center"/>
              <w:rPr>
                <w:rFonts w:ascii="Times New Roman"/>
                <w:sz w:val="21"/>
                <w:szCs w:val="21"/>
              </w:rPr>
            </w:pPr>
            <w:r>
              <w:rPr>
                <w:rFonts w:hint="eastAsia" w:ascii="Times New Roman"/>
                <w:sz w:val="21"/>
                <w:szCs w:val="21"/>
              </w:rPr>
              <w:t>符合</w:t>
            </w:r>
          </w:p>
        </w:tc>
      </w:tr>
      <w:tr w14:paraId="38E5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764" w:type="pct"/>
            <w:vMerge w:val="continue"/>
            <w:tcBorders>
              <w:left w:val="single" w:color="auto" w:sz="4" w:space="0"/>
              <w:right w:val="single" w:color="auto" w:sz="4" w:space="0"/>
            </w:tcBorders>
            <w:vAlign w:val="center"/>
          </w:tcPr>
          <w:p w14:paraId="7474CB7D">
            <w:pPr>
              <w:jc w:val="center"/>
              <w:rPr>
                <w:rFonts w:ascii="Times New Roman"/>
                <w:sz w:val="21"/>
                <w:szCs w:val="21"/>
              </w:rPr>
            </w:pPr>
          </w:p>
        </w:tc>
        <w:tc>
          <w:tcPr>
            <w:tcW w:w="3405" w:type="dxa"/>
            <w:tcBorders>
              <w:left w:val="single" w:color="auto" w:sz="4" w:space="0"/>
              <w:right w:val="single" w:color="auto" w:sz="4" w:space="0"/>
            </w:tcBorders>
            <w:vAlign w:val="center"/>
          </w:tcPr>
          <w:p w14:paraId="1A322EEB">
            <w:pPr>
              <w:jc w:val="center"/>
              <w:rPr>
                <w:rFonts w:ascii="Times New Roman"/>
                <w:sz w:val="21"/>
                <w:szCs w:val="21"/>
              </w:rPr>
            </w:pPr>
            <w:r>
              <w:rPr>
                <w:rFonts w:hint="eastAsia" w:ascii="Times New Roman"/>
                <w:sz w:val="21"/>
                <w:szCs w:val="21"/>
              </w:rPr>
              <w:t>4</w:t>
            </w:r>
            <w:r>
              <w:rPr>
                <w:rFonts w:ascii="Times New Roman"/>
                <w:sz w:val="21"/>
                <w:szCs w:val="21"/>
              </w:rPr>
              <w:t>、涉VOCs物料调配管控及治理改造要求。①涂料和胶粘剂等调配要采用密闭设备或在密闭空间内操作，废气必须有效收集排至VOCs废气收集处理系统；②无法密闭的，要采取局部气体收集，排至VOCs废气处理系统。③原辅料调配、转运与回收涂料、稀释剂、清洗剂等原辅料原则上实行集中调配，转运宜采用集中供料系统，无集中供料系统时原辅料应采用密闭容器封存，涂装作业结束应将剩余的所有涂料及含VOCs的辅料送回调配间或储存间密闭存储。④以上要求写入车间操作规程，建立管理制度，明确专人负责落实到位。</w:t>
            </w:r>
          </w:p>
        </w:tc>
        <w:tc>
          <w:tcPr>
            <w:tcW w:w="2826" w:type="dxa"/>
            <w:tcBorders>
              <w:left w:val="single" w:color="auto" w:sz="4" w:space="0"/>
              <w:right w:val="single" w:color="auto" w:sz="4" w:space="0"/>
            </w:tcBorders>
            <w:vAlign w:val="center"/>
          </w:tcPr>
          <w:p w14:paraId="633D60F8">
            <w:pPr>
              <w:jc w:val="center"/>
              <w:rPr>
                <w:rFonts w:ascii="Times New Roman"/>
                <w:sz w:val="21"/>
                <w:szCs w:val="21"/>
              </w:rPr>
            </w:pPr>
            <w:r>
              <w:rPr>
                <w:rFonts w:ascii="Times New Roman"/>
                <w:sz w:val="21"/>
                <w:szCs w:val="21"/>
              </w:rPr>
              <w:t>①</w:t>
            </w:r>
            <w:r>
              <w:rPr>
                <w:rFonts w:hint="eastAsia" w:ascii="Times New Roman"/>
                <w:sz w:val="21"/>
                <w:szCs w:val="21"/>
              </w:rPr>
              <w:t>项目油漆、水性漆和稀释剂</w:t>
            </w:r>
            <w:r>
              <w:rPr>
                <w:rFonts w:ascii="Times New Roman"/>
                <w:sz w:val="21"/>
                <w:szCs w:val="21"/>
              </w:rPr>
              <w:t>调配在密闭</w:t>
            </w:r>
            <w:r>
              <w:rPr>
                <w:rFonts w:hint="eastAsia" w:ascii="Times New Roman"/>
                <w:sz w:val="21"/>
                <w:szCs w:val="21"/>
              </w:rPr>
              <w:t>调漆间</w:t>
            </w:r>
            <w:r>
              <w:rPr>
                <w:rFonts w:ascii="Times New Roman"/>
                <w:sz w:val="21"/>
                <w:szCs w:val="21"/>
              </w:rPr>
              <w:t>内操作，废气收集排至VOCs废气收集处理系统；②涂装作业结束</w:t>
            </w:r>
            <w:r>
              <w:rPr>
                <w:rFonts w:hint="eastAsia" w:ascii="Times New Roman"/>
                <w:sz w:val="21"/>
                <w:szCs w:val="21"/>
              </w:rPr>
              <w:t>要求</w:t>
            </w:r>
            <w:r>
              <w:rPr>
                <w:rFonts w:ascii="Times New Roman"/>
                <w:sz w:val="21"/>
                <w:szCs w:val="21"/>
              </w:rPr>
              <w:t>剩余的所有涂料及含VOCs的辅料送回</w:t>
            </w:r>
            <w:r>
              <w:rPr>
                <w:rFonts w:hint="eastAsia" w:ascii="Times New Roman"/>
                <w:sz w:val="21"/>
                <w:szCs w:val="21"/>
              </w:rPr>
              <w:t>油漆</w:t>
            </w:r>
            <w:r>
              <w:rPr>
                <w:rFonts w:ascii="Times New Roman"/>
                <w:sz w:val="21"/>
                <w:szCs w:val="21"/>
              </w:rPr>
              <w:t>储存间密闭存储。</w:t>
            </w:r>
            <w:r>
              <w:rPr>
                <w:rFonts w:hint="eastAsia" w:ascii="Times New Roman"/>
                <w:sz w:val="21"/>
                <w:szCs w:val="21"/>
              </w:rPr>
              <w:t>③上述</w:t>
            </w:r>
            <w:r>
              <w:rPr>
                <w:rFonts w:ascii="Times New Roman"/>
                <w:sz w:val="21"/>
                <w:szCs w:val="21"/>
              </w:rPr>
              <w:t>要求写入车间操作规程，建立管理制度，明确专人负责落实到位。</w:t>
            </w:r>
          </w:p>
        </w:tc>
        <w:tc>
          <w:tcPr>
            <w:tcW w:w="537" w:type="pct"/>
            <w:tcBorders>
              <w:left w:val="single" w:color="auto" w:sz="4" w:space="0"/>
              <w:right w:val="single" w:color="auto" w:sz="4" w:space="0"/>
            </w:tcBorders>
            <w:vAlign w:val="center"/>
          </w:tcPr>
          <w:p w14:paraId="29CAEEE6">
            <w:pPr>
              <w:jc w:val="center"/>
              <w:rPr>
                <w:rFonts w:ascii="Times New Roman"/>
                <w:sz w:val="21"/>
                <w:szCs w:val="21"/>
              </w:rPr>
            </w:pPr>
            <w:r>
              <w:rPr>
                <w:rFonts w:hint="eastAsia" w:ascii="Times New Roman"/>
                <w:sz w:val="21"/>
                <w:szCs w:val="21"/>
              </w:rPr>
              <w:t>符合</w:t>
            </w:r>
          </w:p>
        </w:tc>
      </w:tr>
      <w:tr w14:paraId="4821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764" w:type="pct"/>
            <w:vMerge w:val="continue"/>
            <w:tcBorders>
              <w:left w:val="single" w:color="auto" w:sz="4" w:space="0"/>
              <w:right w:val="single" w:color="auto" w:sz="4" w:space="0"/>
            </w:tcBorders>
            <w:vAlign w:val="center"/>
          </w:tcPr>
          <w:p w14:paraId="375A87C4">
            <w:pPr>
              <w:jc w:val="center"/>
              <w:rPr>
                <w:rFonts w:ascii="Times New Roman"/>
                <w:sz w:val="21"/>
                <w:szCs w:val="21"/>
              </w:rPr>
            </w:pPr>
          </w:p>
        </w:tc>
        <w:tc>
          <w:tcPr>
            <w:tcW w:w="3405" w:type="dxa"/>
            <w:tcBorders>
              <w:left w:val="single" w:color="auto" w:sz="4" w:space="0"/>
              <w:right w:val="single" w:color="auto" w:sz="4" w:space="0"/>
            </w:tcBorders>
            <w:vAlign w:val="center"/>
          </w:tcPr>
          <w:p w14:paraId="10A48F5D">
            <w:pPr>
              <w:jc w:val="center"/>
              <w:rPr>
                <w:rFonts w:ascii="Times New Roman"/>
                <w:sz w:val="21"/>
                <w:szCs w:val="21"/>
              </w:rPr>
            </w:pPr>
            <w:r>
              <w:rPr>
                <w:rFonts w:hint="eastAsia" w:ascii="Times New Roman"/>
                <w:sz w:val="21"/>
                <w:szCs w:val="21"/>
              </w:rPr>
              <w:t>5、</w:t>
            </w:r>
            <w:r>
              <w:rPr>
                <w:rFonts w:ascii="Times New Roman"/>
                <w:sz w:val="21"/>
                <w:szCs w:val="21"/>
              </w:rPr>
              <w:t>生产工艺过程密闭及废气收集提升改造要求。①施胶、调配、喷涂、流平和干燥工序要在密闭空间内操作，密闭操作空间安装废气收集系统送VOCs治理设施处理，密闭操作空间实现负压操作，并设置负压标识（如飘带）。②无法在密闭空间操作的，对产生VOCs排放的生产工艺和装置必须设立局部或整体废气收集系统和净化处理装置。如采取车间环境负压改造、安装吸风罩等高效集气装置，吸风罩设计应符合《排风罩的分类及技术条件》（GB/T16758-2008）。③工业涂装生产线采用整体密闭的，密闭区域内换风次数原则上不少于20次／h，车间采用整体密闭的（如烘干、晾干车间、流平车间等），车间换风次数原则上不少于8次／h。废气收集系统收集的废气送VOCs治理设施处理。④喷漆房循环水泵间和刮渣间应密闭，安装废气收集设施，喷漆房控制风速（在操作人员呼吸带高度上与主气流垂直的端面平均风速）及相关安全技术要求应满足《涂装作业安全规程 喷漆室安全技术规定》（GB14444-2006）要求。⑤喷涂工序应设置高效漆雾预处理设施，保证处理后的废气满足后续治理设施要求；⑥VOCs废气收集系统应先于生产设施启动，后于对应设施关闭，VOCs废气收集处理系统发生故障或检修时，对应的生产工艺设备应停止运行，待检修完毕后同步投入使用。⑦废气收集系统材质应防腐防锈，定期维护，存在泄漏时需及时修复。⑧加强清洗操作管理。合理控制有机清洗剂的用量，少量多次清洗；集中清洗应在密闭装置或空间内进行，产生的VOCs废气应收集治理；废清洗剂应密闭回收；清洗完成后，沾染有机清洗剂的废抹布等应放入密闭容器。⑨挥发性有机污染物各点源、各环节无组织排放得到高效控制，确保车间内（VOCs收集区域外）无明显异味，厂区内无异味。以上要求写入车间操作规程，建立管理制度，明确专人负责落实到位。</w:t>
            </w:r>
          </w:p>
        </w:tc>
        <w:tc>
          <w:tcPr>
            <w:tcW w:w="2826" w:type="dxa"/>
            <w:tcBorders>
              <w:left w:val="single" w:color="auto" w:sz="4" w:space="0"/>
              <w:right w:val="single" w:color="auto" w:sz="4" w:space="0"/>
            </w:tcBorders>
            <w:vAlign w:val="center"/>
          </w:tcPr>
          <w:p w14:paraId="531A1718">
            <w:pPr>
              <w:jc w:val="center"/>
              <w:rPr>
                <w:rFonts w:ascii="Times New Roman"/>
                <w:sz w:val="21"/>
                <w:szCs w:val="21"/>
              </w:rPr>
            </w:pPr>
            <w:r>
              <w:rPr>
                <w:rFonts w:ascii="Times New Roman"/>
                <w:sz w:val="21"/>
                <w:szCs w:val="21"/>
              </w:rPr>
              <w:t>①</w:t>
            </w:r>
            <w:r>
              <w:rPr>
                <w:rFonts w:hint="eastAsia" w:ascii="Times New Roman"/>
                <w:sz w:val="21"/>
                <w:szCs w:val="21"/>
              </w:rPr>
              <w:t>项目调漆、</w:t>
            </w:r>
            <w:r>
              <w:rPr>
                <w:rFonts w:ascii="Times New Roman"/>
                <w:sz w:val="21"/>
                <w:szCs w:val="21"/>
              </w:rPr>
              <w:t>喷</w:t>
            </w:r>
            <w:r>
              <w:rPr>
                <w:rFonts w:hint="eastAsia" w:ascii="Times New Roman"/>
                <w:sz w:val="21"/>
                <w:szCs w:val="21"/>
              </w:rPr>
              <w:t>漆</w:t>
            </w:r>
            <w:r>
              <w:rPr>
                <w:rFonts w:ascii="Times New Roman"/>
                <w:sz w:val="21"/>
                <w:szCs w:val="21"/>
              </w:rPr>
              <w:t>和</w:t>
            </w:r>
            <w:r>
              <w:rPr>
                <w:rFonts w:hint="eastAsia" w:ascii="Times New Roman"/>
                <w:sz w:val="21"/>
                <w:szCs w:val="21"/>
              </w:rPr>
              <w:t>烘干</w:t>
            </w:r>
            <w:r>
              <w:rPr>
                <w:rFonts w:ascii="Times New Roman"/>
                <w:sz w:val="21"/>
                <w:szCs w:val="21"/>
              </w:rPr>
              <w:t>工序在密闭</w:t>
            </w:r>
            <w:r>
              <w:rPr>
                <w:rFonts w:hint="eastAsia" w:ascii="Times New Roman"/>
                <w:sz w:val="21"/>
                <w:szCs w:val="21"/>
              </w:rPr>
              <w:t>空</w:t>
            </w:r>
            <w:r>
              <w:rPr>
                <w:rFonts w:ascii="Times New Roman"/>
                <w:sz w:val="21"/>
                <w:szCs w:val="21"/>
              </w:rPr>
              <w:t>间内操作，密闭操作空间安装废气收集系统送VOCs治理设施处理，密闭操作空间实现负压操作，并</w:t>
            </w:r>
            <w:r>
              <w:rPr>
                <w:rFonts w:hint="eastAsia" w:ascii="Times New Roman"/>
                <w:sz w:val="21"/>
                <w:szCs w:val="21"/>
              </w:rPr>
              <w:t>要求</w:t>
            </w:r>
            <w:r>
              <w:rPr>
                <w:rFonts w:ascii="Times New Roman"/>
                <w:sz w:val="21"/>
                <w:szCs w:val="21"/>
              </w:rPr>
              <w:t>设置负压标识。②</w:t>
            </w:r>
            <w:r>
              <w:rPr>
                <w:rFonts w:hint="eastAsia" w:ascii="Times New Roman"/>
                <w:sz w:val="21"/>
                <w:szCs w:val="21"/>
              </w:rPr>
              <w:t>喷漆</w:t>
            </w:r>
            <w:r>
              <w:rPr>
                <w:rFonts w:ascii="Times New Roman"/>
                <w:sz w:val="21"/>
                <w:szCs w:val="21"/>
              </w:rPr>
              <w:t>生产线采用整体密闭的，密闭区域内换风次数</w:t>
            </w:r>
            <w:r>
              <w:rPr>
                <w:rFonts w:hint="eastAsia" w:ascii="Times New Roman"/>
                <w:sz w:val="21"/>
                <w:szCs w:val="21"/>
              </w:rPr>
              <w:t>均＞</w:t>
            </w:r>
            <w:r>
              <w:rPr>
                <w:rFonts w:ascii="Times New Roman"/>
                <w:sz w:val="21"/>
                <w:szCs w:val="21"/>
              </w:rPr>
              <w:t>20次／h。废气收集系统收集的废气送VOCs治理设施处理。</w:t>
            </w:r>
            <w:r>
              <w:rPr>
                <w:rFonts w:hint="eastAsia" w:ascii="Times New Roman"/>
                <w:sz w:val="21"/>
                <w:szCs w:val="21"/>
              </w:rPr>
              <w:t>③</w:t>
            </w:r>
            <w:r>
              <w:rPr>
                <w:rFonts w:ascii="Times New Roman"/>
                <w:sz w:val="21"/>
                <w:szCs w:val="21"/>
              </w:rPr>
              <w:t>喷漆房控制风速及相关安全技术要求满足《涂装作业安全规程 喷漆室安全技术规定》（GB14444-2006）要求。</w:t>
            </w:r>
            <w:r>
              <w:rPr>
                <w:rFonts w:hint="eastAsia" w:ascii="Times New Roman"/>
                <w:sz w:val="21"/>
                <w:szCs w:val="21"/>
              </w:rPr>
              <w:t>④本项目</w:t>
            </w:r>
            <w:r>
              <w:rPr>
                <w:rFonts w:ascii="Times New Roman"/>
                <w:sz w:val="21"/>
                <w:szCs w:val="21"/>
              </w:rPr>
              <w:t>喷涂工序设置</w:t>
            </w:r>
            <w:r>
              <w:rPr>
                <w:rFonts w:hint="eastAsia" w:ascii="Times New Roman"/>
                <w:sz w:val="21"/>
                <w:szCs w:val="21"/>
              </w:rPr>
              <w:t>过滤棉+干式过滤器</w:t>
            </w:r>
            <w:r>
              <w:rPr>
                <w:rFonts w:ascii="Times New Roman"/>
                <w:sz w:val="21"/>
                <w:szCs w:val="21"/>
              </w:rPr>
              <w:t>，保证处理后的废气满足后续治理设施要求；</w:t>
            </w:r>
            <w:r>
              <w:rPr>
                <w:rFonts w:hint="eastAsia" w:ascii="Times New Roman"/>
                <w:sz w:val="21"/>
                <w:szCs w:val="21"/>
              </w:rPr>
              <w:t>⑤环评要求</w:t>
            </w:r>
            <w:r>
              <w:rPr>
                <w:rFonts w:ascii="Times New Roman"/>
                <w:sz w:val="21"/>
                <w:szCs w:val="21"/>
              </w:rPr>
              <w:t>VOCs废气收集系统先于生产设施启动，后于对应设施关闭，VOCs废气收集处理系统发生故障或检修时，对应的生产工艺设备停止运行，待检修完毕后同步投入使用。</w:t>
            </w:r>
            <w:r>
              <w:rPr>
                <w:rFonts w:hint="eastAsia" w:ascii="Times New Roman"/>
                <w:sz w:val="21"/>
                <w:szCs w:val="21"/>
              </w:rPr>
              <w:t>⑥</w:t>
            </w:r>
            <w:r>
              <w:rPr>
                <w:rFonts w:ascii="Times New Roman"/>
                <w:sz w:val="21"/>
                <w:szCs w:val="21"/>
              </w:rPr>
              <w:t>废气收集系统材质防腐防锈，定期维护，存在泄漏时需及时修复。</w:t>
            </w:r>
            <w:r>
              <w:rPr>
                <w:rFonts w:hint="eastAsia" w:ascii="Times New Roman"/>
                <w:sz w:val="21"/>
                <w:szCs w:val="21"/>
              </w:rPr>
              <w:t>⑦调漆、喷漆、烘干均于密闭作业间进行，设置送风、吸风系统</w:t>
            </w:r>
            <w:r>
              <w:rPr>
                <w:rFonts w:ascii="Times New Roman"/>
                <w:sz w:val="21"/>
                <w:szCs w:val="21"/>
              </w:rPr>
              <w:t>，确保车间内（VOCs收集区域外）无明显异味，厂区内无异味。</w:t>
            </w:r>
            <w:r>
              <w:rPr>
                <w:rFonts w:hint="eastAsia" w:ascii="Times New Roman"/>
                <w:sz w:val="21"/>
                <w:szCs w:val="21"/>
              </w:rPr>
              <w:t>上述</w:t>
            </w:r>
            <w:r>
              <w:rPr>
                <w:rFonts w:ascii="Times New Roman"/>
                <w:sz w:val="21"/>
                <w:szCs w:val="21"/>
              </w:rPr>
              <w:t>要求写入车间操作规程，建立管理制度，明确专人负责落实到位。</w:t>
            </w:r>
          </w:p>
        </w:tc>
        <w:tc>
          <w:tcPr>
            <w:tcW w:w="537" w:type="pct"/>
            <w:tcBorders>
              <w:left w:val="single" w:color="auto" w:sz="4" w:space="0"/>
              <w:right w:val="single" w:color="auto" w:sz="4" w:space="0"/>
            </w:tcBorders>
            <w:vAlign w:val="center"/>
          </w:tcPr>
          <w:p w14:paraId="26BC110C">
            <w:pPr>
              <w:jc w:val="center"/>
              <w:rPr>
                <w:rFonts w:ascii="Times New Roman"/>
                <w:sz w:val="21"/>
                <w:szCs w:val="21"/>
              </w:rPr>
            </w:pPr>
            <w:r>
              <w:rPr>
                <w:rFonts w:hint="eastAsia" w:ascii="Times New Roman"/>
                <w:sz w:val="21"/>
                <w:szCs w:val="21"/>
              </w:rPr>
              <w:t>符合</w:t>
            </w:r>
          </w:p>
        </w:tc>
      </w:tr>
      <w:tr w14:paraId="1AF5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trPr>
        <w:tc>
          <w:tcPr>
            <w:tcW w:w="764" w:type="pct"/>
            <w:vMerge w:val="continue"/>
            <w:tcBorders>
              <w:left w:val="single" w:color="auto" w:sz="4" w:space="0"/>
              <w:right w:val="single" w:color="auto" w:sz="4" w:space="0"/>
            </w:tcBorders>
            <w:vAlign w:val="center"/>
          </w:tcPr>
          <w:p w14:paraId="18745005">
            <w:pPr>
              <w:jc w:val="center"/>
              <w:rPr>
                <w:rFonts w:ascii="Times New Roman"/>
                <w:sz w:val="21"/>
                <w:szCs w:val="21"/>
              </w:rPr>
            </w:pPr>
          </w:p>
        </w:tc>
        <w:tc>
          <w:tcPr>
            <w:tcW w:w="3405" w:type="dxa"/>
            <w:tcBorders>
              <w:left w:val="single" w:color="auto" w:sz="4" w:space="0"/>
              <w:right w:val="single" w:color="auto" w:sz="4" w:space="0"/>
            </w:tcBorders>
            <w:vAlign w:val="center"/>
          </w:tcPr>
          <w:p w14:paraId="36413A1B">
            <w:pPr>
              <w:jc w:val="center"/>
              <w:rPr>
                <w:rFonts w:ascii="Times New Roman"/>
                <w:sz w:val="21"/>
                <w:szCs w:val="21"/>
              </w:rPr>
            </w:pPr>
            <w:r>
              <w:rPr>
                <w:rFonts w:hint="eastAsia" w:ascii="Times New Roman"/>
                <w:sz w:val="21"/>
                <w:szCs w:val="21"/>
              </w:rPr>
              <w:t>6、</w:t>
            </w:r>
            <w:r>
              <w:rPr>
                <w:rFonts w:ascii="Times New Roman"/>
                <w:sz w:val="21"/>
                <w:szCs w:val="21"/>
              </w:rPr>
              <w:t>废气预处理要求：喷涂过程中会产生含漆雾的有机废气，若不经过预处理，所含树脂将固化成黏性固体颗粒物，影响末端治理设施的治理效率和寿命。喷漆室的漆雾应采取干湿组合高效漆雾预处理措施，去除效率应大于85%以上，颗粒物排出量&lt;1mg/m</w:t>
            </w:r>
            <w:r>
              <w:rPr>
                <w:rFonts w:ascii="Times New Roman"/>
                <w:sz w:val="21"/>
                <w:szCs w:val="21"/>
                <w:vertAlign w:val="superscript"/>
              </w:rPr>
              <w:t>3</w:t>
            </w:r>
            <w:r>
              <w:rPr>
                <w:rFonts w:ascii="Times New Roman"/>
                <w:sz w:val="21"/>
                <w:szCs w:val="21"/>
              </w:rPr>
              <w:t>，目测见不到排风管的排气色（即排风管出口风帽不被所喷涂料着色）。涂装废气进入后续VOCs处理设施前，应将有机物浓度控制在其爆炸极限下限的25%以下。</w:t>
            </w:r>
          </w:p>
        </w:tc>
        <w:tc>
          <w:tcPr>
            <w:tcW w:w="2826" w:type="dxa"/>
            <w:tcBorders>
              <w:left w:val="single" w:color="auto" w:sz="4" w:space="0"/>
              <w:right w:val="single" w:color="auto" w:sz="4" w:space="0"/>
            </w:tcBorders>
            <w:vAlign w:val="center"/>
          </w:tcPr>
          <w:p w14:paraId="6F39307E">
            <w:pPr>
              <w:jc w:val="center"/>
              <w:rPr>
                <w:rFonts w:ascii="Times New Roman"/>
                <w:sz w:val="21"/>
                <w:szCs w:val="21"/>
              </w:rPr>
            </w:pPr>
            <w:r>
              <w:rPr>
                <w:rFonts w:hint="eastAsia" w:ascii="Times New Roman"/>
                <w:sz w:val="21"/>
                <w:szCs w:val="21"/>
              </w:rPr>
              <w:t>企业根据总部运行管理经验，漆雾处理采用干式过滤器</w:t>
            </w:r>
            <w:r>
              <w:rPr>
                <w:rFonts w:ascii="Times New Roman"/>
                <w:sz w:val="21"/>
                <w:szCs w:val="21"/>
              </w:rPr>
              <w:t>，</w:t>
            </w:r>
            <w:r>
              <w:rPr>
                <w:rFonts w:hint="eastAsia" w:ascii="Times New Roman"/>
                <w:sz w:val="21"/>
                <w:szCs w:val="21"/>
              </w:rPr>
              <w:t>其</w:t>
            </w:r>
            <w:r>
              <w:rPr>
                <w:rFonts w:ascii="Times New Roman"/>
                <w:sz w:val="21"/>
                <w:szCs w:val="21"/>
              </w:rPr>
              <w:t>去除效率应大于85%</w:t>
            </w:r>
            <w:r>
              <w:rPr>
                <w:rFonts w:hint="eastAsia" w:ascii="Times New Roman"/>
                <w:sz w:val="21"/>
                <w:szCs w:val="21"/>
              </w:rPr>
              <w:t>，</w:t>
            </w:r>
            <w:r>
              <w:rPr>
                <w:rFonts w:ascii="Times New Roman"/>
                <w:sz w:val="21"/>
                <w:szCs w:val="21"/>
              </w:rPr>
              <w:t>干式过滤器设置滤棉自动更换提醒系统</w:t>
            </w:r>
            <w:r>
              <w:rPr>
                <w:rFonts w:hint="eastAsia" w:ascii="Times New Roman"/>
                <w:sz w:val="21"/>
                <w:szCs w:val="21"/>
              </w:rPr>
              <w:t>，确保进入吸附系统颗粒排出量＜1</w:t>
            </w:r>
            <w:r>
              <w:rPr>
                <w:rFonts w:ascii="Times New Roman"/>
                <w:sz w:val="21"/>
                <w:szCs w:val="21"/>
              </w:rPr>
              <w:t>mg/m</w:t>
            </w:r>
            <w:r>
              <w:rPr>
                <w:rFonts w:ascii="Times New Roman"/>
                <w:sz w:val="21"/>
                <w:szCs w:val="21"/>
                <w:vertAlign w:val="superscript"/>
              </w:rPr>
              <w:t>3</w:t>
            </w:r>
            <w:r>
              <w:rPr>
                <w:rFonts w:ascii="Times New Roman"/>
                <w:sz w:val="21"/>
                <w:szCs w:val="21"/>
              </w:rPr>
              <w:t>。</w:t>
            </w:r>
            <w:r>
              <w:rPr>
                <w:rFonts w:hint="eastAsia" w:ascii="Times New Roman"/>
                <w:sz w:val="21"/>
                <w:szCs w:val="21"/>
              </w:rPr>
              <w:t>项目废气净化装置为生产设备供应厂商统一设计施工，设有温度超温报警装置、阻火装置、泄压装置、防爆装置等，确保设备稳定运行</w:t>
            </w:r>
            <w:r>
              <w:rPr>
                <w:rFonts w:ascii="Times New Roman"/>
                <w:sz w:val="21"/>
                <w:szCs w:val="21"/>
              </w:rPr>
              <w:t>。</w:t>
            </w:r>
          </w:p>
        </w:tc>
        <w:tc>
          <w:tcPr>
            <w:tcW w:w="537" w:type="pct"/>
            <w:tcBorders>
              <w:left w:val="single" w:color="auto" w:sz="4" w:space="0"/>
              <w:right w:val="single" w:color="auto" w:sz="4" w:space="0"/>
            </w:tcBorders>
            <w:vAlign w:val="center"/>
          </w:tcPr>
          <w:p w14:paraId="6E4A7998">
            <w:pPr>
              <w:jc w:val="center"/>
              <w:rPr>
                <w:rFonts w:ascii="Times New Roman"/>
                <w:sz w:val="21"/>
                <w:szCs w:val="21"/>
              </w:rPr>
            </w:pPr>
            <w:r>
              <w:rPr>
                <w:rFonts w:hint="eastAsia" w:ascii="Times New Roman"/>
                <w:sz w:val="21"/>
                <w:szCs w:val="21"/>
              </w:rPr>
              <w:t>符合</w:t>
            </w:r>
          </w:p>
        </w:tc>
      </w:tr>
      <w:tr w14:paraId="5973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trPr>
        <w:tc>
          <w:tcPr>
            <w:tcW w:w="764" w:type="pct"/>
            <w:vMerge w:val="continue"/>
            <w:tcBorders>
              <w:left w:val="single" w:color="auto" w:sz="4" w:space="0"/>
              <w:right w:val="single" w:color="auto" w:sz="4" w:space="0"/>
            </w:tcBorders>
            <w:vAlign w:val="center"/>
          </w:tcPr>
          <w:p w14:paraId="6C68F691">
            <w:pPr>
              <w:jc w:val="center"/>
              <w:rPr>
                <w:rFonts w:ascii="Times New Roman"/>
                <w:sz w:val="21"/>
                <w:szCs w:val="21"/>
              </w:rPr>
            </w:pPr>
          </w:p>
        </w:tc>
        <w:tc>
          <w:tcPr>
            <w:tcW w:w="3405" w:type="dxa"/>
            <w:tcBorders>
              <w:left w:val="single" w:color="auto" w:sz="4" w:space="0"/>
              <w:right w:val="single" w:color="auto" w:sz="4" w:space="0"/>
            </w:tcBorders>
            <w:vAlign w:val="center"/>
          </w:tcPr>
          <w:p w14:paraId="66E1A964">
            <w:pPr>
              <w:jc w:val="center"/>
              <w:rPr>
                <w:rFonts w:ascii="Times New Roman"/>
                <w:sz w:val="21"/>
                <w:szCs w:val="21"/>
              </w:rPr>
            </w:pPr>
            <w:r>
              <w:rPr>
                <w:rFonts w:hint="eastAsia" w:ascii="Times New Roman"/>
                <w:sz w:val="21"/>
                <w:szCs w:val="21"/>
              </w:rPr>
              <w:t>7、</w:t>
            </w:r>
            <w:r>
              <w:rPr>
                <w:rFonts w:ascii="Times New Roman"/>
                <w:sz w:val="21"/>
                <w:szCs w:val="21"/>
              </w:rPr>
              <w:t>末端治理技术要求：①机加工、打磨工序设置中央除尘系统或采用袋式除尘、滤筒除尘等工艺。②采用蓄热燃烧、催化燃烧等高效VOCs废气处理工艺，取消UV紫外光分解或低温等离子等低效治理工艺。③烘干废气宜采用燃烧技术单独处理，具备条件的可采用回收式热力燃烧设施。调漆和清洗废气可与喷涂、流平、烘干废气一并处理。</w:t>
            </w:r>
          </w:p>
        </w:tc>
        <w:tc>
          <w:tcPr>
            <w:tcW w:w="2826" w:type="dxa"/>
            <w:tcBorders>
              <w:left w:val="single" w:color="auto" w:sz="4" w:space="0"/>
              <w:right w:val="single" w:color="auto" w:sz="4" w:space="0"/>
            </w:tcBorders>
            <w:vAlign w:val="center"/>
          </w:tcPr>
          <w:p w14:paraId="546090B1">
            <w:pPr>
              <w:jc w:val="center"/>
              <w:rPr>
                <w:rFonts w:ascii="Times New Roman"/>
                <w:sz w:val="21"/>
                <w:szCs w:val="21"/>
              </w:rPr>
            </w:pPr>
            <w:r>
              <w:rPr>
                <w:rFonts w:ascii="Times New Roman"/>
                <w:sz w:val="21"/>
                <w:szCs w:val="21"/>
              </w:rPr>
              <w:t>①</w:t>
            </w:r>
            <w:r>
              <w:rPr>
                <w:rFonts w:hint="eastAsia" w:ascii="Times New Roman"/>
                <w:sz w:val="21"/>
                <w:szCs w:val="21"/>
              </w:rPr>
              <w:t>项目</w:t>
            </w:r>
            <w:r>
              <w:rPr>
                <w:rFonts w:ascii="Times New Roman"/>
                <w:sz w:val="21"/>
                <w:szCs w:val="21"/>
              </w:rPr>
              <w:t>机加工、打磨工序设置滤筒除尘工艺。②</w:t>
            </w:r>
            <w:r>
              <w:rPr>
                <w:rFonts w:hint="eastAsia" w:ascii="Times New Roman"/>
                <w:sz w:val="21"/>
                <w:szCs w:val="21"/>
              </w:rPr>
              <w:t>项目</w:t>
            </w:r>
            <w:r>
              <w:rPr>
                <w:rFonts w:ascii="Times New Roman"/>
                <w:sz w:val="21"/>
                <w:szCs w:val="21"/>
              </w:rPr>
              <w:t>调漆废气与喷涂、烘干废气一并采用</w:t>
            </w:r>
            <w:r>
              <w:rPr>
                <w:rFonts w:hint="eastAsia" w:ascii="Times New Roman"/>
                <w:sz w:val="21"/>
                <w:szCs w:val="21"/>
              </w:rPr>
              <w:t>沸石轮转+RTO蓄热</w:t>
            </w:r>
            <w:r>
              <w:rPr>
                <w:rFonts w:ascii="Times New Roman"/>
                <w:sz w:val="21"/>
                <w:szCs w:val="21"/>
              </w:rPr>
              <w:t>燃烧处理</w:t>
            </w:r>
            <w:r>
              <w:rPr>
                <w:rFonts w:hint="eastAsia" w:ascii="Times New Roman"/>
                <w:sz w:val="21"/>
                <w:szCs w:val="21"/>
              </w:rPr>
              <w:t>后排放</w:t>
            </w:r>
            <w:r>
              <w:rPr>
                <w:rFonts w:ascii="Times New Roman"/>
                <w:sz w:val="21"/>
                <w:szCs w:val="21"/>
              </w:rPr>
              <w:t>。</w:t>
            </w:r>
          </w:p>
        </w:tc>
        <w:tc>
          <w:tcPr>
            <w:tcW w:w="537" w:type="pct"/>
            <w:tcBorders>
              <w:left w:val="single" w:color="auto" w:sz="4" w:space="0"/>
              <w:right w:val="single" w:color="auto" w:sz="4" w:space="0"/>
            </w:tcBorders>
            <w:vAlign w:val="center"/>
          </w:tcPr>
          <w:p w14:paraId="232226F0">
            <w:pPr>
              <w:jc w:val="center"/>
              <w:rPr>
                <w:rFonts w:ascii="Times New Roman"/>
                <w:sz w:val="21"/>
                <w:szCs w:val="21"/>
              </w:rPr>
            </w:pPr>
            <w:r>
              <w:rPr>
                <w:rFonts w:hint="eastAsia" w:ascii="Times New Roman"/>
                <w:sz w:val="21"/>
                <w:szCs w:val="21"/>
              </w:rPr>
              <w:t>符合</w:t>
            </w:r>
          </w:p>
        </w:tc>
      </w:tr>
      <w:tr w14:paraId="5552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764" w:type="pct"/>
            <w:vMerge w:val="continue"/>
            <w:tcBorders>
              <w:left w:val="single" w:color="auto" w:sz="4" w:space="0"/>
              <w:right w:val="single" w:color="auto" w:sz="4" w:space="0"/>
            </w:tcBorders>
            <w:vAlign w:val="center"/>
          </w:tcPr>
          <w:p w14:paraId="5C95BDC6">
            <w:pPr>
              <w:jc w:val="center"/>
              <w:rPr>
                <w:rFonts w:ascii="Times New Roman"/>
                <w:sz w:val="21"/>
                <w:szCs w:val="21"/>
              </w:rPr>
            </w:pPr>
          </w:p>
        </w:tc>
        <w:tc>
          <w:tcPr>
            <w:tcW w:w="3405" w:type="dxa"/>
            <w:tcBorders>
              <w:left w:val="single" w:color="auto" w:sz="4" w:space="0"/>
              <w:right w:val="single" w:color="auto" w:sz="4" w:space="0"/>
            </w:tcBorders>
            <w:vAlign w:val="center"/>
          </w:tcPr>
          <w:p w14:paraId="2CCB80D2">
            <w:pPr>
              <w:jc w:val="center"/>
              <w:rPr>
                <w:rFonts w:ascii="Times New Roman"/>
                <w:sz w:val="21"/>
                <w:szCs w:val="21"/>
              </w:rPr>
            </w:pPr>
            <w:r>
              <w:rPr>
                <w:rFonts w:hint="eastAsia" w:ascii="Times New Roman"/>
                <w:sz w:val="21"/>
                <w:szCs w:val="21"/>
              </w:rPr>
              <w:t>8、</w:t>
            </w:r>
            <w:r>
              <w:rPr>
                <w:rFonts w:ascii="Times New Roman"/>
                <w:sz w:val="21"/>
                <w:szCs w:val="21"/>
              </w:rPr>
              <w:t>废气治理设施风量匹配改造技术要求。工业涂装生产线采用整体密闭的，密闭区域内换风次数原则上不少于20次／h，车间采用整体密闭的（如烘干、晾干车间、流平车间等），车间换风次数原则上不少于8次／h。</w:t>
            </w:r>
          </w:p>
        </w:tc>
        <w:tc>
          <w:tcPr>
            <w:tcW w:w="2826" w:type="dxa"/>
            <w:tcBorders>
              <w:left w:val="single" w:color="auto" w:sz="4" w:space="0"/>
              <w:right w:val="single" w:color="auto" w:sz="4" w:space="0"/>
            </w:tcBorders>
            <w:vAlign w:val="center"/>
          </w:tcPr>
          <w:p w14:paraId="0418E240">
            <w:pPr>
              <w:jc w:val="center"/>
              <w:rPr>
                <w:rFonts w:ascii="Times New Roman"/>
                <w:sz w:val="21"/>
                <w:szCs w:val="21"/>
              </w:rPr>
            </w:pPr>
            <w:r>
              <w:rPr>
                <w:rFonts w:hint="eastAsia" w:ascii="Times New Roman"/>
                <w:sz w:val="21"/>
                <w:szCs w:val="21"/>
              </w:rPr>
              <w:t>本项目</w:t>
            </w:r>
            <w:r>
              <w:rPr>
                <w:rFonts w:ascii="Times New Roman"/>
                <w:sz w:val="21"/>
                <w:szCs w:val="21"/>
              </w:rPr>
              <w:t>工业涂装生产线</w:t>
            </w:r>
            <w:r>
              <w:rPr>
                <w:rFonts w:hint="eastAsia" w:ascii="Times New Roman"/>
                <w:sz w:val="21"/>
                <w:szCs w:val="21"/>
              </w:rPr>
              <w:t>调漆间、喷漆间和烘干间</w:t>
            </w:r>
            <w:r>
              <w:rPr>
                <w:rFonts w:ascii="Times New Roman"/>
                <w:sz w:val="21"/>
                <w:szCs w:val="21"/>
              </w:rPr>
              <w:t>采用整体密闭，密闭区域内换风次数</w:t>
            </w:r>
            <w:r>
              <w:rPr>
                <w:rFonts w:hint="eastAsia" w:ascii="Times New Roman"/>
                <w:sz w:val="21"/>
                <w:szCs w:val="21"/>
              </w:rPr>
              <w:t>大于</w:t>
            </w:r>
            <w:r>
              <w:rPr>
                <w:rFonts w:ascii="Times New Roman"/>
                <w:sz w:val="21"/>
                <w:szCs w:val="21"/>
              </w:rPr>
              <w:t>20次／h。</w:t>
            </w:r>
          </w:p>
        </w:tc>
        <w:tc>
          <w:tcPr>
            <w:tcW w:w="537" w:type="pct"/>
            <w:tcBorders>
              <w:left w:val="single" w:color="auto" w:sz="4" w:space="0"/>
              <w:right w:val="single" w:color="auto" w:sz="4" w:space="0"/>
            </w:tcBorders>
            <w:vAlign w:val="center"/>
          </w:tcPr>
          <w:p w14:paraId="1DD24426">
            <w:pPr>
              <w:jc w:val="center"/>
              <w:rPr>
                <w:rFonts w:ascii="Times New Roman"/>
                <w:sz w:val="21"/>
                <w:szCs w:val="21"/>
              </w:rPr>
            </w:pPr>
            <w:r>
              <w:rPr>
                <w:rFonts w:hint="eastAsia" w:ascii="Times New Roman"/>
                <w:sz w:val="21"/>
                <w:szCs w:val="21"/>
              </w:rPr>
              <w:t>符合</w:t>
            </w:r>
          </w:p>
        </w:tc>
      </w:tr>
      <w:tr w14:paraId="5BC6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 w:hRule="atLeast"/>
        </w:trPr>
        <w:tc>
          <w:tcPr>
            <w:tcW w:w="764" w:type="pct"/>
            <w:vMerge w:val="continue"/>
            <w:tcBorders>
              <w:left w:val="single" w:color="auto" w:sz="4" w:space="0"/>
              <w:right w:val="single" w:color="auto" w:sz="4" w:space="0"/>
            </w:tcBorders>
            <w:vAlign w:val="center"/>
          </w:tcPr>
          <w:p w14:paraId="3B83C657">
            <w:pPr>
              <w:jc w:val="center"/>
              <w:rPr>
                <w:rFonts w:ascii="Times New Roman"/>
                <w:sz w:val="21"/>
                <w:szCs w:val="21"/>
              </w:rPr>
            </w:pPr>
          </w:p>
        </w:tc>
        <w:tc>
          <w:tcPr>
            <w:tcW w:w="3405" w:type="dxa"/>
            <w:tcBorders>
              <w:left w:val="single" w:color="auto" w:sz="4" w:space="0"/>
              <w:right w:val="single" w:color="auto" w:sz="4" w:space="0"/>
            </w:tcBorders>
            <w:vAlign w:val="center"/>
          </w:tcPr>
          <w:p w14:paraId="30F6C6FB">
            <w:pPr>
              <w:jc w:val="center"/>
              <w:rPr>
                <w:rFonts w:ascii="Times New Roman"/>
                <w:sz w:val="21"/>
                <w:szCs w:val="21"/>
              </w:rPr>
            </w:pPr>
            <w:r>
              <w:rPr>
                <w:rFonts w:hint="eastAsia" w:ascii="Times New Roman"/>
                <w:sz w:val="21"/>
                <w:szCs w:val="21"/>
              </w:rPr>
              <w:t>9、</w:t>
            </w:r>
            <w:r>
              <w:rPr>
                <w:rFonts w:ascii="Times New Roman"/>
                <w:sz w:val="21"/>
                <w:szCs w:val="21"/>
              </w:rPr>
              <w:t>监测要求。企业按照环境监测管理规定和技术规范要求，设计、建设、维护永久性采样口、采样测试平台和排污口标志，有机废气排放口符合安装连续自动监测设备条件的，必须安装连续自动监测设备（FID），实现与市监控系统联网。</w:t>
            </w:r>
          </w:p>
        </w:tc>
        <w:tc>
          <w:tcPr>
            <w:tcW w:w="2826" w:type="dxa"/>
            <w:tcBorders>
              <w:left w:val="single" w:color="auto" w:sz="4" w:space="0"/>
              <w:right w:val="single" w:color="auto" w:sz="4" w:space="0"/>
            </w:tcBorders>
            <w:vAlign w:val="center"/>
          </w:tcPr>
          <w:p w14:paraId="7E61B48E">
            <w:pPr>
              <w:jc w:val="center"/>
              <w:rPr>
                <w:rFonts w:ascii="Times New Roman"/>
                <w:sz w:val="21"/>
                <w:szCs w:val="21"/>
              </w:rPr>
            </w:pPr>
            <w:r>
              <w:rPr>
                <w:rFonts w:hint="eastAsia" w:ascii="Times New Roman"/>
                <w:sz w:val="21"/>
                <w:szCs w:val="21"/>
              </w:rPr>
              <w:t>评价要求企业</w:t>
            </w:r>
            <w:r>
              <w:rPr>
                <w:rFonts w:ascii="Times New Roman"/>
                <w:sz w:val="21"/>
                <w:szCs w:val="21"/>
              </w:rPr>
              <w:t>按照环境监测管理规定和技术规范要求，设计、建设、维护永久性采样口、采样测试平台和排污口标志</w:t>
            </w:r>
            <w:r>
              <w:rPr>
                <w:rFonts w:hint="eastAsia" w:ascii="Times New Roman"/>
                <w:sz w:val="21"/>
                <w:szCs w:val="21"/>
              </w:rPr>
              <w:t>。项目按照相关要求安装VOC超标报警装置</w:t>
            </w:r>
            <w:r>
              <w:rPr>
                <w:rFonts w:ascii="Times New Roman"/>
                <w:sz w:val="21"/>
                <w:szCs w:val="21"/>
              </w:rPr>
              <w:t>。</w:t>
            </w:r>
          </w:p>
        </w:tc>
        <w:tc>
          <w:tcPr>
            <w:tcW w:w="537" w:type="pct"/>
            <w:tcBorders>
              <w:left w:val="single" w:color="auto" w:sz="4" w:space="0"/>
              <w:right w:val="single" w:color="auto" w:sz="4" w:space="0"/>
            </w:tcBorders>
            <w:vAlign w:val="center"/>
          </w:tcPr>
          <w:p w14:paraId="17BEF8FF">
            <w:pPr>
              <w:jc w:val="center"/>
              <w:rPr>
                <w:rFonts w:ascii="Times New Roman"/>
                <w:sz w:val="21"/>
                <w:szCs w:val="21"/>
              </w:rPr>
            </w:pPr>
            <w:r>
              <w:rPr>
                <w:rFonts w:hint="eastAsia" w:ascii="Times New Roman"/>
                <w:sz w:val="21"/>
                <w:szCs w:val="21"/>
              </w:rPr>
              <w:t>符合</w:t>
            </w:r>
          </w:p>
        </w:tc>
      </w:tr>
      <w:tr w14:paraId="52E6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764" w:type="pct"/>
            <w:vMerge w:val="continue"/>
            <w:tcBorders>
              <w:left w:val="single" w:color="auto" w:sz="4" w:space="0"/>
              <w:right w:val="single" w:color="auto" w:sz="4" w:space="0"/>
            </w:tcBorders>
            <w:vAlign w:val="center"/>
          </w:tcPr>
          <w:p w14:paraId="45D002C0">
            <w:pPr>
              <w:jc w:val="center"/>
              <w:rPr>
                <w:rFonts w:ascii="Times New Roman"/>
                <w:sz w:val="21"/>
                <w:szCs w:val="21"/>
              </w:rPr>
            </w:pPr>
          </w:p>
        </w:tc>
        <w:tc>
          <w:tcPr>
            <w:tcW w:w="3405" w:type="dxa"/>
            <w:tcBorders>
              <w:left w:val="single" w:color="auto" w:sz="4" w:space="0"/>
              <w:right w:val="single" w:color="auto" w:sz="4" w:space="0"/>
            </w:tcBorders>
            <w:vAlign w:val="center"/>
          </w:tcPr>
          <w:p w14:paraId="527E806A">
            <w:pPr>
              <w:jc w:val="center"/>
              <w:rPr>
                <w:rFonts w:ascii="Times New Roman"/>
                <w:sz w:val="21"/>
                <w:szCs w:val="21"/>
              </w:rPr>
            </w:pPr>
            <w:r>
              <w:rPr>
                <w:rFonts w:hint="eastAsia" w:ascii="Times New Roman"/>
                <w:sz w:val="21"/>
                <w:szCs w:val="21"/>
              </w:rPr>
              <w:t>10、</w:t>
            </w:r>
            <w:r>
              <w:rPr>
                <w:rFonts w:ascii="Times New Roman"/>
                <w:sz w:val="21"/>
                <w:szCs w:val="21"/>
              </w:rPr>
              <w:t>加强VOCs污染控制及治理设施运行记录管理，应符合《工业企业挥发性有机污染物排放控制标准》（DB13/2322-2016）附录A有关要求，并明确专人负责。</w:t>
            </w:r>
          </w:p>
        </w:tc>
        <w:tc>
          <w:tcPr>
            <w:tcW w:w="2826" w:type="dxa"/>
            <w:tcBorders>
              <w:left w:val="single" w:color="auto" w:sz="4" w:space="0"/>
              <w:right w:val="single" w:color="auto" w:sz="4" w:space="0"/>
            </w:tcBorders>
            <w:vAlign w:val="center"/>
          </w:tcPr>
          <w:p w14:paraId="325AAB49">
            <w:pPr>
              <w:jc w:val="center"/>
              <w:rPr>
                <w:rFonts w:ascii="Times New Roman"/>
                <w:sz w:val="21"/>
                <w:szCs w:val="21"/>
              </w:rPr>
            </w:pPr>
            <w:r>
              <w:rPr>
                <w:rFonts w:hint="eastAsia" w:ascii="Times New Roman"/>
                <w:sz w:val="21"/>
                <w:szCs w:val="21"/>
              </w:rPr>
              <w:t>评价要求企业按照</w:t>
            </w:r>
            <w:r>
              <w:rPr>
                <w:rFonts w:ascii="Times New Roman"/>
                <w:sz w:val="21"/>
                <w:szCs w:val="21"/>
              </w:rPr>
              <w:t>《工业企业挥发性有机污染物排放控制标准》（DB13/2322-2016）附录A有关要求，加强VOCs污染控制及治理设施运行记录管理，并明确专人负责。</w:t>
            </w:r>
          </w:p>
        </w:tc>
        <w:tc>
          <w:tcPr>
            <w:tcW w:w="537" w:type="pct"/>
            <w:tcBorders>
              <w:left w:val="single" w:color="auto" w:sz="4" w:space="0"/>
              <w:right w:val="single" w:color="auto" w:sz="4" w:space="0"/>
            </w:tcBorders>
            <w:vAlign w:val="center"/>
          </w:tcPr>
          <w:p w14:paraId="286F2833">
            <w:pPr>
              <w:jc w:val="center"/>
              <w:rPr>
                <w:rFonts w:ascii="Times New Roman"/>
                <w:sz w:val="21"/>
                <w:szCs w:val="21"/>
              </w:rPr>
            </w:pPr>
            <w:r>
              <w:rPr>
                <w:rFonts w:hint="eastAsia" w:ascii="Times New Roman"/>
                <w:sz w:val="21"/>
                <w:szCs w:val="21"/>
              </w:rPr>
              <w:t>符合</w:t>
            </w:r>
          </w:p>
        </w:tc>
      </w:tr>
      <w:tr w14:paraId="0947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trPr>
        <w:tc>
          <w:tcPr>
            <w:tcW w:w="764" w:type="pct"/>
            <w:vMerge w:val="continue"/>
            <w:tcBorders>
              <w:left w:val="single" w:color="auto" w:sz="4" w:space="0"/>
              <w:right w:val="single" w:color="auto" w:sz="4" w:space="0"/>
            </w:tcBorders>
            <w:vAlign w:val="center"/>
          </w:tcPr>
          <w:p w14:paraId="2C0F99A6">
            <w:pPr>
              <w:jc w:val="center"/>
              <w:rPr>
                <w:rFonts w:ascii="Times New Roman"/>
                <w:sz w:val="21"/>
                <w:szCs w:val="21"/>
              </w:rPr>
            </w:pPr>
          </w:p>
        </w:tc>
        <w:tc>
          <w:tcPr>
            <w:tcW w:w="3405" w:type="dxa"/>
            <w:tcBorders>
              <w:left w:val="single" w:color="auto" w:sz="4" w:space="0"/>
              <w:right w:val="single" w:color="auto" w:sz="4" w:space="0"/>
            </w:tcBorders>
            <w:vAlign w:val="center"/>
          </w:tcPr>
          <w:p w14:paraId="6FCEFFD5">
            <w:pPr>
              <w:jc w:val="center"/>
              <w:rPr>
                <w:rFonts w:ascii="Times New Roman"/>
                <w:sz w:val="21"/>
                <w:szCs w:val="21"/>
              </w:rPr>
            </w:pPr>
            <w:r>
              <w:rPr>
                <w:rFonts w:hint="eastAsia" w:ascii="Times New Roman"/>
                <w:sz w:val="21"/>
                <w:szCs w:val="21"/>
              </w:rPr>
              <w:t>11、</w:t>
            </w:r>
            <w:r>
              <w:rPr>
                <w:rFonts w:ascii="Times New Roman"/>
                <w:sz w:val="21"/>
                <w:szCs w:val="21"/>
              </w:rPr>
              <w:t>治理管控效果。无组织 VOCs排放满足河北省《工业企业挥发性有机物排放控制标准》（DB13/2322-2016）排放限值要求。</w:t>
            </w:r>
          </w:p>
        </w:tc>
        <w:tc>
          <w:tcPr>
            <w:tcW w:w="2826" w:type="dxa"/>
            <w:tcBorders>
              <w:left w:val="single" w:color="auto" w:sz="4" w:space="0"/>
              <w:right w:val="single" w:color="auto" w:sz="4" w:space="0"/>
            </w:tcBorders>
            <w:vAlign w:val="center"/>
          </w:tcPr>
          <w:p w14:paraId="4CB07E53">
            <w:pPr>
              <w:jc w:val="center"/>
              <w:rPr>
                <w:rFonts w:ascii="Times New Roman"/>
                <w:sz w:val="21"/>
                <w:szCs w:val="21"/>
              </w:rPr>
            </w:pPr>
            <w:r>
              <w:rPr>
                <w:rFonts w:hint="eastAsia" w:ascii="Times New Roman"/>
                <w:sz w:val="21"/>
                <w:szCs w:val="21"/>
              </w:rPr>
              <w:t>项目严格落实无组织废气管控措施，经预测</w:t>
            </w:r>
            <w:r>
              <w:rPr>
                <w:rFonts w:ascii="Times New Roman"/>
                <w:sz w:val="21"/>
                <w:szCs w:val="21"/>
              </w:rPr>
              <w:t>VOCs排放</w:t>
            </w:r>
            <w:r>
              <w:rPr>
                <w:rFonts w:hint="eastAsia" w:ascii="Times New Roman"/>
                <w:sz w:val="21"/>
                <w:szCs w:val="21"/>
              </w:rPr>
              <w:t>满足</w:t>
            </w:r>
            <w:r>
              <w:rPr>
                <w:rFonts w:ascii="Times New Roman"/>
                <w:sz w:val="21"/>
                <w:szCs w:val="21"/>
              </w:rPr>
              <w:t>排放限值要求。</w:t>
            </w:r>
          </w:p>
        </w:tc>
        <w:tc>
          <w:tcPr>
            <w:tcW w:w="537" w:type="pct"/>
            <w:tcBorders>
              <w:left w:val="single" w:color="auto" w:sz="4" w:space="0"/>
              <w:right w:val="single" w:color="auto" w:sz="4" w:space="0"/>
            </w:tcBorders>
            <w:vAlign w:val="center"/>
          </w:tcPr>
          <w:p w14:paraId="0F1C7137">
            <w:pPr>
              <w:jc w:val="center"/>
              <w:rPr>
                <w:rFonts w:ascii="Times New Roman"/>
                <w:sz w:val="21"/>
                <w:szCs w:val="21"/>
              </w:rPr>
            </w:pPr>
            <w:r>
              <w:rPr>
                <w:rFonts w:hint="eastAsia" w:ascii="Times New Roman"/>
                <w:sz w:val="21"/>
                <w:szCs w:val="21"/>
              </w:rPr>
              <w:t>符合</w:t>
            </w:r>
          </w:p>
        </w:tc>
      </w:tr>
      <w:tr w14:paraId="5884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left w:val="single" w:color="auto" w:sz="4" w:space="0"/>
              <w:right w:val="single" w:color="auto" w:sz="4" w:space="0"/>
            </w:tcBorders>
            <w:vAlign w:val="center"/>
          </w:tcPr>
          <w:p w14:paraId="02317229">
            <w:pPr>
              <w:jc w:val="center"/>
              <w:rPr>
                <w:rFonts w:ascii="Times New Roman"/>
                <w:sz w:val="21"/>
                <w:szCs w:val="21"/>
              </w:rPr>
            </w:pPr>
            <w:r>
              <w:rPr>
                <w:rFonts w:ascii="Times New Roman"/>
                <w:sz w:val="21"/>
                <w:szCs w:val="21"/>
              </w:rPr>
              <w:t>唐山市生态环境局曹妃甸分局《关于</w:t>
            </w:r>
            <w:r>
              <w:rPr>
                <w:rFonts w:hint="eastAsia" w:ascii="Times New Roman"/>
                <w:sz w:val="21"/>
                <w:szCs w:val="21"/>
              </w:rPr>
              <w:t>我区</w:t>
            </w:r>
            <w:r>
              <w:rPr>
                <w:rFonts w:ascii="Times New Roman"/>
                <w:sz w:val="21"/>
                <w:szCs w:val="21"/>
              </w:rPr>
              <w:t>涉VOCs企业提标改造限期治理的紧急通知》</w:t>
            </w:r>
            <w:r>
              <w:rPr>
                <w:rFonts w:ascii="Times New Roman"/>
                <w:kern w:val="0"/>
                <w:sz w:val="21"/>
                <w:szCs w:val="21"/>
              </w:rPr>
              <w:t>（2021.3.16）</w:t>
            </w:r>
          </w:p>
        </w:tc>
        <w:tc>
          <w:tcPr>
            <w:tcW w:w="2020" w:type="pct"/>
            <w:tcBorders>
              <w:left w:val="single" w:color="auto" w:sz="4" w:space="0"/>
              <w:right w:val="single" w:color="auto" w:sz="4" w:space="0"/>
            </w:tcBorders>
            <w:vAlign w:val="center"/>
          </w:tcPr>
          <w:p w14:paraId="20475036">
            <w:pPr>
              <w:rPr>
                <w:rFonts w:ascii="Times New Roman"/>
                <w:sz w:val="21"/>
                <w:szCs w:val="21"/>
              </w:rPr>
            </w:pPr>
            <w:r>
              <w:rPr>
                <w:rFonts w:ascii="Times New Roman"/>
                <w:spacing w:val="-6"/>
                <w:kern w:val="0"/>
                <w:sz w:val="21"/>
                <w:szCs w:val="21"/>
              </w:rPr>
              <w:t>涉VOCs化工、玻璃钢、包装印刷等行业企业以及排放速率大于2.5kg/h或排气量大于30000m</w:t>
            </w:r>
            <w:r>
              <w:rPr>
                <w:rFonts w:ascii="Times New Roman"/>
                <w:spacing w:val="-6"/>
                <w:kern w:val="0"/>
                <w:sz w:val="21"/>
                <w:szCs w:val="21"/>
                <w:vertAlign w:val="superscript"/>
              </w:rPr>
              <w:t>3</w:t>
            </w:r>
            <w:r>
              <w:rPr>
                <w:rFonts w:ascii="Times New Roman"/>
                <w:spacing w:val="-6"/>
                <w:kern w:val="0"/>
                <w:sz w:val="21"/>
                <w:szCs w:val="21"/>
              </w:rPr>
              <w:t>/h的其他涉VOCs</w:t>
            </w:r>
            <w:r>
              <w:rPr>
                <w:rFonts w:hint="eastAsia" w:ascii="Times New Roman"/>
                <w:spacing w:val="-6"/>
                <w:kern w:val="0"/>
                <w:sz w:val="21"/>
                <w:szCs w:val="21"/>
              </w:rPr>
              <w:t>企业</w:t>
            </w:r>
            <w:r>
              <w:rPr>
                <w:rFonts w:ascii="Times New Roman"/>
                <w:spacing w:val="-6"/>
                <w:kern w:val="0"/>
                <w:sz w:val="21"/>
                <w:szCs w:val="21"/>
              </w:rPr>
              <w:t>，安装VOCs在线监测设施，未达到以上在线监测设施安装条件的其他企业在涉VOCs车间主要出入口安装VOCs超标报警传感装置。</w:t>
            </w:r>
          </w:p>
        </w:tc>
        <w:tc>
          <w:tcPr>
            <w:tcW w:w="1677" w:type="pct"/>
            <w:tcBorders>
              <w:left w:val="single" w:color="auto" w:sz="4" w:space="0"/>
              <w:right w:val="single" w:color="auto" w:sz="4" w:space="0"/>
            </w:tcBorders>
            <w:vAlign w:val="center"/>
          </w:tcPr>
          <w:p w14:paraId="025224B0">
            <w:pPr>
              <w:jc w:val="center"/>
              <w:rPr>
                <w:rFonts w:ascii="Times New Roman"/>
                <w:sz w:val="21"/>
                <w:szCs w:val="21"/>
              </w:rPr>
            </w:pPr>
            <w:r>
              <w:rPr>
                <w:rFonts w:ascii="Times New Roman"/>
                <w:sz w:val="21"/>
                <w:szCs w:val="21"/>
              </w:rPr>
              <w:t>本项目喷塑固化、强冷、电泳、喷漆、流平、烘干固化工序（DA009)排气筒风机风量为232000m</w:t>
            </w:r>
            <w:r>
              <w:rPr>
                <w:rFonts w:ascii="Times New Roman"/>
                <w:sz w:val="21"/>
                <w:szCs w:val="21"/>
                <w:vertAlign w:val="superscript"/>
              </w:rPr>
              <w:t>3</w:t>
            </w:r>
            <w:r>
              <w:rPr>
                <w:rFonts w:ascii="Times New Roman"/>
                <w:sz w:val="21"/>
                <w:szCs w:val="21"/>
              </w:rPr>
              <w:t>/h，达到在线监测设施安装条件，按要求安装在线监测设施</w:t>
            </w:r>
            <w:r>
              <w:rPr>
                <w:rFonts w:hint="eastAsia" w:ascii="Times New Roman"/>
                <w:sz w:val="21"/>
                <w:szCs w:val="21"/>
              </w:rPr>
              <w:t>；；联合厂房、托辊及装配厂房主要出入口安装VOCs超标报警传感装置</w:t>
            </w:r>
          </w:p>
        </w:tc>
        <w:tc>
          <w:tcPr>
            <w:tcW w:w="537" w:type="pct"/>
            <w:tcBorders>
              <w:left w:val="single" w:color="auto" w:sz="4" w:space="0"/>
              <w:right w:val="single" w:color="auto" w:sz="4" w:space="0"/>
            </w:tcBorders>
            <w:vAlign w:val="center"/>
          </w:tcPr>
          <w:p w14:paraId="65A90722">
            <w:pPr>
              <w:jc w:val="center"/>
              <w:rPr>
                <w:rFonts w:ascii="Times New Roman"/>
                <w:sz w:val="21"/>
                <w:szCs w:val="21"/>
              </w:rPr>
            </w:pPr>
            <w:r>
              <w:rPr>
                <w:rFonts w:ascii="Times New Roman"/>
                <w:sz w:val="21"/>
                <w:szCs w:val="21"/>
              </w:rPr>
              <w:t>符合</w:t>
            </w:r>
          </w:p>
        </w:tc>
      </w:tr>
      <w:tr w14:paraId="27CB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left w:val="single" w:color="auto" w:sz="4" w:space="0"/>
              <w:right w:val="single" w:color="auto" w:sz="4" w:space="0"/>
            </w:tcBorders>
            <w:vAlign w:val="center"/>
          </w:tcPr>
          <w:p w14:paraId="60F81F53">
            <w:pPr>
              <w:jc w:val="center"/>
              <w:rPr>
                <w:rFonts w:ascii="Times New Roman"/>
                <w:sz w:val="21"/>
                <w:szCs w:val="21"/>
              </w:rPr>
            </w:pPr>
            <w:r>
              <w:rPr>
                <w:rFonts w:ascii="Times New Roman"/>
                <w:sz w:val="21"/>
                <w:szCs w:val="21"/>
              </w:rPr>
              <w:t>《河北省“净土行动”土壤污染防治工作方案》</w:t>
            </w:r>
          </w:p>
        </w:tc>
        <w:tc>
          <w:tcPr>
            <w:tcW w:w="2020" w:type="pct"/>
            <w:tcBorders>
              <w:left w:val="single" w:color="auto" w:sz="4" w:space="0"/>
              <w:right w:val="single" w:color="auto" w:sz="4" w:space="0"/>
            </w:tcBorders>
            <w:vAlign w:val="center"/>
          </w:tcPr>
          <w:p w14:paraId="4FCFDC99">
            <w:pPr>
              <w:rPr>
                <w:rFonts w:ascii="Times New Roman"/>
                <w:spacing w:val="-6"/>
                <w:kern w:val="0"/>
                <w:sz w:val="21"/>
                <w:szCs w:val="21"/>
              </w:rPr>
            </w:pPr>
            <w:r>
              <w:rPr>
                <w:rFonts w:ascii="Times New Roman"/>
                <w:sz w:val="21"/>
                <w:szCs w:val="21"/>
              </w:rPr>
              <w:t>严格建设项目环境准入。在规划和建设项目环境影响评价中，强化土壤环境调查，增加对土壤环境影响的评价内容，明确防范土壤污染具体措施，纳入环保“三同时”管理。严控涉重金属行业新增产能，对排放重点重金属的新增产能和淘汰产能实行“等量置换”或“减量置换”。</w:t>
            </w:r>
          </w:p>
        </w:tc>
        <w:tc>
          <w:tcPr>
            <w:tcW w:w="1677" w:type="pct"/>
            <w:tcBorders>
              <w:left w:val="single" w:color="auto" w:sz="4" w:space="0"/>
              <w:right w:val="single" w:color="auto" w:sz="4" w:space="0"/>
            </w:tcBorders>
            <w:vAlign w:val="center"/>
          </w:tcPr>
          <w:p w14:paraId="739DE5BD">
            <w:pPr>
              <w:jc w:val="center"/>
              <w:rPr>
                <w:rFonts w:ascii="Times New Roman"/>
                <w:sz w:val="21"/>
                <w:szCs w:val="21"/>
              </w:rPr>
            </w:pPr>
            <w:r>
              <w:rPr>
                <w:rFonts w:hint="eastAsia" w:ascii="Times New Roman"/>
                <w:sz w:val="21"/>
                <w:szCs w:val="21"/>
              </w:rPr>
              <w:t>根据土壤环境质量现状评价结果可知，厂内外监测点位所有监测因子均符合《土壤环境质量 建设用地土壤污染风险管控标准（试行）》（GB36600-2018）表1二类用地筛选值要求、《建设用地土壤污染风险筛选值》（DB13/T5216-2022）表1相关标准要求。</w:t>
            </w:r>
          </w:p>
          <w:p w14:paraId="6437D941">
            <w:pPr>
              <w:jc w:val="center"/>
              <w:rPr>
                <w:rFonts w:ascii="Times New Roman"/>
                <w:sz w:val="21"/>
                <w:szCs w:val="21"/>
              </w:rPr>
            </w:pPr>
            <w:r>
              <w:rPr>
                <w:rFonts w:hint="eastAsia" w:ascii="Times New Roman"/>
                <w:sz w:val="21"/>
                <w:szCs w:val="21"/>
              </w:rPr>
              <w:t>本项目不涉及</w:t>
            </w:r>
            <w:r>
              <w:rPr>
                <w:rFonts w:ascii="Times New Roman"/>
                <w:sz w:val="21"/>
                <w:szCs w:val="21"/>
              </w:rPr>
              <w:t>重金属</w:t>
            </w:r>
          </w:p>
        </w:tc>
        <w:tc>
          <w:tcPr>
            <w:tcW w:w="537" w:type="pct"/>
            <w:tcBorders>
              <w:left w:val="single" w:color="auto" w:sz="4" w:space="0"/>
              <w:right w:val="single" w:color="auto" w:sz="4" w:space="0"/>
            </w:tcBorders>
            <w:vAlign w:val="center"/>
          </w:tcPr>
          <w:p w14:paraId="39B2BD9F">
            <w:pPr>
              <w:jc w:val="center"/>
              <w:rPr>
                <w:rFonts w:ascii="Times New Roman"/>
                <w:sz w:val="21"/>
                <w:szCs w:val="21"/>
              </w:rPr>
            </w:pPr>
            <w:r>
              <w:rPr>
                <w:rFonts w:ascii="Times New Roman"/>
                <w:sz w:val="21"/>
                <w:szCs w:val="21"/>
              </w:rPr>
              <w:t>符合</w:t>
            </w:r>
          </w:p>
        </w:tc>
      </w:tr>
      <w:tr w14:paraId="5803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restart"/>
            <w:tcBorders>
              <w:left w:val="single" w:color="auto" w:sz="4" w:space="0"/>
              <w:right w:val="single" w:color="auto" w:sz="4" w:space="0"/>
            </w:tcBorders>
            <w:vAlign w:val="center"/>
          </w:tcPr>
          <w:p w14:paraId="6BFEFDD5">
            <w:pPr>
              <w:jc w:val="center"/>
              <w:rPr>
                <w:rFonts w:ascii="Times New Roman"/>
                <w:sz w:val="21"/>
                <w:szCs w:val="21"/>
              </w:rPr>
            </w:pPr>
            <w:r>
              <w:rPr>
                <w:rFonts w:ascii="Times New Roman"/>
                <w:sz w:val="21"/>
                <w:szCs w:val="21"/>
              </w:rPr>
              <w:t>国务院《关于印发土壤污染防治行动计划的通知》国发〔2016〕31号</w:t>
            </w:r>
          </w:p>
        </w:tc>
        <w:tc>
          <w:tcPr>
            <w:tcW w:w="2020" w:type="pct"/>
            <w:tcBorders>
              <w:left w:val="single" w:color="auto" w:sz="4" w:space="0"/>
              <w:right w:val="single" w:color="auto" w:sz="4" w:space="0"/>
            </w:tcBorders>
            <w:vAlign w:val="center"/>
          </w:tcPr>
          <w:p w14:paraId="504C94A0">
            <w:pPr>
              <w:rPr>
                <w:rFonts w:ascii="Times New Roman"/>
                <w:sz w:val="21"/>
                <w:szCs w:val="21"/>
              </w:rPr>
            </w:pPr>
            <w:r>
              <w:rPr>
                <w:rFonts w:ascii="Times New Roman"/>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1677" w:type="pct"/>
            <w:tcBorders>
              <w:left w:val="single" w:color="auto" w:sz="4" w:space="0"/>
              <w:right w:val="single" w:color="auto" w:sz="4" w:space="0"/>
            </w:tcBorders>
            <w:vAlign w:val="center"/>
          </w:tcPr>
          <w:p w14:paraId="0CF15381">
            <w:pPr>
              <w:jc w:val="center"/>
              <w:rPr>
                <w:rFonts w:ascii="Times New Roman" w:cs="宋体"/>
                <w:kern w:val="0"/>
                <w:sz w:val="21"/>
                <w:szCs w:val="21"/>
              </w:rPr>
            </w:pPr>
            <w:r>
              <w:rPr>
                <w:rFonts w:ascii="Times New Roman"/>
                <w:sz w:val="21"/>
                <w:szCs w:val="21"/>
              </w:rPr>
              <w:t>项目占地为工业用地，不属于优先保护类耕地</w:t>
            </w:r>
          </w:p>
        </w:tc>
        <w:tc>
          <w:tcPr>
            <w:tcW w:w="537" w:type="pct"/>
            <w:tcBorders>
              <w:left w:val="single" w:color="auto" w:sz="4" w:space="0"/>
              <w:right w:val="single" w:color="auto" w:sz="4" w:space="0"/>
            </w:tcBorders>
            <w:vAlign w:val="center"/>
          </w:tcPr>
          <w:p w14:paraId="4A9B6E3C">
            <w:pPr>
              <w:jc w:val="center"/>
              <w:rPr>
                <w:rFonts w:ascii="Times New Roman"/>
                <w:sz w:val="21"/>
                <w:szCs w:val="21"/>
              </w:rPr>
            </w:pPr>
            <w:r>
              <w:rPr>
                <w:rFonts w:ascii="Times New Roman"/>
                <w:sz w:val="21"/>
                <w:szCs w:val="21"/>
              </w:rPr>
              <w:t>符合</w:t>
            </w:r>
          </w:p>
        </w:tc>
      </w:tr>
      <w:tr w14:paraId="543E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continue"/>
            <w:tcBorders>
              <w:left w:val="single" w:color="auto" w:sz="4" w:space="0"/>
              <w:right w:val="single" w:color="auto" w:sz="4" w:space="0"/>
            </w:tcBorders>
            <w:vAlign w:val="center"/>
          </w:tcPr>
          <w:p w14:paraId="1CA91321">
            <w:pPr>
              <w:jc w:val="center"/>
              <w:rPr>
                <w:rFonts w:ascii="Times New Roman"/>
                <w:sz w:val="21"/>
                <w:szCs w:val="21"/>
              </w:rPr>
            </w:pPr>
          </w:p>
        </w:tc>
        <w:tc>
          <w:tcPr>
            <w:tcW w:w="2020" w:type="pct"/>
            <w:tcBorders>
              <w:left w:val="single" w:color="auto" w:sz="4" w:space="0"/>
              <w:bottom w:val="single" w:color="auto" w:sz="4" w:space="0"/>
              <w:right w:val="single" w:color="auto" w:sz="4" w:space="0"/>
            </w:tcBorders>
            <w:vAlign w:val="center"/>
          </w:tcPr>
          <w:p w14:paraId="44A58F4C">
            <w:pPr>
              <w:rPr>
                <w:rFonts w:ascii="Times New Roman"/>
                <w:sz w:val="21"/>
                <w:szCs w:val="21"/>
              </w:rPr>
            </w:pPr>
            <w:r>
              <w:rPr>
                <w:rFonts w:ascii="Times New Roman"/>
                <w:sz w:val="21"/>
                <w:szCs w:val="21"/>
              </w:rPr>
              <w:t>分用途明确管理措施。自2017年起，各地要结合土壤污染状况详查情况，根据建设用地土壤环境调查评估结果，逐步建立污染地块名录及其开发利用的负面清单，合理确定土地用途</w:t>
            </w:r>
          </w:p>
        </w:tc>
        <w:tc>
          <w:tcPr>
            <w:tcW w:w="1677" w:type="pct"/>
            <w:tcBorders>
              <w:left w:val="single" w:color="auto" w:sz="4" w:space="0"/>
              <w:bottom w:val="single" w:color="auto" w:sz="4" w:space="0"/>
              <w:right w:val="single" w:color="auto" w:sz="4" w:space="0"/>
            </w:tcBorders>
            <w:vAlign w:val="center"/>
          </w:tcPr>
          <w:p w14:paraId="34B8ABFF">
            <w:pPr>
              <w:jc w:val="center"/>
              <w:rPr>
                <w:rFonts w:ascii="Times New Roman" w:cs="宋体"/>
                <w:kern w:val="0"/>
                <w:sz w:val="21"/>
                <w:szCs w:val="21"/>
              </w:rPr>
            </w:pPr>
            <w:r>
              <w:rPr>
                <w:rFonts w:ascii="Times New Roman"/>
                <w:sz w:val="21"/>
                <w:szCs w:val="21"/>
              </w:rPr>
              <w:t>项目占地为工业用地</w:t>
            </w:r>
          </w:p>
        </w:tc>
        <w:tc>
          <w:tcPr>
            <w:tcW w:w="537" w:type="pct"/>
            <w:tcBorders>
              <w:left w:val="single" w:color="auto" w:sz="4" w:space="0"/>
              <w:bottom w:val="single" w:color="auto" w:sz="4" w:space="0"/>
              <w:right w:val="single" w:color="auto" w:sz="4" w:space="0"/>
            </w:tcBorders>
            <w:vAlign w:val="center"/>
          </w:tcPr>
          <w:p w14:paraId="1FB62852">
            <w:pPr>
              <w:jc w:val="center"/>
              <w:rPr>
                <w:rFonts w:ascii="Times New Roman"/>
                <w:sz w:val="21"/>
                <w:szCs w:val="21"/>
              </w:rPr>
            </w:pPr>
            <w:r>
              <w:rPr>
                <w:rFonts w:ascii="Times New Roman"/>
                <w:sz w:val="21"/>
                <w:szCs w:val="21"/>
              </w:rPr>
              <w:t>符合</w:t>
            </w:r>
          </w:p>
        </w:tc>
      </w:tr>
      <w:tr w14:paraId="1CD6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vMerge w:val="continue"/>
            <w:tcBorders>
              <w:left w:val="single" w:color="auto" w:sz="4" w:space="0"/>
              <w:bottom w:val="single" w:color="auto" w:sz="4" w:space="0"/>
              <w:right w:val="single" w:color="auto" w:sz="4" w:space="0"/>
            </w:tcBorders>
            <w:vAlign w:val="center"/>
          </w:tcPr>
          <w:p w14:paraId="2A79C5E8">
            <w:pPr>
              <w:jc w:val="center"/>
              <w:rPr>
                <w:rFonts w:ascii="Times New Roman"/>
                <w:sz w:val="21"/>
                <w:szCs w:val="21"/>
              </w:rPr>
            </w:pPr>
          </w:p>
        </w:tc>
        <w:tc>
          <w:tcPr>
            <w:tcW w:w="2020" w:type="pct"/>
            <w:tcBorders>
              <w:left w:val="single" w:color="auto" w:sz="4" w:space="0"/>
              <w:bottom w:val="single" w:color="auto" w:sz="4" w:space="0"/>
              <w:right w:val="single" w:color="auto" w:sz="4" w:space="0"/>
            </w:tcBorders>
            <w:vAlign w:val="center"/>
          </w:tcPr>
          <w:p w14:paraId="05D2E68A">
            <w:pPr>
              <w:rPr>
                <w:rFonts w:ascii="Times New Roman"/>
                <w:sz w:val="21"/>
                <w:szCs w:val="21"/>
              </w:rPr>
            </w:pPr>
            <w:r>
              <w:rPr>
                <w:rFonts w:ascii="Times New Roman"/>
                <w:sz w:val="21"/>
                <w:szCs w:val="21"/>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677" w:type="pct"/>
            <w:tcBorders>
              <w:left w:val="single" w:color="auto" w:sz="4" w:space="0"/>
              <w:bottom w:val="single" w:color="auto" w:sz="4" w:space="0"/>
              <w:right w:val="single" w:color="auto" w:sz="4" w:space="0"/>
            </w:tcBorders>
            <w:vAlign w:val="center"/>
          </w:tcPr>
          <w:p w14:paraId="54BC9CBB">
            <w:pPr>
              <w:jc w:val="center"/>
              <w:rPr>
                <w:rFonts w:ascii="Times New Roman" w:cs="宋体"/>
                <w:kern w:val="0"/>
                <w:sz w:val="21"/>
                <w:szCs w:val="21"/>
              </w:rPr>
            </w:pPr>
            <w:r>
              <w:rPr>
                <w:rFonts w:ascii="Times New Roman"/>
                <w:sz w:val="21"/>
                <w:szCs w:val="21"/>
              </w:rPr>
              <w:t>项目对可能产生污染的部位采取有效的防腐、防渗措施，不会对土壤产生影响</w:t>
            </w:r>
          </w:p>
        </w:tc>
        <w:tc>
          <w:tcPr>
            <w:tcW w:w="537" w:type="pct"/>
            <w:tcBorders>
              <w:left w:val="single" w:color="auto" w:sz="4" w:space="0"/>
              <w:bottom w:val="single" w:color="auto" w:sz="4" w:space="0"/>
              <w:right w:val="single" w:color="auto" w:sz="4" w:space="0"/>
            </w:tcBorders>
            <w:vAlign w:val="center"/>
          </w:tcPr>
          <w:p w14:paraId="603E896F">
            <w:pPr>
              <w:jc w:val="center"/>
              <w:rPr>
                <w:rFonts w:ascii="Times New Roman"/>
                <w:sz w:val="21"/>
                <w:szCs w:val="21"/>
              </w:rPr>
            </w:pPr>
            <w:r>
              <w:rPr>
                <w:rFonts w:ascii="Times New Roman"/>
                <w:sz w:val="21"/>
                <w:szCs w:val="21"/>
              </w:rPr>
              <w:t>符合</w:t>
            </w:r>
          </w:p>
        </w:tc>
      </w:tr>
      <w:tr w14:paraId="20F5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left w:val="single" w:color="auto" w:sz="4" w:space="0"/>
              <w:bottom w:val="single" w:color="auto" w:sz="4" w:space="0"/>
              <w:right w:val="single" w:color="auto" w:sz="4" w:space="0"/>
            </w:tcBorders>
            <w:vAlign w:val="center"/>
          </w:tcPr>
          <w:p w14:paraId="707BD321">
            <w:pPr>
              <w:jc w:val="center"/>
              <w:rPr>
                <w:rFonts w:ascii="Times New Roman"/>
                <w:sz w:val="21"/>
                <w:szCs w:val="21"/>
              </w:rPr>
            </w:pPr>
            <w:r>
              <w:rPr>
                <w:rFonts w:ascii="Times New Roman"/>
                <w:sz w:val="21"/>
                <w:szCs w:val="21"/>
              </w:rPr>
              <w:t>河北省人民政府《关于印发河北省“净土行动”土壤污染防治工作方案的通知》（冀政发〔2017〕3号）</w:t>
            </w:r>
          </w:p>
        </w:tc>
        <w:tc>
          <w:tcPr>
            <w:tcW w:w="2020" w:type="pct"/>
            <w:tcBorders>
              <w:left w:val="single" w:color="auto" w:sz="4" w:space="0"/>
              <w:bottom w:val="single" w:color="auto" w:sz="4" w:space="0"/>
              <w:right w:val="single" w:color="auto" w:sz="4" w:space="0"/>
            </w:tcBorders>
            <w:vAlign w:val="center"/>
          </w:tcPr>
          <w:p w14:paraId="1B9E0DFA">
            <w:pPr>
              <w:rPr>
                <w:rFonts w:ascii="Times New Roman"/>
                <w:sz w:val="21"/>
                <w:szCs w:val="21"/>
              </w:rPr>
            </w:pPr>
            <w:r>
              <w:rPr>
                <w:rFonts w:ascii="Times New Roman"/>
                <w:sz w:val="21"/>
                <w:szCs w:val="21"/>
              </w:rPr>
              <w:t>实施重点监管企业土壤污染监测，列入全省土壤环境重点监管企业名单的企业要自行或委托有资质的环境监测机构对其企业用地每年开展至少1次土壤环境监测，编制土壤环境治理报告，监测数据和报告向当地环保部门备案并向社会公开。</w:t>
            </w:r>
          </w:p>
        </w:tc>
        <w:tc>
          <w:tcPr>
            <w:tcW w:w="1677" w:type="pct"/>
            <w:tcBorders>
              <w:left w:val="single" w:color="auto" w:sz="4" w:space="0"/>
              <w:bottom w:val="single" w:color="auto" w:sz="4" w:space="0"/>
              <w:right w:val="single" w:color="auto" w:sz="4" w:space="0"/>
            </w:tcBorders>
            <w:vAlign w:val="center"/>
          </w:tcPr>
          <w:p w14:paraId="1FFC3E06">
            <w:pPr>
              <w:jc w:val="center"/>
              <w:rPr>
                <w:rFonts w:ascii="Times New Roman"/>
                <w:sz w:val="21"/>
                <w:szCs w:val="21"/>
              </w:rPr>
            </w:pPr>
            <w:r>
              <w:rPr>
                <w:rFonts w:hint="eastAsia" w:ascii="Times New Roman"/>
                <w:sz w:val="21"/>
                <w:szCs w:val="21"/>
              </w:rPr>
              <w:t>企业不在</w:t>
            </w:r>
            <w:r>
              <w:rPr>
                <w:rFonts w:ascii="Times New Roman"/>
                <w:sz w:val="21"/>
                <w:szCs w:val="21"/>
              </w:rPr>
              <w:t>全省土壤环境重点监管企业名单</w:t>
            </w:r>
            <w:r>
              <w:rPr>
                <w:rFonts w:hint="eastAsia" w:ascii="Times New Roman"/>
                <w:sz w:val="21"/>
                <w:szCs w:val="21"/>
              </w:rPr>
              <w:t>内</w:t>
            </w:r>
          </w:p>
        </w:tc>
        <w:tc>
          <w:tcPr>
            <w:tcW w:w="537" w:type="pct"/>
            <w:tcBorders>
              <w:left w:val="single" w:color="auto" w:sz="4" w:space="0"/>
              <w:bottom w:val="single" w:color="auto" w:sz="4" w:space="0"/>
              <w:right w:val="single" w:color="auto" w:sz="4" w:space="0"/>
            </w:tcBorders>
            <w:vAlign w:val="center"/>
          </w:tcPr>
          <w:p w14:paraId="4C9B505D">
            <w:pPr>
              <w:jc w:val="center"/>
              <w:rPr>
                <w:rFonts w:ascii="Times New Roman"/>
                <w:sz w:val="21"/>
                <w:szCs w:val="21"/>
              </w:rPr>
            </w:pPr>
            <w:r>
              <w:rPr>
                <w:rFonts w:ascii="Times New Roman"/>
                <w:sz w:val="21"/>
                <w:szCs w:val="21"/>
              </w:rPr>
              <w:t>符合</w:t>
            </w:r>
          </w:p>
        </w:tc>
      </w:tr>
    </w:tbl>
    <w:p w14:paraId="6C4AA2F8">
      <w:pPr>
        <w:spacing w:line="360" w:lineRule="auto"/>
        <w:ind w:firstLine="480" w:firstLineChars="200"/>
        <w:rPr>
          <w:rFonts w:ascii="Times New Roman"/>
          <w:sz w:val="24"/>
          <w:szCs w:val="24"/>
        </w:rPr>
      </w:pPr>
      <w:r>
        <w:rPr>
          <w:rFonts w:ascii="Times New Roman"/>
          <w:sz w:val="24"/>
          <w:szCs w:val="24"/>
        </w:rPr>
        <w:t>综上所述，</w:t>
      </w:r>
      <w:r>
        <w:rPr>
          <w:rFonts w:hint="eastAsia" w:ascii="Times New Roman"/>
          <w:sz w:val="24"/>
          <w:szCs w:val="24"/>
        </w:rPr>
        <w:t>本项目符合《重点行业挥发性有机物综合治理方案》、《关于印发&lt;2020年挥发性有机物治理攻坚方案&gt;的通知》、《挥发性有机物（VOCs）污染防治技术政策》、《河北省重点行业挥发性有机物污染控制技术指引》、《唐山市2021年挥发性有机物综合治理工作方案》、国务院《关于印发土壤污染防治行动计划的通知（国发〔2016〕31号）》、河北省人民政府《关于印发河北省“净土行动”土壤污染防治工作方案的通知（冀政发〔2017〕3号）》等相关政策文件中相关要求。</w:t>
      </w:r>
    </w:p>
    <w:p w14:paraId="75F8518F">
      <w:pPr>
        <w:pStyle w:val="5"/>
        <w:numPr>
          <w:ilvl w:val="2"/>
          <w:numId w:val="0"/>
        </w:numPr>
        <w:spacing w:before="0" w:after="0" w:line="360" w:lineRule="auto"/>
        <w:rPr>
          <w:sz w:val="28"/>
          <w:szCs w:val="28"/>
        </w:rPr>
      </w:pPr>
      <w:r>
        <w:rPr>
          <w:sz w:val="28"/>
          <w:szCs w:val="28"/>
        </w:rPr>
        <w:t>2.9.6</w:t>
      </w:r>
      <w:r>
        <w:rPr>
          <w:rFonts w:hint="eastAsia"/>
          <w:sz w:val="28"/>
          <w:szCs w:val="28"/>
        </w:rPr>
        <w:t>与“重污染天气重点行业绩效分级”符合性分析</w:t>
      </w:r>
    </w:p>
    <w:p w14:paraId="0F0E04E1">
      <w:pPr>
        <w:spacing w:line="360" w:lineRule="auto"/>
        <w:ind w:firstLine="480"/>
        <w:rPr>
          <w:rFonts w:ascii="Times New Roman"/>
          <w:sz w:val="24"/>
        </w:rPr>
      </w:pPr>
      <w:r>
        <w:rPr>
          <w:rFonts w:ascii="Times New Roman"/>
          <w:sz w:val="24"/>
        </w:rPr>
        <w:t>本项目与</w:t>
      </w:r>
      <w:r>
        <w:rPr>
          <w:rFonts w:hint="eastAsia" w:ascii="Times New Roman"/>
          <w:sz w:val="24"/>
        </w:rPr>
        <w:t>《重污染天气重点行业应急减排措施制定技术指南（2020年修订版）》“工程机械整机制造绩效分级指标-B级企业”、《河北省十一个行业重污染天气应急减排措施制定定技术指南（试行）》（2021.8）“金属表面处理及热加工行业绩效分级指标-B级企业”相关要求</w:t>
      </w:r>
      <w:r>
        <w:rPr>
          <w:rFonts w:ascii="Times New Roman"/>
          <w:sz w:val="24"/>
        </w:rPr>
        <w:t>符合性分析如下：</w:t>
      </w:r>
    </w:p>
    <w:p w14:paraId="55DA5D2C">
      <w:pPr>
        <w:spacing w:line="480" w:lineRule="exact"/>
        <w:jc w:val="center"/>
        <w:rPr>
          <w:rFonts w:ascii="Times New Roman"/>
          <w:sz w:val="24"/>
        </w:rPr>
      </w:pPr>
      <w:r>
        <w:rPr>
          <w:rFonts w:hint="eastAsia" w:ascii="Times New Roman"/>
          <w:b/>
        </w:rPr>
        <w:t>表</w:t>
      </w:r>
      <w:r>
        <w:rPr>
          <w:rFonts w:ascii="Times New Roman"/>
          <w:b/>
        </w:rPr>
        <w:t>2.9</w:t>
      </w:r>
      <w:r>
        <w:rPr>
          <w:rFonts w:ascii="Times New Roman"/>
          <w:b/>
        </w:rPr>
        <w:noBreakHyphen/>
      </w:r>
      <w:r>
        <w:rPr>
          <w:rFonts w:ascii="Times New Roman"/>
          <w:b/>
        </w:rPr>
        <w:t>1</w:t>
      </w:r>
      <w:r>
        <w:rPr>
          <w:rFonts w:hint="eastAsia" w:ascii="Times New Roman"/>
          <w:b/>
        </w:rPr>
        <w:t>0</w:t>
      </w:r>
      <w:r>
        <w:rPr>
          <w:rFonts w:ascii="Times New Roman"/>
          <w:b/>
        </w:rPr>
        <w:t xml:space="preserve"> </w:t>
      </w:r>
      <w:r>
        <w:rPr>
          <w:rFonts w:ascii="Times New Roman"/>
          <w:b/>
          <w:bCs/>
        </w:rPr>
        <w:t xml:space="preserve"> </w:t>
      </w:r>
      <w:r>
        <w:rPr>
          <w:rFonts w:hint="eastAsia" w:ascii="Times New Roman"/>
          <w:b/>
          <w:bCs/>
        </w:rPr>
        <w:t>工程机械整机制造</w:t>
      </w:r>
      <w:r>
        <w:rPr>
          <w:rFonts w:hint="eastAsia" w:ascii="Times New Roman"/>
          <w:b/>
          <w:bCs/>
          <w:sz w:val="24"/>
          <w:szCs w:val="24"/>
        </w:rPr>
        <w:t>绩效分级指标要求</w:t>
      </w:r>
      <w:r>
        <w:rPr>
          <w:rFonts w:ascii="Times New Roman"/>
          <w:b/>
          <w:bCs/>
          <w:sz w:val="24"/>
          <w:szCs w:val="24"/>
        </w:rPr>
        <w:t>的符合性分析</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85"/>
        <w:gridCol w:w="749"/>
        <w:gridCol w:w="3553"/>
        <w:gridCol w:w="2126"/>
        <w:gridCol w:w="960"/>
      </w:tblGrid>
      <w:tr w14:paraId="149D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002A5972">
            <w:pPr>
              <w:widowControl/>
              <w:spacing w:line="300" w:lineRule="exact"/>
              <w:jc w:val="center"/>
              <w:rPr>
                <w:rFonts w:ascii="Times New Roman" w:cs="宋体"/>
                <w:b/>
                <w:kern w:val="0"/>
                <w:sz w:val="21"/>
                <w:szCs w:val="21"/>
              </w:rPr>
            </w:pPr>
            <w:r>
              <w:rPr>
                <w:rFonts w:hint="eastAsia" w:ascii="Times New Roman" w:cs="宋体"/>
                <w:b/>
                <w:kern w:val="0"/>
                <w:sz w:val="21"/>
                <w:szCs w:val="21"/>
              </w:rPr>
              <w:t>序号</w:t>
            </w:r>
          </w:p>
        </w:tc>
        <w:tc>
          <w:tcPr>
            <w:tcW w:w="1134" w:type="dxa"/>
            <w:gridSpan w:val="2"/>
            <w:shd w:val="clear" w:color="auto" w:fill="auto"/>
            <w:vAlign w:val="center"/>
          </w:tcPr>
          <w:p w14:paraId="3AF6D39F">
            <w:pPr>
              <w:widowControl/>
              <w:spacing w:line="300" w:lineRule="exact"/>
              <w:jc w:val="center"/>
              <w:rPr>
                <w:rFonts w:ascii="Times New Roman" w:cs="宋体"/>
                <w:b/>
                <w:kern w:val="0"/>
                <w:sz w:val="21"/>
                <w:szCs w:val="21"/>
              </w:rPr>
            </w:pPr>
            <w:r>
              <w:rPr>
                <w:rFonts w:hint="eastAsia" w:ascii="Times New Roman" w:cs="宋体"/>
                <w:b/>
                <w:kern w:val="0"/>
                <w:sz w:val="21"/>
                <w:szCs w:val="21"/>
              </w:rPr>
              <w:t>差异化指标</w:t>
            </w:r>
          </w:p>
        </w:tc>
        <w:tc>
          <w:tcPr>
            <w:tcW w:w="3553" w:type="dxa"/>
            <w:shd w:val="clear" w:color="auto" w:fill="auto"/>
            <w:vAlign w:val="center"/>
          </w:tcPr>
          <w:p w14:paraId="28A33983">
            <w:pPr>
              <w:widowControl/>
              <w:spacing w:line="300" w:lineRule="exact"/>
              <w:jc w:val="center"/>
              <w:rPr>
                <w:rFonts w:ascii="Times New Roman" w:cs="宋体"/>
                <w:b/>
                <w:kern w:val="0"/>
                <w:sz w:val="21"/>
                <w:szCs w:val="21"/>
              </w:rPr>
            </w:pPr>
            <w:r>
              <w:rPr>
                <w:rFonts w:hint="eastAsia" w:ascii="Times New Roman" w:cs="宋体"/>
                <w:b/>
                <w:kern w:val="0"/>
                <w:sz w:val="21"/>
                <w:szCs w:val="21"/>
              </w:rPr>
              <w:t>B级标准</w:t>
            </w:r>
          </w:p>
        </w:tc>
        <w:tc>
          <w:tcPr>
            <w:tcW w:w="2126" w:type="dxa"/>
            <w:shd w:val="clear" w:color="auto" w:fill="auto"/>
            <w:vAlign w:val="center"/>
          </w:tcPr>
          <w:p w14:paraId="19149931">
            <w:pPr>
              <w:widowControl/>
              <w:spacing w:line="300" w:lineRule="exact"/>
              <w:jc w:val="center"/>
              <w:rPr>
                <w:rFonts w:ascii="Times New Roman" w:cs="宋体"/>
                <w:b/>
                <w:kern w:val="0"/>
                <w:sz w:val="21"/>
                <w:szCs w:val="21"/>
              </w:rPr>
            </w:pPr>
            <w:r>
              <w:rPr>
                <w:rFonts w:hint="eastAsia" w:ascii="Times New Roman" w:cs="宋体"/>
                <w:b/>
                <w:kern w:val="0"/>
                <w:sz w:val="21"/>
                <w:szCs w:val="21"/>
              </w:rPr>
              <w:t>企业对标情况</w:t>
            </w:r>
          </w:p>
        </w:tc>
        <w:tc>
          <w:tcPr>
            <w:tcW w:w="960" w:type="dxa"/>
            <w:vAlign w:val="center"/>
          </w:tcPr>
          <w:p w14:paraId="16930BBE">
            <w:pPr>
              <w:widowControl/>
              <w:spacing w:line="300" w:lineRule="exact"/>
              <w:jc w:val="center"/>
              <w:rPr>
                <w:rFonts w:ascii="Times New Roman" w:cs="宋体"/>
                <w:b/>
                <w:kern w:val="0"/>
                <w:sz w:val="21"/>
                <w:szCs w:val="21"/>
              </w:rPr>
            </w:pPr>
            <w:r>
              <w:rPr>
                <w:rFonts w:hint="eastAsia" w:ascii="Times New Roman" w:cs="宋体"/>
                <w:b/>
                <w:kern w:val="0"/>
                <w:sz w:val="21"/>
                <w:szCs w:val="21"/>
              </w:rPr>
              <w:t>符合性分析</w:t>
            </w:r>
          </w:p>
        </w:tc>
      </w:tr>
      <w:tr w14:paraId="41D7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21824A27">
            <w:pPr>
              <w:widowControl/>
              <w:spacing w:line="300" w:lineRule="exact"/>
              <w:jc w:val="center"/>
              <w:rPr>
                <w:rFonts w:ascii="Times New Roman" w:cs="宋体"/>
                <w:kern w:val="0"/>
                <w:sz w:val="21"/>
              </w:rPr>
            </w:pPr>
            <w:r>
              <w:rPr>
                <w:rFonts w:hint="eastAsia" w:ascii="Times New Roman" w:cs="宋体"/>
                <w:kern w:val="0"/>
                <w:sz w:val="21"/>
              </w:rPr>
              <w:t>1</w:t>
            </w:r>
          </w:p>
        </w:tc>
        <w:tc>
          <w:tcPr>
            <w:tcW w:w="1134" w:type="dxa"/>
            <w:gridSpan w:val="2"/>
            <w:shd w:val="clear" w:color="auto" w:fill="auto"/>
            <w:vAlign w:val="center"/>
          </w:tcPr>
          <w:p w14:paraId="3E8B1CBA">
            <w:pPr>
              <w:widowControl/>
              <w:spacing w:line="300" w:lineRule="exact"/>
              <w:jc w:val="center"/>
              <w:rPr>
                <w:rFonts w:ascii="Times New Roman"/>
                <w:kern w:val="0"/>
                <w:sz w:val="21"/>
                <w:szCs w:val="21"/>
              </w:rPr>
            </w:pPr>
            <w:r>
              <w:rPr>
                <w:rFonts w:ascii="Times New Roman"/>
                <w:kern w:val="0"/>
                <w:sz w:val="21"/>
                <w:szCs w:val="21"/>
              </w:rPr>
              <w:t>原辅材料</w:t>
            </w:r>
          </w:p>
        </w:tc>
        <w:tc>
          <w:tcPr>
            <w:tcW w:w="3553" w:type="dxa"/>
            <w:shd w:val="clear" w:color="auto" w:fill="auto"/>
            <w:vAlign w:val="center"/>
          </w:tcPr>
          <w:p w14:paraId="6149EB40">
            <w:pPr>
              <w:kinsoku w:val="0"/>
              <w:overflowPunct w:val="0"/>
              <w:autoSpaceDE w:val="0"/>
              <w:autoSpaceDN w:val="0"/>
              <w:adjustRightInd w:val="0"/>
              <w:spacing w:line="260" w:lineRule="exact"/>
              <w:jc w:val="left"/>
              <w:rPr>
                <w:rFonts w:ascii="Times New Roman"/>
                <w:kern w:val="0"/>
                <w:sz w:val="21"/>
                <w:szCs w:val="21"/>
              </w:rPr>
            </w:pPr>
            <w:r>
              <w:rPr>
                <w:rFonts w:ascii="Times New Roman"/>
                <w:kern w:val="0"/>
                <w:sz w:val="21"/>
                <w:szCs w:val="21"/>
              </w:rPr>
              <w:t>1、高固体分涂料：底漆≤380g/L，中涂≤400g/L，面漆单组分≤400g/L、双组份≤400g/L，清漆单组分≤420g/L、双组份≤400g/L；</w:t>
            </w:r>
          </w:p>
          <w:p w14:paraId="30CCA47B">
            <w:pPr>
              <w:kinsoku w:val="0"/>
              <w:overflowPunct w:val="0"/>
              <w:autoSpaceDE w:val="0"/>
              <w:autoSpaceDN w:val="0"/>
              <w:adjustRightInd w:val="0"/>
              <w:spacing w:line="260" w:lineRule="exact"/>
              <w:jc w:val="left"/>
              <w:rPr>
                <w:rFonts w:ascii="Times New Roman"/>
                <w:kern w:val="0"/>
                <w:sz w:val="21"/>
                <w:szCs w:val="21"/>
              </w:rPr>
            </w:pPr>
            <w:r>
              <w:rPr>
                <w:rFonts w:ascii="Times New Roman"/>
                <w:kern w:val="0"/>
                <w:sz w:val="21"/>
                <w:szCs w:val="21"/>
              </w:rPr>
              <w:t>2、水性涂料：底漆≤300g/L，中涂≤300g/L，面漆≤420g/L，清漆≤420g/L；</w:t>
            </w:r>
          </w:p>
          <w:p w14:paraId="1E5B59EE">
            <w:pPr>
              <w:kinsoku w:val="0"/>
              <w:overflowPunct w:val="0"/>
              <w:autoSpaceDE w:val="0"/>
              <w:autoSpaceDN w:val="0"/>
              <w:adjustRightInd w:val="0"/>
              <w:spacing w:line="260" w:lineRule="exact"/>
              <w:jc w:val="left"/>
              <w:rPr>
                <w:rFonts w:ascii="Times New Roman"/>
                <w:kern w:val="0"/>
                <w:sz w:val="21"/>
                <w:szCs w:val="21"/>
              </w:rPr>
            </w:pPr>
            <w:r>
              <w:rPr>
                <w:rFonts w:ascii="Times New Roman"/>
                <w:kern w:val="0"/>
                <w:sz w:val="21"/>
                <w:szCs w:val="21"/>
              </w:rPr>
              <w:t>3、无溶剂涂料≤100g/L。</w:t>
            </w:r>
          </w:p>
        </w:tc>
        <w:tc>
          <w:tcPr>
            <w:tcW w:w="2126" w:type="dxa"/>
            <w:shd w:val="clear" w:color="auto" w:fill="auto"/>
            <w:vAlign w:val="center"/>
          </w:tcPr>
          <w:p w14:paraId="0EE03D78">
            <w:pPr>
              <w:kinsoku w:val="0"/>
              <w:overflowPunct w:val="0"/>
              <w:autoSpaceDE w:val="0"/>
              <w:autoSpaceDN w:val="0"/>
              <w:adjustRightInd w:val="0"/>
              <w:spacing w:line="260" w:lineRule="exact"/>
              <w:jc w:val="left"/>
              <w:rPr>
                <w:rFonts w:ascii="Times New Roman" w:cs="宋体"/>
                <w:kern w:val="0"/>
                <w:sz w:val="21"/>
                <w:szCs w:val="21"/>
              </w:rPr>
            </w:pPr>
            <w:r>
              <w:rPr>
                <w:rFonts w:hint="eastAsia" w:ascii="Times New Roman"/>
                <w:kern w:val="0"/>
                <w:sz w:val="21"/>
                <w:szCs w:val="21"/>
              </w:rPr>
              <w:t>本次项目使用高固份涂料满足</w:t>
            </w:r>
            <w:r>
              <w:rPr>
                <w:rFonts w:ascii="Times New Roman"/>
                <w:kern w:val="0"/>
                <w:sz w:val="21"/>
                <w:szCs w:val="21"/>
              </w:rPr>
              <w:t>漆≤380g/L，中涂≤400g/L，面漆单组分≤400g/L、双组份≤400g/L，清漆单组分≤420g/L、双组份≤400g/L</w:t>
            </w:r>
            <w:r>
              <w:rPr>
                <w:rFonts w:hint="eastAsia" w:ascii="Times New Roman"/>
                <w:kern w:val="0"/>
                <w:sz w:val="21"/>
                <w:szCs w:val="21"/>
              </w:rPr>
              <w:t>要求</w:t>
            </w:r>
          </w:p>
        </w:tc>
        <w:tc>
          <w:tcPr>
            <w:tcW w:w="960" w:type="dxa"/>
            <w:vAlign w:val="center"/>
          </w:tcPr>
          <w:p w14:paraId="510BFB4B">
            <w:pPr>
              <w:widowControl/>
              <w:spacing w:line="300" w:lineRule="exact"/>
              <w:jc w:val="center"/>
              <w:rPr>
                <w:rFonts w:ascii="Times New Roman" w:cs="宋体"/>
                <w:kern w:val="0"/>
                <w:sz w:val="21"/>
                <w:szCs w:val="21"/>
              </w:rPr>
            </w:pPr>
            <w:r>
              <w:rPr>
                <w:rFonts w:hint="eastAsia" w:ascii="Times New Roman" w:cs="宋体"/>
                <w:kern w:val="0"/>
                <w:sz w:val="21"/>
                <w:szCs w:val="21"/>
              </w:rPr>
              <w:t>符合</w:t>
            </w:r>
          </w:p>
        </w:tc>
      </w:tr>
      <w:tr w14:paraId="5FDF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4F398E5C">
            <w:pPr>
              <w:widowControl/>
              <w:spacing w:line="300" w:lineRule="exact"/>
              <w:jc w:val="center"/>
              <w:rPr>
                <w:rFonts w:ascii="Times New Roman" w:cs="宋体"/>
                <w:kern w:val="0"/>
                <w:sz w:val="21"/>
              </w:rPr>
            </w:pPr>
            <w:r>
              <w:rPr>
                <w:rFonts w:hint="eastAsia" w:ascii="Times New Roman" w:cs="宋体"/>
                <w:kern w:val="0"/>
                <w:sz w:val="21"/>
              </w:rPr>
              <w:t>2</w:t>
            </w:r>
          </w:p>
        </w:tc>
        <w:tc>
          <w:tcPr>
            <w:tcW w:w="1134" w:type="dxa"/>
            <w:gridSpan w:val="2"/>
            <w:shd w:val="clear" w:color="auto" w:fill="auto"/>
            <w:vAlign w:val="center"/>
          </w:tcPr>
          <w:p w14:paraId="363AD50B">
            <w:pPr>
              <w:widowControl/>
              <w:spacing w:line="300" w:lineRule="exact"/>
              <w:jc w:val="center"/>
              <w:rPr>
                <w:rFonts w:ascii="Times New Roman" w:cs="宋体"/>
                <w:kern w:val="0"/>
                <w:sz w:val="21"/>
                <w:szCs w:val="21"/>
              </w:rPr>
            </w:pPr>
            <w:r>
              <w:rPr>
                <w:rFonts w:hint="eastAsia" w:ascii="Times New Roman" w:cs="宋体"/>
                <w:kern w:val="0"/>
                <w:sz w:val="21"/>
                <w:szCs w:val="21"/>
              </w:rPr>
              <w:t>无组织排放</w:t>
            </w:r>
          </w:p>
        </w:tc>
        <w:tc>
          <w:tcPr>
            <w:tcW w:w="3553" w:type="dxa"/>
            <w:shd w:val="clear" w:color="auto" w:fill="auto"/>
            <w:vAlign w:val="center"/>
          </w:tcPr>
          <w:p w14:paraId="7E462138">
            <w:pPr>
              <w:kinsoku w:val="0"/>
              <w:overflowPunct w:val="0"/>
              <w:autoSpaceDE w:val="0"/>
              <w:autoSpaceDN w:val="0"/>
              <w:adjustRightInd w:val="0"/>
              <w:spacing w:line="260" w:lineRule="exact"/>
              <w:jc w:val="left"/>
              <w:rPr>
                <w:rFonts w:ascii="Times New Roman"/>
                <w:kern w:val="0"/>
                <w:sz w:val="21"/>
                <w:szCs w:val="21"/>
              </w:rPr>
            </w:pPr>
            <w:r>
              <w:rPr>
                <w:rFonts w:hint="eastAsia" w:ascii="Times New Roman"/>
                <w:kern w:val="0"/>
                <w:sz w:val="21"/>
                <w:szCs w:val="21"/>
              </w:rPr>
              <w:t>1、满足《挥发性有机物无组织排放控制标准》（GB37822-2019）特别控制要求；</w:t>
            </w:r>
          </w:p>
          <w:p w14:paraId="5A156C4F">
            <w:pPr>
              <w:kinsoku w:val="0"/>
              <w:overflowPunct w:val="0"/>
              <w:autoSpaceDE w:val="0"/>
              <w:autoSpaceDN w:val="0"/>
              <w:adjustRightInd w:val="0"/>
              <w:spacing w:line="260" w:lineRule="exact"/>
              <w:jc w:val="left"/>
              <w:rPr>
                <w:rFonts w:ascii="Times New Roman"/>
                <w:kern w:val="0"/>
                <w:sz w:val="21"/>
                <w:szCs w:val="21"/>
              </w:rPr>
            </w:pPr>
            <w:r>
              <w:rPr>
                <w:rFonts w:hint="eastAsia" w:ascii="Times New Roman"/>
                <w:kern w:val="0"/>
                <w:sz w:val="21"/>
                <w:szCs w:val="21"/>
              </w:rPr>
              <w:t>2、VOCs物料存储于密闭容器或包装袋中，盛装VOCs物料的容器或包装袋存放于密闭负压的储库、料仓内；3、除大型工件特殊作业外，调漆、喷漆、流平、烘干、清洗等工序在密闭设备或密闭负压空间内操作；</w:t>
            </w:r>
          </w:p>
          <w:p w14:paraId="15BD6316">
            <w:pPr>
              <w:kinsoku w:val="0"/>
              <w:overflowPunct w:val="0"/>
              <w:autoSpaceDE w:val="0"/>
              <w:autoSpaceDN w:val="0"/>
              <w:adjustRightInd w:val="0"/>
              <w:spacing w:line="260" w:lineRule="exact"/>
              <w:jc w:val="left"/>
              <w:rPr>
                <w:rFonts w:ascii="Times New Roman"/>
                <w:kern w:val="0"/>
                <w:sz w:val="21"/>
                <w:szCs w:val="21"/>
              </w:rPr>
            </w:pPr>
            <w:r>
              <w:rPr>
                <w:rFonts w:hint="eastAsia" w:ascii="Times New Roman"/>
                <w:kern w:val="0"/>
                <w:sz w:val="21"/>
                <w:szCs w:val="21"/>
              </w:rPr>
              <w:t>4、密闭回收废清洗剂；</w:t>
            </w:r>
          </w:p>
          <w:p w14:paraId="381924C1">
            <w:pPr>
              <w:kinsoku w:val="0"/>
              <w:overflowPunct w:val="0"/>
              <w:autoSpaceDE w:val="0"/>
              <w:autoSpaceDN w:val="0"/>
              <w:adjustRightInd w:val="0"/>
              <w:spacing w:line="260" w:lineRule="exact"/>
              <w:jc w:val="left"/>
              <w:rPr>
                <w:rFonts w:ascii="Times New Roman"/>
                <w:kern w:val="0"/>
                <w:sz w:val="21"/>
                <w:szCs w:val="21"/>
              </w:rPr>
            </w:pPr>
            <w:r>
              <w:rPr>
                <w:rFonts w:hint="eastAsia" w:ascii="Times New Roman"/>
                <w:kern w:val="0"/>
                <w:sz w:val="21"/>
                <w:szCs w:val="21"/>
              </w:rPr>
              <w:t>5、建设干式喷漆房；使用湿式喷漆房时，循环水泵间和刮渣间应密闭，安装废气收集设施；</w:t>
            </w:r>
          </w:p>
          <w:p w14:paraId="3AF67F5A">
            <w:pPr>
              <w:kinsoku w:val="0"/>
              <w:overflowPunct w:val="0"/>
              <w:autoSpaceDE w:val="0"/>
              <w:autoSpaceDN w:val="0"/>
              <w:adjustRightInd w:val="0"/>
              <w:spacing w:line="260" w:lineRule="exact"/>
              <w:jc w:val="left"/>
              <w:rPr>
                <w:rFonts w:ascii="Times New Roman"/>
                <w:kern w:val="0"/>
                <w:sz w:val="21"/>
                <w:szCs w:val="21"/>
              </w:rPr>
            </w:pPr>
            <w:r>
              <w:rPr>
                <w:rFonts w:hint="eastAsia" w:ascii="Times New Roman"/>
                <w:kern w:val="0"/>
                <w:sz w:val="21"/>
                <w:szCs w:val="21"/>
              </w:rPr>
              <w:t>6、采用自动喷涂、静电喷涂或HVLP喷枪等高效涂装技术，不可使用手动空气喷涂技术</w:t>
            </w:r>
          </w:p>
        </w:tc>
        <w:tc>
          <w:tcPr>
            <w:tcW w:w="2126" w:type="dxa"/>
            <w:shd w:val="clear" w:color="auto" w:fill="auto"/>
            <w:vAlign w:val="center"/>
          </w:tcPr>
          <w:p w14:paraId="2126FC9A">
            <w:pPr>
              <w:adjustRightInd w:val="0"/>
              <w:snapToGrid w:val="0"/>
              <w:jc w:val="left"/>
              <w:rPr>
                <w:rFonts w:ascii="Times New Roman"/>
                <w:kern w:val="0"/>
                <w:sz w:val="21"/>
                <w:szCs w:val="21"/>
              </w:rPr>
            </w:pPr>
            <w:r>
              <w:rPr>
                <w:rFonts w:hint="eastAsia" w:ascii="Times New Roman"/>
                <w:kern w:val="0"/>
                <w:sz w:val="21"/>
                <w:szCs w:val="21"/>
              </w:rPr>
              <w:t>1、本项目满足《挥发性有机物无组织排放控制标准》（GB37822-2019）特别控制要求；</w:t>
            </w:r>
          </w:p>
          <w:p w14:paraId="418A15DF">
            <w:pPr>
              <w:adjustRightInd w:val="0"/>
              <w:snapToGrid w:val="0"/>
              <w:jc w:val="left"/>
              <w:rPr>
                <w:rFonts w:ascii="Times New Roman"/>
                <w:kern w:val="0"/>
                <w:sz w:val="21"/>
                <w:szCs w:val="21"/>
              </w:rPr>
            </w:pPr>
            <w:r>
              <w:rPr>
                <w:rFonts w:hint="eastAsia" w:ascii="Times New Roman"/>
                <w:kern w:val="0"/>
                <w:sz w:val="21"/>
                <w:szCs w:val="21"/>
              </w:rPr>
              <w:t>2、本项目含VOCs物料储于密闭容器或包装袋中，盛装VOCs物料的容器或包装袋存放于密闭负压的油漆库中；</w:t>
            </w:r>
          </w:p>
          <w:p w14:paraId="5C5B739E">
            <w:pPr>
              <w:adjustRightInd w:val="0"/>
              <w:snapToGrid w:val="0"/>
              <w:jc w:val="left"/>
              <w:rPr>
                <w:rFonts w:ascii="Times New Roman"/>
                <w:kern w:val="0"/>
                <w:sz w:val="21"/>
                <w:szCs w:val="21"/>
              </w:rPr>
            </w:pPr>
            <w:r>
              <w:rPr>
                <w:rFonts w:hint="eastAsia" w:ascii="Times New Roman"/>
                <w:kern w:val="0"/>
                <w:sz w:val="21"/>
                <w:szCs w:val="21"/>
              </w:rPr>
              <w:t>3、调漆、喷漆、流平、烘干工序在密闭负压空间内操作。</w:t>
            </w:r>
          </w:p>
          <w:p w14:paraId="11DD4583">
            <w:pPr>
              <w:adjustRightInd w:val="0"/>
              <w:snapToGrid w:val="0"/>
              <w:jc w:val="left"/>
              <w:rPr>
                <w:rFonts w:ascii="Times New Roman"/>
                <w:kern w:val="0"/>
                <w:sz w:val="21"/>
                <w:szCs w:val="21"/>
              </w:rPr>
            </w:pPr>
            <w:r>
              <w:rPr>
                <w:rFonts w:hint="eastAsia" w:ascii="Times New Roman"/>
                <w:kern w:val="0"/>
                <w:sz w:val="21"/>
                <w:szCs w:val="21"/>
              </w:rPr>
              <w:t>4、不涉及</w:t>
            </w:r>
          </w:p>
          <w:p w14:paraId="21DE2A16">
            <w:pPr>
              <w:adjustRightInd w:val="0"/>
              <w:snapToGrid w:val="0"/>
              <w:jc w:val="left"/>
              <w:rPr>
                <w:rFonts w:ascii="Times New Roman"/>
                <w:sz w:val="21"/>
                <w:szCs w:val="21"/>
              </w:rPr>
            </w:pPr>
            <w:r>
              <w:rPr>
                <w:rFonts w:hint="eastAsia" w:ascii="Times New Roman"/>
                <w:kern w:val="0"/>
                <w:sz w:val="21"/>
                <w:szCs w:val="21"/>
              </w:rPr>
              <w:t>5、</w:t>
            </w:r>
            <w:r>
              <w:rPr>
                <w:rFonts w:hint="eastAsia" w:ascii="Times New Roman"/>
                <w:sz w:val="21"/>
                <w:szCs w:val="21"/>
              </w:rPr>
              <w:t>喷漆房为干式，电泳、喷漆，流平废气与烘干固化、强冷废气负压收集一并引入“4级干式过滤器+沸石轮转吸附+RTO焚烧装置”净化工艺处理。</w:t>
            </w:r>
          </w:p>
          <w:p w14:paraId="3690E257">
            <w:pPr>
              <w:adjustRightInd w:val="0"/>
              <w:snapToGrid w:val="0"/>
              <w:jc w:val="left"/>
              <w:rPr>
                <w:rFonts w:ascii="Times New Roman"/>
                <w:sz w:val="21"/>
                <w:szCs w:val="21"/>
              </w:rPr>
            </w:pPr>
            <w:r>
              <w:rPr>
                <w:rFonts w:hint="eastAsia" w:ascii="Times New Roman"/>
                <w:sz w:val="21"/>
                <w:szCs w:val="21"/>
              </w:rPr>
              <w:t>6、采用静电喷涂和高压无气喷涂技术。</w:t>
            </w:r>
          </w:p>
        </w:tc>
        <w:tc>
          <w:tcPr>
            <w:tcW w:w="960" w:type="dxa"/>
            <w:vAlign w:val="center"/>
          </w:tcPr>
          <w:p w14:paraId="734D9EBB">
            <w:pPr>
              <w:widowControl/>
              <w:spacing w:line="300" w:lineRule="exact"/>
              <w:jc w:val="center"/>
              <w:rPr>
                <w:rFonts w:ascii="Times New Roman" w:cs="宋体"/>
                <w:kern w:val="0"/>
                <w:sz w:val="21"/>
                <w:szCs w:val="21"/>
              </w:rPr>
            </w:pPr>
            <w:r>
              <w:rPr>
                <w:rFonts w:hint="eastAsia" w:ascii="Times New Roman" w:cs="宋体"/>
                <w:kern w:val="0"/>
                <w:sz w:val="21"/>
                <w:szCs w:val="21"/>
              </w:rPr>
              <w:t>符合</w:t>
            </w:r>
          </w:p>
        </w:tc>
      </w:tr>
      <w:tr w14:paraId="64BD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6388A3B2">
            <w:pPr>
              <w:widowControl/>
              <w:spacing w:line="300" w:lineRule="exact"/>
              <w:jc w:val="center"/>
              <w:rPr>
                <w:rFonts w:ascii="Times New Roman" w:cs="宋体"/>
                <w:kern w:val="0"/>
                <w:sz w:val="21"/>
              </w:rPr>
            </w:pPr>
            <w:r>
              <w:rPr>
                <w:rFonts w:hint="eastAsia" w:ascii="Times New Roman" w:cs="宋体"/>
                <w:kern w:val="0"/>
                <w:sz w:val="21"/>
              </w:rPr>
              <w:t>3</w:t>
            </w:r>
          </w:p>
        </w:tc>
        <w:tc>
          <w:tcPr>
            <w:tcW w:w="1134" w:type="dxa"/>
            <w:gridSpan w:val="2"/>
            <w:shd w:val="clear" w:color="auto" w:fill="auto"/>
            <w:vAlign w:val="center"/>
          </w:tcPr>
          <w:p w14:paraId="6D85EA74">
            <w:pPr>
              <w:widowControl/>
              <w:spacing w:line="300" w:lineRule="exact"/>
              <w:jc w:val="center"/>
              <w:rPr>
                <w:rFonts w:ascii="Times New Roman" w:cs="宋体"/>
                <w:kern w:val="0"/>
                <w:sz w:val="21"/>
                <w:szCs w:val="21"/>
              </w:rPr>
            </w:pPr>
            <w:r>
              <w:rPr>
                <w:rFonts w:hint="eastAsia" w:ascii="Times New Roman" w:cs="宋体"/>
                <w:kern w:val="0"/>
                <w:sz w:val="21"/>
                <w:szCs w:val="21"/>
              </w:rPr>
              <w:t>VOCs治污设施</w:t>
            </w:r>
          </w:p>
        </w:tc>
        <w:tc>
          <w:tcPr>
            <w:tcW w:w="3553" w:type="dxa"/>
            <w:shd w:val="clear" w:color="auto" w:fill="auto"/>
            <w:vAlign w:val="center"/>
          </w:tcPr>
          <w:p w14:paraId="1DBBAD2F">
            <w:pPr>
              <w:widowControl/>
              <w:spacing w:line="300" w:lineRule="exact"/>
              <w:rPr>
                <w:rFonts w:ascii="Times New Roman"/>
                <w:kern w:val="0"/>
                <w:sz w:val="21"/>
                <w:szCs w:val="21"/>
              </w:rPr>
            </w:pPr>
            <w:r>
              <w:rPr>
                <w:rFonts w:hint="eastAsia" w:ascii="Times New Roman"/>
                <w:kern w:val="0"/>
                <w:sz w:val="21"/>
                <w:szCs w:val="21"/>
              </w:rPr>
              <w:t>1、喷涂废气设置干式的石灰石、纸盒或湿式的文丘里等高效漆雾处理装置；</w:t>
            </w:r>
          </w:p>
          <w:p w14:paraId="74A55624">
            <w:pPr>
              <w:widowControl/>
              <w:spacing w:line="300" w:lineRule="exact"/>
              <w:rPr>
                <w:rFonts w:ascii="Times New Roman"/>
                <w:kern w:val="0"/>
                <w:sz w:val="21"/>
                <w:szCs w:val="21"/>
              </w:rPr>
            </w:pPr>
            <w:r>
              <w:rPr>
                <w:rFonts w:hint="eastAsia" w:ascii="Times New Roman"/>
                <w:kern w:val="0"/>
                <w:sz w:val="21"/>
                <w:szCs w:val="21"/>
              </w:rPr>
              <w:t>2、使用高固体分涂料时，调漆、喷漆、流平、烘干、清洗等工序含VOCs废气采用吸附浓缩+燃烧、燃烧等治理技术，处理效率≥90%；</w:t>
            </w:r>
          </w:p>
          <w:p w14:paraId="4E3CAD16">
            <w:pPr>
              <w:widowControl/>
              <w:spacing w:line="300" w:lineRule="exact"/>
              <w:rPr>
                <w:rFonts w:ascii="Times New Roman"/>
                <w:kern w:val="0"/>
                <w:sz w:val="21"/>
                <w:szCs w:val="21"/>
              </w:rPr>
            </w:pPr>
            <w:r>
              <w:rPr>
                <w:rFonts w:hint="eastAsia" w:ascii="Times New Roman"/>
                <w:kern w:val="0"/>
                <w:sz w:val="21"/>
                <w:szCs w:val="21"/>
              </w:rPr>
              <w:t>3、使用水性涂料时，当车间或生产设施排气中NMHC初始排放速率≥2kg/h时，建设末端治污设施。</w:t>
            </w:r>
          </w:p>
        </w:tc>
        <w:tc>
          <w:tcPr>
            <w:tcW w:w="2126" w:type="dxa"/>
            <w:shd w:val="clear" w:color="auto" w:fill="auto"/>
            <w:vAlign w:val="center"/>
          </w:tcPr>
          <w:p w14:paraId="2C4EDA76">
            <w:pPr>
              <w:widowControl/>
              <w:spacing w:line="300" w:lineRule="exact"/>
              <w:rPr>
                <w:rFonts w:ascii="Times New Roman"/>
                <w:kern w:val="0"/>
                <w:sz w:val="21"/>
                <w:szCs w:val="21"/>
              </w:rPr>
            </w:pPr>
            <w:r>
              <w:rPr>
                <w:rFonts w:hint="eastAsia" w:ascii="Times New Roman"/>
                <w:kern w:val="0"/>
                <w:sz w:val="21"/>
                <w:szCs w:val="21"/>
              </w:rPr>
              <w:t>1.本项目喷漆房为干式。</w:t>
            </w:r>
          </w:p>
          <w:p w14:paraId="4C5A26ED">
            <w:pPr>
              <w:widowControl/>
              <w:spacing w:line="300" w:lineRule="exact"/>
              <w:rPr>
                <w:rFonts w:ascii="Times New Roman"/>
                <w:kern w:val="0"/>
                <w:sz w:val="21"/>
                <w:szCs w:val="21"/>
              </w:rPr>
            </w:pPr>
            <w:r>
              <w:rPr>
                <w:rFonts w:hint="eastAsia" w:ascii="Times New Roman"/>
                <w:kern w:val="0"/>
                <w:sz w:val="21"/>
                <w:szCs w:val="21"/>
              </w:rPr>
              <w:t>2.本项目使用</w:t>
            </w:r>
            <w:r>
              <w:rPr>
                <w:rFonts w:hint="eastAsia" w:ascii="Times New Roman"/>
                <w:sz w:val="21"/>
                <w:szCs w:val="21"/>
              </w:rPr>
              <w:t>“4级干式过滤器+沸石轮转吸附+RTO焚烧装置”处理效率</w:t>
            </w:r>
            <w:r>
              <w:rPr>
                <w:rFonts w:hint="eastAsia" w:ascii="Times New Roman"/>
                <w:kern w:val="0"/>
                <w:sz w:val="21"/>
                <w:szCs w:val="21"/>
              </w:rPr>
              <w:t>≥90%。</w:t>
            </w:r>
          </w:p>
          <w:p w14:paraId="4ED9164E">
            <w:pPr>
              <w:widowControl/>
              <w:spacing w:line="300" w:lineRule="exact"/>
              <w:rPr>
                <w:rFonts w:ascii="Times New Roman"/>
                <w:kern w:val="0"/>
                <w:sz w:val="21"/>
                <w:szCs w:val="21"/>
              </w:rPr>
            </w:pPr>
            <w:r>
              <w:rPr>
                <w:rFonts w:hint="eastAsia" w:ascii="Times New Roman"/>
                <w:kern w:val="0"/>
                <w:sz w:val="21"/>
                <w:szCs w:val="21"/>
              </w:rPr>
              <w:t>3.不涉及</w:t>
            </w:r>
          </w:p>
        </w:tc>
        <w:tc>
          <w:tcPr>
            <w:tcW w:w="960" w:type="dxa"/>
            <w:vAlign w:val="center"/>
          </w:tcPr>
          <w:p w14:paraId="1BAA2088">
            <w:pPr>
              <w:widowControl/>
              <w:spacing w:line="300" w:lineRule="exact"/>
              <w:jc w:val="center"/>
              <w:rPr>
                <w:rFonts w:ascii="Times New Roman" w:cs="宋体"/>
                <w:kern w:val="0"/>
                <w:sz w:val="21"/>
              </w:rPr>
            </w:pPr>
            <w:r>
              <w:rPr>
                <w:rFonts w:hint="eastAsia" w:ascii="Times New Roman" w:cs="宋体"/>
                <w:kern w:val="0"/>
                <w:sz w:val="21"/>
              </w:rPr>
              <w:t>符合</w:t>
            </w:r>
          </w:p>
        </w:tc>
      </w:tr>
      <w:tr w14:paraId="73DA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Align w:val="center"/>
          </w:tcPr>
          <w:p w14:paraId="17912D10">
            <w:pPr>
              <w:widowControl/>
              <w:spacing w:line="300" w:lineRule="exact"/>
              <w:jc w:val="center"/>
              <w:rPr>
                <w:rFonts w:ascii="Times New Roman" w:cs="宋体"/>
                <w:kern w:val="0"/>
                <w:sz w:val="21"/>
              </w:rPr>
            </w:pPr>
            <w:r>
              <w:rPr>
                <w:rFonts w:hint="eastAsia" w:ascii="Times New Roman" w:cs="宋体"/>
                <w:kern w:val="0"/>
                <w:sz w:val="21"/>
              </w:rPr>
              <w:t>4</w:t>
            </w:r>
          </w:p>
        </w:tc>
        <w:tc>
          <w:tcPr>
            <w:tcW w:w="1134" w:type="dxa"/>
            <w:gridSpan w:val="2"/>
            <w:vAlign w:val="center"/>
          </w:tcPr>
          <w:p w14:paraId="7157132D">
            <w:pPr>
              <w:widowControl/>
              <w:spacing w:line="300" w:lineRule="exact"/>
              <w:jc w:val="center"/>
              <w:rPr>
                <w:rFonts w:ascii="Times New Roman" w:cs="宋体"/>
                <w:kern w:val="0"/>
                <w:sz w:val="21"/>
                <w:szCs w:val="21"/>
              </w:rPr>
            </w:pPr>
            <w:r>
              <w:rPr>
                <w:rFonts w:hint="eastAsia" w:ascii="Times New Roman" w:cs="宋体"/>
                <w:kern w:val="0"/>
                <w:sz w:val="21"/>
                <w:szCs w:val="21"/>
              </w:rPr>
              <w:t>排放限值</w:t>
            </w:r>
          </w:p>
        </w:tc>
        <w:tc>
          <w:tcPr>
            <w:tcW w:w="3553" w:type="dxa"/>
            <w:shd w:val="clear" w:color="auto" w:fill="auto"/>
            <w:vAlign w:val="center"/>
          </w:tcPr>
          <w:p w14:paraId="2634441B">
            <w:pPr>
              <w:widowControl/>
              <w:spacing w:line="300" w:lineRule="exact"/>
              <w:rPr>
                <w:rFonts w:ascii="Times New Roman"/>
                <w:kern w:val="0"/>
                <w:sz w:val="21"/>
                <w:szCs w:val="21"/>
              </w:rPr>
            </w:pPr>
            <w:r>
              <w:rPr>
                <w:rFonts w:hint="eastAsia" w:ascii="Times New Roman"/>
                <w:kern w:val="0"/>
                <w:sz w:val="21"/>
                <w:szCs w:val="21"/>
              </w:rPr>
              <w:t>1、在连续一年的监测数据中，车间或生产设施排气筒排放的NMHC为30-40mg/m</w:t>
            </w:r>
            <w:r>
              <w:rPr>
                <w:rFonts w:hint="eastAsia" w:ascii="Times New Roman"/>
                <w:kern w:val="0"/>
                <w:sz w:val="21"/>
                <w:szCs w:val="21"/>
                <w:vertAlign w:val="superscript"/>
              </w:rPr>
              <w:t>3</w:t>
            </w:r>
            <w:r>
              <w:rPr>
                <w:rFonts w:hint="eastAsia" w:ascii="Times New Roman"/>
                <w:kern w:val="0"/>
                <w:sz w:val="21"/>
                <w:szCs w:val="21"/>
              </w:rPr>
              <w:t>、TVOC为50-60mg/m</w:t>
            </w:r>
            <w:r>
              <w:rPr>
                <w:rFonts w:hint="eastAsia" w:ascii="Times New Roman"/>
                <w:kern w:val="0"/>
                <w:sz w:val="21"/>
                <w:szCs w:val="21"/>
                <w:vertAlign w:val="superscript"/>
              </w:rPr>
              <w:t>3</w:t>
            </w:r>
            <w:r>
              <w:rPr>
                <w:rFonts w:hint="eastAsia" w:ascii="Times New Roman"/>
                <w:kern w:val="0"/>
                <w:sz w:val="21"/>
                <w:szCs w:val="21"/>
              </w:rPr>
              <w:t>；</w:t>
            </w:r>
          </w:p>
          <w:p w14:paraId="635022AD">
            <w:pPr>
              <w:widowControl/>
              <w:spacing w:line="300" w:lineRule="exact"/>
              <w:rPr>
                <w:rFonts w:ascii="Times New Roman"/>
                <w:kern w:val="0"/>
                <w:sz w:val="21"/>
                <w:szCs w:val="21"/>
              </w:rPr>
            </w:pPr>
            <w:r>
              <w:rPr>
                <w:rFonts w:hint="eastAsia" w:ascii="Times New Roman"/>
                <w:kern w:val="0"/>
                <w:sz w:val="21"/>
                <w:szCs w:val="21"/>
              </w:rPr>
              <w:t>2、厂区内无组织排放监控点NMHC的小时平均值浓度不超过6mg/m</w:t>
            </w:r>
            <w:r>
              <w:rPr>
                <w:rFonts w:hint="eastAsia" w:ascii="Times New Roman"/>
                <w:kern w:val="0"/>
                <w:sz w:val="21"/>
                <w:szCs w:val="21"/>
                <w:vertAlign w:val="superscript"/>
              </w:rPr>
              <w:t>3</w:t>
            </w:r>
            <w:r>
              <w:rPr>
                <w:rFonts w:hint="eastAsia" w:ascii="Times New Roman"/>
                <w:kern w:val="0"/>
                <w:sz w:val="21"/>
                <w:szCs w:val="21"/>
              </w:rPr>
              <w:t>、任意一次浓度值不超过20mg/m</w:t>
            </w:r>
            <w:r>
              <w:rPr>
                <w:rFonts w:hint="eastAsia" w:ascii="Times New Roman"/>
                <w:kern w:val="0"/>
                <w:sz w:val="21"/>
                <w:szCs w:val="21"/>
                <w:vertAlign w:val="superscript"/>
              </w:rPr>
              <w:t>3</w:t>
            </w:r>
            <w:r>
              <w:rPr>
                <w:rFonts w:hint="eastAsia" w:ascii="Times New Roman"/>
                <w:kern w:val="0"/>
                <w:sz w:val="21"/>
                <w:szCs w:val="21"/>
              </w:rPr>
              <w:t>；</w:t>
            </w:r>
          </w:p>
          <w:p w14:paraId="6615A361">
            <w:pPr>
              <w:widowControl/>
              <w:spacing w:line="300" w:lineRule="exact"/>
              <w:rPr>
                <w:rFonts w:ascii="Times New Roman"/>
                <w:kern w:val="0"/>
                <w:sz w:val="21"/>
                <w:szCs w:val="21"/>
              </w:rPr>
            </w:pPr>
            <w:r>
              <w:rPr>
                <w:rFonts w:hint="eastAsia" w:ascii="Times New Roman"/>
                <w:kern w:val="0"/>
                <w:sz w:val="21"/>
                <w:szCs w:val="21"/>
              </w:rPr>
              <w:t>3、其他各项污染物稳定达到现行排放控制要求，并从严地方要求。</w:t>
            </w:r>
          </w:p>
        </w:tc>
        <w:tc>
          <w:tcPr>
            <w:tcW w:w="2126" w:type="dxa"/>
            <w:shd w:val="clear" w:color="auto" w:fill="auto"/>
            <w:vAlign w:val="center"/>
          </w:tcPr>
          <w:p w14:paraId="3646FE19">
            <w:pPr>
              <w:widowControl/>
              <w:jc w:val="center"/>
              <w:rPr>
                <w:rFonts w:ascii="Times New Roman"/>
                <w:sz w:val="21"/>
                <w:szCs w:val="21"/>
              </w:rPr>
            </w:pPr>
            <w:r>
              <w:rPr>
                <w:rFonts w:hint="eastAsia" w:ascii="Times New Roman"/>
                <w:kern w:val="0"/>
                <w:sz w:val="21"/>
                <w:szCs w:val="21"/>
              </w:rPr>
              <w:t>本项目喷漆、喷塑固化、烘干、强冷、电泳、流平工序执行</w:t>
            </w:r>
            <w:r>
              <w:rPr>
                <w:rFonts w:ascii="Times New Roman"/>
                <w:sz w:val="21"/>
                <w:szCs w:val="21"/>
              </w:rPr>
              <w:t>《工业企业挥发性有机物排放控制标准》（DB13/2322-2016）表1表面涂装业标准限值要求</w:t>
            </w:r>
            <w:r>
              <w:rPr>
                <w:rFonts w:hint="eastAsia" w:ascii="Times New Roman"/>
                <w:sz w:val="21"/>
                <w:szCs w:val="21"/>
              </w:rPr>
              <w:t>，非甲烷总烃＜30</w:t>
            </w:r>
            <w:r>
              <w:rPr>
                <w:rFonts w:hint="eastAsia" w:ascii="Times New Roman"/>
                <w:kern w:val="0"/>
                <w:sz w:val="21"/>
                <w:szCs w:val="21"/>
              </w:rPr>
              <w:t>mg/m</w:t>
            </w:r>
            <w:r>
              <w:rPr>
                <w:rFonts w:hint="eastAsia" w:ascii="Times New Roman"/>
                <w:kern w:val="0"/>
                <w:sz w:val="21"/>
                <w:szCs w:val="21"/>
                <w:vertAlign w:val="superscript"/>
              </w:rPr>
              <w:t>3</w:t>
            </w:r>
            <w:r>
              <w:rPr>
                <w:rFonts w:hint="eastAsia" w:ascii="Times New Roman"/>
                <w:sz w:val="21"/>
                <w:szCs w:val="21"/>
              </w:rPr>
              <w:t>，厂区内无组织执行</w:t>
            </w:r>
            <w:r>
              <w:rPr>
                <w:rFonts w:ascii="Times New Roman"/>
                <w:sz w:val="21"/>
                <w:szCs w:val="21"/>
              </w:rPr>
              <w:t>《挥发性有机物无组织</w:t>
            </w:r>
          </w:p>
          <w:p w14:paraId="582E608F">
            <w:pPr>
              <w:widowControl/>
              <w:spacing w:line="300" w:lineRule="exact"/>
              <w:rPr>
                <w:rFonts w:ascii="Times New Roman"/>
                <w:kern w:val="0"/>
                <w:sz w:val="21"/>
                <w:szCs w:val="21"/>
              </w:rPr>
            </w:pPr>
            <w:r>
              <w:rPr>
                <w:rFonts w:ascii="Times New Roman"/>
                <w:sz w:val="21"/>
                <w:szCs w:val="21"/>
              </w:rPr>
              <w:t>排放控制标准》（GB37822-2019）表A.1厂区内VOCs无组织排放特别排放限值（在厂房外设置监控点）</w:t>
            </w:r>
            <w:r>
              <w:rPr>
                <w:rFonts w:hint="eastAsia" w:ascii="Times New Roman"/>
                <w:kern w:val="0"/>
                <w:sz w:val="21"/>
                <w:szCs w:val="21"/>
              </w:rPr>
              <w:t>组织排放监控点NMHC的小时平均值浓度不超过6mg/m</w:t>
            </w:r>
            <w:r>
              <w:rPr>
                <w:rFonts w:hint="eastAsia" w:ascii="Times New Roman"/>
                <w:kern w:val="0"/>
                <w:sz w:val="21"/>
                <w:szCs w:val="21"/>
                <w:vertAlign w:val="superscript"/>
              </w:rPr>
              <w:t>3</w:t>
            </w:r>
            <w:r>
              <w:rPr>
                <w:rFonts w:hint="eastAsia" w:ascii="Times New Roman"/>
                <w:kern w:val="0"/>
                <w:sz w:val="21"/>
                <w:szCs w:val="21"/>
              </w:rPr>
              <w:t>、任意一次浓度值不超过20mg/m</w:t>
            </w:r>
            <w:r>
              <w:rPr>
                <w:rFonts w:hint="eastAsia" w:ascii="Times New Roman"/>
                <w:kern w:val="0"/>
                <w:sz w:val="21"/>
                <w:szCs w:val="21"/>
                <w:vertAlign w:val="superscript"/>
              </w:rPr>
              <w:t>3</w:t>
            </w:r>
          </w:p>
        </w:tc>
        <w:tc>
          <w:tcPr>
            <w:tcW w:w="960" w:type="dxa"/>
            <w:vAlign w:val="center"/>
          </w:tcPr>
          <w:p w14:paraId="4DFCBC4F">
            <w:pPr>
              <w:widowControl/>
              <w:spacing w:line="300" w:lineRule="exact"/>
              <w:jc w:val="center"/>
              <w:rPr>
                <w:rFonts w:ascii="Times New Roman" w:cs="宋体"/>
                <w:kern w:val="0"/>
                <w:sz w:val="21"/>
              </w:rPr>
            </w:pPr>
            <w:r>
              <w:rPr>
                <w:rFonts w:hint="eastAsia" w:ascii="Times New Roman" w:cs="宋体"/>
                <w:kern w:val="0"/>
                <w:sz w:val="21"/>
              </w:rPr>
              <w:t>符合</w:t>
            </w:r>
          </w:p>
        </w:tc>
      </w:tr>
      <w:tr w14:paraId="7288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562" w:type="dxa"/>
            <w:vAlign w:val="center"/>
          </w:tcPr>
          <w:p w14:paraId="16FC6DB3">
            <w:pPr>
              <w:widowControl/>
              <w:spacing w:line="300" w:lineRule="exact"/>
              <w:jc w:val="center"/>
              <w:rPr>
                <w:rFonts w:ascii="Times New Roman" w:cs="宋体"/>
                <w:kern w:val="0"/>
                <w:sz w:val="21"/>
              </w:rPr>
            </w:pPr>
            <w:r>
              <w:rPr>
                <w:rFonts w:hint="eastAsia" w:ascii="Times New Roman" w:cs="宋体"/>
                <w:kern w:val="0"/>
                <w:sz w:val="21"/>
              </w:rPr>
              <w:t>5</w:t>
            </w:r>
          </w:p>
        </w:tc>
        <w:tc>
          <w:tcPr>
            <w:tcW w:w="1134" w:type="dxa"/>
            <w:gridSpan w:val="2"/>
            <w:vAlign w:val="center"/>
          </w:tcPr>
          <w:p w14:paraId="6C3829BF">
            <w:pPr>
              <w:widowControl/>
              <w:spacing w:line="300" w:lineRule="exact"/>
              <w:jc w:val="center"/>
              <w:rPr>
                <w:rFonts w:ascii="Times New Roman" w:cs="宋体"/>
                <w:kern w:val="0"/>
                <w:sz w:val="21"/>
                <w:szCs w:val="21"/>
              </w:rPr>
            </w:pPr>
            <w:r>
              <w:rPr>
                <w:rFonts w:hint="eastAsia" w:ascii="Times New Roman" w:cs="宋体"/>
                <w:kern w:val="0"/>
                <w:sz w:val="21"/>
                <w:szCs w:val="21"/>
              </w:rPr>
              <w:t>监测监控水平</w:t>
            </w:r>
          </w:p>
        </w:tc>
        <w:tc>
          <w:tcPr>
            <w:tcW w:w="3553" w:type="dxa"/>
            <w:shd w:val="clear" w:color="auto" w:fill="auto"/>
            <w:vAlign w:val="center"/>
          </w:tcPr>
          <w:p w14:paraId="6C62F957">
            <w:pPr>
              <w:widowControl/>
              <w:spacing w:line="300" w:lineRule="exact"/>
              <w:rPr>
                <w:rFonts w:ascii="Times New Roman"/>
                <w:kern w:val="0"/>
                <w:sz w:val="21"/>
                <w:szCs w:val="21"/>
              </w:rPr>
            </w:pPr>
            <w:r>
              <w:rPr>
                <w:rFonts w:hint="eastAsia" w:ascii="Times New Roman"/>
                <w:kern w:val="0"/>
                <w:sz w:val="21"/>
                <w:szCs w:val="21"/>
              </w:rPr>
              <w:t>1、严格执行《排污许可证申请与核发技术规范 总则》（HJ942-2018）规定的自行监测管理要求；</w:t>
            </w:r>
          </w:p>
          <w:p w14:paraId="5BA368D3">
            <w:pPr>
              <w:widowControl/>
              <w:spacing w:line="300" w:lineRule="exact"/>
              <w:rPr>
                <w:rFonts w:ascii="Times New Roman"/>
                <w:kern w:val="0"/>
                <w:sz w:val="21"/>
                <w:szCs w:val="21"/>
              </w:rPr>
            </w:pPr>
            <w:r>
              <w:rPr>
                <w:rFonts w:hint="eastAsia" w:ascii="Times New Roman"/>
                <w:kern w:val="0"/>
                <w:sz w:val="21"/>
                <w:szCs w:val="21"/>
              </w:rPr>
              <w:t>2、重点排污企业按排污许可证中规定的主要排放口安装自动监控设施，自动监控数据要保存一年以上；</w:t>
            </w:r>
          </w:p>
          <w:p w14:paraId="7DB853DF">
            <w:pPr>
              <w:widowControl/>
              <w:spacing w:line="300" w:lineRule="exact"/>
              <w:rPr>
                <w:rFonts w:ascii="Times New Roman"/>
                <w:kern w:val="0"/>
                <w:sz w:val="21"/>
                <w:szCs w:val="21"/>
              </w:rPr>
            </w:pPr>
            <w:r>
              <w:rPr>
                <w:rFonts w:hint="eastAsia" w:ascii="Times New Roman"/>
                <w:kern w:val="0"/>
                <w:sz w:val="21"/>
                <w:szCs w:val="21"/>
              </w:rPr>
              <w:t>3、安装DCS系统、PCL系统、仪器仪表等装置，记录治理设施主要参数，数据保存一年以上。</w:t>
            </w:r>
          </w:p>
        </w:tc>
        <w:tc>
          <w:tcPr>
            <w:tcW w:w="2126" w:type="dxa"/>
            <w:shd w:val="clear" w:color="auto" w:fill="auto"/>
            <w:vAlign w:val="center"/>
          </w:tcPr>
          <w:p w14:paraId="1AF69EA6">
            <w:pPr>
              <w:widowControl/>
              <w:spacing w:line="300" w:lineRule="exact"/>
              <w:rPr>
                <w:rFonts w:ascii="Times New Roman"/>
                <w:kern w:val="0"/>
                <w:sz w:val="21"/>
                <w:szCs w:val="21"/>
              </w:rPr>
            </w:pPr>
            <w:r>
              <w:rPr>
                <w:rFonts w:hint="eastAsia" w:ascii="Times New Roman"/>
                <w:kern w:val="0"/>
                <w:sz w:val="21"/>
                <w:szCs w:val="21"/>
              </w:rPr>
              <w:t>执行《排污许可证申请与核发技术规范 总则》（HJ942-2018）规定的自行监测管理要求；</w:t>
            </w:r>
          </w:p>
        </w:tc>
        <w:tc>
          <w:tcPr>
            <w:tcW w:w="960" w:type="dxa"/>
            <w:vAlign w:val="center"/>
          </w:tcPr>
          <w:p w14:paraId="19481FAF">
            <w:pPr>
              <w:widowControl/>
              <w:spacing w:line="300" w:lineRule="exact"/>
              <w:jc w:val="center"/>
              <w:rPr>
                <w:rFonts w:ascii="Times New Roman" w:cs="宋体"/>
                <w:kern w:val="0"/>
                <w:sz w:val="21"/>
              </w:rPr>
            </w:pPr>
            <w:r>
              <w:rPr>
                <w:rFonts w:hint="eastAsia" w:ascii="Times New Roman" w:cs="宋体"/>
                <w:kern w:val="0"/>
                <w:sz w:val="21"/>
              </w:rPr>
              <w:t>符合</w:t>
            </w:r>
          </w:p>
        </w:tc>
      </w:tr>
      <w:tr w14:paraId="67D2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shd w:val="clear" w:color="auto" w:fill="auto"/>
            <w:noWrap/>
            <w:vAlign w:val="center"/>
          </w:tcPr>
          <w:p w14:paraId="3CDB3B3D">
            <w:pPr>
              <w:widowControl/>
              <w:spacing w:line="300" w:lineRule="exact"/>
              <w:jc w:val="center"/>
              <w:rPr>
                <w:rFonts w:ascii="Times New Roman" w:cs="宋体"/>
                <w:kern w:val="0"/>
                <w:sz w:val="21"/>
              </w:rPr>
            </w:pPr>
            <w:r>
              <w:rPr>
                <w:rFonts w:hint="eastAsia" w:ascii="Times New Roman" w:cs="宋体"/>
                <w:kern w:val="0"/>
                <w:sz w:val="21"/>
              </w:rPr>
              <w:t>6</w:t>
            </w:r>
          </w:p>
        </w:tc>
        <w:tc>
          <w:tcPr>
            <w:tcW w:w="385" w:type="dxa"/>
            <w:vMerge w:val="restart"/>
            <w:shd w:val="clear" w:color="auto" w:fill="auto"/>
            <w:vAlign w:val="center"/>
          </w:tcPr>
          <w:p w14:paraId="7D945EF4">
            <w:pPr>
              <w:widowControl/>
              <w:spacing w:line="300" w:lineRule="exact"/>
              <w:jc w:val="center"/>
              <w:rPr>
                <w:rFonts w:ascii="Times New Roman" w:cs="宋体"/>
                <w:kern w:val="0"/>
                <w:sz w:val="21"/>
                <w:szCs w:val="21"/>
              </w:rPr>
            </w:pPr>
            <w:r>
              <w:rPr>
                <w:rFonts w:hint="eastAsia" w:ascii="Times New Roman" w:cs="宋体"/>
                <w:kern w:val="0"/>
                <w:sz w:val="21"/>
                <w:szCs w:val="21"/>
              </w:rPr>
              <w:t>环境管理水平</w:t>
            </w:r>
          </w:p>
        </w:tc>
        <w:tc>
          <w:tcPr>
            <w:tcW w:w="749" w:type="dxa"/>
            <w:shd w:val="clear" w:color="auto" w:fill="auto"/>
            <w:vAlign w:val="center"/>
          </w:tcPr>
          <w:p w14:paraId="48394662">
            <w:pPr>
              <w:widowControl/>
              <w:spacing w:line="300" w:lineRule="exact"/>
              <w:rPr>
                <w:rFonts w:ascii="Times New Roman" w:cs="宋体"/>
                <w:kern w:val="0"/>
                <w:sz w:val="21"/>
                <w:szCs w:val="21"/>
              </w:rPr>
            </w:pPr>
            <w:r>
              <w:rPr>
                <w:rFonts w:hint="eastAsia" w:ascii="Times New Roman" w:cs="宋体"/>
                <w:kern w:val="0"/>
                <w:sz w:val="21"/>
                <w:szCs w:val="21"/>
              </w:rPr>
              <w:t>环保档案</w:t>
            </w:r>
          </w:p>
        </w:tc>
        <w:tc>
          <w:tcPr>
            <w:tcW w:w="3553" w:type="dxa"/>
            <w:shd w:val="clear" w:color="auto" w:fill="auto"/>
            <w:vAlign w:val="center"/>
          </w:tcPr>
          <w:p w14:paraId="3127E91B">
            <w:pPr>
              <w:pStyle w:val="20"/>
              <w:ind w:firstLine="0"/>
              <w:rPr>
                <w:rFonts w:eastAsia="宋体"/>
              </w:rPr>
            </w:pPr>
            <w:r>
              <w:rPr>
                <w:rFonts w:hint="eastAsia" w:eastAsia="宋体"/>
              </w:rPr>
              <w:t>环保档案齐全：1、环评批复文件；2、排污许可证及季度、年度执行报告；3、竣工验收文件；4、废气治理设施运行管理规程；5、一年内废气监测报告。</w:t>
            </w:r>
          </w:p>
        </w:tc>
        <w:tc>
          <w:tcPr>
            <w:tcW w:w="2126" w:type="dxa"/>
            <w:vMerge w:val="restart"/>
            <w:shd w:val="clear" w:color="auto" w:fill="auto"/>
            <w:noWrap/>
            <w:vAlign w:val="center"/>
          </w:tcPr>
          <w:p w14:paraId="13FCC86E">
            <w:pPr>
              <w:pStyle w:val="20"/>
              <w:ind w:firstLine="0"/>
              <w:rPr>
                <w:rFonts w:eastAsia="宋体"/>
              </w:rPr>
            </w:pPr>
            <w:r>
              <w:rPr>
                <w:rFonts w:hint="eastAsia" w:eastAsia="宋体"/>
              </w:rPr>
              <w:t>本项目处于审批阶段，本次项目按要求设置废气治理设施运行管理制度等，按要求设置相关台账。</w:t>
            </w:r>
          </w:p>
        </w:tc>
        <w:tc>
          <w:tcPr>
            <w:tcW w:w="960" w:type="dxa"/>
            <w:vAlign w:val="center"/>
          </w:tcPr>
          <w:p w14:paraId="624B5403">
            <w:pPr>
              <w:widowControl/>
              <w:spacing w:line="300" w:lineRule="exact"/>
              <w:jc w:val="center"/>
              <w:rPr>
                <w:rFonts w:ascii="Times New Roman" w:cs="宋体"/>
                <w:kern w:val="0"/>
                <w:sz w:val="21"/>
              </w:rPr>
            </w:pPr>
            <w:r>
              <w:rPr>
                <w:rFonts w:hint="eastAsia" w:ascii="Times New Roman" w:cs="宋体"/>
                <w:kern w:val="0"/>
                <w:sz w:val="21"/>
              </w:rPr>
              <w:t>符合</w:t>
            </w:r>
          </w:p>
        </w:tc>
      </w:tr>
      <w:tr w14:paraId="0710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vAlign w:val="center"/>
          </w:tcPr>
          <w:p w14:paraId="5C7F7A24">
            <w:pPr>
              <w:widowControl/>
              <w:spacing w:line="300" w:lineRule="exact"/>
              <w:jc w:val="center"/>
              <w:rPr>
                <w:rFonts w:ascii="Times New Roman" w:cs="宋体"/>
                <w:kern w:val="0"/>
                <w:sz w:val="21"/>
              </w:rPr>
            </w:pPr>
          </w:p>
        </w:tc>
        <w:tc>
          <w:tcPr>
            <w:tcW w:w="385" w:type="dxa"/>
            <w:vMerge w:val="continue"/>
            <w:vAlign w:val="center"/>
          </w:tcPr>
          <w:p w14:paraId="003895CE">
            <w:pPr>
              <w:widowControl/>
              <w:spacing w:line="300" w:lineRule="exact"/>
              <w:jc w:val="center"/>
              <w:rPr>
                <w:rFonts w:ascii="Times New Roman" w:cs="宋体"/>
                <w:kern w:val="0"/>
                <w:sz w:val="21"/>
                <w:szCs w:val="21"/>
              </w:rPr>
            </w:pPr>
          </w:p>
        </w:tc>
        <w:tc>
          <w:tcPr>
            <w:tcW w:w="749" w:type="dxa"/>
            <w:vAlign w:val="center"/>
          </w:tcPr>
          <w:p w14:paraId="4CD984FA">
            <w:pPr>
              <w:widowControl/>
              <w:spacing w:line="300" w:lineRule="exact"/>
              <w:jc w:val="center"/>
              <w:rPr>
                <w:rFonts w:ascii="Times New Roman" w:cs="宋体"/>
                <w:kern w:val="0"/>
                <w:sz w:val="21"/>
                <w:szCs w:val="21"/>
              </w:rPr>
            </w:pPr>
            <w:r>
              <w:rPr>
                <w:rFonts w:hint="eastAsia" w:ascii="Times New Roman" w:cs="宋体"/>
                <w:kern w:val="0"/>
                <w:sz w:val="21"/>
                <w:szCs w:val="21"/>
              </w:rPr>
              <w:t>台账记录</w:t>
            </w:r>
          </w:p>
        </w:tc>
        <w:tc>
          <w:tcPr>
            <w:tcW w:w="3553" w:type="dxa"/>
            <w:shd w:val="clear" w:color="auto" w:fill="auto"/>
            <w:vAlign w:val="center"/>
          </w:tcPr>
          <w:p w14:paraId="3758DDFC">
            <w:pPr>
              <w:pStyle w:val="20"/>
              <w:ind w:firstLine="0"/>
              <w:rPr>
                <w:kern w:val="0"/>
                <w:szCs w:val="21"/>
              </w:rPr>
            </w:pPr>
            <w:r>
              <w:rPr>
                <w:rFonts w:hint="eastAsia" w:eastAsia="宋体"/>
              </w:rPr>
              <w:t>1、生产设施运行管理信息（生产时间、运行负荷、产品产量等，必须具备近一年及以上所用涂料的密度、扣水后VOCs含量、含水率（水性涂料）等信息的监测报告）；2、废气污染治理设施运行管理信息（燃烧室温度、冷凝温度、过滤材料更换频次、吸附剂更换频次、催化剂更换频次）；3、监测记录信息（主要污染排放口废气排放记录（手工监测或在线监测）等）；4、主要原辅材料消耗记录；5、燃气（天然气）消耗记录</w:t>
            </w:r>
          </w:p>
        </w:tc>
        <w:tc>
          <w:tcPr>
            <w:tcW w:w="2126" w:type="dxa"/>
            <w:vMerge w:val="continue"/>
            <w:shd w:val="clear" w:color="auto" w:fill="auto"/>
            <w:vAlign w:val="center"/>
          </w:tcPr>
          <w:p w14:paraId="6352D038">
            <w:pPr>
              <w:pStyle w:val="20"/>
              <w:ind w:firstLine="0"/>
              <w:rPr>
                <w:rFonts w:eastAsia="宋体"/>
              </w:rPr>
            </w:pPr>
          </w:p>
        </w:tc>
        <w:tc>
          <w:tcPr>
            <w:tcW w:w="960" w:type="dxa"/>
            <w:vAlign w:val="center"/>
          </w:tcPr>
          <w:p w14:paraId="6BF7ED88">
            <w:pPr>
              <w:widowControl/>
              <w:spacing w:line="300" w:lineRule="exact"/>
              <w:jc w:val="center"/>
              <w:rPr>
                <w:rFonts w:ascii="Times New Roman" w:cs="宋体"/>
                <w:kern w:val="0"/>
                <w:sz w:val="21"/>
              </w:rPr>
            </w:pPr>
            <w:r>
              <w:rPr>
                <w:rFonts w:hint="eastAsia" w:ascii="Times New Roman" w:cs="宋体"/>
                <w:kern w:val="0"/>
                <w:sz w:val="21"/>
              </w:rPr>
              <w:t>符合</w:t>
            </w:r>
          </w:p>
        </w:tc>
      </w:tr>
      <w:tr w14:paraId="1479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vAlign w:val="center"/>
          </w:tcPr>
          <w:p w14:paraId="1933587B">
            <w:pPr>
              <w:widowControl/>
              <w:spacing w:line="300" w:lineRule="exact"/>
              <w:jc w:val="center"/>
              <w:rPr>
                <w:rFonts w:ascii="Times New Roman" w:cs="宋体"/>
                <w:kern w:val="0"/>
                <w:sz w:val="21"/>
              </w:rPr>
            </w:pPr>
          </w:p>
        </w:tc>
        <w:tc>
          <w:tcPr>
            <w:tcW w:w="385" w:type="dxa"/>
            <w:vMerge w:val="continue"/>
            <w:vAlign w:val="center"/>
          </w:tcPr>
          <w:p w14:paraId="6E05EC14">
            <w:pPr>
              <w:widowControl/>
              <w:spacing w:line="300" w:lineRule="exact"/>
              <w:jc w:val="center"/>
              <w:rPr>
                <w:rFonts w:ascii="Times New Roman" w:cs="宋体"/>
                <w:kern w:val="0"/>
                <w:sz w:val="21"/>
                <w:szCs w:val="21"/>
              </w:rPr>
            </w:pPr>
          </w:p>
        </w:tc>
        <w:tc>
          <w:tcPr>
            <w:tcW w:w="749" w:type="dxa"/>
            <w:vAlign w:val="center"/>
          </w:tcPr>
          <w:p w14:paraId="61867D78">
            <w:pPr>
              <w:widowControl/>
              <w:spacing w:line="300" w:lineRule="exact"/>
              <w:jc w:val="center"/>
              <w:rPr>
                <w:rFonts w:ascii="Times New Roman" w:cs="宋体"/>
                <w:kern w:val="0"/>
                <w:sz w:val="21"/>
                <w:szCs w:val="21"/>
              </w:rPr>
            </w:pPr>
            <w:r>
              <w:rPr>
                <w:rFonts w:hint="eastAsia" w:ascii="Times New Roman" w:cs="宋体"/>
                <w:kern w:val="0"/>
                <w:sz w:val="21"/>
                <w:szCs w:val="21"/>
              </w:rPr>
              <w:t>人员配置</w:t>
            </w:r>
          </w:p>
        </w:tc>
        <w:tc>
          <w:tcPr>
            <w:tcW w:w="3553" w:type="dxa"/>
            <w:shd w:val="clear" w:color="auto" w:fill="auto"/>
            <w:vAlign w:val="center"/>
          </w:tcPr>
          <w:p w14:paraId="4BAAA959">
            <w:pPr>
              <w:pStyle w:val="20"/>
              <w:ind w:firstLine="0"/>
              <w:rPr>
                <w:kern w:val="0"/>
                <w:szCs w:val="21"/>
              </w:rPr>
            </w:pPr>
            <w:r>
              <w:rPr>
                <w:rFonts w:hint="eastAsia" w:eastAsia="宋体"/>
              </w:rPr>
              <w:t>设置环保部门，配备专职环保人员，并具备相应的环境管理能力</w:t>
            </w:r>
          </w:p>
        </w:tc>
        <w:tc>
          <w:tcPr>
            <w:tcW w:w="2126" w:type="dxa"/>
            <w:shd w:val="clear" w:color="auto" w:fill="auto"/>
            <w:vAlign w:val="center"/>
          </w:tcPr>
          <w:p w14:paraId="53E6CA31">
            <w:pPr>
              <w:widowControl/>
              <w:spacing w:line="300" w:lineRule="exact"/>
              <w:jc w:val="center"/>
              <w:rPr>
                <w:rFonts w:ascii="Times New Roman" w:cs="宋体"/>
                <w:kern w:val="0"/>
                <w:sz w:val="21"/>
              </w:rPr>
            </w:pPr>
            <w:r>
              <w:rPr>
                <w:rFonts w:hint="eastAsia" w:ascii="Times New Roman" w:cs="宋体"/>
                <w:kern w:val="0"/>
                <w:sz w:val="21"/>
              </w:rPr>
              <w:t>设置环保部门，配备专职环保人员，并具备相应的环境管理能力。</w:t>
            </w:r>
          </w:p>
        </w:tc>
        <w:tc>
          <w:tcPr>
            <w:tcW w:w="960" w:type="dxa"/>
            <w:vAlign w:val="center"/>
          </w:tcPr>
          <w:p w14:paraId="6062F62F">
            <w:pPr>
              <w:widowControl/>
              <w:spacing w:line="300" w:lineRule="exact"/>
              <w:jc w:val="center"/>
              <w:rPr>
                <w:rFonts w:ascii="Times New Roman" w:cs="宋体"/>
                <w:kern w:val="0"/>
                <w:sz w:val="21"/>
              </w:rPr>
            </w:pPr>
            <w:r>
              <w:rPr>
                <w:rFonts w:hint="eastAsia" w:ascii="Times New Roman" w:cs="宋体"/>
                <w:kern w:val="0"/>
                <w:sz w:val="21"/>
              </w:rPr>
              <w:t>符合</w:t>
            </w:r>
          </w:p>
        </w:tc>
      </w:tr>
      <w:tr w14:paraId="2140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628C712D">
            <w:pPr>
              <w:widowControl/>
              <w:spacing w:line="300" w:lineRule="exact"/>
              <w:jc w:val="center"/>
              <w:rPr>
                <w:rFonts w:ascii="Times New Roman" w:cs="宋体"/>
                <w:kern w:val="0"/>
                <w:sz w:val="21"/>
              </w:rPr>
            </w:pPr>
            <w:r>
              <w:rPr>
                <w:rFonts w:hint="eastAsia" w:ascii="Times New Roman" w:cs="宋体"/>
                <w:kern w:val="0"/>
                <w:sz w:val="21"/>
              </w:rPr>
              <w:t>8</w:t>
            </w:r>
          </w:p>
        </w:tc>
        <w:tc>
          <w:tcPr>
            <w:tcW w:w="1134" w:type="dxa"/>
            <w:gridSpan w:val="2"/>
            <w:shd w:val="clear" w:color="auto" w:fill="auto"/>
            <w:vAlign w:val="center"/>
          </w:tcPr>
          <w:p w14:paraId="64475845">
            <w:pPr>
              <w:widowControl/>
              <w:spacing w:line="300" w:lineRule="exact"/>
              <w:jc w:val="center"/>
              <w:rPr>
                <w:rFonts w:ascii="Times New Roman"/>
                <w:kern w:val="0"/>
                <w:sz w:val="21"/>
                <w:szCs w:val="21"/>
              </w:rPr>
            </w:pPr>
            <w:r>
              <w:rPr>
                <w:rFonts w:hint="eastAsia" w:ascii="Times New Roman"/>
                <w:kern w:val="0"/>
                <w:sz w:val="21"/>
                <w:szCs w:val="21"/>
              </w:rPr>
              <w:t>运输方式</w:t>
            </w:r>
          </w:p>
        </w:tc>
        <w:tc>
          <w:tcPr>
            <w:tcW w:w="3553" w:type="dxa"/>
            <w:shd w:val="clear" w:color="auto" w:fill="auto"/>
            <w:vAlign w:val="center"/>
          </w:tcPr>
          <w:p w14:paraId="089DB509">
            <w:pPr>
              <w:widowControl/>
              <w:spacing w:line="300" w:lineRule="exact"/>
              <w:jc w:val="center"/>
              <w:rPr>
                <w:rFonts w:ascii="Times New Roman"/>
                <w:kern w:val="0"/>
                <w:sz w:val="21"/>
                <w:szCs w:val="21"/>
              </w:rPr>
            </w:pPr>
            <w:r>
              <w:rPr>
                <w:rFonts w:hint="eastAsia" w:ascii="Times New Roman"/>
                <w:kern w:val="0"/>
                <w:sz w:val="21"/>
                <w:szCs w:val="21"/>
              </w:rPr>
              <w:t>1、物料公路运输使用达到国五及以上排放标准重型载货车辆（含燃气）或新能源车辆占比不低于80%，其他车辆达到国四排放标准；</w:t>
            </w:r>
          </w:p>
          <w:p w14:paraId="731026C4">
            <w:pPr>
              <w:widowControl/>
              <w:spacing w:line="300" w:lineRule="exact"/>
              <w:jc w:val="center"/>
              <w:rPr>
                <w:rFonts w:ascii="Times New Roman"/>
                <w:kern w:val="0"/>
                <w:sz w:val="21"/>
                <w:szCs w:val="21"/>
              </w:rPr>
            </w:pPr>
            <w:r>
              <w:rPr>
                <w:rFonts w:hint="eastAsia" w:ascii="Times New Roman"/>
                <w:kern w:val="0"/>
                <w:sz w:val="21"/>
                <w:szCs w:val="21"/>
              </w:rPr>
              <w:t>2、厂内运输使用达到国五及以上排放标准车辆（含燃气）或新能源车辆比例不低于80%，其他车辆达到国四排放标准；</w:t>
            </w:r>
          </w:p>
          <w:p w14:paraId="4AC8476B">
            <w:pPr>
              <w:widowControl/>
              <w:spacing w:line="300" w:lineRule="exact"/>
              <w:jc w:val="center"/>
              <w:rPr>
                <w:rFonts w:ascii="Times New Roman"/>
                <w:kern w:val="0"/>
                <w:sz w:val="21"/>
                <w:szCs w:val="21"/>
              </w:rPr>
            </w:pPr>
            <w:r>
              <w:rPr>
                <w:rFonts w:hint="eastAsia" w:ascii="Times New Roman"/>
                <w:kern w:val="0"/>
                <w:sz w:val="21"/>
                <w:szCs w:val="21"/>
              </w:rPr>
              <w:t>3、厂内非道路移动机械使用达到国三及以上排放标准或新能源机械比例不低于80%。</w:t>
            </w:r>
          </w:p>
        </w:tc>
        <w:tc>
          <w:tcPr>
            <w:tcW w:w="2126" w:type="dxa"/>
            <w:shd w:val="clear" w:color="auto" w:fill="auto"/>
            <w:noWrap/>
            <w:vAlign w:val="center"/>
          </w:tcPr>
          <w:p w14:paraId="689AC16F">
            <w:pPr>
              <w:widowControl/>
              <w:spacing w:line="300" w:lineRule="exact"/>
              <w:jc w:val="center"/>
              <w:rPr>
                <w:rFonts w:ascii="Times New Roman"/>
                <w:kern w:val="0"/>
                <w:sz w:val="21"/>
                <w:szCs w:val="21"/>
              </w:rPr>
            </w:pPr>
            <w:r>
              <w:rPr>
                <w:rFonts w:hint="eastAsia" w:ascii="Times New Roman"/>
                <w:kern w:val="0"/>
                <w:sz w:val="21"/>
                <w:szCs w:val="21"/>
              </w:rPr>
              <w:t>评价要求项目物料、产品公路运输全部使用国五及以上排放标准的重型载货车辆(含燃气)或新能源车辆；厂区车辆全部达国五及以上排放标准(含燃气)或使用新能源车辆；厂区内非道路移动机械使用国三及以上或新能源机械。</w:t>
            </w:r>
          </w:p>
        </w:tc>
        <w:tc>
          <w:tcPr>
            <w:tcW w:w="960" w:type="dxa"/>
            <w:vAlign w:val="center"/>
          </w:tcPr>
          <w:p w14:paraId="6DC65244">
            <w:pPr>
              <w:widowControl/>
              <w:spacing w:line="300" w:lineRule="exact"/>
              <w:jc w:val="center"/>
              <w:rPr>
                <w:rFonts w:ascii="Times New Roman" w:cs="宋体"/>
                <w:kern w:val="0"/>
                <w:sz w:val="21"/>
              </w:rPr>
            </w:pPr>
            <w:r>
              <w:rPr>
                <w:rFonts w:hint="eastAsia" w:ascii="Times New Roman" w:cs="宋体"/>
                <w:kern w:val="0"/>
                <w:sz w:val="21"/>
              </w:rPr>
              <w:t>符合</w:t>
            </w:r>
          </w:p>
        </w:tc>
      </w:tr>
      <w:tr w14:paraId="50F3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4ED9B49D">
            <w:pPr>
              <w:widowControl/>
              <w:spacing w:line="300" w:lineRule="exact"/>
              <w:jc w:val="center"/>
              <w:rPr>
                <w:rFonts w:ascii="Times New Roman" w:cs="宋体"/>
                <w:kern w:val="0"/>
                <w:sz w:val="21"/>
              </w:rPr>
            </w:pPr>
            <w:r>
              <w:rPr>
                <w:rFonts w:hint="eastAsia" w:ascii="Times New Roman" w:cs="宋体"/>
                <w:kern w:val="0"/>
                <w:sz w:val="21"/>
              </w:rPr>
              <w:t>9</w:t>
            </w:r>
          </w:p>
        </w:tc>
        <w:tc>
          <w:tcPr>
            <w:tcW w:w="1134" w:type="dxa"/>
            <w:gridSpan w:val="2"/>
            <w:shd w:val="clear" w:color="auto" w:fill="auto"/>
            <w:vAlign w:val="center"/>
          </w:tcPr>
          <w:p w14:paraId="2D508266">
            <w:pPr>
              <w:widowControl/>
              <w:spacing w:line="300" w:lineRule="exact"/>
              <w:jc w:val="center"/>
              <w:rPr>
                <w:rFonts w:ascii="Times New Roman" w:cs="宋体"/>
                <w:kern w:val="0"/>
                <w:sz w:val="21"/>
                <w:szCs w:val="21"/>
              </w:rPr>
            </w:pPr>
            <w:r>
              <w:rPr>
                <w:rFonts w:hint="eastAsia" w:ascii="Times New Roman" w:cs="宋体"/>
                <w:kern w:val="0"/>
                <w:sz w:val="21"/>
                <w:szCs w:val="21"/>
              </w:rPr>
              <w:t>运输监管</w:t>
            </w:r>
          </w:p>
        </w:tc>
        <w:tc>
          <w:tcPr>
            <w:tcW w:w="3553" w:type="dxa"/>
            <w:shd w:val="clear" w:color="auto" w:fill="auto"/>
            <w:vAlign w:val="center"/>
          </w:tcPr>
          <w:p w14:paraId="73C20C22">
            <w:pPr>
              <w:widowControl/>
              <w:spacing w:line="300" w:lineRule="exact"/>
              <w:jc w:val="center"/>
              <w:rPr>
                <w:rFonts w:ascii="Times New Roman"/>
                <w:kern w:val="0"/>
                <w:sz w:val="21"/>
                <w:szCs w:val="21"/>
              </w:rPr>
            </w:pPr>
            <w:r>
              <w:rPr>
                <w:rFonts w:hint="eastAsia" w:ascii="Times New Roman"/>
                <w:kern w:val="0"/>
                <w:sz w:val="21"/>
                <w:szCs w:val="21"/>
              </w:rPr>
              <w:t>参照《重污染天气重点行业移动源应急管理技术指南》建立门禁系统和电子台账</w:t>
            </w:r>
          </w:p>
        </w:tc>
        <w:tc>
          <w:tcPr>
            <w:tcW w:w="2126" w:type="dxa"/>
            <w:shd w:val="clear" w:color="auto" w:fill="auto"/>
            <w:noWrap/>
            <w:vAlign w:val="center"/>
          </w:tcPr>
          <w:p w14:paraId="457EAEBF">
            <w:pPr>
              <w:widowControl/>
              <w:spacing w:line="300" w:lineRule="exact"/>
              <w:jc w:val="center"/>
              <w:rPr>
                <w:rFonts w:ascii="Times New Roman"/>
                <w:kern w:val="0"/>
                <w:sz w:val="21"/>
                <w:szCs w:val="21"/>
              </w:rPr>
            </w:pPr>
            <w:r>
              <w:rPr>
                <w:rFonts w:hint="eastAsia" w:ascii="Times New Roman"/>
                <w:kern w:val="0"/>
                <w:sz w:val="21"/>
                <w:szCs w:val="21"/>
              </w:rPr>
              <w:t>参照《重污染天气重点行业移动源应急管理技术指南》建立门禁视频监控系统和电子台账</w:t>
            </w:r>
          </w:p>
        </w:tc>
        <w:tc>
          <w:tcPr>
            <w:tcW w:w="960" w:type="dxa"/>
            <w:vAlign w:val="center"/>
          </w:tcPr>
          <w:p w14:paraId="7CCBA793">
            <w:pPr>
              <w:widowControl/>
              <w:spacing w:line="300" w:lineRule="exact"/>
              <w:jc w:val="center"/>
              <w:rPr>
                <w:rFonts w:ascii="Times New Roman" w:cs="宋体"/>
                <w:kern w:val="0"/>
                <w:sz w:val="21"/>
              </w:rPr>
            </w:pPr>
            <w:r>
              <w:rPr>
                <w:rFonts w:hint="eastAsia" w:ascii="Times New Roman" w:cs="宋体"/>
                <w:kern w:val="0"/>
                <w:sz w:val="21"/>
              </w:rPr>
              <w:t>符合</w:t>
            </w:r>
          </w:p>
        </w:tc>
      </w:tr>
    </w:tbl>
    <w:p w14:paraId="4E204A8E">
      <w:pPr>
        <w:spacing w:line="480" w:lineRule="exact"/>
        <w:jc w:val="center"/>
        <w:rPr>
          <w:rFonts w:ascii="Times New Roman"/>
          <w:sz w:val="24"/>
        </w:rPr>
      </w:pPr>
      <w:r>
        <w:rPr>
          <w:rFonts w:hint="eastAsia" w:ascii="Times New Roman"/>
          <w:b/>
        </w:rPr>
        <w:t>表</w:t>
      </w:r>
      <w:r>
        <w:rPr>
          <w:rFonts w:ascii="Times New Roman"/>
          <w:b/>
        </w:rPr>
        <w:t>2.9</w:t>
      </w:r>
      <w:r>
        <w:rPr>
          <w:rFonts w:ascii="Times New Roman"/>
          <w:b/>
        </w:rPr>
        <w:noBreakHyphen/>
      </w:r>
      <w:r>
        <w:rPr>
          <w:rFonts w:ascii="Times New Roman"/>
          <w:b/>
        </w:rPr>
        <w:t>1</w:t>
      </w:r>
      <w:r>
        <w:rPr>
          <w:rFonts w:hint="eastAsia" w:ascii="Times New Roman"/>
          <w:b/>
        </w:rPr>
        <w:t>0</w:t>
      </w:r>
      <w:r>
        <w:rPr>
          <w:rFonts w:ascii="Times New Roman"/>
          <w:b/>
        </w:rPr>
        <w:t xml:space="preserve"> </w:t>
      </w:r>
      <w:r>
        <w:rPr>
          <w:rFonts w:ascii="Times New Roman"/>
          <w:b/>
          <w:bCs/>
        </w:rPr>
        <w:t xml:space="preserve"> </w:t>
      </w:r>
      <w:r>
        <w:rPr>
          <w:rFonts w:hint="eastAsia" w:ascii="Times New Roman"/>
          <w:b/>
          <w:bCs/>
          <w:sz w:val="24"/>
          <w:szCs w:val="24"/>
        </w:rPr>
        <w:t>项目与金属表面处理及热加工行业绩效分级指标要求</w:t>
      </w:r>
      <w:r>
        <w:rPr>
          <w:rFonts w:ascii="Times New Roman"/>
          <w:b/>
          <w:bCs/>
          <w:sz w:val="24"/>
          <w:szCs w:val="24"/>
        </w:rPr>
        <w:t>的符合性分析</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85"/>
        <w:gridCol w:w="749"/>
        <w:gridCol w:w="3553"/>
        <w:gridCol w:w="2126"/>
        <w:gridCol w:w="960"/>
      </w:tblGrid>
      <w:tr w14:paraId="50F6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2E67777C">
            <w:pPr>
              <w:widowControl/>
              <w:spacing w:line="300" w:lineRule="exact"/>
              <w:jc w:val="center"/>
              <w:rPr>
                <w:rFonts w:ascii="Times New Roman" w:cs="宋体"/>
                <w:b/>
                <w:kern w:val="0"/>
                <w:sz w:val="21"/>
                <w:szCs w:val="21"/>
              </w:rPr>
            </w:pPr>
            <w:r>
              <w:rPr>
                <w:rFonts w:hint="eastAsia" w:ascii="Times New Roman" w:cs="宋体"/>
                <w:b/>
                <w:kern w:val="0"/>
                <w:sz w:val="21"/>
                <w:szCs w:val="21"/>
              </w:rPr>
              <w:t>序号</w:t>
            </w:r>
          </w:p>
        </w:tc>
        <w:tc>
          <w:tcPr>
            <w:tcW w:w="1134" w:type="dxa"/>
            <w:gridSpan w:val="2"/>
            <w:shd w:val="clear" w:color="auto" w:fill="auto"/>
            <w:vAlign w:val="center"/>
          </w:tcPr>
          <w:p w14:paraId="353EFA60">
            <w:pPr>
              <w:widowControl/>
              <w:spacing w:line="300" w:lineRule="exact"/>
              <w:jc w:val="center"/>
              <w:rPr>
                <w:rFonts w:ascii="Times New Roman" w:cs="宋体"/>
                <w:b/>
                <w:kern w:val="0"/>
                <w:sz w:val="21"/>
                <w:szCs w:val="21"/>
              </w:rPr>
            </w:pPr>
            <w:r>
              <w:rPr>
                <w:rFonts w:hint="eastAsia" w:ascii="Times New Roman" w:cs="宋体"/>
                <w:b/>
                <w:kern w:val="0"/>
                <w:sz w:val="21"/>
                <w:szCs w:val="21"/>
              </w:rPr>
              <w:t>差异化指标</w:t>
            </w:r>
          </w:p>
        </w:tc>
        <w:tc>
          <w:tcPr>
            <w:tcW w:w="3553" w:type="dxa"/>
            <w:shd w:val="clear" w:color="auto" w:fill="auto"/>
            <w:vAlign w:val="center"/>
          </w:tcPr>
          <w:p w14:paraId="573049BD">
            <w:pPr>
              <w:widowControl/>
              <w:spacing w:line="300" w:lineRule="exact"/>
              <w:jc w:val="center"/>
              <w:rPr>
                <w:rFonts w:ascii="Times New Roman" w:cs="宋体"/>
                <w:b/>
                <w:kern w:val="0"/>
                <w:sz w:val="21"/>
                <w:szCs w:val="21"/>
              </w:rPr>
            </w:pPr>
            <w:r>
              <w:rPr>
                <w:rFonts w:hint="eastAsia" w:ascii="Times New Roman" w:cs="宋体"/>
                <w:b/>
                <w:kern w:val="0"/>
                <w:sz w:val="21"/>
                <w:szCs w:val="21"/>
              </w:rPr>
              <w:t>B级标准</w:t>
            </w:r>
          </w:p>
        </w:tc>
        <w:tc>
          <w:tcPr>
            <w:tcW w:w="2126" w:type="dxa"/>
            <w:shd w:val="clear" w:color="auto" w:fill="auto"/>
            <w:vAlign w:val="center"/>
          </w:tcPr>
          <w:p w14:paraId="0020939F">
            <w:pPr>
              <w:widowControl/>
              <w:spacing w:line="300" w:lineRule="exact"/>
              <w:jc w:val="center"/>
              <w:rPr>
                <w:rFonts w:ascii="Times New Roman" w:cs="宋体"/>
                <w:b/>
                <w:kern w:val="0"/>
                <w:sz w:val="21"/>
                <w:szCs w:val="21"/>
              </w:rPr>
            </w:pPr>
            <w:r>
              <w:rPr>
                <w:rFonts w:hint="eastAsia" w:ascii="Times New Roman" w:cs="宋体"/>
                <w:b/>
                <w:kern w:val="0"/>
                <w:sz w:val="21"/>
                <w:szCs w:val="21"/>
              </w:rPr>
              <w:t>企业对标情况</w:t>
            </w:r>
          </w:p>
        </w:tc>
        <w:tc>
          <w:tcPr>
            <w:tcW w:w="960" w:type="dxa"/>
            <w:vAlign w:val="center"/>
          </w:tcPr>
          <w:p w14:paraId="03F70203">
            <w:pPr>
              <w:widowControl/>
              <w:spacing w:line="300" w:lineRule="exact"/>
              <w:jc w:val="center"/>
              <w:rPr>
                <w:rFonts w:ascii="Times New Roman" w:cs="宋体"/>
                <w:b/>
                <w:kern w:val="0"/>
                <w:sz w:val="21"/>
                <w:szCs w:val="21"/>
              </w:rPr>
            </w:pPr>
            <w:r>
              <w:rPr>
                <w:rFonts w:hint="eastAsia" w:ascii="Times New Roman" w:cs="宋体"/>
                <w:b/>
                <w:kern w:val="0"/>
                <w:sz w:val="21"/>
                <w:szCs w:val="21"/>
              </w:rPr>
              <w:t>符合性分析</w:t>
            </w:r>
          </w:p>
        </w:tc>
      </w:tr>
      <w:tr w14:paraId="34A5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2603CE74">
            <w:pPr>
              <w:widowControl/>
              <w:spacing w:line="300" w:lineRule="exact"/>
              <w:jc w:val="center"/>
              <w:rPr>
                <w:rFonts w:ascii="Times New Roman" w:cs="宋体"/>
                <w:kern w:val="0"/>
                <w:sz w:val="21"/>
              </w:rPr>
            </w:pPr>
            <w:r>
              <w:rPr>
                <w:rFonts w:hint="eastAsia" w:ascii="Times New Roman" w:cs="宋体"/>
                <w:kern w:val="0"/>
                <w:sz w:val="21"/>
              </w:rPr>
              <w:t>1</w:t>
            </w:r>
          </w:p>
        </w:tc>
        <w:tc>
          <w:tcPr>
            <w:tcW w:w="1134" w:type="dxa"/>
            <w:gridSpan w:val="2"/>
            <w:shd w:val="clear" w:color="auto" w:fill="auto"/>
            <w:vAlign w:val="center"/>
          </w:tcPr>
          <w:p w14:paraId="4825B056">
            <w:pPr>
              <w:widowControl/>
              <w:spacing w:line="300" w:lineRule="exact"/>
              <w:jc w:val="center"/>
              <w:rPr>
                <w:rFonts w:ascii="Times New Roman" w:cs="宋体"/>
                <w:kern w:val="0"/>
                <w:sz w:val="21"/>
                <w:szCs w:val="21"/>
              </w:rPr>
            </w:pPr>
            <w:r>
              <w:rPr>
                <w:rFonts w:hint="eastAsia" w:ascii="Times New Roman" w:cs="宋体"/>
                <w:kern w:val="0"/>
                <w:sz w:val="21"/>
                <w:szCs w:val="21"/>
              </w:rPr>
              <w:t>能源类型</w:t>
            </w:r>
          </w:p>
        </w:tc>
        <w:tc>
          <w:tcPr>
            <w:tcW w:w="3553" w:type="dxa"/>
            <w:shd w:val="clear" w:color="auto" w:fill="auto"/>
            <w:vAlign w:val="center"/>
          </w:tcPr>
          <w:p w14:paraId="3436D2FA">
            <w:pPr>
              <w:kinsoku w:val="0"/>
              <w:overflowPunct w:val="0"/>
              <w:autoSpaceDE w:val="0"/>
              <w:autoSpaceDN w:val="0"/>
              <w:adjustRightInd w:val="0"/>
              <w:spacing w:line="260" w:lineRule="exact"/>
              <w:jc w:val="left"/>
              <w:rPr>
                <w:rFonts w:ascii="Times New Roman" w:cs="宋体"/>
                <w:kern w:val="0"/>
                <w:sz w:val="21"/>
                <w:szCs w:val="21"/>
              </w:rPr>
            </w:pPr>
            <w:r>
              <w:rPr>
                <w:rFonts w:hint="eastAsia" w:ascii="Times New Roman"/>
                <w:kern w:val="0"/>
                <w:sz w:val="21"/>
                <w:szCs w:val="21"/>
              </w:rPr>
              <w:t>热处理加工采用电、天燃气。</w:t>
            </w:r>
          </w:p>
        </w:tc>
        <w:tc>
          <w:tcPr>
            <w:tcW w:w="2126" w:type="dxa"/>
            <w:shd w:val="clear" w:color="auto" w:fill="auto"/>
            <w:vAlign w:val="center"/>
          </w:tcPr>
          <w:p w14:paraId="22DD0252">
            <w:pPr>
              <w:adjustRightInd w:val="0"/>
              <w:snapToGrid w:val="0"/>
              <w:jc w:val="left"/>
              <w:rPr>
                <w:rFonts w:ascii="Times New Roman" w:cs="宋体"/>
                <w:kern w:val="0"/>
                <w:sz w:val="21"/>
                <w:szCs w:val="21"/>
              </w:rPr>
            </w:pPr>
            <w:r>
              <w:rPr>
                <w:rFonts w:hint="eastAsia" w:ascii="Times New Roman"/>
                <w:kern w:val="0"/>
                <w:sz w:val="21"/>
                <w:szCs w:val="21"/>
              </w:rPr>
              <w:t>本次项目热处理加工采用电、天然气。</w:t>
            </w:r>
          </w:p>
        </w:tc>
        <w:tc>
          <w:tcPr>
            <w:tcW w:w="960" w:type="dxa"/>
            <w:vAlign w:val="center"/>
          </w:tcPr>
          <w:p w14:paraId="260A5DB5">
            <w:pPr>
              <w:widowControl/>
              <w:spacing w:line="300" w:lineRule="exact"/>
              <w:jc w:val="center"/>
              <w:rPr>
                <w:rFonts w:ascii="Times New Roman" w:cs="宋体"/>
                <w:kern w:val="0"/>
                <w:sz w:val="21"/>
                <w:szCs w:val="21"/>
              </w:rPr>
            </w:pPr>
            <w:r>
              <w:rPr>
                <w:rFonts w:hint="eastAsia" w:ascii="Times New Roman" w:cs="宋体"/>
                <w:kern w:val="0"/>
                <w:sz w:val="21"/>
                <w:szCs w:val="21"/>
              </w:rPr>
              <w:t>符合</w:t>
            </w:r>
          </w:p>
        </w:tc>
      </w:tr>
      <w:tr w14:paraId="4379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03232AC9">
            <w:pPr>
              <w:widowControl/>
              <w:spacing w:line="300" w:lineRule="exact"/>
              <w:jc w:val="center"/>
              <w:rPr>
                <w:rFonts w:ascii="Times New Roman" w:cs="宋体"/>
                <w:kern w:val="0"/>
                <w:sz w:val="21"/>
              </w:rPr>
            </w:pPr>
            <w:r>
              <w:rPr>
                <w:rFonts w:hint="eastAsia" w:ascii="Times New Roman" w:cs="宋体"/>
                <w:kern w:val="0"/>
                <w:sz w:val="21"/>
              </w:rPr>
              <w:t>2</w:t>
            </w:r>
          </w:p>
        </w:tc>
        <w:tc>
          <w:tcPr>
            <w:tcW w:w="1134" w:type="dxa"/>
            <w:gridSpan w:val="2"/>
            <w:shd w:val="clear" w:color="auto" w:fill="auto"/>
            <w:vAlign w:val="center"/>
          </w:tcPr>
          <w:p w14:paraId="4F1FFB9C">
            <w:pPr>
              <w:widowControl/>
              <w:spacing w:line="300" w:lineRule="exact"/>
              <w:jc w:val="center"/>
              <w:rPr>
                <w:rFonts w:ascii="Times New Roman" w:cs="宋体"/>
                <w:kern w:val="0"/>
                <w:sz w:val="21"/>
                <w:szCs w:val="21"/>
              </w:rPr>
            </w:pPr>
            <w:r>
              <w:rPr>
                <w:rFonts w:hint="eastAsia" w:ascii="Times New Roman" w:cs="宋体"/>
                <w:kern w:val="0"/>
                <w:sz w:val="21"/>
                <w:szCs w:val="21"/>
              </w:rPr>
              <w:t>工艺过程</w:t>
            </w:r>
          </w:p>
        </w:tc>
        <w:tc>
          <w:tcPr>
            <w:tcW w:w="3553" w:type="dxa"/>
            <w:shd w:val="clear" w:color="auto" w:fill="auto"/>
            <w:vAlign w:val="center"/>
          </w:tcPr>
          <w:p w14:paraId="5253DDF6">
            <w:pPr>
              <w:kinsoku w:val="0"/>
              <w:overflowPunct w:val="0"/>
              <w:autoSpaceDE w:val="0"/>
              <w:autoSpaceDN w:val="0"/>
              <w:adjustRightInd w:val="0"/>
              <w:spacing w:line="260" w:lineRule="exact"/>
              <w:jc w:val="left"/>
              <w:rPr>
                <w:rFonts w:ascii="Times New Roman" w:cs="宋体"/>
                <w:kern w:val="0"/>
                <w:sz w:val="21"/>
                <w:szCs w:val="21"/>
              </w:rPr>
            </w:pPr>
            <w:r>
              <w:rPr>
                <w:rFonts w:hint="eastAsia" w:ascii="Times New Roman"/>
                <w:kern w:val="0"/>
                <w:sz w:val="21"/>
                <w:szCs w:val="21"/>
              </w:rPr>
              <w:t>未达到电镀、电铸等金属表面热处理采用一体自动化成套装置。</w:t>
            </w:r>
          </w:p>
        </w:tc>
        <w:tc>
          <w:tcPr>
            <w:tcW w:w="2126" w:type="dxa"/>
            <w:shd w:val="clear" w:color="auto" w:fill="auto"/>
            <w:vAlign w:val="center"/>
          </w:tcPr>
          <w:p w14:paraId="4720318D">
            <w:pPr>
              <w:adjustRightInd w:val="0"/>
              <w:snapToGrid w:val="0"/>
              <w:jc w:val="left"/>
              <w:rPr>
                <w:rFonts w:ascii="Times New Roman" w:cs="宋体"/>
                <w:kern w:val="0"/>
                <w:sz w:val="21"/>
                <w:szCs w:val="21"/>
              </w:rPr>
            </w:pPr>
            <w:r>
              <w:rPr>
                <w:rFonts w:hint="eastAsia" w:ascii="Times New Roman"/>
                <w:kern w:val="0"/>
                <w:sz w:val="21"/>
                <w:szCs w:val="21"/>
              </w:rPr>
              <w:t>本项目不涉及电镀、电铸等金属表面热处理。</w:t>
            </w:r>
          </w:p>
        </w:tc>
        <w:tc>
          <w:tcPr>
            <w:tcW w:w="960" w:type="dxa"/>
            <w:vAlign w:val="center"/>
          </w:tcPr>
          <w:p w14:paraId="427001DD">
            <w:pPr>
              <w:widowControl/>
              <w:spacing w:line="300" w:lineRule="exact"/>
              <w:jc w:val="center"/>
              <w:rPr>
                <w:rFonts w:ascii="Times New Roman" w:cs="宋体"/>
                <w:kern w:val="0"/>
                <w:sz w:val="21"/>
                <w:szCs w:val="21"/>
              </w:rPr>
            </w:pPr>
            <w:r>
              <w:rPr>
                <w:rFonts w:hint="eastAsia" w:ascii="Times New Roman" w:cs="宋体"/>
                <w:kern w:val="0"/>
                <w:sz w:val="21"/>
                <w:szCs w:val="21"/>
              </w:rPr>
              <w:t>符合</w:t>
            </w:r>
          </w:p>
        </w:tc>
      </w:tr>
      <w:tr w14:paraId="56E1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shd w:val="clear" w:color="auto" w:fill="auto"/>
            <w:noWrap/>
            <w:vAlign w:val="center"/>
          </w:tcPr>
          <w:p w14:paraId="3A6F7198">
            <w:pPr>
              <w:widowControl/>
              <w:spacing w:line="300" w:lineRule="exact"/>
              <w:jc w:val="center"/>
              <w:rPr>
                <w:rFonts w:ascii="Times New Roman" w:cs="宋体"/>
                <w:kern w:val="0"/>
                <w:sz w:val="21"/>
              </w:rPr>
            </w:pPr>
            <w:r>
              <w:rPr>
                <w:rFonts w:hint="eastAsia" w:ascii="Times New Roman" w:cs="宋体"/>
                <w:kern w:val="0"/>
                <w:sz w:val="21"/>
              </w:rPr>
              <w:t>3</w:t>
            </w:r>
          </w:p>
        </w:tc>
        <w:tc>
          <w:tcPr>
            <w:tcW w:w="1134" w:type="dxa"/>
            <w:gridSpan w:val="2"/>
            <w:vMerge w:val="restart"/>
            <w:shd w:val="clear" w:color="auto" w:fill="auto"/>
            <w:vAlign w:val="center"/>
          </w:tcPr>
          <w:p w14:paraId="4296F9C5">
            <w:pPr>
              <w:widowControl/>
              <w:spacing w:line="300" w:lineRule="exact"/>
              <w:jc w:val="center"/>
              <w:rPr>
                <w:rFonts w:ascii="Times New Roman" w:cs="宋体"/>
                <w:kern w:val="0"/>
                <w:sz w:val="21"/>
                <w:szCs w:val="21"/>
              </w:rPr>
            </w:pPr>
            <w:r>
              <w:rPr>
                <w:rFonts w:hint="eastAsia" w:ascii="Times New Roman" w:cs="宋体"/>
                <w:kern w:val="0"/>
                <w:sz w:val="21"/>
                <w:szCs w:val="21"/>
              </w:rPr>
              <w:t>污染治理及收集技术</w:t>
            </w:r>
          </w:p>
        </w:tc>
        <w:tc>
          <w:tcPr>
            <w:tcW w:w="3553" w:type="dxa"/>
            <w:shd w:val="clear" w:color="auto" w:fill="auto"/>
            <w:vAlign w:val="center"/>
          </w:tcPr>
          <w:p w14:paraId="5CD82630">
            <w:pPr>
              <w:widowControl/>
              <w:spacing w:line="300" w:lineRule="exact"/>
              <w:rPr>
                <w:rFonts w:ascii="Times New Roman"/>
                <w:kern w:val="0"/>
                <w:sz w:val="21"/>
                <w:szCs w:val="21"/>
              </w:rPr>
            </w:pPr>
            <w:r>
              <w:rPr>
                <w:rFonts w:hint="eastAsia" w:ascii="Times New Roman"/>
                <w:kern w:val="0"/>
                <w:sz w:val="21"/>
                <w:szCs w:val="21"/>
              </w:rPr>
              <w:t>（一）金属表面处理：</w:t>
            </w:r>
          </w:p>
          <w:p w14:paraId="7F619C44">
            <w:pPr>
              <w:widowControl/>
              <w:spacing w:line="300" w:lineRule="exact"/>
              <w:rPr>
                <w:rFonts w:ascii="Times New Roman"/>
                <w:kern w:val="0"/>
                <w:sz w:val="21"/>
                <w:szCs w:val="21"/>
              </w:rPr>
            </w:pPr>
            <w:r>
              <w:rPr>
                <w:rFonts w:hint="eastAsia" w:ascii="Times New Roman"/>
                <w:kern w:val="0"/>
                <w:sz w:val="21"/>
                <w:szCs w:val="21"/>
              </w:rPr>
              <w:t>1.酸碱废气采用喷淋吸收处理工艺，采用pH计控制，实现自动加药，药液液位自动控制；</w:t>
            </w:r>
          </w:p>
          <w:p w14:paraId="48AD017A">
            <w:pPr>
              <w:widowControl/>
              <w:spacing w:line="300" w:lineRule="exact"/>
              <w:rPr>
                <w:rFonts w:ascii="Times New Roman"/>
                <w:kern w:val="0"/>
                <w:sz w:val="21"/>
                <w:szCs w:val="21"/>
              </w:rPr>
            </w:pPr>
            <w:r>
              <w:rPr>
                <w:rFonts w:hint="eastAsia" w:ascii="Times New Roman"/>
                <w:kern w:val="0"/>
                <w:sz w:val="21"/>
                <w:szCs w:val="21"/>
              </w:rPr>
              <w:t>2.油雾废气采用油雾多级回收+VOCS治理技术；VOCS废气采用喷淋、吸附、生物法等两级及以上组合工艺处理；采用活性炭吸附的，按活性炭最大吸附量的90%计算更换周期；</w:t>
            </w:r>
          </w:p>
          <w:p w14:paraId="16829A74">
            <w:pPr>
              <w:widowControl/>
              <w:spacing w:line="300" w:lineRule="exact"/>
              <w:rPr>
                <w:rFonts w:ascii="Times New Roman"/>
                <w:kern w:val="0"/>
                <w:sz w:val="21"/>
                <w:szCs w:val="21"/>
              </w:rPr>
            </w:pPr>
            <w:r>
              <w:rPr>
                <w:rFonts w:hint="eastAsia" w:ascii="Times New Roman"/>
                <w:kern w:val="0"/>
                <w:sz w:val="21"/>
                <w:szCs w:val="21"/>
              </w:rPr>
              <w:t>3.废气收集系统排风罩(集气罩)设置应符合GB/T16758的规定。</w:t>
            </w:r>
          </w:p>
        </w:tc>
        <w:tc>
          <w:tcPr>
            <w:tcW w:w="2126" w:type="dxa"/>
            <w:shd w:val="clear" w:color="auto" w:fill="auto"/>
            <w:vAlign w:val="center"/>
          </w:tcPr>
          <w:p w14:paraId="312AC0AA">
            <w:pPr>
              <w:widowControl/>
              <w:spacing w:line="300" w:lineRule="exact"/>
              <w:rPr>
                <w:rFonts w:ascii="Times New Roman"/>
                <w:kern w:val="0"/>
                <w:sz w:val="21"/>
                <w:szCs w:val="21"/>
              </w:rPr>
            </w:pPr>
            <w:r>
              <w:rPr>
                <w:rFonts w:hint="eastAsia" w:ascii="Times New Roman"/>
                <w:kern w:val="0"/>
                <w:sz w:val="21"/>
                <w:szCs w:val="21"/>
              </w:rPr>
              <w:t>1.本项目不涉及酸碱废气。</w:t>
            </w:r>
          </w:p>
          <w:p w14:paraId="61260CD5">
            <w:pPr>
              <w:widowControl/>
              <w:spacing w:line="300" w:lineRule="exact"/>
              <w:rPr>
                <w:rFonts w:ascii="Times New Roman"/>
                <w:kern w:val="0"/>
                <w:sz w:val="21"/>
                <w:szCs w:val="21"/>
              </w:rPr>
            </w:pPr>
            <w:r>
              <w:rPr>
                <w:rFonts w:hint="eastAsia" w:ascii="Times New Roman"/>
                <w:kern w:val="0"/>
                <w:sz w:val="21"/>
                <w:szCs w:val="21"/>
              </w:rPr>
              <w:t>2.油雾废气采用油雾净化器+二级活性炭吸附装置处置。</w:t>
            </w:r>
          </w:p>
          <w:p w14:paraId="3B06BA9A">
            <w:pPr>
              <w:widowControl/>
              <w:spacing w:line="300" w:lineRule="exact"/>
              <w:rPr>
                <w:rFonts w:ascii="Times New Roman"/>
                <w:kern w:val="0"/>
                <w:sz w:val="21"/>
                <w:szCs w:val="21"/>
              </w:rPr>
            </w:pPr>
            <w:r>
              <w:rPr>
                <w:rFonts w:hint="eastAsia" w:ascii="Times New Roman"/>
                <w:kern w:val="0"/>
                <w:sz w:val="21"/>
                <w:szCs w:val="21"/>
              </w:rPr>
              <w:t>3.废气收集系统排风罩(集气罩)设置符合GB/T16758的规定。</w:t>
            </w:r>
          </w:p>
        </w:tc>
        <w:tc>
          <w:tcPr>
            <w:tcW w:w="960" w:type="dxa"/>
            <w:vAlign w:val="center"/>
          </w:tcPr>
          <w:p w14:paraId="7D19662F">
            <w:pPr>
              <w:widowControl/>
              <w:spacing w:line="300" w:lineRule="exact"/>
              <w:jc w:val="center"/>
              <w:rPr>
                <w:rFonts w:ascii="Times New Roman" w:cs="宋体"/>
                <w:kern w:val="0"/>
                <w:sz w:val="21"/>
              </w:rPr>
            </w:pPr>
            <w:r>
              <w:rPr>
                <w:rFonts w:hint="eastAsia" w:ascii="Times New Roman" w:cs="宋体"/>
                <w:kern w:val="0"/>
                <w:sz w:val="21"/>
              </w:rPr>
              <w:t>符合</w:t>
            </w:r>
          </w:p>
        </w:tc>
      </w:tr>
      <w:tr w14:paraId="68E0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vAlign w:val="center"/>
          </w:tcPr>
          <w:p w14:paraId="0366BDF3">
            <w:pPr>
              <w:widowControl/>
              <w:spacing w:line="300" w:lineRule="exact"/>
              <w:jc w:val="center"/>
              <w:rPr>
                <w:rFonts w:ascii="Times New Roman" w:cs="宋体"/>
                <w:kern w:val="0"/>
                <w:sz w:val="21"/>
              </w:rPr>
            </w:pPr>
          </w:p>
        </w:tc>
        <w:tc>
          <w:tcPr>
            <w:tcW w:w="1134" w:type="dxa"/>
            <w:gridSpan w:val="2"/>
            <w:vMerge w:val="continue"/>
            <w:vAlign w:val="center"/>
          </w:tcPr>
          <w:p w14:paraId="1136EBBC">
            <w:pPr>
              <w:widowControl/>
              <w:spacing w:line="300" w:lineRule="exact"/>
              <w:jc w:val="center"/>
              <w:rPr>
                <w:rFonts w:ascii="Times New Roman" w:cs="宋体"/>
                <w:kern w:val="0"/>
                <w:sz w:val="21"/>
                <w:szCs w:val="21"/>
              </w:rPr>
            </w:pPr>
          </w:p>
        </w:tc>
        <w:tc>
          <w:tcPr>
            <w:tcW w:w="3553" w:type="dxa"/>
            <w:shd w:val="clear" w:color="auto" w:fill="auto"/>
            <w:vAlign w:val="center"/>
          </w:tcPr>
          <w:p w14:paraId="23EE322D">
            <w:pPr>
              <w:widowControl/>
              <w:spacing w:line="300" w:lineRule="exact"/>
              <w:rPr>
                <w:rFonts w:ascii="Times New Roman"/>
                <w:kern w:val="0"/>
                <w:sz w:val="21"/>
                <w:szCs w:val="21"/>
              </w:rPr>
            </w:pPr>
            <w:r>
              <w:rPr>
                <w:rFonts w:hint="eastAsia" w:ascii="Times New Roman"/>
                <w:kern w:val="0"/>
                <w:sz w:val="21"/>
                <w:szCs w:val="21"/>
              </w:rPr>
              <w:t>（二）热处理加工：</w:t>
            </w:r>
          </w:p>
          <w:p w14:paraId="0E68D5C3">
            <w:pPr>
              <w:widowControl/>
              <w:spacing w:line="300" w:lineRule="exact"/>
              <w:rPr>
                <w:rFonts w:ascii="Times New Roman"/>
                <w:kern w:val="0"/>
                <w:sz w:val="21"/>
                <w:szCs w:val="21"/>
              </w:rPr>
            </w:pPr>
            <w:r>
              <w:rPr>
                <w:rFonts w:hint="eastAsia" w:ascii="Times New Roman"/>
                <w:kern w:val="0"/>
                <w:sz w:val="21"/>
                <w:szCs w:val="21"/>
              </w:rPr>
              <w:t>1.除尘采用高效袋式除尘或其他高效过滤式除尘设施；</w:t>
            </w:r>
          </w:p>
          <w:p w14:paraId="154DF8A2">
            <w:pPr>
              <w:widowControl/>
              <w:spacing w:line="300" w:lineRule="exact"/>
              <w:rPr>
                <w:rFonts w:ascii="Times New Roman"/>
                <w:kern w:val="0"/>
                <w:sz w:val="21"/>
                <w:szCs w:val="21"/>
              </w:rPr>
            </w:pPr>
            <w:r>
              <w:rPr>
                <w:rFonts w:hint="eastAsia" w:ascii="Times New Roman"/>
                <w:kern w:val="0"/>
                <w:sz w:val="21"/>
                <w:szCs w:val="21"/>
              </w:rPr>
              <w:t>2.热处理炉与锅炉烟气采用低氮燃烧，或源头、过程控制等效技术。</w:t>
            </w:r>
          </w:p>
        </w:tc>
        <w:tc>
          <w:tcPr>
            <w:tcW w:w="2126" w:type="dxa"/>
            <w:shd w:val="clear" w:color="auto" w:fill="auto"/>
            <w:vAlign w:val="center"/>
          </w:tcPr>
          <w:p w14:paraId="7E300A40">
            <w:pPr>
              <w:widowControl/>
              <w:spacing w:line="300" w:lineRule="exact"/>
              <w:rPr>
                <w:rFonts w:ascii="Times New Roman"/>
                <w:kern w:val="0"/>
                <w:sz w:val="21"/>
                <w:szCs w:val="21"/>
              </w:rPr>
            </w:pPr>
            <w:r>
              <w:rPr>
                <w:rFonts w:hint="eastAsia" w:ascii="Times New Roman"/>
                <w:kern w:val="0"/>
                <w:sz w:val="21"/>
                <w:szCs w:val="21"/>
              </w:rPr>
              <w:t>1.除尘采用高效袋式除尘设施；</w:t>
            </w:r>
          </w:p>
          <w:p w14:paraId="5BD78527">
            <w:pPr>
              <w:widowControl/>
              <w:spacing w:line="300" w:lineRule="exact"/>
              <w:rPr>
                <w:rFonts w:ascii="Times New Roman"/>
                <w:kern w:val="0"/>
                <w:sz w:val="21"/>
                <w:szCs w:val="21"/>
              </w:rPr>
            </w:pPr>
            <w:r>
              <w:rPr>
                <w:rFonts w:hint="eastAsia" w:ascii="Times New Roman"/>
                <w:kern w:val="0"/>
                <w:sz w:val="21"/>
                <w:szCs w:val="21"/>
              </w:rPr>
              <w:t>2.热处理炉采用低氮燃烧技术</w:t>
            </w:r>
          </w:p>
        </w:tc>
        <w:tc>
          <w:tcPr>
            <w:tcW w:w="960" w:type="dxa"/>
            <w:vAlign w:val="center"/>
          </w:tcPr>
          <w:p w14:paraId="504B49AE">
            <w:pPr>
              <w:widowControl/>
              <w:spacing w:line="300" w:lineRule="exact"/>
              <w:jc w:val="center"/>
              <w:rPr>
                <w:rFonts w:ascii="Times New Roman" w:cs="宋体"/>
                <w:kern w:val="0"/>
                <w:sz w:val="21"/>
              </w:rPr>
            </w:pPr>
            <w:r>
              <w:rPr>
                <w:rFonts w:hint="eastAsia" w:ascii="Times New Roman" w:cs="宋体"/>
                <w:kern w:val="0"/>
                <w:sz w:val="21"/>
              </w:rPr>
              <w:t>符合</w:t>
            </w:r>
          </w:p>
        </w:tc>
      </w:tr>
      <w:tr w14:paraId="7844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562" w:type="dxa"/>
            <w:vMerge w:val="continue"/>
            <w:vAlign w:val="center"/>
          </w:tcPr>
          <w:p w14:paraId="31C1391C">
            <w:pPr>
              <w:widowControl/>
              <w:spacing w:line="300" w:lineRule="exact"/>
              <w:jc w:val="center"/>
              <w:rPr>
                <w:rFonts w:ascii="Times New Roman" w:cs="宋体"/>
                <w:kern w:val="0"/>
                <w:sz w:val="21"/>
              </w:rPr>
            </w:pPr>
          </w:p>
        </w:tc>
        <w:tc>
          <w:tcPr>
            <w:tcW w:w="1134" w:type="dxa"/>
            <w:gridSpan w:val="2"/>
            <w:vMerge w:val="continue"/>
            <w:vAlign w:val="center"/>
          </w:tcPr>
          <w:p w14:paraId="4AD8C686">
            <w:pPr>
              <w:widowControl/>
              <w:spacing w:line="300" w:lineRule="exact"/>
              <w:jc w:val="center"/>
              <w:rPr>
                <w:rFonts w:ascii="Times New Roman" w:cs="宋体"/>
                <w:kern w:val="0"/>
                <w:sz w:val="21"/>
                <w:szCs w:val="21"/>
              </w:rPr>
            </w:pPr>
          </w:p>
        </w:tc>
        <w:tc>
          <w:tcPr>
            <w:tcW w:w="3553" w:type="dxa"/>
            <w:shd w:val="clear" w:color="auto" w:fill="auto"/>
            <w:vAlign w:val="center"/>
          </w:tcPr>
          <w:p w14:paraId="191FC758">
            <w:pPr>
              <w:widowControl/>
              <w:spacing w:line="300" w:lineRule="exact"/>
              <w:rPr>
                <w:rFonts w:ascii="Times New Roman"/>
                <w:kern w:val="0"/>
                <w:sz w:val="21"/>
                <w:szCs w:val="21"/>
              </w:rPr>
            </w:pPr>
            <w:r>
              <w:rPr>
                <w:rFonts w:hint="eastAsia" w:ascii="Times New Roman"/>
                <w:kern w:val="0"/>
                <w:sz w:val="21"/>
                <w:szCs w:val="21"/>
              </w:rPr>
              <w:t>（三）涂装工序采用喷淋、吸附、生物法等两级及以上组合工艺处理，喷塑采用高效除尘治理技术；采用活性炭吸附的，按活性炭最大吸附量的90%计算更换周期。</w:t>
            </w:r>
          </w:p>
        </w:tc>
        <w:tc>
          <w:tcPr>
            <w:tcW w:w="2126" w:type="dxa"/>
            <w:shd w:val="clear" w:color="auto" w:fill="auto"/>
            <w:vAlign w:val="center"/>
          </w:tcPr>
          <w:p w14:paraId="11878C53">
            <w:pPr>
              <w:widowControl/>
              <w:spacing w:line="300" w:lineRule="exact"/>
              <w:rPr>
                <w:rFonts w:ascii="Times New Roman"/>
                <w:kern w:val="0"/>
                <w:sz w:val="21"/>
                <w:szCs w:val="21"/>
              </w:rPr>
            </w:pPr>
            <w:r>
              <w:rPr>
                <w:rFonts w:hint="eastAsia" w:ascii="Times New Roman"/>
                <w:kern w:val="0"/>
                <w:sz w:val="21"/>
                <w:szCs w:val="21"/>
              </w:rPr>
              <w:t>喷涂工序产生VOCs废气工序产生的有机废气采用“沸石轮转+RTO蓄热燃烧”处理，喷塑采用高效除尘治理技术；</w:t>
            </w:r>
          </w:p>
        </w:tc>
        <w:tc>
          <w:tcPr>
            <w:tcW w:w="960" w:type="dxa"/>
            <w:vAlign w:val="center"/>
          </w:tcPr>
          <w:p w14:paraId="7E528772">
            <w:pPr>
              <w:widowControl/>
              <w:spacing w:line="300" w:lineRule="exact"/>
              <w:jc w:val="center"/>
              <w:rPr>
                <w:rFonts w:ascii="Times New Roman" w:cs="宋体"/>
                <w:kern w:val="0"/>
                <w:sz w:val="21"/>
              </w:rPr>
            </w:pPr>
            <w:r>
              <w:rPr>
                <w:rFonts w:hint="eastAsia" w:ascii="Times New Roman" w:cs="宋体"/>
                <w:kern w:val="0"/>
                <w:sz w:val="21"/>
              </w:rPr>
              <w:t>符合</w:t>
            </w:r>
          </w:p>
        </w:tc>
      </w:tr>
      <w:tr w14:paraId="1268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2" w:type="dxa"/>
            <w:vMerge w:val="continue"/>
            <w:vAlign w:val="center"/>
          </w:tcPr>
          <w:p w14:paraId="50804F32">
            <w:pPr>
              <w:widowControl/>
              <w:spacing w:line="300" w:lineRule="exact"/>
              <w:jc w:val="center"/>
              <w:rPr>
                <w:rFonts w:ascii="Times New Roman" w:cs="宋体"/>
                <w:kern w:val="0"/>
                <w:sz w:val="21"/>
              </w:rPr>
            </w:pPr>
          </w:p>
        </w:tc>
        <w:tc>
          <w:tcPr>
            <w:tcW w:w="1134" w:type="dxa"/>
            <w:gridSpan w:val="2"/>
            <w:vMerge w:val="continue"/>
            <w:vAlign w:val="center"/>
          </w:tcPr>
          <w:p w14:paraId="6C8BC789">
            <w:pPr>
              <w:widowControl/>
              <w:spacing w:line="300" w:lineRule="exact"/>
              <w:jc w:val="center"/>
              <w:rPr>
                <w:rFonts w:ascii="Times New Roman" w:cs="宋体"/>
                <w:kern w:val="0"/>
                <w:sz w:val="21"/>
                <w:szCs w:val="21"/>
              </w:rPr>
            </w:pPr>
          </w:p>
        </w:tc>
        <w:tc>
          <w:tcPr>
            <w:tcW w:w="3553" w:type="dxa"/>
            <w:shd w:val="clear" w:color="auto" w:fill="auto"/>
            <w:vAlign w:val="center"/>
          </w:tcPr>
          <w:p w14:paraId="735C9B66">
            <w:pPr>
              <w:widowControl/>
              <w:spacing w:line="300" w:lineRule="exact"/>
              <w:rPr>
                <w:rFonts w:ascii="Times New Roman"/>
                <w:kern w:val="0"/>
                <w:sz w:val="21"/>
                <w:szCs w:val="21"/>
              </w:rPr>
            </w:pPr>
            <w:r>
              <w:rPr>
                <w:rFonts w:hint="eastAsia" w:ascii="Times New Roman"/>
                <w:kern w:val="0"/>
                <w:sz w:val="21"/>
                <w:szCs w:val="21"/>
              </w:rPr>
              <w:t>（四）废水收集及处理环节：废水储存、处理设施，产生VOCs废气的在曝气池之前加盖密闭或采取其他等效措施，并密闭收集至废气处理设备。</w:t>
            </w:r>
          </w:p>
        </w:tc>
        <w:tc>
          <w:tcPr>
            <w:tcW w:w="2126" w:type="dxa"/>
            <w:shd w:val="clear" w:color="auto" w:fill="auto"/>
            <w:vAlign w:val="center"/>
          </w:tcPr>
          <w:p w14:paraId="4541209D">
            <w:pPr>
              <w:widowControl/>
              <w:spacing w:line="300" w:lineRule="exact"/>
              <w:rPr>
                <w:rFonts w:ascii="Times New Roman"/>
                <w:kern w:val="0"/>
                <w:sz w:val="21"/>
                <w:szCs w:val="21"/>
              </w:rPr>
            </w:pPr>
            <w:r>
              <w:rPr>
                <w:rFonts w:hint="eastAsia" w:ascii="Times New Roman"/>
                <w:kern w:val="0"/>
                <w:sz w:val="21"/>
                <w:szCs w:val="21"/>
              </w:rPr>
              <w:t>废水槽体加盖密闭，废气密闭收集至废气处理设施</w:t>
            </w:r>
          </w:p>
        </w:tc>
        <w:tc>
          <w:tcPr>
            <w:tcW w:w="960" w:type="dxa"/>
            <w:vAlign w:val="center"/>
          </w:tcPr>
          <w:p w14:paraId="4F29F576">
            <w:pPr>
              <w:widowControl/>
              <w:spacing w:line="300" w:lineRule="exact"/>
              <w:jc w:val="center"/>
              <w:rPr>
                <w:rFonts w:ascii="Times New Roman" w:cs="宋体"/>
                <w:kern w:val="0"/>
                <w:sz w:val="21"/>
              </w:rPr>
            </w:pPr>
            <w:r>
              <w:rPr>
                <w:rFonts w:hint="eastAsia" w:ascii="Times New Roman" w:cs="宋体"/>
                <w:kern w:val="0"/>
                <w:sz w:val="21"/>
              </w:rPr>
              <w:t>符合</w:t>
            </w:r>
          </w:p>
        </w:tc>
      </w:tr>
      <w:tr w14:paraId="647D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562" w:type="dxa"/>
            <w:vAlign w:val="center"/>
          </w:tcPr>
          <w:p w14:paraId="32D085A0">
            <w:pPr>
              <w:widowControl/>
              <w:spacing w:line="300" w:lineRule="exact"/>
              <w:jc w:val="center"/>
              <w:rPr>
                <w:rFonts w:ascii="Times New Roman" w:cs="宋体"/>
                <w:kern w:val="0"/>
                <w:sz w:val="21"/>
              </w:rPr>
            </w:pPr>
            <w:r>
              <w:rPr>
                <w:rFonts w:hint="eastAsia" w:ascii="Times New Roman" w:cs="宋体"/>
                <w:kern w:val="0"/>
                <w:sz w:val="21"/>
              </w:rPr>
              <w:t>4</w:t>
            </w:r>
          </w:p>
        </w:tc>
        <w:tc>
          <w:tcPr>
            <w:tcW w:w="1134" w:type="dxa"/>
            <w:gridSpan w:val="2"/>
            <w:vAlign w:val="center"/>
          </w:tcPr>
          <w:p w14:paraId="14AC047F">
            <w:pPr>
              <w:widowControl/>
              <w:spacing w:line="300" w:lineRule="exact"/>
              <w:jc w:val="center"/>
              <w:rPr>
                <w:rFonts w:ascii="Times New Roman" w:cs="宋体"/>
                <w:kern w:val="0"/>
                <w:sz w:val="21"/>
                <w:szCs w:val="21"/>
              </w:rPr>
            </w:pPr>
            <w:r>
              <w:rPr>
                <w:rFonts w:hint="eastAsia" w:ascii="Times New Roman" w:cs="宋体"/>
                <w:kern w:val="0"/>
                <w:sz w:val="21"/>
                <w:szCs w:val="21"/>
              </w:rPr>
              <w:t>排放限值</w:t>
            </w:r>
          </w:p>
        </w:tc>
        <w:tc>
          <w:tcPr>
            <w:tcW w:w="3553" w:type="dxa"/>
            <w:shd w:val="clear" w:color="auto" w:fill="auto"/>
            <w:vAlign w:val="center"/>
          </w:tcPr>
          <w:p w14:paraId="78E8B3D5">
            <w:pPr>
              <w:widowControl/>
              <w:spacing w:line="300" w:lineRule="exact"/>
              <w:rPr>
                <w:rFonts w:ascii="Times New Roman"/>
                <w:kern w:val="0"/>
                <w:sz w:val="21"/>
                <w:szCs w:val="21"/>
              </w:rPr>
            </w:pPr>
            <w:r>
              <w:rPr>
                <w:rFonts w:hint="eastAsia" w:ascii="Times New Roman"/>
                <w:kern w:val="0"/>
                <w:sz w:val="21"/>
                <w:szCs w:val="21"/>
              </w:rPr>
              <w:t>1.颗粒物排放限值要求：排放浓度不超过10mg/m</w:t>
            </w:r>
            <w:r>
              <w:rPr>
                <w:rFonts w:hint="eastAsia" w:ascii="Times New Roman"/>
                <w:kern w:val="0"/>
                <w:sz w:val="21"/>
                <w:szCs w:val="21"/>
                <w:vertAlign w:val="superscript"/>
              </w:rPr>
              <w:t>3</w:t>
            </w:r>
            <w:r>
              <w:rPr>
                <w:rFonts w:hint="eastAsia" w:ascii="Times New Roman"/>
                <w:kern w:val="0"/>
                <w:sz w:val="21"/>
                <w:szCs w:val="21"/>
              </w:rPr>
              <w:t>；</w:t>
            </w:r>
          </w:p>
          <w:p w14:paraId="274A2FF6">
            <w:pPr>
              <w:widowControl/>
              <w:spacing w:line="300" w:lineRule="exact"/>
              <w:rPr>
                <w:rFonts w:ascii="Times New Roman"/>
                <w:kern w:val="0"/>
                <w:sz w:val="21"/>
                <w:szCs w:val="21"/>
              </w:rPr>
            </w:pPr>
            <w:r>
              <w:rPr>
                <w:rFonts w:hint="eastAsia" w:ascii="Times New Roman"/>
                <w:kern w:val="0"/>
                <w:sz w:val="21"/>
                <w:szCs w:val="21"/>
              </w:rPr>
              <w:t>2.电镀生产线氯化氢、硫酸雾排放浓度不超过10mg/m</w:t>
            </w:r>
            <w:r>
              <w:rPr>
                <w:rFonts w:hint="eastAsia" w:ascii="Times New Roman"/>
                <w:kern w:val="0"/>
                <w:sz w:val="21"/>
                <w:szCs w:val="21"/>
                <w:vertAlign w:val="superscript"/>
              </w:rPr>
              <w:t>3</w:t>
            </w:r>
            <w:r>
              <w:rPr>
                <w:rFonts w:hint="eastAsia" w:ascii="Times New Roman"/>
                <w:kern w:val="0"/>
                <w:sz w:val="21"/>
                <w:szCs w:val="21"/>
              </w:rPr>
              <w:t>；铬酸雾排放浓度不超过0.05mg/m</w:t>
            </w:r>
            <w:r>
              <w:rPr>
                <w:rFonts w:hint="eastAsia" w:ascii="Times New Roman"/>
                <w:kern w:val="0"/>
                <w:sz w:val="21"/>
                <w:szCs w:val="21"/>
                <w:vertAlign w:val="superscript"/>
              </w:rPr>
              <w:t>3</w:t>
            </w:r>
            <w:r>
              <w:rPr>
                <w:rFonts w:hint="eastAsia" w:ascii="Times New Roman"/>
                <w:kern w:val="0"/>
                <w:sz w:val="21"/>
                <w:szCs w:val="21"/>
              </w:rPr>
              <w:t>；氰化氢排放浓度不超过0.5mg/m</w:t>
            </w:r>
            <w:r>
              <w:rPr>
                <w:rFonts w:hint="eastAsia" w:ascii="Times New Roman"/>
                <w:kern w:val="0"/>
                <w:sz w:val="21"/>
                <w:szCs w:val="21"/>
                <w:vertAlign w:val="superscript"/>
              </w:rPr>
              <w:t>3</w:t>
            </w:r>
            <w:r>
              <w:rPr>
                <w:rFonts w:hint="eastAsia" w:ascii="Times New Roman"/>
                <w:kern w:val="0"/>
                <w:sz w:val="21"/>
                <w:szCs w:val="21"/>
              </w:rPr>
              <w:t>；氟化物排放浓度不超过5mg/m</w:t>
            </w:r>
            <w:r>
              <w:rPr>
                <w:rFonts w:hint="eastAsia" w:ascii="Times New Roman"/>
                <w:kern w:val="0"/>
                <w:sz w:val="21"/>
                <w:szCs w:val="21"/>
                <w:vertAlign w:val="superscript"/>
              </w:rPr>
              <w:t>3</w:t>
            </w:r>
            <w:r>
              <w:rPr>
                <w:rFonts w:hint="eastAsia" w:ascii="Times New Roman"/>
                <w:kern w:val="0"/>
                <w:sz w:val="21"/>
                <w:szCs w:val="21"/>
              </w:rPr>
              <w:t>；NOx排放浓度不超过100mg/m</w:t>
            </w:r>
            <w:r>
              <w:rPr>
                <w:rFonts w:hint="eastAsia" w:ascii="Times New Roman"/>
                <w:kern w:val="0"/>
                <w:sz w:val="21"/>
                <w:szCs w:val="21"/>
                <w:vertAlign w:val="superscript"/>
              </w:rPr>
              <w:t>3</w:t>
            </w:r>
            <w:r>
              <w:rPr>
                <w:rFonts w:hint="eastAsia" w:ascii="Times New Roman"/>
                <w:kern w:val="0"/>
                <w:sz w:val="21"/>
                <w:szCs w:val="21"/>
              </w:rPr>
              <w:t>。</w:t>
            </w:r>
          </w:p>
          <w:p w14:paraId="02D1D468">
            <w:pPr>
              <w:widowControl/>
              <w:spacing w:line="300" w:lineRule="exact"/>
              <w:rPr>
                <w:rFonts w:ascii="Times New Roman"/>
                <w:kern w:val="0"/>
                <w:sz w:val="21"/>
                <w:szCs w:val="21"/>
              </w:rPr>
            </w:pPr>
            <w:r>
              <w:rPr>
                <w:rFonts w:hint="eastAsia" w:ascii="Times New Roman"/>
                <w:kern w:val="0"/>
                <w:sz w:val="21"/>
                <w:szCs w:val="21"/>
              </w:rPr>
              <w:t>3、燃气锅炉排放限值要求：PM、SO2、NOx排放浓度不高于：5、10、50mg/m</w:t>
            </w:r>
            <w:r>
              <w:rPr>
                <w:rFonts w:hint="eastAsia" w:ascii="Times New Roman"/>
                <w:kern w:val="0"/>
                <w:sz w:val="21"/>
                <w:szCs w:val="21"/>
                <w:vertAlign w:val="superscript"/>
              </w:rPr>
              <w:t>3</w:t>
            </w:r>
            <w:r>
              <w:rPr>
                <w:rFonts w:hint="eastAsia" w:ascii="Times New Roman"/>
                <w:kern w:val="0"/>
                <w:sz w:val="21"/>
                <w:szCs w:val="21"/>
              </w:rPr>
              <w:t>（基准含氧量3.5%）</w:t>
            </w:r>
          </w:p>
          <w:p w14:paraId="3D335EB0">
            <w:pPr>
              <w:widowControl/>
              <w:spacing w:line="300" w:lineRule="exact"/>
              <w:rPr>
                <w:rFonts w:ascii="Times New Roman"/>
                <w:kern w:val="0"/>
                <w:sz w:val="21"/>
                <w:szCs w:val="21"/>
              </w:rPr>
            </w:pPr>
            <w:r>
              <w:rPr>
                <w:rFonts w:hint="eastAsia" w:ascii="Times New Roman"/>
                <w:kern w:val="0"/>
                <w:sz w:val="21"/>
                <w:szCs w:val="21"/>
              </w:rPr>
              <w:t>4、热处理炉烟气排放限值：PM、SO2、NOx排放浓度分别不高于10、50、100mg/m</w:t>
            </w:r>
            <w:r>
              <w:rPr>
                <w:rFonts w:hint="eastAsia" w:ascii="Times New Roman"/>
                <w:kern w:val="0"/>
                <w:sz w:val="21"/>
                <w:szCs w:val="21"/>
                <w:vertAlign w:val="superscript"/>
              </w:rPr>
              <w:t>3</w:t>
            </w:r>
            <w:r>
              <w:rPr>
                <w:rFonts w:hint="eastAsia" w:ascii="Times New Roman"/>
                <w:kern w:val="0"/>
                <w:sz w:val="21"/>
                <w:szCs w:val="21"/>
              </w:rPr>
              <w:t>（基准氧含量：3.5%）（因工艺需要掺入空气供后续干燥、烘干的干燥炉以及非密闭式生产的加热炉、热处理炉、干燥炉按实测浓度计）</w:t>
            </w:r>
          </w:p>
        </w:tc>
        <w:tc>
          <w:tcPr>
            <w:tcW w:w="2126" w:type="dxa"/>
            <w:shd w:val="clear" w:color="auto" w:fill="auto"/>
            <w:vAlign w:val="center"/>
          </w:tcPr>
          <w:p w14:paraId="46C1BBC5">
            <w:pPr>
              <w:widowControl/>
              <w:spacing w:line="300" w:lineRule="exact"/>
              <w:jc w:val="center"/>
              <w:rPr>
                <w:rFonts w:ascii="Times New Roman" w:cs="宋体"/>
                <w:kern w:val="0"/>
                <w:sz w:val="21"/>
              </w:rPr>
            </w:pPr>
            <w:r>
              <w:rPr>
                <w:rFonts w:hint="eastAsia" w:ascii="Times New Roman" w:cs="宋体"/>
                <w:kern w:val="0"/>
                <w:sz w:val="21"/>
              </w:rPr>
              <w:t>本项目不涉及电镀废气排放。</w:t>
            </w:r>
          </w:p>
        </w:tc>
        <w:tc>
          <w:tcPr>
            <w:tcW w:w="960" w:type="dxa"/>
            <w:vAlign w:val="center"/>
          </w:tcPr>
          <w:p w14:paraId="7325F1B0">
            <w:pPr>
              <w:widowControl/>
              <w:spacing w:line="300" w:lineRule="exact"/>
              <w:jc w:val="center"/>
              <w:rPr>
                <w:rFonts w:ascii="Times New Roman" w:cs="宋体"/>
                <w:kern w:val="0"/>
                <w:sz w:val="21"/>
              </w:rPr>
            </w:pPr>
            <w:r>
              <w:rPr>
                <w:rFonts w:hint="eastAsia" w:ascii="Times New Roman" w:cs="宋体"/>
                <w:kern w:val="0"/>
                <w:sz w:val="21"/>
              </w:rPr>
              <w:t>符合</w:t>
            </w:r>
          </w:p>
        </w:tc>
      </w:tr>
      <w:tr w14:paraId="0BD6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Align w:val="center"/>
          </w:tcPr>
          <w:p w14:paraId="46866AF7">
            <w:pPr>
              <w:widowControl/>
              <w:spacing w:line="300" w:lineRule="exact"/>
              <w:jc w:val="center"/>
              <w:rPr>
                <w:rFonts w:ascii="Times New Roman" w:cs="宋体"/>
                <w:kern w:val="0"/>
                <w:sz w:val="21"/>
              </w:rPr>
            </w:pPr>
            <w:r>
              <w:rPr>
                <w:rFonts w:hint="eastAsia" w:ascii="Times New Roman" w:cs="宋体"/>
                <w:kern w:val="0"/>
                <w:sz w:val="21"/>
              </w:rPr>
              <w:t>5</w:t>
            </w:r>
          </w:p>
        </w:tc>
        <w:tc>
          <w:tcPr>
            <w:tcW w:w="1134" w:type="dxa"/>
            <w:gridSpan w:val="2"/>
            <w:vAlign w:val="center"/>
          </w:tcPr>
          <w:p w14:paraId="4EC2B33C">
            <w:pPr>
              <w:widowControl/>
              <w:spacing w:line="300" w:lineRule="exact"/>
              <w:jc w:val="center"/>
              <w:rPr>
                <w:rFonts w:ascii="Times New Roman" w:cs="宋体"/>
                <w:kern w:val="0"/>
                <w:sz w:val="21"/>
                <w:szCs w:val="21"/>
              </w:rPr>
            </w:pPr>
            <w:r>
              <w:rPr>
                <w:rFonts w:hint="eastAsia" w:ascii="Times New Roman" w:cs="宋体"/>
                <w:kern w:val="0"/>
                <w:sz w:val="21"/>
                <w:szCs w:val="21"/>
              </w:rPr>
              <w:t>无组织</w:t>
            </w:r>
            <w:r>
              <w:rPr>
                <w:rFonts w:ascii="Times New Roman" w:cs="宋体"/>
                <w:kern w:val="0"/>
                <w:sz w:val="21"/>
                <w:szCs w:val="21"/>
              </w:rPr>
              <w:t>排放</w:t>
            </w:r>
          </w:p>
        </w:tc>
        <w:tc>
          <w:tcPr>
            <w:tcW w:w="3553" w:type="dxa"/>
            <w:shd w:val="clear" w:color="auto" w:fill="auto"/>
            <w:vAlign w:val="center"/>
          </w:tcPr>
          <w:p w14:paraId="7DFC7FCF">
            <w:pPr>
              <w:pStyle w:val="20"/>
              <w:ind w:firstLine="0"/>
              <w:rPr>
                <w:rFonts w:eastAsia="宋体"/>
              </w:rPr>
            </w:pPr>
            <w:r>
              <w:rPr>
                <w:rFonts w:eastAsia="宋体"/>
              </w:rPr>
              <w:t>(一)物料储存</w:t>
            </w:r>
          </w:p>
          <w:p w14:paraId="53E2BB3A">
            <w:pPr>
              <w:pStyle w:val="20"/>
              <w:ind w:firstLine="0"/>
              <w:rPr>
                <w:rFonts w:eastAsia="宋体"/>
              </w:rPr>
            </w:pPr>
            <w:r>
              <w:rPr>
                <w:rFonts w:eastAsia="宋体"/>
              </w:rPr>
              <w:t>1.原辅材料分区有序摆放</w:t>
            </w:r>
            <w:r>
              <w:rPr>
                <w:rFonts w:hint="eastAsia" w:eastAsia="宋体"/>
              </w:rPr>
              <w:t>；</w:t>
            </w:r>
          </w:p>
          <w:p w14:paraId="0801FBCE">
            <w:pPr>
              <w:pStyle w:val="20"/>
              <w:ind w:firstLine="0"/>
              <w:rPr>
                <w:rFonts w:eastAsia="宋体"/>
              </w:rPr>
            </w:pPr>
            <w:r>
              <w:rPr>
                <w:rFonts w:eastAsia="宋体"/>
              </w:rPr>
              <w:t>2.车间、料库四面封闭，通道口安装卷帘门、推拉门等封闭性良好且便于开关的硬质门</w:t>
            </w:r>
            <w:r>
              <w:rPr>
                <w:rFonts w:hint="eastAsia" w:eastAsia="宋体"/>
              </w:rPr>
              <w:t>；</w:t>
            </w:r>
          </w:p>
          <w:p w14:paraId="3EC2978F">
            <w:pPr>
              <w:pStyle w:val="20"/>
              <w:ind w:firstLine="0"/>
              <w:rPr>
                <w:rFonts w:eastAsia="宋体"/>
              </w:rPr>
            </w:pPr>
            <w:r>
              <w:rPr>
                <w:rFonts w:eastAsia="宋体"/>
              </w:rPr>
              <w:t>3.含挥发性有机物物料以及废料(渣、液)应储存在密闭容器，并存放在封闭储存室内</w:t>
            </w:r>
            <w:r>
              <w:rPr>
                <w:rFonts w:hint="eastAsia" w:eastAsia="宋体"/>
              </w:rPr>
              <w:t>；</w:t>
            </w:r>
          </w:p>
          <w:p w14:paraId="35B7C24D">
            <w:pPr>
              <w:pStyle w:val="20"/>
              <w:ind w:firstLine="0"/>
              <w:rPr>
                <w:rFonts w:eastAsia="宋体"/>
              </w:rPr>
            </w:pPr>
            <w:r>
              <w:rPr>
                <w:rFonts w:eastAsia="宋体"/>
              </w:rPr>
              <w:t>4.车间环境整洁，地面、墙面及设备顶部无积尘，车间无可见烟尘逸散</w:t>
            </w:r>
            <w:r>
              <w:rPr>
                <w:rFonts w:hint="eastAsia" w:eastAsia="宋体"/>
              </w:rPr>
              <w:t>；</w:t>
            </w:r>
          </w:p>
          <w:p w14:paraId="1A7CE0D5">
            <w:pPr>
              <w:pStyle w:val="20"/>
              <w:ind w:firstLine="0"/>
              <w:rPr>
                <w:rFonts w:eastAsia="宋体"/>
              </w:rPr>
            </w:pPr>
            <w:r>
              <w:rPr>
                <w:rFonts w:eastAsia="宋体"/>
              </w:rPr>
              <w:t>(二)物料转移与输送</w:t>
            </w:r>
          </w:p>
          <w:p w14:paraId="1541B2BD">
            <w:pPr>
              <w:pStyle w:val="20"/>
              <w:ind w:firstLine="0"/>
              <w:rPr>
                <w:rFonts w:eastAsia="宋体"/>
              </w:rPr>
            </w:pPr>
            <w:r>
              <w:rPr>
                <w:rFonts w:eastAsia="宋体"/>
              </w:rPr>
              <w:t>5.转移和输送VOCs 物料以及VOCs废料(渣、液)时，应采用密闭管道或密闭容器</w:t>
            </w:r>
            <w:r>
              <w:rPr>
                <w:rFonts w:hint="eastAsia" w:eastAsia="宋体"/>
              </w:rPr>
              <w:t>；</w:t>
            </w:r>
          </w:p>
          <w:p w14:paraId="1C707D4C">
            <w:pPr>
              <w:pStyle w:val="20"/>
              <w:ind w:firstLine="0"/>
              <w:rPr>
                <w:rFonts w:eastAsia="宋体"/>
              </w:rPr>
            </w:pPr>
            <w:r>
              <w:rPr>
                <w:rFonts w:eastAsia="宋体"/>
              </w:rPr>
              <w:t>6.除尘器卸灰口应采取密闭措施，除尘灰不得直接卸落到地面;除尘灰采取袋装、罐装等密闭措施收集、存放和运输</w:t>
            </w:r>
            <w:r>
              <w:rPr>
                <w:rFonts w:hint="eastAsia" w:eastAsia="宋体"/>
              </w:rPr>
              <w:t>；</w:t>
            </w:r>
          </w:p>
          <w:p w14:paraId="656D58A7">
            <w:pPr>
              <w:pStyle w:val="20"/>
              <w:ind w:firstLine="0"/>
              <w:rPr>
                <w:rFonts w:eastAsia="宋体"/>
              </w:rPr>
            </w:pPr>
            <w:r>
              <w:rPr>
                <w:rFonts w:eastAsia="宋体"/>
              </w:rPr>
              <w:t>(三)工艺过程</w:t>
            </w:r>
          </w:p>
          <w:p w14:paraId="7AEBC072">
            <w:pPr>
              <w:pStyle w:val="20"/>
              <w:ind w:firstLine="0"/>
              <w:rPr>
                <w:rFonts w:eastAsia="宋体"/>
              </w:rPr>
            </w:pPr>
            <w:r>
              <w:rPr>
                <w:rFonts w:eastAsia="宋体"/>
              </w:rPr>
              <w:t>7.补漆工序固定工位并配备废气收集设施</w:t>
            </w:r>
            <w:r>
              <w:rPr>
                <w:rFonts w:hint="eastAsia" w:eastAsia="宋体"/>
              </w:rPr>
              <w:t>；</w:t>
            </w:r>
          </w:p>
          <w:p w14:paraId="650BC23B">
            <w:pPr>
              <w:pStyle w:val="20"/>
              <w:ind w:firstLine="0"/>
              <w:rPr>
                <w:rFonts w:eastAsia="宋体"/>
              </w:rPr>
            </w:pPr>
            <w:r>
              <w:rPr>
                <w:rFonts w:hint="eastAsia" w:eastAsia="宋体"/>
              </w:rPr>
              <w:t>8.金属表面处理及热处理工序应在密闭车间内进行，或在封闭车间内采取二次封闭措施，并对工序产生的酸雾、油雾及VOCs废气进行密闭收集处理，采用外部罩的，距集气罩开口面最远处的废气无组织排放位置，风速应不低于0.3米/秒；</w:t>
            </w:r>
          </w:p>
          <w:p w14:paraId="228583BD">
            <w:pPr>
              <w:pStyle w:val="20"/>
              <w:ind w:firstLine="0"/>
              <w:rPr>
                <w:rFonts w:eastAsia="宋体"/>
              </w:rPr>
            </w:pPr>
            <w:r>
              <w:rPr>
                <w:rFonts w:hint="eastAsia" w:eastAsia="宋体"/>
              </w:rPr>
              <w:t>9.厂区地面全部绿化或硬化，无成片裸露土地。车间规范平整，无物料洒落和““跑、冒、滴、漏”现象。</w:t>
            </w:r>
          </w:p>
        </w:tc>
        <w:tc>
          <w:tcPr>
            <w:tcW w:w="2126" w:type="dxa"/>
            <w:shd w:val="clear" w:color="auto" w:fill="auto"/>
            <w:vAlign w:val="center"/>
          </w:tcPr>
          <w:p w14:paraId="5042218E">
            <w:pPr>
              <w:pStyle w:val="20"/>
              <w:ind w:firstLine="0"/>
              <w:rPr>
                <w:rFonts w:eastAsia="宋体"/>
              </w:rPr>
            </w:pPr>
            <w:r>
              <w:rPr>
                <w:rFonts w:hint="eastAsia" w:eastAsia="宋体"/>
              </w:rPr>
              <w:t>（一）原料分区堆放，车间封闭，项目油漆、水性漆和稀释剂均储存于密闭包装桶中，存放在化学品库。</w:t>
            </w:r>
          </w:p>
          <w:p w14:paraId="718E7537">
            <w:pPr>
              <w:pStyle w:val="20"/>
              <w:ind w:firstLine="0"/>
              <w:rPr>
                <w:rFonts w:eastAsia="宋体"/>
              </w:rPr>
            </w:pPr>
            <w:r>
              <w:rPr>
                <w:rFonts w:hint="eastAsia" w:eastAsia="宋体"/>
              </w:rPr>
              <w:t>（二）1.容器在使用过程中随用随开，用后及时密闭，在非取用状态时应加盖、封口；2.废漆桶盖盖存放于密闭的危废间内；3.油漆、水性漆和稀释剂采用密闭密闭容器输送。4.除尘器卸灰口采取密闭措施，除尘灰不卸落到地面；除尘灰采取袋装密闭措施收集、存放和运输；</w:t>
            </w:r>
          </w:p>
          <w:p w14:paraId="7FF8B0D6">
            <w:pPr>
              <w:pStyle w:val="20"/>
              <w:ind w:firstLine="0"/>
              <w:rPr>
                <w:rFonts w:eastAsia="宋体"/>
              </w:rPr>
            </w:pPr>
            <w:r>
              <w:rPr>
                <w:rFonts w:hint="eastAsia" w:eastAsia="宋体"/>
              </w:rPr>
              <w:t>（三）项目调漆、喷漆和烘干工序在密闭空间内操作，密闭操作空间安装废气收集系统送VOCs治理设施处理，密闭操作空间实现负压操作，并要求设置负压标识。②喷漆生产线采用整体密闭的，密闭区域内换风次数均＞20次／h。废气收集系统收集的废气送VOCs治理设施处理。③喷漆房控制风速及相关安全技术要求满足《涂装作业安全规程 喷漆室安全技术规定》（GB14444-2006）要求。厂区地面要求全部硬化。车间规范平整，无物料洒落和“跑、冒、滴、漏”现象。</w:t>
            </w:r>
          </w:p>
        </w:tc>
        <w:tc>
          <w:tcPr>
            <w:tcW w:w="960" w:type="dxa"/>
            <w:vAlign w:val="center"/>
          </w:tcPr>
          <w:p w14:paraId="7B18BD21">
            <w:pPr>
              <w:widowControl/>
              <w:spacing w:line="300" w:lineRule="exact"/>
              <w:jc w:val="center"/>
              <w:rPr>
                <w:rFonts w:ascii="Times New Roman" w:cs="宋体"/>
                <w:kern w:val="0"/>
                <w:sz w:val="21"/>
              </w:rPr>
            </w:pPr>
            <w:r>
              <w:rPr>
                <w:rFonts w:hint="eastAsia" w:ascii="Times New Roman" w:cs="宋体"/>
                <w:kern w:val="0"/>
                <w:sz w:val="21"/>
              </w:rPr>
              <w:t>符合</w:t>
            </w:r>
          </w:p>
        </w:tc>
      </w:tr>
      <w:tr w14:paraId="4228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Align w:val="center"/>
          </w:tcPr>
          <w:p w14:paraId="7A9D142B">
            <w:pPr>
              <w:widowControl/>
              <w:spacing w:line="300" w:lineRule="exact"/>
              <w:jc w:val="center"/>
              <w:rPr>
                <w:rFonts w:ascii="Times New Roman" w:cs="宋体"/>
                <w:kern w:val="0"/>
                <w:sz w:val="21"/>
              </w:rPr>
            </w:pPr>
            <w:r>
              <w:rPr>
                <w:rFonts w:hint="eastAsia" w:ascii="Times New Roman" w:cs="宋体"/>
                <w:kern w:val="0"/>
                <w:sz w:val="21"/>
              </w:rPr>
              <w:t>6</w:t>
            </w:r>
          </w:p>
        </w:tc>
        <w:tc>
          <w:tcPr>
            <w:tcW w:w="1134" w:type="dxa"/>
            <w:gridSpan w:val="2"/>
            <w:vAlign w:val="center"/>
          </w:tcPr>
          <w:p w14:paraId="0271BB18">
            <w:pPr>
              <w:widowControl/>
              <w:spacing w:line="300" w:lineRule="exact"/>
              <w:jc w:val="center"/>
              <w:rPr>
                <w:rFonts w:ascii="Times New Roman" w:cs="宋体"/>
                <w:kern w:val="0"/>
                <w:sz w:val="21"/>
                <w:szCs w:val="21"/>
              </w:rPr>
            </w:pPr>
            <w:r>
              <w:rPr>
                <w:rFonts w:hint="eastAsia" w:ascii="Times New Roman" w:cs="宋体"/>
                <w:kern w:val="0"/>
                <w:sz w:val="21"/>
                <w:szCs w:val="21"/>
              </w:rPr>
              <w:t>监测监控水平</w:t>
            </w:r>
          </w:p>
        </w:tc>
        <w:tc>
          <w:tcPr>
            <w:tcW w:w="3553" w:type="dxa"/>
            <w:shd w:val="clear" w:color="auto" w:fill="auto"/>
            <w:vAlign w:val="center"/>
          </w:tcPr>
          <w:p w14:paraId="24BCFE02">
            <w:pPr>
              <w:pStyle w:val="20"/>
              <w:ind w:firstLine="0"/>
              <w:rPr>
                <w:rFonts w:eastAsia="宋体"/>
              </w:rPr>
            </w:pPr>
            <w:r>
              <w:rPr>
                <w:rFonts w:eastAsia="宋体"/>
              </w:rPr>
              <w:t>1.有组织排放口按照排污许可证要求开展自行监测；</w:t>
            </w:r>
          </w:p>
          <w:p w14:paraId="21750428">
            <w:pPr>
              <w:pStyle w:val="20"/>
              <w:ind w:firstLine="0"/>
              <w:rPr>
                <w:rFonts w:eastAsia="宋体"/>
              </w:rPr>
            </w:pPr>
            <w:r>
              <w:rPr>
                <w:rFonts w:eastAsia="宋体"/>
              </w:rPr>
              <w:t>2.涉气生产工序、生产装置及污染治理设施按生态环境部门要求安装用电监管设备（分表计电），与生态环境部门用电监管平台联网。</w:t>
            </w:r>
          </w:p>
        </w:tc>
        <w:tc>
          <w:tcPr>
            <w:tcW w:w="2126" w:type="dxa"/>
            <w:shd w:val="clear" w:color="auto" w:fill="auto"/>
            <w:vAlign w:val="center"/>
          </w:tcPr>
          <w:p w14:paraId="604AAA81">
            <w:pPr>
              <w:pStyle w:val="20"/>
              <w:ind w:firstLine="0"/>
              <w:rPr>
                <w:rFonts w:eastAsia="宋体"/>
              </w:rPr>
            </w:pPr>
            <w:r>
              <w:rPr>
                <w:rFonts w:hint="eastAsia" w:eastAsia="宋体"/>
              </w:rPr>
              <w:t>项目按照排污许可证要求开展自行监测；涉气生产工序、生产装置及污染治理设施按生态环境部门要求安装用电监管设备(分表计电)与生态环境部门用电监管平台联网。</w:t>
            </w:r>
          </w:p>
        </w:tc>
        <w:tc>
          <w:tcPr>
            <w:tcW w:w="960" w:type="dxa"/>
            <w:vAlign w:val="center"/>
          </w:tcPr>
          <w:p w14:paraId="46C427A2">
            <w:pPr>
              <w:widowControl/>
              <w:spacing w:line="300" w:lineRule="exact"/>
              <w:jc w:val="center"/>
              <w:rPr>
                <w:rFonts w:ascii="Times New Roman" w:cs="宋体"/>
                <w:kern w:val="0"/>
                <w:sz w:val="21"/>
              </w:rPr>
            </w:pPr>
            <w:r>
              <w:rPr>
                <w:rFonts w:hint="eastAsia" w:ascii="Times New Roman" w:cs="宋体"/>
                <w:kern w:val="0"/>
                <w:sz w:val="21"/>
              </w:rPr>
              <w:t>符合</w:t>
            </w:r>
          </w:p>
        </w:tc>
      </w:tr>
      <w:tr w14:paraId="5BFC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shd w:val="clear" w:color="auto" w:fill="auto"/>
            <w:noWrap/>
            <w:vAlign w:val="center"/>
          </w:tcPr>
          <w:p w14:paraId="615FFD9B">
            <w:pPr>
              <w:widowControl/>
              <w:spacing w:line="300" w:lineRule="exact"/>
              <w:jc w:val="center"/>
              <w:rPr>
                <w:rFonts w:ascii="Times New Roman" w:cs="宋体"/>
                <w:kern w:val="0"/>
                <w:sz w:val="21"/>
              </w:rPr>
            </w:pPr>
            <w:r>
              <w:rPr>
                <w:rFonts w:hint="eastAsia" w:ascii="Times New Roman" w:cs="宋体"/>
                <w:kern w:val="0"/>
                <w:sz w:val="21"/>
              </w:rPr>
              <w:t>7</w:t>
            </w:r>
          </w:p>
        </w:tc>
        <w:tc>
          <w:tcPr>
            <w:tcW w:w="385" w:type="dxa"/>
            <w:vMerge w:val="restart"/>
            <w:shd w:val="clear" w:color="auto" w:fill="auto"/>
            <w:vAlign w:val="center"/>
          </w:tcPr>
          <w:p w14:paraId="023ECACC">
            <w:pPr>
              <w:widowControl/>
              <w:spacing w:line="300" w:lineRule="exact"/>
              <w:jc w:val="center"/>
              <w:rPr>
                <w:rFonts w:ascii="Times New Roman" w:cs="宋体"/>
                <w:kern w:val="0"/>
                <w:sz w:val="21"/>
                <w:szCs w:val="21"/>
              </w:rPr>
            </w:pPr>
            <w:r>
              <w:rPr>
                <w:rFonts w:hint="eastAsia" w:ascii="Times New Roman" w:cs="宋体"/>
                <w:kern w:val="0"/>
                <w:sz w:val="21"/>
                <w:szCs w:val="21"/>
              </w:rPr>
              <w:t>环境管理水平</w:t>
            </w:r>
          </w:p>
        </w:tc>
        <w:tc>
          <w:tcPr>
            <w:tcW w:w="749" w:type="dxa"/>
            <w:shd w:val="clear" w:color="auto" w:fill="auto"/>
            <w:vAlign w:val="center"/>
          </w:tcPr>
          <w:p w14:paraId="40D66397">
            <w:pPr>
              <w:widowControl/>
              <w:spacing w:line="300" w:lineRule="exact"/>
              <w:rPr>
                <w:rFonts w:ascii="Times New Roman" w:cs="宋体"/>
                <w:kern w:val="0"/>
                <w:sz w:val="21"/>
                <w:szCs w:val="21"/>
              </w:rPr>
            </w:pPr>
            <w:r>
              <w:rPr>
                <w:rFonts w:hint="eastAsia" w:ascii="Times New Roman" w:cs="宋体"/>
                <w:kern w:val="0"/>
                <w:sz w:val="21"/>
                <w:szCs w:val="21"/>
              </w:rPr>
              <w:t>环保档案</w:t>
            </w:r>
          </w:p>
        </w:tc>
        <w:tc>
          <w:tcPr>
            <w:tcW w:w="3553" w:type="dxa"/>
            <w:shd w:val="clear" w:color="auto" w:fill="auto"/>
            <w:vAlign w:val="center"/>
          </w:tcPr>
          <w:p w14:paraId="41557FB0">
            <w:pPr>
              <w:pStyle w:val="20"/>
              <w:ind w:firstLine="0"/>
              <w:rPr>
                <w:rFonts w:eastAsia="宋体"/>
              </w:rPr>
            </w:pPr>
            <w:r>
              <w:rPr>
                <w:rFonts w:hint="eastAsia" w:eastAsia="宋体"/>
              </w:rPr>
              <w:t>1.环评批复文件和竣工环保验收文件或环境现状评估备案证明；</w:t>
            </w:r>
          </w:p>
          <w:p w14:paraId="40B45F34">
            <w:pPr>
              <w:pStyle w:val="20"/>
              <w:ind w:firstLine="0"/>
              <w:rPr>
                <w:rFonts w:eastAsia="宋体"/>
              </w:rPr>
            </w:pPr>
            <w:r>
              <w:rPr>
                <w:rFonts w:hint="eastAsia" w:eastAsia="宋体"/>
              </w:rPr>
              <w:t>2.国家版排污许可证及季度、年度执行报告；</w:t>
            </w:r>
          </w:p>
          <w:p w14:paraId="3B301BA4">
            <w:pPr>
              <w:pStyle w:val="20"/>
              <w:ind w:firstLine="0"/>
              <w:rPr>
                <w:rFonts w:eastAsia="宋体"/>
              </w:rPr>
            </w:pPr>
            <w:r>
              <w:rPr>
                <w:rFonts w:hint="eastAsia" w:eastAsia="宋体"/>
              </w:rPr>
              <w:t>3.环境管理制度(有组织、无组织排放长效管理机制，主要包括岗位责任制度、达标公示制度和定期巡查维护制度等)；</w:t>
            </w:r>
          </w:p>
          <w:p w14:paraId="55B1FBC8">
            <w:pPr>
              <w:pStyle w:val="20"/>
              <w:ind w:firstLine="0"/>
              <w:rPr>
                <w:rFonts w:eastAsia="宋体"/>
              </w:rPr>
            </w:pPr>
            <w:r>
              <w:rPr>
                <w:rFonts w:hint="eastAsia" w:eastAsia="宋体"/>
              </w:rPr>
              <w:t>4.废气治理设施运行管理规程；</w:t>
            </w:r>
          </w:p>
          <w:p w14:paraId="7EBCBD04">
            <w:pPr>
              <w:pStyle w:val="20"/>
              <w:ind w:firstLine="0"/>
              <w:rPr>
                <w:rFonts w:eastAsia="宋体"/>
              </w:rPr>
            </w:pPr>
            <w:r>
              <w:rPr>
                <w:rFonts w:hint="eastAsia" w:eastAsia="宋体"/>
              </w:rPr>
              <w:t>5.一年内废气监测报告(符合排污许可证监测项目及频次要求)。</w:t>
            </w:r>
          </w:p>
        </w:tc>
        <w:tc>
          <w:tcPr>
            <w:tcW w:w="2126" w:type="dxa"/>
            <w:vMerge w:val="restart"/>
            <w:shd w:val="clear" w:color="auto" w:fill="auto"/>
            <w:noWrap/>
            <w:vAlign w:val="center"/>
          </w:tcPr>
          <w:p w14:paraId="6831ED22">
            <w:pPr>
              <w:pStyle w:val="20"/>
              <w:ind w:firstLine="0"/>
              <w:rPr>
                <w:rFonts w:eastAsia="宋体"/>
              </w:rPr>
            </w:pPr>
            <w:r>
              <w:rPr>
                <w:rFonts w:hint="eastAsia" w:eastAsia="宋体"/>
              </w:rPr>
              <w:t>本项目处于审批阶段，本次项目按要求设置废气治理设施运行管理制度等，按要求设置相关台账。</w:t>
            </w:r>
          </w:p>
        </w:tc>
        <w:tc>
          <w:tcPr>
            <w:tcW w:w="960" w:type="dxa"/>
            <w:vAlign w:val="center"/>
          </w:tcPr>
          <w:p w14:paraId="78ACCAEE">
            <w:pPr>
              <w:widowControl/>
              <w:spacing w:line="300" w:lineRule="exact"/>
              <w:jc w:val="center"/>
              <w:rPr>
                <w:rFonts w:ascii="Times New Roman" w:cs="宋体"/>
                <w:kern w:val="0"/>
                <w:sz w:val="21"/>
              </w:rPr>
            </w:pPr>
            <w:r>
              <w:rPr>
                <w:rFonts w:hint="eastAsia" w:ascii="Times New Roman" w:cs="宋体"/>
                <w:kern w:val="0"/>
                <w:sz w:val="21"/>
              </w:rPr>
              <w:t>符合</w:t>
            </w:r>
          </w:p>
        </w:tc>
      </w:tr>
      <w:tr w14:paraId="4872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vAlign w:val="center"/>
          </w:tcPr>
          <w:p w14:paraId="04D371FE">
            <w:pPr>
              <w:widowControl/>
              <w:spacing w:line="300" w:lineRule="exact"/>
              <w:jc w:val="center"/>
              <w:rPr>
                <w:rFonts w:ascii="Times New Roman" w:cs="宋体"/>
                <w:kern w:val="0"/>
                <w:sz w:val="21"/>
              </w:rPr>
            </w:pPr>
          </w:p>
        </w:tc>
        <w:tc>
          <w:tcPr>
            <w:tcW w:w="385" w:type="dxa"/>
            <w:vMerge w:val="continue"/>
            <w:vAlign w:val="center"/>
          </w:tcPr>
          <w:p w14:paraId="00356DAC">
            <w:pPr>
              <w:widowControl/>
              <w:spacing w:line="300" w:lineRule="exact"/>
              <w:jc w:val="center"/>
              <w:rPr>
                <w:rFonts w:ascii="Times New Roman" w:cs="宋体"/>
                <w:kern w:val="0"/>
                <w:sz w:val="21"/>
                <w:szCs w:val="21"/>
              </w:rPr>
            </w:pPr>
          </w:p>
        </w:tc>
        <w:tc>
          <w:tcPr>
            <w:tcW w:w="749" w:type="dxa"/>
            <w:vAlign w:val="center"/>
          </w:tcPr>
          <w:p w14:paraId="5ACAEF59">
            <w:pPr>
              <w:widowControl/>
              <w:spacing w:line="300" w:lineRule="exact"/>
              <w:jc w:val="center"/>
              <w:rPr>
                <w:rFonts w:ascii="Times New Roman" w:cs="宋体"/>
                <w:kern w:val="0"/>
                <w:sz w:val="21"/>
                <w:szCs w:val="21"/>
              </w:rPr>
            </w:pPr>
            <w:r>
              <w:rPr>
                <w:rFonts w:hint="eastAsia" w:ascii="Times New Roman" w:cs="宋体"/>
                <w:kern w:val="0"/>
                <w:sz w:val="21"/>
                <w:szCs w:val="21"/>
              </w:rPr>
              <w:t>台账记录</w:t>
            </w:r>
          </w:p>
        </w:tc>
        <w:tc>
          <w:tcPr>
            <w:tcW w:w="3553" w:type="dxa"/>
            <w:shd w:val="clear" w:color="auto" w:fill="auto"/>
            <w:vAlign w:val="center"/>
          </w:tcPr>
          <w:p w14:paraId="4A7EB5C0">
            <w:pPr>
              <w:pStyle w:val="20"/>
              <w:ind w:firstLine="0"/>
              <w:rPr>
                <w:rFonts w:eastAsia="宋体"/>
              </w:rPr>
            </w:pPr>
            <w:r>
              <w:rPr>
                <w:rFonts w:hint="eastAsia" w:eastAsia="宋体"/>
              </w:rPr>
              <w:t>1.生产设施运行管理信息(生产时间、运行负荷、产品产量等)；</w:t>
            </w:r>
          </w:p>
          <w:p w14:paraId="536E3001">
            <w:pPr>
              <w:pStyle w:val="20"/>
              <w:ind w:firstLine="0"/>
              <w:rPr>
                <w:rFonts w:eastAsia="宋体"/>
              </w:rPr>
            </w:pPr>
            <w:r>
              <w:rPr>
                <w:rFonts w:hint="eastAsia" w:eastAsia="宋体"/>
              </w:rPr>
              <w:t>2.废气污染治理设施运行管理信息；</w:t>
            </w:r>
          </w:p>
          <w:p w14:paraId="6637DE93">
            <w:pPr>
              <w:pStyle w:val="20"/>
              <w:ind w:firstLine="0"/>
              <w:rPr>
                <w:rFonts w:eastAsia="宋体"/>
              </w:rPr>
            </w:pPr>
            <w:r>
              <w:rPr>
                <w:rFonts w:hint="eastAsia" w:eastAsia="宋体"/>
              </w:rPr>
              <w:t>3.监测记录信息(主要污染排放口废气排放记录等)。</w:t>
            </w:r>
          </w:p>
          <w:p w14:paraId="0BCDA1C7">
            <w:pPr>
              <w:pStyle w:val="20"/>
              <w:ind w:firstLine="0"/>
              <w:rPr>
                <w:rFonts w:eastAsia="宋体"/>
              </w:rPr>
            </w:pPr>
            <w:r>
              <w:rPr>
                <w:rFonts w:hint="eastAsia" w:eastAsia="宋体"/>
              </w:rPr>
              <w:t>4.主要原辅材料消耗记录；</w:t>
            </w:r>
          </w:p>
          <w:p w14:paraId="6F07DC31">
            <w:pPr>
              <w:pStyle w:val="20"/>
              <w:ind w:firstLine="0"/>
              <w:rPr>
                <w:rFonts w:eastAsia="宋体"/>
              </w:rPr>
            </w:pPr>
            <w:r>
              <w:rPr>
                <w:rFonts w:hint="eastAsia" w:eastAsia="宋体"/>
              </w:rPr>
              <w:t>5.燃料消耗记录；</w:t>
            </w:r>
          </w:p>
          <w:p w14:paraId="1410CF41">
            <w:pPr>
              <w:pStyle w:val="20"/>
              <w:ind w:firstLine="0"/>
              <w:rPr>
                <w:kern w:val="0"/>
                <w:szCs w:val="21"/>
              </w:rPr>
            </w:pPr>
            <w:r>
              <w:rPr>
                <w:rFonts w:hint="eastAsia" w:eastAsia="宋体"/>
              </w:rPr>
              <w:t>以上记录至少需保存一年。</w:t>
            </w:r>
          </w:p>
        </w:tc>
        <w:tc>
          <w:tcPr>
            <w:tcW w:w="2126" w:type="dxa"/>
            <w:vMerge w:val="continue"/>
            <w:shd w:val="clear" w:color="auto" w:fill="auto"/>
            <w:vAlign w:val="center"/>
          </w:tcPr>
          <w:p w14:paraId="2D665D79">
            <w:pPr>
              <w:pStyle w:val="20"/>
              <w:ind w:firstLine="0"/>
              <w:rPr>
                <w:rFonts w:eastAsia="宋体"/>
              </w:rPr>
            </w:pPr>
          </w:p>
        </w:tc>
        <w:tc>
          <w:tcPr>
            <w:tcW w:w="960" w:type="dxa"/>
            <w:vAlign w:val="center"/>
          </w:tcPr>
          <w:p w14:paraId="3C5DFFA8">
            <w:pPr>
              <w:widowControl/>
              <w:spacing w:line="300" w:lineRule="exact"/>
              <w:jc w:val="center"/>
              <w:rPr>
                <w:rFonts w:ascii="Times New Roman" w:cs="宋体"/>
                <w:kern w:val="0"/>
                <w:sz w:val="21"/>
              </w:rPr>
            </w:pPr>
            <w:r>
              <w:rPr>
                <w:rFonts w:hint="eastAsia" w:ascii="Times New Roman" w:cs="宋体"/>
                <w:kern w:val="0"/>
                <w:sz w:val="21"/>
              </w:rPr>
              <w:t>符合</w:t>
            </w:r>
          </w:p>
        </w:tc>
      </w:tr>
      <w:tr w14:paraId="5195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vAlign w:val="center"/>
          </w:tcPr>
          <w:p w14:paraId="626D39A4">
            <w:pPr>
              <w:widowControl/>
              <w:spacing w:line="300" w:lineRule="exact"/>
              <w:jc w:val="center"/>
              <w:rPr>
                <w:rFonts w:ascii="Times New Roman" w:cs="宋体"/>
                <w:kern w:val="0"/>
                <w:sz w:val="21"/>
              </w:rPr>
            </w:pPr>
          </w:p>
        </w:tc>
        <w:tc>
          <w:tcPr>
            <w:tcW w:w="385" w:type="dxa"/>
            <w:vMerge w:val="continue"/>
            <w:vAlign w:val="center"/>
          </w:tcPr>
          <w:p w14:paraId="371A86D4">
            <w:pPr>
              <w:widowControl/>
              <w:spacing w:line="300" w:lineRule="exact"/>
              <w:jc w:val="center"/>
              <w:rPr>
                <w:rFonts w:ascii="Times New Roman" w:cs="宋体"/>
                <w:kern w:val="0"/>
                <w:sz w:val="21"/>
                <w:szCs w:val="21"/>
              </w:rPr>
            </w:pPr>
          </w:p>
        </w:tc>
        <w:tc>
          <w:tcPr>
            <w:tcW w:w="749" w:type="dxa"/>
            <w:vAlign w:val="center"/>
          </w:tcPr>
          <w:p w14:paraId="7F30336F">
            <w:pPr>
              <w:widowControl/>
              <w:spacing w:line="300" w:lineRule="exact"/>
              <w:jc w:val="center"/>
              <w:rPr>
                <w:rFonts w:ascii="Times New Roman" w:cs="宋体"/>
                <w:kern w:val="0"/>
                <w:sz w:val="21"/>
                <w:szCs w:val="21"/>
              </w:rPr>
            </w:pPr>
            <w:r>
              <w:rPr>
                <w:rFonts w:hint="eastAsia" w:ascii="Times New Roman" w:cs="宋体"/>
                <w:kern w:val="0"/>
                <w:sz w:val="21"/>
                <w:szCs w:val="21"/>
              </w:rPr>
              <w:t>人员配置</w:t>
            </w:r>
          </w:p>
        </w:tc>
        <w:tc>
          <w:tcPr>
            <w:tcW w:w="3553" w:type="dxa"/>
            <w:shd w:val="clear" w:color="auto" w:fill="auto"/>
            <w:vAlign w:val="center"/>
          </w:tcPr>
          <w:p w14:paraId="32232CE6">
            <w:pPr>
              <w:pStyle w:val="20"/>
              <w:ind w:firstLine="0"/>
              <w:rPr>
                <w:kern w:val="0"/>
                <w:szCs w:val="21"/>
              </w:rPr>
            </w:pPr>
            <w:r>
              <w:rPr>
                <w:rFonts w:hint="eastAsia" w:eastAsia="宋体"/>
              </w:rPr>
              <w:t>配备专职环保人员，并具备相应的环境管理能力。</w:t>
            </w:r>
          </w:p>
        </w:tc>
        <w:tc>
          <w:tcPr>
            <w:tcW w:w="2126" w:type="dxa"/>
            <w:shd w:val="clear" w:color="auto" w:fill="auto"/>
            <w:vAlign w:val="center"/>
          </w:tcPr>
          <w:p w14:paraId="07D1ADF3">
            <w:pPr>
              <w:widowControl/>
              <w:spacing w:line="300" w:lineRule="exact"/>
              <w:jc w:val="center"/>
              <w:rPr>
                <w:rFonts w:ascii="Times New Roman" w:cs="宋体"/>
                <w:kern w:val="0"/>
                <w:sz w:val="21"/>
              </w:rPr>
            </w:pPr>
            <w:r>
              <w:rPr>
                <w:rFonts w:hint="eastAsia" w:ascii="Times New Roman" w:cs="宋体"/>
                <w:kern w:val="0"/>
                <w:sz w:val="21"/>
              </w:rPr>
              <w:t>设置环保部门，配备专职环保人员，并具备相应的环境管理能力。</w:t>
            </w:r>
          </w:p>
        </w:tc>
        <w:tc>
          <w:tcPr>
            <w:tcW w:w="960" w:type="dxa"/>
            <w:vAlign w:val="center"/>
          </w:tcPr>
          <w:p w14:paraId="1567ECCF">
            <w:pPr>
              <w:widowControl/>
              <w:spacing w:line="300" w:lineRule="exact"/>
              <w:jc w:val="center"/>
              <w:rPr>
                <w:rFonts w:ascii="Times New Roman" w:cs="宋体"/>
                <w:kern w:val="0"/>
                <w:sz w:val="21"/>
              </w:rPr>
            </w:pPr>
            <w:r>
              <w:rPr>
                <w:rFonts w:hint="eastAsia" w:ascii="Times New Roman" w:cs="宋体"/>
                <w:kern w:val="0"/>
                <w:sz w:val="21"/>
              </w:rPr>
              <w:t>符合</w:t>
            </w:r>
          </w:p>
        </w:tc>
      </w:tr>
      <w:tr w14:paraId="253E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6CB5DC56">
            <w:pPr>
              <w:widowControl/>
              <w:spacing w:line="300" w:lineRule="exact"/>
              <w:jc w:val="center"/>
              <w:rPr>
                <w:rFonts w:ascii="Times New Roman" w:cs="宋体"/>
                <w:kern w:val="0"/>
                <w:sz w:val="21"/>
              </w:rPr>
            </w:pPr>
            <w:r>
              <w:rPr>
                <w:rFonts w:hint="eastAsia" w:ascii="Times New Roman" w:cs="宋体"/>
                <w:kern w:val="0"/>
                <w:sz w:val="21"/>
              </w:rPr>
              <w:t>8</w:t>
            </w:r>
          </w:p>
        </w:tc>
        <w:tc>
          <w:tcPr>
            <w:tcW w:w="1134" w:type="dxa"/>
            <w:gridSpan w:val="2"/>
            <w:shd w:val="clear" w:color="auto" w:fill="auto"/>
            <w:vAlign w:val="center"/>
          </w:tcPr>
          <w:p w14:paraId="3E130CB5">
            <w:pPr>
              <w:widowControl/>
              <w:spacing w:line="300" w:lineRule="exact"/>
              <w:jc w:val="center"/>
              <w:rPr>
                <w:rFonts w:ascii="Times New Roman"/>
                <w:kern w:val="0"/>
                <w:sz w:val="21"/>
                <w:szCs w:val="21"/>
              </w:rPr>
            </w:pPr>
            <w:r>
              <w:rPr>
                <w:rFonts w:hint="eastAsia" w:ascii="Times New Roman"/>
                <w:kern w:val="0"/>
                <w:sz w:val="21"/>
                <w:szCs w:val="21"/>
              </w:rPr>
              <w:t>运输方式</w:t>
            </w:r>
          </w:p>
        </w:tc>
        <w:tc>
          <w:tcPr>
            <w:tcW w:w="3553" w:type="dxa"/>
            <w:shd w:val="clear" w:color="auto" w:fill="auto"/>
            <w:vAlign w:val="center"/>
          </w:tcPr>
          <w:p w14:paraId="66B0EFF8">
            <w:pPr>
              <w:widowControl/>
              <w:spacing w:line="300" w:lineRule="exact"/>
              <w:jc w:val="left"/>
              <w:rPr>
                <w:rFonts w:ascii="Times New Roman"/>
                <w:kern w:val="0"/>
                <w:sz w:val="21"/>
                <w:szCs w:val="21"/>
              </w:rPr>
            </w:pPr>
            <w:r>
              <w:rPr>
                <w:rFonts w:hint="eastAsia" w:ascii="Times New Roman"/>
                <w:kern w:val="0"/>
                <w:sz w:val="21"/>
                <w:szCs w:val="21"/>
              </w:rPr>
              <w:t>1.物料、产品公路运输采用国五及以上排放阶段的重型载货车辆（含燃气）或新能源汽车比例不低于 80%，其余使用符合国四排放阶段的载货车辆。</w:t>
            </w:r>
          </w:p>
          <w:p w14:paraId="7EAF10D3">
            <w:pPr>
              <w:widowControl/>
              <w:spacing w:line="300" w:lineRule="exact"/>
              <w:jc w:val="left"/>
              <w:rPr>
                <w:rFonts w:ascii="Times New Roman"/>
                <w:kern w:val="0"/>
                <w:sz w:val="21"/>
                <w:szCs w:val="21"/>
              </w:rPr>
            </w:pPr>
            <w:r>
              <w:rPr>
                <w:rFonts w:hint="eastAsia" w:ascii="Times New Roman"/>
                <w:kern w:val="0"/>
                <w:sz w:val="21"/>
                <w:szCs w:val="21"/>
              </w:rPr>
              <w:t>2.厂内运输车辆使用国五及以上排放阶段或新能源车辆比例不低于80%，其余达到国四排放标准运输车辆。</w:t>
            </w:r>
          </w:p>
          <w:p w14:paraId="06677152">
            <w:pPr>
              <w:widowControl/>
              <w:spacing w:line="300" w:lineRule="exact"/>
              <w:jc w:val="left"/>
              <w:rPr>
                <w:rFonts w:ascii="Times New Roman"/>
                <w:kern w:val="0"/>
                <w:sz w:val="21"/>
                <w:szCs w:val="21"/>
              </w:rPr>
            </w:pPr>
            <w:r>
              <w:rPr>
                <w:rFonts w:hint="eastAsia" w:ascii="Times New Roman"/>
                <w:kern w:val="0"/>
                <w:sz w:val="21"/>
                <w:szCs w:val="21"/>
              </w:rPr>
              <w:t>3.厂内非道路移动机械使用国三及以上排放阶段或新能源机械比例不低于 80%，其余达到国二排放标准。</w:t>
            </w:r>
          </w:p>
        </w:tc>
        <w:tc>
          <w:tcPr>
            <w:tcW w:w="2126" w:type="dxa"/>
            <w:shd w:val="clear" w:color="auto" w:fill="auto"/>
            <w:noWrap/>
            <w:vAlign w:val="center"/>
          </w:tcPr>
          <w:p w14:paraId="07B6069D">
            <w:pPr>
              <w:widowControl/>
              <w:spacing w:line="300" w:lineRule="exact"/>
              <w:jc w:val="center"/>
              <w:rPr>
                <w:rFonts w:ascii="Times New Roman"/>
                <w:kern w:val="0"/>
                <w:sz w:val="21"/>
                <w:szCs w:val="21"/>
              </w:rPr>
            </w:pPr>
            <w:r>
              <w:rPr>
                <w:rFonts w:hint="eastAsia" w:ascii="Times New Roman"/>
                <w:kern w:val="0"/>
                <w:sz w:val="21"/>
                <w:szCs w:val="21"/>
              </w:rPr>
              <w:t>评价要求项目物料、产品公路运输全部使用国五及以上排放标准的重型载货车辆(含燃气)或新能源车辆；厂区车辆全部达国五及以上排放标准(含燃气)或使用新能源车辆；厂内非道路移动机械使用国三及以上排放阶段或使用新能源移动机械。</w:t>
            </w:r>
          </w:p>
        </w:tc>
        <w:tc>
          <w:tcPr>
            <w:tcW w:w="960" w:type="dxa"/>
            <w:vAlign w:val="center"/>
          </w:tcPr>
          <w:p w14:paraId="08683A05">
            <w:pPr>
              <w:widowControl/>
              <w:spacing w:line="300" w:lineRule="exact"/>
              <w:jc w:val="center"/>
              <w:rPr>
                <w:rFonts w:ascii="Times New Roman" w:cs="宋体"/>
                <w:kern w:val="0"/>
                <w:sz w:val="21"/>
              </w:rPr>
            </w:pPr>
            <w:r>
              <w:rPr>
                <w:rFonts w:hint="eastAsia" w:ascii="Times New Roman" w:cs="宋体"/>
                <w:kern w:val="0"/>
                <w:sz w:val="21"/>
              </w:rPr>
              <w:t>符合</w:t>
            </w:r>
          </w:p>
        </w:tc>
      </w:tr>
      <w:tr w14:paraId="3A1E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shd w:val="clear" w:color="auto" w:fill="auto"/>
            <w:noWrap/>
            <w:vAlign w:val="center"/>
          </w:tcPr>
          <w:p w14:paraId="40C5A677">
            <w:pPr>
              <w:widowControl/>
              <w:spacing w:line="300" w:lineRule="exact"/>
              <w:jc w:val="center"/>
              <w:rPr>
                <w:rFonts w:ascii="Times New Roman" w:cs="宋体"/>
                <w:kern w:val="0"/>
                <w:sz w:val="21"/>
              </w:rPr>
            </w:pPr>
            <w:r>
              <w:rPr>
                <w:rFonts w:hint="eastAsia" w:ascii="Times New Roman" w:cs="宋体"/>
                <w:kern w:val="0"/>
                <w:sz w:val="21"/>
              </w:rPr>
              <w:t>9</w:t>
            </w:r>
          </w:p>
        </w:tc>
        <w:tc>
          <w:tcPr>
            <w:tcW w:w="1134" w:type="dxa"/>
            <w:gridSpan w:val="2"/>
            <w:shd w:val="clear" w:color="auto" w:fill="auto"/>
            <w:vAlign w:val="center"/>
          </w:tcPr>
          <w:p w14:paraId="557844C0">
            <w:pPr>
              <w:widowControl/>
              <w:spacing w:line="300" w:lineRule="exact"/>
              <w:jc w:val="center"/>
              <w:rPr>
                <w:rFonts w:ascii="Times New Roman" w:cs="宋体"/>
                <w:kern w:val="0"/>
                <w:sz w:val="21"/>
                <w:szCs w:val="21"/>
              </w:rPr>
            </w:pPr>
            <w:r>
              <w:rPr>
                <w:rFonts w:hint="eastAsia" w:ascii="Times New Roman" w:cs="宋体"/>
                <w:kern w:val="0"/>
                <w:sz w:val="21"/>
                <w:szCs w:val="21"/>
              </w:rPr>
              <w:t>运输监管</w:t>
            </w:r>
          </w:p>
        </w:tc>
        <w:tc>
          <w:tcPr>
            <w:tcW w:w="3553" w:type="dxa"/>
            <w:shd w:val="clear" w:color="auto" w:fill="auto"/>
            <w:vAlign w:val="center"/>
          </w:tcPr>
          <w:p w14:paraId="4DA4F877">
            <w:pPr>
              <w:widowControl/>
              <w:spacing w:line="300" w:lineRule="exact"/>
              <w:jc w:val="center"/>
              <w:rPr>
                <w:rFonts w:ascii="Times New Roman"/>
                <w:kern w:val="0"/>
                <w:sz w:val="21"/>
                <w:szCs w:val="21"/>
              </w:rPr>
            </w:pPr>
            <w:r>
              <w:rPr>
                <w:rFonts w:hint="eastAsia" w:ascii="Times New Roman"/>
                <w:kern w:val="0"/>
                <w:sz w:val="21"/>
                <w:szCs w:val="21"/>
              </w:rPr>
              <w:t>参照《重污染天气重点行业移动源应急管理技术指南》建立门禁系统和电子台账</w:t>
            </w:r>
          </w:p>
        </w:tc>
        <w:tc>
          <w:tcPr>
            <w:tcW w:w="2126" w:type="dxa"/>
            <w:shd w:val="clear" w:color="auto" w:fill="auto"/>
            <w:noWrap/>
            <w:vAlign w:val="center"/>
          </w:tcPr>
          <w:p w14:paraId="382F82D0">
            <w:pPr>
              <w:widowControl/>
              <w:spacing w:line="300" w:lineRule="exact"/>
              <w:jc w:val="center"/>
              <w:rPr>
                <w:rFonts w:ascii="Times New Roman"/>
                <w:kern w:val="0"/>
                <w:sz w:val="21"/>
                <w:szCs w:val="21"/>
              </w:rPr>
            </w:pPr>
            <w:r>
              <w:rPr>
                <w:rFonts w:hint="eastAsia" w:ascii="Times New Roman"/>
                <w:kern w:val="0"/>
                <w:sz w:val="21"/>
                <w:szCs w:val="21"/>
              </w:rPr>
              <w:t>参照《重污染天气重点行业移动源应急管理技术指南》建立门禁视频监控系统和电子台账</w:t>
            </w:r>
          </w:p>
        </w:tc>
        <w:tc>
          <w:tcPr>
            <w:tcW w:w="960" w:type="dxa"/>
            <w:vAlign w:val="center"/>
          </w:tcPr>
          <w:p w14:paraId="4C62A7F3">
            <w:pPr>
              <w:widowControl/>
              <w:spacing w:line="300" w:lineRule="exact"/>
              <w:jc w:val="center"/>
              <w:rPr>
                <w:rFonts w:ascii="Times New Roman" w:cs="宋体"/>
                <w:kern w:val="0"/>
                <w:sz w:val="21"/>
              </w:rPr>
            </w:pPr>
            <w:r>
              <w:rPr>
                <w:rFonts w:hint="eastAsia" w:ascii="Times New Roman" w:cs="宋体"/>
                <w:kern w:val="0"/>
                <w:sz w:val="21"/>
              </w:rPr>
              <w:t>符合</w:t>
            </w:r>
          </w:p>
        </w:tc>
      </w:tr>
    </w:tbl>
    <w:p w14:paraId="1257D50E">
      <w:pPr>
        <w:widowControl/>
        <w:spacing w:line="480" w:lineRule="exact"/>
        <w:ind w:firstLine="482" w:firstLineChars="200"/>
        <w:jc w:val="left"/>
        <w:rPr>
          <w:rFonts w:ascii="Times New Roman"/>
          <w:b/>
          <w:sz w:val="30"/>
          <w:szCs w:val="30"/>
        </w:rPr>
      </w:pPr>
      <w:r>
        <w:rPr>
          <w:rFonts w:hint="eastAsia" w:ascii="Times New Roman"/>
          <w:b/>
          <w:sz w:val="24"/>
        </w:rPr>
        <w:t>综上所述，绩效分级结果为“</w:t>
      </w:r>
      <w:r>
        <w:rPr>
          <w:rFonts w:hint="eastAsia" w:ascii="Times New Roman"/>
          <w:bCs/>
          <w:sz w:val="24"/>
        </w:rPr>
        <w:t>B</w:t>
      </w:r>
      <w:r>
        <w:rPr>
          <w:rFonts w:hint="eastAsia" w:ascii="Times New Roman"/>
          <w:b/>
          <w:sz w:val="24"/>
        </w:rPr>
        <w:t>级”</w:t>
      </w:r>
      <w:r>
        <w:rPr>
          <w:rFonts w:ascii="Times New Roman"/>
          <w:b/>
          <w:sz w:val="24"/>
        </w:rPr>
        <w:t>。</w:t>
      </w:r>
    </w:p>
    <w:p w14:paraId="79E7AE18">
      <w:pPr>
        <w:spacing w:beforeLines="50" w:afterLines="50" w:line="520" w:lineRule="exact"/>
        <w:outlineLvl w:val="0"/>
        <w:rPr>
          <w:rFonts w:ascii="Times New Roman"/>
          <w:b/>
          <w:sz w:val="32"/>
          <w:szCs w:val="32"/>
        </w:rPr>
        <w:sectPr>
          <w:headerReference r:id="rId10" w:type="default"/>
          <w:footerReference r:id="rId11" w:type="default"/>
          <w:pgSz w:w="11906" w:h="16838"/>
          <w:pgMar w:top="1440" w:right="1800" w:bottom="1440" w:left="1800" w:header="1134" w:footer="1134" w:gutter="0"/>
          <w:cols w:space="720" w:num="1"/>
          <w:docGrid w:type="lines" w:linePitch="340" w:charSpace="0"/>
        </w:sectPr>
      </w:pPr>
    </w:p>
    <w:p w14:paraId="4065F94A">
      <w:pPr>
        <w:spacing w:beforeLines="50" w:afterLines="50" w:line="520" w:lineRule="exact"/>
        <w:outlineLvl w:val="0"/>
        <w:rPr>
          <w:rFonts w:ascii="Times New Roman"/>
          <w:b/>
          <w:sz w:val="32"/>
          <w:szCs w:val="32"/>
        </w:rPr>
      </w:pPr>
      <w:bookmarkStart w:id="84" w:name="_Toc26700"/>
      <w:r>
        <w:rPr>
          <w:rFonts w:ascii="Times New Roman"/>
          <w:b/>
          <w:sz w:val="32"/>
          <w:szCs w:val="32"/>
        </w:rPr>
        <w:t>3建设项目工程分析</w:t>
      </w:r>
      <w:bookmarkEnd w:id="9"/>
      <w:bookmarkEnd w:id="10"/>
      <w:bookmarkEnd w:id="11"/>
      <w:bookmarkEnd w:id="84"/>
      <w:bookmarkStart w:id="85" w:name="_Toc246763528"/>
      <w:bookmarkStart w:id="86" w:name="_Toc390963085"/>
      <w:bookmarkStart w:id="87" w:name="_Toc422392403"/>
      <w:bookmarkStart w:id="88" w:name="_Toc25104"/>
    </w:p>
    <w:p w14:paraId="027B3706">
      <w:pPr>
        <w:widowControl/>
        <w:spacing w:line="520" w:lineRule="exact"/>
        <w:jc w:val="left"/>
        <w:outlineLvl w:val="1"/>
        <w:rPr>
          <w:rFonts w:ascii="Times New Roman"/>
          <w:b/>
          <w:sz w:val="30"/>
          <w:szCs w:val="30"/>
        </w:rPr>
      </w:pPr>
      <w:bookmarkStart w:id="89" w:name="_Toc26363"/>
      <w:r>
        <w:rPr>
          <w:rFonts w:ascii="Times New Roman"/>
          <w:b/>
          <w:sz w:val="30"/>
          <w:szCs w:val="30"/>
        </w:rPr>
        <w:t>3.</w:t>
      </w:r>
      <w:bookmarkEnd w:id="85"/>
      <w:bookmarkEnd w:id="86"/>
      <w:bookmarkEnd w:id="87"/>
      <w:r>
        <w:rPr>
          <w:rFonts w:ascii="Times New Roman"/>
          <w:b/>
          <w:sz w:val="30"/>
          <w:szCs w:val="30"/>
        </w:rPr>
        <w:t>1项目概况</w:t>
      </w:r>
      <w:bookmarkEnd w:id="88"/>
      <w:bookmarkEnd w:id="89"/>
    </w:p>
    <w:p w14:paraId="79C31246">
      <w:pPr>
        <w:tabs>
          <w:tab w:val="left" w:pos="0"/>
        </w:tabs>
        <w:spacing w:line="480" w:lineRule="exact"/>
        <w:ind w:firstLine="460" w:firstLineChars="192"/>
        <w:rPr>
          <w:rFonts w:ascii="Times New Roman"/>
          <w:sz w:val="24"/>
          <w:szCs w:val="24"/>
        </w:rPr>
      </w:pPr>
      <w:r>
        <w:rPr>
          <w:rFonts w:ascii="Times New Roman"/>
          <w:sz w:val="24"/>
          <w:szCs w:val="24"/>
        </w:rPr>
        <w:t>（1）项目名称：数字孪生智能输送机生产项目。</w:t>
      </w:r>
    </w:p>
    <w:p w14:paraId="10F945D9">
      <w:pPr>
        <w:tabs>
          <w:tab w:val="left" w:pos="0"/>
        </w:tabs>
        <w:spacing w:line="480" w:lineRule="exact"/>
        <w:ind w:firstLine="460" w:firstLineChars="192"/>
        <w:rPr>
          <w:rFonts w:ascii="Times New Roman"/>
          <w:sz w:val="24"/>
          <w:szCs w:val="24"/>
        </w:rPr>
      </w:pPr>
      <w:r>
        <w:rPr>
          <w:rFonts w:ascii="Times New Roman"/>
          <w:sz w:val="24"/>
          <w:szCs w:val="24"/>
        </w:rPr>
        <w:t>（2）建设单位：运机(唐山)装备有限公司。</w:t>
      </w:r>
    </w:p>
    <w:p w14:paraId="5D594271">
      <w:pPr>
        <w:tabs>
          <w:tab w:val="left" w:pos="0"/>
        </w:tabs>
        <w:spacing w:line="480" w:lineRule="exact"/>
        <w:ind w:firstLine="460" w:firstLineChars="192"/>
        <w:rPr>
          <w:rFonts w:ascii="Times New Roman"/>
          <w:sz w:val="24"/>
          <w:szCs w:val="24"/>
        </w:rPr>
      </w:pPr>
      <w:r>
        <w:rPr>
          <w:rFonts w:ascii="Times New Roman"/>
          <w:sz w:val="24"/>
          <w:szCs w:val="24"/>
        </w:rPr>
        <w:t>（3）建设性质：新建。</w:t>
      </w:r>
    </w:p>
    <w:p w14:paraId="7297F3C7">
      <w:pPr>
        <w:tabs>
          <w:tab w:val="left" w:pos="0"/>
        </w:tabs>
        <w:spacing w:line="480" w:lineRule="exact"/>
        <w:ind w:firstLine="460" w:firstLineChars="192"/>
        <w:rPr>
          <w:rFonts w:ascii="Times New Roman"/>
          <w:sz w:val="24"/>
          <w:szCs w:val="24"/>
        </w:rPr>
      </w:pPr>
      <w:r>
        <w:rPr>
          <w:rFonts w:ascii="Times New Roman"/>
          <w:sz w:val="24"/>
          <w:szCs w:val="24"/>
        </w:rPr>
        <w:t>（4）建设地点：项目位于曹妃甸工业区装备制造园区，厂址中心位置地理坐标为：东经118°30′14.633″，北纬39°5′17.177″。厂区西侧、东侧、北侧为空地，南侧为华电曹妃甸重工装备有限公司。项目地理位置见附图1，项目周边关系见附图2。</w:t>
      </w:r>
    </w:p>
    <w:p w14:paraId="6F117467">
      <w:pPr>
        <w:tabs>
          <w:tab w:val="left" w:pos="0"/>
        </w:tabs>
        <w:spacing w:line="480" w:lineRule="exact"/>
        <w:ind w:firstLine="460" w:firstLineChars="192"/>
        <w:rPr>
          <w:rFonts w:ascii="Times New Roman"/>
          <w:sz w:val="24"/>
          <w:szCs w:val="24"/>
        </w:rPr>
      </w:pPr>
      <w:r>
        <w:rPr>
          <w:rFonts w:ascii="Times New Roman"/>
          <w:sz w:val="24"/>
          <w:szCs w:val="24"/>
        </w:rPr>
        <w:t>（5）工程投资：项目总投资48349.51万元，环保投资2000万元，环保投资占总投资的4.14%。</w:t>
      </w:r>
    </w:p>
    <w:p w14:paraId="11A3399D">
      <w:pPr>
        <w:tabs>
          <w:tab w:val="left" w:pos="0"/>
        </w:tabs>
        <w:spacing w:line="480" w:lineRule="exact"/>
        <w:ind w:firstLine="460" w:firstLineChars="192"/>
        <w:rPr>
          <w:rFonts w:ascii="Times New Roman"/>
          <w:sz w:val="24"/>
          <w:szCs w:val="24"/>
        </w:rPr>
      </w:pPr>
      <w:r>
        <w:rPr>
          <w:rFonts w:ascii="Times New Roman"/>
          <w:sz w:val="24"/>
          <w:szCs w:val="24"/>
        </w:rPr>
        <w:t>（6）占地面积：</w:t>
      </w:r>
      <w:r>
        <w:rPr>
          <w:rFonts w:ascii="Times New Roman"/>
          <w:sz w:val="24"/>
          <w:szCs w:val="20"/>
        </w:rPr>
        <w:t>项目总占地面积300亩（200000m</w:t>
      </w:r>
      <w:r>
        <w:rPr>
          <w:rFonts w:ascii="Times New Roman"/>
          <w:sz w:val="24"/>
          <w:szCs w:val="20"/>
          <w:vertAlign w:val="superscript"/>
        </w:rPr>
        <w:t>2</w:t>
      </w:r>
      <w:r>
        <w:rPr>
          <w:rFonts w:ascii="Times New Roman"/>
          <w:sz w:val="24"/>
          <w:szCs w:val="20"/>
        </w:rPr>
        <w:t>）</w:t>
      </w:r>
      <w:r>
        <w:rPr>
          <w:rFonts w:ascii="Times New Roman"/>
          <w:sz w:val="24"/>
          <w:szCs w:val="24"/>
        </w:rPr>
        <w:t>。</w:t>
      </w:r>
    </w:p>
    <w:p w14:paraId="382E757E">
      <w:pPr>
        <w:widowControl/>
        <w:spacing w:line="480" w:lineRule="exact"/>
        <w:ind w:firstLine="480" w:firstLineChars="200"/>
        <w:rPr>
          <w:rFonts w:ascii="Times New Roman"/>
          <w:sz w:val="24"/>
          <w:szCs w:val="20"/>
        </w:rPr>
      </w:pPr>
      <w:r>
        <w:rPr>
          <w:rFonts w:ascii="Times New Roman"/>
          <w:sz w:val="24"/>
          <w:szCs w:val="24"/>
        </w:rPr>
        <w:t>（7）</w:t>
      </w:r>
      <w:r>
        <w:rPr>
          <w:rFonts w:ascii="Times New Roman"/>
          <w:sz w:val="24"/>
          <w:szCs w:val="20"/>
        </w:rPr>
        <w:t>平面布置：本项目大门位于厂区西部和南部，紧邻道路，方便车辆进出。厂区主要分办公区及生产区两部分。研发中心（5F）位于厂区西南部，研发中心北侧为倒班宿舍（5F）和食堂（3F），东侧为消防水池和泵房(地下)。生产区位于厂区东侧和北侧，生产区有三个生产厂房。厂区西北侧为成品堆场和托辊及装配厂房，其中托辊及装配厂房从南至北依次为托辊区、结构件装配区、滚筒装配区。厂区东侧为联合厂房，联合厂房从南至北依次为原料库、下料区、</w:t>
      </w:r>
      <w:r>
        <w:rPr>
          <w:rFonts w:hint="eastAsia"/>
        </w:rPr>
        <w:t>下料及缓存库、</w:t>
      </w:r>
      <w:r>
        <w:rPr>
          <w:rFonts w:ascii="Times New Roman"/>
          <w:sz w:val="24"/>
          <w:szCs w:val="20"/>
        </w:rPr>
        <w:t>焊接</w:t>
      </w:r>
      <w:r>
        <w:rPr>
          <w:rFonts w:hint="eastAsia" w:ascii="Times New Roman"/>
          <w:sz w:val="24"/>
          <w:szCs w:val="20"/>
        </w:rPr>
        <w:t>及滚筒生产</w:t>
      </w:r>
      <w:r>
        <w:rPr>
          <w:rFonts w:ascii="Times New Roman"/>
          <w:sz w:val="24"/>
          <w:szCs w:val="20"/>
        </w:rPr>
        <w:t>区、表面处理及涂装区。厂区西北侧角从西至东依次为垃圾回收房、危废</w:t>
      </w:r>
      <w:r>
        <w:rPr>
          <w:rFonts w:hint="eastAsia" w:ascii="Times New Roman"/>
          <w:sz w:val="24"/>
          <w:szCs w:val="20"/>
        </w:rPr>
        <w:t>库</w:t>
      </w:r>
      <w:r>
        <w:rPr>
          <w:rFonts w:ascii="Times New Roman"/>
          <w:sz w:val="24"/>
          <w:szCs w:val="20"/>
        </w:rPr>
        <w:t>、危化库、液气站。厂区将生产区及人员工作区有效分离，整个厂区建构筑物布局合理。项目厂区总平面布置见附图3。</w:t>
      </w:r>
    </w:p>
    <w:p w14:paraId="7FA640E8">
      <w:pPr>
        <w:spacing w:line="480" w:lineRule="exact"/>
        <w:ind w:firstLine="480" w:firstLineChars="200"/>
        <w:rPr>
          <w:rFonts w:ascii="Times New Roman"/>
          <w:sz w:val="24"/>
          <w:szCs w:val="20"/>
        </w:rPr>
      </w:pPr>
      <w:r>
        <w:rPr>
          <w:rFonts w:ascii="Times New Roman"/>
          <w:sz w:val="24"/>
          <w:szCs w:val="20"/>
        </w:rPr>
        <w:t>（8）劳动定员及工作制度：项目劳动定员为600人</w:t>
      </w:r>
      <w:r>
        <w:rPr>
          <w:rFonts w:hint="eastAsia" w:ascii="Times New Roman"/>
          <w:sz w:val="24"/>
          <w:szCs w:val="20"/>
        </w:rPr>
        <w:t>。项目涂装生产线单班12小时工作制；板材下料生产线双班，单班作业时间10小时工作制；其它工序单班10小时工作制</w:t>
      </w:r>
      <w:r>
        <w:rPr>
          <w:rFonts w:ascii="Times New Roman"/>
          <w:sz w:val="24"/>
          <w:szCs w:val="20"/>
        </w:rPr>
        <w:t>。</w:t>
      </w:r>
    </w:p>
    <w:p w14:paraId="49AF84A1">
      <w:pPr>
        <w:spacing w:line="480" w:lineRule="exact"/>
        <w:ind w:firstLine="480" w:firstLineChars="200"/>
        <w:rPr>
          <w:rFonts w:ascii="Times New Roman"/>
          <w:sz w:val="24"/>
          <w:szCs w:val="20"/>
        </w:rPr>
      </w:pPr>
      <w:r>
        <w:rPr>
          <w:rFonts w:hint="eastAsia" w:ascii="Times New Roman"/>
          <w:sz w:val="24"/>
          <w:szCs w:val="20"/>
        </w:rPr>
        <w:t>（9）施工周期：项目3月开工，9月投产，施工周期6个月。</w:t>
      </w:r>
    </w:p>
    <w:p w14:paraId="6F1CE3DE">
      <w:pPr>
        <w:spacing w:line="480" w:lineRule="exact"/>
        <w:ind w:firstLine="480" w:firstLineChars="200"/>
        <w:rPr>
          <w:rFonts w:ascii="Times New Roman"/>
          <w:sz w:val="24"/>
          <w:szCs w:val="20"/>
        </w:rPr>
      </w:pPr>
      <w:r>
        <w:rPr>
          <w:rFonts w:ascii="Times New Roman"/>
          <w:sz w:val="24"/>
          <w:szCs w:val="20"/>
        </w:rPr>
        <w:t>（</w:t>
      </w:r>
      <w:r>
        <w:rPr>
          <w:rFonts w:hint="eastAsia" w:ascii="Times New Roman"/>
          <w:sz w:val="24"/>
          <w:szCs w:val="20"/>
        </w:rPr>
        <w:t>10</w:t>
      </w:r>
      <w:r>
        <w:rPr>
          <w:rFonts w:ascii="Times New Roman"/>
          <w:sz w:val="24"/>
          <w:szCs w:val="20"/>
        </w:rPr>
        <w:t>）工程主要建设内容</w:t>
      </w:r>
    </w:p>
    <w:p w14:paraId="34D5D012">
      <w:pPr>
        <w:spacing w:line="480" w:lineRule="exact"/>
        <w:ind w:firstLine="480" w:firstLineChars="200"/>
        <w:rPr>
          <w:rFonts w:ascii="Times New Roman"/>
          <w:sz w:val="24"/>
          <w:szCs w:val="20"/>
        </w:rPr>
      </w:pPr>
      <w:r>
        <w:rPr>
          <w:rFonts w:ascii="Times New Roman"/>
          <w:sz w:val="24"/>
          <w:szCs w:val="20"/>
        </w:rPr>
        <w:t>项目主要建设内容见表3.1-1，主要建构筑物见表3.1-2。</w:t>
      </w:r>
    </w:p>
    <w:p w14:paraId="2C92A6D3">
      <w:pPr>
        <w:rPr>
          <w:rFonts w:ascii="Times New Roman"/>
          <w:b/>
          <w:sz w:val="24"/>
          <w:szCs w:val="24"/>
        </w:rPr>
      </w:pPr>
      <w:r>
        <w:rPr>
          <w:rFonts w:ascii="Times New Roman"/>
          <w:b/>
          <w:sz w:val="24"/>
          <w:szCs w:val="24"/>
        </w:rPr>
        <w:br w:type="page"/>
      </w:r>
    </w:p>
    <w:p w14:paraId="3061C427">
      <w:pPr>
        <w:spacing w:line="480" w:lineRule="exact"/>
        <w:jc w:val="center"/>
        <w:rPr>
          <w:rFonts w:ascii="Times New Roman"/>
          <w:b/>
          <w:sz w:val="24"/>
          <w:szCs w:val="24"/>
        </w:rPr>
      </w:pPr>
      <w:r>
        <w:rPr>
          <w:rFonts w:ascii="Times New Roman"/>
          <w:b/>
          <w:sz w:val="24"/>
          <w:szCs w:val="24"/>
        </w:rPr>
        <w:t>表3.1-1  项目主要建设内容一览表</w:t>
      </w:r>
    </w:p>
    <w:tbl>
      <w:tblPr>
        <w:tblStyle w:val="84"/>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0"/>
        <w:gridCol w:w="1157"/>
        <w:gridCol w:w="925"/>
        <w:gridCol w:w="5831"/>
      </w:tblGrid>
      <w:tr w14:paraId="7094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75" w:type="pct"/>
            <w:gridSpan w:val="2"/>
            <w:vAlign w:val="center"/>
          </w:tcPr>
          <w:p w14:paraId="64C75037">
            <w:pPr>
              <w:adjustRightInd w:val="0"/>
              <w:jc w:val="center"/>
              <w:rPr>
                <w:rFonts w:ascii="Times New Roman"/>
                <w:kern w:val="0"/>
                <w:sz w:val="21"/>
                <w:szCs w:val="21"/>
              </w:rPr>
            </w:pPr>
            <w:r>
              <w:rPr>
                <w:rFonts w:ascii="Times New Roman"/>
                <w:kern w:val="0"/>
                <w:sz w:val="21"/>
                <w:szCs w:val="21"/>
              </w:rPr>
              <w:t>工程组成</w:t>
            </w:r>
          </w:p>
        </w:tc>
        <w:tc>
          <w:tcPr>
            <w:tcW w:w="4024" w:type="pct"/>
            <w:gridSpan w:val="2"/>
            <w:vAlign w:val="center"/>
          </w:tcPr>
          <w:p w14:paraId="20ACAA7A">
            <w:pPr>
              <w:adjustRightInd w:val="0"/>
              <w:jc w:val="center"/>
              <w:rPr>
                <w:rFonts w:ascii="Times New Roman"/>
                <w:kern w:val="0"/>
                <w:sz w:val="21"/>
                <w:szCs w:val="21"/>
              </w:rPr>
            </w:pPr>
            <w:r>
              <w:rPr>
                <w:rFonts w:ascii="Times New Roman"/>
                <w:kern w:val="0"/>
                <w:sz w:val="21"/>
                <w:szCs w:val="21"/>
              </w:rPr>
              <w:t>建设内容及规模</w:t>
            </w:r>
          </w:p>
        </w:tc>
      </w:tr>
      <w:tr w14:paraId="6119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2" w:hRule="atLeast"/>
          <w:jc w:val="center"/>
        </w:trPr>
        <w:tc>
          <w:tcPr>
            <w:tcW w:w="286" w:type="pct"/>
            <w:vMerge w:val="restart"/>
            <w:vAlign w:val="center"/>
          </w:tcPr>
          <w:p w14:paraId="2F770AB1">
            <w:pPr>
              <w:adjustRightInd w:val="0"/>
              <w:jc w:val="center"/>
              <w:rPr>
                <w:rFonts w:ascii="Times New Roman"/>
                <w:kern w:val="0"/>
                <w:sz w:val="21"/>
                <w:szCs w:val="21"/>
              </w:rPr>
            </w:pPr>
            <w:r>
              <w:rPr>
                <w:rFonts w:ascii="Times New Roman"/>
                <w:kern w:val="0"/>
                <w:sz w:val="21"/>
                <w:szCs w:val="21"/>
              </w:rPr>
              <w:t>主体工程</w:t>
            </w:r>
          </w:p>
        </w:tc>
        <w:tc>
          <w:tcPr>
            <w:tcW w:w="688" w:type="pct"/>
            <w:vAlign w:val="center"/>
          </w:tcPr>
          <w:p w14:paraId="0E1D1AE7">
            <w:pPr>
              <w:adjustRightInd w:val="0"/>
              <w:jc w:val="center"/>
              <w:rPr>
                <w:rFonts w:ascii="Times New Roman"/>
                <w:kern w:val="0"/>
                <w:sz w:val="21"/>
                <w:szCs w:val="21"/>
              </w:rPr>
            </w:pPr>
            <w:r>
              <w:rPr>
                <w:rFonts w:ascii="Times New Roman"/>
                <w:kern w:val="0"/>
                <w:sz w:val="21"/>
                <w:szCs w:val="21"/>
              </w:rPr>
              <w:t>联合厂房</w:t>
            </w:r>
          </w:p>
        </w:tc>
        <w:tc>
          <w:tcPr>
            <w:tcW w:w="4024" w:type="pct"/>
            <w:gridSpan w:val="2"/>
            <w:vAlign w:val="center"/>
          </w:tcPr>
          <w:p w14:paraId="3B65D58B">
            <w:pPr>
              <w:adjustRightInd w:val="0"/>
              <w:jc w:val="center"/>
              <w:rPr>
                <w:rFonts w:ascii="Times New Roman"/>
                <w:kern w:val="0"/>
                <w:sz w:val="21"/>
                <w:szCs w:val="21"/>
              </w:rPr>
            </w:pPr>
            <w:r>
              <w:rPr>
                <w:rFonts w:ascii="Times New Roman"/>
                <w:kern w:val="0"/>
                <w:sz w:val="21"/>
                <w:szCs w:val="21"/>
              </w:rPr>
              <w:t>占地面积106147.47m</w:t>
            </w:r>
            <w:r>
              <w:rPr>
                <w:rFonts w:ascii="Times New Roman"/>
                <w:kern w:val="0"/>
                <w:sz w:val="21"/>
                <w:szCs w:val="21"/>
                <w:vertAlign w:val="superscript"/>
              </w:rPr>
              <w:t>2</w:t>
            </w:r>
            <w:r>
              <w:rPr>
                <w:rFonts w:ascii="Times New Roman"/>
                <w:kern w:val="0"/>
                <w:sz w:val="21"/>
                <w:szCs w:val="21"/>
              </w:rPr>
              <w:t>，建筑面积110298.00m</w:t>
            </w:r>
            <w:r>
              <w:rPr>
                <w:rFonts w:ascii="Times New Roman"/>
                <w:kern w:val="0"/>
                <w:sz w:val="21"/>
                <w:szCs w:val="21"/>
                <w:vertAlign w:val="superscript"/>
              </w:rPr>
              <w:t>2</w:t>
            </w:r>
            <w:r>
              <w:rPr>
                <w:rFonts w:ascii="Times New Roman"/>
                <w:kern w:val="0"/>
                <w:sz w:val="21"/>
                <w:szCs w:val="21"/>
              </w:rPr>
              <w:t>，为</w:t>
            </w:r>
            <w:r>
              <w:rPr>
                <w:rFonts w:hint="eastAsia" w:ascii="Times New Roman"/>
                <w:kern w:val="0"/>
                <w:sz w:val="21"/>
                <w:szCs w:val="21"/>
              </w:rPr>
              <w:t>双</w:t>
            </w:r>
            <w:r>
              <w:rPr>
                <w:rFonts w:ascii="Times New Roman"/>
                <w:kern w:val="0"/>
                <w:sz w:val="21"/>
                <w:szCs w:val="21"/>
              </w:rPr>
              <w:t>层钢结构厂房</w:t>
            </w:r>
            <w:r>
              <w:rPr>
                <w:rFonts w:hint="eastAsia" w:ascii="Times New Roman"/>
                <w:kern w:val="0"/>
                <w:sz w:val="21"/>
                <w:szCs w:val="21"/>
              </w:rPr>
              <w:t>（内置复合夹芯板隔音）</w:t>
            </w:r>
            <w:r>
              <w:rPr>
                <w:rFonts w:ascii="Times New Roman"/>
                <w:kern w:val="0"/>
                <w:sz w:val="21"/>
                <w:szCs w:val="21"/>
              </w:rPr>
              <w:t>，主要包括原料储存和下料、热处理、焊接、表面处理和涂装等生产区，内有局部三层现浇混凝土框架结构生产辅房和局部单层的设备站房。</w:t>
            </w:r>
          </w:p>
        </w:tc>
      </w:tr>
      <w:tr w14:paraId="2176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286" w:type="pct"/>
            <w:vMerge w:val="continue"/>
            <w:vAlign w:val="center"/>
          </w:tcPr>
          <w:p w14:paraId="320F8A3B">
            <w:pPr>
              <w:adjustRightInd w:val="0"/>
              <w:jc w:val="center"/>
              <w:rPr>
                <w:rFonts w:ascii="Times New Roman"/>
                <w:kern w:val="0"/>
                <w:sz w:val="21"/>
                <w:szCs w:val="21"/>
              </w:rPr>
            </w:pPr>
          </w:p>
        </w:tc>
        <w:tc>
          <w:tcPr>
            <w:tcW w:w="688" w:type="pct"/>
            <w:vAlign w:val="center"/>
          </w:tcPr>
          <w:p w14:paraId="7DEAF24E">
            <w:pPr>
              <w:adjustRightInd w:val="0"/>
              <w:jc w:val="center"/>
              <w:rPr>
                <w:rFonts w:ascii="Times New Roman"/>
                <w:kern w:val="0"/>
                <w:sz w:val="21"/>
                <w:szCs w:val="21"/>
              </w:rPr>
            </w:pPr>
            <w:r>
              <w:rPr>
                <w:rFonts w:ascii="Times New Roman"/>
                <w:kern w:val="0"/>
                <w:sz w:val="21"/>
                <w:szCs w:val="21"/>
              </w:rPr>
              <w:t>托辊及装配厂房</w:t>
            </w:r>
          </w:p>
        </w:tc>
        <w:tc>
          <w:tcPr>
            <w:tcW w:w="4024" w:type="pct"/>
            <w:gridSpan w:val="2"/>
            <w:vAlign w:val="center"/>
          </w:tcPr>
          <w:p w14:paraId="06F83C0B">
            <w:pPr>
              <w:adjustRightInd w:val="0"/>
              <w:jc w:val="center"/>
              <w:rPr>
                <w:rFonts w:ascii="Times New Roman"/>
                <w:kern w:val="0"/>
                <w:sz w:val="21"/>
                <w:szCs w:val="21"/>
              </w:rPr>
            </w:pPr>
            <w:r>
              <w:rPr>
                <w:rFonts w:ascii="Times New Roman"/>
                <w:kern w:val="0"/>
                <w:sz w:val="21"/>
                <w:szCs w:val="21"/>
              </w:rPr>
              <w:t>占地面积16885.96m</w:t>
            </w:r>
            <w:r>
              <w:rPr>
                <w:rFonts w:ascii="Times New Roman"/>
                <w:kern w:val="0"/>
                <w:sz w:val="21"/>
                <w:szCs w:val="21"/>
                <w:vertAlign w:val="superscript"/>
              </w:rPr>
              <w:t>2</w:t>
            </w:r>
            <w:r>
              <w:rPr>
                <w:rFonts w:ascii="Times New Roman"/>
                <w:kern w:val="0"/>
                <w:sz w:val="21"/>
                <w:szCs w:val="21"/>
              </w:rPr>
              <w:t>，建筑面积19011.15m</w:t>
            </w:r>
            <w:r>
              <w:rPr>
                <w:rFonts w:ascii="Times New Roman"/>
                <w:kern w:val="0"/>
                <w:sz w:val="21"/>
                <w:szCs w:val="21"/>
                <w:vertAlign w:val="superscript"/>
              </w:rPr>
              <w:t>2</w:t>
            </w:r>
            <w:r>
              <w:rPr>
                <w:rFonts w:ascii="Times New Roman"/>
                <w:kern w:val="0"/>
                <w:sz w:val="21"/>
                <w:szCs w:val="21"/>
              </w:rPr>
              <w:t>，为</w:t>
            </w:r>
            <w:r>
              <w:rPr>
                <w:rFonts w:hint="eastAsia" w:ascii="Times New Roman"/>
                <w:kern w:val="0"/>
                <w:sz w:val="21"/>
                <w:szCs w:val="21"/>
              </w:rPr>
              <w:t>双</w:t>
            </w:r>
            <w:r>
              <w:rPr>
                <w:rFonts w:ascii="Times New Roman"/>
                <w:kern w:val="0"/>
                <w:sz w:val="21"/>
                <w:szCs w:val="21"/>
              </w:rPr>
              <w:t>层钢结构厂房</w:t>
            </w:r>
            <w:r>
              <w:rPr>
                <w:rFonts w:hint="eastAsia" w:ascii="Times New Roman"/>
                <w:kern w:val="0"/>
                <w:sz w:val="21"/>
                <w:szCs w:val="21"/>
              </w:rPr>
              <w:t>（内置复合夹芯板隔音）</w:t>
            </w:r>
            <w:r>
              <w:rPr>
                <w:rFonts w:ascii="Times New Roman"/>
                <w:kern w:val="0"/>
                <w:sz w:val="21"/>
                <w:szCs w:val="21"/>
              </w:rPr>
              <w:t>，主要包括装配调试及托辊生产线，内有局部三层现浇混凝土框架结构生产辅房。</w:t>
            </w:r>
          </w:p>
        </w:tc>
      </w:tr>
      <w:tr w14:paraId="533E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86" w:type="pct"/>
            <w:vMerge w:val="restart"/>
            <w:vAlign w:val="center"/>
          </w:tcPr>
          <w:p w14:paraId="2C476AFE">
            <w:pPr>
              <w:adjustRightInd w:val="0"/>
              <w:jc w:val="center"/>
              <w:rPr>
                <w:rFonts w:ascii="Times New Roman"/>
                <w:kern w:val="0"/>
                <w:sz w:val="21"/>
                <w:szCs w:val="21"/>
              </w:rPr>
            </w:pPr>
            <w:r>
              <w:rPr>
                <w:rFonts w:ascii="Times New Roman"/>
                <w:kern w:val="0"/>
                <w:sz w:val="21"/>
                <w:szCs w:val="21"/>
              </w:rPr>
              <w:t>储运工程</w:t>
            </w:r>
          </w:p>
        </w:tc>
        <w:tc>
          <w:tcPr>
            <w:tcW w:w="688" w:type="pct"/>
            <w:vAlign w:val="center"/>
          </w:tcPr>
          <w:p w14:paraId="45642366">
            <w:pPr>
              <w:adjustRightInd w:val="0"/>
              <w:jc w:val="center"/>
              <w:rPr>
                <w:rFonts w:ascii="Times New Roman"/>
                <w:kern w:val="0"/>
                <w:sz w:val="21"/>
                <w:szCs w:val="21"/>
              </w:rPr>
            </w:pPr>
            <w:r>
              <w:rPr>
                <w:rFonts w:ascii="Times New Roman"/>
                <w:kern w:val="0"/>
                <w:sz w:val="21"/>
                <w:szCs w:val="21"/>
              </w:rPr>
              <w:t>成品堆场</w:t>
            </w:r>
          </w:p>
        </w:tc>
        <w:tc>
          <w:tcPr>
            <w:tcW w:w="4024" w:type="pct"/>
            <w:gridSpan w:val="2"/>
            <w:vAlign w:val="center"/>
          </w:tcPr>
          <w:p w14:paraId="4568C820">
            <w:pPr>
              <w:adjustRightInd w:val="0"/>
              <w:jc w:val="center"/>
              <w:rPr>
                <w:rFonts w:ascii="Times New Roman"/>
                <w:kern w:val="0"/>
                <w:sz w:val="21"/>
                <w:szCs w:val="21"/>
              </w:rPr>
            </w:pPr>
            <w:r>
              <w:rPr>
                <w:rFonts w:ascii="Times New Roman"/>
                <w:kern w:val="0"/>
                <w:sz w:val="21"/>
                <w:szCs w:val="21"/>
              </w:rPr>
              <w:t>占地面积5060.7m</w:t>
            </w:r>
            <w:r>
              <w:rPr>
                <w:rFonts w:ascii="Times New Roman"/>
                <w:kern w:val="0"/>
                <w:sz w:val="21"/>
                <w:szCs w:val="21"/>
                <w:vertAlign w:val="superscript"/>
              </w:rPr>
              <w:t>2</w:t>
            </w:r>
            <w:r>
              <w:rPr>
                <w:rFonts w:ascii="Times New Roman"/>
                <w:kern w:val="0"/>
                <w:sz w:val="21"/>
                <w:szCs w:val="21"/>
              </w:rPr>
              <w:t>，主要用于成品储存。</w:t>
            </w:r>
          </w:p>
        </w:tc>
      </w:tr>
      <w:tr w14:paraId="362F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286" w:type="pct"/>
            <w:vMerge w:val="continue"/>
            <w:vAlign w:val="center"/>
          </w:tcPr>
          <w:p w14:paraId="34EBE880">
            <w:pPr>
              <w:adjustRightInd w:val="0"/>
              <w:jc w:val="center"/>
              <w:rPr>
                <w:rFonts w:ascii="Times New Roman"/>
                <w:kern w:val="0"/>
                <w:sz w:val="21"/>
                <w:szCs w:val="21"/>
              </w:rPr>
            </w:pPr>
          </w:p>
        </w:tc>
        <w:tc>
          <w:tcPr>
            <w:tcW w:w="688" w:type="pct"/>
            <w:vAlign w:val="center"/>
          </w:tcPr>
          <w:p w14:paraId="43CB6EAB">
            <w:pPr>
              <w:adjustRightInd w:val="0"/>
              <w:jc w:val="center"/>
              <w:rPr>
                <w:rFonts w:ascii="Times New Roman"/>
                <w:kern w:val="0"/>
                <w:sz w:val="21"/>
                <w:szCs w:val="21"/>
              </w:rPr>
            </w:pPr>
            <w:r>
              <w:rPr>
                <w:rFonts w:ascii="Times New Roman"/>
                <w:sz w:val="21"/>
                <w:szCs w:val="21"/>
              </w:rPr>
              <w:t>危化库</w:t>
            </w:r>
          </w:p>
        </w:tc>
        <w:tc>
          <w:tcPr>
            <w:tcW w:w="4024" w:type="pct"/>
            <w:gridSpan w:val="2"/>
            <w:vAlign w:val="center"/>
          </w:tcPr>
          <w:p w14:paraId="7C84CB37">
            <w:pPr>
              <w:adjustRightInd w:val="0"/>
              <w:jc w:val="center"/>
              <w:rPr>
                <w:rFonts w:ascii="Times New Roman"/>
                <w:kern w:val="0"/>
                <w:sz w:val="21"/>
                <w:szCs w:val="21"/>
              </w:rPr>
            </w:pPr>
            <w:r>
              <w:rPr>
                <w:rFonts w:ascii="Times New Roman"/>
                <w:kern w:val="0"/>
                <w:sz w:val="21"/>
                <w:szCs w:val="21"/>
              </w:rPr>
              <w:t>占地面积223.98m</w:t>
            </w:r>
            <w:r>
              <w:rPr>
                <w:rFonts w:ascii="Times New Roman"/>
                <w:kern w:val="0"/>
                <w:sz w:val="21"/>
                <w:szCs w:val="21"/>
                <w:vertAlign w:val="superscript"/>
              </w:rPr>
              <w:t>2</w:t>
            </w:r>
            <w:r>
              <w:rPr>
                <w:rFonts w:ascii="Times New Roman"/>
                <w:kern w:val="0"/>
                <w:sz w:val="21"/>
                <w:szCs w:val="21"/>
              </w:rPr>
              <w:t>，建筑面积223.98m</w:t>
            </w:r>
            <w:r>
              <w:rPr>
                <w:rFonts w:ascii="Times New Roman"/>
                <w:kern w:val="0"/>
                <w:sz w:val="21"/>
                <w:szCs w:val="21"/>
                <w:vertAlign w:val="superscript"/>
              </w:rPr>
              <w:t>2</w:t>
            </w:r>
            <w:r>
              <w:rPr>
                <w:rFonts w:ascii="Times New Roman"/>
                <w:kern w:val="0"/>
                <w:sz w:val="21"/>
                <w:szCs w:val="21"/>
              </w:rPr>
              <w:t>，单层混凝土框架结构，主要用于化学品</w:t>
            </w:r>
            <w:r>
              <w:rPr>
                <w:rFonts w:hint="eastAsia" w:ascii="Times New Roman"/>
                <w:kern w:val="0"/>
                <w:sz w:val="21"/>
                <w:szCs w:val="21"/>
              </w:rPr>
              <w:t>（</w:t>
            </w:r>
            <w:r>
              <w:rPr>
                <w:rFonts w:hint="eastAsia" w:ascii="Times New Roman"/>
                <w:sz w:val="21"/>
                <w:szCs w:val="21"/>
              </w:rPr>
              <w:t>油</w:t>
            </w:r>
            <w:r>
              <w:rPr>
                <w:rFonts w:ascii="Times New Roman"/>
                <w:sz w:val="21"/>
                <w:szCs w:val="21"/>
              </w:rPr>
              <w:t>漆</w:t>
            </w:r>
            <w:r>
              <w:rPr>
                <w:rFonts w:hint="eastAsia" w:ascii="Times New Roman"/>
                <w:sz w:val="21"/>
                <w:szCs w:val="21"/>
              </w:rPr>
              <w:t>、稀释剂、水性漆、脱脂剂、硅烷剂等）</w:t>
            </w:r>
            <w:r>
              <w:rPr>
                <w:rFonts w:ascii="Times New Roman"/>
                <w:kern w:val="0"/>
                <w:sz w:val="21"/>
                <w:szCs w:val="21"/>
              </w:rPr>
              <w:t>等辅料储存。</w:t>
            </w:r>
          </w:p>
        </w:tc>
      </w:tr>
      <w:tr w14:paraId="0183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286" w:type="pct"/>
            <w:vMerge w:val="continue"/>
            <w:vAlign w:val="center"/>
          </w:tcPr>
          <w:p w14:paraId="0C14083E">
            <w:pPr>
              <w:adjustRightInd w:val="0"/>
              <w:jc w:val="center"/>
              <w:rPr>
                <w:rFonts w:ascii="Times New Roman"/>
                <w:kern w:val="0"/>
                <w:sz w:val="21"/>
                <w:szCs w:val="21"/>
              </w:rPr>
            </w:pPr>
          </w:p>
        </w:tc>
        <w:tc>
          <w:tcPr>
            <w:tcW w:w="688" w:type="pct"/>
            <w:vAlign w:val="center"/>
          </w:tcPr>
          <w:p w14:paraId="341B614B">
            <w:pPr>
              <w:adjustRightInd w:val="0"/>
              <w:jc w:val="center"/>
              <w:rPr>
                <w:rFonts w:ascii="Times New Roman"/>
                <w:kern w:val="0"/>
                <w:sz w:val="21"/>
                <w:szCs w:val="21"/>
              </w:rPr>
            </w:pPr>
            <w:r>
              <w:rPr>
                <w:rFonts w:ascii="Times New Roman"/>
                <w:kern w:val="0"/>
                <w:sz w:val="21"/>
                <w:szCs w:val="21"/>
              </w:rPr>
              <w:t>液气站</w:t>
            </w:r>
          </w:p>
        </w:tc>
        <w:tc>
          <w:tcPr>
            <w:tcW w:w="4024" w:type="pct"/>
            <w:gridSpan w:val="2"/>
            <w:vAlign w:val="center"/>
          </w:tcPr>
          <w:p w14:paraId="1B135279">
            <w:pPr>
              <w:adjustRightInd w:val="0"/>
              <w:jc w:val="center"/>
              <w:rPr>
                <w:rFonts w:ascii="Times New Roman"/>
                <w:kern w:val="0"/>
                <w:sz w:val="21"/>
                <w:szCs w:val="21"/>
              </w:rPr>
            </w:pPr>
            <w:r>
              <w:rPr>
                <w:rFonts w:ascii="Times New Roman"/>
                <w:kern w:val="0"/>
                <w:sz w:val="21"/>
                <w:szCs w:val="21"/>
              </w:rPr>
              <w:t>占地面积48.42m</w:t>
            </w:r>
            <w:r>
              <w:rPr>
                <w:rFonts w:ascii="Times New Roman"/>
                <w:kern w:val="0"/>
                <w:sz w:val="21"/>
                <w:szCs w:val="21"/>
                <w:vertAlign w:val="superscript"/>
              </w:rPr>
              <w:t>2</w:t>
            </w:r>
            <w:r>
              <w:rPr>
                <w:rFonts w:ascii="Times New Roman"/>
                <w:kern w:val="0"/>
                <w:sz w:val="21"/>
                <w:szCs w:val="21"/>
              </w:rPr>
              <w:t>，建筑面积48.42m</w:t>
            </w:r>
            <w:r>
              <w:rPr>
                <w:rFonts w:ascii="Times New Roman"/>
                <w:kern w:val="0"/>
                <w:sz w:val="21"/>
                <w:szCs w:val="21"/>
                <w:vertAlign w:val="superscript"/>
              </w:rPr>
              <w:t>2</w:t>
            </w:r>
            <w:r>
              <w:rPr>
                <w:rFonts w:ascii="Times New Roman"/>
                <w:kern w:val="0"/>
                <w:sz w:val="21"/>
                <w:szCs w:val="21"/>
              </w:rPr>
              <w:t>，单层混凝土框架结构，布置储罐及汽化装置、减压装置等，主要用于供应生产用氧气、氩气和混合保护气。</w:t>
            </w:r>
          </w:p>
        </w:tc>
      </w:tr>
      <w:tr w14:paraId="7604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 w:hRule="atLeast"/>
          <w:jc w:val="center"/>
        </w:trPr>
        <w:tc>
          <w:tcPr>
            <w:tcW w:w="286" w:type="pct"/>
            <w:vMerge w:val="continue"/>
            <w:vAlign w:val="center"/>
          </w:tcPr>
          <w:p w14:paraId="2AD1DA0A">
            <w:pPr>
              <w:adjustRightInd w:val="0"/>
              <w:jc w:val="center"/>
              <w:rPr>
                <w:rFonts w:ascii="Times New Roman"/>
                <w:kern w:val="0"/>
                <w:sz w:val="21"/>
                <w:szCs w:val="21"/>
              </w:rPr>
            </w:pPr>
          </w:p>
        </w:tc>
        <w:tc>
          <w:tcPr>
            <w:tcW w:w="688" w:type="pct"/>
            <w:vAlign w:val="center"/>
          </w:tcPr>
          <w:p w14:paraId="30179D88">
            <w:pPr>
              <w:adjustRightInd w:val="0"/>
              <w:jc w:val="center"/>
              <w:rPr>
                <w:rFonts w:ascii="Times New Roman"/>
                <w:kern w:val="0"/>
                <w:sz w:val="21"/>
                <w:szCs w:val="21"/>
              </w:rPr>
            </w:pPr>
            <w:r>
              <w:rPr>
                <w:rFonts w:ascii="Times New Roman"/>
                <w:kern w:val="0"/>
                <w:sz w:val="21"/>
                <w:szCs w:val="21"/>
              </w:rPr>
              <w:t>垃圾回收房</w:t>
            </w:r>
          </w:p>
        </w:tc>
        <w:tc>
          <w:tcPr>
            <w:tcW w:w="4024" w:type="pct"/>
            <w:gridSpan w:val="2"/>
            <w:vAlign w:val="center"/>
          </w:tcPr>
          <w:p w14:paraId="348B4D55">
            <w:pPr>
              <w:adjustRightInd w:val="0"/>
              <w:jc w:val="center"/>
              <w:rPr>
                <w:rFonts w:ascii="Times New Roman"/>
                <w:kern w:val="0"/>
                <w:sz w:val="21"/>
                <w:szCs w:val="21"/>
              </w:rPr>
            </w:pPr>
            <w:r>
              <w:rPr>
                <w:rFonts w:ascii="Times New Roman"/>
                <w:kern w:val="0"/>
                <w:sz w:val="21"/>
                <w:szCs w:val="21"/>
              </w:rPr>
              <w:t>建筑面积约为390.30m</w:t>
            </w:r>
            <w:r>
              <w:rPr>
                <w:rFonts w:ascii="Times New Roman"/>
                <w:kern w:val="0"/>
                <w:sz w:val="21"/>
                <w:szCs w:val="21"/>
                <w:vertAlign w:val="superscript"/>
              </w:rPr>
              <w:t>2</w:t>
            </w:r>
            <w:r>
              <w:rPr>
                <w:rFonts w:ascii="Times New Roman"/>
                <w:kern w:val="0"/>
                <w:sz w:val="21"/>
                <w:szCs w:val="21"/>
              </w:rPr>
              <w:t>，主要用于一般固体废物的暂存。</w:t>
            </w:r>
          </w:p>
        </w:tc>
      </w:tr>
      <w:tr w14:paraId="16A0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1F702371">
            <w:pPr>
              <w:adjustRightInd w:val="0"/>
              <w:jc w:val="center"/>
              <w:rPr>
                <w:rFonts w:ascii="Times New Roman"/>
                <w:kern w:val="0"/>
                <w:sz w:val="21"/>
                <w:szCs w:val="21"/>
              </w:rPr>
            </w:pPr>
          </w:p>
        </w:tc>
        <w:tc>
          <w:tcPr>
            <w:tcW w:w="688" w:type="pct"/>
            <w:vAlign w:val="center"/>
          </w:tcPr>
          <w:p w14:paraId="4B1A7C4D">
            <w:pPr>
              <w:adjustRightInd w:val="0"/>
              <w:jc w:val="center"/>
              <w:rPr>
                <w:rFonts w:ascii="Times New Roman"/>
                <w:kern w:val="0"/>
                <w:sz w:val="21"/>
                <w:szCs w:val="21"/>
              </w:rPr>
            </w:pPr>
            <w:r>
              <w:rPr>
                <w:rFonts w:ascii="Times New Roman"/>
                <w:kern w:val="0"/>
                <w:sz w:val="21"/>
                <w:szCs w:val="21"/>
              </w:rPr>
              <w:t>危废库</w:t>
            </w:r>
          </w:p>
        </w:tc>
        <w:tc>
          <w:tcPr>
            <w:tcW w:w="4024" w:type="pct"/>
            <w:gridSpan w:val="2"/>
            <w:vAlign w:val="center"/>
          </w:tcPr>
          <w:p w14:paraId="38A92180">
            <w:pPr>
              <w:adjustRightInd w:val="0"/>
              <w:jc w:val="center"/>
              <w:rPr>
                <w:rFonts w:ascii="Times New Roman"/>
                <w:kern w:val="0"/>
                <w:sz w:val="21"/>
                <w:szCs w:val="21"/>
              </w:rPr>
            </w:pPr>
            <w:r>
              <w:rPr>
                <w:rFonts w:ascii="Times New Roman"/>
                <w:kern w:val="0"/>
                <w:sz w:val="21"/>
                <w:szCs w:val="21"/>
              </w:rPr>
              <w:t>建筑面积约为223.98m</w:t>
            </w:r>
            <w:r>
              <w:rPr>
                <w:rFonts w:ascii="Times New Roman"/>
                <w:kern w:val="0"/>
                <w:sz w:val="21"/>
                <w:szCs w:val="21"/>
                <w:vertAlign w:val="superscript"/>
              </w:rPr>
              <w:t>2</w:t>
            </w:r>
            <w:r>
              <w:rPr>
                <w:rFonts w:ascii="Times New Roman"/>
                <w:kern w:val="0"/>
                <w:sz w:val="21"/>
                <w:szCs w:val="21"/>
              </w:rPr>
              <w:t>，主要用于危险废物的暂存</w:t>
            </w:r>
          </w:p>
        </w:tc>
      </w:tr>
      <w:tr w14:paraId="619D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37BE8DFC">
            <w:pPr>
              <w:adjustRightInd w:val="0"/>
              <w:jc w:val="center"/>
              <w:rPr>
                <w:rFonts w:ascii="Times New Roman"/>
                <w:kern w:val="0"/>
                <w:sz w:val="21"/>
                <w:szCs w:val="21"/>
              </w:rPr>
            </w:pPr>
          </w:p>
        </w:tc>
        <w:tc>
          <w:tcPr>
            <w:tcW w:w="688" w:type="pct"/>
            <w:vAlign w:val="center"/>
          </w:tcPr>
          <w:p w14:paraId="15191DCA">
            <w:pPr>
              <w:adjustRightInd w:val="0"/>
              <w:jc w:val="center"/>
              <w:rPr>
                <w:rFonts w:ascii="Times New Roman"/>
                <w:kern w:val="0"/>
                <w:sz w:val="21"/>
                <w:szCs w:val="21"/>
              </w:rPr>
            </w:pPr>
            <w:r>
              <w:rPr>
                <w:rFonts w:hint="eastAsia" w:ascii="Times New Roman"/>
                <w:kern w:val="0"/>
                <w:sz w:val="21"/>
                <w:szCs w:val="21"/>
              </w:rPr>
              <w:t>运输</w:t>
            </w:r>
          </w:p>
        </w:tc>
        <w:tc>
          <w:tcPr>
            <w:tcW w:w="4024" w:type="pct"/>
            <w:gridSpan w:val="2"/>
            <w:vAlign w:val="center"/>
          </w:tcPr>
          <w:p w14:paraId="6EB096A8">
            <w:pPr>
              <w:adjustRightInd w:val="0"/>
              <w:jc w:val="center"/>
              <w:rPr>
                <w:rFonts w:ascii="Times New Roman"/>
                <w:kern w:val="0"/>
                <w:sz w:val="21"/>
                <w:szCs w:val="21"/>
              </w:rPr>
            </w:pPr>
            <w:r>
              <w:rPr>
                <w:rFonts w:ascii="Times New Roman"/>
                <w:kern w:val="0"/>
                <w:sz w:val="21"/>
                <w:szCs w:val="21"/>
              </w:rPr>
              <w:t>原料及产品采用国五及以上标准车辆或新能源汽车运输进厂及出厂，车间内物料转运采用叉车。</w:t>
            </w:r>
          </w:p>
        </w:tc>
      </w:tr>
      <w:tr w14:paraId="59CB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286" w:type="pct"/>
            <w:vMerge w:val="restart"/>
            <w:vAlign w:val="center"/>
          </w:tcPr>
          <w:p w14:paraId="14FF3216">
            <w:pPr>
              <w:adjustRightInd w:val="0"/>
              <w:jc w:val="center"/>
              <w:rPr>
                <w:rFonts w:ascii="Times New Roman"/>
                <w:kern w:val="0"/>
                <w:sz w:val="21"/>
                <w:szCs w:val="21"/>
              </w:rPr>
            </w:pPr>
            <w:r>
              <w:rPr>
                <w:rFonts w:ascii="Times New Roman"/>
                <w:kern w:val="0"/>
                <w:sz w:val="21"/>
                <w:szCs w:val="21"/>
              </w:rPr>
              <w:t>辅助工程</w:t>
            </w:r>
          </w:p>
        </w:tc>
        <w:tc>
          <w:tcPr>
            <w:tcW w:w="688" w:type="pct"/>
            <w:vAlign w:val="center"/>
          </w:tcPr>
          <w:p w14:paraId="63744C7F">
            <w:pPr>
              <w:adjustRightInd w:val="0"/>
              <w:jc w:val="center"/>
              <w:rPr>
                <w:rFonts w:ascii="Times New Roman"/>
                <w:kern w:val="0"/>
                <w:sz w:val="21"/>
                <w:szCs w:val="21"/>
              </w:rPr>
            </w:pPr>
            <w:r>
              <w:rPr>
                <w:rFonts w:ascii="Times New Roman"/>
                <w:kern w:val="0"/>
                <w:sz w:val="21"/>
                <w:szCs w:val="21"/>
              </w:rPr>
              <w:t>研发中心</w:t>
            </w:r>
          </w:p>
        </w:tc>
        <w:tc>
          <w:tcPr>
            <w:tcW w:w="4024" w:type="pct"/>
            <w:gridSpan w:val="2"/>
            <w:vAlign w:val="center"/>
          </w:tcPr>
          <w:p w14:paraId="7AD11993">
            <w:pPr>
              <w:adjustRightInd w:val="0"/>
              <w:jc w:val="center"/>
              <w:rPr>
                <w:rFonts w:ascii="Times New Roman"/>
                <w:kern w:val="0"/>
                <w:sz w:val="21"/>
                <w:szCs w:val="21"/>
              </w:rPr>
            </w:pPr>
            <w:r>
              <w:rPr>
                <w:rFonts w:ascii="Times New Roman"/>
                <w:kern w:val="0"/>
                <w:sz w:val="21"/>
                <w:szCs w:val="21"/>
              </w:rPr>
              <w:t>占地面积2579.60m</w:t>
            </w:r>
            <w:r>
              <w:rPr>
                <w:rFonts w:ascii="Times New Roman"/>
                <w:kern w:val="0"/>
                <w:sz w:val="21"/>
                <w:szCs w:val="21"/>
                <w:vertAlign w:val="superscript"/>
              </w:rPr>
              <w:t>2</w:t>
            </w:r>
            <w:r>
              <w:rPr>
                <w:rFonts w:ascii="Times New Roman"/>
                <w:kern w:val="0"/>
                <w:sz w:val="21"/>
                <w:szCs w:val="21"/>
              </w:rPr>
              <w:t>，建筑面积8419.44m</w:t>
            </w:r>
            <w:r>
              <w:rPr>
                <w:rFonts w:ascii="Times New Roman"/>
                <w:kern w:val="0"/>
                <w:sz w:val="21"/>
                <w:szCs w:val="21"/>
                <w:vertAlign w:val="superscript"/>
              </w:rPr>
              <w:t>2</w:t>
            </w:r>
            <w:r>
              <w:rPr>
                <w:rFonts w:ascii="Times New Roman"/>
                <w:kern w:val="0"/>
                <w:sz w:val="21"/>
                <w:szCs w:val="21"/>
              </w:rPr>
              <w:t>，5层混凝土框架结构。主要用于行政办公、</w:t>
            </w:r>
            <w:r>
              <w:rPr>
                <w:rFonts w:hint="eastAsia" w:ascii="Times New Roman"/>
                <w:kern w:val="0"/>
                <w:sz w:val="21"/>
                <w:szCs w:val="21"/>
              </w:rPr>
              <w:t>技术</w:t>
            </w:r>
            <w:r>
              <w:rPr>
                <w:rFonts w:ascii="Times New Roman"/>
                <w:kern w:val="0"/>
                <w:sz w:val="21"/>
                <w:szCs w:val="21"/>
              </w:rPr>
              <w:t>研发</w:t>
            </w:r>
            <w:r>
              <w:rPr>
                <w:rFonts w:hint="eastAsia" w:ascii="Times New Roman"/>
                <w:kern w:val="0"/>
                <w:sz w:val="21"/>
                <w:szCs w:val="21"/>
              </w:rPr>
              <w:t>、展厅</w:t>
            </w:r>
            <w:r>
              <w:rPr>
                <w:rFonts w:ascii="Times New Roman"/>
                <w:kern w:val="0"/>
                <w:sz w:val="21"/>
                <w:szCs w:val="21"/>
              </w:rPr>
              <w:t>等</w:t>
            </w:r>
            <w:r>
              <w:rPr>
                <w:rFonts w:hint="eastAsia" w:ascii="Times New Roman"/>
                <w:kern w:val="0"/>
                <w:sz w:val="21"/>
                <w:szCs w:val="21"/>
              </w:rPr>
              <w:t>（不含实验）</w:t>
            </w:r>
            <w:r>
              <w:rPr>
                <w:rFonts w:ascii="Times New Roman"/>
                <w:kern w:val="0"/>
                <w:sz w:val="21"/>
                <w:szCs w:val="21"/>
              </w:rPr>
              <w:t>。</w:t>
            </w:r>
          </w:p>
        </w:tc>
      </w:tr>
      <w:tr w14:paraId="6C49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286" w:type="pct"/>
            <w:vMerge w:val="continue"/>
            <w:vAlign w:val="center"/>
          </w:tcPr>
          <w:p w14:paraId="561CBCBF">
            <w:pPr>
              <w:adjustRightInd w:val="0"/>
              <w:jc w:val="center"/>
              <w:rPr>
                <w:rFonts w:ascii="Times New Roman"/>
                <w:kern w:val="0"/>
                <w:sz w:val="21"/>
                <w:szCs w:val="21"/>
              </w:rPr>
            </w:pPr>
          </w:p>
        </w:tc>
        <w:tc>
          <w:tcPr>
            <w:tcW w:w="688" w:type="pct"/>
            <w:vAlign w:val="center"/>
          </w:tcPr>
          <w:p w14:paraId="24C32265">
            <w:pPr>
              <w:adjustRightInd w:val="0"/>
              <w:jc w:val="center"/>
              <w:rPr>
                <w:rFonts w:ascii="Times New Roman"/>
                <w:kern w:val="0"/>
                <w:sz w:val="21"/>
                <w:szCs w:val="21"/>
              </w:rPr>
            </w:pPr>
            <w:r>
              <w:rPr>
                <w:rFonts w:ascii="Times New Roman"/>
                <w:kern w:val="0"/>
                <w:sz w:val="21"/>
                <w:szCs w:val="21"/>
              </w:rPr>
              <w:t>倒班宿舍</w:t>
            </w:r>
          </w:p>
        </w:tc>
        <w:tc>
          <w:tcPr>
            <w:tcW w:w="4024" w:type="pct"/>
            <w:gridSpan w:val="2"/>
            <w:vAlign w:val="center"/>
          </w:tcPr>
          <w:p w14:paraId="145049D5">
            <w:pPr>
              <w:adjustRightInd w:val="0"/>
              <w:jc w:val="center"/>
              <w:rPr>
                <w:rFonts w:ascii="Times New Roman"/>
                <w:kern w:val="0"/>
                <w:sz w:val="21"/>
                <w:szCs w:val="21"/>
              </w:rPr>
            </w:pPr>
            <w:r>
              <w:rPr>
                <w:rFonts w:ascii="Times New Roman"/>
                <w:kern w:val="0"/>
                <w:sz w:val="21"/>
                <w:szCs w:val="21"/>
              </w:rPr>
              <w:t>占地面积2238.90m</w:t>
            </w:r>
            <w:r>
              <w:rPr>
                <w:rFonts w:ascii="Times New Roman"/>
                <w:kern w:val="0"/>
                <w:sz w:val="21"/>
                <w:szCs w:val="21"/>
                <w:vertAlign w:val="superscript"/>
              </w:rPr>
              <w:t>2</w:t>
            </w:r>
            <w:r>
              <w:rPr>
                <w:rFonts w:ascii="Times New Roman"/>
                <w:kern w:val="0"/>
                <w:sz w:val="21"/>
                <w:szCs w:val="21"/>
              </w:rPr>
              <w:t>，建筑面积10604.01m</w:t>
            </w:r>
            <w:r>
              <w:rPr>
                <w:rFonts w:ascii="Times New Roman"/>
                <w:kern w:val="0"/>
                <w:sz w:val="21"/>
                <w:szCs w:val="21"/>
                <w:vertAlign w:val="superscript"/>
              </w:rPr>
              <w:t>2</w:t>
            </w:r>
            <w:r>
              <w:rPr>
                <w:rFonts w:ascii="Times New Roman"/>
                <w:kern w:val="0"/>
                <w:sz w:val="21"/>
                <w:szCs w:val="21"/>
              </w:rPr>
              <w:t>，5层混凝土框架结构。</w:t>
            </w:r>
          </w:p>
        </w:tc>
      </w:tr>
      <w:tr w14:paraId="0AEF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86" w:type="pct"/>
            <w:vMerge w:val="continue"/>
            <w:vAlign w:val="center"/>
          </w:tcPr>
          <w:p w14:paraId="3656DB04">
            <w:pPr>
              <w:adjustRightInd w:val="0"/>
              <w:jc w:val="center"/>
              <w:rPr>
                <w:rFonts w:ascii="Times New Roman"/>
                <w:kern w:val="0"/>
                <w:sz w:val="21"/>
                <w:szCs w:val="21"/>
              </w:rPr>
            </w:pPr>
          </w:p>
        </w:tc>
        <w:tc>
          <w:tcPr>
            <w:tcW w:w="688" w:type="pct"/>
            <w:vAlign w:val="center"/>
          </w:tcPr>
          <w:p w14:paraId="66FF880D">
            <w:pPr>
              <w:adjustRightInd w:val="0"/>
              <w:jc w:val="center"/>
              <w:rPr>
                <w:rFonts w:ascii="Times New Roman"/>
                <w:kern w:val="0"/>
                <w:sz w:val="21"/>
                <w:szCs w:val="21"/>
              </w:rPr>
            </w:pPr>
            <w:r>
              <w:rPr>
                <w:rFonts w:ascii="Times New Roman"/>
                <w:kern w:val="0"/>
                <w:sz w:val="21"/>
                <w:szCs w:val="21"/>
              </w:rPr>
              <w:t>纯水间</w:t>
            </w:r>
          </w:p>
        </w:tc>
        <w:tc>
          <w:tcPr>
            <w:tcW w:w="4024" w:type="pct"/>
            <w:gridSpan w:val="2"/>
            <w:vAlign w:val="center"/>
          </w:tcPr>
          <w:p w14:paraId="521C5737">
            <w:pPr>
              <w:adjustRightInd w:val="0"/>
              <w:jc w:val="center"/>
              <w:rPr>
                <w:rFonts w:ascii="Times New Roman"/>
                <w:kern w:val="0"/>
                <w:sz w:val="21"/>
                <w:szCs w:val="21"/>
              </w:rPr>
            </w:pPr>
            <w:r>
              <w:rPr>
                <w:rFonts w:hint="eastAsia"/>
                <w:sz w:val="21"/>
                <w:szCs w:val="21"/>
              </w:rPr>
              <w:t>位于联合厂房北侧，</w:t>
            </w:r>
            <w:r>
              <w:rPr>
                <w:rFonts w:ascii="Times New Roman"/>
                <w:kern w:val="0"/>
                <w:sz w:val="21"/>
                <w:szCs w:val="21"/>
              </w:rPr>
              <w:t>占地面积229.36m</w:t>
            </w:r>
            <w:r>
              <w:rPr>
                <w:rFonts w:ascii="Times New Roman"/>
                <w:kern w:val="0"/>
                <w:sz w:val="21"/>
                <w:szCs w:val="21"/>
                <w:vertAlign w:val="superscript"/>
              </w:rPr>
              <w:t>2</w:t>
            </w:r>
            <w:r>
              <w:rPr>
                <w:rFonts w:ascii="Times New Roman"/>
                <w:kern w:val="0"/>
                <w:sz w:val="21"/>
                <w:szCs w:val="21"/>
              </w:rPr>
              <w:t>，建筑面积229.36m</w:t>
            </w:r>
            <w:r>
              <w:rPr>
                <w:rFonts w:ascii="Times New Roman"/>
                <w:kern w:val="0"/>
                <w:sz w:val="21"/>
                <w:szCs w:val="21"/>
                <w:vertAlign w:val="superscript"/>
              </w:rPr>
              <w:t>2</w:t>
            </w:r>
            <w:r>
              <w:rPr>
                <w:rFonts w:ascii="Times New Roman"/>
                <w:kern w:val="0"/>
                <w:sz w:val="21"/>
                <w:szCs w:val="21"/>
              </w:rPr>
              <w:t>，单层混凝土框架结构。采用反渗透工艺制备纯水</w:t>
            </w:r>
          </w:p>
        </w:tc>
      </w:tr>
      <w:tr w14:paraId="0BC9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75FFFFCE">
            <w:pPr>
              <w:adjustRightInd w:val="0"/>
              <w:jc w:val="center"/>
              <w:rPr>
                <w:rFonts w:ascii="Times New Roman"/>
                <w:kern w:val="0"/>
                <w:sz w:val="21"/>
                <w:szCs w:val="21"/>
              </w:rPr>
            </w:pPr>
          </w:p>
        </w:tc>
        <w:tc>
          <w:tcPr>
            <w:tcW w:w="688" w:type="pct"/>
            <w:vAlign w:val="center"/>
          </w:tcPr>
          <w:p w14:paraId="1D98F410">
            <w:pPr>
              <w:adjustRightInd w:val="0"/>
              <w:jc w:val="center"/>
              <w:rPr>
                <w:rFonts w:ascii="Times New Roman"/>
                <w:kern w:val="0"/>
                <w:sz w:val="21"/>
                <w:szCs w:val="21"/>
              </w:rPr>
            </w:pPr>
            <w:r>
              <w:rPr>
                <w:rFonts w:ascii="Times New Roman"/>
                <w:kern w:val="0"/>
                <w:sz w:val="21"/>
                <w:szCs w:val="21"/>
              </w:rPr>
              <w:t>车间变电所</w:t>
            </w:r>
          </w:p>
        </w:tc>
        <w:tc>
          <w:tcPr>
            <w:tcW w:w="4024" w:type="pct"/>
            <w:gridSpan w:val="2"/>
            <w:vAlign w:val="center"/>
          </w:tcPr>
          <w:p w14:paraId="2C7D71DA">
            <w:pPr>
              <w:adjustRightInd w:val="0"/>
              <w:jc w:val="center"/>
              <w:rPr>
                <w:rFonts w:ascii="Times New Roman"/>
                <w:kern w:val="0"/>
                <w:sz w:val="21"/>
                <w:szCs w:val="21"/>
              </w:rPr>
            </w:pPr>
            <w:r>
              <w:rPr>
                <w:rFonts w:ascii="Times New Roman"/>
                <w:kern w:val="0"/>
                <w:sz w:val="21"/>
                <w:szCs w:val="21"/>
              </w:rPr>
              <w:t>占地面积294.03m</w:t>
            </w:r>
            <w:r>
              <w:rPr>
                <w:rFonts w:ascii="Times New Roman"/>
                <w:kern w:val="0"/>
                <w:sz w:val="21"/>
                <w:szCs w:val="21"/>
                <w:vertAlign w:val="superscript"/>
              </w:rPr>
              <w:t>2</w:t>
            </w:r>
            <w:r>
              <w:rPr>
                <w:rFonts w:ascii="Times New Roman"/>
                <w:kern w:val="0"/>
                <w:sz w:val="21"/>
                <w:szCs w:val="21"/>
              </w:rPr>
              <w:t>，建筑面积294.03m</w:t>
            </w:r>
            <w:r>
              <w:rPr>
                <w:rFonts w:ascii="Times New Roman"/>
                <w:kern w:val="0"/>
                <w:sz w:val="21"/>
                <w:szCs w:val="21"/>
                <w:vertAlign w:val="superscript"/>
              </w:rPr>
              <w:t>2</w:t>
            </w:r>
            <w:r>
              <w:rPr>
                <w:rFonts w:ascii="Times New Roman"/>
                <w:kern w:val="0"/>
                <w:sz w:val="21"/>
                <w:szCs w:val="21"/>
              </w:rPr>
              <w:t>，单层混凝土框架结构。</w:t>
            </w:r>
          </w:p>
        </w:tc>
      </w:tr>
      <w:tr w14:paraId="1E76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73365C53">
            <w:pPr>
              <w:adjustRightInd w:val="0"/>
              <w:jc w:val="center"/>
              <w:rPr>
                <w:rFonts w:ascii="Times New Roman"/>
                <w:kern w:val="0"/>
                <w:sz w:val="21"/>
                <w:szCs w:val="21"/>
              </w:rPr>
            </w:pPr>
          </w:p>
        </w:tc>
        <w:tc>
          <w:tcPr>
            <w:tcW w:w="688" w:type="pct"/>
            <w:vAlign w:val="center"/>
          </w:tcPr>
          <w:p w14:paraId="400B7813">
            <w:pPr>
              <w:adjustRightInd w:val="0"/>
              <w:jc w:val="center"/>
              <w:rPr>
                <w:rFonts w:ascii="Times New Roman"/>
                <w:kern w:val="0"/>
                <w:sz w:val="21"/>
                <w:szCs w:val="21"/>
              </w:rPr>
            </w:pPr>
            <w:r>
              <w:rPr>
                <w:rFonts w:ascii="Times New Roman"/>
                <w:kern w:val="0"/>
                <w:sz w:val="21"/>
                <w:szCs w:val="21"/>
              </w:rPr>
              <w:t>污水处理站</w:t>
            </w:r>
          </w:p>
        </w:tc>
        <w:tc>
          <w:tcPr>
            <w:tcW w:w="4024" w:type="pct"/>
            <w:gridSpan w:val="2"/>
            <w:vAlign w:val="center"/>
          </w:tcPr>
          <w:p w14:paraId="354292EF">
            <w:pPr>
              <w:adjustRightInd w:val="0"/>
              <w:jc w:val="center"/>
              <w:rPr>
                <w:rFonts w:ascii="Times New Roman"/>
                <w:kern w:val="0"/>
                <w:sz w:val="21"/>
                <w:szCs w:val="21"/>
              </w:rPr>
            </w:pPr>
            <w:r>
              <w:rPr>
                <w:rFonts w:ascii="Times New Roman"/>
                <w:kern w:val="0"/>
                <w:sz w:val="21"/>
                <w:szCs w:val="21"/>
              </w:rPr>
              <w:t>占地面积354.78m</w:t>
            </w:r>
            <w:r>
              <w:rPr>
                <w:rFonts w:ascii="Times New Roman"/>
                <w:kern w:val="0"/>
                <w:sz w:val="21"/>
                <w:szCs w:val="21"/>
                <w:vertAlign w:val="superscript"/>
              </w:rPr>
              <w:t>2</w:t>
            </w:r>
            <w:r>
              <w:rPr>
                <w:rFonts w:ascii="Times New Roman"/>
                <w:kern w:val="0"/>
                <w:sz w:val="21"/>
                <w:szCs w:val="21"/>
              </w:rPr>
              <w:t>，建筑面积354.78m</w:t>
            </w:r>
            <w:r>
              <w:rPr>
                <w:rFonts w:ascii="Times New Roman"/>
                <w:kern w:val="0"/>
                <w:sz w:val="21"/>
                <w:szCs w:val="21"/>
                <w:vertAlign w:val="superscript"/>
              </w:rPr>
              <w:t>2</w:t>
            </w:r>
            <w:r>
              <w:rPr>
                <w:rFonts w:ascii="Times New Roman"/>
                <w:kern w:val="0"/>
                <w:sz w:val="21"/>
                <w:szCs w:val="21"/>
              </w:rPr>
              <w:t>，单层钢筋砼框架结构。</w:t>
            </w:r>
            <w:r>
              <w:rPr>
                <w:rFonts w:ascii="Times New Roman"/>
                <w:sz w:val="21"/>
                <w:szCs w:val="21"/>
              </w:rPr>
              <w:t>处理规模为</w:t>
            </w:r>
            <w:r>
              <w:rPr>
                <w:rFonts w:hint="eastAsia" w:ascii="Times New Roman"/>
                <w:sz w:val="21"/>
                <w:szCs w:val="21"/>
              </w:rPr>
              <w:t>6</w:t>
            </w:r>
            <w:r>
              <w:rPr>
                <w:rFonts w:ascii="Times New Roman"/>
                <w:sz w:val="21"/>
                <w:szCs w:val="21"/>
              </w:rPr>
              <w:t>m</w:t>
            </w:r>
            <w:r>
              <w:rPr>
                <w:rFonts w:ascii="Times New Roman"/>
                <w:sz w:val="21"/>
                <w:szCs w:val="21"/>
                <w:vertAlign w:val="superscript"/>
              </w:rPr>
              <w:t>3</w:t>
            </w:r>
            <w:r>
              <w:rPr>
                <w:rFonts w:ascii="Times New Roman"/>
                <w:sz w:val="21"/>
                <w:szCs w:val="21"/>
              </w:rPr>
              <w:t>/</w:t>
            </w:r>
            <w:r>
              <w:rPr>
                <w:rFonts w:hint="eastAsia" w:ascii="Times New Roman"/>
                <w:sz w:val="21"/>
                <w:szCs w:val="21"/>
              </w:rPr>
              <w:t>h</w:t>
            </w:r>
            <w:r>
              <w:rPr>
                <w:rFonts w:ascii="Times New Roman"/>
                <w:sz w:val="21"/>
                <w:szCs w:val="21"/>
              </w:rPr>
              <w:t>。</w:t>
            </w:r>
            <w:r>
              <w:rPr>
                <w:rFonts w:hint="eastAsia" w:ascii="Times New Roman"/>
                <w:sz w:val="21"/>
                <w:szCs w:val="21"/>
              </w:rPr>
              <w:t>处理工艺：</w:t>
            </w:r>
            <w:r>
              <w:rPr>
                <w:rFonts w:ascii="Times New Roman"/>
                <w:sz w:val="21"/>
                <w:szCs w:val="21"/>
              </w:rPr>
              <w:t>“反应斜管沉淀槽</w:t>
            </w:r>
            <w:r>
              <w:rPr>
                <w:rFonts w:hint="eastAsia" w:ascii="Times New Roman"/>
                <w:sz w:val="21"/>
                <w:szCs w:val="21"/>
              </w:rPr>
              <w:t>预处理+</w:t>
            </w:r>
            <w:r>
              <w:rPr>
                <w:rFonts w:ascii="Times New Roman"/>
                <w:sz w:val="21"/>
                <w:szCs w:val="21"/>
              </w:rPr>
              <w:t>一体化气浮槽+综合反应斜管沉淀槽+综合芬顿反应槽+多介质过滤器+活性炭过滤器”</w:t>
            </w:r>
            <w:r>
              <w:rPr>
                <w:rFonts w:hint="eastAsia" w:ascii="Times New Roman"/>
                <w:sz w:val="21"/>
                <w:szCs w:val="21"/>
              </w:rPr>
              <w:t>。</w:t>
            </w:r>
          </w:p>
        </w:tc>
      </w:tr>
      <w:tr w14:paraId="7DAB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286" w:type="pct"/>
            <w:vMerge w:val="continue"/>
            <w:vAlign w:val="center"/>
          </w:tcPr>
          <w:p w14:paraId="70859928">
            <w:pPr>
              <w:adjustRightInd w:val="0"/>
              <w:jc w:val="center"/>
              <w:rPr>
                <w:rFonts w:ascii="Times New Roman"/>
                <w:kern w:val="0"/>
                <w:sz w:val="21"/>
                <w:szCs w:val="21"/>
              </w:rPr>
            </w:pPr>
          </w:p>
        </w:tc>
        <w:tc>
          <w:tcPr>
            <w:tcW w:w="688" w:type="pct"/>
            <w:vAlign w:val="center"/>
          </w:tcPr>
          <w:p w14:paraId="45FD8446">
            <w:pPr>
              <w:adjustRightInd w:val="0"/>
              <w:jc w:val="center"/>
              <w:rPr>
                <w:rFonts w:ascii="Times New Roman"/>
                <w:kern w:val="0"/>
                <w:sz w:val="21"/>
                <w:szCs w:val="21"/>
              </w:rPr>
            </w:pPr>
            <w:r>
              <w:rPr>
                <w:rFonts w:ascii="Times New Roman"/>
                <w:kern w:val="0"/>
                <w:sz w:val="21"/>
                <w:szCs w:val="21"/>
              </w:rPr>
              <w:t>消防水池及水泵房</w:t>
            </w:r>
          </w:p>
        </w:tc>
        <w:tc>
          <w:tcPr>
            <w:tcW w:w="4024" w:type="pct"/>
            <w:gridSpan w:val="2"/>
            <w:vAlign w:val="center"/>
          </w:tcPr>
          <w:p w14:paraId="0678B52E">
            <w:pPr>
              <w:adjustRightInd w:val="0"/>
              <w:jc w:val="center"/>
              <w:rPr>
                <w:rFonts w:ascii="Times New Roman"/>
                <w:kern w:val="0"/>
                <w:sz w:val="21"/>
                <w:szCs w:val="21"/>
              </w:rPr>
            </w:pPr>
            <w:r>
              <w:rPr>
                <w:rFonts w:ascii="Times New Roman"/>
                <w:kern w:val="0"/>
                <w:sz w:val="21"/>
                <w:szCs w:val="21"/>
              </w:rPr>
              <w:t>占地面积672.84m</w:t>
            </w:r>
            <w:r>
              <w:rPr>
                <w:rFonts w:ascii="Times New Roman"/>
                <w:kern w:val="0"/>
                <w:sz w:val="21"/>
                <w:szCs w:val="21"/>
                <w:vertAlign w:val="superscript"/>
              </w:rPr>
              <w:t>2</w:t>
            </w:r>
            <w:r>
              <w:rPr>
                <w:rFonts w:ascii="Times New Roman"/>
                <w:kern w:val="0"/>
                <w:sz w:val="21"/>
                <w:szCs w:val="21"/>
              </w:rPr>
              <w:t>，建筑面积200m</w:t>
            </w:r>
            <w:r>
              <w:rPr>
                <w:rFonts w:ascii="Times New Roman"/>
                <w:kern w:val="0"/>
                <w:sz w:val="21"/>
                <w:szCs w:val="21"/>
                <w:vertAlign w:val="superscript"/>
              </w:rPr>
              <w:t>2</w:t>
            </w:r>
            <w:r>
              <w:rPr>
                <w:rFonts w:ascii="Times New Roman"/>
                <w:kern w:val="0"/>
                <w:sz w:val="21"/>
                <w:szCs w:val="21"/>
              </w:rPr>
              <w:t>，单层混凝土框架结构。</w:t>
            </w:r>
          </w:p>
        </w:tc>
      </w:tr>
      <w:tr w14:paraId="41C3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4951E24B">
            <w:pPr>
              <w:adjustRightInd w:val="0"/>
              <w:jc w:val="center"/>
              <w:rPr>
                <w:rFonts w:ascii="Times New Roman"/>
                <w:kern w:val="0"/>
                <w:sz w:val="21"/>
                <w:szCs w:val="21"/>
              </w:rPr>
            </w:pPr>
          </w:p>
        </w:tc>
        <w:tc>
          <w:tcPr>
            <w:tcW w:w="688" w:type="pct"/>
            <w:vAlign w:val="center"/>
          </w:tcPr>
          <w:p w14:paraId="78889A9D">
            <w:pPr>
              <w:adjustRightInd w:val="0"/>
              <w:jc w:val="center"/>
              <w:rPr>
                <w:rFonts w:ascii="Times New Roman"/>
                <w:kern w:val="0"/>
                <w:sz w:val="21"/>
                <w:szCs w:val="21"/>
              </w:rPr>
            </w:pPr>
            <w:r>
              <w:rPr>
                <w:rFonts w:ascii="Times New Roman"/>
                <w:kern w:val="0"/>
                <w:sz w:val="21"/>
                <w:szCs w:val="21"/>
              </w:rPr>
              <w:t>食堂</w:t>
            </w:r>
          </w:p>
        </w:tc>
        <w:tc>
          <w:tcPr>
            <w:tcW w:w="4024" w:type="pct"/>
            <w:gridSpan w:val="2"/>
            <w:vAlign w:val="center"/>
          </w:tcPr>
          <w:p w14:paraId="1884CAD2">
            <w:pPr>
              <w:adjustRightInd w:val="0"/>
              <w:jc w:val="center"/>
              <w:rPr>
                <w:rFonts w:ascii="Times New Roman"/>
                <w:kern w:val="0"/>
                <w:sz w:val="21"/>
                <w:szCs w:val="21"/>
              </w:rPr>
            </w:pPr>
            <w:r>
              <w:rPr>
                <w:rFonts w:ascii="Times New Roman"/>
                <w:kern w:val="0"/>
                <w:sz w:val="21"/>
                <w:szCs w:val="21"/>
              </w:rPr>
              <w:t>位于研发楼东侧，占地面积1390.39m</w:t>
            </w:r>
            <w:r>
              <w:rPr>
                <w:rFonts w:ascii="Times New Roman"/>
                <w:kern w:val="0"/>
                <w:sz w:val="21"/>
                <w:szCs w:val="21"/>
                <w:vertAlign w:val="superscript"/>
              </w:rPr>
              <w:t>2</w:t>
            </w:r>
            <w:r>
              <w:rPr>
                <w:rFonts w:ascii="Times New Roman"/>
                <w:kern w:val="0"/>
                <w:sz w:val="21"/>
                <w:szCs w:val="21"/>
              </w:rPr>
              <w:t>，建筑面积4313.25m</w:t>
            </w:r>
            <w:r>
              <w:rPr>
                <w:rFonts w:ascii="Times New Roman"/>
                <w:kern w:val="0"/>
                <w:sz w:val="21"/>
                <w:szCs w:val="21"/>
                <w:vertAlign w:val="superscript"/>
              </w:rPr>
              <w:t>2</w:t>
            </w:r>
            <w:r>
              <w:rPr>
                <w:rFonts w:ascii="Times New Roman"/>
                <w:kern w:val="0"/>
                <w:sz w:val="21"/>
                <w:szCs w:val="21"/>
              </w:rPr>
              <w:t>，可供应600人就餐。</w:t>
            </w:r>
          </w:p>
        </w:tc>
      </w:tr>
      <w:tr w14:paraId="3794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286" w:type="pct"/>
            <w:vMerge w:val="continue"/>
            <w:vAlign w:val="center"/>
          </w:tcPr>
          <w:p w14:paraId="207B0E7B">
            <w:pPr>
              <w:adjustRightInd w:val="0"/>
              <w:jc w:val="center"/>
              <w:rPr>
                <w:rFonts w:ascii="Times New Roman"/>
                <w:kern w:val="0"/>
                <w:sz w:val="21"/>
                <w:szCs w:val="21"/>
              </w:rPr>
            </w:pPr>
          </w:p>
        </w:tc>
        <w:tc>
          <w:tcPr>
            <w:tcW w:w="688" w:type="pct"/>
            <w:shd w:val="clear" w:color="auto" w:fill="auto"/>
            <w:vAlign w:val="center"/>
          </w:tcPr>
          <w:p w14:paraId="0A279415">
            <w:pPr>
              <w:jc w:val="center"/>
              <w:rPr>
                <w:rFonts w:ascii="Times New Roman"/>
                <w:sz w:val="21"/>
                <w:szCs w:val="21"/>
              </w:rPr>
            </w:pPr>
            <w:r>
              <w:rPr>
                <w:rFonts w:hint="eastAsia"/>
                <w:sz w:val="21"/>
                <w:szCs w:val="21"/>
              </w:rPr>
              <w:t>空压站</w:t>
            </w:r>
          </w:p>
        </w:tc>
        <w:tc>
          <w:tcPr>
            <w:tcW w:w="4024" w:type="pct"/>
            <w:gridSpan w:val="2"/>
            <w:vAlign w:val="center"/>
          </w:tcPr>
          <w:p w14:paraId="6D856FC6">
            <w:pPr>
              <w:adjustRightInd w:val="0"/>
              <w:jc w:val="center"/>
              <w:rPr>
                <w:rFonts w:ascii="Times New Roman"/>
                <w:kern w:val="0"/>
                <w:sz w:val="21"/>
                <w:szCs w:val="21"/>
              </w:rPr>
            </w:pPr>
            <w:r>
              <w:rPr>
                <w:rFonts w:ascii="Times New Roman"/>
                <w:kern w:val="0"/>
                <w:sz w:val="21"/>
                <w:szCs w:val="21"/>
              </w:rPr>
              <w:t>占地面积</w:t>
            </w:r>
            <w:r>
              <w:rPr>
                <w:rFonts w:hint="eastAsia" w:ascii="Times New Roman"/>
                <w:kern w:val="0"/>
                <w:sz w:val="21"/>
                <w:szCs w:val="21"/>
              </w:rPr>
              <w:t>356</w:t>
            </w:r>
            <w:r>
              <w:rPr>
                <w:rFonts w:ascii="Times New Roman"/>
                <w:kern w:val="0"/>
                <w:sz w:val="21"/>
                <w:szCs w:val="21"/>
              </w:rPr>
              <w:t>m</w:t>
            </w:r>
            <w:r>
              <w:rPr>
                <w:rFonts w:ascii="Times New Roman"/>
                <w:kern w:val="0"/>
                <w:sz w:val="21"/>
                <w:szCs w:val="21"/>
                <w:vertAlign w:val="superscript"/>
              </w:rPr>
              <w:t>2</w:t>
            </w:r>
            <w:r>
              <w:rPr>
                <w:rFonts w:ascii="Times New Roman"/>
                <w:kern w:val="0"/>
                <w:sz w:val="21"/>
                <w:szCs w:val="21"/>
              </w:rPr>
              <w:t>，建筑面积</w:t>
            </w:r>
            <w:r>
              <w:rPr>
                <w:rFonts w:hint="eastAsia" w:ascii="Times New Roman"/>
                <w:kern w:val="0"/>
                <w:sz w:val="21"/>
                <w:szCs w:val="21"/>
              </w:rPr>
              <w:t>356</w:t>
            </w:r>
            <w:r>
              <w:rPr>
                <w:rFonts w:ascii="Times New Roman"/>
                <w:kern w:val="0"/>
                <w:sz w:val="21"/>
                <w:szCs w:val="21"/>
              </w:rPr>
              <w:t>m</w:t>
            </w:r>
            <w:r>
              <w:rPr>
                <w:rFonts w:ascii="Times New Roman"/>
                <w:kern w:val="0"/>
                <w:sz w:val="21"/>
                <w:szCs w:val="21"/>
                <w:vertAlign w:val="superscript"/>
              </w:rPr>
              <w:t>2</w:t>
            </w:r>
            <w:r>
              <w:rPr>
                <w:rFonts w:ascii="Times New Roman"/>
                <w:kern w:val="0"/>
                <w:sz w:val="21"/>
                <w:szCs w:val="21"/>
              </w:rPr>
              <w:t>，单层混凝土框架结构。</w:t>
            </w:r>
          </w:p>
        </w:tc>
      </w:tr>
      <w:tr w14:paraId="2926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286" w:type="pct"/>
            <w:vMerge w:val="continue"/>
            <w:vAlign w:val="center"/>
          </w:tcPr>
          <w:p w14:paraId="2E274D07">
            <w:pPr>
              <w:adjustRightInd w:val="0"/>
              <w:jc w:val="center"/>
              <w:rPr>
                <w:rFonts w:ascii="Times New Roman"/>
                <w:kern w:val="0"/>
                <w:sz w:val="21"/>
                <w:szCs w:val="21"/>
              </w:rPr>
            </w:pPr>
          </w:p>
        </w:tc>
        <w:tc>
          <w:tcPr>
            <w:tcW w:w="688" w:type="pct"/>
            <w:shd w:val="clear" w:color="auto" w:fill="auto"/>
            <w:vAlign w:val="center"/>
          </w:tcPr>
          <w:p w14:paraId="7A3B9825">
            <w:pPr>
              <w:jc w:val="center"/>
              <w:rPr>
                <w:rFonts w:ascii="Times New Roman"/>
                <w:sz w:val="21"/>
                <w:szCs w:val="21"/>
              </w:rPr>
            </w:pPr>
            <w:r>
              <w:rPr>
                <w:rFonts w:hint="eastAsia"/>
                <w:sz w:val="21"/>
                <w:szCs w:val="21"/>
              </w:rPr>
              <w:t>辅料间</w:t>
            </w:r>
          </w:p>
        </w:tc>
        <w:tc>
          <w:tcPr>
            <w:tcW w:w="4024" w:type="pct"/>
            <w:gridSpan w:val="2"/>
            <w:vAlign w:val="center"/>
          </w:tcPr>
          <w:p w14:paraId="695CEDD8">
            <w:pPr>
              <w:adjustRightInd w:val="0"/>
              <w:jc w:val="center"/>
              <w:rPr>
                <w:rFonts w:ascii="Times New Roman"/>
                <w:kern w:val="0"/>
                <w:sz w:val="21"/>
                <w:szCs w:val="21"/>
              </w:rPr>
            </w:pPr>
            <w:r>
              <w:rPr>
                <w:rFonts w:ascii="Times New Roman"/>
                <w:kern w:val="0"/>
                <w:sz w:val="21"/>
                <w:szCs w:val="21"/>
              </w:rPr>
              <w:t>占地面积</w:t>
            </w:r>
            <w:r>
              <w:rPr>
                <w:rFonts w:hint="eastAsia" w:ascii="Times New Roman"/>
                <w:kern w:val="0"/>
                <w:sz w:val="21"/>
                <w:szCs w:val="21"/>
              </w:rPr>
              <w:t>145.6</w:t>
            </w:r>
            <w:r>
              <w:rPr>
                <w:rFonts w:ascii="Times New Roman"/>
                <w:kern w:val="0"/>
                <w:sz w:val="21"/>
                <w:szCs w:val="21"/>
              </w:rPr>
              <w:t>m</w:t>
            </w:r>
            <w:r>
              <w:rPr>
                <w:rFonts w:ascii="Times New Roman"/>
                <w:kern w:val="0"/>
                <w:sz w:val="21"/>
                <w:szCs w:val="21"/>
                <w:vertAlign w:val="superscript"/>
              </w:rPr>
              <w:t>2</w:t>
            </w:r>
            <w:r>
              <w:rPr>
                <w:rFonts w:ascii="Times New Roman"/>
                <w:kern w:val="0"/>
                <w:sz w:val="21"/>
                <w:szCs w:val="21"/>
              </w:rPr>
              <w:t>，建筑面积</w:t>
            </w:r>
            <w:r>
              <w:rPr>
                <w:rFonts w:hint="eastAsia" w:ascii="Times New Roman"/>
                <w:kern w:val="0"/>
                <w:sz w:val="21"/>
                <w:szCs w:val="21"/>
              </w:rPr>
              <w:t>145.6</w:t>
            </w:r>
            <w:r>
              <w:rPr>
                <w:rFonts w:ascii="Times New Roman"/>
                <w:kern w:val="0"/>
                <w:sz w:val="21"/>
                <w:szCs w:val="21"/>
              </w:rPr>
              <w:t>m</w:t>
            </w:r>
            <w:r>
              <w:rPr>
                <w:rFonts w:ascii="Times New Roman"/>
                <w:kern w:val="0"/>
                <w:sz w:val="21"/>
                <w:szCs w:val="21"/>
                <w:vertAlign w:val="superscript"/>
              </w:rPr>
              <w:t>2</w:t>
            </w:r>
            <w:r>
              <w:rPr>
                <w:rFonts w:ascii="Times New Roman"/>
                <w:kern w:val="0"/>
                <w:sz w:val="21"/>
                <w:szCs w:val="21"/>
              </w:rPr>
              <w:t>，单层混凝土框架结构。</w:t>
            </w:r>
          </w:p>
        </w:tc>
      </w:tr>
      <w:tr w14:paraId="766B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286" w:type="pct"/>
            <w:vMerge w:val="continue"/>
            <w:vAlign w:val="center"/>
          </w:tcPr>
          <w:p w14:paraId="3CE0D688">
            <w:pPr>
              <w:adjustRightInd w:val="0"/>
              <w:jc w:val="center"/>
              <w:rPr>
                <w:rFonts w:ascii="Times New Roman"/>
                <w:kern w:val="0"/>
                <w:sz w:val="21"/>
                <w:szCs w:val="21"/>
              </w:rPr>
            </w:pPr>
          </w:p>
        </w:tc>
        <w:tc>
          <w:tcPr>
            <w:tcW w:w="688" w:type="pct"/>
            <w:shd w:val="clear" w:color="auto" w:fill="auto"/>
            <w:vAlign w:val="center"/>
          </w:tcPr>
          <w:p w14:paraId="1FBE2564">
            <w:pPr>
              <w:jc w:val="center"/>
              <w:rPr>
                <w:rFonts w:ascii="Times New Roman"/>
                <w:sz w:val="21"/>
                <w:szCs w:val="21"/>
              </w:rPr>
            </w:pPr>
            <w:r>
              <w:rPr>
                <w:rFonts w:ascii="Times New Roman"/>
                <w:sz w:val="21"/>
                <w:szCs w:val="21"/>
              </w:rPr>
              <w:t>主大门门卫室</w:t>
            </w:r>
          </w:p>
        </w:tc>
        <w:tc>
          <w:tcPr>
            <w:tcW w:w="4024" w:type="pct"/>
            <w:gridSpan w:val="2"/>
            <w:vAlign w:val="center"/>
          </w:tcPr>
          <w:p w14:paraId="6AE98522">
            <w:pPr>
              <w:adjustRightInd w:val="0"/>
              <w:jc w:val="center"/>
              <w:rPr>
                <w:rFonts w:ascii="Times New Roman"/>
                <w:kern w:val="0"/>
                <w:sz w:val="21"/>
                <w:szCs w:val="21"/>
              </w:rPr>
            </w:pPr>
            <w:r>
              <w:rPr>
                <w:rFonts w:ascii="Times New Roman"/>
                <w:kern w:val="0"/>
                <w:sz w:val="21"/>
                <w:szCs w:val="21"/>
              </w:rPr>
              <w:t>占地面积70.30m</w:t>
            </w:r>
            <w:r>
              <w:rPr>
                <w:rFonts w:ascii="Times New Roman"/>
                <w:kern w:val="0"/>
                <w:sz w:val="21"/>
                <w:szCs w:val="21"/>
                <w:vertAlign w:val="superscript"/>
              </w:rPr>
              <w:t>2</w:t>
            </w:r>
            <w:r>
              <w:rPr>
                <w:rFonts w:ascii="Times New Roman"/>
                <w:kern w:val="0"/>
                <w:sz w:val="21"/>
                <w:szCs w:val="21"/>
              </w:rPr>
              <w:t>，建筑面积70.30m</w:t>
            </w:r>
            <w:r>
              <w:rPr>
                <w:rFonts w:ascii="Times New Roman"/>
                <w:kern w:val="0"/>
                <w:sz w:val="21"/>
                <w:szCs w:val="21"/>
                <w:vertAlign w:val="superscript"/>
              </w:rPr>
              <w:t>2</w:t>
            </w:r>
            <w:r>
              <w:rPr>
                <w:rFonts w:ascii="Times New Roman"/>
                <w:kern w:val="0"/>
                <w:sz w:val="21"/>
                <w:szCs w:val="21"/>
              </w:rPr>
              <w:t>，单层混凝土框架结构。</w:t>
            </w:r>
          </w:p>
        </w:tc>
      </w:tr>
      <w:tr w14:paraId="19E4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19274916">
            <w:pPr>
              <w:adjustRightInd w:val="0"/>
              <w:jc w:val="center"/>
              <w:rPr>
                <w:rFonts w:ascii="Times New Roman"/>
                <w:kern w:val="0"/>
                <w:sz w:val="21"/>
                <w:szCs w:val="21"/>
              </w:rPr>
            </w:pPr>
          </w:p>
        </w:tc>
        <w:tc>
          <w:tcPr>
            <w:tcW w:w="688" w:type="pct"/>
            <w:shd w:val="clear" w:color="auto" w:fill="auto"/>
            <w:vAlign w:val="center"/>
          </w:tcPr>
          <w:p w14:paraId="43747834">
            <w:pPr>
              <w:jc w:val="center"/>
              <w:rPr>
                <w:rFonts w:ascii="Times New Roman"/>
                <w:sz w:val="21"/>
                <w:szCs w:val="21"/>
              </w:rPr>
            </w:pPr>
            <w:r>
              <w:rPr>
                <w:rFonts w:ascii="Times New Roman"/>
                <w:sz w:val="21"/>
                <w:szCs w:val="21"/>
              </w:rPr>
              <w:t>物流门门卫室</w:t>
            </w:r>
          </w:p>
        </w:tc>
        <w:tc>
          <w:tcPr>
            <w:tcW w:w="4024" w:type="pct"/>
            <w:gridSpan w:val="2"/>
            <w:vAlign w:val="center"/>
          </w:tcPr>
          <w:p w14:paraId="0A949121">
            <w:pPr>
              <w:adjustRightInd w:val="0"/>
              <w:jc w:val="center"/>
              <w:rPr>
                <w:rFonts w:ascii="Times New Roman"/>
                <w:kern w:val="0"/>
                <w:sz w:val="21"/>
                <w:szCs w:val="21"/>
              </w:rPr>
            </w:pPr>
            <w:r>
              <w:rPr>
                <w:rFonts w:ascii="Times New Roman"/>
                <w:kern w:val="0"/>
                <w:sz w:val="21"/>
                <w:szCs w:val="21"/>
              </w:rPr>
              <w:t>占地面积28.16m</w:t>
            </w:r>
            <w:r>
              <w:rPr>
                <w:rFonts w:ascii="Times New Roman"/>
                <w:kern w:val="0"/>
                <w:sz w:val="21"/>
                <w:szCs w:val="21"/>
                <w:vertAlign w:val="superscript"/>
              </w:rPr>
              <w:t>2</w:t>
            </w:r>
            <w:r>
              <w:rPr>
                <w:rFonts w:ascii="Times New Roman"/>
                <w:kern w:val="0"/>
                <w:sz w:val="21"/>
                <w:szCs w:val="21"/>
              </w:rPr>
              <w:t>，建筑面积28.16m</w:t>
            </w:r>
            <w:r>
              <w:rPr>
                <w:rFonts w:ascii="Times New Roman"/>
                <w:kern w:val="0"/>
                <w:sz w:val="21"/>
                <w:szCs w:val="21"/>
                <w:vertAlign w:val="superscript"/>
              </w:rPr>
              <w:t>2</w:t>
            </w:r>
            <w:r>
              <w:rPr>
                <w:rFonts w:ascii="Times New Roman"/>
                <w:kern w:val="0"/>
                <w:sz w:val="21"/>
                <w:szCs w:val="21"/>
              </w:rPr>
              <w:t>，单层混凝土框架结构。</w:t>
            </w:r>
          </w:p>
        </w:tc>
      </w:tr>
      <w:tr w14:paraId="2CFE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86" w:type="pct"/>
            <w:vMerge w:val="restart"/>
            <w:vAlign w:val="center"/>
          </w:tcPr>
          <w:p w14:paraId="4C09194C">
            <w:pPr>
              <w:adjustRightInd w:val="0"/>
              <w:jc w:val="center"/>
              <w:rPr>
                <w:rFonts w:ascii="Times New Roman"/>
                <w:kern w:val="0"/>
                <w:sz w:val="21"/>
                <w:szCs w:val="21"/>
              </w:rPr>
            </w:pPr>
            <w:r>
              <w:rPr>
                <w:rFonts w:ascii="Times New Roman"/>
                <w:kern w:val="0"/>
                <w:sz w:val="21"/>
                <w:szCs w:val="21"/>
              </w:rPr>
              <w:t>公用工程</w:t>
            </w:r>
          </w:p>
        </w:tc>
        <w:tc>
          <w:tcPr>
            <w:tcW w:w="688" w:type="pct"/>
            <w:vAlign w:val="center"/>
          </w:tcPr>
          <w:p w14:paraId="204D2F1A">
            <w:pPr>
              <w:adjustRightInd w:val="0"/>
              <w:jc w:val="center"/>
              <w:rPr>
                <w:rFonts w:ascii="Times New Roman"/>
                <w:kern w:val="0"/>
                <w:sz w:val="21"/>
                <w:szCs w:val="21"/>
              </w:rPr>
            </w:pPr>
            <w:r>
              <w:rPr>
                <w:rFonts w:ascii="Times New Roman"/>
                <w:kern w:val="0"/>
                <w:sz w:val="21"/>
                <w:szCs w:val="21"/>
              </w:rPr>
              <w:t>供水</w:t>
            </w:r>
          </w:p>
        </w:tc>
        <w:tc>
          <w:tcPr>
            <w:tcW w:w="4024" w:type="pct"/>
            <w:gridSpan w:val="2"/>
            <w:vAlign w:val="center"/>
          </w:tcPr>
          <w:p w14:paraId="2DD894F4">
            <w:pPr>
              <w:adjustRightInd w:val="0"/>
              <w:jc w:val="center"/>
              <w:rPr>
                <w:rFonts w:ascii="Times New Roman"/>
                <w:kern w:val="0"/>
                <w:sz w:val="21"/>
                <w:szCs w:val="21"/>
              </w:rPr>
            </w:pPr>
            <w:r>
              <w:rPr>
                <w:rFonts w:ascii="Times New Roman"/>
                <w:kern w:val="0"/>
                <w:sz w:val="21"/>
                <w:szCs w:val="21"/>
              </w:rPr>
              <w:t>新鲜水由当地供水管网供给；纯水采用反渗透工艺制备。</w:t>
            </w:r>
          </w:p>
        </w:tc>
      </w:tr>
      <w:tr w14:paraId="0247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286" w:type="pct"/>
            <w:vMerge w:val="continue"/>
            <w:vAlign w:val="center"/>
          </w:tcPr>
          <w:p w14:paraId="7A086140">
            <w:pPr>
              <w:adjustRightInd w:val="0"/>
              <w:jc w:val="center"/>
              <w:rPr>
                <w:rFonts w:ascii="Times New Roman"/>
                <w:kern w:val="0"/>
                <w:sz w:val="21"/>
                <w:szCs w:val="21"/>
              </w:rPr>
            </w:pPr>
          </w:p>
        </w:tc>
        <w:tc>
          <w:tcPr>
            <w:tcW w:w="688" w:type="pct"/>
            <w:vAlign w:val="center"/>
          </w:tcPr>
          <w:p w14:paraId="099F0076">
            <w:pPr>
              <w:adjustRightInd w:val="0"/>
              <w:jc w:val="center"/>
              <w:rPr>
                <w:rFonts w:ascii="Times New Roman"/>
                <w:kern w:val="0"/>
                <w:sz w:val="21"/>
                <w:szCs w:val="21"/>
              </w:rPr>
            </w:pPr>
            <w:r>
              <w:rPr>
                <w:rFonts w:ascii="Times New Roman"/>
                <w:kern w:val="0"/>
                <w:sz w:val="21"/>
                <w:szCs w:val="21"/>
              </w:rPr>
              <w:t>供电</w:t>
            </w:r>
          </w:p>
        </w:tc>
        <w:tc>
          <w:tcPr>
            <w:tcW w:w="4024" w:type="pct"/>
            <w:gridSpan w:val="2"/>
            <w:vAlign w:val="center"/>
          </w:tcPr>
          <w:p w14:paraId="72FC486A">
            <w:pPr>
              <w:adjustRightInd w:val="0"/>
              <w:jc w:val="center"/>
              <w:rPr>
                <w:rFonts w:ascii="Times New Roman"/>
                <w:kern w:val="0"/>
                <w:sz w:val="21"/>
                <w:szCs w:val="21"/>
              </w:rPr>
            </w:pPr>
            <w:r>
              <w:rPr>
                <w:rFonts w:ascii="Times New Roman"/>
                <w:kern w:val="0"/>
                <w:sz w:val="21"/>
                <w:szCs w:val="21"/>
              </w:rPr>
              <w:t>项目设有变电所，内设置4台160KVA的变压器、2台2500KVA的变压器，年用电量为</w:t>
            </w:r>
            <w:r>
              <w:rPr>
                <w:rFonts w:hint="eastAsia" w:ascii="Times New Roman"/>
                <w:kern w:val="0"/>
                <w:sz w:val="21"/>
                <w:szCs w:val="21"/>
              </w:rPr>
              <w:t>15950</w:t>
            </w:r>
            <w:r>
              <w:rPr>
                <w:rFonts w:ascii="Times New Roman"/>
                <w:kern w:val="0"/>
                <w:sz w:val="21"/>
                <w:szCs w:val="21"/>
              </w:rPr>
              <w:t>kW·h，供电由园区变电站提供。</w:t>
            </w:r>
          </w:p>
        </w:tc>
      </w:tr>
      <w:tr w14:paraId="64D6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86" w:type="pct"/>
            <w:vMerge w:val="continue"/>
            <w:vAlign w:val="center"/>
          </w:tcPr>
          <w:p w14:paraId="00841438">
            <w:pPr>
              <w:adjustRightInd w:val="0"/>
              <w:jc w:val="center"/>
              <w:rPr>
                <w:rFonts w:ascii="Times New Roman"/>
                <w:kern w:val="0"/>
                <w:sz w:val="21"/>
                <w:szCs w:val="21"/>
              </w:rPr>
            </w:pPr>
          </w:p>
        </w:tc>
        <w:tc>
          <w:tcPr>
            <w:tcW w:w="688" w:type="pct"/>
            <w:vAlign w:val="center"/>
          </w:tcPr>
          <w:p w14:paraId="45FF6F77">
            <w:pPr>
              <w:adjustRightInd w:val="0"/>
              <w:jc w:val="center"/>
              <w:rPr>
                <w:rFonts w:ascii="Times New Roman"/>
                <w:kern w:val="0"/>
                <w:sz w:val="21"/>
                <w:szCs w:val="21"/>
              </w:rPr>
            </w:pPr>
            <w:r>
              <w:rPr>
                <w:rFonts w:ascii="Times New Roman"/>
                <w:kern w:val="0"/>
                <w:sz w:val="21"/>
                <w:szCs w:val="21"/>
              </w:rPr>
              <w:t>供热</w:t>
            </w:r>
          </w:p>
        </w:tc>
        <w:tc>
          <w:tcPr>
            <w:tcW w:w="4024" w:type="pct"/>
            <w:gridSpan w:val="2"/>
            <w:vAlign w:val="center"/>
          </w:tcPr>
          <w:p w14:paraId="19AB70F5">
            <w:pPr>
              <w:adjustRightInd w:val="0"/>
              <w:jc w:val="center"/>
              <w:rPr>
                <w:rFonts w:ascii="Times New Roman"/>
                <w:kern w:val="0"/>
                <w:sz w:val="21"/>
                <w:szCs w:val="21"/>
              </w:rPr>
            </w:pPr>
            <w:r>
              <w:rPr>
                <w:rFonts w:ascii="Times New Roman"/>
                <w:kern w:val="0"/>
                <w:sz w:val="21"/>
                <w:szCs w:val="21"/>
              </w:rPr>
              <w:t>项目生产用热（热处理台车炉、电泳固化炉、前处理热水炉、喷漆室供风加热、喷塑烘干炉、大件喷漆烘干炉、超重件烘干炉）采用天然气燃烧器加热；研发中心、食堂取暖采用中央空调，倒班宿舍暖气片、厂房采用燃气辐射、生产辅房及站房采用暖气片采暖。</w:t>
            </w:r>
          </w:p>
        </w:tc>
      </w:tr>
      <w:tr w14:paraId="5350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restart"/>
            <w:vAlign w:val="center"/>
          </w:tcPr>
          <w:p w14:paraId="222E4A96">
            <w:pPr>
              <w:adjustRightInd w:val="0"/>
              <w:jc w:val="center"/>
              <w:rPr>
                <w:rFonts w:ascii="Times New Roman"/>
                <w:kern w:val="0"/>
                <w:sz w:val="21"/>
                <w:szCs w:val="21"/>
              </w:rPr>
            </w:pPr>
            <w:r>
              <w:rPr>
                <w:rFonts w:ascii="Times New Roman"/>
                <w:kern w:val="0"/>
                <w:sz w:val="21"/>
                <w:szCs w:val="21"/>
              </w:rPr>
              <w:t>环保工程</w:t>
            </w:r>
          </w:p>
        </w:tc>
        <w:tc>
          <w:tcPr>
            <w:tcW w:w="688" w:type="pct"/>
            <w:vMerge w:val="restart"/>
            <w:vAlign w:val="center"/>
          </w:tcPr>
          <w:p w14:paraId="05A20B67">
            <w:pPr>
              <w:adjustRightInd w:val="0"/>
              <w:jc w:val="center"/>
              <w:rPr>
                <w:rFonts w:ascii="Times New Roman"/>
                <w:kern w:val="0"/>
                <w:sz w:val="21"/>
                <w:szCs w:val="21"/>
              </w:rPr>
            </w:pPr>
            <w:r>
              <w:rPr>
                <w:rFonts w:ascii="Times New Roman"/>
                <w:kern w:val="0"/>
                <w:sz w:val="21"/>
                <w:szCs w:val="21"/>
              </w:rPr>
              <w:t>废气</w:t>
            </w:r>
          </w:p>
        </w:tc>
        <w:tc>
          <w:tcPr>
            <w:tcW w:w="551" w:type="pct"/>
            <w:tcBorders>
              <w:left w:val="single" w:color="auto" w:sz="4" w:space="0"/>
              <w:right w:val="single" w:color="auto" w:sz="4" w:space="0"/>
            </w:tcBorders>
            <w:vAlign w:val="center"/>
          </w:tcPr>
          <w:p w14:paraId="024960D8">
            <w:pPr>
              <w:adjustRightInd w:val="0"/>
              <w:jc w:val="center"/>
              <w:rPr>
                <w:rFonts w:ascii="Times New Roman"/>
                <w:kern w:val="0"/>
                <w:sz w:val="21"/>
                <w:szCs w:val="21"/>
              </w:rPr>
            </w:pPr>
            <w:r>
              <w:rPr>
                <w:rFonts w:ascii="Times New Roman"/>
                <w:kern w:val="0"/>
                <w:sz w:val="21"/>
                <w:szCs w:val="21"/>
              </w:rPr>
              <w:t>下料</w:t>
            </w:r>
            <w:r>
              <w:rPr>
                <w:rFonts w:hint="eastAsia" w:ascii="Times New Roman"/>
                <w:kern w:val="0"/>
                <w:sz w:val="21"/>
                <w:szCs w:val="21"/>
              </w:rPr>
              <w:t>生产线</w:t>
            </w:r>
          </w:p>
        </w:tc>
        <w:tc>
          <w:tcPr>
            <w:tcW w:w="3473" w:type="pct"/>
            <w:tcBorders>
              <w:left w:val="single" w:color="auto" w:sz="4" w:space="0"/>
              <w:right w:val="single" w:color="auto" w:sz="4" w:space="0"/>
            </w:tcBorders>
            <w:vAlign w:val="center"/>
          </w:tcPr>
          <w:p w14:paraId="2C6E1130">
            <w:pPr>
              <w:adjustRightInd w:val="0"/>
              <w:jc w:val="left"/>
              <w:rPr>
                <w:rFonts w:ascii="Times New Roman"/>
                <w:kern w:val="0"/>
                <w:sz w:val="21"/>
                <w:szCs w:val="21"/>
              </w:rPr>
            </w:pPr>
            <w:r>
              <w:rPr>
                <w:rFonts w:ascii="Times New Roman"/>
                <w:kern w:val="0"/>
                <w:sz w:val="21"/>
                <w:szCs w:val="21"/>
              </w:rPr>
              <w:t>下料工序（切割、清理、打磨）废气经集气罩收集后经布袋除尘器处理后，由1根20m高排气筒DA001排放；</w:t>
            </w:r>
          </w:p>
        </w:tc>
      </w:tr>
      <w:tr w14:paraId="4E09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0A789205">
            <w:pPr>
              <w:adjustRightInd w:val="0"/>
              <w:jc w:val="center"/>
              <w:rPr>
                <w:rFonts w:ascii="Times New Roman"/>
                <w:kern w:val="0"/>
                <w:sz w:val="21"/>
                <w:szCs w:val="21"/>
              </w:rPr>
            </w:pPr>
          </w:p>
        </w:tc>
        <w:tc>
          <w:tcPr>
            <w:tcW w:w="688" w:type="pct"/>
            <w:vMerge w:val="continue"/>
            <w:vAlign w:val="center"/>
          </w:tcPr>
          <w:p w14:paraId="152A7EDD">
            <w:pPr>
              <w:adjustRightInd w:val="0"/>
              <w:jc w:val="center"/>
              <w:rPr>
                <w:rFonts w:ascii="Times New Roman"/>
                <w:kern w:val="0"/>
                <w:sz w:val="21"/>
                <w:szCs w:val="21"/>
              </w:rPr>
            </w:pPr>
          </w:p>
        </w:tc>
        <w:tc>
          <w:tcPr>
            <w:tcW w:w="551" w:type="pct"/>
            <w:vMerge w:val="restart"/>
            <w:tcBorders>
              <w:left w:val="single" w:color="auto" w:sz="4" w:space="0"/>
              <w:right w:val="single" w:color="auto" w:sz="4" w:space="0"/>
            </w:tcBorders>
            <w:vAlign w:val="center"/>
          </w:tcPr>
          <w:p w14:paraId="2E42BE81">
            <w:pPr>
              <w:adjustRightInd w:val="0"/>
              <w:jc w:val="center"/>
              <w:rPr>
                <w:rFonts w:ascii="Times New Roman"/>
                <w:kern w:val="0"/>
                <w:sz w:val="21"/>
                <w:szCs w:val="21"/>
              </w:rPr>
            </w:pPr>
            <w:r>
              <w:rPr>
                <w:rFonts w:hint="eastAsia" w:ascii="Times New Roman"/>
                <w:sz w:val="21"/>
                <w:szCs w:val="21"/>
              </w:rPr>
              <w:t>联合厂房-</w:t>
            </w:r>
            <w:r>
              <w:rPr>
                <w:rFonts w:ascii="Times New Roman"/>
                <w:sz w:val="21"/>
                <w:szCs w:val="21"/>
              </w:rPr>
              <w:t>焊接、滚筒生产线</w:t>
            </w:r>
            <w:r>
              <w:rPr>
                <w:rFonts w:ascii="Times New Roman"/>
                <w:kern w:val="0"/>
                <w:sz w:val="21"/>
                <w:szCs w:val="21"/>
              </w:rPr>
              <w:t>联合厂房-热处理</w:t>
            </w:r>
          </w:p>
        </w:tc>
        <w:tc>
          <w:tcPr>
            <w:tcW w:w="3473" w:type="pct"/>
            <w:tcBorders>
              <w:left w:val="single" w:color="auto" w:sz="4" w:space="0"/>
              <w:right w:val="single" w:color="auto" w:sz="4" w:space="0"/>
            </w:tcBorders>
            <w:vAlign w:val="center"/>
          </w:tcPr>
          <w:p w14:paraId="170E264C">
            <w:pPr>
              <w:adjustRightInd w:val="0"/>
              <w:jc w:val="left"/>
              <w:rPr>
                <w:rFonts w:ascii="Times New Roman"/>
                <w:kern w:val="0"/>
                <w:sz w:val="21"/>
                <w:szCs w:val="21"/>
              </w:rPr>
            </w:pPr>
            <w:r>
              <w:rPr>
                <w:rFonts w:ascii="Times New Roman"/>
                <w:kern w:val="0"/>
                <w:sz w:val="21"/>
                <w:szCs w:val="21"/>
              </w:rPr>
              <w:t>①区域5、7废气</w:t>
            </w:r>
            <w:r>
              <w:rPr>
                <w:rFonts w:hint="eastAsia" w:ascii="Times New Roman"/>
                <w:kern w:val="0"/>
                <w:sz w:val="21"/>
                <w:szCs w:val="21"/>
              </w:rPr>
              <w:t>集气罩</w:t>
            </w:r>
            <w:r>
              <w:rPr>
                <w:rFonts w:ascii="Times New Roman"/>
                <w:kern w:val="0"/>
                <w:sz w:val="21"/>
                <w:szCs w:val="21"/>
              </w:rPr>
              <w:t>收集</w:t>
            </w:r>
            <w:r>
              <w:rPr>
                <w:rFonts w:hint="eastAsia" w:ascii="Times New Roman"/>
                <w:kern w:val="0"/>
                <w:sz w:val="21"/>
                <w:szCs w:val="21"/>
              </w:rPr>
              <w:t>后，</w:t>
            </w:r>
            <w:r>
              <w:rPr>
                <w:rFonts w:ascii="Times New Roman"/>
                <w:kern w:val="0"/>
                <w:sz w:val="21"/>
                <w:szCs w:val="21"/>
              </w:rPr>
              <w:t>经滤筒除尘器处理后，通过22m排气筒排放</w:t>
            </w:r>
            <w:r>
              <w:rPr>
                <w:rFonts w:hint="eastAsia" w:ascii="Times New Roman"/>
                <w:kern w:val="0"/>
                <w:sz w:val="21"/>
                <w:szCs w:val="21"/>
              </w:rPr>
              <w:t>；②</w:t>
            </w:r>
            <w:r>
              <w:rPr>
                <w:rFonts w:ascii="Times New Roman"/>
                <w:kern w:val="0"/>
                <w:sz w:val="21"/>
                <w:szCs w:val="21"/>
              </w:rPr>
              <w:t>区域6、8、13废气</w:t>
            </w:r>
            <w:r>
              <w:rPr>
                <w:rFonts w:hint="eastAsia" w:ascii="Times New Roman"/>
                <w:kern w:val="0"/>
                <w:sz w:val="21"/>
                <w:szCs w:val="21"/>
              </w:rPr>
              <w:t>集气罩</w:t>
            </w:r>
            <w:r>
              <w:rPr>
                <w:rFonts w:ascii="Times New Roman"/>
                <w:kern w:val="0"/>
                <w:sz w:val="21"/>
                <w:szCs w:val="21"/>
              </w:rPr>
              <w:t>收集</w:t>
            </w:r>
            <w:r>
              <w:rPr>
                <w:rFonts w:hint="eastAsia" w:ascii="Times New Roman"/>
                <w:kern w:val="0"/>
                <w:sz w:val="21"/>
                <w:szCs w:val="21"/>
              </w:rPr>
              <w:t>后，</w:t>
            </w:r>
            <w:r>
              <w:rPr>
                <w:rFonts w:ascii="Times New Roman"/>
                <w:kern w:val="0"/>
                <w:sz w:val="21"/>
                <w:szCs w:val="21"/>
              </w:rPr>
              <w:t>经滤筒除尘器处理后，通过22m排气筒排放</w:t>
            </w:r>
            <w:r>
              <w:rPr>
                <w:rFonts w:hint="eastAsia" w:ascii="Times New Roman"/>
                <w:kern w:val="0"/>
                <w:sz w:val="21"/>
                <w:szCs w:val="21"/>
              </w:rPr>
              <w:t>；③</w:t>
            </w:r>
            <w:r>
              <w:rPr>
                <w:rFonts w:ascii="Times New Roman"/>
                <w:kern w:val="0"/>
                <w:sz w:val="21"/>
                <w:szCs w:val="21"/>
              </w:rPr>
              <w:t>区域9、10、11、12废气</w:t>
            </w:r>
            <w:r>
              <w:rPr>
                <w:rFonts w:hint="eastAsia" w:ascii="Times New Roman"/>
                <w:kern w:val="0"/>
                <w:sz w:val="21"/>
                <w:szCs w:val="21"/>
              </w:rPr>
              <w:t>集气罩</w:t>
            </w:r>
            <w:r>
              <w:rPr>
                <w:rFonts w:ascii="Times New Roman"/>
                <w:kern w:val="0"/>
                <w:sz w:val="21"/>
                <w:szCs w:val="21"/>
              </w:rPr>
              <w:t>收集</w:t>
            </w:r>
            <w:r>
              <w:rPr>
                <w:rFonts w:hint="eastAsia" w:ascii="Times New Roman"/>
                <w:kern w:val="0"/>
                <w:sz w:val="21"/>
                <w:szCs w:val="21"/>
              </w:rPr>
              <w:t>后，</w:t>
            </w:r>
            <w:r>
              <w:rPr>
                <w:rFonts w:ascii="Times New Roman"/>
                <w:kern w:val="0"/>
                <w:sz w:val="21"/>
                <w:szCs w:val="21"/>
              </w:rPr>
              <w:t>经滤筒除尘器处理后，通过22m排气筒排放</w:t>
            </w:r>
            <w:r>
              <w:rPr>
                <w:rFonts w:hint="eastAsia" w:ascii="Times New Roman"/>
                <w:kern w:val="0"/>
                <w:sz w:val="21"/>
                <w:szCs w:val="21"/>
              </w:rPr>
              <w:t>。</w:t>
            </w:r>
          </w:p>
        </w:tc>
      </w:tr>
      <w:tr w14:paraId="0D80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6" w:type="pct"/>
            <w:vMerge w:val="continue"/>
            <w:vAlign w:val="center"/>
          </w:tcPr>
          <w:p w14:paraId="03374623">
            <w:pPr>
              <w:adjustRightInd w:val="0"/>
              <w:jc w:val="center"/>
              <w:rPr>
                <w:rFonts w:ascii="Times New Roman"/>
                <w:kern w:val="0"/>
                <w:sz w:val="21"/>
                <w:szCs w:val="21"/>
              </w:rPr>
            </w:pPr>
          </w:p>
        </w:tc>
        <w:tc>
          <w:tcPr>
            <w:tcW w:w="688" w:type="pct"/>
            <w:vMerge w:val="continue"/>
            <w:vAlign w:val="center"/>
          </w:tcPr>
          <w:p w14:paraId="09349647">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67B9CF55">
            <w:pPr>
              <w:adjustRightInd w:val="0"/>
              <w:jc w:val="center"/>
              <w:rPr>
                <w:rFonts w:ascii="Times New Roman"/>
                <w:sz w:val="21"/>
                <w:szCs w:val="21"/>
              </w:rPr>
            </w:pPr>
          </w:p>
        </w:tc>
        <w:tc>
          <w:tcPr>
            <w:tcW w:w="3473" w:type="pct"/>
            <w:tcBorders>
              <w:left w:val="single" w:color="auto" w:sz="4" w:space="0"/>
              <w:right w:val="single" w:color="auto" w:sz="4" w:space="0"/>
            </w:tcBorders>
            <w:vAlign w:val="center"/>
          </w:tcPr>
          <w:p w14:paraId="03D28982">
            <w:pPr>
              <w:adjustRightInd w:val="0"/>
              <w:jc w:val="left"/>
              <w:rPr>
                <w:rFonts w:ascii="Times New Roman"/>
                <w:kern w:val="0"/>
                <w:sz w:val="21"/>
                <w:szCs w:val="21"/>
              </w:rPr>
            </w:pPr>
            <w:r>
              <w:rPr>
                <w:rFonts w:ascii="Times New Roman"/>
                <w:kern w:val="0"/>
                <w:sz w:val="21"/>
                <w:szCs w:val="21"/>
              </w:rPr>
              <w:t>滚筒类结构件及滚筒车间焊接工序（区域1~</w:t>
            </w:r>
            <w:r>
              <w:rPr>
                <w:rFonts w:hint="eastAsia" w:ascii="Times New Roman"/>
                <w:kern w:val="0"/>
                <w:sz w:val="21"/>
                <w:szCs w:val="21"/>
              </w:rPr>
              <w:t>4</w:t>
            </w:r>
            <w:r>
              <w:rPr>
                <w:rFonts w:ascii="Times New Roman"/>
                <w:kern w:val="0"/>
                <w:sz w:val="21"/>
                <w:szCs w:val="21"/>
              </w:rPr>
              <w:t>、区域14）废气经集气罩（四周设置软帘）收集后，经</w:t>
            </w:r>
            <w:r>
              <w:rPr>
                <w:rFonts w:hint="eastAsia" w:ascii="Times New Roman"/>
                <w:kern w:val="0"/>
                <w:sz w:val="21"/>
                <w:szCs w:val="21"/>
              </w:rPr>
              <w:t>5</w:t>
            </w:r>
            <w:r>
              <w:rPr>
                <w:rFonts w:ascii="Times New Roman"/>
                <w:kern w:val="0"/>
                <w:sz w:val="21"/>
                <w:szCs w:val="21"/>
              </w:rPr>
              <w:t>套</w:t>
            </w:r>
            <w:r>
              <w:rPr>
                <w:rFonts w:hint="eastAsia" w:ascii="Times New Roman"/>
                <w:kern w:val="0"/>
                <w:sz w:val="21"/>
                <w:szCs w:val="21"/>
              </w:rPr>
              <w:t>滤筒</w:t>
            </w:r>
            <w:r>
              <w:rPr>
                <w:rFonts w:ascii="Times New Roman"/>
                <w:kern w:val="0"/>
                <w:sz w:val="21"/>
                <w:szCs w:val="21"/>
              </w:rPr>
              <w:t>除尘器（各区域设置1套）处理后无组织外排</w:t>
            </w:r>
          </w:p>
        </w:tc>
      </w:tr>
      <w:tr w14:paraId="54B1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86" w:type="pct"/>
            <w:vMerge w:val="continue"/>
            <w:vAlign w:val="center"/>
          </w:tcPr>
          <w:p w14:paraId="182214E9">
            <w:pPr>
              <w:adjustRightInd w:val="0"/>
              <w:jc w:val="center"/>
              <w:rPr>
                <w:rFonts w:ascii="Times New Roman"/>
                <w:kern w:val="0"/>
                <w:sz w:val="21"/>
                <w:szCs w:val="21"/>
              </w:rPr>
            </w:pPr>
          </w:p>
        </w:tc>
        <w:tc>
          <w:tcPr>
            <w:tcW w:w="688" w:type="pct"/>
            <w:vMerge w:val="continue"/>
            <w:vAlign w:val="center"/>
          </w:tcPr>
          <w:p w14:paraId="786177C7">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033B87AA">
            <w:pPr>
              <w:adjustRightInd w:val="0"/>
              <w:jc w:val="center"/>
              <w:rPr>
                <w:rFonts w:ascii="Times New Roman"/>
                <w:kern w:val="0"/>
                <w:sz w:val="21"/>
                <w:szCs w:val="21"/>
              </w:rPr>
            </w:pPr>
          </w:p>
        </w:tc>
        <w:tc>
          <w:tcPr>
            <w:tcW w:w="3473" w:type="pct"/>
            <w:tcBorders>
              <w:left w:val="single" w:color="auto" w:sz="4" w:space="0"/>
              <w:right w:val="single" w:color="auto" w:sz="4" w:space="0"/>
            </w:tcBorders>
            <w:shd w:val="clear" w:color="auto" w:fill="auto"/>
            <w:vAlign w:val="center"/>
          </w:tcPr>
          <w:p w14:paraId="62A9F8B6">
            <w:pPr>
              <w:adjustRightInd w:val="0"/>
              <w:jc w:val="center"/>
              <w:rPr>
                <w:rFonts w:ascii="Times New Roman"/>
                <w:kern w:val="0"/>
                <w:sz w:val="21"/>
                <w:szCs w:val="21"/>
              </w:rPr>
            </w:pPr>
            <w:r>
              <w:rPr>
                <w:rFonts w:ascii="Times New Roman"/>
                <w:kern w:val="0"/>
                <w:sz w:val="21"/>
                <w:szCs w:val="21"/>
              </w:rPr>
              <w:t>热处理</w:t>
            </w:r>
            <w:r>
              <w:rPr>
                <w:rFonts w:hint="eastAsia"/>
                <w:sz w:val="21"/>
                <w:szCs w:val="21"/>
              </w:rPr>
              <w:t>台</w:t>
            </w:r>
            <w:r>
              <w:rPr>
                <w:rFonts w:ascii="Times New Roman"/>
                <w:kern w:val="0"/>
                <w:sz w:val="21"/>
                <w:szCs w:val="21"/>
              </w:rPr>
              <w:t>车炉燃烧机燃烧废气经低氮燃烧器处理后由1根20米高排气筒DA005排放；</w:t>
            </w:r>
          </w:p>
        </w:tc>
      </w:tr>
      <w:tr w14:paraId="4D85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6" w:type="pct"/>
            <w:vMerge w:val="continue"/>
            <w:vAlign w:val="center"/>
          </w:tcPr>
          <w:p w14:paraId="0356D224">
            <w:pPr>
              <w:adjustRightInd w:val="0"/>
              <w:jc w:val="center"/>
              <w:rPr>
                <w:rFonts w:ascii="Times New Roman"/>
                <w:kern w:val="0"/>
                <w:sz w:val="21"/>
                <w:szCs w:val="21"/>
              </w:rPr>
            </w:pPr>
          </w:p>
        </w:tc>
        <w:tc>
          <w:tcPr>
            <w:tcW w:w="688" w:type="pct"/>
            <w:vMerge w:val="continue"/>
            <w:vAlign w:val="center"/>
          </w:tcPr>
          <w:p w14:paraId="11EA0585">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1A906D31">
            <w:pPr>
              <w:adjustRightInd w:val="0"/>
              <w:jc w:val="center"/>
              <w:rPr>
                <w:rFonts w:ascii="Times New Roman"/>
                <w:kern w:val="0"/>
                <w:sz w:val="21"/>
                <w:szCs w:val="21"/>
              </w:rPr>
            </w:pPr>
          </w:p>
        </w:tc>
        <w:tc>
          <w:tcPr>
            <w:tcW w:w="3473" w:type="pct"/>
            <w:tcBorders>
              <w:left w:val="single" w:color="auto" w:sz="4" w:space="0"/>
              <w:right w:val="single" w:color="auto" w:sz="4" w:space="0"/>
            </w:tcBorders>
            <w:shd w:val="clear" w:color="auto" w:fill="auto"/>
            <w:vAlign w:val="center"/>
          </w:tcPr>
          <w:p w14:paraId="248034A7">
            <w:pPr>
              <w:adjustRightInd w:val="0"/>
              <w:jc w:val="center"/>
              <w:rPr>
                <w:rFonts w:ascii="Times New Roman"/>
                <w:kern w:val="0"/>
                <w:sz w:val="21"/>
                <w:szCs w:val="21"/>
              </w:rPr>
            </w:pPr>
            <w:r>
              <w:rPr>
                <w:rFonts w:ascii="Times New Roman"/>
                <w:kern w:val="0"/>
                <w:sz w:val="21"/>
                <w:szCs w:val="21"/>
              </w:rPr>
              <w:t>热处理淬油废气经集气罩收集后经“油雾净化器+二级活性炭吸附装置”处理后由1根2</w:t>
            </w:r>
            <w:r>
              <w:rPr>
                <w:rFonts w:hint="eastAsia" w:ascii="Times New Roman"/>
                <w:kern w:val="0"/>
                <w:sz w:val="21"/>
                <w:szCs w:val="21"/>
              </w:rPr>
              <w:t>2</w:t>
            </w:r>
            <w:r>
              <w:rPr>
                <w:rFonts w:ascii="Times New Roman"/>
                <w:kern w:val="0"/>
                <w:sz w:val="21"/>
                <w:szCs w:val="21"/>
              </w:rPr>
              <w:t>米高排气筒DA006排放；</w:t>
            </w:r>
          </w:p>
        </w:tc>
      </w:tr>
      <w:tr w14:paraId="02A3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86" w:type="pct"/>
            <w:vMerge w:val="continue"/>
            <w:vAlign w:val="center"/>
          </w:tcPr>
          <w:p w14:paraId="1C1AA43A">
            <w:pPr>
              <w:adjustRightInd w:val="0"/>
              <w:jc w:val="center"/>
              <w:rPr>
                <w:rFonts w:ascii="Times New Roman"/>
                <w:kern w:val="0"/>
                <w:sz w:val="21"/>
                <w:szCs w:val="21"/>
              </w:rPr>
            </w:pPr>
          </w:p>
        </w:tc>
        <w:tc>
          <w:tcPr>
            <w:tcW w:w="688" w:type="pct"/>
            <w:vMerge w:val="continue"/>
            <w:vAlign w:val="center"/>
          </w:tcPr>
          <w:p w14:paraId="653D2B5D">
            <w:pPr>
              <w:adjustRightInd w:val="0"/>
              <w:jc w:val="center"/>
              <w:rPr>
                <w:rFonts w:ascii="Times New Roman"/>
                <w:kern w:val="0"/>
                <w:sz w:val="21"/>
                <w:szCs w:val="21"/>
              </w:rPr>
            </w:pPr>
          </w:p>
        </w:tc>
        <w:tc>
          <w:tcPr>
            <w:tcW w:w="551" w:type="pct"/>
            <w:vMerge w:val="restart"/>
            <w:tcBorders>
              <w:left w:val="single" w:color="auto" w:sz="4" w:space="0"/>
              <w:right w:val="single" w:color="auto" w:sz="4" w:space="0"/>
            </w:tcBorders>
            <w:vAlign w:val="center"/>
          </w:tcPr>
          <w:p w14:paraId="4E4A298A">
            <w:pPr>
              <w:adjustRightInd w:val="0"/>
              <w:jc w:val="center"/>
              <w:rPr>
                <w:rFonts w:ascii="Times New Roman"/>
                <w:kern w:val="0"/>
                <w:sz w:val="21"/>
                <w:szCs w:val="21"/>
              </w:rPr>
            </w:pPr>
            <w:r>
              <w:rPr>
                <w:rFonts w:hint="eastAsia" w:ascii="Times New Roman"/>
                <w:sz w:val="21"/>
                <w:szCs w:val="21"/>
              </w:rPr>
              <w:t>联合厂房-</w:t>
            </w:r>
            <w:r>
              <w:rPr>
                <w:rFonts w:ascii="Times New Roman"/>
                <w:sz w:val="21"/>
                <w:szCs w:val="21"/>
              </w:rPr>
              <w:t>预处理及喷涂生产线</w:t>
            </w:r>
          </w:p>
        </w:tc>
        <w:tc>
          <w:tcPr>
            <w:tcW w:w="3473" w:type="pct"/>
            <w:tcBorders>
              <w:left w:val="single" w:color="auto" w:sz="4" w:space="0"/>
              <w:right w:val="single" w:color="auto" w:sz="4" w:space="0"/>
            </w:tcBorders>
            <w:vAlign w:val="center"/>
          </w:tcPr>
          <w:p w14:paraId="5FF71025">
            <w:pPr>
              <w:adjustRightInd w:val="0"/>
              <w:jc w:val="center"/>
              <w:rPr>
                <w:rFonts w:ascii="Times New Roman"/>
                <w:kern w:val="0"/>
                <w:sz w:val="21"/>
                <w:szCs w:val="21"/>
              </w:rPr>
            </w:pPr>
            <w:r>
              <w:rPr>
                <w:rFonts w:ascii="Times New Roman"/>
                <w:kern w:val="0"/>
                <w:sz w:val="21"/>
                <w:szCs w:val="21"/>
              </w:rPr>
              <w:t>抛丸</w:t>
            </w:r>
            <w:r>
              <w:rPr>
                <w:rFonts w:hint="eastAsia" w:ascii="Times New Roman"/>
                <w:kern w:val="0"/>
                <w:sz w:val="21"/>
                <w:szCs w:val="21"/>
              </w:rPr>
              <w:t>、喷砂</w:t>
            </w:r>
            <w:r>
              <w:rPr>
                <w:rFonts w:ascii="Times New Roman"/>
                <w:kern w:val="0"/>
                <w:sz w:val="21"/>
                <w:szCs w:val="21"/>
              </w:rPr>
              <w:t>工序废气</w:t>
            </w:r>
            <w:r>
              <w:rPr>
                <w:rFonts w:hint="eastAsia" w:ascii="Times New Roman"/>
                <w:kern w:val="0"/>
                <w:sz w:val="21"/>
                <w:szCs w:val="21"/>
              </w:rPr>
              <w:t>经自带旋风除尘器</w:t>
            </w:r>
            <w:r>
              <w:rPr>
                <w:rFonts w:ascii="Times New Roman"/>
                <w:kern w:val="0"/>
                <w:sz w:val="21"/>
                <w:szCs w:val="21"/>
              </w:rPr>
              <w:t>收集</w:t>
            </w:r>
            <w:r>
              <w:rPr>
                <w:rFonts w:hint="eastAsia" w:ascii="Times New Roman"/>
                <w:kern w:val="0"/>
                <w:sz w:val="21"/>
                <w:szCs w:val="21"/>
              </w:rPr>
              <w:t>处理后，引入滤筒</w:t>
            </w:r>
            <w:r>
              <w:rPr>
                <w:rFonts w:ascii="Times New Roman"/>
                <w:kern w:val="0"/>
                <w:sz w:val="21"/>
                <w:szCs w:val="21"/>
              </w:rPr>
              <w:t>除尘器处理后，由1根2</w:t>
            </w:r>
            <w:r>
              <w:rPr>
                <w:rFonts w:hint="eastAsia" w:ascii="Times New Roman"/>
                <w:kern w:val="0"/>
                <w:sz w:val="21"/>
                <w:szCs w:val="21"/>
              </w:rPr>
              <w:t>0</w:t>
            </w:r>
            <w:r>
              <w:rPr>
                <w:rFonts w:ascii="Times New Roman"/>
                <w:kern w:val="0"/>
                <w:sz w:val="21"/>
                <w:szCs w:val="21"/>
              </w:rPr>
              <w:t>m高排气筒DA007排放；</w:t>
            </w:r>
          </w:p>
        </w:tc>
      </w:tr>
      <w:tr w14:paraId="01CE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86" w:type="pct"/>
            <w:vMerge w:val="continue"/>
            <w:vAlign w:val="center"/>
          </w:tcPr>
          <w:p w14:paraId="3980F097">
            <w:pPr>
              <w:adjustRightInd w:val="0"/>
              <w:jc w:val="center"/>
              <w:rPr>
                <w:rFonts w:ascii="Times New Roman"/>
                <w:kern w:val="0"/>
                <w:sz w:val="21"/>
                <w:szCs w:val="21"/>
              </w:rPr>
            </w:pPr>
          </w:p>
        </w:tc>
        <w:tc>
          <w:tcPr>
            <w:tcW w:w="688" w:type="pct"/>
            <w:vMerge w:val="continue"/>
            <w:vAlign w:val="center"/>
          </w:tcPr>
          <w:p w14:paraId="07B414A2">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46E33F7E">
            <w:pPr>
              <w:adjustRightInd w:val="0"/>
              <w:jc w:val="center"/>
              <w:rPr>
                <w:rFonts w:ascii="Times New Roman"/>
                <w:sz w:val="21"/>
                <w:szCs w:val="21"/>
              </w:rPr>
            </w:pPr>
          </w:p>
        </w:tc>
        <w:tc>
          <w:tcPr>
            <w:tcW w:w="3473" w:type="pct"/>
            <w:tcBorders>
              <w:left w:val="single" w:color="auto" w:sz="4" w:space="0"/>
              <w:right w:val="single" w:color="auto" w:sz="4" w:space="0"/>
            </w:tcBorders>
            <w:vAlign w:val="center"/>
          </w:tcPr>
          <w:p w14:paraId="1C271E96">
            <w:pPr>
              <w:adjustRightInd w:val="0"/>
              <w:jc w:val="center"/>
              <w:rPr>
                <w:rFonts w:ascii="Times New Roman"/>
                <w:kern w:val="0"/>
                <w:sz w:val="21"/>
                <w:szCs w:val="21"/>
              </w:rPr>
            </w:pPr>
            <w:r>
              <w:rPr>
                <w:rFonts w:hint="eastAsia" w:ascii="Times New Roman"/>
                <w:kern w:val="0"/>
                <w:sz w:val="21"/>
                <w:szCs w:val="21"/>
              </w:rPr>
              <w:t>热水锅炉燃烧废气，采用低氮燃烧技术，</w:t>
            </w:r>
            <w:r>
              <w:rPr>
                <w:rFonts w:ascii="Times New Roman"/>
                <w:kern w:val="0"/>
                <w:sz w:val="21"/>
                <w:szCs w:val="21"/>
              </w:rPr>
              <w:t>由1根2</w:t>
            </w:r>
            <w:r>
              <w:rPr>
                <w:rFonts w:hint="eastAsia" w:ascii="Times New Roman"/>
                <w:kern w:val="0"/>
                <w:sz w:val="21"/>
                <w:szCs w:val="21"/>
              </w:rPr>
              <w:t>2</w:t>
            </w:r>
            <w:r>
              <w:rPr>
                <w:rFonts w:ascii="Times New Roman"/>
                <w:kern w:val="0"/>
                <w:sz w:val="21"/>
                <w:szCs w:val="21"/>
              </w:rPr>
              <w:t>m高排气筒DA008排放；</w:t>
            </w:r>
          </w:p>
        </w:tc>
      </w:tr>
      <w:tr w14:paraId="3D3C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286" w:type="pct"/>
            <w:vMerge w:val="continue"/>
            <w:vAlign w:val="center"/>
          </w:tcPr>
          <w:p w14:paraId="76B90F48">
            <w:pPr>
              <w:adjustRightInd w:val="0"/>
              <w:jc w:val="center"/>
              <w:rPr>
                <w:rFonts w:ascii="Times New Roman"/>
                <w:kern w:val="0"/>
                <w:sz w:val="21"/>
                <w:szCs w:val="21"/>
              </w:rPr>
            </w:pPr>
          </w:p>
        </w:tc>
        <w:tc>
          <w:tcPr>
            <w:tcW w:w="688" w:type="pct"/>
            <w:vMerge w:val="continue"/>
            <w:vAlign w:val="center"/>
          </w:tcPr>
          <w:p w14:paraId="2AD25902">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729F4C86">
            <w:pPr>
              <w:adjustRightInd w:val="0"/>
              <w:jc w:val="center"/>
              <w:rPr>
                <w:rFonts w:ascii="Times New Roman"/>
                <w:kern w:val="0"/>
                <w:sz w:val="21"/>
                <w:szCs w:val="21"/>
              </w:rPr>
            </w:pPr>
          </w:p>
        </w:tc>
        <w:tc>
          <w:tcPr>
            <w:tcW w:w="3473" w:type="pct"/>
            <w:tcBorders>
              <w:left w:val="single" w:color="auto" w:sz="4" w:space="0"/>
              <w:right w:val="single" w:color="auto" w:sz="4" w:space="0"/>
            </w:tcBorders>
            <w:vAlign w:val="center"/>
          </w:tcPr>
          <w:p w14:paraId="0510E830">
            <w:pPr>
              <w:adjustRightInd w:val="0"/>
              <w:jc w:val="center"/>
              <w:rPr>
                <w:rFonts w:ascii="Times New Roman"/>
                <w:kern w:val="0"/>
                <w:sz w:val="21"/>
                <w:szCs w:val="21"/>
              </w:rPr>
            </w:pPr>
            <w:r>
              <w:rPr>
                <w:rFonts w:ascii="Times New Roman"/>
                <w:kern w:val="0"/>
                <w:sz w:val="21"/>
                <w:szCs w:val="21"/>
              </w:rPr>
              <w:t>喷塑废气经自带滤筒除尘器收集处理后，由1根2</w:t>
            </w:r>
            <w:r>
              <w:rPr>
                <w:rFonts w:hint="eastAsia" w:ascii="Times New Roman"/>
                <w:kern w:val="0"/>
                <w:sz w:val="21"/>
                <w:szCs w:val="21"/>
              </w:rPr>
              <w:t>2</w:t>
            </w:r>
            <w:r>
              <w:rPr>
                <w:rFonts w:ascii="Times New Roman"/>
                <w:kern w:val="0"/>
                <w:sz w:val="21"/>
                <w:szCs w:val="21"/>
              </w:rPr>
              <w:t>m高排气筒DA00</w:t>
            </w:r>
            <w:r>
              <w:rPr>
                <w:rFonts w:hint="eastAsia" w:ascii="Times New Roman"/>
                <w:kern w:val="0"/>
                <w:sz w:val="21"/>
                <w:szCs w:val="21"/>
              </w:rPr>
              <w:t>9</w:t>
            </w:r>
            <w:r>
              <w:rPr>
                <w:rFonts w:ascii="Times New Roman"/>
                <w:kern w:val="0"/>
                <w:sz w:val="21"/>
                <w:szCs w:val="21"/>
              </w:rPr>
              <w:t>排放；</w:t>
            </w:r>
          </w:p>
        </w:tc>
      </w:tr>
      <w:tr w14:paraId="3DBE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286" w:type="pct"/>
            <w:vMerge w:val="continue"/>
            <w:vAlign w:val="center"/>
          </w:tcPr>
          <w:p w14:paraId="433FF952">
            <w:pPr>
              <w:adjustRightInd w:val="0"/>
              <w:jc w:val="center"/>
              <w:rPr>
                <w:rFonts w:ascii="Times New Roman"/>
                <w:kern w:val="0"/>
                <w:sz w:val="21"/>
                <w:szCs w:val="21"/>
              </w:rPr>
            </w:pPr>
          </w:p>
        </w:tc>
        <w:tc>
          <w:tcPr>
            <w:tcW w:w="688" w:type="pct"/>
            <w:vMerge w:val="continue"/>
            <w:vAlign w:val="center"/>
          </w:tcPr>
          <w:p w14:paraId="71B3F49E">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4FFD6925">
            <w:pPr>
              <w:adjustRightInd w:val="0"/>
              <w:jc w:val="center"/>
              <w:rPr>
                <w:rFonts w:ascii="Times New Roman"/>
                <w:kern w:val="0"/>
                <w:sz w:val="21"/>
                <w:szCs w:val="21"/>
              </w:rPr>
            </w:pPr>
          </w:p>
        </w:tc>
        <w:tc>
          <w:tcPr>
            <w:tcW w:w="3473" w:type="pct"/>
            <w:tcBorders>
              <w:left w:val="single" w:color="auto" w:sz="4" w:space="0"/>
              <w:right w:val="single" w:color="auto" w:sz="4" w:space="0"/>
            </w:tcBorders>
            <w:vAlign w:val="center"/>
          </w:tcPr>
          <w:p w14:paraId="76A128A4">
            <w:pPr>
              <w:adjustRightInd w:val="0"/>
              <w:jc w:val="center"/>
              <w:rPr>
                <w:rFonts w:ascii="Times New Roman"/>
                <w:kern w:val="0"/>
                <w:sz w:val="21"/>
                <w:szCs w:val="21"/>
              </w:rPr>
            </w:pPr>
            <w:r>
              <w:rPr>
                <w:rFonts w:ascii="Times New Roman"/>
                <w:kern w:val="0"/>
                <w:sz w:val="21"/>
                <w:szCs w:val="21"/>
              </w:rPr>
              <w:t>喷塑固化、强冷工序废气负压收集引入“</w:t>
            </w:r>
            <w:r>
              <w:rPr>
                <w:rFonts w:hint="eastAsia" w:ascii="Times New Roman"/>
                <w:kern w:val="0"/>
                <w:sz w:val="21"/>
                <w:szCs w:val="21"/>
              </w:rPr>
              <w:t>水喷淋+</w:t>
            </w:r>
            <w:r>
              <w:rPr>
                <w:rFonts w:ascii="Times New Roman"/>
                <w:kern w:val="0"/>
                <w:sz w:val="21"/>
                <w:szCs w:val="21"/>
              </w:rPr>
              <w:t>二级活性炭吸附装置”净化工艺处理后，由1根2</w:t>
            </w:r>
            <w:r>
              <w:rPr>
                <w:rFonts w:hint="eastAsia" w:ascii="Times New Roman"/>
                <w:kern w:val="0"/>
                <w:sz w:val="21"/>
                <w:szCs w:val="21"/>
              </w:rPr>
              <w:t>2</w:t>
            </w:r>
            <w:r>
              <w:rPr>
                <w:rFonts w:ascii="Times New Roman"/>
                <w:kern w:val="0"/>
                <w:sz w:val="21"/>
                <w:szCs w:val="21"/>
              </w:rPr>
              <w:t>米高排气筒DA0</w:t>
            </w:r>
            <w:r>
              <w:rPr>
                <w:rFonts w:hint="eastAsia" w:ascii="Times New Roman"/>
                <w:kern w:val="0"/>
                <w:sz w:val="21"/>
                <w:szCs w:val="21"/>
              </w:rPr>
              <w:t>10</w:t>
            </w:r>
            <w:r>
              <w:rPr>
                <w:rFonts w:ascii="Times New Roman"/>
                <w:kern w:val="0"/>
                <w:sz w:val="21"/>
                <w:szCs w:val="21"/>
              </w:rPr>
              <w:t>排放；</w:t>
            </w:r>
          </w:p>
        </w:tc>
      </w:tr>
      <w:tr w14:paraId="2C72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286" w:type="pct"/>
            <w:vMerge w:val="continue"/>
            <w:vAlign w:val="center"/>
          </w:tcPr>
          <w:p w14:paraId="10473D97">
            <w:pPr>
              <w:adjustRightInd w:val="0"/>
              <w:jc w:val="center"/>
              <w:rPr>
                <w:rFonts w:ascii="Times New Roman"/>
                <w:kern w:val="0"/>
                <w:sz w:val="21"/>
                <w:szCs w:val="21"/>
              </w:rPr>
            </w:pPr>
          </w:p>
        </w:tc>
        <w:tc>
          <w:tcPr>
            <w:tcW w:w="688" w:type="pct"/>
            <w:vMerge w:val="continue"/>
            <w:vAlign w:val="center"/>
          </w:tcPr>
          <w:p w14:paraId="16DBFD22">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205F6DBE">
            <w:pPr>
              <w:adjustRightInd w:val="0"/>
              <w:jc w:val="center"/>
              <w:rPr>
                <w:rFonts w:ascii="Times New Roman"/>
                <w:kern w:val="0"/>
                <w:sz w:val="21"/>
                <w:szCs w:val="21"/>
              </w:rPr>
            </w:pPr>
          </w:p>
        </w:tc>
        <w:tc>
          <w:tcPr>
            <w:tcW w:w="3473" w:type="pct"/>
            <w:tcBorders>
              <w:left w:val="single" w:color="auto" w:sz="4" w:space="0"/>
              <w:right w:val="single" w:color="auto" w:sz="4" w:space="0"/>
            </w:tcBorders>
            <w:vAlign w:val="center"/>
          </w:tcPr>
          <w:p w14:paraId="249E4956">
            <w:pPr>
              <w:adjustRightInd w:val="0"/>
              <w:jc w:val="center"/>
              <w:rPr>
                <w:rFonts w:ascii="Times New Roman"/>
                <w:kern w:val="0"/>
                <w:sz w:val="21"/>
                <w:szCs w:val="21"/>
              </w:rPr>
            </w:pPr>
            <w:r>
              <w:rPr>
                <w:rFonts w:ascii="Times New Roman"/>
                <w:kern w:val="0"/>
                <w:sz w:val="21"/>
                <w:szCs w:val="21"/>
              </w:rPr>
              <w:t>喷漆房为干式，电泳、喷漆、流平废气与烘干固化、强冷废气负压收集一并引入“4级干式过滤器+沸石轮转吸附+RTO焚烧装置”净化工艺处理后，由1根2</w:t>
            </w:r>
            <w:r>
              <w:rPr>
                <w:rFonts w:hint="eastAsia" w:ascii="Times New Roman"/>
                <w:kern w:val="0"/>
                <w:sz w:val="21"/>
                <w:szCs w:val="21"/>
              </w:rPr>
              <w:t>2</w:t>
            </w:r>
            <w:r>
              <w:rPr>
                <w:rFonts w:ascii="Times New Roman"/>
                <w:kern w:val="0"/>
                <w:sz w:val="21"/>
                <w:szCs w:val="21"/>
              </w:rPr>
              <w:t>米高排气筒DA0</w:t>
            </w:r>
            <w:r>
              <w:rPr>
                <w:rFonts w:hint="eastAsia" w:ascii="Times New Roman"/>
                <w:kern w:val="0"/>
                <w:sz w:val="21"/>
                <w:szCs w:val="21"/>
              </w:rPr>
              <w:t>11</w:t>
            </w:r>
            <w:r>
              <w:rPr>
                <w:rFonts w:ascii="Times New Roman"/>
                <w:kern w:val="0"/>
                <w:sz w:val="21"/>
                <w:szCs w:val="21"/>
              </w:rPr>
              <w:t>排放；</w:t>
            </w:r>
          </w:p>
        </w:tc>
      </w:tr>
      <w:tr w14:paraId="3EC4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286" w:type="pct"/>
            <w:vMerge w:val="continue"/>
            <w:vAlign w:val="center"/>
          </w:tcPr>
          <w:p w14:paraId="243578B0">
            <w:pPr>
              <w:adjustRightInd w:val="0"/>
              <w:jc w:val="center"/>
              <w:rPr>
                <w:rFonts w:ascii="Times New Roman"/>
                <w:kern w:val="0"/>
                <w:sz w:val="21"/>
                <w:szCs w:val="21"/>
              </w:rPr>
            </w:pPr>
          </w:p>
        </w:tc>
        <w:tc>
          <w:tcPr>
            <w:tcW w:w="688" w:type="pct"/>
            <w:vMerge w:val="continue"/>
            <w:vAlign w:val="center"/>
          </w:tcPr>
          <w:p w14:paraId="4BBD8DC0">
            <w:pPr>
              <w:adjustRightInd w:val="0"/>
              <w:jc w:val="center"/>
              <w:rPr>
                <w:rFonts w:ascii="Times New Roman"/>
                <w:kern w:val="0"/>
                <w:sz w:val="21"/>
                <w:szCs w:val="21"/>
              </w:rPr>
            </w:pPr>
          </w:p>
        </w:tc>
        <w:tc>
          <w:tcPr>
            <w:tcW w:w="551" w:type="pct"/>
            <w:vMerge w:val="restart"/>
            <w:tcBorders>
              <w:left w:val="single" w:color="auto" w:sz="4" w:space="0"/>
              <w:right w:val="single" w:color="auto" w:sz="4" w:space="0"/>
            </w:tcBorders>
            <w:vAlign w:val="center"/>
          </w:tcPr>
          <w:p w14:paraId="4D4493B7">
            <w:pPr>
              <w:adjustRightInd w:val="0"/>
              <w:jc w:val="center"/>
              <w:rPr>
                <w:rFonts w:ascii="Times New Roman"/>
                <w:kern w:val="0"/>
                <w:sz w:val="21"/>
                <w:szCs w:val="21"/>
              </w:rPr>
            </w:pPr>
            <w:r>
              <w:rPr>
                <w:rFonts w:hint="eastAsia" w:ascii="Times New Roman"/>
                <w:sz w:val="21"/>
                <w:szCs w:val="21"/>
              </w:rPr>
              <w:t>托辊及装配厂房-托辊生产线</w:t>
            </w:r>
          </w:p>
        </w:tc>
        <w:tc>
          <w:tcPr>
            <w:tcW w:w="3473" w:type="pct"/>
            <w:tcBorders>
              <w:left w:val="single" w:color="auto" w:sz="4" w:space="0"/>
              <w:right w:val="single" w:color="auto" w:sz="4" w:space="0"/>
            </w:tcBorders>
            <w:vAlign w:val="center"/>
          </w:tcPr>
          <w:p w14:paraId="0D4D1AC6">
            <w:pPr>
              <w:adjustRightInd w:val="0"/>
              <w:jc w:val="center"/>
              <w:rPr>
                <w:rFonts w:ascii="Times New Roman"/>
                <w:kern w:val="0"/>
                <w:sz w:val="21"/>
                <w:szCs w:val="21"/>
              </w:rPr>
            </w:pPr>
            <w:r>
              <w:rPr>
                <w:rFonts w:ascii="Times New Roman"/>
                <w:kern w:val="0"/>
                <w:sz w:val="21"/>
                <w:szCs w:val="21"/>
              </w:rPr>
              <w:t>托辊生产焊接、除锈工序经集气罩（四周设置软帘）收集后经</w:t>
            </w:r>
            <w:r>
              <w:rPr>
                <w:rFonts w:hint="eastAsia" w:ascii="Times New Roman"/>
                <w:kern w:val="0"/>
                <w:sz w:val="21"/>
                <w:szCs w:val="21"/>
              </w:rPr>
              <w:t>滤筒</w:t>
            </w:r>
            <w:r>
              <w:rPr>
                <w:rFonts w:ascii="Times New Roman"/>
                <w:kern w:val="0"/>
                <w:sz w:val="21"/>
                <w:szCs w:val="21"/>
              </w:rPr>
              <w:t>除尘器处理后无组织外排</w:t>
            </w:r>
          </w:p>
        </w:tc>
      </w:tr>
      <w:tr w14:paraId="5BCA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286" w:type="pct"/>
            <w:vMerge w:val="continue"/>
            <w:vAlign w:val="center"/>
          </w:tcPr>
          <w:p w14:paraId="61FC0CBB">
            <w:pPr>
              <w:adjustRightInd w:val="0"/>
              <w:jc w:val="center"/>
              <w:rPr>
                <w:rFonts w:ascii="Times New Roman"/>
                <w:kern w:val="0"/>
                <w:sz w:val="21"/>
                <w:szCs w:val="21"/>
              </w:rPr>
            </w:pPr>
          </w:p>
        </w:tc>
        <w:tc>
          <w:tcPr>
            <w:tcW w:w="688" w:type="pct"/>
            <w:vMerge w:val="continue"/>
            <w:vAlign w:val="center"/>
          </w:tcPr>
          <w:p w14:paraId="691646E8">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0B2CB14C">
            <w:pPr>
              <w:adjustRightInd w:val="0"/>
              <w:jc w:val="center"/>
              <w:rPr>
                <w:rFonts w:ascii="Times New Roman"/>
                <w:kern w:val="0"/>
                <w:sz w:val="21"/>
                <w:szCs w:val="21"/>
              </w:rPr>
            </w:pPr>
          </w:p>
        </w:tc>
        <w:tc>
          <w:tcPr>
            <w:tcW w:w="3473" w:type="pct"/>
            <w:tcBorders>
              <w:left w:val="single" w:color="auto" w:sz="4" w:space="0"/>
              <w:right w:val="single" w:color="auto" w:sz="4" w:space="0"/>
            </w:tcBorders>
            <w:shd w:val="clear" w:color="auto" w:fill="auto"/>
            <w:vAlign w:val="center"/>
          </w:tcPr>
          <w:p w14:paraId="24623E4D">
            <w:pPr>
              <w:adjustRightInd w:val="0"/>
              <w:jc w:val="center"/>
              <w:rPr>
                <w:rFonts w:ascii="Times New Roman"/>
                <w:kern w:val="0"/>
                <w:sz w:val="21"/>
                <w:szCs w:val="21"/>
              </w:rPr>
            </w:pPr>
            <w:r>
              <w:rPr>
                <w:rFonts w:ascii="Times New Roman"/>
                <w:kern w:val="0"/>
                <w:sz w:val="21"/>
                <w:szCs w:val="21"/>
              </w:rPr>
              <w:t>喷塑废气经自带滤筒除尘器收集处理后，由1根20m高排气筒DA01</w:t>
            </w:r>
            <w:r>
              <w:rPr>
                <w:rFonts w:hint="eastAsia" w:ascii="Times New Roman"/>
                <w:kern w:val="0"/>
                <w:sz w:val="21"/>
                <w:szCs w:val="21"/>
              </w:rPr>
              <w:t>2</w:t>
            </w:r>
            <w:r>
              <w:rPr>
                <w:rFonts w:ascii="Times New Roman"/>
                <w:kern w:val="0"/>
                <w:sz w:val="21"/>
                <w:szCs w:val="21"/>
              </w:rPr>
              <w:t>排放；</w:t>
            </w:r>
          </w:p>
        </w:tc>
      </w:tr>
      <w:tr w14:paraId="42CA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286" w:type="pct"/>
            <w:vMerge w:val="continue"/>
            <w:vAlign w:val="center"/>
          </w:tcPr>
          <w:p w14:paraId="17DBCD65">
            <w:pPr>
              <w:adjustRightInd w:val="0"/>
              <w:jc w:val="center"/>
              <w:rPr>
                <w:rFonts w:ascii="Times New Roman"/>
                <w:kern w:val="0"/>
                <w:sz w:val="21"/>
                <w:szCs w:val="21"/>
              </w:rPr>
            </w:pPr>
          </w:p>
        </w:tc>
        <w:tc>
          <w:tcPr>
            <w:tcW w:w="688" w:type="pct"/>
            <w:vMerge w:val="continue"/>
            <w:vAlign w:val="center"/>
          </w:tcPr>
          <w:p w14:paraId="3D0E5762">
            <w:pPr>
              <w:adjustRightInd w:val="0"/>
              <w:jc w:val="center"/>
              <w:rPr>
                <w:rFonts w:ascii="Times New Roman"/>
                <w:kern w:val="0"/>
                <w:sz w:val="21"/>
                <w:szCs w:val="21"/>
              </w:rPr>
            </w:pPr>
          </w:p>
        </w:tc>
        <w:tc>
          <w:tcPr>
            <w:tcW w:w="551" w:type="pct"/>
            <w:vMerge w:val="continue"/>
            <w:tcBorders>
              <w:left w:val="single" w:color="auto" w:sz="4" w:space="0"/>
              <w:right w:val="single" w:color="auto" w:sz="4" w:space="0"/>
            </w:tcBorders>
            <w:vAlign w:val="center"/>
          </w:tcPr>
          <w:p w14:paraId="6099BEDD">
            <w:pPr>
              <w:adjustRightInd w:val="0"/>
              <w:jc w:val="center"/>
              <w:rPr>
                <w:rFonts w:ascii="Times New Roman"/>
                <w:kern w:val="0"/>
                <w:sz w:val="21"/>
                <w:szCs w:val="21"/>
              </w:rPr>
            </w:pPr>
          </w:p>
        </w:tc>
        <w:tc>
          <w:tcPr>
            <w:tcW w:w="3473" w:type="pct"/>
            <w:tcBorders>
              <w:left w:val="single" w:color="auto" w:sz="4" w:space="0"/>
              <w:right w:val="single" w:color="auto" w:sz="4" w:space="0"/>
            </w:tcBorders>
            <w:shd w:val="clear" w:color="auto" w:fill="auto"/>
            <w:vAlign w:val="center"/>
          </w:tcPr>
          <w:p w14:paraId="4B63CF7A">
            <w:pPr>
              <w:adjustRightInd w:val="0"/>
              <w:jc w:val="center"/>
              <w:rPr>
                <w:rFonts w:ascii="Times New Roman"/>
                <w:kern w:val="0"/>
                <w:sz w:val="21"/>
                <w:szCs w:val="21"/>
              </w:rPr>
            </w:pPr>
            <w:r>
              <w:rPr>
                <w:rFonts w:ascii="Times New Roman"/>
                <w:kern w:val="0"/>
                <w:sz w:val="21"/>
                <w:szCs w:val="21"/>
              </w:rPr>
              <w:t>喷塑固化工序废气负压收集引入“</w:t>
            </w:r>
            <w:r>
              <w:rPr>
                <w:rFonts w:hint="eastAsia" w:ascii="Times New Roman"/>
                <w:kern w:val="0"/>
                <w:sz w:val="21"/>
                <w:szCs w:val="21"/>
              </w:rPr>
              <w:t>水喷淋+</w:t>
            </w:r>
            <w:r>
              <w:rPr>
                <w:rFonts w:ascii="Times New Roman"/>
                <w:kern w:val="0"/>
                <w:sz w:val="21"/>
                <w:szCs w:val="21"/>
              </w:rPr>
              <w:t>二级活性炭吸附装置”净化工艺处理后，由1根20米高排气筒DA01</w:t>
            </w:r>
            <w:r>
              <w:rPr>
                <w:rFonts w:hint="eastAsia" w:ascii="Times New Roman"/>
                <w:kern w:val="0"/>
                <w:sz w:val="21"/>
                <w:szCs w:val="21"/>
              </w:rPr>
              <w:t>3</w:t>
            </w:r>
            <w:r>
              <w:rPr>
                <w:rFonts w:ascii="Times New Roman"/>
                <w:kern w:val="0"/>
                <w:sz w:val="21"/>
                <w:szCs w:val="21"/>
              </w:rPr>
              <w:t>排放；</w:t>
            </w:r>
          </w:p>
        </w:tc>
      </w:tr>
      <w:tr w14:paraId="5783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Merge w:val="continue"/>
            <w:vAlign w:val="center"/>
          </w:tcPr>
          <w:p w14:paraId="4FA6F12A">
            <w:pPr>
              <w:adjustRightInd w:val="0"/>
              <w:jc w:val="center"/>
              <w:rPr>
                <w:rFonts w:ascii="Times New Roman"/>
                <w:kern w:val="0"/>
                <w:sz w:val="21"/>
                <w:szCs w:val="21"/>
              </w:rPr>
            </w:pPr>
          </w:p>
        </w:tc>
        <w:tc>
          <w:tcPr>
            <w:tcW w:w="688" w:type="pct"/>
            <w:vMerge w:val="continue"/>
            <w:vAlign w:val="center"/>
          </w:tcPr>
          <w:p w14:paraId="02F4132B">
            <w:pPr>
              <w:adjustRightInd w:val="0"/>
              <w:jc w:val="center"/>
              <w:rPr>
                <w:rFonts w:ascii="Times New Roman"/>
                <w:kern w:val="0"/>
                <w:sz w:val="21"/>
                <w:szCs w:val="21"/>
              </w:rPr>
            </w:pPr>
          </w:p>
        </w:tc>
        <w:tc>
          <w:tcPr>
            <w:tcW w:w="551" w:type="pct"/>
            <w:tcBorders>
              <w:left w:val="single" w:color="auto" w:sz="4" w:space="0"/>
              <w:right w:val="single" w:color="auto" w:sz="4" w:space="0"/>
            </w:tcBorders>
            <w:shd w:val="clear" w:color="auto" w:fill="auto"/>
            <w:vAlign w:val="center"/>
          </w:tcPr>
          <w:p w14:paraId="36FAAAD7">
            <w:pPr>
              <w:adjustRightInd w:val="0"/>
              <w:jc w:val="center"/>
              <w:rPr>
                <w:rFonts w:ascii="Times New Roman"/>
                <w:kern w:val="0"/>
                <w:sz w:val="21"/>
                <w:szCs w:val="21"/>
              </w:rPr>
            </w:pPr>
            <w:r>
              <w:rPr>
                <w:rFonts w:ascii="Times New Roman"/>
                <w:kern w:val="0"/>
                <w:sz w:val="21"/>
                <w:szCs w:val="21"/>
              </w:rPr>
              <w:t>食堂</w:t>
            </w:r>
          </w:p>
        </w:tc>
        <w:tc>
          <w:tcPr>
            <w:tcW w:w="3473" w:type="pct"/>
            <w:tcBorders>
              <w:left w:val="single" w:color="auto" w:sz="4" w:space="0"/>
              <w:right w:val="single" w:color="auto" w:sz="4" w:space="0"/>
            </w:tcBorders>
            <w:shd w:val="clear" w:color="auto" w:fill="auto"/>
            <w:vAlign w:val="center"/>
          </w:tcPr>
          <w:p w14:paraId="7AF7D9FC">
            <w:pPr>
              <w:adjustRightInd w:val="0"/>
              <w:jc w:val="center"/>
              <w:rPr>
                <w:rFonts w:ascii="Times New Roman"/>
                <w:kern w:val="0"/>
                <w:sz w:val="21"/>
                <w:szCs w:val="21"/>
              </w:rPr>
            </w:pPr>
            <w:r>
              <w:rPr>
                <w:rFonts w:ascii="Times New Roman"/>
                <w:kern w:val="0"/>
                <w:sz w:val="21"/>
                <w:szCs w:val="21"/>
              </w:rPr>
              <w:t>食堂油烟经油烟净化器装置处理后，由专用烟道DA01</w:t>
            </w:r>
            <w:r>
              <w:rPr>
                <w:rFonts w:hint="eastAsia" w:ascii="Times New Roman"/>
                <w:kern w:val="0"/>
                <w:sz w:val="21"/>
                <w:szCs w:val="21"/>
              </w:rPr>
              <w:t>4</w:t>
            </w:r>
            <w:r>
              <w:rPr>
                <w:rFonts w:ascii="Times New Roman"/>
                <w:kern w:val="0"/>
                <w:sz w:val="21"/>
                <w:szCs w:val="21"/>
              </w:rPr>
              <w:t>楼顶排放；</w:t>
            </w:r>
          </w:p>
        </w:tc>
      </w:tr>
      <w:tr w14:paraId="6BB9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86" w:type="pct"/>
            <w:vMerge w:val="continue"/>
            <w:vAlign w:val="center"/>
          </w:tcPr>
          <w:p w14:paraId="3A468141">
            <w:pPr>
              <w:adjustRightInd w:val="0"/>
              <w:jc w:val="center"/>
              <w:rPr>
                <w:rFonts w:ascii="Times New Roman"/>
                <w:kern w:val="0"/>
                <w:sz w:val="21"/>
                <w:szCs w:val="21"/>
              </w:rPr>
            </w:pPr>
          </w:p>
        </w:tc>
        <w:tc>
          <w:tcPr>
            <w:tcW w:w="688" w:type="pct"/>
            <w:vMerge w:val="continue"/>
            <w:vAlign w:val="center"/>
          </w:tcPr>
          <w:p w14:paraId="6CBA109A">
            <w:pPr>
              <w:adjustRightInd w:val="0"/>
              <w:jc w:val="center"/>
              <w:rPr>
                <w:rFonts w:ascii="Times New Roman"/>
                <w:kern w:val="0"/>
                <w:sz w:val="21"/>
                <w:szCs w:val="21"/>
              </w:rPr>
            </w:pPr>
          </w:p>
        </w:tc>
        <w:tc>
          <w:tcPr>
            <w:tcW w:w="551" w:type="pct"/>
            <w:tcBorders>
              <w:left w:val="single" w:color="auto" w:sz="4" w:space="0"/>
              <w:right w:val="single" w:color="auto" w:sz="4" w:space="0"/>
            </w:tcBorders>
            <w:vAlign w:val="center"/>
          </w:tcPr>
          <w:p w14:paraId="34BBA669">
            <w:pPr>
              <w:adjustRightInd w:val="0"/>
              <w:jc w:val="center"/>
              <w:rPr>
                <w:rFonts w:ascii="Times New Roman"/>
                <w:kern w:val="0"/>
                <w:sz w:val="21"/>
                <w:szCs w:val="21"/>
              </w:rPr>
            </w:pPr>
            <w:r>
              <w:rPr>
                <w:rFonts w:ascii="Times New Roman"/>
                <w:kern w:val="0"/>
                <w:sz w:val="21"/>
                <w:szCs w:val="21"/>
              </w:rPr>
              <w:t>污水处理站废气</w:t>
            </w:r>
          </w:p>
        </w:tc>
        <w:tc>
          <w:tcPr>
            <w:tcW w:w="3473" w:type="pct"/>
            <w:tcBorders>
              <w:left w:val="single" w:color="auto" w:sz="4" w:space="0"/>
              <w:right w:val="single" w:color="auto" w:sz="4" w:space="0"/>
            </w:tcBorders>
            <w:vAlign w:val="center"/>
          </w:tcPr>
          <w:p w14:paraId="49900BEA">
            <w:pPr>
              <w:adjustRightInd w:val="0"/>
              <w:jc w:val="center"/>
              <w:rPr>
                <w:rFonts w:ascii="Times New Roman"/>
                <w:kern w:val="0"/>
                <w:sz w:val="21"/>
                <w:szCs w:val="21"/>
              </w:rPr>
            </w:pPr>
            <w:r>
              <w:rPr>
                <w:rFonts w:ascii="Times New Roman"/>
                <w:kern w:val="0"/>
                <w:sz w:val="21"/>
                <w:szCs w:val="21"/>
              </w:rPr>
              <w:t>污水处理站密闭，定期喷洒微生物除臭剂，产生的废气无组织排放</w:t>
            </w:r>
          </w:p>
        </w:tc>
      </w:tr>
      <w:tr w14:paraId="2DA3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3" w:hRule="atLeast"/>
          <w:jc w:val="center"/>
        </w:trPr>
        <w:tc>
          <w:tcPr>
            <w:tcW w:w="286" w:type="pct"/>
            <w:vMerge w:val="continue"/>
            <w:vAlign w:val="center"/>
          </w:tcPr>
          <w:p w14:paraId="2EFE3A93">
            <w:pPr>
              <w:adjustRightInd w:val="0"/>
              <w:jc w:val="center"/>
              <w:rPr>
                <w:rFonts w:ascii="Times New Roman"/>
                <w:kern w:val="0"/>
                <w:sz w:val="21"/>
                <w:szCs w:val="21"/>
              </w:rPr>
            </w:pPr>
          </w:p>
        </w:tc>
        <w:tc>
          <w:tcPr>
            <w:tcW w:w="688" w:type="pct"/>
            <w:vMerge w:val="restart"/>
            <w:vAlign w:val="center"/>
          </w:tcPr>
          <w:p w14:paraId="49C1BF78">
            <w:pPr>
              <w:adjustRightInd w:val="0"/>
              <w:jc w:val="center"/>
              <w:rPr>
                <w:rFonts w:ascii="Times New Roman"/>
                <w:kern w:val="0"/>
                <w:sz w:val="21"/>
                <w:szCs w:val="21"/>
              </w:rPr>
            </w:pPr>
            <w:r>
              <w:rPr>
                <w:rFonts w:ascii="Times New Roman"/>
                <w:kern w:val="0"/>
                <w:sz w:val="21"/>
                <w:szCs w:val="21"/>
              </w:rPr>
              <w:t>废水</w:t>
            </w:r>
          </w:p>
        </w:tc>
        <w:tc>
          <w:tcPr>
            <w:tcW w:w="4024" w:type="pct"/>
            <w:gridSpan w:val="2"/>
            <w:vAlign w:val="center"/>
          </w:tcPr>
          <w:p w14:paraId="7BB630A0">
            <w:pPr>
              <w:adjustRightInd w:val="0"/>
              <w:jc w:val="center"/>
              <w:rPr>
                <w:rFonts w:ascii="Times New Roman"/>
                <w:kern w:val="0"/>
                <w:sz w:val="21"/>
                <w:szCs w:val="21"/>
              </w:rPr>
            </w:pPr>
            <w:r>
              <w:rPr>
                <w:rFonts w:ascii="Times New Roman"/>
                <w:kern w:val="0"/>
                <w:sz w:val="21"/>
                <w:szCs w:val="21"/>
              </w:rPr>
              <w:t>水洗、纯水洗2、电泳槽清洗废水先经预处理反应斜管沉淀槽处理后，热水洗与预脱脂、脱脂、硅烷化槽体清洗废水一同进入污水处理站“一体化气浮槽+综合反应斜管沉淀槽+综合芬顿反应槽+多介质过滤器+活性炭过滤器”系统进行处理，处理达标后由园区污水管网，入园区污水处理厂进一步处理。污泥经压滤后，委托资质单位处置。</w:t>
            </w:r>
          </w:p>
        </w:tc>
      </w:tr>
      <w:tr w14:paraId="1896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286" w:type="pct"/>
            <w:vMerge w:val="continue"/>
            <w:vAlign w:val="center"/>
          </w:tcPr>
          <w:p w14:paraId="41965E36">
            <w:pPr>
              <w:adjustRightInd w:val="0"/>
              <w:jc w:val="center"/>
              <w:rPr>
                <w:rFonts w:ascii="Times New Roman"/>
                <w:kern w:val="0"/>
                <w:sz w:val="21"/>
                <w:szCs w:val="21"/>
              </w:rPr>
            </w:pPr>
          </w:p>
        </w:tc>
        <w:tc>
          <w:tcPr>
            <w:tcW w:w="688" w:type="pct"/>
            <w:vMerge w:val="continue"/>
            <w:vAlign w:val="center"/>
          </w:tcPr>
          <w:p w14:paraId="30ED830E">
            <w:pPr>
              <w:adjustRightInd w:val="0"/>
              <w:jc w:val="center"/>
              <w:rPr>
                <w:rFonts w:ascii="Times New Roman"/>
                <w:kern w:val="0"/>
                <w:sz w:val="21"/>
                <w:szCs w:val="21"/>
              </w:rPr>
            </w:pPr>
          </w:p>
        </w:tc>
        <w:tc>
          <w:tcPr>
            <w:tcW w:w="4024" w:type="pct"/>
            <w:gridSpan w:val="2"/>
            <w:vAlign w:val="center"/>
          </w:tcPr>
          <w:p w14:paraId="31FE43F3">
            <w:pPr>
              <w:adjustRightInd w:val="0"/>
              <w:jc w:val="center"/>
              <w:rPr>
                <w:rFonts w:ascii="Times New Roman"/>
                <w:kern w:val="0"/>
                <w:sz w:val="21"/>
                <w:szCs w:val="21"/>
              </w:rPr>
            </w:pPr>
            <w:r>
              <w:rPr>
                <w:rFonts w:hint="eastAsia"/>
                <w:sz w:val="21"/>
                <w:szCs w:val="21"/>
              </w:rPr>
              <w:t>纯</w:t>
            </w:r>
            <w:r>
              <w:rPr>
                <w:rFonts w:ascii="Times New Roman"/>
                <w:sz w:val="21"/>
                <w:szCs w:val="21"/>
              </w:rPr>
              <w:t>水制备废水</w:t>
            </w:r>
            <w:r>
              <w:rPr>
                <w:rFonts w:hint="eastAsia" w:ascii="Times New Roman"/>
                <w:sz w:val="21"/>
                <w:szCs w:val="21"/>
              </w:rPr>
              <w:t>直接</w:t>
            </w:r>
            <w:r>
              <w:rPr>
                <w:rFonts w:ascii="Times New Roman"/>
                <w:sz w:val="21"/>
                <w:szCs w:val="21"/>
              </w:rPr>
              <w:t>由园区污水管网</w:t>
            </w:r>
            <w:r>
              <w:rPr>
                <w:rFonts w:hint="eastAsia" w:ascii="Times New Roman"/>
                <w:sz w:val="21"/>
                <w:szCs w:val="21"/>
              </w:rPr>
              <w:t>排</w:t>
            </w:r>
            <w:r>
              <w:rPr>
                <w:rFonts w:ascii="Times New Roman"/>
                <w:sz w:val="21"/>
                <w:szCs w:val="21"/>
              </w:rPr>
              <w:t>入园区污水处理厂处理</w:t>
            </w:r>
          </w:p>
        </w:tc>
      </w:tr>
      <w:tr w14:paraId="4278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286" w:type="pct"/>
            <w:vMerge w:val="continue"/>
            <w:vAlign w:val="center"/>
          </w:tcPr>
          <w:p w14:paraId="6897EA5F">
            <w:pPr>
              <w:adjustRightInd w:val="0"/>
              <w:jc w:val="center"/>
              <w:rPr>
                <w:rFonts w:ascii="Times New Roman"/>
                <w:kern w:val="0"/>
                <w:sz w:val="21"/>
                <w:szCs w:val="21"/>
              </w:rPr>
            </w:pPr>
          </w:p>
        </w:tc>
        <w:tc>
          <w:tcPr>
            <w:tcW w:w="688" w:type="pct"/>
            <w:vMerge w:val="continue"/>
            <w:vAlign w:val="center"/>
          </w:tcPr>
          <w:p w14:paraId="572EAC7C">
            <w:pPr>
              <w:adjustRightInd w:val="0"/>
              <w:jc w:val="center"/>
              <w:rPr>
                <w:rFonts w:ascii="Times New Roman"/>
                <w:kern w:val="0"/>
                <w:sz w:val="21"/>
                <w:szCs w:val="21"/>
              </w:rPr>
            </w:pPr>
          </w:p>
        </w:tc>
        <w:tc>
          <w:tcPr>
            <w:tcW w:w="4024" w:type="pct"/>
            <w:gridSpan w:val="2"/>
            <w:vAlign w:val="center"/>
          </w:tcPr>
          <w:p w14:paraId="7DED0F07">
            <w:pPr>
              <w:adjustRightInd w:val="0"/>
              <w:jc w:val="center"/>
              <w:rPr>
                <w:rFonts w:ascii="Times New Roman"/>
                <w:kern w:val="0"/>
                <w:sz w:val="21"/>
                <w:szCs w:val="21"/>
              </w:rPr>
            </w:pPr>
            <w:r>
              <w:rPr>
                <w:rFonts w:ascii="Times New Roman"/>
                <w:kern w:val="0"/>
                <w:sz w:val="21"/>
                <w:szCs w:val="21"/>
              </w:rPr>
              <w:t>食堂废水采用隔油池预处理后，与日常生活污水一并入化粪池处理，由园区污水管网</w:t>
            </w:r>
            <w:r>
              <w:rPr>
                <w:rFonts w:hint="eastAsia" w:ascii="Times New Roman"/>
                <w:kern w:val="0"/>
                <w:sz w:val="21"/>
                <w:szCs w:val="21"/>
              </w:rPr>
              <w:t>排</w:t>
            </w:r>
            <w:r>
              <w:rPr>
                <w:rFonts w:ascii="Times New Roman"/>
                <w:kern w:val="0"/>
                <w:sz w:val="21"/>
                <w:szCs w:val="21"/>
              </w:rPr>
              <w:t>入园区污水处理厂进一步处理。</w:t>
            </w:r>
          </w:p>
        </w:tc>
      </w:tr>
      <w:tr w14:paraId="42F1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286" w:type="pct"/>
            <w:vMerge w:val="continue"/>
            <w:vAlign w:val="center"/>
          </w:tcPr>
          <w:p w14:paraId="555BBF7D">
            <w:pPr>
              <w:adjustRightInd w:val="0"/>
              <w:jc w:val="center"/>
              <w:rPr>
                <w:rFonts w:ascii="Times New Roman"/>
                <w:kern w:val="0"/>
                <w:sz w:val="21"/>
                <w:szCs w:val="21"/>
              </w:rPr>
            </w:pPr>
          </w:p>
        </w:tc>
        <w:tc>
          <w:tcPr>
            <w:tcW w:w="688" w:type="pct"/>
            <w:vMerge w:val="continue"/>
            <w:vAlign w:val="center"/>
          </w:tcPr>
          <w:p w14:paraId="3817A569">
            <w:pPr>
              <w:adjustRightInd w:val="0"/>
              <w:jc w:val="center"/>
              <w:rPr>
                <w:rFonts w:ascii="Times New Roman"/>
                <w:kern w:val="0"/>
                <w:sz w:val="21"/>
                <w:szCs w:val="21"/>
              </w:rPr>
            </w:pPr>
          </w:p>
        </w:tc>
        <w:tc>
          <w:tcPr>
            <w:tcW w:w="4024" w:type="pct"/>
            <w:gridSpan w:val="2"/>
            <w:vAlign w:val="center"/>
          </w:tcPr>
          <w:p w14:paraId="4DE4E4B8">
            <w:pPr>
              <w:adjustRightInd w:val="0"/>
              <w:jc w:val="center"/>
              <w:rPr>
                <w:rFonts w:ascii="Times New Roman"/>
                <w:kern w:val="0"/>
                <w:sz w:val="21"/>
                <w:szCs w:val="21"/>
              </w:rPr>
            </w:pPr>
            <w:r>
              <w:rPr>
                <w:rFonts w:ascii="Times New Roman"/>
                <w:kern w:val="0"/>
                <w:sz w:val="21"/>
                <w:szCs w:val="21"/>
              </w:rPr>
              <w:t>淬火工序废水</w:t>
            </w:r>
            <w:r>
              <w:rPr>
                <w:rFonts w:ascii="Times New Roman"/>
                <w:sz w:val="21"/>
                <w:szCs w:val="21"/>
              </w:rPr>
              <w:t>经油水分离器分离后回用于淬火工序</w:t>
            </w:r>
          </w:p>
        </w:tc>
      </w:tr>
      <w:tr w14:paraId="4C25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286" w:type="pct"/>
            <w:vMerge w:val="continue"/>
            <w:vAlign w:val="center"/>
          </w:tcPr>
          <w:p w14:paraId="5361D314">
            <w:pPr>
              <w:adjustRightInd w:val="0"/>
              <w:jc w:val="center"/>
              <w:rPr>
                <w:rFonts w:ascii="Times New Roman"/>
                <w:kern w:val="0"/>
                <w:sz w:val="21"/>
                <w:szCs w:val="21"/>
              </w:rPr>
            </w:pPr>
          </w:p>
        </w:tc>
        <w:tc>
          <w:tcPr>
            <w:tcW w:w="688" w:type="pct"/>
            <w:vMerge w:val="continue"/>
            <w:vAlign w:val="center"/>
          </w:tcPr>
          <w:p w14:paraId="4DB32C93">
            <w:pPr>
              <w:adjustRightInd w:val="0"/>
              <w:jc w:val="center"/>
              <w:rPr>
                <w:rFonts w:ascii="Times New Roman"/>
                <w:kern w:val="0"/>
                <w:sz w:val="21"/>
                <w:szCs w:val="21"/>
              </w:rPr>
            </w:pPr>
          </w:p>
        </w:tc>
        <w:tc>
          <w:tcPr>
            <w:tcW w:w="4024" w:type="pct"/>
            <w:gridSpan w:val="2"/>
            <w:vAlign w:val="center"/>
          </w:tcPr>
          <w:p w14:paraId="440DFE81">
            <w:pPr>
              <w:adjustRightInd w:val="0"/>
              <w:jc w:val="center"/>
              <w:rPr>
                <w:rFonts w:ascii="Times New Roman"/>
                <w:kern w:val="0"/>
                <w:sz w:val="21"/>
                <w:szCs w:val="21"/>
              </w:rPr>
            </w:pPr>
            <w:r>
              <w:rPr>
                <w:rFonts w:ascii="Times New Roman"/>
                <w:kern w:val="0"/>
                <w:sz w:val="21"/>
                <w:szCs w:val="21"/>
              </w:rPr>
              <w:t>设备冷却水循环使用不外排。</w:t>
            </w:r>
          </w:p>
        </w:tc>
      </w:tr>
      <w:tr w14:paraId="03BC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86" w:type="pct"/>
            <w:vMerge w:val="continue"/>
            <w:vAlign w:val="center"/>
          </w:tcPr>
          <w:p w14:paraId="50D60477">
            <w:pPr>
              <w:adjustRightInd w:val="0"/>
              <w:jc w:val="center"/>
              <w:rPr>
                <w:rFonts w:ascii="Times New Roman"/>
                <w:kern w:val="0"/>
                <w:sz w:val="21"/>
                <w:szCs w:val="21"/>
              </w:rPr>
            </w:pPr>
          </w:p>
        </w:tc>
        <w:tc>
          <w:tcPr>
            <w:tcW w:w="688" w:type="pct"/>
            <w:vAlign w:val="center"/>
          </w:tcPr>
          <w:p w14:paraId="4E5B9FC2">
            <w:pPr>
              <w:adjustRightInd w:val="0"/>
              <w:jc w:val="center"/>
              <w:rPr>
                <w:rFonts w:ascii="Times New Roman"/>
                <w:kern w:val="0"/>
                <w:sz w:val="21"/>
                <w:szCs w:val="21"/>
              </w:rPr>
            </w:pPr>
            <w:r>
              <w:rPr>
                <w:rFonts w:ascii="Times New Roman"/>
                <w:kern w:val="0"/>
                <w:sz w:val="21"/>
                <w:szCs w:val="21"/>
              </w:rPr>
              <w:t>噪声</w:t>
            </w:r>
          </w:p>
        </w:tc>
        <w:tc>
          <w:tcPr>
            <w:tcW w:w="4024" w:type="pct"/>
            <w:gridSpan w:val="2"/>
            <w:vAlign w:val="center"/>
          </w:tcPr>
          <w:p w14:paraId="0EB20A0A">
            <w:pPr>
              <w:adjustRightInd w:val="0"/>
              <w:jc w:val="center"/>
              <w:rPr>
                <w:rFonts w:ascii="Times New Roman"/>
                <w:kern w:val="0"/>
                <w:sz w:val="21"/>
                <w:szCs w:val="21"/>
              </w:rPr>
            </w:pPr>
            <w:r>
              <w:rPr>
                <w:rFonts w:ascii="Times New Roman"/>
                <w:kern w:val="0"/>
                <w:sz w:val="21"/>
                <w:szCs w:val="21"/>
              </w:rPr>
              <w:t>选用低噪声设备，基础减震，厂房隔声，风机加装</w:t>
            </w:r>
            <w:r>
              <w:rPr>
                <w:rFonts w:hint="eastAsia" w:ascii="Times New Roman"/>
                <w:kern w:val="0"/>
                <w:sz w:val="21"/>
                <w:szCs w:val="21"/>
              </w:rPr>
              <w:t>消音器</w:t>
            </w:r>
            <w:r>
              <w:rPr>
                <w:rFonts w:ascii="Times New Roman"/>
                <w:kern w:val="0"/>
                <w:sz w:val="21"/>
                <w:szCs w:val="21"/>
              </w:rPr>
              <w:t>等措施</w:t>
            </w:r>
          </w:p>
        </w:tc>
      </w:tr>
      <w:tr w14:paraId="704A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86" w:type="pct"/>
            <w:vMerge w:val="continue"/>
            <w:vAlign w:val="center"/>
          </w:tcPr>
          <w:p w14:paraId="60B6AF10">
            <w:pPr>
              <w:adjustRightInd w:val="0"/>
              <w:jc w:val="center"/>
              <w:rPr>
                <w:rFonts w:ascii="Times New Roman"/>
                <w:kern w:val="0"/>
                <w:sz w:val="21"/>
                <w:szCs w:val="21"/>
              </w:rPr>
            </w:pPr>
          </w:p>
        </w:tc>
        <w:tc>
          <w:tcPr>
            <w:tcW w:w="688" w:type="pct"/>
            <w:vMerge w:val="restart"/>
            <w:vAlign w:val="center"/>
          </w:tcPr>
          <w:p w14:paraId="7A77C68C">
            <w:pPr>
              <w:adjustRightInd w:val="0"/>
              <w:jc w:val="center"/>
              <w:rPr>
                <w:rFonts w:ascii="Times New Roman"/>
                <w:kern w:val="0"/>
                <w:sz w:val="21"/>
                <w:szCs w:val="21"/>
              </w:rPr>
            </w:pPr>
            <w:r>
              <w:rPr>
                <w:rFonts w:ascii="Times New Roman"/>
                <w:kern w:val="0"/>
                <w:sz w:val="21"/>
                <w:szCs w:val="21"/>
              </w:rPr>
              <w:t>固废</w:t>
            </w:r>
          </w:p>
        </w:tc>
        <w:tc>
          <w:tcPr>
            <w:tcW w:w="551" w:type="pct"/>
            <w:vAlign w:val="center"/>
          </w:tcPr>
          <w:p w14:paraId="46FAED07">
            <w:pPr>
              <w:adjustRightInd w:val="0"/>
              <w:jc w:val="center"/>
              <w:rPr>
                <w:rFonts w:ascii="Times New Roman"/>
                <w:kern w:val="0"/>
                <w:sz w:val="21"/>
                <w:szCs w:val="21"/>
              </w:rPr>
            </w:pPr>
            <w:r>
              <w:rPr>
                <w:rFonts w:ascii="Times New Roman"/>
                <w:kern w:val="0"/>
                <w:sz w:val="21"/>
                <w:szCs w:val="21"/>
              </w:rPr>
              <w:t>一般固废</w:t>
            </w:r>
          </w:p>
        </w:tc>
        <w:tc>
          <w:tcPr>
            <w:tcW w:w="3473" w:type="pct"/>
            <w:vAlign w:val="center"/>
          </w:tcPr>
          <w:p w14:paraId="0744A51F">
            <w:pPr>
              <w:adjustRightInd w:val="0"/>
              <w:jc w:val="center"/>
              <w:rPr>
                <w:rFonts w:ascii="Times New Roman"/>
                <w:kern w:val="0"/>
                <w:sz w:val="21"/>
                <w:szCs w:val="21"/>
              </w:rPr>
            </w:pPr>
            <w:r>
              <w:rPr>
                <w:rFonts w:ascii="Times New Roman"/>
                <w:kern w:val="0"/>
                <w:sz w:val="21"/>
                <w:szCs w:val="21"/>
              </w:rPr>
              <w:t>外售综合利用或回用于生产工序。</w:t>
            </w:r>
          </w:p>
        </w:tc>
      </w:tr>
      <w:tr w14:paraId="2554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286" w:type="pct"/>
            <w:vMerge w:val="continue"/>
            <w:vAlign w:val="center"/>
          </w:tcPr>
          <w:p w14:paraId="4095B88E">
            <w:pPr>
              <w:adjustRightInd w:val="0"/>
              <w:jc w:val="center"/>
              <w:rPr>
                <w:rFonts w:ascii="Times New Roman"/>
                <w:kern w:val="0"/>
                <w:sz w:val="21"/>
                <w:szCs w:val="21"/>
              </w:rPr>
            </w:pPr>
          </w:p>
        </w:tc>
        <w:tc>
          <w:tcPr>
            <w:tcW w:w="688" w:type="pct"/>
            <w:vMerge w:val="continue"/>
            <w:vAlign w:val="center"/>
          </w:tcPr>
          <w:p w14:paraId="7D060C84">
            <w:pPr>
              <w:adjustRightInd w:val="0"/>
              <w:jc w:val="center"/>
              <w:rPr>
                <w:rFonts w:ascii="Times New Roman"/>
                <w:kern w:val="0"/>
                <w:sz w:val="21"/>
                <w:szCs w:val="21"/>
              </w:rPr>
            </w:pPr>
          </w:p>
        </w:tc>
        <w:tc>
          <w:tcPr>
            <w:tcW w:w="551" w:type="pct"/>
            <w:vAlign w:val="center"/>
          </w:tcPr>
          <w:p w14:paraId="2C1122DA">
            <w:pPr>
              <w:adjustRightInd w:val="0"/>
              <w:jc w:val="center"/>
              <w:rPr>
                <w:rFonts w:ascii="Times New Roman"/>
                <w:kern w:val="0"/>
                <w:sz w:val="21"/>
                <w:szCs w:val="21"/>
              </w:rPr>
            </w:pPr>
            <w:r>
              <w:rPr>
                <w:rFonts w:ascii="Times New Roman"/>
                <w:kern w:val="0"/>
                <w:sz w:val="21"/>
                <w:szCs w:val="21"/>
              </w:rPr>
              <w:t>危险废物</w:t>
            </w:r>
          </w:p>
        </w:tc>
        <w:tc>
          <w:tcPr>
            <w:tcW w:w="3473" w:type="pct"/>
            <w:vAlign w:val="center"/>
          </w:tcPr>
          <w:p w14:paraId="2B8EA315">
            <w:pPr>
              <w:adjustRightInd w:val="0"/>
              <w:jc w:val="center"/>
              <w:rPr>
                <w:rFonts w:ascii="Times New Roman"/>
                <w:kern w:val="0"/>
                <w:sz w:val="21"/>
                <w:szCs w:val="21"/>
              </w:rPr>
            </w:pPr>
            <w:r>
              <w:rPr>
                <w:rFonts w:ascii="Times New Roman"/>
                <w:kern w:val="0"/>
                <w:sz w:val="21"/>
                <w:szCs w:val="21"/>
              </w:rPr>
              <w:t>危废暂存间暂存，委托资质单位处置。</w:t>
            </w:r>
          </w:p>
        </w:tc>
      </w:tr>
      <w:tr w14:paraId="4B5E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86" w:type="pct"/>
            <w:vMerge w:val="continue"/>
            <w:vAlign w:val="center"/>
          </w:tcPr>
          <w:p w14:paraId="3DD5C4FF">
            <w:pPr>
              <w:adjustRightInd w:val="0"/>
              <w:jc w:val="center"/>
              <w:rPr>
                <w:rFonts w:ascii="Times New Roman"/>
                <w:kern w:val="0"/>
                <w:sz w:val="21"/>
                <w:szCs w:val="21"/>
              </w:rPr>
            </w:pPr>
          </w:p>
        </w:tc>
        <w:tc>
          <w:tcPr>
            <w:tcW w:w="688" w:type="pct"/>
            <w:vMerge w:val="continue"/>
            <w:vAlign w:val="center"/>
          </w:tcPr>
          <w:p w14:paraId="4FC7D335">
            <w:pPr>
              <w:adjustRightInd w:val="0"/>
              <w:jc w:val="center"/>
              <w:rPr>
                <w:rFonts w:ascii="Times New Roman"/>
                <w:kern w:val="0"/>
                <w:sz w:val="21"/>
                <w:szCs w:val="21"/>
              </w:rPr>
            </w:pPr>
          </w:p>
        </w:tc>
        <w:tc>
          <w:tcPr>
            <w:tcW w:w="551" w:type="pct"/>
            <w:vAlign w:val="center"/>
          </w:tcPr>
          <w:p w14:paraId="47A6FFCC">
            <w:pPr>
              <w:adjustRightInd w:val="0"/>
              <w:jc w:val="center"/>
              <w:rPr>
                <w:rFonts w:ascii="Times New Roman"/>
                <w:kern w:val="0"/>
                <w:sz w:val="21"/>
                <w:szCs w:val="21"/>
              </w:rPr>
            </w:pPr>
            <w:r>
              <w:rPr>
                <w:rFonts w:ascii="Times New Roman"/>
                <w:kern w:val="0"/>
                <w:sz w:val="21"/>
                <w:szCs w:val="21"/>
              </w:rPr>
              <w:t>生活垃圾</w:t>
            </w:r>
          </w:p>
        </w:tc>
        <w:tc>
          <w:tcPr>
            <w:tcW w:w="3473" w:type="pct"/>
            <w:vAlign w:val="center"/>
          </w:tcPr>
          <w:p w14:paraId="3328F2FF">
            <w:pPr>
              <w:adjustRightInd w:val="0"/>
              <w:jc w:val="center"/>
              <w:rPr>
                <w:rFonts w:ascii="Times New Roman"/>
                <w:kern w:val="0"/>
                <w:sz w:val="21"/>
                <w:szCs w:val="21"/>
              </w:rPr>
            </w:pPr>
            <w:r>
              <w:rPr>
                <w:rFonts w:ascii="Times New Roman"/>
                <w:kern w:val="0"/>
                <w:sz w:val="21"/>
                <w:szCs w:val="21"/>
              </w:rPr>
              <w:t>收集，由园区环卫部门统一处置。</w:t>
            </w:r>
          </w:p>
        </w:tc>
      </w:tr>
      <w:tr w14:paraId="0B67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286" w:type="pct"/>
            <w:vMerge w:val="continue"/>
            <w:vAlign w:val="center"/>
          </w:tcPr>
          <w:p w14:paraId="6B1D3F1D">
            <w:pPr>
              <w:adjustRightInd w:val="0"/>
              <w:jc w:val="center"/>
              <w:rPr>
                <w:rFonts w:ascii="Times New Roman"/>
                <w:kern w:val="0"/>
                <w:sz w:val="21"/>
                <w:szCs w:val="21"/>
              </w:rPr>
            </w:pPr>
          </w:p>
        </w:tc>
        <w:tc>
          <w:tcPr>
            <w:tcW w:w="688" w:type="pct"/>
            <w:vAlign w:val="center"/>
          </w:tcPr>
          <w:p w14:paraId="5D663B6E">
            <w:pPr>
              <w:adjustRightInd w:val="0"/>
              <w:jc w:val="center"/>
              <w:rPr>
                <w:rFonts w:ascii="Times New Roman"/>
                <w:kern w:val="0"/>
                <w:sz w:val="21"/>
                <w:szCs w:val="21"/>
              </w:rPr>
            </w:pPr>
            <w:r>
              <w:rPr>
                <w:rFonts w:ascii="Times New Roman"/>
                <w:kern w:val="0"/>
                <w:sz w:val="21"/>
                <w:szCs w:val="21"/>
              </w:rPr>
              <w:t>分区防渗</w:t>
            </w:r>
          </w:p>
        </w:tc>
        <w:tc>
          <w:tcPr>
            <w:tcW w:w="4024" w:type="pct"/>
            <w:gridSpan w:val="2"/>
            <w:vAlign w:val="center"/>
          </w:tcPr>
          <w:p w14:paraId="6CD5A32F">
            <w:pPr>
              <w:adjustRightInd w:val="0"/>
              <w:jc w:val="center"/>
              <w:rPr>
                <w:rFonts w:ascii="Times New Roman"/>
                <w:kern w:val="0"/>
                <w:sz w:val="21"/>
                <w:szCs w:val="21"/>
              </w:rPr>
            </w:pPr>
            <w:r>
              <w:rPr>
                <w:rFonts w:ascii="Times New Roman"/>
                <w:kern w:val="0"/>
                <w:sz w:val="21"/>
                <w:szCs w:val="21"/>
              </w:rPr>
              <w:t>表面涂装区</w:t>
            </w:r>
            <w:r>
              <w:rPr>
                <w:rFonts w:hint="eastAsia" w:ascii="Times New Roman"/>
                <w:kern w:val="0"/>
                <w:sz w:val="21"/>
                <w:szCs w:val="21"/>
              </w:rPr>
              <w:t>（喷漆线、电泳线）</w:t>
            </w:r>
            <w:r>
              <w:rPr>
                <w:rFonts w:ascii="Times New Roman"/>
                <w:kern w:val="0"/>
                <w:sz w:val="21"/>
                <w:szCs w:val="21"/>
              </w:rPr>
              <w:t>、污水处理站、危化库、危废库等设置为重点防渗区，生产车间其他区域</w:t>
            </w:r>
            <w:r>
              <w:rPr>
                <w:rFonts w:hint="eastAsia" w:ascii="Times New Roman"/>
                <w:kern w:val="0"/>
                <w:sz w:val="21"/>
                <w:szCs w:val="21"/>
              </w:rPr>
              <w:t>、</w:t>
            </w:r>
            <w:r>
              <w:rPr>
                <w:rFonts w:ascii="Times New Roman"/>
                <w:kern w:val="0"/>
                <w:sz w:val="21"/>
                <w:szCs w:val="21"/>
              </w:rPr>
              <w:t>消防水池、垃圾回收房一般防渗，除绿化外其他全部区域设置为简单防渗</w:t>
            </w:r>
          </w:p>
        </w:tc>
      </w:tr>
    </w:tbl>
    <w:p w14:paraId="14799ECA">
      <w:pPr>
        <w:jc w:val="center"/>
        <w:rPr>
          <w:rFonts w:ascii="Times New Roman"/>
        </w:rPr>
      </w:pPr>
      <w:r>
        <w:drawing>
          <wp:inline distT="0" distB="0" distL="114300" distR="114300">
            <wp:extent cx="5285740" cy="2536190"/>
            <wp:effectExtent l="0" t="0" r="10160" b="1651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7" cstate="print"/>
                    <a:stretch>
                      <a:fillRect/>
                    </a:stretch>
                  </pic:blipFill>
                  <pic:spPr>
                    <a:xfrm>
                      <a:off x="0" y="0"/>
                      <a:ext cx="5285740" cy="2536190"/>
                    </a:xfrm>
                    <a:prstGeom prst="rect">
                      <a:avLst/>
                    </a:prstGeom>
                  </pic:spPr>
                </pic:pic>
              </a:graphicData>
            </a:graphic>
          </wp:inline>
        </w:drawing>
      </w:r>
    </w:p>
    <w:p w14:paraId="1415260F">
      <w:pPr>
        <w:spacing w:line="0" w:lineRule="atLeast"/>
        <w:jc w:val="center"/>
        <w:rPr>
          <w:rFonts w:ascii="Times New Roman"/>
          <w:b/>
          <w:sz w:val="24"/>
          <w:szCs w:val="24"/>
        </w:rPr>
      </w:pPr>
      <w:r>
        <w:rPr>
          <w:rFonts w:ascii="Times New Roman"/>
          <w:b/>
          <w:sz w:val="24"/>
          <w:szCs w:val="24"/>
        </w:rPr>
        <w:t>图3.1-1  联合厂房-焊接工位分区</w:t>
      </w:r>
      <w:r>
        <w:rPr>
          <w:rFonts w:ascii="Times New Roman"/>
          <w:b/>
          <w:bCs/>
          <w:sz w:val="24"/>
          <w:szCs w:val="24"/>
        </w:rPr>
        <w:t>示意图</w:t>
      </w:r>
    </w:p>
    <w:p w14:paraId="01263C4C">
      <w:pPr>
        <w:spacing w:line="480" w:lineRule="exact"/>
        <w:jc w:val="center"/>
        <w:rPr>
          <w:rFonts w:ascii="Times New Roman"/>
          <w:b/>
          <w:sz w:val="24"/>
          <w:szCs w:val="24"/>
        </w:rPr>
      </w:pPr>
      <w:r>
        <w:rPr>
          <w:rFonts w:ascii="Times New Roman"/>
          <w:b/>
          <w:sz w:val="24"/>
          <w:szCs w:val="24"/>
        </w:rPr>
        <w:t>表3.1-2  项目主要建构筑物一览表</w:t>
      </w:r>
    </w:p>
    <w:tbl>
      <w:tblPr>
        <w:tblStyle w:val="84"/>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512"/>
        <w:gridCol w:w="804"/>
        <w:gridCol w:w="1151"/>
        <w:gridCol w:w="1151"/>
        <w:gridCol w:w="887"/>
        <w:gridCol w:w="1376"/>
        <w:gridCol w:w="1110"/>
      </w:tblGrid>
      <w:tr w14:paraId="136B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02" w:type="pct"/>
            <w:vAlign w:val="center"/>
          </w:tcPr>
          <w:p w14:paraId="589B3930">
            <w:pPr>
              <w:widowControl/>
              <w:jc w:val="center"/>
              <w:rPr>
                <w:rFonts w:ascii="Times New Roman"/>
                <w:b/>
                <w:kern w:val="0"/>
                <w:sz w:val="21"/>
                <w:szCs w:val="21"/>
              </w:rPr>
            </w:pPr>
            <w:r>
              <w:rPr>
                <w:rFonts w:ascii="Times New Roman"/>
                <w:b/>
                <w:kern w:val="0"/>
                <w:sz w:val="21"/>
                <w:szCs w:val="21"/>
              </w:rPr>
              <w:t>序号</w:t>
            </w:r>
          </w:p>
        </w:tc>
        <w:tc>
          <w:tcPr>
            <w:tcW w:w="888" w:type="pct"/>
            <w:vAlign w:val="center"/>
          </w:tcPr>
          <w:p w14:paraId="609D1624">
            <w:pPr>
              <w:widowControl/>
              <w:jc w:val="center"/>
              <w:rPr>
                <w:rFonts w:ascii="Times New Roman"/>
                <w:b/>
                <w:kern w:val="0"/>
                <w:sz w:val="21"/>
                <w:szCs w:val="21"/>
              </w:rPr>
            </w:pPr>
            <w:r>
              <w:rPr>
                <w:rFonts w:ascii="Times New Roman"/>
                <w:b/>
                <w:kern w:val="0"/>
                <w:sz w:val="21"/>
                <w:szCs w:val="21"/>
              </w:rPr>
              <w:t>项目名称</w:t>
            </w:r>
          </w:p>
        </w:tc>
        <w:tc>
          <w:tcPr>
            <w:tcW w:w="472" w:type="pct"/>
            <w:vAlign w:val="center"/>
          </w:tcPr>
          <w:p w14:paraId="1F344AB1">
            <w:pPr>
              <w:widowControl/>
              <w:jc w:val="center"/>
              <w:rPr>
                <w:rFonts w:ascii="Times New Roman"/>
                <w:b/>
                <w:kern w:val="0"/>
                <w:sz w:val="21"/>
                <w:szCs w:val="21"/>
              </w:rPr>
            </w:pPr>
            <w:r>
              <w:rPr>
                <w:rFonts w:ascii="Times New Roman"/>
                <w:b/>
                <w:kern w:val="0"/>
                <w:sz w:val="21"/>
                <w:szCs w:val="21"/>
              </w:rPr>
              <w:t>层数</w:t>
            </w:r>
          </w:p>
        </w:tc>
        <w:tc>
          <w:tcPr>
            <w:tcW w:w="676" w:type="pct"/>
            <w:vAlign w:val="center"/>
          </w:tcPr>
          <w:p w14:paraId="1B4E5F6A">
            <w:pPr>
              <w:widowControl/>
              <w:jc w:val="center"/>
              <w:rPr>
                <w:rFonts w:ascii="Times New Roman"/>
                <w:b/>
                <w:kern w:val="0"/>
                <w:sz w:val="21"/>
                <w:szCs w:val="21"/>
              </w:rPr>
            </w:pPr>
            <w:r>
              <w:rPr>
                <w:rFonts w:ascii="Times New Roman"/>
                <w:b/>
                <w:kern w:val="0"/>
                <w:sz w:val="21"/>
                <w:szCs w:val="21"/>
              </w:rPr>
              <w:t>占地面积/m</w:t>
            </w:r>
            <w:r>
              <w:rPr>
                <w:rFonts w:ascii="Times New Roman"/>
                <w:b/>
                <w:kern w:val="0"/>
                <w:sz w:val="21"/>
                <w:szCs w:val="21"/>
                <w:vertAlign w:val="superscript"/>
              </w:rPr>
              <w:t>2</w:t>
            </w:r>
          </w:p>
        </w:tc>
        <w:tc>
          <w:tcPr>
            <w:tcW w:w="676" w:type="pct"/>
            <w:vAlign w:val="center"/>
          </w:tcPr>
          <w:p w14:paraId="022859B3">
            <w:pPr>
              <w:widowControl/>
              <w:jc w:val="center"/>
              <w:rPr>
                <w:rFonts w:ascii="Times New Roman"/>
                <w:b/>
                <w:kern w:val="0"/>
                <w:sz w:val="21"/>
                <w:szCs w:val="21"/>
              </w:rPr>
            </w:pPr>
            <w:r>
              <w:rPr>
                <w:rFonts w:ascii="Times New Roman"/>
                <w:b/>
                <w:kern w:val="0"/>
                <w:sz w:val="21"/>
                <w:szCs w:val="21"/>
              </w:rPr>
              <w:t>建筑面积/m</w:t>
            </w:r>
            <w:r>
              <w:rPr>
                <w:rFonts w:ascii="Times New Roman"/>
                <w:b/>
                <w:kern w:val="0"/>
                <w:sz w:val="21"/>
                <w:szCs w:val="21"/>
                <w:vertAlign w:val="superscript"/>
              </w:rPr>
              <w:t>2</w:t>
            </w:r>
          </w:p>
        </w:tc>
        <w:tc>
          <w:tcPr>
            <w:tcW w:w="521" w:type="pct"/>
            <w:vAlign w:val="center"/>
          </w:tcPr>
          <w:p w14:paraId="4C8E8707">
            <w:pPr>
              <w:widowControl/>
              <w:jc w:val="center"/>
              <w:rPr>
                <w:rFonts w:ascii="Times New Roman"/>
                <w:b/>
                <w:kern w:val="0"/>
                <w:sz w:val="21"/>
                <w:szCs w:val="21"/>
              </w:rPr>
            </w:pPr>
            <w:r>
              <w:rPr>
                <w:rFonts w:ascii="Times New Roman"/>
                <w:b/>
                <w:kern w:val="0"/>
                <w:sz w:val="21"/>
                <w:szCs w:val="21"/>
              </w:rPr>
              <w:t>高度/m</w:t>
            </w:r>
          </w:p>
        </w:tc>
        <w:tc>
          <w:tcPr>
            <w:tcW w:w="808" w:type="pct"/>
            <w:vAlign w:val="center"/>
          </w:tcPr>
          <w:p w14:paraId="57666AC1">
            <w:pPr>
              <w:widowControl/>
              <w:jc w:val="center"/>
              <w:rPr>
                <w:rFonts w:ascii="Times New Roman"/>
                <w:b/>
                <w:kern w:val="0"/>
                <w:sz w:val="21"/>
                <w:szCs w:val="21"/>
              </w:rPr>
            </w:pPr>
            <w:r>
              <w:rPr>
                <w:rFonts w:ascii="Times New Roman"/>
                <w:b/>
                <w:kern w:val="0"/>
                <w:sz w:val="21"/>
                <w:szCs w:val="21"/>
              </w:rPr>
              <w:t>结构形式</w:t>
            </w:r>
          </w:p>
        </w:tc>
        <w:tc>
          <w:tcPr>
            <w:tcW w:w="652" w:type="pct"/>
            <w:vAlign w:val="center"/>
          </w:tcPr>
          <w:p w14:paraId="22D3D2DA">
            <w:pPr>
              <w:widowControl/>
              <w:jc w:val="center"/>
              <w:rPr>
                <w:rFonts w:ascii="Times New Roman"/>
                <w:b/>
                <w:kern w:val="0"/>
                <w:sz w:val="21"/>
                <w:szCs w:val="21"/>
              </w:rPr>
            </w:pPr>
            <w:r>
              <w:rPr>
                <w:rFonts w:ascii="Times New Roman"/>
                <w:b/>
                <w:kern w:val="0"/>
                <w:sz w:val="21"/>
                <w:szCs w:val="21"/>
              </w:rPr>
              <w:t>备注</w:t>
            </w:r>
          </w:p>
        </w:tc>
      </w:tr>
      <w:tr w14:paraId="60AE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 w:type="pct"/>
            <w:vAlign w:val="center"/>
          </w:tcPr>
          <w:p w14:paraId="37B5EF74">
            <w:pPr>
              <w:widowControl/>
              <w:jc w:val="center"/>
              <w:rPr>
                <w:rFonts w:ascii="Times New Roman"/>
                <w:kern w:val="0"/>
                <w:sz w:val="21"/>
                <w:szCs w:val="21"/>
              </w:rPr>
            </w:pPr>
            <w:r>
              <w:rPr>
                <w:rFonts w:ascii="Times New Roman"/>
                <w:kern w:val="0"/>
                <w:sz w:val="21"/>
                <w:szCs w:val="21"/>
              </w:rPr>
              <w:t>1</w:t>
            </w:r>
          </w:p>
        </w:tc>
        <w:tc>
          <w:tcPr>
            <w:tcW w:w="888" w:type="pct"/>
            <w:vAlign w:val="center"/>
          </w:tcPr>
          <w:p w14:paraId="0724553D">
            <w:pPr>
              <w:jc w:val="center"/>
              <w:rPr>
                <w:rFonts w:ascii="Times New Roman"/>
                <w:sz w:val="21"/>
                <w:szCs w:val="21"/>
              </w:rPr>
            </w:pPr>
            <w:r>
              <w:rPr>
                <w:rFonts w:ascii="Times New Roman"/>
                <w:sz w:val="21"/>
                <w:szCs w:val="21"/>
              </w:rPr>
              <w:t>联合厂房</w:t>
            </w:r>
          </w:p>
        </w:tc>
        <w:tc>
          <w:tcPr>
            <w:tcW w:w="472" w:type="pct"/>
            <w:vAlign w:val="center"/>
          </w:tcPr>
          <w:p w14:paraId="52DCD668">
            <w:pPr>
              <w:jc w:val="center"/>
              <w:rPr>
                <w:rFonts w:ascii="Times New Roman"/>
                <w:sz w:val="21"/>
                <w:szCs w:val="21"/>
              </w:rPr>
            </w:pPr>
            <w:r>
              <w:rPr>
                <w:rFonts w:ascii="Times New Roman"/>
                <w:sz w:val="21"/>
                <w:szCs w:val="21"/>
              </w:rPr>
              <w:t>1/局部3层</w:t>
            </w:r>
          </w:p>
        </w:tc>
        <w:tc>
          <w:tcPr>
            <w:tcW w:w="676" w:type="pct"/>
            <w:vAlign w:val="center"/>
          </w:tcPr>
          <w:p w14:paraId="4AFEB8C6">
            <w:pPr>
              <w:jc w:val="center"/>
              <w:rPr>
                <w:rFonts w:ascii="Times New Roman"/>
                <w:sz w:val="21"/>
                <w:szCs w:val="21"/>
              </w:rPr>
            </w:pPr>
            <w:r>
              <w:rPr>
                <w:rFonts w:ascii="Times New Roman"/>
                <w:sz w:val="21"/>
                <w:szCs w:val="21"/>
              </w:rPr>
              <w:t>106147.47</w:t>
            </w:r>
          </w:p>
        </w:tc>
        <w:tc>
          <w:tcPr>
            <w:tcW w:w="676" w:type="pct"/>
            <w:vAlign w:val="center"/>
          </w:tcPr>
          <w:p w14:paraId="56A8501B">
            <w:pPr>
              <w:jc w:val="center"/>
              <w:rPr>
                <w:rFonts w:ascii="Times New Roman"/>
                <w:sz w:val="21"/>
                <w:szCs w:val="21"/>
              </w:rPr>
            </w:pPr>
            <w:r>
              <w:rPr>
                <w:rFonts w:ascii="Times New Roman"/>
                <w:sz w:val="21"/>
                <w:szCs w:val="21"/>
              </w:rPr>
              <w:t>110298.00</w:t>
            </w:r>
          </w:p>
        </w:tc>
        <w:tc>
          <w:tcPr>
            <w:tcW w:w="521" w:type="pct"/>
            <w:vAlign w:val="center"/>
          </w:tcPr>
          <w:p w14:paraId="7D446CB3">
            <w:pPr>
              <w:widowControl/>
              <w:jc w:val="center"/>
              <w:rPr>
                <w:rFonts w:ascii="Times New Roman"/>
                <w:kern w:val="0"/>
                <w:sz w:val="21"/>
                <w:szCs w:val="21"/>
              </w:rPr>
            </w:pPr>
            <w:r>
              <w:rPr>
                <w:rFonts w:ascii="Times New Roman"/>
                <w:kern w:val="0"/>
                <w:sz w:val="21"/>
                <w:szCs w:val="21"/>
              </w:rPr>
              <w:t>16.40</w:t>
            </w:r>
          </w:p>
        </w:tc>
        <w:tc>
          <w:tcPr>
            <w:tcW w:w="808" w:type="pct"/>
            <w:vAlign w:val="center"/>
          </w:tcPr>
          <w:p w14:paraId="16929B71">
            <w:pPr>
              <w:widowControl/>
              <w:jc w:val="center"/>
              <w:rPr>
                <w:rFonts w:ascii="Times New Roman"/>
                <w:kern w:val="0"/>
                <w:sz w:val="21"/>
                <w:szCs w:val="21"/>
              </w:rPr>
            </w:pPr>
            <w:r>
              <w:rPr>
                <w:rFonts w:ascii="Times New Roman"/>
                <w:kern w:val="0"/>
                <w:sz w:val="21"/>
                <w:szCs w:val="21"/>
              </w:rPr>
              <w:t>钢结构 彩钢</w:t>
            </w:r>
          </w:p>
        </w:tc>
        <w:tc>
          <w:tcPr>
            <w:tcW w:w="652" w:type="pct"/>
            <w:vAlign w:val="center"/>
          </w:tcPr>
          <w:p w14:paraId="481CF913">
            <w:pPr>
              <w:widowControl/>
              <w:jc w:val="center"/>
              <w:rPr>
                <w:rFonts w:ascii="Times New Roman"/>
                <w:kern w:val="0"/>
                <w:sz w:val="21"/>
                <w:szCs w:val="21"/>
              </w:rPr>
            </w:pPr>
            <w:r>
              <w:rPr>
                <w:rFonts w:ascii="Times New Roman"/>
                <w:kern w:val="0"/>
                <w:sz w:val="21"/>
                <w:szCs w:val="21"/>
              </w:rPr>
              <w:t>/</w:t>
            </w:r>
          </w:p>
        </w:tc>
      </w:tr>
      <w:tr w14:paraId="6492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 w:type="pct"/>
            <w:vAlign w:val="center"/>
          </w:tcPr>
          <w:p w14:paraId="45C41496">
            <w:pPr>
              <w:widowControl/>
              <w:jc w:val="center"/>
              <w:rPr>
                <w:rFonts w:ascii="Times New Roman"/>
                <w:kern w:val="0"/>
                <w:sz w:val="21"/>
                <w:szCs w:val="21"/>
              </w:rPr>
            </w:pPr>
            <w:r>
              <w:rPr>
                <w:rFonts w:ascii="Times New Roman"/>
                <w:kern w:val="0"/>
                <w:sz w:val="21"/>
                <w:szCs w:val="21"/>
              </w:rPr>
              <w:t>2</w:t>
            </w:r>
          </w:p>
        </w:tc>
        <w:tc>
          <w:tcPr>
            <w:tcW w:w="888" w:type="pct"/>
            <w:vAlign w:val="center"/>
          </w:tcPr>
          <w:p w14:paraId="43F94634">
            <w:pPr>
              <w:jc w:val="center"/>
              <w:rPr>
                <w:rFonts w:ascii="Times New Roman"/>
                <w:sz w:val="21"/>
                <w:szCs w:val="21"/>
              </w:rPr>
            </w:pPr>
            <w:r>
              <w:rPr>
                <w:rFonts w:ascii="Times New Roman"/>
                <w:sz w:val="21"/>
                <w:szCs w:val="21"/>
              </w:rPr>
              <w:t>托辊及装配厂房</w:t>
            </w:r>
          </w:p>
        </w:tc>
        <w:tc>
          <w:tcPr>
            <w:tcW w:w="472" w:type="pct"/>
            <w:vAlign w:val="center"/>
          </w:tcPr>
          <w:p w14:paraId="79E70366">
            <w:pPr>
              <w:jc w:val="center"/>
              <w:rPr>
                <w:rFonts w:ascii="Times New Roman"/>
                <w:sz w:val="21"/>
                <w:szCs w:val="21"/>
              </w:rPr>
            </w:pPr>
            <w:r>
              <w:rPr>
                <w:rFonts w:ascii="Times New Roman"/>
                <w:sz w:val="21"/>
                <w:szCs w:val="21"/>
              </w:rPr>
              <w:t>1/局部3层</w:t>
            </w:r>
          </w:p>
        </w:tc>
        <w:tc>
          <w:tcPr>
            <w:tcW w:w="676" w:type="pct"/>
            <w:vAlign w:val="center"/>
          </w:tcPr>
          <w:p w14:paraId="206B2318">
            <w:pPr>
              <w:jc w:val="center"/>
              <w:rPr>
                <w:rFonts w:ascii="Times New Roman"/>
                <w:sz w:val="21"/>
                <w:szCs w:val="21"/>
              </w:rPr>
            </w:pPr>
            <w:r>
              <w:rPr>
                <w:rFonts w:ascii="Times New Roman"/>
                <w:sz w:val="21"/>
                <w:szCs w:val="21"/>
              </w:rPr>
              <w:t>16885.96</w:t>
            </w:r>
          </w:p>
        </w:tc>
        <w:tc>
          <w:tcPr>
            <w:tcW w:w="676" w:type="pct"/>
            <w:vAlign w:val="center"/>
          </w:tcPr>
          <w:p w14:paraId="6759A4B2">
            <w:pPr>
              <w:jc w:val="center"/>
              <w:rPr>
                <w:rFonts w:ascii="Times New Roman"/>
                <w:sz w:val="21"/>
                <w:szCs w:val="21"/>
              </w:rPr>
            </w:pPr>
            <w:r>
              <w:rPr>
                <w:rFonts w:ascii="Times New Roman"/>
                <w:sz w:val="21"/>
                <w:szCs w:val="21"/>
              </w:rPr>
              <w:t>19011.15</w:t>
            </w:r>
          </w:p>
        </w:tc>
        <w:tc>
          <w:tcPr>
            <w:tcW w:w="521" w:type="pct"/>
            <w:vAlign w:val="center"/>
          </w:tcPr>
          <w:p w14:paraId="17CC86E4">
            <w:pPr>
              <w:widowControl/>
              <w:jc w:val="center"/>
              <w:rPr>
                <w:rFonts w:ascii="Times New Roman"/>
                <w:kern w:val="0"/>
                <w:sz w:val="21"/>
                <w:szCs w:val="21"/>
              </w:rPr>
            </w:pPr>
            <w:r>
              <w:rPr>
                <w:rFonts w:ascii="Times New Roman"/>
                <w:kern w:val="0"/>
                <w:sz w:val="21"/>
                <w:szCs w:val="21"/>
              </w:rPr>
              <w:t>15.50</w:t>
            </w:r>
          </w:p>
        </w:tc>
        <w:tc>
          <w:tcPr>
            <w:tcW w:w="808" w:type="pct"/>
            <w:vAlign w:val="center"/>
          </w:tcPr>
          <w:p w14:paraId="354C4A84">
            <w:pPr>
              <w:widowControl/>
              <w:jc w:val="center"/>
              <w:rPr>
                <w:rFonts w:ascii="Times New Roman"/>
                <w:kern w:val="0"/>
                <w:sz w:val="21"/>
                <w:szCs w:val="21"/>
              </w:rPr>
            </w:pPr>
            <w:r>
              <w:rPr>
                <w:rFonts w:ascii="Times New Roman"/>
                <w:kern w:val="0"/>
                <w:sz w:val="21"/>
                <w:szCs w:val="21"/>
              </w:rPr>
              <w:t>钢结构 彩钢</w:t>
            </w:r>
          </w:p>
        </w:tc>
        <w:tc>
          <w:tcPr>
            <w:tcW w:w="652" w:type="pct"/>
            <w:vAlign w:val="center"/>
          </w:tcPr>
          <w:p w14:paraId="603F8D9F">
            <w:pPr>
              <w:widowControl/>
              <w:jc w:val="center"/>
              <w:rPr>
                <w:rFonts w:ascii="Times New Roman"/>
                <w:kern w:val="0"/>
                <w:sz w:val="21"/>
                <w:szCs w:val="21"/>
              </w:rPr>
            </w:pPr>
            <w:r>
              <w:rPr>
                <w:rFonts w:ascii="Times New Roman"/>
                <w:kern w:val="0"/>
                <w:sz w:val="21"/>
                <w:szCs w:val="21"/>
              </w:rPr>
              <w:t>/</w:t>
            </w:r>
          </w:p>
        </w:tc>
      </w:tr>
      <w:tr w14:paraId="24B0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 w:type="pct"/>
            <w:shd w:val="clear" w:color="auto" w:fill="auto"/>
            <w:vAlign w:val="center"/>
          </w:tcPr>
          <w:p w14:paraId="2292E5B3">
            <w:pPr>
              <w:widowControl/>
              <w:jc w:val="center"/>
              <w:rPr>
                <w:rFonts w:ascii="Times New Roman"/>
                <w:kern w:val="0"/>
                <w:sz w:val="21"/>
                <w:szCs w:val="21"/>
              </w:rPr>
            </w:pPr>
            <w:r>
              <w:rPr>
                <w:rFonts w:ascii="Times New Roman"/>
                <w:kern w:val="0"/>
                <w:sz w:val="21"/>
                <w:szCs w:val="21"/>
              </w:rPr>
              <w:t>3</w:t>
            </w:r>
          </w:p>
        </w:tc>
        <w:tc>
          <w:tcPr>
            <w:tcW w:w="888" w:type="pct"/>
            <w:shd w:val="clear" w:color="auto" w:fill="auto"/>
            <w:vAlign w:val="center"/>
          </w:tcPr>
          <w:p w14:paraId="369667E6">
            <w:pPr>
              <w:jc w:val="center"/>
              <w:rPr>
                <w:rFonts w:ascii="Times New Roman"/>
                <w:sz w:val="21"/>
                <w:szCs w:val="21"/>
              </w:rPr>
            </w:pPr>
            <w:r>
              <w:rPr>
                <w:rFonts w:ascii="Times New Roman"/>
                <w:sz w:val="21"/>
                <w:szCs w:val="21"/>
              </w:rPr>
              <w:t>垃圾回收房</w:t>
            </w:r>
          </w:p>
        </w:tc>
        <w:tc>
          <w:tcPr>
            <w:tcW w:w="472" w:type="pct"/>
            <w:shd w:val="clear" w:color="auto" w:fill="auto"/>
            <w:vAlign w:val="center"/>
          </w:tcPr>
          <w:p w14:paraId="745B85C8">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575BB96C">
            <w:pPr>
              <w:jc w:val="center"/>
              <w:rPr>
                <w:rFonts w:ascii="Times New Roman"/>
                <w:sz w:val="21"/>
                <w:szCs w:val="21"/>
              </w:rPr>
            </w:pPr>
            <w:r>
              <w:rPr>
                <w:rFonts w:ascii="Times New Roman"/>
                <w:sz w:val="21"/>
                <w:szCs w:val="21"/>
              </w:rPr>
              <w:t>390.30</w:t>
            </w:r>
          </w:p>
        </w:tc>
        <w:tc>
          <w:tcPr>
            <w:tcW w:w="676" w:type="pct"/>
            <w:shd w:val="clear" w:color="auto" w:fill="auto"/>
            <w:vAlign w:val="center"/>
          </w:tcPr>
          <w:p w14:paraId="5732F3E6">
            <w:pPr>
              <w:jc w:val="center"/>
              <w:rPr>
                <w:rFonts w:ascii="Times New Roman"/>
                <w:sz w:val="21"/>
                <w:szCs w:val="21"/>
              </w:rPr>
            </w:pPr>
            <w:r>
              <w:rPr>
                <w:rFonts w:ascii="Times New Roman"/>
                <w:sz w:val="21"/>
                <w:szCs w:val="21"/>
              </w:rPr>
              <w:t>390.30</w:t>
            </w:r>
          </w:p>
        </w:tc>
        <w:tc>
          <w:tcPr>
            <w:tcW w:w="521" w:type="pct"/>
            <w:shd w:val="clear" w:color="auto" w:fill="auto"/>
            <w:vAlign w:val="center"/>
          </w:tcPr>
          <w:p w14:paraId="0A6EB294">
            <w:pPr>
              <w:widowControl/>
              <w:jc w:val="center"/>
              <w:rPr>
                <w:rFonts w:ascii="Times New Roman"/>
                <w:kern w:val="0"/>
                <w:sz w:val="21"/>
                <w:szCs w:val="21"/>
              </w:rPr>
            </w:pPr>
            <w:r>
              <w:rPr>
                <w:rFonts w:ascii="Times New Roman"/>
                <w:kern w:val="0"/>
                <w:sz w:val="21"/>
                <w:szCs w:val="21"/>
              </w:rPr>
              <w:t>5.70</w:t>
            </w:r>
          </w:p>
        </w:tc>
        <w:tc>
          <w:tcPr>
            <w:tcW w:w="808" w:type="pct"/>
            <w:shd w:val="clear" w:color="auto" w:fill="auto"/>
            <w:vAlign w:val="center"/>
          </w:tcPr>
          <w:p w14:paraId="4A24ABF8">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19C79B0E">
            <w:pPr>
              <w:widowControl/>
              <w:jc w:val="center"/>
              <w:rPr>
                <w:rFonts w:ascii="Times New Roman"/>
                <w:kern w:val="0"/>
                <w:sz w:val="21"/>
                <w:szCs w:val="21"/>
              </w:rPr>
            </w:pPr>
            <w:r>
              <w:rPr>
                <w:rFonts w:ascii="Times New Roman"/>
                <w:kern w:val="0"/>
                <w:sz w:val="21"/>
                <w:szCs w:val="21"/>
              </w:rPr>
              <w:t>/</w:t>
            </w:r>
          </w:p>
        </w:tc>
      </w:tr>
      <w:tr w14:paraId="4690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 w:type="pct"/>
            <w:shd w:val="clear" w:color="auto" w:fill="auto"/>
            <w:vAlign w:val="center"/>
          </w:tcPr>
          <w:p w14:paraId="55EE7724">
            <w:pPr>
              <w:widowControl/>
              <w:jc w:val="center"/>
              <w:rPr>
                <w:rFonts w:ascii="Times New Roman"/>
                <w:kern w:val="0"/>
                <w:sz w:val="21"/>
                <w:szCs w:val="21"/>
              </w:rPr>
            </w:pPr>
            <w:r>
              <w:rPr>
                <w:rFonts w:ascii="Times New Roman"/>
                <w:kern w:val="0"/>
                <w:sz w:val="21"/>
                <w:szCs w:val="21"/>
              </w:rPr>
              <w:t>4</w:t>
            </w:r>
          </w:p>
        </w:tc>
        <w:tc>
          <w:tcPr>
            <w:tcW w:w="888" w:type="pct"/>
            <w:shd w:val="clear" w:color="auto" w:fill="auto"/>
            <w:vAlign w:val="center"/>
          </w:tcPr>
          <w:p w14:paraId="1E49AE7E">
            <w:pPr>
              <w:jc w:val="center"/>
              <w:rPr>
                <w:rFonts w:ascii="Times New Roman"/>
                <w:sz w:val="21"/>
                <w:szCs w:val="21"/>
              </w:rPr>
            </w:pPr>
            <w:r>
              <w:rPr>
                <w:rFonts w:ascii="Times New Roman"/>
                <w:sz w:val="21"/>
                <w:szCs w:val="21"/>
              </w:rPr>
              <w:t>危废库</w:t>
            </w:r>
          </w:p>
        </w:tc>
        <w:tc>
          <w:tcPr>
            <w:tcW w:w="472" w:type="pct"/>
            <w:shd w:val="clear" w:color="auto" w:fill="auto"/>
            <w:vAlign w:val="center"/>
          </w:tcPr>
          <w:p w14:paraId="6ED10525">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2D02ACFB">
            <w:pPr>
              <w:jc w:val="center"/>
              <w:rPr>
                <w:rFonts w:ascii="Times New Roman"/>
                <w:sz w:val="21"/>
                <w:szCs w:val="21"/>
              </w:rPr>
            </w:pPr>
            <w:r>
              <w:rPr>
                <w:rFonts w:ascii="Times New Roman"/>
                <w:sz w:val="21"/>
                <w:szCs w:val="21"/>
              </w:rPr>
              <w:t>223.98</w:t>
            </w:r>
          </w:p>
        </w:tc>
        <w:tc>
          <w:tcPr>
            <w:tcW w:w="676" w:type="pct"/>
            <w:shd w:val="clear" w:color="auto" w:fill="auto"/>
            <w:vAlign w:val="center"/>
          </w:tcPr>
          <w:p w14:paraId="5DA5DC04">
            <w:pPr>
              <w:jc w:val="center"/>
              <w:rPr>
                <w:rFonts w:ascii="Times New Roman"/>
                <w:sz w:val="21"/>
                <w:szCs w:val="21"/>
              </w:rPr>
            </w:pPr>
            <w:r>
              <w:rPr>
                <w:rFonts w:ascii="Times New Roman"/>
                <w:sz w:val="21"/>
                <w:szCs w:val="21"/>
              </w:rPr>
              <w:t>223.98</w:t>
            </w:r>
          </w:p>
        </w:tc>
        <w:tc>
          <w:tcPr>
            <w:tcW w:w="521" w:type="pct"/>
            <w:shd w:val="clear" w:color="auto" w:fill="auto"/>
            <w:vAlign w:val="center"/>
          </w:tcPr>
          <w:p w14:paraId="641F4F28">
            <w:pPr>
              <w:widowControl/>
              <w:jc w:val="center"/>
              <w:rPr>
                <w:rFonts w:ascii="Times New Roman"/>
                <w:kern w:val="0"/>
                <w:sz w:val="21"/>
                <w:szCs w:val="21"/>
              </w:rPr>
            </w:pPr>
            <w:r>
              <w:rPr>
                <w:rFonts w:ascii="Times New Roman"/>
                <w:kern w:val="0"/>
                <w:sz w:val="21"/>
                <w:szCs w:val="21"/>
              </w:rPr>
              <w:t>6.10</w:t>
            </w:r>
          </w:p>
        </w:tc>
        <w:tc>
          <w:tcPr>
            <w:tcW w:w="808" w:type="pct"/>
            <w:shd w:val="clear" w:color="auto" w:fill="auto"/>
            <w:vAlign w:val="center"/>
          </w:tcPr>
          <w:p w14:paraId="52C2EDE7">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36568091">
            <w:pPr>
              <w:widowControl/>
              <w:jc w:val="center"/>
              <w:rPr>
                <w:rFonts w:ascii="Times New Roman"/>
                <w:kern w:val="0"/>
                <w:sz w:val="21"/>
                <w:szCs w:val="21"/>
              </w:rPr>
            </w:pPr>
            <w:r>
              <w:rPr>
                <w:rFonts w:ascii="Times New Roman"/>
                <w:kern w:val="0"/>
                <w:sz w:val="21"/>
                <w:szCs w:val="21"/>
              </w:rPr>
              <w:t>/</w:t>
            </w:r>
          </w:p>
        </w:tc>
      </w:tr>
      <w:tr w14:paraId="03C1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 w:type="pct"/>
            <w:shd w:val="clear" w:color="auto" w:fill="auto"/>
            <w:vAlign w:val="center"/>
          </w:tcPr>
          <w:p w14:paraId="648C311B">
            <w:pPr>
              <w:widowControl/>
              <w:jc w:val="center"/>
              <w:rPr>
                <w:rFonts w:ascii="Times New Roman"/>
                <w:kern w:val="0"/>
                <w:sz w:val="21"/>
                <w:szCs w:val="21"/>
              </w:rPr>
            </w:pPr>
            <w:r>
              <w:rPr>
                <w:rFonts w:ascii="Times New Roman"/>
                <w:kern w:val="0"/>
                <w:sz w:val="21"/>
                <w:szCs w:val="21"/>
              </w:rPr>
              <w:t>5</w:t>
            </w:r>
          </w:p>
        </w:tc>
        <w:tc>
          <w:tcPr>
            <w:tcW w:w="888" w:type="pct"/>
            <w:shd w:val="clear" w:color="auto" w:fill="auto"/>
            <w:vAlign w:val="center"/>
          </w:tcPr>
          <w:p w14:paraId="0D96FC59">
            <w:pPr>
              <w:jc w:val="center"/>
              <w:rPr>
                <w:rFonts w:ascii="Times New Roman"/>
                <w:sz w:val="21"/>
                <w:szCs w:val="21"/>
              </w:rPr>
            </w:pPr>
            <w:r>
              <w:rPr>
                <w:rFonts w:ascii="Times New Roman"/>
                <w:sz w:val="21"/>
                <w:szCs w:val="21"/>
              </w:rPr>
              <w:t>危化库</w:t>
            </w:r>
          </w:p>
        </w:tc>
        <w:tc>
          <w:tcPr>
            <w:tcW w:w="472" w:type="pct"/>
            <w:shd w:val="clear" w:color="auto" w:fill="auto"/>
            <w:vAlign w:val="center"/>
          </w:tcPr>
          <w:p w14:paraId="5F784FE3">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60002065">
            <w:pPr>
              <w:jc w:val="center"/>
              <w:rPr>
                <w:rFonts w:ascii="Times New Roman"/>
                <w:sz w:val="21"/>
                <w:szCs w:val="21"/>
              </w:rPr>
            </w:pPr>
            <w:r>
              <w:rPr>
                <w:rFonts w:ascii="Times New Roman"/>
                <w:sz w:val="21"/>
                <w:szCs w:val="21"/>
              </w:rPr>
              <w:t>223.98</w:t>
            </w:r>
          </w:p>
        </w:tc>
        <w:tc>
          <w:tcPr>
            <w:tcW w:w="676" w:type="pct"/>
            <w:shd w:val="clear" w:color="auto" w:fill="auto"/>
            <w:vAlign w:val="center"/>
          </w:tcPr>
          <w:p w14:paraId="3085B4A1">
            <w:pPr>
              <w:jc w:val="center"/>
              <w:rPr>
                <w:rFonts w:ascii="Times New Roman"/>
                <w:sz w:val="21"/>
                <w:szCs w:val="21"/>
              </w:rPr>
            </w:pPr>
            <w:r>
              <w:rPr>
                <w:rFonts w:ascii="Times New Roman"/>
                <w:sz w:val="21"/>
                <w:szCs w:val="21"/>
              </w:rPr>
              <w:t>223.98</w:t>
            </w:r>
          </w:p>
        </w:tc>
        <w:tc>
          <w:tcPr>
            <w:tcW w:w="521" w:type="pct"/>
            <w:shd w:val="clear" w:color="auto" w:fill="auto"/>
            <w:vAlign w:val="center"/>
          </w:tcPr>
          <w:p w14:paraId="6B9FF00C">
            <w:pPr>
              <w:widowControl/>
              <w:jc w:val="center"/>
              <w:rPr>
                <w:rFonts w:ascii="Times New Roman"/>
                <w:kern w:val="0"/>
                <w:sz w:val="21"/>
                <w:szCs w:val="21"/>
              </w:rPr>
            </w:pPr>
            <w:r>
              <w:rPr>
                <w:rFonts w:ascii="Times New Roman"/>
                <w:kern w:val="0"/>
                <w:sz w:val="21"/>
                <w:szCs w:val="21"/>
              </w:rPr>
              <w:t>6.10</w:t>
            </w:r>
          </w:p>
        </w:tc>
        <w:tc>
          <w:tcPr>
            <w:tcW w:w="808" w:type="pct"/>
            <w:shd w:val="clear" w:color="auto" w:fill="auto"/>
            <w:vAlign w:val="center"/>
          </w:tcPr>
          <w:p w14:paraId="3F817E00">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716B6C46">
            <w:pPr>
              <w:widowControl/>
              <w:jc w:val="center"/>
              <w:rPr>
                <w:rFonts w:ascii="Times New Roman"/>
                <w:kern w:val="0"/>
                <w:sz w:val="21"/>
                <w:szCs w:val="21"/>
              </w:rPr>
            </w:pPr>
            <w:r>
              <w:rPr>
                <w:rFonts w:ascii="Times New Roman"/>
                <w:kern w:val="0"/>
                <w:sz w:val="21"/>
                <w:szCs w:val="21"/>
              </w:rPr>
              <w:t>/</w:t>
            </w:r>
          </w:p>
        </w:tc>
      </w:tr>
      <w:tr w14:paraId="0037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 w:type="pct"/>
            <w:shd w:val="clear" w:color="auto" w:fill="auto"/>
            <w:vAlign w:val="center"/>
          </w:tcPr>
          <w:p w14:paraId="7B2C5DB9">
            <w:pPr>
              <w:widowControl/>
              <w:jc w:val="center"/>
              <w:rPr>
                <w:rFonts w:ascii="Times New Roman"/>
                <w:kern w:val="0"/>
                <w:sz w:val="21"/>
                <w:szCs w:val="21"/>
              </w:rPr>
            </w:pPr>
            <w:r>
              <w:rPr>
                <w:rFonts w:ascii="Times New Roman"/>
                <w:kern w:val="0"/>
                <w:sz w:val="21"/>
                <w:szCs w:val="21"/>
              </w:rPr>
              <w:t>6</w:t>
            </w:r>
          </w:p>
        </w:tc>
        <w:tc>
          <w:tcPr>
            <w:tcW w:w="888" w:type="pct"/>
            <w:shd w:val="clear" w:color="auto" w:fill="auto"/>
            <w:vAlign w:val="center"/>
          </w:tcPr>
          <w:p w14:paraId="16426E04">
            <w:pPr>
              <w:jc w:val="center"/>
              <w:rPr>
                <w:rFonts w:ascii="Times New Roman"/>
                <w:sz w:val="21"/>
                <w:szCs w:val="21"/>
              </w:rPr>
            </w:pPr>
            <w:r>
              <w:rPr>
                <w:rFonts w:ascii="Times New Roman"/>
                <w:sz w:val="21"/>
                <w:szCs w:val="21"/>
              </w:rPr>
              <w:t>液气站</w:t>
            </w:r>
          </w:p>
        </w:tc>
        <w:tc>
          <w:tcPr>
            <w:tcW w:w="472" w:type="pct"/>
            <w:shd w:val="clear" w:color="auto" w:fill="auto"/>
            <w:vAlign w:val="center"/>
          </w:tcPr>
          <w:p w14:paraId="075AFD9D">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172DDD6F">
            <w:pPr>
              <w:jc w:val="center"/>
              <w:rPr>
                <w:rFonts w:ascii="Times New Roman"/>
                <w:sz w:val="21"/>
                <w:szCs w:val="21"/>
              </w:rPr>
            </w:pPr>
            <w:r>
              <w:rPr>
                <w:rFonts w:ascii="Times New Roman"/>
                <w:sz w:val="21"/>
                <w:szCs w:val="21"/>
              </w:rPr>
              <w:t>48.42</w:t>
            </w:r>
          </w:p>
        </w:tc>
        <w:tc>
          <w:tcPr>
            <w:tcW w:w="676" w:type="pct"/>
            <w:shd w:val="clear" w:color="auto" w:fill="auto"/>
            <w:vAlign w:val="center"/>
          </w:tcPr>
          <w:p w14:paraId="4850D59E">
            <w:pPr>
              <w:jc w:val="center"/>
              <w:rPr>
                <w:rFonts w:ascii="Times New Roman"/>
                <w:sz w:val="21"/>
                <w:szCs w:val="21"/>
              </w:rPr>
            </w:pPr>
            <w:r>
              <w:rPr>
                <w:rFonts w:ascii="Times New Roman"/>
                <w:sz w:val="21"/>
                <w:szCs w:val="21"/>
              </w:rPr>
              <w:t>48.42</w:t>
            </w:r>
          </w:p>
        </w:tc>
        <w:tc>
          <w:tcPr>
            <w:tcW w:w="521" w:type="pct"/>
            <w:shd w:val="clear" w:color="auto" w:fill="auto"/>
            <w:vAlign w:val="center"/>
          </w:tcPr>
          <w:p w14:paraId="2B6CC7CF">
            <w:pPr>
              <w:widowControl/>
              <w:jc w:val="center"/>
              <w:rPr>
                <w:rFonts w:ascii="Times New Roman"/>
                <w:kern w:val="0"/>
                <w:sz w:val="21"/>
                <w:szCs w:val="21"/>
              </w:rPr>
            </w:pPr>
            <w:r>
              <w:rPr>
                <w:rFonts w:ascii="Times New Roman"/>
                <w:kern w:val="0"/>
                <w:sz w:val="21"/>
                <w:szCs w:val="21"/>
              </w:rPr>
              <w:t>5.80</w:t>
            </w:r>
          </w:p>
        </w:tc>
        <w:tc>
          <w:tcPr>
            <w:tcW w:w="808" w:type="pct"/>
            <w:shd w:val="clear" w:color="auto" w:fill="auto"/>
            <w:vAlign w:val="center"/>
          </w:tcPr>
          <w:p w14:paraId="74E05C7E">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3EAC862E">
            <w:pPr>
              <w:widowControl/>
              <w:jc w:val="center"/>
              <w:rPr>
                <w:rFonts w:ascii="Times New Roman"/>
                <w:kern w:val="0"/>
                <w:sz w:val="21"/>
                <w:szCs w:val="21"/>
              </w:rPr>
            </w:pPr>
            <w:r>
              <w:rPr>
                <w:rFonts w:ascii="Times New Roman"/>
                <w:kern w:val="0"/>
                <w:sz w:val="21"/>
                <w:szCs w:val="21"/>
              </w:rPr>
              <w:t>/</w:t>
            </w:r>
          </w:p>
        </w:tc>
      </w:tr>
      <w:tr w14:paraId="6015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6622B885">
            <w:pPr>
              <w:widowControl/>
              <w:jc w:val="center"/>
              <w:rPr>
                <w:rFonts w:ascii="Times New Roman"/>
                <w:kern w:val="0"/>
                <w:sz w:val="21"/>
                <w:szCs w:val="21"/>
              </w:rPr>
            </w:pPr>
            <w:r>
              <w:rPr>
                <w:rFonts w:ascii="Times New Roman"/>
                <w:kern w:val="0"/>
                <w:sz w:val="21"/>
                <w:szCs w:val="21"/>
              </w:rPr>
              <w:t>7</w:t>
            </w:r>
          </w:p>
        </w:tc>
        <w:tc>
          <w:tcPr>
            <w:tcW w:w="888" w:type="pct"/>
            <w:shd w:val="clear" w:color="auto" w:fill="auto"/>
            <w:vAlign w:val="center"/>
          </w:tcPr>
          <w:p w14:paraId="4B57DA74">
            <w:pPr>
              <w:jc w:val="center"/>
              <w:rPr>
                <w:rFonts w:ascii="Times New Roman"/>
                <w:sz w:val="21"/>
                <w:szCs w:val="21"/>
              </w:rPr>
            </w:pPr>
            <w:r>
              <w:rPr>
                <w:rFonts w:ascii="Times New Roman"/>
                <w:sz w:val="21"/>
                <w:szCs w:val="21"/>
              </w:rPr>
              <w:t>研发中心</w:t>
            </w:r>
          </w:p>
        </w:tc>
        <w:tc>
          <w:tcPr>
            <w:tcW w:w="472" w:type="pct"/>
            <w:shd w:val="clear" w:color="auto" w:fill="auto"/>
            <w:vAlign w:val="center"/>
          </w:tcPr>
          <w:p w14:paraId="5CBD7D52">
            <w:pPr>
              <w:widowControl/>
              <w:jc w:val="center"/>
              <w:rPr>
                <w:rFonts w:ascii="Times New Roman"/>
                <w:kern w:val="0"/>
                <w:sz w:val="21"/>
                <w:szCs w:val="21"/>
              </w:rPr>
            </w:pPr>
            <w:r>
              <w:rPr>
                <w:rFonts w:ascii="Times New Roman"/>
                <w:kern w:val="0"/>
                <w:sz w:val="21"/>
                <w:szCs w:val="21"/>
              </w:rPr>
              <w:t>5</w:t>
            </w:r>
          </w:p>
        </w:tc>
        <w:tc>
          <w:tcPr>
            <w:tcW w:w="676" w:type="pct"/>
            <w:shd w:val="clear" w:color="auto" w:fill="auto"/>
            <w:vAlign w:val="center"/>
          </w:tcPr>
          <w:p w14:paraId="7BF62387">
            <w:pPr>
              <w:jc w:val="center"/>
              <w:rPr>
                <w:rFonts w:ascii="Times New Roman"/>
                <w:sz w:val="21"/>
                <w:szCs w:val="21"/>
              </w:rPr>
            </w:pPr>
            <w:r>
              <w:rPr>
                <w:rFonts w:ascii="Times New Roman"/>
                <w:sz w:val="21"/>
                <w:szCs w:val="21"/>
              </w:rPr>
              <w:t>2579.60</w:t>
            </w:r>
          </w:p>
        </w:tc>
        <w:tc>
          <w:tcPr>
            <w:tcW w:w="676" w:type="pct"/>
            <w:shd w:val="clear" w:color="auto" w:fill="auto"/>
            <w:vAlign w:val="center"/>
          </w:tcPr>
          <w:p w14:paraId="5B56247B">
            <w:pPr>
              <w:jc w:val="center"/>
              <w:rPr>
                <w:rFonts w:ascii="Times New Roman"/>
                <w:sz w:val="21"/>
                <w:szCs w:val="21"/>
              </w:rPr>
            </w:pPr>
            <w:r>
              <w:rPr>
                <w:rFonts w:ascii="Times New Roman"/>
                <w:sz w:val="21"/>
                <w:szCs w:val="21"/>
              </w:rPr>
              <w:t>8419.44</w:t>
            </w:r>
          </w:p>
        </w:tc>
        <w:tc>
          <w:tcPr>
            <w:tcW w:w="521" w:type="pct"/>
            <w:shd w:val="clear" w:color="auto" w:fill="auto"/>
            <w:vAlign w:val="center"/>
          </w:tcPr>
          <w:p w14:paraId="09066B30">
            <w:pPr>
              <w:widowControl/>
              <w:jc w:val="center"/>
              <w:rPr>
                <w:rFonts w:ascii="Times New Roman"/>
                <w:kern w:val="0"/>
                <w:sz w:val="21"/>
                <w:szCs w:val="21"/>
              </w:rPr>
            </w:pPr>
            <w:r>
              <w:rPr>
                <w:rFonts w:ascii="Times New Roman"/>
                <w:kern w:val="0"/>
                <w:sz w:val="21"/>
                <w:szCs w:val="21"/>
              </w:rPr>
              <w:t>23.85</w:t>
            </w:r>
          </w:p>
        </w:tc>
        <w:tc>
          <w:tcPr>
            <w:tcW w:w="808" w:type="pct"/>
            <w:shd w:val="clear" w:color="auto" w:fill="auto"/>
            <w:vAlign w:val="center"/>
          </w:tcPr>
          <w:p w14:paraId="1B2B7589">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6BD5CA4B">
            <w:pPr>
              <w:widowControl/>
              <w:jc w:val="center"/>
              <w:rPr>
                <w:rFonts w:ascii="Times New Roman"/>
                <w:kern w:val="0"/>
                <w:sz w:val="21"/>
                <w:szCs w:val="21"/>
              </w:rPr>
            </w:pPr>
            <w:r>
              <w:rPr>
                <w:rFonts w:ascii="Times New Roman"/>
                <w:kern w:val="0"/>
                <w:sz w:val="21"/>
                <w:szCs w:val="21"/>
              </w:rPr>
              <w:t>地下1层</w:t>
            </w:r>
          </w:p>
        </w:tc>
      </w:tr>
      <w:tr w14:paraId="2757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1BD8AB95">
            <w:pPr>
              <w:widowControl/>
              <w:jc w:val="center"/>
              <w:rPr>
                <w:rFonts w:ascii="Times New Roman"/>
                <w:kern w:val="0"/>
                <w:sz w:val="21"/>
                <w:szCs w:val="21"/>
              </w:rPr>
            </w:pPr>
            <w:r>
              <w:rPr>
                <w:rFonts w:ascii="Times New Roman"/>
                <w:kern w:val="0"/>
                <w:sz w:val="21"/>
                <w:szCs w:val="21"/>
              </w:rPr>
              <w:t>8</w:t>
            </w:r>
          </w:p>
        </w:tc>
        <w:tc>
          <w:tcPr>
            <w:tcW w:w="888" w:type="pct"/>
            <w:shd w:val="clear" w:color="auto" w:fill="auto"/>
            <w:vAlign w:val="center"/>
          </w:tcPr>
          <w:p w14:paraId="234E459B">
            <w:pPr>
              <w:jc w:val="center"/>
              <w:rPr>
                <w:rFonts w:ascii="Times New Roman"/>
                <w:sz w:val="21"/>
                <w:szCs w:val="21"/>
              </w:rPr>
            </w:pPr>
            <w:r>
              <w:rPr>
                <w:rFonts w:ascii="Times New Roman"/>
                <w:sz w:val="21"/>
                <w:szCs w:val="21"/>
              </w:rPr>
              <w:t>倒班宿舍</w:t>
            </w:r>
          </w:p>
        </w:tc>
        <w:tc>
          <w:tcPr>
            <w:tcW w:w="472" w:type="pct"/>
            <w:shd w:val="clear" w:color="auto" w:fill="auto"/>
            <w:vAlign w:val="center"/>
          </w:tcPr>
          <w:p w14:paraId="026FD1BF">
            <w:pPr>
              <w:widowControl/>
              <w:jc w:val="center"/>
              <w:rPr>
                <w:rFonts w:ascii="Times New Roman"/>
                <w:kern w:val="0"/>
                <w:sz w:val="21"/>
                <w:szCs w:val="21"/>
              </w:rPr>
            </w:pPr>
            <w:r>
              <w:rPr>
                <w:rFonts w:ascii="Times New Roman"/>
                <w:kern w:val="0"/>
                <w:sz w:val="21"/>
                <w:szCs w:val="21"/>
              </w:rPr>
              <w:t>5</w:t>
            </w:r>
          </w:p>
        </w:tc>
        <w:tc>
          <w:tcPr>
            <w:tcW w:w="676" w:type="pct"/>
            <w:shd w:val="clear" w:color="auto" w:fill="auto"/>
            <w:vAlign w:val="center"/>
          </w:tcPr>
          <w:p w14:paraId="1E924001">
            <w:pPr>
              <w:jc w:val="center"/>
              <w:rPr>
                <w:rFonts w:ascii="Times New Roman"/>
                <w:sz w:val="21"/>
                <w:szCs w:val="21"/>
              </w:rPr>
            </w:pPr>
            <w:r>
              <w:rPr>
                <w:rFonts w:ascii="Times New Roman"/>
                <w:sz w:val="21"/>
                <w:szCs w:val="21"/>
              </w:rPr>
              <w:t>2238.90</w:t>
            </w:r>
          </w:p>
        </w:tc>
        <w:tc>
          <w:tcPr>
            <w:tcW w:w="676" w:type="pct"/>
            <w:shd w:val="clear" w:color="auto" w:fill="auto"/>
            <w:vAlign w:val="center"/>
          </w:tcPr>
          <w:p w14:paraId="3971DFE2">
            <w:pPr>
              <w:jc w:val="center"/>
              <w:rPr>
                <w:rFonts w:ascii="Times New Roman"/>
                <w:sz w:val="21"/>
                <w:szCs w:val="21"/>
              </w:rPr>
            </w:pPr>
            <w:r>
              <w:rPr>
                <w:rFonts w:ascii="Times New Roman"/>
                <w:sz w:val="21"/>
                <w:szCs w:val="21"/>
              </w:rPr>
              <w:t>10604.01</w:t>
            </w:r>
          </w:p>
        </w:tc>
        <w:tc>
          <w:tcPr>
            <w:tcW w:w="521" w:type="pct"/>
            <w:shd w:val="clear" w:color="auto" w:fill="auto"/>
            <w:vAlign w:val="center"/>
          </w:tcPr>
          <w:p w14:paraId="7919C54B">
            <w:pPr>
              <w:widowControl/>
              <w:jc w:val="center"/>
              <w:rPr>
                <w:rFonts w:ascii="Times New Roman"/>
                <w:kern w:val="0"/>
                <w:sz w:val="21"/>
                <w:szCs w:val="21"/>
              </w:rPr>
            </w:pPr>
            <w:r>
              <w:rPr>
                <w:rFonts w:ascii="Times New Roman"/>
                <w:kern w:val="0"/>
                <w:sz w:val="21"/>
                <w:szCs w:val="21"/>
              </w:rPr>
              <w:t>18.75</w:t>
            </w:r>
          </w:p>
        </w:tc>
        <w:tc>
          <w:tcPr>
            <w:tcW w:w="808" w:type="pct"/>
            <w:shd w:val="clear" w:color="auto" w:fill="auto"/>
            <w:vAlign w:val="center"/>
          </w:tcPr>
          <w:p w14:paraId="62876CCE">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37F651D6">
            <w:pPr>
              <w:widowControl/>
              <w:jc w:val="center"/>
              <w:rPr>
                <w:rFonts w:ascii="Times New Roman"/>
                <w:kern w:val="0"/>
                <w:sz w:val="21"/>
                <w:szCs w:val="21"/>
              </w:rPr>
            </w:pPr>
            <w:r>
              <w:rPr>
                <w:rFonts w:ascii="Times New Roman"/>
                <w:kern w:val="0"/>
                <w:sz w:val="21"/>
                <w:szCs w:val="21"/>
              </w:rPr>
              <w:t>/</w:t>
            </w:r>
          </w:p>
        </w:tc>
      </w:tr>
      <w:tr w14:paraId="028A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00ED6748">
            <w:pPr>
              <w:widowControl/>
              <w:jc w:val="center"/>
              <w:rPr>
                <w:rFonts w:ascii="Times New Roman"/>
                <w:kern w:val="0"/>
                <w:sz w:val="21"/>
                <w:szCs w:val="21"/>
              </w:rPr>
            </w:pPr>
            <w:r>
              <w:rPr>
                <w:rFonts w:ascii="Times New Roman"/>
                <w:kern w:val="0"/>
                <w:sz w:val="21"/>
                <w:szCs w:val="21"/>
              </w:rPr>
              <w:t>9</w:t>
            </w:r>
          </w:p>
        </w:tc>
        <w:tc>
          <w:tcPr>
            <w:tcW w:w="888" w:type="pct"/>
            <w:shd w:val="clear" w:color="auto" w:fill="auto"/>
            <w:vAlign w:val="center"/>
          </w:tcPr>
          <w:p w14:paraId="3054BC00">
            <w:pPr>
              <w:jc w:val="center"/>
              <w:rPr>
                <w:rFonts w:ascii="Times New Roman"/>
                <w:sz w:val="21"/>
                <w:szCs w:val="21"/>
              </w:rPr>
            </w:pPr>
            <w:r>
              <w:rPr>
                <w:rFonts w:ascii="Times New Roman"/>
                <w:sz w:val="21"/>
                <w:szCs w:val="21"/>
              </w:rPr>
              <w:t>食堂</w:t>
            </w:r>
          </w:p>
        </w:tc>
        <w:tc>
          <w:tcPr>
            <w:tcW w:w="472" w:type="pct"/>
            <w:shd w:val="clear" w:color="auto" w:fill="auto"/>
            <w:vAlign w:val="center"/>
          </w:tcPr>
          <w:p w14:paraId="5234EE0A">
            <w:pPr>
              <w:widowControl/>
              <w:jc w:val="center"/>
              <w:rPr>
                <w:rFonts w:ascii="Times New Roman"/>
                <w:kern w:val="0"/>
                <w:sz w:val="21"/>
                <w:szCs w:val="21"/>
              </w:rPr>
            </w:pPr>
            <w:r>
              <w:rPr>
                <w:rFonts w:ascii="Times New Roman"/>
                <w:kern w:val="0"/>
                <w:sz w:val="21"/>
                <w:szCs w:val="21"/>
              </w:rPr>
              <w:t>3</w:t>
            </w:r>
          </w:p>
        </w:tc>
        <w:tc>
          <w:tcPr>
            <w:tcW w:w="676" w:type="pct"/>
            <w:shd w:val="clear" w:color="auto" w:fill="auto"/>
            <w:vAlign w:val="center"/>
          </w:tcPr>
          <w:p w14:paraId="4639384E">
            <w:pPr>
              <w:jc w:val="center"/>
              <w:rPr>
                <w:rFonts w:ascii="Times New Roman"/>
                <w:sz w:val="21"/>
                <w:szCs w:val="21"/>
              </w:rPr>
            </w:pPr>
            <w:r>
              <w:rPr>
                <w:rFonts w:ascii="Times New Roman"/>
                <w:sz w:val="21"/>
                <w:szCs w:val="21"/>
              </w:rPr>
              <w:t>1390.39</w:t>
            </w:r>
          </w:p>
        </w:tc>
        <w:tc>
          <w:tcPr>
            <w:tcW w:w="676" w:type="pct"/>
            <w:shd w:val="clear" w:color="auto" w:fill="auto"/>
            <w:vAlign w:val="center"/>
          </w:tcPr>
          <w:p w14:paraId="4E95D088">
            <w:pPr>
              <w:jc w:val="center"/>
              <w:rPr>
                <w:rFonts w:ascii="Times New Roman"/>
                <w:sz w:val="21"/>
                <w:szCs w:val="21"/>
              </w:rPr>
            </w:pPr>
            <w:r>
              <w:rPr>
                <w:rFonts w:ascii="Times New Roman"/>
                <w:sz w:val="21"/>
                <w:szCs w:val="21"/>
              </w:rPr>
              <w:t>4313.25</w:t>
            </w:r>
          </w:p>
        </w:tc>
        <w:tc>
          <w:tcPr>
            <w:tcW w:w="521" w:type="pct"/>
            <w:shd w:val="clear" w:color="auto" w:fill="auto"/>
            <w:vAlign w:val="center"/>
          </w:tcPr>
          <w:p w14:paraId="492E4ECD">
            <w:pPr>
              <w:widowControl/>
              <w:jc w:val="center"/>
              <w:rPr>
                <w:rFonts w:ascii="Times New Roman"/>
                <w:kern w:val="0"/>
                <w:sz w:val="21"/>
                <w:szCs w:val="21"/>
              </w:rPr>
            </w:pPr>
            <w:r>
              <w:rPr>
                <w:rFonts w:ascii="Times New Roman"/>
                <w:kern w:val="0"/>
                <w:sz w:val="21"/>
                <w:szCs w:val="21"/>
              </w:rPr>
              <w:t>19.35</w:t>
            </w:r>
          </w:p>
        </w:tc>
        <w:tc>
          <w:tcPr>
            <w:tcW w:w="808" w:type="pct"/>
            <w:shd w:val="clear" w:color="auto" w:fill="auto"/>
            <w:vAlign w:val="center"/>
          </w:tcPr>
          <w:p w14:paraId="7F562757">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5C579C52">
            <w:pPr>
              <w:widowControl/>
              <w:jc w:val="center"/>
              <w:rPr>
                <w:rFonts w:ascii="Times New Roman"/>
                <w:kern w:val="0"/>
                <w:sz w:val="21"/>
                <w:szCs w:val="21"/>
              </w:rPr>
            </w:pPr>
            <w:r>
              <w:rPr>
                <w:rFonts w:ascii="Times New Roman"/>
                <w:kern w:val="0"/>
                <w:sz w:val="21"/>
                <w:szCs w:val="21"/>
              </w:rPr>
              <w:t>/</w:t>
            </w:r>
          </w:p>
        </w:tc>
      </w:tr>
      <w:tr w14:paraId="374A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69E9369F">
            <w:pPr>
              <w:widowControl/>
              <w:jc w:val="center"/>
              <w:rPr>
                <w:rFonts w:ascii="Times New Roman"/>
                <w:kern w:val="0"/>
                <w:sz w:val="21"/>
                <w:szCs w:val="21"/>
              </w:rPr>
            </w:pPr>
            <w:r>
              <w:rPr>
                <w:rFonts w:ascii="Times New Roman"/>
                <w:kern w:val="0"/>
                <w:sz w:val="21"/>
                <w:szCs w:val="21"/>
              </w:rPr>
              <w:t>10</w:t>
            </w:r>
          </w:p>
        </w:tc>
        <w:tc>
          <w:tcPr>
            <w:tcW w:w="888" w:type="pct"/>
            <w:shd w:val="clear" w:color="auto" w:fill="auto"/>
            <w:vAlign w:val="center"/>
          </w:tcPr>
          <w:p w14:paraId="0AD4CE72">
            <w:pPr>
              <w:jc w:val="center"/>
              <w:rPr>
                <w:rFonts w:ascii="Times New Roman"/>
                <w:sz w:val="21"/>
                <w:szCs w:val="21"/>
              </w:rPr>
            </w:pPr>
            <w:r>
              <w:rPr>
                <w:rFonts w:ascii="Times New Roman"/>
                <w:sz w:val="21"/>
                <w:szCs w:val="21"/>
              </w:rPr>
              <w:t>主大门门卫室</w:t>
            </w:r>
          </w:p>
        </w:tc>
        <w:tc>
          <w:tcPr>
            <w:tcW w:w="472" w:type="pct"/>
            <w:shd w:val="clear" w:color="auto" w:fill="auto"/>
            <w:vAlign w:val="center"/>
          </w:tcPr>
          <w:p w14:paraId="4C4EA4FB">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03672E86">
            <w:pPr>
              <w:jc w:val="center"/>
              <w:rPr>
                <w:rFonts w:ascii="Times New Roman"/>
                <w:sz w:val="21"/>
                <w:szCs w:val="21"/>
              </w:rPr>
            </w:pPr>
            <w:r>
              <w:rPr>
                <w:rFonts w:ascii="Times New Roman"/>
                <w:sz w:val="21"/>
                <w:szCs w:val="21"/>
              </w:rPr>
              <w:t>70.30</w:t>
            </w:r>
          </w:p>
        </w:tc>
        <w:tc>
          <w:tcPr>
            <w:tcW w:w="676" w:type="pct"/>
            <w:shd w:val="clear" w:color="auto" w:fill="auto"/>
            <w:vAlign w:val="center"/>
          </w:tcPr>
          <w:p w14:paraId="60B5E247">
            <w:pPr>
              <w:jc w:val="center"/>
              <w:rPr>
                <w:rFonts w:ascii="Times New Roman"/>
                <w:sz w:val="21"/>
                <w:szCs w:val="21"/>
              </w:rPr>
            </w:pPr>
            <w:r>
              <w:rPr>
                <w:rFonts w:ascii="Times New Roman"/>
                <w:sz w:val="21"/>
                <w:szCs w:val="21"/>
              </w:rPr>
              <w:t>70.30</w:t>
            </w:r>
          </w:p>
        </w:tc>
        <w:tc>
          <w:tcPr>
            <w:tcW w:w="521" w:type="pct"/>
            <w:shd w:val="clear" w:color="auto" w:fill="auto"/>
            <w:vAlign w:val="center"/>
          </w:tcPr>
          <w:p w14:paraId="6AC7CD2C">
            <w:pPr>
              <w:widowControl/>
              <w:jc w:val="center"/>
              <w:rPr>
                <w:rFonts w:ascii="Times New Roman"/>
                <w:kern w:val="0"/>
                <w:sz w:val="21"/>
                <w:szCs w:val="21"/>
              </w:rPr>
            </w:pPr>
            <w:r>
              <w:rPr>
                <w:rFonts w:ascii="Times New Roman"/>
                <w:kern w:val="0"/>
                <w:sz w:val="21"/>
                <w:szCs w:val="21"/>
              </w:rPr>
              <w:t>4.80</w:t>
            </w:r>
          </w:p>
        </w:tc>
        <w:tc>
          <w:tcPr>
            <w:tcW w:w="808" w:type="pct"/>
            <w:shd w:val="clear" w:color="auto" w:fill="auto"/>
            <w:vAlign w:val="center"/>
          </w:tcPr>
          <w:p w14:paraId="2A9FA23E">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3E6298D3">
            <w:pPr>
              <w:widowControl/>
              <w:jc w:val="center"/>
              <w:rPr>
                <w:rFonts w:ascii="Times New Roman"/>
                <w:kern w:val="0"/>
                <w:sz w:val="21"/>
                <w:szCs w:val="21"/>
              </w:rPr>
            </w:pPr>
            <w:r>
              <w:rPr>
                <w:rFonts w:ascii="Times New Roman"/>
                <w:kern w:val="0"/>
                <w:sz w:val="21"/>
                <w:szCs w:val="21"/>
              </w:rPr>
              <w:t>/</w:t>
            </w:r>
          </w:p>
        </w:tc>
      </w:tr>
      <w:tr w14:paraId="72CE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01CB9FE7">
            <w:pPr>
              <w:widowControl/>
              <w:jc w:val="center"/>
              <w:rPr>
                <w:rFonts w:ascii="Times New Roman"/>
                <w:kern w:val="0"/>
                <w:sz w:val="21"/>
                <w:szCs w:val="21"/>
              </w:rPr>
            </w:pPr>
            <w:bookmarkStart w:id="90" w:name="_Toc246763529"/>
            <w:bookmarkStart w:id="91" w:name="_Toc149727665"/>
            <w:bookmarkStart w:id="92" w:name="_Toc149727393"/>
            <w:bookmarkStart w:id="93" w:name="_Toc154715407"/>
            <w:bookmarkStart w:id="94" w:name="_Toc150140052"/>
            <w:bookmarkStart w:id="95" w:name="_Toc156613294"/>
            <w:r>
              <w:rPr>
                <w:rFonts w:ascii="Times New Roman"/>
                <w:kern w:val="0"/>
                <w:sz w:val="21"/>
                <w:szCs w:val="21"/>
              </w:rPr>
              <w:t>11</w:t>
            </w:r>
          </w:p>
        </w:tc>
        <w:tc>
          <w:tcPr>
            <w:tcW w:w="888" w:type="pct"/>
            <w:shd w:val="clear" w:color="auto" w:fill="auto"/>
            <w:vAlign w:val="center"/>
          </w:tcPr>
          <w:p w14:paraId="1F928020">
            <w:pPr>
              <w:jc w:val="center"/>
              <w:rPr>
                <w:rFonts w:ascii="Times New Roman"/>
                <w:sz w:val="21"/>
                <w:szCs w:val="21"/>
              </w:rPr>
            </w:pPr>
            <w:r>
              <w:rPr>
                <w:rFonts w:ascii="Times New Roman"/>
                <w:sz w:val="21"/>
                <w:szCs w:val="21"/>
              </w:rPr>
              <w:t>物流门门卫室</w:t>
            </w:r>
          </w:p>
        </w:tc>
        <w:tc>
          <w:tcPr>
            <w:tcW w:w="472" w:type="pct"/>
            <w:shd w:val="clear" w:color="auto" w:fill="auto"/>
            <w:vAlign w:val="center"/>
          </w:tcPr>
          <w:p w14:paraId="09CB81F1">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4307E516">
            <w:pPr>
              <w:jc w:val="center"/>
              <w:rPr>
                <w:rFonts w:ascii="Times New Roman"/>
                <w:sz w:val="21"/>
                <w:szCs w:val="21"/>
              </w:rPr>
            </w:pPr>
            <w:r>
              <w:rPr>
                <w:rFonts w:ascii="Times New Roman"/>
                <w:sz w:val="21"/>
                <w:szCs w:val="21"/>
              </w:rPr>
              <w:t>28.16</w:t>
            </w:r>
          </w:p>
        </w:tc>
        <w:tc>
          <w:tcPr>
            <w:tcW w:w="676" w:type="pct"/>
            <w:shd w:val="clear" w:color="auto" w:fill="auto"/>
            <w:vAlign w:val="center"/>
          </w:tcPr>
          <w:p w14:paraId="1F14F448">
            <w:pPr>
              <w:jc w:val="center"/>
              <w:rPr>
                <w:rFonts w:ascii="Times New Roman"/>
                <w:sz w:val="21"/>
                <w:szCs w:val="21"/>
              </w:rPr>
            </w:pPr>
            <w:r>
              <w:rPr>
                <w:rFonts w:ascii="Times New Roman"/>
                <w:sz w:val="21"/>
                <w:szCs w:val="21"/>
              </w:rPr>
              <w:t>28.16</w:t>
            </w:r>
          </w:p>
        </w:tc>
        <w:tc>
          <w:tcPr>
            <w:tcW w:w="521" w:type="pct"/>
            <w:shd w:val="clear" w:color="auto" w:fill="auto"/>
            <w:vAlign w:val="center"/>
          </w:tcPr>
          <w:p w14:paraId="75D947C0">
            <w:pPr>
              <w:widowControl/>
              <w:jc w:val="center"/>
              <w:rPr>
                <w:rFonts w:ascii="Times New Roman"/>
                <w:kern w:val="0"/>
                <w:sz w:val="21"/>
                <w:szCs w:val="21"/>
              </w:rPr>
            </w:pPr>
            <w:r>
              <w:rPr>
                <w:rFonts w:ascii="Times New Roman"/>
                <w:kern w:val="0"/>
                <w:sz w:val="21"/>
                <w:szCs w:val="21"/>
              </w:rPr>
              <w:t>4.80</w:t>
            </w:r>
          </w:p>
        </w:tc>
        <w:tc>
          <w:tcPr>
            <w:tcW w:w="808" w:type="pct"/>
            <w:shd w:val="clear" w:color="auto" w:fill="auto"/>
            <w:vAlign w:val="center"/>
          </w:tcPr>
          <w:p w14:paraId="03FBBB57">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3EA28DDE">
            <w:pPr>
              <w:widowControl/>
              <w:jc w:val="center"/>
              <w:rPr>
                <w:rFonts w:ascii="Times New Roman"/>
                <w:kern w:val="0"/>
                <w:sz w:val="21"/>
                <w:szCs w:val="21"/>
              </w:rPr>
            </w:pPr>
            <w:r>
              <w:rPr>
                <w:rFonts w:ascii="Times New Roman"/>
                <w:kern w:val="0"/>
                <w:sz w:val="21"/>
                <w:szCs w:val="21"/>
              </w:rPr>
              <w:t>/</w:t>
            </w:r>
          </w:p>
        </w:tc>
      </w:tr>
      <w:tr w14:paraId="2297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535E983E">
            <w:pPr>
              <w:widowControl/>
              <w:jc w:val="center"/>
              <w:rPr>
                <w:rFonts w:ascii="Times New Roman"/>
                <w:kern w:val="0"/>
                <w:sz w:val="21"/>
                <w:szCs w:val="21"/>
              </w:rPr>
            </w:pPr>
            <w:r>
              <w:rPr>
                <w:rFonts w:ascii="Times New Roman"/>
                <w:kern w:val="0"/>
                <w:sz w:val="21"/>
                <w:szCs w:val="21"/>
              </w:rPr>
              <w:t>12</w:t>
            </w:r>
          </w:p>
        </w:tc>
        <w:tc>
          <w:tcPr>
            <w:tcW w:w="888" w:type="pct"/>
            <w:shd w:val="clear" w:color="auto" w:fill="auto"/>
            <w:vAlign w:val="center"/>
          </w:tcPr>
          <w:p w14:paraId="7651CC61">
            <w:pPr>
              <w:jc w:val="center"/>
              <w:rPr>
                <w:rFonts w:ascii="Times New Roman"/>
                <w:sz w:val="21"/>
                <w:szCs w:val="21"/>
              </w:rPr>
            </w:pPr>
            <w:r>
              <w:rPr>
                <w:rFonts w:ascii="Times New Roman"/>
                <w:sz w:val="21"/>
                <w:szCs w:val="21"/>
              </w:rPr>
              <w:t>车间变电所</w:t>
            </w:r>
          </w:p>
        </w:tc>
        <w:tc>
          <w:tcPr>
            <w:tcW w:w="472" w:type="pct"/>
            <w:shd w:val="clear" w:color="auto" w:fill="auto"/>
            <w:vAlign w:val="center"/>
          </w:tcPr>
          <w:p w14:paraId="713DAAA6">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74A03768">
            <w:pPr>
              <w:jc w:val="center"/>
              <w:rPr>
                <w:rFonts w:ascii="Times New Roman"/>
                <w:sz w:val="21"/>
                <w:szCs w:val="21"/>
              </w:rPr>
            </w:pPr>
            <w:r>
              <w:rPr>
                <w:rFonts w:ascii="Times New Roman"/>
                <w:sz w:val="21"/>
                <w:szCs w:val="21"/>
              </w:rPr>
              <w:t>294.03</w:t>
            </w:r>
          </w:p>
        </w:tc>
        <w:tc>
          <w:tcPr>
            <w:tcW w:w="676" w:type="pct"/>
            <w:shd w:val="clear" w:color="auto" w:fill="auto"/>
            <w:vAlign w:val="center"/>
          </w:tcPr>
          <w:p w14:paraId="60D9E4D4">
            <w:pPr>
              <w:jc w:val="center"/>
              <w:rPr>
                <w:rFonts w:ascii="Times New Roman"/>
                <w:sz w:val="21"/>
                <w:szCs w:val="21"/>
              </w:rPr>
            </w:pPr>
            <w:r>
              <w:rPr>
                <w:rFonts w:ascii="Times New Roman"/>
                <w:sz w:val="21"/>
                <w:szCs w:val="21"/>
              </w:rPr>
              <w:t>294.03</w:t>
            </w:r>
          </w:p>
        </w:tc>
        <w:tc>
          <w:tcPr>
            <w:tcW w:w="521" w:type="pct"/>
            <w:shd w:val="clear" w:color="auto" w:fill="auto"/>
            <w:vAlign w:val="center"/>
          </w:tcPr>
          <w:p w14:paraId="080DA12F">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7B87D65C">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04BAC9B2">
            <w:pPr>
              <w:widowControl/>
              <w:jc w:val="center"/>
              <w:rPr>
                <w:rFonts w:ascii="Times New Roman"/>
                <w:kern w:val="0"/>
                <w:sz w:val="21"/>
                <w:szCs w:val="21"/>
              </w:rPr>
            </w:pPr>
            <w:r>
              <w:rPr>
                <w:rFonts w:ascii="Times New Roman"/>
                <w:kern w:val="0"/>
                <w:sz w:val="21"/>
                <w:szCs w:val="21"/>
              </w:rPr>
              <w:t>/</w:t>
            </w:r>
          </w:p>
        </w:tc>
      </w:tr>
      <w:tr w14:paraId="0D63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58A3AC71">
            <w:pPr>
              <w:widowControl/>
              <w:jc w:val="center"/>
              <w:rPr>
                <w:rFonts w:ascii="Times New Roman"/>
                <w:kern w:val="0"/>
                <w:sz w:val="21"/>
                <w:szCs w:val="21"/>
              </w:rPr>
            </w:pPr>
            <w:r>
              <w:rPr>
                <w:rFonts w:ascii="Times New Roman"/>
                <w:kern w:val="0"/>
                <w:sz w:val="21"/>
                <w:szCs w:val="21"/>
              </w:rPr>
              <w:t>13</w:t>
            </w:r>
          </w:p>
        </w:tc>
        <w:tc>
          <w:tcPr>
            <w:tcW w:w="888" w:type="pct"/>
            <w:shd w:val="clear" w:color="auto" w:fill="auto"/>
            <w:vAlign w:val="center"/>
          </w:tcPr>
          <w:p w14:paraId="1AAA564B">
            <w:pPr>
              <w:jc w:val="center"/>
              <w:rPr>
                <w:rFonts w:ascii="Times New Roman"/>
                <w:sz w:val="21"/>
                <w:szCs w:val="21"/>
              </w:rPr>
            </w:pPr>
            <w:r>
              <w:rPr>
                <w:rFonts w:ascii="Times New Roman"/>
                <w:sz w:val="21"/>
                <w:szCs w:val="21"/>
              </w:rPr>
              <w:t>污水处理站</w:t>
            </w:r>
          </w:p>
        </w:tc>
        <w:tc>
          <w:tcPr>
            <w:tcW w:w="472" w:type="pct"/>
            <w:shd w:val="clear" w:color="auto" w:fill="auto"/>
            <w:vAlign w:val="center"/>
          </w:tcPr>
          <w:p w14:paraId="32F17A03">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543705F7">
            <w:pPr>
              <w:jc w:val="center"/>
              <w:rPr>
                <w:rFonts w:ascii="Times New Roman"/>
                <w:sz w:val="21"/>
                <w:szCs w:val="21"/>
              </w:rPr>
            </w:pPr>
            <w:r>
              <w:rPr>
                <w:rFonts w:ascii="Times New Roman"/>
                <w:sz w:val="21"/>
                <w:szCs w:val="21"/>
              </w:rPr>
              <w:t>354.78</w:t>
            </w:r>
          </w:p>
        </w:tc>
        <w:tc>
          <w:tcPr>
            <w:tcW w:w="676" w:type="pct"/>
            <w:shd w:val="clear" w:color="auto" w:fill="auto"/>
            <w:vAlign w:val="center"/>
          </w:tcPr>
          <w:p w14:paraId="291D82C4">
            <w:pPr>
              <w:jc w:val="center"/>
              <w:rPr>
                <w:rFonts w:ascii="Times New Roman"/>
                <w:sz w:val="21"/>
                <w:szCs w:val="21"/>
              </w:rPr>
            </w:pPr>
            <w:r>
              <w:rPr>
                <w:rFonts w:ascii="Times New Roman"/>
                <w:sz w:val="21"/>
                <w:szCs w:val="21"/>
              </w:rPr>
              <w:t>354.78</w:t>
            </w:r>
          </w:p>
        </w:tc>
        <w:tc>
          <w:tcPr>
            <w:tcW w:w="521" w:type="pct"/>
            <w:shd w:val="clear" w:color="auto" w:fill="auto"/>
            <w:vAlign w:val="center"/>
          </w:tcPr>
          <w:p w14:paraId="0AC739BA">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02D3B336">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6948BC8B">
            <w:pPr>
              <w:widowControl/>
              <w:jc w:val="center"/>
              <w:rPr>
                <w:rFonts w:ascii="Times New Roman"/>
                <w:kern w:val="0"/>
                <w:sz w:val="21"/>
                <w:szCs w:val="21"/>
              </w:rPr>
            </w:pPr>
            <w:r>
              <w:rPr>
                <w:rFonts w:ascii="Times New Roman"/>
                <w:kern w:val="0"/>
                <w:sz w:val="21"/>
                <w:szCs w:val="21"/>
              </w:rPr>
              <w:t>/</w:t>
            </w:r>
          </w:p>
        </w:tc>
      </w:tr>
      <w:tr w14:paraId="291A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2" w:type="pct"/>
            <w:shd w:val="clear" w:color="auto" w:fill="auto"/>
            <w:vAlign w:val="center"/>
          </w:tcPr>
          <w:p w14:paraId="4FA33885">
            <w:pPr>
              <w:widowControl/>
              <w:jc w:val="center"/>
              <w:rPr>
                <w:rFonts w:ascii="Times New Roman"/>
                <w:kern w:val="0"/>
                <w:sz w:val="21"/>
                <w:szCs w:val="21"/>
              </w:rPr>
            </w:pPr>
            <w:r>
              <w:rPr>
                <w:rFonts w:ascii="Times New Roman"/>
                <w:kern w:val="0"/>
                <w:sz w:val="21"/>
                <w:szCs w:val="21"/>
              </w:rPr>
              <w:t>14</w:t>
            </w:r>
          </w:p>
        </w:tc>
        <w:tc>
          <w:tcPr>
            <w:tcW w:w="888" w:type="pct"/>
            <w:shd w:val="clear" w:color="auto" w:fill="auto"/>
            <w:vAlign w:val="center"/>
          </w:tcPr>
          <w:p w14:paraId="405513EF">
            <w:pPr>
              <w:jc w:val="center"/>
              <w:rPr>
                <w:rFonts w:ascii="Times New Roman"/>
                <w:sz w:val="21"/>
                <w:szCs w:val="21"/>
              </w:rPr>
            </w:pPr>
            <w:r>
              <w:rPr>
                <w:rFonts w:ascii="Times New Roman"/>
                <w:sz w:val="21"/>
                <w:szCs w:val="21"/>
              </w:rPr>
              <w:t>纯水间</w:t>
            </w:r>
          </w:p>
        </w:tc>
        <w:tc>
          <w:tcPr>
            <w:tcW w:w="472" w:type="pct"/>
            <w:shd w:val="clear" w:color="auto" w:fill="auto"/>
            <w:vAlign w:val="center"/>
          </w:tcPr>
          <w:p w14:paraId="010535EF">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31C6C6E2">
            <w:pPr>
              <w:jc w:val="center"/>
              <w:rPr>
                <w:rFonts w:ascii="Times New Roman"/>
                <w:sz w:val="21"/>
                <w:szCs w:val="21"/>
              </w:rPr>
            </w:pPr>
            <w:r>
              <w:rPr>
                <w:rFonts w:ascii="Times New Roman"/>
                <w:sz w:val="21"/>
                <w:szCs w:val="21"/>
              </w:rPr>
              <w:t>273.5</w:t>
            </w:r>
          </w:p>
        </w:tc>
        <w:tc>
          <w:tcPr>
            <w:tcW w:w="676" w:type="pct"/>
            <w:shd w:val="clear" w:color="auto" w:fill="auto"/>
            <w:vAlign w:val="center"/>
          </w:tcPr>
          <w:p w14:paraId="744875BB">
            <w:pPr>
              <w:jc w:val="center"/>
              <w:rPr>
                <w:rFonts w:ascii="Times New Roman"/>
                <w:sz w:val="21"/>
                <w:szCs w:val="21"/>
              </w:rPr>
            </w:pPr>
            <w:r>
              <w:rPr>
                <w:rFonts w:ascii="Times New Roman"/>
                <w:sz w:val="21"/>
                <w:szCs w:val="21"/>
              </w:rPr>
              <w:t>273.5</w:t>
            </w:r>
          </w:p>
        </w:tc>
        <w:tc>
          <w:tcPr>
            <w:tcW w:w="521" w:type="pct"/>
            <w:shd w:val="clear" w:color="auto" w:fill="auto"/>
            <w:vAlign w:val="center"/>
          </w:tcPr>
          <w:p w14:paraId="691077B7">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78943B80">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7B924F08">
            <w:pPr>
              <w:widowControl/>
              <w:jc w:val="center"/>
              <w:rPr>
                <w:rFonts w:ascii="Times New Roman"/>
                <w:kern w:val="0"/>
                <w:sz w:val="21"/>
                <w:szCs w:val="21"/>
              </w:rPr>
            </w:pPr>
            <w:r>
              <w:rPr>
                <w:rFonts w:ascii="Times New Roman"/>
                <w:kern w:val="0"/>
                <w:sz w:val="21"/>
                <w:szCs w:val="21"/>
              </w:rPr>
              <w:t>/</w:t>
            </w:r>
          </w:p>
        </w:tc>
      </w:tr>
      <w:tr w14:paraId="1A21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shd w:val="clear" w:color="auto" w:fill="auto"/>
            <w:vAlign w:val="center"/>
          </w:tcPr>
          <w:p w14:paraId="6C5B0E00">
            <w:pPr>
              <w:widowControl/>
              <w:jc w:val="center"/>
              <w:rPr>
                <w:rFonts w:ascii="Times New Roman"/>
                <w:kern w:val="0"/>
                <w:sz w:val="21"/>
                <w:szCs w:val="21"/>
              </w:rPr>
            </w:pPr>
            <w:r>
              <w:rPr>
                <w:rFonts w:ascii="Times New Roman"/>
                <w:kern w:val="0"/>
                <w:sz w:val="21"/>
                <w:szCs w:val="21"/>
              </w:rPr>
              <w:t>15</w:t>
            </w:r>
          </w:p>
        </w:tc>
        <w:tc>
          <w:tcPr>
            <w:tcW w:w="888" w:type="pct"/>
            <w:shd w:val="clear" w:color="auto" w:fill="auto"/>
            <w:vAlign w:val="center"/>
          </w:tcPr>
          <w:p w14:paraId="13D30223">
            <w:pPr>
              <w:jc w:val="center"/>
              <w:rPr>
                <w:rFonts w:ascii="Times New Roman"/>
                <w:sz w:val="21"/>
                <w:szCs w:val="21"/>
              </w:rPr>
            </w:pPr>
            <w:r>
              <w:rPr>
                <w:rFonts w:ascii="Times New Roman"/>
                <w:sz w:val="21"/>
                <w:szCs w:val="21"/>
              </w:rPr>
              <w:t>工具间</w:t>
            </w:r>
          </w:p>
        </w:tc>
        <w:tc>
          <w:tcPr>
            <w:tcW w:w="472" w:type="pct"/>
            <w:shd w:val="clear" w:color="auto" w:fill="auto"/>
            <w:vAlign w:val="center"/>
          </w:tcPr>
          <w:p w14:paraId="3499E272">
            <w:pPr>
              <w:widowControl/>
              <w:jc w:val="center"/>
              <w:rPr>
                <w:rFonts w:ascii="Times New Roman"/>
                <w:kern w:val="0"/>
                <w:sz w:val="21"/>
                <w:szCs w:val="21"/>
              </w:rPr>
            </w:pPr>
            <w:r>
              <w:rPr>
                <w:rFonts w:hint="eastAsia" w:ascii="Times New Roman"/>
                <w:kern w:val="0"/>
                <w:sz w:val="21"/>
                <w:szCs w:val="21"/>
              </w:rPr>
              <w:t>1</w:t>
            </w:r>
          </w:p>
        </w:tc>
        <w:tc>
          <w:tcPr>
            <w:tcW w:w="676" w:type="pct"/>
            <w:shd w:val="clear" w:color="auto" w:fill="auto"/>
            <w:vAlign w:val="center"/>
          </w:tcPr>
          <w:p w14:paraId="2120FE88">
            <w:pPr>
              <w:jc w:val="center"/>
              <w:rPr>
                <w:rFonts w:ascii="Times New Roman"/>
                <w:sz w:val="21"/>
                <w:szCs w:val="21"/>
              </w:rPr>
            </w:pPr>
            <w:r>
              <w:rPr>
                <w:rFonts w:hint="eastAsia" w:ascii="Times New Roman"/>
                <w:sz w:val="21"/>
                <w:szCs w:val="21"/>
              </w:rPr>
              <w:t>132.44</w:t>
            </w:r>
          </w:p>
        </w:tc>
        <w:tc>
          <w:tcPr>
            <w:tcW w:w="676" w:type="pct"/>
            <w:shd w:val="clear" w:color="auto" w:fill="auto"/>
            <w:vAlign w:val="center"/>
          </w:tcPr>
          <w:p w14:paraId="75BEDAD4">
            <w:pPr>
              <w:jc w:val="center"/>
              <w:rPr>
                <w:rFonts w:ascii="Times New Roman"/>
                <w:sz w:val="21"/>
                <w:szCs w:val="21"/>
              </w:rPr>
            </w:pPr>
            <w:r>
              <w:rPr>
                <w:rFonts w:hint="eastAsia" w:ascii="Times New Roman"/>
                <w:sz w:val="21"/>
                <w:szCs w:val="21"/>
              </w:rPr>
              <w:t>132.44</w:t>
            </w:r>
          </w:p>
        </w:tc>
        <w:tc>
          <w:tcPr>
            <w:tcW w:w="521" w:type="pct"/>
            <w:shd w:val="clear" w:color="auto" w:fill="auto"/>
            <w:vAlign w:val="center"/>
          </w:tcPr>
          <w:p w14:paraId="3EC7E7D6">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2AAC2081">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2754AAAB">
            <w:pPr>
              <w:widowControl/>
              <w:jc w:val="center"/>
              <w:rPr>
                <w:rFonts w:ascii="Times New Roman"/>
                <w:kern w:val="0"/>
                <w:sz w:val="21"/>
                <w:szCs w:val="21"/>
              </w:rPr>
            </w:pPr>
          </w:p>
        </w:tc>
      </w:tr>
      <w:tr w14:paraId="245C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shd w:val="clear" w:color="auto" w:fill="auto"/>
            <w:vAlign w:val="center"/>
          </w:tcPr>
          <w:p w14:paraId="17F3875E">
            <w:pPr>
              <w:widowControl/>
              <w:jc w:val="center"/>
              <w:rPr>
                <w:rFonts w:ascii="Times New Roman"/>
                <w:kern w:val="0"/>
                <w:sz w:val="21"/>
                <w:szCs w:val="21"/>
              </w:rPr>
            </w:pPr>
            <w:r>
              <w:rPr>
                <w:rFonts w:ascii="Times New Roman"/>
                <w:kern w:val="0"/>
                <w:sz w:val="21"/>
                <w:szCs w:val="21"/>
              </w:rPr>
              <w:t>16</w:t>
            </w:r>
          </w:p>
        </w:tc>
        <w:tc>
          <w:tcPr>
            <w:tcW w:w="888" w:type="pct"/>
            <w:shd w:val="clear" w:color="auto" w:fill="auto"/>
            <w:vAlign w:val="center"/>
          </w:tcPr>
          <w:p w14:paraId="26AEB551">
            <w:pPr>
              <w:jc w:val="center"/>
              <w:rPr>
                <w:rFonts w:ascii="Times New Roman"/>
                <w:sz w:val="21"/>
                <w:szCs w:val="21"/>
              </w:rPr>
            </w:pPr>
            <w:r>
              <w:rPr>
                <w:rFonts w:ascii="Times New Roman"/>
                <w:sz w:val="21"/>
                <w:szCs w:val="21"/>
              </w:rPr>
              <w:t>空压站</w:t>
            </w:r>
          </w:p>
        </w:tc>
        <w:tc>
          <w:tcPr>
            <w:tcW w:w="472" w:type="pct"/>
            <w:shd w:val="clear" w:color="auto" w:fill="auto"/>
            <w:vAlign w:val="center"/>
          </w:tcPr>
          <w:p w14:paraId="681D46A1">
            <w:pPr>
              <w:widowControl/>
              <w:jc w:val="center"/>
              <w:rPr>
                <w:rFonts w:ascii="Times New Roman"/>
                <w:kern w:val="0"/>
                <w:sz w:val="21"/>
                <w:szCs w:val="21"/>
              </w:rPr>
            </w:pPr>
            <w:r>
              <w:rPr>
                <w:rFonts w:hint="eastAsia" w:ascii="Times New Roman"/>
                <w:kern w:val="0"/>
                <w:sz w:val="21"/>
                <w:szCs w:val="21"/>
              </w:rPr>
              <w:t>1</w:t>
            </w:r>
          </w:p>
        </w:tc>
        <w:tc>
          <w:tcPr>
            <w:tcW w:w="676" w:type="pct"/>
            <w:shd w:val="clear" w:color="auto" w:fill="auto"/>
            <w:vAlign w:val="center"/>
          </w:tcPr>
          <w:p w14:paraId="6E408FC3">
            <w:pPr>
              <w:jc w:val="center"/>
              <w:rPr>
                <w:rFonts w:ascii="Times New Roman"/>
                <w:sz w:val="21"/>
                <w:szCs w:val="21"/>
              </w:rPr>
            </w:pPr>
            <w:r>
              <w:rPr>
                <w:rFonts w:hint="eastAsia" w:ascii="Times New Roman"/>
                <w:sz w:val="21"/>
                <w:szCs w:val="21"/>
              </w:rPr>
              <w:t>356</w:t>
            </w:r>
          </w:p>
        </w:tc>
        <w:tc>
          <w:tcPr>
            <w:tcW w:w="676" w:type="pct"/>
            <w:shd w:val="clear" w:color="auto" w:fill="auto"/>
            <w:vAlign w:val="center"/>
          </w:tcPr>
          <w:p w14:paraId="56C8F215">
            <w:pPr>
              <w:jc w:val="center"/>
              <w:rPr>
                <w:rFonts w:ascii="Times New Roman"/>
                <w:sz w:val="21"/>
                <w:szCs w:val="21"/>
              </w:rPr>
            </w:pPr>
            <w:r>
              <w:rPr>
                <w:rFonts w:hint="eastAsia" w:ascii="Times New Roman"/>
                <w:sz w:val="21"/>
                <w:szCs w:val="21"/>
              </w:rPr>
              <w:t>356</w:t>
            </w:r>
          </w:p>
        </w:tc>
        <w:tc>
          <w:tcPr>
            <w:tcW w:w="521" w:type="pct"/>
            <w:shd w:val="clear" w:color="auto" w:fill="auto"/>
            <w:vAlign w:val="center"/>
          </w:tcPr>
          <w:p w14:paraId="24B478A5">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7CFFD095">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452E4B34">
            <w:pPr>
              <w:widowControl/>
              <w:jc w:val="center"/>
              <w:rPr>
                <w:rFonts w:ascii="Times New Roman"/>
                <w:kern w:val="0"/>
                <w:sz w:val="21"/>
                <w:szCs w:val="21"/>
              </w:rPr>
            </w:pPr>
          </w:p>
        </w:tc>
      </w:tr>
      <w:tr w14:paraId="282B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shd w:val="clear" w:color="auto" w:fill="auto"/>
            <w:vAlign w:val="center"/>
          </w:tcPr>
          <w:p w14:paraId="2F0D35BA">
            <w:pPr>
              <w:widowControl/>
              <w:jc w:val="center"/>
              <w:rPr>
                <w:rFonts w:ascii="Times New Roman"/>
                <w:kern w:val="0"/>
                <w:sz w:val="21"/>
                <w:szCs w:val="21"/>
              </w:rPr>
            </w:pPr>
            <w:r>
              <w:rPr>
                <w:rFonts w:hint="eastAsia" w:ascii="Times New Roman"/>
                <w:kern w:val="0"/>
                <w:sz w:val="21"/>
                <w:szCs w:val="21"/>
              </w:rPr>
              <w:t>17</w:t>
            </w:r>
          </w:p>
        </w:tc>
        <w:tc>
          <w:tcPr>
            <w:tcW w:w="888" w:type="pct"/>
            <w:shd w:val="clear" w:color="auto" w:fill="auto"/>
            <w:vAlign w:val="center"/>
          </w:tcPr>
          <w:p w14:paraId="38CA25E0">
            <w:pPr>
              <w:jc w:val="center"/>
              <w:rPr>
                <w:rFonts w:ascii="Times New Roman"/>
                <w:sz w:val="21"/>
                <w:szCs w:val="21"/>
              </w:rPr>
            </w:pPr>
            <w:r>
              <w:rPr>
                <w:rFonts w:ascii="Times New Roman"/>
                <w:sz w:val="21"/>
                <w:szCs w:val="21"/>
              </w:rPr>
              <w:t>辅料间</w:t>
            </w:r>
          </w:p>
        </w:tc>
        <w:tc>
          <w:tcPr>
            <w:tcW w:w="472" w:type="pct"/>
            <w:shd w:val="clear" w:color="auto" w:fill="auto"/>
            <w:vAlign w:val="center"/>
          </w:tcPr>
          <w:p w14:paraId="5DCF0968">
            <w:pPr>
              <w:widowControl/>
              <w:jc w:val="center"/>
              <w:rPr>
                <w:rFonts w:ascii="Times New Roman"/>
                <w:kern w:val="0"/>
                <w:sz w:val="21"/>
                <w:szCs w:val="21"/>
              </w:rPr>
            </w:pPr>
            <w:r>
              <w:rPr>
                <w:rFonts w:hint="eastAsia" w:ascii="Times New Roman"/>
                <w:kern w:val="0"/>
                <w:sz w:val="21"/>
                <w:szCs w:val="21"/>
              </w:rPr>
              <w:t>1</w:t>
            </w:r>
          </w:p>
        </w:tc>
        <w:tc>
          <w:tcPr>
            <w:tcW w:w="676" w:type="pct"/>
            <w:shd w:val="clear" w:color="auto" w:fill="auto"/>
            <w:vAlign w:val="center"/>
          </w:tcPr>
          <w:p w14:paraId="1FE71C52">
            <w:pPr>
              <w:jc w:val="center"/>
              <w:rPr>
                <w:rFonts w:ascii="Times New Roman"/>
                <w:sz w:val="21"/>
                <w:szCs w:val="21"/>
              </w:rPr>
            </w:pPr>
            <w:r>
              <w:rPr>
                <w:rFonts w:hint="eastAsia" w:ascii="Times New Roman"/>
                <w:sz w:val="21"/>
                <w:szCs w:val="21"/>
              </w:rPr>
              <w:t>145.6</w:t>
            </w:r>
          </w:p>
        </w:tc>
        <w:tc>
          <w:tcPr>
            <w:tcW w:w="676" w:type="pct"/>
            <w:shd w:val="clear" w:color="auto" w:fill="auto"/>
            <w:vAlign w:val="center"/>
          </w:tcPr>
          <w:p w14:paraId="7644117F">
            <w:pPr>
              <w:jc w:val="center"/>
              <w:rPr>
                <w:rFonts w:ascii="Times New Roman"/>
                <w:sz w:val="21"/>
                <w:szCs w:val="21"/>
              </w:rPr>
            </w:pPr>
            <w:r>
              <w:rPr>
                <w:rFonts w:hint="eastAsia" w:ascii="Times New Roman"/>
                <w:sz w:val="21"/>
                <w:szCs w:val="21"/>
              </w:rPr>
              <w:t>145.6</w:t>
            </w:r>
          </w:p>
        </w:tc>
        <w:tc>
          <w:tcPr>
            <w:tcW w:w="521" w:type="pct"/>
            <w:shd w:val="clear" w:color="auto" w:fill="auto"/>
            <w:vAlign w:val="center"/>
          </w:tcPr>
          <w:p w14:paraId="05314523">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487CD8D1">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48F5391B">
            <w:pPr>
              <w:widowControl/>
              <w:jc w:val="center"/>
              <w:rPr>
                <w:rFonts w:ascii="Times New Roman"/>
                <w:kern w:val="0"/>
                <w:sz w:val="21"/>
                <w:szCs w:val="21"/>
              </w:rPr>
            </w:pPr>
          </w:p>
        </w:tc>
      </w:tr>
      <w:tr w14:paraId="730F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shd w:val="clear" w:color="auto" w:fill="auto"/>
            <w:vAlign w:val="center"/>
          </w:tcPr>
          <w:p w14:paraId="1367DE9A">
            <w:pPr>
              <w:widowControl/>
              <w:jc w:val="center"/>
              <w:rPr>
                <w:rFonts w:ascii="Times New Roman"/>
                <w:kern w:val="0"/>
                <w:sz w:val="21"/>
                <w:szCs w:val="21"/>
              </w:rPr>
            </w:pPr>
            <w:r>
              <w:rPr>
                <w:rFonts w:hint="eastAsia" w:ascii="Times New Roman"/>
                <w:kern w:val="0"/>
                <w:sz w:val="21"/>
                <w:szCs w:val="21"/>
              </w:rPr>
              <w:t>18</w:t>
            </w:r>
          </w:p>
        </w:tc>
        <w:tc>
          <w:tcPr>
            <w:tcW w:w="888" w:type="pct"/>
            <w:shd w:val="clear" w:color="auto" w:fill="auto"/>
            <w:vAlign w:val="center"/>
          </w:tcPr>
          <w:p w14:paraId="6669E3B1">
            <w:pPr>
              <w:jc w:val="center"/>
              <w:rPr>
                <w:rFonts w:ascii="Times New Roman"/>
                <w:sz w:val="21"/>
                <w:szCs w:val="21"/>
              </w:rPr>
            </w:pPr>
            <w:r>
              <w:rPr>
                <w:rFonts w:ascii="Times New Roman"/>
                <w:sz w:val="21"/>
                <w:szCs w:val="21"/>
              </w:rPr>
              <w:t>消防水池及水泵房</w:t>
            </w:r>
          </w:p>
        </w:tc>
        <w:tc>
          <w:tcPr>
            <w:tcW w:w="472" w:type="pct"/>
            <w:shd w:val="clear" w:color="auto" w:fill="auto"/>
            <w:vAlign w:val="center"/>
          </w:tcPr>
          <w:p w14:paraId="5FE09DA2">
            <w:pPr>
              <w:widowControl/>
              <w:jc w:val="center"/>
              <w:rPr>
                <w:rFonts w:ascii="Times New Roman"/>
                <w:kern w:val="0"/>
                <w:sz w:val="21"/>
                <w:szCs w:val="21"/>
              </w:rPr>
            </w:pPr>
            <w:r>
              <w:rPr>
                <w:rFonts w:ascii="Times New Roman"/>
                <w:kern w:val="0"/>
                <w:sz w:val="21"/>
                <w:szCs w:val="21"/>
              </w:rPr>
              <w:t>1</w:t>
            </w:r>
          </w:p>
        </w:tc>
        <w:tc>
          <w:tcPr>
            <w:tcW w:w="676" w:type="pct"/>
            <w:shd w:val="clear" w:color="auto" w:fill="auto"/>
            <w:vAlign w:val="center"/>
          </w:tcPr>
          <w:p w14:paraId="11181955">
            <w:pPr>
              <w:jc w:val="center"/>
              <w:rPr>
                <w:rFonts w:ascii="Times New Roman"/>
                <w:sz w:val="21"/>
                <w:szCs w:val="21"/>
              </w:rPr>
            </w:pPr>
            <w:r>
              <w:rPr>
                <w:rFonts w:ascii="Times New Roman"/>
                <w:sz w:val="21"/>
                <w:szCs w:val="21"/>
              </w:rPr>
              <w:t>672.84</w:t>
            </w:r>
          </w:p>
        </w:tc>
        <w:tc>
          <w:tcPr>
            <w:tcW w:w="676" w:type="pct"/>
            <w:shd w:val="clear" w:color="auto" w:fill="auto"/>
            <w:vAlign w:val="center"/>
          </w:tcPr>
          <w:p w14:paraId="00CF0FB9">
            <w:pPr>
              <w:jc w:val="center"/>
              <w:rPr>
                <w:rFonts w:ascii="Times New Roman"/>
                <w:sz w:val="21"/>
                <w:szCs w:val="21"/>
              </w:rPr>
            </w:pPr>
            <w:r>
              <w:rPr>
                <w:rFonts w:ascii="Times New Roman"/>
                <w:sz w:val="21"/>
                <w:szCs w:val="21"/>
              </w:rPr>
              <w:t>200</w:t>
            </w:r>
          </w:p>
        </w:tc>
        <w:tc>
          <w:tcPr>
            <w:tcW w:w="521" w:type="pct"/>
            <w:shd w:val="clear" w:color="auto" w:fill="auto"/>
            <w:vAlign w:val="center"/>
          </w:tcPr>
          <w:p w14:paraId="0B75053C">
            <w:pPr>
              <w:widowControl/>
              <w:jc w:val="center"/>
              <w:rPr>
                <w:rFonts w:ascii="Times New Roman"/>
                <w:kern w:val="0"/>
                <w:sz w:val="21"/>
                <w:szCs w:val="21"/>
              </w:rPr>
            </w:pPr>
            <w:r>
              <w:rPr>
                <w:rFonts w:ascii="Times New Roman"/>
                <w:kern w:val="0"/>
                <w:sz w:val="21"/>
                <w:szCs w:val="21"/>
              </w:rPr>
              <w:t>5.10</w:t>
            </w:r>
          </w:p>
        </w:tc>
        <w:tc>
          <w:tcPr>
            <w:tcW w:w="808" w:type="pct"/>
            <w:shd w:val="clear" w:color="auto" w:fill="auto"/>
            <w:vAlign w:val="center"/>
          </w:tcPr>
          <w:p w14:paraId="36CB1B4C">
            <w:pPr>
              <w:widowControl/>
              <w:jc w:val="center"/>
              <w:rPr>
                <w:rFonts w:ascii="Times New Roman"/>
                <w:kern w:val="0"/>
                <w:sz w:val="21"/>
                <w:szCs w:val="21"/>
              </w:rPr>
            </w:pPr>
            <w:r>
              <w:rPr>
                <w:rFonts w:ascii="Times New Roman"/>
                <w:kern w:val="0"/>
                <w:sz w:val="21"/>
                <w:szCs w:val="21"/>
              </w:rPr>
              <w:t>混凝土 框架</w:t>
            </w:r>
          </w:p>
        </w:tc>
        <w:tc>
          <w:tcPr>
            <w:tcW w:w="652" w:type="pct"/>
            <w:shd w:val="clear" w:color="auto" w:fill="auto"/>
            <w:vAlign w:val="center"/>
          </w:tcPr>
          <w:p w14:paraId="09003B42">
            <w:pPr>
              <w:widowControl/>
              <w:jc w:val="center"/>
              <w:rPr>
                <w:rFonts w:ascii="Times New Roman"/>
                <w:kern w:val="0"/>
                <w:sz w:val="21"/>
                <w:szCs w:val="21"/>
              </w:rPr>
            </w:pPr>
            <w:r>
              <w:rPr>
                <w:rFonts w:ascii="Times New Roman"/>
                <w:kern w:val="0"/>
                <w:sz w:val="21"/>
                <w:szCs w:val="21"/>
              </w:rPr>
              <w:t>/</w:t>
            </w:r>
          </w:p>
        </w:tc>
      </w:tr>
      <w:tr w14:paraId="03D6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02" w:type="pct"/>
            <w:shd w:val="clear" w:color="auto" w:fill="auto"/>
            <w:vAlign w:val="center"/>
          </w:tcPr>
          <w:p w14:paraId="1340E06B">
            <w:pPr>
              <w:widowControl/>
              <w:jc w:val="center"/>
              <w:rPr>
                <w:rFonts w:ascii="Times New Roman"/>
                <w:kern w:val="0"/>
                <w:sz w:val="21"/>
                <w:szCs w:val="21"/>
              </w:rPr>
            </w:pPr>
            <w:r>
              <w:rPr>
                <w:rFonts w:hint="eastAsia" w:ascii="Times New Roman"/>
                <w:kern w:val="0"/>
                <w:sz w:val="21"/>
                <w:szCs w:val="21"/>
              </w:rPr>
              <w:t>19</w:t>
            </w:r>
          </w:p>
        </w:tc>
        <w:tc>
          <w:tcPr>
            <w:tcW w:w="888" w:type="pct"/>
            <w:shd w:val="clear" w:color="auto" w:fill="auto"/>
            <w:vAlign w:val="center"/>
          </w:tcPr>
          <w:p w14:paraId="2996D5BF">
            <w:pPr>
              <w:jc w:val="center"/>
              <w:rPr>
                <w:rFonts w:ascii="Times New Roman"/>
                <w:sz w:val="21"/>
                <w:szCs w:val="21"/>
              </w:rPr>
            </w:pPr>
            <w:r>
              <w:rPr>
                <w:rFonts w:ascii="Times New Roman"/>
                <w:sz w:val="21"/>
                <w:szCs w:val="21"/>
              </w:rPr>
              <w:t>总计</w:t>
            </w:r>
          </w:p>
        </w:tc>
        <w:tc>
          <w:tcPr>
            <w:tcW w:w="472" w:type="pct"/>
            <w:shd w:val="clear" w:color="auto" w:fill="auto"/>
            <w:vAlign w:val="center"/>
          </w:tcPr>
          <w:p w14:paraId="75074443">
            <w:pPr>
              <w:widowControl/>
              <w:jc w:val="center"/>
              <w:rPr>
                <w:rFonts w:ascii="Times New Roman"/>
                <w:kern w:val="0"/>
                <w:sz w:val="21"/>
                <w:szCs w:val="21"/>
              </w:rPr>
            </w:pPr>
            <w:r>
              <w:rPr>
                <w:rFonts w:ascii="Times New Roman"/>
                <w:kern w:val="0"/>
                <w:sz w:val="21"/>
                <w:szCs w:val="21"/>
              </w:rPr>
              <w:t>/</w:t>
            </w:r>
          </w:p>
        </w:tc>
        <w:tc>
          <w:tcPr>
            <w:tcW w:w="676" w:type="pct"/>
            <w:shd w:val="clear" w:color="auto" w:fill="auto"/>
            <w:vAlign w:val="center"/>
          </w:tcPr>
          <w:p w14:paraId="235B072B">
            <w:pPr>
              <w:jc w:val="center"/>
              <w:rPr>
                <w:rFonts w:ascii="Times New Roman"/>
                <w:sz w:val="21"/>
                <w:szCs w:val="21"/>
              </w:rPr>
            </w:pPr>
            <w:r>
              <w:rPr>
                <w:rFonts w:ascii="Times New Roman"/>
                <w:sz w:val="21"/>
                <w:szCs w:val="21"/>
              </w:rPr>
              <w:t>132456.65</w:t>
            </w:r>
          </w:p>
        </w:tc>
        <w:tc>
          <w:tcPr>
            <w:tcW w:w="676" w:type="pct"/>
            <w:shd w:val="clear" w:color="auto" w:fill="auto"/>
            <w:vAlign w:val="center"/>
          </w:tcPr>
          <w:p w14:paraId="706D6D0B">
            <w:pPr>
              <w:jc w:val="center"/>
              <w:rPr>
                <w:rFonts w:ascii="Times New Roman"/>
                <w:sz w:val="21"/>
                <w:szCs w:val="21"/>
              </w:rPr>
            </w:pPr>
            <w:r>
              <w:rPr>
                <w:rFonts w:ascii="Times New Roman"/>
                <w:sz w:val="21"/>
                <w:szCs w:val="21"/>
              </w:rPr>
              <w:t>155387.34</w:t>
            </w:r>
          </w:p>
        </w:tc>
        <w:tc>
          <w:tcPr>
            <w:tcW w:w="521" w:type="pct"/>
            <w:shd w:val="clear" w:color="auto" w:fill="auto"/>
            <w:vAlign w:val="center"/>
          </w:tcPr>
          <w:p w14:paraId="1F777F27">
            <w:pPr>
              <w:widowControl/>
              <w:jc w:val="center"/>
              <w:rPr>
                <w:rFonts w:ascii="Times New Roman"/>
                <w:kern w:val="0"/>
                <w:sz w:val="21"/>
                <w:szCs w:val="21"/>
              </w:rPr>
            </w:pPr>
            <w:r>
              <w:rPr>
                <w:rFonts w:ascii="Times New Roman"/>
                <w:kern w:val="0"/>
                <w:sz w:val="21"/>
                <w:szCs w:val="21"/>
              </w:rPr>
              <w:t>/</w:t>
            </w:r>
          </w:p>
        </w:tc>
        <w:tc>
          <w:tcPr>
            <w:tcW w:w="808" w:type="pct"/>
            <w:shd w:val="clear" w:color="auto" w:fill="auto"/>
            <w:vAlign w:val="center"/>
          </w:tcPr>
          <w:p w14:paraId="401EDFF2">
            <w:pPr>
              <w:widowControl/>
              <w:jc w:val="center"/>
              <w:rPr>
                <w:rFonts w:ascii="Times New Roman"/>
                <w:kern w:val="0"/>
                <w:sz w:val="21"/>
                <w:szCs w:val="21"/>
              </w:rPr>
            </w:pPr>
            <w:r>
              <w:rPr>
                <w:rFonts w:ascii="Times New Roman"/>
                <w:kern w:val="0"/>
                <w:sz w:val="21"/>
                <w:szCs w:val="21"/>
              </w:rPr>
              <w:t>/</w:t>
            </w:r>
          </w:p>
        </w:tc>
        <w:tc>
          <w:tcPr>
            <w:tcW w:w="652" w:type="pct"/>
            <w:shd w:val="clear" w:color="auto" w:fill="auto"/>
            <w:vAlign w:val="center"/>
          </w:tcPr>
          <w:p w14:paraId="642A20EC">
            <w:pPr>
              <w:widowControl/>
              <w:jc w:val="center"/>
              <w:rPr>
                <w:rFonts w:ascii="Times New Roman"/>
                <w:kern w:val="0"/>
                <w:sz w:val="21"/>
                <w:szCs w:val="21"/>
              </w:rPr>
            </w:pPr>
            <w:r>
              <w:rPr>
                <w:rFonts w:ascii="Times New Roman"/>
                <w:kern w:val="0"/>
                <w:sz w:val="21"/>
                <w:szCs w:val="21"/>
              </w:rPr>
              <w:t>/</w:t>
            </w:r>
          </w:p>
        </w:tc>
      </w:tr>
    </w:tbl>
    <w:p w14:paraId="66E20DB0">
      <w:pPr>
        <w:widowControl/>
        <w:spacing w:line="520" w:lineRule="exact"/>
        <w:jc w:val="left"/>
        <w:outlineLvl w:val="1"/>
        <w:rPr>
          <w:rFonts w:ascii="Times New Roman"/>
          <w:b/>
          <w:sz w:val="30"/>
          <w:szCs w:val="30"/>
        </w:rPr>
      </w:pPr>
      <w:bookmarkStart w:id="96" w:name="_Toc554"/>
      <w:r>
        <w:rPr>
          <w:rFonts w:ascii="Times New Roman"/>
          <w:b/>
          <w:sz w:val="30"/>
          <w:szCs w:val="30"/>
        </w:rPr>
        <w:t>3.2产品方案</w:t>
      </w:r>
      <w:bookmarkEnd w:id="96"/>
    </w:p>
    <w:p w14:paraId="1073932C">
      <w:pPr>
        <w:spacing w:line="480" w:lineRule="exact"/>
        <w:ind w:firstLine="480" w:firstLineChars="200"/>
        <w:rPr>
          <w:rFonts w:ascii="Times New Roman"/>
          <w:sz w:val="24"/>
          <w:szCs w:val="20"/>
        </w:rPr>
        <w:sectPr>
          <w:pgSz w:w="11906" w:h="16838"/>
          <w:pgMar w:top="1440" w:right="1800" w:bottom="1440" w:left="1800" w:header="1134" w:footer="1134" w:gutter="0"/>
          <w:cols w:space="720" w:num="1"/>
          <w:docGrid w:type="lines" w:linePitch="340" w:charSpace="0"/>
        </w:sectPr>
      </w:pPr>
      <w:r>
        <w:rPr>
          <w:rFonts w:ascii="Times New Roman"/>
          <w:sz w:val="24"/>
          <w:szCs w:val="24"/>
        </w:rPr>
        <w:t>项目建成后，</w:t>
      </w:r>
      <w:r>
        <w:rPr>
          <w:rFonts w:ascii="Times New Roman"/>
          <w:szCs w:val="24"/>
        </w:rPr>
        <w:t>年产4万米数字孪生智能输送机。</w:t>
      </w:r>
      <w:r>
        <w:rPr>
          <w:rFonts w:ascii="Times New Roman"/>
          <w:sz w:val="24"/>
          <w:szCs w:val="24"/>
        </w:rPr>
        <w:t>生产主要由滚筒、桁架、栈桥、头尾架、托辊横梁、中间架、支腿、漏斗、溜管、导料槽、驱动架、转运站、拉紧系统、托辊等钢结构件组成</w:t>
      </w:r>
      <w:r>
        <w:rPr>
          <w:rFonts w:ascii="Times New Roman"/>
          <w:sz w:val="24"/>
          <w:szCs w:val="20"/>
        </w:rPr>
        <w:t>。</w:t>
      </w:r>
    </w:p>
    <w:p w14:paraId="3D1FA848">
      <w:pPr>
        <w:spacing w:line="480" w:lineRule="exact"/>
        <w:jc w:val="center"/>
        <w:rPr>
          <w:rFonts w:ascii="Times New Roman"/>
          <w:b/>
          <w:bCs/>
          <w:sz w:val="24"/>
          <w:szCs w:val="24"/>
        </w:rPr>
      </w:pPr>
      <w:bookmarkStart w:id="97" w:name="_Toc390963086"/>
      <w:bookmarkStart w:id="98" w:name="_Toc422392405"/>
      <w:bookmarkStart w:id="99" w:name="_Toc27668"/>
      <w:r>
        <w:rPr>
          <w:rFonts w:ascii="Times New Roman"/>
          <w:b/>
          <w:bCs/>
          <w:sz w:val="24"/>
          <w:szCs w:val="24"/>
        </w:rPr>
        <w:t>表3.2-1  项目产品方案一览表</w:t>
      </w:r>
    </w:p>
    <w:tbl>
      <w:tblPr>
        <w:tblStyle w:val="84"/>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8"/>
        <w:gridCol w:w="1408"/>
        <w:gridCol w:w="1920"/>
        <w:gridCol w:w="1745"/>
        <w:gridCol w:w="2190"/>
        <w:gridCol w:w="2190"/>
        <w:gridCol w:w="3893"/>
      </w:tblGrid>
      <w:tr w14:paraId="7EB2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51656902">
            <w:pPr>
              <w:adjustRightInd w:val="0"/>
              <w:jc w:val="center"/>
              <w:rPr>
                <w:rFonts w:ascii="Times New Roman"/>
                <w:kern w:val="0"/>
                <w:sz w:val="21"/>
                <w:szCs w:val="21"/>
              </w:rPr>
            </w:pPr>
            <w:r>
              <w:rPr>
                <w:rFonts w:ascii="Times New Roman"/>
                <w:kern w:val="0"/>
                <w:sz w:val="21"/>
                <w:szCs w:val="21"/>
              </w:rPr>
              <w:t>序号</w:t>
            </w:r>
          </w:p>
        </w:tc>
        <w:tc>
          <w:tcPr>
            <w:tcW w:w="499" w:type="pct"/>
            <w:vAlign w:val="center"/>
          </w:tcPr>
          <w:p w14:paraId="36604C6F">
            <w:pPr>
              <w:adjustRightInd w:val="0"/>
              <w:jc w:val="center"/>
              <w:rPr>
                <w:rFonts w:ascii="Times New Roman"/>
                <w:kern w:val="0"/>
                <w:sz w:val="21"/>
                <w:szCs w:val="21"/>
              </w:rPr>
            </w:pPr>
            <w:r>
              <w:rPr>
                <w:rFonts w:ascii="Times New Roman"/>
                <w:kern w:val="0"/>
                <w:sz w:val="21"/>
                <w:szCs w:val="21"/>
              </w:rPr>
              <w:t>产品种类</w:t>
            </w:r>
          </w:p>
        </w:tc>
        <w:tc>
          <w:tcPr>
            <w:tcW w:w="681" w:type="pct"/>
            <w:vAlign w:val="center"/>
          </w:tcPr>
          <w:p w14:paraId="2DE3ABF9">
            <w:pPr>
              <w:adjustRightInd w:val="0"/>
              <w:jc w:val="center"/>
              <w:rPr>
                <w:rFonts w:ascii="Times New Roman"/>
                <w:kern w:val="0"/>
                <w:sz w:val="21"/>
                <w:szCs w:val="21"/>
              </w:rPr>
            </w:pPr>
            <w:r>
              <w:rPr>
                <w:rFonts w:ascii="Times New Roman"/>
                <w:kern w:val="0"/>
                <w:sz w:val="21"/>
                <w:szCs w:val="21"/>
              </w:rPr>
              <w:t>产量：件（套）</w:t>
            </w:r>
          </w:p>
        </w:tc>
        <w:tc>
          <w:tcPr>
            <w:tcW w:w="619" w:type="pct"/>
            <w:vAlign w:val="center"/>
          </w:tcPr>
          <w:p w14:paraId="55ED8A54">
            <w:pPr>
              <w:adjustRightInd w:val="0"/>
              <w:jc w:val="center"/>
              <w:rPr>
                <w:rFonts w:ascii="Times New Roman"/>
                <w:kern w:val="0"/>
                <w:sz w:val="21"/>
                <w:szCs w:val="21"/>
              </w:rPr>
            </w:pPr>
            <w:r>
              <w:rPr>
                <w:rFonts w:ascii="Times New Roman"/>
                <w:kern w:val="0"/>
                <w:sz w:val="21"/>
                <w:szCs w:val="21"/>
              </w:rPr>
              <w:t>总重（t）</w:t>
            </w:r>
          </w:p>
        </w:tc>
        <w:tc>
          <w:tcPr>
            <w:tcW w:w="776" w:type="pct"/>
            <w:vAlign w:val="center"/>
          </w:tcPr>
          <w:p w14:paraId="34882461">
            <w:pPr>
              <w:adjustRightInd w:val="0"/>
              <w:jc w:val="center"/>
              <w:rPr>
                <w:rFonts w:ascii="Times New Roman"/>
                <w:kern w:val="0"/>
                <w:sz w:val="21"/>
                <w:szCs w:val="21"/>
              </w:rPr>
            </w:pPr>
            <w:r>
              <w:rPr>
                <w:rFonts w:ascii="Times New Roman"/>
                <w:kern w:val="0"/>
                <w:sz w:val="21"/>
                <w:szCs w:val="21"/>
              </w:rPr>
              <w:t>最大外形尺寸（m）</w:t>
            </w:r>
          </w:p>
        </w:tc>
        <w:tc>
          <w:tcPr>
            <w:tcW w:w="777" w:type="pct"/>
            <w:vAlign w:val="center"/>
          </w:tcPr>
          <w:p w14:paraId="70066C02">
            <w:pPr>
              <w:adjustRightInd w:val="0"/>
              <w:jc w:val="center"/>
              <w:rPr>
                <w:rFonts w:ascii="Times New Roman"/>
                <w:kern w:val="0"/>
                <w:sz w:val="21"/>
                <w:szCs w:val="21"/>
              </w:rPr>
            </w:pPr>
            <w:r>
              <w:rPr>
                <w:rFonts w:hint="eastAsia" w:ascii="Times New Roman"/>
                <w:kern w:val="0"/>
                <w:sz w:val="21"/>
                <w:szCs w:val="21"/>
              </w:rPr>
              <w:t>喷涂面积</w:t>
            </w:r>
            <w:r>
              <w:rPr>
                <w:rFonts w:ascii="Times New Roman"/>
                <w:kern w:val="0"/>
                <w:sz w:val="21"/>
                <w:szCs w:val="21"/>
              </w:rPr>
              <w:t>（m</w:t>
            </w:r>
            <w:r>
              <w:rPr>
                <w:rFonts w:hint="eastAsia" w:ascii="Times New Roman"/>
                <w:kern w:val="0"/>
                <w:sz w:val="21"/>
                <w:szCs w:val="21"/>
                <w:vertAlign w:val="superscript"/>
              </w:rPr>
              <w:t>2</w:t>
            </w:r>
            <w:r>
              <w:rPr>
                <w:rFonts w:ascii="Times New Roman"/>
                <w:kern w:val="0"/>
                <w:sz w:val="21"/>
                <w:szCs w:val="21"/>
              </w:rPr>
              <w:t>）</w:t>
            </w:r>
          </w:p>
        </w:tc>
        <w:tc>
          <w:tcPr>
            <w:tcW w:w="1380" w:type="pct"/>
            <w:vAlign w:val="center"/>
          </w:tcPr>
          <w:p w14:paraId="0A61375B">
            <w:pPr>
              <w:adjustRightInd w:val="0"/>
              <w:jc w:val="center"/>
              <w:rPr>
                <w:rFonts w:ascii="Times New Roman"/>
                <w:kern w:val="0"/>
                <w:sz w:val="21"/>
                <w:szCs w:val="21"/>
              </w:rPr>
            </w:pPr>
            <w:r>
              <w:rPr>
                <w:rFonts w:hint="eastAsia" w:ascii="Times New Roman"/>
                <w:kern w:val="0"/>
                <w:sz w:val="21"/>
                <w:szCs w:val="21"/>
              </w:rPr>
              <w:t>配件照片</w:t>
            </w:r>
          </w:p>
        </w:tc>
      </w:tr>
      <w:tr w14:paraId="677A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4B5A95F0">
            <w:pPr>
              <w:adjustRightInd w:val="0"/>
              <w:jc w:val="center"/>
              <w:rPr>
                <w:rFonts w:ascii="Times New Roman"/>
                <w:kern w:val="0"/>
                <w:sz w:val="21"/>
                <w:szCs w:val="21"/>
              </w:rPr>
            </w:pPr>
            <w:r>
              <w:rPr>
                <w:rFonts w:ascii="Times New Roman"/>
                <w:kern w:val="0"/>
                <w:sz w:val="21"/>
                <w:szCs w:val="21"/>
              </w:rPr>
              <w:t>一</w:t>
            </w:r>
          </w:p>
        </w:tc>
        <w:tc>
          <w:tcPr>
            <w:tcW w:w="2576" w:type="pct"/>
            <w:gridSpan w:val="4"/>
            <w:vAlign w:val="center"/>
          </w:tcPr>
          <w:p w14:paraId="696A57EE">
            <w:pPr>
              <w:adjustRightInd w:val="0"/>
              <w:jc w:val="center"/>
              <w:rPr>
                <w:rFonts w:ascii="Times New Roman"/>
                <w:kern w:val="0"/>
                <w:sz w:val="21"/>
                <w:szCs w:val="21"/>
              </w:rPr>
            </w:pPr>
            <w:r>
              <w:rPr>
                <w:rFonts w:ascii="Times New Roman"/>
                <w:kern w:val="0"/>
                <w:sz w:val="21"/>
                <w:szCs w:val="21"/>
              </w:rPr>
              <w:t>产品方案及产能</w:t>
            </w:r>
          </w:p>
        </w:tc>
        <w:tc>
          <w:tcPr>
            <w:tcW w:w="777" w:type="pct"/>
            <w:vAlign w:val="center"/>
          </w:tcPr>
          <w:p w14:paraId="4B4C16FD">
            <w:pPr>
              <w:adjustRightInd w:val="0"/>
              <w:jc w:val="center"/>
              <w:rPr>
                <w:rFonts w:ascii="Times New Roman"/>
                <w:kern w:val="0"/>
                <w:sz w:val="21"/>
                <w:szCs w:val="21"/>
              </w:rPr>
            </w:pPr>
            <w:r>
              <w:rPr>
                <w:rFonts w:hint="eastAsia" w:ascii="Times New Roman"/>
                <w:kern w:val="0"/>
                <w:sz w:val="21"/>
                <w:szCs w:val="21"/>
              </w:rPr>
              <w:t>/</w:t>
            </w:r>
          </w:p>
        </w:tc>
        <w:tc>
          <w:tcPr>
            <w:tcW w:w="1380" w:type="pct"/>
            <w:vAlign w:val="center"/>
          </w:tcPr>
          <w:p w14:paraId="62BB5111">
            <w:pPr>
              <w:adjustRightInd w:val="0"/>
              <w:jc w:val="center"/>
              <w:rPr>
                <w:rFonts w:ascii="Times New Roman"/>
                <w:kern w:val="0"/>
                <w:sz w:val="21"/>
                <w:szCs w:val="21"/>
              </w:rPr>
            </w:pPr>
            <w:r>
              <w:rPr>
                <w:rFonts w:hint="eastAsia" w:ascii="Times New Roman"/>
                <w:kern w:val="0"/>
                <w:sz w:val="21"/>
                <w:szCs w:val="21"/>
              </w:rPr>
              <w:t>/</w:t>
            </w:r>
          </w:p>
        </w:tc>
      </w:tr>
      <w:tr w14:paraId="09D3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5" w:type="pct"/>
            <w:vAlign w:val="center"/>
          </w:tcPr>
          <w:p w14:paraId="1A03F12A">
            <w:pPr>
              <w:adjustRightInd w:val="0"/>
              <w:jc w:val="center"/>
              <w:rPr>
                <w:rFonts w:ascii="Times New Roman"/>
                <w:kern w:val="0"/>
                <w:sz w:val="21"/>
                <w:szCs w:val="21"/>
              </w:rPr>
            </w:pPr>
            <w:r>
              <w:rPr>
                <w:rFonts w:ascii="Times New Roman"/>
                <w:kern w:val="0"/>
                <w:sz w:val="21"/>
                <w:szCs w:val="21"/>
              </w:rPr>
              <w:t>1</w:t>
            </w:r>
          </w:p>
        </w:tc>
        <w:tc>
          <w:tcPr>
            <w:tcW w:w="499" w:type="pct"/>
            <w:vAlign w:val="center"/>
          </w:tcPr>
          <w:p w14:paraId="4BDF7953">
            <w:pPr>
              <w:adjustRightInd w:val="0"/>
              <w:jc w:val="center"/>
              <w:rPr>
                <w:rFonts w:ascii="Times New Roman"/>
                <w:kern w:val="0"/>
                <w:sz w:val="21"/>
                <w:szCs w:val="21"/>
              </w:rPr>
            </w:pPr>
            <w:r>
              <w:rPr>
                <w:rFonts w:ascii="Times New Roman"/>
                <w:kern w:val="0"/>
                <w:sz w:val="21"/>
                <w:szCs w:val="21"/>
              </w:rPr>
              <w:t>数字孪生智能输送机</w:t>
            </w:r>
          </w:p>
        </w:tc>
        <w:tc>
          <w:tcPr>
            <w:tcW w:w="681" w:type="pct"/>
            <w:vAlign w:val="center"/>
          </w:tcPr>
          <w:p w14:paraId="3A573684">
            <w:pPr>
              <w:adjustRightInd w:val="0"/>
              <w:jc w:val="center"/>
              <w:rPr>
                <w:rFonts w:ascii="Times New Roman"/>
                <w:kern w:val="0"/>
                <w:sz w:val="21"/>
                <w:szCs w:val="21"/>
              </w:rPr>
            </w:pPr>
            <w:r>
              <w:rPr>
                <w:rFonts w:ascii="Times New Roman"/>
                <w:kern w:val="0"/>
                <w:sz w:val="21"/>
                <w:szCs w:val="21"/>
              </w:rPr>
              <w:t>40000米</w:t>
            </w:r>
          </w:p>
        </w:tc>
        <w:tc>
          <w:tcPr>
            <w:tcW w:w="619" w:type="pct"/>
            <w:vAlign w:val="center"/>
          </w:tcPr>
          <w:p w14:paraId="57D399ED">
            <w:pPr>
              <w:adjustRightInd w:val="0"/>
              <w:jc w:val="center"/>
              <w:rPr>
                <w:rFonts w:ascii="Times New Roman"/>
                <w:kern w:val="0"/>
                <w:sz w:val="21"/>
                <w:szCs w:val="21"/>
              </w:rPr>
            </w:pPr>
            <w:r>
              <w:rPr>
                <w:rFonts w:ascii="Times New Roman"/>
                <w:kern w:val="0"/>
                <w:sz w:val="21"/>
                <w:szCs w:val="21"/>
              </w:rPr>
              <w:t>78635</w:t>
            </w:r>
          </w:p>
        </w:tc>
        <w:tc>
          <w:tcPr>
            <w:tcW w:w="776" w:type="pct"/>
            <w:vAlign w:val="center"/>
          </w:tcPr>
          <w:p w14:paraId="3639C097">
            <w:pPr>
              <w:adjustRightInd w:val="0"/>
              <w:jc w:val="center"/>
              <w:rPr>
                <w:rFonts w:ascii="Times New Roman"/>
                <w:kern w:val="0"/>
                <w:sz w:val="21"/>
                <w:szCs w:val="21"/>
              </w:rPr>
            </w:pPr>
            <w:r>
              <w:rPr>
                <w:rFonts w:ascii="Times New Roman"/>
                <w:kern w:val="0"/>
                <w:sz w:val="21"/>
                <w:szCs w:val="21"/>
              </w:rPr>
              <w:t>产品尺寸根据客户要求现场组装</w:t>
            </w:r>
          </w:p>
        </w:tc>
        <w:tc>
          <w:tcPr>
            <w:tcW w:w="777" w:type="pct"/>
            <w:vAlign w:val="center"/>
          </w:tcPr>
          <w:p w14:paraId="04D186FB">
            <w:pPr>
              <w:adjustRightInd w:val="0"/>
              <w:jc w:val="center"/>
              <w:rPr>
                <w:rFonts w:ascii="Times New Roman"/>
                <w:kern w:val="0"/>
                <w:sz w:val="21"/>
                <w:szCs w:val="21"/>
              </w:rPr>
            </w:pPr>
            <w:r>
              <w:rPr>
                <w:rFonts w:hint="eastAsia" w:ascii="Times New Roman"/>
                <w:kern w:val="0"/>
                <w:sz w:val="21"/>
                <w:szCs w:val="21"/>
              </w:rPr>
              <w:t>/</w:t>
            </w:r>
          </w:p>
        </w:tc>
        <w:tc>
          <w:tcPr>
            <w:tcW w:w="1380" w:type="pct"/>
            <w:vAlign w:val="center"/>
          </w:tcPr>
          <w:p w14:paraId="02A74131">
            <w:pPr>
              <w:adjustRightInd w:val="0"/>
              <w:jc w:val="center"/>
              <w:rPr>
                <w:rFonts w:ascii="Times New Roman"/>
                <w:kern w:val="0"/>
                <w:sz w:val="21"/>
                <w:szCs w:val="21"/>
              </w:rPr>
            </w:pPr>
            <w:r>
              <w:rPr>
                <w:rFonts w:hint="eastAsia" w:ascii="Times New Roman"/>
                <w:kern w:val="0"/>
                <w:sz w:val="21"/>
                <w:szCs w:val="21"/>
              </w:rPr>
              <w:t>/</w:t>
            </w:r>
          </w:p>
        </w:tc>
      </w:tr>
      <w:tr w14:paraId="4C84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65" w:type="pct"/>
            <w:vAlign w:val="center"/>
          </w:tcPr>
          <w:p w14:paraId="1730C5D9">
            <w:pPr>
              <w:adjustRightInd w:val="0"/>
              <w:jc w:val="center"/>
              <w:rPr>
                <w:rFonts w:ascii="Times New Roman"/>
                <w:kern w:val="0"/>
                <w:sz w:val="21"/>
                <w:szCs w:val="21"/>
              </w:rPr>
            </w:pPr>
            <w:r>
              <w:rPr>
                <w:rFonts w:ascii="Times New Roman"/>
                <w:kern w:val="0"/>
                <w:sz w:val="21"/>
                <w:szCs w:val="21"/>
              </w:rPr>
              <w:t>二</w:t>
            </w:r>
          </w:p>
        </w:tc>
        <w:tc>
          <w:tcPr>
            <w:tcW w:w="2576" w:type="pct"/>
            <w:gridSpan w:val="4"/>
            <w:vAlign w:val="center"/>
          </w:tcPr>
          <w:p w14:paraId="059B43F7">
            <w:pPr>
              <w:adjustRightInd w:val="0"/>
              <w:jc w:val="center"/>
              <w:rPr>
                <w:rFonts w:ascii="Times New Roman"/>
                <w:kern w:val="0"/>
                <w:sz w:val="21"/>
                <w:szCs w:val="21"/>
              </w:rPr>
            </w:pPr>
            <w:r>
              <w:rPr>
                <w:rFonts w:ascii="Times New Roman"/>
                <w:kern w:val="0"/>
                <w:sz w:val="21"/>
                <w:szCs w:val="21"/>
              </w:rPr>
              <w:t>产品配件种类</w:t>
            </w:r>
          </w:p>
        </w:tc>
        <w:tc>
          <w:tcPr>
            <w:tcW w:w="777" w:type="pct"/>
            <w:shd w:val="clear" w:color="auto" w:fill="auto"/>
            <w:vAlign w:val="center"/>
          </w:tcPr>
          <w:p w14:paraId="2D405D5A">
            <w:pPr>
              <w:adjustRightInd w:val="0"/>
              <w:jc w:val="center"/>
              <w:rPr>
                <w:rFonts w:ascii="Times New Roman"/>
                <w:kern w:val="0"/>
                <w:sz w:val="21"/>
                <w:szCs w:val="21"/>
              </w:rPr>
            </w:pPr>
            <w:r>
              <w:rPr>
                <w:rFonts w:hint="eastAsia" w:ascii="Times New Roman"/>
                <w:kern w:val="0"/>
                <w:sz w:val="21"/>
                <w:szCs w:val="21"/>
              </w:rPr>
              <w:t>/</w:t>
            </w:r>
          </w:p>
        </w:tc>
        <w:tc>
          <w:tcPr>
            <w:tcW w:w="1380" w:type="pct"/>
            <w:shd w:val="clear" w:color="auto" w:fill="auto"/>
            <w:vAlign w:val="center"/>
          </w:tcPr>
          <w:p w14:paraId="11843AE9">
            <w:pPr>
              <w:adjustRightInd w:val="0"/>
              <w:jc w:val="center"/>
              <w:rPr>
                <w:rFonts w:ascii="Times New Roman"/>
                <w:kern w:val="0"/>
                <w:sz w:val="21"/>
                <w:szCs w:val="21"/>
              </w:rPr>
            </w:pPr>
            <w:r>
              <w:rPr>
                <w:rFonts w:hint="eastAsia" w:ascii="Times New Roman"/>
                <w:kern w:val="0"/>
                <w:sz w:val="21"/>
                <w:szCs w:val="21"/>
              </w:rPr>
              <w:t>/</w:t>
            </w:r>
          </w:p>
        </w:tc>
      </w:tr>
      <w:tr w14:paraId="06A6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5" w:hRule="atLeast"/>
        </w:trPr>
        <w:tc>
          <w:tcPr>
            <w:tcW w:w="265" w:type="pct"/>
            <w:vAlign w:val="center"/>
          </w:tcPr>
          <w:p w14:paraId="224F0765">
            <w:pPr>
              <w:adjustRightInd w:val="0"/>
              <w:jc w:val="center"/>
              <w:rPr>
                <w:rFonts w:ascii="Times New Roman"/>
                <w:kern w:val="0"/>
                <w:sz w:val="21"/>
                <w:szCs w:val="21"/>
              </w:rPr>
            </w:pPr>
            <w:r>
              <w:rPr>
                <w:rFonts w:ascii="Times New Roman"/>
                <w:kern w:val="0"/>
                <w:sz w:val="21"/>
                <w:szCs w:val="21"/>
              </w:rPr>
              <w:t>1</w:t>
            </w:r>
          </w:p>
        </w:tc>
        <w:tc>
          <w:tcPr>
            <w:tcW w:w="499" w:type="pct"/>
            <w:vAlign w:val="center"/>
          </w:tcPr>
          <w:p w14:paraId="611E634E">
            <w:pPr>
              <w:adjustRightInd w:val="0"/>
              <w:jc w:val="center"/>
              <w:rPr>
                <w:rFonts w:ascii="Times New Roman"/>
                <w:kern w:val="0"/>
                <w:sz w:val="21"/>
                <w:szCs w:val="21"/>
              </w:rPr>
            </w:pPr>
            <w:r>
              <w:rPr>
                <w:rFonts w:ascii="Times New Roman"/>
                <w:kern w:val="0"/>
                <w:sz w:val="21"/>
                <w:szCs w:val="21"/>
              </w:rPr>
              <w:t>滚筒</w:t>
            </w:r>
          </w:p>
        </w:tc>
        <w:tc>
          <w:tcPr>
            <w:tcW w:w="681" w:type="pct"/>
            <w:vAlign w:val="center"/>
          </w:tcPr>
          <w:p w14:paraId="78A7E3FA">
            <w:pPr>
              <w:adjustRightInd w:val="0"/>
              <w:jc w:val="center"/>
              <w:rPr>
                <w:rFonts w:ascii="Times New Roman"/>
                <w:kern w:val="0"/>
                <w:sz w:val="21"/>
                <w:szCs w:val="21"/>
              </w:rPr>
            </w:pPr>
            <w:r>
              <w:rPr>
                <w:rFonts w:ascii="Times New Roman"/>
                <w:kern w:val="0"/>
                <w:sz w:val="21"/>
                <w:szCs w:val="21"/>
              </w:rPr>
              <w:t>5000</w:t>
            </w:r>
          </w:p>
        </w:tc>
        <w:tc>
          <w:tcPr>
            <w:tcW w:w="619" w:type="pct"/>
            <w:vAlign w:val="center"/>
          </w:tcPr>
          <w:p w14:paraId="4B5EDA8D">
            <w:pPr>
              <w:adjustRightInd w:val="0"/>
              <w:jc w:val="center"/>
              <w:rPr>
                <w:rFonts w:ascii="Times New Roman"/>
                <w:kern w:val="0"/>
                <w:sz w:val="21"/>
                <w:szCs w:val="21"/>
              </w:rPr>
            </w:pPr>
            <w:r>
              <w:rPr>
                <w:rFonts w:ascii="Times New Roman"/>
                <w:kern w:val="0"/>
                <w:sz w:val="21"/>
                <w:szCs w:val="21"/>
              </w:rPr>
              <w:t>15000</w:t>
            </w:r>
          </w:p>
        </w:tc>
        <w:tc>
          <w:tcPr>
            <w:tcW w:w="776" w:type="pct"/>
            <w:vAlign w:val="center"/>
          </w:tcPr>
          <w:p w14:paraId="763AAD72">
            <w:pPr>
              <w:adjustRightInd w:val="0"/>
              <w:jc w:val="center"/>
              <w:rPr>
                <w:rFonts w:ascii="Times New Roman"/>
                <w:kern w:val="0"/>
                <w:sz w:val="21"/>
                <w:szCs w:val="21"/>
              </w:rPr>
            </w:pPr>
            <w:r>
              <w:rPr>
                <w:rFonts w:ascii="Times New Roman"/>
                <w:kern w:val="0"/>
                <w:sz w:val="21"/>
                <w:szCs w:val="21"/>
              </w:rPr>
              <w:t>Φ2.45×5.545</w:t>
            </w:r>
          </w:p>
        </w:tc>
        <w:tc>
          <w:tcPr>
            <w:tcW w:w="777" w:type="pct"/>
            <w:vAlign w:val="center"/>
          </w:tcPr>
          <w:p w14:paraId="740F4544">
            <w:pPr>
              <w:adjustRightInd w:val="0"/>
              <w:jc w:val="center"/>
              <w:rPr>
                <w:rFonts w:ascii="Times New Roman"/>
                <w:kern w:val="0"/>
                <w:sz w:val="21"/>
                <w:szCs w:val="21"/>
              </w:rPr>
            </w:pPr>
            <w:r>
              <w:rPr>
                <w:rFonts w:hint="eastAsia" w:ascii="Times New Roman"/>
                <w:kern w:val="0"/>
                <w:sz w:val="21"/>
                <w:szCs w:val="21"/>
              </w:rPr>
              <w:t>喷漆 40万</w:t>
            </w:r>
          </w:p>
        </w:tc>
        <w:tc>
          <w:tcPr>
            <w:tcW w:w="1380" w:type="pct"/>
            <w:vAlign w:val="center"/>
          </w:tcPr>
          <w:p w14:paraId="08770C90">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1851025" cy="1173480"/>
                  <wp:effectExtent l="0" t="0" r="15875" b="7620"/>
                  <wp:docPr id="39" name="图片 39" descr="285b7f9118eef1d5c2288d393dc3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85b7f9118eef1d5c2288d393dc3b91"/>
                          <pic:cNvPicPr>
                            <a:picLocks noChangeAspect="1"/>
                          </pic:cNvPicPr>
                        </pic:nvPicPr>
                        <pic:blipFill>
                          <a:blip r:embed="rId28" cstate="print"/>
                          <a:srcRect t="20752" b="31703"/>
                          <a:stretch>
                            <a:fillRect/>
                          </a:stretch>
                        </pic:blipFill>
                        <pic:spPr>
                          <a:xfrm>
                            <a:off x="0" y="0"/>
                            <a:ext cx="1851025" cy="1173480"/>
                          </a:xfrm>
                          <a:prstGeom prst="rect">
                            <a:avLst/>
                          </a:prstGeom>
                        </pic:spPr>
                      </pic:pic>
                    </a:graphicData>
                  </a:graphic>
                </wp:inline>
              </w:drawing>
            </w:r>
          </w:p>
        </w:tc>
      </w:tr>
      <w:tr w14:paraId="35CD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3" w:hRule="atLeast"/>
        </w:trPr>
        <w:tc>
          <w:tcPr>
            <w:tcW w:w="265" w:type="pct"/>
            <w:vAlign w:val="center"/>
          </w:tcPr>
          <w:p w14:paraId="50BE15CC">
            <w:pPr>
              <w:adjustRightInd w:val="0"/>
              <w:jc w:val="center"/>
              <w:rPr>
                <w:rFonts w:ascii="Times New Roman"/>
                <w:kern w:val="0"/>
                <w:sz w:val="21"/>
                <w:szCs w:val="21"/>
              </w:rPr>
            </w:pPr>
            <w:r>
              <w:rPr>
                <w:rFonts w:ascii="Times New Roman"/>
                <w:kern w:val="0"/>
                <w:sz w:val="21"/>
                <w:szCs w:val="21"/>
              </w:rPr>
              <w:t>2</w:t>
            </w:r>
          </w:p>
        </w:tc>
        <w:tc>
          <w:tcPr>
            <w:tcW w:w="499" w:type="pct"/>
            <w:vAlign w:val="center"/>
          </w:tcPr>
          <w:p w14:paraId="0F69CF56">
            <w:pPr>
              <w:adjustRightInd w:val="0"/>
              <w:jc w:val="center"/>
              <w:rPr>
                <w:rFonts w:ascii="Times New Roman"/>
                <w:kern w:val="0"/>
                <w:sz w:val="21"/>
                <w:szCs w:val="21"/>
              </w:rPr>
            </w:pPr>
            <w:r>
              <w:rPr>
                <w:rFonts w:ascii="Times New Roman"/>
                <w:kern w:val="0"/>
                <w:sz w:val="21"/>
                <w:szCs w:val="21"/>
              </w:rPr>
              <w:t>桁架</w:t>
            </w:r>
          </w:p>
        </w:tc>
        <w:tc>
          <w:tcPr>
            <w:tcW w:w="681" w:type="pct"/>
            <w:vAlign w:val="center"/>
          </w:tcPr>
          <w:p w14:paraId="7E3F39EA">
            <w:pPr>
              <w:adjustRightInd w:val="0"/>
              <w:jc w:val="center"/>
              <w:rPr>
                <w:rFonts w:ascii="Times New Roman"/>
                <w:kern w:val="0"/>
                <w:sz w:val="21"/>
                <w:szCs w:val="21"/>
              </w:rPr>
            </w:pPr>
            <w:r>
              <w:rPr>
                <w:rFonts w:ascii="Times New Roman"/>
                <w:kern w:val="0"/>
                <w:sz w:val="21"/>
                <w:szCs w:val="21"/>
              </w:rPr>
              <w:t>6500</w:t>
            </w:r>
          </w:p>
        </w:tc>
        <w:tc>
          <w:tcPr>
            <w:tcW w:w="619" w:type="pct"/>
            <w:vAlign w:val="center"/>
          </w:tcPr>
          <w:p w14:paraId="0EF25847">
            <w:pPr>
              <w:adjustRightInd w:val="0"/>
              <w:jc w:val="center"/>
              <w:rPr>
                <w:rFonts w:ascii="Times New Roman"/>
                <w:kern w:val="0"/>
                <w:sz w:val="21"/>
                <w:szCs w:val="21"/>
              </w:rPr>
            </w:pPr>
            <w:r>
              <w:rPr>
                <w:rFonts w:ascii="Times New Roman"/>
                <w:kern w:val="0"/>
                <w:sz w:val="21"/>
                <w:szCs w:val="21"/>
              </w:rPr>
              <w:t>12064</w:t>
            </w:r>
          </w:p>
        </w:tc>
        <w:tc>
          <w:tcPr>
            <w:tcW w:w="776" w:type="pct"/>
            <w:vAlign w:val="center"/>
          </w:tcPr>
          <w:p w14:paraId="70DB3B2C">
            <w:pPr>
              <w:adjustRightInd w:val="0"/>
              <w:jc w:val="center"/>
              <w:rPr>
                <w:rFonts w:ascii="Times New Roman"/>
                <w:kern w:val="0"/>
                <w:sz w:val="21"/>
                <w:szCs w:val="21"/>
              </w:rPr>
            </w:pPr>
            <w:r>
              <w:rPr>
                <w:rFonts w:ascii="Times New Roman"/>
                <w:kern w:val="0"/>
                <w:sz w:val="21"/>
                <w:szCs w:val="21"/>
              </w:rPr>
              <w:t>1.87×2.5×24</w:t>
            </w:r>
          </w:p>
        </w:tc>
        <w:tc>
          <w:tcPr>
            <w:tcW w:w="777" w:type="pct"/>
            <w:vAlign w:val="center"/>
          </w:tcPr>
          <w:p w14:paraId="080DC16F">
            <w:pPr>
              <w:adjustRightInd w:val="0"/>
              <w:jc w:val="center"/>
              <w:rPr>
                <w:rFonts w:ascii="Times New Roman"/>
                <w:kern w:val="0"/>
                <w:sz w:val="21"/>
                <w:szCs w:val="21"/>
              </w:rPr>
            </w:pPr>
            <w:r>
              <w:rPr>
                <w:rFonts w:hint="eastAsia" w:ascii="Times New Roman"/>
                <w:kern w:val="0"/>
                <w:sz w:val="21"/>
                <w:szCs w:val="21"/>
              </w:rPr>
              <w:t>喷漆 7.8万</w:t>
            </w:r>
          </w:p>
        </w:tc>
        <w:tc>
          <w:tcPr>
            <w:tcW w:w="1380" w:type="pct"/>
            <w:vAlign w:val="center"/>
          </w:tcPr>
          <w:p w14:paraId="6BF27556">
            <w:pPr>
              <w:adjustRightInd w:val="0"/>
              <w:jc w:val="center"/>
              <w:rPr>
                <w:rFonts w:ascii="Times New Roman"/>
                <w:kern w:val="0"/>
                <w:sz w:val="21"/>
                <w:szCs w:val="21"/>
              </w:rPr>
            </w:pPr>
            <w:r>
              <w:rPr>
                <w:rFonts w:hint="eastAsia"/>
                <w:sz w:val="32"/>
                <w:szCs w:val="32"/>
              </w:rPr>
              <w:drawing>
                <wp:inline distT="0" distB="0" distL="0" distR="0">
                  <wp:extent cx="1713230" cy="1064895"/>
                  <wp:effectExtent l="0" t="0" r="127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cstate="print">
                            <a:extLst>
                              <a:ext uri="{28A0092B-C50C-407E-A947-70E740481C1C}">
                                <a14:useLocalDpi xmlns:a14="http://schemas.microsoft.com/office/drawing/2010/main" val="0"/>
                              </a:ext>
                            </a:extLst>
                          </a:blip>
                          <a:srcRect l="1874" t="14535" r="80695" b="67350"/>
                          <a:stretch>
                            <a:fillRect/>
                          </a:stretch>
                        </pic:blipFill>
                        <pic:spPr>
                          <a:xfrm>
                            <a:off x="0" y="0"/>
                            <a:ext cx="1713230" cy="1064895"/>
                          </a:xfrm>
                          <a:prstGeom prst="rect">
                            <a:avLst/>
                          </a:prstGeom>
                        </pic:spPr>
                      </pic:pic>
                    </a:graphicData>
                  </a:graphic>
                </wp:inline>
              </w:drawing>
            </w:r>
          </w:p>
        </w:tc>
      </w:tr>
      <w:tr w14:paraId="2B84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8" w:hRule="atLeast"/>
        </w:trPr>
        <w:tc>
          <w:tcPr>
            <w:tcW w:w="265" w:type="pct"/>
            <w:vAlign w:val="center"/>
          </w:tcPr>
          <w:p w14:paraId="476BFE85">
            <w:pPr>
              <w:adjustRightInd w:val="0"/>
              <w:jc w:val="center"/>
              <w:rPr>
                <w:rFonts w:ascii="Times New Roman"/>
                <w:kern w:val="0"/>
                <w:sz w:val="21"/>
                <w:szCs w:val="21"/>
              </w:rPr>
            </w:pPr>
            <w:r>
              <w:rPr>
                <w:rFonts w:ascii="Times New Roman"/>
                <w:kern w:val="0"/>
                <w:sz w:val="21"/>
                <w:szCs w:val="21"/>
              </w:rPr>
              <w:t>3</w:t>
            </w:r>
          </w:p>
        </w:tc>
        <w:tc>
          <w:tcPr>
            <w:tcW w:w="499" w:type="pct"/>
            <w:vAlign w:val="center"/>
          </w:tcPr>
          <w:p w14:paraId="557603B8">
            <w:pPr>
              <w:adjustRightInd w:val="0"/>
              <w:jc w:val="center"/>
              <w:rPr>
                <w:rFonts w:ascii="Times New Roman"/>
                <w:kern w:val="0"/>
                <w:sz w:val="21"/>
                <w:szCs w:val="21"/>
              </w:rPr>
            </w:pPr>
            <w:r>
              <w:rPr>
                <w:rFonts w:ascii="Times New Roman"/>
                <w:kern w:val="0"/>
                <w:sz w:val="21"/>
                <w:szCs w:val="21"/>
              </w:rPr>
              <w:t>栈桥</w:t>
            </w:r>
          </w:p>
        </w:tc>
        <w:tc>
          <w:tcPr>
            <w:tcW w:w="681" w:type="pct"/>
            <w:vAlign w:val="center"/>
          </w:tcPr>
          <w:p w14:paraId="1BC77C0C">
            <w:pPr>
              <w:adjustRightInd w:val="0"/>
              <w:jc w:val="center"/>
              <w:rPr>
                <w:rFonts w:ascii="Times New Roman"/>
                <w:kern w:val="0"/>
                <w:sz w:val="21"/>
                <w:szCs w:val="21"/>
              </w:rPr>
            </w:pPr>
            <w:r>
              <w:rPr>
                <w:rFonts w:ascii="Times New Roman"/>
                <w:kern w:val="0"/>
                <w:sz w:val="21"/>
                <w:szCs w:val="21"/>
              </w:rPr>
              <w:t>67</w:t>
            </w:r>
          </w:p>
        </w:tc>
        <w:tc>
          <w:tcPr>
            <w:tcW w:w="619" w:type="pct"/>
            <w:vAlign w:val="center"/>
          </w:tcPr>
          <w:p w14:paraId="251C3A55">
            <w:pPr>
              <w:adjustRightInd w:val="0"/>
              <w:jc w:val="center"/>
              <w:rPr>
                <w:rFonts w:ascii="Times New Roman"/>
                <w:kern w:val="0"/>
                <w:sz w:val="21"/>
                <w:szCs w:val="21"/>
              </w:rPr>
            </w:pPr>
            <w:r>
              <w:rPr>
                <w:rFonts w:ascii="Times New Roman"/>
                <w:kern w:val="0"/>
                <w:sz w:val="21"/>
                <w:szCs w:val="21"/>
              </w:rPr>
              <w:t>1738</w:t>
            </w:r>
          </w:p>
        </w:tc>
        <w:tc>
          <w:tcPr>
            <w:tcW w:w="776" w:type="pct"/>
            <w:vAlign w:val="center"/>
          </w:tcPr>
          <w:p w14:paraId="2CDB4152">
            <w:pPr>
              <w:adjustRightInd w:val="0"/>
              <w:jc w:val="center"/>
              <w:rPr>
                <w:rFonts w:ascii="Times New Roman"/>
                <w:kern w:val="0"/>
                <w:sz w:val="21"/>
                <w:szCs w:val="21"/>
              </w:rPr>
            </w:pPr>
            <w:r>
              <w:rPr>
                <w:rFonts w:ascii="Times New Roman"/>
                <w:kern w:val="0"/>
                <w:sz w:val="21"/>
                <w:szCs w:val="21"/>
              </w:rPr>
              <w:t>4.1×5×78</w:t>
            </w:r>
          </w:p>
        </w:tc>
        <w:tc>
          <w:tcPr>
            <w:tcW w:w="777" w:type="pct"/>
            <w:vAlign w:val="center"/>
          </w:tcPr>
          <w:p w14:paraId="1CE2D83D">
            <w:pPr>
              <w:adjustRightInd w:val="0"/>
              <w:jc w:val="center"/>
              <w:rPr>
                <w:rFonts w:ascii="Times New Roman"/>
                <w:kern w:val="0"/>
                <w:sz w:val="21"/>
                <w:szCs w:val="21"/>
              </w:rPr>
            </w:pPr>
            <w:r>
              <w:rPr>
                <w:rFonts w:hint="eastAsia" w:ascii="Times New Roman"/>
                <w:kern w:val="0"/>
                <w:sz w:val="21"/>
                <w:szCs w:val="21"/>
              </w:rPr>
              <w:t>喷漆 0.25万</w:t>
            </w:r>
          </w:p>
        </w:tc>
        <w:tc>
          <w:tcPr>
            <w:tcW w:w="1380" w:type="pct"/>
            <w:vAlign w:val="center"/>
          </w:tcPr>
          <w:p w14:paraId="1627862A">
            <w:pPr>
              <w:adjustRightInd w:val="0"/>
              <w:jc w:val="center"/>
              <w:rPr>
                <w:rFonts w:ascii="Times New Roman"/>
                <w:kern w:val="0"/>
                <w:sz w:val="21"/>
                <w:szCs w:val="21"/>
              </w:rPr>
            </w:pPr>
            <w:r>
              <w:rPr>
                <w:rFonts w:hint="eastAsia"/>
                <w:sz w:val="32"/>
                <w:szCs w:val="32"/>
              </w:rPr>
              <w:drawing>
                <wp:inline distT="0" distB="0" distL="0" distR="0">
                  <wp:extent cx="1718945" cy="1229995"/>
                  <wp:effectExtent l="0" t="0" r="1460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cstate="print">
                            <a:extLst>
                              <a:ext uri="{28A0092B-C50C-407E-A947-70E740481C1C}">
                                <a14:useLocalDpi xmlns:a14="http://schemas.microsoft.com/office/drawing/2010/main" val="0"/>
                              </a:ext>
                            </a:extLst>
                          </a:blip>
                          <a:srcRect l="1974" t="38144" r="77908" b="37791"/>
                          <a:stretch>
                            <a:fillRect/>
                          </a:stretch>
                        </pic:blipFill>
                        <pic:spPr>
                          <a:xfrm>
                            <a:off x="0" y="0"/>
                            <a:ext cx="1718945" cy="1229995"/>
                          </a:xfrm>
                          <a:prstGeom prst="rect">
                            <a:avLst/>
                          </a:prstGeom>
                        </pic:spPr>
                      </pic:pic>
                    </a:graphicData>
                  </a:graphic>
                </wp:inline>
              </w:drawing>
            </w:r>
          </w:p>
        </w:tc>
      </w:tr>
      <w:tr w14:paraId="3370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248F703D">
            <w:pPr>
              <w:adjustRightInd w:val="0"/>
              <w:jc w:val="center"/>
              <w:rPr>
                <w:rFonts w:ascii="Times New Roman"/>
                <w:kern w:val="0"/>
                <w:sz w:val="21"/>
                <w:szCs w:val="21"/>
              </w:rPr>
            </w:pPr>
            <w:r>
              <w:rPr>
                <w:rFonts w:ascii="Times New Roman"/>
                <w:kern w:val="0"/>
                <w:sz w:val="21"/>
                <w:szCs w:val="21"/>
              </w:rPr>
              <w:t>4</w:t>
            </w:r>
          </w:p>
        </w:tc>
        <w:tc>
          <w:tcPr>
            <w:tcW w:w="499" w:type="pct"/>
            <w:vAlign w:val="center"/>
          </w:tcPr>
          <w:p w14:paraId="1E1F676C">
            <w:pPr>
              <w:adjustRightInd w:val="0"/>
              <w:jc w:val="center"/>
              <w:rPr>
                <w:rFonts w:ascii="Times New Roman"/>
                <w:kern w:val="0"/>
                <w:sz w:val="21"/>
                <w:szCs w:val="21"/>
              </w:rPr>
            </w:pPr>
            <w:r>
              <w:rPr>
                <w:rFonts w:ascii="Times New Roman"/>
                <w:kern w:val="0"/>
                <w:sz w:val="21"/>
                <w:szCs w:val="21"/>
              </w:rPr>
              <w:t>支柱</w:t>
            </w:r>
          </w:p>
        </w:tc>
        <w:tc>
          <w:tcPr>
            <w:tcW w:w="681" w:type="pct"/>
            <w:vAlign w:val="center"/>
          </w:tcPr>
          <w:p w14:paraId="1CC52273">
            <w:pPr>
              <w:adjustRightInd w:val="0"/>
              <w:jc w:val="center"/>
              <w:rPr>
                <w:rFonts w:ascii="Times New Roman"/>
                <w:kern w:val="0"/>
                <w:sz w:val="21"/>
                <w:szCs w:val="21"/>
              </w:rPr>
            </w:pPr>
            <w:r>
              <w:rPr>
                <w:rFonts w:ascii="Times New Roman"/>
                <w:kern w:val="0"/>
                <w:sz w:val="21"/>
                <w:szCs w:val="21"/>
              </w:rPr>
              <w:t>1025</w:t>
            </w:r>
          </w:p>
        </w:tc>
        <w:tc>
          <w:tcPr>
            <w:tcW w:w="619" w:type="pct"/>
            <w:vAlign w:val="center"/>
          </w:tcPr>
          <w:p w14:paraId="0EE5D4C1">
            <w:pPr>
              <w:adjustRightInd w:val="0"/>
              <w:jc w:val="center"/>
              <w:rPr>
                <w:rFonts w:ascii="Times New Roman"/>
                <w:kern w:val="0"/>
                <w:sz w:val="21"/>
                <w:szCs w:val="21"/>
              </w:rPr>
            </w:pPr>
            <w:r>
              <w:rPr>
                <w:rFonts w:ascii="Times New Roman"/>
                <w:kern w:val="0"/>
                <w:sz w:val="21"/>
                <w:szCs w:val="21"/>
              </w:rPr>
              <w:t>6662</w:t>
            </w:r>
          </w:p>
        </w:tc>
        <w:tc>
          <w:tcPr>
            <w:tcW w:w="776" w:type="pct"/>
            <w:vAlign w:val="center"/>
          </w:tcPr>
          <w:p w14:paraId="55F267AB">
            <w:pPr>
              <w:adjustRightInd w:val="0"/>
              <w:jc w:val="center"/>
              <w:rPr>
                <w:rFonts w:ascii="Times New Roman"/>
                <w:kern w:val="0"/>
                <w:sz w:val="21"/>
                <w:szCs w:val="21"/>
              </w:rPr>
            </w:pPr>
            <w:r>
              <w:rPr>
                <w:rFonts w:ascii="Times New Roman"/>
                <w:kern w:val="0"/>
                <w:sz w:val="21"/>
                <w:szCs w:val="21"/>
              </w:rPr>
              <w:t>12×12×80</w:t>
            </w:r>
          </w:p>
        </w:tc>
        <w:tc>
          <w:tcPr>
            <w:tcW w:w="777" w:type="pct"/>
            <w:vAlign w:val="center"/>
          </w:tcPr>
          <w:p w14:paraId="763B9635">
            <w:pPr>
              <w:adjustRightInd w:val="0"/>
              <w:jc w:val="center"/>
              <w:rPr>
                <w:rFonts w:ascii="Times New Roman"/>
                <w:kern w:val="0"/>
                <w:sz w:val="21"/>
                <w:szCs w:val="21"/>
              </w:rPr>
            </w:pPr>
            <w:r>
              <w:rPr>
                <w:rFonts w:hint="eastAsia" w:ascii="Times New Roman"/>
                <w:kern w:val="0"/>
                <w:sz w:val="21"/>
                <w:szCs w:val="21"/>
              </w:rPr>
              <w:t>喷漆 10.23万</w:t>
            </w:r>
          </w:p>
        </w:tc>
        <w:tc>
          <w:tcPr>
            <w:tcW w:w="1380" w:type="pct"/>
            <w:vAlign w:val="center"/>
          </w:tcPr>
          <w:p w14:paraId="0F03B121">
            <w:pPr>
              <w:adjustRightInd w:val="0"/>
              <w:jc w:val="center"/>
              <w:rPr>
                <w:rFonts w:ascii="Times New Roman"/>
                <w:kern w:val="0"/>
                <w:sz w:val="21"/>
                <w:szCs w:val="21"/>
              </w:rPr>
            </w:pPr>
            <w:r>
              <w:rPr>
                <w:rFonts w:hint="eastAsia"/>
                <w:sz w:val="32"/>
                <w:szCs w:val="32"/>
              </w:rPr>
              <w:drawing>
                <wp:inline distT="0" distB="0" distL="0" distR="0">
                  <wp:extent cx="772795" cy="1958340"/>
                  <wp:effectExtent l="0" t="0" r="381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cstate="print">
                            <a:extLst>
                              <a:ext uri="{28A0092B-C50C-407E-A947-70E740481C1C}">
                                <a14:useLocalDpi xmlns:a14="http://schemas.microsoft.com/office/drawing/2010/main" val="0"/>
                              </a:ext>
                            </a:extLst>
                          </a:blip>
                          <a:srcRect l="9764" t="64674" r="82639" b="3140"/>
                          <a:stretch>
                            <a:fillRect/>
                          </a:stretch>
                        </pic:blipFill>
                        <pic:spPr>
                          <a:xfrm rot="5400000">
                            <a:off x="0" y="0"/>
                            <a:ext cx="772795" cy="1958340"/>
                          </a:xfrm>
                          <a:prstGeom prst="rect">
                            <a:avLst/>
                          </a:prstGeom>
                        </pic:spPr>
                      </pic:pic>
                    </a:graphicData>
                  </a:graphic>
                </wp:inline>
              </w:drawing>
            </w:r>
          </w:p>
        </w:tc>
      </w:tr>
      <w:tr w14:paraId="62C1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5" w:type="pct"/>
            <w:vAlign w:val="center"/>
          </w:tcPr>
          <w:p w14:paraId="24BF70EB">
            <w:pPr>
              <w:adjustRightInd w:val="0"/>
              <w:jc w:val="center"/>
              <w:rPr>
                <w:rFonts w:ascii="Times New Roman"/>
                <w:kern w:val="0"/>
                <w:sz w:val="21"/>
                <w:szCs w:val="21"/>
              </w:rPr>
            </w:pPr>
            <w:r>
              <w:rPr>
                <w:rFonts w:ascii="Times New Roman"/>
                <w:kern w:val="0"/>
                <w:sz w:val="21"/>
                <w:szCs w:val="21"/>
              </w:rPr>
              <w:t>5</w:t>
            </w:r>
          </w:p>
        </w:tc>
        <w:tc>
          <w:tcPr>
            <w:tcW w:w="499" w:type="pct"/>
            <w:vAlign w:val="center"/>
          </w:tcPr>
          <w:p w14:paraId="222B58CE">
            <w:pPr>
              <w:adjustRightInd w:val="0"/>
              <w:jc w:val="center"/>
              <w:rPr>
                <w:rFonts w:ascii="Times New Roman"/>
                <w:kern w:val="0"/>
                <w:sz w:val="21"/>
                <w:szCs w:val="21"/>
              </w:rPr>
            </w:pPr>
            <w:r>
              <w:rPr>
                <w:rFonts w:ascii="Times New Roman"/>
                <w:kern w:val="0"/>
                <w:sz w:val="21"/>
                <w:szCs w:val="21"/>
              </w:rPr>
              <w:t>头尾架</w:t>
            </w:r>
          </w:p>
        </w:tc>
        <w:tc>
          <w:tcPr>
            <w:tcW w:w="681" w:type="pct"/>
            <w:vAlign w:val="center"/>
          </w:tcPr>
          <w:p w14:paraId="74E893BC">
            <w:pPr>
              <w:adjustRightInd w:val="0"/>
              <w:jc w:val="center"/>
              <w:rPr>
                <w:rFonts w:ascii="Times New Roman"/>
                <w:kern w:val="0"/>
                <w:sz w:val="21"/>
                <w:szCs w:val="21"/>
              </w:rPr>
            </w:pPr>
            <w:r>
              <w:rPr>
                <w:rFonts w:ascii="Times New Roman"/>
                <w:kern w:val="0"/>
                <w:sz w:val="21"/>
                <w:szCs w:val="21"/>
              </w:rPr>
              <w:t>600</w:t>
            </w:r>
          </w:p>
        </w:tc>
        <w:tc>
          <w:tcPr>
            <w:tcW w:w="619" w:type="pct"/>
            <w:vAlign w:val="center"/>
          </w:tcPr>
          <w:p w14:paraId="37BD45B1">
            <w:pPr>
              <w:adjustRightInd w:val="0"/>
              <w:jc w:val="center"/>
              <w:rPr>
                <w:rFonts w:ascii="Times New Roman"/>
                <w:kern w:val="0"/>
                <w:sz w:val="21"/>
                <w:szCs w:val="21"/>
              </w:rPr>
            </w:pPr>
            <w:r>
              <w:rPr>
                <w:rFonts w:ascii="Times New Roman"/>
                <w:kern w:val="0"/>
                <w:sz w:val="21"/>
                <w:szCs w:val="21"/>
              </w:rPr>
              <w:t>1559</w:t>
            </w:r>
          </w:p>
        </w:tc>
        <w:tc>
          <w:tcPr>
            <w:tcW w:w="776" w:type="pct"/>
            <w:vAlign w:val="center"/>
          </w:tcPr>
          <w:p w14:paraId="0CC1F89D">
            <w:pPr>
              <w:adjustRightInd w:val="0"/>
              <w:jc w:val="center"/>
              <w:rPr>
                <w:rFonts w:ascii="Times New Roman"/>
                <w:kern w:val="0"/>
                <w:sz w:val="21"/>
                <w:szCs w:val="21"/>
              </w:rPr>
            </w:pPr>
            <w:r>
              <w:rPr>
                <w:rFonts w:ascii="Times New Roman"/>
                <w:kern w:val="0"/>
                <w:sz w:val="21"/>
                <w:szCs w:val="21"/>
              </w:rPr>
              <w:t>4×4.5×4.34</w:t>
            </w:r>
          </w:p>
        </w:tc>
        <w:tc>
          <w:tcPr>
            <w:tcW w:w="777" w:type="pct"/>
            <w:vAlign w:val="center"/>
          </w:tcPr>
          <w:p w14:paraId="5B15A11A">
            <w:pPr>
              <w:adjustRightInd w:val="0"/>
              <w:jc w:val="center"/>
              <w:rPr>
                <w:rFonts w:ascii="Times New Roman"/>
                <w:kern w:val="0"/>
                <w:sz w:val="21"/>
                <w:szCs w:val="21"/>
              </w:rPr>
            </w:pPr>
            <w:r>
              <w:rPr>
                <w:rFonts w:hint="eastAsia" w:ascii="Times New Roman"/>
                <w:kern w:val="0"/>
                <w:sz w:val="21"/>
                <w:szCs w:val="21"/>
              </w:rPr>
              <w:t>喷漆 13.12万</w:t>
            </w:r>
          </w:p>
        </w:tc>
        <w:tc>
          <w:tcPr>
            <w:tcW w:w="1380" w:type="pct"/>
            <w:vAlign w:val="center"/>
          </w:tcPr>
          <w:p w14:paraId="4D7B1C7D">
            <w:pPr>
              <w:adjustRightInd w:val="0"/>
              <w:jc w:val="center"/>
              <w:rPr>
                <w:rFonts w:ascii="Times New Roman"/>
                <w:kern w:val="0"/>
                <w:sz w:val="21"/>
                <w:szCs w:val="21"/>
              </w:rPr>
            </w:pPr>
            <w:r>
              <w:rPr>
                <w:rFonts w:hint="eastAsia"/>
                <w:sz w:val="32"/>
                <w:szCs w:val="32"/>
              </w:rPr>
              <w:drawing>
                <wp:inline distT="0" distB="0" distL="0" distR="0">
                  <wp:extent cx="1092835" cy="11245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extLst>
                              <a:ext uri="{28A0092B-C50C-407E-A947-70E740481C1C}">
                                <a14:useLocalDpi xmlns:a14="http://schemas.microsoft.com/office/drawing/2010/main" val="0"/>
                              </a:ext>
                            </a:extLst>
                          </a:blip>
                          <a:srcRect l="82075" t="16354" b="52810"/>
                          <a:stretch>
                            <a:fillRect/>
                          </a:stretch>
                        </pic:blipFill>
                        <pic:spPr>
                          <a:xfrm>
                            <a:off x="0" y="0"/>
                            <a:ext cx="1092835" cy="1124585"/>
                          </a:xfrm>
                          <a:prstGeom prst="rect">
                            <a:avLst/>
                          </a:prstGeom>
                        </pic:spPr>
                      </pic:pic>
                    </a:graphicData>
                  </a:graphic>
                </wp:inline>
              </w:drawing>
            </w:r>
            <w:r>
              <w:rPr>
                <w:rFonts w:hint="eastAsia"/>
                <w:sz w:val="32"/>
                <w:szCs w:val="32"/>
              </w:rPr>
              <w:drawing>
                <wp:inline distT="0" distB="0" distL="0" distR="0">
                  <wp:extent cx="1129030" cy="112204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cstate="print">
                            <a:extLst>
                              <a:ext uri="{28A0092B-C50C-407E-A947-70E740481C1C}">
                                <a14:useLocalDpi xmlns:a14="http://schemas.microsoft.com/office/drawing/2010/main" val="0"/>
                              </a:ext>
                            </a:extLst>
                          </a:blip>
                          <a:srcRect l="80159" t="59211" r="2351" b="11749"/>
                          <a:stretch>
                            <a:fillRect/>
                          </a:stretch>
                        </pic:blipFill>
                        <pic:spPr>
                          <a:xfrm>
                            <a:off x="0" y="0"/>
                            <a:ext cx="1129030" cy="1122045"/>
                          </a:xfrm>
                          <a:prstGeom prst="rect">
                            <a:avLst/>
                          </a:prstGeom>
                        </pic:spPr>
                      </pic:pic>
                    </a:graphicData>
                  </a:graphic>
                </wp:inline>
              </w:drawing>
            </w:r>
          </w:p>
        </w:tc>
      </w:tr>
      <w:tr w14:paraId="0F72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2E0E23A0">
            <w:pPr>
              <w:adjustRightInd w:val="0"/>
              <w:jc w:val="center"/>
              <w:rPr>
                <w:rFonts w:ascii="Times New Roman"/>
                <w:kern w:val="0"/>
                <w:sz w:val="21"/>
                <w:szCs w:val="21"/>
              </w:rPr>
            </w:pPr>
            <w:r>
              <w:rPr>
                <w:rFonts w:ascii="Times New Roman"/>
                <w:kern w:val="0"/>
                <w:sz w:val="21"/>
                <w:szCs w:val="21"/>
              </w:rPr>
              <w:t>6</w:t>
            </w:r>
          </w:p>
        </w:tc>
        <w:tc>
          <w:tcPr>
            <w:tcW w:w="499" w:type="pct"/>
            <w:vAlign w:val="center"/>
          </w:tcPr>
          <w:p w14:paraId="2053289A">
            <w:pPr>
              <w:adjustRightInd w:val="0"/>
              <w:jc w:val="center"/>
              <w:rPr>
                <w:rFonts w:ascii="Times New Roman"/>
                <w:kern w:val="0"/>
                <w:sz w:val="21"/>
                <w:szCs w:val="21"/>
              </w:rPr>
            </w:pPr>
            <w:r>
              <w:rPr>
                <w:rFonts w:ascii="Times New Roman"/>
                <w:kern w:val="0"/>
                <w:sz w:val="21"/>
                <w:szCs w:val="21"/>
              </w:rPr>
              <w:t>托辊横梁</w:t>
            </w:r>
          </w:p>
        </w:tc>
        <w:tc>
          <w:tcPr>
            <w:tcW w:w="681" w:type="pct"/>
            <w:vAlign w:val="center"/>
          </w:tcPr>
          <w:p w14:paraId="4CD112AB">
            <w:pPr>
              <w:adjustRightInd w:val="0"/>
              <w:jc w:val="center"/>
              <w:rPr>
                <w:rFonts w:ascii="Times New Roman"/>
                <w:kern w:val="0"/>
                <w:sz w:val="21"/>
                <w:szCs w:val="21"/>
              </w:rPr>
            </w:pPr>
            <w:r>
              <w:rPr>
                <w:rFonts w:ascii="Times New Roman"/>
                <w:kern w:val="0"/>
                <w:sz w:val="21"/>
                <w:szCs w:val="21"/>
              </w:rPr>
              <w:t>1653051</w:t>
            </w:r>
          </w:p>
        </w:tc>
        <w:tc>
          <w:tcPr>
            <w:tcW w:w="619" w:type="pct"/>
            <w:vAlign w:val="center"/>
          </w:tcPr>
          <w:p w14:paraId="5783DB31">
            <w:pPr>
              <w:adjustRightInd w:val="0"/>
              <w:jc w:val="center"/>
              <w:rPr>
                <w:rFonts w:ascii="Times New Roman"/>
                <w:kern w:val="0"/>
                <w:sz w:val="21"/>
                <w:szCs w:val="21"/>
              </w:rPr>
            </w:pPr>
            <w:r>
              <w:rPr>
                <w:rFonts w:ascii="Times New Roman"/>
                <w:kern w:val="0"/>
                <w:sz w:val="21"/>
                <w:szCs w:val="21"/>
              </w:rPr>
              <w:t>9489</w:t>
            </w:r>
          </w:p>
        </w:tc>
        <w:tc>
          <w:tcPr>
            <w:tcW w:w="776" w:type="pct"/>
            <w:vAlign w:val="center"/>
          </w:tcPr>
          <w:p w14:paraId="3F621DD5">
            <w:pPr>
              <w:adjustRightInd w:val="0"/>
              <w:jc w:val="center"/>
              <w:rPr>
                <w:rFonts w:ascii="Times New Roman"/>
                <w:kern w:val="0"/>
                <w:sz w:val="21"/>
                <w:szCs w:val="21"/>
              </w:rPr>
            </w:pPr>
            <w:r>
              <w:rPr>
                <w:rFonts w:ascii="Times New Roman"/>
                <w:kern w:val="0"/>
                <w:sz w:val="21"/>
                <w:szCs w:val="21"/>
              </w:rPr>
              <w:t>0.4×0.85×3.11</w:t>
            </w:r>
          </w:p>
        </w:tc>
        <w:tc>
          <w:tcPr>
            <w:tcW w:w="777" w:type="pct"/>
            <w:vAlign w:val="center"/>
          </w:tcPr>
          <w:p w14:paraId="39D9C0F4">
            <w:pPr>
              <w:adjustRightInd w:val="0"/>
              <w:jc w:val="center"/>
              <w:rPr>
                <w:rFonts w:ascii="Times New Roman"/>
                <w:kern w:val="0"/>
                <w:sz w:val="21"/>
                <w:szCs w:val="21"/>
              </w:rPr>
            </w:pPr>
            <w:r>
              <w:rPr>
                <w:rFonts w:hint="eastAsia" w:ascii="Times New Roman"/>
                <w:kern w:val="0"/>
                <w:sz w:val="21"/>
                <w:szCs w:val="21"/>
              </w:rPr>
              <w:t>喷粉 55.2万</w:t>
            </w:r>
          </w:p>
        </w:tc>
        <w:tc>
          <w:tcPr>
            <w:tcW w:w="1380" w:type="pct"/>
            <w:vAlign w:val="center"/>
          </w:tcPr>
          <w:p w14:paraId="26533CD1">
            <w:pPr>
              <w:adjustRightInd w:val="0"/>
              <w:jc w:val="center"/>
              <w:rPr>
                <w:rFonts w:ascii="Times New Roman"/>
                <w:kern w:val="0"/>
                <w:sz w:val="21"/>
                <w:szCs w:val="21"/>
              </w:rPr>
            </w:pPr>
            <w:r>
              <w:rPr>
                <w:rFonts w:hint="eastAsia"/>
                <w:sz w:val="32"/>
                <w:szCs w:val="32"/>
              </w:rPr>
              <w:drawing>
                <wp:inline distT="0" distB="0" distL="0" distR="0">
                  <wp:extent cx="1353820" cy="996950"/>
                  <wp:effectExtent l="0" t="0" r="17780"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9" cstate="print">
                            <a:extLst>
                              <a:ext uri="{28A0092B-C50C-407E-A947-70E740481C1C}">
                                <a14:useLocalDpi xmlns:a14="http://schemas.microsoft.com/office/drawing/2010/main" val="0"/>
                              </a:ext>
                            </a:extLst>
                          </a:blip>
                          <a:srcRect l="56753" t="18653" r="27202" b="61593"/>
                          <a:stretch>
                            <a:fillRect/>
                          </a:stretch>
                        </pic:blipFill>
                        <pic:spPr>
                          <a:xfrm>
                            <a:off x="0" y="0"/>
                            <a:ext cx="1353820" cy="996950"/>
                          </a:xfrm>
                          <a:prstGeom prst="rect">
                            <a:avLst/>
                          </a:prstGeom>
                        </pic:spPr>
                      </pic:pic>
                    </a:graphicData>
                  </a:graphic>
                </wp:inline>
              </w:drawing>
            </w:r>
            <w:r>
              <w:rPr>
                <w:rFonts w:hint="eastAsia"/>
                <w:sz w:val="32"/>
                <w:szCs w:val="32"/>
              </w:rPr>
              <w:drawing>
                <wp:inline distT="0" distB="0" distL="0" distR="0">
                  <wp:extent cx="1517015" cy="6108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cstate="print">
                            <a:extLst>
                              <a:ext uri="{28A0092B-C50C-407E-A947-70E740481C1C}">
                                <a14:useLocalDpi xmlns:a14="http://schemas.microsoft.com/office/drawing/2010/main" val="0"/>
                              </a:ext>
                            </a:extLst>
                          </a:blip>
                          <a:srcRect l="56753" t="49665" r="27202" b="39534"/>
                          <a:stretch>
                            <a:fillRect/>
                          </a:stretch>
                        </pic:blipFill>
                        <pic:spPr>
                          <a:xfrm>
                            <a:off x="0" y="0"/>
                            <a:ext cx="1517015" cy="610870"/>
                          </a:xfrm>
                          <a:prstGeom prst="rect">
                            <a:avLst/>
                          </a:prstGeom>
                        </pic:spPr>
                      </pic:pic>
                    </a:graphicData>
                  </a:graphic>
                </wp:inline>
              </w:drawing>
            </w:r>
          </w:p>
        </w:tc>
      </w:tr>
      <w:tr w14:paraId="6695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57BBCB01">
            <w:pPr>
              <w:adjustRightInd w:val="0"/>
              <w:jc w:val="center"/>
              <w:rPr>
                <w:rFonts w:ascii="Times New Roman"/>
                <w:kern w:val="0"/>
                <w:sz w:val="21"/>
                <w:szCs w:val="21"/>
              </w:rPr>
            </w:pPr>
            <w:r>
              <w:rPr>
                <w:rFonts w:ascii="Times New Roman"/>
                <w:kern w:val="0"/>
                <w:sz w:val="21"/>
                <w:szCs w:val="21"/>
              </w:rPr>
              <w:t>7</w:t>
            </w:r>
          </w:p>
        </w:tc>
        <w:tc>
          <w:tcPr>
            <w:tcW w:w="499" w:type="pct"/>
            <w:vAlign w:val="center"/>
          </w:tcPr>
          <w:p w14:paraId="7C80062E">
            <w:pPr>
              <w:adjustRightInd w:val="0"/>
              <w:jc w:val="center"/>
              <w:rPr>
                <w:rFonts w:ascii="Times New Roman"/>
                <w:kern w:val="0"/>
                <w:sz w:val="21"/>
                <w:szCs w:val="21"/>
              </w:rPr>
            </w:pPr>
            <w:r>
              <w:rPr>
                <w:rFonts w:ascii="Times New Roman"/>
                <w:kern w:val="0"/>
                <w:sz w:val="21"/>
                <w:szCs w:val="21"/>
              </w:rPr>
              <w:t>中间架</w:t>
            </w:r>
          </w:p>
        </w:tc>
        <w:tc>
          <w:tcPr>
            <w:tcW w:w="681" w:type="pct"/>
            <w:vAlign w:val="center"/>
          </w:tcPr>
          <w:p w14:paraId="14854C2B">
            <w:pPr>
              <w:adjustRightInd w:val="0"/>
              <w:jc w:val="center"/>
              <w:rPr>
                <w:rFonts w:ascii="Times New Roman"/>
                <w:kern w:val="0"/>
                <w:sz w:val="21"/>
                <w:szCs w:val="21"/>
              </w:rPr>
            </w:pPr>
            <w:r>
              <w:rPr>
                <w:rFonts w:ascii="Times New Roman"/>
                <w:kern w:val="0"/>
                <w:sz w:val="21"/>
                <w:szCs w:val="21"/>
              </w:rPr>
              <w:t>18648</w:t>
            </w:r>
          </w:p>
        </w:tc>
        <w:tc>
          <w:tcPr>
            <w:tcW w:w="619" w:type="pct"/>
            <w:vAlign w:val="center"/>
          </w:tcPr>
          <w:p w14:paraId="2BB47A41">
            <w:pPr>
              <w:adjustRightInd w:val="0"/>
              <w:jc w:val="center"/>
              <w:rPr>
                <w:rFonts w:ascii="Times New Roman"/>
                <w:kern w:val="0"/>
                <w:sz w:val="21"/>
                <w:szCs w:val="21"/>
              </w:rPr>
            </w:pPr>
            <w:r>
              <w:rPr>
                <w:rFonts w:ascii="Times New Roman"/>
                <w:kern w:val="0"/>
                <w:sz w:val="21"/>
                <w:szCs w:val="21"/>
              </w:rPr>
              <w:t>4867</w:t>
            </w:r>
          </w:p>
        </w:tc>
        <w:tc>
          <w:tcPr>
            <w:tcW w:w="776" w:type="pct"/>
            <w:vAlign w:val="center"/>
          </w:tcPr>
          <w:p w14:paraId="459FEC4C">
            <w:pPr>
              <w:adjustRightInd w:val="0"/>
              <w:jc w:val="center"/>
              <w:rPr>
                <w:rFonts w:ascii="Times New Roman"/>
                <w:kern w:val="0"/>
                <w:sz w:val="21"/>
                <w:szCs w:val="21"/>
              </w:rPr>
            </w:pPr>
            <w:r>
              <w:rPr>
                <w:rFonts w:ascii="Times New Roman"/>
                <w:kern w:val="0"/>
                <w:sz w:val="21"/>
                <w:szCs w:val="21"/>
              </w:rPr>
              <w:t>0.1×0.2×6</w:t>
            </w:r>
          </w:p>
        </w:tc>
        <w:tc>
          <w:tcPr>
            <w:tcW w:w="777" w:type="pct"/>
            <w:vAlign w:val="center"/>
          </w:tcPr>
          <w:p w14:paraId="4027BDE4">
            <w:pPr>
              <w:adjustRightInd w:val="0"/>
              <w:jc w:val="center"/>
              <w:rPr>
                <w:rFonts w:ascii="Times New Roman"/>
                <w:kern w:val="0"/>
                <w:sz w:val="21"/>
                <w:szCs w:val="21"/>
              </w:rPr>
            </w:pPr>
            <w:r>
              <w:rPr>
                <w:rFonts w:hint="eastAsia" w:ascii="Times New Roman"/>
                <w:kern w:val="0"/>
                <w:sz w:val="21"/>
                <w:szCs w:val="21"/>
              </w:rPr>
              <w:t>喷漆 5.2万</w:t>
            </w:r>
          </w:p>
        </w:tc>
        <w:tc>
          <w:tcPr>
            <w:tcW w:w="1380" w:type="pct"/>
            <w:vAlign w:val="center"/>
          </w:tcPr>
          <w:p w14:paraId="45DB640F">
            <w:pPr>
              <w:adjustRightInd w:val="0"/>
              <w:jc w:val="center"/>
              <w:rPr>
                <w:rFonts w:ascii="Times New Roman"/>
                <w:kern w:val="0"/>
                <w:sz w:val="21"/>
                <w:szCs w:val="21"/>
              </w:rPr>
            </w:pPr>
            <w:r>
              <w:rPr>
                <w:rFonts w:hint="eastAsia"/>
                <w:sz w:val="32"/>
                <w:szCs w:val="32"/>
              </w:rPr>
              <w:drawing>
                <wp:inline distT="0" distB="0" distL="0" distR="0">
                  <wp:extent cx="1224280" cy="1221105"/>
                  <wp:effectExtent l="0" t="0" r="13970" b="171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9" cstate="print">
                            <a:extLst>
                              <a:ext uri="{28A0092B-C50C-407E-A947-70E740481C1C}">
                                <a14:useLocalDpi xmlns:a14="http://schemas.microsoft.com/office/drawing/2010/main" val="0"/>
                              </a:ext>
                            </a:extLst>
                          </a:blip>
                          <a:srcRect l="29762" t="14812" r="54089" b="58253"/>
                          <a:stretch>
                            <a:fillRect/>
                          </a:stretch>
                        </pic:blipFill>
                        <pic:spPr>
                          <a:xfrm>
                            <a:off x="0" y="0"/>
                            <a:ext cx="1224280" cy="1221105"/>
                          </a:xfrm>
                          <a:prstGeom prst="rect">
                            <a:avLst/>
                          </a:prstGeom>
                        </pic:spPr>
                      </pic:pic>
                    </a:graphicData>
                  </a:graphic>
                </wp:inline>
              </w:drawing>
            </w:r>
          </w:p>
        </w:tc>
      </w:tr>
      <w:tr w14:paraId="6303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501AFCF5">
            <w:pPr>
              <w:adjustRightInd w:val="0"/>
              <w:jc w:val="center"/>
              <w:rPr>
                <w:rFonts w:ascii="Times New Roman"/>
                <w:kern w:val="0"/>
                <w:sz w:val="21"/>
                <w:szCs w:val="21"/>
              </w:rPr>
            </w:pPr>
            <w:r>
              <w:rPr>
                <w:rFonts w:ascii="Times New Roman"/>
                <w:kern w:val="0"/>
                <w:sz w:val="21"/>
                <w:szCs w:val="21"/>
              </w:rPr>
              <w:t>8</w:t>
            </w:r>
          </w:p>
        </w:tc>
        <w:tc>
          <w:tcPr>
            <w:tcW w:w="499" w:type="pct"/>
            <w:vAlign w:val="center"/>
          </w:tcPr>
          <w:p w14:paraId="171EA00F">
            <w:pPr>
              <w:adjustRightInd w:val="0"/>
              <w:jc w:val="center"/>
              <w:rPr>
                <w:rFonts w:ascii="Times New Roman"/>
                <w:kern w:val="0"/>
                <w:sz w:val="21"/>
                <w:szCs w:val="21"/>
              </w:rPr>
            </w:pPr>
            <w:r>
              <w:rPr>
                <w:rFonts w:ascii="Times New Roman"/>
                <w:kern w:val="0"/>
                <w:sz w:val="21"/>
                <w:szCs w:val="21"/>
              </w:rPr>
              <w:t>支腿</w:t>
            </w:r>
          </w:p>
        </w:tc>
        <w:tc>
          <w:tcPr>
            <w:tcW w:w="681" w:type="pct"/>
            <w:vAlign w:val="center"/>
          </w:tcPr>
          <w:p w14:paraId="5066E4F0">
            <w:pPr>
              <w:adjustRightInd w:val="0"/>
              <w:jc w:val="center"/>
              <w:rPr>
                <w:rFonts w:ascii="Times New Roman"/>
                <w:kern w:val="0"/>
                <w:sz w:val="21"/>
                <w:szCs w:val="21"/>
              </w:rPr>
            </w:pPr>
            <w:r>
              <w:rPr>
                <w:rFonts w:ascii="Times New Roman"/>
                <w:kern w:val="0"/>
                <w:sz w:val="21"/>
                <w:szCs w:val="21"/>
              </w:rPr>
              <w:t>37205</w:t>
            </w:r>
          </w:p>
        </w:tc>
        <w:tc>
          <w:tcPr>
            <w:tcW w:w="619" w:type="pct"/>
            <w:vAlign w:val="center"/>
          </w:tcPr>
          <w:p w14:paraId="7A0EF86C">
            <w:pPr>
              <w:adjustRightInd w:val="0"/>
              <w:jc w:val="center"/>
              <w:rPr>
                <w:rFonts w:ascii="Times New Roman"/>
                <w:kern w:val="0"/>
                <w:sz w:val="21"/>
                <w:szCs w:val="21"/>
              </w:rPr>
            </w:pPr>
            <w:r>
              <w:rPr>
                <w:rFonts w:ascii="Times New Roman"/>
                <w:kern w:val="0"/>
                <w:sz w:val="21"/>
                <w:szCs w:val="21"/>
              </w:rPr>
              <w:t>2195</w:t>
            </w:r>
          </w:p>
        </w:tc>
        <w:tc>
          <w:tcPr>
            <w:tcW w:w="776" w:type="pct"/>
            <w:vAlign w:val="center"/>
          </w:tcPr>
          <w:p w14:paraId="268B99CB">
            <w:pPr>
              <w:adjustRightInd w:val="0"/>
              <w:jc w:val="center"/>
              <w:rPr>
                <w:rFonts w:ascii="Times New Roman"/>
                <w:kern w:val="0"/>
                <w:sz w:val="21"/>
                <w:szCs w:val="21"/>
              </w:rPr>
            </w:pPr>
            <w:r>
              <w:rPr>
                <w:rFonts w:ascii="Times New Roman"/>
                <w:kern w:val="0"/>
                <w:sz w:val="21"/>
                <w:szCs w:val="21"/>
              </w:rPr>
              <w:t>0.2×0.2×1.8</w:t>
            </w:r>
          </w:p>
        </w:tc>
        <w:tc>
          <w:tcPr>
            <w:tcW w:w="777" w:type="pct"/>
            <w:vAlign w:val="center"/>
          </w:tcPr>
          <w:p w14:paraId="7AA4DA30">
            <w:pPr>
              <w:adjustRightInd w:val="0"/>
              <w:jc w:val="center"/>
              <w:rPr>
                <w:rFonts w:ascii="Times New Roman"/>
                <w:kern w:val="0"/>
                <w:sz w:val="21"/>
                <w:szCs w:val="21"/>
              </w:rPr>
            </w:pPr>
            <w:r>
              <w:rPr>
                <w:rFonts w:hint="eastAsia" w:ascii="Times New Roman"/>
                <w:kern w:val="0"/>
                <w:sz w:val="21"/>
                <w:szCs w:val="21"/>
              </w:rPr>
              <w:t>喷粉 1.5万</w:t>
            </w:r>
          </w:p>
        </w:tc>
        <w:tc>
          <w:tcPr>
            <w:tcW w:w="1380" w:type="pct"/>
            <w:vAlign w:val="center"/>
          </w:tcPr>
          <w:p w14:paraId="5C9EF16D">
            <w:pPr>
              <w:adjustRightInd w:val="0"/>
              <w:jc w:val="center"/>
              <w:rPr>
                <w:rFonts w:ascii="Times New Roman"/>
                <w:kern w:val="0"/>
                <w:sz w:val="21"/>
                <w:szCs w:val="21"/>
              </w:rPr>
            </w:pPr>
            <w:r>
              <w:rPr>
                <w:rFonts w:hint="eastAsia"/>
                <w:sz w:val="32"/>
                <w:szCs w:val="32"/>
              </w:rPr>
              <w:drawing>
                <wp:inline distT="0" distB="0" distL="0" distR="0">
                  <wp:extent cx="845820" cy="1301115"/>
                  <wp:effectExtent l="0" t="0" r="11430" b="133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9" cstate="print">
                            <a:extLst>
                              <a:ext uri="{28A0092B-C50C-407E-A947-70E740481C1C}">
                                <a14:useLocalDpi xmlns:a14="http://schemas.microsoft.com/office/drawing/2010/main" val="0"/>
                              </a:ext>
                            </a:extLst>
                          </a:blip>
                          <a:srcRect l="33372" t="48366" r="53793" b="18642"/>
                          <a:stretch>
                            <a:fillRect/>
                          </a:stretch>
                        </pic:blipFill>
                        <pic:spPr>
                          <a:xfrm>
                            <a:off x="0" y="0"/>
                            <a:ext cx="845820" cy="1301115"/>
                          </a:xfrm>
                          <a:prstGeom prst="rect">
                            <a:avLst/>
                          </a:prstGeom>
                        </pic:spPr>
                      </pic:pic>
                    </a:graphicData>
                  </a:graphic>
                </wp:inline>
              </w:drawing>
            </w:r>
            <w:r>
              <w:rPr>
                <w:rFonts w:hint="eastAsia"/>
                <w:sz w:val="32"/>
                <w:szCs w:val="32"/>
              </w:rPr>
              <w:drawing>
                <wp:inline distT="0" distB="0" distL="0" distR="0">
                  <wp:extent cx="1483995" cy="1309370"/>
                  <wp:effectExtent l="0" t="0" r="1905"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9" cstate="print">
                            <a:extLst>
                              <a:ext uri="{28A0092B-C50C-407E-A947-70E740481C1C}">
                                <a14:useLocalDpi xmlns:a14="http://schemas.microsoft.com/office/drawing/2010/main" val="0"/>
                              </a:ext>
                            </a:extLst>
                          </a:blip>
                          <a:srcRect l="35840" t="80616" r="51011"/>
                          <a:stretch>
                            <a:fillRect/>
                          </a:stretch>
                        </pic:blipFill>
                        <pic:spPr>
                          <a:xfrm>
                            <a:off x="0" y="0"/>
                            <a:ext cx="1483995" cy="1309370"/>
                          </a:xfrm>
                          <a:prstGeom prst="rect">
                            <a:avLst/>
                          </a:prstGeom>
                        </pic:spPr>
                      </pic:pic>
                    </a:graphicData>
                  </a:graphic>
                </wp:inline>
              </w:drawing>
            </w:r>
          </w:p>
        </w:tc>
      </w:tr>
      <w:tr w14:paraId="5020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3E1339E0">
            <w:pPr>
              <w:adjustRightInd w:val="0"/>
              <w:jc w:val="center"/>
              <w:rPr>
                <w:rFonts w:ascii="Times New Roman"/>
                <w:kern w:val="0"/>
                <w:sz w:val="21"/>
                <w:szCs w:val="21"/>
              </w:rPr>
            </w:pPr>
            <w:r>
              <w:rPr>
                <w:rFonts w:ascii="Times New Roman"/>
                <w:kern w:val="0"/>
                <w:sz w:val="21"/>
                <w:szCs w:val="21"/>
              </w:rPr>
              <w:t>9</w:t>
            </w:r>
          </w:p>
        </w:tc>
        <w:tc>
          <w:tcPr>
            <w:tcW w:w="499" w:type="pct"/>
            <w:vAlign w:val="center"/>
          </w:tcPr>
          <w:p w14:paraId="31A07C9E">
            <w:pPr>
              <w:adjustRightInd w:val="0"/>
              <w:jc w:val="center"/>
              <w:rPr>
                <w:rFonts w:ascii="Times New Roman"/>
                <w:kern w:val="0"/>
                <w:sz w:val="21"/>
                <w:szCs w:val="21"/>
              </w:rPr>
            </w:pPr>
            <w:r>
              <w:rPr>
                <w:rFonts w:ascii="Times New Roman"/>
                <w:kern w:val="0"/>
                <w:sz w:val="21"/>
                <w:szCs w:val="21"/>
              </w:rPr>
              <w:t>漏斗</w:t>
            </w:r>
          </w:p>
        </w:tc>
        <w:tc>
          <w:tcPr>
            <w:tcW w:w="681" w:type="pct"/>
            <w:vAlign w:val="center"/>
          </w:tcPr>
          <w:p w14:paraId="57D84FBC">
            <w:pPr>
              <w:adjustRightInd w:val="0"/>
              <w:jc w:val="center"/>
              <w:rPr>
                <w:rFonts w:ascii="Times New Roman"/>
                <w:kern w:val="0"/>
                <w:sz w:val="21"/>
                <w:szCs w:val="21"/>
              </w:rPr>
            </w:pPr>
            <w:r>
              <w:rPr>
                <w:rFonts w:ascii="Times New Roman"/>
                <w:kern w:val="0"/>
                <w:sz w:val="21"/>
                <w:szCs w:val="21"/>
              </w:rPr>
              <w:t>208</w:t>
            </w:r>
          </w:p>
        </w:tc>
        <w:tc>
          <w:tcPr>
            <w:tcW w:w="619" w:type="pct"/>
            <w:vAlign w:val="center"/>
          </w:tcPr>
          <w:p w14:paraId="337B9935">
            <w:pPr>
              <w:adjustRightInd w:val="0"/>
              <w:jc w:val="center"/>
              <w:rPr>
                <w:rFonts w:ascii="Times New Roman"/>
                <w:kern w:val="0"/>
                <w:sz w:val="21"/>
                <w:szCs w:val="21"/>
              </w:rPr>
            </w:pPr>
            <w:r>
              <w:rPr>
                <w:rFonts w:ascii="Times New Roman"/>
                <w:kern w:val="0"/>
                <w:sz w:val="21"/>
                <w:szCs w:val="21"/>
              </w:rPr>
              <w:t>461</w:t>
            </w:r>
          </w:p>
        </w:tc>
        <w:tc>
          <w:tcPr>
            <w:tcW w:w="776" w:type="pct"/>
            <w:vAlign w:val="center"/>
          </w:tcPr>
          <w:p w14:paraId="1F962F14">
            <w:pPr>
              <w:adjustRightInd w:val="0"/>
              <w:jc w:val="center"/>
              <w:rPr>
                <w:rFonts w:ascii="Times New Roman"/>
                <w:kern w:val="0"/>
                <w:sz w:val="21"/>
                <w:szCs w:val="21"/>
              </w:rPr>
            </w:pPr>
            <w:r>
              <w:rPr>
                <w:rFonts w:ascii="Times New Roman"/>
                <w:kern w:val="0"/>
                <w:sz w:val="21"/>
                <w:szCs w:val="21"/>
              </w:rPr>
              <w:t>2.7×5×5.2</w:t>
            </w:r>
          </w:p>
        </w:tc>
        <w:tc>
          <w:tcPr>
            <w:tcW w:w="777" w:type="pct"/>
            <w:vAlign w:val="center"/>
          </w:tcPr>
          <w:p w14:paraId="2BAEFBD2">
            <w:pPr>
              <w:adjustRightInd w:val="0"/>
              <w:jc w:val="center"/>
              <w:rPr>
                <w:rFonts w:ascii="Times New Roman"/>
                <w:kern w:val="0"/>
                <w:sz w:val="21"/>
                <w:szCs w:val="21"/>
              </w:rPr>
            </w:pPr>
            <w:r>
              <w:rPr>
                <w:rFonts w:hint="eastAsia" w:ascii="Times New Roman"/>
                <w:kern w:val="0"/>
                <w:sz w:val="21"/>
                <w:szCs w:val="21"/>
              </w:rPr>
              <w:t>喷漆 15.8万</w:t>
            </w:r>
          </w:p>
        </w:tc>
        <w:tc>
          <w:tcPr>
            <w:tcW w:w="1380" w:type="pct"/>
            <w:vAlign w:val="center"/>
          </w:tcPr>
          <w:p w14:paraId="20814B7E">
            <w:pPr>
              <w:adjustRightInd w:val="0"/>
              <w:jc w:val="center"/>
              <w:rPr>
                <w:rFonts w:ascii="Times New Roman"/>
                <w:kern w:val="0"/>
                <w:sz w:val="21"/>
                <w:szCs w:val="21"/>
              </w:rPr>
            </w:pPr>
            <w:r>
              <w:rPr>
                <w:rFonts w:hint="eastAsia"/>
                <w:sz w:val="32"/>
                <w:szCs w:val="32"/>
              </w:rPr>
              <w:drawing>
                <wp:inline distT="0" distB="0" distL="0" distR="0">
                  <wp:extent cx="1917700" cy="1644650"/>
                  <wp:effectExtent l="0" t="0" r="6350" b="1270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cstate="print">
                            <a:extLst>
                              <a:ext uri="{28A0092B-C50C-407E-A947-70E740481C1C}">
                                <a14:useLocalDpi xmlns:a14="http://schemas.microsoft.com/office/drawing/2010/main" val="0"/>
                              </a:ext>
                            </a:extLst>
                          </a:blip>
                          <a:srcRect l="58500" t="71240" r="27450" b="8613"/>
                          <a:stretch>
                            <a:fillRect/>
                          </a:stretch>
                        </pic:blipFill>
                        <pic:spPr>
                          <a:xfrm>
                            <a:off x="0" y="0"/>
                            <a:ext cx="1917700" cy="1644650"/>
                          </a:xfrm>
                          <a:prstGeom prst="rect">
                            <a:avLst/>
                          </a:prstGeom>
                        </pic:spPr>
                      </pic:pic>
                    </a:graphicData>
                  </a:graphic>
                </wp:inline>
              </w:drawing>
            </w:r>
          </w:p>
        </w:tc>
      </w:tr>
      <w:tr w14:paraId="70CD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077F8078">
            <w:pPr>
              <w:adjustRightInd w:val="0"/>
              <w:jc w:val="center"/>
              <w:rPr>
                <w:rFonts w:ascii="Times New Roman"/>
                <w:kern w:val="0"/>
                <w:sz w:val="21"/>
                <w:szCs w:val="21"/>
              </w:rPr>
            </w:pPr>
            <w:r>
              <w:rPr>
                <w:rFonts w:ascii="Times New Roman"/>
                <w:kern w:val="0"/>
                <w:sz w:val="21"/>
                <w:szCs w:val="21"/>
              </w:rPr>
              <w:t>10</w:t>
            </w:r>
          </w:p>
        </w:tc>
        <w:tc>
          <w:tcPr>
            <w:tcW w:w="499" w:type="pct"/>
            <w:vAlign w:val="center"/>
          </w:tcPr>
          <w:p w14:paraId="6A509AE4">
            <w:pPr>
              <w:adjustRightInd w:val="0"/>
              <w:jc w:val="center"/>
              <w:rPr>
                <w:rFonts w:ascii="Times New Roman"/>
                <w:kern w:val="0"/>
                <w:sz w:val="21"/>
                <w:szCs w:val="21"/>
              </w:rPr>
            </w:pPr>
            <w:r>
              <w:rPr>
                <w:rFonts w:ascii="Times New Roman"/>
                <w:kern w:val="0"/>
                <w:sz w:val="21"/>
                <w:szCs w:val="21"/>
              </w:rPr>
              <w:t>溜管</w:t>
            </w:r>
          </w:p>
        </w:tc>
        <w:tc>
          <w:tcPr>
            <w:tcW w:w="681" w:type="pct"/>
            <w:vAlign w:val="center"/>
          </w:tcPr>
          <w:p w14:paraId="30B710FE">
            <w:pPr>
              <w:adjustRightInd w:val="0"/>
              <w:jc w:val="center"/>
              <w:rPr>
                <w:rFonts w:ascii="Times New Roman"/>
                <w:kern w:val="0"/>
                <w:sz w:val="21"/>
                <w:szCs w:val="21"/>
              </w:rPr>
            </w:pPr>
            <w:r>
              <w:rPr>
                <w:rFonts w:ascii="Times New Roman"/>
                <w:kern w:val="0"/>
                <w:sz w:val="21"/>
                <w:szCs w:val="21"/>
              </w:rPr>
              <w:t>207</w:t>
            </w:r>
          </w:p>
        </w:tc>
        <w:tc>
          <w:tcPr>
            <w:tcW w:w="619" w:type="pct"/>
            <w:vAlign w:val="center"/>
          </w:tcPr>
          <w:p w14:paraId="6AD2B072">
            <w:pPr>
              <w:adjustRightInd w:val="0"/>
              <w:jc w:val="center"/>
              <w:rPr>
                <w:rFonts w:ascii="Times New Roman"/>
                <w:kern w:val="0"/>
                <w:sz w:val="21"/>
                <w:szCs w:val="21"/>
              </w:rPr>
            </w:pPr>
            <w:r>
              <w:rPr>
                <w:rFonts w:ascii="Times New Roman"/>
                <w:kern w:val="0"/>
                <w:sz w:val="21"/>
                <w:szCs w:val="21"/>
              </w:rPr>
              <w:t>363</w:t>
            </w:r>
          </w:p>
        </w:tc>
        <w:tc>
          <w:tcPr>
            <w:tcW w:w="776" w:type="pct"/>
            <w:vAlign w:val="center"/>
          </w:tcPr>
          <w:p w14:paraId="30B3F119">
            <w:pPr>
              <w:adjustRightInd w:val="0"/>
              <w:jc w:val="center"/>
              <w:rPr>
                <w:rFonts w:ascii="Times New Roman"/>
                <w:kern w:val="0"/>
                <w:sz w:val="21"/>
                <w:szCs w:val="21"/>
              </w:rPr>
            </w:pPr>
            <w:r>
              <w:rPr>
                <w:rFonts w:ascii="Times New Roman"/>
                <w:kern w:val="0"/>
                <w:sz w:val="21"/>
                <w:szCs w:val="21"/>
              </w:rPr>
              <w:t>1.3×1.3×10</w:t>
            </w:r>
          </w:p>
        </w:tc>
        <w:tc>
          <w:tcPr>
            <w:tcW w:w="777" w:type="pct"/>
            <w:vAlign w:val="center"/>
          </w:tcPr>
          <w:p w14:paraId="25EC4B5E">
            <w:pPr>
              <w:adjustRightInd w:val="0"/>
              <w:jc w:val="center"/>
              <w:rPr>
                <w:rFonts w:ascii="Times New Roman"/>
                <w:kern w:val="0"/>
                <w:sz w:val="21"/>
                <w:szCs w:val="21"/>
              </w:rPr>
            </w:pPr>
            <w:r>
              <w:rPr>
                <w:rFonts w:hint="eastAsia" w:ascii="Times New Roman"/>
                <w:kern w:val="0"/>
                <w:sz w:val="21"/>
                <w:szCs w:val="21"/>
              </w:rPr>
              <w:t>喷漆 2.8万</w:t>
            </w:r>
          </w:p>
        </w:tc>
        <w:tc>
          <w:tcPr>
            <w:tcW w:w="1380" w:type="pct"/>
            <w:vAlign w:val="center"/>
          </w:tcPr>
          <w:p w14:paraId="37BFAA81">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1908810" cy="1647190"/>
                  <wp:effectExtent l="0" t="0" r="15240" b="10160"/>
                  <wp:docPr id="51" name="图片 51" descr="173951997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39519977624"/>
                          <pic:cNvPicPr>
                            <a:picLocks noChangeAspect="1"/>
                          </pic:cNvPicPr>
                        </pic:nvPicPr>
                        <pic:blipFill>
                          <a:blip r:embed="rId30" cstate="print"/>
                          <a:srcRect r="1610" b="332"/>
                          <a:stretch>
                            <a:fillRect/>
                          </a:stretch>
                        </pic:blipFill>
                        <pic:spPr>
                          <a:xfrm>
                            <a:off x="0" y="0"/>
                            <a:ext cx="1908810" cy="1647190"/>
                          </a:xfrm>
                          <a:prstGeom prst="rect">
                            <a:avLst/>
                          </a:prstGeom>
                        </pic:spPr>
                      </pic:pic>
                    </a:graphicData>
                  </a:graphic>
                </wp:inline>
              </w:drawing>
            </w:r>
          </w:p>
        </w:tc>
      </w:tr>
      <w:tr w14:paraId="204E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09FC7C29">
            <w:pPr>
              <w:adjustRightInd w:val="0"/>
              <w:jc w:val="center"/>
              <w:rPr>
                <w:rFonts w:ascii="Times New Roman"/>
                <w:kern w:val="0"/>
                <w:sz w:val="21"/>
                <w:szCs w:val="21"/>
              </w:rPr>
            </w:pPr>
            <w:r>
              <w:rPr>
                <w:rFonts w:ascii="Times New Roman"/>
                <w:kern w:val="0"/>
                <w:sz w:val="21"/>
                <w:szCs w:val="21"/>
              </w:rPr>
              <w:t>11</w:t>
            </w:r>
          </w:p>
        </w:tc>
        <w:tc>
          <w:tcPr>
            <w:tcW w:w="499" w:type="pct"/>
            <w:vAlign w:val="center"/>
          </w:tcPr>
          <w:p w14:paraId="6558AE39">
            <w:pPr>
              <w:adjustRightInd w:val="0"/>
              <w:jc w:val="center"/>
              <w:rPr>
                <w:rFonts w:ascii="Times New Roman"/>
                <w:kern w:val="0"/>
                <w:sz w:val="21"/>
                <w:szCs w:val="21"/>
              </w:rPr>
            </w:pPr>
            <w:r>
              <w:rPr>
                <w:rFonts w:ascii="Times New Roman"/>
                <w:kern w:val="0"/>
                <w:sz w:val="21"/>
                <w:szCs w:val="21"/>
              </w:rPr>
              <w:t>导料槽</w:t>
            </w:r>
          </w:p>
        </w:tc>
        <w:tc>
          <w:tcPr>
            <w:tcW w:w="681" w:type="pct"/>
            <w:vAlign w:val="center"/>
          </w:tcPr>
          <w:p w14:paraId="4BFA0EFE">
            <w:pPr>
              <w:adjustRightInd w:val="0"/>
              <w:jc w:val="center"/>
              <w:rPr>
                <w:rFonts w:ascii="Times New Roman"/>
                <w:kern w:val="0"/>
                <w:sz w:val="21"/>
                <w:szCs w:val="21"/>
              </w:rPr>
            </w:pPr>
            <w:r>
              <w:rPr>
                <w:rFonts w:ascii="Times New Roman"/>
                <w:kern w:val="0"/>
                <w:sz w:val="21"/>
                <w:szCs w:val="21"/>
              </w:rPr>
              <w:t>1052</w:t>
            </w:r>
          </w:p>
        </w:tc>
        <w:tc>
          <w:tcPr>
            <w:tcW w:w="619" w:type="pct"/>
            <w:vAlign w:val="center"/>
          </w:tcPr>
          <w:p w14:paraId="4AED632D">
            <w:pPr>
              <w:adjustRightInd w:val="0"/>
              <w:jc w:val="center"/>
              <w:rPr>
                <w:rFonts w:ascii="Times New Roman"/>
                <w:kern w:val="0"/>
                <w:sz w:val="21"/>
                <w:szCs w:val="21"/>
              </w:rPr>
            </w:pPr>
            <w:r>
              <w:rPr>
                <w:rFonts w:ascii="Times New Roman"/>
                <w:kern w:val="0"/>
                <w:sz w:val="21"/>
                <w:szCs w:val="21"/>
              </w:rPr>
              <w:t>402</w:t>
            </w:r>
          </w:p>
        </w:tc>
        <w:tc>
          <w:tcPr>
            <w:tcW w:w="776" w:type="pct"/>
            <w:vAlign w:val="center"/>
          </w:tcPr>
          <w:p w14:paraId="71C71EE9">
            <w:pPr>
              <w:adjustRightInd w:val="0"/>
              <w:jc w:val="center"/>
              <w:rPr>
                <w:rFonts w:ascii="Times New Roman"/>
                <w:kern w:val="0"/>
                <w:sz w:val="21"/>
                <w:szCs w:val="21"/>
              </w:rPr>
            </w:pPr>
            <w:r>
              <w:rPr>
                <w:rFonts w:ascii="Times New Roman"/>
                <w:kern w:val="0"/>
                <w:sz w:val="21"/>
                <w:szCs w:val="21"/>
              </w:rPr>
              <w:t>2.0×2.0×2.8</w:t>
            </w:r>
          </w:p>
        </w:tc>
        <w:tc>
          <w:tcPr>
            <w:tcW w:w="777" w:type="pct"/>
            <w:vAlign w:val="center"/>
          </w:tcPr>
          <w:p w14:paraId="5A83B9C6">
            <w:pPr>
              <w:adjustRightInd w:val="0"/>
              <w:jc w:val="center"/>
              <w:rPr>
                <w:rFonts w:ascii="Times New Roman"/>
                <w:kern w:val="0"/>
                <w:sz w:val="21"/>
                <w:szCs w:val="21"/>
              </w:rPr>
            </w:pPr>
            <w:r>
              <w:rPr>
                <w:rFonts w:hint="eastAsia" w:ascii="Times New Roman"/>
                <w:kern w:val="0"/>
                <w:sz w:val="21"/>
                <w:szCs w:val="21"/>
              </w:rPr>
              <w:t>喷粉 35万</w:t>
            </w:r>
          </w:p>
        </w:tc>
        <w:tc>
          <w:tcPr>
            <w:tcW w:w="1380" w:type="pct"/>
            <w:vAlign w:val="center"/>
          </w:tcPr>
          <w:p w14:paraId="15127CEC">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2219960" cy="1531620"/>
                  <wp:effectExtent l="0" t="0" r="8890" b="11430"/>
                  <wp:docPr id="49" name="图片 49" descr="173951994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39519945708"/>
                          <pic:cNvPicPr>
                            <a:picLocks noChangeAspect="1"/>
                          </pic:cNvPicPr>
                        </pic:nvPicPr>
                        <pic:blipFill>
                          <a:blip r:embed="rId31" cstate="print"/>
                          <a:stretch>
                            <a:fillRect/>
                          </a:stretch>
                        </pic:blipFill>
                        <pic:spPr>
                          <a:xfrm>
                            <a:off x="0" y="0"/>
                            <a:ext cx="2219960" cy="1531620"/>
                          </a:xfrm>
                          <a:prstGeom prst="rect">
                            <a:avLst/>
                          </a:prstGeom>
                        </pic:spPr>
                      </pic:pic>
                    </a:graphicData>
                  </a:graphic>
                </wp:inline>
              </w:drawing>
            </w:r>
          </w:p>
        </w:tc>
      </w:tr>
      <w:tr w14:paraId="362F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298FBCA1">
            <w:pPr>
              <w:adjustRightInd w:val="0"/>
              <w:jc w:val="center"/>
              <w:rPr>
                <w:rFonts w:ascii="Times New Roman"/>
                <w:kern w:val="0"/>
                <w:sz w:val="21"/>
                <w:szCs w:val="21"/>
              </w:rPr>
            </w:pPr>
            <w:r>
              <w:rPr>
                <w:rFonts w:ascii="Times New Roman"/>
                <w:kern w:val="0"/>
                <w:sz w:val="21"/>
                <w:szCs w:val="21"/>
              </w:rPr>
              <w:t>12</w:t>
            </w:r>
          </w:p>
        </w:tc>
        <w:tc>
          <w:tcPr>
            <w:tcW w:w="499" w:type="pct"/>
            <w:vAlign w:val="center"/>
          </w:tcPr>
          <w:p w14:paraId="16F947FA">
            <w:pPr>
              <w:adjustRightInd w:val="0"/>
              <w:jc w:val="center"/>
              <w:rPr>
                <w:rFonts w:ascii="Times New Roman"/>
                <w:kern w:val="0"/>
                <w:sz w:val="21"/>
                <w:szCs w:val="21"/>
              </w:rPr>
            </w:pPr>
            <w:r>
              <w:rPr>
                <w:rFonts w:ascii="Times New Roman"/>
                <w:kern w:val="0"/>
                <w:sz w:val="21"/>
                <w:szCs w:val="21"/>
              </w:rPr>
              <w:t>驱动架</w:t>
            </w:r>
          </w:p>
        </w:tc>
        <w:tc>
          <w:tcPr>
            <w:tcW w:w="681" w:type="pct"/>
            <w:vAlign w:val="center"/>
          </w:tcPr>
          <w:p w14:paraId="0B8B074E">
            <w:pPr>
              <w:adjustRightInd w:val="0"/>
              <w:jc w:val="center"/>
              <w:rPr>
                <w:rFonts w:ascii="Times New Roman"/>
                <w:kern w:val="0"/>
                <w:sz w:val="21"/>
                <w:szCs w:val="21"/>
              </w:rPr>
            </w:pPr>
            <w:r>
              <w:rPr>
                <w:rFonts w:ascii="Times New Roman"/>
                <w:kern w:val="0"/>
                <w:sz w:val="21"/>
                <w:szCs w:val="21"/>
              </w:rPr>
              <w:t>265</w:t>
            </w:r>
          </w:p>
        </w:tc>
        <w:tc>
          <w:tcPr>
            <w:tcW w:w="619" w:type="pct"/>
            <w:vAlign w:val="center"/>
          </w:tcPr>
          <w:p w14:paraId="60829AED">
            <w:pPr>
              <w:adjustRightInd w:val="0"/>
              <w:jc w:val="center"/>
              <w:rPr>
                <w:rFonts w:ascii="Times New Roman"/>
                <w:kern w:val="0"/>
                <w:sz w:val="21"/>
                <w:szCs w:val="21"/>
              </w:rPr>
            </w:pPr>
            <w:r>
              <w:rPr>
                <w:rFonts w:ascii="Times New Roman"/>
                <w:kern w:val="0"/>
                <w:sz w:val="21"/>
                <w:szCs w:val="21"/>
              </w:rPr>
              <w:t>700</w:t>
            </w:r>
          </w:p>
        </w:tc>
        <w:tc>
          <w:tcPr>
            <w:tcW w:w="776" w:type="pct"/>
            <w:vAlign w:val="center"/>
          </w:tcPr>
          <w:p w14:paraId="35825AE0">
            <w:pPr>
              <w:adjustRightInd w:val="0"/>
              <w:jc w:val="center"/>
              <w:rPr>
                <w:rFonts w:ascii="Times New Roman"/>
                <w:kern w:val="0"/>
                <w:sz w:val="21"/>
                <w:szCs w:val="21"/>
              </w:rPr>
            </w:pPr>
            <w:r>
              <w:rPr>
                <w:rFonts w:ascii="Times New Roman"/>
                <w:kern w:val="0"/>
                <w:sz w:val="21"/>
                <w:szCs w:val="21"/>
              </w:rPr>
              <w:t>4.05×3.25×1.2</w:t>
            </w:r>
          </w:p>
        </w:tc>
        <w:tc>
          <w:tcPr>
            <w:tcW w:w="777" w:type="pct"/>
            <w:vAlign w:val="center"/>
          </w:tcPr>
          <w:p w14:paraId="3093D338">
            <w:pPr>
              <w:adjustRightInd w:val="0"/>
              <w:jc w:val="center"/>
              <w:rPr>
                <w:rFonts w:ascii="Times New Roman"/>
                <w:kern w:val="0"/>
                <w:sz w:val="21"/>
                <w:szCs w:val="21"/>
              </w:rPr>
            </w:pPr>
            <w:r>
              <w:rPr>
                <w:rFonts w:hint="eastAsia" w:ascii="Times New Roman"/>
                <w:kern w:val="0"/>
                <w:sz w:val="21"/>
                <w:szCs w:val="21"/>
              </w:rPr>
              <w:t>喷漆 8.5万</w:t>
            </w:r>
          </w:p>
        </w:tc>
        <w:tc>
          <w:tcPr>
            <w:tcW w:w="1380" w:type="pct"/>
            <w:vAlign w:val="center"/>
          </w:tcPr>
          <w:p w14:paraId="4E3274DA">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2185035" cy="1370330"/>
                  <wp:effectExtent l="0" t="0" r="5715" b="1270"/>
                  <wp:docPr id="47" name="图片 47" descr="173951991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39519911536"/>
                          <pic:cNvPicPr>
                            <a:picLocks noChangeAspect="1"/>
                          </pic:cNvPicPr>
                        </pic:nvPicPr>
                        <pic:blipFill>
                          <a:blip r:embed="rId32" cstate="print"/>
                          <a:srcRect r="2375" b="2067"/>
                          <a:stretch>
                            <a:fillRect/>
                          </a:stretch>
                        </pic:blipFill>
                        <pic:spPr>
                          <a:xfrm>
                            <a:off x="0" y="0"/>
                            <a:ext cx="2185035" cy="1370330"/>
                          </a:xfrm>
                          <a:prstGeom prst="rect">
                            <a:avLst/>
                          </a:prstGeom>
                        </pic:spPr>
                      </pic:pic>
                    </a:graphicData>
                  </a:graphic>
                </wp:inline>
              </w:drawing>
            </w:r>
          </w:p>
        </w:tc>
      </w:tr>
      <w:tr w14:paraId="03B7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4953B5A5">
            <w:pPr>
              <w:adjustRightInd w:val="0"/>
              <w:jc w:val="center"/>
              <w:rPr>
                <w:rFonts w:ascii="Times New Roman"/>
                <w:kern w:val="0"/>
                <w:sz w:val="21"/>
                <w:szCs w:val="21"/>
              </w:rPr>
            </w:pPr>
            <w:r>
              <w:rPr>
                <w:rFonts w:ascii="Times New Roman"/>
                <w:kern w:val="0"/>
                <w:sz w:val="21"/>
                <w:szCs w:val="21"/>
              </w:rPr>
              <w:t>13</w:t>
            </w:r>
          </w:p>
        </w:tc>
        <w:tc>
          <w:tcPr>
            <w:tcW w:w="499" w:type="pct"/>
            <w:vAlign w:val="center"/>
          </w:tcPr>
          <w:p w14:paraId="64A365FC">
            <w:pPr>
              <w:adjustRightInd w:val="0"/>
              <w:jc w:val="center"/>
              <w:rPr>
                <w:rFonts w:ascii="Times New Roman"/>
                <w:kern w:val="0"/>
                <w:sz w:val="21"/>
                <w:szCs w:val="21"/>
              </w:rPr>
            </w:pPr>
            <w:r>
              <w:rPr>
                <w:rFonts w:ascii="Times New Roman"/>
                <w:kern w:val="0"/>
                <w:sz w:val="21"/>
                <w:szCs w:val="21"/>
              </w:rPr>
              <w:t>转运站</w:t>
            </w:r>
          </w:p>
        </w:tc>
        <w:tc>
          <w:tcPr>
            <w:tcW w:w="681" w:type="pct"/>
            <w:vAlign w:val="center"/>
          </w:tcPr>
          <w:p w14:paraId="57028691">
            <w:pPr>
              <w:adjustRightInd w:val="0"/>
              <w:jc w:val="center"/>
              <w:rPr>
                <w:rFonts w:ascii="Times New Roman"/>
                <w:kern w:val="0"/>
                <w:sz w:val="21"/>
                <w:szCs w:val="21"/>
              </w:rPr>
            </w:pPr>
            <w:r>
              <w:rPr>
                <w:rFonts w:ascii="Times New Roman"/>
                <w:kern w:val="0"/>
                <w:sz w:val="21"/>
                <w:szCs w:val="21"/>
              </w:rPr>
              <w:t>55</w:t>
            </w:r>
          </w:p>
        </w:tc>
        <w:tc>
          <w:tcPr>
            <w:tcW w:w="619" w:type="pct"/>
            <w:vAlign w:val="center"/>
          </w:tcPr>
          <w:p w14:paraId="0173A4EE">
            <w:pPr>
              <w:adjustRightInd w:val="0"/>
              <w:jc w:val="center"/>
              <w:rPr>
                <w:rFonts w:ascii="Times New Roman"/>
                <w:kern w:val="0"/>
                <w:sz w:val="21"/>
                <w:szCs w:val="21"/>
              </w:rPr>
            </w:pPr>
            <w:r>
              <w:rPr>
                <w:rFonts w:ascii="Times New Roman"/>
                <w:kern w:val="0"/>
                <w:sz w:val="21"/>
                <w:szCs w:val="21"/>
              </w:rPr>
              <w:t>3328</w:t>
            </w:r>
          </w:p>
        </w:tc>
        <w:tc>
          <w:tcPr>
            <w:tcW w:w="776" w:type="pct"/>
            <w:vAlign w:val="center"/>
          </w:tcPr>
          <w:p w14:paraId="0944066D">
            <w:pPr>
              <w:adjustRightInd w:val="0"/>
              <w:jc w:val="center"/>
              <w:rPr>
                <w:rFonts w:ascii="Times New Roman"/>
                <w:kern w:val="0"/>
                <w:sz w:val="21"/>
                <w:szCs w:val="21"/>
              </w:rPr>
            </w:pPr>
            <w:r>
              <w:rPr>
                <w:rFonts w:ascii="Times New Roman"/>
                <w:kern w:val="0"/>
                <w:sz w:val="21"/>
                <w:szCs w:val="21"/>
              </w:rPr>
              <w:t>24×23.5×18.7</w:t>
            </w:r>
          </w:p>
        </w:tc>
        <w:tc>
          <w:tcPr>
            <w:tcW w:w="777" w:type="pct"/>
            <w:vAlign w:val="center"/>
          </w:tcPr>
          <w:p w14:paraId="61614A8F">
            <w:pPr>
              <w:adjustRightInd w:val="0"/>
              <w:jc w:val="center"/>
              <w:rPr>
                <w:rFonts w:ascii="Times New Roman"/>
                <w:kern w:val="0"/>
                <w:sz w:val="21"/>
                <w:szCs w:val="21"/>
              </w:rPr>
            </w:pPr>
            <w:r>
              <w:rPr>
                <w:rFonts w:hint="eastAsia" w:ascii="Times New Roman"/>
                <w:kern w:val="0"/>
                <w:sz w:val="21"/>
                <w:szCs w:val="21"/>
              </w:rPr>
              <w:t>喷漆.3.6万</w:t>
            </w:r>
          </w:p>
        </w:tc>
        <w:tc>
          <w:tcPr>
            <w:tcW w:w="1380" w:type="pct"/>
            <w:vAlign w:val="center"/>
          </w:tcPr>
          <w:p w14:paraId="0580F4DE">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2091055" cy="1391285"/>
                  <wp:effectExtent l="0" t="0" r="4445" b="18415"/>
                  <wp:docPr id="44" name="图片 44" descr="173951977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39519779151"/>
                          <pic:cNvPicPr>
                            <a:picLocks noChangeAspect="1"/>
                          </pic:cNvPicPr>
                        </pic:nvPicPr>
                        <pic:blipFill>
                          <a:blip r:embed="rId33" cstate="print"/>
                          <a:stretch>
                            <a:fillRect/>
                          </a:stretch>
                        </pic:blipFill>
                        <pic:spPr>
                          <a:xfrm>
                            <a:off x="0" y="0"/>
                            <a:ext cx="2091055" cy="1391285"/>
                          </a:xfrm>
                          <a:prstGeom prst="rect">
                            <a:avLst/>
                          </a:prstGeom>
                        </pic:spPr>
                      </pic:pic>
                    </a:graphicData>
                  </a:graphic>
                </wp:inline>
              </w:drawing>
            </w:r>
          </w:p>
        </w:tc>
      </w:tr>
      <w:tr w14:paraId="0DEB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19D96671">
            <w:pPr>
              <w:adjustRightInd w:val="0"/>
              <w:jc w:val="center"/>
              <w:rPr>
                <w:rFonts w:ascii="Times New Roman"/>
                <w:kern w:val="0"/>
                <w:sz w:val="21"/>
                <w:szCs w:val="21"/>
              </w:rPr>
            </w:pPr>
            <w:r>
              <w:rPr>
                <w:rFonts w:ascii="Times New Roman"/>
                <w:kern w:val="0"/>
                <w:sz w:val="21"/>
                <w:szCs w:val="21"/>
              </w:rPr>
              <w:t>14</w:t>
            </w:r>
          </w:p>
        </w:tc>
        <w:tc>
          <w:tcPr>
            <w:tcW w:w="499" w:type="pct"/>
            <w:vAlign w:val="center"/>
          </w:tcPr>
          <w:p w14:paraId="1FBCEC39">
            <w:pPr>
              <w:adjustRightInd w:val="0"/>
              <w:jc w:val="center"/>
              <w:rPr>
                <w:rFonts w:ascii="Times New Roman"/>
                <w:kern w:val="0"/>
                <w:sz w:val="21"/>
                <w:szCs w:val="21"/>
              </w:rPr>
            </w:pPr>
            <w:r>
              <w:rPr>
                <w:rFonts w:ascii="Times New Roman"/>
                <w:kern w:val="0"/>
                <w:sz w:val="21"/>
                <w:szCs w:val="21"/>
              </w:rPr>
              <w:t>拉紧系统</w:t>
            </w:r>
          </w:p>
        </w:tc>
        <w:tc>
          <w:tcPr>
            <w:tcW w:w="681" w:type="pct"/>
            <w:vAlign w:val="center"/>
          </w:tcPr>
          <w:p w14:paraId="01EF913F">
            <w:pPr>
              <w:adjustRightInd w:val="0"/>
              <w:jc w:val="center"/>
              <w:rPr>
                <w:rFonts w:ascii="Times New Roman"/>
                <w:kern w:val="0"/>
                <w:sz w:val="21"/>
                <w:szCs w:val="21"/>
              </w:rPr>
            </w:pPr>
            <w:r>
              <w:rPr>
                <w:rFonts w:ascii="Times New Roman"/>
                <w:kern w:val="0"/>
                <w:sz w:val="21"/>
                <w:szCs w:val="21"/>
              </w:rPr>
              <w:t>573</w:t>
            </w:r>
          </w:p>
        </w:tc>
        <w:tc>
          <w:tcPr>
            <w:tcW w:w="619" w:type="pct"/>
            <w:vAlign w:val="center"/>
          </w:tcPr>
          <w:p w14:paraId="11185BA8">
            <w:pPr>
              <w:adjustRightInd w:val="0"/>
              <w:jc w:val="center"/>
              <w:rPr>
                <w:rFonts w:ascii="Times New Roman"/>
                <w:kern w:val="0"/>
                <w:sz w:val="21"/>
                <w:szCs w:val="21"/>
              </w:rPr>
            </w:pPr>
            <w:r>
              <w:rPr>
                <w:rFonts w:ascii="Times New Roman"/>
                <w:kern w:val="0"/>
                <w:sz w:val="21"/>
                <w:szCs w:val="21"/>
              </w:rPr>
              <w:t>2007</w:t>
            </w:r>
          </w:p>
        </w:tc>
        <w:tc>
          <w:tcPr>
            <w:tcW w:w="776" w:type="pct"/>
            <w:vAlign w:val="center"/>
          </w:tcPr>
          <w:p w14:paraId="31E211F4">
            <w:pPr>
              <w:adjustRightInd w:val="0"/>
              <w:jc w:val="center"/>
              <w:rPr>
                <w:rFonts w:ascii="Times New Roman"/>
                <w:kern w:val="0"/>
                <w:sz w:val="21"/>
                <w:szCs w:val="21"/>
              </w:rPr>
            </w:pPr>
            <w:r>
              <w:rPr>
                <w:rFonts w:ascii="Times New Roman"/>
                <w:kern w:val="0"/>
                <w:sz w:val="21"/>
                <w:szCs w:val="21"/>
              </w:rPr>
              <w:t>1.4×5.0×5.0</w:t>
            </w:r>
          </w:p>
        </w:tc>
        <w:tc>
          <w:tcPr>
            <w:tcW w:w="777" w:type="pct"/>
            <w:vAlign w:val="center"/>
          </w:tcPr>
          <w:p w14:paraId="4D4C0141">
            <w:pPr>
              <w:adjustRightInd w:val="0"/>
              <w:jc w:val="center"/>
              <w:rPr>
                <w:rFonts w:ascii="Times New Roman"/>
                <w:b/>
                <w:bCs/>
                <w:kern w:val="0"/>
                <w:sz w:val="21"/>
                <w:szCs w:val="21"/>
              </w:rPr>
            </w:pPr>
            <w:r>
              <w:rPr>
                <w:rFonts w:hint="eastAsia" w:ascii="Times New Roman"/>
                <w:kern w:val="0"/>
                <w:sz w:val="21"/>
                <w:szCs w:val="21"/>
              </w:rPr>
              <w:t>喷漆 15万</w:t>
            </w:r>
          </w:p>
        </w:tc>
        <w:tc>
          <w:tcPr>
            <w:tcW w:w="1380" w:type="pct"/>
            <w:vAlign w:val="center"/>
          </w:tcPr>
          <w:p w14:paraId="4CC8133C">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1121410" cy="1315085"/>
                  <wp:effectExtent l="0" t="0" r="2540" b="18415"/>
                  <wp:docPr id="45" name="图片 45" descr="17395198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39519800113"/>
                          <pic:cNvPicPr>
                            <a:picLocks noChangeAspect="1"/>
                          </pic:cNvPicPr>
                        </pic:nvPicPr>
                        <pic:blipFill>
                          <a:blip r:embed="rId34" cstate="print"/>
                          <a:srcRect t="3810" r="4722" b="536"/>
                          <a:stretch>
                            <a:fillRect/>
                          </a:stretch>
                        </pic:blipFill>
                        <pic:spPr>
                          <a:xfrm>
                            <a:off x="0" y="0"/>
                            <a:ext cx="1121410" cy="1315085"/>
                          </a:xfrm>
                          <a:prstGeom prst="rect">
                            <a:avLst/>
                          </a:prstGeom>
                        </pic:spPr>
                      </pic:pic>
                    </a:graphicData>
                  </a:graphic>
                </wp:inline>
              </w:drawing>
            </w:r>
            <w:r>
              <w:rPr>
                <w:rFonts w:hint="eastAsia" w:ascii="Times New Roman"/>
                <w:kern w:val="0"/>
                <w:sz w:val="21"/>
                <w:szCs w:val="21"/>
              </w:rPr>
              <w:drawing>
                <wp:inline distT="0" distB="0" distL="114300" distR="114300">
                  <wp:extent cx="1868805" cy="1366520"/>
                  <wp:effectExtent l="0" t="0" r="17145" b="5080"/>
                  <wp:docPr id="46" name="图片 46" descr="173951983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39519832432"/>
                          <pic:cNvPicPr>
                            <a:picLocks noChangeAspect="1"/>
                          </pic:cNvPicPr>
                        </pic:nvPicPr>
                        <pic:blipFill>
                          <a:blip r:embed="rId35" cstate="print"/>
                          <a:srcRect r="794"/>
                          <a:stretch>
                            <a:fillRect/>
                          </a:stretch>
                        </pic:blipFill>
                        <pic:spPr>
                          <a:xfrm>
                            <a:off x="0" y="0"/>
                            <a:ext cx="1868805" cy="1366520"/>
                          </a:xfrm>
                          <a:prstGeom prst="rect">
                            <a:avLst/>
                          </a:prstGeom>
                        </pic:spPr>
                      </pic:pic>
                    </a:graphicData>
                  </a:graphic>
                </wp:inline>
              </w:drawing>
            </w:r>
          </w:p>
        </w:tc>
      </w:tr>
      <w:tr w14:paraId="265B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5" w:type="pct"/>
            <w:vAlign w:val="center"/>
          </w:tcPr>
          <w:p w14:paraId="6D09D615">
            <w:pPr>
              <w:adjustRightInd w:val="0"/>
              <w:jc w:val="center"/>
              <w:rPr>
                <w:rFonts w:ascii="Times New Roman"/>
                <w:kern w:val="0"/>
                <w:sz w:val="21"/>
                <w:szCs w:val="21"/>
              </w:rPr>
            </w:pPr>
            <w:r>
              <w:rPr>
                <w:rFonts w:ascii="Times New Roman"/>
                <w:kern w:val="0"/>
                <w:sz w:val="21"/>
                <w:szCs w:val="21"/>
              </w:rPr>
              <w:t>15</w:t>
            </w:r>
          </w:p>
        </w:tc>
        <w:tc>
          <w:tcPr>
            <w:tcW w:w="499" w:type="pct"/>
            <w:vAlign w:val="center"/>
          </w:tcPr>
          <w:p w14:paraId="2AFCC157">
            <w:pPr>
              <w:adjustRightInd w:val="0"/>
              <w:jc w:val="center"/>
              <w:rPr>
                <w:rFonts w:ascii="Times New Roman"/>
                <w:kern w:val="0"/>
                <w:sz w:val="21"/>
                <w:szCs w:val="21"/>
              </w:rPr>
            </w:pPr>
            <w:r>
              <w:rPr>
                <w:rFonts w:ascii="Times New Roman"/>
                <w:kern w:val="0"/>
                <w:sz w:val="21"/>
                <w:szCs w:val="21"/>
              </w:rPr>
              <w:t>托辊</w:t>
            </w:r>
          </w:p>
        </w:tc>
        <w:tc>
          <w:tcPr>
            <w:tcW w:w="681" w:type="pct"/>
            <w:vAlign w:val="center"/>
          </w:tcPr>
          <w:p w14:paraId="3D998335">
            <w:pPr>
              <w:adjustRightInd w:val="0"/>
              <w:jc w:val="center"/>
              <w:rPr>
                <w:rFonts w:ascii="Times New Roman"/>
                <w:kern w:val="0"/>
                <w:sz w:val="21"/>
                <w:szCs w:val="21"/>
              </w:rPr>
            </w:pPr>
            <w:r>
              <w:rPr>
                <w:rFonts w:ascii="Times New Roman"/>
                <w:kern w:val="0"/>
                <w:sz w:val="21"/>
                <w:szCs w:val="21"/>
              </w:rPr>
              <w:t>800000</w:t>
            </w:r>
          </w:p>
        </w:tc>
        <w:tc>
          <w:tcPr>
            <w:tcW w:w="619" w:type="pct"/>
            <w:vAlign w:val="center"/>
          </w:tcPr>
          <w:p w14:paraId="4466E04E">
            <w:pPr>
              <w:adjustRightInd w:val="0"/>
              <w:jc w:val="center"/>
              <w:rPr>
                <w:rFonts w:ascii="Times New Roman"/>
                <w:kern w:val="0"/>
                <w:sz w:val="21"/>
                <w:szCs w:val="21"/>
              </w:rPr>
            </w:pPr>
            <w:r>
              <w:rPr>
                <w:rFonts w:ascii="Times New Roman"/>
                <w:kern w:val="0"/>
                <w:sz w:val="21"/>
                <w:szCs w:val="21"/>
              </w:rPr>
              <w:t>12800</w:t>
            </w:r>
          </w:p>
        </w:tc>
        <w:tc>
          <w:tcPr>
            <w:tcW w:w="776" w:type="pct"/>
            <w:vAlign w:val="center"/>
          </w:tcPr>
          <w:p w14:paraId="175B794B">
            <w:pPr>
              <w:adjustRightInd w:val="0"/>
              <w:jc w:val="center"/>
              <w:rPr>
                <w:rFonts w:ascii="Times New Roman"/>
                <w:kern w:val="0"/>
                <w:sz w:val="21"/>
                <w:szCs w:val="21"/>
              </w:rPr>
            </w:pPr>
            <w:r>
              <w:rPr>
                <w:rFonts w:ascii="Times New Roman"/>
                <w:kern w:val="0"/>
                <w:sz w:val="21"/>
                <w:szCs w:val="21"/>
              </w:rPr>
              <w:t>Φ0.194×28</w:t>
            </w:r>
          </w:p>
        </w:tc>
        <w:tc>
          <w:tcPr>
            <w:tcW w:w="777" w:type="pct"/>
            <w:vAlign w:val="center"/>
          </w:tcPr>
          <w:p w14:paraId="3E6ABC4B">
            <w:pPr>
              <w:adjustRightInd w:val="0"/>
              <w:jc w:val="center"/>
              <w:rPr>
                <w:rFonts w:ascii="Times New Roman"/>
                <w:kern w:val="0"/>
                <w:sz w:val="21"/>
                <w:szCs w:val="21"/>
              </w:rPr>
            </w:pPr>
            <w:r>
              <w:rPr>
                <w:rFonts w:hint="eastAsia" w:ascii="Times New Roman"/>
                <w:kern w:val="0"/>
                <w:sz w:val="21"/>
                <w:szCs w:val="21"/>
              </w:rPr>
              <w:t>喷粉 2.28万</w:t>
            </w:r>
          </w:p>
        </w:tc>
        <w:tc>
          <w:tcPr>
            <w:tcW w:w="1380" w:type="pct"/>
            <w:vAlign w:val="center"/>
          </w:tcPr>
          <w:p w14:paraId="1446BB54">
            <w:pPr>
              <w:adjustRightInd w:val="0"/>
              <w:jc w:val="center"/>
              <w:rPr>
                <w:rFonts w:ascii="Times New Roman"/>
                <w:kern w:val="0"/>
                <w:sz w:val="21"/>
                <w:szCs w:val="21"/>
              </w:rPr>
            </w:pPr>
            <w:r>
              <w:rPr>
                <w:rFonts w:hint="eastAsia" w:ascii="Times New Roman"/>
                <w:kern w:val="0"/>
                <w:sz w:val="21"/>
                <w:szCs w:val="21"/>
              </w:rPr>
              <w:drawing>
                <wp:inline distT="0" distB="0" distL="114300" distR="114300">
                  <wp:extent cx="2271395" cy="1418590"/>
                  <wp:effectExtent l="0" t="0" r="0" b="0"/>
                  <wp:docPr id="43" name="图片 43" descr="f8f92d01bbec19297892c787846c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8f92d01bbec19297892c787846c8a8"/>
                          <pic:cNvPicPr>
                            <a:picLocks noChangeAspect="1"/>
                          </pic:cNvPicPr>
                        </pic:nvPicPr>
                        <pic:blipFill>
                          <a:blip r:embed="rId36" cstate="print"/>
                          <a:srcRect t="19962" b="33194"/>
                          <a:stretch>
                            <a:fillRect/>
                          </a:stretch>
                        </pic:blipFill>
                        <pic:spPr>
                          <a:xfrm>
                            <a:off x="0" y="0"/>
                            <a:ext cx="2271395" cy="1418590"/>
                          </a:xfrm>
                          <a:prstGeom prst="rect">
                            <a:avLst/>
                          </a:prstGeom>
                        </pic:spPr>
                      </pic:pic>
                    </a:graphicData>
                  </a:graphic>
                </wp:inline>
              </w:drawing>
            </w:r>
          </w:p>
        </w:tc>
      </w:tr>
    </w:tbl>
    <w:p w14:paraId="22750085">
      <w:pPr>
        <w:widowControl/>
        <w:spacing w:line="520" w:lineRule="exact"/>
        <w:jc w:val="left"/>
        <w:outlineLvl w:val="1"/>
        <w:rPr>
          <w:rFonts w:ascii="Times New Roman"/>
          <w:b/>
          <w:sz w:val="30"/>
          <w:szCs w:val="30"/>
        </w:rPr>
        <w:sectPr>
          <w:pgSz w:w="16838" w:h="11906" w:orient="landscape"/>
          <w:pgMar w:top="1800" w:right="1440" w:bottom="1800" w:left="1440" w:header="1134" w:footer="1134" w:gutter="0"/>
          <w:cols w:space="720" w:num="1"/>
          <w:docGrid w:type="lines" w:linePitch="340" w:charSpace="0"/>
        </w:sectPr>
      </w:pPr>
      <w:bookmarkStart w:id="100" w:name="_Toc13913"/>
    </w:p>
    <w:p w14:paraId="1763589D">
      <w:pPr>
        <w:widowControl/>
        <w:spacing w:line="520" w:lineRule="exact"/>
        <w:jc w:val="left"/>
        <w:outlineLvl w:val="1"/>
        <w:rPr>
          <w:rFonts w:ascii="Times New Roman"/>
          <w:b/>
          <w:sz w:val="30"/>
          <w:szCs w:val="30"/>
        </w:rPr>
      </w:pPr>
      <w:r>
        <w:rPr>
          <w:rFonts w:ascii="Times New Roman"/>
          <w:b/>
          <w:sz w:val="30"/>
          <w:szCs w:val="30"/>
        </w:rPr>
        <w:t>3.3主要原辅材料</w:t>
      </w:r>
      <w:bookmarkEnd w:id="97"/>
      <w:bookmarkEnd w:id="98"/>
      <w:bookmarkEnd w:id="99"/>
      <w:bookmarkEnd w:id="100"/>
    </w:p>
    <w:p w14:paraId="3B73B805">
      <w:pPr>
        <w:spacing w:line="480" w:lineRule="exact"/>
        <w:ind w:left="-23" w:firstLine="480" w:firstLineChars="200"/>
        <w:rPr>
          <w:rFonts w:ascii="Times New Roman"/>
          <w:sz w:val="24"/>
          <w:szCs w:val="24"/>
        </w:rPr>
      </w:pPr>
      <w:r>
        <w:rPr>
          <w:rFonts w:ascii="Times New Roman"/>
          <w:sz w:val="24"/>
          <w:szCs w:val="24"/>
        </w:rPr>
        <w:t>项目所需原辅材料用量见表3.3-1。</w:t>
      </w:r>
    </w:p>
    <w:p w14:paraId="3995EACD">
      <w:pPr>
        <w:spacing w:line="480" w:lineRule="exact"/>
        <w:ind w:left="-23" w:firstLine="482" w:firstLineChars="200"/>
        <w:jc w:val="center"/>
        <w:rPr>
          <w:rFonts w:ascii="Times New Roman"/>
          <w:b/>
          <w:sz w:val="24"/>
          <w:szCs w:val="24"/>
        </w:rPr>
      </w:pPr>
      <w:r>
        <w:rPr>
          <w:rFonts w:ascii="Times New Roman"/>
          <w:b/>
          <w:sz w:val="24"/>
          <w:szCs w:val="24"/>
        </w:rPr>
        <w:t>表3.3-1  项目主要原辅材料用量一览表</w:t>
      </w:r>
    </w:p>
    <w:tbl>
      <w:tblPr>
        <w:tblStyle w:val="8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2"/>
        <w:gridCol w:w="664"/>
        <w:gridCol w:w="637"/>
        <w:gridCol w:w="1462"/>
        <w:gridCol w:w="1104"/>
        <w:gridCol w:w="2428"/>
        <w:gridCol w:w="913"/>
        <w:gridCol w:w="809"/>
      </w:tblGrid>
      <w:tr w14:paraId="5EAEE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94" w:type="pct"/>
            <w:vAlign w:val="center"/>
          </w:tcPr>
          <w:p w14:paraId="6D273DAB">
            <w:pPr>
              <w:jc w:val="center"/>
              <w:rPr>
                <w:rFonts w:ascii="Times New Roman"/>
                <w:b/>
                <w:bCs/>
                <w:sz w:val="21"/>
                <w:szCs w:val="21"/>
              </w:rPr>
            </w:pPr>
            <w:r>
              <w:rPr>
                <w:rFonts w:ascii="Times New Roman"/>
                <w:b/>
                <w:bCs/>
                <w:sz w:val="21"/>
                <w:szCs w:val="21"/>
              </w:rPr>
              <w:t>序号</w:t>
            </w:r>
          </w:p>
        </w:tc>
        <w:tc>
          <w:tcPr>
            <w:tcW w:w="763" w:type="pct"/>
            <w:gridSpan w:val="2"/>
            <w:vAlign w:val="center"/>
          </w:tcPr>
          <w:p w14:paraId="42686D35">
            <w:pPr>
              <w:jc w:val="center"/>
              <w:rPr>
                <w:rFonts w:ascii="Times New Roman"/>
                <w:b/>
                <w:bCs/>
                <w:sz w:val="21"/>
                <w:szCs w:val="21"/>
              </w:rPr>
            </w:pPr>
            <w:r>
              <w:rPr>
                <w:rFonts w:ascii="Times New Roman"/>
                <w:b/>
                <w:bCs/>
                <w:sz w:val="21"/>
                <w:szCs w:val="21"/>
              </w:rPr>
              <w:t>名称</w:t>
            </w:r>
          </w:p>
        </w:tc>
        <w:tc>
          <w:tcPr>
            <w:tcW w:w="857" w:type="pct"/>
            <w:vAlign w:val="center"/>
          </w:tcPr>
          <w:p w14:paraId="5E834756">
            <w:pPr>
              <w:jc w:val="center"/>
              <w:rPr>
                <w:rFonts w:ascii="Times New Roman"/>
                <w:b/>
                <w:bCs/>
                <w:sz w:val="21"/>
                <w:szCs w:val="21"/>
              </w:rPr>
            </w:pPr>
            <w:r>
              <w:rPr>
                <w:rFonts w:ascii="Times New Roman"/>
                <w:b/>
                <w:bCs/>
                <w:sz w:val="21"/>
                <w:szCs w:val="21"/>
              </w:rPr>
              <w:t>年需要量/产量</w:t>
            </w:r>
          </w:p>
        </w:tc>
        <w:tc>
          <w:tcPr>
            <w:tcW w:w="648" w:type="pct"/>
            <w:vAlign w:val="center"/>
          </w:tcPr>
          <w:p w14:paraId="00CD017F">
            <w:pPr>
              <w:jc w:val="center"/>
              <w:rPr>
                <w:rFonts w:ascii="Times New Roman"/>
                <w:b/>
                <w:bCs/>
                <w:sz w:val="21"/>
                <w:szCs w:val="21"/>
              </w:rPr>
            </w:pPr>
            <w:r>
              <w:rPr>
                <w:rFonts w:ascii="Times New Roman"/>
                <w:b/>
                <w:bCs/>
                <w:sz w:val="21"/>
                <w:szCs w:val="21"/>
              </w:rPr>
              <w:t>最大储存量</w:t>
            </w:r>
          </w:p>
        </w:tc>
        <w:tc>
          <w:tcPr>
            <w:tcW w:w="1424" w:type="pct"/>
            <w:vAlign w:val="center"/>
          </w:tcPr>
          <w:p w14:paraId="36D2E053">
            <w:pPr>
              <w:jc w:val="center"/>
              <w:rPr>
                <w:rFonts w:ascii="Times New Roman"/>
                <w:b/>
                <w:bCs/>
                <w:sz w:val="21"/>
                <w:szCs w:val="21"/>
              </w:rPr>
            </w:pPr>
            <w:r>
              <w:rPr>
                <w:rFonts w:ascii="Times New Roman"/>
                <w:b/>
                <w:bCs/>
                <w:sz w:val="21"/>
                <w:szCs w:val="21"/>
              </w:rPr>
              <w:t>存储地点</w:t>
            </w:r>
          </w:p>
        </w:tc>
        <w:tc>
          <w:tcPr>
            <w:tcW w:w="1011" w:type="pct"/>
            <w:gridSpan w:val="2"/>
            <w:vAlign w:val="center"/>
          </w:tcPr>
          <w:p w14:paraId="48E42D2B">
            <w:pPr>
              <w:jc w:val="center"/>
              <w:rPr>
                <w:rFonts w:ascii="Times New Roman"/>
                <w:b/>
                <w:bCs/>
                <w:sz w:val="21"/>
                <w:szCs w:val="21"/>
              </w:rPr>
            </w:pPr>
            <w:r>
              <w:rPr>
                <w:rFonts w:hint="eastAsia" w:ascii="Times New Roman"/>
                <w:b/>
                <w:bCs/>
                <w:sz w:val="21"/>
                <w:szCs w:val="21"/>
              </w:rPr>
              <w:t>备注</w:t>
            </w:r>
          </w:p>
        </w:tc>
      </w:tr>
      <w:tr w14:paraId="6BE1D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vAlign w:val="center"/>
          </w:tcPr>
          <w:p w14:paraId="5DE69C93">
            <w:pPr>
              <w:jc w:val="center"/>
              <w:rPr>
                <w:rFonts w:ascii="Times New Roman"/>
                <w:sz w:val="21"/>
                <w:szCs w:val="21"/>
              </w:rPr>
            </w:pPr>
            <w:r>
              <w:rPr>
                <w:rFonts w:ascii="Times New Roman"/>
                <w:sz w:val="21"/>
                <w:szCs w:val="21"/>
              </w:rPr>
              <w:t>1.</w:t>
            </w:r>
          </w:p>
        </w:tc>
        <w:tc>
          <w:tcPr>
            <w:tcW w:w="763" w:type="pct"/>
            <w:gridSpan w:val="2"/>
            <w:vAlign w:val="center"/>
          </w:tcPr>
          <w:p w14:paraId="742DE6EB">
            <w:pPr>
              <w:jc w:val="center"/>
              <w:rPr>
                <w:rFonts w:ascii="Times New Roman"/>
                <w:sz w:val="21"/>
                <w:szCs w:val="21"/>
              </w:rPr>
            </w:pPr>
            <w:r>
              <w:rPr>
                <w:rFonts w:ascii="Times New Roman"/>
                <w:sz w:val="21"/>
                <w:szCs w:val="21"/>
              </w:rPr>
              <w:t>板材</w:t>
            </w:r>
          </w:p>
        </w:tc>
        <w:tc>
          <w:tcPr>
            <w:tcW w:w="857" w:type="pct"/>
            <w:vAlign w:val="center"/>
          </w:tcPr>
          <w:p w14:paraId="2DB2EFB3">
            <w:pPr>
              <w:jc w:val="center"/>
              <w:rPr>
                <w:rFonts w:ascii="Times New Roman"/>
                <w:sz w:val="21"/>
                <w:szCs w:val="21"/>
              </w:rPr>
            </w:pPr>
            <w:r>
              <w:rPr>
                <w:rFonts w:ascii="Times New Roman"/>
                <w:sz w:val="21"/>
                <w:szCs w:val="21"/>
              </w:rPr>
              <w:t>25000吨</w:t>
            </w:r>
          </w:p>
        </w:tc>
        <w:tc>
          <w:tcPr>
            <w:tcW w:w="648" w:type="pct"/>
            <w:vAlign w:val="center"/>
          </w:tcPr>
          <w:p w14:paraId="551055D6">
            <w:pPr>
              <w:jc w:val="center"/>
              <w:rPr>
                <w:rFonts w:ascii="Times New Roman"/>
                <w:sz w:val="21"/>
                <w:szCs w:val="21"/>
              </w:rPr>
            </w:pPr>
            <w:r>
              <w:rPr>
                <w:rFonts w:ascii="Times New Roman"/>
                <w:sz w:val="21"/>
                <w:szCs w:val="21"/>
              </w:rPr>
              <w:t>2000吨</w:t>
            </w:r>
          </w:p>
        </w:tc>
        <w:tc>
          <w:tcPr>
            <w:tcW w:w="1424" w:type="pct"/>
            <w:vAlign w:val="center"/>
          </w:tcPr>
          <w:p w14:paraId="5B4075E3">
            <w:pPr>
              <w:jc w:val="center"/>
              <w:rPr>
                <w:rFonts w:ascii="Times New Roman"/>
                <w:sz w:val="21"/>
                <w:szCs w:val="21"/>
              </w:rPr>
            </w:pPr>
            <w:bookmarkStart w:id="101" w:name="OLE_LINK8"/>
            <w:r>
              <w:rPr>
                <w:rFonts w:ascii="Times New Roman"/>
                <w:sz w:val="21"/>
                <w:szCs w:val="21"/>
              </w:rPr>
              <w:t>下料</w:t>
            </w:r>
            <w:r>
              <w:rPr>
                <w:rFonts w:hint="eastAsia" w:ascii="Times New Roman"/>
                <w:sz w:val="21"/>
                <w:szCs w:val="21"/>
              </w:rPr>
              <w:t>区</w:t>
            </w:r>
            <w:r>
              <w:rPr>
                <w:rFonts w:ascii="Times New Roman"/>
                <w:sz w:val="21"/>
                <w:szCs w:val="21"/>
              </w:rPr>
              <w:t>-</w:t>
            </w:r>
            <w:bookmarkEnd w:id="101"/>
            <w:r>
              <w:rPr>
                <w:rFonts w:ascii="Times New Roman"/>
                <w:sz w:val="21"/>
                <w:szCs w:val="21"/>
              </w:rPr>
              <w:t>板材立体库</w:t>
            </w:r>
          </w:p>
        </w:tc>
        <w:tc>
          <w:tcPr>
            <w:tcW w:w="1011" w:type="pct"/>
            <w:gridSpan w:val="2"/>
            <w:vAlign w:val="center"/>
          </w:tcPr>
          <w:p w14:paraId="7D6CD15C">
            <w:pPr>
              <w:jc w:val="center"/>
              <w:rPr>
                <w:rFonts w:ascii="Times New Roman"/>
                <w:sz w:val="21"/>
                <w:szCs w:val="21"/>
              </w:rPr>
            </w:pPr>
            <w:r>
              <w:rPr>
                <w:rFonts w:hint="eastAsia" w:ascii="Times New Roman"/>
                <w:sz w:val="21"/>
                <w:szCs w:val="21"/>
              </w:rPr>
              <w:t>/</w:t>
            </w:r>
          </w:p>
        </w:tc>
      </w:tr>
      <w:tr w14:paraId="5AD01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vAlign w:val="center"/>
          </w:tcPr>
          <w:p w14:paraId="5AC16AE8">
            <w:pPr>
              <w:jc w:val="center"/>
              <w:rPr>
                <w:rFonts w:ascii="Times New Roman"/>
                <w:sz w:val="21"/>
                <w:szCs w:val="21"/>
              </w:rPr>
            </w:pPr>
            <w:r>
              <w:rPr>
                <w:rFonts w:ascii="Times New Roman"/>
                <w:sz w:val="21"/>
                <w:szCs w:val="21"/>
              </w:rPr>
              <w:t>2.</w:t>
            </w:r>
          </w:p>
        </w:tc>
        <w:tc>
          <w:tcPr>
            <w:tcW w:w="763" w:type="pct"/>
            <w:gridSpan w:val="2"/>
            <w:vAlign w:val="center"/>
          </w:tcPr>
          <w:p w14:paraId="3C8C1107">
            <w:pPr>
              <w:jc w:val="center"/>
              <w:rPr>
                <w:rFonts w:ascii="Times New Roman"/>
                <w:sz w:val="21"/>
                <w:szCs w:val="21"/>
              </w:rPr>
            </w:pPr>
            <w:r>
              <w:rPr>
                <w:rFonts w:ascii="Times New Roman"/>
                <w:sz w:val="21"/>
                <w:szCs w:val="21"/>
              </w:rPr>
              <w:t>型材</w:t>
            </w:r>
          </w:p>
        </w:tc>
        <w:tc>
          <w:tcPr>
            <w:tcW w:w="857" w:type="pct"/>
            <w:vAlign w:val="center"/>
          </w:tcPr>
          <w:p w14:paraId="6159E7BD">
            <w:pPr>
              <w:jc w:val="center"/>
              <w:rPr>
                <w:rFonts w:ascii="Times New Roman"/>
                <w:sz w:val="21"/>
                <w:szCs w:val="21"/>
              </w:rPr>
            </w:pPr>
            <w:r>
              <w:rPr>
                <w:rFonts w:ascii="Times New Roman"/>
                <w:sz w:val="21"/>
                <w:szCs w:val="21"/>
              </w:rPr>
              <w:t>45000吨</w:t>
            </w:r>
          </w:p>
        </w:tc>
        <w:tc>
          <w:tcPr>
            <w:tcW w:w="648" w:type="pct"/>
            <w:vAlign w:val="center"/>
          </w:tcPr>
          <w:p w14:paraId="4EEDD836">
            <w:pPr>
              <w:jc w:val="center"/>
              <w:rPr>
                <w:rFonts w:ascii="Times New Roman"/>
                <w:sz w:val="21"/>
                <w:szCs w:val="21"/>
              </w:rPr>
            </w:pPr>
            <w:r>
              <w:rPr>
                <w:rFonts w:ascii="Times New Roman"/>
                <w:sz w:val="21"/>
                <w:szCs w:val="21"/>
              </w:rPr>
              <w:t>4000吨</w:t>
            </w:r>
          </w:p>
        </w:tc>
        <w:tc>
          <w:tcPr>
            <w:tcW w:w="1424" w:type="pct"/>
            <w:vAlign w:val="center"/>
          </w:tcPr>
          <w:p w14:paraId="5537FABB">
            <w:pPr>
              <w:jc w:val="center"/>
              <w:rPr>
                <w:rFonts w:ascii="Times New Roman"/>
                <w:sz w:val="21"/>
                <w:szCs w:val="21"/>
              </w:rPr>
            </w:pPr>
            <w:r>
              <w:rPr>
                <w:rFonts w:ascii="Times New Roman"/>
                <w:sz w:val="21"/>
                <w:szCs w:val="21"/>
              </w:rPr>
              <w:t>下料</w:t>
            </w:r>
            <w:r>
              <w:rPr>
                <w:rFonts w:hint="eastAsia" w:ascii="Times New Roman"/>
                <w:sz w:val="21"/>
                <w:szCs w:val="21"/>
              </w:rPr>
              <w:t>区</w:t>
            </w:r>
            <w:r>
              <w:rPr>
                <w:rFonts w:ascii="Times New Roman"/>
                <w:sz w:val="21"/>
                <w:szCs w:val="21"/>
              </w:rPr>
              <w:t>-型材立体库</w:t>
            </w:r>
          </w:p>
        </w:tc>
        <w:tc>
          <w:tcPr>
            <w:tcW w:w="1011" w:type="pct"/>
            <w:gridSpan w:val="2"/>
            <w:vAlign w:val="center"/>
          </w:tcPr>
          <w:p w14:paraId="1AB38E45">
            <w:pPr>
              <w:jc w:val="center"/>
              <w:rPr>
                <w:rFonts w:ascii="Times New Roman"/>
                <w:sz w:val="21"/>
                <w:szCs w:val="21"/>
              </w:rPr>
            </w:pPr>
            <w:r>
              <w:rPr>
                <w:rFonts w:hint="eastAsia" w:ascii="Times New Roman"/>
                <w:sz w:val="21"/>
                <w:szCs w:val="21"/>
              </w:rPr>
              <w:t>/</w:t>
            </w:r>
          </w:p>
        </w:tc>
      </w:tr>
      <w:tr w14:paraId="0E060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vAlign w:val="center"/>
          </w:tcPr>
          <w:p w14:paraId="78DEF5FC">
            <w:pPr>
              <w:jc w:val="center"/>
              <w:rPr>
                <w:rFonts w:ascii="Times New Roman"/>
                <w:sz w:val="21"/>
                <w:szCs w:val="21"/>
              </w:rPr>
            </w:pPr>
            <w:r>
              <w:rPr>
                <w:rFonts w:ascii="Times New Roman"/>
                <w:sz w:val="21"/>
                <w:szCs w:val="21"/>
              </w:rPr>
              <w:t>3.</w:t>
            </w:r>
          </w:p>
        </w:tc>
        <w:tc>
          <w:tcPr>
            <w:tcW w:w="763" w:type="pct"/>
            <w:gridSpan w:val="2"/>
            <w:vAlign w:val="center"/>
          </w:tcPr>
          <w:p w14:paraId="11B82668">
            <w:pPr>
              <w:jc w:val="center"/>
              <w:rPr>
                <w:rFonts w:ascii="Times New Roman"/>
                <w:sz w:val="21"/>
                <w:szCs w:val="21"/>
              </w:rPr>
            </w:pPr>
            <w:r>
              <w:rPr>
                <w:rFonts w:ascii="Times New Roman"/>
                <w:sz w:val="21"/>
                <w:szCs w:val="21"/>
              </w:rPr>
              <w:t>坯件（接盘）</w:t>
            </w:r>
          </w:p>
        </w:tc>
        <w:tc>
          <w:tcPr>
            <w:tcW w:w="857" w:type="pct"/>
            <w:vAlign w:val="center"/>
          </w:tcPr>
          <w:p w14:paraId="6B561E4D">
            <w:pPr>
              <w:jc w:val="center"/>
              <w:rPr>
                <w:rFonts w:ascii="Times New Roman"/>
                <w:sz w:val="21"/>
                <w:szCs w:val="21"/>
              </w:rPr>
            </w:pPr>
            <w:r>
              <w:rPr>
                <w:rFonts w:ascii="Times New Roman"/>
                <w:sz w:val="21"/>
                <w:szCs w:val="21"/>
              </w:rPr>
              <w:t>10000件</w:t>
            </w:r>
          </w:p>
        </w:tc>
        <w:tc>
          <w:tcPr>
            <w:tcW w:w="648" w:type="pct"/>
            <w:vAlign w:val="center"/>
          </w:tcPr>
          <w:p w14:paraId="5DF6BC44">
            <w:pPr>
              <w:jc w:val="center"/>
              <w:rPr>
                <w:rFonts w:ascii="Times New Roman"/>
                <w:sz w:val="21"/>
                <w:szCs w:val="21"/>
              </w:rPr>
            </w:pPr>
            <w:r>
              <w:rPr>
                <w:rFonts w:ascii="Times New Roman"/>
                <w:sz w:val="21"/>
                <w:szCs w:val="21"/>
              </w:rPr>
              <w:t>1000件</w:t>
            </w:r>
          </w:p>
        </w:tc>
        <w:tc>
          <w:tcPr>
            <w:tcW w:w="1424" w:type="pct"/>
            <w:vAlign w:val="center"/>
          </w:tcPr>
          <w:p w14:paraId="297137CD">
            <w:pPr>
              <w:jc w:val="center"/>
              <w:rPr>
                <w:rFonts w:ascii="Times New Roman"/>
                <w:sz w:val="21"/>
                <w:szCs w:val="21"/>
              </w:rPr>
            </w:pPr>
            <w:r>
              <w:rPr>
                <w:rFonts w:ascii="Times New Roman"/>
                <w:sz w:val="21"/>
                <w:szCs w:val="21"/>
              </w:rPr>
              <w:t>滚筒加工区-坯件立体库</w:t>
            </w:r>
          </w:p>
        </w:tc>
        <w:tc>
          <w:tcPr>
            <w:tcW w:w="1011" w:type="pct"/>
            <w:gridSpan w:val="2"/>
            <w:vAlign w:val="center"/>
          </w:tcPr>
          <w:p w14:paraId="22593C22">
            <w:pPr>
              <w:jc w:val="center"/>
              <w:rPr>
                <w:rFonts w:ascii="Times New Roman"/>
                <w:sz w:val="21"/>
                <w:szCs w:val="21"/>
              </w:rPr>
            </w:pPr>
            <w:r>
              <w:rPr>
                <w:rFonts w:hint="eastAsia" w:ascii="Times New Roman"/>
                <w:sz w:val="21"/>
                <w:szCs w:val="21"/>
              </w:rPr>
              <w:t>/</w:t>
            </w:r>
          </w:p>
        </w:tc>
      </w:tr>
      <w:tr w14:paraId="550A6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vAlign w:val="center"/>
          </w:tcPr>
          <w:p w14:paraId="655AF138">
            <w:pPr>
              <w:jc w:val="center"/>
              <w:rPr>
                <w:rFonts w:ascii="Times New Roman"/>
                <w:sz w:val="21"/>
                <w:szCs w:val="21"/>
              </w:rPr>
            </w:pPr>
            <w:r>
              <w:rPr>
                <w:rFonts w:ascii="Times New Roman"/>
                <w:sz w:val="21"/>
                <w:szCs w:val="21"/>
              </w:rPr>
              <w:t>4.</w:t>
            </w:r>
          </w:p>
        </w:tc>
        <w:tc>
          <w:tcPr>
            <w:tcW w:w="763" w:type="pct"/>
            <w:gridSpan w:val="2"/>
            <w:vAlign w:val="center"/>
          </w:tcPr>
          <w:p w14:paraId="39019AF2">
            <w:pPr>
              <w:jc w:val="center"/>
              <w:rPr>
                <w:rFonts w:ascii="Times New Roman"/>
                <w:sz w:val="21"/>
                <w:szCs w:val="21"/>
              </w:rPr>
            </w:pPr>
            <w:r>
              <w:rPr>
                <w:rFonts w:ascii="Times New Roman"/>
                <w:sz w:val="21"/>
                <w:szCs w:val="21"/>
              </w:rPr>
              <w:t>外购筒皮</w:t>
            </w:r>
          </w:p>
        </w:tc>
        <w:tc>
          <w:tcPr>
            <w:tcW w:w="857" w:type="pct"/>
            <w:vAlign w:val="center"/>
          </w:tcPr>
          <w:p w14:paraId="7AC2BB5D">
            <w:pPr>
              <w:jc w:val="center"/>
              <w:rPr>
                <w:rFonts w:ascii="Times New Roman"/>
                <w:sz w:val="21"/>
                <w:szCs w:val="21"/>
              </w:rPr>
            </w:pPr>
            <w:r>
              <w:rPr>
                <w:rFonts w:ascii="Times New Roman"/>
                <w:sz w:val="21"/>
                <w:szCs w:val="21"/>
              </w:rPr>
              <w:t>250件/a</w:t>
            </w:r>
          </w:p>
        </w:tc>
        <w:tc>
          <w:tcPr>
            <w:tcW w:w="648" w:type="pct"/>
            <w:vAlign w:val="center"/>
          </w:tcPr>
          <w:p w14:paraId="52037F19">
            <w:pPr>
              <w:jc w:val="center"/>
              <w:rPr>
                <w:rFonts w:ascii="Times New Roman"/>
                <w:sz w:val="21"/>
                <w:szCs w:val="21"/>
              </w:rPr>
            </w:pPr>
            <w:r>
              <w:rPr>
                <w:rFonts w:ascii="Times New Roman"/>
                <w:sz w:val="21"/>
                <w:szCs w:val="21"/>
              </w:rPr>
              <w:t>25件</w:t>
            </w:r>
          </w:p>
        </w:tc>
        <w:tc>
          <w:tcPr>
            <w:tcW w:w="1424" w:type="pct"/>
            <w:vAlign w:val="center"/>
          </w:tcPr>
          <w:p w14:paraId="5A1309BF">
            <w:pPr>
              <w:jc w:val="center"/>
              <w:rPr>
                <w:rFonts w:ascii="Times New Roman"/>
                <w:sz w:val="21"/>
                <w:szCs w:val="21"/>
              </w:rPr>
            </w:pPr>
            <w:r>
              <w:rPr>
                <w:rFonts w:ascii="Times New Roman"/>
                <w:sz w:val="21"/>
                <w:szCs w:val="21"/>
              </w:rPr>
              <w:t>滚筒加工区-外购筒皮库</w:t>
            </w:r>
          </w:p>
        </w:tc>
        <w:tc>
          <w:tcPr>
            <w:tcW w:w="1011" w:type="pct"/>
            <w:gridSpan w:val="2"/>
            <w:vAlign w:val="center"/>
          </w:tcPr>
          <w:p w14:paraId="1E80BB4E">
            <w:pPr>
              <w:jc w:val="center"/>
              <w:rPr>
                <w:rFonts w:ascii="Times New Roman"/>
                <w:sz w:val="21"/>
                <w:szCs w:val="21"/>
              </w:rPr>
            </w:pPr>
            <w:r>
              <w:rPr>
                <w:rFonts w:hint="eastAsia" w:ascii="Times New Roman"/>
                <w:sz w:val="21"/>
                <w:szCs w:val="21"/>
              </w:rPr>
              <w:t>/</w:t>
            </w:r>
          </w:p>
        </w:tc>
      </w:tr>
      <w:tr w14:paraId="02C1F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vAlign w:val="center"/>
          </w:tcPr>
          <w:p w14:paraId="5BB41625">
            <w:pPr>
              <w:jc w:val="center"/>
              <w:rPr>
                <w:rFonts w:ascii="Times New Roman"/>
                <w:sz w:val="21"/>
                <w:szCs w:val="21"/>
              </w:rPr>
            </w:pPr>
            <w:r>
              <w:rPr>
                <w:rFonts w:ascii="Times New Roman"/>
                <w:sz w:val="21"/>
                <w:szCs w:val="21"/>
              </w:rPr>
              <w:t>5.</w:t>
            </w:r>
          </w:p>
        </w:tc>
        <w:tc>
          <w:tcPr>
            <w:tcW w:w="763" w:type="pct"/>
            <w:gridSpan w:val="2"/>
            <w:vAlign w:val="center"/>
          </w:tcPr>
          <w:p w14:paraId="2FD537E7">
            <w:pPr>
              <w:jc w:val="center"/>
              <w:rPr>
                <w:rFonts w:ascii="Times New Roman"/>
                <w:sz w:val="21"/>
                <w:szCs w:val="21"/>
              </w:rPr>
            </w:pPr>
            <w:r>
              <w:rPr>
                <w:rFonts w:ascii="Times New Roman"/>
                <w:sz w:val="21"/>
                <w:szCs w:val="21"/>
              </w:rPr>
              <w:t>外购轴</w:t>
            </w:r>
          </w:p>
        </w:tc>
        <w:tc>
          <w:tcPr>
            <w:tcW w:w="857" w:type="pct"/>
            <w:vAlign w:val="center"/>
          </w:tcPr>
          <w:p w14:paraId="59762984">
            <w:pPr>
              <w:jc w:val="center"/>
              <w:rPr>
                <w:rFonts w:ascii="Times New Roman"/>
                <w:sz w:val="21"/>
                <w:szCs w:val="21"/>
              </w:rPr>
            </w:pPr>
            <w:r>
              <w:rPr>
                <w:rFonts w:ascii="Times New Roman"/>
                <w:sz w:val="21"/>
                <w:szCs w:val="21"/>
              </w:rPr>
              <w:t>3000件/a</w:t>
            </w:r>
          </w:p>
        </w:tc>
        <w:tc>
          <w:tcPr>
            <w:tcW w:w="648" w:type="pct"/>
            <w:vAlign w:val="center"/>
          </w:tcPr>
          <w:p w14:paraId="089ACC78">
            <w:pPr>
              <w:jc w:val="center"/>
              <w:rPr>
                <w:rFonts w:ascii="Times New Roman"/>
                <w:sz w:val="21"/>
                <w:szCs w:val="21"/>
              </w:rPr>
            </w:pPr>
            <w:r>
              <w:rPr>
                <w:rFonts w:ascii="Times New Roman"/>
                <w:sz w:val="21"/>
                <w:szCs w:val="21"/>
              </w:rPr>
              <w:t>300件</w:t>
            </w:r>
          </w:p>
        </w:tc>
        <w:tc>
          <w:tcPr>
            <w:tcW w:w="1424" w:type="pct"/>
            <w:vAlign w:val="center"/>
          </w:tcPr>
          <w:p w14:paraId="13A84551">
            <w:pPr>
              <w:jc w:val="center"/>
              <w:rPr>
                <w:rFonts w:ascii="Times New Roman"/>
                <w:sz w:val="21"/>
                <w:szCs w:val="21"/>
              </w:rPr>
            </w:pPr>
            <w:r>
              <w:rPr>
                <w:rFonts w:ascii="Times New Roman"/>
                <w:sz w:val="21"/>
                <w:szCs w:val="21"/>
              </w:rPr>
              <w:t>滚筒加工区-外购轴存储</w:t>
            </w:r>
          </w:p>
        </w:tc>
        <w:tc>
          <w:tcPr>
            <w:tcW w:w="1011" w:type="pct"/>
            <w:gridSpan w:val="2"/>
            <w:vAlign w:val="center"/>
          </w:tcPr>
          <w:p w14:paraId="718FEBF9">
            <w:pPr>
              <w:jc w:val="center"/>
              <w:rPr>
                <w:rFonts w:ascii="Times New Roman"/>
                <w:sz w:val="21"/>
                <w:szCs w:val="21"/>
              </w:rPr>
            </w:pPr>
            <w:r>
              <w:rPr>
                <w:rFonts w:hint="eastAsia" w:ascii="Times New Roman"/>
                <w:sz w:val="21"/>
                <w:szCs w:val="21"/>
              </w:rPr>
              <w:t>/</w:t>
            </w:r>
          </w:p>
        </w:tc>
      </w:tr>
      <w:tr w14:paraId="320E2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07610ED9">
            <w:pPr>
              <w:jc w:val="center"/>
              <w:rPr>
                <w:rFonts w:ascii="Times New Roman"/>
                <w:sz w:val="21"/>
                <w:szCs w:val="21"/>
              </w:rPr>
            </w:pPr>
            <w:r>
              <w:rPr>
                <w:rFonts w:ascii="Times New Roman"/>
                <w:sz w:val="21"/>
                <w:szCs w:val="21"/>
              </w:rPr>
              <w:t>6.</w:t>
            </w:r>
          </w:p>
        </w:tc>
        <w:tc>
          <w:tcPr>
            <w:tcW w:w="763" w:type="pct"/>
            <w:gridSpan w:val="2"/>
            <w:shd w:val="clear" w:color="auto" w:fill="auto"/>
            <w:vAlign w:val="center"/>
          </w:tcPr>
          <w:p w14:paraId="3AF0857D">
            <w:pPr>
              <w:jc w:val="center"/>
              <w:rPr>
                <w:rFonts w:ascii="Times New Roman"/>
                <w:sz w:val="21"/>
                <w:szCs w:val="21"/>
              </w:rPr>
            </w:pPr>
            <w:r>
              <w:rPr>
                <w:rFonts w:ascii="Times New Roman"/>
                <w:sz w:val="21"/>
                <w:szCs w:val="21"/>
              </w:rPr>
              <w:t>高频焊管</w:t>
            </w:r>
          </w:p>
        </w:tc>
        <w:tc>
          <w:tcPr>
            <w:tcW w:w="857" w:type="pct"/>
            <w:shd w:val="clear" w:color="auto" w:fill="auto"/>
            <w:vAlign w:val="center"/>
          </w:tcPr>
          <w:p w14:paraId="2C5EA078">
            <w:pPr>
              <w:jc w:val="center"/>
              <w:rPr>
                <w:rFonts w:ascii="Times New Roman"/>
                <w:sz w:val="21"/>
                <w:szCs w:val="21"/>
              </w:rPr>
            </w:pPr>
            <w:r>
              <w:rPr>
                <w:rFonts w:ascii="Times New Roman"/>
                <w:sz w:val="21"/>
                <w:szCs w:val="21"/>
              </w:rPr>
              <w:t>1000000件</w:t>
            </w:r>
          </w:p>
        </w:tc>
        <w:tc>
          <w:tcPr>
            <w:tcW w:w="648" w:type="pct"/>
            <w:shd w:val="clear" w:color="auto" w:fill="auto"/>
            <w:vAlign w:val="center"/>
          </w:tcPr>
          <w:p w14:paraId="03052D89">
            <w:pPr>
              <w:jc w:val="center"/>
              <w:rPr>
                <w:rFonts w:ascii="Times New Roman"/>
                <w:sz w:val="21"/>
                <w:szCs w:val="21"/>
              </w:rPr>
            </w:pPr>
            <w:r>
              <w:rPr>
                <w:rFonts w:ascii="Times New Roman"/>
                <w:sz w:val="21"/>
                <w:szCs w:val="21"/>
              </w:rPr>
              <w:t>940t</w:t>
            </w:r>
          </w:p>
        </w:tc>
        <w:tc>
          <w:tcPr>
            <w:tcW w:w="1424" w:type="pct"/>
            <w:shd w:val="clear" w:color="auto" w:fill="auto"/>
            <w:vAlign w:val="center"/>
          </w:tcPr>
          <w:p w14:paraId="4BB35DED">
            <w:pPr>
              <w:jc w:val="center"/>
              <w:rPr>
                <w:rFonts w:ascii="Times New Roman"/>
                <w:sz w:val="21"/>
                <w:szCs w:val="21"/>
              </w:rPr>
            </w:pPr>
            <w:r>
              <w:rPr>
                <w:rFonts w:ascii="Times New Roman"/>
                <w:sz w:val="21"/>
                <w:szCs w:val="21"/>
              </w:rPr>
              <w:t>托辊</w:t>
            </w:r>
            <w:r>
              <w:rPr>
                <w:rFonts w:hint="eastAsia" w:ascii="Times New Roman"/>
                <w:sz w:val="21"/>
                <w:szCs w:val="21"/>
              </w:rPr>
              <w:t>区</w:t>
            </w:r>
            <w:r>
              <w:rPr>
                <w:rFonts w:ascii="Times New Roman"/>
                <w:sz w:val="21"/>
                <w:szCs w:val="21"/>
              </w:rPr>
              <w:t>库房</w:t>
            </w:r>
          </w:p>
        </w:tc>
        <w:tc>
          <w:tcPr>
            <w:tcW w:w="1011" w:type="pct"/>
            <w:gridSpan w:val="2"/>
            <w:shd w:val="clear" w:color="auto" w:fill="auto"/>
            <w:vAlign w:val="center"/>
          </w:tcPr>
          <w:p w14:paraId="13A7749F">
            <w:pPr>
              <w:jc w:val="center"/>
              <w:rPr>
                <w:rFonts w:ascii="Times New Roman"/>
                <w:sz w:val="21"/>
                <w:szCs w:val="21"/>
              </w:rPr>
            </w:pPr>
            <w:r>
              <w:rPr>
                <w:rFonts w:hint="eastAsia" w:ascii="Times New Roman"/>
                <w:sz w:val="21"/>
                <w:szCs w:val="21"/>
              </w:rPr>
              <w:t>/</w:t>
            </w:r>
          </w:p>
        </w:tc>
      </w:tr>
      <w:tr w14:paraId="35463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4E881F47">
            <w:pPr>
              <w:jc w:val="center"/>
              <w:rPr>
                <w:rFonts w:ascii="Times New Roman"/>
                <w:sz w:val="21"/>
                <w:szCs w:val="21"/>
              </w:rPr>
            </w:pPr>
            <w:r>
              <w:rPr>
                <w:rFonts w:ascii="Times New Roman"/>
                <w:sz w:val="21"/>
                <w:szCs w:val="21"/>
              </w:rPr>
              <w:t>7.</w:t>
            </w:r>
          </w:p>
        </w:tc>
        <w:tc>
          <w:tcPr>
            <w:tcW w:w="763" w:type="pct"/>
            <w:gridSpan w:val="2"/>
            <w:shd w:val="clear" w:color="auto" w:fill="auto"/>
            <w:vAlign w:val="center"/>
          </w:tcPr>
          <w:p w14:paraId="7F3D4D57">
            <w:pPr>
              <w:jc w:val="center"/>
              <w:rPr>
                <w:rFonts w:ascii="Times New Roman"/>
                <w:sz w:val="21"/>
                <w:szCs w:val="21"/>
              </w:rPr>
            </w:pPr>
            <w:r>
              <w:rPr>
                <w:rFonts w:ascii="Times New Roman"/>
                <w:sz w:val="21"/>
                <w:szCs w:val="21"/>
              </w:rPr>
              <w:t>拉光轴</w:t>
            </w:r>
          </w:p>
        </w:tc>
        <w:tc>
          <w:tcPr>
            <w:tcW w:w="857" w:type="pct"/>
            <w:shd w:val="clear" w:color="auto" w:fill="auto"/>
            <w:vAlign w:val="center"/>
          </w:tcPr>
          <w:p w14:paraId="371156C5">
            <w:pPr>
              <w:jc w:val="center"/>
              <w:rPr>
                <w:rFonts w:ascii="Times New Roman"/>
                <w:sz w:val="21"/>
                <w:szCs w:val="21"/>
              </w:rPr>
            </w:pPr>
            <w:r>
              <w:rPr>
                <w:rFonts w:ascii="Times New Roman"/>
                <w:sz w:val="21"/>
                <w:szCs w:val="21"/>
              </w:rPr>
              <w:t>1000000件</w:t>
            </w:r>
          </w:p>
        </w:tc>
        <w:tc>
          <w:tcPr>
            <w:tcW w:w="648" w:type="pct"/>
            <w:shd w:val="clear" w:color="auto" w:fill="auto"/>
            <w:vAlign w:val="center"/>
          </w:tcPr>
          <w:p w14:paraId="2CDE80E9">
            <w:pPr>
              <w:jc w:val="center"/>
              <w:rPr>
                <w:rFonts w:ascii="Times New Roman"/>
                <w:sz w:val="21"/>
                <w:szCs w:val="21"/>
              </w:rPr>
            </w:pPr>
            <w:r>
              <w:rPr>
                <w:rFonts w:ascii="Times New Roman"/>
                <w:sz w:val="21"/>
                <w:szCs w:val="21"/>
              </w:rPr>
              <w:t>280t</w:t>
            </w:r>
          </w:p>
        </w:tc>
        <w:tc>
          <w:tcPr>
            <w:tcW w:w="1424" w:type="pct"/>
            <w:shd w:val="clear" w:color="auto" w:fill="auto"/>
            <w:vAlign w:val="center"/>
          </w:tcPr>
          <w:p w14:paraId="6169FA8B">
            <w:pPr>
              <w:jc w:val="center"/>
              <w:rPr>
                <w:rFonts w:ascii="Times New Roman"/>
                <w:sz w:val="21"/>
                <w:szCs w:val="21"/>
              </w:rPr>
            </w:pPr>
            <w:r>
              <w:rPr>
                <w:rFonts w:ascii="Times New Roman"/>
                <w:sz w:val="21"/>
                <w:szCs w:val="21"/>
              </w:rPr>
              <w:t>托辊</w:t>
            </w:r>
            <w:r>
              <w:rPr>
                <w:rFonts w:hint="eastAsia" w:ascii="Times New Roman"/>
                <w:sz w:val="21"/>
                <w:szCs w:val="21"/>
              </w:rPr>
              <w:t>区</w:t>
            </w:r>
            <w:r>
              <w:rPr>
                <w:rFonts w:ascii="Times New Roman"/>
                <w:sz w:val="21"/>
                <w:szCs w:val="21"/>
              </w:rPr>
              <w:t>库房</w:t>
            </w:r>
          </w:p>
        </w:tc>
        <w:tc>
          <w:tcPr>
            <w:tcW w:w="1011" w:type="pct"/>
            <w:gridSpan w:val="2"/>
            <w:shd w:val="clear" w:color="auto" w:fill="auto"/>
            <w:vAlign w:val="center"/>
          </w:tcPr>
          <w:p w14:paraId="272A6434">
            <w:pPr>
              <w:jc w:val="center"/>
              <w:rPr>
                <w:rFonts w:ascii="Times New Roman"/>
                <w:sz w:val="21"/>
                <w:szCs w:val="21"/>
              </w:rPr>
            </w:pPr>
            <w:r>
              <w:rPr>
                <w:rFonts w:hint="eastAsia" w:ascii="Times New Roman"/>
                <w:sz w:val="21"/>
                <w:szCs w:val="21"/>
              </w:rPr>
              <w:t>/</w:t>
            </w:r>
          </w:p>
        </w:tc>
      </w:tr>
      <w:tr w14:paraId="29388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5D67D0A4">
            <w:pPr>
              <w:jc w:val="center"/>
              <w:rPr>
                <w:rFonts w:ascii="Times New Roman"/>
                <w:sz w:val="21"/>
                <w:szCs w:val="21"/>
              </w:rPr>
            </w:pPr>
            <w:r>
              <w:rPr>
                <w:rFonts w:ascii="Times New Roman"/>
                <w:sz w:val="21"/>
                <w:szCs w:val="21"/>
              </w:rPr>
              <w:t>8.</w:t>
            </w:r>
          </w:p>
        </w:tc>
        <w:tc>
          <w:tcPr>
            <w:tcW w:w="763" w:type="pct"/>
            <w:gridSpan w:val="2"/>
            <w:shd w:val="clear" w:color="auto" w:fill="auto"/>
            <w:vAlign w:val="center"/>
          </w:tcPr>
          <w:p w14:paraId="4AC96B32">
            <w:pPr>
              <w:jc w:val="center"/>
              <w:rPr>
                <w:rFonts w:ascii="Times New Roman"/>
                <w:sz w:val="21"/>
                <w:szCs w:val="21"/>
              </w:rPr>
            </w:pPr>
            <w:r>
              <w:rPr>
                <w:rFonts w:ascii="Times New Roman"/>
                <w:sz w:val="21"/>
                <w:szCs w:val="21"/>
              </w:rPr>
              <w:t>2#锂基脂</w:t>
            </w:r>
          </w:p>
        </w:tc>
        <w:tc>
          <w:tcPr>
            <w:tcW w:w="857" w:type="pct"/>
            <w:shd w:val="clear" w:color="auto" w:fill="auto"/>
            <w:vAlign w:val="center"/>
          </w:tcPr>
          <w:p w14:paraId="77D3F58E">
            <w:pPr>
              <w:jc w:val="center"/>
              <w:rPr>
                <w:rFonts w:ascii="Times New Roman"/>
                <w:sz w:val="21"/>
                <w:szCs w:val="21"/>
              </w:rPr>
            </w:pPr>
            <w:r>
              <w:rPr>
                <w:rFonts w:ascii="Times New Roman"/>
                <w:sz w:val="21"/>
                <w:szCs w:val="21"/>
              </w:rPr>
              <w:t>6960kg/a</w:t>
            </w:r>
          </w:p>
        </w:tc>
        <w:tc>
          <w:tcPr>
            <w:tcW w:w="648" w:type="pct"/>
            <w:shd w:val="clear" w:color="auto" w:fill="auto"/>
            <w:vAlign w:val="center"/>
          </w:tcPr>
          <w:p w14:paraId="471B2710">
            <w:pPr>
              <w:jc w:val="center"/>
              <w:rPr>
                <w:rFonts w:ascii="Times New Roman"/>
                <w:sz w:val="21"/>
                <w:szCs w:val="21"/>
              </w:rPr>
            </w:pPr>
            <w:r>
              <w:rPr>
                <w:rFonts w:ascii="Times New Roman"/>
                <w:sz w:val="21"/>
                <w:szCs w:val="21"/>
              </w:rPr>
              <w:t>580kg</w:t>
            </w:r>
          </w:p>
        </w:tc>
        <w:tc>
          <w:tcPr>
            <w:tcW w:w="1424" w:type="pct"/>
            <w:shd w:val="clear" w:color="auto" w:fill="auto"/>
            <w:vAlign w:val="center"/>
          </w:tcPr>
          <w:p w14:paraId="6AB2290E">
            <w:pPr>
              <w:jc w:val="center"/>
              <w:rPr>
                <w:rFonts w:ascii="Times New Roman"/>
                <w:sz w:val="21"/>
                <w:szCs w:val="21"/>
              </w:rPr>
            </w:pPr>
            <w:r>
              <w:rPr>
                <w:rFonts w:ascii="Times New Roman"/>
                <w:sz w:val="21"/>
                <w:szCs w:val="21"/>
              </w:rPr>
              <w:t>托辊</w:t>
            </w:r>
            <w:r>
              <w:rPr>
                <w:rFonts w:hint="eastAsia" w:ascii="Times New Roman"/>
                <w:sz w:val="21"/>
                <w:szCs w:val="21"/>
              </w:rPr>
              <w:t>区</w:t>
            </w:r>
            <w:r>
              <w:rPr>
                <w:rFonts w:ascii="Times New Roman"/>
                <w:sz w:val="21"/>
                <w:szCs w:val="21"/>
              </w:rPr>
              <w:t>库房</w:t>
            </w:r>
          </w:p>
        </w:tc>
        <w:tc>
          <w:tcPr>
            <w:tcW w:w="1011" w:type="pct"/>
            <w:gridSpan w:val="2"/>
            <w:shd w:val="clear" w:color="auto" w:fill="auto"/>
            <w:vAlign w:val="center"/>
          </w:tcPr>
          <w:p w14:paraId="5EA7C12C">
            <w:pPr>
              <w:jc w:val="center"/>
              <w:rPr>
                <w:rFonts w:ascii="Times New Roman"/>
                <w:sz w:val="21"/>
                <w:szCs w:val="21"/>
              </w:rPr>
            </w:pPr>
            <w:r>
              <w:rPr>
                <w:rFonts w:hint="eastAsia" w:ascii="Times New Roman"/>
                <w:sz w:val="21"/>
                <w:szCs w:val="21"/>
              </w:rPr>
              <w:t>膏状，20</w:t>
            </w:r>
            <w:r>
              <w:rPr>
                <w:rFonts w:ascii="Times New Roman"/>
                <w:sz w:val="21"/>
                <w:szCs w:val="21"/>
              </w:rPr>
              <w:t>kg/桶</w:t>
            </w:r>
          </w:p>
        </w:tc>
      </w:tr>
      <w:tr w14:paraId="0192D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4" w:type="pct"/>
            <w:shd w:val="clear" w:color="auto" w:fill="auto"/>
            <w:vAlign w:val="center"/>
          </w:tcPr>
          <w:p w14:paraId="3FC5B976">
            <w:pPr>
              <w:jc w:val="center"/>
              <w:rPr>
                <w:rFonts w:ascii="Times New Roman"/>
                <w:sz w:val="21"/>
                <w:szCs w:val="21"/>
              </w:rPr>
            </w:pPr>
            <w:r>
              <w:rPr>
                <w:rFonts w:ascii="Times New Roman"/>
                <w:sz w:val="21"/>
                <w:szCs w:val="21"/>
              </w:rPr>
              <w:t>9.</w:t>
            </w:r>
          </w:p>
        </w:tc>
        <w:tc>
          <w:tcPr>
            <w:tcW w:w="763" w:type="pct"/>
            <w:gridSpan w:val="2"/>
            <w:vAlign w:val="center"/>
          </w:tcPr>
          <w:p w14:paraId="31180A7E">
            <w:pPr>
              <w:jc w:val="center"/>
              <w:rPr>
                <w:rFonts w:ascii="Times New Roman"/>
                <w:sz w:val="21"/>
                <w:szCs w:val="21"/>
              </w:rPr>
            </w:pPr>
            <w:r>
              <w:rPr>
                <w:rFonts w:ascii="Times New Roman"/>
                <w:sz w:val="21"/>
                <w:szCs w:val="21"/>
              </w:rPr>
              <w:t>标准件</w:t>
            </w:r>
          </w:p>
        </w:tc>
        <w:tc>
          <w:tcPr>
            <w:tcW w:w="857" w:type="pct"/>
            <w:vAlign w:val="center"/>
          </w:tcPr>
          <w:p w14:paraId="62214640">
            <w:pPr>
              <w:jc w:val="center"/>
              <w:rPr>
                <w:rFonts w:ascii="Times New Roman"/>
                <w:sz w:val="21"/>
                <w:szCs w:val="21"/>
              </w:rPr>
            </w:pPr>
            <w:r>
              <w:rPr>
                <w:rFonts w:ascii="Times New Roman"/>
                <w:sz w:val="21"/>
                <w:szCs w:val="21"/>
              </w:rPr>
              <w:t>1800000件/a</w:t>
            </w:r>
          </w:p>
        </w:tc>
        <w:tc>
          <w:tcPr>
            <w:tcW w:w="648" w:type="pct"/>
            <w:vAlign w:val="center"/>
          </w:tcPr>
          <w:p w14:paraId="6A7478BE">
            <w:pPr>
              <w:jc w:val="center"/>
              <w:rPr>
                <w:rFonts w:ascii="Times New Roman"/>
                <w:sz w:val="21"/>
                <w:szCs w:val="21"/>
              </w:rPr>
            </w:pPr>
            <w:r>
              <w:rPr>
                <w:rFonts w:ascii="Times New Roman"/>
                <w:sz w:val="21"/>
                <w:szCs w:val="21"/>
              </w:rPr>
              <w:t>1800000件</w:t>
            </w:r>
          </w:p>
        </w:tc>
        <w:tc>
          <w:tcPr>
            <w:tcW w:w="1424" w:type="pct"/>
            <w:vAlign w:val="center"/>
          </w:tcPr>
          <w:p w14:paraId="56DAA358">
            <w:pPr>
              <w:jc w:val="center"/>
              <w:rPr>
                <w:rFonts w:ascii="Times New Roman"/>
                <w:sz w:val="21"/>
                <w:szCs w:val="21"/>
              </w:rPr>
            </w:pPr>
            <w:r>
              <w:rPr>
                <w:rFonts w:ascii="Times New Roman"/>
                <w:sz w:val="21"/>
                <w:szCs w:val="21"/>
              </w:rPr>
              <w:t>总装配件库</w:t>
            </w:r>
          </w:p>
        </w:tc>
        <w:tc>
          <w:tcPr>
            <w:tcW w:w="1011" w:type="pct"/>
            <w:gridSpan w:val="2"/>
            <w:vAlign w:val="center"/>
          </w:tcPr>
          <w:p w14:paraId="06DF7E5B">
            <w:pPr>
              <w:jc w:val="center"/>
              <w:rPr>
                <w:rFonts w:ascii="Times New Roman"/>
                <w:sz w:val="21"/>
                <w:szCs w:val="21"/>
              </w:rPr>
            </w:pPr>
            <w:r>
              <w:rPr>
                <w:rFonts w:hint="eastAsia" w:ascii="Times New Roman"/>
                <w:sz w:val="21"/>
                <w:szCs w:val="21"/>
              </w:rPr>
              <w:t>/</w:t>
            </w:r>
          </w:p>
        </w:tc>
      </w:tr>
      <w:tr w14:paraId="1E12B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710131DC">
            <w:pPr>
              <w:jc w:val="center"/>
              <w:rPr>
                <w:rFonts w:ascii="Times New Roman"/>
                <w:sz w:val="21"/>
                <w:szCs w:val="21"/>
              </w:rPr>
            </w:pPr>
            <w:r>
              <w:rPr>
                <w:rFonts w:ascii="Times New Roman"/>
                <w:sz w:val="21"/>
                <w:szCs w:val="21"/>
              </w:rPr>
              <w:t>10.</w:t>
            </w:r>
          </w:p>
        </w:tc>
        <w:tc>
          <w:tcPr>
            <w:tcW w:w="763" w:type="pct"/>
            <w:gridSpan w:val="2"/>
            <w:vAlign w:val="center"/>
          </w:tcPr>
          <w:p w14:paraId="66A29018">
            <w:pPr>
              <w:jc w:val="center"/>
              <w:rPr>
                <w:rFonts w:ascii="Times New Roman"/>
                <w:sz w:val="21"/>
                <w:szCs w:val="21"/>
              </w:rPr>
            </w:pPr>
            <w:r>
              <w:rPr>
                <w:rFonts w:ascii="Times New Roman"/>
                <w:sz w:val="21"/>
                <w:szCs w:val="21"/>
              </w:rPr>
              <w:t>总装配件</w:t>
            </w:r>
          </w:p>
        </w:tc>
        <w:tc>
          <w:tcPr>
            <w:tcW w:w="857" w:type="pct"/>
            <w:vAlign w:val="center"/>
          </w:tcPr>
          <w:p w14:paraId="54D7EEC4">
            <w:pPr>
              <w:jc w:val="center"/>
              <w:rPr>
                <w:rFonts w:ascii="Times New Roman"/>
                <w:sz w:val="21"/>
                <w:szCs w:val="21"/>
              </w:rPr>
            </w:pPr>
            <w:r>
              <w:rPr>
                <w:rFonts w:ascii="Times New Roman"/>
                <w:sz w:val="21"/>
                <w:szCs w:val="21"/>
              </w:rPr>
              <w:t>150000件/a</w:t>
            </w:r>
          </w:p>
        </w:tc>
        <w:tc>
          <w:tcPr>
            <w:tcW w:w="648" w:type="pct"/>
            <w:vAlign w:val="center"/>
          </w:tcPr>
          <w:p w14:paraId="241698D0">
            <w:pPr>
              <w:jc w:val="center"/>
              <w:rPr>
                <w:rFonts w:ascii="Times New Roman"/>
                <w:sz w:val="21"/>
                <w:szCs w:val="21"/>
              </w:rPr>
            </w:pPr>
            <w:r>
              <w:rPr>
                <w:rFonts w:ascii="Times New Roman"/>
                <w:sz w:val="21"/>
                <w:szCs w:val="21"/>
              </w:rPr>
              <w:t>40000件</w:t>
            </w:r>
          </w:p>
        </w:tc>
        <w:tc>
          <w:tcPr>
            <w:tcW w:w="1424" w:type="pct"/>
            <w:vAlign w:val="center"/>
          </w:tcPr>
          <w:p w14:paraId="24F866F0">
            <w:pPr>
              <w:jc w:val="center"/>
              <w:rPr>
                <w:rFonts w:ascii="Times New Roman"/>
                <w:sz w:val="21"/>
                <w:szCs w:val="21"/>
              </w:rPr>
            </w:pPr>
            <w:r>
              <w:rPr>
                <w:rFonts w:ascii="Times New Roman"/>
                <w:sz w:val="21"/>
                <w:szCs w:val="21"/>
              </w:rPr>
              <w:t>总装配件库</w:t>
            </w:r>
          </w:p>
        </w:tc>
        <w:tc>
          <w:tcPr>
            <w:tcW w:w="1011" w:type="pct"/>
            <w:gridSpan w:val="2"/>
            <w:vAlign w:val="center"/>
          </w:tcPr>
          <w:p w14:paraId="2F20D810">
            <w:pPr>
              <w:jc w:val="center"/>
              <w:rPr>
                <w:rFonts w:ascii="Times New Roman"/>
                <w:sz w:val="21"/>
                <w:szCs w:val="21"/>
              </w:rPr>
            </w:pPr>
            <w:r>
              <w:rPr>
                <w:rFonts w:hint="eastAsia" w:ascii="Times New Roman"/>
                <w:sz w:val="21"/>
                <w:szCs w:val="21"/>
              </w:rPr>
              <w:t>/</w:t>
            </w:r>
          </w:p>
        </w:tc>
      </w:tr>
      <w:tr w14:paraId="672F3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4" w:type="pct"/>
            <w:shd w:val="clear" w:color="auto" w:fill="auto"/>
            <w:vAlign w:val="center"/>
          </w:tcPr>
          <w:p w14:paraId="519D039C">
            <w:pPr>
              <w:jc w:val="center"/>
              <w:rPr>
                <w:rFonts w:ascii="Times New Roman"/>
                <w:sz w:val="21"/>
                <w:szCs w:val="21"/>
              </w:rPr>
            </w:pPr>
            <w:r>
              <w:rPr>
                <w:rFonts w:ascii="Times New Roman"/>
                <w:sz w:val="21"/>
                <w:szCs w:val="21"/>
              </w:rPr>
              <w:t>11.</w:t>
            </w:r>
          </w:p>
        </w:tc>
        <w:tc>
          <w:tcPr>
            <w:tcW w:w="763" w:type="pct"/>
            <w:gridSpan w:val="2"/>
            <w:vAlign w:val="center"/>
          </w:tcPr>
          <w:p w14:paraId="18F784E0">
            <w:pPr>
              <w:jc w:val="center"/>
              <w:rPr>
                <w:rFonts w:ascii="Times New Roman"/>
                <w:sz w:val="21"/>
                <w:szCs w:val="21"/>
              </w:rPr>
            </w:pPr>
            <w:r>
              <w:rPr>
                <w:rFonts w:ascii="Times New Roman"/>
                <w:sz w:val="21"/>
                <w:szCs w:val="21"/>
              </w:rPr>
              <w:t>环氧富锌底漆</w:t>
            </w:r>
          </w:p>
        </w:tc>
        <w:tc>
          <w:tcPr>
            <w:tcW w:w="857" w:type="pct"/>
            <w:shd w:val="clear" w:color="auto" w:fill="auto"/>
            <w:vAlign w:val="center"/>
          </w:tcPr>
          <w:p w14:paraId="44D46D2C">
            <w:pPr>
              <w:jc w:val="center"/>
              <w:rPr>
                <w:rFonts w:ascii="Times New Roman"/>
                <w:sz w:val="21"/>
                <w:szCs w:val="21"/>
              </w:rPr>
            </w:pPr>
            <w:r>
              <w:rPr>
                <w:rFonts w:hint="eastAsia" w:ascii="Times New Roman"/>
                <w:sz w:val="21"/>
                <w:szCs w:val="21"/>
              </w:rPr>
              <w:t>89</w:t>
            </w:r>
            <w:r>
              <w:rPr>
                <w:rFonts w:ascii="Times New Roman"/>
                <w:sz w:val="21"/>
                <w:szCs w:val="21"/>
              </w:rPr>
              <w:t>吨</w:t>
            </w:r>
          </w:p>
        </w:tc>
        <w:tc>
          <w:tcPr>
            <w:tcW w:w="648" w:type="pct"/>
            <w:shd w:val="clear" w:color="auto" w:fill="auto"/>
            <w:vAlign w:val="center"/>
          </w:tcPr>
          <w:p w14:paraId="6AE03BD2">
            <w:pPr>
              <w:jc w:val="center"/>
              <w:rPr>
                <w:rFonts w:ascii="Times New Roman"/>
                <w:sz w:val="21"/>
                <w:szCs w:val="21"/>
              </w:rPr>
            </w:pPr>
            <w:r>
              <w:rPr>
                <w:rFonts w:hint="eastAsia" w:ascii="Times New Roman"/>
                <w:sz w:val="21"/>
                <w:szCs w:val="21"/>
              </w:rPr>
              <w:t>4</w:t>
            </w:r>
            <w:r>
              <w:rPr>
                <w:rFonts w:ascii="Times New Roman"/>
                <w:sz w:val="21"/>
                <w:szCs w:val="21"/>
              </w:rPr>
              <w:t>吨</w:t>
            </w:r>
          </w:p>
        </w:tc>
        <w:tc>
          <w:tcPr>
            <w:tcW w:w="1424" w:type="pct"/>
            <w:vAlign w:val="center"/>
          </w:tcPr>
          <w:p w14:paraId="06E5302D">
            <w:pPr>
              <w:jc w:val="center"/>
              <w:rPr>
                <w:rFonts w:ascii="Times New Roman"/>
                <w:sz w:val="21"/>
                <w:szCs w:val="21"/>
              </w:rPr>
            </w:pPr>
            <w:r>
              <w:rPr>
                <w:rFonts w:hint="eastAsia" w:ascii="Times New Roman"/>
                <w:sz w:val="21"/>
                <w:szCs w:val="21"/>
              </w:rPr>
              <w:t>危化库</w:t>
            </w:r>
          </w:p>
        </w:tc>
        <w:tc>
          <w:tcPr>
            <w:tcW w:w="1011" w:type="pct"/>
            <w:gridSpan w:val="2"/>
            <w:shd w:val="clear" w:color="auto" w:fill="auto"/>
            <w:vAlign w:val="center"/>
          </w:tcPr>
          <w:p w14:paraId="05CC4E13">
            <w:pPr>
              <w:jc w:val="center"/>
              <w:rPr>
                <w:rFonts w:ascii="Times New Roman"/>
                <w:sz w:val="21"/>
                <w:szCs w:val="21"/>
              </w:rPr>
            </w:pPr>
            <w:r>
              <w:rPr>
                <w:rFonts w:ascii="Times New Roman"/>
                <w:sz w:val="21"/>
                <w:szCs w:val="21"/>
              </w:rPr>
              <w:t>桶装，</w:t>
            </w:r>
            <w:r>
              <w:rPr>
                <w:rFonts w:hint="eastAsia" w:ascii="Times New Roman"/>
                <w:sz w:val="21"/>
                <w:szCs w:val="21"/>
              </w:rPr>
              <w:t>5</w:t>
            </w:r>
            <w:r>
              <w:rPr>
                <w:rFonts w:ascii="Times New Roman"/>
                <w:sz w:val="21"/>
                <w:szCs w:val="21"/>
              </w:rPr>
              <w:t>0kg/桶</w:t>
            </w:r>
          </w:p>
        </w:tc>
      </w:tr>
      <w:tr w14:paraId="7E5BD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703BEC00">
            <w:pPr>
              <w:jc w:val="center"/>
              <w:rPr>
                <w:rFonts w:ascii="Times New Roman"/>
                <w:sz w:val="21"/>
                <w:szCs w:val="21"/>
              </w:rPr>
            </w:pPr>
            <w:r>
              <w:rPr>
                <w:rFonts w:ascii="Times New Roman"/>
                <w:sz w:val="21"/>
                <w:szCs w:val="21"/>
              </w:rPr>
              <w:t>12.</w:t>
            </w:r>
          </w:p>
        </w:tc>
        <w:tc>
          <w:tcPr>
            <w:tcW w:w="763" w:type="pct"/>
            <w:gridSpan w:val="2"/>
            <w:vAlign w:val="center"/>
          </w:tcPr>
          <w:p w14:paraId="1D448D9A">
            <w:pPr>
              <w:jc w:val="center"/>
              <w:rPr>
                <w:rFonts w:ascii="Times New Roman"/>
                <w:sz w:val="21"/>
                <w:szCs w:val="21"/>
              </w:rPr>
            </w:pPr>
            <w:r>
              <w:rPr>
                <w:rFonts w:ascii="Times New Roman"/>
                <w:sz w:val="21"/>
                <w:szCs w:val="21"/>
              </w:rPr>
              <w:t>环氧云铁中间漆</w:t>
            </w:r>
          </w:p>
        </w:tc>
        <w:tc>
          <w:tcPr>
            <w:tcW w:w="857" w:type="pct"/>
            <w:shd w:val="clear" w:color="auto" w:fill="auto"/>
            <w:vAlign w:val="center"/>
          </w:tcPr>
          <w:p w14:paraId="3FE6FAAC">
            <w:pPr>
              <w:jc w:val="center"/>
              <w:rPr>
                <w:rFonts w:ascii="Times New Roman"/>
                <w:sz w:val="21"/>
                <w:szCs w:val="21"/>
              </w:rPr>
            </w:pPr>
            <w:r>
              <w:rPr>
                <w:rFonts w:hint="eastAsia" w:ascii="Times New Roman"/>
                <w:sz w:val="21"/>
                <w:szCs w:val="21"/>
              </w:rPr>
              <w:t>332</w:t>
            </w:r>
            <w:r>
              <w:rPr>
                <w:rFonts w:ascii="Times New Roman"/>
                <w:sz w:val="21"/>
                <w:szCs w:val="21"/>
              </w:rPr>
              <w:t>吨</w:t>
            </w:r>
          </w:p>
        </w:tc>
        <w:tc>
          <w:tcPr>
            <w:tcW w:w="648" w:type="pct"/>
            <w:shd w:val="clear" w:color="auto" w:fill="auto"/>
            <w:vAlign w:val="center"/>
          </w:tcPr>
          <w:p w14:paraId="7CB77840">
            <w:pPr>
              <w:jc w:val="center"/>
              <w:rPr>
                <w:rFonts w:ascii="Times New Roman"/>
                <w:sz w:val="21"/>
                <w:szCs w:val="21"/>
              </w:rPr>
            </w:pPr>
            <w:r>
              <w:rPr>
                <w:rFonts w:hint="eastAsia" w:ascii="Times New Roman"/>
                <w:sz w:val="21"/>
                <w:szCs w:val="21"/>
              </w:rPr>
              <w:t>15</w:t>
            </w:r>
            <w:r>
              <w:rPr>
                <w:rFonts w:ascii="Times New Roman"/>
                <w:sz w:val="21"/>
                <w:szCs w:val="21"/>
              </w:rPr>
              <w:t>吨</w:t>
            </w:r>
          </w:p>
        </w:tc>
        <w:tc>
          <w:tcPr>
            <w:tcW w:w="1424" w:type="pct"/>
            <w:vAlign w:val="center"/>
          </w:tcPr>
          <w:p w14:paraId="0B4554C8">
            <w:pPr>
              <w:jc w:val="center"/>
              <w:rPr>
                <w:rFonts w:ascii="Times New Roman"/>
                <w:sz w:val="21"/>
                <w:szCs w:val="21"/>
              </w:rPr>
            </w:pPr>
            <w:r>
              <w:rPr>
                <w:rFonts w:hint="eastAsia" w:ascii="Times New Roman"/>
                <w:sz w:val="21"/>
                <w:szCs w:val="21"/>
              </w:rPr>
              <w:t>危化库</w:t>
            </w:r>
          </w:p>
        </w:tc>
        <w:tc>
          <w:tcPr>
            <w:tcW w:w="1011" w:type="pct"/>
            <w:gridSpan w:val="2"/>
            <w:shd w:val="clear" w:color="auto" w:fill="auto"/>
            <w:vAlign w:val="center"/>
          </w:tcPr>
          <w:p w14:paraId="5500B0B5">
            <w:pPr>
              <w:jc w:val="center"/>
              <w:rPr>
                <w:rFonts w:ascii="Times New Roman"/>
                <w:sz w:val="21"/>
                <w:szCs w:val="21"/>
              </w:rPr>
            </w:pPr>
            <w:r>
              <w:rPr>
                <w:rFonts w:ascii="Times New Roman"/>
                <w:sz w:val="21"/>
                <w:szCs w:val="21"/>
              </w:rPr>
              <w:t>桶装，</w:t>
            </w:r>
            <w:r>
              <w:rPr>
                <w:rFonts w:hint="eastAsia" w:ascii="Times New Roman"/>
                <w:sz w:val="21"/>
                <w:szCs w:val="21"/>
              </w:rPr>
              <w:t>5</w:t>
            </w:r>
            <w:r>
              <w:rPr>
                <w:rFonts w:ascii="Times New Roman"/>
                <w:sz w:val="21"/>
                <w:szCs w:val="21"/>
              </w:rPr>
              <w:t>0kg/桶</w:t>
            </w:r>
          </w:p>
        </w:tc>
      </w:tr>
      <w:tr w14:paraId="27A18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640AB867">
            <w:pPr>
              <w:jc w:val="center"/>
              <w:rPr>
                <w:rFonts w:ascii="Times New Roman"/>
                <w:sz w:val="21"/>
                <w:szCs w:val="21"/>
              </w:rPr>
            </w:pPr>
            <w:r>
              <w:rPr>
                <w:rFonts w:ascii="Times New Roman"/>
                <w:sz w:val="21"/>
                <w:szCs w:val="21"/>
              </w:rPr>
              <w:t>13.</w:t>
            </w:r>
          </w:p>
        </w:tc>
        <w:tc>
          <w:tcPr>
            <w:tcW w:w="763" w:type="pct"/>
            <w:gridSpan w:val="2"/>
            <w:vAlign w:val="center"/>
          </w:tcPr>
          <w:p w14:paraId="3D9C52D9">
            <w:pPr>
              <w:jc w:val="center"/>
              <w:rPr>
                <w:rFonts w:ascii="Times New Roman"/>
                <w:sz w:val="21"/>
                <w:szCs w:val="21"/>
              </w:rPr>
            </w:pPr>
            <w:r>
              <w:rPr>
                <w:rFonts w:ascii="Times New Roman"/>
                <w:sz w:val="21"/>
                <w:szCs w:val="21"/>
              </w:rPr>
              <w:t>聚氨脂面漆</w:t>
            </w:r>
          </w:p>
        </w:tc>
        <w:tc>
          <w:tcPr>
            <w:tcW w:w="857" w:type="pct"/>
            <w:shd w:val="clear" w:color="auto" w:fill="auto"/>
            <w:vAlign w:val="center"/>
          </w:tcPr>
          <w:p w14:paraId="4B2C1F66">
            <w:pPr>
              <w:jc w:val="center"/>
              <w:rPr>
                <w:rFonts w:ascii="Times New Roman"/>
                <w:sz w:val="21"/>
                <w:szCs w:val="21"/>
              </w:rPr>
            </w:pPr>
            <w:r>
              <w:rPr>
                <w:rFonts w:hint="eastAsia" w:ascii="Times New Roman"/>
                <w:sz w:val="21"/>
                <w:szCs w:val="21"/>
              </w:rPr>
              <w:t>319</w:t>
            </w:r>
            <w:r>
              <w:rPr>
                <w:rFonts w:ascii="Times New Roman"/>
                <w:sz w:val="21"/>
                <w:szCs w:val="21"/>
              </w:rPr>
              <w:t>吨</w:t>
            </w:r>
          </w:p>
        </w:tc>
        <w:tc>
          <w:tcPr>
            <w:tcW w:w="648" w:type="pct"/>
            <w:shd w:val="clear" w:color="auto" w:fill="auto"/>
            <w:vAlign w:val="center"/>
          </w:tcPr>
          <w:p w14:paraId="5928EE86">
            <w:pPr>
              <w:jc w:val="center"/>
              <w:rPr>
                <w:rFonts w:ascii="Times New Roman"/>
                <w:sz w:val="21"/>
                <w:szCs w:val="21"/>
              </w:rPr>
            </w:pPr>
            <w:r>
              <w:rPr>
                <w:rFonts w:hint="eastAsia" w:ascii="Times New Roman"/>
                <w:sz w:val="21"/>
                <w:szCs w:val="21"/>
              </w:rPr>
              <w:t>15</w:t>
            </w:r>
            <w:r>
              <w:rPr>
                <w:rFonts w:ascii="Times New Roman"/>
                <w:sz w:val="21"/>
                <w:szCs w:val="21"/>
              </w:rPr>
              <w:t>吨</w:t>
            </w:r>
          </w:p>
        </w:tc>
        <w:tc>
          <w:tcPr>
            <w:tcW w:w="1424" w:type="pct"/>
            <w:vAlign w:val="center"/>
          </w:tcPr>
          <w:p w14:paraId="485B69B7">
            <w:pPr>
              <w:jc w:val="center"/>
              <w:rPr>
                <w:rFonts w:ascii="Times New Roman"/>
                <w:sz w:val="21"/>
                <w:szCs w:val="21"/>
              </w:rPr>
            </w:pPr>
            <w:r>
              <w:rPr>
                <w:rFonts w:hint="eastAsia" w:ascii="Times New Roman"/>
                <w:sz w:val="21"/>
                <w:szCs w:val="21"/>
              </w:rPr>
              <w:t>危化库</w:t>
            </w:r>
          </w:p>
        </w:tc>
        <w:tc>
          <w:tcPr>
            <w:tcW w:w="1011" w:type="pct"/>
            <w:gridSpan w:val="2"/>
            <w:vAlign w:val="center"/>
          </w:tcPr>
          <w:p w14:paraId="6FEEC646">
            <w:pPr>
              <w:jc w:val="center"/>
              <w:rPr>
                <w:rFonts w:ascii="Times New Roman"/>
                <w:sz w:val="21"/>
                <w:szCs w:val="21"/>
              </w:rPr>
            </w:pPr>
            <w:r>
              <w:rPr>
                <w:rFonts w:ascii="Times New Roman"/>
                <w:sz w:val="21"/>
                <w:szCs w:val="21"/>
              </w:rPr>
              <w:t>桶装，</w:t>
            </w:r>
            <w:r>
              <w:rPr>
                <w:rFonts w:hint="eastAsia" w:ascii="Times New Roman"/>
                <w:sz w:val="21"/>
                <w:szCs w:val="21"/>
              </w:rPr>
              <w:t>5</w:t>
            </w:r>
            <w:r>
              <w:rPr>
                <w:rFonts w:ascii="Times New Roman"/>
                <w:sz w:val="21"/>
                <w:szCs w:val="21"/>
              </w:rPr>
              <w:t>0kg/桶</w:t>
            </w:r>
          </w:p>
        </w:tc>
      </w:tr>
      <w:tr w14:paraId="7F87D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082DD989">
            <w:pPr>
              <w:jc w:val="center"/>
              <w:rPr>
                <w:rFonts w:ascii="Times New Roman"/>
                <w:sz w:val="21"/>
                <w:szCs w:val="21"/>
              </w:rPr>
            </w:pPr>
            <w:r>
              <w:rPr>
                <w:rFonts w:ascii="Times New Roman"/>
                <w:sz w:val="21"/>
                <w:szCs w:val="21"/>
              </w:rPr>
              <w:t>14.</w:t>
            </w:r>
          </w:p>
        </w:tc>
        <w:tc>
          <w:tcPr>
            <w:tcW w:w="763" w:type="pct"/>
            <w:gridSpan w:val="2"/>
            <w:vAlign w:val="center"/>
          </w:tcPr>
          <w:p w14:paraId="7AA2774F">
            <w:pPr>
              <w:jc w:val="center"/>
              <w:rPr>
                <w:rFonts w:ascii="Times New Roman"/>
                <w:sz w:val="21"/>
                <w:szCs w:val="21"/>
              </w:rPr>
            </w:pPr>
            <w:r>
              <w:rPr>
                <w:rFonts w:ascii="Times New Roman"/>
                <w:sz w:val="21"/>
                <w:szCs w:val="21"/>
              </w:rPr>
              <w:t>环氧电泳漆</w:t>
            </w:r>
          </w:p>
        </w:tc>
        <w:tc>
          <w:tcPr>
            <w:tcW w:w="857" w:type="pct"/>
            <w:shd w:val="clear" w:color="auto" w:fill="auto"/>
            <w:vAlign w:val="center"/>
          </w:tcPr>
          <w:p w14:paraId="5194729F">
            <w:pPr>
              <w:jc w:val="center"/>
              <w:rPr>
                <w:rFonts w:ascii="Times New Roman"/>
                <w:sz w:val="21"/>
                <w:szCs w:val="21"/>
              </w:rPr>
            </w:pPr>
            <w:r>
              <w:rPr>
                <w:rFonts w:ascii="Times New Roman"/>
                <w:sz w:val="21"/>
                <w:szCs w:val="21"/>
              </w:rPr>
              <w:t>1</w:t>
            </w:r>
            <w:r>
              <w:rPr>
                <w:rFonts w:hint="eastAsia" w:ascii="Times New Roman"/>
                <w:sz w:val="21"/>
                <w:szCs w:val="21"/>
              </w:rPr>
              <w:t>36</w:t>
            </w:r>
            <w:r>
              <w:rPr>
                <w:rFonts w:ascii="Times New Roman"/>
                <w:sz w:val="21"/>
                <w:szCs w:val="21"/>
              </w:rPr>
              <w:t>吨</w:t>
            </w:r>
          </w:p>
        </w:tc>
        <w:tc>
          <w:tcPr>
            <w:tcW w:w="648" w:type="pct"/>
            <w:shd w:val="clear" w:color="auto" w:fill="auto"/>
            <w:vAlign w:val="center"/>
          </w:tcPr>
          <w:p w14:paraId="18A3697C">
            <w:pPr>
              <w:jc w:val="center"/>
              <w:rPr>
                <w:rFonts w:ascii="Times New Roman"/>
                <w:sz w:val="21"/>
                <w:szCs w:val="21"/>
              </w:rPr>
            </w:pPr>
            <w:r>
              <w:rPr>
                <w:rFonts w:hint="eastAsia" w:ascii="Times New Roman"/>
                <w:sz w:val="21"/>
                <w:szCs w:val="21"/>
              </w:rPr>
              <w:t>10</w:t>
            </w:r>
            <w:r>
              <w:rPr>
                <w:rFonts w:ascii="Times New Roman"/>
                <w:sz w:val="21"/>
                <w:szCs w:val="21"/>
              </w:rPr>
              <w:t>吨</w:t>
            </w:r>
          </w:p>
        </w:tc>
        <w:tc>
          <w:tcPr>
            <w:tcW w:w="1424" w:type="pct"/>
            <w:vAlign w:val="center"/>
          </w:tcPr>
          <w:p w14:paraId="0FFE6CFA">
            <w:pPr>
              <w:jc w:val="center"/>
              <w:rPr>
                <w:rFonts w:ascii="Times New Roman"/>
                <w:sz w:val="21"/>
                <w:szCs w:val="21"/>
              </w:rPr>
            </w:pPr>
            <w:r>
              <w:rPr>
                <w:rFonts w:hint="eastAsia" w:ascii="Times New Roman"/>
                <w:sz w:val="21"/>
                <w:szCs w:val="21"/>
              </w:rPr>
              <w:t>危化库</w:t>
            </w:r>
          </w:p>
        </w:tc>
        <w:tc>
          <w:tcPr>
            <w:tcW w:w="1011" w:type="pct"/>
            <w:gridSpan w:val="2"/>
            <w:vAlign w:val="center"/>
          </w:tcPr>
          <w:p w14:paraId="54084ABC">
            <w:pPr>
              <w:jc w:val="center"/>
              <w:rPr>
                <w:rFonts w:ascii="Times New Roman"/>
                <w:sz w:val="21"/>
                <w:szCs w:val="21"/>
              </w:rPr>
            </w:pPr>
            <w:r>
              <w:rPr>
                <w:rFonts w:ascii="Times New Roman"/>
                <w:sz w:val="21"/>
                <w:szCs w:val="21"/>
              </w:rPr>
              <w:t>桶装，</w:t>
            </w:r>
            <w:r>
              <w:rPr>
                <w:rFonts w:hint="eastAsia" w:ascii="Times New Roman"/>
                <w:sz w:val="21"/>
                <w:szCs w:val="21"/>
              </w:rPr>
              <w:t>5</w:t>
            </w:r>
            <w:r>
              <w:rPr>
                <w:rFonts w:ascii="Times New Roman"/>
                <w:sz w:val="21"/>
                <w:szCs w:val="21"/>
              </w:rPr>
              <w:t>0kg/桶</w:t>
            </w:r>
          </w:p>
        </w:tc>
      </w:tr>
      <w:tr w14:paraId="480D3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3806B4D1">
            <w:pPr>
              <w:jc w:val="center"/>
              <w:rPr>
                <w:rFonts w:ascii="Times New Roman"/>
                <w:sz w:val="21"/>
                <w:szCs w:val="21"/>
              </w:rPr>
            </w:pPr>
            <w:r>
              <w:rPr>
                <w:rFonts w:ascii="Times New Roman"/>
                <w:sz w:val="21"/>
                <w:szCs w:val="21"/>
              </w:rPr>
              <w:t>15.</w:t>
            </w:r>
          </w:p>
        </w:tc>
        <w:tc>
          <w:tcPr>
            <w:tcW w:w="763" w:type="pct"/>
            <w:gridSpan w:val="2"/>
            <w:vAlign w:val="center"/>
          </w:tcPr>
          <w:p w14:paraId="71F460C5">
            <w:pPr>
              <w:jc w:val="center"/>
              <w:rPr>
                <w:rFonts w:ascii="Times New Roman"/>
                <w:sz w:val="21"/>
                <w:szCs w:val="21"/>
              </w:rPr>
            </w:pPr>
            <w:r>
              <w:rPr>
                <w:rFonts w:ascii="Times New Roman"/>
                <w:sz w:val="21"/>
                <w:szCs w:val="21"/>
              </w:rPr>
              <w:t>塑粉</w:t>
            </w:r>
          </w:p>
        </w:tc>
        <w:tc>
          <w:tcPr>
            <w:tcW w:w="857" w:type="pct"/>
            <w:shd w:val="clear" w:color="auto" w:fill="auto"/>
            <w:vAlign w:val="center"/>
          </w:tcPr>
          <w:p w14:paraId="36B862C6">
            <w:pPr>
              <w:jc w:val="center"/>
              <w:rPr>
                <w:rFonts w:ascii="Times New Roman"/>
                <w:sz w:val="21"/>
                <w:szCs w:val="21"/>
              </w:rPr>
            </w:pPr>
            <w:r>
              <w:rPr>
                <w:rFonts w:ascii="Times New Roman"/>
                <w:sz w:val="21"/>
                <w:szCs w:val="21"/>
              </w:rPr>
              <w:t>370吨</w:t>
            </w:r>
          </w:p>
        </w:tc>
        <w:tc>
          <w:tcPr>
            <w:tcW w:w="648" w:type="pct"/>
            <w:shd w:val="clear" w:color="auto" w:fill="auto"/>
            <w:vAlign w:val="center"/>
          </w:tcPr>
          <w:p w14:paraId="39BE4A52">
            <w:pPr>
              <w:jc w:val="center"/>
              <w:rPr>
                <w:rFonts w:ascii="Times New Roman"/>
                <w:sz w:val="21"/>
                <w:szCs w:val="21"/>
              </w:rPr>
            </w:pPr>
            <w:r>
              <w:rPr>
                <w:rFonts w:ascii="Times New Roman"/>
                <w:sz w:val="21"/>
                <w:szCs w:val="21"/>
              </w:rPr>
              <w:t>31吨</w:t>
            </w:r>
          </w:p>
        </w:tc>
        <w:tc>
          <w:tcPr>
            <w:tcW w:w="1424" w:type="pct"/>
            <w:vAlign w:val="center"/>
          </w:tcPr>
          <w:p w14:paraId="04E1A3D0">
            <w:pPr>
              <w:jc w:val="center"/>
              <w:rPr>
                <w:rFonts w:ascii="Times New Roman"/>
                <w:sz w:val="21"/>
                <w:szCs w:val="21"/>
              </w:rPr>
            </w:pPr>
            <w:r>
              <w:rPr>
                <w:rFonts w:hint="eastAsia" w:ascii="Times New Roman"/>
                <w:sz w:val="21"/>
                <w:szCs w:val="21"/>
              </w:rPr>
              <w:t>危化库</w:t>
            </w:r>
          </w:p>
        </w:tc>
        <w:tc>
          <w:tcPr>
            <w:tcW w:w="1011" w:type="pct"/>
            <w:gridSpan w:val="2"/>
            <w:vAlign w:val="center"/>
          </w:tcPr>
          <w:p w14:paraId="5CD5E869">
            <w:pPr>
              <w:jc w:val="center"/>
              <w:rPr>
                <w:rFonts w:ascii="Times New Roman"/>
                <w:sz w:val="21"/>
                <w:szCs w:val="21"/>
              </w:rPr>
            </w:pPr>
            <w:r>
              <w:rPr>
                <w:rFonts w:hint="eastAsia" w:ascii="Times New Roman"/>
                <w:sz w:val="21"/>
                <w:szCs w:val="21"/>
              </w:rPr>
              <w:t>箱装，50kg/箱</w:t>
            </w:r>
          </w:p>
        </w:tc>
      </w:tr>
      <w:tr w14:paraId="4877C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294" w:type="pct"/>
            <w:vMerge w:val="restart"/>
            <w:shd w:val="clear" w:color="auto" w:fill="auto"/>
            <w:vAlign w:val="center"/>
          </w:tcPr>
          <w:p w14:paraId="61DB18BD">
            <w:pPr>
              <w:jc w:val="center"/>
              <w:rPr>
                <w:rFonts w:ascii="Times New Roman"/>
                <w:sz w:val="21"/>
                <w:szCs w:val="21"/>
              </w:rPr>
            </w:pPr>
            <w:r>
              <w:rPr>
                <w:rFonts w:ascii="Times New Roman"/>
                <w:sz w:val="21"/>
                <w:szCs w:val="21"/>
              </w:rPr>
              <w:t>16.</w:t>
            </w:r>
          </w:p>
        </w:tc>
        <w:tc>
          <w:tcPr>
            <w:tcW w:w="389" w:type="pct"/>
            <w:vMerge w:val="restart"/>
            <w:tcBorders>
              <w:right w:val="single" w:color="auto" w:sz="4" w:space="0"/>
            </w:tcBorders>
            <w:vAlign w:val="center"/>
          </w:tcPr>
          <w:p w14:paraId="300FBF85">
            <w:pPr>
              <w:jc w:val="center"/>
              <w:rPr>
                <w:rFonts w:ascii="Times New Roman"/>
                <w:sz w:val="21"/>
                <w:szCs w:val="21"/>
              </w:rPr>
            </w:pPr>
            <w:r>
              <w:rPr>
                <w:rFonts w:ascii="Times New Roman"/>
                <w:sz w:val="21"/>
                <w:szCs w:val="21"/>
              </w:rPr>
              <w:t>稀释剂</w:t>
            </w:r>
          </w:p>
        </w:tc>
        <w:tc>
          <w:tcPr>
            <w:tcW w:w="373" w:type="pct"/>
            <w:tcBorders>
              <w:left w:val="single" w:color="auto" w:sz="4" w:space="0"/>
              <w:bottom w:val="single" w:color="auto" w:sz="4" w:space="0"/>
            </w:tcBorders>
            <w:vAlign w:val="center"/>
          </w:tcPr>
          <w:p w14:paraId="47301267">
            <w:pPr>
              <w:jc w:val="center"/>
              <w:rPr>
                <w:rFonts w:ascii="Times New Roman"/>
                <w:sz w:val="21"/>
                <w:szCs w:val="21"/>
              </w:rPr>
            </w:pPr>
            <w:r>
              <w:rPr>
                <w:rFonts w:hint="eastAsia" w:ascii="Times New Roman"/>
                <w:sz w:val="21"/>
                <w:szCs w:val="21"/>
              </w:rPr>
              <w:t>面漆</w:t>
            </w:r>
          </w:p>
        </w:tc>
        <w:tc>
          <w:tcPr>
            <w:tcW w:w="857" w:type="pct"/>
            <w:tcBorders>
              <w:bottom w:val="single" w:color="auto" w:sz="4" w:space="0"/>
            </w:tcBorders>
            <w:shd w:val="clear" w:color="auto" w:fill="auto"/>
            <w:vAlign w:val="center"/>
          </w:tcPr>
          <w:p w14:paraId="26B48451">
            <w:pPr>
              <w:jc w:val="center"/>
              <w:rPr>
                <w:rFonts w:ascii="Times New Roman"/>
                <w:sz w:val="21"/>
                <w:szCs w:val="21"/>
              </w:rPr>
            </w:pPr>
            <w:r>
              <w:rPr>
                <w:rFonts w:hint="eastAsia" w:ascii="Times New Roman"/>
                <w:sz w:val="21"/>
                <w:szCs w:val="21"/>
              </w:rPr>
              <w:t>127</w:t>
            </w:r>
            <w:r>
              <w:rPr>
                <w:rFonts w:ascii="Times New Roman"/>
                <w:sz w:val="21"/>
                <w:szCs w:val="21"/>
              </w:rPr>
              <w:t>吨</w:t>
            </w:r>
          </w:p>
        </w:tc>
        <w:tc>
          <w:tcPr>
            <w:tcW w:w="648" w:type="pct"/>
            <w:tcBorders>
              <w:bottom w:val="single" w:color="auto" w:sz="4" w:space="0"/>
            </w:tcBorders>
            <w:shd w:val="clear" w:color="auto" w:fill="auto"/>
            <w:vAlign w:val="center"/>
          </w:tcPr>
          <w:p w14:paraId="39764B8A">
            <w:pPr>
              <w:jc w:val="center"/>
              <w:rPr>
                <w:rFonts w:ascii="Times New Roman"/>
                <w:sz w:val="21"/>
                <w:szCs w:val="21"/>
              </w:rPr>
            </w:pPr>
            <w:r>
              <w:rPr>
                <w:rFonts w:hint="eastAsia" w:ascii="Times New Roman"/>
                <w:sz w:val="21"/>
                <w:szCs w:val="21"/>
              </w:rPr>
              <w:t>5</w:t>
            </w:r>
            <w:r>
              <w:rPr>
                <w:rFonts w:ascii="Times New Roman"/>
                <w:sz w:val="21"/>
                <w:szCs w:val="21"/>
              </w:rPr>
              <w:t>吨</w:t>
            </w:r>
          </w:p>
        </w:tc>
        <w:tc>
          <w:tcPr>
            <w:tcW w:w="1424" w:type="pct"/>
            <w:tcBorders>
              <w:bottom w:val="single" w:color="auto" w:sz="4" w:space="0"/>
            </w:tcBorders>
            <w:vAlign w:val="center"/>
          </w:tcPr>
          <w:p w14:paraId="08BA751C">
            <w:pPr>
              <w:jc w:val="center"/>
              <w:rPr>
                <w:rFonts w:ascii="Times New Roman"/>
                <w:sz w:val="21"/>
                <w:szCs w:val="21"/>
              </w:rPr>
            </w:pPr>
            <w:r>
              <w:rPr>
                <w:rFonts w:hint="eastAsia" w:ascii="Times New Roman"/>
                <w:sz w:val="21"/>
                <w:szCs w:val="21"/>
              </w:rPr>
              <w:t>危化库</w:t>
            </w:r>
          </w:p>
        </w:tc>
        <w:tc>
          <w:tcPr>
            <w:tcW w:w="1011" w:type="pct"/>
            <w:gridSpan w:val="2"/>
            <w:tcBorders>
              <w:bottom w:val="single" w:color="auto" w:sz="4" w:space="0"/>
            </w:tcBorders>
            <w:vAlign w:val="center"/>
          </w:tcPr>
          <w:p w14:paraId="51724BF0">
            <w:pPr>
              <w:jc w:val="center"/>
              <w:rPr>
                <w:rFonts w:ascii="Times New Roman"/>
                <w:sz w:val="21"/>
                <w:szCs w:val="21"/>
              </w:rPr>
            </w:pPr>
            <w:r>
              <w:rPr>
                <w:rFonts w:ascii="Times New Roman"/>
                <w:sz w:val="21"/>
                <w:szCs w:val="21"/>
              </w:rPr>
              <w:t>桶装，</w:t>
            </w:r>
            <w:r>
              <w:rPr>
                <w:rFonts w:hint="eastAsia" w:ascii="Times New Roman"/>
                <w:sz w:val="21"/>
                <w:szCs w:val="21"/>
              </w:rPr>
              <w:t>2</w:t>
            </w:r>
            <w:r>
              <w:rPr>
                <w:rFonts w:ascii="Times New Roman"/>
                <w:sz w:val="21"/>
                <w:szCs w:val="21"/>
              </w:rPr>
              <w:t>0kg/桶</w:t>
            </w:r>
          </w:p>
        </w:tc>
      </w:tr>
      <w:tr w14:paraId="113AB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294" w:type="pct"/>
            <w:vMerge w:val="continue"/>
            <w:shd w:val="clear" w:color="auto" w:fill="auto"/>
            <w:vAlign w:val="center"/>
          </w:tcPr>
          <w:p w14:paraId="54AEA9AE">
            <w:pPr>
              <w:jc w:val="center"/>
              <w:rPr>
                <w:rFonts w:ascii="Times New Roman"/>
                <w:sz w:val="21"/>
                <w:szCs w:val="21"/>
              </w:rPr>
            </w:pPr>
          </w:p>
        </w:tc>
        <w:tc>
          <w:tcPr>
            <w:tcW w:w="389" w:type="pct"/>
            <w:vMerge w:val="continue"/>
            <w:tcBorders>
              <w:right w:val="single" w:color="auto" w:sz="4" w:space="0"/>
            </w:tcBorders>
            <w:vAlign w:val="center"/>
          </w:tcPr>
          <w:p w14:paraId="42540150">
            <w:pPr>
              <w:jc w:val="center"/>
              <w:rPr>
                <w:rFonts w:ascii="Times New Roman"/>
                <w:sz w:val="21"/>
                <w:szCs w:val="21"/>
              </w:rPr>
            </w:pPr>
          </w:p>
        </w:tc>
        <w:tc>
          <w:tcPr>
            <w:tcW w:w="373" w:type="pct"/>
            <w:tcBorders>
              <w:top w:val="single" w:color="auto" w:sz="4" w:space="0"/>
              <w:left w:val="single" w:color="auto" w:sz="4" w:space="0"/>
            </w:tcBorders>
            <w:vAlign w:val="center"/>
          </w:tcPr>
          <w:p w14:paraId="11AA3175">
            <w:pPr>
              <w:jc w:val="center"/>
              <w:rPr>
                <w:rFonts w:ascii="Times New Roman"/>
                <w:sz w:val="21"/>
                <w:szCs w:val="21"/>
              </w:rPr>
            </w:pPr>
            <w:r>
              <w:rPr>
                <w:rFonts w:hint="eastAsia" w:ascii="Times New Roman"/>
                <w:sz w:val="21"/>
                <w:szCs w:val="21"/>
              </w:rPr>
              <w:t>底漆</w:t>
            </w:r>
          </w:p>
        </w:tc>
        <w:tc>
          <w:tcPr>
            <w:tcW w:w="857" w:type="pct"/>
            <w:tcBorders>
              <w:top w:val="single" w:color="auto" w:sz="4" w:space="0"/>
            </w:tcBorders>
            <w:shd w:val="clear" w:color="auto" w:fill="auto"/>
            <w:vAlign w:val="center"/>
          </w:tcPr>
          <w:p w14:paraId="3B51B4F3">
            <w:pPr>
              <w:jc w:val="center"/>
              <w:rPr>
                <w:rFonts w:ascii="Times New Roman"/>
                <w:sz w:val="21"/>
                <w:szCs w:val="21"/>
              </w:rPr>
            </w:pPr>
            <w:r>
              <w:rPr>
                <w:rFonts w:hint="eastAsia" w:ascii="Times New Roman"/>
                <w:sz w:val="21"/>
                <w:szCs w:val="21"/>
              </w:rPr>
              <w:t>135</w:t>
            </w:r>
            <w:r>
              <w:rPr>
                <w:rFonts w:ascii="Times New Roman"/>
                <w:sz w:val="21"/>
                <w:szCs w:val="21"/>
              </w:rPr>
              <w:t>吨</w:t>
            </w:r>
          </w:p>
        </w:tc>
        <w:tc>
          <w:tcPr>
            <w:tcW w:w="648" w:type="pct"/>
            <w:tcBorders>
              <w:top w:val="single" w:color="auto" w:sz="4" w:space="0"/>
            </w:tcBorders>
            <w:shd w:val="clear" w:color="auto" w:fill="auto"/>
            <w:vAlign w:val="center"/>
          </w:tcPr>
          <w:p w14:paraId="006125A8">
            <w:pPr>
              <w:jc w:val="center"/>
              <w:rPr>
                <w:rFonts w:ascii="Times New Roman"/>
                <w:sz w:val="21"/>
                <w:szCs w:val="21"/>
              </w:rPr>
            </w:pPr>
            <w:r>
              <w:rPr>
                <w:rFonts w:hint="eastAsia" w:ascii="Times New Roman"/>
                <w:sz w:val="21"/>
                <w:szCs w:val="21"/>
              </w:rPr>
              <w:t>6吨</w:t>
            </w:r>
          </w:p>
        </w:tc>
        <w:tc>
          <w:tcPr>
            <w:tcW w:w="1424" w:type="pct"/>
            <w:tcBorders>
              <w:top w:val="single" w:color="auto" w:sz="4" w:space="0"/>
            </w:tcBorders>
            <w:vAlign w:val="center"/>
          </w:tcPr>
          <w:p w14:paraId="45F0471D">
            <w:pPr>
              <w:jc w:val="center"/>
              <w:rPr>
                <w:rFonts w:ascii="Times New Roman"/>
                <w:sz w:val="21"/>
                <w:szCs w:val="21"/>
              </w:rPr>
            </w:pPr>
            <w:r>
              <w:rPr>
                <w:rFonts w:hint="eastAsia" w:ascii="Times New Roman"/>
                <w:sz w:val="21"/>
                <w:szCs w:val="21"/>
              </w:rPr>
              <w:t>危化库</w:t>
            </w:r>
          </w:p>
        </w:tc>
        <w:tc>
          <w:tcPr>
            <w:tcW w:w="1011" w:type="pct"/>
            <w:gridSpan w:val="2"/>
            <w:tcBorders>
              <w:top w:val="single" w:color="auto" w:sz="4" w:space="0"/>
            </w:tcBorders>
            <w:vAlign w:val="center"/>
          </w:tcPr>
          <w:p w14:paraId="002F3B13">
            <w:pPr>
              <w:jc w:val="center"/>
              <w:rPr>
                <w:rFonts w:ascii="Times New Roman"/>
                <w:sz w:val="21"/>
                <w:szCs w:val="21"/>
              </w:rPr>
            </w:pPr>
            <w:r>
              <w:rPr>
                <w:rFonts w:ascii="Times New Roman"/>
                <w:sz w:val="21"/>
                <w:szCs w:val="21"/>
              </w:rPr>
              <w:t>桶装，</w:t>
            </w:r>
            <w:r>
              <w:rPr>
                <w:rFonts w:hint="eastAsia" w:ascii="Times New Roman"/>
                <w:sz w:val="21"/>
                <w:szCs w:val="21"/>
              </w:rPr>
              <w:t>2</w:t>
            </w:r>
            <w:r>
              <w:rPr>
                <w:rFonts w:ascii="Times New Roman"/>
                <w:sz w:val="21"/>
                <w:szCs w:val="21"/>
              </w:rPr>
              <w:t>0kg/桶</w:t>
            </w:r>
          </w:p>
        </w:tc>
      </w:tr>
      <w:tr w14:paraId="62021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10EF4528">
            <w:pPr>
              <w:jc w:val="center"/>
              <w:rPr>
                <w:rFonts w:ascii="Times New Roman"/>
                <w:sz w:val="21"/>
                <w:szCs w:val="21"/>
              </w:rPr>
            </w:pPr>
            <w:r>
              <w:rPr>
                <w:rFonts w:ascii="Times New Roman"/>
                <w:sz w:val="21"/>
                <w:szCs w:val="21"/>
              </w:rPr>
              <w:t>17.</w:t>
            </w:r>
          </w:p>
        </w:tc>
        <w:tc>
          <w:tcPr>
            <w:tcW w:w="763" w:type="pct"/>
            <w:gridSpan w:val="2"/>
            <w:vAlign w:val="center"/>
          </w:tcPr>
          <w:p w14:paraId="5FAAC9A2">
            <w:pPr>
              <w:jc w:val="center"/>
              <w:rPr>
                <w:rFonts w:ascii="Times New Roman"/>
                <w:sz w:val="21"/>
                <w:szCs w:val="21"/>
              </w:rPr>
            </w:pPr>
            <w:r>
              <w:rPr>
                <w:rFonts w:ascii="Times New Roman"/>
                <w:sz w:val="21"/>
                <w:szCs w:val="21"/>
              </w:rPr>
              <w:t>脱脂剂</w:t>
            </w:r>
          </w:p>
        </w:tc>
        <w:tc>
          <w:tcPr>
            <w:tcW w:w="857" w:type="pct"/>
            <w:shd w:val="clear" w:color="auto" w:fill="auto"/>
            <w:vAlign w:val="center"/>
          </w:tcPr>
          <w:p w14:paraId="384C7979">
            <w:pPr>
              <w:jc w:val="center"/>
              <w:rPr>
                <w:rFonts w:ascii="Times New Roman"/>
                <w:sz w:val="21"/>
                <w:szCs w:val="21"/>
              </w:rPr>
            </w:pPr>
            <w:r>
              <w:rPr>
                <w:rFonts w:ascii="Times New Roman"/>
                <w:sz w:val="21"/>
                <w:szCs w:val="21"/>
              </w:rPr>
              <w:t>42吨</w:t>
            </w:r>
          </w:p>
        </w:tc>
        <w:tc>
          <w:tcPr>
            <w:tcW w:w="648" w:type="pct"/>
            <w:shd w:val="clear" w:color="auto" w:fill="auto"/>
            <w:vAlign w:val="center"/>
          </w:tcPr>
          <w:p w14:paraId="00F89ABD">
            <w:pPr>
              <w:jc w:val="center"/>
              <w:rPr>
                <w:rFonts w:ascii="Times New Roman"/>
                <w:sz w:val="21"/>
                <w:szCs w:val="21"/>
              </w:rPr>
            </w:pPr>
            <w:r>
              <w:rPr>
                <w:rFonts w:ascii="Times New Roman"/>
                <w:sz w:val="21"/>
                <w:szCs w:val="21"/>
              </w:rPr>
              <w:t>3.5吨</w:t>
            </w:r>
          </w:p>
        </w:tc>
        <w:tc>
          <w:tcPr>
            <w:tcW w:w="1424" w:type="pct"/>
            <w:vAlign w:val="center"/>
          </w:tcPr>
          <w:p w14:paraId="3D688209">
            <w:pPr>
              <w:jc w:val="center"/>
              <w:rPr>
                <w:rFonts w:ascii="Times New Roman"/>
                <w:sz w:val="21"/>
                <w:szCs w:val="21"/>
              </w:rPr>
            </w:pPr>
            <w:r>
              <w:rPr>
                <w:rFonts w:hint="eastAsia" w:ascii="Times New Roman"/>
                <w:sz w:val="21"/>
                <w:szCs w:val="21"/>
              </w:rPr>
              <w:t>危化库</w:t>
            </w:r>
          </w:p>
        </w:tc>
        <w:tc>
          <w:tcPr>
            <w:tcW w:w="1011" w:type="pct"/>
            <w:gridSpan w:val="2"/>
            <w:vAlign w:val="center"/>
          </w:tcPr>
          <w:p w14:paraId="79B036AD">
            <w:pPr>
              <w:jc w:val="center"/>
              <w:rPr>
                <w:rFonts w:ascii="Times New Roman"/>
                <w:sz w:val="21"/>
                <w:szCs w:val="21"/>
              </w:rPr>
            </w:pPr>
            <w:r>
              <w:rPr>
                <w:rFonts w:hint="eastAsia" w:ascii="Times New Roman"/>
                <w:sz w:val="21"/>
                <w:szCs w:val="21"/>
              </w:rPr>
              <w:t>/</w:t>
            </w:r>
          </w:p>
        </w:tc>
      </w:tr>
      <w:tr w14:paraId="15870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572867BB">
            <w:pPr>
              <w:jc w:val="center"/>
              <w:rPr>
                <w:rFonts w:ascii="Times New Roman"/>
                <w:sz w:val="21"/>
                <w:szCs w:val="21"/>
              </w:rPr>
            </w:pPr>
            <w:r>
              <w:rPr>
                <w:rFonts w:ascii="Times New Roman"/>
                <w:sz w:val="21"/>
                <w:szCs w:val="21"/>
              </w:rPr>
              <w:t>18.</w:t>
            </w:r>
          </w:p>
        </w:tc>
        <w:tc>
          <w:tcPr>
            <w:tcW w:w="763" w:type="pct"/>
            <w:gridSpan w:val="2"/>
            <w:vAlign w:val="center"/>
          </w:tcPr>
          <w:p w14:paraId="447A2FEF">
            <w:pPr>
              <w:jc w:val="center"/>
              <w:rPr>
                <w:rFonts w:ascii="Times New Roman"/>
                <w:sz w:val="21"/>
                <w:szCs w:val="21"/>
              </w:rPr>
            </w:pPr>
            <w:r>
              <w:rPr>
                <w:rFonts w:ascii="Times New Roman"/>
                <w:sz w:val="21"/>
                <w:szCs w:val="21"/>
              </w:rPr>
              <w:t>硅烷</w:t>
            </w:r>
            <w:r>
              <w:rPr>
                <w:rFonts w:hint="eastAsia"/>
                <w:sz w:val="21"/>
                <w:szCs w:val="21"/>
              </w:rPr>
              <w:t>剂</w:t>
            </w:r>
          </w:p>
        </w:tc>
        <w:tc>
          <w:tcPr>
            <w:tcW w:w="857" w:type="pct"/>
            <w:shd w:val="clear" w:color="auto" w:fill="auto"/>
            <w:vAlign w:val="center"/>
          </w:tcPr>
          <w:p w14:paraId="334112DA">
            <w:pPr>
              <w:jc w:val="center"/>
              <w:rPr>
                <w:rFonts w:ascii="Times New Roman"/>
                <w:sz w:val="21"/>
                <w:szCs w:val="21"/>
              </w:rPr>
            </w:pPr>
            <w:r>
              <w:rPr>
                <w:rFonts w:ascii="Times New Roman"/>
                <w:sz w:val="21"/>
                <w:szCs w:val="21"/>
              </w:rPr>
              <w:t>45吨</w:t>
            </w:r>
          </w:p>
        </w:tc>
        <w:tc>
          <w:tcPr>
            <w:tcW w:w="648" w:type="pct"/>
            <w:shd w:val="clear" w:color="auto" w:fill="auto"/>
            <w:vAlign w:val="center"/>
          </w:tcPr>
          <w:p w14:paraId="57248D72">
            <w:pPr>
              <w:jc w:val="center"/>
              <w:rPr>
                <w:rFonts w:ascii="Times New Roman"/>
                <w:sz w:val="21"/>
                <w:szCs w:val="21"/>
              </w:rPr>
            </w:pPr>
            <w:r>
              <w:rPr>
                <w:rFonts w:ascii="Times New Roman"/>
                <w:sz w:val="21"/>
                <w:szCs w:val="21"/>
              </w:rPr>
              <w:t>3.75吨</w:t>
            </w:r>
          </w:p>
        </w:tc>
        <w:tc>
          <w:tcPr>
            <w:tcW w:w="1424" w:type="pct"/>
            <w:vAlign w:val="center"/>
          </w:tcPr>
          <w:p w14:paraId="27A41C4D">
            <w:pPr>
              <w:jc w:val="center"/>
              <w:rPr>
                <w:rFonts w:ascii="Times New Roman"/>
                <w:sz w:val="21"/>
                <w:szCs w:val="21"/>
              </w:rPr>
            </w:pPr>
            <w:r>
              <w:rPr>
                <w:rFonts w:hint="eastAsia" w:ascii="Times New Roman"/>
                <w:sz w:val="21"/>
                <w:szCs w:val="21"/>
              </w:rPr>
              <w:t>危化库</w:t>
            </w:r>
          </w:p>
        </w:tc>
        <w:tc>
          <w:tcPr>
            <w:tcW w:w="1011" w:type="pct"/>
            <w:gridSpan w:val="2"/>
            <w:vAlign w:val="center"/>
          </w:tcPr>
          <w:p w14:paraId="3DA5E9AD">
            <w:pPr>
              <w:jc w:val="center"/>
              <w:rPr>
                <w:rFonts w:ascii="Times New Roman"/>
                <w:sz w:val="21"/>
                <w:szCs w:val="21"/>
              </w:rPr>
            </w:pPr>
            <w:r>
              <w:rPr>
                <w:rFonts w:hint="eastAsia" w:ascii="Times New Roman"/>
                <w:sz w:val="21"/>
                <w:szCs w:val="21"/>
              </w:rPr>
              <w:t>/</w:t>
            </w:r>
          </w:p>
        </w:tc>
      </w:tr>
      <w:tr w14:paraId="236E1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591C4951">
            <w:pPr>
              <w:jc w:val="center"/>
              <w:rPr>
                <w:rFonts w:ascii="Times New Roman"/>
                <w:sz w:val="21"/>
                <w:szCs w:val="21"/>
              </w:rPr>
            </w:pPr>
            <w:r>
              <w:rPr>
                <w:rFonts w:ascii="Times New Roman"/>
                <w:sz w:val="21"/>
                <w:szCs w:val="21"/>
              </w:rPr>
              <w:t>19.</w:t>
            </w:r>
          </w:p>
        </w:tc>
        <w:tc>
          <w:tcPr>
            <w:tcW w:w="763" w:type="pct"/>
            <w:gridSpan w:val="2"/>
            <w:vAlign w:val="center"/>
          </w:tcPr>
          <w:p w14:paraId="5C16B744">
            <w:pPr>
              <w:jc w:val="center"/>
              <w:rPr>
                <w:rFonts w:ascii="Times New Roman"/>
                <w:sz w:val="21"/>
                <w:szCs w:val="21"/>
              </w:rPr>
            </w:pPr>
            <w:r>
              <w:rPr>
                <w:rFonts w:hint="eastAsia" w:ascii="Times New Roman"/>
                <w:sz w:val="21"/>
                <w:szCs w:val="21"/>
              </w:rPr>
              <w:t>50%</w:t>
            </w:r>
            <w:r>
              <w:rPr>
                <w:rFonts w:ascii="Times New Roman"/>
                <w:sz w:val="21"/>
                <w:szCs w:val="21"/>
              </w:rPr>
              <w:t>硫酸</w:t>
            </w:r>
          </w:p>
        </w:tc>
        <w:tc>
          <w:tcPr>
            <w:tcW w:w="857" w:type="pct"/>
            <w:vAlign w:val="center"/>
          </w:tcPr>
          <w:p w14:paraId="582D9281">
            <w:pPr>
              <w:jc w:val="center"/>
              <w:rPr>
                <w:rFonts w:ascii="Times New Roman"/>
                <w:sz w:val="21"/>
                <w:szCs w:val="21"/>
              </w:rPr>
            </w:pPr>
            <w:r>
              <w:rPr>
                <w:rFonts w:ascii="Times New Roman"/>
                <w:sz w:val="21"/>
                <w:szCs w:val="21"/>
              </w:rPr>
              <w:t>1.2t/a</w:t>
            </w:r>
          </w:p>
        </w:tc>
        <w:tc>
          <w:tcPr>
            <w:tcW w:w="648" w:type="pct"/>
            <w:vAlign w:val="center"/>
          </w:tcPr>
          <w:p w14:paraId="17EC17D0">
            <w:pPr>
              <w:jc w:val="center"/>
              <w:rPr>
                <w:rFonts w:ascii="Times New Roman"/>
                <w:sz w:val="21"/>
                <w:szCs w:val="21"/>
              </w:rPr>
            </w:pPr>
            <w:r>
              <w:rPr>
                <w:rFonts w:ascii="Times New Roman"/>
                <w:sz w:val="21"/>
                <w:szCs w:val="21"/>
              </w:rPr>
              <w:t>120kg</w:t>
            </w:r>
          </w:p>
        </w:tc>
        <w:tc>
          <w:tcPr>
            <w:tcW w:w="1424" w:type="pct"/>
            <w:vAlign w:val="center"/>
          </w:tcPr>
          <w:p w14:paraId="08CAC7B4">
            <w:pPr>
              <w:jc w:val="center"/>
              <w:rPr>
                <w:rFonts w:ascii="Times New Roman"/>
                <w:sz w:val="21"/>
                <w:szCs w:val="21"/>
              </w:rPr>
            </w:pPr>
            <w:r>
              <w:rPr>
                <w:rFonts w:hint="eastAsia" w:ascii="Times New Roman"/>
                <w:sz w:val="21"/>
                <w:szCs w:val="21"/>
              </w:rPr>
              <w:t>危化库</w:t>
            </w:r>
          </w:p>
        </w:tc>
        <w:tc>
          <w:tcPr>
            <w:tcW w:w="536" w:type="pct"/>
            <w:tcBorders>
              <w:right w:val="single" w:color="auto" w:sz="4" w:space="0"/>
            </w:tcBorders>
            <w:vAlign w:val="center"/>
          </w:tcPr>
          <w:p w14:paraId="2C78FC91">
            <w:pPr>
              <w:jc w:val="center"/>
              <w:rPr>
                <w:rFonts w:ascii="Times New Roman"/>
                <w:sz w:val="21"/>
                <w:szCs w:val="21"/>
              </w:rPr>
            </w:pPr>
            <w:r>
              <w:rPr>
                <w:rFonts w:hint="eastAsia" w:ascii="Times New Roman"/>
                <w:sz w:val="21"/>
                <w:szCs w:val="21"/>
              </w:rPr>
              <w:t>/</w:t>
            </w:r>
          </w:p>
        </w:tc>
        <w:tc>
          <w:tcPr>
            <w:tcW w:w="475" w:type="pct"/>
            <w:vMerge w:val="restart"/>
            <w:tcBorders>
              <w:left w:val="single" w:color="auto" w:sz="4" w:space="0"/>
            </w:tcBorders>
            <w:vAlign w:val="center"/>
          </w:tcPr>
          <w:p w14:paraId="605D6190">
            <w:pPr>
              <w:jc w:val="center"/>
              <w:rPr>
                <w:rFonts w:ascii="Times New Roman"/>
                <w:sz w:val="21"/>
                <w:szCs w:val="21"/>
              </w:rPr>
            </w:pPr>
            <w:r>
              <w:rPr>
                <w:rFonts w:hint="eastAsia" w:ascii="Times New Roman"/>
                <w:sz w:val="21"/>
                <w:szCs w:val="21"/>
              </w:rPr>
              <w:t>用于污水处理站</w:t>
            </w:r>
          </w:p>
        </w:tc>
      </w:tr>
      <w:tr w14:paraId="69DD4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584A8DE1">
            <w:pPr>
              <w:jc w:val="center"/>
              <w:rPr>
                <w:rFonts w:ascii="Times New Roman"/>
                <w:sz w:val="21"/>
                <w:szCs w:val="21"/>
              </w:rPr>
            </w:pPr>
            <w:r>
              <w:rPr>
                <w:rFonts w:ascii="Times New Roman"/>
                <w:sz w:val="21"/>
                <w:szCs w:val="21"/>
              </w:rPr>
              <w:t>20.</w:t>
            </w:r>
          </w:p>
        </w:tc>
        <w:tc>
          <w:tcPr>
            <w:tcW w:w="763" w:type="pct"/>
            <w:gridSpan w:val="2"/>
            <w:vAlign w:val="center"/>
          </w:tcPr>
          <w:p w14:paraId="58A6DFD4">
            <w:pPr>
              <w:jc w:val="center"/>
              <w:rPr>
                <w:rFonts w:ascii="Times New Roman"/>
                <w:sz w:val="21"/>
                <w:szCs w:val="21"/>
              </w:rPr>
            </w:pPr>
            <w:r>
              <w:rPr>
                <w:rFonts w:ascii="Times New Roman"/>
                <w:sz w:val="21"/>
                <w:szCs w:val="21"/>
              </w:rPr>
              <w:t>Na</w:t>
            </w:r>
            <w:r>
              <w:rPr>
                <w:rFonts w:hint="eastAsia" w:ascii="Times New Roman"/>
                <w:sz w:val="21"/>
                <w:szCs w:val="21"/>
              </w:rPr>
              <w:t>O</w:t>
            </w:r>
            <w:r>
              <w:rPr>
                <w:rFonts w:ascii="Times New Roman"/>
                <w:sz w:val="21"/>
                <w:szCs w:val="21"/>
              </w:rPr>
              <w:t>H</w:t>
            </w:r>
          </w:p>
        </w:tc>
        <w:tc>
          <w:tcPr>
            <w:tcW w:w="857" w:type="pct"/>
            <w:vAlign w:val="center"/>
          </w:tcPr>
          <w:p w14:paraId="5C2D62D2">
            <w:pPr>
              <w:jc w:val="center"/>
              <w:rPr>
                <w:rFonts w:ascii="Times New Roman"/>
                <w:sz w:val="21"/>
                <w:szCs w:val="21"/>
              </w:rPr>
            </w:pPr>
            <w:r>
              <w:rPr>
                <w:rFonts w:ascii="Times New Roman"/>
                <w:sz w:val="21"/>
                <w:szCs w:val="21"/>
              </w:rPr>
              <w:t>1.2t/a</w:t>
            </w:r>
          </w:p>
        </w:tc>
        <w:tc>
          <w:tcPr>
            <w:tcW w:w="648" w:type="pct"/>
            <w:vAlign w:val="center"/>
          </w:tcPr>
          <w:p w14:paraId="570361CC">
            <w:pPr>
              <w:jc w:val="center"/>
              <w:rPr>
                <w:rFonts w:ascii="Times New Roman"/>
                <w:sz w:val="21"/>
                <w:szCs w:val="21"/>
              </w:rPr>
            </w:pPr>
            <w:r>
              <w:rPr>
                <w:rFonts w:ascii="Times New Roman"/>
                <w:sz w:val="21"/>
                <w:szCs w:val="21"/>
              </w:rPr>
              <w:t>120kg</w:t>
            </w:r>
          </w:p>
        </w:tc>
        <w:tc>
          <w:tcPr>
            <w:tcW w:w="1424" w:type="pct"/>
            <w:vAlign w:val="center"/>
          </w:tcPr>
          <w:p w14:paraId="0AC950E4">
            <w:pPr>
              <w:jc w:val="center"/>
              <w:rPr>
                <w:rFonts w:ascii="Times New Roman"/>
                <w:sz w:val="21"/>
                <w:szCs w:val="21"/>
              </w:rPr>
            </w:pPr>
            <w:r>
              <w:rPr>
                <w:rFonts w:hint="eastAsia" w:ascii="Times New Roman"/>
                <w:sz w:val="21"/>
                <w:szCs w:val="21"/>
              </w:rPr>
              <w:t>危化库</w:t>
            </w:r>
          </w:p>
        </w:tc>
        <w:tc>
          <w:tcPr>
            <w:tcW w:w="536" w:type="pct"/>
            <w:tcBorders>
              <w:right w:val="single" w:color="auto" w:sz="4" w:space="0"/>
            </w:tcBorders>
            <w:vAlign w:val="center"/>
          </w:tcPr>
          <w:p w14:paraId="50833140">
            <w:pPr>
              <w:jc w:val="center"/>
              <w:rPr>
                <w:rFonts w:ascii="Times New Roman"/>
                <w:sz w:val="21"/>
                <w:szCs w:val="21"/>
              </w:rPr>
            </w:pPr>
            <w:r>
              <w:rPr>
                <w:rFonts w:hint="eastAsia" w:ascii="Times New Roman"/>
                <w:sz w:val="21"/>
                <w:szCs w:val="21"/>
              </w:rPr>
              <w:t>固体，25kg/袋</w:t>
            </w:r>
          </w:p>
        </w:tc>
        <w:tc>
          <w:tcPr>
            <w:tcW w:w="475" w:type="pct"/>
            <w:vMerge w:val="continue"/>
            <w:tcBorders>
              <w:left w:val="single" w:color="auto" w:sz="4" w:space="0"/>
            </w:tcBorders>
            <w:vAlign w:val="center"/>
          </w:tcPr>
          <w:p w14:paraId="1F9A9482">
            <w:pPr>
              <w:jc w:val="center"/>
              <w:rPr>
                <w:rFonts w:ascii="Times New Roman"/>
                <w:sz w:val="21"/>
                <w:szCs w:val="21"/>
              </w:rPr>
            </w:pPr>
          </w:p>
        </w:tc>
      </w:tr>
      <w:tr w14:paraId="763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5AB8E8F3">
            <w:pPr>
              <w:jc w:val="center"/>
              <w:rPr>
                <w:rFonts w:ascii="Times New Roman"/>
                <w:sz w:val="21"/>
                <w:szCs w:val="21"/>
              </w:rPr>
            </w:pPr>
            <w:r>
              <w:rPr>
                <w:rFonts w:ascii="Times New Roman"/>
                <w:sz w:val="21"/>
                <w:szCs w:val="21"/>
              </w:rPr>
              <w:t>21.</w:t>
            </w:r>
          </w:p>
        </w:tc>
        <w:tc>
          <w:tcPr>
            <w:tcW w:w="763" w:type="pct"/>
            <w:gridSpan w:val="2"/>
            <w:vAlign w:val="center"/>
          </w:tcPr>
          <w:p w14:paraId="4811BEE0">
            <w:pPr>
              <w:jc w:val="center"/>
              <w:rPr>
                <w:rFonts w:ascii="Times New Roman"/>
                <w:sz w:val="21"/>
                <w:szCs w:val="21"/>
              </w:rPr>
            </w:pPr>
            <w:r>
              <w:rPr>
                <w:rFonts w:ascii="Times New Roman"/>
                <w:sz w:val="21"/>
                <w:szCs w:val="21"/>
              </w:rPr>
              <w:t>PAC</w:t>
            </w:r>
          </w:p>
        </w:tc>
        <w:tc>
          <w:tcPr>
            <w:tcW w:w="857" w:type="pct"/>
            <w:vAlign w:val="center"/>
          </w:tcPr>
          <w:p w14:paraId="73E744CB">
            <w:pPr>
              <w:jc w:val="center"/>
              <w:rPr>
                <w:rFonts w:ascii="Times New Roman"/>
                <w:sz w:val="21"/>
                <w:szCs w:val="21"/>
              </w:rPr>
            </w:pPr>
            <w:r>
              <w:rPr>
                <w:rFonts w:ascii="Times New Roman"/>
                <w:sz w:val="21"/>
                <w:szCs w:val="21"/>
              </w:rPr>
              <w:t>6t/a</w:t>
            </w:r>
          </w:p>
        </w:tc>
        <w:tc>
          <w:tcPr>
            <w:tcW w:w="648" w:type="pct"/>
            <w:vAlign w:val="center"/>
          </w:tcPr>
          <w:p w14:paraId="0159271E">
            <w:pPr>
              <w:jc w:val="center"/>
              <w:rPr>
                <w:rFonts w:ascii="Times New Roman"/>
                <w:sz w:val="21"/>
                <w:szCs w:val="21"/>
              </w:rPr>
            </w:pPr>
            <w:r>
              <w:rPr>
                <w:rFonts w:ascii="Times New Roman"/>
                <w:sz w:val="21"/>
                <w:szCs w:val="21"/>
              </w:rPr>
              <w:t>600kg</w:t>
            </w:r>
          </w:p>
        </w:tc>
        <w:tc>
          <w:tcPr>
            <w:tcW w:w="1424" w:type="pct"/>
            <w:vAlign w:val="center"/>
          </w:tcPr>
          <w:p w14:paraId="50110203">
            <w:pPr>
              <w:jc w:val="center"/>
              <w:rPr>
                <w:rFonts w:ascii="Times New Roman"/>
                <w:sz w:val="21"/>
                <w:szCs w:val="21"/>
              </w:rPr>
            </w:pPr>
            <w:r>
              <w:rPr>
                <w:rFonts w:hint="eastAsia" w:ascii="Times New Roman"/>
                <w:sz w:val="21"/>
                <w:szCs w:val="21"/>
              </w:rPr>
              <w:t>危化库</w:t>
            </w:r>
          </w:p>
        </w:tc>
        <w:tc>
          <w:tcPr>
            <w:tcW w:w="536" w:type="pct"/>
            <w:tcBorders>
              <w:right w:val="single" w:color="auto" w:sz="4" w:space="0"/>
            </w:tcBorders>
            <w:vAlign w:val="center"/>
          </w:tcPr>
          <w:p w14:paraId="508C783E">
            <w:pPr>
              <w:jc w:val="center"/>
              <w:rPr>
                <w:rFonts w:ascii="Times New Roman"/>
                <w:sz w:val="21"/>
                <w:szCs w:val="21"/>
              </w:rPr>
            </w:pPr>
            <w:r>
              <w:rPr>
                <w:rFonts w:hint="eastAsia" w:ascii="Times New Roman"/>
                <w:sz w:val="21"/>
                <w:szCs w:val="21"/>
              </w:rPr>
              <w:t>25kg/袋</w:t>
            </w:r>
          </w:p>
        </w:tc>
        <w:tc>
          <w:tcPr>
            <w:tcW w:w="475" w:type="pct"/>
            <w:vMerge w:val="continue"/>
            <w:tcBorders>
              <w:left w:val="single" w:color="auto" w:sz="4" w:space="0"/>
            </w:tcBorders>
            <w:vAlign w:val="center"/>
          </w:tcPr>
          <w:p w14:paraId="39160B3E">
            <w:pPr>
              <w:jc w:val="center"/>
              <w:rPr>
                <w:rFonts w:ascii="Times New Roman"/>
                <w:sz w:val="21"/>
                <w:szCs w:val="21"/>
              </w:rPr>
            </w:pPr>
          </w:p>
        </w:tc>
      </w:tr>
      <w:tr w14:paraId="0C68B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673BEA90">
            <w:pPr>
              <w:jc w:val="center"/>
              <w:rPr>
                <w:rFonts w:ascii="Times New Roman"/>
                <w:sz w:val="21"/>
                <w:szCs w:val="21"/>
              </w:rPr>
            </w:pPr>
            <w:r>
              <w:rPr>
                <w:rFonts w:ascii="Times New Roman"/>
                <w:sz w:val="21"/>
                <w:szCs w:val="21"/>
              </w:rPr>
              <w:t>22.</w:t>
            </w:r>
          </w:p>
        </w:tc>
        <w:tc>
          <w:tcPr>
            <w:tcW w:w="763" w:type="pct"/>
            <w:gridSpan w:val="2"/>
            <w:vAlign w:val="center"/>
          </w:tcPr>
          <w:p w14:paraId="46211AF8">
            <w:pPr>
              <w:jc w:val="center"/>
              <w:rPr>
                <w:rFonts w:ascii="Times New Roman"/>
                <w:sz w:val="21"/>
                <w:szCs w:val="21"/>
              </w:rPr>
            </w:pPr>
            <w:r>
              <w:rPr>
                <w:rFonts w:ascii="Times New Roman"/>
                <w:sz w:val="21"/>
                <w:szCs w:val="21"/>
              </w:rPr>
              <w:t>CaCI</w:t>
            </w:r>
            <w:r>
              <w:rPr>
                <w:rFonts w:ascii="Times New Roman"/>
                <w:sz w:val="21"/>
                <w:szCs w:val="21"/>
                <w:vertAlign w:val="subscript"/>
              </w:rPr>
              <w:t>2</w:t>
            </w:r>
          </w:p>
        </w:tc>
        <w:tc>
          <w:tcPr>
            <w:tcW w:w="857" w:type="pct"/>
            <w:vAlign w:val="center"/>
          </w:tcPr>
          <w:p w14:paraId="406DE92D">
            <w:pPr>
              <w:jc w:val="center"/>
              <w:rPr>
                <w:rFonts w:ascii="Times New Roman"/>
                <w:sz w:val="21"/>
                <w:szCs w:val="21"/>
              </w:rPr>
            </w:pPr>
            <w:r>
              <w:rPr>
                <w:rFonts w:ascii="Times New Roman"/>
                <w:sz w:val="21"/>
                <w:szCs w:val="21"/>
              </w:rPr>
              <w:t>7.2t/a</w:t>
            </w:r>
          </w:p>
        </w:tc>
        <w:tc>
          <w:tcPr>
            <w:tcW w:w="648" w:type="pct"/>
            <w:vAlign w:val="center"/>
          </w:tcPr>
          <w:p w14:paraId="0E8C1335">
            <w:pPr>
              <w:jc w:val="center"/>
              <w:rPr>
                <w:rFonts w:ascii="Times New Roman"/>
                <w:sz w:val="21"/>
                <w:szCs w:val="21"/>
              </w:rPr>
            </w:pPr>
            <w:r>
              <w:rPr>
                <w:rFonts w:ascii="Times New Roman"/>
                <w:sz w:val="21"/>
                <w:szCs w:val="21"/>
              </w:rPr>
              <w:t>720kg</w:t>
            </w:r>
          </w:p>
        </w:tc>
        <w:tc>
          <w:tcPr>
            <w:tcW w:w="1424" w:type="pct"/>
            <w:vAlign w:val="center"/>
          </w:tcPr>
          <w:p w14:paraId="294BAA74">
            <w:pPr>
              <w:jc w:val="center"/>
              <w:rPr>
                <w:rFonts w:ascii="Times New Roman"/>
                <w:sz w:val="21"/>
                <w:szCs w:val="21"/>
              </w:rPr>
            </w:pPr>
            <w:r>
              <w:rPr>
                <w:rFonts w:hint="eastAsia" w:ascii="Times New Roman"/>
                <w:sz w:val="21"/>
                <w:szCs w:val="21"/>
              </w:rPr>
              <w:t>危化库</w:t>
            </w:r>
          </w:p>
        </w:tc>
        <w:tc>
          <w:tcPr>
            <w:tcW w:w="536" w:type="pct"/>
            <w:tcBorders>
              <w:right w:val="single" w:color="auto" w:sz="4" w:space="0"/>
            </w:tcBorders>
            <w:vAlign w:val="center"/>
          </w:tcPr>
          <w:p w14:paraId="4B18BEB0">
            <w:pPr>
              <w:jc w:val="center"/>
              <w:rPr>
                <w:rFonts w:ascii="Times New Roman"/>
                <w:sz w:val="21"/>
                <w:szCs w:val="21"/>
              </w:rPr>
            </w:pPr>
            <w:r>
              <w:rPr>
                <w:rFonts w:hint="eastAsia" w:ascii="Times New Roman"/>
                <w:sz w:val="21"/>
                <w:szCs w:val="21"/>
              </w:rPr>
              <w:t>/</w:t>
            </w:r>
          </w:p>
        </w:tc>
        <w:tc>
          <w:tcPr>
            <w:tcW w:w="475" w:type="pct"/>
            <w:vMerge w:val="continue"/>
            <w:tcBorders>
              <w:left w:val="single" w:color="auto" w:sz="4" w:space="0"/>
            </w:tcBorders>
            <w:vAlign w:val="center"/>
          </w:tcPr>
          <w:p w14:paraId="180CB0BC">
            <w:pPr>
              <w:jc w:val="center"/>
              <w:rPr>
                <w:rFonts w:ascii="Times New Roman"/>
                <w:sz w:val="21"/>
                <w:szCs w:val="21"/>
              </w:rPr>
            </w:pPr>
          </w:p>
        </w:tc>
      </w:tr>
      <w:tr w14:paraId="6F616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190E8ADD">
            <w:pPr>
              <w:jc w:val="center"/>
              <w:rPr>
                <w:rFonts w:ascii="Times New Roman"/>
                <w:sz w:val="21"/>
                <w:szCs w:val="21"/>
              </w:rPr>
            </w:pPr>
            <w:r>
              <w:rPr>
                <w:rFonts w:ascii="Times New Roman"/>
                <w:sz w:val="21"/>
                <w:szCs w:val="21"/>
              </w:rPr>
              <w:t>23.</w:t>
            </w:r>
          </w:p>
        </w:tc>
        <w:tc>
          <w:tcPr>
            <w:tcW w:w="763" w:type="pct"/>
            <w:gridSpan w:val="2"/>
            <w:vAlign w:val="center"/>
          </w:tcPr>
          <w:p w14:paraId="7042D74B">
            <w:pPr>
              <w:jc w:val="center"/>
              <w:rPr>
                <w:rFonts w:ascii="Times New Roman"/>
                <w:sz w:val="21"/>
                <w:szCs w:val="21"/>
              </w:rPr>
            </w:pPr>
            <w:r>
              <w:rPr>
                <w:rFonts w:ascii="Times New Roman"/>
                <w:sz w:val="21"/>
                <w:szCs w:val="21"/>
              </w:rPr>
              <w:t>PAM</w:t>
            </w:r>
          </w:p>
        </w:tc>
        <w:tc>
          <w:tcPr>
            <w:tcW w:w="857" w:type="pct"/>
            <w:vAlign w:val="center"/>
          </w:tcPr>
          <w:p w14:paraId="28582014">
            <w:pPr>
              <w:jc w:val="center"/>
              <w:rPr>
                <w:rFonts w:ascii="Times New Roman"/>
                <w:sz w:val="21"/>
                <w:szCs w:val="21"/>
              </w:rPr>
            </w:pPr>
            <w:r>
              <w:rPr>
                <w:rFonts w:ascii="Times New Roman"/>
                <w:sz w:val="21"/>
                <w:szCs w:val="21"/>
              </w:rPr>
              <w:t>2.4t/a</w:t>
            </w:r>
          </w:p>
        </w:tc>
        <w:tc>
          <w:tcPr>
            <w:tcW w:w="648" w:type="pct"/>
            <w:vAlign w:val="center"/>
          </w:tcPr>
          <w:p w14:paraId="6E87430C">
            <w:pPr>
              <w:jc w:val="center"/>
              <w:rPr>
                <w:rFonts w:ascii="Times New Roman"/>
                <w:sz w:val="21"/>
                <w:szCs w:val="21"/>
              </w:rPr>
            </w:pPr>
            <w:r>
              <w:rPr>
                <w:rFonts w:ascii="Times New Roman"/>
                <w:sz w:val="21"/>
                <w:szCs w:val="21"/>
              </w:rPr>
              <w:t>240kg</w:t>
            </w:r>
          </w:p>
        </w:tc>
        <w:tc>
          <w:tcPr>
            <w:tcW w:w="1424" w:type="pct"/>
            <w:vAlign w:val="center"/>
          </w:tcPr>
          <w:p w14:paraId="114DFC5F">
            <w:pPr>
              <w:jc w:val="center"/>
              <w:rPr>
                <w:rFonts w:ascii="Times New Roman"/>
                <w:sz w:val="21"/>
                <w:szCs w:val="21"/>
              </w:rPr>
            </w:pPr>
            <w:r>
              <w:rPr>
                <w:rFonts w:hint="eastAsia" w:ascii="Times New Roman"/>
                <w:sz w:val="21"/>
                <w:szCs w:val="21"/>
              </w:rPr>
              <w:t>危化库</w:t>
            </w:r>
          </w:p>
        </w:tc>
        <w:tc>
          <w:tcPr>
            <w:tcW w:w="536" w:type="pct"/>
            <w:tcBorders>
              <w:right w:val="single" w:color="auto" w:sz="4" w:space="0"/>
            </w:tcBorders>
            <w:vAlign w:val="center"/>
          </w:tcPr>
          <w:p w14:paraId="18160897">
            <w:pPr>
              <w:jc w:val="center"/>
              <w:rPr>
                <w:rFonts w:ascii="Times New Roman"/>
                <w:sz w:val="21"/>
                <w:szCs w:val="21"/>
              </w:rPr>
            </w:pPr>
            <w:r>
              <w:rPr>
                <w:rFonts w:hint="eastAsia" w:ascii="Times New Roman"/>
                <w:sz w:val="21"/>
                <w:szCs w:val="21"/>
              </w:rPr>
              <w:t>/</w:t>
            </w:r>
          </w:p>
        </w:tc>
        <w:tc>
          <w:tcPr>
            <w:tcW w:w="475" w:type="pct"/>
            <w:vMerge w:val="continue"/>
            <w:tcBorders>
              <w:left w:val="single" w:color="auto" w:sz="4" w:space="0"/>
            </w:tcBorders>
            <w:vAlign w:val="center"/>
          </w:tcPr>
          <w:p w14:paraId="6FB35BBC">
            <w:pPr>
              <w:jc w:val="center"/>
              <w:rPr>
                <w:rFonts w:ascii="Times New Roman"/>
                <w:sz w:val="21"/>
                <w:szCs w:val="21"/>
              </w:rPr>
            </w:pPr>
          </w:p>
        </w:tc>
      </w:tr>
      <w:tr w14:paraId="63805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77183A58">
            <w:pPr>
              <w:jc w:val="center"/>
              <w:rPr>
                <w:rFonts w:ascii="Times New Roman"/>
                <w:sz w:val="21"/>
                <w:szCs w:val="21"/>
              </w:rPr>
            </w:pPr>
            <w:r>
              <w:rPr>
                <w:rFonts w:ascii="Times New Roman"/>
                <w:sz w:val="21"/>
                <w:szCs w:val="21"/>
              </w:rPr>
              <w:t>24.</w:t>
            </w:r>
          </w:p>
        </w:tc>
        <w:tc>
          <w:tcPr>
            <w:tcW w:w="763" w:type="pct"/>
            <w:gridSpan w:val="2"/>
            <w:vAlign w:val="center"/>
          </w:tcPr>
          <w:p w14:paraId="6CDFFE67">
            <w:pPr>
              <w:jc w:val="center"/>
              <w:rPr>
                <w:rFonts w:ascii="Times New Roman"/>
                <w:sz w:val="21"/>
                <w:szCs w:val="21"/>
              </w:rPr>
            </w:pPr>
            <w:r>
              <w:rPr>
                <w:rFonts w:ascii="Times New Roman"/>
                <w:sz w:val="21"/>
                <w:szCs w:val="21"/>
              </w:rPr>
              <w:t>钢丸</w:t>
            </w:r>
          </w:p>
        </w:tc>
        <w:tc>
          <w:tcPr>
            <w:tcW w:w="857" w:type="pct"/>
            <w:vAlign w:val="center"/>
          </w:tcPr>
          <w:p w14:paraId="79F85E97">
            <w:pPr>
              <w:jc w:val="center"/>
              <w:rPr>
                <w:rFonts w:ascii="Times New Roman"/>
                <w:sz w:val="21"/>
                <w:szCs w:val="21"/>
              </w:rPr>
            </w:pPr>
            <w:r>
              <w:rPr>
                <w:rFonts w:ascii="Times New Roman"/>
                <w:sz w:val="21"/>
                <w:szCs w:val="21"/>
              </w:rPr>
              <w:t>300t/a</w:t>
            </w:r>
          </w:p>
        </w:tc>
        <w:tc>
          <w:tcPr>
            <w:tcW w:w="648" w:type="pct"/>
            <w:vAlign w:val="center"/>
          </w:tcPr>
          <w:p w14:paraId="42DD157B">
            <w:pPr>
              <w:jc w:val="center"/>
              <w:rPr>
                <w:rFonts w:ascii="Times New Roman"/>
                <w:sz w:val="21"/>
                <w:szCs w:val="21"/>
              </w:rPr>
            </w:pPr>
            <w:r>
              <w:rPr>
                <w:rFonts w:ascii="Times New Roman"/>
                <w:sz w:val="21"/>
                <w:szCs w:val="21"/>
              </w:rPr>
              <w:t>30t</w:t>
            </w:r>
          </w:p>
        </w:tc>
        <w:tc>
          <w:tcPr>
            <w:tcW w:w="1424" w:type="pct"/>
            <w:vAlign w:val="center"/>
          </w:tcPr>
          <w:p w14:paraId="795CA49D">
            <w:pPr>
              <w:jc w:val="center"/>
              <w:rPr>
                <w:rFonts w:ascii="Times New Roman"/>
                <w:sz w:val="21"/>
                <w:szCs w:val="21"/>
              </w:rPr>
            </w:pPr>
            <w:r>
              <w:rPr>
                <w:rFonts w:hint="eastAsia" w:ascii="Times New Roman"/>
                <w:sz w:val="21"/>
                <w:szCs w:val="21"/>
              </w:rPr>
              <w:t>原料区</w:t>
            </w:r>
          </w:p>
        </w:tc>
        <w:tc>
          <w:tcPr>
            <w:tcW w:w="1011" w:type="pct"/>
            <w:gridSpan w:val="2"/>
            <w:vAlign w:val="center"/>
          </w:tcPr>
          <w:p w14:paraId="26A6254B">
            <w:pPr>
              <w:jc w:val="center"/>
              <w:rPr>
                <w:rFonts w:ascii="Times New Roman"/>
                <w:sz w:val="21"/>
                <w:szCs w:val="21"/>
              </w:rPr>
            </w:pPr>
            <w:r>
              <w:rPr>
                <w:rFonts w:hint="eastAsia" w:ascii="Times New Roman"/>
                <w:sz w:val="21"/>
                <w:szCs w:val="21"/>
              </w:rPr>
              <w:t>/</w:t>
            </w:r>
          </w:p>
        </w:tc>
      </w:tr>
      <w:tr w14:paraId="6669D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37265D40">
            <w:pPr>
              <w:jc w:val="center"/>
              <w:rPr>
                <w:rFonts w:ascii="Times New Roman"/>
                <w:sz w:val="21"/>
                <w:szCs w:val="21"/>
              </w:rPr>
            </w:pPr>
            <w:r>
              <w:rPr>
                <w:rFonts w:ascii="Times New Roman"/>
                <w:sz w:val="21"/>
                <w:szCs w:val="21"/>
              </w:rPr>
              <w:t>25.</w:t>
            </w:r>
          </w:p>
        </w:tc>
        <w:tc>
          <w:tcPr>
            <w:tcW w:w="763" w:type="pct"/>
            <w:gridSpan w:val="2"/>
            <w:vAlign w:val="center"/>
          </w:tcPr>
          <w:p w14:paraId="0CBAD5D6">
            <w:pPr>
              <w:jc w:val="center"/>
              <w:rPr>
                <w:rFonts w:ascii="Times New Roman"/>
                <w:sz w:val="21"/>
                <w:szCs w:val="21"/>
              </w:rPr>
            </w:pPr>
            <w:r>
              <w:rPr>
                <w:rFonts w:ascii="Times New Roman"/>
                <w:sz w:val="21"/>
                <w:szCs w:val="21"/>
              </w:rPr>
              <w:t>外购包装箱</w:t>
            </w:r>
          </w:p>
        </w:tc>
        <w:tc>
          <w:tcPr>
            <w:tcW w:w="857" w:type="pct"/>
            <w:vAlign w:val="center"/>
          </w:tcPr>
          <w:p w14:paraId="2C7842BB">
            <w:pPr>
              <w:jc w:val="center"/>
              <w:rPr>
                <w:rFonts w:ascii="Times New Roman"/>
                <w:sz w:val="21"/>
                <w:szCs w:val="21"/>
              </w:rPr>
            </w:pPr>
            <w:r>
              <w:rPr>
                <w:rFonts w:ascii="Times New Roman"/>
                <w:sz w:val="21"/>
                <w:szCs w:val="21"/>
              </w:rPr>
              <w:t>6000t/a</w:t>
            </w:r>
          </w:p>
        </w:tc>
        <w:tc>
          <w:tcPr>
            <w:tcW w:w="648" w:type="pct"/>
            <w:vAlign w:val="center"/>
          </w:tcPr>
          <w:p w14:paraId="38C4D3BF">
            <w:pPr>
              <w:jc w:val="center"/>
              <w:rPr>
                <w:rFonts w:ascii="Times New Roman"/>
                <w:sz w:val="21"/>
                <w:szCs w:val="21"/>
              </w:rPr>
            </w:pPr>
            <w:r>
              <w:rPr>
                <w:rFonts w:ascii="Times New Roman"/>
                <w:sz w:val="21"/>
                <w:szCs w:val="21"/>
              </w:rPr>
              <w:t>600t</w:t>
            </w:r>
          </w:p>
        </w:tc>
        <w:tc>
          <w:tcPr>
            <w:tcW w:w="1424" w:type="pct"/>
            <w:vAlign w:val="center"/>
          </w:tcPr>
          <w:p w14:paraId="60F1D36C">
            <w:pPr>
              <w:jc w:val="center"/>
              <w:rPr>
                <w:rFonts w:ascii="Times New Roman"/>
                <w:sz w:val="21"/>
                <w:szCs w:val="21"/>
              </w:rPr>
            </w:pPr>
            <w:r>
              <w:rPr>
                <w:rFonts w:ascii="Times New Roman"/>
                <w:sz w:val="21"/>
                <w:szCs w:val="21"/>
              </w:rPr>
              <w:t>成品堆场-包材库（出口项目）</w:t>
            </w:r>
          </w:p>
        </w:tc>
        <w:tc>
          <w:tcPr>
            <w:tcW w:w="1011" w:type="pct"/>
            <w:gridSpan w:val="2"/>
            <w:vAlign w:val="center"/>
          </w:tcPr>
          <w:p w14:paraId="651E8BF5">
            <w:pPr>
              <w:jc w:val="center"/>
              <w:rPr>
                <w:rFonts w:ascii="Times New Roman"/>
                <w:sz w:val="21"/>
                <w:szCs w:val="21"/>
              </w:rPr>
            </w:pPr>
            <w:r>
              <w:rPr>
                <w:rFonts w:hint="eastAsia" w:ascii="Times New Roman"/>
                <w:sz w:val="21"/>
                <w:szCs w:val="21"/>
              </w:rPr>
              <w:t>/</w:t>
            </w:r>
          </w:p>
        </w:tc>
      </w:tr>
      <w:tr w14:paraId="2C370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216A5F99">
            <w:pPr>
              <w:jc w:val="center"/>
              <w:rPr>
                <w:rFonts w:ascii="Times New Roman"/>
                <w:sz w:val="21"/>
                <w:szCs w:val="21"/>
              </w:rPr>
            </w:pPr>
            <w:r>
              <w:rPr>
                <w:rFonts w:ascii="Times New Roman"/>
                <w:sz w:val="21"/>
                <w:szCs w:val="21"/>
              </w:rPr>
              <w:t>26.</w:t>
            </w:r>
          </w:p>
        </w:tc>
        <w:tc>
          <w:tcPr>
            <w:tcW w:w="763" w:type="pct"/>
            <w:gridSpan w:val="2"/>
            <w:vAlign w:val="center"/>
          </w:tcPr>
          <w:p w14:paraId="4D1B5722">
            <w:pPr>
              <w:jc w:val="center"/>
              <w:rPr>
                <w:rFonts w:ascii="Times New Roman"/>
                <w:sz w:val="21"/>
                <w:szCs w:val="21"/>
              </w:rPr>
            </w:pPr>
            <w:r>
              <w:rPr>
                <w:rFonts w:ascii="Times New Roman"/>
                <w:sz w:val="21"/>
                <w:szCs w:val="21"/>
              </w:rPr>
              <w:t>劳保用品</w:t>
            </w:r>
          </w:p>
        </w:tc>
        <w:tc>
          <w:tcPr>
            <w:tcW w:w="857" w:type="pct"/>
            <w:vAlign w:val="center"/>
          </w:tcPr>
          <w:p w14:paraId="6C1043CA">
            <w:pPr>
              <w:jc w:val="center"/>
              <w:rPr>
                <w:rFonts w:ascii="Times New Roman"/>
                <w:sz w:val="21"/>
                <w:szCs w:val="21"/>
              </w:rPr>
            </w:pPr>
            <w:r>
              <w:rPr>
                <w:rFonts w:ascii="Times New Roman"/>
                <w:sz w:val="21"/>
                <w:szCs w:val="21"/>
              </w:rPr>
              <w:t>150000件/a</w:t>
            </w:r>
          </w:p>
        </w:tc>
        <w:tc>
          <w:tcPr>
            <w:tcW w:w="648" w:type="pct"/>
            <w:vAlign w:val="center"/>
          </w:tcPr>
          <w:p w14:paraId="7DEDA021">
            <w:pPr>
              <w:jc w:val="center"/>
              <w:rPr>
                <w:rFonts w:ascii="Times New Roman"/>
                <w:sz w:val="21"/>
                <w:szCs w:val="21"/>
              </w:rPr>
            </w:pPr>
            <w:r>
              <w:rPr>
                <w:rFonts w:ascii="Times New Roman"/>
                <w:sz w:val="21"/>
                <w:szCs w:val="21"/>
              </w:rPr>
              <w:t>15000件</w:t>
            </w:r>
          </w:p>
        </w:tc>
        <w:tc>
          <w:tcPr>
            <w:tcW w:w="1424" w:type="pct"/>
            <w:vAlign w:val="center"/>
          </w:tcPr>
          <w:p w14:paraId="51D449A6">
            <w:pPr>
              <w:jc w:val="center"/>
              <w:rPr>
                <w:rFonts w:ascii="Times New Roman"/>
                <w:sz w:val="21"/>
                <w:szCs w:val="21"/>
              </w:rPr>
            </w:pPr>
            <w:r>
              <w:rPr>
                <w:rFonts w:hint="eastAsia" w:ascii="Times New Roman"/>
                <w:sz w:val="21"/>
                <w:szCs w:val="21"/>
              </w:rPr>
              <w:t>原料区</w:t>
            </w:r>
          </w:p>
        </w:tc>
        <w:tc>
          <w:tcPr>
            <w:tcW w:w="1011" w:type="pct"/>
            <w:gridSpan w:val="2"/>
            <w:vAlign w:val="center"/>
          </w:tcPr>
          <w:p w14:paraId="4037DAA9">
            <w:pPr>
              <w:jc w:val="center"/>
              <w:rPr>
                <w:rFonts w:ascii="Times New Roman"/>
                <w:sz w:val="21"/>
                <w:szCs w:val="21"/>
              </w:rPr>
            </w:pPr>
            <w:r>
              <w:rPr>
                <w:rFonts w:hint="eastAsia" w:ascii="Times New Roman"/>
                <w:sz w:val="21"/>
                <w:szCs w:val="21"/>
              </w:rPr>
              <w:t>/</w:t>
            </w:r>
          </w:p>
        </w:tc>
      </w:tr>
      <w:tr w14:paraId="5A6D1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4E7FA43F">
            <w:pPr>
              <w:jc w:val="center"/>
              <w:rPr>
                <w:rFonts w:ascii="Times New Roman"/>
                <w:sz w:val="21"/>
                <w:szCs w:val="21"/>
              </w:rPr>
            </w:pPr>
            <w:r>
              <w:rPr>
                <w:rFonts w:ascii="Times New Roman"/>
                <w:sz w:val="21"/>
                <w:szCs w:val="21"/>
              </w:rPr>
              <w:t>27.</w:t>
            </w:r>
          </w:p>
        </w:tc>
        <w:tc>
          <w:tcPr>
            <w:tcW w:w="763" w:type="pct"/>
            <w:gridSpan w:val="2"/>
            <w:vAlign w:val="center"/>
          </w:tcPr>
          <w:p w14:paraId="6E800316">
            <w:pPr>
              <w:jc w:val="center"/>
              <w:rPr>
                <w:rFonts w:ascii="Times New Roman"/>
                <w:sz w:val="21"/>
                <w:szCs w:val="21"/>
              </w:rPr>
            </w:pPr>
            <w:r>
              <w:rPr>
                <w:rFonts w:ascii="Times New Roman"/>
                <w:sz w:val="21"/>
                <w:szCs w:val="21"/>
              </w:rPr>
              <w:t>切削液</w:t>
            </w:r>
          </w:p>
        </w:tc>
        <w:tc>
          <w:tcPr>
            <w:tcW w:w="857" w:type="pct"/>
            <w:vAlign w:val="center"/>
          </w:tcPr>
          <w:p w14:paraId="7EBC044F">
            <w:pPr>
              <w:jc w:val="center"/>
              <w:rPr>
                <w:rFonts w:ascii="Times New Roman"/>
                <w:sz w:val="21"/>
                <w:szCs w:val="21"/>
              </w:rPr>
            </w:pPr>
            <w:r>
              <w:rPr>
                <w:rFonts w:ascii="Times New Roman"/>
                <w:sz w:val="21"/>
                <w:szCs w:val="21"/>
              </w:rPr>
              <w:t>15t/a</w:t>
            </w:r>
          </w:p>
        </w:tc>
        <w:tc>
          <w:tcPr>
            <w:tcW w:w="648" w:type="pct"/>
            <w:vAlign w:val="center"/>
          </w:tcPr>
          <w:p w14:paraId="16303E70">
            <w:pPr>
              <w:jc w:val="center"/>
              <w:rPr>
                <w:rFonts w:ascii="Times New Roman"/>
                <w:sz w:val="21"/>
                <w:szCs w:val="21"/>
              </w:rPr>
            </w:pPr>
            <w:r>
              <w:rPr>
                <w:rFonts w:ascii="Times New Roman"/>
                <w:sz w:val="21"/>
                <w:szCs w:val="21"/>
              </w:rPr>
              <w:t>2t</w:t>
            </w:r>
          </w:p>
        </w:tc>
        <w:tc>
          <w:tcPr>
            <w:tcW w:w="1424" w:type="pct"/>
            <w:vAlign w:val="center"/>
          </w:tcPr>
          <w:p w14:paraId="11CA6E54">
            <w:pPr>
              <w:jc w:val="center"/>
              <w:rPr>
                <w:rFonts w:ascii="Times New Roman"/>
                <w:sz w:val="21"/>
                <w:szCs w:val="21"/>
              </w:rPr>
            </w:pPr>
            <w:r>
              <w:rPr>
                <w:rFonts w:hint="eastAsia" w:ascii="Times New Roman"/>
                <w:sz w:val="21"/>
                <w:szCs w:val="21"/>
              </w:rPr>
              <w:t>原料区</w:t>
            </w:r>
          </w:p>
        </w:tc>
        <w:tc>
          <w:tcPr>
            <w:tcW w:w="1011" w:type="pct"/>
            <w:gridSpan w:val="2"/>
            <w:vAlign w:val="center"/>
          </w:tcPr>
          <w:p w14:paraId="693CA241">
            <w:pPr>
              <w:jc w:val="center"/>
              <w:rPr>
                <w:rFonts w:ascii="Times New Roman"/>
                <w:sz w:val="21"/>
                <w:szCs w:val="21"/>
              </w:rPr>
            </w:pPr>
            <w:r>
              <w:rPr>
                <w:rFonts w:hint="eastAsia" w:ascii="Times New Roman"/>
                <w:sz w:val="21"/>
                <w:szCs w:val="21"/>
              </w:rPr>
              <w:t>/</w:t>
            </w:r>
          </w:p>
        </w:tc>
      </w:tr>
      <w:tr w14:paraId="4C53A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0592C9D7">
            <w:pPr>
              <w:jc w:val="center"/>
              <w:rPr>
                <w:rFonts w:ascii="Times New Roman"/>
                <w:sz w:val="21"/>
                <w:szCs w:val="21"/>
              </w:rPr>
            </w:pPr>
            <w:r>
              <w:rPr>
                <w:rFonts w:ascii="Times New Roman"/>
                <w:sz w:val="21"/>
                <w:szCs w:val="21"/>
              </w:rPr>
              <w:t>28.</w:t>
            </w:r>
          </w:p>
        </w:tc>
        <w:tc>
          <w:tcPr>
            <w:tcW w:w="763" w:type="pct"/>
            <w:gridSpan w:val="2"/>
            <w:vAlign w:val="center"/>
          </w:tcPr>
          <w:p w14:paraId="24EABA49">
            <w:pPr>
              <w:jc w:val="center"/>
              <w:rPr>
                <w:rFonts w:ascii="Times New Roman"/>
                <w:sz w:val="21"/>
                <w:szCs w:val="21"/>
              </w:rPr>
            </w:pPr>
            <w:r>
              <w:rPr>
                <w:rFonts w:ascii="Times New Roman"/>
                <w:sz w:val="21"/>
                <w:szCs w:val="21"/>
              </w:rPr>
              <w:t>无铅焊丝</w:t>
            </w:r>
          </w:p>
        </w:tc>
        <w:tc>
          <w:tcPr>
            <w:tcW w:w="857" w:type="pct"/>
            <w:vAlign w:val="center"/>
          </w:tcPr>
          <w:p w14:paraId="1F1EF58C">
            <w:pPr>
              <w:jc w:val="center"/>
              <w:rPr>
                <w:rFonts w:ascii="Times New Roman"/>
                <w:sz w:val="21"/>
                <w:szCs w:val="21"/>
              </w:rPr>
            </w:pPr>
            <w:r>
              <w:rPr>
                <w:rFonts w:ascii="Times New Roman"/>
                <w:sz w:val="21"/>
                <w:szCs w:val="21"/>
              </w:rPr>
              <w:t>600t/a</w:t>
            </w:r>
          </w:p>
        </w:tc>
        <w:tc>
          <w:tcPr>
            <w:tcW w:w="648" w:type="pct"/>
            <w:vAlign w:val="center"/>
          </w:tcPr>
          <w:p w14:paraId="7FCD9D2D">
            <w:pPr>
              <w:jc w:val="center"/>
              <w:rPr>
                <w:rFonts w:ascii="Times New Roman"/>
                <w:sz w:val="21"/>
                <w:szCs w:val="21"/>
              </w:rPr>
            </w:pPr>
            <w:r>
              <w:rPr>
                <w:rFonts w:ascii="Times New Roman"/>
                <w:sz w:val="21"/>
                <w:szCs w:val="21"/>
              </w:rPr>
              <w:t>60t</w:t>
            </w:r>
          </w:p>
        </w:tc>
        <w:tc>
          <w:tcPr>
            <w:tcW w:w="1424" w:type="pct"/>
            <w:vAlign w:val="center"/>
          </w:tcPr>
          <w:p w14:paraId="3AF1CD66">
            <w:pPr>
              <w:jc w:val="center"/>
              <w:rPr>
                <w:rFonts w:ascii="Times New Roman"/>
                <w:sz w:val="21"/>
                <w:szCs w:val="21"/>
              </w:rPr>
            </w:pPr>
            <w:r>
              <w:rPr>
                <w:rFonts w:hint="eastAsia" w:ascii="Times New Roman"/>
                <w:sz w:val="21"/>
                <w:szCs w:val="21"/>
              </w:rPr>
              <w:t>原料区</w:t>
            </w:r>
          </w:p>
        </w:tc>
        <w:tc>
          <w:tcPr>
            <w:tcW w:w="1011" w:type="pct"/>
            <w:gridSpan w:val="2"/>
            <w:vAlign w:val="center"/>
          </w:tcPr>
          <w:p w14:paraId="33E96FA4">
            <w:pPr>
              <w:jc w:val="center"/>
              <w:rPr>
                <w:rFonts w:ascii="Times New Roman"/>
                <w:sz w:val="21"/>
                <w:szCs w:val="21"/>
              </w:rPr>
            </w:pPr>
            <w:r>
              <w:rPr>
                <w:rFonts w:hint="eastAsia" w:ascii="Times New Roman"/>
                <w:sz w:val="21"/>
                <w:szCs w:val="21"/>
              </w:rPr>
              <w:t>/</w:t>
            </w:r>
          </w:p>
        </w:tc>
      </w:tr>
      <w:tr w14:paraId="5C916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77E374A3">
            <w:pPr>
              <w:jc w:val="center"/>
              <w:rPr>
                <w:rFonts w:ascii="Times New Roman"/>
                <w:sz w:val="21"/>
                <w:szCs w:val="21"/>
              </w:rPr>
            </w:pPr>
            <w:r>
              <w:rPr>
                <w:rFonts w:ascii="Times New Roman"/>
                <w:sz w:val="21"/>
                <w:szCs w:val="21"/>
              </w:rPr>
              <w:t>29.</w:t>
            </w:r>
          </w:p>
        </w:tc>
        <w:tc>
          <w:tcPr>
            <w:tcW w:w="763" w:type="pct"/>
            <w:gridSpan w:val="2"/>
            <w:vAlign w:val="center"/>
          </w:tcPr>
          <w:p w14:paraId="5B6BE946">
            <w:pPr>
              <w:jc w:val="center"/>
              <w:rPr>
                <w:rFonts w:ascii="Times New Roman"/>
                <w:sz w:val="21"/>
                <w:szCs w:val="21"/>
              </w:rPr>
            </w:pPr>
            <w:r>
              <w:rPr>
                <w:rFonts w:hint="eastAsia" w:ascii="Times New Roman"/>
                <w:sz w:val="21"/>
                <w:szCs w:val="21"/>
              </w:rPr>
              <w:t>焊条</w:t>
            </w:r>
          </w:p>
        </w:tc>
        <w:tc>
          <w:tcPr>
            <w:tcW w:w="857" w:type="pct"/>
            <w:vAlign w:val="center"/>
          </w:tcPr>
          <w:p w14:paraId="4392C3E2">
            <w:pPr>
              <w:jc w:val="center"/>
              <w:rPr>
                <w:rFonts w:ascii="Times New Roman"/>
                <w:sz w:val="21"/>
                <w:szCs w:val="21"/>
              </w:rPr>
            </w:pPr>
            <w:r>
              <w:rPr>
                <w:rFonts w:hint="eastAsia" w:ascii="Times New Roman"/>
                <w:sz w:val="21"/>
                <w:szCs w:val="21"/>
              </w:rPr>
              <w:t>1</w:t>
            </w:r>
            <w:r>
              <w:rPr>
                <w:rFonts w:ascii="Times New Roman"/>
                <w:sz w:val="21"/>
                <w:szCs w:val="21"/>
              </w:rPr>
              <w:t>t/a</w:t>
            </w:r>
          </w:p>
        </w:tc>
        <w:tc>
          <w:tcPr>
            <w:tcW w:w="648" w:type="pct"/>
            <w:vAlign w:val="center"/>
          </w:tcPr>
          <w:p w14:paraId="1C69E50B">
            <w:pPr>
              <w:jc w:val="center"/>
              <w:rPr>
                <w:rFonts w:ascii="Times New Roman"/>
                <w:sz w:val="21"/>
                <w:szCs w:val="21"/>
              </w:rPr>
            </w:pPr>
            <w:r>
              <w:rPr>
                <w:rFonts w:hint="eastAsia" w:ascii="Times New Roman"/>
                <w:sz w:val="21"/>
                <w:szCs w:val="21"/>
              </w:rPr>
              <w:t>1</w:t>
            </w:r>
            <w:r>
              <w:rPr>
                <w:rFonts w:ascii="Times New Roman"/>
                <w:sz w:val="21"/>
                <w:szCs w:val="21"/>
              </w:rPr>
              <w:t>t/a</w:t>
            </w:r>
          </w:p>
        </w:tc>
        <w:tc>
          <w:tcPr>
            <w:tcW w:w="1424" w:type="pct"/>
            <w:vAlign w:val="center"/>
          </w:tcPr>
          <w:p w14:paraId="21051D39">
            <w:pPr>
              <w:jc w:val="center"/>
              <w:rPr>
                <w:rFonts w:ascii="Times New Roman"/>
                <w:sz w:val="21"/>
                <w:szCs w:val="21"/>
              </w:rPr>
            </w:pPr>
            <w:r>
              <w:rPr>
                <w:rFonts w:hint="eastAsia" w:ascii="Times New Roman"/>
                <w:sz w:val="21"/>
                <w:szCs w:val="21"/>
              </w:rPr>
              <w:t>原料区</w:t>
            </w:r>
          </w:p>
        </w:tc>
        <w:tc>
          <w:tcPr>
            <w:tcW w:w="1011" w:type="pct"/>
            <w:gridSpan w:val="2"/>
            <w:vAlign w:val="center"/>
          </w:tcPr>
          <w:p w14:paraId="280A14F9">
            <w:pPr>
              <w:jc w:val="center"/>
              <w:rPr>
                <w:rFonts w:ascii="Times New Roman"/>
                <w:sz w:val="21"/>
                <w:szCs w:val="21"/>
              </w:rPr>
            </w:pPr>
            <w:r>
              <w:rPr>
                <w:rFonts w:hint="eastAsia" w:ascii="Times New Roman"/>
                <w:sz w:val="21"/>
                <w:szCs w:val="21"/>
              </w:rPr>
              <w:t>/</w:t>
            </w:r>
          </w:p>
        </w:tc>
      </w:tr>
      <w:tr w14:paraId="15755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4A57E896">
            <w:pPr>
              <w:jc w:val="center"/>
              <w:rPr>
                <w:rFonts w:ascii="Times New Roman"/>
                <w:sz w:val="21"/>
                <w:szCs w:val="21"/>
              </w:rPr>
            </w:pPr>
            <w:r>
              <w:rPr>
                <w:rFonts w:ascii="Times New Roman"/>
                <w:sz w:val="21"/>
                <w:szCs w:val="21"/>
              </w:rPr>
              <w:t>30.</w:t>
            </w:r>
          </w:p>
        </w:tc>
        <w:tc>
          <w:tcPr>
            <w:tcW w:w="763" w:type="pct"/>
            <w:gridSpan w:val="2"/>
            <w:vAlign w:val="center"/>
          </w:tcPr>
          <w:p w14:paraId="17527504">
            <w:pPr>
              <w:jc w:val="center"/>
              <w:rPr>
                <w:rFonts w:ascii="Times New Roman"/>
                <w:sz w:val="21"/>
                <w:szCs w:val="21"/>
              </w:rPr>
            </w:pPr>
            <w:r>
              <w:rPr>
                <w:rFonts w:ascii="Times New Roman"/>
                <w:sz w:val="21"/>
                <w:szCs w:val="21"/>
              </w:rPr>
              <w:t>润滑油/脂</w:t>
            </w:r>
          </w:p>
        </w:tc>
        <w:tc>
          <w:tcPr>
            <w:tcW w:w="857" w:type="pct"/>
            <w:vAlign w:val="center"/>
          </w:tcPr>
          <w:p w14:paraId="33068C6B">
            <w:pPr>
              <w:jc w:val="center"/>
              <w:rPr>
                <w:rFonts w:ascii="Times New Roman"/>
                <w:sz w:val="21"/>
                <w:szCs w:val="21"/>
              </w:rPr>
            </w:pPr>
            <w:r>
              <w:rPr>
                <w:rFonts w:ascii="Times New Roman"/>
                <w:sz w:val="21"/>
                <w:szCs w:val="21"/>
              </w:rPr>
              <w:t>4t/a</w:t>
            </w:r>
          </w:p>
        </w:tc>
        <w:tc>
          <w:tcPr>
            <w:tcW w:w="648" w:type="pct"/>
            <w:vAlign w:val="center"/>
          </w:tcPr>
          <w:p w14:paraId="7D8ECD59">
            <w:pPr>
              <w:jc w:val="center"/>
              <w:rPr>
                <w:rFonts w:ascii="Times New Roman"/>
                <w:sz w:val="21"/>
                <w:szCs w:val="21"/>
              </w:rPr>
            </w:pPr>
            <w:r>
              <w:rPr>
                <w:rFonts w:ascii="Times New Roman"/>
                <w:sz w:val="21"/>
                <w:szCs w:val="21"/>
              </w:rPr>
              <w:t>1t</w:t>
            </w:r>
          </w:p>
        </w:tc>
        <w:tc>
          <w:tcPr>
            <w:tcW w:w="1424" w:type="pct"/>
            <w:shd w:val="clear" w:color="auto" w:fill="auto"/>
            <w:vAlign w:val="center"/>
          </w:tcPr>
          <w:p w14:paraId="14F667DF">
            <w:pPr>
              <w:jc w:val="center"/>
              <w:rPr>
                <w:rFonts w:ascii="Times New Roman"/>
                <w:sz w:val="21"/>
                <w:szCs w:val="21"/>
              </w:rPr>
            </w:pPr>
            <w:r>
              <w:rPr>
                <w:rFonts w:hint="eastAsia" w:ascii="Times New Roman"/>
                <w:sz w:val="21"/>
                <w:szCs w:val="21"/>
              </w:rPr>
              <w:t>危化库</w:t>
            </w:r>
          </w:p>
        </w:tc>
        <w:tc>
          <w:tcPr>
            <w:tcW w:w="1011" w:type="pct"/>
            <w:gridSpan w:val="2"/>
            <w:shd w:val="clear" w:color="auto" w:fill="auto"/>
            <w:vAlign w:val="center"/>
          </w:tcPr>
          <w:p w14:paraId="545D425B">
            <w:pPr>
              <w:jc w:val="center"/>
              <w:rPr>
                <w:rFonts w:ascii="Times New Roman"/>
                <w:sz w:val="21"/>
                <w:szCs w:val="21"/>
              </w:rPr>
            </w:pPr>
            <w:r>
              <w:rPr>
                <w:rFonts w:hint="eastAsia" w:ascii="Times New Roman"/>
                <w:sz w:val="21"/>
                <w:szCs w:val="21"/>
              </w:rPr>
              <w:t>/</w:t>
            </w:r>
          </w:p>
        </w:tc>
      </w:tr>
      <w:tr w14:paraId="48F78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37304312">
            <w:pPr>
              <w:jc w:val="center"/>
              <w:rPr>
                <w:rFonts w:ascii="Times New Roman"/>
                <w:sz w:val="21"/>
                <w:szCs w:val="21"/>
              </w:rPr>
            </w:pPr>
            <w:r>
              <w:rPr>
                <w:rFonts w:ascii="Times New Roman"/>
                <w:sz w:val="21"/>
                <w:szCs w:val="21"/>
              </w:rPr>
              <w:t>31.</w:t>
            </w:r>
          </w:p>
        </w:tc>
        <w:tc>
          <w:tcPr>
            <w:tcW w:w="763" w:type="pct"/>
            <w:gridSpan w:val="2"/>
            <w:vAlign w:val="center"/>
          </w:tcPr>
          <w:p w14:paraId="0312E630">
            <w:pPr>
              <w:jc w:val="center"/>
              <w:rPr>
                <w:rFonts w:ascii="Times New Roman"/>
                <w:sz w:val="21"/>
                <w:szCs w:val="21"/>
              </w:rPr>
            </w:pPr>
            <w:r>
              <w:rPr>
                <w:rFonts w:hint="eastAsia" w:ascii="Times New Roman"/>
                <w:sz w:val="21"/>
                <w:szCs w:val="21"/>
              </w:rPr>
              <w:t>液压油</w:t>
            </w:r>
          </w:p>
        </w:tc>
        <w:tc>
          <w:tcPr>
            <w:tcW w:w="857" w:type="pct"/>
            <w:vAlign w:val="center"/>
          </w:tcPr>
          <w:p w14:paraId="2FB2E22C">
            <w:pPr>
              <w:jc w:val="center"/>
              <w:rPr>
                <w:rFonts w:ascii="Times New Roman"/>
                <w:sz w:val="21"/>
                <w:szCs w:val="21"/>
              </w:rPr>
            </w:pPr>
            <w:r>
              <w:rPr>
                <w:rFonts w:hint="eastAsia" w:ascii="Times New Roman"/>
                <w:sz w:val="21"/>
                <w:szCs w:val="21"/>
              </w:rPr>
              <w:t>2</w:t>
            </w:r>
          </w:p>
        </w:tc>
        <w:tc>
          <w:tcPr>
            <w:tcW w:w="648" w:type="pct"/>
            <w:vAlign w:val="center"/>
          </w:tcPr>
          <w:p w14:paraId="44609D5E">
            <w:pPr>
              <w:jc w:val="center"/>
              <w:rPr>
                <w:rFonts w:ascii="Times New Roman"/>
                <w:sz w:val="21"/>
                <w:szCs w:val="21"/>
              </w:rPr>
            </w:pPr>
            <w:r>
              <w:rPr>
                <w:rFonts w:hint="eastAsia" w:ascii="Times New Roman"/>
                <w:sz w:val="21"/>
                <w:szCs w:val="21"/>
              </w:rPr>
              <w:t>2t</w:t>
            </w:r>
          </w:p>
        </w:tc>
        <w:tc>
          <w:tcPr>
            <w:tcW w:w="1424" w:type="pct"/>
            <w:shd w:val="clear" w:color="auto" w:fill="auto"/>
            <w:vAlign w:val="center"/>
          </w:tcPr>
          <w:p w14:paraId="21F6C407">
            <w:pPr>
              <w:jc w:val="center"/>
              <w:rPr>
                <w:rFonts w:ascii="Times New Roman"/>
                <w:sz w:val="21"/>
                <w:szCs w:val="21"/>
              </w:rPr>
            </w:pPr>
            <w:r>
              <w:rPr>
                <w:rFonts w:hint="eastAsia" w:ascii="Times New Roman"/>
                <w:sz w:val="21"/>
                <w:szCs w:val="21"/>
              </w:rPr>
              <w:t>危化库</w:t>
            </w:r>
          </w:p>
        </w:tc>
        <w:tc>
          <w:tcPr>
            <w:tcW w:w="1011" w:type="pct"/>
            <w:gridSpan w:val="2"/>
            <w:shd w:val="clear" w:color="auto" w:fill="auto"/>
            <w:vAlign w:val="center"/>
          </w:tcPr>
          <w:p w14:paraId="5064B451">
            <w:pPr>
              <w:jc w:val="center"/>
              <w:rPr>
                <w:rFonts w:ascii="Times New Roman"/>
                <w:sz w:val="21"/>
                <w:szCs w:val="21"/>
              </w:rPr>
            </w:pPr>
            <w:r>
              <w:rPr>
                <w:rFonts w:hint="eastAsia" w:ascii="Times New Roman"/>
                <w:sz w:val="21"/>
                <w:szCs w:val="21"/>
              </w:rPr>
              <w:t>/</w:t>
            </w:r>
          </w:p>
        </w:tc>
      </w:tr>
      <w:tr w14:paraId="5C478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21CED24A">
            <w:pPr>
              <w:jc w:val="center"/>
              <w:rPr>
                <w:rFonts w:ascii="Times New Roman"/>
                <w:sz w:val="21"/>
                <w:szCs w:val="21"/>
              </w:rPr>
            </w:pPr>
            <w:r>
              <w:rPr>
                <w:rFonts w:ascii="Times New Roman"/>
                <w:sz w:val="21"/>
                <w:szCs w:val="21"/>
              </w:rPr>
              <w:t>32.</w:t>
            </w:r>
          </w:p>
        </w:tc>
        <w:tc>
          <w:tcPr>
            <w:tcW w:w="763" w:type="pct"/>
            <w:gridSpan w:val="2"/>
            <w:vAlign w:val="center"/>
          </w:tcPr>
          <w:p w14:paraId="718DB3CB">
            <w:pPr>
              <w:jc w:val="center"/>
              <w:rPr>
                <w:rFonts w:ascii="Times New Roman"/>
                <w:sz w:val="21"/>
                <w:szCs w:val="21"/>
              </w:rPr>
            </w:pPr>
            <w:r>
              <w:rPr>
                <w:rFonts w:ascii="Times New Roman"/>
                <w:sz w:val="21"/>
                <w:szCs w:val="21"/>
              </w:rPr>
              <w:t>淬火油</w:t>
            </w:r>
          </w:p>
        </w:tc>
        <w:tc>
          <w:tcPr>
            <w:tcW w:w="857" w:type="pct"/>
            <w:vAlign w:val="center"/>
          </w:tcPr>
          <w:p w14:paraId="21826ABC">
            <w:pPr>
              <w:jc w:val="center"/>
              <w:rPr>
                <w:rFonts w:ascii="Times New Roman"/>
                <w:sz w:val="21"/>
                <w:szCs w:val="21"/>
              </w:rPr>
            </w:pPr>
            <w:r>
              <w:rPr>
                <w:rFonts w:hint="eastAsia" w:ascii="Times New Roman"/>
                <w:sz w:val="21"/>
                <w:szCs w:val="21"/>
              </w:rPr>
              <w:t>80</w:t>
            </w:r>
            <w:r>
              <w:rPr>
                <w:rFonts w:ascii="Times New Roman"/>
                <w:sz w:val="21"/>
                <w:szCs w:val="21"/>
              </w:rPr>
              <w:t>t/a</w:t>
            </w:r>
          </w:p>
        </w:tc>
        <w:tc>
          <w:tcPr>
            <w:tcW w:w="648" w:type="pct"/>
            <w:vAlign w:val="center"/>
          </w:tcPr>
          <w:p w14:paraId="0D210429">
            <w:pPr>
              <w:jc w:val="center"/>
              <w:rPr>
                <w:rFonts w:ascii="Times New Roman"/>
                <w:sz w:val="21"/>
                <w:szCs w:val="21"/>
              </w:rPr>
            </w:pPr>
            <w:r>
              <w:rPr>
                <w:rFonts w:hint="eastAsia" w:ascii="Times New Roman"/>
                <w:sz w:val="21"/>
                <w:szCs w:val="21"/>
              </w:rPr>
              <w:t>80</w:t>
            </w:r>
            <w:r>
              <w:rPr>
                <w:rFonts w:ascii="Times New Roman"/>
                <w:sz w:val="21"/>
                <w:szCs w:val="21"/>
              </w:rPr>
              <w:t>t/a</w:t>
            </w:r>
          </w:p>
        </w:tc>
        <w:tc>
          <w:tcPr>
            <w:tcW w:w="1424" w:type="pct"/>
            <w:shd w:val="clear" w:color="auto" w:fill="auto"/>
            <w:vAlign w:val="center"/>
          </w:tcPr>
          <w:p w14:paraId="71830782">
            <w:pPr>
              <w:jc w:val="center"/>
              <w:rPr>
                <w:rFonts w:ascii="Times New Roman"/>
                <w:sz w:val="21"/>
                <w:szCs w:val="21"/>
              </w:rPr>
            </w:pPr>
            <w:r>
              <w:rPr>
                <w:rFonts w:hint="eastAsia" w:ascii="Times New Roman"/>
                <w:sz w:val="21"/>
                <w:szCs w:val="21"/>
              </w:rPr>
              <w:t>危化库</w:t>
            </w:r>
          </w:p>
        </w:tc>
        <w:tc>
          <w:tcPr>
            <w:tcW w:w="1011" w:type="pct"/>
            <w:gridSpan w:val="2"/>
            <w:shd w:val="clear" w:color="auto" w:fill="auto"/>
            <w:vAlign w:val="center"/>
          </w:tcPr>
          <w:p w14:paraId="7E87260D">
            <w:pPr>
              <w:jc w:val="center"/>
              <w:rPr>
                <w:rFonts w:ascii="Times New Roman"/>
                <w:sz w:val="21"/>
                <w:szCs w:val="21"/>
              </w:rPr>
            </w:pPr>
            <w:r>
              <w:rPr>
                <w:rFonts w:hint="eastAsia" w:ascii="Times New Roman"/>
                <w:sz w:val="21"/>
                <w:szCs w:val="21"/>
              </w:rPr>
              <w:t>/</w:t>
            </w:r>
          </w:p>
        </w:tc>
      </w:tr>
      <w:tr w14:paraId="71A8C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7F29D82A">
            <w:pPr>
              <w:jc w:val="center"/>
              <w:rPr>
                <w:rFonts w:ascii="Times New Roman"/>
                <w:sz w:val="21"/>
                <w:szCs w:val="21"/>
              </w:rPr>
            </w:pPr>
            <w:r>
              <w:rPr>
                <w:rFonts w:ascii="Times New Roman"/>
                <w:sz w:val="21"/>
                <w:szCs w:val="21"/>
              </w:rPr>
              <w:t>33.</w:t>
            </w:r>
          </w:p>
        </w:tc>
        <w:tc>
          <w:tcPr>
            <w:tcW w:w="763" w:type="pct"/>
            <w:gridSpan w:val="2"/>
            <w:vAlign w:val="center"/>
          </w:tcPr>
          <w:p w14:paraId="5E5178CB">
            <w:pPr>
              <w:jc w:val="center"/>
              <w:rPr>
                <w:rFonts w:ascii="Times New Roman"/>
                <w:sz w:val="21"/>
                <w:szCs w:val="21"/>
              </w:rPr>
            </w:pPr>
            <w:r>
              <w:rPr>
                <w:rFonts w:ascii="Times New Roman"/>
                <w:sz w:val="21"/>
                <w:szCs w:val="21"/>
              </w:rPr>
              <w:t>液氧</w:t>
            </w:r>
          </w:p>
        </w:tc>
        <w:tc>
          <w:tcPr>
            <w:tcW w:w="857" w:type="pct"/>
            <w:vAlign w:val="center"/>
          </w:tcPr>
          <w:p w14:paraId="06FA1334">
            <w:pPr>
              <w:jc w:val="center"/>
              <w:rPr>
                <w:rFonts w:ascii="Times New Roman"/>
                <w:sz w:val="21"/>
                <w:szCs w:val="21"/>
              </w:rPr>
            </w:pPr>
            <w:r>
              <w:rPr>
                <w:rFonts w:ascii="Times New Roman"/>
                <w:sz w:val="21"/>
                <w:szCs w:val="21"/>
              </w:rPr>
              <w:t>313t/a</w:t>
            </w:r>
          </w:p>
        </w:tc>
        <w:tc>
          <w:tcPr>
            <w:tcW w:w="648" w:type="pct"/>
            <w:vAlign w:val="center"/>
          </w:tcPr>
          <w:p w14:paraId="444B4B61">
            <w:pPr>
              <w:jc w:val="center"/>
              <w:rPr>
                <w:rFonts w:ascii="Times New Roman"/>
                <w:sz w:val="21"/>
                <w:szCs w:val="21"/>
              </w:rPr>
            </w:pPr>
            <w:r>
              <w:rPr>
                <w:rFonts w:ascii="Times New Roman"/>
                <w:sz w:val="21"/>
                <w:szCs w:val="21"/>
              </w:rPr>
              <w:t>20t</w:t>
            </w:r>
          </w:p>
        </w:tc>
        <w:tc>
          <w:tcPr>
            <w:tcW w:w="1424" w:type="pct"/>
            <w:shd w:val="clear" w:color="auto" w:fill="auto"/>
            <w:vAlign w:val="center"/>
          </w:tcPr>
          <w:p w14:paraId="5B715290">
            <w:pPr>
              <w:jc w:val="center"/>
              <w:rPr>
                <w:rFonts w:ascii="Times New Roman"/>
                <w:sz w:val="21"/>
                <w:szCs w:val="21"/>
              </w:rPr>
            </w:pPr>
            <w:r>
              <w:rPr>
                <w:rFonts w:ascii="Times New Roman"/>
                <w:sz w:val="21"/>
                <w:szCs w:val="21"/>
              </w:rPr>
              <w:t>液气站</w:t>
            </w:r>
          </w:p>
        </w:tc>
        <w:tc>
          <w:tcPr>
            <w:tcW w:w="1011" w:type="pct"/>
            <w:gridSpan w:val="2"/>
            <w:shd w:val="clear" w:color="auto" w:fill="auto"/>
            <w:vAlign w:val="center"/>
          </w:tcPr>
          <w:p w14:paraId="6C48D735">
            <w:pPr>
              <w:jc w:val="center"/>
              <w:rPr>
                <w:rFonts w:ascii="Times New Roman"/>
                <w:sz w:val="21"/>
                <w:szCs w:val="21"/>
              </w:rPr>
            </w:pPr>
            <w:r>
              <w:rPr>
                <w:rFonts w:hint="eastAsia" w:ascii="Times New Roman"/>
                <w:sz w:val="21"/>
                <w:szCs w:val="21"/>
              </w:rPr>
              <w:t>/</w:t>
            </w:r>
          </w:p>
        </w:tc>
      </w:tr>
      <w:tr w14:paraId="48A6F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2C02B41E">
            <w:pPr>
              <w:jc w:val="center"/>
              <w:rPr>
                <w:rFonts w:ascii="Times New Roman"/>
                <w:sz w:val="21"/>
                <w:szCs w:val="21"/>
              </w:rPr>
            </w:pPr>
            <w:r>
              <w:rPr>
                <w:rFonts w:ascii="Times New Roman"/>
                <w:sz w:val="21"/>
                <w:szCs w:val="21"/>
              </w:rPr>
              <w:t>34.</w:t>
            </w:r>
          </w:p>
        </w:tc>
        <w:tc>
          <w:tcPr>
            <w:tcW w:w="763" w:type="pct"/>
            <w:gridSpan w:val="2"/>
            <w:vAlign w:val="center"/>
          </w:tcPr>
          <w:p w14:paraId="6E5078D3">
            <w:pPr>
              <w:jc w:val="center"/>
              <w:rPr>
                <w:rFonts w:ascii="Times New Roman"/>
                <w:sz w:val="21"/>
                <w:szCs w:val="21"/>
              </w:rPr>
            </w:pPr>
            <w:r>
              <w:rPr>
                <w:rFonts w:ascii="Times New Roman"/>
                <w:sz w:val="21"/>
                <w:szCs w:val="21"/>
              </w:rPr>
              <w:t>液氩</w:t>
            </w:r>
          </w:p>
        </w:tc>
        <w:tc>
          <w:tcPr>
            <w:tcW w:w="857" w:type="pct"/>
            <w:vAlign w:val="center"/>
          </w:tcPr>
          <w:p w14:paraId="3AF754A5">
            <w:pPr>
              <w:jc w:val="center"/>
              <w:rPr>
                <w:rFonts w:ascii="Times New Roman"/>
                <w:sz w:val="21"/>
                <w:szCs w:val="21"/>
              </w:rPr>
            </w:pPr>
            <w:r>
              <w:rPr>
                <w:rFonts w:ascii="Times New Roman"/>
                <w:sz w:val="21"/>
                <w:szCs w:val="21"/>
              </w:rPr>
              <w:t>272t/a</w:t>
            </w:r>
          </w:p>
        </w:tc>
        <w:tc>
          <w:tcPr>
            <w:tcW w:w="648" w:type="pct"/>
            <w:vAlign w:val="center"/>
          </w:tcPr>
          <w:p w14:paraId="7DF1652D">
            <w:pPr>
              <w:jc w:val="center"/>
              <w:rPr>
                <w:rFonts w:ascii="Times New Roman"/>
                <w:sz w:val="21"/>
                <w:szCs w:val="21"/>
              </w:rPr>
            </w:pPr>
            <w:r>
              <w:rPr>
                <w:rFonts w:ascii="Times New Roman"/>
                <w:sz w:val="21"/>
                <w:szCs w:val="21"/>
              </w:rPr>
              <w:t>15t</w:t>
            </w:r>
          </w:p>
        </w:tc>
        <w:tc>
          <w:tcPr>
            <w:tcW w:w="1424" w:type="pct"/>
            <w:shd w:val="clear" w:color="auto" w:fill="auto"/>
            <w:vAlign w:val="center"/>
          </w:tcPr>
          <w:p w14:paraId="2F17948C">
            <w:pPr>
              <w:jc w:val="center"/>
              <w:rPr>
                <w:rFonts w:ascii="Times New Roman"/>
                <w:sz w:val="21"/>
                <w:szCs w:val="21"/>
              </w:rPr>
            </w:pPr>
            <w:r>
              <w:rPr>
                <w:rFonts w:ascii="Times New Roman"/>
                <w:sz w:val="21"/>
                <w:szCs w:val="21"/>
              </w:rPr>
              <w:t>液气站</w:t>
            </w:r>
          </w:p>
        </w:tc>
        <w:tc>
          <w:tcPr>
            <w:tcW w:w="1011" w:type="pct"/>
            <w:gridSpan w:val="2"/>
            <w:shd w:val="clear" w:color="auto" w:fill="auto"/>
            <w:vAlign w:val="center"/>
          </w:tcPr>
          <w:p w14:paraId="12F9AD21">
            <w:pPr>
              <w:jc w:val="center"/>
              <w:rPr>
                <w:rFonts w:ascii="Times New Roman"/>
                <w:sz w:val="21"/>
                <w:szCs w:val="21"/>
              </w:rPr>
            </w:pPr>
            <w:r>
              <w:rPr>
                <w:rFonts w:hint="eastAsia" w:ascii="Times New Roman"/>
                <w:sz w:val="21"/>
                <w:szCs w:val="21"/>
              </w:rPr>
              <w:t>/</w:t>
            </w:r>
          </w:p>
        </w:tc>
      </w:tr>
      <w:tr w14:paraId="2B5D5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37A96D97">
            <w:pPr>
              <w:jc w:val="center"/>
              <w:rPr>
                <w:rFonts w:ascii="Times New Roman"/>
                <w:sz w:val="21"/>
                <w:szCs w:val="21"/>
              </w:rPr>
            </w:pPr>
            <w:r>
              <w:rPr>
                <w:rFonts w:ascii="Times New Roman"/>
                <w:sz w:val="21"/>
                <w:szCs w:val="21"/>
              </w:rPr>
              <w:t>35.</w:t>
            </w:r>
          </w:p>
        </w:tc>
        <w:tc>
          <w:tcPr>
            <w:tcW w:w="763" w:type="pct"/>
            <w:gridSpan w:val="2"/>
            <w:vAlign w:val="center"/>
          </w:tcPr>
          <w:p w14:paraId="000219FA">
            <w:pPr>
              <w:jc w:val="center"/>
              <w:rPr>
                <w:rFonts w:ascii="Times New Roman"/>
                <w:sz w:val="21"/>
                <w:szCs w:val="21"/>
              </w:rPr>
            </w:pPr>
            <w:r>
              <w:rPr>
                <w:rFonts w:ascii="Times New Roman"/>
                <w:sz w:val="21"/>
                <w:szCs w:val="21"/>
              </w:rPr>
              <w:t>液态二氧化碳</w:t>
            </w:r>
          </w:p>
        </w:tc>
        <w:tc>
          <w:tcPr>
            <w:tcW w:w="857" w:type="pct"/>
            <w:vAlign w:val="center"/>
          </w:tcPr>
          <w:p w14:paraId="7A356D3B">
            <w:pPr>
              <w:jc w:val="center"/>
              <w:rPr>
                <w:rFonts w:ascii="Times New Roman"/>
                <w:sz w:val="21"/>
                <w:szCs w:val="21"/>
              </w:rPr>
            </w:pPr>
            <w:r>
              <w:rPr>
                <w:rFonts w:ascii="Times New Roman"/>
                <w:sz w:val="21"/>
                <w:szCs w:val="21"/>
              </w:rPr>
              <w:t>68t/a</w:t>
            </w:r>
          </w:p>
        </w:tc>
        <w:tc>
          <w:tcPr>
            <w:tcW w:w="648" w:type="pct"/>
            <w:vAlign w:val="center"/>
          </w:tcPr>
          <w:p w14:paraId="1E98707A">
            <w:pPr>
              <w:jc w:val="center"/>
              <w:rPr>
                <w:rFonts w:ascii="Times New Roman"/>
                <w:sz w:val="21"/>
                <w:szCs w:val="21"/>
              </w:rPr>
            </w:pPr>
            <w:r>
              <w:rPr>
                <w:rFonts w:ascii="Times New Roman"/>
                <w:sz w:val="21"/>
                <w:szCs w:val="21"/>
              </w:rPr>
              <w:t>4.25t</w:t>
            </w:r>
          </w:p>
        </w:tc>
        <w:tc>
          <w:tcPr>
            <w:tcW w:w="1424" w:type="pct"/>
            <w:vAlign w:val="center"/>
          </w:tcPr>
          <w:p w14:paraId="25336F42">
            <w:pPr>
              <w:jc w:val="center"/>
              <w:rPr>
                <w:rFonts w:ascii="Times New Roman"/>
                <w:sz w:val="21"/>
                <w:szCs w:val="21"/>
              </w:rPr>
            </w:pPr>
            <w:r>
              <w:rPr>
                <w:rFonts w:ascii="Times New Roman"/>
                <w:sz w:val="21"/>
                <w:szCs w:val="21"/>
              </w:rPr>
              <w:t>液气站</w:t>
            </w:r>
          </w:p>
        </w:tc>
        <w:tc>
          <w:tcPr>
            <w:tcW w:w="1011" w:type="pct"/>
            <w:gridSpan w:val="2"/>
            <w:vAlign w:val="center"/>
          </w:tcPr>
          <w:p w14:paraId="6B987E8F">
            <w:pPr>
              <w:jc w:val="center"/>
              <w:rPr>
                <w:rFonts w:ascii="Times New Roman"/>
                <w:sz w:val="21"/>
                <w:szCs w:val="21"/>
              </w:rPr>
            </w:pPr>
            <w:r>
              <w:rPr>
                <w:rFonts w:hint="eastAsia" w:ascii="Times New Roman"/>
                <w:sz w:val="21"/>
                <w:szCs w:val="21"/>
              </w:rPr>
              <w:t>/</w:t>
            </w:r>
          </w:p>
        </w:tc>
      </w:tr>
      <w:tr w14:paraId="33CD7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35E366BC">
            <w:pPr>
              <w:jc w:val="center"/>
              <w:rPr>
                <w:rFonts w:ascii="Times New Roman"/>
                <w:sz w:val="21"/>
                <w:szCs w:val="21"/>
              </w:rPr>
            </w:pPr>
            <w:r>
              <w:rPr>
                <w:rFonts w:ascii="Times New Roman"/>
                <w:sz w:val="21"/>
                <w:szCs w:val="21"/>
              </w:rPr>
              <w:t>36.</w:t>
            </w:r>
          </w:p>
        </w:tc>
        <w:tc>
          <w:tcPr>
            <w:tcW w:w="763" w:type="pct"/>
            <w:gridSpan w:val="2"/>
            <w:vAlign w:val="center"/>
          </w:tcPr>
          <w:p w14:paraId="32D3723F">
            <w:pPr>
              <w:jc w:val="center"/>
              <w:rPr>
                <w:rFonts w:ascii="Times New Roman"/>
                <w:sz w:val="21"/>
                <w:szCs w:val="21"/>
              </w:rPr>
            </w:pPr>
            <w:r>
              <w:rPr>
                <w:rFonts w:ascii="Times New Roman"/>
                <w:sz w:val="21"/>
                <w:szCs w:val="21"/>
              </w:rPr>
              <w:t>丙烷</w:t>
            </w:r>
          </w:p>
        </w:tc>
        <w:tc>
          <w:tcPr>
            <w:tcW w:w="857" w:type="pct"/>
            <w:vAlign w:val="center"/>
          </w:tcPr>
          <w:p w14:paraId="633581BC">
            <w:pPr>
              <w:jc w:val="center"/>
              <w:rPr>
                <w:rFonts w:ascii="Times New Roman"/>
                <w:sz w:val="21"/>
                <w:szCs w:val="21"/>
              </w:rPr>
            </w:pPr>
            <w:r>
              <w:rPr>
                <w:rFonts w:hint="eastAsia" w:ascii="Times New Roman"/>
                <w:sz w:val="21"/>
                <w:szCs w:val="21"/>
              </w:rPr>
              <w:t>1</w:t>
            </w:r>
            <w:r>
              <w:rPr>
                <w:rFonts w:ascii="Times New Roman"/>
                <w:sz w:val="21"/>
                <w:szCs w:val="21"/>
              </w:rPr>
              <w:t>t/a</w:t>
            </w:r>
          </w:p>
        </w:tc>
        <w:tc>
          <w:tcPr>
            <w:tcW w:w="648" w:type="pct"/>
            <w:vAlign w:val="center"/>
          </w:tcPr>
          <w:p w14:paraId="30A97CB2">
            <w:pPr>
              <w:jc w:val="center"/>
              <w:rPr>
                <w:rFonts w:ascii="Times New Roman"/>
                <w:sz w:val="21"/>
                <w:szCs w:val="21"/>
              </w:rPr>
            </w:pPr>
            <w:r>
              <w:rPr>
                <w:rFonts w:hint="eastAsia" w:ascii="Times New Roman"/>
                <w:sz w:val="21"/>
                <w:szCs w:val="21"/>
              </w:rPr>
              <w:t>100kg</w:t>
            </w:r>
          </w:p>
        </w:tc>
        <w:tc>
          <w:tcPr>
            <w:tcW w:w="1424" w:type="pct"/>
            <w:vAlign w:val="center"/>
          </w:tcPr>
          <w:p w14:paraId="7CC74D27">
            <w:pPr>
              <w:jc w:val="center"/>
              <w:rPr>
                <w:rFonts w:ascii="Times New Roman"/>
                <w:sz w:val="21"/>
                <w:szCs w:val="21"/>
              </w:rPr>
            </w:pPr>
            <w:r>
              <w:rPr>
                <w:rFonts w:hint="eastAsia" w:ascii="Times New Roman"/>
                <w:sz w:val="21"/>
                <w:szCs w:val="21"/>
              </w:rPr>
              <w:t>危化库</w:t>
            </w:r>
          </w:p>
        </w:tc>
        <w:tc>
          <w:tcPr>
            <w:tcW w:w="1011" w:type="pct"/>
            <w:gridSpan w:val="2"/>
            <w:vAlign w:val="center"/>
          </w:tcPr>
          <w:p w14:paraId="55106956">
            <w:pPr>
              <w:jc w:val="center"/>
              <w:rPr>
                <w:rFonts w:ascii="Times New Roman"/>
                <w:sz w:val="21"/>
                <w:szCs w:val="21"/>
              </w:rPr>
            </w:pPr>
            <w:r>
              <w:rPr>
                <w:rFonts w:hint="eastAsia" w:ascii="Times New Roman"/>
                <w:sz w:val="21"/>
                <w:szCs w:val="21"/>
              </w:rPr>
              <w:t>30kg/瓶</w:t>
            </w:r>
          </w:p>
        </w:tc>
      </w:tr>
      <w:tr w14:paraId="727A1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39AE667A">
            <w:pPr>
              <w:jc w:val="center"/>
              <w:rPr>
                <w:rFonts w:ascii="Times New Roman"/>
                <w:sz w:val="21"/>
                <w:szCs w:val="21"/>
              </w:rPr>
            </w:pPr>
            <w:r>
              <w:rPr>
                <w:rFonts w:ascii="Times New Roman"/>
                <w:sz w:val="21"/>
                <w:szCs w:val="21"/>
              </w:rPr>
              <w:t>37.</w:t>
            </w:r>
          </w:p>
        </w:tc>
        <w:tc>
          <w:tcPr>
            <w:tcW w:w="763" w:type="pct"/>
            <w:gridSpan w:val="2"/>
            <w:vAlign w:val="center"/>
          </w:tcPr>
          <w:p w14:paraId="3E9136C5">
            <w:pPr>
              <w:jc w:val="center"/>
              <w:rPr>
                <w:rFonts w:ascii="Times New Roman"/>
                <w:sz w:val="21"/>
                <w:szCs w:val="21"/>
              </w:rPr>
            </w:pPr>
            <w:r>
              <w:rPr>
                <w:rFonts w:hint="eastAsia" w:ascii="Times New Roman"/>
                <w:sz w:val="21"/>
                <w:szCs w:val="21"/>
              </w:rPr>
              <w:t>活性炭</w:t>
            </w:r>
          </w:p>
        </w:tc>
        <w:tc>
          <w:tcPr>
            <w:tcW w:w="857" w:type="pct"/>
            <w:vAlign w:val="center"/>
          </w:tcPr>
          <w:p w14:paraId="19C95D84">
            <w:pPr>
              <w:jc w:val="center"/>
              <w:rPr>
                <w:rFonts w:ascii="Times New Roman"/>
                <w:sz w:val="21"/>
                <w:szCs w:val="21"/>
              </w:rPr>
            </w:pPr>
          </w:p>
        </w:tc>
        <w:tc>
          <w:tcPr>
            <w:tcW w:w="648" w:type="pct"/>
            <w:vAlign w:val="center"/>
          </w:tcPr>
          <w:p w14:paraId="029809EA">
            <w:pPr>
              <w:jc w:val="center"/>
              <w:rPr>
                <w:rFonts w:ascii="Times New Roman"/>
                <w:sz w:val="21"/>
                <w:szCs w:val="21"/>
              </w:rPr>
            </w:pPr>
            <w:r>
              <w:rPr>
                <w:rFonts w:hint="eastAsia" w:ascii="Times New Roman"/>
                <w:sz w:val="21"/>
                <w:szCs w:val="21"/>
              </w:rPr>
              <w:t>/</w:t>
            </w:r>
          </w:p>
        </w:tc>
        <w:tc>
          <w:tcPr>
            <w:tcW w:w="1424" w:type="pct"/>
            <w:vAlign w:val="center"/>
          </w:tcPr>
          <w:p w14:paraId="429E637A">
            <w:pPr>
              <w:jc w:val="center"/>
              <w:rPr>
                <w:rFonts w:ascii="Times New Roman"/>
                <w:sz w:val="21"/>
                <w:szCs w:val="21"/>
              </w:rPr>
            </w:pPr>
            <w:r>
              <w:rPr>
                <w:rFonts w:hint="eastAsia" w:ascii="Times New Roman"/>
                <w:sz w:val="21"/>
                <w:szCs w:val="21"/>
              </w:rPr>
              <w:t>/</w:t>
            </w:r>
          </w:p>
        </w:tc>
        <w:tc>
          <w:tcPr>
            <w:tcW w:w="1011" w:type="pct"/>
            <w:gridSpan w:val="2"/>
            <w:tcBorders>
              <w:bottom w:val="single" w:color="auto" w:sz="4" w:space="0"/>
            </w:tcBorders>
            <w:vAlign w:val="center"/>
          </w:tcPr>
          <w:p w14:paraId="180B53D3">
            <w:pPr>
              <w:jc w:val="center"/>
              <w:rPr>
                <w:rFonts w:ascii="Times New Roman"/>
                <w:sz w:val="21"/>
                <w:szCs w:val="21"/>
              </w:rPr>
            </w:pPr>
            <w:r>
              <w:rPr>
                <w:rFonts w:hint="eastAsia" w:ascii="Times New Roman"/>
                <w:sz w:val="21"/>
                <w:szCs w:val="21"/>
              </w:rPr>
              <w:t>废气、废水治理</w:t>
            </w:r>
          </w:p>
        </w:tc>
      </w:tr>
      <w:tr w14:paraId="43C08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5AF27A42">
            <w:pPr>
              <w:jc w:val="center"/>
              <w:rPr>
                <w:rFonts w:ascii="Times New Roman"/>
                <w:sz w:val="21"/>
                <w:szCs w:val="21"/>
              </w:rPr>
            </w:pPr>
            <w:r>
              <w:rPr>
                <w:rFonts w:hint="eastAsia" w:ascii="Times New Roman"/>
                <w:sz w:val="21"/>
                <w:szCs w:val="21"/>
              </w:rPr>
              <w:t>38.</w:t>
            </w:r>
          </w:p>
        </w:tc>
        <w:tc>
          <w:tcPr>
            <w:tcW w:w="763" w:type="pct"/>
            <w:gridSpan w:val="2"/>
            <w:vAlign w:val="center"/>
          </w:tcPr>
          <w:p w14:paraId="1ABD0B1C">
            <w:pPr>
              <w:jc w:val="center"/>
              <w:rPr>
                <w:rFonts w:ascii="Times New Roman"/>
                <w:sz w:val="21"/>
                <w:szCs w:val="21"/>
              </w:rPr>
            </w:pPr>
            <w:r>
              <w:rPr>
                <w:rFonts w:hint="eastAsia" w:ascii="Times New Roman"/>
                <w:sz w:val="21"/>
                <w:szCs w:val="21"/>
              </w:rPr>
              <w:t>沸石</w:t>
            </w:r>
          </w:p>
        </w:tc>
        <w:tc>
          <w:tcPr>
            <w:tcW w:w="857" w:type="pct"/>
            <w:vAlign w:val="center"/>
          </w:tcPr>
          <w:p w14:paraId="4F874E3E">
            <w:pPr>
              <w:jc w:val="center"/>
              <w:rPr>
                <w:rFonts w:ascii="Times New Roman"/>
                <w:sz w:val="21"/>
                <w:szCs w:val="21"/>
              </w:rPr>
            </w:pPr>
          </w:p>
        </w:tc>
        <w:tc>
          <w:tcPr>
            <w:tcW w:w="648" w:type="pct"/>
            <w:vAlign w:val="center"/>
          </w:tcPr>
          <w:p w14:paraId="0F58C27E">
            <w:pPr>
              <w:jc w:val="center"/>
              <w:rPr>
                <w:rFonts w:ascii="Times New Roman"/>
                <w:sz w:val="21"/>
                <w:szCs w:val="21"/>
              </w:rPr>
            </w:pPr>
            <w:r>
              <w:rPr>
                <w:rFonts w:hint="eastAsia" w:ascii="Times New Roman"/>
                <w:sz w:val="21"/>
                <w:szCs w:val="21"/>
              </w:rPr>
              <w:t>/</w:t>
            </w:r>
          </w:p>
        </w:tc>
        <w:tc>
          <w:tcPr>
            <w:tcW w:w="1424" w:type="pct"/>
            <w:vAlign w:val="center"/>
          </w:tcPr>
          <w:p w14:paraId="65784D3D">
            <w:pPr>
              <w:jc w:val="center"/>
              <w:rPr>
                <w:rFonts w:ascii="Times New Roman"/>
                <w:sz w:val="21"/>
                <w:szCs w:val="21"/>
              </w:rPr>
            </w:pPr>
            <w:r>
              <w:rPr>
                <w:rFonts w:hint="eastAsia" w:ascii="Times New Roman"/>
                <w:sz w:val="21"/>
                <w:szCs w:val="21"/>
              </w:rPr>
              <w:t>/</w:t>
            </w:r>
          </w:p>
        </w:tc>
        <w:tc>
          <w:tcPr>
            <w:tcW w:w="1011" w:type="pct"/>
            <w:gridSpan w:val="2"/>
            <w:vMerge w:val="restart"/>
            <w:tcBorders>
              <w:top w:val="single" w:color="auto" w:sz="4" w:space="0"/>
            </w:tcBorders>
            <w:vAlign w:val="center"/>
          </w:tcPr>
          <w:p w14:paraId="09328356">
            <w:pPr>
              <w:jc w:val="center"/>
              <w:rPr>
                <w:rFonts w:ascii="Times New Roman"/>
                <w:sz w:val="21"/>
                <w:szCs w:val="21"/>
              </w:rPr>
            </w:pPr>
            <w:r>
              <w:rPr>
                <w:rFonts w:hint="eastAsia" w:ascii="Times New Roman"/>
                <w:sz w:val="21"/>
                <w:szCs w:val="21"/>
              </w:rPr>
              <w:t>废气治理</w:t>
            </w:r>
          </w:p>
        </w:tc>
      </w:tr>
      <w:tr w14:paraId="19338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06C79881">
            <w:pPr>
              <w:jc w:val="center"/>
              <w:rPr>
                <w:rFonts w:ascii="Times New Roman"/>
                <w:sz w:val="21"/>
                <w:szCs w:val="21"/>
              </w:rPr>
            </w:pPr>
            <w:r>
              <w:rPr>
                <w:rFonts w:hint="eastAsia" w:ascii="Times New Roman"/>
                <w:sz w:val="21"/>
                <w:szCs w:val="21"/>
              </w:rPr>
              <w:t>39.</w:t>
            </w:r>
          </w:p>
        </w:tc>
        <w:tc>
          <w:tcPr>
            <w:tcW w:w="763" w:type="pct"/>
            <w:gridSpan w:val="2"/>
            <w:vAlign w:val="center"/>
          </w:tcPr>
          <w:p w14:paraId="12720AB2">
            <w:pPr>
              <w:jc w:val="center"/>
              <w:rPr>
                <w:rFonts w:ascii="Times New Roman"/>
                <w:sz w:val="21"/>
                <w:szCs w:val="21"/>
              </w:rPr>
            </w:pPr>
            <w:r>
              <w:rPr>
                <w:rFonts w:hint="eastAsia" w:ascii="Times New Roman"/>
                <w:sz w:val="21"/>
                <w:szCs w:val="21"/>
              </w:rPr>
              <w:t>过滤棉</w:t>
            </w:r>
          </w:p>
        </w:tc>
        <w:tc>
          <w:tcPr>
            <w:tcW w:w="857" w:type="pct"/>
            <w:vAlign w:val="center"/>
          </w:tcPr>
          <w:p w14:paraId="6A85616F">
            <w:pPr>
              <w:jc w:val="center"/>
              <w:rPr>
                <w:rFonts w:ascii="Times New Roman"/>
                <w:sz w:val="21"/>
                <w:szCs w:val="21"/>
              </w:rPr>
            </w:pPr>
          </w:p>
        </w:tc>
        <w:tc>
          <w:tcPr>
            <w:tcW w:w="648" w:type="pct"/>
            <w:vAlign w:val="center"/>
          </w:tcPr>
          <w:p w14:paraId="19307847">
            <w:pPr>
              <w:jc w:val="center"/>
              <w:rPr>
                <w:rFonts w:ascii="Times New Roman"/>
                <w:sz w:val="21"/>
                <w:szCs w:val="21"/>
              </w:rPr>
            </w:pPr>
            <w:r>
              <w:rPr>
                <w:rFonts w:hint="eastAsia" w:ascii="Times New Roman"/>
                <w:sz w:val="21"/>
                <w:szCs w:val="21"/>
              </w:rPr>
              <w:t>/</w:t>
            </w:r>
          </w:p>
        </w:tc>
        <w:tc>
          <w:tcPr>
            <w:tcW w:w="1424" w:type="pct"/>
            <w:vAlign w:val="center"/>
          </w:tcPr>
          <w:p w14:paraId="2287FBE1">
            <w:pPr>
              <w:jc w:val="center"/>
              <w:rPr>
                <w:rFonts w:ascii="Times New Roman"/>
                <w:sz w:val="21"/>
                <w:szCs w:val="21"/>
              </w:rPr>
            </w:pPr>
            <w:r>
              <w:rPr>
                <w:rFonts w:hint="eastAsia" w:ascii="Times New Roman"/>
                <w:sz w:val="21"/>
                <w:szCs w:val="21"/>
              </w:rPr>
              <w:t>/</w:t>
            </w:r>
          </w:p>
        </w:tc>
        <w:tc>
          <w:tcPr>
            <w:tcW w:w="1011" w:type="pct"/>
            <w:gridSpan w:val="2"/>
            <w:vMerge w:val="continue"/>
            <w:tcBorders>
              <w:top w:val="single" w:color="auto" w:sz="4" w:space="0"/>
              <w:bottom w:val="single" w:color="auto" w:sz="4" w:space="0"/>
            </w:tcBorders>
            <w:vAlign w:val="center"/>
          </w:tcPr>
          <w:p w14:paraId="4188ACA3">
            <w:pPr>
              <w:jc w:val="center"/>
              <w:rPr>
                <w:rFonts w:ascii="Times New Roman"/>
                <w:sz w:val="21"/>
                <w:szCs w:val="21"/>
              </w:rPr>
            </w:pPr>
          </w:p>
        </w:tc>
      </w:tr>
      <w:tr w14:paraId="39BE7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25840146">
            <w:pPr>
              <w:jc w:val="center"/>
              <w:rPr>
                <w:rFonts w:ascii="Times New Roman"/>
                <w:sz w:val="21"/>
                <w:szCs w:val="21"/>
              </w:rPr>
            </w:pPr>
            <w:r>
              <w:rPr>
                <w:rFonts w:hint="eastAsia" w:ascii="Times New Roman"/>
                <w:sz w:val="21"/>
                <w:szCs w:val="21"/>
              </w:rPr>
              <w:t>40.</w:t>
            </w:r>
          </w:p>
        </w:tc>
        <w:tc>
          <w:tcPr>
            <w:tcW w:w="763" w:type="pct"/>
            <w:gridSpan w:val="2"/>
            <w:vAlign w:val="center"/>
          </w:tcPr>
          <w:p w14:paraId="39EA8AD2">
            <w:pPr>
              <w:jc w:val="center"/>
              <w:rPr>
                <w:rFonts w:ascii="Times New Roman"/>
                <w:sz w:val="21"/>
                <w:szCs w:val="21"/>
              </w:rPr>
            </w:pPr>
            <w:r>
              <w:rPr>
                <w:rFonts w:ascii="Times New Roman"/>
                <w:sz w:val="21"/>
                <w:szCs w:val="21"/>
              </w:rPr>
              <w:t>天然气</w:t>
            </w:r>
          </w:p>
        </w:tc>
        <w:tc>
          <w:tcPr>
            <w:tcW w:w="857" w:type="pct"/>
            <w:vAlign w:val="center"/>
          </w:tcPr>
          <w:p w14:paraId="0C4B9666">
            <w:pPr>
              <w:jc w:val="center"/>
              <w:rPr>
                <w:rFonts w:ascii="Times New Roman"/>
                <w:sz w:val="21"/>
                <w:szCs w:val="21"/>
              </w:rPr>
            </w:pPr>
            <w:r>
              <w:rPr>
                <w:rFonts w:hint="eastAsia" w:ascii="Times New Roman"/>
                <w:sz w:val="21"/>
                <w:szCs w:val="21"/>
              </w:rPr>
              <w:t>272.88</w:t>
            </w:r>
            <w:r>
              <w:rPr>
                <w:rFonts w:ascii="Times New Roman"/>
                <w:sz w:val="21"/>
                <w:szCs w:val="21"/>
              </w:rPr>
              <w:t>万m³/a</w:t>
            </w:r>
          </w:p>
        </w:tc>
        <w:tc>
          <w:tcPr>
            <w:tcW w:w="648" w:type="pct"/>
            <w:vAlign w:val="center"/>
          </w:tcPr>
          <w:p w14:paraId="6A31AD9D">
            <w:pPr>
              <w:jc w:val="center"/>
              <w:rPr>
                <w:rFonts w:ascii="Times New Roman"/>
                <w:sz w:val="21"/>
                <w:szCs w:val="21"/>
              </w:rPr>
            </w:pPr>
            <w:r>
              <w:rPr>
                <w:rFonts w:ascii="Times New Roman"/>
                <w:sz w:val="21"/>
                <w:szCs w:val="21"/>
              </w:rPr>
              <w:t>--</w:t>
            </w:r>
          </w:p>
        </w:tc>
        <w:tc>
          <w:tcPr>
            <w:tcW w:w="1424" w:type="pct"/>
            <w:vAlign w:val="center"/>
          </w:tcPr>
          <w:p w14:paraId="556F5891">
            <w:pPr>
              <w:jc w:val="center"/>
              <w:rPr>
                <w:rFonts w:ascii="Times New Roman"/>
                <w:sz w:val="21"/>
                <w:szCs w:val="21"/>
              </w:rPr>
            </w:pPr>
            <w:r>
              <w:rPr>
                <w:rFonts w:ascii="Times New Roman" w:eastAsiaTheme="minorEastAsia"/>
                <w:sz w:val="21"/>
                <w:szCs w:val="21"/>
              </w:rPr>
              <w:t>由园区</w:t>
            </w:r>
            <w:r>
              <w:rPr>
                <w:rFonts w:ascii="Times New Roman"/>
                <w:sz w:val="21"/>
                <w:szCs w:val="21"/>
              </w:rPr>
              <w:t>燃气管网提供</w:t>
            </w:r>
          </w:p>
        </w:tc>
        <w:tc>
          <w:tcPr>
            <w:tcW w:w="1011" w:type="pct"/>
            <w:gridSpan w:val="2"/>
            <w:tcBorders>
              <w:top w:val="single" w:color="auto" w:sz="4" w:space="0"/>
            </w:tcBorders>
            <w:vAlign w:val="center"/>
          </w:tcPr>
          <w:p w14:paraId="05135A82">
            <w:pPr>
              <w:jc w:val="center"/>
              <w:rPr>
                <w:rFonts w:ascii="Times New Roman" w:eastAsiaTheme="minorEastAsia"/>
                <w:sz w:val="21"/>
                <w:szCs w:val="21"/>
              </w:rPr>
            </w:pPr>
            <w:r>
              <w:rPr>
                <w:rFonts w:hint="eastAsia" w:ascii="Times New Roman" w:eastAsiaTheme="minorEastAsia"/>
                <w:sz w:val="21"/>
                <w:szCs w:val="21"/>
              </w:rPr>
              <w:t>/</w:t>
            </w:r>
          </w:p>
        </w:tc>
      </w:tr>
      <w:tr w14:paraId="37B9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4" w:type="pct"/>
            <w:shd w:val="clear" w:color="auto" w:fill="auto"/>
            <w:vAlign w:val="center"/>
          </w:tcPr>
          <w:p w14:paraId="64F0C0C3">
            <w:pPr>
              <w:jc w:val="center"/>
              <w:rPr>
                <w:rFonts w:ascii="Times New Roman"/>
                <w:sz w:val="21"/>
                <w:szCs w:val="21"/>
              </w:rPr>
            </w:pPr>
            <w:r>
              <w:rPr>
                <w:rFonts w:hint="eastAsia" w:ascii="Times New Roman"/>
                <w:sz w:val="21"/>
                <w:szCs w:val="21"/>
              </w:rPr>
              <w:t>41.</w:t>
            </w:r>
          </w:p>
        </w:tc>
        <w:tc>
          <w:tcPr>
            <w:tcW w:w="763" w:type="pct"/>
            <w:gridSpan w:val="2"/>
            <w:vAlign w:val="center"/>
          </w:tcPr>
          <w:p w14:paraId="3515D66F">
            <w:pPr>
              <w:jc w:val="center"/>
              <w:rPr>
                <w:rFonts w:ascii="Times New Roman"/>
                <w:sz w:val="21"/>
                <w:szCs w:val="21"/>
              </w:rPr>
            </w:pPr>
            <w:r>
              <w:rPr>
                <w:rFonts w:ascii="Times New Roman"/>
                <w:sz w:val="21"/>
                <w:szCs w:val="21"/>
              </w:rPr>
              <w:t>电</w:t>
            </w:r>
          </w:p>
        </w:tc>
        <w:tc>
          <w:tcPr>
            <w:tcW w:w="857" w:type="pct"/>
            <w:vAlign w:val="center"/>
          </w:tcPr>
          <w:p w14:paraId="339734E3">
            <w:pPr>
              <w:jc w:val="center"/>
              <w:rPr>
                <w:rFonts w:ascii="Times New Roman"/>
                <w:sz w:val="21"/>
                <w:szCs w:val="21"/>
              </w:rPr>
            </w:pPr>
            <w:r>
              <w:rPr>
                <w:rFonts w:ascii="Times New Roman"/>
                <w:sz w:val="21"/>
                <w:szCs w:val="21"/>
              </w:rPr>
              <w:t>1</w:t>
            </w:r>
            <w:r>
              <w:rPr>
                <w:rFonts w:hint="eastAsia" w:ascii="Times New Roman"/>
                <w:sz w:val="21"/>
                <w:szCs w:val="21"/>
              </w:rPr>
              <w:t>5950</w:t>
            </w:r>
            <w:r>
              <w:rPr>
                <w:rFonts w:ascii="Times New Roman"/>
                <w:sz w:val="21"/>
                <w:szCs w:val="21"/>
              </w:rPr>
              <w:t>kW·h/a</w:t>
            </w:r>
          </w:p>
        </w:tc>
        <w:tc>
          <w:tcPr>
            <w:tcW w:w="648" w:type="pct"/>
            <w:vAlign w:val="center"/>
          </w:tcPr>
          <w:p w14:paraId="2ED52F11">
            <w:pPr>
              <w:jc w:val="center"/>
              <w:rPr>
                <w:rFonts w:ascii="Times New Roman"/>
                <w:sz w:val="21"/>
                <w:szCs w:val="21"/>
              </w:rPr>
            </w:pPr>
            <w:r>
              <w:rPr>
                <w:rFonts w:ascii="Times New Roman"/>
                <w:sz w:val="21"/>
                <w:szCs w:val="21"/>
              </w:rPr>
              <w:t>--</w:t>
            </w:r>
          </w:p>
        </w:tc>
        <w:tc>
          <w:tcPr>
            <w:tcW w:w="1424" w:type="pct"/>
            <w:shd w:val="clear" w:color="auto" w:fill="auto"/>
            <w:vAlign w:val="center"/>
          </w:tcPr>
          <w:p w14:paraId="24F02845">
            <w:pPr>
              <w:jc w:val="center"/>
              <w:rPr>
                <w:rFonts w:ascii="Times New Roman" w:eastAsiaTheme="minorEastAsia"/>
                <w:sz w:val="21"/>
                <w:szCs w:val="21"/>
              </w:rPr>
            </w:pPr>
            <w:r>
              <w:rPr>
                <w:rFonts w:ascii="Times New Roman" w:eastAsiaTheme="minorEastAsia"/>
                <w:sz w:val="21"/>
                <w:szCs w:val="21"/>
              </w:rPr>
              <w:t>由园区供电系统供给</w:t>
            </w:r>
          </w:p>
        </w:tc>
        <w:tc>
          <w:tcPr>
            <w:tcW w:w="1011" w:type="pct"/>
            <w:gridSpan w:val="2"/>
            <w:shd w:val="clear" w:color="auto" w:fill="auto"/>
            <w:vAlign w:val="center"/>
          </w:tcPr>
          <w:p w14:paraId="13632580">
            <w:pPr>
              <w:jc w:val="center"/>
              <w:rPr>
                <w:rFonts w:ascii="Times New Roman" w:eastAsiaTheme="minorEastAsia"/>
                <w:sz w:val="21"/>
                <w:szCs w:val="21"/>
              </w:rPr>
            </w:pPr>
            <w:r>
              <w:rPr>
                <w:rFonts w:hint="eastAsia" w:ascii="Times New Roman" w:eastAsiaTheme="minorEastAsia"/>
                <w:sz w:val="21"/>
                <w:szCs w:val="21"/>
              </w:rPr>
              <w:t>/</w:t>
            </w:r>
          </w:p>
        </w:tc>
      </w:tr>
      <w:tr w14:paraId="13187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294" w:type="pct"/>
            <w:vAlign w:val="center"/>
          </w:tcPr>
          <w:p w14:paraId="3B34332D">
            <w:pPr>
              <w:jc w:val="center"/>
              <w:rPr>
                <w:rFonts w:ascii="Times New Roman"/>
                <w:sz w:val="21"/>
                <w:szCs w:val="21"/>
              </w:rPr>
            </w:pPr>
            <w:r>
              <w:rPr>
                <w:rFonts w:hint="eastAsia" w:ascii="Times New Roman"/>
                <w:sz w:val="21"/>
                <w:szCs w:val="21"/>
              </w:rPr>
              <w:t>42.</w:t>
            </w:r>
          </w:p>
        </w:tc>
        <w:tc>
          <w:tcPr>
            <w:tcW w:w="763" w:type="pct"/>
            <w:gridSpan w:val="2"/>
            <w:vAlign w:val="center"/>
          </w:tcPr>
          <w:p w14:paraId="6AF45A57">
            <w:pPr>
              <w:jc w:val="center"/>
              <w:rPr>
                <w:rFonts w:ascii="Times New Roman"/>
                <w:sz w:val="21"/>
                <w:szCs w:val="21"/>
              </w:rPr>
            </w:pPr>
            <w:r>
              <w:rPr>
                <w:rFonts w:ascii="Times New Roman"/>
                <w:sz w:val="21"/>
                <w:szCs w:val="21"/>
              </w:rPr>
              <w:t>水</w:t>
            </w:r>
          </w:p>
        </w:tc>
        <w:tc>
          <w:tcPr>
            <w:tcW w:w="857" w:type="pct"/>
            <w:vAlign w:val="center"/>
          </w:tcPr>
          <w:p w14:paraId="00B4AA92">
            <w:pPr>
              <w:jc w:val="center"/>
              <w:rPr>
                <w:rFonts w:ascii="Times New Roman"/>
                <w:sz w:val="21"/>
                <w:szCs w:val="21"/>
              </w:rPr>
            </w:pPr>
            <w:r>
              <w:rPr>
                <w:rFonts w:hint="eastAsia" w:ascii="Times New Roman"/>
                <w:sz w:val="21"/>
                <w:szCs w:val="21"/>
              </w:rPr>
              <w:t>93565.09</w:t>
            </w:r>
            <w:r>
              <w:rPr>
                <w:rFonts w:ascii="Times New Roman"/>
                <w:sz w:val="21"/>
                <w:szCs w:val="21"/>
              </w:rPr>
              <w:t>m³/a</w:t>
            </w:r>
          </w:p>
        </w:tc>
        <w:tc>
          <w:tcPr>
            <w:tcW w:w="648" w:type="pct"/>
            <w:vAlign w:val="center"/>
          </w:tcPr>
          <w:p w14:paraId="36FE5BCD">
            <w:pPr>
              <w:jc w:val="center"/>
              <w:rPr>
                <w:rFonts w:ascii="Times New Roman"/>
                <w:sz w:val="21"/>
                <w:szCs w:val="21"/>
              </w:rPr>
            </w:pPr>
            <w:r>
              <w:rPr>
                <w:rFonts w:ascii="Times New Roman"/>
                <w:sz w:val="21"/>
                <w:szCs w:val="21"/>
              </w:rPr>
              <w:t>--</w:t>
            </w:r>
          </w:p>
        </w:tc>
        <w:tc>
          <w:tcPr>
            <w:tcW w:w="1424" w:type="pct"/>
            <w:shd w:val="clear" w:color="auto" w:fill="auto"/>
            <w:vAlign w:val="center"/>
          </w:tcPr>
          <w:p w14:paraId="40FF3E39">
            <w:pPr>
              <w:jc w:val="center"/>
              <w:rPr>
                <w:rFonts w:ascii="Times New Roman" w:eastAsiaTheme="minorEastAsia"/>
                <w:sz w:val="21"/>
                <w:szCs w:val="21"/>
              </w:rPr>
            </w:pPr>
            <w:r>
              <w:rPr>
                <w:rFonts w:ascii="Times New Roman" w:eastAsiaTheme="minorEastAsia"/>
                <w:sz w:val="21"/>
                <w:szCs w:val="21"/>
              </w:rPr>
              <w:t>由园区供水管网供给</w:t>
            </w:r>
          </w:p>
        </w:tc>
        <w:tc>
          <w:tcPr>
            <w:tcW w:w="1011" w:type="pct"/>
            <w:gridSpan w:val="2"/>
            <w:shd w:val="clear" w:color="auto" w:fill="auto"/>
            <w:vAlign w:val="center"/>
          </w:tcPr>
          <w:p w14:paraId="1D958BB4">
            <w:pPr>
              <w:jc w:val="center"/>
              <w:rPr>
                <w:rFonts w:ascii="Times New Roman" w:eastAsiaTheme="minorEastAsia"/>
                <w:sz w:val="21"/>
                <w:szCs w:val="21"/>
              </w:rPr>
            </w:pPr>
            <w:r>
              <w:rPr>
                <w:rFonts w:hint="eastAsia" w:ascii="Times New Roman" w:eastAsiaTheme="minorEastAsia"/>
                <w:sz w:val="21"/>
                <w:szCs w:val="21"/>
              </w:rPr>
              <w:t>/</w:t>
            </w:r>
          </w:p>
        </w:tc>
      </w:tr>
    </w:tbl>
    <w:p w14:paraId="45400472">
      <w:pPr>
        <w:ind w:firstLine="482" w:firstLineChars="200"/>
        <w:jc w:val="center"/>
        <w:rPr>
          <w:rFonts w:ascii="Times New Roman"/>
          <w:b/>
          <w:sz w:val="24"/>
          <w:szCs w:val="24"/>
        </w:rPr>
      </w:pPr>
      <w:r>
        <w:rPr>
          <w:rFonts w:ascii="Times New Roman"/>
          <w:b/>
          <w:sz w:val="24"/>
          <w:szCs w:val="24"/>
        </w:rPr>
        <w:t>表3.3-2  项目</w:t>
      </w:r>
      <w:r>
        <w:rPr>
          <w:rFonts w:hint="eastAsia" w:ascii="Times New Roman"/>
          <w:b/>
          <w:bCs/>
          <w:sz w:val="24"/>
          <w:szCs w:val="24"/>
        </w:rPr>
        <w:t>电泳</w:t>
      </w:r>
      <w:r>
        <w:rPr>
          <w:rFonts w:ascii="Times New Roman"/>
          <w:b/>
          <w:bCs/>
          <w:sz w:val="24"/>
          <w:szCs w:val="24"/>
        </w:rPr>
        <w:t>漆</w:t>
      </w:r>
      <w:r>
        <w:rPr>
          <w:rFonts w:ascii="Times New Roman"/>
          <w:b/>
          <w:sz w:val="24"/>
          <w:szCs w:val="24"/>
        </w:rPr>
        <w:t>主要成分一览表</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178"/>
        <w:gridCol w:w="477"/>
        <w:gridCol w:w="429"/>
        <w:gridCol w:w="1317"/>
        <w:gridCol w:w="300"/>
        <w:gridCol w:w="699"/>
        <w:gridCol w:w="1082"/>
        <w:gridCol w:w="337"/>
        <w:gridCol w:w="990"/>
        <w:gridCol w:w="829"/>
      </w:tblGrid>
      <w:tr w14:paraId="0912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14:paraId="59180C8E">
            <w:pPr>
              <w:jc w:val="center"/>
              <w:rPr>
                <w:rFonts w:ascii="Times New Roman"/>
                <w:kern w:val="0"/>
                <w:sz w:val="21"/>
                <w:szCs w:val="21"/>
              </w:rPr>
            </w:pPr>
            <w:r>
              <w:rPr>
                <w:rFonts w:ascii="Times New Roman"/>
                <w:kern w:val="0"/>
                <w:sz w:val="21"/>
                <w:szCs w:val="21"/>
              </w:rPr>
              <w:t>漆料</w:t>
            </w:r>
          </w:p>
        </w:tc>
        <w:tc>
          <w:tcPr>
            <w:tcW w:w="4482" w:type="pct"/>
            <w:gridSpan w:val="10"/>
            <w:tcBorders>
              <w:top w:val="single" w:color="auto" w:sz="4" w:space="0"/>
              <w:left w:val="single" w:color="auto" w:sz="4" w:space="0"/>
              <w:bottom w:val="single" w:color="auto" w:sz="4" w:space="0"/>
              <w:right w:val="single" w:color="auto" w:sz="4" w:space="0"/>
            </w:tcBorders>
            <w:vAlign w:val="center"/>
          </w:tcPr>
          <w:p w14:paraId="7FB84375">
            <w:pPr>
              <w:jc w:val="center"/>
              <w:rPr>
                <w:rFonts w:ascii="Times New Roman"/>
                <w:kern w:val="0"/>
                <w:sz w:val="21"/>
                <w:szCs w:val="21"/>
              </w:rPr>
            </w:pPr>
            <w:r>
              <w:rPr>
                <w:rFonts w:ascii="Times New Roman"/>
                <w:kern w:val="0"/>
                <w:sz w:val="21"/>
                <w:szCs w:val="21"/>
              </w:rPr>
              <w:t>阴极电泳漆（乳液）</w:t>
            </w:r>
          </w:p>
        </w:tc>
      </w:tr>
      <w:tr w14:paraId="376F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7" w:type="pct"/>
            <w:vMerge w:val="restart"/>
            <w:tcBorders>
              <w:top w:val="single" w:color="auto" w:sz="4" w:space="0"/>
              <w:left w:val="single" w:color="auto" w:sz="4" w:space="0"/>
              <w:bottom w:val="single" w:color="auto" w:sz="4" w:space="0"/>
              <w:right w:val="single" w:color="auto" w:sz="4" w:space="0"/>
            </w:tcBorders>
            <w:vAlign w:val="center"/>
          </w:tcPr>
          <w:p w14:paraId="22AB013A">
            <w:pPr>
              <w:jc w:val="center"/>
              <w:rPr>
                <w:rFonts w:ascii="Times New Roman"/>
                <w:kern w:val="0"/>
                <w:sz w:val="21"/>
                <w:szCs w:val="21"/>
              </w:rPr>
            </w:pPr>
            <w:r>
              <w:rPr>
                <w:rFonts w:ascii="Times New Roman"/>
                <w:kern w:val="0"/>
                <w:sz w:val="21"/>
                <w:szCs w:val="21"/>
              </w:rPr>
              <w:t>组分</w:t>
            </w:r>
          </w:p>
        </w:tc>
        <w:tc>
          <w:tcPr>
            <w:tcW w:w="2172" w:type="pct"/>
            <w:gridSpan w:val="5"/>
            <w:tcBorders>
              <w:top w:val="single" w:color="auto" w:sz="4" w:space="0"/>
              <w:left w:val="single" w:color="auto" w:sz="4" w:space="0"/>
              <w:bottom w:val="single" w:color="auto" w:sz="4" w:space="0"/>
              <w:right w:val="single" w:color="auto" w:sz="4" w:space="0"/>
            </w:tcBorders>
            <w:vAlign w:val="center"/>
          </w:tcPr>
          <w:p w14:paraId="4E70E18D">
            <w:pPr>
              <w:widowControl/>
              <w:jc w:val="center"/>
              <w:rPr>
                <w:rFonts w:ascii="Times New Roman"/>
                <w:kern w:val="0"/>
                <w:sz w:val="21"/>
                <w:szCs w:val="21"/>
              </w:rPr>
            </w:pPr>
            <w:r>
              <w:rPr>
                <w:rFonts w:ascii="Times New Roman"/>
                <w:kern w:val="0"/>
                <w:sz w:val="21"/>
                <w:szCs w:val="21"/>
              </w:rPr>
              <w:t>固体份（36.5%）</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4B3D0D6D">
            <w:pPr>
              <w:widowControl/>
              <w:jc w:val="center"/>
              <w:rPr>
                <w:rFonts w:ascii="Times New Roman"/>
                <w:kern w:val="0"/>
                <w:sz w:val="21"/>
                <w:szCs w:val="21"/>
              </w:rPr>
            </w:pPr>
            <w:r>
              <w:rPr>
                <w:rFonts w:ascii="Times New Roman"/>
                <w:kern w:val="0"/>
                <w:sz w:val="21"/>
                <w:szCs w:val="21"/>
              </w:rPr>
              <w:t>挥发分（0.5%）</w:t>
            </w:r>
          </w:p>
        </w:tc>
        <w:tc>
          <w:tcPr>
            <w:tcW w:w="779" w:type="pct"/>
            <w:gridSpan w:val="2"/>
            <w:tcBorders>
              <w:top w:val="single" w:color="auto" w:sz="4" w:space="0"/>
              <w:left w:val="single" w:color="auto" w:sz="4" w:space="0"/>
              <w:bottom w:val="single" w:color="auto" w:sz="4" w:space="0"/>
              <w:right w:val="single" w:color="auto" w:sz="4" w:space="0"/>
            </w:tcBorders>
            <w:vAlign w:val="center"/>
          </w:tcPr>
          <w:p w14:paraId="03D4C23E">
            <w:pPr>
              <w:widowControl/>
              <w:jc w:val="center"/>
              <w:rPr>
                <w:rFonts w:ascii="Times New Roman"/>
                <w:kern w:val="0"/>
                <w:sz w:val="21"/>
                <w:szCs w:val="21"/>
              </w:rPr>
            </w:pPr>
            <w:r>
              <w:rPr>
                <w:rFonts w:ascii="Times New Roman"/>
                <w:kern w:val="0"/>
                <w:sz w:val="21"/>
                <w:szCs w:val="21"/>
              </w:rPr>
              <w:t>/</w:t>
            </w:r>
          </w:p>
        </w:tc>
        <w:tc>
          <w:tcPr>
            <w:tcW w:w="485" w:type="pct"/>
            <w:vMerge w:val="restart"/>
            <w:tcBorders>
              <w:top w:val="single" w:color="auto" w:sz="4" w:space="0"/>
              <w:left w:val="single" w:color="auto" w:sz="4" w:space="0"/>
              <w:bottom w:val="single" w:color="auto" w:sz="4" w:space="0"/>
              <w:right w:val="single" w:color="auto" w:sz="4" w:space="0"/>
            </w:tcBorders>
            <w:vAlign w:val="center"/>
          </w:tcPr>
          <w:p w14:paraId="5C7356B1">
            <w:pPr>
              <w:jc w:val="center"/>
              <w:rPr>
                <w:rFonts w:ascii="Times New Roman"/>
                <w:kern w:val="0"/>
                <w:sz w:val="21"/>
                <w:szCs w:val="21"/>
              </w:rPr>
            </w:pPr>
            <w:r>
              <w:rPr>
                <w:rFonts w:ascii="Times New Roman"/>
                <w:kern w:val="0"/>
                <w:sz w:val="21"/>
                <w:szCs w:val="21"/>
              </w:rPr>
              <w:t>合计</w:t>
            </w:r>
          </w:p>
        </w:tc>
      </w:tr>
      <w:tr w14:paraId="506E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17" w:type="pct"/>
            <w:vMerge w:val="continue"/>
            <w:tcBorders>
              <w:top w:val="single" w:color="auto" w:sz="4" w:space="0"/>
              <w:left w:val="single" w:color="auto" w:sz="4" w:space="0"/>
              <w:bottom w:val="single" w:color="auto" w:sz="4" w:space="0"/>
              <w:right w:val="single" w:color="auto" w:sz="4" w:space="0"/>
            </w:tcBorders>
            <w:vAlign w:val="center"/>
          </w:tcPr>
          <w:p w14:paraId="32FF8C92">
            <w:pPr>
              <w:widowControl/>
              <w:jc w:val="center"/>
              <w:rPr>
                <w:rFonts w:ascii="Times New Roman"/>
                <w:kern w:val="0"/>
                <w:sz w:val="21"/>
                <w:szCs w:val="21"/>
              </w:rPr>
            </w:pP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2CD1FDF5">
            <w:pPr>
              <w:widowControl/>
              <w:jc w:val="center"/>
              <w:rPr>
                <w:rFonts w:ascii="Times New Roman"/>
                <w:kern w:val="0"/>
                <w:sz w:val="21"/>
                <w:szCs w:val="21"/>
              </w:rPr>
            </w:pPr>
            <w:r>
              <w:rPr>
                <w:rFonts w:ascii="Times New Roman"/>
                <w:kern w:val="0"/>
                <w:sz w:val="21"/>
                <w:szCs w:val="21"/>
              </w:rPr>
              <w:t>环氧树脂</w:t>
            </w:r>
          </w:p>
        </w:tc>
        <w:tc>
          <w:tcPr>
            <w:tcW w:w="1200" w:type="pct"/>
            <w:gridSpan w:val="3"/>
            <w:tcBorders>
              <w:top w:val="single" w:color="auto" w:sz="4" w:space="0"/>
              <w:left w:val="single" w:color="auto" w:sz="4" w:space="0"/>
              <w:bottom w:val="single" w:color="auto" w:sz="4" w:space="0"/>
              <w:right w:val="single" w:color="auto" w:sz="4" w:space="0"/>
            </w:tcBorders>
            <w:vAlign w:val="center"/>
          </w:tcPr>
          <w:p w14:paraId="2E40BC8B">
            <w:pPr>
              <w:widowControl/>
              <w:jc w:val="center"/>
              <w:rPr>
                <w:rFonts w:ascii="Times New Roman"/>
                <w:kern w:val="0"/>
                <w:sz w:val="21"/>
                <w:szCs w:val="21"/>
              </w:rPr>
            </w:pPr>
            <w:r>
              <w:rPr>
                <w:rFonts w:ascii="Times New Roman"/>
                <w:kern w:val="0"/>
                <w:sz w:val="21"/>
                <w:szCs w:val="21"/>
              </w:rPr>
              <w:t>全封闭异氰酸酯</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654F98A0">
            <w:pPr>
              <w:widowControl/>
              <w:jc w:val="center"/>
              <w:rPr>
                <w:rFonts w:ascii="Times New Roman"/>
                <w:kern w:val="0"/>
                <w:sz w:val="21"/>
                <w:szCs w:val="21"/>
              </w:rPr>
            </w:pPr>
            <w:r>
              <w:rPr>
                <w:rFonts w:ascii="Times New Roman"/>
                <w:kern w:val="0"/>
                <w:sz w:val="21"/>
                <w:szCs w:val="21"/>
              </w:rPr>
              <w:t>丙二醇丁醚</w:t>
            </w:r>
          </w:p>
        </w:tc>
        <w:tc>
          <w:tcPr>
            <w:tcW w:w="779" w:type="pct"/>
            <w:gridSpan w:val="2"/>
            <w:tcBorders>
              <w:top w:val="single" w:color="auto" w:sz="4" w:space="0"/>
              <w:left w:val="single" w:color="auto" w:sz="4" w:space="0"/>
              <w:bottom w:val="single" w:color="auto" w:sz="4" w:space="0"/>
              <w:right w:val="single" w:color="auto" w:sz="4" w:space="0"/>
            </w:tcBorders>
            <w:vAlign w:val="center"/>
          </w:tcPr>
          <w:p w14:paraId="372147EF">
            <w:pPr>
              <w:widowControl/>
              <w:jc w:val="center"/>
              <w:rPr>
                <w:rFonts w:ascii="Times New Roman"/>
                <w:kern w:val="0"/>
                <w:sz w:val="21"/>
                <w:szCs w:val="21"/>
              </w:rPr>
            </w:pPr>
            <w:r>
              <w:rPr>
                <w:rFonts w:ascii="Times New Roman"/>
                <w:kern w:val="0"/>
                <w:sz w:val="21"/>
                <w:szCs w:val="21"/>
              </w:rPr>
              <w:t>水</w:t>
            </w:r>
          </w:p>
        </w:tc>
        <w:tc>
          <w:tcPr>
            <w:tcW w:w="485" w:type="pct"/>
            <w:vMerge w:val="continue"/>
            <w:tcBorders>
              <w:top w:val="single" w:color="auto" w:sz="4" w:space="0"/>
              <w:left w:val="single" w:color="auto" w:sz="4" w:space="0"/>
              <w:bottom w:val="single" w:color="auto" w:sz="4" w:space="0"/>
              <w:right w:val="single" w:color="auto" w:sz="4" w:space="0"/>
            </w:tcBorders>
            <w:vAlign w:val="center"/>
          </w:tcPr>
          <w:p w14:paraId="072C47E3">
            <w:pPr>
              <w:widowControl/>
              <w:jc w:val="center"/>
              <w:rPr>
                <w:rFonts w:ascii="Times New Roman"/>
                <w:kern w:val="0"/>
                <w:sz w:val="21"/>
                <w:szCs w:val="21"/>
              </w:rPr>
            </w:pPr>
          </w:p>
        </w:tc>
      </w:tr>
      <w:tr w14:paraId="793F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14:paraId="26F29E0C">
            <w:pPr>
              <w:widowControl/>
              <w:jc w:val="center"/>
              <w:rPr>
                <w:rFonts w:ascii="Times New Roman"/>
                <w:kern w:val="0"/>
                <w:sz w:val="21"/>
                <w:szCs w:val="21"/>
              </w:rPr>
            </w:pPr>
            <w:r>
              <w:rPr>
                <w:rFonts w:ascii="Times New Roman"/>
                <w:kern w:val="0"/>
                <w:sz w:val="21"/>
                <w:szCs w:val="21"/>
              </w:rPr>
              <w:t>含量%</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60C2397C">
            <w:pPr>
              <w:widowControl/>
              <w:jc w:val="center"/>
              <w:rPr>
                <w:rFonts w:ascii="Times New Roman"/>
                <w:kern w:val="0"/>
                <w:sz w:val="21"/>
                <w:szCs w:val="21"/>
              </w:rPr>
            </w:pPr>
            <w:r>
              <w:rPr>
                <w:rFonts w:ascii="Times New Roman"/>
                <w:kern w:val="0"/>
                <w:sz w:val="21"/>
                <w:szCs w:val="21"/>
              </w:rPr>
              <w:t>32%</w:t>
            </w:r>
          </w:p>
        </w:tc>
        <w:tc>
          <w:tcPr>
            <w:tcW w:w="1200" w:type="pct"/>
            <w:gridSpan w:val="3"/>
            <w:tcBorders>
              <w:top w:val="single" w:color="auto" w:sz="4" w:space="0"/>
              <w:left w:val="single" w:color="auto" w:sz="4" w:space="0"/>
              <w:bottom w:val="single" w:color="auto" w:sz="4" w:space="0"/>
              <w:right w:val="single" w:color="auto" w:sz="4" w:space="0"/>
            </w:tcBorders>
            <w:vAlign w:val="center"/>
          </w:tcPr>
          <w:p w14:paraId="61680AF7">
            <w:pPr>
              <w:widowControl/>
              <w:jc w:val="center"/>
              <w:rPr>
                <w:rFonts w:ascii="Times New Roman"/>
                <w:kern w:val="0"/>
                <w:sz w:val="21"/>
                <w:szCs w:val="21"/>
              </w:rPr>
            </w:pPr>
            <w:r>
              <w:rPr>
                <w:rFonts w:ascii="Times New Roman"/>
                <w:kern w:val="0"/>
                <w:sz w:val="21"/>
                <w:szCs w:val="21"/>
              </w:rPr>
              <w:t>4.5%</w:t>
            </w:r>
          </w:p>
        </w:tc>
        <w:tc>
          <w:tcPr>
            <w:tcW w:w="1045" w:type="pct"/>
            <w:gridSpan w:val="2"/>
            <w:tcBorders>
              <w:top w:val="single" w:color="auto" w:sz="4" w:space="0"/>
              <w:left w:val="single" w:color="auto" w:sz="4" w:space="0"/>
              <w:bottom w:val="single" w:color="auto" w:sz="4" w:space="0"/>
              <w:right w:val="single" w:color="auto" w:sz="4" w:space="0"/>
            </w:tcBorders>
            <w:vAlign w:val="center"/>
          </w:tcPr>
          <w:p w14:paraId="7A54F2F1">
            <w:pPr>
              <w:widowControl/>
              <w:jc w:val="center"/>
              <w:rPr>
                <w:rFonts w:ascii="Times New Roman"/>
                <w:kern w:val="0"/>
                <w:sz w:val="21"/>
                <w:szCs w:val="21"/>
              </w:rPr>
            </w:pPr>
            <w:r>
              <w:rPr>
                <w:rFonts w:ascii="Times New Roman"/>
                <w:kern w:val="0"/>
                <w:sz w:val="21"/>
                <w:szCs w:val="21"/>
              </w:rPr>
              <w:t>0.5%</w:t>
            </w:r>
          </w:p>
        </w:tc>
        <w:tc>
          <w:tcPr>
            <w:tcW w:w="779" w:type="pct"/>
            <w:gridSpan w:val="2"/>
            <w:tcBorders>
              <w:top w:val="single" w:color="auto" w:sz="4" w:space="0"/>
              <w:left w:val="single" w:color="auto" w:sz="4" w:space="0"/>
              <w:bottom w:val="single" w:color="auto" w:sz="4" w:space="0"/>
              <w:right w:val="single" w:color="auto" w:sz="4" w:space="0"/>
            </w:tcBorders>
            <w:vAlign w:val="center"/>
          </w:tcPr>
          <w:p w14:paraId="0CB813D5">
            <w:pPr>
              <w:widowControl/>
              <w:jc w:val="center"/>
              <w:rPr>
                <w:rFonts w:ascii="Times New Roman"/>
                <w:kern w:val="0"/>
                <w:sz w:val="21"/>
                <w:szCs w:val="21"/>
              </w:rPr>
            </w:pPr>
            <w:r>
              <w:rPr>
                <w:rFonts w:ascii="Times New Roman"/>
                <w:kern w:val="0"/>
                <w:sz w:val="21"/>
                <w:szCs w:val="21"/>
              </w:rPr>
              <w:t>63%</w:t>
            </w:r>
          </w:p>
        </w:tc>
        <w:tc>
          <w:tcPr>
            <w:tcW w:w="485" w:type="pct"/>
            <w:tcBorders>
              <w:top w:val="single" w:color="auto" w:sz="4" w:space="0"/>
              <w:left w:val="single" w:color="auto" w:sz="4" w:space="0"/>
              <w:bottom w:val="single" w:color="auto" w:sz="4" w:space="0"/>
              <w:right w:val="single" w:color="auto" w:sz="4" w:space="0"/>
            </w:tcBorders>
            <w:vAlign w:val="center"/>
          </w:tcPr>
          <w:p w14:paraId="163996EA">
            <w:pPr>
              <w:widowControl/>
              <w:jc w:val="center"/>
              <w:rPr>
                <w:rFonts w:ascii="Times New Roman"/>
                <w:kern w:val="0"/>
                <w:sz w:val="21"/>
                <w:szCs w:val="21"/>
              </w:rPr>
            </w:pPr>
            <w:r>
              <w:rPr>
                <w:rFonts w:ascii="Times New Roman"/>
                <w:kern w:val="0"/>
                <w:sz w:val="21"/>
                <w:szCs w:val="21"/>
              </w:rPr>
              <w:t>100%</w:t>
            </w:r>
          </w:p>
        </w:tc>
      </w:tr>
      <w:tr w14:paraId="6B6D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14:paraId="772E5872">
            <w:pPr>
              <w:jc w:val="center"/>
              <w:rPr>
                <w:rFonts w:ascii="Times New Roman"/>
                <w:kern w:val="0"/>
                <w:sz w:val="21"/>
                <w:szCs w:val="21"/>
              </w:rPr>
            </w:pPr>
            <w:r>
              <w:rPr>
                <w:rFonts w:ascii="Times New Roman"/>
                <w:kern w:val="0"/>
                <w:sz w:val="21"/>
                <w:szCs w:val="21"/>
              </w:rPr>
              <w:t>漆料</w:t>
            </w:r>
          </w:p>
        </w:tc>
        <w:tc>
          <w:tcPr>
            <w:tcW w:w="4482" w:type="pct"/>
            <w:gridSpan w:val="10"/>
            <w:tcBorders>
              <w:top w:val="single" w:color="auto" w:sz="4" w:space="0"/>
              <w:left w:val="single" w:color="auto" w:sz="4" w:space="0"/>
              <w:bottom w:val="single" w:color="auto" w:sz="4" w:space="0"/>
              <w:right w:val="single" w:color="auto" w:sz="4" w:space="0"/>
            </w:tcBorders>
            <w:vAlign w:val="center"/>
          </w:tcPr>
          <w:p w14:paraId="3E19A924">
            <w:pPr>
              <w:widowControl/>
              <w:jc w:val="center"/>
              <w:rPr>
                <w:rFonts w:ascii="Times New Roman"/>
                <w:kern w:val="0"/>
                <w:sz w:val="21"/>
                <w:szCs w:val="21"/>
              </w:rPr>
            </w:pPr>
            <w:r>
              <w:rPr>
                <w:rFonts w:ascii="Times New Roman"/>
                <w:kern w:val="0"/>
                <w:sz w:val="21"/>
                <w:szCs w:val="21"/>
              </w:rPr>
              <w:t>阴极电泳漆（灰浆）</w:t>
            </w:r>
          </w:p>
        </w:tc>
      </w:tr>
      <w:tr w14:paraId="62CF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7" w:type="pct"/>
            <w:vMerge w:val="restart"/>
            <w:tcBorders>
              <w:top w:val="single" w:color="auto" w:sz="4" w:space="0"/>
              <w:left w:val="single" w:color="auto" w:sz="4" w:space="0"/>
              <w:right w:val="single" w:color="auto" w:sz="4" w:space="0"/>
            </w:tcBorders>
            <w:vAlign w:val="center"/>
          </w:tcPr>
          <w:p w14:paraId="5C0C2ABE">
            <w:pPr>
              <w:jc w:val="center"/>
              <w:rPr>
                <w:rFonts w:ascii="Times New Roman"/>
                <w:kern w:val="0"/>
                <w:sz w:val="21"/>
                <w:szCs w:val="21"/>
              </w:rPr>
            </w:pPr>
            <w:r>
              <w:rPr>
                <w:rFonts w:ascii="Times New Roman"/>
                <w:kern w:val="0"/>
                <w:sz w:val="21"/>
                <w:szCs w:val="21"/>
              </w:rPr>
              <w:t>组分</w:t>
            </w:r>
          </w:p>
        </w:tc>
        <w:tc>
          <w:tcPr>
            <w:tcW w:w="2582" w:type="pct"/>
            <w:gridSpan w:val="6"/>
            <w:tcBorders>
              <w:top w:val="single" w:color="auto" w:sz="4" w:space="0"/>
              <w:left w:val="single" w:color="auto" w:sz="4" w:space="0"/>
              <w:bottom w:val="single" w:color="auto" w:sz="4" w:space="0"/>
              <w:right w:val="single" w:color="auto" w:sz="4" w:space="0"/>
            </w:tcBorders>
            <w:vAlign w:val="center"/>
          </w:tcPr>
          <w:p w14:paraId="5838E7BD">
            <w:pPr>
              <w:widowControl/>
              <w:jc w:val="center"/>
              <w:rPr>
                <w:rFonts w:ascii="Times New Roman"/>
                <w:kern w:val="0"/>
                <w:sz w:val="21"/>
                <w:szCs w:val="21"/>
              </w:rPr>
            </w:pPr>
            <w:r>
              <w:rPr>
                <w:rFonts w:ascii="Times New Roman"/>
                <w:kern w:val="0"/>
                <w:sz w:val="21"/>
                <w:szCs w:val="21"/>
              </w:rPr>
              <w:t>固体份（55%）</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20947488">
            <w:pPr>
              <w:widowControl/>
              <w:jc w:val="center"/>
              <w:rPr>
                <w:rFonts w:ascii="Times New Roman"/>
                <w:kern w:val="0"/>
                <w:sz w:val="21"/>
                <w:szCs w:val="21"/>
              </w:rPr>
            </w:pPr>
            <w:r>
              <w:rPr>
                <w:rFonts w:ascii="Times New Roman"/>
                <w:kern w:val="0"/>
                <w:sz w:val="21"/>
                <w:szCs w:val="21"/>
              </w:rPr>
              <w:t>挥发分（8%）</w:t>
            </w:r>
          </w:p>
        </w:tc>
        <w:tc>
          <w:tcPr>
            <w:tcW w:w="580" w:type="pct"/>
            <w:tcBorders>
              <w:top w:val="single" w:color="auto" w:sz="4" w:space="0"/>
              <w:left w:val="single" w:color="auto" w:sz="4" w:space="0"/>
              <w:bottom w:val="single" w:color="auto" w:sz="4" w:space="0"/>
              <w:right w:val="single" w:color="auto" w:sz="4" w:space="0"/>
            </w:tcBorders>
            <w:vAlign w:val="center"/>
          </w:tcPr>
          <w:p w14:paraId="46D016B5">
            <w:pPr>
              <w:widowControl/>
              <w:jc w:val="center"/>
              <w:rPr>
                <w:rFonts w:ascii="Times New Roman"/>
                <w:kern w:val="0"/>
                <w:sz w:val="21"/>
                <w:szCs w:val="21"/>
              </w:rPr>
            </w:pPr>
            <w:r>
              <w:rPr>
                <w:rFonts w:ascii="Times New Roman"/>
                <w:kern w:val="0"/>
                <w:sz w:val="21"/>
                <w:szCs w:val="21"/>
              </w:rPr>
              <w:t>/</w:t>
            </w:r>
          </w:p>
        </w:tc>
        <w:tc>
          <w:tcPr>
            <w:tcW w:w="485" w:type="pct"/>
            <w:vMerge w:val="restart"/>
            <w:tcBorders>
              <w:top w:val="single" w:color="auto" w:sz="4" w:space="0"/>
              <w:left w:val="single" w:color="auto" w:sz="4" w:space="0"/>
              <w:right w:val="single" w:color="auto" w:sz="4" w:space="0"/>
            </w:tcBorders>
            <w:vAlign w:val="center"/>
          </w:tcPr>
          <w:p w14:paraId="124ADB21">
            <w:pPr>
              <w:jc w:val="center"/>
              <w:rPr>
                <w:rFonts w:ascii="Times New Roman"/>
                <w:kern w:val="0"/>
                <w:sz w:val="21"/>
                <w:szCs w:val="21"/>
              </w:rPr>
            </w:pPr>
            <w:r>
              <w:rPr>
                <w:rFonts w:ascii="Times New Roman"/>
                <w:kern w:val="0"/>
                <w:sz w:val="21"/>
                <w:szCs w:val="21"/>
              </w:rPr>
              <w:t>合计</w:t>
            </w:r>
          </w:p>
        </w:tc>
      </w:tr>
      <w:tr w14:paraId="429B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517" w:type="pct"/>
            <w:vMerge w:val="continue"/>
            <w:tcBorders>
              <w:left w:val="single" w:color="auto" w:sz="4" w:space="0"/>
              <w:bottom w:val="single" w:color="auto" w:sz="4" w:space="0"/>
              <w:right w:val="single" w:color="auto" w:sz="4" w:space="0"/>
            </w:tcBorders>
            <w:vAlign w:val="center"/>
          </w:tcPr>
          <w:p w14:paraId="11A950E1">
            <w:pPr>
              <w:widowControl/>
              <w:jc w:val="center"/>
              <w:rPr>
                <w:rFonts w:ascii="Times New Roman"/>
                <w:kern w:val="0"/>
                <w:sz w:val="21"/>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703691DB">
            <w:pPr>
              <w:widowControl/>
              <w:jc w:val="center"/>
              <w:rPr>
                <w:rFonts w:ascii="Times New Roman"/>
                <w:kern w:val="0"/>
                <w:sz w:val="21"/>
                <w:szCs w:val="21"/>
              </w:rPr>
            </w:pPr>
            <w:r>
              <w:rPr>
                <w:rFonts w:ascii="Times New Roman"/>
                <w:kern w:val="0"/>
                <w:sz w:val="21"/>
                <w:szCs w:val="21"/>
              </w:rPr>
              <w:t>环氧树脂</w:t>
            </w:r>
          </w:p>
        </w:tc>
        <w:tc>
          <w:tcPr>
            <w:tcW w:w="532" w:type="pct"/>
            <w:gridSpan w:val="2"/>
            <w:tcBorders>
              <w:top w:val="single" w:color="auto" w:sz="4" w:space="0"/>
              <w:left w:val="single" w:color="auto" w:sz="4" w:space="0"/>
              <w:bottom w:val="single" w:color="auto" w:sz="4" w:space="0"/>
              <w:right w:val="single" w:color="auto" w:sz="4" w:space="0"/>
            </w:tcBorders>
            <w:vAlign w:val="center"/>
          </w:tcPr>
          <w:p w14:paraId="14117763">
            <w:pPr>
              <w:widowControl/>
              <w:jc w:val="center"/>
              <w:rPr>
                <w:rFonts w:ascii="Times New Roman"/>
                <w:kern w:val="0"/>
                <w:sz w:val="21"/>
                <w:szCs w:val="21"/>
              </w:rPr>
            </w:pPr>
            <w:r>
              <w:rPr>
                <w:rFonts w:ascii="Times New Roman"/>
                <w:kern w:val="0"/>
                <w:sz w:val="21"/>
                <w:szCs w:val="21"/>
              </w:rPr>
              <w:t>炭黑</w:t>
            </w:r>
          </w:p>
        </w:tc>
        <w:tc>
          <w:tcPr>
            <w:tcW w:w="773" w:type="pct"/>
            <w:tcBorders>
              <w:top w:val="single" w:color="auto" w:sz="4" w:space="0"/>
              <w:left w:val="single" w:color="auto" w:sz="4" w:space="0"/>
              <w:bottom w:val="single" w:color="auto" w:sz="4" w:space="0"/>
              <w:right w:val="single" w:color="auto" w:sz="4" w:space="0"/>
            </w:tcBorders>
            <w:vAlign w:val="center"/>
          </w:tcPr>
          <w:p w14:paraId="09A5FD4A">
            <w:pPr>
              <w:widowControl/>
              <w:jc w:val="center"/>
              <w:rPr>
                <w:rFonts w:ascii="Times New Roman"/>
                <w:kern w:val="0"/>
                <w:sz w:val="21"/>
                <w:szCs w:val="21"/>
              </w:rPr>
            </w:pPr>
            <w:r>
              <w:rPr>
                <w:rFonts w:ascii="Times New Roman"/>
                <w:kern w:val="0"/>
                <w:sz w:val="21"/>
                <w:szCs w:val="21"/>
              </w:rPr>
              <w:t>钛白粉</w:t>
            </w:r>
          </w:p>
        </w:tc>
        <w:tc>
          <w:tcPr>
            <w:tcW w:w="585" w:type="pct"/>
            <w:gridSpan w:val="2"/>
            <w:tcBorders>
              <w:top w:val="single" w:color="auto" w:sz="4" w:space="0"/>
              <w:left w:val="single" w:color="auto" w:sz="4" w:space="0"/>
              <w:bottom w:val="single" w:color="auto" w:sz="4" w:space="0"/>
              <w:right w:val="single" w:color="auto" w:sz="4" w:space="0"/>
            </w:tcBorders>
            <w:vAlign w:val="center"/>
          </w:tcPr>
          <w:p w14:paraId="6FB991F6">
            <w:pPr>
              <w:widowControl/>
              <w:jc w:val="center"/>
              <w:rPr>
                <w:rFonts w:ascii="Times New Roman"/>
                <w:kern w:val="0"/>
                <w:sz w:val="21"/>
                <w:szCs w:val="21"/>
              </w:rPr>
            </w:pPr>
            <w:r>
              <w:rPr>
                <w:rFonts w:ascii="Times New Roman"/>
                <w:kern w:val="0"/>
                <w:sz w:val="21"/>
                <w:szCs w:val="21"/>
              </w:rPr>
              <w:t>高岭土</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01B0F6F2">
            <w:pPr>
              <w:widowControl/>
              <w:jc w:val="center"/>
              <w:rPr>
                <w:rFonts w:ascii="Times New Roman"/>
                <w:kern w:val="0"/>
                <w:sz w:val="21"/>
                <w:szCs w:val="21"/>
              </w:rPr>
            </w:pPr>
            <w:r>
              <w:rPr>
                <w:rFonts w:ascii="Times New Roman"/>
                <w:kern w:val="0"/>
                <w:sz w:val="21"/>
                <w:szCs w:val="21"/>
              </w:rPr>
              <w:t>丙二醇丁醚</w:t>
            </w:r>
          </w:p>
        </w:tc>
        <w:tc>
          <w:tcPr>
            <w:tcW w:w="580" w:type="pct"/>
            <w:tcBorders>
              <w:top w:val="single" w:color="auto" w:sz="4" w:space="0"/>
              <w:left w:val="single" w:color="auto" w:sz="4" w:space="0"/>
              <w:bottom w:val="single" w:color="auto" w:sz="4" w:space="0"/>
              <w:right w:val="single" w:color="auto" w:sz="4" w:space="0"/>
            </w:tcBorders>
            <w:vAlign w:val="center"/>
          </w:tcPr>
          <w:p w14:paraId="6F2B5277">
            <w:pPr>
              <w:widowControl/>
              <w:jc w:val="center"/>
              <w:rPr>
                <w:rFonts w:ascii="Times New Roman"/>
                <w:kern w:val="0"/>
                <w:sz w:val="21"/>
                <w:szCs w:val="21"/>
              </w:rPr>
            </w:pPr>
            <w:r>
              <w:rPr>
                <w:rFonts w:ascii="Times New Roman"/>
                <w:kern w:val="0"/>
                <w:sz w:val="21"/>
                <w:szCs w:val="21"/>
              </w:rPr>
              <w:t>水</w:t>
            </w:r>
          </w:p>
        </w:tc>
        <w:tc>
          <w:tcPr>
            <w:tcW w:w="485" w:type="pct"/>
            <w:vMerge w:val="continue"/>
            <w:tcBorders>
              <w:left w:val="single" w:color="auto" w:sz="4" w:space="0"/>
              <w:bottom w:val="single" w:color="auto" w:sz="4" w:space="0"/>
              <w:right w:val="single" w:color="auto" w:sz="4" w:space="0"/>
            </w:tcBorders>
            <w:vAlign w:val="center"/>
          </w:tcPr>
          <w:p w14:paraId="16B00D64">
            <w:pPr>
              <w:widowControl/>
              <w:jc w:val="center"/>
              <w:rPr>
                <w:rFonts w:ascii="Times New Roman"/>
                <w:kern w:val="0"/>
                <w:sz w:val="21"/>
                <w:szCs w:val="21"/>
              </w:rPr>
            </w:pPr>
          </w:p>
        </w:tc>
      </w:tr>
      <w:tr w14:paraId="577D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14:paraId="78C22821">
            <w:pPr>
              <w:widowControl/>
              <w:jc w:val="center"/>
              <w:rPr>
                <w:rFonts w:ascii="Times New Roman"/>
                <w:kern w:val="0"/>
                <w:sz w:val="21"/>
                <w:szCs w:val="21"/>
              </w:rPr>
            </w:pPr>
            <w:r>
              <w:rPr>
                <w:rFonts w:ascii="Times New Roman"/>
                <w:kern w:val="0"/>
                <w:sz w:val="21"/>
                <w:szCs w:val="21"/>
              </w:rPr>
              <w:t>含量%</w:t>
            </w:r>
          </w:p>
        </w:tc>
        <w:tc>
          <w:tcPr>
            <w:tcW w:w="691" w:type="pct"/>
            <w:tcBorders>
              <w:top w:val="single" w:color="auto" w:sz="4" w:space="0"/>
              <w:left w:val="single" w:color="auto" w:sz="4" w:space="0"/>
              <w:bottom w:val="single" w:color="auto" w:sz="4" w:space="0"/>
              <w:right w:val="single" w:color="auto" w:sz="4" w:space="0"/>
            </w:tcBorders>
            <w:vAlign w:val="center"/>
          </w:tcPr>
          <w:p w14:paraId="4C724104">
            <w:pPr>
              <w:widowControl/>
              <w:jc w:val="center"/>
              <w:rPr>
                <w:rFonts w:ascii="Times New Roman"/>
                <w:kern w:val="0"/>
                <w:sz w:val="21"/>
                <w:szCs w:val="21"/>
              </w:rPr>
            </w:pPr>
            <w:r>
              <w:rPr>
                <w:rFonts w:ascii="Times New Roman"/>
                <w:kern w:val="0"/>
                <w:sz w:val="21"/>
                <w:szCs w:val="21"/>
              </w:rPr>
              <w:t>15%</w:t>
            </w:r>
          </w:p>
        </w:tc>
        <w:tc>
          <w:tcPr>
            <w:tcW w:w="532" w:type="pct"/>
            <w:gridSpan w:val="2"/>
            <w:tcBorders>
              <w:top w:val="single" w:color="auto" w:sz="4" w:space="0"/>
              <w:left w:val="single" w:color="auto" w:sz="4" w:space="0"/>
              <w:bottom w:val="single" w:color="auto" w:sz="4" w:space="0"/>
              <w:right w:val="single" w:color="auto" w:sz="4" w:space="0"/>
            </w:tcBorders>
            <w:vAlign w:val="center"/>
          </w:tcPr>
          <w:p w14:paraId="35D0D59E">
            <w:pPr>
              <w:widowControl/>
              <w:jc w:val="center"/>
              <w:rPr>
                <w:rFonts w:ascii="Times New Roman"/>
                <w:kern w:val="0"/>
                <w:sz w:val="21"/>
                <w:szCs w:val="21"/>
              </w:rPr>
            </w:pPr>
            <w:r>
              <w:rPr>
                <w:rFonts w:ascii="Times New Roman"/>
                <w:kern w:val="0"/>
                <w:sz w:val="21"/>
                <w:szCs w:val="21"/>
              </w:rPr>
              <w:t>0.4%</w:t>
            </w:r>
          </w:p>
        </w:tc>
        <w:tc>
          <w:tcPr>
            <w:tcW w:w="773" w:type="pct"/>
            <w:tcBorders>
              <w:top w:val="single" w:color="auto" w:sz="4" w:space="0"/>
              <w:left w:val="single" w:color="auto" w:sz="4" w:space="0"/>
              <w:bottom w:val="single" w:color="auto" w:sz="4" w:space="0"/>
              <w:right w:val="single" w:color="auto" w:sz="4" w:space="0"/>
            </w:tcBorders>
            <w:vAlign w:val="center"/>
          </w:tcPr>
          <w:p w14:paraId="31118E5A">
            <w:pPr>
              <w:widowControl/>
              <w:jc w:val="center"/>
              <w:rPr>
                <w:rFonts w:ascii="Times New Roman"/>
                <w:kern w:val="0"/>
                <w:sz w:val="21"/>
                <w:szCs w:val="21"/>
              </w:rPr>
            </w:pPr>
            <w:r>
              <w:rPr>
                <w:rFonts w:ascii="Times New Roman"/>
                <w:kern w:val="0"/>
                <w:sz w:val="21"/>
                <w:szCs w:val="21"/>
              </w:rPr>
              <w:t>23.6%</w:t>
            </w:r>
          </w:p>
        </w:tc>
        <w:tc>
          <w:tcPr>
            <w:tcW w:w="585" w:type="pct"/>
            <w:gridSpan w:val="2"/>
            <w:tcBorders>
              <w:top w:val="single" w:color="auto" w:sz="4" w:space="0"/>
              <w:left w:val="single" w:color="auto" w:sz="4" w:space="0"/>
              <w:bottom w:val="single" w:color="auto" w:sz="4" w:space="0"/>
              <w:right w:val="single" w:color="auto" w:sz="4" w:space="0"/>
            </w:tcBorders>
            <w:vAlign w:val="center"/>
          </w:tcPr>
          <w:p w14:paraId="50408F07">
            <w:pPr>
              <w:widowControl/>
              <w:jc w:val="center"/>
              <w:rPr>
                <w:rFonts w:ascii="Times New Roman"/>
                <w:kern w:val="0"/>
                <w:sz w:val="21"/>
                <w:szCs w:val="21"/>
              </w:rPr>
            </w:pPr>
            <w:r>
              <w:rPr>
                <w:rFonts w:ascii="Times New Roman"/>
                <w:kern w:val="0"/>
                <w:sz w:val="21"/>
                <w:szCs w:val="21"/>
              </w:rPr>
              <w:t>16%</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43A54907">
            <w:pPr>
              <w:widowControl/>
              <w:jc w:val="center"/>
              <w:rPr>
                <w:rFonts w:ascii="Times New Roman"/>
                <w:kern w:val="0"/>
                <w:sz w:val="21"/>
                <w:szCs w:val="21"/>
              </w:rPr>
            </w:pPr>
            <w:r>
              <w:rPr>
                <w:rFonts w:ascii="Times New Roman"/>
                <w:kern w:val="0"/>
                <w:sz w:val="21"/>
                <w:szCs w:val="21"/>
              </w:rPr>
              <w:t>8%</w:t>
            </w:r>
          </w:p>
        </w:tc>
        <w:tc>
          <w:tcPr>
            <w:tcW w:w="580" w:type="pct"/>
            <w:tcBorders>
              <w:top w:val="single" w:color="auto" w:sz="4" w:space="0"/>
              <w:left w:val="single" w:color="auto" w:sz="4" w:space="0"/>
              <w:bottom w:val="single" w:color="auto" w:sz="4" w:space="0"/>
              <w:right w:val="single" w:color="auto" w:sz="4" w:space="0"/>
            </w:tcBorders>
            <w:vAlign w:val="center"/>
          </w:tcPr>
          <w:p w14:paraId="71ED6D62">
            <w:pPr>
              <w:widowControl/>
              <w:jc w:val="center"/>
              <w:rPr>
                <w:rFonts w:ascii="Times New Roman"/>
                <w:kern w:val="0"/>
                <w:sz w:val="21"/>
                <w:szCs w:val="21"/>
              </w:rPr>
            </w:pPr>
            <w:r>
              <w:rPr>
                <w:rFonts w:ascii="Times New Roman"/>
                <w:kern w:val="0"/>
                <w:sz w:val="21"/>
                <w:szCs w:val="21"/>
              </w:rPr>
              <w:t>37%</w:t>
            </w:r>
          </w:p>
        </w:tc>
        <w:tc>
          <w:tcPr>
            <w:tcW w:w="485" w:type="pct"/>
            <w:tcBorders>
              <w:top w:val="single" w:color="auto" w:sz="4" w:space="0"/>
              <w:left w:val="single" w:color="auto" w:sz="4" w:space="0"/>
              <w:bottom w:val="single" w:color="auto" w:sz="4" w:space="0"/>
              <w:right w:val="single" w:color="auto" w:sz="4" w:space="0"/>
            </w:tcBorders>
            <w:vAlign w:val="center"/>
          </w:tcPr>
          <w:p w14:paraId="0B2E29EC">
            <w:pPr>
              <w:widowControl/>
              <w:jc w:val="center"/>
              <w:rPr>
                <w:rFonts w:ascii="Times New Roman"/>
                <w:kern w:val="0"/>
                <w:sz w:val="21"/>
                <w:szCs w:val="21"/>
              </w:rPr>
            </w:pPr>
            <w:r>
              <w:rPr>
                <w:rFonts w:ascii="Times New Roman"/>
                <w:kern w:val="0"/>
                <w:sz w:val="21"/>
                <w:szCs w:val="21"/>
              </w:rPr>
              <w:t>100%</w:t>
            </w:r>
          </w:p>
        </w:tc>
      </w:tr>
    </w:tbl>
    <w:p w14:paraId="24A700A9">
      <w:pPr>
        <w:ind w:firstLine="482" w:firstLineChars="200"/>
        <w:jc w:val="center"/>
        <w:rPr>
          <w:rFonts w:ascii="Times New Roman"/>
          <w:b/>
          <w:sz w:val="24"/>
          <w:szCs w:val="24"/>
        </w:rPr>
      </w:pPr>
      <w:r>
        <w:rPr>
          <w:rFonts w:ascii="Times New Roman"/>
          <w:b/>
          <w:sz w:val="24"/>
          <w:szCs w:val="24"/>
        </w:rPr>
        <w:t>表3.3-3  项目油性漆主要成分一览表</w:t>
      </w:r>
    </w:p>
    <w:tbl>
      <w:tblPr>
        <w:tblStyle w:val="8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415"/>
        <w:gridCol w:w="315"/>
        <w:gridCol w:w="1346"/>
        <w:gridCol w:w="70"/>
        <w:gridCol w:w="1294"/>
        <w:gridCol w:w="932"/>
        <w:gridCol w:w="1435"/>
        <w:gridCol w:w="825"/>
      </w:tblGrid>
      <w:tr w14:paraId="745B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Align w:val="center"/>
          </w:tcPr>
          <w:p w14:paraId="3782ABCB">
            <w:pPr>
              <w:spacing w:line="320" w:lineRule="exact"/>
              <w:jc w:val="center"/>
              <w:rPr>
                <w:rFonts w:ascii="Times New Roman"/>
                <w:kern w:val="0"/>
                <w:sz w:val="21"/>
                <w:szCs w:val="21"/>
              </w:rPr>
            </w:pPr>
            <w:r>
              <w:rPr>
                <w:rFonts w:ascii="Times New Roman"/>
                <w:kern w:val="0"/>
                <w:sz w:val="21"/>
                <w:szCs w:val="21"/>
              </w:rPr>
              <w:t>漆料</w:t>
            </w:r>
          </w:p>
        </w:tc>
        <w:tc>
          <w:tcPr>
            <w:tcW w:w="4478" w:type="pct"/>
            <w:gridSpan w:val="8"/>
            <w:vAlign w:val="center"/>
          </w:tcPr>
          <w:p w14:paraId="1838AA5C">
            <w:pPr>
              <w:spacing w:line="320" w:lineRule="exact"/>
              <w:jc w:val="center"/>
              <w:rPr>
                <w:rFonts w:ascii="Times New Roman"/>
                <w:kern w:val="0"/>
                <w:sz w:val="21"/>
                <w:szCs w:val="21"/>
              </w:rPr>
            </w:pPr>
            <w:r>
              <w:rPr>
                <w:rFonts w:ascii="Times New Roman"/>
                <w:kern w:val="0"/>
                <w:sz w:val="21"/>
                <w:szCs w:val="21"/>
              </w:rPr>
              <w:t>环氧富锌底漆</w:t>
            </w:r>
          </w:p>
        </w:tc>
      </w:tr>
      <w:tr w14:paraId="18FA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Merge w:val="restart"/>
            <w:vAlign w:val="center"/>
          </w:tcPr>
          <w:p w14:paraId="0AC380F1">
            <w:pPr>
              <w:spacing w:line="320" w:lineRule="exact"/>
              <w:jc w:val="center"/>
              <w:rPr>
                <w:rFonts w:ascii="Times New Roman"/>
                <w:kern w:val="0"/>
                <w:sz w:val="21"/>
                <w:szCs w:val="21"/>
              </w:rPr>
            </w:pPr>
            <w:r>
              <w:rPr>
                <w:rFonts w:ascii="Times New Roman"/>
                <w:kern w:val="0"/>
                <w:sz w:val="21"/>
                <w:szCs w:val="21"/>
              </w:rPr>
              <w:t>名称</w:t>
            </w:r>
          </w:p>
        </w:tc>
        <w:tc>
          <w:tcPr>
            <w:tcW w:w="1846" w:type="pct"/>
            <w:gridSpan w:val="4"/>
            <w:vAlign w:val="center"/>
          </w:tcPr>
          <w:p w14:paraId="16FB0D3F">
            <w:pPr>
              <w:widowControl/>
              <w:spacing w:line="320" w:lineRule="exact"/>
              <w:jc w:val="center"/>
              <w:rPr>
                <w:rFonts w:ascii="Times New Roman"/>
                <w:kern w:val="0"/>
                <w:sz w:val="21"/>
                <w:szCs w:val="21"/>
              </w:rPr>
            </w:pPr>
            <w:r>
              <w:rPr>
                <w:rFonts w:ascii="Times New Roman"/>
                <w:kern w:val="0"/>
                <w:sz w:val="21"/>
                <w:szCs w:val="21"/>
              </w:rPr>
              <w:t>固体份（90%）</w:t>
            </w:r>
          </w:p>
        </w:tc>
        <w:tc>
          <w:tcPr>
            <w:tcW w:w="2148" w:type="pct"/>
            <w:gridSpan w:val="3"/>
            <w:vAlign w:val="center"/>
          </w:tcPr>
          <w:p w14:paraId="40037A76">
            <w:pPr>
              <w:widowControl/>
              <w:spacing w:line="320" w:lineRule="exact"/>
              <w:jc w:val="center"/>
              <w:rPr>
                <w:rFonts w:ascii="Times New Roman"/>
                <w:kern w:val="0"/>
                <w:sz w:val="21"/>
                <w:szCs w:val="21"/>
              </w:rPr>
            </w:pPr>
            <w:r>
              <w:rPr>
                <w:rFonts w:ascii="Times New Roman"/>
                <w:kern w:val="0"/>
                <w:sz w:val="21"/>
                <w:szCs w:val="21"/>
              </w:rPr>
              <w:t>挥发分（10%）</w:t>
            </w:r>
          </w:p>
        </w:tc>
        <w:tc>
          <w:tcPr>
            <w:tcW w:w="483" w:type="pct"/>
            <w:vMerge w:val="restart"/>
            <w:vAlign w:val="center"/>
          </w:tcPr>
          <w:p w14:paraId="26875D0C">
            <w:pPr>
              <w:spacing w:line="320" w:lineRule="exact"/>
              <w:jc w:val="center"/>
              <w:rPr>
                <w:rFonts w:ascii="Times New Roman"/>
                <w:kern w:val="0"/>
                <w:sz w:val="21"/>
                <w:szCs w:val="21"/>
              </w:rPr>
            </w:pPr>
            <w:r>
              <w:rPr>
                <w:rFonts w:ascii="Times New Roman"/>
                <w:kern w:val="0"/>
                <w:sz w:val="21"/>
                <w:szCs w:val="21"/>
              </w:rPr>
              <w:t>合计</w:t>
            </w:r>
          </w:p>
        </w:tc>
      </w:tr>
      <w:tr w14:paraId="677F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Merge w:val="continue"/>
            <w:vAlign w:val="center"/>
          </w:tcPr>
          <w:p w14:paraId="09F6B379">
            <w:pPr>
              <w:widowControl/>
              <w:spacing w:line="320" w:lineRule="exact"/>
              <w:jc w:val="center"/>
              <w:rPr>
                <w:rFonts w:ascii="Times New Roman"/>
                <w:kern w:val="0"/>
                <w:sz w:val="21"/>
                <w:szCs w:val="21"/>
              </w:rPr>
            </w:pPr>
          </w:p>
        </w:tc>
        <w:tc>
          <w:tcPr>
            <w:tcW w:w="830" w:type="pct"/>
            <w:vAlign w:val="center"/>
          </w:tcPr>
          <w:p w14:paraId="30303FED">
            <w:pPr>
              <w:widowControl/>
              <w:spacing w:line="320" w:lineRule="exact"/>
              <w:jc w:val="center"/>
              <w:rPr>
                <w:rFonts w:ascii="Times New Roman"/>
                <w:kern w:val="0"/>
                <w:sz w:val="21"/>
                <w:szCs w:val="21"/>
              </w:rPr>
            </w:pPr>
            <w:r>
              <w:rPr>
                <w:rFonts w:ascii="Times New Roman"/>
                <w:kern w:val="0"/>
                <w:sz w:val="21"/>
                <w:szCs w:val="21"/>
              </w:rPr>
              <w:t>环氧树脂</w:t>
            </w:r>
          </w:p>
        </w:tc>
        <w:tc>
          <w:tcPr>
            <w:tcW w:w="1015" w:type="pct"/>
            <w:gridSpan w:val="3"/>
            <w:vAlign w:val="center"/>
          </w:tcPr>
          <w:p w14:paraId="07FF57B2">
            <w:pPr>
              <w:widowControl/>
              <w:spacing w:line="320" w:lineRule="exact"/>
              <w:jc w:val="center"/>
              <w:rPr>
                <w:rFonts w:ascii="Times New Roman"/>
                <w:kern w:val="0"/>
                <w:sz w:val="21"/>
                <w:szCs w:val="21"/>
              </w:rPr>
            </w:pPr>
            <w:r>
              <w:rPr>
                <w:rFonts w:ascii="Times New Roman"/>
                <w:kern w:val="0"/>
                <w:sz w:val="21"/>
                <w:szCs w:val="21"/>
              </w:rPr>
              <w:t>锌粉</w:t>
            </w:r>
          </w:p>
        </w:tc>
        <w:tc>
          <w:tcPr>
            <w:tcW w:w="1306" w:type="pct"/>
            <w:gridSpan w:val="2"/>
            <w:vAlign w:val="center"/>
          </w:tcPr>
          <w:p w14:paraId="018B9B95">
            <w:pPr>
              <w:widowControl/>
              <w:spacing w:line="320" w:lineRule="exact"/>
              <w:jc w:val="center"/>
              <w:rPr>
                <w:rFonts w:ascii="Times New Roman"/>
                <w:kern w:val="0"/>
                <w:sz w:val="21"/>
                <w:szCs w:val="21"/>
              </w:rPr>
            </w:pPr>
            <w:r>
              <w:rPr>
                <w:rFonts w:ascii="Times New Roman"/>
                <w:kern w:val="0"/>
                <w:sz w:val="21"/>
                <w:szCs w:val="21"/>
              </w:rPr>
              <w:t>碳酸二甲酯（DMC）</w:t>
            </w:r>
          </w:p>
        </w:tc>
        <w:tc>
          <w:tcPr>
            <w:tcW w:w="842" w:type="pct"/>
            <w:vAlign w:val="center"/>
          </w:tcPr>
          <w:p w14:paraId="21AF9A13">
            <w:pPr>
              <w:widowControl/>
              <w:spacing w:line="320" w:lineRule="exact"/>
              <w:jc w:val="center"/>
              <w:rPr>
                <w:rFonts w:ascii="Times New Roman"/>
                <w:kern w:val="0"/>
                <w:sz w:val="21"/>
                <w:szCs w:val="21"/>
              </w:rPr>
            </w:pPr>
            <w:r>
              <w:rPr>
                <w:rFonts w:ascii="Times New Roman"/>
                <w:kern w:val="0"/>
                <w:sz w:val="21"/>
                <w:szCs w:val="21"/>
              </w:rPr>
              <w:t>二甲苯</w:t>
            </w:r>
          </w:p>
        </w:tc>
        <w:tc>
          <w:tcPr>
            <w:tcW w:w="483" w:type="pct"/>
            <w:vMerge w:val="continue"/>
            <w:vAlign w:val="center"/>
          </w:tcPr>
          <w:p w14:paraId="65C9A4AC">
            <w:pPr>
              <w:widowControl/>
              <w:spacing w:line="320" w:lineRule="exact"/>
              <w:jc w:val="center"/>
              <w:rPr>
                <w:rFonts w:ascii="Times New Roman"/>
                <w:kern w:val="0"/>
                <w:sz w:val="21"/>
                <w:szCs w:val="21"/>
              </w:rPr>
            </w:pPr>
          </w:p>
        </w:tc>
      </w:tr>
      <w:tr w14:paraId="5A5F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Align w:val="center"/>
          </w:tcPr>
          <w:p w14:paraId="7A0A4381">
            <w:pPr>
              <w:widowControl/>
              <w:spacing w:line="320" w:lineRule="exact"/>
              <w:jc w:val="center"/>
              <w:rPr>
                <w:rFonts w:ascii="Times New Roman"/>
                <w:kern w:val="0"/>
                <w:sz w:val="21"/>
                <w:szCs w:val="21"/>
              </w:rPr>
            </w:pPr>
            <w:r>
              <w:rPr>
                <w:rFonts w:ascii="Times New Roman"/>
                <w:kern w:val="0"/>
                <w:sz w:val="21"/>
                <w:szCs w:val="21"/>
              </w:rPr>
              <w:t>含量%</w:t>
            </w:r>
          </w:p>
        </w:tc>
        <w:tc>
          <w:tcPr>
            <w:tcW w:w="830" w:type="pct"/>
            <w:vAlign w:val="center"/>
          </w:tcPr>
          <w:p w14:paraId="0814F190">
            <w:pPr>
              <w:widowControl/>
              <w:spacing w:line="320" w:lineRule="exact"/>
              <w:jc w:val="center"/>
              <w:rPr>
                <w:rFonts w:ascii="Times New Roman"/>
                <w:kern w:val="0"/>
                <w:sz w:val="21"/>
                <w:szCs w:val="21"/>
              </w:rPr>
            </w:pPr>
            <w:r>
              <w:rPr>
                <w:rFonts w:ascii="Times New Roman"/>
                <w:kern w:val="0"/>
                <w:sz w:val="21"/>
                <w:szCs w:val="21"/>
              </w:rPr>
              <w:t>25%</w:t>
            </w:r>
          </w:p>
        </w:tc>
        <w:tc>
          <w:tcPr>
            <w:tcW w:w="1015" w:type="pct"/>
            <w:gridSpan w:val="3"/>
            <w:vAlign w:val="center"/>
          </w:tcPr>
          <w:p w14:paraId="779BBF7C">
            <w:pPr>
              <w:widowControl/>
              <w:spacing w:line="320" w:lineRule="exact"/>
              <w:jc w:val="center"/>
              <w:rPr>
                <w:rFonts w:ascii="Times New Roman"/>
                <w:kern w:val="0"/>
                <w:sz w:val="21"/>
                <w:szCs w:val="21"/>
              </w:rPr>
            </w:pPr>
            <w:r>
              <w:rPr>
                <w:rFonts w:ascii="Times New Roman"/>
                <w:kern w:val="0"/>
                <w:sz w:val="21"/>
                <w:szCs w:val="21"/>
              </w:rPr>
              <w:t>65%</w:t>
            </w:r>
          </w:p>
        </w:tc>
        <w:tc>
          <w:tcPr>
            <w:tcW w:w="1306" w:type="pct"/>
            <w:gridSpan w:val="2"/>
            <w:vAlign w:val="center"/>
          </w:tcPr>
          <w:p w14:paraId="548AFD2B">
            <w:pPr>
              <w:widowControl/>
              <w:spacing w:line="320" w:lineRule="exact"/>
              <w:jc w:val="center"/>
              <w:rPr>
                <w:rFonts w:ascii="Times New Roman"/>
                <w:kern w:val="0"/>
                <w:sz w:val="21"/>
                <w:szCs w:val="21"/>
              </w:rPr>
            </w:pPr>
            <w:r>
              <w:rPr>
                <w:rFonts w:ascii="Times New Roman"/>
                <w:kern w:val="0"/>
                <w:sz w:val="21"/>
                <w:szCs w:val="21"/>
              </w:rPr>
              <w:t>7%</w:t>
            </w:r>
          </w:p>
        </w:tc>
        <w:tc>
          <w:tcPr>
            <w:tcW w:w="842" w:type="pct"/>
            <w:vAlign w:val="center"/>
          </w:tcPr>
          <w:p w14:paraId="748D7C6D">
            <w:pPr>
              <w:widowControl/>
              <w:spacing w:line="320" w:lineRule="exact"/>
              <w:jc w:val="center"/>
              <w:rPr>
                <w:rFonts w:ascii="Times New Roman"/>
                <w:kern w:val="0"/>
                <w:sz w:val="21"/>
                <w:szCs w:val="21"/>
              </w:rPr>
            </w:pPr>
            <w:r>
              <w:rPr>
                <w:rFonts w:ascii="Times New Roman"/>
                <w:kern w:val="0"/>
                <w:sz w:val="21"/>
                <w:szCs w:val="21"/>
              </w:rPr>
              <w:t>3%</w:t>
            </w:r>
          </w:p>
        </w:tc>
        <w:tc>
          <w:tcPr>
            <w:tcW w:w="483" w:type="pct"/>
            <w:vAlign w:val="center"/>
          </w:tcPr>
          <w:p w14:paraId="5E592D02">
            <w:pPr>
              <w:widowControl/>
              <w:spacing w:line="320" w:lineRule="exact"/>
              <w:jc w:val="center"/>
              <w:rPr>
                <w:rFonts w:ascii="Times New Roman"/>
                <w:kern w:val="0"/>
                <w:sz w:val="21"/>
                <w:szCs w:val="21"/>
              </w:rPr>
            </w:pPr>
            <w:r>
              <w:rPr>
                <w:rFonts w:ascii="Times New Roman"/>
                <w:kern w:val="0"/>
                <w:sz w:val="21"/>
                <w:szCs w:val="21"/>
              </w:rPr>
              <w:t>100%</w:t>
            </w:r>
          </w:p>
        </w:tc>
      </w:tr>
      <w:tr w14:paraId="0A99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Align w:val="center"/>
          </w:tcPr>
          <w:p w14:paraId="003400AA">
            <w:pPr>
              <w:spacing w:line="320" w:lineRule="exact"/>
              <w:jc w:val="center"/>
              <w:rPr>
                <w:rFonts w:ascii="Times New Roman"/>
                <w:kern w:val="0"/>
                <w:sz w:val="21"/>
                <w:szCs w:val="21"/>
              </w:rPr>
            </w:pPr>
            <w:r>
              <w:rPr>
                <w:rFonts w:ascii="Times New Roman"/>
                <w:kern w:val="0"/>
                <w:sz w:val="21"/>
                <w:szCs w:val="21"/>
              </w:rPr>
              <w:t>漆料</w:t>
            </w:r>
          </w:p>
        </w:tc>
        <w:tc>
          <w:tcPr>
            <w:tcW w:w="4478" w:type="pct"/>
            <w:gridSpan w:val="8"/>
            <w:vAlign w:val="center"/>
          </w:tcPr>
          <w:p w14:paraId="20803D7A">
            <w:pPr>
              <w:spacing w:line="320" w:lineRule="exact"/>
              <w:jc w:val="center"/>
              <w:rPr>
                <w:rFonts w:ascii="Times New Roman"/>
                <w:kern w:val="0"/>
                <w:sz w:val="21"/>
                <w:szCs w:val="21"/>
              </w:rPr>
            </w:pPr>
            <w:r>
              <w:rPr>
                <w:rFonts w:ascii="Times New Roman"/>
                <w:kern w:val="0"/>
                <w:sz w:val="21"/>
                <w:szCs w:val="21"/>
              </w:rPr>
              <w:t>环氧云铁中间漆</w:t>
            </w:r>
          </w:p>
        </w:tc>
      </w:tr>
      <w:tr w14:paraId="2DA5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Merge w:val="restart"/>
            <w:vAlign w:val="center"/>
          </w:tcPr>
          <w:p w14:paraId="5751BEA1">
            <w:pPr>
              <w:spacing w:line="320" w:lineRule="exact"/>
              <w:jc w:val="center"/>
              <w:rPr>
                <w:rFonts w:ascii="Times New Roman"/>
                <w:kern w:val="0"/>
                <w:sz w:val="21"/>
                <w:szCs w:val="21"/>
              </w:rPr>
            </w:pPr>
            <w:r>
              <w:rPr>
                <w:rFonts w:ascii="Times New Roman"/>
                <w:kern w:val="0"/>
                <w:sz w:val="21"/>
                <w:szCs w:val="21"/>
              </w:rPr>
              <w:t>名称</w:t>
            </w:r>
          </w:p>
        </w:tc>
        <w:tc>
          <w:tcPr>
            <w:tcW w:w="1846" w:type="pct"/>
            <w:gridSpan w:val="4"/>
            <w:vAlign w:val="center"/>
          </w:tcPr>
          <w:p w14:paraId="2EFB3822">
            <w:pPr>
              <w:widowControl/>
              <w:spacing w:line="320" w:lineRule="exact"/>
              <w:jc w:val="center"/>
              <w:rPr>
                <w:rFonts w:ascii="Times New Roman"/>
                <w:kern w:val="0"/>
                <w:sz w:val="21"/>
                <w:szCs w:val="21"/>
              </w:rPr>
            </w:pPr>
            <w:r>
              <w:rPr>
                <w:rFonts w:ascii="Times New Roman"/>
                <w:kern w:val="0"/>
                <w:sz w:val="21"/>
                <w:szCs w:val="21"/>
              </w:rPr>
              <w:t>固体份（90%）</w:t>
            </w:r>
          </w:p>
        </w:tc>
        <w:tc>
          <w:tcPr>
            <w:tcW w:w="2148" w:type="pct"/>
            <w:gridSpan w:val="3"/>
            <w:vAlign w:val="center"/>
          </w:tcPr>
          <w:p w14:paraId="7F90C54F">
            <w:pPr>
              <w:widowControl/>
              <w:spacing w:line="320" w:lineRule="exact"/>
              <w:jc w:val="center"/>
              <w:rPr>
                <w:rFonts w:ascii="Times New Roman"/>
                <w:kern w:val="0"/>
                <w:sz w:val="21"/>
                <w:szCs w:val="21"/>
              </w:rPr>
            </w:pPr>
            <w:r>
              <w:rPr>
                <w:rFonts w:ascii="Times New Roman"/>
                <w:kern w:val="0"/>
                <w:sz w:val="21"/>
                <w:szCs w:val="21"/>
              </w:rPr>
              <w:t>挥发分（10%）</w:t>
            </w:r>
          </w:p>
        </w:tc>
        <w:tc>
          <w:tcPr>
            <w:tcW w:w="483" w:type="pct"/>
            <w:vMerge w:val="restart"/>
            <w:vAlign w:val="center"/>
          </w:tcPr>
          <w:p w14:paraId="1F0C9A27">
            <w:pPr>
              <w:spacing w:line="320" w:lineRule="exact"/>
              <w:jc w:val="center"/>
              <w:rPr>
                <w:rFonts w:ascii="Times New Roman"/>
                <w:kern w:val="0"/>
                <w:sz w:val="21"/>
                <w:szCs w:val="21"/>
              </w:rPr>
            </w:pPr>
            <w:r>
              <w:rPr>
                <w:rFonts w:ascii="Times New Roman"/>
                <w:kern w:val="0"/>
                <w:sz w:val="21"/>
                <w:szCs w:val="21"/>
              </w:rPr>
              <w:t>合计</w:t>
            </w:r>
          </w:p>
        </w:tc>
      </w:tr>
      <w:tr w14:paraId="2D3D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Merge w:val="continue"/>
            <w:vAlign w:val="center"/>
          </w:tcPr>
          <w:p w14:paraId="12FC6193">
            <w:pPr>
              <w:widowControl/>
              <w:spacing w:line="320" w:lineRule="exact"/>
              <w:jc w:val="center"/>
              <w:rPr>
                <w:rFonts w:ascii="Times New Roman"/>
                <w:kern w:val="0"/>
                <w:sz w:val="21"/>
                <w:szCs w:val="21"/>
              </w:rPr>
            </w:pPr>
          </w:p>
        </w:tc>
        <w:tc>
          <w:tcPr>
            <w:tcW w:w="829" w:type="pct"/>
            <w:vAlign w:val="center"/>
          </w:tcPr>
          <w:p w14:paraId="6BE03632">
            <w:pPr>
              <w:widowControl/>
              <w:spacing w:line="320" w:lineRule="exact"/>
              <w:jc w:val="center"/>
              <w:rPr>
                <w:rFonts w:ascii="Times New Roman"/>
                <w:kern w:val="0"/>
                <w:sz w:val="21"/>
                <w:szCs w:val="21"/>
              </w:rPr>
            </w:pPr>
            <w:r>
              <w:rPr>
                <w:rFonts w:ascii="Times New Roman"/>
                <w:kern w:val="0"/>
                <w:sz w:val="21"/>
                <w:szCs w:val="21"/>
              </w:rPr>
              <w:t>环氧树脂</w:t>
            </w:r>
          </w:p>
        </w:tc>
        <w:tc>
          <w:tcPr>
            <w:tcW w:w="1016" w:type="pct"/>
            <w:gridSpan w:val="3"/>
            <w:vAlign w:val="center"/>
          </w:tcPr>
          <w:p w14:paraId="2DC5BD9D">
            <w:pPr>
              <w:widowControl/>
              <w:spacing w:line="320" w:lineRule="exact"/>
              <w:jc w:val="center"/>
              <w:rPr>
                <w:rFonts w:ascii="Times New Roman"/>
                <w:kern w:val="0"/>
                <w:sz w:val="21"/>
                <w:szCs w:val="21"/>
              </w:rPr>
            </w:pPr>
            <w:r>
              <w:rPr>
                <w:rFonts w:ascii="Times New Roman"/>
                <w:kern w:val="0"/>
                <w:sz w:val="21"/>
                <w:szCs w:val="21"/>
              </w:rPr>
              <w:t>云母氧化铁灰</w:t>
            </w:r>
          </w:p>
        </w:tc>
        <w:tc>
          <w:tcPr>
            <w:tcW w:w="1306" w:type="pct"/>
            <w:gridSpan w:val="2"/>
            <w:vAlign w:val="center"/>
          </w:tcPr>
          <w:p w14:paraId="2B7EB0C4">
            <w:pPr>
              <w:widowControl/>
              <w:spacing w:line="320" w:lineRule="exact"/>
              <w:jc w:val="center"/>
              <w:rPr>
                <w:rFonts w:ascii="Times New Roman"/>
                <w:kern w:val="0"/>
                <w:sz w:val="21"/>
                <w:szCs w:val="21"/>
              </w:rPr>
            </w:pPr>
            <w:r>
              <w:rPr>
                <w:rFonts w:ascii="Times New Roman"/>
                <w:kern w:val="0"/>
                <w:sz w:val="21"/>
                <w:szCs w:val="21"/>
              </w:rPr>
              <w:t>碳酸二甲酯（DMC）</w:t>
            </w:r>
          </w:p>
        </w:tc>
        <w:tc>
          <w:tcPr>
            <w:tcW w:w="842" w:type="pct"/>
            <w:vAlign w:val="center"/>
          </w:tcPr>
          <w:p w14:paraId="6696E765">
            <w:pPr>
              <w:widowControl/>
              <w:spacing w:line="320" w:lineRule="exact"/>
              <w:jc w:val="center"/>
              <w:rPr>
                <w:rFonts w:ascii="Times New Roman"/>
                <w:kern w:val="0"/>
                <w:sz w:val="21"/>
                <w:szCs w:val="21"/>
              </w:rPr>
            </w:pPr>
            <w:r>
              <w:rPr>
                <w:rFonts w:ascii="Times New Roman"/>
                <w:kern w:val="0"/>
                <w:sz w:val="21"/>
                <w:szCs w:val="21"/>
              </w:rPr>
              <w:t>二甲苯</w:t>
            </w:r>
          </w:p>
        </w:tc>
        <w:tc>
          <w:tcPr>
            <w:tcW w:w="483" w:type="pct"/>
            <w:vMerge w:val="continue"/>
            <w:vAlign w:val="center"/>
          </w:tcPr>
          <w:p w14:paraId="3769B521">
            <w:pPr>
              <w:widowControl/>
              <w:spacing w:line="320" w:lineRule="exact"/>
              <w:jc w:val="center"/>
              <w:rPr>
                <w:rFonts w:ascii="Times New Roman"/>
                <w:kern w:val="0"/>
                <w:sz w:val="21"/>
                <w:szCs w:val="21"/>
              </w:rPr>
            </w:pPr>
          </w:p>
        </w:tc>
      </w:tr>
      <w:tr w14:paraId="218B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Align w:val="center"/>
          </w:tcPr>
          <w:p w14:paraId="62FB79EE">
            <w:pPr>
              <w:widowControl/>
              <w:spacing w:line="320" w:lineRule="exact"/>
              <w:jc w:val="center"/>
              <w:rPr>
                <w:rFonts w:ascii="Times New Roman"/>
                <w:kern w:val="0"/>
                <w:sz w:val="21"/>
                <w:szCs w:val="21"/>
              </w:rPr>
            </w:pPr>
            <w:r>
              <w:rPr>
                <w:rFonts w:ascii="Times New Roman"/>
                <w:kern w:val="0"/>
                <w:sz w:val="21"/>
                <w:szCs w:val="21"/>
              </w:rPr>
              <w:t>含量%</w:t>
            </w:r>
          </w:p>
        </w:tc>
        <w:tc>
          <w:tcPr>
            <w:tcW w:w="829" w:type="pct"/>
            <w:vAlign w:val="center"/>
          </w:tcPr>
          <w:p w14:paraId="5EB8E139">
            <w:pPr>
              <w:widowControl/>
              <w:spacing w:line="320" w:lineRule="exact"/>
              <w:jc w:val="center"/>
              <w:rPr>
                <w:rFonts w:ascii="Times New Roman"/>
                <w:kern w:val="0"/>
                <w:sz w:val="21"/>
                <w:szCs w:val="21"/>
              </w:rPr>
            </w:pPr>
            <w:r>
              <w:rPr>
                <w:rFonts w:ascii="Times New Roman"/>
                <w:kern w:val="0"/>
                <w:sz w:val="21"/>
                <w:szCs w:val="21"/>
              </w:rPr>
              <w:t>35%</w:t>
            </w:r>
          </w:p>
        </w:tc>
        <w:tc>
          <w:tcPr>
            <w:tcW w:w="1016" w:type="pct"/>
            <w:gridSpan w:val="3"/>
            <w:vAlign w:val="center"/>
          </w:tcPr>
          <w:p w14:paraId="31242BCB">
            <w:pPr>
              <w:widowControl/>
              <w:spacing w:line="320" w:lineRule="exact"/>
              <w:jc w:val="center"/>
              <w:rPr>
                <w:rFonts w:ascii="Times New Roman"/>
                <w:kern w:val="0"/>
                <w:sz w:val="21"/>
                <w:szCs w:val="21"/>
              </w:rPr>
            </w:pPr>
            <w:r>
              <w:rPr>
                <w:rFonts w:ascii="Times New Roman"/>
                <w:kern w:val="0"/>
                <w:sz w:val="21"/>
                <w:szCs w:val="21"/>
              </w:rPr>
              <w:t>55%</w:t>
            </w:r>
          </w:p>
        </w:tc>
        <w:tc>
          <w:tcPr>
            <w:tcW w:w="1306" w:type="pct"/>
            <w:gridSpan w:val="2"/>
            <w:vAlign w:val="center"/>
          </w:tcPr>
          <w:p w14:paraId="76BBF587">
            <w:pPr>
              <w:widowControl/>
              <w:spacing w:line="320" w:lineRule="exact"/>
              <w:jc w:val="center"/>
              <w:rPr>
                <w:rFonts w:ascii="Times New Roman"/>
                <w:kern w:val="0"/>
                <w:sz w:val="21"/>
                <w:szCs w:val="21"/>
              </w:rPr>
            </w:pPr>
            <w:r>
              <w:rPr>
                <w:rFonts w:ascii="Times New Roman"/>
                <w:kern w:val="0"/>
                <w:sz w:val="21"/>
                <w:szCs w:val="21"/>
              </w:rPr>
              <w:t>7%</w:t>
            </w:r>
          </w:p>
        </w:tc>
        <w:tc>
          <w:tcPr>
            <w:tcW w:w="842" w:type="pct"/>
            <w:vAlign w:val="center"/>
          </w:tcPr>
          <w:p w14:paraId="3223D26D">
            <w:pPr>
              <w:widowControl/>
              <w:spacing w:line="320" w:lineRule="exact"/>
              <w:jc w:val="center"/>
              <w:rPr>
                <w:rFonts w:ascii="Times New Roman"/>
                <w:kern w:val="0"/>
                <w:sz w:val="21"/>
                <w:szCs w:val="21"/>
              </w:rPr>
            </w:pPr>
            <w:r>
              <w:rPr>
                <w:rFonts w:ascii="Times New Roman"/>
                <w:kern w:val="0"/>
                <w:sz w:val="21"/>
                <w:szCs w:val="21"/>
              </w:rPr>
              <w:t>3%</w:t>
            </w:r>
          </w:p>
        </w:tc>
        <w:tc>
          <w:tcPr>
            <w:tcW w:w="483" w:type="pct"/>
            <w:vAlign w:val="center"/>
          </w:tcPr>
          <w:p w14:paraId="34D8AEE9">
            <w:pPr>
              <w:widowControl/>
              <w:spacing w:line="320" w:lineRule="exact"/>
              <w:jc w:val="center"/>
              <w:rPr>
                <w:rFonts w:ascii="Times New Roman"/>
                <w:kern w:val="0"/>
                <w:sz w:val="21"/>
                <w:szCs w:val="21"/>
              </w:rPr>
            </w:pPr>
            <w:r>
              <w:rPr>
                <w:rFonts w:ascii="Times New Roman"/>
                <w:kern w:val="0"/>
                <w:sz w:val="21"/>
                <w:szCs w:val="21"/>
              </w:rPr>
              <w:t>100%</w:t>
            </w:r>
          </w:p>
        </w:tc>
      </w:tr>
      <w:tr w14:paraId="6144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Align w:val="center"/>
          </w:tcPr>
          <w:p w14:paraId="598E5121">
            <w:pPr>
              <w:spacing w:line="320" w:lineRule="exact"/>
              <w:jc w:val="center"/>
              <w:rPr>
                <w:rFonts w:ascii="Times New Roman"/>
                <w:kern w:val="0"/>
                <w:sz w:val="21"/>
                <w:szCs w:val="21"/>
              </w:rPr>
            </w:pPr>
            <w:r>
              <w:rPr>
                <w:rFonts w:ascii="Times New Roman"/>
                <w:kern w:val="0"/>
                <w:sz w:val="21"/>
                <w:szCs w:val="21"/>
              </w:rPr>
              <w:t>漆料</w:t>
            </w:r>
          </w:p>
        </w:tc>
        <w:tc>
          <w:tcPr>
            <w:tcW w:w="4478" w:type="pct"/>
            <w:gridSpan w:val="8"/>
            <w:vAlign w:val="center"/>
          </w:tcPr>
          <w:p w14:paraId="53E590F3">
            <w:pPr>
              <w:widowControl/>
              <w:spacing w:line="320" w:lineRule="exact"/>
              <w:jc w:val="center"/>
              <w:rPr>
                <w:rFonts w:ascii="Times New Roman"/>
                <w:kern w:val="0"/>
                <w:sz w:val="21"/>
                <w:szCs w:val="21"/>
              </w:rPr>
            </w:pPr>
            <w:r>
              <w:rPr>
                <w:rFonts w:ascii="Times New Roman"/>
                <w:kern w:val="0"/>
                <w:sz w:val="21"/>
                <w:szCs w:val="21"/>
              </w:rPr>
              <w:t>丙烯酸聚氨酯面漆</w:t>
            </w:r>
          </w:p>
        </w:tc>
      </w:tr>
      <w:tr w14:paraId="2378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Merge w:val="restart"/>
            <w:vAlign w:val="center"/>
          </w:tcPr>
          <w:p w14:paraId="74DADF9C">
            <w:pPr>
              <w:spacing w:line="320" w:lineRule="exact"/>
              <w:jc w:val="center"/>
              <w:rPr>
                <w:rFonts w:ascii="Times New Roman"/>
                <w:kern w:val="0"/>
                <w:sz w:val="21"/>
                <w:szCs w:val="21"/>
              </w:rPr>
            </w:pPr>
            <w:r>
              <w:rPr>
                <w:rFonts w:ascii="Times New Roman"/>
                <w:kern w:val="0"/>
                <w:sz w:val="21"/>
                <w:szCs w:val="21"/>
              </w:rPr>
              <w:t>名称</w:t>
            </w:r>
          </w:p>
        </w:tc>
        <w:tc>
          <w:tcPr>
            <w:tcW w:w="2605" w:type="pct"/>
            <w:gridSpan w:val="5"/>
            <w:vAlign w:val="center"/>
          </w:tcPr>
          <w:p w14:paraId="0127F956">
            <w:pPr>
              <w:widowControl/>
              <w:spacing w:line="320" w:lineRule="exact"/>
              <w:jc w:val="center"/>
              <w:rPr>
                <w:rFonts w:ascii="Times New Roman"/>
                <w:kern w:val="0"/>
                <w:sz w:val="21"/>
                <w:szCs w:val="21"/>
              </w:rPr>
            </w:pPr>
            <w:r>
              <w:rPr>
                <w:rFonts w:ascii="Times New Roman"/>
                <w:kern w:val="0"/>
                <w:sz w:val="21"/>
                <w:szCs w:val="21"/>
              </w:rPr>
              <w:t>固体份（88%）</w:t>
            </w:r>
          </w:p>
        </w:tc>
        <w:tc>
          <w:tcPr>
            <w:tcW w:w="1389" w:type="pct"/>
            <w:gridSpan w:val="2"/>
            <w:vAlign w:val="center"/>
          </w:tcPr>
          <w:p w14:paraId="6E30D9C9">
            <w:pPr>
              <w:widowControl/>
              <w:spacing w:line="320" w:lineRule="exact"/>
              <w:jc w:val="center"/>
              <w:rPr>
                <w:rFonts w:ascii="Times New Roman"/>
                <w:kern w:val="0"/>
                <w:sz w:val="21"/>
                <w:szCs w:val="21"/>
              </w:rPr>
            </w:pPr>
            <w:r>
              <w:rPr>
                <w:rFonts w:ascii="Times New Roman"/>
                <w:kern w:val="0"/>
                <w:sz w:val="21"/>
                <w:szCs w:val="21"/>
              </w:rPr>
              <w:t>挥发分（12%）</w:t>
            </w:r>
          </w:p>
        </w:tc>
        <w:tc>
          <w:tcPr>
            <w:tcW w:w="483" w:type="pct"/>
            <w:vMerge w:val="restart"/>
            <w:vAlign w:val="center"/>
          </w:tcPr>
          <w:p w14:paraId="75C38AA9">
            <w:pPr>
              <w:spacing w:line="320" w:lineRule="exact"/>
              <w:jc w:val="center"/>
              <w:rPr>
                <w:rFonts w:ascii="Times New Roman"/>
                <w:kern w:val="0"/>
                <w:sz w:val="21"/>
                <w:szCs w:val="21"/>
              </w:rPr>
            </w:pPr>
            <w:r>
              <w:rPr>
                <w:rFonts w:ascii="Times New Roman"/>
                <w:kern w:val="0"/>
                <w:sz w:val="21"/>
                <w:szCs w:val="21"/>
              </w:rPr>
              <w:t>合计</w:t>
            </w:r>
          </w:p>
        </w:tc>
      </w:tr>
      <w:tr w14:paraId="4E1D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1" w:type="pct"/>
            <w:vMerge w:val="continue"/>
            <w:vAlign w:val="center"/>
          </w:tcPr>
          <w:p w14:paraId="5C008A44">
            <w:pPr>
              <w:widowControl/>
              <w:spacing w:line="320" w:lineRule="exact"/>
              <w:jc w:val="center"/>
              <w:rPr>
                <w:rFonts w:ascii="Times New Roman"/>
                <w:kern w:val="0"/>
                <w:sz w:val="21"/>
                <w:szCs w:val="21"/>
              </w:rPr>
            </w:pPr>
          </w:p>
        </w:tc>
        <w:tc>
          <w:tcPr>
            <w:tcW w:w="1015" w:type="pct"/>
            <w:gridSpan w:val="2"/>
            <w:vAlign w:val="center"/>
          </w:tcPr>
          <w:p w14:paraId="4F5A42D1">
            <w:pPr>
              <w:widowControl/>
              <w:spacing w:line="320" w:lineRule="exact"/>
              <w:jc w:val="center"/>
              <w:rPr>
                <w:rFonts w:ascii="Times New Roman"/>
                <w:kern w:val="0"/>
                <w:sz w:val="21"/>
                <w:szCs w:val="21"/>
              </w:rPr>
            </w:pPr>
            <w:r>
              <w:rPr>
                <w:rFonts w:ascii="Times New Roman"/>
                <w:kern w:val="0"/>
                <w:sz w:val="21"/>
                <w:szCs w:val="21"/>
              </w:rPr>
              <w:t>聚氨酯树脂</w:t>
            </w:r>
          </w:p>
        </w:tc>
        <w:tc>
          <w:tcPr>
            <w:tcW w:w="790" w:type="pct"/>
            <w:vAlign w:val="center"/>
          </w:tcPr>
          <w:p w14:paraId="1C0CFB6A">
            <w:pPr>
              <w:widowControl/>
              <w:spacing w:line="320" w:lineRule="exact"/>
              <w:jc w:val="center"/>
              <w:rPr>
                <w:rFonts w:ascii="Times New Roman"/>
                <w:kern w:val="0"/>
                <w:sz w:val="21"/>
                <w:szCs w:val="21"/>
              </w:rPr>
            </w:pPr>
            <w:r>
              <w:rPr>
                <w:rFonts w:ascii="Times New Roman"/>
                <w:kern w:val="0"/>
                <w:sz w:val="21"/>
                <w:szCs w:val="21"/>
              </w:rPr>
              <w:t>钛白粉</w:t>
            </w:r>
          </w:p>
        </w:tc>
        <w:tc>
          <w:tcPr>
            <w:tcW w:w="798" w:type="pct"/>
            <w:gridSpan w:val="2"/>
            <w:vAlign w:val="center"/>
          </w:tcPr>
          <w:p w14:paraId="70C44BF8">
            <w:pPr>
              <w:widowControl/>
              <w:spacing w:line="320" w:lineRule="exact"/>
              <w:jc w:val="center"/>
              <w:rPr>
                <w:rFonts w:ascii="Times New Roman"/>
                <w:kern w:val="0"/>
                <w:sz w:val="21"/>
                <w:szCs w:val="21"/>
              </w:rPr>
            </w:pPr>
            <w:r>
              <w:rPr>
                <w:rFonts w:ascii="Times New Roman"/>
                <w:kern w:val="0"/>
                <w:sz w:val="21"/>
                <w:szCs w:val="21"/>
              </w:rPr>
              <w:t>填料和助剂</w:t>
            </w:r>
          </w:p>
        </w:tc>
        <w:tc>
          <w:tcPr>
            <w:tcW w:w="1389" w:type="pct"/>
            <w:gridSpan w:val="2"/>
            <w:vAlign w:val="center"/>
          </w:tcPr>
          <w:p w14:paraId="43247F9F">
            <w:pPr>
              <w:widowControl/>
              <w:spacing w:line="320" w:lineRule="exact"/>
              <w:jc w:val="center"/>
              <w:rPr>
                <w:rFonts w:ascii="Times New Roman"/>
                <w:kern w:val="0"/>
                <w:sz w:val="21"/>
                <w:szCs w:val="21"/>
              </w:rPr>
            </w:pPr>
            <w:r>
              <w:rPr>
                <w:rFonts w:ascii="Times New Roman"/>
                <w:kern w:val="0"/>
                <w:sz w:val="21"/>
                <w:szCs w:val="21"/>
              </w:rPr>
              <w:t>二甲苯</w:t>
            </w:r>
          </w:p>
        </w:tc>
        <w:tc>
          <w:tcPr>
            <w:tcW w:w="483" w:type="pct"/>
            <w:vMerge w:val="continue"/>
            <w:vAlign w:val="center"/>
          </w:tcPr>
          <w:p w14:paraId="57BBE74E">
            <w:pPr>
              <w:widowControl/>
              <w:spacing w:line="320" w:lineRule="exact"/>
              <w:jc w:val="center"/>
              <w:rPr>
                <w:rFonts w:ascii="Times New Roman"/>
                <w:kern w:val="0"/>
                <w:sz w:val="21"/>
                <w:szCs w:val="21"/>
              </w:rPr>
            </w:pPr>
          </w:p>
        </w:tc>
      </w:tr>
      <w:tr w14:paraId="58D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21" w:type="pct"/>
            <w:vAlign w:val="center"/>
          </w:tcPr>
          <w:p w14:paraId="704992B9">
            <w:pPr>
              <w:widowControl/>
              <w:spacing w:line="320" w:lineRule="exact"/>
              <w:jc w:val="center"/>
              <w:rPr>
                <w:rFonts w:ascii="Times New Roman"/>
                <w:kern w:val="0"/>
                <w:sz w:val="21"/>
                <w:szCs w:val="21"/>
              </w:rPr>
            </w:pPr>
            <w:r>
              <w:rPr>
                <w:rFonts w:ascii="Times New Roman"/>
                <w:kern w:val="0"/>
                <w:sz w:val="21"/>
                <w:szCs w:val="21"/>
              </w:rPr>
              <w:t>含量%</w:t>
            </w:r>
          </w:p>
        </w:tc>
        <w:tc>
          <w:tcPr>
            <w:tcW w:w="1015" w:type="pct"/>
            <w:gridSpan w:val="2"/>
            <w:vAlign w:val="center"/>
          </w:tcPr>
          <w:p w14:paraId="24246579">
            <w:pPr>
              <w:widowControl/>
              <w:spacing w:line="320" w:lineRule="exact"/>
              <w:jc w:val="center"/>
              <w:rPr>
                <w:rFonts w:ascii="Times New Roman"/>
                <w:kern w:val="0"/>
                <w:sz w:val="21"/>
                <w:szCs w:val="21"/>
              </w:rPr>
            </w:pPr>
            <w:r>
              <w:rPr>
                <w:rFonts w:ascii="Times New Roman"/>
                <w:kern w:val="0"/>
                <w:sz w:val="21"/>
                <w:szCs w:val="21"/>
              </w:rPr>
              <w:t>50%</w:t>
            </w:r>
          </w:p>
        </w:tc>
        <w:tc>
          <w:tcPr>
            <w:tcW w:w="790" w:type="pct"/>
            <w:vAlign w:val="center"/>
          </w:tcPr>
          <w:p w14:paraId="036D4CEC">
            <w:pPr>
              <w:widowControl/>
              <w:spacing w:line="320" w:lineRule="exact"/>
              <w:jc w:val="center"/>
              <w:rPr>
                <w:rFonts w:ascii="Times New Roman"/>
                <w:kern w:val="0"/>
                <w:sz w:val="21"/>
                <w:szCs w:val="21"/>
              </w:rPr>
            </w:pPr>
            <w:r>
              <w:rPr>
                <w:rFonts w:ascii="Times New Roman"/>
                <w:kern w:val="0"/>
                <w:sz w:val="21"/>
                <w:szCs w:val="21"/>
              </w:rPr>
              <w:t>25%</w:t>
            </w:r>
          </w:p>
        </w:tc>
        <w:tc>
          <w:tcPr>
            <w:tcW w:w="798" w:type="pct"/>
            <w:gridSpan w:val="2"/>
            <w:vAlign w:val="center"/>
          </w:tcPr>
          <w:p w14:paraId="2CA62A52">
            <w:pPr>
              <w:widowControl/>
              <w:spacing w:line="320" w:lineRule="exact"/>
              <w:jc w:val="center"/>
              <w:rPr>
                <w:rFonts w:ascii="Times New Roman"/>
                <w:kern w:val="0"/>
                <w:sz w:val="21"/>
                <w:szCs w:val="21"/>
              </w:rPr>
            </w:pPr>
            <w:r>
              <w:rPr>
                <w:rFonts w:ascii="Times New Roman"/>
                <w:kern w:val="0"/>
                <w:sz w:val="21"/>
                <w:szCs w:val="21"/>
              </w:rPr>
              <w:t>13%</w:t>
            </w:r>
          </w:p>
        </w:tc>
        <w:tc>
          <w:tcPr>
            <w:tcW w:w="1389" w:type="pct"/>
            <w:gridSpan w:val="2"/>
            <w:vAlign w:val="center"/>
          </w:tcPr>
          <w:p w14:paraId="213DFEF1">
            <w:pPr>
              <w:widowControl/>
              <w:spacing w:line="320" w:lineRule="exact"/>
              <w:jc w:val="center"/>
              <w:rPr>
                <w:rFonts w:ascii="Times New Roman"/>
                <w:kern w:val="0"/>
                <w:sz w:val="21"/>
                <w:szCs w:val="21"/>
              </w:rPr>
            </w:pPr>
            <w:r>
              <w:rPr>
                <w:rFonts w:ascii="Times New Roman"/>
                <w:kern w:val="0"/>
                <w:sz w:val="21"/>
                <w:szCs w:val="21"/>
              </w:rPr>
              <w:t>12%</w:t>
            </w:r>
          </w:p>
        </w:tc>
        <w:tc>
          <w:tcPr>
            <w:tcW w:w="483" w:type="pct"/>
            <w:vAlign w:val="center"/>
          </w:tcPr>
          <w:p w14:paraId="18567B1F">
            <w:pPr>
              <w:widowControl/>
              <w:spacing w:line="320" w:lineRule="exact"/>
              <w:jc w:val="center"/>
              <w:rPr>
                <w:rFonts w:ascii="Times New Roman"/>
                <w:kern w:val="0"/>
                <w:sz w:val="21"/>
                <w:szCs w:val="21"/>
              </w:rPr>
            </w:pPr>
            <w:r>
              <w:rPr>
                <w:rFonts w:ascii="Times New Roman"/>
                <w:kern w:val="0"/>
                <w:sz w:val="21"/>
                <w:szCs w:val="21"/>
              </w:rPr>
              <w:t>100%</w:t>
            </w:r>
          </w:p>
        </w:tc>
      </w:tr>
    </w:tbl>
    <w:p w14:paraId="72F55C7C">
      <w:pPr>
        <w:ind w:firstLine="482" w:firstLineChars="200"/>
        <w:jc w:val="center"/>
        <w:rPr>
          <w:rFonts w:ascii="Times New Roman"/>
          <w:b/>
          <w:sz w:val="24"/>
          <w:szCs w:val="24"/>
        </w:rPr>
      </w:pPr>
      <w:r>
        <w:rPr>
          <w:rFonts w:ascii="Times New Roman"/>
          <w:b/>
          <w:sz w:val="24"/>
          <w:szCs w:val="24"/>
        </w:rPr>
        <w:t>表3.3-4  项目油性漆稀释剂主要成分一览表</w:t>
      </w:r>
    </w:p>
    <w:tbl>
      <w:tblPr>
        <w:tblStyle w:val="8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253"/>
        <w:gridCol w:w="2260"/>
        <w:gridCol w:w="2282"/>
        <w:gridCol w:w="842"/>
      </w:tblGrid>
      <w:tr w14:paraId="7CC5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2EED8CBC">
            <w:pPr>
              <w:widowControl/>
              <w:spacing w:line="320" w:lineRule="exact"/>
              <w:jc w:val="center"/>
              <w:rPr>
                <w:rFonts w:ascii="Times New Roman"/>
                <w:kern w:val="0"/>
                <w:sz w:val="21"/>
                <w:szCs w:val="21"/>
              </w:rPr>
            </w:pPr>
            <w:r>
              <w:rPr>
                <w:rFonts w:ascii="Times New Roman"/>
                <w:kern w:val="0"/>
                <w:sz w:val="21"/>
                <w:szCs w:val="21"/>
              </w:rPr>
              <w:t>漆料</w:t>
            </w:r>
          </w:p>
        </w:tc>
        <w:tc>
          <w:tcPr>
            <w:tcW w:w="4481" w:type="pct"/>
            <w:gridSpan w:val="4"/>
            <w:vAlign w:val="center"/>
          </w:tcPr>
          <w:p w14:paraId="329ED2AB">
            <w:pPr>
              <w:widowControl/>
              <w:spacing w:line="320" w:lineRule="exact"/>
              <w:jc w:val="center"/>
              <w:rPr>
                <w:rFonts w:ascii="Times New Roman"/>
                <w:kern w:val="0"/>
                <w:sz w:val="21"/>
                <w:szCs w:val="21"/>
              </w:rPr>
            </w:pPr>
            <w:r>
              <w:rPr>
                <w:rFonts w:ascii="Times New Roman"/>
                <w:kern w:val="0"/>
                <w:sz w:val="21"/>
                <w:szCs w:val="21"/>
              </w:rPr>
              <w:t>聚氨酯稀释剂</w:t>
            </w:r>
          </w:p>
        </w:tc>
      </w:tr>
      <w:tr w14:paraId="0D3B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restart"/>
            <w:vAlign w:val="center"/>
          </w:tcPr>
          <w:p w14:paraId="62F6C423">
            <w:pPr>
              <w:widowControl/>
              <w:spacing w:line="320" w:lineRule="exact"/>
              <w:jc w:val="center"/>
              <w:rPr>
                <w:rFonts w:ascii="Times New Roman"/>
                <w:kern w:val="0"/>
                <w:sz w:val="21"/>
                <w:szCs w:val="21"/>
              </w:rPr>
            </w:pPr>
            <w:r>
              <w:rPr>
                <w:rFonts w:ascii="Times New Roman"/>
                <w:kern w:val="0"/>
                <w:sz w:val="21"/>
                <w:szCs w:val="21"/>
              </w:rPr>
              <w:t>名称</w:t>
            </w:r>
          </w:p>
        </w:tc>
        <w:tc>
          <w:tcPr>
            <w:tcW w:w="3987" w:type="pct"/>
            <w:gridSpan w:val="3"/>
            <w:vAlign w:val="center"/>
          </w:tcPr>
          <w:p w14:paraId="42071E21">
            <w:pPr>
              <w:widowControl/>
              <w:spacing w:line="320" w:lineRule="exact"/>
              <w:jc w:val="center"/>
              <w:rPr>
                <w:rFonts w:ascii="Times New Roman"/>
                <w:kern w:val="0"/>
                <w:sz w:val="21"/>
                <w:szCs w:val="21"/>
              </w:rPr>
            </w:pPr>
            <w:r>
              <w:rPr>
                <w:rFonts w:ascii="Times New Roman"/>
                <w:kern w:val="0"/>
                <w:sz w:val="21"/>
                <w:szCs w:val="21"/>
              </w:rPr>
              <w:t>挥发分（100%）</w:t>
            </w:r>
          </w:p>
        </w:tc>
        <w:tc>
          <w:tcPr>
            <w:tcW w:w="494" w:type="pct"/>
            <w:vMerge w:val="restart"/>
            <w:vAlign w:val="center"/>
          </w:tcPr>
          <w:p w14:paraId="68016D10">
            <w:pPr>
              <w:widowControl/>
              <w:spacing w:line="320" w:lineRule="exact"/>
              <w:jc w:val="center"/>
              <w:rPr>
                <w:rFonts w:ascii="Times New Roman"/>
                <w:kern w:val="0"/>
                <w:sz w:val="21"/>
                <w:szCs w:val="21"/>
              </w:rPr>
            </w:pPr>
            <w:r>
              <w:rPr>
                <w:rFonts w:ascii="Times New Roman"/>
                <w:kern w:val="0"/>
                <w:sz w:val="21"/>
                <w:szCs w:val="21"/>
              </w:rPr>
              <w:t>合计</w:t>
            </w:r>
          </w:p>
        </w:tc>
      </w:tr>
      <w:tr w14:paraId="0382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vAlign w:val="center"/>
          </w:tcPr>
          <w:p w14:paraId="45218FB9">
            <w:pPr>
              <w:widowControl/>
              <w:spacing w:line="320" w:lineRule="exact"/>
              <w:jc w:val="center"/>
              <w:rPr>
                <w:rFonts w:ascii="Times New Roman"/>
                <w:kern w:val="0"/>
                <w:sz w:val="21"/>
                <w:szCs w:val="21"/>
              </w:rPr>
            </w:pPr>
          </w:p>
        </w:tc>
        <w:tc>
          <w:tcPr>
            <w:tcW w:w="1322" w:type="pct"/>
            <w:vAlign w:val="center"/>
          </w:tcPr>
          <w:p w14:paraId="76394A99">
            <w:pPr>
              <w:widowControl/>
              <w:spacing w:line="320" w:lineRule="exact"/>
              <w:jc w:val="center"/>
              <w:rPr>
                <w:rFonts w:ascii="Times New Roman"/>
                <w:kern w:val="0"/>
                <w:sz w:val="21"/>
                <w:szCs w:val="21"/>
              </w:rPr>
            </w:pPr>
            <w:r>
              <w:rPr>
                <w:rFonts w:ascii="Times New Roman"/>
                <w:kern w:val="0"/>
                <w:sz w:val="21"/>
                <w:szCs w:val="21"/>
              </w:rPr>
              <w:t>碳酸二甲酯（DMC）</w:t>
            </w:r>
          </w:p>
        </w:tc>
        <w:tc>
          <w:tcPr>
            <w:tcW w:w="1326" w:type="pct"/>
            <w:vAlign w:val="center"/>
          </w:tcPr>
          <w:p w14:paraId="1FA641D2">
            <w:pPr>
              <w:widowControl/>
              <w:spacing w:line="320" w:lineRule="exact"/>
              <w:jc w:val="center"/>
              <w:rPr>
                <w:rFonts w:ascii="Times New Roman"/>
                <w:kern w:val="0"/>
                <w:sz w:val="21"/>
                <w:szCs w:val="21"/>
              </w:rPr>
            </w:pPr>
            <w:r>
              <w:rPr>
                <w:rFonts w:ascii="Times New Roman"/>
                <w:kern w:val="0"/>
                <w:sz w:val="21"/>
                <w:szCs w:val="21"/>
              </w:rPr>
              <w:t>二甲苯</w:t>
            </w:r>
          </w:p>
        </w:tc>
        <w:tc>
          <w:tcPr>
            <w:tcW w:w="1339" w:type="pct"/>
            <w:vAlign w:val="center"/>
          </w:tcPr>
          <w:p w14:paraId="1E89BC37">
            <w:pPr>
              <w:widowControl/>
              <w:spacing w:line="320" w:lineRule="exact"/>
              <w:jc w:val="center"/>
              <w:rPr>
                <w:rFonts w:ascii="Times New Roman"/>
                <w:kern w:val="0"/>
                <w:sz w:val="21"/>
                <w:szCs w:val="21"/>
              </w:rPr>
            </w:pPr>
            <w:r>
              <w:rPr>
                <w:rFonts w:ascii="Times New Roman"/>
                <w:kern w:val="0"/>
                <w:sz w:val="21"/>
                <w:szCs w:val="21"/>
              </w:rPr>
              <w:t>醋酸丁酯</w:t>
            </w:r>
          </w:p>
        </w:tc>
        <w:tc>
          <w:tcPr>
            <w:tcW w:w="494" w:type="pct"/>
            <w:vMerge w:val="continue"/>
            <w:vAlign w:val="center"/>
          </w:tcPr>
          <w:p w14:paraId="55C1B074">
            <w:pPr>
              <w:widowControl/>
              <w:spacing w:line="320" w:lineRule="exact"/>
              <w:jc w:val="center"/>
              <w:rPr>
                <w:rFonts w:ascii="Times New Roman"/>
                <w:kern w:val="0"/>
                <w:sz w:val="21"/>
                <w:szCs w:val="21"/>
              </w:rPr>
            </w:pPr>
          </w:p>
        </w:tc>
      </w:tr>
      <w:tr w14:paraId="684C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7EBFB042">
            <w:pPr>
              <w:widowControl/>
              <w:spacing w:line="320" w:lineRule="exact"/>
              <w:jc w:val="center"/>
              <w:rPr>
                <w:rFonts w:ascii="Times New Roman"/>
                <w:kern w:val="0"/>
                <w:sz w:val="21"/>
                <w:szCs w:val="21"/>
              </w:rPr>
            </w:pPr>
            <w:r>
              <w:rPr>
                <w:rFonts w:ascii="Times New Roman"/>
                <w:kern w:val="0"/>
                <w:sz w:val="21"/>
                <w:szCs w:val="21"/>
              </w:rPr>
              <w:t>含量%</w:t>
            </w:r>
          </w:p>
        </w:tc>
        <w:tc>
          <w:tcPr>
            <w:tcW w:w="1322" w:type="pct"/>
            <w:vAlign w:val="center"/>
          </w:tcPr>
          <w:p w14:paraId="5F5B2229">
            <w:pPr>
              <w:widowControl/>
              <w:spacing w:line="320" w:lineRule="exact"/>
              <w:jc w:val="center"/>
              <w:rPr>
                <w:rFonts w:ascii="Times New Roman"/>
                <w:kern w:val="0"/>
                <w:sz w:val="21"/>
                <w:szCs w:val="21"/>
              </w:rPr>
            </w:pPr>
            <w:r>
              <w:rPr>
                <w:rFonts w:ascii="Times New Roman"/>
                <w:kern w:val="0"/>
                <w:sz w:val="21"/>
                <w:szCs w:val="21"/>
              </w:rPr>
              <w:t>50%</w:t>
            </w:r>
          </w:p>
        </w:tc>
        <w:tc>
          <w:tcPr>
            <w:tcW w:w="1326" w:type="pct"/>
            <w:vAlign w:val="center"/>
          </w:tcPr>
          <w:p w14:paraId="2BFA8351">
            <w:pPr>
              <w:widowControl/>
              <w:spacing w:line="320" w:lineRule="exact"/>
              <w:jc w:val="center"/>
              <w:rPr>
                <w:rFonts w:ascii="Times New Roman"/>
                <w:kern w:val="0"/>
                <w:sz w:val="21"/>
                <w:szCs w:val="21"/>
              </w:rPr>
            </w:pPr>
            <w:r>
              <w:rPr>
                <w:rFonts w:ascii="Times New Roman"/>
                <w:kern w:val="0"/>
                <w:sz w:val="21"/>
                <w:szCs w:val="21"/>
              </w:rPr>
              <w:t>20%</w:t>
            </w:r>
          </w:p>
        </w:tc>
        <w:tc>
          <w:tcPr>
            <w:tcW w:w="1339" w:type="pct"/>
            <w:vAlign w:val="center"/>
          </w:tcPr>
          <w:p w14:paraId="484274A6">
            <w:pPr>
              <w:widowControl/>
              <w:spacing w:line="320" w:lineRule="exact"/>
              <w:jc w:val="center"/>
              <w:rPr>
                <w:rFonts w:ascii="Times New Roman"/>
                <w:kern w:val="0"/>
                <w:sz w:val="21"/>
                <w:szCs w:val="21"/>
              </w:rPr>
            </w:pPr>
            <w:r>
              <w:rPr>
                <w:rFonts w:ascii="Times New Roman"/>
                <w:kern w:val="0"/>
                <w:sz w:val="21"/>
                <w:szCs w:val="21"/>
              </w:rPr>
              <w:t>30%</w:t>
            </w:r>
          </w:p>
        </w:tc>
        <w:tc>
          <w:tcPr>
            <w:tcW w:w="494" w:type="pct"/>
            <w:vAlign w:val="center"/>
          </w:tcPr>
          <w:p w14:paraId="6FC46946">
            <w:pPr>
              <w:widowControl/>
              <w:spacing w:line="320" w:lineRule="exact"/>
              <w:jc w:val="center"/>
              <w:rPr>
                <w:rFonts w:ascii="Times New Roman"/>
                <w:kern w:val="0"/>
                <w:sz w:val="21"/>
                <w:szCs w:val="21"/>
              </w:rPr>
            </w:pPr>
            <w:r>
              <w:rPr>
                <w:rFonts w:ascii="Times New Roman"/>
                <w:kern w:val="0"/>
                <w:sz w:val="21"/>
                <w:szCs w:val="21"/>
              </w:rPr>
              <w:t>100%</w:t>
            </w:r>
          </w:p>
        </w:tc>
      </w:tr>
      <w:tr w14:paraId="4BC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4019030F">
            <w:pPr>
              <w:spacing w:line="320" w:lineRule="exact"/>
              <w:jc w:val="center"/>
              <w:rPr>
                <w:rFonts w:ascii="Times New Roman"/>
                <w:kern w:val="0"/>
                <w:sz w:val="21"/>
                <w:szCs w:val="21"/>
              </w:rPr>
            </w:pPr>
            <w:r>
              <w:rPr>
                <w:rFonts w:ascii="Times New Roman"/>
                <w:kern w:val="0"/>
                <w:sz w:val="21"/>
                <w:szCs w:val="21"/>
              </w:rPr>
              <w:t>漆料</w:t>
            </w:r>
          </w:p>
        </w:tc>
        <w:tc>
          <w:tcPr>
            <w:tcW w:w="4481" w:type="pct"/>
            <w:gridSpan w:val="4"/>
            <w:vAlign w:val="center"/>
          </w:tcPr>
          <w:p w14:paraId="4CFB04D9">
            <w:pPr>
              <w:widowControl/>
              <w:spacing w:line="320" w:lineRule="exact"/>
              <w:jc w:val="center"/>
              <w:rPr>
                <w:rFonts w:ascii="Times New Roman"/>
                <w:kern w:val="0"/>
                <w:sz w:val="21"/>
                <w:szCs w:val="21"/>
              </w:rPr>
            </w:pPr>
            <w:r>
              <w:rPr>
                <w:rFonts w:ascii="Times New Roman"/>
                <w:kern w:val="0"/>
                <w:sz w:val="21"/>
                <w:szCs w:val="21"/>
              </w:rPr>
              <w:t>环氧稀释剂</w:t>
            </w:r>
          </w:p>
        </w:tc>
      </w:tr>
      <w:tr w14:paraId="3BB6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restart"/>
            <w:vAlign w:val="center"/>
          </w:tcPr>
          <w:p w14:paraId="00B8FDB0">
            <w:pPr>
              <w:spacing w:line="320" w:lineRule="exact"/>
              <w:jc w:val="center"/>
              <w:rPr>
                <w:rFonts w:ascii="Times New Roman"/>
                <w:kern w:val="0"/>
                <w:sz w:val="21"/>
                <w:szCs w:val="21"/>
              </w:rPr>
            </w:pPr>
            <w:r>
              <w:rPr>
                <w:rFonts w:ascii="Times New Roman"/>
                <w:kern w:val="0"/>
                <w:sz w:val="21"/>
                <w:szCs w:val="21"/>
              </w:rPr>
              <w:t>名称</w:t>
            </w:r>
          </w:p>
        </w:tc>
        <w:tc>
          <w:tcPr>
            <w:tcW w:w="3987" w:type="pct"/>
            <w:gridSpan w:val="3"/>
            <w:vAlign w:val="center"/>
          </w:tcPr>
          <w:p w14:paraId="73833A15">
            <w:pPr>
              <w:widowControl/>
              <w:spacing w:line="320" w:lineRule="exact"/>
              <w:jc w:val="center"/>
              <w:rPr>
                <w:rFonts w:ascii="Times New Roman"/>
                <w:kern w:val="0"/>
                <w:sz w:val="21"/>
                <w:szCs w:val="21"/>
              </w:rPr>
            </w:pPr>
            <w:r>
              <w:rPr>
                <w:rFonts w:ascii="Times New Roman"/>
                <w:kern w:val="0"/>
                <w:sz w:val="21"/>
                <w:szCs w:val="21"/>
              </w:rPr>
              <w:t>挥发分（100%）</w:t>
            </w:r>
          </w:p>
        </w:tc>
        <w:tc>
          <w:tcPr>
            <w:tcW w:w="494" w:type="pct"/>
            <w:vMerge w:val="restart"/>
            <w:vAlign w:val="center"/>
          </w:tcPr>
          <w:p w14:paraId="2B71BD06">
            <w:pPr>
              <w:widowControl/>
              <w:spacing w:line="320" w:lineRule="exact"/>
              <w:jc w:val="center"/>
              <w:rPr>
                <w:rFonts w:ascii="Times New Roman"/>
                <w:kern w:val="0"/>
                <w:sz w:val="21"/>
                <w:szCs w:val="21"/>
              </w:rPr>
            </w:pPr>
            <w:r>
              <w:rPr>
                <w:rFonts w:ascii="Times New Roman"/>
                <w:kern w:val="0"/>
                <w:sz w:val="21"/>
                <w:szCs w:val="21"/>
              </w:rPr>
              <w:t>合计</w:t>
            </w:r>
          </w:p>
        </w:tc>
      </w:tr>
      <w:tr w14:paraId="7A6A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vAlign w:val="center"/>
          </w:tcPr>
          <w:p w14:paraId="419945F7">
            <w:pPr>
              <w:widowControl/>
              <w:spacing w:line="320" w:lineRule="exact"/>
              <w:jc w:val="center"/>
              <w:rPr>
                <w:rFonts w:ascii="Times New Roman"/>
                <w:kern w:val="0"/>
                <w:sz w:val="21"/>
                <w:szCs w:val="21"/>
              </w:rPr>
            </w:pPr>
          </w:p>
        </w:tc>
        <w:tc>
          <w:tcPr>
            <w:tcW w:w="1322" w:type="pct"/>
            <w:vAlign w:val="center"/>
          </w:tcPr>
          <w:p w14:paraId="6918D770">
            <w:pPr>
              <w:widowControl/>
              <w:spacing w:line="320" w:lineRule="exact"/>
              <w:jc w:val="center"/>
              <w:rPr>
                <w:rFonts w:ascii="Times New Roman"/>
                <w:kern w:val="0"/>
                <w:sz w:val="21"/>
                <w:szCs w:val="21"/>
              </w:rPr>
            </w:pPr>
            <w:r>
              <w:rPr>
                <w:rFonts w:ascii="Times New Roman"/>
                <w:kern w:val="0"/>
                <w:sz w:val="21"/>
                <w:szCs w:val="21"/>
              </w:rPr>
              <w:t>碳酸二甲酯（DMC）</w:t>
            </w:r>
          </w:p>
        </w:tc>
        <w:tc>
          <w:tcPr>
            <w:tcW w:w="1326" w:type="pct"/>
            <w:vAlign w:val="center"/>
          </w:tcPr>
          <w:p w14:paraId="0AE5A100">
            <w:pPr>
              <w:widowControl/>
              <w:spacing w:line="320" w:lineRule="exact"/>
              <w:jc w:val="center"/>
              <w:rPr>
                <w:rFonts w:ascii="Times New Roman"/>
                <w:kern w:val="0"/>
                <w:sz w:val="21"/>
                <w:szCs w:val="21"/>
              </w:rPr>
            </w:pPr>
            <w:r>
              <w:rPr>
                <w:rFonts w:ascii="Times New Roman"/>
                <w:kern w:val="0"/>
                <w:sz w:val="21"/>
                <w:szCs w:val="21"/>
              </w:rPr>
              <w:t>二甲苯</w:t>
            </w:r>
          </w:p>
        </w:tc>
        <w:tc>
          <w:tcPr>
            <w:tcW w:w="1339" w:type="pct"/>
            <w:vAlign w:val="center"/>
          </w:tcPr>
          <w:p w14:paraId="6C8F6BDD">
            <w:pPr>
              <w:widowControl/>
              <w:spacing w:line="320" w:lineRule="exact"/>
              <w:jc w:val="center"/>
              <w:rPr>
                <w:rFonts w:ascii="Times New Roman"/>
                <w:kern w:val="0"/>
                <w:sz w:val="21"/>
                <w:szCs w:val="21"/>
              </w:rPr>
            </w:pPr>
            <w:r>
              <w:rPr>
                <w:rFonts w:ascii="Times New Roman"/>
                <w:kern w:val="0"/>
                <w:sz w:val="21"/>
                <w:szCs w:val="21"/>
              </w:rPr>
              <w:t>正丁醇</w:t>
            </w:r>
          </w:p>
        </w:tc>
        <w:tc>
          <w:tcPr>
            <w:tcW w:w="494" w:type="pct"/>
            <w:vMerge w:val="continue"/>
            <w:vAlign w:val="center"/>
          </w:tcPr>
          <w:p w14:paraId="3A5583F5">
            <w:pPr>
              <w:widowControl/>
              <w:spacing w:line="320" w:lineRule="exact"/>
              <w:jc w:val="center"/>
              <w:rPr>
                <w:rFonts w:ascii="Times New Roman"/>
                <w:kern w:val="0"/>
                <w:sz w:val="21"/>
                <w:szCs w:val="21"/>
              </w:rPr>
            </w:pPr>
          </w:p>
        </w:tc>
      </w:tr>
      <w:tr w14:paraId="0A69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757AE3E9">
            <w:pPr>
              <w:widowControl/>
              <w:spacing w:line="320" w:lineRule="exact"/>
              <w:jc w:val="center"/>
              <w:rPr>
                <w:rFonts w:ascii="Times New Roman"/>
                <w:kern w:val="0"/>
                <w:sz w:val="21"/>
                <w:szCs w:val="21"/>
              </w:rPr>
            </w:pPr>
            <w:r>
              <w:rPr>
                <w:rFonts w:ascii="Times New Roman"/>
                <w:kern w:val="0"/>
                <w:sz w:val="21"/>
                <w:szCs w:val="21"/>
              </w:rPr>
              <w:t>含量%</w:t>
            </w:r>
          </w:p>
        </w:tc>
        <w:tc>
          <w:tcPr>
            <w:tcW w:w="1322" w:type="pct"/>
            <w:vAlign w:val="center"/>
          </w:tcPr>
          <w:p w14:paraId="50490645">
            <w:pPr>
              <w:widowControl/>
              <w:spacing w:line="320" w:lineRule="exact"/>
              <w:jc w:val="center"/>
              <w:rPr>
                <w:rFonts w:ascii="Times New Roman"/>
                <w:kern w:val="0"/>
                <w:sz w:val="21"/>
                <w:szCs w:val="21"/>
              </w:rPr>
            </w:pPr>
            <w:r>
              <w:rPr>
                <w:rFonts w:ascii="Times New Roman"/>
                <w:kern w:val="0"/>
                <w:sz w:val="21"/>
                <w:szCs w:val="21"/>
              </w:rPr>
              <w:t>60%</w:t>
            </w:r>
          </w:p>
        </w:tc>
        <w:tc>
          <w:tcPr>
            <w:tcW w:w="1326" w:type="pct"/>
            <w:vAlign w:val="center"/>
          </w:tcPr>
          <w:p w14:paraId="7C3355E7">
            <w:pPr>
              <w:widowControl/>
              <w:spacing w:line="320" w:lineRule="exact"/>
              <w:jc w:val="center"/>
              <w:rPr>
                <w:rFonts w:ascii="Times New Roman"/>
                <w:kern w:val="0"/>
                <w:sz w:val="21"/>
                <w:szCs w:val="21"/>
              </w:rPr>
            </w:pPr>
            <w:r>
              <w:rPr>
                <w:rFonts w:ascii="Times New Roman"/>
                <w:kern w:val="0"/>
                <w:sz w:val="21"/>
                <w:szCs w:val="21"/>
              </w:rPr>
              <w:t>15%</w:t>
            </w:r>
          </w:p>
        </w:tc>
        <w:tc>
          <w:tcPr>
            <w:tcW w:w="1339" w:type="pct"/>
            <w:vAlign w:val="center"/>
          </w:tcPr>
          <w:p w14:paraId="6B42F96F">
            <w:pPr>
              <w:widowControl/>
              <w:spacing w:line="320" w:lineRule="exact"/>
              <w:jc w:val="center"/>
              <w:rPr>
                <w:rFonts w:ascii="Times New Roman"/>
                <w:kern w:val="0"/>
                <w:sz w:val="21"/>
                <w:szCs w:val="21"/>
              </w:rPr>
            </w:pPr>
            <w:r>
              <w:rPr>
                <w:rFonts w:ascii="Times New Roman"/>
                <w:kern w:val="0"/>
                <w:sz w:val="21"/>
                <w:szCs w:val="21"/>
              </w:rPr>
              <w:t>25%</w:t>
            </w:r>
          </w:p>
        </w:tc>
        <w:tc>
          <w:tcPr>
            <w:tcW w:w="494" w:type="pct"/>
            <w:vAlign w:val="center"/>
          </w:tcPr>
          <w:p w14:paraId="5CC35C9F">
            <w:pPr>
              <w:widowControl/>
              <w:spacing w:line="320" w:lineRule="exact"/>
              <w:jc w:val="center"/>
              <w:rPr>
                <w:rFonts w:ascii="Times New Roman"/>
                <w:kern w:val="0"/>
                <w:sz w:val="21"/>
                <w:szCs w:val="21"/>
              </w:rPr>
            </w:pPr>
            <w:r>
              <w:rPr>
                <w:rFonts w:ascii="Times New Roman"/>
                <w:kern w:val="0"/>
                <w:sz w:val="21"/>
                <w:szCs w:val="21"/>
              </w:rPr>
              <w:t>100%</w:t>
            </w:r>
          </w:p>
        </w:tc>
      </w:tr>
    </w:tbl>
    <w:p w14:paraId="3E4513F2">
      <w:pPr>
        <w:spacing w:line="360" w:lineRule="auto"/>
        <w:ind w:firstLine="480" w:firstLineChars="200"/>
        <w:rPr>
          <w:rFonts w:ascii="Times New Roman"/>
          <w:sz w:val="24"/>
          <w:szCs w:val="24"/>
        </w:rPr>
      </w:pPr>
      <w:r>
        <w:rPr>
          <w:rFonts w:ascii="Times New Roman"/>
          <w:sz w:val="24"/>
          <w:szCs w:val="24"/>
        </w:rPr>
        <w:t>根据检测报告，底漆</w:t>
      </w:r>
      <w:r>
        <w:rPr>
          <w:rFonts w:hint="eastAsia" w:ascii="Times New Roman"/>
          <w:sz w:val="24"/>
          <w:szCs w:val="24"/>
        </w:rPr>
        <w:t>（含固化剂）</w:t>
      </w:r>
      <w:r>
        <w:rPr>
          <w:rFonts w:ascii="Times New Roman"/>
          <w:sz w:val="24"/>
          <w:szCs w:val="24"/>
        </w:rPr>
        <w:t>挥发性有机物含量为189g/L，漆料与稀释剂按照</w:t>
      </w:r>
      <w:r>
        <w:rPr>
          <w:rFonts w:hint="eastAsia" w:ascii="Times New Roman"/>
          <w:sz w:val="24"/>
          <w:szCs w:val="24"/>
        </w:rPr>
        <w:t>4</w:t>
      </w:r>
      <w:r>
        <w:rPr>
          <w:rFonts w:ascii="Times New Roman"/>
          <w:sz w:val="24"/>
          <w:szCs w:val="24"/>
        </w:rPr>
        <w:t>:1进行配比，在</w:t>
      </w:r>
      <w:r>
        <w:rPr>
          <w:rFonts w:hint="eastAsia" w:ascii="Times New Roman"/>
          <w:sz w:val="24"/>
          <w:szCs w:val="24"/>
        </w:rPr>
        <w:t>即用</w:t>
      </w:r>
      <w:r>
        <w:rPr>
          <w:rFonts w:ascii="Times New Roman"/>
          <w:sz w:val="24"/>
          <w:szCs w:val="24"/>
        </w:rPr>
        <w:t>状态下底漆漆料中VOCs含量为</w:t>
      </w:r>
      <w:r>
        <w:rPr>
          <w:rFonts w:hint="eastAsia" w:ascii="Times New Roman"/>
          <w:sz w:val="24"/>
          <w:szCs w:val="24"/>
        </w:rPr>
        <w:t>375</w:t>
      </w:r>
      <w:r>
        <w:rPr>
          <w:rFonts w:ascii="Times New Roman"/>
          <w:sz w:val="24"/>
          <w:szCs w:val="24"/>
        </w:rPr>
        <w:t>g/L</w:t>
      </w:r>
      <w:r>
        <w:rPr>
          <w:rFonts w:hint="eastAsia" w:ascii="Times New Roman"/>
          <w:sz w:val="24"/>
          <w:szCs w:val="24"/>
        </w:rPr>
        <w:t>；中间</w:t>
      </w:r>
      <w:r>
        <w:rPr>
          <w:rFonts w:ascii="Times New Roman"/>
          <w:sz w:val="24"/>
          <w:szCs w:val="24"/>
        </w:rPr>
        <w:t>漆</w:t>
      </w:r>
      <w:r>
        <w:rPr>
          <w:rFonts w:hint="eastAsia" w:ascii="Times New Roman"/>
          <w:sz w:val="24"/>
          <w:szCs w:val="24"/>
        </w:rPr>
        <w:t>（含固化剂）</w:t>
      </w:r>
      <w:r>
        <w:rPr>
          <w:rFonts w:ascii="Times New Roman"/>
          <w:sz w:val="24"/>
          <w:szCs w:val="24"/>
        </w:rPr>
        <w:t>挥发性有机物含量为189g/L，漆料与稀释剂按照</w:t>
      </w:r>
      <w:r>
        <w:rPr>
          <w:rFonts w:hint="eastAsia" w:ascii="Times New Roman"/>
          <w:sz w:val="24"/>
          <w:szCs w:val="24"/>
        </w:rPr>
        <w:t>4</w:t>
      </w:r>
      <w:r>
        <w:rPr>
          <w:rFonts w:ascii="Times New Roman"/>
          <w:sz w:val="24"/>
          <w:szCs w:val="24"/>
        </w:rPr>
        <w:t>:1进行配比，在</w:t>
      </w:r>
      <w:r>
        <w:rPr>
          <w:rFonts w:hint="eastAsia" w:ascii="Times New Roman"/>
          <w:sz w:val="24"/>
          <w:szCs w:val="24"/>
        </w:rPr>
        <w:t>即用</w:t>
      </w:r>
      <w:r>
        <w:rPr>
          <w:rFonts w:ascii="Times New Roman"/>
          <w:sz w:val="24"/>
          <w:szCs w:val="24"/>
        </w:rPr>
        <w:t>状态下底漆漆料中VOCs含量为</w:t>
      </w:r>
      <w:r>
        <w:rPr>
          <w:rFonts w:hint="eastAsia" w:ascii="Times New Roman"/>
          <w:sz w:val="24"/>
          <w:szCs w:val="24"/>
        </w:rPr>
        <w:t>330</w:t>
      </w:r>
      <w:r>
        <w:rPr>
          <w:rFonts w:ascii="Times New Roman"/>
          <w:sz w:val="24"/>
          <w:szCs w:val="24"/>
        </w:rPr>
        <w:t>g/L</w:t>
      </w:r>
      <w:r>
        <w:rPr>
          <w:rFonts w:hint="eastAsia" w:ascii="Times New Roman"/>
          <w:sz w:val="24"/>
          <w:szCs w:val="24"/>
        </w:rPr>
        <w:t>；面</w:t>
      </w:r>
      <w:r>
        <w:rPr>
          <w:rFonts w:ascii="Times New Roman"/>
          <w:sz w:val="24"/>
          <w:szCs w:val="24"/>
        </w:rPr>
        <w:t>漆</w:t>
      </w:r>
      <w:r>
        <w:rPr>
          <w:rFonts w:hint="eastAsia" w:ascii="Times New Roman"/>
          <w:sz w:val="24"/>
          <w:szCs w:val="24"/>
        </w:rPr>
        <w:t>（含固化剂）</w:t>
      </w:r>
      <w:r>
        <w:rPr>
          <w:rFonts w:ascii="Times New Roman"/>
          <w:sz w:val="24"/>
          <w:szCs w:val="24"/>
        </w:rPr>
        <w:t>挥发性有机物含量为189g/L，漆料与稀释剂按照</w:t>
      </w:r>
      <w:r>
        <w:rPr>
          <w:rFonts w:hint="eastAsia" w:ascii="Times New Roman"/>
          <w:sz w:val="24"/>
          <w:szCs w:val="24"/>
        </w:rPr>
        <w:t>4</w:t>
      </w:r>
      <w:r>
        <w:rPr>
          <w:rFonts w:ascii="Times New Roman"/>
          <w:sz w:val="24"/>
          <w:szCs w:val="24"/>
        </w:rPr>
        <w:t>:1进行配比，在</w:t>
      </w:r>
      <w:r>
        <w:rPr>
          <w:rFonts w:hint="eastAsia" w:ascii="Times New Roman"/>
          <w:sz w:val="24"/>
          <w:szCs w:val="24"/>
        </w:rPr>
        <w:t>即用</w:t>
      </w:r>
      <w:r>
        <w:rPr>
          <w:rFonts w:ascii="Times New Roman"/>
          <w:sz w:val="24"/>
          <w:szCs w:val="24"/>
        </w:rPr>
        <w:t>状态下底漆漆料中VOCs含量为</w:t>
      </w:r>
      <w:r>
        <w:rPr>
          <w:rFonts w:hint="eastAsia" w:ascii="Times New Roman"/>
          <w:sz w:val="24"/>
          <w:szCs w:val="24"/>
        </w:rPr>
        <w:t>390</w:t>
      </w:r>
      <w:r>
        <w:rPr>
          <w:rFonts w:ascii="Times New Roman"/>
          <w:sz w:val="24"/>
          <w:szCs w:val="24"/>
        </w:rPr>
        <w:t>g/L</w:t>
      </w:r>
      <w:r>
        <w:rPr>
          <w:rFonts w:hint="eastAsia" w:ascii="Times New Roman"/>
          <w:sz w:val="24"/>
          <w:szCs w:val="24"/>
        </w:rPr>
        <w:t>；</w:t>
      </w:r>
      <w:r>
        <w:rPr>
          <w:rFonts w:ascii="Times New Roman"/>
          <w:sz w:val="24"/>
          <w:szCs w:val="24"/>
        </w:rPr>
        <w:t>对照《低挥发性有机化合物含量涂料产品技术要求》（GB/T38597-2020），项目所用涂料中VOC含量</w:t>
      </w:r>
      <w:r>
        <w:rPr>
          <w:rFonts w:hint="eastAsia" w:ascii="Times New Roman"/>
          <w:sz w:val="24"/>
          <w:szCs w:val="24"/>
        </w:rPr>
        <w:t>与</w:t>
      </w:r>
      <w:r>
        <w:rPr>
          <w:rFonts w:ascii="Times New Roman"/>
          <w:sz w:val="24"/>
          <w:szCs w:val="24"/>
        </w:rPr>
        <w:t>限量值对比情况如下：</w:t>
      </w:r>
    </w:p>
    <w:p w14:paraId="319E68A0">
      <w:pPr>
        <w:spacing w:line="360" w:lineRule="auto"/>
        <w:jc w:val="center"/>
        <w:rPr>
          <w:rFonts w:ascii="Times New Roman"/>
          <w:b/>
          <w:sz w:val="24"/>
          <w:szCs w:val="24"/>
        </w:rPr>
      </w:pPr>
      <w:r>
        <w:rPr>
          <w:rFonts w:ascii="Times New Roman"/>
          <w:b/>
          <w:sz w:val="24"/>
          <w:szCs w:val="24"/>
        </w:rPr>
        <w:t>表3.3-5  项目所用涂料中VOC含量与限量值对比情况一览表</w:t>
      </w:r>
    </w:p>
    <w:tbl>
      <w:tblPr>
        <w:tblStyle w:val="84"/>
        <w:tblW w:w="5143" w:type="pct"/>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5"/>
        <w:gridCol w:w="779"/>
        <w:gridCol w:w="732"/>
        <w:gridCol w:w="835"/>
        <w:gridCol w:w="1102"/>
        <w:gridCol w:w="1155"/>
        <w:gridCol w:w="1167"/>
        <w:gridCol w:w="829"/>
        <w:gridCol w:w="1380"/>
      </w:tblGrid>
      <w:tr w14:paraId="59BB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336" w:type="pct"/>
            <w:vAlign w:val="center"/>
          </w:tcPr>
          <w:p w14:paraId="3D9F53C1">
            <w:pPr>
              <w:jc w:val="center"/>
              <w:rPr>
                <w:rFonts w:ascii="Times New Roman"/>
                <w:kern w:val="0"/>
                <w:sz w:val="21"/>
                <w:szCs w:val="21"/>
              </w:rPr>
            </w:pPr>
            <w:r>
              <w:rPr>
                <w:rFonts w:ascii="Times New Roman"/>
                <w:kern w:val="0"/>
                <w:sz w:val="21"/>
                <w:szCs w:val="21"/>
              </w:rPr>
              <w:t>涂料类型</w:t>
            </w:r>
          </w:p>
        </w:tc>
        <w:tc>
          <w:tcPr>
            <w:tcW w:w="2690" w:type="pct"/>
            <w:gridSpan w:val="5"/>
            <w:vAlign w:val="center"/>
          </w:tcPr>
          <w:p w14:paraId="2F7EE940">
            <w:pPr>
              <w:jc w:val="center"/>
              <w:rPr>
                <w:rFonts w:ascii="Times New Roman"/>
                <w:kern w:val="0"/>
                <w:sz w:val="21"/>
                <w:szCs w:val="21"/>
              </w:rPr>
            </w:pPr>
            <w:r>
              <w:rPr>
                <w:rFonts w:ascii="Times New Roman"/>
                <w:kern w:val="0"/>
                <w:sz w:val="21"/>
                <w:szCs w:val="21"/>
              </w:rPr>
              <w:t>GB/T38597-2020中VOC含量要求</w:t>
            </w:r>
          </w:p>
        </w:tc>
        <w:tc>
          <w:tcPr>
            <w:tcW w:w="1166" w:type="pct"/>
            <w:gridSpan w:val="2"/>
            <w:vMerge w:val="restart"/>
            <w:vAlign w:val="center"/>
          </w:tcPr>
          <w:p w14:paraId="47AB1E86">
            <w:pPr>
              <w:jc w:val="center"/>
              <w:rPr>
                <w:rFonts w:ascii="Times New Roman"/>
                <w:kern w:val="0"/>
                <w:sz w:val="21"/>
                <w:szCs w:val="21"/>
              </w:rPr>
            </w:pPr>
            <w:r>
              <w:rPr>
                <w:rFonts w:ascii="Times New Roman"/>
                <w:kern w:val="0"/>
                <w:sz w:val="21"/>
                <w:szCs w:val="21"/>
              </w:rPr>
              <w:t>本项目VOC含量/（g/L）</w:t>
            </w:r>
          </w:p>
        </w:tc>
        <w:tc>
          <w:tcPr>
            <w:tcW w:w="806" w:type="pct"/>
            <w:vMerge w:val="restart"/>
            <w:vAlign w:val="center"/>
          </w:tcPr>
          <w:p w14:paraId="71C0F9E4">
            <w:pPr>
              <w:jc w:val="center"/>
              <w:rPr>
                <w:rFonts w:ascii="Times New Roman"/>
                <w:kern w:val="0"/>
                <w:sz w:val="21"/>
                <w:szCs w:val="21"/>
              </w:rPr>
            </w:pPr>
            <w:r>
              <w:rPr>
                <w:rFonts w:ascii="Times New Roman"/>
                <w:kern w:val="0"/>
                <w:sz w:val="21"/>
                <w:szCs w:val="21"/>
              </w:rPr>
              <w:t>是否为低挥发性有机化合物含量涂料产品</w:t>
            </w:r>
          </w:p>
        </w:tc>
      </w:tr>
      <w:tr w14:paraId="2CA6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6" w:type="pct"/>
            <w:vMerge w:val="restart"/>
            <w:vAlign w:val="center"/>
          </w:tcPr>
          <w:p w14:paraId="2FDE3693">
            <w:pPr>
              <w:jc w:val="center"/>
              <w:rPr>
                <w:rFonts w:ascii="Times New Roman"/>
                <w:kern w:val="0"/>
                <w:sz w:val="21"/>
                <w:szCs w:val="21"/>
              </w:rPr>
            </w:pPr>
            <w:r>
              <w:rPr>
                <w:rFonts w:ascii="Times New Roman"/>
                <w:kern w:val="0"/>
                <w:sz w:val="21"/>
                <w:szCs w:val="21"/>
              </w:rPr>
              <w:t>溶剂型涂料（含稀释剂）</w:t>
            </w:r>
          </w:p>
        </w:tc>
        <w:tc>
          <w:tcPr>
            <w:tcW w:w="455" w:type="pct"/>
            <w:vAlign w:val="center"/>
          </w:tcPr>
          <w:p w14:paraId="20DB10B1">
            <w:pPr>
              <w:jc w:val="center"/>
              <w:rPr>
                <w:rFonts w:ascii="Times New Roman"/>
                <w:kern w:val="0"/>
                <w:sz w:val="21"/>
                <w:szCs w:val="21"/>
              </w:rPr>
            </w:pPr>
            <w:r>
              <w:rPr>
                <w:rFonts w:ascii="Times New Roman"/>
                <w:kern w:val="0"/>
                <w:sz w:val="21"/>
                <w:szCs w:val="21"/>
              </w:rPr>
              <w:t>产品</w:t>
            </w:r>
          </w:p>
          <w:p w14:paraId="21836A35">
            <w:pPr>
              <w:jc w:val="center"/>
              <w:rPr>
                <w:rFonts w:ascii="Times New Roman"/>
                <w:kern w:val="0"/>
                <w:sz w:val="21"/>
                <w:szCs w:val="21"/>
              </w:rPr>
            </w:pPr>
            <w:r>
              <w:rPr>
                <w:rFonts w:ascii="Times New Roman"/>
                <w:kern w:val="0"/>
                <w:sz w:val="21"/>
                <w:szCs w:val="21"/>
              </w:rPr>
              <w:t>类型</w:t>
            </w:r>
          </w:p>
        </w:tc>
        <w:tc>
          <w:tcPr>
            <w:tcW w:w="1560" w:type="pct"/>
            <w:gridSpan w:val="3"/>
            <w:vAlign w:val="center"/>
          </w:tcPr>
          <w:p w14:paraId="5B17E79F">
            <w:pPr>
              <w:jc w:val="center"/>
              <w:rPr>
                <w:rFonts w:ascii="Times New Roman"/>
                <w:kern w:val="0"/>
                <w:sz w:val="21"/>
                <w:szCs w:val="21"/>
              </w:rPr>
            </w:pPr>
            <w:r>
              <w:rPr>
                <w:rFonts w:ascii="Times New Roman"/>
                <w:kern w:val="0"/>
                <w:sz w:val="21"/>
                <w:szCs w:val="21"/>
              </w:rPr>
              <w:t>主要产品类型</w:t>
            </w:r>
          </w:p>
        </w:tc>
        <w:tc>
          <w:tcPr>
            <w:tcW w:w="674" w:type="pct"/>
            <w:vAlign w:val="center"/>
          </w:tcPr>
          <w:p w14:paraId="5523A211">
            <w:pPr>
              <w:jc w:val="center"/>
              <w:rPr>
                <w:rFonts w:ascii="Times New Roman"/>
                <w:kern w:val="0"/>
                <w:sz w:val="21"/>
                <w:szCs w:val="21"/>
              </w:rPr>
            </w:pPr>
            <w:r>
              <w:rPr>
                <w:rFonts w:ascii="Times New Roman"/>
                <w:kern w:val="0"/>
                <w:sz w:val="21"/>
                <w:szCs w:val="21"/>
              </w:rPr>
              <w:t>限量值/（g/L）</w:t>
            </w:r>
          </w:p>
        </w:tc>
        <w:tc>
          <w:tcPr>
            <w:tcW w:w="1166" w:type="pct"/>
            <w:gridSpan w:val="2"/>
            <w:vMerge w:val="continue"/>
            <w:vAlign w:val="center"/>
          </w:tcPr>
          <w:p w14:paraId="2DBE2801">
            <w:pPr>
              <w:rPr>
                <w:rFonts w:ascii="Times New Roman"/>
                <w:kern w:val="0"/>
                <w:sz w:val="21"/>
                <w:szCs w:val="21"/>
              </w:rPr>
            </w:pPr>
          </w:p>
        </w:tc>
        <w:tc>
          <w:tcPr>
            <w:tcW w:w="806" w:type="pct"/>
            <w:vMerge w:val="continue"/>
            <w:vAlign w:val="center"/>
          </w:tcPr>
          <w:p w14:paraId="3B0A919A">
            <w:pPr>
              <w:rPr>
                <w:rFonts w:ascii="Times New Roman"/>
                <w:kern w:val="0"/>
                <w:sz w:val="21"/>
                <w:szCs w:val="21"/>
              </w:rPr>
            </w:pPr>
          </w:p>
        </w:tc>
      </w:tr>
      <w:tr w14:paraId="16E8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336" w:type="pct"/>
            <w:vMerge w:val="continue"/>
            <w:vAlign w:val="center"/>
          </w:tcPr>
          <w:p w14:paraId="1FB1838B">
            <w:pPr>
              <w:jc w:val="center"/>
              <w:rPr>
                <w:rFonts w:ascii="Times New Roman"/>
                <w:kern w:val="0"/>
                <w:sz w:val="21"/>
                <w:szCs w:val="21"/>
              </w:rPr>
            </w:pPr>
          </w:p>
        </w:tc>
        <w:tc>
          <w:tcPr>
            <w:tcW w:w="455" w:type="pct"/>
            <w:vMerge w:val="restart"/>
            <w:vAlign w:val="center"/>
          </w:tcPr>
          <w:p w14:paraId="591DE06F">
            <w:pPr>
              <w:jc w:val="center"/>
              <w:rPr>
                <w:rFonts w:ascii="Times New Roman"/>
                <w:kern w:val="0"/>
                <w:sz w:val="21"/>
                <w:szCs w:val="21"/>
              </w:rPr>
            </w:pPr>
            <w:r>
              <w:rPr>
                <w:rFonts w:ascii="Times New Roman"/>
                <w:kern w:val="0"/>
                <w:sz w:val="21"/>
                <w:szCs w:val="21"/>
              </w:rPr>
              <w:t>工业防护涂料</w:t>
            </w:r>
          </w:p>
        </w:tc>
        <w:tc>
          <w:tcPr>
            <w:tcW w:w="428" w:type="pct"/>
            <w:vMerge w:val="restart"/>
            <w:vAlign w:val="center"/>
          </w:tcPr>
          <w:p w14:paraId="12F1A6A8">
            <w:pPr>
              <w:jc w:val="center"/>
              <w:rPr>
                <w:rFonts w:ascii="Times New Roman"/>
                <w:kern w:val="0"/>
                <w:sz w:val="21"/>
                <w:szCs w:val="21"/>
              </w:rPr>
            </w:pPr>
            <w:r>
              <w:rPr>
                <w:rFonts w:ascii="Times New Roman"/>
                <w:kern w:val="0"/>
                <w:sz w:val="21"/>
                <w:szCs w:val="21"/>
              </w:rPr>
              <w:t>机械设备涂料</w:t>
            </w:r>
          </w:p>
        </w:tc>
        <w:tc>
          <w:tcPr>
            <w:tcW w:w="488" w:type="pct"/>
            <w:vMerge w:val="restart"/>
            <w:vAlign w:val="center"/>
          </w:tcPr>
          <w:p w14:paraId="2B0532C6">
            <w:pPr>
              <w:jc w:val="center"/>
              <w:rPr>
                <w:rFonts w:ascii="Times New Roman"/>
                <w:kern w:val="0"/>
                <w:sz w:val="21"/>
                <w:szCs w:val="21"/>
              </w:rPr>
            </w:pPr>
            <w:r>
              <w:rPr>
                <w:rFonts w:ascii="Times New Roman"/>
                <w:kern w:val="0"/>
                <w:sz w:val="21"/>
                <w:szCs w:val="21"/>
              </w:rPr>
              <w:t>工程机械和农业机械涂料（含零部件涂料）</w:t>
            </w:r>
          </w:p>
        </w:tc>
        <w:tc>
          <w:tcPr>
            <w:tcW w:w="644" w:type="pct"/>
            <w:vAlign w:val="center"/>
          </w:tcPr>
          <w:p w14:paraId="5FD89F73">
            <w:pPr>
              <w:jc w:val="center"/>
              <w:rPr>
                <w:rFonts w:ascii="Times New Roman"/>
                <w:kern w:val="0"/>
                <w:sz w:val="21"/>
                <w:szCs w:val="21"/>
              </w:rPr>
            </w:pPr>
            <w:r>
              <w:rPr>
                <w:rFonts w:ascii="Times New Roman"/>
                <w:kern w:val="0"/>
                <w:sz w:val="21"/>
                <w:szCs w:val="21"/>
              </w:rPr>
              <w:t>底漆</w:t>
            </w:r>
          </w:p>
        </w:tc>
        <w:tc>
          <w:tcPr>
            <w:tcW w:w="674" w:type="pct"/>
            <w:vAlign w:val="center"/>
          </w:tcPr>
          <w:p w14:paraId="2CA80DB7">
            <w:pPr>
              <w:jc w:val="center"/>
              <w:rPr>
                <w:rFonts w:ascii="Times New Roman"/>
                <w:kern w:val="0"/>
                <w:sz w:val="21"/>
                <w:szCs w:val="21"/>
              </w:rPr>
            </w:pPr>
            <w:r>
              <w:rPr>
                <w:rFonts w:ascii="Times New Roman"/>
                <w:kern w:val="0"/>
                <w:sz w:val="21"/>
                <w:szCs w:val="21"/>
              </w:rPr>
              <w:t>≤420</w:t>
            </w:r>
          </w:p>
        </w:tc>
        <w:tc>
          <w:tcPr>
            <w:tcW w:w="682" w:type="pct"/>
            <w:vAlign w:val="center"/>
          </w:tcPr>
          <w:p w14:paraId="17A2F7A2">
            <w:pPr>
              <w:jc w:val="center"/>
              <w:rPr>
                <w:rFonts w:ascii="Times New Roman"/>
                <w:kern w:val="0"/>
                <w:sz w:val="21"/>
                <w:szCs w:val="21"/>
              </w:rPr>
            </w:pPr>
            <w:r>
              <w:rPr>
                <w:rFonts w:ascii="Times New Roman"/>
                <w:kern w:val="0"/>
                <w:sz w:val="21"/>
                <w:szCs w:val="21"/>
              </w:rPr>
              <w:t>环氧富锌漆</w:t>
            </w:r>
          </w:p>
        </w:tc>
        <w:tc>
          <w:tcPr>
            <w:tcW w:w="483" w:type="pct"/>
            <w:vAlign w:val="center"/>
          </w:tcPr>
          <w:p w14:paraId="2CD04693">
            <w:pPr>
              <w:jc w:val="center"/>
              <w:rPr>
                <w:rFonts w:ascii="Times New Roman"/>
                <w:kern w:val="0"/>
                <w:sz w:val="21"/>
                <w:szCs w:val="21"/>
              </w:rPr>
            </w:pPr>
            <w:r>
              <w:rPr>
                <w:rFonts w:ascii="Times New Roman"/>
                <w:kern w:val="0"/>
                <w:sz w:val="21"/>
                <w:szCs w:val="21"/>
              </w:rPr>
              <w:t>375</w:t>
            </w:r>
          </w:p>
        </w:tc>
        <w:tc>
          <w:tcPr>
            <w:tcW w:w="806" w:type="pct"/>
            <w:vAlign w:val="center"/>
          </w:tcPr>
          <w:p w14:paraId="22633E0F">
            <w:pPr>
              <w:jc w:val="center"/>
              <w:rPr>
                <w:rFonts w:ascii="Times New Roman"/>
                <w:kern w:val="0"/>
                <w:sz w:val="21"/>
                <w:szCs w:val="21"/>
              </w:rPr>
            </w:pPr>
            <w:r>
              <w:rPr>
                <w:rFonts w:ascii="Times New Roman"/>
                <w:kern w:val="0"/>
                <w:sz w:val="21"/>
                <w:szCs w:val="21"/>
              </w:rPr>
              <w:t>是</w:t>
            </w:r>
          </w:p>
        </w:tc>
      </w:tr>
      <w:tr w14:paraId="4D54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336" w:type="pct"/>
            <w:vMerge w:val="continue"/>
            <w:vAlign w:val="center"/>
          </w:tcPr>
          <w:p w14:paraId="08993EEB">
            <w:pPr>
              <w:jc w:val="center"/>
              <w:rPr>
                <w:rFonts w:ascii="Times New Roman"/>
                <w:kern w:val="0"/>
                <w:sz w:val="21"/>
                <w:szCs w:val="21"/>
              </w:rPr>
            </w:pPr>
          </w:p>
        </w:tc>
        <w:tc>
          <w:tcPr>
            <w:tcW w:w="455" w:type="pct"/>
            <w:vMerge w:val="continue"/>
            <w:vAlign w:val="center"/>
          </w:tcPr>
          <w:p w14:paraId="59F85C9C">
            <w:pPr>
              <w:jc w:val="center"/>
              <w:rPr>
                <w:rFonts w:ascii="Times New Roman"/>
                <w:kern w:val="0"/>
                <w:sz w:val="21"/>
                <w:szCs w:val="21"/>
              </w:rPr>
            </w:pPr>
          </w:p>
        </w:tc>
        <w:tc>
          <w:tcPr>
            <w:tcW w:w="428" w:type="pct"/>
            <w:vMerge w:val="continue"/>
            <w:vAlign w:val="center"/>
          </w:tcPr>
          <w:p w14:paraId="5B94A0C3">
            <w:pPr>
              <w:jc w:val="center"/>
              <w:rPr>
                <w:rFonts w:ascii="Times New Roman"/>
                <w:kern w:val="0"/>
                <w:sz w:val="21"/>
                <w:szCs w:val="21"/>
              </w:rPr>
            </w:pPr>
          </w:p>
        </w:tc>
        <w:tc>
          <w:tcPr>
            <w:tcW w:w="488" w:type="pct"/>
            <w:vMerge w:val="continue"/>
            <w:vAlign w:val="center"/>
          </w:tcPr>
          <w:p w14:paraId="50E3A6A8">
            <w:pPr>
              <w:jc w:val="center"/>
              <w:rPr>
                <w:rFonts w:ascii="Times New Roman"/>
                <w:kern w:val="0"/>
                <w:sz w:val="21"/>
                <w:szCs w:val="21"/>
              </w:rPr>
            </w:pPr>
          </w:p>
        </w:tc>
        <w:tc>
          <w:tcPr>
            <w:tcW w:w="644" w:type="pct"/>
            <w:vAlign w:val="center"/>
          </w:tcPr>
          <w:p w14:paraId="46B7ED91">
            <w:pPr>
              <w:jc w:val="center"/>
              <w:rPr>
                <w:rFonts w:ascii="Times New Roman"/>
                <w:kern w:val="0"/>
                <w:sz w:val="21"/>
                <w:szCs w:val="21"/>
              </w:rPr>
            </w:pPr>
            <w:r>
              <w:rPr>
                <w:rFonts w:ascii="Times New Roman"/>
                <w:kern w:val="0"/>
                <w:sz w:val="21"/>
                <w:szCs w:val="21"/>
              </w:rPr>
              <w:t>中漆</w:t>
            </w:r>
          </w:p>
        </w:tc>
        <w:tc>
          <w:tcPr>
            <w:tcW w:w="674" w:type="pct"/>
            <w:vAlign w:val="center"/>
          </w:tcPr>
          <w:p w14:paraId="55CAC2D4">
            <w:pPr>
              <w:jc w:val="center"/>
              <w:rPr>
                <w:rFonts w:ascii="Times New Roman"/>
                <w:kern w:val="0"/>
                <w:sz w:val="21"/>
                <w:szCs w:val="21"/>
              </w:rPr>
            </w:pPr>
            <w:r>
              <w:rPr>
                <w:rFonts w:ascii="Times New Roman"/>
                <w:kern w:val="0"/>
                <w:sz w:val="21"/>
                <w:szCs w:val="21"/>
              </w:rPr>
              <w:t>≤420</w:t>
            </w:r>
          </w:p>
        </w:tc>
        <w:tc>
          <w:tcPr>
            <w:tcW w:w="682" w:type="pct"/>
            <w:vAlign w:val="center"/>
          </w:tcPr>
          <w:p w14:paraId="295AC7EE">
            <w:pPr>
              <w:jc w:val="center"/>
              <w:rPr>
                <w:rFonts w:ascii="Times New Roman"/>
                <w:kern w:val="0"/>
                <w:sz w:val="21"/>
                <w:szCs w:val="21"/>
              </w:rPr>
            </w:pPr>
            <w:r>
              <w:rPr>
                <w:rFonts w:ascii="Times New Roman"/>
                <w:kern w:val="0"/>
                <w:sz w:val="21"/>
                <w:szCs w:val="21"/>
              </w:rPr>
              <w:t>环氧云铁漆</w:t>
            </w:r>
          </w:p>
        </w:tc>
        <w:tc>
          <w:tcPr>
            <w:tcW w:w="483" w:type="pct"/>
            <w:vAlign w:val="center"/>
          </w:tcPr>
          <w:p w14:paraId="7A125005">
            <w:pPr>
              <w:jc w:val="center"/>
              <w:rPr>
                <w:rFonts w:ascii="Times New Roman"/>
                <w:kern w:val="0"/>
                <w:sz w:val="21"/>
                <w:szCs w:val="21"/>
              </w:rPr>
            </w:pPr>
            <w:r>
              <w:rPr>
                <w:rFonts w:ascii="Times New Roman"/>
                <w:kern w:val="0"/>
                <w:sz w:val="21"/>
                <w:szCs w:val="21"/>
              </w:rPr>
              <w:t>330</w:t>
            </w:r>
          </w:p>
        </w:tc>
        <w:tc>
          <w:tcPr>
            <w:tcW w:w="806" w:type="pct"/>
            <w:vAlign w:val="center"/>
          </w:tcPr>
          <w:p w14:paraId="4E427C2C">
            <w:pPr>
              <w:jc w:val="center"/>
              <w:rPr>
                <w:rFonts w:ascii="Times New Roman"/>
                <w:kern w:val="0"/>
                <w:sz w:val="21"/>
                <w:szCs w:val="21"/>
              </w:rPr>
            </w:pPr>
            <w:r>
              <w:rPr>
                <w:rFonts w:ascii="Times New Roman"/>
                <w:kern w:val="0"/>
                <w:sz w:val="21"/>
                <w:szCs w:val="21"/>
              </w:rPr>
              <w:t>是</w:t>
            </w:r>
          </w:p>
        </w:tc>
      </w:tr>
      <w:tr w14:paraId="78E7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336" w:type="pct"/>
            <w:vMerge w:val="continue"/>
            <w:vAlign w:val="center"/>
          </w:tcPr>
          <w:p w14:paraId="3B485194">
            <w:pPr>
              <w:jc w:val="center"/>
              <w:rPr>
                <w:rFonts w:ascii="Times New Roman"/>
                <w:kern w:val="0"/>
                <w:sz w:val="21"/>
                <w:szCs w:val="21"/>
              </w:rPr>
            </w:pPr>
          </w:p>
        </w:tc>
        <w:tc>
          <w:tcPr>
            <w:tcW w:w="455" w:type="pct"/>
            <w:vMerge w:val="continue"/>
            <w:vAlign w:val="center"/>
          </w:tcPr>
          <w:p w14:paraId="715AB841">
            <w:pPr>
              <w:jc w:val="center"/>
              <w:rPr>
                <w:rFonts w:ascii="Times New Roman"/>
                <w:kern w:val="0"/>
                <w:sz w:val="21"/>
                <w:szCs w:val="21"/>
              </w:rPr>
            </w:pPr>
          </w:p>
        </w:tc>
        <w:tc>
          <w:tcPr>
            <w:tcW w:w="428" w:type="pct"/>
            <w:vMerge w:val="continue"/>
            <w:vAlign w:val="center"/>
          </w:tcPr>
          <w:p w14:paraId="19EB4D99">
            <w:pPr>
              <w:jc w:val="center"/>
              <w:rPr>
                <w:rFonts w:ascii="Times New Roman"/>
                <w:kern w:val="0"/>
                <w:sz w:val="21"/>
                <w:szCs w:val="21"/>
              </w:rPr>
            </w:pPr>
          </w:p>
        </w:tc>
        <w:tc>
          <w:tcPr>
            <w:tcW w:w="488" w:type="pct"/>
            <w:vMerge w:val="continue"/>
            <w:vAlign w:val="center"/>
          </w:tcPr>
          <w:p w14:paraId="3C1D0263">
            <w:pPr>
              <w:jc w:val="center"/>
              <w:rPr>
                <w:rFonts w:ascii="Times New Roman"/>
                <w:kern w:val="0"/>
                <w:sz w:val="21"/>
                <w:szCs w:val="21"/>
              </w:rPr>
            </w:pPr>
          </w:p>
        </w:tc>
        <w:tc>
          <w:tcPr>
            <w:tcW w:w="644" w:type="pct"/>
            <w:vAlign w:val="center"/>
          </w:tcPr>
          <w:p w14:paraId="095CA713">
            <w:pPr>
              <w:jc w:val="center"/>
              <w:rPr>
                <w:rFonts w:ascii="Times New Roman"/>
                <w:kern w:val="0"/>
                <w:sz w:val="21"/>
                <w:szCs w:val="21"/>
              </w:rPr>
            </w:pPr>
            <w:r>
              <w:rPr>
                <w:rFonts w:ascii="Times New Roman"/>
                <w:kern w:val="0"/>
                <w:sz w:val="21"/>
                <w:szCs w:val="21"/>
              </w:rPr>
              <w:t>单组分面漆</w:t>
            </w:r>
          </w:p>
        </w:tc>
        <w:tc>
          <w:tcPr>
            <w:tcW w:w="674" w:type="pct"/>
            <w:vAlign w:val="center"/>
          </w:tcPr>
          <w:p w14:paraId="54FA288B">
            <w:pPr>
              <w:jc w:val="center"/>
              <w:rPr>
                <w:rFonts w:ascii="Times New Roman"/>
                <w:kern w:val="0"/>
                <w:sz w:val="21"/>
                <w:szCs w:val="21"/>
              </w:rPr>
            </w:pPr>
            <w:r>
              <w:rPr>
                <w:rFonts w:ascii="Times New Roman"/>
                <w:kern w:val="0"/>
                <w:sz w:val="21"/>
                <w:szCs w:val="21"/>
              </w:rPr>
              <w:t>≤480</w:t>
            </w:r>
          </w:p>
        </w:tc>
        <w:tc>
          <w:tcPr>
            <w:tcW w:w="682" w:type="pct"/>
            <w:vAlign w:val="center"/>
          </w:tcPr>
          <w:p w14:paraId="0A573F43">
            <w:pPr>
              <w:jc w:val="center"/>
              <w:rPr>
                <w:rFonts w:ascii="Times New Roman"/>
                <w:kern w:val="0"/>
                <w:sz w:val="21"/>
                <w:szCs w:val="21"/>
              </w:rPr>
            </w:pPr>
            <w:r>
              <w:rPr>
                <w:rFonts w:ascii="Times New Roman"/>
                <w:kern w:val="0"/>
                <w:sz w:val="21"/>
                <w:szCs w:val="21"/>
              </w:rPr>
              <w:t>丙烯酸聚氨酯面漆</w:t>
            </w:r>
          </w:p>
        </w:tc>
        <w:tc>
          <w:tcPr>
            <w:tcW w:w="483" w:type="pct"/>
            <w:vAlign w:val="center"/>
          </w:tcPr>
          <w:p w14:paraId="274D8E20">
            <w:pPr>
              <w:jc w:val="center"/>
              <w:rPr>
                <w:rFonts w:ascii="Times New Roman"/>
                <w:kern w:val="0"/>
                <w:sz w:val="21"/>
                <w:szCs w:val="21"/>
              </w:rPr>
            </w:pPr>
            <w:r>
              <w:rPr>
                <w:rFonts w:ascii="Times New Roman"/>
                <w:kern w:val="0"/>
                <w:sz w:val="21"/>
                <w:szCs w:val="21"/>
              </w:rPr>
              <w:t>390</w:t>
            </w:r>
          </w:p>
        </w:tc>
        <w:tc>
          <w:tcPr>
            <w:tcW w:w="806" w:type="pct"/>
            <w:vAlign w:val="center"/>
          </w:tcPr>
          <w:p w14:paraId="245FF2F8">
            <w:pPr>
              <w:jc w:val="center"/>
              <w:rPr>
                <w:rFonts w:ascii="Times New Roman"/>
                <w:kern w:val="0"/>
                <w:sz w:val="21"/>
                <w:szCs w:val="21"/>
              </w:rPr>
            </w:pPr>
            <w:r>
              <w:rPr>
                <w:rFonts w:ascii="Times New Roman"/>
                <w:kern w:val="0"/>
                <w:sz w:val="21"/>
                <w:szCs w:val="21"/>
              </w:rPr>
              <w:t>是</w:t>
            </w:r>
          </w:p>
        </w:tc>
      </w:tr>
    </w:tbl>
    <w:p w14:paraId="46D960A0">
      <w:pPr>
        <w:spacing w:line="480" w:lineRule="exact"/>
        <w:ind w:firstLine="480" w:firstLineChars="200"/>
        <w:rPr>
          <w:rFonts w:ascii="Times New Roman"/>
          <w:kern w:val="0"/>
          <w:sz w:val="24"/>
          <w:szCs w:val="24"/>
        </w:rPr>
      </w:pPr>
      <w:r>
        <w:rPr>
          <w:rFonts w:ascii="Times New Roman"/>
          <w:kern w:val="0"/>
          <w:sz w:val="24"/>
          <w:szCs w:val="24"/>
        </w:rPr>
        <w:t>由上表可知，本项目使用的涂料均为低挥发性有机化合物含量涂料产品，符合《低挥发性有机化合物含量涂料产品技术要求》（GB/T38597-2020）中要求。</w:t>
      </w:r>
    </w:p>
    <w:p w14:paraId="40B29327">
      <w:pPr>
        <w:spacing w:line="480" w:lineRule="exact"/>
        <w:ind w:firstLine="480" w:firstLineChars="200"/>
        <w:rPr>
          <w:rFonts w:ascii="Times New Roman"/>
          <w:sz w:val="24"/>
          <w:szCs w:val="24"/>
        </w:rPr>
      </w:pPr>
      <w:r>
        <w:rPr>
          <w:rFonts w:ascii="Times New Roman"/>
          <w:kern w:val="0"/>
          <w:sz w:val="24"/>
          <w:szCs w:val="24"/>
        </w:rPr>
        <w:t>项目</w:t>
      </w:r>
      <w:r>
        <w:rPr>
          <w:rFonts w:ascii="Times New Roman"/>
          <w:sz w:val="24"/>
          <w:szCs w:val="24"/>
        </w:rPr>
        <w:t>主要原辅材料理化性质见表3.3-6。</w:t>
      </w:r>
    </w:p>
    <w:p w14:paraId="1B406931">
      <w:pPr>
        <w:pStyle w:val="32"/>
        <w:rPr>
          <w:rFonts w:ascii="Times New Roman"/>
          <w:sz w:val="24"/>
          <w:szCs w:val="24"/>
        </w:rPr>
      </w:pPr>
    </w:p>
    <w:p w14:paraId="3FD51B31">
      <w:pPr>
        <w:pStyle w:val="32"/>
        <w:rPr>
          <w:rFonts w:ascii="Times New Roman"/>
          <w:sz w:val="24"/>
          <w:szCs w:val="24"/>
        </w:rPr>
      </w:pPr>
    </w:p>
    <w:p w14:paraId="259488AB">
      <w:pPr>
        <w:pStyle w:val="32"/>
        <w:rPr>
          <w:rFonts w:ascii="Times New Roman"/>
          <w:sz w:val="24"/>
          <w:szCs w:val="24"/>
        </w:rPr>
      </w:pPr>
    </w:p>
    <w:p w14:paraId="60235090">
      <w:pPr>
        <w:pStyle w:val="32"/>
        <w:rPr>
          <w:rFonts w:ascii="Times New Roman"/>
          <w:sz w:val="24"/>
          <w:szCs w:val="24"/>
        </w:rPr>
      </w:pPr>
    </w:p>
    <w:p w14:paraId="57E1FBD0">
      <w:pPr>
        <w:spacing w:line="480" w:lineRule="exact"/>
        <w:jc w:val="center"/>
        <w:rPr>
          <w:rFonts w:ascii="Times New Roman"/>
          <w:b/>
          <w:sz w:val="24"/>
          <w:szCs w:val="24"/>
        </w:rPr>
      </w:pPr>
      <w:r>
        <w:rPr>
          <w:rFonts w:ascii="Times New Roman"/>
          <w:b/>
          <w:sz w:val="24"/>
          <w:szCs w:val="24"/>
        </w:rPr>
        <w:t>表3.3-6  主要原辅材料理化性质一览表</w:t>
      </w:r>
    </w:p>
    <w:tbl>
      <w:tblPr>
        <w:tblStyle w:val="84"/>
        <w:tblW w:w="50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8"/>
        <w:gridCol w:w="744"/>
        <w:gridCol w:w="6991"/>
      </w:tblGrid>
      <w:tr w14:paraId="3788C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 w:hRule="atLeast"/>
          <w:jc w:val="center"/>
        </w:trPr>
        <w:tc>
          <w:tcPr>
            <w:tcW w:w="364" w:type="pct"/>
            <w:tcBorders>
              <w:bottom w:val="single" w:color="auto" w:sz="4" w:space="0"/>
              <w:tl2br w:val="nil"/>
              <w:tr2bl w:val="nil"/>
            </w:tcBorders>
            <w:vAlign w:val="center"/>
          </w:tcPr>
          <w:p w14:paraId="64B84D99">
            <w:pPr>
              <w:pStyle w:val="1979"/>
              <w:adjustRightInd w:val="0"/>
              <w:snapToGrid w:val="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序号</w:t>
            </w:r>
          </w:p>
        </w:tc>
        <w:tc>
          <w:tcPr>
            <w:tcW w:w="446" w:type="pct"/>
            <w:tcBorders>
              <w:bottom w:val="single" w:color="auto" w:sz="4" w:space="0"/>
              <w:tl2br w:val="nil"/>
              <w:tr2bl w:val="nil"/>
            </w:tcBorders>
            <w:vAlign w:val="center"/>
          </w:tcPr>
          <w:p w14:paraId="1E89EAE0">
            <w:pPr>
              <w:pStyle w:val="1979"/>
              <w:adjustRightInd w:val="0"/>
              <w:snapToGrid w:val="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名称</w:t>
            </w:r>
          </w:p>
        </w:tc>
        <w:tc>
          <w:tcPr>
            <w:tcW w:w="4188" w:type="pct"/>
            <w:tcBorders>
              <w:bottom w:val="single" w:color="auto" w:sz="4" w:space="0"/>
              <w:tl2br w:val="nil"/>
              <w:tr2bl w:val="nil"/>
            </w:tcBorders>
            <w:vAlign w:val="center"/>
          </w:tcPr>
          <w:p w14:paraId="11978C2D">
            <w:pPr>
              <w:pStyle w:val="1979"/>
              <w:adjustRightInd w:val="0"/>
              <w:snapToGrid w:val="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理化性质</w:t>
            </w:r>
          </w:p>
        </w:tc>
      </w:tr>
      <w:tr w14:paraId="43A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jc w:val="center"/>
        </w:trPr>
        <w:tc>
          <w:tcPr>
            <w:tcW w:w="364" w:type="pct"/>
            <w:tcBorders>
              <w:top w:val="single" w:color="auto" w:sz="4" w:space="0"/>
              <w:bottom w:val="single" w:color="auto" w:sz="4" w:space="0"/>
              <w:tl2br w:val="nil"/>
              <w:tr2bl w:val="nil"/>
            </w:tcBorders>
            <w:vAlign w:val="center"/>
          </w:tcPr>
          <w:p w14:paraId="2E0CED0E">
            <w:pPr>
              <w:widowControl/>
              <w:jc w:val="center"/>
              <w:rPr>
                <w:rFonts w:ascii="Times New Roman" w:eastAsiaTheme="minorEastAsia"/>
                <w:kern w:val="0"/>
                <w:sz w:val="21"/>
                <w:szCs w:val="21"/>
              </w:rPr>
            </w:pPr>
            <w:r>
              <w:rPr>
                <w:rFonts w:ascii="Times New Roman" w:eastAsiaTheme="minorEastAsia"/>
                <w:kern w:val="0"/>
                <w:sz w:val="21"/>
                <w:szCs w:val="21"/>
              </w:rPr>
              <w:t>1</w:t>
            </w:r>
          </w:p>
        </w:tc>
        <w:tc>
          <w:tcPr>
            <w:tcW w:w="446" w:type="pct"/>
            <w:tcBorders>
              <w:top w:val="single" w:color="auto" w:sz="4" w:space="0"/>
              <w:bottom w:val="single" w:color="auto" w:sz="4" w:space="0"/>
              <w:tl2br w:val="nil"/>
              <w:tr2bl w:val="nil"/>
            </w:tcBorders>
            <w:vAlign w:val="center"/>
          </w:tcPr>
          <w:p w14:paraId="09D272E1">
            <w:pPr>
              <w:widowControl/>
              <w:jc w:val="center"/>
              <w:rPr>
                <w:rFonts w:ascii="Times New Roman" w:eastAsiaTheme="minorEastAsia"/>
                <w:kern w:val="0"/>
                <w:sz w:val="21"/>
                <w:szCs w:val="21"/>
              </w:rPr>
            </w:pPr>
            <w:r>
              <w:rPr>
                <w:rFonts w:ascii="Times New Roman" w:eastAsiaTheme="minorEastAsia"/>
                <w:kern w:val="0"/>
                <w:sz w:val="21"/>
                <w:szCs w:val="21"/>
              </w:rPr>
              <w:t>环氧富锌底漆</w:t>
            </w:r>
          </w:p>
        </w:tc>
        <w:tc>
          <w:tcPr>
            <w:tcW w:w="4188" w:type="pct"/>
            <w:tcBorders>
              <w:top w:val="single" w:color="auto" w:sz="4" w:space="0"/>
              <w:bottom w:val="single" w:color="auto" w:sz="4" w:space="0"/>
              <w:tl2br w:val="nil"/>
              <w:tr2bl w:val="nil"/>
            </w:tcBorders>
          </w:tcPr>
          <w:p w14:paraId="2AC6B48D">
            <w:pPr>
              <w:widowControl/>
              <w:jc w:val="center"/>
              <w:rPr>
                <w:rFonts w:ascii="Times New Roman" w:eastAsiaTheme="minorEastAsia"/>
                <w:kern w:val="0"/>
                <w:sz w:val="21"/>
                <w:szCs w:val="21"/>
              </w:rPr>
            </w:pPr>
            <w:r>
              <w:rPr>
                <w:rFonts w:ascii="Times New Roman" w:eastAsiaTheme="minorEastAsia"/>
                <w:kern w:val="0"/>
                <w:sz w:val="21"/>
                <w:szCs w:val="21"/>
              </w:rPr>
              <w:t>环氧富锌底漆是以环氧树脂、锌粉</w:t>
            </w:r>
            <w:r>
              <w:rPr>
                <w:rFonts w:hint="eastAsia" w:ascii="Times New Roman" w:eastAsiaTheme="minorEastAsia"/>
                <w:kern w:val="0"/>
                <w:sz w:val="21"/>
                <w:szCs w:val="21"/>
              </w:rPr>
              <w:t>、碳酸二甲酯（DMC）、二甲苯等组成</w:t>
            </w:r>
            <w:r>
              <w:rPr>
                <w:rFonts w:ascii="Times New Roman" w:eastAsiaTheme="minorEastAsia"/>
                <w:kern w:val="0"/>
                <w:sz w:val="21"/>
                <w:szCs w:val="21"/>
              </w:rPr>
              <w:t>。</w:t>
            </w:r>
            <w:r>
              <w:rPr>
                <w:rFonts w:hint="eastAsia" w:ascii="Times New Roman" w:eastAsiaTheme="minorEastAsia"/>
                <w:kern w:val="0"/>
                <w:sz w:val="21"/>
                <w:szCs w:val="21"/>
              </w:rPr>
              <w:t>密度：约2.2g/cm</w:t>
            </w:r>
            <w:r>
              <w:rPr>
                <w:rFonts w:hint="eastAsia" w:ascii="Times New Roman" w:eastAsiaTheme="minorEastAsia"/>
                <w:kern w:val="0"/>
                <w:sz w:val="21"/>
                <w:szCs w:val="21"/>
                <w:vertAlign w:val="superscript"/>
              </w:rPr>
              <w:t>3</w:t>
            </w:r>
            <w:r>
              <w:rPr>
                <w:rFonts w:hint="eastAsia" w:ascii="Times New Roman" w:eastAsiaTheme="minorEastAsia"/>
                <w:kern w:val="0"/>
                <w:sz w:val="21"/>
                <w:szCs w:val="21"/>
              </w:rPr>
              <w:t>（2</w:t>
            </w:r>
            <w:r>
              <w:rPr>
                <w:rFonts w:ascii="Times New Roman" w:eastAsiaTheme="minorEastAsia"/>
                <w:kern w:val="0"/>
                <w:sz w:val="21"/>
                <w:szCs w:val="21"/>
              </w:rPr>
              <w:t>0℃）</w:t>
            </w:r>
            <w:r>
              <w:rPr>
                <w:rFonts w:hint="eastAsia" w:ascii="Times New Roman" w:eastAsiaTheme="minorEastAsia"/>
                <w:kern w:val="0"/>
                <w:sz w:val="21"/>
                <w:szCs w:val="21"/>
              </w:rPr>
              <w:t>；沸点范围：</w:t>
            </w:r>
            <w:r>
              <w:rPr>
                <w:rFonts w:ascii="Times New Roman" w:eastAsiaTheme="minorEastAsia"/>
                <w:kern w:val="0"/>
                <w:sz w:val="21"/>
                <w:szCs w:val="21"/>
              </w:rPr>
              <w:t>约127℃</w:t>
            </w:r>
            <w:r>
              <w:rPr>
                <w:rFonts w:hint="eastAsia" w:ascii="Times New Roman" w:eastAsiaTheme="minorEastAsia"/>
                <w:kern w:val="0"/>
                <w:sz w:val="21"/>
                <w:szCs w:val="21"/>
              </w:rPr>
              <w:t>；爆炸界限：低于容积1.0%；高于容积8.0%（二甲苯）；微溶于水；半数致死量剂LD</w:t>
            </w:r>
            <w:r>
              <w:rPr>
                <w:rFonts w:hint="eastAsia" w:ascii="Times New Roman" w:eastAsiaTheme="minorEastAsia"/>
                <w:kern w:val="0"/>
                <w:sz w:val="21"/>
                <w:szCs w:val="21"/>
                <w:vertAlign w:val="subscript"/>
              </w:rPr>
              <w:t>50</w:t>
            </w:r>
            <w:r>
              <w:rPr>
                <w:rFonts w:hint="eastAsia" w:ascii="Times New Roman" w:eastAsiaTheme="minorEastAsia"/>
                <w:kern w:val="0"/>
                <w:sz w:val="21"/>
                <w:szCs w:val="21"/>
              </w:rPr>
              <w:t>，鼠，口服：＞5000mg/kg。储存于阴凉、通风良好的专用库房内。</w:t>
            </w:r>
          </w:p>
        </w:tc>
      </w:tr>
      <w:tr w14:paraId="2AC48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364" w:type="pct"/>
            <w:tcBorders>
              <w:top w:val="single" w:color="auto" w:sz="4" w:space="0"/>
              <w:bottom w:val="single" w:color="auto" w:sz="4" w:space="0"/>
              <w:tl2br w:val="nil"/>
              <w:tr2bl w:val="nil"/>
            </w:tcBorders>
            <w:vAlign w:val="center"/>
          </w:tcPr>
          <w:p w14:paraId="49C025DA">
            <w:pPr>
              <w:widowControl/>
              <w:jc w:val="center"/>
              <w:rPr>
                <w:rFonts w:ascii="Times New Roman" w:eastAsiaTheme="minorEastAsia"/>
                <w:kern w:val="0"/>
                <w:sz w:val="21"/>
                <w:szCs w:val="21"/>
              </w:rPr>
            </w:pPr>
            <w:r>
              <w:rPr>
                <w:rFonts w:ascii="Times New Roman" w:eastAsiaTheme="minorEastAsia"/>
                <w:kern w:val="0"/>
                <w:sz w:val="21"/>
                <w:szCs w:val="21"/>
              </w:rPr>
              <w:t>2</w:t>
            </w:r>
          </w:p>
        </w:tc>
        <w:tc>
          <w:tcPr>
            <w:tcW w:w="446" w:type="pct"/>
            <w:tcBorders>
              <w:top w:val="single" w:color="auto" w:sz="4" w:space="0"/>
              <w:bottom w:val="single" w:color="auto" w:sz="4" w:space="0"/>
              <w:tl2br w:val="nil"/>
              <w:tr2bl w:val="nil"/>
            </w:tcBorders>
            <w:vAlign w:val="center"/>
          </w:tcPr>
          <w:p w14:paraId="0E731551">
            <w:pPr>
              <w:widowControl/>
              <w:jc w:val="center"/>
              <w:rPr>
                <w:rFonts w:ascii="Times New Roman" w:eastAsiaTheme="minorEastAsia"/>
                <w:kern w:val="0"/>
                <w:sz w:val="21"/>
                <w:szCs w:val="21"/>
              </w:rPr>
            </w:pPr>
            <w:r>
              <w:rPr>
                <w:rFonts w:ascii="Times New Roman" w:eastAsiaTheme="minorEastAsia"/>
                <w:kern w:val="0"/>
                <w:sz w:val="21"/>
                <w:szCs w:val="21"/>
              </w:rPr>
              <w:t>环氧云铁中间漆</w:t>
            </w:r>
          </w:p>
        </w:tc>
        <w:tc>
          <w:tcPr>
            <w:tcW w:w="4188" w:type="pct"/>
            <w:tcBorders>
              <w:top w:val="single" w:color="auto" w:sz="4" w:space="0"/>
              <w:bottom w:val="single" w:color="auto" w:sz="4" w:space="0"/>
              <w:tl2br w:val="nil"/>
              <w:tr2bl w:val="nil"/>
            </w:tcBorders>
          </w:tcPr>
          <w:p w14:paraId="4276CE8E">
            <w:pPr>
              <w:widowControl/>
              <w:jc w:val="center"/>
              <w:rPr>
                <w:rFonts w:ascii="Times New Roman" w:eastAsiaTheme="minorEastAsia"/>
                <w:kern w:val="0"/>
                <w:sz w:val="21"/>
                <w:szCs w:val="21"/>
              </w:rPr>
            </w:pPr>
            <w:r>
              <w:rPr>
                <w:rFonts w:ascii="Times New Roman" w:eastAsiaTheme="minorEastAsia"/>
                <w:kern w:val="0"/>
                <w:sz w:val="21"/>
                <w:szCs w:val="21"/>
              </w:rPr>
              <w:t>环氧云铁中涂漆是由环氧树脂</w:t>
            </w:r>
            <w:r>
              <w:rPr>
                <w:rFonts w:hint="eastAsia" w:ascii="Times New Roman" w:eastAsiaTheme="minorEastAsia"/>
                <w:kern w:val="0"/>
                <w:sz w:val="21"/>
                <w:szCs w:val="21"/>
              </w:rPr>
              <w:t>、碳酸二甲酯（DMC）、云母氧化铁灰、二甲苯</w:t>
            </w:r>
            <w:r>
              <w:rPr>
                <w:rFonts w:ascii="Times New Roman" w:eastAsiaTheme="minorEastAsia"/>
                <w:kern w:val="0"/>
                <w:sz w:val="21"/>
                <w:szCs w:val="21"/>
              </w:rPr>
              <w:t>等组成。密度：约1.8g/cm</w:t>
            </w:r>
            <w:r>
              <w:rPr>
                <w:rFonts w:ascii="Times New Roman" w:eastAsiaTheme="minorEastAsia"/>
                <w:kern w:val="0"/>
                <w:sz w:val="21"/>
                <w:szCs w:val="21"/>
                <w:vertAlign w:val="superscript"/>
              </w:rPr>
              <w:t>3</w:t>
            </w:r>
            <w:r>
              <w:rPr>
                <w:rFonts w:ascii="Times New Roman" w:eastAsiaTheme="minorEastAsia"/>
                <w:kern w:val="0"/>
                <w:sz w:val="21"/>
                <w:szCs w:val="21"/>
              </w:rPr>
              <w:t>（20℃）；沸点范围：约127℃；爆炸界限：低于容积1.0%；高于容积8.0%（二甲苯）；微溶于水；半数致死量剂LD</w:t>
            </w:r>
            <w:r>
              <w:rPr>
                <w:rFonts w:ascii="Times New Roman" w:eastAsiaTheme="minorEastAsia"/>
                <w:kern w:val="0"/>
                <w:sz w:val="21"/>
                <w:szCs w:val="21"/>
                <w:vertAlign w:val="subscript"/>
              </w:rPr>
              <w:t>50</w:t>
            </w:r>
            <w:r>
              <w:rPr>
                <w:rFonts w:ascii="Times New Roman" w:eastAsiaTheme="minorEastAsia"/>
                <w:kern w:val="0"/>
                <w:sz w:val="21"/>
                <w:szCs w:val="21"/>
              </w:rPr>
              <w:t>，鼠，口服：＞5000mg/kg。储存于阴凉、通风良好的专用库房内。</w:t>
            </w:r>
          </w:p>
        </w:tc>
      </w:tr>
      <w:tr w14:paraId="6008D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jc w:val="center"/>
        </w:trPr>
        <w:tc>
          <w:tcPr>
            <w:tcW w:w="364" w:type="pct"/>
            <w:tcBorders>
              <w:top w:val="single" w:color="auto" w:sz="4" w:space="0"/>
              <w:bottom w:val="single" w:color="auto" w:sz="4" w:space="0"/>
              <w:tl2br w:val="nil"/>
              <w:tr2bl w:val="nil"/>
            </w:tcBorders>
            <w:vAlign w:val="center"/>
          </w:tcPr>
          <w:p w14:paraId="7BD41083">
            <w:pPr>
              <w:widowControl/>
              <w:jc w:val="center"/>
              <w:rPr>
                <w:rFonts w:ascii="Times New Roman" w:eastAsiaTheme="minorEastAsia"/>
                <w:kern w:val="0"/>
                <w:sz w:val="21"/>
                <w:szCs w:val="21"/>
              </w:rPr>
            </w:pPr>
            <w:r>
              <w:rPr>
                <w:rFonts w:ascii="Times New Roman" w:eastAsiaTheme="minorEastAsia"/>
                <w:kern w:val="0"/>
                <w:sz w:val="21"/>
                <w:szCs w:val="21"/>
              </w:rPr>
              <w:t>3</w:t>
            </w:r>
          </w:p>
        </w:tc>
        <w:tc>
          <w:tcPr>
            <w:tcW w:w="446" w:type="pct"/>
            <w:tcBorders>
              <w:top w:val="single" w:color="auto" w:sz="4" w:space="0"/>
              <w:bottom w:val="single" w:color="auto" w:sz="4" w:space="0"/>
              <w:tl2br w:val="nil"/>
              <w:tr2bl w:val="nil"/>
            </w:tcBorders>
            <w:vAlign w:val="center"/>
          </w:tcPr>
          <w:p w14:paraId="79BB1449">
            <w:pPr>
              <w:widowControl/>
              <w:jc w:val="center"/>
              <w:rPr>
                <w:rFonts w:ascii="Times New Roman" w:eastAsiaTheme="minorEastAsia"/>
                <w:kern w:val="0"/>
                <w:sz w:val="21"/>
                <w:szCs w:val="21"/>
              </w:rPr>
            </w:pPr>
            <w:r>
              <w:rPr>
                <w:rFonts w:ascii="Times New Roman" w:eastAsiaTheme="minorEastAsia"/>
                <w:kern w:val="0"/>
                <w:sz w:val="21"/>
                <w:szCs w:val="21"/>
              </w:rPr>
              <w:t>聚氨酯面漆</w:t>
            </w:r>
          </w:p>
        </w:tc>
        <w:tc>
          <w:tcPr>
            <w:tcW w:w="4188" w:type="pct"/>
            <w:tcBorders>
              <w:top w:val="single" w:color="auto" w:sz="4" w:space="0"/>
              <w:bottom w:val="single" w:color="auto" w:sz="4" w:space="0"/>
              <w:tl2br w:val="nil"/>
              <w:tr2bl w:val="nil"/>
            </w:tcBorders>
          </w:tcPr>
          <w:p w14:paraId="490D563F">
            <w:pPr>
              <w:widowControl/>
              <w:jc w:val="center"/>
              <w:rPr>
                <w:rFonts w:ascii="Times New Roman" w:eastAsiaTheme="minorEastAsia"/>
                <w:kern w:val="0"/>
                <w:sz w:val="21"/>
                <w:szCs w:val="21"/>
              </w:rPr>
            </w:pPr>
            <w:r>
              <w:rPr>
                <w:rFonts w:ascii="Times New Roman" w:eastAsiaTheme="minorEastAsia"/>
                <w:kern w:val="0"/>
                <w:sz w:val="21"/>
                <w:szCs w:val="21"/>
              </w:rPr>
              <w:t>聚氨酯漆即聚氨基甲酸酯漆。</w:t>
            </w:r>
            <w:r>
              <w:rPr>
                <w:rFonts w:hint="eastAsia" w:ascii="Times New Roman" w:eastAsiaTheme="minorEastAsia"/>
                <w:kern w:val="0"/>
                <w:sz w:val="21"/>
                <w:szCs w:val="21"/>
              </w:rPr>
              <w:t>由聚氨酯树脂、钛白粉、填料和助剂、二甲苯等组成。</w:t>
            </w:r>
            <w:r>
              <w:rPr>
                <w:rFonts w:ascii="Times New Roman" w:eastAsiaTheme="minorEastAsia"/>
                <w:kern w:val="0"/>
                <w:sz w:val="21"/>
                <w:szCs w:val="21"/>
              </w:rPr>
              <w:t>密度：约0.861g/cm</w:t>
            </w:r>
            <w:r>
              <w:rPr>
                <w:rFonts w:ascii="Times New Roman" w:eastAsiaTheme="minorEastAsia"/>
                <w:kern w:val="0"/>
                <w:sz w:val="21"/>
                <w:szCs w:val="21"/>
                <w:vertAlign w:val="superscript"/>
              </w:rPr>
              <w:t>3</w:t>
            </w:r>
            <w:r>
              <w:rPr>
                <w:rFonts w:ascii="Times New Roman" w:eastAsiaTheme="minorEastAsia"/>
                <w:kern w:val="0"/>
                <w:sz w:val="21"/>
                <w:szCs w:val="21"/>
              </w:rPr>
              <w:t>；</w:t>
            </w:r>
            <w:r>
              <w:rPr>
                <w:rFonts w:hint="eastAsia" w:ascii="Times New Roman" w:eastAsiaTheme="minorEastAsia"/>
                <w:kern w:val="0"/>
                <w:sz w:val="21"/>
                <w:szCs w:val="21"/>
              </w:rPr>
              <w:t>熔</w:t>
            </w:r>
            <w:r>
              <w:rPr>
                <w:rFonts w:ascii="Times New Roman" w:eastAsiaTheme="minorEastAsia"/>
                <w:kern w:val="0"/>
                <w:sz w:val="21"/>
                <w:szCs w:val="21"/>
              </w:rPr>
              <w:t>点</w:t>
            </w:r>
            <w:r>
              <w:rPr>
                <w:rFonts w:hint="eastAsia" w:ascii="Times New Roman" w:eastAsiaTheme="minorEastAsia"/>
                <w:kern w:val="0"/>
                <w:sz w:val="21"/>
                <w:szCs w:val="21"/>
              </w:rPr>
              <w:t>/凝固点</w:t>
            </w:r>
            <w:r>
              <w:rPr>
                <w:rFonts w:ascii="Times New Roman" w:eastAsiaTheme="minorEastAsia"/>
                <w:kern w:val="0"/>
                <w:sz w:val="21"/>
                <w:szCs w:val="21"/>
              </w:rPr>
              <w:t>：13.2℃；沸点或初沸点（℃）</w:t>
            </w:r>
            <w:r>
              <w:rPr>
                <w:rFonts w:hint="eastAsia" w:ascii="Times New Roman" w:eastAsiaTheme="minorEastAsia"/>
                <w:kern w:val="0"/>
                <w:sz w:val="21"/>
                <w:szCs w:val="21"/>
              </w:rPr>
              <w:t>：</w:t>
            </w:r>
            <w:r>
              <w:rPr>
                <w:rFonts w:ascii="Times New Roman" w:eastAsiaTheme="minorEastAsia"/>
                <w:kern w:val="0"/>
                <w:sz w:val="21"/>
                <w:szCs w:val="21"/>
              </w:rPr>
              <w:t>1</w:t>
            </w:r>
            <w:r>
              <w:rPr>
                <w:rFonts w:hint="eastAsia" w:ascii="Times New Roman" w:eastAsiaTheme="minorEastAsia"/>
                <w:kern w:val="0"/>
                <w:sz w:val="21"/>
                <w:szCs w:val="21"/>
              </w:rPr>
              <w:t>38.4</w:t>
            </w:r>
            <w:r>
              <w:rPr>
                <w:rFonts w:ascii="Times New Roman" w:eastAsiaTheme="minorEastAsia"/>
                <w:kern w:val="0"/>
                <w:sz w:val="21"/>
                <w:szCs w:val="21"/>
              </w:rPr>
              <w:t>℃；爆炸</w:t>
            </w:r>
            <w:r>
              <w:rPr>
                <w:rFonts w:hint="eastAsia" w:ascii="Times New Roman" w:eastAsiaTheme="minorEastAsia"/>
                <w:kern w:val="0"/>
                <w:sz w:val="21"/>
                <w:szCs w:val="21"/>
              </w:rPr>
              <w:t>上</w:t>
            </w:r>
            <w:r>
              <w:rPr>
                <w:rFonts w:ascii="Times New Roman" w:eastAsiaTheme="minorEastAsia"/>
                <w:kern w:val="0"/>
                <w:sz w:val="21"/>
                <w:szCs w:val="21"/>
              </w:rPr>
              <w:t>限：</w:t>
            </w:r>
            <w:r>
              <w:rPr>
                <w:rFonts w:hint="eastAsia" w:ascii="Times New Roman" w:eastAsiaTheme="minorEastAsia"/>
                <w:kern w:val="0"/>
                <w:sz w:val="21"/>
                <w:szCs w:val="21"/>
              </w:rPr>
              <w:t>6.6</w:t>
            </w:r>
            <w:r>
              <w:rPr>
                <w:rFonts w:ascii="Times New Roman" w:eastAsiaTheme="minorEastAsia"/>
                <w:kern w:val="0"/>
                <w:sz w:val="21"/>
                <w:szCs w:val="21"/>
              </w:rPr>
              <w:t>[%(v/v)]；</w:t>
            </w:r>
            <w:r>
              <w:rPr>
                <w:rFonts w:hint="eastAsia" w:ascii="Times New Roman" w:eastAsiaTheme="minorEastAsia"/>
                <w:kern w:val="0"/>
                <w:sz w:val="21"/>
                <w:szCs w:val="21"/>
              </w:rPr>
              <w:t>可燃，不溶于水，与乙醇、苯、丙酮等混溶</w:t>
            </w:r>
            <w:r>
              <w:rPr>
                <w:rFonts w:ascii="Times New Roman" w:eastAsiaTheme="minorEastAsia"/>
                <w:kern w:val="0"/>
                <w:sz w:val="21"/>
                <w:szCs w:val="21"/>
              </w:rPr>
              <w:t>；半数致死量剂LD</w:t>
            </w:r>
            <w:r>
              <w:rPr>
                <w:rFonts w:ascii="Times New Roman" w:eastAsiaTheme="minorEastAsia"/>
                <w:kern w:val="0"/>
                <w:sz w:val="21"/>
                <w:szCs w:val="21"/>
                <w:vertAlign w:val="subscript"/>
              </w:rPr>
              <w:t>50</w:t>
            </w:r>
            <w:r>
              <w:rPr>
                <w:rFonts w:ascii="Times New Roman" w:eastAsiaTheme="minorEastAsia"/>
                <w:kern w:val="0"/>
                <w:sz w:val="21"/>
                <w:szCs w:val="21"/>
              </w:rPr>
              <w:t>，鼠，口服=5000mg/kg；LC</w:t>
            </w:r>
            <w:r>
              <w:rPr>
                <w:rFonts w:ascii="Times New Roman" w:eastAsiaTheme="minorEastAsia"/>
                <w:kern w:val="0"/>
                <w:sz w:val="21"/>
                <w:szCs w:val="21"/>
                <w:vertAlign w:val="subscript"/>
              </w:rPr>
              <w:t>50</w:t>
            </w:r>
            <w:r>
              <w:rPr>
                <w:rFonts w:ascii="Times New Roman" w:eastAsiaTheme="minorEastAsia"/>
                <w:kern w:val="0"/>
                <w:sz w:val="21"/>
                <w:szCs w:val="21"/>
              </w:rPr>
              <w:t>=19747mg/kg，4小时(大鼠吸入)。在常温环境温度下储存和使用。</w:t>
            </w:r>
          </w:p>
        </w:tc>
      </w:tr>
      <w:tr w14:paraId="62A42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364" w:type="pct"/>
            <w:tcBorders>
              <w:top w:val="single" w:color="auto" w:sz="4" w:space="0"/>
              <w:bottom w:val="single" w:color="auto" w:sz="4" w:space="0"/>
              <w:tl2br w:val="nil"/>
              <w:tr2bl w:val="nil"/>
            </w:tcBorders>
            <w:vAlign w:val="center"/>
          </w:tcPr>
          <w:p w14:paraId="57475501">
            <w:pPr>
              <w:widowControl/>
              <w:jc w:val="center"/>
              <w:rPr>
                <w:rFonts w:ascii="Times New Roman" w:eastAsiaTheme="minorEastAsia"/>
                <w:kern w:val="0"/>
                <w:sz w:val="21"/>
                <w:szCs w:val="21"/>
              </w:rPr>
            </w:pPr>
            <w:r>
              <w:rPr>
                <w:rFonts w:ascii="Times New Roman" w:eastAsiaTheme="minorEastAsia"/>
                <w:kern w:val="0"/>
                <w:sz w:val="21"/>
                <w:szCs w:val="21"/>
              </w:rPr>
              <w:t>4</w:t>
            </w:r>
          </w:p>
        </w:tc>
        <w:tc>
          <w:tcPr>
            <w:tcW w:w="446" w:type="pct"/>
            <w:tcBorders>
              <w:top w:val="single" w:color="auto" w:sz="4" w:space="0"/>
              <w:bottom w:val="single" w:color="auto" w:sz="4" w:space="0"/>
              <w:tl2br w:val="nil"/>
              <w:tr2bl w:val="nil"/>
            </w:tcBorders>
            <w:vAlign w:val="center"/>
          </w:tcPr>
          <w:p w14:paraId="6587CCC5">
            <w:pPr>
              <w:widowControl/>
              <w:jc w:val="center"/>
              <w:rPr>
                <w:rFonts w:ascii="Times New Roman" w:eastAsiaTheme="minorEastAsia"/>
                <w:kern w:val="0"/>
                <w:sz w:val="21"/>
                <w:szCs w:val="21"/>
              </w:rPr>
            </w:pPr>
            <w:r>
              <w:rPr>
                <w:rFonts w:ascii="Times New Roman" w:eastAsiaTheme="minorEastAsia"/>
                <w:kern w:val="0"/>
                <w:sz w:val="21"/>
                <w:szCs w:val="21"/>
              </w:rPr>
              <w:t>环氧电泳漆</w:t>
            </w:r>
          </w:p>
        </w:tc>
        <w:tc>
          <w:tcPr>
            <w:tcW w:w="4188" w:type="pct"/>
            <w:tcBorders>
              <w:top w:val="single" w:color="auto" w:sz="4" w:space="0"/>
              <w:bottom w:val="single" w:color="auto" w:sz="4" w:space="0"/>
              <w:tl2br w:val="nil"/>
              <w:tr2bl w:val="nil"/>
            </w:tcBorders>
          </w:tcPr>
          <w:p w14:paraId="746B4326">
            <w:pPr>
              <w:widowControl/>
              <w:jc w:val="center"/>
              <w:rPr>
                <w:rFonts w:ascii="Times New Roman" w:eastAsiaTheme="minorEastAsia"/>
                <w:kern w:val="0"/>
                <w:sz w:val="21"/>
                <w:szCs w:val="21"/>
              </w:rPr>
            </w:pPr>
            <w:r>
              <w:rPr>
                <w:rFonts w:ascii="Times New Roman" w:eastAsiaTheme="minorEastAsia"/>
                <w:sz w:val="21"/>
                <w:szCs w:val="21"/>
              </w:rPr>
              <w:t>乳液：物质状态：液体；颜色：乳状色；分解温度：无适用信息；气味</w:t>
            </w:r>
            <w:r>
              <w:rPr>
                <w:rFonts w:ascii="Times New Roman" w:eastAsiaTheme="minorEastAsia"/>
                <w:kern w:val="0"/>
                <w:sz w:val="21"/>
                <w:szCs w:val="21"/>
              </w:rPr>
              <w:t>：轻微刺激性气味；闪点：闭杯法大于95℃（本产品不助燃）。</w:t>
            </w:r>
          </w:p>
          <w:p w14:paraId="697D923D">
            <w:pPr>
              <w:widowControl/>
              <w:jc w:val="center"/>
              <w:rPr>
                <w:rFonts w:ascii="Times New Roman" w:eastAsiaTheme="minorEastAsia"/>
                <w:sz w:val="21"/>
                <w:szCs w:val="21"/>
              </w:rPr>
            </w:pPr>
            <w:r>
              <w:rPr>
                <w:rFonts w:ascii="Times New Roman" w:eastAsiaTheme="minorEastAsia"/>
                <w:kern w:val="0"/>
                <w:sz w:val="21"/>
                <w:szCs w:val="21"/>
              </w:rPr>
              <w:t>灰浆：物质状态：液体；颜色：灰色；分解温度：无适用信息；气味：轻微刺激性气味；闪点：闭杯法大于95℃（本产品不助燃）。</w:t>
            </w:r>
          </w:p>
        </w:tc>
      </w:tr>
      <w:tr w14:paraId="62CF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jc w:val="center"/>
        </w:trPr>
        <w:tc>
          <w:tcPr>
            <w:tcW w:w="364" w:type="pct"/>
            <w:tcBorders>
              <w:top w:val="single" w:color="auto" w:sz="4" w:space="0"/>
              <w:tl2br w:val="nil"/>
              <w:tr2bl w:val="nil"/>
            </w:tcBorders>
            <w:vAlign w:val="center"/>
          </w:tcPr>
          <w:p w14:paraId="54563903">
            <w:pPr>
              <w:widowControl/>
              <w:jc w:val="center"/>
              <w:rPr>
                <w:rFonts w:ascii="Times New Roman" w:eastAsiaTheme="minorEastAsia"/>
                <w:kern w:val="0"/>
                <w:sz w:val="21"/>
                <w:szCs w:val="21"/>
              </w:rPr>
            </w:pPr>
            <w:r>
              <w:rPr>
                <w:rFonts w:ascii="Times New Roman" w:eastAsiaTheme="minorEastAsia"/>
                <w:kern w:val="0"/>
                <w:sz w:val="21"/>
                <w:szCs w:val="21"/>
              </w:rPr>
              <w:t>5</w:t>
            </w:r>
          </w:p>
        </w:tc>
        <w:tc>
          <w:tcPr>
            <w:tcW w:w="446" w:type="pct"/>
            <w:tcBorders>
              <w:top w:val="single" w:color="auto" w:sz="4" w:space="0"/>
              <w:tl2br w:val="nil"/>
              <w:tr2bl w:val="nil"/>
            </w:tcBorders>
            <w:vAlign w:val="center"/>
          </w:tcPr>
          <w:p w14:paraId="74DEFF7A">
            <w:pPr>
              <w:widowControl/>
              <w:jc w:val="center"/>
              <w:rPr>
                <w:rFonts w:ascii="Times New Roman" w:eastAsiaTheme="minorEastAsia"/>
                <w:kern w:val="0"/>
                <w:sz w:val="21"/>
                <w:szCs w:val="21"/>
              </w:rPr>
            </w:pPr>
            <w:r>
              <w:rPr>
                <w:rFonts w:ascii="Times New Roman" w:eastAsiaTheme="minorEastAsia"/>
                <w:kern w:val="0"/>
                <w:sz w:val="21"/>
                <w:szCs w:val="21"/>
              </w:rPr>
              <w:t>稀释剂</w:t>
            </w:r>
          </w:p>
        </w:tc>
        <w:tc>
          <w:tcPr>
            <w:tcW w:w="4188" w:type="pct"/>
            <w:tcBorders>
              <w:top w:val="single" w:color="auto" w:sz="4" w:space="0"/>
              <w:tl2br w:val="nil"/>
              <w:tr2bl w:val="nil"/>
            </w:tcBorders>
          </w:tcPr>
          <w:p w14:paraId="5900F1A5">
            <w:pPr>
              <w:widowControl/>
              <w:jc w:val="center"/>
              <w:rPr>
                <w:rFonts w:ascii="Times New Roman" w:eastAsiaTheme="minorEastAsia"/>
                <w:kern w:val="0"/>
                <w:sz w:val="21"/>
                <w:szCs w:val="21"/>
              </w:rPr>
            </w:pPr>
            <w:r>
              <w:rPr>
                <w:rFonts w:ascii="Times New Roman" w:eastAsiaTheme="minorEastAsia"/>
                <w:kern w:val="0"/>
                <w:sz w:val="21"/>
                <w:szCs w:val="21"/>
              </w:rPr>
              <w:t>稀释剂一般为透明液体，具有无色、无味、无臭、低粘度等特点。稀释剂的密度一般在0.7-0.9g/cm</w:t>
            </w:r>
            <w:r>
              <w:rPr>
                <w:rFonts w:ascii="Times New Roman" w:eastAsiaTheme="minorEastAsia"/>
                <w:kern w:val="0"/>
                <w:sz w:val="21"/>
                <w:szCs w:val="21"/>
                <w:vertAlign w:val="superscript"/>
              </w:rPr>
              <w:t>3</w:t>
            </w:r>
            <w:r>
              <w:rPr>
                <w:rFonts w:ascii="Times New Roman" w:eastAsiaTheme="minorEastAsia"/>
                <w:kern w:val="0"/>
                <w:sz w:val="21"/>
                <w:szCs w:val="21"/>
              </w:rPr>
              <w:t>之间，比水的密度小；在室温下，稀释剂的蒸汽压力较低，不易挥发，可以长时间保存。稀释剂一般为有机物，化学稳定性较高，与其他物质不会发生反应。稀释剂对金属、橡胶、塑料等材料的腐蚀性较小，不会对容器产生破坏性影响。但是一些不良的稀释剂可能会产生有害气体，注意使用时应保持通风。</w:t>
            </w:r>
          </w:p>
        </w:tc>
      </w:tr>
      <w:tr w14:paraId="1FACB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4" w:type="pct"/>
            <w:tcBorders>
              <w:top w:val="single" w:color="auto" w:sz="4" w:space="0"/>
              <w:tl2br w:val="nil"/>
              <w:tr2bl w:val="nil"/>
            </w:tcBorders>
            <w:vAlign w:val="center"/>
          </w:tcPr>
          <w:p w14:paraId="20B790F5">
            <w:pPr>
              <w:widowControl/>
              <w:jc w:val="center"/>
              <w:rPr>
                <w:rFonts w:ascii="Times New Roman" w:eastAsiaTheme="minorEastAsia"/>
                <w:kern w:val="0"/>
                <w:sz w:val="21"/>
                <w:szCs w:val="21"/>
              </w:rPr>
            </w:pPr>
            <w:r>
              <w:rPr>
                <w:rFonts w:ascii="Times New Roman" w:eastAsiaTheme="minorEastAsia"/>
                <w:kern w:val="0"/>
                <w:sz w:val="21"/>
                <w:szCs w:val="21"/>
              </w:rPr>
              <w:t>6</w:t>
            </w:r>
          </w:p>
        </w:tc>
        <w:tc>
          <w:tcPr>
            <w:tcW w:w="446" w:type="pct"/>
            <w:tcBorders>
              <w:top w:val="single" w:color="auto" w:sz="4" w:space="0"/>
              <w:tl2br w:val="nil"/>
              <w:tr2bl w:val="nil"/>
            </w:tcBorders>
            <w:vAlign w:val="center"/>
          </w:tcPr>
          <w:p w14:paraId="1990B204">
            <w:pPr>
              <w:widowControl/>
              <w:jc w:val="center"/>
              <w:rPr>
                <w:rFonts w:ascii="Times New Roman" w:eastAsiaTheme="minorEastAsia"/>
                <w:kern w:val="0"/>
                <w:sz w:val="21"/>
                <w:szCs w:val="21"/>
              </w:rPr>
            </w:pPr>
            <w:r>
              <w:rPr>
                <w:rFonts w:ascii="Times New Roman" w:eastAsiaTheme="minorEastAsia"/>
                <w:kern w:val="0"/>
                <w:sz w:val="21"/>
                <w:szCs w:val="21"/>
              </w:rPr>
              <w:t>塑粉</w:t>
            </w:r>
          </w:p>
        </w:tc>
        <w:tc>
          <w:tcPr>
            <w:tcW w:w="4188" w:type="pct"/>
            <w:tcBorders>
              <w:top w:val="single" w:color="auto" w:sz="4" w:space="0"/>
              <w:tl2br w:val="nil"/>
              <w:tr2bl w:val="nil"/>
            </w:tcBorders>
          </w:tcPr>
          <w:p w14:paraId="53DBDD15">
            <w:pPr>
              <w:widowControl/>
              <w:jc w:val="center"/>
              <w:rPr>
                <w:rFonts w:ascii="Times New Roman" w:eastAsiaTheme="minorEastAsia"/>
                <w:kern w:val="0"/>
                <w:sz w:val="21"/>
                <w:szCs w:val="21"/>
              </w:rPr>
            </w:pPr>
            <w:r>
              <w:rPr>
                <w:rFonts w:ascii="Times New Roman" w:eastAsiaTheme="minorEastAsia"/>
                <w:kern w:val="0"/>
                <w:sz w:val="21"/>
                <w:szCs w:val="21"/>
              </w:rPr>
              <w:t>外观与性状：细粉，无刺激性气味；密度（23℃）：1.2-1.9g/cm</w:t>
            </w:r>
            <w:r>
              <w:rPr>
                <w:rFonts w:ascii="Times New Roman" w:eastAsiaTheme="minorEastAsia"/>
                <w:kern w:val="0"/>
                <w:sz w:val="21"/>
                <w:szCs w:val="21"/>
                <w:vertAlign w:val="superscript"/>
              </w:rPr>
              <w:t>3</w:t>
            </w:r>
            <w:r>
              <w:rPr>
                <w:rFonts w:ascii="Times New Roman" w:eastAsiaTheme="minorEastAsia"/>
                <w:kern w:val="0"/>
                <w:sz w:val="21"/>
                <w:szCs w:val="21"/>
              </w:rPr>
              <w:t>；</w:t>
            </w:r>
          </w:p>
          <w:p w14:paraId="71D8C545">
            <w:pPr>
              <w:widowControl/>
              <w:jc w:val="center"/>
              <w:rPr>
                <w:rFonts w:ascii="Times New Roman" w:eastAsiaTheme="minorEastAsia"/>
                <w:kern w:val="0"/>
                <w:sz w:val="21"/>
                <w:szCs w:val="21"/>
              </w:rPr>
            </w:pPr>
            <w:r>
              <w:rPr>
                <w:rFonts w:ascii="Times New Roman" w:eastAsiaTheme="minorEastAsia"/>
                <w:kern w:val="0"/>
                <w:sz w:val="21"/>
                <w:szCs w:val="21"/>
              </w:rPr>
              <w:t>粉尘和混合气的爆炸下限（g/cm</w:t>
            </w:r>
            <w:r>
              <w:rPr>
                <w:rFonts w:ascii="Times New Roman" w:eastAsiaTheme="minorEastAsia"/>
                <w:kern w:val="0"/>
                <w:sz w:val="21"/>
                <w:szCs w:val="21"/>
                <w:vertAlign w:val="superscript"/>
              </w:rPr>
              <w:t>3</w:t>
            </w:r>
            <w:r>
              <w:rPr>
                <w:rFonts w:ascii="Times New Roman" w:eastAsiaTheme="minorEastAsia"/>
                <w:kern w:val="0"/>
                <w:sz w:val="21"/>
                <w:szCs w:val="21"/>
              </w:rPr>
              <w:t>）：20-70；软化点：＞50℃；</w:t>
            </w:r>
          </w:p>
          <w:p w14:paraId="74A809DA">
            <w:pPr>
              <w:widowControl/>
              <w:jc w:val="center"/>
              <w:rPr>
                <w:rFonts w:ascii="Times New Roman" w:eastAsiaTheme="minorEastAsia"/>
                <w:kern w:val="0"/>
                <w:sz w:val="21"/>
                <w:szCs w:val="21"/>
              </w:rPr>
            </w:pPr>
            <w:r>
              <w:rPr>
                <w:rFonts w:ascii="Times New Roman" w:eastAsiaTheme="minorEastAsia"/>
                <w:kern w:val="0"/>
                <w:sz w:val="21"/>
                <w:szCs w:val="21"/>
              </w:rPr>
              <w:t>粉尘或混合气的引燃温度（℃）：450-600；溶解性（水）：不溶</w:t>
            </w:r>
          </w:p>
        </w:tc>
      </w:tr>
      <w:tr w14:paraId="68AC0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jc w:val="center"/>
        </w:trPr>
        <w:tc>
          <w:tcPr>
            <w:tcW w:w="364" w:type="pct"/>
            <w:tcBorders>
              <w:top w:val="single" w:color="auto" w:sz="4" w:space="0"/>
              <w:tl2br w:val="nil"/>
              <w:tr2bl w:val="nil"/>
            </w:tcBorders>
            <w:vAlign w:val="center"/>
          </w:tcPr>
          <w:p w14:paraId="2F29E4C8">
            <w:pPr>
              <w:widowControl/>
              <w:jc w:val="center"/>
              <w:rPr>
                <w:rFonts w:ascii="Times New Roman" w:eastAsiaTheme="minorEastAsia"/>
                <w:kern w:val="0"/>
                <w:sz w:val="21"/>
                <w:szCs w:val="21"/>
              </w:rPr>
            </w:pPr>
            <w:r>
              <w:rPr>
                <w:rFonts w:ascii="Times New Roman" w:eastAsiaTheme="minorEastAsia"/>
                <w:kern w:val="0"/>
                <w:sz w:val="21"/>
                <w:szCs w:val="21"/>
              </w:rPr>
              <w:t>7</w:t>
            </w:r>
          </w:p>
        </w:tc>
        <w:tc>
          <w:tcPr>
            <w:tcW w:w="446" w:type="pct"/>
            <w:tcBorders>
              <w:top w:val="single" w:color="auto" w:sz="4" w:space="0"/>
              <w:tl2br w:val="nil"/>
              <w:tr2bl w:val="nil"/>
            </w:tcBorders>
            <w:vAlign w:val="center"/>
          </w:tcPr>
          <w:p w14:paraId="6F198C56">
            <w:pPr>
              <w:widowControl/>
              <w:jc w:val="center"/>
              <w:rPr>
                <w:rFonts w:ascii="Times New Roman" w:eastAsiaTheme="minorEastAsia"/>
                <w:kern w:val="0"/>
                <w:sz w:val="21"/>
                <w:szCs w:val="21"/>
              </w:rPr>
            </w:pPr>
            <w:r>
              <w:rPr>
                <w:rFonts w:ascii="Times New Roman" w:eastAsiaTheme="minorEastAsia"/>
                <w:kern w:val="0"/>
                <w:sz w:val="21"/>
                <w:szCs w:val="21"/>
              </w:rPr>
              <w:t>脱脂剂</w:t>
            </w:r>
          </w:p>
        </w:tc>
        <w:tc>
          <w:tcPr>
            <w:tcW w:w="4188" w:type="pct"/>
            <w:tcBorders>
              <w:top w:val="single" w:color="auto" w:sz="4" w:space="0"/>
              <w:tl2br w:val="nil"/>
              <w:tr2bl w:val="nil"/>
            </w:tcBorders>
          </w:tcPr>
          <w:p w14:paraId="559F615B">
            <w:pPr>
              <w:widowControl/>
              <w:jc w:val="left"/>
              <w:rPr>
                <w:rFonts w:ascii="Times New Roman"/>
                <w:kern w:val="0"/>
                <w:sz w:val="21"/>
                <w:szCs w:val="21"/>
              </w:rPr>
            </w:pPr>
            <w:r>
              <w:rPr>
                <w:rFonts w:ascii="Times New Roman" w:eastAsiaTheme="minorEastAsia"/>
                <w:kern w:val="0"/>
                <w:sz w:val="21"/>
                <w:szCs w:val="21"/>
              </w:rPr>
              <w:t>外观与性状：无色透明或淡黄色液体，纯碱5%、脂肪醇聚氧乙烯醚30%、硅酸钠5%、碳酸钾10%、葡萄糖酸钠4%、水46%</w:t>
            </w:r>
          </w:p>
          <w:p w14:paraId="29C9D678">
            <w:pPr>
              <w:widowControl/>
              <w:jc w:val="left"/>
              <w:rPr>
                <w:rFonts w:ascii="Times New Roman" w:eastAsiaTheme="minorEastAsia"/>
                <w:kern w:val="0"/>
                <w:sz w:val="21"/>
                <w:szCs w:val="21"/>
              </w:rPr>
            </w:pPr>
            <w:r>
              <w:rPr>
                <w:rFonts w:hint="eastAsia" w:ascii="Times New Roman"/>
                <w:kern w:val="0"/>
                <w:sz w:val="24"/>
                <w:szCs w:val="24"/>
              </w:rPr>
              <w:t>无</w:t>
            </w:r>
            <w:r>
              <w:rPr>
                <w:rFonts w:ascii="Times New Roman" w:eastAsiaTheme="minorEastAsia"/>
                <w:kern w:val="0"/>
                <w:sz w:val="21"/>
                <w:szCs w:val="21"/>
              </w:rPr>
              <w:t>刺激气味；pH值：10-12；沸点范围：＞100℃；密度（g/cm</w:t>
            </w:r>
            <w:r>
              <w:rPr>
                <w:rFonts w:ascii="Times New Roman" w:eastAsiaTheme="minorEastAsia"/>
                <w:kern w:val="0"/>
                <w:sz w:val="21"/>
                <w:szCs w:val="21"/>
                <w:vertAlign w:val="superscript"/>
              </w:rPr>
              <w:t>3</w:t>
            </w:r>
            <w:r>
              <w:rPr>
                <w:rFonts w:ascii="Times New Roman" w:eastAsiaTheme="minorEastAsia"/>
                <w:kern w:val="0"/>
                <w:sz w:val="21"/>
                <w:szCs w:val="21"/>
              </w:rPr>
              <w:t>）：1.05-1.08</w:t>
            </w:r>
          </w:p>
        </w:tc>
      </w:tr>
      <w:tr w14:paraId="76A49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364" w:type="pct"/>
            <w:tcBorders>
              <w:top w:val="single" w:color="auto" w:sz="4" w:space="0"/>
              <w:tl2br w:val="nil"/>
              <w:tr2bl w:val="nil"/>
            </w:tcBorders>
            <w:vAlign w:val="center"/>
          </w:tcPr>
          <w:p w14:paraId="559196F4">
            <w:pPr>
              <w:widowControl/>
              <w:jc w:val="center"/>
              <w:rPr>
                <w:rFonts w:ascii="Times New Roman" w:eastAsiaTheme="minorEastAsia"/>
                <w:kern w:val="0"/>
                <w:sz w:val="21"/>
                <w:szCs w:val="21"/>
              </w:rPr>
            </w:pPr>
            <w:r>
              <w:rPr>
                <w:rFonts w:ascii="Times New Roman" w:eastAsiaTheme="minorEastAsia"/>
                <w:kern w:val="0"/>
                <w:sz w:val="21"/>
                <w:szCs w:val="21"/>
              </w:rPr>
              <w:t>8</w:t>
            </w:r>
          </w:p>
        </w:tc>
        <w:tc>
          <w:tcPr>
            <w:tcW w:w="446" w:type="pct"/>
            <w:tcBorders>
              <w:top w:val="single" w:color="auto" w:sz="4" w:space="0"/>
              <w:tl2br w:val="nil"/>
              <w:tr2bl w:val="nil"/>
            </w:tcBorders>
            <w:vAlign w:val="center"/>
          </w:tcPr>
          <w:p w14:paraId="58EFDC0D">
            <w:pPr>
              <w:widowControl/>
              <w:jc w:val="center"/>
              <w:rPr>
                <w:rFonts w:ascii="Times New Roman" w:eastAsiaTheme="minorEastAsia"/>
                <w:kern w:val="0"/>
                <w:sz w:val="21"/>
                <w:szCs w:val="21"/>
              </w:rPr>
            </w:pPr>
            <w:r>
              <w:rPr>
                <w:rFonts w:ascii="Times New Roman" w:eastAsiaTheme="minorEastAsia"/>
                <w:kern w:val="0"/>
                <w:sz w:val="21"/>
                <w:szCs w:val="21"/>
              </w:rPr>
              <w:t>硅烷剂</w:t>
            </w:r>
          </w:p>
        </w:tc>
        <w:tc>
          <w:tcPr>
            <w:tcW w:w="4188" w:type="pct"/>
            <w:tcBorders>
              <w:top w:val="single" w:color="auto" w:sz="4" w:space="0"/>
              <w:tl2br w:val="nil"/>
              <w:tr2bl w:val="nil"/>
            </w:tcBorders>
          </w:tcPr>
          <w:p w14:paraId="49D9125F">
            <w:pPr>
              <w:widowControl/>
              <w:jc w:val="left"/>
              <w:rPr>
                <w:rFonts w:ascii="Times New Roman" w:eastAsiaTheme="minorEastAsia"/>
                <w:kern w:val="0"/>
                <w:sz w:val="21"/>
                <w:szCs w:val="21"/>
              </w:rPr>
            </w:pPr>
            <w:r>
              <w:rPr>
                <w:rFonts w:ascii="Times New Roman" w:eastAsiaTheme="minorEastAsia"/>
                <w:kern w:val="0"/>
                <w:sz w:val="21"/>
                <w:szCs w:val="21"/>
              </w:rPr>
              <w:t>外观与性状：无色透明液体，丙烯酸活性树脂10%、甲基三乙氧基硅烷30%、氢氧化铵0.5%、水59.5%。</w:t>
            </w:r>
          </w:p>
          <w:p w14:paraId="41BE5AB4">
            <w:pPr>
              <w:widowControl/>
              <w:jc w:val="center"/>
              <w:rPr>
                <w:rFonts w:ascii="Times New Roman" w:eastAsiaTheme="minorEastAsia"/>
                <w:kern w:val="0"/>
                <w:sz w:val="21"/>
                <w:szCs w:val="21"/>
              </w:rPr>
            </w:pPr>
            <w:r>
              <w:rPr>
                <w:rFonts w:ascii="Times New Roman" w:eastAsiaTheme="minorEastAsia"/>
                <w:kern w:val="0"/>
                <w:sz w:val="21"/>
                <w:szCs w:val="21"/>
              </w:rPr>
              <w:t>无刺激气味；pH值：8.5-9.5；沸点范围：＞100℃；密度（g/cm</w:t>
            </w:r>
            <w:r>
              <w:rPr>
                <w:rFonts w:ascii="Times New Roman" w:eastAsiaTheme="minorEastAsia"/>
                <w:kern w:val="0"/>
                <w:sz w:val="21"/>
                <w:szCs w:val="21"/>
                <w:vertAlign w:val="superscript"/>
              </w:rPr>
              <w:t>3</w:t>
            </w:r>
            <w:r>
              <w:rPr>
                <w:rFonts w:ascii="Times New Roman" w:eastAsiaTheme="minorEastAsia"/>
                <w:kern w:val="0"/>
                <w:sz w:val="21"/>
                <w:szCs w:val="21"/>
              </w:rPr>
              <w:t>）：1.05-1.08。</w:t>
            </w:r>
          </w:p>
        </w:tc>
      </w:tr>
      <w:tr w14:paraId="7C5FE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364" w:type="pct"/>
            <w:tcBorders>
              <w:top w:val="single" w:color="auto" w:sz="4" w:space="0"/>
              <w:tl2br w:val="nil"/>
              <w:tr2bl w:val="nil"/>
            </w:tcBorders>
            <w:shd w:val="clear" w:color="auto" w:fill="auto"/>
            <w:vAlign w:val="center"/>
          </w:tcPr>
          <w:p w14:paraId="6F8EF55A">
            <w:pPr>
              <w:widowControl/>
              <w:jc w:val="center"/>
              <w:rPr>
                <w:rFonts w:ascii="Times New Roman" w:eastAsiaTheme="minorEastAsia"/>
                <w:kern w:val="0"/>
                <w:sz w:val="21"/>
                <w:szCs w:val="21"/>
              </w:rPr>
            </w:pPr>
            <w:r>
              <w:rPr>
                <w:rFonts w:ascii="Times New Roman" w:eastAsiaTheme="minorEastAsia"/>
                <w:kern w:val="0"/>
                <w:sz w:val="21"/>
                <w:szCs w:val="21"/>
              </w:rPr>
              <w:t>9</w:t>
            </w:r>
          </w:p>
        </w:tc>
        <w:tc>
          <w:tcPr>
            <w:tcW w:w="446" w:type="pct"/>
            <w:tcBorders>
              <w:top w:val="single" w:color="auto" w:sz="4" w:space="0"/>
              <w:tl2br w:val="nil"/>
              <w:tr2bl w:val="nil"/>
            </w:tcBorders>
            <w:vAlign w:val="center"/>
          </w:tcPr>
          <w:p w14:paraId="74381B3A">
            <w:pPr>
              <w:widowControl/>
              <w:jc w:val="center"/>
              <w:rPr>
                <w:rFonts w:ascii="Times New Roman" w:eastAsiaTheme="minorEastAsia"/>
                <w:kern w:val="0"/>
                <w:sz w:val="21"/>
                <w:szCs w:val="21"/>
              </w:rPr>
            </w:pPr>
            <w:r>
              <w:rPr>
                <w:rFonts w:hint="eastAsia" w:ascii="Times New Roman" w:eastAsiaTheme="minorEastAsia"/>
                <w:kern w:val="0"/>
                <w:sz w:val="21"/>
                <w:szCs w:val="21"/>
              </w:rPr>
              <w:t>淬火油</w:t>
            </w:r>
          </w:p>
        </w:tc>
        <w:tc>
          <w:tcPr>
            <w:tcW w:w="4188" w:type="pct"/>
            <w:tcBorders>
              <w:top w:val="single" w:color="auto" w:sz="4" w:space="0"/>
              <w:tl2br w:val="nil"/>
              <w:tr2bl w:val="nil"/>
            </w:tcBorders>
          </w:tcPr>
          <w:p w14:paraId="5F05C64D">
            <w:pPr>
              <w:widowControl/>
              <w:jc w:val="center"/>
              <w:rPr>
                <w:rFonts w:ascii="Times New Roman" w:eastAsiaTheme="minorEastAsia"/>
                <w:kern w:val="0"/>
                <w:sz w:val="21"/>
                <w:szCs w:val="21"/>
              </w:rPr>
            </w:pPr>
            <w:r>
              <w:rPr>
                <w:rFonts w:ascii="Times New Roman" w:eastAsiaTheme="minorEastAsia"/>
                <w:kern w:val="0"/>
                <w:sz w:val="21"/>
                <w:szCs w:val="21"/>
              </w:rPr>
              <w:t>淡黄色粘性、有特殊气味的液体，密度0.8615g/cm</w:t>
            </w:r>
            <w:r>
              <w:rPr>
                <w:rFonts w:hint="eastAsia" w:ascii="Times New Roman" w:eastAsiaTheme="minorEastAsia"/>
                <w:kern w:val="0"/>
                <w:sz w:val="21"/>
                <w:szCs w:val="21"/>
                <w:vertAlign w:val="superscript"/>
              </w:rPr>
              <w:t>3</w:t>
            </w:r>
            <w:r>
              <w:rPr>
                <w:rFonts w:ascii="Times New Roman" w:eastAsiaTheme="minorEastAsia"/>
                <w:kern w:val="0"/>
                <w:sz w:val="21"/>
                <w:szCs w:val="21"/>
              </w:rPr>
              <w:t>，不溶于水，沸点&gt;300℃，闪火点196℃，爆炸上限7%、爆炸下限1%。正常温度及压力下安定，远离火花、高热、引火源，热分解产物为碳氧化合物，燃烧不完全会产生碳、一氧化物。LD</w:t>
            </w:r>
            <w:r>
              <w:rPr>
                <w:rFonts w:hint="eastAsia" w:ascii="Times New Roman" w:eastAsiaTheme="minorEastAsia"/>
                <w:kern w:val="0"/>
                <w:sz w:val="21"/>
                <w:szCs w:val="21"/>
                <w:vertAlign w:val="subscript"/>
              </w:rPr>
              <w:t>50</w:t>
            </w:r>
            <w:r>
              <w:rPr>
                <w:rFonts w:hint="eastAsia" w:ascii="Times New Roman" w:eastAsiaTheme="minorEastAsia"/>
                <w:kern w:val="0"/>
                <w:sz w:val="21"/>
                <w:szCs w:val="21"/>
              </w:rPr>
              <w:t>：</w:t>
            </w:r>
            <w:r>
              <w:rPr>
                <w:rFonts w:ascii="Times New Roman" w:eastAsiaTheme="minorEastAsia"/>
                <w:kern w:val="0"/>
                <w:sz w:val="21"/>
                <w:szCs w:val="21"/>
              </w:rPr>
              <w:t>&gt;5000mg</w:t>
            </w:r>
            <w:r>
              <w:rPr>
                <w:rFonts w:hint="eastAsia" w:ascii="Times New Roman" w:eastAsiaTheme="minorEastAsia"/>
                <w:kern w:val="0"/>
                <w:sz w:val="21"/>
                <w:szCs w:val="21"/>
              </w:rPr>
              <w:t>/</w:t>
            </w:r>
            <w:r>
              <w:rPr>
                <w:rFonts w:ascii="Times New Roman" w:eastAsiaTheme="minorEastAsia"/>
                <w:kern w:val="0"/>
                <w:sz w:val="21"/>
                <w:szCs w:val="21"/>
              </w:rPr>
              <w:t>kg(大鼠、吞食)。</w:t>
            </w:r>
          </w:p>
        </w:tc>
      </w:tr>
      <w:tr w14:paraId="49277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jc w:val="center"/>
        </w:trPr>
        <w:tc>
          <w:tcPr>
            <w:tcW w:w="364" w:type="pct"/>
            <w:tcBorders>
              <w:top w:val="single" w:color="auto" w:sz="4" w:space="0"/>
              <w:tl2br w:val="nil"/>
              <w:tr2bl w:val="nil"/>
            </w:tcBorders>
            <w:shd w:val="clear" w:color="auto" w:fill="auto"/>
            <w:vAlign w:val="center"/>
          </w:tcPr>
          <w:p w14:paraId="16C56B9D">
            <w:pPr>
              <w:widowControl/>
              <w:jc w:val="center"/>
              <w:rPr>
                <w:rFonts w:ascii="Times New Roman" w:eastAsiaTheme="minorEastAsia"/>
                <w:kern w:val="0"/>
                <w:sz w:val="21"/>
                <w:szCs w:val="21"/>
              </w:rPr>
            </w:pPr>
            <w:r>
              <w:rPr>
                <w:rFonts w:ascii="Times New Roman" w:eastAsiaTheme="minorEastAsia"/>
                <w:kern w:val="0"/>
                <w:sz w:val="21"/>
                <w:szCs w:val="21"/>
              </w:rPr>
              <w:t>10</w:t>
            </w:r>
          </w:p>
        </w:tc>
        <w:tc>
          <w:tcPr>
            <w:tcW w:w="446" w:type="pct"/>
            <w:tcBorders>
              <w:top w:val="single" w:color="auto" w:sz="4" w:space="0"/>
              <w:tl2br w:val="nil"/>
              <w:tr2bl w:val="nil"/>
            </w:tcBorders>
            <w:vAlign w:val="center"/>
          </w:tcPr>
          <w:p w14:paraId="28F8670F">
            <w:pPr>
              <w:widowControl/>
              <w:jc w:val="center"/>
              <w:rPr>
                <w:rFonts w:ascii="Times New Roman" w:eastAsiaTheme="minorEastAsia"/>
                <w:kern w:val="0"/>
                <w:sz w:val="21"/>
                <w:szCs w:val="21"/>
              </w:rPr>
            </w:pPr>
            <w:r>
              <w:rPr>
                <w:rFonts w:ascii="Times New Roman" w:eastAsiaTheme="minorEastAsia"/>
                <w:kern w:val="0"/>
                <w:sz w:val="21"/>
                <w:szCs w:val="21"/>
              </w:rPr>
              <w:t>硫酸</w:t>
            </w:r>
          </w:p>
        </w:tc>
        <w:tc>
          <w:tcPr>
            <w:tcW w:w="4188" w:type="pct"/>
            <w:tcBorders>
              <w:top w:val="single" w:color="auto" w:sz="4" w:space="0"/>
              <w:tl2br w:val="nil"/>
              <w:tr2bl w:val="nil"/>
            </w:tcBorders>
          </w:tcPr>
          <w:p w14:paraId="62675D1A">
            <w:pPr>
              <w:widowControl/>
              <w:jc w:val="center"/>
            </w:pPr>
            <w:r>
              <w:rPr>
                <w:rFonts w:ascii="Times New Roman" w:eastAsiaTheme="minorEastAsia"/>
                <w:kern w:val="0"/>
                <w:sz w:val="21"/>
                <w:szCs w:val="21"/>
              </w:rPr>
              <w:t>纯硫酸是一种无色无味油状液体，硫酸是一种高沸点难挥发的强酸，易溶于水，能以任意比与水混溶，浓硫酸溶解时放出大量的热。具有脱水性、强氧化性和强酸性。</w:t>
            </w:r>
            <w:r>
              <w:rPr>
                <w:rFonts w:hint="eastAsia" w:ascii="Times New Roman" w:eastAsiaTheme="minorEastAsia"/>
                <w:kern w:val="0"/>
                <w:sz w:val="21"/>
                <w:szCs w:val="21"/>
              </w:rPr>
              <w:t>项目使用50%</w:t>
            </w:r>
            <w:r>
              <w:rPr>
                <w:rFonts w:ascii="Times New Roman" w:eastAsiaTheme="minorEastAsia"/>
                <w:kern w:val="0"/>
                <w:sz w:val="21"/>
                <w:szCs w:val="21"/>
              </w:rPr>
              <w:t>硫酸</w:t>
            </w:r>
            <w:r>
              <w:rPr>
                <w:rFonts w:hint="eastAsia" w:ascii="Times New Roman" w:eastAsiaTheme="minorEastAsia"/>
                <w:kern w:val="0"/>
                <w:sz w:val="21"/>
                <w:szCs w:val="21"/>
              </w:rPr>
              <w:t>用于废水处理调节pH。</w:t>
            </w:r>
          </w:p>
          <w:p w14:paraId="72B59851">
            <w:pPr>
              <w:widowControl/>
              <w:jc w:val="center"/>
              <w:rPr>
                <w:rFonts w:ascii="Times New Roman" w:eastAsiaTheme="minorEastAsia"/>
                <w:kern w:val="0"/>
                <w:sz w:val="21"/>
                <w:szCs w:val="21"/>
              </w:rPr>
            </w:pPr>
            <w:r>
              <w:rPr>
                <w:rFonts w:ascii="Times New Roman" w:eastAsiaTheme="minorEastAsia"/>
                <w:kern w:val="0"/>
                <w:sz w:val="21"/>
                <w:szCs w:val="21"/>
              </w:rPr>
              <w:t>健康危害：对皮肤、粘膜等组织有强烈的刺激和腐蚀作用。对眼睛可引起结膜炎、水肿、角膜混浊，以致失明；引起呼吸道刺激症状，重者发生呼吸困难和肺水肿；高浓度引起喉痉挛或声门水肿而死亡。口服后引起消化道的烧伤以至溃疡形成。严重者可能有胃穿孔、腹膜炎、喉痉挛和声门水肿、肾损害、休克等。慢性影响有牙齿酸蚀症、慢性支气管炎、肺气肿和肺硬化。毒性：属中等毒性。急性毒性：LD50 2140mg/kg（大鼠经口）；LC50 510mg/m</w:t>
            </w:r>
            <w:r>
              <w:rPr>
                <w:rFonts w:ascii="Times New Roman" w:eastAsiaTheme="minorEastAsia"/>
                <w:kern w:val="0"/>
                <w:sz w:val="21"/>
                <w:szCs w:val="21"/>
                <w:vertAlign w:val="superscript"/>
              </w:rPr>
              <w:t>3</w:t>
            </w:r>
            <w:r>
              <w:rPr>
                <w:rFonts w:ascii="Times New Roman" w:eastAsiaTheme="minorEastAsia"/>
                <w:kern w:val="0"/>
                <w:sz w:val="21"/>
                <w:szCs w:val="21"/>
              </w:rPr>
              <w:t>，2小时（大鼠吸入）；320mg/m</w:t>
            </w:r>
            <w:r>
              <w:rPr>
                <w:rFonts w:ascii="Times New Roman" w:eastAsiaTheme="minorEastAsia"/>
                <w:kern w:val="0"/>
                <w:sz w:val="21"/>
                <w:szCs w:val="21"/>
                <w:vertAlign w:val="superscript"/>
              </w:rPr>
              <w:t>3</w:t>
            </w:r>
            <w:r>
              <w:rPr>
                <w:rFonts w:ascii="Times New Roman" w:eastAsiaTheme="minorEastAsia"/>
                <w:kern w:val="0"/>
                <w:sz w:val="21"/>
                <w:szCs w:val="21"/>
              </w:rPr>
              <w:t>，2小时（小鼠吸入）。</w:t>
            </w:r>
          </w:p>
        </w:tc>
      </w:tr>
      <w:tr w14:paraId="566E2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0" w:hRule="atLeast"/>
          <w:jc w:val="center"/>
        </w:trPr>
        <w:tc>
          <w:tcPr>
            <w:tcW w:w="364" w:type="pct"/>
            <w:tcBorders>
              <w:tl2br w:val="nil"/>
              <w:tr2bl w:val="nil"/>
            </w:tcBorders>
            <w:shd w:val="clear" w:color="auto" w:fill="auto"/>
            <w:vAlign w:val="center"/>
          </w:tcPr>
          <w:p w14:paraId="62DB0293">
            <w:pPr>
              <w:widowControl/>
              <w:jc w:val="center"/>
              <w:rPr>
                <w:rFonts w:ascii="Times New Roman" w:eastAsiaTheme="minorEastAsia"/>
                <w:kern w:val="0"/>
                <w:sz w:val="21"/>
                <w:szCs w:val="21"/>
              </w:rPr>
            </w:pPr>
            <w:r>
              <w:rPr>
                <w:rFonts w:ascii="Times New Roman" w:eastAsiaTheme="minorEastAsia"/>
                <w:kern w:val="0"/>
                <w:sz w:val="21"/>
                <w:szCs w:val="21"/>
              </w:rPr>
              <w:t>11</w:t>
            </w:r>
          </w:p>
        </w:tc>
        <w:tc>
          <w:tcPr>
            <w:tcW w:w="446" w:type="pct"/>
            <w:tcBorders>
              <w:tl2br w:val="nil"/>
              <w:tr2bl w:val="nil"/>
            </w:tcBorders>
            <w:vAlign w:val="center"/>
          </w:tcPr>
          <w:p w14:paraId="20D023EA">
            <w:pPr>
              <w:widowControl/>
              <w:jc w:val="center"/>
              <w:rPr>
                <w:rFonts w:ascii="Times New Roman" w:eastAsiaTheme="minorEastAsia"/>
                <w:kern w:val="0"/>
                <w:sz w:val="21"/>
                <w:szCs w:val="21"/>
              </w:rPr>
            </w:pPr>
            <w:r>
              <w:rPr>
                <w:rFonts w:ascii="Times New Roman" w:eastAsiaTheme="minorEastAsia"/>
                <w:kern w:val="0"/>
                <w:sz w:val="21"/>
                <w:szCs w:val="21"/>
              </w:rPr>
              <w:t>氢氧化钠</w:t>
            </w:r>
          </w:p>
        </w:tc>
        <w:tc>
          <w:tcPr>
            <w:tcW w:w="4188" w:type="pct"/>
            <w:tcBorders>
              <w:tl2br w:val="nil"/>
              <w:tr2bl w:val="nil"/>
            </w:tcBorders>
            <w:vAlign w:val="center"/>
          </w:tcPr>
          <w:p w14:paraId="2F803C2B">
            <w:pPr>
              <w:widowControl/>
              <w:jc w:val="left"/>
              <w:rPr>
                <w:rFonts w:ascii="Times New Roman" w:eastAsiaTheme="minorEastAsia"/>
                <w:kern w:val="0"/>
                <w:sz w:val="21"/>
                <w:szCs w:val="21"/>
              </w:rPr>
            </w:pPr>
            <w:r>
              <w:rPr>
                <w:rFonts w:ascii="Times New Roman" w:eastAsiaTheme="minorEastAsia"/>
                <w:kern w:val="0"/>
                <w:sz w:val="21"/>
                <w:szCs w:val="21"/>
              </w:rPr>
              <w:t>国际编号：82001；CAS号1310-73-2；别名：苛性钠；烧碱；火碱；固碱；分子式：NaOH；分子量40.01；熔点318.4℃；沸点1390℃。密度：相对密度（水=1）2.12；蒸气压：0.13kPa（739）；稳定性：稳定；外观与性状：白色不透明固体，易潮解；溶解性：易溶于水、乙醇、甘油，不溶于丙酮。</w:t>
            </w:r>
          </w:p>
          <w:p w14:paraId="760E81BB">
            <w:pPr>
              <w:widowControl/>
              <w:rPr>
                <w:rFonts w:ascii="Times New Roman" w:eastAsiaTheme="minorEastAsia"/>
                <w:kern w:val="0"/>
                <w:sz w:val="21"/>
                <w:szCs w:val="21"/>
              </w:rPr>
            </w:pPr>
            <w:r>
              <w:rPr>
                <w:rFonts w:ascii="Times New Roman" w:eastAsiaTheme="minorEastAsia"/>
                <w:kern w:val="0"/>
                <w:sz w:val="21"/>
                <w:szCs w:val="21"/>
              </w:rPr>
              <w:t>一、健康危害——侵入途径：吸入、食入。健康危害：本品有强烈刺激和腐蚀性。烟尘或烟雾刺激眼和呼吸道，腐蚀鼻中隔；皮肤和眼直接接触可引起灼伤误服可造成消化道灼伤，粘膜糜烂、出血和休克。</w:t>
            </w:r>
          </w:p>
          <w:p w14:paraId="21394182">
            <w:pPr>
              <w:widowControl/>
              <w:rPr>
                <w:rFonts w:ascii="Times New Roman" w:eastAsiaTheme="minorEastAsia"/>
                <w:kern w:val="0"/>
                <w:sz w:val="21"/>
                <w:szCs w:val="21"/>
              </w:rPr>
            </w:pPr>
            <w:r>
              <w:rPr>
                <w:rFonts w:ascii="Times New Roman" w:eastAsiaTheme="minorEastAsia"/>
                <w:kern w:val="0"/>
                <w:sz w:val="21"/>
                <w:szCs w:val="21"/>
              </w:rPr>
              <w:t>二、毒理学资料及环境行为——危险特性：本品不会燃烧，遇水和水蒸气大量放热，形成腐蚀性溶液。与酸发生中和反应并放热。具有强腐蚀性。燃烧（分解）产物：可能产生有害的毒性烟雾。</w:t>
            </w:r>
          </w:p>
        </w:tc>
      </w:tr>
      <w:tr w14:paraId="029DA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7" w:hRule="atLeast"/>
          <w:jc w:val="center"/>
        </w:trPr>
        <w:tc>
          <w:tcPr>
            <w:tcW w:w="364" w:type="pct"/>
            <w:tcBorders>
              <w:tl2br w:val="nil"/>
              <w:tr2bl w:val="nil"/>
            </w:tcBorders>
            <w:shd w:val="clear" w:color="auto" w:fill="auto"/>
            <w:vAlign w:val="center"/>
          </w:tcPr>
          <w:p w14:paraId="41CFA71D">
            <w:pPr>
              <w:widowControl/>
              <w:jc w:val="center"/>
              <w:rPr>
                <w:rFonts w:ascii="Times New Roman" w:eastAsiaTheme="minorEastAsia"/>
                <w:kern w:val="0"/>
                <w:sz w:val="21"/>
                <w:szCs w:val="21"/>
              </w:rPr>
            </w:pPr>
            <w:r>
              <w:rPr>
                <w:rFonts w:ascii="Times New Roman" w:eastAsiaTheme="minorEastAsia"/>
                <w:kern w:val="0"/>
                <w:sz w:val="21"/>
                <w:szCs w:val="21"/>
              </w:rPr>
              <w:t>12</w:t>
            </w:r>
          </w:p>
        </w:tc>
        <w:tc>
          <w:tcPr>
            <w:tcW w:w="446" w:type="pct"/>
            <w:tcBorders>
              <w:tl2br w:val="nil"/>
              <w:tr2bl w:val="nil"/>
            </w:tcBorders>
            <w:vAlign w:val="center"/>
          </w:tcPr>
          <w:p w14:paraId="776DA4AF">
            <w:pPr>
              <w:widowControl/>
              <w:jc w:val="center"/>
              <w:rPr>
                <w:rFonts w:ascii="Times New Roman" w:eastAsiaTheme="minorEastAsia"/>
                <w:kern w:val="0"/>
                <w:sz w:val="21"/>
                <w:szCs w:val="21"/>
              </w:rPr>
            </w:pPr>
            <w:r>
              <w:rPr>
                <w:rFonts w:ascii="Times New Roman" w:eastAsiaTheme="minorEastAsia"/>
                <w:kern w:val="0"/>
                <w:sz w:val="21"/>
                <w:szCs w:val="21"/>
              </w:rPr>
              <w:t>氯化钙</w:t>
            </w:r>
          </w:p>
        </w:tc>
        <w:tc>
          <w:tcPr>
            <w:tcW w:w="4188" w:type="pct"/>
            <w:tcBorders>
              <w:tl2br w:val="nil"/>
              <w:tr2bl w:val="nil"/>
            </w:tcBorders>
            <w:vAlign w:val="center"/>
          </w:tcPr>
          <w:p w14:paraId="695EF956">
            <w:pPr>
              <w:widowControl/>
              <w:rPr>
                <w:rFonts w:ascii="Times New Roman" w:eastAsiaTheme="minorEastAsia"/>
                <w:sz w:val="21"/>
                <w:szCs w:val="21"/>
              </w:rPr>
            </w:pPr>
            <w:r>
              <w:rPr>
                <w:rFonts w:ascii="Times New Roman" w:eastAsiaTheme="minorEastAsia"/>
                <w:sz w:val="21"/>
                <w:szCs w:val="21"/>
              </w:rPr>
              <w:t>分子式：CaCl</w:t>
            </w:r>
            <w:r>
              <w:rPr>
                <w:rFonts w:ascii="Times New Roman" w:eastAsiaTheme="minorEastAsia"/>
                <w:sz w:val="21"/>
                <w:szCs w:val="21"/>
                <w:vertAlign w:val="subscript"/>
              </w:rPr>
              <w:t>2</w:t>
            </w:r>
            <w:r>
              <w:rPr>
                <w:rFonts w:ascii="Times New Roman" w:eastAsiaTheme="minorEastAsia"/>
                <w:sz w:val="21"/>
                <w:szCs w:val="21"/>
              </w:rPr>
              <w:t>，分子量：110.98g/mol；外观：无色结晶或白色颗粒；溶解性：易溶于水，溶解度随温度升高而增加；密度：2.15g/cm</w:t>
            </w:r>
            <w:r>
              <w:rPr>
                <w:rFonts w:ascii="Times New Roman" w:eastAsiaTheme="minorEastAsia"/>
                <w:sz w:val="21"/>
                <w:szCs w:val="21"/>
                <w:vertAlign w:val="superscript"/>
              </w:rPr>
              <w:t>3</w:t>
            </w:r>
            <w:r>
              <w:rPr>
                <w:rFonts w:ascii="Times New Roman" w:eastAsiaTheme="minorEastAsia"/>
                <w:sz w:val="21"/>
                <w:szCs w:val="21"/>
              </w:rPr>
              <w:t>；熔点：772</w:t>
            </w:r>
            <w:r>
              <w:rPr>
                <w:rFonts w:ascii="Times New Roman" w:eastAsiaTheme="minorEastAsia"/>
                <w:kern w:val="0"/>
                <w:sz w:val="21"/>
                <w:szCs w:val="21"/>
              </w:rPr>
              <w:t>℃；沸点：1600℃；热稳定性：在高温下分解产生氯气和氧化钙；还原性：能与一些金属发生氧化还原反应，如与</w:t>
            </w:r>
            <w:r>
              <w:rPr>
                <w:rFonts w:ascii="Times New Roman" w:eastAsiaTheme="minorEastAsia"/>
                <w:sz w:val="21"/>
                <w:szCs w:val="21"/>
              </w:rPr>
              <w:t>铝反应生成氯化铝和钙；盐度：具有高盐度，可用作融雪剂和除冰剂；抑湿性：吸湿性强、可用作干燥剂；防腐性：具有防腐蚀作用，可用于防腐处理；应用领域：用于水处理、制冰、食品添加剂、医药制造、建筑材料等领域。</w:t>
            </w:r>
          </w:p>
        </w:tc>
      </w:tr>
      <w:tr w14:paraId="22A26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8" w:hRule="atLeast"/>
          <w:jc w:val="center"/>
        </w:trPr>
        <w:tc>
          <w:tcPr>
            <w:tcW w:w="364" w:type="pct"/>
            <w:tcBorders>
              <w:tl2br w:val="nil"/>
              <w:tr2bl w:val="nil"/>
            </w:tcBorders>
            <w:shd w:val="clear" w:color="auto" w:fill="auto"/>
            <w:vAlign w:val="center"/>
          </w:tcPr>
          <w:p w14:paraId="164DD5E8">
            <w:pPr>
              <w:widowControl/>
              <w:jc w:val="center"/>
              <w:rPr>
                <w:rFonts w:ascii="Times New Roman" w:eastAsiaTheme="minorEastAsia"/>
                <w:kern w:val="0"/>
                <w:sz w:val="21"/>
                <w:szCs w:val="21"/>
              </w:rPr>
            </w:pPr>
            <w:r>
              <w:rPr>
                <w:rFonts w:ascii="Times New Roman" w:eastAsiaTheme="minorEastAsia"/>
                <w:kern w:val="0"/>
                <w:sz w:val="21"/>
                <w:szCs w:val="21"/>
              </w:rPr>
              <w:t>13</w:t>
            </w:r>
          </w:p>
        </w:tc>
        <w:tc>
          <w:tcPr>
            <w:tcW w:w="446" w:type="pct"/>
            <w:tcBorders>
              <w:tl2br w:val="nil"/>
              <w:tr2bl w:val="nil"/>
            </w:tcBorders>
            <w:vAlign w:val="center"/>
          </w:tcPr>
          <w:p w14:paraId="73727CF6">
            <w:pPr>
              <w:widowControl/>
              <w:jc w:val="center"/>
              <w:rPr>
                <w:rFonts w:ascii="Times New Roman" w:eastAsiaTheme="minorEastAsia"/>
                <w:sz w:val="21"/>
                <w:szCs w:val="21"/>
              </w:rPr>
            </w:pPr>
            <w:r>
              <w:rPr>
                <w:rFonts w:ascii="Times New Roman" w:eastAsiaTheme="minorEastAsia"/>
                <w:sz w:val="21"/>
                <w:szCs w:val="21"/>
              </w:rPr>
              <w:t>PAM</w:t>
            </w:r>
          </w:p>
        </w:tc>
        <w:tc>
          <w:tcPr>
            <w:tcW w:w="4188" w:type="pct"/>
            <w:tcBorders>
              <w:tl2br w:val="nil"/>
              <w:tr2bl w:val="nil"/>
            </w:tcBorders>
            <w:vAlign w:val="center"/>
          </w:tcPr>
          <w:p w14:paraId="02911910">
            <w:pPr>
              <w:widowControl/>
              <w:jc w:val="left"/>
              <w:rPr>
                <w:rFonts w:ascii="Times New Roman" w:eastAsiaTheme="minorEastAsia"/>
                <w:sz w:val="21"/>
                <w:szCs w:val="21"/>
              </w:rPr>
            </w:pPr>
            <w:r>
              <w:rPr>
                <w:rFonts w:ascii="Times New Roman" w:eastAsiaTheme="minorEastAsia"/>
                <w:sz w:val="21"/>
                <w:szCs w:val="21"/>
              </w:rPr>
              <w:t>聚丙烯酰胺，英文名称为Poly(acrylamide)，CAS号为9003-05-8，分子式为(C</w:t>
            </w:r>
            <w:r>
              <w:rPr>
                <w:rFonts w:ascii="Times New Roman" w:eastAsiaTheme="minorEastAsia"/>
                <w:sz w:val="21"/>
                <w:szCs w:val="21"/>
                <w:vertAlign w:val="subscript"/>
              </w:rPr>
              <w:t>3</w:t>
            </w:r>
            <w:r>
              <w:rPr>
                <w:rFonts w:ascii="Times New Roman" w:eastAsiaTheme="minorEastAsia"/>
                <w:sz w:val="21"/>
                <w:szCs w:val="21"/>
              </w:rPr>
              <w:t>H</w:t>
            </w:r>
            <w:r>
              <w:rPr>
                <w:rFonts w:ascii="Times New Roman" w:eastAsiaTheme="minorEastAsia"/>
                <w:sz w:val="21"/>
                <w:szCs w:val="21"/>
                <w:vertAlign w:val="subscript"/>
              </w:rPr>
              <w:t>5</w:t>
            </w:r>
            <w:r>
              <w:rPr>
                <w:rFonts w:ascii="Times New Roman" w:eastAsiaTheme="minorEastAsia"/>
                <w:sz w:val="21"/>
                <w:szCs w:val="21"/>
              </w:rPr>
              <w:t>NO)n，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聚丙烯酰胺目数：目数是指物料的粒度或粗细度,目数是单位面积上的方格数。一般定义是指在1英寸×1英寸的面积内有多少个网孔数，即筛网的网孔数。</w:t>
            </w:r>
          </w:p>
        </w:tc>
      </w:tr>
      <w:tr w14:paraId="4FCD0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4" w:type="pct"/>
            <w:tcBorders>
              <w:tl2br w:val="nil"/>
              <w:tr2bl w:val="nil"/>
            </w:tcBorders>
            <w:shd w:val="clear" w:color="auto" w:fill="auto"/>
            <w:vAlign w:val="center"/>
          </w:tcPr>
          <w:p w14:paraId="78CBD1FC">
            <w:pPr>
              <w:widowControl/>
              <w:jc w:val="center"/>
              <w:rPr>
                <w:rFonts w:ascii="Times New Roman" w:eastAsiaTheme="minorEastAsia"/>
                <w:kern w:val="0"/>
                <w:sz w:val="21"/>
                <w:szCs w:val="21"/>
              </w:rPr>
            </w:pPr>
            <w:r>
              <w:rPr>
                <w:rFonts w:ascii="Times New Roman" w:eastAsiaTheme="minorEastAsia"/>
                <w:kern w:val="0"/>
                <w:sz w:val="21"/>
                <w:szCs w:val="21"/>
              </w:rPr>
              <w:t>14</w:t>
            </w:r>
          </w:p>
        </w:tc>
        <w:tc>
          <w:tcPr>
            <w:tcW w:w="446" w:type="pct"/>
            <w:tcBorders>
              <w:tl2br w:val="nil"/>
              <w:tr2bl w:val="nil"/>
            </w:tcBorders>
            <w:vAlign w:val="center"/>
          </w:tcPr>
          <w:p w14:paraId="6DE3EEB3">
            <w:pPr>
              <w:widowControl/>
              <w:jc w:val="center"/>
              <w:rPr>
                <w:rFonts w:ascii="Times New Roman" w:eastAsiaTheme="minorEastAsia"/>
                <w:sz w:val="21"/>
                <w:szCs w:val="21"/>
              </w:rPr>
            </w:pPr>
            <w:r>
              <w:rPr>
                <w:rFonts w:ascii="Times New Roman" w:eastAsiaTheme="minorEastAsia"/>
                <w:sz w:val="21"/>
                <w:szCs w:val="21"/>
              </w:rPr>
              <w:t>PAC</w:t>
            </w:r>
          </w:p>
        </w:tc>
        <w:tc>
          <w:tcPr>
            <w:tcW w:w="4188" w:type="pct"/>
            <w:tcBorders>
              <w:tl2br w:val="nil"/>
              <w:tr2bl w:val="nil"/>
            </w:tcBorders>
            <w:vAlign w:val="center"/>
          </w:tcPr>
          <w:p w14:paraId="3C1CC731">
            <w:pPr>
              <w:widowControl/>
              <w:jc w:val="left"/>
              <w:rPr>
                <w:rFonts w:ascii="Times New Roman" w:eastAsiaTheme="minorEastAsia"/>
                <w:sz w:val="21"/>
                <w:szCs w:val="21"/>
              </w:rPr>
            </w:pPr>
            <w:r>
              <w:rPr>
                <w:rFonts w:ascii="Times New Roman" w:eastAsiaTheme="minorEastAsia"/>
                <w:sz w:val="21"/>
                <w:szCs w:val="21"/>
              </w:rPr>
              <w:t>聚合氯化铝是一种净水材料，无机高分子混凝剂，又被简称为聚铝，英文缩写为PAC，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不同颜色的聚合氯化铝在应用及生产技术上也有较大的区别。</w:t>
            </w:r>
          </w:p>
        </w:tc>
      </w:tr>
      <w:tr w14:paraId="6D0A6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364" w:type="pct"/>
            <w:tcBorders>
              <w:tl2br w:val="nil"/>
              <w:tr2bl w:val="nil"/>
            </w:tcBorders>
            <w:shd w:val="clear" w:color="auto" w:fill="auto"/>
            <w:vAlign w:val="center"/>
          </w:tcPr>
          <w:p w14:paraId="04230317">
            <w:pPr>
              <w:widowControl/>
              <w:jc w:val="center"/>
              <w:rPr>
                <w:rFonts w:ascii="Times New Roman" w:eastAsiaTheme="minorEastAsia"/>
                <w:kern w:val="0"/>
                <w:sz w:val="21"/>
                <w:szCs w:val="21"/>
              </w:rPr>
            </w:pPr>
            <w:r>
              <w:rPr>
                <w:rFonts w:ascii="Times New Roman" w:eastAsiaTheme="minorEastAsia"/>
                <w:kern w:val="0"/>
                <w:sz w:val="21"/>
                <w:szCs w:val="21"/>
              </w:rPr>
              <w:t>15</w:t>
            </w:r>
          </w:p>
        </w:tc>
        <w:tc>
          <w:tcPr>
            <w:tcW w:w="446" w:type="pct"/>
            <w:tcBorders>
              <w:tl2br w:val="nil"/>
              <w:tr2bl w:val="nil"/>
            </w:tcBorders>
            <w:shd w:val="clear" w:color="auto" w:fill="auto"/>
            <w:vAlign w:val="center"/>
          </w:tcPr>
          <w:p w14:paraId="7DA3035E">
            <w:pPr>
              <w:widowControl/>
              <w:jc w:val="center"/>
              <w:rPr>
                <w:rFonts w:ascii="Times New Roman" w:eastAsiaTheme="minorEastAsia"/>
                <w:sz w:val="21"/>
                <w:szCs w:val="21"/>
              </w:rPr>
            </w:pPr>
            <w:r>
              <w:rPr>
                <w:rFonts w:ascii="Times New Roman" w:eastAsiaTheme="minorEastAsia"/>
                <w:sz w:val="21"/>
                <w:szCs w:val="21"/>
              </w:rPr>
              <w:t>丙烷</w:t>
            </w:r>
          </w:p>
        </w:tc>
        <w:tc>
          <w:tcPr>
            <w:tcW w:w="4188" w:type="pct"/>
            <w:tcBorders>
              <w:tl2br w:val="nil"/>
              <w:tr2bl w:val="nil"/>
            </w:tcBorders>
            <w:shd w:val="clear" w:color="auto" w:fill="auto"/>
            <w:vAlign w:val="center"/>
          </w:tcPr>
          <w:p w14:paraId="42B02C2F">
            <w:pPr>
              <w:widowControl/>
              <w:jc w:val="left"/>
              <w:rPr>
                <w:rFonts w:ascii="Times New Roman" w:eastAsiaTheme="minorEastAsia"/>
                <w:sz w:val="21"/>
                <w:szCs w:val="21"/>
              </w:rPr>
            </w:pPr>
            <w:r>
              <w:rPr>
                <w:rFonts w:ascii="Times New Roman" w:eastAsiaTheme="minorEastAsia"/>
                <w:sz w:val="21"/>
                <w:szCs w:val="21"/>
              </w:rPr>
              <w:t>丙烷（Propane），是一种有机化合物，化学式为CH</w:t>
            </w:r>
            <w:r>
              <w:rPr>
                <w:rFonts w:ascii="Times New Roman" w:eastAsiaTheme="minorEastAsia"/>
                <w:sz w:val="21"/>
                <w:szCs w:val="21"/>
                <w:vertAlign w:val="subscript"/>
              </w:rPr>
              <w:t>3</w:t>
            </w:r>
            <w:r>
              <w:rPr>
                <w:rFonts w:ascii="Times New Roman" w:eastAsiaTheme="minorEastAsia"/>
                <w:sz w:val="21"/>
                <w:szCs w:val="21"/>
              </w:rPr>
              <w:t>CH</w:t>
            </w:r>
            <w:r>
              <w:rPr>
                <w:rFonts w:ascii="Times New Roman" w:eastAsiaTheme="minorEastAsia"/>
                <w:sz w:val="21"/>
                <w:szCs w:val="21"/>
                <w:vertAlign w:val="subscript"/>
              </w:rPr>
              <w:t>2</w:t>
            </w:r>
            <w:r>
              <w:rPr>
                <w:rFonts w:ascii="Times New Roman" w:eastAsiaTheme="minorEastAsia"/>
                <w:sz w:val="21"/>
                <w:szCs w:val="21"/>
              </w:rPr>
              <w:t>CH</w:t>
            </w:r>
            <w:r>
              <w:rPr>
                <w:rFonts w:ascii="Times New Roman" w:eastAsiaTheme="minorEastAsia"/>
                <w:sz w:val="21"/>
                <w:szCs w:val="21"/>
                <w:vertAlign w:val="subscript"/>
              </w:rPr>
              <w:t>3</w:t>
            </w:r>
            <w:r>
              <w:rPr>
                <w:rFonts w:ascii="Times New Roman" w:eastAsiaTheme="minorEastAsia"/>
                <w:sz w:val="21"/>
                <w:szCs w:val="21"/>
              </w:rPr>
              <w:t>，为无色无味气体，具有易燃性，燃点为450℃。其相对密度为0.58（在-44.5℃时），相对蒸气密度为1.56（相对于空气），饱和蒸气压为53.32kPa（在-55.6℃时）。丙烷的沸点为-42.1℃，熔点为-187.6℃，临界温度为96.8℃，临界压力为4.25MPa。丙烷的闪点为-104℃，引燃温度为450℃，爆炸上限为9.5%，爆炸下限为2.1%。丙烷溶解性微溶于水，但能溶于乙醇、乙醚。低温下，丙烷容易与水生成固态水合物，导致天然气管道堵塞。丙烷在较高温度下与过量氯气作用，生成四氯化碳和四氯乙烯Cl₂C=CCl₂；在气相与硝酸作用，则生成1-硝基丙烷CH</w:t>
            </w:r>
            <w:r>
              <w:rPr>
                <w:rFonts w:ascii="Times New Roman" w:eastAsiaTheme="minorEastAsia"/>
                <w:sz w:val="21"/>
                <w:szCs w:val="21"/>
                <w:vertAlign w:val="subscript"/>
              </w:rPr>
              <w:t>3</w:t>
            </w:r>
            <w:r>
              <w:rPr>
                <w:rFonts w:ascii="Times New Roman" w:eastAsiaTheme="minorEastAsia"/>
                <w:sz w:val="21"/>
                <w:szCs w:val="21"/>
              </w:rPr>
              <w:t>CH</w:t>
            </w:r>
            <w:r>
              <w:rPr>
                <w:rFonts w:ascii="Times New Roman" w:eastAsiaTheme="minorEastAsia"/>
                <w:sz w:val="21"/>
                <w:szCs w:val="21"/>
                <w:vertAlign w:val="subscript"/>
              </w:rPr>
              <w:t>2</w:t>
            </w:r>
            <w:r>
              <w:rPr>
                <w:rFonts w:ascii="Times New Roman" w:eastAsiaTheme="minorEastAsia"/>
                <w:sz w:val="21"/>
                <w:szCs w:val="21"/>
              </w:rPr>
              <w:t>CH</w:t>
            </w:r>
            <w:r>
              <w:rPr>
                <w:rFonts w:ascii="Times New Roman" w:eastAsiaTheme="minorEastAsia"/>
                <w:sz w:val="21"/>
                <w:szCs w:val="21"/>
                <w:vertAlign w:val="subscript"/>
              </w:rPr>
              <w:t>2</w:t>
            </w:r>
            <w:r>
              <w:rPr>
                <w:rFonts w:ascii="Times New Roman" w:eastAsiaTheme="minorEastAsia"/>
                <w:sz w:val="21"/>
                <w:szCs w:val="21"/>
              </w:rPr>
              <w:t>NO</w:t>
            </w:r>
            <w:r>
              <w:rPr>
                <w:rFonts w:ascii="Times New Roman" w:eastAsiaTheme="minorEastAsia"/>
                <w:sz w:val="21"/>
                <w:szCs w:val="21"/>
                <w:vertAlign w:val="subscript"/>
              </w:rPr>
              <w:t>2</w:t>
            </w:r>
            <w:r>
              <w:rPr>
                <w:rFonts w:ascii="Times New Roman" w:eastAsiaTheme="minorEastAsia"/>
                <w:sz w:val="21"/>
                <w:szCs w:val="21"/>
              </w:rPr>
              <w:t>、2-硝基丙烷(CH</w:t>
            </w:r>
            <w:r>
              <w:rPr>
                <w:rFonts w:ascii="Times New Roman" w:eastAsiaTheme="minorEastAsia"/>
                <w:sz w:val="21"/>
                <w:szCs w:val="21"/>
                <w:vertAlign w:val="subscript"/>
              </w:rPr>
              <w:t>3</w:t>
            </w:r>
            <w:r>
              <w:rPr>
                <w:rFonts w:ascii="Times New Roman" w:eastAsiaTheme="minorEastAsia"/>
                <w:sz w:val="21"/>
                <w:szCs w:val="21"/>
              </w:rPr>
              <w:t>)</w:t>
            </w:r>
            <w:r>
              <w:rPr>
                <w:rFonts w:ascii="Times New Roman" w:eastAsiaTheme="minorEastAsia"/>
                <w:sz w:val="21"/>
                <w:szCs w:val="21"/>
                <w:vertAlign w:val="subscript"/>
              </w:rPr>
              <w:t>2</w:t>
            </w:r>
            <w:r>
              <w:rPr>
                <w:rFonts w:ascii="Times New Roman" w:eastAsiaTheme="minorEastAsia"/>
                <w:sz w:val="21"/>
                <w:szCs w:val="21"/>
              </w:rPr>
              <w:t>CHNO</w:t>
            </w:r>
            <w:r>
              <w:rPr>
                <w:rFonts w:ascii="Times New Roman" w:eastAsiaTheme="minorEastAsia"/>
                <w:sz w:val="21"/>
                <w:szCs w:val="21"/>
                <w:vertAlign w:val="subscript"/>
              </w:rPr>
              <w:t>2</w:t>
            </w:r>
            <w:r>
              <w:rPr>
                <w:rFonts w:ascii="Times New Roman" w:eastAsiaTheme="minorEastAsia"/>
                <w:sz w:val="21"/>
                <w:szCs w:val="21"/>
              </w:rPr>
              <w:t>、硝基乙烷CH</w:t>
            </w:r>
            <w:r>
              <w:rPr>
                <w:rFonts w:ascii="Times New Roman" w:eastAsiaTheme="minorEastAsia"/>
                <w:sz w:val="21"/>
                <w:szCs w:val="21"/>
                <w:vertAlign w:val="subscript"/>
              </w:rPr>
              <w:t>3</w:t>
            </w:r>
            <w:r>
              <w:rPr>
                <w:rFonts w:ascii="Times New Roman" w:eastAsiaTheme="minorEastAsia"/>
                <w:sz w:val="21"/>
                <w:szCs w:val="21"/>
              </w:rPr>
              <w:t>CH</w:t>
            </w:r>
            <w:r>
              <w:rPr>
                <w:rFonts w:ascii="Times New Roman" w:eastAsiaTheme="minorEastAsia"/>
                <w:sz w:val="21"/>
                <w:szCs w:val="21"/>
                <w:vertAlign w:val="subscript"/>
              </w:rPr>
              <w:t>2</w:t>
            </w:r>
            <w:r>
              <w:rPr>
                <w:rFonts w:ascii="Times New Roman" w:eastAsiaTheme="minorEastAsia"/>
                <w:sz w:val="21"/>
                <w:szCs w:val="21"/>
              </w:rPr>
              <w:t>NO</w:t>
            </w:r>
            <w:r>
              <w:rPr>
                <w:rFonts w:ascii="Times New Roman" w:eastAsiaTheme="minorEastAsia"/>
                <w:sz w:val="21"/>
                <w:szCs w:val="21"/>
                <w:vertAlign w:val="subscript"/>
              </w:rPr>
              <w:t>2</w:t>
            </w:r>
            <w:r>
              <w:rPr>
                <w:rFonts w:ascii="Times New Roman" w:eastAsiaTheme="minorEastAsia"/>
                <w:sz w:val="21"/>
                <w:szCs w:val="21"/>
              </w:rPr>
              <w:t>和硝基甲烷CH</w:t>
            </w:r>
            <w:r>
              <w:rPr>
                <w:rFonts w:ascii="Times New Roman" w:eastAsiaTheme="minorEastAsia"/>
                <w:sz w:val="21"/>
                <w:szCs w:val="21"/>
                <w:vertAlign w:val="subscript"/>
              </w:rPr>
              <w:t>3</w:t>
            </w:r>
            <w:r>
              <w:rPr>
                <w:rFonts w:ascii="Times New Roman" w:eastAsiaTheme="minorEastAsia"/>
                <w:sz w:val="21"/>
                <w:szCs w:val="21"/>
              </w:rPr>
              <w:t>NO</w:t>
            </w:r>
            <w:r>
              <w:rPr>
                <w:rFonts w:ascii="Times New Roman" w:eastAsiaTheme="minorEastAsia"/>
                <w:sz w:val="21"/>
                <w:szCs w:val="21"/>
                <w:vertAlign w:val="subscript"/>
              </w:rPr>
              <w:t>2</w:t>
            </w:r>
            <w:r>
              <w:rPr>
                <w:rFonts w:ascii="Times New Roman" w:eastAsiaTheme="minorEastAsia"/>
                <w:sz w:val="21"/>
                <w:szCs w:val="21"/>
              </w:rPr>
              <w:t>的混合物。丙烷可从油田气和裂化气中分离获得。在空气中燃烧时，丙烷与氧气反应生成二氧化碳和水。</w:t>
            </w:r>
          </w:p>
        </w:tc>
      </w:tr>
      <w:tr w14:paraId="70832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0" w:hRule="atLeast"/>
          <w:jc w:val="center"/>
        </w:trPr>
        <w:tc>
          <w:tcPr>
            <w:tcW w:w="364" w:type="pct"/>
            <w:tcBorders>
              <w:tl2br w:val="nil"/>
              <w:tr2bl w:val="nil"/>
            </w:tcBorders>
            <w:shd w:val="clear" w:color="auto" w:fill="auto"/>
            <w:vAlign w:val="center"/>
          </w:tcPr>
          <w:p w14:paraId="34C425FD">
            <w:pPr>
              <w:widowControl/>
              <w:jc w:val="center"/>
              <w:rPr>
                <w:rFonts w:ascii="Times New Roman" w:eastAsiaTheme="minorEastAsia"/>
                <w:kern w:val="0"/>
                <w:sz w:val="21"/>
                <w:szCs w:val="21"/>
              </w:rPr>
            </w:pPr>
            <w:r>
              <w:rPr>
                <w:rFonts w:ascii="Times New Roman" w:eastAsiaTheme="minorEastAsia"/>
                <w:kern w:val="0"/>
                <w:sz w:val="21"/>
                <w:szCs w:val="21"/>
              </w:rPr>
              <w:t>16</w:t>
            </w:r>
          </w:p>
        </w:tc>
        <w:tc>
          <w:tcPr>
            <w:tcW w:w="446" w:type="pct"/>
            <w:tcBorders>
              <w:tl2br w:val="nil"/>
              <w:tr2bl w:val="nil"/>
            </w:tcBorders>
            <w:vAlign w:val="center"/>
          </w:tcPr>
          <w:p w14:paraId="4FEFBC42">
            <w:pPr>
              <w:widowControl/>
              <w:jc w:val="center"/>
              <w:rPr>
                <w:rFonts w:ascii="Times New Roman" w:eastAsiaTheme="minorEastAsia"/>
                <w:sz w:val="21"/>
                <w:szCs w:val="21"/>
              </w:rPr>
            </w:pPr>
            <w:r>
              <w:rPr>
                <w:rFonts w:ascii="Times New Roman" w:eastAsiaTheme="minorEastAsia"/>
                <w:sz w:val="21"/>
                <w:szCs w:val="21"/>
              </w:rPr>
              <w:t>液氧</w:t>
            </w:r>
          </w:p>
        </w:tc>
        <w:tc>
          <w:tcPr>
            <w:tcW w:w="4188" w:type="pct"/>
            <w:tcBorders>
              <w:tl2br w:val="nil"/>
              <w:tr2bl w:val="nil"/>
            </w:tcBorders>
            <w:vAlign w:val="center"/>
          </w:tcPr>
          <w:p w14:paraId="5DE154BA">
            <w:pPr>
              <w:widowControl/>
              <w:jc w:val="left"/>
              <w:rPr>
                <w:rFonts w:ascii="Times New Roman" w:eastAsiaTheme="minorEastAsia"/>
                <w:sz w:val="21"/>
                <w:szCs w:val="21"/>
              </w:rPr>
            </w:pPr>
            <w:r>
              <w:rPr>
                <w:rFonts w:ascii="Times New Roman" w:eastAsiaTheme="minorEastAsia"/>
                <w:sz w:val="21"/>
                <w:szCs w:val="21"/>
              </w:rPr>
              <w:t>液氧为浅蓝色液体，并具有强顺磁性。它的主要物理性质如下：通常气压(101.325kPa)下密度1.141g/cm</w:t>
            </w:r>
            <w:r>
              <w:rPr>
                <w:rFonts w:ascii="Times New Roman" w:eastAsiaTheme="minorEastAsia"/>
                <w:sz w:val="21"/>
                <w:szCs w:val="21"/>
                <w:vertAlign w:val="superscript"/>
              </w:rPr>
              <w:t>3</w:t>
            </w:r>
            <w:r>
              <w:rPr>
                <w:rFonts w:ascii="Times New Roman" w:eastAsiaTheme="minorEastAsia"/>
                <w:sz w:val="21"/>
                <w:szCs w:val="21"/>
              </w:rPr>
              <w:t>；凝固点50.5K(-222.65℃)，沸点90.188K(-182.96℃)。液氧具有广泛的工业和医学用途。工业上制造液氧的方法是对液态空气进行分馏。液氧的总膨胀比高达860：1，因为这个优点它在现代被广泛应用于工业生产和军事方面。由于它的低温特性，液氧会使其接触的物质变得非常脆。液氧也是非常强的氧化剂，有机物在液氧中剧烈燃烧。一些物质若被长时间浸入液氧可能会发生爆炸，包括沥青。气态氧由液态氧经汽化而成，液态氧化学符号为O</w:t>
            </w:r>
            <w:r>
              <w:rPr>
                <w:rFonts w:ascii="Times New Roman" w:eastAsiaTheme="minorEastAsia"/>
                <w:sz w:val="21"/>
                <w:szCs w:val="21"/>
                <w:vertAlign w:val="subscript"/>
              </w:rPr>
              <w:t>2</w:t>
            </w:r>
            <w:r>
              <w:rPr>
                <w:rFonts w:ascii="Times New Roman" w:eastAsiaTheme="minorEastAsia"/>
                <w:sz w:val="21"/>
                <w:szCs w:val="21"/>
              </w:rPr>
              <w:t>，呈浅蓝色，沸点为T83°C；冷却到-218.8°C成为雪花状的淡蓝色固体，液氧的密度(在沸点时)为1.14g/cm</w:t>
            </w:r>
            <w:r>
              <w:rPr>
                <w:rFonts w:ascii="Times New Roman" w:eastAsiaTheme="minorEastAsia"/>
                <w:sz w:val="21"/>
                <w:szCs w:val="21"/>
                <w:vertAlign w:val="superscript"/>
              </w:rPr>
              <w:t>3</w:t>
            </w:r>
            <w:r>
              <w:rPr>
                <w:rFonts w:ascii="Times New Roman" w:eastAsiaTheme="minorEastAsia"/>
                <w:sz w:val="21"/>
                <w:szCs w:val="21"/>
              </w:rPr>
              <w:t>。</w:t>
            </w:r>
          </w:p>
        </w:tc>
      </w:tr>
      <w:tr w14:paraId="2FF38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5" w:hRule="atLeast"/>
          <w:jc w:val="center"/>
        </w:trPr>
        <w:tc>
          <w:tcPr>
            <w:tcW w:w="364" w:type="pct"/>
            <w:tcBorders>
              <w:tl2br w:val="nil"/>
              <w:tr2bl w:val="nil"/>
            </w:tcBorders>
            <w:shd w:val="clear" w:color="auto" w:fill="auto"/>
            <w:vAlign w:val="center"/>
          </w:tcPr>
          <w:p w14:paraId="196ADD72">
            <w:pPr>
              <w:widowControl/>
              <w:jc w:val="center"/>
              <w:rPr>
                <w:rFonts w:ascii="Times New Roman" w:eastAsiaTheme="minorEastAsia"/>
                <w:kern w:val="0"/>
                <w:sz w:val="21"/>
                <w:szCs w:val="21"/>
              </w:rPr>
            </w:pPr>
            <w:r>
              <w:rPr>
                <w:rFonts w:ascii="Times New Roman" w:eastAsiaTheme="minorEastAsia"/>
                <w:kern w:val="0"/>
                <w:sz w:val="21"/>
                <w:szCs w:val="21"/>
              </w:rPr>
              <w:t>17</w:t>
            </w:r>
          </w:p>
        </w:tc>
        <w:tc>
          <w:tcPr>
            <w:tcW w:w="446" w:type="pct"/>
            <w:tcBorders>
              <w:tl2br w:val="nil"/>
              <w:tr2bl w:val="nil"/>
            </w:tcBorders>
            <w:vAlign w:val="center"/>
          </w:tcPr>
          <w:p w14:paraId="69FF81BD">
            <w:pPr>
              <w:widowControl/>
              <w:jc w:val="center"/>
              <w:rPr>
                <w:rFonts w:ascii="Times New Roman" w:eastAsiaTheme="minorEastAsia"/>
                <w:sz w:val="21"/>
                <w:szCs w:val="21"/>
              </w:rPr>
            </w:pPr>
            <w:r>
              <w:rPr>
                <w:rFonts w:ascii="Times New Roman" w:eastAsiaTheme="minorEastAsia"/>
                <w:sz w:val="21"/>
                <w:szCs w:val="21"/>
              </w:rPr>
              <w:t>液氩</w:t>
            </w:r>
          </w:p>
        </w:tc>
        <w:tc>
          <w:tcPr>
            <w:tcW w:w="4188" w:type="pct"/>
            <w:tcBorders>
              <w:tl2br w:val="nil"/>
              <w:tr2bl w:val="nil"/>
            </w:tcBorders>
            <w:vAlign w:val="center"/>
          </w:tcPr>
          <w:p w14:paraId="01D8EC21">
            <w:pPr>
              <w:widowControl/>
              <w:jc w:val="left"/>
              <w:rPr>
                <w:rFonts w:ascii="Times New Roman" w:eastAsiaTheme="minorEastAsia"/>
                <w:sz w:val="21"/>
                <w:szCs w:val="21"/>
              </w:rPr>
            </w:pPr>
            <w:r>
              <w:rPr>
                <w:rFonts w:ascii="Times New Roman" w:eastAsiaTheme="minorEastAsia"/>
                <w:sz w:val="21"/>
                <w:szCs w:val="21"/>
              </w:rPr>
              <w:t>液氩是液态的氩，液氩在常温常压下为无色、无味、无嗅且无毒的惰性气体。</w:t>
            </w:r>
          </w:p>
          <w:p w14:paraId="3B7531EE">
            <w:pPr>
              <w:widowControl/>
              <w:jc w:val="left"/>
              <w:rPr>
                <w:rFonts w:ascii="Times New Roman" w:eastAsiaTheme="minorEastAsia"/>
                <w:sz w:val="21"/>
                <w:szCs w:val="21"/>
              </w:rPr>
            </w:pPr>
            <w:r>
              <w:rPr>
                <w:rFonts w:ascii="Times New Roman" w:eastAsiaTheme="minorEastAsia"/>
                <w:sz w:val="21"/>
                <w:szCs w:val="21"/>
              </w:rPr>
              <w:t>熔点与沸点：液氩的熔点为-189.2℃，沸点为-185.9℃(也有资料提到沸点为-185.7℃)。密度：液氩的密度为1.40g/cm</w:t>
            </w:r>
            <w:r>
              <w:rPr>
                <w:rFonts w:ascii="Times New Roman" w:eastAsiaTheme="minorEastAsia"/>
                <w:sz w:val="21"/>
                <w:szCs w:val="21"/>
                <w:vertAlign w:val="superscript"/>
              </w:rPr>
              <w:t>3</w:t>
            </w:r>
            <w:r>
              <w:rPr>
                <w:rFonts w:ascii="Times New Roman" w:eastAsiaTheme="minorEastAsia"/>
                <w:sz w:val="21"/>
                <w:szCs w:val="21"/>
              </w:rPr>
              <w:t>(或1410Kg/m°，1394kg/m</w:t>
            </w:r>
            <w:r>
              <w:rPr>
                <w:rFonts w:ascii="Times New Roman" w:eastAsiaTheme="minorEastAsia"/>
                <w:sz w:val="21"/>
                <w:szCs w:val="21"/>
                <w:vertAlign w:val="superscript"/>
              </w:rPr>
              <w:t>3</w:t>
            </w:r>
            <w:r>
              <w:rPr>
                <w:rFonts w:ascii="Times New Roman" w:eastAsiaTheme="minorEastAsia"/>
                <w:sz w:val="21"/>
                <w:szCs w:val="21"/>
              </w:rPr>
              <w:t>(饱和液氬，1atm)，相对蒸气密度(空气=1)为1.38。其密度大于空气，约为空气密度的1.4倍。溶解性：液氩微溶于水及有机溶剂。化学性质：液氩的化学性质非常稳定，在常温状态下可以与大部分元素不发生反应。在高温下，氩气直接离解为正离子和电子，能量损耗低，电弧燃烧稳定。</w:t>
            </w:r>
          </w:p>
        </w:tc>
      </w:tr>
      <w:tr w14:paraId="1B289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jc w:val="center"/>
        </w:trPr>
        <w:tc>
          <w:tcPr>
            <w:tcW w:w="364" w:type="pct"/>
            <w:tcBorders>
              <w:tl2br w:val="nil"/>
              <w:tr2bl w:val="nil"/>
            </w:tcBorders>
            <w:vAlign w:val="center"/>
          </w:tcPr>
          <w:p w14:paraId="24116FB3">
            <w:pPr>
              <w:widowControl/>
              <w:jc w:val="center"/>
              <w:rPr>
                <w:rFonts w:ascii="Times New Roman" w:eastAsiaTheme="minorEastAsia"/>
                <w:kern w:val="0"/>
                <w:sz w:val="21"/>
                <w:szCs w:val="21"/>
              </w:rPr>
            </w:pPr>
            <w:r>
              <w:rPr>
                <w:rFonts w:hint="eastAsia" w:ascii="Times New Roman" w:eastAsiaTheme="minorEastAsia"/>
                <w:kern w:val="0"/>
                <w:sz w:val="21"/>
                <w:szCs w:val="21"/>
              </w:rPr>
              <w:t>18</w:t>
            </w:r>
          </w:p>
        </w:tc>
        <w:tc>
          <w:tcPr>
            <w:tcW w:w="446" w:type="pct"/>
            <w:tcBorders>
              <w:tl2br w:val="nil"/>
              <w:tr2bl w:val="nil"/>
            </w:tcBorders>
            <w:vAlign w:val="center"/>
          </w:tcPr>
          <w:p w14:paraId="2ECB00DF">
            <w:pPr>
              <w:widowControl/>
              <w:jc w:val="center"/>
              <w:rPr>
                <w:rFonts w:ascii="Times New Roman" w:eastAsiaTheme="minorEastAsia"/>
                <w:sz w:val="21"/>
                <w:szCs w:val="21"/>
              </w:rPr>
            </w:pPr>
            <w:r>
              <w:rPr>
                <w:rFonts w:ascii="Times New Roman" w:eastAsiaTheme="minorEastAsia"/>
                <w:sz w:val="21"/>
                <w:szCs w:val="21"/>
              </w:rPr>
              <w:t>液态二氧化碳</w:t>
            </w:r>
          </w:p>
        </w:tc>
        <w:tc>
          <w:tcPr>
            <w:tcW w:w="4188" w:type="pct"/>
            <w:tcBorders>
              <w:tl2br w:val="nil"/>
              <w:tr2bl w:val="nil"/>
            </w:tcBorders>
            <w:vAlign w:val="center"/>
          </w:tcPr>
          <w:p w14:paraId="47DAC7B9">
            <w:pPr>
              <w:widowControl/>
              <w:jc w:val="left"/>
              <w:rPr>
                <w:rFonts w:ascii="Times New Roman" w:eastAsiaTheme="minorEastAsia"/>
                <w:sz w:val="21"/>
                <w:szCs w:val="21"/>
              </w:rPr>
            </w:pPr>
            <w:r>
              <w:rPr>
                <w:rFonts w:ascii="Times New Roman" w:eastAsiaTheme="minorEastAsia"/>
                <w:sz w:val="21"/>
                <w:szCs w:val="21"/>
              </w:rPr>
              <w:t>液态二氧化碳指的是高压低温下将二氧化碳气体液化为液体形态。密度‌：液态二氧化碳的密度为1.101g/cm</w:t>
            </w:r>
            <w:r>
              <w:rPr>
                <w:rFonts w:ascii="Times New Roman" w:eastAsiaTheme="minorEastAsia"/>
                <w:sz w:val="21"/>
                <w:szCs w:val="21"/>
                <w:vertAlign w:val="superscript"/>
              </w:rPr>
              <w:t>3</w:t>
            </w:r>
            <w:r>
              <w:rPr>
                <w:rFonts w:ascii="Times New Roman" w:eastAsiaTheme="minorEastAsia"/>
                <w:sz w:val="21"/>
                <w:szCs w:val="21"/>
              </w:rPr>
              <w:t>，在-37℃时测量‌。‌沸点‌：液态二氧化碳的沸点为-78.5℃，在101.3kPa下测量‌。‌溶解性‌：液态二氧化碳能溶于水，溶解度为0.144g/100g水（25℃）。‌‌热效应‌：液态二氧化碳蒸发时会吸收大量的热，而放热时则会凝成固体二氧化碳，俗称干冰‌。液态二氧化碳的化学性质‌包括：</w:t>
            </w:r>
          </w:p>
          <w:p w14:paraId="7525B90B">
            <w:pPr>
              <w:widowControl/>
              <w:jc w:val="left"/>
              <w:rPr>
                <w:rFonts w:ascii="Times New Roman" w:eastAsiaTheme="minorEastAsia"/>
                <w:sz w:val="21"/>
                <w:szCs w:val="21"/>
              </w:rPr>
            </w:pPr>
            <w:r>
              <w:rPr>
                <w:rFonts w:ascii="Times New Roman" w:eastAsiaTheme="minorEastAsia"/>
                <w:sz w:val="21"/>
                <w:szCs w:val="21"/>
              </w:rPr>
              <w:t>‌反应性‌：液态二氧化碳能与水反应生成碳酸，碳酸是一种不稳定的酸，易分解重新释放出二氧化碳‌。‌酸性‌：二氧化碳是酸性氧化物，能与碱反应生成相应的碳酸盐和水。例如，二氧化碳与氢氧化钠反应生成碳酸钠和水，与氢氧化钙反应生成碳酸钙和水‌。‌不燃性‌：液态二氧化碳不燃，常用于灭火器中，通过气化覆盖在燃烧物表面，隔绝氧气以达到灭火的目的。</w:t>
            </w:r>
          </w:p>
        </w:tc>
      </w:tr>
    </w:tbl>
    <w:p w14:paraId="65B34BE8">
      <w:pPr>
        <w:spacing w:line="480" w:lineRule="exact"/>
        <w:jc w:val="center"/>
        <w:rPr>
          <w:rFonts w:ascii="Times New Roman"/>
          <w:b/>
          <w:sz w:val="24"/>
          <w:szCs w:val="24"/>
        </w:rPr>
      </w:pPr>
      <w:r>
        <w:rPr>
          <w:rFonts w:ascii="Times New Roman"/>
          <w:b/>
          <w:sz w:val="24"/>
          <w:szCs w:val="24"/>
        </w:rPr>
        <w:t>表3.3-7  天然气理化性质一览表</w:t>
      </w:r>
    </w:p>
    <w:tbl>
      <w:tblPr>
        <w:tblStyle w:val="8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05"/>
        <w:gridCol w:w="1117"/>
        <w:gridCol w:w="1049"/>
        <w:gridCol w:w="996"/>
        <w:gridCol w:w="1037"/>
        <w:gridCol w:w="806"/>
        <w:gridCol w:w="1145"/>
        <w:gridCol w:w="1304"/>
      </w:tblGrid>
      <w:tr w14:paraId="6E654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541" w:type="pct"/>
            <w:vAlign w:val="center"/>
          </w:tcPr>
          <w:p w14:paraId="76734380">
            <w:pPr>
              <w:spacing w:line="0" w:lineRule="atLeast"/>
              <w:jc w:val="center"/>
              <w:rPr>
                <w:rFonts w:ascii="Times New Roman"/>
                <w:sz w:val="21"/>
                <w:szCs w:val="21"/>
              </w:rPr>
            </w:pPr>
            <w:r>
              <w:rPr>
                <w:rFonts w:ascii="Times New Roman"/>
                <w:sz w:val="21"/>
                <w:szCs w:val="21"/>
              </w:rPr>
              <w:t>项目</w:t>
            </w:r>
          </w:p>
        </w:tc>
        <w:tc>
          <w:tcPr>
            <w:tcW w:w="668" w:type="pct"/>
            <w:vAlign w:val="center"/>
          </w:tcPr>
          <w:p w14:paraId="42321C1E">
            <w:pPr>
              <w:spacing w:line="0" w:lineRule="atLeast"/>
              <w:jc w:val="center"/>
              <w:rPr>
                <w:rFonts w:ascii="Times New Roman"/>
                <w:sz w:val="21"/>
                <w:szCs w:val="21"/>
              </w:rPr>
            </w:pPr>
            <w:r>
              <w:rPr>
                <w:rFonts w:ascii="Times New Roman"/>
                <w:sz w:val="21"/>
                <w:szCs w:val="21"/>
              </w:rPr>
              <w:t>CH</w:t>
            </w:r>
            <w:r>
              <w:rPr>
                <w:rFonts w:ascii="Times New Roman"/>
                <w:sz w:val="21"/>
                <w:szCs w:val="21"/>
                <w:vertAlign w:val="subscript"/>
              </w:rPr>
              <w:t>4</w:t>
            </w:r>
            <w:r>
              <w:rPr>
                <w:rFonts w:ascii="Times New Roman"/>
                <w:sz w:val="21"/>
                <w:szCs w:val="21"/>
              </w:rPr>
              <w:t>(%)</w:t>
            </w:r>
          </w:p>
        </w:tc>
        <w:tc>
          <w:tcPr>
            <w:tcW w:w="627" w:type="pct"/>
            <w:vAlign w:val="center"/>
          </w:tcPr>
          <w:p w14:paraId="58815559">
            <w:pPr>
              <w:spacing w:line="0" w:lineRule="atLeast"/>
              <w:jc w:val="center"/>
              <w:rPr>
                <w:rFonts w:ascii="Times New Roman"/>
                <w:sz w:val="21"/>
                <w:szCs w:val="21"/>
              </w:rPr>
            </w:pPr>
            <w:r>
              <w:rPr>
                <w:rFonts w:ascii="Times New Roman"/>
                <w:sz w:val="21"/>
                <w:szCs w:val="21"/>
              </w:rPr>
              <w:t>C</w:t>
            </w:r>
            <w:r>
              <w:rPr>
                <w:rFonts w:ascii="Times New Roman"/>
                <w:sz w:val="21"/>
                <w:szCs w:val="21"/>
                <w:vertAlign w:val="subscript"/>
              </w:rPr>
              <w:t>2</w:t>
            </w:r>
            <w:r>
              <w:rPr>
                <w:rFonts w:ascii="Times New Roman"/>
                <w:sz w:val="21"/>
                <w:szCs w:val="21"/>
              </w:rPr>
              <w:t>H</w:t>
            </w:r>
            <w:r>
              <w:rPr>
                <w:rFonts w:ascii="Times New Roman"/>
                <w:sz w:val="21"/>
                <w:szCs w:val="21"/>
                <w:vertAlign w:val="subscript"/>
              </w:rPr>
              <w:t>6</w:t>
            </w:r>
            <w:r>
              <w:rPr>
                <w:rFonts w:ascii="Times New Roman"/>
                <w:sz w:val="21"/>
                <w:szCs w:val="21"/>
              </w:rPr>
              <w:t>(%)</w:t>
            </w:r>
          </w:p>
        </w:tc>
        <w:tc>
          <w:tcPr>
            <w:tcW w:w="595" w:type="pct"/>
            <w:vAlign w:val="center"/>
          </w:tcPr>
          <w:p w14:paraId="5FFC8E4A">
            <w:pPr>
              <w:spacing w:line="0" w:lineRule="atLeast"/>
              <w:jc w:val="center"/>
              <w:rPr>
                <w:rFonts w:ascii="Times New Roman"/>
                <w:sz w:val="21"/>
                <w:szCs w:val="21"/>
              </w:rPr>
            </w:pPr>
            <w:r>
              <w:rPr>
                <w:rFonts w:ascii="Times New Roman"/>
                <w:sz w:val="21"/>
                <w:szCs w:val="21"/>
              </w:rPr>
              <w:t>C</w:t>
            </w:r>
            <w:r>
              <w:rPr>
                <w:rFonts w:ascii="Times New Roman"/>
                <w:sz w:val="21"/>
                <w:szCs w:val="21"/>
                <w:vertAlign w:val="subscript"/>
              </w:rPr>
              <w:t>3</w:t>
            </w:r>
            <w:r>
              <w:rPr>
                <w:rFonts w:ascii="Times New Roman"/>
                <w:sz w:val="21"/>
                <w:szCs w:val="21"/>
              </w:rPr>
              <w:t>H</w:t>
            </w:r>
            <w:r>
              <w:rPr>
                <w:rFonts w:ascii="Times New Roman"/>
                <w:sz w:val="21"/>
                <w:szCs w:val="21"/>
                <w:vertAlign w:val="subscript"/>
              </w:rPr>
              <w:t>8</w:t>
            </w:r>
            <w:r>
              <w:rPr>
                <w:rFonts w:ascii="Times New Roman"/>
                <w:sz w:val="21"/>
                <w:szCs w:val="21"/>
              </w:rPr>
              <w:t>(%)</w:t>
            </w:r>
          </w:p>
        </w:tc>
        <w:tc>
          <w:tcPr>
            <w:tcW w:w="619" w:type="pct"/>
            <w:vAlign w:val="center"/>
          </w:tcPr>
          <w:p w14:paraId="4867B1EF">
            <w:pPr>
              <w:spacing w:line="0" w:lineRule="atLeast"/>
              <w:jc w:val="center"/>
              <w:rPr>
                <w:rFonts w:ascii="Times New Roman"/>
                <w:sz w:val="21"/>
                <w:szCs w:val="21"/>
              </w:rPr>
            </w:pPr>
            <w:r>
              <w:rPr>
                <w:rFonts w:ascii="Times New Roman"/>
                <w:sz w:val="21"/>
                <w:szCs w:val="21"/>
              </w:rPr>
              <w:t>C</w:t>
            </w:r>
            <w:r>
              <w:rPr>
                <w:rFonts w:ascii="Times New Roman"/>
                <w:sz w:val="21"/>
                <w:szCs w:val="21"/>
                <w:vertAlign w:val="subscript"/>
              </w:rPr>
              <w:t>4</w:t>
            </w:r>
            <w:r>
              <w:rPr>
                <w:rFonts w:ascii="Times New Roman"/>
                <w:sz w:val="21"/>
                <w:szCs w:val="21"/>
              </w:rPr>
              <w:t>H</w:t>
            </w:r>
            <w:r>
              <w:rPr>
                <w:rFonts w:ascii="Times New Roman"/>
                <w:sz w:val="21"/>
                <w:szCs w:val="21"/>
                <w:vertAlign w:val="subscript"/>
              </w:rPr>
              <w:t>10</w:t>
            </w:r>
            <w:r>
              <w:rPr>
                <w:rFonts w:ascii="Times New Roman"/>
                <w:sz w:val="21"/>
                <w:szCs w:val="21"/>
              </w:rPr>
              <w:t>(%)</w:t>
            </w:r>
          </w:p>
        </w:tc>
        <w:tc>
          <w:tcPr>
            <w:tcW w:w="481" w:type="pct"/>
            <w:vAlign w:val="center"/>
          </w:tcPr>
          <w:p w14:paraId="126CD2B0">
            <w:pPr>
              <w:spacing w:line="0" w:lineRule="atLeast"/>
              <w:jc w:val="center"/>
              <w:rPr>
                <w:rFonts w:ascii="Times New Roman"/>
                <w:sz w:val="21"/>
                <w:szCs w:val="21"/>
              </w:rPr>
            </w:pPr>
            <w:r>
              <w:rPr>
                <w:rFonts w:ascii="Times New Roman"/>
                <w:sz w:val="21"/>
                <w:szCs w:val="21"/>
              </w:rPr>
              <w:t>CO</w:t>
            </w:r>
            <w:r>
              <w:rPr>
                <w:rFonts w:ascii="Times New Roman"/>
                <w:sz w:val="21"/>
                <w:szCs w:val="21"/>
                <w:vertAlign w:val="subscript"/>
              </w:rPr>
              <w:t>2</w:t>
            </w:r>
            <w:r>
              <w:rPr>
                <w:rFonts w:ascii="Times New Roman"/>
                <w:sz w:val="21"/>
                <w:szCs w:val="21"/>
              </w:rPr>
              <w:t>(%)</w:t>
            </w:r>
          </w:p>
        </w:tc>
        <w:tc>
          <w:tcPr>
            <w:tcW w:w="684" w:type="pct"/>
            <w:vAlign w:val="center"/>
          </w:tcPr>
          <w:p w14:paraId="420639BC">
            <w:pPr>
              <w:spacing w:line="0" w:lineRule="atLeast"/>
              <w:jc w:val="center"/>
              <w:rPr>
                <w:rFonts w:ascii="Times New Roman"/>
                <w:sz w:val="21"/>
                <w:szCs w:val="21"/>
              </w:rPr>
            </w:pPr>
            <w:r>
              <w:rPr>
                <w:rFonts w:ascii="Times New Roman"/>
                <w:sz w:val="21"/>
                <w:szCs w:val="21"/>
              </w:rPr>
              <w:t>全硫(mg/m</w:t>
            </w:r>
            <w:r>
              <w:rPr>
                <w:rFonts w:ascii="Times New Roman"/>
                <w:sz w:val="21"/>
                <w:szCs w:val="21"/>
                <w:vertAlign w:val="superscript"/>
              </w:rPr>
              <w:t>3</w:t>
            </w:r>
            <w:r>
              <w:rPr>
                <w:rFonts w:ascii="Times New Roman"/>
                <w:sz w:val="21"/>
                <w:szCs w:val="21"/>
              </w:rPr>
              <w:t>)</w:t>
            </w:r>
          </w:p>
        </w:tc>
        <w:tc>
          <w:tcPr>
            <w:tcW w:w="779" w:type="pct"/>
            <w:vAlign w:val="center"/>
          </w:tcPr>
          <w:p w14:paraId="79D9B014">
            <w:pPr>
              <w:spacing w:line="0" w:lineRule="atLeast"/>
              <w:jc w:val="center"/>
              <w:rPr>
                <w:rFonts w:ascii="Times New Roman"/>
                <w:sz w:val="21"/>
                <w:szCs w:val="21"/>
              </w:rPr>
            </w:pPr>
            <w:r>
              <w:rPr>
                <w:rFonts w:ascii="Times New Roman"/>
                <w:sz w:val="21"/>
                <w:szCs w:val="21"/>
              </w:rPr>
              <w:t>低位发热值(MJ/m</w:t>
            </w:r>
            <w:r>
              <w:rPr>
                <w:rFonts w:ascii="Times New Roman"/>
                <w:sz w:val="21"/>
                <w:szCs w:val="21"/>
                <w:vertAlign w:val="superscript"/>
              </w:rPr>
              <w:t>3</w:t>
            </w:r>
            <w:r>
              <w:rPr>
                <w:rFonts w:ascii="Times New Roman"/>
                <w:sz w:val="21"/>
                <w:szCs w:val="21"/>
              </w:rPr>
              <w:t>)</w:t>
            </w:r>
          </w:p>
        </w:tc>
      </w:tr>
      <w:tr w14:paraId="12C37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541" w:type="pct"/>
            <w:vAlign w:val="center"/>
          </w:tcPr>
          <w:p w14:paraId="50994133">
            <w:pPr>
              <w:spacing w:line="0" w:lineRule="atLeast"/>
              <w:jc w:val="center"/>
              <w:rPr>
                <w:rFonts w:ascii="Times New Roman"/>
                <w:sz w:val="21"/>
                <w:szCs w:val="21"/>
              </w:rPr>
            </w:pPr>
            <w:r>
              <w:rPr>
                <w:rFonts w:ascii="Times New Roman"/>
                <w:sz w:val="21"/>
                <w:szCs w:val="21"/>
              </w:rPr>
              <w:t>指标</w:t>
            </w:r>
          </w:p>
        </w:tc>
        <w:tc>
          <w:tcPr>
            <w:tcW w:w="668" w:type="pct"/>
            <w:vAlign w:val="center"/>
          </w:tcPr>
          <w:p w14:paraId="6E06F294">
            <w:pPr>
              <w:autoSpaceDE w:val="0"/>
              <w:autoSpaceDN w:val="0"/>
              <w:spacing w:line="0" w:lineRule="atLeast"/>
              <w:jc w:val="center"/>
              <w:rPr>
                <w:rFonts w:ascii="Times New Roman"/>
                <w:sz w:val="21"/>
                <w:szCs w:val="21"/>
              </w:rPr>
            </w:pPr>
            <w:r>
              <w:rPr>
                <w:rFonts w:ascii="Times New Roman"/>
                <w:sz w:val="21"/>
                <w:szCs w:val="21"/>
              </w:rPr>
              <w:t>9</w:t>
            </w:r>
            <w:r>
              <w:rPr>
                <w:rFonts w:hint="eastAsia" w:ascii="Times New Roman"/>
                <w:sz w:val="21"/>
                <w:szCs w:val="21"/>
              </w:rPr>
              <w:t>2.76</w:t>
            </w:r>
          </w:p>
        </w:tc>
        <w:tc>
          <w:tcPr>
            <w:tcW w:w="627" w:type="pct"/>
            <w:vAlign w:val="center"/>
          </w:tcPr>
          <w:p w14:paraId="6888DB5E">
            <w:pPr>
              <w:autoSpaceDE w:val="0"/>
              <w:autoSpaceDN w:val="0"/>
              <w:spacing w:line="0" w:lineRule="atLeast"/>
              <w:jc w:val="center"/>
              <w:rPr>
                <w:rFonts w:ascii="Times New Roman"/>
                <w:sz w:val="21"/>
                <w:szCs w:val="21"/>
              </w:rPr>
            </w:pPr>
            <w:r>
              <w:rPr>
                <w:rFonts w:hint="eastAsia" w:ascii="Times New Roman"/>
                <w:sz w:val="21"/>
                <w:szCs w:val="21"/>
              </w:rPr>
              <w:t>5.12</w:t>
            </w:r>
          </w:p>
        </w:tc>
        <w:tc>
          <w:tcPr>
            <w:tcW w:w="595" w:type="pct"/>
            <w:vAlign w:val="center"/>
          </w:tcPr>
          <w:p w14:paraId="441FFA4B">
            <w:pPr>
              <w:autoSpaceDE w:val="0"/>
              <w:autoSpaceDN w:val="0"/>
              <w:spacing w:line="0" w:lineRule="atLeast"/>
              <w:jc w:val="center"/>
              <w:rPr>
                <w:rFonts w:ascii="Times New Roman"/>
                <w:sz w:val="21"/>
                <w:szCs w:val="21"/>
              </w:rPr>
            </w:pPr>
            <w:r>
              <w:rPr>
                <w:rFonts w:ascii="Times New Roman"/>
                <w:sz w:val="21"/>
                <w:szCs w:val="21"/>
              </w:rPr>
              <w:t>0.</w:t>
            </w:r>
            <w:r>
              <w:rPr>
                <w:rFonts w:hint="eastAsia" w:ascii="Times New Roman"/>
                <w:sz w:val="21"/>
                <w:szCs w:val="21"/>
              </w:rPr>
              <w:t>71</w:t>
            </w:r>
          </w:p>
        </w:tc>
        <w:tc>
          <w:tcPr>
            <w:tcW w:w="619" w:type="pct"/>
            <w:vAlign w:val="center"/>
          </w:tcPr>
          <w:p w14:paraId="57E73EA2">
            <w:pPr>
              <w:spacing w:line="0" w:lineRule="atLeast"/>
              <w:jc w:val="center"/>
              <w:rPr>
                <w:rFonts w:ascii="Times New Roman"/>
                <w:sz w:val="21"/>
                <w:szCs w:val="21"/>
              </w:rPr>
            </w:pPr>
            <w:r>
              <w:rPr>
                <w:rFonts w:ascii="Times New Roman"/>
                <w:sz w:val="21"/>
                <w:szCs w:val="21"/>
              </w:rPr>
              <w:t>0.</w:t>
            </w:r>
            <w:r>
              <w:rPr>
                <w:rFonts w:hint="eastAsia" w:ascii="Times New Roman"/>
                <w:sz w:val="21"/>
                <w:szCs w:val="21"/>
              </w:rPr>
              <w:t>34</w:t>
            </w:r>
          </w:p>
        </w:tc>
        <w:tc>
          <w:tcPr>
            <w:tcW w:w="481" w:type="pct"/>
            <w:vAlign w:val="center"/>
          </w:tcPr>
          <w:p w14:paraId="69956625">
            <w:pPr>
              <w:autoSpaceDE w:val="0"/>
              <w:autoSpaceDN w:val="0"/>
              <w:spacing w:line="0" w:lineRule="atLeast"/>
              <w:jc w:val="center"/>
              <w:rPr>
                <w:rFonts w:ascii="Times New Roman"/>
                <w:sz w:val="21"/>
                <w:szCs w:val="21"/>
              </w:rPr>
            </w:pPr>
            <w:r>
              <w:rPr>
                <w:rFonts w:hint="eastAsia" w:ascii="Times New Roman"/>
                <w:sz w:val="21"/>
                <w:szCs w:val="21"/>
              </w:rPr>
              <w:t>--</w:t>
            </w:r>
          </w:p>
        </w:tc>
        <w:tc>
          <w:tcPr>
            <w:tcW w:w="684" w:type="pct"/>
            <w:vAlign w:val="center"/>
          </w:tcPr>
          <w:p w14:paraId="0CB8533B">
            <w:pPr>
              <w:autoSpaceDE w:val="0"/>
              <w:autoSpaceDN w:val="0"/>
              <w:spacing w:line="0" w:lineRule="atLeast"/>
              <w:jc w:val="center"/>
              <w:rPr>
                <w:rFonts w:ascii="Times New Roman"/>
                <w:sz w:val="21"/>
                <w:szCs w:val="21"/>
              </w:rPr>
            </w:pPr>
            <w:r>
              <w:rPr>
                <w:rFonts w:ascii="Times New Roman"/>
                <w:sz w:val="21"/>
                <w:szCs w:val="21"/>
              </w:rPr>
              <w:t>≤20</w:t>
            </w:r>
          </w:p>
        </w:tc>
        <w:tc>
          <w:tcPr>
            <w:tcW w:w="779" w:type="pct"/>
            <w:vAlign w:val="center"/>
          </w:tcPr>
          <w:p w14:paraId="6C1A6C0D">
            <w:pPr>
              <w:autoSpaceDE w:val="0"/>
              <w:autoSpaceDN w:val="0"/>
              <w:spacing w:line="0" w:lineRule="atLeast"/>
              <w:jc w:val="center"/>
              <w:rPr>
                <w:rFonts w:ascii="Times New Roman"/>
                <w:sz w:val="21"/>
                <w:szCs w:val="21"/>
              </w:rPr>
            </w:pPr>
            <w:r>
              <w:rPr>
                <w:rFonts w:ascii="Times New Roman"/>
                <w:sz w:val="21"/>
                <w:szCs w:val="21"/>
              </w:rPr>
              <w:t>35.</w:t>
            </w:r>
            <w:r>
              <w:rPr>
                <w:rFonts w:hint="eastAsia" w:ascii="Times New Roman"/>
                <w:sz w:val="21"/>
                <w:szCs w:val="21"/>
              </w:rPr>
              <w:t>08</w:t>
            </w:r>
          </w:p>
        </w:tc>
      </w:tr>
      <w:bookmarkEnd w:id="90"/>
    </w:tbl>
    <w:p w14:paraId="4CA723B7">
      <w:pPr>
        <w:widowControl/>
        <w:spacing w:line="520" w:lineRule="exact"/>
        <w:jc w:val="left"/>
        <w:outlineLvl w:val="1"/>
        <w:rPr>
          <w:rFonts w:ascii="Times New Roman"/>
          <w:b/>
          <w:snapToGrid w:val="0"/>
          <w:sz w:val="32"/>
          <w:szCs w:val="32"/>
        </w:rPr>
      </w:pPr>
      <w:bookmarkStart w:id="102" w:name="_Toc26186"/>
      <w:bookmarkStart w:id="103" w:name="_Toc390963088"/>
      <w:bookmarkStart w:id="104" w:name="_Toc246763530"/>
      <w:bookmarkStart w:id="105" w:name="_Toc21937"/>
      <w:bookmarkStart w:id="106" w:name="_Toc422392406"/>
      <w:r>
        <w:rPr>
          <w:rFonts w:ascii="Times New Roman"/>
          <w:b/>
          <w:sz w:val="30"/>
          <w:szCs w:val="30"/>
        </w:rPr>
        <w:t>3.4主要生产设备</w:t>
      </w:r>
      <w:bookmarkEnd w:id="102"/>
    </w:p>
    <w:p w14:paraId="539F5702">
      <w:pPr>
        <w:autoSpaceDE w:val="0"/>
        <w:autoSpaceDN w:val="0"/>
        <w:adjustRightInd w:val="0"/>
        <w:spacing w:line="480" w:lineRule="exact"/>
        <w:ind w:firstLine="470" w:firstLineChars="196"/>
        <w:jc w:val="left"/>
        <w:rPr>
          <w:rFonts w:ascii="Times New Roman"/>
          <w:sz w:val="24"/>
          <w:szCs w:val="20"/>
        </w:rPr>
      </w:pPr>
      <w:r>
        <w:rPr>
          <w:rFonts w:ascii="Times New Roman"/>
          <w:sz w:val="24"/>
          <w:szCs w:val="20"/>
        </w:rPr>
        <w:t>项目主要设备见表3.4-1。</w:t>
      </w:r>
    </w:p>
    <w:p w14:paraId="48A8748A">
      <w:pPr>
        <w:autoSpaceDE w:val="0"/>
        <w:autoSpaceDN w:val="0"/>
        <w:adjustRightInd w:val="0"/>
        <w:spacing w:line="360" w:lineRule="auto"/>
        <w:jc w:val="center"/>
        <w:rPr>
          <w:rFonts w:ascii="Times New Roman"/>
          <w:b/>
          <w:sz w:val="24"/>
          <w:szCs w:val="20"/>
        </w:rPr>
      </w:pPr>
      <w:r>
        <w:rPr>
          <w:rFonts w:ascii="Times New Roman"/>
          <w:b/>
          <w:sz w:val="24"/>
          <w:szCs w:val="20"/>
        </w:rPr>
        <w:t>表3.4-1  项目主要生产设备设施一览表</w:t>
      </w:r>
    </w:p>
    <w:tbl>
      <w:tblPr>
        <w:tblStyle w:val="84"/>
        <w:tblW w:w="51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3"/>
        <w:gridCol w:w="705"/>
        <w:gridCol w:w="1051"/>
        <w:gridCol w:w="1298"/>
        <w:gridCol w:w="529"/>
        <w:gridCol w:w="1118"/>
        <w:gridCol w:w="2442"/>
        <w:gridCol w:w="805"/>
      </w:tblGrid>
      <w:tr w14:paraId="2015F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2" w:type="pct"/>
            <w:tcBorders>
              <w:bottom w:val="nil"/>
            </w:tcBorders>
            <w:vAlign w:val="center"/>
          </w:tcPr>
          <w:p w14:paraId="0C1FCEAD">
            <w:pPr>
              <w:jc w:val="center"/>
              <w:textAlignment w:val="center"/>
              <w:rPr>
                <w:rFonts w:ascii="Times New Roman"/>
                <w:sz w:val="21"/>
                <w:szCs w:val="21"/>
              </w:rPr>
            </w:pPr>
            <w:r>
              <w:rPr>
                <w:rFonts w:ascii="Times New Roman"/>
                <w:sz w:val="21"/>
                <w:szCs w:val="21"/>
              </w:rPr>
              <w:t>序号</w:t>
            </w:r>
          </w:p>
        </w:tc>
        <w:tc>
          <w:tcPr>
            <w:tcW w:w="413" w:type="pct"/>
            <w:tcBorders>
              <w:bottom w:val="nil"/>
            </w:tcBorders>
            <w:vAlign w:val="center"/>
          </w:tcPr>
          <w:p w14:paraId="4DAFBF2C">
            <w:pPr>
              <w:jc w:val="center"/>
              <w:textAlignment w:val="center"/>
              <w:rPr>
                <w:rFonts w:ascii="Times New Roman"/>
                <w:sz w:val="21"/>
                <w:szCs w:val="21"/>
              </w:rPr>
            </w:pPr>
            <w:r>
              <w:rPr>
                <w:rFonts w:ascii="Times New Roman"/>
                <w:sz w:val="21"/>
                <w:szCs w:val="21"/>
              </w:rPr>
              <w:t>车间</w:t>
            </w:r>
          </w:p>
        </w:tc>
        <w:tc>
          <w:tcPr>
            <w:tcW w:w="616" w:type="pct"/>
            <w:tcBorders>
              <w:bottom w:val="nil"/>
            </w:tcBorders>
            <w:shd w:val="clear" w:color="auto" w:fill="auto"/>
            <w:vAlign w:val="center"/>
          </w:tcPr>
          <w:p w14:paraId="2ABDB8A4">
            <w:pPr>
              <w:widowControl/>
              <w:jc w:val="center"/>
              <w:textAlignment w:val="center"/>
              <w:rPr>
                <w:rFonts w:ascii="Times New Roman"/>
                <w:sz w:val="21"/>
                <w:szCs w:val="21"/>
              </w:rPr>
            </w:pPr>
            <w:r>
              <w:rPr>
                <w:rFonts w:ascii="Times New Roman"/>
                <w:kern w:val="0"/>
                <w:sz w:val="21"/>
                <w:szCs w:val="21"/>
              </w:rPr>
              <w:t>功能区</w:t>
            </w:r>
          </w:p>
        </w:tc>
        <w:tc>
          <w:tcPr>
            <w:tcW w:w="761" w:type="pct"/>
            <w:tcBorders>
              <w:bottom w:val="nil"/>
            </w:tcBorders>
            <w:shd w:val="clear" w:color="auto" w:fill="auto"/>
            <w:vAlign w:val="center"/>
          </w:tcPr>
          <w:p w14:paraId="68AACF2B">
            <w:pPr>
              <w:widowControl/>
              <w:jc w:val="center"/>
              <w:textAlignment w:val="center"/>
              <w:rPr>
                <w:rFonts w:ascii="Times New Roman"/>
                <w:sz w:val="21"/>
                <w:szCs w:val="21"/>
              </w:rPr>
            </w:pPr>
            <w:r>
              <w:rPr>
                <w:rFonts w:ascii="Times New Roman"/>
                <w:kern w:val="0"/>
                <w:sz w:val="21"/>
                <w:szCs w:val="21"/>
              </w:rPr>
              <w:t>产线/区域名称</w:t>
            </w:r>
          </w:p>
        </w:tc>
        <w:tc>
          <w:tcPr>
            <w:tcW w:w="965" w:type="pct"/>
            <w:gridSpan w:val="2"/>
            <w:tcBorders>
              <w:bottom w:val="nil"/>
            </w:tcBorders>
            <w:vAlign w:val="center"/>
          </w:tcPr>
          <w:p w14:paraId="5052FC7D">
            <w:pPr>
              <w:jc w:val="center"/>
              <w:textAlignment w:val="center"/>
              <w:rPr>
                <w:rFonts w:ascii="Times New Roman"/>
                <w:sz w:val="21"/>
                <w:szCs w:val="21"/>
              </w:rPr>
            </w:pPr>
            <w:r>
              <w:rPr>
                <w:rFonts w:ascii="Times New Roman"/>
                <w:sz w:val="21"/>
                <w:szCs w:val="21"/>
              </w:rPr>
              <w:t>设备名称</w:t>
            </w:r>
          </w:p>
        </w:tc>
        <w:tc>
          <w:tcPr>
            <w:tcW w:w="1431" w:type="pct"/>
            <w:tcBorders>
              <w:bottom w:val="nil"/>
            </w:tcBorders>
            <w:vAlign w:val="center"/>
          </w:tcPr>
          <w:p w14:paraId="7D56DC85">
            <w:pPr>
              <w:jc w:val="center"/>
              <w:textAlignment w:val="center"/>
              <w:rPr>
                <w:rFonts w:ascii="Times New Roman"/>
                <w:sz w:val="21"/>
                <w:szCs w:val="21"/>
              </w:rPr>
            </w:pPr>
            <w:r>
              <w:rPr>
                <w:rFonts w:ascii="Times New Roman"/>
                <w:sz w:val="21"/>
                <w:szCs w:val="21"/>
              </w:rPr>
              <w:t>规格/型号</w:t>
            </w:r>
          </w:p>
        </w:tc>
        <w:tc>
          <w:tcPr>
            <w:tcW w:w="470" w:type="pct"/>
            <w:vAlign w:val="center"/>
          </w:tcPr>
          <w:p w14:paraId="78F245D4">
            <w:pPr>
              <w:jc w:val="center"/>
              <w:textAlignment w:val="center"/>
              <w:rPr>
                <w:rFonts w:ascii="Times New Roman"/>
                <w:sz w:val="21"/>
                <w:szCs w:val="21"/>
              </w:rPr>
            </w:pPr>
            <w:r>
              <w:rPr>
                <w:rFonts w:ascii="Times New Roman"/>
                <w:sz w:val="21"/>
                <w:szCs w:val="21"/>
              </w:rPr>
              <w:t>数量（台/套）</w:t>
            </w:r>
          </w:p>
        </w:tc>
      </w:tr>
      <w:tr w14:paraId="262C5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vAlign w:val="center"/>
          </w:tcPr>
          <w:p w14:paraId="0E4BD814">
            <w:pPr>
              <w:jc w:val="center"/>
              <w:textAlignment w:val="center"/>
              <w:rPr>
                <w:rFonts w:ascii="Times New Roman"/>
                <w:sz w:val="21"/>
                <w:szCs w:val="21"/>
              </w:rPr>
            </w:pPr>
            <w:r>
              <w:rPr>
                <w:rFonts w:ascii="Times New Roman"/>
                <w:sz w:val="21"/>
                <w:szCs w:val="21"/>
              </w:rPr>
              <w:t>1</w:t>
            </w:r>
          </w:p>
        </w:tc>
        <w:tc>
          <w:tcPr>
            <w:tcW w:w="413" w:type="pct"/>
            <w:vMerge w:val="restart"/>
            <w:vAlign w:val="center"/>
          </w:tcPr>
          <w:p w14:paraId="2F65FCB3">
            <w:pPr>
              <w:jc w:val="center"/>
              <w:textAlignment w:val="center"/>
              <w:rPr>
                <w:rFonts w:ascii="Times New Roman"/>
                <w:sz w:val="21"/>
                <w:szCs w:val="21"/>
              </w:rPr>
            </w:pPr>
            <w:r>
              <w:rPr>
                <w:rFonts w:ascii="Times New Roman"/>
                <w:sz w:val="21"/>
                <w:szCs w:val="21"/>
              </w:rPr>
              <w:t>下料</w:t>
            </w:r>
            <w:r>
              <w:rPr>
                <w:rFonts w:hint="eastAsia" w:ascii="Times New Roman"/>
                <w:sz w:val="21"/>
                <w:szCs w:val="21"/>
              </w:rPr>
              <w:t>生产区</w:t>
            </w:r>
          </w:p>
        </w:tc>
        <w:tc>
          <w:tcPr>
            <w:tcW w:w="616" w:type="pct"/>
            <w:vMerge w:val="restart"/>
            <w:vAlign w:val="center"/>
          </w:tcPr>
          <w:p w14:paraId="44BD17F7">
            <w:pPr>
              <w:jc w:val="center"/>
              <w:textAlignment w:val="center"/>
              <w:rPr>
                <w:rFonts w:ascii="Times New Roman"/>
                <w:sz w:val="21"/>
                <w:szCs w:val="21"/>
              </w:rPr>
            </w:pPr>
            <w:r>
              <w:rPr>
                <w:rFonts w:ascii="Times New Roman"/>
                <w:sz w:val="21"/>
                <w:szCs w:val="21"/>
              </w:rPr>
              <w:t>板材型材库</w:t>
            </w:r>
          </w:p>
        </w:tc>
        <w:tc>
          <w:tcPr>
            <w:tcW w:w="761" w:type="pct"/>
            <w:vMerge w:val="restart"/>
            <w:shd w:val="clear" w:color="auto" w:fill="auto"/>
            <w:vAlign w:val="center"/>
          </w:tcPr>
          <w:p w14:paraId="0474C1E8">
            <w:pPr>
              <w:widowControl/>
              <w:jc w:val="center"/>
              <w:textAlignment w:val="center"/>
              <w:rPr>
                <w:rFonts w:ascii="Times New Roman"/>
                <w:sz w:val="21"/>
                <w:szCs w:val="21"/>
              </w:rPr>
            </w:pPr>
            <w:r>
              <w:rPr>
                <w:rFonts w:ascii="Times New Roman"/>
                <w:kern w:val="0"/>
                <w:sz w:val="21"/>
                <w:szCs w:val="21"/>
              </w:rPr>
              <w:t>自动板材立库</w:t>
            </w:r>
          </w:p>
        </w:tc>
        <w:tc>
          <w:tcPr>
            <w:tcW w:w="965" w:type="pct"/>
            <w:gridSpan w:val="2"/>
            <w:shd w:val="clear" w:color="auto" w:fill="auto"/>
            <w:vAlign w:val="center"/>
          </w:tcPr>
          <w:p w14:paraId="6A56CE90">
            <w:pPr>
              <w:jc w:val="center"/>
              <w:textAlignment w:val="center"/>
              <w:rPr>
                <w:rFonts w:ascii="Times New Roman"/>
                <w:sz w:val="21"/>
                <w:szCs w:val="21"/>
              </w:rPr>
            </w:pPr>
            <w:r>
              <w:rPr>
                <w:rFonts w:ascii="Times New Roman"/>
                <w:sz w:val="21"/>
                <w:szCs w:val="21"/>
              </w:rPr>
              <w:t>智能行车</w:t>
            </w:r>
          </w:p>
        </w:tc>
        <w:tc>
          <w:tcPr>
            <w:tcW w:w="1431" w:type="pct"/>
            <w:shd w:val="clear" w:color="auto" w:fill="auto"/>
            <w:vAlign w:val="center"/>
          </w:tcPr>
          <w:p w14:paraId="7442E323">
            <w:pPr>
              <w:jc w:val="center"/>
              <w:textAlignment w:val="center"/>
              <w:rPr>
                <w:rFonts w:ascii="Times New Roman"/>
                <w:sz w:val="21"/>
                <w:szCs w:val="21"/>
              </w:rPr>
            </w:pPr>
            <w:r>
              <w:rPr>
                <w:rFonts w:ascii="Times New Roman"/>
                <w:sz w:val="21"/>
                <w:szCs w:val="21"/>
              </w:rPr>
              <w:t>/</w:t>
            </w:r>
          </w:p>
        </w:tc>
        <w:tc>
          <w:tcPr>
            <w:tcW w:w="470" w:type="pct"/>
            <w:tcBorders>
              <w:right w:val="single" w:color="auto" w:sz="4" w:space="0"/>
            </w:tcBorders>
            <w:shd w:val="clear" w:color="auto" w:fill="auto"/>
            <w:vAlign w:val="center"/>
          </w:tcPr>
          <w:p w14:paraId="2493373D">
            <w:pPr>
              <w:jc w:val="center"/>
              <w:textAlignment w:val="center"/>
              <w:rPr>
                <w:rFonts w:ascii="Times New Roman"/>
                <w:sz w:val="21"/>
                <w:szCs w:val="21"/>
              </w:rPr>
            </w:pPr>
            <w:r>
              <w:rPr>
                <w:rFonts w:ascii="Times New Roman"/>
                <w:sz w:val="21"/>
                <w:szCs w:val="21"/>
              </w:rPr>
              <w:t>2</w:t>
            </w:r>
          </w:p>
        </w:tc>
      </w:tr>
      <w:tr w14:paraId="0BB21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vAlign w:val="center"/>
          </w:tcPr>
          <w:p w14:paraId="1737BEB8">
            <w:pPr>
              <w:jc w:val="center"/>
              <w:textAlignment w:val="center"/>
              <w:rPr>
                <w:rFonts w:ascii="Times New Roman"/>
                <w:sz w:val="21"/>
                <w:szCs w:val="21"/>
              </w:rPr>
            </w:pPr>
            <w:r>
              <w:rPr>
                <w:rFonts w:ascii="Times New Roman"/>
                <w:sz w:val="21"/>
                <w:szCs w:val="21"/>
              </w:rPr>
              <w:t>2</w:t>
            </w:r>
          </w:p>
        </w:tc>
        <w:tc>
          <w:tcPr>
            <w:tcW w:w="413" w:type="pct"/>
            <w:vMerge w:val="continue"/>
            <w:vAlign w:val="center"/>
          </w:tcPr>
          <w:p w14:paraId="786A5DCB">
            <w:pPr>
              <w:jc w:val="center"/>
              <w:textAlignment w:val="center"/>
              <w:rPr>
                <w:rFonts w:ascii="Times New Roman"/>
                <w:sz w:val="21"/>
                <w:szCs w:val="21"/>
              </w:rPr>
            </w:pPr>
          </w:p>
        </w:tc>
        <w:tc>
          <w:tcPr>
            <w:tcW w:w="616" w:type="pct"/>
            <w:vMerge w:val="continue"/>
            <w:vAlign w:val="center"/>
          </w:tcPr>
          <w:p w14:paraId="1329AFAD">
            <w:pPr>
              <w:jc w:val="center"/>
              <w:textAlignment w:val="center"/>
              <w:rPr>
                <w:rFonts w:ascii="Times New Roman"/>
                <w:sz w:val="21"/>
                <w:szCs w:val="21"/>
              </w:rPr>
            </w:pPr>
          </w:p>
        </w:tc>
        <w:tc>
          <w:tcPr>
            <w:tcW w:w="761" w:type="pct"/>
            <w:vMerge w:val="continue"/>
            <w:vAlign w:val="center"/>
          </w:tcPr>
          <w:p w14:paraId="288ECEA9">
            <w:pPr>
              <w:jc w:val="center"/>
              <w:textAlignment w:val="center"/>
              <w:rPr>
                <w:rFonts w:ascii="Times New Roman"/>
                <w:sz w:val="21"/>
                <w:szCs w:val="21"/>
              </w:rPr>
            </w:pPr>
          </w:p>
        </w:tc>
        <w:tc>
          <w:tcPr>
            <w:tcW w:w="965" w:type="pct"/>
            <w:gridSpan w:val="2"/>
            <w:shd w:val="clear" w:color="auto" w:fill="auto"/>
            <w:vAlign w:val="center"/>
          </w:tcPr>
          <w:p w14:paraId="557FBE86">
            <w:pPr>
              <w:jc w:val="center"/>
              <w:textAlignment w:val="center"/>
              <w:rPr>
                <w:rFonts w:ascii="Times New Roman"/>
                <w:sz w:val="21"/>
                <w:szCs w:val="21"/>
              </w:rPr>
            </w:pPr>
            <w:r>
              <w:rPr>
                <w:rFonts w:ascii="Times New Roman"/>
                <w:sz w:val="21"/>
                <w:szCs w:val="21"/>
              </w:rPr>
              <w:t>输送设备</w:t>
            </w:r>
          </w:p>
        </w:tc>
        <w:tc>
          <w:tcPr>
            <w:tcW w:w="1431" w:type="pct"/>
            <w:shd w:val="clear" w:color="auto" w:fill="auto"/>
            <w:vAlign w:val="center"/>
          </w:tcPr>
          <w:p w14:paraId="537C35A9">
            <w:pPr>
              <w:widowControl/>
              <w:jc w:val="center"/>
              <w:textAlignment w:val="center"/>
              <w:rPr>
                <w:rFonts w:ascii="Times New Roman"/>
                <w:kern w:val="0"/>
                <w:sz w:val="21"/>
                <w:szCs w:val="21"/>
              </w:rPr>
            </w:pPr>
            <w:r>
              <w:rPr>
                <w:rFonts w:ascii="Times New Roman"/>
                <w:kern w:val="0"/>
                <w:sz w:val="21"/>
                <w:szCs w:val="21"/>
              </w:rPr>
              <w:t>功率：70kW</w:t>
            </w:r>
          </w:p>
        </w:tc>
        <w:tc>
          <w:tcPr>
            <w:tcW w:w="470" w:type="pct"/>
            <w:shd w:val="clear" w:color="auto" w:fill="auto"/>
            <w:vAlign w:val="center"/>
          </w:tcPr>
          <w:p w14:paraId="028AFA1B">
            <w:pPr>
              <w:jc w:val="center"/>
              <w:textAlignment w:val="center"/>
              <w:rPr>
                <w:rFonts w:ascii="Times New Roman"/>
                <w:sz w:val="21"/>
                <w:szCs w:val="21"/>
              </w:rPr>
            </w:pPr>
            <w:r>
              <w:rPr>
                <w:rFonts w:ascii="Times New Roman"/>
                <w:sz w:val="21"/>
                <w:szCs w:val="21"/>
              </w:rPr>
              <w:t>1</w:t>
            </w:r>
          </w:p>
        </w:tc>
      </w:tr>
      <w:tr w14:paraId="7AA50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6A08F44">
            <w:pPr>
              <w:jc w:val="center"/>
              <w:textAlignment w:val="center"/>
              <w:rPr>
                <w:rFonts w:ascii="Times New Roman"/>
                <w:sz w:val="21"/>
                <w:szCs w:val="21"/>
              </w:rPr>
            </w:pPr>
            <w:r>
              <w:rPr>
                <w:rFonts w:ascii="Times New Roman"/>
                <w:sz w:val="21"/>
                <w:szCs w:val="21"/>
              </w:rPr>
              <w:t>3</w:t>
            </w:r>
          </w:p>
        </w:tc>
        <w:tc>
          <w:tcPr>
            <w:tcW w:w="413" w:type="pct"/>
            <w:vMerge w:val="continue"/>
            <w:vAlign w:val="center"/>
          </w:tcPr>
          <w:p w14:paraId="0A02EC74">
            <w:pPr>
              <w:jc w:val="center"/>
              <w:textAlignment w:val="center"/>
              <w:rPr>
                <w:rFonts w:ascii="Times New Roman"/>
                <w:sz w:val="21"/>
                <w:szCs w:val="21"/>
              </w:rPr>
            </w:pPr>
          </w:p>
        </w:tc>
        <w:tc>
          <w:tcPr>
            <w:tcW w:w="616" w:type="pct"/>
            <w:vMerge w:val="continue"/>
            <w:vAlign w:val="center"/>
          </w:tcPr>
          <w:p w14:paraId="0FAB4A57">
            <w:pPr>
              <w:jc w:val="center"/>
              <w:textAlignment w:val="center"/>
              <w:rPr>
                <w:rFonts w:ascii="Times New Roman"/>
                <w:sz w:val="21"/>
                <w:szCs w:val="21"/>
              </w:rPr>
            </w:pPr>
          </w:p>
        </w:tc>
        <w:tc>
          <w:tcPr>
            <w:tcW w:w="761" w:type="pct"/>
            <w:vMerge w:val="restart"/>
            <w:shd w:val="clear" w:color="auto" w:fill="auto"/>
            <w:vAlign w:val="center"/>
          </w:tcPr>
          <w:p w14:paraId="39E2B8E8">
            <w:pPr>
              <w:widowControl/>
              <w:jc w:val="center"/>
              <w:textAlignment w:val="center"/>
              <w:rPr>
                <w:rFonts w:ascii="Times New Roman"/>
                <w:sz w:val="21"/>
                <w:szCs w:val="21"/>
              </w:rPr>
            </w:pPr>
            <w:r>
              <w:rPr>
                <w:rFonts w:ascii="Times New Roman"/>
                <w:kern w:val="0"/>
                <w:sz w:val="21"/>
                <w:szCs w:val="21"/>
              </w:rPr>
              <w:t>自动型材立库</w:t>
            </w:r>
          </w:p>
        </w:tc>
        <w:tc>
          <w:tcPr>
            <w:tcW w:w="965" w:type="pct"/>
            <w:gridSpan w:val="2"/>
            <w:vAlign w:val="center"/>
          </w:tcPr>
          <w:p w14:paraId="54F45A0A">
            <w:pPr>
              <w:jc w:val="center"/>
              <w:textAlignment w:val="center"/>
              <w:rPr>
                <w:rFonts w:ascii="Times New Roman"/>
                <w:sz w:val="21"/>
                <w:szCs w:val="21"/>
              </w:rPr>
            </w:pPr>
            <w:r>
              <w:rPr>
                <w:rFonts w:ascii="Times New Roman"/>
                <w:sz w:val="21"/>
                <w:szCs w:val="21"/>
              </w:rPr>
              <w:t>重型堆垛机</w:t>
            </w:r>
          </w:p>
        </w:tc>
        <w:tc>
          <w:tcPr>
            <w:tcW w:w="1431" w:type="pct"/>
            <w:shd w:val="clear" w:color="auto" w:fill="auto"/>
            <w:vAlign w:val="center"/>
          </w:tcPr>
          <w:p w14:paraId="5D1DBC11">
            <w:pPr>
              <w:jc w:val="center"/>
              <w:textAlignment w:val="center"/>
              <w:rPr>
                <w:rFonts w:ascii="Times New Roman"/>
                <w:sz w:val="21"/>
                <w:szCs w:val="21"/>
              </w:rPr>
            </w:pPr>
            <w:r>
              <w:rPr>
                <w:rFonts w:ascii="Times New Roman"/>
                <w:sz w:val="21"/>
                <w:szCs w:val="21"/>
              </w:rPr>
              <w:t>/</w:t>
            </w:r>
          </w:p>
        </w:tc>
        <w:tc>
          <w:tcPr>
            <w:tcW w:w="470" w:type="pct"/>
            <w:vAlign w:val="center"/>
          </w:tcPr>
          <w:p w14:paraId="764C07AF">
            <w:pPr>
              <w:jc w:val="center"/>
              <w:textAlignment w:val="center"/>
              <w:rPr>
                <w:rFonts w:ascii="Times New Roman"/>
                <w:sz w:val="21"/>
                <w:szCs w:val="21"/>
              </w:rPr>
            </w:pPr>
            <w:r>
              <w:rPr>
                <w:rFonts w:ascii="Times New Roman"/>
                <w:sz w:val="21"/>
                <w:szCs w:val="21"/>
              </w:rPr>
              <w:t>5</w:t>
            </w:r>
          </w:p>
        </w:tc>
      </w:tr>
      <w:tr w14:paraId="296C8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AA53D89">
            <w:pPr>
              <w:jc w:val="center"/>
              <w:textAlignment w:val="center"/>
              <w:rPr>
                <w:rFonts w:ascii="Times New Roman"/>
                <w:sz w:val="21"/>
                <w:szCs w:val="21"/>
              </w:rPr>
            </w:pPr>
            <w:r>
              <w:rPr>
                <w:rFonts w:ascii="Times New Roman"/>
                <w:sz w:val="21"/>
                <w:szCs w:val="21"/>
              </w:rPr>
              <w:t>4</w:t>
            </w:r>
          </w:p>
        </w:tc>
        <w:tc>
          <w:tcPr>
            <w:tcW w:w="413" w:type="pct"/>
            <w:vMerge w:val="continue"/>
            <w:vAlign w:val="center"/>
          </w:tcPr>
          <w:p w14:paraId="259D559C">
            <w:pPr>
              <w:jc w:val="center"/>
              <w:textAlignment w:val="center"/>
              <w:rPr>
                <w:rFonts w:ascii="Times New Roman"/>
                <w:sz w:val="21"/>
                <w:szCs w:val="21"/>
              </w:rPr>
            </w:pPr>
          </w:p>
        </w:tc>
        <w:tc>
          <w:tcPr>
            <w:tcW w:w="616" w:type="pct"/>
            <w:vMerge w:val="continue"/>
            <w:vAlign w:val="center"/>
          </w:tcPr>
          <w:p w14:paraId="051B83D1">
            <w:pPr>
              <w:jc w:val="center"/>
              <w:textAlignment w:val="center"/>
              <w:rPr>
                <w:rFonts w:ascii="Times New Roman"/>
                <w:sz w:val="21"/>
                <w:szCs w:val="21"/>
              </w:rPr>
            </w:pPr>
          </w:p>
        </w:tc>
        <w:tc>
          <w:tcPr>
            <w:tcW w:w="761" w:type="pct"/>
            <w:vMerge w:val="continue"/>
            <w:vAlign w:val="center"/>
          </w:tcPr>
          <w:p w14:paraId="3F489127">
            <w:pPr>
              <w:jc w:val="center"/>
              <w:textAlignment w:val="center"/>
              <w:rPr>
                <w:rFonts w:ascii="Times New Roman"/>
                <w:sz w:val="21"/>
                <w:szCs w:val="21"/>
              </w:rPr>
            </w:pPr>
          </w:p>
        </w:tc>
        <w:tc>
          <w:tcPr>
            <w:tcW w:w="965" w:type="pct"/>
            <w:gridSpan w:val="2"/>
            <w:vAlign w:val="center"/>
          </w:tcPr>
          <w:p w14:paraId="57A8D2C0">
            <w:pPr>
              <w:jc w:val="center"/>
              <w:textAlignment w:val="center"/>
              <w:rPr>
                <w:rFonts w:ascii="Times New Roman"/>
                <w:sz w:val="21"/>
                <w:szCs w:val="21"/>
              </w:rPr>
            </w:pPr>
            <w:r>
              <w:rPr>
                <w:rFonts w:ascii="Times New Roman"/>
                <w:sz w:val="21"/>
                <w:szCs w:val="21"/>
              </w:rPr>
              <w:t>辅助机械臂</w:t>
            </w:r>
          </w:p>
        </w:tc>
        <w:tc>
          <w:tcPr>
            <w:tcW w:w="1431" w:type="pct"/>
            <w:shd w:val="clear" w:color="auto" w:fill="auto"/>
            <w:vAlign w:val="center"/>
          </w:tcPr>
          <w:p w14:paraId="1B3FD009">
            <w:pPr>
              <w:jc w:val="center"/>
              <w:textAlignment w:val="center"/>
              <w:rPr>
                <w:rFonts w:ascii="Times New Roman"/>
                <w:sz w:val="21"/>
                <w:szCs w:val="21"/>
              </w:rPr>
            </w:pPr>
            <w:r>
              <w:rPr>
                <w:rFonts w:ascii="Times New Roman"/>
                <w:sz w:val="21"/>
                <w:szCs w:val="21"/>
              </w:rPr>
              <w:t>/</w:t>
            </w:r>
          </w:p>
        </w:tc>
        <w:tc>
          <w:tcPr>
            <w:tcW w:w="470" w:type="pct"/>
            <w:vAlign w:val="center"/>
          </w:tcPr>
          <w:p w14:paraId="4222DE9A">
            <w:pPr>
              <w:jc w:val="center"/>
              <w:textAlignment w:val="center"/>
              <w:rPr>
                <w:rFonts w:ascii="Times New Roman"/>
                <w:sz w:val="21"/>
                <w:szCs w:val="21"/>
              </w:rPr>
            </w:pPr>
            <w:r>
              <w:rPr>
                <w:rFonts w:ascii="Times New Roman"/>
                <w:sz w:val="21"/>
                <w:szCs w:val="21"/>
              </w:rPr>
              <w:t>1</w:t>
            </w:r>
          </w:p>
        </w:tc>
      </w:tr>
      <w:tr w14:paraId="047BD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7C95ED6">
            <w:pPr>
              <w:jc w:val="center"/>
              <w:textAlignment w:val="center"/>
              <w:rPr>
                <w:rFonts w:ascii="Times New Roman"/>
                <w:sz w:val="21"/>
                <w:szCs w:val="21"/>
              </w:rPr>
            </w:pPr>
            <w:r>
              <w:rPr>
                <w:rFonts w:ascii="Times New Roman"/>
                <w:sz w:val="21"/>
                <w:szCs w:val="21"/>
              </w:rPr>
              <w:t>5</w:t>
            </w:r>
          </w:p>
        </w:tc>
        <w:tc>
          <w:tcPr>
            <w:tcW w:w="413" w:type="pct"/>
            <w:vMerge w:val="continue"/>
            <w:vAlign w:val="center"/>
          </w:tcPr>
          <w:p w14:paraId="658FA44F">
            <w:pPr>
              <w:jc w:val="center"/>
              <w:textAlignment w:val="center"/>
              <w:rPr>
                <w:rFonts w:ascii="Times New Roman"/>
                <w:sz w:val="21"/>
                <w:szCs w:val="21"/>
              </w:rPr>
            </w:pPr>
          </w:p>
        </w:tc>
        <w:tc>
          <w:tcPr>
            <w:tcW w:w="616" w:type="pct"/>
            <w:vMerge w:val="continue"/>
            <w:vAlign w:val="center"/>
          </w:tcPr>
          <w:p w14:paraId="5B86C15A">
            <w:pPr>
              <w:jc w:val="center"/>
              <w:textAlignment w:val="center"/>
              <w:rPr>
                <w:rFonts w:ascii="Times New Roman"/>
                <w:sz w:val="21"/>
                <w:szCs w:val="21"/>
              </w:rPr>
            </w:pPr>
          </w:p>
        </w:tc>
        <w:tc>
          <w:tcPr>
            <w:tcW w:w="761" w:type="pct"/>
            <w:vMerge w:val="continue"/>
            <w:vAlign w:val="center"/>
          </w:tcPr>
          <w:p w14:paraId="77A6C248">
            <w:pPr>
              <w:jc w:val="center"/>
              <w:textAlignment w:val="center"/>
              <w:rPr>
                <w:rFonts w:ascii="Times New Roman"/>
                <w:sz w:val="21"/>
                <w:szCs w:val="21"/>
              </w:rPr>
            </w:pPr>
          </w:p>
        </w:tc>
        <w:tc>
          <w:tcPr>
            <w:tcW w:w="965" w:type="pct"/>
            <w:gridSpan w:val="2"/>
            <w:vAlign w:val="center"/>
          </w:tcPr>
          <w:p w14:paraId="0863E5D2">
            <w:pPr>
              <w:jc w:val="center"/>
              <w:textAlignment w:val="center"/>
              <w:rPr>
                <w:rFonts w:ascii="Times New Roman"/>
                <w:sz w:val="21"/>
                <w:szCs w:val="21"/>
              </w:rPr>
            </w:pPr>
            <w:r>
              <w:rPr>
                <w:rFonts w:ascii="Times New Roman"/>
                <w:sz w:val="21"/>
                <w:szCs w:val="21"/>
              </w:rPr>
              <w:t>输送设备</w:t>
            </w:r>
          </w:p>
        </w:tc>
        <w:tc>
          <w:tcPr>
            <w:tcW w:w="1431" w:type="pct"/>
            <w:shd w:val="clear" w:color="auto" w:fill="auto"/>
            <w:vAlign w:val="center"/>
          </w:tcPr>
          <w:p w14:paraId="760F89CA">
            <w:pPr>
              <w:widowControl/>
              <w:jc w:val="center"/>
              <w:textAlignment w:val="center"/>
              <w:rPr>
                <w:rFonts w:ascii="Times New Roman"/>
                <w:kern w:val="0"/>
                <w:sz w:val="21"/>
                <w:szCs w:val="21"/>
              </w:rPr>
            </w:pPr>
            <w:r>
              <w:rPr>
                <w:rFonts w:ascii="Times New Roman"/>
                <w:kern w:val="0"/>
                <w:sz w:val="21"/>
                <w:szCs w:val="21"/>
              </w:rPr>
              <w:t>功率：160kW</w:t>
            </w:r>
          </w:p>
        </w:tc>
        <w:tc>
          <w:tcPr>
            <w:tcW w:w="470" w:type="pct"/>
            <w:vAlign w:val="center"/>
          </w:tcPr>
          <w:p w14:paraId="3D8263FC">
            <w:pPr>
              <w:jc w:val="center"/>
              <w:textAlignment w:val="center"/>
              <w:rPr>
                <w:rFonts w:ascii="Times New Roman"/>
                <w:sz w:val="21"/>
                <w:szCs w:val="21"/>
              </w:rPr>
            </w:pPr>
            <w:r>
              <w:rPr>
                <w:rFonts w:ascii="Times New Roman"/>
                <w:sz w:val="21"/>
                <w:szCs w:val="21"/>
              </w:rPr>
              <w:t>1</w:t>
            </w:r>
          </w:p>
        </w:tc>
      </w:tr>
      <w:tr w14:paraId="6B40B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431D01F">
            <w:pPr>
              <w:jc w:val="center"/>
              <w:textAlignment w:val="center"/>
              <w:rPr>
                <w:rFonts w:ascii="Times New Roman"/>
                <w:sz w:val="21"/>
                <w:szCs w:val="21"/>
              </w:rPr>
            </w:pPr>
            <w:r>
              <w:rPr>
                <w:rFonts w:ascii="Times New Roman"/>
                <w:sz w:val="21"/>
                <w:szCs w:val="21"/>
              </w:rPr>
              <w:t>6</w:t>
            </w:r>
          </w:p>
        </w:tc>
        <w:tc>
          <w:tcPr>
            <w:tcW w:w="413" w:type="pct"/>
            <w:vMerge w:val="continue"/>
            <w:vAlign w:val="center"/>
          </w:tcPr>
          <w:p w14:paraId="7AB5B3F4">
            <w:pPr>
              <w:jc w:val="center"/>
              <w:textAlignment w:val="center"/>
              <w:rPr>
                <w:rFonts w:ascii="Times New Roman"/>
                <w:sz w:val="21"/>
                <w:szCs w:val="21"/>
              </w:rPr>
            </w:pPr>
          </w:p>
        </w:tc>
        <w:tc>
          <w:tcPr>
            <w:tcW w:w="616" w:type="pct"/>
            <w:vMerge w:val="restart"/>
            <w:vAlign w:val="center"/>
          </w:tcPr>
          <w:p w14:paraId="397ADEE4">
            <w:pPr>
              <w:jc w:val="center"/>
              <w:textAlignment w:val="center"/>
              <w:rPr>
                <w:rFonts w:ascii="Times New Roman"/>
                <w:sz w:val="21"/>
                <w:szCs w:val="21"/>
              </w:rPr>
            </w:pPr>
            <w:r>
              <w:rPr>
                <w:rFonts w:ascii="Times New Roman"/>
                <w:sz w:val="21"/>
                <w:szCs w:val="21"/>
              </w:rPr>
              <w:t>板材激光下料线</w:t>
            </w:r>
          </w:p>
        </w:tc>
        <w:tc>
          <w:tcPr>
            <w:tcW w:w="761" w:type="pct"/>
            <w:vMerge w:val="restart"/>
            <w:vAlign w:val="center"/>
          </w:tcPr>
          <w:p w14:paraId="7C1C4123">
            <w:pPr>
              <w:jc w:val="center"/>
              <w:textAlignment w:val="center"/>
              <w:rPr>
                <w:rFonts w:ascii="Times New Roman"/>
                <w:sz w:val="21"/>
                <w:szCs w:val="21"/>
              </w:rPr>
            </w:pPr>
            <w:r>
              <w:rPr>
                <w:rFonts w:ascii="Times New Roman"/>
                <w:kern w:val="0"/>
                <w:sz w:val="21"/>
                <w:szCs w:val="21"/>
              </w:rPr>
              <w:t>自动化板材激光下料线</w:t>
            </w:r>
          </w:p>
        </w:tc>
        <w:tc>
          <w:tcPr>
            <w:tcW w:w="965" w:type="pct"/>
            <w:gridSpan w:val="2"/>
            <w:vAlign w:val="center"/>
          </w:tcPr>
          <w:p w14:paraId="18369E4E">
            <w:pPr>
              <w:jc w:val="center"/>
              <w:rPr>
                <w:rFonts w:ascii="Times New Roman"/>
                <w:spacing w:val="1"/>
                <w:sz w:val="21"/>
                <w:szCs w:val="21"/>
              </w:rPr>
            </w:pPr>
            <w:r>
              <w:rPr>
                <w:rFonts w:ascii="Times New Roman"/>
                <w:spacing w:val="1"/>
                <w:sz w:val="21"/>
                <w:szCs w:val="21"/>
              </w:rPr>
              <w:t>对中装置</w:t>
            </w:r>
          </w:p>
        </w:tc>
        <w:tc>
          <w:tcPr>
            <w:tcW w:w="1431" w:type="pct"/>
            <w:vAlign w:val="center"/>
          </w:tcPr>
          <w:p w14:paraId="60C2820A">
            <w:pPr>
              <w:jc w:val="center"/>
              <w:textAlignment w:val="center"/>
              <w:rPr>
                <w:rFonts w:ascii="Times New Roman"/>
                <w:sz w:val="21"/>
                <w:szCs w:val="21"/>
              </w:rPr>
            </w:pPr>
            <w:r>
              <w:rPr>
                <w:rFonts w:ascii="Times New Roman"/>
                <w:sz w:val="21"/>
                <w:szCs w:val="21"/>
              </w:rPr>
              <w:t>/</w:t>
            </w:r>
          </w:p>
        </w:tc>
        <w:tc>
          <w:tcPr>
            <w:tcW w:w="470" w:type="pct"/>
            <w:vAlign w:val="center"/>
          </w:tcPr>
          <w:p w14:paraId="45BDE014">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32CDC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127FAC8">
            <w:pPr>
              <w:jc w:val="center"/>
              <w:textAlignment w:val="center"/>
              <w:rPr>
                <w:rFonts w:ascii="Times New Roman"/>
                <w:sz w:val="21"/>
                <w:szCs w:val="21"/>
              </w:rPr>
            </w:pPr>
            <w:r>
              <w:rPr>
                <w:rFonts w:ascii="Times New Roman"/>
                <w:sz w:val="21"/>
                <w:szCs w:val="21"/>
              </w:rPr>
              <w:t>7</w:t>
            </w:r>
          </w:p>
        </w:tc>
        <w:tc>
          <w:tcPr>
            <w:tcW w:w="413" w:type="pct"/>
            <w:vMerge w:val="continue"/>
            <w:vAlign w:val="center"/>
          </w:tcPr>
          <w:p w14:paraId="109EBC18">
            <w:pPr>
              <w:jc w:val="center"/>
              <w:textAlignment w:val="center"/>
              <w:rPr>
                <w:rFonts w:ascii="Times New Roman"/>
                <w:sz w:val="21"/>
                <w:szCs w:val="21"/>
              </w:rPr>
            </w:pPr>
          </w:p>
        </w:tc>
        <w:tc>
          <w:tcPr>
            <w:tcW w:w="616" w:type="pct"/>
            <w:vMerge w:val="continue"/>
            <w:vAlign w:val="center"/>
          </w:tcPr>
          <w:p w14:paraId="2DC95F8C">
            <w:pPr>
              <w:jc w:val="center"/>
              <w:textAlignment w:val="center"/>
              <w:rPr>
                <w:rFonts w:ascii="Times New Roman"/>
                <w:sz w:val="21"/>
                <w:szCs w:val="21"/>
              </w:rPr>
            </w:pPr>
          </w:p>
        </w:tc>
        <w:tc>
          <w:tcPr>
            <w:tcW w:w="761" w:type="pct"/>
            <w:vMerge w:val="continue"/>
            <w:vAlign w:val="center"/>
          </w:tcPr>
          <w:p w14:paraId="1BCA5EFC">
            <w:pPr>
              <w:jc w:val="center"/>
              <w:textAlignment w:val="center"/>
              <w:rPr>
                <w:rFonts w:ascii="Times New Roman"/>
                <w:sz w:val="21"/>
                <w:szCs w:val="21"/>
              </w:rPr>
            </w:pPr>
          </w:p>
        </w:tc>
        <w:tc>
          <w:tcPr>
            <w:tcW w:w="965" w:type="pct"/>
            <w:gridSpan w:val="2"/>
            <w:vAlign w:val="center"/>
          </w:tcPr>
          <w:p w14:paraId="10B2D9EC">
            <w:pPr>
              <w:jc w:val="center"/>
              <w:rPr>
                <w:rFonts w:ascii="Times New Roman"/>
                <w:spacing w:val="1"/>
                <w:sz w:val="21"/>
                <w:szCs w:val="21"/>
              </w:rPr>
            </w:pPr>
            <w:r>
              <w:rPr>
                <w:rFonts w:ascii="Times New Roman"/>
                <w:spacing w:val="1"/>
                <w:sz w:val="21"/>
                <w:szCs w:val="21"/>
              </w:rPr>
              <w:t>喷码机</w:t>
            </w:r>
          </w:p>
        </w:tc>
        <w:tc>
          <w:tcPr>
            <w:tcW w:w="1431" w:type="pct"/>
            <w:vAlign w:val="center"/>
          </w:tcPr>
          <w:p w14:paraId="725D9C87">
            <w:pPr>
              <w:jc w:val="center"/>
              <w:textAlignment w:val="center"/>
              <w:rPr>
                <w:rFonts w:ascii="Times New Roman"/>
                <w:sz w:val="21"/>
                <w:szCs w:val="21"/>
              </w:rPr>
            </w:pPr>
            <w:r>
              <w:rPr>
                <w:rFonts w:ascii="Times New Roman"/>
                <w:sz w:val="21"/>
                <w:szCs w:val="21"/>
              </w:rPr>
              <w:t>/</w:t>
            </w:r>
          </w:p>
        </w:tc>
        <w:tc>
          <w:tcPr>
            <w:tcW w:w="470" w:type="pct"/>
            <w:vAlign w:val="center"/>
          </w:tcPr>
          <w:p w14:paraId="10CCF6BB">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29D6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7933C3A">
            <w:pPr>
              <w:jc w:val="center"/>
              <w:textAlignment w:val="center"/>
              <w:rPr>
                <w:rFonts w:ascii="Times New Roman"/>
                <w:sz w:val="21"/>
                <w:szCs w:val="21"/>
              </w:rPr>
            </w:pPr>
            <w:r>
              <w:rPr>
                <w:rFonts w:ascii="Times New Roman"/>
                <w:sz w:val="21"/>
                <w:szCs w:val="21"/>
              </w:rPr>
              <w:t>8</w:t>
            </w:r>
          </w:p>
        </w:tc>
        <w:tc>
          <w:tcPr>
            <w:tcW w:w="413" w:type="pct"/>
            <w:vMerge w:val="continue"/>
            <w:vAlign w:val="center"/>
          </w:tcPr>
          <w:p w14:paraId="2FE1F79D">
            <w:pPr>
              <w:jc w:val="center"/>
              <w:textAlignment w:val="center"/>
              <w:rPr>
                <w:rFonts w:ascii="Times New Roman"/>
                <w:sz w:val="21"/>
                <w:szCs w:val="21"/>
              </w:rPr>
            </w:pPr>
          </w:p>
        </w:tc>
        <w:tc>
          <w:tcPr>
            <w:tcW w:w="616" w:type="pct"/>
            <w:vMerge w:val="continue"/>
            <w:vAlign w:val="center"/>
          </w:tcPr>
          <w:p w14:paraId="3CEAAC58">
            <w:pPr>
              <w:jc w:val="center"/>
              <w:textAlignment w:val="center"/>
              <w:rPr>
                <w:rFonts w:ascii="Times New Roman"/>
                <w:sz w:val="21"/>
                <w:szCs w:val="21"/>
              </w:rPr>
            </w:pPr>
          </w:p>
        </w:tc>
        <w:tc>
          <w:tcPr>
            <w:tcW w:w="761" w:type="pct"/>
            <w:vMerge w:val="continue"/>
            <w:vAlign w:val="center"/>
          </w:tcPr>
          <w:p w14:paraId="6BDAC517">
            <w:pPr>
              <w:jc w:val="center"/>
              <w:textAlignment w:val="center"/>
              <w:rPr>
                <w:rFonts w:ascii="Times New Roman"/>
                <w:sz w:val="21"/>
                <w:szCs w:val="21"/>
              </w:rPr>
            </w:pPr>
          </w:p>
        </w:tc>
        <w:tc>
          <w:tcPr>
            <w:tcW w:w="965" w:type="pct"/>
            <w:gridSpan w:val="2"/>
            <w:vAlign w:val="center"/>
          </w:tcPr>
          <w:p w14:paraId="261BDBD2">
            <w:pPr>
              <w:jc w:val="center"/>
              <w:rPr>
                <w:rFonts w:ascii="Times New Roman"/>
                <w:spacing w:val="1"/>
                <w:sz w:val="21"/>
                <w:szCs w:val="21"/>
              </w:rPr>
            </w:pPr>
            <w:r>
              <w:rPr>
                <w:rFonts w:ascii="Times New Roman"/>
                <w:spacing w:val="1"/>
                <w:sz w:val="21"/>
                <w:szCs w:val="21"/>
              </w:rPr>
              <w:t>清洗设备</w:t>
            </w:r>
          </w:p>
          <w:p w14:paraId="0F04A4F1">
            <w:pPr>
              <w:jc w:val="center"/>
              <w:rPr>
                <w:rFonts w:ascii="Times New Roman"/>
                <w:spacing w:val="1"/>
                <w:sz w:val="21"/>
                <w:szCs w:val="21"/>
              </w:rPr>
            </w:pPr>
            <w:r>
              <w:rPr>
                <w:rFonts w:ascii="Times New Roman"/>
                <w:spacing w:val="1"/>
                <w:sz w:val="21"/>
                <w:szCs w:val="21"/>
              </w:rPr>
              <w:t>（激光除锈）</w:t>
            </w:r>
          </w:p>
        </w:tc>
        <w:tc>
          <w:tcPr>
            <w:tcW w:w="1431" w:type="pct"/>
            <w:vAlign w:val="center"/>
          </w:tcPr>
          <w:p w14:paraId="2F3CD36E">
            <w:pPr>
              <w:jc w:val="center"/>
              <w:textAlignment w:val="center"/>
              <w:rPr>
                <w:rFonts w:ascii="Times New Roman"/>
                <w:sz w:val="21"/>
                <w:szCs w:val="21"/>
              </w:rPr>
            </w:pPr>
            <w:r>
              <w:rPr>
                <w:rFonts w:ascii="Times New Roman"/>
                <w:sz w:val="21"/>
                <w:szCs w:val="21"/>
              </w:rPr>
              <w:t>/</w:t>
            </w:r>
          </w:p>
        </w:tc>
        <w:tc>
          <w:tcPr>
            <w:tcW w:w="470" w:type="pct"/>
            <w:vAlign w:val="center"/>
          </w:tcPr>
          <w:p w14:paraId="0BB7AD0F">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658EF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BA81F32">
            <w:pPr>
              <w:jc w:val="center"/>
              <w:textAlignment w:val="center"/>
              <w:rPr>
                <w:rFonts w:ascii="Times New Roman"/>
                <w:sz w:val="21"/>
                <w:szCs w:val="21"/>
              </w:rPr>
            </w:pPr>
            <w:r>
              <w:rPr>
                <w:rFonts w:ascii="Times New Roman"/>
                <w:sz w:val="21"/>
                <w:szCs w:val="21"/>
              </w:rPr>
              <w:t>9</w:t>
            </w:r>
          </w:p>
        </w:tc>
        <w:tc>
          <w:tcPr>
            <w:tcW w:w="413" w:type="pct"/>
            <w:vMerge w:val="continue"/>
            <w:vAlign w:val="center"/>
          </w:tcPr>
          <w:p w14:paraId="61067B75">
            <w:pPr>
              <w:jc w:val="center"/>
              <w:textAlignment w:val="center"/>
              <w:rPr>
                <w:rFonts w:ascii="Times New Roman"/>
                <w:sz w:val="21"/>
                <w:szCs w:val="21"/>
              </w:rPr>
            </w:pPr>
          </w:p>
        </w:tc>
        <w:tc>
          <w:tcPr>
            <w:tcW w:w="616" w:type="pct"/>
            <w:vMerge w:val="continue"/>
            <w:vAlign w:val="center"/>
          </w:tcPr>
          <w:p w14:paraId="05C93252">
            <w:pPr>
              <w:jc w:val="center"/>
              <w:textAlignment w:val="center"/>
              <w:rPr>
                <w:rFonts w:ascii="Times New Roman"/>
                <w:sz w:val="21"/>
                <w:szCs w:val="21"/>
              </w:rPr>
            </w:pPr>
          </w:p>
        </w:tc>
        <w:tc>
          <w:tcPr>
            <w:tcW w:w="761" w:type="pct"/>
            <w:vMerge w:val="continue"/>
            <w:vAlign w:val="center"/>
          </w:tcPr>
          <w:p w14:paraId="748DC9EE">
            <w:pPr>
              <w:jc w:val="center"/>
              <w:textAlignment w:val="center"/>
              <w:rPr>
                <w:rFonts w:ascii="Times New Roman"/>
                <w:sz w:val="21"/>
                <w:szCs w:val="21"/>
              </w:rPr>
            </w:pPr>
          </w:p>
        </w:tc>
        <w:tc>
          <w:tcPr>
            <w:tcW w:w="965" w:type="pct"/>
            <w:gridSpan w:val="2"/>
            <w:vAlign w:val="center"/>
          </w:tcPr>
          <w:p w14:paraId="732595CC">
            <w:pPr>
              <w:jc w:val="center"/>
              <w:rPr>
                <w:rFonts w:ascii="Times New Roman"/>
                <w:spacing w:val="1"/>
                <w:sz w:val="21"/>
                <w:szCs w:val="21"/>
              </w:rPr>
            </w:pPr>
            <w:r>
              <w:rPr>
                <w:rFonts w:ascii="Times New Roman"/>
                <w:spacing w:val="1"/>
                <w:sz w:val="21"/>
                <w:szCs w:val="21"/>
              </w:rPr>
              <w:t>激光直口切割机</w:t>
            </w:r>
          </w:p>
        </w:tc>
        <w:tc>
          <w:tcPr>
            <w:tcW w:w="1431" w:type="pct"/>
            <w:vAlign w:val="center"/>
          </w:tcPr>
          <w:p w14:paraId="0959FF01">
            <w:pPr>
              <w:jc w:val="center"/>
              <w:textAlignment w:val="center"/>
              <w:rPr>
                <w:rFonts w:ascii="Times New Roman"/>
                <w:sz w:val="21"/>
                <w:szCs w:val="21"/>
              </w:rPr>
            </w:pPr>
            <w:r>
              <w:rPr>
                <w:rFonts w:ascii="Times New Roman"/>
                <w:sz w:val="21"/>
                <w:szCs w:val="21"/>
              </w:rPr>
              <w:t>/</w:t>
            </w:r>
          </w:p>
        </w:tc>
        <w:tc>
          <w:tcPr>
            <w:tcW w:w="470" w:type="pct"/>
            <w:vAlign w:val="center"/>
          </w:tcPr>
          <w:p w14:paraId="0B1AA276">
            <w:pPr>
              <w:widowControl/>
              <w:jc w:val="center"/>
              <w:textAlignment w:val="center"/>
              <w:rPr>
                <w:rFonts w:ascii="Times New Roman" w:eastAsia="Arial"/>
                <w:spacing w:val="1"/>
                <w:sz w:val="21"/>
                <w:szCs w:val="21"/>
              </w:rPr>
            </w:pPr>
            <w:r>
              <w:rPr>
                <w:rFonts w:ascii="Times New Roman" w:eastAsia="Arial"/>
                <w:spacing w:val="1"/>
                <w:sz w:val="21"/>
                <w:szCs w:val="21"/>
              </w:rPr>
              <w:t>5</w:t>
            </w:r>
          </w:p>
        </w:tc>
      </w:tr>
      <w:tr w14:paraId="09E09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1AD687B">
            <w:pPr>
              <w:jc w:val="center"/>
              <w:textAlignment w:val="center"/>
              <w:rPr>
                <w:rFonts w:ascii="Times New Roman"/>
                <w:sz w:val="21"/>
                <w:szCs w:val="21"/>
              </w:rPr>
            </w:pPr>
            <w:r>
              <w:rPr>
                <w:rFonts w:ascii="Times New Roman"/>
                <w:sz w:val="21"/>
                <w:szCs w:val="21"/>
              </w:rPr>
              <w:t>10</w:t>
            </w:r>
          </w:p>
        </w:tc>
        <w:tc>
          <w:tcPr>
            <w:tcW w:w="413" w:type="pct"/>
            <w:vMerge w:val="continue"/>
            <w:vAlign w:val="center"/>
          </w:tcPr>
          <w:p w14:paraId="6BF17044">
            <w:pPr>
              <w:jc w:val="center"/>
              <w:textAlignment w:val="center"/>
              <w:rPr>
                <w:rFonts w:ascii="Times New Roman"/>
                <w:sz w:val="21"/>
                <w:szCs w:val="21"/>
              </w:rPr>
            </w:pPr>
          </w:p>
        </w:tc>
        <w:tc>
          <w:tcPr>
            <w:tcW w:w="616" w:type="pct"/>
            <w:vMerge w:val="continue"/>
            <w:vAlign w:val="center"/>
          </w:tcPr>
          <w:p w14:paraId="12D78494">
            <w:pPr>
              <w:jc w:val="center"/>
              <w:textAlignment w:val="center"/>
              <w:rPr>
                <w:rFonts w:ascii="Times New Roman"/>
                <w:sz w:val="21"/>
                <w:szCs w:val="21"/>
              </w:rPr>
            </w:pPr>
          </w:p>
        </w:tc>
        <w:tc>
          <w:tcPr>
            <w:tcW w:w="761" w:type="pct"/>
            <w:vMerge w:val="continue"/>
            <w:vAlign w:val="center"/>
          </w:tcPr>
          <w:p w14:paraId="2519B40D">
            <w:pPr>
              <w:jc w:val="center"/>
              <w:textAlignment w:val="center"/>
              <w:rPr>
                <w:rFonts w:ascii="Times New Roman"/>
                <w:sz w:val="21"/>
                <w:szCs w:val="21"/>
              </w:rPr>
            </w:pPr>
          </w:p>
        </w:tc>
        <w:tc>
          <w:tcPr>
            <w:tcW w:w="965" w:type="pct"/>
            <w:gridSpan w:val="2"/>
            <w:vAlign w:val="center"/>
          </w:tcPr>
          <w:p w14:paraId="57BCF2E9">
            <w:pPr>
              <w:jc w:val="center"/>
              <w:rPr>
                <w:rFonts w:ascii="Times New Roman"/>
                <w:spacing w:val="1"/>
                <w:sz w:val="21"/>
                <w:szCs w:val="21"/>
              </w:rPr>
            </w:pPr>
            <w:r>
              <w:rPr>
                <w:rFonts w:ascii="Times New Roman"/>
                <w:spacing w:val="1"/>
                <w:sz w:val="21"/>
                <w:szCs w:val="21"/>
              </w:rPr>
              <w:t>小件分拣电控</w:t>
            </w:r>
          </w:p>
        </w:tc>
        <w:tc>
          <w:tcPr>
            <w:tcW w:w="1431" w:type="pct"/>
            <w:vAlign w:val="center"/>
          </w:tcPr>
          <w:p w14:paraId="78999CFA">
            <w:pPr>
              <w:jc w:val="center"/>
              <w:textAlignment w:val="center"/>
              <w:rPr>
                <w:rFonts w:ascii="Times New Roman"/>
                <w:sz w:val="21"/>
                <w:szCs w:val="21"/>
              </w:rPr>
            </w:pPr>
            <w:r>
              <w:rPr>
                <w:rFonts w:ascii="Times New Roman"/>
                <w:sz w:val="21"/>
                <w:szCs w:val="21"/>
              </w:rPr>
              <w:t>/</w:t>
            </w:r>
          </w:p>
        </w:tc>
        <w:tc>
          <w:tcPr>
            <w:tcW w:w="470" w:type="pct"/>
            <w:vAlign w:val="center"/>
          </w:tcPr>
          <w:p w14:paraId="18521C07">
            <w:pPr>
              <w:widowControl/>
              <w:jc w:val="center"/>
              <w:textAlignment w:val="center"/>
              <w:rPr>
                <w:rFonts w:ascii="Times New Roman" w:eastAsia="Arial"/>
                <w:spacing w:val="1"/>
                <w:sz w:val="21"/>
                <w:szCs w:val="21"/>
              </w:rPr>
            </w:pPr>
            <w:r>
              <w:rPr>
                <w:rFonts w:ascii="Times New Roman" w:eastAsia="Arial"/>
                <w:spacing w:val="1"/>
                <w:sz w:val="21"/>
                <w:szCs w:val="21"/>
              </w:rPr>
              <w:t>1</w:t>
            </w:r>
          </w:p>
        </w:tc>
      </w:tr>
      <w:tr w14:paraId="1322D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FB05112">
            <w:pPr>
              <w:jc w:val="center"/>
              <w:textAlignment w:val="center"/>
              <w:rPr>
                <w:rFonts w:ascii="Times New Roman"/>
                <w:sz w:val="21"/>
                <w:szCs w:val="21"/>
              </w:rPr>
            </w:pPr>
            <w:r>
              <w:rPr>
                <w:rFonts w:ascii="Times New Roman"/>
                <w:sz w:val="21"/>
                <w:szCs w:val="21"/>
              </w:rPr>
              <w:t>11</w:t>
            </w:r>
          </w:p>
        </w:tc>
        <w:tc>
          <w:tcPr>
            <w:tcW w:w="413" w:type="pct"/>
            <w:vMerge w:val="continue"/>
            <w:vAlign w:val="center"/>
          </w:tcPr>
          <w:p w14:paraId="4EF10EE7">
            <w:pPr>
              <w:jc w:val="center"/>
              <w:textAlignment w:val="center"/>
              <w:rPr>
                <w:rFonts w:ascii="Times New Roman"/>
                <w:sz w:val="21"/>
                <w:szCs w:val="21"/>
              </w:rPr>
            </w:pPr>
          </w:p>
        </w:tc>
        <w:tc>
          <w:tcPr>
            <w:tcW w:w="616" w:type="pct"/>
            <w:vMerge w:val="continue"/>
            <w:vAlign w:val="center"/>
          </w:tcPr>
          <w:p w14:paraId="5F7F9A93">
            <w:pPr>
              <w:jc w:val="center"/>
              <w:textAlignment w:val="center"/>
              <w:rPr>
                <w:rFonts w:ascii="Times New Roman"/>
                <w:sz w:val="21"/>
                <w:szCs w:val="21"/>
              </w:rPr>
            </w:pPr>
          </w:p>
        </w:tc>
        <w:tc>
          <w:tcPr>
            <w:tcW w:w="761" w:type="pct"/>
            <w:vMerge w:val="continue"/>
            <w:vAlign w:val="center"/>
          </w:tcPr>
          <w:p w14:paraId="6840FE8A">
            <w:pPr>
              <w:jc w:val="center"/>
              <w:textAlignment w:val="center"/>
              <w:rPr>
                <w:rFonts w:ascii="Times New Roman"/>
                <w:sz w:val="21"/>
                <w:szCs w:val="21"/>
              </w:rPr>
            </w:pPr>
          </w:p>
        </w:tc>
        <w:tc>
          <w:tcPr>
            <w:tcW w:w="965" w:type="pct"/>
            <w:gridSpan w:val="2"/>
            <w:vAlign w:val="center"/>
          </w:tcPr>
          <w:p w14:paraId="6F49AE78">
            <w:pPr>
              <w:jc w:val="center"/>
              <w:rPr>
                <w:rFonts w:ascii="Times New Roman"/>
                <w:spacing w:val="1"/>
                <w:sz w:val="21"/>
                <w:szCs w:val="21"/>
              </w:rPr>
            </w:pPr>
            <w:r>
              <w:rPr>
                <w:rFonts w:ascii="Times New Roman"/>
                <w:spacing w:val="1"/>
                <w:sz w:val="21"/>
                <w:szCs w:val="21"/>
              </w:rPr>
              <w:t>小件分拣机器人</w:t>
            </w:r>
          </w:p>
        </w:tc>
        <w:tc>
          <w:tcPr>
            <w:tcW w:w="1431" w:type="pct"/>
            <w:vAlign w:val="center"/>
          </w:tcPr>
          <w:p w14:paraId="11F08C9F">
            <w:pPr>
              <w:jc w:val="center"/>
              <w:textAlignment w:val="center"/>
              <w:rPr>
                <w:rFonts w:ascii="Times New Roman"/>
                <w:sz w:val="21"/>
                <w:szCs w:val="21"/>
              </w:rPr>
            </w:pPr>
            <w:r>
              <w:rPr>
                <w:rFonts w:ascii="Times New Roman"/>
                <w:sz w:val="21"/>
                <w:szCs w:val="21"/>
              </w:rPr>
              <w:t>/</w:t>
            </w:r>
          </w:p>
        </w:tc>
        <w:tc>
          <w:tcPr>
            <w:tcW w:w="470" w:type="pct"/>
            <w:vAlign w:val="center"/>
          </w:tcPr>
          <w:p w14:paraId="22F05745">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59CC6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EF82443">
            <w:pPr>
              <w:jc w:val="center"/>
              <w:textAlignment w:val="center"/>
              <w:rPr>
                <w:rFonts w:ascii="Times New Roman"/>
                <w:sz w:val="21"/>
                <w:szCs w:val="21"/>
              </w:rPr>
            </w:pPr>
            <w:r>
              <w:rPr>
                <w:rFonts w:ascii="Times New Roman"/>
                <w:sz w:val="21"/>
                <w:szCs w:val="21"/>
              </w:rPr>
              <w:t>12</w:t>
            </w:r>
          </w:p>
        </w:tc>
        <w:tc>
          <w:tcPr>
            <w:tcW w:w="413" w:type="pct"/>
            <w:vMerge w:val="continue"/>
            <w:vAlign w:val="center"/>
          </w:tcPr>
          <w:p w14:paraId="2A2762FA">
            <w:pPr>
              <w:jc w:val="center"/>
              <w:textAlignment w:val="center"/>
              <w:rPr>
                <w:rFonts w:ascii="Times New Roman"/>
                <w:sz w:val="21"/>
                <w:szCs w:val="21"/>
              </w:rPr>
            </w:pPr>
          </w:p>
        </w:tc>
        <w:tc>
          <w:tcPr>
            <w:tcW w:w="616" w:type="pct"/>
            <w:vMerge w:val="continue"/>
            <w:vAlign w:val="center"/>
          </w:tcPr>
          <w:p w14:paraId="3AAE8869">
            <w:pPr>
              <w:jc w:val="center"/>
              <w:textAlignment w:val="center"/>
              <w:rPr>
                <w:rFonts w:ascii="Times New Roman"/>
                <w:sz w:val="21"/>
                <w:szCs w:val="21"/>
              </w:rPr>
            </w:pPr>
          </w:p>
        </w:tc>
        <w:tc>
          <w:tcPr>
            <w:tcW w:w="761" w:type="pct"/>
            <w:vMerge w:val="continue"/>
            <w:vAlign w:val="center"/>
          </w:tcPr>
          <w:p w14:paraId="559CF6A9">
            <w:pPr>
              <w:jc w:val="center"/>
              <w:textAlignment w:val="center"/>
              <w:rPr>
                <w:rFonts w:ascii="Times New Roman"/>
                <w:sz w:val="21"/>
                <w:szCs w:val="21"/>
              </w:rPr>
            </w:pPr>
          </w:p>
        </w:tc>
        <w:tc>
          <w:tcPr>
            <w:tcW w:w="965" w:type="pct"/>
            <w:gridSpan w:val="2"/>
            <w:vAlign w:val="center"/>
          </w:tcPr>
          <w:p w14:paraId="38770757">
            <w:pPr>
              <w:jc w:val="center"/>
              <w:rPr>
                <w:rFonts w:ascii="Times New Roman"/>
                <w:spacing w:val="1"/>
                <w:sz w:val="21"/>
                <w:szCs w:val="21"/>
              </w:rPr>
            </w:pPr>
            <w:r>
              <w:rPr>
                <w:rFonts w:ascii="Times New Roman"/>
                <w:spacing w:val="1"/>
                <w:sz w:val="21"/>
                <w:szCs w:val="21"/>
              </w:rPr>
              <w:t>大件分拣码垛桁架</w:t>
            </w:r>
          </w:p>
        </w:tc>
        <w:tc>
          <w:tcPr>
            <w:tcW w:w="1431" w:type="pct"/>
            <w:vAlign w:val="center"/>
          </w:tcPr>
          <w:p w14:paraId="0FBF0BC8">
            <w:pPr>
              <w:jc w:val="center"/>
              <w:textAlignment w:val="center"/>
              <w:rPr>
                <w:rFonts w:ascii="Times New Roman"/>
                <w:sz w:val="21"/>
                <w:szCs w:val="21"/>
              </w:rPr>
            </w:pPr>
            <w:r>
              <w:rPr>
                <w:rFonts w:ascii="Times New Roman"/>
                <w:sz w:val="21"/>
                <w:szCs w:val="21"/>
              </w:rPr>
              <w:t>/</w:t>
            </w:r>
          </w:p>
        </w:tc>
        <w:tc>
          <w:tcPr>
            <w:tcW w:w="470" w:type="pct"/>
            <w:vAlign w:val="center"/>
          </w:tcPr>
          <w:p w14:paraId="5B83BE13">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40D54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E9D779C">
            <w:pPr>
              <w:jc w:val="center"/>
              <w:textAlignment w:val="center"/>
              <w:rPr>
                <w:rFonts w:ascii="Times New Roman"/>
                <w:sz w:val="21"/>
                <w:szCs w:val="21"/>
              </w:rPr>
            </w:pPr>
            <w:r>
              <w:rPr>
                <w:rFonts w:ascii="Times New Roman"/>
                <w:sz w:val="21"/>
                <w:szCs w:val="21"/>
              </w:rPr>
              <w:t>13</w:t>
            </w:r>
          </w:p>
        </w:tc>
        <w:tc>
          <w:tcPr>
            <w:tcW w:w="413" w:type="pct"/>
            <w:vMerge w:val="continue"/>
            <w:vAlign w:val="center"/>
          </w:tcPr>
          <w:p w14:paraId="1256325A">
            <w:pPr>
              <w:jc w:val="center"/>
              <w:textAlignment w:val="center"/>
              <w:rPr>
                <w:rFonts w:ascii="Times New Roman"/>
                <w:sz w:val="21"/>
                <w:szCs w:val="21"/>
              </w:rPr>
            </w:pPr>
          </w:p>
        </w:tc>
        <w:tc>
          <w:tcPr>
            <w:tcW w:w="616" w:type="pct"/>
            <w:vMerge w:val="continue"/>
            <w:vAlign w:val="center"/>
          </w:tcPr>
          <w:p w14:paraId="55A5FDFF">
            <w:pPr>
              <w:jc w:val="center"/>
              <w:textAlignment w:val="center"/>
              <w:rPr>
                <w:rFonts w:ascii="Times New Roman"/>
                <w:sz w:val="21"/>
                <w:szCs w:val="21"/>
              </w:rPr>
            </w:pPr>
          </w:p>
        </w:tc>
        <w:tc>
          <w:tcPr>
            <w:tcW w:w="761" w:type="pct"/>
            <w:vMerge w:val="continue"/>
            <w:vAlign w:val="center"/>
          </w:tcPr>
          <w:p w14:paraId="73A9F3C7">
            <w:pPr>
              <w:jc w:val="center"/>
              <w:textAlignment w:val="center"/>
              <w:rPr>
                <w:rFonts w:ascii="Times New Roman"/>
                <w:sz w:val="21"/>
                <w:szCs w:val="21"/>
              </w:rPr>
            </w:pPr>
          </w:p>
        </w:tc>
        <w:tc>
          <w:tcPr>
            <w:tcW w:w="965" w:type="pct"/>
            <w:gridSpan w:val="2"/>
            <w:vAlign w:val="center"/>
          </w:tcPr>
          <w:p w14:paraId="077B0957">
            <w:pPr>
              <w:jc w:val="center"/>
              <w:rPr>
                <w:rFonts w:ascii="Times New Roman"/>
                <w:spacing w:val="1"/>
                <w:sz w:val="21"/>
                <w:szCs w:val="21"/>
              </w:rPr>
            </w:pPr>
            <w:r>
              <w:rPr>
                <w:rFonts w:ascii="Times New Roman"/>
                <w:spacing w:val="1"/>
                <w:sz w:val="21"/>
                <w:szCs w:val="21"/>
              </w:rPr>
              <w:t>大件分拣码垛端拾器</w:t>
            </w:r>
          </w:p>
        </w:tc>
        <w:tc>
          <w:tcPr>
            <w:tcW w:w="1431" w:type="pct"/>
            <w:vAlign w:val="center"/>
          </w:tcPr>
          <w:p w14:paraId="12733CD5">
            <w:pPr>
              <w:jc w:val="center"/>
              <w:textAlignment w:val="center"/>
              <w:rPr>
                <w:rFonts w:ascii="Times New Roman"/>
                <w:sz w:val="21"/>
                <w:szCs w:val="21"/>
              </w:rPr>
            </w:pPr>
            <w:r>
              <w:rPr>
                <w:rFonts w:ascii="Times New Roman"/>
                <w:sz w:val="21"/>
                <w:szCs w:val="21"/>
              </w:rPr>
              <w:t>/</w:t>
            </w:r>
          </w:p>
        </w:tc>
        <w:tc>
          <w:tcPr>
            <w:tcW w:w="470" w:type="pct"/>
            <w:vAlign w:val="center"/>
          </w:tcPr>
          <w:p w14:paraId="47F0A17E">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5BCB2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2A3A8B2">
            <w:pPr>
              <w:jc w:val="center"/>
              <w:textAlignment w:val="center"/>
              <w:rPr>
                <w:rFonts w:ascii="Times New Roman"/>
                <w:sz w:val="21"/>
                <w:szCs w:val="21"/>
              </w:rPr>
            </w:pPr>
            <w:r>
              <w:rPr>
                <w:rFonts w:ascii="Times New Roman"/>
                <w:sz w:val="21"/>
                <w:szCs w:val="21"/>
              </w:rPr>
              <w:t>14</w:t>
            </w:r>
          </w:p>
        </w:tc>
        <w:tc>
          <w:tcPr>
            <w:tcW w:w="413" w:type="pct"/>
            <w:vMerge w:val="continue"/>
            <w:vAlign w:val="center"/>
          </w:tcPr>
          <w:p w14:paraId="3C366675">
            <w:pPr>
              <w:jc w:val="center"/>
              <w:textAlignment w:val="center"/>
              <w:rPr>
                <w:rFonts w:ascii="Times New Roman"/>
                <w:sz w:val="21"/>
                <w:szCs w:val="21"/>
              </w:rPr>
            </w:pPr>
          </w:p>
        </w:tc>
        <w:tc>
          <w:tcPr>
            <w:tcW w:w="616" w:type="pct"/>
            <w:vMerge w:val="continue"/>
            <w:vAlign w:val="center"/>
          </w:tcPr>
          <w:p w14:paraId="22216DD6">
            <w:pPr>
              <w:jc w:val="center"/>
              <w:textAlignment w:val="center"/>
              <w:rPr>
                <w:rFonts w:ascii="Times New Roman"/>
                <w:sz w:val="21"/>
                <w:szCs w:val="21"/>
              </w:rPr>
            </w:pPr>
          </w:p>
        </w:tc>
        <w:tc>
          <w:tcPr>
            <w:tcW w:w="761" w:type="pct"/>
            <w:vMerge w:val="continue"/>
            <w:vAlign w:val="center"/>
          </w:tcPr>
          <w:p w14:paraId="7C627C4F">
            <w:pPr>
              <w:jc w:val="center"/>
              <w:textAlignment w:val="center"/>
              <w:rPr>
                <w:rFonts w:ascii="Times New Roman"/>
                <w:sz w:val="21"/>
                <w:szCs w:val="21"/>
              </w:rPr>
            </w:pPr>
          </w:p>
        </w:tc>
        <w:tc>
          <w:tcPr>
            <w:tcW w:w="965" w:type="pct"/>
            <w:gridSpan w:val="2"/>
            <w:vAlign w:val="center"/>
          </w:tcPr>
          <w:p w14:paraId="6341AF76">
            <w:pPr>
              <w:jc w:val="center"/>
              <w:rPr>
                <w:rFonts w:ascii="Times New Roman"/>
                <w:spacing w:val="1"/>
                <w:sz w:val="21"/>
                <w:szCs w:val="21"/>
              </w:rPr>
            </w:pPr>
            <w:r>
              <w:rPr>
                <w:rFonts w:ascii="Times New Roman"/>
                <w:spacing w:val="1"/>
                <w:sz w:val="21"/>
                <w:szCs w:val="21"/>
              </w:rPr>
              <w:t>板材直口切割机</w:t>
            </w:r>
          </w:p>
        </w:tc>
        <w:tc>
          <w:tcPr>
            <w:tcW w:w="1431" w:type="pct"/>
            <w:vAlign w:val="center"/>
          </w:tcPr>
          <w:p w14:paraId="5E72EC70">
            <w:pPr>
              <w:jc w:val="center"/>
              <w:textAlignment w:val="center"/>
              <w:rPr>
                <w:rFonts w:ascii="Times New Roman"/>
                <w:sz w:val="21"/>
                <w:szCs w:val="21"/>
              </w:rPr>
            </w:pPr>
            <w:r>
              <w:rPr>
                <w:rFonts w:ascii="Times New Roman"/>
                <w:sz w:val="21"/>
                <w:szCs w:val="21"/>
              </w:rPr>
              <w:t>/</w:t>
            </w:r>
          </w:p>
        </w:tc>
        <w:tc>
          <w:tcPr>
            <w:tcW w:w="470" w:type="pct"/>
            <w:vAlign w:val="center"/>
          </w:tcPr>
          <w:p w14:paraId="4E5D4AFC">
            <w:pPr>
              <w:widowControl/>
              <w:jc w:val="center"/>
              <w:textAlignment w:val="center"/>
              <w:rPr>
                <w:rFonts w:ascii="Times New Roman" w:eastAsia="Arial"/>
                <w:spacing w:val="1"/>
                <w:sz w:val="21"/>
                <w:szCs w:val="21"/>
              </w:rPr>
            </w:pPr>
            <w:r>
              <w:rPr>
                <w:rFonts w:ascii="Times New Roman" w:eastAsia="Arial"/>
                <w:spacing w:val="1"/>
                <w:sz w:val="21"/>
                <w:szCs w:val="21"/>
              </w:rPr>
              <w:t>5</w:t>
            </w:r>
          </w:p>
        </w:tc>
      </w:tr>
      <w:tr w14:paraId="6CB12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936687E">
            <w:pPr>
              <w:jc w:val="center"/>
              <w:textAlignment w:val="center"/>
              <w:rPr>
                <w:rFonts w:ascii="Times New Roman"/>
                <w:sz w:val="21"/>
                <w:szCs w:val="21"/>
              </w:rPr>
            </w:pPr>
            <w:r>
              <w:rPr>
                <w:rFonts w:ascii="Times New Roman"/>
                <w:sz w:val="21"/>
                <w:szCs w:val="21"/>
              </w:rPr>
              <w:t>15</w:t>
            </w:r>
          </w:p>
        </w:tc>
        <w:tc>
          <w:tcPr>
            <w:tcW w:w="413" w:type="pct"/>
            <w:vMerge w:val="continue"/>
            <w:vAlign w:val="center"/>
          </w:tcPr>
          <w:p w14:paraId="14BBCC31">
            <w:pPr>
              <w:jc w:val="center"/>
              <w:textAlignment w:val="center"/>
              <w:rPr>
                <w:rFonts w:ascii="Times New Roman"/>
                <w:sz w:val="21"/>
                <w:szCs w:val="21"/>
              </w:rPr>
            </w:pPr>
          </w:p>
        </w:tc>
        <w:tc>
          <w:tcPr>
            <w:tcW w:w="616" w:type="pct"/>
            <w:vMerge w:val="continue"/>
            <w:vAlign w:val="center"/>
          </w:tcPr>
          <w:p w14:paraId="18AB7C75">
            <w:pPr>
              <w:jc w:val="center"/>
              <w:textAlignment w:val="center"/>
              <w:rPr>
                <w:rFonts w:ascii="Times New Roman"/>
                <w:sz w:val="21"/>
                <w:szCs w:val="21"/>
              </w:rPr>
            </w:pPr>
          </w:p>
        </w:tc>
        <w:tc>
          <w:tcPr>
            <w:tcW w:w="761" w:type="pct"/>
            <w:vMerge w:val="continue"/>
            <w:vAlign w:val="center"/>
          </w:tcPr>
          <w:p w14:paraId="296734AD">
            <w:pPr>
              <w:jc w:val="center"/>
              <w:textAlignment w:val="center"/>
              <w:rPr>
                <w:rFonts w:ascii="Times New Roman"/>
                <w:sz w:val="21"/>
                <w:szCs w:val="21"/>
              </w:rPr>
            </w:pPr>
          </w:p>
        </w:tc>
        <w:tc>
          <w:tcPr>
            <w:tcW w:w="965" w:type="pct"/>
            <w:gridSpan w:val="2"/>
            <w:vAlign w:val="center"/>
          </w:tcPr>
          <w:p w14:paraId="179B12C8">
            <w:pPr>
              <w:jc w:val="center"/>
              <w:rPr>
                <w:rFonts w:ascii="Times New Roman"/>
                <w:spacing w:val="1"/>
                <w:sz w:val="21"/>
                <w:szCs w:val="21"/>
              </w:rPr>
            </w:pPr>
            <w:r>
              <w:rPr>
                <w:rFonts w:ascii="Times New Roman"/>
                <w:spacing w:val="1"/>
                <w:sz w:val="21"/>
                <w:szCs w:val="21"/>
              </w:rPr>
              <w:t>空压站</w:t>
            </w:r>
          </w:p>
        </w:tc>
        <w:tc>
          <w:tcPr>
            <w:tcW w:w="1431" w:type="pct"/>
            <w:vAlign w:val="center"/>
          </w:tcPr>
          <w:p w14:paraId="62AE4AAD">
            <w:pPr>
              <w:jc w:val="center"/>
              <w:textAlignment w:val="center"/>
              <w:rPr>
                <w:rFonts w:ascii="Times New Roman"/>
                <w:sz w:val="21"/>
                <w:szCs w:val="21"/>
              </w:rPr>
            </w:pPr>
            <w:r>
              <w:rPr>
                <w:rFonts w:ascii="Times New Roman"/>
                <w:sz w:val="21"/>
                <w:szCs w:val="21"/>
              </w:rPr>
              <w:t>/</w:t>
            </w:r>
          </w:p>
        </w:tc>
        <w:tc>
          <w:tcPr>
            <w:tcW w:w="470" w:type="pct"/>
            <w:vAlign w:val="center"/>
          </w:tcPr>
          <w:p w14:paraId="40680086">
            <w:pPr>
              <w:widowControl/>
              <w:jc w:val="center"/>
              <w:textAlignment w:val="center"/>
              <w:rPr>
                <w:rFonts w:ascii="Times New Roman" w:eastAsia="Arial"/>
                <w:spacing w:val="1"/>
                <w:sz w:val="21"/>
                <w:szCs w:val="21"/>
              </w:rPr>
            </w:pPr>
            <w:r>
              <w:rPr>
                <w:rFonts w:ascii="Times New Roman" w:eastAsia="Arial"/>
                <w:spacing w:val="1"/>
                <w:sz w:val="21"/>
                <w:szCs w:val="21"/>
              </w:rPr>
              <w:t>5</w:t>
            </w:r>
          </w:p>
        </w:tc>
      </w:tr>
      <w:tr w14:paraId="72B3D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A5201AD">
            <w:pPr>
              <w:jc w:val="center"/>
              <w:textAlignment w:val="center"/>
              <w:rPr>
                <w:rFonts w:ascii="Times New Roman"/>
                <w:sz w:val="21"/>
                <w:szCs w:val="21"/>
              </w:rPr>
            </w:pPr>
            <w:r>
              <w:rPr>
                <w:rFonts w:ascii="Times New Roman"/>
                <w:sz w:val="21"/>
                <w:szCs w:val="21"/>
              </w:rPr>
              <w:t>16</w:t>
            </w:r>
          </w:p>
        </w:tc>
        <w:tc>
          <w:tcPr>
            <w:tcW w:w="413" w:type="pct"/>
            <w:vMerge w:val="continue"/>
            <w:vAlign w:val="center"/>
          </w:tcPr>
          <w:p w14:paraId="6EBB4455">
            <w:pPr>
              <w:jc w:val="center"/>
              <w:textAlignment w:val="center"/>
              <w:rPr>
                <w:rFonts w:ascii="Times New Roman"/>
                <w:sz w:val="21"/>
                <w:szCs w:val="21"/>
              </w:rPr>
            </w:pPr>
          </w:p>
        </w:tc>
        <w:tc>
          <w:tcPr>
            <w:tcW w:w="616" w:type="pct"/>
            <w:vMerge w:val="continue"/>
            <w:vAlign w:val="center"/>
          </w:tcPr>
          <w:p w14:paraId="50DC9CA9">
            <w:pPr>
              <w:jc w:val="center"/>
              <w:textAlignment w:val="center"/>
              <w:rPr>
                <w:rFonts w:ascii="Times New Roman"/>
                <w:sz w:val="21"/>
                <w:szCs w:val="21"/>
              </w:rPr>
            </w:pPr>
          </w:p>
        </w:tc>
        <w:tc>
          <w:tcPr>
            <w:tcW w:w="761" w:type="pct"/>
            <w:vMerge w:val="continue"/>
            <w:vAlign w:val="center"/>
          </w:tcPr>
          <w:p w14:paraId="01DE948F">
            <w:pPr>
              <w:jc w:val="center"/>
              <w:textAlignment w:val="center"/>
              <w:rPr>
                <w:rFonts w:ascii="Times New Roman"/>
                <w:sz w:val="21"/>
                <w:szCs w:val="21"/>
              </w:rPr>
            </w:pPr>
          </w:p>
        </w:tc>
        <w:tc>
          <w:tcPr>
            <w:tcW w:w="965" w:type="pct"/>
            <w:gridSpan w:val="2"/>
            <w:vAlign w:val="center"/>
          </w:tcPr>
          <w:p w14:paraId="6B71E6B1">
            <w:pPr>
              <w:jc w:val="center"/>
              <w:rPr>
                <w:rFonts w:ascii="Times New Roman"/>
                <w:spacing w:val="1"/>
                <w:sz w:val="21"/>
                <w:szCs w:val="21"/>
              </w:rPr>
            </w:pPr>
            <w:r>
              <w:rPr>
                <w:rFonts w:ascii="Times New Roman"/>
                <w:spacing w:val="1"/>
                <w:sz w:val="21"/>
                <w:szCs w:val="21"/>
              </w:rPr>
              <w:t>中控室</w:t>
            </w:r>
          </w:p>
        </w:tc>
        <w:tc>
          <w:tcPr>
            <w:tcW w:w="1431" w:type="pct"/>
            <w:vAlign w:val="center"/>
          </w:tcPr>
          <w:p w14:paraId="625E3C42">
            <w:pPr>
              <w:jc w:val="center"/>
              <w:textAlignment w:val="center"/>
              <w:rPr>
                <w:rFonts w:ascii="Times New Roman"/>
                <w:sz w:val="21"/>
                <w:szCs w:val="21"/>
              </w:rPr>
            </w:pPr>
            <w:r>
              <w:rPr>
                <w:rFonts w:ascii="Times New Roman"/>
                <w:sz w:val="21"/>
                <w:szCs w:val="21"/>
              </w:rPr>
              <w:t>/</w:t>
            </w:r>
          </w:p>
        </w:tc>
        <w:tc>
          <w:tcPr>
            <w:tcW w:w="470" w:type="pct"/>
            <w:vAlign w:val="center"/>
          </w:tcPr>
          <w:p w14:paraId="5091E9C2">
            <w:pPr>
              <w:widowControl/>
              <w:jc w:val="center"/>
              <w:textAlignment w:val="center"/>
              <w:rPr>
                <w:rFonts w:ascii="Times New Roman" w:eastAsia="Arial"/>
                <w:spacing w:val="1"/>
                <w:sz w:val="21"/>
                <w:szCs w:val="21"/>
              </w:rPr>
            </w:pPr>
            <w:r>
              <w:rPr>
                <w:rFonts w:ascii="Times New Roman" w:eastAsia="Arial"/>
                <w:spacing w:val="1"/>
                <w:sz w:val="21"/>
                <w:szCs w:val="21"/>
              </w:rPr>
              <w:t>1</w:t>
            </w:r>
          </w:p>
        </w:tc>
      </w:tr>
      <w:tr w14:paraId="72D53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82C259E">
            <w:pPr>
              <w:jc w:val="center"/>
              <w:textAlignment w:val="center"/>
              <w:rPr>
                <w:rFonts w:ascii="Times New Roman"/>
                <w:sz w:val="21"/>
                <w:szCs w:val="21"/>
              </w:rPr>
            </w:pPr>
            <w:r>
              <w:rPr>
                <w:rFonts w:ascii="Times New Roman"/>
                <w:sz w:val="21"/>
                <w:szCs w:val="21"/>
              </w:rPr>
              <w:t>17</w:t>
            </w:r>
          </w:p>
        </w:tc>
        <w:tc>
          <w:tcPr>
            <w:tcW w:w="413" w:type="pct"/>
            <w:vMerge w:val="continue"/>
            <w:vAlign w:val="center"/>
          </w:tcPr>
          <w:p w14:paraId="4E7C5D56">
            <w:pPr>
              <w:jc w:val="center"/>
              <w:textAlignment w:val="center"/>
              <w:rPr>
                <w:rFonts w:ascii="Times New Roman"/>
                <w:sz w:val="21"/>
                <w:szCs w:val="21"/>
              </w:rPr>
            </w:pPr>
          </w:p>
        </w:tc>
        <w:tc>
          <w:tcPr>
            <w:tcW w:w="616" w:type="pct"/>
            <w:vMerge w:val="continue"/>
            <w:vAlign w:val="center"/>
          </w:tcPr>
          <w:p w14:paraId="5B30772A">
            <w:pPr>
              <w:jc w:val="center"/>
              <w:textAlignment w:val="center"/>
              <w:rPr>
                <w:rFonts w:ascii="Times New Roman"/>
                <w:sz w:val="21"/>
                <w:szCs w:val="21"/>
              </w:rPr>
            </w:pPr>
          </w:p>
        </w:tc>
        <w:tc>
          <w:tcPr>
            <w:tcW w:w="761" w:type="pct"/>
            <w:vMerge w:val="continue"/>
            <w:vAlign w:val="center"/>
          </w:tcPr>
          <w:p w14:paraId="36A3DF40">
            <w:pPr>
              <w:jc w:val="center"/>
              <w:textAlignment w:val="center"/>
              <w:rPr>
                <w:rFonts w:ascii="Times New Roman"/>
                <w:sz w:val="21"/>
                <w:szCs w:val="21"/>
              </w:rPr>
            </w:pPr>
          </w:p>
        </w:tc>
        <w:tc>
          <w:tcPr>
            <w:tcW w:w="965" w:type="pct"/>
            <w:gridSpan w:val="2"/>
            <w:vAlign w:val="center"/>
          </w:tcPr>
          <w:p w14:paraId="115BA46E">
            <w:pPr>
              <w:widowControl/>
              <w:jc w:val="center"/>
              <w:textAlignment w:val="center"/>
              <w:rPr>
                <w:rFonts w:ascii="Times New Roman" w:eastAsia="Arial"/>
                <w:spacing w:val="1"/>
                <w:sz w:val="21"/>
                <w:szCs w:val="21"/>
              </w:rPr>
            </w:pPr>
            <w:r>
              <w:rPr>
                <w:rFonts w:ascii="Times New Roman" w:eastAsia="Arial"/>
                <w:spacing w:val="1"/>
                <w:sz w:val="21"/>
                <w:szCs w:val="21"/>
              </w:rPr>
              <w:t>智能行车</w:t>
            </w:r>
          </w:p>
        </w:tc>
        <w:tc>
          <w:tcPr>
            <w:tcW w:w="1431" w:type="pct"/>
            <w:vAlign w:val="center"/>
          </w:tcPr>
          <w:p w14:paraId="550896CA">
            <w:pPr>
              <w:jc w:val="center"/>
              <w:textAlignment w:val="center"/>
              <w:rPr>
                <w:rFonts w:ascii="Times New Roman"/>
                <w:sz w:val="21"/>
                <w:szCs w:val="21"/>
              </w:rPr>
            </w:pPr>
            <w:r>
              <w:rPr>
                <w:rFonts w:ascii="Times New Roman"/>
                <w:sz w:val="21"/>
                <w:szCs w:val="21"/>
              </w:rPr>
              <w:t>/</w:t>
            </w:r>
          </w:p>
        </w:tc>
        <w:tc>
          <w:tcPr>
            <w:tcW w:w="470" w:type="pct"/>
            <w:vAlign w:val="center"/>
          </w:tcPr>
          <w:p w14:paraId="47968D42">
            <w:pPr>
              <w:widowControl/>
              <w:jc w:val="center"/>
              <w:textAlignment w:val="center"/>
              <w:rPr>
                <w:rFonts w:ascii="Times New Roman" w:eastAsia="Arial"/>
                <w:spacing w:val="1"/>
                <w:sz w:val="21"/>
                <w:szCs w:val="21"/>
              </w:rPr>
            </w:pPr>
            <w:r>
              <w:rPr>
                <w:rFonts w:ascii="Times New Roman" w:eastAsia="Arial"/>
                <w:spacing w:val="1"/>
                <w:sz w:val="21"/>
                <w:szCs w:val="21"/>
              </w:rPr>
              <w:t>3</w:t>
            </w:r>
          </w:p>
        </w:tc>
      </w:tr>
      <w:tr w14:paraId="14278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A8A9321">
            <w:pPr>
              <w:jc w:val="center"/>
              <w:textAlignment w:val="center"/>
              <w:rPr>
                <w:rFonts w:ascii="Times New Roman"/>
                <w:sz w:val="21"/>
                <w:szCs w:val="21"/>
              </w:rPr>
            </w:pPr>
            <w:r>
              <w:rPr>
                <w:rFonts w:ascii="Times New Roman"/>
                <w:sz w:val="21"/>
                <w:szCs w:val="21"/>
              </w:rPr>
              <w:t>18</w:t>
            </w:r>
          </w:p>
        </w:tc>
        <w:tc>
          <w:tcPr>
            <w:tcW w:w="413" w:type="pct"/>
            <w:vMerge w:val="continue"/>
            <w:vAlign w:val="center"/>
          </w:tcPr>
          <w:p w14:paraId="1DBD5C82">
            <w:pPr>
              <w:jc w:val="center"/>
              <w:textAlignment w:val="center"/>
              <w:rPr>
                <w:rFonts w:ascii="Times New Roman"/>
                <w:sz w:val="21"/>
                <w:szCs w:val="21"/>
              </w:rPr>
            </w:pPr>
          </w:p>
        </w:tc>
        <w:tc>
          <w:tcPr>
            <w:tcW w:w="616" w:type="pct"/>
            <w:vMerge w:val="continue"/>
            <w:vAlign w:val="center"/>
          </w:tcPr>
          <w:p w14:paraId="70D5475C">
            <w:pPr>
              <w:jc w:val="center"/>
              <w:textAlignment w:val="center"/>
              <w:rPr>
                <w:rFonts w:ascii="Times New Roman"/>
                <w:sz w:val="21"/>
                <w:szCs w:val="21"/>
              </w:rPr>
            </w:pPr>
          </w:p>
        </w:tc>
        <w:tc>
          <w:tcPr>
            <w:tcW w:w="761" w:type="pct"/>
            <w:vMerge w:val="continue"/>
            <w:vAlign w:val="center"/>
          </w:tcPr>
          <w:p w14:paraId="64F0969F">
            <w:pPr>
              <w:jc w:val="center"/>
              <w:textAlignment w:val="center"/>
              <w:rPr>
                <w:rFonts w:ascii="Times New Roman"/>
                <w:sz w:val="21"/>
                <w:szCs w:val="21"/>
              </w:rPr>
            </w:pPr>
          </w:p>
        </w:tc>
        <w:tc>
          <w:tcPr>
            <w:tcW w:w="965" w:type="pct"/>
            <w:gridSpan w:val="2"/>
            <w:vAlign w:val="center"/>
          </w:tcPr>
          <w:p w14:paraId="0B458709">
            <w:pPr>
              <w:widowControl/>
              <w:jc w:val="center"/>
              <w:textAlignment w:val="center"/>
              <w:rPr>
                <w:rFonts w:ascii="Times New Roman" w:eastAsia="Arial"/>
                <w:spacing w:val="1"/>
                <w:sz w:val="21"/>
                <w:szCs w:val="21"/>
              </w:rPr>
            </w:pPr>
            <w:r>
              <w:rPr>
                <w:rFonts w:ascii="Times New Roman" w:eastAsia="Arial"/>
                <w:spacing w:val="1"/>
                <w:sz w:val="21"/>
                <w:szCs w:val="21"/>
              </w:rPr>
              <w:t>电动双梁桥式起重机</w:t>
            </w:r>
          </w:p>
        </w:tc>
        <w:tc>
          <w:tcPr>
            <w:tcW w:w="1431" w:type="pct"/>
            <w:vAlign w:val="center"/>
          </w:tcPr>
          <w:p w14:paraId="2AA9D8FC">
            <w:pPr>
              <w:jc w:val="center"/>
              <w:textAlignment w:val="center"/>
              <w:rPr>
                <w:rFonts w:ascii="Times New Roman"/>
                <w:sz w:val="21"/>
                <w:szCs w:val="21"/>
              </w:rPr>
            </w:pPr>
            <w:r>
              <w:rPr>
                <w:rFonts w:ascii="Times New Roman"/>
                <w:sz w:val="21"/>
                <w:szCs w:val="21"/>
              </w:rPr>
              <w:t>/</w:t>
            </w:r>
          </w:p>
        </w:tc>
        <w:tc>
          <w:tcPr>
            <w:tcW w:w="470" w:type="pct"/>
            <w:vAlign w:val="center"/>
          </w:tcPr>
          <w:p w14:paraId="4AD14297">
            <w:pPr>
              <w:widowControl/>
              <w:jc w:val="center"/>
              <w:textAlignment w:val="center"/>
              <w:rPr>
                <w:rFonts w:ascii="Times New Roman" w:eastAsia="Arial"/>
                <w:spacing w:val="1"/>
                <w:sz w:val="21"/>
                <w:szCs w:val="21"/>
              </w:rPr>
            </w:pPr>
            <w:r>
              <w:rPr>
                <w:rFonts w:ascii="Times New Roman" w:eastAsia="Arial"/>
                <w:spacing w:val="1"/>
                <w:sz w:val="21"/>
                <w:szCs w:val="21"/>
              </w:rPr>
              <w:t>1</w:t>
            </w:r>
          </w:p>
        </w:tc>
      </w:tr>
      <w:tr w14:paraId="23821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5766070">
            <w:pPr>
              <w:jc w:val="center"/>
              <w:textAlignment w:val="center"/>
              <w:rPr>
                <w:rFonts w:ascii="Times New Roman"/>
                <w:sz w:val="21"/>
                <w:szCs w:val="21"/>
              </w:rPr>
            </w:pPr>
            <w:r>
              <w:rPr>
                <w:rFonts w:ascii="Times New Roman"/>
                <w:sz w:val="21"/>
                <w:szCs w:val="21"/>
              </w:rPr>
              <w:t>20</w:t>
            </w:r>
          </w:p>
        </w:tc>
        <w:tc>
          <w:tcPr>
            <w:tcW w:w="413" w:type="pct"/>
            <w:vMerge w:val="continue"/>
            <w:vAlign w:val="center"/>
          </w:tcPr>
          <w:p w14:paraId="4C2D17C0">
            <w:pPr>
              <w:jc w:val="center"/>
              <w:textAlignment w:val="center"/>
              <w:rPr>
                <w:rFonts w:ascii="Times New Roman"/>
                <w:sz w:val="21"/>
                <w:szCs w:val="21"/>
              </w:rPr>
            </w:pPr>
          </w:p>
        </w:tc>
        <w:tc>
          <w:tcPr>
            <w:tcW w:w="616" w:type="pct"/>
            <w:vMerge w:val="continue"/>
            <w:vAlign w:val="center"/>
          </w:tcPr>
          <w:p w14:paraId="295985F4">
            <w:pPr>
              <w:jc w:val="center"/>
              <w:textAlignment w:val="center"/>
              <w:rPr>
                <w:rFonts w:ascii="Times New Roman"/>
                <w:sz w:val="21"/>
                <w:szCs w:val="21"/>
              </w:rPr>
            </w:pPr>
          </w:p>
        </w:tc>
        <w:tc>
          <w:tcPr>
            <w:tcW w:w="761" w:type="pct"/>
            <w:vMerge w:val="continue"/>
            <w:vAlign w:val="center"/>
          </w:tcPr>
          <w:p w14:paraId="5B767A64">
            <w:pPr>
              <w:jc w:val="center"/>
              <w:textAlignment w:val="center"/>
              <w:rPr>
                <w:rFonts w:ascii="Times New Roman"/>
                <w:sz w:val="21"/>
                <w:szCs w:val="21"/>
              </w:rPr>
            </w:pPr>
          </w:p>
        </w:tc>
        <w:tc>
          <w:tcPr>
            <w:tcW w:w="965" w:type="pct"/>
            <w:gridSpan w:val="2"/>
            <w:vAlign w:val="center"/>
          </w:tcPr>
          <w:p w14:paraId="3363910F">
            <w:pPr>
              <w:widowControl/>
              <w:jc w:val="center"/>
              <w:textAlignment w:val="center"/>
              <w:rPr>
                <w:rFonts w:ascii="Times New Roman" w:eastAsia="Arial"/>
                <w:spacing w:val="1"/>
                <w:sz w:val="21"/>
                <w:szCs w:val="21"/>
              </w:rPr>
            </w:pPr>
            <w:r>
              <w:rPr>
                <w:rFonts w:ascii="Times New Roman" w:eastAsia="Arial"/>
                <w:spacing w:val="1"/>
                <w:sz w:val="21"/>
                <w:szCs w:val="21"/>
              </w:rPr>
              <w:t>电动单梁桥式起重机</w:t>
            </w:r>
          </w:p>
        </w:tc>
        <w:tc>
          <w:tcPr>
            <w:tcW w:w="1431" w:type="pct"/>
            <w:vAlign w:val="center"/>
          </w:tcPr>
          <w:p w14:paraId="143C947D">
            <w:pPr>
              <w:jc w:val="center"/>
              <w:textAlignment w:val="center"/>
              <w:rPr>
                <w:rFonts w:ascii="Times New Roman"/>
                <w:sz w:val="21"/>
                <w:szCs w:val="21"/>
              </w:rPr>
            </w:pPr>
            <w:r>
              <w:rPr>
                <w:rFonts w:ascii="Times New Roman"/>
                <w:sz w:val="21"/>
                <w:szCs w:val="21"/>
              </w:rPr>
              <w:t>/</w:t>
            </w:r>
          </w:p>
        </w:tc>
        <w:tc>
          <w:tcPr>
            <w:tcW w:w="470" w:type="pct"/>
            <w:vAlign w:val="center"/>
          </w:tcPr>
          <w:p w14:paraId="42943F69">
            <w:pPr>
              <w:widowControl/>
              <w:jc w:val="center"/>
              <w:textAlignment w:val="center"/>
              <w:rPr>
                <w:rFonts w:ascii="Times New Roman" w:eastAsia="Arial"/>
                <w:spacing w:val="1"/>
                <w:sz w:val="21"/>
                <w:szCs w:val="21"/>
              </w:rPr>
            </w:pPr>
            <w:r>
              <w:rPr>
                <w:rFonts w:ascii="Times New Roman" w:eastAsia="Arial"/>
                <w:spacing w:val="1"/>
                <w:sz w:val="21"/>
                <w:szCs w:val="21"/>
              </w:rPr>
              <w:t>1</w:t>
            </w:r>
          </w:p>
        </w:tc>
      </w:tr>
      <w:tr w14:paraId="3DC9A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6A812E4">
            <w:pPr>
              <w:jc w:val="center"/>
              <w:textAlignment w:val="center"/>
              <w:rPr>
                <w:rFonts w:ascii="Times New Roman"/>
                <w:sz w:val="21"/>
                <w:szCs w:val="21"/>
              </w:rPr>
            </w:pPr>
            <w:r>
              <w:rPr>
                <w:rFonts w:ascii="Times New Roman"/>
                <w:sz w:val="21"/>
                <w:szCs w:val="21"/>
              </w:rPr>
              <w:t>21</w:t>
            </w:r>
          </w:p>
        </w:tc>
        <w:tc>
          <w:tcPr>
            <w:tcW w:w="413" w:type="pct"/>
            <w:vMerge w:val="continue"/>
            <w:vAlign w:val="center"/>
          </w:tcPr>
          <w:p w14:paraId="0CA61EAD">
            <w:pPr>
              <w:jc w:val="center"/>
              <w:textAlignment w:val="center"/>
              <w:rPr>
                <w:rFonts w:ascii="Times New Roman"/>
                <w:sz w:val="21"/>
                <w:szCs w:val="21"/>
              </w:rPr>
            </w:pPr>
          </w:p>
        </w:tc>
        <w:tc>
          <w:tcPr>
            <w:tcW w:w="616" w:type="pct"/>
            <w:vMerge w:val="continue"/>
            <w:vAlign w:val="center"/>
          </w:tcPr>
          <w:p w14:paraId="707EF46A">
            <w:pPr>
              <w:jc w:val="center"/>
              <w:textAlignment w:val="center"/>
              <w:rPr>
                <w:rFonts w:ascii="Times New Roman"/>
                <w:sz w:val="21"/>
                <w:szCs w:val="21"/>
              </w:rPr>
            </w:pPr>
          </w:p>
        </w:tc>
        <w:tc>
          <w:tcPr>
            <w:tcW w:w="761" w:type="pct"/>
            <w:vMerge w:val="continue"/>
            <w:vAlign w:val="center"/>
          </w:tcPr>
          <w:p w14:paraId="680BD0FC">
            <w:pPr>
              <w:jc w:val="center"/>
              <w:textAlignment w:val="center"/>
              <w:rPr>
                <w:rFonts w:ascii="Times New Roman"/>
                <w:sz w:val="21"/>
                <w:szCs w:val="21"/>
              </w:rPr>
            </w:pPr>
          </w:p>
        </w:tc>
        <w:tc>
          <w:tcPr>
            <w:tcW w:w="965" w:type="pct"/>
            <w:gridSpan w:val="2"/>
            <w:vAlign w:val="center"/>
          </w:tcPr>
          <w:p w14:paraId="053436B1">
            <w:pPr>
              <w:widowControl/>
              <w:jc w:val="center"/>
              <w:textAlignment w:val="center"/>
              <w:rPr>
                <w:rFonts w:ascii="Times New Roman" w:eastAsia="Arial"/>
                <w:spacing w:val="1"/>
                <w:sz w:val="21"/>
                <w:szCs w:val="21"/>
              </w:rPr>
            </w:pPr>
            <w:r>
              <w:rPr>
                <w:rFonts w:ascii="Times New Roman" w:eastAsia="Arial"/>
                <w:spacing w:val="1"/>
                <w:sz w:val="21"/>
                <w:szCs w:val="21"/>
              </w:rPr>
              <w:t>地面输送线</w:t>
            </w:r>
          </w:p>
        </w:tc>
        <w:tc>
          <w:tcPr>
            <w:tcW w:w="1431" w:type="pct"/>
            <w:vAlign w:val="center"/>
          </w:tcPr>
          <w:p w14:paraId="36FA85C5">
            <w:pPr>
              <w:jc w:val="center"/>
              <w:textAlignment w:val="center"/>
              <w:rPr>
                <w:rFonts w:ascii="Times New Roman"/>
                <w:sz w:val="21"/>
                <w:szCs w:val="21"/>
              </w:rPr>
            </w:pPr>
            <w:r>
              <w:rPr>
                <w:rFonts w:ascii="Times New Roman"/>
                <w:sz w:val="21"/>
                <w:szCs w:val="21"/>
              </w:rPr>
              <w:t>/</w:t>
            </w:r>
          </w:p>
        </w:tc>
        <w:tc>
          <w:tcPr>
            <w:tcW w:w="470" w:type="pct"/>
            <w:vAlign w:val="center"/>
          </w:tcPr>
          <w:p w14:paraId="3DA383EB">
            <w:pPr>
              <w:widowControl/>
              <w:jc w:val="center"/>
              <w:textAlignment w:val="center"/>
              <w:rPr>
                <w:rFonts w:ascii="Times New Roman" w:eastAsia="Arial"/>
                <w:spacing w:val="1"/>
                <w:sz w:val="21"/>
                <w:szCs w:val="21"/>
              </w:rPr>
            </w:pPr>
            <w:r>
              <w:rPr>
                <w:rFonts w:ascii="Times New Roman" w:eastAsia="Arial"/>
                <w:spacing w:val="1"/>
                <w:sz w:val="21"/>
                <w:szCs w:val="21"/>
              </w:rPr>
              <w:t>1</w:t>
            </w:r>
          </w:p>
        </w:tc>
      </w:tr>
      <w:tr w14:paraId="03A0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B8E7282">
            <w:pPr>
              <w:jc w:val="center"/>
              <w:textAlignment w:val="center"/>
              <w:rPr>
                <w:rFonts w:ascii="Times New Roman"/>
                <w:sz w:val="21"/>
                <w:szCs w:val="21"/>
              </w:rPr>
            </w:pPr>
            <w:r>
              <w:rPr>
                <w:rFonts w:ascii="Times New Roman"/>
                <w:sz w:val="21"/>
                <w:szCs w:val="21"/>
              </w:rPr>
              <w:t>22</w:t>
            </w:r>
          </w:p>
        </w:tc>
        <w:tc>
          <w:tcPr>
            <w:tcW w:w="413" w:type="pct"/>
            <w:vMerge w:val="continue"/>
            <w:vAlign w:val="center"/>
          </w:tcPr>
          <w:p w14:paraId="7567B443">
            <w:pPr>
              <w:jc w:val="center"/>
              <w:textAlignment w:val="center"/>
              <w:rPr>
                <w:rFonts w:ascii="Times New Roman"/>
                <w:sz w:val="21"/>
                <w:szCs w:val="21"/>
              </w:rPr>
            </w:pPr>
          </w:p>
        </w:tc>
        <w:tc>
          <w:tcPr>
            <w:tcW w:w="616" w:type="pct"/>
            <w:vMerge w:val="continue"/>
            <w:vAlign w:val="center"/>
          </w:tcPr>
          <w:p w14:paraId="1C307E5A">
            <w:pPr>
              <w:jc w:val="center"/>
              <w:textAlignment w:val="center"/>
              <w:rPr>
                <w:rFonts w:ascii="Times New Roman"/>
                <w:sz w:val="21"/>
                <w:szCs w:val="21"/>
              </w:rPr>
            </w:pPr>
          </w:p>
        </w:tc>
        <w:tc>
          <w:tcPr>
            <w:tcW w:w="761" w:type="pct"/>
            <w:vMerge w:val="continue"/>
            <w:vAlign w:val="center"/>
          </w:tcPr>
          <w:p w14:paraId="084DD3E8">
            <w:pPr>
              <w:jc w:val="center"/>
              <w:textAlignment w:val="center"/>
              <w:rPr>
                <w:rFonts w:ascii="Times New Roman"/>
                <w:sz w:val="21"/>
                <w:szCs w:val="21"/>
              </w:rPr>
            </w:pPr>
          </w:p>
        </w:tc>
        <w:tc>
          <w:tcPr>
            <w:tcW w:w="965" w:type="pct"/>
            <w:gridSpan w:val="2"/>
            <w:vAlign w:val="center"/>
          </w:tcPr>
          <w:p w14:paraId="4C4AA5A0">
            <w:pPr>
              <w:widowControl/>
              <w:jc w:val="center"/>
              <w:textAlignment w:val="center"/>
              <w:rPr>
                <w:rFonts w:ascii="Times New Roman" w:eastAsia="Arial"/>
                <w:spacing w:val="1"/>
                <w:sz w:val="21"/>
                <w:szCs w:val="21"/>
              </w:rPr>
            </w:pPr>
            <w:r>
              <w:rPr>
                <w:rFonts w:ascii="Times New Roman" w:eastAsia="Arial"/>
                <w:spacing w:val="1"/>
                <w:sz w:val="21"/>
                <w:szCs w:val="21"/>
              </w:rPr>
              <w:t>升降辊床</w:t>
            </w:r>
          </w:p>
        </w:tc>
        <w:tc>
          <w:tcPr>
            <w:tcW w:w="1431" w:type="pct"/>
            <w:vAlign w:val="center"/>
          </w:tcPr>
          <w:p w14:paraId="2BAFC3A2">
            <w:pPr>
              <w:jc w:val="center"/>
              <w:textAlignment w:val="center"/>
              <w:rPr>
                <w:rFonts w:ascii="Times New Roman"/>
                <w:sz w:val="21"/>
                <w:szCs w:val="21"/>
              </w:rPr>
            </w:pPr>
            <w:r>
              <w:rPr>
                <w:rFonts w:ascii="Times New Roman"/>
                <w:sz w:val="21"/>
                <w:szCs w:val="21"/>
              </w:rPr>
              <w:t>/</w:t>
            </w:r>
          </w:p>
        </w:tc>
        <w:tc>
          <w:tcPr>
            <w:tcW w:w="470" w:type="pct"/>
            <w:vAlign w:val="center"/>
          </w:tcPr>
          <w:p w14:paraId="2EB8FB75">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428C7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923AD8F">
            <w:pPr>
              <w:jc w:val="center"/>
              <w:textAlignment w:val="center"/>
              <w:rPr>
                <w:rFonts w:ascii="Times New Roman"/>
                <w:sz w:val="21"/>
                <w:szCs w:val="21"/>
              </w:rPr>
            </w:pPr>
            <w:r>
              <w:rPr>
                <w:rFonts w:ascii="Times New Roman"/>
                <w:sz w:val="21"/>
                <w:szCs w:val="21"/>
              </w:rPr>
              <w:t>23</w:t>
            </w:r>
          </w:p>
        </w:tc>
        <w:tc>
          <w:tcPr>
            <w:tcW w:w="413" w:type="pct"/>
            <w:vMerge w:val="continue"/>
            <w:vAlign w:val="center"/>
          </w:tcPr>
          <w:p w14:paraId="297CA002">
            <w:pPr>
              <w:jc w:val="center"/>
              <w:textAlignment w:val="center"/>
              <w:rPr>
                <w:rFonts w:ascii="Times New Roman"/>
                <w:sz w:val="21"/>
                <w:szCs w:val="21"/>
              </w:rPr>
            </w:pPr>
          </w:p>
        </w:tc>
        <w:tc>
          <w:tcPr>
            <w:tcW w:w="616" w:type="pct"/>
            <w:vMerge w:val="continue"/>
            <w:vAlign w:val="center"/>
          </w:tcPr>
          <w:p w14:paraId="25C8A965">
            <w:pPr>
              <w:jc w:val="center"/>
              <w:textAlignment w:val="center"/>
              <w:rPr>
                <w:rFonts w:ascii="Times New Roman"/>
                <w:sz w:val="21"/>
                <w:szCs w:val="21"/>
              </w:rPr>
            </w:pPr>
          </w:p>
        </w:tc>
        <w:tc>
          <w:tcPr>
            <w:tcW w:w="761" w:type="pct"/>
            <w:vMerge w:val="continue"/>
            <w:vAlign w:val="center"/>
          </w:tcPr>
          <w:p w14:paraId="02B0610B">
            <w:pPr>
              <w:jc w:val="center"/>
              <w:textAlignment w:val="center"/>
              <w:rPr>
                <w:rFonts w:ascii="Times New Roman"/>
                <w:sz w:val="21"/>
                <w:szCs w:val="21"/>
              </w:rPr>
            </w:pPr>
          </w:p>
        </w:tc>
        <w:tc>
          <w:tcPr>
            <w:tcW w:w="965" w:type="pct"/>
            <w:gridSpan w:val="2"/>
            <w:vAlign w:val="center"/>
          </w:tcPr>
          <w:p w14:paraId="718E6274">
            <w:pPr>
              <w:widowControl/>
              <w:jc w:val="center"/>
              <w:textAlignment w:val="center"/>
              <w:rPr>
                <w:rFonts w:ascii="Times New Roman" w:eastAsia="Arial"/>
                <w:spacing w:val="1"/>
                <w:sz w:val="21"/>
                <w:szCs w:val="21"/>
              </w:rPr>
            </w:pPr>
            <w:r>
              <w:rPr>
                <w:rFonts w:ascii="Times New Roman" w:eastAsia="Arial"/>
                <w:spacing w:val="1"/>
                <w:sz w:val="21"/>
                <w:szCs w:val="21"/>
              </w:rPr>
              <w:t>手工割炬（直口切割）</w:t>
            </w:r>
          </w:p>
        </w:tc>
        <w:tc>
          <w:tcPr>
            <w:tcW w:w="1431" w:type="pct"/>
            <w:vAlign w:val="center"/>
          </w:tcPr>
          <w:p w14:paraId="5426EAEE">
            <w:pPr>
              <w:jc w:val="center"/>
              <w:textAlignment w:val="center"/>
              <w:rPr>
                <w:rFonts w:ascii="Times New Roman"/>
                <w:sz w:val="21"/>
                <w:szCs w:val="21"/>
              </w:rPr>
            </w:pPr>
            <w:r>
              <w:rPr>
                <w:rFonts w:ascii="Times New Roman"/>
                <w:sz w:val="21"/>
                <w:szCs w:val="21"/>
              </w:rPr>
              <w:t>/</w:t>
            </w:r>
          </w:p>
        </w:tc>
        <w:tc>
          <w:tcPr>
            <w:tcW w:w="470" w:type="pct"/>
            <w:vAlign w:val="center"/>
          </w:tcPr>
          <w:p w14:paraId="1B033EC5">
            <w:pPr>
              <w:widowControl/>
              <w:jc w:val="center"/>
              <w:textAlignment w:val="center"/>
              <w:rPr>
                <w:rFonts w:ascii="Times New Roman" w:eastAsia="Arial"/>
                <w:spacing w:val="1"/>
                <w:sz w:val="21"/>
                <w:szCs w:val="21"/>
              </w:rPr>
            </w:pPr>
            <w:r>
              <w:rPr>
                <w:rFonts w:ascii="Times New Roman" w:eastAsia="Arial"/>
                <w:spacing w:val="1"/>
                <w:sz w:val="21"/>
                <w:szCs w:val="21"/>
              </w:rPr>
              <w:t>4</w:t>
            </w:r>
          </w:p>
        </w:tc>
      </w:tr>
      <w:tr w14:paraId="14196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CDF2FC3">
            <w:pPr>
              <w:jc w:val="center"/>
              <w:textAlignment w:val="center"/>
              <w:rPr>
                <w:rFonts w:ascii="Times New Roman"/>
                <w:sz w:val="21"/>
                <w:szCs w:val="21"/>
              </w:rPr>
            </w:pPr>
            <w:r>
              <w:rPr>
                <w:rFonts w:ascii="Times New Roman"/>
                <w:sz w:val="21"/>
                <w:szCs w:val="21"/>
              </w:rPr>
              <w:t>24</w:t>
            </w:r>
          </w:p>
        </w:tc>
        <w:tc>
          <w:tcPr>
            <w:tcW w:w="413" w:type="pct"/>
            <w:vMerge w:val="continue"/>
            <w:vAlign w:val="center"/>
          </w:tcPr>
          <w:p w14:paraId="231043FD">
            <w:pPr>
              <w:jc w:val="center"/>
              <w:textAlignment w:val="center"/>
              <w:rPr>
                <w:rFonts w:ascii="Times New Roman"/>
                <w:sz w:val="21"/>
                <w:szCs w:val="21"/>
              </w:rPr>
            </w:pPr>
          </w:p>
        </w:tc>
        <w:tc>
          <w:tcPr>
            <w:tcW w:w="616" w:type="pct"/>
            <w:vMerge w:val="restart"/>
            <w:vAlign w:val="center"/>
          </w:tcPr>
          <w:p w14:paraId="6F46FC1A">
            <w:pPr>
              <w:jc w:val="center"/>
              <w:rPr>
                <w:rFonts w:ascii="Times New Roman"/>
                <w:sz w:val="21"/>
                <w:szCs w:val="21"/>
              </w:rPr>
            </w:pPr>
            <w:r>
              <w:rPr>
                <w:rFonts w:ascii="Times New Roman"/>
                <w:sz w:val="21"/>
                <w:szCs w:val="21"/>
              </w:rPr>
              <w:t>型材/管材自动下料区</w:t>
            </w:r>
          </w:p>
        </w:tc>
        <w:tc>
          <w:tcPr>
            <w:tcW w:w="761" w:type="pct"/>
            <w:vMerge w:val="restart"/>
            <w:vAlign w:val="center"/>
          </w:tcPr>
          <w:p w14:paraId="5B49C804">
            <w:pPr>
              <w:jc w:val="center"/>
              <w:rPr>
                <w:rFonts w:ascii="Times New Roman"/>
                <w:sz w:val="21"/>
                <w:szCs w:val="21"/>
              </w:rPr>
            </w:pPr>
            <w:r>
              <w:rPr>
                <w:rFonts w:ascii="Times New Roman"/>
                <w:sz w:val="21"/>
                <w:szCs w:val="21"/>
              </w:rPr>
              <w:t>自动下料</w:t>
            </w:r>
          </w:p>
        </w:tc>
        <w:tc>
          <w:tcPr>
            <w:tcW w:w="965" w:type="pct"/>
            <w:gridSpan w:val="2"/>
            <w:vAlign w:val="center"/>
          </w:tcPr>
          <w:p w14:paraId="13D8BF55">
            <w:pPr>
              <w:widowControl/>
              <w:jc w:val="center"/>
              <w:textAlignment w:val="center"/>
              <w:rPr>
                <w:rFonts w:ascii="Times New Roman" w:eastAsia="Arial"/>
                <w:spacing w:val="1"/>
                <w:sz w:val="21"/>
                <w:szCs w:val="21"/>
              </w:rPr>
            </w:pPr>
            <w:r>
              <w:rPr>
                <w:rFonts w:ascii="Times New Roman" w:eastAsia="Arial"/>
                <w:spacing w:val="1"/>
                <w:sz w:val="21"/>
                <w:szCs w:val="21"/>
              </w:rPr>
              <w:t>上、下料行车</w:t>
            </w:r>
          </w:p>
        </w:tc>
        <w:tc>
          <w:tcPr>
            <w:tcW w:w="1431" w:type="pct"/>
            <w:shd w:val="clear" w:color="auto" w:fill="auto"/>
            <w:vAlign w:val="center"/>
          </w:tcPr>
          <w:p w14:paraId="439807DF">
            <w:pPr>
              <w:jc w:val="center"/>
              <w:textAlignment w:val="center"/>
              <w:rPr>
                <w:rFonts w:ascii="Times New Roman" w:eastAsia="Arial"/>
                <w:spacing w:val="1"/>
                <w:sz w:val="21"/>
                <w:szCs w:val="21"/>
              </w:rPr>
            </w:pPr>
            <w:r>
              <w:rPr>
                <w:rFonts w:ascii="Times New Roman"/>
                <w:kern w:val="0"/>
                <w:sz w:val="21"/>
                <w:szCs w:val="21"/>
              </w:rPr>
              <w:t>功率：</w:t>
            </w:r>
            <w:r>
              <w:rPr>
                <w:rFonts w:hint="eastAsia" w:ascii="Times New Roman"/>
                <w:sz w:val="21"/>
                <w:szCs w:val="21"/>
              </w:rPr>
              <w:t>70</w:t>
            </w:r>
            <w:r>
              <w:rPr>
                <w:rFonts w:ascii="Times New Roman"/>
                <w:kern w:val="0"/>
                <w:sz w:val="21"/>
                <w:szCs w:val="21"/>
              </w:rPr>
              <w:t>kW</w:t>
            </w:r>
          </w:p>
        </w:tc>
        <w:tc>
          <w:tcPr>
            <w:tcW w:w="470" w:type="pct"/>
            <w:vAlign w:val="center"/>
          </w:tcPr>
          <w:p w14:paraId="69979467">
            <w:pPr>
              <w:widowControl/>
              <w:jc w:val="center"/>
              <w:textAlignment w:val="center"/>
              <w:rPr>
                <w:rFonts w:ascii="Times New Roman"/>
                <w:sz w:val="21"/>
                <w:szCs w:val="21"/>
              </w:rPr>
            </w:pPr>
            <w:r>
              <w:rPr>
                <w:rFonts w:ascii="Times New Roman" w:eastAsia="Arial"/>
                <w:spacing w:val="1"/>
                <w:sz w:val="21"/>
                <w:szCs w:val="21"/>
              </w:rPr>
              <w:t>1</w:t>
            </w:r>
          </w:p>
        </w:tc>
      </w:tr>
      <w:tr w14:paraId="46A3E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D714DCC">
            <w:pPr>
              <w:jc w:val="center"/>
              <w:textAlignment w:val="center"/>
              <w:rPr>
                <w:rFonts w:ascii="Times New Roman"/>
                <w:sz w:val="21"/>
                <w:szCs w:val="21"/>
              </w:rPr>
            </w:pPr>
            <w:r>
              <w:rPr>
                <w:rFonts w:ascii="Times New Roman"/>
                <w:sz w:val="21"/>
                <w:szCs w:val="21"/>
              </w:rPr>
              <w:t>25</w:t>
            </w:r>
          </w:p>
        </w:tc>
        <w:tc>
          <w:tcPr>
            <w:tcW w:w="413" w:type="pct"/>
            <w:vMerge w:val="continue"/>
            <w:vAlign w:val="center"/>
          </w:tcPr>
          <w:p w14:paraId="4BF8F712">
            <w:pPr>
              <w:jc w:val="center"/>
              <w:rPr>
                <w:rFonts w:ascii="Times New Roman"/>
                <w:sz w:val="21"/>
                <w:szCs w:val="21"/>
              </w:rPr>
            </w:pPr>
          </w:p>
        </w:tc>
        <w:tc>
          <w:tcPr>
            <w:tcW w:w="616" w:type="pct"/>
            <w:vMerge w:val="continue"/>
            <w:vAlign w:val="center"/>
          </w:tcPr>
          <w:p w14:paraId="4FAA17B4">
            <w:pPr>
              <w:jc w:val="center"/>
              <w:rPr>
                <w:rFonts w:ascii="Times New Roman"/>
                <w:sz w:val="21"/>
                <w:szCs w:val="21"/>
              </w:rPr>
            </w:pPr>
          </w:p>
        </w:tc>
        <w:tc>
          <w:tcPr>
            <w:tcW w:w="761" w:type="pct"/>
            <w:vMerge w:val="continue"/>
            <w:vAlign w:val="center"/>
          </w:tcPr>
          <w:p w14:paraId="71E4A701">
            <w:pPr>
              <w:jc w:val="center"/>
              <w:rPr>
                <w:rFonts w:ascii="Times New Roman"/>
                <w:sz w:val="21"/>
                <w:szCs w:val="21"/>
              </w:rPr>
            </w:pPr>
          </w:p>
        </w:tc>
        <w:tc>
          <w:tcPr>
            <w:tcW w:w="965" w:type="pct"/>
            <w:gridSpan w:val="2"/>
            <w:vAlign w:val="center"/>
          </w:tcPr>
          <w:p w14:paraId="093A8C89">
            <w:pPr>
              <w:jc w:val="center"/>
              <w:rPr>
                <w:rFonts w:ascii="Times New Roman"/>
                <w:sz w:val="21"/>
                <w:szCs w:val="21"/>
              </w:rPr>
            </w:pPr>
            <w:r>
              <w:rPr>
                <w:rFonts w:ascii="Times New Roman"/>
                <w:sz w:val="21"/>
                <w:szCs w:val="21"/>
              </w:rPr>
              <w:t>型材数控切割机</w:t>
            </w:r>
          </w:p>
        </w:tc>
        <w:tc>
          <w:tcPr>
            <w:tcW w:w="1431" w:type="pct"/>
            <w:shd w:val="clear" w:color="auto" w:fill="auto"/>
            <w:vAlign w:val="center"/>
          </w:tcPr>
          <w:p w14:paraId="626BE559">
            <w:pPr>
              <w:jc w:val="center"/>
              <w:textAlignment w:val="center"/>
              <w:rPr>
                <w:rFonts w:ascii="Times New Roman"/>
                <w:sz w:val="21"/>
                <w:szCs w:val="21"/>
              </w:rPr>
            </w:pPr>
            <w:r>
              <w:rPr>
                <w:rFonts w:ascii="Times New Roman"/>
                <w:kern w:val="0"/>
                <w:sz w:val="21"/>
                <w:szCs w:val="21"/>
              </w:rPr>
              <w:t>功率：</w:t>
            </w:r>
            <w:r>
              <w:rPr>
                <w:rFonts w:hint="eastAsia" w:ascii="Times New Roman"/>
                <w:sz w:val="21"/>
                <w:szCs w:val="21"/>
              </w:rPr>
              <w:t>12</w:t>
            </w:r>
            <w:r>
              <w:rPr>
                <w:rFonts w:ascii="Times New Roman"/>
                <w:kern w:val="0"/>
                <w:sz w:val="21"/>
                <w:szCs w:val="21"/>
              </w:rPr>
              <w:t>kW</w:t>
            </w:r>
          </w:p>
        </w:tc>
        <w:tc>
          <w:tcPr>
            <w:tcW w:w="470" w:type="pct"/>
            <w:vAlign w:val="center"/>
          </w:tcPr>
          <w:p w14:paraId="00D8BDEE">
            <w:pPr>
              <w:widowControl/>
              <w:jc w:val="center"/>
              <w:textAlignment w:val="center"/>
              <w:rPr>
                <w:rFonts w:ascii="Times New Roman" w:eastAsia="Arial"/>
                <w:spacing w:val="1"/>
                <w:sz w:val="21"/>
                <w:szCs w:val="21"/>
              </w:rPr>
            </w:pPr>
            <w:r>
              <w:rPr>
                <w:rFonts w:ascii="Times New Roman" w:eastAsia="Arial"/>
                <w:spacing w:val="1"/>
                <w:sz w:val="21"/>
                <w:szCs w:val="21"/>
              </w:rPr>
              <w:t>1</w:t>
            </w:r>
          </w:p>
        </w:tc>
      </w:tr>
      <w:tr w14:paraId="3D72A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21F8E85">
            <w:pPr>
              <w:jc w:val="center"/>
              <w:textAlignment w:val="center"/>
              <w:rPr>
                <w:rFonts w:ascii="Times New Roman"/>
                <w:sz w:val="21"/>
                <w:szCs w:val="21"/>
              </w:rPr>
            </w:pPr>
            <w:r>
              <w:rPr>
                <w:rFonts w:ascii="Times New Roman"/>
                <w:sz w:val="21"/>
                <w:szCs w:val="21"/>
              </w:rPr>
              <w:t>26</w:t>
            </w:r>
          </w:p>
        </w:tc>
        <w:tc>
          <w:tcPr>
            <w:tcW w:w="413" w:type="pct"/>
            <w:vMerge w:val="continue"/>
            <w:vAlign w:val="center"/>
          </w:tcPr>
          <w:p w14:paraId="25581614">
            <w:pPr>
              <w:jc w:val="center"/>
              <w:rPr>
                <w:rFonts w:ascii="Times New Roman"/>
                <w:sz w:val="21"/>
                <w:szCs w:val="21"/>
              </w:rPr>
            </w:pPr>
          </w:p>
        </w:tc>
        <w:tc>
          <w:tcPr>
            <w:tcW w:w="616" w:type="pct"/>
            <w:vMerge w:val="continue"/>
            <w:vAlign w:val="center"/>
          </w:tcPr>
          <w:p w14:paraId="4173ED53">
            <w:pPr>
              <w:jc w:val="center"/>
              <w:rPr>
                <w:rFonts w:ascii="Times New Roman"/>
                <w:sz w:val="21"/>
                <w:szCs w:val="21"/>
              </w:rPr>
            </w:pPr>
          </w:p>
        </w:tc>
        <w:tc>
          <w:tcPr>
            <w:tcW w:w="761" w:type="pct"/>
            <w:vMerge w:val="continue"/>
            <w:vAlign w:val="center"/>
          </w:tcPr>
          <w:p w14:paraId="5E906936">
            <w:pPr>
              <w:jc w:val="center"/>
              <w:rPr>
                <w:rFonts w:ascii="Times New Roman"/>
                <w:sz w:val="21"/>
                <w:szCs w:val="21"/>
              </w:rPr>
            </w:pPr>
          </w:p>
        </w:tc>
        <w:tc>
          <w:tcPr>
            <w:tcW w:w="965" w:type="pct"/>
            <w:gridSpan w:val="2"/>
            <w:vAlign w:val="center"/>
          </w:tcPr>
          <w:p w14:paraId="3CBF415B">
            <w:pPr>
              <w:jc w:val="center"/>
              <w:rPr>
                <w:rFonts w:ascii="Times New Roman"/>
                <w:sz w:val="21"/>
                <w:szCs w:val="21"/>
              </w:rPr>
            </w:pPr>
            <w:r>
              <w:rPr>
                <w:rFonts w:ascii="Times New Roman"/>
                <w:sz w:val="21"/>
                <w:szCs w:val="21"/>
              </w:rPr>
              <w:t>槽钢角钢数控切割机</w:t>
            </w:r>
          </w:p>
        </w:tc>
        <w:tc>
          <w:tcPr>
            <w:tcW w:w="1431" w:type="pct"/>
            <w:shd w:val="clear" w:color="auto" w:fill="auto"/>
            <w:vAlign w:val="center"/>
          </w:tcPr>
          <w:p w14:paraId="0CFA2E1F">
            <w:pPr>
              <w:jc w:val="center"/>
              <w:textAlignment w:val="center"/>
              <w:rPr>
                <w:rFonts w:ascii="Times New Roman"/>
                <w:sz w:val="21"/>
                <w:szCs w:val="21"/>
              </w:rPr>
            </w:pPr>
            <w:r>
              <w:rPr>
                <w:rFonts w:ascii="Times New Roman"/>
                <w:kern w:val="0"/>
                <w:sz w:val="21"/>
                <w:szCs w:val="21"/>
              </w:rPr>
              <w:t>功率：</w:t>
            </w:r>
            <w:r>
              <w:rPr>
                <w:rFonts w:hint="eastAsia" w:ascii="Times New Roman"/>
                <w:sz w:val="21"/>
                <w:szCs w:val="21"/>
              </w:rPr>
              <w:t>115</w:t>
            </w:r>
            <w:r>
              <w:rPr>
                <w:rFonts w:ascii="Times New Roman"/>
                <w:kern w:val="0"/>
                <w:sz w:val="21"/>
                <w:szCs w:val="21"/>
              </w:rPr>
              <w:t>kW</w:t>
            </w:r>
          </w:p>
        </w:tc>
        <w:tc>
          <w:tcPr>
            <w:tcW w:w="470" w:type="pct"/>
            <w:vAlign w:val="center"/>
          </w:tcPr>
          <w:p w14:paraId="1310D285">
            <w:pPr>
              <w:widowControl/>
              <w:jc w:val="center"/>
              <w:textAlignment w:val="center"/>
              <w:rPr>
                <w:rFonts w:ascii="Times New Roman" w:eastAsia="Arial"/>
                <w:spacing w:val="1"/>
                <w:sz w:val="21"/>
                <w:szCs w:val="21"/>
              </w:rPr>
            </w:pPr>
            <w:r>
              <w:rPr>
                <w:rFonts w:ascii="Times New Roman" w:eastAsia="Arial"/>
                <w:spacing w:val="1"/>
                <w:sz w:val="21"/>
                <w:szCs w:val="21"/>
              </w:rPr>
              <w:t>3</w:t>
            </w:r>
          </w:p>
        </w:tc>
      </w:tr>
      <w:tr w14:paraId="171B0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20775BD">
            <w:pPr>
              <w:jc w:val="center"/>
              <w:textAlignment w:val="center"/>
              <w:rPr>
                <w:rFonts w:ascii="Times New Roman"/>
                <w:sz w:val="21"/>
                <w:szCs w:val="21"/>
              </w:rPr>
            </w:pPr>
            <w:r>
              <w:rPr>
                <w:rFonts w:ascii="Times New Roman"/>
                <w:sz w:val="21"/>
                <w:szCs w:val="21"/>
              </w:rPr>
              <w:t>28</w:t>
            </w:r>
          </w:p>
        </w:tc>
        <w:tc>
          <w:tcPr>
            <w:tcW w:w="413" w:type="pct"/>
            <w:vMerge w:val="continue"/>
            <w:vAlign w:val="center"/>
          </w:tcPr>
          <w:p w14:paraId="21171FF9">
            <w:pPr>
              <w:jc w:val="center"/>
              <w:rPr>
                <w:rFonts w:ascii="Times New Roman"/>
                <w:sz w:val="21"/>
                <w:szCs w:val="21"/>
              </w:rPr>
            </w:pPr>
          </w:p>
        </w:tc>
        <w:tc>
          <w:tcPr>
            <w:tcW w:w="616" w:type="pct"/>
            <w:vMerge w:val="continue"/>
            <w:vAlign w:val="center"/>
          </w:tcPr>
          <w:p w14:paraId="4745BA26">
            <w:pPr>
              <w:jc w:val="center"/>
              <w:rPr>
                <w:rFonts w:ascii="Times New Roman"/>
                <w:sz w:val="21"/>
                <w:szCs w:val="21"/>
              </w:rPr>
            </w:pPr>
          </w:p>
        </w:tc>
        <w:tc>
          <w:tcPr>
            <w:tcW w:w="761" w:type="pct"/>
            <w:vMerge w:val="continue"/>
            <w:vAlign w:val="center"/>
          </w:tcPr>
          <w:p w14:paraId="75B5C7D3">
            <w:pPr>
              <w:jc w:val="center"/>
              <w:rPr>
                <w:rFonts w:ascii="Times New Roman"/>
                <w:sz w:val="21"/>
                <w:szCs w:val="21"/>
              </w:rPr>
            </w:pPr>
          </w:p>
        </w:tc>
        <w:tc>
          <w:tcPr>
            <w:tcW w:w="965" w:type="pct"/>
            <w:gridSpan w:val="2"/>
            <w:vAlign w:val="center"/>
          </w:tcPr>
          <w:p w14:paraId="1E2A628F">
            <w:pPr>
              <w:jc w:val="center"/>
              <w:rPr>
                <w:rFonts w:ascii="Times New Roman"/>
                <w:sz w:val="21"/>
                <w:szCs w:val="21"/>
              </w:rPr>
            </w:pPr>
            <w:r>
              <w:rPr>
                <w:rFonts w:ascii="Times New Roman"/>
                <w:sz w:val="21"/>
                <w:szCs w:val="21"/>
              </w:rPr>
              <w:t>数控联合冲剪机</w:t>
            </w:r>
          </w:p>
        </w:tc>
        <w:tc>
          <w:tcPr>
            <w:tcW w:w="1431" w:type="pct"/>
            <w:shd w:val="clear" w:color="auto" w:fill="auto"/>
            <w:vAlign w:val="center"/>
          </w:tcPr>
          <w:p w14:paraId="219C0566">
            <w:pPr>
              <w:jc w:val="center"/>
              <w:textAlignment w:val="center"/>
              <w:rPr>
                <w:rFonts w:ascii="Times New Roman"/>
                <w:sz w:val="21"/>
                <w:szCs w:val="21"/>
              </w:rPr>
            </w:pPr>
            <w:r>
              <w:rPr>
                <w:rFonts w:ascii="Times New Roman"/>
                <w:kern w:val="0"/>
                <w:sz w:val="21"/>
                <w:szCs w:val="21"/>
              </w:rPr>
              <w:t>功率：</w:t>
            </w:r>
            <w:r>
              <w:rPr>
                <w:rFonts w:hint="eastAsia" w:ascii="Times New Roman"/>
                <w:sz w:val="21"/>
                <w:szCs w:val="21"/>
              </w:rPr>
              <w:t>115</w:t>
            </w:r>
            <w:r>
              <w:rPr>
                <w:rFonts w:ascii="Times New Roman"/>
                <w:kern w:val="0"/>
                <w:sz w:val="21"/>
                <w:szCs w:val="21"/>
              </w:rPr>
              <w:t>kW</w:t>
            </w:r>
          </w:p>
        </w:tc>
        <w:tc>
          <w:tcPr>
            <w:tcW w:w="470" w:type="pct"/>
            <w:vAlign w:val="center"/>
          </w:tcPr>
          <w:p w14:paraId="4C0FB0C9">
            <w:pPr>
              <w:widowControl/>
              <w:jc w:val="center"/>
              <w:textAlignment w:val="center"/>
              <w:rPr>
                <w:rFonts w:ascii="Times New Roman" w:eastAsia="Arial"/>
                <w:spacing w:val="1"/>
                <w:sz w:val="21"/>
                <w:szCs w:val="21"/>
              </w:rPr>
            </w:pPr>
            <w:r>
              <w:rPr>
                <w:rFonts w:ascii="Times New Roman" w:eastAsia="Arial"/>
                <w:spacing w:val="1"/>
                <w:sz w:val="21"/>
                <w:szCs w:val="21"/>
              </w:rPr>
              <w:t>3</w:t>
            </w:r>
          </w:p>
        </w:tc>
      </w:tr>
      <w:tr w14:paraId="5C592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EDAFA6F">
            <w:pPr>
              <w:jc w:val="center"/>
              <w:rPr>
                <w:rFonts w:ascii="Times New Roman" w:eastAsiaTheme="minorEastAsia"/>
                <w:sz w:val="21"/>
                <w:szCs w:val="21"/>
              </w:rPr>
            </w:pPr>
            <w:r>
              <w:rPr>
                <w:rFonts w:ascii="Times New Roman"/>
                <w:sz w:val="21"/>
                <w:szCs w:val="21"/>
              </w:rPr>
              <w:t>29</w:t>
            </w:r>
          </w:p>
        </w:tc>
        <w:tc>
          <w:tcPr>
            <w:tcW w:w="413" w:type="pct"/>
            <w:vMerge w:val="continue"/>
            <w:vAlign w:val="center"/>
          </w:tcPr>
          <w:p w14:paraId="2B042DFB">
            <w:pPr>
              <w:jc w:val="center"/>
              <w:rPr>
                <w:rFonts w:ascii="Times New Roman"/>
                <w:sz w:val="21"/>
                <w:szCs w:val="21"/>
              </w:rPr>
            </w:pPr>
          </w:p>
        </w:tc>
        <w:tc>
          <w:tcPr>
            <w:tcW w:w="616" w:type="pct"/>
            <w:vMerge w:val="continue"/>
            <w:vAlign w:val="center"/>
          </w:tcPr>
          <w:p w14:paraId="4D074C85">
            <w:pPr>
              <w:jc w:val="center"/>
              <w:rPr>
                <w:rFonts w:ascii="Times New Roman"/>
                <w:sz w:val="21"/>
                <w:szCs w:val="21"/>
              </w:rPr>
            </w:pPr>
          </w:p>
        </w:tc>
        <w:tc>
          <w:tcPr>
            <w:tcW w:w="761" w:type="pct"/>
            <w:vMerge w:val="continue"/>
            <w:vAlign w:val="center"/>
          </w:tcPr>
          <w:p w14:paraId="4FE3EAB9">
            <w:pPr>
              <w:jc w:val="center"/>
              <w:rPr>
                <w:rFonts w:ascii="Times New Roman"/>
                <w:sz w:val="21"/>
                <w:szCs w:val="21"/>
              </w:rPr>
            </w:pPr>
          </w:p>
        </w:tc>
        <w:tc>
          <w:tcPr>
            <w:tcW w:w="965" w:type="pct"/>
            <w:gridSpan w:val="2"/>
            <w:vAlign w:val="center"/>
          </w:tcPr>
          <w:p w14:paraId="56D00525">
            <w:pPr>
              <w:jc w:val="center"/>
              <w:rPr>
                <w:rFonts w:ascii="Times New Roman"/>
                <w:sz w:val="21"/>
                <w:szCs w:val="21"/>
              </w:rPr>
            </w:pPr>
            <w:r>
              <w:rPr>
                <w:rFonts w:ascii="Times New Roman"/>
                <w:sz w:val="21"/>
                <w:szCs w:val="21"/>
              </w:rPr>
              <w:t>数控锯床</w:t>
            </w:r>
          </w:p>
        </w:tc>
        <w:tc>
          <w:tcPr>
            <w:tcW w:w="1431" w:type="pct"/>
            <w:shd w:val="clear" w:color="auto" w:fill="auto"/>
            <w:vAlign w:val="center"/>
          </w:tcPr>
          <w:p w14:paraId="4E0DDA60">
            <w:pPr>
              <w:jc w:val="center"/>
              <w:textAlignment w:val="center"/>
              <w:rPr>
                <w:rFonts w:ascii="Times New Roman"/>
                <w:sz w:val="21"/>
                <w:szCs w:val="21"/>
              </w:rPr>
            </w:pPr>
            <w:r>
              <w:rPr>
                <w:rFonts w:ascii="Times New Roman"/>
                <w:kern w:val="0"/>
                <w:sz w:val="21"/>
                <w:szCs w:val="21"/>
              </w:rPr>
              <w:t>功率：</w:t>
            </w:r>
            <w:r>
              <w:rPr>
                <w:rFonts w:hint="eastAsia" w:ascii="Times New Roman"/>
                <w:sz w:val="21"/>
                <w:szCs w:val="21"/>
              </w:rPr>
              <w:t>60</w:t>
            </w:r>
            <w:r>
              <w:rPr>
                <w:rFonts w:ascii="Times New Roman"/>
                <w:kern w:val="0"/>
                <w:sz w:val="21"/>
                <w:szCs w:val="21"/>
              </w:rPr>
              <w:t>kW</w:t>
            </w:r>
          </w:p>
        </w:tc>
        <w:tc>
          <w:tcPr>
            <w:tcW w:w="470" w:type="pct"/>
            <w:vAlign w:val="center"/>
          </w:tcPr>
          <w:p w14:paraId="702C2B65">
            <w:pPr>
              <w:widowControl/>
              <w:jc w:val="center"/>
              <w:textAlignment w:val="center"/>
              <w:rPr>
                <w:rFonts w:ascii="Times New Roman" w:eastAsia="Arial"/>
                <w:spacing w:val="1"/>
                <w:sz w:val="21"/>
                <w:szCs w:val="21"/>
              </w:rPr>
            </w:pPr>
            <w:r>
              <w:rPr>
                <w:rFonts w:ascii="Times New Roman" w:eastAsia="Arial"/>
                <w:spacing w:val="1"/>
                <w:sz w:val="21"/>
                <w:szCs w:val="21"/>
              </w:rPr>
              <w:t>4</w:t>
            </w:r>
          </w:p>
        </w:tc>
      </w:tr>
      <w:tr w14:paraId="4F861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587A7A7">
            <w:pPr>
              <w:jc w:val="center"/>
              <w:rPr>
                <w:rFonts w:ascii="Times New Roman" w:eastAsiaTheme="minorEastAsia"/>
                <w:sz w:val="21"/>
                <w:szCs w:val="21"/>
              </w:rPr>
            </w:pPr>
            <w:r>
              <w:rPr>
                <w:rFonts w:ascii="Times New Roman"/>
                <w:sz w:val="21"/>
                <w:szCs w:val="21"/>
              </w:rPr>
              <w:t>30</w:t>
            </w:r>
          </w:p>
        </w:tc>
        <w:tc>
          <w:tcPr>
            <w:tcW w:w="413" w:type="pct"/>
            <w:vMerge w:val="continue"/>
            <w:vAlign w:val="center"/>
          </w:tcPr>
          <w:p w14:paraId="15604C24">
            <w:pPr>
              <w:jc w:val="center"/>
              <w:rPr>
                <w:rFonts w:ascii="Times New Roman"/>
                <w:sz w:val="21"/>
                <w:szCs w:val="21"/>
              </w:rPr>
            </w:pPr>
          </w:p>
        </w:tc>
        <w:tc>
          <w:tcPr>
            <w:tcW w:w="616" w:type="pct"/>
            <w:vMerge w:val="continue"/>
            <w:vAlign w:val="center"/>
          </w:tcPr>
          <w:p w14:paraId="079B96DF">
            <w:pPr>
              <w:jc w:val="center"/>
              <w:rPr>
                <w:rFonts w:ascii="Times New Roman"/>
                <w:sz w:val="21"/>
                <w:szCs w:val="21"/>
              </w:rPr>
            </w:pPr>
          </w:p>
        </w:tc>
        <w:tc>
          <w:tcPr>
            <w:tcW w:w="761" w:type="pct"/>
            <w:vMerge w:val="continue"/>
            <w:vAlign w:val="center"/>
          </w:tcPr>
          <w:p w14:paraId="0993451F">
            <w:pPr>
              <w:jc w:val="center"/>
              <w:rPr>
                <w:rFonts w:ascii="Times New Roman"/>
                <w:sz w:val="21"/>
                <w:szCs w:val="21"/>
              </w:rPr>
            </w:pPr>
          </w:p>
        </w:tc>
        <w:tc>
          <w:tcPr>
            <w:tcW w:w="965" w:type="pct"/>
            <w:gridSpan w:val="2"/>
            <w:vAlign w:val="center"/>
          </w:tcPr>
          <w:p w14:paraId="08FEB80B">
            <w:pPr>
              <w:jc w:val="center"/>
              <w:rPr>
                <w:rFonts w:ascii="Times New Roman"/>
                <w:sz w:val="21"/>
                <w:szCs w:val="21"/>
              </w:rPr>
            </w:pPr>
            <w:r>
              <w:rPr>
                <w:rFonts w:ascii="Times New Roman"/>
                <w:sz w:val="21"/>
                <w:szCs w:val="21"/>
              </w:rPr>
              <w:t>数控圆盘锯</w:t>
            </w:r>
          </w:p>
        </w:tc>
        <w:tc>
          <w:tcPr>
            <w:tcW w:w="1431" w:type="pct"/>
            <w:shd w:val="clear" w:color="auto" w:fill="auto"/>
            <w:vAlign w:val="center"/>
          </w:tcPr>
          <w:p w14:paraId="2615DBD9">
            <w:pPr>
              <w:jc w:val="center"/>
              <w:textAlignment w:val="center"/>
              <w:rPr>
                <w:rFonts w:ascii="Times New Roman"/>
                <w:sz w:val="21"/>
                <w:szCs w:val="21"/>
              </w:rPr>
            </w:pPr>
            <w:r>
              <w:rPr>
                <w:rFonts w:ascii="Times New Roman"/>
                <w:kern w:val="0"/>
                <w:sz w:val="21"/>
                <w:szCs w:val="21"/>
              </w:rPr>
              <w:t>功率：</w:t>
            </w:r>
            <w:r>
              <w:rPr>
                <w:rFonts w:hint="eastAsia" w:ascii="Times New Roman"/>
                <w:sz w:val="21"/>
                <w:szCs w:val="21"/>
              </w:rPr>
              <w:t>100</w:t>
            </w:r>
            <w:r>
              <w:rPr>
                <w:rFonts w:ascii="Times New Roman"/>
                <w:kern w:val="0"/>
                <w:sz w:val="21"/>
                <w:szCs w:val="21"/>
              </w:rPr>
              <w:t>kW</w:t>
            </w:r>
          </w:p>
        </w:tc>
        <w:tc>
          <w:tcPr>
            <w:tcW w:w="470" w:type="pct"/>
            <w:vAlign w:val="center"/>
          </w:tcPr>
          <w:p w14:paraId="2378A45B">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6A514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A59EB9E">
            <w:pPr>
              <w:jc w:val="center"/>
              <w:rPr>
                <w:rFonts w:ascii="Times New Roman" w:eastAsiaTheme="minorEastAsia"/>
                <w:sz w:val="21"/>
                <w:szCs w:val="21"/>
              </w:rPr>
            </w:pPr>
            <w:r>
              <w:rPr>
                <w:rFonts w:ascii="Times New Roman"/>
                <w:sz w:val="21"/>
                <w:szCs w:val="21"/>
              </w:rPr>
              <w:t>31</w:t>
            </w:r>
          </w:p>
        </w:tc>
        <w:tc>
          <w:tcPr>
            <w:tcW w:w="413" w:type="pct"/>
            <w:vMerge w:val="continue"/>
            <w:vAlign w:val="center"/>
          </w:tcPr>
          <w:p w14:paraId="72BFA048">
            <w:pPr>
              <w:jc w:val="center"/>
              <w:rPr>
                <w:rFonts w:ascii="Times New Roman"/>
                <w:sz w:val="21"/>
                <w:szCs w:val="21"/>
              </w:rPr>
            </w:pPr>
          </w:p>
        </w:tc>
        <w:tc>
          <w:tcPr>
            <w:tcW w:w="616" w:type="pct"/>
            <w:vMerge w:val="restart"/>
            <w:vAlign w:val="center"/>
          </w:tcPr>
          <w:p w14:paraId="7D6734A2">
            <w:pPr>
              <w:jc w:val="center"/>
              <w:rPr>
                <w:rFonts w:ascii="Times New Roman"/>
                <w:sz w:val="21"/>
                <w:szCs w:val="21"/>
              </w:rPr>
            </w:pPr>
            <w:r>
              <w:rPr>
                <w:rFonts w:ascii="Times New Roman"/>
                <w:sz w:val="21"/>
                <w:szCs w:val="21"/>
              </w:rPr>
              <w:t>校正、冲压成型作业区</w:t>
            </w:r>
          </w:p>
        </w:tc>
        <w:tc>
          <w:tcPr>
            <w:tcW w:w="761" w:type="pct"/>
            <w:shd w:val="clear" w:color="auto" w:fill="auto"/>
            <w:vAlign w:val="center"/>
          </w:tcPr>
          <w:p w14:paraId="05ADA3B8">
            <w:pPr>
              <w:widowControl/>
              <w:jc w:val="center"/>
              <w:textAlignment w:val="center"/>
              <w:rPr>
                <w:rFonts w:ascii="Times New Roman"/>
                <w:sz w:val="21"/>
                <w:szCs w:val="21"/>
              </w:rPr>
            </w:pPr>
            <w:r>
              <w:rPr>
                <w:rFonts w:ascii="Times New Roman"/>
                <w:kern w:val="0"/>
                <w:sz w:val="21"/>
                <w:szCs w:val="21"/>
              </w:rPr>
              <w:t>压力机校平直</w:t>
            </w:r>
          </w:p>
        </w:tc>
        <w:tc>
          <w:tcPr>
            <w:tcW w:w="965" w:type="pct"/>
            <w:gridSpan w:val="2"/>
            <w:vAlign w:val="center"/>
          </w:tcPr>
          <w:p w14:paraId="5270A0E1">
            <w:pPr>
              <w:jc w:val="center"/>
              <w:rPr>
                <w:rFonts w:ascii="Times New Roman"/>
                <w:sz w:val="21"/>
                <w:szCs w:val="21"/>
              </w:rPr>
            </w:pPr>
            <w:r>
              <w:rPr>
                <w:rFonts w:ascii="Times New Roman"/>
                <w:sz w:val="21"/>
                <w:szCs w:val="21"/>
              </w:rPr>
              <w:t>压力机校平直</w:t>
            </w:r>
          </w:p>
        </w:tc>
        <w:tc>
          <w:tcPr>
            <w:tcW w:w="1431" w:type="pct"/>
            <w:shd w:val="clear" w:color="auto" w:fill="auto"/>
            <w:vAlign w:val="center"/>
          </w:tcPr>
          <w:p w14:paraId="0DFFC7C7">
            <w:pPr>
              <w:jc w:val="center"/>
              <w:textAlignment w:val="center"/>
              <w:rPr>
                <w:rFonts w:ascii="Times New Roman"/>
                <w:sz w:val="21"/>
                <w:szCs w:val="21"/>
              </w:rPr>
            </w:pPr>
            <w:r>
              <w:rPr>
                <w:rFonts w:ascii="Times New Roman"/>
                <w:kern w:val="0"/>
                <w:sz w:val="21"/>
                <w:szCs w:val="21"/>
              </w:rPr>
              <w:t>功率：</w:t>
            </w:r>
            <w:r>
              <w:rPr>
                <w:rFonts w:hint="eastAsia" w:ascii="Times New Roman"/>
                <w:sz w:val="21"/>
                <w:szCs w:val="21"/>
              </w:rPr>
              <w:t>54</w:t>
            </w:r>
            <w:r>
              <w:rPr>
                <w:rFonts w:ascii="Times New Roman"/>
                <w:kern w:val="0"/>
                <w:sz w:val="21"/>
                <w:szCs w:val="21"/>
              </w:rPr>
              <w:t>kW</w:t>
            </w:r>
          </w:p>
        </w:tc>
        <w:tc>
          <w:tcPr>
            <w:tcW w:w="470" w:type="pct"/>
            <w:vAlign w:val="center"/>
          </w:tcPr>
          <w:p w14:paraId="4AF2CE7F">
            <w:pPr>
              <w:widowControl/>
              <w:jc w:val="center"/>
              <w:textAlignment w:val="center"/>
              <w:rPr>
                <w:rFonts w:ascii="Times New Roman" w:eastAsia="Arial"/>
                <w:spacing w:val="1"/>
                <w:sz w:val="21"/>
                <w:szCs w:val="21"/>
              </w:rPr>
            </w:pPr>
            <w:r>
              <w:rPr>
                <w:rFonts w:ascii="Times New Roman" w:eastAsia="Arial"/>
                <w:spacing w:val="1"/>
                <w:sz w:val="21"/>
                <w:szCs w:val="21"/>
              </w:rPr>
              <w:t>2</w:t>
            </w:r>
          </w:p>
        </w:tc>
      </w:tr>
      <w:tr w14:paraId="1B599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543CA40">
            <w:pPr>
              <w:jc w:val="center"/>
              <w:rPr>
                <w:rFonts w:ascii="Times New Roman" w:eastAsiaTheme="minorEastAsia"/>
                <w:sz w:val="21"/>
                <w:szCs w:val="21"/>
              </w:rPr>
            </w:pPr>
            <w:r>
              <w:rPr>
                <w:rFonts w:ascii="Times New Roman"/>
                <w:sz w:val="21"/>
                <w:szCs w:val="21"/>
              </w:rPr>
              <w:t>32</w:t>
            </w:r>
          </w:p>
        </w:tc>
        <w:tc>
          <w:tcPr>
            <w:tcW w:w="413" w:type="pct"/>
            <w:vMerge w:val="continue"/>
            <w:vAlign w:val="center"/>
          </w:tcPr>
          <w:p w14:paraId="2DF20C78">
            <w:pPr>
              <w:jc w:val="center"/>
              <w:rPr>
                <w:rFonts w:ascii="Times New Roman"/>
                <w:sz w:val="21"/>
                <w:szCs w:val="21"/>
              </w:rPr>
            </w:pPr>
          </w:p>
        </w:tc>
        <w:tc>
          <w:tcPr>
            <w:tcW w:w="616" w:type="pct"/>
            <w:vMerge w:val="continue"/>
            <w:vAlign w:val="center"/>
          </w:tcPr>
          <w:p w14:paraId="78C32159">
            <w:pPr>
              <w:jc w:val="center"/>
              <w:rPr>
                <w:rFonts w:ascii="Times New Roman"/>
                <w:sz w:val="21"/>
                <w:szCs w:val="21"/>
              </w:rPr>
            </w:pPr>
          </w:p>
        </w:tc>
        <w:tc>
          <w:tcPr>
            <w:tcW w:w="761" w:type="pct"/>
            <w:shd w:val="clear" w:color="auto" w:fill="auto"/>
            <w:vAlign w:val="center"/>
          </w:tcPr>
          <w:p w14:paraId="487A8AF2">
            <w:pPr>
              <w:widowControl/>
              <w:jc w:val="center"/>
              <w:textAlignment w:val="center"/>
              <w:rPr>
                <w:rFonts w:ascii="Times New Roman"/>
                <w:sz w:val="21"/>
                <w:szCs w:val="21"/>
              </w:rPr>
            </w:pPr>
            <w:r>
              <w:rPr>
                <w:rFonts w:ascii="Times New Roman"/>
                <w:kern w:val="0"/>
                <w:sz w:val="21"/>
                <w:szCs w:val="21"/>
              </w:rPr>
              <w:t>冲床</w:t>
            </w:r>
          </w:p>
        </w:tc>
        <w:tc>
          <w:tcPr>
            <w:tcW w:w="965" w:type="pct"/>
            <w:gridSpan w:val="2"/>
            <w:vAlign w:val="center"/>
          </w:tcPr>
          <w:p w14:paraId="539BB1F3">
            <w:pPr>
              <w:jc w:val="center"/>
              <w:rPr>
                <w:rFonts w:ascii="Times New Roman"/>
                <w:sz w:val="21"/>
                <w:szCs w:val="21"/>
              </w:rPr>
            </w:pPr>
            <w:r>
              <w:rPr>
                <w:rFonts w:ascii="Times New Roman"/>
                <w:sz w:val="21"/>
                <w:szCs w:val="21"/>
              </w:rPr>
              <w:t>冲床</w:t>
            </w:r>
          </w:p>
        </w:tc>
        <w:tc>
          <w:tcPr>
            <w:tcW w:w="1431" w:type="pct"/>
            <w:vAlign w:val="center"/>
          </w:tcPr>
          <w:p w14:paraId="22EF90CA">
            <w:pPr>
              <w:jc w:val="center"/>
              <w:textAlignment w:val="center"/>
              <w:rPr>
                <w:rFonts w:ascii="Times New Roman"/>
                <w:sz w:val="21"/>
                <w:szCs w:val="21"/>
              </w:rPr>
            </w:pPr>
            <w:r>
              <w:rPr>
                <w:rFonts w:ascii="Times New Roman"/>
                <w:sz w:val="21"/>
                <w:szCs w:val="21"/>
              </w:rPr>
              <w:t>/</w:t>
            </w:r>
          </w:p>
        </w:tc>
        <w:tc>
          <w:tcPr>
            <w:tcW w:w="470" w:type="pct"/>
            <w:vAlign w:val="center"/>
          </w:tcPr>
          <w:p w14:paraId="0FB691EE">
            <w:pPr>
              <w:jc w:val="center"/>
              <w:rPr>
                <w:rFonts w:ascii="Times New Roman"/>
                <w:sz w:val="21"/>
                <w:szCs w:val="21"/>
              </w:rPr>
            </w:pPr>
            <w:r>
              <w:rPr>
                <w:rFonts w:ascii="Times New Roman"/>
                <w:sz w:val="21"/>
                <w:szCs w:val="21"/>
              </w:rPr>
              <w:t>4</w:t>
            </w:r>
          </w:p>
        </w:tc>
      </w:tr>
      <w:tr w14:paraId="6AF3C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EF6BFDB">
            <w:pPr>
              <w:jc w:val="center"/>
              <w:rPr>
                <w:rFonts w:ascii="Times New Roman"/>
                <w:sz w:val="21"/>
                <w:szCs w:val="21"/>
              </w:rPr>
            </w:pPr>
            <w:r>
              <w:rPr>
                <w:rFonts w:ascii="Times New Roman"/>
                <w:sz w:val="21"/>
                <w:szCs w:val="21"/>
              </w:rPr>
              <w:t>33</w:t>
            </w:r>
          </w:p>
        </w:tc>
        <w:tc>
          <w:tcPr>
            <w:tcW w:w="413" w:type="pct"/>
            <w:vMerge w:val="continue"/>
            <w:vAlign w:val="center"/>
          </w:tcPr>
          <w:p w14:paraId="045A9097">
            <w:pPr>
              <w:jc w:val="center"/>
              <w:rPr>
                <w:rFonts w:ascii="Times New Roman"/>
                <w:sz w:val="21"/>
                <w:szCs w:val="21"/>
              </w:rPr>
            </w:pPr>
          </w:p>
        </w:tc>
        <w:tc>
          <w:tcPr>
            <w:tcW w:w="616" w:type="pct"/>
            <w:vMerge w:val="restart"/>
            <w:vAlign w:val="center"/>
          </w:tcPr>
          <w:p w14:paraId="3D9E3F97">
            <w:pPr>
              <w:jc w:val="center"/>
              <w:rPr>
                <w:rFonts w:ascii="Times New Roman"/>
                <w:sz w:val="21"/>
                <w:szCs w:val="21"/>
              </w:rPr>
            </w:pPr>
            <w:r>
              <w:rPr>
                <w:rFonts w:ascii="Times New Roman"/>
                <w:sz w:val="21"/>
                <w:szCs w:val="21"/>
              </w:rPr>
              <w:t>下料半成品缓存中心库</w:t>
            </w:r>
          </w:p>
        </w:tc>
        <w:tc>
          <w:tcPr>
            <w:tcW w:w="761" w:type="pct"/>
            <w:vMerge w:val="restart"/>
            <w:vAlign w:val="center"/>
          </w:tcPr>
          <w:p w14:paraId="1E1401AB">
            <w:pPr>
              <w:jc w:val="center"/>
              <w:rPr>
                <w:rFonts w:ascii="Times New Roman"/>
                <w:sz w:val="21"/>
                <w:szCs w:val="21"/>
              </w:rPr>
            </w:pPr>
            <w:r>
              <w:rPr>
                <w:rFonts w:ascii="Times New Roman"/>
                <w:kern w:val="0"/>
                <w:sz w:val="21"/>
                <w:szCs w:val="21"/>
              </w:rPr>
              <w:t>大件板材缓存库</w:t>
            </w:r>
          </w:p>
        </w:tc>
        <w:tc>
          <w:tcPr>
            <w:tcW w:w="965" w:type="pct"/>
            <w:gridSpan w:val="2"/>
            <w:vAlign w:val="center"/>
          </w:tcPr>
          <w:p w14:paraId="50E3B590">
            <w:pPr>
              <w:jc w:val="center"/>
              <w:rPr>
                <w:rFonts w:ascii="Times New Roman"/>
                <w:sz w:val="21"/>
                <w:szCs w:val="21"/>
              </w:rPr>
            </w:pPr>
            <w:r>
              <w:rPr>
                <w:rFonts w:ascii="Times New Roman"/>
                <w:sz w:val="21"/>
                <w:szCs w:val="21"/>
              </w:rPr>
              <w:t>托盘堆垛机</w:t>
            </w:r>
          </w:p>
        </w:tc>
        <w:tc>
          <w:tcPr>
            <w:tcW w:w="1431" w:type="pct"/>
            <w:vAlign w:val="center"/>
          </w:tcPr>
          <w:p w14:paraId="2CB148B2">
            <w:pPr>
              <w:jc w:val="center"/>
              <w:textAlignment w:val="center"/>
              <w:rPr>
                <w:rFonts w:ascii="Times New Roman"/>
                <w:sz w:val="21"/>
                <w:szCs w:val="21"/>
              </w:rPr>
            </w:pPr>
            <w:r>
              <w:rPr>
                <w:rFonts w:ascii="Times New Roman"/>
                <w:sz w:val="21"/>
                <w:szCs w:val="21"/>
              </w:rPr>
              <w:t>/</w:t>
            </w:r>
          </w:p>
        </w:tc>
        <w:tc>
          <w:tcPr>
            <w:tcW w:w="470" w:type="pct"/>
            <w:vAlign w:val="center"/>
          </w:tcPr>
          <w:p w14:paraId="2EA15063">
            <w:pPr>
              <w:jc w:val="center"/>
              <w:rPr>
                <w:rFonts w:ascii="Times New Roman"/>
                <w:sz w:val="21"/>
                <w:szCs w:val="21"/>
              </w:rPr>
            </w:pPr>
            <w:r>
              <w:rPr>
                <w:rFonts w:ascii="Times New Roman"/>
                <w:sz w:val="21"/>
                <w:szCs w:val="21"/>
              </w:rPr>
              <w:t>4</w:t>
            </w:r>
          </w:p>
        </w:tc>
      </w:tr>
      <w:tr w14:paraId="2DAD3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EC618DD">
            <w:pPr>
              <w:jc w:val="center"/>
              <w:rPr>
                <w:rFonts w:ascii="Times New Roman"/>
                <w:sz w:val="21"/>
                <w:szCs w:val="21"/>
              </w:rPr>
            </w:pPr>
            <w:r>
              <w:rPr>
                <w:rFonts w:ascii="Times New Roman"/>
                <w:sz w:val="21"/>
                <w:szCs w:val="21"/>
              </w:rPr>
              <w:t>34</w:t>
            </w:r>
          </w:p>
        </w:tc>
        <w:tc>
          <w:tcPr>
            <w:tcW w:w="413" w:type="pct"/>
            <w:vMerge w:val="continue"/>
            <w:vAlign w:val="center"/>
          </w:tcPr>
          <w:p w14:paraId="33EC4E5C">
            <w:pPr>
              <w:jc w:val="center"/>
              <w:rPr>
                <w:rFonts w:ascii="Times New Roman"/>
                <w:sz w:val="21"/>
                <w:szCs w:val="21"/>
              </w:rPr>
            </w:pPr>
          </w:p>
        </w:tc>
        <w:tc>
          <w:tcPr>
            <w:tcW w:w="616" w:type="pct"/>
            <w:vMerge w:val="continue"/>
            <w:vAlign w:val="center"/>
          </w:tcPr>
          <w:p w14:paraId="4D77BB8E">
            <w:pPr>
              <w:jc w:val="center"/>
              <w:rPr>
                <w:rFonts w:ascii="Times New Roman"/>
                <w:sz w:val="21"/>
                <w:szCs w:val="21"/>
              </w:rPr>
            </w:pPr>
          </w:p>
        </w:tc>
        <w:tc>
          <w:tcPr>
            <w:tcW w:w="761" w:type="pct"/>
            <w:vMerge w:val="continue"/>
            <w:vAlign w:val="center"/>
          </w:tcPr>
          <w:p w14:paraId="33CAFB4A">
            <w:pPr>
              <w:jc w:val="center"/>
              <w:rPr>
                <w:rFonts w:ascii="Times New Roman"/>
                <w:sz w:val="21"/>
                <w:szCs w:val="21"/>
              </w:rPr>
            </w:pPr>
          </w:p>
        </w:tc>
        <w:tc>
          <w:tcPr>
            <w:tcW w:w="965" w:type="pct"/>
            <w:gridSpan w:val="2"/>
            <w:vAlign w:val="center"/>
          </w:tcPr>
          <w:p w14:paraId="337BFBF8">
            <w:pPr>
              <w:jc w:val="center"/>
              <w:rPr>
                <w:rFonts w:ascii="Times New Roman"/>
                <w:sz w:val="21"/>
                <w:szCs w:val="21"/>
              </w:rPr>
            </w:pPr>
            <w:r>
              <w:rPr>
                <w:rFonts w:ascii="Times New Roman"/>
                <w:sz w:val="21"/>
                <w:szCs w:val="21"/>
              </w:rPr>
              <w:t>输送设备</w:t>
            </w:r>
          </w:p>
        </w:tc>
        <w:tc>
          <w:tcPr>
            <w:tcW w:w="1431" w:type="pct"/>
            <w:vAlign w:val="center"/>
          </w:tcPr>
          <w:p w14:paraId="162DC578">
            <w:pPr>
              <w:jc w:val="center"/>
              <w:textAlignment w:val="center"/>
              <w:rPr>
                <w:rFonts w:ascii="Times New Roman"/>
                <w:sz w:val="21"/>
                <w:szCs w:val="21"/>
              </w:rPr>
            </w:pPr>
            <w:r>
              <w:rPr>
                <w:rFonts w:ascii="Times New Roman"/>
                <w:sz w:val="21"/>
                <w:szCs w:val="21"/>
              </w:rPr>
              <w:t>/</w:t>
            </w:r>
          </w:p>
        </w:tc>
        <w:tc>
          <w:tcPr>
            <w:tcW w:w="470" w:type="pct"/>
            <w:vAlign w:val="center"/>
          </w:tcPr>
          <w:p w14:paraId="1A32FAC0">
            <w:pPr>
              <w:jc w:val="center"/>
              <w:rPr>
                <w:rFonts w:ascii="Times New Roman"/>
                <w:sz w:val="21"/>
                <w:szCs w:val="21"/>
              </w:rPr>
            </w:pPr>
            <w:r>
              <w:rPr>
                <w:rFonts w:ascii="Times New Roman"/>
                <w:sz w:val="21"/>
                <w:szCs w:val="21"/>
              </w:rPr>
              <w:t>1</w:t>
            </w:r>
          </w:p>
        </w:tc>
      </w:tr>
      <w:tr w14:paraId="3A670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DD7AF62">
            <w:pPr>
              <w:jc w:val="center"/>
              <w:rPr>
                <w:rFonts w:ascii="Times New Roman"/>
                <w:sz w:val="21"/>
                <w:szCs w:val="21"/>
              </w:rPr>
            </w:pPr>
            <w:r>
              <w:rPr>
                <w:rFonts w:ascii="Times New Roman"/>
                <w:sz w:val="21"/>
                <w:szCs w:val="21"/>
              </w:rPr>
              <w:t>35</w:t>
            </w:r>
          </w:p>
        </w:tc>
        <w:tc>
          <w:tcPr>
            <w:tcW w:w="413" w:type="pct"/>
            <w:vMerge w:val="continue"/>
            <w:vAlign w:val="center"/>
          </w:tcPr>
          <w:p w14:paraId="618A5325">
            <w:pPr>
              <w:jc w:val="center"/>
              <w:rPr>
                <w:rFonts w:ascii="Times New Roman"/>
                <w:sz w:val="21"/>
                <w:szCs w:val="21"/>
              </w:rPr>
            </w:pPr>
          </w:p>
        </w:tc>
        <w:tc>
          <w:tcPr>
            <w:tcW w:w="616" w:type="pct"/>
            <w:vMerge w:val="continue"/>
            <w:vAlign w:val="center"/>
          </w:tcPr>
          <w:p w14:paraId="75339B71">
            <w:pPr>
              <w:jc w:val="center"/>
              <w:rPr>
                <w:rFonts w:ascii="Times New Roman"/>
                <w:sz w:val="21"/>
                <w:szCs w:val="21"/>
              </w:rPr>
            </w:pPr>
          </w:p>
        </w:tc>
        <w:tc>
          <w:tcPr>
            <w:tcW w:w="761" w:type="pct"/>
            <w:vMerge w:val="continue"/>
            <w:vAlign w:val="center"/>
          </w:tcPr>
          <w:p w14:paraId="6A46C1B8">
            <w:pPr>
              <w:jc w:val="center"/>
              <w:rPr>
                <w:rFonts w:ascii="Times New Roman"/>
                <w:sz w:val="21"/>
                <w:szCs w:val="21"/>
              </w:rPr>
            </w:pPr>
          </w:p>
        </w:tc>
        <w:tc>
          <w:tcPr>
            <w:tcW w:w="965" w:type="pct"/>
            <w:gridSpan w:val="2"/>
            <w:vAlign w:val="center"/>
          </w:tcPr>
          <w:p w14:paraId="61C52B84">
            <w:pPr>
              <w:jc w:val="center"/>
              <w:rPr>
                <w:rFonts w:ascii="Times New Roman"/>
                <w:sz w:val="21"/>
                <w:szCs w:val="21"/>
              </w:rPr>
            </w:pPr>
            <w:r>
              <w:rPr>
                <w:rFonts w:ascii="Times New Roman"/>
                <w:sz w:val="21"/>
                <w:szCs w:val="21"/>
              </w:rPr>
              <w:t>辅助机械臂</w:t>
            </w:r>
          </w:p>
        </w:tc>
        <w:tc>
          <w:tcPr>
            <w:tcW w:w="1431" w:type="pct"/>
            <w:vAlign w:val="center"/>
          </w:tcPr>
          <w:p w14:paraId="7BC75D88">
            <w:pPr>
              <w:jc w:val="center"/>
              <w:textAlignment w:val="center"/>
              <w:rPr>
                <w:rFonts w:ascii="Times New Roman"/>
                <w:sz w:val="21"/>
                <w:szCs w:val="21"/>
              </w:rPr>
            </w:pPr>
            <w:r>
              <w:rPr>
                <w:rFonts w:ascii="Times New Roman"/>
                <w:sz w:val="21"/>
                <w:szCs w:val="21"/>
              </w:rPr>
              <w:t>/</w:t>
            </w:r>
          </w:p>
        </w:tc>
        <w:tc>
          <w:tcPr>
            <w:tcW w:w="470" w:type="pct"/>
            <w:vAlign w:val="center"/>
          </w:tcPr>
          <w:p w14:paraId="27378AB1">
            <w:pPr>
              <w:jc w:val="center"/>
              <w:rPr>
                <w:rFonts w:ascii="Times New Roman"/>
                <w:sz w:val="21"/>
                <w:szCs w:val="21"/>
              </w:rPr>
            </w:pPr>
            <w:r>
              <w:rPr>
                <w:rFonts w:ascii="Times New Roman"/>
                <w:sz w:val="21"/>
                <w:szCs w:val="21"/>
              </w:rPr>
              <w:t>2</w:t>
            </w:r>
          </w:p>
        </w:tc>
      </w:tr>
      <w:tr w14:paraId="634B9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E93C12E">
            <w:pPr>
              <w:jc w:val="center"/>
              <w:rPr>
                <w:rFonts w:ascii="Times New Roman"/>
                <w:sz w:val="21"/>
                <w:szCs w:val="21"/>
              </w:rPr>
            </w:pPr>
            <w:r>
              <w:rPr>
                <w:rFonts w:ascii="Times New Roman"/>
                <w:sz w:val="21"/>
                <w:szCs w:val="21"/>
              </w:rPr>
              <w:t>36</w:t>
            </w:r>
          </w:p>
        </w:tc>
        <w:tc>
          <w:tcPr>
            <w:tcW w:w="413" w:type="pct"/>
            <w:vMerge w:val="continue"/>
            <w:vAlign w:val="center"/>
          </w:tcPr>
          <w:p w14:paraId="6F6EE7BF">
            <w:pPr>
              <w:jc w:val="center"/>
              <w:rPr>
                <w:rFonts w:ascii="Times New Roman"/>
                <w:sz w:val="21"/>
                <w:szCs w:val="21"/>
              </w:rPr>
            </w:pPr>
          </w:p>
        </w:tc>
        <w:tc>
          <w:tcPr>
            <w:tcW w:w="616" w:type="pct"/>
            <w:vMerge w:val="continue"/>
            <w:vAlign w:val="center"/>
          </w:tcPr>
          <w:p w14:paraId="02819BCF">
            <w:pPr>
              <w:jc w:val="center"/>
              <w:rPr>
                <w:rFonts w:ascii="Times New Roman"/>
                <w:sz w:val="21"/>
                <w:szCs w:val="21"/>
              </w:rPr>
            </w:pPr>
          </w:p>
        </w:tc>
        <w:tc>
          <w:tcPr>
            <w:tcW w:w="761" w:type="pct"/>
            <w:vMerge w:val="restart"/>
            <w:vAlign w:val="center"/>
          </w:tcPr>
          <w:p w14:paraId="0A3904AF">
            <w:pPr>
              <w:jc w:val="center"/>
              <w:rPr>
                <w:rFonts w:ascii="Times New Roman"/>
                <w:sz w:val="21"/>
                <w:szCs w:val="21"/>
              </w:rPr>
            </w:pPr>
            <w:r>
              <w:rPr>
                <w:rFonts w:ascii="Times New Roman"/>
                <w:kern w:val="0"/>
                <w:sz w:val="21"/>
                <w:szCs w:val="21"/>
              </w:rPr>
              <w:t>小件板材缓存库</w:t>
            </w:r>
          </w:p>
        </w:tc>
        <w:tc>
          <w:tcPr>
            <w:tcW w:w="965" w:type="pct"/>
            <w:gridSpan w:val="2"/>
            <w:vAlign w:val="center"/>
          </w:tcPr>
          <w:p w14:paraId="6BA71923">
            <w:pPr>
              <w:jc w:val="center"/>
              <w:rPr>
                <w:rFonts w:ascii="Times New Roman"/>
                <w:sz w:val="21"/>
                <w:szCs w:val="21"/>
              </w:rPr>
            </w:pPr>
            <w:r>
              <w:rPr>
                <w:rFonts w:ascii="Times New Roman"/>
                <w:sz w:val="21"/>
                <w:szCs w:val="21"/>
              </w:rPr>
              <w:t>托盘堆垛机</w:t>
            </w:r>
          </w:p>
        </w:tc>
        <w:tc>
          <w:tcPr>
            <w:tcW w:w="1431" w:type="pct"/>
            <w:vAlign w:val="center"/>
          </w:tcPr>
          <w:p w14:paraId="3AC8A00E">
            <w:pPr>
              <w:jc w:val="center"/>
              <w:textAlignment w:val="center"/>
              <w:rPr>
                <w:rFonts w:ascii="Times New Roman"/>
                <w:sz w:val="21"/>
                <w:szCs w:val="21"/>
              </w:rPr>
            </w:pPr>
            <w:r>
              <w:rPr>
                <w:rFonts w:ascii="Times New Roman"/>
                <w:sz w:val="21"/>
                <w:szCs w:val="21"/>
              </w:rPr>
              <w:t>/</w:t>
            </w:r>
          </w:p>
        </w:tc>
        <w:tc>
          <w:tcPr>
            <w:tcW w:w="470" w:type="pct"/>
            <w:vAlign w:val="center"/>
          </w:tcPr>
          <w:p w14:paraId="14EBC3B9">
            <w:pPr>
              <w:jc w:val="center"/>
              <w:rPr>
                <w:rFonts w:ascii="Times New Roman"/>
                <w:sz w:val="21"/>
                <w:szCs w:val="21"/>
              </w:rPr>
            </w:pPr>
            <w:r>
              <w:rPr>
                <w:rFonts w:ascii="Times New Roman"/>
                <w:sz w:val="21"/>
                <w:szCs w:val="21"/>
              </w:rPr>
              <w:t>6</w:t>
            </w:r>
          </w:p>
        </w:tc>
      </w:tr>
      <w:tr w14:paraId="39CEE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1C650D4">
            <w:pPr>
              <w:jc w:val="center"/>
              <w:rPr>
                <w:rFonts w:ascii="Times New Roman"/>
                <w:sz w:val="21"/>
                <w:szCs w:val="21"/>
              </w:rPr>
            </w:pPr>
            <w:r>
              <w:rPr>
                <w:rFonts w:ascii="Times New Roman"/>
                <w:sz w:val="21"/>
                <w:szCs w:val="21"/>
              </w:rPr>
              <w:t>37</w:t>
            </w:r>
          </w:p>
        </w:tc>
        <w:tc>
          <w:tcPr>
            <w:tcW w:w="413" w:type="pct"/>
            <w:vMerge w:val="continue"/>
            <w:vAlign w:val="center"/>
          </w:tcPr>
          <w:p w14:paraId="7F3806F6">
            <w:pPr>
              <w:jc w:val="center"/>
              <w:rPr>
                <w:rFonts w:ascii="Times New Roman"/>
                <w:sz w:val="21"/>
                <w:szCs w:val="21"/>
              </w:rPr>
            </w:pPr>
          </w:p>
        </w:tc>
        <w:tc>
          <w:tcPr>
            <w:tcW w:w="616" w:type="pct"/>
            <w:vMerge w:val="continue"/>
            <w:vAlign w:val="center"/>
          </w:tcPr>
          <w:p w14:paraId="693351D1">
            <w:pPr>
              <w:jc w:val="center"/>
              <w:rPr>
                <w:rFonts w:ascii="Times New Roman"/>
                <w:sz w:val="21"/>
                <w:szCs w:val="21"/>
              </w:rPr>
            </w:pPr>
          </w:p>
        </w:tc>
        <w:tc>
          <w:tcPr>
            <w:tcW w:w="761" w:type="pct"/>
            <w:vMerge w:val="continue"/>
            <w:vAlign w:val="center"/>
          </w:tcPr>
          <w:p w14:paraId="637A788D">
            <w:pPr>
              <w:jc w:val="center"/>
              <w:rPr>
                <w:rFonts w:ascii="Times New Roman"/>
                <w:sz w:val="21"/>
                <w:szCs w:val="21"/>
              </w:rPr>
            </w:pPr>
          </w:p>
        </w:tc>
        <w:tc>
          <w:tcPr>
            <w:tcW w:w="965" w:type="pct"/>
            <w:gridSpan w:val="2"/>
            <w:vAlign w:val="center"/>
          </w:tcPr>
          <w:p w14:paraId="5D90B396">
            <w:pPr>
              <w:jc w:val="center"/>
              <w:rPr>
                <w:rFonts w:ascii="Times New Roman"/>
                <w:sz w:val="21"/>
                <w:szCs w:val="21"/>
              </w:rPr>
            </w:pPr>
            <w:r>
              <w:rPr>
                <w:rFonts w:ascii="Times New Roman"/>
                <w:sz w:val="21"/>
                <w:szCs w:val="21"/>
              </w:rPr>
              <w:t>输送设备</w:t>
            </w:r>
          </w:p>
        </w:tc>
        <w:tc>
          <w:tcPr>
            <w:tcW w:w="1431" w:type="pct"/>
            <w:vAlign w:val="center"/>
          </w:tcPr>
          <w:p w14:paraId="07AEC6E8">
            <w:pPr>
              <w:jc w:val="center"/>
              <w:textAlignment w:val="center"/>
              <w:rPr>
                <w:rFonts w:ascii="Times New Roman"/>
                <w:sz w:val="21"/>
                <w:szCs w:val="21"/>
              </w:rPr>
            </w:pPr>
            <w:r>
              <w:rPr>
                <w:rFonts w:ascii="Times New Roman"/>
                <w:sz w:val="21"/>
                <w:szCs w:val="21"/>
              </w:rPr>
              <w:t>/</w:t>
            </w:r>
          </w:p>
        </w:tc>
        <w:tc>
          <w:tcPr>
            <w:tcW w:w="470" w:type="pct"/>
            <w:vAlign w:val="center"/>
          </w:tcPr>
          <w:p w14:paraId="26D6571C">
            <w:pPr>
              <w:jc w:val="center"/>
              <w:rPr>
                <w:rFonts w:ascii="Times New Roman"/>
                <w:sz w:val="21"/>
                <w:szCs w:val="21"/>
              </w:rPr>
            </w:pPr>
            <w:r>
              <w:rPr>
                <w:rFonts w:ascii="Times New Roman"/>
                <w:sz w:val="21"/>
                <w:szCs w:val="21"/>
              </w:rPr>
              <w:t>1</w:t>
            </w:r>
          </w:p>
        </w:tc>
      </w:tr>
      <w:tr w14:paraId="36F01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EDCCC22">
            <w:pPr>
              <w:jc w:val="center"/>
              <w:rPr>
                <w:rFonts w:ascii="Times New Roman"/>
                <w:sz w:val="21"/>
                <w:szCs w:val="21"/>
              </w:rPr>
            </w:pPr>
            <w:r>
              <w:rPr>
                <w:rFonts w:ascii="Times New Roman"/>
                <w:sz w:val="21"/>
                <w:szCs w:val="21"/>
              </w:rPr>
              <w:t>38</w:t>
            </w:r>
          </w:p>
        </w:tc>
        <w:tc>
          <w:tcPr>
            <w:tcW w:w="413" w:type="pct"/>
            <w:vMerge w:val="continue"/>
            <w:vAlign w:val="center"/>
          </w:tcPr>
          <w:p w14:paraId="1EFDF162">
            <w:pPr>
              <w:jc w:val="center"/>
              <w:rPr>
                <w:rFonts w:ascii="Times New Roman"/>
                <w:spacing w:val="-6"/>
                <w:sz w:val="21"/>
                <w:szCs w:val="21"/>
              </w:rPr>
            </w:pPr>
          </w:p>
        </w:tc>
        <w:tc>
          <w:tcPr>
            <w:tcW w:w="616" w:type="pct"/>
            <w:vMerge w:val="continue"/>
            <w:vAlign w:val="center"/>
          </w:tcPr>
          <w:p w14:paraId="533AA155">
            <w:pPr>
              <w:jc w:val="center"/>
              <w:rPr>
                <w:rFonts w:ascii="Times New Roman"/>
                <w:spacing w:val="-6"/>
                <w:sz w:val="21"/>
                <w:szCs w:val="21"/>
              </w:rPr>
            </w:pPr>
          </w:p>
        </w:tc>
        <w:tc>
          <w:tcPr>
            <w:tcW w:w="761" w:type="pct"/>
            <w:vMerge w:val="continue"/>
            <w:vAlign w:val="center"/>
          </w:tcPr>
          <w:p w14:paraId="21221C58">
            <w:pPr>
              <w:jc w:val="center"/>
              <w:rPr>
                <w:rFonts w:ascii="Times New Roman"/>
                <w:spacing w:val="-6"/>
                <w:sz w:val="21"/>
                <w:szCs w:val="21"/>
              </w:rPr>
            </w:pPr>
          </w:p>
        </w:tc>
        <w:tc>
          <w:tcPr>
            <w:tcW w:w="965" w:type="pct"/>
            <w:gridSpan w:val="2"/>
            <w:vAlign w:val="center"/>
          </w:tcPr>
          <w:p w14:paraId="78845DC1">
            <w:pPr>
              <w:jc w:val="center"/>
              <w:rPr>
                <w:rFonts w:ascii="Times New Roman"/>
                <w:sz w:val="21"/>
                <w:szCs w:val="21"/>
              </w:rPr>
            </w:pPr>
            <w:r>
              <w:rPr>
                <w:rFonts w:ascii="Times New Roman"/>
                <w:sz w:val="21"/>
                <w:szCs w:val="21"/>
              </w:rPr>
              <w:t>辅助机械臂</w:t>
            </w:r>
          </w:p>
        </w:tc>
        <w:tc>
          <w:tcPr>
            <w:tcW w:w="1431" w:type="pct"/>
            <w:vAlign w:val="center"/>
          </w:tcPr>
          <w:p w14:paraId="2806D2AB">
            <w:pPr>
              <w:jc w:val="center"/>
              <w:textAlignment w:val="center"/>
              <w:rPr>
                <w:rFonts w:ascii="Times New Roman"/>
                <w:sz w:val="21"/>
                <w:szCs w:val="21"/>
              </w:rPr>
            </w:pPr>
            <w:r>
              <w:rPr>
                <w:rFonts w:ascii="Times New Roman"/>
                <w:sz w:val="21"/>
                <w:szCs w:val="21"/>
              </w:rPr>
              <w:t>/</w:t>
            </w:r>
          </w:p>
        </w:tc>
        <w:tc>
          <w:tcPr>
            <w:tcW w:w="470" w:type="pct"/>
            <w:vAlign w:val="center"/>
          </w:tcPr>
          <w:p w14:paraId="7ADE7B71">
            <w:pPr>
              <w:jc w:val="center"/>
              <w:rPr>
                <w:rFonts w:ascii="Times New Roman"/>
                <w:sz w:val="21"/>
                <w:szCs w:val="21"/>
              </w:rPr>
            </w:pPr>
            <w:r>
              <w:rPr>
                <w:rFonts w:ascii="Times New Roman"/>
                <w:sz w:val="21"/>
                <w:szCs w:val="21"/>
              </w:rPr>
              <w:t>2</w:t>
            </w:r>
          </w:p>
        </w:tc>
      </w:tr>
      <w:tr w14:paraId="3F7CE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F3AEF44">
            <w:pPr>
              <w:jc w:val="center"/>
              <w:rPr>
                <w:rFonts w:ascii="Times New Roman"/>
                <w:sz w:val="21"/>
                <w:szCs w:val="21"/>
              </w:rPr>
            </w:pPr>
            <w:r>
              <w:rPr>
                <w:rFonts w:ascii="Times New Roman"/>
                <w:sz w:val="21"/>
                <w:szCs w:val="21"/>
              </w:rPr>
              <w:t>39</w:t>
            </w:r>
          </w:p>
        </w:tc>
        <w:tc>
          <w:tcPr>
            <w:tcW w:w="413" w:type="pct"/>
            <w:vMerge w:val="continue"/>
            <w:tcBorders>
              <w:bottom w:val="single" w:color="auto" w:sz="4" w:space="0"/>
            </w:tcBorders>
            <w:vAlign w:val="center"/>
          </w:tcPr>
          <w:p w14:paraId="4FFABFFB">
            <w:pPr>
              <w:jc w:val="center"/>
              <w:rPr>
                <w:rFonts w:ascii="Times New Roman"/>
                <w:spacing w:val="-6"/>
                <w:sz w:val="21"/>
                <w:szCs w:val="21"/>
              </w:rPr>
            </w:pPr>
          </w:p>
        </w:tc>
        <w:tc>
          <w:tcPr>
            <w:tcW w:w="616" w:type="pct"/>
            <w:vMerge w:val="continue"/>
            <w:tcBorders>
              <w:bottom w:val="single" w:color="auto" w:sz="4" w:space="0"/>
            </w:tcBorders>
            <w:vAlign w:val="center"/>
          </w:tcPr>
          <w:p w14:paraId="05AD32E9">
            <w:pPr>
              <w:jc w:val="center"/>
              <w:rPr>
                <w:rFonts w:ascii="Times New Roman"/>
                <w:spacing w:val="-6"/>
                <w:sz w:val="21"/>
                <w:szCs w:val="21"/>
              </w:rPr>
            </w:pPr>
          </w:p>
        </w:tc>
        <w:tc>
          <w:tcPr>
            <w:tcW w:w="761" w:type="pct"/>
            <w:vAlign w:val="center"/>
          </w:tcPr>
          <w:p w14:paraId="505C3449">
            <w:pPr>
              <w:jc w:val="center"/>
              <w:rPr>
                <w:rFonts w:ascii="Times New Roman"/>
                <w:spacing w:val="-6"/>
                <w:sz w:val="21"/>
                <w:szCs w:val="21"/>
              </w:rPr>
            </w:pPr>
            <w:r>
              <w:rPr>
                <w:rFonts w:ascii="Times New Roman"/>
                <w:kern w:val="0"/>
                <w:sz w:val="21"/>
                <w:szCs w:val="21"/>
              </w:rPr>
              <w:t>天车</w:t>
            </w:r>
          </w:p>
        </w:tc>
        <w:tc>
          <w:tcPr>
            <w:tcW w:w="965" w:type="pct"/>
            <w:gridSpan w:val="2"/>
            <w:vAlign w:val="center"/>
          </w:tcPr>
          <w:p w14:paraId="6AFBD932">
            <w:pPr>
              <w:jc w:val="center"/>
              <w:rPr>
                <w:rFonts w:ascii="Times New Roman"/>
                <w:sz w:val="21"/>
                <w:szCs w:val="21"/>
              </w:rPr>
            </w:pPr>
            <w:r>
              <w:rPr>
                <w:rFonts w:ascii="Times New Roman"/>
                <w:sz w:val="21"/>
                <w:szCs w:val="21"/>
              </w:rPr>
              <w:t>天车</w:t>
            </w:r>
          </w:p>
        </w:tc>
        <w:tc>
          <w:tcPr>
            <w:tcW w:w="1431" w:type="pct"/>
            <w:vAlign w:val="center"/>
          </w:tcPr>
          <w:p w14:paraId="39D43245">
            <w:pPr>
              <w:jc w:val="center"/>
              <w:textAlignment w:val="center"/>
              <w:rPr>
                <w:rFonts w:ascii="Times New Roman"/>
                <w:sz w:val="21"/>
                <w:szCs w:val="21"/>
              </w:rPr>
            </w:pPr>
            <w:r>
              <w:rPr>
                <w:rFonts w:ascii="Times New Roman"/>
                <w:sz w:val="21"/>
                <w:szCs w:val="21"/>
              </w:rPr>
              <w:t>20T</w:t>
            </w:r>
          </w:p>
        </w:tc>
        <w:tc>
          <w:tcPr>
            <w:tcW w:w="470" w:type="pct"/>
            <w:vAlign w:val="center"/>
          </w:tcPr>
          <w:p w14:paraId="4E83D776">
            <w:pPr>
              <w:jc w:val="center"/>
              <w:rPr>
                <w:rFonts w:ascii="Times New Roman"/>
                <w:sz w:val="21"/>
                <w:szCs w:val="21"/>
              </w:rPr>
            </w:pPr>
            <w:r>
              <w:rPr>
                <w:rFonts w:ascii="Times New Roman"/>
                <w:sz w:val="21"/>
                <w:szCs w:val="21"/>
              </w:rPr>
              <w:t>6</w:t>
            </w:r>
          </w:p>
        </w:tc>
      </w:tr>
      <w:tr w14:paraId="5FF08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BF864F0">
            <w:pPr>
              <w:jc w:val="center"/>
              <w:rPr>
                <w:rFonts w:ascii="Times New Roman"/>
                <w:sz w:val="21"/>
                <w:szCs w:val="21"/>
              </w:rPr>
            </w:pPr>
            <w:r>
              <w:rPr>
                <w:rFonts w:ascii="Times New Roman"/>
                <w:sz w:val="21"/>
                <w:szCs w:val="21"/>
              </w:rPr>
              <w:t>40</w:t>
            </w:r>
          </w:p>
        </w:tc>
        <w:tc>
          <w:tcPr>
            <w:tcW w:w="413" w:type="pct"/>
            <w:vMerge w:val="restart"/>
            <w:tcBorders>
              <w:top w:val="single" w:color="auto" w:sz="4" w:space="0"/>
            </w:tcBorders>
            <w:vAlign w:val="center"/>
          </w:tcPr>
          <w:p w14:paraId="75CA7927">
            <w:pPr>
              <w:jc w:val="center"/>
              <w:rPr>
                <w:rFonts w:ascii="Times New Roman"/>
                <w:spacing w:val="-6"/>
                <w:sz w:val="21"/>
                <w:szCs w:val="21"/>
              </w:rPr>
            </w:pPr>
            <w:r>
              <w:rPr>
                <w:rFonts w:ascii="Times New Roman"/>
                <w:spacing w:val="-6"/>
                <w:sz w:val="21"/>
                <w:szCs w:val="21"/>
              </w:rPr>
              <w:t>滚筒</w:t>
            </w:r>
            <w:r>
              <w:rPr>
                <w:rFonts w:hint="eastAsia" w:ascii="Times New Roman"/>
                <w:spacing w:val="-6"/>
                <w:sz w:val="21"/>
                <w:szCs w:val="21"/>
              </w:rPr>
              <w:t>生产区</w:t>
            </w:r>
          </w:p>
        </w:tc>
        <w:tc>
          <w:tcPr>
            <w:tcW w:w="616" w:type="pct"/>
            <w:vMerge w:val="restart"/>
            <w:tcBorders>
              <w:top w:val="single" w:color="auto" w:sz="4" w:space="0"/>
            </w:tcBorders>
            <w:vAlign w:val="center"/>
          </w:tcPr>
          <w:p w14:paraId="1B73F857">
            <w:pPr>
              <w:jc w:val="center"/>
              <w:rPr>
                <w:rFonts w:ascii="Times New Roman"/>
                <w:spacing w:val="-6"/>
                <w:sz w:val="21"/>
                <w:szCs w:val="21"/>
              </w:rPr>
            </w:pPr>
            <w:r>
              <w:rPr>
                <w:rFonts w:ascii="Times New Roman"/>
                <w:spacing w:val="-6"/>
                <w:sz w:val="21"/>
                <w:szCs w:val="21"/>
              </w:rPr>
              <w:t>坯件库</w:t>
            </w:r>
          </w:p>
        </w:tc>
        <w:tc>
          <w:tcPr>
            <w:tcW w:w="761" w:type="pct"/>
            <w:vMerge w:val="restart"/>
            <w:vAlign w:val="center"/>
          </w:tcPr>
          <w:p w14:paraId="16CA059B">
            <w:pPr>
              <w:jc w:val="center"/>
              <w:rPr>
                <w:rFonts w:ascii="Times New Roman"/>
                <w:spacing w:val="-6"/>
                <w:sz w:val="21"/>
                <w:szCs w:val="21"/>
              </w:rPr>
            </w:pPr>
            <w:r>
              <w:rPr>
                <w:rFonts w:ascii="Times New Roman"/>
                <w:kern w:val="0"/>
                <w:sz w:val="21"/>
                <w:szCs w:val="21"/>
              </w:rPr>
              <w:t>接盘坯件库</w:t>
            </w:r>
          </w:p>
        </w:tc>
        <w:tc>
          <w:tcPr>
            <w:tcW w:w="965" w:type="pct"/>
            <w:gridSpan w:val="2"/>
            <w:vAlign w:val="center"/>
          </w:tcPr>
          <w:p w14:paraId="462846B0">
            <w:pPr>
              <w:jc w:val="center"/>
              <w:rPr>
                <w:rFonts w:ascii="Times New Roman"/>
                <w:sz w:val="21"/>
                <w:szCs w:val="21"/>
              </w:rPr>
            </w:pPr>
            <w:r>
              <w:rPr>
                <w:rFonts w:ascii="Times New Roman"/>
                <w:sz w:val="21"/>
                <w:szCs w:val="21"/>
              </w:rPr>
              <w:t>托盘堆垛机</w:t>
            </w:r>
          </w:p>
        </w:tc>
        <w:tc>
          <w:tcPr>
            <w:tcW w:w="1431" w:type="pct"/>
            <w:vAlign w:val="center"/>
          </w:tcPr>
          <w:p w14:paraId="0625FC2D">
            <w:pPr>
              <w:jc w:val="center"/>
              <w:textAlignment w:val="center"/>
              <w:rPr>
                <w:rFonts w:ascii="Times New Roman"/>
                <w:sz w:val="21"/>
                <w:szCs w:val="21"/>
              </w:rPr>
            </w:pPr>
            <w:r>
              <w:rPr>
                <w:rFonts w:ascii="Times New Roman"/>
                <w:sz w:val="21"/>
                <w:szCs w:val="21"/>
              </w:rPr>
              <w:t>/</w:t>
            </w:r>
          </w:p>
        </w:tc>
        <w:tc>
          <w:tcPr>
            <w:tcW w:w="470" w:type="pct"/>
            <w:vAlign w:val="center"/>
          </w:tcPr>
          <w:p w14:paraId="5E985DCC">
            <w:pPr>
              <w:jc w:val="center"/>
              <w:rPr>
                <w:rFonts w:ascii="Times New Roman"/>
                <w:sz w:val="21"/>
                <w:szCs w:val="21"/>
              </w:rPr>
            </w:pPr>
            <w:r>
              <w:rPr>
                <w:rFonts w:ascii="Times New Roman"/>
                <w:sz w:val="21"/>
                <w:szCs w:val="21"/>
              </w:rPr>
              <w:t>1</w:t>
            </w:r>
          </w:p>
        </w:tc>
      </w:tr>
      <w:tr w14:paraId="3D6FA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54A6DB6">
            <w:pPr>
              <w:jc w:val="center"/>
              <w:rPr>
                <w:rFonts w:ascii="Times New Roman"/>
                <w:sz w:val="21"/>
                <w:szCs w:val="21"/>
              </w:rPr>
            </w:pPr>
            <w:r>
              <w:rPr>
                <w:rFonts w:ascii="Times New Roman"/>
                <w:sz w:val="21"/>
                <w:szCs w:val="21"/>
              </w:rPr>
              <w:t>41</w:t>
            </w:r>
          </w:p>
        </w:tc>
        <w:tc>
          <w:tcPr>
            <w:tcW w:w="413" w:type="pct"/>
            <w:vMerge w:val="continue"/>
            <w:vAlign w:val="center"/>
          </w:tcPr>
          <w:p w14:paraId="16869810">
            <w:pPr>
              <w:jc w:val="center"/>
              <w:rPr>
                <w:rFonts w:ascii="Times New Roman"/>
                <w:spacing w:val="-6"/>
                <w:sz w:val="21"/>
                <w:szCs w:val="21"/>
              </w:rPr>
            </w:pPr>
          </w:p>
        </w:tc>
        <w:tc>
          <w:tcPr>
            <w:tcW w:w="616" w:type="pct"/>
            <w:vMerge w:val="continue"/>
            <w:vAlign w:val="center"/>
          </w:tcPr>
          <w:p w14:paraId="454B6521">
            <w:pPr>
              <w:jc w:val="center"/>
              <w:rPr>
                <w:rFonts w:ascii="Times New Roman"/>
                <w:spacing w:val="-6"/>
                <w:sz w:val="21"/>
                <w:szCs w:val="21"/>
              </w:rPr>
            </w:pPr>
          </w:p>
        </w:tc>
        <w:tc>
          <w:tcPr>
            <w:tcW w:w="761" w:type="pct"/>
            <w:vMerge w:val="continue"/>
            <w:vAlign w:val="center"/>
          </w:tcPr>
          <w:p w14:paraId="78962BA9">
            <w:pPr>
              <w:jc w:val="center"/>
              <w:rPr>
                <w:rFonts w:ascii="Times New Roman"/>
                <w:spacing w:val="-6"/>
                <w:sz w:val="21"/>
                <w:szCs w:val="21"/>
              </w:rPr>
            </w:pPr>
          </w:p>
        </w:tc>
        <w:tc>
          <w:tcPr>
            <w:tcW w:w="965" w:type="pct"/>
            <w:gridSpan w:val="2"/>
            <w:vAlign w:val="center"/>
          </w:tcPr>
          <w:p w14:paraId="27C23BCE">
            <w:pPr>
              <w:jc w:val="center"/>
              <w:rPr>
                <w:rFonts w:ascii="Times New Roman"/>
                <w:sz w:val="21"/>
                <w:szCs w:val="21"/>
              </w:rPr>
            </w:pPr>
            <w:r>
              <w:rPr>
                <w:rFonts w:ascii="Times New Roman"/>
                <w:sz w:val="21"/>
                <w:szCs w:val="21"/>
              </w:rPr>
              <w:t>输送设备</w:t>
            </w:r>
          </w:p>
        </w:tc>
        <w:tc>
          <w:tcPr>
            <w:tcW w:w="1431" w:type="pct"/>
            <w:vAlign w:val="center"/>
          </w:tcPr>
          <w:p w14:paraId="2F2E2988">
            <w:pPr>
              <w:jc w:val="center"/>
              <w:textAlignment w:val="center"/>
              <w:rPr>
                <w:rFonts w:ascii="Times New Roman"/>
                <w:sz w:val="21"/>
                <w:szCs w:val="21"/>
              </w:rPr>
            </w:pPr>
            <w:r>
              <w:rPr>
                <w:rFonts w:ascii="Times New Roman"/>
                <w:sz w:val="21"/>
                <w:szCs w:val="21"/>
              </w:rPr>
              <w:t>/</w:t>
            </w:r>
          </w:p>
        </w:tc>
        <w:tc>
          <w:tcPr>
            <w:tcW w:w="470" w:type="pct"/>
            <w:vAlign w:val="center"/>
          </w:tcPr>
          <w:p w14:paraId="26BD6633">
            <w:pPr>
              <w:jc w:val="center"/>
              <w:rPr>
                <w:rFonts w:ascii="Times New Roman"/>
                <w:sz w:val="21"/>
                <w:szCs w:val="21"/>
              </w:rPr>
            </w:pPr>
            <w:r>
              <w:rPr>
                <w:rFonts w:ascii="Times New Roman"/>
                <w:sz w:val="21"/>
                <w:szCs w:val="21"/>
              </w:rPr>
              <w:t>1</w:t>
            </w:r>
          </w:p>
        </w:tc>
      </w:tr>
      <w:tr w14:paraId="18647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BC8B229">
            <w:pPr>
              <w:jc w:val="center"/>
              <w:rPr>
                <w:rFonts w:ascii="Times New Roman"/>
                <w:sz w:val="21"/>
                <w:szCs w:val="21"/>
              </w:rPr>
            </w:pPr>
            <w:r>
              <w:rPr>
                <w:rFonts w:ascii="Times New Roman"/>
                <w:sz w:val="21"/>
                <w:szCs w:val="21"/>
              </w:rPr>
              <w:t>42</w:t>
            </w:r>
          </w:p>
        </w:tc>
        <w:tc>
          <w:tcPr>
            <w:tcW w:w="413" w:type="pct"/>
            <w:vMerge w:val="continue"/>
            <w:vAlign w:val="center"/>
          </w:tcPr>
          <w:p w14:paraId="5AE0BD1C">
            <w:pPr>
              <w:jc w:val="center"/>
              <w:rPr>
                <w:rFonts w:ascii="Times New Roman"/>
                <w:sz w:val="21"/>
                <w:szCs w:val="21"/>
              </w:rPr>
            </w:pPr>
          </w:p>
        </w:tc>
        <w:tc>
          <w:tcPr>
            <w:tcW w:w="616" w:type="pct"/>
            <w:vMerge w:val="restart"/>
            <w:vAlign w:val="center"/>
          </w:tcPr>
          <w:p w14:paraId="1AE16A5E">
            <w:pPr>
              <w:jc w:val="center"/>
              <w:rPr>
                <w:rFonts w:ascii="Times New Roman"/>
                <w:sz w:val="21"/>
                <w:szCs w:val="21"/>
              </w:rPr>
            </w:pPr>
            <w:r>
              <w:rPr>
                <w:rFonts w:ascii="Times New Roman"/>
                <w:sz w:val="21"/>
                <w:szCs w:val="21"/>
              </w:rPr>
              <w:t>筒皮卷焊加工区</w:t>
            </w:r>
          </w:p>
        </w:tc>
        <w:tc>
          <w:tcPr>
            <w:tcW w:w="761" w:type="pct"/>
            <w:vAlign w:val="center"/>
          </w:tcPr>
          <w:p w14:paraId="025506C6">
            <w:pPr>
              <w:jc w:val="center"/>
              <w:rPr>
                <w:rFonts w:ascii="Times New Roman"/>
                <w:sz w:val="21"/>
                <w:szCs w:val="21"/>
              </w:rPr>
            </w:pPr>
            <w:r>
              <w:rPr>
                <w:rFonts w:ascii="Times New Roman"/>
                <w:kern w:val="0"/>
                <w:sz w:val="21"/>
                <w:szCs w:val="21"/>
              </w:rPr>
              <w:t>开坡口</w:t>
            </w:r>
          </w:p>
        </w:tc>
        <w:tc>
          <w:tcPr>
            <w:tcW w:w="965" w:type="pct"/>
            <w:gridSpan w:val="2"/>
            <w:vAlign w:val="center"/>
          </w:tcPr>
          <w:p w14:paraId="5F5CF3F7">
            <w:pPr>
              <w:jc w:val="center"/>
              <w:rPr>
                <w:rFonts w:ascii="Times New Roman"/>
                <w:sz w:val="21"/>
                <w:szCs w:val="21"/>
              </w:rPr>
            </w:pPr>
            <w:r>
              <w:rPr>
                <w:rFonts w:ascii="Times New Roman"/>
                <w:sz w:val="21"/>
                <w:szCs w:val="21"/>
              </w:rPr>
              <w:t>上料桁架机械手</w:t>
            </w:r>
          </w:p>
        </w:tc>
        <w:tc>
          <w:tcPr>
            <w:tcW w:w="1431" w:type="pct"/>
            <w:vAlign w:val="center"/>
          </w:tcPr>
          <w:p w14:paraId="50A7A0DC">
            <w:pPr>
              <w:jc w:val="center"/>
              <w:textAlignment w:val="center"/>
              <w:rPr>
                <w:rFonts w:ascii="Times New Roman"/>
                <w:sz w:val="21"/>
                <w:szCs w:val="21"/>
              </w:rPr>
            </w:pPr>
            <w:r>
              <w:rPr>
                <w:rFonts w:ascii="Times New Roman"/>
                <w:sz w:val="21"/>
                <w:szCs w:val="21"/>
              </w:rPr>
              <w:t>/</w:t>
            </w:r>
          </w:p>
        </w:tc>
        <w:tc>
          <w:tcPr>
            <w:tcW w:w="470" w:type="pct"/>
            <w:vAlign w:val="center"/>
          </w:tcPr>
          <w:p w14:paraId="23B4FF5F">
            <w:pPr>
              <w:jc w:val="center"/>
              <w:rPr>
                <w:rFonts w:ascii="Times New Roman"/>
                <w:sz w:val="21"/>
                <w:szCs w:val="21"/>
              </w:rPr>
            </w:pPr>
            <w:r>
              <w:rPr>
                <w:rFonts w:ascii="Times New Roman"/>
                <w:sz w:val="21"/>
                <w:szCs w:val="21"/>
              </w:rPr>
              <w:t>3</w:t>
            </w:r>
          </w:p>
        </w:tc>
      </w:tr>
      <w:tr w14:paraId="2BB3B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01A3D79">
            <w:pPr>
              <w:jc w:val="center"/>
              <w:rPr>
                <w:rFonts w:ascii="Times New Roman"/>
                <w:sz w:val="21"/>
                <w:szCs w:val="21"/>
              </w:rPr>
            </w:pPr>
            <w:r>
              <w:rPr>
                <w:rFonts w:ascii="Times New Roman"/>
                <w:sz w:val="21"/>
                <w:szCs w:val="21"/>
              </w:rPr>
              <w:t>43</w:t>
            </w:r>
          </w:p>
        </w:tc>
        <w:tc>
          <w:tcPr>
            <w:tcW w:w="413" w:type="pct"/>
            <w:vMerge w:val="continue"/>
            <w:vAlign w:val="center"/>
          </w:tcPr>
          <w:p w14:paraId="16D4A296">
            <w:pPr>
              <w:jc w:val="center"/>
              <w:rPr>
                <w:rFonts w:ascii="Times New Roman"/>
                <w:sz w:val="21"/>
                <w:szCs w:val="21"/>
              </w:rPr>
            </w:pPr>
          </w:p>
        </w:tc>
        <w:tc>
          <w:tcPr>
            <w:tcW w:w="616" w:type="pct"/>
            <w:vMerge w:val="continue"/>
            <w:vAlign w:val="center"/>
          </w:tcPr>
          <w:p w14:paraId="745B8BAA">
            <w:pPr>
              <w:jc w:val="center"/>
              <w:rPr>
                <w:rFonts w:ascii="Times New Roman"/>
                <w:sz w:val="21"/>
                <w:szCs w:val="21"/>
              </w:rPr>
            </w:pPr>
          </w:p>
        </w:tc>
        <w:tc>
          <w:tcPr>
            <w:tcW w:w="761" w:type="pct"/>
            <w:vMerge w:val="restart"/>
            <w:vAlign w:val="center"/>
          </w:tcPr>
          <w:p w14:paraId="7EA669AC">
            <w:pPr>
              <w:jc w:val="center"/>
              <w:rPr>
                <w:rFonts w:ascii="Times New Roman"/>
                <w:sz w:val="21"/>
                <w:szCs w:val="21"/>
              </w:rPr>
            </w:pPr>
            <w:r>
              <w:rPr>
                <w:rFonts w:ascii="Times New Roman"/>
                <w:kern w:val="0"/>
                <w:sz w:val="21"/>
                <w:szCs w:val="21"/>
              </w:rPr>
              <w:t>卷板</w:t>
            </w:r>
          </w:p>
        </w:tc>
        <w:tc>
          <w:tcPr>
            <w:tcW w:w="965" w:type="pct"/>
            <w:gridSpan w:val="2"/>
            <w:vAlign w:val="center"/>
          </w:tcPr>
          <w:p w14:paraId="31F715A0">
            <w:pPr>
              <w:jc w:val="center"/>
              <w:rPr>
                <w:rFonts w:ascii="Times New Roman"/>
                <w:sz w:val="21"/>
                <w:szCs w:val="21"/>
              </w:rPr>
            </w:pPr>
            <w:r>
              <w:rPr>
                <w:rFonts w:ascii="Times New Roman"/>
                <w:sz w:val="21"/>
                <w:szCs w:val="21"/>
              </w:rPr>
              <w:t>卷板机1</w:t>
            </w:r>
          </w:p>
        </w:tc>
        <w:tc>
          <w:tcPr>
            <w:tcW w:w="1431" w:type="pct"/>
            <w:vAlign w:val="center"/>
          </w:tcPr>
          <w:p w14:paraId="72AF7A1C">
            <w:pPr>
              <w:jc w:val="center"/>
              <w:textAlignment w:val="center"/>
              <w:rPr>
                <w:rFonts w:ascii="Times New Roman"/>
                <w:sz w:val="21"/>
                <w:szCs w:val="21"/>
              </w:rPr>
            </w:pPr>
            <w:r>
              <w:rPr>
                <w:rFonts w:ascii="Times New Roman"/>
                <w:sz w:val="21"/>
                <w:szCs w:val="21"/>
              </w:rPr>
              <w:t>/</w:t>
            </w:r>
          </w:p>
        </w:tc>
        <w:tc>
          <w:tcPr>
            <w:tcW w:w="470" w:type="pct"/>
            <w:vAlign w:val="center"/>
          </w:tcPr>
          <w:p w14:paraId="7BE23F13">
            <w:pPr>
              <w:jc w:val="center"/>
              <w:rPr>
                <w:rFonts w:ascii="Times New Roman"/>
                <w:spacing w:val="-1"/>
                <w:sz w:val="21"/>
                <w:szCs w:val="21"/>
              </w:rPr>
            </w:pPr>
            <w:r>
              <w:rPr>
                <w:rFonts w:ascii="Times New Roman"/>
                <w:sz w:val="21"/>
                <w:szCs w:val="21"/>
              </w:rPr>
              <w:t>1</w:t>
            </w:r>
          </w:p>
        </w:tc>
      </w:tr>
      <w:tr w14:paraId="7C60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FBAE97C">
            <w:pPr>
              <w:jc w:val="center"/>
              <w:rPr>
                <w:rFonts w:ascii="Times New Roman"/>
                <w:sz w:val="21"/>
                <w:szCs w:val="21"/>
              </w:rPr>
            </w:pPr>
            <w:r>
              <w:rPr>
                <w:rFonts w:ascii="Times New Roman"/>
                <w:sz w:val="21"/>
                <w:szCs w:val="21"/>
              </w:rPr>
              <w:t>44</w:t>
            </w:r>
          </w:p>
        </w:tc>
        <w:tc>
          <w:tcPr>
            <w:tcW w:w="413" w:type="pct"/>
            <w:vMerge w:val="continue"/>
            <w:vAlign w:val="center"/>
          </w:tcPr>
          <w:p w14:paraId="63DC03E5">
            <w:pPr>
              <w:jc w:val="center"/>
              <w:rPr>
                <w:rFonts w:ascii="Times New Roman"/>
                <w:sz w:val="21"/>
                <w:szCs w:val="21"/>
              </w:rPr>
            </w:pPr>
          </w:p>
        </w:tc>
        <w:tc>
          <w:tcPr>
            <w:tcW w:w="616" w:type="pct"/>
            <w:vMerge w:val="continue"/>
            <w:vAlign w:val="center"/>
          </w:tcPr>
          <w:p w14:paraId="78505F87">
            <w:pPr>
              <w:jc w:val="center"/>
              <w:rPr>
                <w:rFonts w:ascii="Times New Roman"/>
                <w:sz w:val="21"/>
                <w:szCs w:val="21"/>
              </w:rPr>
            </w:pPr>
          </w:p>
        </w:tc>
        <w:tc>
          <w:tcPr>
            <w:tcW w:w="761" w:type="pct"/>
            <w:vMerge w:val="continue"/>
            <w:vAlign w:val="center"/>
          </w:tcPr>
          <w:p w14:paraId="05F90ABA">
            <w:pPr>
              <w:jc w:val="center"/>
              <w:rPr>
                <w:rFonts w:ascii="Times New Roman"/>
                <w:sz w:val="21"/>
                <w:szCs w:val="21"/>
              </w:rPr>
            </w:pPr>
          </w:p>
        </w:tc>
        <w:tc>
          <w:tcPr>
            <w:tcW w:w="965" w:type="pct"/>
            <w:gridSpan w:val="2"/>
            <w:vAlign w:val="center"/>
          </w:tcPr>
          <w:p w14:paraId="698B558A">
            <w:pPr>
              <w:jc w:val="center"/>
              <w:rPr>
                <w:rFonts w:ascii="Times New Roman"/>
                <w:sz w:val="21"/>
                <w:szCs w:val="21"/>
              </w:rPr>
            </w:pPr>
            <w:r>
              <w:rPr>
                <w:rFonts w:ascii="Times New Roman"/>
                <w:sz w:val="21"/>
                <w:szCs w:val="21"/>
              </w:rPr>
              <w:t>卷板机2</w:t>
            </w:r>
          </w:p>
        </w:tc>
        <w:tc>
          <w:tcPr>
            <w:tcW w:w="1431" w:type="pct"/>
            <w:vAlign w:val="center"/>
          </w:tcPr>
          <w:p w14:paraId="15CBC63F">
            <w:pPr>
              <w:jc w:val="center"/>
              <w:textAlignment w:val="center"/>
              <w:rPr>
                <w:rFonts w:ascii="Times New Roman"/>
                <w:sz w:val="21"/>
                <w:szCs w:val="21"/>
              </w:rPr>
            </w:pPr>
            <w:r>
              <w:rPr>
                <w:rFonts w:ascii="Times New Roman"/>
                <w:sz w:val="21"/>
                <w:szCs w:val="21"/>
              </w:rPr>
              <w:t>/</w:t>
            </w:r>
          </w:p>
        </w:tc>
        <w:tc>
          <w:tcPr>
            <w:tcW w:w="470" w:type="pct"/>
            <w:vAlign w:val="center"/>
          </w:tcPr>
          <w:p w14:paraId="0D34D853">
            <w:pPr>
              <w:jc w:val="center"/>
              <w:rPr>
                <w:rFonts w:ascii="Times New Roman"/>
                <w:sz w:val="21"/>
                <w:szCs w:val="21"/>
              </w:rPr>
            </w:pPr>
            <w:r>
              <w:rPr>
                <w:rFonts w:ascii="Times New Roman"/>
                <w:sz w:val="21"/>
                <w:szCs w:val="21"/>
              </w:rPr>
              <w:t>1</w:t>
            </w:r>
          </w:p>
        </w:tc>
      </w:tr>
      <w:tr w14:paraId="4C3BB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FB107DD">
            <w:pPr>
              <w:jc w:val="center"/>
              <w:rPr>
                <w:rFonts w:ascii="Times New Roman"/>
                <w:sz w:val="21"/>
                <w:szCs w:val="21"/>
              </w:rPr>
            </w:pPr>
            <w:r>
              <w:rPr>
                <w:rFonts w:ascii="Times New Roman"/>
                <w:sz w:val="21"/>
                <w:szCs w:val="21"/>
              </w:rPr>
              <w:t>45</w:t>
            </w:r>
          </w:p>
        </w:tc>
        <w:tc>
          <w:tcPr>
            <w:tcW w:w="413" w:type="pct"/>
            <w:vMerge w:val="continue"/>
            <w:vAlign w:val="center"/>
          </w:tcPr>
          <w:p w14:paraId="3488C143">
            <w:pPr>
              <w:jc w:val="center"/>
              <w:rPr>
                <w:rFonts w:ascii="Times New Roman"/>
                <w:sz w:val="21"/>
                <w:szCs w:val="21"/>
              </w:rPr>
            </w:pPr>
          </w:p>
        </w:tc>
        <w:tc>
          <w:tcPr>
            <w:tcW w:w="616" w:type="pct"/>
            <w:vMerge w:val="continue"/>
            <w:vAlign w:val="center"/>
          </w:tcPr>
          <w:p w14:paraId="33F20686">
            <w:pPr>
              <w:jc w:val="center"/>
              <w:rPr>
                <w:rFonts w:ascii="Times New Roman"/>
                <w:sz w:val="21"/>
                <w:szCs w:val="21"/>
              </w:rPr>
            </w:pPr>
          </w:p>
        </w:tc>
        <w:tc>
          <w:tcPr>
            <w:tcW w:w="761" w:type="pct"/>
            <w:vMerge w:val="continue"/>
            <w:vAlign w:val="center"/>
          </w:tcPr>
          <w:p w14:paraId="2722AE03">
            <w:pPr>
              <w:jc w:val="center"/>
              <w:rPr>
                <w:rFonts w:ascii="Times New Roman"/>
                <w:sz w:val="21"/>
                <w:szCs w:val="21"/>
              </w:rPr>
            </w:pPr>
          </w:p>
        </w:tc>
        <w:tc>
          <w:tcPr>
            <w:tcW w:w="965" w:type="pct"/>
            <w:gridSpan w:val="2"/>
            <w:vAlign w:val="center"/>
          </w:tcPr>
          <w:p w14:paraId="512F7E53">
            <w:pPr>
              <w:jc w:val="center"/>
              <w:rPr>
                <w:rFonts w:ascii="Times New Roman"/>
                <w:sz w:val="21"/>
                <w:szCs w:val="21"/>
              </w:rPr>
            </w:pPr>
            <w:r>
              <w:rPr>
                <w:rFonts w:ascii="Times New Roman"/>
                <w:sz w:val="21"/>
                <w:szCs w:val="21"/>
              </w:rPr>
              <w:t>卷板机3</w:t>
            </w:r>
          </w:p>
        </w:tc>
        <w:tc>
          <w:tcPr>
            <w:tcW w:w="1431" w:type="pct"/>
            <w:vAlign w:val="center"/>
          </w:tcPr>
          <w:p w14:paraId="21F7D7EB">
            <w:pPr>
              <w:jc w:val="center"/>
              <w:textAlignment w:val="center"/>
              <w:rPr>
                <w:rFonts w:ascii="Times New Roman"/>
                <w:sz w:val="21"/>
                <w:szCs w:val="21"/>
              </w:rPr>
            </w:pPr>
            <w:r>
              <w:rPr>
                <w:rFonts w:ascii="Times New Roman"/>
                <w:sz w:val="21"/>
                <w:szCs w:val="21"/>
              </w:rPr>
              <w:t>/</w:t>
            </w:r>
          </w:p>
        </w:tc>
        <w:tc>
          <w:tcPr>
            <w:tcW w:w="470" w:type="pct"/>
            <w:vAlign w:val="center"/>
          </w:tcPr>
          <w:p w14:paraId="234BB469">
            <w:pPr>
              <w:jc w:val="center"/>
              <w:rPr>
                <w:rFonts w:ascii="Times New Roman"/>
                <w:sz w:val="21"/>
                <w:szCs w:val="21"/>
              </w:rPr>
            </w:pPr>
            <w:r>
              <w:rPr>
                <w:rFonts w:ascii="Times New Roman"/>
                <w:sz w:val="21"/>
                <w:szCs w:val="21"/>
              </w:rPr>
              <w:t>1</w:t>
            </w:r>
          </w:p>
        </w:tc>
      </w:tr>
      <w:tr w14:paraId="63AE5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07FB5AF">
            <w:pPr>
              <w:jc w:val="center"/>
              <w:rPr>
                <w:rFonts w:ascii="Times New Roman"/>
                <w:sz w:val="21"/>
                <w:szCs w:val="21"/>
              </w:rPr>
            </w:pPr>
            <w:r>
              <w:rPr>
                <w:rFonts w:ascii="Times New Roman"/>
                <w:sz w:val="21"/>
                <w:szCs w:val="21"/>
              </w:rPr>
              <w:t>46</w:t>
            </w:r>
          </w:p>
        </w:tc>
        <w:tc>
          <w:tcPr>
            <w:tcW w:w="413" w:type="pct"/>
            <w:vMerge w:val="continue"/>
            <w:vAlign w:val="center"/>
          </w:tcPr>
          <w:p w14:paraId="3FD13697">
            <w:pPr>
              <w:jc w:val="center"/>
              <w:rPr>
                <w:rFonts w:ascii="Times New Roman"/>
                <w:sz w:val="21"/>
                <w:szCs w:val="21"/>
              </w:rPr>
            </w:pPr>
          </w:p>
        </w:tc>
        <w:tc>
          <w:tcPr>
            <w:tcW w:w="616" w:type="pct"/>
            <w:vMerge w:val="continue"/>
            <w:vAlign w:val="center"/>
          </w:tcPr>
          <w:p w14:paraId="73768D15">
            <w:pPr>
              <w:jc w:val="center"/>
              <w:rPr>
                <w:rFonts w:ascii="Times New Roman"/>
                <w:sz w:val="21"/>
                <w:szCs w:val="21"/>
              </w:rPr>
            </w:pPr>
          </w:p>
        </w:tc>
        <w:tc>
          <w:tcPr>
            <w:tcW w:w="761" w:type="pct"/>
            <w:vMerge w:val="restart"/>
            <w:vAlign w:val="center"/>
          </w:tcPr>
          <w:p w14:paraId="47BB5142">
            <w:pPr>
              <w:jc w:val="center"/>
              <w:rPr>
                <w:rFonts w:ascii="Times New Roman"/>
                <w:sz w:val="21"/>
                <w:szCs w:val="21"/>
              </w:rPr>
            </w:pPr>
            <w:r>
              <w:rPr>
                <w:rFonts w:ascii="Times New Roman"/>
                <w:kern w:val="0"/>
                <w:sz w:val="21"/>
                <w:szCs w:val="21"/>
              </w:rPr>
              <w:t>焊接</w:t>
            </w:r>
          </w:p>
        </w:tc>
        <w:tc>
          <w:tcPr>
            <w:tcW w:w="965" w:type="pct"/>
            <w:gridSpan w:val="2"/>
            <w:vAlign w:val="center"/>
          </w:tcPr>
          <w:p w14:paraId="78802C72">
            <w:pPr>
              <w:jc w:val="center"/>
              <w:rPr>
                <w:rFonts w:ascii="Times New Roman"/>
                <w:sz w:val="21"/>
                <w:szCs w:val="21"/>
              </w:rPr>
            </w:pPr>
            <w:r>
              <w:rPr>
                <w:rFonts w:ascii="Times New Roman"/>
                <w:sz w:val="21"/>
                <w:szCs w:val="21"/>
              </w:rPr>
              <w:t>组对焊接焊机</w:t>
            </w:r>
          </w:p>
        </w:tc>
        <w:tc>
          <w:tcPr>
            <w:tcW w:w="1431" w:type="pct"/>
            <w:vAlign w:val="center"/>
          </w:tcPr>
          <w:p w14:paraId="69463144">
            <w:pPr>
              <w:jc w:val="center"/>
              <w:textAlignment w:val="center"/>
              <w:rPr>
                <w:rFonts w:ascii="Times New Roman"/>
                <w:sz w:val="21"/>
                <w:szCs w:val="21"/>
              </w:rPr>
            </w:pPr>
            <w:r>
              <w:rPr>
                <w:rFonts w:ascii="Times New Roman"/>
                <w:sz w:val="21"/>
                <w:szCs w:val="21"/>
              </w:rPr>
              <w:t>/</w:t>
            </w:r>
          </w:p>
        </w:tc>
        <w:tc>
          <w:tcPr>
            <w:tcW w:w="470" w:type="pct"/>
            <w:vAlign w:val="center"/>
          </w:tcPr>
          <w:p w14:paraId="49258B9C">
            <w:pPr>
              <w:jc w:val="center"/>
              <w:rPr>
                <w:rFonts w:ascii="Times New Roman"/>
                <w:sz w:val="21"/>
                <w:szCs w:val="21"/>
              </w:rPr>
            </w:pPr>
            <w:r>
              <w:rPr>
                <w:rFonts w:ascii="Times New Roman"/>
                <w:sz w:val="21"/>
                <w:szCs w:val="21"/>
              </w:rPr>
              <w:t>3</w:t>
            </w:r>
          </w:p>
        </w:tc>
      </w:tr>
      <w:tr w14:paraId="4B658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D17746A">
            <w:pPr>
              <w:jc w:val="center"/>
              <w:rPr>
                <w:rFonts w:ascii="Times New Roman"/>
                <w:sz w:val="21"/>
                <w:szCs w:val="21"/>
              </w:rPr>
            </w:pPr>
            <w:r>
              <w:rPr>
                <w:rFonts w:ascii="Times New Roman"/>
                <w:sz w:val="21"/>
                <w:szCs w:val="21"/>
              </w:rPr>
              <w:t>47</w:t>
            </w:r>
          </w:p>
        </w:tc>
        <w:tc>
          <w:tcPr>
            <w:tcW w:w="413" w:type="pct"/>
            <w:vMerge w:val="continue"/>
            <w:vAlign w:val="center"/>
          </w:tcPr>
          <w:p w14:paraId="0F701025">
            <w:pPr>
              <w:jc w:val="center"/>
              <w:rPr>
                <w:rFonts w:ascii="Times New Roman"/>
                <w:sz w:val="21"/>
                <w:szCs w:val="21"/>
              </w:rPr>
            </w:pPr>
          </w:p>
        </w:tc>
        <w:tc>
          <w:tcPr>
            <w:tcW w:w="616" w:type="pct"/>
            <w:vMerge w:val="continue"/>
            <w:vAlign w:val="center"/>
          </w:tcPr>
          <w:p w14:paraId="6D2050CE">
            <w:pPr>
              <w:jc w:val="center"/>
              <w:rPr>
                <w:rFonts w:ascii="Times New Roman"/>
                <w:sz w:val="21"/>
                <w:szCs w:val="21"/>
              </w:rPr>
            </w:pPr>
          </w:p>
        </w:tc>
        <w:tc>
          <w:tcPr>
            <w:tcW w:w="761" w:type="pct"/>
            <w:vMerge w:val="continue"/>
            <w:vAlign w:val="center"/>
          </w:tcPr>
          <w:p w14:paraId="28EF3269">
            <w:pPr>
              <w:jc w:val="center"/>
              <w:rPr>
                <w:rFonts w:ascii="Times New Roman"/>
                <w:sz w:val="21"/>
                <w:szCs w:val="21"/>
              </w:rPr>
            </w:pPr>
          </w:p>
        </w:tc>
        <w:tc>
          <w:tcPr>
            <w:tcW w:w="965" w:type="pct"/>
            <w:gridSpan w:val="2"/>
            <w:vAlign w:val="center"/>
          </w:tcPr>
          <w:p w14:paraId="418EC56D">
            <w:pPr>
              <w:jc w:val="center"/>
              <w:rPr>
                <w:rFonts w:ascii="Times New Roman"/>
                <w:sz w:val="21"/>
                <w:szCs w:val="21"/>
              </w:rPr>
            </w:pPr>
            <w:r>
              <w:rPr>
                <w:rFonts w:ascii="Times New Roman"/>
                <w:sz w:val="21"/>
                <w:szCs w:val="21"/>
              </w:rPr>
              <w:t>内侧自动焊机</w:t>
            </w:r>
          </w:p>
        </w:tc>
        <w:tc>
          <w:tcPr>
            <w:tcW w:w="1431" w:type="pct"/>
            <w:vAlign w:val="center"/>
          </w:tcPr>
          <w:p w14:paraId="1B224AB3">
            <w:pPr>
              <w:jc w:val="center"/>
              <w:textAlignment w:val="center"/>
              <w:rPr>
                <w:rFonts w:ascii="Times New Roman"/>
                <w:sz w:val="21"/>
                <w:szCs w:val="21"/>
              </w:rPr>
            </w:pPr>
            <w:r>
              <w:rPr>
                <w:rFonts w:ascii="Times New Roman"/>
                <w:sz w:val="21"/>
                <w:szCs w:val="21"/>
              </w:rPr>
              <w:t>/</w:t>
            </w:r>
          </w:p>
        </w:tc>
        <w:tc>
          <w:tcPr>
            <w:tcW w:w="470" w:type="pct"/>
            <w:vAlign w:val="center"/>
          </w:tcPr>
          <w:p w14:paraId="46CC2271">
            <w:pPr>
              <w:jc w:val="center"/>
              <w:rPr>
                <w:rFonts w:ascii="Times New Roman"/>
                <w:sz w:val="21"/>
                <w:szCs w:val="21"/>
              </w:rPr>
            </w:pPr>
            <w:r>
              <w:rPr>
                <w:rFonts w:ascii="Times New Roman"/>
                <w:sz w:val="21"/>
                <w:szCs w:val="21"/>
              </w:rPr>
              <w:t>1</w:t>
            </w:r>
          </w:p>
        </w:tc>
      </w:tr>
      <w:tr w14:paraId="21C5B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643E0A0">
            <w:pPr>
              <w:jc w:val="center"/>
              <w:rPr>
                <w:rFonts w:ascii="Times New Roman"/>
                <w:sz w:val="21"/>
                <w:szCs w:val="21"/>
              </w:rPr>
            </w:pPr>
            <w:r>
              <w:rPr>
                <w:rFonts w:ascii="Times New Roman"/>
                <w:sz w:val="21"/>
                <w:szCs w:val="21"/>
              </w:rPr>
              <w:t>48</w:t>
            </w:r>
          </w:p>
        </w:tc>
        <w:tc>
          <w:tcPr>
            <w:tcW w:w="413" w:type="pct"/>
            <w:vMerge w:val="continue"/>
            <w:vAlign w:val="center"/>
          </w:tcPr>
          <w:p w14:paraId="705DAE2D">
            <w:pPr>
              <w:jc w:val="center"/>
              <w:rPr>
                <w:rFonts w:ascii="Times New Roman"/>
                <w:sz w:val="21"/>
                <w:szCs w:val="21"/>
              </w:rPr>
            </w:pPr>
          </w:p>
        </w:tc>
        <w:tc>
          <w:tcPr>
            <w:tcW w:w="616" w:type="pct"/>
            <w:vMerge w:val="continue"/>
            <w:vAlign w:val="center"/>
          </w:tcPr>
          <w:p w14:paraId="0819ACA0">
            <w:pPr>
              <w:jc w:val="center"/>
              <w:rPr>
                <w:rFonts w:ascii="Times New Roman"/>
                <w:sz w:val="21"/>
                <w:szCs w:val="21"/>
              </w:rPr>
            </w:pPr>
          </w:p>
        </w:tc>
        <w:tc>
          <w:tcPr>
            <w:tcW w:w="761" w:type="pct"/>
            <w:vMerge w:val="continue"/>
            <w:vAlign w:val="center"/>
          </w:tcPr>
          <w:p w14:paraId="289C5A9C">
            <w:pPr>
              <w:jc w:val="center"/>
              <w:rPr>
                <w:rFonts w:ascii="Times New Roman"/>
                <w:sz w:val="21"/>
                <w:szCs w:val="21"/>
              </w:rPr>
            </w:pPr>
          </w:p>
        </w:tc>
        <w:tc>
          <w:tcPr>
            <w:tcW w:w="965" w:type="pct"/>
            <w:gridSpan w:val="2"/>
            <w:vAlign w:val="center"/>
          </w:tcPr>
          <w:p w14:paraId="34E52801">
            <w:pPr>
              <w:jc w:val="center"/>
              <w:rPr>
                <w:rFonts w:ascii="Times New Roman"/>
                <w:sz w:val="21"/>
                <w:szCs w:val="21"/>
              </w:rPr>
            </w:pPr>
            <w:r>
              <w:rPr>
                <w:rFonts w:ascii="Times New Roman"/>
                <w:sz w:val="21"/>
                <w:szCs w:val="21"/>
              </w:rPr>
              <w:t>外侧自动焊机</w:t>
            </w:r>
          </w:p>
        </w:tc>
        <w:tc>
          <w:tcPr>
            <w:tcW w:w="1431" w:type="pct"/>
            <w:vAlign w:val="center"/>
          </w:tcPr>
          <w:p w14:paraId="5D190C92">
            <w:pPr>
              <w:jc w:val="center"/>
              <w:textAlignment w:val="center"/>
              <w:rPr>
                <w:rFonts w:ascii="Times New Roman"/>
                <w:sz w:val="21"/>
                <w:szCs w:val="21"/>
              </w:rPr>
            </w:pPr>
            <w:r>
              <w:rPr>
                <w:rFonts w:ascii="Times New Roman"/>
                <w:sz w:val="21"/>
                <w:szCs w:val="21"/>
              </w:rPr>
              <w:t>/</w:t>
            </w:r>
          </w:p>
        </w:tc>
        <w:tc>
          <w:tcPr>
            <w:tcW w:w="470" w:type="pct"/>
            <w:vAlign w:val="center"/>
          </w:tcPr>
          <w:p w14:paraId="4BA56088">
            <w:pPr>
              <w:jc w:val="center"/>
              <w:rPr>
                <w:rFonts w:ascii="Times New Roman"/>
                <w:sz w:val="21"/>
                <w:szCs w:val="21"/>
              </w:rPr>
            </w:pPr>
            <w:r>
              <w:rPr>
                <w:rFonts w:ascii="Times New Roman"/>
                <w:sz w:val="21"/>
                <w:szCs w:val="21"/>
              </w:rPr>
              <w:t>1</w:t>
            </w:r>
          </w:p>
        </w:tc>
      </w:tr>
      <w:tr w14:paraId="2C658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C706575">
            <w:pPr>
              <w:jc w:val="center"/>
              <w:rPr>
                <w:rFonts w:ascii="Times New Roman"/>
                <w:sz w:val="21"/>
                <w:szCs w:val="21"/>
              </w:rPr>
            </w:pPr>
            <w:r>
              <w:rPr>
                <w:rFonts w:ascii="Times New Roman"/>
                <w:sz w:val="21"/>
                <w:szCs w:val="21"/>
              </w:rPr>
              <w:t>49</w:t>
            </w:r>
          </w:p>
        </w:tc>
        <w:tc>
          <w:tcPr>
            <w:tcW w:w="413" w:type="pct"/>
            <w:vMerge w:val="continue"/>
            <w:vAlign w:val="center"/>
          </w:tcPr>
          <w:p w14:paraId="65547DF9">
            <w:pPr>
              <w:jc w:val="center"/>
              <w:rPr>
                <w:rFonts w:ascii="Times New Roman"/>
                <w:sz w:val="21"/>
                <w:szCs w:val="21"/>
              </w:rPr>
            </w:pPr>
          </w:p>
        </w:tc>
        <w:tc>
          <w:tcPr>
            <w:tcW w:w="616" w:type="pct"/>
            <w:vMerge w:val="continue"/>
            <w:vAlign w:val="center"/>
          </w:tcPr>
          <w:p w14:paraId="2516228F">
            <w:pPr>
              <w:jc w:val="center"/>
              <w:rPr>
                <w:rFonts w:ascii="Times New Roman"/>
                <w:sz w:val="21"/>
                <w:szCs w:val="21"/>
              </w:rPr>
            </w:pPr>
          </w:p>
        </w:tc>
        <w:tc>
          <w:tcPr>
            <w:tcW w:w="761" w:type="pct"/>
            <w:shd w:val="clear" w:color="auto" w:fill="auto"/>
            <w:vAlign w:val="center"/>
          </w:tcPr>
          <w:p w14:paraId="08015AED">
            <w:pPr>
              <w:widowControl/>
              <w:jc w:val="center"/>
              <w:textAlignment w:val="center"/>
              <w:rPr>
                <w:rFonts w:ascii="Times New Roman"/>
                <w:sz w:val="21"/>
                <w:szCs w:val="21"/>
              </w:rPr>
            </w:pPr>
            <w:r>
              <w:rPr>
                <w:rFonts w:ascii="Times New Roman"/>
                <w:kern w:val="0"/>
                <w:sz w:val="21"/>
                <w:szCs w:val="21"/>
              </w:rPr>
              <w:t>打磨</w:t>
            </w:r>
          </w:p>
        </w:tc>
        <w:tc>
          <w:tcPr>
            <w:tcW w:w="965" w:type="pct"/>
            <w:gridSpan w:val="2"/>
            <w:vAlign w:val="center"/>
          </w:tcPr>
          <w:p w14:paraId="0EFBD949">
            <w:pPr>
              <w:jc w:val="center"/>
              <w:rPr>
                <w:rFonts w:ascii="Times New Roman"/>
                <w:sz w:val="21"/>
                <w:szCs w:val="21"/>
              </w:rPr>
            </w:pPr>
            <w:r>
              <w:rPr>
                <w:rFonts w:ascii="Times New Roman"/>
                <w:sz w:val="21"/>
                <w:szCs w:val="21"/>
              </w:rPr>
              <w:t>内外打磨设备</w:t>
            </w:r>
          </w:p>
        </w:tc>
        <w:tc>
          <w:tcPr>
            <w:tcW w:w="1431" w:type="pct"/>
            <w:vAlign w:val="center"/>
          </w:tcPr>
          <w:p w14:paraId="43477B6E">
            <w:pPr>
              <w:jc w:val="center"/>
              <w:textAlignment w:val="center"/>
              <w:rPr>
                <w:rFonts w:ascii="Times New Roman"/>
                <w:sz w:val="21"/>
                <w:szCs w:val="21"/>
              </w:rPr>
            </w:pPr>
            <w:r>
              <w:rPr>
                <w:rFonts w:ascii="Times New Roman"/>
                <w:sz w:val="21"/>
                <w:szCs w:val="21"/>
              </w:rPr>
              <w:t>/</w:t>
            </w:r>
          </w:p>
        </w:tc>
        <w:tc>
          <w:tcPr>
            <w:tcW w:w="470" w:type="pct"/>
            <w:vAlign w:val="center"/>
          </w:tcPr>
          <w:p w14:paraId="466ED562">
            <w:pPr>
              <w:jc w:val="center"/>
              <w:rPr>
                <w:rFonts w:ascii="Times New Roman"/>
                <w:sz w:val="21"/>
                <w:szCs w:val="21"/>
              </w:rPr>
            </w:pPr>
            <w:r>
              <w:rPr>
                <w:rFonts w:ascii="Times New Roman"/>
                <w:sz w:val="21"/>
                <w:szCs w:val="21"/>
              </w:rPr>
              <w:t>1</w:t>
            </w:r>
          </w:p>
        </w:tc>
      </w:tr>
      <w:tr w14:paraId="5BFB9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25706A3">
            <w:pPr>
              <w:jc w:val="center"/>
              <w:rPr>
                <w:rFonts w:ascii="Times New Roman"/>
                <w:sz w:val="21"/>
                <w:szCs w:val="21"/>
              </w:rPr>
            </w:pPr>
            <w:r>
              <w:rPr>
                <w:rFonts w:ascii="Times New Roman"/>
                <w:sz w:val="21"/>
                <w:szCs w:val="21"/>
              </w:rPr>
              <w:t>50</w:t>
            </w:r>
          </w:p>
        </w:tc>
        <w:tc>
          <w:tcPr>
            <w:tcW w:w="413" w:type="pct"/>
            <w:vMerge w:val="continue"/>
            <w:vAlign w:val="center"/>
          </w:tcPr>
          <w:p w14:paraId="26A854C2">
            <w:pPr>
              <w:jc w:val="center"/>
              <w:rPr>
                <w:rFonts w:ascii="Times New Roman"/>
                <w:sz w:val="21"/>
                <w:szCs w:val="21"/>
              </w:rPr>
            </w:pPr>
          </w:p>
        </w:tc>
        <w:tc>
          <w:tcPr>
            <w:tcW w:w="616" w:type="pct"/>
            <w:vAlign w:val="center"/>
          </w:tcPr>
          <w:p w14:paraId="6388F06B">
            <w:pPr>
              <w:jc w:val="center"/>
              <w:rPr>
                <w:rFonts w:ascii="Times New Roman"/>
                <w:sz w:val="21"/>
                <w:szCs w:val="21"/>
              </w:rPr>
            </w:pPr>
            <w:r>
              <w:rPr>
                <w:rFonts w:ascii="Times New Roman"/>
                <w:sz w:val="21"/>
                <w:szCs w:val="21"/>
              </w:rPr>
              <w:t>筒皮立车端面止口区</w:t>
            </w:r>
          </w:p>
        </w:tc>
        <w:tc>
          <w:tcPr>
            <w:tcW w:w="761" w:type="pct"/>
            <w:vAlign w:val="center"/>
          </w:tcPr>
          <w:p w14:paraId="44DF8DAB">
            <w:pPr>
              <w:jc w:val="center"/>
              <w:rPr>
                <w:rFonts w:ascii="Times New Roman"/>
                <w:sz w:val="21"/>
                <w:szCs w:val="21"/>
              </w:rPr>
            </w:pPr>
            <w:r>
              <w:rPr>
                <w:rFonts w:ascii="Times New Roman"/>
                <w:kern w:val="0"/>
                <w:sz w:val="21"/>
                <w:szCs w:val="21"/>
              </w:rPr>
              <w:t>筒皮立车端面止</w:t>
            </w:r>
          </w:p>
        </w:tc>
        <w:tc>
          <w:tcPr>
            <w:tcW w:w="965" w:type="pct"/>
            <w:gridSpan w:val="2"/>
            <w:shd w:val="clear" w:color="auto" w:fill="auto"/>
            <w:vAlign w:val="center"/>
          </w:tcPr>
          <w:p w14:paraId="4C7419DA">
            <w:pPr>
              <w:widowControl/>
              <w:jc w:val="center"/>
              <w:textAlignment w:val="center"/>
              <w:rPr>
                <w:rFonts w:ascii="Times New Roman"/>
                <w:sz w:val="21"/>
                <w:szCs w:val="21"/>
              </w:rPr>
            </w:pPr>
            <w:r>
              <w:rPr>
                <w:rFonts w:ascii="Times New Roman"/>
                <w:sz w:val="21"/>
                <w:szCs w:val="21"/>
              </w:rPr>
              <w:t>数控立式车床</w:t>
            </w:r>
          </w:p>
        </w:tc>
        <w:tc>
          <w:tcPr>
            <w:tcW w:w="1431" w:type="pct"/>
            <w:shd w:val="clear" w:color="auto" w:fill="auto"/>
            <w:vAlign w:val="center"/>
          </w:tcPr>
          <w:p w14:paraId="7918D3EF">
            <w:pPr>
              <w:widowControl/>
              <w:jc w:val="center"/>
              <w:textAlignment w:val="center"/>
              <w:rPr>
                <w:rFonts w:ascii="Times New Roman"/>
                <w:kern w:val="0"/>
                <w:sz w:val="21"/>
                <w:szCs w:val="21"/>
              </w:rPr>
            </w:pPr>
            <w:r>
              <w:rPr>
                <w:rFonts w:ascii="Times New Roman"/>
                <w:kern w:val="0"/>
                <w:sz w:val="21"/>
                <w:szCs w:val="21"/>
              </w:rPr>
              <w:t>YNL400</w:t>
            </w:r>
          </w:p>
        </w:tc>
        <w:tc>
          <w:tcPr>
            <w:tcW w:w="470" w:type="pct"/>
            <w:vAlign w:val="center"/>
          </w:tcPr>
          <w:p w14:paraId="36186C7D">
            <w:pPr>
              <w:jc w:val="center"/>
              <w:rPr>
                <w:rFonts w:ascii="Times New Roman"/>
                <w:sz w:val="21"/>
                <w:szCs w:val="21"/>
              </w:rPr>
            </w:pPr>
            <w:r>
              <w:rPr>
                <w:rFonts w:ascii="Times New Roman"/>
                <w:sz w:val="21"/>
                <w:szCs w:val="21"/>
              </w:rPr>
              <w:t>1</w:t>
            </w:r>
          </w:p>
        </w:tc>
      </w:tr>
      <w:tr w14:paraId="57201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98BD878">
            <w:pPr>
              <w:jc w:val="center"/>
              <w:rPr>
                <w:rFonts w:ascii="Times New Roman"/>
                <w:sz w:val="21"/>
                <w:szCs w:val="21"/>
              </w:rPr>
            </w:pPr>
            <w:r>
              <w:rPr>
                <w:rFonts w:ascii="Times New Roman"/>
                <w:sz w:val="21"/>
                <w:szCs w:val="21"/>
              </w:rPr>
              <w:t>51</w:t>
            </w:r>
          </w:p>
        </w:tc>
        <w:tc>
          <w:tcPr>
            <w:tcW w:w="413" w:type="pct"/>
            <w:vMerge w:val="continue"/>
            <w:vAlign w:val="center"/>
          </w:tcPr>
          <w:p w14:paraId="6D80D626">
            <w:pPr>
              <w:jc w:val="center"/>
              <w:rPr>
                <w:rFonts w:ascii="Times New Roman"/>
                <w:sz w:val="21"/>
                <w:szCs w:val="21"/>
              </w:rPr>
            </w:pPr>
          </w:p>
        </w:tc>
        <w:tc>
          <w:tcPr>
            <w:tcW w:w="616" w:type="pct"/>
            <w:vMerge w:val="restart"/>
            <w:vAlign w:val="center"/>
          </w:tcPr>
          <w:p w14:paraId="23C7F88D">
            <w:pPr>
              <w:jc w:val="center"/>
              <w:rPr>
                <w:rFonts w:ascii="Times New Roman"/>
                <w:sz w:val="21"/>
                <w:szCs w:val="21"/>
              </w:rPr>
            </w:pPr>
            <w:r>
              <w:rPr>
                <w:rFonts w:ascii="Times New Roman"/>
                <w:sz w:val="21"/>
                <w:szCs w:val="21"/>
              </w:rPr>
              <w:t>接盘加工区</w:t>
            </w:r>
          </w:p>
        </w:tc>
        <w:tc>
          <w:tcPr>
            <w:tcW w:w="761" w:type="pct"/>
            <w:vMerge w:val="restart"/>
            <w:vAlign w:val="center"/>
          </w:tcPr>
          <w:p w14:paraId="6D2B407C">
            <w:pPr>
              <w:jc w:val="center"/>
              <w:rPr>
                <w:rFonts w:ascii="Times New Roman"/>
                <w:sz w:val="21"/>
                <w:szCs w:val="21"/>
              </w:rPr>
            </w:pPr>
            <w:r>
              <w:rPr>
                <w:rFonts w:ascii="Times New Roman"/>
                <w:kern w:val="0"/>
                <w:sz w:val="21"/>
                <w:szCs w:val="21"/>
              </w:rPr>
              <w:t>焊接接盘加工</w:t>
            </w:r>
          </w:p>
        </w:tc>
        <w:tc>
          <w:tcPr>
            <w:tcW w:w="965" w:type="pct"/>
            <w:gridSpan w:val="2"/>
            <w:shd w:val="clear" w:color="auto" w:fill="auto"/>
            <w:vAlign w:val="center"/>
          </w:tcPr>
          <w:p w14:paraId="7F33F08D">
            <w:pPr>
              <w:widowControl/>
              <w:jc w:val="center"/>
              <w:textAlignment w:val="center"/>
              <w:rPr>
                <w:rFonts w:ascii="Times New Roman"/>
                <w:sz w:val="21"/>
                <w:szCs w:val="21"/>
              </w:rPr>
            </w:pPr>
            <w:r>
              <w:rPr>
                <w:rFonts w:ascii="Times New Roman"/>
                <w:sz w:val="21"/>
                <w:szCs w:val="21"/>
              </w:rPr>
              <w:t>数控车床</w:t>
            </w:r>
          </w:p>
        </w:tc>
        <w:tc>
          <w:tcPr>
            <w:tcW w:w="1431" w:type="pct"/>
            <w:shd w:val="clear" w:color="auto" w:fill="auto"/>
            <w:vAlign w:val="center"/>
          </w:tcPr>
          <w:p w14:paraId="537023F6">
            <w:pPr>
              <w:jc w:val="center"/>
              <w:rPr>
                <w:rFonts w:ascii="Times New Roman"/>
                <w:sz w:val="21"/>
                <w:szCs w:val="21"/>
              </w:rPr>
            </w:pPr>
            <w:r>
              <w:rPr>
                <w:rFonts w:ascii="Times New Roman"/>
                <w:sz w:val="21"/>
                <w:szCs w:val="21"/>
              </w:rPr>
              <w:t>YNL250</w:t>
            </w:r>
          </w:p>
        </w:tc>
        <w:tc>
          <w:tcPr>
            <w:tcW w:w="470" w:type="pct"/>
            <w:vAlign w:val="center"/>
          </w:tcPr>
          <w:p w14:paraId="2316DC10">
            <w:pPr>
              <w:jc w:val="center"/>
              <w:rPr>
                <w:rFonts w:ascii="Times New Roman"/>
                <w:sz w:val="21"/>
                <w:szCs w:val="21"/>
              </w:rPr>
            </w:pPr>
            <w:r>
              <w:rPr>
                <w:rFonts w:ascii="Times New Roman"/>
                <w:sz w:val="21"/>
                <w:szCs w:val="21"/>
              </w:rPr>
              <w:t>1</w:t>
            </w:r>
          </w:p>
        </w:tc>
      </w:tr>
      <w:tr w14:paraId="047B7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F5C8C76">
            <w:pPr>
              <w:jc w:val="center"/>
              <w:rPr>
                <w:rFonts w:ascii="Times New Roman"/>
                <w:sz w:val="21"/>
                <w:szCs w:val="21"/>
              </w:rPr>
            </w:pPr>
            <w:r>
              <w:rPr>
                <w:rFonts w:ascii="Times New Roman"/>
                <w:sz w:val="21"/>
                <w:szCs w:val="21"/>
              </w:rPr>
              <w:t>52</w:t>
            </w:r>
          </w:p>
        </w:tc>
        <w:tc>
          <w:tcPr>
            <w:tcW w:w="413" w:type="pct"/>
            <w:vMerge w:val="continue"/>
            <w:vAlign w:val="center"/>
          </w:tcPr>
          <w:p w14:paraId="01F157FE">
            <w:pPr>
              <w:jc w:val="center"/>
              <w:rPr>
                <w:rFonts w:ascii="Times New Roman"/>
                <w:sz w:val="21"/>
                <w:szCs w:val="21"/>
              </w:rPr>
            </w:pPr>
          </w:p>
        </w:tc>
        <w:tc>
          <w:tcPr>
            <w:tcW w:w="616" w:type="pct"/>
            <w:vMerge w:val="continue"/>
            <w:vAlign w:val="center"/>
          </w:tcPr>
          <w:p w14:paraId="69C3D779">
            <w:pPr>
              <w:jc w:val="center"/>
              <w:rPr>
                <w:rFonts w:ascii="Times New Roman"/>
                <w:sz w:val="21"/>
                <w:szCs w:val="21"/>
              </w:rPr>
            </w:pPr>
          </w:p>
        </w:tc>
        <w:tc>
          <w:tcPr>
            <w:tcW w:w="761" w:type="pct"/>
            <w:vMerge w:val="continue"/>
            <w:vAlign w:val="center"/>
          </w:tcPr>
          <w:p w14:paraId="2A9FCA64">
            <w:pPr>
              <w:jc w:val="center"/>
              <w:rPr>
                <w:rFonts w:ascii="Times New Roman"/>
                <w:sz w:val="21"/>
                <w:szCs w:val="21"/>
              </w:rPr>
            </w:pPr>
          </w:p>
        </w:tc>
        <w:tc>
          <w:tcPr>
            <w:tcW w:w="965" w:type="pct"/>
            <w:gridSpan w:val="2"/>
            <w:shd w:val="clear" w:color="auto" w:fill="auto"/>
            <w:vAlign w:val="center"/>
          </w:tcPr>
          <w:p w14:paraId="2D348966">
            <w:pPr>
              <w:widowControl/>
              <w:jc w:val="center"/>
              <w:textAlignment w:val="center"/>
              <w:rPr>
                <w:rFonts w:ascii="Times New Roman"/>
                <w:sz w:val="21"/>
                <w:szCs w:val="21"/>
              </w:rPr>
            </w:pPr>
            <w:r>
              <w:rPr>
                <w:rFonts w:ascii="Times New Roman"/>
                <w:sz w:val="21"/>
                <w:szCs w:val="21"/>
              </w:rPr>
              <w:t>数控车床</w:t>
            </w:r>
          </w:p>
        </w:tc>
        <w:tc>
          <w:tcPr>
            <w:tcW w:w="1431" w:type="pct"/>
            <w:shd w:val="clear" w:color="auto" w:fill="auto"/>
            <w:vAlign w:val="center"/>
          </w:tcPr>
          <w:p w14:paraId="7DB2B8D7">
            <w:pPr>
              <w:jc w:val="center"/>
              <w:rPr>
                <w:rFonts w:ascii="Times New Roman"/>
                <w:sz w:val="21"/>
                <w:szCs w:val="21"/>
              </w:rPr>
            </w:pPr>
            <w:r>
              <w:rPr>
                <w:rFonts w:ascii="Times New Roman"/>
                <w:sz w:val="21"/>
                <w:szCs w:val="21"/>
              </w:rPr>
              <w:t>YNL160</w:t>
            </w:r>
          </w:p>
        </w:tc>
        <w:tc>
          <w:tcPr>
            <w:tcW w:w="470" w:type="pct"/>
            <w:vAlign w:val="center"/>
          </w:tcPr>
          <w:p w14:paraId="1B320515">
            <w:pPr>
              <w:jc w:val="center"/>
              <w:rPr>
                <w:rFonts w:ascii="Times New Roman"/>
                <w:sz w:val="21"/>
                <w:szCs w:val="21"/>
              </w:rPr>
            </w:pPr>
            <w:r>
              <w:rPr>
                <w:rFonts w:ascii="Times New Roman"/>
                <w:sz w:val="21"/>
                <w:szCs w:val="21"/>
              </w:rPr>
              <w:t>2</w:t>
            </w:r>
          </w:p>
        </w:tc>
      </w:tr>
      <w:tr w14:paraId="61D98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6F046E0">
            <w:pPr>
              <w:jc w:val="center"/>
              <w:rPr>
                <w:rFonts w:ascii="Times New Roman"/>
                <w:sz w:val="21"/>
                <w:szCs w:val="21"/>
              </w:rPr>
            </w:pPr>
            <w:r>
              <w:rPr>
                <w:rFonts w:ascii="Times New Roman"/>
                <w:sz w:val="21"/>
                <w:szCs w:val="21"/>
              </w:rPr>
              <w:t>53</w:t>
            </w:r>
          </w:p>
        </w:tc>
        <w:tc>
          <w:tcPr>
            <w:tcW w:w="413" w:type="pct"/>
            <w:vMerge w:val="continue"/>
            <w:vAlign w:val="center"/>
          </w:tcPr>
          <w:p w14:paraId="625298CD">
            <w:pPr>
              <w:jc w:val="center"/>
              <w:rPr>
                <w:rFonts w:ascii="Times New Roman"/>
                <w:sz w:val="21"/>
                <w:szCs w:val="21"/>
              </w:rPr>
            </w:pPr>
          </w:p>
        </w:tc>
        <w:tc>
          <w:tcPr>
            <w:tcW w:w="616" w:type="pct"/>
            <w:vMerge w:val="continue"/>
            <w:vAlign w:val="center"/>
          </w:tcPr>
          <w:p w14:paraId="4A583914">
            <w:pPr>
              <w:jc w:val="center"/>
              <w:rPr>
                <w:rFonts w:ascii="Times New Roman"/>
                <w:sz w:val="21"/>
                <w:szCs w:val="21"/>
              </w:rPr>
            </w:pPr>
          </w:p>
        </w:tc>
        <w:tc>
          <w:tcPr>
            <w:tcW w:w="761" w:type="pct"/>
            <w:vMerge w:val="continue"/>
            <w:vAlign w:val="center"/>
          </w:tcPr>
          <w:p w14:paraId="24FE5CA8">
            <w:pPr>
              <w:jc w:val="center"/>
              <w:rPr>
                <w:rFonts w:ascii="Times New Roman"/>
                <w:sz w:val="21"/>
                <w:szCs w:val="21"/>
              </w:rPr>
            </w:pPr>
          </w:p>
        </w:tc>
        <w:tc>
          <w:tcPr>
            <w:tcW w:w="965" w:type="pct"/>
            <w:gridSpan w:val="2"/>
            <w:vAlign w:val="center"/>
          </w:tcPr>
          <w:p w14:paraId="2E7FA8BE">
            <w:pPr>
              <w:jc w:val="center"/>
              <w:rPr>
                <w:rFonts w:ascii="Times New Roman"/>
                <w:sz w:val="21"/>
                <w:szCs w:val="21"/>
              </w:rPr>
            </w:pPr>
            <w:r>
              <w:rPr>
                <w:rFonts w:ascii="Times New Roman"/>
                <w:sz w:val="21"/>
                <w:szCs w:val="21"/>
              </w:rPr>
              <w:t>自动焊机</w:t>
            </w:r>
          </w:p>
        </w:tc>
        <w:tc>
          <w:tcPr>
            <w:tcW w:w="1431" w:type="pct"/>
            <w:vAlign w:val="center"/>
          </w:tcPr>
          <w:p w14:paraId="51974458">
            <w:pPr>
              <w:jc w:val="center"/>
              <w:textAlignment w:val="center"/>
              <w:rPr>
                <w:rFonts w:ascii="Times New Roman"/>
                <w:sz w:val="21"/>
                <w:szCs w:val="21"/>
              </w:rPr>
            </w:pPr>
            <w:r>
              <w:rPr>
                <w:rFonts w:ascii="Times New Roman"/>
                <w:sz w:val="21"/>
                <w:szCs w:val="21"/>
              </w:rPr>
              <w:t>定制</w:t>
            </w:r>
          </w:p>
        </w:tc>
        <w:tc>
          <w:tcPr>
            <w:tcW w:w="470" w:type="pct"/>
            <w:vAlign w:val="center"/>
          </w:tcPr>
          <w:p w14:paraId="29F2E94C">
            <w:pPr>
              <w:jc w:val="center"/>
              <w:rPr>
                <w:rFonts w:ascii="Times New Roman"/>
                <w:spacing w:val="-2"/>
                <w:sz w:val="21"/>
                <w:szCs w:val="21"/>
              </w:rPr>
            </w:pPr>
            <w:r>
              <w:rPr>
                <w:rFonts w:ascii="Times New Roman"/>
                <w:sz w:val="21"/>
                <w:szCs w:val="21"/>
              </w:rPr>
              <w:t>2</w:t>
            </w:r>
          </w:p>
        </w:tc>
      </w:tr>
      <w:tr w14:paraId="4D804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7E44DDC">
            <w:pPr>
              <w:jc w:val="center"/>
              <w:rPr>
                <w:rFonts w:ascii="Times New Roman"/>
                <w:sz w:val="21"/>
                <w:szCs w:val="21"/>
              </w:rPr>
            </w:pPr>
            <w:r>
              <w:rPr>
                <w:rFonts w:ascii="Times New Roman"/>
                <w:sz w:val="21"/>
                <w:szCs w:val="21"/>
              </w:rPr>
              <w:t>54</w:t>
            </w:r>
          </w:p>
        </w:tc>
        <w:tc>
          <w:tcPr>
            <w:tcW w:w="413" w:type="pct"/>
            <w:vMerge w:val="continue"/>
            <w:vAlign w:val="center"/>
          </w:tcPr>
          <w:p w14:paraId="57BEBAFF">
            <w:pPr>
              <w:jc w:val="center"/>
              <w:rPr>
                <w:rFonts w:ascii="Times New Roman"/>
                <w:sz w:val="21"/>
                <w:szCs w:val="21"/>
              </w:rPr>
            </w:pPr>
          </w:p>
        </w:tc>
        <w:tc>
          <w:tcPr>
            <w:tcW w:w="616" w:type="pct"/>
            <w:vMerge w:val="continue"/>
            <w:vAlign w:val="center"/>
          </w:tcPr>
          <w:p w14:paraId="0D9C1C91">
            <w:pPr>
              <w:jc w:val="center"/>
              <w:rPr>
                <w:rFonts w:ascii="Times New Roman"/>
                <w:sz w:val="21"/>
                <w:szCs w:val="21"/>
              </w:rPr>
            </w:pPr>
          </w:p>
        </w:tc>
        <w:tc>
          <w:tcPr>
            <w:tcW w:w="761" w:type="pct"/>
            <w:vMerge w:val="continue"/>
            <w:vAlign w:val="center"/>
          </w:tcPr>
          <w:p w14:paraId="2FB29F97">
            <w:pPr>
              <w:jc w:val="center"/>
              <w:rPr>
                <w:rFonts w:ascii="Times New Roman"/>
                <w:sz w:val="21"/>
                <w:szCs w:val="21"/>
              </w:rPr>
            </w:pPr>
          </w:p>
        </w:tc>
        <w:tc>
          <w:tcPr>
            <w:tcW w:w="965" w:type="pct"/>
            <w:gridSpan w:val="2"/>
            <w:shd w:val="clear" w:color="auto" w:fill="auto"/>
            <w:vAlign w:val="center"/>
          </w:tcPr>
          <w:p w14:paraId="0B62227B">
            <w:pPr>
              <w:widowControl/>
              <w:jc w:val="center"/>
              <w:textAlignment w:val="center"/>
              <w:rPr>
                <w:rFonts w:ascii="Times New Roman"/>
                <w:sz w:val="21"/>
                <w:szCs w:val="21"/>
              </w:rPr>
            </w:pPr>
            <w:r>
              <w:rPr>
                <w:rFonts w:ascii="Times New Roman"/>
                <w:sz w:val="21"/>
                <w:szCs w:val="21"/>
              </w:rPr>
              <w:t>数控车床</w:t>
            </w:r>
          </w:p>
        </w:tc>
        <w:tc>
          <w:tcPr>
            <w:tcW w:w="1431" w:type="pct"/>
            <w:shd w:val="clear" w:color="auto" w:fill="auto"/>
            <w:vAlign w:val="center"/>
          </w:tcPr>
          <w:p w14:paraId="64AF39E5">
            <w:pPr>
              <w:jc w:val="center"/>
              <w:rPr>
                <w:rFonts w:ascii="Times New Roman"/>
                <w:sz w:val="21"/>
                <w:szCs w:val="21"/>
              </w:rPr>
            </w:pPr>
            <w:r>
              <w:rPr>
                <w:rFonts w:ascii="Times New Roman"/>
                <w:sz w:val="21"/>
                <w:szCs w:val="21"/>
              </w:rPr>
              <w:t>YNL60</w:t>
            </w:r>
          </w:p>
        </w:tc>
        <w:tc>
          <w:tcPr>
            <w:tcW w:w="470" w:type="pct"/>
            <w:vAlign w:val="center"/>
          </w:tcPr>
          <w:p w14:paraId="756CBB8D">
            <w:pPr>
              <w:jc w:val="center"/>
              <w:rPr>
                <w:rFonts w:ascii="Times New Roman"/>
                <w:spacing w:val="-1"/>
                <w:sz w:val="21"/>
                <w:szCs w:val="21"/>
              </w:rPr>
            </w:pPr>
            <w:r>
              <w:rPr>
                <w:rFonts w:ascii="Times New Roman"/>
                <w:sz w:val="21"/>
                <w:szCs w:val="21"/>
              </w:rPr>
              <w:t>2</w:t>
            </w:r>
          </w:p>
        </w:tc>
      </w:tr>
      <w:tr w14:paraId="79F75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2013F21">
            <w:pPr>
              <w:jc w:val="center"/>
              <w:rPr>
                <w:rFonts w:ascii="Times New Roman"/>
                <w:sz w:val="21"/>
                <w:szCs w:val="21"/>
              </w:rPr>
            </w:pPr>
            <w:r>
              <w:rPr>
                <w:rFonts w:ascii="Times New Roman"/>
                <w:sz w:val="21"/>
                <w:szCs w:val="21"/>
              </w:rPr>
              <w:t>55</w:t>
            </w:r>
          </w:p>
        </w:tc>
        <w:tc>
          <w:tcPr>
            <w:tcW w:w="413" w:type="pct"/>
            <w:vMerge w:val="continue"/>
            <w:vAlign w:val="center"/>
          </w:tcPr>
          <w:p w14:paraId="055E906F">
            <w:pPr>
              <w:jc w:val="center"/>
              <w:rPr>
                <w:rFonts w:ascii="Times New Roman"/>
                <w:sz w:val="21"/>
                <w:szCs w:val="21"/>
              </w:rPr>
            </w:pPr>
          </w:p>
        </w:tc>
        <w:tc>
          <w:tcPr>
            <w:tcW w:w="616" w:type="pct"/>
            <w:vMerge w:val="continue"/>
            <w:vAlign w:val="center"/>
          </w:tcPr>
          <w:p w14:paraId="1F163728">
            <w:pPr>
              <w:jc w:val="center"/>
              <w:rPr>
                <w:rFonts w:ascii="Times New Roman"/>
                <w:sz w:val="21"/>
                <w:szCs w:val="21"/>
              </w:rPr>
            </w:pPr>
          </w:p>
        </w:tc>
        <w:tc>
          <w:tcPr>
            <w:tcW w:w="761" w:type="pct"/>
            <w:vMerge w:val="continue"/>
            <w:vAlign w:val="center"/>
          </w:tcPr>
          <w:p w14:paraId="5CACCD87">
            <w:pPr>
              <w:jc w:val="center"/>
              <w:rPr>
                <w:rFonts w:ascii="Times New Roman"/>
                <w:sz w:val="21"/>
                <w:szCs w:val="21"/>
              </w:rPr>
            </w:pPr>
          </w:p>
        </w:tc>
        <w:tc>
          <w:tcPr>
            <w:tcW w:w="965" w:type="pct"/>
            <w:gridSpan w:val="2"/>
            <w:shd w:val="clear" w:color="auto" w:fill="auto"/>
            <w:vAlign w:val="center"/>
          </w:tcPr>
          <w:p w14:paraId="17E750CD">
            <w:pPr>
              <w:widowControl/>
              <w:jc w:val="center"/>
              <w:textAlignment w:val="center"/>
              <w:rPr>
                <w:rFonts w:ascii="Times New Roman"/>
                <w:sz w:val="21"/>
                <w:szCs w:val="21"/>
              </w:rPr>
            </w:pPr>
            <w:r>
              <w:rPr>
                <w:rFonts w:ascii="Times New Roman"/>
                <w:sz w:val="21"/>
                <w:szCs w:val="21"/>
              </w:rPr>
              <w:t>插床</w:t>
            </w:r>
          </w:p>
        </w:tc>
        <w:tc>
          <w:tcPr>
            <w:tcW w:w="1431" w:type="pct"/>
            <w:shd w:val="clear" w:color="auto" w:fill="auto"/>
            <w:vAlign w:val="center"/>
          </w:tcPr>
          <w:p w14:paraId="5596CF90">
            <w:pPr>
              <w:jc w:val="center"/>
              <w:rPr>
                <w:rFonts w:ascii="Times New Roman"/>
                <w:sz w:val="21"/>
                <w:szCs w:val="21"/>
              </w:rPr>
            </w:pPr>
            <w:r>
              <w:rPr>
                <w:rFonts w:ascii="Times New Roman"/>
                <w:sz w:val="21"/>
                <w:szCs w:val="21"/>
              </w:rPr>
              <w:t>B5032</w:t>
            </w:r>
          </w:p>
        </w:tc>
        <w:tc>
          <w:tcPr>
            <w:tcW w:w="470" w:type="pct"/>
            <w:vAlign w:val="center"/>
          </w:tcPr>
          <w:p w14:paraId="04FFD91E">
            <w:pPr>
              <w:jc w:val="center"/>
              <w:rPr>
                <w:rFonts w:ascii="Times New Roman"/>
                <w:spacing w:val="-2"/>
                <w:position w:val="-2"/>
                <w:sz w:val="21"/>
                <w:szCs w:val="21"/>
              </w:rPr>
            </w:pPr>
            <w:r>
              <w:rPr>
                <w:rFonts w:ascii="Times New Roman"/>
                <w:sz w:val="21"/>
                <w:szCs w:val="21"/>
              </w:rPr>
              <w:t>1</w:t>
            </w:r>
          </w:p>
        </w:tc>
      </w:tr>
      <w:tr w14:paraId="6954D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9694CA2">
            <w:pPr>
              <w:jc w:val="center"/>
              <w:rPr>
                <w:rFonts w:ascii="Times New Roman"/>
                <w:sz w:val="21"/>
                <w:szCs w:val="21"/>
              </w:rPr>
            </w:pPr>
            <w:r>
              <w:rPr>
                <w:rFonts w:ascii="Times New Roman"/>
                <w:sz w:val="21"/>
                <w:szCs w:val="21"/>
              </w:rPr>
              <w:t>56</w:t>
            </w:r>
          </w:p>
        </w:tc>
        <w:tc>
          <w:tcPr>
            <w:tcW w:w="413" w:type="pct"/>
            <w:vMerge w:val="continue"/>
            <w:vAlign w:val="center"/>
          </w:tcPr>
          <w:p w14:paraId="21D386C3">
            <w:pPr>
              <w:jc w:val="center"/>
              <w:rPr>
                <w:rFonts w:ascii="Times New Roman"/>
                <w:sz w:val="21"/>
                <w:szCs w:val="21"/>
              </w:rPr>
            </w:pPr>
          </w:p>
        </w:tc>
        <w:tc>
          <w:tcPr>
            <w:tcW w:w="616" w:type="pct"/>
            <w:vMerge w:val="continue"/>
            <w:vAlign w:val="center"/>
          </w:tcPr>
          <w:p w14:paraId="2680C412">
            <w:pPr>
              <w:jc w:val="center"/>
              <w:rPr>
                <w:rFonts w:ascii="Times New Roman"/>
                <w:sz w:val="21"/>
                <w:szCs w:val="21"/>
              </w:rPr>
            </w:pPr>
          </w:p>
        </w:tc>
        <w:tc>
          <w:tcPr>
            <w:tcW w:w="761" w:type="pct"/>
            <w:vAlign w:val="center"/>
          </w:tcPr>
          <w:p w14:paraId="4FE82D3D">
            <w:pPr>
              <w:jc w:val="center"/>
              <w:rPr>
                <w:rFonts w:ascii="Times New Roman"/>
                <w:sz w:val="21"/>
                <w:szCs w:val="21"/>
              </w:rPr>
            </w:pPr>
            <w:r>
              <w:rPr>
                <w:rFonts w:ascii="Times New Roman"/>
                <w:kern w:val="0"/>
                <w:sz w:val="21"/>
                <w:szCs w:val="21"/>
              </w:rPr>
              <w:t>铸造接盘加工区</w:t>
            </w:r>
          </w:p>
        </w:tc>
        <w:tc>
          <w:tcPr>
            <w:tcW w:w="965" w:type="pct"/>
            <w:gridSpan w:val="2"/>
            <w:shd w:val="clear" w:color="auto" w:fill="auto"/>
            <w:vAlign w:val="center"/>
          </w:tcPr>
          <w:p w14:paraId="5847B4E0">
            <w:pPr>
              <w:widowControl/>
              <w:jc w:val="center"/>
              <w:textAlignment w:val="center"/>
              <w:rPr>
                <w:rFonts w:ascii="Times New Roman"/>
                <w:sz w:val="21"/>
                <w:szCs w:val="21"/>
              </w:rPr>
            </w:pPr>
            <w:r>
              <w:rPr>
                <w:rFonts w:ascii="Times New Roman"/>
                <w:sz w:val="21"/>
                <w:szCs w:val="21"/>
              </w:rPr>
              <w:t>数控立式车床</w:t>
            </w:r>
          </w:p>
        </w:tc>
        <w:tc>
          <w:tcPr>
            <w:tcW w:w="1431" w:type="pct"/>
            <w:shd w:val="clear" w:color="auto" w:fill="auto"/>
            <w:vAlign w:val="center"/>
          </w:tcPr>
          <w:p w14:paraId="095BEB29">
            <w:pPr>
              <w:jc w:val="center"/>
              <w:rPr>
                <w:rFonts w:ascii="Times New Roman"/>
                <w:sz w:val="21"/>
                <w:szCs w:val="21"/>
              </w:rPr>
            </w:pPr>
            <w:r>
              <w:rPr>
                <w:rFonts w:ascii="Times New Roman"/>
                <w:sz w:val="21"/>
                <w:szCs w:val="21"/>
              </w:rPr>
              <w:t>YNL100</w:t>
            </w:r>
          </w:p>
        </w:tc>
        <w:tc>
          <w:tcPr>
            <w:tcW w:w="470" w:type="pct"/>
            <w:vAlign w:val="center"/>
          </w:tcPr>
          <w:p w14:paraId="21CBD968">
            <w:pPr>
              <w:jc w:val="center"/>
              <w:rPr>
                <w:rFonts w:ascii="Times New Roman"/>
                <w:spacing w:val="-1"/>
                <w:position w:val="-2"/>
                <w:sz w:val="21"/>
                <w:szCs w:val="21"/>
              </w:rPr>
            </w:pPr>
            <w:r>
              <w:rPr>
                <w:rFonts w:ascii="Times New Roman"/>
                <w:sz w:val="21"/>
                <w:szCs w:val="21"/>
              </w:rPr>
              <w:t>2</w:t>
            </w:r>
          </w:p>
        </w:tc>
      </w:tr>
      <w:tr w14:paraId="6BF40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4C3750E">
            <w:pPr>
              <w:jc w:val="center"/>
              <w:rPr>
                <w:rFonts w:ascii="Times New Roman"/>
                <w:sz w:val="21"/>
                <w:szCs w:val="21"/>
              </w:rPr>
            </w:pPr>
            <w:r>
              <w:rPr>
                <w:rFonts w:ascii="Times New Roman"/>
                <w:sz w:val="21"/>
                <w:szCs w:val="21"/>
              </w:rPr>
              <w:t>57</w:t>
            </w:r>
          </w:p>
        </w:tc>
        <w:tc>
          <w:tcPr>
            <w:tcW w:w="413" w:type="pct"/>
            <w:vMerge w:val="continue"/>
            <w:vAlign w:val="center"/>
          </w:tcPr>
          <w:p w14:paraId="6D805115">
            <w:pPr>
              <w:jc w:val="center"/>
              <w:rPr>
                <w:rFonts w:ascii="Times New Roman"/>
                <w:sz w:val="21"/>
                <w:szCs w:val="21"/>
              </w:rPr>
            </w:pPr>
          </w:p>
        </w:tc>
        <w:tc>
          <w:tcPr>
            <w:tcW w:w="616" w:type="pct"/>
            <w:vMerge w:val="restart"/>
            <w:vAlign w:val="center"/>
          </w:tcPr>
          <w:p w14:paraId="6A2383A1">
            <w:pPr>
              <w:jc w:val="center"/>
              <w:rPr>
                <w:rFonts w:ascii="Times New Roman"/>
                <w:sz w:val="21"/>
                <w:szCs w:val="21"/>
              </w:rPr>
            </w:pPr>
            <w:r>
              <w:rPr>
                <w:rFonts w:ascii="Times New Roman"/>
                <w:sz w:val="21"/>
                <w:szCs w:val="21"/>
              </w:rPr>
              <w:t>筒皮接盘焊接</w:t>
            </w:r>
          </w:p>
        </w:tc>
        <w:tc>
          <w:tcPr>
            <w:tcW w:w="761" w:type="pct"/>
            <w:vMerge w:val="restart"/>
            <w:vAlign w:val="center"/>
          </w:tcPr>
          <w:p w14:paraId="2ABCA7F9">
            <w:pPr>
              <w:jc w:val="center"/>
              <w:rPr>
                <w:rFonts w:ascii="Times New Roman"/>
                <w:sz w:val="21"/>
                <w:szCs w:val="21"/>
              </w:rPr>
            </w:pPr>
            <w:r>
              <w:rPr>
                <w:rFonts w:ascii="Times New Roman"/>
                <w:kern w:val="0"/>
                <w:sz w:val="21"/>
                <w:szCs w:val="21"/>
              </w:rPr>
              <w:t>焊接接盘接盘筒体焊接区</w:t>
            </w:r>
          </w:p>
        </w:tc>
        <w:tc>
          <w:tcPr>
            <w:tcW w:w="965" w:type="pct"/>
            <w:gridSpan w:val="2"/>
            <w:vAlign w:val="center"/>
          </w:tcPr>
          <w:p w14:paraId="0D7B4EA3">
            <w:pPr>
              <w:jc w:val="center"/>
              <w:rPr>
                <w:rFonts w:ascii="Times New Roman"/>
                <w:sz w:val="21"/>
                <w:szCs w:val="21"/>
              </w:rPr>
            </w:pPr>
            <w:r>
              <w:rPr>
                <w:rFonts w:ascii="Times New Roman"/>
                <w:sz w:val="21"/>
                <w:szCs w:val="21"/>
              </w:rPr>
              <w:t>组焊焊机</w:t>
            </w:r>
          </w:p>
        </w:tc>
        <w:tc>
          <w:tcPr>
            <w:tcW w:w="1431" w:type="pct"/>
            <w:vAlign w:val="center"/>
          </w:tcPr>
          <w:p w14:paraId="5D5BE08B">
            <w:pPr>
              <w:jc w:val="center"/>
              <w:rPr>
                <w:rFonts w:ascii="Times New Roman"/>
                <w:sz w:val="21"/>
                <w:szCs w:val="21"/>
              </w:rPr>
            </w:pPr>
            <w:r>
              <w:rPr>
                <w:rFonts w:ascii="Times New Roman"/>
                <w:sz w:val="21"/>
                <w:szCs w:val="21"/>
              </w:rPr>
              <w:t>/</w:t>
            </w:r>
          </w:p>
        </w:tc>
        <w:tc>
          <w:tcPr>
            <w:tcW w:w="470" w:type="pct"/>
            <w:vAlign w:val="center"/>
          </w:tcPr>
          <w:p w14:paraId="21CC89B2">
            <w:pPr>
              <w:jc w:val="center"/>
              <w:rPr>
                <w:rFonts w:ascii="Times New Roman"/>
                <w:sz w:val="21"/>
                <w:szCs w:val="21"/>
              </w:rPr>
            </w:pPr>
            <w:r>
              <w:rPr>
                <w:rFonts w:ascii="Times New Roman"/>
                <w:sz w:val="21"/>
                <w:szCs w:val="21"/>
              </w:rPr>
              <w:t>1</w:t>
            </w:r>
          </w:p>
        </w:tc>
      </w:tr>
      <w:tr w14:paraId="4A01A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1791D60">
            <w:pPr>
              <w:jc w:val="center"/>
              <w:rPr>
                <w:rFonts w:ascii="Times New Roman"/>
                <w:sz w:val="21"/>
                <w:szCs w:val="21"/>
              </w:rPr>
            </w:pPr>
            <w:r>
              <w:rPr>
                <w:rFonts w:ascii="Times New Roman"/>
                <w:sz w:val="21"/>
                <w:szCs w:val="21"/>
              </w:rPr>
              <w:t>58</w:t>
            </w:r>
          </w:p>
        </w:tc>
        <w:tc>
          <w:tcPr>
            <w:tcW w:w="413" w:type="pct"/>
            <w:vMerge w:val="continue"/>
            <w:vAlign w:val="center"/>
          </w:tcPr>
          <w:p w14:paraId="4E31B927">
            <w:pPr>
              <w:jc w:val="center"/>
              <w:rPr>
                <w:rFonts w:ascii="Times New Roman"/>
                <w:sz w:val="21"/>
                <w:szCs w:val="21"/>
              </w:rPr>
            </w:pPr>
          </w:p>
        </w:tc>
        <w:tc>
          <w:tcPr>
            <w:tcW w:w="616" w:type="pct"/>
            <w:vMerge w:val="continue"/>
            <w:vAlign w:val="center"/>
          </w:tcPr>
          <w:p w14:paraId="103DF234">
            <w:pPr>
              <w:jc w:val="center"/>
              <w:rPr>
                <w:rFonts w:ascii="Times New Roman"/>
                <w:sz w:val="21"/>
                <w:szCs w:val="21"/>
              </w:rPr>
            </w:pPr>
          </w:p>
        </w:tc>
        <w:tc>
          <w:tcPr>
            <w:tcW w:w="761" w:type="pct"/>
            <w:vMerge w:val="continue"/>
            <w:vAlign w:val="center"/>
          </w:tcPr>
          <w:p w14:paraId="12BCAB70">
            <w:pPr>
              <w:jc w:val="center"/>
              <w:rPr>
                <w:rFonts w:ascii="Times New Roman"/>
                <w:sz w:val="21"/>
                <w:szCs w:val="21"/>
              </w:rPr>
            </w:pPr>
          </w:p>
        </w:tc>
        <w:tc>
          <w:tcPr>
            <w:tcW w:w="965" w:type="pct"/>
            <w:gridSpan w:val="2"/>
            <w:vAlign w:val="center"/>
          </w:tcPr>
          <w:p w14:paraId="6704DB2A">
            <w:pPr>
              <w:jc w:val="center"/>
              <w:rPr>
                <w:rFonts w:ascii="Times New Roman"/>
                <w:sz w:val="21"/>
                <w:szCs w:val="21"/>
              </w:rPr>
            </w:pPr>
            <w:r>
              <w:rPr>
                <w:rFonts w:ascii="Times New Roman"/>
                <w:sz w:val="21"/>
                <w:szCs w:val="21"/>
              </w:rPr>
              <w:t>内侧自动焊机</w:t>
            </w:r>
          </w:p>
        </w:tc>
        <w:tc>
          <w:tcPr>
            <w:tcW w:w="1431" w:type="pct"/>
            <w:vAlign w:val="center"/>
          </w:tcPr>
          <w:p w14:paraId="705726F1">
            <w:pPr>
              <w:jc w:val="center"/>
              <w:textAlignment w:val="center"/>
              <w:rPr>
                <w:rFonts w:ascii="Times New Roman"/>
                <w:sz w:val="21"/>
                <w:szCs w:val="21"/>
              </w:rPr>
            </w:pPr>
            <w:r>
              <w:rPr>
                <w:rFonts w:ascii="Times New Roman"/>
                <w:sz w:val="21"/>
                <w:szCs w:val="21"/>
              </w:rPr>
              <w:t>/</w:t>
            </w:r>
          </w:p>
        </w:tc>
        <w:tc>
          <w:tcPr>
            <w:tcW w:w="470" w:type="pct"/>
            <w:vAlign w:val="center"/>
          </w:tcPr>
          <w:p w14:paraId="56F9C66F">
            <w:pPr>
              <w:jc w:val="center"/>
              <w:rPr>
                <w:rFonts w:ascii="Times New Roman"/>
                <w:sz w:val="21"/>
                <w:szCs w:val="21"/>
              </w:rPr>
            </w:pPr>
            <w:r>
              <w:rPr>
                <w:rFonts w:ascii="Times New Roman"/>
                <w:sz w:val="21"/>
                <w:szCs w:val="21"/>
              </w:rPr>
              <w:t>1</w:t>
            </w:r>
          </w:p>
        </w:tc>
      </w:tr>
      <w:tr w14:paraId="74723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3730D78">
            <w:pPr>
              <w:jc w:val="center"/>
              <w:rPr>
                <w:rFonts w:ascii="Times New Roman"/>
                <w:sz w:val="21"/>
                <w:szCs w:val="21"/>
              </w:rPr>
            </w:pPr>
            <w:r>
              <w:rPr>
                <w:rFonts w:ascii="Times New Roman"/>
                <w:sz w:val="21"/>
                <w:szCs w:val="21"/>
              </w:rPr>
              <w:t>59</w:t>
            </w:r>
          </w:p>
        </w:tc>
        <w:tc>
          <w:tcPr>
            <w:tcW w:w="413" w:type="pct"/>
            <w:vMerge w:val="continue"/>
            <w:vAlign w:val="center"/>
          </w:tcPr>
          <w:p w14:paraId="72D1D0F5">
            <w:pPr>
              <w:jc w:val="center"/>
              <w:rPr>
                <w:rFonts w:ascii="Times New Roman"/>
                <w:sz w:val="21"/>
                <w:szCs w:val="21"/>
              </w:rPr>
            </w:pPr>
          </w:p>
        </w:tc>
        <w:tc>
          <w:tcPr>
            <w:tcW w:w="616" w:type="pct"/>
            <w:vMerge w:val="continue"/>
            <w:vAlign w:val="center"/>
          </w:tcPr>
          <w:p w14:paraId="536822DC">
            <w:pPr>
              <w:jc w:val="center"/>
              <w:rPr>
                <w:rFonts w:ascii="Times New Roman"/>
                <w:sz w:val="21"/>
                <w:szCs w:val="21"/>
              </w:rPr>
            </w:pPr>
          </w:p>
        </w:tc>
        <w:tc>
          <w:tcPr>
            <w:tcW w:w="761" w:type="pct"/>
            <w:vMerge w:val="continue"/>
            <w:vAlign w:val="center"/>
          </w:tcPr>
          <w:p w14:paraId="5FEB60F6">
            <w:pPr>
              <w:jc w:val="center"/>
              <w:rPr>
                <w:rFonts w:ascii="Times New Roman"/>
                <w:sz w:val="21"/>
                <w:szCs w:val="21"/>
              </w:rPr>
            </w:pPr>
          </w:p>
        </w:tc>
        <w:tc>
          <w:tcPr>
            <w:tcW w:w="965" w:type="pct"/>
            <w:gridSpan w:val="2"/>
            <w:vAlign w:val="center"/>
          </w:tcPr>
          <w:p w14:paraId="64059C82">
            <w:pPr>
              <w:jc w:val="center"/>
              <w:rPr>
                <w:rFonts w:ascii="Times New Roman"/>
                <w:sz w:val="21"/>
                <w:szCs w:val="21"/>
              </w:rPr>
            </w:pPr>
            <w:r>
              <w:rPr>
                <w:rFonts w:ascii="Times New Roman"/>
                <w:sz w:val="21"/>
                <w:szCs w:val="21"/>
              </w:rPr>
              <w:t>外侧自动焊机</w:t>
            </w:r>
          </w:p>
        </w:tc>
        <w:tc>
          <w:tcPr>
            <w:tcW w:w="1431" w:type="pct"/>
            <w:vAlign w:val="center"/>
          </w:tcPr>
          <w:p w14:paraId="3B55BFBD">
            <w:pPr>
              <w:jc w:val="center"/>
              <w:rPr>
                <w:rFonts w:ascii="Times New Roman"/>
                <w:sz w:val="21"/>
                <w:szCs w:val="21"/>
              </w:rPr>
            </w:pPr>
            <w:r>
              <w:rPr>
                <w:rFonts w:ascii="Times New Roman"/>
                <w:sz w:val="21"/>
                <w:szCs w:val="21"/>
              </w:rPr>
              <w:t>/</w:t>
            </w:r>
          </w:p>
        </w:tc>
        <w:tc>
          <w:tcPr>
            <w:tcW w:w="470" w:type="pct"/>
            <w:vAlign w:val="center"/>
          </w:tcPr>
          <w:p w14:paraId="471B7E78">
            <w:pPr>
              <w:jc w:val="center"/>
              <w:rPr>
                <w:rFonts w:ascii="Times New Roman"/>
                <w:sz w:val="21"/>
                <w:szCs w:val="21"/>
              </w:rPr>
            </w:pPr>
            <w:r>
              <w:rPr>
                <w:rFonts w:ascii="Times New Roman"/>
                <w:sz w:val="21"/>
                <w:szCs w:val="21"/>
              </w:rPr>
              <w:t>2</w:t>
            </w:r>
          </w:p>
        </w:tc>
      </w:tr>
      <w:tr w14:paraId="7CB37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AA6F8F0">
            <w:pPr>
              <w:jc w:val="center"/>
              <w:rPr>
                <w:rFonts w:ascii="Times New Roman"/>
                <w:sz w:val="21"/>
                <w:szCs w:val="21"/>
              </w:rPr>
            </w:pPr>
            <w:r>
              <w:rPr>
                <w:rFonts w:ascii="Times New Roman"/>
                <w:sz w:val="21"/>
                <w:szCs w:val="21"/>
              </w:rPr>
              <w:t>60</w:t>
            </w:r>
          </w:p>
        </w:tc>
        <w:tc>
          <w:tcPr>
            <w:tcW w:w="413" w:type="pct"/>
            <w:vMerge w:val="continue"/>
            <w:vAlign w:val="center"/>
          </w:tcPr>
          <w:p w14:paraId="70E06F53">
            <w:pPr>
              <w:jc w:val="center"/>
              <w:rPr>
                <w:rFonts w:ascii="Times New Roman"/>
                <w:sz w:val="21"/>
                <w:szCs w:val="21"/>
              </w:rPr>
            </w:pPr>
          </w:p>
        </w:tc>
        <w:tc>
          <w:tcPr>
            <w:tcW w:w="616" w:type="pct"/>
            <w:vMerge w:val="continue"/>
            <w:vAlign w:val="center"/>
          </w:tcPr>
          <w:p w14:paraId="13E74677">
            <w:pPr>
              <w:jc w:val="center"/>
              <w:rPr>
                <w:rFonts w:ascii="Times New Roman"/>
                <w:sz w:val="21"/>
                <w:szCs w:val="21"/>
              </w:rPr>
            </w:pPr>
          </w:p>
        </w:tc>
        <w:tc>
          <w:tcPr>
            <w:tcW w:w="761" w:type="pct"/>
            <w:vMerge w:val="continue"/>
            <w:vAlign w:val="center"/>
          </w:tcPr>
          <w:p w14:paraId="3D7AF8E3">
            <w:pPr>
              <w:jc w:val="center"/>
              <w:rPr>
                <w:rFonts w:ascii="Times New Roman"/>
                <w:sz w:val="21"/>
                <w:szCs w:val="21"/>
              </w:rPr>
            </w:pPr>
          </w:p>
        </w:tc>
        <w:tc>
          <w:tcPr>
            <w:tcW w:w="965" w:type="pct"/>
            <w:gridSpan w:val="2"/>
            <w:vAlign w:val="center"/>
          </w:tcPr>
          <w:p w14:paraId="23E695CD">
            <w:pPr>
              <w:jc w:val="center"/>
              <w:rPr>
                <w:rFonts w:ascii="Times New Roman"/>
                <w:sz w:val="21"/>
                <w:szCs w:val="21"/>
              </w:rPr>
            </w:pPr>
            <w:r>
              <w:rPr>
                <w:rFonts w:ascii="Times New Roman"/>
                <w:sz w:val="21"/>
                <w:szCs w:val="21"/>
              </w:rPr>
              <w:t>轨道车</w:t>
            </w:r>
          </w:p>
        </w:tc>
        <w:tc>
          <w:tcPr>
            <w:tcW w:w="1431" w:type="pct"/>
            <w:vAlign w:val="center"/>
          </w:tcPr>
          <w:p w14:paraId="12EF41FF">
            <w:pPr>
              <w:jc w:val="center"/>
              <w:textAlignment w:val="center"/>
              <w:rPr>
                <w:rFonts w:ascii="Times New Roman"/>
                <w:sz w:val="21"/>
                <w:szCs w:val="21"/>
              </w:rPr>
            </w:pPr>
            <w:r>
              <w:rPr>
                <w:rFonts w:ascii="Times New Roman"/>
                <w:sz w:val="21"/>
                <w:szCs w:val="21"/>
              </w:rPr>
              <w:t>RGV</w:t>
            </w:r>
          </w:p>
        </w:tc>
        <w:tc>
          <w:tcPr>
            <w:tcW w:w="470" w:type="pct"/>
            <w:vAlign w:val="center"/>
          </w:tcPr>
          <w:p w14:paraId="3AEE529D">
            <w:pPr>
              <w:jc w:val="center"/>
              <w:rPr>
                <w:rFonts w:ascii="Times New Roman"/>
                <w:sz w:val="21"/>
                <w:szCs w:val="21"/>
              </w:rPr>
            </w:pPr>
            <w:r>
              <w:rPr>
                <w:rFonts w:ascii="Times New Roman"/>
                <w:sz w:val="21"/>
                <w:szCs w:val="21"/>
              </w:rPr>
              <w:t>1</w:t>
            </w:r>
          </w:p>
        </w:tc>
      </w:tr>
      <w:tr w14:paraId="00902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1AAF02E">
            <w:pPr>
              <w:jc w:val="center"/>
              <w:rPr>
                <w:rFonts w:ascii="Times New Roman"/>
                <w:sz w:val="21"/>
                <w:szCs w:val="21"/>
              </w:rPr>
            </w:pPr>
            <w:r>
              <w:rPr>
                <w:rFonts w:ascii="Times New Roman"/>
                <w:sz w:val="21"/>
                <w:szCs w:val="21"/>
              </w:rPr>
              <w:t>61</w:t>
            </w:r>
          </w:p>
        </w:tc>
        <w:tc>
          <w:tcPr>
            <w:tcW w:w="413" w:type="pct"/>
            <w:vMerge w:val="continue"/>
            <w:vAlign w:val="center"/>
          </w:tcPr>
          <w:p w14:paraId="4ABC9EBD">
            <w:pPr>
              <w:jc w:val="center"/>
              <w:rPr>
                <w:rFonts w:ascii="Times New Roman"/>
                <w:sz w:val="21"/>
                <w:szCs w:val="21"/>
              </w:rPr>
            </w:pPr>
          </w:p>
        </w:tc>
        <w:tc>
          <w:tcPr>
            <w:tcW w:w="616" w:type="pct"/>
            <w:vMerge w:val="continue"/>
            <w:vAlign w:val="center"/>
          </w:tcPr>
          <w:p w14:paraId="4565B12A">
            <w:pPr>
              <w:jc w:val="center"/>
              <w:rPr>
                <w:rFonts w:ascii="Times New Roman"/>
                <w:sz w:val="21"/>
                <w:szCs w:val="21"/>
              </w:rPr>
            </w:pPr>
          </w:p>
        </w:tc>
        <w:tc>
          <w:tcPr>
            <w:tcW w:w="761" w:type="pct"/>
            <w:vMerge w:val="restart"/>
            <w:vAlign w:val="center"/>
          </w:tcPr>
          <w:p w14:paraId="3F9247D5">
            <w:pPr>
              <w:jc w:val="center"/>
              <w:rPr>
                <w:rFonts w:ascii="Times New Roman"/>
                <w:sz w:val="21"/>
                <w:szCs w:val="21"/>
              </w:rPr>
            </w:pPr>
            <w:r>
              <w:rPr>
                <w:rFonts w:ascii="Times New Roman"/>
                <w:kern w:val="0"/>
                <w:sz w:val="21"/>
                <w:szCs w:val="21"/>
              </w:rPr>
              <w:t>铸造接盘接盘筒体焊接区</w:t>
            </w:r>
          </w:p>
        </w:tc>
        <w:tc>
          <w:tcPr>
            <w:tcW w:w="965" w:type="pct"/>
            <w:gridSpan w:val="2"/>
            <w:vAlign w:val="center"/>
          </w:tcPr>
          <w:p w14:paraId="472F8B84">
            <w:pPr>
              <w:jc w:val="center"/>
              <w:rPr>
                <w:rFonts w:ascii="Times New Roman"/>
                <w:sz w:val="21"/>
                <w:szCs w:val="21"/>
              </w:rPr>
            </w:pPr>
            <w:r>
              <w:rPr>
                <w:rFonts w:ascii="Times New Roman"/>
                <w:sz w:val="21"/>
                <w:szCs w:val="21"/>
              </w:rPr>
              <w:t>组焊焊机</w:t>
            </w:r>
          </w:p>
        </w:tc>
        <w:tc>
          <w:tcPr>
            <w:tcW w:w="1431" w:type="pct"/>
            <w:vAlign w:val="center"/>
          </w:tcPr>
          <w:p w14:paraId="4D22863E">
            <w:pPr>
              <w:jc w:val="center"/>
              <w:rPr>
                <w:rFonts w:ascii="Times New Roman"/>
                <w:sz w:val="21"/>
                <w:szCs w:val="21"/>
              </w:rPr>
            </w:pPr>
            <w:r>
              <w:rPr>
                <w:rFonts w:ascii="Times New Roman"/>
                <w:sz w:val="21"/>
                <w:szCs w:val="21"/>
              </w:rPr>
              <w:t>/</w:t>
            </w:r>
          </w:p>
        </w:tc>
        <w:tc>
          <w:tcPr>
            <w:tcW w:w="470" w:type="pct"/>
            <w:vAlign w:val="center"/>
          </w:tcPr>
          <w:p w14:paraId="39DA1BC1">
            <w:pPr>
              <w:jc w:val="center"/>
              <w:rPr>
                <w:rFonts w:ascii="Times New Roman"/>
                <w:sz w:val="21"/>
                <w:szCs w:val="21"/>
              </w:rPr>
            </w:pPr>
            <w:r>
              <w:rPr>
                <w:rFonts w:ascii="Times New Roman"/>
                <w:sz w:val="21"/>
                <w:szCs w:val="21"/>
              </w:rPr>
              <w:t>1</w:t>
            </w:r>
          </w:p>
        </w:tc>
      </w:tr>
      <w:tr w14:paraId="1B14B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BB3BF26">
            <w:pPr>
              <w:jc w:val="center"/>
              <w:rPr>
                <w:rFonts w:ascii="Times New Roman"/>
                <w:sz w:val="21"/>
                <w:szCs w:val="21"/>
              </w:rPr>
            </w:pPr>
            <w:r>
              <w:rPr>
                <w:rFonts w:ascii="Times New Roman"/>
                <w:sz w:val="21"/>
                <w:szCs w:val="21"/>
              </w:rPr>
              <w:t>62</w:t>
            </w:r>
          </w:p>
        </w:tc>
        <w:tc>
          <w:tcPr>
            <w:tcW w:w="413" w:type="pct"/>
            <w:vMerge w:val="continue"/>
            <w:vAlign w:val="center"/>
          </w:tcPr>
          <w:p w14:paraId="003B3A8B">
            <w:pPr>
              <w:jc w:val="center"/>
              <w:rPr>
                <w:rFonts w:ascii="Times New Roman"/>
                <w:sz w:val="21"/>
                <w:szCs w:val="21"/>
              </w:rPr>
            </w:pPr>
          </w:p>
        </w:tc>
        <w:tc>
          <w:tcPr>
            <w:tcW w:w="616" w:type="pct"/>
            <w:vMerge w:val="continue"/>
            <w:vAlign w:val="center"/>
          </w:tcPr>
          <w:p w14:paraId="4E24A280">
            <w:pPr>
              <w:jc w:val="center"/>
              <w:rPr>
                <w:rFonts w:ascii="Times New Roman"/>
                <w:sz w:val="21"/>
                <w:szCs w:val="21"/>
              </w:rPr>
            </w:pPr>
          </w:p>
        </w:tc>
        <w:tc>
          <w:tcPr>
            <w:tcW w:w="761" w:type="pct"/>
            <w:vMerge w:val="continue"/>
            <w:vAlign w:val="center"/>
          </w:tcPr>
          <w:p w14:paraId="50439929">
            <w:pPr>
              <w:jc w:val="center"/>
              <w:rPr>
                <w:rFonts w:ascii="Times New Roman"/>
                <w:sz w:val="21"/>
                <w:szCs w:val="21"/>
              </w:rPr>
            </w:pPr>
          </w:p>
        </w:tc>
        <w:tc>
          <w:tcPr>
            <w:tcW w:w="965" w:type="pct"/>
            <w:gridSpan w:val="2"/>
            <w:vAlign w:val="center"/>
          </w:tcPr>
          <w:p w14:paraId="452AA45D">
            <w:pPr>
              <w:jc w:val="center"/>
              <w:rPr>
                <w:rFonts w:ascii="Times New Roman"/>
                <w:sz w:val="21"/>
                <w:szCs w:val="21"/>
              </w:rPr>
            </w:pPr>
            <w:r>
              <w:rPr>
                <w:rFonts w:ascii="Times New Roman"/>
                <w:sz w:val="21"/>
                <w:szCs w:val="21"/>
              </w:rPr>
              <w:t>内侧自动焊机</w:t>
            </w:r>
          </w:p>
        </w:tc>
        <w:tc>
          <w:tcPr>
            <w:tcW w:w="1431" w:type="pct"/>
            <w:vAlign w:val="center"/>
          </w:tcPr>
          <w:p w14:paraId="113CB8D8">
            <w:pPr>
              <w:jc w:val="center"/>
              <w:textAlignment w:val="center"/>
              <w:rPr>
                <w:rFonts w:ascii="Times New Roman"/>
                <w:sz w:val="21"/>
                <w:szCs w:val="21"/>
              </w:rPr>
            </w:pPr>
            <w:r>
              <w:rPr>
                <w:rFonts w:ascii="Times New Roman"/>
                <w:sz w:val="21"/>
                <w:szCs w:val="21"/>
              </w:rPr>
              <w:t>/</w:t>
            </w:r>
          </w:p>
        </w:tc>
        <w:tc>
          <w:tcPr>
            <w:tcW w:w="470" w:type="pct"/>
            <w:vAlign w:val="center"/>
          </w:tcPr>
          <w:p w14:paraId="69D529E2">
            <w:pPr>
              <w:jc w:val="center"/>
              <w:rPr>
                <w:rFonts w:ascii="Times New Roman"/>
                <w:sz w:val="21"/>
                <w:szCs w:val="21"/>
              </w:rPr>
            </w:pPr>
            <w:r>
              <w:rPr>
                <w:rFonts w:ascii="Times New Roman"/>
                <w:sz w:val="21"/>
                <w:szCs w:val="21"/>
              </w:rPr>
              <w:t>1</w:t>
            </w:r>
          </w:p>
        </w:tc>
      </w:tr>
      <w:tr w14:paraId="3E4B5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A8921CC">
            <w:pPr>
              <w:jc w:val="center"/>
              <w:rPr>
                <w:rFonts w:ascii="Times New Roman"/>
                <w:sz w:val="21"/>
                <w:szCs w:val="21"/>
              </w:rPr>
            </w:pPr>
            <w:r>
              <w:rPr>
                <w:rFonts w:ascii="Times New Roman"/>
                <w:sz w:val="21"/>
                <w:szCs w:val="21"/>
              </w:rPr>
              <w:t>63</w:t>
            </w:r>
          </w:p>
        </w:tc>
        <w:tc>
          <w:tcPr>
            <w:tcW w:w="413" w:type="pct"/>
            <w:vMerge w:val="continue"/>
            <w:vAlign w:val="center"/>
          </w:tcPr>
          <w:p w14:paraId="47D70156">
            <w:pPr>
              <w:jc w:val="center"/>
              <w:rPr>
                <w:rFonts w:ascii="Times New Roman"/>
                <w:sz w:val="21"/>
                <w:szCs w:val="21"/>
              </w:rPr>
            </w:pPr>
          </w:p>
        </w:tc>
        <w:tc>
          <w:tcPr>
            <w:tcW w:w="616" w:type="pct"/>
            <w:vMerge w:val="continue"/>
            <w:vAlign w:val="center"/>
          </w:tcPr>
          <w:p w14:paraId="42BABD0A">
            <w:pPr>
              <w:jc w:val="center"/>
              <w:rPr>
                <w:rFonts w:ascii="Times New Roman"/>
                <w:sz w:val="21"/>
                <w:szCs w:val="21"/>
              </w:rPr>
            </w:pPr>
          </w:p>
        </w:tc>
        <w:tc>
          <w:tcPr>
            <w:tcW w:w="761" w:type="pct"/>
            <w:vMerge w:val="continue"/>
            <w:vAlign w:val="center"/>
          </w:tcPr>
          <w:p w14:paraId="42AD78AC">
            <w:pPr>
              <w:jc w:val="center"/>
              <w:rPr>
                <w:rFonts w:ascii="Times New Roman"/>
                <w:sz w:val="21"/>
                <w:szCs w:val="21"/>
              </w:rPr>
            </w:pPr>
          </w:p>
        </w:tc>
        <w:tc>
          <w:tcPr>
            <w:tcW w:w="965" w:type="pct"/>
            <w:gridSpan w:val="2"/>
            <w:vAlign w:val="center"/>
          </w:tcPr>
          <w:p w14:paraId="5B3E6C69">
            <w:pPr>
              <w:jc w:val="center"/>
              <w:rPr>
                <w:rFonts w:ascii="Times New Roman"/>
                <w:sz w:val="21"/>
                <w:szCs w:val="21"/>
              </w:rPr>
            </w:pPr>
            <w:r>
              <w:rPr>
                <w:rFonts w:ascii="Times New Roman"/>
                <w:sz w:val="21"/>
                <w:szCs w:val="21"/>
              </w:rPr>
              <w:t>外侧自动焊机</w:t>
            </w:r>
          </w:p>
        </w:tc>
        <w:tc>
          <w:tcPr>
            <w:tcW w:w="1431" w:type="pct"/>
            <w:vAlign w:val="center"/>
          </w:tcPr>
          <w:p w14:paraId="6A2FBCBF">
            <w:pPr>
              <w:jc w:val="center"/>
              <w:rPr>
                <w:rFonts w:ascii="Times New Roman"/>
                <w:sz w:val="21"/>
                <w:szCs w:val="21"/>
              </w:rPr>
            </w:pPr>
            <w:r>
              <w:rPr>
                <w:rFonts w:ascii="Times New Roman"/>
                <w:sz w:val="21"/>
                <w:szCs w:val="21"/>
              </w:rPr>
              <w:t>/</w:t>
            </w:r>
          </w:p>
        </w:tc>
        <w:tc>
          <w:tcPr>
            <w:tcW w:w="470" w:type="pct"/>
            <w:vAlign w:val="center"/>
          </w:tcPr>
          <w:p w14:paraId="7E9469B0">
            <w:pPr>
              <w:jc w:val="center"/>
              <w:rPr>
                <w:rFonts w:ascii="Times New Roman"/>
                <w:spacing w:val="-2"/>
                <w:sz w:val="21"/>
                <w:szCs w:val="21"/>
              </w:rPr>
            </w:pPr>
            <w:r>
              <w:rPr>
                <w:rFonts w:ascii="Times New Roman"/>
                <w:sz w:val="21"/>
                <w:szCs w:val="21"/>
              </w:rPr>
              <w:t>2</w:t>
            </w:r>
          </w:p>
        </w:tc>
      </w:tr>
      <w:tr w14:paraId="7A2AB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254FE49">
            <w:pPr>
              <w:jc w:val="center"/>
              <w:rPr>
                <w:rFonts w:ascii="Times New Roman"/>
                <w:sz w:val="21"/>
                <w:szCs w:val="21"/>
              </w:rPr>
            </w:pPr>
            <w:r>
              <w:rPr>
                <w:rFonts w:ascii="Times New Roman"/>
                <w:sz w:val="21"/>
                <w:szCs w:val="21"/>
              </w:rPr>
              <w:t>64</w:t>
            </w:r>
          </w:p>
        </w:tc>
        <w:tc>
          <w:tcPr>
            <w:tcW w:w="413" w:type="pct"/>
            <w:vMerge w:val="continue"/>
            <w:vAlign w:val="center"/>
          </w:tcPr>
          <w:p w14:paraId="0ED0464A">
            <w:pPr>
              <w:jc w:val="center"/>
              <w:rPr>
                <w:rFonts w:ascii="Times New Roman"/>
                <w:sz w:val="21"/>
                <w:szCs w:val="21"/>
              </w:rPr>
            </w:pPr>
          </w:p>
        </w:tc>
        <w:tc>
          <w:tcPr>
            <w:tcW w:w="616" w:type="pct"/>
            <w:vMerge w:val="continue"/>
            <w:vAlign w:val="center"/>
          </w:tcPr>
          <w:p w14:paraId="543CEF6C">
            <w:pPr>
              <w:jc w:val="center"/>
              <w:rPr>
                <w:rFonts w:ascii="Times New Roman"/>
                <w:sz w:val="21"/>
                <w:szCs w:val="21"/>
              </w:rPr>
            </w:pPr>
          </w:p>
        </w:tc>
        <w:tc>
          <w:tcPr>
            <w:tcW w:w="761" w:type="pct"/>
            <w:vMerge w:val="restart"/>
            <w:vAlign w:val="center"/>
          </w:tcPr>
          <w:p w14:paraId="7F9FECFE">
            <w:pPr>
              <w:jc w:val="center"/>
              <w:rPr>
                <w:rFonts w:ascii="Times New Roman"/>
                <w:sz w:val="21"/>
                <w:szCs w:val="21"/>
              </w:rPr>
            </w:pPr>
            <w:r>
              <w:rPr>
                <w:rFonts w:ascii="Times New Roman"/>
                <w:kern w:val="0"/>
                <w:sz w:val="21"/>
                <w:szCs w:val="21"/>
              </w:rPr>
              <w:t>键连接轴、筒体组装焊接区</w:t>
            </w:r>
          </w:p>
        </w:tc>
        <w:tc>
          <w:tcPr>
            <w:tcW w:w="965" w:type="pct"/>
            <w:gridSpan w:val="2"/>
            <w:vAlign w:val="center"/>
          </w:tcPr>
          <w:p w14:paraId="52BA6BB1">
            <w:pPr>
              <w:jc w:val="center"/>
              <w:rPr>
                <w:rFonts w:ascii="Times New Roman"/>
                <w:sz w:val="21"/>
                <w:szCs w:val="21"/>
              </w:rPr>
            </w:pPr>
            <w:r>
              <w:rPr>
                <w:rFonts w:ascii="Times New Roman"/>
                <w:sz w:val="21"/>
                <w:szCs w:val="21"/>
              </w:rPr>
              <w:t>加热设备</w:t>
            </w:r>
          </w:p>
          <w:p w14:paraId="63D15C6E">
            <w:pPr>
              <w:jc w:val="center"/>
              <w:rPr>
                <w:rFonts w:ascii="Times New Roman"/>
                <w:sz w:val="21"/>
                <w:szCs w:val="21"/>
              </w:rPr>
            </w:pPr>
            <w:r>
              <w:rPr>
                <w:rFonts w:ascii="Times New Roman"/>
                <w:sz w:val="21"/>
                <w:szCs w:val="21"/>
              </w:rPr>
              <w:t>（电能加热）</w:t>
            </w:r>
          </w:p>
        </w:tc>
        <w:tc>
          <w:tcPr>
            <w:tcW w:w="1431" w:type="pct"/>
            <w:vAlign w:val="center"/>
          </w:tcPr>
          <w:p w14:paraId="2AFBC645">
            <w:pPr>
              <w:jc w:val="center"/>
              <w:textAlignment w:val="center"/>
              <w:rPr>
                <w:rFonts w:ascii="Times New Roman"/>
                <w:sz w:val="21"/>
                <w:szCs w:val="21"/>
              </w:rPr>
            </w:pPr>
            <w:r>
              <w:rPr>
                <w:rFonts w:ascii="Times New Roman"/>
                <w:sz w:val="21"/>
                <w:szCs w:val="21"/>
              </w:rPr>
              <w:t>/</w:t>
            </w:r>
          </w:p>
        </w:tc>
        <w:tc>
          <w:tcPr>
            <w:tcW w:w="470" w:type="pct"/>
            <w:vAlign w:val="center"/>
          </w:tcPr>
          <w:p w14:paraId="5C01D10B">
            <w:pPr>
              <w:jc w:val="center"/>
              <w:rPr>
                <w:rFonts w:ascii="Times New Roman"/>
                <w:spacing w:val="-2"/>
                <w:sz w:val="21"/>
                <w:szCs w:val="21"/>
              </w:rPr>
            </w:pPr>
            <w:r>
              <w:rPr>
                <w:rFonts w:ascii="Times New Roman"/>
                <w:sz w:val="21"/>
                <w:szCs w:val="21"/>
              </w:rPr>
              <w:t>3</w:t>
            </w:r>
          </w:p>
        </w:tc>
      </w:tr>
      <w:tr w14:paraId="4B6DE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2E44DB7">
            <w:pPr>
              <w:jc w:val="center"/>
              <w:rPr>
                <w:rFonts w:ascii="Times New Roman"/>
                <w:sz w:val="21"/>
                <w:szCs w:val="21"/>
              </w:rPr>
            </w:pPr>
            <w:r>
              <w:rPr>
                <w:rFonts w:ascii="Times New Roman"/>
                <w:sz w:val="21"/>
                <w:szCs w:val="21"/>
              </w:rPr>
              <w:t>65</w:t>
            </w:r>
          </w:p>
        </w:tc>
        <w:tc>
          <w:tcPr>
            <w:tcW w:w="413" w:type="pct"/>
            <w:vMerge w:val="continue"/>
            <w:vAlign w:val="center"/>
          </w:tcPr>
          <w:p w14:paraId="4D0DC361">
            <w:pPr>
              <w:jc w:val="center"/>
              <w:rPr>
                <w:rFonts w:ascii="Times New Roman"/>
                <w:sz w:val="21"/>
                <w:szCs w:val="21"/>
              </w:rPr>
            </w:pPr>
          </w:p>
        </w:tc>
        <w:tc>
          <w:tcPr>
            <w:tcW w:w="616" w:type="pct"/>
            <w:vMerge w:val="continue"/>
            <w:vAlign w:val="center"/>
          </w:tcPr>
          <w:p w14:paraId="46B9BB9E">
            <w:pPr>
              <w:jc w:val="center"/>
              <w:rPr>
                <w:rFonts w:ascii="Times New Roman"/>
                <w:sz w:val="21"/>
                <w:szCs w:val="21"/>
              </w:rPr>
            </w:pPr>
          </w:p>
        </w:tc>
        <w:tc>
          <w:tcPr>
            <w:tcW w:w="761" w:type="pct"/>
            <w:vMerge w:val="continue"/>
            <w:vAlign w:val="center"/>
          </w:tcPr>
          <w:p w14:paraId="49323620">
            <w:pPr>
              <w:jc w:val="center"/>
              <w:rPr>
                <w:rFonts w:ascii="Times New Roman"/>
                <w:sz w:val="21"/>
                <w:szCs w:val="21"/>
              </w:rPr>
            </w:pPr>
          </w:p>
        </w:tc>
        <w:tc>
          <w:tcPr>
            <w:tcW w:w="965" w:type="pct"/>
            <w:gridSpan w:val="2"/>
            <w:vAlign w:val="center"/>
          </w:tcPr>
          <w:p w14:paraId="4902571E">
            <w:pPr>
              <w:jc w:val="center"/>
              <w:rPr>
                <w:rFonts w:ascii="Times New Roman"/>
                <w:sz w:val="21"/>
                <w:szCs w:val="21"/>
              </w:rPr>
            </w:pPr>
            <w:r>
              <w:rPr>
                <w:rFonts w:ascii="Times New Roman"/>
                <w:sz w:val="21"/>
                <w:szCs w:val="21"/>
              </w:rPr>
              <w:t>焊机</w:t>
            </w:r>
          </w:p>
        </w:tc>
        <w:tc>
          <w:tcPr>
            <w:tcW w:w="1431" w:type="pct"/>
            <w:vAlign w:val="center"/>
          </w:tcPr>
          <w:p w14:paraId="435E6A6F">
            <w:pPr>
              <w:jc w:val="center"/>
              <w:rPr>
                <w:rFonts w:ascii="Times New Roman"/>
                <w:sz w:val="21"/>
                <w:szCs w:val="21"/>
              </w:rPr>
            </w:pPr>
            <w:r>
              <w:rPr>
                <w:rFonts w:ascii="Times New Roman"/>
                <w:sz w:val="21"/>
                <w:szCs w:val="21"/>
              </w:rPr>
              <w:t>/</w:t>
            </w:r>
          </w:p>
        </w:tc>
        <w:tc>
          <w:tcPr>
            <w:tcW w:w="470" w:type="pct"/>
            <w:vAlign w:val="center"/>
          </w:tcPr>
          <w:p w14:paraId="646672AD">
            <w:pPr>
              <w:jc w:val="center"/>
              <w:rPr>
                <w:rFonts w:ascii="Times New Roman"/>
                <w:spacing w:val="-3"/>
                <w:sz w:val="21"/>
                <w:szCs w:val="21"/>
              </w:rPr>
            </w:pPr>
            <w:r>
              <w:rPr>
                <w:rFonts w:ascii="Times New Roman"/>
                <w:sz w:val="21"/>
                <w:szCs w:val="21"/>
              </w:rPr>
              <w:t>4</w:t>
            </w:r>
          </w:p>
        </w:tc>
      </w:tr>
      <w:tr w14:paraId="4A4CF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8566632">
            <w:pPr>
              <w:jc w:val="center"/>
              <w:rPr>
                <w:rFonts w:ascii="Times New Roman"/>
                <w:sz w:val="21"/>
                <w:szCs w:val="21"/>
              </w:rPr>
            </w:pPr>
            <w:r>
              <w:rPr>
                <w:rFonts w:ascii="Times New Roman"/>
                <w:sz w:val="21"/>
                <w:szCs w:val="21"/>
              </w:rPr>
              <w:t>66</w:t>
            </w:r>
          </w:p>
        </w:tc>
        <w:tc>
          <w:tcPr>
            <w:tcW w:w="413" w:type="pct"/>
            <w:vMerge w:val="continue"/>
            <w:vAlign w:val="center"/>
          </w:tcPr>
          <w:p w14:paraId="4995D3CE">
            <w:pPr>
              <w:jc w:val="center"/>
              <w:rPr>
                <w:rFonts w:ascii="Times New Roman"/>
                <w:sz w:val="21"/>
                <w:szCs w:val="21"/>
              </w:rPr>
            </w:pPr>
          </w:p>
        </w:tc>
        <w:tc>
          <w:tcPr>
            <w:tcW w:w="616" w:type="pct"/>
            <w:vMerge w:val="restart"/>
            <w:vAlign w:val="center"/>
          </w:tcPr>
          <w:p w14:paraId="0F9C9F47">
            <w:pPr>
              <w:jc w:val="center"/>
              <w:rPr>
                <w:rFonts w:ascii="Times New Roman"/>
                <w:sz w:val="21"/>
                <w:szCs w:val="21"/>
              </w:rPr>
            </w:pPr>
            <w:r>
              <w:rPr>
                <w:rFonts w:ascii="Times New Roman"/>
                <w:sz w:val="21"/>
                <w:szCs w:val="21"/>
              </w:rPr>
              <w:t>滚筒热处理区</w:t>
            </w:r>
          </w:p>
        </w:tc>
        <w:tc>
          <w:tcPr>
            <w:tcW w:w="761" w:type="pct"/>
            <w:vMerge w:val="restart"/>
            <w:vAlign w:val="center"/>
          </w:tcPr>
          <w:p w14:paraId="66237EE5">
            <w:pPr>
              <w:jc w:val="center"/>
              <w:rPr>
                <w:rFonts w:ascii="Times New Roman"/>
                <w:sz w:val="21"/>
                <w:szCs w:val="21"/>
              </w:rPr>
            </w:pPr>
            <w:r>
              <w:rPr>
                <w:rFonts w:ascii="Times New Roman"/>
                <w:kern w:val="0"/>
                <w:sz w:val="21"/>
                <w:szCs w:val="21"/>
              </w:rPr>
              <w:t>滚筒热处理区</w:t>
            </w:r>
          </w:p>
        </w:tc>
        <w:tc>
          <w:tcPr>
            <w:tcW w:w="965" w:type="pct"/>
            <w:gridSpan w:val="2"/>
            <w:vAlign w:val="center"/>
          </w:tcPr>
          <w:p w14:paraId="26CDA2F2">
            <w:pPr>
              <w:jc w:val="center"/>
              <w:rPr>
                <w:rFonts w:ascii="Times New Roman"/>
                <w:sz w:val="21"/>
                <w:szCs w:val="21"/>
              </w:rPr>
            </w:pPr>
            <w:r>
              <w:rPr>
                <w:rFonts w:ascii="Times New Roman"/>
                <w:sz w:val="21"/>
                <w:szCs w:val="21"/>
              </w:rPr>
              <w:t>大台车炉</w:t>
            </w:r>
          </w:p>
          <w:p w14:paraId="2DC722D4">
            <w:pPr>
              <w:jc w:val="center"/>
              <w:rPr>
                <w:rFonts w:ascii="Times New Roman"/>
                <w:sz w:val="21"/>
                <w:szCs w:val="21"/>
              </w:rPr>
            </w:pPr>
            <w:r>
              <w:rPr>
                <w:rFonts w:ascii="Times New Roman"/>
                <w:sz w:val="21"/>
                <w:szCs w:val="21"/>
              </w:rPr>
              <w:t>（天然气加热）</w:t>
            </w:r>
          </w:p>
        </w:tc>
        <w:tc>
          <w:tcPr>
            <w:tcW w:w="1431" w:type="pct"/>
            <w:vAlign w:val="center"/>
          </w:tcPr>
          <w:p w14:paraId="4B991CD0">
            <w:pPr>
              <w:jc w:val="center"/>
              <w:rPr>
                <w:rFonts w:ascii="Times New Roman"/>
                <w:sz w:val="21"/>
                <w:szCs w:val="21"/>
              </w:rPr>
            </w:pPr>
            <w:r>
              <w:rPr>
                <w:rFonts w:ascii="Times New Roman"/>
                <w:sz w:val="21"/>
                <w:szCs w:val="21"/>
              </w:rPr>
              <w:t>/</w:t>
            </w:r>
          </w:p>
        </w:tc>
        <w:tc>
          <w:tcPr>
            <w:tcW w:w="470" w:type="pct"/>
            <w:vAlign w:val="center"/>
          </w:tcPr>
          <w:p w14:paraId="3EC872E0">
            <w:pPr>
              <w:jc w:val="center"/>
              <w:rPr>
                <w:rFonts w:ascii="Times New Roman"/>
                <w:spacing w:val="-3"/>
                <w:sz w:val="21"/>
                <w:szCs w:val="21"/>
              </w:rPr>
            </w:pPr>
            <w:r>
              <w:rPr>
                <w:rFonts w:ascii="Times New Roman"/>
                <w:sz w:val="21"/>
                <w:szCs w:val="21"/>
              </w:rPr>
              <w:t>1</w:t>
            </w:r>
          </w:p>
        </w:tc>
      </w:tr>
      <w:tr w14:paraId="0C98B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B4D3391">
            <w:pPr>
              <w:jc w:val="center"/>
              <w:rPr>
                <w:rFonts w:ascii="Times New Roman"/>
                <w:sz w:val="21"/>
                <w:szCs w:val="21"/>
              </w:rPr>
            </w:pPr>
            <w:r>
              <w:rPr>
                <w:rFonts w:ascii="Times New Roman"/>
                <w:sz w:val="21"/>
                <w:szCs w:val="21"/>
              </w:rPr>
              <w:t>67</w:t>
            </w:r>
          </w:p>
        </w:tc>
        <w:tc>
          <w:tcPr>
            <w:tcW w:w="413" w:type="pct"/>
            <w:vMerge w:val="continue"/>
            <w:vAlign w:val="center"/>
          </w:tcPr>
          <w:p w14:paraId="4CDC1DA8">
            <w:pPr>
              <w:jc w:val="center"/>
              <w:rPr>
                <w:rFonts w:ascii="Times New Roman"/>
                <w:sz w:val="21"/>
                <w:szCs w:val="21"/>
              </w:rPr>
            </w:pPr>
          </w:p>
        </w:tc>
        <w:tc>
          <w:tcPr>
            <w:tcW w:w="616" w:type="pct"/>
            <w:vMerge w:val="continue"/>
            <w:vAlign w:val="center"/>
          </w:tcPr>
          <w:p w14:paraId="18346FE4">
            <w:pPr>
              <w:jc w:val="center"/>
              <w:rPr>
                <w:rFonts w:ascii="Times New Roman"/>
                <w:sz w:val="21"/>
                <w:szCs w:val="21"/>
              </w:rPr>
            </w:pPr>
          </w:p>
        </w:tc>
        <w:tc>
          <w:tcPr>
            <w:tcW w:w="761" w:type="pct"/>
            <w:vMerge w:val="continue"/>
            <w:vAlign w:val="center"/>
          </w:tcPr>
          <w:p w14:paraId="71A30AE9">
            <w:pPr>
              <w:jc w:val="center"/>
              <w:rPr>
                <w:rFonts w:ascii="Times New Roman"/>
                <w:sz w:val="21"/>
                <w:szCs w:val="21"/>
              </w:rPr>
            </w:pPr>
          </w:p>
        </w:tc>
        <w:tc>
          <w:tcPr>
            <w:tcW w:w="965" w:type="pct"/>
            <w:gridSpan w:val="2"/>
            <w:vAlign w:val="center"/>
          </w:tcPr>
          <w:p w14:paraId="2422D542">
            <w:pPr>
              <w:jc w:val="center"/>
              <w:rPr>
                <w:rFonts w:ascii="Times New Roman"/>
                <w:sz w:val="21"/>
                <w:szCs w:val="21"/>
              </w:rPr>
            </w:pPr>
            <w:r>
              <w:rPr>
                <w:rFonts w:ascii="Times New Roman"/>
                <w:sz w:val="21"/>
                <w:szCs w:val="21"/>
              </w:rPr>
              <w:t>小台车炉</w:t>
            </w:r>
          </w:p>
          <w:p w14:paraId="00E76276">
            <w:pPr>
              <w:jc w:val="center"/>
              <w:rPr>
                <w:rFonts w:ascii="Times New Roman"/>
                <w:sz w:val="21"/>
                <w:szCs w:val="21"/>
              </w:rPr>
            </w:pPr>
            <w:r>
              <w:rPr>
                <w:rFonts w:ascii="Times New Roman"/>
                <w:sz w:val="21"/>
                <w:szCs w:val="21"/>
              </w:rPr>
              <w:t>（天然气加热）</w:t>
            </w:r>
          </w:p>
        </w:tc>
        <w:tc>
          <w:tcPr>
            <w:tcW w:w="1431" w:type="pct"/>
            <w:vAlign w:val="center"/>
          </w:tcPr>
          <w:p w14:paraId="21425F4F">
            <w:pPr>
              <w:jc w:val="center"/>
              <w:textAlignment w:val="center"/>
              <w:rPr>
                <w:rFonts w:ascii="Times New Roman"/>
                <w:sz w:val="21"/>
                <w:szCs w:val="21"/>
              </w:rPr>
            </w:pPr>
            <w:r>
              <w:rPr>
                <w:rFonts w:ascii="Times New Roman"/>
                <w:sz w:val="21"/>
                <w:szCs w:val="21"/>
              </w:rPr>
              <w:t>/</w:t>
            </w:r>
          </w:p>
        </w:tc>
        <w:tc>
          <w:tcPr>
            <w:tcW w:w="470" w:type="pct"/>
            <w:vAlign w:val="center"/>
          </w:tcPr>
          <w:p w14:paraId="213E1E48">
            <w:pPr>
              <w:jc w:val="center"/>
              <w:rPr>
                <w:rFonts w:ascii="Times New Roman"/>
                <w:sz w:val="21"/>
                <w:szCs w:val="21"/>
              </w:rPr>
            </w:pPr>
            <w:r>
              <w:rPr>
                <w:rFonts w:ascii="Times New Roman"/>
                <w:sz w:val="21"/>
                <w:szCs w:val="21"/>
              </w:rPr>
              <w:t>1</w:t>
            </w:r>
          </w:p>
        </w:tc>
      </w:tr>
      <w:tr w14:paraId="755C8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8C7B546">
            <w:pPr>
              <w:jc w:val="center"/>
              <w:rPr>
                <w:rFonts w:ascii="Times New Roman"/>
                <w:sz w:val="21"/>
                <w:szCs w:val="21"/>
              </w:rPr>
            </w:pPr>
            <w:r>
              <w:rPr>
                <w:rFonts w:ascii="Times New Roman"/>
                <w:sz w:val="21"/>
                <w:szCs w:val="21"/>
              </w:rPr>
              <w:t>68</w:t>
            </w:r>
          </w:p>
        </w:tc>
        <w:tc>
          <w:tcPr>
            <w:tcW w:w="413" w:type="pct"/>
            <w:vMerge w:val="continue"/>
            <w:vAlign w:val="center"/>
          </w:tcPr>
          <w:p w14:paraId="73B9580B">
            <w:pPr>
              <w:jc w:val="center"/>
              <w:rPr>
                <w:rFonts w:ascii="Times New Roman"/>
                <w:sz w:val="21"/>
                <w:szCs w:val="21"/>
              </w:rPr>
            </w:pPr>
          </w:p>
        </w:tc>
        <w:tc>
          <w:tcPr>
            <w:tcW w:w="616" w:type="pct"/>
            <w:vMerge w:val="continue"/>
            <w:vAlign w:val="center"/>
          </w:tcPr>
          <w:p w14:paraId="1AB2D047">
            <w:pPr>
              <w:jc w:val="center"/>
              <w:rPr>
                <w:rFonts w:ascii="Times New Roman"/>
                <w:sz w:val="21"/>
                <w:szCs w:val="21"/>
              </w:rPr>
            </w:pPr>
          </w:p>
        </w:tc>
        <w:tc>
          <w:tcPr>
            <w:tcW w:w="761" w:type="pct"/>
            <w:vMerge w:val="continue"/>
            <w:vAlign w:val="center"/>
          </w:tcPr>
          <w:p w14:paraId="0DC38D34">
            <w:pPr>
              <w:jc w:val="center"/>
              <w:rPr>
                <w:rFonts w:ascii="Times New Roman"/>
                <w:sz w:val="21"/>
                <w:szCs w:val="21"/>
              </w:rPr>
            </w:pPr>
          </w:p>
        </w:tc>
        <w:tc>
          <w:tcPr>
            <w:tcW w:w="965" w:type="pct"/>
            <w:gridSpan w:val="2"/>
            <w:vAlign w:val="center"/>
          </w:tcPr>
          <w:p w14:paraId="26EE5540">
            <w:pPr>
              <w:jc w:val="center"/>
              <w:rPr>
                <w:rFonts w:ascii="Times New Roman"/>
                <w:sz w:val="21"/>
                <w:szCs w:val="21"/>
              </w:rPr>
            </w:pPr>
            <w:r>
              <w:rPr>
                <w:rFonts w:ascii="Times New Roman"/>
                <w:sz w:val="21"/>
                <w:szCs w:val="21"/>
              </w:rPr>
              <w:t>进出炉移栽机</w:t>
            </w:r>
          </w:p>
        </w:tc>
        <w:tc>
          <w:tcPr>
            <w:tcW w:w="1431" w:type="pct"/>
            <w:vAlign w:val="center"/>
          </w:tcPr>
          <w:p w14:paraId="30E33948">
            <w:pPr>
              <w:jc w:val="center"/>
              <w:rPr>
                <w:rFonts w:ascii="Times New Roman"/>
                <w:sz w:val="21"/>
                <w:szCs w:val="21"/>
              </w:rPr>
            </w:pPr>
            <w:r>
              <w:rPr>
                <w:rFonts w:ascii="Times New Roman"/>
                <w:sz w:val="21"/>
                <w:szCs w:val="21"/>
              </w:rPr>
              <w:t>/</w:t>
            </w:r>
          </w:p>
        </w:tc>
        <w:tc>
          <w:tcPr>
            <w:tcW w:w="470" w:type="pct"/>
            <w:vAlign w:val="center"/>
          </w:tcPr>
          <w:p w14:paraId="6E3AE27B">
            <w:pPr>
              <w:jc w:val="center"/>
              <w:rPr>
                <w:rFonts w:ascii="Times New Roman"/>
                <w:sz w:val="21"/>
                <w:szCs w:val="21"/>
              </w:rPr>
            </w:pPr>
            <w:r>
              <w:rPr>
                <w:rFonts w:ascii="Times New Roman"/>
                <w:sz w:val="21"/>
                <w:szCs w:val="21"/>
              </w:rPr>
              <w:t>2</w:t>
            </w:r>
          </w:p>
        </w:tc>
      </w:tr>
      <w:tr w14:paraId="22441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14CE5FD">
            <w:pPr>
              <w:jc w:val="center"/>
              <w:rPr>
                <w:rFonts w:ascii="Times New Roman"/>
                <w:sz w:val="21"/>
                <w:szCs w:val="21"/>
              </w:rPr>
            </w:pPr>
            <w:r>
              <w:rPr>
                <w:rFonts w:ascii="Times New Roman"/>
                <w:sz w:val="21"/>
                <w:szCs w:val="21"/>
              </w:rPr>
              <w:t>69</w:t>
            </w:r>
          </w:p>
        </w:tc>
        <w:tc>
          <w:tcPr>
            <w:tcW w:w="413" w:type="pct"/>
            <w:vMerge w:val="continue"/>
            <w:vAlign w:val="center"/>
          </w:tcPr>
          <w:p w14:paraId="219ADA32">
            <w:pPr>
              <w:jc w:val="center"/>
              <w:rPr>
                <w:rFonts w:ascii="Times New Roman"/>
                <w:sz w:val="21"/>
                <w:szCs w:val="21"/>
              </w:rPr>
            </w:pPr>
          </w:p>
        </w:tc>
        <w:tc>
          <w:tcPr>
            <w:tcW w:w="616" w:type="pct"/>
            <w:vMerge w:val="restart"/>
            <w:vAlign w:val="center"/>
          </w:tcPr>
          <w:p w14:paraId="15D6BD46">
            <w:pPr>
              <w:jc w:val="center"/>
              <w:rPr>
                <w:rFonts w:ascii="Times New Roman"/>
                <w:sz w:val="21"/>
                <w:szCs w:val="21"/>
              </w:rPr>
            </w:pPr>
            <w:r>
              <w:rPr>
                <w:rFonts w:ascii="Times New Roman"/>
                <w:sz w:val="21"/>
                <w:szCs w:val="21"/>
              </w:rPr>
              <w:t>滚筒热处理后除氧化皮</w:t>
            </w:r>
          </w:p>
        </w:tc>
        <w:tc>
          <w:tcPr>
            <w:tcW w:w="761" w:type="pct"/>
            <w:vMerge w:val="restart"/>
            <w:vAlign w:val="center"/>
          </w:tcPr>
          <w:p w14:paraId="053B7353">
            <w:pPr>
              <w:jc w:val="center"/>
              <w:rPr>
                <w:rFonts w:ascii="Times New Roman"/>
                <w:sz w:val="21"/>
                <w:szCs w:val="21"/>
              </w:rPr>
            </w:pPr>
            <w:r>
              <w:rPr>
                <w:rFonts w:ascii="Times New Roman"/>
                <w:kern w:val="0"/>
                <w:sz w:val="21"/>
                <w:szCs w:val="21"/>
              </w:rPr>
              <w:t>滚筒热处理后除氧化皮</w:t>
            </w:r>
          </w:p>
        </w:tc>
        <w:tc>
          <w:tcPr>
            <w:tcW w:w="965" w:type="pct"/>
            <w:gridSpan w:val="2"/>
            <w:vAlign w:val="center"/>
          </w:tcPr>
          <w:p w14:paraId="75CDAAB5">
            <w:pPr>
              <w:widowControl/>
              <w:jc w:val="center"/>
              <w:textAlignment w:val="center"/>
              <w:rPr>
                <w:rFonts w:ascii="Times New Roman" w:eastAsiaTheme="minorEastAsia"/>
                <w:sz w:val="21"/>
                <w:szCs w:val="21"/>
              </w:rPr>
            </w:pPr>
            <w:r>
              <w:rPr>
                <w:rFonts w:ascii="Times New Roman"/>
                <w:sz w:val="21"/>
                <w:szCs w:val="21"/>
              </w:rPr>
              <w:t>激光除锈机</w:t>
            </w:r>
          </w:p>
        </w:tc>
        <w:tc>
          <w:tcPr>
            <w:tcW w:w="1431" w:type="pct"/>
            <w:shd w:val="clear" w:color="auto" w:fill="auto"/>
            <w:vAlign w:val="center"/>
          </w:tcPr>
          <w:p w14:paraId="46E80F98">
            <w:pPr>
              <w:jc w:val="center"/>
              <w:textAlignment w:val="center"/>
              <w:rPr>
                <w:rFonts w:ascii="Times New Roman" w:eastAsiaTheme="minorEastAsia"/>
                <w:sz w:val="21"/>
                <w:szCs w:val="21"/>
              </w:rPr>
            </w:pPr>
            <w:r>
              <w:rPr>
                <w:rFonts w:ascii="Times New Roman"/>
                <w:sz w:val="21"/>
                <w:szCs w:val="21"/>
              </w:rPr>
              <w:t>/</w:t>
            </w:r>
          </w:p>
        </w:tc>
        <w:tc>
          <w:tcPr>
            <w:tcW w:w="470" w:type="pct"/>
            <w:vAlign w:val="center"/>
          </w:tcPr>
          <w:p w14:paraId="0444989D">
            <w:pPr>
              <w:jc w:val="center"/>
              <w:rPr>
                <w:rFonts w:ascii="Times New Roman" w:eastAsiaTheme="minorEastAsia"/>
                <w:sz w:val="21"/>
                <w:szCs w:val="21"/>
              </w:rPr>
            </w:pPr>
            <w:r>
              <w:rPr>
                <w:rFonts w:ascii="Times New Roman"/>
                <w:sz w:val="21"/>
                <w:szCs w:val="21"/>
              </w:rPr>
              <w:t>1</w:t>
            </w:r>
          </w:p>
        </w:tc>
      </w:tr>
      <w:tr w14:paraId="46B14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CCE1035">
            <w:pPr>
              <w:jc w:val="center"/>
              <w:rPr>
                <w:rFonts w:ascii="Times New Roman"/>
                <w:sz w:val="21"/>
                <w:szCs w:val="21"/>
              </w:rPr>
            </w:pPr>
            <w:r>
              <w:rPr>
                <w:rFonts w:ascii="Times New Roman"/>
                <w:sz w:val="21"/>
                <w:szCs w:val="21"/>
              </w:rPr>
              <w:t>70</w:t>
            </w:r>
          </w:p>
        </w:tc>
        <w:tc>
          <w:tcPr>
            <w:tcW w:w="413" w:type="pct"/>
            <w:vMerge w:val="continue"/>
            <w:vAlign w:val="center"/>
          </w:tcPr>
          <w:p w14:paraId="3498A616">
            <w:pPr>
              <w:jc w:val="center"/>
              <w:rPr>
                <w:rFonts w:ascii="Times New Roman"/>
                <w:sz w:val="21"/>
                <w:szCs w:val="21"/>
              </w:rPr>
            </w:pPr>
          </w:p>
        </w:tc>
        <w:tc>
          <w:tcPr>
            <w:tcW w:w="616" w:type="pct"/>
            <w:vMerge w:val="continue"/>
            <w:vAlign w:val="center"/>
          </w:tcPr>
          <w:p w14:paraId="0E2A80ED">
            <w:pPr>
              <w:jc w:val="center"/>
              <w:rPr>
                <w:rFonts w:ascii="Times New Roman"/>
                <w:sz w:val="21"/>
                <w:szCs w:val="21"/>
              </w:rPr>
            </w:pPr>
          </w:p>
        </w:tc>
        <w:tc>
          <w:tcPr>
            <w:tcW w:w="761" w:type="pct"/>
            <w:vMerge w:val="continue"/>
            <w:vAlign w:val="center"/>
          </w:tcPr>
          <w:p w14:paraId="2821D277">
            <w:pPr>
              <w:jc w:val="center"/>
              <w:rPr>
                <w:rFonts w:ascii="Times New Roman"/>
                <w:sz w:val="21"/>
                <w:szCs w:val="21"/>
              </w:rPr>
            </w:pPr>
          </w:p>
        </w:tc>
        <w:tc>
          <w:tcPr>
            <w:tcW w:w="965" w:type="pct"/>
            <w:gridSpan w:val="2"/>
            <w:vAlign w:val="center"/>
          </w:tcPr>
          <w:p w14:paraId="4FEE8BDA">
            <w:pPr>
              <w:jc w:val="center"/>
              <w:rPr>
                <w:rFonts w:ascii="Times New Roman"/>
                <w:sz w:val="21"/>
                <w:szCs w:val="21"/>
              </w:rPr>
            </w:pPr>
            <w:r>
              <w:rPr>
                <w:rFonts w:ascii="Times New Roman"/>
                <w:sz w:val="21"/>
                <w:szCs w:val="21"/>
              </w:rPr>
              <w:t>电动双梁桥式起重机</w:t>
            </w:r>
          </w:p>
        </w:tc>
        <w:tc>
          <w:tcPr>
            <w:tcW w:w="1431" w:type="pct"/>
            <w:shd w:val="clear" w:color="auto" w:fill="auto"/>
            <w:vAlign w:val="center"/>
          </w:tcPr>
          <w:p w14:paraId="538EFE47">
            <w:pPr>
              <w:jc w:val="center"/>
              <w:textAlignment w:val="center"/>
              <w:rPr>
                <w:rFonts w:ascii="Times New Roman" w:eastAsiaTheme="minorEastAsia"/>
                <w:sz w:val="21"/>
                <w:szCs w:val="21"/>
              </w:rPr>
            </w:pPr>
            <w:r>
              <w:rPr>
                <w:rFonts w:ascii="Times New Roman"/>
                <w:sz w:val="21"/>
                <w:szCs w:val="21"/>
              </w:rPr>
              <w:t>/</w:t>
            </w:r>
          </w:p>
        </w:tc>
        <w:tc>
          <w:tcPr>
            <w:tcW w:w="470" w:type="pct"/>
            <w:vAlign w:val="center"/>
          </w:tcPr>
          <w:p w14:paraId="6BA71137">
            <w:pPr>
              <w:jc w:val="center"/>
              <w:rPr>
                <w:rFonts w:ascii="Times New Roman"/>
                <w:spacing w:val="-1"/>
                <w:sz w:val="21"/>
                <w:szCs w:val="21"/>
              </w:rPr>
            </w:pPr>
            <w:r>
              <w:rPr>
                <w:rFonts w:ascii="Times New Roman"/>
                <w:spacing w:val="-6"/>
                <w:sz w:val="21"/>
                <w:szCs w:val="21"/>
              </w:rPr>
              <w:t>12</w:t>
            </w:r>
          </w:p>
        </w:tc>
      </w:tr>
      <w:tr w14:paraId="0DC23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C56AC19">
            <w:pPr>
              <w:jc w:val="center"/>
              <w:rPr>
                <w:rFonts w:ascii="Times New Roman"/>
                <w:sz w:val="21"/>
                <w:szCs w:val="21"/>
              </w:rPr>
            </w:pPr>
            <w:r>
              <w:rPr>
                <w:rFonts w:ascii="Times New Roman"/>
                <w:sz w:val="21"/>
                <w:szCs w:val="21"/>
              </w:rPr>
              <w:t>71</w:t>
            </w:r>
          </w:p>
        </w:tc>
        <w:tc>
          <w:tcPr>
            <w:tcW w:w="413" w:type="pct"/>
            <w:vMerge w:val="continue"/>
            <w:vAlign w:val="center"/>
          </w:tcPr>
          <w:p w14:paraId="66E89900">
            <w:pPr>
              <w:jc w:val="center"/>
              <w:rPr>
                <w:rFonts w:ascii="Times New Roman"/>
                <w:sz w:val="21"/>
                <w:szCs w:val="21"/>
              </w:rPr>
            </w:pPr>
          </w:p>
        </w:tc>
        <w:tc>
          <w:tcPr>
            <w:tcW w:w="616" w:type="pct"/>
            <w:vMerge w:val="restart"/>
            <w:vAlign w:val="center"/>
          </w:tcPr>
          <w:p w14:paraId="7CCBE08C">
            <w:pPr>
              <w:jc w:val="center"/>
              <w:rPr>
                <w:rFonts w:ascii="Times New Roman"/>
                <w:sz w:val="21"/>
                <w:szCs w:val="21"/>
              </w:rPr>
            </w:pPr>
            <w:r>
              <w:rPr>
                <w:rFonts w:ascii="Times New Roman"/>
                <w:sz w:val="21"/>
                <w:szCs w:val="21"/>
              </w:rPr>
              <w:t>装轴前滚筒镗内孔端面区</w:t>
            </w:r>
          </w:p>
        </w:tc>
        <w:tc>
          <w:tcPr>
            <w:tcW w:w="761" w:type="pct"/>
            <w:vMerge w:val="restart"/>
            <w:vAlign w:val="center"/>
          </w:tcPr>
          <w:p w14:paraId="5962DE69">
            <w:pPr>
              <w:jc w:val="center"/>
              <w:rPr>
                <w:rFonts w:ascii="Times New Roman"/>
                <w:sz w:val="21"/>
                <w:szCs w:val="21"/>
              </w:rPr>
            </w:pPr>
            <w:r>
              <w:rPr>
                <w:rFonts w:ascii="Times New Roman"/>
                <w:kern w:val="0"/>
                <w:sz w:val="21"/>
                <w:szCs w:val="21"/>
              </w:rPr>
              <w:t>装轴前滚筒镗内孔端面区</w:t>
            </w:r>
          </w:p>
        </w:tc>
        <w:tc>
          <w:tcPr>
            <w:tcW w:w="965" w:type="pct"/>
            <w:gridSpan w:val="2"/>
            <w:shd w:val="clear" w:color="auto" w:fill="auto"/>
            <w:vAlign w:val="center"/>
          </w:tcPr>
          <w:p w14:paraId="3DE36CDB">
            <w:pPr>
              <w:widowControl/>
              <w:jc w:val="center"/>
              <w:textAlignment w:val="center"/>
              <w:rPr>
                <w:rFonts w:ascii="Times New Roman"/>
                <w:sz w:val="21"/>
                <w:szCs w:val="21"/>
                <w:lang w:eastAsia="en-US"/>
              </w:rPr>
            </w:pPr>
            <w:r>
              <w:rPr>
                <w:rFonts w:ascii="Times New Roman"/>
                <w:kern w:val="0"/>
                <w:sz w:val="21"/>
                <w:szCs w:val="21"/>
              </w:rPr>
              <w:t>数控镗床</w:t>
            </w:r>
          </w:p>
        </w:tc>
        <w:tc>
          <w:tcPr>
            <w:tcW w:w="1431" w:type="pct"/>
            <w:shd w:val="clear" w:color="auto" w:fill="auto"/>
            <w:vAlign w:val="center"/>
          </w:tcPr>
          <w:p w14:paraId="53EB4DA6">
            <w:pPr>
              <w:widowControl/>
              <w:jc w:val="center"/>
              <w:textAlignment w:val="center"/>
              <w:rPr>
                <w:rFonts w:ascii="Times New Roman" w:eastAsia="Arial"/>
                <w:sz w:val="21"/>
                <w:szCs w:val="21"/>
                <w:lang w:eastAsia="en-US"/>
              </w:rPr>
            </w:pPr>
            <w:r>
              <w:rPr>
                <w:rFonts w:ascii="Times New Roman" w:eastAsia="Arial"/>
                <w:sz w:val="21"/>
                <w:szCs w:val="21"/>
              </w:rPr>
              <w:t>TX6513</w:t>
            </w:r>
          </w:p>
        </w:tc>
        <w:tc>
          <w:tcPr>
            <w:tcW w:w="470" w:type="pct"/>
            <w:vAlign w:val="center"/>
          </w:tcPr>
          <w:p w14:paraId="6F7B38D8">
            <w:pPr>
              <w:jc w:val="center"/>
              <w:rPr>
                <w:rFonts w:ascii="Times New Roman"/>
                <w:spacing w:val="-1"/>
                <w:sz w:val="21"/>
                <w:szCs w:val="21"/>
              </w:rPr>
            </w:pPr>
            <w:r>
              <w:rPr>
                <w:rFonts w:ascii="Times New Roman"/>
                <w:sz w:val="21"/>
                <w:szCs w:val="21"/>
              </w:rPr>
              <w:t>1</w:t>
            </w:r>
          </w:p>
        </w:tc>
      </w:tr>
      <w:tr w14:paraId="544C2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BCE9EDA">
            <w:pPr>
              <w:jc w:val="center"/>
              <w:rPr>
                <w:rFonts w:ascii="Times New Roman"/>
                <w:sz w:val="21"/>
                <w:szCs w:val="21"/>
              </w:rPr>
            </w:pPr>
            <w:r>
              <w:rPr>
                <w:rFonts w:ascii="Times New Roman"/>
                <w:sz w:val="21"/>
                <w:szCs w:val="21"/>
              </w:rPr>
              <w:t>72</w:t>
            </w:r>
          </w:p>
        </w:tc>
        <w:tc>
          <w:tcPr>
            <w:tcW w:w="413" w:type="pct"/>
            <w:vMerge w:val="continue"/>
            <w:vAlign w:val="center"/>
          </w:tcPr>
          <w:p w14:paraId="6D38803E">
            <w:pPr>
              <w:jc w:val="center"/>
              <w:rPr>
                <w:rFonts w:ascii="Times New Roman"/>
                <w:sz w:val="21"/>
                <w:szCs w:val="21"/>
              </w:rPr>
            </w:pPr>
          </w:p>
        </w:tc>
        <w:tc>
          <w:tcPr>
            <w:tcW w:w="616" w:type="pct"/>
            <w:vMerge w:val="continue"/>
            <w:vAlign w:val="center"/>
          </w:tcPr>
          <w:p w14:paraId="28188389">
            <w:pPr>
              <w:jc w:val="center"/>
              <w:rPr>
                <w:rFonts w:ascii="Times New Roman"/>
                <w:sz w:val="21"/>
                <w:szCs w:val="21"/>
              </w:rPr>
            </w:pPr>
          </w:p>
        </w:tc>
        <w:tc>
          <w:tcPr>
            <w:tcW w:w="761" w:type="pct"/>
            <w:vMerge w:val="continue"/>
            <w:vAlign w:val="center"/>
          </w:tcPr>
          <w:p w14:paraId="18332252">
            <w:pPr>
              <w:jc w:val="center"/>
              <w:rPr>
                <w:rFonts w:ascii="Times New Roman"/>
                <w:sz w:val="21"/>
                <w:szCs w:val="21"/>
              </w:rPr>
            </w:pPr>
          </w:p>
        </w:tc>
        <w:tc>
          <w:tcPr>
            <w:tcW w:w="965" w:type="pct"/>
            <w:gridSpan w:val="2"/>
            <w:shd w:val="clear" w:color="auto" w:fill="auto"/>
            <w:vAlign w:val="center"/>
          </w:tcPr>
          <w:p w14:paraId="1532AA86">
            <w:pPr>
              <w:widowControl/>
              <w:jc w:val="center"/>
              <w:textAlignment w:val="center"/>
              <w:rPr>
                <w:rFonts w:ascii="Times New Roman"/>
                <w:sz w:val="21"/>
                <w:szCs w:val="21"/>
                <w:lang w:eastAsia="en-US"/>
              </w:rPr>
            </w:pPr>
            <w:r>
              <w:rPr>
                <w:rFonts w:ascii="Times New Roman"/>
                <w:kern w:val="0"/>
                <w:sz w:val="21"/>
                <w:szCs w:val="21"/>
              </w:rPr>
              <w:t>数控落地镗铣床</w:t>
            </w:r>
          </w:p>
        </w:tc>
        <w:tc>
          <w:tcPr>
            <w:tcW w:w="1431" w:type="pct"/>
            <w:shd w:val="clear" w:color="auto" w:fill="auto"/>
            <w:vAlign w:val="center"/>
          </w:tcPr>
          <w:p w14:paraId="0A471DE2">
            <w:pPr>
              <w:widowControl/>
              <w:jc w:val="center"/>
              <w:textAlignment w:val="center"/>
              <w:rPr>
                <w:rFonts w:ascii="Times New Roman" w:eastAsia="Arial"/>
                <w:sz w:val="21"/>
                <w:szCs w:val="21"/>
                <w:lang w:eastAsia="en-US"/>
              </w:rPr>
            </w:pPr>
            <w:r>
              <w:rPr>
                <w:rFonts w:ascii="Times New Roman" w:eastAsia="Arial"/>
                <w:sz w:val="21"/>
                <w:szCs w:val="21"/>
              </w:rPr>
              <w:t>TX6913</w:t>
            </w:r>
          </w:p>
        </w:tc>
        <w:tc>
          <w:tcPr>
            <w:tcW w:w="470" w:type="pct"/>
            <w:vAlign w:val="center"/>
          </w:tcPr>
          <w:p w14:paraId="08967872">
            <w:pPr>
              <w:jc w:val="center"/>
              <w:rPr>
                <w:rFonts w:ascii="Times New Roman" w:eastAsiaTheme="minorEastAsia"/>
                <w:sz w:val="21"/>
                <w:szCs w:val="21"/>
              </w:rPr>
            </w:pPr>
            <w:r>
              <w:rPr>
                <w:rFonts w:ascii="Times New Roman"/>
                <w:sz w:val="21"/>
                <w:szCs w:val="21"/>
              </w:rPr>
              <w:t>1</w:t>
            </w:r>
          </w:p>
        </w:tc>
      </w:tr>
      <w:tr w14:paraId="4FA6A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B49C256">
            <w:pPr>
              <w:jc w:val="center"/>
              <w:rPr>
                <w:rFonts w:ascii="Times New Roman"/>
                <w:sz w:val="21"/>
                <w:szCs w:val="21"/>
              </w:rPr>
            </w:pPr>
            <w:r>
              <w:rPr>
                <w:rFonts w:ascii="Times New Roman"/>
                <w:sz w:val="21"/>
                <w:szCs w:val="21"/>
              </w:rPr>
              <w:t>73</w:t>
            </w:r>
          </w:p>
        </w:tc>
        <w:tc>
          <w:tcPr>
            <w:tcW w:w="413" w:type="pct"/>
            <w:vMerge w:val="continue"/>
            <w:vAlign w:val="center"/>
          </w:tcPr>
          <w:p w14:paraId="1F69B76F">
            <w:pPr>
              <w:jc w:val="center"/>
              <w:rPr>
                <w:rFonts w:ascii="Times New Roman"/>
                <w:sz w:val="21"/>
                <w:szCs w:val="21"/>
              </w:rPr>
            </w:pPr>
          </w:p>
        </w:tc>
        <w:tc>
          <w:tcPr>
            <w:tcW w:w="616" w:type="pct"/>
            <w:vMerge w:val="restart"/>
            <w:vAlign w:val="center"/>
          </w:tcPr>
          <w:p w14:paraId="74357079">
            <w:pPr>
              <w:jc w:val="center"/>
              <w:rPr>
                <w:rFonts w:ascii="Times New Roman"/>
                <w:sz w:val="21"/>
                <w:szCs w:val="21"/>
              </w:rPr>
            </w:pPr>
            <w:r>
              <w:rPr>
                <w:rFonts w:ascii="Times New Roman"/>
                <w:sz w:val="21"/>
                <w:szCs w:val="21"/>
              </w:rPr>
              <w:t>轴加工</w:t>
            </w:r>
          </w:p>
        </w:tc>
        <w:tc>
          <w:tcPr>
            <w:tcW w:w="761" w:type="pct"/>
            <w:vMerge w:val="restart"/>
            <w:vAlign w:val="center"/>
          </w:tcPr>
          <w:p w14:paraId="25C4284D">
            <w:pPr>
              <w:jc w:val="center"/>
              <w:rPr>
                <w:rFonts w:ascii="Times New Roman"/>
                <w:sz w:val="21"/>
                <w:szCs w:val="21"/>
              </w:rPr>
            </w:pPr>
            <w:r>
              <w:rPr>
                <w:rFonts w:ascii="Times New Roman"/>
                <w:kern w:val="0"/>
                <w:sz w:val="21"/>
                <w:szCs w:val="21"/>
              </w:rPr>
              <w:t>中、小轴自动加工线</w:t>
            </w:r>
          </w:p>
        </w:tc>
        <w:tc>
          <w:tcPr>
            <w:tcW w:w="965" w:type="pct"/>
            <w:gridSpan w:val="2"/>
            <w:vAlign w:val="center"/>
          </w:tcPr>
          <w:p w14:paraId="507F34C2">
            <w:pPr>
              <w:widowControl/>
              <w:jc w:val="center"/>
              <w:textAlignment w:val="center"/>
              <w:rPr>
                <w:rFonts w:ascii="Times New Roman" w:eastAsia="Arial"/>
                <w:sz w:val="21"/>
                <w:szCs w:val="21"/>
              </w:rPr>
            </w:pPr>
            <w:r>
              <w:rPr>
                <w:rFonts w:ascii="Times New Roman" w:eastAsia="Arial"/>
                <w:sz w:val="21"/>
                <w:szCs w:val="21"/>
              </w:rPr>
              <w:t>打中心孔设备</w:t>
            </w:r>
          </w:p>
        </w:tc>
        <w:tc>
          <w:tcPr>
            <w:tcW w:w="1431" w:type="pct"/>
            <w:vAlign w:val="center"/>
          </w:tcPr>
          <w:p w14:paraId="61B27122">
            <w:pPr>
              <w:jc w:val="center"/>
              <w:textAlignment w:val="center"/>
              <w:rPr>
                <w:rFonts w:ascii="Times New Roman"/>
                <w:sz w:val="21"/>
                <w:szCs w:val="21"/>
              </w:rPr>
            </w:pPr>
            <w:r>
              <w:rPr>
                <w:rFonts w:ascii="Times New Roman"/>
                <w:sz w:val="21"/>
                <w:szCs w:val="21"/>
              </w:rPr>
              <w:t>定制</w:t>
            </w:r>
          </w:p>
        </w:tc>
        <w:tc>
          <w:tcPr>
            <w:tcW w:w="470" w:type="pct"/>
            <w:vAlign w:val="center"/>
          </w:tcPr>
          <w:p w14:paraId="6A2C2E28">
            <w:pPr>
              <w:widowControl/>
              <w:jc w:val="center"/>
              <w:textAlignment w:val="center"/>
              <w:rPr>
                <w:rFonts w:ascii="Times New Roman"/>
                <w:sz w:val="21"/>
                <w:szCs w:val="21"/>
              </w:rPr>
            </w:pPr>
            <w:r>
              <w:rPr>
                <w:rFonts w:ascii="Times New Roman" w:eastAsia="Arial"/>
                <w:sz w:val="21"/>
                <w:szCs w:val="21"/>
              </w:rPr>
              <w:t>1</w:t>
            </w:r>
          </w:p>
        </w:tc>
      </w:tr>
      <w:tr w14:paraId="18025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FEF2389">
            <w:pPr>
              <w:jc w:val="center"/>
              <w:rPr>
                <w:rFonts w:ascii="Times New Roman"/>
                <w:sz w:val="21"/>
                <w:szCs w:val="21"/>
              </w:rPr>
            </w:pPr>
            <w:r>
              <w:rPr>
                <w:rFonts w:ascii="Times New Roman"/>
                <w:sz w:val="21"/>
                <w:szCs w:val="21"/>
              </w:rPr>
              <w:t>74</w:t>
            </w:r>
          </w:p>
        </w:tc>
        <w:tc>
          <w:tcPr>
            <w:tcW w:w="413" w:type="pct"/>
            <w:vMerge w:val="continue"/>
            <w:vAlign w:val="center"/>
          </w:tcPr>
          <w:p w14:paraId="153928F3">
            <w:pPr>
              <w:jc w:val="center"/>
              <w:rPr>
                <w:rFonts w:ascii="Times New Roman"/>
                <w:sz w:val="21"/>
                <w:szCs w:val="21"/>
              </w:rPr>
            </w:pPr>
          </w:p>
        </w:tc>
        <w:tc>
          <w:tcPr>
            <w:tcW w:w="616" w:type="pct"/>
            <w:vMerge w:val="continue"/>
            <w:vAlign w:val="center"/>
          </w:tcPr>
          <w:p w14:paraId="03887716">
            <w:pPr>
              <w:jc w:val="center"/>
              <w:rPr>
                <w:rFonts w:ascii="Times New Roman"/>
                <w:sz w:val="21"/>
                <w:szCs w:val="21"/>
              </w:rPr>
            </w:pPr>
          </w:p>
        </w:tc>
        <w:tc>
          <w:tcPr>
            <w:tcW w:w="761" w:type="pct"/>
            <w:vMerge w:val="continue"/>
            <w:vAlign w:val="center"/>
          </w:tcPr>
          <w:p w14:paraId="36A1710D">
            <w:pPr>
              <w:jc w:val="center"/>
              <w:rPr>
                <w:rFonts w:ascii="Times New Roman"/>
                <w:sz w:val="21"/>
                <w:szCs w:val="21"/>
              </w:rPr>
            </w:pPr>
          </w:p>
        </w:tc>
        <w:tc>
          <w:tcPr>
            <w:tcW w:w="965" w:type="pct"/>
            <w:gridSpan w:val="2"/>
            <w:shd w:val="clear" w:color="auto" w:fill="auto"/>
            <w:vAlign w:val="center"/>
          </w:tcPr>
          <w:p w14:paraId="4E6139D2">
            <w:pPr>
              <w:widowControl/>
              <w:jc w:val="center"/>
              <w:textAlignment w:val="center"/>
              <w:rPr>
                <w:rFonts w:ascii="Times New Roman"/>
                <w:sz w:val="21"/>
                <w:szCs w:val="21"/>
              </w:rPr>
            </w:pPr>
            <w:r>
              <w:rPr>
                <w:rFonts w:ascii="Times New Roman"/>
                <w:sz w:val="21"/>
                <w:szCs w:val="21"/>
              </w:rPr>
              <w:t>简易数控车床</w:t>
            </w:r>
          </w:p>
        </w:tc>
        <w:tc>
          <w:tcPr>
            <w:tcW w:w="1431" w:type="pct"/>
            <w:shd w:val="clear" w:color="auto" w:fill="auto"/>
            <w:vAlign w:val="center"/>
          </w:tcPr>
          <w:p w14:paraId="02C24358">
            <w:pPr>
              <w:widowControl/>
              <w:jc w:val="center"/>
              <w:textAlignment w:val="center"/>
              <w:rPr>
                <w:rFonts w:ascii="Times New Roman" w:eastAsia="Arial"/>
                <w:sz w:val="21"/>
                <w:szCs w:val="21"/>
              </w:rPr>
            </w:pPr>
            <w:r>
              <w:rPr>
                <w:rFonts w:ascii="Times New Roman" w:eastAsia="Arial"/>
                <w:sz w:val="21"/>
                <w:szCs w:val="21"/>
              </w:rPr>
              <w:t>CKW6163×3000</w:t>
            </w:r>
          </w:p>
        </w:tc>
        <w:tc>
          <w:tcPr>
            <w:tcW w:w="470" w:type="pct"/>
            <w:vAlign w:val="center"/>
          </w:tcPr>
          <w:p w14:paraId="619FEB92">
            <w:pPr>
              <w:widowControl/>
              <w:jc w:val="center"/>
              <w:textAlignment w:val="center"/>
              <w:rPr>
                <w:rFonts w:ascii="Times New Roman"/>
                <w:spacing w:val="-1"/>
                <w:sz w:val="21"/>
                <w:szCs w:val="21"/>
              </w:rPr>
            </w:pPr>
            <w:r>
              <w:rPr>
                <w:rFonts w:ascii="Times New Roman" w:eastAsia="Arial"/>
                <w:sz w:val="21"/>
                <w:szCs w:val="21"/>
              </w:rPr>
              <w:t>4</w:t>
            </w:r>
          </w:p>
        </w:tc>
      </w:tr>
      <w:tr w14:paraId="45BC0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590A3C2">
            <w:pPr>
              <w:jc w:val="center"/>
              <w:rPr>
                <w:rFonts w:ascii="Times New Roman"/>
                <w:sz w:val="21"/>
                <w:szCs w:val="21"/>
              </w:rPr>
            </w:pPr>
            <w:r>
              <w:rPr>
                <w:rFonts w:ascii="Times New Roman"/>
                <w:sz w:val="21"/>
                <w:szCs w:val="21"/>
              </w:rPr>
              <w:t>75</w:t>
            </w:r>
          </w:p>
        </w:tc>
        <w:tc>
          <w:tcPr>
            <w:tcW w:w="413" w:type="pct"/>
            <w:vMerge w:val="continue"/>
            <w:vAlign w:val="center"/>
          </w:tcPr>
          <w:p w14:paraId="04D718B1">
            <w:pPr>
              <w:jc w:val="center"/>
              <w:rPr>
                <w:rFonts w:ascii="Times New Roman"/>
                <w:sz w:val="21"/>
                <w:szCs w:val="21"/>
              </w:rPr>
            </w:pPr>
          </w:p>
        </w:tc>
        <w:tc>
          <w:tcPr>
            <w:tcW w:w="616" w:type="pct"/>
            <w:vMerge w:val="continue"/>
            <w:vAlign w:val="center"/>
          </w:tcPr>
          <w:p w14:paraId="287BB142">
            <w:pPr>
              <w:jc w:val="center"/>
              <w:rPr>
                <w:rFonts w:ascii="Times New Roman"/>
                <w:sz w:val="21"/>
                <w:szCs w:val="21"/>
              </w:rPr>
            </w:pPr>
          </w:p>
        </w:tc>
        <w:tc>
          <w:tcPr>
            <w:tcW w:w="761" w:type="pct"/>
            <w:vMerge w:val="continue"/>
            <w:vAlign w:val="center"/>
          </w:tcPr>
          <w:p w14:paraId="7FCFD48B">
            <w:pPr>
              <w:jc w:val="center"/>
              <w:rPr>
                <w:rFonts w:ascii="Times New Roman"/>
                <w:sz w:val="21"/>
                <w:szCs w:val="21"/>
              </w:rPr>
            </w:pPr>
          </w:p>
        </w:tc>
        <w:tc>
          <w:tcPr>
            <w:tcW w:w="965" w:type="pct"/>
            <w:gridSpan w:val="2"/>
            <w:vAlign w:val="center"/>
          </w:tcPr>
          <w:p w14:paraId="6DE6E39D">
            <w:pPr>
              <w:widowControl/>
              <w:jc w:val="center"/>
              <w:textAlignment w:val="center"/>
              <w:rPr>
                <w:rFonts w:ascii="Times New Roman" w:eastAsia="Arial"/>
                <w:sz w:val="21"/>
                <w:szCs w:val="21"/>
              </w:rPr>
            </w:pPr>
            <w:r>
              <w:rPr>
                <w:rFonts w:ascii="Times New Roman" w:eastAsia="Arial"/>
                <w:sz w:val="21"/>
                <w:szCs w:val="21"/>
              </w:rPr>
              <w:t>桁架机械手</w:t>
            </w:r>
          </w:p>
        </w:tc>
        <w:tc>
          <w:tcPr>
            <w:tcW w:w="1431" w:type="pct"/>
            <w:vAlign w:val="center"/>
          </w:tcPr>
          <w:p w14:paraId="19BBB5DF">
            <w:pPr>
              <w:jc w:val="center"/>
              <w:textAlignment w:val="center"/>
              <w:rPr>
                <w:rFonts w:ascii="Times New Roman"/>
                <w:sz w:val="21"/>
                <w:szCs w:val="21"/>
              </w:rPr>
            </w:pPr>
            <w:r>
              <w:rPr>
                <w:rFonts w:ascii="Times New Roman"/>
                <w:sz w:val="21"/>
                <w:szCs w:val="21"/>
              </w:rPr>
              <w:t>/</w:t>
            </w:r>
          </w:p>
        </w:tc>
        <w:tc>
          <w:tcPr>
            <w:tcW w:w="470" w:type="pct"/>
            <w:vAlign w:val="center"/>
          </w:tcPr>
          <w:p w14:paraId="3BF04151">
            <w:pPr>
              <w:widowControl/>
              <w:jc w:val="center"/>
              <w:textAlignment w:val="center"/>
              <w:rPr>
                <w:rFonts w:ascii="Times New Roman"/>
                <w:spacing w:val="-1"/>
                <w:sz w:val="21"/>
                <w:szCs w:val="21"/>
              </w:rPr>
            </w:pPr>
            <w:r>
              <w:rPr>
                <w:rFonts w:ascii="Times New Roman" w:eastAsia="Arial"/>
                <w:sz w:val="21"/>
                <w:szCs w:val="21"/>
              </w:rPr>
              <w:t>1</w:t>
            </w:r>
          </w:p>
        </w:tc>
      </w:tr>
      <w:tr w14:paraId="00C17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A0E9B94">
            <w:pPr>
              <w:jc w:val="center"/>
              <w:rPr>
                <w:rFonts w:ascii="Times New Roman"/>
                <w:sz w:val="21"/>
                <w:szCs w:val="21"/>
              </w:rPr>
            </w:pPr>
            <w:r>
              <w:rPr>
                <w:rFonts w:ascii="Times New Roman"/>
                <w:sz w:val="21"/>
                <w:szCs w:val="21"/>
              </w:rPr>
              <w:t>76</w:t>
            </w:r>
          </w:p>
        </w:tc>
        <w:tc>
          <w:tcPr>
            <w:tcW w:w="413" w:type="pct"/>
            <w:vMerge w:val="continue"/>
            <w:vAlign w:val="center"/>
          </w:tcPr>
          <w:p w14:paraId="5E4731D4">
            <w:pPr>
              <w:jc w:val="center"/>
              <w:rPr>
                <w:rFonts w:ascii="Times New Roman"/>
                <w:sz w:val="21"/>
                <w:szCs w:val="21"/>
              </w:rPr>
            </w:pPr>
          </w:p>
        </w:tc>
        <w:tc>
          <w:tcPr>
            <w:tcW w:w="616" w:type="pct"/>
            <w:vMerge w:val="continue"/>
            <w:vAlign w:val="center"/>
          </w:tcPr>
          <w:p w14:paraId="5AE6247B">
            <w:pPr>
              <w:jc w:val="center"/>
              <w:rPr>
                <w:rFonts w:ascii="Times New Roman"/>
                <w:sz w:val="21"/>
                <w:szCs w:val="21"/>
              </w:rPr>
            </w:pPr>
          </w:p>
        </w:tc>
        <w:tc>
          <w:tcPr>
            <w:tcW w:w="761" w:type="pct"/>
            <w:vMerge w:val="restart"/>
            <w:vAlign w:val="center"/>
          </w:tcPr>
          <w:p w14:paraId="5DC48B4A">
            <w:pPr>
              <w:jc w:val="center"/>
              <w:rPr>
                <w:rFonts w:ascii="Times New Roman"/>
                <w:sz w:val="21"/>
                <w:szCs w:val="21"/>
              </w:rPr>
            </w:pPr>
            <w:r>
              <w:rPr>
                <w:rFonts w:ascii="Times New Roman"/>
                <w:kern w:val="0"/>
                <w:sz w:val="21"/>
                <w:szCs w:val="21"/>
              </w:rPr>
              <w:t>大轴加工区</w:t>
            </w:r>
          </w:p>
        </w:tc>
        <w:tc>
          <w:tcPr>
            <w:tcW w:w="965" w:type="pct"/>
            <w:gridSpan w:val="2"/>
            <w:shd w:val="clear" w:color="auto" w:fill="auto"/>
            <w:vAlign w:val="center"/>
          </w:tcPr>
          <w:p w14:paraId="6EC0A64D">
            <w:pPr>
              <w:widowControl/>
              <w:jc w:val="center"/>
              <w:textAlignment w:val="center"/>
              <w:rPr>
                <w:rFonts w:ascii="Times New Roman"/>
                <w:sz w:val="21"/>
                <w:szCs w:val="21"/>
              </w:rPr>
            </w:pPr>
            <w:r>
              <w:rPr>
                <w:rFonts w:ascii="Times New Roman"/>
                <w:sz w:val="21"/>
                <w:szCs w:val="21"/>
              </w:rPr>
              <w:t>简易数控车床</w:t>
            </w:r>
          </w:p>
        </w:tc>
        <w:tc>
          <w:tcPr>
            <w:tcW w:w="1431" w:type="pct"/>
            <w:shd w:val="clear" w:color="auto" w:fill="auto"/>
            <w:vAlign w:val="center"/>
          </w:tcPr>
          <w:p w14:paraId="139945E3">
            <w:pPr>
              <w:widowControl/>
              <w:jc w:val="center"/>
              <w:textAlignment w:val="center"/>
              <w:rPr>
                <w:rFonts w:ascii="Times New Roman" w:eastAsia="Arial"/>
                <w:sz w:val="21"/>
                <w:szCs w:val="21"/>
              </w:rPr>
            </w:pPr>
            <w:r>
              <w:rPr>
                <w:rFonts w:ascii="Times New Roman" w:eastAsia="Arial"/>
                <w:sz w:val="21"/>
                <w:szCs w:val="21"/>
              </w:rPr>
              <w:t>CK6180×4000</w:t>
            </w:r>
          </w:p>
        </w:tc>
        <w:tc>
          <w:tcPr>
            <w:tcW w:w="470" w:type="pct"/>
            <w:vAlign w:val="center"/>
          </w:tcPr>
          <w:p w14:paraId="1B20393F">
            <w:pPr>
              <w:widowControl/>
              <w:jc w:val="center"/>
              <w:textAlignment w:val="center"/>
              <w:rPr>
                <w:rFonts w:ascii="Times New Roman"/>
                <w:sz w:val="21"/>
                <w:szCs w:val="21"/>
              </w:rPr>
            </w:pPr>
            <w:r>
              <w:rPr>
                <w:rFonts w:ascii="Times New Roman" w:eastAsia="Arial"/>
                <w:sz w:val="21"/>
                <w:szCs w:val="21"/>
              </w:rPr>
              <w:t>4</w:t>
            </w:r>
          </w:p>
        </w:tc>
      </w:tr>
      <w:tr w14:paraId="1CADE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078857C">
            <w:pPr>
              <w:jc w:val="center"/>
              <w:rPr>
                <w:rFonts w:ascii="Times New Roman"/>
                <w:sz w:val="21"/>
                <w:szCs w:val="21"/>
              </w:rPr>
            </w:pPr>
            <w:r>
              <w:rPr>
                <w:rFonts w:ascii="Times New Roman"/>
                <w:sz w:val="21"/>
                <w:szCs w:val="21"/>
              </w:rPr>
              <w:t>77</w:t>
            </w:r>
          </w:p>
        </w:tc>
        <w:tc>
          <w:tcPr>
            <w:tcW w:w="413" w:type="pct"/>
            <w:vMerge w:val="continue"/>
            <w:vAlign w:val="center"/>
          </w:tcPr>
          <w:p w14:paraId="5F54DE1A">
            <w:pPr>
              <w:jc w:val="center"/>
              <w:rPr>
                <w:rFonts w:ascii="Times New Roman"/>
                <w:sz w:val="21"/>
                <w:szCs w:val="21"/>
              </w:rPr>
            </w:pPr>
          </w:p>
        </w:tc>
        <w:tc>
          <w:tcPr>
            <w:tcW w:w="616" w:type="pct"/>
            <w:vMerge w:val="continue"/>
            <w:vAlign w:val="center"/>
          </w:tcPr>
          <w:p w14:paraId="7AEBB069">
            <w:pPr>
              <w:jc w:val="center"/>
              <w:rPr>
                <w:rFonts w:ascii="Times New Roman"/>
                <w:sz w:val="21"/>
                <w:szCs w:val="21"/>
              </w:rPr>
            </w:pPr>
          </w:p>
        </w:tc>
        <w:tc>
          <w:tcPr>
            <w:tcW w:w="761" w:type="pct"/>
            <w:vMerge w:val="continue"/>
            <w:vAlign w:val="center"/>
          </w:tcPr>
          <w:p w14:paraId="1669E739">
            <w:pPr>
              <w:jc w:val="center"/>
              <w:rPr>
                <w:rFonts w:ascii="Times New Roman"/>
                <w:sz w:val="21"/>
                <w:szCs w:val="21"/>
              </w:rPr>
            </w:pPr>
          </w:p>
        </w:tc>
        <w:tc>
          <w:tcPr>
            <w:tcW w:w="965" w:type="pct"/>
            <w:gridSpan w:val="2"/>
            <w:shd w:val="clear" w:color="auto" w:fill="auto"/>
            <w:vAlign w:val="center"/>
          </w:tcPr>
          <w:p w14:paraId="263BBA5E">
            <w:pPr>
              <w:widowControl/>
              <w:jc w:val="center"/>
              <w:textAlignment w:val="center"/>
              <w:rPr>
                <w:rFonts w:ascii="Times New Roman"/>
                <w:sz w:val="21"/>
                <w:szCs w:val="21"/>
              </w:rPr>
            </w:pPr>
            <w:r>
              <w:rPr>
                <w:rFonts w:ascii="Times New Roman"/>
                <w:sz w:val="21"/>
                <w:szCs w:val="21"/>
              </w:rPr>
              <w:t>简易数控车床</w:t>
            </w:r>
          </w:p>
        </w:tc>
        <w:tc>
          <w:tcPr>
            <w:tcW w:w="1431" w:type="pct"/>
            <w:shd w:val="clear" w:color="auto" w:fill="auto"/>
            <w:vAlign w:val="center"/>
          </w:tcPr>
          <w:p w14:paraId="30B6397A">
            <w:pPr>
              <w:widowControl/>
              <w:jc w:val="center"/>
              <w:textAlignment w:val="center"/>
              <w:rPr>
                <w:rFonts w:ascii="Times New Roman" w:eastAsia="Arial"/>
                <w:sz w:val="21"/>
                <w:szCs w:val="21"/>
              </w:rPr>
            </w:pPr>
            <w:r>
              <w:rPr>
                <w:rFonts w:ascii="Times New Roman" w:eastAsia="Arial"/>
                <w:sz w:val="21"/>
                <w:szCs w:val="21"/>
              </w:rPr>
              <w:t>CK6180×5000</w:t>
            </w:r>
          </w:p>
        </w:tc>
        <w:tc>
          <w:tcPr>
            <w:tcW w:w="470" w:type="pct"/>
            <w:vAlign w:val="center"/>
          </w:tcPr>
          <w:p w14:paraId="5A82EBD6">
            <w:pPr>
              <w:widowControl/>
              <w:jc w:val="center"/>
              <w:textAlignment w:val="center"/>
              <w:rPr>
                <w:rFonts w:ascii="Times New Roman"/>
                <w:sz w:val="21"/>
                <w:szCs w:val="21"/>
              </w:rPr>
            </w:pPr>
            <w:r>
              <w:rPr>
                <w:rFonts w:ascii="Times New Roman" w:eastAsia="Arial"/>
                <w:sz w:val="21"/>
                <w:szCs w:val="21"/>
              </w:rPr>
              <w:t>2</w:t>
            </w:r>
          </w:p>
        </w:tc>
      </w:tr>
      <w:tr w14:paraId="42F5D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05B53FF">
            <w:pPr>
              <w:jc w:val="center"/>
              <w:rPr>
                <w:rFonts w:ascii="Times New Roman"/>
                <w:sz w:val="21"/>
                <w:szCs w:val="21"/>
              </w:rPr>
            </w:pPr>
            <w:r>
              <w:rPr>
                <w:rFonts w:ascii="Times New Roman"/>
                <w:sz w:val="21"/>
                <w:szCs w:val="21"/>
              </w:rPr>
              <w:t>78</w:t>
            </w:r>
          </w:p>
        </w:tc>
        <w:tc>
          <w:tcPr>
            <w:tcW w:w="413" w:type="pct"/>
            <w:vMerge w:val="continue"/>
            <w:vAlign w:val="center"/>
          </w:tcPr>
          <w:p w14:paraId="3E7B2D39">
            <w:pPr>
              <w:jc w:val="center"/>
              <w:rPr>
                <w:rFonts w:ascii="Times New Roman"/>
                <w:sz w:val="21"/>
                <w:szCs w:val="21"/>
              </w:rPr>
            </w:pPr>
          </w:p>
        </w:tc>
        <w:tc>
          <w:tcPr>
            <w:tcW w:w="616" w:type="pct"/>
            <w:vMerge w:val="continue"/>
            <w:vAlign w:val="center"/>
          </w:tcPr>
          <w:p w14:paraId="4EB13BB6">
            <w:pPr>
              <w:jc w:val="center"/>
              <w:rPr>
                <w:rFonts w:ascii="Times New Roman"/>
                <w:sz w:val="21"/>
                <w:szCs w:val="21"/>
              </w:rPr>
            </w:pPr>
          </w:p>
        </w:tc>
        <w:tc>
          <w:tcPr>
            <w:tcW w:w="761" w:type="pct"/>
            <w:vMerge w:val="continue"/>
            <w:vAlign w:val="center"/>
          </w:tcPr>
          <w:p w14:paraId="498948BC">
            <w:pPr>
              <w:jc w:val="center"/>
              <w:rPr>
                <w:rFonts w:ascii="Times New Roman"/>
                <w:sz w:val="21"/>
                <w:szCs w:val="21"/>
              </w:rPr>
            </w:pPr>
          </w:p>
        </w:tc>
        <w:tc>
          <w:tcPr>
            <w:tcW w:w="965" w:type="pct"/>
            <w:gridSpan w:val="2"/>
            <w:shd w:val="clear" w:color="auto" w:fill="auto"/>
            <w:vAlign w:val="center"/>
          </w:tcPr>
          <w:p w14:paraId="034602BE">
            <w:pPr>
              <w:widowControl/>
              <w:jc w:val="center"/>
              <w:textAlignment w:val="center"/>
              <w:rPr>
                <w:rFonts w:ascii="Times New Roman"/>
                <w:sz w:val="21"/>
                <w:szCs w:val="21"/>
              </w:rPr>
            </w:pPr>
            <w:r>
              <w:rPr>
                <w:rFonts w:ascii="Times New Roman"/>
                <w:sz w:val="21"/>
                <w:szCs w:val="21"/>
              </w:rPr>
              <w:t>简易数控车床</w:t>
            </w:r>
          </w:p>
        </w:tc>
        <w:tc>
          <w:tcPr>
            <w:tcW w:w="1431" w:type="pct"/>
            <w:shd w:val="clear" w:color="auto" w:fill="auto"/>
            <w:vAlign w:val="center"/>
          </w:tcPr>
          <w:p w14:paraId="28B1CD1F">
            <w:pPr>
              <w:widowControl/>
              <w:jc w:val="center"/>
              <w:textAlignment w:val="center"/>
              <w:rPr>
                <w:rFonts w:ascii="Times New Roman" w:eastAsia="Arial"/>
                <w:sz w:val="21"/>
                <w:szCs w:val="21"/>
              </w:rPr>
            </w:pPr>
            <w:r>
              <w:rPr>
                <w:rFonts w:ascii="Times New Roman" w:eastAsia="Arial"/>
                <w:sz w:val="21"/>
                <w:szCs w:val="21"/>
              </w:rPr>
              <w:t>CAK61125×6000</w:t>
            </w:r>
          </w:p>
        </w:tc>
        <w:tc>
          <w:tcPr>
            <w:tcW w:w="470" w:type="pct"/>
            <w:vAlign w:val="center"/>
          </w:tcPr>
          <w:p w14:paraId="01955740">
            <w:pPr>
              <w:widowControl/>
              <w:jc w:val="center"/>
              <w:textAlignment w:val="center"/>
              <w:rPr>
                <w:rFonts w:ascii="Times New Roman"/>
                <w:spacing w:val="-3"/>
                <w:sz w:val="21"/>
                <w:szCs w:val="21"/>
              </w:rPr>
            </w:pPr>
            <w:r>
              <w:rPr>
                <w:rFonts w:ascii="Times New Roman" w:eastAsia="Arial"/>
                <w:sz w:val="21"/>
                <w:szCs w:val="21"/>
              </w:rPr>
              <w:t>1</w:t>
            </w:r>
          </w:p>
        </w:tc>
      </w:tr>
      <w:tr w14:paraId="46237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6C7BAE0">
            <w:pPr>
              <w:jc w:val="center"/>
              <w:rPr>
                <w:rFonts w:ascii="Times New Roman"/>
                <w:sz w:val="21"/>
                <w:szCs w:val="21"/>
              </w:rPr>
            </w:pPr>
            <w:r>
              <w:rPr>
                <w:rFonts w:ascii="Times New Roman"/>
                <w:sz w:val="21"/>
                <w:szCs w:val="21"/>
              </w:rPr>
              <w:t>79</w:t>
            </w:r>
          </w:p>
        </w:tc>
        <w:tc>
          <w:tcPr>
            <w:tcW w:w="413" w:type="pct"/>
            <w:vMerge w:val="continue"/>
            <w:vAlign w:val="center"/>
          </w:tcPr>
          <w:p w14:paraId="75DB015F">
            <w:pPr>
              <w:jc w:val="center"/>
              <w:rPr>
                <w:rFonts w:ascii="Times New Roman"/>
                <w:sz w:val="21"/>
                <w:szCs w:val="21"/>
              </w:rPr>
            </w:pPr>
          </w:p>
        </w:tc>
        <w:tc>
          <w:tcPr>
            <w:tcW w:w="616" w:type="pct"/>
            <w:vMerge w:val="continue"/>
            <w:vAlign w:val="center"/>
          </w:tcPr>
          <w:p w14:paraId="2A55F686">
            <w:pPr>
              <w:jc w:val="center"/>
              <w:rPr>
                <w:rFonts w:ascii="Times New Roman"/>
                <w:sz w:val="21"/>
                <w:szCs w:val="21"/>
              </w:rPr>
            </w:pPr>
          </w:p>
        </w:tc>
        <w:tc>
          <w:tcPr>
            <w:tcW w:w="761" w:type="pct"/>
            <w:vMerge w:val="continue"/>
            <w:vAlign w:val="center"/>
          </w:tcPr>
          <w:p w14:paraId="3142AD56">
            <w:pPr>
              <w:jc w:val="center"/>
              <w:rPr>
                <w:rFonts w:ascii="Times New Roman"/>
                <w:sz w:val="21"/>
                <w:szCs w:val="21"/>
              </w:rPr>
            </w:pPr>
          </w:p>
        </w:tc>
        <w:tc>
          <w:tcPr>
            <w:tcW w:w="965" w:type="pct"/>
            <w:gridSpan w:val="2"/>
            <w:shd w:val="clear" w:color="auto" w:fill="auto"/>
            <w:vAlign w:val="center"/>
          </w:tcPr>
          <w:p w14:paraId="2618CB84">
            <w:pPr>
              <w:widowControl/>
              <w:jc w:val="center"/>
              <w:textAlignment w:val="center"/>
              <w:rPr>
                <w:rFonts w:ascii="Times New Roman"/>
                <w:sz w:val="21"/>
                <w:szCs w:val="21"/>
              </w:rPr>
            </w:pPr>
            <w:r>
              <w:rPr>
                <w:rFonts w:ascii="Times New Roman"/>
                <w:sz w:val="21"/>
                <w:szCs w:val="21"/>
              </w:rPr>
              <w:t>简易数控车床</w:t>
            </w:r>
          </w:p>
        </w:tc>
        <w:tc>
          <w:tcPr>
            <w:tcW w:w="1431" w:type="pct"/>
            <w:shd w:val="clear" w:color="auto" w:fill="auto"/>
            <w:vAlign w:val="center"/>
          </w:tcPr>
          <w:p w14:paraId="52E5870F">
            <w:pPr>
              <w:widowControl/>
              <w:jc w:val="center"/>
              <w:textAlignment w:val="center"/>
              <w:rPr>
                <w:rFonts w:ascii="Times New Roman" w:eastAsia="Arial"/>
                <w:sz w:val="21"/>
                <w:szCs w:val="21"/>
              </w:rPr>
            </w:pPr>
            <w:r>
              <w:rPr>
                <w:rFonts w:ascii="Times New Roman" w:eastAsia="Arial"/>
                <w:sz w:val="21"/>
                <w:szCs w:val="21"/>
              </w:rPr>
              <w:t>CK61100×5000</w:t>
            </w:r>
          </w:p>
        </w:tc>
        <w:tc>
          <w:tcPr>
            <w:tcW w:w="470" w:type="pct"/>
            <w:vAlign w:val="center"/>
          </w:tcPr>
          <w:p w14:paraId="00F26735">
            <w:pPr>
              <w:widowControl/>
              <w:jc w:val="center"/>
              <w:textAlignment w:val="center"/>
              <w:rPr>
                <w:rFonts w:ascii="Times New Roman"/>
                <w:sz w:val="21"/>
                <w:szCs w:val="21"/>
              </w:rPr>
            </w:pPr>
            <w:r>
              <w:rPr>
                <w:rFonts w:ascii="Times New Roman" w:eastAsia="Arial"/>
                <w:sz w:val="21"/>
                <w:szCs w:val="21"/>
              </w:rPr>
              <w:t>2</w:t>
            </w:r>
          </w:p>
        </w:tc>
      </w:tr>
      <w:tr w14:paraId="5758D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BA8E344">
            <w:pPr>
              <w:jc w:val="center"/>
              <w:rPr>
                <w:rFonts w:ascii="Times New Roman"/>
                <w:sz w:val="21"/>
                <w:szCs w:val="21"/>
              </w:rPr>
            </w:pPr>
            <w:r>
              <w:rPr>
                <w:rFonts w:ascii="Times New Roman"/>
                <w:sz w:val="21"/>
                <w:szCs w:val="21"/>
              </w:rPr>
              <w:t>80</w:t>
            </w:r>
          </w:p>
        </w:tc>
        <w:tc>
          <w:tcPr>
            <w:tcW w:w="413" w:type="pct"/>
            <w:vMerge w:val="continue"/>
            <w:vAlign w:val="center"/>
          </w:tcPr>
          <w:p w14:paraId="7C7F1149">
            <w:pPr>
              <w:jc w:val="center"/>
              <w:rPr>
                <w:rFonts w:ascii="Times New Roman"/>
                <w:sz w:val="21"/>
                <w:szCs w:val="21"/>
              </w:rPr>
            </w:pPr>
          </w:p>
        </w:tc>
        <w:tc>
          <w:tcPr>
            <w:tcW w:w="616" w:type="pct"/>
            <w:vMerge w:val="continue"/>
            <w:vAlign w:val="center"/>
          </w:tcPr>
          <w:p w14:paraId="67D861DA">
            <w:pPr>
              <w:jc w:val="center"/>
              <w:rPr>
                <w:rFonts w:ascii="Times New Roman"/>
                <w:sz w:val="21"/>
                <w:szCs w:val="21"/>
              </w:rPr>
            </w:pPr>
          </w:p>
        </w:tc>
        <w:tc>
          <w:tcPr>
            <w:tcW w:w="761" w:type="pct"/>
            <w:vMerge w:val="continue"/>
            <w:vAlign w:val="center"/>
          </w:tcPr>
          <w:p w14:paraId="1717E229">
            <w:pPr>
              <w:jc w:val="center"/>
              <w:rPr>
                <w:rFonts w:ascii="Times New Roman"/>
                <w:sz w:val="21"/>
                <w:szCs w:val="21"/>
              </w:rPr>
            </w:pPr>
          </w:p>
        </w:tc>
        <w:tc>
          <w:tcPr>
            <w:tcW w:w="965" w:type="pct"/>
            <w:gridSpan w:val="2"/>
            <w:vAlign w:val="center"/>
          </w:tcPr>
          <w:p w14:paraId="6F8F1885">
            <w:pPr>
              <w:widowControl/>
              <w:jc w:val="center"/>
              <w:textAlignment w:val="center"/>
              <w:rPr>
                <w:rFonts w:ascii="Times New Roman" w:eastAsia="Arial"/>
                <w:sz w:val="21"/>
                <w:szCs w:val="21"/>
              </w:rPr>
            </w:pPr>
            <w:r>
              <w:rPr>
                <w:rFonts w:ascii="Times New Roman" w:eastAsia="Arial"/>
                <w:sz w:val="21"/>
                <w:szCs w:val="21"/>
              </w:rPr>
              <w:t>数控外圆磨床</w:t>
            </w:r>
          </w:p>
        </w:tc>
        <w:tc>
          <w:tcPr>
            <w:tcW w:w="1431" w:type="pct"/>
            <w:vAlign w:val="center"/>
          </w:tcPr>
          <w:p w14:paraId="742694A0">
            <w:pPr>
              <w:jc w:val="center"/>
              <w:textAlignment w:val="center"/>
              <w:rPr>
                <w:rFonts w:ascii="Times New Roman" w:eastAsia="Arial"/>
                <w:sz w:val="21"/>
                <w:szCs w:val="21"/>
              </w:rPr>
            </w:pPr>
            <w:r>
              <w:rPr>
                <w:rFonts w:ascii="Times New Roman" w:eastAsia="Arial"/>
                <w:sz w:val="21"/>
                <w:szCs w:val="21"/>
              </w:rPr>
              <w:t>MK13125×6000-SB</w:t>
            </w:r>
          </w:p>
        </w:tc>
        <w:tc>
          <w:tcPr>
            <w:tcW w:w="470" w:type="pct"/>
            <w:vAlign w:val="center"/>
          </w:tcPr>
          <w:p w14:paraId="1D4C808B">
            <w:pPr>
              <w:widowControl/>
              <w:jc w:val="center"/>
              <w:textAlignment w:val="center"/>
              <w:rPr>
                <w:rFonts w:ascii="Times New Roman"/>
                <w:spacing w:val="-3"/>
                <w:sz w:val="21"/>
                <w:szCs w:val="21"/>
              </w:rPr>
            </w:pPr>
            <w:r>
              <w:rPr>
                <w:rFonts w:ascii="Times New Roman" w:eastAsia="Arial"/>
                <w:sz w:val="21"/>
                <w:szCs w:val="21"/>
              </w:rPr>
              <w:t>1</w:t>
            </w:r>
          </w:p>
        </w:tc>
      </w:tr>
      <w:tr w14:paraId="4C8C6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06A1B8C">
            <w:pPr>
              <w:jc w:val="center"/>
              <w:rPr>
                <w:rFonts w:ascii="Times New Roman"/>
                <w:sz w:val="21"/>
                <w:szCs w:val="21"/>
              </w:rPr>
            </w:pPr>
            <w:r>
              <w:rPr>
                <w:rFonts w:ascii="Times New Roman"/>
                <w:sz w:val="21"/>
                <w:szCs w:val="21"/>
              </w:rPr>
              <w:t>81</w:t>
            </w:r>
          </w:p>
        </w:tc>
        <w:tc>
          <w:tcPr>
            <w:tcW w:w="413" w:type="pct"/>
            <w:vMerge w:val="continue"/>
            <w:vAlign w:val="center"/>
          </w:tcPr>
          <w:p w14:paraId="5E450932">
            <w:pPr>
              <w:jc w:val="center"/>
              <w:rPr>
                <w:rFonts w:ascii="Times New Roman"/>
                <w:sz w:val="21"/>
                <w:szCs w:val="21"/>
              </w:rPr>
            </w:pPr>
          </w:p>
        </w:tc>
        <w:tc>
          <w:tcPr>
            <w:tcW w:w="616" w:type="pct"/>
            <w:vMerge w:val="continue"/>
            <w:vAlign w:val="center"/>
          </w:tcPr>
          <w:p w14:paraId="72BB1EA5">
            <w:pPr>
              <w:jc w:val="center"/>
              <w:rPr>
                <w:rFonts w:ascii="Times New Roman"/>
                <w:sz w:val="21"/>
                <w:szCs w:val="21"/>
              </w:rPr>
            </w:pPr>
          </w:p>
        </w:tc>
        <w:tc>
          <w:tcPr>
            <w:tcW w:w="761" w:type="pct"/>
            <w:vAlign w:val="center"/>
          </w:tcPr>
          <w:p w14:paraId="41B0F426">
            <w:pPr>
              <w:jc w:val="center"/>
              <w:rPr>
                <w:rFonts w:ascii="Times New Roman"/>
                <w:sz w:val="21"/>
                <w:szCs w:val="21"/>
              </w:rPr>
            </w:pPr>
            <w:r>
              <w:rPr>
                <w:rFonts w:ascii="Times New Roman"/>
                <w:kern w:val="0"/>
                <w:sz w:val="21"/>
                <w:szCs w:val="21"/>
              </w:rPr>
              <w:t>键槽加工专机</w:t>
            </w:r>
          </w:p>
        </w:tc>
        <w:tc>
          <w:tcPr>
            <w:tcW w:w="965" w:type="pct"/>
            <w:gridSpan w:val="2"/>
            <w:vAlign w:val="center"/>
          </w:tcPr>
          <w:p w14:paraId="3FDAD2ED">
            <w:pPr>
              <w:widowControl/>
              <w:jc w:val="center"/>
              <w:textAlignment w:val="center"/>
              <w:rPr>
                <w:rFonts w:ascii="Times New Roman" w:eastAsia="Arial"/>
                <w:sz w:val="21"/>
                <w:szCs w:val="21"/>
              </w:rPr>
            </w:pPr>
            <w:r>
              <w:rPr>
                <w:rFonts w:ascii="Times New Roman" w:eastAsia="Arial"/>
                <w:sz w:val="21"/>
                <w:szCs w:val="21"/>
              </w:rPr>
              <w:t>龙门加工中心</w:t>
            </w:r>
          </w:p>
        </w:tc>
        <w:tc>
          <w:tcPr>
            <w:tcW w:w="1431" w:type="pct"/>
            <w:vAlign w:val="center"/>
          </w:tcPr>
          <w:p w14:paraId="414CCC36">
            <w:pPr>
              <w:jc w:val="center"/>
              <w:textAlignment w:val="center"/>
              <w:rPr>
                <w:rFonts w:ascii="Times New Roman" w:eastAsia="Arial"/>
                <w:sz w:val="21"/>
                <w:szCs w:val="21"/>
              </w:rPr>
            </w:pPr>
            <w:r>
              <w:rPr>
                <w:rFonts w:ascii="Times New Roman"/>
                <w:sz w:val="21"/>
                <w:szCs w:val="21"/>
              </w:rPr>
              <w:t>PM2040</w:t>
            </w:r>
          </w:p>
        </w:tc>
        <w:tc>
          <w:tcPr>
            <w:tcW w:w="470" w:type="pct"/>
            <w:vAlign w:val="center"/>
          </w:tcPr>
          <w:p w14:paraId="50E534C8">
            <w:pPr>
              <w:widowControl/>
              <w:jc w:val="center"/>
              <w:textAlignment w:val="center"/>
              <w:rPr>
                <w:rFonts w:ascii="Times New Roman"/>
                <w:sz w:val="21"/>
                <w:szCs w:val="21"/>
              </w:rPr>
            </w:pPr>
            <w:r>
              <w:rPr>
                <w:rFonts w:ascii="Times New Roman" w:eastAsia="Arial"/>
                <w:sz w:val="21"/>
                <w:szCs w:val="21"/>
              </w:rPr>
              <w:t>1</w:t>
            </w:r>
          </w:p>
        </w:tc>
      </w:tr>
      <w:tr w14:paraId="3BC05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71C757B">
            <w:pPr>
              <w:jc w:val="center"/>
              <w:rPr>
                <w:rFonts w:ascii="Times New Roman"/>
                <w:sz w:val="21"/>
                <w:szCs w:val="21"/>
              </w:rPr>
            </w:pPr>
            <w:r>
              <w:rPr>
                <w:rFonts w:ascii="Times New Roman"/>
                <w:sz w:val="21"/>
                <w:szCs w:val="21"/>
              </w:rPr>
              <w:t>82</w:t>
            </w:r>
          </w:p>
        </w:tc>
        <w:tc>
          <w:tcPr>
            <w:tcW w:w="413" w:type="pct"/>
            <w:vMerge w:val="continue"/>
            <w:vAlign w:val="center"/>
          </w:tcPr>
          <w:p w14:paraId="2C140448">
            <w:pPr>
              <w:jc w:val="center"/>
              <w:rPr>
                <w:rFonts w:ascii="Times New Roman"/>
                <w:spacing w:val="-6"/>
                <w:sz w:val="21"/>
                <w:szCs w:val="21"/>
              </w:rPr>
            </w:pPr>
          </w:p>
        </w:tc>
        <w:tc>
          <w:tcPr>
            <w:tcW w:w="616" w:type="pct"/>
            <w:vMerge w:val="restart"/>
            <w:vAlign w:val="center"/>
          </w:tcPr>
          <w:p w14:paraId="7891BE4B">
            <w:pPr>
              <w:jc w:val="center"/>
              <w:rPr>
                <w:rFonts w:ascii="Times New Roman"/>
                <w:spacing w:val="-6"/>
                <w:sz w:val="21"/>
                <w:szCs w:val="21"/>
              </w:rPr>
            </w:pPr>
            <w:r>
              <w:rPr>
                <w:rFonts w:ascii="Times New Roman"/>
                <w:spacing w:val="-6"/>
                <w:sz w:val="21"/>
                <w:szCs w:val="21"/>
              </w:rPr>
              <w:t>轴热处理区</w:t>
            </w:r>
          </w:p>
        </w:tc>
        <w:tc>
          <w:tcPr>
            <w:tcW w:w="761" w:type="pct"/>
            <w:vMerge w:val="restart"/>
            <w:vAlign w:val="center"/>
          </w:tcPr>
          <w:p w14:paraId="2E305309">
            <w:pPr>
              <w:jc w:val="center"/>
              <w:rPr>
                <w:rFonts w:ascii="Times New Roman"/>
                <w:spacing w:val="-6"/>
                <w:sz w:val="21"/>
                <w:szCs w:val="21"/>
              </w:rPr>
            </w:pPr>
            <w:r>
              <w:rPr>
                <w:rFonts w:ascii="Times New Roman"/>
                <w:spacing w:val="-6"/>
                <w:sz w:val="21"/>
                <w:szCs w:val="21"/>
              </w:rPr>
              <w:t>轴热处理</w:t>
            </w:r>
          </w:p>
        </w:tc>
        <w:tc>
          <w:tcPr>
            <w:tcW w:w="965" w:type="pct"/>
            <w:gridSpan w:val="2"/>
            <w:vAlign w:val="center"/>
          </w:tcPr>
          <w:p w14:paraId="40A20D98">
            <w:pPr>
              <w:widowControl/>
              <w:jc w:val="center"/>
              <w:textAlignment w:val="center"/>
              <w:rPr>
                <w:rFonts w:ascii="Times New Roman" w:eastAsia="Arial"/>
                <w:sz w:val="21"/>
                <w:szCs w:val="21"/>
              </w:rPr>
            </w:pPr>
            <w:r>
              <w:rPr>
                <w:rFonts w:ascii="Times New Roman" w:eastAsia="Arial"/>
                <w:sz w:val="21"/>
                <w:szCs w:val="21"/>
              </w:rPr>
              <w:t>大淬火炉（电能）</w:t>
            </w:r>
          </w:p>
        </w:tc>
        <w:tc>
          <w:tcPr>
            <w:tcW w:w="1431" w:type="pct"/>
            <w:vAlign w:val="center"/>
          </w:tcPr>
          <w:p w14:paraId="347F76DA">
            <w:pPr>
              <w:jc w:val="center"/>
              <w:rPr>
                <w:rFonts w:ascii="Times New Roman" w:eastAsia="Arial"/>
                <w:sz w:val="21"/>
                <w:szCs w:val="21"/>
              </w:rPr>
            </w:pPr>
            <w:r>
              <w:rPr>
                <w:rFonts w:ascii="Times New Roman"/>
                <w:sz w:val="21"/>
                <w:szCs w:val="21"/>
              </w:rPr>
              <w:t>/</w:t>
            </w:r>
          </w:p>
        </w:tc>
        <w:tc>
          <w:tcPr>
            <w:tcW w:w="470" w:type="pct"/>
            <w:vAlign w:val="center"/>
          </w:tcPr>
          <w:p w14:paraId="68F4E194">
            <w:pPr>
              <w:widowControl/>
              <w:jc w:val="center"/>
              <w:textAlignment w:val="center"/>
              <w:rPr>
                <w:rFonts w:ascii="Times New Roman"/>
                <w:sz w:val="21"/>
                <w:szCs w:val="21"/>
              </w:rPr>
            </w:pPr>
            <w:r>
              <w:rPr>
                <w:rFonts w:ascii="Times New Roman" w:eastAsia="Arial"/>
                <w:sz w:val="21"/>
                <w:szCs w:val="21"/>
              </w:rPr>
              <w:t>1</w:t>
            </w:r>
          </w:p>
        </w:tc>
      </w:tr>
      <w:tr w14:paraId="231BE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B37410E">
            <w:pPr>
              <w:jc w:val="center"/>
              <w:rPr>
                <w:rFonts w:ascii="Times New Roman"/>
                <w:sz w:val="21"/>
                <w:szCs w:val="21"/>
              </w:rPr>
            </w:pPr>
            <w:r>
              <w:rPr>
                <w:rFonts w:ascii="Times New Roman"/>
                <w:sz w:val="21"/>
                <w:szCs w:val="21"/>
              </w:rPr>
              <w:t>83</w:t>
            </w:r>
          </w:p>
        </w:tc>
        <w:tc>
          <w:tcPr>
            <w:tcW w:w="413" w:type="pct"/>
            <w:vMerge w:val="continue"/>
            <w:vAlign w:val="center"/>
          </w:tcPr>
          <w:p w14:paraId="52A4FEC7">
            <w:pPr>
              <w:jc w:val="center"/>
              <w:rPr>
                <w:rFonts w:ascii="Times New Roman"/>
                <w:spacing w:val="-6"/>
                <w:sz w:val="21"/>
                <w:szCs w:val="21"/>
              </w:rPr>
            </w:pPr>
          </w:p>
        </w:tc>
        <w:tc>
          <w:tcPr>
            <w:tcW w:w="616" w:type="pct"/>
            <w:vMerge w:val="continue"/>
            <w:vAlign w:val="center"/>
          </w:tcPr>
          <w:p w14:paraId="2D157E7F">
            <w:pPr>
              <w:jc w:val="center"/>
              <w:rPr>
                <w:rFonts w:ascii="Times New Roman"/>
                <w:spacing w:val="-6"/>
                <w:sz w:val="21"/>
                <w:szCs w:val="21"/>
              </w:rPr>
            </w:pPr>
          </w:p>
        </w:tc>
        <w:tc>
          <w:tcPr>
            <w:tcW w:w="761" w:type="pct"/>
            <w:vMerge w:val="continue"/>
            <w:vAlign w:val="center"/>
          </w:tcPr>
          <w:p w14:paraId="159EB657">
            <w:pPr>
              <w:jc w:val="center"/>
              <w:rPr>
                <w:rFonts w:ascii="Times New Roman"/>
                <w:spacing w:val="-6"/>
                <w:sz w:val="21"/>
                <w:szCs w:val="21"/>
              </w:rPr>
            </w:pPr>
          </w:p>
        </w:tc>
        <w:tc>
          <w:tcPr>
            <w:tcW w:w="965" w:type="pct"/>
            <w:gridSpan w:val="2"/>
            <w:vAlign w:val="center"/>
          </w:tcPr>
          <w:p w14:paraId="2C291116">
            <w:pPr>
              <w:widowControl/>
              <w:jc w:val="center"/>
              <w:textAlignment w:val="center"/>
              <w:rPr>
                <w:rFonts w:ascii="Times New Roman" w:eastAsia="Arial"/>
                <w:sz w:val="21"/>
                <w:szCs w:val="21"/>
              </w:rPr>
            </w:pPr>
            <w:r>
              <w:rPr>
                <w:rFonts w:ascii="Times New Roman" w:eastAsia="Arial"/>
                <w:sz w:val="21"/>
                <w:szCs w:val="21"/>
              </w:rPr>
              <w:t>小淬火炉（电能）</w:t>
            </w:r>
          </w:p>
        </w:tc>
        <w:tc>
          <w:tcPr>
            <w:tcW w:w="1431" w:type="pct"/>
            <w:vAlign w:val="center"/>
          </w:tcPr>
          <w:p w14:paraId="5AA32338">
            <w:pPr>
              <w:jc w:val="center"/>
              <w:textAlignment w:val="center"/>
              <w:rPr>
                <w:rFonts w:ascii="Times New Roman" w:eastAsia="Arial"/>
                <w:sz w:val="21"/>
                <w:szCs w:val="21"/>
              </w:rPr>
            </w:pPr>
            <w:r>
              <w:rPr>
                <w:rFonts w:ascii="Times New Roman"/>
                <w:sz w:val="21"/>
                <w:szCs w:val="21"/>
              </w:rPr>
              <w:t>/</w:t>
            </w:r>
          </w:p>
        </w:tc>
        <w:tc>
          <w:tcPr>
            <w:tcW w:w="470" w:type="pct"/>
            <w:vAlign w:val="center"/>
          </w:tcPr>
          <w:p w14:paraId="1C6C9DF7">
            <w:pPr>
              <w:widowControl/>
              <w:jc w:val="center"/>
              <w:textAlignment w:val="center"/>
              <w:rPr>
                <w:rFonts w:ascii="Times New Roman"/>
                <w:sz w:val="21"/>
                <w:szCs w:val="21"/>
              </w:rPr>
            </w:pPr>
            <w:r>
              <w:rPr>
                <w:rFonts w:ascii="Times New Roman" w:eastAsia="Arial"/>
                <w:sz w:val="21"/>
                <w:szCs w:val="21"/>
              </w:rPr>
              <w:t>2</w:t>
            </w:r>
          </w:p>
        </w:tc>
      </w:tr>
      <w:tr w14:paraId="0A9D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6D92CED">
            <w:pPr>
              <w:jc w:val="center"/>
              <w:rPr>
                <w:rFonts w:ascii="Times New Roman"/>
                <w:sz w:val="21"/>
                <w:szCs w:val="21"/>
              </w:rPr>
            </w:pPr>
            <w:r>
              <w:rPr>
                <w:rFonts w:ascii="Times New Roman"/>
                <w:sz w:val="21"/>
                <w:szCs w:val="21"/>
              </w:rPr>
              <w:t>84</w:t>
            </w:r>
          </w:p>
        </w:tc>
        <w:tc>
          <w:tcPr>
            <w:tcW w:w="413" w:type="pct"/>
            <w:vMerge w:val="continue"/>
            <w:vAlign w:val="center"/>
          </w:tcPr>
          <w:p w14:paraId="27618FC6">
            <w:pPr>
              <w:jc w:val="center"/>
              <w:rPr>
                <w:rFonts w:ascii="Times New Roman"/>
                <w:spacing w:val="-6"/>
                <w:sz w:val="21"/>
                <w:szCs w:val="21"/>
              </w:rPr>
            </w:pPr>
          </w:p>
        </w:tc>
        <w:tc>
          <w:tcPr>
            <w:tcW w:w="616" w:type="pct"/>
            <w:vMerge w:val="continue"/>
            <w:vAlign w:val="center"/>
          </w:tcPr>
          <w:p w14:paraId="12B38C43">
            <w:pPr>
              <w:jc w:val="center"/>
              <w:rPr>
                <w:rFonts w:ascii="Times New Roman"/>
                <w:spacing w:val="-6"/>
                <w:sz w:val="21"/>
                <w:szCs w:val="21"/>
              </w:rPr>
            </w:pPr>
          </w:p>
        </w:tc>
        <w:tc>
          <w:tcPr>
            <w:tcW w:w="761" w:type="pct"/>
            <w:vMerge w:val="continue"/>
            <w:vAlign w:val="center"/>
          </w:tcPr>
          <w:p w14:paraId="513D3C0E">
            <w:pPr>
              <w:jc w:val="center"/>
              <w:rPr>
                <w:rFonts w:ascii="Times New Roman"/>
                <w:spacing w:val="-6"/>
                <w:sz w:val="21"/>
                <w:szCs w:val="21"/>
              </w:rPr>
            </w:pPr>
          </w:p>
        </w:tc>
        <w:tc>
          <w:tcPr>
            <w:tcW w:w="965" w:type="pct"/>
            <w:gridSpan w:val="2"/>
            <w:vAlign w:val="center"/>
          </w:tcPr>
          <w:p w14:paraId="1805A49B">
            <w:pPr>
              <w:widowControl/>
              <w:jc w:val="center"/>
              <w:textAlignment w:val="center"/>
              <w:rPr>
                <w:rFonts w:ascii="Times New Roman" w:eastAsia="Arial"/>
                <w:sz w:val="21"/>
                <w:szCs w:val="21"/>
              </w:rPr>
            </w:pPr>
            <w:r>
              <w:rPr>
                <w:rFonts w:ascii="Times New Roman" w:eastAsia="Arial"/>
                <w:sz w:val="21"/>
                <w:szCs w:val="21"/>
              </w:rPr>
              <w:t>大回火炉（电能）</w:t>
            </w:r>
          </w:p>
        </w:tc>
        <w:tc>
          <w:tcPr>
            <w:tcW w:w="1431" w:type="pct"/>
            <w:vAlign w:val="center"/>
          </w:tcPr>
          <w:p w14:paraId="3D69E26E">
            <w:pPr>
              <w:jc w:val="center"/>
              <w:textAlignment w:val="center"/>
              <w:rPr>
                <w:rFonts w:ascii="Times New Roman" w:eastAsia="Arial"/>
                <w:sz w:val="21"/>
                <w:szCs w:val="21"/>
              </w:rPr>
            </w:pPr>
            <w:r>
              <w:rPr>
                <w:rFonts w:ascii="Times New Roman"/>
                <w:sz w:val="21"/>
                <w:szCs w:val="21"/>
              </w:rPr>
              <w:t>/</w:t>
            </w:r>
          </w:p>
        </w:tc>
        <w:tc>
          <w:tcPr>
            <w:tcW w:w="470" w:type="pct"/>
            <w:vAlign w:val="center"/>
          </w:tcPr>
          <w:p w14:paraId="5EE5B2EC">
            <w:pPr>
              <w:widowControl/>
              <w:jc w:val="center"/>
              <w:textAlignment w:val="center"/>
              <w:rPr>
                <w:rFonts w:ascii="Times New Roman"/>
                <w:sz w:val="21"/>
                <w:szCs w:val="21"/>
              </w:rPr>
            </w:pPr>
            <w:r>
              <w:rPr>
                <w:rFonts w:ascii="Times New Roman" w:eastAsia="Arial"/>
                <w:sz w:val="21"/>
                <w:szCs w:val="21"/>
              </w:rPr>
              <w:t>1</w:t>
            </w:r>
          </w:p>
        </w:tc>
      </w:tr>
      <w:tr w14:paraId="02AF6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AF93EA7">
            <w:pPr>
              <w:jc w:val="center"/>
              <w:rPr>
                <w:rFonts w:ascii="Times New Roman"/>
                <w:sz w:val="21"/>
                <w:szCs w:val="21"/>
              </w:rPr>
            </w:pPr>
            <w:r>
              <w:rPr>
                <w:rFonts w:ascii="Times New Roman"/>
                <w:sz w:val="21"/>
                <w:szCs w:val="21"/>
              </w:rPr>
              <w:t>85</w:t>
            </w:r>
          </w:p>
        </w:tc>
        <w:tc>
          <w:tcPr>
            <w:tcW w:w="413" w:type="pct"/>
            <w:vMerge w:val="continue"/>
            <w:vAlign w:val="center"/>
          </w:tcPr>
          <w:p w14:paraId="29213C33">
            <w:pPr>
              <w:jc w:val="center"/>
              <w:rPr>
                <w:rFonts w:ascii="Times New Roman"/>
                <w:spacing w:val="-6"/>
                <w:sz w:val="21"/>
                <w:szCs w:val="21"/>
              </w:rPr>
            </w:pPr>
          </w:p>
        </w:tc>
        <w:tc>
          <w:tcPr>
            <w:tcW w:w="616" w:type="pct"/>
            <w:vMerge w:val="continue"/>
            <w:vAlign w:val="center"/>
          </w:tcPr>
          <w:p w14:paraId="275F770D">
            <w:pPr>
              <w:jc w:val="center"/>
              <w:rPr>
                <w:rFonts w:ascii="Times New Roman"/>
                <w:spacing w:val="-6"/>
                <w:sz w:val="21"/>
                <w:szCs w:val="21"/>
              </w:rPr>
            </w:pPr>
          </w:p>
        </w:tc>
        <w:tc>
          <w:tcPr>
            <w:tcW w:w="761" w:type="pct"/>
            <w:vMerge w:val="continue"/>
            <w:vAlign w:val="center"/>
          </w:tcPr>
          <w:p w14:paraId="1EE10C77">
            <w:pPr>
              <w:jc w:val="center"/>
              <w:rPr>
                <w:rFonts w:ascii="Times New Roman"/>
                <w:spacing w:val="-6"/>
                <w:sz w:val="21"/>
                <w:szCs w:val="21"/>
              </w:rPr>
            </w:pPr>
          </w:p>
        </w:tc>
        <w:tc>
          <w:tcPr>
            <w:tcW w:w="965" w:type="pct"/>
            <w:gridSpan w:val="2"/>
            <w:vAlign w:val="center"/>
          </w:tcPr>
          <w:p w14:paraId="0B4C3B9A">
            <w:pPr>
              <w:widowControl/>
              <w:jc w:val="center"/>
              <w:textAlignment w:val="center"/>
              <w:rPr>
                <w:rFonts w:ascii="Times New Roman" w:eastAsia="Arial"/>
                <w:sz w:val="21"/>
                <w:szCs w:val="21"/>
              </w:rPr>
            </w:pPr>
            <w:r>
              <w:rPr>
                <w:rFonts w:ascii="Times New Roman" w:eastAsia="Arial"/>
                <w:sz w:val="21"/>
                <w:szCs w:val="21"/>
              </w:rPr>
              <w:t>小回火炉（电能）</w:t>
            </w:r>
          </w:p>
        </w:tc>
        <w:tc>
          <w:tcPr>
            <w:tcW w:w="1431" w:type="pct"/>
            <w:vAlign w:val="center"/>
          </w:tcPr>
          <w:p w14:paraId="5C6240D2">
            <w:pPr>
              <w:jc w:val="center"/>
              <w:rPr>
                <w:rFonts w:ascii="Times New Roman" w:eastAsia="Arial"/>
                <w:sz w:val="21"/>
                <w:szCs w:val="21"/>
              </w:rPr>
            </w:pPr>
            <w:r>
              <w:rPr>
                <w:rFonts w:ascii="Times New Roman"/>
                <w:sz w:val="21"/>
                <w:szCs w:val="21"/>
              </w:rPr>
              <w:t>/</w:t>
            </w:r>
          </w:p>
        </w:tc>
        <w:tc>
          <w:tcPr>
            <w:tcW w:w="470" w:type="pct"/>
            <w:vAlign w:val="center"/>
          </w:tcPr>
          <w:p w14:paraId="7CD64DFA">
            <w:pPr>
              <w:widowControl/>
              <w:jc w:val="center"/>
              <w:textAlignment w:val="center"/>
              <w:rPr>
                <w:rFonts w:ascii="Times New Roman"/>
                <w:sz w:val="21"/>
                <w:szCs w:val="21"/>
              </w:rPr>
            </w:pPr>
            <w:r>
              <w:rPr>
                <w:rFonts w:ascii="Times New Roman" w:eastAsia="Arial"/>
                <w:sz w:val="21"/>
                <w:szCs w:val="21"/>
              </w:rPr>
              <w:t>2</w:t>
            </w:r>
          </w:p>
        </w:tc>
      </w:tr>
      <w:tr w14:paraId="27401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A3448AE">
            <w:pPr>
              <w:jc w:val="center"/>
              <w:rPr>
                <w:rFonts w:ascii="Times New Roman"/>
                <w:sz w:val="21"/>
                <w:szCs w:val="21"/>
              </w:rPr>
            </w:pPr>
            <w:r>
              <w:rPr>
                <w:rFonts w:ascii="Times New Roman"/>
                <w:sz w:val="21"/>
                <w:szCs w:val="21"/>
              </w:rPr>
              <w:t>86</w:t>
            </w:r>
          </w:p>
        </w:tc>
        <w:tc>
          <w:tcPr>
            <w:tcW w:w="413" w:type="pct"/>
            <w:vMerge w:val="continue"/>
            <w:vAlign w:val="center"/>
          </w:tcPr>
          <w:p w14:paraId="6F3F5DC5">
            <w:pPr>
              <w:jc w:val="center"/>
              <w:rPr>
                <w:rFonts w:ascii="Times New Roman"/>
                <w:spacing w:val="-6"/>
                <w:sz w:val="21"/>
                <w:szCs w:val="21"/>
              </w:rPr>
            </w:pPr>
          </w:p>
        </w:tc>
        <w:tc>
          <w:tcPr>
            <w:tcW w:w="616" w:type="pct"/>
            <w:vMerge w:val="continue"/>
            <w:vAlign w:val="center"/>
          </w:tcPr>
          <w:p w14:paraId="65ACF3D2">
            <w:pPr>
              <w:jc w:val="center"/>
              <w:rPr>
                <w:rFonts w:ascii="Times New Roman"/>
                <w:spacing w:val="-6"/>
                <w:sz w:val="21"/>
                <w:szCs w:val="21"/>
              </w:rPr>
            </w:pPr>
          </w:p>
        </w:tc>
        <w:tc>
          <w:tcPr>
            <w:tcW w:w="761" w:type="pct"/>
            <w:vMerge w:val="continue"/>
            <w:vAlign w:val="center"/>
          </w:tcPr>
          <w:p w14:paraId="564FE9F6">
            <w:pPr>
              <w:jc w:val="center"/>
              <w:rPr>
                <w:rFonts w:ascii="Times New Roman"/>
                <w:spacing w:val="-6"/>
                <w:sz w:val="21"/>
                <w:szCs w:val="21"/>
              </w:rPr>
            </w:pPr>
          </w:p>
        </w:tc>
        <w:tc>
          <w:tcPr>
            <w:tcW w:w="965" w:type="pct"/>
            <w:gridSpan w:val="2"/>
            <w:vAlign w:val="center"/>
          </w:tcPr>
          <w:p w14:paraId="42965A47">
            <w:pPr>
              <w:widowControl/>
              <w:jc w:val="center"/>
              <w:textAlignment w:val="center"/>
              <w:rPr>
                <w:rFonts w:ascii="Times New Roman" w:eastAsia="Arial"/>
                <w:sz w:val="21"/>
                <w:szCs w:val="21"/>
              </w:rPr>
            </w:pPr>
            <w:r>
              <w:rPr>
                <w:rFonts w:ascii="Times New Roman" w:eastAsia="Arial"/>
                <w:sz w:val="21"/>
                <w:szCs w:val="21"/>
              </w:rPr>
              <w:t>水槽</w:t>
            </w:r>
          </w:p>
        </w:tc>
        <w:tc>
          <w:tcPr>
            <w:tcW w:w="1431" w:type="pct"/>
            <w:shd w:val="clear" w:color="auto" w:fill="auto"/>
            <w:vAlign w:val="center"/>
          </w:tcPr>
          <w:p w14:paraId="3234B57F">
            <w:pPr>
              <w:widowControl/>
              <w:jc w:val="center"/>
              <w:textAlignment w:val="center"/>
              <w:rPr>
                <w:rFonts w:ascii="Times New Roman" w:eastAsia="Arial"/>
                <w:sz w:val="21"/>
                <w:szCs w:val="21"/>
              </w:rPr>
            </w:pPr>
            <w:r>
              <w:rPr>
                <w:rFonts w:ascii="Times New Roman" w:eastAsia="Arial"/>
                <w:sz w:val="21"/>
                <w:szCs w:val="21"/>
              </w:rPr>
              <w:t>L</w:t>
            </w:r>
            <w:r>
              <w:rPr>
                <w:rFonts w:hint="eastAsia" w:ascii="Times New Roman" w:eastAsia="Arial"/>
                <w:sz w:val="21"/>
                <w:szCs w:val="21"/>
              </w:rPr>
              <w:t>20</w:t>
            </w:r>
            <w:r>
              <w:rPr>
                <w:rFonts w:ascii="Times New Roman" w:eastAsia="Arial"/>
                <w:sz w:val="21"/>
                <w:szCs w:val="21"/>
              </w:rPr>
              <w:t>m×W</w:t>
            </w:r>
            <w:r>
              <w:rPr>
                <w:rFonts w:hint="eastAsia" w:ascii="Times New Roman" w:eastAsia="Arial"/>
                <w:sz w:val="21"/>
                <w:szCs w:val="21"/>
              </w:rPr>
              <w:t>7.5</w:t>
            </w:r>
            <w:r>
              <w:rPr>
                <w:rFonts w:ascii="Times New Roman" w:eastAsia="Arial"/>
                <w:sz w:val="21"/>
                <w:szCs w:val="21"/>
              </w:rPr>
              <w:t>m×H6m</w:t>
            </w:r>
          </w:p>
        </w:tc>
        <w:tc>
          <w:tcPr>
            <w:tcW w:w="470" w:type="pct"/>
            <w:vAlign w:val="center"/>
          </w:tcPr>
          <w:p w14:paraId="5ECA5BB1">
            <w:pPr>
              <w:widowControl/>
              <w:jc w:val="center"/>
              <w:textAlignment w:val="center"/>
              <w:rPr>
                <w:rFonts w:ascii="Times New Roman"/>
                <w:sz w:val="21"/>
                <w:szCs w:val="21"/>
              </w:rPr>
            </w:pPr>
            <w:r>
              <w:rPr>
                <w:rFonts w:ascii="Times New Roman" w:eastAsia="Arial"/>
                <w:sz w:val="21"/>
                <w:szCs w:val="21"/>
              </w:rPr>
              <w:t>1</w:t>
            </w:r>
          </w:p>
        </w:tc>
      </w:tr>
      <w:tr w14:paraId="0AD74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A438071">
            <w:pPr>
              <w:jc w:val="center"/>
              <w:rPr>
                <w:rFonts w:ascii="Times New Roman"/>
                <w:sz w:val="21"/>
                <w:szCs w:val="21"/>
              </w:rPr>
            </w:pPr>
            <w:r>
              <w:rPr>
                <w:rFonts w:ascii="Times New Roman"/>
                <w:sz w:val="21"/>
                <w:szCs w:val="21"/>
              </w:rPr>
              <w:t>87</w:t>
            </w:r>
          </w:p>
        </w:tc>
        <w:tc>
          <w:tcPr>
            <w:tcW w:w="413" w:type="pct"/>
            <w:vMerge w:val="continue"/>
            <w:vAlign w:val="center"/>
          </w:tcPr>
          <w:p w14:paraId="5F1A6078">
            <w:pPr>
              <w:jc w:val="center"/>
              <w:rPr>
                <w:rFonts w:ascii="Times New Roman"/>
                <w:spacing w:val="-6"/>
                <w:sz w:val="21"/>
                <w:szCs w:val="21"/>
              </w:rPr>
            </w:pPr>
          </w:p>
        </w:tc>
        <w:tc>
          <w:tcPr>
            <w:tcW w:w="616" w:type="pct"/>
            <w:vMerge w:val="continue"/>
            <w:vAlign w:val="center"/>
          </w:tcPr>
          <w:p w14:paraId="523C48EB">
            <w:pPr>
              <w:jc w:val="center"/>
              <w:rPr>
                <w:rFonts w:ascii="Times New Roman"/>
                <w:spacing w:val="-6"/>
                <w:sz w:val="21"/>
                <w:szCs w:val="21"/>
              </w:rPr>
            </w:pPr>
          </w:p>
        </w:tc>
        <w:tc>
          <w:tcPr>
            <w:tcW w:w="761" w:type="pct"/>
            <w:vMerge w:val="continue"/>
            <w:vAlign w:val="center"/>
          </w:tcPr>
          <w:p w14:paraId="1E2DD525">
            <w:pPr>
              <w:jc w:val="center"/>
              <w:rPr>
                <w:rFonts w:ascii="Times New Roman"/>
                <w:spacing w:val="-6"/>
                <w:sz w:val="21"/>
                <w:szCs w:val="21"/>
              </w:rPr>
            </w:pPr>
          </w:p>
        </w:tc>
        <w:tc>
          <w:tcPr>
            <w:tcW w:w="965" w:type="pct"/>
            <w:gridSpan w:val="2"/>
            <w:vAlign w:val="center"/>
          </w:tcPr>
          <w:p w14:paraId="09000E74">
            <w:pPr>
              <w:widowControl/>
              <w:jc w:val="center"/>
              <w:textAlignment w:val="center"/>
              <w:rPr>
                <w:rFonts w:ascii="Times New Roman" w:eastAsia="Arial"/>
                <w:sz w:val="21"/>
                <w:szCs w:val="21"/>
              </w:rPr>
            </w:pPr>
            <w:r>
              <w:rPr>
                <w:rFonts w:ascii="Times New Roman" w:eastAsia="Arial"/>
                <w:sz w:val="21"/>
                <w:szCs w:val="21"/>
              </w:rPr>
              <w:t>油槽</w:t>
            </w:r>
          </w:p>
        </w:tc>
        <w:tc>
          <w:tcPr>
            <w:tcW w:w="1431" w:type="pct"/>
            <w:shd w:val="clear" w:color="auto" w:fill="auto"/>
            <w:vAlign w:val="center"/>
          </w:tcPr>
          <w:p w14:paraId="522F633F">
            <w:pPr>
              <w:widowControl/>
              <w:jc w:val="center"/>
              <w:textAlignment w:val="center"/>
              <w:rPr>
                <w:rFonts w:ascii="Times New Roman" w:eastAsia="Arial"/>
                <w:sz w:val="21"/>
                <w:szCs w:val="21"/>
              </w:rPr>
            </w:pPr>
            <w:r>
              <w:rPr>
                <w:rFonts w:hint="eastAsia" w:ascii="Times New Roman" w:eastAsia="Arial"/>
                <w:sz w:val="21"/>
                <w:szCs w:val="21"/>
              </w:rPr>
              <w:t>Ø4</w:t>
            </w:r>
            <w:r>
              <w:rPr>
                <w:rFonts w:ascii="Times New Roman" w:eastAsia="Arial"/>
                <w:sz w:val="21"/>
                <w:szCs w:val="21"/>
              </w:rPr>
              <w:t>m×</w:t>
            </w:r>
            <w:r>
              <w:rPr>
                <w:rFonts w:hint="eastAsia" w:ascii="Times New Roman" w:eastAsia="Arial"/>
                <w:sz w:val="21"/>
                <w:szCs w:val="21"/>
              </w:rPr>
              <w:t>7m</w:t>
            </w:r>
          </w:p>
        </w:tc>
        <w:tc>
          <w:tcPr>
            <w:tcW w:w="470" w:type="pct"/>
            <w:vAlign w:val="center"/>
          </w:tcPr>
          <w:p w14:paraId="4310730A">
            <w:pPr>
              <w:widowControl/>
              <w:jc w:val="center"/>
              <w:textAlignment w:val="center"/>
              <w:rPr>
                <w:rFonts w:ascii="Times New Roman"/>
                <w:sz w:val="21"/>
                <w:szCs w:val="21"/>
              </w:rPr>
            </w:pPr>
            <w:r>
              <w:rPr>
                <w:rFonts w:ascii="Times New Roman" w:eastAsia="Arial"/>
                <w:sz w:val="21"/>
                <w:szCs w:val="21"/>
              </w:rPr>
              <w:t>1</w:t>
            </w:r>
          </w:p>
        </w:tc>
      </w:tr>
      <w:tr w14:paraId="611E2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112ED2F">
            <w:pPr>
              <w:jc w:val="center"/>
              <w:rPr>
                <w:rFonts w:ascii="Times New Roman"/>
                <w:sz w:val="21"/>
                <w:szCs w:val="21"/>
              </w:rPr>
            </w:pPr>
            <w:r>
              <w:rPr>
                <w:rFonts w:ascii="Times New Roman"/>
                <w:sz w:val="21"/>
                <w:szCs w:val="21"/>
              </w:rPr>
              <w:t>88</w:t>
            </w:r>
          </w:p>
        </w:tc>
        <w:tc>
          <w:tcPr>
            <w:tcW w:w="413" w:type="pct"/>
            <w:vMerge w:val="continue"/>
            <w:vAlign w:val="center"/>
          </w:tcPr>
          <w:p w14:paraId="4717750D">
            <w:pPr>
              <w:jc w:val="center"/>
              <w:rPr>
                <w:rFonts w:ascii="Times New Roman"/>
                <w:spacing w:val="-6"/>
                <w:sz w:val="21"/>
                <w:szCs w:val="21"/>
              </w:rPr>
            </w:pPr>
          </w:p>
        </w:tc>
        <w:tc>
          <w:tcPr>
            <w:tcW w:w="616" w:type="pct"/>
            <w:vMerge w:val="continue"/>
            <w:vAlign w:val="center"/>
          </w:tcPr>
          <w:p w14:paraId="180065C3">
            <w:pPr>
              <w:jc w:val="center"/>
              <w:rPr>
                <w:rFonts w:ascii="Times New Roman"/>
                <w:spacing w:val="-6"/>
                <w:sz w:val="21"/>
                <w:szCs w:val="21"/>
              </w:rPr>
            </w:pPr>
          </w:p>
        </w:tc>
        <w:tc>
          <w:tcPr>
            <w:tcW w:w="761" w:type="pct"/>
            <w:vMerge w:val="continue"/>
            <w:vAlign w:val="center"/>
          </w:tcPr>
          <w:p w14:paraId="4A0A7BBC">
            <w:pPr>
              <w:jc w:val="center"/>
              <w:rPr>
                <w:rFonts w:ascii="Times New Roman"/>
                <w:spacing w:val="-6"/>
                <w:sz w:val="21"/>
                <w:szCs w:val="21"/>
              </w:rPr>
            </w:pPr>
          </w:p>
        </w:tc>
        <w:tc>
          <w:tcPr>
            <w:tcW w:w="965" w:type="pct"/>
            <w:gridSpan w:val="2"/>
            <w:vAlign w:val="center"/>
          </w:tcPr>
          <w:p w14:paraId="39C33EDF">
            <w:pPr>
              <w:widowControl/>
              <w:jc w:val="center"/>
              <w:textAlignment w:val="center"/>
              <w:rPr>
                <w:rFonts w:ascii="Times New Roman" w:eastAsia="Arial"/>
                <w:sz w:val="21"/>
                <w:szCs w:val="21"/>
              </w:rPr>
            </w:pPr>
            <w:r>
              <w:rPr>
                <w:rFonts w:ascii="Times New Roman" w:eastAsia="Arial"/>
                <w:sz w:val="21"/>
                <w:szCs w:val="21"/>
              </w:rPr>
              <w:t>全自动龙门取料机</w:t>
            </w:r>
          </w:p>
        </w:tc>
        <w:tc>
          <w:tcPr>
            <w:tcW w:w="1431" w:type="pct"/>
            <w:vAlign w:val="center"/>
          </w:tcPr>
          <w:p w14:paraId="2434A50D">
            <w:pPr>
              <w:jc w:val="center"/>
              <w:rPr>
                <w:rFonts w:ascii="Times New Roman" w:eastAsia="Arial"/>
                <w:sz w:val="21"/>
                <w:szCs w:val="21"/>
              </w:rPr>
            </w:pPr>
            <w:r>
              <w:rPr>
                <w:rFonts w:ascii="Times New Roman" w:eastAsia="Arial"/>
                <w:sz w:val="21"/>
                <w:szCs w:val="21"/>
              </w:rPr>
              <w:t>20t-15m/7.2m</w:t>
            </w:r>
          </w:p>
        </w:tc>
        <w:tc>
          <w:tcPr>
            <w:tcW w:w="470" w:type="pct"/>
            <w:vAlign w:val="center"/>
          </w:tcPr>
          <w:p w14:paraId="46A04991">
            <w:pPr>
              <w:widowControl/>
              <w:jc w:val="center"/>
              <w:textAlignment w:val="center"/>
              <w:rPr>
                <w:rFonts w:ascii="Times New Roman"/>
                <w:sz w:val="21"/>
                <w:szCs w:val="21"/>
              </w:rPr>
            </w:pPr>
            <w:r>
              <w:rPr>
                <w:rFonts w:ascii="Times New Roman" w:eastAsia="Arial"/>
                <w:sz w:val="21"/>
                <w:szCs w:val="21"/>
              </w:rPr>
              <w:t>1</w:t>
            </w:r>
          </w:p>
        </w:tc>
      </w:tr>
      <w:tr w14:paraId="14717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19B44DA">
            <w:pPr>
              <w:jc w:val="center"/>
              <w:rPr>
                <w:rFonts w:ascii="Times New Roman"/>
                <w:sz w:val="21"/>
                <w:szCs w:val="21"/>
              </w:rPr>
            </w:pPr>
            <w:r>
              <w:rPr>
                <w:rFonts w:ascii="Times New Roman"/>
                <w:sz w:val="21"/>
                <w:szCs w:val="21"/>
              </w:rPr>
              <w:t>89</w:t>
            </w:r>
          </w:p>
        </w:tc>
        <w:tc>
          <w:tcPr>
            <w:tcW w:w="413" w:type="pct"/>
            <w:vMerge w:val="continue"/>
            <w:vAlign w:val="center"/>
          </w:tcPr>
          <w:p w14:paraId="4DCC3955">
            <w:pPr>
              <w:jc w:val="center"/>
              <w:rPr>
                <w:rFonts w:ascii="Times New Roman"/>
                <w:spacing w:val="-6"/>
                <w:sz w:val="21"/>
                <w:szCs w:val="21"/>
              </w:rPr>
            </w:pPr>
          </w:p>
        </w:tc>
        <w:tc>
          <w:tcPr>
            <w:tcW w:w="616" w:type="pct"/>
            <w:vMerge w:val="continue"/>
            <w:vAlign w:val="center"/>
          </w:tcPr>
          <w:p w14:paraId="230E3156">
            <w:pPr>
              <w:jc w:val="center"/>
              <w:rPr>
                <w:rFonts w:ascii="Times New Roman"/>
                <w:spacing w:val="-6"/>
                <w:sz w:val="21"/>
                <w:szCs w:val="21"/>
              </w:rPr>
            </w:pPr>
          </w:p>
        </w:tc>
        <w:tc>
          <w:tcPr>
            <w:tcW w:w="761" w:type="pct"/>
            <w:vMerge w:val="continue"/>
            <w:vAlign w:val="center"/>
          </w:tcPr>
          <w:p w14:paraId="3F6B794E">
            <w:pPr>
              <w:jc w:val="center"/>
              <w:rPr>
                <w:rFonts w:ascii="Times New Roman"/>
                <w:spacing w:val="-6"/>
                <w:sz w:val="21"/>
                <w:szCs w:val="21"/>
              </w:rPr>
            </w:pPr>
          </w:p>
        </w:tc>
        <w:tc>
          <w:tcPr>
            <w:tcW w:w="965" w:type="pct"/>
            <w:gridSpan w:val="2"/>
            <w:vAlign w:val="center"/>
          </w:tcPr>
          <w:p w14:paraId="4BD9FA9E">
            <w:pPr>
              <w:widowControl/>
              <w:jc w:val="center"/>
              <w:textAlignment w:val="center"/>
              <w:rPr>
                <w:rFonts w:ascii="Times New Roman" w:eastAsia="Arial"/>
                <w:sz w:val="21"/>
                <w:szCs w:val="21"/>
              </w:rPr>
            </w:pPr>
            <w:r>
              <w:rPr>
                <w:rFonts w:ascii="Times New Roman" w:eastAsia="Arial"/>
                <w:sz w:val="21"/>
                <w:szCs w:val="21"/>
              </w:rPr>
              <w:t>移动式翻转机构</w:t>
            </w:r>
          </w:p>
        </w:tc>
        <w:tc>
          <w:tcPr>
            <w:tcW w:w="1431" w:type="pct"/>
            <w:vAlign w:val="center"/>
          </w:tcPr>
          <w:p w14:paraId="7FF35D78">
            <w:pPr>
              <w:jc w:val="center"/>
              <w:textAlignment w:val="center"/>
              <w:rPr>
                <w:rFonts w:ascii="Times New Roman" w:eastAsia="Arial"/>
                <w:sz w:val="21"/>
                <w:szCs w:val="21"/>
              </w:rPr>
            </w:pPr>
            <w:r>
              <w:rPr>
                <w:rFonts w:ascii="Times New Roman" w:eastAsia="Arial"/>
                <w:sz w:val="21"/>
                <w:szCs w:val="21"/>
              </w:rPr>
              <w:t>20t</w:t>
            </w:r>
          </w:p>
        </w:tc>
        <w:tc>
          <w:tcPr>
            <w:tcW w:w="470" w:type="pct"/>
            <w:vAlign w:val="center"/>
          </w:tcPr>
          <w:p w14:paraId="68F69731">
            <w:pPr>
              <w:widowControl/>
              <w:jc w:val="center"/>
              <w:textAlignment w:val="center"/>
              <w:rPr>
                <w:rFonts w:ascii="Times New Roman"/>
                <w:sz w:val="21"/>
                <w:szCs w:val="21"/>
              </w:rPr>
            </w:pPr>
            <w:r>
              <w:rPr>
                <w:rFonts w:ascii="Times New Roman" w:eastAsia="Arial"/>
                <w:sz w:val="21"/>
                <w:szCs w:val="21"/>
              </w:rPr>
              <w:t>1</w:t>
            </w:r>
          </w:p>
        </w:tc>
      </w:tr>
      <w:tr w14:paraId="1C88E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C7A20E6">
            <w:pPr>
              <w:jc w:val="center"/>
              <w:rPr>
                <w:rFonts w:ascii="Times New Roman"/>
                <w:sz w:val="21"/>
                <w:szCs w:val="21"/>
              </w:rPr>
            </w:pPr>
            <w:r>
              <w:rPr>
                <w:rFonts w:ascii="Times New Roman"/>
                <w:sz w:val="21"/>
                <w:szCs w:val="21"/>
              </w:rPr>
              <w:t>90</w:t>
            </w:r>
          </w:p>
        </w:tc>
        <w:tc>
          <w:tcPr>
            <w:tcW w:w="413" w:type="pct"/>
            <w:vMerge w:val="continue"/>
            <w:vAlign w:val="center"/>
          </w:tcPr>
          <w:p w14:paraId="1FCEB5DD">
            <w:pPr>
              <w:jc w:val="center"/>
              <w:rPr>
                <w:rFonts w:ascii="Times New Roman"/>
                <w:spacing w:val="-6"/>
                <w:sz w:val="21"/>
                <w:szCs w:val="21"/>
              </w:rPr>
            </w:pPr>
          </w:p>
        </w:tc>
        <w:tc>
          <w:tcPr>
            <w:tcW w:w="616" w:type="pct"/>
            <w:vAlign w:val="center"/>
          </w:tcPr>
          <w:p w14:paraId="2E42157E">
            <w:pPr>
              <w:jc w:val="center"/>
              <w:rPr>
                <w:rFonts w:ascii="Times New Roman"/>
                <w:spacing w:val="-6"/>
                <w:sz w:val="21"/>
                <w:szCs w:val="21"/>
              </w:rPr>
            </w:pPr>
            <w:r>
              <w:rPr>
                <w:rFonts w:ascii="Times New Roman"/>
                <w:spacing w:val="-6"/>
                <w:sz w:val="21"/>
                <w:szCs w:val="21"/>
              </w:rPr>
              <w:t>中、小轴穿轴区</w:t>
            </w:r>
          </w:p>
        </w:tc>
        <w:tc>
          <w:tcPr>
            <w:tcW w:w="761" w:type="pct"/>
            <w:vAlign w:val="center"/>
          </w:tcPr>
          <w:p w14:paraId="1F9A019B">
            <w:pPr>
              <w:jc w:val="center"/>
              <w:rPr>
                <w:rFonts w:ascii="Times New Roman"/>
                <w:spacing w:val="-6"/>
                <w:sz w:val="21"/>
                <w:szCs w:val="21"/>
              </w:rPr>
            </w:pPr>
            <w:r>
              <w:rPr>
                <w:rFonts w:ascii="Times New Roman"/>
                <w:kern w:val="0"/>
                <w:sz w:val="21"/>
                <w:szCs w:val="21"/>
              </w:rPr>
              <w:t>自动穿轴安装线</w:t>
            </w:r>
          </w:p>
        </w:tc>
        <w:tc>
          <w:tcPr>
            <w:tcW w:w="965" w:type="pct"/>
            <w:gridSpan w:val="2"/>
            <w:vAlign w:val="center"/>
          </w:tcPr>
          <w:p w14:paraId="4DD0485A">
            <w:pPr>
              <w:jc w:val="center"/>
              <w:rPr>
                <w:rFonts w:ascii="Times New Roman"/>
                <w:spacing w:val="-1"/>
                <w:sz w:val="21"/>
                <w:szCs w:val="21"/>
              </w:rPr>
            </w:pPr>
            <w:r>
              <w:rPr>
                <w:rFonts w:ascii="Times New Roman"/>
                <w:spacing w:val="-1"/>
                <w:sz w:val="21"/>
                <w:szCs w:val="21"/>
              </w:rPr>
              <w:t>自动穿轴线装置</w:t>
            </w:r>
          </w:p>
        </w:tc>
        <w:tc>
          <w:tcPr>
            <w:tcW w:w="1431" w:type="pct"/>
            <w:vAlign w:val="center"/>
          </w:tcPr>
          <w:p w14:paraId="767F53B8">
            <w:pPr>
              <w:jc w:val="center"/>
              <w:textAlignment w:val="center"/>
              <w:rPr>
                <w:rFonts w:ascii="Times New Roman"/>
                <w:sz w:val="21"/>
                <w:szCs w:val="21"/>
              </w:rPr>
            </w:pPr>
            <w:r>
              <w:rPr>
                <w:rFonts w:ascii="Times New Roman"/>
                <w:sz w:val="21"/>
                <w:szCs w:val="21"/>
              </w:rPr>
              <w:t>/</w:t>
            </w:r>
          </w:p>
        </w:tc>
        <w:tc>
          <w:tcPr>
            <w:tcW w:w="470" w:type="pct"/>
            <w:vAlign w:val="center"/>
          </w:tcPr>
          <w:p w14:paraId="66A959BD">
            <w:pPr>
              <w:jc w:val="center"/>
              <w:rPr>
                <w:rFonts w:ascii="Times New Roman"/>
                <w:sz w:val="21"/>
                <w:szCs w:val="21"/>
              </w:rPr>
            </w:pPr>
            <w:r>
              <w:rPr>
                <w:rFonts w:ascii="Times New Roman"/>
                <w:sz w:val="21"/>
                <w:szCs w:val="21"/>
              </w:rPr>
              <w:t>1</w:t>
            </w:r>
          </w:p>
        </w:tc>
      </w:tr>
      <w:tr w14:paraId="736B0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B8A766B">
            <w:pPr>
              <w:jc w:val="center"/>
              <w:rPr>
                <w:rFonts w:ascii="Times New Roman"/>
                <w:sz w:val="21"/>
                <w:szCs w:val="21"/>
              </w:rPr>
            </w:pPr>
            <w:r>
              <w:rPr>
                <w:rFonts w:ascii="Times New Roman"/>
                <w:sz w:val="21"/>
                <w:szCs w:val="21"/>
              </w:rPr>
              <w:t>91</w:t>
            </w:r>
          </w:p>
        </w:tc>
        <w:tc>
          <w:tcPr>
            <w:tcW w:w="413" w:type="pct"/>
            <w:vMerge w:val="continue"/>
            <w:vAlign w:val="center"/>
          </w:tcPr>
          <w:p w14:paraId="5C729A5B">
            <w:pPr>
              <w:jc w:val="center"/>
              <w:rPr>
                <w:rFonts w:ascii="Times New Roman"/>
                <w:sz w:val="21"/>
                <w:szCs w:val="21"/>
              </w:rPr>
            </w:pPr>
          </w:p>
        </w:tc>
        <w:tc>
          <w:tcPr>
            <w:tcW w:w="616" w:type="pct"/>
            <w:vMerge w:val="restart"/>
            <w:vAlign w:val="center"/>
          </w:tcPr>
          <w:p w14:paraId="66AC24E0">
            <w:pPr>
              <w:jc w:val="center"/>
              <w:rPr>
                <w:rFonts w:ascii="Times New Roman"/>
                <w:sz w:val="21"/>
                <w:szCs w:val="21"/>
              </w:rPr>
            </w:pPr>
            <w:r>
              <w:rPr>
                <w:rFonts w:ascii="Times New Roman"/>
                <w:sz w:val="21"/>
                <w:szCs w:val="21"/>
              </w:rPr>
              <w:t>卧车筒体外圆区</w:t>
            </w:r>
          </w:p>
        </w:tc>
        <w:tc>
          <w:tcPr>
            <w:tcW w:w="761" w:type="pct"/>
            <w:vMerge w:val="restart"/>
            <w:vAlign w:val="center"/>
          </w:tcPr>
          <w:p w14:paraId="4B30CA08">
            <w:pPr>
              <w:jc w:val="center"/>
              <w:rPr>
                <w:rFonts w:ascii="Times New Roman"/>
                <w:sz w:val="21"/>
                <w:szCs w:val="21"/>
              </w:rPr>
            </w:pPr>
            <w:r>
              <w:rPr>
                <w:rFonts w:ascii="Times New Roman"/>
                <w:sz w:val="21"/>
                <w:szCs w:val="21"/>
              </w:rPr>
              <w:t>筒体外圆</w:t>
            </w:r>
          </w:p>
        </w:tc>
        <w:tc>
          <w:tcPr>
            <w:tcW w:w="965" w:type="pct"/>
            <w:gridSpan w:val="2"/>
            <w:vAlign w:val="center"/>
          </w:tcPr>
          <w:p w14:paraId="764D089C">
            <w:pPr>
              <w:widowControl/>
              <w:jc w:val="center"/>
              <w:textAlignment w:val="center"/>
              <w:rPr>
                <w:rFonts w:ascii="Times New Roman" w:eastAsia="Arial"/>
                <w:sz w:val="21"/>
                <w:szCs w:val="21"/>
              </w:rPr>
            </w:pPr>
            <w:r>
              <w:rPr>
                <w:rFonts w:ascii="Times New Roman"/>
                <w:sz w:val="21"/>
                <w:szCs w:val="21"/>
              </w:rPr>
              <w:t>数控</w:t>
            </w:r>
            <w:r>
              <w:rPr>
                <w:rFonts w:ascii="Times New Roman" w:eastAsia="Arial"/>
                <w:sz w:val="21"/>
                <w:szCs w:val="21"/>
              </w:rPr>
              <w:t>车床</w:t>
            </w:r>
          </w:p>
        </w:tc>
        <w:tc>
          <w:tcPr>
            <w:tcW w:w="1431" w:type="pct"/>
            <w:vAlign w:val="center"/>
          </w:tcPr>
          <w:p w14:paraId="0E610840">
            <w:pPr>
              <w:jc w:val="center"/>
              <w:rPr>
                <w:rFonts w:ascii="Times New Roman" w:eastAsia="Arial"/>
                <w:sz w:val="21"/>
                <w:szCs w:val="21"/>
              </w:rPr>
            </w:pPr>
            <w:r>
              <w:rPr>
                <w:rFonts w:ascii="Times New Roman" w:eastAsia="Arial"/>
                <w:sz w:val="21"/>
                <w:szCs w:val="21"/>
              </w:rPr>
              <w:t>CK61200</w:t>
            </w:r>
          </w:p>
        </w:tc>
        <w:tc>
          <w:tcPr>
            <w:tcW w:w="470" w:type="pct"/>
            <w:vAlign w:val="center"/>
          </w:tcPr>
          <w:p w14:paraId="35890193">
            <w:pPr>
              <w:widowControl/>
              <w:jc w:val="center"/>
              <w:textAlignment w:val="center"/>
              <w:rPr>
                <w:rFonts w:ascii="Times New Roman"/>
                <w:sz w:val="21"/>
                <w:szCs w:val="21"/>
              </w:rPr>
            </w:pPr>
            <w:r>
              <w:rPr>
                <w:rFonts w:ascii="Times New Roman" w:eastAsia="Arial"/>
                <w:sz w:val="21"/>
                <w:szCs w:val="21"/>
              </w:rPr>
              <w:t>1</w:t>
            </w:r>
          </w:p>
        </w:tc>
      </w:tr>
      <w:tr w14:paraId="16AFE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634A106">
            <w:pPr>
              <w:jc w:val="center"/>
              <w:rPr>
                <w:rFonts w:ascii="Times New Roman"/>
                <w:sz w:val="21"/>
                <w:szCs w:val="21"/>
              </w:rPr>
            </w:pPr>
            <w:r>
              <w:rPr>
                <w:rFonts w:ascii="Times New Roman"/>
                <w:sz w:val="21"/>
                <w:szCs w:val="21"/>
              </w:rPr>
              <w:t>92</w:t>
            </w:r>
          </w:p>
        </w:tc>
        <w:tc>
          <w:tcPr>
            <w:tcW w:w="413" w:type="pct"/>
            <w:vMerge w:val="continue"/>
            <w:vAlign w:val="center"/>
          </w:tcPr>
          <w:p w14:paraId="4ECDA4F5">
            <w:pPr>
              <w:jc w:val="center"/>
              <w:rPr>
                <w:rFonts w:ascii="Times New Roman"/>
                <w:sz w:val="21"/>
                <w:szCs w:val="21"/>
              </w:rPr>
            </w:pPr>
          </w:p>
        </w:tc>
        <w:tc>
          <w:tcPr>
            <w:tcW w:w="616" w:type="pct"/>
            <w:vMerge w:val="continue"/>
            <w:vAlign w:val="center"/>
          </w:tcPr>
          <w:p w14:paraId="1D7CC6C7">
            <w:pPr>
              <w:jc w:val="center"/>
              <w:rPr>
                <w:rFonts w:ascii="Times New Roman"/>
                <w:sz w:val="21"/>
                <w:szCs w:val="21"/>
              </w:rPr>
            </w:pPr>
          </w:p>
        </w:tc>
        <w:tc>
          <w:tcPr>
            <w:tcW w:w="761" w:type="pct"/>
            <w:vMerge w:val="continue"/>
            <w:vAlign w:val="center"/>
          </w:tcPr>
          <w:p w14:paraId="2C95CAF0">
            <w:pPr>
              <w:jc w:val="center"/>
              <w:rPr>
                <w:rFonts w:ascii="Times New Roman"/>
                <w:sz w:val="21"/>
                <w:szCs w:val="21"/>
              </w:rPr>
            </w:pPr>
          </w:p>
        </w:tc>
        <w:tc>
          <w:tcPr>
            <w:tcW w:w="965" w:type="pct"/>
            <w:gridSpan w:val="2"/>
            <w:vAlign w:val="center"/>
          </w:tcPr>
          <w:p w14:paraId="7542AF69">
            <w:pPr>
              <w:widowControl/>
              <w:jc w:val="center"/>
              <w:textAlignment w:val="center"/>
              <w:rPr>
                <w:rFonts w:ascii="Times New Roman" w:eastAsia="Arial"/>
                <w:sz w:val="21"/>
                <w:szCs w:val="21"/>
              </w:rPr>
            </w:pPr>
            <w:r>
              <w:rPr>
                <w:rFonts w:ascii="Times New Roman"/>
                <w:sz w:val="21"/>
                <w:szCs w:val="21"/>
              </w:rPr>
              <w:t>数控</w:t>
            </w:r>
            <w:r>
              <w:rPr>
                <w:rFonts w:ascii="Times New Roman" w:eastAsia="Arial"/>
                <w:sz w:val="21"/>
                <w:szCs w:val="21"/>
              </w:rPr>
              <w:t>车床</w:t>
            </w:r>
          </w:p>
        </w:tc>
        <w:tc>
          <w:tcPr>
            <w:tcW w:w="1431" w:type="pct"/>
            <w:shd w:val="clear" w:color="auto" w:fill="auto"/>
            <w:vAlign w:val="center"/>
          </w:tcPr>
          <w:p w14:paraId="16958099">
            <w:pPr>
              <w:widowControl/>
              <w:jc w:val="center"/>
              <w:textAlignment w:val="center"/>
              <w:rPr>
                <w:rFonts w:ascii="Times New Roman"/>
                <w:kern w:val="0"/>
                <w:sz w:val="21"/>
                <w:szCs w:val="21"/>
              </w:rPr>
            </w:pPr>
            <w:r>
              <w:rPr>
                <w:rFonts w:ascii="Times New Roman"/>
                <w:kern w:val="0"/>
                <w:sz w:val="21"/>
                <w:szCs w:val="21"/>
              </w:rPr>
              <w:t>CK61250</w:t>
            </w:r>
          </w:p>
        </w:tc>
        <w:tc>
          <w:tcPr>
            <w:tcW w:w="470" w:type="pct"/>
            <w:vAlign w:val="center"/>
          </w:tcPr>
          <w:p w14:paraId="0CE7C45C">
            <w:pPr>
              <w:widowControl/>
              <w:jc w:val="center"/>
              <w:textAlignment w:val="center"/>
              <w:rPr>
                <w:rFonts w:ascii="Times New Roman"/>
                <w:sz w:val="21"/>
                <w:szCs w:val="21"/>
              </w:rPr>
            </w:pPr>
            <w:r>
              <w:rPr>
                <w:rFonts w:ascii="Times New Roman" w:eastAsia="Arial"/>
                <w:sz w:val="21"/>
                <w:szCs w:val="21"/>
              </w:rPr>
              <w:t>1</w:t>
            </w:r>
          </w:p>
        </w:tc>
      </w:tr>
      <w:tr w14:paraId="71BAA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38C3DB8">
            <w:pPr>
              <w:jc w:val="center"/>
              <w:rPr>
                <w:rFonts w:ascii="Times New Roman"/>
                <w:sz w:val="21"/>
                <w:szCs w:val="21"/>
              </w:rPr>
            </w:pPr>
            <w:r>
              <w:rPr>
                <w:rFonts w:ascii="Times New Roman"/>
                <w:sz w:val="21"/>
                <w:szCs w:val="21"/>
              </w:rPr>
              <w:t>93</w:t>
            </w:r>
          </w:p>
        </w:tc>
        <w:tc>
          <w:tcPr>
            <w:tcW w:w="413" w:type="pct"/>
            <w:vMerge w:val="continue"/>
            <w:vAlign w:val="center"/>
          </w:tcPr>
          <w:p w14:paraId="3E35687D">
            <w:pPr>
              <w:jc w:val="center"/>
              <w:rPr>
                <w:rFonts w:ascii="Times New Roman"/>
                <w:sz w:val="21"/>
                <w:szCs w:val="21"/>
              </w:rPr>
            </w:pPr>
          </w:p>
        </w:tc>
        <w:tc>
          <w:tcPr>
            <w:tcW w:w="616" w:type="pct"/>
            <w:vMerge w:val="continue"/>
            <w:vAlign w:val="center"/>
          </w:tcPr>
          <w:p w14:paraId="038B692D">
            <w:pPr>
              <w:jc w:val="center"/>
              <w:rPr>
                <w:rFonts w:ascii="Times New Roman"/>
                <w:sz w:val="21"/>
                <w:szCs w:val="21"/>
              </w:rPr>
            </w:pPr>
          </w:p>
        </w:tc>
        <w:tc>
          <w:tcPr>
            <w:tcW w:w="761" w:type="pct"/>
            <w:vMerge w:val="continue"/>
            <w:vAlign w:val="center"/>
          </w:tcPr>
          <w:p w14:paraId="1FEAF7CC">
            <w:pPr>
              <w:jc w:val="center"/>
              <w:rPr>
                <w:rFonts w:ascii="Times New Roman"/>
                <w:sz w:val="21"/>
                <w:szCs w:val="21"/>
              </w:rPr>
            </w:pPr>
          </w:p>
        </w:tc>
        <w:tc>
          <w:tcPr>
            <w:tcW w:w="965" w:type="pct"/>
            <w:gridSpan w:val="2"/>
            <w:vAlign w:val="center"/>
          </w:tcPr>
          <w:p w14:paraId="2BFF331C">
            <w:pPr>
              <w:widowControl/>
              <w:jc w:val="center"/>
              <w:textAlignment w:val="center"/>
              <w:rPr>
                <w:rFonts w:ascii="Times New Roman" w:eastAsia="Arial"/>
                <w:sz w:val="21"/>
                <w:szCs w:val="21"/>
              </w:rPr>
            </w:pPr>
            <w:r>
              <w:rPr>
                <w:rFonts w:ascii="Times New Roman"/>
                <w:sz w:val="21"/>
                <w:szCs w:val="21"/>
              </w:rPr>
              <w:t>数控</w:t>
            </w:r>
            <w:r>
              <w:rPr>
                <w:rFonts w:ascii="Times New Roman" w:eastAsia="Arial"/>
                <w:sz w:val="21"/>
                <w:szCs w:val="21"/>
              </w:rPr>
              <w:t>车床</w:t>
            </w:r>
          </w:p>
        </w:tc>
        <w:tc>
          <w:tcPr>
            <w:tcW w:w="1431" w:type="pct"/>
            <w:shd w:val="clear" w:color="auto" w:fill="auto"/>
            <w:vAlign w:val="center"/>
          </w:tcPr>
          <w:p w14:paraId="5BA50A52">
            <w:pPr>
              <w:widowControl/>
              <w:jc w:val="center"/>
              <w:textAlignment w:val="center"/>
              <w:rPr>
                <w:rFonts w:ascii="Times New Roman"/>
                <w:kern w:val="0"/>
                <w:sz w:val="21"/>
                <w:szCs w:val="21"/>
              </w:rPr>
            </w:pPr>
            <w:r>
              <w:rPr>
                <w:rFonts w:ascii="Times New Roman"/>
                <w:kern w:val="0"/>
                <w:sz w:val="21"/>
                <w:szCs w:val="21"/>
              </w:rPr>
              <w:t>CAK61125</w:t>
            </w:r>
          </w:p>
        </w:tc>
        <w:tc>
          <w:tcPr>
            <w:tcW w:w="470" w:type="pct"/>
            <w:vAlign w:val="center"/>
          </w:tcPr>
          <w:p w14:paraId="28947133">
            <w:pPr>
              <w:widowControl/>
              <w:jc w:val="center"/>
              <w:textAlignment w:val="center"/>
              <w:rPr>
                <w:rFonts w:ascii="Times New Roman"/>
                <w:sz w:val="21"/>
                <w:szCs w:val="21"/>
              </w:rPr>
            </w:pPr>
            <w:r>
              <w:rPr>
                <w:rFonts w:ascii="Times New Roman" w:eastAsia="Arial"/>
                <w:sz w:val="21"/>
                <w:szCs w:val="21"/>
              </w:rPr>
              <w:t>2</w:t>
            </w:r>
          </w:p>
        </w:tc>
      </w:tr>
      <w:tr w14:paraId="75EEB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tcBorders>
              <w:bottom w:val="single" w:color="auto" w:sz="4" w:space="0"/>
            </w:tcBorders>
            <w:shd w:val="clear" w:color="auto" w:fill="auto"/>
            <w:vAlign w:val="center"/>
          </w:tcPr>
          <w:p w14:paraId="20AB0240">
            <w:pPr>
              <w:jc w:val="center"/>
              <w:rPr>
                <w:rFonts w:ascii="Times New Roman"/>
                <w:sz w:val="21"/>
                <w:szCs w:val="21"/>
              </w:rPr>
            </w:pPr>
            <w:r>
              <w:rPr>
                <w:rFonts w:ascii="Times New Roman"/>
                <w:sz w:val="21"/>
                <w:szCs w:val="21"/>
              </w:rPr>
              <w:t>94</w:t>
            </w:r>
          </w:p>
        </w:tc>
        <w:tc>
          <w:tcPr>
            <w:tcW w:w="413" w:type="pct"/>
            <w:vMerge w:val="continue"/>
            <w:vAlign w:val="center"/>
          </w:tcPr>
          <w:p w14:paraId="737B7248">
            <w:pPr>
              <w:jc w:val="center"/>
              <w:rPr>
                <w:rFonts w:ascii="Times New Roman"/>
                <w:sz w:val="21"/>
                <w:szCs w:val="21"/>
              </w:rPr>
            </w:pPr>
          </w:p>
        </w:tc>
        <w:tc>
          <w:tcPr>
            <w:tcW w:w="616" w:type="pct"/>
            <w:vMerge w:val="continue"/>
            <w:vAlign w:val="center"/>
          </w:tcPr>
          <w:p w14:paraId="6861D26C">
            <w:pPr>
              <w:jc w:val="center"/>
              <w:rPr>
                <w:rFonts w:ascii="Times New Roman"/>
                <w:sz w:val="21"/>
                <w:szCs w:val="21"/>
              </w:rPr>
            </w:pPr>
          </w:p>
        </w:tc>
        <w:tc>
          <w:tcPr>
            <w:tcW w:w="761" w:type="pct"/>
            <w:vMerge w:val="restart"/>
            <w:vAlign w:val="center"/>
          </w:tcPr>
          <w:p w14:paraId="74A6FDB7">
            <w:pPr>
              <w:jc w:val="center"/>
              <w:rPr>
                <w:rFonts w:ascii="Times New Roman"/>
                <w:sz w:val="21"/>
                <w:szCs w:val="21"/>
              </w:rPr>
            </w:pPr>
            <w:r>
              <w:rPr>
                <w:rFonts w:ascii="Times New Roman" w:eastAsia="Arial"/>
                <w:sz w:val="21"/>
                <w:szCs w:val="21"/>
              </w:rPr>
              <w:t>天车</w:t>
            </w:r>
          </w:p>
        </w:tc>
        <w:tc>
          <w:tcPr>
            <w:tcW w:w="965" w:type="pct"/>
            <w:gridSpan w:val="2"/>
            <w:tcBorders>
              <w:bottom w:val="single" w:color="auto" w:sz="4" w:space="0"/>
            </w:tcBorders>
            <w:vAlign w:val="center"/>
          </w:tcPr>
          <w:p w14:paraId="36A5DD59">
            <w:pPr>
              <w:widowControl/>
              <w:jc w:val="center"/>
              <w:textAlignment w:val="center"/>
              <w:rPr>
                <w:rFonts w:ascii="Times New Roman" w:eastAsia="Arial"/>
                <w:sz w:val="21"/>
                <w:szCs w:val="21"/>
              </w:rPr>
            </w:pPr>
            <w:r>
              <w:rPr>
                <w:rFonts w:ascii="Times New Roman" w:eastAsia="Arial"/>
                <w:sz w:val="21"/>
                <w:szCs w:val="21"/>
              </w:rPr>
              <w:t>天车</w:t>
            </w:r>
          </w:p>
        </w:tc>
        <w:tc>
          <w:tcPr>
            <w:tcW w:w="1431" w:type="pct"/>
            <w:tcBorders>
              <w:bottom w:val="single" w:color="auto" w:sz="4" w:space="0"/>
            </w:tcBorders>
            <w:vAlign w:val="center"/>
          </w:tcPr>
          <w:p w14:paraId="325256FE">
            <w:pPr>
              <w:jc w:val="center"/>
              <w:rPr>
                <w:rFonts w:ascii="Times New Roman" w:eastAsia="Arial"/>
                <w:sz w:val="21"/>
                <w:szCs w:val="21"/>
              </w:rPr>
            </w:pPr>
            <w:r>
              <w:rPr>
                <w:rFonts w:ascii="Times New Roman" w:eastAsia="Arial"/>
                <w:sz w:val="21"/>
                <w:szCs w:val="21"/>
              </w:rPr>
              <w:t>50T</w:t>
            </w:r>
          </w:p>
        </w:tc>
        <w:tc>
          <w:tcPr>
            <w:tcW w:w="470" w:type="pct"/>
            <w:tcBorders>
              <w:bottom w:val="single" w:color="auto" w:sz="4" w:space="0"/>
            </w:tcBorders>
            <w:vAlign w:val="center"/>
          </w:tcPr>
          <w:p w14:paraId="677D4C33">
            <w:pPr>
              <w:widowControl/>
              <w:jc w:val="center"/>
              <w:textAlignment w:val="center"/>
              <w:rPr>
                <w:rFonts w:ascii="Times New Roman"/>
                <w:sz w:val="21"/>
                <w:szCs w:val="21"/>
              </w:rPr>
            </w:pPr>
            <w:r>
              <w:rPr>
                <w:rFonts w:ascii="Times New Roman" w:eastAsia="Arial"/>
                <w:sz w:val="21"/>
                <w:szCs w:val="21"/>
              </w:rPr>
              <w:t>2</w:t>
            </w:r>
          </w:p>
        </w:tc>
      </w:tr>
      <w:tr w14:paraId="26DE2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tcBorders>
              <w:top w:val="single" w:color="auto" w:sz="4" w:space="0"/>
            </w:tcBorders>
            <w:shd w:val="clear" w:color="auto" w:fill="auto"/>
            <w:vAlign w:val="center"/>
          </w:tcPr>
          <w:p w14:paraId="2AC6CB1A">
            <w:pPr>
              <w:jc w:val="center"/>
              <w:rPr>
                <w:rFonts w:ascii="Times New Roman"/>
                <w:sz w:val="21"/>
                <w:szCs w:val="21"/>
              </w:rPr>
            </w:pPr>
            <w:r>
              <w:rPr>
                <w:rFonts w:ascii="Times New Roman"/>
                <w:sz w:val="21"/>
                <w:szCs w:val="21"/>
              </w:rPr>
              <w:t>95</w:t>
            </w:r>
          </w:p>
        </w:tc>
        <w:tc>
          <w:tcPr>
            <w:tcW w:w="413" w:type="pct"/>
            <w:vMerge w:val="continue"/>
            <w:vAlign w:val="center"/>
          </w:tcPr>
          <w:p w14:paraId="449F9F73">
            <w:pPr>
              <w:jc w:val="center"/>
              <w:rPr>
                <w:rFonts w:ascii="Times New Roman"/>
                <w:sz w:val="21"/>
                <w:szCs w:val="21"/>
              </w:rPr>
            </w:pPr>
          </w:p>
        </w:tc>
        <w:tc>
          <w:tcPr>
            <w:tcW w:w="616" w:type="pct"/>
            <w:vMerge w:val="continue"/>
            <w:vAlign w:val="center"/>
          </w:tcPr>
          <w:p w14:paraId="40524152">
            <w:pPr>
              <w:jc w:val="center"/>
              <w:rPr>
                <w:rFonts w:ascii="Times New Roman"/>
                <w:sz w:val="21"/>
                <w:szCs w:val="21"/>
              </w:rPr>
            </w:pPr>
          </w:p>
        </w:tc>
        <w:tc>
          <w:tcPr>
            <w:tcW w:w="761" w:type="pct"/>
            <w:vMerge w:val="continue"/>
            <w:vAlign w:val="center"/>
          </w:tcPr>
          <w:p w14:paraId="22AFE0A3">
            <w:pPr>
              <w:jc w:val="center"/>
              <w:rPr>
                <w:rFonts w:ascii="Times New Roman"/>
                <w:sz w:val="21"/>
                <w:szCs w:val="21"/>
              </w:rPr>
            </w:pPr>
          </w:p>
        </w:tc>
        <w:tc>
          <w:tcPr>
            <w:tcW w:w="965" w:type="pct"/>
            <w:gridSpan w:val="2"/>
            <w:tcBorders>
              <w:top w:val="single" w:color="auto" w:sz="4" w:space="0"/>
            </w:tcBorders>
            <w:vAlign w:val="center"/>
          </w:tcPr>
          <w:p w14:paraId="0CB76DAB">
            <w:pPr>
              <w:widowControl/>
              <w:jc w:val="center"/>
              <w:textAlignment w:val="center"/>
              <w:rPr>
                <w:rFonts w:ascii="Times New Roman" w:eastAsia="Arial"/>
                <w:sz w:val="21"/>
                <w:szCs w:val="21"/>
              </w:rPr>
            </w:pPr>
            <w:r>
              <w:rPr>
                <w:rFonts w:ascii="Times New Roman" w:eastAsia="Arial"/>
                <w:sz w:val="21"/>
                <w:szCs w:val="21"/>
              </w:rPr>
              <w:t>天车</w:t>
            </w:r>
          </w:p>
        </w:tc>
        <w:tc>
          <w:tcPr>
            <w:tcW w:w="1431" w:type="pct"/>
            <w:tcBorders>
              <w:top w:val="single" w:color="auto" w:sz="4" w:space="0"/>
            </w:tcBorders>
            <w:vAlign w:val="center"/>
          </w:tcPr>
          <w:p w14:paraId="176FE29D">
            <w:pPr>
              <w:jc w:val="center"/>
              <w:textAlignment w:val="center"/>
              <w:rPr>
                <w:rFonts w:ascii="Times New Roman" w:eastAsia="Arial"/>
                <w:sz w:val="21"/>
                <w:szCs w:val="21"/>
              </w:rPr>
            </w:pPr>
            <w:r>
              <w:rPr>
                <w:rFonts w:ascii="Times New Roman" w:eastAsia="Arial"/>
                <w:sz w:val="21"/>
                <w:szCs w:val="21"/>
              </w:rPr>
              <w:t>30T</w:t>
            </w:r>
          </w:p>
        </w:tc>
        <w:tc>
          <w:tcPr>
            <w:tcW w:w="470" w:type="pct"/>
            <w:tcBorders>
              <w:top w:val="single" w:color="auto" w:sz="4" w:space="0"/>
            </w:tcBorders>
            <w:vAlign w:val="center"/>
          </w:tcPr>
          <w:p w14:paraId="64217662">
            <w:pPr>
              <w:widowControl/>
              <w:jc w:val="center"/>
              <w:textAlignment w:val="center"/>
              <w:rPr>
                <w:rFonts w:ascii="Times New Roman"/>
                <w:sz w:val="21"/>
                <w:szCs w:val="21"/>
              </w:rPr>
            </w:pPr>
            <w:r>
              <w:rPr>
                <w:rFonts w:ascii="Times New Roman" w:eastAsia="Arial"/>
                <w:sz w:val="21"/>
                <w:szCs w:val="21"/>
              </w:rPr>
              <w:t>4</w:t>
            </w:r>
          </w:p>
        </w:tc>
      </w:tr>
      <w:tr w14:paraId="246E9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tcBorders>
              <w:top w:val="single" w:color="auto" w:sz="4" w:space="0"/>
            </w:tcBorders>
            <w:shd w:val="clear" w:color="auto" w:fill="auto"/>
            <w:vAlign w:val="center"/>
          </w:tcPr>
          <w:p w14:paraId="78BF661D">
            <w:pPr>
              <w:jc w:val="center"/>
              <w:rPr>
                <w:rFonts w:ascii="Times New Roman"/>
                <w:sz w:val="21"/>
                <w:szCs w:val="21"/>
              </w:rPr>
            </w:pPr>
            <w:r>
              <w:rPr>
                <w:rFonts w:ascii="Times New Roman"/>
                <w:sz w:val="21"/>
                <w:szCs w:val="21"/>
              </w:rPr>
              <w:t>96</w:t>
            </w:r>
          </w:p>
        </w:tc>
        <w:tc>
          <w:tcPr>
            <w:tcW w:w="413" w:type="pct"/>
            <w:vMerge w:val="restart"/>
            <w:tcBorders>
              <w:top w:val="single" w:color="auto" w:sz="4" w:space="0"/>
            </w:tcBorders>
            <w:vAlign w:val="center"/>
          </w:tcPr>
          <w:p w14:paraId="310E67D4">
            <w:pPr>
              <w:jc w:val="center"/>
              <w:rPr>
                <w:rFonts w:ascii="Times New Roman" w:eastAsiaTheme="minorEastAsia"/>
                <w:sz w:val="21"/>
                <w:szCs w:val="21"/>
              </w:rPr>
            </w:pPr>
            <w:r>
              <w:rPr>
                <w:rFonts w:ascii="Times New Roman"/>
                <w:sz w:val="21"/>
                <w:szCs w:val="21"/>
              </w:rPr>
              <w:t>焊接</w:t>
            </w:r>
            <w:r>
              <w:rPr>
                <w:rFonts w:hint="eastAsia" w:ascii="Times New Roman"/>
                <w:sz w:val="21"/>
                <w:szCs w:val="21"/>
              </w:rPr>
              <w:t>生产区</w:t>
            </w:r>
          </w:p>
        </w:tc>
        <w:tc>
          <w:tcPr>
            <w:tcW w:w="616" w:type="pct"/>
            <w:vMerge w:val="restart"/>
            <w:tcBorders>
              <w:top w:val="single" w:color="auto" w:sz="4" w:space="0"/>
            </w:tcBorders>
            <w:vAlign w:val="center"/>
          </w:tcPr>
          <w:p w14:paraId="4F451988">
            <w:pPr>
              <w:jc w:val="center"/>
              <w:rPr>
                <w:rFonts w:ascii="Times New Roman"/>
                <w:sz w:val="21"/>
                <w:szCs w:val="21"/>
              </w:rPr>
            </w:pPr>
            <w:r>
              <w:rPr>
                <w:rFonts w:ascii="Times New Roman"/>
                <w:sz w:val="21"/>
                <w:szCs w:val="21"/>
              </w:rPr>
              <w:t>中间架生产区</w:t>
            </w:r>
          </w:p>
        </w:tc>
        <w:tc>
          <w:tcPr>
            <w:tcW w:w="761" w:type="pct"/>
            <w:vMerge w:val="restart"/>
            <w:tcBorders>
              <w:top w:val="single" w:color="auto" w:sz="4" w:space="0"/>
            </w:tcBorders>
            <w:vAlign w:val="center"/>
          </w:tcPr>
          <w:p w14:paraId="76113B08">
            <w:pPr>
              <w:jc w:val="center"/>
              <w:rPr>
                <w:rFonts w:ascii="Times New Roman"/>
                <w:sz w:val="21"/>
                <w:szCs w:val="21"/>
              </w:rPr>
            </w:pPr>
            <w:r>
              <w:rPr>
                <w:rFonts w:ascii="Times New Roman"/>
                <w:kern w:val="0"/>
                <w:sz w:val="21"/>
                <w:szCs w:val="21"/>
              </w:rPr>
              <w:t>中间架自动产线</w:t>
            </w:r>
          </w:p>
        </w:tc>
        <w:tc>
          <w:tcPr>
            <w:tcW w:w="965" w:type="pct"/>
            <w:gridSpan w:val="2"/>
            <w:tcBorders>
              <w:top w:val="single" w:color="auto" w:sz="4" w:space="0"/>
            </w:tcBorders>
            <w:vAlign w:val="center"/>
          </w:tcPr>
          <w:p w14:paraId="5A2DA07F">
            <w:pPr>
              <w:widowControl/>
              <w:jc w:val="center"/>
              <w:textAlignment w:val="center"/>
              <w:rPr>
                <w:rFonts w:ascii="Times New Roman" w:eastAsia="Arial"/>
                <w:sz w:val="21"/>
                <w:szCs w:val="21"/>
              </w:rPr>
            </w:pPr>
            <w:r>
              <w:rPr>
                <w:rFonts w:ascii="Times New Roman" w:eastAsia="Arial"/>
                <w:sz w:val="21"/>
                <w:szCs w:val="21"/>
              </w:rPr>
              <w:t>三面冲剪机</w:t>
            </w:r>
          </w:p>
        </w:tc>
        <w:tc>
          <w:tcPr>
            <w:tcW w:w="1431" w:type="pct"/>
            <w:tcBorders>
              <w:top w:val="single" w:color="auto" w:sz="4" w:space="0"/>
            </w:tcBorders>
            <w:vAlign w:val="center"/>
          </w:tcPr>
          <w:p w14:paraId="4AE2F33C">
            <w:pPr>
              <w:jc w:val="center"/>
              <w:textAlignment w:val="center"/>
              <w:rPr>
                <w:rFonts w:ascii="Times New Roman" w:eastAsia="Arial"/>
                <w:sz w:val="21"/>
                <w:szCs w:val="21"/>
              </w:rPr>
            </w:pPr>
            <w:r>
              <w:rPr>
                <w:rFonts w:ascii="Times New Roman"/>
                <w:sz w:val="21"/>
                <w:szCs w:val="21"/>
              </w:rPr>
              <w:t>/</w:t>
            </w:r>
          </w:p>
        </w:tc>
        <w:tc>
          <w:tcPr>
            <w:tcW w:w="470" w:type="pct"/>
            <w:tcBorders>
              <w:top w:val="single" w:color="auto" w:sz="4" w:space="0"/>
            </w:tcBorders>
            <w:vAlign w:val="center"/>
          </w:tcPr>
          <w:p w14:paraId="15D463FC">
            <w:pPr>
              <w:widowControl/>
              <w:jc w:val="center"/>
              <w:textAlignment w:val="center"/>
              <w:rPr>
                <w:rFonts w:ascii="Times New Roman" w:eastAsia="Arial"/>
                <w:sz w:val="21"/>
                <w:szCs w:val="21"/>
              </w:rPr>
            </w:pPr>
            <w:r>
              <w:rPr>
                <w:rFonts w:ascii="Times New Roman" w:eastAsia="Arial"/>
                <w:sz w:val="21"/>
                <w:szCs w:val="21"/>
              </w:rPr>
              <w:t>1</w:t>
            </w:r>
          </w:p>
        </w:tc>
      </w:tr>
      <w:tr w14:paraId="12387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tcBorders>
              <w:top w:val="single" w:color="auto" w:sz="4" w:space="0"/>
            </w:tcBorders>
            <w:shd w:val="clear" w:color="auto" w:fill="auto"/>
            <w:vAlign w:val="center"/>
          </w:tcPr>
          <w:p w14:paraId="017A836D">
            <w:pPr>
              <w:jc w:val="center"/>
              <w:rPr>
                <w:rFonts w:ascii="Times New Roman"/>
                <w:sz w:val="21"/>
                <w:szCs w:val="21"/>
              </w:rPr>
            </w:pPr>
            <w:r>
              <w:rPr>
                <w:rFonts w:ascii="Times New Roman"/>
                <w:sz w:val="21"/>
                <w:szCs w:val="21"/>
              </w:rPr>
              <w:t>97</w:t>
            </w:r>
          </w:p>
        </w:tc>
        <w:tc>
          <w:tcPr>
            <w:tcW w:w="413" w:type="pct"/>
            <w:vMerge w:val="continue"/>
            <w:vAlign w:val="center"/>
          </w:tcPr>
          <w:p w14:paraId="48B0BB05">
            <w:pPr>
              <w:jc w:val="center"/>
              <w:rPr>
                <w:rFonts w:ascii="Times New Roman"/>
                <w:sz w:val="21"/>
                <w:szCs w:val="21"/>
              </w:rPr>
            </w:pPr>
          </w:p>
        </w:tc>
        <w:tc>
          <w:tcPr>
            <w:tcW w:w="616" w:type="pct"/>
            <w:vMerge w:val="continue"/>
            <w:vAlign w:val="center"/>
          </w:tcPr>
          <w:p w14:paraId="5E6F5882">
            <w:pPr>
              <w:jc w:val="center"/>
              <w:rPr>
                <w:rFonts w:ascii="Times New Roman"/>
                <w:sz w:val="21"/>
                <w:szCs w:val="21"/>
              </w:rPr>
            </w:pPr>
          </w:p>
        </w:tc>
        <w:tc>
          <w:tcPr>
            <w:tcW w:w="761" w:type="pct"/>
            <w:vMerge w:val="continue"/>
            <w:vAlign w:val="center"/>
          </w:tcPr>
          <w:p w14:paraId="63ABB6D3">
            <w:pPr>
              <w:jc w:val="center"/>
              <w:rPr>
                <w:rFonts w:ascii="Times New Roman"/>
                <w:sz w:val="21"/>
                <w:szCs w:val="21"/>
              </w:rPr>
            </w:pPr>
          </w:p>
        </w:tc>
        <w:tc>
          <w:tcPr>
            <w:tcW w:w="965" w:type="pct"/>
            <w:gridSpan w:val="2"/>
            <w:tcBorders>
              <w:top w:val="single" w:color="auto" w:sz="4" w:space="0"/>
            </w:tcBorders>
            <w:vAlign w:val="center"/>
          </w:tcPr>
          <w:p w14:paraId="6FDEF87F">
            <w:pPr>
              <w:widowControl/>
              <w:jc w:val="center"/>
              <w:textAlignment w:val="center"/>
              <w:rPr>
                <w:rFonts w:ascii="Times New Roman" w:eastAsia="Arial"/>
                <w:sz w:val="21"/>
                <w:szCs w:val="21"/>
              </w:rPr>
            </w:pPr>
            <w:r>
              <w:rPr>
                <w:rFonts w:ascii="Times New Roman" w:eastAsia="Arial"/>
                <w:sz w:val="21"/>
                <w:szCs w:val="21"/>
              </w:rPr>
              <w:t>制弧机</w:t>
            </w:r>
          </w:p>
        </w:tc>
        <w:tc>
          <w:tcPr>
            <w:tcW w:w="1431" w:type="pct"/>
            <w:tcBorders>
              <w:top w:val="single" w:color="auto" w:sz="4" w:space="0"/>
            </w:tcBorders>
            <w:vAlign w:val="center"/>
          </w:tcPr>
          <w:p w14:paraId="18A1188B">
            <w:pPr>
              <w:jc w:val="center"/>
              <w:rPr>
                <w:rFonts w:ascii="Times New Roman" w:eastAsia="Arial"/>
                <w:sz w:val="21"/>
                <w:szCs w:val="21"/>
              </w:rPr>
            </w:pPr>
            <w:r>
              <w:rPr>
                <w:rFonts w:ascii="Times New Roman"/>
                <w:sz w:val="21"/>
                <w:szCs w:val="21"/>
              </w:rPr>
              <w:t>/</w:t>
            </w:r>
          </w:p>
        </w:tc>
        <w:tc>
          <w:tcPr>
            <w:tcW w:w="470" w:type="pct"/>
            <w:tcBorders>
              <w:top w:val="single" w:color="auto" w:sz="4" w:space="0"/>
            </w:tcBorders>
            <w:vAlign w:val="center"/>
          </w:tcPr>
          <w:p w14:paraId="5AA25732">
            <w:pPr>
              <w:widowControl/>
              <w:jc w:val="center"/>
              <w:textAlignment w:val="center"/>
              <w:rPr>
                <w:rFonts w:ascii="Times New Roman" w:eastAsia="Arial"/>
                <w:sz w:val="21"/>
                <w:szCs w:val="21"/>
              </w:rPr>
            </w:pPr>
            <w:r>
              <w:rPr>
                <w:rFonts w:ascii="Times New Roman" w:eastAsia="Arial"/>
                <w:sz w:val="21"/>
                <w:szCs w:val="21"/>
              </w:rPr>
              <w:t>1</w:t>
            </w:r>
          </w:p>
        </w:tc>
      </w:tr>
      <w:tr w14:paraId="54AEA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tcBorders>
              <w:top w:val="single" w:color="auto" w:sz="4" w:space="0"/>
            </w:tcBorders>
            <w:shd w:val="clear" w:color="auto" w:fill="auto"/>
            <w:vAlign w:val="center"/>
          </w:tcPr>
          <w:p w14:paraId="36762B1B">
            <w:pPr>
              <w:jc w:val="center"/>
              <w:rPr>
                <w:rFonts w:ascii="Times New Roman"/>
                <w:sz w:val="21"/>
                <w:szCs w:val="21"/>
              </w:rPr>
            </w:pPr>
            <w:r>
              <w:rPr>
                <w:rFonts w:ascii="Times New Roman"/>
                <w:sz w:val="21"/>
                <w:szCs w:val="21"/>
              </w:rPr>
              <w:t>98</w:t>
            </w:r>
          </w:p>
        </w:tc>
        <w:tc>
          <w:tcPr>
            <w:tcW w:w="413" w:type="pct"/>
            <w:vMerge w:val="continue"/>
            <w:vAlign w:val="center"/>
          </w:tcPr>
          <w:p w14:paraId="279665FB">
            <w:pPr>
              <w:jc w:val="center"/>
              <w:rPr>
                <w:rFonts w:ascii="Times New Roman"/>
                <w:sz w:val="21"/>
                <w:szCs w:val="21"/>
              </w:rPr>
            </w:pPr>
          </w:p>
        </w:tc>
        <w:tc>
          <w:tcPr>
            <w:tcW w:w="616" w:type="pct"/>
            <w:vMerge w:val="continue"/>
            <w:vAlign w:val="center"/>
          </w:tcPr>
          <w:p w14:paraId="4C49CF75">
            <w:pPr>
              <w:jc w:val="center"/>
              <w:rPr>
                <w:rFonts w:ascii="Times New Roman"/>
                <w:sz w:val="21"/>
                <w:szCs w:val="21"/>
              </w:rPr>
            </w:pPr>
          </w:p>
        </w:tc>
        <w:tc>
          <w:tcPr>
            <w:tcW w:w="761" w:type="pct"/>
            <w:vMerge w:val="continue"/>
            <w:vAlign w:val="center"/>
          </w:tcPr>
          <w:p w14:paraId="49854146">
            <w:pPr>
              <w:jc w:val="center"/>
              <w:rPr>
                <w:rFonts w:ascii="Times New Roman"/>
                <w:sz w:val="21"/>
                <w:szCs w:val="21"/>
              </w:rPr>
            </w:pPr>
          </w:p>
        </w:tc>
        <w:tc>
          <w:tcPr>
            <w:tcW w:w="965" w:type="pct"/>
            <w:gridSpan w:val="2"/>
            <w:tcBorders>
              <w:top w:val="single" w:color="auto" w:sz="4" w:space="0"/>
            </w:tcBorders>
            <w:vAlign w:val="center"/>
          </w:tcPr>
          <w:p w14:paraId="6CF51AB0">
            <w:pPr>
              <w:widowControl/>
              <w:jc w:val="center"/>
              <w:textAlignment w:val="center"/>
              <w:rPr>
                <w:rFonts w:ascii="Times New Roman" w:eastAsia="Arial"/>
                <w:sz w:val="21"/>
                <w:szCs w:val="21"/>
              </w:rPr>
            </w:pPr>
            <w:r>
              <w:rPr>
                <w:rFonts w:ascii="Times New Roman" w:eastAsia="Arial"/>
                <w:sz w:val="21"/>
                <w:szCs w:val="21"/>
              </w:rPr>
              <w:t>焊机</w:t>
            </w:r>
          </w:p>
        </w:tc>
        <w:tc>
          <w:tcPr>
            <w:tcW w:w="1431" w:type="pct"/>
            <w:tcBorders>
              <w:top w:val="single" w:color="auto" w:sz="4" w:space="0"/>
            </w:tcBorders>
            <w:vAlign w:val="center"/>
          </w:tcPr>
          <w:p w14:paraId="075DC4C8">
            <w:pPr>
              <w:jc w:val="center"/>
              <w:textAlignment w:val="center"/>
              <w:rPr>
                <w:rFonts w:ascii="Times New Roman" w:eastAsia="Arial"/>
                <w:sz w:val="21"/>
                <w:szCs w:val="21"/>
              </w:rPr>
            </w:pPr>
            <w:r>
              <w:rPr>
                <w:rFonts w:ascii="Times New Roman"/>
                <w:sz w:val="21"/>
                <w:szCs w:val="21"/>
              </w:rPr>
              <w:t>/</w:t>
            </w:r>
          </w:p>
        </w:tc>
        <w:tc>
          <w:tcPr>
            <w:tcW w:w="470" w:type="pct"/>
            <w:tcBorders>
              <w:top w:val="single" w:color="auto" w:sz="4" w:space="0"/>
            </w:tcBorders>
            <w:vAlign w:val="center"/>
          </w:tcPr>
          <w:p w14:paraId="5B15922D">
            <w:pPr>
              <w:widowControl/>
              <w:jc w:val="center"/>
              <w:textAlignment w:val="center"/>
              <w:rPr>
                <w:rFonts w:ascii="Times New Roman" w:eastAsia="Arial"/>
                <w:sz w:val="21"/>
                <w:szCs w:val="21"/>
              </w:rPr>
            </w:pPr>
            <w:r>
              <w:rPr>
                <w:rFonts w:ascii="Times New Roman" w:eastAsia="Arial"/>
                <w:sz w:val="21"/>
                <w:szCs w:val="21"/>
              </w:rPr>
              <w:t>2</w:t>
            </w:r>
          </w:p>
        </w:tc>
      </w:tr>
      <w:tr w14:paraId="4131D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0EB9154">
            <w:pPr>
              <w:jc w:val="center"/>
              <w:rPr>
                <w:rFonts w:ascii="Times New Roman"/>
                <w:sz w:val="21"/>
                <w:szCs w:val="21"/>
              </w:rPr>
            </w:pPr>
            <w:r>
              <w:rPr>
                <w:rFonts w:ascii="Times New Roman"/>
                <w:sz w:val="21"/>
                <w:szCs w:val="21"/>
              </w:rPr>
              <w:t>99</w:t>
            </w:r>
          </w:p>
        </w:tc>
        <w:tc>
          <w:tcPr>
            <w:tcW w:w="413" w:type="pct"/>
            <w:vMerge w:val="continue"/>
            <w:vAlign w:val="center"/>
          </w:tcPr>
          <w:p w14:paraId="1D61535D">
            <w:pPr>
              <w:jc w:val="center"/>
              <w:rPr>
                <w:rFonts w:ascii="Times New Roman"/>
                <w:sz w:val="21"/>
                <w:szCs w:val="21"/>
              </w:rPr>
            </w:pPr>
          </w:p>
        </w:tc>
        <w:tc>
          <w:tcPr>
            <w:tcW w:w="616" w:type="pct"/>
            <w:vMerge w:val="continue"/>
            <w:vAlign w:val="center"/>
          </w:tcPr>
          <w:p w14:paraId="253BB84F">
            <w:pPr>
              <w:jc w:val="center"/>
              <w:rPr>
                <w:rFonts w:ascii="Times New Roman"/>
                <w:sz w:val="21"/>
                <w:szCs w:val="21"/>
              </w:rPr>
            </w:pPr>
          </w:p>
        </w:tc>
        <w:tc>
          <w:tcPr>
            <w:tcW w:w="761" w:type="pct"/>
            <w:vMerge w:val="continue"/>
            <w:vAlign w:val="center"/>
          </w:tcPr>
          <w:p w14:paraId="7788EED9">
            <w:pPr>
              <w:jc w:val="center"/>
              <w:rPr>
                <w:rFonts w:ascii="Times New Roman"/>
                <w:sz w:val="21"/>
                <w:szCs w:val="21"/>
              </w:rPr>
            </w:pPr>
          </w:p>
        </w:tc>
        <w:tc>
          <w:tcPr>
            <w:tcW w:w="965" w:type="pct"/>
            <w:gridSpan w:val="2"/>
            <w:vAlign w:val="center"/>
          </w:tcPr>
          <w:p w14:paraId="10296ECB">
            <w:pPr>
              <w:widowControl/>
              <w:jc w:val="center"/>
              <w:textAlignment w:val="center"/>
              <w:rPr>
                <w:rFonts w:ascii="Times New Roman" w:eastAsia="Arial"/>
                <w:sz w:val="21"/>
                <w:szCs w:val="21"/>
              </w:rPr>
            </w:pPr>
            <w:r>
              <w:rPr>
                <w:rFonts w:ascii="Times New Roman" w:eastAsia="Arial"/>
                <w:sz w:val="21"/>
                <w:szCs w:val="21"/>
              </w:rPr>
              <w:t>桁架机械手</w:t>
            </w:r>
          </w:p>
        </w:tc>
        <w:tc>
          <w:tcPr>
            <w:tcW w:w="1431" w:type="pct"/>
            <w:tcBorders>
              <w:right w:val="single" w:color="auto" w:sz="4" w:space="0"/>
            </w:tcBorders>
            <w:vAlign w:val="center"/>
          </w:tcPr>
          <w:p w14:paraId="378F04E5">
            <w:pPr>
              <w:jc w:val="center"/>
              <w:textAlignment w:val="center"/>
              <w:rPr>
                <w:rFonts w:ascii="Times New Roman" w:eastAsia="Arial"/>
                <w:sz w:val="21"/>
                <w:szCs w:val="21"/>
              </w:rPr>
            </w:pPr>
            <w:r>
              <w:rPr>
                <w:rFonts w:ascii="Times New Roman"/>
                <w:sz w:val="21"/>
                <w:szCs w:val="21"/>
              </w:rPr>
              <w:t>/</w:t>
            </w:r>
          </w:p>
        </w:tc>
        <w:tc>
          <w:tcPr>
            <w:tcW w:w="470" w:type="pct"/>
            <w:tcBorders>
              <w:left w:val="single" w:color="auto" w:sz="4" w:space="0"/>
            </w:tcBorders>
            <w:vAlign w:val="center"/>
          </w:tcPr>
          <w:p w14:paraId="2E799434">
            <w:pPr>
              <w:widowControl/>
              <w:jc w:val="center"/>
              <w:textAlignment w:val="center"/>
              <w:rPr>
                <w:rFonts w:ascii="Times New Roman" w:eastAsia="Arial"/>
                <w:sz w:val="21"/>
                <w:szCs w:val="21"/>
              </w:rPr>
            </w:pPr>
            <w:r>
              <w:rPr>
                <w:rFonts w:ascii="Times New Roman" w:eastAsia="Arial"/>
                <w:sz w:val="21"/>
                <w:szCs w:val="21"/>
              </w:rPr>
              <w:t>2</w:t>
            </w:r>
          </w:p>
        </w:tc>
      </w:tr>
      <w:tr w14:paraId="1789A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A6CD4D9">
            <w:pPr>
              <w:jc w:val="center"/>
              <w:rPr>
                <w:rFonts w:ascii="Times New Roman"/>
                <w:spacing w:val="-6"/>
                <w:sz w:val="21"/>
                <w:szCs w:val="21"/>
              </w:rPr>
            </w:pPr>
            <w:r>
              <w:rPr>
                <w:rFonts w:ascii="Times New Roman"/>
                <w:spacing w:val="-6"/>
                <w:sz w:val="21"/>
                <w:szCs w:val="21"/>
              </w:rPr>
              <w:t>100</w:t>
            </w:r>
          </w:p>
        </w:tc>
        <w:tc>
          <w:tcPr>
            <w:tcW w:w="413" w:type="pct"/>
            <w:vMerge w:val="continue"/>
            <w:vAlign w:val="center"/>
          </w:tcPr>
          <w:p w14:paraId="0BCD64E1">
            <w:pPr>
              <w:jc w:val="center"/>
              <w:rPr>
                <w:rFonts w:ascii="Times New Roman"/>
                <w:sz w:val="21"/>
                <w:szCs w:val="21"/>
              </w:rPr>
            </w:pPr>
          </w:p>
        </w:tc>
        <w:tc>
          <w:tcPr>
            <w:tcW w:w="616" w:type="pct"/>
            <w:vMerge w:val="restart"/>
            <w:vAlign w:val="center"/>
          </w:tcPr>
          <w:p w14:paraId="4AC68C6A">
            <w:pPr>
              <w:jc w:val="center"/>
              <w:rPr>
                <w:rFonts w:ascii="Times New Roman"/>
                <w:sz w:val="21"/>
                <w:szCs w:val="21"/>
              </w:rPr>
            </w:pPr>
            <w:r>
              <w:rPr>
                <w:rFonts w:ascii="Times New Roman"/>
                <w:sz w:val="21"/>
                <w:szCs w:val="21"/>
              </w:rPr>
              <w:t>钢管类横梁生产自动线</w:t>
            </w:r>
          </w:p>
        </w:tc>
        <w:tc>
          <w:tcPr>
            <w:tcW w:w="761" w:type="pct"/>
            <w:vMerge w:val="restart"/>
            <w:vAlign w:val="center"/>
          </w:tcPr>
          <w:p w14:paraId="4C726137">
            <w:pPr>
              <w:jc w:val="center"/>
              <w:rPr>
                <w:rFonts w:ascii="Times New Roman"/>
                <w:sz w:val="21"/>
                <w:szCs w:val="21"/>
              </w:rPr>
            </w:pPr>
            <w:r>
              <w:rPr>
                <w:rFonts w:ascii="Times New Roman"/>
                <w:kern w:val="0"/>
                <w:sz w:val="21"/>
                <w:szCs w:val="21"/>
              </w:rPr>
              <w:t>钢管类横梁生产自动线</w:t>
            </w:r>
          </w:p>
        </w:tc>
        <w:tc>
          <w:tcPr>
            <w:tcW w:w="965" w:type="pct"/>
            <w:gridSpan w:val="2"/>
            <w:vAlign w:val="center"/>
          </w:tcPr>
          <w:p w14:paraId="2582B42A">
            <w:pPr>
              <w:jc w:val="center"/>
              <w:rPr>
                <w:rFonts w:ascii="Times New Roman"/>
                <w:spacing w:val="-2"/>
                <w:sz w:val="21"/>
                <w:szCs w:val="21"/>
              </w:rPr>
            </w:pPr>
            <w:r>
              <w:rPr>
                <w:rFonts w:ascii="Times New Roman"/>
                <w:spacing w:val="-2"/>
                <w:sz w:val="21"/>
                <w:szCs w:val="21"/>
              </w:rPr>
              <w:t>圆盘锯</w:t>
            </w:r>
          </w:p>
        </w:tc>
        <w:tc>
          <w:tcPr>
            <w:tcW w:w="1431" w:type="pct"/>
            <w:vAlign w:val="center"/>
          </w:tcPr>
          <w:p w14:paraId="2F627FAC">
            <w:pPr>
              <w:jc w:val="center"/>
              <w:rPr>
                <w:rFonts w:ascii="Times New Roman"/>
                <w:spacing w:val="-2"/>
                <w:sz w:val="21"/>
                <w:szCs w:val="21"/>
              </w:rPr>
            </w:pPr>
            <w:r>
              <w:rPr>
                <w:rFonts w:ascii="Times New Roman"/>
                <w:sz w:val="21"/>
                <w:szCs w:val="21"/>
              </w:rPr>
              <w:t>/</w:t>
            </w:r>
          </w:p>
        </w:tc>
        <w:tc>
          <w:tcPr>
            <w:tcW w:w="470" w:type="pct"/>
            <w:vAlign w:val="center"/>
          </w:tcPr>
          <w:p w14:paraId="76216773">
            <w:pPr>
              <w:jc w:val="center"/>
              <w:rPr>
                <w:rFonts w:ascii="Times New Roman"/>
                <w:spacing w:val="4"/>
                <w:sz w:val="21"/>
                <w:szCs w:val="21"/>
              </w:rPr>
            </w:pPr>
            <w:r>
              <w:rPr>
                <w:rFonts w:ascii="Times New Roman"/>
                <w:spacing w:val="-2"/>
                <w:sz w:val="21"/>
                <w:szCs w:val="21"/>
              </w:rPr>
              <w:t>2</w:t>
            </w:r>
          </w:p>
        </w:tc>
      </w:tr>
      <w:tr w14:paraId="5FC40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666F067">
            <w:pPr>
              <w:jc w:val="center"/>
              <w:rPr>
                <w:rFonts w:ascii="Times New Roman"/>
                <w:sz w:val="21"/>
                <w:szCs w:val="21"/>
              </w:rPr>
            </w:pPr>
            <w:r>
              <w:rPr>
                <w:rFonts w:ascii="Times New Roman"/>
                <w:sz w:val="21"/>
                <w:szCs w:val="21"/>
              </w:rPr>
              <w:t>101</w:t>
            </w:r>
          </w:p>
        </w:tc>
        <w:tc>
          <w:tcPr>
            <w:tcW w:w="413" w:type="pct"/>
            <w:vMerge w:val="continue"/>
            <w:vAlign w:val="center"/>
          </w:tcPr>
          <w:p w14:paraId="523509E2">
            <w:pPr>
              <w:jc w:val="center"/>
              <w:rPr>
                <w:rFonts w:ascii="Times New Roman"/>
                <w:sz w:val="21"/>
                <w:szCs w:val="21"/>
              </w:rPr>
            </w:pPr>
          </w:p>
        </w:tc>
        <w:tc>
          <w:tcPr>
            <w:tcW w:w="616" w:type="pct"/>
            <w:vMerge w:val="continue"/>
            <w:vAlign w:val="center"/>
          </w:tcPr>
          <w:p w14:paraId="5C822B01">
            <w:pPr>
              <w:jc w:val="center"/>
              <w:rPr>
                <w:rFonts w:ascii="Times New Roman"/>
                <w:sz w:val="21"/>
                <w:szCs w:val="21"/>
              </w:rPr>
            </w:pPr>
          </w:p>
        </w:tc>
        <w:tc>
          <w:tcPr>
            <w:tcW w:w="761" w:type="pct"/>
            <w:vMerge w:val="continue"/>
            <w:vAlign w:val="center"/>
          </w:tcPr>
          <w:p w14:paraId="12E7056C">
            <w:pPr>
              <w:jc w:val="center"/>
              <w:rPr>
                <w:rFonts w:ascii="Times New Roman"/>
                <w:sz w:val="21"/>
                <w:szCs w:val="21"/>
              </w:rPr>
            </w:pPr>
          </w:p>
        </w:tc>
        <w:tc>
          <w:tcPr>
            <w:tcW w:w="965" w:type="pct"/>
            <w:gridSpan w:val="2"/>
            <w:vAlign w:val="center"/>
          </w:tcPr>
          <w:p w14:paraId="77BF06DD">
            <w:pPr>
              <w:jc w:val="center"/>
              <w:rPr>
                <w:rFonts w:ascii="Times New Roman"/>
                <w:spacing w:val="-2"/>
                <w:sz w:val="21"/>
                <w:szCs w:val="21"/>
              </w:rPr>
            </w:pPr>
            <w:r>
              <w:rPr>
                <w:rFonts w:ascii="Times New Roman"/>
                <w:spacing w:val="-2"/>
                <w:sz w:val="21"/>
                <w:szCs w:val="21"/>
              </w:rPr>
              <w:t>数控弯管机</w:t>
            </w:r>
          </w:p>
        </w:tc>
        <w:tc>
          <w:tcPr>
            <w:tcW w:w="1431" w:type="pct"/>
            <w:vAlign w:val="center"/>
          </w:tcPr>
          <w:p w14:paraId="6C3A3F76">
            <w:pPr>
              <w:jc w:val="center"/>
              <w:textAlignment w:val="center"/>
              <w:rPr>
                <w:rFonts w:ascii="Times New Roman"/>
                <w:spacing w:val="-2"/>
                <w:sz w:val="21"/>
                <w:szCs w:val="21"/>
              </w:rPr>
            </w:pPr>
            <w:r>
              <w:rPr>
                <w:rFonts w:ascii="Times New Roman"/>
                <w:sz w:val="21"/>
                <w:szCs w:val="21"/>
              </w:rPr>
              <w:t>/</w:t>
            </w:r>
          </w:p>
        </w:tc>
        <w:tc>
          <w:tcPr>
            <w:tcW w:w="470" w:type="pct"/>
            <w:vAlign w:val="center"/>
          </w:tcPr>
          <w:p w14:paraId="0FA498F0">
            <w:pPr>
              <w:jc w:val="center"/>
              <w:rPr>
                <w:rFonts w:ascii="Times New Roman"/>
                <w:sz w:val="21"/>
                <w:szCs w:val="21"/>
              </w:rPr>
            </w:pPr>
            <w:r>
              <w:rPr>
                <w:rFonts w:ascii="Times New Roman"/>
                <w:spacing w:val="-2"/>
                <w:sz w:val="21"/>
                <w:szCs w:val="21"/>
              </w:rPr>
              <w:t>2</w:t>
            </w:r>
          </w:p>
        </w:tc>
      </w:tr>
      <w:tr w14:paraId="1BFE9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FDE3EB9">
            <w:pPr>
              <w:jc w:val="center"/>
              <w:rPr>
                <w:rFonts w:ascii="Times New Roman"/>
                <w:sz w:val="21"/>
                <w:szCs w:val="21"/>
              </w:rPr>
            </w:pPr>
            <w:r>
              <w:rPr>
                <w:rFonts w:ascii="Times New Roman"/>
                <w:sz w:val="21"/>
                <w:szCs w:val="21"/>
              </w:rPr>
              <w:t>102</w:t>
            </w:r>
          </w:p>
        </w:tc>
        <w:tc>
          <w:tcPr>
            <w:tcW w:w="413" w:type="pct"/>
            <w:vMerge w:val="continue"/>
            <w:vAlign w:val="center"/>
          </w:tcPr>
          <w:p w14:paraId="4D5598CC">
            <w:pPr>
              <w:jc w:val="center"/>
              <w:rPr>
                <w:rFonts w:ascii="Times New Roman"/>
                <w:sz w:val="21"/>
                <w:szCs w:val="21"/>
              </w:rPr>
            </w:pPr>
          </w:p>
        </w:tc>
        <w:tc>
          <w:tcPr>
            <w:tcW w:w="616" w:type="pct"/>
            <w:vMerge w:val="continue"/>
            <w:vAlign w:val="center"/>
          </w:tcPr>
          <w:p w14:paraId="38FEADF2">
            <w:pPr>
              <w:jc w:val="center"/>
              <w:rPr>
                <w:rFonts w:ascii="Times New Roman"/>
                <w:sz w:val="21"/>
                <w:szCs w:val="21"/>
              </w:rPr>
            </w:pPr>
          </w:p>
        </w:tc>
        <w:tc>
          <w:tcPr>
            <w:tcW w:w="761" w:type="pct"/>
            <w:vMerge w:val="continue"/>
            <w:vAlign w:val="center"/>
          </w:tcPr>
          <w:p w14:paraId="2F1E8F9E">
            <w:pPr>
              <w:jc w:val="center"/>
              <w:rPr>
                <w:rFonts w:ascii="Times New Roman"/>
                <w:sz w:val="21"/>
                <w:szCs w:val="21"/>
              </w:rPr>
            </w:pPr>
          </w:p>
        </w:tc>
        <w:tc>
          <w:tcPr>
            <w:tcW w:w="965" w:type="pct"/>
            <w:gridSpan w:val="2"/>
            <w:vAlign w:val="center"/>
          </w:tcPr>
          <w:p w14:paraId="0D07EAF2">
            <w:pPr>
              <w:jc w:val="center"/>
              <w:rPr>
                <w:rFonts w:ascii="Times New Roman"/>
                <w:spacing w:val="-2"/>
                <w:sz w:val="21"/>
                <w:szCs w:val="21"/>
              </w:rPr>
            </w:pPr>
            <w:r>
              <w:rPr>
                <w:rFonts w:ascii="Times New Roman"/>
                <w:spacing w:val="-2"/>
                <w:sz w:val="21"/>
                <w:szCs w:val="21"/>
              </w:rPr>
              <w:t>组焊焊机</w:t>
            </w:r>
          </w:p>
        </w:tc>
        <w:tc>
          <w:tcPr>
            <w:tcW w:w="1431" w:type="pct"/>
            <w:vAlign w:val="center"/>
          </w:tcPr>
          <w:p w14:paraId="5BCC5B32">
            <w:pPr>
              <w:jc w:val="center"/>
              <w:textAlignment w:val="center"/>
              <w:rPr>
                <w:rFonts w:ascii="Times New Roman"/>
                <w:spacing w:val="-2"/>
                <w:sz w:val="21"/>
                <w:szCs w:val="21"/>
              </w:rPr>
            </w:pPr>
            <w:r>
              <w:rPr>
                <w:rFonts w:ascii="Times New Roman"/>
                <w:sz w:val="21"/>
                <w:szCs w:val="21"/>
              </w:rPr>
              <w:t>/</w:t>
            </w:r>
          </w:p>
        </w:tc>
        <w:tc>
          <w:tcPr>
            <w:tcW w:w="470" w:type="pct"/>
            <w:vAlign w:val="center"/>
          </w:tcPr>
          <w:p w14:paraId="600534DD">
            <w:pPr>
              <w:jc w:val="center"/>
              <w:rPr>
                <w:rFonts w:ascii="Times New Roman"/>
                <w:spacing w:val="4"/>
                <w:sz w:val="21"/>
                <w:szCs w:val="21"/>
              </w:rPr>
            </w:pPr>
            <w:r>
              <w:rPr>
                <w:rFonts w:ascii="Times New Roman"/>
                <w:spacing w:val="-2"/>
                <w:sz w:val="21"/>
                <w:szCs w:val="21"/>
              </w:rPr>
              <w:t>2</w:t>
            </w:r>
          </w:p>
        </w:tc>
      </w:tr>
      <w:tr w14:paraId="79F09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D652103">
            <w:pPr>
              <w:jc w:val="center"/>
              <w:rPr>
                <w:rFonts w:ascii="Times New Roman"/>
                <w:sz w:val="21"/>
                <w:szCs w:val="21"/>
              </w:rPr>
            </w:pPr>
            <w:r>
              <w:rPr>
                <w:rFonts w:ascii="Times New Roman"/>
                <w:sz w:val="21"/>
                <w:szCs w:val="21"/>
              </w:rPr>
              <w:t>103</w:t>
            </w:r>
          </w:p>
        </w:tc>
        <w:tc>
          <w:tcPr>
            <w:tcW w:w="413" w:type="pct"/>
            <w:vMerge w:val="continue"/>
            <w:vAlign w:val="center"/>
          </w:tcPr>
          <w:p w14:paraId="2F1812BC">
            <w:pPr>
              <w:jc w:val="center"/>
              <w:rPr>
                <w:rFonts w:ascii="Times New Roman"/>
                <w:sz w:val="21"/>
                <w:szCs w:val="21"/>
              </w:rPr>
            </w:pPr>
          </w:p>
        </w:tc>
        <w:tc>
          <w:tcPr>
            <w:tcW w:w="616" w:type="pct"/>
            <w:vMerge w:val="continue"/>
            <w:vAlign w:val="center"/>
          </w:tcPr>
          <w:p w14:paraId="2BB73E15">
            <w:pPr>
              <w:jc w:val="center"/>
              <w:rPr>
                <w:rFonts w:ascii="Times New Roman"/>
                <w:sz w:val="21"/>
                <w:szCs w:val="21"/>
              </w:rPr>
            </w:pPr>
          </w:p>
        </w:tc>
        <w:tc>
          <w:tcPr>
            <w:tcW w:w="761" w:type="pct"/>
            <w:vMerge w:val="continue"/>
            <w:vAlign w:val="center"/>
          </w:tcPr>
          <w:p w14:paraId="1A137AA7">
            <w:pPr>
              <w:jc w:val="center"/>
              <w:rPr>
                <w:rFonts w:ascii="Times New Roman"/>
                <w:sz w:val="21"/>
                <w:szCs w:val="21"/>
              </w:rPr>
            </w:pPr>
          </w:p>
        </w:tc>
        <w:tc>
          <w:tcPr>
            <w:tcW w:w="965" w:type="pct"/>
            <w:gridSpan w:val="2"/>
            <w:vAlign w:val="center"/>
          </w:tcPr>
          <w:p w14:paraId="196778E9">
            <w:pPr>
              <w:jc w:val="center"/>
              <w:rPr>
                <w:rFonts w:ascii="Times New Roman"/>
                <w:spacing w:val="-2"/>
                <w:sz w:val="21"/>
                <w:szCs w:val="21"/>
              </w:rPr>
            </w:pPr>
            <w:r>
              <w:rPr>
                <w:rFonts w:ascii="Times New Roman"/>
                <w:spacing w:val="-2"/>
                <w:sz w:val="21"/>
                <w:szCs w:val="21"/>
              </w:rPr>
              <w:t>焊接焊机</w:t>
            </w:r>
          </w:p>
        </w:tc>
        <w:tc>
          <w:tcPr>
            <w:tcW w:w="1431" w:type="pct"/>
            <w:vAlign w:val="center"/>
          </w:tcPr>
          <w:p w14:paraId="30BAF2F1">
            <w:pPr>
              <w:jc w:val="center"/>
              <w:rPr>
                <w:rFonts w:ascii="Times New Roman"/>
                <w:spacing w:val="-2"/>
                <w:sz w:val="21"/>
                <w:szCs w:val="21"/>
              </w:rPr>
            </w:pPr>
            <w:r>
              <w:rPr>
                <w:rFonts w:ascii="Times New Roman"/>
                <w:sz w:val="21"/>
                <w:szCs w:val="21"/>
              </w:rPr>
              <w:t>/</w:t>
            </w:r>
          </w:p>
        </w:tc>
        <w:tc>
          <w:tcPr>
            <w:tcW w:w="470" w:type="pct"/>
            <w:vAlign w:val="center"/>
          </w:tcPr>
          <w:p w14:paraId="4F06882D">
            <w:pPr>
              <w:jc w:val="center"/>
              <w:rPr>
                <w:rFonts w:ascii="Times New Roman"/>
                <w:sz w:val="21"/>
                <w:szCs w:val="21"/>
              </w:rPr>
            </w:pPr>
            <w:r>
              <w:rPr>
                <w:rFonts w:ascii="Times New Roman"/>
                <w:spacing w:val="-2"/>
                <w:sz w:val="21"/>
                <w:szCs w:val="21"/>
              </w:rPr>
              <w:t>20</w:t>
            </w:r>
          </w:p>
        </w:tc>
      </w:tr>
      <w:tr w14:paraId="5F7E9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B54855E">
            <w:pPr>
              <w:jc w:val="center"/>
              <w:rPr>
                <w:rFonts w:ascii="Times New Roman"/>
                <w:sz w:val="21"/>
                <w:szCs w:val="21"/>
              </w:rPr>
            </w:pPr>
            <w:r>
              <w:rPr>
                <w:rFonts w:ascii="Times New Roman"/>
                <w:sz w:val="21"/>
                <w:szCs w:val="21"/>
              </w:rPr>
              <w:t>104</w:t>
            </w:r>
          </w:p>
        </w:tc>
        <w:tc>
          <w:tcPr>
            <w:tcW w:w="413" w:type="pct"/>
            <w:vMerge w:val="continue"/>
            <w:vAlign w:val="center"/>
          </w:tcPr>
          <w:p w14:paraId="6B93B5F9">
            <w:pPr>
              <w:jc w:val="center"/>
              <w:rPr>
                <w:rFonts w:ascii="Times New Roman"/>
                <w:sz w:val="21"/>
                <w:szCs w:val="21"/>
              </w:rPr>
            </w:pPr>
          </w:p>
        </w:tc>
        <w:tc>
          <w:tcPr>
            <w:tcW w:w="616" w:type="pct"/>
            <w:vMerge w:val="continue"/>
            <w:vAlign w:val="center"/>
          </w:tcPr>
          <w:p w14:paraId="516DF8B7">
            <w:pPr>
              <w:jc w:val="center"/>
              <w:rPr>
                <w:rFonts w:ascii="Times New Roman"/>
                <w:sz w:val="21"/>
                <w:szCs w:val="21"/>
              </w:rPr>
            </w:pPr>
          </w:p>
        </w:tc>
        <w:tc>
          <w:tcPr>
            <w:tcW w:w="761" w:type="pct"/>
            <w:vMerge w:val="continue"/>
            <w:vAlign w:val="center"/>
          </w:tcPr>
          <w:p w14:paraId="0C114653">
            <w:pPr>
              <w:jc w:val="center"/>
              <w:rPr>
                <w:rFonts w:ascii="Times New Roman"/>
                <w:sz w:val="21"/>
                <w:szCs w:val="21"/>
              </w:rPr>
            </w:pPr>
          </w:p>
        </w:tc>
        <w:tc>
          <w:tcPr>
            <w:tcW w:w="965" w:type="pct"/>
            <w:gridSpan w:val="2"/>
            <w:vAlign w:val="center"/>
          </w:tcPr>
          <w:p w14:paraId="26B7B1CA">
            <w:pPr>
              <w:jc w:val="center"/>
              <w:rPr>
                <w:rFonts w:ascii="Times New Roman"/>
                <w:spacing w:val="-2"/>
                <w:sz w:val="21"/>
                <w:szCs w:val="21"/>
              </w:rPr>
            </w:pPr>
            <w:r>
              <w:rPr>
                <w:rFonts w:ascii="Times New Roman"/>
                <w:spacing w:val="-2"/>
                <w:sz w:val="21"/>
                <w:szCs w:val="21"/>
              </w:rPr>
              <w:t>转运机械手</w:t>
            </w:r>
          </w:p>
        </w:tc>
        <w:tc>
          <w:tcPr>
            <w:tcW w:w="1431" w:type="pct"/>
            <w:vAlign w:val="center"/>
          </w:tcPr>
          <w:p w14:paraId="328E6C93">
            <w:pPr>
              <w:jc w:val="center"/>
              <w:textAlignment w:val="center"/>
              <w:rPr>
                <w:rFonts w:ascii="Times New Roman"/>
                <w:spacing w:val="-2"/>
                <w:sz w:val="21"/>
                <w:szCs w:val="21"/>
              </w:rPr>
            </w:pPr>
            <w:r>
              <w:rPr>
                <w:rFonts w:ascii="Times New Roman"/>
                <w:sz w:val="21"/>
                <w:szCs w:val="21"/>
              </w:rPr>
              <w:t>/</w:t>
            </w:r>
          </w:p>
        </w:tc>
        <w:tc>
          <w:tcPr>
            <w:tcW w:w="470" w:type="pct"/>
            <w:vAlign w:val="center"/>
          </w:tcPr>
          <w:p w14:paraId="255A319B">
            <w:pPr>
              <w:jc w:val="center"/>
              <w:rPr>
                <w:rFonts w:ascii="Times New Roman"/>
                <w:spacing w:val="4"/>
                <w:sz w:val="21"/>
                <w:szCs w:val="21"/>
              </w:rPr>
            </w:pPr>
            <w:r>
              <w:rPr>
                <w:rFonts w:ascii="Times New Roman"/>
                <w:spacing w:val="-2"/>
                <w:sz w:val="21"/>
                <w:szCs w:val="21"/>
              </w:rPr>
              <w:t>2</w:t>
            </w:r>
          </w:p>
        </w:tc>
      </w:tr>
      <w:tr w14:paraId="67B8D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342" w:type="pct"/>
            <w:shd w:val="clear" w:color="auto" w:fill="auto"/>
            <w:vAlign w:val="center"/>
          </w:tcPr>
          <w:p w14:paraId="5B2BE3C9">
            <w:pPr>
              <w:jc w:val="center"/>
              <w:rPr>
                <w:rFonts w:ascii="Times New Roman"/>
                <w:sz w:val="21"/>
                <w:szCs w:val="21"/>
              </w:rPr>
            </w:pPr>
            <w:r>
              <w:rPr>
                <w:rFonts w:ascii="Times New Roman"/>
                <w:sz w:val="21"/>
                <w:szCs w:val="21"/>
              </w:rPr>
              <w:t>105</w:t>
            </w:r>
          </w:p>
        </w:tc>
        <w:tc>
          <w:tcPr>
            <w:tcW w:w="413" w:type="pct"/>
            <w:vMerge w:val="continue"/>
            <w:vAlign w:val="center"/>
          </w:tcPr>
          <w:p w14:paraId="07307FBD">
            <w:pPr>
              <w:jc w:val="center"/>
              <w:rPr>
                <w:rFonts w:ascii="Times New Roman"/>
                <w:position w:val="-2"/>
                <w:sz w:val="21"/>
                <w:szCs w:val="21"/>
              </w:rPr>
            </w:pPr>
          </w:p>
        </w:tc>
        <w:tc>
          <w:tcPr>
            <w:tcW w:w="616" w:type="pct"/>
            <w:vMerge w:val="restart"/>
            <w:vAlign w:val="center"/>
          </w:tcPr>
          <w:p w14:paraId="32B7138A">
            <w:pPr>
              <w:jc w:val="center"/>
              <w:rPr>
                <w:rFonts w:ascii="Times New Roman"/>
                <w:spacing w:val="-2"/>
                <w:sz w:val="21"/>
                <w:szCs w:val="21"/>
              </w:rPr>
            </w:pPr>
            <w:r>
              <w:rPr>
                <w:rFonts w:ascii="Times New Roman"/>
                <w:spacing w:val="-2"/>
                <w:sz w:val="21"/>
                <w:szCs w:val="21"/>
              </w:rPr>
              <w:t>钢管类横梁生产自动线-安装板焊接产线</w:t>
            </w:r>
          </w:p>
        </w:tc>
        <w:tc>
          <w:tcPr>
            <w:tcW w:w="761" w:type="pct"/>
            <w:vMerge w:val="restart"/>
            <w:vAlign w:val="center"/>
          </w:tcPr>
          <w:p w14:paraId="50616B19">
            <w:pPr>
              <w:jc w:val="center"/>
              <w:rPr>
                <w:rFonts w:ascii="Times New Roman"/>
                <w:spacing w:val="-2"/>
                <w:sz w:val="21"/>
                <w:szCs w:val="21"/>
              </w:rPr>
            </w:pPr>
            <w:r>
              <w:rPr>
                <w:rFonts w:ascii="Times New Roman"/>
                <w:kern w:val="0"/>
                <w:sz w:val="21"/>
                <w:szCs w:val="21"/>
              </w:rPr>
              <w:t>钢管类横梁生产自动线-安装板焊接产线</w:t>
            </w:r>
          </w:p>
        </w:tc>
        <w:tc>
          <w:tcPr>
            <w:tcW w:w="965" w:type="pct"/>
            <w:gridSpan w:val="2"/>
            <w:vAlign w:val="center"/>
          </w:tcPr>
          <w:p w14:paraId="2FC81CA6">
            <w:pPr>
              <w:jc w:val="center"/>
              <w:rPr>
                <w:rFonts w:ascii="Times New Roman"/>
                <w:spacing w:val="-2"/>
                <w:sz w:val="21"/>
                <w:szCs w:val="21"/>
              </w:rPr>
            </w:pPr>
            <w:r>
              <w:rPr>
                <w:rFonts w:ascii="Times New Roman"/>
                <w:spacing w:val="-2"/>
                <w:sz w:val="21"/>
                <w:szCs w:val="21"/>
              </w:rPr>
              <w:t>安装板组焊焊机</w:t>
            </w:r>
          </w:p>
        </w:tc>
        <w:tc>
          <w:tcPr>
            <w:tcW w:w="1431" w:type="pct"/>
            <w:vAlign w:val="center"/>
          </w:tcPr>
          <w:p w14:paraId="1D8BAC98">
            <w:pPr>
              <w:jc w:val="center"/>
              <w:textAlignment w:val="center"/>
              <w:rPr>
                <w:rFonts w:ascii="Times New Roman"/>
                <w:spacing w:val="-2"/>
                <w:sz w:val="21"/>
                <w:szCs w:val="21"/>
              </w:rPr>
            </w:pPr>
            <w:r>
              <w:rPr>
                <w:rFonts w:ascii="Times New Roman"/>
                <w:sz w:val="21"/>
                <w:szCs w:val="21"/>
              </w:rPr>
              <w:t>/</w:t>
            </w:r>
          </w:p>
        </w:tc>
        <w:tc>
          <w:tcPr>
            <w:tcW w:w="470" w:type="pct"/>
            <w:vAlign w:val="center"/>
          </w:tcPr>
          <w:p w14:paraId="3EBF2817">
            <w:pPr>
              <w:jc w:val="center"/>
              <w:rPr>
                <w:rFonts w:ascii="Times New Roman"/>
                <w:spacing w:val="-2"/>
                <w:sz w:val="21"/>
                <w:szCs w:val="21"/>
              </w:rPr>
            </w:pPr>
            <w:r>
              <w:rPr>
                <w:rFonts w:ascii="Times New Roman"/>
                <w:spacing w:val="-2"/>
                <w:sz w:val="21"/>
                <w:szCs w:val="21"/>
              </w:rPr>
              <w:t>2</w:t>
            </w:r>
          </w:p>
        </w:tc>
      </w:tr>
      <w:tr w14:paraId="4D3F8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342" w:type="pct"/>
            <w:shd w:val="clear" w:color="auto" w:fill="auto"/>
            <w:vAlign w:val="center"/>
          </w:tcPr>
          <w:p w14:paraId="6934B84A">
            <w:pPr>
              <w:jc w:val="center"/>
              <w:rPr>
                <w:rFonts w:ascii="Times New Roman"/>
                <w:sz w:val="21"/>
                <w:szCs w:val="21"/>
              </w:rPr>
            </w:pPr>
            <w:r>
              <w:rPr>
                <w:rFonts w:ascii="Times New Roman"/>
                <w:sz w:val="21"/>
                <w:szCs w:val="21"/>
              </w:rPr>
              <w:t>106</w:t>
            </w:r>
          </w:p>
        </w:tc>
        <w:tc>
          <w:tcPr>
            <w:tcW w:w="413" w:type="pct"/>
            <w:vMerge w:val="continue"/>
            <w:vAlign w:val="center"/>
          </w:tcPr>
          <w:p w14:paraId="5D55DA6C">
            <w:pPr>
              <w:jc w:val="center"/>
              <w:rPr>
                <w:rFonts w:ascii="Times New Roman"/>
                <w:sz w:val="21"/>
                <w:szCs w:val="21"/>
              </w:rPr>
            </w:pPr>
          </w:p>
        </w:tc>
        <w:tc>
          <w:tcPr>
            <w:tcW w:w="616" w:type="pct"/>
            <w:vMerge w:val="continue"/>
            <w:vAlign w:val="center"/>
          </w:tcPr>
          <w:p w14:paraId="70867B44">
            <w:pPr>
              <w:jc w:val="center"/>
              <w:rPr>
                <w:rFonts w:ascii="Times New Roman"/>
                <w:spacing w:val="-2"/>
                <w:sz w:val="21"/>
                <w:szCs w:val="21"/>
              </w:rPr>
            </w:pPr>
          </w:p>
        </w:tc>
        <w:tc>
          <w:tcPr>
            <w:tcW w:w="761" w:type="pct"/>
            <w:vMerge w:val="continue"/>
            <w:vAlign w:val="center"/>
          </w:tcPr>
          <w:p w14:paraId="5E61893A">
            <w:pPr>
              <w:jc w:val="center"/>
              <w:rPr>
                <w:rFonts w:ascii="Times New Roman"/>
                <w:spacing w:val="-2"/>
                <w:sz w:val="21"/>
                <w:szCs w:val="21"/>
              </w:rPr>
            </w:pPr>
          </w:p>
        </w:tc>
        <w:tc>
          <w:tcPr>
            <w:tcW w:w="965" w:type="pct"/>
            <w:gridSpan w:val="2"/>
            <w:vAlign w:val="center"/>
          </w:tcPr>
          <w:p w14:paraId="3F5E5F2B">
            <w:pPr>
              <w:jc w:val="center"/>
              <w:rPr>
                <w:rFonts w:ascii="Times New Roman"/>
                <w:spacing w:val="-2"/>
                <w:sz w:val="21"/>
                <w:szCs w:val="21"/>
              </w:rPr>
            </w:pPr>
            <w:r>
              <w:rPr>
                <w:rFonts w:ascii="Times New Roman"/>
                <w:spacing w:val="-2"/>
                <w:sz w:val="21"/>
                <w:szCs w:val="21"/>
              </w:rPr>
              <w:t>安装板焊接焊机</w:t>
            </w:r>
          </w:p>
        </w:tc>
        <w:tc>
          <w:tcPr>
            <w:tcW w:w="1431" w:type="pct"/>
            <w:vAlign w:val="center"/>
          </w:tcPr>
          <w:p w14:paraId="1FF0D012">
            <w:pPr>
              <w:jc w:val="center"/>
              <w:rPr>
                <w:rFonts w:ascii="Times New Roman"/>
                <w:spacing w:val="-2"/>
                <w:sz w:val="21"/>
                <w:szCs w:val="21"/>
              </w:rPr>
            </w:pPr>
            <w:r>
              <w:rPr>
                <w:rFonts w:ascii="Times New Roman"/>
                <w:sz w:val="21"/>
                <w:szCs w:val="21"/>
              </w:rPr>
              <w:t>/</w:t>
            </w:r>
          </w:p>
        </w:tc>
        <w:tc>
          <w:tcPr>
            <w:tcW w:w="470" w:type="pct"/>
            <w:vAlign w:val="center"/>
          </w:tcPr>
          <w:p w14:paraId="5C7FB692">
            <w:pPr>
              <w:jc w:val="center"/>
              <w:rPr>
                <w:rFonts w:ascii="Times New Roman"/>
                <w:spacing w:val="-2"/>
                <w:sz w:val="21"/>
                <w:szCs w:val="21"/>
              </w:rPr>
            </w:pPr>
            <w:r>
              <w:rPr>
                <w:rFonts w:ascii="Times New Roman"/>
                <w:spacing w:val="-2"/>
                <w:sz w:val="21"/>
                <w:szCs w:val="21"/>
              </w:rPr>
              <w:t>3</w:t>
            </w:r>
          </w:p>
        </w:tc>
      </w:tr>
      <w:tr w14:paraId="19A34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400B855">
            <w:pPr>
              <w:jc w:val="center"/>
              <w:rPr>
                <w:rFonts w:ascii="Times New Roman"/>
                <w:sz w:val="21"/>
                <w:szCs w:val="21"/>
              </w:rPr>
            </w:pPr>
            <w:r>
              <w:rPr>
                <w:rFonts w:ascii="Times New Roman"/>
                <w:sz w:val="21"/>
                <w:szCs w:val="21"/>
              </w:rPr>
              <w:t>107</w:t>
            </w:r>
          </w:p>
        </w:tc>
        <w:tc>
          <w:tcPr>
            <w:tcW w:w="413" w:type="pct"/>
            <w:vMerge w:val="continue"/>
            <w:vAlign w:val="center"/>
          </w:tcPr>
          <w:p w14:paraId="6E772A2B">
            <w:pPr>
              <w:jc w:val="center"/>
              <w:rPr>
                <w:rFonts w:ascii="Times New Roman"/>
                <w:sz w:val="21"/>
                <w:szCs w:val="21"/>
              </w:rPr>
            </w:pPr>
          </w:p>
        </w:tc>
        <w:tc>
          <w:tcPr>
            <w:tcW w:w="616" w:type="pct"/>
            <w:vMerge w:val="continue"/>
            <w:vAlign w:val="center"/>
          </w:tcPr>
          <w:p w14:paraId="306E7DE7">
            <w:pPr>
              <w:jc w:val="center"/>
              <w:rPr>
                <w:rFonts w:ascii="Times New Roman"/>
                <w:spacing w:val="-2"/>
                <w:sz w:val="21"/>
                <w:szCs w:val="21"/>
              </w:rPr>
            </w:pPr>
          </w:p>
        </w:tc>
        <w:tc>
          <w:tcPr>
            <w:tcW w:w="761" w:type="pct"/>
            <w:vMerge w:val="continue"/>
            <w:vAlign w:val="center"/>
          </w:tcPr>
          <w:p w14:paraId="50F26BFD">
            <w:pPr>
              <w:jc w:val="center"/>
              <w:rPr>
                <w:rFonts w:ascii="Times New Roman"/>
                <w:spacing w:val="-2"/>
                <w:sz w:val="21"/>
                <w:szCs w:val="21"/>
              </w:rPr>
            </w:pPr>
          </w:p>
        </w:tc>
        <w:tc>
          <w:tcPr>
            <w:tcW w:w="965" w:type="pct"/>
            <w:gridSpan w:val="2"/>
            <w:vAlign w:val="center"/>
          </w:tcPr>
          <w:p w14:paraId="058D279E">
            <w:pPr>
              <w:jc w:val="center"/>
              <w:rPr>
                <w:rFonts w:ascii="Times New Roman"/>
                <w:spacing w:val="-2"/>
                <w:sz w:val="21"/>
                <w:szCs w:val="21"/>
              </w:rPr>
            </w:pPr>
            <w:r>
              <w:rPr>
                <w:rFonts w:ascii="Times New Roman"/>
                <w:spacing w:val="-2"/>
                <w:sz w:val="21"/>
                <w:szCs w:val="21"/>
              </w:rPr>
              <w:t>转运机械手</w:t>
            </w:r>
          </w:p>
        </w:tc>
        <w:tc>
          <w:tcPr>
            <w:tcW w:w="1431" w:type="pct"/>
            <w:vAlign w:val="center"/>
          </w:tcPr>
          <w:p w14:paraId="3913E658">
            <w:pPr>
              <w:jc w:val="center"/>
              <w:textAlignment w:val="center"/>
              <w:rPr>
                <w:rFonts w:ascii="Times New Roman"/>
                <w:spacing w:val="-2"/>
                <w:sz w:val="21"/>
                <w:szCs w:val="21"/>
              </w:rPr>
            </w:pPr>
            <w:r>
              <w:rPr>
                <w:rFonts w:ascii="Times New Roman"/>
                <w:sz w:val="21"/>
                <w:szCs w:val="21"/>
              </w:rPr>
              <w:t>/</w:t>
            </w:r>
          </w:p>
        </w:tc>
        <w:tc>
          <w:tcPr>
            <w:tcW w:w="470" w:type="pct"/>
            <w:vAlign w:val="center"/>
          </w:tcPr>
          <w:p w14:paraId="324C6C4A">
            <w:pPr>
              <w:jc w:val="center"/>
              <w:rPr>
                <w:rFonts w:ascii="Times New Roman"/>
                <w:spacing w:val="-2"/>
                <w:sz w:val="21"/>
                <w:szCs w:val="21"/>
              </w:rPr>
            </w:pPr>
            <w:r>
              <w:rPr>
                <w:rFonts w:ascii="Times New Roman"/>
                <w:spacing w:val="-2"/>
                <w:sz w:val="21"/>
                <w:szCs w:val="21"/>
              </w:rPr>
              <w:t>1</w:t>
            </w:r>
          </w:p>
        </w:tc>
      </w:tr>
      <w:tr w14:paraId="01A2F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86CC839">
            <w:pPr>
              <w:jc w:val="center"/>
              <w:rPr>
                <w:rFonts w:ascii="Times New Roman"/>
                <w:sz w:val="21"/>
                <w:szCs w:val="21"/>
              </w:rPr>
            </w:pPr>
            <w:r>
              <w:rPr>
                <w:rFonts w:ascii="Times New Roman"/>
                <w:sz w:val="21"/>
                <w:szCs w:val="21"/>
              </w:rPr>
              <w:t>108</w:t>
            </w:r>
          </w:p>
        </w:tc>
        <w:tc>
          <w:tcPr>
            <w:tcW w:w="413" w:type="pct"/>
            <w:vMerge w:val="continue"/>
            <w:vAlign w:val="center"/>
          </w:tcPr>
          <w:p w14:paraId="23E5691B">
            <w:pPr>
              <w:jc w:val="center"/>
              <w:rPr>
                <w:rFonts w:ascii="Times New Roman"/>
                <w:spacing w:val="-6"/>
                <w:sz w:val="21"/>
                <w:szCs w:val="21"/>
              </w:rPr>
            </w:pPr>
          </w:p>
        </w:tc>
        <w:tc>
          <w:tcPr>
            <w:tcW w:w="616" w:type="pct"/>
            <w:vMerge w:val="restart"/>
            <w:vAlign w:val="center"/>
          </w:tcPr>
          <w:p w14:paraId="210D6070">
            <w:pPr>
              <w:jc w:val="center"/>
              <w:rPr>
                <w:rFonts w:ascii="Times New Roman"/>
                <w:spacing w:val="-6"/>
                <w:sz w:val="21"/>
                <w:szCs w:val="21"/>
              </w:rPr>
            </w:pPr>
            <w:r>
              <w:rPr>
                <w:rFonts w:ascii="Times New Roman"/>
                <w:spacing w:val="-6"/>
                <w:sz w:val="21"/>
                <w:szCs w:val="21"/>
              </w:rPr>
              <w:t>角钢类横梁生产单元</w:t>
            </w:r>
          </w:p>
        </w:tc>
        <w:tc>
          <w:tcPr>
            <w:tcW w:w="761" w:type="pct"/>
            <w:vMerge w:val="restart"/>
            <w:shd w:val="clear" w:color="auto" w:fill="auto"/>
            <w:vAlign w:val="center"/>
          </w:tcPr>
          <w:p w14:paraId="6C3F98DD">
            <w:pPr>
              <w:widowControl/>
              <w:jc w:val="center"/>
              <w:textAlignment w:val="center"/>
              <w:rPr>
                <w:rFonts w:ascii="Times New Roman"/>
                <w:spacing w:val="-6"/>
                <w:sz w:val="21"/>
                <w:szCs w:val="21"/>
              </w:rPr>
            </w:pPr>
            <w:r>
              <w:rPr>
                <w:rFonts w:ascii="Times New Roman"/>
                <w:kern w:val="0"/>
                <w:sz w:val="21"/>
                <w:szCs w:val="21"/>
              </w:rPr>
              <w:t>角钢类横梁生产自动线</w:t>
            </w:r>
          </w:p>
        </w:tc>
        <w:tc>
          <w:tcPr>
            <w:tcW w:w="965" w:type="pct"/>
            <w:gridSpan w:val="2"/>
            <w:vAlign w:val="center"/>
          </w:tcPr>
          <w:p w14:paraId="2514CF5F">
            <w:pPr>
              <w:widowControl/>
              <w:jc w:val="center"/>
              <w:textAlignment w:val="center"/>
              <w:rPr>
                <w:rFonts w:ascii="Times New Roman" w:eastAsia="Arial"/>
                <w:spacing w:val="-2"/>
                <w:sz w:val="21"/>
                <w:szCs w:val="21"/>
              </w:rPr>
            </w:pPr>
            <w:r>
              <w:rPr>
                <w:rFonts w:ascii="Times New Roman" w:eastAsia="Arial"/>
                <w:spacing w:val="-2"/>
                <w:sz w:val="21"/>
                <w:szCs w:val="21"/>
              </w:rPr>
              <w:t>组对焊机</w:t>
            </w:r>
          </w:p>
        </w:tc>
        <w:tc>
          <w:tcPr>
            <w:tcW w:w="1431" w:type="pct"/>
            <w:vAlign w:val="center"/>
          </w:tcPr>
          <w:p w14:paraId="3490A95E">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0253FC57">
            <w:pPr>
              <w:widowControl/>
              <w:jc w:val="center"/>
              <w:textAlignment w:val="center"/>
              <w:rPr>
                <w:rFonts w:ascii="Times New Roman"/>
                <w:spacing w:val="4"/>
                <w:sz w:val="21"/>
                <w:szCs w:val="21"/>
              </w:rPr>
            </w:pPr>
            <w:r>
              <w:rPr>
                <w:rFonts w:ascii="Times New Roman" w:eastAsia="Arial"/>
                <w:spacing w:val="-2"/>
                <w:sz w:val="21"/>
                <w:szCs w:val="21"/>
              </w:rPr>
              <w:t>2</w:t>
            </w:r>
          </w:p>
        </w:tc>
      </w:tr>
      <w:tr w14:paraId="361A1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1B10969">
            <w:pPr>
              <w:jc w:val="center"/>
              <w:rPr>
                <w:rFonts w:ascii="Times New Roman"/>
                <w:sz w:val="21"/>
                <w:szCs w:val="21"/>
              </w:rPr>
            </w:pPr>
            <w:r>
              <w:rPr>
                <w:rFonts w:ascii="Times New Roman"/>
                <w:sz w:val="21"/>
                <w:szCs w:val="21"/>
              </w:rPr>
              <w:t>109</w:t>
            </w:r>
          </w:p>
        </w:tc>
        <w:tc>
          <w:tcPr>
            <w:tcW w:w="413" w:type="pct"/>
            <w:vMerge w:val="continue"/>
            <w:vAlign w:val="center"/>
          </w:tcPr>
          <w:p w14:paraId="2BFCEB89">
            <w:pPr>
              <w:jc w:val="center"/>
              <w:rPr>
                <w:rFonts w:ascii="Times New Roman"/>
                <w:spacing w:val="-6"/>
                <w:sz w:val="21"/>
                <w:szCs w:val="21"/>
              </w:rPr>
            </w:pPr>
          </w:p>
        </w:tc>
        <w:tc>
          <w:tcPr>
            <w:tcW w:w="616" w:type="pct"/>
            <w:vMerge w:val="continue"/>
            <w:vAlign w:val="center"/>
          </w:tcPr>
          <w:p w14:paraId="1C67865A">
            <w:pPr>
              <w:jc w:val="center"/>
              <w:rPr>
                <w:rFonts w:ascii="Times New Roman"/>
                <w:spacing w:val="-6"/>
                <w:sz w:val="21"/>
                <w:szCs w:val="21"/>
              </w:rPr>
            </w:pPr>
          </w:p>
        </w:tc>
        <w:tc>
          <w:tcPr>
            <w:tcW w:w="761" w:type="pct"/>
            <w:vMerge w:val="continue"/>
            <w:vAlign w:val="center"/>
          </w:tcPr>
          <w:p w14:paraId="6958D4FD">
            <w:pPr>
              <w:jc w:val="center"/>
              <w:rPr>
                <w:rFonts w:ascii="Times New Roman"/>
                <w:spacing w:val="-6"/>
                <w:sz w:val="21"/>
                <w:szCs w:val="21"/>
              </w:rPr>
            </w:pPr>
          </w:p>
        </w:tc>
        <w:tc>
          <w:tcPr>
            <w:tcW w:w="965" w:type="pct"/>
            <w:gridSpan w:val="2"/>
            <w:vAlign w:val="center"/>
          </w:tcPr>
          <w:p w14:paraId="21F56D41">
            <w:pPr>
              <w:widowControl/>
              <w:jc w:val="center"/>
              <w:textAlignment w:val="center"/>
              <w:rPr>
                <w:rFonts w:ascii="Times New Roman" w:eastAsia="Arial"/>
                <w:spacing w:val="-2"/>
                <w:sz w:val="21"/>
                <w:szCs w:val="21"/>
              </w:rPr>
            </w:pPr>
            <w:r>
              <w:rPr>
                <w:rFonts w:ascii="Times New Roman" w:eastAsia="Arial"/>
                <w:spacing w:val="-2"/>
                <w:sz w:val="21"/>
                <w:szCs w:val="21"/>
              </w:rPr>
              <w:t>双枪焊机</w:t>
            </w:r>
          </w:p>
        </w:tc>
        <w:tc>
          <w:tcPr>
            <w:tcW w:w="1431" w:type="pct"/>
            <w:vAlign w:val="center"/>
          </w:tcPr>
          <w:p w14:paraId="0B08AEB9">
            <w:pPr>
              <w:jc w:val="center"/>
              <w:rPr>
                <w:rFonts w:ascii="Times New Roman" w:eastAsia="Arial"/>
                <w:spacing w:val="-2"/>
                <w:sz w:val="21"/>
                <w:szCs w:val="21"/>
              </w:rPr>
            </w:pPr>
            <w:r>
              <w:rPr>
                <w:rFonts w:ascii="Times New Roman"/>
                <w:sz w:val="21"/>
                <w:szCs w:val="21"/>
              </w:rPr>
              <w:t>/</w:t>
            </w:r>
          </w:p>
        </w:tc>
        <w:tc>
          <w:tcPr>
            <w:tcW w:w="470" w:type="pct"/>
            <w:vAlign w:val="center"/>
          </w:tcPr>
          <w:p w14:paraId="09B4E61C">
            <w:pPr>
              <w:widowControl/>
              <w:jc w:val="center"/>
              <w:textAlignment w:val="center"/>
              <w:rPr>
                <w:rFonts w:ascii="Times New Roman"/>
                <w:spacing w:val="4"/>
                <w:sz w:val="21"/>
                <w:szCs w:val="21"/>
              </w:rPr>
            </w:pPr>
            <w:r>
              <w:rPr>
                <w:rFonts w:ascii="Times New Roman" w:eastAsia="Arial"/>
                <w:spacing w:val="-2"/>
                <w:sz w:val="21"/>
                <w:szCs w:val="21"/>
              </w:rPr>
              <w:t>6</w:t>
            </w:r>
          </w:p>
        </w:tc>
      </w:tr>
      <w:tr w14:paraId="2EEAF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947A215">
            <w:pPr>
              <w:jc w:val="center"/>
              <w:rPr>
                <w:rFonts w:ascii="Times New Roman"/>
                <w:sz w:val="21"/>
                <w:szCs w:val="21"/>
              </w:rPr>
            </w:pPr>
            <w:r>
              <w:rPr>
                <w:rFonts w:ascii="Times New Roman"/>
                <w:sz w:val="21"/>
                <w:szCs w:val="21"/>
              </w:rPr>
              <w:t>110</w:t>
            </w:r>
          </w:p>
        </w:tc>
        <w:tc>
          <w:tcPr>
            <w:tcW w:w="413" w:type="pct"/>
            <w:vMerge w:val="continue"/>
            <w:vAlign w:val="center"/>
          </w:tcPr>
          <w:p w14:paraId="7465C749">
            <w:pPr>
              <w:jc w:val="center"/>
              <w:rPr>
                <w:rFonts w:ascii="Times New Roman"/>
                <w:spacing w:val="-6"/>
                <w:sz w:val="21"/>
                <w:szCs w:val="21"/>
              </w:rPr>
            </w:pPr>
          </w:p>
        </w:tc>
        <w:tc>
          <w:tcPr>
            <w:tcW w:w="616" w:type="pct"/>
            <w:vMerge w:val="restart"/>
            <w:vAlign w:val="center"/>
          </w:tcPr>
          <w:p w14:paraId="14CA843E">
            <w:pPr>
              <w:jc w:val="center"/>
              <w:rPr>
                <w:rFonts w:ascii="Times New Roman"/>
                <w:spacing w:val="-6"/>
                <w:sz w:val="21"/>
                <w:szCs w:val="21"/>
              </w:rPr>
            </w:pPr>
            <w:r>
              <w:rPr>
                <w:rFonts w:ascii="Times New Roman"/>
                <w:spacing w:val="-6"/>
                <w:sz w:val="21"/>
                <w:szCs w:val="21"/>
              </w:rPr>
              <w:t>预加工及托架等部件焊接区</w:t>
            </w:r>
          </w:p>
        </w:tc>
        <w:tc>
          <w:tcPr>
            <w:tcW w:w="761" w:type="pct"/>
            <w:vMerge w:val="restart"/>
            <w:shd w:val="clear" w:color="auto" w:fill="auto"/>
            <w:vAlign w:val="center"/>
          </w:tcPr>
          <w:p w14:paraId="55A3102A">
            <w:pPr>
              <w:widowControl/>
              <w:jc w:val="center"/>
              <w:textAlignment w:val="center"/>
              <w:rPr>
                <w:rFonts w:ascii="Times New Roman"/>
                <w:sz w:val="21"/>
                <w:szCs w:val="21"/>
              </w:rPr>
            </w:pPr>
            <w:r>
              <w:rPr>
                <w:rFonts w:ascii="Times New Roman"/>
                <w:kern w:val="0"/>
                <w:sz w:val="21"/>
                <w:szCs w:val="21"/>
              </w:rPr>
              <w:t>预加工及托架等部件焊接区</w:t>
            </w:r>
          </w:p>
        </w:tc>
        <w:tc>
          <w:tcPr>
            <w:tcW w:w="965" w:type="pct"/>
            <w:gridSpan w:val="2"/>
            <w:vAlign w:val="center"/>
          </w:tcPr>
          <w:p w14:paraId="7BF3D2BC">
            <w:pPr>
              <w:widowControl/>
              <w:jc w:val="center"/>
              <w:textAlignment w:val="center"/>
              <w:rPr>
                <w:rFonts w:ascii="Times New Roman" w:eastAsia="Arial"/>
                <w:spacing w:val="-2"/>
                <w:sz w:val="21"/>
                <w:szCs w:val="21"/>
              </w:rPr>
            </w:pPr>
            <w:r>
              <w:rPr>
                <w:rFonts w:ascii="Times New Roman" w:eastAsia="Arial"/>
                <w:spacing w:val="-2"/>
                <w:sz w:val="21"/>
                <w:szCs w:val="21"/>
              </w:rPr>
              <w:t>油压机</w:t>
            </w:r>
          </w:p>
        </w:tc>
        <w:tc>
          <w:tcPr>
            <w:tcW w:w="1431" w:type="pct"/>
            <w:vAlign w:val="center"/>
          </w:tcPr>
          <w:p w14:paraId="3E8F5B1E">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79486B94">
            <w:pPr>
              <w:widowControl/>
              <w:jc w:val="center"/>
              <w:textAlignment w:val="center"/>
              <w:rPr>
                <w:rFonts w:ascii="Times New Roman"/>
                <w:spacing w:val="4"/>
                <w:sz w:val="21"/>
                <w:szCs w:val="21"/>
              </w:rPr>
            </w:pPr>
            <w:r>
              <w:rPr>
                <w:rFonts w:ascii="Times New Roman" w:eastAsia="Arial"/>
                <w:spacing w:val="-2"/>
                <w:sz w:val="21"/>
                <w:szCs w:val="21"/>
              </w:rPr>
              <w:t>2</w:t>
            </w:r>
          </w:p>
        </w:tc>
      </w:tr>
      <w:tr w14:paraId="02F56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49B63C3">
            <w:pPr>
              <w:jc w:val="center"/>
              <w:rPr>
                <w:rFonts w:ascii="Times New Roman"/>
                <w:sz w:val="21"/>
                <w:szCs w:val="21"/>
              </w:rPr>
            </w:pPr>
            <w:r>
              <w:rPr>
                <w:rFonts w:ascii="Times New Roman"/>
                <w:sz w:val="21"/>
                <w:szCs w:val="21"/>
              </w:rPr>
              <w:t>111</w:t>
            </w:r>
          </w:p>
        </w:tc>
        <w:tc>
          <w:tcPr>
            <w:tcW w:w="413" w:type="pct"/>
            <w:vMerge w:val="continue"/>
            <w:vAlign w:val="center"/>
          </w:tcPr>
          <w:p w14:paraId="6980F16E">
            <w:pPr>
              <w:jc w:val="center"/>
              <w:rPr>
                <w:rFonts w:ascii="Times New Roman"/>
                <w:spacing w:val="-6"/>
                <w:sz w:val="21"/>
                <w:szCs w:val="21"/>
              </w:rPr>
            </w:pPr>
          </w:p>
        </w:tc>
        <w:tc>
          <w:tcPr>
            <w:tcW w:w="616" w:type="pct"/>
            <w:vMerge w:val="continue"/>
            <w:vAlign w:val="center"/>
          </w:tcPr>
          <w:p w14:paraId="1A19AE1C">
            <w:pPr>
              <w:jc w:val="center"/>
              <w:rPr>
                <w:rFonts w:ascii="Times New Roman"/>
                <w:spacing w:val="-6"/>
                <w:sz w:val="21"/>
                <w:szCs w:val="21"/>
              </w:rPr>
            </w:pPr>
          </w:p>
        </w:tc>
        <w:tc>
          <w:tcPr>
            <w:tcW w:w="761" w:type="pct"/>
            <w:vMerge w:val="continue"/>
            <w:vAlign w:val="center"/>
          </w:tcPr>
          <w:p w14:paraId="4EB6BE39">
            <w:pPr>
              <w:jc w:val="center"/>
              <w:rPr>
                <w:rFonts w:ascii="Times New Roman"/>
                <w:spacing w:val="-6"/>
                <w:sz w:val="21"/>
                <w:szCs w:val="21"/>
              </w:rPr>
            </w:pPr>
          </w:p>
        </w:tc>
        <w:tc>
          <w:tcPr>
            <w:tcW w:w="965" w:type="pct"/>
            <w:gridSpan w:val="2"/>
            <w:vAlign w:val="center"/>
          </w:tcPr>
          <w:p w14:paraId="3DC42C98">
            <w:pPr>
              <w:widowControl/>
              <w:jc w:val="center"/>
              <w:textAlignment w:val="center"/>
              <w:rPr>
                <w:rFonts w:ascii="Times New Roman" w:eastAsia="Arial"/>
                <w:spacing w:val="-2"/>
                <w:sz w:val="21"/>
                <w:szCs w:val="21"/>
              </w:rPr>
            </w:pPr>
            <w:r>
              <w:rPr>
                <w:rFonts w:ascii="Times New Roman" w:eastAsia="Arial"/>
                <w:spacing w:val="-2"/>
                <w:sz w:val="21"/>
                <w:szCs w:val="21"/>
              </w:rPr>
              <w:t>摇臂钻</w:t>
            </w:r>
          </w:p>
        </w:tc>
        <w:tc>
          <w:tcPr>
            <w:tcW w:w="1431" w:type="pct"/>
            <w:vAlign w:val="center"/>
          </w:tcPr>
          <w:p w14:paraId="43877E2A">
            <w:pPr>
              <w:jc w:val="center"/>
              <w:rPr>
                <w:rFonts w:ascii="Times New Roman" w:eastAsia="Arial"/>
                <w:spacing w:val="-2"/>
                <w:sz w:val="21"/>
                <w:szCs w:val="21"/>
              </w:rPr>
            </w:pPr>
            <w:r>
              <w:rPr>
                <w:rFonts w:ascii="Times New Roman"/>
                <w:sz w:val="21"/>
                <w:szCs w:val="21"/>
              </w:rPr>
              <w:t>/</w:t>
            </w:r>
          </w:p>
        </w:tc>
        <w:tc>
          <w:tcPr>
            <w:tcW w:w="470" w:type="pct"/>
            <w:vAlign w:val="center"/>
          </w:tcPr>
          <w:p w14:paraId="0861E545">
            <w:pPr>
              <w:widowControl/>
              <w:jc w:val="center"/>
              <w:textAlignment w:val="center"/>
              <w:rPr>
                <w:rFonts w:ascii="Times New Roman"/>
                <w:sz w:val="21"/>
                <w:szCs w:val="21"/>
              </w:rPr>
            </w:pPr>
            <w:r>
              <w:rPr>
                <w:rFonts w:ascii="Times New Roman" w:eastAsia="Arial"/>
                <w:spacing w:val="-2"/>
                <w:sz w:val="21"/>
                <w:szCs w:val="21"/>
              </w:rPr>
              <w:t>2</w:t>
            </w:r>
          </w:p>
        </w:tc>
      </w:tr>
      <w:tr w14:paraId="45E62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D68F9B8">
            <w:pPr>
              <w:jc w:val="center"/>
              <w:rPr>
                <w:rFonts w:ascii="Times New Roman"/>
                <w:sz w:val="21"/>
                <w:szCs w:val="21"/>
              </w:rPr>
            </w:pPr>
            <w:r>
              <w:rPr>
                <w:rFonts w:ascii="Times New Roman"/>
                <w:sz w:val="21"/>
                <w:szCs w:val="21"/>
              </w:rPr>
              <w:t>112</w:t>
            </w:r>
          </w:p>
        </w:tc>
        <w:tc>
          <w:tcPr>
            <w:tcW w:w="413" w:type="pct"/>
            <w:vMerge w:val="continue"/>
            <w:vAlign w:val="center"/>
          </w:tcPr>
          <w:p w14:paraId="58F24673">
            <w:pPr>
              <w:jc w:val="center"/>
              <w:rPr>
                <w:rFonts w:ascii="Times New Roman"/>
                <w:sz w:val="21"/>
                <w:szCs w:val="21"/>
              </w:rPr>
            </w:pPr>
          </w:p>
        </w:tc>
        <w:tc>
          <w:tcPr>
            <w:tcW w:w="616" w:type="pct"/>
            <w:vMerge w:val="restart"/>
            <w:vAlign w:val="center"/>
          </w:tcPr>
          <w:p w14:paraId="6917CC05">
            <w:pPr>
              <w:jc w:val="center"/>
              <w:rPr>
                <w:rFonts w:ascii="Times New Roman"/>
                <w:sz w:val="21"/>
                <w:szCs w:val="21"/>
              </w:rPr>
            </w:pPr>
            <w:r>
              <w:rPr>
                <w:rFonts w:ascii="Times New Roman"/>
                <w:sz w:val="21"/>
                <w:szCs w:val="21"/>
              </w:rPr>
              <w:t>窗式框架焊接区</w:t>
            </w:r>
          </w:p>
        </w:tc>
        <w:tc>
          <w:tcPr>
            <w:tcW w:w="761" w:type="pct"/>
            <w:vMerge w:val="restart"/>
            <w:vAlign w:val="center"/>
          </w:tcPr>
          <w:p w14:paraId="617EA082">
            <w:pPr>
              <w:jc w:val="center"/>
              <w:rPr>
                <w:rFonts w:ascii="Times New Roman"/>
                <w:sz w:val="21"/>
                <w:szCs w:val="21"/>
              </w:rPr>
            </w:pPr>
            <w:r>
              <w:rPr>
                <w:rFonts w:ascii="Times New Roman"/>
                <w:kern w:val="0"/>
                <w:sz w:val="21"/>
                <w:szCs w:val="21"/>
              </w:rPr>
              <w:t>钢板类框架自动焊接线</w:t>
            </w:r>
          </w:p>
        </w:tc>
        <w:tc>
          <w:tcPr>
            <w:tcW w:w="965" w:type="pct"/>
            <w:gridSpan w:val="2"/>
            <w:vAlign w:val="center"/>
          </w:tcPr>
          <w:p w14:paraId="61D83C91">
            <w:pPr>
              <w:widowControl/>
              <w:jc w:val="center"/>
              <w:textAlignment w:val="center"/>
              <w:rPr>
                <w:rFonts w:ascii="Times New Roman" w:eastAsia="Arial"/>
                <w:spacing w:val="-2"/>
                <w:sz w:val="21"/>
                <w:szCs w:val="21"/>
              </w:rPr>
            </w:pPr>
            <w:r>
              <w:rPr>
                <w:rFonts w:ascii="Times New Roman" w:eastAsia="Arial"/>
                <w:spacing w:val="-2"/>
                <w:sz w:val="21"/>
                <w:szCs w:val="21"/>
              </w:rPr>
              <w:t>折弯机</w:t>
            </w:r>
          </w:p>
        </w:tc>
        <w:tc>
          <w:tcPr>
            <w:tcW w:w="1431" w:type="pct"/>
            <w:vAlign w:val="center"/>
          </w:tcPr>
          <w:p w14:paraId="10DC1D31">
            <w:pPr>
              <w:jc w:val="center"/>
              <w:rPr>
                <w:rFonts w:ascii="Times New Roman" w:eastAsia="Arial"/>
                <w:spacing w:val="-2"/>
                <w:sz w:val="21"/>
                <w:szCs w:val="21"/>
              </w:rPr>
            </w:pPr>
            <w:r>
              <w:rPr>
                <w:rFonts w:ascii="Times New Roman"/>
                <w:sz w:val="21"/>
                <w:szCs w:val="21"/>
              </w:rPr>
              <w:t>/</w:t>
            </w:r>
          </w:p>
        </w:tc>
        <w:tc>
          <w:tcPr>
            <w:tcW w:w="470" w:type="pct"/>
            <w:vAlign w:val="center"/>
          </w:tcPr>
          <w:p w14:paraId="640CDAF3">
            <w:pPr>
              <w:widowControl/>
              <w:jc w:val="center"/>
              <w:textAlignment w:val="center"/>
              <w:rPr>
                <w:rFonts w:ascii="Times New Roman"/>
                <w:sz w:val="21"/>
                <w:szCs w:val="21"/>
              </w:rPr>
            </w:pPr>
            <w:r>
              <w:rPr>
                <w:rFonts w:ascii="Times New Roman" w:eastAsia="Arial"/>
                <w:spacing w:val="-2"/>
                <w:sz w:val="21"/>
                <w:szCs w:val="21"/>
              </w:rPr>
              <w:t>1</w:t>
            </w:r>
          </w:p>
        </w:tc>
      </w:tr>
      <w:tr w14:paraId="04184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7C9D892">
            <w:pPr>
              <w:jc w:val="center"/>
              <w:rPr>
                <w:rFonts w:ascii="Times New Roman"/>
                <w:sz w:val="21"/>
                <w:szCs w:val="21"/>
              </w:rPr>
            </w:pPr>
            <w:r>
              <w:rPr>
                <w:rFonts w:ascii="Times New Roman"/>
                <w:sz w:val="21"/>
                <w:szCs w:val="21"/>
              </w:rPr>
              <w:t>113</w:t>
            </w:r>
          </w:p>
        </w:tc>
        <w:tc>
          <w:tcPr>
            <w:tcW w:w="413" w:type="pct"/>
            <w:vMerge w:val="continue"/>
            <w:vAlign w:val="center"/>
          </w:tcPr>
          <w:p w14:paraId="5DBC78FA">
            <w:pPr>
              <w:jc w:val="center"/>
              <w:rPr>
                <w:rFonts w:ascii="Times New Roman"/>
                <w:sz w:val="21"/>
                <w:szCs w:val="21"/>
              </w:rPr>
            </w:pPr>
          </w:p>
        </w:tc>
        <w:tc>
          <w:tcPr>
            <w:tcW w:w="616" w:type="pct"/>
            <w:vMerge w:val="continue"/>
            <w:vAlign w:val="center"/>
          </w:tcPr>
          <w:p w14:paraId="6AF30647">
            <w:pPr>
              <w:jc w:val="center"/>
              <w:rPr>
                <w:rFonts w:ascii="Times New Roman"/>
                <w:sz w:val="21"/>
                <w:szCs w:val="21"/>
              </w:rPr>
            </w:pPr>
          </w:p>
        </w:tc>
        <w:tc>
          <w:tcPr>
            <w:tcW w:w="761" w:type="pct"/>
            <w:vMerge w:val="continue"/>
            <w:vAlign w:val="center"/>
          </w:tcPr>
          <w:p w14:paraId="56AB1A9B">
            <w:pPr>
              <w:jc w:val="center"/>
              <w:rPr>
                <w:rFonts w:ascii="Times New Roman"/>
                <w:sz w:val="21"/>
                <w:szCs w:val="21"/>
              </w:rPr>
            </w:pPr>
          </w:p>
        </w:tc>
        <w:tc>
          <w:tcPr>
            <w:tcW w:w="965" w:type="pct"/>
            <w:gridSpan w:val="2"/>
            <w:vAlign w:val="center"/>
          </w:tcPr>
          <w:p w14:paraId="35D27E5A">
            <w:pPr>
              <w:widowControl/>
              <w:jc w:val="center"/>
              <w:textAlignment w:val="center"/>
              <w:rPr>
                <w:rFonts w:ascii="Times New Roman" w:eastAsia="Arial"/>
                <w:spacing w:val="-2"/>
                <w:sz w:val="21"/>
                <w:szCs w:val="21"/>
              </w:rPr>
            </w:pPr>
            <w:r>
              <w:rPr>
                <w:rFonts w:ascii="Times New Roman" w:eastAsia="Arial"/>
                <w:spacing w:val="-2"/>
                <w:sz w:val="21"/>
                <w:szCs w:val="21"/>
              </w:rPr>
              <w:t>组焊焊机</w:t>
            </w:r>
          </w:p>
        </w:tc>
        <w:tc>
          <w:tcPr>
            <w:tcW w:w="1431" w:type="pct"/>
            <w:vAlign w:val="center"/>
          </w:tcPr>
          <w:p w14:paraId="12452277">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2EB324F5">
            <w:pPr>
              <w:widowControl/>
              <w:jc w:val="center"/>
              <w:textAlignment w:val="center"/>
              <w:rPr>
                <w:rFonts w:ascii="Times New Roman"/>
                <w:sz w:val="21"/>
                <w:szCs w:val="21"/>
              </w:rPr>
            </w:pPr>
            <w:r>
              <w:rPr>
                <w:rFonts w:ascii="Times New Roman" w:eastAsia="Arial"/>
                <w:spacing w:val="-2"/>
                <w:sz w:val="21"/>
                <w:szCs w:val="21"/>
              </w:rPr>
              <w:t>1</w:t>
            </w:r>
          </w:p>
        </w:tc>
      </w:tr>
      <w:tr w14:paraId="7C999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C31F538">
            <w:pPr>
              <w:jc w:val="center"/>
              <w:rPr>
                <w:rFonts w:ascii="Times New Roman"/>
                <w:sz w:val="21"/>
                <w:szCs w:val="21"/>
              </w:rPr>
            </w:pPr>
            <w:r>
              <w:rPr>
                <w:rFonts w:ascii="Times New Roman"/>
                <w:sz w:val="21"/>
                <w:szCs w:val="21"/>
              </w:rPr>
              <w:t>114</w:t>
            </w:r>
          </w:p>
        </w:tc>
        <w:tc>
          <w:tcPr>
            <w:tcW w:w="413" w:type="pct"/>
            <w:vMerge w:val="continue"/>
            <w:vAlign w:val="center"/>
          </w:tcPr>
          <w:p w14:paraId="79B07B06">
            <w:pPr>
              <w:jc w:val="center"/>
              <w:rPr>
                <w:rFonts w:ascii="Times New Roman"/>
                <w:sz w:val="21"/>
                <w:szCs w:val="21"/>
              </w:rPr>
            </w:pPr>
          </w:p>
        </w:tc>
        <w:tc>
          <w:tcPr>
            <w:tcW w:w="616" w:type="pct"/>
            <w:vMerge w:val="continue"/>
            <w:vAlign w:val="center"/>
          </w:tcPr>
          <w:p w14:paraId="50037744">
            <w:pPr>
              <w:jc w:val="center"/>
              <w:rPr>
                <w:rFonts w:ascii="Times New Roman"/>
                <w:sz w:val="21"/>
                <w:szCs w:val="21"/>
              </w:rPr>
            </w:pPr>
          </w:p>
        </w:tc>
        <w:tc>
          <w:tcPr>
            <w:tcW w:w="761" w:type="pct"/>
            <w:vMerge w:val="continue"/>
            <w:vAlign w:val="center"/>
          </w:tcPr>
          <w:p w14:paraId="6C01719B">
            <w:pPr>
              <w:jc w:val="center"/>
              <w:rPr>
                <w:rFonts w:ascii="Times New Roman"/>
                <w:sz w:val="21"/>
                <w:szCs w:val="21"/>
              </w:rPr>
            </w:pPr>
          </w:p>
        </w:tc>
        <w:tc>
          <w:tcPr>
            <w:tcW w:w="965" w:type="pct"/>
            <w:gridSpan w:val="2"/>
            <w:vAlign w:val="center"/>
          </w:tcPr>
          <w:p w14:paraId="2D2E53B1">
            <w:pPr>
              <w:widowControl/>
              <w:jc w:val="center"/>
              <w:textAlignment w:val="center"/>
              <w:rPr>
                <w:rFonts w:ascii="Times New Roman" w:eastAsia="Arial"/>
                <w:spacing w:val="-2"/>
                <w:sz w:val="21"/>
                <w:szCs w:val="21"/>
              </w:rPr>
            </w:pPr>
            <w:r>
              <w:rPr>
                <w:rFonts w:ascii="Times New Roman" w:eastAsia="Arial"/>
                <w:spacing w:val="-2"/>
                <w:sz w:val="21"/>
                <w:szCs w:val="21"/>
              </w:rPr>
              <w:t>自动焊接焊机</w:t>
            </w:r>
          </w:p>
        </w:tc>
        <w:tc>
          <w:tcPr>
            <w:tcW w:w="1431" w:type="pct"/>
            <w:vAlign w:val="center"/>
          </w:tcPr>
          <w:p w14:paraId="47C903A4">
            <w:pPr>
              <w:jc w:val="center"/>
              <w:rPr>
                <w:rFonts w:ascii="Times New Roman" w:eastAsia="Arial"/>
                <w:spacing w:val="-2"/>
                <w:sz w:val="21"/>
                <w:szCs w:val="21"/>
              </w:rPr>
            </w:pPr>
            <w:r>
              <w:rPr>
                <w:rFonts w:ascii="Times New Roman"/>
                <w:sz w:val="21"/>
                <w:szCs w:val="21"/>
              </w:rPr>
              <w:t>/</w:t>
            </w:r>
          </w:p>
        </w:tc>
        <w:tc>
          <w:tcPr>
            <w:tcW w:w="470" w:type="pct"/>
            <w:vAlign w:val="center"/>
          </w:tcPr>
          <w:p w14:paraId="60C94087">
            <w:pPr>
              <w:widowControl/>
              <w:jc w:val="center"/>
              <w:textAlignment w:val="center"/>
              <w:rPr>
                <w:rFonts w:ascii="Times New Roman"/>
                <w:spacing w:val="4"/>
                <w:sz w:val="21"/>
                <w:szCs w:val="21"/>
              </w:rPr>
            </w:pPr>
            <w:r>
              <w:rPr>
                <w:rFonts w:ascii="Times New Roman" w:eastAsia="Arial"/>
                <w:spacing w:val="-2"/>
                <w:sz w:val="21"/>
                <w:szCs w:val="21"/>
              </w:rPr>
              <w:t>2</w:t>
            </w:r>
          </w:p>
        </w:tc>
      </w:tr>
      <w:tr w14:paraId="357AE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DA2F53B">
            <w:pPr>
              <w:jc w:val="center"/>
              <w:rPr>
                <w:rFonts w:ascii="Times New Roman"/>
                <w:sz w:val="21"/>
                <w:szCs w:val="21"/>
              </w:rPr>
            </w:pPr>
            <w:r>
              <w:rPr>
                <w:rFonts w:ascii="Times New Roman"/>
                <w:sz w:val="21"/>
                <w:szCs w:val="21"/>
              </w:rPr>
              <w:t>115</w:t>
            </w:r>
          </w:p>
        </w:tc>
        <w:tc>
          <w:tcPr>
            <w:tcW w:w="413" w:type="pct"/>
            <w:vMerge w:val="continue"/>
            <w:vAlign w:val="center"/>
          </w:tcPr>
          <w:p w14:paraId="2EA1B9DD">
            <w:pPr>
              <w:jc w:val="center"/>
              <w:rPr>
                <w:rFonts w:ascii="Times New Roman"/>
                <w:sz w:val="21"/>
                <w:szCs w:val="21"/>
              </w:rPr>
            </w:pPr>
          </w:p>
        </w:tc>
        <w:tc>
          <w:tcPr>
            <w:tcW w:w="616" w:type="pct"/>
            <w:vMerge w:val="continue"/>
            <w:vAlign w:val="center"/>
          </w:tcPr>
          <w:p w14:paraId="19514A87">
            <w:pPr>
              <w:jc w:val="center"/>
              <w:rPr>
                <w:rFonts w:ascii="Times New Roman"/>
                <w:sz w:val="21"/>
                <w:szCs w:val="21"/>
              </w:rPr>
            </w:pPr>
          </w:p>
        </w:tc>
        <w:tc>
          <w:tcPr>
            <w:tcW w:w="761" w:type="pct"/>
            <w:vMerge w:val="restart"/>
            <w:vAlign w:val="center"/>
          </w:tcPr>
          <w:p w14:paraId="7A18926F">
            <w:pPr>
              <w:jc w:val="center"/>
              <w:rPr>
                <w:rFonts w:ascii="Times New Roman"/>
                <w:sz w:val="21"/>
                <w:szCs w:val="21"/>
              </w:rPr>
            </w:pPr>
            <w:r>
              <w:rPr>
                <w:rFonts w:ascii="Times New Roman"/>
                <w:kern w:val="0"/>
                <w:sz w:val="21"/>
                <w:szCs w:val="21"/>
              </w:rPr>
              <w:t>型钢类框架自动化焊接线</w:t>
            </w:r>
          </w:p>
        </w:tc>
        <w:tc>
          <w:tcPr>
            <w:tcW w:w="965" w:type="pct"/>
            <w:gridSpan w:val="2"/>
            <w:vAlign w:val="center"/>
          </w:tcPr>
          <w:p w14:paraId="5EC5366D">
            <w:pPr>
              <w:widowControl/>
              <w:jc w:val="center"/>
              <w:textAlignment w:val="center"/>
              <w:rPr>
                <w:rFonts w:ascii="Times New Roman" w:eastAsia="Arial"/>
                <w:spacing w:val="-2"/>
                <w:sz w:val="21"/>
                <w:szCs w:val="21"/>
              </w:rPr>
            </w:pPr>
            <w:r>
              <w:rPr>
                <w:rFonts w:ascii="Times New Roman" w:eastAsia="Arial"/>
                <w:spacing w:val="-2"/>
                <w:sz w:val="21"/>
                <w:szCs w:val="21"/>
              </w:rPr>
              <w:t>自动组焊焊机</w:t>
            </w:r>
          </w:p>
        </w:tc>
        <w:tc>
          <w:tcPr>
            <w:tcW w:w="1431" w:type="pct"/>
            <w:vAlign w:val="center"/>
          </w:tcPr>
          <w:p w14:paraId="7B6385D2">
            <w:pPr>
              <w:jc w:val="center"/>
              <w:rPr>
                <w:rFonts w:ascii="Times New Roman" w:eastAsia="Arial"/>
                <w:spacing w:val="-2"/>
                <w:sz w:val="21"/>
                <w:szCs w:val="21"/>
              </w:rPr>
            </w:pPr>
            <w:r>
              <w:rPr>
                <w:rFonts w:ascii="Times New Roman"/>
                <w:sz w:val="21"/>
                <w:szCs w:val="21"/>
              </w:rPr>
              <w:t>/</w:t>
            </w:r>
          </w:p>
        </w:tc>
        <w:tc>
          <w:tcPr>
            <w:tcW w:w="470" w:type="pct"/>
            <w:vAlign w:val="center"/>
          </w:tcPr>
          <w:p w14:paraId="610F1602">
            <w:pPr>
              <w:widowControl/>
              <w:jc w:val="center"/>
              <w:textAlignment w:val="center"/>
              <w:rPr>
                <w:rFonts w:ascii="Times New Roman"/>
                <w:spacing w:val="4"/>
                <w:sz w:val="21"/>
                <w:szCs w:val="21"/>
              </w:rPr>
            </w:pPr>
            <w:r>
              <w:rPr>
                <w:rFonts w:ascii="Times New Roman" w:eastAsia="Arial"/>
                <w:spacing w:val="-2"/>
                <w:sz w:val="21"/>
                <w:szCs w:val="21"/>
              </w:rPr>
              <w:t>4</w:t>
            </w:r>
          </w:p>
        </w:tc>
      </w:tr>
      <w:tr w14:paraId="7CD00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2" w:type="pct"/>
            <w:shd w:val="clear" w:color="auto" w:fill="auto"/>
            <w:vAlign w:val="center"/>
          </w:tcPr>
          <w:p w14:paraId="6F09A4D4">
            <w:pPr>
              <w:jc w:val="center"/>
              <w:rPr>
                <w:rFonts w:ascii="Times New Roman"/>
                <w:sz w:val="21"/>
                <w:szCs w:val="21"/>
              </w:rPr>
            </w:pPr>
            <w:r>
              <w:rPr>
                <w:rFonts w:ascii="Times New Roman"/>
                <w:sz w:val="21"/>
                <w:szCs w:val="21"/>
              </w:rPr>
              <w:t>116</w:t>
            </w:r>
          </w:p>
        </w:tc>
        <w:tc>
          <w:tcPr>
            <w:tcW w:w="413" w:type="pct"/>
            <w:vMerge w:val="continue"/>
            <w:vAlign w:val="center"/>
          </w:tcPr>
          <w:p w14:paraId="5F0759C2">
            <w:pPr>
              <w:jc w:val="center"/>
              <w:rPr>
                <w:rFonts w:ascii="Times New Roman"/>
                <w:sz w:val="21"/>
                <w:szCs w:val="21"/>
              </w:rPr>
            </w:pPr>
          </w:p>
        </w:tc>
        <w:tc>
          <w:tcPr>
            <w:tcW w:w="616" w:type="pct"/>
            <w:vMerge w:val="continue"/>
            <w:vAlign w:val="center"/>
          </w:tcPr>
          <w:p w14:paraId="45D8FC91">
            <w:pPr>
              <w:jc w:val="center"/>
              <w:rPr>
                <w:rFonts w:ascii="Times New Roman"/>
                <w:sz w:val="21"/>
                <w:szCs w:val="21"/>
              </w:rPr>
            </w:pPr>
          </w:p>
        </w:tc>
        <w:tc>
          <w:tcPr>
            <w:tcW w:w="761" w:type="pct"/>
            <w:vMerge w:val="continue"/>
            <w:vAlign w:val="center"/>
          </w:tcPr>
          <w:p w14:paraId="2C33EEB6">
            <w:pPr>
              <w:jc w:val="center"/>
              <w:rPr>
                <w:rFonts w:ascii="Times New Roman"/>
                <w:sz w:val="21"/>
                <w:szCs w:val="21"/>
              </w:rPr>
            </w:pPr>
          </w:p>
        </w:tc>
        <w:tc>
          <w:tcPr>
            <w:tcW w:w="965" w:type="pct"/>
            <w:gridSpan w:val="2"/>
            <w:vAlign w:val="center"/>
          </w:tcPr>
          <w:p w14:paraId="51BB5B9B">
            <w:pPr>
              <w:widowControl/>
              <w:jc w:val="center"/>
              <w:textAlignment w:val="center"/>
              <w:rPr>
                <w:rFonts w:ascii="Times New Roman" w:eastAsia="Arial"/>
                <w:spacing w:val="-2"/>
                <w:sz w:val="21"/>
                <w:szCs w:val="21"/>
              </w:rPr>
            </w:pPr>
            <w:r>
              <w:rPr>
                <w:rFonts w:ascii="Times New Roman" w:eastAsia="Arial"/>
                <w:spacing w:val="-2"/>
                <w:sz w:val="21"/>
                <w:szCs w:val="21"/>
              </w:rPr>
              <w:t>油压机</w:t>
            </w:r>
          </w:p>
        </w:tc>
        <w:tc>
          <w:tcPr>
            <w:tcW w:w="1431" w:type="pct"/>
            <w:vAlign w:val="center"/>
          </w:tcPr>
          <w:p w14:paraId="47BFB1E9">
            <w:pPr>
              <w:jc w:val="center"/>
              <w:rPr>
                <w:rFonts w:ascii="Times New Roman" w:eastAsia="Arial"/>
                <w:spacing w:val="-2"/>
                <w:sz w:val="21"/>
                <w:szCs w:val="21"/>
              </w:rPr>
            </w:pPr>
            <w:r>
              <w:rPr>
                <w:rFonts w:ascii="Times New Roman"/>
                <w:sz w:val="21"/>
                <w:szCs w:val="21"/>
              </w:rPr>
              <w:t>/</w:t>
            </w:r>
          </w:p>
        </w:tc>
        <w:tc>
          <w:tcPr>
            <w:tcW w:w="470" w:type="pct"/>
            <w:vAlign w:val="center"/>
          </w:tcPr>
          <w:p w14:paraId="1FBD5555">
            <w:pPr>
              <w:widowControl/>
              <w:jc w:val="center"/>
              <w:textAlignment w:val="center"/>
              <w:rPr>
                <w:rFonts w:ascii="Times New Roman"/>
                <w:spacing w:val="4"/>
                <w:sz w:val="21"/>
                <w:szCs w:val="21"/>
              </w:rPr>
            </w:pPr>
            <w:r>
              <w:rPr>
                <w:rFonts w:ascii="Times New Roman" w:eastAsia="Arial"/>
                <w:spacing w:val="-2"/>
                <w:sz w:val="21"/>
                <w:szCs w:val="21"/>
              </w:rPr>
              <w:t>1</w:t>
            </w:r>
          </w:p>
        </w:tc>
      </w:tr>
      <w:tr w14:paraId="57A25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C22D083">
            <w:pPr>
              <w:jc w:val="center"/>
              <w:rPr>
                <w:rFonts w:ascii="Times New Roman"/>
                <w:sz w:val="21"/>
                <w:szCs w:val="21"/>
              </w:rPr>
            </w:pPr>
            <w:r>
              <w:rPr>
                <w:rFonts w:ascii="Times New Roman"/>
                <w:sz w:val="21"/>
                <w:szCs w:val="21"/>
              </w:rPr>
              <w:t>117</w:t>
            </w:r>
          </w:p>
        </w:tc>
        <w:tc>
          <w:tcPr>
            <w:tcW w:w="413" w:type="pct"/>
            <w:vMerge w:val="continue"/>
            <w:vAlign w:val="center"/>
          </w:tcPr>
          <w:p w14:paraId="1AD335DC">
            <w:pPr>
              <w:jc w:val="center"/>
              <w:rPr>
                <w:rFonts w:ascii="Times New Roman"/>
                <w:sz w:val="21"/>
                <w:szCs w:val="21"/>
              </w:rPr>
            </w:pPr>
          </w:p>
        </w:tc>
        <w:tc>
          <w:tcPr>
            <w:tcW w:w="616" w:type="pct"/>
            <w:vMerge w:val="continue"/>
            <w:vAlign w:val="center"/>
          </w:tcPr>
          <w:p w14:paraId="27CF40E3">
            <w:pPr>
              <w:jc w:val="center"/>
              <w:rPr>
                <w:rFonts w:ascii="Times New Roman"/>
                <w:sz w:val="21"/>
                <w:szCs w:val="21"/>
              </w:rPr>
            </w:pPr>
          </w:p>
        </w:tc>
        <w:tc>
          <w:tcPr>
            <w:tcW w:w="761" w:type="pct"/>
            <w:vMerge w:val="continue"/>
            <w:vAlign w:val="center"/>
          </w:tcPr>
          <w:p w14:paraId="74B6B59C">
            <w:pPr>
              <w:jc w:val="center"/>
              <w:rPr>
                <w:rFonts w:ascii="Times New Roman"/>
                <w:sz w:val="21"/>
                <w:szCs w:val="21"/>
              </w:rPr>
            </w:pPr>
          </w:p>
        </w:tc>
        <w:tc>
          <w:tcPr>
            <w:tcW w:w="965" w:type="pct"/>
            <w:gridSpan w:val="2"/>
            <w:vAlign w:val="center"/>
          </w:tcPr>
          <w:p w14:paraId="471EA4B3">
            <w:pPr>
              <w:widowControl/>
              <w:jc w:val="center"/>
              <w:textAlignment w:val="center"/>
              <w:rPr>
                <w:rFonts w:ascii="Times New Roman" w:eastAsia="Arial"/>
                <w:spacing w:val="-2"/>
                <w:sz w:val="21"/>
                <w:szCs w:val="21"/>
              </w:rPr>
            </w:pPr>
            <w:r>
              <w:rPr>
                <w:rFonts w:ascii="Times New Roman" w:eastAsia="Arial"/>
                <w:spacing w:val="-2"/>
                <w:sz w:val="21"/>
                <w:szCs w:val="21"/>
              </w:rPr>
              <w:t>摇臂钻</w:t>
            </w:r>
          </w:p>
        </w:tc>
        <w:tc>
          <w:tcPr>
            <w:tcW w:w="1431" w:type="pct"/>
            <w:vAlign w:val="center"/>
          </w:tcPr>
          <w:p w14:paraId="46758F48">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2F8B55ED">
            <w:pPr>
              <w:widowControl/>
              <w:jc w:val="center"/>
              <w:textAlignment w:val="center"/>
              <w:rPr>
                <w:rFonts w:ascii="Times New Roman"/>
                <w:spacing w:val="4"/>
                <w:sz w:val="21"/>
                <w:szCs w:val="21"/>
              </w:rPr>
            </w:pPr>
            <w:r>
              <w:rPr>
                <w:rFonts w:ascii="Times New Roman" w:eastAsia="Arial"/>
                <w:spacing w:val="-2"/>
                <w:sz w:val="21"/>
                <w:szCs w:val="21"/>
              </w:rPr>
              <w:t>1</w:t>
            </w:r>
          </w:p>
        </w:tc>
      </w:tr>
      <w:tr w14:paraId="0E3A6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31EA732">
            <w:pPr>
              <w:jc w:val="center"/>
              <w:rPr>
                <w:rFonts w:ascii="Times New Roman"/>
                <w:sz w:val="21"/>
                <w:szCs w:val="21"/>
              </w:rPr>
            </w:pPr>
            <w:r>
              <w:rPr>
                <w:rFonts w:ascii="Times New Roman"/>
                <w:sz w:val="21"/>
                <w:szCs w:val="21"/>
              </w:rPr>
              <w:t>118</w:t>
            </w:r>
          </w:p>
        </w:tc>
        <w:tc>
          <w:tcPr>
            <w:tcW w:w="413" w:type="pct"/>
            <w:vMerge w:val="continue"/>
            <w:vAlign w:val="center"/>
          </w:tcPr>
          <w:p w14:paraId="7FABFDA0">
            <w:pPr>
              <w:jc w:val="center"/>
              <w:rPr>
                <w:rFonts w:ascii="Times New Roman"/>
                <w:sz w:val="21"/>
                <w:szCs w:val="21"/>
              </w:rPr>
            </w:pPr>
          </w:p>
        </w:tc>
        <w:tc>
          <w:tcPr>
            <w:tcW w:w="616" w:type="pct"/>
            <w:vMerge w:val="restart"/>
            <w:vAlign w:val="center"/>
          </w:tcPr>
          <w:p w14:paraId="30BB9985">
            <w:pPr>
              <w:jc w:val="center"/>
              <w:rPr>
                <w:rFonts w:ascii="Times New Roman"/>
                <w:sz w:val="21"/>
                <w:szCs w:val="21"/>
              </w:rPr>
            </w:pPr>
            <w:r>
              <w:rPr>
                <w:rFonts w:ascii="Times New Roman"/>
                <w:sz w:val="21"/>
                <w:szCs w:val="21"/>
              </w:rPr>
              <w:t>桁架、栈桥组焊、焊接区</w:t>
            </w:r>
          </w:p>
        </w:tc>
        <w:tc>
          <w:tcPr>
            <w:tcW w:w="761" w:type="pct"/>
            <w:vMerge w:val="restart"/>
            <w:vAlign w:val="center"/>
          </w:tcPr>
          <w:p w14:paraId="2D84C090">
            <w:pPr>
              <w:jc w:val="center"/>
              <w:rPr>
                <w:rFonts w:ascii="Times New Roman"/>
                <w:sz w:val="21"/>
                <w:szCs w:val="21"/>
              </w:rPr>
            </w:pPr>
            <w:r>
              <w:rPr>
                <w:rFonts w:ascii="Times New Roman"/>
                <w:kern w:val="0"/>
                <w:sz w:val="21"/>
                <w:szCs w:val="21"/>
              </w:rPr>
              <w:t>桁架、栈桥组焊、焊接线</w:t>
            </w:r>
          </w:p>
        </w:tc>
        <w:tc>
          <w:tcPr>
            <w:tcW w:w="965" w:type="pct"/>
            <w:gridSpan w:val="2"/>
            <w:vAlign w:val="center"/>
          </w:tcPr>
          <w:p w14:paraId="0E69E65A">
            <w:pPr>
              <w:widowControl/>
              <w:jc w:val="center"/>
              <w:textAlignment w:val="center"/>
              <w:rPr>
                <w:rFonts w:ascii="Times New Roman" w:eastAsia="Arial"/>
                <w:spacing w:val="-2"/>
                <w:sz w:val="21"/>
                <w:szCs w:val="21"/>
              </w:rPr>
            </w:pPr>
            <w:r>
              <w:rPr>
                <w:rFonts w:ascii="Times New Roman" w:eastAsia="Arial"/>
                <w:spacing w:val="-2"/>
                <w:sz w:val="21"/>
                <w:szCs w:val="21"/>
              </w:rPr>
              <w:t>摇臂钻</w:t>
            </w:r>
          </w:p>
        </w:tc>
        <w:tc>
          <w:tcPr>
            <w:tcW w:w="1431" w:type="pct"/>
            <w:vAlign w:val="center"/>
          </w:tcPr>
          <w:p w14:paraId="24D647FD">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736A3CA5">
            <w:pPr>
              <w:widowControl/>
              <w:jc w:val="center"/>
              <w:textAlignment w:val="center"/>
              <w:rPr>
                <w:rFonts w:ascii="Times New Roman"/>
                <w:spacing w:val="4"/>
                <w:sz w:val="21"/>
                <w:szCs w:val="21"/>
              </w:rPr>
            </w:pPr>
            <w:r>
              <w:rPr>
                <w:rFonts w:ascii="Times New Roman" w:eastAsia="Arial"/>
                <w:spacing w:val="-2"/>
                <w:sz w:val="21"/>
                <w:szCs w:val="21"/>
              </w:rPr>
              <w:t>2</w:t>
            </w:r>
          </w:p>
        </w:tc>
      </w:tr>
      <w:tr w14:paraId="0CA59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A0FF381">
            <w:pPr>
              <w:jc w:val="center"/>
              <w:rPr>
                <w:rFonts w:ascii="Times New Roman"/>
                <w:sz w:val="21"/>
                <w:szCs w:val="21"/>
              </w:rPr>
            </w:pPr>
            <w:r>
              <w:rPr>
                <w:rFonts w:ascii="Times New Roman"/>
                <w:sz w:val="21"/>
                <w:szCs w:val="21"/>
              </w:rPr>
              <w:t>119</w:t>
            </w:r>
          </w:p>
        </w:tc>
        <w:tc>
          <w:tcPr>
            <w:tcW w:w="413" w:type="pct"/>
            <w:vMerge w:val="continue"/>
            <w:vAlign w:val="center"/>
          </w:tcPr>
          <w:p w14:paraId="6281D9E5">
            <w:pPr>
              <w:jc w:val="center"/>
              <w:rPr>
                <w:rFonts w:ascii="Times New Roman"/>
                <w:sz w:val="21"/>
                <w:szCs w:val="21"/>
              </w:rPr>
            </w:pPr>
          </w:p>
        </w:tc>
        <w:tc>
          <w:tcPr>
            <w:tcW w:w="616" w:type="pct"/>
            <w:vMerge w:val="continue"/>
            <w:vAlign w:val="center"/>
          </w:tcPr>
          <w:p w14:paraId="657D8BB8">
            <w:pPr>
              <w:jc w:val="center"/>
              <w:rPr>
                <w:rFonts w:ascii="Times New Roman"/>
                <w:sz w:val="21"/>
                <w:szCs w:val="21"/>
              </w:rPr>
            </w:pPr>
          </w:p>
        </w:tc>
        <w:tc>
          <w:tcPr>
            <w:tcW w:w="761" w:type="pct"/>
            <w:vMerge w:val="continue"/>
            <w:vAlign w:val="center"/>
          </w:tcPr>
          <w:p w14:paraId="15BB6641">
            <w:pPr>
              <w:jc w:val="center"/>
              <w:rPr>
                <w:rFonts w:ascii="Times New Roman"/>
                <w:sz w:val="21"/>
                <w:szCs w:val="21"/>
              </w:rPr>
            </w:pPr>
          </w:p>
        </w:tc>
        <w:tc>
          <w:tcPr>
            <w:tcW w:w="965" w:type="pct"/>
            <w:gridSpan w:val="2"/>
            <w:vAlign w:val="center"/>
          </w:tcPr>
          <w:p w14:paraId="4C3198B8">
            <w:pPr>
              <w:widowControl/>
              <w:jc w:val="center"/>
              <w:textAlignment w:val="center"/>
              <w:rPr>
                <w:rFonts w:ascii="Times New Roman" w:eastAsia="Arial"/>
                <w:spacing w:val="-2"/>
                <w:sz w:val="21"/>
                <w:szCs w:val="21"/>
              </w:rPr>
            </w:pPr>
            <w:r>
              <w:rPr>
                <w:rFonts w:ascii="Times New Roman" w:eastAsia="Arial"/>
                <w:spacing w:val="-2"/>
                <w:sz w:val="21"/>
                <w:szCs w:val="21"/>
              </w:rPr>
              <w:t>油压机</w:t>
            </w:r>
          </w:p>
        </w:tc>
        <w:tc>
          <w:tcPr>
            <w:tcW w:w="1431" w:type="pct"/>
            <w:vAlign w:val="center"/>
          </w:tcPr>
          <w:p w14:paraId="5B229D7A">
            <w:pPr>
              <w:jc w:val="center"/>
              <w:rPr>
                <w:rFonts w:ascii="Times New Roman" w:eastAsia="Arial"/>
                <w:spacing w:val="-2"/>
                <w:sz w:val="21"/>
                <w:szCs w:val="21"/>
              </w:rPr>
            </w:pPr>
            <w:r>
              <w:rPr>
                <w:rFonts w:ascii="Times New Roman"/>
                <w:sz w:val="21"/>
                <w:szCs w:val="21"/>
              </w:rPr>
              <w:t>/</w:t>
            </w:r>
          </w:p>
        </w:tc>
        <w:tc>
          <w:tcPr>
            <w:tcW w:w="470" w:type="pct"/>
            <w:vAlign w:val="center"/>
          </w:tcPr>
          <w:p w14:paraId="28EF75E0">
            <w:pPr>
              <w:widowControl/>
              <w:jc w:val="center"/>
              <w:textAlignment w:val="center"/>
              <w:rPr>
                <w:rFonts w:ascii="Times New Roman"/>
                <w:sz w:val="21"/>
                <w:szCs w:val="21"/>
              </w:rPr>
            </w:pPr>
            <w:r>
              <w:rPr>
                <w:rFonts w:ascii="Times New Roman" w:eastAsia="Arial"/>
                <w:spacing w:val="-2"/>
                <w:sz w:val="21"/>
                <w:szCs w:val="21"/>
              </w:rPr>
              <w:t>2</w:t>
            </w:r>
          </w:p>
        </w:tc>
      </w:tr>
      <w:tr w14:paraId="617D6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26E8531">
            <w:pPr>
              <w:jc w:val="center"/>
              <w:rPr>
                <w:rFonts w:ascii="Times New Roman"/>
                <w:sz w:val="21"/>
                <w:szCs w:val="21"/>
              </w:rPr>
            </w:pPr>
            <w:r>
              <w:rPr>
                <w:rFonts w:ascii="Times New Roman"/>
                <w:sz w:val="21"/>
                <w:szCs w:val="21"/>
              </w:rPr>
              <w:t>120</w:t>
            </w:r>
          </w:p>
        </w:tc>
        <w:tc>
          <w:tcPr>
            <w:tcW w:w="413" w:type="pct"/>
            <w:vMerge w:val="continue"/>
            <w:vAlign w:val="center"/>
          </w:tcPr>
          <w:p w14:paraId="381D8B0C">
            <w:pPr>
              <w:jc w:val="center"/>
              <w:rPr>
                <w:rFonts w:ascii="Times New Roman"/>
                <w:sz w:val="21"/>
                <w:szCs w:val="21"/>
              </w:rPr>
            </w:pPr>
          </w:p>
        </w:tc>
        <w:tc>
          <w:tcPr>
            <w:tcW w:w="616" w:type="pct"/>
            <w:vMerge w:val="continue"/>
            <w:vAlign w:val="center"/>
          </w:tcPr>
          <w:p w14:paraId="148F4CA2">
            <w:pPr>
              <w:jc w:val="center"/>
              <w:rPr>
                <w:rFonts w:ascii="Times New Roman"/>
                <w:sz w:val="21"/>
                <w:szCs w:val="21"/>
              </w:rPr>
            </w:pPr>
          </w:p>
        </w:tc>
        <w:tc>
          <w:tcPr>
            <w:tcW w:w="761" w:type="pct"/>
            <w:vMerge w:val="continue"/>
            <w:vAlign w:val="center"/>
          </w:tcPr>
          <w:p w14:paraId="63F4B882">
            <w:pPr>
              <w:jc w:val="center"/>
              <w:rPr>
                <w:rFonts w:ascii="Times New Roman"/>
                <w:sz w:val="21"/>
                <w:szCs w:val="21"/>
              </w:rPr>
            </w:pPr>
          </w:p>
        </w:tc>
        <w:tc>
          <w:tcPr>
            <w:tcW w:w="965" w:type="pct"/>
            <w:gridSpan w:val="2"/>
            <w:vAlign w:val="center"/>
          </w:tcPr>
          <w:p w14:paraId="67EA503A">
            <w:pPr>
              <w:widowControl/>
              <w:jc w:val="center"/>
              <w:textAlignment w:val="center"/>
              <w:rPr>
                <w:rFonts w:ascii="Times New Roman" w:eastAsia="Arial"/>
                <w:spacing w:val="-2"/>
                <w:sz w:val="21"/>
                <w:szCs w:val="21"/>
              </w:rPr>
            </w:pPr>
            <w:r>
              <w:rPr>
                <w:rFonts w:ascii="Times New Roman" w:eastAsia="Arial"/>
                <w:spacing w:val="-2"/>
                <w:sz w:val="21"/>
                <w:szCs w:val="21"/>
              </w:rPr>
              <w:t>数控钻</w:t>
            </w:r>
          </w:p>
        </w:tc>
        <w:tc>
          <w:tcPr>
            <w:tcW w:w="1431" w:type="pct"/>
            <w:vAlign w:val="center"/>
          </w:tcPr>
          <w:p w14:paraId="77BCA491">
            <w:pPr>
              <w:jc w:val="center"/>
              <w:textAlignment w:val="center"/>
              <w:rPr>
                <w:rFonts w:ascii="Times New Roman"/>
                <w:sz w:val="21"/>
                <w:szCs w:val="21"/>
              </w:rPr>
            </w:pPr>
          </w:p>
        </w:tc>
        <w:tc>
          <w:tcPr>
            <w:tcW w:w="470" w:type="pct"/>
            <w:vAlign w:val="center"/>
          </w:tcPr>
          <w:p w14:paraId="455DAD49">
            <w:pPr>
              <w:widowControl/>
              <w:jc w:val="center"/>
              <w:textAlignment w:val="center"/>
              <w:rPr>
                <w:rFonts w:ascii="Times New Roman" w:eastAsia="Arial"/>
                <w:spacing w:val="-2"/>
                <w:sz w:val="21"/>
                <w:szCs w:val="21"/>
              </w:rPr>
            </w:pPr>
            <w:r>
              <w:rPr>
                <w:rFonts w:ascii="Times New Roman" w:eastAsia="Arial"/>
                <w:spacing w:val="-2"/>
                <w:sz w:val="21"/>
                <w:szCs w:val="21"/>
              </w:rPr>
              <w:t>4</w:t>
            </w:r>
          </w:p>
        </w:tc>
      </w:tr>
      <w:tr w14:paraId="0B3A0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B080502">
            <w:pPr>
              <w:jc w:val="center"/>
              <w:rPr>
                <w:rFonts w:ascii="Times New Roman"/>
                <w:sz w:val="21"/>
                <w:szCs w:val="21"/>
              </w:rPr>
            </w:pPr>
            <w:r>
              <w:rPr>
                <w:rFonts w:ascii="Times New Roman"/>
                <w:sz w:val="21"/>
                <w:szCs w:val="21"/>
              </w:rPr>
              <w:t>121</w:t>
            </w:r>
          </w:p>
        </w:tc>
        <w:tc>
          <w:tcPr>
            <w:tcW w:w="413" w:type="pct"/>
            <w:vMerge w:val="continue"/>
            <w:vAlign w:val="center"/>
          </w:tcPr>
          <w:p w14:paraId="1D2A057A">
            <w:pPr>
              <w:jc w:val="center"/>
              <w:rPr>
                <w:rFonts w:ascii="Times New Roman"/>
                <w:sz w:val="21"/>
                <w:szCs w:val="21"/>
              </w:rPr>
            </w:pPr>
          </w:p>
        </w:tc>
        <w:tc>
          <w:tcPr>
            <w:tcW w:w="616" w:type="pct"/>
            <w:vMerge w:val="continue"/>
            <w:vAlign w:val="center"/>
          </w:tcPr>
          <w:p w14:paraId="0CF632E3">
            <w:pPr>
              <w:jc w:val="center"/>
              <w:rPr>
                <w:rFonts w:ascii="Times New Roman"/>
                <w:sz w:val="21"/>
                <w:szCs w:val="21"/>
              </w:rPr>
            </w:pPr>
          </w:p>
        </w:tc>
        <w:tc>
          <w:tcPr>
            <w:tcW w:w="761" w:type="pct"/>
            <w:vMerge w:val="continue"/>
            <w:vAlign w:val="center"/>
          </w:tcPr>
          <w:p w14:paraId="7FBCF126">
            <w:pPr>
              <w:jc w:val="center"/>
              <w:rPr>
                <w:rFonts w:ascii="Times New Roman"/>
                <w:sz w:val="21"/>
                <w:szCs w:val="21"/>
              </w:rPr>
            </w:pPr>
          </w:p>
        </w:tc>
        <w:tc>
          <w:tcPr>
            <w:tcW w:w="965" w:type="pct"/>
            <w:gridSpan w:val="2"/>
            <w:vAlign w:val="center"/>
          </w:tcPr>
          <w:p w14:paraId="5C41C900">
            <w:pPr>
              <w:widowControl/>
              <w:jc w:val="center"/>
              <w:textAlignment w:val="center"/>
              <w:rPr>
                <w:rFonts w:ascii="Times New Roman" w:eastAsia="Arial"/>
                <w:spacing w:val="-2"/>
                <w:sz w:val="21"/>
                <w:szCs w:val="21"/>
              </w:rPr>
            </w:pPr>
            <w:r>
              <w:rPr>
                <w:rFonts w:ascii="Times New Roman" w:eastAsia="Arial"/>
                <w:spacing w:val="-2"/>
                <w:sz w:val="21"/>
                <w:szCs w:val="21"/>
              </w:rPr>
              <w:t>数控卷弯机</w:t>
            </w:r>
          </w:p>
        </w:tc>
        <w:tc>
          <w:tcPr>
            <w:tcW w:w="1431" w:type="pct"/>
            <w:vAlign w:val="center"/>
          </w:tcPr>
          <w:p w14:paraId="109C0C16">
            <w:pPr>
              <w:jc w:val="center"/>
              <w:textAlignment w:val="center"/>
              <w:rPr>
                <w:rFonts w:ascii="Times New Roman"/>
                <w:sz w:val="21"/>
                <w:szCs w:val="21"/>
              </w:rPr>
            </w:pPr>
          </w:p>
        </w:tc>
        <w:tc>
          <w:tcPr>
            <w:tcW w:w="470" w:type="pct"/>
            <w:vAlign w:val="center"/>
          </w:tcPr>
          <w:p w14:paraId="1D4ADD79">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44612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498A4D4">
            <w:pPr>
              <w:jc w:val="center"/>
              <w:rPr>
                <w:rFonts w:ascii="Times New Roman"/>
                <w:sz w:val="21"/>
                <w:szCs w:val="21"/>
              </w:rPr>
            </w:pPr>
            <w:r>
              <w:rPr>
                <w:rFonts w:ascii="Times New Roman"/>
                <w:sz w:val="21"/>
                <w:szCs w:val="21"/>
              </w:rPr>
              <w:t>122</w:t>
            </w:r>
          </w:p>
        </w:tc>
        <w:tc>
          <w:tcPr>
            <w:tcW w:w="413" w:type="pct"/>
            <w:vMerge w:val="continue"/>
            <w:vAlign w:val="center"/>
          </w:tcPr>
          <w:p w14:paraId="64EC2664">
            <w:pPr>
              <w:jc w:val="center"/>
              <w:rPr>
                <w:rFonts w:ascii="Times New Roman"/>
                <w:sz w:val="21"/>
                <w:szCs w:val="21"/>
              </w:rPr>
            </w:pPr>
          </w:p>
        </w:tc>
        <w:tc>
          <w:tcPr>
            <w:tcW w:w="616" w:type="pct"/>
            <w:vMerge w:val="continue"/>
            <w:vAlign w:val="center"/>
          </w:tcPr>
          <w:p w14:paraId="4EB24755">
            <w:pPr>
              <w:jc w:val="center"/>
              <w:rPr>
                <w:rFonts w:ascii="Times New Roman"/>
                <w:sz w:val="21"/>
                <w:szCs w:val="21"/>
              </w:rPr>
            </w:pPr>
          </w:p>
        </w:tc>
        <w:tc>
          <w:tcPr>
            <w:tcW w:w="761" w:type="pct"/>
            <w:vMerge w:val="continue"/>
            <w:vAlign w:val="center"/>
          </w:tcPr>
          <w:p w14:paraId="1FDCEBD3">
            <w:pPr>
              <w:jc w:val="center"/>
              <w:rPr>
                <w:rFonts w:ascii="Times New Roman"/>
                <w:sz w:val="21"/>
                <w:szCs w:val="21"/>
              </w:rPr>
            </w:pPr>
          </w:p>
        </w:tc>
        <w:tc>
          <w:tcPr>
            <w:tcW w:w="965" w:type="pct"/>
            <w:gridSpan w:val="2"/>
            <w:vAlign w:val="center"/>
          </w:tcPr>
          <w:p w14:paraId="0646D88C">
            <w:pPr>
              <w:widowControl/>
              <w:jc w:val="center"/>
              <w:textAlignment w:val="center"/>
              <w:rPr>
                <w:rFonts w:ascii="Times New Roman" w:eastAsia="Arial"/>
                <w:spacing w:val="-2"/>
                <w:sz w:val="21"/>
                <w:szCs w:val="21"/>
              </w:rPr>
            </w:pPr>
            <w:r>
              <w:rPr>
                <w:rFonts w:ascii="Times New Roman" w:eastAsia="Arial"/>
                <w:spacing w:val="-2"/>
                <w:sz w:val="21"/>
                <w:szCs w:val="21"/>
              </w:rPr>
              <w:t>组焊焊机</w:t>
            </w:r>
          </w:p>
        </w:tc>
        <w:tc>
          <w:tcPr>
            <w:tcW w:w="1431" w:type="pct"/>
            <w:vAlign w:val="center"/>
          </w:tcPr>
          <w:p w14:paraId="040E57E8">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6CCEC537">
            <w:pPr>
              <w:widowControl/>
              <w:jc w:val="center"/>
              <w:textAlignment w:val="center"/>
              <w:rPr>
                <w:rFonts w:ascii="Times New Roman"/>
                <w:sz w:val="21"/>
                <w:szCs w:val="21"/>
              </w:rPr>
            </w:pPr>
            <w:r>
              <w:rPr>
                <w:rFonts w:ascii="Times New Roman" w:eastAsia="Arial"/>
                <w:spacing w:val="-2"/>
                <w:sz w:val="21"/>
                <w:szCs w:val="21"/>
              </w:rPr>
              <w:t>16</w:t>
            </w:r>
          </w:p>
        </w:tc>
      </w:tr>
      <w:tr w14:paraId="38B0A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CB4CF16">
            <w:pPr>
              <w:jc w:val="center"/>
              <w:rPr>
                <w:rFonts w:ascii="Times New Roman"/>
                <w:sz w:val="21"/>
                <w:szCs w:val="21"/>
              </w:rPr>
            </w:pPr>
            <w:r>
              <w:rPr>
                <w:rFonts w:ascii="Times New Roman"/>
                <w:sz w:val="21"/>
                <w:szCs w:val="21"/>
              </w:rPr>
              <w:t>123</w:t>
            </w:r>
          </w:p>
        </w:tc>
        <w:tc>
          <w:tcPr>
            <w:tcW w:w="413" w:type="pct"/>
            <w:vMerge w:val="continue"/>
            <w:vAlign w:val="center"/>
          </w:tcPr>
          <w:p w14:paraId="2B8FCF92">
            <w:pPr>
              <w:jc w:val="center"/>
              <w:rPr>
                <w:rFonts w:ascii="Times New Roman"/>
                <w:sz w:val="21"/>
                <w:szCs w:val="21"/>
              </w:rPr>
            </w:pPr>
          </w:p>
        </w:tc>
        <w:tc>
          <w:tcPr>
            <w:tcW w:w="616" w:type="pct"/>
            <w:vMerge w:val="continue"/>
            <w:vAlign w:val="center"/>
          </w:tcPr>
          <w:p w14:paraId="2A1B1032">
            <w:pPr>
              <w:jc w:val="center"/>
              <w:rPr>
                <w:rFonts w:ascii="Times New Roman"/>
                <w:sz w:val="21"/>
                <w:szCs w:val="21"/>
              </w:rPr>
            </w:pPr>
          </w:p>
        </w:tc>
        <w:tc>
          <w:tcPr>
            <w:tcW w:w="761" w:type="pct"/>
            <w:vMerge w:val="continue"/>
            <w:vAlign w:val="center"/>
          </w:tcPr>
          <w:p w14:paraId="11B768CF">
            <w:pPr>
              <w:jc w:val="center"/>
              <w:rPr>
                <w:rFonts w:ascii="Times New Roman"/>
                <w:sz w:val="21"/>
                <w:szCs w:val="21"/>
              </w:rPr>
            </w:pPr>
          </w:p>
        </w:tc>
        <w:tc>
          <w:tcPr>
            <w:tcW w:w="965" w:type="pct"/>
            <w:gridSpan w:val="2"/>
            <w:vAlign w:val="center"/>
          </w:tcPr>
          <w:p w14:paraId="2283462C">
            <w:pPr>
              <w:widowControl/>
              <w:jc w:val="center"/>
              <w:textAlignment w:val="center"/>
              <w:rPr>
                <w:rFonts w:ascii="Times New Roman" w:eastAsia="Arial"/>
                <w:spacing w:val="-2"/>
                <w:sz w:val="21"/>
                <w:szCs w:val="21"/>
              </w:rPr>
            </w:pPr>
            <w:r>
              <w:rPr>
                <w:rFonts w:ascii="Times New Roman" w:eastAsia="Arial"/>
                <w:spacing w:val="-2"/>
                <w:sz w:val="21"/>
                <w:szCs w:val="21"/>
              </w:rPr>
              <w:t>焊接焊机</w:t>
            </w:r>
          </w:p>
        </w:tc>
        <w:tc>
          <w:tcPr>
            <w:tcW w:w="1431" w:type="pct"/>
            <w:vAlign w:val="center"/>
          </w:tcPr>
          <w:p w14:paraId="2E831FC7">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676D8585">
            <w:pPr>
              <w:widowControl/>
              <w:jc w:val="center"/>
              <w:textAlignment w:val="center"/>
              <w:rPr>
                <w:rFonts w:ascii="Times New Roman"/>
                <w:sz w:val="21"/>
                <w:szCs w:val="21"/>
              </w:rPr>
            </w:pPr>
            <w:r>
              <w:rPr>
                <w:rFonts w:ascii="Times New Roman" w:eastAsia="Arial"/>
                <w:spacing w:val="-2"/>
                <w:sz w:val="21"/>
                <w:szCs w:val="21"/>
              </w:rPr>
              <w:t>52</w:t>
            </w:r>
          </w:p>
        </w:tc>
      </w:tr>
      <w:tr w14:paraId="72B0F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8A8A7AA">
            <w:pPr>
              <w:jc w:val="center"/>
              <w:rPr>
                <w:rFonts w:ascii="Times New Roman"/>
                <w:sz w:val="21"/>
                <w:szCs w:val="21"/>
              </w:rPr>
            </w:pPr>
            <w:r>
              <w:rPr>
                <w:rFonts w:ascii="Times New Roman"/>
                <w:sz w:val="21"/>
                <w:szCs w:val="21"/>
              </w:rPr>
              <w:t>124</w:t>
            </w:r>
          </w:p>
        </w:tc>
        <w:tc>
          <w:tcPr>
            <w:tcW w:w="413" w:type="pct"/>
            <w:vMerge w:val="continue"/>
            <w:vAlign w:val="center"/>
          </w:tcPr>
          <w:p w14:paraId="6D528094">
            <w:pPr>
              <w:jc w:val="center"/>
              <w:rPr>
                <w:rFonts w:ascii="Times New Roman"/>
                <w:sz w:val="21"/>
                <w:szCs w:val="21"/>
              </w:rPr>
            </w:pPr>
          </w:p>
        </w:tc>
        <w:tc>
          <w:tcPr>
            <w:tcW w:w="616" w:type="pct"/>
            <w:vMerge w:val="continue"/>
            <w:vAlign w:val="center"/>
          </w:tcPr>
          <w:p w14:paraId="316FC03E">
            <w:pPr>
              <w:jc w:val="center"/>
              <w:rPr>
                <w:rFonts w:ascii="Times New Roman"/>
                <w:sz w:val="21"/>
                <w:szCs w:val="21"/>
              </w:rPr>
            </w:pPr>
          </w:p>
        </w:tc>
        <w:tc>
          <w:tcPr>
            <w:tcW w:w="761" w:type="pct"/>
            <w:vMerge w:val="continue"/>
            <w:vAlign w:val="center"/>
          </w:tcPr>
          <w:p w14:paraId="243F8D2E">
            <w:pPr>
              <w:jc w:val="center"/>
              <w:rPr>
                <w:rFonts w:ascii="Times New Roman"/>
                <w:sz w:val="21"/>
                <w:szCs w:val="21"/>
              </w:rPr>
            </w:pPr>
          </w:p>
        </w:tc>
        <w:tc>
          <w:tcPr>
            <w:tcW w:w="965" w:type="pct"/>
            <w:gridSpan w:val="2"/>
            <w:vAlign w:val="center"/>
          </w:tcPr>
          <w:p w14:paraId="160EF803">
            <w:pPr>
              <w:widowControl/>
              <w:jc w:val="center"/>
              <w:textAlignment w:val="center"/>
              <w:rPr>
                <w:rFonts w:ascii="Times New Roman" w:eastAsia="Arial"/>
                <w:spacing w:val="-2"/>
                <w:sz w:val="21"/>
                <w:szCs w:val="21"/>
              </w:rPr>
            </w:pPr>
            <w:r>
              <w:rPr>
                <w:rFonts w:ascii="Times New Roman" w:eastAsia="Arial"/>
                <w:spacing w:val="-2"/>
                <w:sz w:val="21"/>
                <w:szCs w:val="21"/>
              </w:rPr>
              <w:t>磁力钻</w:t>
            </w:r>
          </w:p>
        </w:tc>
        <w:tc>
          <w:tcPr>
            <w:tcW w:w="1431" w:type="pct"/>
            <w:vAlign w:val="center"/>
          </w:tcPr>
          <w:p w14:paraId="5A1DFA0C">
            <w:pPr>
              <w:jc w:val="center"/>
              <w:rPr>
                <w:rFonts w:ascii="Times New Roman" w:eastAsia="Arial"/>
                <w:spacing w:val="-2"/>
                <w:sz w:val="21"/>
                <w:szCs w:val="21"/>
              </w:rPr>
            </w:pPr>
            <w:r>
              <w:rPr>
                <w:rFonts w:ascii="Times New Roman"/>
                <w:sz w:val="21"/>
                <w:szCs w:val="21"/>
              </w:rPr>
              <w:t>/</w:t>
            </w:r>
          </w:p>
        </w:tc>
        <w:tc>
          <w:tcPr>
            <w:tcW w:w="470" w:type="pct"/>
            <w:vAlign w:val="center"/>
          </w:tcPr>
          <w:p w14:paraId="69E47E90">
            <w:pPr>
              <w:widowControl/>
              <w:jc w:val="center"/>
              <w:textAlignment w:val="center"/>
              <w:rPr>
                <w:rFonts w:ascii="Times New Roman"/>
                <w:sz w:val="21"/>
                <w:szCs w:val="21"/>
              </w:rPr>
            </w:pPr>
            <w:r>
              <w:rPr>
                <w:rFonts w:ascii="Times New Roman" w:eastAsia="Arial"/>
                <w:spacing w:val="-2"/>
                <w:sz w:val="21"/>
                <w:szCs w:val="21"/>
              </w:rPr>
              <w:t>38</w:t>
            </w:r>
          </w:p>
        </w:tc>
      </w:tr>
      <w:tr w14:paraId="65A4E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0930161">
            <w:pPr>
              <w:jc w:val="center"/>
              <w:rPr>
                <w:rFonts w:ascii="Times New Roman"/>
                <w:sz w:val="21"/>
                <w:szCs w:val="21"/>
              </w:rPr>
            </w:pPr>
            <w:r>
              <w:rPr>
                <w:rFonts w:ascii="Times New Roman"/>
                <w:sz w:val="21"/>
                <w:szCs w:val="21"/>
              </w:rPr>
              <w:t>125</w:t>
            </w:r>
          </w:p>
        </w:tc>
        <w:tc>
          <w:tcPr>
            <w:tcW w:w="413" w:type="pct"/>
            <w:vMerge w:val="continue"/>
            <w:vAlign w:val="center"/>
          </w:tcPr>
          <w:p w14:paraId="0A3E4976">
            <w:pPr>
              <w:jc w:val="center"/>
              <w:rPr>
                <w:rFonts w:ascii="Times New Roman"/>
                <w:sz w:val="21"/>
                <w:szCs w:val="21"/>
              </w:rPr>
            </w:pPr>
          </w:p>
        </w:tc>
        <w:tc>
          <w:tcPr>
            <w:tcW w:w="616" w:type="pct"/>
            <w:vMerge w:val="restart"/>
            <w:vAlign w:val="center"/>
          </w:tcPr>
          <w:p w14:paraId="3549ABC6">
            <w:pPr>
              <w:jc w:val="center"/>
              <w:rPr>
                <w:rFonts w:ascii="Times New Roman"/>
                <w:sz w:val="21"/>
                <w:szCs w:val="21"/>
              </w:rPr>
            </w:pPr>
            <w:r>
              <w:rPr>
                <w:rFonts w:ascii="Times New Roman"/>
                <w:sz w:val="21"/>
                <w:szCs w:val="21"/>
              </w:rPr>
              <w:t>头尾架焊接区</w:t>
            </w:r>
          </w:p>
        </w:tc>
        <w:tc>
          <w:tcPr>
            <w:tcW w:w="761" w:type="pct"/>
            <w:vMerge w:val="restart"/>
            <w:vAlign w:val="center"/>
          </w:tcPr>
          <w:p w14:paraId="4E41D7B5">
            <w:pPr>
              <w:jc w:val="center"/>
              <w:rPr>
                <w:rFonts w:ascii="Times New Roman"/>
                <w:sz w:val="21"/>
                <w:szCs w:val="21"/>
              </w:rPr>
            </w:pPr>
            <w:r>
              <w:rPr>
                <w:rFonts w:ascii="Times New Roman"/>
                <w:kern w:val="0"/>
                <w:sz w:val="21"/>
                <w:szCs w:val="21"/>
              </w:rPr>
              <w:t>头尾架焊接区</w:t>
            </w:r>
          </w:p>
        </w:tc>
        <w:tc>
          <w:tcPr>
            <w:tcW w:w="965" w:type="pct"/>
            <w:gridSpan w:val="2"/>
            <w:vAlign w:val="center"/>
          </w:tcPr>
          <w:p w14:paraId="5E19FF0A">
            <w:pPr>
              <w:widowControl/>
              <w:jc w:val="center"/>
              <w:textAlignment w:val="center"/>
              <w:rPr>
                <w:rFonts w:ascii="Times New Roman" w:eastAsia="Arial"/>
                <w:spacing w:val="-2"/>
                <w:sz w:val="21"/>
                <w:szCs w:val="21"/>
              </w:rPr>
            </w:pPr>
            <w:r>
              <w:rPr>
                <w:rFonts w:ascii="Times New Roman" w:eastAsia="Arial"/>
                <w:spacing w:val="-2"/>
                <w:sz w:val="21"/>
                <w:szCs w:val="21"/>
              </w:rPr>
              <w:t>人工焊机</w:t>
            </w:r>
          </w:p>
        </w:tc>
        <w:tc>
          <w:tcPr>
            <w:tcW w:w="1431" w:type="pct"/>
            <w:vAlign w:val="center"/>
          </w:tcPr>
          <w:p w14:paraId="4DAD6010">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6CE508DA">
            <w:pPr>
              <w:widowControl/>
              <w:jc w:val="center"/>
              <w:textAlignment w:val="center"/>
              <w:rPr>
                <w:rFonts w:ascii="Times New Roman"/>
                <w:spacing w:val="-1"/>
                <w:sz w:val="21"/>
                <w:szCs w:val="21"/>
              </w:rPr>
            </w:pPr>
            <w:r>
              <w:rPr>
                <w:rFonts w:ascii="Times New Roman" w:eastAsia="Arial"/>
                <w:spacing w:val="-2"/>
                <w:sz w:val="21"/>
                <w:szCs w:val="21"/>
              </w:rPr>
              <w:t>6</w:t>
            </w:r>
          </w:p>
        </w:tc>
      </w:tr>
      <w:tr w14:paraId="4235A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3F11DF5">
            <w:pPr>
              <w:jc w:val="center"/>
              <w:rPr>
                <w:rFonts w:ascii="Times New Roman"/>
                <w:sz w:val="21"/>
                <w:szCs w:val="21"/>
              </w:rPr>
            </w:pPr>
            <w:r>
              <w:rPr>
                <w:rFonts w:ascii="Times New Roman"/>
                <w:sz w:val="21"/>
                <w:szCs w:val="21"/>
              </w:rPr>
              <w:t>126</w:t>
            </w:r>
          </w:p>
        </w:tc>
        <w:tc>
          <w:tcPr>
            <w:tcW w:w="413" w:type="pct"/>
            <w:vMerge w:val="continue"/>
            <w:vAlign w:val="center"/>
          </w:tcPr>
          <w:p w14:paraId="41C22A97">
            <w:pPr>
              <w:jc w:val="center"/>
              <w:rPr>
                <w:rFonts w:ascii="Times New Roman"/>
                <w:sz w:val="21"/>
                <w:szCs w:val="21"/>
              </w:rPr>
            </w:pPr>
          </w:p>
        </w:tc>
        <w:tc>
          <w:tcPr>
            <w:tcW w:w="616" w:type="pct"/>
            <w:vMerge w:val="continue"/>
            <w:vAlign w:val="center"/>
          </w:tcPr>
          <w:p w14:paraId="5775F0B6">
            <w:pPr>
              <w:jc w:val="center"/>
              <w:rPr>
                <w:rFonts w:ascii="Times New Roman"/>
                <w:sz w:val="21"/>
                <w:szCs w:val="21"/>
              </w:rPr>
            </w:pPr>
          </w:p>
        </w:tc>
        <w:tc>
          <w:tcPr>
            <w:tcW w:w="761" w:type="pct"/>
            <w:vMerge w:val="continue"/>
            <w:vAlign w:val="center"/>
          </w:tcPr>
          <w:p w14:paraId="0511923D">
            <w:pPr>
              <w:jc w:val="center"/>
              <w:rPr>
                <w:rFonts w:ascii="Times New Roman"/>
                <w:sz w:val="21"/>
                <w:szCs w:val="21"/>
              </w:rPr>
            </w:pPr>
          </w:p>
        </w:tc>
        <w:tc>
          <w:tcPr>
            <w:tcW w:w="965" w:type="pct"/>
            <w:gridSpan w:val="2"/>
            <w:vAlign w:val="center"/>
          </w:tcPr>
          <w:p w14:paraId="414890EC">
            <w:pPr>
              <w:widowControl/>
              <w:jc w:val="center"/>
              <w:textAlignment w:val="center"/>
              <w:rPr>
                <w:rFonts w:ascii="Times New Roman" w:eastAsia="Arial"/>
                <w:spacing w:val="-2"/>
                <w:sz w:val="21"/>
                <w:szCs w:val="21"/>
              </w:rPr>
            </w:pPr>
            <w:r>
              <w:rPr>
                <w:rFonts w:ascii="Times New Roman" w:eastAsia="Arial"/>
                <w:spacing w:val="-2"/>
                <w:sz w:val="21"/>
                <w:szCs w:val="21"/>
              </w:rPr>
              <w:t>免示教焊机</w:t>
            </w:r>
          </w:p>
        </w:tc>
        <w:tc>
          <w:tcPr>
            <w:tcW w:w="1431" w:type="pct"/>
            <w:vAlign w:val="center"/>
          </w:tcPr>
          <w:p w14:paraId="0153BCCF">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55745127">
            <w:pPr>
              <w:widowControl/>
              <w:jc w:val="center"/>
              <w:textAlignment w:val="center"/>
              <w:rPr>
                <w:rFonts w:ascii="Times New Roman"/>
                <w:spacing w:val="-1"/>
                <w:sz w:val="21"/>
                <w:szCs w:val="21"/>
              </w:rPr>
            </w:pPr>
            <w:r>
              <w:rPr>
                <w:rFonts w:ascii="Times New Roman"/>
                <w:spacing w:val="-1"/>
                <w:sz w:val="21"/>
                <w:szCs w:val="21"/>
              </w:rPr>
              <w:t>2</w:t>
            </w:r>
          </w:p>
        </w:tc>
      </w:tr>
      <w:tr w14:paraId="7137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ED56D7C">
            <w:pPr>
              <w:jc w:val="center"/>
              <w:rPr>
                <w:rFonts w:ascii="Times New Roman"/>
                <w:sz w:val="21"/>
                <w:szCs w:val="21"/>
              </w:rPr>
            </w:pPr>
            <w:r>
              <w:rPr>
                <w:rFonts w:ascii="Times New Roman"/>
                <w:sz w:val="21"/>
                <w:szCs w:val="21"/>
              </w:rPr>
              <w:t>127</w:t>
            </w:r>
          </w:p>
        </w:tc>
        <w:tc>
          <w:tcPr>
            <w:tcW w:w="413" w:type="pct"/>
            <w:vMerge w:val="continue"/>
            <w:vAlign w:val="center"/>
          </w:tcPr>
          <w:p w14:paraId="14723AAF">
            <w:pPr>
              <w:jc w:val="center"/>
              <w:rPr>
                <w:rFonts w:ascii="Times New Roman"/>
                <w:sz w:val="21"/>
                <w:szCs w:val="21"/>
              </w:rPr>
            </w:pPr>
          </w:p>
        </w:tc>
        <w:tc>
          <w:tcPr>
            <w:tcW w:w="616" w:type="pct"/>
            <w:vMerge w:val="continue"/>
            <w:vAlign w:val="center"/>
          </w:tcPr>
          <w:p w14:paraId="43FE1501">
            <w:pPr>
              <w:jc w:val="center"/>
              <w:rPr>
                <w:rFonts w:ascii="Times New Roman"/>
                <w:sz w:val="21"/>
                <w:szCs w:val="21"/>
              </w:rPr>
            </w:pPr>
          </w:p>
        </w:tc>
        <w:tc>
          <w:tcPr>
            <w:tcW w:w="761" w:type="pct"/>
            <w:vMerge w:val="continue"/>
            <w:vAlign w:val="center"/>
          </w:tcPr>
          <w:p w14:paraId="108E0970">
            <w:pPr>
              <w:jc w:val="center"/>
              <w:rPr>
                <w:rFonts w:ascii="Times New Roman"/>
                <w:sz w:val="21"/>
                <w:szCs w:val="21"/>
              </w:rPr>
            </w:pPr>
          </w:p>
        </w:tc>
        <w:tc>
          <w:tcPr>
            <w:tcW w:w="965" w:type="pct"/>
            <w:gridSpan w:val="2"/>
            <w:vAlign w:val="center"/>
          </w:tcPr>
          <w:p w14:paraId="6319BA25">
            <w:pPr>
              <w:widowControl/>
              <w:jc w:val="center"/>
              <w:textAlignment w:val="center"/>
              <w:rPr>
                <w:rFonts w:ascii="Times New Roman" w:eastAsia="Arial"/>
                <w:spacing w:val="-2"/>
                <w:sz w:val="21"/>
                <w:szCs w:val="21"/>
              </w:rPr>
            </w:pPr>
            <w:r>
              <w:rPr>
                <w:rFonts w:ascii="Times New Roman" w:eastAsia="Arial"/>
                <w:spacing w:val="-2"/>
                <w:sz w:val="21"/>
                <w:szCs w:val="21"/>
              </w:rPr>
              <w:t>摇臂钻</w:t>
            </w:r>
          </w:p>
        </w:tc>
        <w:tc>
          <w:tcPr>
            <w:tcW w:w="1431" w:type="pct"/>
            <w:vAlign w:val="center"/>
          </w:tcPr>
          <w:p w14:paraId="387E170F">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3A8917E1">
            <w:pPr>
              <w:widowControl/>
              <w:jc w:val="center"/>
              <w:textAlignment w:val="center"/>
              <w:rPr>
                <w:rFonts w:ascii="Times New Roman"/>
                <w:spacing w:val="-1"/>
                <w:sz w:val="21"/>
                <w:szCs w:val="21"/>
              </w:rPr>
            </w:pPr>
            <w:r>
              <w:rPr>
                <w:rFonts w:ascii="Times New Roman" w:eastAsia="Arial"/>
                <w:spacing w:val="-2"/>
                <w:sz w:val="21"/>
                <w:szCs w:val="21"/>
              </w:rPr>
              <w:t>2</w:t>
            </w:r>
          </w:p>
        </w:tc>
      </w:tr>
      <w:tr w14:paraId="571BA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CBB7CEA">
            <w:pPr>
              <w:jc w:val="center"/>
              <w:rPr>
                <w:rFonts w:ascii="Times New Roman"/>
                <w:sz w:val="21"/>
                <w:szCs w:val="21"/>
              </w:rPr>
            </w:pPr>
            <w:r>
              <w:rPr>
                <w:rFonts w:ascii="Times New Roman"/>
                <w:sz w:val="21"/>
                <w:szCs w:val="21"/>
              </w:rPr>
              <w:t>128</w:t>
            </w:r>
          </w:p>
        </w:tc>
        <w:tc>
          <w:tcPr>
            <w:tcW w:w="413" w:type="pct"/>
            <w:vMerge w:val="continue"/>
            <w:vAlign w:val="center"/>
          </w:tcPr>
          <w:p w14:paraId="673F1EA0">
            <w:pPr>
              <w:jc w:val="center"/>
              <w:rPr>
                <w:rFonts w:ascii="Times New Roman"/>
                <w:sz w:val="21"/>
                <w:szCs w:val="21"/>
              </w:rPr>
            </w:pPr>
          </w:p>
        </w:tc>
        <w:tc>
          <w:tcPr>
            <w:tcW w:w="616" w:type="pct"/>
            <w:vMerge w:val="restart"/>
            <w:vAlign w:val="center"/>
          </w:tcPr>
          <w:p w14:paraId="79CF755D">
            <w:pPr>
              <w:widowControl/>
              <w:jc w:val="center"/>
              <w:textAlignment w:val="center"/>
              <w:rPr>
                <w:rFonts w:ascii="Times New Roman"/>
                <w:sz w:val="21"/>
                <w:szCs w:val="21"/>
              </w:rPr>
            </w:pPr>
            <w:r>
              <w:rPr>
                <w:rFonts w:ascii="Times New Roman"/>
                <w:sz w:val="21"/>
                <w:szCs w:val="21"/>
              </w:rPr>
              <w:t>支腿组焊焊接区</w:t>
            </w:r>
          </w:p>
        </w:tc>
        <w:tc>
          <w:tcPr>
            <w:tcW w:w="761" w:type="pct"/>
            <w:vMerge w:val="restart"/>
            <w:vAlign w:val="center"/>
          </w:tcPr>
          <w:p w14:paraId="47B1116F">
            <w:pPr>
              <w:widowControl/>
              <w:jc w:val="center"/>
              <w:textAlignment w:val="center"/>
              <w:rPr>
                <w:rFonts w:ascii="Times New Roman"/>
                <w:sz w:val="21"/>
                <w:szCs w:val="21"/>
              </w:rPr>
            </w:pPr>
            <w:r>
              <w:rPr>
                <w:rFonts w:ascii="Times New Roman"/>
                <w:kern w:val="0"/>
                <w:sz w:val="21"/>
                <w:szCs w:val="21"/>
              </w:rPr>
              <w:t>支腿组焊焊接区</w:t>
            </w:r>
          </w:p>
        </w:tc>
        <w:tc>
          <w:tcPr>
            <w:tcW w:w="965" w:type="pct"/>
            <w:gridSpan w:val="2"/>
            <w:vAlign w:val="center"/>
          </w:tcPr>
          <w:p w14:paraId="1E4E188C">
            <w:pPr>
              <w:widowControl/>
              <w:jc w:val="center"/>
              <w:textAlignment w:val="center"/>
              <w:rPr>
                <w:rFonts w:ascii="Times New Roman" w:eastAsia="Arial"/>
                <w:spacing w:val="-2"/>
                <w:sz w:val="21"/>
                <w:szCs w:val="21"/>
              </w:rPr>
            </w:pPr>
            <w:r>
              <w:rPr>
                <w:rFonts w:ascii="Times New Roman" w:eastAsia="Arial"/>
                <w:spacing w:val="-2"/>
                <w:sz w:val="21"/>
                <w:szCs w:val="21"/>
              </w:rPr>
              <w:t>人工焊机</w:t>
            </w:r>
          </w:p>
        </w:tc>
        <w:tc>
          <w:tcPr>
            <w:tcW w:w="1431" w:type="pct"/>
            <w:vAlign w:val="center"/>
          </w:tcPr>
          <w:p w14:paraId="0D13A1DC">
            <w:pPr>
              <w:widowControl/>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1DEFF7E1">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10201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87753EB">
            <w:pPr>
              <w:jc w:val="center"/>
              <w:rPr>
                <w:rFonts w:ascii="Times New Roman"/>
                <w:sz w:val="21"/>
                <w:szCs w:val="21"/>
              </w:rPr>
            </w:pPr>
            <w:r>
              <w:rPr>
                <w:rFonts w:ascii="Times New Roman"/>
                <w:sz w:val="21"/>
                <w:szCs w:val="21"/>
              </w:rPr>
              <w:t>129</w:t>
            </w:r>
          </w:p>
        </w:tc>
        <w:tc>
          <w:tcPr>
            <w:tcW w:w="413" w:type="pct"/>
            <w:vMerge w:val="continue"/>
            <w:vAlign w:val="center"/>
          </w:tcPr>
          <w:p w14:paraId="3C26F1FA">
            <w:pPr>
              <w:jc w:val="center"/>
              <w:rPr>
                <w:rFonts w:ascii="Times New Roman"/>
                <w:sz w:val="21"/>
                <w:szCs w:val="21"/>
              </w:rPr>
            </w:pPr>
          </w:p>
        </w:tc>
        <w:tc>
          <w:tcPr>
            <w:tcW w:w="616" w:type="pct"/>
            <w:vMerge w:val="continue"/>
            <w:vAlign w:val="center"/>
          </w:tcPr>
          <w:p w14:paraId="0855CF20">
            <w:pPr>
              <w:jc w:val="center"/>
              <w:rPr>
                <w:rFonts w:ascii="Times New Roman"/>
                <w:sz w:val="21"/>
                <w:szCs w:val="21"/>
              </w:rPr>
            </w:pPr>
          </w:p>
        </w:tc>
        <w:tc>
          <w:tcPr>
            <w:tcW w:w="761" w:type="pct"/>
            <w:vMerge w:val="continue"/>
            <w:vAlign w:val="center"/>
          </w:tcPr>
          <w:p w14:paraId="300F733F">
            <w:pPr>
              <w:jc w:val="center"/>
              <w:rPr>
                <w:rFonts w:ascii="Times New Roman"/>
                <w:sz w:val="21"/>
                <w:szCs w:val="21"/>
              </w:rPr>
            </w:pPr>
          </w:p>
        </w:tc>
        <w:tc>
          <w:tcPr>
            <w:tcW w:w="965" w:type="pct"/>
            <w:gridSpan w:val="2"/>
            <w:vAlign w:val="center"/>
          </w:tcPr>
          <w:p w14:paraId="02B28822">
            <w:pPr>
              <w:widowControl/>
              <w:jc w:val="center"/>
              <w:textAlignment w:val="center"/>
              <w:rPr>
                <w:rFonts w:ascii="Times New Roman" w:eastAsia="Arial"/>
                <w:spacing w:val="-2"/>
                <w:sz w:val="21"/>
                <w:szCs w:val="21"/>
              </w:rPr>
            </w:pPr>
            <w:r>
              <w:rPr>
                <w:rFonts w:ascii="Times New Roman" w:eastAsia="Arial"/>
                <w:spacing w:val="-2"/>
                <w:sz w:val="21"/>
                <w:szCs w:val="21"/>
              </w:rPr>
              <w:t>免示教焊机</w:t>
            </w:r>
          </w:p>
        </w:tc>
        <w:tc>
          <w:tcPr>
            <w:tcW w:w="1431" w:type="pct"/>
            <w:vAlign w:val="center"/>
          </w:tcPr>
          <w:p w14:paraId="23DD6231">
            <w:pPr>
              <w:widowControl/>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68AFFB06">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4A9E3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70FD7FC">
            <w:pPr>
              <w:jc w:val="center"/>
              <w:rPr>
                <w:rFonts w:ascii="Times New Roman"/>
                <w:sz w:val="21"/>
                <w:szCs w:val="21"/>
              </w:rPr>
            </w:pPr>
            <w:r>
              <w:rPr>
                <w:rFonts w:ascii="Times New Roman"/>
                <w:sz w:val="21"/>
                <w:szCs w:val="21"/>
              </w:rPr>
              <w:t>130</w:t>
            </w:r>
          </w:p>
        </w:tc>
        <w:tc>
          <w:tcPr>
            <w:tcW w:w="413" w:type="pct"/>
            <w:vMerge w:val="continue"/>
            <w:vAlign w:val="center"/>
          </w:tcPr>
          <w:p w14:paraId="666A4744">
            <w:pPr>
              <w:jc w:val="center"/>
              <w:rPr>
                <w:rFonts w:ascii="Times New Roman"/>
                <w:sz w:val="21"/>
                <w:szCs w:val="21"/>
              </w:rPr>
            </w:pPr>
          </w:p>
        </w:tc>
        <w:tc>
          <w:tcPr>
            <w:tcW w:w="616" w:type="pct"/>
            <w:vMerge w:val="restart"/>
            <w:vAlign w:val="center"/>
          </w:tcPr>
          <w:p w14:paraId="34342368">
            <w:pPr>
              <w:widowControl/>
              <w:jc w:val="center"/>
              <w:textAlignment w:val="center"/>
              <w:rPr>
                <w:rFonts w:ascii="Times New Roman" w:eastAsia="Arial"/>
                <w:spacing w:val="-2"/>
                <w:sz w:val="21"/>
                <w:szCs w:val="21"/>
              </w:rPr>
            </w:pPr>
            <w:r>
              <w:rPr>
                <w:rFonts w:ascii="Times New Roman" w:eastAsia="Arial"/>
                <w:spacing w:val="-2"/>
                <w:sz w:val="21"/>
                <w:szCs w:val="21"/>
              </w:rPr>
              <w:t>驱动架焊接区</w:t>
            </w:r>
          </w:p>
        </w:tc>
        <w:tc>
          <w:tcPr>
            <w:tcW w:w="761" w:type="pct"/>
            <w:vMerge w:val="restart"/>
            <w:vAlign w:val="center"/>
          </w:tcPr>
          <w:p w14:paraId="04403EE0">
            <w:pPr>
              <w:widowControl/>
              <w:jc w:val="center"/>
              <w:textAlignment w:val="center"/>
              <w:rPr>
                <w:rFonts w:ascii="Times New Roman" w:eastAsia="Arial"/>
                <w:spacing w:val="-2"/>
                <w:sz w:val="21"/>
                <w:szCs w:val="21"/>
              </w:rPr>
            </w:pPr>
            <w:r>
              <w:rPr>
                <w:rFonts w:ascii="Times New Roman"/>
                <w:kern w:val="0"/>
                <w:sz w:val="21"/>
                <w:szCs w:val="21"/>
              </w:rPr>
              <w:t>驱动架焊接区</w:t>
            </w:r>
          </w:p>
        </w:tc>
        <w:tc>
          <w:tcPr>
            <w:tcW w:w="965" w:type="pct"/>
            <w:gridSpan w:val="2"/>
            <w:vAlign w:val="center"/>
          </w:tcPr>
          <w:p w14:paraId="5F08561F">
            <w:pPr>
              <w:widowControl/>
              <w:jc w:val="center"/>
              <w:textAlignment w:val="center"/>
              <w:rPr>
                <w:rFonts w:ascii="Times New Roman" w:eastAsia="Arial"/>
                <w:spacing w:val="-2"/>
                <w:sz w:val="21"/>
                <w:szCs w:val="21"/>
              </w:rPr>
            </w:pPr>
            <w:r>
              <w:rPr>
                <w:rFonts w:ascii="Times New Roman" w:eastAsia="Arial"/>
                <w:spacing w:val="-2"/>
                <w:sz w:val="21"/>
                <w:szCs w:val="21"/>
              </w:rPr>
              <w:t>人工焊机</w:t>
            </w:r>
          </w:p>
        </w:tc>
        <w:tc>
          <w:tcPr>
            <w:tcW w:w="1431" w:type="pct"/>
            <w:vAlign w:val="center"/>
          </w:tcPr>
          <w:p w14:paraId="01EC746C">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49811DAC">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2AAE8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8CFFC6D">
            <w:pPr>
              <w:jc w:val="center"/>
              <w:rPr>
                <w:rFonts w:ascii="Times New Roman"/>
                <w:sz w:val="21"/>
                <w:szCs w:val="21"/>
              </w:rPr>
            </w:pPr>
            <w:r>
              <w:rPr>
                <w:rFonts w:ascii="Times New Roman"/>
                <w:sz w:val="21"/>
                <w:szCs w:val="21"/>
              </w:rPr>
              <w:t>131</w:t>
            </w:r>
          </w:p>
        </w:tc>
        <w:tc>
          <w:tcPr>
            <w:tcW w:w="413" w:type="pct"/>
            <w:vMerge w:val="continue"/>
            <w:vAlign w:val="center"/>
          </w:tcPr>
          <w:p w14:paraId="280BED57">
            <w:pPr>
              <w:jc w:val="center"/>
              <w:rPr>
                <w:rFonts w:ascii="Times New Roman"/>
                <w:sz w:val="21"/>
                <w:szCs w:val="21"/>
              </w:rPr>
            </w:pPr>
          </w:p>
        </w:tc>
        <w:tc>
          <w:tcPr>
            <w:tcW w:w="616" w:type="pct"/>
            <w:vMerge w:val="continue"/>
            <w:vAlign w:val="center"/>
          </w:tcPr>
          <w:p w14:paraId="577E6D9C">
            <w:pPr>
              <w:widowControl/>
              <w:jc w:val="center"/>
              <w:textAlignment w:val="center"/>
              <w:rPr>
                <w:rFonts w:ascii="Times New Roman" w:eastAsia="Arial"/>
                <w:spacing w:val="-2"/>
                <w:sz w:val="21"/>
                <w:szCs w:val="21"/>
              </w:rPr>
            </w:pPr>
          </w:p>
        </w:tc>
        <w:tc>
          <w:tcPr>
            <w:tcW w:w="761" w:type="pct"/>
            <w:vMerge w:val="continue"/>
            <w:vAlign w:val="center"/>
          </w:tcPr>
          <w:p w14:paraId="2F7E0312">
            <w:pPr>
              <w:widowControl/>
              <w:jc w:val="center"/>
              <w:textAlignment w:val="center"/>
              <w:rPr>
                <w:rFonts w:ascii="Times New Roman" w:eastAsia="Arial"/>
                <w:spacing w:val="-2"/>
                <w:sz w:val="21"/>
                <w:szCs w:val="21"/>
              </w:rPr>
            </w:pPr>
          </w:p>
        </w:tc>
        <w:tc>
          <w:tcPr>
            <w:tcW w:w="965" w:type="pct"/>
            <w:gridSpan w:val="2"/>
            <w:vAlign w:val="center"/>
          </w:tcPr>
          <w:p w14:paraId="1A462886">
            <w:pPr>
              <w:widowControl/>
              <w:jc w:val="center"/>
              <w:textAlignment w:val="center"/>
              <w:rPr>
                <w:rFonts w:ascii="Times New Roman" w:eastAsia="Arial"/>
                <w:spacing w:val="-2"/>
                <w:sz w:val="21"/>
                <w:szCs w:val="21"/>
              </w:rPr>
            </w:pPr>
            <w:r>
              <w:rPr>
                <w:rFonts w:ascii="Times New Roman" w:eastAsia="Arial"/>
                <w:spacing w:val="-2"/>
                <w:sz w:val="21"/>
                <w:szCs w:val="21"/>
              </w:rPr>
              <w:t>免示教焊机</w:t>
            </w:r>
          </w:p>
        </w:tc>
        <w:tc>
          <w:tcPr>
            <w:tcW w:w="1431" w:type="pct"/>
            <w:vAlign w:val="center"/>
          </w:tcPr>
          <w:p w14:paraId="71A091FC">
            <w:pPr>
              <w:widowControl/>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3B373C50">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7AB41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29F5837">
            <w:pPr>
              <w:jc w:val="center"/>
              <w:rPr>
                <w:rFonts w:ascii="Times New Roman"/>
                <w:sz w:val="21"/>
                <w:szCs w:val="21"/>
              </w:rPr>
            </w:pPr>
            <w:r>
              <w:rPr>
                <w:rFonts w:ascii="Times New Roman"/>
                <w:sz w:val="21"/>
                <w:szCs w:val="21"/>
              </w:rPr>
              <w:t>132</w:t>
            </w:r>
          </w:p>
        </w:tc>
        <w:tc>
          <w:tcPr>
            <w:tcW w:w="413" w:type="pct"/>
            <w:vMerge w:val="continue"/>
            <w:vAlign w:val="center"/>
          </w:tcPr>
          <w:p w14:paraId="249845F9">
            <w:pPr>
              <w:jc w:val="center"/>
              <w:rPr>
                <w:rFonts w:ascii="Times New Roman"/>
                <w:sz w:val="21"/>
                <w:szCs w:val="21"/>
              </w:rPr>
            </w:pPr>
          </w:p>
        </w:tc>
        <w:tc>
          <w:tcPr>
            <w:tcW w:w="616" w:type="pct"/>
            <w:vMerge w:val="continue"/>
            <w:vAlign w:val="center"/>
          </w:tcPr>
          <w:p w14:paraId="7FD505F9">
            <w:pPr>
              <w:widowControl/>
              <w:jc w:val="center"/>
              <w:textAlignment w:val="center"/>
              <w:rPr>
                <w:rFonts w:ascii="Times New Roman" w:eastAsia="Arial"/>
                <w:spacing w:val="-2"/>
                <w:sz w:val="21"/>
                <w:szCs w:val="21"/>
              </w:rPr>
            </w:pPr>
          </w:p>
        </w:tc>
        <w:tc>
          <w:tcPr>
            <w:tcW w:w="761" w:type="pct"/>
            <w:vMerge w:val="continue"/>
            <w:vAlign w:val="center"/>
          </w:tcPr>
          <w:p w14:paraId="464C4ED9">
            <w:pPr>
              <w:widowControl/>
              <w:jc w:val="center"/>
              <w:textAlignment w:val="center"/>
              <w:rPr>
                <w:rFonts w:ascii="Times New Roman" w:eastAsia="Arial"/>
                <w:spacing w:val="-2"/>
                <w:sz w:val="21"/>
                <w:szCs w:val="21"/>
              </w:rPr>
            </w:pPr>
          </w:p>
        </w:tc>
        <w:tc>
          <w:tcPr>
            <w:tcW w:w="965" w:type="pct"/>
            <w:gridSpan w:val="2"/>
            <w:vAlign w:val="center"/>
          </w:tcPr>
          <w:p w14:paraId="7AF2B644">
            <w:pPr>
              <w:widowControl/>
              <w:jc w:val="center"/>
              <w:textAlignment w:val="center"/>
              <w:rPr>
                <w:rFonts w:ascii="Times New Roman" w:eastAsia="Arial"/>
                <w:spacing w:val="-2"/>
                <w:sz w:val="21"/>
                <w:szCs w:val="21"/>
              </w:rPr>
            </w:pPr>
            <w:r>
              <w:rPr>
                <w:rFonts w:ascii="Times New Roman" w:eastAsia="Arial"/>
                <w:spacing w:val="-2"/>
                <w:sz w:val="21"/>
                <w:szCs w:val="21"/>
              </w:rPr>
              <w:t>龙门铣</w:t>
            </w:r>
          </w:p>
        </w:tc>
        <w:tc>
          <w:tcPr>
            <w:tcW w:w="1431" w:type="pct"/>
            <w:vAlign w:val="center"/>
          </w:tcPr>
          <w:p w14:paraId="4EF29A09">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1FC244B9">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52E37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372432B">
            <w:pPr>
              <w:jc w:val="center"/>
              <w:rPr>
                <w:rFonts w:ascii="Times New Roman"/>
                <w:sz w:val="21"/>
                <w:szCs w:val="21"/>
              </w:rPr>
            </w:pPr>
            <w:r>
              <w:rPr>
                <w:rFonts w:ascii="Times New Roman"/>
                <w:sz w:val="21"/>
                <w:szCs w:val="21"/>
              </w:rPr>
              <w:t>133</w:t>
            </w:r>
          </w:p>
        </w:tc>
        <w:tc>
          <w:tcPr>
            <w:tcW w:w="413" w:type="pct"/>
            <w:vMerge w:val="continue"/>
            <w:vAlign w:val="center"/>
          </w:tcPr>
          <w:p w14:paraId="6C1E1C4C">
            <w:pPr>
              <w:jc w:val="center"/>
              <w:rPr>
                <w:rFonts w:ascii="Times New Roman"/>
                <w:sz w:val="21"/>
                <w:szCs w:val="21"/>
              </w:rPr>
            </w:pPr>
          </w:p>
        </w:tc>
        <w:tc>
          <w:tcPr>
            <w:tcW w:w="616" w:type="pct"/>
            <w:vMerge w:val="restart"/>
            <w:vAlign w:val="center"/>
          </w:tcPr>
          <w:p w14:paraId="3CE58AF7">
            <w:pPr>
              <w:widowControl/>
              <w:jc w:val="center"/>
              <w:textAlignment w:val="center"/>
              <w:rPr>
                <w:rFonts w:ascii="Times New Roman" w:eastAsia="Arial"/>
                <w:spacing w:val="-2"/>
                <w:sz w:val="21"/>
                <w:szCs w:val="21"/>
              </w:rPr>
            </w:pPr>
            <w:r>
              <w:rPr>
                <w:rFonts w:ascii="Times New Roman" w:eastAsia="Arial"/>
                <w:spacing w:val="-2"/>
                <w:sz w:val="21"/>
                <w:szCs w:val="21"/>
              </w:rPr>
              <w:t>预加工区</w:t>
            </w:r>
          </w:p>
        </w:tc>
        <w:tc>
          <w:tcPr>
            <w:tcW w:w="761" w:type="pct"/>
            <w:vMerge w:val="restart"/>
            <w:vAlign w:val="center"/>
          </w:tcPr>
          <w:p w14:paraId="5F346409">
            <w:pPr>
              <w:widowControl/>
              <w:jc w:val="center"/>
              <w:textAlignment w:val="center"/>
              <w:rPr>
                <w:rFonts w:ascii="Times New Roman" w:eastAsia="Arial"/>
                <w:spacing w:val="-2"/>
                <w:sz w:val="21"/>
                <w:szCs w:val="21"/>
              </w:rPr>
            </w:pPr>
            <w:r>
              <w:rPr>
                <w:rFonts w:ascii="Times New Roman" w:eastAsia="Arial"/>
                <w:spacing w:val="-2"/>
                <w:sz w:val="21"/>
                <w:szCs w:val="21"/>
              </w:rPr>
              <w:t>预加工区</w:t>
            </w:r>
          </w:p>
        </w:tc>
        <w:tc>
          <w:tcPr>
            <w:tcW w:w="965" w:type="pct"/>
            <w:gridSpan w:val="2"/>
            <w:vAlign w:val="center"/>
          </w:tcPr>
          <w:p w14:paraId="4831B9EF">
            <w:pPr>
              <w:widowControl/>
              <w:jc w:val="center"/>
              <w:textAlignment w:val="center"/>
              <w:rPr>
                <w:rFonts w:ascii="Times New Roman" w:eastAsia="Arial"/>
                <w:spacing w:val="-2"/>
                <w:sz w:val="21"/>
                <w:szCs w:val="21"/>
              </w:rPr>
            </w:pPr>
            <w:r>
              <w:rPr>
                <w:rFonts w:ascii="Times New Roman" w:eastAsia="Arial"/>
                <w:spacing w:val="-2"/>
                <w:sz w:val="21"/>
                <w:szCs w:val="21"/>
              </w:rPr>
              <w:t>数控龙门加工中心</w:t>
            </w:r>
          </w:p>
        </w:tc>
        <w:tc>
          <w:tcPr>
            <w:tcW w:w="1431" w:type="pct"/>
            <w:vAlign w:val="center"/>
          </w:tcPr>
          <w:p w14:paraId="1E97078F">
            <w:pPr>
              <w:widowControl/>
              <w:jc w:val="center"/>
              <w:textAlignment w:val="center"/>
              <w:rPr>
                <w:rFonts w:ascii="Times New Roman" w:eastAsia="Arial"/>
                <w:spacing w:val="-2"/>
                <w:sz w:val="21"/>
                <w:szCs w:val="21"/>
              </w:rPr>
            </w:pPr>
            <w:r>
              <w:rPr>
                <w:rFonts w:ascii="Times New Roman" w:eastAsia="Arial"/>
                <w:spacing w:val="-2"/>
                <w:sz w:val="21"/>
                <w:szCs w:val="21"/>
              </w:rPr>
              <w:t>PM 3080HZ</w:t>
            </w:r>
          </w:p>
        </w:tc>
        <w:tc>
          <w:tcPr>
            <w:tcW w:w="470" w:type="pct"/>
            <w:vAlign w:val="center"/>
          </w:tcPr>
          <w:p w14:paraId="7521C3A3">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32697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D3E05B8">
            <w:pPr>
              <w:jc w:val="center"/>
              <w:rPr>
                <w:rFonts w:ascii="Times New Roman"/>
                <w:sz w:val="21"/>
                <w:szCs w:val="21"/>
              </w:rPr>
            </w:pPr>
            <w:r>
              <w:rPr>
                <w:rFonts w:ascii="Times New Roman"/>
                <w:sz w:val="21"/>
                <w:szCs w:val="21"/>
              </w:rPr>
              <w:t>134</w:t>
            </w:r>
          </w:p>
        </w:tc>
        <w:tc>
          <w:tcPr>
            <w:tcW w:w="413" w:type="pct"/>
            <w:vMerge w:val="continue"/>
            <w:vAlign w:val="center"/>
          </w:tcPr>
          <w:p w14:paraId="43F1379F">
            <w:pPr>
              <w:jc w:val="center"/>
              <w:rPr>
                <w:rFonts w:ascii="Times New Roman"/>
                <w:sz w:val="21"/>
                <w:szCs w:val="21"/>
              </w:rPr>
            </w:pPr>
          </w:p>
        </w:tc>
        <w:tc>
          <w:tcPr>
            <w:tcW w:w="616" w:type="pct"/>
            <w:vMerge w:val="continue"/>
            <w:vAlign w:val="center"/>
          </w:tcPr>
          <w:p w14:paraId="7AC1E9EA">
            <w:pPr>
              <w:widowControl/>
              <w:jc w:val="center"/>
              <w:textAlignment w:val="center"/>
              <w:rPr>
                <w:rFonts w:ascii="Times New Roman" w:eastAsia="Arial"/>
                <w:spacing w:val="-2"/>
                <w:sz w:val="21"/>
                <w:szCs w:val="21"/>
              </w:rPr>
            </w:pPr>
          </w:p>
        </w:tc>
        <w:tc>
          <w:tcPr>
            <w:tcW w:w="761" w:type="pct"/>
            <w:vMerge w:val="continue"/>
            <w:vAlign w:val="center"/>
          </w:tcPr>
          <w:p w14:paraId="1059CD44">
            <w:pPr>
              <w:widowControl/>
              <w:jc w:val="center"/>
              <w:textAlignment w:val="center"/>
              <w:rPr>
                <w:rFonts w:ascii="Times New Roman" w:eastAsia="Arial"/>
                <w:spacing w:val="-2"/>
                <w:sz w:val="21"/>
                <w:szCs w:val="21"/>
              </w:rPr>
            </w:pPr>
          </w:p>
        </w:tc>
        <w:tc>
          <w:tcPr>
            <w:tcW w:w="965" w:type="pct"/>
            <w:gridSpan w:val="2"/>
            <w:shd w:val="clear" w:color="auto" w:fill="auto"/>
            <w:vAlign w:val="center"/>
          </w:tcPr>
          <w:p w14:paraId="38D173E9">
            <w:pPr>
              <w:widowControl/>
              <w:jc w:val="center"/>
              <w:textAlignment w:val="center"/>
              <w:rPr>
                <w:rFonts w:ascii="Times New Roman" w:eastAsia="Arial"/>
                <w:spacing w:val="-2"/>
                <w:sz w:val="21"/>
                <w:szCs w:val="21"/>
              </w:rPr>
            </w:pPr>
            <w:r>
              <w:rPr>
                <w:rFonts w:ascii="Times New Roman" w:eastAsia="Arial"/>
                <w:spacing w:val="-2"/>
                <w:sz w:val="21"/>
                <w:szCs w:val="21"/>
              </w:rPr>
              <w:t>折弯机</w:t>
            </w:r>
          </w:p>
        </w:tc>
        <w:tc>
          <w:tcPr>
            <w:tcW w:w="1431" w:type="pct"/>
            <w:shd w:val="clear" w:color="auto" w:fill="auto"/>
            <w:vAlign w:val="center"/>
          </w:tcPr>
          <w:p w14:paraId="4348B442">
            <w:pPr>
              <w:widowControl/>
              <w:jc w:val="center"/>
              <w:textAlignment w:val="center"/>
              <w:rPr>
                <w:rFonts w:ascii="Times New Roman" w:eastAsia="Arial"/>
                <w:spacing w:val="-2"/>
                <w:sz w:val="21"/>
                <w:szCs w:val="21"/>
              </w:rPr>
            </w:pPr>
            <w:r>
              <w:rPr>
                <w:rFonts w:ascii="Times New Roman"/>
                <w:sz w:val="21"/>
                <w:szCs w:val="21"/>
              </w:rPr>
              <w:t>500T</w:t>
            </w:r>
          </w:p>
        </w:tc>
        <w:tc>
          <w:tcPr>
            <w:tcW w:w="470" w:type="pct"/>
            <w:shd w:val="clear" w:color="auto" w:fill="auto"/>
            <w:vAlign w:val="center"/>
          </w:tcPr>
          <w:p w14:paraId="231333CB">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52E75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84C1DD2">
            <w:pPr>
              <w:jc w:val="center"/>
              <w:rPr>
                <w:rFonts w:ascii="Times New Roman"/>
                <w:sz w:val="21"/>
                <w:szCs w:val="21"/>
              </w:rPr>
            </w:pPr>
            <w:r>
              <w:rPr>
                <w:rFonts w:ascii="Times New Roman"/>
                <w:sz w:val="21"/>
                <w:szCs w:val="21"/>
              </w:rPr>
              <w:t>135</w:t>
            </w:r>
          </w:p>
        </w:tc>
        <w:tc>
          <w:tcPr>
            <w:tcW w:w="413" w:type="pct"/>
            <w:vMerge w:val="continue"/>
            <w:vAlign w:val="center"/>
          </w:tcPr>
          <w:p w14:paraId="052724A3">
            <w:pPr>
              <w:jc w:val="center"/>
              <w:rPr>
                <w:rFonts w:ascii="Times New Roman"/>
                <w:sz w:val="21"/>
                <w:szCs w:val="21"/>
              </w:rPr>
            </w:pPr>
          </w:p>
        </w:tc>
        <w:tc>
          <w:tcPr>
            <w:tcW w:w="616" w:type="pct"/>
            <w:vMerge w:val="continue"/>
            <w:vAlign w:val="center"/>
          </w:tcPr>
          <w:p w14:paraId="55ACA049">
            <w:pPr>
              <w:widowControl/>
              <w:jc w:val="center"/>
              <w:textAlignment w:val="center"/>
              <w:rPr>
                <w:rFonts w:ascii="Times New Roman" w:eastAsia="Arial"/>
                <w:spacing w:val="-2"/>
                <w:sz w:val="21"/>
                <w:szCs w:val="21"/>
              </w:rPr>
            </w:pPr>
          </w:p>
        </w:tc>
        <w:tc>
          <w:tcPr>
            <w:tcW w:w="761" w:type="pct"/>
            <w:vMerge w:val="continue"/>
            <w:vAlign w:val="center"/>
          </w:tcPr>
          <w:p w14:paraId="7BAF5A85">
            <w:pPr>
              <w:widowControl/>
              <w:jc w:val="center"/>
              <w:textAlignment w:val="center"/>
              <w:rPr>
                <w:rFonts w:ascii="Times New Roman" w:eastAsia="Arial"/>
                <w:spacing w:val="-2"/>
                <w:sz w:val="21"/>
                <w:szCs w:val="21"/>
              </w:rPr>
            </w:pPr>
          </w:p>
        </w:tc>
        <w:tc>
          <w:tcPr>
            <w:tcW w:w="965" w:type="pct"/>
            <w:gridSpan w:val="2"/>
            <w:vAlign w:val="center"/>
          </w:tcPr>
          <w:p w14:paraId="2C8C6C02">
            <w:pPr>
              <w:widowControl/>
              <w:jc w:val="center"/>
              <w:textAlignment w:val="center"/>
              <w:rPr>
                <w:rFonts w:ascii="Times New Roman" w:eastAsia="Arial"/>
                <w:spacing w:val="-2"/>
                <w:sz w:val="21"/>
                <w:szCs w:val="21"/>
              </w:rPr>
            </w:pPr>
            <w:r>
              <w:rPr>
                <w:rFonts w:ascii="Times New Roman" w:eastAsia="Arial"/>
                <w:spacing w:val="-2"/>
                <w:sz w:val="21"/>
                <w:szCs w:val="21"/>
              </w:rPr>
              <w:t>摇臂钻</w:t>
            </w:r>
          </w:p>
        </w:tc>
        <w:tc>
          <w:tcPr>
            <w:tcW w:w="1431" w:type="pct"/>
            <w:vAlign w:val="center"/>
          </w:tcPr>
          <w:p w14:paraId="21A193A2">
            <w:pPr>
              <w:jc w:val="center"/>
              <w:textAlignment w:val="center"/>
              <w:rPr>
                <w:rFonts w:ascii="Times New Roman" w:eastAsia="Arial"/>
                <w:spacing w:val="-2"/>
                <w:sz w:val="21"/>
                <w:szCs w:val="21"/>
              </w:rPr>
            </w:pPr>
            <w:r>
              <w:rPr>
                <w:rFonts w:ascii="Times New Roman"/>
                <w:sz w:val="21"/>
                <w:szCs w:val="21"/>
              </w:rPr>
              <w:t>Z3080*25</w:t>
            </w:r>
          </w:p>
        </w:tc>
        <w:tc>
          <w:tcPr>
            <w:tcW w:w="470" w:type="pct"/>
            <w:vAlign w:val="center"/>
          </w:tcPr>
          <w:p w14:paraId="2EC92391">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17D4A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A7B6B54">
            <w:pPr>
              <w:jc w:val="center"/>
              <w:rPr>
                <w:rFonts w:ascii="Times New Roman"/>
                <w:sz w:val="21"/>
                <w:szCs w:val="21"/>
              </w:rPr>
            </w:pPr>
            <w:r>
              <w:rPr>
                <w:rFonts w:ascii="Times New Roman"/>
                <w:sz w:val="21"/>
                <w:szCs w:val="21"/>
              </w:rPr>
              <w:t>136</w:t>
            </w:r>
          </w:p>
        </w:tc>
        <w:tc>
          <w:tcPr>
            <w:tcW w:w="413" w:type="pct"/>
            <w:vMerge w:val="continue"/>
            <w:vAlign w:val="center"/>
          </w:tcPr>
          <w:p w14:paraId="611304E2">
            <w:pPr>
              <w:jc w:val="center"/>
              <w:rPr>
                <w:rFonts w:ascii="Times New Roman"/>
                <w:sz w:val="21"/>
                <w:szCs w:val="21"/>
              </w:rPr>
            </w:pPr>
          </w:p>
        </w:tc>
        <w:tc>
          <w:tcPr>
            <w:tcW w:w="616" w:type="pct"/>
            <w:vMerge w:val="continue"/>
            <w:vAlign w:val="center"/>
          </w:tcPr>
          <w:p w14:paraId="5E1C8464">
            <w:pPr>
              <w:widowControl/>
              <w:jc w:val="center"/>
              <w:textAlignment w:val="center"/>
              <w:rPr>
                <w:rFonts w:ascii="Times New Roman" w:eastAsia="Arial"/>
                <w:spacing w:val="-2"/>
                <w:sz w:val="21"/>
                <w:szCs w:val="21"/>
              </w:rPr>
            </w:pPr>
          </w:p>
        </w:tc>
        <w:tc>
          <w:tcPr>
            <w:tcW w:w="761" w:type="pct"/>
            <w:vMerge w:val="continue"/>
            <w:vAlign w:val="center"/>
          </w:tcPr>
          <w:p w14:paraId="3B27B7BF">
            <w:pPr>
              <w:widowControl/>
              <w:jc w:val="center"/>
              <w:textAlignment w:val="center"/>
              <w:rPr>
                <w:rFonts w:ascii="Times New Roman" w:eastAsia="Arial"/>
                <w:spacing w:val="-2"/>
                <w:sz w:val="21"/>
                <w:szCs w:val="21"/>
              </w:rPr>
            </w:pPr>
          </w:p>
        </w:tc>
        <w:tc>
          <w:tcPr>
            <w:tcW w:w="965" w:type="pct"/>
            <w:gridSpan w:val="2"/>
            <w:vAlign w:val="center"/>
          </w:tcPr>
          <w:p w14:paraId="4682757D">
            <w:pPr>
              <w:widowControl/>
              <w:jc w:val="center"/>
              <w:textAlignment w:val="center"/>
              <w:rPr>
                <w:rFonts w:ascii="Times New Roman" w:eastAsia="Arial"/>
                <w:spacing w:val="-2"/>
                <w:sz w:val="21"/>
                <w:szCs w:val="21"/>
              </w:rPr>
            </w:pPr>
            <w:r>
              <w:rPr>
                <w:rFonts w:ascii="Times New Roman" w:eastAsia="Arial"/>
                <w:spacing w:val="-2"/>
                <w:sz w:val="21"/>
                <w:szCs w:val="21"/>
              </w:rPr>
              <w:t>摩擦压力机</w:t>
            </w:r>
          </w:p>
        </w:tc>
        <w:tc>
          <w:tcPr>
            <w:tcW w:w="1431" w:type="pct"/>
            <w:vAlign w:val="center"/>
          </w:tcPr>
          <w:p w14:paraId="7B5573DE">
            <w:pPr>
              <w:widowControl/>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51FEFF65">
            <w:pPr>
              <w:widowControl/>
              <w:jc w:val="center"/>
              <w:textAlignment w:val="center"/>
              <w:rPr>
                <w:rFonts w:ascii="Times New Roman" w:eastAsia="Arial"/>
                <w:spacing w:val="-2"/>
                <w:sz w:val="21"/>
                <w:szCs w:val="21"/>
              </w:rPr>
            </w:pPr>
            <w:r>
              <w:rPr>
                <w:rFonts w:ascii="Times New Roman" w:eastAsia="Arial"/>
                <w:spacing w:val="-2"/>
                <w:sz w:val="21"/>
                <w:szCs w:val="21"/>
              </w:rPr>
              <w:t>3</w:t>
            </w:r>
          </w:p>
        </w:tc>
      </w:tr>
      <w:tr w14:paraId="17E9B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E52C799">
            <w:pPr>
              <w:jc w:val="center"/>
              <w:rPr>
                <w:rFonts w:ascii="Times New Roman"/>
                <w:sz w:val="21"/>
                <w:szCs w:val="21"/>
              </w:rPr>
            </w:pPr>
            <w:r>
              <w:rPr>
                <w:rFonts w:ascii="Times New Roman"/>
                <w:sz w:val="21"/>
                <w:szCs w:val="21"/>
              </w:rPr>
              <w:t>137</w:t>
            </w:r>
          </w:p>
        </w:tc>
        <w:tc>
          <w:tcPr>
            <w:tcW w:w="413" w:type="pct"/>
            <w:vMerge w:val="continue"/>
            <w:vAlign w:val="center"/>
          </w:tcPr>
          <w:p w14:paraId="3A0FAAC5">
            <w:pPr>
              <w:jc w:val="center"/>
              <w:rPr>
                <w:rFonts w:ascii="Times New Roman"/>
                <w:sz w:val="21"/>
                <w:szCs w:val="21"/>
              </w:rPr>
            </w:pPr>
          </w:p>
        </w:tc>
        <w:tc>
          <w:tcPr>
            <w:tcW w:w="616" w:type="pct"/>
            <w:vMerge w:val="continue"/>
            <w:vAlign w:val="center"/>
          </w:tcPr>
          <w:p w14:paraId="4741991E">
            <w:pPr>
              <w:widowControl/>
              <w:jc w:val="center"/>
              <w:textAlignment w:val="center"/>
              <w:rPr>
                <w:rFonts w:ascii="Times New Roman" w:eastAsia="Arial"/>
                <w:spacing w:val="-2"/>
                <w:sz w:val="21"/>
                <w:szCs w:val="21"/>
              </w:rPr>
            </w:pPr>
          </w:p>
        </w:tc>
        <w:tc>
          <w:tcPr>
            <w:tcW w:w="761" w:type="pct"/>
            <w:vMerge w:val="continue"/>
            <w:vAlign w:val="center"/>
          </w:tcPr>
          <w:p w14:paraId="417048D5">
            <w:pPr>
              <w:widowControl/>
              <w:jc w:val="center"/>
              <w:textAlignment w:val="center"/>
              <w:rPr>
                <w:rFonts w:ascii="Times New Roman" w:eastAsia="Arial"/>
                <w:spacing w:val="-2"/>
                <w:sz w:val="21"/>
                <w:szCs w:val="21"/>
              </w:rPr>
            </w:pPr>
          </w:p>
        </w:tc>
        <w:tc>
          <w:tcPr>
            <w:tcW w:w="965" w:type="pct"/>
            <w:gridSpan w:val="2"/>
            <w:vAlign w:val="center"/>
          </w:tcPr>
          <w:p w14:paraId="20306431">
            <w:pPr>
              <w:widowControl/>
              <w:jc w:val="center"/>
              <w:textAlignment w:val="center"/>
              <w:rPr>
                <w:rFonts w:ascii="Times New Roman" w:eastAsia="Arial"/>
                <w:spacing w:val="-2"/>
                <w:sz w:val="21"/>
                <w:szCs w:val="21"/>
              </w:rPr>
            </w:pPr>
            <w:r>
              <w:rPr>
                <w:rFonts w:ascii="Times New Roman" w:eastAsia="Arial"/>
                <w:spacing w:val="-2"/>
                <w:sz w:val="21"/>
                <w:szCs w:val="21"/>
              </w:rPr>
              <w:t>卷板机</w:t>
            </w:r>
          </w:p>
        </w:tc>
        <w:tc>
          <w:tcPr>
            <w:tcW w:w="1431" w:type="pct"/>
            <w:vAlign w:val="center"/>
          </w:tcPr>
          <w:p w14:paraId="719100C2">
            <w:pPr>
              <w:jc w:val="center"/>
              <w:textAlignment w:val="center"/>
              <w:rPr>
                <w:rFonts w:ascii="Times New Roman" w:eastAsia="Arial"/>
                <w:spacing w:val="-2"/>
                <w:sz w:val="21"/>
                <w:szCs w:val="21"/>
              </w:rPr>
            </w:pPr>
            <w:r>
              <w:rPr>
                <w:rFonts w:ascii="Times New Roman"/>
                <w:sz w:val="21"/>
                <w:szCs w:val="21"/>
              </w:rPr>
              <w:t>δ20x2000</w:t>
            </w:r>
          </w:p>
        </w:tc>
        <w:tc>
          <w:tcPr>
            <w:tcW w:w="470" w:type="pct"/>
            <w:vAlign w:val="center"/>
          </w:tcPr>
          <w:p w14:paraId="35C20B2E">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30067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E96D809">
            <w:pPr>
              <w:jc w:val="center"/>
              <w:rPr>
                <w:rFonts w:ascii="Times New Roman"/>
                <w:sz w:val="21"/>
                <w:szCs w:val="21"/>
              </w:rPr>
            </w:pPr>
            <w:r>
              <w:rPr>
                <w:rFonts w:ascii="Times New Roman"/>
                <w:sz w:val="21"/>
                <w:szCs w:val="21"/>
              </w:rPr>
              <w:t>138</w:t>
            </w:r>
          </w:p>
        </w:tc>
        <w:tc>
          <w:tcPr>
            <w:tcW w:w="413" w:type="pct"/>
            <w:vMerge w:val="continue"/>
            <w:vAlign w:val="center"/>
          </w:tcPr>
          <w:p w14:paraId="08AD589E">
            <w:pPr>
              <w:jc w:val="center"/>
              <w:rPr>
                <w:rFonts w:ascii="Times New Roman"/>
                <w:sz w:val="21"/>
                <w:szCs w:val="21"/>
              </w:rPr>
            </w:pPr>
          </w:p>
        </w:tc>
        <w:tc>
          <w:tcPr>
            <w:tcW w:w="616" w:type="pct"/>
            <w:vAlign w:val="center"/>
          </w:tcPr>
          <w:p w14:paraId="1FADFB9B">
            <w:pPr>
              <w:widowControl/>
              <w:jc w:val="center"/>
              <w:textAlignment w:val="center"/>
              <w:rPr>
                <w:rFonts w:ascii="Times New Roman" w:eastAsia="Arial"/>
                <w:spacing w:val="-2"/>
                <w:sz w:val="21"/>
                <w:szCs w:val="21"/>
              </w:rPr>
            </w:pPr>
            <w:r>
              <w:rPr>
                <w:rFonts w:ascii="Times New Roman" w:eastAsia="Arial"/>
                <w:spacing w:val="-2"/>
                <w:sz w:val="21"/>
                <w:szCs w:val="21"/>
              </w:rPr>
              <w:t>转运站焊接区</w:t>
            </w:r>
          </w:p>
        </w:tc>
        <w:tc>
          <w:tcPr>
            <w:tcW w:w="761" w:type="pct"/>
            <w:vAlign w:val="center"/>
          </w:tcPr>
          <w:p w14:paraId="2114DF71">
            <w:pPr>
              <w:widowControl/>
              <w:jc w:val="center"/>
              <w:textAlignment w:val="center"/>
              <w:rPr>
                <w:rFonts w:ascii="Times New Roman" w:eastAsia="Arial"/>
                <w:spacing w:val="-2"/>
                <w:sz w:val="21"/>
                <w:szCs w:val="21"/>
              </w:rPr>
            </w:pPr>
            <w:r>
              <w:rPr>
                <w:rFonts w:ascii="Times New Roman"/>
                <w:kern w:val="0"/>
                <w:sz w:val="21"/>
                <w:szCs w:val="21"/>
              </w:rPr>
              <w:t>转运站焊接区</w:t>
            </w:r>
          </w:p>
        </w:tc>
        <w:tc>
          <w:tcPr>
            <w:tcW w:w="965" w:type="pct"/>
            <w:gridSpan w:val="2"/>
            <w:vAlign w:val="center"/>
          </w:tcPr>
          <w:p w14:paraId="7E47EEEF">
            <w:pPr>
              <w:widowControl/>
              <w:jc w:val="center"/>
              <w:textAlignment w:val="center"/>
              <w:rPr>
                <w:rFonts w:ascii="Times New Roman" w:eastAsia="Arial"/>
                <w:spacing w:val="-2"/>
                <w:sz w:val="21"/>
                <w:szCs w:val="21"/>
              </w:rPr>
            </w:pPr>
            <w:r>
              <w:rPr>
                <w:rFonts w:ascii="Times New Roman" w:eastAsia="Arial"/>
                <w:spacing w:val="-2"/>
                <w:sz w:val="21"/>
                <w:szCs w:val="21"/>
              </w:rPr>
              <w:t>焊机</w:t>
            </w:r>
          </w:p>
        </w:tc>
        <w:tc>
          <w:tcPr>
            <w:tcW w:w="1431" w:type="pct"/>
            <w:vAlign w:val="center"/>
          </w:tcPr>
          <w:p w14:paraId="625D837A">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232E2AC2">
            <w:pPr>
              <w:widowControl/>
              <w:jc w:val="center"/>
              <w:textAlignment w:val="center"/>
              <w:rPr>
                <w:rFonts w:ascii="Times New Roman" w:eastAsia="Arial"/>
                <w:spacing w:val="-2"/>
                <w:sz w:val="21"/>
                <w:szCs w:val="21"/>
              </w:rPr>
            </w:pPr>
            <w:r>
              <w:rPr>
                <w:rFonts w:ascii="Times New Roman" w:eastAsia="Arial"/>
                <w:spacing w:val="-2"/>
                <w:sz w:val="21"/>
                <w:szCs w:val="21"/>
              </w:rPr>
              <w:t>10</w:t>
            </w:r>
          </w:p>
        </w:tc>
      </w:tr>
      <w:tr w14:paraId="40BF5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F3F3801">
            <w:pPr>
              <w:jc w:val="center"/>
              <w:rPr>
                <w:rFonts w:ascii="Times New Roman"/>
                <w:sz w:val="21"/>
                <w:szCs w:val="21"/>
              </w:rPr>
            </w:pPr>
            <w:r>
              <w:rPr>
                <w:rFonts w:ascii="Times New Roman"/>
                <w:sz w:val="21"/>
                <w:szCs w:val="21"/>
              </w:rPr>
              <w:t>139</w:t>
            </w:r>
          </w:p>
        </w:tc>
        <w:tc>
          <w:tcPr>
            <w:tcW w:w="413" w:type="pct"/>
            <w:vMerge w:val="continue"/>
            <w:vAlign w:val="center"/>
          </w:tcPr>
          <w:p w14:paraId="6CC84CCC">
            <w:pPr>
              <w:jc w:val="center"/>
              <w:rPr>
                <w:rFonts w:ascii="Times New Roman"/>
                <w:sz w:val="21"/>
                <w:szCs w:val="21"/>
              </w:rPr>
            </w:pPr>
          </w:p>
        </w:tc>
        <w:tc>
          <w:tcPr>
            <w:tcW w:w="616" w:type="pct"/>
            <w:vAlign w:val="center"/>
          </w:tcPr>
          <w:p w14:paraId="0F80D624">
            <w:pPr>
              <w:widowControl/>
              <w:jc w:val="center"/>
              <w:textAlignment w:val="center"/>
              <w:rPr>
                <w:rFonts w:ascii="Times New Roman" w:eastAsia="Arial"/>
                <w:spacing w:val="-2"/>
                <w:sz w:val="21"/>
                <w:szCs w:val="21"/>
              </w:rPr>
            </w:pPr>
            <w:r>
              <w:rPr>
                <w:rFonts w:ascii="Times New Roman" w:eastAsia="Arial"/>
                <w:spacing w:val="-2"/>
                <w:sz w:val="21"/>
                <w:szCs w:val="21"/>
              </w:rPr>
              <w:t>漏斗焊接区</w:t>
            </w:r>
          </w:p>
        </w:tc>
        <w:tc>
          <w:tcPr>
            <w:tcW w:w="761" w:type="pct"/>
            <w:shd w:val="clear" w:color="auto" w:fill="auto"/>
            <w:vAlign w:val="center"/>
          </w:tcPr>
          <w:p w14:paraId="1FA9E380">
            <w:pPr>
              <w:widowControl/>
              <w:jc w:val="center"/>
              <w:textAlignment w:val="center"/>
              <w:rPr>
                <w:rFonts w:ascii="Times New Roman" w:eastAsia="Arial"/>
                <w:spacing w:val="-2"/>
                <w:sz w:val="21"/>
                <w:szCs w:val="21"/>
              </w:rPr>
            </w:pPr>
            <w:r>
              <w:rPr>
                <w:rFonts w:ascii="Times New Roman" w:eastAsia="Arial"/>
                <w:spacing w:val="-2"/>
                <w:sz w:val="21"/>
                <w:szCs w:val="21"/>
              </w:rPr>
              <w:t>漏斗焊接区</w:t>
            </w:r>
          </w:p>
        </w:tc>
        <w:tc>
          <w:tcPr>
            <w:tcW w:w="965" w:type="pct"/>
            <w:gridSpan w:val="2"/>
            <w:vAlign w:val="center"/>
          </w:tcPr>
          <w:p w14:paraId="073F352C">
            <w:pPr>
              <w:widowControl/>
              <w:jc w:val="center"/>
              <w:textAlignment w:val="center"/>
              <w:rPr>
                <w:rFonts w:ascii="Times New Roman" w:eastAsia="Arial"/>
                <w:spacing w:val="-2"/>
                <w:sz w:val="21"/>
                <w:szCs w:val="21"/>
              </w:rPr>
            </w:pPr>
            <w:r>
              <w:rPr>
                <w:rFonts w:ascii="Times New Roman" w:eastAsia="Arial"/>
                <w:spacing w:val="-2"/>
                <w:sz w:val="21"/>
                <w:szCs w:val="21"/>
              </w:rPr>
              <w:t>焊机</w:t>
            </w:r>
          </w:p>
        </w:tc>
        <w:tc>
          <w:tcPr>
            <w:tcW w:w="1431" w:type="pct"/>
            <w:vAlign w:val="center"/>
          </w:tcPr>
          <w:p w14:paraId="2CFB8D0E">
            <w:pPr>
              <w:widowControl/>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540A0868">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48CD0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199287A">
            <w:pPr>
              <w:jc w:val="center"/>
              <w:rPr>
                <w:rFonts w:ascii="Times New Roman"/>
                <w:sz w:val="21"/>
                <w:szCs w:val="21"/>
              </w:rPr>
            </w:pPr>
            <w:r>
              <w:rPr>
                <w:rFonts w:ascii="Times New Roman"/>
                <w:sz w:val="21"/>
                <w:szCs w:val="21"/>
              </w:rPr>
              <w:t>140</w:t>
            </w:r>
          </w:p>
        </w:tc>
        <w:tc>
          <w:tcPr>
            <w:tcW w:w="413" w:type="pct"/>
            <w:vMerge w:val="continue"/>
            <w:vAlign w:val="center"/>
          </w:tcPr>
          <w:p w14:paraId="2A0C89A4">
            <w:pPr>
              <w:jc w:val="center"/>
              <w:rPr>
                <w:rFonts w:ascii="Times New Roman"/>
                <w:sz w:val="21"/>
                <w:szCs w:val="21"/>
              </w:rPr>
            </w:pPr>
          </w:p>
        </w:tc>
        <w:tc>
          <w:tcPr>
            <w:tcW w:w="616" w:type="pct"/>
            <w:vAlign w:val="center"/>
          </w:tcPr>
          <w:p w14:paraId="72089F5F">
            <w:pPr>
              <w:widowControl/>
              <w:jc w:val="center"/>
              <w:textAlignment w:val="center"/>
              <w:rPr>
                <w:rFonts w:ascii="Times New Roman" w:eastAsia="Arial"/>
                <w:spacing w:val="-2"/>
                <w:sz w:val="21"/>
                <w:szCs w:val="21"/>
              </w:rPr>
            </w:pPr>
            <w:r>
              <w:rPr>
                <w:rFonts w:ascii="Times New Roman" w:eastAsia="Arial"/>
                <w:spacing w:val="-2"/>
                <w:sz w:val="21"/>
                <w:szCs w:val="21"/>
              </w:rPr>
              <w:t>溜管焊接区</w:t>
            </w:r>
          </w:p>
        </w:tc>
        <w:tc>
          <w:tcPr>
            <w:tcW w:w="761" w:type="pct"/>
            <w:shd w:val="clear" w:color="auto" w:fill="auto"/>
            <w:vAlign w:val="center"/>
          </w:tcPr>
          <w:p w14:paraId="4A685677">
            <w:pPr>
              <w:widowControl/>
              <w:jc w:val="center"/>
              <w:textAlignment w:val="center"/>
              <w:rPr>
                <w:rFonts w:ascii="Times New Roman" w:eastAsia="Arial"/>
                <w:spacing w:val="-2"/>
                <w:sz w:val="21"/>
                <w:szCs w:val="21"/>
              </w:rPr>
            </w:pPr>
            <w:r>
              <w:rPr>
                <w:rFonts w:ascii="Times New Roman" w:eastAsia="Arial"/>
                <w:spacing w:val="-2"/>
                <w:sz w:val="21"/>
                <w:szCs w:val="21"/>
              </w:rPr>
              <w:t>溜管焊接区</w:t>
            </w:r>
          </w:p>
        </w:tc>
        <w:tc>
          <w:tcPr>
            <w:tcW w:w="965" w:type="pct"/>
            <w:gridSpan w:val="2"/>
            <w:vAlign w:val="center"/>
          </w:tcPr>
          <w:p w14:paraId="5D0D2923">
            <w:pPr>
              <w:widowControl/>
              <w:jc w:val="center"/>
              <w:textAlignment w:val="center"/>
              <w:rPr>
                <w:rFonts w:ascii="Times New Roman" w:eastAsia="Arial"/>
                <w:spacing w:val="-2"/>
                <w:sz w:val="21"/>
                <w:szCs w:val="21"/>
              </w:rPr>
            </w:pPr>
            <w:r>
              <w:rPr>
                <w:rFonts w:ascii="Times New Roman" w:eastAsia="Arial"/>
                <w:spacing w:val="-2"/>
                <w:sz w:val="21"/>
                <w:szCs w:val="21"/>
              </w:rPr>
              <w:t>焊机</w:t>
            </w:r>
          </w:p>
        </w:tc>
        <w:tc>
          <w:tcPr>
            <w:tcW w:w="1431" w:type="pct"/>
            <w:vAlign w:val="center"/>
          </w:tcPr>
          <w:p w14:paraId="0B16ACFF">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18981566">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1629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1DC2299">
            <w:pPr>
              <w:jc w:val="center"/>
              <w:rPr>
                <w:rFonts w:ascii="Times New Roman"/>
                <w:sz w:val="21"/>
                <w:szCs w:val="21"/>
              </w:rPr>
            </w:pPr>
            <w:r>
              <w:rPr>
                <w:rFonts w:ascii="Times New Roman"/>
                <w:sz w:val="21"/>
                <w:szCs w:val="21"/>
              </w:rPr>
              <w:t>141</w:t>
            </w:r>
          </w:p>
        </w:tc>
        <w:tc>
          <w:tcPr>
            <w:tcW w:w="413" w:type="pct"/>
            <w:vMerge w:val="continue"/>
            <w:vAlign w:val="center"/>
          </w:tcPr>
          <w:p w14:paraId="786428F8">
            <w:pPr>
              <w:jc w:val="center"/>
              <w:rPr>
                <w:rFonts w:ascii="Times New Roman"/>
                <w:sz w:val="21"/>
                <w:szCs w:val="21"/>
              </w:rPr>
            </w:pPr>
          </w:p>
        </w:tc>
        <w:tc>
          <w:tcPr>
            <w:tcW w:w="616" w:type="pct"/>
            <w:vAlign w:val="center"/>
          </w:tcPr>
          <w:p w14:paraId="626861B4">
            <w:pPr>
              <w:widowControl/>
              <w:jc w:val="center"/>
              <w:textAlignment w:val="center"/>
              <w:rPr>
                <w:rFonts w:ascii="Times New Roman" w:eastAsia="Arial"/>
                <w:spacing w:val="-2"/>
                <w:sz w:val="21"/>
                <w:szCs w:val="21"/>
              </w:rPr>
            </w:pPr>
            <w:r>
              <w:rPr>
                <w:rFonts w:ascii="Times New Roman" w:eastAsia="Arial"/>
                <w:spacing w:val="-2"/>
                <w:sz w:val="21"/>
                <w:szCs w:val="21"/>
              </w:rPr>
              <w:t>导料槽焊接区</w:t>
            </w:r>
          </w:p>
        </w:tc>
        <w:tc>
          <w:tcPr>
            <w:tcW w:w="761" w:type="pct"/>
            <w:shd w:val="clear" w:color="auto" w:fill="auto"/>
            <w:vAlign w:val="center"/>
          </w:tcPr>
          <w:p w14:paraId="020886E2">
            <w:pPr>
              <w:widowControl/>
              <w:jc w:val="center"/>
              <w:textAlignment w:val="center"/>
              <w:rPr>
                <w:rFonts w:ascii="Times New Roman" w:eastAsia="Arial"/>
                <w:spacing w:val="-2"/>
                <w:sz w:val="21"/>
                <w:szCs w:val="21"/>
              </w:rPr>
            </w:pPr>
            <w:r>
              <w:rPr>
                <w:rFonts w:ascii="Times New Roman" w:eastAsia="Arial"/>
                <w:spacing w:val="-2"/>
                <w:sz w:val="21"/>
                <w:szCs w:val="21"/>
              </w:rPr>
              <w:t>导料槽焊接区</w:t>
            </w:r>
          </w:p>
        </w:tc>
        <w:tc>
          <w:tcPr>
            <w:tcW w:w="965" w:type="pct"/>
            <w:gridSpan w:val="2"/>
            <w:vAlign w:val="center"/>
          </w:tcPr>
          <w:p w14:paraId="118D82C8">
            <w:pPr>
              <w:widowControl/>
              <w:jc w:val="center"/>
              <w:textAlignment w:val="center"/>
              <w:rPr>
                <w:rFonts w:ascii="Times New Roman" w:eastAsia="Arial"/>
                <w:spacing w:val="-2"/>
                <w:sz w:val="21"/>
                <w:szCs w:val="21"/>
              </w:rPr>
            </w:pPr>
            <w:r>
              <w:rPr>
                <w:rFonts w:ascii="Times New Roman" w:eastAsia="Arial"/>
                <w:spacing w:val="-2"/>
                <w:sz w:val="21"/>
                <w:szCs w:val="21"/>
              </w:rPr>
              <w:t>焊机</w:t>
            </w:r>
          </w:p>
        </w:tc>
        <w:tc>
          <w:tcPr>
            <w:tcW w:w="1431" w:type="pct"/>
            <w:vAlign w:val="center"/>
          </w:tcPr>
          <w:p w14:paraId="7AA5BDF2">
            <w:pPr>
              <w:widowControl/>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7EE9912B">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55231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13361ABD">
            <w:pPr>
              <w:jc w:val="center"/>
              <w:rPr>
                <w:rFonts w:ascii="Times New Roman"/>
                <w:sz w:val="21"/>
                <w:szCs w:val="21"/>
              </w:rPr>
            </w:pPr>
            <w:r>
              <w:rPr>
                <w:rFonts w:ascii="Times New Roman"/>
                <w:sz w:val="21"/>
                <w:szCs w:val="21"/>
              </w:rPr>
              <w:t>142</w:t>
            </w:r>
          </w:p>
        </w:tc>
        <w:tc>
          <w:tcPr>
            <w:tcW w:w="413" w:type="pct"/>
            <w:vMerge w:val="continue"/>
            <w:vAlign w:val="center"/>
          </w:tcPr>
          <w:p w14:paraId="3EC5C745">
            <w:pPr>
              <w:jc w:val="center"/>
              <w:rPr>
                <w:rFonts w:ascii="Times New Roman"/>
                <w:sz w:val="21"/>
                <w:szCs w:val="21"/>
              </w:rPr>
            </w:pPr>
          </w:p>
        </w:tc>
        <w:tc>
          <w:tcPr>
            <w:tcW w:w="616" w:type="pct"/>
            <w:vAlign w:val="center"/>
          </w:tcPr>
          <w:p w14:paraId="7591EEBB">
            <w:pPr>
              <w:widowControl/>
              <w:jc w:val="center"/>
              <w:textAlignment w:val="center"/>
              <w:rPr>
                <w:rFonts w:ascii="Times New Roman" w:eastAsia="Arial"/>
                <w:spacing w:val="-2"/>
                <w:sz w:val="21"/>
                <w:szCs w:val="21"/>
              </w:rPr>
            </w:pPr>
            <w:r>
              <w:rPr>
                <w:rFonts w:ascii="Times New Roman" w:eastAsia="Arial"/>
                <w:spacing w:val="-2"/>
                <w:sz w:val="21"/>
                <w:szCs w:val="21"/>
              </w:rPr>
              <w:t>拉紧系统焊接区</w:t>
            </w:r>
          </w:p>
        </w:tc>
        <w:tc>
          <w:tcPr>
            <w:tcW w:w="761" w:type="pct"/>
            <w:shd w:val="clear" w:color="auto" w:fill="auto"/>
            <w:vAlign w:val="center"/>
          </w:tcPr>
          <w:p w14:paraId="463A04D8">
            <w:pPr>
              <w:widowControl/>
              <w:jc w:val="center"/>
              <w:textAlignment w:val="center"/>
              <w:rPr>
                <w:rFonts w:ascii="Times New Roman" w:eastAsia="Arial"/>
                <w:spacing w:val="-2"/>
                <w:sz w:val="21"/>
                <w:szCs w:val="21"/>
              </w:rPr>
            </w:pPr>
            <w:r>
              <w:rPr>
                <w:rFonts w:ascii="Times New Roman" w:eastAsia="Arial"/>
                <w:spacing w:val="-2"/>
                <w:sz w:val="21"/>
                <w:szCs w:val="21"/>
              </w:rPr>
              <w:t>拉紧系统焊接区</w:t>
            </w:r>
          </w:p>
        </w:tc>
        <w:tc>
          <w:tcPr>
            <w:tcW w:w="965" w:type="pct"/>
            <w:gridSpan w:val="2"/>
            <w:vAlign w:val="center"/>
          </w:tcPr>
          <w:p w14:paraId="269A9F9D">
            <w:pPr>
              <w:widowControl/>
              <w:jc w:val="center"/>
              <w:textAlignment w:val="center"/>
              <w:rPr>
                <w:rFonts w:ascii="Times New Roman" w:eastAsia="Arial"/>
                <w:spacing w:val="-2"/>
                <w:sz w:val="21"/>
                <w:szCs w:val="21"/>
              </w:rPr>
            </w:pPr>
            <w:r>
              <w:rPr>
                <w:rFonts w:ascii="Times New Roman" w:eastAsia="Arial"/>
                <w:spacing w:val="-2"/>
                <w:sz w:val="21"/>
                <w:szCs w:val="21"/>
              </w:rPr>
              <w:t>焊机</w:t>
            </w:r>
          </w:p>
        </w:tc>
        <w:tc>
          <w:tcPr>
            <w:tcW w:w="1431" w:type="pct"/>
            <w:vAlign w:val="center"/>
          </w:tcPr>
          <w:p w14:paraId="5DF902FE">
            <w:pPr>
              <w:jc w:val="center"/>
              <w:textAlignment w:val="center"/>
              <w:rPr>
                <w:rFonts w:ascii="Times New Roman" w:eastAsia="Arial"/>
                <w:spacing w:val="-2"/>
                <w:sz w:val="21"/>
                <w:szCs w:val="21"/>
              </w:rPr>
            </w:pPr>
            <w:r>
              <w:rPr>
                <w:rFonts w:ascii="Times New Roman"/>
                <w:sz w:val="21"/>
                <w:szCs w:val="21"/>
              </w:rPr>
              <w:t>/</w:t>
            </w:r>
          </w:p>
        </w:tc>
        <w:tc>
          <w:tcPr>
            <w:tcW w:w="470" w:type="pct"/>
            <w:vAlign w:val="center"/>
          </w:tcPr>
          <w:p w14:paraId="647A2640">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6186A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FD849D6">
            <w:pPr>
              <w:jc w:val="center"/>
              <w:rPr>
                <w:rFonts w:ascii="Times New Roman"/>
                <w:sz w:val="21"/>
                <w:szCs w:val="21"/>
              </w:rPr>
            </w:pPr>
            <w:r>
              <w:rPr>
                <w:rFonts w:ascii="Times New Roman"/>
                <w:sz w:val="21"/>
                <w:szCs w:val="21"/>
              </w:rPr>
              <w:t>143</w:t>
            </w:r>
          </w:p>
        </w:tc>
        <w:tc>
          <w:tcPr>
            <w:tcW w:w="413" w:type="pct"/>
            <w:vMerge w:val="continue"/>
            <w:vAlign w:val="center"/>
          </w:tcPr>
          <w:p w14:paraId="1D1713F6">
            <w:pPr>
              <w:jc w:val="center"/>
              <w:rPr>
                <w:rFonts w:ascii="Times New Roman"/>
                <w:sz w:val="21"/>
                <w:szCs w:val="21"/>
              </w:rPr>
            </w:pPr>
          </w:p>
        </w:tc>
        <w:tc>
          <w:tcPr>
            <w:tcW w:w="616" w:type="pct"/>
            <w:vAlign w:val="center"/>
          </w:tcPr>
          <w:p w14:paraId="21E69065">
            <w:pPr>
              <w:jc w:val="center"/>
              <w:rPr>
                <w:rFonts w:ascii="Times New Roman"/>
                <w:sz w:val="21"/>
                <w:szCs w:val="21"/>
              </w:rPr>
            </w:pPr>
            <w:r>
              <w:rPr>
                <w:rFonts w:ascii="Times New Roman"/>
                <w:sz w:val="21"/>
                <w:szCs w:val="21"/>
              </w:rPr>
              <w:t>搬运设备</w:t>
            </w:r>
          </w:p>
        </w:tc>
        <w:tc>
          <w:tcPr>
            <w:tcW w:w="761" w:type="pct"/>
            <w:shd w:val="clear" w:color="auto" w:fill="auto"/>
            <w:vAlign w:val="center"/>
          </w:tcPr>
          <w:p w14:paraId="58193E44">
            <w:pPr>
              <w:jc w:val="center"/>
              <w:rPr>
                <w:rFonts w:ascii="Times New Roman"/>
                <w:sz w:val="21"/>
                <w:szCs w:val="21"/>
              </w:rPr>
            </w:pPr>
            <w:r>
              <w:rPr>
                <w:rFonts w:ascii="Times New Roman"/>
                <w:sz w:val="21"/>
                <w:szCs w:val="21"/>
              </w:rPr>
              <w:t>搬运设备</w:t>
            </w:r>
          </w:p>
        </w:tc>
        <w:tc>
          <w:tcPr>
            <w:tcW w:w="965" w:type="pct"/>
            <w:gridSpan w:val="2"/>
            <w:vAlign w:val="center"/>
          </w:tcPr>
          <w:p w14:paraId="63700707">
            <w:pPr>
              <w:widowControl/>
              <w:jc w:val="center"/>
              <w:textAlignment w:val="center"/>
              <w:rPr>
                <w:rFonts w:ascii="Times New Roman" w:eastAsia="Arial"/>
                <w:spacing w:val="-2"/>
                <w:sz w:val="21"/>
                <w:szCs w:val="21"/>
              </w:rPr>
            </w:pPr>
            <w:r>
              <w:rPr>
                <w:rFonts w:ascii="Times New Roman" w:eastAsia="Arial"/>
                <w:spacing w:val="-2"/>
                <w:sz w:val="21"/>
                <w:szCs w:val="21"/>
              </w:rPr>
              <w:t>天车</w:t>
            </w:r>
          </w:p>
        </w:tc>
        <w:tc>
          <w:tcPr>
            <w:tcW w:w="1431" w:type="pct"/>
            <w:vAlign w:val="center"/>
          </w:tcPr>
          <w:p w14:paraId="17D47232">
            <w:pPr>
              <w:widowControl/>
              <w:jc w:val="center"/>
              <w:textAlignment w:val="center"/>
              <w:rPr>
                <w:rFonts w:ascii="Times New Roman" w:eastAsia="Arial"/>
                <w:spacing w:val="-2"/>
                <w:sz w:val="21"/>
                <w:szCs w:val="21"/>
              </w:rPr>
            </w:pPr>
            <w:r>
              <w:rPr>
                <w:rFonts w:ascii="Times New Roman" w:eastAsia="Arial"/>
                <w:spacing w:val="-2"/>
                <w:sz w:val="21"/>
                <w:szCs w:val="21"/>
              </w:rPr>
              <w:t>20T</w:t>
            </w:r>
          </w:p>
        </w:tc>
        <w:tc>
          <w:tcPr>
            <w:tcW w:w="470" w:type="pct"/>
            <w:vAlign w:val="center"/>
          </w:tcPr>
          <w:p w14:paraId="4F86AA63">
            <w:pPr>
              <w:widowControl/>
              <w:jc w:val="center"/>
              <w:textAlignment w:val="center"/>
              <w:rPr>
                <w:rFonts w:ascii="Times New Roman" w:eastAsia="Arial"/>
                <w:spacing w:val="-2"/>
                <w:sz w:val="21"/>
                <w:szCs w:val="21"/>
              </w:rPr>
            </w:pPr>
            <w:r>
              <w:rPr>
                <w:rFonts w:ascii="Times New Roman" w:eastAsia="Arial"/>
                <w:spacing w:val="-2"/>
                <w:sz w:val="21"/>
                <w:szCs w:val="21"/>
              </w:rPr>
              <w:t>20</w:t>
            </w:r>
          </w:p>
        </w:tc>
      </w:tr>
      <w:tr w14:paraId="0703D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restart"/>
            <w:shd w:val="clear" w:color="auto" w:fill="auto"/>
            <w:vAlign w:val="center"/>
          </w:tcPr>
          <w:p w14:paraId="451A452B">
            <w:pPr>
              <w:jc w:val="center"/>
              <w:rPr>
                <w:rFonts w:ascii="Times New Roman"/>
                <w:sz w:val="21"/>
                <w:szCs w:val="21"/>
              </w:rPr>
            </w:pPr>
            <w:r>
              <w:rPr>
                <w:rFonts w:ascii="Times New Roman"/>
                <w:sz w:val="21"/>
                <w:szCs w:val="21"/>
              </w:rPr>
              <w:t>144</w:t>
            </w:r>
          </w:p>
        </w:tc>
        <w:tc>
          <w:tcPr>
            <w:tcW w:w="413" w:type="pct"/>
            <w:vMerge w:val="restart"/>
            <w:vAlign w:val="center"/>
          </w:tcPr>
          <w:p w14:paraId="6059E7FC">
            <w:pPr>
              <w:jc w:val="center"/>
              <w:rPr>
                <w:rFonts w:ascii="Times New Roman"/>
                <w:spacing w:val="-6"/>
                <w:sz w:val="21"/>
                <w:szCs w:val="21"/>
              </w:rPr>
            </w:pPr>
            <w:r>
              <w:rPr>
                <w:rFonts w:ascii="Times New Roman"/>
                <w:sz w:val="21"/>
                <w:szCs w:val="21"/>
              </w:rPr>
              <w:t>表面处理区</w:t>
            </w:r>
          </w:p>
        </w:tc>
        <w:tc>
          <w:tcPr>
            <w:tcW w:w="616" w:type="pct"/>
            <w:vMerge w:val="restart"/>
            <w:vAlign w:val="center"/>
          </w:tcPr>
          <w:p w14:paraId="18EEF07F">
            <w:pPr>
              <w:jc w:val="center"/>
              <w:rPr>
                <w:rFonts w:ascii="Times New Roman"/>
                <w:spacing w:val="-6"/>
                <w:sz w:val="21"/>
                <w:szCs w:val="21"/>
              </w:rPr>
            </w:pPr>
            <w:r>
              <w:rPr>
                <w:rFonts w:ascii="Times New Roman"/>
                <w:sz w:val="21"/>
                <w:szCs w:val="21"/>
              </w:rPr>
              <w:t>自动涂装线</w:t>
            </w:r>
          </w:p>
        </w:tc>
        <w:tc>
          <w:tcPr>
            <w:tcW w:w="761" w:type="pct"/>
            <w:vMerge w:val="restart"/>
            <w:tcBorders>
              <w:right w:val="single" w:color="auto" w:sz="4" w:space="0"/>
            </w:tcBorders>
            <w:vAlign w:val="center"/>
          </w:tcPr>
          <w:p w14:paraId="58C6A854">
            <w:pPr>
              <w:jc w:val="center"/>
              <w:rPr>
                <w:rFonts w:ascii="Times New Roman"/>
                <w:spacing w:val="-6"/>
                <w:sz w:val="21"/>
                <w:szCs w:val="21"/>
              </w:rPr>
            </w:pPr>
            <w:r>
              <w:rPr>
                <w:rFonts w:ascii="Times New Roman"/>
                <w:spacing w:val="-6"/>
                <w:sz w:val="21"/>
                <w:szCs w:val="21"/>
              </w:rPr>
              <w:t>前处理</w:t>
            </w:r>
          </w:p>
        </w:tc>
        <w:tc>
          <w:tcPr>
            <w:tcW w:w="310" w:type="pct"/>
            <w:vMerge w:val="restart"/>
            <w:tcBorders>
              <w:right w:val="single" w:color="auto" w:sz="4" w:space="0"/>
            </w:tcBorders>
            <w:vAlign w:val="center"/>
          </w:tcPr>
          <w:p w14:paraId="10C821F5">
            <w:pPr>
              <w:widowControl/>
              <w:jc w:val="center"/>
              <w:textAlignment w:val="center"/>
              <w:rPr>
                <w:rFonts w:ascii="Times New Roman" w:eastAsia="Arial"/>
                <w:sz w:val="21"/>
                <w:szCs w:val="21"/>
              </w:rPr>
            </w:pPr>
            <w:r>
              <w:rPr>
                <w:rFonts w:ascii="Times New Roman" w:eastAsia="Arial"/>
                <w:sz w:val="21"/>
                <w:szCs w:val="21"/>
              </w:rPr>
              <w:t>自动抛丸线1条</w:t>
            </w:r>
          </w:p>
        </w:tc>
        <w:tc>
          <w:tcPr>
            <w:tcW w:w="654" w:type="pct"/>
            <w:tcBorders>
              <w:left w:val="single" w:color="auto" w:sz="4" w:space="0"/>
              <w:bottom w:val="single" w:color="auto" w:sz="4" w:space="0"/>
            </w:tcBorders>
            <w:vAlign w:val="center"/>
          </w:tcPr>
          <w:p w14:paraId="218BBDE3">
            <w:pPr>
              <w:widowControl/>
              <w:jc w:val="center"/>
              <w:textAlignment w:val="center"/>
              <w:rPr>
                <w:rFonts w:ascii="Times New Roman" w:eastAsia="Arial"/>
                <w:sz w:val="21"/>
                <w:szCs w:val="21"/>
              </w:rPr>
            </w:pPr>
            <w:r>
              <w:rPr>
                <w:rFonts w:ascii="Times New Roman" w:eastAsia="Arial"/>
                <w:sz w:val="21"/>
                <w:szCs w:val="21"/>
              </w:rPr>
              <w:t>抛丸设备</w:t>
            </w:r>
          </w:p>
        </w:tc>
        <w:tc>
          <w:tcPr>
            <w:tcW w:w="1431" w:type="pct"/>
            <w:tcBorders>
              <w:bottom w:val="single" w:color="auto" w:sz="4" w:space="0"/>
            </w:tcBorders>
            <w:vAlign w:val="center"/>
          </w:tcPr>
          <w:p w14:paraId="1E8B2119">
            <w:pPr>
              <w:widowControl/>
              <w:jc w:val="center"/>
              <w:textAlignment w:val="center"/>
              <w:rPr>
                <w:rFonts w:ascii="Times New Roman" w:eastAsia="Arial"/>
                <w:sz w:val="21"/>
                <w:szCs w:val="21"/>
              </w:rPr>
            </w:pPr>
            <w:r>
              <w:rPr>
                <w:rFonts w:ascii="Times New Roman" w:eastAsia="Arial"/>
                <w:sz w:val="21"/>
                <w:szCs w:val="21"/>
              </w:rPr>
              <w:t>L31m×W3.4m×H8.6m</w:t>
            </w:r>
          </w:p>
        </w:tc>
        <w:tc>
          <w:tcPr>
            <w:tcW w:w="470" w:type="pct"/>
            <w:tcBorders>
              <w:bottom w:val="single" w:color="auto" w:sz="4" w:space="0"/>
            </w:tcBorders>
            <w:vAlign w:val="center"/>
          </w:tcPr>
          <w:p w14:paraId="27BB9235">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3A427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6D635DA3">
            <w:pPr>
              <w:jc w:val="center"/>
              <w:rPr>
                <w:rFonts w:ascii="Times New Roman"/>
                <w:sz w:val="21"/>
                <w:szCs w:val="21"/>
              </w:rPr>
            </w:pPr>
          </w:p>
        </w:tc>
        <w:tc>
          <w:tcPr>
            <w:tcW w:w="413" w:type="pct"/>
            <w:vMerge w:val="continue"/>
            <w:vAlign w:val="center"/>
          </w:tcPr>
          <w:p w14:paraId="1FD6BFD8">
            <w:pPr>
              <w:jc w:val="center"/>
              <w:rPr>
                <w:rFonts w:ascii="Times New Roman"/>
                <w:sz w:val="21"/>
                <w:szCs w:val="21"/>
              </w:rPr>
            </w:pPr>
          </w:p>
        </w:tc>
        <w:tc>
          <w:tcPr>
            <w:tcW w:w="616" w:type="pct"/>
            <w:vMerge w:val="continue"/>
            <w:vAlign w:val="center"/>
          </w:tcPr>
          <w:p w14:paraId="3C874326">
            <w:pPr>
              <w:jc w:val="center"/>
              <w:rPr>
                <w:rFonts w:ascii="Times New Roman"/>
                <w:sz w:val="21"/>
                <w:szCs w:val="21"/>
              </w:rPr>
            </w:pPr>
          </w:p>
        </w:tc>
        <w:tc>
          <w:tcPr>
            <w:tcW w:w="761" w:type="pct"/>
            <w:vMerge w:val="continue"/>
            <w:tcBorders>
              <w:right w:val="single" w:color="auto" w:sz="4" w:space="0"/>
            </w:tcBorders>
            <w:vAlign w:val="center"/>
          </w:tcPr>
          <w:p w14:paraId="11F7C103">
            <w:pPr>
              <w:jc w:val="center"/>
              <w:rPr>
                <w:rFonts w:ascii="Times New Roman"/>
                <w:spacing w:val="-6"/>
                <w:sz w:val="21"/>
                <w:szCs w:val="21"/>
              </w:rPr>
            </w:pPr>
          </w:p>
        </w:tc>
        <w:tc>
          <w:tcPr>
            <w:tcW w:w="310" w:type="pct"/>
            <w:vMerge w:val="continue"/>
            <w:tcBorders>
              <w:right w:val="single" w:color="auto" w:sz="4" w:space="0"/>
            </w:tcBorders>
            <w:vAlign w:val="center"/>
          </w:tcPr>
          <w:p w14:paraId="574AF77D">
            <w:pPr>
              <w:widowControl/>
              <w:jc w:val="center"/>
              <w:textAlignment w:val="center"/>
              <w:rPr>
                <w:rFonts w:ascii="Times New Roman" w:eastAsia="Arial"/>
                <w:sz w:val="21"/>
                <w:szCs w:val="21"/>
              </w:rPr>
            </w:pPr>
          </w:p>
        </w:tc>
        <w:tc>
          <w:tcPr>
            <w:tcW w:w="654" w:type="pct"/>
            <w:tcBorders>
              <w:left w:val="single" w:color="auto" w:sz="4" w:space="0"/>
              <w:bottom w:val="single" w:color="auto" w:sz="4" w:space="0"/>
            </w:tcBorders>
            <w:shd w:val="clear" w:color="auto" w:fill="auto"/>
            <w:vAlign w:val="center"/>
          </w:tcPr>
          <w:p w14:paraId="1EFB1342">
            <w:pPr>
              <w:widowControl/>
              <w:jc w:val="center"/>
              <w:textAlignment w:val="center"/>
              <w:rPr>
                <w:rFonts w:ascii="Times New Roman" w:eastAsia="Arial"/>
                <w:sz w:val="21"/>
                <w:szCs w:val="21"/>
              </w:rPr>
            </w:pPr>
            <w:r>
              <w:rPr>
                <w:rFonts w:ascii="Times New Roman" w:eastAsia="Arial"/>
                <w:sz w:val="21"/>
                <w:szCs w:val="21"/>
              </w:rPr>
              <w:t>手动喷砂房</w:t>
            </w:r>
          </w:p>
        </w:tc>
        <w:tc>
          <w:tcPr>
            <w:tcW w:w="1431" w:type="pct"/>
            <w:tcBorders>
              <w:bottom w:val="single" w:color="auto" w:sz="4" w:space="0"/>
            </w:tcBorders>
            <w:shd w:val="clear" w:color="auto" w:fill="auto"/>
            <w:vAlign w:val="center"/>
          </w:tcPr>
          <w:p w14:paraId="38CE345E">
            <w:pPr>
              <w:widowControl/>
              <w:jc w:val="center"/>
              <w:textAlignment w:val="center"/>
              <w:rPr>
                <w:rFonts w:ascii="Times New Roman" w:eastAsia="Arial"/>
                <w:sz w:val="21"/>
                <w:szCs w:val="21"/>
              </w:rPr>
            </w:pPr>
            <w:r>
              <w:rPr>
                <w:rFonts w:ascii="Times New Roman" w:eastAsia="Arial"/>
                <w:sz w:val="21"/>
                <w:szCs w:val="21"/>
              </w:rPr>
              <w:t>L15m×W6.8m×H7.2m</w:t>
            </w:r>
          </w:p>
        </w:tc>
        <w:tc>
          <w:tcPr>
            <w:tcW w:w="470" w:type="pct"/>
            <w:tcBorders>
              <w:bottom w:val="single" w:color="auto" w:sz="4" w:space="0"/>
            </w:tcBorders>
            <w:shd w:val="clear" w:color="auto" w:fill="auto"/>
            <w:vAlign w:val="center"/>
          </w:tcPr>
          <w:p w14:paraId="1A8488C3">
            <w:pPr>
              <w:widowControl/>
              <w:jc w:val="center"/>
              <w:textAlignment w:val="center"/>
              <w:rPr>
                <w:rFonts w:ascii="Times New Roman" w:eastAsia="Arial"/>
                <w:spacing w:val="-2"/>
                <w:sz w:val="21"/>
                <w:szCs w:val="21"/>
              </w:rPr>
            </w:pPr>
            <w:r>
              <w:rPr>
                <w:rFonts w:ascii="Times New Roman" w:eastAsia="Arial"/>
                <w:sz w:val="21"/>
                <w:szCs w:val="21"/>
              </w:rPr>
              <w:t>1</w:t>
            </w:r>
          </w:p>
        </w:tc>
      </w:tr>
      <w:tr w14:paraId="1A0CA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42555E30">
            <w:pPr>
              <w:jc w:val="center"/>
              <w:rPr>
                <w:rFonts w:ascii="Times New Roman"/>
                <w:sz w:val="21"/>
                <w:szCs w:val="21"/>
              </w:rPr>
            </w:pPr>
          </w:p>
        </w:tc>
        <w:tc>
          <w:tcPr>
            <w:tcW w:w="413" w:type="pct"/>
            <w:vMerge w:val="continue"/>
            <w:vAlign w:val="center"/>
          </w:tcPr>
          <w:p w14:paraId="6525C056">
            <w:pPr>
              <w:jc w:val="center"/>
              <w:rPr>
                <w:rFonts w:ascii="Times New Roman"/>
                <w:spacing w:val="-6"/>
                <w:sz w:val="21"/>
                <w:szCs w:val="21"/>
              </w:rPr>
            </w:pPr>
          </w:p>
        </w:tc>
        <w:tc>
          <w:tcPr>
            <w:tcW w:w="616" w:type="pct"/>
            <w:vMerge w:val="continue"/>
            <w:vAlign w:val="center"/>
          </w:tcPr>
          <w:p w14:paraId="54352285">
            <w:pPr>
              <w:jc w:val="center"/>
              <w:rPr>
                <w:rFonts w:ascii="Times New Roman"/>
                <w:spacing w:val="-6"/>
                <w:sz w:val="21"/>
                <w:szCs w:val="21"/>
              </w:rPr>
            </w:pPr>
          </w:p>
        </w:tc>
        <w:tc>
          <w:tcPr>
            <w:tcW w:w="761" w:type="pct"/>
            <w:vMerge w:val="continue"/>
            <w:tcBorders>
              <w:right w:val="single" w:color="auto" w:sz="4" w:space="0"/>
            </w:tcBorders>
            <w:vAlign w:val="center"/>
          </w:tcPr>
          <w:p w14:paraId="51D4D485">
            <w:pPr>
              <w:jc w:val="center"/>
              <w:rPr>
                <w:rFonts w:ascii="Times New Roman"/>
                <w:spacing w:val="-6"/>
                <w:sz w:val="21"/>
                <w:szCs w:val="21"/>
              </w:rPr>
            </w:pPr>
          </w:p>
        </w:tc>
        <w:tc>
          <w:tcPr>
            <w:tcW w:w="310" w:type="pct"/>
            <w:vMerge w:val="continue"/>
            <w:tcBorders>
              <w:right w:val="single" w:color="auto" w:sz="4" w:space="0"/>
            </w:tcBorders>
            <w:vAlign w:val="center"/>
          </w:tcPr>
          <w:p w14:paraId="5495ECB8">
            <w:pPr>
              <w:widowControl/>
              <w:jc w:val="center"/>
              <w:textAlignment w:val="center"/>
              <w:rPr>
                <w:rFonts w:ascii="Times New Roman" w:eastAsia="Arial"/>
                <w:sz w:val="21"/>
                <w:szCs w:val="21"/>
              </w:rPr>
            </w:pPr>
          </w:p>
        </w:tc>
        <w:tc>
          <w:tcPr>
            <w:tcW w:w="654" w:type="pct"/>
            <w:tcBorders>
              <w:top w:val="single" w:color="auto" w:sz="4" w:space="0"/>
              <w:left w:val="single" w:color="auto" w:sz="4" w:space="0"/>
              <w:bottom w:val="single" w:color="auto" w:sz="4" w:space="0"/>
            </w:tcBorders>
            <w:vAlign w:val="center"/>
          </w:tcPr>
          <w:p w14:paraId="54377879">
            <w:pPr>
              <w:widowControl/>
              <w:jc w:val="center"/>
              <w:textAlignment w:val="center"/>
              <w:rPr>
                <w:rFonts w:ascii="Times New Roman" w:eastAsia="Arial"/>
                <w:sz w:val="21"/>
                <w:szCs w:val="21"/>
              </w:rPr>
            </w:pPr>
            <w:r>
              <w:rPr>
                <w:rFonts w:ascii="Times New Roman" w:eastAsia="Arial"/>
                <w:sz w:val="21"/>
                <w:szCs w:val="21"/>
              </w:rPr>
              <w:t>补抛室</w:t>
            </w:r>
          </w:p>
        </w:tc>
        <w:tc>
          <w:tcPr>
            <w:tcW w:w="1431" w:type="pct"/>
            <w:tcBorders>
              <w:top w:val="single" w:color="auto" w:sz="4" w:space="0"/>
              <w:bottom w:val="single" w:color="auto" w:sz="4" w:space="0"/>
            </w:tcBorders>
            <w:vAlign w:val="center"/>
          </w:tcPr>
          <w:p w14:paraId="5C2F3388">
            <w:pPr>
              <w:widowControl/>
              <w:jc w:val="center"/>
              <w:textAlignment w:val="center"/>
              <w:rPr>
                <w:rFonts w:ascii="Times New Roman" w:eastAsia="Arial"/>
                <w:sz w:val="21"/>
                <w:szCs w:val="21"/>
              </w:rPr>
            </w:pPr>
            <w:r>
              <w:rPr>
                <w:rFonts w:ascii="Times New Roman" w:eastAsia="Arial"/>
                <w:sz w:val="21"/>
                <w:szCs w:val="21"/>
              </w:rPr>
              <w:t>L14m×W3.4m×H8.6m</w:t>
            </w:r>
          </w:p>
        </w:tc>
        <w:tc>
          <w:tcPr>
            <w:tcW w:w="470" w:type="pct"/>
            <w:tcBorders>
              <w:top w:val="single" w:color="auto" w:sz="4" w:space="0"/>
              <w:bottom w:val="single" w:color="auto" w:sz="4" w:space="0"/>
            </w:tcBorders>
            <w:vAlign w:val="center"/>
          </w:tcPr>
          <w:p w14:paraId="56998395">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7B611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696EC0C0">
            <w:pPr>
              <w:jc w:val="center"/>
              <w:rPr>
                <w:rFonts w:ascii="Times New Roman"/>
                <w:sz w:val="21"/>
                <w:szCs w:val="21"/>
              </w:rPr>
            </w:pPr>
          </w:p>
        </w:tc>
        <w:tc>
          <w:tcPr>
            <w:tcW w:w="413" w:type="pct"/>
            <w:vMerge w:val="continue"/>
            <w:vAlign w:val="center"/>
          </w:tcPr>
          <w:p w14:paraId="18ECB56A">
            <w:pPr>
              <w:jc w:val="center"/>
              <w:rPr>
                <w:rFonts w:ascii="Times New Roman"/>
                <w:spacing w:val="-6"/>
                <w:sz w:val="21"/>
                <w:szCs w:val="21"/>
              </w:rPr>
            </w:pPr>
          </w:p>
        </w:tc>
        <w:tc>
          <w:tcPr>
            <w:tcW w:w="616" w:type="pct"/>
            <w:vMerge w:val="continue"/>
            <w:vAlign w:val="center"/>
          </w:tcPr>
          <w:p w14:paraId="58A1BE22">
            <w:pPr>
              <w:jc w:val="center"/>
              <w:rPr>
                <w:rFonts w:ascii="Times New Roman"/>
                <w:spacing w:val="-6"/>
                <w:sz w:val="21"/>
                <w:szCs w:val="21"/>
              </w:rPr>
            </w:pPr>
          </w:p>
        </w:tc>
        <w:tc>
          <w:tcPr>
            <w:tcW w:w="761" w:type="pct"/>
            <w:vMerge w:val="continue"/>
            <w:tcBorders>
              <w:right w:val="single" w:color="auto" w:sz="4" w:space="0"/>
            </w:tcBorders>
            <w:vAlign w:val="center"/>
          </w:tcPr>
          <w:p w14:paraId="4A087578">
            <w:pPr>
              <w:jc w:val="center"/>
              <w:rPr>
                <w:rFonts w:ascii="Times New Roman"/>
                <w:spacing w:val="-6"/>
                <w:sz w:val="21"/>
                <w:szCs w:val="21"/>
              </w:rPr>
            </w:pPr>
          </w:p>
        </w:tc>
        <w:tc>
          <w:tcPr>
            <w:tcW w:w="310" w:type="pct"/>
            <w:vMerge w:val="continue"/>
            <w:tcBorders>
              <w:right w:val="single" w:color="auto" w:sz="4" w:space="0"/>
            </w:tcBorders>
            <w:vAlign w:val="center"/>
          </w:tcPr>
          <w:p w14:paraId="15E6BD44">
            <w:pPr>
              <w:widowControl/>
              <w:jc w:val="center"/>
              <w:textAlignment w:val="center"/>
              <w:rPr>
                <w:rFonts w:ascii="Times New Roman" w:eastAsia="Arial"/>
                <w:sz w:val="21"/>
                <w:szCs w:val="21"/>
              </w:rPr>
            </w:pPr>
          </w:p>
        </w:tc>
        <w:tc>
          <w:tcPr>
            <w:tcW w:w="654" w:type="pct"/>
            <w:tcBorders>
              <w:top w:val="single" w:color="auto" w:sz="4" w:space="0"/>
              <w:left w:val="single" w:color="auto" w:sz="4" w:space="0"/>
            </w:tcBorders>
            <w:vAlign w:val="center"/>
          </w:tcPr>
          <w:p w14:paraId="6109E602">
            <w:pPr>
              <w:widowControl/>
              <w:jc w:val="center"/>
              <w:textAlignment w:val="center"/>
              <w:rPr>
                <w:rFonts w:ascii="Times New Roman" w:eastAsia="Arial"/>
                <w:sz w:val="21"/>
                <w:szCs w:val="21"/>
              </w:rPr>
            </w:pPr>
            <w:r>
              <w:rPr>
                <w:rFonts w:ascii="Times New Roman" w:eastAsia="Arial"/>
                <w:sz w:val="21"/>
                <w:szCs w:val="21"/>
              </w:rPr>
              <w:t>清理室</w:t>
            </w:r>
          </w:p>
        </w:tc>
        <w:tc>
          <w:tcPr>
            <w:tcW w:w="1431" w:type="pct"/>
            <w:tcBorders>
              <w:top w:val="single" w:color="auto" w:sz="4" w:space="0"/>
            </w:tcBorders>
            <w:vAlign w:val="center"/>
          </w:tcPr>
          <w:p w14:paraId="05511956">
            <w:pPr>
              <w:widowControl/>
              <w:jc w:val="center"/>
              <w:textAlignment w:val="center"/>
              <w:rPr>
                <w:rFonts w:ascii="Times New Roman" w:eastAsia="Arial"/>
                <w:sz w:val="21"/>
                <w:szCs w:val="21"/>
              </w:rPr>
            </w:pPr>
            <w:r>
              <w:rPr>
                <w:rFonts w:ascii="Times New Roman" w:eastAsia="Arial"/>
                <w:sz w:val="21"/>
                <w:szCs w:val="21"/>
              </w:rPr>
              <w:t>L14m×W3.4m×H8.6m</w:t>
            </w:r>
          </w:p>
        </w:tc>
        <w:tc>
          <w:tcPr>
            <w:tcW w:w="470" w:type="pct"/>
            <w:tcBorders>
              <w:top w:val="single" w:color="auto" w:sz="4" w:space="0"/>
              <w:bottom w:val="single" w:color="auto" w:sz="4" w:space="0"/>
            </w:tcBorders>
            <w:vAlign w:val="center"/>
          </w:tcPr>
          <w:p w14:paraId="1C6A6F13">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6A415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restart"/>
            <w:shd w:val="clear" w:color="auto" w:fill="auto"/>
            <w:vAlign w:val="center"/>
          </w:tcPr>
          <w:p w14:paraId="2F38CE47">
            <w:pPr>
              <w:jc w:val="center"/>
              <w:rPr>
                <w:rFonts w:ascii="Times New Roman"/>
                <w:sz w:val="21"/>
                <w:szCs w:val="21"/>
              </w:rPr>
            </w:pPr>
            <w:r>
              <w:rPr>
                <w:rFonts w:ascii="Times New Roman"/>
                <w:sz w:val="21"/>
                <w:szCs w:val="21"/>
              </w:rPr>
              <w:t>145</w:t>
            </w:r>
          </w:p>
        </w:tc>
        <w:tc>
          <w:tcPr>
            <w:tcW w:w="413" w:type="pct"/>
            <w:vMerge w:val="continue"/>
            <w:vAlign w:val="center"/>
          </w:tcPr>
          <w:p w14:paraId="6EEDDA25">
            <w:pPr>
              <w:jc w:val="center"/>
              <w:rPr>
                <w:rFonts w:ascii="Times New Roman"/>
                <w:spacing w:val="-6"/>
                <w:sz w:val="21"/>
                <w:szCs w:val="21"/>
              </w:rPr>
            </w:pPr>
          </w:p>
        </w:tc>
        <w:tc>
          <w:tcPr>
            <w:tcW w:w="616" w:type="pct"/>
            <w:vMerge w:val="continue"/>
            <w:vAlign w:val="center"/>
          </w:tcPr>
          <w:p w14:paraId="4CBDBF9F">
            <w:pPr>
              <w:jc w:val="center"/>
              <w:rPr>
                <w:rFonts w:ascii="Times New Roman"/>
                <w:spacing w:val="-6"/>
                <w:sz w:val="21"/>
                <w:szCs w:val="21"/>
              </w:rPr>
            </w:pPr>
          </w:p>
        </w:tc>
        <w:tc>
          <w:tcPr>
            <w:tcW w:w="761" w:type="pct"/>
            <w:vMerge w:val="continue"/>
            <w:tcBorders>
              <w:right w:val="single" w:color="auto" w:sz="4" w:space="0"/>
            </w:tcBorders>
            <w:vAlign w:val="center"/>
          </w:tcPr>
          <w:p w14:paraId="703E25BB">
            <w:pPr>
              <w:jc w:val="center"/>
              <w:rPr>
                <w:rFonts w:ascii="Times New Roman"/>
                <w:spacing w:val="-6"/>
                <w:sz w:val="21"/>
                <w:szCs w:val="21"/>
              </w:rPr>
            </w:pPr>
          </w:p>
        </w:tc>
        <w:tc>
          <w:tcPr>
            <w:tcW w:w="310" w:type="pct"/>
            <w:vMerge w:val="restart"/>
            <w:tcBorders>
              <w:right w:val="single" w:color="auto" w:sz="4" w:space="0"/>
            </w:tcBorders>
            <w:vAlign w:val="center"/>
          </w:tcPr>
          <w:p w14:paraId="4ED23ABC">
            <w:pPr>
              <w:widowControl/>
              <w:jc w:val="center"/>
              <w:textAlignment w:val="center"/>
              <w:rPr>
                <w:rFonts w:ascii="Times New Roman" w:eastAsia="Arial"/>
                <w:sz w:val="21"/>
                <w:szCs w:val="21"/>
              </w:rPr>
            </w:pPr>
            <w:r>
              <w:rPr>
                <w:rFonts w:ascii="Times New Roman" w:eastAsia="Arial"/>
                <w:sz w:val="21"/>
                <w:szCs w:val="21"/>
              </w:rPr>
              <w:t>电泳线1条</w:t>
            </w:r>
          </w:p>
        </w:tc>
        <w:tc>
          <w:tcPr>
            <w:tcW w:w="654" w:type="pct"/>
            <w:tcBorders>
              <w:left w:val="single" w:color="auto" w:sz="4" w:space="0"/>
              <w:bottom w:val="single" w:color="auto" w:sz="4" w:space="0"/>
            </w:tcBorders>
            <w:shd w:val="clear" w:color="auto" w:fill="auto"/>
            <w:vAlign w:val="center"/>
          </w:tcPr>
          <w:p w14:paraId="4D6E176B">
            <w:pPr>
              <w:widowControl/>
              <w:jc w:val="center"/>
              <w:textAlignment w:val="center"/>
              <w:rPr>
                <w:rFonts w:ascii="Times New Roman" w:eastAsia="Arial"/>
                <w:sz w:val="21"/>
                <w:szCs w:val="21"/>
              </w:rPr>
            </w:pPr>
            <w:r>
              <w:rPr>
                <w:rFonts w:ascii="Times New Roman" w:eastAsia="Arial"/>
                <w:sz w:val="21"/>
                <w:szCs w:val="21"/>
              </w:rPr>
              <w:t>脱脂槽</w:t>
            </w:r>
          </w:p>
        </w:tc>
        <w:tc>
          <w:tcPr>
            <w:tcW w:w="1431" w:type="pct"/>
            <w:tcBorders>
              <w:bottom w:val="single" w:color="auto" w:sz="4" w:space="0"/>
            </w:tcBorders>
            <w:shd w:val="clear" w:color="auto" w:fill="auto"/>
            <w:vAlign w:val="center"/>
          </w:tcPr>
          <w:p w14:paraId="340A9F50">
            <w:pPr>
              <w:widowControl/>
              <w:jc w:val="center"/>
              <w:textAlignment w:val="center"/>
              <w:rPr>
                <w:rFonts w:ascii="Times New Roman" w:eastAsia="Arial"/>
                <w:sz w:val="21"/>
                <w:szCs w:val="21"/>
              </w:rPr>
            </w:pPr>
            <w:r>
              <w:rPr>
                <w:rFonts w:ascii="Times New Roman" w:eastAsia="Arial"/>
                <w:sz w:val="21"/>
                <w:szCs w:val="21"/>
              </w:rPr>
              <w:t>L13.5m×w3.1m×h4.2m</w:t>
            </w:r>
          </w:p>
        </w:tc>
        <w:tc>
          <w:tcPr>
            <w:tcW w:w="470" w:type="pct"/>
            <w:tcBorders>
              <w:top w:val="single" w:color="auto" w:sz="4" w:space="0"/>
              <w:bottom w:val="single" w:color="auto" w:sz="4" w:space="0"/>
            </w:tcBorders>
            <w:shd w:val="clear" w:color="auto" w:fill="auto"/>
            <w:vAlign w:val="center"/>
          </w:tcPr>
          <w:p w14:paraId="742E60B6">
            <w:pPr>
              <w:widowControl/>
              <w:jc w:val="center"/>
              <w:textAlignment w:val="center"/>
              <w:rPr>
                <w:rFonts w:ascii="Times New Roman" w:eastAsia="Arial"/>
                <w:spacing w:val="-2"/>
                <w:sz w:val="21"/>
                <w:szCs w:val="21"/>
              </w:rPr>
            </w:pPr>
            <w:r>
              <w:rPr>
                <w:rFonts w:hint="eastAsia" w:ascii="Times New Roman" w:eastAsia="Arial"/>
                <w:spacing w:val="-2"/>
                <w:sz w:val="21"/>
                <w:szCs w:val="21"/>
              </w:rPr>
              <w:t>2</w:t>
            </w:r>
          </w:p>
        </w:tc>
      </w:tr>
      <w:tr w14:paraId="4DB2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029BAAB8">
            <w:pPr>
              <w:jc w:val="center"/>
              <w:rPr>
                <w:rFonts w:ascii="Times New Roman"/>
                <w:sz w:val="21"/>
                <w:szCs w:val="21"/>
              </w:rPr>
            </w:pPr>
          </w:p>
        </w:tc>
        <w:tc>
          <w:tcPr>
            <w:tcW w:w="413" w:type="pct"/>
            <w:vMerge w:val="continue"/>
            <w:vAlign w:val="center"/>
          </w:tcPr>
          <w:p w14:paraId="006C96A5">
            <w:pPr>
              <w:jc w:val="center"/>
              <w:rPr>
                <w:rFonts w:ascii="Times New Roman"/>
                <w:spacing w:val="-6"/>
                <w:sz w:val="21"/>
                <w:szCs w:val="21"/>
              </w:rPr>
            </w:pPr>
          </w:p>
        </w:tc>
        <w:tc>
          <w:tcPr>
            <w:tcW w:w="616" w:type="pct"/>
            <w:vMerge w:val="continue"/>
            <w:vAlign w:val="center"/>
          </w:tcPr>
          <w:p w14:paraId="1FD977D6">
            <w:pPr>
              <w:jc w:val="center"/>
              <w:rPr>
                <w:rFonts w:ascii="Times New Roman"/>
                <w:spacing w:val="-6"/>
                <w:sz w:val="21"/>
                <w:szCs w:val="21"/>
              </w:rPr>
            </w:pPr>
          </w:p>
        </w:tc>
        <w:tc>
          <w:tcPr>
            <w:tcW w:w="761" w:type="pct"/>
            <w:vMerge w:val="continue"/>
            <w:tcBorders>
              <w:right w:val="single" w:color="auto" w:sz="4" w:space="0"/>
            </w:tcBorders>
            <w:vAlign w:val="center"/>
          </w:tcPr>
          <w:p w14:paraId="20785969">
            <w:pPr>
              <w:jc w:val="center"/>
              <w:rPr>
                <w:rFonts w:ascii="Times New Roman"/>
                <w:spacing w:val="-6"/>
                <w:sz w:val="21"/>
                <w:szCs w:val="21"/>
              </w:rPr>
            </w:pPr>
          </w:p>
        </w:tc>
        <w:tc>
          <w:tcPr>
            <w:tcW w:w="310" w:type="pct"/>
            <w:vMerge w:val="continue"/>
            <w:tcBorders>
              <w:right w:val="single" w:color="auto" w:sz="4" w:space="0"/>
            </w:tcBorders>
            <w:vAlign w:val="center"/>
          </w:tcPr>
          <w:p w14:paraId="3544E03A">
            <w:pPr>
              <w:widowControl/>
              <w:jc w:val="center"/>
              <w:textAlignment w:val="center"/>
              <w:rPr>
                <w:rFonts w:ascii="Times New Roman" w:eastAsia="Arial"/>
                <w:sz w:val="21"/>
                <w:szCs w:val="21"/>
              </w:rPr>
            </w:pPr>
          </w:p>
        </w:tc>
        <w:tc>
          <w:tcPr>
            <w:tcW w:w="654" w:type="pct"/>
            <w:tcBorders>
              <w:top w:val="single" w:color="auto" w:sz="4" w:space="0"/>
              <w:left w:val="single" w:color="auto" w:sz="4" w:space="0"/>
              <w:bottom w:val="single" w:color="auto" w:sz="4" w:space="0"/>
            </w:tcBorders>
            <w:vAlign w:val="center"/>
          </w:tcPr>
          <w:p w14:paraId="16F5EB76">
            <w:pPr>
              <w:widowControl/>
              <w:jc w:val="center"/>
              <w:textAlignment w:val="center"/>
              <w:rPr>
                <w:rFonts w:ascii="Times New Roman" w:eastAsia="Arial"/>
                <w:sz w:val="21"/>
                <w:szCs w:val="21"/>
              </w:rPr>
            </w:pPr>
            <w:r>
              <w:rPr>
                <w:rFonts w:ascii="Times New Roman" w:eastAsia="Arial"/>
                <w:sz w:val="21"/>
                <w:szCs w:val="21"/>
              </w:rPr>
              <w:t>水洗槽</w:t>
            </w:r>
          </w:p>
        </w:tc>
        <w:tc>
          <w:tcPr>
            <w:tcW w:w="1431" w:type="pct"/>
            <w:tcBorders>
              <w:top w:val="single" w:color="auto" w:sz="4" w:space="0"/>
              <w:bottom w:val="single" w:color="auto" w:sz="4" w:space="0"/>
            </w:tcBorders>
            <w:vAlign w:val="center"/>
          </w:tcPr>
          <w:p w14:paraId="2C6DBCC6">
            <w:pPr>
              <w:widowControl/>
              <w:jc w:val="center"/>
              <w:textAlignment w:val="center"/>
              <w:rPr>
                <w:rFonts w:ascii="Times New Roman" w:eastAsia="Arial"/>
                <w:sz w:val="21"/>
                <w:szCs w:val="21"/>
              </w:rPr>
            </w:pPr>
            <w:r>
              <w:rPr>
                <w:rFonts w:ascii="Times New Roman" w:eastAsia="Arial"/>
                <w:sz w:val="21"/>
                <w:szCs w:val="21"/>
              </w:rPr>
              <w:t>L13.5m×w3.1m×h4.2m</w:t>
            </w:r>
          </w:p>
        </w:tc>
        <w:tc>
          <w:tcPr>
            <w:tcW w:w="470" w:type="pct"/>
            <w:tcBorders>
              <w:top w:val="single" w:color="auto" w:sz="4" w:space="0"/>
              <w:bottom w:val="single" w:color="auto" w:sz="4" w:space="0"/>
            </w:tcBorders>
            <w:vAlign w:val="center"/>
          </w:tcPr>
          <w:p w14:paraId="1CDC66E5">
            <w:pPr>
              <w:widowControl/>
              <w:jc w:val="center"/>
              <w:textAlignment w:val="center"/>
              <w:rPr>
                <w:rFonts w:ascii="Times New Roman" w:eastAsia="Arial"/>
                <w:spacing w:val="-2"/>
                <w:sz w:val="21"/>
                <w:szCs w:val="21"/>
              </w:rPr>
            </w:pPr>
            <w:r>
              <w:rPr>
                <w:rFonts w:ascii="Times New Roman" w:eastAsia="Arial"/>
                <w:spacing w:val="-2"/>
                <w:sz w:val="21"/>
                <w:szCs w:val="21"/>
              </w:rPr>
              <w:t>5</w:t>
            </w:r>
          </w:p>
        </w:tc>
      </w:tr>
      <w:tr w14:paraId="429D3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0B24262F">
            <w:pPr>
              <w:jc w:val="center"/>
              <w:rPr>
                <w:rFonts w:ascii="Times New Roman"/>
                <w:sz w:val="21"/>
                <w:szCs w:val="21"/>
              </w:rPr>
            </w:pPr>
          </w:p>
        </w:tc>
        <w:tc>
          <w:tcPr>
            <w:tcW w:w="413" w:type="pct"/>
            <w:vMerge w:val="continue"/>
            <w:vAlign w:val="center"/>
          </w:tcPr>
          <w:p w14:paraId="65E10490">
            <w:pPr>
              <w:jc w:val="center"/>
              <w:rPr>
                <w:rFonts w:ascii="Times New Roman"/>
                <w:spacing w:val="-6"/>
                <w:sz w:val="21"/>
                <w:szCs w:val="21"/>
              </w:rPr>
            </w:pPr>
          </w:p>
        </w:tc>
        <w:tc>
          <w:tcPr>
            <w:tcW w:w="616" w:type="pct"/>
            <w:vMerge w:val="continue"/>
            <w:vAlign w:val="center"/>
          </w:tcPr>
          <w:p w14:paraId="5D539C84">
            <w:pPr>
              <w:jc w:val="center"/>
              <w:rPr>
                <w:rFonts w:ascii="Times New Roman"/>
                <w:spacing w:val="-6"/>
                <w:sz w:val="21"/>
                <w:szCs w:val="21"/>
              </w:rPr>
            </w:pPr>
          </w:p>
        </w:tc>
        <w:tc>
          <w:tcPr>
            <w:tcW w:w="761" w:type="pct"/>
            <w:vMerge w:val="continue"/>
            <w:tcBorders>
              <w:right w:val="single" w:color="auto" w:sz="4" w:space="0"/>
            </w:tcBorders>
            <w:vAlign w:val="center"/>
          </w:tcPr>
          <w:p w14:paraId="442EBBE7">
            <w:pPr>
              <w:jc w:val="center"/>
              <w:rPr>
                <w:rFonts w:ascii="Times New Roman"/>
                <w:spacing w:val="-6"/>
                <w:sz w:val="21"/>
                <w:szCs w:val="21"/>
              </w:rPr>
            </w:pPr>
          </w:p>
        </w:tc>
        <w:tc>
          <w:tcPr>
            <w:tcW w:w="310" w:type="pct"/>
            <w:vMerge w:val="continue"/>
            <w:tcBorders>
              <w:right w:val="single" w:color="auto" w:sz="4" w:space="0"/>
            </w:tcBorders>
            <w:vAlign w:val="center"/>
          </w:tcPr>
          <w:p w14:paraId="5F4BC032">
            <w:pPr>
              <w:widowControl/>
              <w:jc w:val="center"/>
              <w:textAlignment w:val="center"/>
              <w:rPr>
                <w:rFonts w:ascii="Times New Roman" w:eastAsia="Arial"/>
                <w:sz w:val="21"/>
                <w:szCs w:val="21"/>
              </w:rPr>
            </w:pPr>
          </w:p>
        </w:tc>
        <w:tc>
          <w:tcPr>
            <w:tcW w:w="654" w:type="pct"/>
            <w:tcBorders>
              <w:top w:val="single" w:color="auto" w:sz="4" w:space="0"/>
              <w:left w:val="single" w:color="auto" w:sz="4" w:space="0"/>
              <w:bottom w:val="single" w:color="auto" w:sz="4" w:space="0"/>
            </w:tcBorders>
            <w:vAlign w:val="center"/>
          </w:tcPr>
          <w:p w14:paraId="25F40874">
            <w:pPr>
              <w:widowControl/>
              <w:jc w:val="center"/>
              <w:textAlignment w:val="center"/>
              <w:rPr>
                <w:rFonts w:ascii="Times New Roman" w:eastAsia="Arial"/>
                <w:sz w:val="21"/>
                <w:szCs w:val="21"/>
              </w:rPr>
            </w:pPr>
            <w:r>
              <w:rPr>
                <w:rFonts w:ascii="Times New Roman" w:eastAsia="Arial"/>
                <w:sz w:val="21"/>
                <w:szCs w:val="21"/>
              </w:rPr>
              <w:t>UF槽</w:t>
            </w:r>
          </w:p>
        </w:tc>
        <w:tc>
          <w:tcPr>
            <w:tcW w:w="1431" w:type="pct"/>
            <w:tcBorders>
              <w:top w:val="single" w:color="auto" w:sz="4" w:space="0"/>
              <w:bottom w:val="single" w:color="auto" w:sz="4" w:space="0"/>
            </w:tcBorders>
            <w:vAlign w:val="center"/>
          </w:tcPr>
          <w:p w14:paraId="1E861B53">
            <w:pPr>
              <w:widowControl/>
              <w:jc w:val="center"/>
              <w:textAlignment w:val="center"/>
              <w:rPr>
                <w:rFonts w:ascii="Times New Roman" w:eastAsia="Arial"/>
                <w:sz w:val="21"/>
                <w:szCs w:val="21"/>
              </w:rPr>
            </w:pPr>
            <w:r>
              <w:rPr>
                <w:rFonts w:ascii="Times New Roman" w:eastAsia="Arial"/>
                <w:sz w:val="21"/>
                <w:szCs w:val="21"/>
              </w:rPr>
              <w:t>L13.5m×w3.1m×h4.2m</w:t>
            </w:r>
          </w:p>
        </w:tc>
        <w:tc>
          <w:tcPr>
            <w:tcW w:w="470" w:type="pct"/>
            <w:tcBorders>
              <w:top w:val="single" w:color="auto" w:sz="4" w:space="0"/>
              <w:bottom w:val="single" w:color="auto" w:sz="4" w:space="0"/>
            </w:tcBorders>
            <w:vAlign w:val="center"/>
          </w:tcPr>
          <w:p w14:paraId="74DF06BB">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29A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78A59E5A">
            <w:pPr>
              <w:jc w:val="center"/>
              <w:rPr>
                <w:rFonts w:ascii="Times New Roman"/>
                <w:sz w:val="21"/>
                <w:szCs w:val="21"/>
              </w:rPr>
            </w:pPr>
          </w:p>
        </w:tc>
        <w:tc>
          <w:tcPr>
            <w:tcW w:w="413" w:type="pct"/>
            <w:vMerge w:val="continue"/>
            <w:vAlign w:val="center"/>
          </w:tcPr>
          <w:p w14:paraId="74F9BFCD">
            <w:pPr>
              <w:jc w:val="center"/>
              <w:rPr>
                <w:rFonts w:ascii="Times New Roman"/>
                <w:spacing w:val="-6"/>
                <w:sz w:val="21"/>
                <w:szCs w:val="21"/>
              </w:rPr>
            </w:pPr>
          </w:p>
        </w:tc>
        <w:tc>
          <w:tcPr>
            <w:tcW w:w="616" w:type="pct"/>
            <w:vMerge w:val="continue"/>
            <w:vAlign w:val="center"/>
          </w:tcPr>
          <w:p w14:paraId="4D9C018A">
            <w:pPr>
              <w:jc w:val="center"/>
              <w:rPr>
                <w:rFonts w:ascii="Times New Roman"/>
                <w:spacing w:val="-6"/>
                <w:sz w:val="21"/>
                <w:szCs w:val="21"/>
              </w:rPr>
            </w:pPr>
          </w:p>
        </w:tc>
        <w:tc>
          <w:tcPr>
            <w:tcW w:w="761" w:type="pct"/>
            <w:vMerge w:val="continue"/>
            <w:tcBorders>
              <w:right w:val="single" w:color="auto" w:sz="4" w:space="0"/>
            </w:tcBorders>
            <w:vAlign w:val="center"/>
          </w:tcPr>
          <w:p w14:paraId="3610A283">
            <w:pPr>
              <w:jc w:val="center"/>
              <w:rPr>
                <w:rFonts w:ascii="Times New Roman"/>
                <w:spacing w:val="-6"/>
                <w:sz w:val="21"/>
                <w:szCs w:val="21"/>
              </w:rPr>
            </w:pPr>
          </w:p>
        </w:tc>
        <w:tc>
          <w:tcPr>
            <w:tcW w:w="310" w:type="pct"/>
            <w:vMerge w:val="continue"/>
            <w:tcBorders>
              <w:right w:val="single" w:color="auto" w:sz="4" w:space="0"/>
            </w:tcBorders>
            <w:vAlign w:val="center"/>
          </w:tcPr>
          <w:p w14:paraId="0CFAFFDD">
            <w:pPr>
              <w:widowControl/>
              <w:jc w:val="center"/>
              <w:textAlignment w:val="center"/>
              <w:rPr>
                <w:rFonts w:ascii="Times New Roman" w:eastAsia="Arial"/>
                <w:sz w:val="21"/>
                <w:szCs w:val="21"/>
              </w:rPr>
            </w:pPr>
          </w:p>
        </w:tc>
        <w:tc>
          <w:tcPr>
            <w:tcW w:w="654" w:type="pct"/>
            <w:tcBorders>
              <w:top w:val="single" w:color="auto" w:sz="4" w:space="0"/>
              <w:left w:val="single" w:color="auto" w:sz="4" w:space="0"/>
              <w:bottom w:val="single" w:color="auto" w:sz="4" w:space="0"/>
            </w:tcBorders>
            <w:vAlign w:val="center"/>
          </w:tcPr>
          <w:p w14:paraId="754E056B">
            <w:pPr>
              <w:widowControl/>
              <w:jc w:val="center"/>
              <w:textAlignment w:val="center"/>
              <w:rPr>
                <w:rFonts w:ascii="Times New Roman" w:eastAsia="Arial"/>
                <w:sz w:val="21"/>
                <w:szCs w:val="21"/>
              </w:rPr>
            </w:pPr>
            <w:r>
              <w:rPr>
                <w:rFonts w:ascii="Times New Roman" w:eastAsia="Arial"/>
                <w:sz w:val="21"/>
                <w:szCs w:val="21"/>
              </w:rPr>
              <w:t>硅烷槽</w:t>
            </w:r>
          </w:p>
        </w:tc>
        <w:tc>
          <w:tcPr>
            <w:tcW w:w="1431" w:type="pct"/>
            <w:tcBorders>
              <w:top w:val="single" w:color="auto" w:sz="4" w:space="0"/>
              <w:bottom w:val="single" w:color="auto" w:sz="4" w:space="0"/>
            </w:tcBorders>
            <w:vAlign w:val="center"/>
          </w:tcPr>
          <w:p w14:paraId="16422A38">
            <w:pPr>
              <w:widowControl/>
              <w:jc w:val="center"/>
              <w:textAlignment w:val="center"/>
              <w:rPr>
                <w:rFonts w:ascii="Times New Roman" w:eastAsia="Arial"/>
                <w:sz w:val="21"/>
                <w:szCs w:val="21"/>
              </w:rPr>
            </w:pPr>
            <w:r>
              <w:rPr>
                <w:rFonts w:ascii="Times New Roman" w:eastAsia="Arial"/>
                <w:sz w:val="21"/>
                <w:szCs w:val="21"/>
              </w:rPr>
              <w:t>L13.5m×w3.1m×h4.2m</w:t>
            </w:r>
          </w:p>
        </w:tc>
        <w:tc>
          <w:tcPr>
            <w:tcW w:w="470" w:type="pct"/>
            <w:tcBorders>
              <w:top w:val="single" w:color="auto" w:sz="4" w:space="0"/>
              <w:bottom w:val="single" w:color="auto" w:sz="4" w:space="0"/>
            </w:tcBorders>
            <w:vAlign w:val="center"/>
          </w:tcPr>
          <w:p w14:paraId="2662902A">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0629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0CE5770E">
            <w:pPr>
              <w:jc w:val="center"/>
              <w:rPr>
                <w:rFonts w:ascii="Times New Roman"/>
                <w:sz w:val="21"/>
                <w:szCs w:val="21"/>
              </w:rPr>
            </w:pPr>
          </w:p>
        </w:tc>
        <w:tc>
          <w:tcPr>
            <w:tcW w:w="413" w:type="pct"/>
            <w:vMerge w:val="continue"/>
            <w:vAlign w:val="center"/>
          </w:tcPr>
          <w:p w14:paraId="755C5031">
            <w:pPr>
              <w:jc w:val="center"/>
              <w:rPr>
                <w:rFonts w:ascii="Times New Roman"/>
                <w:spacing w:val="-6"/>
                <w:sz w:val="21"/>
                <w:szCs w:val="21"/>
              </w:rPr>
            </w:pPr>
          </w:p>
        </w:tc>
        <w:tc>
          <w:tcPr>
            <w:tcW w:w="616" w:type="pct"/>
            <w:vMerge w:val="continue"/>
            <w:vAlign w:val="center"/>
          </w:tcPr>
          <w:p w14:paraId="3DA3BC5E">
            <w:pPr>
              <w:jc w:val="center"/>
              <w:rPr>
                <w:rFonts w:ascii="Times New Roman"/>
                <w:spacing w:val="-6"/>
                <w:sz w:val="21"/>
                <w:szCs w:val="21"/>
              </w:rPr>
            </w:pPr>
          </w:p>
        </w:tc>
        <w:tc>
          <w:tcPr>
            <w:tcW w:w="761" w:type="pct"/>
            <w:vMerge w:val="continue"/>
            <w:tcBorders>
              <w:right w:val="single" w:color="auto" w:sz="4" w:space="0"/>
            </w:tcBorders>
            <w:vAlign w:val="center"/>
          </w:tcPr>
          <w:p w14:paraId="1421CA59">
            <w:pPr>
              <w:jc w:val="center"/>
              <w:rPr>
                <w:rFonts w:ascii="Times New Roman"/>
                <w:spacing w:val="-6"/>
                <w:sz w:val="21"/>
                <w:szCs w:val="21"/>
              </w:rPr>
            </w:pPr>
          </w:p>
        </w:tc>
        <w:tc>
          <w:tcPr>
            <w:tcW w:w="310" w:type="pct"/>
            <w:vMerge w:val="continue"/>
            <w:tcBorders>
              <w:right w:val="single" w:color="auto" w:sz="4" w:space="0"/>
            </w:tcBorders>
            <w:vAlign w:val="center"/>
          </w:tcPr>
          <w:p w14:paraId="74AC623A">
            <w:pPr>
              <w:widowControl/>
              <w:jc w:val="center"/>
              <w:textAlignment w:val="center"/>
              <w:rPr>
                <w:rFonts w:ascii="Times New Roman" w:eastAsia="Arial"/>
                <w:sz w:val="21"/>
                <w:szCs w:val="21"/>
              </w:rPr>
            </w:pPr>
          </w:p>
        </w:tc>
        <w:tc>
          <w:tcPr>
            <w:tcW w:w="654" w:type="pct"/>
            <w:tcBorders>
              <w:top w:val="single" w:color="auto" w:sz="4" w:space="0"/>
              <w:left w:val="single" w:color="auto" w:sz="4" w:space="0"/>
              <w:bottom w:val="single" w:color="auto" w:sz="4" w:space="0"/>
            </w:tcBorders>
            <w:vAlign w:val="center"/>
          </w:tcPr>
          <w:p w14:paraId="4D772470">
            <w:pPr>
              <w:widowControl/>
              <w:jc w:val="center"/>
              <w:textAlignment w:val="center"/>
              <w:rPr>
                <w:rFonts w:ascii="Times New Roman" w:eastAsia="Arial"/>
                <w:sz w:val="21"/>
                <w:szCs w:val="21"/>
              </w:rPr>
            </w:pPr>
            <w:r>
              <w:rPr>
                <w:rFonts w:ascii="Times New Roman" w:eastAsia="Arial"/>
                <w:sz w:val="21"/>
                <w:szCs w:val="21"/>
              </w:rPr>
              <w:t>电泳槽</w:t>
            </w:r>
          </w:p>
        </w:tc>
        <w:tc>
          <w:tcPr>
            <w:tcW w:w="1431" w:type="pct"/>
            <w:tcBorders>
              <w:top w:val="single" w:color="auto" w:sz="4" w:space="0"/>
              <w:bottom w:val="single" w:color="auto" w:sz="4" w:space="0"/>
            </w:tcBorders>
            <w:vAlign w:val="center"/>
          </w:tcPr>
          <w:p w14:paraId="2F188D69">
            <w:pPr>
              <w:widowControl/>
              <w:jc w:val="center"/>
              <w:textAlignment w:val="center"/>
              <w:rPr>
                <w:rFonts w:ascii="Times New Roman" w:eastAsia="Arial"/>
                <w:sz w:val="21"/>
                <w:szCs w:val="21"/>
              </w:rPr>
            </w:pPr>
            <w:r>
              <w:rPr>
                <w:rFonts w:ascii="Times New Roman" w:eastAsia="Arial"/>
                <w:sz w:val="21"/>
                <w:szCs w:val="21"/>
              </w:rPr>
              <w:t>L13.5m×w3.6m×h4.2m</w:t>
            </w:r>
          </w:p>
        </w:tc>
        <w:tc>
          <w:tcPr>
            <w:tcW w:w="470" w:type="pct"/>
            <w:tcBorders>
              <w:top w:val="single" w:color="auto" w:sz="4" w:space="0"/>
              <w:bottom w:val="single" w:color="auto" w:sz="4" w:space="0"/>
            </w:tcBorders>
            <w:vAlign w:val="center"/>
          </w:tcPr>
          <w:p w14:paraId="18B33567">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3606F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465E4671">
            <w:pPr>
              <w:jc w:val="center"/>
              <w:rPr>
                <w:rFonts w:ascii="Times New Roman"/>
                <w:sz w:val="21"/>
                <w:szCs w:val="21"/>
              </w:rPr>
            </w:pPr>
          </w:p>
        </w:tc>
        <w:tc>
          <w:tcPr>
            <w:tcW w:w="413" w:type="pct"/>
            <w:vMerge w:val="continue"/>
            <w:vAlign w:val="center"/>
          </w:tcPr>
          <w:p w14:paraId="548B118F">
            <w:pPr>
              <w:jc w:val="center"/>
              <w:rPr>
                <w:rFonts w:ascii="Times New Roman"/>
                <w:spacing w:val="-6"/>
                <w:sz w:val="21"/>
                <w:szCs w:val="21"/>
              </w:rPr>
            </w:pPr>
          </w:p>
        </w:tc>
        <w:tc>
          <w:tcPr>
            <w:tcW w:w="616" w:type="pct"/>
            <w:vMerge w:val="continue"/>
            <w:vAlign w:val="center"/>
          </w:tcPr>
          <w:p w14:paraId="429B51FE">
            <w:pPr>
              <w:jc w:val="center"/>
              <w:rPr>
                <w:rFonts w:ascii="Times New Roman"/>
                <w:spacing w:val="-6"/>
                <w:sz w:val="21"/>
                <w:szCs w:val="21"/>
              </w:rPr>
            </w:pPr>
          </w:p>
        </w:tc>
        <w:tc>
          <w:tcPr>
            <w:tcW w:w="761" w:type="pct"/>
            <w:vMerge w:val="continue"/>
            <w:tcBorders>
              <w:right w:val="single" w:color="auto" w:sz="4" w:space="0"/>
            </w:tcBorders>
            <w:vAlign w:val="center"/>
          </w:tcPr>
          <w:p w14:paraId="7CBF1064">
            <w:pPr>
              <w:jc w:val="center"/>
              <w:rPr>
                <w:rFonts w:ascii="Times New Roman"/>
                <w:spacing w:val="-6"/>
                <w:sz w:val="21"/>
                <w:szCs w:val="21"/>
              </w:rPr>
            </w:pPr>
          </w:p>
        </w:tc>
        <w:tc>
          <w:tcPr>
            <w:tcW w:w="310" w:type="pct"/>
            <w:vMerge w:val="continue"/>
            <w:tcBorders>
              <w:right w:val="single" w:color="auto" w:sz="4" w:space="0"/>
            </w:tcBorders>
            <w:vAlign w:val="center"/>
          </w:tcPr>
          <w:p w14:paraId="490D43AE">
            <w:pPr>
              <w:widowControl/>
              <w:jc w:val="center"/>
              <w:textAlignment w:val="center"/>
              <w:rPr>
                <w:rFonts w:ascii="Times New Roman" w:eastAsia="Arial"/>
                <w:sz w:val="21"/>
                <w:szCs w:val="21"/>
              </w:rPr>
            </w:pPr>
          </w:p>
        </w:tc>
        <w:tc>
          <w:tcPr>
            <w:tcW w:w="654" w:type="pct"/>
            <w:tcBorders>
              <w:top w:val="single" w:color="auto" w:sz="4" w:space="0"/>
              <w:left w:val="single" w:color="auto" w:sz="4" w:space="0"/>
              <w:bottom w:val="single" w:color="auto" w:sz="4" w:space="0"/>
            </w:tcBorders>
            <w:vAlign w:val="center"/>
          </w:tcPr>
          <w:p w14:paraId="3B883D5C">
            <w:pPr>
              <w:widowControl/>
              <w:jc w:val="center"/>
              <w:textAlignment w:val="center"/>
              <w:rPr>
                <w:rFonts w:ascii="Times New Roman" w:eastAsia="Arial"/>
                <w:sz w:val="21"/>
                <w:szCs w:val="21"/>
              </w:rPr>
            </w:pPr>
            <w:r>
              <w:rPr>
                <w:rFonts w:ascii="Times New Roman" w:eastAsia="Arial"/>
                <w:sz w:val="21"/>
                <w:szCs w:val="21"/>
              </w:rPr>
              <w:t>电泳固化炉</w:t>
            </w:r>
          </w:p>
        </w:tc>
        <w:tc>
          <w:tcPr>
            <w:tcW w:w="1431" w:type="pct"/>
            <w:tcBorders>
              <w:top w:val="single" w:color="auto" w:sz="4" w:space="0"/>
              <w:bottom w:val="single" w:color="auto" w:sz="4" w:space="0"/>
            </w:tcBorders>
            <w:vAlign w:val="center"/>
          </w:tcPr>
          <w:p w14:paraId="6185E2AB">
            <w:pPr>
              <w:widowControl/>
              <w:jc w:val="center"/>
              <w:textAlignment w:val="center"/>
              <w:rPr>
                <w:rFonts w:ascii="Times New Roman" w:eastAsia="Arial"/>
                <w:sz w:val="21"/>
                <w:szCs w:val="21"/>
              </w:rPr>
            </w:pPr>
            <w:r>
              <w:rPr>
                <w:rFonts w:ascii="Times New Roman" w:eastAsia="Arial"/>
                <w:sz w:val="21"/>
                <w:szCs w:val="21"/>
              </w:rPr>
              <w:t>L45.2m×w3.9m×h8.4m</w:t>
            </w:r>
          </w:p>
        </w:tc>
        <w:tc>
          <w:tcPr>
            <w:tcW w:w="470" w:type="pct"/>
            <w:tcBorders>
              <w:top w:val="single" w:color="auto" w:sz="4" w:space="0"/>
              <w:bottom w:val="single" w:color="auto" w:sz="4" w:space="0"/>
            </w:tcBorders>
            <w:vAlign w:val="center"/>
          </w:tcPr>
          <w:p w14:paraId="425EC706">
            <w:pPr>
              <w:widowControl/>
              <w:jc w:val="center"/>
              <w:textAlignment w:val="center"/>
              <w:rPr>
                <w:rFonts w:ascii="Times New Roman" w:eastAsia="Arial"/>
                <w:sz w:val="21"/>
                <w:szCs w:val="21"/>
              </w:rPr>
            </w:pPr>
            <w:r>
              <w:rPr>
                <w:rFonts w:ascii="Times New Roman" w:eastAsia="Arial"/>
                <w:sz w:val="21"/>
                <w:szCs w:val="21"/>
              </w:rPr>
              <w:t>1</w:t>
            </w:r>
          </w:p>
        </w:tc>
      </w:tr>
      <w:tr w14:paraId="65C4B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2" w:type="pct"/>
            <w:vMerge w:val="continue"/>
            <w:shd w:val="clear" w:color="auto" w:fill="auto"/>
            <w:vAlign w:val="center"/>
          </w:tcPr>
          <w:p w14:paraId="6B3E8204">
            <w:pPr>
              <w:jc w:val="center"/>
              <w:rPr>
                <w:rFonts w:ascii="Times New Roman"/>
                <w:sz w:val="21"/>
                <w:szCs w:val="21"/>
              </w:rPr>
            </w:pPr>
          </w:p>
        </w:tc>
        <w:tc>
          <w:tcPr>
            <w:tcW w:w="413" w:type="pct"/>
            <w:vMerge w:val="continue"/>
            <w:vAlign w:val="center"/>
          </w:tcPr>
          <w:p w14:paraId="673C08A4">
            <w:pPr>
              <w:jc w:val="center"/>
              <w:rPr>
                <w:rFonts w:ascii="Times New Roman"/>
                <w:spacing w:val="-6"/>
                <w:sz w:val="21"/>
                <w:szCs w:val="21"/>
              </w:rPr>
            </w:pPr>
          </w:p>
        </w:tc>
        <w:tc>
          <w:tcPr>
            <w:tcW w:w="616" w:type="pct"/>
            <w:vMerge w:val="continue"/>
            <w:vAlign w:val="center"/>
          </w:tcPr>
          <w:p w14:paraId="4C86A666">
            <w:pPr>
              <w:jc w:val="center"/>
              <w:rPr>
                <w:rFonts w:ascii="Times New Roman"/>
                <w:spacing w:val="-6"/>
                <w:sz w:val="21"/>
                <w:szCs w:val="21"/>
              </w:rPr>
            </w:pPr>
          </w:p>
        </w:tc>
        <w:tc>
          <w:tcPr>
            <w:tcW w:w="761" w:type="pct"/>
            <w:vMerge w:val="continue"/>
            <w:tcBorders>
              <w:bottom w:val="single" w:color="auto" w:sz="4" w:space="0"/>
              <w:right w:val="single" w:color="auto" w:sz="4" w:space="0"/>
            </w:tcBorders>
            <w:vAlign w:val="center"/>
          </w:tcPr>
          <w:p w14:paraId="676D623C">
            <w:pPr>
              <w:jc w:val="center"/>
              <w:rPr>
                <w:rFonts w:ascii="Times New Roman"/>
                <w:spacing w:val="-6"/>
                <w:sz w:val="21"/>
                <w:szCs w:val="21"/>
              </w:rPr>
            </w:pPr>
          </w:p>
        </w:tc>
        <w:tc>
          <w:tcPr>
            <w:tcW w:w="310" w:type="pct"/>
            <w:vMerge w:val="continue"/>
            <w:tcBorders>
              <w:bottom w:val="single" w:color="auto" w:sz="4" w:space="0"/>
              <w:right w:val="single" w:color="auto" w:sz="4" w:space="0"/>
            </w:tcBorders>
            <w:vAlign w:val="center"/>
          </w:tcPr>
          <w:p w14:paraId="229DD096">
            <w:pPr>
              <w:widowControl/>
              <w:jc w:val="center"/>
              <w:textAlignment w:val="center"/>
              <w:rPr>
                <w:rFonts w:ascii="Times New Roman" w:eastAsia="Arial"/>
                <w:sz w:val="21"/>
                <w:szCs w:val="21"/>
              </w:rPr>
            </w:pPr>
          </w:p>
        </w:tc>
        <w:tc>
          <w:tcPr>
            <w:tcW w:w="654" w:type="pct"/>
            <w:tcBorders>
              <w:top w:val="single" w:color="auto" w:sz="4" w:space="0"/>
              <w:left w:val="single" w:color="auto" w:sz="4" w:space="0"/>
            </w:tcBorders>
            <w:vAlign w:val="center"/>
          </w:tcPr>
          <w:p w14:paraId="6C80DFF6">
            <w:pPr>
              <w:widowControl/>
              <w:jc w:val="center"/>
              <w:textAlignment w:val="center"/>
              <w:rPr>
                <w:rFonts w:ascii="Times New Roman" w:eastAsia="Arial"/>
                <w:sz w:val="21"/>
                <w:szCs w:val="21"/>
              </w:rPr>
            </w:pPr>
            <w:r>
              <w:rPr>
                <w:rFonts w:ascii="Times New Roman" w:eastAsia="Arial"/>
                <w:sz w:val="21"/>
                <w:szCs w:val="21"/>
              </w:rPr>
              <w:t>电泳强冷室</w:t>
            </w:r>
          </w:p>
        </w:tc>
        <w:tc>
          <w:tcPr>
            <w:tcW w:w="1431" w:type="pct"/>
            <w:tcBorders>
              <w:top w:val="single" w:color="auto" w:sz="4" w:space="0"/>
            </w:tcBorders>
            <w:vAlign w:val="center"/>
          </w:tcPr>
          <w:p w14:paraId="0AB1E16D">
            <w:pPr>
              <w:widowControl/>
              <w:jc w:val="center"/>
              <w:textAlignment w:val="center"/>
              <w:rPr>
                <w:rFonts w:ascii="Times New Roman" w:eastAsia="Arial"/>
                <w:sz w:val="21"/>
                <w:szCs w:val="21"/>
              </w:rPr>
            </w:pPr>
            <w:r>
              <w:rPr>
                <w:rFonts w:ascii="Times New Roman" w:eastAsia="Arial"/>
                <w:sz w:val="21"/>
                <w:szCs w:val="21"/>
              </w:rPr>
              <w:t>L14m×W4.2m×H8.4m</w:t>
            </w:r>
          </w:p>
        </w:tc>
        <w:tc>
          <w:tcPr>
            <w:tcW w:w="470" w:type="pct"/>
            <w:tcBorders>
              <w:top w:val="single" w:color="auto" w:sz="4" w:space="0"/>
              <w:bottom w:val="single" w:color="auto" w:sz="4" w:space="0"/>
            </w:tcBorders>
            <w:vAlign w:val="center"/>
          </w:tcPr>
          <w:p w14:paraId="5E4ABC66">
            <w:pPr>
              <w:widowControl/>
              <w:jc w:val="center"/>
              <w:textAlignment w:val="center"/>
              <w:rPr>
                <w:rFonts w:ascii="Times New Roman" w:eastAsia="Arial"/>
                <w:sz w:val="21"/>
                <w:szCs w:val="21"/>
              </w:rPr>
            </w:pPr>
            <w:r>
              <w:rPr>
                <w:rFonts w:ascii="Times New Roman" w:eastAsia="Arial"/>
                <w:sz w:val="21"/>
                <w:szCs w:val="21"/>
              </w:rPr>
              <w:t>1</w:t>
            </w:r>
          </w:p>
        </w:tc>
      </w:tr>
      <w:tr w14:paraId="12F7A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E6BD08F">
            <w:pPr>
              <w:jc w:val="center"/>
              <w:rPr>
                <w:rFonts w:ascii="Times New Roman"/>
                <w:sz w:val="21"/>
                <w:szCs w:val="21"/>
              </w:rPr>
            </w:pPr>
            <w:r>
              <w:rPr>
                <w:rFonts w:ascii="Times New Roman"/>
                <w:sz w:val="21"/>
                <w:szCs w:val="21"/>
              </w:rPr>
              <w:t>146</w:t>
            </w:r>
          </w:p>
        </w:tc>
        <w:tc>
          <w:tcPr>
            <w:tcW w:w="413" w:type="pct"/>
            <w:vMerge w:val="continue"/>
            <w:vAlign w:val="center"/>
          </w:tcPr>
          <w:p w14:paraId="76E09F53">
            <w:pPr>
              <w:jc w:val="center"/>
              <w:rPr>
                <w:rFonts w:ascii="Times New Roman"/>
                <w:sz w:val="21"/>
                <w:szCs w:val="21"/>
              </w:rPr>
            </w:pPr>
          </w:p>
        </w:tc>
        <w:tc>
          <w:tcPr>
            <w:tcW w:w="616" w:type="pct"/>
            <w:vMerge w:val="continue"/>
            <w:vAlign w:val="center"/>
          </w:tcPr>
          <w:p w14:paraId="200AB05F">
            <w:pPr>
              <w:jc w:val="center"/>
              <w:rPr>
                <w:rFonts w:ascii="Times New Roman"/>
                <w:sz w:val="21"/>
                <w:szCs w:val="21"/>
              </w:rPr>
            </w:pPr>
          </w:p>
        </w:tc>
        <w:tc>
          <w:tcPr>
            <w:tcW w:w="761" w:type="pct"/>
            <w:vMerge w:val="restart"/>
            <w:tcBorders>
              <w:right w:val="single" w:color="auto" w:sz="4" w:space="0"/>
            </w:tcBorders>
            <w:vAlign w:val="center"/>
          </w:tcPr>
          <w:p w14:paraId="5204EF6A">
            <w:pPr>
              <w:jc w:val="center"/>
              <w:rPr>
                <w:rFonts w:ascii="Times New Roman"/>
                <w:sz w:val="21"/>
                <w:szCs w:val="21"/>
              </w:rPr>
            </w:pPr>
            <w:r>
              <w:rPr>
                <w:rFonts w:ascii="Times New Roman"/>
                <w:sz w:val="21"/>
                <w:szCs w:val="21"/>
              </w:rPr>
              <w:t>喷漆生产线</w:t>
            </w:r>
          </w:p>
        </w:tc>
        <w:tc>
          <w:tcPr>
            <w:tcW w:w="965" w:type="pct"/>
            <w:gridSpan w:val="2"/>
            <w:shd w:val="clear" w:color="auto" w:fill="auto"/>
            <w:vAlign w:val="center"/>
          </w:tcPr>
          <w:p w14:paraId="1B5A1133">
            <w:pPr>
              <w:widowControl/>
              <w:jc w:val="center"/>
              <w:textAlignment w:val="center"/>
              <w:rPr>
                <w:rFonts w:ascii="Times New Roman" w:eastAsia="Arial"/>
                <w:sz w:val="21"/>
                <w:szCs w:val="21"/>
              </w:rPr>
            </w:pPr>
            <w:r>
              <w:rPr>
                <w:rFonts w:ascii="Times New Roman" w:eastAsia="Arial"/>
                <w:sz w:val="21"/>
                <w:szCs w:val="21"/>
              </w:rPr>
              <w:t>人工面漆房</w:t>
            </w:r>
          </w:p>
        </w:tc>
        <w:tc>
          <w:tcPr>
            <w:tcW w:w="1431" w:type="pct"/>
            <w:shd w:val="clear" w:color="auto" w:fill="auto"/>
            <w:vAlign w:val="center"/>
          </w:tcPr>
          <w:p w14:paraId="1C25F96D">
            <w:pPr>
              <w:widowControl/>
              <w:jc w:val="center"/>
              <w:textAlignment w:val="center"/>
              <w:rPr>
                <w:rFonts w:ascii="Times New Roman" w:eastAsia="Arial"/>
                <w:sz w:val="21"/>
                <w:szCs w:val="21"/>
              </w:rPr>
            </w:pPr>
            <w:r>
              <w:rPr>
                <w:rFonts w:ascii="Times New Roman" w:eastAsia="Arial"/>
                <w:sz w:val="21"/>
                <w:szCs w:val="21"/>
              </w:rPr>
              <w:t>L15m×W5.2m×H9.7m</w:t>
            </w:r>
          </w:p>
        </w:tc>
        <w:tc>
          <w:tcPr>
            <w:tcW w:w="470" w:type="pct"/>
            <w:shd w:val="clear" w:color="auto" w:fill="auto"/>
            <w:vAlign w:val="center"/>
          </w:tcPr>
          <w:p w14:paraId="610EE34B">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090BF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739979A">
            <w:pPr>
              <w:jc w:val="center"/>
              <w:rPr>
                <w:rFonts w:ascii="Times New Roman"/>
                <w:sz w:val="21"/>
                <w:szCs w:val="21"/>
              </w:rPr>
            </w:pPr>
            <w:r>
              <w:rPr>
                <w:rFonts w:ascii="Times New Roman"/>
                <w:sz w:val="21"/>
                <w:szCs w:val="21"/>
              </w:rPr>
              <w:t>147</w:t>
            </w:r>
          </w:p>
        </w:tc>
        <w:tc>
          <w:tcPr>
            <w:tcW w:w="413" w:type="pct"/>
            <w:vMerge w:val="continue"/>
            <w:vAlign w:val="center"/>
          </w:tcPr>
          <w:p w14:paraId="182FA119">
            <w:pPr>
              <w:jc w:val="center"/>
              <w:rPr>
                <w:rFonts w:ascii="Times New Roman"/>
                <w:sz w:val="21"/>
                <w:szCs w:val="21"/>
              </w:rPr>
            </w:pPr>
          </w:p>
        </w:tc>
        <w:tc>
          <w:tcPr>
            <w:tcW w:w="616" w:type="pct"/>
            <w:vMerge w:val="continue"/>
            <w:vAlign w:val="center"/>
          </w:tcPr>
          <w:p w14:paraId="6681F2AD">
            <w:pPr>
              <w:jc w:val="center"/>
              <w:rPr>
                <w:rFonts w:ascii="Times New Roman"/>
                <w:sz w:val="21"/>
                <w:szCs w:val="21"/>
              </w:rPr>
            </w:pPr>
          </w:p>
        </w:tc>
        <w:tc>
          <w:tcPr>
            <w:tcW w:w="761" w:type="pct"/>
            <w:vMerge w:val="continue"/>
            <w:tcBorders>
              <w:right w:val="single" w:color="auto" w:sz="4" w:space="0"/>
            </w:tcBorders>
            <w:vAlign w:val="center"/>
          </w:tcPr>
          <w:p w14:paraId="7F388377">
            <w:pPr>
              <w:jc w:val="center"/>
              <w:rPr>
                <w:rFonts w:ascii="Times New Roman"/>
                <w:sz w:val="21"/>
                <w:szCs w:val="21"/>
              </w:rPr>
            </w:pPr>
          </w:p>
        </w:tc>
        <w:tc>
          <w:tcPr>
            <w:tcW w:w="965" w:type="pct"/>
            <w:gridSpan w:val="2"/>
            <w:shd w:val="clear" w:color="auto" w:fill="auto"/>
            <w:vAlign w:val="center"/>
          </w:tcPr>
          <w:p w14:paraId="05F8FDCC">
            <w:pPr>
              <w:widowControl/>
              <w:jc w:val="center"/>
              <w:textAlignment w:val="center"/>
              <w:rPr>
                <w:rFonts w:ascii="Times New Roman" w:eastAsia="Arial"/>
                <w:sz w:val="21"/>
                <w:szCs w:val="21"/>
              </w:rPr>
            </w:pPr>
            <w:r>
              <w:rPr>
                <w:rFonts w:ascii="Times New Roman" w:eastAsia="Arial"/>
                <w:sz w:val="21"/>
                <w:szCs w:val="21"/>
              </w:rPr>
              <w:t>面漆流平室</w:t>
            </w:r>
          </w:p>
        </w:tc>
        <w:tc>
          <w:tcPr>
            <w:tcW w:w="1431" w:type="pct"/>
            <w:shd w:val="clear" w:color="auto" w:fill="auto"/>
            <w:vAlign w:val="center"/>
          </w:tcPr>
          <w:p w14:paraId="05F33FFE">
            <w:pPr>
              <w:widowControl/>
              <w:jc w:val="center"/>
              <w:textAlignment w:val="center"/>
              <w:rPr>
                <w:rFonts w:ascii="Times New Roman" w:eastAsia="Arial"/>
                <w:sz w:val="21"/>
                <w:szCs w:val="21"/>
              </w:rPr>
            </w:pPr>
            <w:r>
              <w:rPr>
                <w:rFonts w:ascii="Times New Roman" w:eastAsia="Arial"/>
                <w:sz w:val="21"/>
                <w:szCs w:val="21"/>
              </w:rPr>
              <w:t>L18m×W11.5m×H5.6m</w:t>
            </w:r>
          </w:p>
        </w:tc>
        <w:tc>
          <w:tcPr>
            <w:tcW w:w="470" w:type="pct"/>
            <w:shd w:val="clear" w:color="auto" w:fill="auto"/>
            <w:vAlign w:val="center"/>
          </w:tcPr>
          <w:p w14:paraId="56E57E7F">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3675D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2" w:type="pct"/>
            <w:shd w:val="clear" w:color="auto" w:fill="auto"/>
            <w:vAlign w:val="center"/>
          </w:tcPr>
          <w:p w14:paraId="349C5783">
            <w:pPr>
              <w:jc w:val="center"/>
              <w:rPr>
                <w:rFonts w:ascii="Times New Roman"/>
                <w:sz w:val="21"/>
                <w:szCs w:val="21"/>
              </w:rPr>
            </w:pPr>
            <w:r>
              <w:rPr>
                <w:rFonts w:ascii="Times New Roman"/>
                <w:sz w:val="21"/>
                <w:szCs w:val="21"/>
              </w:rPr>
              <w:t>148</w:t>
            </w:r>
          </w:p>
        </w:tc>
        <w:tc>
          <w:tcPr>
            <w:tcW w:w="413" w:type="pct"/>
            <w:vMerge w:val="continue"/>
            <w:vAlign w:val="center"/>
          </w:tcPr>
          <w:p w14:paraId="4E61C749">
            <w:pPr>
              <w:jc w:val="center"/>
              <w:rPr>
                <w:rFonts w:ascii="Times New Roman"/>
                <w:sz w:val="21"/>
                <w:szCs w:val="21"/>
              </w:rPr>
            </w:pPr>
          </w:p>
        </w:tc>
        <w:tc>
          <w:tcPr>
            <w:tcW w:w="616" w:type="pct"/>
            <w:vMerge w:val="continue"/>
            <w:vAlign w:val="center"/>
          </w:tcPr>
          <w:p w14:paraId="7732EAF2">
            <w:pPr>
              <w:jc w:val="center"/>
              <w:rPr>
                <w:rFonts w:ascii="Times New Roman"/>
                <w:sz w:val="21"/>
                <w:szCs w:val="21"/>
              </w:rPr>
            </w:pPr>
          </w:p>
        </w:tc>
        <w:tc>
          <w:tcPr>
            <w:tcW w:w="761" w:type="pct"/>
            <w:vMerge w:val="continue"/>
            <w:tcBorders>
              <w:right w:val="single" w:color="auto" w:sz="4" w:space="0"/>
            </w:tcBorders>
            <w:vAlign w:val="center"/>
          </w:tcPr>
          <w:p w14:paraId="687C788E">
            <w:pPr>
              <w:jc w:val="center"/>
              <w:rPr>
                <w:rFonts w:ascii="Times New Roman"/>
                <w:sz w:val="21"/>
                <w:szCs w:val="21"/>
              </w:rPr>
            </w:pPr>
          </w:p>
        </w:tc>
        <w:tc>
          <w:tcPr>
            <w:tcW w:w="965" w:type="pct"/>
            <w:gridSpan w:val="2"/>
            <w:shd w:val="clear" w:color="auto" w:fill="auto"/>
            <w:vAlign w:val="center"/>
          </w:tcPr>
          <w:p w14:paraId="18C4DF9A">
            <w:pPr>
              <w:widowControl/>
              <w:jc w:val="center"/>
              <w:textAlignment w:val="center"/>
              <w:rPr>
                <w:rFonts w:ascii="Times New Roman" w:eastAsia="Arial"/>
                <w:sz w:val="21"/>
                <w:szCs w:val="21"/>
              </w:rPr>
            </w:pPr>
            <w:r>
              <w:rPr>
                <w:rFonts w:ascii="Times New Roman" w:eastAsia="Arial"/>
                <w:sz w:val="21"/>
                <w:szCs w:val="21"/>
              </w:rPr>
              <w:t>面漆烘干房</w:t>
            </w:r>
          </w:p>
        </w:tc>
        <w:tc>
          <w:tcPr>
            <w:tcW w:w="1431" w:type="pct"/>
            <w:shd w:val="clear" w:color="auto" w:fill="auto"/>
            <w:vAlign w:val="center"/>
          </w:tcPr>
          <w:p w14:paraId="68C9664A">
            <w:pPr>
              <w:widowControl/>
              <w:jc w:val="center"/>
              <w:textAlignment w:val="center"/>
              <w:rPr>
                <w:rFonts w:ascii="Times New Roman" w:eastAsia="Arial"/>
                <w:sz w:val="21"/>
                <w:szCs w:val="21"/>
              </w:rPr>
            </w:pPr>
            <w:r>
              <w:rPr>
                <w:rFonts w:ascii="Times New Roman" w:eastAsia="Arial"/>
                <w:sz w:val="21"/>
                <w:szCs w:val="21"/>
              </w:rPr>
              <w:t>L39.7m×W4.2m×H5.6m</w:t>
            </w:r>
          </w:p>
        </w:tc>
        <w:tc>
          <w:tcPr>
            <w:tcW w:w="470" w:type="pct"/>
            <w:shd w:val="clear" w:color="auto" w:fill="auto"/>
            <w:vAlign w:val="center"/>
          </w:tcPr>
          <w:p w14:paraId="4552078E">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5F615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0E163F2">
            <w:pPr>
              <w:jc w:val="center"/>
              <w:rPr>
                <w:rFonts w:ascii="Times New Roman"/>
                <w:sz w:val="21"/>
                <w:szCs w:val="21"/>
              </w:rPr>
            </w:pPr>
            <w:r>
              <w:rPr>
                <w:rFonts w:ascii="Times New Roman"/>
                <w:sz w:val="21"/>
                <w:szCs w:val="21"/>
              </w:rPr>
              <w:t>149</w:t>
            </w:r>
          </w:p>
        </w:tc>
        <w:tc>
          <w:tcPr>
            <w:tcW w:w="413" w:type="pct"/>
            <w:vMerge w:val="continue"/>
            <w:vAlign w:val="center"/>
          </w:tcPr>
          <w:p w14:paraId="47631DFB">
            <w:pPr>
              <w:jc w:val="center"/>
              <w:rPr>
                <w:rFonts w:ascii="Times New Roman"/>
                <w:sz w:val="21"/>
                <w:szCs w:val="21"/>
              </w:rPr>
            </w:pPr>
          </w:p>
        </w:tc>
        <w:tc>
          <w:tcPr>
            <w:tcW w:w="616" w:type="pct"/>
            <w:vMerge w:val="continue"/>
            <w:vAlign w:val="center"/>
          </w:tcPr>
          <w:p w14:paraId="1FB79522">
            <w:pPr>
              <w:jc w:val="center"/>
              <w:rPr>
                <w:rFonts w:ascii="Times New Roman"/>
                <w:sz w:val="21"/>
                <w:szCs w:val="21"/>
              </w:rPr>
            </w:pPr>
          </w:p>
        </w:tc>
        <w:tc>
          <w:tcPr>
            <w:tcW w:w="761" w:type="pct"/>
            <w:vMerge w:val="continue"/>
            <w:tcBorders>
              <w:right w:val="single" w:color="auto" w:sz="4" w:space="0"/>
            </w:tcBorders>
            <w:vAlign w:val="center"/>
          </w:tcPr>
          <w:p w14:paraId="38446248">
            <w:pPr>
              <w:jc w:val="center"/>
              <w:rPr>
                <w:rFonts w:ascii="Times New Roman"/>
                <w:sz w:val="21"/>
                <w:szCs w:val="21"/>
              </w:rPr>
            </w:pPr>
          </w:p>
        </w:tc>
        <w:tc>
          <w:tcPr>
            <w:tcW w:w="965" w:type="pct"/>
            <w:gridSpan w:val="2"/>
            <w:shd w:val="clear" w:color="auto" w:fill="auto"/>
            <w:vAlign w:val="center"/>
          </w:tcPr>
          <w:p w14:paraId="37D5519C">
            <w:pPr>
              <w:widowControl/>
              <w:jc w:val="center"/>
              <w:textAlignment w:val="center"/>
              <w:rPr>
                <w:rFonts w:ascii="Times New Roman" w:eastAsia="Arial"/>
                <w:sz w:val="21"/>
                <w:szCs w:val="21"/>
              </w:rPr>
            </w:pPr>
            <w:r>
              <w:rPr>
                <w:rFonts w:ascii="Times New Roman" w:eastAsia="Arial"/>
                <w:sz w:val="21"/>
                <w:szCs w:val="21"/>
              </w:rPr>
              <w:t>面漆强冷室</w:t>
            </w:r>
          </w:p>
        </w:tc>
        <w:tc>
          <w:tcPr>
            <w:tcW w:w="1431" w:type="pct"/>
            <w:shd w:val="clear" w:color="auto" w:fill="auto"/>
            <w:vAlign w:val="center"/>
          </w:tcPr>
          <w:p w14:paraId="773826BB">
            <w:pPr>
              <w:widowControl/>
              <w:jc w:val="center"/>
              <w:textAlignment w:val="center"/>
              <w:rPr>
                <w:rFonts w:ascii="Times New Roman" w:eastAsia="Arial"/>
                <w:sz w:val="21"/>
                <w:szCs w:val="21"/>
              </w:rPr>
            </w:pPr>
            <w:r>
              <w:rPr>
                <w:rFonts w:ascii="Times New Roman" w:eastAsia="Arial"/>
                <w:sz w:val="21"/>
                <w:szCs w:val="21"/>
              </w:rPr>
              <w:t>L14m×W4.2m×H5.6m</w:t>
            </w:r>
          </w:p>
        </w:tc>
        <w:tc>
          <w:tcPr>
            <w:tcW w:w="470" w:type="pct"/>
            <w:shd w:val="clear" w:color="auto" w:fill="auto"/>
            <w:vAlign w:val="center"/>
          </w:tcPr>
          <w:p w14:paraId="19EF0129">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7A13B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D4332AB">
            <w:pPr>
              <w:jc w:val="center"/>
              <w:rPr>
                <w:rFonts w:ascii="Times New Roman"/>
                <w:sz w:val="21"/>
                <w:szCs w:val="21"/>
              </w:rPr>
            </w:pPr>
            <w:r>
              <w:rPr>
                <w:rFonts w:ascii="Times New Roman"/>
                <w:sz w:val="21"/>
                <w:szCs w:val="21"/>
              </w:rPr>
              <w:t>150</w:t>
            </w:r>
          </w:p>
        </w:tc>
        <w:tc>
          <w:tcPr>
            <w:tcW w:w="413" w:type="pct"/>
            <w:vMerge w:val="continue"/>
            <w:vAlign w:val="center"/>
          </w:tcPr>
          <w:p w14:paraId="072D4E52">
            <w:pPr>
              <w:jc w:val="center"/>
              <w:rPr>
                <w:rFonts w:ascii="Times New Roman"/>
                <w:sz w:val="21"/>
                <w:szCs w:val="21"/>
              </w:rPr>
            </w:pPr>
          </w:p>
        </w:tc>
        <w:tc>
          <w:tcPr>
            <w:tcW w:w="616" w:type="pct"/>
            <w:vMerge w:val="continue"/>
            <w:vAlign w:val="center"/>
          </w:tcPr>
          <w:p w14:paraId="65ECA086">
            <w:pPr>
              <w:jc w:val="center"/>
              <w:rPr>
                <w:rFonts w:ascii="Times New Roman"/>
                <w:sz w:val="21"/>
                <w:szCs w:val="21"/>
              </w:rPr>
            </w:pPr>
          </w:p>
        </w:tc>
        <w:tc>
          <w:tcPr>
            <w:tcW w:w="761" w:type="pct"/>
            <w:vMerge w:val="continue"/>
            <w:tcBorders>
              <w:right w:val="single" w:color="auto" w:sz="4" w:space="0"/>
            </w:tcBorders>
            <w:vAlign w:val="center"/>
          </w:tcPr>
          <w:p w14:paraId="3B942B4B">
            <w:pPr>
              <w:jc w:val="center"/>
              <w:rPr>
                <w:rFonts w:ascii="Times New Roman"/>
                <w:sz w:val="21"/>
                <w:szCs w:val="21"/>
              </w:rPr>
            </w:pPr>
          </w:p>
        </w:tc>
        <w:tc>
          <w:tcPr>
            <w:tcW w:w="965" w:type="pct"/>
            <w:gridSpan w:val="2"/>
            <w:shd w:val="clear" w:color="auto" w:fill="auto"/>
            <w:vAlign w:val="center"/>
          </w:tcPr>
          <w:p w14:paraId="1D2FD62A">
            <w:pPr>
              <w:widowControl/>
              <w:jc w:val="center"/>
              <w:textAlignment w:val="center"/>
              <w:rPr>
                <w:rFonts w:ascii="Times New Roman" w:eastAsia="Arial"/>
                <w:sz w:val="21"/>
                <w:szCs w:val="21"/>
              </w:rPr>
            </w:pPr>
            <w:r>
              <w:rPr>
                <w:rFonts w:ascii="Times New Roman" w:eastAsia="Arial"/>
                <w:sz w:val="21"/>
                <w:szCs w:val="21"/>
              </w:rPr>
              <w:t>手工喷漆房</w:t>
            </w:r>
          </w:p>
        </w:tc>
        <w:tc>
          <w:tcPr>
            <w:tcW w:w="1431" w:type="pct"/>
            <w:shd w:val="clear" w:color="auto" w:fill="auto"/>
            <w:vAlign w:val="center"/>
          </w:tcPr>
          <w:p w14:paraId="3903614A">
            <w:pPr>
              <w:widowControl/>
              <w:jc w:val="center"/>
              <w:textAlignment w:val="center"/>
              <w:rPr>
                <w:rFonts w:ascii="Times New Roman" w:eastAsia="Arial"/>
                <w:sz w:val="21"/>
                <w:szCs w:val="21"/>
              </w:rPr>
            </w:pPr>
            <w:r>
              <w:rPr>
                <w:rFonts w:ascii="Times New Roman" w:eastAsia="Arial"/>
                <w:sz w:val="21"/>
                <w:szCs w:val="21"/>
              </w:rPr>
              <w:t>L15m×W6.8m×H9.6m</w:t>
            </w:r>
          </w:p>
        </w:tc>
        <w:tc>
          <w:tcPr>
            <w:tcW w:w="470" w:type="pct"/>
            <w:shd w:val="clear" w:color="auto" w:fill="auto"/>
            <w:vAlign w:val="center"/>
          </w:tcPr>
          <w:p w14:paraId="0B1079C0">
            <w:pPr>
              <w:widowControl/>
              <w:jc w:val="center"/>
              <w:textAlignment w:val="center"/>
              <w:rPr>
                <w:rFonts w:ascii="Times New Roman" w:eastAsia="Arial"/>
                <w:spacing w:val="-2"/>
                <w:sz w:val="21"/>
                <w:szCs w:val="21"/>
              </w:rPr>
            </w:pPr>
            <w:r>
              <w:rPr>
                <w:rFonts w:ascii="Times New Roman" w:eastAsia="Arial"/>
                <w:sz w:val="21"/>
                <w:szCs w:val="21"/>
              </w:rPr>
              <w:t>1</w:t>
            </w:r>
          </w:p>
        </w:tc>
      </w:tr>
      <w:tr w14:paraId="1D8A2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31A23ACE">
            <w:pPr>
              <w:jc w:val="center"/>
              <w:rPr>
                <w:rFonts w:ascii="Times New Roman"/>
                <w:sz w:val="21"/>
                <w:szCs w:val="21"/>
              </w:rPr>
            </w:pPr>
            <w:r>
              <w:rPr>
                <w:rFonts w:ascii="Times New Roman"/>
                <w:sz w:val="21"/>
                <w:szCs w:val="21"/>
              </w:rPr>
              <w:t>151</w:t>
            </w:r>
          </w:p>
        </w:tc>
        <w:tc>
          <w:tcPr>
            <w:tcW w:w="413" w:type="pct"/>
            <w:vMerge w:val="continue"/>
            <w:vAlign w:val="center"/>
          </w:tcPr>
          <w:p w14:paraId="6BFB66DD">
            <w:pPr>
              <w:jc w:val="center"/>
              <w:rPr>
                <w:rFonts w:ascii="Times New Roman"/>
                <w:sz w:val="21"/>
                <w:szCs w:val="21"/>
              </w:rPr>
            </w:pPr>
          </w:p>
        </w:tc>
        <w:tc>
          <w:tcPr>
            <w:tcW w:w="616" w:type="pct"/>
            <w:vMerge w:val="continue"/>
            <w:vAlign w:val="center"/>
          </w:tcPr>
          <w:p w14:paraId="7B46B72D">
            <w:pPr>
              <w:jc w:val="center"/>
              <w:rPr>
                <w:rFonts w:ascii="Times New Roman"/>
                <w:sz w:val="21"/>
                <w:szCs w:val="21"/>
              </w:rPr>
            </w:pPr>
          </w:p>
        </w:tc>
        <w:tc>
          <w:tcPr>
            <w:tcW w:w="761" w:type="pct"/>
            <w:vMerge w:val="continue"/>
            <w:tcBorders>
              <w:right w:val="single" w:color="auto" w:sz="4" w:space="0"/>
            </w:tcBorders>
            <w:vAlign w:val="center"/>
          </w:tcPr>
          <w:p w14:paraId="3A4488A5">
            <w:pPr>
              <w:jc w:val="center"/>
              <w:rPr>
                <w:rFonts w:ascii="Times New Roman"/>
                <w:sz w:val="21"/>
                <w:szCs w:val="21"/>
              </w:rPr>
            </w:pPr>
          </w:p>
        </w:tc>
        <w:tc>
          <w:tcPr>
            <w:tcW w:w="965" w:type="pct"/>
            <w:gridSpan w:val="2"/>
            <w:shd w:val="clear" w:color="auto" w:fill="auto"/>
            <w:vAlign w:val="center"/>
          </w:tcPr>
          <w:p w14:paraId="6CBE0D98">
            <w:pPr>
              <w:widowControl/>
              <w:jc w:val="center"/>
              <w:textAlignment w:val="center"/>
              <w:rPr>
                <w:rFonts w:ascii="Times New Roman" w:eastAsia="Arial"/>
                <w:sz w:val="21"/>
                <w:szCs w:val="21"/>
              </w:rPr>
            </w:pPr>
            <w:r>
              <w:rPr>
                <w:rFonts w:ascii="Times New Roman" w:eastAsia="Arial"/>
                <w:sz w:val="21"/>
                <w:szCs w:val="21"/>
              </w:rPr>
              <w:t>油漆烘干炉</w:t>
            </w:r>
          </w:p>
          <w:p w14:paraId="05FE4B54">
            <w:pPr>
              <w:widowControl/>
              <w:jc w:val="center"/>
              <w:textAlignment w:val="center"/>
              <w:rPr>
                <w:rFonts w:ascii="Times New Roman" w:eastAsia="Arial"/>
                <w:sz w:val="21"/>
                <w:szCs w:val="21"/>
              </w:rPr>
            </w:pPr>
            <w:r>
              <w:rPr>
                <w:rFonts w:ascii="Times New Roman" w:eastAsia="Arial"/>
                <w:sz w:val="21"/>
                <w:szCs w:val="21"/>
              </w:rPr>
              <w:t>（天然气加热）</w:t>
            </w:r>
          </w:p>
        </w:tc>
        <w:tc>
          <w:tcPr>
            <w:tcW w:w="1431" w:type="pct"/>
            <w:shd w:val="clear" w:color="auto" w:fill="auto"/>
            <w:vAlign w:val="center"/>
          </w:tcPr>
          <w:p w14:paraId="5D8BA952">
            <w:pPr>
              <w:widowControl/>
              <w:jc w:val="center"/>
              <w:textAlignment w:val="center"/>
              <w:rPr>
                <w:rFonts w:ascii="Times New Roman" w:eastAsia="Arial"/>
                <w:sz w:val="21"/>
                <w:szCs w:val="21"/>
              </w:rPr>
            </w:pPr>
            <w:r>
              <w:rPr>
                <w:rFonts w:ascii="Times New Roman" w:eastAsia="Arial"/>
                <w:sz w:val="21"/>
                <w:szCs w:val="21"/>
              </w:rPr>
              <w:t>L14m×W5m×H6.5m</w:t>
            </w:r>
          </w:p>
        </w:tc>
        <w:tc>
          <w:tcPr>
            <w:tcW w:w="470" w:type="pct"/>
            <w:shd w:val="clear" w:color="auto" w:fill="auto"/>
            <w:vAlign w:val="center"/>
          </w:tcPr>
          <w:p w14:paraId="5575203B">
            <w:pPr>
              <w:widowControl/>
              <w:jc w:val="center"/>
              <w:textAlignment w:val="center"/>
              <w:rPr>
                <w:rFonts w:ascii="Times New Roman" w:eastAsia="Arial"/>
                <w:spacing w:val="-2"/>
                <w:sz w:val="21"/>
                <w:szCs w:val="21"/>
              </w:rPr>
            </w:pPr>
            <w:r>
              <w:rPr>
                <w:rFonts w:ascii="Times New Roman" w:eastAsia="Arial"/>
                <w:sz w:val="21"/>
                <w:szCs w:val="21"/>
              </w:rPr>
              <w:t>1</w:t>
            </w:r>
          </w:p>
        </w:tc>
      </w:tr>
      <w:tr w14:paraId="15098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433C98F">
            <w:pPr>
              <w:jc w:val="center"/>
              <w:rPr>
                <w:rFonts w:ascii="Times New Roman"/>
                <w:sz w:val="21"/>
                <w:szCs w:val="21"/>
              </w:rPr>
            </w:pPr>
            <w:r>
              <w:rPr>
                <w:rFonts w:ascii="Times New Roman"/>
                <w:sz w:val="21"/>
                <w:szCs w:val="21"/>
              </w:rPr>
              <w:t>152</w:t>
            </w:r>
          </w:p>
        </w:tc>
        <w:tc>
          <w:tcPr>
            <w:tcW w:w="413" w:type="pct"/>
            <w:vMerge w:val="continue"/>
            <w:vAlign w:val="center"/>
          </w:tcPr>
          <w:p w14:paraId="7619F1B1">
            <w:pPr>
              <w:jc w:val="center"/>
              <w:rPr>
                <w:rFonts w:ascii="Times New Roman"/>
                <w:sz w:val="21"/>
                <w:szCs w:val="21"/>
              </w:rPr>
            </w:pPr>
          </w:p>
        </w:tc>
        <w:tc>
          <w:tcPr>
            <w:tcW w:w="616" w:type="pct"/>
            <w:vMerge w:val="continue"/>
            <w:vAlign w:val="center"/>
          </w:tcPr>
          <w:p w14:paraId="44E6CBEB">
            <w:pPr>
              <w:jc w:val="center"/>
              <w:rPr>
                <w:rFonts w:ascii="Times New Roman"/>
                <w:sz w:val="21"/>
                <w:szCs w:val="21"/>
              </w:rPr>
            </w:pPr>
          </w:p>
        </w:tc>
        <w:tc>
          <w:tcPr>
            <w:tcW w:w="761" w:type="pct"/>
            <w:vMerge w:val="continue"/>
            <w:tcBorders>
              <w:right w:val="single" w:color="auto" w:sz="4" w:space="0"/>
            </w:tcBorders>
            <w:vAlign w:val="center"/>
          </w:tcPr>
          <w:p w14:paraId="6EA5ED60">
            <w:pPr>
              <w:jc w:val="center"/>
              <w:rPr>
                <w:rFonts w:ascii="Times New Roman"/>
                <w:sz w:val="21"/>
                <w:szCs w:val="21"/>
              </w:rPr>
            </w:pPr>
          </w:p>
        </w:tc>
        <w:tc>
          <w:tcPr>
            <w:tcW w:w="965" w:type="pct"/>
            <w:gridSpan w:val="2"/>
            <w:shd w:val="clear" w:color="auto" w:fill="auto"/>
            <w:vAlign w:val="center"/>
          </w:tcPr>
          <w:p w14:paraId="5E5F8293">
            <w:pPr>
              <w:widowControl/>
              <w:jc w:val="center"/>
              <w:textAlignment w:val="center"/>
              <w:rPr>
                <w:rFonts w:ascii="Times New Roman" w:eastAsia="Arial"/>
                <w:sz w:val="21"/>
                <w:szCs w:val="21"/>
              </w:rPr>
            </w:pPr>
            <w:r>
              <w:rPr>
                <w:rFonts w:ascii="Times New Roman" w:eastAsia="Arial"/>
                <w:sz w:val="21"/>
                <w:szCs w:val="21"/>
              </w:rPr>
              <w:t>积放链输送线</w:t>
            </w:r>
          </w:p>
        </w:tc>
        <w:tc>
          <w:tcPr>
            <w:tcW w:w="1431" w:type="pct"/>
            <w:shd w:val="clear" w:color="auto" w:fill="auto"/>
            <w:vAlign w:val="center"/>
          </w:tcPr>
          <w:p w14:paraId="6D079C63">
            <w:pPr>
              <w:jc w:val="center"/>
              <w:rPr>
                <w:rFonts w:ascii="Times New Roman"/>
                <w:sz w:val="21"/>
                <w:szCs w:val="21"/>
              </w:rPr>
            </w:pPr>
            <w:r>
              <w:rPr>
                <w:rFonts w:ascii="Times New Roman"/>
                <w:sz w:val="21"/>
                <w:szCs w:val="21"/>
              </w:rPr>
              <w:t>/</w:t>
            </w:r>
          </w:p>
        </w:tc>
        <w:tc>
          <w:tcPr>
            <w:tcW w:w="470" w:type="pct"/>
            <w:shd w:val="clear" w:color="auto" w:fill="auto"/>
            <w:vAlign w:val="center"/>
          </w:tcPr>
          <w:p w14:paraId="60A37F34">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207B8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BB24B8B">
            <w:pPr>
              <w:jc w:val="center"/>
              <w:rPr>
                <w:rFonts w:ascii="Times New Roman"/>
                <w:sz w:val="21"/>
                <w:szCs w:val="21"/>
              </w:rPr>
            </w:pPr>
            <w:r>
              <w:rPr>
                <w:rFonts w:ascii="Times New Roman"/>
                <w:sz w:val="21"/>
                <w:szCs w:val="21"/>
              </w:rPr>
              <w:t>153</w:t>
            </w:r>
          </w:p>
        </w:tc>
        <w:tc>
          <w:tcPr>
            <w:tcW w:w="413" w:type="pct"/>
            <w:vMerge w:val="continue"/>
            <w:vAlign w:val="center"/>
          </w:tcPr>
          <w:p w14:paraId="63B11E2E">
            <w:pPr>
              <w:jc w:val="center"/>
              <w:rPr>
                <w:rFonts w:ascii="Times New Roman"/>
                <w:sz w:val="21"/>
                <w:szCs w:val="21"/>
              </w:rPr>
            </w:pPr>
          </w:p>
        </w:tc>
        <w:tc>
          <w:tcPr>
            <w:tcW w:w="616" w:type="pct"/>
            <w:vMerge w:val="continue"/>
            <w:vAlign w:val="center"/>
          </w:tcPr>
          <w:p w14:paraId="463744E9">
            <w:pPr>
              <w:jc w:val="center"/>
              <w:rPr>
                <w:rFonts w:ascii="Times New Roman"/>
                <w:sz w:val="21"/>
                <w:szCs w:val="21"/>
              </w:rPr>
            </w:pPr>
          </w:p>
        </w:tc>
        <w:tc>
          <w:tcPr>
            <w:tcW w:w="761" w:type="pct"/>
            <w:vMerge w:val="restart"/>
            <w:tcBorders>
              <w:top w:val="single" w:color="auto" w:sz="4" w:space="0"/>
              <w:right w:val="single" w:color="auto" w:sz="4" w:space="0"/>
            </w:tcBorders>
            <w:vAlign w:val="center"/>
          </w:tcPr>
          <w:p w14:paraId="023ADE89">
            <w:pPr>
              <w:jc w:val="center"/>
              <w:rPr>
                <w:rFonts w:ascii="Times New Roman"/>
                <w:sz w:val="21"/>
                <w:szCs w:val="21"/>
              </w:rPr>
            </w:pPr>
            <w:r>
              <w:rPr>
                <w:rFonts w:ascii="Times New Roman"/>
                <w:sz w:val="21"/>
                <w:szCs w:val="21"/>
              </w:rPr>
              <w:t>喷塑生产线</w:t>
            </w:r>
          </w:p>
        </w:tc>
        <w:tc>
          <w:tcPr>
            <w:tcW w:w="965" w:type="pct"/>
            <w:gridSpan w:val="2"/>
            <w:tcBorders>
              <w:top w:val="single" w:color="auto" w:sz="4" w:space="0"/>
            </w:tcBorders>
            <w:vAlign w:val="center"/>
          </w:tcPr>
          <w:p w14:paraId="78F40396">
            <w:pPr>
              <w:widowControl/>
              <w:jc w:val="center"/>
              <w:textAlignment w:val="center"/>
              <w:rPr>
                <w:rFonts w:ascii="Times New Roman" w:eastAsia="Arial"/>
                <w:sz w:val="21"/>
                <w:szCs w:val="21"/>
              </w:rPr>
            </w:pPr>
            <w:r>
              <w:rPr>
                <w:rFonts w:ascii="Times New Roman" w:eastAsia="Arial"/>
                <w:sz w:val="21"/>
                <w:szCs w:val="21"/>
              </w:rPr>
              <w:t>自动抛丸</w:t>
            </w:r>
          </w:p>
        </w:tc>
        <w:tc>
          <w:tcPr>
            <w:tcW w:w="1431" w:type="pct"/>
            <w:tcBorders>
              <w:bottom w:val="single" w:color="auto" w:sz="4" w:space="0"/>
            </w:tcBorders>
            <w:shd w:val="clear" w:color="auto" w:fill="auto"/>
            <w:vAlign w:val="center"/>
          </w:tcPr>
          <w:p w14:paraId="03998609">
            <w:pPr>
              <w:widowControl/>
              <w:jc w:val="center"/>
              <w:textAlignment w:val="center"/>
              <w:rPr>
                <w:rFonts w:ascii="Times New Roman" w:eastAsia="Arial"/>
                <w:sz w:val="21"/>
                <w:szCs w:val="21"/>
              </w:rPr>
            </w:pPr>
            <w:r>
              <w:rPr>
                <w:rFonts w:ascii="Times New Roman" w:eastAsia="Arial"/>
                <w:sz w:val="21"/>
                <w:szCs w:val="21"/>
              </w:rPr>
              <w:t>L22m×W1.6m×H7.2m</w:t>
            </w:r>
          </w:p>
        </w:tc>
        <w:tc>
          <w:tcPr>
            <w:tcW w:w="470" w:type="pct"/>
            <w:vAlign w:val="center"/>
          </w:tcPr>
          <w:p w14:paraId="1FEFCF4D">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7D71F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E8CAA2D">
            <w:pPr>
              <w:jc w:val="center"/>
              <w:rPr>
                <w:rFonts w:ascii="Times New Roman"/>
                <w:sz w:val="21"/>
                <w:szCs w:val="21"/>
              </w:rPr>
            </w:pPr>
            <w:r>
              <w:rPr>
                <w:rFonts w:ascii="Times New Roman"/>
                <w:sz w:val="21"/>
                <w:szCs w:val="21"/>
              </w:rPr>
              <w:t>154</w:t>
            </w:r>
          </w:p>
        </w:tc>
        <w:tc>
          <w:tcPr>
            <w:tcW w:w="413" w:type="pct"/>
            <w:vMerge w:val="continue"/>
            <w:vAlign w:val="center"/>
          </w:tcPr>
          <w:p w14:paraId="0DDBECAB">
            <w:pPr>
              <w:jc w:val="center"/>
              <w:rPr>
                <w:rFonts w:ascii="Times New Roman"/>
                <w:sz w:val="21"/>
                <w:szCs w:val="21"/>
              </w:rPr>
            </w:pPr>
          </w:p>
        </w:tc>
        <w:tc>
          <w:tcPr>
            <w:tcW w:w="616" w:type="pct"/>
            <w:vMerge w:val="continue"/>
            <w:vAlign w:val="center"/>
          </w:tcPr>
          <w:p w14:paraId="04B0B0D1">
            <w:pPr>
              <w:jc w:val="center"/>
              <w:rPr>
                <w:rFonts w:ascii="Times New Roman"/>
                <w:sz w:val="21"/>
                <w:szCs w:val="21"/>
              </w:rPr>
            </w:pPr>
          </w:p>
        </w:tc>
        <w:tc>
          <w:tcPr>
            <w:tcW w:w="761" w:type="pct"/>
            <w:vMerge w:val="continue"/>
            <w:tcBorders>
              <w:right w:val="single" w:color="auto" w:sz="4" w:space="0"/>
            </w:tcBorders>
            <w:vAlign w:val="center"/>
          </w:tcPr>
          <w:p w14:paraId="4FD04B36">
            <w:pPr>
              <w:jc w:val="center"/>
              <w:rPr>
                <w:rFonts w:ascii="Times New Roman"/>
                <w:sz w:val="21"/>
                <w:szCs w:val="21"/>
              </w:rPr>
            </w:pPr>
          </w:p>
        </w:tc>
        <w:tc>
          <w:tcPr>
            <w:tcW w:w="965" w:type="pct"/>
            <w:gridSpan w:val="2"/>
            <w:vAlign w:val="center"/>
          </w:tcPr>
          <w:p w14:paraId="4EFE8C69">
            <w:pPr>
              <w:widowControl/>
              <w:jc w:val="center"/>
              <w:textAlignment w:val="center"/>
              <w:rPr>
                <w:rFonts w:ascii="Times New Roman" w:eastAsia="Arial"/>
                <w:sz w:val="21"/>
                <w:szCs w:val="21"/>
              </w:rPr>
            </w:pPr>
            <w:r>
              <w:rPr>
                <w:rFonts w:ascii="Times New Roman" w:eastAsia="Arial"/>
                <w:sz w:val="21"/>
                <w:szCs w:val="21"/>
              </w:rPr>
              <w:t>前处理</w:t>
            </w:r>
          </w:p>
        </w:tc>
        <w:tc>
          <w:tcPr>
            <w:tcW w:w="1431" w:type="pct"/>
            <w:tcBorders>
              <w:top w:val="single" w:color="auto" w:sz="4" w:space="0"/>
            </w:tcBorders>
            <w:shd w:val="clear" w:color="auto" w:fill="auto"/>
            <w:vAlign w:val="center"/>
          </w:tcPr>
          <w:p w14:paraId="50F206C6">
            <w:pPr>
              <w:widowControl/>
              <w:jc w:val="center"/>
              <w:textAlignment w:val="center"/>
              <w:rPr>
                <w:rFonts w:ascii="Times New Roman" w:eastAsia="Arial"/>
                <w:sz w:val="21"/>
                <w:szCs w:val="21"/>
              </w:rPr>
            </w:pPr>
            <w:r>
              <w:rPr>
                <w:rFonts w:ascii="Times New Roman" w:eastAsia="Arial"/>
                <w:sz w:val="21"/>
                <w:szCs w:val="21"/>
              </w:rPr>
              <w:t>L48.9m×W2.5m×H7.2m</w:t>
            </w:r>
          </w:p>
        </w:tc>
        <w:tc>
          <w:tcPr>
            <w:tcW w:w="470" w:type="pct"/>
            <w:vAlign w:val="center"/>
          </w:tcPr>
          <w:p w14:paraId="7535FB36">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47BC0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5A1E1FC">
            <w:pPr>
              <w:jc w:val="center"/>
              <w:rPr>
                <w:rFonts w:ascii="Times New Roman"/>
                <w:sz w:val="21"/>
                <w:szCs w:val="21"/>
              </w:rPr>
            </w:pPr>
            <w:r>
              <w:rPr>
                <w:rFonts w:ascii="Times New Roman"/>
                <w:sz w:val="21"/>
                <w:szCs w:val="21"/>
              </w:rPr>
              <w:t>155</w:t>
            </w:r>
          </w:p>
        </w:tc>
        <w:tc>
          <w:tcPr>
            <w:tcW w:w="413" w:type="pct"/>
            <w:vMerge w:val="continue"/>
            <w:vAlign w:val="center"/>
          </w:tcPr>
          <w:p w14:paraId="66329925">
            <w:pPr>
              <w:jc w:val="center"/>
              <w:rPr>
                <w:rFonts w:ascii="Times New Roman"/>
                <w:sz w:val="21"/>
                <w:szCs w:val="21"/>
              </w:rPr>
            </w:pPr>
          </w:p>
        </w:tc>
        <w:tc>
          <w:tcPr>
            <w:tcW w:w="616" w:type="pct"/>
            <w:vMerge w:val="continue"/>
            <w:vAlign w:val="center"/>
          </w:tcPr>
          <w:p w14:paraId="105D09BF">
            <w:pPr>
              <w:jc w:val="center"/>
              <w:rPr>
                <w:rFonts w:ascii="Times New Roman"/>
                <w:sz w:val="21"/>
                <w:szCs w:val="21"/>
              </w:rPr>
            </w:pPr>
          </w:p>
        </w:tc>
        <w:tc>
          <w:tcPr>
            <w:tcW w:w="761" w:type="pct"/>
            <w:vMerge w:val="continue"/>
            <w:tcBorders>
              <w:right w:val="single" w:color="auto" w:sz="4" w:space="0"/>
            </w:tcBorders>
            <w:vAlign w:val="center"/>
          </w:tcPr>
          <w:p w14:paraId="36881C49">
            <w:pPr>
              <w:jc w:val="center"/>
              <w:rPr>
                <w:rFonts w:ascii="Times New Roman"/>
                <w:sz w:val="21"/>
                <w:szCs w:val="21"/>
              </w:rPr>
            </w:pPr>
          </w:p>
        </w:tc>
        <w:tc>
          <w:tcPr>
            <w:tcW w:w="965" w:type="pct"/>
            <w:gridSpan w:val="2"/>
            <w:vAlign w:val="center"/>
          </w:tcPr>
          <w:p w14:paraId="48438318">
            <w:pPr>
              <w:widowControl/>
              <w:jc w:val="center"/>
              <w:textAlignment w:val="center"/>
              <w:rPr>
                <w:rFonts w:ascii="Times New Roman" w:eastAsia="Arial"/>
                <w:sz w:val="21"/>
                <w:szCs w:val="21"/>
              </w:rPr>
            </w:pPr>
            <w:r>
              <w:rPr>
                <w:rFonts w:ascii="Times New Roman" w:eastAsia="Arial"/>
                <w:sz w:val="21"/>
                <w:szCs w:val="21"/>
              </w:rPr>
              <w:t>水份烘干</w:t>
            </w:r>
          </w:p>
        </w:tc>
        <w:tc>
          <w:tcPr>
            <w:tcW w:w="1431" w:type="pct"/>
            <w:vAlign w:val="center"/>
          </w:tcPr>
          <w:p w14:paraId="64494EC8">
            <w:pPr>
              <w:jc w:val="center"/>
              <w:rPr>
                <w:rFonts w:ascii="Times New Roman"/>
                <w:sz w:val="21"/>
                <w:szCs w:val="21"/>
              </w:rPr>
            </w:pPr>
            <w:r>
              <w:rPr>
                <w:rFonts w:ascii="Times New Roman" w:eastAsia="Arial"/>
                <w:sz w:val="21"/>
                <w:szCs w:val="21"/>
              </w:rPr>
              <w:t>L</w:t>
            </w:r>
            <w:r>
              <w:rPr>
                <w:rFonts w:ascii="Times New Roman"/>
                <w:sz w:val="21"/>
                <w:szCs w:val="21"/>
              </w:rPr>
              <w:t>21.7</w:t>
            </w:r>
            <w:r>
              <w:rPr>
                <w:rFonts w:ascii="Times New Roman" w:eastAsia="Arial"/>
                <w:sz w:val="21"/>
                <w:szCs w:val="21"/>
              </w:rPr>
              <w:t>m×W2.</w:t>
            </w:r>
            <w:r>
              <w:rPr>
                <w:rFonts w:ascii="Times New Roman"/>
                <w:sz w:val="21"/>
                <w:szCs w:val="21"/>
              </w:rPr>
              <w:t>4</w:t>
            </w:r>
            <w:r>
              <w:rPr>
                <w:rFonts w:ascii="Times New Roman" w:eastAsia="Arial"/>
                <w:sz w:val="21"/>
                <w:szCs w:val="21"/>
              </w:rPr>
              <w:t>m×H7.2m</w:t>
            </w:r>
          </w:p>
        </w:tc>
        <w:tc>
          <w:tcPr>
            <w:tcW w:w="470" w:type="pct"/>
            <w:vAlign w:val="center"/>
          </w:tcPr>
          <w:p w14:paraId="4A643202">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611EB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322BEEE">
            <w:pPr>
              <w:jc w:val="center"/>
              <w:rPr>
                <w:rFonts w:ascii="Times New Roman"/>
                <w:sz w:val="21"/>
                <w:szCs w:val="21"/>
              </w:rPr>
            </w:pPr>
            <w:r>
              <w:rPr>
                <w:rFonts w:ascii="Times New Roman"/>
                <w:sz w:val="21"/>
                <w:szCs w:val="21"/>
              </w:rPr>
              <w:t>156</w:t>
            </w:r>
          </w:p>
        </w:tc>
        <w:tc>
          <w:tcPr>
            <w:tcW w:w="413" w:type="pct"/>
            <w:vMerge w:val="continue"/>
            <w:vAlign w:val="center"/>
          </w:tcPr>
          <w:p w14:paraId="08335752">
            <w:pPr>
              <w:jc w:val="center"/>
              <w:rPr>
                <w:rFonts w:ascii="Times New Roman"/>
                <w:sz w:val="21"/>
                <w:szCs w:val="21"/>
              </w:rPr>
            </w:pPr>
          </w:p>
        </w:tc>
        <w:tc>
          <w:tcPr>
            <w:tcW w:w="616" w:type="pct"/>
            <w:vMerge w:val="continue"/>
            <w:vAlign w:val="center"/>
          </w:tcPr>
          <w:p w14:paraId="1353BE0F">
            <w:pPr>
              <w:jc w:val="center"/>
              <w:rPr>
                <w:rFonts w:ascii="Times New Roman"/>
                <w:sz w:val="21"/>
                <w:szCs w:val="21"/>
              </w:rPr>
            </w:pPr>
          </w:p>
        </w:tc>
        <w:tc>
          <w:tcPr>
            <w:tcW w:w="761" w:type="pct"/>
            <w:vMerge w:val="continue"/>
            <w:tcBorders>
              <w:right w:val="single" w:color="auto" w:sz="4" w:space="0"/>
            </w:tcBorders>
            <w:vAlign w:val="center"/>
          </w:tcPr>
          <w:p w14:paraId="16428E3C">
            <w:pPr>
              <w:jc w:val="center"/>
              <w:rPr>
                <w:rFonts w:ascii="Times New Roman"/>
                <w:sz w:val="21"/>
                <w:szCs w:val="21"/>
              </w:rPr>
            </w:pPr>
          </w:p>
        </w:tc>
        <w:tc>
          <w:tcPr>
            <w:tcW w:w="965" w:type="pct"/>
            <w:gridSpan w:val="2"/>
            <w:vAlign w:val="center"/>
          </w:tcPr>
          <w:p w14:paraId="17C40096">
            <w:pPr>
              <w:widowControl/>
              <w:jc w:val="center"/>
              <w:textAlignment w:val="center"/>
              <w:rPr>
                <w:rFonts w:ascii="Times New Roman" w:eastAsia="Arial"/>
                <w:sz w:val="21"/>
                <w:szCs w:val="21"/>
              </w:rPr>
            </w:pPr>
            <w:r>
              <w:rPr>
                <w:rFonts w:ascii="Times New Roman" w:eastAsia="Arial"/>
                <w:sz w:val="21"/>
                <w:szCs w:val="21"/>
              </w:rPr>
              <w:t>底粉房</w:t>
            </w:r>
          </w:p>
        </w:tc>
        <w:tc>
          <w:tcPr>
            <w:tcW w:w="1431" w:type="pct"/>
            <w:vAlign w:val="center"/>
          </w:tcPr>
          <w:p w14:paraId="2A117C10">
            <w:pPr>
              <w:jc w:val="center"/>
              <w:rPr>
                <w:rFonts w:ascii="Times New Roman" w:eastAsia="Arial"/>
                <w:sz w:val="21"/>
                <w:szCs w:val="21"/>
              </w:rPr>
            </w:pPr>
            <w:r>
              <w:rPr>
                <w:rFonts w:ascii="Times New Roman" w:eastAsia="Arial"/>
                <w:sz w:val="21"/>
                <w:szCs w:val="21"/>
              </w:rPr>
              <w:t>L6m</w:t>
            </w:r>
            <w:r>
              <w:rPr>
                <w:rFonts w:ascii="Times New Roman"/>
                <w:sz w:val="21"/>
                <w:szCs w:val="21"/>
              </w:rPr>
              <w:t>×</w:t>
            </w:r>
            <w:r>
              <w:rPr>
                <w:rFonts w:ascii="Times New Roman" w:eastAsia="Arial"/>
                <w:sz w:val="21"/>
                <w:szCs w:val="21"/>
              </w:rPr>
              <w:t>W4.6m</w:t>
            </w:r>
            <w:r>
              <w:rPr>
                <w:rFonts w:ascii="Times New Roman"/>
                <w:sz w:val="21"/>
                <w:szCs w:val="21"/>
              </w:rPr>
              <w:t>×</w:t>
            </w:r>
            <w:r>
              <w:rPr>
                <w:rFonts w:ascii="Times New Roman" w:eastAsia="Arial"/>
                <w:sz w:val="21"/>
                <w:szCs w:val="21"/>
              </w:rPr>
              <w:t>H5.3m</w:t>
            </w:r>
          </w:p>
        </w:tc>
        <w:tc>
          <w:tcPr>
            <w:tcW w:w="470" w:type="pct"/>
            <w:vAlign w:val="center"/>
          </w:tcPr>
          <w:p w14:paraId="760DAE56">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1FBB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85388CA">
            <w:pPr>
              <w:jc w:val="center"/>
              <w:rPr>
                <w:rFonts w:ascii="Times New Roman"/>
                <w:sz w:val="21"/>
                <w:szCs w:val="21"/>
              </w:rPr>
            </w:pPr>
            <w:r>
              <w:rPr>
                <w:rFonts w:ascii="Times New Roman"/>
                <w:sz w:val="21"/>
                <w:szCs w:val="21"/>
              </w:rPr>
              <w:t>157</w:t>
            </w:r>
          </w:p>
        </w:tc>
        <w:tc>
          <w:tcPr>
            <w:tcW w:w="413" w:type="pct"/>
            <w:vMerge w:val="continue"/>
            <w:vAlign w:val="center"/>
          </w:tcPr>
          <w:p w14:paraId="2E3352B9">
            <w:pPr>
              <w:jc w:val="center"/>
              <w:rPr>
                <w:rFonts w:ascii="Times New Roman"/>
                <w:sz w:val="21"/>
                <w:szCs w:val="21"/>
              </w:rPr>
            </w:pPr>
          </w:p>
        </w:tc>
        <w:tc>
          <w:tcPr>
            <w:tcW w:w="616" w:type="pct"/>
            <w:vMerge w:val="continue"/>
            <w:vAlign w:val="center"/>
          </w:tcPr>
          <w:p w14:paraId="3D38FAB4">
            <w:pPr>
              <w:jc w:val="center"/>
              <w:rPr>
                <w:rFonts w:ascii="Times New Roman"/>
                <w:sz w:val="21"/>
                <w:szCs w:val="21"/>
              </w:rPr>
            </w:pPr>
          </w:p>
        </w:tc>
        <w:tc>
          <w:tcPr>
            <w:tcW w:w="761" w:type="pct"/>
            <w:vMerge w:val="continue"/>
            <w:tcBorders>
              <w:right w:val="single" w:color="auto" w:sz="4" w:space="0"/>
            </w:tcBorders>
            <w:vAlign w:val="center"/>
          </w:tcPr>
          <w:p w14:paraId="1A6A9CF8">
            <w:pPr>
              <w:jc w:val="center"/>
              <w:rPr>
                <w:rFonts w:ascii="Times New Roman"/>
                <w:sz w:val="21"/>
                <w:szCs w:val="21"/>
              </w:rPr>
            </w:pPr>
          </w:p>
        </w:tc>
        <w:tc>
          <w:tcPr>
            <w:tcW w:w="965" w:type="pct"/>
            <w:gridSpan w:val="2"/>
            <w:vAlign w:val="center"/>
          </w:tcPr>
          <w:p w14:paraId="3277A19A">
            <w:pPr>
              <w:widowControl/>
              <w:jc w:val="center"/>
              <w:textAlignment w:val="center"/>
              <w:rPr>
                <w:rFonts w:ascii="Times New Roman" w:eastAsia="Arial"/>
                <w:sz w:val="21"/>
                <w:szCs w:val="21"/>
              </w:rPr>
            </w:pPr>
            <w:r>
              <w:rPr>
                <w:rFonts w:ascii="Times New Roman" w:eastAsia="Arial"/>
                <w:sz w:val="21"/>
                <w:szCs w:val="21"/>
              </w:rPr>
              <w:t>底粉固化炉</w:t>
            </w:r>
          </w:p>
        </w:tc>
        <w:tc>
          <w:tcPr>
            <w:tcW w:w="1431" w:type="pct"/>
            <w:vAlign w:val="center"/>
          </w:tcPr>
          <w:p w14:paraId="28E1FA81">
            <w:pPr>
              <w:widowControl/>
              <w:jc w:val="center"/>
              <w:textAlignment w:val="center"/>
              <w:rPr>
                <w:rFonts w:ascii="Times New Roman" w:eastAsia="Arial"/>
                <w:sz w:val="21"/>
                <w:szCs w:val="21"/>
              </w:rPr>
            </w:pPr>
            <w:r>
              <w:rPr>
                <w:rFonts w:ascii="Times New Roman" w:eastAsia="Arial"/>
                <w:sz w:val="21"/>
                <w:szCs w:val="21"/>
              </w:rPr>
              <w:t>L25.7m</w:t>
            </w:r>
            <w:r>
              <w:rPr>
                <w:rFonts w:ascii="Times New Roman"/>
                <w:sz w:val="21"/>
                <w:szCs w:val="21"/>
              </w:rPr>
              <w:t>×</w:t>
            </w:r>
            <w:r>
              <w:rPr>
                <w:rFonts w:ascii="Times New Roman" w:eastAsia="Arial"/>
                <w:sz w:val="21"/>
                <w:szCs w:val="21"/>
              </w:rPr>
              <w:t>W2.4m</w:t>
            </w:r>
            <w:r>
              <w:rPr>
                <w:rFonts w:ascii="Times New Roman"/>
                <w:sz w:val="21"/>
                <w:szCs w:val="21"/>
              </w:rPr>
              <w:t>×</w:t>
            </w:r>
            <w:r>
              <w:rPr>
                <w:rFonts w:ascii="Times New Roman" w:eastAsia="Arial"/>
                <w:sz w:val="21"/>
                <w:szCs w:val="21"/>
              </w:rPr>
              <w:t>H7.2m</w:t>
            </w:r>
          </w:p>
        </w:tc>
        <w:tc>
          <w:tcPr>
            <w:tcW w:w="470" w:type="pct"/>
            <w:vAlign w:val="center"/>
          </w:tcPr>
          <w:p w14:paraId="0BB9DB59">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46133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DB19625">
            <w:pPr>
              <w:jc w:val="center"/>
              <w:rPr>
                <w:rFonts w:ascii="Times New Roman"/>
                <w:sz w:val="21"/>
                <w:szCs w:val="21"/>
              </w:rPr>
            </w:pPr>
            <w:r>
              <w:rPr>
                <w:rFonts w:ascii="Times New Roman"/>
                <w:sz w:val="21"/>
                <w:szCs w:val="21"/>
              </w:rPr>
              <w:t>158</w:t>
            </w:r>
          </w:p>
        </w:tc>
        <w:tc>
          <w:tcPr>
            <w:tcW w:w="413" w:type="pct"/>
            <w:vMerge w:val="continue"/>
            <w:vAlign w:val="center"/>
          </w:tcPr>
          <w:p w14:paraId="09E2F3FF">
            <w:pPr>
              <w:jc w:val="center"/>
              <w:rPr>
                <w:rFonts w:ascii="Times New Roman"/>
                <w:sz w:val="21"/>
                <w:szCs w:val="21"/>
              </w:rPr>
            </w:pPr>
          </w:p>
        </w:tc>
        <w:tc>
          <w:tcPr>
            <w:tcW w:w="616" w:type="pct"/>
            <w:vMerge w:val="continue"/>
            <w:vAlign w:val="center"/>
          </w:tcPr>
          <w:p w14:paraId="0F592090">
            <w:pPr>
              <w:jc w:val="center"/>
              <w:rPr>
                <w:rFonts w:ascii="Times New Roman"/>
                <w:sz w:val="21"/>
                <w:szCs w:val="21"/>
              </w:rPr>
            </w:pPr>
          </w:p>
        </w:tc>
        <w:tc>
          <w:tcPr>
            <w:tcW w:w="761" w:type="pct"/>
            <w:vMerge w:val="continue"/>
            <w:tcBorders>
              <w:right w:val="single" w:color="auto" w:sz="4" w:space="0"/>
            </w:tcBorders>
            <w:vAlign w:val="center"/>
          </w:tcPr>
          <w:p w14:paraId="6E386737">
            <w:pPr>
              <w:jc w:val="center"/>
              <w:rPr>
                <w:rFonts w:ascii="Times New Roman"/>
                <w:sz w:val="21"/>
                <w:szCs w:val="21"/>
              </w:rPr>
            </w:pPr>
          </w:p>
        </w:tc>
        <w:tc>
          <w:tcPr>
            <w:tcW w:w="965" w:type="pct"/>
            <w:gridSpan w:val="2"/>
            <w:vAlign w:val="center"/>
          </w:tcPr>
          <w:p w14:paraId="1920B7D1">
            <w:pPr>
              <w:widowControl/>
              <w:jc w:val="center"/>
              <w:textAlignment w:val="center"/>
              <w:rPr>
                <w:rFonts w:ascii="Times New Roman" w:eastAsia="Arial"/>
                <w:sz w:val="21"/>
                <w:szCs w:val="21"/>
              </w:rPr>
            </w:pPr>
            <w:r>
              <w:rPr>
                <w:rFonts w:ascii="Times New Roman" w:eastAsia="Arial"/>
                <w:sz w:val="21"/>
                <w:szCs w:val="21"/>
              </w:rPr>
              <w:t>面粉房</w:t>
            </w:r>
          </w:p>
        </w:tc>
        <w:tc>
          <w:tcPr>
            <w:tcW w:w="1431" w:type="pct"/>
            <w:vAlign w:val="center"/>
          </w:tcPr>
          <w:p w14:paraId="31C8EB1B">
            <w:pPr>
              <w:widowControl/>
              <w:jc w:val="center"/>
              <w:textAlignment w:val="center"/>
              <w:rPr>
                <w:rFonts w:ascii="Times New Roman" w:eastAsia="Arial"/>
                <w:sz w:val="21"/>
                <w:szCs w:val="21"/>
              </w:rPr>
            </w:pPr>
            <w:r>
              <w:rPr>
                <w:rFonts w:ascii="Times New Roman" w:eastAsia="Arial"/>
                <w:sz w:val="21"/>
                <w:szCs w:val="21"/>
              </w:rPr>
              <w:t>L6m×W4.6m×H5.3m</w:t>
            </w:r>
          </w:p>
        </w:tc>
        <w:tc>
          <w:tcPr>
            <w:tcW w:w="470" w:type="pct"/>
            <w:vAlign w:val="center"/>
          </w:tcPr>
          <w:p w14:paraId="7DA03DFB">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58EA3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4D752AE5">
            <w:pPr>
              <w:jc w:val="center"/>
              <w:rPr>
                <w:rFonts w:ascii="Times New Roman"/>
                <w:sz w:val="21"/>
                <w:szCs w:val="21"/>
              </w:rPr>
            </w:pPr>
            <w:r>
              <w:rPr>
                <w:rFonts w:ascii="Times New Roman"/>
                <w:sz w:val="21"/>
                <w:szCs w:val="21"/>
              </w:rPr>
              <w:t>159</w:t>
            </w:r>
          </w:p>
        </w:tc>
        <w:tc>
          <w:tcPr>
            <w:tcW w:w="413" w:type="pct"/>
            <w:vMerge w:val="continue"/>
            <w:vAlign w:val="center"/>
          </w:tcPr>
          <w:p w14:paraId="076826E1">
            <w:pPr>
              <w:jc w:val="center"/>
              <w:rPr>
                <w:rFonts w:ascii="Times New Roman"/>
                <w:sz w:val="21"/>
                <w:szCs w:val="21"/>
              </w:rPr>
            </w:pPr>
          </w:p>
        </w:tc>
        <w:tc>
          <w:tcPr>
            <w:tcW w:w="616" w:type="pct"/>
            <w:vMerge w:val="continue"/>
            <w:vAlign w:val="center"/>
          </w:tcPr>
          <w:p w14:paraId="72AE401E">
            <w:pPr>
              <w:jc w:val="center"/>
              <w:rPr>
                <w:rFonts w:ascii="Times New Roman"/>
                <w:sz w:val="21"/>
                <w:szCs w:val="21"/>
              </w:rPr>
            </w:pPr>
          </w:p>
        </w:tc>
        <w:tc>
          <w:tcPr>
            <w:tcW w:w="761" w:type="pct"/>
            <w:vMerge w:val="continue"/>
            <w:tcBorders>
              <w:right w:val="single" w:color="auto" w:sz="4" w:space="0"/>
            </w:tcBorders>
            <w:vAlign w:val="center"/>
          </w:tcPr>
          <w:p w14:paraId="577FCBAA">
            <w:pPr>
              <w:jc w:val="center"/>
              <w:rPr>
                <w:rFonts w:ascii="Times New Roman"/>
                <w:sz w:val="21"/>
                <w:szCs w:val="21"/>
              </w:rPr>
            </w:pPr>
          </w:p>
        </w:tc>
        <w:tc>
          <w:tcPr>
            <w:tcW w:w="965" w:type="pct"/>
            <w:gridSpan w:val="2"/>
            <w:vAlign w:val="center"/>
          </w:tcPr>
          <w:p w14:paraId="68E6F20B">
            <w:pPr>
              <w:widowControl/>
              <w:jc w:val="center"/>
              <w:textAlignment w:val="center"/>
              <w:rPr>
                <w:rFonts w:ascii="Times New Roman" w:eastAsia="Arial"/>
                <w:sz w:val="21"/>
                <w:szCs w:val="21"/>
              </w:rPr>
            </w:pPr>
            <w:r>
              <w:rPr>
                <w:rFonts w:ascii="Times New Roman" w:eastAsia="Arial"/>
                <w:sz w:val="21"/>
                <w:szCs w:val="21"/>
              </w:rPr>
              <w:t>面粉固化炉</w:t>
            </w:r>
          </w:p>
        </w:tc>
        <w:tc>
          <w:tcPr>
            <w:tcW w:w="1431" w:type="pct"/>
            <w:vAlign w:val="center"/>
          </w:tcPr>
          <w:p w14:paraId="2B2465F4">
            <w:pPr>
              <w:widowControl/>
              <w:jc w:val="center"/>
              <w:textAlignment w:val="center"/>
              <w:rPr>
                <w:rFonts w:ascii="Times New Roman" w:eastAsia="Arial"/>
                <w:sz w:val="21"/>
                <w:szCs w:val="21"/>
              </w:rPr>
            </w:pPr>
            <w:r>
              <w:rPr>
                <w:rFonts w:ascii="Times New Roman" w:eastAsia="Arial"/>
                <w:sz w:val="21"/>
                <w:szCs w:val="21"/>
              </w:rPr>
              <w:t>L38.5m×W2.4m×H7.2m</w:t>
            </w:r>
          </w:p>
        </w:tc>
        <w:tc>
          <w:tcPr>
            <w:tcW w:w="470" w:type="pct"/>
            <w:vAlign w:val="center"/>
          </w:tcPr>
          <w:p w14:paraId="202A04D9">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094EF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BF7A1F2">
            <w:pPr>
              <w:jc w:val="center"/>
              <w:rPr>
                <w:rFonts w:ascii="Times New Roman"/>
                <w:sz w:val="21"/>
                <w:szCs w:val="21"/>
              </w:rPr>
            </w:pPr>
            <w:r>
              <w:rPr>
                <w:rFonts w:ascii="Times New Roman"/>
                <w:sz w:val="21"/>
                <w:szCs w:val="21"/>
              </w:rPr>
              <w:t>160</w:t>
            </w:r>
          </w:p>
        </w:tc>
        <w:tc>
          <w:tcPr>
            <w:tcW w:w="413" w:type="pct"/>
            <w:vMerge w:val="continue"/>
            <w:vAlign w:val="center"/>
          </w:tcPr>
          <w:p w14:paraId="4E0CD8CA">
            <w:pPr>
              <w:jc w:val="center"/>
              <w:rPr>
                <w:rFonts w:ascii="Times New Roman"/>
                <w:sz w:val="21"/>
                <w:szCs w:val="21"/>
              </w:rPr>
            </w:pPr>
          </w:p>
        </w:tc>
        <w:tc>
          <w:tcPr>
            <w:tcW w:w="616" w:type="pct"/>
            <w:vMerge w:val="continue"/>
            <w:vAlign w:val="center"/>
          </w:tcPr>
          <w:p w14:paraId="159A7574">
            <w:pPr>
              <w:jc w:val="center"/>
              <w:rPr>
                <w:rFonts w:ascii="Times New Roman"/>
                <w:sz w:val="21"/>
                <w:szCs w:val="21"/>
              </w:rPr>
            </w:pPr>
          </w:p>
        </w:tc>
        <w:tc>
          <w:tcPr>
            <w:tcW w:w="761" w:type="pct"/>
            <w:vMerge w:val="continue"/>
            <w:tcBorders>
              <w:right w:val="single" w:color="auto" w:sz="4" w:space="0"/>
            </w:tcBorders>
            <w:vAlign w:val="center"/>
          </w:tcPr>
          <w:p w14:paraId="0AD9305D">
            <w:pPr>
              <w:jc w:val="center"/>
              <w:rPr>
                <w:rFonts w:ascii="Times New Roman"/>
                <w:sz w:val="21"/>
                <w:szCs w:val="21"/>
              </w:rPr>
            </w:pPr>
          </w:p>
        </w:tc>
        <w:tc>
          <w:tcPr>
            <w:tcW w:w="965" w:type="pct"/>
            <w:gridSpan w:val="2"/>
            <w:vAlign w:val="center"/>
          </w:tcPr>
          <w:p w14:paraId="5A01D1B1">
            <w:pPr>
              <w:widowControl/>
              <w:jc w:val="center"/>
              <w:textAlignment w:val="center"/>
              <w:rPr>
                <w:rFonts w:ascii="Times New Roman" w:eastAsia="Arial"/>
                <w:sz w:val="21"/>
                <w:szCs w:val="21"/>
              </w:rPr>
            </w:pPr>
            <w:r>
              <w:rPr>
                <w:rFonts w:ascii="Times New Roman" w:eastAsia="Arial"/>
                <w:sz w:val="21"/>
                <w:szCs w:val="21"/>
              </w:rPr>
              <w:t>粉末强冷室</w:t>
            </w:r>
          </w:p>
        </w:tc>
        <w:tc>
          <w:tcPr>
            <w:tcW w:w="1431" w:type="pct"/>
            <w:vAlign w:val="center"/>
          </w:tcPr>
          <w:p w14:paraId="1040C45B">
            <w:pPr>
              <w:jc w:val="center"/>
              <w:rPr>
                <w:rFonts w:ascii="Times New Roman" w:eastAsia="Arial"/>
                <w:sz w:val="21"/>
                <w:szCs w:val="21"/>
              </w:rPr>
            </w:pPr>
            <w:r>
              <w:rPr>
                <w:rFonts w:ascii="Times New Roman" w:eastAsia="Arial"/>
                <w:sz w:val="21"/>
                <w:szCs w:val="21"/>
              </w:rPr>
              <w:t>L17.</w:t>
            </w:r>
            <w:r>
              <w:rPr>
                <w:rFonts w:ascii="Times New Roman"/>
                <w:sz w:val="21"/>
                <w:szCs w:val="21"/>
              </w:rPr>
              <w:t>5</w:t>
            </w:r>
            <w:r>
              <w:rPr>
                <w:rFonts w:ascii="Times New Roman" w:eastAsia="Arial"/>
                <w:sz w:val="21"/>
                <w:szCs w:val="21"/>
              </w:rPr>
              <w:t>m</w:t>
            </w:r>
            <w:r>
              <w:rPr>
                <w:rFonts w:ascii="Times New Roman"/>
                <w:sz w:val="21"/>
                <w:szCs w:val="21"/>
              </w:rPr>
              <w:t>×</w:t>
            </w:r>
            <w:r>
              <w:rPr>
                <w:rFonts w:ascii="Times New Roman" w:eastAsia="Arial"/>
                <w:sz w:val="21"/>
                <w:szCs w:val="21"/>
              </w:rPr>
              <w:t>W</w:t>
            </w:r>
            <w:r>
              <w:rPr>
                <w:rFonts w:ascii="Times New Roman"/>
                <w:sz w:val="21"/>
                <w:szCs w:val="21"/>
              </w:rPr>
              <w:t>2.4</w:t>
            </w:r>
            <w:r>
              <w:rPr>
                <w:rFonts w:ascii="Times New Roman" w:eastAsia="Arial"/>
                <w:sz w:val="21"/>
                <w:szCs w:val="21"/>
              </w:rPr>
              <w:t>m</w:t>
            </w:r>
            <w:r>
              <w:rPr>
                <w:rFonts w:ascii="Times New Roman"/>
                <w:sz w:val="21"/>
                <w:szCs w:val="21"/>
              </w:rPr>
              <w:t>×</w:t>
            </w:r>
            <w:r>
              <w:rPr>
                <w:rFonts w:ascii="Times New Roman" w:eastAsia="Arial"/>
                <w:sz w:val="21"/>
                <w:szCs w:val="21"/>
              </w:rPr>
              <w:t>H</w:t>
            </w:r>
            <w:r>
              <w:rPr>
                <w:rFonts w:ascii="Times New Roman"/>
                <w:sz w:val="21"/>
                <w:szCs w:val="21"/>
              </w:rPr>
              <w:t>7.2</w:t>
            </w:r>
            <w:r>
              <w:rPr>
                <w:rFonts w:ascii="Times New Roman" w:eastAsia="Arial"/>
                <w:sz w:val="21"/>
                <w:szCs w:val="21"/>
              </w:rPr>
              <w:t>m</w:t>
            </w:r>
          </w:p>
        </w:tc>
        <w:tc>
          <w:tcPr>
            <w:tcW w:w="470" w:type="pct"/>
            <w:vAlign w:val="center"/>
          </w:tcPr>
          <w:p w14:paraId="04BC98CD">
            <w:pPr>
              <w:widowControl/>
              <w:jc w:val="center"/>
              <w:textAlignment w:val="center"/>
              <w:rPr>
                <w:rFonts w:ascii="Times New Roman" w:eastAsia="Arial"/>
                <w:spacing w:val="-2"/>
                <w:sz w:val="21"/>
                <w:szCs w:val="21"/>
              </w:rPr>
            </w:pPr>
            <w:r>
              <w:rPr>
                <w:rFonts w:ascii="Times New Roman" w:eastAsia="Arial"/>
                <w:spacing w:val="-2"/>
                <w:sz w:val="21"/>
                <w:szCs w:val="21"/>
              </w:rPr>
              <w:t>2</w:t>
            </w:r>
          </w:p>
        </w:tc>
      </w:tr>
      <w:tr w14:paraId="2D65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52ED03B">
            <w:pPr>
              <w:jc w:val="center"/>
              <w:rPr>
                <w:rFonts w:ascii="Times New Roman"/>
                <w:sz w:val="21"/>
                <w:szCs w:val="21"/>
              </w:rPr>
            </w:pPr>
            <w:r>
              <w:rPr>
                <w:rFonts w:ascii="Times New Roman"/>
                <w:sz w:val="21"/>
                <w:szCs w:val="21"/>
              </w:rPr>
              <w:t>161</w:t>
            </w:r>
          </w:p>
        </w:tc>
        <w:tc>
          <w:tcPr>
            <w:tcW w:w="413" w:type="pct"/>
            <w:vMerge w:val="continue"/>
            <w:vAlign w:val="center"/>
          </w:tcPr>
          <w:p w14:paraId="412D41A5">
            <w:pPr>
              <w:jc w:val="center"/>
              <w:rPr>
                <w:rFonts w:ascii="Times New Roman"/>
                <w:sz w:val="21"/>
                <w:szCs w:val="21"/>
              </w:rPr>
            </w:pPr>
          </w:p>
        </w:tc>
        <w:tc>
          <w:tcPr>
            <w:tcW w:w="616" w:type="pct"/>
            <w:vMerge w:val="continue"/>
            <w:vAlign w:val="center"/>
          </w:tcPr>
          <w:p w14:paraId="3F43BC70">
            <w:pPr>
              <w:jc w:val="center"/>
              <w:rPr>
                <w:rFonts w:ascii="Times New Roman"/>
                <w:sz w:val="21"/>
                <w:szCs w:val="21"/>
              </w:rPr>
            </w:pPr>
          </w:p>
        </w:tc>
        <w:tc>
          <w:tcPr>
            <w:tcW w:w="761" w:type="pct"/>
            <w:vMerge w:val="continue"/>
            <w:tcBorders>
              <w:right w:val="single" w:color="auto" w:sz="4" w:space="0"/>
            </w:tcBorders>
            <w:vAlign w:val="center"/>
          </w:tcPr>
          <w:p w14:paraId="46635DAE">
            <w:pPr>
              <w:jc w:val="center"/>
              <w:rPr>
                <w:rFonts w:ascii="Times New Roman"/>
                <w:sz w:val="21"/>
                <w:szCs w:val="21"/>
              </w:rPr>
            </w:pPr>
          </w:p>
        </w:tc>
        <w:tc>
          <w:tcPr>
            <w:tcW w:w="965" w:type="pct"/>
            <w:gridSpan w:val="2"/>
            <w:vAlign w:val="center"/>
          </w:tcPr>
          <w:p w14:paraId="0FD72A17">
            <w:pPr>
              <w:widowControl/>
              <w:jc w:val="center"/>
              <w:textAlignment w:val="center"/>
              <w:rPr>
                <w:rFonts w:ascii="Times New Roman" w:eastAsia="Arial"/>
                <w:sz w:val="21"/>
                <w:szCs w:val="21"/>
              </w:rPr>
            </w:pPr>
            <w:r>
              <w:rPr>
                <w:rFonts w:ascii="Times New Roman" w:eastAsia="Arial"/>
                <w:sz w:val="21"/>
                <w:szCs w:val="21"/>
              </w:rPr>
              <w:t>积放链输送线</w:t>
            </w:r>
          </w:p>
        </w:tc>
        <w:tc>
          <w:tcPr>
            <w:tcW w:w="1431" w:type="pct"/>
            <w:vAlign w:val="center"/>
          </w:tcPr>
          <w:p w14:paraId="38885149">
            <w:pPr>
              <w:jc w:val="center"/>
              <w:rPr>
                <w:rFonts w:ascii="Times New Roman"/>
                <w:sz w:val="21"/>
                <w:szCs w:val="21"/>
              </w:rPr>
            </w:pPr>
            <w:r>
              <w:rPr>
                <w:rFonts w:ascii="Times New Roman"/>
                <w:sz w:val="21"/>
                <w:szCs w:val="21"/>
              </w:rPr>
              <w:t>/</w:t>
            </w:r>
          </w:p>
        </w:tc>
        <w:tc>
          <w:tcPr>
            <w:tcW w:w="470" w:type="pct"/>
            <w:vAlign w:val="center"/>
          </w:tcPr>
          <w:p w14:paraId="72D3024A">
            <w:pPr>
              <w:widowControl/>
              <w:jc w:val="center"/>
              <w:textAlignment w:val="center"/>
              <w:rPr>
                <w:rFonts w:ascii="Times New Roman" w:eastAsia="Arial"/>
                <w:spacing w:val="-2"/>
                <w:sz w:val="21"/>
                <w:szCs w:val="21"/>
              </w:rPr>
            </w:pPr>
            <w:r>
              <w:rPr>
                <w:rFonts w:ascii="Times New Roman" w:eastAsia="Arial"/>
                <w:spacing w:val="-2"/>
                <w:sz w:val="21"/>
                <w:szCs w:val="21"/>
              </w:rPr>
              <w:t>1</w:t>
            </w:r>
          </w:p>
        </w:tc>
      </w:tr>
      <w:tr w14:paraId="00390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86AECBF">
            <w:pPr>
              <w:jc w:val="center"/>
              <w:rPr>
                <w:rFonts w:ascii="Times New Roman"/>
                <w:sz w:val="21"/>
                <w:szCs w:val="21"/>
              </w:rPr>
            </w:pPr>
            <w:r>
              <w:rPr>
                <w:rFonts w:ascii="Times New Roman"/>
                <w:sz w:val="21"/>
                <w:szCs w:val="21"/>
              </w:rPr>
              <w:t>162</w:t>
            </w:r>
          </w:p>
        </w:tc>
        <w:tc>
          <w:tcPr>
            <w:tcW w:w="413" w:type="pct"/>
            <w:vMerge w:val="continue"/>
            <w:vAlign w:val="center"/>
          </w:tcPr>
          <w:p w14:paraId="7BD2C9EE">
            <w:pPr>
              <w:jc w:val="center"/>
              <w:rPr>
                <w:rFonts w:ascii="Times New Roman"/>
                <w:sz w:val="21"/>
                <w:szCs w:val="21"/>
              </w:rPr>
            </w:pPr>
          </w:p>
        </w:tc>
        <w:tc>
          <w:tcPr>
            <w:tcW w:w="616" w:type="pct"/>
            <w:vMerge w:val="restart"/>
            <w:vAlign w:val="center"/>
          </w:tcPr>
          <w:p w14:paraId="31A61ADA">
            <w:pPr>
              <w:jc w:val="center"/>
              <w:rPr>
                <w:rFonts w:ascii="Times New Roman"/>
                <w:sz w:val="21"/>
                <w:szCs w:val="21"/>
              </w:rPr>
            </w:pPr>
            <w:r>
              <w:rPr>
                <w:rFonts w:ascii="Times New Roman"/>
                <w:sz w:val="21"/>
                <w:szCs w:val="21"/>
              </w:rPr>
              <w:t>搬运</w:t>
            </w:r>
          </w:p>
        </w:tc>
        <w:tc>
          <w:tcPr>
            <w:tcW w:w="761" w:type="pct"/>
            <w:shd w:val="clear" w:color="auto" w:fill="auto"/>
            <w:vAlign w:val="center"/>
          </w:tcPr>
          <w:p w14:paraId="1A7348C4">
            <w:pPr>
              <w:widowControl/>
              <w:jc w:val="center"/>
              <w:textAlignment w:val="center"/>
              <w:rPr>
                <w:rFonts w:ascii="Times New Roman"/>
                <w:sz w:val="21"/>
                <w:szCs w:val="21"/>
              </w:rPr>
            </w:pPr>
            <w:r>
              <w:rPr>
                <w:rFonts w:ascii="Times New Roman"/>
                <w:kern w:val="0"/>
                <w:sz w:val="21"/>
                <w:szCs w:val="21"/>
              </w:rPr>
              <w:t>天车</w:t>
            </w:r>
          </w:p>
        </w:tc>
        <w:tc>
          <w:tcPr>
            <w:tcW w:w="965" w:type="pct"/>
            <w:gridSpan w:val="2"/>
            <w:vAlign w:val="center"/>
          </w:tcPr>
          <w:p w14:paraId="77E5F421">
            <w:pPr>
              <w:widowControl/>
              <w:jc w:val="center"/>
              <w:textAlignment w:val="center"/>
              <w:rPr>
                <w:rFonts w:ascii="Times New Roman" w:eastAsia="Arial"/>
                <w:sz w:val="21"/>
                <w:szCs w:val="21"/>
              </w:rPr>
            </w:pPr>
            <w:r>
              <w:rPr>
                <w:rFonts w:ascii="Times New Roman" w:eastAsia="Arial"/>
                <w:sz w:val="21"/>
                <w:szCs w:val="21"/>
              </w:rPr>
              <w:t>天车</w:t>
            </w:r>
          </w:p>
        </w:tc>
        <w:tc>
          <w:tcPr>
            <w:tcW w:w="1431" w:type="pct"/>
            <w:vAlign w:val="center"/>
          </w:tcPr>
          <w:p w14:paraId="5ADA3CB4">
            <w:pPr>
              <w:jc w:val="center"/>
              <w:rPr>
                <w:rFonts w:ascii="Times New Roman" w:eastAsia="Arial"/>
                <w:sz w:val="21"/>
                <w:szCs w:val="21"/>
              </w:rPr>
            </w:pPr>
            <w:r>
              <w:rPr>
                <w:rFonts w:ascii="Times New Roman" w:eastAsia="Arial"/>
                <w:sz w:val="21"/>
                <w:szCs w:val="21"/>
              </w:rPr>
              <w:t>20T</w:t>
            </w:r>
          </w:p>
        </w:tc>
        <w:tc>
          <w:tcPr>
            <w:tcW w:w="470" w:type="pct"/>
            <w:vAlign w:val="center"/>
          </w:tcPr>
          <w:p w14:paraId="09780333">
            <w:pPr>
              <w:widowControl/>
              <w:jc w:val="center"/>
              <w:textAlignment w:val="center"/>
              <w:rPr>
                <w:rFonts w:ascii="Times New Roman" w:eastAsia="Arial"/>
                <w:spacing w:val="-2"/>
                <w:sz w:val="21"/>
                <w:szCs w:val="21"/>
              </w:rPr>
            </w:pPr>
            <w:r>
              <w:rPr>
                <w:rFonts w:ascii="Times New Roman" w:eastAsia="Arial"/>
                <w:sz w:val="21"/>
                <w:szCs w:val="21"/>
              </w:rPr>
              <w:t>2</w:t>
            </w:r>
          </w:p>
        </w:tc>
      </w:tr>
      <w:tr w14:paraId="55094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1428F67">
            <w:pPr>
              <w:jc w:val="center"/>
              <w:rPr>
                <w:rFonts w:ascii="Times New Roman"/>
                <w:sz w:val="21"/>
                <w:szCs w:val="21"/>
              </w:rPr>
            </w:pPr>
            <w:r>
              <w:rPr>
                <w:rFonts w:ascii="Times New Roman"/>
                <w:sz w:val="21"/>
                <w:szCs w:val="21"/>
              </w:rPr>
              <w:t>163</w:t>
            </w:r>
          </w:p>
        </w:tc>
        <w:tc>
          <w:tcPr>
            <w:tcW w:w="413" w:type="pct"/>
            <w:vMerge w:val="continue"/>
            <w:vAlign w:val="center"/>
          </w:tcPr>
          <w:p w14:paraId="4534964B">
            <w:pPr>
              <w:jc w:val="center"/>
              <w:rPr>
                <w:rFonts w:ascii="Times New Roman"/>
                <w:sz w:val="21"/>
                <w:szCs w:val="21"/>
              </w:rPr>
            </w:pPr>
          </w:p>
        </w:tc>
        <w:tc>
          <w:tcPr>
            <w:tcW w:w="616" w:type="pct"/>
            <w:vMerge w:val="continue"/>
            <w:vAlign w:val="center"/>
          </w:tcPr>
          <w:p w14:paraId="076E6FC9">
            <w:pPr>
              <w:jc w:val="center"/>
              <w:rPr>
                <w:rFonts w:ascii="Times New Roman"/>
                <w:sz w:val="21"/>
                <w:szCs w:val="21"/>
              </w:rPr>
            </w:pPr>
          </w:p>
        </w:tc>
        <w:tc>
          <w:tcPr>
            <w:tcW w:w="761" w:type="pct"/>
            <w:shd w:val="clear" w:color="auto" w:fill="auto"/>
            <w:vAlign w:val="center"/>
          </w:tcPr>
          <w:p w14:paraId="6087B0EA">
            <w:pPr>
              <w:widowControl/>
              <w:jc w:val="center"/>
              <w:textAlignment w:val="center"/>
              <w:rPr>
                <w:rFonts w:ascii="Times New Roman"/>
                <w:sz w:val="21"/>
                <w:szCs w:val="21"/>
              </w:rPr>
            </w:pPr>
            <w:r>
              <w:rPr>
                <w:rFonts w:ascii="Times New Roman"/>
                <w:kern w:val="0"/>
                <w:sz w:val="21"/>
                <w:szCs w:val="21"/>
              </w:rPr>
              <w:t>轨道车</w:t>
            </w:r>
          </w:p>
        </w:tc>
        <w:tc>
          <w:tcPr>
            <w:tcW w:w="965" w:type="pct"/>
            <w:gridSpan w:val="2"/>
            <w:vAlign w:val="center"/>
          </w:tcPr>
          <w:p w14:paraId="5F526EAD">
            <w:pPr>
              <w:widowControl/>
              <w:jc w:val="center"/>
              <w:textAlignment w:val="center"/>
              <w:rPr>
                <w:rFonts w:ascii="Times New Roman" w:eastAsia="Arial"/>
                <w:sz w:val="21"/>
                <w:szCs w:val="21"/>
              </w:rPr>
            </w:pPr>
            <w:r>
              <w:rPr>
                <w:rFonts w:ascii="Times New Roman" w:eastAsia="Arial"/>
                <w:sz w:val="21"/>
                <w:szCs w:val="21"/>
              </w:rPr>
              <w:t>轨道车</w:t>
            </w:r>
          </w:p>
        </w:tc>
        <w:tc>
          <w:tcPr>
            <w:tcW w:w="1431" w:type="pct"/>
            <w:vAlign w:val="center"/>
          </w:tcPr>
          <w:p w14:paraId="72D748E9">
            <w:pPr>
              <w:jc w:val="center"/>
              <w:rPr>
                <w:rFonts w:ascii="Times New Roman" w:eastAsia="Arial"/>
                <w:sz w:val="21"/>
                <w:szCs w:val="21"/>
              </w:rPr>
            </w:pPr>
            <w:r>
              <w:rPr>
                <w:rFonts w:ascii="Times New Roman" w:eastAsia="Arial"/>
                <w:sz w:val="21"/>
                <w:szCs w:val="21"/>
              </w:rPr>
              <w:t>20T</w:t>
            </w:r>
          </w:p>
        </w:tc>
        <w:tc>
          <w:tcPr>
            <w:tcW w:w="470" w:type="pct"/>
            <w:vAlign w:val="center"/>
          </w:tcPr>
          <w:p w14:paraId="71837DED">
            <w:pPr>
              <w:widowControl/>
              <w:jc w:val="center"/>
              <w:textAlignment w:val="center"/>
              <w:rPr>
                <w:rFonts w:ascii="Times New Roman" w:eastAsia="Arial"/>
                <w:spacing w:val="-2"/>
                <w:sz w:val="21"/>
                <w:szCs w:val="21"/>
              </w:rPr>
            </w:pPr>
            <w:r>
              <w:rPr>
                <w:rFonts w:ascii="Times New Roman" w:eastAsia="Arial"/>
                <w:sz w:val="21"/>
                <w:szCs w:val="21"/>
              </w:rPr>
              <w:t>2</w:t>
            </w:r>
          </w:p>
        </w:tc>
      </w:tr>
      <w:tr w14:paraId="307DE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F82D51C">
            <w:pPr>
              <w:jc w:val="center"/>
              <w:rPr>
                <w:rFonts w:ascii="Times New Roman"/>
                <w:sz w:val="21"/>
                <w:szCs w:val="21"/>
              </w:rPr>
            </w:pPr>
            <w:r>
              <w:rPr>
                <w:rFonts w:ascii="Times New Roman"/>
                <w:sz w:val="21"/>
                <w:szCs w:val="21"/>
              </w:rPr>
              <w:t>164</w:t>
            </w:r>
          </w:p>
        </w:tc>
        <w:tc>
          <w:tcPr>
            <w:tcW w:w="413" w:type="pct"/>
            <w:vMerge w:val="restart"/>
            <w:vAlign w:val="center"/>
          </w:tcPr>
          <w:p w14:paraId="63994F2E">
            <w:pPr>
              <w:jc w:val="center"/>
              <w:rPr>
                <w:rFonts w:ascii="Times New Roman" w:eastAsia="Arial"/>
                <w:sz w:val="21"/>
                <w:szCs w:val="21"/>
              </w:rPr>
            </w:pPr>
            <w:r>
              <w:rPr>
                <w:rFonts w:ascii="Times New Roman" w:eastAsia="Arial"/>
                <w:sz w:val="21"/>
                <w:szCs w:val="21"/>
              </w:rPr>
              <w:t>装配</w:t>
            </w:r>
            <w:r>
              <w:rPr>
                <w:rFonts w:hint="eastAsia" w:ascii="Times New Roman"/>
                <w:sz w:val="21"/>
                <w:szCs w:val="21"/>
              </w:rPr>
              <w:t>区</w:t>
            </w:r>
          </w:p>
        </w:tc>
        <w:tc>
          <w:tcPr>
            <w:tcW w:w="616" w:type="pct"/>
            <w:vMerge w:val="restart"/>
            <w:vAlign w:val="center"/>
          </w:tcPr>
          <w:p w14:paraId="457FE189">
            <w:pPr>
              <w:jc w:val="center"/>
              <w:rPr>
                <w:rFonts w:ascii="Times New Roman"/>
                <w:sz w:val="21"/>
                <w:szCs w:val="21"/>
              </w:rPr>
            </w:pPr>
            <w:r>
              <w:rPr>
                <w:rFonts w:ascii="Times New Roman"/>
                <w:sz w:val="21"/>
                <w:szCs w:val="21"/>
              </w:rPr>
              <w:t>装配配套原料库</w:t>
            </w:r>
          </w:p>
        </w:tc>
        <w:tc>
          <w:tcPr>
            <w:tcW w:w="761" w:type="pct"/>
            <w:vMerge w:val="restart"/>
            <w:vAlign w:val="center"/>
          </w:tcPr>
          <w:p w14:paraId="701D417C">
            <w:pPr>
              <w:jc w:val="center"/>
              <w:rPr>
                <w:rFonts w:ascii="Times New Roman"/>
                <w:sz w:val="21"/>
                <w:szCs w:val="21"/>
              </w:rPr>
            </w:pPr>
            <w:r>
              <w:rPr>
                <w:rFonts w:ascii="Times New Roman"/>
                <w:kern w:val="0"/>
                <w:sz w:val="21"/>
                <w:szCs w:val="21"/>
              </w:rPr>
              <w:t>装配配套原料库</w:t>
            </w:r>
          </w:p>
        </w:tc>
        <w:tc>
          <w:tcPr>
            <w:tcW w:w="965" w:type="pct"/>
            <w:gridSpan w:val="2"/>
            <w:vAlign w:val="center"/>
          </w:tcPr>
          <w:p w14:paraId="4708A103">
            <w:pPr>
              <w:widowControl/>
              <w:jc w:val="center"/>
              <w:textAlignment w:val="center"/>
              <w:rPr>
                <w:rFonts w:ascii="Times New Roman" w:eastAsia="Arial"/>
                <w:sz w:val="21"/>
                <w:szCs w:val="21"/>
              </w:rPr>
            </w:pPr>
            <w:r>
              <w:rPr>
                <w:rFonts w:ascii="Times New Roman" w:eastAsia="Arial"/>
                <w:sz w:val="21"/>
                <w:szCs w:val="21"/>
              </w:rPr>
              <w:t>托盘堆垛机</w:t>
            </w:r>
          </w:p>
        </w:tc>
        <w:tc>
          <w:tcPr>
            <w:tcW w:w="1431" w:type="pct"/>
            <w:vAlign w:val="center"/>
          </w:tcPr>
          <w:p w14:paraId="42A0840C">
            <w:pPr>
              <w:jc w:val="center"/>
              <w:rPr>
                <w:rFonts w:ascii="Times New Roman" w:eastAsia="Arial"/>
                <w:sz w:val="21"/>
                <w:szCs w:val="21"/>
              </w:rPr>
            </w:pPr>
            <w:r>
              <w:rPr>
                <w:rFonts w:ascii="Times New Roman"/>
                <w:sz w:val="21"/>
                <w:szCs w:val="21"/>
              </w:rPr>
              <w:t>/</w:t>
            </w:r>
          </w:p>
        </w:tc>
        <w:tc>
          <w:tcPr>
            <w:tcW w:w="470" w:type="pct"/>
            <w:vAlign w:val="center"/>
          </w:tcPr>
          <w:p w14:paraId="3EE772A1">
            <w:pPr>
              <w:widowControl/>
              <w:jc w:val="center"/>
              <w:textAlignment w:val="center"/>
              <w:rPr>
                <w:rFonts w:ascii="Times New Roman" w:eastAsia="Arial"/>
                <w:spacing w:val="-2"/>
                <w:sz w:val="21"/>
                <w:szCs w:val="21"/>
              </w:rPr>
            </w:pPr>
            <w:r>
              <w:rPr>
                <w:rFonts w:ascii="Times New Roman" w:eastAsia="Arial"/>
                <w:sz w:val="21"/>
                <w:szCs w:val="21"/>
              </w:rPr>
              <w:t>2</w:t>
            </w:r>
          </w:p>
        </w:tc>
      </w:tr>
      <w:tr w14:paraId="3310B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348CBE4">
            <w:pPr>
              <w:jc w:val="center"/>
              <w:rPr>
                <w:rFonts w:ascii="Times New Roman"/>
                <w:sz w:val="21"/>
                <w:szCs w:val="21"/>
              </w:rPr>
            </w:pPr>
            <w:r>
              <w:rPr>
                <w:rFonts w:ascii="Times New Roman"/>
                <w:sz w:val="21"/>
                <w:szCs w:val="21"/>
              </w:rPr>
              <w:t>165</w:t>
            </w:r>
          </w:p>
        </w:tc>
        <w:tc>
          <w:tcPr>
            <w:tcW w:w="413" w:type="pct"/>
            <w:vMerge w:val="continue"/>
            <w:vAlign w:val="center"/>
          </w:tcPr>
          <w:p w14:paraId="0F2EAC31">
            <w:pPr>
              <w:jc w:val="center"/>
              <w:rPr>
                <w:rFonts w:ascii="Times New Roman" w:eastAsia="Arial"/>
                <w:sz w:val="21"/>
                <w:szCs w:val="21"/>
              </w:rPr>
            </w:pPr>
          </w:p>
        </w:tc>
        <w:tc>
          <w:tcPr>
            <w:tcW w:w="616" w:type="pct"/>
            <w:vMerge w:val="continue"/>
            <w:vAlign w:val="center"/>
          </w:tcPr>
          <w:p w14:paraId="1FAABEC9">
            <w:pPr>
              <w:jc w:val="center"/>
              <w:rPr>
                <w:rFonts w:ascii="Times New Roman"/>
                <w:sz w:val="21"/>
                <w:szCs w:val="21"/>
              </w:rPr>
            </w:pPr>
          </w:p>
        </w:tc>
        <w:tc>
          <w:tcPr>
            <w:tcW w:w="761" w:type="pct"/>
            <w:vMerge w:val="continue"/>
            <w:vAlign w:val="center"/>
          </w:tcPr>
          <w:p w14:paraId="181E52AD">
            <w:pPr>
              <w:jc w:val="center"/>
              <w:rPr>
                <w:rFonts w:ascii="Times New Roman"/>
                <w:sz w:val="21"/>
                <w:szCs w:val="21"/>
              </w:rPr>
            </w:pPr>
          </w:p>
        </w:tc>
        <w:tc>
          <w:tcPr>
            <w:tcW w:w="965" w:type="pct"/>
            <w:gridSpan w:val="2"/>
            <w:vAlign w:val="center"/>
          </w:tcPr>
          <w:p w14:paraId="385B03D9">
            <w:pPr>
              <w:widowControl/>
              <w:jc w:val="center"/>
              <w:textAlignment w:val="center"/>
              <w:rPr>
                <w:rFonts w:ascii="Times New Roman" w:eastAsia="Arial"/>
                <w:sz w:val="21"/>
                <w:szCs w:val="21"/>
              </w:rPr>
            </w:pPr>
            <w:r>
              <w:rPr>
                <w:rFonts w:ascii="Times New Roman" w:eastAsia="Arial"/>
                <w:sz w:val="21"/>
                <w:szCs w:val="21"/>
              </w:rPr>
              <w:t>料箱堆垛机</w:t>
            </w:r>
          </w:p>
        </w:tc>
        <w:tc>
          <w:tcPr>
            <w:tcW w:w="1431" w:type="pct"/>
            <w:vAlign w:val="center"/>
          </w:tcPr>
          <w:p w14:paraId="2DF006C5">
            <w:pPr>
              <w:jc w:val="center"/>
              <w:rPr>
                <w:rFonts w:ascii="Times New Roman" w:eastAsia="Arial"/>
                <w:sz w:val="21"/>
                <w:szCs w:val="21"/>
              </w:rPr>
            </w:pPr>
            <w:r>
              <w:rPr>
                <w:rFonts w:ascii="Times New Roman"/>
                <w:sz w:val="21"/>
                <w:szCs w:val="21"/>
              </w:rPr>
              <w:t>/</w:t>
            </w:r>
          </w:p>
        </w:tc>
        <w:tc>
          <w:tcPr>
            <w:tcW w:w="470" w:type="pct"/>
            <w:vAlign w:val="center"/>
          </w:tcPr>
          <w:p w14:paraId="7A976770">
            <w:pPr>
              <w:widowControl/>
              <w:jc w:val="center"/>
              <w:textAlignment w:val="center"/>
              <w:rPr>
                <w:rFonts w:ascii="Times New Roman" w:eastAsia="Arial"/>
                <w:spacing w:val="-2"/>
                <w:sz w:val="21"/>
                <w:szCs w:val="21"/>
              </w:rPr>
            </w:pPr>
            <w:r>
              <w:rPr>
                <w:rFonts w:ascii="Times New Roman" w:eastAsia="Arial"/>
                <w:sz w:val="21"/>
                <w:szCs w:val="21"/>
              </w:rPr>
              <w:t>2</w:t>
            </w:r>
          </w:p>
        </w:tc>
      </w:tr>
      <w:tr w14:paraId="5D65D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25C0E3C">
            <w:pPr>
              <w:jc w:val="center"/>
              <w:rPr>
                <w:rFonts w:ascii="Times New Roman"/>
                <w:sz w:val="21"/>
                <w:szCs w:val="21"/>
              </w:rPr>
            </w:pPr>
            <w:r>
              <w:rPr>
                <w:rFonts w:ascii="Times New Roman"/>
                <w:sz w:val="21"/>
                <w:szCs w:val="21"/>
              </w:rPr>
              <w:t>166</w:t>
            </w:r>
          </w:p>
        </w:tc>
        <w:tc>
          <w:tcPr>
            <w:tcW w:w="413" w:type="pct"/>
            <w:vMerge w:val="continue"/>
            <w:vAlign w:val="center"/>
          </w:tcPr>
          <w:p w14:paraId="7279B3C7">
            <w:pPr>
              <w:jc w:val="center"/>
              <w:rPr>
                <w:rFonts w:ascii="Times New Roman" w:eastAsia="Arial"/>
                <w:sz w:val="21"/>
                <w:szCs w:val="21"/>
              </w:rPr>
            </w:pPr>
          </w:p>
        </w:tc>
        <w:tc>
          <w:tcPr>
            <w:tcW w:w="616" w:type="pct"/>
            <w:vMerge w:val="continue"/>
            <w:vAlign w:val="center"/>
          </w:tcPr>
          <w:p w14:paraId="34F0B896">
            <w:pPr>
              <w:jc w:val="center"/>
              <w:rPr>
                <w:rFonts w:ascii="Times New Roman"/>
                <w:sz w:val="21"/>
                <w:szCs w:val="21"/>
              </w:rPr>
            </w:pPr>
          </w:p>
        </w:tc>
        <w:tc>
          <w:tcPr>
            <w:tcW w:w="761" w:type="pct"/>
            <w:vMerge w:val="continue"/>
            <w:vAlign w:val="center"/>
          </w:tcPr>
          <w:p w14:paraId="24D9AB0E">
            <w:pPr>
              <w:jc w:val="center"/>
              <w:rPr>
                <w:rFonts w:ascii="Times New Roman"/>
                <w:sz w:val="21"/>
                <w:szCs w:val="21"/>
              </w:rPr>
            </w:pPr>
          </w:p>
        </w:tc>
        <w:tc>
          <w:tcPr>
            <w:tcW w:w="965" w:type="pct"/>
            <w:gridSpan w:val="2"/>
            <w:vAlign w:val="center"/>
          </w:tcPr>
          <w:p w14:paraId="52644A2F">
            <w:pPr>
              <w:widowControl/>
              <w:jc w:val="center"/>
              <w:textAlignment w:val="center"/>
              <w:rPr>
                <w:rFonts w:ascii="Times New Roman" w:eastAsia="Arial"/>
                <w:sz w:val="21"/>
                <w:szCs w:val="21"/>
              </w:rPr>
            </w:pPr>
            <w:r>
              <w:rPr>
                <w:rFonts w:ascii="Times New Roman" w:eastAsia="Arial"/>
                <w:sz w:val="21"/>
                <w:szCs w:val="21"/>
              </w:rPr>
              <w:t>输送系统</w:t>
            </w:r>
          </w:p>
        </w:tc>
        <w:tc>
          <w:tcPr>
            <w:tcW w:w="1431" w:type="pct"/>
            <w:vAlign w:val="center"/>
          </w:tcPr>
          <w:p w14:paraId="1B09EF5F">
            <w:pPr>
              <w:jc w:val="center"/>
              <w:rPr>
                <w:rFonts w:ascii="Times New Roman" w:eastAsia="Arial"/>
                <w:sz w:val="21"/>
                <w:szCs w:val="21"/>
              </w:rPr>
            </w:pPr>
            <w:r>
              <w:rPr>
                <w:rFonts w:ascii="Times New Roman"/>
                <w:sz w:val="21"/>
                <w:szCs w:val="21"/>
              </w:rPr>
              <w:t>/</w:t>
            </w:r>
          </w:p>
        </w:tc>
        <w:tc>
          <w:tcPr>
            <w:tcW w:w="470" w:type="pct"/>
            <w:vAlign w:val="center"/>
          </w:tcPr>
          <w:p w14:paraId="111AD7E1">
            <w:pPr>
              <w:widowControl/>
              <w:jc w:val="center"/>
              <w:textAlignment w:val="center"/>
              <w:rPr>
                <w:rFonts w:ascii="Times New Roman" w:eastAsia="Arial"/>
                <w:spacing w:val="-2"/>
                <w:sz w:val="21"/>
                <w:szCs w:val="21"/>
              </w:rPr>
            </w:pPr>
            <w:r>
              <w:rPr>
                <w:rFonts w:ascii="Times New Roman" w:eastAsia="Arial"/>
                <w:sz w:val="21"/>
                <w:szCs w:val="21"/>
              </w:rPr>
              <w:t>1</w:t>
            </w:r>
          </w:p>
        </w:tc>
      </w:tr>
      <w:tr w14:paraId="771B2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2213B0BA">
            <w:pPr>
              <w:jc w:val="center"/>
              <w:rPr>
                <w:rFonts w:ascii="Times New Roman"/>
                <w:sz w:val="21"/>
                <w:szCs w:val="21"/>
              </w:rPr>
            </w:pPr>
            <w:r>
              <w:rPr>
                <w:rFonts w:ascii="Times New Roman"/>
                <w:sz w:val="21"/>
                <w:szCs w:val="21"/>
              </w:rPr>
              <w:t>167</w:t>
            </w:r>
          </w:p>
        </w:tc>
        <w:tc>
          <w:tcPr>
            <w:tcW w:w="413" w:type="pct"/>
            <w:vMerge w:val="continue"/>
            <w:vAlign w:val="center"/>
          </w:tcPr>
          <w:p w14:paraId="402BFE2C">
            <w:pPr>
              <w:jc w:val="center"/>
              <w:rPr>
                <w:rFonts w:ascii="Times New Roman" w:eastAsia="Arial"/>
                <w:sz w:val="21"/>
                <w:szCs w:val="21"/>
              </w:rPr>
            </w:pPr>
          </w:p>
        </w:tc>
        <w:tc>
          <w:tcPr>
            <w:tcW w:w="616" w:type="pct"/>
            <w:vMerge w:val="continue"/>
            <w:vAlign w:val="center"/>
          </w:tcPr>
          <w:p w14:paraId="5179C180">
            <w:pPr>
              <w:jc w:val="center"/>
              <w:rPr>
                <w:rFonts w:ascii="Times New Roman"/>
                <w:sz w:val="21"/>
                <w:szCs w:val="21"/>
              </w:rPr>
            </w:pPr>
          </w:p>
        </w:tc>
        <w:tc>
          <w:tcPr>
            <w:tcW w:w="761" w:type="pct"/>
            <w:vMerge w:val="continue"/>
            <w:vAlign w:val="center"/>
          </w:tcPr>
          <w:p w14:paraId="64325F78">
            <w:pPr>
              <w:jc w:val="center"/>
              <w:rPr>
                <w:rFonts w:ascii="Times New Roman"/>
                <w:sz w:val="21"/>
                <w:szCs w:val="21"/>
              </w:rPr>
            </w:pPr>
          </w:p>
        </w:tc>
        <w:tc>
          <w:tcPr>
            <w:tcW w:w="965" w:type="pct"/>
            <w:gridSpan w:val="2"/>
            <w:vAlign w:val="center"/>
          </w:tcPr>
          <w:p w14:paraId="55639749">
            <w:pPr>
              <w:widowControl/>
              <w:jc w:val="center"/>
              <w:textAlignment w:val="center"/>
              <w:rPr>
                <w:rFonts w:ascii="Times New Roman" w:eastAsia="Arial"/>
                <w:sz w:val="21"/>
                <w:szCs w:val="21"/>
              </w:rPr>
            </w:pPr>
            <w:r>
              <w:rPr>
                <w:rFonts w:ascii="Times New Roman" w:eastAsia="Arial"/>
                <w:sz w:val="21"/>
                <w:szCs w:val="21"/>
              </w:rPr>
              <w:t>叉车</w:t>
            </w:r>
          </w:p>
        </w:tc>
        <w:tc>
          <w:tcPr>
            <w:tcW w:w="1431" w:type="pct"/>
            <w:vAlign w:val="center"/>
          </w:tcPr>
          <w:p w14:paraId="5D6B4BEE">
            <w:pPr>
              <w:jc w:val="center"/>
              <w:rPr>
                <w:rFonts w:ascii="Times New Roman" w:eastAsia="Arial"/>
                <w:sz w:val="21"/>
                <w:szCs w:val="21"/>
              </w:rPr>
            </w:pPr>
            <w:r>
              <w:rPr>
                <w:rFonts w:ascii="Times New Roman"/>
                <w:sz w:val="21"/>
                <w:szCs w:val="21"/>
              </w:rPr>
              <w:t>/</w:t>
            </w:r>
          </w:p>
        </w:tc>
        <w:tc>
          <w:tcPr>
            <w:tcW w:w="470" w:type="pct"/>
            <w:vAlign w:val="center"/>
          </w:tcPr>
          <w:p w14:paraId="7638AA8C">
            <w:pPr>
              <w:widowControl/>
              <w:jc w:val="center"/>
              <w:textAlignment w:val="center"/>
              <w:rPr>
                <w:rFonts w:ascii="Times New Roman" w:eastAsia="Arial"/>
                <w:spacing w:val="-2"/>
                <w:sz w:val="21"/>
                <w:szCs w:val="21"/>
              </w:rPr>
            </w:pPr>
            <w:r>
              <w:rPr>
                <w:rFonts w:ascii="Times New Roman" w:eastAsia="Arial"/>
                <w:sz w:val="21"/>
                <w:szCs w:val="21"/>
              </w:rPr>
              <w:t>2</w:t>
            </w:r>
          </w:p>
        </w:tc>
      </w:tr>
      <w:tr w14:paraId="44CD3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5F732745">
            <w:pPr>
              <w:jc w:val="center"/>
              <w:rPr>
                <w:rFonts w:ascii="Times New Roman"/>
                <w:sz w:val="21"/>
                <w:szCs w:val="21"/>
              </w:rPr>
            </w:pPr>
            <w:r>
              <w:rPr>
                <w:rFonts w:ascii="Times New Roman"/>
                <w:sz w:val="21"/>
                <w:szCs w:val="21"/>
              </w:rPr>
              <w:t>168</w:t>
            </w:r>
          </w:p>
        </w:tc>
        <w:tc>
          <w:tcPr>
            <w:tcW w:w="413" w:type="pct"/>
            <w:vMerge w:val="continue"/>
            <w:vAlign w:val="center"/>
          </w:tcPr>
          <w:p w14:paraId="583BB512">
            <w:pPr>
              <w:jc w:val="center"/>
              <w:rPr>
                <w:rFonts w:ascii="Times New Roman" w:eastAsia="Arial"/>
                <w:sz w:val="21"/>
                <w:szCs w:val="21"/>
              </w:rPr>
            </w:pPr>
          </w:p>
        </w:tc>
        <w:tc>
          <w:tcPr>
            <w:tcW w:w="616" w:type="pct"/>
            <w:vAlign w:val="center"/>
          </w:tcPr>
          <w:p w14:paraId="27FB59F6">
            <w:pPr>
              <w:widowControl/>
              <w:jc w:val="center"/>
              <w:textAlignment w:val="center"/>
              <w:rPr>
                <w:rFonts w:ascii="Times New Roman" w:eastAsia="Arial"/>
                <w:sz w:val="21"/>
                <w:szCs w:val="21"/>
              </w:rPr>
            </w:pPr>
            <w:r>
              <w:rPr>
                <w:rFonts w:ascii="Times New Roman" w:eastAsia="Arial"/>
                <w:sz w:val="21"/>
                <w:szCs w:val="21"/>
              </w:rPr>
              <w:t>滚筒装配区</w:t>
            </w:r>
          </w:p>
        </w:tc>
        <w:tc>
          <w:tcPr>
            <w:tcW w:w="761" w:type="pct"/>
            <w:vAlign w:val="center"/>
          </w:tcPr>
          <w:p w14:paraId="6446B7A3">
            <w:pPr>
              <w:widowControl/>
              <w:jc w:val="center"/>
              <w:textAlignment w:val="center"/>
              <w:rPr>
                <w:rFonts w:ascii="Times New Roman" w:eastAsia="Arial"/>
                <w:sz w:val="21"/>
                <w:szCs w:val="21"/>
              </w:rPr>
            </w:pPr>
            <w:r>
              <w:rPr>
                <w:rFonts w:ascii="Times New Roman"/>
                <w:kern w:val="0"/>
                <w:sz w:val="21"/>
                <w:szCs w:val="21"/>
              </w:rPr>
              <w:t>滚筒装配线</w:t>
            </w:r>
          </w:p>
        </w:tc>
        <w:tc>
          <w:tcPr>
            <w:tcW w:w="965" w:type="pct"/>
            <w:gridSpan w:val="2"/>
            <w:vAlign w:val="center"/>
          </w:tcPr>
          <w:p w14:paraId="033396AE">
            <w:pPr>
              <w:widowControl/>
              <w:jc w:val="center"/>
              <w:textAlignment w:val="center"/>
              <w:rPr>
                <w:rFonts w:ascii="Times New Roman" w:eastAsia="Arial"/>
                <w:sz w:val="21"/>
                <w:szCs w:val="21"/>
              </w:rPr>
            </w:pPr>
            <w:r>
              <w:rPr>
                <w:rFonts w:ascii="Times New Roman" w:eastAsia="Arial"/>
                <w:sz w:val="21"/>
                <w:szCs w:val="21"/>
              </w:rPr>
              <w:t>滚筒装配线</w:t>
            </w:r>
          </w:p>
        </w:tc>
        <w:tc>
          <w:tcPr>
            <w:tcW w:w="1431" w:type="pct"/>
            <w:vAlign w:val="center"/>
          </w:tcPr>
          <w:p w14:paraId="5BBDD691">
            <w:pPr>
              <w:jc w:val="center"/>
              <w:rPr>
                <w:rFonts w:ascii="Times New Roman" w:eastAsia="Arial"/>
                <w:sz w:val="21"/>
                <w:szCs w:val="21"/>
              </w:rPr>
            </w:pPr>
            <w:r>
              <w:rPr>
                <w:rFonts w:ascii="Times New Roman"/>
                <w:sz w:val="21"/>
                <w:szCs w:val="21"/>
              </w:rPr>
              <w:t>/</w:t>
            </w:r>
          </w:p>
        </w:tc>
        <w:tc>
          <w:tcPr>
            <w:tcW w:w="470" w:type="pct"/>
            <w:vAlign w:val="center"/>
          </w:tcPr>
          <w:p w14:paraId="3F3CC155">
            <w:pPr>
              <w:widowControl/>
              <w:jc w:val="center"/>
              <w:textAlignment w:val="center"/>
              <w:rPr>
                <w:rFonts w:ascii="Times New Roman" w:eastAsia="Arial"/>
                <w:sz w:val="21"/>
                <w:szCs w:val="21"/>
              </w:rPr>
            </w:pPr>
            <w:r>
              <w:rPr>
                <w:rFonts w:ascii="Times New Roman" w:eastAsia="Arial"/>
                <w:sz w:val="21"/>
                <w:szCs w:val="21"/>
              </w:rPr>
              <w:t>1</w:t>
            </w:r>
          </w:p>
        </w:tc>
      </w:tr>
      <w:tr w14:paraId="6927A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4494E4A">
            <w:pPr>
              <w:jc w:val="center"/>
              <w:rPr>
                <w:rFonts w:ascii="Times New Roman"/>
                <w:sz w:val="21"/>
                <w:szCs w:val="21"/>
              </w:rPr>
            </w:pPr>
            <w:r>
              <w:rPr>
                <w:rFonts w:ascii="Times New Roman"/>
                <w:sz w:val="21"/>
                <w:szCs w:val="21"/>
              </w:rPr>
              <w:t>169</w:t>
            </w:r>
          </w:p>
        </w:tc>
        <w:tc>
          <w:tcPr>
            <w:tcW w:w="413" w:type="pct"/>
            <w:vMerge w:val="continue"/>
            <w:vAlign w:val="center"/>
          </w:tcPr>
          <w:p w14:paraId="05A8C5BC">
            <w:pPr>
              <w:jc w:val="center"/>
              <w:rPr>
                <w:rFonts w:ascii="Times New Roman" w:eastAsia="Arial"/>
                <w:sz w:val="21"/>
                <w:szCs w:val="21"/>
              </w:rPr>
            </w:pPr>
          </w:p>
        </w:tc>
        <w:tc>
          <w:tcPr>
            <w:tcW w:w="616" w:type="pct"/>
            <w:vMerge w:val="restart"/>
            <w:vAlign w:val="center"/>
          </w:tcPr>
          <w:p w14:paraId="0E169EF3">
            <w:pPr>
              <w:widowControl/>
              <w:jc w:val="center"/>
              <w:textAlignment w:val="center"/>
              <w:rPr>
                <w:rFonts w:ascii="Times New Roman" w:eastAsia="Arial"/>
                <w:sz w:val="21"/>
                <w:szCs w:val="21"/>
              </w:rPr>
            </w:pPr>
            <w:r>
              <w:rPr>
                <w:rFonts w:ascii="Times New Roman" w:eastAsia="Arial"/>
                <w:sz w:val="21"/>
                <w:szCs w:val="21"/>
              </w:rPr>
              <w:t>搬运</w:t>
            </w:r>
          </w:p>
        </w:tc>
        <w:tc>
          <w:tcPr>
            <w:tcW w:w="761" w:type="pct"/>
            <w:shd w:val="clear" w:color="auto" w:fill="auto"/>
            <w:vAlign w:val="center"/>
          </w:tcPr>
          <w:p w14:paraId="27197125">
            <w:pPr>
              <w:widowControl/>
              <w:jc w:val="center"/>
              <w:textAlignment w:val="center"/>
              <w:rPr>
                <w:rFonts w:ascii="Times New Roman"/>
                <w:sz w:val="21"/>
                <w:szCs w:val="21"/>
              </w:rPr>
            </w:pPr>
            <w:r>
              <w:rPr>
                <w:rFonts w:ascii="Times New Roman"/>
                <w:kern w:val="0"/>
                <w:sz w:val="21"/>
                <w:szCs w:val="21"/>
              </w:rPr>
              <w:t>入库转运</w:t>
            </w:r>
          </w:p>
        </w:tc>
        <w:tc>
          <w:tcPr>
            <w:tcW w:w="965" w:type="pct"/>
            <w:gridSpan w:val="2"/>
            <w:vAlign w:val="center"/>
          </w:tcPr>
          <w:p w14:paraId="7F4FDD61">
            <w:pPr>
              <w:widowControl/>
              <w:jc w:val="center"/>
              <w:textAlignment w:val="center"/>
              <w:rPr>
                <w:rFonts w:ascii="Times New Roman" w:eastAsia="Arial"/>
                <w:sz w:val="21"/>
                <w:szCs w:val="21"/>
              </w:rPr>
            </w:pPr>
            <w:r>
              <w:rPr>
                <w:rFonts w:ascii="Times New Roman" w:eastAsia="Arial"/>
                <w:sz w:val="21"/>
                <w:szCs w:val="21"/>
              </w:rPr>
              <w:t>轨道车</w:t>
            </w:r>
          </w:p>
        </w:tc>
        <w:tc>
          <w:tcPr>
            <w:tcW w:w="1431" w:type="pct"/>
            <w:shd w:val="clear" w:color="auto" w:fill="auto"/>
            <w:vAlign w:val="center"/>
          </w:tcPr>
          <w:p w14:paraId="68F7B172">
            <w:pPr>
              <w:widowControl/>
              <w:jc w:val="center"/>
              <w:textAlignment w:val="center"/>
              <w:rPr>
                <w:rFonts w:ascii="Times New Roman"/>
                <w:kern w:val="0"/>
                <w:sz w:val="21"/>
                <w:szCs w:val="21"/>
              </w:rPr>
            </w:pPr>
            <w:r>
              <w:rPr>
                <w:rFonts w:ascii="Times New Roman"/>
                <w:kern w:val="0"/>
                <w:sz w:val="21"/>
                <w:szCs w:val="21"/>
              </w:rPr>
              <w:t>20T</w:t>
            </w:r>
          </w:p>
        </w:tc>
        <w:tc>
          <w:tcPr>
            <w:tcW w:w="470" w:type="pct"/>
            <w:vAlign w:val="center"/>
          </w:tcPr>
          <w:p w14:paraId="5CF5F68D">
            <w:pPr>
              <w:widowControl/>
              <w:jc w:val="center"/>
              <w:textAlignment w:val="center"/>
              <w:rPr>
                <w:rFonts w:ascii="Times New Roman" w:eastAsia="Arial"/>
                <w:sz w:val="21"/>
                <w:szCs w:val="21"/>
              </w:rPr>
            </w:pPr>
            <w:r>
              <w:rPr>
                <w:rFonts w:ascii="Times New Roman" w:eastAsia="Arial"/>
                <w:sz w:val="21"/>
                <w:szCs w:val="21"/>
              </w:rPr>
              <w:t>1</w:t>
            </w:r>
          </w:p>
        </w:tc>
      </w:tr>
      <w:tr w14:paraId="698EA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01195F97">
            <w:pPr>
              <w:jc w:val="center"/>
              <w:rPr>
                <w:rFonts w:ascii="Times New Roman"/>
                <w:sz w:val="21"/>
                <w:szCs w:val="21"/>
              </w:rPr>
            </w:pPr>
            <w:r>
              <w:rPr>
                <w:rFonts w:ascii="Times New Roman"/>
                <w:sz w:val="21"/>
                <w:szCs w:val="21"/>
              </w:rPr>
              <w:t>170</w:t>
            </w:r>
          </w:p>
        </w:tc>
        <w:tc>
          <w:tcPr>
            <w:tcW w:w="413" w:type="pct"/>
            <w:vMerge w:val="continue"/>
            <w:vAlign w:val="center"/>
          </w:tcPr>
          <w:p w14:paraId="4011DB4E">
            <w:pPr>
              <w:jc w:val="center"/>
              <w:rPr>
                <w:rFonts w:ascii="Times New Roman" w:eastAsia="Arial"/>
                <w:sz w:val="21"/>
                <w:szCs w:val="21"/>
              </w:rPr>
            </w:pPr>
          </w:p>
        </w:tc>
        <w:tc>
          <w:tcPr>
            <w:tcW w:w="616" w:type="pct"/>
            <w:vMerge w:val="continue"/>
            <w:vAlign w:val="center"/>
          </w:tcPr>
          <w:p w14:paraId="5B6C2CCC">
            <w:pPr>
              <w:widowControl/>
              <w:jc w:val="center"/>
              <w:textAlignment w:val="center"/>
              <w:rPr>
                <w:rFonts w:ascii="Times New Roman" w:eastAsia="Arial"/>
                <w:sz w:val="21"/>
                <w:szCs w:val="21"/>
              </w:rPr>
            </w:pPr>
          </w:p>
        </w:tc>
        <w:tc>
          <w:tcPr>
            <w:tcW w:w="761" w:type="pct"/>
            <w:shd w:val="clear" w:color="auto" w:fill="auto"/>
            <w:vAlign w:val="center"/>
          </w:tcPr>
          <w:p w14:paraId="57E0C64E">
            <w:pPr>
              <w:widowControl/>
              <w:jc w:val="center"/>
              <w:textAlignment w:val="center"/>
              <w:rPr>
                <w:rFonts w:ascii="Times New Roman"/>
                <w:sz w:val="21"/>
                <w:szCs w:val="21"/>
              </w:rPr>
            </w:pPr>
            <w:r>
              <w:rPr>
                <w:rFonts w:ascii="Times New Roman"/>
                <w:kern w:val="0"/>
                <w:sz w:val="21"/>
                <w:szCs w:val="21"/>
              </w:rPr>
              <w:t>天车</w:t>
            </w:r>
          </w:p>
        </w:tc>
        <w:tc>
          <w:tcPr>
            <w:tcW w:w="965" w:type="pct"/>
            <w:gridSpan w:val="2"/>
            <w:vAlign w:val="center"/>
          </w:tcPr>
          <w:p w14:paraId="4EC8D377">
            <w:pPr>
              <w:widowControl/>
              <w:jc w:val="center"/>
              <w:textAlignment w:val="center"/>
              <w:rPr>
                <w:rFonts w:ascii="Times New Roman" w:eastAsia="Arial"/>
                <w:sz w:val="21"/>
                <w:szCs w:val="21"/>
              </w:rPr>
            </w:pPr>
            <w:r>
              <w:rPr>
                <w:rFonts w:ascii="Times New Roman" w:eastAsia="Arial"/>
                <w:sz w:val="21"/>
                <w:szCs w:val="21"/>
              </w:rPr>
              <w:t>天车</w:t>
            </w:r>
          </w:p>
        </w:tc>
        <w:tc>
          <w:tcPr>
            <w:tcW w:w="1431" w:type="pct"/>
            <w:shd w:val="clear" w:color="auto" w:fill="auto"/>
            <w:vAlign w:val="center"/>
          </w:tcPr>
          <w:p w14:paraId="3DB091A0">
            <w:pPr>
              <w:widowControl/>
              <w:jc w:val="center"/>
              <w:textAlignment w:val="center"/>
              <w:rPr>
                <w:rFonts w:ascii="Times New Roman"/>
                <w:kern w:val="0"/>
                <w:sz w:val="21"/>
                <w:szCs w:val="21"/>
              </w:rPr>
            </w:pPr>
            <w:r>
              <w:rPr>
                <w:rFonts w:ascii="Times New Roman"/>
                <w:kern w:val="0"/>
                <w:sz w:val="21"/>
                <w:szCs w:val="21"/>
              </w:rPr>
              <w:t>80T</w:t>
            </w:r>
          </w:p>
        </w:tc>
        <w:tc>
          <w:tcPr>
            <w:tcW w:w="470" w:type="pct"/>
            <w:vAlign w:val="center"/>
          </w:tcPr>
          <w:p w14:paraId="043CA07E">
            <w:pPr>
              <w:widowControl/>
              <w:jc w:val="center"/>
              <w:textAlignment w:val="center"/>
              <w:rPr>
                <w:rFonts w:ascii="Times New Roman" w:eastAsia="Arial"/>
                <w:sz w:val="21"/>
                <w:szCs w:val="21"/>
              </w:rPr>
            </w:pPr>
            <w:r>
              <w:rPr>
                <w:rFonts w:ascii="Times New Roman" w:eastAsia="Arial"/>
                <w:sz w:val="21"/>
                <w:szCs w:val="21"/>
              </w:rPr>
              <w:t>4</w:t>
            </w:r>
          </w:p>
        </w:tc>
      </w:tr>
      <w:tr w14:paraId="09167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61C5EDB9">
            <w:pPr>
              <w:jc w:val="center"/>
              <w:rPr>
                <w:rFonts w:ascii="Times New Roman"/>
                <w:sz w:val="21"/>
                <w:szCs w:val="21"/>
              </w:rPr>
            </w:pPr>
            <w:r>
              <w:rPr>
                <w:rFonts w:ascii="Times New Roman"/>
                <w:sz w:val="21"/>
                <w:szCs w:val="21"/>
              </w:rPr>
              <w:t>171</w:t>
            </w:r>
          </w:p>
        </w:tc>
        <w:tc>
          <w:tcPr>
            <w:tcW w:w="413" w:type="pct"/>
            <w:vAlign w:val="center"/>
          </w:tcPr>
          <w:p w14:paraId="22FF049E">
            <w:pPr>
              <w:widowControl/>
              <w:jc w:val="center"/>
              <w:textAlignment w:val="center"/>
              <w:rPr>
                <w:rFonts w:ascii="Times New Roman" w:eastAsia="Arial"/>
                <w:sz w:val="21"/>
                <w:szCs w:val="21"/>
              </w:rPr>
            </w:pPr>
            <w:r>
              <w:rPr>
                <w:rFonts w:ascii="Times New Roman" w:eastAsia="Arial"/>
                <w:sz w:val="21"/>
                <w:szCs w:val="21"/>
              </w:rPr>
              <w:t>托辊</w:t>
            </w:r>
            <w:r>
              <w:rPr>
                <w:rFonts w:hint="eastAsia" w:ascii="Times New Roman" w:eastAsia="Arial"/>
                <w:sz w:val="21"/>
                <w:szCs w:val="21"/>
              </w:rPr>
              <w:t>区</w:t>
            </w:r>
          </w:p>
        </w:tc>
        <w:tc>
          <w:tcPr>
            <w:tcW w:w="616" w:type="pct"/>
            <w:vAlign w:val="center"/>
          </w:tcPr>
          <w:p w14:paraId="0292352B">
            <w:pPr>
              <w:widowControl/>
              <w:jc w:val="center"/>
              <w:textAlignment w:val="center"/>
              <w:rPr>
                <w:rFonts w:ascii="Times New Roman" w:eastAsia="Arial"/>
                <w:sz w:val="21"/>
                <w:szCs w:val="21"/>
              </w:rPr>
            </w:pPr>
            <w:r>
              <w:rPr>
                <w:rFonts w:ascii="Times New Roman" w:eastAsia="Arial"/>
                <w:sz w:val="21"/>
                <w:szCs w:val="21"/>
              </w:rPr>
              <w:t>托辊车间</w:t>
            </w:r>
          </w:p>
        </w:tc>
        <w:tc>
          <w:tcPr>
            <w:tcW w:w="761" w:type="pct"/>
            <w:vAlign w:val="center"/>
          </w:tcPr>
          <w:p w14:paraId="6391D7A5">
            <w:pPr>
              <w:widowControl/>
              <w:jc w:val="center"/>
              <w:textAlignment w:val="center"/>
              <w:rPr>
                <w:rFonts w:ascii="Times New Roman" w:eastAsia="Arial"/>
                <w:sz w:val="21"/>
                <w:szCs w:val="21"/>
              </w:rPr>
            </w:pPr>
            <w:r>
              <w:rPr>
                <w:rFonts w:ascii="Times New Roman" w:eastAsia="Arial"/>
                <w:sz w:val="21"/>
                <w:szCs w:val="21"/>
              </w:rPr>
              <w:t>托辊线</w:t>
            </w:r>
          </w:p>
        </w:tc>
        <w:tc>
          <w:tcPr>
            <w:tcW w:w="965" w:type="pct"/>
            <w:gridSpan w:val="2"/>
            <w:vAlign w:val="center"/>
          </w:tcPr>
          <w:p w14:paraId="1E062990">
            <w:pPr>
              <w:widowControl/>
              <w:jc w:val="center"/>
              <w:textAlignment w:val="center"/>
              <w:rPr>
                <w:rFonts w:ascii="Times New Roman" w:eastAsia="Arial"/>
                <w:sz w:val="21"/>
                <w:szCs w:val="21"/>
              </w:rPr>
            </w:pPr>
            <w:r>
              <w:rPr>
                <w:rFonts w:ascii="Times New Roman" w:eastAsia="Arial"/>
                <w:sz w:val="21"/>
                <w:szCs w:val="21"/>
              </w:rPr>
              <w:t>托辊产线</w:t>
            </w:r>
          </w:p>
        </w:tc>
        <w:tc>
          <w:tcPr>
            <w:tcW w:w="1431" w:type="pct"/>
            <w:vAlign w:val="center"/>
          </w:tcPr>
          <w:p w14:paraId="549B95D7">
            <w:pPr>
              <w:jc w:val="center"/>
              <w:rPr>
                <w:rFonts w:ascii="Times New Roman" w:eastAsia="Arial"/>
                <w:sz w:val="21"/>
                <w:szCs w:val="21"/>
              </w:rPr>
            </w:pPr>
            <w:r>
              <w:rPr>
                <w:rFonts w:ascii="Times New Roman"/>
                <w:sz w:val="21"/>
                <w:szCs w:val="21"/>
              </w:rPr>
              <w:t>/</w:t>
            </w:r>
          </w:p>
        </w:tc>
        <w:tc>
          <w:tcPr>
            <w:tcW w:w="470" w:type="pct"/>
            <w:vAlign w:val="center"/>
          </w:tcPr>
          <w:p w14:paraId="2C16177B">
            <w:pPr>
              <w:widowControl/>
              <w:jc w:val="center"/>
              <w:textAlignment w:val="center"/>
              <w:rPr>
                <w:rFonts w:ascii="Times New Roman" w:eastAsia="Arial"/>
                <w:spacing w:val="-2"/>
                <w:sz w:val="21"/>
                <w:szCs w:val="21"/>
              </w:rPr>
            </w:pPr>
            <w:r>
              <w:rPr>
                <w:rFonts w:ascii="Times New Roman" w:eastAsia="Arial"/>
                <w:sz w:val="21"/>
                <w:szCs w:val="21"/>
              </w:rPr>
              <w:t>1</w:t>
            </w:r>
          </w:p>
        </w:tc>
      </w:tr>
      <w:tr w14:paraId="45C8A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2" w:type="pct"/>
            <w:shd w:val="clear" w:color="auto" w:fill="auto"/>
            <w:vAlign w:val="center"/>
          </w:tcPr>
          <w:p w14:paraId="7FE6FEA9">
            <w:pPr>
              <w:jc w:val="center"/>
              <w:rPr>
                <w:rFonts w:ascii="Times New Roman"/>
                <w:sz w:val="21"/>
                <w:szCs w:val="21"/>
              </w:rPr>
            </w:pPr>
            <w:r>
              <w:rPr>
                <w:rFonts w:ascii="Times New Roman"/>
                <w:sz w:val="21"/>
                <w:szCs w:val="21"/>
              </w:rPr>
              <w:t>172</w:t>
            </w:r>
          </w:p>
        </w:tc>
        <w:tc>
          <w:tcPr>
            <w:tcW w:w="413" w:type="pct"/>
            <w:vAlign w:val="center"/>
          </w:tcPr>
          <w:p w14:paraId="45F06D9E">
            <w:pPr>
              <w:widowControl/>
              <w:jc w:val="center"/>
              <w:textAlignment w:val="center"/>
              <w:rPr>
                <w:rFonts w:ascii="Times New Roman" w:eastAsia="Arial"/>
                <w:sz w:val="21"/>
                <w:szCs w:val="21"/>
              </w:rPr>
            </w:pPr>
            <w:r>
              <w:rPr>
                <w:rFonts w:ascii="Times New Roman" w:eastAsia="Arial"/>
                <w:sz w:val="21"/>
                <w:szCs w:val="21"/>
              </w:rPr>
              <w:t>成品库</w:t>
            </w:r>
          </w:p>
        </w:tc>
        <w:tc>
          <w:tcPr>
            <w:tcW w:w="616" w:type="pct"/>
            <w:vAlign w:val="center"/>
          </w:tcPr>
          <w:p w14:paraId="2247BC85">
            <w:pPr>
              <w:jc w:val="center"/>
              <w:rPr>
                <w:rFonts w:ascii="Times New Roman"/>
                <w:sz w:val="21"/>
                <w:szCs w:val="21"/>
              </w:rPr>
            </w:pPr>
            <w:r>
              <w:rPr>
                <w:rFonts w:ascii="Times New Roman" w:eastAsia="Arial"/>
                <w:sz w:val="21"/>
                <w:szCs w:val="21"/>
              </w:rPr>
              <w:t>成品库</w:t>
            </w:r>
          </w:p>
        </w:tc>
        <w:tc>
          <w:tcPr>
            <w:tcW w:w="761" w:type="pct"/>
            <w:vAlign w:val="center"/>
          </w:tcPr>
          <w:p w14:paraId="2A0042DA">
            <w:pPr>
              <w:jc w:val="center"/>
              <w:rPr>
                <w:rFonts w:ascii="Times New Roman"/>
                <w:sz w:val="21"/>
                <w:szCs w:val="21"/>
              </w:rPr>
            </w:pPr>
            <w:r>
              <w:rPr>
                <w:rFonts w:ascii="Times New Roman"/>
                <w:sz w:val="21"/>
                <w:szCs w:val="21"/>
              </w:rPr>
              <w:t>成品出入库</w:t>
            </w:r>
          </w:p>
        </w:tc>
        <w:tc>
          <w:tcPr>
            <w:tcW w:w="965" w:type="pct"/>
            <w:gridSpan w:val="2"/>
            <w:vAlign w:val="center"/>
          </w:tcPr>
          <w:p w14:paraId="79DA234D">
            <w:pPr>
              <w:widowControl/>
              <w:jc w:val="center"/>
              <w:textAlignment w:val="center"/>
              <w:rPr>
                <w:rFonts w:ascii="Times New Roman" w:eastAsia="Arial"/>
                <w:sz w:val="21"/>
                <w:szCs w:val="21"/>
              </w:rPr>
            </w:pPr>
            <w:r>
              <w:rPr>
                <w:rFonts w:ascii="Times New Roman" w:eastAsia="Arial"/>
                <w:sz w:val="21"/>
                <w:szCs w:val="21"/>
              </w:rPr>
              <w:t>天车</w:t>
            </w:r>
          </w:p>
        </w:tc>
        <w:tc>
          <w:tcPr>
            <w:tcW w:w="1431" w:type="pct"/>
            <w:vAlign w:val="center"/>
          </w:tcPr>
          <w:p w14:paraId="53A6E662">
            <w:pPr>
              <w:jc w:val="center"/>
              <w:rPr>
                <w:rFonts w:ascii="Times New Roman" w:eastAsia="Arial"/>
                <w:sz w:val="21"/>
                <w:szCs w:val="21"/>
              </w:rPr>
            </w:pPr>
            <w:r>
              <w:rPr>
                <w:rFonts w:ascii="Times New Roman" w:eastAsia="Arial"/>
                <w:sz w:val="21"/>
                <w:szCs w:val="21"/>
              </w:rPr>
              <w:t>20T</w:t>
            </w:r>
          </w:p>
        </w:tc>
        <w:tc>
          <w:tcPr>
            <w:tcW w:w="470" w:type="pct"/>
            <w:vAlign w:val="center"/>
          </w:tcPr>
          <w:p w14:paraId="2E7646C6">
            <w:pPr>
              <w:widowControl/>
              <w:jc w:val="center"/>
              <w:textAlignment w:val="center"/>
              <w:rPr>
                <w:rFonts w:ascii="Times New Roman" w:eastAsia="Arial"/>
                <w:spacing w:val="-2"/>
                <w:sz w:val="21"/>
                <w:szCs w:val="21"/>
              </w:rPr>
            </w:pPr>
            <w:r>
              <w:rPr>
                <w:rFonts w:ascii="Times New Roman" w:eastAsia="Arial"/>
                <w:sz w:val="21"/>
                <w:szCs w:val="21"/>
              </w:rPr>
              <w:t>2</w:t>
            </w:r>
          </w:p>
        </w:tc>
      </w:tr>
      <w:tr w14:paraId="10CF0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8"/>
            <w:shd w:val="clear" w:color="auto" w:fill="auto"/>
            <w:vAlign w:val="center"/>
          </w:tcPr>
          <w:p w14:paraId="0C9F9ECE">
            <w:pPr>
              <w:widowControl/>
              <w:jc w:val="left"/>
              <w:textAlignment w:val="center"/>
              <w:rPr>
                <w:rFonts w:ascii="Times New Roman" w:eastAsia="Arial"/>
                <w:sz w:val="21"/>
                <w:szCs w:val="21"/>
              </w:rPr>
            </w:pPr>
            <w:bookmarkStart w:id="107" w:name="_Toc13084"/>
            <w:bookmarkStart w:id="108" w:name="_Toc6128"/>
            <w:r>
              <w:rPr>
                <w:rFonts w:hint="eastAsia" w:ascii="Times New Roman" w:eastAsia="Arial"/>
                <w:sz w:val="21"/>
                <w:szCs w:val="21"/>
              </w:rPr>
              <w:t>注：项目淬火油槽、电泳线槽体均放置于地面。电泳槽材质碳钢内衬玻璃钢、水槽不锈钢、油槽材质碳钢。</w:t>
            </w:r>
          </w:p>
        </w:tc>
      </w:tr>
      <w:bookmarkEnd w:id="103"/>
      <w:bookmarkEnd w:id="104"/>
    </w:tbl>
    <w:p w14:paraId="44EA3B21">
      <w:pPr>
        <w:widowControl/>
        <w:spacing w:line="520" w:lineRule="exact"/>
        <w:jc w:val="left"/>
        <w:outlineLvl w:val="1"/>
        <w:rPr>
          <w:rFonts w:ascii="Times New Roman"/>
          <w:b/>
          <w:sz w:val="30"/>
          <w:szCs w:val="30"/>
        </w:rPr>
      </w:pPr>
      <w:r>
        <w:rPr>
          <w:rFonts w:ascii="Times New Roman"/>
          <w:b/>
          <w:sz w:val="30"/>
          <w:szCs w:val="30"/>
        </w:rPr>
        <w:t>3.5物料平衡</w:t>
      </w:r>
      <w:bookmarkEnd w:id="107"/>
      <w:bookmarkEnd w:id="108"/>
    </w:p>
    <w:p w14:paraId="1DB1BE17">
      <w:pPr>
        <w:spacing w:line="520" w:lineRule="exact"/>
        <w:outlineLvl w:val="2"/>
        <w:rPr>
          <w:rFonts w:ascii="Times New Roman"/>
          <w:b/>
          <w:sz w:val="28"/>
          <w:szCs w:val="28"/>
        </w:rPr>
      </w:pPr>
      <w:r>
        <w:rPr>
          <w:rFonts w:ascii="Times New Roman"/>
          <w:b/>
          <w:sz w:val="28"/>
          <w:szCs w:val="28"/>
        </w:rPr>
        <w:t>3.5.1用漆量核算</w:t>
      </w:r>
    </w:p>
    <w:p w14:paraId="41A8666A">
      <w:pPr>
        <w:pStyle w:val="1730"/>
        <w:spacing w:line="360" w:lineRule="auto"/>
        <w:ind w:firstLine="480"/>
        <w:rPr>
          <w:rFonts w:ascii="Times New Roman" w:hAnsi="Times New Roman" w:cs="Times New Roman"/>
        </w:rPr>
      </w:pPr>
      <w:r>
        <w:rPr>
          <w:rFonts w:ascii="Times New Roman" w:hAnsi="Times New Roman" w:cs="Times New Roman"/>
        </w:rPr>
        <w:t>涂装总</w:t>
      </w:r>
      <w:r>
        <w:rPr>
          <w:rFonts w:hint="eastAsia" w:ascii="Times New Roman" w:hAnsi="Times New Roman" w:cs="Times New Roman"/>
        </w:rPr>
        <w:t>面积</w:t>
      </w:r>
      <w:r>
        <w:rPr>
          <w:rFonts w:ascii="Times New Roman" w:hAnsi="Times New Roman" w:cs="Times New Roman"/>
        </w:rPr>
        <w:t>是各涂装产品面积总和，项目工件涂装总面积约</w:t>
      </w:r>
      <w:r>
        <w:rPr>
          <w:rFonts w:hint="eastAsia" w:ascii="Times New Roman" w:hAnsi="Times New Roman" w:cs="Times New Roman"/>
        </w:rPr>
        <w:t>214</w:t>
      </w:r>
      <w:r>
        <w:rPr>
          <w:rFonts w:ascii="Times New Roman" w:hAnsi="Times New Roman" w:cs="Times New Roman"/>
        </w:rPr>
        <w:t>万m</w:t>
      </w:r>
      <w:r>
        <w:rPr>
          <w:rFonts w:ascii="Times New Roman" w:hAnsi="Times New Roman" w:cs="Times New Roman"/>
          <w:vertAlign w:val="superscript"/>
        </w:rPr>
        <w:t>2</w:t>
      </w:r>
      <w:r>
        <w:rPr>
          <w:rFonts w:ascii="Times New Roman" w:hAnsi="Times New Roman" w:cs="Times New Roman"/>
        </w:rPr>
        <w:t>，其中喷漆工件总面积约</w:t>
      </w:r>
      <w:r>
        <w:rPr>
          <w:rFonts w:hint="eastAsia" w:ascii="Times New Roman" w:hAnsi="Times New Roman" w:cs="Times New Roman"/>
        </w:rPr>
        <w:t>122.3</w:t>
      </w:r>
      <w:r>
        <w:rPr>
          <w:rFonts w:ascii="Times New Roman" w:hAnsi="Times New Roman" w:cs="Times New Roman"/>
        </w:rPr>
        <w:t>万m</w:t>
      </w:r>
      <w:r>
        <w:rPr>
          <w:rFonts w:ascii="Times New Roman" w:hAnsi="Times New Roman" w:cs="Times New Roman"/>
          <w:vertAlign w:val="superscript"/>
        </w:rPr>
        <w:t>2</w:t>
      </w:r>
      <w:r>
        <w:rPr>
          <w:rFonts w:ascii="Times New Roman" w:hAnsi="Times New Roman" w:cs="Times New Roman"/>
        </w:rPr>
        <w:t>，喷粉工件91.7万m</w:t>
      </w:r>
      <w:r>
        <w:rPr>
          <w:rFonts w:ascii="Times New Roman" w:hAnsi="Times New Roman" w:cs="Times New Roman"/>
          <w:vertAlign w:val="superscript"/>
        </w:rPr>
        <w:t>2</w:t>
      </w:r>
      <w:r>
        <w:rPr>
          <w:rFonts w:ascii="Times New Roman" w:hAnsi="Times New Roman" w:cs="Times New Roman"/>
        </w:rPr>
        <w:t>。理论上，涂料用量=涂装总面积×涂布率×平均实际需求膜厚</w:t>
      </w:r>
      <w:r>
        <w:rPr>
          <w:rFonts w:ascii="Times New Roman" w:hAnsi="Times New Roman" w:cs="Times New Roman"/>
          <w:szCs w:val="24"/>
        </w:rPr>
        <w:t>÷</w:t>
      </w:r>
      <w:r>
        <w:rPr>
          <w:rFonts w:ascii="Times New Roman" w:hAnsi="Times New Roman" w:cs="Times New Roman"/>
        </w:rPr>
        <w:t>涂布率膜厚</w:t>
      </w:r>
      <w:r>
        <w:rPr>
          <w:rFonts w:ascii="Times New Roman" w:hAnsi="Times New Roman" w:cs="Times New Roman"/>
          <w:szCs w:val="24"/>
        </w:rPr>
        <w:t>÷</w:t>
      </w:r>
      <w:r>
        <w:rPr>
          <w:rFonts w:ascii="Times New Roman" w:hAnsi="Times New Roman" w:cs="Times New Roman"/>
        </w:rPr>
        <w:t>涂料利用率。</w:t>
      </w:r>
    </w:p>
    <w:p w14:paraId="283BA0A3">
      <w:pPr>
        <w:spacing w:line="480" w:lineRule="exact"/>
        <w:jc w:val="center"/>
        <w:rPr>
          <w:rFonts w:ascii="Times New Roman"/>
          <w:b/>
          <w:bCs/>
          <w:sz w:val="24"/>
          <w:szCs w:val="20"/>
        </w:rPr>
      </w:pPr>
      <w:r>
        <w:rPr>
          <w:rFonts w:ascii="Times New Roman"/>
          <w:b/>
          <w:bCs/>
          <w:sz w:val="24"/>
          <w:szCs w:val="20"/>
        </w:rPr>
        <w:t>表3.5-1  本项目用漆量核算一览表</w:t>
      </w:r>
    </w:p>
    <w:tbl>
      <w:tblPr>
        <w:tblStyle w:val="8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748"/>
        <w:gridCol w:w="1041"/>
        <w:gridCol w:w="1245"/>
        <w:gridCol w:w="794"/>
        <w:gridCol w:w="1048"/>
        <w:gridCol w:w="804"/>
        <w:gridCol w:w="1381"/>
      </w:tblGrid>
      <w:tr w14:paraId="0A55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6E850AF6">
            <w:pPr>
              <w:jc w:val="center"/>
              <w:rPr>
                <w:rFonts w:ascii="Times New Roman"/>
                <w:sz w:val="21"/>
                <w:szCs w:val="21"/>
              </w:rPr>
            </w:pPr>
            <w:r>
              <w:rPr>
                <w:rFonts w:ascii="Times New Roman"/>
                <w:sz w:val="21"/>
                <w:szCs w:val="21"/>
              </w:rPr>
              <w:t>序号</w:t>
            </w:r>
          </w:p>
        </w:tc>
        <w:tc>
          <w:tcPr>
            <w:tcW w:w="1025" w:type="pct"/>
            <w:vAlign w:val="center"/>
          </w:tcPr>
          <w:p w14:paraId="040AEB43">
            <w:pPr>
              <w:jc w:val="center"/>
              <w:rPr>
                <w:rFonts w:ascii="Times New Roman"/>
                <w:sz w:val="21"/>
                <w:szCs w:val="21"/>
              </w:rPr>
            </w:pPr>
            <w:r>
              <w:rPr>
                <w:rFonts w:ascii="Times New Roman"/>
                <w:sz w:val="21"/>
                <w:szCs w:val="21"/>
              </w:rPr>
              <w:t>原材料</w:t>
            </w:r>
          </w:p>
        </w:tc>
        <w:tc>
          <w:tcPr>
            <w:tcW w:w="611" w:type="pct"/>
            <w:vAlign w:val="center"/>
          </w:tcPr>
          <w:p w14:paraId="38ED3C4A">
            <w:pPr>
              <w:jc w:val="center"/>
              <w:rPr>
                <w:rFonts w:ascii="Times New Roman"/>
                <w:sz w:val="21"/>
                <w:szCs w:val="21"/>
              </w:rPr>
            </w:pPr>
            <w:r>
              <w:rPr>
                <w:rFonts w:ascii="Times New Roman"/>
                <w:sz w:val="21"/>
                <w:szCs w:val="21"/>
              </w:rPr>
              <w:t>涂装总面积（万m²）</w:t>
            </w:r>
          </w:p>
        </w:tc>
        <w:tc>
          <w:tcPr>
            <w:tcW w:w="730" w:type="pct"/>
            <w:vAlign w:val="center"/>
          </w:tcPr>
          <w:p w14:paraId="4BEB8362">
            <w:pPr>
              <w:jc w:val="center"/>
              <w:rPr>
                <w:rFonts w:ascii="Times New Roman"/>
                <w:sz w:val="21"/>
                <w:szCs w:val="21"/>
              </w:rPr>
            </w:pPr>
            <w:r>
              <w:rPr>
                <w:rFonts w:ascii="Times New Roman"/>
                <w:sz w:val="21"/>
                <w:szCs w:val="21"/>
              </w:rPr>
              <w:t>60μm膜厚涂布率（</w:t>
            </w:r>
            <w:r>
              <w:rPr>
                <w:rFonts w:hint="eastAsia" w:ascii="Times New Roman"/>
                <w:sz w:val="21"/>
                <w:szCs w:val="21"/>
              </w:rPr>
              <w:t>k</w:t>
            </w:r>
            <w:r>
              <w:rPr>
                <w:rFonts w:ascii="Times New Roman"/>
                <w:sz w:val="21"/>
                <w:szCs w:val="21"/>
              </w:rPr>
              <w:t>g/m</w:t>
            </w:r>
            <w:r>
              <w:rPr>
                <w:rFonts w:hint="eastAsia" w:ascii="Times New Roman"/>
                <w:sz w:val="21"/>
                <w:szCs w:val="21"/>
                <w:vertAlign w:val="superscript"/>
              </w:rPr>
              <w:t>2</w:t>
            </w:r>
            <w:r>
              <w:rPr>
                <w:rFonts w:ascii="Times New Roman"/>
                <w:sz w:val="21"/>
                <w:szCs w:val="21"/>
              </w:rPr>
              <w:t>）</w:t>
            </w:r>
          </w:p>
        </w:tc>
        <w:tc>
          <w:tcPr>
            <w:tcW w:w="466" w:type="pct"/>
            <w:vAlign w:val="center"/>
          </w:tcPr>
          <w:p w14:paraId="60C6804F">
            <w:pPr>
              <w:jc w:val="center"/>
              <w:rPr>
                <w:rFonts w:ascii="Times New Roman"/>
                <w:sz w:val="21"/>
                <w:szCs w:val="21"/>
              </w:rPr>
            </w:pPr>
            <w:r>
              <w:rPr>
                <w:rFonts w:ascii="Times New Roman"/>
                <w:sz w:val="21"/>
                <w:szCs w:val="21"/>
              </w:rPr>
              <w:t>涂料利用率%</w:t>
            </w:r>
          </w:p>
        </w:tc>
        <w:tc>
          <w:tcPr>
            <w:tcW w:w="615" w:type="pct"/>
            <w:vAlign w:val="center"/>
          </w:tcPr>
          <w:p w14:paraId="727E64D9">
            <w:pPr>
              <w:jc w:val="center"/>
              <w:rPr>
                <w:rFonts w:ascii="Times New Roman"/>
                <w:sz w:val="21"/>
                <w:szCs w:val="21"/>
              </w:rPr>
            </w:pPr>
            <w:r>
              <w:rPr>
                <w:rFonts w:ascii="Times New Roman"/>
                <w:sz w:val="21"/>
                <w:szCs w:val="21"/>
              </w:rPr>
              <w:t>平均需求膜厚（μm）</w:t>
            </w:r>
          </w:p>
        </w:tc>
        <w:tc>
          <w:tcPr>
            <w:tcW w:w="472" w:type="pct"/>
            <w:vAlign w:val="center"/>
          </w:tcPr>
          <w:p w14:paraId="0FC53885">
            <w:pPr>
              <w:jc w:val="center"/>
              <w:rPr>
                <w:rFonts w:ascii="Times New Roman"/>
                <w:sz w:val="21"/>
                <w:szCs w:val="21"/>
              </w:rPr>
            </w:pPr>
            <w:r>
              <w:rPr>
                <w:rFonts w:ascii="Times New Roman"/>
                <w:sz w:val="21"/>
                <w:szCs w:val="21"/>
              </w:rPr>
              <w:t>总用量（T）</w:t>
            </w:r>
          </w:p>
        </w:tc>
        <w:tc>
          <w:tcPr>
            <w:tcW w:w="810" w:type="pct"/>
            <w:vAlign w:val="center"/>
          </w:tcPr>
          <w:p w14:paraId="3F289649">
            <w:pPr>
              <w:jc w:val="center"/>
              <w:rPr>
                <w:rFonts w:ascii="Times New Roman"/>
                <w:sz w:val="21"/>
                <w:szCs w:val="21"/>
              </w:rPr>
            </w:pPr>
            <w:r>
              <w:rPr>
                <w:rFonts w:ascii="Times New Roman"/>
                <w:sz w:val="21"/>
                <w:szCs w:val="21"/>
              </w:rPr>
              <w:t>备注</w:t>
            </w:r>
          </w:p>
        </w:tc>
      </w:tr>
      <w:tr w14:paraId="1135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67" w:type="pct"/>
            <w:vAlign w:val="center"/>
          </w:tcPr>
          <w:p w14:paraId="2F668B14">
            <w:pPr>
              <w:jc w:val="center"/>
              <w:rPr>
                <w:rFonts w:ascii="Times New Roman"/>
                <w:sz w:val="21"/>
                <w:szCs w:val="21"/>
              </w:rPr>
            </w:pPr>
            <w:r>
              <w:rPr>
                <w:rFonts w:ascii="Times New Roman"/>
                <w:sz w:val="21"/>
                <w:szCs w:val="21"/>
              </w:rPr>
              <w:t>1</w:t>
            </w:r>
          </w:p>
        </w:tc>
        <w:tc>
          <w:tcPr>
            <w:tcW w:w="1025" w:type="pct"/>
            <w:vAlign w:val="center"/>
          </w:tcPr>
          <w:p w14:paraId="6D212314">
            <w:pPr>
              <w:jc w:val="center"/>
              <w:rPr>
                <w:rFonts w:ascii="Times New Roman"/>
                <w:sz w:val="21"/>
                <w:szCs w:val="21"/>
              </w:rPr>
            </w:pPr>
            <w:r>
              <w:rPr>
                <w:rFonts w:ascii="Times New Roman"/>
                <w:sz w:val="21"/>
                <w:szCs w:val="21"/>
              </w:rPr>
              <w:t>电泳漆</w:t>
            </w:r>
          </w:p>
        </w:tc>
        <w:tc>
          <w:tcPr>
            <w:tcW w:w="611" w:type="pct"/>
            <w:vAlign w:val="center"/>
          </w:tcPr>
          <w:p w14:paraId="71CDA1A7">
            <w:pPr>
              <w:jc w:val="center"/>
              <w:rPr>
                <w:rFonts w:ascii="Times New Roman"/>
                <w:sz w:val="21"/>
                <w:szCs w:val="21"/>
              </w:rPr>
            </w:pPr>
            <w:r>
              <w:rPr>
                <w:rFonts w:ascii="Times New Roman"/>
                <w:sz w:val="21"/>
                <w:szCs w:val="21"/>
              </w:rPr>
              <w:t>122.3</w:t>
            </w:r>
          </w:p>
        </w:tc>
        <w:tc>
          <w:tcPr>
            <w:tcW w:w="730" w:type="pct"/>
            <w:vAlign w:val="center"/>
          </w:tcPr>
          <w:p w14:paraId="22E1115C">
            <w:pPr>
              <w:jc w:val="center"/>
              <w:rPr>
                <w:rFonts w:ascii="Times New Roman"/>
                <w:sz w:val="21"/>
                <w:szCs w:val="21"/>
              </w:rPr>
            </w:pPr>
            <w:r>
              <w:rPr>
                <w:rFonts w:ascii="Times New Roman"/>
                <w:sz w:val="21"/>
                <w:szCs w:val="21"/>
              </w:rPr>
              <w:t>0.1053</w:t>
            </w:r>
          </w:p>
          <w:p w14:paraId="19F6DCD5">
            <w:pPr>
              <w:jc w:val="center"/>
              <w:rPr>
                <w:rFonts w:ascii="Times New Roman"/>
                <w:sz w:val="21"/>
                <w:szCs w:val="21"/>
              </w:rPr>
            </w:pPr>
            <w:r>
              <w:rPr>
                <w:rFonts w:ascii="Times New Roman"/>
                <w:sz w:val="21"/>
                <w:szCs w:val="21"/>
              </w:rPr>
              <w:t>（30膜厚）</w:t>
            </w:r>
          </w:p>
        </w:tc>
        <w:tc>
          <w:tcPr>
            <w:tcW w:w="466" w:type="pct"/>
            <w:vAlign w:val="center"/>
          </w:tcPr>
          <w:p w14:paraId="75372B30">
            <w:pPr>
              <w:jc w:val="center"/>
              <w:rPr>
                <w:rFonts w:ascii="Times New Roman"/>
                <w:sz w:val="21"/>
                <w:szCs w:val="21"/>
              </w:rPr>
            </w:pPr>
            <w:r>
              <w:rPr>
                <w:rFonts w:ascii="Times New Roman"/>
                <w:sz w:val="21"/>
                <w:szCs w:val="21"/>
              </w:rPr>
              <w:t>95</w:t>
            </w:r>
          </w:p>
        </w:tc>
        <w:tc>
          <w:tcPr>
            <w:tcW w:w="615" w:type="pct"/>
            <w:vAlign w:val="center"/>
          </w:tcPr>
          <w:p w14:paraId="25A01A40">
            <w:pPr>
              <w:jc w:val="center"/>
              <w:rPr>
                <w:rFonts w:ascii="Times New Roman"/>
                <w:sz w:val="21"/>
                <w:szCs w:val="21"/>
              </w:rPr>
            </w:pPr>
            <w:r>
              <w:rPr>
                <w:rFonts w:ascii="Times New Roman"/>
                <w:sz w:val="21"/>
                <w:szCs w:val="21"/>
              </w:rPr>
              <w:t>30</w:t>
            </w:r>
          </w:p>
        </w:tc>
        <w:tc>
          <w:tcPr>
            <w:tcW w:w="472" w:type="pct"/>
            <w:vAlign w:val="center"/>
          </w:tcPr>
          <w:p w14:paraId="10225592">
            <w:pPr>
              <w:jc w:val="center"/>
              <w:rPr>
                <w:rFonts w:ascii="Times New Roman"/>
                <w:sz w:val="21"/>
                <w:szCs w:val="21"/>
              </w:rPr>
            </w:pPr>
            <w:r>
              <w:rPr>
                <w:rFonts w:ascii="Times New Roman"/>
                <w:sz w:val="21"/>
                <w:szCs w:val="21"/>
              </w:rPr>
              <w:t>136</w:t>
            </w:r>
          </w:p>
        </w:tc>
        <w:tc>
          <w:tcPr>
            <w:tcW w:w="810" w:type="pct"/>
            <w:vAlign w:val="center"/>
          </w:tcPr>
          <w:p w14:paraId="4279A15B">
            <w:pPr>
              <w:jc w:val="center"/>
              <w:rPr>
                <w:rFonts w:ascii="Times New Roman"/>
                <w:sz w:val="21"/>
                <w:szCs w:val="21"/>
              </w:rPr>
            </w:pPr>
            <w:r>
              <w:rPr>
                <w:rFonts w:hint="eastAsia" w:ascii="Times New Roman"/>
                <w:sz w:val="21"/>
                <w:szCs w:val="21"/>
              </w:rPr>
              <w:t>/</w:t>
            </w:r>
          </w:p>
        </w:tc>
      </w:tr>
      <w:tr w14:paraId="5202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1C6AA4A2">
            <w:pPr>
              <w:jc w:val="center"/>
              <w:rPr>
                <w:rFonts w:ascii="Times New Roman"/>
                <w:sz w:val="21"/>
                <w:szCs w:val="21"/>
              </w:rPr>
            </w:pPr>
            <w:r>
              <w:rPr>
                <w:rFonts w:ascii="Times New Roman"/>
                <w:sz w:val="21"/>
                <w:szCs w:val="21"/>
              </w:rPr>
              <w:t>2</w:t>
            </w:r>
          </w:p>
        </w:tc>
        <w:tc>
          <w:tcPr>
            <w:tcW w:w="1025" w:type="pct"/>
            <w:vAlign w:val="center"/>
          </w:tcPr>
          <w:p w14:paraId="3C3E1F86">
            <w:pPr>
              <w:jc w:val="center"/>
              <w:rPr>
                <w:rFonts w:ascii="Times New Roman"/>
                <w:sz w:val="21"/>
                <w:szCs w:val="21"/>
              </w:rPr>
            </w:pPr>
            <w:r>
              <w:rPr>
                <w:rFonts w:ascii="Times New Roman"/>
                <w:sz w:val="21"/>
                <w:szCs w:val="21"/>
              </w:rPr>
              <w:t>聚氨脂面漆</w:t>
            </w:r>
          </w:p>
        </w:tc>
        <w:tc>
          <w:tcPr>
            <w:tcW w:w="611" w:type="pct"/>
            <w:vAlign w:val="center"/>
          </w:tcPr>
          <w:p w14:paraId="6046B7FC">
            <w:pPr>
              <w:jc w:val="center"/>
              <w:rPr>
                <w:rFonts w:ascii="Times New Roman"/>
                <w:sz w:val="21"/>
                <w:szCs w:val="21"/>
              </w:rPr>
            </w:pPr>
            <w:r>
              <w:rPr>
                <w:rFonts w:ascii="Times New Roman"/>
                <w:sz w:val="21"/>
                <w:szCs w:val="21"/>
              </w:rPr>
              <w:t>122.3</w:t>
            </w:r>
          </w:p>
        </w:tc>
        <w:tc>
          <w:tcPr>
            <w:tcW w:w="730" w:type="pct"/>
            <w:vAlign w:val="center"/>
          </w:tcPr>
          <w:p w14:paraId="63EDB22C">
            <w:pPr>
              <w:jc w:val="center"/>
              <w:rPr>
                <w:rFonts w:ascii="Times New Roman"/>
                <w:sz w:val="21"/>
                <w:szCs w:val="21"/>
              </w:rPr>
            </w:pPr>
            <w:r>
              <w:rPr>
                <w:rFonts w:ascii="Times New Roman"/>
                <w:sz w:val="21"/>
                <w:szCs w:val="21"/>
              </w:rPr>
              <w:t>0.137</w:t>
            </w:r>
          </w:p>
        </w:tc>
        <w:tc>
          <w:tcPr>
            <w:tcW w:w="466" w:type="pct"/>
            <w:vAlign w:val="center"/>
          </w:tcPr>
          <w:p w14:paraId="7DF8B077">
            <w:pPr>
              <w:jc w:val="center"/>
              <w:rPr>
                <w:rFonts w:ascii="Times New Roman"/>
                <w:sz w:val="21"/>
                <w:szCs w:val="21"/>
              </w:rPr>
            </w:pPr>
            <w:r>
              <w:rPr>
                <w:rFonts w:ascii="Times New Roman"/>
                <w:sz w:val="21"/>
                <w:szCs w:val="21"/>
              </w:rPr>
              <w:t>70</w:t>
            </w:r>
          </w:p>
        </w:tc>
        <w:tc>
          <w:tcPr>
            <w:tcW w:w="615" w:type="pct"/>
            <w:vAlign w:val="center"/>
          </w:tcPr>
          <w:p w14:paraId="7664F3E6">
            <w:pPr>
              <w:jc w:val="center"/>
              <w:rPr>
                <w:rFonts w:ascii="Times New Roman"/>
                <w:sz w:val="21"/>
                <w:szCs w:val="21"/>
              </w:rPr>
            </w:pPr>
            <w:r>
              <w:rPr>
                <w:rFonts w:ascii="Times New Roman"/>
                <w:sz w:val="21"/>
                <w:szCs w:val="21"/>
              </w:rPr>
              <w:t>80</w:t>
            </w:r>
          </w:p>
        </w:tc>
        <w:tc>
          <w:tcPr>
            <w:tcW w:w="472" w:type="pct"/>
            <w:vAlign w:val="center"/>
          </w:tcPr>
          <w:p w14:paraId="3281691D">
            <w:pPr>
              <w:jc w:val="center"/>
              <w:rPr>
                <w:rFonts w:ascii="Times New Roman"/>
                <w:sz w:val="21"/>
                <w:szCs w:val="21"/>
              </w:rPr>
            </w:pPr>
            <w:r>
              <w:rPr>
                <w:rFonts w:ascii="Times New Roman"/>
                <w:sz w:val="21"/>
                <w:szCs w:val="21"/>
              </w:rPr>
              <w:t>319</w:t>
            </w:r>
          </w:p>
        </w:tc>
        <w:tc>
          <w:tcPr>
            <w:tcW w:w="810" w:type="pct"/>
            <w:vAlign w:val="center"/>
          </w:tcPr>
          <w:p w14:paraId="1143A919">
            <w:pPr>
              <w:jc w:val="center"/>
              <w:rPr>
                <w:rFonts w:ascii="Times New Roman"/>
                <w:sz w:val="21"/>
                <w:szCs w:val="21"/>
              </w:rPr>
            </w:pPr>
            <w:r>
              <w:rPr>
                <w:rFonts w:hint="eastAsia" w:ascii="Times New Roman"/>
                <w:sz w:val="21"/>
                <w:szCs w:val="21"/>
              </w:rPr>
              <w:t>/</w:t>
            </w:r>
          </w:p>
        </w:tc>
      </w:tr>
      <w:tr w14:paraId="5448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67" w:type="pct"/>
            <w:vAlign w:val="center"/>
          </w:tcPr>
          <w:p w14:paraId="23E1B5A5">
            <w:pPr>
              <w:jc w:val="center"/>
              <w:rPr>
                <w:rFonts w:ascii="Times New Roman"/>
                <w:sz w:val="21"/>
                <w:szCs w:val="21"/>
              </w:rPr>
            </w:pPr>
            <w:r>
              <w:rPr>
                <w:rFonts w:ascii="Times New Roman"/>
                <w:sz w:val="21"/>
                <w:szCs w:val="21"/>
              </w:rPr>
              <w:t>3</w:t>
            </w:r>
          </w:p>
        </w:tc>
        <w:tc>
          <w:tcPr>
            <w:tcW w:w="1025" w:type="pct"/>
            <w:vAlign w:val="center"/>
          </w:tcPr>
          <w:p w14:paraId="1FC305DE">
            <w:pPr>
              <w:jc w:val="center"/>
              <w:rPr>
                <w:rFonts w:ascii="Times New Roman"/>
                <w:sz w:val="21"/>
                <w:szCs w:val="21"/>
              </w:rPr>
            </w:pPr>
            <w:r>
              <w:rPr>
                <w:rFonts w:ascii="Times New Roman"/>
                <w:sz w:val="21"/>
                <w:szCs w:val="21"/>
              </w:rPr>
              <w:t>聚氨脂稀释剂</w:t>
            </w:r>
          </w:p>
        </w:tc>
        <w:tc>
          <w:tcPr>
            <w:tcW w:w="611" w:type="pct"/>
            <w:vAlign w:val="center"/>
          </w:tcPr>
          <w:p w14:paraId="0AE60AC7">
            <w:pPr>
              <w:jc w:val="center"/>
              <w:rPr>
                <w:rFonts w:ascii="Times New Roman"/>
                <w:sz w:val="21"/>
                <w:szCs w:val="21"/>
              </w:rPr>
            </w:pPr>
            <w:r>
              <w:rPr>
                <w:rFonts w:ascii="Times New Roman"/>
                <w:sz w:val="21"/>
                <w:szCs w:val="21"/>
              </w:rPr>
              <w:t>122.3</w:t>
            </w:r>
          </w:p>
        </w:tc>
        <w:tc>
          <w:tcPr>
            <w:tcW w:w="730" w:type="pct"/>
            <w:vAlign w:val="center"/>
          </w:tcPr>
          <w:p w14:paraId="6A338ABA">
            <w:pPr>
              <w:jc w:val="center"/>
              <w:rPr>
                <w:rFonts w:ascii="Times New Roman"/>
                <w:sz w:val="21"/>
                <w:szCs w:val="21"/>
              </w:rPr>
            </w:pPr>
            <w:r>
              <w:rPr>
                <w:rFonts w:ascii="Times New Roman"/>
                <w:sz w:val="21"/>
                <w:szCs w:val="21"/>
              </w:rPr>
              <w:t>\</w:t>
            </w:r>
          </w:p>
        </w:tc>
        <w:tc>
          <w:tcPr>
            <w:tcW w:w="466" w:type="pct"/>
            <w:vAlign w:val="center"/>
          </w:tcPr>
          <w:p w14:paraId="6DD30B2A">
            <w:pPr>
              <w:jc w:val="center"/>
              <w:rPr>
                <w:rFonts w:ascii="Times New Roman"/>
                <w:sz w:val="21"/>
                <w:szCs w:val="21"/>
              </w:rPr>
            </w:pPr>
            <w:r>
              <w:rPr>
                <w:rFonts w:ascii="Times New Roman"/>
                <w:sz w:val="21"/>
                <w:szCs w:val="21"/>
              </w:rPr>
              <w:t>\</w:t>
            </w:r>
          </w:p>
        </w:tc>
        <w:tc>
          <w:tcPr>
            <w:tcW w:w="615" w:type="pct"/>
            <w:vAlign w:val="center"/>
          </w:tcPr>
          <w:p w14:paraId="49F58629">
            <w:pPr>
              <w:jc w:val="center"/>
              <w:rPr>
                <w:rFonts w:ascii="Times New Roman"/>
                <w:sz w:val="21"/>
                <w:szCs w:val="21"/>
              </w:rPr>
            </w:pPr>
            <w:r>
              <w:rPr>
                <w:rFonts w:ascii="Times New Roman"/>
                <w:sz w:val="21"/>
                <w:szCs w:val="21"/>
              </w:rPr>
              <w:t>\</w:t>
            </w:r>
          </w:p>
        </w:tc>
        <w:tc>
          <w:tcPr>
            <w:tcW w:w="472" w:type="pct"/>
            <w:vAlign w:val="center"/>
          </w:tcPr>
          <w:p w14:paraId="78D10552">
            <w:pPr>
              <w:jc w:val="center"/>
              <w:rPr>
                <w:rFonts w:ascii="Times New Roman"/>
                <w:sz w:val="21"/>
                <w:szCs w:val="21"/>
              </w:rPr>
            </w:pPr>
            <w:r>
              <w:rPr>
                <w:rFonts w:ascii="Times New Roman"/>
                <w:sz w:val="21"/>
                <w:szCs w:val="21"/>
              </w:rPr>
              <w:t>127</w:t>
            </w:r>
          </w:p>
        </w:tc>
        <w:tc>
          <w:tcPr>
            <w:tcW w:w="810" w:type="pct"/>
            <w:vAlign w:val="center"/>
          </w:tcPr>
          <w:p w14:paraId="24369877">
            <w:pPr>
              <w:jc w:val="center"/>
              <w:rPr>
                <w:rFonts w:ascii="Times New Roman"/>
                <w:sz w:val="21"/>
                <w:szCs w:val="21"/>
              </w:rPr>
            </w:pPr>
            <w:r>
              <w:rPr>
                <w:rFonts w:ascii="Times New Roman"/>
                <w:sz w:val="21"/>
                <w:szCs w:val="21"/>
              </w:rPr>
              <w:t>稀释比20%+损耗50%</w:t>
            </w:r>
          </w:p>
        </w:tc>
      </w:tr>
      <w:tr w14:paraId="6DC0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67" w:type="pct"/>
            <w:vAlign w:val="center"/>
          </w:tcPr>
          <w:p w14:paraId="361D2F7E">
            <w:pPr>
              <w:jc w:val="center"/>
              <w:rPr>
                <w:rFonts w:ascii="Times New Roman"/>
                <w:sz w:val="21"/>
                <w:szCs w:val="21"/>
              </w:rPr>
            </w:pPr>
            <w:r>
              <w:rPr>
                <w:rFonts w:ascii="Times New Roman"/>
                <w:sz w:val="21"/>
                <w:szCs w:val="21"/>
              </w:rPr>
              <w:t>5</w:t>
            </w:r>
          </w:p>
        </w:tc>
        <w:tc>
          <w:tcPr>
            <w:tcW w:w="1025" w:type="pct"/>
            <w:vAlign w:val="center"/>
          </w:tcPr>
          <w:p w14:paraId="53D351EB">
            <w:pPr>
              <w:jc w:val="center"/>
              <w:rPr>
                <w:rFonts w:ascii="Times New Roman"/>
                <w:sz w:val="21"/>
                <w:szCs w:val="21"/>
              </w:rPr>
            </w:pPr>
            <w:r>
              <w:rPr>
                <w:rFonts w:ascii="Times New Roman"/>
                <w:sz w:val="21"/>
                <w:szCs w:val="21"/>
              </w:rPr>
              <w:t>粉末涂料</w:t>
            </w:r>
          </w:p>
        </w:tc>
        <w:tc>
          <w:tcPr>
            <w:tcW w:w="611" w:type="pct"/>
            <w:vAlign w:val="center"/>
          </w:tcPr>
          <w:p w14:paraId="4D62CFCD">
            <w:pPr>
              <w:jc w:val="center"/>
              <w:rPr>
                <w:rFonts w:ascii="Times New Roman"/>
                <w:sz w:val="21"/>
                <w:szCs w:val="21"/>
              </w:rPr>
            </w:pPr>
            <w:r>
              <w:rPr>
                <w:rFonts w:ascii="Times New Roman"/>
                <w:sz w:val="21"/>
                <w:szCs w:val="21"/>
              </w:rPr>
              <w:t>91.7</w:t>
            </w:r>
          </w:p>
        </w:tc>
        <w:tc>
          <w:tcPr>
            <w:tcW w:w="730" w:type="pct"/>
            <w:vAlign w:val="center"/>
          </w:tcPr>
          <w:p w14:paraId="2F90FDFF">
            <w:pPr>
              <w:jc w:val="center"/>
              <w:rPr>
                <w:rFonts w:ascii="Times New Roman"/>
                <w:sz w:val="21"/>
                <w:szCs w:val="21"/>
              </w:rPr>
            </w:pPr>
            <w:r>
              <w:rPr>
                <w:rFonts w:ascii="Times New Roman"/>
                <w:sz w:val="21"/>
                <w:szCs w:val="21"/>
              </w:rPr>
              <w:t>0.18</w:t>
            </w:r>
          </w:p>
        </w:tc>
        <w:tc>
          <w:tcPr>
            <w:tcW w:w="466" w:type="pct"/>
            <w:vAlign w:val="center"/>
          </w:tcPr>
          <w:p w14:paraId="330ED2B0">
            <w:pPr>
              <w:jc w:val="center"/>
              <w:rPr>
                <w:rFonts w:ascii="Times New Roman"/>
                <w:sz w:val="21"/>
                <w:szCs w:val="21"/>
              </w:rPr>
            </w:pPr>
            <w:r>
              <w:rPr>
                <w:rFonts w:ascii="Times New Roman"/>
                <w:sz w:val="21"/>
                <w:szCs w:val="21"/>
              </w:rPr>
              <w:t>92</w:t>
            </w:r>
          </w:p>
        </w:tc>
        <w:tc>
          <w:tcPr>
            <w:tcW w:w="615" w:type="pct"/>
            <w:vAlign w:val="center"/>
          </w:tcPr>
          <w:p w14:paraId="0A04F7C7">
            <w:pPr>
              <w:jc w:val="center"/>
              <w:rPr>
                <w:rFonts w:ascii="Times New Roman"/>
                <w:sz w:val="21"/>
                <w:szCs w:val="21"/>
              </w:rPr>
            </w:pPr>
            <w:r>
              <w:rPr>
                <w:rFonts w:ascii="Times New Roman"/>
                <w:sz w:val="21"/>
                <w:szCs w:val="21"/>
              </w:rPr>
              <w:t>100</w:t>
            </w:r>
          </w:p>
        </w:tc>
        <w:tc>
          <w:tcPr>
            <w:tcW w:w="472" w:type="pct"/>
            <w:vAlign w:val="center"/>
          </w:tcPr>
          <w:p w14:paraId="0A6BD0D1">
            <w:pPr>
              <w:jc w:val="center"/>
              <w:rPr>
                <w:rFonts w:ascii="Times New Roman"/>
                <w:sz w:val="21"/>
                <w:szCs w:val="21"/>
              </w:rPr>
            </w:pPr>
            <w:r>
              <w:rPr>
                <w:rFonts w:ascii="Times New Roman"/>
                <w:sz w:val="21"/>
                <w:szCs w:val="21"/>
              </w:rPr>
              <w:t>300</w:t>
            </w:r>
          </w:p>
        </w:tc>
        <w:tc>
          <w:tcPr>
            <w:tcW w:w="810" w:type="pct"/>
            <w:vAlign w:val="center"/>
          </w:tcPr>
          <w:p w14:paraId="4B5B020E">
            <w:pPr>
              <w:jc w:val="center"/>
              <w:rPr>
                <w:rFonts w:ascii="Times New Roman"/>
                <w:sz w:val="21"/>
                <w:szCs w:val="21"/>
              </w:rPr>
            </w:pPr>
            <w:r>
              <w:rPr>
                <w:rFonts w:hint="eastAsia" w:ascii="Times New Roman"/>
                <w:sz w:val="21"/>
                <w:szCs w:val="21"/>
              </w:rPr>
              <w:t>/</w:t>
            </w:r>
          </w:p>
        </w:tc>
      </w:tr>
      <w:tr w14:paraId="796F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5677F5CC">
            <w:pPr>
              <w:jc w:val="center"/>
              <w:rPr>
                <w:rFonts w:ascii="Times New Roman"/>
                <w:sz w:val="21"/>
                <w:szCs w:val="21"/>
              </w:rPr>
            </w:pPr>
            <w:r>
              <w:rPr>
                <w:rFonts w:ascii="Times New Roman"/>
                <w:sz w:val="21"/>
                <w:szCs w:val="21"/>
              </w:rPr>
              <w:t>6</w:t>
            </w:r>
          </w:p>
        </w:tc>
        <w:tc>
          <w:tcPr>
            <w:tcW w:w="1025" w:type="pct"/>
            <w:vAlign w:val="center"/>
          </w:tcPr>
          <w:p w14:paraId="0C2107FD">
            <w:pPr>
              <w:jc w:val="center"/>
              <w:rPr>
                <w:rFonts w:ascii="Times New Roman"/>
                <w:sz w:val="21"/>
                <w:szCs w:val="21"/>
              </w:rPr>
            </w:pPr>
            <w:r>
              <w:rPr>
                <w:rFonts w:ascii="Times New Roman"/>
                <w:sz w:val="21"/>
                <w:szCs w:val="21"/>
              </w:rPr>
              <w:t>环氧富锌底漆</w:t>
            </w:r>
          </w:p>
        </w:tc>
        <w:tc>
          <w:tcPr>
            <w:tcW w:w="611" w:type="pct"/>
            <w:vAlign w:val="center"/>
          </w:tcPr>
          <w:p w14:paraId="2AE42589">
            <w:pPr>
              <w:jc w:val="center"/>
              <w:rPr>
                <w:rFonts w:ascii="Times New Roman"/>
                <w:sz w:val="21"/>
                <w:szCs w:val="21"/>
              </w:rPr>
            </w:pPr>
            <w:r>
              <w:rPr>
                <w:rFonts w:ascii="Times New Roman"/>
                <w:sz w:val="21"/>
                <w:szCs w:val="21"/>
              </w:rPr>
              <w:t>122.3/4</w:t>
            </w:r>
          </w:p>
        </w:tc>
        <w:tc>
          <w:tcPr>
            <w:tcW w:w="730" w:type="pct"/>
            <w:vAlign w:val="center"/>
          </w:tcPr>
          <w:p w14:paraId="03C5ECEC">
            <w:pPr>
              <w:jc w:val="center"/>
              <w:rPr>
                <w:rFonts w:ascii="Times New Roman"/>
                <w:sz w:val="21"/>
                <w:szCs w:val="21"/>
              </w:rPr>
            </w:pPr>
            <w:r>
              <w:rPr>
                <w:rFonts w:ascii="Times New Roman"/>
                <w:sz w:val="21"/>
                <w:szCs w:val="21"/>
              </w:rPr>
              <w:t>0.203</w:t>
            </w:r>
          </w:p>
        </w:tc>
        <w:tc>
          <w:tcPr>
            <w:tcW w:w="466" w:type="pct"/>
            <w:vAlign w:val="center"/>
          </w:tcPr>
          <w:p w14:paraId="11D88A2C">
            <w:pPr>
              <w:jc w:val="center"/>
              <w:rPr>
                <w:rFonts w:ascii="Times New Roman"/>
                <w:sz w:val="21"/>
                <w:szCs w:val="21"/>
              </w:rPr>
            </w:pPr>
            <w:r>
              <w:rPr>
                <w:rFonts w:ascii="Times New Roman"/>
                <w:sz w:val="21"/>
                <w:szCs w:val="21"/>
              </w:rPr>
              <w:t>70</w:t>
            </w:r>
          </w:p>
        </w:tc>
        <w:tc>
          <w:tcPr>
            <w:tcW w:w="615" w:type="pct"/>
            <w:vAlign w:val="center"/>
          </w:tcPr>
          <w:p w14:paraId="3965A59C">
            <w:pPr>
              <w:jc w:val="center"/>
              <w:rPr>
                <w:rFonts w:ascii="Times New Roman"/>
                <w:sz w:val="21"/>
                <w:szCs w:val="21"/>
              </w:rPr>
            </w:pPr>
            <w:r>
              <w:rPr>
                <w:rFonts w:ascii="Times New Roman"/>
                <w:sz w:val="21"/>
                <w:szCs w:val="21"/>
              </w:rPr>
              <w:t>60</w:t>
            </w:r>
          </w:p>
        </w:tc>
        <w:tc>
          <w:tcPr>
            <w:tcW w:w="472" w:type="pct"/>
            <w:vAlign w:val="center"/>
          </w:tcPr>
          <w:p w14:paraId="035B14BC">
            <w:pPr>
              <w:jc w:val="center"/>
              <w:rPr>
                <w:rFonts w:ascii="Times New Roman"/>
                <w:sz w:val="21"/>
                <w:szCs w:val="21"/>
              </w:rPr>
            </w:pPr>
            <w:r>
              <w:rPr>
                <w:rFonts w:ascii="Times New Roman"/>
                <w:sz w:val="21"/>
                <w:szCs w:val="21"/>
              </w:rPr>
              <w:t>8</w:t>
            </w:r>
            <w:r>
              <w:rPr>
                <w:rFonts w:hint="eastAsia" w:ascii="Times New Roman"/>
                <w:sz w:val="21"/>
                <w:szCs w:val="21"/>
              </w:rPr>
              <w:t>9</w:t>
            </w:r>
          </w:p>
        </w:tc>
        <w:tc>
          <w:tcPr>
            <w:tcW w:w="810" w:type="pct"/>
            <w:vAlign w:val="center"/>
          </w:tcPr>
          <w:p w14:paraId="15B43D20">
            <w:pPr>
              <w:jc w:val="center"/>
              <w:rPr>
                <w:rFonts w:ascii="Times New Roman"/>
                <w:sz w:val="21"/>
                <w:szCs w:val="21"/>
              </w:rPr>
            </w:pPr>
            <w:r>
              <w:rPr>
                <w:rFonts w:hint="eastAsia" w:ascii="Times New Roman"/>
                <w:sz w:val="21"/>
                <w:szCs w:val="21"/>
              </w:rPr>
              <w:t>/</w:t>
            </w:r>
          </w:p>
        </w:tc>
      </w:tr>
      <w:tr w14:paraId="48F8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7B114A59">
            <w:pPr>
              <w:jc w:val="center"/>
              <w:rPr>
                <w:rFonts w:ascii="Times New Roman"/>
                <w:sz w:val="21"/>
                <w:szCs w:val="21"/>
              </w:rPr>
            </w:pPr>
            <w:r>
              <w:rPr>
                <w:rFonts w:ascii="Times New Roman"/>
                <w:sz w:val="21"/>
                <w:szCs w:val="21"/>
              </w:rPr>
              <w:t>7</w:t>
            </w:r>
          </w:p>
        </w:tc>
        <w:tc>
          <w:tcPr>
            <w:tcW w:w="1025" w:type="pct"/>
            <w:vAlign w:val="center"/>
          </w:tcPr>
          <w:p w14:paraId="5E4D9DD4">
            <w:pPr>
              <w:jc w:val="center"/>
              <w:rPr>
                <w:rFonts w:ascii="Times New Roman"/>
                <w:sz w:val="21"/>
                <w:szCs w:val="21"/>
              </w:rPr>
            </w:pPr>
            <w:r>
              <w:rPr>
                <w:rFonts w:ascii="Times New Roman"/>
                <w:sz w:val="21"/>
                <w:szCs w:val="21"/>
              </w:rPr>
              <w:t>环氧云铁中间漆</w:t>
            </w:r>
          </w:p>
        </w:tc>
        <w:tc>
          <w:tcPr>
            <w:tcW w:w="611" w:type="pct"/>
            <w:vAlign w:val="center"/>
          </w:tcPr>
          <w:p w14:paraId="22A4470C">
            <w:pPr>
              <w:jc w:val="center"/>
              <w:rPr>
                <w:rFonts w:ascii="Times New Roman"/>
                <w:sz w:val="21"/>
                <w:szCs w:val="21"/>
              </w:rPr>
            </w:pPr>
            <w:r>
              <w:rPr>
                <w:rFonts w:ascii="Times New Roman"/>
                <w:sz w:val="21"/>
                <w:szCs w:val="21"/>
              </w:rPr>
              <w:t>122.3/2</w:t>
            </w:r>
          </w:p>
        </w:tc>
        <w:tc>
          <w:tcPr>
            <w:tcW w:w="730" w:type="pct"/>
            <w:vAlign w:val="center"/>
          </w:tcPr>
          <w:p w14:paraId="22DBA8ED">
            <w:pPr>
              <w:jc w:val="center"/>
              <w:rPr>
                <w:rFonts w:ascii="Times New Roman"/>
                <w:sz w:val="21"/>
                <w:szCs w:val="21"/>
              </w:rPr>
            </w:pPr>
            <w:r>
              <w:rPr>
                <w:rFonts w:ascii="Times New Roman"/>
                <w:sz w:val="21"/>
                <w:szCs w:val="21"/>
              </w:rPr>
              <w:t>0.19</w:t>
            </w:r>
          </w:p>
        </w:tc>
        <w:tc>
          <w:tcPr>
            <w:tcW w:w="466" w:type="pct"/>
            <w:vAlign w:val="center"/>
          </w:tcPr>
          <w:p w14:paraId="517BB86A">
            <w:pPr>
              <w:jc w:val="center"/>
              <w:rPr>
                <w:rFonts w:ascii="Times New Roman"/>
                <w:sz w:val="21"/>
                <w:szCs w:val="21"/>
              </w:rPr>
            </w:pPr>
            <w:r>
              <w:rPr>
                <w:rFonts w:ascii="Times New Roman"/>
                <w:sz w:val="21"/>
                <w:szCs w:val="21"/>
              </w:rPr>
              <w:t>70</w:t>
            </w:r>
          </w:p>
        </w:tc>
        <w:tc>
          <w:tcPr>
            <w:tcW w:w="615" w:type="pct"/>
            <w:vAlign w:val="center"/>
          </w:tcPr>
          <w:p w14:paraId="2ACEE2EF">
            <w:pPr>
              <w:jc w:val="center"/>
              <w:rPr>
                <w:rFonts w:ascii="Times New Roman"/>
                <w:sz w:val="21"/>
                <w:szCs w:val="21"/>
              </w:rPr>
            </w:pPr>
            <w:r>
              <w:rPr>
                <w:rFonts w:ascii="Times New Roman"/>
                <w:sz w:val="21"/>
                <w:szCs w:val="21"/>
              </w:rPr>
              <w:t>120</w:t>
            </w:r>
          </w:p>
        </w:tc>
        <w:tc>
          <w:tcPr>
            <w:tcW w:w="472" w:type="pct"/>
            <w:vAlign w:val="center"/>
          </w:tcPr>
          <w:p w14:paraId="5B7F3E70">
            <w:pPr>
              <w:jc w:val="center"/>
              <w:rPr>
                <w:rFonts w:ascii="Times New Roman"/>
                <w:sz w:val="21"/>
                <w:szCs w:val="21"/>
              </w:rPr>
            </w:pPr>
            <w:r>
              <w:rPr>
                <w:rFonts w:ascii="Times New Roman"/>
                <w:sz w:val="21"/>
                <w:szCs w:val="21"/>
              </w:rPr>
              <w:t>332</w:t>
            </w:r>
          </w:p>
        </w:tc>
        <w:tc>
          <w:tcPr>
            <w:tcW w:w="810" w:type="pct"/>
            <w:vAlign w:val="center"/>
          </w:tcPr>
          <w:p w14:paraId="0C276289">
            <w:pPr>
              <w:jc w:val="center"/>
              <w:rPr>
                <w:rFonts w:ascii="Times New Roman"/>
                <w:sz w:val="21"/>
                <w:szCs w:val="21"/>
              </w:rPr>
            </w:pPr>
            <w:r>
              <w:rPr>
                <w:rFonts w:hint="eastAsia" w:ascii="Times New Roman"/>
                <w:sz w:val="21"/>
                <w:szCs w:val="21"/>
              </w:rPr>
              <w:t>/</w:t>
            </w:r>
          </w:p>
        </w:tc>
      </w:tr>
      <w:tr w14:paraId="5A55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445CDBEE">
            <w:pPr>
              <w:jc w:val="center"/>
              <w:rPr>
                <w:rFonts w:ascii="Times New Roman"/>
                <w:sz w:val="21"/>
                <w:szCs w:val="21"/>
              </w:rPr>
            </w:pPr>
            <w:r>
              <w:rPr>
                <w:rFonts w:ascii="Times New Roman"/>
                <w:sz w:val="21"/>
                <w:szCs w:val="21"/>
              </w:rPr>
              <w:t>8</w:t>
            </w:r>
          </w:p>
        </w:tc>
        <w:tc>
          <w:tcPr>
            <w:tcW w:w="1025" w:type="pct"/>
            <w:vAlign w:val="center"/>
          </w:tcPr>
          <w:p w14:paraId="6EB2B410">
            <w:pPr>
              <w:jc w:val="center"/>
              <w:rPr>
                <w:rFonts w:ascii="Times New Roman"/>
                <w:sz w:val="21"/>
                <w:szCs w:val="21"/>
              </w:rPr>
            </w:pPr>
            <w:r>
              <w:rPr>
                <w:rFonts w:ascii="Times New Roman"/>
                <w:sz w:val="21"/>
                <w:szCs w:val="21"/>
              </w:rPr>
              <w:t>环氧稀释剂</w:t>
            </w:r>
          </w:p>
        </w:tc>
        <w:tc>
          <w:tcPr>
            <w:tcW w:w="611" w:type="pct"/>
            <w:vAlign w:val="center"/>
          </w:tcPr>
          <w:p w14:paraId="557A5D8A">
            <w:pPr>
              <w:jc w:val="center"/>
              <w:rPr>
                <w:rFonts w:ascii="Times New Roman"/>
                <w:sz w:val="21"/>
                <w:szCs w:val="21"/>
              </w:rPr>
            </w:pPr>
            <w:r>
              <w:rPr>
                <w:rFonts w:ascii="Times New Roman"/>
                <w:sz w:val="21"/>
                <w:szCs w:val="21"/>
              </w:rPr>
              <w:t>122.3*3/4</w:t>
            </w:r>
          </w:p>
        </w:tc>
        <w:tc>
          <w:tcPr>
            <w:tcW w:w="730" w:type="pct"/>
            <w:vAlign w:val="center"/>
          </w:tcPr>
          <w:p w14:paraId="7FEF5C85">
            <w:pPr>
              <w:jc w:val="center"/>
              <w:rPr>
                <w:rFonts w:ascii="Times New Roman"/>
                <w:sz w:val="21"/>
                <w:szCs w:val="21"/>
              </w:rPr>
            </w:pPr>
            <w:r>
              <w:rPr>
                <w:rFonts w:ascii="Times New Roman"/>
                <w:sz w:val="21"/>
                <w:szCs w:val="21"/>
              </w:rPr>
              <w:t>\</w:t>
            </w:r>
          </w:p>
        </w:tc>
        <w:tc>
          <w:tcPr>
            <w:tcW w:w="466" w:type="pct"/>
            <w:vAlign w:val="center"/>
          </w:tcPr>
          <w:p w14:paraId="31922D15">
            <w:pPr>
              <w:jc w:val="center"/>
              <w:rPr>
                <w:rFonts w:ascii="Times New Roman"/>
                <w:sz w:val="21"/>
                <w:szCs w:val="21"/>
              </w:rPr>
            </w:pPr>
            <w:r>
              <w:rPr>
                <w:rFonts w:ascii="Times New Roman"/>
                <w:sz w:val="21"/>
                <w:szCs w:val="21"/>
              </w:rPr>
              <w:t>\</w:t>
            </w:r>
          </w:p>
        </w:tc>
        <w:tc>
          <w:tcPr>
            <w:tcW w:w="615" w:type="pct"/>
            <w:vAlign w:val="center"/>
          </w:tcPr>
          <w:p w14:paraId="47BAA7EC">
            <w:pPr>
              <w:jc w:val="center"/>
              <w:rPr>
                <w:rFonts w:ascii="Times New Roman"/>
                <w:sz w:val="21"/>
                <w:szCs w:val="21"/>
              </w:rPr>
            </w:pPr>
            <w:r>
              <w:rPr>
                <w:rFonts w:ascii="Times New Roman"/>
                <w:sz w:val="21"/>
                <w:szCs w:val="21"/>
              </w:rPr>
              <w:t>\</w:t>
            </w:r>
          </w:p>
        </w:tc>
        <w:tc>
          <w:tcPr>
            <w:tcW w:w="472" w:type="pct"/>
            <w:vAlign w:val="center"/>
          </w:tcPr>
          <w:p w14:paraId="3E80206D">
            <w:pPr>
              <w:jc w:val="center"/>
              <w:rPr>
                <w:rFonts w:ascii="Times New Roman"/>
                <w:sz w:val="21"/>
                <w:szCs w:val="21"/>
              </w:rPr>
            </w:pPr>
            <w:r>
              <w:rPr>
                <w:rFonts w:ascii="Times New Roman"/>
                <w:sz w:val="21"/>
                <w:szCs w:val="21"/>
              </w:rPr>
              <w:t>135</w:t>
            </w:r>
          </w:p>
        </w:tc>
        <w:tc>
          <w:tcPr>
            <w:tcW w:w="810" w:type="pct"/>
            <w:vAlign w:val="center"/>
          </w:tcPr>
          <w:p w14:paraId="1308888F">
            <w:pPr>
              <w:jc w:val="center"/>
              <w:rPr>
                <w:rFonts w:ascii="Times New Roman"/>
                <w:sz w:val="21"/>
                <w:szCs w:val="21"/>
              </w:rPr>
            </w:pPr>
            <w:r>
              <w:rPr>
                <w:rFonts w:ascii="Times New Roman"/>
                <w:sz w:val="21"/>
                <w:szCs w:val="21"/>
              </w:rPr>
              <w:t>稀释比20%+损耗40%</w:t>
            </w:r>
          </w:p>
        </w:tc>
      </w:tr>
    </w:tbl>
    <w:p w14:paraId="4C6325DE">
      <w:pPr>
        <w:spacing w:line="520" w:lineRule="exact"/>
        <w:outlineLvl w:val="2"/>
        <w:rPr>
          <w:rFonts w:ascii="Times New Roman"/>
          <w:b/>
          <w:sz w:val="28"/>
          <w:szCs w:val="28"/>
        </w:rPr>
      </w:pPr>
      <w:r>
        <w:rPr>
          <w:rFonts w:ascii="Times New Roman"/>
          <w:b/>
          <w:sz w:val="28"/>
          <w:szCs w:val="28"/>
        </w:rPr>
        <w:t>3.5.2喷漆物料平衡</w:t>
      </w:r>
    </w:p>
    <w:p w14:paraId="6BBE5300">
      <w:pPr>
        <w:spacing w:line="440" w:lineRule="exact"/>
        <w:rPr>
          <w:rFonts w:ascii="Times New Roman"/>
          <w:b/>
          <w:bCs/>
          <w:sz w:val="24"/>
          <w:szCs w:val="24"/>
        </w:rPr>
      </w:pPr>
      <w:r>
        <w:rPr>
          <w:rFonts w:ascii="Times New Roman"/>
          <w:b/>
          <w:bCs/>
          <w:sz w:val="24"/>
          <w:szCs w:val="24"/>
        </w:rPr>
        <w:t>（1）固体组分物料平衡</w:t>
      </w:r>
    </w:p>
    <w:p w14:paraId="44E48E23">
      <w:pPr>
        <w:spacing w:line="440" w:lineRule="exact"/>
        <w:ind w:firstLine="470" w:firstLineChars="196"/>
        <w:rPr>
          <w:rFonts w:ascii="Times New Roman"/>
          <w:sz w:val="24"/>
          <w:szCs w:val="20"/>
        </w:rPr>
      </w:pPr>
      <w:r>
        <w:rPr>
          <w:rFonts w:ascii="Times New Roman"/>
          <w:sz w:val="24"/>
          <w:szCs w:val="20"/>
        </w:rPr>
        <w:t>项目水性漆和油性漆中固体组分物料平衡见下表和下图。</w:t>
      </w:r>
    </w:p>
    <w:p w14:paraId="2F0A6A99">
      <w:pPr>
        <w:spacing w:line="440" w:lineRule="exact"/>
        <w:jc w:val="center"/>
        <w:rPr>
          <w:rFonts w:ascii="Times New Roman"/>
          <w:b/>
          <w:bCs/>
          <w:kern w:val="0"/>
          <w:sz w:val="24"/>
        </w:rPr>
      </w:pPr>
      <w:r>
        <w:rPr>
          <w:rFonts w:ascii="Times New Roman"/>
          <w:b/>
          <w:bCs/>
          <w:kern w:val="0"/>
          <w:sz w:val="24"/>
        </w:rPr>
        <w:t>表3.5-2  项目</w:t>
      </w:r>
      <w:r>
        <w:rPr>
          <w:rFonts w:hint="eastAsia" w:ascii="Times New Roman"/>
          <w:b/>
          <w:bCs/>
          <w:kern w:val="0"/>
          <w:sz w:val="24"/>
        </w:rPr>
        <w:t>电泳</w:t>
      </w:r>
      <w:r>
        <w:rPr>
          <w:rFonts w:ascii="Times New Roman"/>
          <w:b/>
          <w:bCs/>
          <w:kern w:val="0"/>
          <w:sz w:val="24"/>
        </w:rPr>
        <w:t>漆中固体组分物料平衡表</w:t>
      </w:r>
    </w:p>
    <w:tbl>
      <w:tblPr>
        <w:tblStyle w:val="84"/>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2"/>
        <w:gridCol w:w="750"/>
        <w:gridCol w:w="1839"/>
        <w:gridCol w:w="791"/>
        <w:gridCol w:w="1869"/>
        <w:gridCol w:w="1372"/>
      </w:tblGrid>
      <w:tr w14:paraId="10E0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62" w:type="pct"/>
            <w:gridSpan w:val="4"/>
            <w:tcBorders>
              <w:right w:val="single" w:color="auto" w:sz="4" w:space="0"/>
            </w:tcBorders>
            <w:vAlign w:val="center"/>
          </w:tcPr>
          <w:p w14:paraId="52E7B7BD">
            <w:pPr>
              <w:adjustRightInd w:val="0"/>
              <w:snapToGrid w:val="0"/>
              <w:jc w:val="center"/>
              <w:rPr>
                <w:rFonts w:ascii="Times New Roman"/>
                <w:sz w:val="21"/>
                <w:szCs w:val="21"/>
              </w:rPr>
            </w:pPr>
            <w:r>
              <w:rPr>
                <w:rFonts w:ascii="Times New Roman"/>
                <w:sz w:val="21"/>
                <w:szCs w:val="21"/>
              </w:rPr>
              <w:t>进入（单位：t/a）</w:t>
            </w:r>
          </w:p>
        </w:tc>
        <w:tc>
          <w:tcPr>
            <w:tcW w:w="1937" w:type="pct"/>
            <w:gridSpan w:val="2"/>
            <w:tcBorders>
              <w:left w:val="single" w:color="auto" w:sz="4" w:space="0"/>
            </w:tcBorders>
            <w:vAlign w:val="center"/>
          </w:tcPr>
          <w:p w14:paraId="7EC2A9E5">
            <w:pPr>
              <w:adjustRightInd w:val="0"/>
              <w:snapToGrid w:val="0"/>
              <w:jc w:val="center"/>
              <w:rPr>
                <w:rFonts w:ascii="Times New Roman"/>
                <w:sz w:val="21"/>
                <w:szCs w:val="21"/>
              </w:rPr>
            </w:pPr>
            <w:r>
              <w:rPr>
                <w:rFonts w:ascii="Times New Roman"/>
                <w:sz w:val="21"/>
                <w:szCs w:val="21"/>
              </w:rPr>
              <w:t>产出或排出（单位：t/a）</w:t>
            </w:r>
          </w:p>
        </w:tc>
      </w:tr>
      <w:tr w14:paraId="7EC7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2" w:type="pct"/>
            <w:vAlign w:val="center"/>
          </w:tcPr>
          <w:p w14:paraId="5FFAB284">
            <w:pPr>
              <w:adjustRightInd w:val="0"/>
              <w:snapToGrid w:val="0"/>
              <w:jc w:val="center"/>
              <w:rPr>
                <w:rFonts w:ascii="Times New Roman"/>
                <w:sz w:val="21"/>
                <w:szCs w:val="21"/>
              </w:rPr>
            </w:pPr>
            <w:r>
              <w:rPr>
                <w:rFonts w:ascii="Times New Roman"/>
                <w:sz w:val="21"/>
                <w:szCs w:val="21"/>
              </w:rPr>
              <w:t>名称</w:t>
            </w:r>
          </w:p>
        </w:tc>
        <w:tc>
          <w:tcPr>
            <w:tcW w:w="448" w:type="pct"/>
            <w:vAlign w:val="center"/>
          </w:tcPr>
          <w:p w14:paraId="45265747">
            <w:pPr>
              <w:adjustRightInd w:val="0"/>
              <w:snapToGrid w:val="0"/>
              <w:jc w:val="center"/>
              <w:rPr>
                <w:rFonts w:ascii="Times New Roman"/>
                <w:sz w:val="21"/>
                <w:szCs w:val="21"/>
              </w:rPr>
            </w:pPr>
            <w:r>
              <w:rPr>
                <w:rFonts w:ascii="Times New Roman"/>
                <w:sz w:val="21"/>
                <w:szCs w:val="21"/>
              </w:rPr>
              <w:t>年用量</w:t>
            </w:r>
          </w:p>
        </w:tc>
        <w:tc>
          <w:tcPr>
            <w:tcW w:w="1099" w:type="pct"/>
            <w:vAlign w:val="center"/>
          </w:tcPr>
          <w:p w14:paraId="363E115F">
            <w:pPr>
              <w:adjustRightInd w:val="0"/>
              <w:snapToGrid w:val="0"/>
              <w:jc w:val="center"/>
              <w:rPr>
                <w:rFonts w:ascii="Times New Roman"/>
                <w:sz w:val="21"/>
                <w:szCs w:val="21"/>
              </w:rPr>
            </w:pPr>
            <w:r>
              <w:rPr>
                <w:rFonts w:ascii="Times New Roman"/>
                <w:sz w:val="21"/>
                <w:szCs w:val="21"/>
              </w:rPr>
              <w:t>固体组分含量，%</w:t>
            </w:r>
          </w:p>
        </w:tc>
        <w:tc>
          <w:tcPr>
            <w:tcW w:w="472" w:type="pct"/>
            <w:vAlign w:val="center"/>
          </w:tcPr>
          <w:p w14:paraId="49E2DF87">
            <w:pPr>
              <w:adjustRightInd w:val="0"/>
              <w:snapToGrid w:val="0"/>
              <w:jc w:val="center"/>
              <w:rPr>
                <w:rFonts w:ascii="Times New Roman"/>
                <w:sz w:val="21"/>
                <w:szCs w:val="21"/>
              </w:rPr>
            </w:pPr>
            <w:r>
              <w:rPr>
                <w:rFonts w:ascii="Times New Roman"/>
                <w:sz w:val="21"/>
                <w:szCs w:val="21"/>
              </w:rPr>
              <w:t>进入量</w:t>
            </w:r>
          </w:p>
        </w:tc>
        <w:tc>
          <w:tcPr>
            <w:tcW w:w="1117" w:type="pct"/>
            <w:tcBorders>
              <w:right w:val="single" w:color="auto" w:sz="2" w:space="0"/>
            </w:tcBorders>
            <w:vAlign w:val="center"/>
          </w:tcPr>
          <w:p w14:paraId="4CDA6B21">
            <w:pPr>
              <w:adjustRightInd w:val="0"/>
              <w:snapToGrid w:val="0"/>
              <w:jc w:val="center"/>
              <w:rPr>
                <w:rFonts w:ascii="Times New Roman"/>
                <w:sz w:val="21"/>
                <w:szCs w:val="21"/>
              </w:rPr>
            </w:pPr>
            <w:r>
              <w:rPr>
                <w:rFonts w:ascii="Times New Roman"/>
                <w:sz w:val="21"/>
                <w:szCs w:val="21"/>
              </w:rPr>
              <w:t>名称</w:t>
            </w:r>
          </w:p>
        </w:tc>
        <w:tc>
          <w:tcPr>
            <w:tcW w:w="820" w:type="pct"/>
            <w:tcBorders>
              <w:left w:val="single" w:color="auto" w:sz="2" w:space="0"/>
            </w:tcBorders>
            <w:vAlign w:val="center"/>
          </w:tcPr>
          <w:p w14:paraId="16BA5BD9">
            <w:pPr>
              <w:adjustRightInd w:val="0"/>
              <w:snapToGrid w:val="0"/>
              <w:jc w:val="center"/>
              <w:rPr>
                <w:rFonts w:ascii="Times New Roman"/>
                <w:sz w:val="21"/>
                <w:szCs w:val="21"/>
              </w:rPr>
            </w:pPr>
            <w:r>
              <w:rPr>
                <w:rFonts w:ascii="Times New Roman"/>
                <w:sz w:val="21"/>
                <w:szCs w:val="21"/>
              </w:rPr>
              <w:t>产出或排出量</w:t>
            </w:r>
          </w:p>
        </w:tc>
      </w:tr>
      <w:tr w14:paraId="3BE6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2" w:type="pct"/>
            <w:shd w:val="clear" w:color="auto" w:fill="auto"/>
            <w:vAlign w:val="center"/>
          </w:tcPr>
          <w:p w14:paraId="291570AA">
            <w:pPr>
              <w:jc w:val="center"/>
              <w:rPr>
                <w:rFonts w:ascii="Times New Roman"/>
                <w:sz w:val="21"/>
                <w:szCs w:val="21"/>
              </w:rPr>
            </w:pPr>
            <w:r>
              <w:rPr>
                <w:rFonts w:ascii="Times New Roman"/>
                <w:kern w:val="0"/>
                <w:sz w:val="21"/>
                <w:szCs w:val="21"/>
              </w:rPr>
              <w:t>阴极电泳漆（乳液）</w:t>
            </w:r>
          </w:p>
        </w:tc>
        <w:tc>
          <w:tcPr>
            <w:tcW w:w="448" w:type="pct"/>
            <w:shd w:val="clear" w:color="auto" w:fill="auto"/>
            <w:vAlign w:val="center"/>
          </w:tcPr>
          <w:p w14:paraId="767792A0">
            <w:pPr>
              <w:widowControl/>
              <w:jc w:val="center"/>
              <w:rPr>
                <w:rFonts w:ascii="Times New Roman"/>
                <w:kern w:val="0"/>
                <w:sz w:val="21"/>
                <w:szCs w:val="21"/>
              </w:rPr>
            </w:pPr>
            <w:r>
              <w:rPr>
                <w:rFonts w:hint="eastAsia" w:ascii="Times New Roman"/>
                <w:kern w:val="0"/>
                <w:sz w:val="21"/>
                <w:szCs w:val="21"/>
              </w:rPr>
              <w:t>68</w:t>
            </w:r>
          </w:p>
        </w:tc>
        <w:tc>
          <w:tcPr>
            <w:tcW w:w="1099" w:type="pct"/>
            <w:vAlign w:val="center"/>
          </w:tcPr>
          <w:p w14:paraId="7463B1F6">
            <w:pPr>
              <w:widowControl/>
              <w:jc w:val="center"/>
              <w:rPr>
                <w:rFonts w:ascii="Times New Roman"/>
                <w:kern w:val="0"/>
                <w:sz w:val="21"/>
                <w:szCs w:val="21"/>
              </w:rPr>
            </w:pPr>
            <w:r>
              <w:rPr>
                <w:rFonts w:hint="eastAsia" w:ascii="Times New Roman"/>
                <w:kern w:val="0"/>
                <w:sz w:val="21"/>
                <w:szCs w:val="21"/>
              </w:rPr>
              <w:t>36.5</w:t>
            </w:r>
          </w:p>
        </w:tc>
        <w:tc>
          <w:tcPr>
            <w:tcW w:w="472" w:type="pct"/>
            <w:vAlign w:val="center"/>
          </w:tcPr>
          <w:p w14:paraId="63FD85C5">
            <w:pPr>
              <w:jc w:val="center"/>
              <w:rPr>
                <w:rFonts w:ascii="Times New Roman"/>
                <w:sz w:val="21"/>
                <w:szCs w:val="21"/>
              </w:rPr>
            </w:pPr>
            <w:r>
              <w:rPr>
                <w:rFonts w:hint="eastAsia" w:ascii="Times New Roman"/>
                <w:sz w:val="21"/>
                <w:szCs w:val="21"/>
              </w:rPr>
              <w:t>24.82</w:t>
            </w:r>
          </w:p>
        </w:tc>
        <w:tc>
          <w:tcPr>
            <w:tcW w:w="1117" w:type="pct"/>
            <w:tcBorders>
              <w:right w:val="single" w:color="auto" w:sz="2" w:space="0"/>
            </w:tcBorders>
            <w:vAlign w:val="center"/>
          </w:tcPr>
          <w:p w14:paraId="675440A8">
            <w:pPr>
              <w:adjustRightInd w:val="0"/>
              <w:snapToGrid w:val="0"/>
              <w:jc w:val="center"/>
              <w:rPr>
                <w:rFonts w:ascii="Times New Roman"/>
                <w:sz w:val="21"/>
                <w:szCs w:val="21"/>
              </w:rPr>
            </w:pPr>
            <w:r>
              <w:rPr>
                <w:rFonts w:ascii="Times New Roman"/>
                <w:sz w:val="21"/>
                <w:szCs w:val="21"/>
              </w:rPr>
              <w:t>附着在工件上漆料</w:t>
            </w:r>
          </w:p>
        </w:tc>
        <w:tc>
          <w:tcPr>
            <w:tcW w:w="820" w:type="pct"/>
            <w:tcBorders>
              <w:left w:val="single" w:color="auto" w:sz="2" w:space="0"/>
            </w:tcBorders>
            <w:vAlign w:val="center"/>
          </w:tcPr>
          <w:p w14:paraId="1E04F565">
            <w:pPr>
              <w:jc w:val="center"/>
              <w:rPr>
                <w:rFonts w:ascii="Times New Roman"/>
                <w:sz w:val="21"/>
                <w:szCs w:val="21"/>
              </w:rPr>
            </w:pPr>
            <w:r>
              <w:rPr>
                <w:rFonts w:hint="eastAsia" w:ascii="Times New Roman"/>
                <w:sz w:val="21"/>
                <w:szCs w:val="21"/>
              </w:rPr>
              <w:t>59.109</w:t>
            </w:r>
          </w:p>
        </w:tc>
      </w:tr>
      <w:tr w14:paraId="1C9E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2" w:type="pct"/>
            <w:shd w:val="clear" w:color="auto" w:fill="auto"/>
            <w:vAlign w:val="center"/>
          </w:tcPr>
          <w:p w14:paraId="45B01614">
            <w:pPr>
              <w:jc w:val="center"/>
              <w:rPr>
                <w:rFonts w:ascii="Times New Roman"/>
                <w:sz w:val="21"/>
                <w:szCs w:val="21"/>
              </w:rPr>
            </w:pPr>
            <w:r>
              <w:rPr>
                <w:rFonts w:ascii="Times New Roman"/>
                <w:kern w:val="0"/>
                <w:sz w:val="21"/>
                <w:szCs w:val="21"/>
              </w:rPr>
              <w:t>阴极电泳漆（灰浆）</w:t>
            </w:r>
          </w:p>
        </w:tc>
        <w:tc>
          <w:tcPr>
            <w:tcW w:w="448" w:type="pct"/>
            <w:shd w:val="clear" w:color="auto" w:fill="auto"/>
            <w:vAlign w:val="center"/>
          </w:tcPr>
          <w:p w14:paraId="01F75DBA">
            <w:pPr>
              <w:widowControl/>
              <w:jc w:val="center"/>
              <w:rPr>
                <w:rFonts w:ascii="Times New Roman"/>
                <w:kern w:val="0"/>
                <w:sz w:val="21"/>
                <w:szCs w:val="21"/>
              </w:rPr>
            </w:pPr>
            <w:r>
              <w:rPr>
                <w:rFonts w:hint="eastAsia" w:ascii="Times New Roman"/>
                <w:kern w:val="0"/>
                <w:sz w:val="21"/>
                <w:szCs w:val="21"/>
              </w:rPr>
              <w:t>68</w:t>
            </w:r>
          </w:p>
        </w:tc>
        <w:tc>
          <w:tcPr>
            <w:tcW w:w="1099" w:type="pct"/>
            <w:vAlign w:val="center"/>
          </w:tcPr>
          <w:p w14:paraId="6C3AC592">
            <w:pPr>
              <w:widowControl/>
              <w:jc w:val="center"/>
              <w:rPr>
                <w:rFonts w:ascii="Times New Roman"/>
                <w:kern w:val="0"/>
                <w:sz w:val="21"/>
                <w:szCs w:val="21"/>
              </w:rPr>
            </w:pPr>
            <w:r>
              <w:rPr>
                <w:rFonts w:hint="eastAsia" w:ascii="Times New Roman"/>
                <w:kern w:val="0"/>
                <w:sz w:val="21"/>
                <w:szCs w:val="21"/>
              </w:rPr>
              <w:t>55</w:t>
            </w:r>
          </w:p>
        </w:tc>
        <w:tc>
          <w:tcPr>
            <w:tcW w:w="472" w:type="pct"/>
            <w:vAlign w:val="center"/>
          </w:tcPr>
          <w:p w14:paraId="0DB41EA5">
            <w:pPr>
              <w:jc w:val="center"/>
              <w:rPr>
                <w:rFonts w:ascii="Times New Roman"/>
                <w:sz w:val="21"/>
                <w:szCs w:val="21"/>
              </w:rPr>
            </w:pPr>
            <w:r>
              <w:rPr>
                <w:rFonts w:hint="eastAsia" w:ascii="Times New Roman"/>
                <w:sz w:val="21"/>
                <w:szCs w:val="21"/>
              </w:rPr>
              <w:t>37.4</w:t>
            </w:r>
          </w:p>
        </w:tc>
        <w:tc>
          <w:tcPr>
            <w:tcW w:w="1117" w:type="pct"/>
            <w:tcBorders>
              <w:right w:val="single" w:color="auto" w:sz="2" w:space="0"/>
            </w:tcBorders>
            <w:shd w:val="clear" w:color="auto" w:fill="auto"/>
            <w:vAlign w:val="center"/>
          </w:tcPr>
          <w:p w14:paraId="0CCF48C2">
            <w:pPr>
              <w:adjustRightInd w:val="0"/>
              <w:snapToGrid w:val="0"/>
              <w:jc w:val="center"/>
              <w:rPr>
                <w:rFonts w:ascii="Times New Roman"/>
                <w:sz w:val="21"/>
                <w:szCs w:val="21"/>
              </w:rPr>
            </w:pPr>
            <w:r>
              <w:rPr>
                <w:rFonts w:hint="eastAsia" w:ascii="Times New Roman"/>
                <w:sz w:val="21"/>
                <w:szCs w:val="21"/>
              </w:rPr>
              <w:t>过滤</w:t>
            </w:r>
            <w:r>
              <w:rPr>
                <w:rFonts w:ascii="Times New Roman"/>
                <w:sz w:val="21"/>
                <w:szCs w:val="21"/>
              </w:rPr>
              <w:t>漆渣</w:t>
            </w:r>
          </w:p>
        </w:tc>
        <w:tc>
          <w:tcPr>
            <w:tcW w:w="820" w:type="pct"/>
            <w:tcBorders>
              <w:left w:val="single" w:color="auto" w:sz="2" w:space="0"/>
            </w:tcBorders>
            <w:shd w:val="clear" w:color="auto" w:fill="auto"/>
            <w:vAlign w:val="center"/>
          </w:tcPr>
          <w:p w14:paraId="7074FF9A">
            <w:pPr>
              <w:jc w:val="center"/>
              <w:rPr>
                <w:rFonts w:ascii="Times New Roman"/>
                <w:sz w:val="21"/>
                <w:szCs w:val="21"/>
              </w:rPr>
            </w:pPr>
            <w:r>
              <w:rPr>
                <w:rFonts w:hint="eastAsia" w:ascii="Times New Roman"/>
                <w:sz w:val="21"/>
                <w:szCs w:val="21"/>
              </w:rPr>
              <w:t>3.111</w:t>
            </w:r>
          </w:p>
        </w:tc>
      </w:tr>
      <w:tr w14:paraId="798A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9" w:type="pct"/>
            <w:gridSpan w:val="3"/>
            <w:vAlign w:val="center"/>
          </w:tcPr>
          <w:p w14:paraId="6DE02F95">
            <w:pPr>
              <w:jc w:val="center"/>
              <w:rPr>
                <w:rFonts w:ascii="Times New Roman"/>
                <w:sz w:val="21"/>
                <w:szCs w:val="21"/>
              </w:rPr>
            </w:pPr>
            <w:r>
              <w:rPr>
                <w:rFonts w:ascii="Times New Roman"/>
                <w:sz w:val="21"/>
                <w:szCs w:val="21"/>
              </w:rPr>
              <w:t>合计</w:t>
            </w:r>
          </w:p>
        </w:tc>
        <w:tc>
          <w:tcPr>
            <w:tcW w:w="472" w:type="pct"/>
            <w:vAlign w:val="center"/>
          </w:tcPr>
          <w:p w14:paraId="16E9FC2B">
            <w:pPr>
              <w:jc w:val="center"/>
              <w:rPr>
                <w:rFonts w:ascii="Times New Roman"/>
                <w:sz w:val="21"/>
                <w:szCs w:val="21"/>
              </w:rPr>
            </w:pPr>
            <w:r>
              <w:rPr>
                <w:rFonts w:hint="eastAsia" w:ascii="Times New Roman"/>
                <w:sz w:val="21"/>
                <w:szCs w:val="21"/>
              </w:rPr>
              <w:t>62.22</w:t>
            </w:r>
          </w:p>
        </w:tc>
        <w:tc>
          <w:tcPr>
            <w:tcW w:w="1117" w:type="pct"/>
            <w:tcBorders>
              <w:right w:val="single" w:color="auto" w:sz="2" w:space="0"/>
            </w:tcBorders>
            <w:vAlign w:val="center"/>
          </w:tcPr>
          <w:p w14:paraId="144F1708">
            <w:pPr>
              <w:adjustRightInd w:val="0"/>
              <w:snapToGrid w:val="0"/>
              <w:jc w:val="center"/>
              <w:rPr>
                <w:rFonts w:ascii="Times New Roman"/>
                <w:sz w:val="21"/>
                <w:szCs w:val="21"/>
              </w:rPr>
            </w:pPr>
            <w:r>
              <w:rPr>
                <w:rFonts w:ascii="Times New Roman"/>
                <w:sz w:val="21"/>
                <w:szCs w:val="21"/>
              </w:rPr>
              <w:t>合计</w:t>
            </w:r>
          </w:p>
        </w:tc>
        <w:tc>
          <w:tcPr>
            <w:tcW w:w="820" w:type="pct"/>
            <w:tcBorders>
              <w:left w:val="single" w:color="auto" w:sz="2" w:space="0"/>
            </w:tcBorders>
            <w:vAlign w:val="center"/>
          </w:tcPr>
          <w:p w14:paraId="78375388">
            <w:pPr>
              <w:jc w:val="center"/>
              <w:rPr>
                <w:rFonts w:ascii="Times New Roman"/>
                <w:sz w:val="21"/>
                <w:szCs w:val="21"/>
              </w:rPr>
            </w:pPr>
            <w:r>
              <w:rPr>
                <w:rFonts w:hint="eastAsia" w:ascii="Times New Roman"/>
                <w:sz w:val="21"/>
                <w:szCs w:val="21"/>
              </w:rPr>
              <w:t>62.22</w:t>
            </w:r>
          </w:p>
        </w:tc>
      </w:tr>
    </w:tbl>
    <w:p w14:paraId="45A271AC">
      <w:pPr>
        <w:jc w:val="center"/>
        <w:rPr>
          <w:rFonts w:ascii="Times New Roman"/>
          <w:sz w:val="24"/>
          <w:szCs w:val="20"/>
        </w:rPr>
      </w:pPr>
      <w:r>
        <w:rPr>
          <w:sz w:val="24"/>
        </w:rPr>
        <mc:AlternateContent>
          <mc:Choice Requires="wpg">
            <w:drawing>
              <wp:anchor distT="0" distB="0" distL="114300" distR="114300" simplePos="0" relativeHeight="251711488" behindDoc="0" locked="0" layoutInCell="1" allowOverlap="1">
                <wp:simplePos x="0" y="0"/>
                <wp:positionH relativeFrom="column">
                  <wp:posOffset>1203960</wp:posOffset>
                </wp:positionH>
                <wp:positionV relativeFrom="paragraph">
                  <wp:posOffset>132715</wp:posOffset>
                </wp:positionV>
                <wp:extent cx="3042920" cy="1584325"/>
                <wp:effectExtent l="4445" t="5080" r="13335" b="10795"/>
                <wp:wrapNone/>
                <wp:docPr id="68" name="组合 160"/>
                <wp:cNvGraphicFramePr/>
                <a:graphic xmlns:a="http://schemas.openxmlformats.org/drawingml/2006/main">
                  <a:graphicData uri="http://schemas.microsoft.com/office/word/2010/wordprocessingGroup">
                    <wpg:wgp>
                      <wpg:cNvGrpSpPr/>
                      <wpg:grpSpPr>
                        <a:xfrm>
                          <a:off x="0" y="0"/>
                          <a:ext cx="3042920" cy="1584325"/>
                          <a:chOff x="2044" y="1277015"/>
                          <a:chExt cx="4792" cy="2495"/>
                        </a:xfrm>
                        <a:effectLst/>
                      </wpg:grpSpPr>
                      <wps:wsp>
                        <wps:cNvPr id="73" name="文本框 209"/>
                        <wps:cNvSpPr txBox="1"/>
                        <wps:spPr>
                          <a:xfrm>
                            <a:off x="5079" y="1277015"/>
                            <a:ext cx="1757" cy="7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F2BC85">
                              <w:pPr>
                                <w:jc w:val="center"/>
                                <w:rPr>
                                  <w:rFonts w:ascii="Times New Roman"/>
                                  <w:sz w:val="18"/>
                                  <w:szCs w:val="18"/>
                                </w:rPr>
                              </w:pPr>
                              <w:r>
                                <w:rPr>
                                  <w:rFonts w:hint="eastAsia" w:ascii="Times New Roman"/>
                                  <w:sz w:val="18"/>
                                  <w:szCs w:val="18"/>
                                </w:rPr>
                                <w:t>95%附着在工件上59.109</w:t>
                              </w:r>
                            </w:p>
                          </w:txbxContent>
                        </wps:txbx>
                        <wps:bodyPr upright="1"/>
                      </wps:wsp>
                      <wps:wsp>
                        <wps:cNvPr id="219" name="文本框 219"/>
                        <wps:cNvSpPr txBox="1"/>
                        <wps:spPr>
                          <a:xfrm>
                            <a:off x="5064" y="1278745"/>
                            <a:ext cx="1354" cy="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4F48F5">
                              <w:pPr>
                                <w:rPr>
                                  <w:rFonts w:ascii="Times New Roman"/>
                                  <w:sz w:val="18"/>
                                  <w:szCs w:val="18"/>
                                </w:rPr>
                              </w:pPr>
                              <w:r>
                                <w:rPr>
                                  <w:rFonts w:hint="eastAsia" w:ascii="Times New Roman"/>
                                  <w:sz w:val="18"/>
                                  <w:szCs w:val="18"/>
                                </w:rPr>
                                <w:t>5%过滤漆渣</w:t>
                              </w:r>
                            </w:p>
                            <w:p w14:paraId="7F4BC0E5">
                              <w:pPr>
                                <w:jc w:val="center"/>
                                <w:rPr>
                                  <w:rFonts w:ascii="Times New Roman"/>
                                  <w:sz w:val="24"/>
                                  <w:szCs w:val="20"/>
                                </w:rPr>
                              </w:pPr>
                              <w:r>
                                <w:rPr>
                                  <w:rFonts w:hint="eastAsia" w:ascii="Times New Roman"/>
                                  <w:sz w:val="18"/>
                                  <w:szCs w:val="18"/>
                                </w:rPr>
                                <w:t>3.111</w:t>
                              </w:r>
                            </w:p>
                          </w:txbxContent>
                        </wps:txbx>
                        <wps:bodyPr upright="1"/>
                      </wps:wsp>
                      <wps:wsp>
                        <wps:cNvPr id="213" name="文本框 213"/>
                        <wps:cNvSpPr txBox="1"/>
                        <wps:spPr>
                          <a:xfrm>
                            <a:off x="2044" y="1277818"/>
                            <a:ext cx="1711" cy="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22F5BB">
                              <w:pPr>
                                <w:jc w:val="center"/>
                                <w:rPr>
                                  <w:rFonts w:ascii="Times New Roman"/>
                                  <w:sz w:val="18"/>
                                  <w:szCs w:val="18"/>
                                </w:rPr>
                              </w:pPr>
                              <w:r>
                                <w:rPr>
                                  <w:rFonts w:hint="eastAsia" w:ascii="Times New Roman"/>
                                  <w:sz w:val="18"/>
                                  <w:szCs w:val="18"/>
                                </w:rPr>
                                <w:t>电泳漆固体组分62.22</w:t>
                              </w:r>
                            </w:p>
                            <w:p w14:paraId="266240D7">
                              <w:pPr>
                                <w:rPr>
                                  <w:rFonts w:ascii="Times New Roman"/>
                                  <w:sz w:val="24"/>
                                  <w:szCs w:val="20"/>
                                </w:rPr>
                              </w:pPr>
                            </w:p>
                          </w:txbxContent>
                        </wps:txbx>
                        <wps:bodyPr upright="1"/>
                      </wps:wsp>
                      <wps:wsp>
                        <wps:cNvPr id="214" name="直接连接符 214"/>
                        <wps:cNvCnPr/>
                        <wps:spPr>
                          <a:xfrm>
                            <a:off x="3755" y="1278141"/>
                            <a:ext cx="945" cy="11"/>
                          </a:xfrm>
                          <a:prstGeom prst="line">
                            <a:avLst/>
                          </a:prstGeom>
                          <a:ln w="9525" cap="flat" cmpd="sng">
                            <a:solidFill>
                              <a:srgbClr val="000000"/>
                            </a:solidFill>
                            <a:prstDash val="solid"/>
                            <a:headEnd type="none" w="med" len="med"/>
                            <a:tailEnd type="triangle" w="med" len="med"/>
                          </a:ln>
                          <a:effectLst/>
                        </wps:spPr>
                        <wps:bodyPr upright="1"/>
                      </wps:wsp>
                      <wps:wsp>
                        <wps:cNvPr id="217" name="肘形连接符 217"/>
                        <wps:cNvCnPr/>
                        <wps:spPr>
                          <a:xfrm rot="10800000" flipV="1">
                            <a:off x="5057" y="1277405"/>
                            <a:ext cx="15" cy="1723"/>
                          </a:xfrm>
                          <a:prstGeom prst="bentConnector3">
                            <a:avLst>
                              <a:gd name="adj1" fmla="val 2600000"/>
                            </a:avLst>
                          </a:prstGeom>
                          <a:ln w="6350" cap="flat" cmpd="sng">
                            <a:solidFill>
                              <a:srgbClr val="000000"/>
                            </a:solidFill>
                            <a:prstDash val="solid"/>
                            <a:miter/>
                            <a:headEnd type="triangle" w="med" len="med"/>
                            <a:tailEnd type="triangle" w="med" len="med"/>
                          </a:ln>
                          <a:effectLst/>
                        </wps:spPr>
                        <wps:bodyPr/>
                      </wps:wsp>
                      <wps:wsp>
                        <wps:cNvPr id="212" name="文本框 212"/>
                        <wps:cNvSpPr txBox="1"/>
                        <wps:spPr>
                          <a:xfrm>
                            <a:off x="3919" y="1277682"/>
                            <a:ext cx="915" cy="405"/>
                          </a:xfrm>
                          <a:prstGeom prst="rect">
                            <a:avLst/>
                          </a:prstGeom>
                          <a:noFill/>
                          <a:ln>
                            <a:noFill/>
                          </a:ln>
                          <a:effectLst/>
                        </wps:spPr>
                        <wps:txbx>
                          <w:txbxContent>
                            <w:p w14:paraId="6412B73B">
                              <w:pPr>
                                <w:rPr>
                                  <w:rFonts w:ascii="Times New Roman"/>
                                  <w:sz w:val="18"/>
                                  <w:szCs w:val="18"/>
                                </w:rPr>
                              </w:pPr>
                              <w:r>
                                <w:rPr>
                                  <w:rFonts w:hint="eastAsia" w:ascii="Times New Roman"/>
                                  <w:sz w:val="18"/>
                                  <w:szCs w:val="18"/>
                                </w:rPr>
                                <w:t>62.22</w:t>
                              </w:r>
                            </w:p>
                          </w:txbxContent>
                        </wps:txbx>
                        <wps:bodyPr upright="1"/>
                      </wps:wsp>
                    </wpg:wgp>
                  </a:graphicData>
                </a:graphic>
              </wp:anchor>
            </w:drawing>
          </mc:Choice>
          <mc:Fallback>
            <w:pict>
              <v:group id="组合 160" o:spid="_x0000_s1026" o:spt="203" style="position:absolute;left:0pt;margin-left:94.8pt;margin-top:10.45pt;height:124.75pt;width:239.6pt;z-index:251711488;mso-width-relative:page;mso-height-relative:page;" coordorigin="2044,1277015" coordsize="4792,2495" o:gfxdata="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B+rjxdkAAAAKAQAADwAAAAAAAAABACAAAAAiAAAA&#10;ZHJzL2Rvd25yZXYueG1sUEsBAhQAFAAAAAgAh07iQCqkf6UHBAAAhhAAAA4AAAAAAAAAAQAgAAAA&#10;KAEAAGRycy9lMm9Eb2MueG1sUEsFBgAAAAAGAAYAWQEAAKEHAAAAAA==&#10;">
                <o:lock v:ext="edit" aspectratio="f"/>
                <v:shape id="文本框 209" o:spid="_x0000_s1026" o:spt="202" type="#_x0000_t202" style="position:absolute;left:5079;top:1277015;height:779;width:1757;"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F2BC85">
                        <w:pPr>
                          <w:jc w:val="center"/>
                          <w:rPr>
                            <w:rFonts w:ascii="Times New Roman"/>
                            <w:sz w:val="18"/>
                            <w:szCs w:val="18"/>
                          </w:rPr>
                        </w:pPr>
                        <w:r>
                          <w:rPr>
                            <w:rFonts w:hint="eastAsia" w:ascii="Times New Roman"/>
                            <w:sz w:val="18"/>
                            <w:szCs w:val="18"/>
                          </w:rPr>
                          <w:t>95%附着在工件上59.109</w:t>
                        </w:r>
                      </w:p>
                    </w:txbxContent>
                  </v:textbox>
                </v:shape>
                <v:shape id="_x0000_s1026" o:spid="_x0000_s1026" o:spt="202" type="#_x0000_t202" style="position:absolute;left:5064;top:1278745;height:765;width:1354;" fillcolor="#FFFFFF" filled="t" stroked="t" coordsize="21600,21600" o:gfxdata="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ZZ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4F48F5">
                        <w:pPr>
                          <w:rPr>
                            <w:rFonts w:ascii="Times New Roman"/>
                            <w:sz w:val="18"/>
                            <w:szCs w:val="18"/>
                          </w:rPr>
                        </w:pPr>
                        <w:r>
                          <w:rPr>
                            <w:rFonts w:hint="eastAsia" w:ascii="Times New Roman"/>
                            <w:sz w:val="18"/>
                            <w:szCs w:val="18"/>
                          </w:rPr>
                          <w:t>5%过滤漆渣</w:t>
                        </w:r>
                      </w:p>
                      <w:p w14:paraId="7F4BC0E5">
                        <w:pPr>
                          <w:jc w:val="center"/>
                          <w:rPr>
                            <w:rFonts w:ascii="Times New Roman"/>
                            <w:sz w:val="24"/>
                            <w:szCs w:val="20"/>
                          </w:rPr>
                        </w:pPr>
                        <w:r>
                          <w:rPr>
                            <w:rFonts w:hint="eastAsia" w:ascii="Times New Roman"/>
                            <w:sz w:val="18"/>
                            <w:szCs w:val="18"/>
                          </w:rPr>
                          <w:t>3.111</w:t>
                        </w:r>
                      </w:p>
                    </w:txbxContent>
                  </v:textbox>
                </v:shape>
                <v:shape id="_x0000_s1026" o:spid="_x0000_s1026" o:spt="202" type="#_x0000_t202" style="position:absolute;left:2044;top:1277818;height:825;width:1711;" fillcolor="#FFFFFF" filled="t" stroked="t" coordsize="21600,21600"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22F5BB">
                        <w:pPr>
                          <w:jc w:val="center"/>
                          <w:rPr>
                            <w:rFonts w:ascii="Times New Roman"/>
                            <w:sz w:val="18"/>
                            <w:szCs w:val="18"/>
                          </w:rPr>
                        </w:pPr>
                        <w:r>
                          <w:rPr>
                            <w:rFonts w:hint="eastAsia" w:ascii="Times New Roman"/>
                            <w:sz w:val="18"/>
                            <w:szCs w:val="18"/>
                          </w:rPr>
                          <w:t>电泳漆固体组分62.22</w:t>
                        </w:r>
                      </w:p>
                      <w:p w14:paraId="266240D7">
                        <w:pPr>
                          <w:rPr>
                            <w:rFonts w:ascii="Times New Roman"/>
                            <w:sz w:val="24"/>
                            <w:szCs w:val="20"/>
                          </w:rPr>
                        </w:pPr>
                      </w:p>
                    </w:txbxContent>
                  </v:textbox>
                </v:shape>
                <v:line id="_x0000_s1026" o:spid="_x0000_s1026" o:spt="20" style="position:absolute;left:3755;top:1278141;height:11;width:945;" filled="f" stroked="t" coordsize="21600,21600" o:gfxdata="UEsDBAoAAAAAAIdO4kAAAAAAAAAAAAAAAAAEAAAAZHJzL1BLAwQUAAAACACHTuJAx3oPFL8AAADc&#10;AAAADwAAAGRycy9kb3ducmV2LnhtbEWPT4vCMBTE7wt+h/CEva1pZVl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6Dx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4" type="#_x0000_t34" style="position:absolute;left:5057;top:1277405;flip:y;height:1723;width:15;rotation:11796480f;" filled="f" stroked="t" coordsize="21600,21600" o:gfxdata="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h4vQAA&#10;ANwAAAAPAAAAAAAAAAEAIAAAACIAAABkcnMvZG93bnJldi54bWxQSwECFAAUAAAACACHTuJAMy8F&#10;njsAAAA5AAAAEAAAAAAAAAABACAAAAAMAQAAZHJzL3NoYXBleG1sLnhtbFBLBQYAAAAABgAGAFsB&#10;AAC2AwAAAAA=&#10;" adj="561600">
                  <v:fill on="f" focussize="0,0"/>
                  <v:stroke weight="0.5pt" color="#000000" joinstyle="miter" startarrow="block" endarrow="block"/>
                  <v:imagedata o:title=""/>
                  <o:lock v:ext="edit" aspectratio="f"/>
                </v:shape>
                <v:shape id="_x0000_s1026" o:spid="_x0000_s1026" o:spt="202" type="#_x0000_t202" style="position:absolute;left:3919;top:1277682;height:405;width:915;" filled="f" stroked="f" coordsize="21600,21600" o:gfxdata="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zUI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412B73B">
                        <w:pPr>
                          <w:rPr>
                            <w:rFonts w:ascii="Times New Roman"/>
                            <w:sz w:val="18"/>
                            <w:szCs w:val="18"/>
                          </w:rPr>
                        </w:pPr>
                        <w:r>
                          <w:rPr>
                            <w:rFonts w:hint="eastAsia" w:ascii="Times New Roman"/>
                            <w:sz w:val="18"/>
                            <w:szCs w:val="18"/>
                          </w:rPr>
                          <w:t>62.22</w:t>
                        </w:r>
                      </w:p>
                    </w:txbxContent>
                  </v:textbox>
                </v:shape>
              </v:group>
            </w:pict>
          </mc:Fallback>
        </mc:AlternateContent>
      </w:r>
    </w:p>
    <w:p w14:paraId="4875E2CA">
      <w:pPr>
        <w:jc w:val="center"/>
        <w:rPr>
          <w:rFonts w:ascii="Times New Roman"/>
          <w:sz w:val="24"/>
          <w:szCs w:val="20"/>
        </w:rPr>
      </w:pPr>
    </w:p>
    <w:p w14:paraId="569B832D">
      <w:pPr>
        <w:jc w:val="center"/>
        <w:rPr>
          <w:rFonts w:ascii="Times New Roman"/>
          <w:sz w:val="24"/>
          <w:szCs w:val="20"/>
        </w:rPr>
      </w:pPr>
    </w:p>
    <w:p w14:paraId="79B180C1">
      <w:pPr>
        <w:jc w:val="center"/>
        <w:rPr>
          <w:rFonts w:ascii="Times New Roman"/>
          <w:sz w:val="24"/>
          <w:szCs w:val="20"/>
        </w:rPr>
      </w:pPr>
    </w:p>
    <w:p w14:paraId="47D5E6ED">
      <w:pPr>
        <w:jc w:val="center"/>
        <w:rPr>
          <w:rFonts w:ascii="Times New Roman"/>
          <w:sz w:val="24"/>
          <w:szCs w:val="20"/>
        </w:rPr>
      </w:pPr>
    </w:p>
    <w:p w14:paraId="1A8EBF2C">
      <w:pPr>
        <w:jc w:val="center"/>
        <w:rPr>
          <w:rFonts w:ascii="Times New Roman"/>
          <w:sz w:val="24"/>
          <w:szCs w:val="20"/>
        </w:rPr>
      </w:pPr>
    </w:p>
    <w:p w14:paraId="09A57B2A">
      <w:pPr>
        <w:jc w:val="center"/>
        <w:rPr>
          <w:rFonts w:ascii="Times New Roman"/>
          <w:sz w:val="24"/>
          <w:szCs w:val="20"/>
        </w:rPr>
      </w:pPr>
    </w:p>
    <w:p w14:paraId="3C262A5E">
      <w:pPr>
        <w:jc w:val="center"/>
        <w:rPr>
          <w:rFonts w:ascii="Times New Roman"/>
          <w:sz w:val="24"/>
          <w:szCs w:val="20"/>
        </w:rPr>
      </w:pPr>
    </w:p>
    <w:p w14:paraId="425BC796">
      <w:pPr>
        <w:spacing w:line="440" w:lineRule="exact"/>
        <w:jc w:val="center"/>
        <w:rPr>
          <w:rFonts w:ascii="Times New Roman"/>
          <w:b/>
          <w:bCs/>
          <w:kern w:val="0"/>
          <w:sz w:val="24"/>
        </w:rPr>
      </w:pPr>
      <w:r>
        <w:rPr>
          <w:rFonts w:ascii="Times New Roman"/>
          <w:b/>
          <w:kern w:val="0"/>
          <w:sz w:val="24"/>
          <w:szCs w:val="24"/>
        </w:rPr>
        <w:t>图</w:t>
      </w:r>
      <w:r>
        <w:rPr>
          <w:rFonts w:ascii="Times New Roman"/>
          <w:b/>
          <w:bCs/>
          <w:kern w:val="0"/>
          <w:sz w:val="24"/>
          <w:szCs w:val="24"/>
        </w:rPr>
        <w:t xml:space="preserve">3.5-1  </w:t>
      </w:r>
      <w:r>
        <w:rPr>
          <w:rFonts w:hint="eastAsia" w:ascii="Times New Roman"/>
          <w:b/>
          <w:bCs/>
          <w:kern w:val="0"/>
          <w:sz w:val="24"/>
          <w:szCs w:val="24"/>
        </w:rPr>
        <w:t>电泳</w:t>
      </w:r>
      <w:r>
        <w:rPr>
          <w:rFonts w:ascii="Times New Roman"/>
          <w:b/>
          <w:kern w:val="0"/>
          <w:sz w:val="24"/>
          <w:szCs w:val="24"/>
        </w:rPr>
        <w:t>漆中固体组分物料平衡图（单位：t/a）</w:t>
      </w:r>
    </w:p>
    <w:p w14:paraId="7AABB408">
      <w:pPr>
        <w:spacing w:line="440" w:lineRule="exact"/>
        <w:jc w:val="center"/>
        <w:rPr>
          <w:rFonts w:ascii="Times New Roman"/>
          <w:b/>
          <w:bCs/>
          <w:kern w:val="0"/>
          <w:sz w:val="24"/>
        </w:rPr>
      </w:pPr>
      <w:r>
        <w:rPr>
          <w:rFonts w:ascii="Times New Roman"/>
          <w:b/>
          <w:bCs/>
          <w:kern w:val="0"/>
          <w:sz w:val="24"/>
        </w:rPr>
        <w:t>表3.5-2  项目油性漆中固体组分物料平衡表</w:t>
      </w:r>
    </w:p>
    <w:tbl>
      <w:tblPr>
        <w:tblStyle w:val="84"/>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0"/>
        <w:gridCol w:w="864"/>
        <w:gridCol w:w="1730"/>
        <w:gridCol w:w="1011"/>
        <w:gridCol w:w="2606"/>
        <w:gridCol w:w="1385"/>
      </w:tblGrid>
      <w:tr w14:paraId="6212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42" w:type="pct"/>
            <w:gridSpan w:val="4"/>
            <w:tcBorders>
              <w:right w:val="single" w:color="auto" w:sz="4" w:space="0"/>
            </w:tcBorders>
            <w:vAlign w:val="center"/>
          </w:tcPr>
          <w:p w14:paraId="35858B96">
            <w:pPr>
              <w:adjustRightInd w:val="0"/>
              <w:snapToGrid w:val="0"/>
              <w:jc w:val="center"/>
              <w:rPr>
                <w:rFonts w:ascii="Times New Roman"/>
                <w:sz w:val="21"/>
                <w:szCs w:val="21"/>
              </w:rPr>
            </w:pPr>
            <w:r>
              <w:rPr>
                <w:rFonts w:ascii="Times New Roman"/>
                <w:sz w:val="21"/>
                <w:szCs w:val="21"/>
              </w:rPr>
              <w:t>进入（单位：t/a）</w:t>
            </w:r>
          </w:p>
        </w:tc>
        <w:tc>
          <w:tcPr>
            <w:tcW w:w="2357" w:type="pct"/>
            <w:gridSpan w:val="2"/>
            <w:tcBorders>
              <w:left w:val="single" w:color="auto" w:sz="4" w:space="0"/>
            </w:tcBorders>
            <w:vAlign w:val="center"/>
          </w:tcPr>
          <w:p w14:paraId="7DDE35E9">
            <w:pPr>
              <w:adjustRightInd w:val="0"/>
              <w:snapToGrid w:val="0"/>
              <w:jc w:val="center"/>
              <w:rPr>
                <w:rFonts w:ascii="Times New Roman"/>
                <w:sz w:val="21"/>
                <w:szCs w:val="21"/>
              </w:rPr>
            </w:pPr>
            <w:r>
              <w:rPr>
                <w:rFonts w:ascii="Times New Roman"/>
                <w:sz w:val="21"/>
                <w:szCs w:val="21"/>
              </w:rPr>
              <w:t>产出或排出（单位：t/a）</w:t>
            </w:r>
          </w:p>
        </w:tc>
      </w:tr>
      <w:tr w14:paraId="5EB8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3" w:type="pct"/>
            <w:vAlign w:val="center"/>
          </w:tcPr>
          <w:p w14:paraId="2A9EF389">
            <w:pPr>
              <w:adjustRightInd w:val="0"/>
              <w:snapToGrid w:val="0"/>
              <w:jc w:val="center"/>
              <w:rPr>
                <w:rFonts w:ascii="Times New Roman"/>
                <w:sz w:val="21"/>
                <w:szCs w:val="21"/>
              </w:rPr>
            </w:pPr>
            <w:r>
              <w:rPr>
                <w:rFonts w:ascii="Times New Roman"/>
                <w:sz w:val="21"/>
                <w:szCs w:val="21"/>
              </w:rPr>
              <w:t>名称</w:t>
            </w:r>
          </w:p>
        </w:tc>
        <w:tc>
          <w:tcPr>
            <w:tcW w:w="510" w:type="pct"/>
            <w:vAlign w:val="center"/>
          </w:tcPr>
          <w:p w14:paraId="33CB96AB">
            <w:pPr>
              <w:adjustRightInd w:val="0"/>
              <w:snapToGrid w:val="0"/>
              <w:jc w:val="center"/>
              <w:rPr>
                <w:rFonts w:ascii="Times New Roman"/>
                <w:sz w:val="21"/>
                <w:szCs w:val="21"/>
              </w:rPr>
            </w:pPr>
            <w:r>
              <w:rPr>
                <w:rFonts w:ascii="Times New Roman"/>
                <w:sz w:val="21"/>
                <w:szCs w:val="21"/>
              </w:rPr>
              <w:t>年用量</w:t>
            </w:r>
          </w:p>
        </w:tc>
        <w:tc>
          <w:tcPr>
            <w:tcW w:w="1022" w:type="pct"/>
            <w:vAlign w:val="center"/>
          </w:tcPr>
          <w:p w14:paraId="0972CDA5">
            <w:pPr>
              <w:adjustRightInd w:val="0"/>
              <w:snapToGrid w:val="0"/>
              <w:jc w:val="center"/>
              <w:rPr>
                <w:rFonts w:ascii="Times New Roman"/>
                <w:sz w:val="21"/>
                <w:szCs w:val="21"/>
              </w:rPr>
            </w:pPr>
            <w:r>
              <w:rPr>
                <w:rFonts w:ascii="Times New Roman"/>
                <w:sz w:val="21"/>
                <w:szCs w:val="21"/>
              </w:rPr>
              <w:t>固体组分含量，%</w:t>
            </w:r>
          </w:p>
        </w:tc>
        <w:tc>
          <w:tcPr>
            <w:tcW w:w="596" w:type="pct"/>
            <w:vAlign w:val="center"/>
          </w:tcPr>
          <w:p w14:paraId="3FCBE297">
            <w:pPr>
              <w:adjustRightInd w:val="0"/>
              <w:snapToGrid w:val="0"/>
              <w:jc w:val="center"/>
              <w:rPr>
                <w:rFonts w:ascii="Times New Roman"/>
                <w:sz w:val="21"/>
                <w:szCs w:val="21"/>
              </w:rPr>
            </w:pPr>
            <w:r>
              <w:rPr>
                <w:rFonts w:ascii="Times New Roman"/>
                <w:sz w:val="21"/>
                <w:szCs w:val="21"/>
              </w:rPr>
              <w:t>进入量</w:t>
            </w:r>
          </w:p>
        </w:tc>
        <w:tc>
          <w:tcPr>
            <w:tcW w:w="1539" w:type="pct"/>
            <w:tcBorders>
              <w:right w:val="single" w:color="auto" w:sz="2" w:space="0"/>
            </w:tcBorders>
            <w:vAlign w:val="center"/>
          </w:tcPr>
          <w:p w14:paraId="526029C9">
            <w:pPr>
              <w:adjustRightInd w:val="0"/>
              <w:snapToGrid w:val="0"/>
              <w:jc w:val="center"/>
              <w:rPr>
                <w:rFonts w:ascii="Times New Roman"/>
                <w:sz w:val="21"/>
                <w:szCs w:val="21"/>
              </w:rPr>
            </w:pPr>
            <w:r>
              <w:rPr>
                <w:rFonts w:ascii="Times New Roman"/>
                <w:sz w:val="21"/>
                <w:szCs w:val="21"/>
              </w:rPr>
              <w:t>名称</w:t>
            </w:r>
          </w:p>
        </w:tc>
        <w:tc>
          <w:tcPr>
            <w:tcW w:w="818" w:type="pct"/>
            <w:tcBorders>
              <w:left w:val="single" w:color="auto" w:sz="2" w:space="0"/>
            </w:tcBorders>
            <w:vAlign w:val="center"/>
          </w:tcPr>
          <w:p w14:paraId="2A2442C3">
            <w:pPr>
              <w:adjustRightInd w:val="0"/>
              <w:snapToGrid w:val="0"/>
              <w:jc w:val="center"/>
              <w:rPr>
                <w:rFonts w:ascii="Times New Roman"/>
                <w:sz w:val="21"/>
                <w:szCs w:val="21"/>
              </w:rPr>
            </w:pPr>
            <w:r>
              <w:rPr>
                <w:rFonts w:ascii="Times New Roman"/>
                <w:sz w:val="21"/>
                <w:szCs w:val="21"/>
              </w:rPr>
              <w:t>产出或排出量</w:t>
            </w:r>
          </w:p>
        </w:tc>
      </w:tr>
      <w:tr w14:paraId="3733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3" w:type="pct"/>
            <w:vAlign w:val="center"/>
          </w:tcPr>
          <w:p w14:paraId="131C2A26">
            <w:pPr>
              <w:jc w:val="center"/>
              <w:rPr>
                <w:rFonts w:ascii="Times New Roman"/>
                <w:sz w:val="21"/>
                <w:szCs w:val="21"/>
              </w:rPr>
            </w:pPr>
            <w:r>
              <w:rPr>
                <w:rFonts w:ascii="Times New Roman"/>
                <w:sz w:val="21"/>
                <w:szCs w:val="21"/>
              </w:rPr>
              <w:t>底漆</w:t>
            </w:r>
          </w:p>
        </w:tc>
        <w:tc>
          <w:tcPr>
            <w:tcW w:w="510" w:type="pct"/>
            <w:vAlign w:val="center"/>
          </w:tcPr>
          <w:p w14:paraId="2DAF6697">
            <w:pPr>
              <w:widowControl/>
              <w:jc w:val="center"/>
              <w:rPr>
                <w:rFonts w:ascii="Times New Roman"/>
                <w:kern w:val="0"/>
                <w:sz w:val="21"/>
                <w:szCs w:val="21"/>
              </w:rPr>
            </w:pPr>
            <w:r>
              <w:rPr>
                <w:rFonts w:hint="eastAsia" w:ascii="Times New Roman"/>
                <w:kern w:val="0"/>
                <w:sz w:val="21"/>
                <w:szCs w:val="21"/>
              </w:rPr>
              <w:t>89</w:t>
            </w:r>
          </w:p>
        </w:tc>
        <w:tc>
          <w:tcPr>
            <w:tcW w:w="1022" w:type="pct"/>
            <w:vAlign w:val="center"/>
          </w:tcPr>
          <w:p w14:paraId="68D9DF42">
            <w:pPr>
              <w:widowControl/>
              <w:jc w:val="center"/>
              <w:rPr>
                <w:rFonts w:ascii="Times New Roman"/>
                <w:kern w:val="0"/>
                <w:sz w:val="21"/>
                <w:szCs w:val="21"/>
              </w:rPr>
            </w:pPr>
            <w:r>
              <w:rPr>
                <w:rFonts w:ascii="Times New Roman"/>
                <w:kern w:val="0"/>
                <w:sz w:val="21"/>
                <w:szCs w:val="21"/>
              </w:rPr>
              <w:t>90</w:t>
            </w:r>
          </w:p>
        </w:tc>
        <w:tc>
          <w:tcPr>
            <w:tcW w:w="596" w:type="pct"/>
            <w:vAlign w:val="center"/>
          </w:tcPr>
          <w:p w14:paraId="38319FBF">
            <w:pPr>
              <w:jc w:val="center"/>
              <w:rPr>
                <w:rFonts w:ascii="Times New Roman"/>
                <w:sz w:val="21"/>
                <w:szCs w:val="21"/>
              </w:rPr>
            </w:pPr>
            <w:r>
              <w:rPr>
                <w:rFonts w:hint="eastAsia" w:ascii="Times New Roman"/>
                <w:sz w:val="21"/>
                <w:szCs w:val="21"/>
              </w:rPr>
              <w:t>80.1</w:t>
            </w:r>
          </w:p>
        </w:tc>
        <w:tc>
          <w:tcPr>
            <w:tcW w:w="1539" w:type="pct"/>
            <w:tcBorders>
              <w:right w:val="single" w:color="auto" w:sz="2" w:space="0"/>
            </w:tcBorders>
            <w:vAlign w:val="center"/>
          </w:tcPr>
          <w:p w14:paraId="033070B5">
            <w:pPr>
              <w:adjustRightInd w:val="0"/>
              <w:snapToGrid w:val="0"/>
              <w:jc w:val="center"/>
              <w:rPr>
                <w:rFonts w:ascii="Times New Roman"/>
                <w:sz w:val="21"/>
                <w:szCs w:val="21"/>
              </w:rPr>
            </w:pPr>
            <w:r>
              <w:rPr>
                <w:rFonts w:ascii="Times New Roman"/>
                <w:sz w:val="21"/>
                <w:szCs w:val="21"/>
              </w:rPr>
              <w:t>附着在工件上漆料</w:t>
            </w:r>
          </w:p>
        </w:tc>
        <w:tc>
          <w:tcPr>
            <w:tcW w:w="818" w:type="pct"/>
            <w:tcBorders>
              <w:left w:val="single" w:color="auto" w:sz="2" w:space="0"/>
            </w:tcBorders>
            <w:vAlign w:val="center"/>
          </w:tcPr>
          <w:p w14:paraId="5D979ECA">
            <w:pPr>
              <w:jc w:val="center"/>
              <w:rPr>
                <w:rFonts w:ascii="Times New Roman"/>
                <w:sz w:val="21"/>
                <w:szCs w:val="21"/>
              </w:rPr>
            </w:pPr>
            <w:r>
              <w:rPr>
                <w:rFonts w:hint="eastAsia" w:ascii="Times New Roman"/>
                <w:sz w:val="21"/>
                <w:szCs w:val="21"/>
              </w:rPr>
              <w:t>461.734</w:t>
            </w:r>
          </w:p>
        </w:tc>
      </w:tr>
      <w:tr w14:paraId="3AC4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3" w:type="pct"/>
            <w:vAlign w:val="center"/>
          </w:tcPr>
          <w:p w14:paraId="4B3795C4">
            <w:pPr>
              <w:jc w:val="center"/>
              <w:rPr>
                <w:rFonts w:ascii="Times New Roman"/>
                <w:sz w:val="21"/>
                <w:szCs w:val="21"/>
              </w:rPr>
            </w:pPr>
            <w:r>
              <w:rPr>
                <w:rFonts w:ascii="Times New Roman"/>
                <w:sz w:val="21"/>
                <w:szCs w:val="21"/>
              </w:rPr>
              <w:t>中漆</w:t>
            </w:r>
          </w:p>
        </w:tc>
        <w:tc>
          <w:tcPr>
            <w:tcW w:w="510" w:type="pct"/>
            <w:vAlign w:val="center"/>
          </w:tcPr>
          <w:p w14:paraId="1B077B21">
            <w:pPr>
              <w:widowControl/>
              <w:jc w:val="center"/>
              <w:rPr>
                <w:rFonts w:ascii="Times New Roman"/>
                <w:kern w:val="0"/>
                <w:sz w:val="21"/>
                <w:szCs w:val="21"/>
              </w:rPr>
            </w:pPr>
            <w:r>
              <w:rPr>
                <w:rFonts w:hint="eastAsia" w:ascii="Times New Roman"/>
                <w:kern w:val="0"/>
                <w:sz w:val="21"/>
                <w:szCs w:val="21"/>
              </w:rPr>
              <w:t>332</w:t>
            </w:r>
          </w:p>
        </w:tc>
        <w:tc>
          <w:tcPr>
            <w:tcW w:w="1022" w:type="pct"/>
            <w:vAlign w:val="center"/>
          </w:tcPr>
          <w:p w14:paraId="35FE92AB">
            <w:pPr>
              <w:widowControl/>
              <w:jc w:val="center"/>
              <w:rPr>
                <w:rFonts w:ascii="Times New Roman"/>
                <w:sz w:val="21"/>
                <w:szCs w:val="21"/>
              </w:rPr>
            </w:pPr>
            <w:r>
              <w:rPr>
                <w:rFonts w:ascii="Times New Roman"/>
                <w:sz w:val="21"/>
                <w:szCs w:val="21"/>
              </w:rPr>
              <w:t>90</w:t>
            </w:r>
          </w:p>
        </w:tc>
        <w:tc>
          <w:tcPr>
            <w:tcW w:w="596" w:type="pct"/>
            <w:vAlign w:val="center"/>
          </w:tcPr>
          <w:p w14:paraId="42F85E62">
            <w:pPr>
              <w:jc w:val="center"/>
              <w:rPr>
                <w:rFonts w:ascii="Times New Roman"/>
                <w:sz w:val="21"/>
                <w:szCs w:val="21"/>
              </w:rPr>
            </w:pPr>
            <w:r>
              <w:rPr>
                <w:rFonts w:hint="eastAsia" w:ascii="Times New Roman"/>
                <w:sz w:val="21"/>
                <w:szCs w:val="21"/>
              </w:rPr>
              <w:t>298.8</w:t>
            </w:r>
          </w:p>
        </w:tc>
        <w:tc>
          <w:tcPr>
            <w:tcW w:w="1539" w:type="pct"/>
            <w:tcBorders>
              <w:right w:val="single" w:color="auto" w:sz="2" w:space="0"/>
            </w:tcBorders>
            <w:vAlign w:val="center"/>
          </w:tcPr>
          <w:p w14:paraId="2D5361CD">
            <w:pPr>
              <w:adjustRightInd w:val="0"/>
              <w:snapToGrid w:val="0"/>
              <w:jc w:val="center"/>
              <w:rPr>
                <w:rFonts w:ascii="Times New Roman"/>
                <w:sz w:val="21"/>
                <w:szCs w:val="21"/>
              </w:rPr>
            </w:pPr>
            <w:r>
              <w:rPr>
                <w:rFonts w:ascii="Times New Roman"/>
                <w:sz w:val="21"/>
                <w:szCs w:val="21"/>
              </w:rPr>
              <w:t>有组织排放颗粒物（漆雾）</w:t>
            </w:r>
          </w:p>
        </w:tc>
        <w:tc>
          <w:tcPr>
            <w:tcW w:w="818" w:type="pct"/>
            <w:tcBorders>
              <w:left w:val="single" w:color="auto" w:sz="2" w:space="0"/>
            </w:tcBorders>
            <w:vAlign w:val="center"/>
          </w:tcPr>
          <w:p w14:paraId="1D98405A">
            <w:pPr>
              <w:jc w:val="center"/>
              <w:rPr>
                <w:rFonts w:ascii="Times New Roman"/>
                <w:sz w:val="21"/>
                <w:szCs w:val="21"/>
              </w:rPr>
            </w:pPr>
            <w:r>
              <w:rPr>
                <w:rFonts w:hint="eastAsia" w:ascii="Times New Roman"/>
                <w:sz w:val="21"/>
                <w:szCs w:val="21"/>
              </w:rPr>
              <w:t>9.400</w:t>
            </w:r>
          </w:p>
        </w:tc>
      </w:tr>
      <w:tr w14:paraId="6434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3" w:type="pct"/>
            <w:vAlign w:val="center"/>
          </w:tcPr>
          <w:p w14:paraId="41DB55F7">
            <w:pPr>
              <w:jc w:val="center"/>
              <w:rPr>
                <w:rFonts w:ascii="Times New Roman"/>
                <w:sz w:val="21"/>
                <w:szCs w:val="21"/>
              </w:rPr>
            </w:pPr>
            <w:r>
              <w:rPr>
                <w:rFonts w:ascii="Times New Roman"/>
                <w:sz w:val="21"/>
                <w:szCs w:val="21"/>
              </w:rPr>
              <w:t>面漆</w:t>
            </w:r>
          </w:p>
        </w:tc>
        <w:tc>
          <w:tcPr>
            <w:tcW w:w="510" w:type="pct"/>
            <w:vAlign w:val="center"/>
          </w:tcPr>
          <w:p w14:paraId="4CD3F12F">
            <w:pPr>
              <w:widowControl/>
              <w:jc w:val="center"/>
              <w:rPr>
                <w:rFonts w:ascii="Times New Roman"/>
                <w:kern w:val="0"/>
                <w:sz w:val="21"/>
                <w:szCs w:val="21"/>
              </w:rPr>
            </w:pPr>
            <w:r>
              <w:rPr>
                <w:rFonts w:hint="eastAsia" w:ascii="Times New Roman"/>
                <w:kern w:val="0"/>
                <w:sz w:val="21"/>
                <w:szCs w:val="21"/>
              </w:rPr>
              <w:t>319</w:t>
            </w:r>
          </w:p>
        </w:tc>
        <w:tc>
          <w:tcPr>
            <w:tcW w:w="1022" w:type="pct"/>
            <w:vAlign w:val="center"/>
          </w:tcPr>
          <w:p w14:paraId="32552E44">
            <w:pPr>
              <w:widowControl/>
              <w:jc w:val="center"/>
              <w:rPr>
                <w:rFonts w:ascii="Times New Roman"/>
                <w:sz w:val="21"/>
                <w:szCs w:val="21"/>
              </w:rPr>
            </w:pPr>
            <w:r>
              <w:rPr>
                <w:rFonts w:ascii="Times New Roman"/>
                <w:sz w:val="21"/>
                <w:szCs w:val="21"/>
              </w:rPr>
              <w:t>88</w:t>
            </w:r>
          </w:p>
        </w:tc>
        <w:tc>
          <w:tcPr>
            <w:tcW w:w="596" w:type="pct"/>
            <w:vAlign w:val="center"/>
          </w:tcPr>
          <w:p w14:paraId="45B9FDE9">
            <w:pPr>
              <w:jc w:val="center"/>
              <w:rPr>
                <w:rFonts w:ascii="Times New Roman"/>
                <w:sz w:val="21"/>
                <w:szCs w:val="21"/>
              </w:rPr>
            </w:pPr>
            <w:r>
              <w:rPr>
                <w:rFonts w:hint="eastAsia" w:ascii="Times New Roman"/>
                <w:sz w:val="21"/>
                <w:szCs w:val="21"/>
              </w:rPr>
              <w:t>280.72</w:t>
            </w:r>
          </w:p>
        </w:tc>
        <w:tc>
          <w:tcPr>
            <w:tcW w:w="1539" w:type="pct"/>
            <w:tcBorders>
              <w:right w:val="single" w:color="auto" w:sz="2" w:space="0"/>
            </w:tcBorders>
            <w:vAlign w:val="center"/>
          </w:tcPr>
          <w:p w14:paraId="75623FC7">
            <w:pPr>
              <w:adjustRightInd w:val="0"/>
              <w:snapToGrid w:val="0"/>
              <w:jc w:val="center"/>
              <w:rPr>
                <w:rFonts w:ascii="Times New Roman"/>
                <w:sz w:val="21"/>
                <w:szCs w:val="21"/>
              </w:rPr>
            </w:pPr>
            <w:r>
              <w:rPr>
                <w:rFonts w:ascii="Times New Roman"/>
                <w:sz w:val="21"/>
                <w:szCs w:val="21"/>
              </w:rPr>
              <w:t>无组织排放颗粒物（漆雾）</w:t>
            </w:r>
          </w:p>
        </w:tc>
        <w:tc>
          <w:tcPr>
            <w:tcW w:w="818" w:type="pct"/>
            <w:tcBorders>
              <w:left w:val="single" w:color="auto" w:sz="2" w:space="0"/>
            </w:tcBorders>
            <w:vAlign w:val="center"/>
          </w:tcPr>
          <w:p w14:paraId="28890453">
            <w:pPr>
              <w:jc w:val="center"/>
              <w:rPr>
                <w:rFonts w:ascii="Times New Roman"/>
                <w:sz w:val="21"/>
                <w:szCs w:val="21"/>
              </w:rPr>
            </w:pPr>
            <w:r>
              <w:rPr>
                <w:rFonts w:hint="eastAsia" w:ascii="Times New Roman"/>
                <w:sz w:val="21"/>
                <w:szCs w:val="21"/>
              </w:rPr>
              <w:t>9.894</w:t>
            </w:r>
          </w:p>
        </w:tc>
      </w:tr>
      <w:tr w14:paraId="1EC2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3" w:type="pct"/>
            <w:vAlign w:val="center"/>
          </w:tcPr>
          <w:p w14:paraId="3A324F2B">
            <w:pPr>
              <w:jc w:val="center"/>
              <w:rPr>
                <w:rFonts w:ascii="Times New Roman"/>
                <w:sz w:val="21"/>
                <w:szCs w:val="21"/>
              </w:rPr>
            </w:pPr>
            <w:r>
              <w:rPr>
                <w:rFonts w:ascii="Times New Roman"/>
                <w:sz w:val="21"/>
                <w:szCs w:val="21"/>
              </w:rPr>
              <w:t>--</w:t>
            </w:r>
          </w:p>
        </w:tc>
        <w:tc>
          <w:tcPr>
            <w:tcW w:w="510" w:type="pct"/>
            <w:vAlign w:val="center"/>
          </w:tcPr>
          <w:p w14:paraId="7CF41DCE">
            <w:pPr>
              <w:jc w:val="center"/>
              <w:rPr>
                <w:rFonts w:ascii="Times New Roman"/>
                <w:sz w:val="21"/>
                <w:szCs w:val="21"/>
              </w:rPr>
            </w:pPr>
            <w:r>
              <w:rPr>
                <w:rFonts w:ascii="Times New Roman"/>
                <w:sz w:val="21"/>
                <w:szCs w:val="21"/>
              </w:rPr>
              <w:t>--</w:t>
            </w:r>
          </w:p>
        </w:tc>
        <w:tc>
          <w:tcPr>
            <w:tcW w:w="1022" w:type="pct"/>
            <w:vAlign w:val="center"/>
          </w:tcPr>
          <w:p w14:paraId="10AA1DFF">
            <w:pPr>
              <w:jc w:val="center"/>
              <w:rPr>
                <w:rFonts w:ascii="Times New Roman"/>
                <w:sz w:val="21"/>
                <w:szCs w:val="21"/>
              </w:rPr>
            </w:pPr>
            <w:r>
              <w:rPr>
                <w:rFonts w:ascii="Times New Roman"/>
                <w:sz w:val="21"/>
                <w:szCs w:val="21"/>
              </w:rPr>
              <w:t>--</w:t>
            </w:r>
          </w:p>
        </w:tc>
        <w:tc>
          <w:tcPr>
            <w:tcW w:w="596" w:type="pct"/>
            <w:vAlign w:val="center"/>
          </w:tcPr>
          <w:p w14:paraId="337F87E6">
            <w:pPr>
              <w:jc w:val="center"/>
              <w:rPr>
                <w:rFonts w:ascii="Times New Roman"/>
                <w:sz w:val="21"/>
                <w:szCs w:val="21"/>
              </w:rPr>
            </w:pPr>
            <w:r>
              <w:rPr>
                <w:rFonts w:ascii="Times New Roman"/>
                <w:sz w:val="21"/>
                <w:szCs w:val="21"/>
              </w:rPr>
              <w:t>--</w:t>
            </w:r>
          </w:p>
        </w:tc>
        <w:tc>
          <w:tcPr>
            <w:tcW w:w="1539" w:type="pct"/>
            <w:tcBorders>
              <w:right w:val="single" w:color="auto" w:sz="2" w:space="0"/>
            </w:tcBorders>
            <w:vAlign w:val="center"/>
          </w:tcPr>
          <w:p w14:paraId="1BFC1DCF">
            <w:pPr>
              <w:adjustRightInd w:val="0"/>
              <w:snapToGrid w:val="0"/>
              <w:jc w:val="center"/>
              <w:rPr>
                <w:rFonts w:ascii="Times New Roman"/>
                <w:sz w:val="21"/>
                <w:szCs w:val="21"/>
              </w:rPr>
            </w:pPr>
            <w:r>
              <w:rPr>
                <w:rFonts w:ascii="Times New Roman"/>
                <w:sz w:val="21"/>
                <w:szCs w:val="21"/>
              </w:rPr>
              <w:t>过滤漆渣</w:t>
            </w:r>
          </w:p>
        </w:tc>
        <w:tc>
          <w:tcPr>
            <w:tcW w:w="818" w:type="pct"/>
            <w:tcBorders>
              <w:left w:val="single" w:color="auto" w:sz="2" w:space="0"/>
            </w:tcBorders>
            <w:vAlign w:val="center"/>
          </w:tcPr>
          <w:p w14:paraId="3D7CA438">
            <w:pPr>
              <w:jc w:val="center"/>
              <w:rPr>
                <w:rFonts w:ascii="Times New Roman"/>
                <w:sz w:val="21"/>
                <w:szCs w:val="21"/>
              </w:rPr>
            </w:pPr>
            <w:r>
              <w:rPr>
                <w:rFonts w:hint="eastAsia" w:ascii="Times New Roman"/>
                <w:sz w:val="21"/>
                <w:szCs w:val="21"/>
              </w:rPr>
              <w:t>178.592</w:t>
            </w:r>
          </w:p>
        </w:tc>
      </w:tr>
      <w:tr w14:paraId="150C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5" w:type="pct"/>
            <w:gridSpan w:val="3"/>
            <w:vAlign w:val="center"/>
          </w:tcPr>
          <w:p w14:paraId="59116FB4">
            <w:pPr>
              <w:jc w:val="center"/>
              <w:rPr>
                <w:rFonts w:ascii="Times New Roman"/>
                <w:sz w:val="21"/>
                <w:szCs w:val="21"/>
              </w:rPr>
            </w:pPr>
            <w:r>
              <w:rPr>
                <w:rFonts w:ascii="Times New Roman"/>
                <w:sz w:val="21"/>
                <w:szCs w:val="21"/>
              </w:rPr>
              <w:t>合计</w:t>
            </w:r>
          </w:p>
        </w:tc>
        <w:tc>
          <w:tcPr>
            <w:tcW w:w="596" w:type="pct"/>
            <w:shd w:val="clear" w:color="auto" w:fill="auto"/>
            <w:vAlign w:val="center"/>
          </w:tcPr>
          <w:p w14:paraId="05500945">
            <w:pPr>
              <w:jc w:val="center"/>
              <w:rPr>
                <w:rFonts w:ascii="Times New Roman"/>
                <w:sz w:val="21"/>
                <w:szCs w:val="21"/>
              </w:rPr>
            </w:pPr>
            <w:r>
              <w:rPr>
                <w:rFonts w:ascii="Times New Roman" w:eastAsiaTheme="minorEastAsia"/>
                <w:sz w:val="21"/>
                <w:szCs w:val="21"/>
              </w:rPr>
              <w:t>659.62</w:t>
            </w:r>
          </w:p>
        </w:tc>
        <w:tc>
          <w:tcPr>
            <w:tcW w:w="1539" w:type="pct"/>
            <w:tcBorders>
              <w:right w:val="single" w:color="auto" w:sz="2" w:space="0"/>
            </w:tcBorders>
            <w:vAlign w:val="center"/>
          </w:tcPr>
          <w:p w14:paraId="03CB8472">
            <w:pPr>
              <w:adjustRightInd w:val="0"/>
              <w:snapToGrid w:val="0"/>
              <w:jc w:val="center"/>
              <w:rPr>
                <w:rFonts w:ascii="Times New Roman"/>
                <w:sz w:val="21"/>
                <w:szCs w:val="21"/>
              </w:rPr>
            </w:pPr>
            <w:r>
              <w:rPr>
                <w:rFonts w:ascii="Times New Roman"/>
                <w:sz w:val="21"/>
                <w:szCs w:val="21"/>
              </w:rPr>
              <w:t>合计</w:t>
            </w:r>
          </w:p>
        </w:tc>
        <w:tc>
          <w:tcPr>
            <w:tcW w:w="818" w:type="pct"/>
            <w:tcBorders>
              <w:left w:val="single" w:color="auto" w:sz="2" w:space="0"/>
            </w:tcBorders>
            <w:shd w:val="clear" w:color="auto" w:fill="auto"/>
            <w:vAlign w:val="center"/>
          </w:tcPr>
          <w:p w14:paraId="52C097AF">
            <w:pPr>
              <w:jc w:val="center"/>
              <w:rPr>
                <w:rFonts w:ascii="Times New Roman" w:eastAsiaTheme="minorEastAsia"/>
                <w:sz w:val="21"/>
                <w:szCs w:val="21"/>
              </w:rPr>
            </w:pPr>
            <w:r>
              <w:rPr>
                <w:rFonts w:hint="eastAsia" w:ascii="Times New Roman"/>
                <w:sz w:val="21"/>
                <w:szCs w:val="21"/>
              </w:rPr>
              <w:t>659.62</w:t>
            </w:r>
          </w:p>
        </w:tc>
      </w:tr>
    </w:tbl>
    <w:p w14:paraId="26849833">
      <w:pPr>
        <w:jc w:val="center"/>
        <w:rPr>
          <w:rFonts w:ascii="Times New Roman"/>
          <w:sz w:val="24"/>
          <w:szCs w:val="20"/>
        </w:rPr>
      </w:pPr>
    </w:p>
    <w:p w14:paraId="680AF50B">
      <w:pPr>
        <w:jc w:val="center"/>
        <w:rPr>
          <w:rFonts w:ascii="Times New Roman"/>
          <w:sz w:val="24"/>
          <w:szCs w:val="20"/>
        </w:rPr>
      </w:pPr>
    </w:p>
    <w:p w14:paraId="3B43CAEB">
      <w:pPr>
        <w:jc w:val="center"/>
        <w:rPr>
          <w:rFonts w:ascii="Times New Roman"/>
          <w:sz w:val="24"/>
          <w:szCs w:val="20"/>
        </w:rPr>
      </w:pPr>
    </w:p>
    <w:p w14:paraId="044A5349">
      <w:pPr>
        <w:jc w:val="center"/>
        <w:rPr>
          <w:rFonts w:ascii="Times New Roman"/>
          <w:sz w:val="24"/>
          <w:szCs w:val="20"/>
        </w:rPr>
      </w:pPr>
    </w:p>
    <w:p w14:paraId="64679890">
      <w:pPr>
        <w:jc w:val="center"/>
        <w:rPr>
          <w:rFonts w:ascii="Times New Roman"/>
          <w:sz w:val="24"/>
          <w:szCs w:val="20"/>
        </w:rPr>
      </w:pPr>
    </w:p>
    <w:p w14:paraId="1D455B0C">
      <w:pPr>
        <w:jc w:val="center"/>
        <w:rPr>
          <w:rFonts w:ascii="Times New Roman"/>
          <w:sz w:val="24"/>
          <w:szCs w:val="20"/>
        </w:rPr>
      </w:pPr>
      <w:r>
        <w:rPr>
          <w:rFonts w:ascii="Times New Roman"/>
          <w:sz w:val="24"/>
        </w:rPr>
        <mc:AlternateContent>
          <mc:Choice Requires="wpg">
            <w:drawing>
              <wp:anchor distT="0" distB="0" distL="114300" distR="114300" simplePos="0" relativeHeight="251662336" behindDoc="0" locked="0" layoutInCell="1" allowOverlap="1">
                <wp:simplePos x="0" y="0"/>
                <wp:positionH relativeFrom="column">
                  <wp:posOffset>-43815</wp:posOffset>
                </wp:positionH>
                <wp:positionV relativeFrom="paragraph">
                  <wp:posOffset>105410</wp:posOffset>
                </wp:positionV>
                <wp:extent cx="5544185" cy="2350135"/>
                <wp:effectExtent l="5080" t="4445" r="13335" b="7620"/>
                <wp:wrapNone/>
                <wp:docPr id="63" name="组合 141"/>
                <wp:cNvGraphicFramePr/>
                <a:graphic xmlns:a="http://schemas.openxmlformats.org/drawingml/2006/main">
                  <a:graphicData uri="http://schemas.microsoft.com/office/word/2010/wordprocessingGroup">
                    <wpg:wgp>
                      <wpg:cNvGrpSpPr/>
                      <wpg:grpSpPr>
                        <a:xfrm>
                          <a:off x="0" y="0"/>
                          <a:ext cx="5544185" cy="2350135"/>
                          <a:chOff x="2014" y="1279969"/>
                          <a:chExt cx="8731" cy="3701"/>
                        </a:xfrm>
                        <a:effectLst/>
                      </wpg:grpSpPr>
                      <wps:wsp>
                        <wps:cNvPr id="157" name="文本框 157"/>
                        <wps:cNvSpPr txBox="1"/>
                        <wps:spPr>
                          <a:xfrm>
                            <a:off x="2014" y="1279969"/>
                            <a:ext cx="1771"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396B1B">
                              <w:pPr>
                                <w:jc w:val="center"/>
                                <w:rPr>
                                  <w:rFonts w:ascii="Times New Roman"/>
                                  <w:sz w:val="18"/>
                                  <w:szCs w:val="18"/>
                                </w:rPr>
                              </w:pPr>
                              <w:r>
                                <w:rPr>
                                  <w:rFonts w:hint="eastAsia" w:ascii="Times New Roman"/>
                                  <w:sz w:val="18"/>
                                  <w:szCs w:val="18"/>
                                </w:rPr>
                                <w:t>油漆底漆固体组分80.1</w:t>
                              </w:r>
                            </w:p>
                          </w:txbxContent>
                        </wps:txbx>
                        <wps:bodyPr upright="1"/>
                      </wps:wsp>
                      <wps:wsp>
                        <wps:cNvPr id="162" name="文本框 162"/>
                        <wps:cNvSpPr txBox="1"/>
                        <wps:spPr>
                          <a:xfrm>
                            <a:off x="2044" y="1281206"/>
                            <a:ext cx="1668" cy="8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570E07">
                              <w:pPr>
                                <w:jc w:val="center"/>
                                <w:rPr>
                                  <w:rFonts w:ascii="Times New Roman"/>
                                  <w:sz w:val="18"/>
                                  <w:szCs w:val="18"/>
                                </w:rPr>
                              </w:pPr>
                              <w:r>
                                <w:rPr>
                                  <w:rFonts w:hint="eastAsia" w:ascii="Times New Roman"/>
                                  <w:sz w:val="18"/>
                                  <w:szCs w:val="18"/>
                                </w:rPr>
                                <w:t>油漆中间漆固体组分298.8</w:t>
                              </w:r>
                            </w:p>
                            <w:p w14:paraId="006CAD34">
                              <w:pPr>
                                <w:rPr>
                                  <w:rFonts w:ascii="Times New Roman"/>
                                  <w:sz w:val="24"/>
                                  <w:szCs w:val="20"/>
                                </w:rPr>
                              </w:pPr>
                            </w:p>
                          </w:txbxContent>
                        </wps:txbx>
                        <wps:bodyPr upright="1"/>
                      </wps:wsp>
                      <wps:wsp>
                        <wps:cNvPr id="166" name="文本框 166"/>
                        <wps:cNvSpPr txBox="1"/>
                        <wps:spPr>
                          <a:xfrm>
                            <a:off x="2029" y="1282741"/>
                            <a:ext cx="1784" cy="7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5647CE">
                              <w:pPr>
                                <w:jc w:val="center"/>
                              </w:pPr>
                              <w:r>
                                <w:rPr>
                                  <w:rFonts w:hint="eastAsia" w:ascii="Times New Roman"/>
                                  <w:sz w:val="18"/>
                                  <w:szCs w:val="18"/>
                                </w:rPr>
                                <w:t>油漆面漆固体组分280.72</w:t>
                              </w:r>
                            </w:p>
                            <w:p w14:paraId="06227765">
                              <w:pPr>
                                <w:rPr>
                                  <w:rFonts w:ascii="Times New Roman"/>
                                  <w:sz w:val="24"/>
                                  <w:szCs w:val="20"/>
                                </w:rPr>
                              </w:pPr>
                            </w:p>
                          </w:txbxContent>
                        </wps:txbx>
                        <wps:bodyPr upright="1"/>
                      </wps:wsp>
                      <wps:wsp>
                        <wps:cNvPr id="153" name="文本框 153"/>
                        <wps:cNvSpPr txBox="1"/>
                        <wps:spPr>
                          <a:xfrm>
                            <a:off x="5179" y="1280373"/>
                            <a:ext cx="1996" cy="7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BA558A">
                              <w:pPr>
                                <w:jc w:val="center"/>
                                <w:rPr>
                                  <w:rFonts w:ascii="Times New Roman"/>
                                  <w:sz w:val="18"/>
                                  <w:szCs w:val="18"/>
                                </w:rPr>
                              </w:pPr>
                              <w:r>
                                <w:rPr>
                                  <w:rFonts w:hint="eastAsia" w:ascii="Times New Roman"/>
                                  <w:sz w:val="18"/>
                                  <w:szCs w:val="18"/>
                                </w:rPr>
                                <w:t>70%附着在工件上461.734</w:t>
                              </w:r>
                            </w:p>
                          </w:txbxContent>
                        </wps:txbx>
                        <wps:bodyPr upright="1"/>
                      </wps:wsp>
                      <wps:wsp>
                        <wps:cNvPr id="163" name="文本框 163"/>
                        <wps:cNvSpPr txBox="1"/>
                        <wps:spPr>
                          <a:xfrm>
                            <a:off x="5164" y="1282237"/>
                            <a:ext cx="1741" cy="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AB5F7C">
                              <w:pPr>
                                <w:rPr>
                                  <w:rFonts w:ascii="Times New Roman"/>
                                  <w:sz w:val="24"/>
                                  <w:szCs w:val="20"/>
                                </w:rPr>
                              </w:pPr>
                              <w:r>
                                <w:rPr>
                                  <w:rFonts w:hint="eastAsia" w:ascii="Times New Roman"/>
                                  <w:sz w:val="18"/>
                                  <w:szCs w:val="18"/>
                                </w:rPr>
                                <w:t>30%以漆雾形式进入喷漆房197.886</w:t>
                              </w:r>
                            </w:p>
                          </w:txbxContent>
                        </wps:txbx>
                        <wps:bodyPr upright="1"/>
                      </wps:wsp>
                      <wps:wsp>
                        <wps:cNvPr id="154" name="文本框 154"/>
                        <wps:cNvSpPr txBox="1"/>
                        <wps:spPr>
                          <a:xfrm>
                            <a:off x="7609" y="1281390"/>
                            <a:ext cx="1183" cy="7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6A49F9">
                              <w:pPr>
                                <w:jc w:val="center"/>
                                <w:rPr>
                                  <w:rFonts w:ascii="Times New Roman"/>
                                  <w:sz w:val="18"/>
                                  <w:szCs w:val="18"/>
                                </w:rPr>
                              </w:pPr>
                              <w:r>
                                <w:rPr>
                                  <w:rFonts w:hint="eastAsia" w:ascii="Times New Roman"/>
                                  <w:sz w:val="18"/>
                                  <w:szCs w:val="18"/>
                                </w:rPr>
                                <w:t>95%被收集</w:t>
                              </w:r>
                            </w:p>
                            <w:p w14:paraId="6E340632">
                              <w:pPr>
                                <w:pStyle w:val="20"/>
                                <w:ind w:firstLine="0"/>
                                <w:jc w:val="center"/>
                                <w:rPr>
                                  <w:sz w:val="18"/>
                                  <w:szCs w:val="18"/>
                                </w:rPr>
                              </w:pPr>
                              <w:r>
                                <w:rPr>
                                  <w:rFonts w:hint="eastAsia"/>
                                  <w:sz w:val="18"/>
                                  <w:szCs w:val="18"/>
                                </w:rPr>
                                <w:t>187.992</w:t>
                              </w:r>
                            </w:p>
                          </w:txbxContent>
                        </wps:txbx>
                        <wps:bodyPr upright="1"/>
                      </wps:wsp>
                      <wps:wsp>
                        <wps:cNvPr id="191" name="文本框 191"/>
                        <wps:cNvSpPr txBox="1"/>
                        <wps:spPr>
                          <a:xfrm>
                            <a:off x="7624" y="1282905"/>
                            <a:ext cx="1650" cy="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8AB503">
                              <w:pPr>
                                <w:jc w:val="center"/>
                                <w:rPr>
                                  <w:rFonts w:ascii="Times New Roman"/>
                                  <w:sz w:val="18"/>
                                  <w:szCs w:val="18"/>
                                </w:rPr>
                              </w:pPr>
                              <w:r>
                                <w:rPr>
                                  <w:rFonts w:hint="eastAsia" w:ascii="Times New Roman"/>
                                  <w:sz w:val="18"/>
                                  <w:szCs w:val="18"/>
                                </w:rPr>
                                <w:t>5</w:t>
                              </w:r>
                              <w:r>
                                <w:rPr>
                                  <w:rFonts w:ascii="Times New Roman"/>
                                  <w:sz w:val="18"/>
                                  <w:szCs w:val="18"/>
                                </w:rPr>
                                <w:t>%无组织排放</w:t>
                              </w:r>
                            </w:p>
                            <w:p w14:paraId="66E2A5E6">
                              <w:pPr>
                                <w:jc w:val="center"/>
                                <w:rPr>
                                  <w:rFonts w:ascii="Times New Roman"/>
                                  <w:sz w:val="18"/>
                                  <w:szCs w:val="18"/>
                                </w:rPr>
                              </w:pPr>
                              <w:r>
                                <w:rPr>
                                  <w:rFonts w:hint="eastAsia" w:ascii="Times New Roman"/>
                                  <w:sz w:val="18"/>
                                  <w:szCs w:val="18"/>
                                </w:rPr>
                                <w:t>9.894</w:t>
                              </w:r>
                            </w:p>
                          </w:txbxContent>
                        </wps:txbx>
                        <wps:bodyPr upright="1"/>
                      </wps:wsp>
                      <wps:wsp>
                        <wps:cNvPr id="155" name="文本框 155"/>
                        <wps:cNvSpPr txBox="1"/>
                        <wps:spPr>
                          <a:xfrm>
                            <a:off x="9469" y="1280414"/>
                            <a:ext cx="1201" cy="7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535584">
                              <w:pPr>
                                <w:rPr>
                                  <w:rFonts w:ascii="Times New Roman"/>
                                  <w:sz w:val="18"/>
                                  <w:szCs w:val="18"/>
                                </w:rPr>
                              </w:pPr>
                              <w:r>
                                <w:rPr>
                                  <w:rFonts w:ascii="Times New Roman"/>
                                  <w:sz w:val="18"/>
                                  <w:szCs w:val="18"/>
                                </w:rPr>
                                <w:t>有组织排放</w:t>
                              </w:r>
                              <w:r>
                                <w:rPr>
                                  <w:rFonts w:hint="eastAsia" w:ascii="Times New Roman"/>
                                  <w:sz w:val="18"/>
                                  <w:szCs w:val="18"/>
                                </w:rPr>
                                <w:t>9.400</w:t>
                              </w:r>
                            </w:p>
                          </w:txbxContent>
                        </wps:txbx>
                        <wps:bodyPr upright="1"/>
                      </wps:wsp>
                      <wps:wsp>
                        <wps:cNvPr id="161" name="文本框 161"/>
                        <wps:cNvSpPr txBox="1"/>
                        <wps:spPr>
                          <a:xfrm>
                            <a:off x="9544" y="1282002"/>
                            <a:ext cx="1201" cy="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6F22D1">
                              <w:pPr>
                                <w:jc w:val="center"/>
                                <w:rPr>
                                  <w:rFonts w:ascii="Times New Roman"/>
                                  <w:sz w:val="18"/>
                                  <w:szCs w:val="18"/>
                                </w:rPr>
                              </w:pPr>
                              <w:r>
                                <w:rPr>
                                  <w:rFonts w:hint="eastAsia" w:ascii="Times New Roman"/>
                                  <w:sz w:val="18"/>
                                  <w:szCs w:val="18"/>
                                </w:rPr>
                                <w:t>过滤漆渣</w:t>
                              </w:r>
                            </w:p>
                            <w:p w14:paraId="575EC0BC">
                              <w:pPr>
                                <w:jc w:val="center"/>
                                <w:rPr>
                                  <w:rFonts w:ascii="Times New Roman"/>
                                  <w:sz w:val="18"/>
                                  <w:szCs w:val="18"/>
                                </w:rPr>
                              </w:pPr>
                              <w:r>
                                <w:rPr>
                                  <w:rFonts w:hint="eastAsia" w:ascii="Times New Roman"/>
                                  <w:sz w:val="18"/>
                                  <w:szCs w:val="18"/>
                                </w:rPr>
                                <w:t>178.592</w:t>
                              </w:r>
                            </w:p>
                          </w:txbxContent>
                        </wps:txbx>
                        <wps:bodyPr upright="1"/>
                      </wps:wsp>
                      <wps:wsp>
                        <wps:cNvPr id="152" name="肘形连接符 152"/>
                        <wps:cNvCnPr>
                          <a:stCxn id="157" idx="3"/>
                          <a:endCxn id="166" idx="3"/>
                        </wps:cNvCnPr>
                        <wps:spPr>
                          <a:xfrm>
                            <a:off x="3785" y="1280366"/>
                            <a:ext cx="28" cy="2765"/>
                          </a:xfrm>
                          <a:prstGeom prst="bentConnector3">
                            <a:avLst>
                              <a:gd name="adj1" fmla="val 903571"/>
                            </a:avLst>
                          </a:prstGeom>
                          <a:ln w="9525" cap="flat" cmpd="sng">
                            <a:solidFill>
                              <a:srgbClr val="000000"/>
                            </a:solidFill>
                            <a:prstDash val="solid"/>
                            <a:miter/>
                            <a:headEnd type="none" w="med" len="med"/>
                            <a:tailEnd type="none" w="med" len="med"/>
                          </a:ln>
                          <a:effectLst/>
                        </wps:spPr>
                        <wps:bodyPr/>
                      </wps:wsp>
                      <wps:wsp>
                        <wps:cNvPr id="151" name="肘形连接符 151"/>
                        <wps:cNvCnPr>
                          <a:stCxn id="153" idx="1"/>
                          <a:endCxn id="163" idx="1"/>
                        </wps:cNvCnPr>
                        <wps:spPr>
                          <a:xfrm rot="10800000" flipV="1">
                            <a:off x="5164" y="1280763"/>
                            <a:ext cx="15" cy="1857"/>
                          </a:xfrm>
                          <a:prstGeom prst="bentConnector3">
                            <a:avLst>
                              <a:gd name="adj1" fmla="val 2600000"/>
                            </a:avLst>
                          </a:prstGeom>
                          <a:ln w="6350" cap="flat" cmpd="sng">
                            <a:solidFill>
                              <a:srgbClr val="000000"/>
                            </a:solidFill>
                            <a:prstDash val="solid"/>
                            <a:miter/>
                            <a:headEnd type="triangle" w="med" len="med"/>
                            <a:tailEnd type="triangle" w="med" len="med"/>
                          </a:ln>
                          <a:effectLst/>
                        </wps:spPr>
                        <wps:bodyPr/>
                      </wps:wsp>
                      <wps:wsp>
                        <wps:cNvPr id="156" name="直接连接符 156"/>
                        <wps:cNvCnPr/>
                        <wps:spPr>
                          <a:xfrm flipV="1">
                            <a:off x="3725" y="1281661"/>
                            <a:ext cx="1034" cy="14"/>
                          </a:xfrm>
                          <a:prstGeom prst="line">
                            <a:avLst/>
                          </a:prstGeom>
                          <a:ln w="9525" cap="flat" cmpd="sng">
                            <a:solidFill>
                              <a:srgbClr val="000000"/>
                            </a:solidFill>
                            <a:prstDash val="solid"/>
                            <a:headEnd type="none" w="med" len="med"/>
                            <a:tailEnd type="triangle" w="med" len="med"/>
                          </a:ln>
                          <a:effectLst/>
                        </wps:spPr>
                        <wps:bodyPr upright="1"/>
                      </wps:wsp>
                      <wps:wsp>
                        <wps:cNvPr id="160" name="肘形连接符 160"/>
                        <wps:cNvCnPr>
                          <a:stCxn id="153" idx="1"/>
                          <a:endCxn id="163" idx="1"/>
                        </wps:cNvCnPr>
                        <wps:spPr>
                          <a:xfrm rot="10800000" flipV="1">
                            <a:off x="5164" y="1280763"/>
                            <a:ext cx="15" cy="1857"/>
                          </a:xfrm>
                          <a:prstGeom prst="bentConnector3">
                            <a:avLst>
                              <a:gd name="adj1" fmla="val 2600000"/>
                            </a:avLst>
                          </a:prstGeom>
                          <a:ln w="6350" cap="flat" cmpd="sng">
                            <a:solidFill>
                              <a:srgbClr val="000000"/>
                            </a:solidFill>
                            <a:prstDash val="solid"/>
                            <a:miter/>
                            <a:headEnd type="triangle" w="med" len="med"/>
                            <a:tailEnd type="triangle" w="med" len="med"/>
                          </a:ln>
                          <a:effectLst/>
                        </wps:spPr>
                        <wps:bodyPr/>
                      </wps:wsp>
                      <wps:wsp>
                        <wps:cNvPr id="164" name="直接连接符 164"/>
                        <wps:cNvCnPr/>
                        <wps:spPr>
                          <a:xfrm>
                            <a:off x="6889" y="1282632"/>
                            <a:ext cx="315" cy="1"/>
                          </a:xfrm>
                          <a:prstGeom prst="line">
                            <a:avLst/>
                          </a:prstGeom>
                          <a:ln w="9525" cap="flat" cmpd="sng">
                            <a:solidFill>
                              <a:srgbClr val="000000"/>
                            </a:solidFill>
                            <a:prstDash val="solid"/>
                            <a:headEnd type="none" w="med" len="med"/>
                            <a:tailEnd type="none" w="med" len="med"/>
                          </a:ln>
                          <a:effectLst/>
                        </wps:spPr>
                        <wps:bodyPr upright="1"/>
                      </wps:wsp>
                      <wps:wsp>
                        <wps:cNvPr id="159" name="肘形连接符 159"/>
                        <wps:cNvCnPr>
                          <a:stCxn id="155" idx="1"/>
                          <a:endCxn id="161" idx="1"/>
                        </wps:cNvCnPr>
                        <wps:spPr>
                          <a:xfrm rot="10800000" flipH="1" flipV="1">
                            <a:off x="9469" y="1280804"/>
                            <a:ext cx="75" cy="1586"/>
                          </a:xfrm>
                          <a:prstGeom prst="bentConnector3">
                            <a:avLst>
                              <a:gd name="adj1" fmla="val -500000"/>
                            </a:avLst>
                          </a:prstGeom>
                          <a:ln w="6350" cap="flat" cmpd="sng">
                            <a:solidFill>
                              <a:srgbClr val="000000"/>
                            </a:solidFill>
                            <a:prstDash val="solid"/>
                            <a:miter/>
                            <a:headEnd type="triangle" w="med" len="med"/>
                            <a:tailEnd type="triangle" w="med" len="med"/>
                          </a:ln>
                          <a:effectLst/>
                        </wps:spPr>
                        <wps:bodyPr/>
                      </wps:wsp>
                      <wps:wsp>
                        <wps:cNvPr id="150" name="直接连接符 150"/>
                        <wps:cNvCnPr/>
                        <wps:spPr>
                          <a:xfrm>
                            <a:off x="8791" y="1281742"/>
                            <a:ext cx="315" cy="1"/>
                          </a:xfrm>
                          <a:prstGeom prst="line">
                            <a:avLst/>
                          </a:prstGeom>
                          <a:ln w="9525" cap="flat" cmpd="sng">
                            <a:solidFill>
                              <a:srgbClr val="000000"/>
                            </a:solidFill>
                            <a:prstDash val="solid"/>
                            <a:headEnd type="none" w="med" len="med"/>
                            <a:tailEnd type="none" w="med" len="med"/>
                          </a:ln>
                          <a:effectLst/>
                        </wps:spPr>
                        <wps:bodyPr upright="1"/>
                      </wps:wsp>
                      <wps:wsp>
                        <wps:cNvPr id="158" name="文本框 158"/>
                        <wps:cNvSpPr txBox="1"/>
                        <wps:spPr>
                          <a:xfrm>
                            <a:off x="3983" y="1281221"/>
                            <a:ext cx="915" cy="450"/>
                          </a:xfrm>
                          <a:prstGeom prst="rect">
                            <a:avLst/>
                          </a:prstGeom>
                          <a:noFill/>
                          <a:ln>
                            <a:noFill/>
                          </a:ln>
                          <a:effectLst/>
                        </wps:spPr>
                        <wps:txbx>
                          <w:txbxContent>
                            <w:p w14:paraId="69984B16">
                              <w:pPr>
                                <w:rPr>
                                  <w:rFonts w:ascii="Times New Roman"/>
                                  <w:sz w:val="18"/>
                                  <w:szCs w:val="18"/>
                                </w:rPr>
                              </w:pPr>
                              <w:r>
                                <w:rPr>
                                  <w:rFonts w:hint="eastAsia" w:ascii="Times New Roman"/>
                                  <w:sz w:val="18"/>
                                  <w:szCs w:val="18"/>
                                </w:rPr>
                                <w:t>659.62</w:t>
                              </w:r>
                            </w:p>
                          </w:txbxContent>
                        </wps:txbx>
                        <wps:bodyPr upright="1"/>
                      </wps:wsp>
                      <wps:wsp>
                        <wps:cNvPr id="224" name="肘形连接符 224"/>
                        <wps:cNvCnPr>
                          <a:stCxn id="154" idx="1"/>
                          <a:endCxn id="191" idx="1"/>
                        </wps:cNvCnPr>
                        <wps:spPr>
                          <a:xfrm rot="10800000" flipH="1" flipV="1">
                            <a:off x="7609" y="1281765"/>
                            <a:ext cx="15" cy="1523"/>
                          </a:xfrm>
                          <a:prstGeom prst="bentConnector3">
                            <a:avLst>
                              <a:gd name="adj1" fmla="val -2500000"/>
                            </a:avLst>
                          </a:prstGeom>
                          <a:noFill/>
                          <a:ln w="9525" cap="flat" cmpd="sng" algn="ctr">
                            <a:solidFill>
                              <a:srgbClr val="000000"/>
                            </a:solidFill>
                            <a:prstDash val="solid"/>
                            <a:headEnd type="triangle" w="med" len="med"/>
                            <a:tailEnd type="triangle" w="med" len="med"/>
                          </a:ln>
                          <a:effectLst/>
                        </wps:spPr>
                        <wps:bodyPr/>
                      </wps:wsp>
                    </wpg:wgp>
                  </a:graphicData>
                </a:graphic>
              </wp:anchor>
            </w:drawing>
          </mc:Choice>
          <mc:Fallback>
            <w:pict>
              <v:group id="组合 141" o:spid="_x0000_s1026" o:spt="203" style="position:absolute;left:0pt;margin-left:-3.45pt;margin-top:8.3pt;height:185.05pt;width:436.55pt;z-index:251662336;mso-width-relative:page;mso-height-relative:page;" coordorigin="2014,1279969" coordsize="8731,3701" o:gfxdata="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vqrQgtkAAAAJAQAADwAAAAAAAAABACAAAAAiAAAA&#10;ZHJzL2Rvd25yZXYueG1sUEsBAhQAFAAAAAgAh07iQFcdTJ1BBgAAiS4AAA4AAAAAAAAAAQAgAAAA&#10;KAEAAGRycy9lMm9Eb2MueG1sUEsFBgAAAAAGAAYAWQEAANsJAAAAAA==&#10;">
                <o:lock v:ext="edit" aspectratio="f"/>
                <v:shape id="_x0000_s1026" o:spid="_x0000_s1026" o:spt="202" type="#_x0000_t202" style="position:absolute;left:2014;top:1279969;height:794;width:1771;" fillcolor="#FFFFFF" filled="t" stroked="t" coordsize="21600,21600" o:gfxdata="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SM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396B1B">
                        <w:pPr>
                          <w:jc w:val="center"/>
                          <w:rPr>
                            <w:rFonts w:ascii="Times New Roman"/>
                            <w:sz w:val="18"/>
                            <w:szCs w:val="18"/>
                          </w:rPr>
                        </w:pPr>
                        <w:r>
                          <w:rPr>
                            <w:rFonts w:hint="eastAsia" w:ascii="Times New Roman"/>
                            <w:sz w:val="18"/>
                            <w:szCs w:val="18"/>
                          </w:rPr>
                          <w:t>油漆底漆固体组分80.1</w:t>
                        </w:r>
                      </w:p>
                    </w:txbxContent>
                  </v:textbox>
                </v:shape>
                <v:shape id="_x0000_s1026" o:spid="_x0000_s1026" o:spt="202" type="#_x0000_t202" style="position:absolute;left:2044;top:1281206;height:839;width:1668;" fillcolor="#FFFFFF" filled="t" stroked="t" coordsize="21600,21600" o:gfxdata="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X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570E07">
                        <w:pPr>
                          <w:jc w:val="center"/>
                          <w:rPr>
                            <w:rFonts w:ascii="Times New Roman"/>
                            <w:sz w:val="18"/>
                            <w:szCs w:val="18"/>
                          </w:rPr>
                        </w:pPr>
                        <w:r>
                          <w:rPr>
                            <w:rFonts w:hint="eastAsia" w:ascii="Times New Roman"/>
                            <w:sz w:val="18"/>
                            <w:szCs w:val="18"/>
                          </w:rPr>
                          <w:t>油漆中间漆固体组分298.8</w:t>
                        </w:r>
                      </w:p>
                      <w:p w14:paraId="006CAD34">
                        <w:pPr>
                          <w:rPr>
                            <w:rFonts w:ascii="Times New Roman"/>
                            <w:sz w:val="24"/>
                            <w:szCs w:val="20"/>
                          </w:rPr>
                        </w:pPr>
                      </w:p>
                    </w:txbxContent>
                  </v:textbox>
                </v:shape>
                <v:shape id="_x0000_s1026" o:spid="_x0000_s1026" o:spt="202" type="#_x0000_t202" style="position:absolute;left:2029;top:1282741;height:779;width:1784;" fillcolor="#FFFFFF" filled="t" stroked="t" coordsize="21600,21600" o:gfxdata="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04+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5647CE">
                        <w:pPr>
                          <w:jc w:val="center"/>
                        </w:pPr>
                        <w:r>
                          <w:rPr>
                            <w:rFonts w:hint="eastAsia" w:ascii="Times New Roman"/>
                            <w:sz w:val="18"/>
                            <w:szCs w:val="18"/>
                          </w:rPr>
                          <w:t>油漆面漆固体组分280.72</w:t>
                        </w:r>
                      </w:p>
                      <w:p w14:paraId="06227765">
                        <w:pPr>
                          <w:rPr>
                            <w:rFonts w:ascii="Times New Roman"/>
                            <w:sz w:val="24"/>
                            <w:szCs w:val="20"/>
                          </w:rPr>
                        </w:pPr>
                      </w:p>
                    </w:txbxContent>
                  </v:textbox>
                </v:shape>
                <v:shape id="_x0000_s1026" o:spid="_x0000_s1026" o:spt="202" type="#_x0000_t202" style="position:absolute;left:5179;top:1280373;height:779;width:1996;" fillcolor="#FFFFFF" filled="t" stroked="t" coordsize="21600,21600" o:gfxdata="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K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BA558A">
                        <w:pPr>
                          <w:jc w:val="center"/>
                          <w:rPr>
                            <w:rFonts w:ascii="Times New Roman"/>
                            <w:sz w:val="18"/>
                            <w:szCs w:val="18"/>
                          </w:rPr>
                        </w:pPr>
                        <w:r>
                          <w:rPr>
                            <w:rFonts w:hint="eastAsia" w:ascii="Times New Roman"/>
                            <w:sz w:val="18"/>
                            <w:szCs w:val="18"/>
                          </w:rPr>
                          <w:t>70%附着在工件上461.734</w:t>
                        </w:r>
                      </w:p>
                    </w:txbxContent>
                  </v:textbox>
                </v:shape>
                <v:shape id="_x0000_s1026" o:spid="_x0000_s1026" o:spt="202" type="#_x0000_t202" style="position:absolute;left:5164;top:1282237;height:765;width:1741;" fillcolor="#FFFFFF" filled="t" stroked="t" coordsize="21600,21600" o:gfxdata="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QH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AB5F7C">
                        <w:pPr>
                          <w:rPr>
                            <w:rFonts w:ascii="Times New Roman"/>
                            <w:sz w:val="24"/>
                            <w:szCs w:val="20"/>
                          </w:rPr>
                        </w:pPr>
                        <w:r>
                          <w:rPr>
                            <w:rFonts w:hint="eastAsia" w:ascii="Times New Roman"/>
                            <w:sz w:val="18"/>
                            <w:szCs w:val="18"/>
                          </w:rPr>
                          <w:t>30%以漆雾形式进入喷漆房197.886</w:t>
                        </w:r>
                      </w:p>
                    </w:txbxContent>
                  </v:textbox>
                </v:shape>
                <v:shape id="_x0000_s1026" o:spid="_x0000_s1026" o:spt="202" type="#_x0000_t202" style="position:absolute;left:7609;top:1281390;height:749;width:1183;" fillcolor="#FFFFFF" filled="t" stroked="t" coordsize="21600,21600" o:gfxdata="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YS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E6A49F9">
                        <w:pPr>
                          <w:jc w:val="center"/>
                          <w:rPr>
                            <w:rFonts w:ascii="Times New Roman"/>
                            <w:sz w:val="18"/>
                            <w:szCs w:val="18"/>
                          </w:rPr>
                        </w:pPr>
                        <w:r>
                          <w:rPr>
                            <w:rFonts w:hint="eastAsia" w:ascii="Times New Roman"/>
                            <w:sz w:val="18"/>
                            <w:szCs w:val="18"/>
                          </w:rPr>
                          <w:t>95%被收集</w:t>
                        </w:r>
                      </w:p>
                      <w:p w14:paraId="6E340632">
                        <w:pPr>
                          <w:pStyle w:val="20"/>
                          <w:ind w:firstLine="0"/>
                          <w:jc w:val="center"/>
                          <w:rPr>
                            <w:sz w:val="18"/>
                            <w:szCs w:val="18"/>
                          </w:rPr>
                        </w:pPr>
                        <w:r>
                          <w:rPr>
                            <w:rFonts w:hint="eastAsia"/>
                            <w:sz w:val="18"/>
                            <w:szCs w:val="18"/>
                          </w:rPr>
                          <w:t>187.992</w:t>
                        </w:r>
                      </w:p>
                    </w:txbxContent>
                  </v:textbox>
                </v:shape>
                <v:shape id="_x0000_s1026" o:spid="_x0000_s1026" o:spt="202" type="#_x0000_t202" style="position:absolute;left:7624;top:1282905;height:765;width:1650;" fillcolor="#FFFFFF" filled="t" stroked="t" coordsize="21600,21600" o:gfxdata="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IC7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C8AB503">
                        <w:pPr>
                          <w:jc w:val="center"/>
                          <w:rPr>
                            <w:rFonts w:ascii="Times New Roman"/>
                            <w:sz w:val="18"/>
                            <w:szCs w:val="18"/>
                          </w:rPr>
                        </w:pPr>
                        <w:r>
                          <w:rPr>
                            <w:rFonts w:hint="eastAsia" w:ascii="Times New Roman"/>
                            <w:sz w:val="18"/>
                            <w:szCs w:val="18"/>
                          </w:rPr>
                          <w:t>5</w:t>
                        </w:r>
                        <w:r>
                          <w:rPr>
                            <w:rFonts w:ascii="Times New Roman"/>
                            <w:sz w:val="18"/>
                            <w:szCs w:val="18"/>
                          </w:rPr>
                          <w:t>%无组织排放</w:t>
                        </w:r>
                      </w:p>
                      <w:p w14:paraId="66E2A5E6">
                        <w:pPr>
                          <w:jc w:val="center"/>
                          <w:rPr>
                            <w:rFonts w:ascii="Times New Roman"/>
                            <w:sz w:val="18"/>
                            <w:szCs w:val="18"/>
                          </w:rPr>
                        </w:pPr>
                        <w:r>
                          <w:rPr>
                            <w:rFonts w:hint="eastAsia" w:ascii="Times New Roman"/>
                            <w:sz w:val="18"/>
                            <w:szCs w:val="18"/>
                          </w:rPr>
                          <w:t>9.894</w:t>
                        </w:r>
                      </w:p>
                    </w:txbxContent>
                  </v:textbox>
                </v:shape>
                <v:shape id="_x0000_s1026" o:spid="_x0000_s1026" o:spt="202" type="#_x0000_t202" style="position:absolute;left:9469;top:1280414;height:779;width:1201;" fillcolor="#FFFFFF" filled="t" stroked="t" coordsize="21600,21600" o:gfxdata="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t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535584">
                        <w:pPr>
                          <w:rPr>
                            <w:rFonts w:ascii="Times New Roman"/>
                            <w:sz w:val="18"/>
                            <w:szCs w:val="18"/>
                          </w:rPr>
                        </w:pPr>
                        <w:r>
                          <w:rPr>
                            <w:rFonts w:ascii="Times New Roman"/>
                            <w:sz w:val="18"/>
                            <w:szCs w:val="18"/>
                          </w:rPr>
                          <w:t>有组织排放</w:t>
                        </w:r>
                        <w:r>
                          <w:rPr>
                            <w:rFonts w:hint="eastAsia" w:ascii="Times New Roman"/>
                            <w:sz w:val="18"/>
                            <w:szCs w:val="18"/>
                          </w:rPr>
                          <w:t>9.400</w:t>
                        </w:r>
                      </w:p>
                    </w:txbxContent>
                  </v:textbox>
                </v:shape>
                <v:shape id="_x0000_s1026" o:spid="_x0000_s1026" o:spt="202" type="#_x0000_t202" style="position:absolute;left:9544;top:1282002;height:775;width:1201;" fillcolor="#FFFFFF" filled="t" stroked="t" coordsize="21600,21600" o:gfxdata="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X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6F22D1">
                        <w:pPr>
                          <w:jc w:val="center"/>
                          <w:rPr>
                            <w:rFonts w:ascii="Times New Roman"/>
                            <w:sz w:val="18"/>
                            <w:szCs w:val="18"/>
                          </w:rPr>
                        </w:pPr>
                        <w:r>
                          <w:rPr>
                            <w:rFonts w:hint="eastAsia" w:ascii="Times New Roman"/>
                            <w:sz w:val="18"/>
                            <w:szCs w:val="18"/>
                          </w:rPr>
                          <w:t>过滤漆渣</w:t>
                        </w:r>
                      </w:p>
                      <w:p w14:paraId="575EC0BC">
                        <w:pPr>
                          <w:jc w:val="center"/>
                          <w:rPr>
                            <w:rFonts w:ascii="Times New Roman"/>
                            <w:sz w:val="18"/>
                            <w:szCs w:val="18"/>
                          </w:rPr>
                        </w:pPr>
                        <w:r>
                          <w:rPr>
                            <w:rFonts w:hint="eastAsia" w:ascii="Times New Roman"/>
                            <w:sz w:val="18"/>
                            <w:szCs w:val="18"/>
                          </w:rPr>
                          <w:t>178.592</w:t>
                        </w:r>
                      </w:p>
                    </w:txbxContent>
                  </v:textbox>
                </v:shape>
                <v:shape id="_x0000_s1026" o:spid="_x0000_s1026" o:spt="34" type="#_x0000_t34" style="position:absolute;left:3785;top:1280366;height:2765;width:28;" filled="f" stroked="t" coordsize="21600,21600" o:gfxdata="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JIwugAAANwA&#10;AAAPAAAAAAAAAAEAIAAAACIAAABkcnMvZG93bnJldi54bWxQSwECFAAUAAAACACHTuJAMy8FnjsA&#10;AAA5AAAAEAAAAAAAAAABACAAAAAJAQAAZHJzL3NoYXBleG1sLnhtbFBLBQYAAAAABgAGAFsBAACz&#10;AwAAAAA=&#10;" adj="195171">
                  <v:fill on="f" focussize="0,0"/>
                  <v:stroke color="#000000" joinstyle="miter"/>
                  <v:imagedata o:title=""/>
                  <o:lock v:ext="edit" aspectratio="f"/>
                </v:shape>
                <v:shape id="_x0000_s1026" o:spid="_x0000_s1026" o:spt="34" type="#_x0000_t34" style="position:absolute;left:5164;top:1280763;flip:y;height:1857;width:15;rotation:11796480f;" filled="f" stroked="t" coordsize="21600,21600" o:gfxdata="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QPSu8AAAA&#10;3AAAAA8AAAAAAAAAAQAgAAAAIgAAAGRycy9kb3ducmV2LnhtbFBLAQIUABQAAAAIAIdO4kAzLwWe&#10;OwAAADkAAAAQAAAAAAAAAAEAIAAAAAsBAABkcnMvc2hhcGV4bWwueG1sUEsFBgAAAAAGAAYAWwEA&#10;ALUDAAAAAA==&#10;" adj="561600">
                  <v:fill on="f" focussize="0,0"/>
                  <v:stroke weight="0.5pt" color="#000000" joinstyle="miter" startarrow="block" endarrow="block"/>
                  <v:imagedata o:title=""/>
                  <o:lock v:ext="edit" aspectratio="f"/>
                </v:shape>
                <v:line id="_x0000_s1026" o:spid="_x0000_s1026" o:spt="20" style="position:absolute;left:3725;top:1281661;flip:y;height:14;width:1034;" filled="f" stroked="t" coordsize="21600,21600" o:gfxdata="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eD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4" type="#_x0000_t34" style="position:absolute;left:5164;top:1280763;flip:y;height:1857;width:15;rotation:11796480f;" filled="f" stroked="t" coordsize="21600,21600" o:gfxdata="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BSDb4A&#10;AADcAAAADwAAAAAAAAABACAAAAAiAAAAZHJzL2Rvd25yZXYueG1sUEsBAhQAFAAAAAgAh07iQDMv&#10;BZ47AAAAOQAAABAAAAAAAAAAAQAgAAAADQEAAGRycy9zaGFwZXhtbC54bWxQSwUGAAAAAAYABgBb&#10;AQAAtwMAAAAA&#10;" adj="561600">
                  <v:fill on="f" focussize="0,0"/>
                  <v:stroke weight="0.5pt" color="#000000" joinstyle="miter" startarrow="block" endarrow="block"/>
                  <v:imagedata o:title=""/>
                  <o:lock v:ext="edit" aspectratio="f"/>
                </v:shape>
                <v:line id="_x0000_s1026" o:spid="_x0000_s1026" o:spt="20" style="position:absolute;left:6889;top:1282632;height:1;width:315;"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34" type="#_x0000_t34" style="position:absolute;left:9469;top:1280804;flip:x y;height:1586;width:75;rotation:11796480f;" filled="f" stroked="t" coordsize="21600,21600" o:gfxdata="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AwDrsAAADc&#10;AAAADwAAAAAAAAABACAAAAAiAAAAZHJzL2Rvd25yZXYueG1sUEsBAhQAFAAAAAgAh07iQDMvBZ47&#10;AAAAOQAAABAAAAAAAAAAAQAgAAAACgEAAGRycy9zaGFwZXhtbC54bWxQSwUGAAAAAAYABgBbAQAA&#10;tAMAAAAA&#10;" adj="-108000">
                  <v:fill on="f" focussize="0,0"/>
                  <v:stroke weight="0.5pt" color="#000000" joinstyle="miter" startarrow="block" endarrow="block"/>
                  <v:imagedata o:title=""/>
                  <o:lock v:ext="edit" aspectratio="f"/>
                </v:shape>
                <v:line id="_x0000_s1026" o:spid="_x0000_s1026" o:spt="20" style="position:absolute;left:8791;top:1281742;height:1;width:315;"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3983;top:1281221;height:450;width:915;"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9984B16">
                        <w:pPr>
                          <w:rPr>
                            <w:rFonts w:ascii="Times New Roman"/>
                            <w:sz w:val="18"/>
                            <w:szCs w:val="18"/>
                          </w:rPr>
                        </w:pPr>
                        <w:r>
                          <w:rPr>
                            <w:rFonts w:hint="eastAsia" w:ascii="Times New Roman"/>
                            <w:sz w:val="18"/>
                            <w:szCs w:val="18"/>
                          </w:rPr>
                          <w:t>659.62</w:t>
                        </w:r>
                      </w:p>
                    </w:txbxContent>
                  </v:textbox>
                </v:shape>
                <v:shape id="_x0000_s1026" o:spid="_x0000_s1026" o:spt="34" type="#_x0000_t34" style="position:absolute;left:7609;top:1281765;flip:x y;height:1523;width:15;rotation:11796480f;" filled="f" stroked="t" coordsize="21600,21600" o:gfxdata="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u2tF&#10;wAAAANwAAAAPAAAAAAAAAAEAIAAAACIAAABkcnMvZG93bnJldi54bWxQSwECFAAUAAAACACHTuJA&#10;My8FnjsAAAA5AAAAEAAAAAAAAAABACAAAAAPAQAAZHJzL3NoYXBleG1sLnhtbFBLBQYAAAAABgAG&#10;AFsBAAC5AwAAAAA=&#10;" adj="-540000">
                  <v:fill on="f" focussize="0,0"/>
                  <v:stroke color="#000000" joinstyle="round" startarrow="block" endarrow="block"/>
                  <v:imagedata o:title=""/>
                  <o:lock v:ext="edit" aspectratio="f"/>
                </v:shape>
              </v:group>
            </w:pict>
          </mc:Fallback>
        </mc:AlternateContent>
      </w:r>
    </w:p>
    <w:p w14:paraId="7000E85A">
      <w:pPr>
        <w:jc w:val="center"/>
        <w:rPr>
          <w:rFonts w:ascii="Times New Roman"/>
          <w:sz w:val="24"/>
          <w:szCs w:val="20"/>
        </w:rPr>
      </w:pPr>
    </w:p>
    <w:p w14:paraId="5296782B">
      <w:pPr>
        <w:jc w:val="center"/>
        <w:rPr>
          <w:rFonts w:ascii="Times New Roman"/>
          <w:sz w:val="24"/>
          <w:szCs w:val="20"/>
        </w:rPr>
      </w:pPr>
    </w:p>
    <w:p w14:paraId="3B65C9BB">
      <w:pPr>
        <w:jc w:val="center"/>
        <w:rPr>
          <w:rFonts w:ascii="Times New Roman"/>
          <w:sz w:val="24"/>
          <w:szCs w:val="20"/>
        </w:rPr>
      </w:pPr>
    </w:p>
    <w:p w14:paraId="5099331B">
      <w:pPr>
        <w:jc w:val="center"/>
        <w:rPr>
          <w:rFonts w:ascii="Times New Roman"/>
          <w:sz w:val="24"/>
          <w:szCs w:val="20"/>
        </w:rPr>
      </w:pPr>
    </w:p>
    <w:p w14:paraId="123F9D52">
      <w:pPr>
        <w:jc w:val="center"/>
        <w:rPr>
          <w:rFonts w:ascii="Times New Roman"/>
          <w:sz w:val="24"/>
          <w:szCs w:val="20"/>
        </w:rPr>
      </w:pPr>
    </w:p>
    <w:p w14:paraId="20FC343C">
      <w:pPr>
        <w:jc w:val="center"/>
        <w:rPr>
          <w:rFonts w:ascii="Times New Roman"/>
          <w:sz w:val="24"/>
          <w:szCs w:val="20"/>
        </w:rPr>
      </w:pPr>
    </w:p>
    <w:p w14:paraId="08CD5912">
      <w:pPr>
        <w:jc w:val="center"/>
        <w:rPr>
          <w:rFonts w:ascii="Times New Roman"/>
          <w:sz w:val="24"/>
          <w:szCs w:val="20"/>
        </w:rPr>
      </w:pPr>
    </w:p>
    <w:p w14:paraId="763EC5B3">
      <w:pPr>
        <w:jc w:val="center"/>
        <w:rPr>
          <w:rFonts w:ascii="Times New Roman"/>
          <w:sz w:val="24"/>
          <w:szCs w:val="20"/>
        </w:rPr>
      </w:pPr>
    </w:p>
    <w:p w14:paraId="2B52A828">
      <w:pPr>
        <w:jc w:val="center"/>
        <w:rPr>
          <w:rFonts w:ascii="Times New Roman"/>
          <w:sz w:val="24"/>
          <w:szCs w:val="20"/>
        </w:rPr>
      </w:pPr>
    </w:p>
    <w:p w14:paraId="49563239">
      <w:pPr>
        <w:jc w:val="center"/>
        <w:rPr>
          <w:rFonts w:ascii="Times New Roman"/>
          <w:sz w:val="24"/>
          <w:szCs w:val="20"/>
        </w:rPr>
      </w:pPr>
    </w:p>
    <w:p w14:paraId="67ED2159">
      <w:pPr>
        <w:jc w:val="center"/>
        <w:rPr>
          <w:rFonts w:ascii="Times New Roman"/>
          <w:sz w:val="24"/>
          <w:szCs w:val="20"/>
        </w:rPr>
      </w:pPr>
    </w:p>
    <w:p w14:paraId="37605171">
      <w:pPr>
        <w:spacing w:line="480" w:lineRule="exact"/>
        <w:ind w:firstLine="482" w:firstLineChars="200"/>
        <w:jc w:val="center"/>
        <w:rPr>
          <w:rFonts w:ascii="Times New Roman"/>
          <w:b/>
          <w:spacing w:val="6"/>
          <w:sz w:val="24"/>
          <w:szCs w:val="24"/>
        </w:rPr>
      </w:pPr>
      <w:r>
        <w:rPr>
          <w:rFonts w:ascii="Times New Roman"/>
          <w:b/>
          <w:kern w:val="0"/>
          <w:sz w:val="24"/>
          <w:szCs w:val="24"/>
        </w:rPr>
        <w:t>图</w:t>
      </w:r>
      <w:r>
        <w:rPr>
          <w:rFonts w:ascii="Times New Roman"/>
          <w:b/>
          <w:bCs/>
          <w:kern w:val="0"/>
          <w:sz w:val="24"/>
          <w:szCs w:val="24"/>
        </w:rPr>
        <w:t xml:space="preserve">3.5-2  </w:t>
      </w:r>
      <w:r>
        <w:rPr>
          <w:rFonts w:ascii="Times New Roman"/>
          <w:b/>
          <w:kern w:val="0"/>
          <w:sz w:val="24"/>
          <w:szCs w:val="24"/>
        </w:rPr>
        <w:t>油漆中固体组分物料平衡图（单位：t/a）</w:t>
      </w:r>
    </w:p>
    <w:p w14:paraId="587A1D90">
      <w:pPr>
        <w:spacing w:line="440" w:lineRule="exact"/>
        <w:rPr>
          <w:rFonts w:ascii="Times New Roman"/>
          <w:b/>
          <w:bCs/>
          <w:sz w:val="24"/>
          <w:szCs w:val="24"/>
        </w:rPr>
      </w:pPr>
      <w:r>
        <w:rPr>
          <w:rFonts w:ascii="Times New Roman"/>
          <w:b/>
          <w:bCs/>
          <w:sz w:val="24"/>
          <w:szCs w:val="24"/>
        </w:rPr>
        <w:t>（2）VOCs物料平衡</w:t>
      </w:r>
    </w:p>
    <w:p w14:paraId="5A58E072">
      <w:pPr>
        <w:spacing w:line="440" w:lineRule="exact"/>
        <w:ind w:firstLine="470" w:firstLineChars="196"/>
        <w:rPr>
          <w:rFonts w:ascii="Times New Roman"/>
          <w:sz w:val="24"/>
          <w:szCs w:val="20"/>
        </w:rPr>
      </w:pPr>
      <w:r>
        <w:rPr>
          <w:rFonts w:ascii="Times New Roman"/>
          <w:sz w:val="24"/>
          <w:szCs w:val="20"/>
        </w:rPr>
        <w:t>项目水性漆和油漆中VOCs物料平衡见下表和下图。</w:t>
      </w:r>
    </w:p>
    <w:p w14:paraId="0FFA10BA">
      <w:pPr>
        <w:spacing w:line="440" w:lineRule="exact"/>
        <w:jc w:val="center"/>
        <w:rPr>
          <w:rFonts w:ascii="Times New Roman"/>
          <w:b/>
          <w:bCs/>
          <w:kern w:val="0"/>
          <w:sz w:val="24"/>
        </w:rPr>
      </w:pPr>
      <w:r>
        <w:rPr>
          <w:rFonts w:ascii="Times New Roman"/>
          <w:b/>
          <w:bCs/>
          <w:kern w:val="0"/>
          <w:sz w:val="24"/>
        </w:rPr>
        <w:t>表3.5-4  项目</w:t>
      </w:r>
      <w:r>
        <w:rPr>
          <w:rFonts w:hint="eastAsia" w:ascii="Times New Roman"/>
          <w:b/>
          <w:bCs/>
          <w:kern w:val="0"/>
          <w:sz w:val="24"/>
        </w:rPr>
        <w:t>电泳</w:t>
      </w:r>
      <w:r>
        <w:rPr>
          <w:rFonts w:ascii="Times New Roman"/>
          <w:b/>
          <w:bCs/>
          <w:kern w:val="0"/>
          <w:sz w:val="24"/>
        </w:rPr>
        <w:t>漆中VOCs物料平衡表</w:t>
      </w:r>
    </w:p>
    <w:tbl>
      <w:tblPr>
        <w:tblStyle w:val="84"/>
        <w:tblW w:w="50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26"/>
        <w:gridCol w:w="1007"/>
        <w:gridCol w:w="1150"/>
        <w:gridCol w:w="872"/>
        <w:gridCol w:w="1974"/>
        <w:gridCol w:w="1450"/>
      </w:tblGrid>
      <w:tr w14:paraId="3D3A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2980" w:type="pct"/>
            <w:gridSpan w:val="4"/>
            <w:tcBorders>
              <w:right w:val="single" w:color="auto" w:sz="4" w:space="0"/>
            </w:tcBorders>
            <w:vAlign w:val="center"/>
          </w:tcPr>
          <w:p w14:paraId="34229A3F">
            <w:pPr>
              <w:adjustRightInd w:val="0"/>
              <w:snapToGrid w:val="0"/>
              <w:jc w:val="center"/>
              <w:rPr>
                <w:rFonts w:ascii="Times New Roman"/>
                <w:sz w:val="21"/>
                <w:szCs w:val="21"/>
              </w:rPr>
            </w:pPr>
            <w:r>
              <w:rPr>
                <w:rFonts w:ascii="Times New Roman"/>
                <w:sz w:val="21"/>
                <w:szCs w:val="21"/>
              </w:rPr>
              <w:t>进入（单位：t/a）</w:t>
            </w:r>
          </w:p>
        </w:tc>
        <w:tc>
          <w:tcPr>
            <w:tcW w:w="2019" w:type="pct"/>
            <w:gridSpan w:val="2"/>
            <w:tcBorders>
              <w:left w:val="single" w:color="auto" w:sz="4" w:space="0"/>
            </w:tcBorders>
            <w:vAlign w:val="center"/>
          </w:tcPr>
          <w:p w14:paraId="5537381A">
            <w:pPr>
              <w:adjustRightInd w:val="0"/>
              <w:snapToGrid w:val="0"/>
              <w:jc w:val="center"/>
              <w:rPr>
                <w:rFonts w:ascii="Times New Roman"/>
                <w:sz w:val="21"/>
                <w:szCs w:val="21"/>
              </w:rPr>
            </w:pPr>
            <w:r>
              <w:rPr>
                <w:rFonts w:ascii="Times New Roman"/>
                <w:sz w:val="21"/>
                <w:szCs w:val="21"/>
              </w:rPr>
              <w:t>产出或排出（单位：t/a）</w:t>
            </w:r>
          </w:p>
        </w:tc>
      </w:tr>
      <w:tr w14:paraId="37DA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6" w:hRule="atLeast"/>
          <w:jc w:val="center"/>
        </w:trPr>
        <w:tc>
          <w:tcPr>
            <w:tcW w:w="1194" w:type="pct"/>
            <w:vAlign w:val="center"/>
          </w:tcPr>
          <w:p w14:paraId="103AB893">
            <w:pPr>
              <w:adjustRightInd w:val="0"/>
              <w:snapToGrid w:val="0"/>
              <w:jc w:val="center"/>
              <w:rPr>
                <w:rFonts w:ascii="Times New Roman"/>
                <w:sz w:val="21"/>
                <w:szCs w:val="21"/>
              </w:rPr>
            </w:pPr>
            <w:r>
              <w:rPr>
                <w:rFonts w:ascii="Times New Roman"/>
                <w:sz w:val="21"/>
                <w:szCs w:val="21"/>
              </w:rPr>
              <w:t>名称</w:t>
            </w:r>
          </w:p>
        </w:tc>
        <w:tc>
          <w:tcPr>
            <w:tcW w:w="594" w:type="pct"/>
            <w:vAlign w:val="center"/>
          </w:tcPr>
          <w:p w14:paraId="3A961D39">
            <w:pPr>
              <w:adjustRightInd w:val="0"/>
              <w:snapToGrid w:val="0"/>
              <w:jc w:val="center"/>
              <w:rPr>
                <w:rFonts w:ascii="Times New Roman"/>
                <w:sz w:val="21"/>
                <w:szCs w:val="21"/>
              </w:rPr>
            </w:pPr>
            <w:r>
              <w:rPr>
                <w:rFonts w:ascii="Times New Roman"/>
                <w:sz w:val="21"/>
                <w:szCs w:val="21"/>
              </w:rPr>
              <w:t>年用量</w:t>
            </w:r>
          </w:p>
        </w:tc>
        <w:tc>
          <w:tcPr>
            <w:tcW w:w="677" w:type="pct"/>
            <w:vAlign w:val="center"/>
          </w:tcPr>
          <w:p w14:paraId="19D53000">
            <w:pPr>
              <w:adjustRightInd w:val="0"/>
              <w:snapToGrid w:val="0"/>
              <w:jc w:val="center"/>
              <w:rPr>
                <w:rFonts w:ascii="Times New Roman"/>
                <w:sz w:val="21"/>
                <w:szCs w:val="21"/>
              </w:rPr>
            </w:pPr>
            <w:r>
              <w:rPr>
                <w:rFonts w:ascii="Times New Roman"/>
                <w:sz w:val="21"/>
                <w:szCs w:val="21"/>
              </w:rPr>
              <w:t>VOCs含量，%</w:t>
            </w:r>
          </w:p>
        </w:tc>
        <w:tc>
          <w:tcPr>
            <w:tcW w:w="514" w:type="pct"/>
            <w:vAlign w:val="center"/>
          </w:tcPr>
          <w:p w14:paraId="7E6F7517">
            <w:pPr>
              <w:adjustRightInd w:val="0"/>
              <w:snapToGrid w:val="0"/>
              <w:jc w:val="center"/>
              <w:rPr>
                <w:rFonts w:ascii="Times New Roman"/>
                <w:sz w:val="21"/>
                <w:szCs w:val="21"/>
              </w:rPr>
            </w:pPr>
            <w:r>
              <w:rPr>
                <w:rFonts w:ascii="Times New Roman"/>
                <w:sz w:val="21"/>
                <w:szCs w:val="21"/>
              </w:rPr>
              <w:t>进入量</w:t>
            </w:r>
          </w:p>
        </w:tc>
        <w:tc>
          <w:tcPr>
            <w:tcW w:w="1164" w:type="pct"/>
            <w:tcBorders>
              <w:right w:val="single" w:color="auto" w:sz="2" w:space="0"/>
            </w:tcBorders>
            <w:vAlign w:val="center"/>
          </w:tcPr>
          <w:p w14:paraId="65747DFF">
            <w:pPr>
              <w:adjustRightInd w:val="0"/>
              <w:snapToGrid w:val="0"/>
              <w:jc w:val="center"/>
              <w:rPr>
                <w:rFonts w:ascii="Times New Roman"/>
                <w:sz w:val="21"/>
                <w:szCs w:val="21"/>
              </w:rPr>
            </w:pPr>
            <w:r>
              <w:rPr>
                <w:rFonts w:ascii="Times New Roman"/>
                <w:sz w:val="21"/>
                <w:szCs w:val="21"/>
              </w:rPr>
              <w:t>名称</w:t>
            </w:r>
          </w:p>
        </w:tc>
        <w:tc>
          <w:tcPr>
            <w:tcW w:w="854" w:type="pct"/>
            <w:tcBorders>
              <w:left w:val="single" w:color="auto" w:sz="2" w:space="0"/>
            </w:tcBorders>
            <w:vAlign w:val="center"/>
          </w:tcPr>
          <w:p w14:paraId="42A43A30">
            <w:pPr>
              <w:adjustRightInd w:val="0"/>
              <w:snapToGrid w:val="0"/>
              <w:jc w:val="center"/>
              <w:rPr>
                <w:rFonts w:ascii="Times New Roman"/>
                <w:sz w:val="21"/>
                <w:szCs w:val="21"/>
              </w:rPr>
            </w:pPr>
            <w:r>
              <w:rPr>
                <w:rFonts w:ascii="Times New Roman"/>
                <w:sz w:val="21"/>
                <w:szCs w:val="21"/>
              </w:rPr>
              <w:t>产出或排出量</w:t>
            </w:r>
          </w:p>
        </w:tc>
      </w:tr>
      <w:tr w14:paraId="2F94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1194" w:type="pct"/>
            <w:vAlign w:val="center"/>
          </w:tcPr>
          <w:p w14:paraId="70DD429B">
            <w:pPr>
              <w:jc w:val="center"/>
              <w:rPr>
                <w:rFonts w:ascii="Times New Roman"/>
                <w:sz w:val="21"/>
                <w:szCs w:val="21"/>
              </w:rPr>
            </w:pPr>
            <w:r>
              <w:rPr>
                <w:rFonts w:ascii="Times New Roman"/>
                <w:kern w:val="0"/>
                <w:sz w:val="21"/>
                <w:szCs w:val="21"/>
              </w:rPr>
              <w:t>阴极电泳漆（乳液）</w:t>
            </w:r>
          </w:p>
        </w:tc>
        <w:tc>
          <w:tcPr>
            <w:tcW w:w="594" w:type="pct"/>
            <w:vAlign w:val="center"/>
          </w:tcPr>
          <w:p w14:paraId="47B8D724">
            <w:pPr>
              <w:widowControl/>
              <w:jc w:val="center"/>
              <w:rPr>
                <w:rFonts w:ascii="Times New Roman"/>
                <w:kern w:val="0"/>
                <w:sz w:val="21"/>
                <w:szCs w:val="21"/>
              </w:rPr>
            </w:pPr>
            <w:r>
              <w:rPr>
                <w:rFonts w:hint="eastAsia" w:ascii="Times New Roman"/>
                <w:kern w:val="0"/>
                <w:sz w:val="21"/>
                <w:szCs w:val="21"/>
              </w:rPr>
              <w:t>68</w:t>
            </w:r>
          </w:p>
        </w:tc>
        <w:tc>
          <w:tcPr>
            <w:tcW w:w="677" w:type="pct"/>
            <w:vAlign w:val="center"/>
          </w:tcPr>
          <w:p w14:paraId="4CAE40CB">
            <w:pPr>
              <w:widowControl/>
              <w:jc w:val="center"/>
              <w:rPr>
                <w:rFonts w:ascii="Times New Roman"/>
                <w:kern w:val="0"/>
                <w:sz w:val="21"/>
                <w:szCs w:val="21"/>
              </w:rPr>
            </w:pPr>
            <w:r>
              <w:rPr>
                <w:rFonts w:ascii="Times New Roman"/>
                <w:kern w:val="0"/>
                <w:sz w:val="21"/>
                <w:szCs w:val="21"/>
              </w:rPr>
              <w:t>0.5</w:t>
            </w:r>
          </w:p>
        </w:tc>
        <w:tc>
          <w:tcPr>
            <w:tcW w:w="514" w:type="pct"/>
            <w:vAlign w:val="center"/>
          </w:tcPr>
          <w:p w14:paraId="31CCD3E2">
            <w:pPr>
              <w:jc w:val="center"/>
              <w:rPr>
                <w:rFonts w:ascii="Times New Roman"/>
                <w:sz w:val="21"/>
                <w:szCs w:val="21"/>
              </w:rPr>
            </w:pPr>
            <w:r>
              <w:rPr>
                <w:rFonts w:ascii="Times New Roman"/>
                <w:sz w:val="21"/>
                <w:szCs w:val="21"/>
              </w:rPr>
              <w:t>0.</w:t>
            </w:r>
            <w:r>
              <w:rPr>
                <w:rFonts w:hint="eastAsia" w:ascii="Times New Roman"/>
                <w:sz w:val="21"/>
                <w:szCs w:val="21"/>
              </w:rPr>
              <w:t>34</w:t>
            </w:r>
          </w:p>
        </w:tc>
        <w:tc>
          <w:tcPr>
            <w:tcW w:w="1164" w:type="pct"/>
            <w:tcBorders>
              <w:right w:val="single" w:color="auto" w:sz="2" w:space="0"/>
            </w:tcBorders>
            <w:vAlign w:val="center"/>
          </w:tcPr>
          <w:p w14:paraId="37DEAC63">
            <w:pPr>
              <w:adjustRightInd w:val="0"/>
              <w:snapToGrid w:val="0"/>
              <w:jc w:val="center"/>
              <w:rPr>
                <w:rFonts w:ascii="Times New Roman"/>
                <w:sz w:val="21"/>
                <w:szCs w:val="21"/>
              </w:rPr>
            </w:pPr>
            <w:r>
              <w:rPr>
                <w:rFonts w:ascii="Times New Roman"/>
                <w:kern w:val="0"/>
                <w:sz w:val="21"/>
                <w:szCs w:val="21"/>
              </w:rPr>
              <w:t>沸石轮转吸附+RTO焚烧装置</w:t>
            </w:r>
          </w:p>
        </w:tc>
        <w:tc>
          <w:tcPr>
            <w:tcW w:w="854" w:type="pct"/>
            <w:tcBorders>
              <w:left w:val="single" w:color="auto" w:sz="2" w:space="0"/>
            </w:tcBorders>
            <w:vAlign w:val="center"/>
          </w:tcPr>
          <w:p w14:paraId="5E559A9F">
            <w:pPr>
              <w:jc w:val="center"/>
              <w:rPr>
                <w:rFonts w:ascii="Times New Roman"/>
                <w:sz w:val="21"/>
                <w:szCs w:val="21"/>
              </w:rPr>
            </w:pPr>
            <w:r>
              <w:rPr>
                <w:rFonts w:hint="eastAsia" w:ascii="Times New Roman"/>
                <w:sz w:val="21"/>
                <w:szCs w:val="21"/>
              </w:rPr>
              <w:t>5.217</w:t>
            </w:r>
          </w:p>
        </w:tc>
      </w:tr>
      <w:tr w14:paraId="10AC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194" w:type="pct"/>
            <w:vAlign w:val="center"/>
          </w:tcPr>
          <w:p w14:paraId="583A71AB">
            <w:pPr>
              <w:jc w:val="center"/>
              <w:rPr>
                <w:rFonts w:ascii="Times New Roman"/>
                <w:sz w:val="21"/>
                <w:szCs w:val="21"/>
              </w:rPr>
            </w:pPr>
            <w:r>
              <w:rPr>
                <w:rFonts w:ascii="Times New Roman"/>
                <w:kern w:val="0"/>
                <w:sz w:val="21"/>
                <w:szCs w:val="21"/>
              </w:rPr>
              <w:t>阴极电泳漆（灰浆）</w:t>
            </w:r>
          </w:p>
        </w:tc>
        <w:tc>
          <w:tcPr>
            <w:tcW w:w="594" w:type="pct"/>
            <w:vAlign w:val="center"/>
          </w:tcPr>
          <w:p w14:paraId="58B5167D">
            <w:pPr>
              <w:widowControl/>
              <w:jc w:val="center"/>
              <w:rPr>
                <w:rFonts w:ascii="Times New Roman"/>
                <w:kern w:val="0"/>
                <w:sz w:val="21"/>
                <w:szCs w:val="21"/>
              </w:rPr>
            </w:pPr>
            <w:r>
              <w:rPr>
                <w:rFonts w:hint="eastAsia" w:ascii="Times New Roman"/>
                <w:kern w:val="0"/>
                <w:sz w:val="21"/>
                <w:szCs w:val="21"/>
              </w:rPr>
              <w:t>68</w:t>
            </w:r>
          </w:p>
        </w:tc>
        <w:tc>
          <w:tcPr>
            <w:tcW w:w="677" w:type="pct"/>
            <w:vAlign w:val="center"/>
          </w:tcPr>
          <w:p w14:paraId="66DE50CB">
            <w:pPr>
              <w:widowControl/>
              <w:jc w:val="center"/>
              <w:rPr>
                <w:rFonts w:ascii="Times New Roman"/>
                <w:sz w:val="21"/>
                <w:szCs w:val="21"/>
              </w:rPr>
            </w:pPr>
            <w:r>
              <w:rPr>
                <w:rFonts w:ascii="Times New Roman"/>
                <w:sz w:val="21"/>
                <w:szCs w:val="21"/>
              </w:rPr>
              <w:t>8</w:t>
            </w:r>
          </w:p>
        </w:tc>
        <w:tc>
          <w:tcPr>
            <w:tcW w:w="514" w:type="pct"/>
            <w:vAlign w:val="center"/>
          </w:tcPr>
          <w:p w14:paraId="09B27FF0">
            <w:pPr>
              <w:jc w:val="center"/>
              <w:rPr>
                <w:rFonts w:ascii="Times New Roman"/>
                <w:sz w:val="21"/>
                <w:szCs w:val="21"/>
              </w:rPr>
            </w:pPr>
            <w:r>
              <w:rPr>
                <w:rFonts w:hint="eastAsia" w:ascii="Times New Roman"/>
                <w:sz w:val="21"/>
                <w:szCs w:val="21"/>
              </w:rPr>
              <w:t>5.44</w:t>
            </w:r>
          </w:p>
        </w:tc>
        <w:tc>
          <w:tcPr>
            <w:tcW w:w="1164" w:type="pct"/>
            <w:tcBorders>
              <w:right w:val="single" w:color="auto" w:sz="2" w:space="0"/>
            </w:tcBorders>
            <w:vAlign w:val="center"/>
          </w:tcPr>
          <w:p w14:paraId="68CD4857">
            <w:pPr>
              <w:adjustRightInd w:val="0"/>
              <w:snapToGrid w:val="0"/>
              <w:jc w:val="center"/>
              <w:rPr>
                <w:rFonts w:ascii="Times New Roman"/>
                <w:sz w:val="21"/>
                <w:szCs w:val="21"/>
              </w:rPr>
            </w:pPr>
            <w:r>
              <w:rPr>
                <w:rFonts w:ascii="Times New Roman"/>
                <w:sz w:val="21"/>
                <w:szCs w:val="21"/>
              </w:rPr>
              <w:t>有组织排放VOCs</w:t>
            </w:r>
          </w:p>
        </w:tc>
        <w:tc>
          <w:tcPr>
            <w:tcW w:w="854" w:type="pct"/>
            <w:tcBorders>
              <w:left w:val="single" w:color="auto" w:sz="2" w:space="0"/>
            </w:tcBorders>
            <w:vAlign w:val="center"/>
          </w:tcPr>
          <w:p w14:paraId="54F8391A">
            <w:pPr>
              <w:jc w:val="center"/>
              <w:rPr>
                <w:rFonts w:ascii="Times New Roman"/>
                <w:sz w:val="21"/>
                <w:szCs w:val="21"/>
              </w:rPr>
            </w:pPr>
            <w:r>
              <w:rPr>
                <w:rFonts w:ascii="Times New Roman"/>
                <w:sz w:val="21"/>
                <w:szCs w:val="21"/>
              </w:rPr>
              <w:t>0.</w:t>
            </w:r>
            <w:r>
              <w:rPr>
                <w:rFonts w:hint="eastAsia" w:ascii="Times New Roman"/>
                <w:sz w:val="21"/>
                <w:szCs w:val="21"/>
              </w:rPr>
              <w:t>274</w:t>
            </w:r>
          </w:p>
        </w:tc>
      </w:tr>
      <w:tr w14:paraId="0D29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194" w:type="pct"/>
            <w:vAlign w:val="center"/>
          </w:tcPr>
          <w:p w14:paraId="0F5914B7">
            <w:pPr>
              <w:jc w:val="center"/>
              <w:rPr>
                <w:rFonts w:ascii="Times New Roman"/>
                <w:sz w:val="21"/>
                <w:szCs w:val="21"/>
              </w:rPr>
            </w:pPr>
            <w:r>
              <w:rPr>
                <w:rFonts w:ascii="Times New Roman"/>
                <w:sz w:val="21"/>
                <w:szCs w:val="21"/>
              </w:rPr>
              <w:t>/</w:t>
            </w:r>
          </w:p>
        </w:tc>
        <w:tc>
          <w:tcPr>
            <w:tcW w:w="594" w:type="pct"/>
            <w:vAlign w:val="center"/>
          </w:tcPr>
          <w:p w14:paraId="32E85998">
            <w:pPr>
              <w:widowControl/>
              <w:jc w:val="center"/>
              <w:rPr>
                <w:rFonts w:ascii="Times New Roman"/>
                <w:kern w:val="0"/>
                <w:sz w:val="21"/>
                <w:szCs w:val="21"/>
              </w:rPr>
            </w:pPr>
            <w:r>
              <w:rPr>
                <w:rFonts w:ascii="Times New Roman"/>
                <w:kern w:val="0"/>
                <w:sz w:val="21"/>
                <w:szCs w:val="21"/>
              </w:rPr>
              <w:t>/</w:t>
            </w:r>
          </w:p>
        </w:tc>
        <w:tc>
          <w:tcPr>
            <w:tcW w:w="677" w:type="pct"/>
            <w:vAlign w:val="center"/>
          </w:tcPr>
          <w:p w14:paraId="162047C9">
            <w:pPr>
              <w:widowControl/>
              <w:jc w:val="center"/>
              <w:rPr>
                <w:rFonts w:ascii="Times New Roman"/>
                <w:sz w:val="21"/>
                <w:szCs w:val="21"/>
              </w:rPr>
            </w:pPr>
            <w:r>
              <w:rPr>
                <w:rFonts w:ascii="Times New Roman"/>
                <w:sz w:val="21"/>
                <w:szCs w:val="21"/>
              </w:rPr>
              <w:t>/</w:t>
            </w:r>
          </w:p>
        </w:tc>
        <w:tc>
          <w:tcPr>
            <w:tcW w:w="514" w:type="pct"/>
            <w:vAlign w:val="center"/>
          </w:tcPr>
          <w:p w14:paraId="6133AABE">
            <w:pPr>
              <w:jc w:val="center"/>
              <w:rPr>
                <w:rFonts w:ascii="Times New Roman"/>
                <w:sz w:val="21"/>
                <w:szCs w:val="21"/>
              </w:rPr>
            </w:pPr>
            <w:r>
              <w:rPr>
                <w:rFonts w:ascii="Times New Roman"/>
                <w:sz w:val="21"/>
                <w:szCs w:val="21"/>
              </w:rPr>
              <w:t>/</w:t>
            </w:r>
          </w:p>
        </w:tc>
        <w:tc>
          <w:tcPr>
            <w:tcW w:w="1164" w:type="pct"/>
            <w:tcBorders>
              <w:right w:val="single" w:color="auto" w:sz="2" w:space="0"/>
            </w:tcBorders>
            <w:vAlign w:val="center"/>
          </w:tcPr>
          <w:p w14:paraId="25EDFBF7">
            <w:pPr>
              <w:adjustRightInd w:val="0"/>
              <w:snapToGrid w:val="0"/>
              <w:jc w:val="center"/>
              <w:rPr>
                <w:rFonts w:ascii="Times New Roman"/>
                <w:sz w:val="21"/>
                <w:szCs w:val="21"/>
              </w:rPr>
            </w:pPr>
            <w:r>
              <w:rPr>
                <w:rFonts w:ascii="Times New Roman"/>
                <w:sz w:val="21"/>
                <w:szCs w:val="21"/>
              </w:rPr>
              <w:t>无组织排放VOCs</w:t>
            </w:r>
          </w:p>
        </w:tc>
        <w:tc>
          <w:tcPr>
            <w:tcW w:w="854" w:type="pct"/>
            <w:tcBorders>
              <w:left w:val="single" w:color="auto" w:sz="2" w:space="0"/>
            </w:tcBorders>
            <w:vAlign w:val="center"/>
          </w:tcPr>
          <w:p w14:paraId="13E9598D">
            <w:pPr>
              <w:jc w:val="center"/>
              <w:rPr>
                <w:rFonts w:ascii="Times New Roman"/>
                <w:sz w:val="21"/>
                <w:szCs w:val="21"/>
              </w:rPr>
            </w:pPr>
            <w:r>
              <w:rPr>
                <w:rFonts w:ascii="Times New Roman"/>
                <w:sz w:val="21"/>
                <w:szCs w:val="21"/>
              </w:rPr>
              <w:t>0.</w:t>
            </w:r>
            <w:r>
              <w:rPr>
                <w:rFonts w:hint="eastAsia" w:ascii="Times New Roman"/>
                <w:sz w:val="21"/>
                <w:szCs w:val="21"/>
              </w:rPr>
              <w:t>289</w:t>
            </w:r>
          </w:p>
        </w:tc>
      </w:tr>
      <w:tr w14:paraId="5638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2466" w:type="pct"/>
            <w:gridSpan w:val="3"/>
            <w:vAlign w:val="center"/>
          </w:tcPr>
          <w:p w14:paraId="71BBFD61">
            <w:pPr>
              <w:jc w:val="center"/>
              <w:rPr>
                <w:rFonts w:ascii="Times New Roman"/>
                <w:sz w:val="21"/>
                <w:szCs w:val="21"/>
              </w:rPr>
            </w:pPr>
            <w:r>
              <w:rPr>
                <w:rFonts w:ascii="Times New Roman"/>
                <w:sz w:val="21"/>
                <w:szCs w:val="21"/>
              </w:rPr>
              <w:t>合计</w:t>
            </w:r>
          </w:p>
        </w:tc>
        <w:tc>
          <w:tcPr>
            <w:tcW w:w="514" w:type="pct"/>
            <w:vAlign w:val="center"/>
          </w:tcPr>
          <w:p w14:paraId="180FD22E">
            <w:pPr>
              <w:jc w:val="center"/>
              <w:rPr>
                <w:rFonts w:ascii="Times New Roman"/>
                <w:sz w:val="21"/>
                <w:szCs w:val="21"/>
              </w:rPr>
            </w:pPr>
            <w:r>
              <w:rPr>
                <w:rFonts w:hint="eastAsia" w:ascii="Times New Roman"/>
                <w:sz w:val="21"/>
                <w:szCs w:val="21"/>
              </w:rPr>
              <w:t>5.78</w:t>
            </w:r>
          </w:p>
        </w:tc>
        <w:tc>
          <w:tcPr>
            <w:tcW w:w="1164" w:type="pct"/>
            <w:tcBorders>
              <w:right w:val="single" w:color="auto" w:sz="2" w:space="0"/>
            </w:tcBorders>
            <w:vAlign w:val="center"/>
          </w:tcPr>
          <w:p w14:paraId="7EA91DA4">
            <w:pPr>
              <w:adjustRightInd w:val="0"/>
              <w:snapToGrid w:val="0"/>
              <w:jc w:val="center"/>
              <w:rPr>
                <w:rFonts w:ascii="Times New Roman"/>
                <w:sz w:val="21"/>
                <w:szCs w:val="21"/>
              </w:rPr>
            </w:pPr>
            <w:r>
              <w:rPr>
                <w:rFonts w:ascii="Times New Roman"/>
                <w:sz w:val="21"/>
                <w:szCs w:val="21"/>
              </w:rPr>
              <w:t>合计</w:t>
            </w:r>
          </w:p>
        </w:tc>
        <w:tc>
          <w:tcPr>
            <w:tcW w:w="854" w:type="pct"/>
            <w:tcBorders>
              <w:left w:val="single" w:color="auto" w:sz="2" w:space="0"/>
            </w:tcBorders>
            <w:vAlign w:val="center"/>
          </w:tcPr>
          <w:p w14:paraId="0F385251">
            <w:pPr>
              <w:jc w:val="center"/>
              <w:rPr>
                <w:rFonts w:ascii="Times New Roman"/>
                <w:sz w:val="21"/>
                <w:szCs w:val="21"/>
              </w:rPr>
            </w:pPr>
            <w:r>
              <w:rPr>
                <w:rFonts w:ascii="Times New Roman"/>
                <w:sz w:val="21"/>
                <w:szCs w:val="21"/>
              </w:rPr>
              <w:t>5.78</w:t>
            </w:r>
          </w:p>
        </w:tc>
      </w:tr>
    </w:tbl>
    <w:p w14:paraId="15300B78">
      <w:pPr>
        <w:rPr>
          <w:rFonts w:ascii="Times New Roman"/>
          <w:sz w:val="24"/>
          <w:szCs w:val="20"/>
        </w:rPr>
      </w:pPr>
      <w:r>
        <w:rPr>
          <w:rFonts w:ascii="Times New Roman"/>
          <w:sz w:val="24"/>
        </w:rPr>
        <mc:AlternateContent>
          <mc:Choice Requires="wpg">
            <w:drawing>
              <wp:anchor distT="0" distB="0" distL="114300" distR="114300" simplePos="0" relativeHeight="251664384" behindDoc="0" locked="0" layoutInCell="1" allowOverlap="1">
                <wp:simplePos x="0" y="0"/>
                <wp:positionH relativeFrom="column">
                  <wp:posOffset>13335</wp:posOffset>
                </wp:positionH>
                <wp:positionV relativeFrom="paragraph">
                  <wp:posOffset>128905</wp:posOffset>
                </wp:positionV>
                <wp:extent cx="5495290" cy="1917065"/>
                <wp:effectExtent l="4445" t="4445" r="12065" b="8890"/>
                <wp:wrapNone/>
                <wp:docPr id="64" name="组合 125"/>
                <wp:cNvGraphicFramePr/>
                <a:graphic xmlns:a="http://schemas.openxmlformats.org/drawingml/2006/main">
                  <a:graphicData uri="http://schemas.microsoft.com/office/word/2010/wordprocessingGroup">
                    <wpg:wgp>
                      <wpg:cNvGrpSpPr/>
                      <wpg:grpSpPr>
                        <a:xfrm>
                          <a:off x="0" y="0"/>
                          <a:ext cx="5495290" cy="1917065"/>
                          <a:chOff x="2104" y="1293635"/>
                          <a:chExt cx="8654" cy="3019"/>
                        </a:xfrm>
                        <a:effectLst/>
                      </wpg:grpSpPr>
                      <wps:wsp>
                        <wps:cNvPr id="233" name="文本框 233"/>
                        <wps:cNvSpPr txBox="1"/>
                        <wps:spPr>
                          <a:xfrm>
                            <a:off x="2104" y="1293955"/>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B48B2B">
                              <w:pPr>
                                <w:jc w:val="center"/>
                              </w:pPr>
                              <w:r>
                                <w:rPr>
                                  <w:rFonts w:hint="eastAsia" w:ascii="Times New Roman"/>
                                  <w:sz w:val="18"/>
                                  <w:szCs w:val="18"/>
                                </w:rPr>
                                <w:t>乳液中VOCs  0.34</w:t>
                              </w:r>
                            </w:p>
                          </w:txbxContent>
                        </wps:txbx>
                        <wps:bodyPr upright="1"/>
                      </wps:wsp>
                      <wps:wsp>
                        <wps:cNvPr id="246" name="文本框 246"/>
                        <wps:cNvSpPr txBox="1"/>
                        <wps:spPr>
                          <a:xfrm>
                            <a:off x="2133" y="1295960"/>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9E8B2E">
                              <w:pPr>
                                <w:jc w:val="center"/>
                                <w:rPr>
                                  <w:rFonts w:ascii="Times New Roman"/>
                                  <w:sz w:val="18"/>
                                  <w:szCs w:val="18"/>
                                </w:rPr>
                              </w:pPr>
                              <w:r>
                                <w:rPr>
                                  <w:rFonts w:hint="eastAsia" w:ascii="Times New Roman"/>
                                  <w:sz w:val="18"/>
                                  <w:szCs w:val="18"/>
                                </w:rPr>
                                <w:t>灰浆中VOCs  5.44</w:t>
                              </w:r>
                            </w:p>
                          </w:txbxContent>
                        </wps:txbx>
                        <wps:bodyPr upright="1"/>
                      </wps:wsp>
                      <wps:wsp>
                        <wps:cNvPr id="249" name="肘形连接符 249"/>
                        <wps:cNvCnPr>
                          <a:stCxn id="233" idx="3"/>
                          <a:endCxn id="246" idx="3"/>
                        </wps:cNvCnPr>
                        <wps:spPr>
                          <a:xfrm>
                            <a:off x="4203" y="1294225"/>
                            <a:ext cx="29" cy="2005"/>
                          </a:xfrm>
                          <a:prstGeom prst="bentConnector3">
                            <a:avLst>
                              <a:gd name="adj1" fmla="val 1162068"/>
                            </a:avLst>
                          </a:prstGeom>
                          <a:noFill/>
                          <a:ln w="9525" cap="flat" cmpd="sng" algn="ctr">
                            <a:solidFill>
                              <a:srgbClr val="000000"/>
                            </a:solidFill>
                            <a:prstDash val="solid"/>
                          </a:ln>
                          <a:effectLst/>
                        </wps:spPr>
                        <wps:bodyPr/>
                      </wps:wsp>
                      <wps:wsp>
                        <wps:cNvPr id="232" name="文本框 232"/>
                        <wps:cNvSpPr txBox="1"/>
                        <wps:spPr>
                          <a:xfrm>
                            <a:off x="5764" y="1294138"/>
                            <a:ext cx="1581"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B36B5D">
                              <w:pPr>
                                <w:jc w:val="center"/>
                                <w:rPr>
                                  <w:rFonts w:ascii="Times New Roman"/>
                                  <w:sz w:val="18"/>
                                  <w:szCs w:val="18"/>
                                </w:rPr>
                              </w:pPr>
                              <w:r>
                                <w:rPr>
                                  <w:rFonts w:hint="eastAsia" w:ascii="Times New Roman"/>
                                  <w:sz w:val="18"/>
                                  <w:szCs w:val="18"/>
                                </w:rPr>
                                <w:t>40%调漆、电泳</w:t>
                              </w:r>
                            </w:p>
                            <w:p w14:paraId="1E517B74">
                              <w:pPr>
                                <w:jc w:val="center"/>
                              </w:pPr>
                              <w:r>
                                <w:rPr>
                                  <w:rFonts w:hint="eastAsia" w:ascii="Times New Roman"/>
                                  <w:sz w:val="18"/>
                                  <w:szCs w:val="18"/>
                                </w:rPr>
                                <w:t>挥</w:t>
                              </w:r>
                              <w:r>
                                <w:rPr>
                                  <w:rFonts w:ascii="Times New Roman"/>
                                  <w:sz w:val="18"/>
                                  <w:szCs w:val="18"/>
                                </w:rPr>
                                <w:t>发</w:t>
                              </w:r>
                              <w:r>
                                <w:rPr>
                                  <w:rFonts w:hint="eastAsia" w:ascii="Times New Roman"/>
                                  <w:sz w:val="18"/>
                                  <w:szCs w:val="18"/>
                                </w:rPr>
                                <w:t>2.312</w:t>
                              </w:r>
                            </w:p>
                          </w:txbxContent>
                        </wps:txbx>
                        <wps:bodyPr upright="1"/>
                      </wps:wsp>
                      <wps:wsp>
                        <wps:cNvPr id="243" name="文本框 243"/>
                        <wps:cNvSpPr txBox="1"/>
                        <wps:spPr>
                          <a:xfrm>
                            <a:off x="5779" y="1295459"/>
                            <a:ext cx="1584" cy="8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9108C6">
                              <w:pPr>
                                <w:jc w:val="center"/>
                                <w:rPr>
                                  <w:rFonts w:ascii="Times New Roman"/>
                                  <w:sz w:val="18"/>
                                  <w:szCs w:val="18"/>
                                </w:rPr>
                              </w:pPr>
                              <w:r>
                                <w:rPr>
                                  <w:rFonts w:hint="eastAsia" w:ascii="Times New Roman"/>
                                  <w:sz w:val="18"/>
                                  <w:szCs w:val="18"/>
                                </w:rPr>
                                <w:t>60%烘干、强冷</w:t>
                              </w:r>
                            </w:p>
                            <w:p w14:paraId="4B648839">
                              <w:pPr>
                                <w:jc w:val="center"/>
                              </w:pPr>
                              <w:r>
                                <w:rPr>
                                  <w:rFonts w:hint="eastAsia" w:ascii="Times New Roman"/>
                                  <w:sz w:val="18"/>
                                  <w:szCs w:val="18"/>
                                </w:rPr>
                                <w:t>挥发3.468</w:t>
                              </w:r>
                            </w:p>
                          </w:txbxContent>
                        </wps:txbx>
                        <wps:bodyPr upright="1"/>
                      </wps:wsp>
                      <wps:wsp>
                        <wps:cNvPr id="229" name="文本框 229"/>
                        <wps:cNvSpPr txBox="1"/>
                        <wps:spPr>
                          <a:xfrm>
                            <a:off x="8599" y="1293635"/>
                            <a:ext cx="2099" cy="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2CDD20">
                              <w:pPr>
                                <w:jc w:val="center"/>
                                <w:rPr>
                                  <w:rFonts w:ascii="Times New Roman"/>
                                  <w:sz w:val="18"/>
                                  <w:szCs w:val="18"/>
                                </w:rPr>
                              </w:pPr>
                              <w:r>
                                <w:rPr>
                                  <w:rFonts w:hint="eastAsia" w:ascii="Times New Roman"/>
                                  <w:kern w:val="0"/>
                                  <w:sz w:val="18"/>
                                  <w:szCs w:val="18"/>
                                </w:rPr>
                                <w:t>沸石轮转吸附+RTO焚烧装置</w:t>
                              </w:r>
                              <w:r>
                                <w:rPr>
                                  <w:rFonts w:hint="eastAsia" w:ascii="Times New Roman"/>
                                  <w:sz w:val="18"/>
                                  <w:szCs w:val="18"/>
                                </w:rPr>
                                <w:t>5.217</w:t>
                              </w:r>
                            </w:p>
                          </w:txbxContent>
                        </wps:txbx>
                        <wps:bodyPr upright="1"/>
                      </wps:wsp>
                      <wps:wsp>
                        <wps:cNvPr id="239" name="文本框 239"/>
                        <wps:cNvSpPr txBox="1"/>
                        <wps:spPr>
                          <a:xfrm>
                            <a:off x="8659" y="1294942"/>
                            <a:ext cx="2099" cy="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664304">
                              <w:pPr>
                                <w:jc w:val="center"/>
                                <w:rPr>
                                  <w:rFonts w:ascii="Times New Roman"/>
                                  <w:sz w:val="18"/>
                                  <w:szCs w:val="18"/>
                                </w:rPr>
                              </w:pPr>
                              <w:r>
                                <w:rPr>
                                  <w:rFonts w:hint="eastAsia" w:ascii="Times New Roman"/>
                                  <w:sz w:val="18"/>
                                  <w:szCs w:val="18"/>
                                </w:rPr>
                                <w:t>有组织排放0.274</w:t>
                              </w:r>
                            </w:p>
                          </w:txbxContent>
                        </wps:txbx>
                        <wps:bodyPr upright="1"/>
                      </wps:wsp>
                      <wps:wsp>
                        <wps:cNvPr id="245" name="文本框 245"/>
                        <wps:cNvSpPr txBox="1"/>
                        <wps:spPr>
                          <a:xfrm>
                            <a:off x="8629" y="1296174"/>
                            <a:ext cx="2099" cy="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B61160">
                              <w:pPr>
                                <w:jc w:val="center"/>
                                <w:rPr>
                                  <w:rFonts w:ascii="Times New Roman"/>
                                  <w:sz w:val="24"/>
                                  <w:szCs w:val="20"/>
                                </w:rPr>
                              </w:pPr>
                              <w:r>
                                <w:rPr>
                                  <w:rFonts w:hint="eastAsia" w:ascii="Times New Roman"/>
                                  <w:sz w:val="18"/>
                                  <w:szCs w:val="18"/>
                                </w:rPr>
                                <w:t>无组织排放0.289</w:t>
                              </w:r>
                            </w:p>
                          </w:txbxContent>
                        </wps:txbx>
                        <wps:bodyPr upright="1"/>
                      </wps:wsp>
                      <wps:wsp>
                        <wps:cNvPr id="237" name="肘形连接符 237"/>
                        <wps:cNvCnPr>
                          <a:stCxn id="232" idx="1"/>
                          <a:endCxn id="243" idx="1"/>
                        </wps:cNvCnPr>
                        <wps:spPr>
                          <a:xfrm rot="10800000" flipH="1" flipV="1">
                            <a:off x="5764" y="1294528"/>
                            <a:ext cx="15" cy="1351"/>
                          </a:xfrm>
                          <a:prstGeom prst="bentConnector3">
                            <a:avLst>
                              <a:gd name="adj1" fmla="val -2500000"/>
                            </a:avLst>
                          </a:prstGeom>
                          <a:ln w="9525" cap="flat" cmpd="sng">
                            <a:solidFill>
                              <a:srgbClr val="000000"/>
                            </a:solidFill>
                            <a:prstDash val="solid"/>
                            <a:miter/>
                            <a:headEnd type="none" w="med" len="med"/>
                            <a:tailEnd type="none" w="med" len="med"/>
                          </a:ln>
                          <a:effectLst/>
                        </wps:spPr>
                        <wps:bodyPr/>
                      </wps:wsp>
                      <wps:wsp>
                        <wps:cNvPr id="241" name="直接连接符 241"/>
                        <wps:cNvCnPr/>
                        <wps:spPr>
                          <a:xfrm flipV="1">
                            <a:off x="4538" y="1295278"/>
                            <a:ext cx="881" cy="6"/>
                          </a:xfrm>
                          <a:prstGeom prst="line">
                            <a:avLst/>
                          </a:prstGeom>
                          <a:ln w="9525" cap="flat" cmpd="sng">
                            <a:solidFill>
                              <a:srgbClr val="000000"/>
                            </a:solidFill>
                            <a:prstDash val="solid"/>
                            <a:headEnd type="none" w="med" len="med"/>
                            <a:tailEnd type="triangle" w="med" len="med"/>
                          </a:ln>
                          <a:effectLst/>
                        </wps:spPr>
                        <wps:bodyPr upright="1"/>
                      </wps:wsp>
                      <wps:wsp>
                        <wps:cNvPr id="231" name="肘形连接符 231"/>
                        <wps:cNvCnPr>
                          <a:stCxn id="229" idx="1"/>
                          <a:endCxn id="245" idx="1"/>
                        </wps:cNvCnPr>
                        <wps:spPr>
                          <a:xfrm rot="10800000" flipH="1" flipV="1">
                            <a:off x="8599" y="1294065"/>
                            <a:ext cx="30" cy="2349"/>
                          </a:xfrm>
                          <a:prstGeom prst="bentConnector3">
                            <a:avLst>
                              <a:gd name="adj1" fmla="val -1250000"/>
                            </a:avLst>
                          </a:prstGeom>
                          <a:ln w="9525" cap="flat" cmpd="sng">
                            <a:solidFill>
                              <a:srgbClr val="000000"/>
                            </a:solidFill>
                            <a:prstDash val="solid"/>
                            <a:miter/>
                            <a:headEnd type="none" w="med" len="med"/>
                            <a:tailEnd type="none" w="med" len="med"/>
                          </a:ln>
                          <a:effectLst/>
                        </wps:spPr>
                        <wps:bodyPr/>
                      </wps:wsp>
                      <wps:wsp>
                        <wps:cNvPr id="236" name="肘形连接符 236"/>
                        <wps:cNvCnPr/>
                        <wps:spPr>
                          <a:xfrm>
                            <a:off x="7354" y="1294543"/>
                            <a:ext cx="5" cy="1351"/>
                          </a:xfrm>
                          <a:prstGeom prst="bentConnector3">
                            <a:avLst>
                              <a:gd name="adj1" fmla="val 7500000"/>
                            </a:avLst>
                          </a:prstGeom>
                          <a:ln w="9525" cap="flat" cmpd="sng">
                            <a:solidFill>
                              <a:srgbClr val="000000"/>
                            </a:solidFill>
                            <a:prstDash val="solid"/>
                            <a:miter/>
                            <a:headEnd type="none" w="med" len="med"/>
                            <a:tailEnd type="none" w="med" len="med"/>
                          </a:ln>
                          <a:effectLst/>
                        </wps:spPr>
                        <wps:bodyPr/>
                      </wps:wsp>
                      <wps:wsp>
                        <wps:cNvPr id="240" name="直接连接符 240"/>
                        <wps:cNvCnPr>
                          <a:endCxn id="239" idx="1"/>
                        </wps:cNvCnPr>
                        <wps:spPr>
                          <a:xfrm flipV="1">
                            <a:off x="7734" y="1295242"/>
                            <a:ext cx="925" cy="11"/>
                          </a:xfrm>
                          <a:prstGeom prst="line">
                            <a:avLst/>
                          </a:prstGeom>
                          <a:ln w="9525" cap="flat" cmpd="sng">
                            <a:solidFill>
                              <a:srgbClr val="000000"/>
                            </a:solidFill>
                            <a:prstDash val="solid"/>
                            <a:headEnd type="none" w="med" len="med"/>
                            <a:tailEnd type="triangle" w="med" len="med"/>
                          </a:ln>
                          <a:effectLst/>
                        </wps:spPr>
                        <wps:bodyPr upright="1"/>
                      </wps:wsp>
                      <wps:wsp>
                        <wps:cNvPr id="235" name="文本框 235"/>
                        <wps:cNvSpPr txBox="1"/>
                        <wps:spPr>
                          <a:xfrm>
                            <a:off x="4653" y="1294745"/>
                            <a:ext cx="1139" cy="449"/>
                          </a:xfrm>
                          <a:prstGeom prst="rect">
                            <a:avLst/>
                          </a:prstGeom>
                          <a:noFill/>
                          <a:ln>
                            <a:noFill/>
                          </a:ln>
                          <a:effectLst/>
                        </wps:spPr>
                        <wps:txbx>
                          <w:txbxContent>
                            <w:p w14:paraId="3A8D12B4">
                              <w:pPr>
                                <w:rPr>
                                  <w:rFonts w:ascii="Times New Roman"/>
                                  <w:sz w:val="18"/>
                                  <w:szCs w:val="18"/>
                                </w:rPr>
                              </w:pPr>
                              <w:r>
                                <w:rPr>
                                  <w:rFonts w:hint="eastAsia" w:ascii="Times New Roman"/>
                                  <w:sz w:val="18"/>
                                  <w:szCs w:val="18"/>
                                </w:rPr>
                                <w:t>5.78</w:t>
                              </w:r>
                            </w:p>
                          </w:txbxContent>
                        </wps:txbx>
                        <wps:bodyPr upright="1"/>
                      </wps:wsp>
                      <wps:wsp>
                        <wps:cNvPr id="234" name="文本框 234"/>
                        <wps:cNvSpPr txBox="1"/>
                        <wps:spPr>
                          <a:xfrm>
                            <a:off x="7653" y="1294804"/>
                            <a:ext cx="1079" cy="390"/>
                          </a:xfrm>
                          <a:prstGeom prst="rect">
                            <a:avLst/>
                          </a:prstGeom>
                          <a:noFill/>
                          <a:ln>
                            <a:noFill/>
                          </a:ln>
                          <a:effectLst/>
                        </wps:spPr>
                        <wps:txbx>
                          <w:txbxContent>
                            <w:p w14:paraId="6EFDFB42">
                              <w:pPr>
                                <w:rPr>
                                  <w:rFonts w:ascii="Times New Roman"/>
                                  <w:sz w:val="18"/>
                                  <w:szCs w:val="18"/>
                                </w:rPr>
                              </w:pPr>
                              <w:r>
                                <w:rPr>
                                  <w:rFonts w:hint="eastAsia" w:ascii="Times New Roman"/>
                                  <w:sz w:val="18"/>
                                  <w:szCs w:val="18"/>
                                </w:rPr>
                                <w:t>5.78</w:t>
                              </w:r>
                            </w:p>
                          </w:txbxContent>
                        </wps:txbx>
                        <wps:bodyPr upright="1"/>
                      </wps:wsp>
                    </wpg:wgp>
                  </a:graphicData>
                </a:graphic>
              </wp:anchor>
            </w:drawing>
          </mc:Choice>
          <mc:Fallback>
            <w:pict>
              <v:group id="组合 125" o:spid="_x0000_s1026" o:spt="203" style="position:absolute;left:0pt;margin-left:1.05pt;margin-top:10.15pt;height:150.95pt;width:432.7pt;z-index:251664384;mso-width-relative:page;mso-height-relative:page;" coordorigin="2104,1293635" coordsize="8654,3019" o:gfxdata="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A/uZZY2QAAAAgB&#10;AAAPAAAAAAAAAAEAIAAAACIAAABkcnMvZG93bnJldi54bWxQSwECFAAUAAAACACHTuJAkX3d1+MF&#10;AADLJQAADgAAAAAAAAABACAAAAAoAQAAZHJzL2Uyb0RvYy54bWxQSwUGAAAAAAYABgBZAQAAfQkA&#10;AAAA&#10;">
                <o:lock v:ext="edit" aspectratio="f"/>
                <v:shape id="_x0000_s1026" o:spid="_x0000_s1026" o:spt="202" type="#_x0000_t202" style="position:absolute;left:2104;top:1293955;height:540;width:2099;" fillcolor="#FFFFFF" filled="t" stroked="t" coordsize="21600,21600"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AB48B2B">
                        <w:pPr>
                          <w:jc w:val="center"/>
                        </w:pPr>
                        <w:r>
                          <w:rPr>
                            <w:rFonts w:hint="eastAsia" w:ascii="Times New Roman"/>
                            <w:sz w:val="18"/>
                            <w:szCs w:val="18"/>
                          </w:rPr>
                          <w:t>乳液中VOCs  0.34</w:t>
                        </w:r>
                      </w:p>
                    </w:txbxContent>
                  </v:textbox>
                </v:shape>
                <v:shape id="_x0000_s1026" o:spid="_x0000_s1026" o:spt="202" type="#_x0000_t202" style="position:absolute;left:2133;top:1295960;height:540;width:2099;" fillcolor="#FFFFFF" filled="t" stroked="t" coordsize="21600,21600" o:gfxdata="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3v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9E8B2E">
                        <w:pPr>
                          <w:jc w:val="center"/>
                          <w:rPr>
                            <w:rFonts w:ascii="Times New Roman"/>
                            <w:sz w:val="18"/>
                            <w:szCs w:val="18"/>
                          </w:rPr>
                        </w:pPr>
                        <w:r>
                          <w:rPr>
                            <w:rFonts w:hint="eastAsia" w:ascii="Times New Roman"/>
                            <w:sz w:val="18"/>
                            <w:szCs w:val="18"/>
                          </w:rPr>
                          <w:t>灰浆中VOCs  5.44</w:t>
                        </w:r>
                      </w:p>
                    </w:txbxContent>
                  </v:textbox>
                </v:shape>
                <v:shape id="_x0000_s1026" o:spid="_x0000_s1026" o:spt="34" type="#_x0000_t34" style="position:absolute;left:4203;top:1294225;height:2005;width:29;" filled="f" stroked="t" coordsize="21600,21600" o:gfxdata="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6e1L4A&#10;AADcAAAADwAAAAAAAAABACAAAAAiAAAAZHJzL2Rvd25yZXYueG1sUEsBAhQAFAAAAAgAh07iQDMv&#10;BZ47AAAAOQAAABAAAAAAAAAAAQAgAAAADQEAAGRycy9zaGFwZXhtbC54bWxQSwUGAAAAAAYABgBb&#10;AQAAtwMAAAAA&#10;" adj="251007">
                  <v:fill on="f" focussize="0,0"/>
                  <v:stroke color="#000000" joinstyle="round"/>
                  <v:imagedata o:title=""/>
                  <o:lock v:ext="edit" aspectratio="f"/>
                </v:shape>
                <v:shape id="_x0000_s1026" o:spid="_x0000_s1026" o:spt="202" type="#_x0000_t202" style="position:absolute;left:5764;top:1294138;height:780;width:1581;" fillcolor="#FFFFFF" filled="t" stroked="t" coordsize="21600,21600" o:gfxdata="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Zq4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B36B5D">
                        <w:pPr>
                          <w:jc w:val="center"/>
                          <w:rPr>
                            <w:rFonts w:ascii="Times New Roman"/>
                            <w:sz w:val="18"/>
                            <w:szCs w:val="18"/>
                          </w:rPr>
                        </w:pPr>
                        <w:r>
                          <w:rPr>
                            <w:rFonts w:hint="eastAsia" w:ascii="Times New Roman"/>
                            <w:sz w:val="18"/>
                            <w:szCs w:val="18"/>
                          </w:rPr>
                          <w:t>40%调漆、电泳</w:t>
                        </w:r>
                      </w:p>
                      <w:p w14:paraId="1E517B74">
                        <w:pPr>
                          <w:jc w:val="center"/>
                        </w:pPr>
                        <w:r>
                          <w:rPr>
                            <w:rFonts w:hint="eastAsia" w:ascii="Times New Roman"/>
                            <w:sz w:val="18"/>
                            <w:szCs w:val="18"/>
                          </w:rPr>
                          <w:t>挥</w:t>
                        </w:r>
                        <w:r>
                          <w:rPr>
                            <w:rFonts w:ascii="Times New Roman"/>
                            <w:sz w:val="18"/>
                            <w:szCs w:val="18"/>
                          </w:rPr>
                          <w:t>发</w:t>
                        </w:r>
                        <w:r>
                          <w:rPr>
                            <w:rFonts w:hint="eastAsia" w:ascii="Times New Roman"/>
                            <w:sz w:val="18"/>
                            <w:szCs w:val="18"/>
                          </w:rPr>
                          <w:t>2.312</w:t>
                        </w:r>
                      </w:p>
                    </w:txbxContent>
                  </v:textbox>
                </v:shape>
                <v:shape id="_x0000_s1026" o:spid="_x0000_s1026" o:spt="202" type="#_x0000_t202" style="position:absolute;left:5779;top:1295459;height:839;width:1584;" fillcolor="#FFFFFF" filled="t" stroked="t" coordsize="21600,21600" o:gfxdata="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9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69108C6">
                        <w:pPr>
                          <w:jc w:val="center"/>
                          <w:rPr>
                            <w:rFonts w:ascii="Times New Roman"/>
                            <w:sz w:val="18"/>
                            <w:szCs w:val="18"/>
                          </w:rPr>
                        </w:pPr>
                        <w:r>
                          <w:rPr>
                            <w:rFonts w:hint="eastAsia" w:ascii="Times New Roman"/>
                            <w:sz w:val="18"/>
                            <w:szCs w:val="18"/>
                          </w:rPr>
                          <w:t>60%烘干、强冷</w:t>
                        </w:r>
                      </w:p>
                      <w:p w14:paraId="4B648839">
                        <w:pPr>
                          <w:jc w:val="center"/>
                        </w:pPr>
                        <w:r>
                          <w:rPr>
                            <w:rFonts w:hint="eastAsia" w:ascii="Times New Roman"/>
                            <w:sz w:val="18"/>
                            <w:szCs w:val="18"/>
                          </w:rPr>
                          <w:t>挥发3.468</w:t>
                        </w:r>
                      </w:p>
                    </w:txbxContent>
                  </v:textbox>
                </v:shape>
                <v:shape id="_x0000_s1026" o:spid="_x0000_s1026" o:spt="202" type="#_x0000_t202" style="position:absolute;left:8599;top:1293635;height:860;width:2099;" fillcolor="#FFFFFF" filled="t" stroked="t" coordsize="21600,21600" o:gfxdata="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ry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2CDD20">
                        <w:pPr>
                          <w:jc w:val="center"/>
                          <w:rPr>
                            <w:rFonts w:ascii="Times New Roman"/>
                            <w:sz w:val="18"/>
                            <w:szCs w:val="18"/>
                          </w:rPr>
                        </w:pPr>
                        <w:r>
                          <w:rPr>
                            <w:rFonts w:hint="eastAsia" w:ascii="Times New Roman"/>
                            <w:kern w:val="0"/>
                            <w:sz w:val="18"/>
                            <w:szCs w:val="18"/>
                          </w:rPr>
                          <w:t>沸石轮转吸附+RTO焚烧装置</w:t>
                        </w:r>
                        <w:r>
                          <w:rPr>
                            <w:rFonts w:hint="eastAsia" w:ascii="Times New Roman"/>
                            <w:sz w:val="18"/>
                            <w:szCs w:val="18"/>
                          </w:rPr>
                          <w:t>5.217</w:t>
                        </w:r>
                      </w:p>
                    </w:txbxContent>
                  </v:textbox>
                </v:shape>
                <v:shape id="_x0000_s1026" o:spid="_x0000_s1026" o:spt="202" type="#_x0000_t202" style="position:absolute;left:8659;top:1294942;height:600;width:2099;" fillcolor="#FFFFFF" filled="t" stroked="t" coordsize="21600,21600" o:gfxdata="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59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664304">
                        <w:pPr>
                          <w:jc w:val="center"/>
                          <w:rPr>
                            <w:rFonts w:ascii="Times New Roman"/>
                            <w:sz w:val="18"/>
                            <w:szCs w:val="18"/>
                          </w:rPr>
                        </w:pPr>
                        <w:r>
                          <w:rPr>
                            <w:rFonts w:hint="eastAsia" w:ascii="Times New Roman"/>
                            <w:sz w:val="18"/>
                            <w:szCs w:val="18"/>
                          </w:rPr>
                          <w:t>有组织排放0.274</w:t>
                        </w:r>
                      </w:p>
                    </w:txbxContent>
                  </v:textbox>
                </v:shape>
                <v:shape id="_x0000_s1026" o:spid="_x0000_s1026" o:spt="202" type="#_x0000_t202" style="position:absolute;left:8629;top:1296174;height:480;width:2099;" fillcolor="#FFFFFF" filled="t" stroked="t" coordsize="21600,21600" o:gfxdata="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ZA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9B61160">
                        <w:pPr>
                          <w:jc w:val="center"/>
                          <w:rPr>
                            <w:rFonts w:ascii="Times New Roman"/>
                            <w:sz w:val="24"/>
                            <w:szCs w:val="20"/>
                          </w:rPr>
                        </w:pPr>
                        <w:r>
                          <w:rPr>
                            <w:rFonts w:hint="eastAsia" w:ascii="Times New Roman"/>
                            <w:sz w:val="18"/>
                            <w:szCs w:val="18"/>
                          </w:rPr>
                          <w:t>无组织排放0.289</w:t>
                        </w:r>
                      </w:p>
                    </w:txbxContent>
                  </v:textbox>
                </v:shape>
                <v:shape id="_x0000_s1026" o:spid="_x0000_s1026" o:spt="34" type="#_x0000_t34" style="position:absolute;left:5764;top:1294528;flip:x y;height:1351;width:15;rotation:11796480f;" filled="f" stroked="t" coordsize="21600,21600" o:gfxdata="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XLcvQAA&#10;ANwAAAAPAAAAAAAAAAEAIAAAACIAAABkcnMvZG93bnJldi54bWxQSwECFAAUAAAACACHTuJAMy8F&#10;njsAAAA5AAAAEAAAAAAAAAABACAAAAAMAQAAZHJzL3NoYXBleG1sLnhtbFBLBQYAAAAABgAGAFsB&#10;AAC2AwAAAAA=&#10;" adj="-540000">
                  <v:fill on="f" focussize="0,0"/>
                  <v:stroke color="#000000" joinstyle="miter"/>
                  <v:imagedata o:title=""/>
                  <o:lock v:ext="edit" aspectratio="f"/>
                </v:shape>
                <v:line id="_x0000_s1026" o:spid="_x0000_s1026" o:spt="20" style="position:absolute;left:4538;top:1295278;flip:y;height:6;width:881;" filled="f" stroked="t" coordsize="21600,21600" o:gfxdata="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AI8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34" type="#_x0000_t34" style="position:absolute;left:8599;top:1294065;flip:x y;height:2349;width:30;rotation:11796480f;" filled="f" stroked="t" coordsize="21600,21600" o:gfxdata="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F8NvQAA&#10;ANwAAAAPAAAAAAAAAAEAIAAAACIAAABkcnMvZG93bnJldi54bWxQSwECFAAUAAAACACHTuJAMy8F&#10;njsAAAA5AAAAEAAAAAAAAAABACAAAAAMAQAAZHJzL3NoYXBleG1sLnhtbFBLBQYAAAAABgAGAFsB&#10;AAC2AwAAAAA=&#10;" adj="-270000">
                  <v:fill on="f" focussize="0,0"/>
                  <v:stroke color="#000000" joinstyle="miter"/>
                  <v:imagedata o:title=""/>
                  <o:lock v:ext="edit" aspectratio="f"/>
                </v:shape>
                <v:shape id="_x0000_s1026" o:spid="_x0000_s1026" o:spt="34" type="#_x0000_t34" style="position:absolute;left:7354;top:1294543;height:1351;width:5;" filled="f" stroked="t" coordsize="21600,21600" o:gfxdata="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OwLO/&#10;AAAA3AAAAA8AAAAAAAAAAQAgAAAAIgAAAGRycy9kb3ducmV2LnhtbFBLAQIUABQAAAAIAIdO4kAz&#10;LwWeOwAAADkAAAAQAAAAAAAAAAEAIAAAAA4BAABkcnMvc2hhcGV4bWwueG1sUEsFBgAAAAAGAAYA&#10;WwEAALgDAAAAAA==&#10;" adj="1620000">
                  <v:fill on="f" focussize="0,0"/>
                  <v:stroke color="#000000" joinstyle="miter"/>
                  <v:imagedata o:title=""/>
                  <o:lock v:ext="edit" aspectratio="f"/>
                </v:shape>
                <v:line id="_x0000_s1026" o:spid="_x0000_s1026" o:spt="20" style="position:absolute;left:7734;top:1295242;flip:y;height:11;width:925;" filled="f" stroked="t" coordsize="21600,2160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653;top:1294745;height:449;width:1139;" filled="f" stroked="f" coordsize="21600,21600" o:gfxdata="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wED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A8D12B4">
                        <w:pPr>
                          <w:rPr>
                            <w:rFonts w:ascii="Times New Roman"/>
                            <w:sz w:val="18"/>
                            <w:szCs w:val="18"/>
                          </w:rPr>
                        </w:pPr>
                        <w:r>
                          <w:rPr>
                            <w:rFonts w:hint="eastAsia" w:ascii="Times New Roman"/>
                            <w:sz w:val="18"/>
                            <w:szCs w:val="18"/>
                          </w:rPr>
                          <w:t>5.78</w:t>
                        </w:r>
                      </w:p>
                    </w:txbxContent>
                  </v:textbox>
                </v:shape>
                <v:shape id="_x0000_s1026" o:spid="_x0000_s1026" o:spt="202" type="#_x0000_t202" style="position:absolute;left:7653;top:1294804;height:390;width:1079;" filled="f" stroked="f" coordsize="21600,21600" o:gfxdata="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1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EFDFB42">
                        <w:pPr>
                          <w:rPr>
                            <w:rFonts w:ascii="Times New Roman"/>
                            <w:sz w:val="18"/>
                            <w:szCs w:val="18"/>
                          </w:rPr>
                        </w:pPr>
                        <w:r>
                          <w:rPr>
                            <w:rFonts w:hint="eastAsia" w:ascii="Times New Roman"/>
                            <w:sz w:val="18"/>
                            <w:szCs w:val="18"/>
                          </w:rPr>
                          <w:t>5.78</w:t>
                        </w:r>
                      </w:p>
                    </w:txbxContent>
                  </v:textbox>
                </v:shape>
              </v:group>
            </w:pict>
          </mc:Fallback>
        </mc:AlternateContent>
      </w:r>
    </w:p>
    <w:p w14:paraId="2CDB4D72">
      <w:pPr>
        <w:rPr>
          <w:rFonts w:ascii="Times New Roman"/>
          <w:sz w:val="24"/>
          <w:szCs w:val="20"/>
        </w:rPr>
      </w:pPr>
    </w:p>
    <w:p w14:paraId="3C134FAB">
      <w:pPr>
        <w:rPr>
          <w:rFonts w:ascii="Times New Roman"/>
          <w:sz w:val="24"/>
          <w:szCs w:val="20"/>
        </w:rPr>
      </w:pPr>
    </w:p>
    <w:p w14:paraId="4695F815">
      <w:pPr>
        <w:rPr>
          <w:rFonts w:ascii="Times New Roman"/>
          <w:sz w:val="24"/>
          <w:szCs w:val="20"/>
        </w:rPr>
      </w:pPr>
    </w:p>
    <w:p w14:paraId="03ABD547">
      <w:pPr>
        <w:rPr>
          <w:rFonts w:ascii="Times New Roman"/>
          <w:sz w:val="24"/>
          <w:szCs w:val="20"/>
        </w:rPr>
      </w:pPr>
    </w:p>
    <w:p w14:paraId="4168406D">
      <w:pPr>
        <w:rPr>
          <w:rFonts w:ascii="Times New Roman"/>
          <w:sz w:val="24"/>
          <w:szCs w:val="20"/>
        </w:rPr>
      </w:pPr>
    </w:p>
    <w:p w14:paraId="4E923477">
      <w:pPr>
        <w:rPr>
          <w:rFonts w:ascii="Times New Roman"/>
          <w:sz w:val="24"/>
          <w:szCs w:val="20"/>
        </w:rPr>
      </w:pPr>
    </w:p>
    <w:p w14:paraId="4404585A">
      <w:pPr>
        <w:rPr>
          <w:rFonts w:ascii="Times New Roman"/>
          <w:sz w:val="24"/>
          <w:szCs w:val="20"/>
        </w:rPr>
      </w:pPr>
    </w:p>
    <w:p w14:paraId="4AD7AF06">
      <w:pPr>
        <w:rPr>
          <w:rFonts w:ascii="Times New Roman"/>
          <w:sz w:val="24"/>
          <w:szCs w:val="20"/>
        </w:rPr>
      </w:pPr>
    </w:p>
    <w:p w14:paraId="637651CB">
      <w:pPr>
        <w:rPr>
          <w:rFonts w:ascii="Times New Roman"/>
          <w:sz w:val="24"/>
          <w:szCs w:val="20"/>
        </w:rPr>
      </w:pPr>
    </w:p>
    <w:p w14:paraId="7F448646">
      <w:pPr>
        <w:rPr>
          <w:rFonts w:ascii="Times New Roman"/>
          <w:sz w:val="24"/>
          <w:szCs w:val="20"/>
        </w:rPr>
      </w:pPr>
    </w:p>
    <w:p w14:paraId="36D6B841">
      <w:pPr>
        <w:spacing w:line="440" w:lineRule="exact"/>
        <w:ind w:firstLine="482" w:firstLineChars="200"/>
        <w:jc w:val="center"/>
        <w:rPr>
          <w:rFonts w:ascii="Times New Roman"/>
          <w:b/>
          <w:spacing w:val="6"/>
          <w:sz w:val="24"/>
          <w:szCs w:val="24"/>
        </w:rPr>
      </w:pPr>
      <w:r>
        <w:rPr>
          <w:rFonts w:ascii="Times New Roman"/>
          <w:b/>
          <w:kern w:val="0"/>
          <w:sz w:val="24"/>
          <w:szCs w:val="24"/>
        </w:rPr>
        <w:t>图</w:t>
      </w:r>
      <w:r>
        <w:rPr>
          <w:rFonts w:ascii="Times New Roman"/>
          <w:b/>
          <w:bCs/>
          <w:kern w:val="0"/>
          <w:sz w:val="24"/>
          <w:szCs w:val="24"/>
        </w:rPr>
        <w:t>3.5-3  水性</w:t>
      </w:r>
      <w:r>
        <w:rPr>
          <w:rFonts w:ascii="Times New Roman"/>
          <w:b/>
          <w:kern w:val="0"/>
          <w:sz w:val="24"/>
          <w:szCs w:val="24"/>
        </w:rPr>
        <w:t>漆中VOCs物料平衡图（单位：t/a）</w:t>
      </w:r>
    </w:p>
    <w:p w14:paraId="5A6785D3">
      <w:pPr>
        <w:spacing w:line="440" w:lineRule="exact"/>
        <w:jc w:val="center"/>
        <w:rPr>
          <w:rFonts w:ascii="Times New Roman"/>
          <w:b/>
          <w:bCs/>
          <w:kern w:val="0"/>
          <w:sz w:val="24"/>
        </w:rPr>
      </w:pPr>
      <w:r>
        <w:rPr>
          <w:rFonts w:ascii="Times New Roman"/>
          <w:b/>
          <w:bCs/>
          <w:kern w:val="0"/>
          <w:sz w:val="24"/>
        </w:rPr>
        <w:t>表3.5-5 项目油漆中VOCs物料平衡表</w:t>
      </w:r>
    </w:p>
    <w:tbl>
      <w:tblPr>
        <w:tblStyle w:val="84"/>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8"/>
        <w:gridCol w:w="1002"/>
        <w:gridCol w:w="1000"/>
        <w:gridCol w:w="1141"/>
        <w:gridCol w:w="862"/>
        <w:gridCol w:w="2579"/>
        <w:gridCol w:w="810"/>
      </w:tblGrid>
      <w:tr w14:paraId="3CB7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982" w:type="pct"/>
            <w:gridSpan w:val="5"/>
            <w:tcBorders>
              <w:right w:val="single" w:color="auto" w:sz="4" w:space="0"/>
            </w:tcBorders>
            <w:vAlign w:val="center"/>
          </w:tcPr>
          <w:p w14:paraId="29B4CA4A">
            <w:pPr>
              <w:adjustRightInd w:val="0"/>
              <w:snapToGrid w:val="0"/>
              <w:jc w:val="center"/>
              <w:rPr>
                <w:rFonts w:ascii="Times New Roman"/>
                <w:sz w:val="21"/>
                <w:szCs w:val="21"/>
              </w:rPr>
            </w:pPr>
            <w:r>
              <w:rPr>
                <w:rFonts w:ascii="Times New Roman"/>
                <w:sz w:val="21"/>
                <w:szCs w:val="21"/>
              </w:rPr>
              <w:t>进入（单位：t/a）</w:t>
            </w:r>
          </w:p>
        </w:tc>
        <w:tc>
          <w:tcPr>
            <w:tcW w:w="2017" w:type="pct"/>
            <w:gridSpan w:val="2"/>
            <w:tcBorders>
              <w:left w:val="single" w:color="auto" w:sz="4" w:space="0"/>
            </w:tcBorders>
            <w:vAlign w:val="center"/>
          </w:tcPr>
          <w:p w14:paraId="55D4CFAA">
            <w:pPr>
              <w:adjustRightInd w:val="0"/>
              <w:snapToGrid w:val="0"/>
              <w:jc w:val="center"/>
              <w:rPr>
                <w:rFonts w:ascii="Times New Roman"/>
                <w:sz w:val="21"/>
                <w:szCs w:val="21"/>
              </w:rPr>
            </w:pPr>
            <w:r>
              <w:rPr>
                <w:rFonts w:ascii="Times New Roman"/>
                <w:sz w:val="21"/>
                <w:szCs w:val="21"/>
              </w:rPr>
              <w:t>产出或排出（单位：t/a）</w:t>
            </w:r>
          </w:p>
        </w:tc>
      </w:tr>
      <w:tr w14:paraId="3359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95" w:type="pct"/>
            <w:gridSpan w:val="2"/>
            <w:vAlign w:val="center"/>
          </w:tcPr>
          <w:p w14:paraId="58AC6291">
            <w:pPr>
              <w:adjustRightInd w:val="0"/>
              <w:snapToGrid w:val="0"/>
              <w:jc w:val="center"/>
              <w:rPr>
                <w:rFonts w:ascii="Times New Roman"/>
                <w:sz w:val="21"/>
                <w:szCs w:val="21"/>
              </w:rPr>
            </w:pPr>
            <w:r>
              <w:rPr>
                <w:rFonts w:ascii="Times New Roman"/>
                <w:sz w:val="21"/>
                <w:szCs w:val="21"/>
              </w:rPr>
              <w:t>名称</w:t>
            </w:r>
          </w:p>
        </w:tc>
        <w:tc>
          <w:tcPr>
            <w:tcW w:w="595" w:type="pct"/>
            <w:vAlign w:val="center"/>
          </w:tcPr>
          <w:p w14:paraId="685C3D9E">
            <w:pPr>
              <w:adjustRightInd w:val="0"/>
              <w:snapToGrid w:val="0"/>
              <w:jc w:val="center"/>
              <w:rPr>
                <w:rFonts w:ascii="Times New Roman"/>
                <w:sz w:val="21"/>
                <w:szCs w:val="21"/>
              </w:rPr>
            </w:pPr>
            <w:r>
              <w:rPr>
                <w:rFonts w:ascii="Times New Roman"/>
                <w:sz w:val="21"/>
                <w:szCs w:val="21"/>
              </w:rPr>
              <w:t>年用量</w:t>
            </w:r>
          </w:p>
        </w:tc>
        <w:tc>
          <w:tcPr>
            <w:tcW w:w="679" w:type="pct"/>
            <w:vAlign w:val="center"/>
          </w:tcPr>
          <w:p w14:paraId="0D3E6B58">
            <w:pPr>
              <w:adjustRightInd w:val="0"/>
              <w:snapToGrid w:val="0"/>
              <w:jc w:val="center"/>
              <w:rPr>
                <w:rFonts w:ascii="Times New Roman"/>
                <w:sz w:val="21"/>
                <w:szCs w:val="21"/>
              </w:rPr>
            </w:pPr>
            <w:r>
              <w:rPr>
                <w:rFonts w:ascii="Times New Roman"/>
                <w:sz w:val="21"/>
                <w:szCs w:val="21"/>
              </w:rPr>
              <w:t>VOCs含量，%</w:t>
            </w:r>
          </w:p>
        </w:tc>
        <w:tc>
          <w:tcPr>
            <w:tcW w:w="512" w:type="pct"/>
            <w:vAlign w:val="center"/>
          </w:tcPr>
          <w:p w14:paraId="0EDF8564">
            <w:pPr>
              <w:adjustRightInd w:val="0"/>
              <w:snapToGrid w:val="0"/>
              <w:jc w:val="center"/>
              <w:rPr>
                <w:rFonts w:ascii="Times New Roman"/>
                <w:sz w:val="21"/>
                <w:szCs w:val="21"/>
              </w:rPr>
            </w:pPr>
            <w:r>
              <w:rPr>
                <w:rFonts w:ascii="Times New Roman"/>
                <w:sz w:val="21"/>
                <w:szCs w:val="21"/>
              </w:rPr>
              <w:t>进入量</w:t>
            </w:r>
          </w:p>
        </w:tc>
        <w:tc>
          <w:tcPr>
            <w:tcW w:w="1535" w:type="pct"/>
            <w:tcBorders>
              <w:right w:val="single" w:color="auto" w:sz="2" w:space="0"/>
            </w:tcBorders>
            <w:vAlign w:val="center"/>
          </w:tcPr>
          <w:p w14:paraId="4E9E7441">
            <w:pPr>
              <w:adjustRightInd w:val="0"/>
              <w:snapToGrid w:val="0"/>
              <w:jc w:val="center"/>
              <w:rPr>
                <w:rFonts w:ascii="Times New Roman"/>
                <w:sz w:val="21"/>
                <w:szCs w:val="21"/>
              </w:rPr>
            </w:pPr>
            <w:r>
              <w:rPr>
                <w:rFonts w:ascii="Times New Roman"/>
                <w:sz w:val="21"/>
                <w:szCs w:val="21"/>
              </w:rPr>
              <w:t>名称</w:t>
            </w:r>
          </w:p>
        </w:tc>
        <w:tc>
          <w:tcPr>
            <w:tcW w:w="482" w:type="pct"/>
            <w:tcBorders>
              <w:left w:val="single" w:color="auto" w:sz="2" w:space="0"/>
            </w:tcBorders>
            <w:vAlign w:val="center"/>
          </w:tcPr>
          <w:p w14:paraId="1823F174">
            <w:pPr>
              <w:adjustRightInd w:val="0"/>
              <w:snapToGrid w:val="0"/>
              <w:jc w:val="center"/>
              <w:rPr>
                <w:rFonts w:ascii="Times New Roman"/>
                <w:sz w:val="21"/>
                <w:szCs w:val="21"/>
              </w:rPr>
            </w:pPr>
            <w:r>
              <w:rPr>
                <w:rFonts w:ascii="Times New Roman"/>
                <w:sz w:val="21"/>
                <w:szCs w:val="21"/>
              </w:rPr>
              <w:t>产出或排出量</w:t>
            </w:r>
          </w:p>
        </w:tc>
      </w:tr>
      <w:tr w14:paraId="355D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99" w:type="pct"/>
            <w:vMerge w:val="restart"/>
            <w:vAlign w:val="center"/>
          </w:tcPr>
          <w:p w14:paraId="1FE235A0">
            <w:pPr>
              <w:jc w:val="center"/>
              <w:rPr>
                <w:rFonts w:ascii="Times New Roman"/>
                <w:sz w:val="21"/>
                <w:szCs w:val="21"/>
              </w:rPr>
            </w:pPr>
            <w:r>
              <w:rPr>
                <w:rFonts w:ascii="Times New Roman"/>
                <w:kern w:val="0"/>
                <w:sz w:val="21"/>
                <w:szCs w:val="21"/>
              </w:rPr>
              <w:t>底漆</w:t>
            </w:r>
          </w:p>
        </w:tc>
        <w:tc>
          <w:tcPr>
            <w:tcW w:w="595" w:type="pct"/>
            <w:vAlign w:val="center"/>
          </w:tcPr>
          <w:p w14:paraId="66348ECE">
            <w:pPr>
              <w:jc w:val="center"/>
              <w:rPr>
                <w:rFonts w:ascii="Times New Roman"/>
                <w:sz w:val="21"/>
                <w:szCs w:val="21"/>
              </w:rPr>
            </w:pPr>
            <w:r>
              <w:rPr>
                <w:rFonts w:ascii="Times New Roman"/>
                <w:sz w:val="21"/>
                <w:szCs w:val="21"/>
              </w:rPr>
              <w:t>底漆</w:t>
            </w:r>
          </w:p>
        </w:tc>
        <w:tc>
          <w:tcPr>
            <w:tcW w:w="595" w:type="pct"/>
            <w:vAlign w:val="center"/>
          </w:tcPr>
          <w:p w14:paraId="305B9B64">
            <w:pPr>
              <w:widowControl/>
              <w:jc w:val="center"/>
              <w:rPr>
                <w:rFonts w:ascii="Times New Roman"/>
                <w:kern w:val="0"/>
                <w:sz w:val="21"/>
                <w:szCs w:val="21"/>
              </w:rPr>
            </w:pPr>
            <w:r>
              <w:rPr>
                <w:rFonts w:hint="eastAsia" w:ascii="Times New Roman"/>
                <w:kern w:val="0"/>
                <w:sz w:val="21"/>
                <w:szCs w:val="21"/>
              </w:rPr>
              <w:t>89</w:t>
            </w:r>
          </w:p>
        </w:tc>
        <w:tc>
          <w:tcPr>
            <w:tcW w:w="679" w:type="pct"/>
            <w:vAlign w:val="center"/>
          </w:tcPr>
          <w:p w14:paraId="55E9F5BF">
            <w:pPr>
              <w:widowControl/>
              <w:jc w:val="center"/>
              <w:rPr>
                <w:rFonts w:ascii="Times New Roman"/>
                <w:kern w:val="0"/>
                <w:sz w:val="21"/>
                <w:szCs w:val="21"/>
              </w:rPr>
            </w:pPr>
            <w:r>
              <w:rPr>
                <w:rFonts w:ascii="Times New Roman"/>
                <w:kern w:val="0"/>
                <w:sz w:val="21"/>
                <w:szCs w:val="21"/>
              </w:rPr>
              <w:t>10</w:t>
            </w:r>
          </w:p>
        </w:tc>
        <w:tc>
          <w:tcPr>
            <w:tcW w:w="512" w:type="pct"/>
            <w:vAlign w:val="center"/>
          </w:tcPr>
          <w:p w14:paraId="567285D5">
            <w:pPr>
              <w:jc w:val="center"/>
              <w:rPr>
                <w:rFonts w:ascii="Times New Roman"/>
                <w:sz w:val="21"/>
                <w:szCs w:val="21"/>
              </w:rPr>
            </w:pPr>
            <w:r>
              <w:rPr>
                <w:rFonts w:hint="eastAsia" w:ascii="Times New Roman"/>
                <w:sz w:val="21"/>
                <w:szCs w:val="21"/>
              </w:rPr>
              <w:t>8.9</w:t>
            </w:r>
          </w:p>
        </w:tc>
        <w:tc>
          <w:tcPr>
            <w:tcW w:w="1535" w:type="pct"/>
            <w:tcBorders>
              <w:right w:val="single" w:color="auto" w:sz="2" w:space="0"/>
            </w:tcBorders>
            <w:vAlign w:val="center"/>
          </w:tcPr>
          <w:p w14:paraId="02E2EF9D">
            <w:pPr>
              <w:adjustRightInd w:val="0"/>
              <w:snapToGrid w:val="0"/>
              <w:jc w:val="center"/>
              <w:rPr>
                <w:rFonts w:ascii="Times New Roman"/>
                <w:sz w:val="21"/>
                <w:szCs w:val="21"/>
              </w:rPr>
            </w:pPr>
            <w:r>
              <w:rPr>
                <w:rFonts w:ascii="Times New Roman"/>
                <w:kern w:val="0"/>
                <w:sz w:val="21"/>
                <w:szCs w:val="21"/>
              </w:rPr>
              <w:t>沸石轮转吸附+RTO焚烧装置</w:t>
            </w:r>
            <w:r>
              <w:rPr>
                <w:rFonts w:ascii="Times New Roman"/>
                <w:sz w:val="21"/>
                <w:szCs w:val="21"/>
              </w:rPr>
              <w:t>净化VOCs</w:t>
            </w:r>
          </w:p>
        </w:tc>
        <w:tc>
          <w:tcPr>
            <w:tcW w:w="482" w:type="pct"/>
            <w:tcBorders>
              <w:left w:val="single" w:color="auto" w:sz="2" w:space="0"/>
            </w:tcBorders>
            <w:vAlign w:val="center"/>
          </w:tcPr>
          <w:p w14:paraId="0B24DEDD">
            <w:pPr>
              <w:jc w:val="center"/>
              <w:rPr>
                <w:rFonts w:ascii="Times New Roman"/>
                <w:sz w:val="21"/>
                <w:szCs w:val="21"/>
              </w:rPr>
            </w:pPr>
            <w:r>
              <w:rPr>
                <w:rFonts w:hint="eastAsia" w:ascii="Times New Roman"/>
                <w:sz w:val="21"/>
                <w:szCs w:val="21"/>
              </w:rPr>
              <w:t>308.997</w:t>
            </w:r>
          </w:p>
        </w:tc>
      </w:tr>
      <w:tr w14:paraId="239C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99" w:type="pct"/>
            <w:vMerge w:val="continue"/>
            <w:vAlign w:val="center"/>
          </w:tcPr>
          <w:p w14:paraId="2D2986D7">
            <w:pPr>
              <w:jc w:val="center"/>
              <w:rPr>
                <w:rFonts w:ascii="Times New Roman"/>
                <w:kern w:val="0"/>
                <w:sz w:val="21"/>
                <w:szCs w:val="21"/>
              </w:rPr>
            </w:pPr>
          </w:p>
        </w:tc>
        <w:tc>
          <w:tcPr>
            <w:tcW w:w="595" w:type="pct"/>
            <w:vAlign w:val="center"/>
          </w:tcPr>
          <w:p w14:paraId="7B1E2684">
            <w:pPr>
              <w:jc w:val="center"/>
              <w:rPr>
                <w:rFonts w:ascii="Times New Roman"/>
                <w:sz w:val="21"/>
                <w:szCs w:val="21"/>
              </w:rPr>
            </w:pPr>
            <w:r>
              <w:rPr>
                <w:rFonts w:ascii="Times New Roman"/>
                <w:sz w:val="21"/>
                <w:szCs w:val="21"/>
              </w:rPr>
              <w:t>稀释剂</w:t>
            </w:r>
          </w:p>
        </w:tc>
        <w:tc>
          <w:tcPr>
            <w:tcW w:w="595" w:type="pct"/>
            <w:vAlign w:val="center"/>
          </w:tcPr>
          <w:p w14:paraId="10DCC6E3">
            <w:pPr>
              <w:widowControl/>
              <w:jc w:val="center"/>
              <w:rPr>
                <w:rFonts w:ascii="Times New Roman"/>
                <w:kern w:val="0"/>
                <w:sz w:val="21"/>
                <w:szCs w:val="21"/>
              </w:rPr>
            </w:pPr>
            <w:r>
              <w:rPr>
                <w:rFonts w:hint="eastAsia" w:ascii="Times New Roman"/>
                <w:kern w:val="0"/>
                <w:sz w:val="21"/>
                <w:szCs w:val="21"/>
              </w:rPr>
              <w:t>28.5</w:t>
            </w:r>
          </w:p>
        </w:tc>
        <w:tc>
          <w:tcPr>
            <w:tcW w:w="679" w:type="pct"/>
            <w:vAlign w:val="center"/>
          </w:tcPr>
          <w:p w14:paraId="34482D3C">
            <w:pPr>
              <w:widowControl/>
              <w:jc w:val="center"/>
              <w:rPr>
                <w:rFonts w:ascii="Times New Roman"/>
                <w:sz w:val="21"/>
                <w:szCs w:val="21"/>
              </w:rPr>
            </w:pPr>
            <w:r>
              <w:rPr>
                <w:rFonts w:ascii="Times New Roman"/>
                <w:sz w:val="21"/>
                <w:szCs w:val="21"/>
              </w:rPr>
              <w:t>100</w:t>
            </w:r>
          </w:p>
        </w:tc>
        <w:tc>
          <w:tcPr>
            <w:tcW w:w="512" w:type="pct"/>
            <w:vAlign w:val="center"/>
          </w:tcPr>
          <w:p w14:paraId="2D3F8178">
            <w:pPr>
              <w:jc w:val="center"/>
              <w:rPr>
                <w:rFonts w:ascii="Times New Roman"/>
                <w:sz w:val="21"/>
                <w:szCs w:val="21"/>
              </w:rPr>
            </w:pPr>
            <w:r>
              <w:rPr>
                <w:rFonts w:hint="eastAsia" w:ascii="Times New Roman"/>
                <w:sz w:val="21"/>
                <w:szCs w:val="21"/>
              </w:rPr>
              <w:t>28.5</w:t>
            </w:r>
          </w:p>
        </w:tc>
        <w:tc>
          <w:tcPr>
            <w:tcW w:w="1535" w:type="pct"/>
            <w:tcBorders>
              <w:right w:val="single" w:color="auto" w:sz="2" w:space="0"/>
            </w:tcBorders>
            <w:vAlign w:val="center"/>
          </w:tcPr>
          <w:p w14:paraId="26E9659B">
            <w:pPr>
              <w:adjustRightInd w:val="0"/>
              <w:snapToGrid w:val="0"/>
              <w:jc w:val="center"/>
              <w:rPr>
                <w:rFonts w:ascii="Times New Roman"/>
                <w:sz w:val="21"/>
                <w:szCs w:val="21"/>
              </w:rPr>
            </w:pPr>
            <w:r>
              <w:rPr>
                <w:rFonts w:ascii="Times New Roman"/>
                <w:sz w:val="21"/>
                <w:szCs w:val="21"/>
              </w:rPr>
              <w:t>有组织排放VOCs</w:t>
            </w:r>
          </w:p>
        </w:tc>
        <w:tc>
          <w:tcPr>
            <w:tcW w:w="482" w:type="pct"/>
            <w:tcBorders>
              <w:left w:val="single" w:color="auto" w:sz="2" w:space="0"/>
            </w:tcBorders>
            <w:vAlign w:val="center"/>
          </w:tcPr>
          <w:p w14:paraId="66D00FFF">
            <w:pPr>
              <w:jc w:val="center"/>
              <w:rPr>
                <w:rFonts w:ascii="Times New Roman"/>
                <w:sz w:val="21"/>
                <w:szCs w:val="21"/>
              </w:rPr>
            </w:pPr>
            <w:r>
              <w:rPr>
                <w:rFonts w:hint="eastAsia" w:ascii="Times New Roman"/>
                <w:sz w:val="21"/>
                <w:szCs w:val="21"/>
              </w:rPr>
              <w:t>16.264</w:t>
            </w:r>
          </w:p>
        </w:tc>
      </w:tr>
      <w:tr w14:paraId="2DCE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99" w:type="pct"/>
            <w:vMerge w:val="restart"/>
            <w:vAlign w:val="center"/>
          </w:tcPr>
          <w:p w14:paraId="688F9C49">
            <w:pPr>
              <w:jc w:val="center"/>
              <w:rPr>
                <w:rFonts w:ascii="Times New Roman"/>
                <w:sz w:val="21"/>
                <w:szCs w:val="21"/>
              </w:rPr>
            </w:pPr>
            <w:r>
              <w:rPr>
                <w:rFonts w:ascii="Times New Roman"/>
                <w:sz w:val="21"/>
                <w:szCs w:val="21"/>
              </w:rPr>
              <w:t>中间漆</w:t>
            </w:r>
          </w:p>
        </w:tc>
        <w:tc>
          <w:tcPr>
            <w:tcW w:w="595" w:type="pct"/>
            <w:vAlign w:val="center"/>
          </w:tcPr>
          <w:p w14:paraId="0C013A21">
            <w:pPr>
              <w:jc w:val="center"/>
              <w:rPr>
                <w:rFonts w:ascii="Times New Roman"/>
                <w:sz w:val="21"/>
                <w:szCs w:val="21"/>
              </w:rPr>
            </w:pPr>
            <w:r>
              <w:rPr>
                <w:rFonts w:ascii="Times New Roman"/>
                <w:sz w:val="21"/>
                <w:szCs w:val="21"/>
              </w:rPr>
              <w:t>中漆</w:t>
            </w:r>
          </w:p>
        </w:tc>
        <w:tc>
          <w:tcPr>
            <w:tcW w:w="595" w:type="pct"/>
            <w:vAlign w:val="center"/>
          </w:tcPr>
          <w:p w14:paraId="15843EC8">
            <w:pPr>
              <w:widowControl/>
              <w:jc w:val="center"/>
              <w:rPr>
                <w:rFonts w:ascii="Times New Roman"/>
                <w:kern w:val="0"/>
                <w:sz w:val="21"/>
                <w:szCs w:val="21"/>
              </w:rPr>
            </w:pPr>
            <w:r>
              <w:rPr>
                <w:rFonts w:hint="eastAsia" w:ascii="Times New Roman"/>
                <w:kern w:val="0"/>
                <w:sz w:val="21"/>
                <w:szCs w:val="21"/>
              </w:rPr>
              <w:t>332</w:t>
            </w:r>
          </w:p>
        </w:tc>
        <w:tc>
          <w:tcPr>
            <w:tcW w:w="679" w:type="pct"/>
            <w:vAlign w:val="center"/>
          </w:tcPr>
          <w:p w14:paraId="1A59CA3E">
            <w:pPr>
              <w:widowControl/>
              <w:jc w:val="center"/>
              <w:rPr>
                <w:rFonts w:ascii="Times New Roman"/>
                <w:sz w:val="21"/>
                <w:szCs w:val="21"/>
              </w:rPr>
            </w:pPr>
            <w:r>
              <w:rPr>
                <w:rFonts w:ascii="Times New Roman"/>
                <w:sz w:val="21"/>
                <w:szCs w:val="21"/>
              </w:rPr>
              <w:t>10</w:t>
            </w:r>
          </w:p>
        </w:tc>
        <w:tc>
          <w:tcPr>
            <w:tcW w:w="512" w:type="pct"/>
            <w:vAlign w:val="center"/>
          </w:tcPr>
          <w:p w14:paraId="37F0FFF6">
            <w:pPr>
              <w:jc w:val="center"/>
              <w:rPr>
                <w:rFonts w:ascii="Times New Roman"/>
                <w:sz w:val="21"/>
                <w:szCs w:val="21"/>
              </w:rPr>
            </w:pPr>
            <w:r>
              <w:rPr>
                <w:rFonts w:hint="eastAsia" w:ascii="Times New Roman"/>
                <w:sz w:val="21"/>
                <w:szCs w:val="21"/>
              </w:rPr>
              <w:t>33.2</w:t>
            </w:r>
          </w:p>
        </w:tc>
        <w:tc>
          <w:tcPr>
            <w:tcW w:w="1535" w:type="pct"/>
            <w:tcBorders>
              <w:right w:val="single" w:color="auto" w:sz="2" w:space="0"/>
            </w:tcBorders>
            <w:vAlign w:val="center"/>
          </w:tcPr>
          <w:p w14:paraId="35566684">
            <w:pPr>
              <w:adjustRightInd w:val="0"/>
              <w:snapToGrid w:val="0"/>
              <w:jc w:val="center"/>
              <w:rPr>
                <w:rFonts w:ascii="Times New Roman"/>
                <w:sz w:val="21"/>
                <w:szCs w:val="21"/>
              </w:rPr>
            </w:pPr>
            <w:r>
              <w:rPr>
                <w:rFonts w:ascii="Times New Roman"/>
                <w:sz w:val="21"/>
                <w:szCs w:val="21"/>
              </w:rPr>
              <w:t>无组织排放VOCs</w:t>
            </w:r>
          </w:p>
        </w:tc>
        <w:tc>
          <w:tcPr>
            <w:tcW w:w="482" w:type="pct"/>
            <w:tcBorders>
              <w:left w:val="single" w:color="auto" w:sz="2" w:space="0"/>
            </w:tcBorders>
            <w:vAlign w:val="center"/>
          </w:tcPr>
          <w:p w14:paraId="6E8BE089">
            <w:pPr>
              <w:jc w:val="center"/>
              <w:rPr>
                <w:rFonts w:ascii="Times New Roman"/>
                <w:sz w:val="21"/>
                <w:szCs w:val="21"/>
              </w:rPr>
            </w:pPr>
            <w:r>
              <w:rPr>
                <w:rFonts w:hint="eastAsia" w:ascii="Times New Roman"/>
                <w:sz w:val="21"/>
                <w:szCs w:val="21"/>
              </w:rPr>
              <w:t>17.119</w:t>
            </w:r>
          </w:p>
        </w:tc>
      </w:tr>
      <w:tr w14:paraId="4D5A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99" w:type="pct"/>
            <w:vMerge w:val="continue"/>
            <w:vAlign w:val="center"/>
          </w:tcPr>
          <w:p w14:paraId="545B1802">
            <w:pPr>
              <w:jc w:val="center"/>
              <w:rPr>
                <w:rFonts w:ascii="Times New Roman"/>
                <w:sz w:val="21"/>
                <w:szCs w:val="21"/>
              </w:rPr>
            </w:pPr>
          </w:p>
        </w:tc>
        <w:tc>
          <w:tcPr>
            <w:tcW w:w="595" w:type="pct"/>
            <w:vAlign w:val="center"/>
          </w:tcPr>
          <w:p w14:paraId="4B399660">
            <w:pPr>
              <w:jc w:val="center"/>
              <w:rPr>
                <w:rFonts w:ascii="Times New Roman"/>
                <w:sz w:val="21"/>
                <w:szCs w:val="21"/>
              </w:rPr>
            </w:pPr>
            <w:r>
              <w:rPr>
                <w:rFonts w:ascii="Times New Roman"/>
                <w:sz w:val="21"/>
                <w:szCs w:val="21"/>
              </w:rPr>
              <w:t>稀释剂</w:t>
            </w:r>
          </w:p>
        </w:tc>
        <w:tc>
          <w:tcPr>
            <w:tcW w:w="595" w:type="pct"/>
            <w:vAlign w:val="center"/>
          </w:tcPr>
          <w:p w14:paraId="51B74510">
            <w:pPr>
              <w:widowControl/>
              <w:jc w:val="center"/>
              <w:rPr>
                <w:rFonts w:ascii="Times New Roman"/>
                <w:kern w:val="0"/>
                <w:sz w:val="21"/>
                <w:szCs w:val="21"/>
              </w:rPr>
            </w:pPr>
            <w:r>
              <w:rPr>
                <w:rFonts w:hint="eastAsia" w:ascii="Times New Roman"/>
                <w:kern w:val="0"/>
                <w:sz w:val="21"/>
                <w:szCs w:val="21"/>
              </w:rPr>
              <w:t>106.5</w:t>
            </w:r>
          </w:p>
        </w:tc>
        <w:tc>
          <w:tcPr>
            <w:tcW w:w="679" w:type="pct"/>
            <w:vAlign w:val="center"/>
          </w:tcPr>
          <w:p w14:paraId="52CA60C0">
            <w:pPr>
              <w:jc w:val="center"/>
              <w:rPr>
                <w:rFonts w:ascii="Times New Roman"/>
                <w:sz w:val="21"/>
                <w:szCs w:val="21"/>
              </w:rPr>
            </w:pPr>
            <w:r>
              <w:rPr>
                <w:rFonts w:ascii="Times New Roman"/>
                <w:sz w:val="21"/>
                <w:szCs w:val="21"/>
              </w:rPr>
              <w:t>100</w:t>
            </w:r>
          </w:p>
        </w:tc>
        <w:tc>
          <w:tcPr>
            <w:tcW w:w="512" w:type="pct"/>
            <w:vAlign w:val="center"/>
          </w:tcPr>
          <w:p w14:paraId="79465FD3">
            <w:pPr>
              <w:jc w:val="center"/>
              <w:rPr>
                <w:rFonts w:ascii="Times New Roman"/>
                <w:sz w:val="21"/>
                <w:szCs w:val="21"/>
              </w:rPr>
            </w:pPr>
            <w:r>
              <w:rPr>
                <w:rFonts w:hint="eastAsia" w:ascii="Times New Roman"/>
                <w:sz w:val="21"/>
                <w:szCs w:val="21"/>
              </w:rPr>
              <w:t>106.5</w:t>
            </w:r>
          </w:p>
        </w:tc>
        <w:tc>
          <w:tcPr>
            <w:tcW w:w="1535" w:type="pct"/>
            <w:tcBorders>
              <w:right w:val="single" w:color="auto" w:sz="2" w:space="0"/>
            </w:tcBorders>
            <w:vAlign w:val="center"/>
          </w:tcPr>
          <w:p w14:paraId="6AAC2116">
            <w:pPr>
              <w:adjustRightInd w:val="0"/>
              <w:snapToGrid w:val="0"/>
              <w:jc w:val="center"/>
              <w:rPr>
                <w:rFonts w:ascii="Times New Roman"/>
                <w:sz w:val="21"/>
                <w:szCs w:val="21"/>
              </w:rPr>
            </w:pPr>
            <w:r>
              <w:rPr>
                <w:rFonts w:ascii="Times New Roman"/>
                <w:sz w:val="21"/>
                <w:szCs w:val="21"/>
              </w:rPr>
              <w:t>--</w:t>
            </w:r>
          </w:p>
        </w:tc>
        <w:tc>
          <w:tcPr>
            <w:tcW w:w="482" w:type="pct"/>
            <w:tcBorders>
              <w:left w:val="single" w:color="auto" w:sz="2" w:space="0"/>
            </w:tcBorders>
            <w:vAlign w:val="center"/>
          </w:tcPr>
          <w:p w14:paraId="78AB633C">
            <w:pPr>
              <w:jc w:val="center"/>
              <w:rPr>
                <w:rFonts w:ascii="Times New Roman"/>
                <w:sz w:val="21"/>
                <w:szCs w:val="21"/>
              </w:rPr>
            </w:pPr>
            <w:r>
              <w:rPr>
                <w:rFonts w:ascii="Times New Roman"/>
                <w:sz w:val="21"/>
                <w:szCs w:val="21"/>
              </w:rPr>
              <w:t>--</w:t>
            </w:r>
          </w:p>
        </w:tc>
      </w:tr>
      <w:tr w14:paraId="673D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99" w:type="pct"/>
            <w:vMerge w:val="restart"/>
            <w:vAlign w:val="center"/>
          </w:tcPr>
          <w:p w14:paraId="0F59CA74">
            <w:pPr>
              <w:jc w:val="center"/>
              <w:rPr>
                <w:rFonts w:ascii="Times New Roman"/>
                <w:sz w:val="21"/>
                <w:szCs w:val="21"/>
              </w:rPr>
            </w:pPr>
            <w:r>
              <w:rPr>
                <w:rFonts w:ascii="Times New Roman"/>
                <w:sz w:val="21"/>
                <w:szCs w:val="21"/>
              </w:rPr>
              <w:t>面漆</w:t>
            </w:r>
          </w:p>
        </w:tc>
        <w:tc>
          <w:tcPr>
            <w:tcW w:w="595" w:type="pct"/>
            <w:vAlign w:val="center"/>
          </w:tcPr>
          <w:p w14:paraId="26C8BBB9">
            <w:pPr>
              <w:jc w:val="center"/>
              <w:rPr>
                <w:rFonts w:ascii="Times New Roman"/>
                <w:sz w:val="21"/>
                <w:szCs w:val="21"/>
              </w:rPr>
            </w:pPr>
            <w:r>
              <w:rPr>
                <w:rFonts w:ascii="Times New Roman"/>
                <w:sz w:val="21"/>
                <w:szCs w:val="21"/>
              </w:rPr>
              <w:t>面漆</w:t>
            </w:r>
          </w:p>
        </w:tc>
        <w:tc>
          <w:tcPr>
            <w:tcW w:w="595" w:type="pct"/>
            <w:vAlign w:val="center"/>
          </w:tcPr>
          <w:p w14:paraId="165F6B6B">
            <w:pPr>
              <w:jc w:val="center"/>
              <w:rPr>
                <w:rFonts w:ascii="Times New Roman"/>
                <w:sz w:val="21"/>
                <w:szCs w:val="21"/>
              </w:rPr>
            </w:pPr>
            <w:r>
              <w:rPr>
                <w:rFonts w:hint="eastAsia" w:ascii="Times New Roman"/>
                <w:sz w:val="21"/>
                <w:szCs w:val="21"/>
              </w:rPr>
              <w:t>319</w:t>
            </w:r>
          </w:p>
        </w:tc>
        <w:tc>
          <w:tcPr>
            <w:tcW w:w="679" w:type="pct"/>
            <w:vAlign w:val="center"/>
          </w:tcPr>
          <w:p w14:paraId="195CB23B">
            <w:pPr>
              <w:jc w:val="center"/>
              <w:rPr>
                <w:rFonts w:ascii="Times New Roman"/>
                <w:sz w:val="21"/>
                <w:szCs w:val="21"/>
              </w:rPr>
            </w:pPr>
            <w:r>
              <w:rPr>
                <w:rFonts w:ascii="Times New Roman"/>
                <w:sz w:val="21"/>
                <w:szCs w:val="21"/>
              </w:rPr>
              <w:t>12</w:t>
            </w:r>
          </w:p>
        </w:tc>
        <w:tc>
          <w:tcPr>
            <w:tcW w:w="512" w:type="pct"/>
            <w:vAlign w:val="center"/>
          </w:tcPr>
          <w:p w14:paraId="4D4095FA">
            <w:pPr>
              <w:jc w:val="center"/>
              <w:rPr>
                <w:rFonts w:ascii="Times New Roman"/>
                <w:sz w:val="21"/>
                <w:szCs w:val="21"/>
              </w:rPr>
            </w:pPr>
            <w:r>
              <w:rPr>
                <w:rFonts w:hint="eastAsia" w:ascii="Times New Roman"/>
                <w:sz w:val="21"/>
                <w:szCs w:val="21"/>
              </w:rPr>
              <w:t>38.28</w:t>
            </w:r>
          </w:p>
        </w:tc>
        <w:tc>
          <w:tcPr>
            <w:tcW w:w="1535" w:type="pct"/>
            <w:tcBorders>
              <w:right w:val="single" w:color="auto" w:sz="2" w:space="0"/>
            </w:tcBorders>
            <w:vAlign w:val="center"/>
          </w:tcPr>
          <w:p w14:paraId="35BE31A0">
            <w:pPr>
              <w:adjustRightInd w:val="0"/>
              <w:snapToGrid w:val="0"/>
              <w:jc w:val="center"/>
              <w:rPr>
                <w:rFonts w:ascii="Times New Roman"/>
                <w:sz w:val="21"/>
                <w:szCs w:val="21"/>
              </w:rPr>
            </w:pPr>
            <w:r>
              <w:rPr>
                <w:rFonts w:ascii="Times New Roman"/>
                <w:sz w:val="21"/>
                <w:szCs w:val="21"/>
              </w:rPr>
              <w:t>--</w:t>
            </w:r>
          </w:p>
        </w:tc>
        <w:tc>
          <w:tcPr>
            <w:tcW w:w="482" w:type="pct"/>
            <w:tcBorders>
              <w:left w:val="single" w:color="auto" w:sz="2" w:space="0"/>
            </w:tcBorders>
            <w:vAlign w:val="center"/>
          </w:tcPr>
          <w:p w14:paraId="473E5C70">
            <w:pPr>
              <w:jc w:val="center"/>
              <w:rPr>
                <w:rFonts w:ascii="Times New Roman"/>
                <w:sz w:val="21"/>
                <w:szCs w:val="21"/>
              </w:rPr>
            </w:pPr>
            <w:r>
              <w:rPr>
                <w:rFonts w:ascii="Times New Roman"/>
                <w:sz w:val="21"/>
                <w:szCs w:val="21"/>
              </w:rPr>
              <w:t>--</w:t>
            </w:r>
          </w:p>
        </w:tc>
      </w:tr>
      <w:tr w14:paraId="68B0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599" w:type="pct"/>
            <w:vMerge w:val="continue"/>
            <w:vAlign w:val="center"/>
          </w:tcPr>
          <w:p w14:paraId="19B7C8DB">
            <w:pPr>
              <w:jc w:val="center"/>
              <w:rPr>
                <w:rFonts w:ascii="Times New Roman"/>
                <w:sz w:val="21"/>
                <w:szCs w:val="21"/>
              </w:rPr>
            </w:pPr>
          </w:p>
        </w:tc>
        <w:tc>
          <w:tcPr>
            <w:tcW w:w="595" w:type="pct"/>
            <w:vAlign w:val="center"/>
          </w:tcPr>
          <w:p w14:paraId="032278F4">
            <w:pPr>
              <w:jc w:val="center"/>
              <w:rPr>
                <w:rFonts w:ascii="Times New Roman"/>
                <w:sz w:val="21"/>
                <w:szCs w:val="21"/>
              </w:rPr>
            </w:pPr>
            <w:r>
              <w:rPr>
                <w:rFonts w:ascii="Times New Roman"/>
                <w:sz w:val="21"/>
                <w:szCs w:val="21"/>
              </w:rPr>
              <w:t>稀释剂</w:t>
            </w:r>
          </w:p>
        </w:tc>
        <w:tc>
          <w:tcPr>
            <w:tcW w:w="595" w:type="pct"/>
            <w:vAlign w:val="center"/>
          </w:tcPr>
          <w:p w14:paraId="60BA04EC">
            <w:pPr>
              <w:jc w:val="center"/>
              <w:rPr>
                <w:rFonts w:ascii="Times New Roman"/>
                <w:sz w:val="21"/>
                <w:szCs w:val="21"/>
              </w:rPr>
            </w:pPr>
            <w:r>
              <w:rPr>
                <w:rFonts w:hint="eastAsia" w:ascii="Times New Roman"/>
                <w:sz w:val="21"/>
                <w:szCs w:val="21"/>
              </w:rPr>
              <w:t>127</w:t>
            </w:r>
          </w:p>
        </w:tc>
        <w:tc>
          <w:tcPr>
            <w:tcW w:w="679" w:type="pct"/>
            <w:vAlign w:val="center"/>
          </w:tcPr>
          <w:p w14:paraId="2286109E">
            <w:pPr>
              <w:jc w:val="center"/>
              <w:rPr>
                <w:rFonts w:ascii="Times New Roman"/>
                <w:sz w:val="21"/>
                <w:szCs w:val="21"/>
              </w:rPr>
            </w:pPr>
            <w:r>
              <w:rPr>
                <w:rFonts w:ascii="Times New Roman"/>
                <w:sz w:val="21"/>
                <w:szCs w:val="21"/>
              </w:rPr>
              <w:t>100</w:t>
            </w:r>
          </w:p>
        </w:tc>
        <w:tc>
          <w:tcPr>
            <w:tcW w:w="512" w:type="pct"/>
            <w:vAlign w:val="center"/>
          </w:tcPr>
          <w:p w14:paraId="0BB99651">
            <w:pPr>
              <w:jc w:val="center"/>
              <w:rPr>
                <w:rFonts w:ascii="Times New Roman"/>
                <w:sz w:val="21"/>
                <w:szCs w:val="21"/>
              </w:rPr>
            </w:pPr>
            <w:r>
              <w:rPr>
                <w:rFonts w:hint="eastAsia" w:ascii="Times New Roman"/>
                <w:sz w:val="21"/>
                <w:szCs w:val="21"/>
              </w:rPr>
              <w:t>127</w:t>
            </w:r>
          </w:p>
        </w:tc>
        <w:tc>
          <w:tcPr>
            <w:tcW w:w="1535" w:type="pct"/>
            <w:tcBorders>
              <w:right w:val="single" w:color="auto" w:sz="2" w:space="0"/>
            </w:tcBorders>
            <w:vAlign w:val="center"/>
          </w:tcPr>
          <w:p w14:paraId="31F8B325">
            <w:pPr>
              <w:adjustRightInd w:val="0"/>
              <w:snapToGrid w:val="0"/>
              <w:jc w:val="center"/>
              <w:rPr>
                <w:rFonts w:ascii="Times New Roman"/>
                <w:sz w:val="21"/>
                <w:szCs w:val="21"/>
              </w:rPr>
            </w:pPr>
            <w:r>
              <w:rPr>
                <w:rFonts w:ascii="Times New Roman"/>
                <w:sz w:val="21"/>
                <w:szCs w:val="21"/>
              </w:rPr>
              <w:t>--</w:t>
            </w:r>
          </w:p>
        </w:tc>
        <w:tc>
          <w:tcPr>
            <w:tcW w:w="482" w:type="pct"/>
            <w:tcBorders>
              <w:left w:val="single" w:color="auto" w:sz="2" w:space="0"/>
            </w:tcBorders>
            <w:vAlign w:val="center"/>
          </w:tcPr>
          <w:p w14:paraId="624C4B9B">
            <w:pPr>
              <w:jc w:val="center"/>
              <w:rPr>
                <w:rFonts w:ascii="Times New Roman"/>
                <w:sz w:val="21"/>
                <w:szCs w:val="21"/>
              </w:rPr>
            </w:pPr>
            <w:r>
              <w:rPr>
                <w:rFonts w:ascii="Times New Roman"/>
                <w:sz w:val="21"/>
                <w:szCs w:val="21"/>
              </w:rPr>
              <w:t>--</w:t>
            </w:r>
          </w:p>
        </w:tc>
      </w:tr>
      <w:tr w14:paraId="0F6C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469" w:type="pct"/>
            <w:gridSpan w:val="4"/>
            <w:vAlign w:val="center"/>
          </w:tcPr>
          <w:p w14:paraId="3421C498">
            <w:pPr>
              <w:jc w:val="center"/>
              <w:rPr>
                <w:rFonts w:ascii="Times New Roman"/>
                <w:sz w:val="21"/>
                <w:szCs w:val="21"/>
              </w:rPr>
            </w:pPr>
            <w:r>
              <w:rPr>
                <w:rFonts w:ascii="Times New Roman"/>
                <w:sz w:val="21"/>
                <w:szCs w:val="21"/>
              </w:rPr>
              <w:t>合计</w:t>
            </w:r>
          </w:p>
        </w:tc>
        <w:tc>
          <w:tcPr>
            <w:tcW w:w="512" w:type="pct"/>
            <w:vAlign w:val="center"/>
          </w:tcPr>
          <w:p w14:paraId="0D46CB89">
            <w:pPr>
              <w:jc w:val="center"/>
              <w:rPr>
                <w:rFonts w:ascii="Times New Roman"/>
                <w:sz w:val="21"/>
                <w:szCs w:val="21"/>
              </w:rPr>
            </w:pPr>
            <w:r>
              <w:rPr>
                <w:rFonts w:hint="eastAsia" w:ascii="Times New Roman"/>
                <w:sz w:val="21"/>
                <w:szCs w:val="21"/>
              </w:rPr>
              <w:t>342.38</w:t>
            </w:r>
          </w:p>
        </w:tc>
        <w:tc>
          <w:tcPr>
            <w:tcW w:w="1535" w:type="pct"/>
            <w:tcBorders>
              <w:right w:val="single" w:color="auto" w:sz="2" w:space="0"/>
            </w:tcBorders>
            <w:vAlign w:val="center"/>
          </w:tcPr>
          <w:p w14:paraId="29913567">
            <w:pPr>
              <w:adjustRightInd w:val="0"/>
              <w:snapToGrid w:val="0"/>
              <w:jc w:val="center"/>
              <w:rPr>
                <w:rFonts w:ascii="Times New Roman"/>
                <w:sz w:val="21"/>
                <w:szCs w:val="21"/>
              </w:rPr>
            </w:pPr>
            <w:r>
              <w:rPr>
                <w:rFonts w:ascii="Times New Roman"/>
                <w:sz w:val="21"/>
                <w:szCs w:val="21"/>
              </w:rPr>
              <w:t>合计</w:t>
            </w:r>
          </w:p>
        </w:tc>
        <w:tc>
          <w:tcPr>
            <w:tcW w:w="482" w:type="pct"/>
            <w:tcBorders>
              <w:left w:val="single" w:color="auto" w:sz="2" w:space="0"/>
            </w:tcBorders>
            <w:vAlign w:val="center"/>
          </w:tcPr>
          <w:p w14:paraId="1311C05E">
            <w:pPr>
              <w:jc w:val="center"/>
              <w:rPr>
                <w:rFonts w:ascii="Times New Roman"/>
                <w:sz w:val="21"/>
                <w:szCs w:val="21"/>
              </w:rPr>
            </w:pPr>
            <w:r>
              <w:rPr>
                <w:rFonts w:ascii="Times New Roman"/>
                <w:sz w:val="21"/>
                <w:szCs w:val="21"/>
              </w:rPr>
              <w:t>342.38</w:t>
            </w:r>
          </w:p>
        </w:tc>
      </w:tr>
    </w:tbl>
    <w:p w14:paraId="34E436CC">
      <w:pPr>
        <w:pStyle w:val="83"/>
        <w:ind w:left="500" w:firstLine="480"/>
        <w:rPr>
          <w:sz w:val="24"/>
        </w:rPr>
      </w:pPr>
    </w:p>
    <w:p w14:paraId="1294F7A1">
      <w:pPr>
        <w:rPr>
          <w:rFonts w:ascii="Times New Roman"/>
          <w:sz w:val="24"/>
          <w:szCs w:val="20"/>
        </w:rPr>
      </w:pPr>
      <w:r>
        <w:rPr>
          <w:rFonts w:ascii="Times New Roman"/>
          <w:sz w:val="24"/>
        </w:rPr>
        <mc:AlternateContent>
          <mc:Choice Requires="wpg">
            <w:drawing>
              <wp:anchor distT="0" distB="0" distL="114300" distR="114300" simplePos="0" relativeHeight="251663360" behindDoc="0" locked="0" layoutInCell="1" allowOverlap="1">
                <wp:simplePos x="0" y="0"/>
                <wp:positionH relativeFrom="column">
                  <wp:posOffset>-24765</wp:posOffset>
                </wp:positionH>
                <wp:positionV relativeFrom="paragraph">
                  <wp:posOffset>141605</wp:posOffset>
                </wp:positionV>
                <wp:extent cx="5514340" cy="4382770"/>
                <wp:effectExtent l="4445" t="4445" r="5715" b="6985"/>
                <wp:wrapNone/>
                <wp:docPr id="65" name="组合 101"/>
                <wp:cNvGraphicFramePr/>
                <a:graphic xmlns:a="http://schemas.openxmlformats.org/drawingml/2006/main">
                  <a:graphicData uri="http://schemas.microsoft.com/office/word/2010/wordprocessingGroup">
                    <wpg:wgp>
                      <wpg:cNvGrpSpPr/>
                      <wpg:grpSpPr>
                        <a:xfrm>
                          <a:off x="0" y="0"/>
                          <a:ext cx="5514340" cy="4382770"/>
                          <a:chOff x="3274" y="1310776"/>
                          <a:chExt cx="8684" cy="6902"/>
                        </a:xfrm>
                        <a:effectLst/>
                      </wpg:grpSpPr>
                      <wps:wsp>
                        <wps:cNvPr id="190" name="文本框 190"/>
                        <wps:cNvSpPr txBox="1"/>
                        <wps:spPr>
                          <a:xfrm>
                            <a:off x="3274" y="1310776"/>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D7F96C">
                              <w:pPr>
                                <w:jc w:val="center"/>
                                <w:rPr>
                                  <w:rFonts w:ascii="Times New Roman"/>
                                  <w:sz w:val="18"/>
                                  <w:szCs w:val="18"/>
                                </w:rPr>
                              </w:pPr>
                              <w:r>
                                <w:rPr>
                                  <w:rFonts w:hint="eastAsia" w:ascii="Times New Roman"/>
                                  <w:sz w:val="18"/>
                                  <w:szCs w:val="18"/>
                                </w:rPr>
                                <w:t>底漆中VOCs  8.9</w:t>
                              </w:r>
                            </w:p>
                          </w:txbxContent>
                        </wps:txbx>
                        <wps:bodyPr upright="1"/>
                      </wps:wsp>
                      <wps:wsp>
                        <wps:cNvPr id="173" name="文本框 173"/>
                        <wps:cNvSpPr txBox="1"/>
                        <wps:spPr>
                          <a:xfrm>
                            <a:off x="3304" y="1311918"/>
                            <a:ext cx="2099" cy="8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A7C714">
                              <w:pPr>
                                <w:jc w:val="center"/>
                                <w:rPr>
                                  <w:rFonts w:ascii="Times New Roman"/>
                                  <w:sz w:val="18"/>
                                  <w:szCs w:val="18"/>
                                </w:rPr>
                              </w:pPr>
                              <w:r>
                                <w:rPr>
                                  <w:rFonts w:hint="eastAsia" w:ascii="Times New Roman"/>
                                  <w:sz w:val="18"/>
                                  <w:szCs w:val="18"/>
                                </w:rPr>
                                <w:t>底漆稀释剂中</w:t>
                              </w:r>
                            </w:p>
                            <w:p w14:paraId="46D70675">
                              <w:pPr>
                                <w:jc w:val="center"/>
                                <w:rPr>
                                  <w:rFonts w:ascii="Times New Roman"/>
                                  <w:sz w:val="18"/>
                                  <w:szCs w:val="18"/>
                                </w:rPr>
                              </w:pPr>
                              <w:r>
                                <w:rPr>
                                  <w:rFonts w:hint="eastAsia" w:ascii="Times New Roman"/>
                                  <w:sz w:val="18"/>
                                  <w:szCs w:val="18"/>
                                </w:rPr>
                                <w:t>VOCs  28.5</w:t>
                              </w:r>
                            </w:p>
                          </w:txbxContent>
                        </wps:txbx>
                        <wps:bodyPr upright="1"/>
                      </wps:wsp>
                      <wps:wsp>
                        <wps:cNvPr id="174" name="文本框 174"/>
                        <wps:cNvSpPr txBox="1"/>
                        <wps:spPr>
                          <a:xfrm>
                            <a:off x="3289" y="1313359"/>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BAEA8B">
                              <w:pPr>
                                <w:jc w:val="center"/>
                                <w:rPr>
                                  <w:rFonts w:ascii="Times New Roman"/>
                                  <w:sz w:val="18"/>
                                  <w:szCs w:val="18"/>
                                </w:rPr>
                              </w:pPr>
                              <w:r>
                                <w:rPr>
                                  <w:rFonts w:hint="eastAsia" w:ascii="Times New Roman"/>
                                  <w:sz w:val="18"/>
                                  <w:szCs w:val="18"/>
                                </w:rPr>
                                <w:t>中漆中VOCs  33.2</w:t>
                              </w:r>
                            </w:p>
                          </w:txbxContent>
                        </wps:txbx>
                        <wps:bodyPr upright="1"/>
                      </wps:wsp>
                      <wps:wsp>
                        <wps:cNvPr id="192" name="文本框 192"/>
                        <wps:cNvSpPr txBox="1"/>
                        <wps:spPr>
                          <a:xfrm>
                            <a:off x="3289" y="1314391"/>
                            <a:ext cx="2099"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8ECF33">
                              <w:pPr>
                                <w:jc w:val="center"/>
                                <w:rPr>
                                  <w:rFonts w:ascii="Times New Roman"/>
                                  <w:sz w:val="18"/>
                                  <w:szCs w:val="18"/>
                                </w:rPr>
                              </w:pPr>
                              <w:r>
                                <w:rPr>
                                  <w:rFonts w:hint="eastAsia" w:ascii="Times New Roman"/>
                                  <w:sz w:val="18"/>
                                  <w:szCs w:val="18"/>
                                </w:rPr>
                                <w:t>中漆稀释剂中</w:t>
                              </w:r>
                            </w:p>
                            <w:p w14:paraId="6F6585B3">
                              <w:pPr>
                                <w:jc w:val="center"/>
                                <w:rPr>
                                  <w:rFonts w:ascii="Times New Roman"/>
                                  <w:sz w:val="18"/>
                                  <w:szCs w:val="18"/>
                                </w:rPr>
                              </w:pPr>
                              <w:r>
                                <w:rPr>
                                  <w:rFonts w:hint="eastAsia" w:ascii="Times New Roman"/>
                                  <w:sz w:val="18"/>
                                  <w:szCs w:val="18"/>
                                </w:rPr>
                                <w:t>VOCs  106.5</w:t>
                              </w:r>
                            </w:p>
                          </w:txbxContent>
                        </wps:txbx>
                        <wps:bodyPr upright="1"/>
                      </wps:wsp>
                      <wps:wsp>
                        <wps:cNvPr id="183" name="文本框 183"/>
                        <wps:cNvSpPr txBox="1"/>
                        <wps:spPr>
                          <a:xfrm>
                            <a:off x="3304" y="1315847"/>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47BF1E">
                              <w:pPr>
                                <w:jc w:val="center"/>
                                <w:rPr>
                                  <w:rFonts w:ascii="Times New Roman"/>
                                  <w:sz w:val="18"/>
                                  <w:szCs w:val="18"/>
                                </w:rPr>
                              </w:pPr>
                              <w:r>
                                <w:rPr>
                                  <w:rFonts w:hint="eastAsia" w:ascii="Times New Roman"/>
                                  <w:sz w:val="18"/>
                                  <w:szCs w:val="18"/>
                                </w:rPr>
                                <w:t>面漆中VOCs  38.28</w:t>
                              </w:r>
                            </w:p>
                          </w:txbxContent>
                        </wps:txbx>
                        <wps:bodyPr upright="1"/>
                      </wps:wsp>
                      <wps:wsp>
                        <wps:cNvPr id="188" name="文本框 188"/>
                        <wps:cNvSpPr txBox="1"/>
                        <wps:spPr>
                          <a:xfrm>
                            <a:off x="3334" y="1316913"/>
                            <a:ext cx="2099" cy="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A57A2D">
                              <w:pPr>
                                <w:jc w:val="center"/>
                                <w:rPr>
                                  <w:rFonts w:ascii="Times New Roman"/>
                                  <w:sz w:val="18"/>
                                  <w:szCs w:val="18"/>
                                </w:rPr>
                              </w:pPr>
                              <w:r>
                                <w:rPr>
                                  <w:rFonts w:hint="eastAsia" w:ascii="Times New Roman"/>
                                  <w:sz w:val="18"/>
                                  <w:szCs w:val="18"/>
                                </w:rPr>
                                <w:t>面漆稀释剂中</w:t>
                              </w:r>
                            </w:p>
                            <w:p w14:paraId="4CADA82F">
                              <w:pPr>
                                <w:jc w:val="center"/>
                                <w:rPr>
                                  <w:rFonts w:ascii="Times New Roman"/>
                                  <w:sz w:val="18"/>
                                  <w:szCs w:val="18"/>
                                </w:rPr>
                              </w:pPr>
                              <w:r>
                                <w:rPr>
                                  <w:rFonts w:hint="eastAsia" w:ascii="Times New Roman"/>
                                  <w:sz w:val="18"/>
                                  <w:szCs w:val="18"/>
                                </w:rPr>
                                <w:t>VOCs  127</w:t>
                              </w:r>
                            </w:p>
                          </w:txbxContent>
                        </wps:txbx>
                        <wps:bodyPr upright="1"/>
                      </wps:wsp>
                      <wps:wsp>
                        <wps:cNvPr id="195" name="直接连接符 195"/>
                        <wps:cNvCnPr/>
                        <wps:spPr>
                          <a:xfrm>
                            <a:off x="5404" y="1312315"/>
                            <a:ext cx="614" cy="6"/>
                          </a:xfrm>
                          <a:prstGeom prst="line">
                            <a:avLst/>
                          </a:prstGeom>
                          <a:ln w="9525" cap="flat" cmpd="sng">
                            <a:solidFill>
                              <a:srgbClr val="000000"/>
                            </a:solidFill>
                            <a:prstDash val="solid"/>
                            <a:headEnd type="none" w="med" len="med"/>
                            <a:tailEnd type="none" w="med" len="med"/>
                          </a:ln>
                          <a:effectLst/>
                        </wps:spPr>
                        <wps:bodyPr upright="1"/>
                      </wps:wsp>
                      <wps:wsp>
                        <wps:cNvPr id="178" name="直接连接符 178"/>
                        <wps:cNvCnPr/>
                        <wps:spPr>
                          <a:xfrm>
                            <a:off x="5389" y="1313666"/>
                            <a:ext cx="645" cy="5"/>
                          </a:xfrm>
                          <a:prstGeom prst="line">
                            <a:avLst/>
                          </a:prstGeom>
                          <a:ln w="9525" cap="flat" cmpd="sng">
                            <a:solidFill>
                              <a:srgbClr val="000000"/>
                            </a:solidFill>
                            <a:prstDash val="solid"/>
                            <a:headEnd type="none" w="med" len="med"/>
                            <a:tailEnd type="none" w="med" len="med"/>
                          </a:ln>
                          <a:effectLst/>
                        </wps:spPr>
                        <wps:bodyPr upright="1"/>
                      </wps:wsp>
                      <wps:wsp>
                        <wps:cNvPr id="172" name="直接连接符 172"/>
                        <wps:cNvCnPr/>
                        <wps:spPr>
                          <a:xfrm>
                            <a:off x="5419" y="1314878"/>
                            <a:ext cx="615" cy="10"/>
                          </a:xfrm>
                          <a:prstGeom prst="line">
                            <a:avLst/>
                          </a:prstGeom>
                          <a:ln w="9525" cap="flat" cmpd="sng">
                            <a:solidFill>
                              <a:srgbClr val="000000"/>
                            </a:solidFill>
                            <a:prstDash val="solid"/>
                            <a:headEnd type="none" w="med" len="med"/>
                            <a:tailEnd type="none" w="med" len="med"/>
                          </a:ln>
                          <a:effectLst/>
                        </wps:spPr>
                        <wps:bodyPr upright="1"/>
                      </wps:wsp>
                      <wps:wsp>
                        <wps:cNvPr id="184" name="直接连接符 184"/>
                        <wps:cNvCnPr/>
                        <wps:spPr>
                          <a:xfrm>
                            <a:off x="5419" y="1316199"/>
                            <a:ext cx="632" cy="6"/>
                          </a:xfrm>
                          <a:prstGeom prst="line">
                            <a:avLst/>
                          </a:prstGeom>
                          <a:ln w="9525" cap="flat" cmpd="sng">
                            <a:solidFill>
                              <a:srgbClr val="000000"/>
                            </a:solidFill>
                            <a:prstDash val="solid"/>
                            <a:headEnd type="none" w="med" len="med"/>
                            <a:tailEnd type="none" w="med" len="med"/>
                          </a:ln>
                          <a:effectLst/>
                        </wps:spPr>
                        <wps:bodyPr upright="1"/>
                      </wps:wsp>
                      <wps:wsp>
                        <wps:cNvPr id="175" name="文本框 175"/>
                        <wps:cNvSpPr txBox="1"/>
                        <wps:spPr>
                          <a:xfrm>
                            <a:off x="6994" y="1313299"/>
                            <a:ext cx="1589"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2FDB3A">
                              <w:pPr>
                                <w:jc w:val="center"/>
                                <w:rPr>
                                  <w:rFonts w:ascii="Times New Roman"/>
                                  <w:sz w:val="18"/>
                                  <w:szCs w:val="18"/>
                                </w:rPr>
                              </w:pPr>
                              <w:r>
                                <w:rPr>
                                  <w:rFonts w:hint="eastAsia" w:ascii="Times New Roman"/>
                                  <w:sz w:val="18"/>
                                  <w:szCs w:val="18"/>
                                </w:rPr>
                                <w:t>40%调漆、喷漆</w:t>
                              </w:r>
                            </w:p>
                            <w:p w14:paraId="6981016D">
                              <w:pPr>
                                <w:jc w:val="center"/>
                                <w:rPr>
                                  <w:rFonts w:ascii="Times New Roman"/>
                                  <w:sz w:val="18"/>
                                  <w:szCs w:val="18"/>
                                </w:rPr>
                              </w:pPr>
                              <w:r>
                                <w:rPr>
                                  <w:rFonts w:hint="eastAsia" w:ascii="Times New Roman"/>
                                  <w:sz w:val="18"/>
                                  <w:szCs w:val="18"/>
                                </w:rPr>
                                <w:t>挥发136.952</w:t>
                              </w:r>
                            </w:p>
                          </w:txbxContent>
                        </wps:txbx>
                        <wps:bodyPr upright="1"/>
                      </wps:wsp>
                      <wps:wsp>
                        <wps:cNvPr id="181" name="文本框 181"/>
                        <wps:cNvSpPr txBox="1"/>
                        <wps:spPr>
                          <a:xfrm>
                            <a:off x="7009" y="1314590"/>
                            <a:ext cx="1591"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263F2D">
                              <w:pPr>
                                <w:jc w:val="center"/>
                                <w:rPr>
                                  <w:rFonts w:ascii="Times New Roman"/>
                                  <w:sz w:val="18"/>
                                  <w:szCs w:val="18"/>
                                </w:rPr>
                              </w:pPr>
                              <w:r>
                                <w:rPr>
                                  <w:rFonts w:hint="eastAsia" w:ascii="Times New Roman"/>
                                  <w:sz w:val="18"/>
                                  <w:szCs w:val="18"/>
                                </w:rPr>
                                <w:t>60%烘干、强冷</w:t>
                              </w:r>
                            </w:p>
                            <w:p w14:paraId="432C3AE7">
                              <w:pPr>
                                <w:jc w:val="center"/>
                                <w:rPr>
                                  <w:rFonts w:ascii="Times New Roman"/>
                                  <w:sz w:val="18"/>
                                  <w:szCs w:val="18"/>
                                </w:rPr>
                              </w:pPr>
                              <w:r>
                                <w:rPr>
                                  <w:rFonts w:hint="eastAsia" w:ascii="Times New Roman"/>
                                  <w:sz w:val="18"/>
                                  <w:szCs w:val="18"/>
                                </w:rPr>
                                <w:t>挥发205.428</w:t>
                              </w:r>
                            </w:p>
                          </w:txbxContent>
                        </wps:txbx>
                        <wps:bodyPr upright="1"/>
                      </wps:wsp>
                      <wps:wsp>
                        <wps:cNvPr id="182" name="文本框 182"/>
                        <wps:cNvSpPr txBox="1"/>
                        <wps:spPr>
                          <a:xfrm>
                            <a:off x="9829" y="1312572"/>
                            <a:ext cx="2099" cy="8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3B3F2E">
                              <w:pPr>
                                <w:jc w:val="center"/>
                                <w:rPr>
                                  <w:rFonts w:ascii="Times New Roman"/>
                                  <w:sz w:val="18"/>
                                  <w:szCs w:val="18"/>
                                </w:rPr>
                              </w:pPr>
                              <w:r>
                                <w:rPr>
                                  <w:rFonts w:hint="eastAsia" w:ascii="Times New Roman"/>
                                  <w:kern w:val="0"/>
                                  <w:sz w:val="18"/>
                                  <w:szCs w:val="18"/>
                                </w:rPr>
                                <w:t>沸石轮转吸附+RTO焚烧装置</w:t>
                              </w:r>
                              <w:r>
                                <w:rPr>
                                  <w:rFonts w:ascii="Times New Roman"/>
                                  <w:sz w:val="18"/>
                                  <w:szCs w:val="18"/>
                                </w:rPr>
                                <w:t>净化</w:t>
                              </w:r>
                              <w:r>
                                <w:rPr>
                                  <w:rFonts w:hint="eastAsia" w:ascii="Times New Roman"/>
                                  <w:sz w:val="18"/>
                                  <w:szCs w:val="18"/>
                                </w:rPr>
                                <w:t>308.997</w:t>
                              </w:r>
                            </w:p>
                          </w:txbxContent>
                        </wps:txbx>
                        <wps:bodyPr upright="1"/>
                      </wps:wsp>
                      <wps:wsp>
                        <wps:cNvPr id="180" name="文本框 180"/>
                        <wps:cNvSpPr txBox="1"/>
                        <wps:spPr>
                          <a:xfrm>
                            <a:off x="9769" y="1314102"/>
                            <a:ext cx="2099" cy="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D10104">
                              <w:pPr>
                                <w:jc w:val="center"/>
                                <w:rPr>
                                  <w:rFonts w:ascii="Times New Roman"/>
                                  <w:sz w:val="18"/>
                                  <w:szCs w:val="18"/>
                                </w:rPr>
                              </w:pPr>
                              <w:r>
                                <w:rPr>
                                  <w:rFonts w:hint="eastAsia" w:ascii="Times New Roman"/>
                                  <w:sz w:val="18"/>
                                  <w:szCs w:val="18"/>
                                </w:rPr>
                                <w:t>有组织排放16.264</w:t>
                              </w:r>
                            </w:p>
                          </w:txbxContent>
                        </wps:txbx>
                        <wps:bodyPr upright="1"/>
                      </wps:wsp>
                      <wps:wsp>
                        <wps:cNvPr id="169" name="文本框 169"/>
                        <wps:cNvSpPr txBox="1"/>
                        <wps:spPr>
                          <a:xfrm>
                            <a:off x="9859" y="1315514"/>
                            <a:ext cx="2099" cy="5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27BBE3">
                              <w:pPr>
                                <w:jc w:val="center"/>
                                <w:rPr>
                                  <w:rFonts w:ascii="Times New Roman"/>
                                  <w:sz w:val="24"/>
                                  <w:szCs w:val="20"/>
                                </w:rPr>
                              </w:pPr>
                              <w:r>
                                <w:rPr>
                                  <w:rFonts w:hint="eastAsia" w:ascii="Times New Roman"/>
                                  <w:sz w:val="18"/>
                                  <w:szCs w:val="18"/>
                                </w:rPr>
                                <w:t>无组织排放17.119</w:t>
                              </w:r>
                            </w:p>
                          </w:txbxContent>
                        </wps:txbx>
                        <wps:bodyPr upright="1"/>
                      </wps:wsp>
                      <wps:wsp>
                        <wps:cNvPr id="179" name="肘形连接符 179"/>
                        <wps:cNvCnPr>
                          <a:stCxn id="175" idx="1"/>
                          <a:endCxn id="181" idx="1"/>
                        </wps:cNvCnPr>
                        <wps:spPr>
                          <a:xfrm rot="10800000" flipH="1" flipV="1">
                            <a:off x="6994" y="1313689"/>
                            <a:ext cx="15" cy="1321"/>
                          </a:xfrm>
                          <a:prstGeom prst="bentConnector3">
                            <a:avLst>
                              <a:gd name="adj1" fmla="val -1939999"/>
                            </a:avLst>
                          </a:prstGeom>
                          <a:ln w="9525" cap="flat" cmpd="sng">
                            <a:solidFill>
                              <a:srgbClr val="000000"/>
                            </a:solidFill>
                            <a:prstDash val="solid"/>
                            <a:miter/>
                            <a:headEnd type="none" w="med" len="med"/>
                            <a:tailEnd type="none" w="med" len="med"/>
                          </a:ln>
                          <a:effectLst/>
                        </wps:spPr>
                        <wps:bodyPr/>
                      </wps:wsp>
                      <wps:wsp>
                        <wps:cNvPr id="167" name="直接连接符 167"/>
                        <wps:cNvCnPr/>
                        <wps:spPr>
                          <a:xfrm>
                            <a:off x="6051" y="1314355"/>
                            <a:ext cx="683" cy="0"/>
                          </a:xfrm>
                          <a:prstGeom prst="line">
                            <a:avLst/>
                          </a:prstGeom>
                          <a:ln w="9525" cap="flat" cmpd="sng">
                            <a:solidFill>
                              <a:srgbClr val="000000"/>
                            </a:solidFill>
                            <a:prstDash val="solid"/>
                            <a:headEnd type="none" w="med" len="med"/>
                            <a:tailEnd type="triangle" w="med" len="med"/>
                          </a:ln>
                          <a:effectLst/>
                        </wps:spPr>
                        <wps:bodyPr upright="1"/>
                      </wps:wsp>
                      <wps:wsp>
                        <wps:cNvPr id="165" name="肘形连接符 165"/>
                        <wps:cNvCnPr>
                          <a:stCxn id="182" idx="1"/>
                          <a:endCxn id="169" idx="1"/>
                        </wps:cNvCnPr>
                        <wps:spPr>
                          <a:xfrm rot="10800000" flipH="1" flipV="1">
                            <a:off x="9829" y="1312984"/>
                            <a:ext cx="30" cy="2822"/>
                          </a:xfrm>
                          <a:prstGeom prst="bentConnector3">
                            <a:avLst>
                              <a:gd name="adj1" fmla="val -1250000"/>
                            </a:avLst>
                          </a:prstGeom>
                          <a:ln w="9525" cap="flat" cmpd="sng">
                            <a:solidFill>
                              <a:srgbClr val="000000"/>
                            </a:solidFill>
                            <a:prstDash val="solid"/>
                            <a:miter/>
                            <a:headEnd type="none" w="med" len="med"/>
                            <a:tailEnd type="none" w="med" len="med"/>
                          </a:ln>
                          <a:effectLst/>
                        </wps:spPr>
                        <wps:bodyPr/>
                      </wps:wsp>
                      <wps:wsp>
                        <wps:cNvPr id="168" name="肘形连接符 168"/>
                        <wps:cNvCnPr>
                          <a:stCxn id="175" idx="3"/>
                          <a:endCxn id="181" idx="3"/>
                        </wps:cNvCnPr>
                        <wps:spPr>
                          <a:xfrm>
                            <a:off x="8583" y="1313689"/>
                            <a:ext cx="17" cy="1321"/>
                          </a:xfrm>
                          <a:prstGeom prst="bentConnector3">
                            <a:avLst>
                              <a:gd name="adj1" fmla="val 1817647"/>
                            </a:avLst>
                          </a:prstGeom>
                          <a:ln w="9525" cap="flat" cmpd="sng">
                            <a:solidFill>
                              <a:srgbClr val="000000"/>
                            </a:solidFill>
                            <a:prstDash val="solid"/>
                            <a:miter/>
                            <a:headEnd type="none" w="med" len="med"/>
                            <a:tailEnd type="none" w="med" len="med"/>
                          </a:ln>
                          <a:effectLst/>
                        </wps:spPr>
                        <wps:bodyPr/>
                      </wps:wsp>
                      <wps:wsp>
                        <wps:cNvPr id="177" name="直接连接符 177"/>
                        <wps:cNvCnPr/>
                        <wps:spPr>
                          <a:xfrm>
                            <a:off x="8884" y="1314405"/>
                            <a:ext cx="898" cy="4"/>
                          </a:xfrm>
                          <a:prstGeom prst="line">
                            <a:avLst/>
                          </a:prstGeom>
                          <a:ln w="9525" cap="flat" cmpd="sng">
                            <a:solidFill>
                              <a:srgbClr val="000000"/>
                            </a:solidFill>
                            <a:prstDash val="solid"/>
                            <a:headEnd type="none" w="med" len="med"/>
                            <a:tailEnd type="triangle" w="med" len="med"/>
                          </a:ln>
                          <a:effectLst/>
                        </wps:spPr>
                        <wps:bodyPr upright="1"/>
                      </wps:wsp>
                      <wps:wsp>
                        <wps:cNvPr id="186" name="文本框 186"/>
                        <wps:cNvSpPr txBox="1"/>
                        <wps:spPr>
                          <a:xfrm>
                            <a:off x="6003" y="1313800"/>
                            <a:ext cx="1019" cy="390"/>
                          </a:xfrm>
                          <a:prstGeom prst="rect">
                            <a:avLst/>
                          </a:prstGeom>
                          <a:noFill/>
                          <a:ln>
                            <a:noFill/>
                          </a:ln>
                          <a:effectLst/>
                        </wps:spPr>
                        <wps:txbx>
                          <w:txbxContent>
                            <w:p w14:paraId="550A08FB">
                              <w:pPr>
                                <w:rPr>
                                  <w:rFonts w:ascii="Times New Roman"/>
                                  <w:sz w:val="18"/>
                                  <w:szCs w:val="18"/>
                                </w:rPr>
                              </w:pPr>
                              <w:r>
                                <w:rPr>
                                  <w:rFonts w:hint="eastAsia" w:ascii="Times New Roman"/>
                                  <w:sz w:val="18"/>
                                  <w:szCs w:val="18"/>
                                </w:rPr>
                                <w:t>342.38</w:t>
                              </w:r>
                            </w:p>
                          </w:txbxContent>
                        </wps:txbx>
                        <wps:bodyPr upright="1"/>
                      </wps:wsp>
                      <wps:wsp>
                        <wps:cNvPr id="176" name="文本框 176"/>
                        <wps:cNvSpPr txBox="1"/>
                        <wps:spPr>
                          <a:xfrm>
                            <a:off x="8766" y="1313875"/>
                            <a:ext cx="1091" cy="390"/>
                          </a:xfrm>
                          <a:prstGeom prst="rect">
                            <a:avLst/>
                          </a:prstGeom>
                          <a:noFill/>
                          <a:ln>
                            <a:noFill/>
                          </a:ln>
                          <a:effectLst/>
                        </wps:spPr>
                        <wps:txbx>
                          <w:txbxContent>
                            <w:p w14:paraId="3B931F2C">
                              <w:pPr>
                                <w:rPr>
                                  <w:rFonts w:ascii="Times New Roman"/>
                                  <w:sz w:val="18"/>
                                  <w:szCs w:val="18"/>
                                </w:rPr>
                              </w:pPr>
                              <w:r>
                                <w:rPr>
                                  <w:rFonts w:hint="eastAsia" w:ascii="Times New Roman"/>
                                  <w:sz w:val="18"/>
                                  <w:szCs w:val="18"/>
                                </w:rPr>
                                <w:t>342.38</w:t>
                              </w:r>
                            </w:p>
                          </w:txbxContent>
                        </wps:txbx>
                        <wps:bodyPr upright="1"/>
                      </wps:wsp>
                      <wps:wsp>
                        <wps:cNvPr id="225" name="肘形连接符 225"/>
                        <wps:cNvCnPr>
                          <a:stCxn id="190" idx="3"/>
                          <a:endCxn id="188" idx="3"/>
                        </wps:cNvCnPr>
                        <wps:spPr>
                          <a:xfrm>
                            <a:off x="5373" y="1311046"/>
                            <a:ext cx="60" cy="6250"/>
                          </a:xfrm>
                          <a:prstGeom prst="bentConnector3">
                            <a:avLst>
                              <a:gd name="adj1" fmla="val 1108333"/>
                            </a:avLst>
                          </a:prstGeom>
                          <a:noFill/>
                          <a:ln w="9525" cap="flat" cmpd="sng" algn="ctr">
                            <a:solidFill>
                              <a:srgbClr val="000000"/>
                            </a:solidFill>
                            <a:prstDash val="solid"/>
                            <a:headEnd type="none"/>
                            <a:tailEnd type="none"/>
                          </a:ln>
                          <a:effectLst/>
                        </wps:spPr>
                        <wps:bodyPr/>
                      </wps:wsp>
                    </wpg:wgp>
                  </a:graphicData>
                </a:graphic>
              </wp:anchor>
            </w:drawing>
          </mc:Choice>
          <mc:Fallback>
            <w:pict>
              <v:group id="组合 101" o:spid="_x0000_s1026" o:spt="203" style="position:absolute;left:0pt;margin-left:-1.95pt;margin-top:11.15pt;height:345.1pt;width:434.2pt;z-index:251663360;mso-width-relative:page;mso-height-relative:page;" coordorigin="3274,1310776" coordsize="8684,6902" o:gfxdata="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BrTBCh2gAAAAkBAAAPAAAAAAAAAAEA&#10;IAAAACIAAABkcnMvZG93bnJldi54bWxQSwECFAAUAAAACACHTuJA5qW1UvMGAAArOAAADgAAAAAA&#10;AAABACAAAAApAQAAZHJzL2Uyb0RvYy54bWxQSwUGAAAAAAYABgBZAQAAjgoAAAAA&#10;">
                <o:lock v:ext="edit" aspectratio="f"/>
                <v:shape id="_x0000_s1026" o:spid="_x0000_s1026" o:spt="202" type="#_x0000_t202" style="position:absolute;left:3274;top:1310776;height:540;width:2099;" fillcolor="#FFFFFF" filled="t" stroked="t" coordsize="21600,21600"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D7F96C">
                        <w:pPr>
                          <w:jc w:val="center"/>
                          <w:rPr>
                            <w:rFonts w:ascii="Times New Roman"/>
                            <w:sz w:val="18"/>
                            <w:szCs w:val="18"/>
                          </w:rPr>
                        </w:pPr>
                        <w:r>
                          <w:rPr>
                            <w:rFonts w:hint="eastAsia" w:ascii="Times New Roman"/>
                            <w:sz w:val="18"/>
                            <w:szCs w:val="18"/>
                          </w:rPr>
                          <w:t>底漆中VOCs  8.9</w:t>
                        </w:r>
                      </w:p>
                    </w:txbxContent>
                  </v:textbox>
                </v:shape>
                <v:shape id="_x0000_s1026" o:spid="_x0000_s1026" o:spt="202" type="#_x0000_t202" style="position:absolute;left:3304;top:1311918;height:839;width:2099;" fillcolor="#FFFFFF" filled="t" stroked="t" coordsize="21600,21600" o:gfxdata="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ta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A7C714">
                        <w:pPr>
                          <w:jc w:val="center"/>
                          <w:rPr>
                            <w:rFonts w:ascii="Times New Roman"/>
                            <w:sz w:val="18"/>
                            <w:szCs w:val="18"/>
                          </w:rPr>
                        </w:pPr>
                        <w:r>
                          <w:rPr>
                            <w:rFonts w:hint="eastAsia" w:ascii="Times New Roman"/>
                            <w:sz w:val="18"/>
                            <w:szCs w:val="18"/>
                          </w:rPr>
                          <w:t>底漆稀释剂中</w:t>
                        </w:r>
                      </w:p>
                      <w:p w14:paraId="46D70675">
                        <w:pPr>
                          <w:jc w:val="center"/>
                          <w:rPr>
                            <w:rFonts w:ascii="Times New Roman"/>
                            <w:sz w:val="18"/>
                            <w:szCs w:val="18"/>
                          </w:rPr>
                        </w:pPr>
                        <w:r>
                          <w:rPr>
                            <w:rFonts w:hint="eastAsia" w:ascii="Times New Roman"/>
                            <w:sz w:val="18"/>
                            <w:szCs w:val="18"/>
                          </w:rPr>
                          <w:t>VOCs  28.5</w:t>
                        </w:r>
                      </w:p>
                    </w:txbxContent>
                  </v:textbox>
                </v:shape>
                <v:shape id="_x0000_s1026" o:spid="_x0000_s1026" o:spt="202" type="#_x0000_t202" style="position:absolute;left:3289;top:1313359;height:540;width:2099;"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BAEA8B">
                        <w:pPr>
                          <w:jc w:val="center"/>
                          <w:rPr>
                            <w:rFonts w:ascii="Times New Roman"/>
                            <w:sz w:val="18"/>
                            <w:szCs w:val="18"/>
                          </w:rPr>
                        </w:pPr>
                        <w:r>
                          <w:rPr>
                            <w:rFonts w:hint="eastAsia" w:ascii="Times New Roman"/>
                            <w:sz w:val="18"/>
                            <w:szCs w:val="18"/>
                          </w:rPr>
                          <w:t>中漆中VOCs  33.2</w:t>
                        </w:r>
                      </w:p>
                    </w:txbxContent>
                  </v:textbox>
                </v:shape>
                <v:shape id="_x0000_s1026" o:spid="_x0000_s1026" o:spt="202" type="#_x0000_t202" style="position:absolute;left:3289;top:1314391;height:855;width:2099;"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8ECF33">
                        <w:pPr>
                          <w:jc w:val="center"/>
                          <w:rPr>
                            <w:rFonts w:ascii="Times New Roman"/>
                            <w:sz w:val="18"/>
                            <w:szCs w:val="18"/>
                          </w:rPr>
                        </w:pPr>
                        <w:r>
                          <w:rPr>
                            <w:rFonts w:hint="eastAsia" w:ascii="Times New Roman"/>
                            <w:sz w:val="18"/>
                            <w:szCs w:val="18"/>
                          </w:rPr>
                          <w:t>中漆稀释剂中</w:t>
                        </w:r>
                      </w:p>
                      <w:p w14:paraId="6F6585B3">
                        <w:pPr>
                          <w:jc w:val="center"/>
                          <w:rPr>
                            <w:rFonts w:ascii="Times New Roman"/>
                            <w:sz w:val="18"/>
                            <w:szCs w:val="18"/>
                          </w:rPr>
                        </w:pPr>
                        <w:r>
                          <w:rPr>
                            <w:rFonts w:hint="eastAsia" w:ascii="Times New Roman"/>
                            <w:sz w:val="18"/>
                            <w:szCs w:val="18"/>
                          </w:rPr>
                          <w:t>VOCs  106.5</w:t>
                        </w:r>
                      </w:p>
                    </w:txbxContent>
                  </v:textbox>
                </v:shape>
                <v:shape id="_x0000_s1026" o:spid="_x0000_s1026" o:spt="202" type="#_x0000_t202" style="position:absolute;left:3304;top:1315847;height:540;width:2099;" fillcolor="#FFFFFF" filled="t" stroked="t" coordsize="21600,21600"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247BF1E">
                        <w:pPr>
                          <w:jc w:val="center"/>
                          <w:rPr>
                            <w:rFonts w:ascii="Times New Roman"/>
                            <w:sz w:val="18"/>
                            <w:szCs w:val="18"/>
                          </w:rPr>
                        </w:pPr>
                        <w:r>
                          <w:rPr>
                            <w:rFonts w:hint="eastAsia" w:ascii="Times New Roman"/>
                            <w:sz w:val="18"/>
                            <w:szCs w:val="18"/>
                          </w:rPr>
                          <w:t>面漆中VOCs  38.28</w:t>
                        </w:r>
                      </w:p>
                    </w:txbxContent>
                  </v:textbox>
                </v:shape>
                <v:shape id="_x0000_s1026" o:spid="_x0000_s1026" o:spt="202" type="#_x0000_t202" style="position:absolute;left:3334;top:1316913;height:765;width:2099;" fillcolor="#FFFFFF" filled="t" stroked="t" coordsize="21600,21600" o:gfxdata="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NP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A57A2D">
                        <w:pPr>
                          <w:jc w:val="center"/>
                          <w:rPr>
                            <w:rFonts w:ascii="Times New Roman"/>
                            <w:sz w:val="18"/>
                            <w:szCs w:val="18"/>
                          </w:rPr>
                        </w:pPr>
                        <w:r>
                          <w:rPr>
                            <w:rFonts w:hint="eastAsia" w:ascii="Times New Roman"/>
                            <w:sz w:val="18"/>
                            <w:szCs w:val="18"/>
                          </w:rPr>
                          <w:t>面漆稀释剂中</w:t>
                        </w:r>
                      </w:p>
                      <w:p w14:paraId="4CADA82F">
                        <w:pPr>
                          <w:jc w:val="center"/>
                          <w:rPr>
                            <w:rFonts w:ascii="Times New Roman"/>
                            <w:sz w:val="18"/>
                            <w:szCs w:val="18"/>
                          </w:rPr>
                        </w:pPr>
                        <w:r>
                          <w:rPr>
                            <w:rFonts w:hint="eastAsia" w:ascii="Times New Roman"/>
                            <w:sz w:val="18"/>
                            <w:szCs w:val="18"/>
                          </w:rPr>
                          <w:t>VOCs  127</w:t>
                        </w:r>
                      </w:p>
                    </w:txbxContent>
                  </v:textbox>
                </v:shape>
                <v:line id="_x0000_s1026" o:spid="_x0000_s1026" o:spt="20" style="position:absolute;left:5404;top:1312315;height:6;width:614;" filled="f" stroked="t" coordsize="21600,21600" o:gfxdata="UEsDBAoAAAAAAIdO4kAAAAAAAAAAAAAAAAAEAAAAZHJzL1BLAwQUAAAACACHTuJAHICvOL0AAADc&#10;AAAADwAAAGRycy9kb3ducmV2LnhtbEVPyWrDMBC9F/IPYgK9hESyS0P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K8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389;top:1313666;height:5;width:645;"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419;top:1314878;height:10;width:615;" filled="f" stroked="t" coordsize="21600,21600" o:gfxdata="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X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419;top:1316199;height:6;width:632;"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202" type="#_x0000_t202" style="position:absolute;left:6994;top:1313299;height:780;width:1589;" fillcolor="#FFFFFF" filled="t" stroked="t" coordsize="21600,21600" o:gfxdata="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22FDB3A">
                        <w:pPr>
                          <w:jc w:val="center"/>
                          <w:rPr>
                            <w:rFonts w:ascii="Times New Roman"/>
                            <w:sz w:val="18"/>
                            <w:szCs w:val="18"/>
                          </w:rPr>
                        </w:pPr>
                        <w:r>
                          <w:rPr>
                            <w:rFonts w:hint="eastAsia" w:ascii="Times New Roman"/>
                            <w:sz w:val="18"/>
                            <w:szCs w:val="18"/>
                          </w:rPr>
                          <w:t>40%调漆、喷漆</w:t>
                        </w:r>
                      </w:p>
                      <w:p w14:paraId="6981016D">
                        <w:pPr>
                          <w:jc w:val="center"/>
                          <w:rPr>
                            <w:rFonts w:ascii="Times New Roman"/>
                            <w:sz w:val="18"/>
                            <w:szCs w:val="18"/>
                          </w:rPr>
                        </w:pPr>
                        <w:r>
                          <w:rPr>
                            <w:rFonts w:hint="eastAsia" w:ascii="Times New Roman"/>
                            <w:sz w:val="18"/>
                            <w:szCs w:val="18"/>
                          </w:rPr>
                          <w:t>挥发136.952</w:t>
                        </w:r>
                      </w:p>
                    </w:txbxContent>
                  </v:textbox>
                </v:shape>
                <v:shape id="_x0000_s1026" o:spid="_x0000_s1026" o:spt="202" type="#_x0000_t202" style="position:absolute;left:7009;top:1314590;height:840;width:1591;" fillcolor="#FFFFFF" filled="t" stroked="t" coordsize="21600,21600" o:gfxdata="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RnW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263F2D">
                        <w:pPr>
                          <w:jc w:val="center"/>
                          <w:rPr>
                            <w:rFonts w:ascii="Times New Roman"/>
                            <w:sz w:val="18"/>
                            <w:szCs w:val="18"/>
                          </w:rPr>
                        </w:pPr>
                        <w:r>
                          <w:rPr>
                            <w:rFonts w:hint="eastAsia" w:ascii="Times New Roman"/>
                            <w:sz w:val="18"/>
                            <w:szCs w:val="18"/>
                          </w:rPr>
                          <w:t>60%烘干、强冷</w:t>
                        </w:r>
                      </w:p>
                      <w:p w14:paraId="432C3AE7">
                        <w:pPr>
                          <w:jc w:val="center"/>
                          <w:rPr>
                            <w:rFonts w:ascii="Times New Roman"/>
                            <w:sz w:val="18"/>
                            <w:szCs w:val="18"/>
                          </w:rPr>
                        </w:pPr>
                        <w:r>
                          <w:rPr>
                            <w:rFonts w:hint="eastAsia" w:ascii="Times New Roman"/>
                            <w:sz w:val="18"/>
                            <w:szCs w:val="18"/>
                          </w:rPr>
                          <w:t>挥发205.428</w:t>
                        </w:r>
                      </w:p>
                    </w:txbxContent>
                  </v:textbox>
                </v:shape>
                <v:shape id="_x0000_s1026" o:spid="_x0000_s1026" o:spt="202" type="#_x0000_t202" style="position:absolute;left:9829;top:1312572;height:824;width:2099;" fillcolor="#FFFFFF" filled="t" stroked="t" coordsize="21600,21600" o:gfxdata="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DAx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E3B3F2E">
                        <w:pPr>
                          <w:jc w:val="center"/>
                          <w:rPr>
                            <w:rFonts w:ascii="Times New Roman"/>
                            <w:sz w:val="18"/>
                            <w:szCs w:val="18"/>
                          </w:rPr>
                        </w:pPr>
                        <w:r>
                          <w:rPr>
                            <w:rFonts w:hint="eastAsia" w:ascii="Times New Roman"/>
                            <w:kern w:val="0"/>
                            <w:sz w:val="18"/>
                            <w:szCs w:val="18"/>
                          </w:rPr>
                          <w:t>沸石轮转吸附+RTO焚烧装置</w:t>
                        </w:r>
                        <w:r>
                          <w:rPr>
                            <w:rFonts w:ascii="Times New Roman"/>
                            <w:sz w:val="18"/>
                            <w:szCs w:val="18"/>
                          </w:rPr>
                          <w:t>净化</w:t>
                        </w:r>
                        <w:r>
                          <w:rPr>
                            <w:rFonts w:hint="eastAsia" w:ascii="Times New Roman"/>
                            <w:sz w:val="18"/>
                            <w:szCs w:val="18"/>
                          </w:rPr>
                          <w:t>308.997</w:t>
                        </w:r>
                      </w:p>
                    </w:txbxContent>
                  </v:textbox>
                </v:shape>
                <v:shape id="_x0000_s1026" o:spid="_x0000_s1026" o:spt="202" type="#_x0000_t202" style="position:absolute;left:9769;top:1314102;height:600;width:2099;" fillcolor="#FFFFFF" filled="t" stroked="t" coordsize="21600,21600" o:gfxdata="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OP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D10104">
                        <w:pPr>
                          <w:jc w:val="center"/>
                          <w:rPr>
                            <w:rFonts w:ascii="Times New Roman"/>
                            <w:sz w:val="18"/>
                            <w:szCs w:val="18"/>
                          </w:rPr>
                        </w:pPr>
                        <w:r>
                          <w:rPr>
                            <w:rFonts w:hint="eastAsia" w:ascii="Times New Roman"/>
                            <w:sz w:val="18"/>
                            <w:szCs w:val="18"/>
                          </w:rPr>
                          <w:t>有组织排放16.264</w:t>
                        </w:r>
                      </w:p>
                    </w:txbxContent>
                  </v:textbox>
                </v:shape>
                <v:shape id="_x0000_s1026" o:spid="_x0000_s1026" o:spt="202" type="#_x0000_t202" style="position:absolute;left:9859;top:1315514;height:584;width:2099;" fillcolor="#FFFFFF" filled="t" stroked="t" coordsize="21600,21600" o:gfxdata="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d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27BBE3">
                        <w:pPr>
                          <w:jc w:val="center"/>
                          <w:rPr>
                            <w:rFonts w:ascii="Times New Roman"/>
                            <w:sz w:val="24"/>
                            <w:szCs w:val="20"/>
                          </w:rPr>
                        </w:pPr>
                        <w:r>
                          <w:rPr>
                            <w:rFonts w:hint="eastAsia" w:ascii="Times New Roman"/>
                            <w:sz w:val="18"/>
                            <w:szCs w:val="18"/>
                          </w:rPr>
                          <w:t>无组织排放17.119</w:t>
                        </w:r>
                      </w:p>
                    </w:txbxContent>
                  </v:textbox>
                </v:shape>
                <v:shape id="_x0000_s1026" o:spid="_x0000_s1026" o:spt="34" type="#_x0000_t34" style="position:absolute;left:6994;top:1313689;flip:x y;height:1321;width:15;rotation:11796480f;" filled="f" stroked="t" coordsize="21600,21600" o:gfxdata="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48074A&#10;AADcAAAADwAAAAAAAAABACAAAAAiAAAAZHJzL2Rvd25yZXYueG1sUEsBAhQAFAAAAAgAh07iQDMv&#10;BZ47AAAAOQAAABAAAAAAAAAAAQAgAAAADQEAAGRycy9zaGFwZXhtbC54bWxQSwUGAAAAAAYABgBb&#10;AQAAtwMAAAAA&#10;" adj="-419040">
                  <v:fill on="f" focussize="0,0"/>
                  <v:stroke color="#000000" joinstyle="miter"/>
                  <v:imagedata o:title=""/>
                  <o:lock v:ext="edit" aspectratio="f"/>
                </v:shape>
                <v:line id="_x0000_s1026" o:spid="_x0000_s1026" o:spt="20" style="position:absolute;left:6051;top:1314355;height:0;width:683;"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4" type="#_x0000_t34" style="position:absolute;left:9829;top:1312984;flip:x y;height:2822;width:30;rotation:11796480f;" filled="f" stroked="t" coordsize="21600,21600" o:gfxdata="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VF2+5AAAA3AAA&#10;AA8AAAAAAAAAAQAgAAAAIgAAAGRycy9kb3ducmV2LnhtbFBLAQIUABQAAAAIAIdO4kAzLwWeOwAA&#10;ADkAAAAQAAAAAAAAAAEAIAAAAAgBAABkcnMvc2hhcGV4bWwueG1sUEsFBgAAAAAGAAYAWwEAALID&#10;AAAAAA==&#10;" adj="-270000">
                  <v:fill on="f" focussize="0,0"/>
                  <v:stroke color="#000000" joinstyle="miter"/>
                  <v:imagedata o:title=""/>
                  <o:lock v:ext="edit" aspectratio="f"/>
                </v:shape>
                <v:shape id="_x0000_s1026" o:spid="_x0000_s1026" o:spt="34" type="#_x0000_t34" style="position:absolute;left:8583;top:1313689;height:1321;width:17;" filled="f" stroked="t" coordsize="21600,21600" o:gfxdata="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4faG8AAAA&#10;3AAAAA8AAAAAAAAAAQAgAAAAIgAAAGRycy9kb3ducmV2LnhtbFBLAQIUABQAAAAIAIdO4kAzLwWe&#10;OwAAADkAAAAQAAAAAAAAAAEAIAAAAAsBAABkcnMvc2hhcGV4bWwueG1sUEsFBgAAAAAGAAYAWwEA&#10;ALUDAAAAAA==&#10;" adj="392612">
                  <v:fill on="f" focussize="0,0"/>
                  <v:stroke color="#000000" joinstyle="miter"/>
                  <v:imagedata o:title=""/>
                  <o:lock v:ext="edit" aspectratio="f"/>
                </v:shape>
                <v:line id="_x0000_s1026" o:spid="_x0000_s1026" o:spt="20" style="position:absolute;left:8884;top:1314405;height:4;width:898;" filled="f" stroked="t" coordsize="21600,21600" o:gfxdata="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h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6003;top:1313800;height:390;width:1019;"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50A08FB">
                        <w:pPr>
                          <w:rPr>
                            <w:rFonts w:ascii="Times New Roman"/>
                            <w:sz w:val="18"/>
                            <w:szCs w:val="18"/>
                          </w:rPr>
                        </w:pPr>
                        <w:r>
                          <w:rPr>
                            <w:rFonts w:hint="eastAsia" w:ascii="Times New Roman"/>
                            <w:sz w:val="18"/>
                            <w:szCs w:val="18"/>
                          </w:rPr>
                          <w:t>342.38</w:t>
                        </w:r>
                      </w:p>
                    </w:txbxContent>
                  </v:textbox>
                </v:shape>
                <v:shape id="_x0000_s1026" o:spid="_x0000_s1026" o:spt="202" type="#_x0000_t202" style="position:absolute;left:8766;top:1313875;height:390;width:1091;"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B931F2C">
                        <w:pPr>
                          <w:rPr>
                            <w:rFonts w:ascii="Times New Roman"/>
                            <w:sz w:val="18"/>
                            <w:szCs w:val="18"/>
                          </w:rPr>
                        </w:pPr>
                        <w:r>
                          <w:rPr>
                            <w:rFonts w:hint="eastAsia" w:ascii="Times New Roman"/>
                            <w:sz w:val="18"/>
                            <w:szCs w:val="18"/>
                          </w:rPr>
                          <w:t>342.38</w:t>
                        </w:r>
                      </w:p>
                    </w:txbxContent>
                  </v:textbox>
                </v:shape>
                <v:shape id="_x0000_s1026" o:spid="_x0000_s1026" o:spt="34" type="#_x0000_t34" style="position:absolute;left:5373;top:1311046;height:6250;width:60;" filled="f" stroked="t" coordsize="21600,21600" o:gfxdata="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RO8q/&#10;AAAA3AAAAA8AAAAAAAAAAQAgAAAAIgAAAGRycy9kb3ducmV2LnhtbFBLAQIUABQAAAAIAIdO4kAz&#10;LwWeOwAAADkAAAAQAAAAAAAAAAEAIAAAAA4BAABkcnMvc2hhcGV4bWwueG1sUEsFBgAAAAAGAAYA&#10;WwEAALgDAAAAAA==&#10;" adj="239400">
                  <v:fill on="f" focussize="0,0"/>
                  <v:stroke color="#000000" joinstyle="round"/>
                  <v:imagedata o:title=""/>
                  <o:lock v:ext="edit" aspectratio="f"/>
                </v:shape>
              </v:group>
            </w:pict>
          </mc:Fallback>
        </mc:AlternateContent>
      </w:r>
    </w:p>
    <w:p w14:paraId="402B2A76">
      <w:pPr>
        <w:rPr>
          <w:rFonts w:ascii="Times New Roman"/>
          <w:sz w:val="24"/>
          <w:szCs w:val="20"/>
        </w:rPr>
      </w:pPr>
    </w:p>
    <w:p w14:paraId="3074660E">
      <w:pPr>
        <w:rPr>
          <w:rFonts w:ascii="Times New Roman"/>
          <w:sz w:val="24"/>
          <w:szCs w:val="20"/>
        </w:rPr>
      </w:pPr>
    </w:p>
    <w:p w14:paraId="07ED7EBB">
      <w:pPr>
        <w:rPr>
          <w:rFonts w:ascii="Times New Roman"/>
          <w:sz w:val="24"/>
          <w:szCs w:val="20"/>
        </w:rPr>
      </w:pPr>
    </w:p>
    <w:p w14:paraId="4CA13036">
      <w:pPr>
        <w:rPr>
          <w:rFonts w:ascii="Times New Roman"/>
          <w:sz w:val="24"/>
          <w:szCs w:val="20"/>
        </w:rPr>
      </w:pPr>
    </w:p>
    <w:p w14:paraId="2E63313B">
      <w:pPr>
        <w:rPr>
          <w:rFonts w:ascii="Times New Roman"/>
          <w:sz w:val="24"/>
          <w:szCs w:val="20"/>
        </w:rPr>
      </w:pPr>
    </w:p>
    <w:p w14:paraId="2BF91EDD">
      <w:pPr>
        <w:rPr>
          <w:rFonts w:ascii="Times New Roman"/>
          <w:sz w:val="24"/>
          <w:szCs w:val="20"/>
        </w:rPr>
      </w:pPr>
    </w:p>
    <w:p w14:paraId="62F6318A">
      <w:pPr>
        <w:rPr>
          <w:rFonts w:ascii="Times New Roman"/>
          <w:sz w:val="24"/>
          <w:szCs w:val="20"/>
        </w:rPr>
      </w:pPr>
    </w:p>
    <w:p w14:paraId="0F72F2FD">
      <w:pPr>
        <w:rPr>
          <w:rFonts w:ascii="Times New Roman"/>
          <w:sz w:val="24"/>
          <w:szCs w:val="20"/>
        </w:rPr>
      </w:pPr>
    </w:p>
    <w:p w14:paraId="0636ADC2">
      <w:pPr>
        <w:rPr>
          <w:rFonts w:ascii="Times New Roman"/>
          <w:sz w:val="24"/>
          <w:szCs w:val="20"/>
        </w:rPr>
      </w:pPr>
    </w:p>
    <w:p w14:paraId="05572C9E">
      <w:pPr>
        <w:rPr>
          <w:rFonts w:ascii="Times New Roman"/>
          <w:sz w:val="24"/>
          <w:szCs w:val="20"/>
        </w:rPr>
      </w:pPr>
    </w:p>
    <w:p w14:paraId="4C1BCD3E">
      <w:pPr>
        <w:rPr>
          <w:rFonts w:ascii="Times New Roman"/>
          <w:sz w:val="24"/>
          <w:szCs w:val="20"/>
        </w:rPr>
      </w:pPr>
    </w:p>
    <w:p w14:paraId="5E4439CF">
      <w:pPr>
        <w:rPr>
          <w:rFonts w:ascii="Times New Roman"/>
          <w:sz w:val="24"/>
          <w:szCs w:val="20"/>
        </w:rPr>
      </w:pPr>
    </w:p>
    <w:p w14:paraId="1B62D6A3">
      <w:pPr>
        <w:rPr>
          <w:rFonts w:ascii="Times New Roman"/>
          <w:sz w:val="24"/>
          <w:szCs w:val="20"/>
        </w:rPr>
      </w:pPr>
    </w:p>
    <w:p w14:paraId="2E28AE6C">
      <w:pPr>
        <w:rPr>
          <w:rFonts w:ascii="Times New Roman"/>
          <w:sz w:val="24"/>
          <w:szCs w:val="20"/>
        </w:rPr>
      </w:pPr>
    </w:p>
    <w:p w14:paraId="4594E826">
      <w:pPr>
        <w:rPr>
          <w:rFonts w:ascii="Times New Roman"/>
          <w:sz w:val="24"/>
          <w:szCs w:val="20"/>
        </w:rPr>
      </w:pPr>
    </w:p>
    <w:p w14:paraId="25BCD2A5">
      <w:pPr>
        <w:rPr>
          <w:rFonts w:ascii="Times New Roman"/>
          <w:sz w:val="24"/>
          <w:szCs w:val="20"/>
        </w:rPr>
      </w:pPr>
    </w:p>
    <w:p w14:paraId="250B9F4D">
      <w:pPr>
        <w:rPr>
          <w:rFonts w:ascii="Times New Roman"/>
          <w:sz w:val="24"/>
          <w:szCs w:val="20"/>
        </w:rPr>
      </w:pPr>
    </w:p>
    <w:p w14:paraId="28CA059A">
      <w:pPr>
        <w:rPr>
          <w:rFonts w:ascii="Times New Roman"/>
          <w:sz w:val="24"/>
          <w:szCs w:val="20"/>
        </w:rPr>
      </w:pPr>
    </w:p>
    <w:p w14:paraId="17BC515D">
      <w:pPr>
        <w:rPr>
          <w:rFonts w:ascii="Times New Roman"/>
          <w:sz w:val="24"/>
          <w:szCs w:val="20"/>
        </w:rPr>
      </w:pPr>
    </w:p>
    <w:p w14:paraId="1266165C">
      <w:pPr>
        <w:rPr>
          <w:rFonts w:ascii="Times New Roman"/>
          <w:sz w:val="24"/>
          <w:szCs w:val="20"/>
        </w:rPr>
      </w:pPr>
    </w:p>
    <w:p w14:paraId="5C8BE22E">
      <w:pPr>
        <w:spacing w:line="440" w:lineRule="exact"/>
        <w:ind w:firstLine="482" w:firstLineChars="200"/>
        <w:jc w:val="center"/>
        <w:rPr>
          <w:rFonts w:ascii="Times New Roman"/>
          <w:b/>
          <w:spacing w:val="6"/>
          <w:sz w:val="24"/>
          <w:szCs w:val="24"/>
        </w:rPr>
      </w:pPr>
      <w:r>
        <w:rPr>
          <w:rFonts w:ascii="Times New Roman"/>
          <w:b/>
          <w:kern w:val="0"/>
          <w:sz w:val="24"/>
          <w:szCs w:val="24"/>
        </w:rPr>
        <w:t xml:space="preserve">图 </w:t>
      </w:r>
      <w:r>
        <w:rPr>
          <w:rFonts w:ascii="Times New Roman"/>
          <w:b/>
          <w:bCs/>
          <w:kern w:val="0"/>
          <w:sz w:val="24"/>
          <w:szCs w:val="24"/>
        </w:rPr>
        <w:t xml:space="preserve">3.5-4  </w:t>
      </w:r>
      <w:r>
        <w:rPr>
          <w:rFonts w:ascii="Times New Roman"/>
          <w:b/>
          <w:kern w:val="0"/>
          <w:sz w:val="24"/>
          <w:szCs w:val="24"/>
        </w:rPr>
        <w:t>油漆中VOCs物料平衡图（单位：t/a）</w:t>
      </w:r>
    </w:p>
    <w:p w14:paraId="65575EB1">
      <w:pPr>
        <w:spacing w:line="440" w:lineRule="exact"/>
        <w:rPr>
          <w:rFonts w:ascii="Times New Roman"/>
          <w:b/>
          <w:bCs/>
          <w:sz w:val="24"/>
          <w:szCs w:val="24"/>
        </w:rPr>
      </w:pPr>
    </w:p>
    <w:p w14:paraId="77EA29E2">
      <w:pPr>
        <w:spacing w:line="440" w:lineRule="exact"/>
        <w:rPr>
          <w:rFonts w:ascii="Times New Roman"/>
          <w:b/>
          <w:bCs/>
          <w:sz w:val="24"/>
          <w:szCs w:val="24"/>
        </w:rPr>
      </w:pPr>
      <w:r>
        <w:rPr>
          <w:rFonts w:ascii="Times New Roman"/>
          <w:b/>
          <w:bCs/>
          <w:sz w:val="24"/>
          <w:szCs w:val="24"/>
        </w:rPr>
        <w:t>（3）二甲苯物料平衡</w:t>
      </w:r>
    </w:p>
    <w:p w14:paraId="06E05C03">
      <w:pPr>
        <w:spacing w:line="440" w:lineRule="exact"/>
        <w:ind w:firstLine="470" w:firstLineChars="196"/>
        <w:rPr>
          <w:rFonts w:ascii="Times New Roman"/>
          <w:sz w:val="24"/>
          <w:szCs w:val="20"/>
        </w:rPr>
      </w:pPr>
      <w:r>
        <w:rPr>
          <w:rFonts w:ascii="Times New Roman"/>
          <w:sz w:val="24"/>
          <w:szCs w:val="20"/>
        </w:rPr>
        <w:t>项目油漆中二甲苯物料平衡见下表和下图。</w:t>
      </w:r>
    </w:p>
    <w:p w14:paraId="5CCA8110">
      <w:pPr>
        <w:spacing w:line="440" w:lineRule="exact"/>
        <w:jc w:val="center"/>
        <w:rPr>
          <w:rFonts w:ascii="Times New Roman"/>
          <w:b/>
          <w:bCs/>
          <w:kern w:val="0"/>
          <w:sz w:val="24"/>
        </w:rPr>
      </w:pPr>
      <w:r>
        <w:rPr>
          <w:rFonts w:ascii="Times New Roman"/>
          <w:b/>
          <w:bCs/>
          <w:kern w:val="0"/>
          <w:sz w:val="24"/>
        </w:rPr>
        <w:t>表3.5-6  项目油漆中二甲苯物料平衡表</w:t>
      </w:r>
    </w:p>
    <w:tbl>
      <w:tblPr>
        <w:tblStyle w:val="84"/>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1003"/>
        <w:gridCol w:w="1002"/>
        <w:gridCol w:w="1144"/>
        <w:gridCol w:w="864"/>
        <w:gridCol w:w="2585"/>
        <w:gridCol w:w="813"/>
      </w:tblGrid>
      <w:tr w14:paraId="7944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981" w:type="pct"/>
            <w:gridSpan w:val="5"/>
            <w:tcBorders>
              <w:right w:val="single" w:color="auto" w:sz="4" w:space="0"/>
            </w:tcBorders>
            <w:vAlign w:val="center"/>
          </w:tcPr>
          <w:p w14:paraId="3B288F70">
            <w:pPr>
              <w:adjustRightInd w:val="0"/>
              <w:snapToGrid w:val="0"/>
              <w:jc w:val="center"/>
              <w:rPr>
                <w:rFonts w:ascii="Times New Roman"/>
                <w:sz w:val="21"/>
                <w:szCs w:val="21"/>
              </w:rPr>
            </w:pPr>
            <w:r>
              <w:rPr>
                <w:rFonts w:ascii="Times New Roman"/>
                <w:sz w:val="21"/>
                <w:szCs w:val="21"/>
              </w:rPr>
              <w:t>进入（单位：t/a）</w:t>
            </w:r>
          </w:p>
        </w:tc>
        <w:tc>
          <w:tcPr>
            <w:tcW w:w="2018" w:type="pct"/>
            <w:gridSpan w:val="2"/>
            <w:tcBorders>
              <w:left w:val="single" w:color="auto" w:sz="4" w:space="0"/>
            </w:tcBorders>
            <w:vAlign w:val="center"/>
          </w:tcPr>
          <w:p w14:paraId="3C9C75AF">
            <w:pPr>
              <w:adjustRightInd w:val="0"/>
              <w:snapToGrid w:val="0"/>
              <w:jc w:val="center"/>
              <w:rPr>
                <w:rFonts w:ascii="Times New Roman"/>
                <w:sz w:val="21"/>
                <w:szCs w:val="21"/>
              </w:rPr>
            </w:pPr>
            <w:r>
              <w:rPr>
                <w:rFonts w:ascii="Times New Roman"/>
                <w:sz w:val="21"/>
                <w:szCs w:val="21"/>
              </w:rPr>
              <w:t>产出或排出（单位：t/a）</w:t>
            </w:r>
          </w:p>
        </w:tc>
      </w:tr>
      <w:tr w14:paraId="5127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1194" w:type="pct"/>
            <w:gridSpan w:val="2"/>
            <w:vAlign w:val="center"/>
          </w:tcPr>
          <w:p w14:paraId="7FB7BFFC">
            <w:pPr>
              <w:adjustRightInd w:val="0"/>
              <w:snapToGrid w:val="0"/>
              <w:jc w:val="center"/>
              <w:rPr>
                <w:rFonts w:ascii="Times New Roman"/>
                <w:sz w:val="21"/>
                <w:szCs w:val="21"/>
              </w:rPr>
            </w:pPr>
            <w:r>
              <w:rPr>
                <w:rFonts w:ascii="Times New Roman"/>
                <w:sz w:val="21"/>
                <w:szCs w:val="21"/>
              </w:rPr>
              <w:t>名称</w:t>
            </w:r>
          </w:p>
        </w:tc>
        <w:tc>
          <w:tcPr>
            <w:tcW w:w="595" w:type="pct"/>
            <w:vAlign w:val="center"/>
          </w:tcPr>
          <w:p w14:paraId="7EA6E60C">
            <w:pPr>
              <w:adjustRightInd w:val="0"/>
              <w:snapToGrid w:val="0"/>
              <w:jc w:val="center"/>
              <w:rPr>
                <w:rFonts w:ascii="Times New Roman"/>
                <w:sz w:val="21"/>
                <w:szCs w:val="21"/>
              </w:rPr>
            </w:pPr>
            <w:r>
              <w:rPr>
                <w:rFonts w:ascii="Times New Roman"/>
                <w:sz w:val="21"/>
                <w:szCs w:val="21"/>
              </w:rPr>
              <w:t>年用量</w:t>
            </w:r>
          </w:p>
        </w:tc>
        <w:tc>
          <w:tcPr>
            <w:tcW w:w="678" w:type="pct"/>
            <w:vAlign w:val="center"/>
          </w:tcPr>
          <w:p w14:paraId="0EFAE792">
            <w:pPr>
              <w:adjustRightInd w:val="0"/>
              <w:snapToGrid w:val="0"/>
              <w:jc w:val="center"/>
              <w:rPr>
                <w:rFonts w:ascii="Times New Roman"/>
                <w:sz w:val="21"/>
                <w:szCs w:val="21"/>
              </w:rPr>
            </w:pPr>
            <w:r>
              <w:rPr>
                <w:rFonts w:ascii="Times New Roman"/>
                <w:sz w:val="21"/>
                <w:szCs w:val="21"/>
              </w:rPr>
              <w:t>二甲苯含量，%</w:t>
            </w:r>
          </w:p>
        </w:tc>
        <w:tc>
          <w:tcPr>
            <w:tcW w:w="513" w:type="pct"/>
            <w:vAlign w:val="center"/>
          </w:tcPr>
          <w:p w14:paraId="08F06B06">
            <w:pPr>
              <w:adjustRightInd w:val="0"/>
              <w:snapToGrid w:val="0"/>
              <w:jc w:val="center"/>
              <w:rPr>
                <w:rFonts w:ascii="Times New Roman"/>
                <w:sz w:val="21"/>
                <w:szCs w:val="21"/>
              </w:rPr>
            </w:pPr>
            <w:r>
              <w:rPr>
                <w:rFonts w:ascii="Times New Roman"/>
                <w:sz w:val="21"/>
                <w:szCs w:val="21"/>
              </w:rPr>
              <w:t>进入量</w:t>
            </w:r>
          </w:p>
        </w:tc>
        <w:tc>
          <w:tcPr>
            <w:tcW w:w="1535" w:type="pct"/>
            <w:tcBorders>
              <w:right w:val="single" w:color="auto" w:sz="2" w:space="0"/>
            </w:tcBorders>
            <w:vAlign w:val="center"/>
          </w:tcPr>
          <w:p w14:paraId="21A27D98">
            <w:pPr>
              <w:adjustRightInd w:val="0"/>
              <w:snapToGrid w:val="0"/>
              <w:jc w:val="center"/>
              <w:rPr>
                <w:rFonts w:ascii="Times New Roman"/>
                <w:sz w:val="21"/>
                <w:szCs w:val="21"/>
              </w:rPr>
            </w:pPr>
            <w:r>
              <w:rPr>
                <w:rFonts w:ascii="Times New Roman"/>
                <w:sz w:val="21"/>
                <w:szCs w:val="21"/>
              </w:rPr>
              <w:t>名称</w:t>
            </w:r>
          </w:p>
        </w:tc>
        <w:tc>
          <w:tcPr>
            <w:tcW w:w="482" w:type="pct"/>
            <w:tcBorders>
              <w:left w:val="single" w:color="auto" w:sz="2" w:space="0"/>
            </w:tcBorders>
            <w:vAlign w:val="center"/>
          </w:tcPr>
          <w:p w14:paraId="552A0EE7">
            <w:pPr>
              <w:adjustRightInd w:val="0"/>
              <w:snapToGrid w:val="0"/>
              <w:jc w:val="center"/>
              <w:rPr>
                <w:rFonts w:ascii="Times New Roman"/>
                <w:sz w:val="21"/>
                <w:szCs w:val="21"/>
              </w:rPr>
            </w:pPr>
            <w:r>
              <w:rPr>
                <w:rFonts w:ascii="Times New Roman"/>
                <w:sz w:val="21"/>
                <w:szCs w:val="21"/>
              </w:rPr>
              <w:t>产出或排出量</w:t>
            </w:r>
          </w:p>
        </w:tc>
      </w:tr>
      <w:tr w14:paraId="5476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599" w:type="pct"/>
            <w:vMerge w:val="restart"/>
            <w:vAlign w:val="center"/>
          </w:tcPr>
          <w:p w14:paraId="18AE4CD3">
            <w:pPr>
              <w:jc w:val="center"/>
              <w:rPr>
                <w:rFonts w:ascii="Times New Roman"/>
                <w:sz w:val="21"/>
                <w:szCs w:val="21"/>
              </w:rPr>
            </w:pPr>
            <w:r>
              <w:rPr>
                <w:rFonts w:ascii="Times New Roman"/>
                <w:kern w:val="0"/>
                <w:sz w:val="21"/>
                <w:szCs w:val="21"/>
              </w:rPr>
              <w:t>底漆</w:t>
            </w:r>
          </w:p>
        </w:tc>
        <w:tc>
          <w:tcPr>
            <w:tcW w:w="595" w:type="pct"/>
            <w:vAlign w:val="center"/>
          </w:tcPr>
          <w:p w14:paraId="736E86B2">
            <w:pPr>
              <w:jc w:val="center"/>
              <w:rPr>
                <w:rFonts w:ascii="Times New Roman"/>
                <w:sz w:val="21"/>
                <w:szCs w:val="21"/>
              </w:rPr>
            </w:pPr>
            <w:r>
              <w:rPr>
                <w:rFonts w:ascii="Times New Roman"/>
                <w:sz w:val="21"/>
                <w:szCs w:val="21"/>
              </w:rPr>
              <w:t>底漆</w:t>
            </w:r>
          </w:p>
        </w:tc>
        <w:tc>
          <w:tcPr>
            <w:tcW w:w="595" w:type="pct"/>
            <w:shd w:val="clear" w:color="auto" w:fill="auto"/>
            <w:vAlign w:val="center"/>
          </w:tcPr>
          <w:p w14:paraId="4C8C906A">
            <w:pPr>
              <w:widowControl/>
              <w:jc w:val="center"/>
              <w:rPr>
                <w:rFonts w:ascii="Times New Roman"/>
                <w:kern w:val="0"/>
                <w:sz w:val="21"/>
                <w:szCs w:val="21"/>
              </w:rPr>
            </w:pPr>
            <w:r>
              <w:rPr>
                <w:rFonts w:hint="eastAsia" w:ascii="Times New Roman"/>
                <w:kern w:val="0"/>
                <w:sz w:val="21"/>
                <w:szCs w:val="21"/>
              </w:rPr>
              <w:t>89</w:t>
            </w:r>
          </w:p>
        </w:tc>
        <w:tc>
          <w:tcPr>
            <w:tcW w:w="678" w:type="pct"/>
            <w:vAlign w:val="center"/>
          </w:tcPr>
          <w:p w14:paraId="0AC11A1C">
            <w:pPr>
              <w:widowControl/>
              <w:jc w:val="center"/>
              <w:rPr>
                <w:rFonts w:ascii="Times New Roman"/>
                <w:kern w:val="0"/>
                <w:sz w:val="21"/>
                <w:szCs w:val="21"/>
              </w:rPr>
            </w:pPr>
            <w:r>
              <w:rPr>
                <w:rFonts w:ascii="Times New Roman"/>
                <w:kern w:val="0"/>
                <w:sz w:val="21"/>
                <w:szCs w:val="21"/>
              </w:rPr>
              <w:t>3</w:t>
            </w:r>
          </w:p>
        </w:tc>
        <w:tc>
          <w:tcPr>
            <w:tcW w:w="513" w:type="pct"/>
            <w:vAlign w:val="center"/>
          </w:tcPr>
          <w:p w14:paraId="733362C9">
            <w:pPr>
              <w:jc w:val="center"/>
              <w:rPr>
                <w:rFonts w:ascii="Times New Roman"/>
                <w:sz w:val="21"/>
                <w:szCs w:val="21"/>
              </w:rPr>
            </w:pPr>
            <w:r>
              <w:rPr>
                <w:rFonts w:hint="eastAsia" w:ascii="Times New Roman"/>
                <w:sz w:val="21"/>
                <w:szCs w:val="21"/>
              </w:rPr>
              <w:t>2.67</w:t>
            </w:r>
          </w:p>
        </w:tc>
        <w:tc>
          <w:tcPr>
            <w:tcW w:w="1535" w:type="pct"/>
            <w:tcBorders>
              <w:right w:val="single" w:color="auto" w:sz="2" w:space="0"/>
            </w:tcBorders>
            <w:vAlign w:val="center"/>
          </w:tcPr>
          <w:p w14:paraId="04F560C3">
            <w:pPr>
              <w:adjustRightInd w:val="0"/>
              <w:snapToGrid w:val="0"/>
              <w:jc w:val="center"/>
              <w:rPr>
                <w:rFonts w:ascii="Times New Roman"/>
                <w:sz w:val="21"/>
                <w:szCs w:val="21"/>
              </w:rPr>
            </w:pPr>
            <w:r>
              <w:rPr>
                <w:rFonts w:ascii="Times New Roman"/>
                <w:kern w:val="0"/>
                <w:sz w:val="21"/>
                <w:szCs w:val="21"/>
              </w:rPr>
              <w:t>沸石轮转吸附+RTO焚烧装置</w:t>
            </w:r>
            <w:r>
              <w:rPr>
                <w:rFonts w:ascii="Times New Roman"/>
                <w:sz w:val="21"/>
                <w:szCs w:val="21"/>
              </w:rPr>
              <w:t>净化二甲苯</w:t>
            </w:r>
          </w:p>
        </w:tc>
        <w:tc>
          <w:tcPr>
            <w:tcW w:w="482" w:type="pct"/>
            <w:tcBorders>
              <w:left w:val="single" w:color="auto" w:sz="2" w:space="0"/>
            </w:tcBorders>
            <w:vAlign w:val="center"/>
          </w:tcPr>
          <w:p w14:paraId="495926B9">
            <w:pPr>
              <w:jc w:val="center"/>
              <w:rPr>
                <w:rFonts w:ascii="Times New Roman"/>
                <w:sz w:val="21"/>
                <w:szCs w:val="21"/>
              </w:rPr>
            </w:pPr>
            <w:r>
              <w:rPr>
                <w:rFonts w:hint="eastAsia" w:ascii="Times New Roman"/>
                <w:sz w:val="21"/>
                <w:szCs w:val="21"/>
              </w:rPr>
              <w:t>87.145</w:t>
            </w:r>
          </w:p>
        </w:tc>
      </w:tr>
      <w:tr w14:paraId="7A23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99" w:type="pct"/>
            <w:vMerge w:val="continue"/>
            <w:vAlign w:val="center"/>
          </w:tcPr>
          <w:p w14:paraId="6E51A901">
            <w:pPr>
              <w:jc w:val="center"/>
              <w:rPr>
                <w:rFonts w:ascii="Times New Roman"/>
                <w:kern w:val="0"/>
                <w:sz w:val="21"/>
                <w:szCs w:val="21"/>
              </w:rPr>
            </w:pPr>
          </w:p>
        </w:tc>
        <w:tc>
          <w:tcPr>
            <w:tcW w:w="595" w:type="pct"/>
            <w:vAlign w:val="center"/>
          </w:tcPr>
          <w:p w14:paraId="4E7AE188">
            <w:pPr>
              <w:jc w:val="center"/>
              <w:rPr>
                <w:rFonts w:ascii="Times New Roman"/>
                <w:sz w:val="21"/>
                <w:szCs w:val="21"/>
              </w:rPr>
            </w:pPr>
            <w:r>
              <w:rPr>
                <w:rFonts w:ascii="Times New Roman"/>
                <w:sz w:val="21"/>
                <w:szCs w:val="21"/>
              </w:rPr>
              <w:t>稀释剂</w:t>
            </w:r>
          </w:p>
        </w:tc>
        <w:tc>
          <w:tcPr>
            <w:tcW w:w="595" w:type="pct"/>
            <w:shd w:val="clear" w:color="auto" w:fill="auto"/>
            <w:vAlign w:val="center"/>
          </w:tcPr>
          <w:p w14:paraId="7B699305">
            <w:pPr>
              <w:widowControl/>
              <w:jc w:val="center"/>
              <w:rPr>
                <w:rFonts w:ascii="Times New Roman"/>
                <w:kern w:val="0"/>
                <w:sz w:val="21"/>
                <w:szCs w:val="21"/>
              </w:rPr>
            </w:pPr>
            <w:r>
              <w:rPr>
                <w:rFonts w:hint="eastAsia" w:ascii="Times New Roman"/>
                <w:kern w:val="0"/>
                <w:sz w:val="21"/>
                <w:szCs w:val="21"/>
              </w:rPr>
              <w:t>28.5</w:t>
            </w:r>
          </w:p>
        </w:tc>
        <w:tc>
          <w:tcPr>
            <w:tcW w:w="678" w:type="pct"/>
            <w:vAlign w:val="center"/>
          </w:tcPr>
          <w:p w14:paraId="21BE758D">
            <w:pPr>
              <w:widowControl/>
              <w:jc w:val="center"/>
              <w:rPr>
                <w:rFonts w:ascii="Times New Roman"/>
                <w:sz w:val="21"/>
                <w:szCs w:val="21"/>
              </w:rPr>
            </w:pPr>
            <w:r>
              <w:rPr>
                <w:rFonts w:ascii="Times New Roman"/>
                <w:sz w:val="21"/>
                <w:szCs w:val="21"/>
              </w:rPr>
              <w:t>15</w:t>
            </w:r>
          </w:p>
        </w:tc>
        <w:tc>
          <w:tcPr>
            <w:tcW w:w="513" w:type="pct"/>
            <w:vAlign w:val="center"/>
          </w:tcPr>
          <w:p w14:paraId="1BF2BC29">
            <w:pPr>
              <w:jc w:val="center"/>
              <w:rPr>
                <w:rFonts w:ascii="Times New Roman"/>
                <w:sz w:val="21"/>
                <w:szCs w:val="21"/>
              </w:rPr>
            </w:pPr>
            <w:r>
              <w:rPr>
                <w:rFonts w:hint="eastAsia" w:ascii="Times New Roman"/>
                <w:sz w:val="21"/>
                <w:szCs w:val="21"/>
              </w:rPr>
              <w:t>4.275</w:t>
            </w:r>
          </w:p>
        </w:tc>
        <w:tc>
          <w:tcPr>
            <w:tcW w:w="1535" w:type="pct"/>
            <w:tcBorders>
              <w:right w:val="single" w:color="auto" w:sz="2" w:space="0"/>
            </w:tcBorders>
            <w:vAlign w:val="center"/>
          </w:tcPr>
          <w:p w14:paraId="6AD580C5">
            <w:pPr>
              <w:adjustRightInd w:val="0"/>
              <w:snapToGrid w:val="0"/>
              <w:jc w:val="center"/>
              <w:rPr>
                <w:rFonts w:ascii="Times New Roman"/>
                <w:sz w:val="21"/>
                <w:szCs w:val="21"/>
              </w:rPr>
            </w:pPr>
            <w:r>
              <w:rPr>
                <w:rFonts w:ascii="Times New Roman"/>
                <w:sz w:val="21"/>
                <w:szCs w:val="21"/>
              </w:rPr>
              <w:t>有组织排放二甲苯</w:t>
            </w:r>
          </w:p>
        </w:tc>
        <w:tc>
          <w:tcPr>
            <w:tcW w:w="482" w:type="pct"/>
            <w:tcBorders>
              <w:left w:val="single" w:color="auto" w:sz="2" w:space="0"/>
            </w:tcBorders>
            <w:vAlign w:val="center"/>
          </w:tcPr>
          <w:p w14:paraId="6C863788">
            <w:pPr>
              <w:jc w:val="center"/>
              <w:rPr>
                <w:rFonts w:ascii="Times New Roman"/>
                <w:sz w:val="21"/>
                <w:szCs w:val="21"/>
              </w:rPr>
            </w:pPr>
            <w:r>
              <w:rPr>
                <w:rFonts w:hint="eastAsia" w:ascii="Times New Roman"/>
                <w:sz w:val="21"/>
                <w:szCs w:val="21"/>
              </w:rPr>
              <w:t>4.587</w:t>
            </w:r>
          </w:p>
        </w:tc>
      </w:tr>
      <w:tr w14:paraId="0A34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99" w:type="pct"/>
            <w:vMerge w:val="restart"/>
            <w:vAlign w:val="center"/>
          </w:tcPr>
          <w:p w14:paraId="01BC02B3">
            <w:pPr>
              <w:jc w:val="center"/>
              <w:rPr>
                <w:rFonts w:ascii="Times New Roman"/>
                <w:sz w:val="21"/>
                <w:szCs w:val="21"/>
              </w:rPr>
            </w:pPr>
            <w:r>
              <w:rPr>
                <w:rFonts w:ascii="Times New Roman"/>
                <w:sz w:val="21"/>
                <w:szCs w:val="21"/>
              </w:rPr>
              <w:t>中间漆</w:t>
            </w:r>
          </w:p>
        </w:tc>
        <w:tc>
          <w:tcPr>
            <w:tcW w:w="595" w:type="pct"/>
            <w:vAlign w:val="center"/>
          </w:tcPr>
          <w:p w14:paraId="02B68AE3">
            <w:pPr>
              <w:jc w:val="center"/>
              <w:rPr>
                <w:rFonts w:ascii="Times New Roman"/>
                <w:sz w:val="21"/>
                <w:szCs w:val="21"/>
              </w:rPr>
            </w:pPr>
            <w:r>
              <w:rPr>
                <w:rFonts w:ascii="Times New Roman"/>
                <w:sz w:val="21"/>
                <w:szCs w:val="21"/>
              </w:rPr>
              <w:t>中漆</w:t>
            </w:r>
          </w:p>
        </w:tc>
        <w:tc>
          <w:tcPr>
            <w:tcW w:w="595" w:type="pct"/>
            <w:shd w:val="clear" w:color="auto" w:fill="auto"/>
            <w:vAlign w:val="center"/>
          </w:tcPr>
          <w:p w14:paraId="792DF813">
            <w:pPr>
              <w:widowControl/>
              <w:jc w:val="center"/>
              <w:rPr>
                <w:rFonts w:ascii="Times New Roman"/>
                <w:kern w:val="0"/>
                <w:sz w:val="21"/>
                <w:szCs w:val="21"/>
              </w:rPr>
            </w:pPr>
            <w:r>
              <w:rPr>
                <w:rFonts w:hint="eastAsia" w:ascii="Times New Roman"/>
                <w:kern w:val="0"/>
                <w:sz w:val="21"/>
                <w:szCs w:val="21"/>
              </w:rPr>
              <w:t>332</w:t>
            </w:r>
          </w:p>
        </w:tc>
        <w:tc>
          <w:tcPr>
            <w:tcW w:w="678" w:type="pct"/>
            <w:vAlign w:val="center"/>
          </w:tcPr>
          <w:p w14:paraId="412528C0">
            <w:pPr>
              <w:widowControl/>
              <w:jc w:val="center"/>
              <w:rPr>
                <w:rFonts w:ascii="Times New Roman"/>
                <w:sz w:val="21"/>
                <w:szCs w:val="21"/>
              </w:rPr>
            </w:pPr>
            <w:r>
              <w:rPr>
                <w:rFonts w:ascii="Times New Roman"/>
                <w:sz w:val="21"/>
                <w:szCs w:val="21"/>
              </w:rPr>
              <w:t>3</w:t>
            </w:r>
          </w:p>
        </w:tc>
        <w:tc>
          <w:tcPr>
            <w:tcW w:w="513" w:type="pct"/>
            <w:vAlign w:val="center"/>
          </w:tcPr>
          <w:p w14:paraId="0D68AEEF">
            <w:pPr>
              <w:jc w:val="center"/>
              <w:rPr>
                <w:rFonts w:ascii="Times New Roman"/>
                <w:sz w:val="21"/>
                <w:szCs w:val="21"/>
              </w:rPr>
            </w:pPr>
            <w:r>
              <w:rPr>
                <w:rFonts w:hint="eastAsia" w:ascii="Times New Roman"/>
                <w:sz w:val="21"/>
                <w:szCs w:val="21"/>
              </w:rPr>
              <w:t>9.96</w:t>
            </w:r>
          </w:p>
        </w:tc>
        <w:tc>
          <w:tcPr>
            <w:tcW w:w="1535" w:type="pct"/>
            <w:tcBorders>
              <w:right w:val="single" w:color="auto" w:sz="2" w:space="0"/>
            </w:tcBorders>
            <w:vAlign w:val="center"/>
          </w:tcPr>
          <w:p w14:paraId="17BE7DA4">
            <w:pPr>
              <w:adjustRightInd w:val="0"/>
              <w:snapToGrid w:val="0"/>
              <w:jc w:val="center"/>
              <w:rPr>
                <w:rFonts w:ascii="Times New Roman"/>
                <w:sz w:val="21"/>
                <w:szCs w:val="21"/>
              </w:rPr>
            </w:pPr>
            <w:r>
              <w:rPr>
                <w:rFonts w:ascii="Times New Roman"/>
                <w:sz w:val="21"/>
                <w:szCs w:val="21"/>
              </w:rPr>
              <w:t>无组织排放二甲苯</w:t>
            </w:r>
          </w:p>
        </w:tc>
        <w:tc>
          <w:tcPr>
            <w:tcW w:w="482" w:type="pct"/>
            <w:tcBorders>
              <w:left w:val="single" w:color="auto" w:sz="2" w:space="0"/>
            </w:tcBorders>
            <w:vAlign w:val="center"/>
          </w:tcPr>
          <w:p w14:paraId="2ED4E428">
            <w:pPr>
              <w:jc w:val="center"/>
              <w:rPr>
                <w:rFonts w:ascii="Times New Roman"/>
                <w:sz w:val="21"/>
                <w:szCs w:val="21"/>
              </w:rPr>
            </w:pPr>
            <w:r>
              <w:rPr>
                <w:rFonts w:hint="eastAsia" w:ascii="Times New Roman"/>
                <w:sz w:val="21"/>
                <w:szCs w:val="21"/>
              </w:rPr>
              <w:t>4.828</w:t>
            </w:r>
          </w:p>
        </w:tc>
      </w:tr>
      <w:tr w14:paraId="1DB5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99" w:type="pct"/>
            <w:vMerge w:val="continue"/>
            <w:vAlign w:val="center"/>
          </w:tcPr>
          <w:p w14:paraId="286BF8BF">
            <w:pPr>
              <w:jc w:val="center"/>
              <w:rPr>
                <w:rFonts w:ascii="Times New Roman"/>
                <w:sz w:val="21"/>
                <w:szCs w:val="21"/>
              </w:rPr>
            </w:pPr>
          </w:p>
        </w:tc>
        <w:tc>
          <w:tcPr>
            <w:tcW w:w="595" w:type="pct"/>
            <w:vAlign w:val="center"/>
          </w:tcPr>
          <w:p w14:paraId="1DB02E69">
            <w:pPr>
              <w:jc w:val="center"/>
              <w:rPr>
                <w:rFonts w:ascii="Times New Roman"/>
                <w:sz w:val="21"/>
                <w:szCs w:val="21"/>
              </w:rPr>
            </w:pPr>
            <w:r>
              <w:rPr>
                <w:rFonts w:ascii="Times New Roman"/>
                <w:sz w:val="21"/>
                <w:szCs w:val="21"/>
              </w:rPr>
              <w:t>稀释剂</w:t>
            </w:r>
          </w:p>
        </w:tc>
        <w:tc>
          <w:tcPr>
            <w:tcW w:w="595" w:type="pct"/>
            <w:shd w:val="clear" w:color="auto" w:fill="auto"/>
            <w:vAlign w:val="center"/>
          </w:tcPr>
          <w:p w14:paraId="4ABAE217">
            <w:pPr>
              <w:widowControl/>
              <w:jc w:val="center"/>
              <w:rPr>
                <w:rFonts w:ascii="Times New Roman"/>
                <w:kern w:val="0"/>
                <w:sz w:val="21"/>
                <w:szCs w:val="21"/>
              </w:rPr>
            </w:pPr>
            <w:r>
              <w:rPr>
                <w:rFonts w:hint="eastAsia" w:ascii="Times New Roman"/>
                <w:kern w:val="0"/>
                <w:sz w:val="21"/>
                <w:szCs w:val="21"/>
              </w:rPr>
              <w:t>106.5</w:t>
            </w:r>
          </w:p>
        </w:tc>
        <w:tc>
          <w:tcPr>
            <w:tcW w:w="678" w:type="pct"/>
            <w:vAlign w:val="center"/>
          </w:tcPr>
          <w:p w14:paraId="55E881FB">
            <w:pPr>
              <w:jc w:val="center"/>
              <w:rPr>
                <w:rFonts w:ascii="Times New Roman"/>
                <w:sz w:val="21"/>
                <w:szCs w:val="21"/>
              </w:rPr>
            </w:pPr>
            <w:r>
              <w:rPr>
                <w:rFonts w:ascii="Times New Roman"/>
                <w:sz w:val="21"/>
                <w:szCs w:val="21"/>
              </w:rPr>
              <w:t>15</w:t>
            </w:r>
          </w:p>
        </w:tc>
        <w:tc>
          <w:tcPr>
            <w:tcW w:w="513" w:type="pct"/>
            <w:vAlign w:val="center"/>
          </w:tcPr>
          <w:p w14:paraId="7CE94290">
            <w:pPr>
              <w:jc w:val="center"/>
              <w:rPr>
                <w:rFonts w:ascii="Times New Roman"/>
                <w:sz w:val="21"/>
                <w:szCs w:val="21"/>
              </w:rPr>
            </w:pPr>
            <w:r>
              <w:rPr>
                <w:rFonts w:hint="eastAsia" w:ascii="Times New Roman"/>
                <w:sz w:val="21"/>
                <w:szCs w:val="21"/>
              </w:rPr>
              <w:t>15.975</w:t>
            </w:r>
          </w:p>
        </w:tc>
        <w:tc>
          <w:tcPr>
            <w:tcW w:w="1535" w:type="pct"/>
            <w:tcBorders>
              <w:right w:val="single" w:color="auto" w:sz="2" w:space="0"/>
            </w:tcBorders>
            <w:vAlign w:val="center"/>
          </w:tcPr>
          <w:p w14:paraId="7D4D639F">
            <w:pPr>
              <w:adjustRightInd w:val="0"/>
              <w:snapToGrid w:val="0"/>
              <w:jc w:val="center"/>
              <w:rPr>
                <w:rFonts w:ascii="Times New Roman"/>
                <w:sz w:val="21"/>
                <w:szCs w:val="21"/>
              </w:rPr>
            </w:pPr>
            <w:r>
              <w:rPr>
                <w:rFonts w:ascii="Times New Roman"/>
                <w:sz w:val="21"/>
                <w:szCs w:val="21"/>
              </w:rPr>
              <w:t>--</w:t>
            </w:r>
          </w:p>
        </w:tc>
        <w:tc>
          <w:tcPr>
            <w:tcW w:w="482" w:type="pct"/>
            <w:tcBorders>
              <w:left w:val="single" w:color="auto" w:sz="2" w:space="0"/>
            </w:tcBorders>
            <w:vAlign w:val="center"/>
          </w:tcPr>
          <w:p w14:paraId="1E1D86D0">
            <w:pPr>
              <w:jc w:val="center"/>
              <w:rPr>
                <w:rFonts w:ascii="Times New Roman"/>
                <w:sz w:val="21"/>
                <w:szCs w:val="21"/>
              </w:rPr>
            </w:pPr>
            <w:r>
              <w:rPr>
                <w:rFonts w:ascii="Times New Roman"/>
                <w:sz w:val="21"/>
                <w:szCs w:val="21"/>
              </w:rPr>
              <w:t>--</w:t>
            </w:r>
          </w:p>
        </w:tc>
      </w:tr>
      <w:tr w14:paraId="4E25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99" w:type="pct"/>
            <w:vMerge w:val="restart"/>
            <w:vAlign w:val="center"/>
          </w:tcPr>
          <w:p w14:paraId="4AB21042">
            <w:pPr>
              <w:jc w:val="center"/>
              <w:rPr>
                <w:rFonts w:ascii="Times New Roman"/>
                <w:sz w:val="21"/>
                <w:szCs w:val="21"/>
              </w:rPr>
            </w:pPr>
            <w:r>
              <w:rPr>
                <w:rFonts w:ascii="Times New Roman"/>
                <w:sz w:val="21"/>
                <w:szCs w:val="21"/>
              </w:rPr>
              <w:t>面漆</w:t>
            </w:r>
          </w:p>
        </w:tc>
        <w:tc>
          <w:tcPr>
            <w:tcW w:w="595" w:type="pct"/>
            <w:vAlign w:val="center"/>
          </w:tcPr>
          <w:p w14:paraId="641267E9">
            <w:pPr>
              <w:jc w:val="center"/>
              <w:rPr>
                <w:rFonts w:ascii="Times New Roman"/>
                <w:sz w:val="21"/>
                <w:szCs w:val="21"/>
              </w:rPr>
            </w:pPr>
            <w:r>
              <w:rPr>
                <w:rFonts w:ascii="Times New Roman"/>
                <w:sz w:val="21"/>
                <w:szCs w:val="21"/>
              </w:rPr>
              <w:t>面漆</w:t>
            </w:r>
          </w:p>
        </w:tc>
        <w:tc>
          <w:tcPr>
            <w:tcW w:w="595" w:type="pct"/>
            <w:shd w:val="clear" w:color="auto" w:fill="auto"/>
            <w:vAlign w:val="center"/>
          </w:tcPr>
          <w:p w14:paraId="4A1CEBE9">
            <w:pPr>
              <w:jc w:val="center"/>
              <w:rPr>
                <w:rFonts w:ascii="Times New Roman"/>
                <w:sz w:val="21"/>
                <w:szCs w:val="21"/>
              </w:rPr>
            </w:pPr>
            <w:r>
              <w:rPr>
                <w:rFonts w:hint="eastAsia" w:ascii="Times New Roman"/>
                <w:sz w:val="21"/>
                <w:szCs w:val="21"/>
              </w:rPr>
              <w:t>319</w:t>
            </w:r>
          </w:p>
        </w:tc>
        <w:tc>
          <w:tcPr>
            <w:tcW w:w="678" w:type="pct"/>
            <w:vAlign w:val="center"/>
          </w:tcPr>
          <w:p w14:paraId="4AA5ED40">
            <w:pPr>
              <w:jc w:val="center"/>
              <w:rPr>
                <w:rFonts w:ascii="Times New Roman"/>
                <w:sz w:val="21"/>
                <w:szCs w:val="21"/>
              </w:rPr>
            </w:pPr>
            <w:r>
              <w:rPr>
                <w:rFonts w:ascii="Times New Roman"/>
                <w:sz w:val="21"/>
                <w:szCs w:val="21"/>
              </w:rPr>
              <w:t>12</w:t>
            </w:r>
          </w:p>
        </w:tc>
        <w:tc>
          <w:tcPr>
            <w:tcW w:w="513" w:type="pct"/>
            <w:vAlign w:val="center"/>
          </w:tcPr>
          <w:p w14:paraId="55B26178">
            <w:pPr>
              <w:jc w:val="center"/>
              <w:rPr>
                <w:rFonts w:ascii="Times New Roman"/>
                <w:sz w:val="21"/>
                <w:szCs w:val="21"/>
              </w:rPr>
            </w:pPr>
            <w:r>
              <w:rPr>
                <w:rFonts w:hint="eastAsia" w:ascii="Times New Roman"/>
                <w:sz w:val="21"/>
                <w:szCs w:val="21"/>
              </w:rPr>
              <w:t>38.28</w:t>
            </w:r>
          </w:p>
        </w:tc>
        <w:tc>
          <w:tcPr>
            <w:tcW w:w="1535" w:type="pct"/>
            <w:tcBorders>
              <w:right w:val="single" w:color="auto" w:sz="2" w:space="0"/>
            </w:tcBorders>
            <w:vAlign w:val="center"/>
          </w:tcPr>
          <w:p w14:paraId="66FCA63B">
            <w:pPr>
              <w:adjustRightInd w:val="0"/>
              <w:snapToGrid w:val="0"/>
              <w:jc w:val="center"/>
              <w:rPr>
                <w:rFonts w:ascii="Times New Roman"/>
                <w:sz w:val="21"/>
                <w:szCs w:val="21"/>
              </w:rPr>
            </w:pPr>
            <w:r>
              <w:rPr>
                <w:rFonts w:ascii="Times New Roman"/>
                <w:sz w:val="21"/>
                <w:szCs w:val="21"/>
              </w:rPr>
              <w:t>--</w:t>
            </w:r>
          </w:p>
        </w:tc>
        <w:tc>
          <w:tcPr>
            <w:tcW w:w="482" w:type="pct"/>
            <w:tcBorders>
              <w:left w:val="single" w:color="auto" w:sz="2" w:space="0"/>
            </w:tcBorders>
            <w:vAlign w:val="center"/>
          </w:tcPr>
          <w:p w14:paraId="65CE8763">
            <w:pPr>
              <w:jc w:val="center"/>
              <w:rPr>
                <w:rFonts w:ascii="Times New Roman"/>
                <w:sz w:val="21"/>
                <w:szCs w:val="21"/>
              </w:rPr>
            </w:pPr>
            <w:r>
              <w:rPr>
                <w:rFonts w:ascii="Times New Roman"/>
                <w:sz w:val="21"/>
                <w:szCs w:val="21"/>
              </w:rPr>
              <w:t>--</w:t>
            </w:r>
          </w:p>
        </w:tc>
      </w:tr>
      <w:tr w14:paraId="46F7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99" w:type="pct"/>
            <w:vMerge w:val="continue"/>
            <w:vAlign w:val="center"/>
          </w:tcPr>
          <w:p w14:paraId="552B2D99">
            <w:pPr>
              <w:jc w:val="center"/>
              <w:rPr>
                <w:rFonts w:ascii="Times New Roman"/>
                <w:sz w:val="21"/>
                <w:szCs w:val="21"/>
              </w:rPr>
            </w:pPr>
          </w:p>
        </w:tc>
        <w:tc>
          <w:tcPr>
            <w:tcW w:w="595" w:type="pct"/>
            <w:vAlign w:val="center"/>
          </w:tcPr>
          <w:p w14:paraId="2746B253">
            <w:pPr>
              <w:jc w:val="center"/>
              <w:rPr>
                <w:rFonts w:ascii="Times New Roman"/>
                <w:sz w:val="21"/>
                <w:szCs w:val="21"/>
              </w:rPr>
            </w:pPr>
            <w:r>
              <w:rPr>
                <w:rFonts w:ascii="Times New Roman"/>
                <w:sz w:val="21"/>
                <w:szCs w:val="21"/>
              </w:rPr>
              <w:t>稀释剂</w:t>
            </w:r>
          </w:p>
        </w:tc>
        <w:tc>
          <w:tcPr>
            <w:tcW w:w="595" w:type="pct"/>
            <w:shd w:val="clear" w:color="auto" w:fill="auto"/>
            <w:vAlign w:val="center"/>
          </w:tcPr>
          <w:p w14:paraId="6D84DFF8">
            <w:pPr>
              <w:jc w:val="center"/>
              <w:rPr>
                <w:rFonts w:ascii="Times New Roman"/>
                <w:sz w:val="21"/>
                <w:szCs w:val="21"/>
              </w:rPr>
            </w:pPr>
            <w:r>
              <w:rPr>
                <w:rFonts w:hint="eastAsia" w:ascii="Times New Roman"/>
                <w:sz w:val="21"/>
                <w:szCs w:val="21"/>
              </w:rPr>
              <w:t>127</w:t>
            </w:r>
          </w:p>
        </w:tc>
        <w:tc>
          <w:tcPr>
            <w:tcW w:w="678" w:type="pct"/>
            <w:vAlign w:val="center"/>
          </w:tcPr>
          <w:p w14:paraId="4CCE5E02">
            <w:pPr>
              <w:jc w:val="center"/>
              <w:rPr>
                <w:rFonts w:ascii="Times New Roman"/>
                <w:sz w:val="21"/>
                <w:szCs w:val="21"/>
              </w:rPr>
            </w:pPr>
            <w:r>
              <w:rPr>
                <w:rFonts w:ascii="Times New Roman"/>
                <w:sz w:val="21"/>
                <w:szCs w:val="21"/>
              </w:rPr>
              <w:t>20</w:t>
            </w:r>
          </w:p>
        </w:tc>
        <w:tc>
          <w:tcPr>
            <w:tcW w:w="513" w:type="pct"/>
            <w:vAlign w:val="center"/>
          </w:tcPr>
          <w:p w14:paraId="3C2D9072">
            <w:pPr>
              <w:jc w:val="center"/>
              <w:rPr>
                <w:rFonts w:ascii="Times New Roman"/>
                <w:sz w:val="21"/>
                <w:szCs w:val="21"/>
              </w:rPr>
            </w:pPr>
            <w:r>
              <w:rPr>
                <w:rFonts w:hint="eastAsia" w:ascii="Times New Roman"/>
                <w:sz w:val="21"/>
                <w:szCs w:val="21"/>
              </w:rPr>
              <w:t>25.4</w:t>
            </w:r>
          </w:p>
        </w:tc>
        <w:tc>
          <w:tcPr>
            <w:tcW w:w="1535" w:type="pct"/>
            <w:tcBorders>
              <w:right w:val="single" w:color="auto" w:sz="2" w:space="0"/>
            </w:tcBorders>
            <w:vAlign w:val="center"/>
          </w:tcPr>
          <w:p w14:paraId="7E8F0650">
            <w:pPr>
              <w:adjustRightInd w:val="0"/>
              <w:snapToGrid w:val="0"/>
              <w:jc w:val="center"/>
              <w:rPr>
                <w:rFonts w:ascii="Times New Roman"/>
                <w:sz w:val="21"/>
                <w:szCs w:val="21"/>
              </w:rPr>
            </w:pPr>
            <w:r>
              <w:rPr>
                <w:rFonts w:ascii="Times New Roman"/>
                <w:sz w:val="21"/>
                <w:szCs w:val="21"/>
              </w:rPr>
              <w:t>--</w:t>
            </w:r>
          </w:p>
        </w:tc>
        <w:tc>
          <w:tcPr>
            <w:tcW w:w="482" w:type="pct"/>
            <w:tcBorders>
              <w:left w:val="single" w:color="auto" w:sz="2" w:space="0"/>
            </w:tcBorders>
            <w:vAlign w:val="center"/>
          </w:tcPr>
          <w:p w14:paraId="2F84A079">
            <w:pPr>
              <w:jc w:val="center"/>
              <w:rPr>
                <w:rFonts w:ascii="Times New Roman"/>
                <w:sz w:val="21"/>
                <w:szCs w:val="21"/>
              </w:rPr>
            </w:pPr>
            <w:r>
              <w:rPr>
                <w:rFonts w:ascii="Times New Roman"/>
                <w:sz w:val="21"/>
                <w:szCs w:val="21"/>
              </w:rPr>
              <w:t>--</w:t>
            </w:r>
          </w:p>
        </w:tc>
      </w:tr>
      <w:tr w14:paraId="78E1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468" w:type="pct"/>
            <w:gridSpan w:val="4"/>
            <w:vAlign w:val="center"/>
          </w:tcPr>
          <w:p w14:paraId="22FA7E6B">
            <w:pPr>
              <w:jc w:val="center"/>
              <w:rPr>
                <w:rFonts w:ascii="Times New Roman"/>
                <w:sz w:val="21"/>
                <w:szCs w:val="21"/>
              </w:rPr>
            </w:pPr>
            <w:r>
              <w:rPr>
                <w:rFonts w:ascii="Times New Roman"/>
                <w:sz w:val="21"/>
                <w:szCs w:val="21"/>
              </w:rPr>
              <w:t>合计</w:t>
            </w:r>
          </w:p>
        </w:tc>
        <w:tc>
          <w:tcPr>
            <w:tcW w:w="513" w:type="pct"/>
            <w:vAlign w:val="center"/>
          </w:tcPr>
          <w:p w14:paraId="5D97CC29">
            <w:pPr>
              <w:jc w:val="center"/>
              <w:rPr>
                <w:rFonts w:ascii="Times New Roman"/>
                <w:sz w:val="21"/>
                <w:szCs w:val="21"/>
              </w:rPr>
            </w:pPr>
            <w:r>
              <w:rPr>
                <w:rFonts w:ascii="Times New Roman"/>
                <w:sz w:val="21"/>
                <w:szCs w:val="21"/>
              </w:rPr>
              <w:t>96.56</w:t>
            </w:r>
          </w:p>
        </w:tc>
        <w:tc>
          <w:tcPr>
            <w:tcW w:w="1535" w:type="pct"/>
            <w:tcBorders>
              <w:right w:val="single" w:color="auto" w:sz="2" w:space="0"/>
            </w:tcBorders>
            <w:vAlign w:val="center"/>
          </w:tcPr>
          <w:p w14:paraId="60BAF57B">
            <w:pPr>
              <w:adjustRightInd w:val="0"/>
              <w:snapToGrid w:val="0"/>
              <w:jc w:val="center"/>
              <w:rPr>
                <w:rFonts w:ascii="Times New Roman"/>
                <w:sz w:val="21"/>
                <w:szCs w:val="21"/>
              </w:rPr>
            </w:pPr>
            <w:r>
              <w:rPr>
                <w:rFonts w:ascii="Times New Roman"/>
                <w:sz w:val="21"/>
                <w:szCs w:val="21"/>
              </w:rPr>
              <w:t>合计</w:t>
            </w:r>
          </w:p>
        </w:tc>
        <w:tc>
          <w:tcPr>
            <w:tcW w:w="482" w:type="pct"/>
            <w:tcBorders>
              <w:left w:val="single" w:color="auto" w:sz="2" w:space="0"/>
            </w:tcBorders>
            <w:vAlign w:val="center"/>
          </w:tcPr>
          <w:p w14:paraId="4FF3B1EF">
            <w:pPr>
              <w:jc w:val="center"/>
              <w:rPr>
                <w:rFonts w:ascii="Times New Roman"/>
                <w:sz w:val="21"/>
                <w:szCs w:val="21"/>
              </w:rPr>
            </w:pPr>
            <w:r>
              <w:rPr>
                <w:rFonts w:ascii="Times New Roman"/>
                <w:sz w:val="21"/>
                <w:szCs w:val="21"/>
              </w:rPr>
              <w:t>96.56</w:t>
            </w:r>
          </w:p>
        </w:tc>
      </w:tr>
    </w:tbl>
    <w:p w14:paraId="0CA75FB6">
      <w:pPr>
        <w:rPr>
          <w:rFonts w:ascii="Times New Roman"/>
          <w:sz w:val="24"/>
          <w:szCs w:val="20"/>
        </w:rPr>
      </w:pPr>
      <w:r>
        <w:rPr>
          <w:rFonts w:ascii="Times New Roman"/>
          <w:sz w:val="24"/>
        </w:rPr>
        <mc:AlternateContent>
          <mc:Choice Requires="wpg">
            <w:drawing>
              <wp:anchor distT="0" distB="0" distL="114300" distR="114300" simplePos="0" relativeHeight="251665408" behindDoc="0" locked="0" layoutInCell="1" allowOverlap="1">
                <wp:simplePos x="0" y="0"/>
                <wp:positionH relativeFrom="column">
                  <wp:posOffset>-24765</wp:posOffset>
                </wp:positionH>
                <wp:positionV relativeFrom="paragraph">
                  <wp:posOffset>141605</wp:posOffset>
                </wp:positionV>
                <wp:extent cx="5514340" cy="4382770"/>
                <wp:effectExtent l="4445" t="4445" r="5715" b="6985"/>
                <wp:wrapNone/>
                <wp:docPr id="81" name="组合 77"/>
                <wp:cNvGraphicFramePr/>
                <a:graphic xmlns:a="http://schemas.openxmlformats.org/drawingml/2006/main">
                  <a:graphicData uri="http://schemas.microsoft.com/office/word/2010/wordprocessingGroup">
                    <wpg:wgp>
                      <wpg:cNvGrpSpPr/>
                      <wpg:grpSpPr>
                        <a:xfrm>
                          <a:off x="0" y="0"/>
                          <a:ext cx="5514340" cy="4382770"/>
                          <a:chOff x="2044" y="1328331"/>
                          <a:chExt cx="8684" cy="6902"/>
                        </a:xfrm>
                        <a:effectLst/>
                      </wpg:grpSpPr>
                      <wps:wsp>
                        <wps:cNvPr id="273" name="文本框 273"/>
                        <wps:cNvSpPr txBox="1"/>
                        <wps:spPr>
                          <a:xfrm>
                            <a:off x="2044" y="1328331"/>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2B7416">
                              <w:pPr>
                                <w:jc w:val="center"/>
                                <w:rPr>
                                  <w:rFonts w:ascii="Times New Roman"/>
                                  <w:sz w:val="18"/>
                                  <w:szCs w:val="18"/>
                                </w:rPr>
                              </w:pPr>
                              <w:r>
                                <w:rPr>
                                  <w:rFonts w:hint="eastAsia" w:ascii="Times New Roman"/>
                                  <w:sz w:val="18"/>
                                  <w:szCs w:val="18"/>
                                </w:rPr>
                                <w:t>底漆中二甲苯  2.67</w:t>
                              </w:r>
                            </w:p>
                          </w:txbxContent>
                        </wps:txbx>
                        <wps:bodyPr upright="1"/>
                      </wps:wsp>
                      <wps:wsp>
                        <wps:cNvPr id="275" name="文本框 275"/>
                        <wps:cNvSpPr txBox="1"/>
                        <wps:spPr>
                          <a:xfrm>
                            <a:off x="2074" y="1329473"/>
                            <a:ext cx="2099" cy="8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FF6B83">
                              <w:pPr>
                                <w:jc w:val="center"/>
                                <w:rPr>
                                  <w:rFonts w:ascii="Times New Roman"/>
                                  <w:sz w:val="18"/>
                                  <w:szCs w:val="18"/>
                                </w:rPr>
                              </w:pPr>
                              <w:r>
                                <w:rPr>
                                  <w:rFonts w:hint="eastAsia" w:ascii="Times New Roman"/>
                                  <w:sz w:val="18"/>
                                  <w:szCs w:val="18"/>
                                </w:rPr>
                                <w:t>底漆稀释剂中</w:t>
                              </w:r>
                            </w:p>
                            <w:p w14:paraId="5FFCAD06">
                              <w:pPr>
                                <w:jc w:val="center"/>
                                <w:rPr>
                                  <w:rFonts w:ascii="Times New Roman"/>
                                  <w:sz w:val="18"/>
                                  <w:szCs w:val="18"/>
                                </w:rPr>
                              </w:pPr>
                              <w:r>
                                <w:rPr>
                                  <w:rFonts w:hint="eastAsia" w:ascii="Times New Roman"/>
                                  <w:sz w:val="18"/>
                                  <w:szCs w:val="18"/>
                                </w:rPr>
                                <w:t>二甲苯  4.275</w:t>
                              </w:r>
                            </w:p>
                          </w:txbxContent>
                        </wps:txbx>
                        <wps:bodyPr upright="1"/>
                      </wps:wsp>
                      <wps:wsp>
                        <wps:cNvPr id="280" name="文本框 280"/>
                        <wps:cNvSpPr txBox="1"/>
                        <wps:spPr>
                          <a:xfrm>
                            <a:off x="2059" y="1330914"/>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EB003B">
                              <w:pPr>
                                <w:jc w:val="center"/>
                                <w:rPr>
                                  <w:rFonts w:ascii="Times New Roman"/>
                                  <w:sz w:val="18"/>
                                  <w:szCs w:val="18"/>
                                </w:rPr>
                              </w:pPr>
                              <w:r>
                                <w:rPr>
                                  <w:rFonts w:hint="eastAsia" w:ascii="Times New Roman"/>
                                  <w:sz w:val="18"/>
                                  <w:szCs w:val="18"/>
                                </w:rPr>
                                <w:t>中漆中二甲苯  9.96</w:t>
                              </w:r>
                            </w:p>
                          </w:txbxContent>
                        </wps:txbx>
                        <wps:bodyPr upright="1"/>
                      </wps:wsp>
                      <wps:wsp>
                        <wps:cNvPr id="289" name="文本框 289"/>
                        <wps:cNvSpPr txBox="1"/>
                        <wps:spPr>
                          <a:xfrm>
                            <a:off x="2059" y="1331946"/>
                            <a:ext cx="2099"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212626">
                              <w:pPr>
                                <w:jc w:val="center"/>
                                <w:rPr>
                                  <w:rFonts w:ascii="Times New Roman"/>
                                  <w:sz w:val="18"/>
                                  <w:szCs w:val="18"/>
                                </w:rPr>
                              </w:pPr>
                              <w:r>
                                <w:rPr>
                                  <w:rFonts w:hint="eastAsia" w:ascii="Times New Roman"/>
                                  <w:sz w:val="18"/>
                                  <w:szCs w:val="18"/>
                                </w:rPr>
                                <w:t>中漆稀释剂中</w:t>
                              </w:r>
                            </w:p>
                            <w:p w14:paraId="6A2FC4DC">
                              <w:pPr>
                                <w:jc w:val="center"/>
                                <w:rPr>
                                  <w:rFonts w:ascii="Times New Roman"/>
                                  <w:sz w:val="18"/>
                                  <w:szCs w:val="18"/>
                                </w:rPr>
                              </w:pPr>
                              <w:r>
                                <w:rPr>
                                  <w:rFonts w:hint="eastAsia" w:ascii="Times New Roman"/>
                                  <w:sz w:val="18"/>
                                  <w:szCs w:val="18"/>
                                </w:rPr>
                                <w:t>二甲苯  15.975</w:t>
                              </w:r>
                            </w:p>
                          </w:txbxContent>
                        </wps:txbx>
                        <wps:bodyPr upright="1"/>
                      </wps:wsp>
                      <wps:wsp>
                        <wps:cNvPr id="293" name="文本框 293"/>
                        <wps:cNvSpPr txBox="1"/>
                        <wps:spPr>
                          <a:xfrm>
                            <a:off x="2074" y="1333402"/>
                            <a:ext cx="2099"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5C19E6">
                              <w:pPr>
                                <w:jc w:val="center"/>
                                <w:rPr>
                                  <w:rFonts w:ascii="Times New Roman"/>
                                  <w:sz w:val="18"/>
                                  <w:szCs w:val="18"/>
                                </w:rPr>
                              </w:pPr>
                              <w:r>
                                <w:rPr>
                                  <w:rFonts w:hint="eastAsia" w:ascii="Times New Roman"/>
                                  <w:sz w:val="18"/>
                                  <w:szCs w:val="18"/>
                                </w:rPr>
                                <w:t>面漆中二甲苯  38.28</w:t>
                              </w:r>
                            </w:p>
                          </w:txbxContent>
                        </wps:txbx>
                        <wps:bodyPr upright="1"/>
                      </wps:wsp>
                      <wps:wsp>
                        <wps:cNvPr id="295" name="文本框 295"/>
                        <wps:cNvSpPr txBox="1"/>
                        <wps:spPr>
                          <a:xfrm>
                            <a:off x="2104" y="1334468"/>
                            <a:ext cx="2099" cy="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1706A4">
                              <w:pPr>
                                <w:jc w:val="center"/>
                                <w:rPr>
                                  <w:rFonts w:ascii="Times New Roman"/>
                                  <w:sz w:val="18"/>
                                  <w:szCs w:val="18"/>
                                </w:rPr>
                              </w:pPr>
                              <w:r>
                                <w:rPr>
                                  <w:rFonts w:hint="eastAsia" w:ascii="Times New Roman"/>
                                  <w:sz w:val="18"/>
                                  <w:szCs w:val="18"/>
                                </w:rPr>
                                <w:t>面漆稀释剂中</w:t>
                              </w:r>
                            </w:p>
                            <w:p w14:paraId="53350E1C">
                              <w:pPr>
                                <w:jc w:val="center"/>
                                <w:rPr>
                                  <w:rFonts w:ascii="Times New Roman"/>
                                  <w:sz w:val="18"/>
                                  <w:szCs w:val="18"/>
                                </w:rPr>
                              </w:pPr>
                              <w:r>
                                <w:rPr>
                                  <w:rFonts w:hint="eastAsia" w:ascii="Times New Roman"/>
                                  <w:sz w:val="18"/>
                                  <w:szCs w:val="18"/>
                                </w:rPr>
                                <w:t>二甲苯  25.4</w:t>
                              </w:r>
                            </w:p>
                          </w:txbxContent>
                        </wps:txbx>
                        <wps:bodyPr upright="1"/>
                      </wps:wsp>
                      <wps:wsp>
                        <wps:cNvPr id="276" name="直接连接符 276"/>
                        <wps:cNvCnPr/>
                        <wps:spPr>
                          <a:xfrm flipV="1">
                            <a:off x="4174" y="1329864"/>
                            <a:ext cx="700" cy="6"/>
                          </a:xfrm>
                          <a:prstGeom prst="line">
                            <a:avLst/>
                          </a:prstGeom>
                          <a:ln w="9525" cap="flat" cmpd="sng">
                            <a:solidFill>
                              <a:srgbClr val="000000"/>
                            </a:solidFill>
                            <a:prstDash val="solid"/>
                            <a:headEnd type="none" w="med" len="med"/>
                            <a:tailEnd type="none" w="med" len="med"/>
                          </a:ln>
                          <a:effectLst/>
                        </wps:spPr>
                        <wps:bodyPr upright="1"/>
                      </wps:wsp>
                      <wps:wsp>
                        <wps:cNvPr id="285" name="直接连接符 285"/>
                        <wps:cNvCnPr/>
                        <wps:spPr>
                          <a:xfrm>
                            <a:off x="4159" y="1331221"/>
                            <a:ext cx="693" cy="3"/>
                          </a:xfrm>
                          <a:prstGeom prst="line">
                            <a:avLst/>
                          </a:prstGeom>
                          <a:ln w="9525" cap="flat" cmpd="sng">
                            <a:solidFill>
                              <a:srgbClr val="000000"/>
                            </a:solidFill>
                            <a:prstDash val="solid"/>
                            <a:headEnd type="none" w="med" len="med"/>
                            <a:tailEnd type="none" w="med" len="med"/>
                          </a:ln>
                          <a:effectLst/>
                        </wps:spPr>
                        <wps:bodyPr upright="1"/>
                      </wps:wsp>
                      <wps:wsp>
                        <wps:cNvPr id="291" name="直接连接符 291"/>
                        <wps:cNvCnPr/>
                        <wps:spPr>
                          <a:xfrm flipV="1">
                            <a:off x="4189" y="1332432"/>
                            <a:ext cx="685" cy="1"/>
                          </a:xfrm>
                          <a:prstGeom prst="line">
                            <a:avLst/>
                          </a:prstGeom>
                          <a:ln w="9525" cap="flat" cmpd="sng">
                            <a:solidFill>
                              <a:srgbClr val="000000"/>
                            </a:solidFill>
                            <a:prstDash val="solid"/>
                            <a:headEnd type="none" w="med" len="med"/>
                            <a:tailEnd type="none" w="med" len="med"/>
                          </a:ln>
                          <a:effectLst/>
                        </wps:spPr>
                        <wps:bodyPr upright="1"/>
                      </wps:wsp>
                      <wps:wsp>
                        <wps:cNvPr id="294" name="直接连接符 294"/>
                        <wps:cNvCnPr/>
                        <wps:spPr>
                          <a:xfrm>
                            <a:off x="4189" y="1333754"/>
                            <a:ext cx="685" cy="0"/>
                          </a:xfrm>
                          <a:prstGeom prst="line">
                            <a:avLst/>
                          </a:prstGeom>
                          <a:ln w="9525" cap="flat" cmpd="sng">
                            <a:solidFill>
                              <a:srgbClr val="000000"/>
                            </a:solidFill>
                            <a:prstDash val="solid"/>
                            <a:headEnd type="none" w="med" len="med"/>
                            <a:tailEnd type="none" w="med" len="med"/>
                          </a:ln>
                          <a:effectLst/>
                        </wps:spPr>
                        <wps:bodyPr upright="1"/>
                      </wps:wsp>
                      <wps:wsp>
                        <wps:cNvPr id="279" name="文本框 279"/>
                        <wps:cNvSpPr txBox="1"/>
                        <wps:spPr>
                          <a:xfrm>
                            <a:off x="5764" y="1330854"/>
                            <a:ext cx="1589"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4CC0E2">
                              <w:pPr>
                                <w:jc w:val="center"/>
                                <w:rPr>
                                  <w:rFonts w:ascii="Times New Roman"/>
                                  <w:sz w:val="18"/>
                                  <w:szCs w:val="18"/>
                                </w:rPr>
                              </w:pPr>
                              <w:r>
                                <w:rPr>
                                  <w:rFonts w:hint="eastAsia" w:ascii="Times New Roman"/>
                                  <w:sz w:val="18"/>
                                  <w:szCs w:val="18"/>
                                </w:rPr>
                                <w:t>40%调漆、喷漆</w:t>
                              </w:r>
                            </w:p>
                            <w:p w14:paraId="38DFAC2D">
                              <w:pPr>
                                <w:jc w:val="center"/>
                                <w:rPr>
                                  <w:rFonts w:ascii="Times New Roman"/>
                                  <w:sz w:val="18"/>
                                  <w:szCs w:val="18"/>
                                </w:rPr>
                              </w:pPr>
                              <w:r>
                                <w:rPr>
                                  <w:rFonts w:hint="eastAsia" w:ascii="Times New Roman"/>
                                  <w:sz w:val="18"/>
                                  <w:szCs w:val="18"/>
                                </w:rPr>
                                <w:t>挥发38.624</w:t>
                              </w:r>
                            </w:p>
                          </w:txbxContent>
                        </wps:txbx>
                        <wps:bodyPr upright="1"/>
                      </wps:wsp>
                      <wps:wsp>
                        <wps:cNvPr id="288" name="文本框 288"/>
                        <wps:cNvSpPr txBox="1"/>
                        <wps:spPr>
                          <a:xfrm>
                            <a:off x="5779" y="1332145"/>
                            <a:ext cx="1591" cy="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3AFA7A">
                              <w:pPr>
                                <w:jc w:val="center"/>
                                <w:rPr>
                                  <w:rFonts w:ascii="Times New Roman"/>
                                  <w:sz w:val="18"/>
                                  <w:szCs w:val="18"/>
                                </w:rPr>
                              </w:pPr>
                              <w:r>
                                <w:rPr>
                                  <w:rFonts w:hint="eastAsia" w:ascii="Times New Roman"/>
                                  <w:sz w:val="18"/>
                                  <w:szCs w:val="18"/>
                                </w:rPr>
                                <w:t>60%烘干、强冷</w:t>
                              </w:r>
                            </w:p>
                            <w:p w14:paraId="1AC07285">
                              <w:pPr>
                                <w:jc w:val="center"/>
                                <w:rPr>
                                  <w:rFonts w:ascii="Times New Roman"/>
                                  <w:sz w:val="18"/>
                                  <w:szCs w:val="18"/>
                                </w:rPr>
                              </w:pPr>
                              <w:r>
                                <w:rPr>
                                  <w:rFonts w:hint="eastAsia" w:ascii="Times New Roman"/>
                                  <w:sz w:val="18"/>
                                  <w:szCs w:val="18"/>
                                </w:rPr>
                                <w:t>挥发57.936</w:t>
                              </w:r>
                            </w:p>
                          </w:txbxContent>
                        </wps:txbx>
                        <wps:bodyPr upright="1"/>
                      </wps:wsp>
                      <wps:wsp>
                        <wps:cNvPr id="277" name="文本框 277"/>
                        <wps:cNvSpPr txBox="1"/>
                        <wps:spPr>
                          <a:xfrm>
                            <a:off x="8599" y="1330127"/>
                            <a:ext cx="2099" cy="8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1F3D8C">
                              <w:pPr>
                                <w:jc w:val="center"/>
                                <w:rPr>
                                  <w:rFonts w:ascii="Times New Roman"/>
                                  <w:sz w:val="18"/>
                                  <w:szCs w:val="18"/>
                                </w:rPr>
                              </w:pPr>
                              <w:r>
                                <w:rPr>
                                  <w:rFonts w:hint="eastAsia" w:ascii="Times New Roman"/>
                                  <w:kern w:val="0"/>
                                  <w:sz w:val="18"/>
                                  <w:szCs w:val="18"/>
                                </w:rPr>
                                <w:t>沸石轮转吸附+RTO焚烧装置</w:t>
                              </w:r>
                              <w:r>
                                <w:rPr>
                                  <w:rFonts w:ascii="Times New Roman"/>
                                  <w:sz w:val="18"/>
                                  <w:szCs w:val="18"/>
                                </w:rPr>
                                <w:t>净化</w:t>
                              </w:r>
                              <w:r>
                                <w:rPr>
                                  <w:rFonts w:hint="eastAsia" w:ascii="Times New Roman"/>
                                  <w:sz w:val="18"/>
                                  <w:szCs w:val="18"/>
                                </w:rPr>
                                <w:t>87.161</w:t>
                              </w:r>
                            </w:p>
                          </w:txbxContent>
                        </wps:txbx>
                        <wps:bodyPr upright="1"/>
                      </wps:wsp>
                      <wps:wsp>
                        <wps:cNvPr id="286" name="文本框 286"/>
                        <wps:cNvSpPr txBox="1"/>
                        <wps:spPr>
                          <a:xfrm>
                            <a:off x="8539" y="1331657"/>
                            <a:ext cx="2099" cy="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005D69">
                              <w:pPr>
                                <w:jc w:val="center"/>
                                <w:rPr>
                                  <w:rFonts w:ascii="Times New Roman"/>
                                  <w:sz w:val="18"/>
                                  <w:szCs w:val="18"/>
                                </w:rPr>
                              </w:pPr>
                              <w:r>
                                <w:rPr>
                                  <w:rFonts w:hint="eastAsia" w:ascii="Times New Roman"/>
                                  <w:sz w:val="18"/>
                                  <w:szCs w:val="18"/>
                                </w:rPr>
                                <w:t>有组织排放4.587</w:t>
                              </w:r>
                            </w:p>
                          </w:txbxContent>
                        </wps:txbx>
                        <wps:bodyPr upright="1"/>
                      </wps:wsp>
                      <wps:wsp>
                        <wps:cNvPr id="292" name="文本框 292"/>
                        <wps:cNvSpPr txBox="1"/>
                        <wps:spPr>
                          <a:xfrm>
                            <a:off x="8629" y="1333069"/>
                            <a:ext cx="2099" cy="5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114037">
                              <w:pPr>
                                <w:jc w:val="center"/>
                                <w:rPr>
                                  <w:rFonts w:ascii="Times New Roman"/>
                                  <w:sz w:val="24"/>
                                  <w:szCs w:val="20"/>
                                </w:rPr>
                              </w:pPr>
                              <w:r>
                                <w:rPr>
                                  <w:rFonts w:hint="eastAsia" w:ascii="Times New Roman"/>
                                  <w:sz w:val="18"/>
                                  <w:szCs w:val="18"/>
                                </w:rPr>
                                <w:t>无组织排放4.828</w:t>
                              </w:r>
                            </w:p>
                          </w:txbxContent>
                        </wps:txbx>
                        <wps:bodyPr upright="1"/>
                      </wps:wsp>
                      <wps:wsp>
                        <wps:cNvPr id="284" name="肘形连接符 284"/>
                        <wps:cNvCnPr>
                          <a:stCxn id="279" idx="1"/>
                          <a:endCxn id="288" idx="1"/>
                        </wps:cNvCnPr>
                        <wps:spPr>
                          <a:xfrm rot="10800000" flipH="1" flipV="1">
                            <a:off x="5764" y="1331244"/>
                            <a:ext cx="15" cy="1321"/>
                          </a:xfrm>
                          <a:prstGeom prst="bentConnector3">
                            <a:avLst>
                              <a:gd name="adj1" fmla="val -1599999"/>
                            </a:avLst>
                          </a:prstGeom>
                          <a:ln w="9525" cap="flat" cmpd="sng">
                            <a:solidFill>
                              <a:srgbClr val="000000"/>
                            </a:solidFill>
                            <a:prstDash val="solid"/>
                            <a:miter/>
                            <a:headEnd type="none" w="med" len="med"/>
                            <a:tailEnd type="none" w="med" len="med"/>
                          </a:ln>
                          <a:effectLst/>
                        </wps:spPr>
                        <wps:bodyPr/>
                      </wps:wsp>
                      <wps:wsp>
                        <wps:cNvPr id="278" name="肘形连接符 278"/>
                        <wps:cNvCnPr>
                          <a:stCxn id="277" idx="1"/>
                          <a:endCxn id="292" idx="1"/>
                        </wps:cNvCnPr>
                        <wps:spPr>
                          <a:xfrm rot="10800000" flipH="1" flipV="1">
                            <a:off x="8599" y="1330539"/>
                            <a:ext cx="30" cy="2822"/>
                          </a:xfrm>
                          <a:prstGeom prst="bentConnector3">
                            <a:avLst>
                              <a:gd name="adj1" fmla="val -1250000"/>
                            </a:avLst>
                          </a:prstGeom>
                          <a:ln w="9525" cap="flat" cmpd="sng">
                            <a:solidFill>
                              <a:srgbClr val="000000"/>
                            </a:solidFill>
                            <a:prstDash val="solid"/>
                            <a:miter/>
                            <a:headEnd type="none" w="med" len="med"/>
                            <a:tailEnd type="none" w="med" len="med"/>
                          </a:ln>
                          <a:effectLst/>
                        </wps:spPr>
                        <wps:bodyPr/>
                      </wps:wsp>
                      <wps:wsp>
                        <wps:cNvPr id="283" name="肘形连接符 283"/>
                        <wps:cNvCnPr/>
                        <wps:spPr>
                          <a:xfrm>
                            <a:off x="7365" y="1331244"/>
                            <a:ext cx="17" cy="1321"/>
                          </a:xfrm>
                          <a:prstGeom prst="bentConnector3">
                            <a:avLst>
                              <a:gd name="adj1" fmla="val 1823529"/>
                            </a:avLst>
                          </a:prstGeom>
                          <a:ln w="9525" cap="flat" cmpd="sng">
                            <a:solidFill>
                              <a:srgbClr val="000000"/>
                            </a:solidFill>
                            <a:prstDash val="solid"/>
                            <a:miter/>
                            <a:headEnd type="none" w="med" len="med"/>
                            <a:tailEnd type="none" w="med" len="med"/>
                          </a:ln>
                          <a:effectLst/>
                        </wps:spPr>
                        <wps:bodyPr/>
                      </wps:wsp>
                      <wps:wsp>
                        <wps:cNvPr id="282" name="文本框 282"/>
                        <wps:cNvSpPr txBox="1"/>
                        <wps:spPr>
                          <a:xfrm>
                            <a:off x="4799" y="1331420"/>
                            <a:ext cx="915" cy="390"/>
                          </a:xfrm>
                          <a:prstGeom prst="rect">
                            <a:avLst/>
                          </a:prstGeom>
                          <a:noFill/>
                          <a:ln>
                            <a:noFill/>
                          </a:ln>
                          <a:effectLst/>
                        </wps:spPr>
                        <wps:txbx>
                          <w:txbxContent>
                            <w:p w14:paraId="7DD453A6">
                              <w:pPr>
                                <w:rPr>
                                  <w:rFonts w:ascii="Times New Roman"/>
                                  <w:sz w:val="18"/>
                                  <w:szCs w:val="18"/>
                                </w:rPr>
                              </w:pPr>
                              <w:r>
                                <w:rPr>
                                  <w:rFonts w:hint="eastAsia" w:ascii="Times New Roman"/>
                                  <w:sz w:val="18"/>
                                  <w:szCs w:val="18"/>
                                </w:rPr>
                                <w:t>96.56</w:t>
                              </w:r>
                            </w:p>
                          </w:txbxContent>
                        </wps:txbx>
                        <wps:bodyPr upright="1"/>
                      </wps:wsp>
                      <wps:wsp>
                        <wps:cNvPr id="281" name="文本框 281"/>
                        <wps:cNvSpPr txBox="1"/>
                        <wps:spPr>
                          <a:xfrm>
                            <a:off x="7553" y="1331495"/>
                            <a:ext cx="1050" cy="390"/>
                          </a:xfrm>
                          <a:prstGeom prst="rect">
                            <a:avLst/>
                          </a:prstGeom>
                          <a:noFill/>
                          <a:ln>
                            <a:noFill/>
                          </a:ln>
                          <a:effectLst/>
                        </wps:spPr>
                        <wps:txbx>
                          <w:txbxContent>
                            <w:p w14:paraId="7B5CB4D3">
                              <w:pPr>
                                <w:rPr>
                                  <w:rFonts w:ascii="Times New Roman"/>
                                  <w:sz w:val="18"/>
                                  <w:szCs w:val="18"/>
                                </w:rPr>
                              </w:pPr>
                              <w:r>
                                <w:rPr>
                                  <w:rFonts w:hint="eastAsia" w:ascii="Times New Roman"/>
                                  <w:sz w:val="18"/>
                                  <w:szCs w:val="18"/>
                                </w:rPr>
                                <w:t>96.56</w:t>
                              </w:r>
                            </w:p>
                          </w:txbxContent>
                        </wps:txbx>
                        <wps:bodyPr upright="1"/>
                      </wps:wsp>
                      <wps:wsp>
                        <wps:cNvPr id="274" name="肘形连接符 274"/>
                        <wps:cNvCnPr/>
                        <wps:spPr>
                          <a:xfrm>
                            <a:off x="4160" y="1328585"/>
                            <a:ext cx="60" cy="6250"/>
                          </a:xfrm>
                          <a:prstGeom prst="bentConnector3">
                            <a:avLst>
                              <a:gd name="adj1" fmla="val 1158333"/>
                            </a:avLst>
                          </a:prstGeom>
                          <a:noFill/>
                          <a:ln w="9525" cap="flat" cmpd="sng" algn="ctr">
                            <a:solidFill>
                              <a:srgbClr val="000000"/>
                            </a:solidFill>
                            <a:prstDash val="solid"/>
                            <a:headEnd type="none"/>
                            <a:tailEnd type="none"/>
                          </a:ln>
                          <a:effectLst/>
                        </wps:spPr>
                        <wps:bodyPr/>
                      </wps:wsp>
                      <wps:wsp>
                        <wps:cNvPr id="66" name="直接箭头连接符 66"/>
                        <wps:cNvCnPr/>
                        <wps:spPr>
                          <a:xfrm flipV="1">
                            <a:off x="4861" y="1331921"/>
                            <a:ext cx="689" cy="6"/>
                          </a:xfrm>
                          <a:prstGeom prst="straightConnector1">
                            <a:avLst/>
                          </a:prstGeom>
                          <a:noFill/>
                          <a:ln w="6350" cap="flat" cmpd="sng" algn="ctr">
                            <a:solidFill>
                              <a:srgbClr val="000000"/>
                            </a:solidFill>
                            <a:prstDash val="solid"/>
                            <a:headEnd type="none"/>
                            <a:tailEnd type="triangle" w="med" len="med"/>
                          </a:ln>
                          <a:effectLst/>
                        </wps:spPr>
                        <wps:bodyPr/>
                      </wps:wsp>
                      <wps:wsp>
                        <wps:cNvPr id="69" name="直接箭头连接符 69"/>
                        <wps:cNvCnPr>
                          <a:endCxn id="286" idx="1"/>
                        </wps:cNvCnPr>
                        <wps:spPr>
                          <a:xfrm>
                            <a:off x="7683" y="1331954"/>
                            <a:ext cx="856" cy="3"/>
                          </a:xfrm>
                          <a:prstGeom prst="straightConnector1">
                            <a:avLst/>
                          </a:prstGeom>
                          <a:noFill/>
                          <a:ln w="6350" cap="flat" cmpd="sng" algn="ctr">
                            <a:solidFill>
                              <a:srgbClr val="000000"/>
                            </a:solidFill>
                            <a:prstDash val="solid"/>
                            <a:headEnd type="none"/>
                            <a:tailEnd type="triangle" w="med" len="med"/>
                          </a:ln>
                          <a:effectLst/>
                        </wps:spPr>
                        <wps:bodyPr/>
                      </wps:wsp>
                    </wpg:wgp>
                  </a:graphicData>
                </a:graphic>
              </wp:anchor>
            </w:drawing>
          </mc:Choice>
          <mc:Fallback>
            <w:pict>
              <v:group id="组合 77" o:spid="_x0000_s1026" o:spt="203" style="position:absolute;left:0pt;margin-left:-1.95pt;margin-top:11.15pt;height:345.1pt;width:434.2pt;z-index:251665408;mso-width-relative:page;mso-height-relative:page;" coordorigin="2044,1328331" coordsize="8684,6902" o:gfxdata="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">
                <o:lock v:ext="edit" aspectratio="f"/>
                <v:shape id="_x0000_s1026" o:spid="_x0000_s1026" o:spt="202" type="#_x0000_t202" style="position:absolute;left:2044;top:1328331;height:540;width:2099;" fillcolor="#FFFFFF" filled="t" stroked="t" coordsize="21600,21600" o:gfxdata="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33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2B7416">
                        <w:pPr>
                          <w:jc w:val="center"/>
                          <w:rPr>
                            <w:rFonts w:ascii="Times New Roman"/>
                            <w:sz w:val="18"/>
                            <w:szCs w:val="18"/>
                          </w:rPr>
                        </w:pPr>
                        <w:r>
                          <w:rPr>
                            <w:rFonts w:hint="eastAsia" w:ascii="Times New Roman"/>
                            <w:sz w:val="18"/>
                            <w:szCs w:val="18"/>
                          </w:rPr>
                          <w:t>底漆中二甲苯  2.67</w:t>
                        </w:r>
                      </w:p>
                    </w:txbxContent>
                  </v:textbox>
                </v:shape>
                <v:shape id="_x0000_s1026" o:spid="_x0000_s1026" o:spt="202" type="#_x0000_t202" style="position:absolute;left:2074;top:1329473;height:839;width:2099;" fillcolor="#FFFFFF" filled="t" stroked="t" coordsize="21600,21600" o:gfxdata="UEsDBAoAAAAAAIdO4kAAAAAAAAAAAAAAAAAEAAAAZHJzL1BLAwQUAAAACACHTuJA/NqKM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WMZh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aij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FF6B83">
                        <w:pPr>
                          <w:jc w:val="center"/>
                          <w:rPr>
                            <w:rFonts w:ascii="Times New Roman"/>
                            <w:sz w:val="18"/>
                            <w:szCs w:val="18"/>
                          </w:rPr>
                        </w:pPr>
                        <w:r>
                          <w:rPr>
                            <w:rFonts w:hint="eastAsia" w:ascii="Times New Roman"/>
                            <w:sz w:val="18"/>
                            <w:szCs w:val="18"/>
                          </w:rPr>
                          <w:t>底漆稀释剂中</w:t>
                        </w:r>
                      </w:p>
                      <w:p w14:paraId="5FFCAD06">
                        <w:pPr>
                          <w:jc w:val="center"/>
                          <w:rPr>
                            <w:rFonts w:ascii="Times New Roman"/>
                            <w:sz w:val="18"/>
                            <w:szCs w:val="18"/>
                          </w:rPr>
                        </w:pPr>
                        <w:r>
                          <w:rPr>
                            <w:rFonts w:hint="eastAsia" w:ascii="Times New Roman"/>
                            <w:sz w:val="18"/>
                            <w:szCs w:val="18"/>
                          </w:rPr>
                          <w:t>二甲苯  4.275</w:t>
                        </w:r>
                      </w:p>
                    </w:txbxContent>
                  </v:textbox>
                </v:shape>
                <v:shape id="_x0000_s1026" o:spid="_x0000_s1026" o:spt="202" type="#_x0000_t202" style="position:absolute;left:2059;top:1330914;height:540;width:2099;" fillcolor="#FFFFFF" filled="t" stroked="t" coordsize="21600,21600" o:gfxdata="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hZj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EB003B">
                        <w:pPr>
                          <w:jc w:val="center"/>
                          <w:rPr>
                            <w:rFonts w:ascii="Times New Roman"/>
                            <w:sz w:val="18"/>
                            <w:szCs w:val="18"/>
                          </w:rPr>
                        </w:pPr>
                        <w:r>
                          <w:rPr>
                            <w:rFonts w:hint="eastAsia" w:ascii="Times New Roman"/>
                            <w:sz w:val="18"/>
                            <w:szCs w:val="18"/>
                          </w:rPr>
                          <w:t>中漆中二甲苯  9.96</w:t>
                        </w:r>
                      </w:p>
                    </w:txbxContent>
                  </v:textbox>
                </v:shape>
                <v:shape id="_x0000_s1026" o:spid="_x0000_s1026" o:spt="202" type="#_x0000_t202" style="position:absolute;left:2059;top:1331946;height:855;width:2099;" fillcolor="#FFFFFF" filled="t" stroked="t" coordsize="21600,21600" o:gfxdata="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C8B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212626">
                        <w:pPr>
                          <w:jc w:val="center"/>
                          <w:rPr>
                            <w:rFonts w:ascii="Times New Roman"/>
                            <w:sz w:val="18"/>
                            <w:szCs w:val="18"/>
                          </w:rPr>
                        </w:pPr>
                        <w:r>
                          <w:rPr>
                            <w:rFonts w:hint="eastAsia" w:ascii="Times New Roman"/>
                            <w:sz w:val="18"/>
                            <w:szCs w:val="18"/>
                          </w:rPr>
                          <w:t>中漆稀释剂中</w:t>
                        </w:r>
                      </w:p>
                      <w:p w14:paraId="6A2FC4DC">
                        <w:pPr>
                          <w:jc w:val="center"/>
                          <w:rPr>
                            <w:rFonts w:ascii="Times New Roman"/>
                            <w:sz w:val="18"/>
                            <w:szCs w:val="18"/>
                          </w:rPr>
                        </w:pPr>
                        <w:r>
                          <w:rPr>
                            <w:rFonts w:hint="eastAsia" w:ascii="Times New Roman"/>
                            <w:sz w:val="18"/>
                            <w:szCs w:val="18"/>
                          </w:rPr>
                          <w:t>二甲苯  15.975</w:t>
                        </w:r>
                      </w:p>
                    </w:txbxContent>
                  </v:textbox>
                </v:shape>
                <v:shape id="_x0000_s1026" o:spid="_x0000_s1026" o:spt="202" type="#_x0000_t202" style="position:absolute;left:2074;top:1333402;height:540;width:2099;" fillcolor="#FFFFFF" filled="t" stroked="t" coordsize="21600,21600" o:gfxdata="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NR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5C19E6">
                        <w:pPr>
                          <w:jc w:val="center"/>
                          <w:rPr>
                            <w:rFonts w:ascii="Times New Roman"/>
                            <w:sz w:val="18"/>
                            <w:szCs w:val="18"/>
                          </w:rPr>
                        </w:pPr>
                        <w:r>
                          <w:rPr>
                            <w:rFonts w:hint="eastAsia" w:ascii="Times New Roman"/>
                            <w:sz w:val="18"/>
                            <w:szCs w:val="18"/>
                          </w:rPr>
                          <w:t>面漆中二甲苯  38.28</w:t>
                        </w:r>
                      </w:p>
                    </w:txbxContent>
                  </v:textbox>
                </v:shape>
                <v:shape id="_x0000_s1026" o:spid="_x0000_s1026" o:spt="202" type="#_x0000_t202" style="position:absolute;left:2104;top:1334468;height:765;width:2099;" fillcolor="#FFFFFF" filled="t" stroked="t" coordsize="21600,21600" o:gfxdata="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Wb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81706A4">
                        <w:pPr>
                          <w:jc w:val="center"/>
                          <w:rPr>
                            <w:rFonts w:ascii="Times New Roman"/>
                            <w:sz w:val="18"/>
                            <w:szCs w:val="18"/>
                          </w:rPr>
                        </w:pPr>
                        <w:r>
                          <w:rPr>
                            <w:rFonts w:hint="eastAsia" w:ascii="Times New Roman"/>
                            <w:sz w:val="18"/>
                            <w:szCs w:val="18"/>
                          </w:rPr>
                          <w:t>面漆稀释剂中</w:t>
                        </w:r>
                      </w:p>
                      <w:p w14:paraId="53350E1C">
                        <w:pPr>
                          <w:jc w:val="center"/>
                          <w:rPr>
                            <w:rFonts w:ascii="Times New Roman"/>
                            <w:sz w:val="18"/>
                            <w:szCs w:val="18"/>
                          </w:rPr>
                        </w:pPr>
                        <w:r>
                          <w:rPr>
                            <w:rFonts w:hint="eastAsia" w:ascii="Times New Roman"/>
                            <w:sz w:val="18"/>
                            <w:szCs w:val="18"/>
                          </w:rPr>
                          <w:t>二甲苯  25.4</w:t>
                        </w:r>
                      </w:p>
                    </w:txbxContent>
                  </v:textbox>
                </v:shape>
                <v:line id="_x0000_s1026" o:spid="_x0000_s1026" o:spt="20" style="position:absolute;left:4174;top:1329864;flip:y;height:6;width:700;" filled="f" stroked="t" coordsize="21600,21600" o:gfxdata="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VCm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159;top:1331221;height:3;width:693;" filled="f" stroked="t" coordsize="21600,21600" o:gfxdata="UEsDBAoAAAAAAIdO4kAAAAAAAAAAAAAAAAAEAAAAZHJzL1BLAwQUAAAACACHTuJAQnxYmb4AAADc&#10;AAAADwAAAGRycy9kb3ducmV2LnhtbEWPzYvCMBTE74L/Q3iCF9HELop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xYm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189;top:1332432;flip:y;height:1;width:685;" filled="f" stroked="t" coordsize="21600,21600" o:gfxdata="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Dw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189;top:1333754;height:0;width:685;" filled="f" stroked="t" coordsize="21600,21600" o:gfxdata="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pa9+/&#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5764;top:1330854;height:780;width:1589;" fillcolor="#FFFFFF" filled="t" stroked="t" coordsize="21600,21600" o:gfxdata="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4A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D4CC0E2">
                        <w:pPr>
                          <w:jc w:val="center"/>
                          <w:rPr>
                            <w:rFonts w:ascii="Times New Roman"/>
                            <w:sz w:val="18"/>
                            <w:szCs w:val="18"/>
                          </w:rPr>
                        </w:pPr>
                        <w:r>
                          <w:rPr>
                            <w:rFonts w:hint="eastAsia" w:ascii="Times New Roman"/>
                            <w:sz w:val="18"/>
                            <w:szCs w:val="18"/>
                          </w:rPr>
                          <w:t>40%调漆、喷漆</w:t>
                        </w:r>
                      </w:p>
                      <w:p w14:paraId="38DFAC2D">
                        <w:pPr>
                          <w:jc w:val="center"/>
                          <w:rPr>
                            <w:rFonts w:ascii="Times New Roman"/>
                            <w:sz w:val="18"/>
                            <w:szCs w:val="18"/>
                          </w:rPr>
                        </w:pPr>
                        <w:r>
                          <w:rPr>
                            <w:rFonts w:hint="eastAsia" w:ascii="Times New Roman"/>
                            <w:sz w:val="18"/>
                            <w:szCs w:val="18"/>
                          </w:rPr>
                          <w:t>挥发38.624</w:t>
                        </w:r>
                      </w:p>
                    </w:txbxContent>
                  </v:textbox>
                </v:shape>
                <v:shape id="_x0000_s1026" o:spid="_x0000_s1026" o:spt="202" type="#_x0000_t202" style="position:absolute;left:5779;top:1332145;height:840;width:1591;" fillcolor="#FFFFFF" filled="t" stroked="t" coordsize="21600,21600" o:gfxdata="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5V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3AFA7A">
                        <w:pPr>
                          <w:jc w:val="center"/>
                          <w:rPr>
                            <w:rFonts w:ascii="Times New Roman"/>
                            <w:sz w:val="18"/>
                            <w:szCs w:val="18"/>
                          </w:rPr>
                        </w:pPr>
                        <w:r>
                          <w:rPr>
                            <w:rFonts w:hint="eastAsia" w:ascii="Times New Roman"/>
                            <w:sz w:val="18"/>
                            <w:szCs w:val="18"/>
                          </w:rPr>
                          <w:t>60%烘干、强冷</w:t>
                        </w:r>
                      </w:p>
                      <w:p w14:paraId="1AC07285">
                        <w:pPr>
                          <w:jc w:val="center"/>
                          <w:rPr>
                            <w:rFonts w:ascii="Times New Roman"/>
                            <w:sz w:val="18"/>
                            <w:szCs w:val="18"/>
                          </w:rPr>
                        </w:pPr>
                        <w:r>
                          <w:rPr>
                            <w:rFonts w:hint="eastAsia" w:ascii="Times New Roman"/>
                            <w:sz w:val="18"/>
                            <w:szCs w:val="18"/>
                          </w:rPr>
                          <w:t>挥发57.936</w:t>
                        </w:r>
                      </w:p>
                    </w:txbxContent>
                  </v:textbox>
                </v:shape>
                <v:shape id="_x0000_s1026" o:spid="_x0000_s1026" o:spt="202" type="#_x0000_t202" style="position:absolute;left:8599;top:1330127;height:824;width:2099;" fillcolor="#FFFFFF" filled="t" stroked="t" coordsize="21600,21600" o:gfxdata="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Sx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C1F3D8C">
                        <w:pPr>
                          <w:jc w:val="center"/>
                          <w:rPr>
                            <w:rFonts w:ascii="Times New Roman"/>
                            <w:sz w:val="18"/>
                            <w:szCs w:val="18"/>
                          </w:rPr>
                        </w:pPr>
                        <w:r>
                          <w:rPr>
                            <w:rFonts w:hint="eastAsia" w:ascii="Times New Roman"/>
                            <w:kern w:val="0"/>
                            <w:sz w:val="18"/>
                            <w:szCs w:val="18"/>
                          </w:rPr>
                          <w:t>沸石轮转吸附+RTO焚烧装置</w:t>
                        </w:r>
                        <w:r>
                          <w:rPr>
                            <w:rFonts w:ascii="Times New Roman"/>
                            <w:sz w:val="18"/>
                            <w:szCs w:val="18"/>
                          </w:rPr>
                          <w:t>净化</w:t>
                        </w:r>
                        <w:r>
                          <w:rPr>
                            <w:rFonts w:hint="eastAsia" w:ascii="Times New Roman"/>
                            <w:sz w:val="18"/>
                            <w:szCs w:val="18"/>
                          </w:rPr>
                          <w:t>87.161</w:t>
                        </w:r>
                      </w:p>
                    </w:txbxContent>
                  </v:textbox>
                </v:shape>
                <v:shape id="_x0000_s1026" o:spid="_x0000_s1026" o:spt="202" type="#_x0000_t202" style="position:absolute;left:8539;top:1331657;height:600;width:2099;" fillcolor="#FFFFFF" filled="t" stroked="t" coordsize="21600,21600" o:gfxdata="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Z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005D69">
                        <w:pPr>
                          <w:jc w:val="center"/>
                          <w:rPr>
                            <w:rFonts w:ascii="Times New Roman"/>
                            <w:sz w:val="18"/>
                            <w:szCs w:val="18"/>
                          </w:rPr>
                        </w:pPr>
                        <w:r>
                          <w:rPr>
                            <w:rFonts w:hint="eastAsia" w:ascii="Times New Roman"/>
                            <w:sz w:val="18"/>
                            <w:szCs w:val="18"/>
                          </w:rPr>
                          <w:t>有组织排放4.587</w:t>
                        </w:r>
                      </w:p>
                    </w:txbxContent>
                  </v:textbox>
                </v:shape>
                <v:shape id="_x0000_s1026" o:spid="_x0000_s1026" o:spt="202" type="#_x0000_t202" style="position:absolute;left:8629;top:1333069;height:584;width:2099;" fillcolor="#FFFFFF" filled="t" stroked="t" coordsize="21600,21600" o:gfxdata="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9L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114037">
                        <w:pPr>
                          <w:jc w:val="center"/>
                          <w:rPr>
                            <w:rFonts w:ascii="Times New Roman"/>
                            <w:sz w:val="24"/>
                            <w:szCs w:val="20"/>
                          </w:rPr>
                        </w:pPr>
                        <w:r>
                          <w:rPr>
                            <w:rFonts w:hint="eastAsia" w:ascii="Times New Roman"/>
                            <w:sz w:val="18"/>
                            <w:szCs w:val="18"/>
                          </w:rPr>
                          <w:t>无组织排放4.828</w:t>
                        </w:r>
                      </w:p>
                    </w:txbxContent>
                  </v:textbox>
                </v:shape>
                <v:shape id="_x0000_s1026" o:spid="_x0000_s1026" o:spt="34" type="#_x0000_t34" style="position:absolute;left:5764;top:1331244;flip:x y;height:1321;width:15;rotation:11796480f;" filled="f" stroked="t" coordsize="21600,21600" o:gfxdata="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fm4vQAA&#10;ANwAAAAPAAAAAAAAAAEAIAAAACIAAABkcnMvZG93bnJldi54bWxQSwECFAAUAAAACACHTuJAMy8F&#10;njsAAAA5AAAAEAAAAAAAAAABACAAAAAMAQAAZHJzL3NoYXBleG1sLnhtbFBLBQYAAAAABgAGAFsB&#10;AAC2AwAAAAA=&#10;" adj="-345600">
                  <v:fill on="f" focussize="0,0"/>
                  <v:stroke color="#000000" joinstyle="miter"/>
                  <v:imagedata o:title=""/>
                  <o:lock v:ext="edit" aspectratio="f"/>
                </v:shape>
                <v:shape id="_x0000_s1026" o:spid="_x0000_s1026" o:spt="34" type="#_x0000_t34" style="position:absolute;left:8599;top:1330539;flip:x y;height:2822;width:30;rotation:11796480f;" filled="f" stroked="t" coordsize="21600,21600" o:gfxdata="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hPULsAAADc&#10;AAAADwAAAAAAAAABACAAAAAiAAAAZHJzL2Rvd25yZXYueG1sUEsBAhQAFAAAAAgAh07iQDMvBZ47&#10;AAAAOQAAABAAAAAAAAAAAQAgAAAACgEAAGRycy9zaGFwZXhtbC54bWxQSwUGAAAAAAYABgBbAQAA&#10;tAMAAAAA&#10;" adj="-270000">
                  <v:fill on="f" focussize="0,0"/>
                  <v:stroke color="#000000" joinstyle="miter"/>
                  <v:imagedata o:title=""/>
                  <o:lock v:ext="edit" aspectratio="f"/>
                </v:shape>
                <v:shape id="_x0000_s1026" o:spid="_x0000_s1026" o:spt="34" type="#_x0000_t34" style="position:absolute;left:7365;top:1331244;height:1321;width:17;" filled="f" stroked="t" coordsize="21600,21600" o:gfxdata="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dR3b4A&#10;AADcAAAADwAAAAAAAAABACAAAAAiAAAAZHJzL2Rvd25yZXYueG1sUEsBAhQAFAAAAAgAh07iQDMv&#10;BZ47AAAAOQAAABAAAAAAAAAAAQAgAAAADQEAAGRycy9zaGFwZXhtbC54bWxQSwUGAAAAAAYABgBb&#10;AQAAtwMAAAAA&#10;" adj="393882">
                  <v:fill on="f" focussize="0,0"/>
                  <v:stroke color="#000000" joinstyle="miter"/>
                  <v:imagedata o:title=""/>
                  <o:lock v:ext="edit" aspectratio="f"/>
                </v:shape>
                <v:shape id="_x0000_s1026" o:spid="_x0000_s1026" o:spt="202" type="#_x0000_t202" style="position:absolute;left:4799;top:1331420;height:390;width:915;"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DD453A6">
                        <w:pPr>
                          <w:rPr>
                            <w:rFonts w:ascii="Times New Roman"/>
                            <w:sz w:val="18"/>
                            <w:szCs w:val="18"/>
                          </w:rPr>
                        </w:pPr>
                        <w:r>
                          <w:rPr>
                            <w:rFonts w:hint="eastAsia" w:ascii="Times New Roman"/>
                            <w:sz w:val="18"/>
                            <w:szCs w:val="18"/>
                          </w:rPr>
                          <w:t>96.56</w:t>
                        </w:r>
                      </w:p>
                    </w:txbxContent>
                  </v:textbox>
                </v:shape>
                <v:shape id="_x0000_s1026" o:spid="_x0000_s1026" o:spt="202" type="#_x0000_t202" style="position:absolute;left:7553;top:1331495;height:390;width:1050;" filled="f" stroked="f" coordsize="21600,21600" o:gfxdata="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Tf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B5CB4D3">
                        <w:pPr>
                          <w:rPr>
                            <w:rFonts w:ascii="Times New Roman"/>
                            <w:sz w:val="18"/>
                            <w:szCs w:val="18"/>
                          </w:rPr>
                        </w:pPr>
                        <w:r>
                          <w:rPr>
                            <w:rFonts w:hint="eastAsia" w:ascii="Times New Roman"/>
                            <w:sz w:val="18"/>
                            <w:szCs w:val="18"/>
                          </w:rPr>
                          <w:t>96.56</w:t>
                        </w:r>
                      </w:p>
                    </w:txbxContent>
                  </v:textbox>
                </v:shape>
                <v:shape id="_x0000_s1026" o:spid="_x0000_s1026" o:spt="34" type="#_x0000_t34" style="position:absolute;left:4160;top:1328585;height:6250;width:60;" filled="f" stroked="t" coordsize="21600,21600" o:gfxdata="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P8tu/&#10;AAAA3AAAAA8AAAAAAAAAAQAgAAAAIgAAAGRycy9kb3ducmV2LnhtbFBLAQIUABQAAAAIAIdO4kAz&#10;LwWeOwAAADkAAAAQAAAAAAAAAAEAIAAAAA4BAABkcnMvc2hhcGV4bWwueG1sUEsFBgAAAAAGAAYA&#10;WwEAALgDAAAAAA==&#10;" adj="250200">
                  <v:fill on="f" focussize="0,0"/>
                  <v:stroke color="#000000" joinstyle="round"/>
                  <v:imagedata o:title=""/>
                  <o:lock v:ext="edit" aspectratio="f"/>
                </v:shape>
                <v:shape id="_x0000_s1026" o:spid="_x0000_s1026" o:spt="32" type="#_x0000_t32" style="position:absolute;left:4861;top:1331921;flip:y;height:6;width:689;" filled="f" stroked="t" coordsize="21600,21600" o:gfxdata="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cDqa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_x0000_s1026" o:spid="_x0000_s1026" o:spt="32" type="#_x0000_t32" style="position:absolute;left:7683;top:1331954;height:3;width:856;" filled="f" stroked="t" coordsize="21600,21600" o:gfxdata="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3J/K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group>
            </w:pict>
          </mc:Fallback>
        </mc:AlternateContent>
      </w:r>
    </w:p>
    <w:p w14:paraId="6E71036B">
      <w:pPr>
        <w:rPr>
          <w:rFonts w:ascii="Times New Roman"/>
          <w:sz w:val="24"/>
          <w:szCs w:val="20"/>
        </w:rPr>
      </w:pPr>
    </w:p>
    <w:p w14:paraId="781F5BA4">
      <w:pPr>
        <w:rPr>
          <w:rFonts w:ascii="Times New Roman"/>
          <w:sz w:val="24"/>
          <w:szCs w:val="20"/>
        </w:rPr>
      </w:pPr>
    </w:p>
    <w:p w14:paraId="1998FFE4">
      <w:pPr>
        <w:rPr>
          <w:rFonts w:ascii="Times New Roman"/>
          <w:sz w:val="24"/>
          <w:szCs w:val="20"/>
        </w:rPr>
      </w:pPr>
    </w:p>
    <w:p w14:paraId="1AF8EC02">
      <w:pPr>
        <w:rPr>
          <w:rFonts w:ascii="Times New Roman"/>
          <w:sz w:val="24"/>
          <w:szCs w:val="20"/>
        </w:rPr>
      </w:pPr>
    </w:p>
    <w:p w14:paraId="6DF3FECE">
      <w:pPr>
        <w:rPr>
          <w:rFonts w:ascii="Times New Roman"/>
          <w:sz w:val="24"/>
          <w:szCs w:val="20"/>
        </w:rPr>
      </w:pPr>
    </w:p>
    <w:p w14:paraId="7D77468F">
      <w:pPr>
        <w:rPr>
          <w:rFonts w:ascii="Times New Roman"/>
          <w:sz w:val="24"/>
          <w:szCs w:val="20"/>
        </w:rPr>
      </w:pPr>
    </w:p>
    <w:p w14:paraId="480854D1">
      <w:pPr>
        <w:rPr>
          <w:rFonts w:ascii="Times New Roman"/>
          <w:sz w:val="24"/>
          <w:szCs w:val="20"/>
        </w:rPr>
      </w:pPr>
    </w:p>
    <w:p w14:paraId="1185E8C5">
      <w:pPr>
        <w:rPr>
          <w:rFonts w:ascii="Times New Roman"/>
          <w:sz w:val="24"/>
          <w:szCs w:val="20"/>
        </w:rPr>
      </w:pPr>
    </w:p>
    <w:p w14:paraId="2CD829D8">
      <w:pPr>
        <w:rPr>
          <w:rFonts w:ascii="Times New Roman"/>
          <w:sz w:val="24"/>
          <w:szCs w:val="20"/>
        </w:rPr>
      </w:pPr>
    </w:p>
    <w:p w14:paraId="31A04F4A">
      <w:pPr>
        <w:rPr>
          <w:rFonts w:ascii="Times New Roman"/>
          <w:sz w:val="24"/>
          <w:szCs w:val="20"/>
        </w:rPr>
      </w:pPr>
    </w:p>
    <w:p w14:paraId="1BA181C9">
      <w:pPr>
        <w:rPr>
          <w:rFonts w:ascii="Times New Roman"/>
          <w:sz w:val="24"/>
          <w:szCs w:val="20"/>
        </w:rPr>
      </w:pPr>
    </w:p>
    <w:p w14:paraId="7F51BDA0">
      <w:pPr>
        <w:rPr>
          <w:rFonts w:ascii="Times New Roman"/>
          <w:sz w:val="24"/>
          <w:szCs w:val="20"/>
        </w:rPr>
      </w:pPr>
    </w:p>
    <w:p w14:paraId="3F942533">
      <w:pPr>
        <w:rPr>
          <w:rFonts w:ascii="Times New Roman"/>
          <w:sz w:val="24"/>
          <w:szCs w:val="20"/>
        </w:rPr>
      </w:pPr>
    </w:p>
    <w:p w14:paraId="3DBC1694">
      <w:pPr>
        <w:rPr>
          <w:rFonts w:ascii="Times New Roman"/>
          <w:sz w:val="24"/>
          <w:szCs w:val="20"/>
        </w:rPr>
      </w:pPr>
    </w:p>
    <w:p w14:paraId="214767FB">
      <w:pPr>
        <w:rPr>
          <w:rFonts w:ascii="Times New Roman"/>
          <w:sz w:val="24"/>
          <w:szCs w:val="20"/>
        </w:rPr>
      </w:pPr>
    </w:p>
    <w:p w14:paraId="3FEDFF53">
      <w:pPr>
        <w:rPr>
          <w:rFonts w:ascii="Times New Roman"/>
          <w:sz w:val="24"/>
          <w:szCs w:val="20"/>
        </w:rPr>
      </w:pPr>
    </w:p>
    <w:p w14:paraId="13A68432">
      <w:pPr>
        <w:rPr>
          <w:rFonts w:ascii="Times New Roman"/>
          <w:sz w:val="24"/>
          <w:szCs w:val="20"/>
        </w:rPr>
      </w:pPr>
    </w:p>
    <w:p w14:paraId="6DAC3B49">
      <w:pPr>
        <w:rPr>
          <w:rFonts w:ascii="Times New Roman"/>
          <w:sz w:val="24"/>
          <w:szCs w:val="20"/>
        </w:rPr>
      </w:pPr>
    </w:p>
    <w:p w14:paraId="649C5D8B">
      <w:pPr>
        <w:rPr>
          <w:rFonts w:ascii="Times New Roman"/>
          <w:sz w:val="24"/>
          <w:szCs w:val="20"/>
        </w:rPr>
      </w:pPr>
    </w:p>
    <w:p w14:paraId="167C1D04">
      <w:pPr>
        <w:rPr>
          <w:rFonts w:ascii="Times New Roman"/>
          <w:sz w:val="24"/>
          <w:szCs w:val="20"/>
        </w:rPr>
      </w:pPr>
    </w:p>
    <w:p w14:paraId="1537DBC3">
      <w:pPr>
        <w:spacing w:line="440" w:lineRule="exact"/>
        <w:jc w:val="center"/>
        <w:rPr>
          <w:rFonts w:ascii="Times New Roman"/>
          <w:b/>
          <w:kern w:val="0"/>
          <w:sz w:val="24"/>
          <w:szCs w:val="24"/>
        </w:rPr>
      </w:pPr>
      <w:r>
        <w:rPr>
          <w:rFonts w:ascii="Times New Roman"/>
          <w:b/>
          <w:kern w:val="0"/>
          <w:sz w:val="24"/>
          <w:szCs w:val="24"/>
        </w:rPr>
        <w:t>图</w:t>
      </w:r>
      <w:r>
        <w:rPr>
          <w:rFonts w:ascii="Times New Roman"/>
          <w:b/>
          <w:bCs/>
          <w:kern w:val="0"/>
          <w:sz w:val="24"/>
          <w:szCs w:val="24"/>
        </w:rPr>
        <w:t xml:space="preserve">3.5-5  </w:t>
      </w:r>
      <w:r>
        <w:rPr>
          <w:rFonts w:ascii="Times New Roman"/>
          <w:b/>
          <w:kern w:val="0"/>
          <w:sz w:val="24"/>
          <w:szCs w:val="24"/>
        </w:rPr>
        <w:t>油漆中二甲苯物料平衡图（单位：t/a）</w:t>
      </w:r>
    </w:p>
    <w:p w14:paraId="010F3490">
      <w:pPr>
        <w:spacing w:line="440" w:lineRule="exact"/>
        <w:jc w:val="center"/>
        <w:rPr>
          <w:rFonts w:ascii="Times New Roman"/>
          <w:b/>
          <w:kern w:val="0"/>
          <w:sz w:val="24"/>
          <w:szCs w:val="24"/>
        </w:rPr>
      </w:pPr>
    </w:p>
    <w:p w14:paraId="57907071">
      <w:pPr>
        <w:spacing w:line="440" w:lineRule="exact"/>
        <w:rPr>
          <w:rFonts w:ascii="Times New Roman"/>
          <w:b/>
          <w:bCs/>
          <w:sz w:val="24"/>
          <w:szCs w:val="24"/>
        </w:rPr>
      </w:pPr>
      <w:r>
        <w:rPr>
          <w:rFonts w:ascii="Times New Roman"/>
          <w:b/>
          <w:bCs/>
          <w:sz w:val="24"/>
          <w:szCs w:val="24"/>
        </w:rPr>
        <w:t>（4）总物料平衡</w:t>
      </w:r>
    </w:p>
    <w:p w14:paraId="381CEDF1">
      <w:pPr>
        <w:spacing w:line="440" w:lineRule="exact"/>
        <w:jc w:val="center"/>
        <w:rPr>
          <w:rFonts w:ascii="Times New Roman"/>
          <w:b/>
          <w:bCs/>
          <w:kern w:val="0"/>
          <w:sz w:val="24"/>
        </w:rPr>
      </w:pPr>
      <w:r>
        <w:rPr>
          <w:rFonts w:ascii="Times New Roman"/>
          <w:b/>
          <w:bCs/>
          <w:kern w:val="0"/>
          <w:sz w:val="24"/>
        </w:rPr>
        <w:t>表3.5-7  项目漆料物料平衡表</w:t>
      </w:r>
    </w:p>
    <w:tbl>
      <w:tblPr>
        <w:tblStyle w:val="84"/>
        <w:tblW w:w="52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045"/>
        <w:gridCol w:w="1549"/>
        <w:gridCol w:w="2695"/>
        <w:gridCol w:w="1442"/>
      </w:tblGrid>
      <w:tr w14:paraId="4DF4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638" w:type="pct"/>
            <w:gridSpan w:val="3"/>
            <w:tcBorders>
              <w:right w:val="single" w:color="auto" w:sz="4" w:space="0"/>
            </w:tcBorders>
            <w:vAlign w:val="center"/>
          </w:tcPr>
          <w:p w14:paraId="438B5925">
            <w:pPr>
              <w:adjustRightInd w:val="0"/>
              <w:snapToGrid w:val="0"/>
              <w:spacing w:line="360" w:lineRule="exact"/>
              <w:jc w:val="center"/>
              <w:rPr>
                <w:rFonts w:ascii="Times New Roman"/>
                <w:sz w:val="21"/>
                <w:szCs w:val="21"/>
              </w:rPr>
            </w:pPr>
            <w:bookmarkStart w:id="109" w:name="OLE_LINK2"/>
            <w:bookmarkStart w:id="110" w:name="OLE_LINK1"/>
            <w:r>
              <w:rPr>
                <w:rFonts w:ascii="Times New Roman"/>
                <w:sz w:val="21"/>
                <w:szCs w:val="21"/>
              </w:rPr>
              <w:t>进入（单位：t/a）</w:t>
            </w:r>
          </w:p>
        </w:tc>
        <w:tc>
          <w:tcPr>
            <w:tcW w:w="2361" w:type="pct"/>
            <w:gridSpan w:val="2"/>
            <w:tcBorders>
              <w:left w:val="single" w:color="auto" w:sz="4" w:space="0"/>
            </w:tcBorders>
            <w:vAlign w:val="center"/>
          </w:tcPr>
          <w:p w14:paraId="63E97148">
            <w:pPr>
              <w:adjustRightInd w:val="0"/>
              <w:snapToGrid w:val="0"/>
              <w:spacing w:line="360" w:lineRule="exact"/>
              <w:jc w:val="center"/>
              <w:rPr>
                <w:rFonts w:ascii="Times New Roman"/>
                <w:sz w:val="21"/>
                <w:szCs w:val="21"/>
              </w:rPr>
            </w:pPr>
            <w:r>
              <w:rPr>
                <w:rFonts w:ascii="Times New Roman"/>
                <w:sz w:val="21"/>
                <w:szCs w:val="21"/>
              </w:rPr>
              <w:t>产出或排出（单位：t/a）</w:t>
            </w:r>
          </w:p>
        </w:tc>
      </w:tr>
      <w:tr w14:paraId="23CA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754" w:type="pct"/>
            <w:gridSpan w:val="2"/>
            <w:vAlign w:val="center"/>
          </w:tcPr>
          <w:p w14:paraId="7AA1B2E9">
            <w:pPr>
              <w:adjustRightInd w:val="0"/>
              <w:snapToGrid w:val="0"/>
              <w:spacing w:line="360" w:lineRule="exact"/>
              <w:jc w:val="center"/>
              <w:rPr>
                <w:rFonts w:ascii="Times New Roman"/>
                <w:sz w:val="21"/>
                <w:szCs w:val="21"/>
              </w:rPr>
            </w:pPr>
            <w:r>
              <w:rPr>
                <w:rFonts w:ascii="Times New Roman"/>
                <w:sz w:val="21"/>
                <w:szCs w:val="21"/>
              </w:rPr>
              <w:t>名称</w:t>
            </w:r>
          </w:p>
        </w:tc>
        <w:tc>
          <w:tcPr>
            <w:tcW w:w="883" w:type="pct"/>
            <w:vAlign w:val="center"/>
          </w:tcPr>
          <w:p w14:paraId="3A07217B">
            <w:pPr>
              <w:adjustRightInd w:val="0"/>
              <w:snapToGrid w:val="0"/>
              <w:spacing w:line="360" w:lineRule="exact"/>
              <w:jc w:val="center"/>
              <w:rPr>
                <w:rFonts w:ascii="Times New Roman"/>
                <w:sz w:val="21"/>
                <w:szCs w:val="21"/>
              </w:rPr>
            </w:pPr>
            <w:r>
              <w:rPr>
                <w:rFonts w:ascii="Times New Roman"/>
                <w:sz w:val="21"/>
                <w:szCs w:val="21"/>
              </w:rPr>
              <w:t>进入量</w:t>
            </w:r>
          </w:p>
        </w:tc>
        <w:tc>
          <w:tcPr>
            <w:tcW w:w="1538" w:type="pct"/>
            <w:tcBorders>
              <w:right w:val="single" w:color="auto" w:sz="2" w:space="0"/>
            </w:tcBorders>
            <w:vAlign w:val="center"/>
          </w:tcPr>
          <w:p w14:paraId="7BFA441B">
            <w:pPr>
              <w:adjustRightInd w:val="0"/>
              <w:snapToGrid w:val="0"/>
              <w:spacing w:line="360" w:lineRule="exact"/>
              <w:jc w:val="center"/>
              <w:rPr>
                <w:rFonts w:ascii="Times New Roman"/>
                <w:sz w:val="21"/>
                <w:szCs w:val="21"/>
              </w:rPr>
            </w:pPr>
            <w:r>
              <w:rPr>
                <w:rFonts w:ascii="Times New Roman"/>
                <w:sz w:val="21"/>
                <w:szCs w:val="21"/>
              </w:rPr>
              <w:t>名称</w:t>
            </w:r>
          </w:p>
        </w:tc>
        <w:tc>
          <w:tcPr>
            <w:tcW w:w="823" w:type="pct"/>
            <w:tcBorders>
              <w:left w:val="single" w:color="auto" w:sz="2" w:space="0"/>
            </w:tcBorders>
            <w:vAlign w:val="center"/>
          </w:tcPr>
          <w:p w14:paraId="4FFA2AFF">
            <w:pPr>
              <w:adjustRightInd w:val="0"/>
              <w:snapToGrid w:val="0"/>
              <w:spacing w:line="360" w:lineRule="exact"/>
              <w:jc w:val="center"/>
              <w:rPr>
                <w:rFonts w:ascii="Times New Roman"/>
                <w:sz w:val="21"/>
                <w:szCs w:val="21"/>
              </w:rPr>
            </w:pPr>
            <w:r>
              <w:rPr>
                <w:rFonts w:ascii="Times New Roman"/>
                <w:sz w:val="21"/>
                <w:szCs w:val="21"/>
              </w:rPr>
              <w:t>产出或排出量</w:t>
            </w:r>
          </w:p>
        </w:tc>
      </w:tr>
      <w:tr w14:paraId="3E53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restart"/>
            <w:shd w:val="clear" w:color="auto" w:fill="auto"/>
            <w:vAlign w:val="center"/>
          </w:tcPr>
          <w:p w14:paraId="6AA48AAD">
            <w:pPr>
              <w:spacing w:line="360" w:lineRule="exact"/>
              <w:jc w:val="center"/>
              <w:rPr>
                <w:rFonts w:ascii="Times New Roman"/>
                <w:sz w:val="21"/>
                <w:szCs w:val="21"/>
              </w:rPr>
            </w:pPr>
            <w:r>
              <w:rPr>
                <w:rFonts w:ascii="Times New Roman"/>
                <w:kern w:val="0"/>
                <w:sz w:val="21"/>
                <w:szCs w:val="21"/>
              </w:rPr>
              <w:t>环氧富锌底漆</w:t>
            </w:r>
          </w:p>
        </w:tc>
        <w:tc>
          <w:tcPr>
            <w:tcW w:w="1166" w:type="pct"/>
            <w:shd w:val="clear" w:color="auto" w:fill="auto"/>
            <w:vAlign w:val="center"/>
          </w:tcPr>
          <w:p w14:paraId="0DFE99B8">
            <w:pPr>
              <w:spacing w:line="360" w:lineRule="exact"/>
              <w:jc w:val="center"/>
              <w:rPr>
                <w:rFonts w:ascii="Times New Roman"/>
                <w:sz w:val="21"/>
                <w:szCs w:val="21"/>
              </w:rPr>
            </w:pPr>
            <w:r>
              <w:rPr>
                <w:rFonts w:ascii="Times New Roman"/>
                <w:sz w:val="21"/>
                <w:szCs w:val="21"/>
              </w:rPr>
              <w:t>固体组分</w:t>
            </w:r>
          </w:p>
        </w:tc>
        <w:tc>
          <w:tcPr>
            <w:tcW w:w="883" w:type="pct"/>
            <w:vAlign w:val="center"/>
          </w:tcPr>
          <w:p w14:paraId="281A902E">
            <w:pPr>
              <w:spacing w:line="360" w:lineRule="exact"/>
              <w:jc w:val="center"/>
              <w:rPr>
                <w:rFonts w:ascii="Times New Roman"/>
                <w:sz w:val="21"/>
                <w:szCs w:val="21"/>
              </w:rPr>
            </w:pPr>
            <w:r>
              <w:rPr>
                <w:rFonts w:hint="eastAsia" w:ascii="Times New Roman"/>
                <w:sz w:val="21"/>
                <w:szCs w:val="21"/>
              </w:rPr>
              <w:t>80.1</w:t>
            </w:r>
          </w:p>
        </w:tc>
        <w:tc>
          <w:tcPr>
            <w:tcW w:w="1538" w:type="pct"/>
            <w:tcBorders>
              <w:right w:val="single" w:color="auto" w:sz="2" w:space="0"/>
            </w:tcBorders>
            <w:vAlign w:val="center"/>
          </w:tcPr>
          <w:p w14:paraId="36A5DF60">
            <w:pPr>
              <w:adjustRightInd w:val="0"/>
              <w:snapToGrid w:val="0"/>
              <w:spacing w:line="360" w:lineRule="exact"/>
              <w:jc w:val="center"/>
              <w:rPr>
                <w:rFonts w:ascii="Times New Roman"/>
                <w:sz w:val="21"/>
                <w:szCs w:val="21"/>
              </w:rPr>
            </w:pPr>
            <w:r>
              <w:rPr>
                <w:rFonts w:ascii="Times New Roman"/>
                <w:sz w:val="21"/>
                <w:szCs w:val="21"/>
              </w:rPr>
              <w:t>附着在工件上漆料</w:t>
            </w:r>
          </w:p>
        </w:tc>
        <w:tc>
          <w:tcPr>
            <w:tcW w:w="823" w:type="pct"/>
            <w:tcBorders>
              <w:left w:val="single" w:color="auto" w:sz="2" w:space="0"/>
            </w:tcBorders>
            <w:shd w:val="clear" w:color="auto" w:fill="auto"/>
            <w:vAlign w:val="center"/>
          </w:tcPr>
          <w:p w14:paraId="76C12545">
            <w:pPr>
              <w:spacing w:line="360" w:lineRule="exact"/>
              <w:jc w:val="center"/>
              <w:rPr>
                <w:rFonts w:ascii="Times New Roman"/>
                <w:sz w:val="21"/>
                <w:szCs w:val="21"/>
              </w:rPr>
            </w:pPr>
            <w:r>
              <w:rPr>
                <w:rFonts w:hint="eastAsia" w:ascii="Times New Roman"/>
                <w:sz w:val="21"/>
                <w:szCs w:val="21"/>
              </w:rPr>
              <w:t>520.843</w:t>
            </w:r>
          </w:p>
        </w:tc>
      </w:tr>
      <w:tr w14:paraId="365F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59C5723B">
            <w:pPr>
              <w:spacing w:line="360" w:lineRule="exact"/>
              <w:jc w:val="center"/>
              <w:rPr>
                <w:rFonts w:ascii="Times New Roman"/>
                <w:sz w:val="21"/>
                <w:szCs w:val="21"/>
              </w:rPr>
            </w:pPr>
          </w:p>
        </w:tc>
        <w:tc>
          <w:tcPr>
            <w:tcW w:w="1166" w:type="pct"/>
            <w:shd w:val="clear" w:color="auto" w:fill="auto"/>
            <w:vAlign w:val="center"/>
          </w:tcPr>
          <w:p w14:paraId="5064D94C">
            <w:pPr>
              <w:spacing w:line="360" w:lineRule="exact"/>
              <w:jc w:val="center"/>
              <w:rPr>
                <w:rFonts w:ascii="Times New Roman"/>
                <w:sz w:val="21"/>
                <w:szCs w:val="21"/>
              </w:rPr>
            </w:pPr>
            <w:r>
              <w:rPr>
                <w:rFonts w:ascii="Times New Roman"/>
                <w:sz w:val="21"/>
                <w:szCs w:val="21"/>
              </w:rPr>
              <w:t>VOCs</w:t>
            </w:r>
          </w:p>
        </w:tc>
        <w:tc>
          <w:tcPr>
            <w:tcW w:w="883" w:type="pct"/>
            <w:shd w:val="clear" w:color="auto" w:fill="auto"/>
            <w:vAlign w:val="center"/>
          </w:tcPr>
          <w:p w14:paraId="164C8DAA">
            <w:pPr>
              <w:jc w:val="center"/>
              <w:rPr>
                <w:rFonts w:ascii="Times New Roman"/>
                <w:sz w:val="21"/>
                <w:szCs w:val="21"/>
              </w:rPr>
            </w:pPr>
            <w:r>
              <w:rPr>
                <w:rFonts w:hint="eastAsia" w:ascii="Times New Roman"/>
                <w:sz w:val="21"/>
                <w:szCs w:val="21"/>
              </w:rPr>
              <w:t>8.9</w:t>
            </w:r>
          </w:p>
        </w:tc>
        <w:tc>
          <w:tcPr>
            <w:tcW w:w="1538" w:type="pct"/>
            <w:tcBorders>
              <w:right w:val="single" w:color="auto" w:sz="2" w:space="0"/>
            </w:tcBorders>
            <w:vAlign w:val="center"/>
          </w:tcPr>
          <w:p w14:paraId="23F5AD80">
            <w:pPr>
              <w:adjustRightInd w:val="0"/>
              <w:snapToGrid w:val="0"/>
              <w:spacing w:line="360" w:lineRule="exact"/>
              <w:jc w:val="center"/>
              <w:rPr>
                <w:rFonts w:ascii="Times New Roman"/>
                <w:sz w:val="21"/>
                <w:szCs w:val="21"/>
              </w:rPr>
            </w:pPr>
            <w:r>
              <w:rPr>
                <w:rFonts w:ascii="Times New Roman"/>
                <w:sz w:val="21"/>
                <w:szCs w:val="21"/>
              </w:rPr>
              <w:t>有组织排放颗粒物（漆雾）</w:t>
            </w:r>
          </w:p>
        </w:tc>
        <w:tc>
          <w:tcPr>
            <w:tcW w:w="823" w:type="pct"/>
            <w:tcBorders>
              <w:left w:val="single" w:color="auto" w:sz="2" w:space="0"/>
            </w:tcBorders>
            <w:shd w:val="clear" w:color="auto" w:fill="auto"/>
            <w:vAlign w:val="center"/>
          </w:tcPr>
          <w:p w14:paraId="74C50CC0">
            <w:pPr>
              <w:spacing w:line="360" w:lineRule="exact"/>
              <w:jc w:val="center"/>
              <w:rPr>
                <w:rFonts w:ascii="Times New Roman"/>
                <w:sz w:val="21"/>
                <w:szCs w:val="21"/>
              </w:rPr>
            </w:pPr>
            <w:r>
              <w:rPr>
                <w:rFonts w:hint="eastAsia" w:ascii="Times New Roman"/>
                <w:sz w:val="21"/>
                <w:szCs w:val="21"/>
              </w:rPr>
              <w:t>9.400</w:t>
            </w:r>
          </w:p>
        </w:tc>
      </w:tr>
      <w:tr w14:paraId="15F8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4E3B7E4C">
            <w:pPr>
              <w:spacing w:line="360" w:lineRule="exact"/>
              <w:jc w:val="center"/>
              <w:rPr>
                <w:rFonts w:ascii="Times New Roman"/>
                <w:sz w:val="21"/>
                <w:szCs w:val="21"/>
              </w:rPr>
            </w:pPr>
          </w:p>
        </w:tc>
        <w:tc>
          <w:tcPr>
            <w:tcW w:w="1166" w:type="pct"/>
            <w:shd w:val="clear" w:color="auto" w:fill="auto"/>
            <w:vAlign w:val="center"/>
          </w:tcPr>
          <w:p w14:paraId="4212FA0A">
            <w:pPr>
              <w:spacing w:line="360" w:lineRule="exact"/>
              <w:jc w:val="center"/>
              <w:rPr>
                <w:rFonts w:ascii="Times New Roman"/>
                <w:sz w:val="21"/>
                <w:szCs w:val="21"/>
              </w:rPr>
            </w:pPr>
            <w:r>
              <w:rPr>
                <w:rFonts w:ascii="Times New Roman"/>
                <w:sz w:val="21"/>
                <w:szCs w:val="21"/>
              </w:rPr>
              <w:t>稀释剂中VOCs</w:t>
            </w:r>
          </w:p>
        </w:tc>
        <w:tc>
          <w:tcPr>
            <w:tcW w:w="883" w:type="pct"/>
            <w:shd w:val="clear" w:color="auto" w:fill="auto"/>
            <w:vAlign w:val="center"/>
          </w:tcPr>
          <w:p w14:paraId="526E35B4">
            <w:pPr>
              <w:jc w:val="center"/>
              <w:rPr>
                <w:rFonts w:ascii="Times New Roman"/>
                <w:sz w:val="21"/>
                <w:szCs w:val="21"/>
              </w:rPr>
            </w:pPr>
            <w:r>
              <w:rPr>
                <w:rFonts w:hint="eastAsia" w:ascii="Times New Roman"/>
                <w:sz w:val="21"/>
                <w:szCs w:val="21"/>
              </w:rPr>
              <w:t>28.5</w:t>
            </w:r>
          </w:p>
        </w:tc>
        <w:tc>
          <w:tcPr>
            <w:tcW w:w="1538" w:type="pct"/>
            <w:tcBorders>
              <w:right w:val="single" w:color="auto" w:sz="2" w:space="0"/>
            </w:tcBorders>
            <w:shd w:val="clear" w:color="auto" w:fill="auto"/>
            <w:vAlign w:val="center"/>
          </w:tcPr>
          <w:p w14:paraId="1E60AFCB">
            <w:pPr>
              <w:adjustRightInd w:val="0"/>
              <w:snapToGrid w:val="0"/>
              <w:spacing w:line="360" w:lineRule="exact"/>
              <w:jc w:val="center"/>
              <w:rPr>
                <w:rFonts w:ascii="Times New Roman"/>
                <w:sz w:val="21"/>
                <w:szCs w:val="21"/>
              </w:rPr>
            </w:pPr>
            <w:r>
              <w:rPr>
                <w:rFonts w:ascii="Times New Roman"/>
                <w:sz w:val="21"/>
                <w:szCs w:val="21"/>
              </w:rPr>
              <w:t>无组织排放颗粒物（漆雾）</w:t>
            </w:r>
          </w:p>
        </w:tc>
        <w:tc>
          <w:tcPr>
            <w:tcW w:w="823" w:type="pct"/>
            <w:tcBorders>
              <w:left w:val="single" w:color="auto" w:sz="2" w:space="0"/>
            </w:tcBorders>
            <w:shd w:val="clear" w:color="auto" w:fill="auto"/>
            <w:vAlign w:val="center"/>
          </w:tcPr>
          <w:p w14:paraId="12430A18">
            <w:pPr>
              <w:spacing w:line="360" w:lineRule="exact"/>
              <w:jc w:val="center"/>
              <w:rPr>
                <w:rFonts w:ascii="Times New Roman"/>
                <w:sz w:val="21"/>
                <w:szCs w:val="21"/>
              </w:rPr>
            </w:pPr>
            <w:r>
              <w:rPr>
                <w:rFonts w:hint="eastAsia" w:ascii="Times New Roman"/>
                <w:sz w:val="21"/>
                <w:szCs w:val="21"/>
              </w:rPr>
              <w:t>9.894</w:t>
            </w:r>
          </w:p>
        </w:tc>
      </w:tr>
      <w:tr w14:paraId="4806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04A4E54B">
            <w:pPr>
              <w:spacing w:line="360" w:lineRule="exact"/>
              <w:jc w:val="center"/>
              <w:rPr>
                <w:rFonts w:ascii="Times New Roman"/>
                <w:sz w:val="21"/>
                <w:szCs w:val="21"/>
              </w:rPr>
            </w:pPr>
          </w:p>
        </w:tc>
        <w:tc>
          <w:tcPr>
            <w:tcW w:w="1166" w:type="pct"/>
            <w:shd w:val="clear" w:color="auto" w:fill="auto"/>
            <w:vAlign w:val="center"/>
          </w:tcPr>
          <w:p w14:paraId="541769B9">
            <w:pPr>
              <w:spacing w:line="360" w:lineRule="exact"/>
              <w:jc w:val="center"/>
              <w:rPr>
                <w:rFonts w:ascii="Times New Roman"/>
                <w:sz w:val="21"/>
                <w:szCs w:val="21"/>
              </w:rPr>
            </w:pPr>
            <w:r>
              <w:rPr>
                <w:rFonts w:ascii="Times New Roman"/>
                <w:sz w:val="21"/>
                <w:szCs w:val="21"/>
              </w:rPr>
              <w:t>二甲苯</w:t>
            </w:r>
          </w:p>
        </w:tc>
        <w:tc>
          <w:tcPr>
            <w:tcW w:w="883" w:type="pct"/>
            <w:shd w:val="clear" w:color="auto" w:fill="auto"/>
            <w:vAlign w:val="center"/>
          </w:tcPr>
          <w:p w14:paraId="328243BC">
            <w:pPr>
              <w:jc w:val="center"/>
              <w:rPr>
                <w:rFonts w:ascii="Times New Roman"/>
                <w:sz w:val="21"/>
                <w:szCs w:val="21"/>
              </w:rPr>
            </w:pPr>
            <w:r>
              <w:rPr>
                <w:rFonts w:hint="eastAsia" w:ascii="Times New Roman"/>
                <w:sz w:val="21"/>
                <w:szCs w:val="21"/>
              </w:rPr>
              <w:t>2.67</w:t>
            </w:r>
          </w:p>
        </w:tc>
        <w:tc>
          <w:tcPr>
            <w:tcW w:w="1538" w:type="pct"/>
            <w:tcBorders>
              <w:right w:val="single" w:color="auto" w:sz="2" w:space="0"/>
            </w:tcBorders>
            <w:shd w:val="clear" w:color="auto" w:fill="auto"/>
            <w:vAlign w:val="center"/>
          </w:tcPr>
          <w:p w14:paraId="1A2481B1">
            <w:pPr>
              <w:adjustRightInd w:val="0"/>
              <w:snapToGrid w:val="0"/>
              <w:spacing w:line="360" w:lineRule="exact"/>
              <w:jc w:val="center"/>
              <w:rPr>
                <w:rFonts w:ascii="Times New Roman"/>
                <w:sz w:val="21"/>
                <w:szCs w:val="21"/>
              </w:rPr>
            </w:pPr>
            <w:r>
              <w:rPr>
                <w:rFonts w:ascii="Times New Roman"/>
                <w:sz w:val="21"/>
                <w:szCs w:val="21"/>
              </w:rPr>
              <w:t>漆渣</w:t>
            </w:r>
          </w:p>
        </w:tc>
        <w:tc>
          <w:tcPr>
            <w:tcW w:w="823" w:type="pct"/>
            <w:tcBorders>
              <w:left w:val="single" w:color="auto" w:sz="2" w:space="0"/>
            </w:tcBorders>
            <w:shd w:val="clear" w:color="auto" w:fill="auto"/>
            <w:vAlign w:val="center"/>
          </w:tcPr>
          <w:p w14:paraId="141D6357">
            <w:pPr>
              <w:spacing w:line="360" w:lineRule="exact"/>
              <w:jc w:val="center"/>
              <w:rPr>
                <w:rFonts w:ascii="Times New Roman"/>
                <w:sz w:val="21"/>
                <w:szCs w:val="21"/>
              </w:rPr>
            </w:pPr>
            <w:r>
              <w:rPr>
                <w:rFonts w:hint="eastAsia" w:ascii="Times New Roman"/>
                <w:sz w:val="21"/>
                <w:szCs w:val="21"/>
              </w:rPr>
              <w:t>181.703</w:t>
            </w:r>
          </w:p>
        </w:tc>
      </w:tr>
      <w:tr w14:paraId="3425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050B1841">
            <w:pPr>
              <w:spacing w:line="360" w:lineRule="exact"/>
              <w:jc w:val="center"/>
              <w:rPr>
                <w:rFonts w:ascii="Times New Roman"/>
                <w:sz w:val="21"/>
                <w:szCs w:val="21"/>
              </w:rPr>
            </w:pPr>
          </w:p>
        </w:tc>
        <w:tc>
          <w:tcPr>
            <w:tcW w:w="1166" w:type="pct"/>
            <w:shd w:val="clear" w:color="auto" w:fill="auto"/>
            <w:vAlign w:val="center"/>
          </w:tcPr>
          <w:p w14:paraId="4EE1C7F9">
            <w:pPr>
              <w:spacing w:line="360" w:lineRule="exact"/>
              <w:jc w:val="center"/>
              <w:rPr>
                <w:rFonts w:ascii="Times New Roman"/>
                <w:sz w:val="21"/>
                <w:szCs w:val="21"/>
              </w:rPr>
            </w:pPr>
            <w:r>
              <w:rPr>
                <w:rFonts w:ascii="Times New Roman"/>
                <w:sz w:val="21"/>
                <w:szCs w:val="21"/>
              </w:rPr>
              <w:t>稀释剂中二甲苯</w:t>
            </w:r>
          </w:p>
        </w:tc>
        <w:tc>
          <w:tcPr>
            <w:tcW w:w="883" w:type="pct"/>
            <w:shd w:val="clear" w:color="auto" w:fill="auto"/>
            <w:vAlign w:val="center"/>
          </w:tcPr>
          <w:p w14:paraId="30C8F41C">
            <w:pPr>
              <w:jc w:val="center"/>
              <w:rPr>
                <w:rFonts w:ascii="Times New Roman"/>
                <w:sz w:val="21"/>
                <w:szCs w:val="21"/>
              </w:rPr>
            </w:pPr>
            <w:r>
              <w:rPr>
                <w:rFonts w:hint="eastAsia" w:ascii="Times New Roman"/>
                <w:sz w:val="21"/>
                <w:szCs w:val="21"/>
              </w:rPr>
              <w:t>4.275</w:t>
            </w:r>
          </w:p>
        </w:tc>
        <w:tc>
          <w:tcPr>
            <w:tcW w:w="1538" w:type="pct"/>
            <w:tcBorders>
              <w:right w:val="single" w:color="auto" w:sz="2" w:space="0"/>
            </w:tcBorders>
            <w:shd w:val="clear" w:color="auto" w:fill="auto"/>
            <w:vAlign w:val="center"/>
          </w:tcPr>
          <w:p w14:paraId="088782AD">
            <w:pPr>
              <w:adjustRightInd w:val="0"/>
              <w:snapToGrid w:val="0"/>
              <w:spacing w:line="360" w:lineRule="exact"/>
              <w:jc w:val="center"/>
              <w:rPr>
                <w:rFonts w:ascii="Times New Roman"/>
                <w:sz w:val="21"/>
                <w:szCs w:val="21"/>
              </w:rPr>
            </w:pPr>
            <w:r>
              <w:rPr>
                <w:rFonts w:ascii="Times New Roman"/>
                <w:kern w:val="0"/>
                <w:sz w:val="21"/>
                <w:szCs w:val="21"/>
              </w:rPr>
              <w:t>沸石轮转吸附+RTO焚烧装置</w:t>
            </w:r>
            <w:r>
              <w:rPr>
                <w:rFonts w:ascii="Times New Roman"/>
                <w:sz w:val="21"/>
                <w:szCs w:val="21"/>
              </w:rPr>
              <w:t>净化VOCs</w:t>
            </w:r>
          </w:p>
        </w:tc>
        <w:tc>
          <w:tcPr>
            <w:tcW w:w="823" w:type="pct"/>
            <w:tcBorders>
              <w:left w:val="single" w:color="auto" w:sz="2" w:space="0"/>
            </w:tcBorders>
            <w:shd w:val="clear" w:color="auto" w:fill="auto"/>
            <w:vAlign w:val="center"/>
          </w:tcPr>
          <w:p w14:paraId="43BBED6E">
            <w:pPr>
              <w:jc w:val="center"/>
              <w:rPr>
                <w:rFonts w:ascii="Times New Roman"/>
                <w:sz w:val="21"/>
                <w:szCs w:val="21"/>
              </w:rPr>
            </w:pPr>
            <w:r>
              <w:rPr>
                <w:rFonts w:hint="eastAsia" w:ascii="Times New Roman"/>
                <w:sz w:val="21"/>
                <w:szCs w:val="21"/>
              </w:rPr>
              <w:t>314.214</w:t>
            </w:r>
          </w:p>
        </w:tc>
      </w:tr>
      <w:tr w14:paraId="748F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restart"/>
            <w:shd w:val="clear" w:color="auto" w:fill="auto"/>
            <w:vAlign w:val="center"/>
          </w:tcPr>
          <w:p w14:paraId="45E29945">
            <w:pPr>
              <w:spacing w:line="360" w:lineRule="exact"/>
              <w:jc w:val="center"/>
              <w:rPr>
                <w:rFonts w:ascii="Times New Roman"/>
                <w:sz w:val="21"/>
                <w:szCs w:val="21"/>
              </w:rPr>
            </w:pPr>
            <w:r>
              <w:rPr>
                <w:rFonts w:ascii="Times New Roman"/>
                <w:sz w:val="21"/>
                <w:szCs w:val="21"/>
              </w:rPr>
              <w:t>环氧云铁中间漆</w:t>
            </w:r>
          </w:p>
        </w:tc>
        <w:tc>
          <w:tcPr>
            <w:tcW w:w="1166" w:type="pct"/>
            <w:shd w:val="clear" w:color="auto" w:fill="auto"/>
            <w:vAlign w:val="center"/>
          </w:tcPr>
          <w:p w14:paraId="1EC8C2BE">
            <w:pPr>
              <w:spacing w:line="360" w:lineRule="exact"/>
              <w:jc w:val="center"/>
              <w:rPr>
                <w:rFonts w:ascii="Times New Roman"/>
                <w:sz w:val="21"/>
                <w:szCs w:val="21"/>
              </w:rPr>
            </w:pPr>
            <w:r>
              <w:rPr>
                <w:rFonts w:ascii="Times New Roman"/>
                <w:sz w:val="21"/>
                <w:szCs w:val="21"/>
              </w:rPr>
              <w:t>固体组分</w:t>
            </w:r>
          </w:p>
        </w:tc>
        <w:tc>
          <w:tcPr>
            <w:tcW w:w="883" w:type="pct"/>
            <w:vAlign w:val="center"/>
          </w:tcPr>
          <w:p w14:paraId="13699F0C">
            <w:pPr>
              <w:spacing w:line="360" w:lineRule="exact"/>
              <w:jc w:val="center"/>
              <w:rPr>
                <w:rFonts w:ascii="Times New Roman"/>
                <w:sz w:val="21"/>
                <w:szCs w:val="21"/>
              </w:rPr>
            </w:pPr>
            <w:r>
              <w:rPr>
                <w:rFonts w:hint="eastAsia" w:ascii="Times New Roman"/>
                <w:sz w:val="21"/>
                <w:szCs w:val="21"/>
              </w:rPr>
              <w:t>298.8</w:t>
            </w:r>
          </w:p>
        </w:tc>
        <w:tc>
          <w:tcPr>
            <w:tcW w:w="1538" w:type="pct"/>
            <w:tcBorders>
              <w:right w:val="single" w:color="auto" w:sz="2" w:space="0"/>
            </w:tcBorders>
            <w:shd w:val="clear" w:color="auto" w:fill="auto"/>
            <w:vAlign w:val="center"/>
          </w:tcPr>
          <w:p w14:paraId="3479916D">
            <w:pPr>
              <w:adjustRightInd w:val="0"/>
              <w:snapToGrid w:val="0"/>
              <w:spacing w:line="360" w:lineRule="exact"/>
              <w:jc w:val="center"/>
              <w:rPr>
                <w:rFonts w:ascii="Times New Roman"/>
                <w:sz w:val="21"/>
                <w:szCs w:val="21"/>
              </w:rPr>
            </w:pPr>
            <w:r>
              <w:rPr>
                <w:rFonts w:ascii="Times New Roman"/>
                <w:sz w:val="21"/>
                <w:szCs w:val="21"/>
              </w:rPr>
              <w:t>有组织排放VOCs</w:t>
            </w:r>
          </w:p>
        </w:tc>
        <w:tc>
          <w:tcPr>
            <w:tcW w:w="823" w:type="pct"/>
            <w:tcBorders>
              <w:left w:val="single" w:color="auto" w:sz="2" w:space="0"/>
            </w:tcBorders>
            <w:shd w:val="clear" w:color="auto" w:fill="auto"/>
            <w:vAlign w:val="center"/>
          </w:tcPr>
          <w:p w14:paraId="06ADE302">
            <w:pPr>
              <w:jc w:val="center"/>
              <w:rPr>
                <w:rFonts w:ascii="Times New Roman"/>
                <w:sz w:val="21"/>
                <w:szCs w:val="21"/>
              </w:rPr>
            </w:pPr>
            <w:r>
              <w:rPr>
                <w:rFonts w:hint="eastAsia" w:ascii="Times New Roman"/>
                <w:sz w:val="21"/>
                <w:szCs w:val="21"/>
              </w:rPr>
              <w:t>16.538</w:t>
            </w:r>
          </w:p>
        </w:tc>
      </w:tr>
      <w:tr w14:paraId="67CB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0EE43062">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2499B26A">
            <w:pPr>
              <w:spacing w:line="360" w:lineRule="exact"/>
              <w:jc w:val="center"/>
              <w:rPr>
                <w:rFonts w:ascii="Times New Roman"/>
                <w:sz w:val="21"/>
                <w:szCs w:val="21"/>
              </w:rPr>
            </w:pPr>
            <w:r>
              <w:rPr>
                <w:rFonts w:ascii="Times New Roman"/>
                <w:sz w:val="21"/>
                <w:szCs w:val="21"/>
              </w:rPr>
              <w:t>VOCs</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A94E349">
            <w:pPr>
              <w:jc w:val="center"/>
              <w:rPr>
                <w:rFonts w:ascii="Times New Roman"/>
                <w:sz w:val="21"/>
                <w:szCs w:val="21"/>
              </w:rPr>
            </w:pPr>
            <w:r>
              <w:rPr>
                <w:rFonts w:hint="eastAsia" w:ascii="Times New Roman"/>
                <w:sz w:val="21"/>
                <w:szCs w:val="21"/>
              </w:rPr>
              <w:t>33.2</w:t>
            </w:r>
          </w:p>
        </w:tc>
        <w:tc>
          <w:tcPr>
            <w:tcW w:w="1538" w:type="pct"/>
            <w:tcBorders>
              <w:top w:val="single" w:color="auto" w:sz="4" w:space="0"/>
              <w:left w:val="single" w:color="auto" w:sz="4" w:space="0"/>
              <w:bottom w:val="single" w:color="auto" w:sz="4" w:space="0"/>
              <w:right w:val="single" w:color="auto" w:sz="2" w:space="0"/>
            </w:tcBorders>
            <w:shd w:val="clear" w:color="auto" w:fill="auto"/>
            <w:vAlign w:val="center"/>
          </w:tcPr>
          <w:p w14:paraId="25CA5AA9">
            <w:pPr>
              <w:adjustRightInd w:val="0"/>
              <w:snapToGrid w:val="0"/>
              <w:spacing w:line="360" w:lineRule="exact"/>
              <w:jc w:val="center"/>
              <w:rPr>
                <w:rFonts w:ascii="Times New Roman"/>
                <w:sz w:val="21"/>
                <w:szCs w:val="21"/>
              </w:rPr>
            </w:pPr>
            <w:r>
              <w:rPr>
                <w:rFonts w:ascii="Times New Roman"/>
                <w:sz w:val="21"/>
                <w:szCs w:val="21"/>
              </w:rPr>
              <w:t>无组织排放VOCs</w:t>
            </w:r>
          </w:p>
        </w:tc>
        <w:tc>
          <w:tcPr>
            <w:tcW w:w="823" w:type="pct"/>
            <w:tcBorders>
              <w:top w:val="single" w:color="auto" w:sz="4" w:space="0"/>
              <w:left w:val="single" w:color="auto" w:sz="2" w:space="0"/>
              <w:bottom w:val="single" w:color="auto" w:sz="4" w:space="0"/>
              <w:right w:val="single" w:color="auto" w:sz="4" w:space="0"/>
            </w:tcBorders>
            <w:shd w:val="clear" w:color="auto" w:fill="auto"/>
            <w:vAlign w:val="center"/>
          </w:tcPr>
          <w:p w14:paraId="3D0DEE5E">
            <w:pPr>
              <w:jc w:val="center"/>
              <w:rPr>
                <w:rFonts w:ascii="Times New Roman"/>
                <w:sz w:val="21"/>
                <w:szCs w:val="21"/>
              </w:rPr>
            </w:pPr>
            <w:r>
              <w:rPr>
                <w:rFonts w:hint="eastAsia" w:ascii="Times New Roman"/>
                <w:sz w:val="21"/>
                <w:szCs w:val="21"/>
              </w:rPr>
              <w:t>17.408</w:t>
            </w:r>
          </w:p>
        </w:tc>
      </w:tr>
      <w:tr w14:paraId="19E9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4A2FA92E">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77E8C2FF">
            <w:pPr>
              <w:spacing w:line="360" w:lineRule="exact"/>
              <w:jc w:val="center"/>
              <w:rPr>
                <w:rFonts w:ascii="Times New Roman"/>
                <w:sz w:val="21"/>
                <w:szCs w:val="21"/>
              </w:rPr>
            </w:pPr>
            <w:r>
              <w:rPr>
                <w:rFonts w:ascii="Times New Roman"/>
                <w:sz w:val="21"/>
                <w:szCs w:val="21"/>
              </w:rPr>
              <w:t>稀释剂中VOCs</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2728E3E6">
            <w:pPr>
              <w:jc w:val="center"/>
              <w:rPr>
                <w:rFonts w:ascii="Times New Roman"/>
                <w:sz w:val="21"/>
                <w:szCs w:val="21"/>
              </w:rPr>
            </w:pPr>
            <w:r>
              <w:rPr>
                <w:rFonts w:hint="eastAsia" w:ascii="Times New Roman"/>
                <w:sz w:val="21"/>
                <w:szCs w:val="21"/>
              </w:rPr>
              <w:t>106.5</w:t>
            </w:r>
          </w:p>
        </w:tc>
        <w:tc>
          <w:tcPr>
            <w:tcW w:w="1538" w:type="pct"/>
            <w:tcBorders>
              <w:top w:val="single" w:color="auto" w:sz="4" w:space="0"/>
              <w:left w:val="single" w:color="auto" w:sz="4" w:space="0"/>
              <w:bottom w:val="single" w:color="auto" w:sz="4" w:space="0"/>
              <w:right w:val="single" w:color="auto" w:sz="2" w:space="0"/>
            </w:tcBorders>
            <w:shd w:val="clear" w:color="auto" w:fill="auto"/>
            <w:vAlign w:val="center"/>
          </w:tcPr>
          <w:p w14:paraId="620110F1">
            <w:pPr>
              <w:adjustRightInd w:val="0"/>
              <w:snapToGrid w:val="0"/>
              <w:spacing w:line="360" w:lineRule="exact"/>
              <w:jc w:val="center"/>
              <w:rPr>
                <w:rFonts w:ascii="Times New Roman"/>
                <w:sz w:val="21"/>
                <w:szCs w:val="21"/>
              </w:rPr>
            </w:pPr>
            <w:r>
              <w:rPr>
                <w:rFonts w:ascii="Times New Roman"/>
                <w:kern w:val="0"/>
                <w:sz w:val="21"/>
                <w:szCs w:val="21"/>
              </w:rPr>
              <w:t>沸石轮转吸附+RTO焚烧装置</w:t>
            </w:r>
            <w:r>
              <w:rPr>
                <w:rFonts w:ascii="Times New Roman"/>
                <w:sz w:val="21"/>
                <w:szCs w:val="21"/>
              </w:rPr>
              <w:t>净化二甲苯</w:t>
            </w:r>
          </w:p>
        </w:tc>
        <w:tc>
          <w:tcPr>
            <w:tcW w:w="823" w:type="pct"/>
            <w:tcBorders>
              <w:top w:val="single" w:color="auto" w:sz="4" w:space="0"/>
              <w:left w:val="single" w:color="auto" w:sz="2" w:space="0"/>
              <w:bottom w:val="single" w:color="auto" w:sz="4" w:space="0"/>
              <w:right w:val="single" w:color="auto" w:sz="4" w:space="0"/>
            </w:tcBorders>
            <w:shd w:val="clear" w:color="auto" w:fill="auto"/>
            <w:vAlign w:val="center"/>
          </w:tcPr>
          <w:p w14:paraId="63039042">
            <w:pPr>
              <w:jc w:val="center"/>
              <w:rPr>
                <w:rFonts w:ascii="Times New Roman"/>
                <w:sz w:val="21"/>
                <w:szCs w:val="21"/>
              </w:rPr>
            </w:pPr>
            <w:r>
              <w:rPr>
                <w:rFonts w:hint="eastAsia" w:ascii="Times New Roman"/>
                <w:sz w:val="21"/>
                <w:szCs w:val="21"/>
              </w:rPr>
              <w:t>87.145</w:t>
            </w:r>
          </w:p>
        </w:tc>
      </w:tr>
      <w:tr w14:paraId="6F5D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24CC3E68">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40841B99">
            <w:pPr>
              <w:spacing w:line="360" w:lineRule="exact"/>
              <w:jc w:val="center"/>
              <w:rPr>
                <w:rFonts w:ascii="Times New Roman"/>
                <w:sz w:val="21"/>
                <w:szCs w:val="21"/>
              </w:rPr>
            </w:pPr>
            <w:r>
              <w:rPr>
                <w:rFonts w:ascii="Times New Roman"/>
                <w:sz w:val="21"/>
                <w:szCs w:val="21"/>
              </w:rPr>
              <w:t>二甲苯</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A662E27">
            <w:pPr>
              <w:jc w:val="center"/>
              <w:rPr>
                <w:rFonts w:ascii="Times New Roman"/>
                <w:sz w:val="21"/>
                <w:szCs w:val="21"/>
              </w:rPr>
            </w:pPr>
            <w:r>
              <w:rPr>
                <w:rFonts w:hint="eastAsia" w:ascii="Times New Roman"/>
                <w:sz w:val="21"/>
                <w:szCs w:val="21"/>
              </w:rPr>
              <w:t>9.96</w:t>
            </w:r>
          </w:p>
        </w:tc>
        <w:tc>
          <w:tcPr>
            <w:tcW w:w="1538" w:type="pct"/>
            <w:tcBorders>
              <w:top w:val="single" w:color="auto" w:sz="4" w:space="0"/>
              <w:left w:val="single" w:color="auto" w:sz="4" w:space="0"/>
              <w:bottom w:val="single" w:color="auto" w:sz="4" w:space="0"/>
              <w:right w:val="single" w:color="auto" w:sz="2" w:space="0"/>
            </w:tcBorders>
            <w:shd w:val="clear" w:color="auto" w:fill="auto"/>
            <w:vAlign w:val="center"/>
          </w:tcPr>
          <w:p w14:paraId="3957E281">
            <w:pPr>
              <w:adjustRightInd w:val="0"/>
              <w:snapToGrid w:val="0"/>
              <w:spacing w:line="360" w:lineRule="exact"/>
              <w:jc w:val="center"/>
              <w:rPr>
                <w:rFonts w:ascii="Times New Roman"/>
                <w:sz w:val="21"/>
                <w:szCs w:val="21"/>
              </w:rPr>
            </w:pPr>
            <w:r>
              <w:rPr>
                <w:rFonts w:ascii="Times New Roman"/>
                <w:sz w:val="21"/>
                <w:szCs w:val="21"/>
              </w:rPr>
              <w:t>有组织排放二甲苯</w:t>
            </w:r>
          </w:p>
        </w:tc>
        <w:tc>
          <w:tcPr>
            <w:tcW w:w="823" w:type="pct"/>
            <w:tcBorders>
              <w:top w:val="single" w:color="auto" w:sz="4" w:space="0"/>
              <w:left w:val="single" w:color="auto" w:sz="2" w:space="0"/>
              <w:bottom w:val="single" w:color="auto" w:sz="4" w:space="0"/>
              <w:right w:val="single" w:color="auto" w:sz="4" w:space="0"/>
            </w:tcBorders>
            <w:shd w:val="clear" w:color="auto" w:fill="auto"/>
            <w:vAlign w:val="center"/>
          </w:tcPr>
          <w:p w14:paraId="0C850AD8">
            <w:pPr>
              <w:jc w:val="center"/>
              <w:rPr>
                <w:rFonts w:ascii="Times New Roman"/>
                <w:sz w:val="21"/>
                <w:szCs w:val="21"/>
              </w:rPr>
            </w:pPr>
            <w:r>
              <w:rPr>
                <w:rFonts w:hint="eastAsia" w:ascii="Times New Roman"/>
                <w:sz w:val="21"/>
                <w:szCs w:val="21"/>
              </w:rPr>
              <w:t>4.587</w:t>
            </w:r>
          </w:p>
        </w:tc>
      </w:tr>
      <w:tr w14:paraId="22E1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tcBorders>
              <w:bottom w:val="single" w:color="auto" w:sz="4" w:space="0"/>
            </w:tcBorders>
            <w:vAlign w:val="center"/>
          </w:tcPr>
          <w:p w14:paraId="684383FC">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11FB8145">
            <w:pPr>
              <w:spacing w:line="360" w:lineRule="exact"/>
              <w:jc w:val="center"/>
              <w:rPr>
                <w:rFonts w:ascii="Times New Roman"/>
                <w:sz w:val="21"/>
                <w:szCs w:val="21"/>
              </w:rPr>
            </w:pPr>
            <w:r>
              <w:rPr>
                <w:rFonts w:ascii="Times New Roman"/>
                <w:sz w:val="21"/>
                <w:szCs w:val="21"/>
              </w:rPr>
              <w:t>稀释剂中二甲苯</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A8B60FF">
            <w:pPr>
              <w:jc w:val="center"/>
              <w:rPr>
                <w:rFonts w:ascii="Times New Roman"/>
                <w:sz w:val="21"/>
                <w:szCs w:val="21"/>
              </w:rPr>
            </w:pPr>
            <w:r>
              <w:rPr>
                <w:rFonts w:hint="eastAsia" w:ascii="Times New Roman"/>
                <w:sz w:val="21"/>
                <w:szCs w:val="21"/>
              </w:rPr>
              <w:t>15.975</w:t>
            </w:r>
          </w:p>
        </w:tc>
        <w:tc>
          <w:tcPr>
            <w:tcW w:w="1538" w:type="pct"/>
            <w:tcBorders>
              <w:top w:val="single" w:color="auto" w:sz="4" w:space="0"/>
              <w:left w:val="single" w:color="auto" w:sz="4" w:space="0"/>
              <w:bottom w:val="single" w:color="auto" w:sz="4" w:space="0"/>
              <w:right w:val="single" w:color="auto" w:sz="2" w:space="0"/>
            </w:tcBorders>
            <w:shd w:val="clear" w:color="auto" w:fill="auto"/>
            <w:vAlign w:val="center"/>
          </w:tcPr>
          <w:p w14:paraId="690D7D8A">
            <w:pPr>
              <w:adjustRightInd w:val="0"/>
              <w:snapToGrid w:val="0"/>
              <w:spacing w:line="360" w:lineRule="exact"/>
              <w:jc w:val="center"/>
              <w:rPr>
                <w:rFonts w:ascii="Times New Roman"/>
                <w:sz w:val="21"/>
                <w:szCs w:val="21"/>
              </w:rPr>
            </w:pPr>
            <w:r>
              <w:rPr>
                <w:rFonts w:ascii="Times New Roman"/>
                <w:sz w:val="21"/>
                <w:szCs w:val="21"/>
              </w:rPr>
              <w:t>无组织排放二甲苯</w:t>
            </w:r>
          </w:p>
        </w:tc>
        <w:tc>
          <w:tcPr>
            <w:tcW w:w="823" w:type="pct"/>
            <w:tcBorders>
              <w:top w:val="single" w:color="auto" w:sz="4" w:space="0"/>
              <w:left w:val="single" w:color="auto" w:sz="2" w:space="0"/>
              <w:bottom w:val="single" w:color="auto" w:sz="4" w:space="0"/>
              <w:right w:val="single" w:color="auto" w:sz="4" w:space="0"/>
            </w:tcBorders>
            <w:shd w:val="clear" w:color="auto" w:fill="auto"/>
            <w:vAlign w:val="center"/>
          </w:tcPr>
          <w:p w14:paraId="118CBED6">
            <w:pPr>
              <w:jc w:val="center"/>
              <w:rPr>
                <w:rFonts w:ascii="Times New Roman"/>
                <w:sz w:val="21"/>
                <w:szCs w:val="21"/>
              </w:rPr>
            </w:pPr>
            <w:r>
              <w:rPr>
                <w:rFonts w:hint="eastAsia" w:ascii="Times New Roman"/>
                <w:sz w:val="21"/>
                <w:szCs w:val="21"/>
              </w:rPr>
              <w:t>4.828</w:t>
            </w:r>
          </w:p>
        </w:tc>
      </w:tr>
      <w:tr w14:paraId="242C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restart"/>
            <w:shd w:val="clear" w:color="auto" w:fill="auto"/>
            <w:vAlign w:val="center"/>
          </w:tcPr>
          <w:p w14:paraId="265DF706">
            <w:pPr>
              <w:spacing w:line="360" w:lineRule="exact"/>
              <w:jc w:val="center"/>
              <w:rPr>
                <w:rFonts w:ascii="Times New Roman"/>
                <w:sz w:val="21"/>
                <w:szCs w:val="21"/>
              </w:rPr>
            </w:pPr>
            <w:r>
              <w:rPr>
                <w:rFonts w:ascii="Times New Roman"/>
                <w:sz w:val="21"/>
                <w:szCs w:val="21"/>
              </w:rPr>
              <w:t>聚氨酯面漆</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695E9DCF">
            <w:pPr>
              <w:spacing w:line="360" w:lineRule="exact"/>
              <w:jc w:val="center"/>
              <w:rPr>
                <w:rFonts w:ascii="Times New Roman"/>
                <w:sz w:val="21"/>
                <w:szCs w:val="21"/>
              </w:rPr>
            </w:pPr>
            <w:r>
              <w:rPr>
                <w:rFonts w:ascii="Times New Roman"/>
                <w:sz w:val="21"/>
                <w:szCs w:val="21"/>
              </w:rPr>
              <w:t>固体组分</w:t>
            </w:r>
          </w:p>
        </w:tc>
        <w:tc>
          <w:tcPr>
            <w:tcW w:w="883" w:type="pct"/>
            <w:tcBorders>
              <w:top w:val="single" w:color="auto" w:sz="4" w:space="0"/>
              <w:left w:val="single" w:color="auto" w:sz="4" w:space="0"/>
              <w:bottom w:val="single" w:color="auto" w:sz="4" w:space="0"/>
              <w:right w:val="single" w:color="auto" w:sz="4" w:space="0"/>
            </w:tcBorders>
            <w:vAlign w:val="center"/>
          </w:tcPr>
          <w:p w14:paraId="3DC3F21F">
            <w:pPr>
              <w:jc w:val="center"/>
              <w:rPr>
                <w:rFonts w:ascii="Times New Roman"/>
                <w:sz w:val="21"/>
                <w:szCs w:val="21"/>
              </w:rPr>
            </w:pPr>
            <w:r>
              <w:rPr>
                <w:rFonts w:hint="eastAsia" w:ascii="Times New Roman"/>
                <w:sz w:val="21"/>
                <w:szCs w:val="21"/>
              </w:rPr>
              <w:t>280.72</w:t>
            </w:r>
          </w:p>
        </w:tc>
        <w:tc>
          <w:tcPr>
            <w:tcW w:w="1538" w:type="pct"/>
            <w:tcBorders>
              <w:top w:val="single" w:color="auto" w:sz="4" w:space="0"/>
              <w:left w:val="single" w:color="auto" w:sz="4" w:space="0"/>
              <w:bottom w:val="single" w:color="auto" w:sz="4" w:space="0"/>
              <w:right w:val="single" w:color="auto" w:sz="2" w:space="0"/>
            </w:tcBorders>
            <w:shd w:val="clear" w:color="auto" w:fill="auto"/>
            <w:vAlign w:val="center"/>
          </w:tcPr>
          <w:p w14:paraId="2F049478">
            <w:pPr>
              <w:adjustRightInd w:val="0"/>
              <w:snapToGrid w:val="0"/>
              <w:spacing w:line="360" w:lineRule="exact"/>
              <w:jc w:val="center"/>
              <w:rPr>
                <w:rFonts w:ascii="Times New Roman"/>
                <w:sz w:val="21"/>
                <w:szCs w:val="21"/>
              </w:rPr>
            </w:pPr>
            <w:r>
              <w:rPr>
                <w:rFonts w:ascii="Times New Roman"/>
                <w:sz w:val="21"/>
                <w:szCs w:val="21"/>
              </w:rPr>
              <w:t>水蒸气</w:t>
            </w:r>
          </w:p>
        </w:tc>
        <w:tc>
          <w:tcPr>
            <w:tcW w:w="823" w:type="pct"/>
            <w:tcBorders>
              <w:top w:val="single" w:color="auto" w:sz="4" w:space="0"/>
              <w:left w:val="single" w:color="auto" w:sz="2" w:space="0"/>
              <w:bottom w:val="single" w:color="auto" w:sz="4" w:space="0"/>
              <w:right w:val="single" w:color="auto" w:sz="4" w:space="0"/>
            </w:tcBorders>
            <w:shd w:val="clear" w:color="auto" w:fill="auto"/>
            <w:vAlign w:val="center"/>
          </w:tcPr>
          <w:p w14:paraId="0F8835A6">
            <w:pPr>
              <w:jc w:val="center"/>
              <w:rPr>
                <w:rFonts w:ascii="Times New Roman"/>
                <w:sz w:val="21"/>
                <w:szCs w:val="21"/>
              </w:rPr>
            </w:pPr>
            <w:r>
              <w:rPr>
                <w:rFonts w:hint="eastAsia" w:ascii="Times New Roman"/>
                <w:sz w:val="21"/>
                <w:szCs w:val="21"/>
              </w:rPr>
              <w:t>68</w:t>
            </w:r>
          </w:p>
        </w:tc>
      </w:tr>
      <w:tr w14:paraId="2FAD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6588EFF8">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1B41BD5C">
            <w:pPr>
              <w:spacing w:line="360" w:lineRule="exact"/>
              <w:jc w:val="center"/>
              <w:rPr>
                <w:rFonts w:ascii="Times New Roman"/>
                <w:sz w:val="21"/>
                <w:szCs w:val="21"/>
              </w:rPr>
            </w:pPr>
            <w:r>
              <w:rPr>
                <w:rFonts w:ascii="Times New Roman"/>
                <w:sz w:val="21"/>
                <w:szCs w:val="21"/>
              </w:rPr>
              <w:t>面漆中VOCs</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0E1C8F41">
            <w:pPr>
              <w:jc w:val="center"/>
              <w:rPr>
                <w:rFonts w:ascii="Times New Roman"/>
                <w:sz w:val="21"/>
                <w:szCs w:val="21"/>
              </w:rPr>
            </w:pPr>
            <w:r>
              <w:rPr>
                <w:rFonts w:hint="eastAsia" w:ascii="Times New Roman"/>
                <w:sz w:val="21"/>
                <w:szCs w:val="21"/>
              </w:rPr>
              <w:t>38.28</w:t>
            </w:r>
          </w:p>
        </w:tc>
        <w:tc>
          <w:tcPr>
            <w:tcW w:w="1538" w:type="pct"/>
            <w:tcBorders>
              <w:top w:val="single" w:color="auto" w:sz="4" w:space="0"/>
              <w:left w:val="single" w:color="auto" w:sz="4" w:space="0"/>
              <w:bottom w:val="single" w:color="auto" w:sz="4" w:space="0"/>
              <w:right w:val="single" w:color="auto" w:sz="2" w:space="0"/>
            </w:tcBorders>
            <w:vAlign w:val="center"/>
          </w:tcPr>
          <w:p w14:paraId="4F17A17A">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4D1668C5">
            <w:pPr>
              <w:jc w:val="center"/>
              <w:rPr>
                <w:rFonts w:ascii="Times New Roman"/>
                <w:sz w:val="21"/>
                <w:szCs w:val="21"/>
              </w:rPr>
            </w:pPr>
          </w:p>
        </w:tc>
      </w:tr>
      <w:tr w14:paraId="5593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41C60970">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114F1978">
            <w:pPr>
              <w:spacing w:line="360" w:lineRule="exact"/>
              <w:jc w:val="center"/>
              <w:rPr>
                <w:rFonts w:ascii="Times New Roman"/>
                <w:sz w:val="21"/>
                <w:szCs w:val="21"/>
              </w:rPr>
            </w:pPr>
            <w:r>
              <w:rPr>
                <w:rFonts w:ascii="Times New Roman"/>
                <w:sz w:val="21"/>
                <w:szCs w:val="21"/>
              </w:rPr>
              <w:t>稀释剂中VOCs</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1D3BF81A">
            <w:pPr>
              <w:jc w:val="center"/>
              <w:rPr>
                <w:rFonts w:ascii="Times New Roman"/>
                <w:sz w:val="21"/>
                <w:szCs w:val="21"/>
              </w:rPr>
            </w:pPr>
            <w:r>
              <w:rPr>
                <w:rFonts w:hint="eastAsia" w:ascii="Times New Roman"/>
                <w:sz w:val="21"/>
                <w:szCs w:val="21"/>
              </w:rPr>
              <w:t>127</w:t>
            </w:r>
          </w:p>
        </w:tc>
        <w:tc>
          <w:tcPr>
            <w:tcW w:w="1538" w:type="pct"/>
            <w:tcBorders>
              <w:top w:val="single" w:color="auto" w:sz="4" w:space="0"/>
              <w:left w:val="single" w:color="auto" w:sz="4" w:space="0"/>
              <w:bottom w:val="single" w:color="auto" w:sz="4" w:space="0"/>
              <w:right w:val="single" w:color="auto" w:sz="2" w:space="0"/>
            </w:tcBorders>
            <w:vAlign w:val="center"/>
          </w:tcPr>
          <w:p w14:paraId="4123BA15">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7E495E1D">
            <w:pPr>
              <w:jc w:val="center"/>
              <w:rPr>
                <w:rFonts w:ascii="Times New Roman"/>
                <w:sz w:val="21"/>
                <w:szCs w:val="21"/>
              </w:rPr>
            </w:pPr>
          </w:p>
        </w:tc>
      </w:tr>
      <w:tr w14:paraId="215F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2860DC35">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5D9DDC31">
            <w:pPr>
              <w:spacing w:line="360" w:lineRule="exact"/>
              <w:jc w:val="center"/>
              <w:rPr>
                <w:rFonts w:ascii="Times New Roman"/>
                <w:sz w:val="21"/>
                <w:szCs w:val="21"/>
              </w:rPr>
            </w:pPr>
            <w:r>
              <w:rPr>
                <w:rFonts w:ascii="Times New Roman"/>
                <w:sz w:val="21"/>
                <w:szCs w:val="21"/>
              </w:rPr>
              <w:t>二甲苯</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140E04B3">
            <w:pPr>
              <w:jc w:val="center"/>
              <w:rPr>
                <w:rFonts w:ascii="Times New Roman"/>
                <w:sz w:val="21"/>
                <w:szCs w:val="21"/>
              </w:rPr>
            </w:pPr>
            <w:r>
              <w:rPr>
                <w:rFonts w:hint="eastAsia" w:ascii="Times New Roman"/>
                <w:sz w:val="21"/>
                <w:szCs w:val="21"/>
              </w:rPr>
              <w:t>38.28</w:t>
            </w:r>
          </w:p>
        </w:tc>
        <w:tc>
          <w:tcPr>
            <w:tcW w:w="1538" w:type="pct"/>
            <w:tcBorders>
              <w:top w:val="single" w:color="auto" w:sz="4" w:space="0"/>
              <w:left w:val="single" w:color="auto" w:sz="4" w:space="0"/>
              <w:bottom w:val="single" w:color="auto" w:sz="4" w:space="0"/>
              <w:right w:val="single" w:color="auto" w:sz="2" w:space="0"/>
            </w:tcBorders>
            <w:vAlign w:val="center"/>
          </w:tcPr>
          <w:p w14:paraId="47C5D41F">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7722A02D">
            <w:pPr>
              <w:jc w:val="center"/>
              <w:rPr>
                <w:rFonts w:ascii="Times New Roman"/>
                <w:sz w:val="21"/>
                <w:szCs w:val="21"/>
              </w:rPr>
            </w:pPr>
          </w:p>
        </w:tc>
      </w:tr>
      <w:tr w14:paraId="095E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tcBorders>
              <w:bottom w:val="single" w:color="auto" w:sz="4" w:space="0"/>
            </w:tcBorders>
            <w:vAlign w:val="center"/>
          </w:tcPr>
          <w:p w14:paraId="3C975E10">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3C955E19">
            <w:pPr>
              <w:spacing w:line="360" w:lineRule="exact"/>
              <w:jc w:val="center"/>
              <w:rPr>
                <w:rFonts w:ascii="Times New Roman"/>
                <w:sz w:val="21"/>
                <w:szCs w:val="21"/>
              </w:rPr>
            </w:pPr>
            <w:r>
              <w:rPr>
                <w:rFonts w:ascii="Times New Roman"/>
                <w:sz w:val="21"/>
                <w:szCs w:val="21"/>
              </w:rPr>
              <w:t>稀释剂中二甲苯</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2CADE2F2">
            <w:pPr>
              <w:jc w:val="center"/>
              <w:rPr>
                <w:rFonts w:ascii="Times New Roman"/>
                <w:sz w:val="21"/>
                <w:szCs w:val="21"/>
              </w:rPr>
            </w:pPr>
            <w:r>
              <w:rPr>
                <w:rFonts w:hint="eastAsia" w:ascii="Times New Roman"/>
                <w:sz w:val="21"/>
                <w:szCs w:val="21"/>
              </w:rPr>
              <w:t>25.4</w:t>
            </w:r>
          </w:p>
        </w:tc>
        <w:tc>
          <w:tcPr>
            <w:tcW w:w="1538" w:type="pct"/>
            <w:tcBorders>
              <w:top w:val="single" w:color="auto" w:sz="4" w:space="0"/>
              <w:left w:val="single" w:color="auto" w:sz="4" w:space="0"/>
              <w:bottom w:val="single" w:color="auto" w:sz="4" w:space="0"/>
              <w:right w:val="single" w:color="auto" w:sz="2" w:space="0"/>
            </w:tcBorders>
            <w:vAlign w:val="center"/>
          </w:tcPr>
          <w:p w14:paraId="7234246B">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54C6A14C">
            <w:pPr>
              <w:jc w:val="center"/>
              <w:rPr>
                <w:rFonts w:ascii="Times New Roman"/>
                <w:sz w:val="21"/>
                <w:szCs w:val="21"/>
              </w:rPr>
            </w:pPr>
          </w:p>
        </w:tc>
      </w:tr>
      <w:tr w14:paraId="182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restart"/>
            <w:shd w:val="clear" w:color="auto" w:fill="auto"/>
            <w:vAlign w:val="center"/>
          </w:tcPr>
          <w:p w14:paraId="60B243FB">
            <w:pPr>
              <w:jc w:val="center"/>
              <w:rPr>
                <w:rFonts w:ascii="Times New Roman"/>
                <w:sz w:val="21"/>
                <w:szCs w:val="21"/>
              </w:rPr>
            </w:pPr>
            <w:r>
              <w:rPr>
                <w:rFonts w:ascii="Times New Roman"/>
                <w:kern w:val="0"/>
                <w:sz w:val="21"/>
                <w:szCs w:val="21"/>
              </w:rPr>
              <w:t>阴极电泳漆（乳液）</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2E288624">
            <w:pPr>
              <w:spacing w:line="360" w:lineRule="exact"/>
              <w:jc w:val="center"/>
              <w:rPr>
                <w:rFonts w:ascii="Times New Roman"/>
                <w:sz w:val="21"/>
                <w:szCs w:val="21"/>
              </w:rPr>
            </w:pPr>
            <w:r>
              <w:rPr>
                <w:rFonts w:ascii="Times New Roman"/>
                <w:sz w:val="21"/>
                <w:szCs w:val="21"/>
              </w:rPr>
              <w:t>固体组分</w:t>
            </w:r>
          </w:p>
        </w:tc>
        <w:tc>
          <w:tcPr>
            <w:tcW w:w="883" w:type="pct"/>
            <w:tcBorders>
              <w:top w:val="single" w:color="auto" w:sz="4" w:space="0"/>
              <w:left w:val="single" w:color="auto" w:sz="4" w:space="0"/>
              <w:bottom w:val="single" w:color="auto" w:sz="4" w:space="0"/>
              <w:right w:val="single" w:color="auto" w:sz="4" w:space="0"/>
            </w:tcBorders>
            <w:vAlign w:val="center"/>
          </w:tcPr>
          <w:p w14:paraId="34032F70">
            <w:pPr>
              <w:jc w:val="center"/>
              <w:rPr>
                <w:rFonts w:ascii="Times New Roman"/>
                <w:sz w:val="21"/>
                <w:szCs w:val="21"/>
              </w:rPr>
            </w:pPr>
            <w:r>
              <w:rPr>
                <w:rFonts w:hint="eastAsia" w:ascii="Times New Roman"/>
                <w:sz w:val="21"/>
                <w:szCs w:val="21"/>
              </w:rPr>
              <w:t>24.82</w:t>
            </w:r>
          </w:p>
        </w:tc>
        <w:tc>
          <w:tcPr>
            <w:tcW w:w="1538" w:type="pct"/>
            <w:tcBorders>
              <w:top w:val="single" w:color="auto" w:sz="4" w:space="0"/>
              <w:left w:val="single" w:color="auto" w:sz="4" w:space="0"/>
              <w:bottom w:val="single" w:color="auto" w:sz="4" w:space="0"/>
              <w:right w:val="single" w:color="auto" w:sz="2" w:space="0"/>
            </w:tcBorders>
            <w:vAlign w:val="center"/>
          </w:tcPr>
          <w:p w14:paraId="20105E7E">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5BA7F9BF">
            <w:pPr>
              <w:jc w:val="center"/>
              <w:rPr>
                <w:rFonts w:ascii="Times New Roman"/>
                <w:sz w:val="21"/>
                <w:szCs w:val="21"/>
              </w:rPr>
            </w:pPr>
          </w:p>
        </w:tc>
      </w:tr>
      <w:tr w14:paraId="4B6A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shd w:val="clear" w:color="auto" w:fill="auto"/>
            <w:vAlign w:val="center"/>
          </w:tcPr>
          <w:p w14:paraId="0A2924EE">
            <w:pPr>
              <w:jc w:val="center"/>
              <w:rPr>
                <w:rFonts w:ascii="Times New Roman"/>
                <w:kern w:val="0"/>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04588FC4">
            <w:pPr>
              <w:spacing w:line="360" w:lineRule="exact"/>
              <w:jc w:val="center"/>
              <w:rPr>
                <w:rFonts w:ascii="Times New Roman"/>
                <w:sz w:val="21"/>
                <w:szCs w:val="21"/>
              </w:rPr>
            </w:pPr>
            <w:r>
              <w:rPr>
                <w:rFonts w:ascii="Times New Roman"/>
                <w:sz w:val="21"/>
                <w:szCs w:val="21"/>
              </w:rPr>
              <w:t>VOCs</w:t>
            </w:r>
          </w:p>
        </w:tc>
        <w:tc>
          <w:tcPr>
            <w:tcW w:w="883" w:type="pct"/>
            <w:tcBorders>
              <w:top w:val="single" w:color="auto" w:sz="4" w:space="0"/>
              <w:left w:val="single" w:color="auto" w:sz="4" w:space="0"/>
              <w:bottom w:val="single" w:color="auto" w:sz="4" w:space="0"/>
              <w:right w:val="single" w:color="auto" w:sz="4" w:space="0"/>
            </w:tcBorders>
            <w:vAlign w:val="center"/>
          </w:tcPr>
          <w:p w14:paraId="2AD08A35">
            <w:pPr>
              <w:jc w:val="center"/>
              <w:rPr>
                <w:rFonts w:ascii="Times New Roman"/>
                <w:sz w:val="21"/>
                <w:szCs w:val="21"/>
              </w:rPr>
            </w:pPr>
            <w:r>
              <w:rPr>
                <w:rFonts w:ascii="Times New Roman"/>
                <w:sz w:val="21"/>
                <w:szCs w:val="21"/>
              </w:rPr>
              <w:t>0.</w:t>
            </w:r>
            <w:r>
              <w:rPr>
                <w:rFonts w:hint="eastAsia" w:ascii="Times New Roman"/>
                <w:sz w:val="21"/>
                <w:szCs w:val="21"/>
              </w:rPr>
              <w:t>34</w:t>
            </w:r>
          </w:p>
        </w:tc>
        <w:tc>
          <w:tcPr>
            <w:tcW w:w="1538" w:type="pct"/>
            <w:tcBorders>
              <w:top w:val="single" w:color="auto" w:sz="4" w:space="0"/>
              <w:left w:val="single" w:color="auto" w:sz="4" w:space="0"/>
              <w:bottom w:val="single" w:color="auto" w:sz="4" w:space="0"/>
              <w:right w:val="single" w:color="auto" w:sz="2" w:space="0"/>
            </w:tcBorders>
            <w:vAlign w:val="center"/>
          </w:tcPr>
          <w:p w14:paraId="6DF9EC31">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0F268F42">
            <w:pPr>
              <w:jc w:val="center"/>
              <w:rPr>
                <w:rFonts w:ascii="Times New Roman"/>
                <w:sz w:val="21"/>
                <w:szCs w:val="21"/>
              </w:rPr>
            </w:pPr>
          </w:p>
        </w:tc>
      </w:tr>
      <w:tr w14:paraId="5A3B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tcBorders>
              <w:bottom w:val="single" w:color="auto" w:sz="4" w:space="0"/>
            </w:tcBorders>
            <w:shd w:val="clear" w:color="auto" w:fill="auto"/>
            <w:vAlign w:val="center"/>
          </w:tcPr>
          <w:p w14:paraId="06C40CB3">
            <w:pPr>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vAlign w:val="center"/>
          </w:tcPr>
          <w:p w14:paraId="7D71CD37">
            <w:pPr>
              <w:spacing w:line="360" w:lineRule="exact"/>
              <w:jc w:val="center"/>
              <w:rPr>
                <w:rFonts w:ascii="Times New Roman"/>
                <w:sz w:val="21"/>
                <w:szCs w:val="21"/>
              </w:rPr>
            </w:pPr>
            <w:r>
              <w:rPr>
                <w:rFonts w:ascii="Times New Roman"/>
                <w:sz w:val="21"/>
                <w:szCs w:val="21"/>
              </w:rPr>
              <w:t>水分</w:t>
            </w:r>
          </w:p>
        </w:tc>
        <w:tc>
          <w:tcPr>
            <w:tcW w:w="883" w:type="pct"/>
            <w:tcBorders>
              <w:top w:val="single" w:color="auto" w:sz="4" w:space="0"/>
              <w:left w:val="single" w:color="auto" w:sz="4" w:space="0"/>
              <w:bottom w:val="single" w:color="auto" w:sz="4" w:space="0"/>
              <w:right w:val="single" w:color="auto" w:sz="4" w:space="0"/>
            </w:tcBorders>
            <w:vAlign w:val="center"/>
          </w:tcPr>
          <w:p w14:paraId="2959E1F3">
            <w:pPr>
              <w:jc w:val="center"/>
              <w:rPr>
                <w:rFonts w:ascii="Times New Roman"/>
                <w:sz w:val="21"/>
                <w:szCs w:val="21"/>
              </w:rPr>
            </w:pPr>
            <w:r>
              <w:rPr>
                <w:rFonts w:hint="eastAsia" w:ascii="Times New Roman"/>
                <w:sz w:val="21"/>
                <w:szCs w:val="21"/>
              </w:rPr>
              <w:t>42.84</w:t>
            </w:r>
          </w:p>
        </w:tc>
        <w:tc>
          <w:tcPr>
            <w:tcW w:w="1538" w:type="pct"/>
            <w:tcBorders>
              <w:top w:val="single" w:color="auto" w:sz="4" w:space="0"/>
              <w:left w:val="single" w:color="auto" w:sz="4" w:space="0"/>
              <w:bottom w:val="single" w:color="auto" w:sz="4" w:space="0"/>
              <w:right w:val="single" w:color="auto" w:sz="2" w:space="0"/>
            </w:tcBorders>
            <w:vAlign w:val="center"/>
          </w:tcPr>
          <w:p w14:paraId="34058359">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54544059">
            <w:pPr>
              <w:jc w:val="center"/>
              <w:rPr>
                <w:rFonts w:ascii="Times New Roman"/>
                <w:sz w:val="21"/>
                <w:szCs w:val="21"/>
              </w:rPr>
            </w:pPr>
          </w:p>
        </w:tc>
      </w:tr>
      <w:tr w14:paraId="7D39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restart"/>
            <w:vAlign w:val="center"/>
          </w:tcPr>
          <w:p w14:paraId="68DF8D49">
            <w:pPr>
              <w:spacing w:line="360" w:lineRule="exact"/>
              <w:jc w:val="center"/>
              <w:rPr>
                <w:rFonts w:ascii="Times New Roman"/>
                <w:sz w:val="21"/>
                <w:szCs w:val="21"/>
              </w:rPr>
            </w:pPr>
            <w:r>
              <w:rPr>
                <w:rFonts w:ascii="Times New Roman"/>
                <w:kern w:val="0"/>
                <w:sz w:val="21"/>
                <w:szCs w:val="21"/>
              </w:rPr>
              <w:t>阴极电泳漆（灰浆）</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282FFAEF">
            <w:pPr>
              <w:spacing w:line="360" w:lineRule="exact"/>
              <w:jc w:val="center"/>
              <w:rPr>
                <w:rFonts w:ascii="Times New Roman"/>
                <w:sz w:val="21"/>
                <w:szCs w:val="21"/>
              </w:rPr>
            </w:pPr>
            <w:r>
              <w:rPr>
                <w:rFonts w:ascii="Times New Roman"/>
                <w:sz w:val="21"/>
                <w:szCs w:val="21"/>
              </w:rPr>
              <w:t>固体组分</w:t>
            </w:r>
          </w:p>
        </w:tc>
        <w:tc>
          <w:tcPr>
            <w:tcW w:w="883" w:type="pct"/>
            <w:tcBorders>
              <w:top w:val="single" w:color="auto" w:sz="4" w:space="0"/>
              <w:left w:val="single" w:color="auto" w:sz="4" w:space="0"/>
              <w:bottom w:val="single" w:color="auto" w:sz="4" w:space="0"/>
              <w:right w:val="single" w:color="auto" w:sz="4" w:space="0"/>
            </w:tcBorders>
            <w:vAlign w:val="center"/>
          </w:tcPr>
          <w:p w14:paraId="1A5E42D7">
            <w:pPr>
              <w:jc w:val="center"/>
              <w:rPr>
                <w:rFonts w:ascii="Times New Roman"/>
                <w:sz w:val="21"/>
                <w:szCs w:val="21"/>
              </w:rPr>
            </w:pPr>
            <w:r>
              <w:rPr>
                <w:rFonts w:hint="eastAsia" w:ascii="Times New Roman"/>
                <w:sz w:val="21"/>
                <w:szCs w:val="21"/>
              </w:rPr>
              <w:t>37.4</w:t>
            </w:r>
          </w:p>
        </w:tc>
        <w:tc>
          <w:tcPr>
            <w:tcW w:w="1538" w:type="pct"/>
            <w:tcBorders>
              <w:top w:val="single" w:color="auto" w:sz="4" w:space="0"/>
              <w:left w:val="single" w:color="auto" w:sz="4" w:space="0"/>
              <w:bottom w:val="single" w:color="auto" w:sz="4" w:space="0"/>
              <w:right w:val="single" w:color="auto" w:sz="2" w:space="0"/>
            </w:tcBorders>
            <w:vAlign w:val="center"/>
          </w:tcPr>
          <w:p w14:paraId="57B87133">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06C11C6A">
            <w:pPr>
              <w:jc w:val="center"/>
              <w:rPr>
                <w:rFonts w:ascii="Times New Roman"/>
                <w:sz w:val="21"/>
                <w:szCs w:val="21"/>
              </w:rPr>
            </w:pPr>
          </w:p>
        </w:tc>
      </w:tr>
      <w:tr w14:paraId="337A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vAlign w:val="center"/>
          </w:tcPr>
          <w:p w14:paraId="11392FAC">
            <w:pPr>
              <w:spacing w:line="360" w:lineRule="exact"/>
              <w:jc w:val="center"/>
              <w:rPr>
                <w:rFonts w:ascii="Times New Roman"/>
                <w:kern w:val="0"/>
                <w:sz w:val="21"/>
                <w:szCs w:val="21"/>
              </w:rPr>
            </w:pP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14:paraId="45E6F2ED">
            <w:pPr>
              <w:spacing w:line="360" w:lineRule="exact"/>
              <w:jc w:val="center"/>
              <w:rPr>
                <w:rFonts w:ascii="Times New Roman"/>
                <w:sz w:val="21"/>
                <w:szCs w:val="21"/>
              </w:rPr>
            </w:pPr>
            <w:r>
              <w:rPr>
                <w:rFonts w:ascii="Times New Roman"/>
                <w:sz w:val="21"/>
                <w:szCs w:val="21"/>
              </w:rPr>
              <w:t>VOCs</w:t>
            </w:r>
          </w:p>
        </w:tc>
        <w:tc>
          <w:tcPr>
            <w:tcW w:w="883" w:type="pct"/>
            <w:tcBorders>
              <w:top w:val="single" w:color="auto" w:sz="4" w:space="0"/>
              <w:left w:val="single" w:color="auto" w:sz="4" w:space="0"/>
              <w:bottom w:val="single" w:color="auto" w:sz="4" w:space="0"/>
              <w:right w:val="single" w:color="auto" w:sz="4" w:space="0"/>
            </w:tcBorders>
            <w:vAlign w:val="center"/>
          </w:tcPr>
          <w:p w14:paraId="58387C76">
            <w:pPr>
              <w:jc w:val="center"/>
              <w:rPr>
                <w:rFonts w:ascii="Times New Roman"/>
                <w:sz w:val="21"/>
                <w:szCs w:val="21"/>
              </w:rPr>
            </w:pPr>
            <w:r>
              <w:rPr>
                <w:rFonts w:hint="eastAsia" w:ascii="Times New Roman"/>
                <w:sz w:val="21"/>
                <w:szCs w:val="21"/>
              </w:rPr>
              <w:t>5.44</w:t>
            </w:r>
          </w:p>
        </w:tc>
        <w:tc>
          <w:tcPr>
            <w:tcW w:w="1538" w:type="pct"/>
            <w:tcBorders>
              <w:top w:val="single" w:color="auto" w:sz="4" w:space="0"/>
              <w:left w:val="single" w:color="auto" w:sz="4" w:space="0"/>
              <w:bottom w:val="single" w:color="auto" w:sz="4" w:space="0"/>
              <w:right w:val="single" w:color="auto" w:sz="2" w:space="0"/>
            </w:tcBorders>
            <w:vAlign w:val="center"/>
          </w:tcPr>
          <w:p w14:paraId="38B77CBE">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7B5F5801">
            <w:pPr>
              <w:jc w:val="center"/>
              <w:rPr>
                <w:rFonts w:ascii="Times New Roman"/>
                <w:sz w:val="21"/>
                <w:szCs w:val="21"/>
              </w:rPr>
            </w:pPr>
          </w:p>
        </w:tc>
      </w:tr>
      <w:tr w14:paraId="5FDA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588" w:type="pct"/>
            <w:vMerge w:val="continue"/>
            <w:tcBorders>
              <w:bottom w:val="single" w:color="auto" w:sz="4" w:space="0"/>
            </w:tcBorders>
            <w:vAlign w:val="center"/>
          </w:tcPr>
          <w:p w14:paraId="2CA40967">
            <w:pPr>
              <w:spacing w:line="360" w:lineRule="exact"/>
              <w:jc w:val="center"/>
              <w:rPr>
                <w:rFonts w:ascii="Times New Roman"/>
                <w:sz w:val="21"/>
                <w:szCs w:val="21"/>
              </w:rPr>
            </w:pPr>
          </w:p>
        </w:tc>
        <w:tc>
          <w:tcPr>
            <w:tcW w:w="1166" w:type="pct"/>
            <w:tcBorders>
              <w:top w:val="single" w:color="auto" w:sz="4" w:space="0"/>
              <w:left w:val="single" w:color="auto" w:sz="4" w:space="0"/>
              <w:bottom w:val="single" w:color="auto" w:sz="4" w:space="0"/>
              <w:right w:val="single" w:color="auto" w:sz="4" w:space="0"/>
            </w:tcBorders>
            <w:vAlign w:val="center"/>
          </w:tcPr>
          <w:p w14:paraId="14FF01CB">
            <w:pPr>
              <w:spacing w:line="360" w:lineRule="exact"/>
              <w:jc w:val="center"/>
              <w:rPr>
                <w:rFonts w:ascii="Times New Roman"/>
                <w:sz w:val="21"/>
                <w:szCs w:val="21"/>
              </w:rPr>
            </w:pPr>
            <w:r>
              <w:rPr>
                <w:rFonts w:ascii="Times New Roman"/>
                <w:sz w:val="21"/>
                <w:szCs w:val="21"/>
              </w:rPr>
              <w:t>水分</w:t>
            </w:r>
          </w:p>
        </w:tc>
        <w:tc>
          <w:tcPr>
            <w:tcW w:w="883" w:type="pct"/>
            <w:tcBorders>
              <w:top w:val="single" w:color="auto" w:sz="4" w:space="0"/>
              <w:left w:val="single" w:color="auto" w:sz="4" w:space="0"/>
              <w:bottom w:val="single" w:color="auto" w:sz="4" w:space="0"/>
              <w:right w:val="single" w:color="auto" w:sz="4" w:space="0"/>
            </w:tcBorders>
            <w:vAlign w:val="center"/>
          </w:tcPr>
          <w:p w14:paraId="45B71CE3">
            <w:pPr>
              <w:jc w:val="center"/>
              <w:rPr>
                <w:rFonts w:ascii="Times New Roman"/>
                <w:sz w:val="21"/>
                <w:szCs w:val="21"/>
              </w:rPr>
            </w:pPr>
            <w:r>
              <w:rPr>
                <w:rFonts w:hint="eastAsia" w:ascii="Times New Roman"/>
                <w:sz w:val="21"/>
                <w:szCs w:val="21"/>
              </w:rPr>
              <w:t>25.16</w:t>
            </w:r>
          </w:p>
        </w:tc>
        <w:tc>
          <w:tcPr>
            <w:tcW w:w="1538" w:type="pct"/>
            <w:tcBorders>
              <w:top w:val="single" w:color="auto" w:sz="4" w:space="0"/>
              <w:left w:val="single" w:color="auto" w:sz="4" w:space="0"/>
              <w:bottom w:val="single" w:color="auto" w:sz="4" w:space="0"/>
              <w:right w:val="single" w:color="auto" w:sz="2" w:space="0"/>
            </w:tcBorders>
            <w:vAlign w:val="center"/>
          </w:tcPr>
          <w:p w14:paraId="72F5542D">
            <w:pPr>
              <w:adjustRightInd w:val="0"/>
              <w:snapToGrid w:val="0"/>
              <w:spacing w:line="360" w:lineRule="exact"/>
              <w:jc w:val="center"/>
              <w:rPr>
                <w:rFonts w:ascii="Times New Roman"/>
                <w:sz w:val="21"/>
                <w:szCs w:val="21"/>
              </w:rPr>
            </w:pPr>
          </w:p>
        </w:tc>
        <w:tc>
          <w:tcPr>
            <w:tcW w:w="823" w:type="pct"/>
            <w:tcBorders>
              <w:top w:val="single" w:color="auto" w:sz="4" w:space="0"/>
              <w:left w:val="single" w:color="auto" w:sz="2" w:space="0"/>
              <w:bottom w:val="single" w:color="auto" w:sz="4" w:space="0"/>
              <w:right w:val="single" w:color="auto" w:sz="4" w:space="0"/>
            </w:tcBorders>
            <w:vAlign w:val="center"/>
          </w:tcPr>
          <w:p w14:paraId="1FE7A9C5">
            <w:pPr>
              <w:jc w:val="center"/>
              <w:rPr>
                <w:rFonts w:ascii="Times New Roman"/>
                <w:sz w:val="21"/>
                <w:szCs w:val="21"/>
              </w:rPr>
            </w:pPr>
          </w:p>
        </w:tc>
      </w:tr>
      <w:tr w14:paraId="1DBB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754" w:type="pct"/>
            <w:gridSpan w:val="2"/>
            <w:vAlign w:val="center"/>
          </w:tcPr>
          <w:p w14:paraId="055220EE">
            <w:pPr>
              <w:spacing w:line="360" w:lineRule="exact"/>
              <w:jc w:val="center"/>
              <w:rPr>
                <w:rFonts w:ascii="Times New Roman"/>
                <w:sz w:val="21"/>
                <w:szCs w:val="21"/>
              </w:rPr>
            </w:pPr>
            <w:r>
              <w:rPr>
                <w:rFonts w:ascii="Times New Roman"/>
                <w:sz w:val="21"/>
                <w:szCs w:val="21"/>
              </w:rPr>
              <w:t>合计</w:t>
            </w:r>
          </w:p>
        </w:tc>
        <w:tc>
          <w:tcPr>
            <w:tcW w:w="883" w:type="pct"/>
            <w:shd w:val="clear" w:color="auto" w:fill="auto"/>
            <w:vAlign w:val="center"/>
          </w:tcPr>
          <w:p w14:paraId="3AF4587E">
            <w:pPr>
              <w:jc w:val="center"/>
              <w:rPr>
                <w:rFonts w:ascii="Times New Roman"/>
                <w:sz w:val="21"/>
                <w:szCs w:val="21"/>
              </w:rPr>
            </w:pPr>
            <w:r>
              <w:rPr>
                <w:rFonts w:hint="eastAsia" w:ascii="Times New Roman"/>
                <w:sz w:val="21"/>
                <w:szCs w:val="21"/>
              </w:rPr>
              <w:t>1234.56</w:t>
            </w:r>
          </w:p>
        </w:tc>
        <w:tc>
          <w:tcPr>
            <w:tcW w:w="1538" w:type="pct"/>
            <w:tcBorders>
              <w:right w:val="single" w:color="auto" w:sz="2" w:space="0"/>
            </w:tcBorders>
            <w:vAlign w:val="center"/>
          </w:tcPr>
          <w:p w14:paraId="25A21E85">
            <w:pPr>
              <w:adjustRightInd w:val="0"/>
              <w:snapToGrid w:val="0"/>
              <w:spacing w:line="360" w:lineRule="exact"/>
              <w:jc w:val="center"/>
              <w:rPr>
                <w:rFonts w:ascii="Times New Roman"/>
                <w:sz w:val="21"/>
                <w:szCs w:val="21"/>
              </w:rPr>
            </w:pPr>
            <w:r>
              <w:rPr>
                <w:rFonts w:ascii="Times New Roman"/>
                <w:sz w:val="21"/>
                <w:szCs w:val="21"/>
              </w:rPr>
              <w:t>合计</w:t>
            </w:r>
          </w:p>
        </w:tc>
        <w:tc>
          <w:tcPr>
            <w:tcW w:w="823" w:type="pct"/>
            <w:tcBorders>
              <w:left w:val="single" w:color="auto" w:sz="2" w:space="0"/>
            </w:tcBorders>
            <w:shd w:val="clear" w:color="auto" w:fill="auto"/>
            <w:vAlign w:val="center"/>
          </w:tcPr>
          <w:p w14:paraId="6336D1B7">
            <w:pPr>
              <w:jc w:val="center"/>
              <w:rPr>
                <w:rFonts w:ascii="Times New Roman"/>
                <w:sz w:val="21"/>
                <w:szCs w:val="21"/>
              </w:rPr>
            </w:pPr>
            <w:r>
              <w:rPr>
                <w:rFonts w:hint="eastAsia" w:ascii="Times New Roman"/>
                <w:sz w:val="21"/>
                <w:szCs w:val="21"/>
              </w:rPr>
              <w:t>1234.56</w:t>
            </w:r>
          </w:p>
        </w:tc>
      </w:tr>
      <w:bookmarkEnd w:id="109"/>
      <w:bookmarkEnd w:id="110"/>
    </w:tbl>
    <w:p w14:paraId="4B4B071A">
      <w:pPr>
        <w:rPr>
          <w:rFonts w:ascii="Times New Roman"/>
          <w:b/>
          <w:sz w:val="30"/>
          <w:szCs w:val="30"/>
        </w:rPr>
      </w:pPr>
      <w:r>
        <w:rPr>
          <w:rFonts w:ascii="Times New Roman"/>
          <w:b/>
          <w:sz w:val="30"/>
          <w:szCs w:val="30"/>
        </w:rPr>
        <w:br w:type="page"/>
      </w:r>
    </w:p>
    <w:p w14:paraId="6BC16346">
      <w:pPr>
        <w:widowControl/>
        <w:spacing w:line="500" w:lineRule="exact"/>
        <w:jc w:val="left"/>
        <w:outlineLvl w:val="1"/>
        <w:rPr>
          <w:rFonts w:ascii="Times New Roman"/>
          <w:b/>
          <w:sz w:val="30"/>
          <w:szCs w:val="30"/>
        </w:rPr>
      </w:pPr>
      <w:bookmarkStart w:id="111" w:name="_Toc2499"/>
      <w:r>
        <w:rPr>
          <w:rFonts w:ascii="Times New Roman"/>
          <w:b/>
          <w:sz w:val="30"/>
          <w:szCs w:val="30"/>
        </w:rPr>
        <w:t>3.6公用工程</w:t>
      </w:r>
      <w:bookmarkEnd w:id="105"/>
      <w:bookmarkEnd w:id="106"/>
      <w:bookmarkEnd w:id="111"/>
    </w:p>
    <w:p w14:paraId="72EAFC78">
      <w:pPr>
        <w:spacing w:line="500" w:lineRule="exact"/>
        <w:outlineLvl w:val="2"/>
        <w:rPr>
          <w:rFonts w:ascii="Times New Roman"/>
          <w:b/>
          <w:sz w:val="28"/>
          <w:szCs w:val="28"/>
        </w:rPr>
      </w:pPr>
      <w:r>
        <w:rPr>
          <w:rFonts w:ascii="Times New Roman"/>
          <w:b/>
          <w:sz w:val="28"/>
          <w:szCs w:val="28"/>
        </w:rPr>
        <w:t>3.6.1给排水</w:t>
      </w:r>
    </w:p>
    <w:p w14:paraId="719E4E63">
      <w:pPr>
        <w:spacing w:line="360" w:lineRule="auto"/>
        <w:outlineLvl w:val="3"/>
        <w:rPr>
          <w:rFonts w:ascii="Times New Roman"/>
          <w:b/>
          <w:sz w:val="24"/>
          <w:szCs w:val="24"/>
        </w:rPr>
      </w:pPr>
      <w:r>
        <w:rPr>
          <w:rFonts w:ascii="Times New Roman"/>
          <w:b/>
          <w:sz w:val="24"/>
          <w:szCs w:val="24"/>
        </w:rPr>
        <w:t>3.6.1.1给水</w:t>
      </w:r>
    </w:p>
    <w:p w14:paraId="6B86BFEB">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本项目用水主要为生产用水、车间地面清洁用水、绿化用水和生活用水。</w:t>
      </w:r>
    </w:p>
    <w:p w14:paraId="0E5DBB14">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1、生产用水</w:t>
      </w:r>
    </w:p>
    <w:p w14:paraId="75209FBD">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①切削液用水</w:t>
      </w:r>
    </w:p>
    <w:p w14:paraId="44F3461F">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切削液配比按切削液：水=1:10使用，切削液年用量15t/a，则切削液配比用水为0.5</w:t>
      </w:r>
      <w:r>
        <w:rPr>
          <w:rFonts w:ascii="Times New Roman"/>
          <w:bCs/>
          <w:spacing w:val="10"/>
          <w:sz w:val="24"/>
        </w:rPr>
        <w:t>m</w:t>
      </w:r>
      <w:r>
        <w:rPr>
          <w:rFonts w:ascii="Times New Roman"/>
          <w:bCs/>
          <w:spacing w:val="10"/>
          <w:sz w:val="24"/>
          <w:vertAlign w:val="superscript"/>
        </w:rPr>
        <w:t>3</w:t>
      </w:r>
      <w:r>
        <w:rPr>
          <w:rFonts w:ascii="Times New Roman"/>
          <w:bCs/>
          <w:spacing w:val="10"/>
          <w:sz w:val="24"/>
        </w:rPr>
        <w:t>/d</w:t>
      </w:r>
      <w:r>
        <w:rPr>
          <w:rFonts w:ascii="Times New Roman"/>
          <w:kern w:val="0"/>
          <w:sz w:val="24"/>
          <w:szCs w:val="24"/>
        </w:rPr>
        <w:t>（150m</w:t>
      </w:r>
      <w:r>
        <w:rPr>
          <w:rFonts w:ascii="Times New Roman"/>
          <w:kern w:val="0"/>
          <w:sz w:val="24"/>
          <w:szCs w:val="24"/>
          <w:vertAlign w:val="superscript"/>
        </w:rPr>
        <w:t>3</w:t>
      </w:r>
      <w:r>
        <w:rPr>
          <w:rFonts w:ascii="Times New Roman"/>
          <w:kern w:val="0"/>
          <w:sz w:val="24"/>
          <w:szCs w:val="24"/>
        </w:rPr>
        <w:t>/a），大部分被工件带走或消耗，废液产生量仅约5%，则废切削液量为0.025</w:t>
      </w:r>
      <w:r>
        <w:rPr>
          <w:rFonts w:ascii="Times New Roman"/>
          <w:bCs/>
          <w:spacing w:val="10"/>
          <w:sz w:val="24"/>
        </w:rPr>
        <w:t>m</w:t>
      </w:r>
      <w:r>
        <w:rPr>
          <w:rFonts w:ascii="Times New Roman"/>
          <w:bCs/>
          <w:spacing w:val="10"/>
          <w:sz w:val="24"/>
          <w:vertAlign w:val="superscript"/>
        </w:rPr>
        <w:t>3</w:t>
      </w:r>
      <w:r>
        <w:rPr>
          <w:rFonts w:ascii="Times New Roman"/>
          <w:bCs/>
          <w:spacing w:val="10"/>
          <w:sz w:val="24"/>
        </w:rPr>
        <w:t>/d</w:t>
      </w:r>
      <w:r>
        <w:rPr>
          <w:rFonts w:ascii="Times New Roman"/>
          <w:kern w:val="0"/>
          <w:sz w:val="24"/>
          <w:szCs w:val="24"/>
        </w:rPr>
        <w:t>（7.5t/a），作为危险废物处置。</w:t>
      </w:r>
    </w:p>
    <w:p w14:paraId="6A85E327">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②设备冷却循环水</w:t>
      </w:r>
    </w:p>
    <w:p w14:paraId="174F563B">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根据企业提供的资料，项目设备冷却循环水量约为</w:t>
      </w:r>
      <w:r>
        <w:rPr>
          <w:rFonts w:ascii="Times New Roman"/>
          <w:bCs/>
          <w:spacing w:val="10"/>
          <w:sz w:val="24"/>
        </w:rPr>
        <w:t>1335m</w:t>
      </w:r>
      <w:r>
        <w:rPr>
          <w:rFonts w:ascii="Times New Roman"/>
          <w:bCs/>
          <w:spacing w:val="10"/>
          <w:sz w:val="24"/>
          <w:vertAlign w:val="superscript"/>
        </w:rPr>
        <w:t>3</w:t>
      </w:r>
      <w:r>
        <w:rPr>
          <w:rFonts w:ascii="Times New Roman"/>
          <w:bCs/>
          <w:spacing w:val="10"/>
          <w:sz w:val="24"/>
        </w:rPr>
        <w:t>/d，补充水量为13.4m</w:t>
      </w:r>
      <w:r>
        <w:rPr>
          <w:rFonts w:ascii="Times New Roman"/>
          <w:bCs/>
          <w:spacing w:val="10"/>
          <w:sz w:val="24"/>
          <w:vertAlign w:val="superscript"/>
        </w:rPr>
        <w:t>3</w:t>
      </w:r>
      <w:r>
        <w:rPr>
          <w:rFonts w:ascii="Times New Roman"/>
          <w:bCs/>
          <w:spacing w:val="10"/>
          <w:sz w:val="24"/>
        </w:rPr>
        <w:t>/d（4020m</w:t>
      </w:r>
      <w:r>
        <w:rPr>
          <w:rFonts w:ascii="Times New Roman"/>
          <w:bCs/>
          <w:spacing w:val="10"/>
          <w:sz w:val="24"/>
          <w:vertAlign w:val="superscript"/>
        </w:rPr>
        <w:t>3</w:t>
      </w:r>
      <w:r>
        <w:rPr>
          <w:rFonts w:ascii="Times New Roman"/>
          <w:bCs/>
          <w:spacing w:val="10"/>
          <w:sz w:val="24"/>
        </w:rPr>
        <w:t>/a），</w:t>
      </w:r>
      <w:r>
        <w:rPr>
          <w:rFonts w:ascii="Times New Roman"/>
          <w:kern w:val="0"/>
          <w:sz w:val="24"/>
          <w:szCs w:val="24"/>
        </w:rPr>
        <w:t>冷却水循环使用，不外排。</w:t>
      </w:r>
    </w:p>
    <w:p w14:paraId="0B18E5AA">
      <w:pPr>
        <w:tabs>
          <w:tab w:val="left" w:pos="2720"/>
        </w:tabs>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③淬火工序用水</w:t>
      </w:r>
    </w:p>
    <w:p w14:paraId="3B98FB68">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根据企业提供的资料，项目淬火部分工件采用水淬，水槽容积</w:t>
      </w:r>
      <w:r>
        <w:rPr>
          <w:rFonts w:hint="eastAsia" w:ascii="Times New Roman"/>
          <w:kern w:val="0"/>
          <w:sz w:val="24"/>
          <w:szCs w:val="24"/>
        </w:rPr>
        <w:t>90</w:t>
      </w:r>
      <w:r>
        <w:rPr>
          <w:rFonts w:ascii="Times New Roman"/>
          <w:kern w:val="0"/>
          <w:sz w:val="24"/>
          <w:szCs w:val="24"/>
        </w:rPr>
        <w:t>0m</w:t>
      </w:r>
      <w:r>
        <w:rPr>
          <w:rFonts w:ascii="Times New Roman"/>
          <w:kern w:val="0"/>
          <w:sz w:val="24"/>
          <w:szCs w:val="24"/>
          <w:vertAlign w:val="superscript"/>
        </w:rPr>
        <w:t>3</w:t>
      </w:r>
      <w:r>
        <w:rPr>
          <w:rFonts w:ascii="Times New Roman"/>
          <w:kern w:val="0"/>
          <w:sz w:val="24"/>
          <w:szCs w:val="24"/>
        </w:rPr>
        <w:t>，淬火工序用水8</w:t>
      </w:r>
      <w:r>
        <w:rPr>
          <w:rFonts w:hint="eastAsia" w:ascii="Times New Roman"/>
          <w:kern w:val="0"/>
          <w:sz w:val="24"/>
          <w:szCs w:val="24"/>
        </w:rPr>
        <w:t>40</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ascii="Times New Roman"/>
          <w:bCs/>
          <w:spacing w:val="10"/>
          <w:sz w:val="24"/>
        </w:rPr>
        <w:t>补充水量为</w:t>
      </w:r>
      <w:r>
        <w:rPr>
          <w:rFonts w:hint="eastAsia" w:ascii="Times New Roman"/>
          <w:bCs/>
          <w:spacing w:val="10"/>
          <w:sz w:val="24"/>
        </w:rPr>
        <w:t>84</w:t>
      </w:r>
      <w:r>
        <w:rPr>
          <w:rFonts w:ascii="Times New Roman"/>
          <w:bCs/>
          <w:spacing w:val="10"/>
          <w:sz w:val="24"/>
        </w:rPr>
        <w:t>m</w:t>
      </w:r>
      <w:r>
        <w:rPr>
          <w:rFonts w:ascii="Times New Roman"/>
          <w:bCs/>
          <w:spacing w:val="10"/>
          <w:sz w:val="24"/>
          <w:vertAlign w:val="superscript"/>
        </w:rPr>
        <w:t>3</w:t>
      </w:r>
      <w:r>
        <w:rPr>
          <w:rFonts w:ascii="Times New Roman"/>
          <w:bCs/>
          <w:spacing w:val="10"/>
          <w:sz w:val="24"/>
        </w:rPr>
        <w:t>/d（</w:t>
      </w:r>
      <w:r>
        <w:rPr>
          <w:rFonts w:hint="eastAsia" w:ascii="Times New Roman"/>
          <w:bCs/>
          <w:spacing w:val="10"/>
          <w:sz w:val="24"/>
        </w:rPr>
        <w:t>252</w:t>
      </w:r>
      <w:r>
        <w:rPr>
          <w:rFonts w:ascii="Times New Roman"/>
          <w:bCs/>
          <w:spacing w:val="10"/>
          <w:sz w:val="24"/>
        </w:rPr>
        <w:t>0</w:t>
      </w:r>
      <w:r>
        <w:rPr>
          <w:rFonts w:hint="eastAsia" w:ascii="Times New Roman"/>
          <w:bCs/>
          <w:spacing w:val="10"/>
          <w:sz w:val="24"/>
        </w:rPr>
        <w:t>0</w:t>
      </w:r>
      <w:r>
        <w:rPr>
          <w:rFonts w:ascii="Times New Roman"/>
          <w:bCs/>
          <w:spacing w:val="10"/>
          <w:sz w:val="24"/>
        </w:rPr>
        <w:t>m</w:t>
      </w:r>
      <w:r>
        <w:rPr>
          <w:rFonts w:ascii="Times New Roman"/>
          <w:bCs/>
          <w:spacing w:val="10"/>
          <w:sz w:val="24"/>
          <w:vertAlign w:val="superscript"/>
        </w:rPr>
        <w:t>3</w:t>
      </w:r>
      <w:r>
        <w:rPr>
          <w:rFonts w:ascii="Times New Roman"/>
          <w:bCs/>
          <w:spacing w:val="10"/>
          <w:sz w:val="24"/>
        </w:rPr>
        <w:t>/a），</w:t>
      </w:r>
      <w:r>
        <w:rPr>
          <w:rFonts w:ascii="Times New Roman"/>
          <w:kern w:val="0"/>
          <w:sz w:val="24"/>
          <w:szCs w:val="24"/>
        </w:rPr>
        <w:t>循环使用，不外排。</w:t>
      </w:r>
    </w:p>
    <w:p w14:paraId="78814F4F">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④</w:t>
      </w:r>
      <w:r>
        <w:rPr>
          <w:rFonts w:hint="eastAsia" w:ascii="Times New Roman"/>
          <w:kern w:val="0"/>
          <w:sz w:val="24"/>
          <w:szCs w:val="24"/>
        </w:rPr>
        <w:t>喷塑前处理</w:t>
      </w:r>
    </w:p>
    <w:p w14:paraId="4FD19186">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根据企业提供的资料，项目</w:t>
      </w:r>
      <w:r>
        <w:rPr>
          <w:rFonts w:hint="eastAsia" w:ascii="Times New Roman"/>
          <w:kern w:val="0"/>
          <w:sz w:val="24"/>
          <w:szCs w:val="24"/>
        </w:rPr>
        <w:t>喷塑前期工件须先进行清洗，清洗槽体容积880.2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喷塑前处理</w:t>
      </w:r>
      <w:r>
        <w:rPr>
          <w:rFonts w:ascii="Times New Roman"/>
          <w:kern w:val="0"/>
          <w:sz w:val="24"/>
          <w:szCs w:val="24"/>
        </w:rPr>
        <w:t>工序用水</w:t>
      </w:r>
      <w:r>
        <w:rPr>
          <w:rFonts w:hint="eastAsia" w:ascii="Times New Roman"/>
          <w:kern w:val="0"/>
          <w:sz w:val="24"/>
          <w:szCs w:val="24"/>
        </w:rPr>
        <w:t>705</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ascii="Times New Roman"/>
          <w:bCs/>
          <w:spacing w:val="10"/>
          <w:sz w:val="24"/>
        </w:rPr>
        <w:t>补充水量为</w:t>
      </w:r>
      <w:r>
        <w:rPr>
          <w:rFonts w:hint="eastAsia" w:ascii="Times New Roman"/>
          <w:bCs/>
          <w:spacing w:val="10"/>
          <w:sz w:val="24"/>
        </w:rPr>
        <w:t>14.1</w:t>
      </w:r>
      <w:r>
        <w:rPr>
          <w:rFonts w:ascii="Times New Roman"/>
          <w:bCs/>
          <w:spacing w:val="10"/>
          <w:sz w:val="24"/>
        </w:rPr>
        <w:t>m</w:t>
      </w:r>
      <w:r>
        <w:rPr>
          <w:rFonts w:ascii="Times New Roman"/>
          <w:bCs/>
          <w:spacing w:val="10"/>
          <w:sz w:val="24"/>
          <w:vertAlign w:val="superscript"/>
        </w:rPr>
        <w:t>3</w:t>
      </w:r>
      <w:r>
        <w:rPr>
          <w:rFonts w:ascii="Times New Roman"/>
          <w:bCs/>
          <w:spacing w:val="10"/>
          <w:sz w:val="24"/>
        </w:rPr>
        <w:t>/d（</w:t>
      </w:r>
      <w:r>
        <w:rPr>
          <w:rFonts w:hint="eastAsia" w:ascii="Times New Roman"/>
          <w:bCs/>
          <w:spacing w:val="10"/>
          <w:sz w:val="24"/>
        </w:rPr>
        <w:t>4230</w:t>
      </w:r>
      <w:r>
        <w:rPr>
          <w:rFonts w:ascii="Times New Roman"/>
          <w:bCs/>
          <w:spacing w:val="10"/>
          <w:sz w:val="24"/>
        </w:rPr>
        <w:t>m</w:t>
      </w:r>
      <w:r>
        <w:rPr>
          <w:rFonts w:ascii="Times New Roman"/>
          <w:bCs/>
          <w:spacing w:val="10"/>
          <w:sz w:val="24"/>
          <w:vertAlign w:val="superscript"/>
        </w:rPr>
        <w:t>3</w:t>
      </w:r>
      <w:r>
        <w:rPr>
          <w:rFonts w:ascii="Times New Roman"/>
          <w:bCs/>
          <w:spacing w:val="10"/>
          <w:sz w:val="24"/>
        </w:rPr>
        <w:t>/a），</w:t>
      </w:r>
      <w:r>
        <w:rPr>
          <w:rFonts w:ascii="Times New Roman"/>
          <w:kern w:val="0"/>
          <w:sz w:val="24"/>
          <w:szCs w:val="24"/>
        </w:rPr>
        <w:t>循环使用，不外排。</w:t>
      </w:r>
    </w:p>
    <w:p w14:paraId="15C11B1F">
      <w:pPr>
        <w:autoSpaceDE w:val="0"/>
        <w:autoSpaceDN w:val="0"/>
        <w:adjustRightInd w:val="0"/>
        <w:snapToGrid w:val="0"/>
        <w:spacing w:line="360" w:lineRule="auto"/>
        <w:ind w:firstLine="480" w:firstLineChars="200"/>
        <w:rPr>
          <w:rFonts w:ascii="Times New Roman"/>
          <w:kern w:val="0"/>
          <w:sz w:val="24"/>
          <w:szCs w:val="24"/>
        </w:rPr>
      </w:pPr>
      <w:r>
        <w:rPr>
          <w:rFonts w:hint="eastAsia" w:ascii="Times New Roman"/>
          <w:sz w:val="24"/>
          <w:szCs w:val="24"/>
        </w:rPr>
        <w:t>⑤</w:t>
      </w:r>
      <w:r>
        <w:rPr>
          <w:rFonts w:ascii="Times New Roman"/>
          <w:sz w:val="24"/>
          <w:szCs w:val="24"/>
        </w:rPr>
        <w:t>电泳线</w:t>
      </w:r>
      <w:r>
        <w:rPr>
          <w:rFonts w:ascii="Times New Roman"/>
          <w:kern w:val="0"/>
          <w:sz w:val="24"/>
          <w:szCs w:val="24"/>
        </w:rPr>
        <w:t>生产用水</w:t>
      </w:r>
    </w:p>
    <w:p w14:paraId="26C8F750">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本项目设置1条电泳线，设1个热水槽、2个脱脂槽、2个脱脂后水洗槽、1个硅烷化槽、2个硅烷化后水洗槽、1个电泳槽、2个UF清洗槽，有效容积按80%计。</w:t>
      </w:r>
    </w:p>
    <w:p w14:paraId="42E11EF0">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脱脂槽、硅烷化槽、电泳槽槽液每半年排放1次，每次排放后对槽体进行清洗。电泳由厂家负责调配后，运送到厂。电泳线具体用排水情况见下表。</w:t>
      </w:r>
    </w:p>
    <w:p w14:paraId="0E5A22CB">
      <w:pPr>
        <w:autoSpaceDE w:val="0"/>
        <w:autoSpaceDN w:val="0"/>
        <w:adjustRightInd w:val="0"/>
        <w:snapToGrid w:val="0"/>
        <w:spacing w:line="360" w:lineRule="auto"/>
        <w:ind w:firstLine="480" w:firstLineChars="200"/>
        <w:rPr>
          <w:rFonts w:ascii="Times New Roman"/>
          <w:sz w:val="24"/>
          <w:szCs w:val="24"/>
        </w:rPr>
        <w:sectPr>
          <w:pgSz w:w="11906" w:h="16838"/>
          <w:pgMar w:top="1440" w:right="1800" w:bottom="1440" w:left="1800" w:header="1134" w:footer="1134" w:gutter="0"/>
          <w:cols w:space="720" w:num="1"/>
          <w:docGrid w:type="lines" w:linePitch="340" w:charSpace="0"/>
        </w:sectPr>
      </w:pPr>
    </w:p>
    <w:p w14:paraId="434BFDCC">
      <w:pPr>
        <w:autoSpaceDE w:val="0"/>
        <w:autoSpaceDN w:val="0"/>
        <w:adjustRightInd w:val="0"/>
        <w:snapToGrid w:val="0"/>
        <w:jc w:val="center"/>
        <w:rPr>
          <w:rFonts w:ascii="Times New Roman"/>
          <w:b/>
          <w:bCs/>
          <w:sz w:val="24"/>
          <w:szCs w:val="24"/>
        </w:rPr>
      </w:pPr>
      <w:r>
        <w:rPr>
          <w:rFonts w:ascii="Times New Roman"/>
          <w:b/>
          <w:bCs/>
          <w:sz w:val="24"/>
          <w:szCs w:val="24"/>
        </w:rPr>
        <w:t>表3.6-1  电泳线用排水情况表</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885"/>
        <w:gridCol w:w="1020"/>
        <w:gridCol w:w="735"/>
        <w:gridCol w:w="1245"/>
        <w:gridCol w:w="1620"/>
        <w:gridCol w:w="990"/>
        <w:gridCol w:w="885"/>
        <w:gridCol w:w="705"/>
        <w:gridCol w:w="780"/>
        <w:gridCol w:w="855"/>
        <w:gridCol w:w="2346"/>
        <w:gridCol w:w="1012"/>
      </w:tblGrid>
      <w:tr w14:paraId="181D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89" w:type="dxa"/>
            <w:vMerge w:val="restart"/>
            <w:vAlign w:val="center"/>
          </w:tcPr>
          <w:p w14:paraId="69A6D678">
            <w:pPr>
              <w:autoSpaceDE w:val="0"/>
              <w:autoSpaceDN w:val="0"/>
              <w:adjustRightInd w:val="0"/>
              <w:snapToGrid w:val="0"/>
              <w:jc w:val="center"/>
              <w:rPr>
                <w:rFonts w:ascii="Times New Roman"/>
                <w:sz w:val="21"/>
                <w:szCs w:val="21"/>
              </w:rPr>
            </w:pPr>
            <w:r>
              <w:rPr>
                <w:rFonts w:ascii="Times New Roman"/>
                <w:sz w:val="21"/>
                <w:szCs w:val="21"/>
              </w:rPr>
              <w:t>用水工序</w:t>
            </w:r>
          </w:p>
        </w:tc>
        <w:tc>
          <w:tcPr>
            <w:tcW w:w="885" w:type="dxa"/>
            <w:vMerge w:val="restart"/>
            <w:vAlign w:val="center"/>
          </w:tcPr>
          <w:p w14:paraId="2466AAE0">
            <w:pPr>
              <w:autoSpaceDE w:val="0"/>
              <w:autoSpaceDN w:val="0"/>
              <w:adjustRightInd w:val="0"/>
              <w:snapToGrid w:val="0"/>
              <w:jc w:val="center"/>
              <w:rPr>
                <w:rFonts w:ascii="Times New Roman"/>
                <w:sz w:val="21"/>
                <w:szCs w:val="21"/>
              </w:rPr>
            </w:pPr>
            <w:r>
              <w:rPr>
                <w:rFonts w:ascii="Times New Roman"/>
                <w:sz w:val="21"/>
                <w:szCs w:val="21"/>
              </w:rPr>
              <w:t>用水类型</w:t>
            </w:r>
          </w:p>
        </w:tc>
        <w:tc>
          <w:tcPr>
            <w:tcW w:w="1020" w:type="dxa"/>
            <w:vMerge w:val="restart"/>
            <w:vAlign w:val="center"/>
          </w:tcPr>
          <w:p w14:paraId="339C2366">
            <w:pPr>
              <w:autoSpaceDE w:val="0"/>
              <w:autoSpaceDN w:val="0"/>
              <w:adjustRightInd w:val="0"/>
              <w:snapToGrid w:val="0"/>
              <w:jc w:val="center"/>
              <w:rPr>
                <w:rFonts w:ascii="Times New Roman"/>
                <w:sz w:val="21"/>
                <w:szCs w:val="21"/>
              </w:rPr>
            </w:pPr>
            <w:r>
              <w:rPr>
                <w:rFonts w:ascii="Times New Roman"/>
                <w:sz w:val="21"/>
                <w:szCs w:val="21"/>
              </w:rPr>
              <w:t>单体有效容积m</w:t>
            </w:r>
            <w:r>
              <w:rPr>
                <w:rFonts w:ascii="Times New Roman"/>
                <w:sz w:val="21"/>
                <w:szCs w:val="21"/>
                <w:vertAlign w:val="superscript"/>
              </w:rPr>
              <w:t>3</w:t>
            </w:r>
          </w:p>
        </w:tc>
        <w:tc>
          <w:tcPr>
            <w:tcW w:w="735" w:type="dxa"/>
            <w:vMerge w:val="restart"/>
            <w:vAlign w:val="center"/>
          </w:tcPr>
          <w:p w14:paraId="61EF3DD1">
            <w:pPr>
              <w:autoSpaceDE w:val="0"/>
              <w:autoSpaceDN w:val="0"/>
              <w:adjustRightInd w:val="0"/>
              <w:snapToGrid w:val="0"/>
              <w:jc w:val="center"/>
              <w:rPr>
                <w:rFonts w:ascii="Times New Roman"/>
                <w:sz w:val="21"/>
                <w:szCs w:val="21"/>
              </w:rPr>
            </w:pPr>
            <w:r>
              <w:rPr>
                <w:rFonts w:ascii="Times New Roman"/>
                <w:sz w:val="21"/>
                <w:szCs w:val="21"/>
              </w:rPr>
              <w:t>槽数/个</w:t>
            </w:r>
          </w:p>
        </w:tc>
        <w:tc>
          <w:tcPr>
            <w:tcW w:w="1245" w:type="dxa"/>
            <w:vMerge w:val="restart"/>
            <w:vAlign w:val="center"/>
          </w:tcPr>
          <w:p w14:paraId="12038E3B">
            <w:pPr>
              <w:autoSpaceDE w:val="0"/>
              <w:autoSpaceDN w:val="0"/>
              <w:adjustRightInd w:val="0"/>
              <w:snapToGrid w:val="0"/>
              <w:jc w:val="center"/>
              <w:rPr>
                <w:rFonts w:ascii="Times New Roman"/>
                <w:sz w:val="21"/>
                <w:szCs w:val="21"/>
              </w:rPr>
            </w:pPr>
            <w:r>
              <w:rPr>
                <w:rFonts w:ascii="Times New Roman"/>
                <w:sz w:val="21"/>
                <w:szCs w:val="21"/>
              </w:rPr>
              <w:t>建槽配比</w:t>
            </w:r>
          </w:p>
        </w:tc>
        <w:tc>
          <w:tcPr>
            <w:tcW w:w="1620" w:type="dxa"/>
            <w:vMerge w:val="restart"/>
            <w:vAlign w:val="center"/>
          </w:tcPr>
          <w:p w14:paraId="0A36EFC1">
            <w:pPr>
              <w:autoSpaceDE w:val="0"/>
              <w:autoSpaceDN w:val="0"/>
              <w:adjustRightInd w:val="0"/>
              <w:snapToGrid w:val="0"/>
              <w:jc w:val="center"/>
              <w:rPr>
                <w:rFonts w:ascii="Times New Roman"/>
                <w:sz w:val="21"/>
                <w:szCs w:val="21"/>
              </w:rPr>
            </w:pPr>
            <w:r>
              <w:rPr>
                <w:rFonts w:ascii="Times New Roman"/>
                <w:sz w:val="21"/>
                <w:szCs w:val="21"/>
              </w:rPr>
              <w:t>用水情况</w:t>
            </w:r>
          </w:p>
        </w:tc>
        <w:tc>
          <w:tcPr>
            <w:tcW w:w="1875" w:type="dxa"/>
            <w:gridSpan w:val="2"/>
            <w:vAlign w:val="center"/>
          </w:tcPr>
          <w:p w14:paraId="1055FCCC">
            <w:pPr>
              <w:autoSpaceDE w:val="0"/>
              <w:autoSpaceDN w:val="0"/>
              <w:adjustRightInd w:val="0"/>
              <w:snapToGrid w:val="0"/>
              <w:jc w:val="center"/>
              <w:rPr>
                <w:rFonts w:ascii="Times New Roman"/>
                <w:sz w:val="21"/>
                <w:szCs w:val="21"/>
              </w:rPr>
            </w:pPr>
            <w:r>
              <w:rPr>
                <w:rFonts w:ascii="Times New Roman"/>
                <w:sz w:val="21"/>
                <w:szCs w:val="21"/>
              </w:rPr>
              <w:t>用水量m</w:t>
            </w:r>
            <w:r>
              <w:rPr>
                <w:rFonts w:ascii="Times New Roman"/>
                <w:sz w:val="21"/>
                <w:szCs w:val="21"/>
                <w:vertAlign w:val="superscript"/>
              </w:rPr>
              <w:t>3</w:t>
            </w:r>
          </w:p>
        </w:tc>
        <w:tc>
          <w:tcPr>
            <w:tcW w:w="705" w:type="dxa"/>
            <w:vMerge w:val="restart"/>
            <w:vAlign w:val="center"/>
          </w:tcPr>
          <w:p w14:paraId="5B2BE7C9">
            <w:pPr>
              <w:autoSpaceDE w:val="0"/>
              <w:autoSpaceDN w:val="0"/>
              <w:adjustRightInd w:val="0"/>
              <w:snapToGrid w:val="0"/>
              <w:jc w:val="center"/>
              <w:rPr>
                <w:rFonts w:ascii="Times New Roman"/>
                <w:sz w:val="21"/>
                <w:szCs w:val="21"/>
              </w:rPr>
            </w:pPr>
            <w:r>
              <w:rPr>
                <w:rFonts w:ascii="Times New Roman"/>
                <w:sz w:val="21"/>
                <w:szCs w:val="21"/>
              </w:rPr>
              <w:t>排放系数</w:t>
            </w:r>
          </w:p>
        </w:tc>
        <w:tc>
          <w:tcPr>
            <w:tcW w:w="1635" w:type="dxa"/>
            <w:gridSpan w:val="2"/>
            <w:vAlign w:val="center"/>
          </w:tcPr>
          <w:p w14:paraId="38FA7637">
            <w:pPr>
              <w:autoSpaceDE w:val="0"/>
              <w:autoSpaceDN w:val="0"/>
              <w:adjustRightInd w:val="0"/>
              <w:snapToGrid w:val="0"/>
              <w:jc w:val="center"/>
              <w:rPr>
                <w:rFonts w:ascii="Times New Roman"/>
                <w:sz w:val="21"/>
                <w:szCs w:val="21"/>
              </w:rPr>
            </w:pPr>
            <w:r>
              <w:rPr>
                <w:rFonts w:ascii="Times New Roman"/>
                <w:sz w:val="21"/>
                <w:szCs w:val="21"/>
              </w:rPr>
              <w:t>排水量m</w:t>
            </w:r>
            <w:r>
              <w:rPr>
                <w:rFonts w:ascii="Times New Roman"/>
                <w:sz w:val="21"/>
                <w:szCs w:val="21"/>
                <w:vertAlign w:val="superscript"/>
              </w:rPr>
              <w:t>3</w:t>
            </w:r>
          </w:p>
        </w:tc>
        <w:tc>
          <w:tcPr>
            <w:tcW w:w="2346" w:type="dxa"/>
            <w:vMerge w:val="restart"/>
            <w:vAlign w:val="center"/>
          </w:tcPr>
          <w:p w14:paraId="4125C673">
            <w:pPr>
              <w:autoSpaceDE w:val="0"/>
              <w:autoSpaceDN w:val="0"/>
              <w:adjustRightInd w:val="0"/>
              <w:snapToGrid w:val="0"/>
              <w:jc w:val="center"/>
              <w:rPr>
                <w:rFonts w:ascii="Times New Roman"/>
                <w:sz w:val="21"/>
                <w:szCs w:val="21"/>
              </w:rPr>
            </w:pPr>
            <w:r>
              <w:rPr>
                <w:rFonts w:ascii="Times New Roman"/>
                <w:sz w:val="21"/>
                <w:szCs w:val="21"/>
              </w:rPr>
              <w:t>排放类型</w:t>
            </w:r>
          </w:p>
        </w:tc>
        <w:tc>
          <w:tcPr>
            <w:tcW w:w="1012" w:type="dxa"/>
            <w:vMerge w:val="restart"/>
            <w:vAlign w:val="center"/>
          </w:tcPr>
          <w:p w14:paraId="58E5BAC7">
            <w:pPr>
              <w:autoSpaceDE w:val="0"/>
              <w:autoSpaceDN w:val="0"/>
              <w:adjustRightInd w:val="0"/>
              <w:snapToGrid w:val="0"/>
              <w:jc w:val="center"/>
              <w:rPr>
                <w:rFonts w:ascii="Times New Roman"/>
                <w:sz w:val="21"/>
                <w:szCs w:val="21"/>
              </w:rPr>
            </w:pPr>
            <w:r>
              <w:rPr>
                <w:rFonts w:ascii="Times New Roman"/>
                <w:sz w:val="21"/>
                <w:szCs w:val="21"/>
              </w:rPr>
              <w:t>备注</w:t>
            </w:r>
          </w:p>
        </w:tc>
      </w:tr>
      <w:tr w14:paraId="282E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89" w:type="dxa"/>
            <w:vMerge w:val="continue"/>
            <w:vAlign w:val="center"/>
          </w:tcPr>
          <w:p w14:paraId="17FE48CD">
            <w:pPr>
              <w:autoSpaceDE w:val="0"/>
              <w:autoSpaceDN w:val="0"/>
              <w:adjustRightInd w:val="0"/>
              <w:snapToGrid w:val="0"/>
              <w:jc w:val="center"/>
              <w:rPr>
                <w:rFonts w:ascii="Times New Roman"/>
                <w:sz w:val="21"/>
                <w:szCs w:val="21"/>
              </w:rPr>
            </w:pPr>
          </w:p>
        </w:tc>
        <w:tc>
          <w:tcPr>
            <w:tcW w:w="885" w:type="dxa"/>
            <w:vMerge w:val="continue"/>
            <w:vAlign w:val="center"/>
          </w:tcPr>
          <w:p w14:paraId="7B2C614E">
            <w:pPr>
              <w:autoSpaceDE w:val="0"/>
              <w:autoSpaceDN w:val="0"/>
              <w:adjustRightInd w:val="0"/>
              <w:snapToGrid w:val="0"/>
              <w:jc w:val="center"/>
              <w:rPr>
                <w:rFonts w:ascii="Times New Roman"/>
                <w:sz w:val="21"/>
                <w:szCs w:val="21"/>
              </w:rPr>
            </w:pPr>
          </w:p>
        </w:tc>
        <w:tc>
          <w:tcPr>
            <w:tcW w:w="1020" w:type="dxa"/>
            <w:vMerge w:val="continue"/>
            <w:vAlign w:val="center"/>
          </w:tcPr>
          <w:p w14:paraId="57D75706">
            <w:pPr>
              <w:autoSpaceDE w:val="0"/>
              <w:autoSpaceDN w:val="0"/>
              <w:adjustRightInd w:val="0"/>
              <w:snapToGrid w:val="0"/>
              <w:jc w:val="center"/>
              <w:rPr>
                <w:rFonts w:ascii="Times New Roman"/>
                <w:sz w:val="21"/>
                <w:szCs w:val="21"/>
              </w:rPr>
            </w:pPr>
          </w:p>
        </w:tc>
        <w:tc>
          <w:tcPr>
            <w:tcW w:w="735" w:type="dxa"/>
            <w:vMerge w:val="continue"/>
            <w:vAlign w:val="center"/>
          </w:tcPr>
          <w:p w14:paraId="1F0BF4EB">
            <w:pPr>
              <w:autoSpaceDE w:val="0"/>
              <w:autoSpaceDN w:val="0"/>
              <w:adjustRightInd w:val="0"/>
              <w:snapToGrid w:val="0"/>
              <w:jc w:val="center"/>
              <w:rPr>
                <w:rFonts w:ascii="Times New Roman"/>
                <w:sz w:val="21"/>
                <w:szCs w:val="21"/>
              </w:rPr>
            </w:pPr>
          </w:p>
        </w:tc>
        <w:tc>
          <w:tcPr>
            <w:tcW w:w="1245" w:type="dxa"/>
            <w:vMerge w:val="continue"/>
            <w:vAlign w:val="center"/>
          </w:tcPr>
          <w:p w14:paraId="045AD02F">
            <w:pPr>
              <w:autoSpaceDE w:val="0"/>
              <w:autoSpaceDN w:val="0"/>
              <w:adjustRightInd w:val="0"/>
              <w:snapToGrid w:val="0"/>
              <w:jc w:val="center"/>
              <w:rPr>
                <w:rFonts w:ascii="Times New Roman"/>
                <w:sz w:val="21"/>
                <w:szCs w:val="21"/>
              </w:rPr>
            </w:pPr>
          </w:p>
        </w:tc>
        <w:tc>
          <w:tcPr>
            <w:tcW w:w="1620" w:type="dxa"/>
            <w:vMerge w:val="continue"/>
            <w:vAlign w:val="center"/>
          </w:tcPr>
          <w:p w14:paraId="0ACF5A67">
            <w:pPr>
              <w:autoSpaceDE w:val="0"/>
              <w:autoSpaceDN w:val="0"/>
              <w:adjustRightInd w:val="0"/>
              <w:snapToGrid w:val="0"/>
              <w:jc w:val="center"/>
              <w:rPr>
                <w:rFonts w:ascii="Times New Roman"/>
                <w:sz w:val="21"/>
                <w:szCs w:val="21"/>
              </w:rPr>
            </w:pPr>
          </w:p>
        </w:tc>
        <w:tc>
          <w:tcPr>
            <w:tcW w:w="990" w:type="dxa"/>
            <w:vAlign w:val="center"/>
          </w:tcPr>
          <w:p w14:paraId="4E80C256">
            <w:pPr>
              <w:autoSpaceDE w:val="0"/>
              <w:autoSpaceDN w:val="0"/>
              <w:adjustRightInd w:val="0"/>
              <w:snapToGrid w:val="0"/>
              <w:jc w:val="center"/>
              <w:rPr>
                <w:rFonts w:ascii="Times New Roman"/>
                <w:sz w:val="21"/>
                <w:szCs w:val="21"/>
              </w:rPr>
            </w:pPr>
            <w:r>
              <w:rPr>
                <w:rFonts w:ascii="Times New Roman"/>
                <w:sz w:val="21"/>
                <w:szCs w:val="21"/>
              </w:rPr>
              <w:t>日</w:t>
            </w:r>
            <w:r>
              <w:rPr>
                <w:rFonts w:hint="eastAsia" w:ascii="Times New Roman"/>
                <w:sz w:val="21"/>
                <w:szCs w:val="21"/>
              </w:rPr>
              <w:t>最大</w:t>
            </w:r>
            <w:r>
              <w:rPr>
                <w:rFonts w:ascii="Times New Roman"/>
                <w:sz w:val="21"/>
                <w:szCs w:val="21"/>
              </w:rPr>
              <w:t>用水量</w:t>
            </w:r>
          </w:p>
        </w:tc>
        <w:tc>
          <w:tcPr>
            <w:tcW w:w="885" w:type="dxa"/>
            <w:vAlign w:val="center"/>
          </w:tcPr>
          <w:p w14:paraId="381F2A35">
            <w:pPr>
              <w:autoSpaceDE w:val="0"/>
              <w:autoSpaceDN w:val="0"/>
              <w:adjustRightInd w:val="0"/>
              <w:snapToGrid w:val="0"/>
              <w:jc w:val="center"/>
              <w:rPr>
                <w:rFonts w:ascii="Times New Roman"/>
                <w:sz w:val="21"/>
                <w:szCs w:val="21"/>
              </w:rPr>
            </w:pPr>
            <w:r>
              <w:rPr>
                <w:rFonts w:ascii="Times New Roman"/>
                <w:sz w:val="21"/>
                <w:szCs w:val="21"/>
              </w:rPr>
              <w:t>年用水量</w:t>
            </w:r>
          </w:p>
        </w:tc>
        <w:tc>
          <w:tcPr>
            <w:tcW w:w="705" w:type="dxa"/>
            <w:vMerge w:val="continue"/>
            <w:vAlign w:val="center"/>
          </w:tcPr>
          <w:p w14:paraId="1E757CF7">
            <w:pPr>
              <w:autoSpaceDE w:val="0"/>
              <w:autoSpaceDN w:val="0"/>
              <w:adjustRightInd w:val="0"/>
              <w:snapToGrid w:val="0"/>
              <w:jc w:val="center"/>
              <w:rPr>
                <w:rFonts w:ascii="Times New Roman"/>
                <w:sz w:val="21"/>
                <w:szCs w:val="21"/>
              </w:rPr>
            </w:pPr>
          </w:p>
        </w:tc>
        <w:tc>
          <w:tcPr>
            <w:tcW w:w="780" w:type="dxa"/>
            <w:shd w:val="clear" w:color="auto" w:fill="auto"/>
            <w:vAlign w:val="center"/>
          </w:tcPr>
          <w:p w14:paraId="1FFE6198">
            <w:pPr>
              <w:autoSpaceDE w:val="0"/>
              <w:autoSpaceDN w:val="0"/>
              <w:adjustRightInd w:val="0"/>
              <w:snapToGrid w:val="0"/>
              <w:jc w:val="center"/>
              <w:rPr>
                <w:rFonts w:ascii="Times New Roman"/>
                <w:sz w:val="21"/>
                <w:szCs w:val="21"/>
              </w:rPr>
            </w:pPr>
            <w:r>
              <w:rPr>
                <w:rFonts w:ascii="Times New Roman"/>
                <w:sz w:val="21"/>
                <w:szCs w:val="21"/>
              </w:rPr>
              <w:t>日排水量</w:t>
            </w:r>
          </w:p>
        </w:tc>
        <w:tc>
          <w:tcPr>
            <w:tcW w:w="855" w:type="dxa"/>
            <w:shd w:val="clear" w:color="auto" w:fill="auto"/>
            <w:vAlign w:val="center"/>
          </w:tcPr>
          <w:p w14:paraId="40F50D34">
            <w:pPr>
              <w:autoSpaceDE w:val="0"/>
              <w:autoSpaceDN w:val="0"/>
              <w:adjustRightInd w:val="0"/>
              <w:snapToGrid w:val="0"/>
              <w:jc w:val="center"/>
              <w:rPr>
                <w:rFonts w:ascii="Times New Roman"/>
                <w:sz w:val="21"/>
                <w:szCs w:val="21"/>
              </w:rPr>
            </w:pPr>
            <w:r>
              <w:rPr>
                <w:rFonts w:ascii="Times New Roman"/>
                <w:sz w:val="21"/>
                <w:szCs w:val="21"/>
              </w:rPr>
              <w:t>年排水量</w:t>
            </w:r>
          </w:p>
        </w:tc>
        <w:tc>
          <w:tcPr>
            <w:tcW w:w="2346" w:type="dxa"/>
            <w:vMerge w:val="continue"/>
            <w:vAlign w:val="center"/>
          </w:tcPr>
          <w:p w14:paraId="27E7DF6B">
            <w:pPr>
              <w:autoSpaceDE w:val="0"/>
              <w:autoSpaceDN w:val="0"/>
              <w:adjustRightInd w:val="0"/>
              <w:snapToGrid w:val="0"/>
              <w:jc w:val="center"/>
              <w:rPr>
                <w:rFonts w:ascii="Times New Roman"/>
                <w:sz w:val="21"/>
                <w:szCs w:val="21"/>
              </w:rPr>
            </w:pPr>
          </w:p>
        </w:tc>
        <w:tc>
          <w:tcPr>
            <w:tcW w:w="1012" w:type="dxa"/>
            <w:vMerge w:val="continue"/>
            <w:vAlign w:val="center"/>
          </w:tcPr>
          <w:p w14:paraId="5C107EDE">
            <w:pPr>
              <w:autoSpaceDE w:val="0"/>
              <w:autoSpaceDN w:val="0"/>
              <w:adjustRightInd w:val="0"/>
              <w:snapToGrid w:val="0"/>
              <w:jc w:val="center"/>
              <w:rPr>
                <w:rFonts w:ascii="Times New Roman"/>
                <w:sz w:val="21"/>
                <w:szCs w:val="21"/>
              </w:rPr>
            </w:pPr>
          </w:p>
        </w:tc>
      </w:tr>
      <w:tr w14:paraId="7388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9" w:type="dxa"/>
            <w:vAlign w:val="center"/>
          </w:tcPr>
          <w:p w14:paraId="16B50AB7">
            <w:pPr>
              <w:autoSpaceDE w:val="0"/>
              <w:autoSpaceDN w:val="0"/>
              <w:adjustRightInd w:val="0"/>
              <w:snapToGrid w:val="0"/>
              <w:jc w:val="center"/>
              <w:rPr>
                <w:rFonts w:ascii="Times New Roman"/>
                <w:sz w:val="21"/>
                <w:szCs w:val="21"/>
              </w:rPr>
            </w:pPr>
            <w:r>
              <w:rPr>
                <w:rFonts w:ascii="Times New Roman"/>
                <w:sz w:val="21"/>
                <w:szCs w:val="21"/>
              </w:rPr>
              <w:t>热水洗</w:t>
            </w:r>
          </w:p>
        </w:tc>
        <w:tc>
          <w:tcPr>
            <w:tcW w:w="885" w:type="dxa"/>
            <w:vAlign w:val="center"/>
          </w:tcPr>
          <w:p w14:paraId="249C5994">
            <w:pPr>
              <w:autoSpaceDE w:val="0"/>
              <w:autoSpaceDN w:val="0"/>
              <w:adjustRightInd w:val="0"/>
              <w:snapToGrid w:val="0"/>
              <w:jc w:val="center"/>
              <w:rPr>
                <w:rFonts w:ascii="Times New Roman"/>
                <w:sz w:val="21"/>
                <w:szCs w:val="21"/>
              </w:rPr>
            </w:pPr>
            <w:r>
              <w:rPr>
                <w:rFonts w:ascii="Times New Roman"/>
                <w:sz w:val="21"/>
                <w:szCs w:val="21"/>
              </w:rPr>
              <w:t>自来水</w:t>
            </w:r>
          </w:p>
        </w:tc>
        <w:tc>
          <w:tcPr>
            <w:tcW w:w="1020" w:type="dxa"/>
            <w:vAlign w:val="center"/>
          </w:tcPr>
          <w:p w14:paraId="5A90C365">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Align w:val="center"/>
          </w:tcPr>
          <w:p w14:paraId="2DBBA78E">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Align w:val="center"/>
          </w:tcPr>
          <w:p w14:paraId="4B08C8EE">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vAlign w:val="center"/>
          </w:tcPr>
          <w:p w14:paraId="3B147724">
            <w:pPr>
              <w:autoSpaceDE w:val="0"/>
              <w:autoSpaceDN w:val="0"/>
              <w:adjustRightInd w:val="0"/>
              <w:snapToGrid w:val="0"/>
              <w:jc w:val="center"/>
              <w:rPr>
                <w:rFonts w:ascii="Times New Roman"/>
              </w:rPr>
            </w:pPr>
            <w:r>
              <w:rPr>
                <w:rFonts w:ascii="Times New Roman"/>
                <w:sz w:val="21"/>
                <w:szCs w:val="21"/>
              </w:rPr>
              <w:t>溢流</w:t>
            </w:r>
            <w:r>
              <w:rPr>
                <w:rFonts w:hint="eastAsia" w:ascii="Times New Roman"/>
                <w:sz w:val="21"/>
                <w:szCs w:val="21"/>
              </w:rPr>
              <w:t>2</w:t>
            </w:r>
            <w:r>
              <w:rPr>
                <w:rFonts w:ascii="Times New Roman"/>
                <w:sz w:val="21"/>
                <w:szCs w:val="21"/>
              </w:rPr>
              <w:t>.8m</w:t>
            </w:r>
            <w:r>
              <w:rPr>
                <w:rFonts w:ascii="Times New Roman"/>
                <w:sz w:val="21"/>
                <w:szCs w:val="21"/>
                <w:vertAlign w:val="superscript"/>
              </w:rPr>
              <w:t>3</w:t>
            </w:r>
            <w:r>
              <w:rPr>
                <w:rFonts w:ascii="Times New Roman"/>
                <w:sz w:val="21"/>
                <w:szCs w:val="21"/>
              </w:rPr>
              <w:t>/h</w:t>
            </w:r>
          </w:p>
        </w:tc>
        <w:tc>
          <w:tcPr>
            <w:tcW w:w="990" w:type="dxa"/>
            <w:vAlign w:val="center"/>
          </w:tcPr>
          <w:p w14:paraId="395E964D">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vAlign w:val="center"/>
          </w:tcPr>
          <w:p w14:paraId="197B7EBD">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vAlign w:val="center"/>
          </w:tcPr>
          <w:p w14:paraId="6D6756F0">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vAlign w:val="center"/>
          </w:tcPr>
          <w:p w14:paraId="6FB3E4C6">
            <w:pPr>
              <w:autoSpaceDE w:val="0"/>
              <w:autoSpaceDN w:val="0"/>
              <w:adjustRightInd w:val="0"/>
              <w:snapToGrid w:val="0"/>
              <w:jc w:val="center"/>
              <w:rPr>
                <w:rFonts w:ascii="Times New Roman"/>
                <w:sz w:val="21"/>
                <w:szCs w:val="21"/>
              </w:rPr>
            </w:pPr>
            <w:r>
              <w:rPr>
                <w:rFonts w:hint="eastAsia" w:ascii="Times New Roman"/>
                <w:sz w:val="21"/>
                <w:szCs w:val="21"/>
              </w:rPr>
              <w:t>33.6</w:t>
            </w:r>
          </w:p>
        </w:tc>
        <w:tc>
          <w:tcPr>
            <w:tcW w:w="855" w:type="dxa"/>
            <w:vAlign w:val="center"/>
          </w:tcPr>
          <w:p w14:paraId="710805BA">
            <w:pPr>
              <w:autoSpaceDE w:val="0"/>
              <w:autoSpaceDN w:val="0"/>
              <w:adjustRightInd w:val="0"/>
              <w:snapToGrid w:val="0"/>
              <w:jc w:val="center"/>
              <w:rPr>
                <w:rFonts w:ascii="Times New Roman"/>
                <w:sz w:val="21"/>
                <w:szCs w:val="21"/>
              </w:rPr>
            </w:pPr>
            <w:r>
              <w:rPr>
                <w:rFonts w:hint="eastAsia" w:ascii="Times New Roman"/>
                <w:sz w:val="21"/>
                <w:szCs w:val="21"/>
              </w:rPr>
              <w:t>10080</w:t>
            </w:r>
          </w:p>
        </w:tc>
        <w:tc>
          <w:tcPr>
            <w:tcW w:w="2346" w:type="dxa"/>
            <w:vAlign w:val="center"/>
          </w:tcPr>
          <w:p w14:paraId="22055032">
            <w:pPr>
              <w:autoSpaceDE w:val="0"/>
              <w:autoSpaceDN w:val="0"/>
              <w:adjustRightInd w:val="0"/>
              <w:snapToGrid w:val="0"/>
              <w:jc w:val="center"/>
              <w:rPr>
                <w:rFonts w:ascii="Times New Roman"/>
                <w:sz w:val="21"/>
                <w:szCs w:val="21"/>
              </w:rPr>
            </w:pPr>
            <w:r>
              <w:rPr>
                <w:rFonts w:hint="eastAsia" w:ascii="Times New Roman"/>
                <w:sz w:val="21"/>
                <w:szCs w:val="21"/>
              </w:rPr>
              <w:t>首次运行加新鲜水，后续</w:t>
            </w:r>
            <w:r>
              <w:rPr>
                <w:rFonts w:ascii="Times New Roman"/>
                <w:sz w:val="21"/>
                <w:szCs w:val="21"/>
              </w:rPr>
              <w:t>连续排放，逆流水洗</w:t>
            </w:r>
          </w:p>
        </w:tc>
        <w:tc>
          <w:tcPr>
            <w:tcW w:w="1012" w:type="dxa"/>
            <w:vAlign w:val="center"/>
          </w:tcPr>
          <w:p w14:paraId="5C81BA27">
            <w:pPr>
              <w:autoSpaceDE w:val="0"/>
              <w:autoSpaceDN w:val="0"/>
              <w:adjustRightInd w:val="0"/>
              <w:snapToGrid w:val="0"/>
              <w:jc w:val="center"/>
              <w:rPr>
                <w:rFonts w:ascii="Times New Roman"/>
                <w:sz w:val="21"/>
                <w:szCs w:val="21"/>
              </w:rPr>
            </w:pPr>
            <w:r>
              <w:rPr>
                <w:rFonts w:ascii="Times New Roman"/>
                <w:sz w:val="21"/>
                <w:szCs w:val="21"/>
              </w:rPr>
              <w:t>来自水洗</w:t>
            </w:r>
          </w:p>
        </w:tc>
      </w:tr>
      <w:tr w14:paraId="5185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89" w:type="dxa"/>
            <w:vMerge w:val="restart"/>
            <w:vAlign w:val="center"/>
          </w:tcPr>
          <w:p w14:paraId="6EBDCC22">
            <w:pPr>
              <w:autoSpaceDE w:val="0"/>
              <w:autoSpaceDN w:val="0"/>
              <w:adjustRightInd w:val="0"/>
              <w:snapToGrid w:val="0"/>
              <w:jc w:val="center"/>
              <w:rPr>
                <w:rFonts w:ascii="Times New Roman"/>
                <w:sz w:val="21"/>
                <w:szCs w:val="21"/>
              </w:rPr>
            </w:pPr>
            <w:r>
              <w:rPr>
                <w:rFonts w:ascii="Times New Roman"/>
                <w:sz w:val="21"/>
                <w:szCs w:val="21"/>
              </w:rPr>
              <w:t>预脱脂</w:t>
            </w:r>
          </w:p>
        </w:tc>
        <w:tc>
          <w:tcPr>
            <w:tcW w:w="885" w:type="dxa"/>
            <w:vMerge w:val="restart"/>
            <w:vAlign w:val="center"/>
          </w:tcPr>
          <w:p w14:paraId="51F854AE">
            <w:pPr>
              <w:autoSpaceDE w:val="0"/>
              <w:autoSpaceDN w:val="0"/>
              <w:adjustRightInd w:val="0"/>
              <w:snapToGrid w:val="0"/>
              <w:jc w:val="center"/>
              <w:rPr>
                <w:rFonts w:ascii="Times New Roman"/>
                <w:sz w:val="21"/>
                <w:szCs w:val="21"/>
              </w:rPr>
            </w:pPr>
            <w:r>
              <w:rPr>
                <w:rFonts w:ascii="Times New Roman"/>
                <w:sz w:val="21"/>
                <w:szCs w:val="21"/>
              </w:rPr>
              <w:t>自来水</w:t>
            </w:r>
          </w:p>
        </w:tc>
        <w:tc>
          <w:tcPr>
            <w:tcW w:w="1020" w:type="dxa"/>
            <w:vMerge w:val="restart"/>
            <w:vAlign w:val="center"/>
          </w:tcPr>
          <w:p w14:paraId="55D8758B">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53D61C5E">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2DF7DCAA">
            <w:pPr>
              <w:autoSpaceDE w:val="0"/>
              <w:autoSpaceDN w:val="0"/>
              <w:adjustRightInd w:val="0"/>
              <w:snapToGrid w:val="0"/>
              <w:jc w:val="center"/>
              <w:rPr>
                <w:rFonts w:ascii="Times New Roman"/>
                <w:sz w:val="21"/>
                <w:szCs w:val="21"/>
              </w:rPr>
            </w:pPr>
            <w:r>
              <w:rPr>
                <w:rFonts w:ascii="Times New Roman"/>
                <w:sz w:val="21"/>
                <w:szCs w:val="21"/>
              </w:rPr>
              <w:t>脱脂剂</w:t>
            </w:r>
            <w:r>
              <w:rPr>
                <w:rFonts w:hint="eastAsia" w:ascii="Times New Roman"/>
                <w:sz w:val="21"/>
                <w:szCs w:val="21"/>
              </w:rPr>
              <w:t>5</w:t>
            </w:r>
            <w:r>
              <w:rPr>
                <w:rFonts w:ascii="Times New Roman"/>
                <w:sz w:val="21"/>
                <w:szCs w:val="21"/>
              </w:rPr>
              <w:t>%</w:t>
            </w:r>
          </w:p>
          <w:p w14:paraId="39D5D254">
            <w:pPr>
              <w:autoSpaceDE w:val="0"/>
              <w:autoSpaceDN w:val="0"/>
              <w:adjustRightInd w:val="0"/>
              <w:snapToGrid w:val="0"/>
              <w:jc w:val="center"/>
              <w:rPr>
                <w:rFonts w:ascii="Times New Roman"/>
                <w:sz w:val="21"/>
                <w:szCs w:val="21"/>
              </w:rPr>
            </w:pPr>
            <w:r>
              <w:rPr>
                <w:rFonts w:ascii="Times New Roman"/>
                <w:sz w:val="21"/>
                <w:szCs w:val="21"/>
              </w:rPr>
              <w:t>自来水9</w:t>
            </w:r>
            <w:r>
              <w:rPr>
                <w:rFonts w:hint="eastAsia" w:ascii="Times New Roman"/>
                <w:sz w:val="21"/>
                <w:szCs w:val="21"/>
              </w:rPr>
              <w:t>5</w:t>
            </w:r>
            <w:r>
              <w:rPr>
                <w:rFonts w:ascii="Times New Roman"/>
                <w:sz w:val="21"/>
                <w:szCs w:val="21"/>
              </w:rPr>
              <w:t>%</w:t>
            </w:r>
          </w:p>
        </w:tc>
        <w:tc>
          <w:tcPr>
            <w:tcW w:w="1620" w:type="dxa"/>
            <w:vAlign w:val="center"/>
          </w:tcPr>
          <w:p w14:paraId="061B053A">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vAlign w:val="center"/>
          </w:tcPr>
          <w:p w14:paraId="7653498B">
            <w:pPr>
              <w:autoSpaceDE w:val="0"/>
              <w:autoSpaceDN w:val="0"/>
              <w:adjustRightInd w:val="0"/>
              <w:snapToGrid w:val="0"/>
              <w:jc w:val="center"/>
              <w:rPr>
                <w:rFonts w:ascii="Times New Roman"/>
                <w:sz w:val="21"/>
                <w:szCs w:val="21"/>
              </w:rPr>
            </w:pPr>
            <w:r>
              <w:rPr>
                <w:rFonts w:hint="eastAsia" w:ascii="Times New Roman"/>
                <w:sz w:val="21"/>
                <w:szCs w:val="21"/>
              </w:rPr>
              <w:t>133</w:t>
            </w:r>
          </w:p>
        </w:tc>
        <w:tc>
          <w:tcPr>
            <w:tcW w:w="885" w:type="dxa"/>
            <w:vAlign w:val="center"/>
          </w:tcPr>
          <w:p w14:paraId="1A938731">
            <w:pPr>
              <w:autoSpaceDE w:val="0"/>
              <w:autoSpaceDN w:val="0"/>
              <w:adjustRightInd w:val="0"/>
              <w:snapToGrid w:val="0"/>
              <w:jc w:val="center"/>
              <w:rPr>
                <w:rFonts w:ascii="Times New Roman"/>
                <w:sz w:val="21"/>
                <w:szCs w:val="21"/>
              </w:rPr>
            </w:pPr>
            <w:r>
              <w:rPr>
                <w:rFonts w:hint="eastAsia" w:ascii="Times New Roman"/>
                <w:sz w:val="21"/>
                <w:szCs w:val="21"/>
              </w:rPr>
              <w:t>133</w:t>
            </w:r>
          </w:p>
        </w:tc>
        <w:tc>
          <w:tcPr>
            <w:tcW w:w="705" w:type="dxa"/>
            <w:vAlign w:val="center"/>
          </w:tcPr>
          <w:p w14:paraId="7ACADC2B">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6DDE48F2">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45546EA2">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469D4FEC">
            <w:pPr>
              <w:autoSpaceDE w:val="0"/>
              <w:autoSpaceDN w:val="0"/>
              <w:adjustRightInd w:val="0"/>
              <w:snapToGrid w:val="0"/>
              <w:jc w:val="center"/>
              <w:rPr>
                <w:rFonts w:ascii="Times New Roman"/>
                <w:sz w:val="21"/>
                <w:szCs w:val="21"/>
              </w:rPr>
            </w:pPr>
            <w:r>
              <w:rPr>
                <w:rFonts w:hint="eastAsia" w:ascii="Times New Roman"/>
                <w:sz w:val="21"/>
                <w:szCs w:val="21"/>
              </w:rPr>
              <w:t>首次运行注入槽液，后续</w:t>
            </w:r>
            <w:r>
              <w:rPr>
                <w:rFonts w:ascii="Times New Roman"/>
                <w:sz w:val="21"/>
                <w:szCs w:val="21"/>
              </w:rPr>
              <w:t>间断，逆流</w:t>
            </w:r>
            <w:r>
              <w:rPr>
                <w:rFonts w:hint="eastAsia" w:ascii="Times New Roman"/>
                <w:sz w:val="21"/>
                <w:szCs w:val="21"/>
              </w:rPr>
              <w:t>脱脂，</w:t>
            </w:r>
            <w:r>
              <w:rPr>
                <w:rFonts w:ascii="Times New Roman"/>
                <w:sz w:val="21"/>
                <w:szCs w:val="21"/>
              </w:rPr>
              <w:t>每半年清洗槽体1次，槽液不排放，倒入转移槽内，槽清洗后，槽液倒回槽内使用</w:t>
            </w:r>
          </w:p>
        </w:tc>
        <w:tc>
          <w:tcPr>
            <w:tcW w:w="1012" w:type="dxa"/>
            <w:vMerge w:val="restart"/>
            <w:vAlign w:val="center"/>
          </w:tcPr>
          <w:p w14:paraId="4C21F155">
            <w:pPr>
              <w:autoSpaceDE w:val="0"/>
              <w:autoSpaceDN w:val="0"/>
              <w:adjustRightInd w:val="0"/>
              <w:snapToGrid w:val="0"/>
              <w:jc w:val="center"/>
              <w:rPr>
                <w:rFonts w:ascii="Times New Roman"/>
                <w:sz w:val="21"/>
                <w:szCs w:val="21"/>
              </w:rPr>
            </w:pPr>
            <w:r>
              <w:rPr>
                <w:rFonts w:ascii="Times New Roman"/>
                <w:sz w:val="21"/>
                <w:szCs w:val="21"/>
              </w:rPr>
              <w:t>来自</w:t>
            </w:r>
            <w:r>
              <w:rPr>
                <w:rFonts w:hint="eastAsia" w:ascii="Times New Roman"/>
                <w:sz w:val="21"/>
                <w:szCs w:val="21"/>
              </w:rPr>
              <w:t>脱脂</w:t>
            </w:r>
          </w:p>
        </w:tc>
      </w:tr>
      <w:tr w14:paraId="3CB7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89" w:type="dxa"/>
            <w:vMerge w:val="continue"/>
            <w:vAlign w:val="center"/>
          </w:tcPr>
          <w:p w14:paraId="3DB9E4D8">
            <w:pPr>
              <w:autoSpaceDE w:val="0"/>
              <w:autoSpaceDN w:val="0"/>
              <w:adjustRightInd w:val="0"/>
              <w:snapToGrid w:val="0"/>
              <w:jc w:val="center"/>
              <w:rPr>
                <w:rFonts w:ascii="Times New Roman"/>
                <w:sz w:val="21"/>
                <w:szCs w:val="21"/>
              </w:rPr>
            </w:pPr>
          </w:p>
        </w:tc>
        <w:tc>
          <w:tcPr>
            <w:tcW w:w="885" w:type="dxa"/>
            <w:vMerge w:val="continue"/>
            <w:vAlign w:val="center"/>
          </w:tcPr>
          <w:p w14:paraId="57DFFAA2">
            <w:pPr>
              <w:autoSpaceDE w:val="0"/>
              <w:autoSpaceDN w:val="0"/>
              <w:adjustRightInd w:val="0"/>
              <w:snapToGrid w:val="0"/>
              <w:jc w:val="center"/>
              <w:rPr>
                <w:rFonts w:ascii="Times New Roman"/>
                <w:sz w:val="21"/>
                <w:szCs w:val="21"/>
              </w:rPr>
            </w:pPr>
          </w:p>
        </w:tc>
        <w:tc>
          <w:tcPr>
            <w:tcW w:w="1020" w:type="dxa"/>
            <w:vMerge w:val="continue"/>
            <w:vAlign w:val="center"/>
          </w:tcPr>
          <w:p w14:paraId="74E6B06B">
            <w:pPr>
              <w:autoSpaceDE w:val="0"/>
              <w:autoSpaceDN w:val="0"/>
              <w:adjustRightInd w:val="0"/>
              <w:snapToGrid w:val="0"/>
              <w:jc w:val="center"/>
              <w:rPr>
                <w:rFonts w:ascii="Times New Roman"/>
                <w:sz w:val="21"/>
                <w:szCs w:val="21"/>
              </w:rPr>
            </w:pPr>
          </w:p>
        </w:tc>
        <w:tc>
          <w:tcPr>
            <w:tcW w:w="735" w:type="dxa"/>
            <w:vMerge w:val="continue"/>
            <w:vAlign w:val="center"/>
          </w:tcPr>
          <w:p w14:paraId="5F4CFDDB">
            <w:pPr>
              <w:autoSpaceDE w:val="0"/>
              <w:autoSpaceDN w:val="0"/>
              <w:adjustRightInd w:val="0"/>
              <w:snapToGrid w:val="0"/>
              <w:jc w:val="center"/>
              <w:rPr>
                <w:rFonts w:ascii="Times New Roman"/>
                <w:sz w:val="21"/>
                <w:szCs w:val="21"/>
              </w:rPr>
            </w:pPr>
          </w:p>
        </w:tc>
        <w:tc>
          <w:tcPr>
            <w:tcW w:w="1245" w:type="dxa"/>
            <w:vMerge w:val="continue"/>
            <w:vAlign w:val="center"/>
          </w:tcPr>
          <w:p w14:paraId="6F34D14F">
            <w:pPr>
              <w:autoSpaceDE w:val="0"/>
              <w:autoSpaceDN w:val="0"/>
              <w:adjustRightInd w:val="0"/>
              <w:snapToGrid w:val="0"/>
              <w:jc w:val="center"/>
              <w:rPr>
                <w:rFonts w:ascii="Times New Roman"/>
                <w:sz w:val="21"/>
                <w:szCs w:val="21"/>
              </w:rPr>
            </w:pPr>
          </w:p>
        </w:tc>
        <w:tc>
          <w:tcPr>
            <w:tcW w:w="1620" w:type="dxa"/>
            <w:vAlign w:val="center"/>
          </w:tcPr>
          <w:p w14:paraId="0764493E">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0.1</w:t>
            </w:r>
            <w:r>
              <w:rPr>
                <w:rFonts w:ascii="Times New Roman"/>
                <w:sz w:val="21"/>
                <w:szCs w:val="21"/>
              </w:rPr>
              <w:t>m</w:t>
            </w:r>
            <w:r>
              <w:rPr>
                <w:rFonts w:ascii="Times New Roman"/>
                <w:sz w:val="21"/>
                <w:szCs w:val="21"/>
                <w:vertAlign w:val="superscript"/>
              </w:rPr>
              <w:t>3</w:t>
            </w:r>
            <w:r>
              <w:rPr>
                <w:rFonts w:ascii="Times New Roman"/>
                <w:sz w:val="21"/>
                <w:szCs w:val="21"/>
              </w:rPr>
              <w:t>/h</w:t>
            </w:r>
          </w:p>
        </w:tc>
        <w:tc>
          <w:tcPr>
            <w:tcW w:w="990" w:type="dxa"/>
            <w:vAlign w:val="center"/>
          </w:tcPr>
          <w:p w14:paraId="673EF2DA">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85" w:type="dxa"/>
            <w:vAlign w:val="center"/>
          </w:tcPr>
          <w:p w14:paraId="64995B79">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05" w:type="dxa"/>
            <w:vAlign w:val="center"/>
          </w:tcPr>
          <w:p w14:paraId="077DB6E4">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07D456ED">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79993680">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continue"/>
            <w:vAlign w:val="center"/>
          </w:tcPr>
          <w:p w14:paraId="6B48CA86">
            <w:pPr>
              <w:autoSpaceDE w:val="0"/>
              <w:autoSpaceDN w:val="0"/>
              <w:adjustRightInd w:val="0"/>
              <w:snapToGrid w:val="0"/>
              <w:jc w:val="center"/>
              <w:rPr>
                <w:rFonts w:ascii="Times New Roman"/>
                <w:sz w:val="21"/>
                <w:szCs w:val="21"/>
              </w:rPr>
            </w:pPr>
          </w:p>
        </w:tc>
        <w:tc>
          <w:tcPr>
            <w:tcW w:w="1012" w:type="dxa"/>
            <w:vMerge w:val="continue"/>
            <w:vAlign w:val="center"/>
          </w:tcPr>
          <w:p w14:paraId="5C7D3EC2">
            <w:pPr>
              <w:autoSpaceDE w:val="0"/>
              <w:autoSpaceDN w:val="0"/>
              <w:adjustRightInd w:val="0"/>
              <w:snapToGrid w:val="0"/>
              <w:jc w:val="center"/>
              <w:rPr>
                <w:rFonts w:ascii="Times New Roman"/>
                <w:sz w:val="21"/>
                <w:szCs w:val="21"/>
              </w:rPr>
            </w:pPr>
          </w:p>
        </w:tc>
      </w:tr>
      <w:tr w14:paraId="689F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9" w:type="dxa"/>
            <w:vMerge w:val="continue"/>
            <w:vAlign w:val="center"/>
          </w:tcPr>
          <w:p w14:paraId="0B3BACF1">
            <w:pPr>
              <w:autoSpaceDE w:val="0"/>
              <w:autoSpaceDN w:val="0"/>
              <w:adjustRightInd w:val="0"/>
              <w:snapToGrid w:val="0"/>
              <w:jc w:val="center"/>
              <w:rPr>
                <w:rFonts w:ascii="Times New Roman"/>
                <w:sz w:val="21"/>
                <w:szCs w:val="21"/>
              </w:rPr>
            </w:pPr>
          </w:p>
        </w:tc>
        <w:tc>
          <w:tcPr>
            <w:tcW w:w="885" w:type="dxa"/>
            <w:vMerge w:val="continue"/>
            <w:vAlign w:val="center"/>
          </w:tcPr>
          <w:p w14:paraId="349BB985">
            <w:pPr>
              <w:autoSpaceDE w:val="0"/>
              <w:autoSpaceDN w:val="0"/>
              <w:adjustRightInd w:val="0"/>
              <w:snapToGrid w:val="0"/>
              <w:jc w:val="center"/>
              <w:rPr>
                <w:rFonts w:ascii="Times New Roman"/>
                <w:sz w:val="21"/>
                <w:szCs w:val="21"/>
              </w:rPr>
            </w:pPr>
          </w:p>
        </w:tc>
        <w:tc>
          <w:tcPr>
            <w:tcW w:w="1020" w:type="dxa"/>
            <w:vMerge w:val="continue"/>
            <w:vAlign w:val="center"/>
          </w:tcPr>
          <w:p w14:paraId="7DB9E28D">
            <w:pPr>
              <w:autoSpaceDE w:val="0"/>
              <w:autoSpaceDN w:val="0"/>
              <w:adjustRightInd w:val="0"/>
              <w:snapToGrid w:val="0"/>
              <w:jc w:val="center"/>
              <w:rPr>
                <w:rFonts w:ascii="Times New Roman"/>
                <w:sz w:val="21"/>
                <w:szCs w:val="21"/>
              </w:rPr>
            </w:pPr>
          </w:p>
        </w:tc>
        <w:tc>
          <w:tcPr>
            <w:tcW w:w="735" w:type="dxa"/>
            <w:vMerge w:val="continue"/>
            <w:vAlign w:val="center"/>
          </w:tcPr>
          <w:p w14:paraId="5816B755">
            <w:pPr>
              <w:autoSpaceDE w:val="0"/>
              <w:autoSpaceDN w:val="0"/>
              <w:adjustRightInd w:val="0"/>
              <w:snapToGrid w:val="0"/>
              <w:jc w:val="center"/>
              <w:rPr>
                <w:rFonts w:ascii="Times New Roman"/>
                <w:sz w:val="21"/>
                <w:szCs w:val="21"/>
              </w:rPr>
            </w:pPr>
          </w:p>
        </w:tc>
        <w:tc>
          <w:tcPr>
            <w:tcW w:w="1245" w:type="dxa"/>
            <w:vMerge w:val="continue"/>
            <w:vAlign w:val="center"/>
          </w:tcPr>
          <w:p w14:paraId="207111BC">
            <w:pPr>
              <w:autoSpaceDE w:val="0"/>
              <w:autoSpaceDN w:val="0"/>
              <w:adjustRightInd w:val="0"/>
              <w:snapToGrid w:val="0"/>
              <w:jc w:val="center"/>
              <w:rPr>
                <w:rFonts w:ascii="Times New Roman"/>
                <w:sz w:val="21"/>
                <w:szCs w:val="21"/>
              </w:rPr>
            </w:pPr>
          </w:p>
        </w:tc>
        <w:tc>
          <w:tcPr>
            <w:tcW w:w="1620" w:type="dxa"/>
            <w:vAlign w:val="center"/>
          </w:tcPr>
          <w:p w14:paraId="2A3F0983">
            <w:pPr>
              <w:autoSpaceDE w:val="0"/>
              <w:autoSpaceDN w:val="0"/>
              <w:adjustRightInd w:val="0"/>
              <w:snapToGrid w:val="0"/>
              <w:jc w:val="center"/>
              <w:rPr>
                <w:rFonts w:ascii="Times New Roman"/>
                <w:sz w:val="21"/>
                <w:szCs w:val="21"/>
              </w:rPr>
            </w:pPr>
            <w:r>
              <w:rPr>
                <w:rFonts w:ascii="Times New Roman"/>
                <w:sz w:val="21"/>
                <w:szCs w:val="21"/>
              </w:rPr>
              <w:t>槽体清洗容积5%</w:t>
            </w:r>
          </w:p>
        </w:tc>
        <w:tc>
          <w:tcPr>
            <w:tcW w:w="990" w:type="dxa"/>
            <w:vAlign w:val="center"/>
          </w:tcPr>
          <w:p w14:paraId="1452D41B">
            <w:pPr>
              <w:autoSpaceDE w:val="0"/>
              <w:autoSpaceDN w:val="0"/>
              <w:adjustRightInd w:val="0"/>
              <w:snapToGrid w:val="0"/>
              <w:jc w:val="center"/>
              <w:rPr>
                <w:rFonts w:ascii="Times New Roman"/>
                <w:sz w:val="21"/>
                <w:szCs w:val="21"/>
              </w:rPr>
            </w:pPr>
            <w:r>
              <w:rPr>
                <w:rFonts w:hint="eastAsia" w:ascii="Times New Roman"/>
                <w:sz w:val="21"/>
                <w:szCs w:val="21"/>
              </w:rPr>
              <w:t>7.03</w:t>
            </w:r>
          </w:p>
        </w:tc>
        <w:tc>
          <w:tcPr>
            <w:tcW w:w="885" w:type="dxa"/>
            <w:vAlign w:val="center"/>
          </w:tcPr>
          <w:p w14:paraId="004B85EF">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vAlign w:val="center"/>
          </w:tcPr>
          <w:p w14:paraId="14ECB863">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vAlign w:val="center"/>
          </w:tcPr>
          <w:p w14:paraId="5B498E97">
            <w:pPr>
              <w:autoSpaceDE w:val="0"/>
              <w:autoSpaceDN w:val="0"/>
              <w:adjustRightInd w:val="0"/>
              <w:snapToGrid w:val="0"/>
              <w:jc w:val="center"/>
              <w:rPr>
                <w:rFonts w:ascii="Times New Roman"/>
                <w:sz w:val="21"/>
                <w:szCs w:val="21"/>
              </w:rPr>
            </w:pPr>
            <w:r>
              <w:rPr>
                <w:rFonts w:hint="eastAsia" w:ascii="Times New Roman"/>
                <w:sz w:val="21"/>
                <w:szCs w:val="21"/>
              </w:rPr>
              <w:t>6.327</w:t>
            </w:r>
          </w:p>
        </w:tc>
        <w:tc>
          <w:tcPr>
            <w:tcW w:w="855" w:type="dxa"/>
            <w:vAlign w:val="center"/>
          </w:tcPr>
          <w:p w14:paraId="04518195">
            <w:pPr>
              <w:autoSpaceDE w:val="0"/>
              <w:autoSpaceDN w:val="0"/>
              <w:adjustRightInd w:val="0"/>
              <w:snapToGrid w:val="0"/>
              <w:jc w:val="center"/>
              <w:rPr>
                <w:rFonts w:ascii="Times New Roman"/>
                <w:sz w:val="21"/>
                <w:szCs w:val="21"/>
              </w:rPr>
            </w:pPr>
            <w:r>
              <w:rPr>
                <w:rFonts w:hint="eastAsia" w:ascii="Times New Roman"/>
                <w:sz w:val="21"/>
                <w:szCs w:val="21"/>
              </w:rPr>
              <w:t>12.744</w:t>
            </w:r>
          </w:p>
        </w:tc>
        <w:tc>
          <w:tcPr>
            <w:tcW w:w="2346" w:type="dxa"/>
            <w:vMerge w:val="continue"/>
            <w:vAlign w:val="center"/>
          </w:tcPr>
          <w:p w14:paraId="4FD47111">
            <w:pPr>
              <w:autoSpaceDE w:val="0"/>
              <w:autoSpaceDN w:val="0"/>
              <w:adjustRightInd w:val="0"/>
              <w:snapToGrid w:val="0"/>
              <w:jc w:val="center"/>
              <w:rPr>
                <w:rFonts w:ascii="Times New Roman"/>
                <w:sz w:val="21"/>
                <w:szCs w:val="21"/>
              </w:rPr>
            </w:pPr>
          </w:p>
        </w:tc>
        <w:tc>
          <w:tcPr>
            <w:tcW w:w="1012" w:type="dxa"/>
            <w:vMerge w:val="continue"/>
            <w:vAlign w:val="center"/>
          </w:tcPr>
          <w:p w14:paraId="7854A87F">
            <w:pPr>
              <w:autoSpaceDE w:val="0"/>
              <w:autoSpaceDN w:val="0"/>
              <w:adjustRightInd w:val="0"/>
              <w:snapToGrid w:val="0"/>
              <w:jc w:val="center"/>
              <w:rPr>
                <w:rFonts w:ascii="Times New Roman"/>
                <w:sz w:val="21"/>
                <w:szCs w:val="21"/>
              </w:rPr>
            </w:pPr>
          </w:p>
        </w:tc>
      </w:tr>
      <w:tr w14:paraId="5318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89" w:type="dxa"/>
            <w:vMerge w:val="restart"/>
            <w:vAlign w:val="center"/>
          </w:tcPr>
          <w:p w14:paraId="78CFB2DF">
            <w:pPr>
              <w:autoSpaceDE w:val="0"/>
              <w:autoSpaceDN w:val="0"/>
              <w:adjustRightInd w:val="0"/>
              <w:snapToGrid w:val="0"/>
              <w:jc w:val="center"/>
              <w:rPr>
                <w:rFonts w:ascii="Times New Roman"/>
                <w:sz w:val="21"/>
                <w:szCs w:val="21"/>
              </w:rPr>
            </w:pPr>
            <w:r>
              <w:rPr>
                <w:rFonts w:ascii="Times New Roman"/>
                <w:sz w:val="21"/>
                <w:szCs w:val="21"/>
              </w:rPr>
              <w:t>脱脂</w:t>
            </w:r>
          </w:p>
        </w:tc>
        <w:tc>
          <w:tcPr>
            <w:tcW w:w="885" w:type="dxa"/>
            <w:vMerge w:val="restart"/>
            <w:vAlign w:val="center"/>
          </w:tcPr>
          <w:p w14:paraId="7E9C956E">
            <w:pPr>
              <w:autoSpaceDE w:val="0"/>
              <w:autoSpaceDN w:val="0"/>
              <w:adjustRightInd w:val="0"/>
              <w:snapToGrid w:val="0"/>
              <w:jc w:val="center"/>
              <w:rPr>
                <w:rFonts w:ascii="Times New Roman"/>
                <w:sz w:val="21"/>
                <w:szCs w:val="21"/>
              </w:rPr>
            </w:pPr>
            <w:r>
              <w:rPr>
                <w:rFonts w:ascii="Times New Roman"/>
                <w:sz w:val="21"/>
                <w:szCs w:val="21"/>
              </w:rPr>
              <w:t>自来水</w:t>
            </w:r>
          </w:p>
        </w:tc>
        <w:tc>
          <w:tcPr>
            <w:tcW w:w="1020" w:type="dxa"/>
            <w:vMerge w:val="restart"/>
            <w:vAlign w:val="center"/>
          </w:tcPr>
          <w:p w14:paraId="7C7B863E">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03140BB6">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continue"/>
            <w:vAlign w:val="center"/>
          </w:tcPr>
          <w:p w14:paraId="0DDA757C">
            <w:pPr>
              <w:autoSpaceDE w:val="0"/>
              <w:autoSpaceDN w:val="0"/>
              <w:adjustRightInd w:val="0"/>
              <w:snapToGrid w:val="0"/>
              <w:jc w:val="center"/>
              <w:rPr>
                <w:rFonts w:ascii="Times New Roman"/>
                <w:sz w:val="21"/>
                <w:szCs w:val="21"/>
              </w:rPr>
            </w:pPr>
          </w:p>
        </w:tc>
        <w:tc>
          <w:tcPr>
            <w:tcW w:w="1620" w:type="dxa"/>
            <w:shd w:val="clear" w:color="auto" w:fill="auto"/>
            <w:vAlign w:val="center"/>
          </w:tcPr>
          <w:p w14:paraId="75EC403F">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13326A96">
            <w:pPr>
              <w:autoSpaceDE w:val="0"/>
              <w:autoSpaceDN w:val="0"/>
              <w:adjustRightInd w:val="0"/>
              <w:snapToGrid w:val="0"/>
              <w:jc w:val="center"/>
              <w:rPr>
                <w:rFonts w:ascii="Times New Roman"/>
                <w:sz w:val="21"/>
                <w:szCs w:val="21"/>
              </w:rPr>
            </w:pPr>
            <w:r>
              <w:rPr>
                <w:rFonts w:hint="eastAsia" w:ascii="Times New Roman"/>
                <w:sz w:val="21"/>
                <w:szCs w:val="21"/>
              </w:rPr>
              <w:t>133</w:t>
            </w:r>
          </w:p>
        </w:tc>
        <w:tc>
          <w:tcPr>
            <w:tcW w:w="885" w:type="dxa"/>
            <w:shd w:val="clear" w:color="auto" w:fill="auto"/>
            <w:vAlign w:val="center"/>
          </w:tcPr>
          <w:p w14:paraId="033540FF">
            <w:pPr>
              <w:autoSpaceDE w:val="0"/>
              <w:autoSpaceDN w:val="0"/>
              <w:adjustRightInd w:val="0"/>
              <w:snapToGrid w:val="0"/>
              <w:jc w:val="center"/>
              <w:rPr>
                <w:rFonts w:ascii="Times New Roman"/>
                <w:sz w:val="21"/>
                <w:szCs w:val="21"/>
              </w:rPr>
            </w:pPr>
            <w:r>
              <w:rPr>
                <w:rFonts w:hint="eastAsia" w:ascii="Times New Roman"/>
                <w:sz w:val="21"/>
                <w:szCs w:val="21"/>
              </w:rPr>
              <w:t>133</w:t>
            </w:r>
          </w:p>
        </w:tc>
        <w:tc>
          <w:tcPr>
            <w:tcW w:w="705" w:type="dxa"/>
            <w:shd w:val="clear" w:color="auto" w:fill="auto"/>
            <w:vAlign w:val="center"/>
          </w:tcPr>
          <w:p w14:paraId="39A983E4">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6DC807F0">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6A327DC6">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continue"/>
            <w:vAlign w:val="center"/>
          </w:tcPr>
          <w:p w14:paraId="25A8D545">
            <w:pPr>
              <w:autoSpaceDE w:val="0"/>
              <w:autoSpaceDN w:val="0"/>
              <w:adjustRightInd w:val="0"/>
              <w:snapToGrid w:val="0"/>
              <w:jc w:val="center"/>
              <w:rPr>
                <w:rFonts w:ascii="Times New Roman"/>
                <w:sz w:val="21"/>
                <w:szCs w:val="21"/>
              </w:rPr>
            </w:pPr>
          </w:p>
        </w:tc>
        <w:tc>
          <w:tcPr>
            <w:tcW w:w="1012" w:type="dxa"/>
            <w:vMerge w:val="restart"/>
            <w:vAlign w:val="center"/>
          </w:tcPr>
          <w:p w14:paraId="2AF1ECF7">
            <w:pPr>
              <w:autoSpaceDE w:val="0"/>
              <w:autoSpaceDN w:val="0"/>
              <w:adjustRightInd w:val="0"/>
              <w:snapToGrid w:val="0"/>
              <w:jc w:val="center"/>
              <w:rPr>
                <w:rFonts w:ascii="Times New Roman"/>
                <w:sz w:val="21"/>
                <w:szCs w:val="21"/>
              </w:rPr>
            </w:pPr>
            <w:r>
              <w:rPr>
                <w:rFonts w:hint="eastAsia" w:ascii="Times New Roman"/>
                <w:sz w:val="21"/>
                <w:szCs w:val="21"/>
              </w:rPr>
              <w:t>进入预脱脂</w:t>
            </w:r>
          </w:p>
        </w:tc>
      </w:tr>
      <w:tr w14:paraId="3C7C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89" w:type="dxa"/>
            <w:vMerge w:val="continue"/>
            <w:vAlign w:val="center"/>
          </w:tcPr>
          <w:p w14:paraId="4D9F053E">
            <w:pPr>
              <w:autoSpaceDE w:val="0"/>
              <w:autoSpaceDN w:val="0"/>
              <w:adjustRightInd w:val="0"/>
              <w:snapToGrid w:val="0"/>
              <w:jc w:val="center"/>
              <w:rPr>
                <w:rFonts w:ascii="Times New Roman"/>
                <w:sz w:val="21"/>
                <w:szCs w:val="21"/>
              </w:rPr>
            </w:pPr>
          </w:p>
        </w:tc>
        <w:tc>
          <w:tcPr>
            <w:tcW w:w="885" w:type="dxa"/>
            <w:vMerge w:val="continue"/>
            <w:vAlign w:val="center"/>
          </w:tcPr>
          <w:p w14:paraId="4799EA68">
            <w:pPr>
              <w:autoSpaceDE w:val="0"/>
              <w:autoSpaceDN w:val="0"/>
              <w:adjustRightInd w:val="0"/>
              <w:snapToGrid w:val="0"/>
              <w:jc w:val="center"/>
              <w:rPr>
                <w:rFonts w:ascii="Times New Roman"/>
                <w:sz w:val="21"/>
                <w:szCs w:val="21"/>
              </w:rPr>
            </w:pPr>
          </w:p>
        </w:tc>
        <w:tc>
          <w:tcPr>
            <w:tcW w:w="1020" w:type="dxa"/>
            <w:vMerge w:val="continue"/>
            <w:vAlign w:val="center"/>
          </w:tcPr>
          <w:p w14:paraId="7C408B71">
            <w:pPr>
              <w:autoSpaceDE w:val="0"/>
              <w:autoSpaceDN w:val="0"/>
              <w:adjustRightInd w:val="0"/>
              <w:snapToGrid w:val="0"/>
              <w:jc w:val="center"/>
              <w:rPr>
                <w:rFonts w:ascii="Times New Roman"/>
                <w:sz w:val="21"/>
                <w:szCs w:val="21"/>
              </w:rPr>
            </w:pPr>
          </w:p>
        </w:tc>
        <w:tc>
          <w:tcPr>
            <w:tcW w:w="735" w:type="dxa"/>
            <w:vMerge w:val="continue"/>
            <w:vAlign w:val="center"/>
          </w:tcPr>
          <w:p w14:paraId="5D70612C">
            <w:pPr>
              <w:autoSpaceDE w:val="0"/>
              <w:autoSpaceDN w:val="0"/>
              <w:adjustRightInd w:val="0"/>
              <w:snapToGrid w:val="0"/>
              <w:jc w:val="center"/>
              <w:rPr>
                <w:rFonts w:ascii="Times New Roman"/>
                <w:sz w:val="21"/>
                <w:szCs w:val="21"/>
              </w:rPr>
            </w:pPr>
          </w:p>
        </w:tc>
        <w:tc>
          <w:tcPr>
            <w:tcW w:w="1245" w:type="dxa"/>
            <w:vMerge w:val="continue"/>
            <w:vAlign w:val="center"/>
          </w:tcPr>
          <w:p w14:paraId="048262B6">
            <w:pPr>
              <w:autoSpaceDE w:val="0"/>
              <w:autoSpaceDN w:val="0"/>
              <w:adjustRightInd w:val="0"/>
              <w:snapToGrid w:val="0"/>
              <w:jc w:val="center"/>
              <w:rPr>
                <w:rFonts w:ascii="Times New Roman"/>
                <w:sz w:val="21"/>
                <w:szCs w:val="21"/>
              </w:rPr>
            </w:pPr>
          </w:p>
        </w:tc>
        <w:tc>
          <w:tcPr>
            <w:tcW w:w="1620" w:type="dxa"/>
            <w:shd w:val="clear" w:color="auto" w:fill="auto"/>
            <w:vAlign w:val="center"/>
          </w:tcPr>
          <w:p w14:paraId="33D08CFF">
            <w:pPr>
              <w:autoSpaceDE w:val="0"/>
              <w:autoSpaceDN w:val="0"/>
              <w:adjustRightInd w:val="0"/>
              <w:snapToGrid w:val="0"/>
              <w:jc w:val="center"/>
              <w:rPr>
                <w:rFonts w:ascii="Times New Roman"/>
                <w:sz w:val="21"/>
                <w:szCs w:val="21"/>
              </w:rPr>
            </w:pPr>
            <w:r>
              <w:rPr>
                <w:rFonts w:ascii="Times New Roman"/>
                <w:sz w:val="21"/>
                <w:szCs w:val="21"/>
              </w:rPr>
              <w:t>损耗</w:t>
            </w:r>
            <w:r>
              <w:rPr>
                <w:rFonts w:hint="eastAsia" w:ascii="Times New Roman"/>
                <w:sz w:val="21"/>
                <w:szCs w:val="21"/>
              </w:rPr>
              <w:t>2</w:t>
            </w:r>
            <w:r>
              <w:rPr>
                <w:rFonts w:ascii="Times New Roman"/>
                <w:sz w:val="21"/>
                <w:szCs w:val="21"/>
              </w:rPr>
              <w:t>%</w:t>
            </w:r>
          </w:p>
        </w:tc>
        <w:tc>
          <w:tcPr>
            <w:tcW w:w="990" w:type="dxa"/>
            <w:shd w:val="clear" w:color="auto" w:fill="auto"/>
            <w:vAlign w:val="center"/>
          </w:tcPr>
          <w:p w14:paraId="672E436E">
            <w:pPr>
              <w:autoSpaceDE w:val="0"/>
              <w:autoSpaceDN w:val="0"/>
              <w:adjustRightInd w:val="0"/>
              <w:snapToGrid w:val="0"/>
              <w:jc w:val="center"/>
              <w:rPr>
                <w:rFonts w:ascii="Times New Roman"/>
                <w:sz w:val="21"/>
                <w:szCs w:val="21"/>
              </w:rPr>
            </w:pPr>
            <w:r>
              <w:rPr>
                <w:rFonts w:hint="eastAsia" w:ascii="Times New Roman"/>
                <w:sz w:val="21"/>
                <w:szCs w:val="21"/>
              </w:rPr>
              <w:t>3.871</w:t>
            </w:r>
          </w:p>
        </w:tc>
        <w:tc>
          <w:tcPr>
            <w:tcW w:w="885" w:type="dxa"/>
            <w:shd w:val="clear" w:color="auto" w:fill="auto"/>
            <w:vAlign w:val="center"/>
          </w:tcPr>
          <w:p w14:paraId="675A99A7">
            <w:pPr>
              <w:autoSpaceDE w:val="0"/>
              <w:autoSpaceDN w:val="0"/>
              <w:adjustRightInd w:val="0"/>
              <w:snapToGrid w:val="0"/>
              <w:jc w:val="center"/>
              <w:rPr>
                <w:rFonts w:ascii="Times New Roman"/>
                <w:sz w:val="21"/>
                <w:szCs w:val="21"/>
              </w:rPr>
            </w:pPr>
            <w:r>
              <w:rPr>
                <w:rFonts w:hint="eastAsia" w:ascii="Times New Roman"/>
                <w:sz w:val="21"/>
                <w:szCs w:val="21"/>
              </w:rPr>
              <w:t>1161.3</w:t>
            </w:r>
          </w:p>
        </w:tc>
        <w:tc>
          <w:tcPr>
            <w:tcW w:w="705" w:type="dxa"/>
            <w:shd w:val="clear" w:color="auto" w:fill="auto"/>
            <w:vAlign w:val="center"/>
          </w:tcPr>
          <w:p w14:paraId="669F327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76E10DA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3EBB997E">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continue"/>
            <w:vAlign w:val="center"/>
          </w:tcPr>
          <w:p w14:paraId="408B5D29">
            <w:pPr>
              <w:autoSpaceDE w:val="0"/>
              <w:autoSpaceDN w:val="0"/>
              <w:adjustRightInd w:val="0"/>
              <w:snapToGrid w:val="0"/>
              <w:jc w:val="center"/>
              <w:rPr>
                <w:rFonts w:ascii="Times New Roman"/>
                <w:sz w:val="21"/>
                <w:szCs w:val="21"/>
              </w:rPr>
            </w:pPr>
          </w:p>
        </w:tc>
        <w:tc>
          <w:tcPr>
            <w:tcW w:w="1012" w:type="dxa"/>
            <w:vMerge w:val="continue"/>
            <w:vAlign w:val="center"/>
          </w:tcPr>
          <w:p w14:paraId="12C05890">
            <w:pPr>
              <w:autoSpaceDE w:val="0"/>
              <w:autoSpaceDN w:val="0"/>
              <w:adjustRightInd w:val="0"/>
              <w:snapToGrid w:val="0"/>
              <w:jc w:val="center"/>
              <w:rPr>
                <w:rFonts w:ascii="Times New Roman"/>
                <w:sz w:val="21"/>
                <w:szCs w:val="21"/>
              </w:rPr>
            </w:pPr>
          </w:p>
        </w:tc>
      </w:tr>
      <w:tr w14:paraId="4079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89" w:type="dxa"/>
            <w:vMerge w:val="continue"/>
            <w:vAlign w:val="center"/>
          </w:tcPr>
          <w:p w14:paraId="324F6683">
            <w:pPr>
              <w:autoSpaceDE w:val="0"/>
              <w:autoSpaceDN w:val="0"/>
              <w:adjustRightInd w:val="0"/>
              <w:snapToGrid w:val="0"/>
              <w:jc w:val="center"/>
              <w:rPr>
                <w:rFonts w:ascii="Times New Roman"/>
                <w:sz w:val="21"/>
                <w:szCs w:val="21"/>
              </w:rPr>
            </w:pPr>
          </w:p>
        </w:tc>
        <w:tc>
          <w:tcPr>
            <w:tcW w:w="885" w:type="dxa"/>
            <w:vMerge w:val="continue"/>
            <w:vAlign w:val="center"/>
          </w:tcPr>
          <w:p w14:paraId="1CF019BB">
            <w:pPr>
              <w:autoSpaceDE w:val="0"/>
              <w:autoSpaceDN w:val="0"/>
              <w:adjustRightInd w:val="0"/>
              <w:snapToGrid w:val="0"/>
              <w:jc w:val="center"/>
              <w:rPr>
                <w:rFonts w:ascii="Times New Roman"/>
                <w:sz w:val="21"/>
                <w:szCs w:val="21"/>
              </w:rPr>
            </w:pPr>
          </w:p>
        </w:tc>
        <w:tc>
          <w:tcPr>
            <w:tcW w:w="1020" w:type="dxa"/>
            <w:vMerge w:val="continue"/>
            <w:vAlign w:val="center"/>
          </w:tcPr>
          <w:p w14:paraId="6893BD3D">
            <w:pPr>
              <w:autoSpaceDE w:val="0"/>
              <w:autoSpaceDN w:val="0"/>
              <w:adjustRightInd w:val="0"/>
              <w:snapToGrid w:val="0"/>
              <w:jc w:val="center"/>
              <w:rPr>
                <w:rFonts w:ascii="Times New Roman"/>
                <w:sz w:val="21"/>
                <w:szCs w:val="21"/>
              </w:rPr>
            </w:pPr>
          </w:p>
        </w:tc>
        <w:tc>
          <w:tcPr>
            <w:tcW w:w="735" w:type="dxa"/>
            <w:vMerge w:val="continue"/>
            <w:vAlign w:val="center"/>
          </w:tcPr>
          <w:p w14:paraId="11338DDD">
            <w:pPr>
              <w:autoSpaceDE w:val="0"/>
              <w:autoSpaceDN w:val="0"/>
              <w:adjustRightInd w:val="0"/>
              <w:snapToGrid w:val="0"/>
              <w:jc w:val="center"/>
              <w:rPr>
                <w:rFonts w:ascii="Times New Roman"/>
                <w:sz w:val="21"/>
                <w:szCs w:val="21"/>
              </w:rPr>
            </w:pPr>
          </w:p>
        </w:tc>
        <w:tc>
          <w:tcPr>
            <w:tcW w:w="1245" w:type="dxa"/>
            <w:vMerge w:val="continue"/>
            <w:vAlign w:val="center"/>
          </w:tcPr>
          <w:p w14:paraId="74A9E529">
            <w:pPr>
              <w:autoSpaceDE w:val="0"/>
              <w:autoSpaceDN w:val="0"/>
              <w:adjustRightInd w:val="0"/>
              <w:snapToGrid w:val="0"/>
              <w:jc w:val="center"/>
              <w:rPr>
                <w:rFonts w:ascii="Times New Roman"/>
                <w:sz w:val="21"/>
                <w:szCs w:val="21"/>
              </w:rPr>
            </w:pPr>
          </w:p>
        </w:tc>
        <w:tc>
          <w:tcPr>
            <w:tcW w:w="1620" w:type="dxa"/>
            <w:shd w:val="clear" w:color="auto" w:fill="auto"/>
            <w:vAlign w:val="center"/>
          </w:tcPr>
          <w:p w14:paraId="4E8B7A1F">
            <w:pPr>
              <w:autoSpaceDE w:val="0"/>
              <w:autoSpaceDN w:val="0"/>
              <w:adjustRightInd w:val="0"/>
              <w:snapToGrid w:val="0"/>
              <w:jc w:val="center"/>
              <w:rPr>
                <w:rFonts w:ascii="Times New Roman"/>
                <w:sz w:val="21"/>
                <w:szCs w:val="21"/>
              </w:rPr>
            </w:pPr>
            <w:r>
              <w:rPr>
                <w:rFonts w:ascii="Times New Roman"/>
                <w:sz w:val="21"/>
                <w:szCs w:val="21"/>
              </w:rPr>
              <w:t>槽体清洗容积5%</w:t>
            </w:r>
          </w:p>
        </w:tc>
        <w:tc>
          <w:tcPr>
            <w:tcW w:w="990" w:type="dxa"/>
            <w:shd w:val="clear" w:color="auto" w:fill="auto"/>
            <w:vAlign w:val="center"/>
          </w:tcPr>
          <w:p w14:paraId="04852F6A">
            <w:pPr>
              <w:autoSpaceDE w:val="0"/>
              <w:autoSpaceDN w:val="0"/>
              <w:adjustRightInd w:val="0"/>
              <w:snapToGrid w:val="0"/>
              <w:jc w:val="center"/>
              <w:rPr>
                <w:rFonts w:ascii="Times New Roman"/>
                <w:sz w:val="21"/>
                <w:szCs w:val="21"/>
              </w:rPr>
            </w:pPr>
            <w:r>
              <w:rPr>
                <w:rFonts w:hint="eastAsia" w:ascii="Times New Roman"/>
                <w:sz w:val="21"/>
                <w:szCs w:val="21"/>
              </w:rPr>
              <w:t>7.03</w:t>
            </w:r>
          </w:p>
        </w:tc>
        <w:tc>
          <w:tcPr>
            <w:tcW w:w="885" w:type="dxa"/>
            <w:shd w:val="clear" w:color="auto" w:fill="auto"/>
            <w:vAlign w:val="center"/>
          </w:tcPr>
          <w:p w14:paraId="279C747A">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4B45AFEF">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shd w:val="clear" w:color="auto" w:fill="auto"/>
            <w:vAlign w:val="center"/>
          </w:tcPr>
          <w:p w14:paraId="52A5C131">
            <w:pPr>
              <w:autoSpaceDE w:val="0"/>
              <w:autoSpaceDN w:val="0"/>
              <w:adjustRightInd w:val="0"/>
              <w:snapToGrid w:val="0"/>
              <w:jc w:val="center"/>
              <w:rPr>
                <w:rFonts w:ascii="Times New Roman"/>
                <w:sz w:val="21"/>
                <w:szCs w:val="21"/>
              </w:rPr>
            </w:pPr>
            <w:r>
              <w:rPr>
                <w:rFonts w:hint="eastAsia" w:ascii="Times New Roman"/>
                <w:sz w:val="21"/>
                <w:szCs w:val="21"/>
              </w:rPr>
              <w:t>6.327</w:t>
            </w:r>
          </w:p>
        </w:tc>
        <w:tc>
          <w:tcPr>
            <w:tcW w:w="855" w:type="dxa"/>
            <w:shd w:val="clear" w:color="auto" w:fill="auto"/>
            <w:vAlign w:val="center"/>
          </w:tcPr>
          <w:p w14:paraId="532E26A4">
            <w:pPr>
              <w:autoSpaceDE w:val="0"/>
              <w:autoSpaceDN w:val="0"/>
              <w:adjustRightInd w:val="0"/>
              <w:snapToGrid w:val="0"/>
              <w:jc w:val="center"/>
              <w:rPr>
                <w:rFonts w:ascii="Times New Roman"/>
                <w:sz w:val="21"/>
                <w:szCs w:val="21"/>
              </w:rPr>
            </w:pPr>
            <w:r>
              <w:rPr>
                <w:rFonts w:hint="eastAsia" w:ascii="Times New Roman"/>
                <w:sz w:val="21"/>
                <w:szCs w:val="21"/>
              </w:rPr>
              <w:t>12.744</w:t>
            </w:r>
          </w:p>
        </w:tc>
        <w:tc>
          <w:tcPr>
            <w:tcW w:w="2346" w:type="dxa"/>
            <w:vMerge w:val="continue"/>
            <w:vAlign w:val="center"/>
          </w:tcPr>
          <w:p w14:paraId="73260F65">
            <w:pPr>
              <w:autoSpaceDE w:val="0"/>
              <w:autoSpaceDN w:val="0"/>
              <w:adjustRightInd w:val="0"/>
              <w:snapToGrid w:val="0"/>
              <w:jc w:val="center"/>
              <w:rPr>
                <w:rFonts w:ascii="Times New Roman"/>
                <w:sz w:val="21"/>
                <w:szCs w:val="21"/>
              </w:rPr>
            </w:pPr>
          </w:p>
        </w:tc>
        <w:tc>
          <w:tcPr>
            <w:tcW w:w="1012" w:type="dxa"/>
            <w:vMerge w:val="continue"/>
            <w:vAlign w:val="center"/>
          </w:tcPr>
          <w:p w14:paraId="07B3D580">
            <w:pPr>
              <w:autoSpaceDE w:val="0"/>
              <w:autoSpaceDN w:val="0"/>
              <w:adjustRightInd w:val="0"/>
              <w:snapToGrid w:val="0"/>
              <w:jc w:val="center"/>
              <w:rPr>
                <w:rFonts w:ascii="Times New Roman"/>
                <w:sz w:val="21"/>
                <w:szCs w:val="21"/>
              </w:rPr>
            </w:pPr>
          </w:p>
        </w:tc>
      </w:tr>
      <w:tr w14:paraId="7EF0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9" w:type="dxa"/>
            <w:vMerge w:val="restart"/>
            <w:vAlign w:val="center"/>
          </w:tcPr>
          <w:p w14:paraId="5F473EFE">
            <w:pPr>
              <w:autoSpaceDE w:val="0"/>
              <w:autoSpaceDN w:val="0"/>
              <w:adjustRightInd w:val="0"/>
              <w:snapToGrid w:val="0"/>
              <w:jc w:val="center"/>
              <w:rPr>
                <w:rFonts w:ascii="Times New Roman"/>
                <w:sz w:val="21"/>
                <w:szCs w:val="21"/>
              </w:rPr>
            </w:pPr>
            <w:r>
              <w:rPr>
                <w:rFonts w:ascii="Times New Roman"/>
                <w:sz w:val="21"/>
                <w:szCs w:val="21"/>
              </w:rPr>
              <w:t>水洗</w:t>
            </w:r>
          </w:p>
        </w:tc>
        <w:tc>
          <w:tcPr>
            <w:tcW w:w="885" w:type="dxa"/>
            <w:vMerge w:val="restart"/>
            <w:vAlign w:val="center"/>
          </w:tcPr>
          <w:p w14:paraId="532D7E39">
            <w:pPr>
              <w:autoSpaceDE w:val="0"/>
              <w:autoSpaceDN w:val="0"/>
              <w:adjustRightInd w:val="0"/>
              <w:snapToGrid w:val="0"/>
              <w:jc w:val="center"/>
              <w:rPr>
                <w:rFonts w:ascii="Times New Roman"/>
                <w:sz w:val="21"/>
                <w:szCs w:val="21"/>
              </w:rPr>
            </w:pPr>
            <w:r>
              <w:rPr>
                <w:rFonts w:ascii="Times New Roman"/>
                <w:sz w:val="21"/>
                <w:szCs w:val="21"/>
              </w:rPr>
              <w:t>自来水</w:t>
            </w:r>
          </w:p>
        </w:tc>
        <w:tc>
          <w:tcPr>
            <w:tcW w:w="1020" w:type="dxa"/>
            <w:vMerge w:val="restart"/>
            <w:vAlign w:val="center"/>
          </w:tcPr>
          <w:p w14:paraId="4A3FB558">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4322DD48">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5FF3F90C">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vAlign w:val="center"/>
          </w:tcPr>
          <w:p w14:paraId="4580C0E1">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2</w:t>
            </w:r>
            <w:r>
              <w:rPr>
                <w:rFonts w:ascii="Times New Roman"/>
                <w:sz w:val="21"/>
                <w:szCs w:val="21"/>
              </w:rPr>
              <w:t>.8m</w:t>
            </w:r>
            <w:r>
              <w:rPr>
                <w:rFonts w:ascii="Times New Roman"/>
                <w:sz w:val="21"/>
                <w:szCs w:val="21"/>
                <w:vertAlign w:val="superscript"/>
              </w:rPr>
              <w:t>3</w:t>
            </w:r>
            <w:r>
              <w:rPr>
                <w:rFonts w:ascii="Times New Roman"/>
                <w:sz w:val="21"/>
                <w:szCs w:val="21"/>
              </w:rPr>
              <w:t>/h</w:t>
            </w:r>
          </w:p>
        </w:tc>
        <w:tc>
          <w:tcPr>
            <w:tcW w:w="990" w:type="dxa"/>
            <w:shd w:val="clear" w:color="auto" w:fill="auto"/>
            <w:vAlign w:val="center"/>
          </w:tcPr>
          <w:p w14:paraId="3FED6E57">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0DD23259">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3B0370A5">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67153881">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22B0DDFA">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Align w:val="center"/>
          </w:tcPr>
          <w:p w14:paraId="46CE446C">
            <w:pPr>
              <w:autoSpaceDE w:val="0"/>
              <w:autoSpaceDN w:val="0"/>
              <w:adjustRightInd w:val="0"/>
              <w:snapToGrid w:val="0"/>
              <w:jc w:val="center"/>
              <w:rPr>
                <w:rFonts w:ascii="Times New Roman"/>
                <w:sz w:val="21"/>
                <w:szCs w:val="21"/>
              </w:rPr>
            </w:pPr>
            <w:r>
              <w:rPr>
                <w:rFonts w:hint="eastAsia" w:ascii="Times New Roman"/>
                <w:sz w:val="21"/>
                <w:szCs w:val="21"/>
              </w:rPr>
              <w:t>首次运行加新鲜水，后续</w:t>
            </w:r>
            <w:r>
              <w:rPr>
                <w:rFonts w:ascii="Times New Roman"/>
                <w:sz w:val="21"/>
                <w:szCs w:val="21"/>
              </w:rPr>
              <w:t>连续排放，逆流水洗</w:t>
            </w:r>
          </w:p>
        </w:tc>
        <w:tc>
          <w:tcPr>
            <w:tcW w:w="1012" w:type="dxa"/>
            <w:vAlign w:val="center"/>
          </w:tcPr>
          <w:p w14:paraId="5640682E">
            <w:pPr>
              <w:autoSpaceDE w:val="0"/>
              <w:autoSpaceDN w:val="0"/>
              <w:adjustRightInd w:val="0"/>
              <w:snapToGrid w:val="0"/>
              <w:jc w:val="center"/>
              <w:rPr>
                <w:rFonts w:ascii="Times New Roman"/>
                <w:sz w:val="21"/>
                <w:szCs w:val="21"/>
              </w:rPr>
            </w:pPr>
            <w:r>
              <w:rPr>
                <w:rFonts w:ascii="Times New Roman"/>
                <w:sz w:val="21"/>
                <w:szCs w:val="21"/>
              </w:rPr>
              <w:t>来自纯水洗1</w:t>
            </w:r>
          </w:p>
        </w:tc>
      </w:tr>
      <w:tr w14:paraId="04D6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9" w:type="dxa"/>
            <w:vMerge w:val="continue"/>
            <w:vAlign w:val="center"/>
          </w:tcPr>
          <w:p w14:paraId="339FAF65">
            <w:pPr>
              <w:autoSpaceDE w:val="0"/>
              <w:autoSpaceDN w:val="0"/>
              <w:adjustRightInd w:val="0"/>
              <w:snapToGrid w:val="0"/>
              <w:jc w:val="center"/>
              <w:rPr>
                <w:rFonts w:ascii="Times New Roman"/>
                <w:sz w:val="21"/>
                <w:szCs w:val="21"/>
              </w:rPr>
            </w:pPr>
          </w:p>
        </w:tc>
        <w:tc>
          <w:tcPr>
            <w:tcW w:w="885" w:type="dxa"/>
            <w:vMerge w:val="continue"/>
            <w:vAlign w:val="center"/>
          </w:tcPr>
          <w:p w14:paraId="2AF2E8C7">
            <w:pPr>
              <w:autoSpaceDE w:val="0"/>
              <w:autoSpaceDN w:val="0"/>
              <w:adjustRightInd w:val="0"/>
              <w:snapToGrid w:val="0"/>
              <w:jc w:val="center"/>
              <w:rPr>
                <w:rFonts w:ascii="Times New Roman"/>
                <w:sz w:val="21"/>
                <w:szCs w:val="21"/>
              </w:rPr>
            </w:pPr>
          </w:p>
        </w:tc>
        <w:tc>
          <w:tcPr>
            <w:tcW w:w="1020" w:type="dxa"/>
            <w:vMerge w:val="continue"/>
            <w:vAlign w:val="center"/>
          </w:tcPr>
          <w:p w14:paraId="75159F70">
            <w:pPr>
              <w:autoSpaceDE w:val="0"/>
              <w:autoSpaceDN w:val="0"/>
              <w:adjustRightInd w:val="0"/>
              <w:snapToGrid w:val="0"/>
              <w:jc w:val="center"/>
              <w:rPr>
                <w:rFonts w:ascii="Times New Roman"/>
                <w:sz w:val="21"/>
                <w:szCs w:val="21"/>
              </w:rPr>
            </w:pPr>
          </w:p>
        </w:tc>
        <w:tc>
          <w:tcPr>
            <w:tcW w:w="735" w:type="dxa"/>
            <w:vMerge w:val="continue"/>
            <w:vAlign w:val="center"/>
          </w:tcPr>
          <w:p w14:paraId="154A67F1">
            <w:pPr>
              <w:autoSpaceDE w:val="0"/>
              <w:autoSpaceDN w:val="0"/>
              <w:adjustRightInd w:val="0"/>
              <w:snapToGrid w:val="0"/>
              <w:jc w:val="center"/>
              <w:rPr>
                <w:rFonts w:ascii="Times New Roman"/>
                <w:sz w:val="21"/>
                <w:szCs w:val="21"/>
              </w:rPr>
            </w:pPr>
          </w:p>
        </w:tc>
        <w:tc>
          <w:tcPr>
            <w:tcW w:w="1245" w:type="dxa"/>
            <w:vMerge w:val="continue"/>
            <w:vAlign w:val="center"/>
          </w:tcPr>
          <w:p w14:paraId="41179DD3">
            <w:pPr>
              <w:autoSpaceDE w:val="0"/>
              <w:autoSpaceDN w:val="0"/>
              <w:adjustRightInd w:val="0"/>
              <w:snapToGrid w:val="0"/>
              <w:jc w:val="center"/>
              <w:rPr>
                <w:rFonts w:ascii="Times New Roman"/>
                <w:sz w:val="21"/>
                <w:szCs w:val="21"/>
              </w:rPr>
            </w:pPr>
          </w:p>
        </w:tc>
        <w:tc>
          <w:tcPr>
            <w:tcW w:w="1620" w:type="dxa"/>
            <w:vAlign w:val="center"/>
          </w:tcPr>
          <w:p w14:paraId="5C4C082C">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6</w:t>
            </w:r>
            <w:r>
              <w:rPr>
                <w:rFonts w:ascii="Times New Roman"/>
                <w:sz w:val="21"/>
                <w:szCs w:val="21"/>
              </w:rPr>
              <w:t>m</w:t>
            </w:r>
            <w:r>
              <w:rPr>
                <w:rFonts w:ascii="Times New Roman"/>
                <w:sz w:val="21"/>
                <w:szCs w:val="21"/>
                <w:vertAlign w:val="superscript"/>
              </w:rPr>
              <w:t>3</w:t>
            </w:r>
            <w:r>
              <w:rPr>
                <w:rFonts w:ascii="Times New Roman"/>
                <w:sz w:val="21"/>
                <w:szCs w:val="21"/>
              </w:rPr>
              <w:t>/h</w:t>
            </w:r>
          </w:p>
        </w:tc>
        <w:tc>
          <w:tcPr>
            <w:tcW w:w="990" w:type="dxa"/>
            <w:shd w:val="clear" w:color="auto" w:fill="auto"/>
            <w:vAlign w:val="center"/>
          </w:tcPr>
          <w:p w14:paraId="1A20686B">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4E7F643A">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0D8ADC8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403ED558">
            <w:pPr>
              <w:autoSpaceDE w:val="0"/>
              <w:autoSpaceDN w:val="0"/>
              <w:adjustRightInd w:val="0"/>
              <w:snapToGrid w:val="0"/>
              <w:jc w:val="center"/>
              <w:rPr>
                <w:rFonts w:ascii="Times New Roman"/>
                <w:sz w:val="21"/>
                <w:szCs w:val="21"/>
              </w:rPr>
            </w:pPr>
            <w:r>
              <w:rPr>
                <w:rFonts w:hint="eastAsia" w:ascii="Times New Roman"/>
                <w:sz w:val="21"/>
                <w:szCs w:val="21"/>
              </w:rPr>
              <w:t>70.3</w:t>
            </w:r>
          </w:p>
        </w:tc>
        <w:tc>
          <w:tcPr>
            <w:tcW w:w="855" w:type="dxa"/>
            <w:shd w:val="clear" w:color="auto" w:fill="auto"/>
            <w:vAlign w:val="center"/>
          </w:tcPr>
          <w:p w14:paraId="6178FE4F">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2346" w:type="dxa"/>
            <w:vAlign w:val="center"/>
          </w:tcPr>
          <w:p w14:paraId="5480B00E">
            <w:pPr>
              <w:autoSpaceDE w:val="0"/>
              <w:autoSpaceDN w:val="0"/>
              <w:adjustRightInd w:val="0"/>
              <w:snapToGrid w:val="0"/>
              <w:jc w:val="center"/>
              <w:rPr>
                <w:rFonts w:ascii="Times New Roman"/>
                <w:sz w:val="21"/>
                <w:szCs w:val="21"/>
              </w:rPr>
            </w:pPr>
            <w:r>
              <w:rPr>
                <w:rFonts w:hint="eastAsia" w:ascii="Times New Roman"/>
                <w:sz w:val="21"/>
                <w:szCs w:val="21"/>
              </w:rPr>
              <w:t>半年更换1次，槽内废水2天排尽后用于槽体清洗</w:t>
            </w:r>
            <w:r>
              <w:rPr>
                <w:rFonts w:ascii="Times New Roman"/>
                <w:sz w:val="21"/>
                <w:szCs w:val="21"/>
              </w:rPr>
              <w:t>转移槽</w:t>
            </w:r>
          </w:p>
        </w:tc>
        <w:tc>
          <w:tcPr>
            <w:tcW w:w="1012" w:type="dxa"/>
            <w:vAlign w:val="center"/>
          </w:tcPr>
          <w:p w14:paraId="395FFCE6">
            <w:pPr>
              <w:autoSpaceDE w:val="0"/>
              <w:autoSpaceDN w:val="0"/>
              <w:adjustRightInd w:val="0"/>
              <w:snapToGrid w:val="0"/>
              <w:jc w:val="center"/>
              <w:rPr>
                <w:rFonts w:ascii="Times New Roman"/>
                <w:sz w:val="21"/>
                <w:szCs w:val="21"/>
              </w:rPr>
            </w:pPr>
            <w:r>
              <w:rPr>
                <w:rFonts w:hint="eastAsia" w:ascii="Times New Roman"/>
                <w:sz w:val="21"/>
                <w:szCs w:val="21"/>
              </w:rPr>
              <w:t>/</w:t>
            </w:r>
          </w:p>
        </w:tc>
      </w:tr>
      <w:tr w14:paraId="25FE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89" w:type="dxa"/>
            <w:vMerge w:val="restart"/>
            <w:vAlign w:val="center"/>
          </w:tcPr>
          <w:p w14:paraId="41B6479F">
            <w:pPr>
              <w:autoSpaceDE w:val="0"/>
              <w:autoSpaceDN w:val="0"/>
              <w:adjustRightInd w:val="0"/>
              <w:snapToGrid w:val="0"/>
              <w:jc w:val="center"/>
              <w:rPr>
                <w:rFonts w:ascii="Times New Roman"/>
                <w:sz w:val="21"/>
                <w:szCs w:val="21"/>
              </w:rPr>
            </w:pPr>
            <w:r>
              <w:rPr>
                <w:rFonts w:ascii="Times New Roman"/>
                <w:sz w:val="21"/>
                <w:szCs w:val="21"/>
              </w:rPr>
              <w:t>纯水洗1</w:t>
            </w:r>
          </w:p>
        </w:tc>
        <w:tc>
          <w:tcPr>
            <w:tcW w:w="885" w:type="dxa"/>
            <w:vMerge w:val="restart"/>
            <w:vAlign w:val="center"/>
          </w:tcPr>
          <w:p w14:paraId="090ED30B">
            <w:pPr>
              <w:autoSpaceDE w:val="0"/>
              <w:autoSpaceDN w:val="0"/>
              <w:adjustRightInd w:val="0"/>
              <w:snapToGrid w:val="0"/>
              <w:jc w:val="center"/>
              <w:rPr>
                <w:rFonts w:ascii="Times New Roman"/>
                <w:sz w:val="21"/>
                <w:szCs w:val="21"/>
              </w:rPr>
            </w:pPr>
            <w:r>
              <w:rPr>
                <w:rFonts w:ascii="Times New Roman"/>
                <w:sz w:val="21"/>
                <w:szCs w:val="21"/>
              </w:rPr>
              <w:t>纯水</w:t>
            </w:r>
          </w:p>
        </w:tc>
        <w:tc>
          <w:tcPr>
            <w:tcW w:w="1020" w:type="dxa"/>
            <w:vMerge w:val="restart"/>
            <w:vAlign w:val="center"/>
          </w:tcPr>
          <w:p w14:paraId="21748EFC">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552CC964">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00F14885">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vAlign w:val="center"/>
          </w:tcPr>
          <w:p w14:paraId="1DB9F40B">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7A1AA7BF">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10B1F4B2">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55F6CB8E">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6A2C741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5FECBF86">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4211FF9E">
            <w:pPr>
              <w:autoSpaceDE w:val="0"/>
              <w:autoSpaceDN w:val="0"/>
              <w:adjustRightInd w:val="0"/>
              <w:snapToGrid w:val="0"/>
              <w:jc w:val="center"/>
              <w:rPr>
                <w:rFonts w:ascii="Times New Roman"/>
                <w:sz w:val="21"/>
                <w:szCs w:val="21"/>
              </w:rPr>
            </w:pPr>
            <w:r>
              <w:rPr>
                <w:rFonts w:hint="eastAsia" w:ascii="Times New Roman"/>
                <w:sz w:val="21"/>
                <w:szCs w:val="21"/>
              </w:rPr>
              <w:t>首次运行注入纯水，后续</w:t>
            </w:r>
            <w:r>
              <w:rPr>
                <w:rFonts w:ascii="Times New Roman"/>
                <w:sz w:val="21"/>
                <w:szCs w:val="21"/>
              </w:rPr>
              <w:t>连续排放</w:t>
            </w:r>
          </w:p>
        </w:tc>
        <w:tc>
          <w:tcPr>
            <w:tcW w:w="1012" w:type="dxa"/>
            <w:vMerge w:val="restart"/>
            <w:vAlign w:val="center"/>
          </w:tcPr>
          <w:p w14:paraId="2EADE05E">
            <w:pPr>
              <w:autoSpaceDE w:val="0"/>
              <w:autoSpaceDN w:val="0"/>
              <w:adjustRightInd w:val="0"/>
              <w:snapToGrid w:val="0"/>
              <w:jc w:val="center"/>
              <w:rPr>
                <w:rFonts w:ascii="Times New Roman"/>
                <w:sz w:val="21"/>
                <w:szCs w:val="21"/>
              </w:rPr>
            </w:pPr>
            <w:r>
              <w:rPr>
                <w:rFonts w:ascii="Times New Roman"/>
                <w:sz w:val="21"/>
                <w:szCs w:val="21"/>
              </w:rPr>
              <w:t>进入水洗</w:t>
            </w:r>
          </w:p>
        </w:tc>
      </w:tr>
      <w:tr w14:paraId="4AE7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89" w:type="dxa"/>
            <w:vMerge w:val="continue"/>
            <w:vAlign w:val="center"/>
          </w:tcPr>
          <w:p w14:paraId="653605BD">
            <w:pPr>
              <w:autoSpaceDE w:val="0"/>
              <w:autoSpaceDN w:val="0"/>
              <w:adjustRightInd w:val="0"/>
              <w:snapToGrid w:val="0"/>
              <w:jc w:val="center"/>
              <w:rPr>
                <w:rFonts w:ascii="Times New Roman"/>
                <w:sz w:val="21"/>
                <w:szCs w:val="21"/>
              </w:rPr>
            </w:pPr>
          </w:p>
        </w:tc>
        <w:tc>
          <w:tcPr>
            <w:tcW w:w="885" w:type="dxa"/>
            <w:vMerge w:val="continue"/>
            <w:vAlign w:val="center"/>
          </w:tcPr>
          <w:p w14:paraId="53441453">
            <w:pPr>
              <w:autoSpaceDE w:val="0"/>
              <w:autoSpaceDN w:val="0"/>
              <w:adjustRightInd w:val="0"/>
              <w:snapToGrid w:val="0"/>
              <w:jc w:val="center"/>
              <w:rPr>
                <w:rFonts w:ascii="Times New Roman"/>
                <w:sz w:val="21"/>
                <w:szCs w:val="21"/>
              </w:rPr>
            </w:pPr>
          </w:p>
        </w:tc>
        <w:tc>
          <w:tcPr>
            <w:tcW w:w="1020" w:type="dxa"/>
            <w:vMerge w:val="continue"/>
            <w:vAlign w:val="center"/>
          </w:tcPr>
          <w:p w14:paraId="3294F2CD">
            <w:pPr>
              <w:autoSpaceDE w:val="0"/>
              <w:autoSpaceDN w:val="0"/>
              <w:adjustRightInd w:val="0"/>
              <w:snapToGrid w:val="0"/>
              <w:jc w:val="center"/>
              <w:rPr>
                <w:rFonts w:ascii="Times New Roman"/>
                <w:sz w:val="21"/>
                <w:szCs w:val="21"/>
              </w:rPr>
            </w:pPr>
          </w:p>
        </w:tc>
        <w:tc>
          <w:tcPr>
            <w:tcW w:w="735" w:type="dxa"/>
            <w:vMerge w:val="continue"/>
            <w:vAlign w:val="center"/>
          </w:tcPr>
          <w:p w14:paraId="6446D8C9">
            <w:pPr>
              <w:autoSpaceDE w:val="0"/>
              <w:autoSpaceDN w:val="0"/>
              <w:adjustRightInd w:val="0"/>
              <w:snapToGrid w:val="0"/>
              <w:jc w:val="center"/>
              <w:rPr>
                <w:rFonts w:ascii="Times New Roman"/>
                <w:sz w:val="21"/>
                <w:szCs w:val="21"/>
              </w:rPr>
            </w:pPr>
          </w:p>
        </w:tc>
        <w:tc>
          <w:tcPr>
            <w:tcW w:w="1245" w:type="dxa"/>
            <w:vMerge w:val="continue"/>
            <w:vAlign w:val="center"/>
          </w:tcPr>
          <w:p w14:paraId="4585E18F">
            <w:pPr>
              <w:autoSpaceDE w:val="0"/>
              <w:autoSpaceDN w:val="0"/>
              <w:adjustRightInd w:val="0"/>
              <w:snapToGrid w:val="0"/>
              <w:jc w:val="center"/>
              <w:rPr>
                <w:rFonts w:ascii="Times New Roman"/>
                <w:sz w:val="21"/>
                <w:szCs w:val="21"/>
              </w:rPr>
            </w:pPr>
          </w:p>
        </w:tc>
        <w:tc>
          <w:tcPr>
            <w:tcW w:w="1620" w:type="dxa"/>
            <w:vAlign w:val="center"/>
          </w:tcPr>
          <w:p w14:paraId="03E146EB">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2</w:t>
            </w:r>
            <w:r>
              <w:rPr>
                <w:rFonts w:ascii="Times New Roman"/>
                <w:sz w:val="21"/>
                <w:szCs w:val="21"/>
              </w:rPr>
              <w:t>.8m</w:t>
            </w:r>
            <w:r>
              <w:rPr>
                <w:rFonts w:ascii="Times New Roman"/>
                <w:sz w:val="21"/>
                <w:szCs w:val="21"/>
                <w:vertAlign w:val="superscript"/>
              </w:rPr>
              <w:t>3</w:t>
            </w:r>
            <w:r>
              <w:rPr>
                <w:rFonts w:ascii="Times New Roman"/>
                <w:sz w:val="21"/>
                <w:szCs w:val="21"/>
              </w:rPr>
              <w:t>/h</w:t>
            </w:r>
          </w:p>
        </w:tc>
        <w:tc>
          <w:tcPr>
            <w:tcW w:w="990" w:type="dxa"/>
            <w:vAlign w:val="center"/>
          </w:tcPr>
          <w:p w14:paraId="522D473D">
            <w:pPr>
              <w:autoSpaceDE w:val="0"/>
              <w:autoSpaceDN w:val="0"/>
              <w:adjustRightInd w:val="0"/>
              <w:snapToGrid w:val="0"/>
              <w:jc w:val="center"/>
              <w:rPr>
                <w:rFonts w:ascii="Times New Roman"/>
                <w:sz w:val="21"/>
                <w:szCs w:val="21"/>
              </w:rPr>
            </w:pPr>
            <w:r>
              <w:rPr>
                <w:rFonts w:hint="eastAsia" w:ascii="Times New Roman"/>
                <w:sz w:val="21"/>
                <w:szCs w:val="21"/>
              </w:rPr>
              <w:t>37.3</w:t>
            </w:r>
          </w:p>
        </w:tc>
        <w:tc>
          <w:tcPr>
            <w:tcW w:w="885" w:type="dxa"/>
            <w:vAlign w:val="center"/>
          </w:tcPr>
          <w:p w14:paraId="115CC728">
            <w:pPr>
              <w:autoSpaceDE w:val="0"/>
              <w:autoSpaceDN w:val="0"/>
              <w:adjustRightInd w:val="0"/>
              <w:snapToGrid w:val="0"/>
              <w:jc w:val="center"/>
              <w:rPr>
                <w:rFonts w:ascii="Times New Roman"/>
                <w:sz w:val="21"/>
                <w:szCs w:val="21"/>
              </w:rPr>
            </w:pPr>
            <w:r>
              <w:rPr>
                <w:rFonts w:hint="eastAsia" w:ascii="Times New Roman"/>
                <w:sz w:val="21"/>
                <w:szCs w:val="21"/>
              </w:rPr>
              <w:t>11190</w:t>
            </w:r>
          </w:p>
        </w:tc>
        <w:tc>
          <w:tcPr>
            <w:tcW w:w="705" w:type="dxa"/>
            <w:shd w:val="clear" w:color="auto" w:fill="auto"/>
            <w:vAlign w:val="center"/>
          </w:tcPr>
          <w:p w14:paraId="28DC95CA">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shd w:val="clear" w:color="auto" w:fill="auto"/>
            <w:vAlign w:val="center"/>
          </w:tcPr>
          <w:p w14:paraId="1BD86719">
            <w:pPr>
              <w:autoSpaceDE w:val="0"/>
              <w:autoSpaceDN w:val="0"/>
              <w:adjustRightInd w:val="0"/>
              <w:snapToGrid w:val="0"/>
              <w:jc w:val="center"/>
              <w:rPr>
                <w:rFonts w:ascii="Times New Roman"/>
                <w:sz w:val="21"/>
                <w:szCs w:val="21"/>
              </w:rPr>
            </w:pPr>
            <w:r>
              <w:rPr>
                <w:rFonts w:ascii="Times New Roman"/>
                <w:sz w:val="21"/>
                <w:szCs w:val="21"/>
              </w:rPr>
              <w:t>0</w:t>
            </w:r>
          </w:p>
        </w:tc>
        <w:tc>
          <w:tcPr>
            <w:tcW w:w="855" w:type="dxa"/>
            <w:shd w:val="clear" w:color="auto" w:fill="auto"/>
            <w:vAlign w:val="center"/>
          </w:tcPr>
          <w:p w14:paraId="31EA40EC">
            <w:pPr>
              <w:autoSpaceDE w:val="0"/>
              <w:autoSpaceDN w:val="0"/>
              <w:adjustRightInd w:val="0"/>
              <w:snapToGrid w:val="0"/>
              <w:jc w:val="center"/>
              <w:rPr>
                <w:rFonts w:ascii="Times New Roman"/>
                <w:sz w:val="21"/>
                <w:szCs w:val="21"/>
              </w:rPr>
            </w:pPr>
            <w:r>
              <w:rPr>
                <w:rFonts w:ascii="Times New Roman"/>
                <w:sz w:val="21"/>
                <w:szCs w:val="21"/>
              </w:rPr>
              <w:t>0</w:t>
            </w:r>
          </w:p>
        </w:tc>
        <w:tc>
          <w:tcPr>
            <w:tcW w:w="2346" w:type="dxa"/>
            <w:vMerge w:val="continue"/>
            <w:vAlign w:val="center"/>
          </w:tcPr>
          <w:p w14:paraId="009CF28E">
            <w:pPr>
              <w:autoSpaceDE w:val="0"/>
              <w:autoSpaceDN w:val="0"/>
              <w:adjustRightInd w:val="0"/>
              <w:snapToGrid w:val="0"/>
              <w:jc w:val="center"/>
              <w:rPr>
                <w:rFonts w:ascii="Times New Roman"/>
                <w:sz w:val="21"/>
                <w:szCs w:val="21"/>
              </w:rPr>
            </w:pPr>
          </w:p>
        </w:tc>
        <w:tc>
          <w:tcPr>
            <w:tcW w:w="1012" w:type="dxa"/>
            <w:vMerge w:val="continue"/>
            <w:vAlign w:val="center"/>
          </w:tcPr>
          <w:p w14:paraId="3A99D1B3">
            <w:pPr>
              <w:autoSpaceDE w:val="0"/>
              <w:autoSpaceDN w:val="0"/>
              <w:adjustRightInd w:val="0"/>
              <w:snapToGrid w:val="0"/>
              <w:jc w:val="center"/>
              <w:rPr>
                <w:rFonts w:ascii="Times New Roman"/>
                <w:sz w:val="21"/>
                <w:szCs w:val="21"/>
              </w:rPr>
            </w:pPr>
          </w:p>
        </w:tc>
      </w:tr>
      <w:tr w14:paraId="09D0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89" w:type="dxa"/>
            <w:vMerge w:val="restart"/>
            <w:vAlign w:val="center"/>
          </w:tcPr>
          <w:p w14:paraId="60FAEBEA">
            <w:pPr>
              <w:autoSpaceDE w:val="0"/>
              <w:autoSpaceDN w:val="0"/>
              <w:adjustRightInd w:val="0"/>
              <w:snapToGrid w:val="0"/>
              <w:jc w:val="center"/>
              <w:rPr>
                <w:rFonts w:ascii="Times New Roman"/>
                <w:sz w:val="21"/>
                <w:szCs w:val="21"/>
              </w:rPr>
            </w:pPr>
            <w:r>
              <w:rPr>
                <w:rFonts w:ascii="Times New Roman"/>
                <w:sz w:val="21"/>
                <w:szCs w:val="21"/>
              </w:rPr>
              <w:t>硅烷洗</w:t>
            </w:r>
          </w:p>
        </w:tc>
        <w:tc>
          <w:tcPr>
            <w:tcW w:w="885" w:type="dxa"/>
            <w:vMerge w:val="restart"/>
            <w:vAlign w:val="center"/>
          </w:tcPr>
          <w:p w14:paraId="1BC1D53E">
            <w:pPr>
              <w:autoSpaceDE w:val="0"/>
              <w:autoSpaceDN w:val="0"/>
              <w:adjustRightInd w:val="0"/>
              <w:snapToGrid w:val="0"/>
              <w:jc w:val="center"/>
              <w:rPr>
                <w:rFonts w:ascii="Times New Roman"/>
                <w:sz w:val="21"/>
                <w:szCs w:val="21"/>
              </w:rPr>
            </w:pPr>
            <w:r>
              <w:rPr>
                <w:rFonts w:ascii="Times New Roman"/>
                <w:sz w:val="21"/>
                <w:szCs w:val="21"/>
              </w:rPr>
              <w:t>自来水</w:t>
            </w:r>
          </w:p>
        </w:tc>
        <w:tc>
          <w:tcPr>
            <w:tcW w:w="1020" w:type="dxa"/>
            <w:vMerge w:val="restart"/>
            <w:vAlign w:val="center"/>
          </w:tcPr>
          <w:p w14:paraId="1965C90F">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6FB346E1">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106025A5">
            <w:pPr>
              <w:autoSpaceDE w:val="0"/>
              <w:autoSpaceDN w:val="0"/>
              <w:adjustRightInd w:val="0"/>
              <w:snapToGrid w:val="0"/>
              <w:jc w:val="center"/>
              <w:rPr>
                <w:rFonts w:ascii="Times New Roman"/>
                <w:sz w:val="21"/>
                <w:szCs w:val="21"/>
              </w:rPr>
            </w:pPr>
            <w:r>
              <w:rPr>
                <w:rFonts w:ascii="Times New Roman"/>
                <w:sz w:val="21"/>
                <w:szCs w:val="21"/>
              </w:rPr>
              <w:t>硅烷剂</w:t>
            </w:r>
            <w:r>
              <w:rPr>
                <w:rFonts w:hint="eastAsia" w:ascii="Times New Roman"/>
                <w:sz w:val="21"/>
                <w:szCs w:val="21"/>
              </w:rPr>
              <w:t>5</w:t>
            </w:r>
            <w:r>
              <w:rPr>
                <w:rFonts w:ascii="Times New Roman"/>
                <w:sz w:val="21"/>
                <w:szCs w:val="21"/>
              </w:rPr>
              <w:t>%</w:t>
            </w:r>
          </w:p>
          <w:p w14:paraId="1E1BEB9C">
            <w:pPr>
              <w:autoSpaceDE w:val="0"/>
              <w:autoSpaceDN w:val="0"/>
              <w:adjustRightInd w:val="0"/>
              <w:snapToGrid w:val="0"/>
              <w:jc w:val="center"/>
              <w:rPr>
                <w:rFonts w:ascii="Times New Roman"/>
                <w:sz w:val="21"/>
                <w:szCs w:val="21"/>
              </w:rPr>
            </w:pPr>
            <w:r>
              <w:rPr>
                <w:rFonts w:ascii="Times New Roman"/>
                <w:sz w:val="21"/>
                <w:szCs w:val="21"/>
              </w:rPr>
              <w:t>自来水</w:t>
            </w:r>
            <w:r>
              <w:rPr>
                <w:rFonts w:hint="eastAsia" w:ascii="Times New Roman"/>
                <w:sz w:val="21"/>
                <w:szCs w:val="21"/>
              </w:rPr>
              <w:t>95</w:t>
            </w:r>
            <w:r>
              <w:rPr>
                <w:rFonts w:ascii="Times New Roman"/>
                <w:sz w:val="21"/>
                <w:szCs w:val="21"/>
              </w:rPr>
              <w:t>%</w:t>
            </w:r>
          </w:p>
        </w:tc>
        <w:tc>
          <w:tcPr>
            <w:tcW w:w="1620" w:type="dxa"/>
            <w:shd w:val="clear" w:color="auto" w:fill="auto"/>
            <w:vAlign w:val="center"/>
          </w:tcPr>
          <w:p w14:paraId="3838DAC6">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4FA428EA">
            <w:pPr>
              <w:autoSpaceDE w:val="0"/>
              <w:autoSpaceDN w:val="0"/>
              <w:adjustRightInd w:val="0"/>
              <w:snapToGrid w:val="0"/>
              <w:jc w:val="center"/>
              <w:rPr>
                <w:rFonts w:ascii="Times New Roman"/>
                <w:sz w:val="21"/>
                <w:szCs w:val="21"/>
              </w:rPr>
            </w:pPr>
            <w:r>
              <w:rPr>
                <w:rFonts w:hint="eastAsia" w:ascii="Times New Roman"/>
                <w:sz w:val="21"/>
                <w:szCs w:val="21"/>
              </w:rPr>
              <w:t>133</w:t>
            </w:r>
          </w:p>
        </w:tc>
        <w:tc>
          <w:tcPr>
            <w:tcW w:w="885" w:type="dxa"/>
            <w:shd w:val="clear" w:color="auto" w:fill="auto"/>
            <w:vAlign w:val="center"/>
          </w:tcPr>
          <w:p w14:paraId="1D24EA1E">
            <w:pPr>
              <w:autoSpaceDE w:val="0"/>
              <w:autoSpaceDN w:val="0"/>
              <w:adjustRightInd w:val="0"/>
              <w:snapToGrid w:val="0"/>
              <w:jc w:val="center"/>
              <w:rPr>
                <w:rFonts w:ascii="Times New Roman"/>
                <w:sz w:val="21"/>
                <w:szCs w:val="21"/>
              </w:rPr>
            </w:pPr>
            <w:r>
              <w:rPr>
                <w:rFonts w:hint="eastAsia" w:ascii="Times New Roman"/>
                <w:sz w:val="21"/>
                <w:szCs w:val="21"/>
              </w:rPr>
              <w:t>133</w:t>
            </w:r>
          </w:p>
        </w:tc>
        <w:tc>
          <w:tcPr>
            <w:tcW w:w="705" w:type="dxa"/>
            <w:shd w:val="clear" w:color="auto" w:fill="auto"/>
            <w:vAlign w:val="center"/>
          </w:tcPr>
          <w:p w14:paraId="7AC02151">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40F1333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7DB4034E">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28448AB9">
            <w:pPr>
              <w:autoSpaceDE w:val="0"/>
              <w:autoSpaceDN w:val="0"/>
              <w:adjustRightInd w:val="0"/>
              <w:snapToGrid w:val="0"/>
              <w:jc w:val="center"/>
              <w:rPr>
                <w:rFonts w:ascii="Times New Roman"/>
                <w:sz w:val="21"/>
                <w:szCs w:val="21"/>
              </w:rPr>
            </w:pPr>
            <w:r>
              <w:rPr>
                <w:rFonts w:hint="eastAsia" w:ascii="Times New Roman"/>
                <w:sz w:val="21"/>
                <w:szCs w:val="21"/>
              </w:rPr>
              <w:t>首次运行注入槽液，后续</w:t>
            </w:r>
            <w:r>
              <w:rPr>
                <w:rFonts w:ascii="Times New Roman"/>
                <w:sz w:val="21"/>
                <w:szCs w:val="21"/>
              </w:rPr>
              <w:t>间断，每半年清洗槽体1次，槽液不排放，倒入转移槽内，槽清洗后，槽液倒回槽内使用</w:t>
            </w:r>
          </w:p>
        </w:tc>
        <w:tc>
          <w:tcPr>
            <w:tcW w:w="1012" w:type="dxa"/>
            <w:vMerge w:val="restart"/>
            <w:vAlign w:val="center"/>
          </w:tcPr>
          <w:p w14:paraId="40A45B5D">
            <w:pPr>
              <w:autoSpaceDE w:val="0"/>
              <w:autoSpaceDN w:val="0"/>
              <w:adjustRightInd w:val="0"/>
              <w:snapToGrid w:val="0"/>
              <w:jc w:val="center"/>
              <w:rPr>
                <w:rFonts w:ascii="Times New Roman"/>
                <w:sz w:val="21"/>
                <w:szCs w:val="21"/>
              </w:rPr>
            </w:pPr>
            <w:r>
              <w:rPr>
                <w:rFonts w:ascii="Times New Roman"/>
                <w:sz w:val="21"/>
                <w:szCs w:val="21"/>
              </w:rPr>
              <w:t>/</w:t>
            </w:r>
          </w:p>
        </w:tc>
      </w:tr>
      <w:tr w14:paraId="3045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89" w:type="dxa"/>
            <w:vMerge w:val="continue"/>
            <w:vAlign w:val="center"/>
          </w:tcPr>
          <w:p w14:paraId="69B27C91">
            <w:pPr>
              <w:autoSpaceDE w:val="0"/>
              <w:autoSpaceDN w:val="0"/>
              <w:adjustRightInd w:val="0"/>
              <w:snapToGrid w:val="0"/>
              <w:jc w:val="center"/>
              <w:rPr>
                <w:rFonts w:ascii="Times New Roman"/>
                <w:sz w:val="21"/>
                <w:szCs w:val="21"/>
              </w:rPr>
            </w:pPr>
          </w:p>
        </w:tc>
        <w:tc>
          <w:tcPr>
            <w:tcW w:w="885" w:type="dxa"/>
            <w:vMerge w:val="continue"/>
            <w:vAlign w:val="center"/>
          </w:tcPr>
          <w:p w14:paraId="45D4ADDE">
            <w:pPr>
              <w:autoSpaceDE w:val="0"/>
              <w:autoSpaceDN w:val="0"/>
              <w:adjustRightInd w:val="0"/>
              <w:snapToGrid w:val="0"/>
              <w:jc w:val="center"/>
              <w:rPr>
                <w:rFonts w:ascii="Times New Roman"/>
                <w:sz w:val="21"/>
                <w:szCs w:val="21"/>
              </w:rPr>
            </w:pPr>
          </w:p>
        </w:tc>
        <w:tc>
          <w:tcPr>
            <w:tcW w:w="1020" w:type="dxa"/>
            <w:vMerge w:val="continue"/>
            <w:vAlign w:val="center"/>
          </w:tcPr>
          <w:p w14:paraId="2FF495F9">
            <w:pPr>
              <w:autoSpaceDE w:val="0"/>
              <w:autoSpaceDN w:val="0"/>
              <w:adjustRightInd w:val="0"/>
              <w:snapToGrid w:val="0"/>
              <w:jc w:val="center"/>
              <w:rPr>
                <w:rFonts w:ascii="Times New Roman"/>
                <w:sz w:val="21"/>
                <w:szCs w:val="21"/>
              </w:rPr>
            </w:pPr>
          </w:p>
        </w:tc>
        <w:tc>
          <w:tcPr>
            <w:tcW w:w="735" w:type="dxa"/>
            <w:vMerge w:val="continue"/>
            <w:vAlign w:val="center"/>
          </w:tcPr>
          <w:p w14:paraId="4FB29860">
            <w:pPr>
              <w:autoSpaceDE w:val="0"/>
              <w:autoSpaceDN w:val="0"/>
              <w:adjustRightInd w:val="0"/>
              <w:snapToGrid w:val="0"/>
              <w:jc w:val="center"/>
              <w:rPr>
                <w:rFonts w:ascii="Times New Roman"/>
                <w:sz w:val="21"/>
                <w:szCs w:val="21"/>
              </w:rPr>
            </w:pPr>
          </w:p>
        </w:tc>
        <w:tc>
          <w:tcPr>
            <w:tcW w:w="1245" w:type="dxa"/>
            <w:vMerge w:val="continue"/>
            <w:vAlign w:val="center"/>
          </w:tcPr>
          <w:p w14:paraId="6F71432F">
            <w:pPr>
              <w:autoSpaceDE w:val="0"/>
              <w:autoSpaceDN w:val="0"/>
              <w:adjustRightInd w:val="0"/>
              <w:snapToGrid w:val="0"/>
              <w:jc w:val="center"/>
              <w:rPr>
                <w:rFonts w:ascii="Times New Roman"/>
                <w:sz w:val="21"/>
                <w:szCs w:val="21"/>
              </w:rPr>
            </w:pPr>
          </w:p>
        </w:tc>
        <w:tc>
          <w:tcPr>
            <w:tcW w:w="1620" w:type="dxa"/>
            <w:shd w:val="clear" w:color="auto" w:fill="auto"/>
            <w:vAlign w:val="center"/>
          </w:tcPr>
          <w:p w14:paraId="7EACDAB5">
            <w:pPr>
              <w:autoSpaceDE w:val="0"/>
              <w:autoSpaceDN w:val="0"/>
              <w:adjustRightInd w:val="0"/>
              <w:snapToGrid w:val="0"/>
              <w:jc w:val="center"/>
              <w:rPr>
                <w:rFonts w:ascii="Times New Roman"/>
                <w:sz w:val="21"/>
                <w:szCs w:val="21"/>
              </w:rPr>
            </w:pPr>
            <w:r>
              <w:rPr>
                <w:rFonts w:ascii="Times New Roman"/>
                <w:sz w:val="21"/>
                <w:szCs w:val="21"/>
              </w:rPr>
              <w:t>损耗2%</w:t>
            </w:r>
          </w:p>
        </w:tc>
        <w:tc>
          <w:tcPr>
            <w:tcW w:w="990" w:type="dxa"/>
            <w:shd w:val="clear" w:color="auto" w:fill="auto"/>
            <w:vAlign w:val="center"/>
          </w:tcPr>
          <w:p w14:paraId="6E78B580">
            <w:pPr>
              <w:autoSpaceDE w:val="0"/>
              <w:autoSpaceDN w:val="0"/>
              <w:adjustRightInd w:val="0"/>
              <w:snapToGrid w:val="0"/>
              <w:jc w:val="center"/>
              <w:rPr>
                <w:rFonts w:ascii="Times New Roman"/>
                <w:sz w:val="21"/>
                <w:szCs w:val="21"/>
              </w:rPr>
            </w:pPr>
            <w:r>
              <w:rPr>
                <w:rFonts w:hint="eastAsia" w:ascii="Times New Roman"/>
                <w:sz w:val="21"/>
                <w:szCs w:val="21"/>
              </w:rPr>
              <w:t>2.671</w:t>
            </w:r>
          </w:p>
        </w:tc>
        <w:tc>
          <w:tcPr>
            <w:tcW w:w="885" w:type="dxa"/>
            <w:shd w:val="clear" w:color="auto" w:fill="auto"/>
            <w:vAlign w:val="center"/>
          </w:tcPr>
          <w:p w14:paraId="225F3E78">
            <w:pPr>
              <w:autoSpaceDE w:val="0"/>
              <w:autoSpaceDN w:val="0"/>
              <w:adjustRightInd w:val="0"/>
              <w:snapToGrid w:val="0"/>
              <w:jc w:val="center"/>
              <w:rPr>
                <w:rFonts w:ascii="Times New Roman"/>
                <w:sz w:val="21"/>
                <w:szCs w:val="21"/>
              </w:rPr>
            </w:pPr>
            <w:r>
              <w:rPr>
                <w:rFonts w:hint="eastAsia" w:ascii="Times New Roman"/>
                <w:sz w:val="21"/>
                <w:szCs w:val="21"/>
              </w:rPr>
              <w:t>801.3</w:t>
            </w:r>
          </w:p>
        </w:tc>
        <w:tc>
          <w:tcPr>
            <w:tcW w:w="705" w:type="dxa"/>
            <w:shd w:val="clear" w:color="auto" w:fill="auto"/>
            <w:vAlign w:val="center"/>
          </w:tcPr>
          <w:p w14:paraId="76E959D8">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202FC002">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674D1E0A">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continue"/>
            <w:vAlign w:val="center"/>
          </w:tcPr>
          <w:p w14:paraId="21C812D8">
            <w:pPr>
              <w:autoSpaceDE w:val="0"/>
              <w:autoSpaceDN w:val="0"/>
              <w:adjustRightInd w:val="0"/>
              <w:snapToGrid w:val="0"/>
              <w:jc w:val="center"/>
              <w:rPr>
                <w:rFonts w:ascii="Times New Roman"/>
                <w:sz w:val="21"/>
                <w:szCs w:val="21"/>
              </w:rPr>
            </w:pPr>
          </w:p>
        </w:tc>
        <w:tc>
          <w:tcPr>
            <w:tcW w:w="1012" w:type="dxa"/>
            <w:vMerge w:val="continue"/>
            <w:vAlign w:val="center"/>
          </w:tcPr>
          <w:p w14:paraId="03C4D387">
            <w:pPr>
              <w:autoSpaceDE w:val="0"/>
              <w:autoSpaceDN w:val="0"/>
              <w:adjustRightInd w:val="0"/>
              <w:snapToGrid w:val="0"/>
              <w:jc w:val="center"/>
              <w:rPr>
                <w:rFonts w:ascii="Times New Roman"/>
                <w:sz w:val="21"/>
                <w:szCs w:val="21"/>
              </w:rPr>
            </w:pPr>
          </w:p>
        </w:tc>
      </w:tr>
      <w:tr w14:paraId="7E01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89" w:type="dxa"/>
            <w:vMerge w:val="continue"/>
            <w:vAlign w:val="center"/>
          </w:tcPr>
          <w:p w14:paraId="267EE258">
            <w:pPr>
              <w:autoSpaceDE w:val="0"/>
              <w:autoSpaceDN w:val="0"/>
              <w:adjustRightInd w:val="0"/>
              <w:snapToGrid w:val="0"/>
              <w:jc w:val="center"/>
              <w:rPr>
                <w:rFonts w:ascii="Times New Roman"/>
                <w:sz w:val="21"/>
                <w:szCs w:val="21"/>
              </w:rPr>
            </w:pPr>
          </w:p>
        </w:tc>
        <w:tc>
          <w:tcPr>
            <w:tcW w:w="885" w:type="dxa"/>
            <w:vMerge w:val="continue"/>
            <w:vAlign w:val="center"/>
          </w:tcPr>
          <w:p w14:paraId="4CE689CD">
            <w:pPr>
              <w:autoSpaceDE w:val="0"/>
              <w:autoSpaceDN w:val="0"/>
              <w:adjustRightInd w:val="0"/>
              <w:snapToGrid w:val="0"/>
              <w:jc w:val="center"/>
              <w:rPr>
                <w:rFonts w:ascii="Times New Roman"/>
                <w:sz w:val="21"/>
                <w:szCs w:val="21"/>
              </w:rPr>
            </w:pPr>
          </w:p>
        </w:tc>
        <w:tc>
          <w:tcPr>
            <w:tcW w:w="1020" w:type="dxa"/>
            <w:vMerge w:val="continue"/>
            <w:vAlign w:val="center"/>
          </w:tcPr>
          <w:p w14:paraId="4BCF011E">
            <w:pPr>
              <w:autoSpaceDE w:val="0"/>
              <w:autoSpaceDN w:val="0"/>
              <w:adjustRightInd w:val="0"/>
              <w:snapToGrid w:val="0"/>
              <w:jc w:val="center"/>
              <w:rPr>
                <w:rFonts w:ascii="Times New Roman"/>
                <w:sz w:val="21"/>
                <w:szCs w:val="21"/>
              </w:rPr>
            </w:pPr>
          </w:p>
        </w:tc>
        <w:tc>
          <w:tcPr>
            <w:tcW w:w="735" w:type="dxa"/>
            <w:vMerge w:val="continue"/>
            <w:vAlign w:val="center"/>
          </w:tcPr>
          <w:p w14:paraId="723FCE12">
            <w:pPr>
              <w:autoSpaceDE w:val="0"/>
              <w:autoSpaceDN w:val="0"/>
              <w:adjustRightInd w:val="0"/>
              <w:snapToGrid w:val="0"/>
              <w:jc w:val="center"/>
              <w:rPr>
                <w:rFonts w:ascii="Times New Roman"/>
                <w:sz w:val="21"/>
                <w:szCs w:val="21"/>
              </w:rPr>
            </w:pPr>
          </w:p>
        </w:tc>
        <w:tc>
          <w:tcPr>
            <w:tcW w:w="1245" w:type="dxa"/>
            <w:vMerge w:val="continue"/>
            <w:vAlign w:val="center"/>
          </w:tcPr>
          <w:p w14:paraId="72307EF8">
            <w:pPr>
              <w:autoSpaceDE w:val="0"/>
              <w:autoSpaceDN w:val="0"/>
              <w:adjustRightInd w:val="0"/>
              <w:snapToGrid w:val="0"/>
              <w:jc w:val="center"/>
              <w:rPr>
                <w:rFonts w:ascii="Times New Roman"/>
                <w:sz w:val="21"/>
                <w:szCs w:val="21"/>
              </w:rPr>
            </w:pPr>
          </w:p>
        </w:tc>
        <w:tc>
          <w:tcPr>
            <w:tcW w:w="1620" w:type="dxa"/>
            <w:shd w:val="clear" w:color="auto" w:fill="auto"/>
            <w:vAlign w:val="center"/>
          </w:tcPr>
          <w:p w14:paraId="7E2106A8">
            <w:pPr>
              <w:autoSpaceDE w:val="0"/>
              <w:autoSpaceDN w:val="0"/>
              <w:adjustRightInd w:val="0"/>
              <w:snapToGrid w:val="0"/>
              <w:jc w:val="center"/>
              <w:rPr>
                <w:rFonts w:ascii="Times New Roman"/>
                <w:sz w:val="21"/>
                <w:szCs w:val="21"/>
              </w:rPr>
            </w:pPr>
            <w:r>
              <w:rPr>
                <w:rFonts w:ascii="Times New Roman"/>
                <w:sz w:val="21"/>
                <w:szCs w:val="21"/>
              </w:rPr>
              <w:t>槽体清洗容积5%</w:t>
            </w:r>
          </w:p>
        </w:tc>
        <w:tc>
          <w:tcPr>
            <w:tcW w:w="990" w:type="dxa"/>
            <w:shd w:val="clear" w:color="auto" w:fill="auto"/>
            <w:vAlign w:val="center"/>
          </w:tcPr>
          <w:p w14:paraId="44D7DF5A">
            <w:pPr>
              <w:autoSpaceDE w:val="0"/>
              <w:autoSpaceDN w:val="0"/>
              <w:adjustRightInd w:val="0"/>
              <w:snapToGrid w:val="0"/>
              <w:jc w:val="center"/>
              <w:rPr>
                <w:rFonts w:ascii="Times New Roman"/>
                <w:sz w:val="21"/>
                <w:szCs w:val="21"/>
              </w:rPr>
            </w:pPr>
            <w:r>
              <w:rPr>
                <w:rFonts w:hint="eastAsia" w:ascii="Times New Roman"/>
                <w:sz w:val="21"/>
                <w:szCs w:val="21"/>
              </w:rPr>
              <w:t>7.03</w:t>
            </w:r>
          </w:p>
        </w:tc>
        <w:tc>
          <w:tcPr>
            <w:tcW w:w="885" w:type="dxa"/>
            <w:shd w:val="clear" w:color="auto" w:fill="auto"/>
            <w:vAlign w:val="center"/>
          </w:tcPr>
          <w:p w14:paraId="337FD318">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7E0BCA79">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shd w:val="clear" w:color="auto" w:fill="auto"/>
            <w:vAlign w:val="center"/>
          </w:tcPr>
          <w:p w14:paraId="03468FD7">
            <w:pPr>
              <w:autoSpaceDE w:val="0"/>
              <w:autoSpaceDN w:val="0"/>
              <w:adjustRightInd w:val="0"/>
              <w:snapToGrid w:val="0"/>
              <w:jc w:val="center"/>
              <w:rPr>
                <w:rFonts w:ascii="Times New Roman"/>
                <w:sz w:val="21"/>
                <w:szCs w:val="21"/>
              </w:rPr>
            </w:pPr>
            <w:r>
              <w:rPr>
                <w:rFonts w:hint="eastAsia" w:ascii="Times New Roman"/>
                <w:sz w:val="21"/>
                <w:szCs w:val="21"/>
              </w:rPr>
              <w:t>6.327</w:t>
            </w:r>
          </w:p>
        </w:tc>
        <w:tc>
          <w:tcPr>
            <w:tcW w:w="855" w:type="dxa"/>
            <w:shd w:val="clear" w:color="auto" w:fill="auto"/>
            <w:vAlign w:val="center"/>
          </w:tcPr>
          <w:p w14:paraId="7256D273">
            <w:pPr>
              <w:autoSpaceDE w:val="0"/>
              <w:autoSpaceDN w:val="0"/>
              <w:adjustRightInd w:val="0"/>
              <w:snapToGrid w:val="0"/>
              <w:jc w:val="center"/>
              <w:rPr>
                <w:rFonts w:ascii="Times New Roman"/>
                <w:sz w:val="21"/>
                <w:szCs w:val="21"/>
              </w:rPr>
            </w:pPr>
            <w:r>
              <w:rPr>
                <w:rFonts w:hint="eastAsia" w:ascii="Times New Roman"/>
                <w:sz w:val="21"/>
                <w:szCs w:val="21"/>
              </w:rPr>
              <w:t>12.744</w:t>
            </w:r>
          </w:p>
        </w:tc>
        <w:tc>
          <w:tcPr>
            <w:tcW w:w="2346" w:type="dxa"/>
            <w:vMerge w:val="continue"/>
            <w:vAlign w:val="center"/>
          </w:tcPr>
          <w:p w14:paraId="78C91DCB">
            <w:pPr>
              <w:autoSpaceDE w:val="0"/>
              <w:autoSpaceDN w:val="0"/>
              <w:adjustRightInd w:val="0"/>
              <w:snapToGrid w:val="0"/>
              <w:jc w:val="center"/>
              <w:rPr>
                <w:rFonts w:ascii="Times New Roman"/>
                <w:sz w:val="21"/>
                <w:szCs w:val="21"/>
              </w:rPr>
            </w:pPr>
          </w:p>
        </w:tc>
        <w:tc>
          <w:tcPr>
            <w:tcW w:w="1012" w:type="dxa"/>
            <w:vMerge w:val="continue"/>
            <w:vAlign w:val="center"/>
          </w:tcPr>
          <w:p w14:paraId="7907A895">
            <w:pPr>
              <w:autoSpaceDE w:val="0"/>
              <w:autoSpaceDN w:val="0"/>
              <w:adjustRightInd w:val="0"/>
              <w:snapToGrid w:val="0"/>
              <w:jc w:val="center"/>
              <w:rPr>
                <w:rFonts w:ascii="Times New Roman"/>
                <w:sz w:val="21"/>
                <w:szCs w:val="21"/>
              </w:rPr>
            </w:pPr>
          </w:p>
        </w:tc>
      </w:tr>
      <w:tr w14:paraId="0F21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9" w:type="dxa"/>
            <w:vAlign w:val="center"/>
          </w:tcPr>
          <w:p w14:paraId="65CEF19C">
            <w:pPr>
              <w:autoSpaceDE w:val="0"/>
              <w:autoSpaceDN w:val="0"/>
              <w:adjustRightInd w:val="0"/>
              <w:snapToGrid w:val="0"/>
              <w:jc w:val="center"/>
              <w:rPr>
                <w:rFonts w:ascii="Times New Roman"/>
                <w:sz w:val="21"/>
                <w:szCs w:val="21"/>
              </w:rPr>
            </w:pPr>
            <w:r>
              <w:rPr>
                <w:rFonts w:ascii="Times New Roman"/>
                <w:sz w:val="21"/>
                <w:szCs w:val="21"/>
              </w:rPr>
              <w:t>纯水洗2</w:t>
            </w:r>
          </w:p>
        </w:tc>
        <w:tc>
          <w:tcPr>
            <w:tcW w:w="885" w:type="dxa"/>
            <w:vAlign w:val="center"/>
          </w:tcPr>
          <w:p w14:paraId="225C8C3E">
            <w:pPr>
              <w:autoSpaceDE w:val="0"/>
              <w:autoSpaceDN w:val="0"/>
              <w:adjustRightInd w:val="0"/>
              <w:snapToGrid w:val="0"/>
              <w:jc w:val="center"/>
              <w:rPr>
                <w:rFonts w:ascii="Times New Roman"/>
                <w:sz w:val="21"/>
                <w:szCs w:val="21"/>
              </w:rPr>
            </w:pPr>
            <w:r>
              <w:rPr>
                <w:rFonts w:ascii="Times New Roman"/>
                <w:sz w:val="21"/>
                <w:szCs w:val="21"/>
              </w:rPr>
              <w:t>纯水</w:t>
            </w:r>
          </w:p>
        </w:tc>
        <w:tc>
          <w:tcPr>
            <w:tcW w:w="1020" w:type="dxa"/>
            <w:vAlign w:val="center"/>
          </w:tcPr>
          <w:p w14:paraId="5D8B6E0B">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Align w:val="center"/>
          </w:tcPr>
          <w:p w14:paraId="626649EC">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Align w:val="center"/>
          </w:tcPr>
          <w:p w14:paraId="236A572A">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vAlign w:val="center"/>
          </w:tcPr>
          <w:p w14:paraId="269E5F82">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2</w:t>
            </w:r>
            <w:r>
              <w:rPr>
                <w:rFonts w:ascii="Times New Roman"/>
                <w:sz w:val="21"/>
                <w:szCs w:val="21"/>
              </w:rPr>
              <w:t>.8m</w:t>
            </w:r>
            <w:r>
              <w:rPr>
                <w:rFonts w:ascii="Times New Roman"/>
                <w:sz w:val="21"/>
                <w:szCs w:val="21"/>
                <w:vertAlign w:val="superscript"/>
              </w:rPr>
              <w:t>3</w:t>
            </w:r>
            <w:r>
              <w:rPr>
                <w:rFonts w:ascii="Times New Roman"/>
                <w:sz w:val="21"/>
                <w:szCs w:val="21"/>
              </w:rPr>
              <w:t>/h</w:t>
            </w:r>
          </w:p>
        </w:tc>
        <w:tc>
          <w:tcPr>
            <w:tcW w:w="990" w:type="dxa"/>
            <w:shd w:val="clear" w:color="auto" w:fill="auto"/>
            <w:vAlign w:val="center"/>
          </w:tcPr>
          <w:p w14:paraId="49C27641">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1F37B1B7">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0E2CFE17">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2E879065">
            <w:pPr>
              <w:autoSpaceDE w:val="0"/>
              <w:autoSpaceDN w:val="0"/>
              <w:adjustRightInd w:val="0"/>
              <w:snapToGrid w:val="0"/>
              <w:jc w:val="center"/>
              <w:rPr>
                <w:rFonts w:ascii="Times New Roman"/>
                <w:sz w:val="21"/>
                <w:szCs w:val="21"/>
              </w:rPr>
            </w:pPr>
            <w:r>
              <w:rPr>
                <w:rFonts w:hint="eastAsia" w:ascii="Times New Roman"/>
                <w:sz w:val="21"/>
                <w:szCs w:val="21"/>
              </w:rPr>
              <w:t>33.6</w:t>
            </w:r>
          </w:p>
        </w:tc>
        <w:tc>
          <w:tcPr>
            <w:tcW w:w="855" w:type="dxa"/>
            <w:shd w:val="clear" w:color="auto" w:fill="auto"/>
            <w:vAlign w:val="center"/>
          </w:tcPr>
          <w:p w14:paraId="04F3A227">
            <w:pPr>
              <w:autoSpaceDE w:val="0"/>
              <w:autoSpaceDN w:val="0"/>
              <w:adjustRightInd w:val="0"/>
              <w:snapToGrid w:val="0"/>
              <w:jc w:val="center"/>
              <w:rPr>
                <w:rFonts w:ascii="Times New Roman"/>
                <w:sz w:val="21"/>
                <w:szCs w:val="21"/>
              </w:rPr>
            </w:pPr>
            <w:r>
              <w:rPr>
                <w:rFonts w:hint="eastAsia" w:ascii="Times New Roman"/>
                <w:sz w:val="21"/>
                <w:szCs w:val="21"/>
              </w:rPr>
              <w:t>10080</w:t>
            </w:r>
          </w:p>
        </w:tc>
        <w:tc>
          <w:tcPr>
            <w:tcW w:w="2346" w:type="dxa"/>
            <w:vAlign w:val="center"/>
          </w:tcPr>
          <w:p w14:paraId="74758691">
            <w:pPr>
              <w:autoSpaceDE w:val="0"/>
              <w:autoSpaceDN w:val="0"/>
              <w:adjustRightInd w:val="0"/>
              <w:snapToGrid w:val="0"/>
              <w:jc w:val="center"/>
              <w:rPr>
                <w:rFonts w:ascii="Times New Roman"/>
                <w:sz w:val="21"/>
                <w:szCs w:val="21"/>
              </w:rPr>
            </w:pPr>
            <w:r>
              <w:rPr>
                <w:rFonts w:hint="eastAsia" w:ascii="Times New Roman"/>
                <w:sz w:val="21"/>
                <w:szCs w:val="21"/>
              </w:rPr>
              <w:t>首次运行注入纯水，后续</w:t>
            </w:r>
            <w:r>
              <w:rPr>
                <w:rFonts w:ascii="Times New Roman"/>
                <w:sz w:val="21"/>
                <w:szCs w:val="21"/>
              </w:rPr>
              <w:t>连续排放，逆流水洗</w:t>
            </w:r>
          </w:p>
        </w:tc>
        <w:tc>
          <w:tcPr>
            <w:tcW w:w="1012" w:type="dxa"/>
            <w:vAlign w:val="center"/>
          </w:tcPr>
          <w:p w14:paraId="2798151C">
            <w:pPr>
              <w:autoSpaceDE w:val="0"/>
              <w:autoSpaceDN w:val="0"/>
              <w:adjustRightInd w:val="0"/>
              <w:snapToGrid w:val="0"/>
              <w:jc w:val="center"/>
              <w:rPr>
                <w:rFonts w:ascii="Times New Roman"/>
                <w:sz w:val="21"/>
                <w:szCs w:val="21"/>
              </w:rPr>
            </w:pPr>
            <w:r>
              <w:rPr>
                <w:rFonts w:ascii="Times New Roman"/>
                <w:sz w:val="21"/>
                <w:szCs w:val="21"/>
              </w:rPr>
              <w:t>来自纯水洗3</w:t>
            </w:r>
          </w:p>
        </w:tc>
      </w:tr>
      <w:tr w14:paraId="5C0C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89" w:type="dxa"/>
            <w:vMerge w:val="restart"/>
            <w:vAlign w:val="center"/>
          </w:tcPr>
          <w:p w14:paraId="0F41860A">
            <w:pPr>
              <w:autoSpaceDE w:val="0"/>
              <w:autoSpaceDN w:val="0"/>
              <w:adjustRightInd w:val="0"/>
              <w:snapToGrid w:val="0"/>
              <w:jc w:val="center"/>
              <w:rPr>
                <w:rFonts w:ascii="Times New Roman"/>
                <w:sz w:val="21"/>
                <w:szCs w:val="21"/>
              </w:rPr>
            </w:pPr>
            <w:r>
              <w:rPr>
                <w:rFonts w:ascii="Times New Roman"/>
                <w:sz w:val="21"/>
                <w:szCs w:val="21"/>
              </w:rPr>
              <w:t>纯水洗3</w:t>
            </w:r>
          </w:p>
        </w:tc>
        <w:tc>
          <w:tcPr>
            <w:tcW w:w="885" w:type="dxa"/>
            <w:vMerge w:val="restart"/>
            <w:vAlign w:val="center"/>
          </w:tcPr>
          <w:p w14:paraId="0365F2BB">
            <w:pPr>
              <w:autoSpaceDE w:val="0"/>
              <w:autoSpaceDN w:val="0"/>
              <w:adjustRightInd w:val="0"/>
              <w:snapToGrid w:val="0"/>
              <w:jc w:val="center"/>
              <w:rPr>
                <w:rFonts w:ascii="Times New Roman"/>
                <w:sz w:val="21"/>
                <w:szCs w:val="21"/>
              </w:rPr>
            </w:pPr>
            <w:r>
              <w:rPr>
                <w:rFonts w:ascii="Times New Roman"/>
                <w:sz w:val="21"/>
                <w:szCs w:val="21"/>
              </w:rPr>
              <w:t>纯水</w:t>
            </w:r>
          </w:p>
        </w:tc>
        <w:tc>
          <w:tcPr>
            <w:tcW w:w="1020" w:type="dxa"/>
            <w:vMerge w:val="restart"/>
            <w:vAlign w:val="center"/>
          </w:tcPr>
          <w:p w14:paraId="55296E9E">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00FC0853">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63A8C40E">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vAlign w:val="center"/>
          </w:tcPr>
          <w:p w14:paraId="13AE08ED">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02B4CE2B">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21CB28E9">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2A77A4C5">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34454946">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033E838C">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50A95D5B">
            <w:pPr>
              <w:autoSpaceDE w:val="0"/>
              <w:autoSpaceDN w:val="0"/>
              <w:adjustRightInd w:val="0"/>
              <w:snapToGrid w:val="0"/>
              <w:jc w:val="center"/>
              <w:rPr>
                <w:rFonts w:ascii="Times New Roman"/>
                <w:sz w:val="21"/>
                <w:szCs w:val="21"/>
              </w:rPr>
            </w:pPr>
            <w:r>
              <w:rPr>
                <w:rFonts w:hint="eastAsia" w:ascii="Times New Roman"/>
                <w:sz w:val="21"/>
                <w:szCs w:val="21"/>
              </w:rPr>
              <w:t>首次运行注入纯水，后续</w:t>
            </w:r>
            <w:r>
              <w:rPr>
                <w:rFonts w:ascii="Times New Roman"/>
                <w:sz w:val="21"/>
                <w:szCs w:val="21"/>
              </w:rPr>
              <w:t>连续排放</w:t>
            </w:r>
          </w:p>
        </w:tc>
        <w:tc>
          <w:tcPr>
            <w:tcW w:w="1012" w:type="dxa"/>
            <w:vMerge w:val="restart"/>
            <w:vAlign w:val="center"/>
          </w:tcPr>
          <w:p w14:paraId="2AAC16A3">
            <w:pPr>
              <w:autoSpaceDE w:val="0"/>
              <w:autoSpaceDN w:val="0"/>
              <w:adjustRightInd w:val="0"/>
              <w:snapToGrid w:val="0"/>
              <w:jc w:val="center"/>
              <w:rPr>
                <w:rFonts w:ascii="Times New Roman"/>
                <w:sz w:val="21"/>
                <w:szCs w:val="21"/>
              </w:rPr>
            </w:pPr>
            <w:r>
              <w:rPr>
                <w:rFonts w:hint="eastAsia" w:ascii="Times New Roman"/>
                <w:sz w:val="21"/>
                <w:szCs w:val="21"/>
              </w:rPr>
              <w:t>进入</w:t>
            </w:r>
            <w:r>
              <w:rPr>
                <w:rFonts w:ascii="Times New Roman"/>
                <w:sz w:val="21"/>
                <w:szCs w:val="21"/>
              </w:rPr>
              <w:t>纯水洗</w:t>
            </w:r>
            <w:r>
              <w:rPr>
                <w:rFonts w:hint="eastAsia" w:ascii="Times New Roman"/>
                <w:sz w:val="21"/>
                <w:szCs w:val="21"/>
              </w:rPr>
              <w:t>2</w:t>
            </w:r>
          </w:p>
        </w:tc>
      </w:tr>
      <w:tr w14:paraId="0723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9" w:type="dxa"/>
            <w:vMerge w:val="continue"/>
            <w:vAlign w:val="center"/>
          </w:tcPr>
          <w:p w14:paraId="0C4A5997">
            <w:pPr>
              <w:autoSpaceDE w:val="0"/>
              <w:autoSpaceDN w:val="0"/>
              <w:adjustRightInd w:val="0"/>
              <w:snapToGrid w:val="0"/>
              <w:jc w:val="center"/>
              <w:rPr>
                <w:rFonts w:ascii="Times New Roman"/>
                <w:sz w:val="21"/>
                <w:szCs w:val="21"/>
              </w:rPr>
            </w:pPr>
          </w:p>
        </w:tc>
        <w:tc>
          <w:tcPr>
            <w:tcW w:w="885" w:type="dxa"/>
            <w:vMerge w:val="continue"/>
            <w:vAlign w:val="center"/>
          </w:tcPr>
          <w:p w14:paraId="69F85A15">
            <w:pPr>
              <w:autoSpaceDE w:val="0"/>
              <w:autoSpaceDN w:val="0"/>
              <w:adjustRightInd w:val="0"/>
              <w:snapToGrid w:val="0"/>
              <w:jc w:val="center"/>
              <w:rPr>
                <w:rFonts w:ascii="Times New Roman"/>
                <w:sz w:val="21"/>
                <w:szCs w:val="21"/>
              </w:rPr>
            </w:pPr>
          </w:p>
        </w:tc>
        <w:tc>
          <w:tcPr>
            <w:tcW w:w="1020" w:type="dxa"/>
            <w:vMerge w:val="continue"/>
            <w:vAlign w:val="center"/>
          </w:tcPr>
          <w:p w14:paraId="45860CEA">
            <w:pPr>
              <w:autoSpaceDE w:val="0"/>
              <w:autoSpaceDN w:val="0"/>
              <w:adjustRightInd w:val="0"/>
              <w:snapToGrid w:val="0"/>
              <w:jc w:val="center"/>
              <w:rPr>
                <w:rFonts w:ascii="Times New Roman"/>
                <w:sz w:val="21"/>
                <w:szCs w:val="21"/>
              </w:rPr>
            </w:pPr>
          </w:p>
        </w:tc>
        <w:tc>
          <w:tcPr>
            <w:tcW w:w="735" w:type="dxa"/>
            <w:vMerge w:val="continue"/>
            <w:vAlign w:val="center"/>
          </w:tcPr>
          <w:p w14:paraId="7EBAA7F7">
            <w:pPr>
              <w:autoSpaceDE w:val="0"/>
              <w:autoSpaceDN w:val="0"/>
              <w:adjustRightInd w:val="0"/>
              <w:snapToGrid w:val="0"/>
              <w:jc w:val="center"/>
              <w:rPr>
                <w:rFonts w:ascii="Times New Roman"/>
                <w:sz w:val="21"/>
                <w:szCs w:val="21"/>
              </w:rPr>
            </w:pPr>
          </w:p>
        </w:tc>
        <w:tc>
          <w:tcPr>
            <w:tcW w:w="1245" w:type="dxa"/>
            <w:vMerge w:val="continue"/>
            <w:vAlign w:val="center"/>
          </w:tcPr>
          <w:p w14:paraId="158D5774">
            <w:pPr>
              <w:autoSpaceDE w:val="0"/>
              <w:autoSpaceDN w:val="0"/>
              <w:adjustRightInd w:val="0"/>
              <w:snapToGrid w:val="0"/>
              <w:jc w:val="center"/>
              <w:rPr>
                <w:rFonts w:ascii="Times New Roman"/>
                <w:sz w:val="21"/>
                <w:szCs w:val="21"/>
              </w:rPr>
            </w:pPr>
          </w:p>
        </w:tc>
        <w:tc>
          <w:tcPr>
            <w:tcW w:w="1620" w:type="dxa"/>
            <w:vAlign w:val="center"/>
          </w:tcPr>
          <w:p w14:paraId="24AB365F">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2</w:t>
            </w:r>
            <w:r>
              <w:rPr>
                <w:rFonts w:ascii="Times New Roman"/>
                <w:sz w:val="21"/>
                <w:szCs w:val="21"/>
              </w:rPr>
              <w:t>.8m</w:t>
            </w:r>
            <w:r>
              <w:rPr>
                <w:rFonts w:ascii="Times New Roman"/>
                <w:sz w:val="21"/>
                <w:szCs w:val="21"/>
                <w:vertAlign w:val="superscript"/>
              </w:rPr>
              <w:t>3</w:t>
            </w:r>
            <w:r>
              <w:rPr>
                <w:rFonts w:ascii="Times New Roman"/>
                <w:sz w:val="21"/>
                <w:szCs w:val="21"/>
              </w:rPr>
              <w:t>/h</w:t>
            </w:r>
          </w:p>
        </w:tc>
        <w:tc>
          <w:tcPr>
            <w:tcW w:w="990" w:type="dxa"/>
            <w:shd w:val="clear" w:color="auto" w:fill="auto"/>
            <w:vAlign w:val="center"/>
          </w:tcPr>
          <w:p w14:paraId="026BF558">
            <w:pPr>
              <w:autoSpaceDE w:val="0"/>
              <w:autoSpaceDN w:val="0"/>
              <w:adjustRightInd w:val="0"/>
              <w:snapToGrid w:val="0"/>
              <w:jc w:val="center"/>
              <w:rPr>
                <w:rFonts w:ascii="Times New Roman"/>
                <w:sz w:val="21"/>
                <w:szCs w:val="21"/>
              </w:rPr>
            </w:pPr>
            <w:r>
              <w:rPr>
                <w:rFonts w:hint="eastAsia" w:ascii="Times New Roman"/>
                <w:sz w:val="21"/>
                <w:szCs w:val="21"/>
              </w:rPr>
              <w:t>37.3</w:t>
            </w:r>
          </w:p>
        </w:tc>
        <w:tc>
          <w:tcPr>
            <w:tcW w:w="885" w:type="dxa"/>
            <w:shd w:val="clear" w:color="auto" w:fill="auto"/>
            <w:vAlign w:val="center"/>
          </w:tcPr>
          <w:p w14:paraId="5F5F4F75">
            <w:pPr>
              <w:autoSpaceDE w:val="0"/>
              <w:autoSpaceDN w:val="0"/>
              <w:adjustRightInd w:val="0"/>
              <w:snapToGrid w:val="0"/>
              <w:jc w:val="center"/>
              <w:rPr>
                <w:rFonts w:ascii="Times New Roman"/>
                <w:sz w:val="21"/>
                <w:szCs w:val="21"/>
              </w:rPr>
            </w:pPr>
            <w:r>
              <w:rPr>
                <w:rFonts w:hint="eastAsia" w:ascii="Times New Roman"/>
                <w:sz w:val="21"/>
                <w:szCs w:val="21"/>
              </w:rPr>
              <w:t>11190</w:t>
            </w:r>
          </w:p>
        </w:tc>
        <w:tc>
          <w:tcPr>
            <w:tcW w:w="705" w:type="dxa"/>
            <w:shd w:val="clear" w:color="auto" w:fill="auto"/>
            <w:vAlign w:val="center"/>
          </w:tcPr>
          <w:p w14:paraId="6C558719">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shd w:val="clear" w:color="auto" w:fill="auto"/>
            <w:vAlign w:val="center"/>
          </w:tcPr>
          <w:p w14:paraId="3A919CBF">
            <w:pPr>
              <w:autoSpaceDE w:val="0"/>
              <w:autoSpaceDN w:val="0"/>
              <w:adjustRightInd w:val="0"/>
              <w:snapToGrid w:val="0"/>
              <w:jc w:val="center"/>
              <w:rPr>
                <w:rFonts w:ascii="Times New Roman"/>
                <w:sz w:val="21"/>
                <w:szCs w:val="21"/>
              </w:rPr>
            </w:pPr>
            <w:r>
              <w:rPr>
                <w:rFonts w:ascii="Times New Roman"/>
                <w:sz w:val="21"/>
                <w:szCs w:val="21"/>
              </w:rPr>
              <w:t>0</w:t>
            </w:r>
          </w:p>
        </w:tc>
        <w:tc>
          <w:tcPr>
            <w:tcW w:w="855" w:type="dxa"/>
            <w:shd w:val="clear" w:color="auto" w:fill="auto"/>
            <w:vAlign w:val="center"/>
          </w:tcPr>
          <w:p w14:paraId="13AA2011">
            <w:pPr>
              <w:autoSpaceDE w:val="0"/>
              <w:autoSpaceDN w:val="0"/>
              <w:adjustRightInd w:val="0"/>
              <w:snapToGrid w:val="0"/>
              <w:jc w:val="center"/>
              <w:rPr>
                <w:rFonts w:ascii="Times New Roman"/>
                <w:sz w:val="21"/>
                <w:szCs w:val="21"/>
              </w:rPr>
            </w:pPr>
            <w:r>
              <w:rPr>
                <w:rFonts w:ascii="Times New Roman"/>
                <w:sz w:val="21"/>
                <w:szCs w:val="21"/>
              </w:rPr>
              <w:t>0</w:t>
            </w:r>
          </w:p>
        </w:tc>
        <w:tc>
          <w:tcPr>
            <w:tcW w:w="2346" w:type="dxa"/>
            <w:vMerge w:val="continue"/>
            <w:vAlign w:val="center"/>
          </w:tcPr>
          <w:p w14:paraId="6B17C553">
            <w:pPr>
              <w:autoSpaceDE w:val="0"/>
              <w:autoSpaceDN w:val="0"/>
              <w:adjustRightInd w:val="0"/>
              <w:snapToGrid w:val="0"/>
              <w:jc w:val="center"/>
              <w:rPr>
                <w:rFonts w:ascii="Times New Roman"/>
                <w:sz w:val="21"/>
                <w:szCs w:val="21"/>
              </w:rPr>
            </w:pPr>
          </w:p>
        </w:tc>
        <w:tc>
          <w:tcPr>
            <w:tcW w:w="1012" w:type="dxa"/>
            <w:vMerge w:val="continue"/>
            <w:vAlign w:val="center"/>
          </w:tcPr>
          <w:p w14:paraId="1014D84A">
            <w:pPr>
              <w:autoSpaceDE w:val="0"/>
              <w:autoSpaceDN w:val="0"/>
              <w:adjustRightInd w:val="0"/>
              <w:snapToGrid w:val="0"/>
              <w:jc w:val="center"/>
              <w:rPr>
                <w:rFonts w:ascii="Times New Roman"/>
                <w:sz w:val="21"/>
                <w:szCs w:val="21"/>
              </w:rPr>
            </w:pPr>
          </w:p>
        </w:tc>
      </w:tr>
      <w:tr w14:paraId="6C9C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089" w:type="dxa"/>
            <w:vMerge w:val="restart"/>
            <w:vAlign w:val="center"/>
          </w:tcPr>
          <w:p w14:paraId="6A0A5900">
            <w:pPr>
              <w:autoSpaceDE w:val="0"/>
              <w:autoSpaceDN w:val="0"/>
              <w:adjustRightInd w:val="0"/>
              <w:snapToGrid w:val="0"/>
              <w:jc w:val="center"/>
              <w:rPr>
                <w:rFonts w:ascii="Times New Roman"/>
                <w:sz w:val="21"/>
                <w:szCs w:val="21"/>
              </w:rPr>
            </w:pPr>
            <w:r>
              <w:rPr>
                <w:rFonts w:ascii="Times New Roman"/>
                <w:sz w:val="21"/>
                <w:szCs w:val="21"/>
              </w:rPr>
              <w:t>电泳</w:t>
            </w:r>
          </w:p>
        </w:tc>
        <w:tc>
          <w:tcPr>
            <w:tcW w:w="885" w:type="dxa"/>
            <w:vMerge w:val="restart"/>
            <w:vAlign w:val="center"/>
          </w:tcPr>
          <w:p w14:paraId="6AC47230">
            <w:pPr>
              <w:autoSpaceDE w:val="0"/>
              <w:autoSpaceDN w:val="0"/>
              <w:adjustRightInd w:val="0"/>
              <w:snapToGrid w:val="0"/>
              <w:jc w:val="center"/>
              <w:rPr>
                <w:rFonts w:ascii="Times New Roman"/>
                <w:sz w:val="21"/>
                <w:szCs w:val="21"/>
              </w:rPr>
            </w:pPr>
            <w:r>
              <w:rPr>
                <w:rFonts w:ascii="Times New Roman"/>
                <w:sz w:val="21"/>
                <w:szCs w:val="21"/>
              </w:rPr>
              <w:t>纯水</w:t>
            </w:r>
          </w:p>
        </w:tc>
        <w:tc>
          <w:tcPr>
            <w:tcW w:w="1020" w:type="dxa"/>
            <w:vMerge w:val="restart"/>
            <w:vAlign w:val="center"/>
          </w:tcPr>
          <w:p w14:paraId="6C98D424">
            <w:pPr>
              <w:autoSpaceDE w:val="0"/>
              <w:autoSpaceDN w:val="0"/>
              <w:adjustRightInd w:val="0"/>
              <w:snapToGrid w:val="0"/>
              <w:jc w:val="center"/>
              <w:rPr>
                <w:rFonts w:ascii="Times New Roman"/>
                <w:sz w:val="21"/>
                <w:szCs w:val="21"/>
              </w:rPr>
            </w:pPr>
            <w:r>
              <w:rPr>
                <w:rFonts w:ascii="Times New Roman"/>
                <w:sz w:val="21"/>
                <w:szCs w:val="21"/>
              </w:rPr>
              <w:t>163</w:t>
            </w:r>
          </w:p>
        </w:tc>
        <w:tc>
          <w:tcPr>
            <w:tcW w:w="735" w:type="dxa"/>
            <w:vMerge w:val="restart"/>
            <w:vAlign w:val="center"/>
          </w:tcPr>
          <w:p w14:paraId="1614DCA7">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Align w:val="center"/>
          </w:tcPr>
          <w:p w14:paraId="456D9AF5">
            <w:pPr>
              <w:autoSpaceDE w:val="0"/>
              <w:autoSpaceDN w:val="0"/>
              <w:adjustRightInd w:val="0"/>
              <w:snapToGrid w:val="0"/>
              <w:jc w:val="center"/>
              <w:rPr>
                <w:rFonts w:ascii="Times New Roman"/>
                <w:sz w:val="21"/>
                <w:szCs w:val="21"/>
              </w:rPr>
            </w:pPr>
            <w:r>
              <w:rPr>
                <w:rFonts w:hint="eastAsia" w:ascii="Times New Roman"/>
                <w:sz w:val="21"/>
                <w:szCs w:val="21"/>
              </w:rPr>
              <w:t>电泳漆：水=1：5</w:t>
            </w:r>
          </w:p>
        </w:tc>
        <w:tc>
          <w:tcPr>
            <w:tcW w:w="1620" w:type="dxa"/>
            <w:vAlign w:val="center"/>
          </w:tcPr>
          <w:p w14:paraId="7601A67B">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6A227FC3">
            <w:pPr>
              <w:autoSpaceDE w:val="0"/>
              <w:autoSpaceDN w:val="0"/>
              <w:adjustRightInd w:val="0"/>
              <w:snapToGrid w:val="0"/>
              <w:jc w:val="center"/>
              <w:rPr>
                <w:rFonts w:ascii="Times New Roman"/>
                <w:sz w:val="21"/>
                <w:szCs w:val="21"/>
              </w:rPr>
            </w:pPr>
            <w:r>
              <w:rPr>
                <w:rFonts w:hint="eastAsia" w:ascii="Times New Roman"/>
                <w:sz w:val="21"/>
                <w:szCs w:val="21"/>
              </w:rPr>
              <w:t>135.8</w:t>
            </w:r>
          </w:p>
        </w:tc>
        <w:tc>
          <w:tcPr>
            <w:tcW w:w="885" w:type="dxa"/>
            <w:shd w:val="clear" w:color="auto" w:fill="auto"/>
            <w:vAlign w:val="center"/>
          </w:tcPr>
          <w:p w14:paraId="382B686C">
            <w:pPr>
              <w:autoSpaceDE w:val="0"/>
              <w:autoSpaceDN w:val="0"/>
              <w:adjustRightInd w:val="0"/>
              <w:snapToGrid w:val="0"/>
              <w:jc w:val="center"/>
              <w:rPr>
                <w:rFonts w:ascii="Times New Roman"/>
                <w:sz w:val="21"/>
                <w:szCs w:val="21"/>
              </w:rPr>
            </w:pPr>
            <w:r>
              <w:rPr>
                <w:rFonts w:hint="eastAsia" w:ascii="Times New Roman"/>
                <w:sz w:val="21"/>
                <w:szCs w:val="21"/>
              </w:rPr>
              <w:t>135.8</w:t>
            </w:r>
          </w:p>
        </w:tc>
        <w:tc>
          <w:tcPr>
            <w:tcW w:w="705" w:type="dxa"/>
            <w:shd w:val="clear" w:color="auto" w:fill="auto"/>
            <w:vAlign w:val="center"/>
          </w:tcPr>
          <w:p w14:paraId="1EACCA65">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160A68E3">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086C00E1">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7E867E3C">
            <w:pPr>
              <w:autoSpaceDE w:val="0"/>
              <w:autoSpaceDN w:val="0"/>
              <w:adjustRightInd w:val="0"/>
              <w:snapToGrid w:val="0"/>
              <w:jc w:val="center"/>
              <w:rPr>
                <w:rFonts w:ascii="Times New Roman"/>
                <w:sz w:val="21"/>
                <w:szCs w:val="21"/>
              </w:rPr>
            </w:pPr>
            <w:r>
              <w:rPr>
                <w:rFonts w:hint="eastAsia" w:ascii="Times New Roman"/>
                <w:sz w:val="21"/>
                <w:szCs w:val="21"/>
              </w:rPr>
              <w:t>首次运行注入槽液，后续</w:t>
            </w:r>
            <w:r>
              <w:rPr>
                <w:rFonts w:ascii="Times New Roman"/>
                <w:sz w:val="21"/>
                <w:szCs w:val="21"/>
              </w:rPr>
              <w:t>间断，每半年清洗槽体1次，槽液不排放，倒入转移槽内，槽清洗后，槽液倒回槽内使用</w:t>
            </w:r>
          </w:p>
        </w:tc>
        <w:tc>
          <w:tcPr>
            <w:tcW w:w="1012" w:type="dxa"/>
            <w:vAlign w:val="center"/>
          </w:tcPr>
          <w:p w14:paraId="47C701AF">
            <w:pPr>
              <w:autoSpaceDE w:val="0"/>
              <w:autoSpaceDN w:val="0"/>
              <w:adjustRightInd w:val="0"/>
              <w:snapToGrid w:val="0"/>
              <w:jc w:val="center"/>
              <w:rPr>
                <w:rFonts w:ascii="Times New Roman"/>
                <w:sz w:val="21"/>
                <w:szCs w:val="21"/>
              </w:rPr>
            </w:pPr>
            <w:r>
              <w:rPr>
                <w:rFonts w:hint="eastAsia" w:ascii="Times New Roman"/>
                <w:sz w:val="21"/>
                <w:szCs w:val="21"/>
              </w:rPr>
              <w:t>/</w:t>
            </w:r>
          </w:p>
        </w:tc>
      </w:tr>
      <w:tr w14:paraId="271F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89" w:type="dxa"/>
            <w:vMerge w:val="continue"/>
            <w:vAlign w:val="center"/>
          </w:tcPr>
          <w:p w14:paraId="400F5045">
            <w:pPr>
              <w:autoSpaceDE w:val="0"/>
              <w:autoSpaceDN w:val="0"/>
              <w:adjustRightInd w:val="0"/>
              <w:snapToGrid w:val="0"/>
              <w:jc w:val="center"/>
              <w:rPr>
                <w:rFonts w:ascii="Times New Roman"/>
                <w:sz w:val="21"/>
                <w:szCs w:val="21"/>
              </w:rPr>
            </w:pPr>
          </w:p>
        </w:tc>
        <w:tc>
          <w:tcPr>
            <w:tcW w:w="885" w:type="dxa"/>
            <w:vMerge w:val="continue"/>
            <w:shd w:val="clear" w:color="auto" w:fill="auto"/>
            <w:vAlign w:val="center"/>
          </w:tcPr>
          <w:p w14:paraId="557969CD">
            <w:pPr>
              <w:autoSpaceDE w:val="0"/>
              <w:autoSpaceDN w:val="0"/>
              <w:adjustRightInd w:val="0"/>
              <w:snapToGrid w:val="0"/>
              <w:jc w:val="center"/>
              <w:rPr>
                <w:rFonts w:ascii="Times New Roman"/>
                <w:sz w:val="21"/>
                <w:szCs w:val="21"/>
              </w:rPr>
            </w:pPr>
          </w:p>
        </w:tc>
        <w:tc>
          <w:tcPr>
            <w:tcW w:w="1020" w:type="dxa"/>
            <w:vMerge w:val="continue"/>
            <w:shd w:val="clear" w:color="auto" w:fill="auto"/>
            <w:vAlign w:val="center"/>
          </w:tcPr>
          <w:p w14:paraId="4B67C2DD">
            <w:pPr>
              <w:autoSpaceDE w:val="0"/>
              <w:autoSpaceDN w:val="0"/>
              <w:adjustRightInd w:val="0"/>
              <w:snapToGrid w:val="0"/>
              <w:jc w:val="center"/>
              <w:rPr>
                <w:rFonts w:ascii="Times New Roman"/>
                <w:sz w:val="21"/>
                <w:szCs w:val="21"/>
              </w:rPr>
            </w:pPr>
          </w:p>
        </w:tc>
        <w:tc>
          <w:tcPr>
            <w:tcW w:w="735" w:type="dxa"/>
            <w:vMerge w:val="continue"/>
            <w:shd w:val="clear" w:color="auto" w:fill="auto"/>
            <w:vAlign w:val="center"/>
          </w:tcPr>
          <w:p w14:paraId="0697A41C">
            <w:pPr>
              <w:autoSpaceDE w:val="0"/>
              <w:autoSpaceDN w:val="0"/>
              <w:adjustRightInd w:val="0"/>
              <w:snapToGrid w:val="0"/>
              <w:jc w:val="center"/>
              <w:rPr>
                <w:rFonts w:ascii="Times New Roman"/>
                <w:sz w:val="21"/>
                <w:szCs w:val="21"/>
              </w:rPr>
            </w:pPr>
          </w:p>
        </w:tc>
        <w:tc>
          <w:tcPr>
            <w:tcW w:w="1245" w:type="dxa"/>
            <w:shd w:val="clear" w:color="auto" w:fill="auto"/>
            <w:vAlign w:val="center"/>
          </w:tcPr>
          <w:p w14:paraId="48C8CA1F">
            <w:pPr>
              <w:autoSpaceDE w:val="0"/>
              <w:autoSpaceDN w:val="0"/>
              <w:adjustRightInd w:val="0"/>
              <w:snapToGrid w:val="0"/>
              <w:jc w:val="center"/>
              <w:rPr>
                <w:rFonts w:ascii="Times New Roman"/>
                <w:sz w:val="21"/>
                <w:szCs w:val="21"/>
              </w:rPr>
            </w:pPr>
            <w:r>
              <w:rPr>
                <w:rFonts w:ascii="Times New Roman"/>
                <w:sz w:val="21"/>
                <w:szCs w:val="21"/>
              </w:rPr>
              <w:t>纯水清洗</w:t>
            </w:r>
          </w:p>
        </w:tc>
        <w:tc>
          <w:tcPr>
            <w:tcW w:w="1620" w:type="dxa"/>
            <w:shd w:val="clear" w:color="auto" w:fill="auto"/>
            <w:vAlign w:val="center"/>
          </w:tcPr>
          <w:p w14:paraId="4C53D1FC">
            <w:pPr>
              <w:autoSpaceDE w:val="0"/>
              <w:autoSpaceDN w:val="0"/>
              <w:adjustRightInd w:val="0"/>
              <w:snapToGrid w:val="0"/>
              <w:jc w:val="center"/>
              <w:rPr>
                <w:rFonts w:ascii="Times New Roman"/>
                <w:sz w:val="21"/>
                <w:szCs w:val="21"/>
              </w:rPr>
            </w:pPr>
            <w:r>
              <w:rPr>
                <w:rFonts w:ascii="Times New Roman"/>
                <w:sz w:val="21"/>
                <w:szCs w:val="21"/>
              </w:rPr>
              <w:t>槽体清洗容积5%</w:t>
            </w:r>
          </w:p>
        </w:tc>
        <w:tc>
          <w:tcPr>
            <w:tcW w:w="990" w:type="dxa"/>
            <w:shd w:val="clear" w:color="auto" w:fill="auto"/>
            <w:vAlign w:val="center"/>
          </w:tcPr>
          <w:p w14:paraId="7FFF51EB">
            <w:pPr>
              <w:autoSpaceDE w:val="0"/>
              <w:autoSpaceDN w:val="0"/>
              <w:adjustRightInd w:val="0"/>
              <w:snapToGrid w:val="0"/>
              <w:jc w:val="center"/>
              <w:rPr>
                <w:rFonts w:ascii="Times New Roman"/>
                <w:sz w:val="21"/>
                <w:szCs w:val="21"/>
              </w:rPr>
            </w:pPr>
            <w:r>
              <w:rPr>
                <w:rFonts w:hint="eastAsia" w:ascii="Times New Roman"/>
                <w:sz w:val="21"/>
                <w:szCs w:val="21"/>
              </w:rPr>
              <w:t>7.03</w:t>
            </w:r>
          </w:p>
        </w:tc>
        <w:tc>
          <w:tcPr>
            <w:tcW w:w="885" w:type="dxa"/>
            <w:shd w:val="clear" w:color="auto" w:fill="auto"/>
            <w:vAlign w:val="center"/>
          </w:tcPr>
          <w:p w14:paraId="04E11A34">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5EA32566">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shd w:val="clear" w:color="auto" w:fill="auto"/>
            <w:vAlign w:val="center"/>
          </w:tcPr>
          <w:p w14:paraId="2AE77E58">
            <w:pPr>
              <w:autoSpaceDE w:val="0"/>
              <w:autoSpaceDN w:val="0"/>
              <w:adjustRightInd w:val="0"/>
              <w:snapToGrid w:val="0"/>
              <w:jc w:val="center"/>
              <w:rPr>
                <w:rFonts w:ascii="Times New Roman"/>
                <w:sz w:val="21"/>
                <w:szCs w:val="21"/>
              </w:rPr>
            </w:pPr>
            <w:r>
              <w:rPr>
                <w:rFonts w:hint="eastAsia" w:ascii="Times New Roman"/>
                <w:sz w:val="21"/>
                <w:szCs w:val="21"/>
              </w:rPr>
              <w:t>6.327</w:t>
            </w:r>
          </w:p>
        </w:tc>
        <w:tc>
          <w:tcPr>
            <w:tcW w:w="855" w:type="dxa"/>
            <w:shd w:val="clear" w:color="auto" w:fill="auto"/>
            <w:vAlign w:val="center"/>
          </w:tcPr>
          <w:p w14:paraId="2F9325A7">
            <w:pPr>
              <w:autoSpaceDE w:val="0"/>
              <w:autoSpaceDN w:val="0"/>
              <w:adjustRightInd w:val="0"/>
              <w:snapToGrid w:val="0"/>
              <w:jc w:val="center"/>
              <w:rPr>
                <w:rFonts w:ascii="Times New Roman"/>
                <w:sz w:val="21"/>
                <w:szCs w:val="21"/>
              </w:rPr>
            </w:pPr>
            <w:r>
              <w:rPr>
                <w:rFonts w:hint="eastAsia" w:ascii="Times New Roman"/>
                <w:sz w:val="21"/>
                <w:szCs w:val="21"/>
              </w:rPr>
              <w:t>12.744</w:t>
            </w:r>
          </w:p>
        </w:tc>
        <w:tc>
          <w:tcPr>
            <w:tcW w:w="2346" w:type="dxa"/>
            <w:vMerge w:val="continue"/>
            <w:shd w:val="clear" w:color="auto" w:fill="auto"/>
            <w:vAlign w:val="center"/>
          </w:tcPr>
          <w:p w14:paraId="12D84F4D">
            <w:pPr>
              <w:autoSpaceDE w:val="0"/>
              <w:autoSpaceDN w:val="0"/>
              <w:adjustRightInd w:val="0"/>
              <w:snapToGrid w:val="0"/>
              <w:jc w:val="center"/>
              <w:rPr>
                <w:rFonts w:ascii="Times New Roman"/>
                <w:sz w:val="21"/>
                <w:szCs w:val="21"/>
              </w:rPr>
            </w:pPr>
          </w:p>
        </w:tc>
        <w:tc>
          <w:tcPr>
            <w:tcW w:w="1012" w:type="dxa"/>
            <w:shd w:val="clear" w:color="auto" w:fill="auto"/>
            <w:vAlign w:val="center"/>
          </w:tcPr>
          <w:p w14:paraId="2C373F89">
            <w:pPr>
              <w:autoSpaceDE w:val="0"/>
              <w:autoSpaceDN w:val="0"/>
              <w:adjustRightInd w:val="0"/>
              <w:snapToGrid w:val="0"/>
              <w:jc w:val="center"/>
              <w:rPr>
                <w:rFonts w:ascii="Times New Roman"/>
                <w:sz w:val="21"/>
                <w:szCs w:val="21"/>
              </w:rPr>
            </w:pPr>
            <w:r>
              <w:rPr>
                <w:rFonts w:ascii="Times New Roman"/>
                <w:sz w:val="21"/>
                <w:szCs w:val="21"/>
              </w:rPr>
              <w:t>/</w:t>
            </w:r>
          </w:p>
        </w:tc>
      </w:tr>
      <w:tr w14:paraId="107F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9" w:type="dxa"/>
            <w:vMerge w:val="restart"/>
            <w:vAlign w:val="center"/>
          </w:tcPr>
          <w:p w14:paraId="6409F2CE">
            <w:pPr>
              <w:autoSpaceDE w:val="0"/>
              <w:autoSpaceDN w:val="0"/>
              <w:adjustRightInd w:val="0"/>
              <w:snapToGrid w:val="0"/>
              <w:jc w:val="center"/>
              <w:rPr>
                <w:rFonts w:ascii="Times New Roman"/>
                <w:sz w:val="21"/>
                <w:szCs w:val="21"/>
              </w:rPr>
            </w:pPr>
            <w:r>
              <w:rPr>
                <w:rFonts w:ascii="Times New Roman"/>
                <w:sz w:val="21"/>
                <w:szCs w:val="21"/>
              </w:rPr>
              <w:t>UF1</w:t>
            </w:r>
          </w:p>
        </w:tc>
        <w:tc>
          <w:tcPr>
            <w:tcW w:w="885" w:type="dxa"/>
            <w:vMerge w:val="restart"/>
            <w:vAlign w:val="center"/>
          </w:tcPr>
          <w:p w14:paraId="00AC31F3">
            <w:pPr>
              <w:autoSpaceDE w:val="0"/>
              <w:autoSpaceDN w:val="0"/>
              <w:adjustRightInd w:val="0"/>
              <w:snapToGrid w:val="0"/>
              <w:jc w:val="center"/>
              <w:rPr>
                <w:rFonts w:ascii="Times New Roman"/>
                <w:sz w:val="21"/>
                <w:szCs w:val="21"/>
              </w:rPr>
            </w:pPr>
            <w:r>
              <w:rPr>
                <w:rFonts w:ascii="Times New Roman"/>
                <w:sz w:val="21"/>
                <w:szCs w:val="21"/>
              </w:rPr>
              <w:t>纯水</w:t>
            </w:r>
          </w:p>
        </w:tc>
        <w:tc>
          <w:tcPr>
            <w:tcW w:w="1020" w:type="dxa"/>
            <w:vMerge w:val="restart"/>
            <w:vAlign w:val="center"/>
          </w:tcPr>
          <w:p w14:paraId="66B8B677">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5666F1A6">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3E8630FE">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vAlign w:val="center"/>
          </w:tcPr>
          <w:p w14:paraId="15AE3D7F">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353D391F">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63565135">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vAlign w:val="center"/>
          </w:tcPr>
          <w:p w14:paraId="09594FC0">
            <w:pPr>
              <w:autoSpaceDE w:val="0"/>
              <w:autoSpaceDN w:val="0"/>
              <w:adjustRightInd w:val="0"/>
              <w:snapToGrid w:val="0"/>
              <w:jc w:val="center"/>
              <w:rPr>
                <w:rFonts w:ascii="Times New Roman"/>
                <w:sz w:val="21"/>
                <w:szCs w:val="21"/>
              </w:rPr>
            </w:pPr>
            <w:r>
              <w:rPr>
                <w:rFonts w:ascii="Times New Roman"/>
                <w:sz w:val="21"/>
                <w:szCs w:val="21"/>
              </w:rPr>
              <w:t>0</w:t>
            </w:r>
          </w:p>
        </w:tc>
        <w:tc>
          <w:tcPr>
            <w:tcW w:w="780" w:type="dxa"/>
            <w:shd w:val="clear" w:color="auto" w:fill="auto"/>
            <w:vAlign w:val="center"/>
          </w:tcPr>
          <w:p w14:paraId="37266705">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05A4CE7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5B3949E0">
            <w:pPr>
              <w:autoSpaceDE w:val="0"/>
              <w:autoSpaceDN w:val="0"/>
              <w:adjustRightInd w:val="0"/>
              <w:snapToGrid w:val="0"/>
              <w:jc w:val="center"/>
              <w:rPr>
                <w:rFonts w:ascii="Times New Roman"/>
                <w:sz w:val="21"/>
                <w:szCs w:val="21"/>
              </w:rPr>
            </w:pPr>
            <w:r>
              <w:rPr>
                <w:rFonts w:hint="eastAsia" w:ascii="Times New Roman"/>
                <w:sz w:val="21"/>
                <w:szCs w:val="21"/>
              </w:rPr>
              <w:t>首次运行注入纯水，后续</w:t>
            </w:r>
            <w:r>
              <w:rPr>
                <w:rFonts w:ascii="Times New Roman"/>
                <w:sz w:val="21"/>
                <w:szCs w:val="21"/>
              </w:rPr>
              <w:t>连续排放，逆流</w:t>
            </w:r>
          </w:p>
        </w:tc>
        <w:tc>
          <w:tcPr>
            <w:tcW w:w="1012" w:type="dxa"/>
            <w:vAlign w:val="center"/>
          </w:tcPr>
          <w:p w14:paraId="2C0B2D05">
            <w:pPr>
              <w:autoSpaceDE w:val="0"/>
              <w:autoSpaceDN w:val="0"/>
              <w:adjustRightInd w:val="0"/>
              <w:snapToGrid w:val="0"/>
              <w:jc w:val="center"/>
              <w:rPr>
                <w:rFonts w:ascii="Times New Roman"/>
                <w:sz w:val="21"/>
                <w:szCs w:val="21"/>
              </w:rPr>
            </w:pPr>
            <w:r>
              <w:rPr>
                <w:rFonts w:ascii="Times New Roman"/>
                <w:sz w:val="21"/>
                <w:szCs w:val="21"/>
              </w:rPr>
              <w:t>来自UF2</w:t>
            </w:r>
          </w:p>
        </w:tc>
      </w:tr>
      <w:tr w14:paraId="055C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9" w:type="dxa"/>
            <w:vMerge w:val="continue"/>
            <w:vAlign w:val="center"/>
          </w:tcPr>
          <w:p w14:paraId="1E3C5058">
            <w:pPr>
              <w:autoSpaceDE w:val="0"/>
              <w:autoSpaceDN w:val="0"/>
              <w:adjustRightInd w:val="0"/>
              <w:snapToGrid w:val="0"/>
              <w:jc w:val="center"/>
              <w:rPr>
                <w:rFonts w:ascii="Times New Roman"/>
                <w:sz w:val="21"/>
                <w:szCs w:val="21"/>
              </w:rPr>
            </w:pPr>
          </w:p>
        </w:tc>
        <w:tc>
          <w:tcPr>
            <w:tcW w:w="885" w:type="dxa"/>
            <w:vMerge w:val="continue"/>
            <w:vAlign w:val="center"/>
          </w:tcPr>
          <w:p w14:paraId="3CB41B5C">
            <w:pPr>
              <w:autoSpaceDE w:val="0"/>
              <w:autoSpaceDN w:val="0"/>
              <w:adjustRightInd w:val="0"/>
              <w:snapToGrid w:val="0"/>
              <w:jc w:val="center"/>
              <w:rPr>
                <w:rFonts w:ascii="Times New Roman"/>
                <w:sz w:val="21"/>
                <w:szCs w:val="21"/>
              </w:rPr>
            </w:pPr>
          </w:p>
        </w:tc>
        <w:tc>
          <w:tcPr>
            <w:tcW w:w="1020" w:type="dxa"/>
            <w:vMerge w:val="continue"/>
            <w:vAlign w:val="center"/>
          </w:tcPr>
          <w:p w14:paraId="481D042F">
            <w:pPr>
              <w:autoSpaceDE w:val="0"/>
              <w:autoSpaceDN w:val="0"/>
              <w:adjustRightInd w:val="0"/>
              <w:snapToGrid w:val="0"/>
              <w:jc w:val="center"/>
              <w:rPr>
                <w:rFonts w:ascii="Times New Roman"/>
                <w:sz w:val="21"/>
                <w:szCs w:val="21"/>
              </w:rPr>
            </w:pPr>
          </w:p>
        </w:tc>
        <w:tc>
          <w:tcPr>
            <w:tcW w:w="735" w:type="dxa"/>
            <w:vMerge w:val="continue"/>
            <w:vAlign w:val="center"/>
          </w:tcPr>
          <w:p w14:paraId="0EB1FE8C">
            <w:pPr>
              <w:autoSpaceDE w:val="0"/>
              <w:autoSpaceDN w:val="0"/>
              <w:adjustRightInd w:val="0"/>
              <w:snapToGrid w:val="0"/>
              <w:jc w:val="center"/>
              <w:rPr>
                <w:rFonts w:ascii="Times New Roman"/>
                <w:sz w:val="21"/>
                <w:szCs w:val="21"/>
              </w:rPr>
            </w:pPr>
          </w:p>
        </w:tc>
        <w:tc>
          <w:tcPr>
            <w:tcW w:w="1245" w:type="dxa"/>
            <w:vMerge w:val="continue"/>
            <w:vAlign w:val="center"/>
          </w:tcPr>
          <w:p w14:paraId="5EE8D1D4">
            <w:pPr>
              <w:autoSpaceDE w:val="0"/>
              <w:autoSpaceDN w:val="0"/>
              <w:adjustRightInd w:val="0"/>
              <w:snapToGrid w:val="0"/>
              <w:jc w:val="center"/>
              <w:rPr>
                <w:rFonts w:ascii="Times New Roman"/>
                <w:sz w:val="21"/>
                <w:szCs w:val="21"/>
              </w:rPr>
            </w:pPr>
          </w:p>
        </w:tc>
        <w:tc>
          <w:tcPr>
            <w:tcW w:w="1620" w:type="dxa"/>
            <w:vAlign w:val="center"/>
          </w:tcPr>
          <w:p w14:paraId="4BF7BA24">
            <w:pPr>
              <w:autoSpaceDE w:val="0"/>
              <w:autoSpaceDN w:val="0"/>
              <w:adjustRightInd w:val="0"/>
              <w:snapToGrid w:val="0"/>
              <w:jc w:val="center"/>
              <w:rPr>
                <w:rFonts w:ascii="Times New Roman"/>
                <w:sz w:val="21"/>
                <w:szCs w:val="21"/>
              </w:rPr>
            </w:pPr>
            <w:r>
              <w:rPr>
                <w:rFonts w:ascii="Times New Roman"/>
                <w:sz w:val="21"/>
                <w:szCs w:val="21"/>
              </w:rPr>
              <w:t>溢流</w:t>
            </w:r>
            <w:r>
              <w:rPr>
                <w:rFonts w:hint="eastAsia" w:ascii="Times New Roman"/>
                <w:sz w:val="21"/>
                <w:szCs w:val="21"/>
              </w:rPr>
              <w:t>0.1</w:t>
            </w:r>
            <w:r>
              <w:rPr>
                <w:rFonts w:ascii="Times New Roman"/>
                <w:sz w:val="21"/>
                <w:szCs w:val="21"/>
              </w:rPr>
              <w:t>m</w:t>
            </w:r>
            <w:r>
              <w:rPr>
                <w:rFonts w:ascii="Times New Roman"/>
                <w:sz w:val="21"/>
                <w:szCs w:val="21"/>
                <w:vertAlign w:val="superscript"/>
              </w:rPr>
              <w:t>3</w:t>
            </w:r>
            <w:r>
              <w:rPr>
                <w:rFonts w:ascii="Times New Roman"/>
                <w:sz w:val="21"/>
                <w:szCs w:val="21"/>
              </w:rPr>
              <w:t>/h</w:t>
            </w:r>
          </w:p>
        </w:tc>
        <w:tc>
          <w:tcPr>
            <w:tcW w:w="990" w:type="dxa"/>
            <w:shd w:val="clear" w:color="auto" w:fill="auto"/>
            <w:vAlign w:val="center"/>
          </w:tcPr>
          <w:p w14:paraId="1E6CB04B">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85" w:type="dxa"/>
            <w:shd w:val="clear" w:color="auto" w:fill="auto"/>
            <w:vAlign w:val="center"/>
          </w:tcPr>
          <w:p w14:paraId="4C91A1CD">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05" w:type="dxa"/>
            <w:shd w:val="clear" w:color="auto" w:fill="auto"/>
            <w:vAlign w:val="center"/>
          </w:tcPr>
          <w:p w14:paraId="2044CA01">
            <w:pPr>
              <w:autoSpaceDE w:val="0"/>
              <w:autoSpaceDN w:val="0"/>
              <w:adjustRightInd w:val="0"/>
              <w:snapToGrid w:val="0"/>
              <w:jc w:val="center"/>
              <w:rPr>
                <w:rFonts w:ascii="Times New Roman"/>
                <w:sz w:val="21"/>
                <w:szCs w:val="21"/>
              </w:rPr>
            </w:pPr>
            <w:r>
              <w:rPr>
                <w:rFonts w:ascii="Times New Roman"/>
                <w:sz w:val="21"/>
                <w:szCs w:val="21"/>
              </w:rPr>
              <w:t>0</w:t>
            </w:r>
          </w:p>
        </w:tc>
        <w:tc>
          <w:tcPr>
            <w:tcW w:w="780" w:type="dxa"/>
            <w:shd w:val="clear" w:color="auto" w:fill="auto"/>
            <w:vAlign w:val="center"/>
          </w:tcPr>
          <w:p w14:paraId="6710BF9F">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21FA4C1A">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continue"/>
            <w:vAlign w:val="center"/>
          </w:tcPr>
          <w:p w14:paraId="6C9A6C8B">
            <w:pPr>
              <w:autoSpaceDE w:val="0"/>
              <w:autoSpaceDN w:val="0"/>
              <w:adjustRightInd w:val="0"/>
              <w:snapToGrid w:val="0"/>
              <w:jc w:val="center"/>
              <w:rPr>
                <w:rFonts w:ascii="Times New Roman"/>
                <w:sz w:val="21"/>
                <w:szCs w:val="21"/>
              </w:rPr>
            </w:pPr>
          </w:p>
        </w:tc>
        <w:tc>
          <w:tcPr>
            <w:tcW w:w="1012" w:type="dxa"/>
            <w:vAlign w:val="center"/>
          </w:tcPr>
          <w:p w14:paraId="57ACD62E">
            <w:pPr>
              <w:autoSpaceDE w:val="0"/>
              <w:autoSpaceDN w:val="0"/>
              <w:adjustRightInd w:val="0"/>
              <w:snapToGrid w:val="0"/>
              <w:jc w:val="center"/>
              <w:rPr>
                <w:rFonts w:ascii="Times New Roman"/>
                <w:sz w:val="21"/>
                <w:szCs w:val="21"/>
              </w:rPr>
            </w:pPr>
          </w:p>
        </w:tc>
      </w:tr>
      <w:tr w14:paraId="717A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089" w:type="dxa"/>
            <w:vMerge w:val="restart"/>
            <w:vAlign w:val="center"/>
          </w:tcPr>
          <w:p w14:paraId="3B579F40">
            <w:pPr>
              <w:autoSpaceDE w:val="0"/>
              <w:autoSpaceDN w:val="0"/>
              <w:adjustRightInd w:val="0"/>
              <w:snapToGrid w:val="0"/>
              <w:jc w:val="center"/>
              <w:rPr>
                <w:rFonts w:ascii="Times New Roman"/>
                <w:sz w:val="21"/>
                <w:szCs w:val="21"/>
              </w:rPr>
            </w:pPr>
            <w:r>
              <w:rPr>
                <w:rFonts w:ascii="Times New Roman"/>
                <w:sz w:val="21"/>
                <w:szCs w:val="21"/>
              </w:rPr>
              <w:t>UF2</w:t>
            </w:r>
          </w:p>
        </w:tc>
        <w:tc>
          <w:tcPr>
            <w:tcW w:w="885" w:type="dxa"/>
            <w:vMerge w:val="restart"/>
            <w:vAlign w:val="center"/>
          </w:tcPr>
          <w:p w14:paraId="5D927A5D">
            <w:pPr>
              <w:autoSpaceDE w:val="0"/>
              <w:autoSpaceDN w:val="0"/>
              <w:adjustRightInd w:val="0"/>
              <w:snapToGrid w:val="0"/>
              <w:jc w:val="center"/>
              <w:rPr>
                <w:rFonts w:ascii="Times New Roman"/>
                <w:sz w:val="21"/>
                <w:szCs w:val="21"/>
              </w:rPr>
            </w:pPr>
            <w:r>
              <w:rPr>
                <w:rFonts w:ascii="Times New Roman"/>
                <w:sz w:val="21"/>
                <w:szCs w:val="21"/>
              </w:rPr>
              <w:t>纯水</w:t>
            </w:r>
          </w:p>
        </w:tc>
        <w:tc>
          <w:tcPr>
            <w:tcW w:w="1020" w:type="dxa"/>
            <w:vMerge w:val="restart"/>
            <w:vAlign w:val="center"/>
          </w:tcPr>
          <w:p w14:paraId="193B18D6">
            <w:pPr>
              <w:autoSpaceDE w:val="0"/>
              <w:autoSpaceDN w:val="0"/>
              <w:adjustRightInd w:val="0"/>
              <w:snapToGrid w:val="0"/>
              <w:jc w:val="center"/>
              <w:rPr>
                <w:rFonts w:ascii="Times New Roman"/>
                <w:sz w:val="21"/>
                <w:szCs w:val="21"/>
              </w:rPr>
            </w:pPr>
            <w:r>
              <w:rPr>
                <w:rFonts w:ascii="Times New Roman"/>
                <w:sz w:val="21"/>
                <w:szCs w:val="21"/>
              </w:rPr>
              <w:t>140.6</w:t>
            </w:r>
          </w:p>
        </w:tc>
        <w:tc>
          <w:tcPr>
            <w:tcW w:w="735" w:type="dxa"/>
            <w:vMerge w:val="restart"/>
            <w:vAlign w:val="center"/>
          </w:tcPr>
          <w:p w14:paraId="42589F17">
            <w:pPr>
              <w:autoSpaceDE w:val="0"/>
              <w:autoSpaceDN w:val="0"/>
              <w:adjustRightInd w:val="0"/>
              <w:snapToGrid w:val="0"/>
              <w:jc w:val="center"/>
              <w:rPr>
                <w:rFonts w:ascii="Times New Roman"/>
                <w:sz w:val="21"/>
                <w:szCs w:val="21"/>
              </w:rPr>
            </w:pPr>
            <w:r>
              <w:rPr>
                <w:rFonts w:ascii="Times New Roman"/>
                <w:sz w:val="21"/>
                <w:szCs w:val="21"/>
              </w:rPr>
              <w:t>1</w:t>
            </w:r>
          </w:p>
        </w:tc>
        <w:tc>
          <w:tcPr>
            <w:tcW w:w="1245" w:type="dxa"/>
            <w:vMerge w:val="restart"/>
            <w:vAlign w:val="center"/>
          </w:tcPr>
          <w:p w14:paraId="45D16196">
            <w:pPr>
              <w:autoSpaceDE w:val="0"/>
              <w:autoSpaceDN w:val="0"/>
              <w:adjustRightInd w:val="0"/>
              <w:snapToGrid w:val="0"/>
              <w:jc w:val="center"/>
              <w:rPr>
                <w:rFonts w:ascii="Times New Roman"/>
                <w:sz w:val="21"/>
                <w:szCs w:val="21"/>
              </w:rPr>
            </w:pPr>
            <w:r>
              <w:rPr>
                <w:rFonts w:ascii="Times New Roman"/>
                <w:sz w:val="21"/>
                <w:szCs w:val="21"/>
              </w:rPr>
              <w:t>/</w:t>
            </w:r>
          </w:p>
        </w:tc>
        <w:tc>
          <w:tcPr>
            <w:tcW w:w="1620" w:type="dxa"/>
            <w:shd w:val="clear" w:color="auto" w:fill="auto"/>
            <w:vAlign w:val="center"/>
          </w:tcPr>
          <w:p w14:paraId="778FDCF3">
            <w:pPr>
              <w:autoSpaceDE w:val="0"/>
              <w:autoSpaceDN w:val="0"/>
              <w:adjustRightInd w:val="0"/>
              <w:snapToGrid w:val="0"/>
              <w:jc w:val="center"/>
              <w:rPr>
                <w:rFonts w:ascii="Times New Roman"/>
                <w:sz w:val="21"/>
                <w:szCs w:val="21"/>
              </w:rPr>
            </w:pPr>
            <w:r>
              <w:rPr>
                <w:rFonts w:hint="eastAsia" w:ascii="Times New Roman"/>
                <w:sz w:val="21"/>
                <w:szCs w:val="21"/>
              </w:rPr>
              <w:t>首次运行注水</w:t>
            </w:r>
          </w:p>
        </w:tc>
        <w:tc>
          <w:tcPr>
            <w:tcW w:w="990" w:type="dxa"/>
            <w:shd w:val="clear" w:color="auto" w:fill="auto"/>
            <w:vAlign w:val="center"/>
          </w:tcPr>
          <w:p w14:paraId="682D8749">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885" w:type="dxa"/>
            <w:shd w:val="clear" w:color="auto" w:fill="auto"/>
            <w:vAlign w:val="center"/>
          </w:tcPr>
          <w:p w14:paraId="36159739">
            <w:pPr>
              <w:autoSpaceDE w:val="0"/>
              <w:autoSpaceDN w:val="0"/>
              <w:adjustRightInd w:val="0"/>
              <w:snapToGrid w:val="0"/>
              <w:jc w:val="center"/>
              <w:rPr>
                <w:rFonts w:ascii="Times New Roman"/>
                <w:sz w:val="21"/>
                <w:szCs w:val="21"/>
              </w:rPr>
            </w:pPr>
            <w:r>
              <w:rPr>
                <w:rFonts w:hint="eastAsia" w:ascii="Times New Roman"/>
                <w:sz w:val="21"/>
                <w:szCs w:val="21"/>
              </w:rPr>
              <w:t>140.6</w:t>
            </w:r>
          </w:p>
        </w:tc>
        <w:tc>
          <w:tcPr>
            <w:tcW w:w="705" w:type="dxa"/>
            <w:shd w:val="clear" w:color="auto" w:fill="auto"/>
            <w:vAlign w:val="center"/>
          </w:tcPr>
          <w:p w14:paraId="72297FCB">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780" w:type="dxa"/>
            <w:shd w:val="clear" w:color="auto" w:fill="auto"/>
            <w:vAlign w:val="center"/>
          </w:tcPr>
          <w:p w14:paraId="0F8DA949">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855" w:type="dxa"/>
            <w:shd w:val="clear" w:color="auto" w:fill="auto"/>
            <w:vAlign w:val="center"/>
          </w:tcPr>
          <w:p w14:paraId="3B3075C5">
            <w:pPr>
              <w:autoSpaceDE w:val="0"/>
              <w:autoSpaceDN w:val="0"/>
              <w:adjustRightInd w:val="0"/>
              <w:snapToGrid w:val="0"/>
              <w:jc w:val="center"/>
              <w:rPr>
                <w:rFonts w:ascii="Times New Roman"/>
                <w:sz w:val="21"/>
                <w:szCs w:val="21"/>
              </w:rPr>
            </w:pPr>
            <w:r>
              <w:rPr>
                <w:rFonts w:hint="eastAsia" w:ascii="Times New Roman"/>
                <w:sz w:val="21"/>
                <w:szCs w:val="21"/>
              </w:rPr>
              <w:t>0</w:t>
            </w:r>
          </w:p>
        </w:tc>
        <w:tc>
          <w:tcPr>
            <w:tcW w:w="2346" w:type="dxa"/>
            <w:vMerge w:val="restart"/>
            <w:vAlign w:val="center"/>
          </w:tcPr>
          <w:p w14:paraId="714B0123">
            <w:pPr>
              <w:autoSpaceDE w:val="0"/>
              <w:autoSpaceDN w:val="0"/>
              <w:adjustRightInd w:val="0"/>
              <w:snapToGrid w:val="0"/>
              <w:jc w:val="center"/>
              <w:rPr>
                <w:rFonts w:ascii="Times New Roman"/>
                <w:sz w:val="21"/>
                <w:szCs w:val="21"/>
              </w:rPr>
            </w:pPr>
            <w:r>
              <w:rPr>
                <w:rFonts w:hint="eastAsia" w:ascii="Times New Roman"/>
                <w:sz w:val="21"/>
                <w:szCs w:val="21"/>
              </w:rPr>
              <w:t>首次运行注入纯水，后续</w:t>
            </w:r>
            <w:r>
              <w:rPr>
                <w:rFonts w:ascii="Times New Roman"/>
                <w:sz w:val="21"/>
                <w:szCs w:val="21"/>
              </w:rPr>
              <w:t>连续排放</w:t>
            </w:r>
          </w:p>
        </w:tc>
        <w:tc>
          <w:tcPr>
            <w:tcW w:w="1012" w:type="dxa"/>
            <w:vAlign w:val="center"/>
          </w:tcPr>
          <w:p w14:paraId="55BB9D1A">
            <w:pPr>
              <w:autoSpaceDE w:val="0"/>
              <w:autoSpaceDN w:val="0"/>
              <w:adjustRightInd w:val="0"/>
              <w:snapToGrid w:val="0"/>
              <w:jc w:val="center"/>
            </w:pPr>
            <w:r>
              <w:rPr>
                <w:rFonts w:hint="eastAsia"/>
              </w:rPr>
              <w:t>/</w:t>
            </w:r>
          </w:p>
        </w:tc>
      </w:tr>
      <w:tr w14:paraId="7BDD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9" w:type="dxa"/>
            <w:vMerge w:val="continue"/>
            <w:vAlign w:val="center"/>
          </w:tcPr>
          <w:p w14:paraId="55E8BBDC">
            <w:pPr>
              <w:autoSpaceDE w:val="0"/>
              <w:autoSpaceDN w:val="0"/>
              <w:adjustRightInd w:val="0"/>
              <w:snapToGrid w:val="0"/>
              <w:jc w:val="center"/>
              <w:rPr>
                <w:rFonts w:ascii="Times New Roman"/>
                <w:sz w:val="21"/>
                <w:szCs w:val="21"/>
              </w:rPr>
            </w:pPr>
          </w:p>
        </w:tc>
        <w:tc>
          <w:tcPr>
            <w:tcW w:w="885" w:type="dxa"/>
            <w:vMerge w:val="continue"/>
            <w:vAlign w:val="center"/>
          </w:tcPr>
          <w:p w14:paraId="5F51097B">
            <w:pPr>
              <w:autoSpaceDE w:val="0"/>
              <w:autoSpaceDN w:val="0"/>
              <w:adjustRightInd w:val="0"/>
              <w:snapToGrid w:val="0"/>
              <w:jc w:val="center"/>
              <w:rPr>
                <w:rFonts w:ascii="Times New Roman"/>
                <w:sz w:val="21"/>
                <w:szCs w:val="21"/>
              </w:rPr>
            </w:pPr>
          </w:p>
        </w:tc>
        <w:tc>
          <w:tcPr>
            <w:tcW w:w="1020" w:type="dxa"/>
            <w:vMerge w:val="continue"/>
            <w:vAlign w:val="center"/>
          </w:tcPr>
          <w:p w14:paraId="4F47C6CC">
            <w:pPr>
              <w:autoSpaceDE w:val="0"/>
              <w:autoSpaceDN w:val="0"/>
              <w:adjustRightInd w:val="0"/>
              <w:snapToGrid w:val="0"/>
              <w:jc w:val="center"/>
              <w:rPr>
                <w:rFonts w:ascii="Times New Roman"/>
                <w:sz w:val="21"/>
                <w:szCs w:val="21"/>
              </w:rPr>
            </w:pPr>
          </w:p>
        </w:tc>
        <w:tc>
          <w:tcPr>
            <w:tcW w:w="735" w:type="dxa"/>
            <w:vMerge w:val="continue"/>
            <w:vAlign w:val="center"/>
          </w:tcPr>
          <w:p w14:paraId="1501D45A">
            <w:pPr>
              <w:autoSpaceDE w:val="0"/>
              <w:autoSpaceDN w:val="0"/>
              <w:adjustRightInd w:val="0"/>
              <w:snapToGrid w:val="0"/>
              <w:jc w:val="center"/>
              <w:rPr>
                <w:rFonts w:ascii="Times New Roman"/>
                <w:sz w:val="21"/>
                <w:szCs w:val="21"/>
              </w:rPr>
            </w:pPr>
          </w:p>
        </w:tc>
        <w:tc>
          <w:tcPr>
            <w:tcW w:w="1245" w:type="dxa"/>
            <w:vMerge w:val="continue"/>
            <w:vAlign w:val="center"/>
          </w:tcPr>
          <w:p w14:paraId="194A00D6">
            <w:pPr>
              <w:autoSpaceDE w:val="0"/>
              <w:autoSpaceDN w:val="0"/>
              <w:adjustRightInd w:val="0"/>
              <w:snapToGrid w:val="0"/>
              <w:jc w:val="center"/>
              <w:rPr>
                <w:rFonts w:ascii="Times New Roman"/>
                <w:sz w:val="21"/>
                <w:szCs w:val="21"/>
              </w:rPr>
            </w:pPr>
          </w:p>
        </w:tc>
        <w:tc>
          <w:tcPr>
            <w:tcW w:w="1620" w:type="dxa"/>
            <w:vAlign w:val="center"/>
          </w:tcPr>
          <w:p w14:paraId="5817AF32">
            <w:pPr>
              <w:autoSpaceDE w:val="0"/>
              <w:autoSpaceDN w:val="0"/>
              <w:adjustRightInd w:val="0"/>
              <w:snapToGrid w:val="0"/>
              <w:jc w:val="center"/>
              <w:rPr>
                <w:rFonts w:ascii="Times New Roman"/>
                <w:sz w:val="21"/>
                <w:szCs w:val="21"/>
              </w:rPr>
            </w:pPr>
            <w:r>
              <w:rPr>
                <w:rFonts w:ascii="Times New Roman"/>
                <w:sz w:val="21"/>
                <w:szCs w:val="21"/>
              </w:rPr>
              <w:t>损耗2%</w:t>
            </w:r>
          </w:p>
        </w:tc>
        <w:tc>
          <w:tcPr>
            <w:tcW w:w="990" w:type="dxa"/>
            <w:shd w:val="clear" w:color="auto" w:fill="auto"/>
            <w:vAlign w:val="center"/>
          </w:tcPr>
          <w:p w14:paraId="51A9CAD8">
            <w:pPr>
              <w:autoSpaceDE w:val="0"/>
              <w:autoSpaceDN w:val="0"/>
              <w:adjustRightInd w:val="0"/>
              <w:snapToGrid w:val="0"/>
              <w:jc w:val="center"/>
              <w:rPr>
                <w:rFonts w:ascii="Times New Roman"/>
                <w:sz w:val="21"/>
                <w:szCs w:val="21"/>
              </w:rPr>
            </w:pPr>
            <w:r>
              <w:rPr>
                <w:rFonts w:hint="eastAsia" w:ascii="Times New Roman"/>
                <w:sz w:val="21"/>
                <w:szCs w:val="21"/>
              </w:rPr>
              <w:t>4.012</w:t>
            </w:r>
          </w:p>
        </w:tc>
        <w:tc>
          <w:tcPr>
            <w:tcW w:w="885" w:type="dxa"/>
            <w:shd w:val="clear" w:color="auto" w:fill="auto"/>
            <w:vAlign w:val="center"/>
          </w:tcPr>
          <w:p w14:paraId="3BFBB32E">
            <w:pPr>
              <w:autoSpaceDE w:val="0"/>
              <w:autoSpaceDN w:val="0"/>
              <w:adjustRightInd w:val="0"/>
              <w:snapToGrid w:val="0"/>
              <w:jc w:val="center"/>
              <w:rPr>
                <w:rFonts w:ascii="Times New Roman"/>
                <w:sz w:val="21"/>
                <w:szCs w:val="21"/>
              </w:rPr>
            </w:pPr>
            <w:r>
              <w:rPr>
                <w:rFonts w:hint="eastAsia" w:ascii="Times New Roman"/>
                <w:sz w:val="21"/>
                <w:szCs w:val="21"/>
              </w:rPr>
              <w:t>1203.6</w:t>
            </w:r>
          </w:p>
        </w:tc>
        <w:tc>
          <w:tcPr>
            <w:tcW w:w="705" w:type="dxa"/>
            <w:shd w:val="clear" w:color="auto" w:fill="auto"/>
            <w:vAlign w:val="center"/>
          </w:tcPr>
          <w:p w14:paraId="23B83B1C">
            <w:pPr>
              <w:autoSpaceDE w:val="0"/>
              <w:autoSpaceDN w:val="0"/>
              <w:adjustRightInd w:val="0"/>
              <w:snapToGrid w:val="0"/>
              <w:jc w:val="center"/>
              <w:rPr>
                <w:rFonts w:ascii="Times New Roman"/>
                <w:sz w:val="21"/>
                <w:szCs w:val="21"/>
              </w:rPr>
            </w:pPr>
            <w:r>
              <w:rPr>
                <w:rFonts w:ascii="Times New Roman"/>
                <w:sz w:val="21"/>
                <w:szCs w:val="21"/>
              </w:rPr>
              <w:t>0.9</w:t>
            </w:r>
          </w:p>
        </w:tc>
        <w:tc>
          <w:tcPr>
            <w:tcW w:w="780" w:type="dxa"/>
            <w:shd w:val="clear" w:color="auto" w:fill="auto"/>
            <w:vAlign w:val="center"/>
          </w:tcPr>
          <w:p w14:paraId="24727973">
            <w:pPr>
              <w:autoSpaceDE w:val="0"/>
              <w:autoSpaceDN w:val="0"/>
              <w:adjustRightInd w:val="0"/>
              <w:snapToGrid w:val="0"/>
              <w:jc w:val="center"/>
              <w:rPr>
                <w:rFonts w:ascii="Times New Roman"/>
                <w:sz w:val="21"/>
                <w:szCs w:val="21"/>
              </w:rPr>
            </w:pPr>
            <w:r>
              <w:rPr>
                <w:rFonts w:ascii="Times New Roman"/>
                <w:sz w:val="21"/>
                <w:szCs w:val="21"/>
              </w:rPr>
              <w:t>0</w:t>
            </w:r>
          </w:p>
        </w:tc>
        <w:tc>
          <w:tcPr>
            <w:tcW w:w="855" w:type="dxa"/>
            <w:shd w:val="clear" w:color="auto" w:fill="auto"/>
            <w:vAlign w:val="center"/>
          </w:tcPr>
          <w:p w14:paraId="247AB40B">
            <w:pPr>
              <w:autoSpaceDE w:val="0"/>
              <w:autoSpaceDN w:val="0"/>
              <w:adjustRightInd w:val="0"/>
              <w:snapToGrid w:val="0"/>
              <w:jc w:val="center"/>
              <w:rPr>
                <w:rFonts w:ascii="Times New Roman"/>
                <w:sz w:val="21"/>
                <w:szCs w:val="21"/>
              </w:rPr>
            </w:pPr>
            <w:r>
              <w:rPr>
                <w:rFonts w:ascii="Times New Roman"/>
                <w:sz w:val="21"/>
                <w:szCs w:val="21"/>
              </w:rPr>
              <w:t>0</w:t>
            </w:r>
          </w:p>
        </w:tc>
        <w:tc>
          <w:tcPr>
            <w:tcW w:w="2346" w:type="dxa"/>
            <w:vMerge w:val="continue"/>
            <w:vAlign w:val="center"/>
          </w:tcPr>
          <w:p w14:paraId="305A5044">
            <w:pPr>
              <w:autoSpaceDE w:val="0"/>
              <w:autoSpaceDN w:val="0"/>
              <w:adjustRightInd w:val="0"/>
              <w:snapToGrid w:val="0"/>
              <w:jc w:val="center"/>
              <w:rPr>
                <w:rFonts w:ascii="Times New Roman"/>
                <w:sz w:val="21"/>
                <w:szCs w:val="21"/>
              </w:rPr>
            </w:pPr>
          </w:p>
        </w:tc>
        <w:tc>
          <w:tcPr>
            <w:tcW w:w="1012" w:type="dxa"/>
            <w:vAlign w:val="center"/>
          </w:tcPr>
          <w:p w14:paraId="32F6637B">
            <w:pPr>
              <w:autoSpaceDE w:val="0"/>
              <w:autoSpaceDN w:val="0"/>
              <w:adjustRightInd w:val="0"/>
              <w:snapToGrid w:val="0"/>
              <w:jc w:val="center"/>
              <w:rPr>
                <w:rFonts w:ascii="Times New Roman"/>
                <w:sz w:val="21"/>
                <w:szCs w:val="21"/>
              </w:rPr>
            </w:pPr>
            <w:r>
              <w:rPr>
                <w:rFonts w:hint="eastAsia" w:ascii="Times New Roman"/>
                <w:sz w:val="21"/>
                <w:szCs w:val="21"/>
              </w:rPr>
              <w:t>进入</w:t>
            </w:r>
            <w:r>
              <w:rPr>
                <w:rFonts w:ascii="Times New Roman"/>
                <w:sz w:val="21"/>
                <w:szCs w:val="21"/>
              </w:rPr>
              <w:t>UF1</w:t>
            </w:r>
          </w:p>
        </w:tc>
      </w:tr>
      <w:tr w14:paraId="5D83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4167" w:type="dxa"/>
            <w:gridSpan w:val="13"/>
            <w:vAlign w:val="center"/>
          </w:tcPr>
          <w:p w14:paraId="50B2230C">
            <w:pPr>
              <w:autoSpaceDE w:val="0"/>
              <w:autoSpaceDN w:val="0"/>
              <w:adjustRightInd w:val="0"/>
              <w:snapToGrid w:val="0"/>
              <w:rPr>
                <w:rFonts w:ascii="Times New Roman"/>
                <w:sz w:val="21"/>
                <w:szCs w:val="21"/>
              </w:rPr>
            </w:pPr>
            <w:r>
              <w:rPr>
                <w:rFonts w:hint="eastAsia" w:ascii="Times New Roman"/>
                <w:sz w:val="21"/>
                <w:szCs w:val="21"/>
              </w:rPr>
              <w:t>注：①电泳线首次运行注水：新鲜水680.2</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，纯水838.8</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（折新鲜水1118.4</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w:t>
            </w:r>
          </w:p>
          <w:p w14:paraId="49EC23F0">
            <w:pPr>
              <w:autoSpaceDE w:val="0"/>
              <w:autoSpaceDN w:val="0"/>
              <w:adjustRightInd w:val="0"/>
              <w:snapToGrid w:val="0"/>
              <w:ind w:firstLine="420" w:firstLineChars="200"/>
              <w:rPr>
                <w:rFonts w:ascii="Times New Roman"/>
                <w:sz w:val="21"/>
                <w:szCs w:val="21"/>
              </w:rPr>
            </w:pPr>
            <w:r>
              <w:rPr>
                <w:rFonts w:hint="eastAsia" w:ascii="Times New Roman"/>
                <w:sz w:val="21"/>
                <w:szCs w:val="21"/>
              </w:rPr>
              <w:t>②槽体清洗每半年1次，</w:t>
            </w:r>
            <w:r>
              <w:rPr>
                <w:rFonts w:ascii="Times New Roman"/>
                <w:sz w:val="21"/>
                <w:szCs w:val="21"/>
              </w:rPr>
              <w:t>水洗</w:t>
            </w:r>
            <w:r>
              <w:rPr>
                <w:rFonts w:hint="eastAsia" w:ascii="Times New Roman"/>
                <w:sz w:val="21"/>
                <w:szCs w:val="21"/>
              </w:rPr>
              <w:t>槽内废水2天排尽后用于槽体清洗</w:t>
            </w:r>
            <w:r>
              <w:rPr>
                <w:rFonts w:ascii="Times New Roman"/>
                <w:sz w:val="21"/>
                <w:szCs w:val="21"/>
              </w:rPr>
              <w:t>转移槽</w:t>
            </w:r>
            <w:r>
              <w:rPr>
                <w:rFonts w:hint="eastAsia" w:ascii="Times New Roman"/>
                <w:sz w:val="21"/>
                <w:szCs w:val="21"/>
              </w:rPr>
              <w:t>。槽体清洗水：新鲜水42.18</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，纯水14.06</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（折新鲜水18.75</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w:t>
            </w:r>
          </w:p>
        </w:tc>
      </w:tr>
    </w:tbl>
    <w:p w14:paraId="5D94729A">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本项目纯水制备采用“反渗透”工艺，由新鲜水制备纯水，制备效率为75%。本项目</w:t>
      </w:r>
      <w:r>
        <w:rPr>
          <w:rFonts w:hint="eastAsia" w:ascii="Times New Roman"/>
          <w:sz w:val="24"/>
          <w:szCs w:val="24"/>
        </w:rPr>
        <w:t>日常运行</w:t>
      </w:r>
      <w:r>
        <w:rPr>
          <w:rFonts w:ascii="Times New Roman"/>
          <w:sz w:val="24"/>
          <w:szCs w:val="24"/>
        </w:rPr>
        <w:t>纯水用量合计</w:t>
      </w:r>
      <w:r>
        <w:rPr>
          <w:rFonts w:hint="eastAsia" w:ascii="Times New Roman"/>
          <w:sz w:val="24"/>
          <w:szCs w:val="24"/>
        </w:rPr>
        <w:t>78.612</w:t>
      </w:r>
      <w:r>
        <w:rPr>
          <w:rFonts w:ascii="Times New Roman"/>
          <w:sz w:val="24"/>
          <w:szCs w:val="24"/>
        </w:rPr>
        <w:t>m</w:t>
      </w:r>
      <w:r>
        <w:rPr>
          <w:rFonts w:ascii="Times New Roman"/>
          <w:sz w:val="24"/>
          <w:szCs w:val="24"/>
          <w:vertAlign w:val="superscript"/>
        </w:rPr>
        <w:t>3</w:t>
      </w:r>
      <w:r>
        <w:rPr>
          <w:rFonts w:ascii="Times New Roman"/>
          <w:sz w:val="24"/>
          <w:szCs w:val="24"/>
        </w:rPr>
        <w:t>/d（</w:t>
      </w:r>
      <w:r>
        <w:rPr>
          <w:rFonts w:hint="eastAsia" w:ascii="Times New Roman"/>
          <w:sz w:val="24"/>
          <w:szCs w:val="24"/>
        </w:rPr>
        <w:t>23583.6</w:t>
      </w:r>
      <w:r>
        <w:rPr>
          <w:rFonts w:ascii="Times New Roman"/>
          <w:sz w:val="24"/>
          <w:szCs w:val="24"/>
        </w:rPr>
        <w:t>m</w:t>
      </w:r>
      <w:r>
        <w:rPr>
          <w:rFonts w:ascii="Times New Roman"/>
          <w:sz w:val="24"/>
          <w:szCs w:val="24"/>
          <w:vertAlign w:val="superscript"/>
        </w:rPr>
        <w:t>3</w:t>
      </w:r>
      <w:r>
        <w:rPr>
          <w:rFonts w:ascii="Times New Roman"/>
          <w:sz w:val="24"/>
          <w:szCs w:val="24"/>
        </w:rPr>
        <w:t>/a），则纯水制备新鲜水用量为</w:t>
      </w:r>
      <w:r>
        <w:rPr>
          <w:rFonts w:hint="eastAsia" w:ascii="Times New Roman"/>
          <w:sz w:val="24"/>
          <w:szCs w:val="24"/>
        </w:rPr>
        <w:t>104.816</w:t>
      </w:r>
      <w:r>
        <w:rPr>
          <w:rFonts w:ascii="Times New Roman"/>
          <w:sz w:val="24"/>
          <w:szCs w:val="24"/>
        </w:rPr>
        <w:t>m</w:t>
      </w:r>
      <w:r>
        <w:rPr>
          <w:rFonts w:ascii="Times New Roman"/>
          <w:sz w:val="24"/>
          <w:szCs w:val="24"/>
          <w:vertAlign w:val="superscript"/>
        </w:rPr>
        <w:t>3</w:t>
      </w:r>
      <w:r>
        <w:rPr>
          <w:rFonts w:ascii="Times New Roman"/>
          <w:sz w:val="24"/>
          <w:szCs w:val="24"/>
        </w:rPr>
        <w:t>/d（</w:t>
      </w:r>
      <w:r>
        <w:rPr>
          <w:rFonts w:hint="eastAsia" w:ascii="Times New Roman"/>
          <w:sz w:val="24"/>
          <w:szCs w:val="24"/>
        </w:rPr>
        <w:t>31444.8</w:t>
      </w:r>
      <w:r>
        <w:rPr>
          <w:rFonts w:ascii="Times New Roman"/>
          <w:sz w:val="24"/>
          <w:szCs w:val="24"/>
        </w:rPr>
        <w:t>m</w:t>
      </w:r>
      <w:r>
        <w:rPr>
          <w:rFonts w:ascii="Times New Roman"/>
          <w:sz w:val="24"/>
          <w:szCs w:val="24"/>
          <w:vertAlign w:val="superscript"/>
        </w:rPr>
        <w:t>3</w:t>
      </w:r>
      <w:r>
        <w:rPr>
          <w:rFonts w:ascii="Times New Roman"/>
          <w:sz w:val="24"/>
          <w:szCs w:val="24"/>
        </w:rPr>
        <w:t>/a），纯制备浓水产生量为</w:t>
      </w:r>
      <w:r>
        <w:rPr>
          <w:rFonts w:hint="eastAsia" w:ascii="Times New Roman"/>
          <w:sz w:val="24"/>
          <w:szCs w:val="24"/>
        </w:rPr>
        <w:t>26.204</w:t>
      </w:r>
      <w:r>
        <w:rPr>
          <w:rFonts w:ascii="Times New Roman"/>
          <w:sz w:val="24"/>
          <w:szCs w:val="24"/>
        </w:rPr>
        <w:t>m</w:t>
      </w:r>
      <w:r>
        <w:rPr>
          <w:rFonts w:ascii="Times New Roman"/>
          <w:sz w:val="24"/>
          <w:szCs w:val="24"/>
          <w:vertAlign w:val="superscript"/>
        </w:rPr>
        <w:t>3</w:t>
      </w:r>
      <w:r>
        <w:rPr>
          <w:rFonts w:ascii="Times New Roman"/>
          <w:sz w:val="24"/>
          <w:szCs w:val="24"/>
        </w:rPr>
        <w:t>/d（</w:t>
      </w:r>
      <w:r>
        <w:rPr>
          <w:rFonts w:hint="eastAsia" w:ascii="Times New Roman"/>
          <w:sz w:val="24"/>
          <w:szCs w:val="24"/>
        </w:rPr>
        <w:t>7861.2</w:t>
      </w:r>
      <w:r>
        <w:rPr>
          <w:rFonts w:ascii="Times New Roman"/>
          <w:sz w:val="24"/>
          <w:szCs w:val="24"/>
        </w:rPr>
        <w:t>m</w:t>
      </w:r>
      <w:r>
        <w:rPr>
          <w:rFonts w:ascii="Times New Roman"/>
          <w:sz w:val="24"/>
          <w:szCs w:val="24"/>
          <w:vertAlign w:val="superscript"/>
        </w:rPr>
        <w:t>3</w:t>
      </w:r>
      <w:r>
        <w:rPr>
          <w:rFonts w:ascii="Times New Roman"/>
          <w:sz w:val="24"/>
          <w:szCs w:val="24"/>
        </w:rPr>
        <w:t>/a）。</w:t>
      </w:r>
    </w:p>
    <w:p w14:paraId="5FF4D3F0">
      <w:pPr>
        <w:rPr>
          <w:rFonts w:ascii="Times New Roman"/>
        </w:rPr>
        <w:sectPr>
          <w:pgSz w:w="16838" w:h="11906" w:orient="landscape"/>
          <w:pgMar w:top="1800" w:right="1440" w:bottom="1800" w:left="1440" w:header="1134" w:footer="1134" w:gutter="0"/>
          <w:cols w:space="720" w:num="1"/>
          <w:docGrid w:type="lines" w:linePitch="340" w:charSpace="0"/>
        </w:sectPr>
      </w:pPr>
    </w:p>
    <w:p w14:paraId="2798FA6F">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2、</w:t>
      </w:r>
      <w:r>
        <w:rPr>
          <w:rFonts w:ascii="Times New Roman"/>
          <w:kern w:val="0"/>
          <w:sz w:val="24"/>
          <w:szCs w:val="24"/>
        </w:rPr>
        <w:t>车间地面清洁</w:t>
      </w:r>
      <w:r>
        <w:rPr>
          <w:rFonts w:ascii="Times New Roman"/>
          <w:sz w:val="24"/>
          <w:szCs w:val="24"/>
        </w:rPr>
        <w:t>用水</w:t>
      </w:r>
    </w:p>
    <w:p w14:paraId="49DE6D85">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车间地面清洗采用拖洗的方式，每周清洁一次，则</w:t>
      </w:r>
      <w:r>
        <w:rPr>
          <w:rFonts w:ascii="Times New Roman"/>
          <w:kern w:val="0"/>
          <w:sz w:val="24"/>
          <w:szCs w:val="24"/>
        </w:rPr>
        <w:t>车间地面清洁</w:t>
      </w:r>
      <w:r>
        <w:rPr>
          <w:rFonts w:ascii="Times New Roman"/>
          <w:sz w:val="24"/>
          <w:szCs w:val="24"/>
        </w:rPr>
        <w:t>用水约为3m</w:t>
      </w:r>
      <w:r>
        <w:rPr>
          <w:rFonts w:ascii="Times New Roman"/>
          <w:sz w:val="24"/>
          <w:szCs w:val="24"/>
          <w:vertAlign w:val="superscript"/>
        </w:rPr>
        <w:t>3</w:t>
      </w:r>
      <w:r>
        <w:rPr>
          <w:rFonts w:ascii="Times New Roman"/>
          <w:sz w:val="24"/>
          <w:szCs w:val="24"/>
        </w:rPr>
        <w:t>/d（900m</w:t>
      </w:r>
      <w:r>
        <w:rPr>
          <w:rFonts w:ascii="Times New Roman"/>
          <w:sz w:val="24"/>
          <w:szCs w:val="24"/>
          <w:vertAlign w:val="superscript"/>
        </w:rPr>
        <w:t>3</w:t>
      </w:r>
      <w:r>
        <w:rPr>
          <w:rFonts w:ascii="Times New Roman"/>
          <w:sz w:val="24"/>
          <w:szCs w:val="24"/>
        </w:rPr>
        <w:t>/a）。</w:t>
      </w:r>
    </w:p>
    <w:p w14:paraId="61DD4230">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3、绿化用水</w:t>
      </w:r>
    </w:p>
    <w:p w14:paraId="43BD3DC5">
      <w:pPr>
        <w:autoSpaceDE w:val="0"/>
        <w:autoSpaceDN w:val="0"/>
        <w:adjustRightInd w:val="0"/>
        <w:snapToGrid w:val="0"/>
        <w:spacing w:line="360" w:lineRule="auto"/>
        <w:ind w:firstLine="480" w:firstLineChars="200"/>
        <w:rPr>
          <w:rFonts w:ascii="Times New Roman"/>
          <w:sz w:val="24"/>
          <w:szCs w:val="24"/>
        </w:rPr>
      </w:pPr>
      <w:r>
        <w:rPr>
          <w:rFonts w:ascii="Times New Roman"/>
          <w:kern w:val="0"/>
          <w:sz w:val="24"/>
          <w:szCs w:val="24"/>
        </w:rPr>
        <w:t>本项目厂区绿化面积约为18519.04m</w:t>
      </w:r>
      <w:r>
        <w:rPr>
          <w:rFonts w:ascii="Times New Roman"/>
          <w:kern w:val="0"/>
          <w:sz w:val="24"/>
          <w:szCs w:val="24"/>
          <w:vertAlign w:val="superscript"/>
        </w:rPr>
        <w:t>2</w:t>
      </w:r>
      <w:r>
        <w:rPr>
          <w:rFonts w:ascii="Times New Roman"/>
          <w:kern w:val="0"/>
          <w:sz w:val="24"/>
          <w:szCs w:val="24"/>
        </w:rPr>
        <w:t>，根据《室外给水设计规范》，项目绿化用水2L/m</w:t>
      </w:r>
      <w:r>
        <w:rPr>
          <w:rFonts w:ascii="Times New Roman"/>
          <w:kern w:val="0"/>
          <w:sz w:val="24"/>
          <w:szCs w:val="24"/>
          <w:vertAlign w:val="superscript"/>
        </w:rPr>
        <w:t>2</w:t>
      </w:r>
      <w:r>
        <w:rPr>
          <w:rFonts w:ascii="Times New Roman"/>
          <w:kern w:val="0"/>
          <w:sz w:val="24"/>
          <w:szCs w:val="24"/>
        </w:rPr>
        <w:t>·d，项目绿化灌溉时间按照180天计，则绿化用水总量约为37m</w:t>
      </w:r>
      <w:r>
        <w:rPr>
          <w:rFonts w:ascii="Times New Roman"/>
          <w:sz w:val="24"/>
          <w:szCs w:val="24"/>
          <w:vertAlign w:val="superscript"/>
        </w:rPr>
        <w:t>3</w:t>
      </w:r>
      <w:r>
        <w:rPr>
          <w:rFonts w:ascii="Times New Roman"/>
          <w:sz w:val="24"/>
          <w:szCs w:val="24"/>
        </w:rPr>
        <w:t>/d（6660m</w:t>
      </w:r>
      <w:r>
        <w:rPr>
          <w:rFonts w:ascii="Times New Roman"/>
          <w:sz w:val="24"/>
          <w:szCs w:val="24"/>
          <w:vertAlign w:val="superscript"/>
        </w:rPr>
        <w:t>3</w:t>
      </w:r>
      <w:r>
        <w:rPr>
          <w:rFonts w:ascii="Times New Roman"/>
          <w:sz w:val="24"/>
          <w:szCs w:val="24"/>
        </w:rPr>
        <w:t>/a）</w:t>
      </w:r>
      <w:r>
        <w:rPr>
          <w:rFonts w:ascii="Times New Roman"/>
          <w:kern w:val="0"/>
          <w:sz w:val="24"/>
          <w:szCs w:val="24"/>
        </w:rPr>
        <w:t>。</w:t>
      </w:r>
    </w:p>
    <w:p w14:paraId="2AC0A219">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4、生活用水</w:t>
      </w:r>
    </w:p>
    <w:p w14:paraId="017CD8FB">
      <w:pPr>
        <w:autoSpaceDE w:val="0"/>
        <w:autoSpaceDN w:val="0"/>
        <w:adjustRightInd w:val="0"/>
        <w:snapToGrid w:val="0"/>
        <w:spacing w:line="360" w:lineRule="auto"/>
        <w:ind w:firstLine="480" w:firstLineChars="200"/>
        <w:rPr>
          <w:rFonts w:ascii="Times New Roman"/>
        </w:rPr>
      </w:pPr>
      <w:r>
        <w:rPr>
          <w:rFonts w:ascii="Times New Roman"/>
          <w:sz w:val="24"/>
          <w:szCs w:val="24"/>
        </w:rPr>
        <w:t>本项目劳动定员600人，根据《生活与服务业用水定额第1部分：居民生活》(DB13T5450.1-2021)标准，生活用水按20m</w:t>
      </w:r>
      <w:r>
        <w:rPr>
          <w:rFonts w:ascii="Times New Roman"/>
          <w:sz w:val="24"/>
          <w:szCs w:val="24"/>
          <w:vertAlign w:val="superscript"/>
        </w:rPr>
        <w:t>3</w:t>
      </w:r>
      <w:r>
        <w:rPr>
          <w:rFonts w:ascii="Times New Roman"/>
          <w:sz w:val="24"/>
          <w:szCs w:val="24"/>
        </w:rPr>
        <w:t>/人·a计，则职工生活用水量为40m</w:t>
      </w:r>
      <w:r>
        <w:rPr>
          <w:rFonts w:ascii="Times New Roman"/>
          <w:sz w:val="24"/>
          <w:szCs w:val="24"/>
          <w:vertAlign w:val="superscript"/>
        </w:rPr>
        <w:t>3</w:t>
      </w:r>
      <w:r>
        <w:rPr>
          <w:rFonts w:ascii="Times New Roman"/>
          <w:sz w:val="24"/>
          <w:szCs w:val="24"/>
        </w:rPr>
        <w:t>/d（12000m</w:t>
      </w:r>
      <w:r>
        <w:rPr>
          <w:rFonts w:ascii="Times New Roman"/>
          <w:sz w:val="24"/>
          <w:szCs w:val="24"/>
          <w:vertAlign w:val="superscript"/>
        </w:rPr>
        <w:t>3</w:t>
      </w:r>
      <w:r>
        <w:rPr>
          <w:rFonts w:ascii="Times New Roman"/>
          <w:sz w:val="24"/>
          <w:szCs w:val="24"/>
        </w:rPr>
        <w:t>/a）。</w:t>
      </w:r>
    </w:p>
    <w:p w14:paraId="6150EEF7">
      <w:pPr>
        <w:spacing w:line="360" w:lineRule="auto"/>
        <w:outlineLvl w:val="3"/>
        <w:rPr>
          <w:rFonts w:ascii="Times New Roman"/>
          <w:b/>
          <w:sz w:val="24"/>
          <w:szCs w:val="24"/>
        </w:rPr>
      </w:pPr>
      <w:r>
        <w:rPr>
          <w:rFonts w:ascii="Times New Roman"/>
          <w:b/>
          <w:sz w:val="24"/>
          <w:szCs w:val="24"/>
        </w:rPr>
        <w:t>3.6.1.2排水</w:t>
      </w:r>
    </w:p>
    <w:p w14:paraId="070BBCBD">
      <w:pPr>
        <w:autoSpaceDE w:val="0"/>
        <w:autoSpaceDN w:val="0"/>
        <w:adjustRightInd w:val="0"/>
        <w:snapToGrid w:val="0"/>
        <w:spacing w:line="360" w:lineRule="auto"/>
        <w:ind w:firstLine="480" w:firstLineChars="200"/>
        <w:rPr>
          <w:rFonts w:ascii="Times New Roman"/>
          <w:sz w:val="24"/>
          <w:szCs w:val="24"/>
        </w:rPr>
      </w:pPr>
      <w:r>
        <w:rPr>
          <w:rFonts w:ascii="Times New Roman"/>
          <w:bCs/>
          <w:sz w:val="24"/>
          <w:szCs w:val="24"/>
        </w:rPr>
        <w:t>本项目废水主要为生产废水和生活废水，项目产生的职工生活污水</w:t>
      </w:r>
      <w:r>
        <w:rPr>
          <w:rFonts w:ascii="Times New Roman"/>
          <w:sz w:val="24"/>
          <w:szCs w:val="24"/>
        </w:rPr>
        <w:t>量按用水量的80%计，则生活废水（含食堂废水）量为32m</w:t>
      </w:r>
      <w:r>
        <w:rPr>
          <w:rFonts w:ascii="Times New Roman"/>
          <w:sz w:val="24"/>
          <w:szCs w:val="24"/>
          <w:vertAlign w:val="superscript"/>
        </w:rPr>
        <w:t>3</w:t>
      </w:r>
      <w:r>
        <w:rPr>
          <w:rFonts w:ascii="Times New Roman"/>
          <w:sz w:val="24"/>
          <w:szCs w:val="24"/>
        </w:rPr>
        <w:t>/d</w:t>
      </w:r>
      <w:r>
        <w:rPr>
          <w:rFonts w:ascii="Times New Roman"/>
          <w:kern w:val="0"/>
          <w:sz w:val="24"/>
          <w:szCs w:val="24"/>
        </w:rPr>
        <w:t>（9600m</w:t>
      </w:r>
      <w:r>
        <w:rPr>
          <w:rFonts w:ascii="Times New Roman"/>
          <w:kern w:val="0"/>
          <w:sz w:val="24"/>
          <w:szCs w:val="24"/>
          <w:vertAlign w:val="superscript"/>
        </w:rPr>
        <w:t>3</w:t>
      </w:r>
      <w:r>
        <w:rPr>
          <w:rFonts w:ascii="Times New Roman"/>
          <w:kern w:val="0"/>
          <w:sz w:val="24"/>
          <w:szCs w:val="24"/>
        </w:rPr>
        <w:t>/a）</w:t>
      </w:r>
      <w:r>
        <w:rPr>
          <w:rFonts w:ascii="Times New Roman"/>
          <w:sz w:val="24"/>
          <w:szCs w:val="24"/>
        </w:rPr>
        <w:t>，食堂废水采用隔油池预处理后，与日常生活污水一并入化粪池处理，</w:t>
      </w:r>
      <w:r>
        <w:rPr>
          <w:rFonts w:hint="eastAsia" w:ascii="Times New Roman"/>
          <w:sz w:val="24"/>
          <w:szCs w:val="24"/>
        </w:rPr>
        <w:t>后经</w:t>
      </w:r>
      <w:r>
        <w:rPr>
          <w:rFonts w:ascii="Times New Roman"/>
          <w:sz w:val="24"/>
          <w:szCs w:val="24"/>
        </w:rPr>
        <w:t>园区污水管网</w:t>
      </w:r>
      <w:r>
        <w:rPr>
          <w:rFonts w:hint="eastAsia" w:ascii="Times New Roman"/>
          <w:sz w:val="24"/>
          <w:szCs w:val="24"/>
        </w:rPr>
        <w:t>排</w:t>
      </w:r>
      <w:r>
        <w:rPr>
          <w:rFonts w:ascii="Times New Roman"/>
          <w:sz w:val="24"/>
          <w:szCs w:val="24"/>
        </w:rPr>
        <w:t>入园区污水处理厂进一步处理。</w:t>
      </w:r>
    </w:p>
    <w:p w14:paraId="6BC6B5FF">
      <w:pPr>
        <w:autoSpaceDE w:val="0"/>
        <w:autoSpaceDN w:val="0"/>
        <w:adjustRightInd w:val="0"/>
        <w:snapToGrid w:val="0"/>
        <w:spacing w:line="360" w:lineRule="auto"/>
        <w:ind w:firstLine="500" w:firstLineChars="200"/>
        <w:rPr>
          <w:rFonts w:ascii="Times New Roman"/>
          <w:bCs/>
          <w:sz w:val="24"/>
          <w:szCs w:val="24"/>
        </w:rPr>
      </w:pPr>
      <w:r>
        <w:rPr>
          <w:rFonts w:hint="eastAsia"/>
        </w:rPr>
        <w:t>水洗</w:t>
      </w:r>
      <w:r>
        <w:rPr>
          <w:rFonts w:ascii="Times New Roman"/>
          <w:kern w:val="0"/>
          <w:sz w:val="24"/>
          <w:szCs w:val="24"/>
        </w:rPr>
        <w:t>（</w:t>
      </w:r>
      <w:r>
        <w:rPr>
          <w:rFonts w:hint="eastAsia" w:ascii="Times New Roman"/>
          <w:kern w:val="0"/>
          <w:sz w:val="24"/>
          <w:szCs w:val="24"/>
        </w:rPr>
        <w:t>140.6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、纯水洗2</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、电泳槽清洗</w:t>
      </w:r>
      <w:r>
        <w:rPr>
          <w:rFonts w:ascii="Times New Roman"/>
          <w:kern w:val="0"/>
          <w:sz w:val="24"/>
          <w:szCs w:val="24"/>
        </w:rPr>
        <w:t>（</w:t>
      </w:r>
      <w:r>
        <w:rPr>
          <w:rFonts w:hint="eastAsia" w:ascii="Times New Roman"/>
          <w:kern w:val="0"/>
          <w:sz w:val="24"/>
          <w:szCs w:val="24"/>
        </w:rPr>
        <w:t>12.744</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废水先经预处理反应斜管沉淀槽处理后，热水洗</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与预脱脂、脱脂、</w:t>
      </w:r>
      <w:r>
        <w:rPr>
          <w:rFonts w:hint="eastAsia" w:ascii="Times New Roman"/>
          <w:bCs/>
          <w:sz w:val="24"/>
          <w:szCs w:val="24"/>
        </w:rPr>
        <w:t>硅烷化</w:t>
      </w:r>
      <w:r>
        <w:rPr>
          <w:rFonts w:ascii="Times New Roman"/>
          <w:bCs/>
          <w:sz w:val="24"/>
          <w:szCs w:val="24"/>
        </w:rPr>
        <w:t>槽体清洗废水</w:t>
      </w:r>
      <w:r>
        <w:rPr>
          <w:rFonts w:ascii="Times New Roman"/>
          <w:kern w:val="0"/>
          <w:sz w:val="24"/>
          <w:szCs w:val="24"/>
        </w:rPr>
        <w:t>（</w:t>
      </w:r>
      <w:r>
        <w:rPr>
          <w:rFonts w:hint="eastAsia" w:ascii="Times New Roman"/>
          <w:kern w:val="0"/>
          <w:sz w:val="24"/>
          <w:szCs w:val="24"/>
        </w:rPr>
        <w:t>38.232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一同进入污水处理站“一体化气浮槽+综合反应斜管沉淀槽+综合芬顿反应槽+多介质过滤器+活性炭过滤器”系统进行处理，处理达标后由园区污水管网，入园区污水处理厂进一步处理。</w:t>
      </w:r>
    </w:p>
    <w:p w14:paraId="68D150C7">
      <w:pPr>
        <w:autoSpaceDE w:val="0"/>
        <w:autoSpaceDN w:val="0"/>
        <w:adjustRightInd w:val="0"/>
        <w:snapToGrid w:val="0"/>
        <w:spacing w:line="360" w:lineRule="auto"/>
        <w:ind w:firstLine="480" w:firstLineChars="200"/>
        <w:rPr>
          <w:rFonts w:ascii="Times New Roman"/>
          <w:bCs/>
          <w:sz w:val="24"/>
          <w:szCs w:val="24"/>
        </w:rPr>
        <w:sectPr>
          <w:pgSz w:w="11906" w:h="16838"/>
          <w:pgMar w:top="1440" w:right="1800" w:bottom="1440" w:left="1800" w:header="1134" w:footer="1134" w:gutter="0"/>
          <w:cols w:space="720" w:num="1"/>
          <w:docGrid w:type="lines" w:linePitch="340" w:charSpace="0"/>
        </w:sectPr>
      </w:pPr>
      <w:r>
        <w:rPr>
          <w:rFonts w:ascii="Times New Roman"/>
          <w:bCs/>
          <w:sz w:val="24"/>
          <w:szCs w:val="24"/>
        </w:rPr>
        <w:t>纯水制备废水</w:t>
      </w:r>
      <w:r>
        <w:rPr>
          <w:rFonts w:hint="eastAsia" w:ascii="Times New Roman"/>
          <w:bCs/>
          <w:sz w:val="24"/>
          <w:szCs w:val="24"/>
        </w:rPr>
        <w:t>(</w:t>
      </w:r>
      <w:r>
        <w:rPr>
          <w:rFonts w:hint="eastAsia" w:ascii="Times New Roman"/>
          <w:sz w:val="24"/>
          <w:szCs w:val="24"/>
        </w:rPr>
        <w:t>8145.49</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bCs/>
          <w:sz w:val="24"/>
          <w:szCs w:val="24"/>
        </w:rPr>
        <w:t>，直接由园区污水管网，入园区污水处理厂处理。</w:t>
      </w:r>
    </w:p>
    <w:p w14:paraId="3DED53E2">
      <w:pPr>
        <w:widowControl/>
        <w:tabs>
          <w:tab w:val="left" w:pos="1734"/>
        </w:tabs>
        <w:jc w:val="center"/>
        <w:rPr>
          <w:rFonts w:ascii="Times New Roman"/>
          <w:sz w:val="24"/>
          <w:szCs w:val="24"/>
        </w:rPr>
      </w:pPr>
      <w:r>
        <w:rPr>
          <w:rFonts w:ascii="Times New Roman"/>
          <w:sz w:val="24"/>
          <w:szCs w:val="24"/>
        </w:rPr>
        <w:t>表3.6-2  本项目用水情况一览表（m</w:t>
      </w:r>
      <w:r>
        <w:rPr>
          <w:rFonts w:ascii="Times New Roman"/>
          <w:sz w:val="24"/>
          <w:szCs w:val="24"/>
          <w:vertAlign w:val="superscript"/>
        </w:rPr>
        <w:t>3</w:t>
      </w:r>
      <w:r>
        <w:rPr>
          <w:rFonts w:ascii="Times New Roman"/>
          <w:sz w:val="24"/>
          <w:szCs w:val="24"/>
        </w:rPr>
        <w:t>/d）</w:t>
      </w:r>
    </w:p>
    <w:tbl>
      <w:tblPr>
        <w:tblStyle w:val="8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968"/>
        <w:gridCol w:w="1152"/>
        <w:gridCol w:w="935"/>
        <w:gridCol w:w="904"/>
        <w:gridCol w:w="915"/>
        <w:gridCol w:w="1020"/>
        <w:gridCol w:w="989"/>
        <w:gridCol w:w="1006"/>
        <w:gridCol w:w="901"/>
        <w:gridCol w:w="3694"/>
      </w:tblGrid>
      <w:tr w14:paraId="02D3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 w:type="pct"/>
            <w:vMerge w:val="restart"/>
            <w:vAlign w:val="center"/>
          </w:tcPr>
          <w:p w14:paraId="14E44075">
            <w:pPr>
              <w:widowControl/>
              <w:jc w:val="center"/>
              <w:rPr>
                <w:rFonts w:ascii="Times New Roman"/>
                <w:kern w:val="0"/>
                <w:sz w:val="21"/>
                <w:szCs w:val="21"/>
              </w:rPr>
            </w:pPr>
            <w:r>
              <w:rPr>
                <w:rFonts w:ascii="Times New Roman"/>
                <w:kern w:val="0"/>
                <w:sz w:val="21"/>
                <w:szCs w:val="21"/>
              </w:rPr>
              <w:t>序号</w:t>
            </w:r>
          </w:p>
        </w:tc>
        <w:tc>
          <w:tcPr>
            <w:tcW w:w="695" w:type="pct"/>
            <w:vMerge w:val="restart"/>
            <w:vAlign w:val="center"/>
          </w:tcPr>
          <w:p w14:paraId="1D4BCE7E">
            <w:pPr>
              <w:widowControl/>
              <w:jc w:val="center"/>
              <w:rPr>
                <w:rFonts w:ascii="Times New Roman"/>
                <w:kern w:val="0"/>
                <w:sz w:val="21"/>
                <w:szCs w:val="21"/>
              </w:rPr>
            </w:pPr>
            <w:r>
              <w:rPr>
                <w:rFonts w:ascii="Times New Roman"/>
                <w:kern w:val="0"/>
                <w:sz w:val="21"/>
                <w:szCs w:val="21"/>
              </w:rPr>
              <w:t>用水项目</w:t>
            </w:r>
          </w:p>
        </w:tc>
        <w:tc>
          <w:tcPr>
            <w:tcW w:w="407" w:type="pct"/>
            <w:vMerge w:val="restart"/>
            <w:vAlign w:val="center"/>
          </w:tcPr>
          <w:p w14:paraId="1A45F5DC">
            <w:pPr>
              <w:widowControl/>
              <w:jc w:val="center"/>
              <w:rPr>
                <w:rFonts w:ascii="Times New Roman"/>
                <w:kern w:val="0"/>
                <w:sz w:val="21"/>
                <w:szCs w:val="21"/>
              </w:rPr>
            </w:pPr>
            <w:r>
              <w:rPr>
                <w:rFonts w:hint="eastAsia" w:ascii="Times New Roman"/>
                <w:kern w:val="0"/>
                <w:sz w:val="21"/>
                <w:szCs w:val="21"/>
              </w:rPr>
              <w:t>总用水量</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/d</w:t>
            </w:r>
          </w:p>
        </w:tc>
        <w:tc>
          <w:tcPr>
            <w:tcW w:w="330" w:type="pct"/>
            <w:vMerge w:val="restart"/>
            <w:vAlign w:val="center"/>
          </w:tcPr>
          <w:p w14:paraId="07799D48">
            <w:pPr>
              <w:widowControl/>
              <w:jc w:val="center"/>
              <w:rPr>
                <w:rFonts w:ascii="Times New Roman"/>
                <w:kern w:val="0"/>
                <w:sz w:val="21"/>
                <w:szCs w:val="21"/>
              </w:rPr>
            </w:pPr>
            <w:r>
              <w:rPr>
                <w:rFonts w:ascii="Times New Roman"/>
                <w:kern w:val="0"/>
                <w:sz w:val="21"/>
                <w:szCs w:val="21"/>
              </w:rPr>
              <w:t>新鲜水m</w:t>
            </w:r>
            <w:r>
              <w:rPr>
                <w:rFonts w:ascii="Times New Roman"/>
                <w:kern w:val="0"/>
                <w:sz w:val="21"/>
                <w:szCs w:val="21"/>
                <w:vertAlign w:val="superscript"/>
              </w:rPr>
              <w:t>3</w:t>
            </w:r>
            <w:r>
              <w:rPr>
                <w:rFonts w:ascii="Times New Roman"/>
                <w:kern w:val="0"/>
                <w:sz w:val="21"/>
                <w:szCs w:val="21"/>
              </w:rPr>
              <w:t>/d</w:t>
            </w:r>
          </w:p>
        </w:tc>
        <w:tc>
          <w:tcPr>
            <w:tcW w:w="642" w:type="pct"/>
            <w:gridSpan w:val="2"/>
            <w:vAlign w:val="center"/>
          </w:tcPr>
          <w:p w14:paraId="5596C713">
            <w:pPr>
              <w:widowControl/>
              <w:jc w:val="center"/>
              <w:rPr>
                <w:rFonts w:ascii="Times New Roman"/>
                <w:kern w:val="0"/>
                <w:sz w:val="21"/>
                <w:szCs w:val="21"/>
              </w:rPr>
            </w:pPr>
            <w:r>
              <w:rPr>
                <w:rFonts w:ascii="Times New Roman"/>
                <w:kern w:val="0"/>
                <w:sz w:val="21"/>
                <w:szCs w:val="21"/>
              </w:rPr>
              <w:t>纯水m</w:t>
            </w:r>
            <w:r>
              <w:rPr>
                <w:rFonts w:ascii="Times New Roman"/>
                <w:kern w:val="0"/>
                <w:sz w:val="21"/>
                <w:szCs w:val="21"/>
                <w:vertAlign w:val="superscript"/>
              </w:rPr>
              <w:t>3</w:t>
            </w:r>
            <w:r>
              <w:rPr>
                <w:rFonts w:ascii="Times New Roman"/>
                <w:kern w:val="0"/>
                <w:sz w:val="21"/>
                <w:szCs w:val="21"/>
              </w:rPr>
              <w:t>/d</w:t>
            </w:r>
          </w:p>
        </w:tc>
        <w:tc>
          <w:tcPr>
            <w:tcW w:w="360" w:type="pct"/>
            <w:vMerge w:val="restart"/>
            <w:vAlign w:val="center"/>
          </w:tcPr>
          <w:p w14:paraId="49C828FF">
            <w:pPr>
              <w:rPr>
                <w:rFonts w:ascii="Times New Roman"/>
                <w:sz w:val="21"/>
                <w:szCs w:val="21"/>
              </w:rPr>
            </w:pPr>
            <w:r>
              <w:rPr>
                <w:rFonts w:ascii="Times New Roman"/>
                <w:sz w:val="21"/>
                <w:szCs w:val="21"/>
              </w:rPr>
              <w:t>循环量</w:t>
            </w:r>
          </w:p>
          <w:p w14:paraId="02D754C2">
            <w:pPr>
              <w:widowControl/>
              <w:jc w:val="center"/>
              <w:rPr>
                <w:rFonts w:ascii="Times New Roman"/>
                <w:kern w:val="0"/>
                <w:sz w:val="21"/>
                <w:szCs w:val="21"/>
              </w:rPr>
            </w:pPr>
            <w:r>
              <w:rPr>
                <w:rFonts w:ascii="Times New Roman"/>
                <w:sz w:val="21"/>
                <w:szCs w:val="21"/>
              </w:rPr>
              <w:t>m</w:t>
            </w:r>
            <w:r>
              <w:rPr>
                <w:rFonts w:ascii="Times New Roman"/>
                <w:sz w:val="21"/>
                <w:szCs w:val="21"/>
                <w:vertAlign w:val="superscript"/>
              </w:rPr>
              <w:t>3</w:t>
            </w:r>
            <w:r>
              <w:rPr>
                <w:rFonts w:ascii="Times New Roman"/>
                <w:sz w:val="21"/>
                <w:szCs w:val="21"/>
              </w:rPr>
              <w:t>/d</w:t>
            </w:r>
          </w:p>
        </w:tc>
        <w:tc>
          <w:tcPr>
            <w:tcW w:w="349" w:type="pct"/>
            <w:vMerge w:val="restart"/>
            <w:vAlign w:val="center"/>
          </w:tcPr>
          <w:p w14:paraId="119DF25D">
            <w:pPr>
              <w:widowControl/>
              <w:jc w:val="center"/>
              <w:rPr>
                <w:rFonts w:ascii="Times New Roman"/>
                <w:kern w:val="0"/>
                <w:sz w:val="21"/>
                <w:szCs w:val="21"/>
              </w:rPr>
            </w:pPr>
            <w:r>
              <w:rPr>
                <w:rFonts w:ascii="Times New Roman"/>
                <w:sz w:val="21"/>
                <w:szCs w:val="21"/>
              </w:rPr>
              <w:t>串级用水m</w:t>
            </w:r>
            <w:r>
              <w:rPr>
                <w:rFonts w:ascii="Times New Roman"/>
                <w:sz w:val="21"/>
                <w:szCs w:val="21"/>
                <w:vertAlign w:val="superscript"/>
              </w:rPr>
              <w:t>3</w:t>
            </w:r>
            <w:r>
              <w:rPr>
                <w:rFonts w:ascii="Times New Roman"/>
                <w:sz w:val="21"/>
                <w:szCs w:val="21"/>
              </w:rPr>
              <w:t>/d</w:t>
            </w:r>
          </w:p>
        </w:tc>
        <w:tc>
          <w:tcPr>
            <w:tcW w:w="355" w:type="pct"/>
            <w:vMerge w:val="restart"/>
            <w:vAlign w:val="center"/>
          </w:tcPr>
          <w:p w14:paraId="78E39633">
            <w:pPr>
              <w:widowControl/>
              <w:jc w:val="center"/>
              <w:rPr>
                <w:rFonts w:ascii="Times New Roman"/>
                <w:kern w:val="0"/>
                <w:sz w:val="21"/>
                <w:szCs w:val="21"/>
              </w:rPr>
            </w:pPr>
            <w:r>
              <w:rPr>
                <w:rFonts w:ascii="Times New Roman"/>
                <w:kern w:val="0"/>
                <w:sz w:val="21"/>
                <w:szCs w:val="21"/>
              </w:rPr>
              <w:t>损耗量m</w:t>
            </w:r>
            <w:r>
              <w:rPr>
                <w:rFonts w:ascii="Times New Roman"/>
                <w:kern w:val="0"/>
                <w:sz w:val="21"/>
                <w:szCs w:val="21"/>
                <w:vertAlign w:val="superscript"/>
              </w:rPr>
              <w:t>3</w:t>
            </w:r>
            <w:r>
              <w:rPr>
                <w:rFonts w:ascii="Times New Roman"/>
                <w:kern w:val="0"/>
                <w:sz w:val="21"/>
                <w:szCs w:val="21"/>
              </w:rPr>
              <w:t>/d</w:t>
            </w:r>
          </w:p>
        </w:tc>
        <w:tc>
          <w:tcPr>
            <w:tcW w:w="318" w:type="pct"/>
            <w:vMerge w:val="restart"/>
            <w:vAlign w:val="center"/>
          </w:tcPr>
          <w:p w14:paraId="5F8BBD36">
            <w:pPr>
              <w:widowControl/>
              <w:jc w:val="center"/>
              <w:rPr>
                <w:rFonts w:ascii="Times New Roman"/>
                <w:kern w:val="0"/>
                <w:sz w:val="21"/>
                <w:szCs w:val="21"/>
              </w:rPr>
            </w:pPr>
            <w:r>
              <w:rPr>
                <w:rFonts w:ascii="Times New Roman"/>
                <w:kern w:val="0"/>
                <w:sz w:val="21"/>
                <w:szCs w:val="21"/>
              </w:rPr>
              <w:t>废水量m</w:t>
            </w:r>
            <w:r>
              <w:rPr>
                <w:rFonts w:ascii="Times New Roman"/>
                <w:kern w:val="0"/>
                <w:sz w:val="21"/>
                <w:szCs w:val="21"/>
                <w:vertAlign w:val="superscript"/>
              </w:rPr>
              <w:t>3</w:t>
            </w:r>
            <w:r>
              <w:rPr>
                <w:rFonts w:ascii="Times New Roman"/>
                <w:kern w:val="0"/>
                <w:sz w:val="21"/>
                <w:szCs w:val="21"/>
              </w:rPr>
              <w:t>/d</w:t>
            </w:r>
          </w:p>
        </w:tc>
        <w:tc>
          <w:tcPr>
            <w:tcW w:w="1301" w:type="pct"/>
            <w:vMerge w:val="restart"/>
            <w:vAlign w:val="center"/>
          </w:tcPr>
          <w:p w14:paraId="0D0638E9">
            <w:pPr>
              <w:widowControl/>
              <w:jc w:val="center"/>
              <w:rPr>
                <w:rFonts w:ascii="Times New Roman"/>
                <w:kern w:val="0"/>
                <w:sz w:val="21"/>
                <w:szCs w:val="21"/>
              </w:rPr>
            </w:pPr>
            <w:r>
              <w:rPr>
                <w:rFonts w:ascii="Times New Roman"/>
                <w:kern w:val="0"/>
                <w:sz w:val="21"/>
                <w:szCs w:val="21"/>
              </w:rPr>
              <w:t>排放去向</w:t>
            </w:r>
          </w:p>
        </w:tc>
      </w:tr>
      <w:tr w14:paraId="4D99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40" w:type="pct"/>
            <w:vMerge w:val="continue"/>
            <w:vAlign w:val="center"/>
          </w:tcPr>
          <w:p w14:paraId="74549BC0">
            <w:pPr>
              <w:widowControl/>
              <w:jc w:val="center"/>
              <w:rPr>
                <w:rFonts w:ascii="Times New Roman"/>
                <w:kern w:val="0"/>
                <w:sz w:val="21"/>
                <w:szCs w:val="21"/>
              </w:rPr>
            </w:pPr>
          </w:p>
        </w:tc>
        <w:tc>
          <w:tcPr>
            <w:tcW w:w="695" w:type="pct"/>
            <w:vMerge w:val="continue"/>
            <w:vAlign w:val="center"/>
          </w:tcPr>
          <w:p w14:paraId="05102BCE">
            <w:pPr>
              <w:widowControl/>
              <w:jc w:val="center"/>
              <w:rPr>
                <w:rFonts w:ascii="Times New Roman"/>
                <w:kern w:val="0"/>
                <w:sz w:val="21"/>
                <w:szCs w:val="21"/>
              </w:rPr>
            </w:pPr>
          </w:p>
        </w:tc>
        <w:tc>
          <w:tcPr>
            <w:tcW w:w="407" w:type="pct"/>
            <w:vMerge w:val="continue"/>
            <w:vAlign w:val="center"/>
          </w:tcPr>
          <w:p w14:paraId="5CD56FCE">
            <w:pPr>
              <w:widowControl/>
              <w:jc w:val="center"/>
              <w:rPr>
                <w:rFonts w:ascii="Times New Roman"/>
                <w:kern w:val="0"/>
                <w:sz w:val="21"/>
                <w:szCs w:val="21"/>
              </w:rPr>
            </w:pPr>
          </w:p>
        </w:tc>
        <w:tc>
          <w:tcPr>
            <w:tcW w:w="330" w:type="pct"/>
            <w:vMerge w:val="continue"/>
            <w:vAlign w:val="center"/>
          </w:tcPr>
          <w:p w14:paraId="1E0C895F">
            <w:pPr>
              <w:widowControl/>
              <w:jc w:val="center"/>
              <w:rPr>
                <w:rFonts w:ascii="Times New Roman"/>
                <w:kern w:val="0"/>
                <w:sz w:val="21"/>
                <w:szCs w:val="21"/>
              </w:rPr>
            </w:pPr>
          </w:p>
        </w:tc>
        <w:tc>
          <w:tcPr>
            <w:tcW w:w="319" w:type="pct"/>
            <w:vAlign w:val="center"/>
          </w:tcPr>
          <w:p w14:paraId="643A90CD">
            <w:pPr>
              <w:widowControl/>
              <w:jc w:val="center"/>
              <w:rPr>
                <w:rFonts w:ascii="Times New Roman"/>
                <w:kern w:val="0"/>
                <w:sz w:val="21"/>
                <w:szCs w:val="21"/>
              </w:rPr>
            </w:pPr>
            <w:r>
              <w:rPr>
                <w:rFonts w:ascii="Times New Roman"/>
                <w:kern w:val="0"/>
                <w:sz w:val="21"/>
                <w:szCs w:val="21"/>
              </w:rPr>
              <w:t>产生</w:t>
            </w:r>
          </w:p>
        </w:tc>
        <w:tc>
          <w:tcPr>
            <w:tcW w:w="323" w:type="pct"/>
            <w:vAlign w:val="center"/>
          </w:tcPr>
          <w:p w14:paraId="3CDC35E0">
            <w:pPr>
              <w:widowControl/>
              <w:jc w:val="center"/>
              <w:rPr>
                <w:rFonts w:ascii="Times New Roman"/>
                <w:kern w:val="0"/>
                <w:sz w:val="21"/>
                <w:szCs w:val="21"/>
              </w:rPr>
            </w:pPr>
            <w:r>
              <w:rPr>
                <w:rFonts w:ascii="Times New Roman"/>
                <w:kern w:val="0"/>
                <w:sz w:val="21"/>
                <w:szCs w:val="21"/>
              </w:rPr>
              <w:t>使用</w:t>
            </w:r>
          </w:p>
        </w:tc>
        <w:tc>
          <w:tcPr>
            <w:tcW w:w="360" w:type="pct"/>
            <w:vMerge w:val="continue"/>
            <w:vAlign w:val="center"/>
          </w:tcPr>
          <w:p w14:paraId="2B29C8D1">
            <w:pPr>
              <w:widowControl/>
              <w:jc w:val="center"/>
              <w:rPr>
                <w:rFonts w:ascii="Times New Roman"/>
                <w:kern w:val="0"/>
                <w:sz w:val="21"/>
                <w:szCs w:val="21"/>
              </w:rPr>
            </w:pPr>
          </w:p>
        </w:tc>
        <w:tc>
          <w:tcPr>
            <w:tcW w:w="349" w:type="pct"/>
            <w:vMerge w:val="continue"/>
            <w:vAlign w:val="center"/>
          </w:tcPr>
          <w:p w14:paraId="60FB4C65">
            <w:pPr>
              <w:widowControl/>
              <w:jc w:val="center"/>
              <w:rPr>
                <w:rFonts w:ascii="Times New Roman"/>
                <w:kern w:val="0"/>
                <w:sz w:val="21"/>
                <w:szCs w:val="21"/>
              </w:rPr>
            </w:pPr>
          </w:p>
        </w:tc>
        <w:tc>
          <w:tcPr>
            <w:tcW w:w="355" w:type="pct"/>
            <w:vMerge w:val="continue"/>
            <w:vAlign w:val="center"/>
          </w:tcPr>
          <w:p w14:paraId="7FCDEBE1">
            <w:pPr>
              <w:widowControl/>
              <w:jc w:val="center"/>
              <w:rPr>
                <w:rFonts w:ascii="Times New Roman"/>
                <w:kern w:val="0"/>
                <w:sz w:val="21"/>
                <w:szCs w:val="21"/>
              </w:rPr>
            </w:pPr>
          </w:p>
        </w:tc>
        <w:tc>
          <w:tcPr>
            <w:tcW w:w="318" w:type="pct"/>
            <w:vMerge w:val="continue"/>
            <w:vAlign w:val="center"/>
          </w:tcPr>
          <w:p w14:paraId="7D4ADE48">
            <w:pPr>
              <w:widowControl/>
              <w:jc w:val="center"/>
              <w:rPr>
                <w:rFonts w:ascii="Times New Roman"/>
                <w:kern w:val="0"/>
                <w:sz w:val="21"/>
                <w:szCs w:val="21"/>
              </w:rPr>
            </w:pPr>
          </w:p>
        </w:tc>
        <w:tc>
          <w:tcPr>
            <w:tcW w:w="1301" w:type="pct"/>
            <w:vMerge w:val="continue"/>
            <w:vAlign w:val="center"/>
          </w:tcPr>
          <w:p w14:paraId="7B69275F">
            <w:pPr>
              <w:widowControl/>
              <w:jc w:val="center"/>
              <w:rPr>
                <w:rFonts w:ascii="Times New Roman"/>
                <w:kern w:val="0"/>
                <w:sz w:val="21"/>
                <w:szCs w:val="21"/>
              </w:rPr>
            </w:pPr>
          </w:p>
        </w:tc>
      </w:tr>
      <w:tr w14:paraId="09A5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vAlign w:val="center"/>
          </w:tcPr>
          <w:p w14:paraId="5DD06055">
            <w:pPr>
              <w:widowControl/>
              <w:jc w:val="center"/>
              <w:rPr>
                <w:rFonts w:ascii="Times New Roman"/>
                <w:kern w:val="0"/>
                <w:sz w:val="21"/>
                <w:szCs w:val="21"/>
              </w:rPr>
            </w:pPr>
            <w:r>
              <w:rPr>
                <w:rFonts w:ascii="Times New Roman"/>
                <w:kern w:val="0"/>
                <w:sz w:val="21"/>
                <w:szCs w:val="21"/>
              </w:rPr>
              <w:t>1</w:t>
            </w:r>
          </w:p>
        </w:tc>
        <w:tc>
          <w:tcPr>
            <w:tcW w:w="695" w:type="pct"/>
            <w:vAlign w:val="center"/>
          </w:tcPr>
          <w:p w14:paraId="06F8BA27">
            <w:pPr>
              <w:widowControl/>
              <w:jc w:val="center"/>
              <w:rPr>
                <w:rFonts w:ascii="Times New Roman"/>
                <w:kern w:val="0"/>
                <w:sz w:val="21"/>
                <w:szCs w:val="21"/>
              </w:rPr>
            </w:pPr>
            <w:r>
              <w:rPr>
                <w:rFonts w:ascii="Times New Roman"/>
                <w:kern w:val="0"/>
                <w:sz w:val="21"/>
                <w:szCs w:val="21"/>
              </w:rPr>
              <w:t>纯水制备</w:t>
            </w:r>
          </w:p>
        </w:tc>
        <w:tc>
          <w:tcPr>
            <w:tcW w:w="407" w:type="pct"/>
            <w:vAlign w:val="center"/>
          </w:tcPr>
          <w:p w14:paraId="3C459967">
            <w:pPr>
              <w:widowControl/>
              <w:jc w:val="center"/>
              <w:rPr>
                <w:rFonts w:ascii="Times New Roman"/>
                <w:kern w:val="0"/>
                <w:sz w:val="21"/>
                <w:szCs w:val="21"/>
              </w:rPr>
            </w:pPr>
            <w:r>
              <w:rPr>
                <w:rFonts w:hint="eastAsia" w:ascii="Times New Roman"/>
                <w:kern w:val="0"/>
                <w:sz w:val="21"/>
                <w:szCs w:val="21"/>
              </w:rPr>
              <w:t>104.816</w:t>
            </w:r>
          </w:p>
        </w:tc>
        <w:tc>
          <w:tcPr>
            <w:tcW w:w="330" w:type="pct"/>
            <w:vAlign w:val="center"/>
          </w:tcPr>
          <w:p w14:paraId="3586F4F7">
            <w:pPr>
              <w:widowControl/>
              <w:jc w:val="center"/>
              <w:rPr>
                <w:rFonts w:ascii="Times New Roman"/>
                <w:kern w:val="0"/>
                <w:sz w:val="21"/>
                <w:szCs w:val="21"/>
              </w:rPr>
            </w:pPr>
            <w:r>
              <w:rPr>
                <w:rFonts w:hint="eastAsia" w:ascii="Times New Roman"/>
                <w:kern w:val="0"/>
                <w:sz w:val="21"/>
                <w:szCs w:val="21"/>
              </w:rPr>
              <w:t>104.816</w:t>
            </w:r>
          </w:p>
        </w:tc>
        <w:tc>
          <w:tcPr>
            <w:tcW w:w="319" w:type="pct"/>
            <w:vAlign w:val="center"/>
          </w:tcPr>
          <w:p w14:paraId="23017998">
            <w:pPr>
              <w:widowControl/>
              <w:jc w:val="center"/>
              <w:rPr>
                <w:rFonts w:ascii="Times New Roman"/>
                <w:kern w:val="0"/>
                <w:sz w:val="21"/>
                <w:szCs w:val="21"/>
              </w:rPr>
            </w:pPr>
            <w:r>
              <w:rPr>
                <w:rFonts w:hint="eastAsia" w:ascii="Times New Roman"/>
                <w:kern w:val="0"/>
                <w:sz w:val="21"/>
                <w:szCs w:val="21"/>
              </w:rPr>
              <w:t>78.612</w:t>
            </w:r>
          </w:p>
        </w:tc>
        <w:tc>
          <w:tcPr>
            <w:tcW w:w="323" w:type="pct"/>
            <w:vAlign w:val="center"/>
          </w:tcPr>
          <w:p w14:paraId="51679E2B">
            <w:pPr>
              <w:widowControl/>
              <w:jc w:val="center"/>
              <w:rPr>
                <w:rFonts w:ascii="Times New Roman"/>
                <w:kern w:val="0"/>
                <w:sz w:val="21"/>
                <w:szCs w:val="21"/>
              </w:rPr>
            </w:pPr>
            <w:r>
              <w:rPr>
                <w:rFonts w:ascii="Times New Roman"/>
                <w:kern w:val="0"/>
                <w:sz w:val="21"/>
                <w:szCs w:val="21"/>
              </w:rPr>
              <w:t>/</w:t>
            </w:r>
          </w:p>
        </w:tc>
        <w:tc>
          <w:tcPr>
            <w:tcW w:w="360" w:type="pct"/>
            <w:vAlign w:val="center"/>
          </w:tcPr>
          <w:p w14:paraId="31F05822">
            <w:pPr>
              <w:widowControl/>
              <w:jc w:val="center"/>
              <w:rPr>
                <w:rFonts w:ascii="Times New Roman"/>
                <w:kern w:val="0"/>
                <w:sz w:val="21"/>
                <w:szCs w:val="21"/>
              </w:rPr>
            </w:pPr>
            <w:r>
              <w:rPr>
                <w:rFonts w:ascii="Times New Roman"/>
                <w:kern w:val="0"/>
                <w:sz w:val="21"/>
                <w:szCs w:val="21"/>
              </w:rPr>
              <w:t>/</w:t>
            </w:r>
          </w:p>
        </w:tc>
        <w:tc>
          <w:tcPr>
            <w:tcW w:w="349" w:type="pct"/>
            <w:vAlign w:val="center"/>
          </w:tcPr>
          <w:p w14:paraId="37E03796">
            <w:pPr>
              <w:widowControl/>
              <w:jc w:val="center"/>
              <w:rPr>
                <w:rFonts w:ascii="Times New Roman"/>
                <w:kern w:val="0"/>
                <w:sz w:val="21"/>
                <w:szCs w:val="21"/>
              </w:rPr>
            </w:pPr>
            <w:r>
              <w:rPr>
                <w:rFonts w:ascii="Times New Roman"/>
                <w:kern w:val="0"/>
                <w:sz w:val="21"/>
                <w:szCs w:val="21"/>
              </w:rPr>
              <w:t>/</w:t>
            </w:r>
          </w:p>
        </w:tc>
        <w:tc>
          <w:tcPr>
            <w:tcW w:w="355" w:type="pct"/>
            <w:vAlign w:val="center"/>
          </w:tcPr>
          <w:p w14:paraId="10780938">
            <w:pPr>
              <w:widowControl/>
              <w:jc w:val="center"/>
              <w:rPr>
                <w:rFonts w:ascii="Times New Roman"/>
                <w:kern w:val="0"/>
                <w:sz w:val="21"/>
                <w:szCs w:val="21"/>
              </w:rPr>
            </w:pPr>
            <w:r>
              <w:rPr>
                <w:rFonts w:ascii="Times New Roman"/>
                <w:kern w:val="0"/>
                <w:sz w:val="21"/>
                <w:szCs w:val="21"/>
              </w:rPr>
              <w:t>/</w:t>
            </w:r>
          </w:p>
        </w:tc>
        <w:tc>
          <w:tcPr>
            <w:tcW w:w="318" w:type="pct"/>
            <w:vAlign w:val="center"/>
          </w:tcPr>
          <w:p w14:paraId="73B3C8A6">
            <w:pPr>
              <w:widowControl/>
              <w:jc w:val="center"/>
              <w:rPr>
                <w:rFonts w:ascii="Times New Roman"/>
                <w:kern w:val="0"/>
                <w:sz w:val="21"/>
                <w:szCs w:val="21"/>
              </w:rPr>
            </w:pPr>
            <w:r>
              <w:rPr>
                <w:rFonts w:hint="eastAsia" w:ascii="Times New Roman"/>
                <w:kern w:val="0"/>
                <w:sz w:val="21"/>
                <w:szCs w:val="21"/>
              </w:rPr>
              <w:t>26.204</w:t>
            </w:r>
          </w:p>
        </w:tc>
        <w:tc>
          <w:tcPr>
            <w:tcW w:w="1301" w:type="pct"/>
            <w:vAlign w:val="center"/>
          </w:tcPr>
          <w:p w14:paraId="4E684B12">
            <w:pPr>
              <w:widowControl/>
              <w:jc w:val="center"/>
              <w:rPr>
                <w:rFonts w:ascii="Times New Roman"/>
                <w:kern w:val="0"/>
                <w:sz w:val="21"/>
                <w:szCs w:val="21"/>
              </w:rPr>
            </w:pPr>
            <w:r>
              <w:rPr>
                <w:rFonts w:ascii="Times New Roman"/>
                <w:kern w:val="0"/>
                <w:sz w:val="21"/>
                <w:szCs w:val="21"/>
              </w:rPr>
              <w:t>直接排入园区污水处理厂处理</w:t>
            </w:r>
          </w:p>
        </w:tc>
      </w:tr>
      <w:tr w14:paraId="2BC8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vAlign w:val="center"/>
          </w:tcPr>
          <w:p w14:paraId="0191706F">
            <w:pPr>
              <w:widowControl/>
              <w:jc w:val="center"/>
              <w:rPr>
                <w:rFonts w:ascii="Times New Roman"/>
                <w:kern w:val="0"/>
                <w:sz w:val="21"/>
                <w:szCs w:val="21"/>
              </w:rPr>
            </w:pPr>
            <w:r>
              <w:rPr>
                <w:rFonts w:ascii="Times New Roman"/>
                <w:kern w:val="0"/>
                <w:sz w:val="21"/>
                <w:szCs w:val="21"/>
              </w:rPr>
              <w:t>2</w:t>
            </w:r>
          </w:p>
        </w:tc>
        <w:tc>
          <w:tcPr>
            <w:tcW w:w="695" w:type="pct"/>
            <w:vAlign w:val="center"/>
          </w:tcPr>
          <w:p w14:paraId="5569DE3F">
            <w:pPr>
              <w:widowControl/>
              <w:jc w:val="center"/>
              <w:rPr>
                <w:rFonts w:ascii="Times New Roman"/>
                <w:kern w:val="0"/>
                <w:sz w:val="21"/>
                <w:szCs w:val="21"/>
              </w:rPr>
            </w:pPr>
            <w:r>
              <w:rPr>
                <w:rFonts w:ascii="Times New Roman"/>
                <w:sz w:val="21"/>
                <w:szCs w:val="21"/>
              </w:rPr>
              <w:t>水洗、</w:t>
            </w:r>
            <w:r>
              <w:rPr>
                <w:rFonts w:ascii="Times New Roman"/>
                <w:kern w:val="0"/>
                <w:sz w:val="21"/>
                <w:szCs w:val="21"/>
              </w:rPr>
              <w:t>热水洗</w:t>
            </w:r>
          </w:p>
        </w:tc>
        <w:tc>
          <w:tcPr>
            <w:tcW w:w="407" w:type="pct"/>
            <w:vAlign w:val="center"/>
          </w:tcPr>
          <w:p w14:paraId="5FAB652F">
            <w:pPr>
              <w:widowControl/>
              <w:jc w:val="center"/>
              <w:rPr>
                <w:rFonts w:ascii="Times New Roman"/>
                <w:kern w:val="0"/>
                <w:sz w:val="21"/>
                <w:szCs w:val="21"/>
              </w:rPr>
            </w:pPr>
            <w:r>
              <w:rPr>
                <w:rFonts w:hint="eastAsia" w:ascii="Times New Roman"/>
                <w:sz w:val="21"/>
                <w:szCs w:val="21"/>
              </w:rPr>
              <w:t>33.6</w:t>
            </w:r>
          </w:p>
        </w:tc>
        <w:tc>
          <w:tcPr>
            <w:tcW w:w="330" w:type="pct"/>
            <w:vAlign w:val="center"/>
          </w:tcPr>
          <w:p w14:paraId="090446AF">
            <w:pPr>
              <w:widowControl/>
              <w:jc w:val="center"/>
              <w:rPr>
                <w:rFonts w:ascii="Times New Roman"/>
                <w:kern w:val="0"/>
                <w:sz w:val="21"/>
                <w:szCs w:val="21"/>
              </w:rPr>
            </w:pPr>
            <w:r>
              <w:rPr>
                <w:rFonts w:ascii="Times New Roman"/>
                <w:kern w:val="0"/>
                <w:sz w:val="21"/>
                <w:szCs w:val="21"/>
              </w:rPr>
              <w:t>/</w:t>
            </w:r>
          </w:p>
        </w:tc>
        <w:tc>
          <w:tcPr>
            <w:tcW w:w="319" w:type="pct"/>
            <w:vAlign w:val="center"/>
          </w:tcPr>
          <w:p w14:paraId="0D5DF837">
            <w:pPr>
              <w:widowControl/>
              <w:jc w:val="center"/>
              <w:rPr>
                <w:rFonts w:ascii="Times New Roman"/>
                <w:kern w:val="0"/>
                <w:sz w:val="21"/>
                <w:szCs w:val="21"/>
              </w:rPr>
            </w:pPr>
            <w:r>
              <w:rPr>
                <w:rFonts w:ascii="Times New Roman"/>
                <w:kern w:val="0"/>
                <w:sz w:val="21"/>
                <w:szCs w:val="21"/>
              </w:rPr>
              <w:t>/</w:t>
            </w:r>
          </w:p>
        </w:tc>
        <w:tc>
          <w:tcPr>
            <w:tcW w:w="323" w:type="pct"/>
            <w:vAlign w:val="center"/>
          </w:tcPr>
          <w:p w14:paraId="1F510061">
            <w:pPr>
              <w:widowControl/>
              <w:jc w:val="center"/>
              <w:rPr>
                <w:rFonts w:ascii="Times New Roman"/>
                <w:kern w:val="0"/>
                <w:sz w:val="21"/>
                <w:szCs w:val="21"/>
              </w:rPr>
            </w:pPr>
            <w:r>
              <w:rPr>
                <w:rFonts w:ascii="Times New Roman"/>
                <w:kern w:val="0"/>
                <w:sz w:val="21"/>
                <w:szCs w:val="21"/>
              </w:rPr>
              <w:t>/</w:t>
            </w:r>
          </w:p>
        </w:tc>
        <w:tc>
          <w:tcPr>
            <w:tcW w:w="360" w:type="pct"/>
            <w:vAlign w:val="center"/>
          </w:tcPr>
          <w:p w14:paraId="0681E94E">
            <w:pPr>
              <w:widowControl/>
              <w:jc w:val="center"/>
              <w:rPr>
                <w:rFonts w:ascii="Times New Roman"/>
                <w:kern w:val="0"/>
                <w:sz w:val="21"/>
                <w:szCs w:val="21"/>
              </w:rPr>
            </w:pPr>
            <w:r>
              <w:rPr>
                <w:rFonts w:ascii="Times New Roman"/>
                <w:kern w:val="0"/>
                <w:sz w:val="21"/>
                <w:szCs w:val="21"/>
              </w:rPr>
              <w:t>/</w:t>
            </w:r>
          </w:p>
        </w:tc>
        <w:tc>
          <w:tcPr>
            <w:tcW w:w="349" w:type="pct"/>
            <w:vAlign w:val="center"/>
          </w:tcPr>
          <w:p w14:paraId="718547DB">
            <w:pPr>
              <w:widowControl/>
              <w:jc w:val="center"/>
              <w:rPr>
                <w:rFonts w:ascii="Times New Roman"/>
                <w:sz w:val="21"/>
                <w:szCs w:val="21"/>
              </w:rPr>
            </w:pPr>
            <w:r>
              <w:rPr>
                <w:rFonts w:hint="eastAsia" w:ascii="Times New Roman"/>
                <w:sz w:val="21"/>
                <w:szCs w:val="21"/>
              </w:rPr>
              <w:t>33.6</w:t>
            </w:r>
          </w:p>
        </w:tc>
        <w:tc>
          <w:tcPr>
            <w:tcW w:w="355" w:type="pct"/>
            <w:vAlign w:val="center"/>
          </w:tcPr>
          <w:p w14:paraId="22249E33">
            <w:pPr>
              <w:widowControl/>
              <w:jc w:val="center"/>
              <w:rPr>
                <w:rFonts w:ascii="Times New Roman"/>
                <w:kern w:val="0"/>
                <w:sz w:val="21"/>
                <w:szCs w:val="21"/>
              </w:rPr>
            </w:pPr>
            <w:r>
              <w:rPr>
                <w:rFonts w:hint="eastAsia" w:ascii="Times New Roman"/>
                <w:kern w:val="0"/>
                <w:sz w:val="21"/>
                <w:szCs w:val="21"/>
              </w:rPr>
              <w:t>/</w:t>
            </w:r>
          </w:p>
        </w:tc>
        <w:tc>
          <w:tcPr>
            <w:tcW w:w="318" w:type="pct"/>
            <w:vAlign w:val="center"/>
          </w:tcPr>
          <w:p w14:paraId="7E22382F">
            <w:pPr>
              <w:widowControl/>
              <w:jc w:val="center"/>
              <w:rPr>
                <w:rFonts w:ascii="Times New Roman"/>
                <w:kern w:val="0"/>
                <w:sz w:val="21"/>
                <w:szCs w:val="21"/>
              </w:rPr>
            </w:pPr>
            <w:r>
              <w:rPr>
                <w:rFonts w:hint="eastAsia" w:ascii="Times New Roman"/>
                <w:kern w:val="0"/>
                <w:sz w:val="21"/>
                <w:szCs w:val="21"/>
              </w:rPr>
              <w:t>33.6</w:t>
            </w:r>
          </w:p>
        </w:tc>
        <w:tc>
          <w:tcPr>
            <w:tcW w:w="1301" w:type="pct"/>
            <w:vMerge w:val="restart"/>
            <w:vAlign w:val="center"/>
          </w:tcPr>
          <w:p w14:paraId="6DB08415">
            <w:pPr>
              <w:widowControl/>
              <w:jc w:val="center"/>
              <w:rPr>
                <w:rFonts w:ascii="Times New Roman"/>
                <w:kern w:val="0"/>
                <w:sz w:val="21"/>
                <w:szCs w:val="21"/>
              </w:rPr>
            </w:pPr>
            <w:r>
              <w:rPr>
                <w:rFonts w:ascii="Times New Roman"/>
                <w:kern w:val="0"/>
                <w:sz w:val="21"/>
                <w:szCs w:val="21"/>
              </w:rPr>
              <w:t>水洗、纯水洗2、电泳槽清洗废水先经预处理反应斜管沉淀槽处理后，热水洗与预脱脂、脱脂、硅烷化槽体清洗废水一同进入污水处理站“一体化气浮槽+综合反应斜管沉淀槽+综合芬顿反应槽+多介质过滤器+活性炭过滤器”系统进行处理，处理达标后由园区污水管网，入园区污水处理厂进一步处理</w:t>
            </w:r>
          </w:p>
        </w:tc>
      </w:tr>
      <w:tr w14:paraId="7D1B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03364B4B">
            <w:pPr>
              <w:widowControl/>
              <w:jc w:val="center"/>
              <w:rPr>
                <w:rFonts w:ascii="Times New Roman"/>
                <w:kern w:val="0"/>
                <w:sz w:val="21"/>
                <w:szCs w:val="21"/>
              </w:rPr>
            </w:pPr>
            <w:r>
              <w:rPr>
                <w:rFonts w:ascii="Times New Roman"/>
                <w:kern w:val="0"/>
                <w:sz w:val="21"/>
                <w:szCs w:val="21"/>
              </w:rPr>
              <w:t>3</w:t>
            </w:r>
          </w:p>
        </w:tc>
        <w:tc>
          <w:tcPr>
            <w:tcW w:w="695" w:type="pct"/>
            <w:shd w:val="clear" w:color="auto" w:fill="auto"/>
            <w:vAlign w:val="center"/>
          </w:tcPr>
          <w:p w14:paraId="1F7257CF">
            <w:pPr>
              <w:autoSpaceDE w:val="0"/>
              <w:autoSpaceDN w:val="0"/>
              <w:adjustRightInd w:val="0"/>
              <w:snapToGrid w:val="0"/>
              <w:jc w:val="center"/>
              <w:rPr>
                <w:rFonts w:ascii="Times New Roman"/>
                <w:sz w:val="21"/>
                <w:szCs w:val="21"/>
              </w:rPr>
            </w:pPr>
            <w:r>
              <w:rPr>
                <w:rFonts w:ascii="Times New Roman"/>
                <w:sz w:val="21"/>
                <w:szCs w:val="21"/>
              </w:rPr>
              <w:t>预脱脂</w:t>
            </w:r>
          </w:p>
        </w:tc>
        <w:tc>
          <w:tcPr>
            <w:tcW w:w="407" w:type="pct"/>
            <w:shd w:val="clear" w:color="auto" w:fill="auto"/>
            <w:vAlign w:val="center"/>
          </w:tcPr>
          <w:p w14:paraId="436A9909">
            <w:pPr>
              <w:widowControl/>
              <w:jc w:val="center"/>
              <w:rPr>
                <w:rFonts w:ascii="Times New Roman"/>
                <w:kern w:val="0"/>
                <w:sz w:val="21"/>
                <w:szCs w:val="21"/>
              </w:rPr>
            </w:pPr>
            <w:r>
              <w:rPr>
                <w:rFonts w:hint="eastAsia" w:ascii="Times New Roman"/>
                <w:kern w:val="0"/>
                <w:sz w:val="21"/>
                <w:szCs w:val="21"/>
              </w:rPr>
              <w:t>1.2</w:t>
            </w:r>
          </w:p>
        </w:tc>
        <w:tc>
          <w:tcPr>
            <w:tcW w:w="330" w:type="pct"/>
            <w:vAlign w:val="center"/>
          </w:tcPr>
          <w:p w14:paraId="59840E07">
            <w:pPr>
              <w:widowControl/>
              <w:jc w:val="center"/>
              <w:rPr>
                <w:rFonts w:ascii="Times New Roman"/>
                <w:kern w:val="0"/>
                <w:sz w:val="21"/>
                <w:szCs w:val="21"/>
              </w:rPr>
            </w:pPr>
            <w:r>
              <w:rPr>
                <w:rFonts w:hint="eastAsia" w:ascii="Times New Roman"/>
                <w:kern w:val="0"/>
                <w:sz w:val="21"/>
                <w:szCs w:val="21"/>
              </w:rPr>
              <w:t>/</w:t>
            </w:r>
          </w:p>
        </w:tc>
        <w:tc>
          <w:tcPr>
            <w:tcW w:w="319" w:type="pct"/>
            <w:vAlign w:val="center"/>
          </w:tcPr>
          <w:p w14:paraId="15DC501D">
            <w:pPr>
              <w:widowControl/>
              <w:jc w:val="center"/>
              <w:rPr>
                <w:rFonts w:ascii="Times New Roman"/>
                <w:kern w:val="0"/>
                <w:sz w:val="21"/>
                <w:szCs w:val="21"/>
              </w:rPr>
            </w:pPr>
            <w:r>
              <w:rPr>
                <w:rFonts w:ascii="Times New Roman"/>
                <w:kern w:val="0"/>
                <w:sz w:val="21"/>
                <w:szCs w:val="21"/>
              </w:rPr>
              <w:t>/</w:t>
            </w:r>
          </w:p>
        </w:tc>
        <w:tc>
          <w:tcPr>
            <w:tcW w:w="323" w:type="pct"/>
            <w:vAlign w:val="center"/>
          </w:tcPr>
          <w:p w14:paraId="767EF471">
            <w:pPr>
              <w:widowControl/>
              <w:jc w:val="center"/>
              <w:rPr>
                <w:rFonts w:ascii="Times New Roman"/>
                <w:kern w:val="0"/>
                <w:sz w:val="21"/>
                <w:szCs w:val="21"/>
              </w:rPr>
            </w:pPr>
            <w:r>
              <w:rPr>
                <w:rFonts w:ascii="Times New Roman"/>
                <w:kern w:val="0"/>
                <w:sz w:val="21"/>
                <w:szCs w:val="21"/>
              </w:rPr>
              <w:t>/</w:t>
            </w:r>
          </w:p>
        </w:tc>
        <w:tc>
          <w:tcPr>
            <w:tcW w:w="360" w:type="pct"/>
            <w:vAlign w:val="center"/>
          </w:tcPr>
          <w:p w14:paraId="781FD94C">
            <w:pPr>
              <w:widowControl/>
              <w:jc w:val="center"/>
              <w:rPr>
                <w:rFonts w:ascii="Times New Roman"/>
                <w:kern w:val="0"/>
                <w:sz w:val="21"/>
                <w:szCs w:val="21"/>
              </w:rPr>
            </w:pPr>
            <w:r>
              <w:rPr>
                <w:rFonts w:ascii="Times New Roman"/>
                <w:kern w:val="0"/>
                <w:sz w:val="21"/>
                <w:szCs w:val="21"/>
              </w:rPr>
              <w:t>/</w:t>
            </w:r>
          </w:p>
        </w:tc>
        <w:tc>
          <w:tcPr>
            <w:tcW w:w="349" w:type="pct"/>
            <w:vAlign w:val="center"/>
          </w:tcPr>
          <w:p w14:paraId="1DE6707C">
            <w:pPr>
              <w:widowControl/>
              <w:jc w:val="center"/>
              <w:rPr>
                <w:rFonts w:ascii="Times New Roman"/>
                <w:kern w:val="0"/>
                <w:sz w:val="21"/>
                <w:szCs w:val="21"/>
              </w:rPr>
            </w:pPr>
            <w:r>
              <w:rPr>
                <w:rFonts w:hint="eastAsia" w:ascii="Times New Roman"/>
                <w:kern w:val="0"/>
                <w:sz w:val="21"/>
                <w:szCs w:val="21"/>
              </w:rPr>
              <w:t>1.2</w:t>
            </w:r>
          </w:p>
        </w:tc>
        <w:tc>
          <w:tcPr>
            <w:tcW w:w="355" w:type="pct"/>
            <w:vAlign w:val="center"/>
          </w:tcPr>
          <w:p w14:paraId="10BC74AD">
            <w:pPr>
              <w:widowControl/>
              <w:jc w:val="center"/>
              <w:rPr>
                <w:rFonts w:ascii="Times New Roman"/>
                <w:kern w:val="0"/>
                <w:sz w:val="21"/>
                <w:szCs w:val="21"/>
              </w:rPr>
            </w:pPr>
            <w:r>
              <w:rPr>
                <w:rFonts w:hint="eastAsia" w:ascii="Times New Roman"/>
                <w:kern w:val="0"/>
                <w:sz w:val="21"/>
                <w:szCs w:val="21"/>
              </w:rPr>
              <w:t>/</w:t>
            </w:r>
          </w:p>
        </w:tc>
        <w:tc>
          <w:tcPr>
            <w:tcW w:w="318" w:type="pct"/>
            <w:vAlign w:val="center"/>
          </w:tcPr>
          <w:p w14:paraId="02DE10B2">
            <w:pPr>
              <w:widowControl/>
              <w:jc w:val="center"/>
              <w:rPr>
                <w:rFonts w:ascii="Times New Roman"/>
                <w:kern w:val="0"/>
                <w:sz w:val="21"/>
                <w:szCs w:val="21"/>
              </w:rPr>
            </w:pPr>
            <w:r>
              <w:rPr>
                <w:rFonts w:hint="eastAsia" w:ascii="Times New Roman"/>
                <w:kern w:val="0"/>
                <w:sz w:val="21"/>
                <w:szCs w:val="21"/>
              </w:rPr>
              <w:t>/</w:t>
            </w:r>
          </w:p>
        </w:tc>
        <w:tc>
          <w:tcPr>
            <w:tcW w:w="1301" w:type="pct"/>
            <w:vMerge w:val="continue"/>
            <w:vAlign w:val="center"/>
          </w:tcPr>
          <w:p w14:paraId="60DBB8F9">
            <w:pPr>
              <w:widowControl/>
              <w:jc w:val="center"/>
              <w:rPr>
                <w:rFonts w:ascii="Times New Roman"/>
                <w:kern w:val="0"/>
                <w:sz w:val="21"/>
                <w:szCs w:val="21"/>
              </w:rPr>
            </w:pPr>
          </w:p>
        </w:tc>
      </w:tr>
      <w:tr w14:paraId="7E18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4857BDDF">
            <w:pPr>
              <w:widowControl/>
              <w:jc w:val="center"/>
              <w:rPr>
                <w:rFonts w:ascii="Times New Roman"/>
                <w:kern w:val="0"/>
                <w:sz w:val="21"/>
                <w:szCs w:val="21"/>
              </w:rPr>
            </w:pPr>
            <w:r>
              <w:rPr>
                <w:rFonts w:ascii="Times New Roman"/>
                <w:kern w:val="0"/>
                <w:sz w:val="21"/>
                <w:szCs w:val="21"/>
              </w:rPr>
              <w:t>4</w:t>
            </w:r>
          </w:p>
        </w:tc>
        <w:tc>
          <w:tcPr>
            <w:tcW w:w="695" w:type="pct"/>
            <w:vAlign w:val="center"/>
          </w:tcPr>
          <w:p w14:paraId="172DFB96">
            <w:pPr>
              <w:widowControl/>
              <w:jc w:val="center"/>
              <w:rPr>
                <w:rFonts w:ascii="Times New Roman"/>
                <w:kern w:val="0"/>
                <w:sz w:val="21"/>
                <w:szCs w:val="21"/>
              </w:rPr>
            </w:pPr>
            <w:r>
              <w:rPr>
                <w:rFonts w:ascii="Times New Roman"/>
                <w:sz w:val="21"/>
                <w:szCs w:val="21"/>
              </w:rPr>
              <w:t>脱脂</w:t>
            </w:r>
          </w:p>
        </w:tc>
        <w:tc>
          <w:tcPr>
            <w:tcW w:w="407" w:type="pct"/>
            <w:shd w:val="clear" w:color="auto" w:fill="auto"/>
            <w:vAlign w:val="center"/>
          </w:tcPr>
          <w:p w14:paraId="57BB045F">
            <w:pPr>
              <w:widowControl/>
              <w:jc w:val="center"/>
              <w:rPr>
                <w:rFonts w:ascii="Times New Roman"/>
                <w:kern w:val="0"/>
                <w:sz w:val="21"/>
                <w:szCs w:val="21"/>
              </w:rPr>
            </w:pPr>
            <w:r>
              <w:rPr>
                <w:rFonts w:ascii="Times New Roman"/>
                <w:kern w:val="0"/>
                <w:sz w:val="21"/>
                <w:szCs w:val="21"/>
              </w:rPr>
              <w:t>3.</w:t>
            </w:r>
            <w:r>
              <w:rPr>
                <w:rFonts w:hint="eastAsia" w:ascii="Times New Roman"/>
                <w:kern w:val="0"/>
                <w:sz w:val="21"/>
                <w:szCs w:val="21"/>
              </w:rPr>
              <w:t>871</w:t>
            </w:r>
          </w:p>
        </w:tc>
        <w:tc>
          <w:tcPr>
            <w:tcW w:w="330" w:type="pct"/>
            <w:shd w:val="clear" w:color="auto" w:fill="auto"/>
            <w:vAlign w:val="center"/>
          </w:tcPr>
          <w:p w14:paraId="31BBBF24">
            <w:pPr>
              <w:widowControl/>
              <w:jc w:val="center"/>
              <w:rPr>
                <w:rFonts w:ascii="Times New Roman"/>
                <w:kern w:val="0"/>
                <w:sz w:val="21"/>
                <w:szCs w:val="21"/>
              </w:rPr>
            </w:pPr>
            <w:r>
              <w:rPr>
                <w:rFonts w:ascii="Times New Roman"/>
                <w:kern w:val="0"/>
                <w:sz w:val="21"/>
                <w:szCs w:val="21"/>
              </w:rPr>
              <w:t>3.</w:t>
            </w:r>
            <w:r>
              <w:rPr>
                <w:rFonts w:hint="eastAsia" w:ascii="Times New Roman"/>
                <w:kern w:val="0"/>
                <w:sz w:val="21"/>
                <w:szCs w:val="21"/>
              </w:rPr>
              <w:t>871</w:t>
            </w:r>
          </w:p>
        </w:tc>
        <w:tc>
          <w:tcPr>
            <w:tcW w:w="319" w:type="pct"/>
            <w:shd w:val="clear" w:color="auto" w:fill="auto"/>
            <w:vAlign w:val="center"/>
          </w:tcPr>
          <w:p w14:paraId="59CC2D12">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69C77A17">
            <w:pPr>
              <w:widowControl/>
              <w:jc w:val="center"/>
              <w:rPr>
                <w:rFonts w:ascii="Times New Roman"/>
                <w:kern w:val="0"/>
                <w:sz w:val="21"/>
                <w:szCs w:val="21"/>
              </w:rPr>
            </w:pPr>
            <w:r>
              <w:rPr>
                <w:rFonts w:ascii="Times New Roman"/>
                <w:kern w:val="0"/>
                <w:sz w:val="21"/>
                <w:szCs w:val="21"/>
              </w:rPr>
              <w:t>/</w:t>
            </w:r>
          </w:p>
        </w:tc>
        <w:tc>
          <w:tcPr>
            <w:tcW w:w="360" w:type="pct"/>
            <w:shd w:val="clear" w:color="auto" w:fill="auto"/>
            <w:vAlign w:val="center"/>
          </w:tcPr>
          <w:p w14:paraId="4716E5B7">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5B35F824">
            <w:pPr>
              <w:widowControl/>
              <w:jc w:val="center"/>
              <w:rPr>
                <w:rFonts w:ascii="Times New Roman"/>
                <w:kern w:val="0"/>
                <w:sz w:val="21"/>
                <w:szCs w:val="21"/>
              </w:rPr>
            </w:pPr>
            <w:r>
              <w:rPr>
                <w:rFonts w:ascii="Times New Roman"/>
                <w:kern w:val="0"/>
                <w:sz w:val="21"/>
                <w:szCs w:val="21"/>
              </w:rPr>
              <w:t>/</w:t>
            </w:r>
          </w:p>
        </w:tc>
        <w:tc>
          <w:tcPr>
            <w:tcW w:w="355" w:type="pct"/>
            <w:shd w:val="clear" w:color="auto" w:fill="auto"/>
            <w:vAlign w:val="center"/>
          </w:tcPr>
          <w:p w14:paraId="3B1D8827">
            <w:pPr>
              <w:widowControl/>
              <w:jc w:val="center"/>
              <w:rPr>
                <w:rFonts w:ascii="Times New Roman"/>
                <w:kern w:val="0"/>
                <w:sz w:val="21"/>
                <w:szCs w:val="21"/>
              </w:rPr>
            </w:pPr>
            <w:r>
              <w:rPr>
                <w:rFonts w:hint="eastAsia" w:ascii="Times New Roman"/>
                <w:kern w:val="0"/>
                <w:sz w:val="21"/>
                <w:szCs w:val="21"/>
              </w:rPr>
              <w:t>2.671</w:t>
            </w:r>
          </w:p>
        </w:tc>
        <w:tc>
          <w:tcPr>
            <w:tcW w:w="318" w:type="pct"/>
            <w:shd w:val="clear" w:color="auto" w:fill="auto"/>
            <w:vAlign w:val="center"/>
          </w:tcPr>
          <w:p w14:paraId="5F272B5A">
            <w:pPr>
              <w:widowControl/>
              <w:jc w:val="center"/>
              <w:rPr>
                <w:rFonts w:ascii="Times New Roman"/>
                <w:kern w:val="0"/>
                <w:sz w:val="21"/>
                <w:szCs w:val="21"/>
              </w:rPr>
            </w:pPr>
            <w:r>
              <w:rPr>
                <w:rFonts w:hint="eastAsia" w:ascii="Times New Roman"/>
                <w:kern w:val="0"/>
                <w:sz w:val="21"/>
                <w:szCs w:val="21"/>
              </w:rPr>
              <w:t>/</w:t>
            </w:r>
          </w:p>
        </w:tc>
        <w:tc>
          <w:tcPr>
            <w:tcW w:w="1301" w:type="pct"/>
            <w:vMerge w:val="continue"/>
            <w:vAlign w:val="center"/>
          </w:tcPr>
          <w:p w14:paraId="19486621">
            <w:pPr>
              <w:widowControl/>
              <w:jc w:val="center"/>
              <w:rPr>
                <w:rFonts w:ascii="Times New Roman"/>
                <w:kern w:val="0"/>
                <w:sz w:val="21"/>
                <w:szCs w:val="21"/>
              </w:rPr>
            </w:pPr>
          </w:p>
        </w:tc>
      </w:tr>
      <w:tr w14:paraId="450F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5EE0AE3D">
            <w:pPr>
              <w:widowControl/>
              <w:jc w:val="center"/>
              <w:rPr>
                <w:rFonts w:ascii="Times New Roman"/>
                <w:kern w:val="0"/>
                <w:sz w:val="21"/>
                <w:szCs w:val="21"/>
              </w:rPr>
            </w:pPr>
            <w:r>
              <w:rPr>
                <w:rFonts w:ascii="Times New Roman"/>
                <w:kern w:val="0"/>
                <w:sz w:val="21"/>
                <w:szCs w:val="21"/>
              </w:rPr>
              <w:t>5</w:t>
            </w:r>
          </w:p>
        </w:tc>
        <w:tc>
          <w:tcPr>
            <w:tcW w:w="695" w:type="pct"/>
            <w:shd w:val="clear" w:color="auto" w:fill="auto"/>
            <w:vAlign w:val="center"/>
          </w:tcPr>
          <w:p w14:paraId="2CDA3F3A">
            <w:pPr>
              <w:widowControl/>
              <w:jc w:val="center"/>
              <w:rPr>
                <w:rFonts w:ascii="Times New Roman"/>
                <w:kern w:val="0"/>
                <w:sz w:val="21"/>
                <w:szCs w:val="21"/>
              </w:rPr>
            </w:pPr>
            <w:r>
              <w:rPr>
                <w:rFonts w:ascii="Times New Roman"/>
                <w:kern w:val="0"/>
                <w:sz w:val="21"/>
                <w:szCs w:val="21"/>
              </w:rPr>
              <w:t>纯水洗1</w:t>
            </w:r>
          </w:p>
        </w:tc>
        <w:tc>
          <w:tcPr>
            <w:tcW w:w="407" w:type="pct"/>
            <w:shd w:val="clear" w:color="auto" w:fill="auto"/>
            <w:vAlign w:val="center"/>
          </w:tcPr>
          <w:p w14:paraId="1E9A6300">
            <w:pPr>
              <w:widowControl/>
              <w:jc w:val="center"/>
              <w:rPr>
                <w:rFonts w:ascii="Times New Roman"/>
                <w:kern w:val="0"/>
                <w:sz w:val="21"/>
                <w:szCs w:val="21"/>
              </w:rPr>
            </w:pPr>
            <w:r>
              <w:rPr>
                <w:rFonts w:hint="eastAsia" w:ascii="Times New Roman"/>
                <w:kern w:val="0"/>
                <w:sz w:val="21"/>
                <w:szCs w:val="21"/>
              </w:rPr>
              <w:t>37.3</w:t>
            </w:r>
          </w:p>
        </w:tc>
        <w:tc>
          <w:tcPr>
            <w:tcW w:w="330" w:type="pct"/>
            <w:shd w:val="clear" w:color="auto" w:fill="auto"/>
            <w:vAlign w:val="center"/>
          </w:tcPr>
          <w:p w14:paraId="06718A9F">
            <w:pPr>
              <w:widowControl/>
              <w:jc w:val="center"/>
              <w:rPr>
                <w:rFonts w:ascii="Times New Roman"/>
                <w:kern w:val="0"/>
                <w:sz w:val="21"/>
                <w:szCs w:val="21"/>
              </w:rPr>
            </w:pPr>
            <w:r>
              <w:rPr>
                <w:rFonts w:hint="eastAsia" w:ascii="Times New Roman"/>
                <w:kern w:val="0"/>
                <w:sz w:val="21"/>
                <w:szCs w:val="21"/>
              </w:rPr>
              <w:t>/</w:t>
            </w:r>
          </w:p>
        </w:tc>
        <w:tc>
          <w:tcPr>
            <w:tcW w:w="319" w:type="pct"/>
            <w:shd w:val="clear" w:color="auto" w:fill="auto"/>
            <w:vAlign w:val="center"/>
          </w:tcPr>
          <w:p w14:paraId="7FADC94D">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586BA9FC">
            <w:pPr>
              <w:widowControl/>
              <w:jc w:val="center"/>
              <w:rPr>
                <w:rFonts w:ascii="Times New Roman"/>
                <w:kern w:val="0"/>
                <w:sz w:val="21"/>
                <w:szCs w:val="21"/>
              </w:rPr>
            </w:pPr>
            <w:r>
              <w:rPr>
                <w:rFonts w:hint="eastAsia" w:ascii="Times New Roman"/>
                <w:kern w:val="0"/>
                <w:sz w:val="21"/>
                <w:szCs w:val="21"/>
              </w:rPr>
              <w:t>37.3</w:t>
            </w:r>
          </w:p>
        </w:tc>
        <w:tc>
          <w:tcPr>
            <w:tcW w:w="360" w:type="pct"/>
            <w:shd w:val="clear" w:color="auto" w:fill="auto"/>
            <w:vAlign w:val="center"/>
          </w:tcPr>
          <w:p w14:paraId="1880786A">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01CC9F3B">
            <w:pPr>
              <w:widowControl/>
              <w:jc w:val="center"/>
              <w:rPr>
                <w:rFonts w:ascii="Times New Roman"/>
                <w:kern w:val="0"/>
                <w:sz w:val="21"/>
                <w:szCs w:val="21"/>
              </w:rPr>
            </w:pPr>
            <w:r>
              <w:rPr>
                <w:rFonts w:hint="eastAsia" w:ascii="Times New Roman"/>
                <w:kern w:val="0"/>
                <w:sz w:val="21"/>
                <w:szCs w:val="21"/>
              </w:rPr>
              <w:t>/</w:t>
            </w:r>
          </w:p>
        </w:tc>
        <w:tc>
          <w:tcPr>
            <w:tcW w:w="355" w:type="pct"/>
            <w:shd w:val="clear" w:color="auto" w:fill="auto"/>
            <w:vAlign w:val="center"/>
          </w:tcPr>
          <w:p w14:paraId="2FBB1002">
            <w:pPr>
              <w:widowControl/>
              <w:jc w:val="center"/>
              <w:rPr>
                <w:rFonts w:ascii="Times New Roman"/>
                <w:kern w:val="0"/>
                <w:sz w:val="21"/>
                <w:szCs w:val="21"/>
              </w:rPr>
            </w:pPr>
            <w:r>
              <w:rPr>
                <w:rFonts w:hint="eastAsia" w:ascii="Times New Roman"/>
                <w:kern w:val="0"/>
                <w:sz w:val="21"/>
                <w:szCs w:val="21"/>
              </w:rPr>
              <w:t>3.7</w:t>
            </w:r>
          </w:p>
        </w:tc>
        <w:tc>
          <w:tcPr>
            <w:tcW w:w="318" w:type="pct"/>
            <w:shd w:val="clear" w:color="auto" w:fill="auto"/>
            <w:vAlign w:val="center"/>
          </w:tcPr>
          <w:p w14:paraId="20B38BD1">
            <w:pPr>
              <w:widowControl/>
              <w:jc w:val="center"/>
              <w:rPr>
                <w:rFonts w:ascii="Times New Roman"/>
                <w:kern w:val="0"/>
                <w:sz w:val="21"/>
                <w:szCs w:val="21"/>
              </w:rPr>
            </w:pPr>
            <w:r>
              <w:rPr>
                <w:rFonts w:ascii="Times New Roman"/>
                <w:kern w:val="0"/>
                <w:sz w:val="21"/>
                <w:szCs w:val="21"/>
              </w:rPr>
              <w:t>/</w:t>
            </w:r>
          </w:p>
        </w:tc>
        <w:tc>
          <w:tcPr>
            <w:tcW w:w="1301" w:type="pct"/>
            <w:vMerge w:val="continue"/>
            <w:vAlign w:val="center"/>
          </w:tcPr>
          <w:p w14:paraId="70447DBB">
            <w:pPr>
              <w:widowControl/>
              <w:jc w:val="center"/>
              <w:rPr>
                <w:rFonts w:ascii="Times New Roman"/>
                <w:kern w:val="0"/>
                <w:sz w:val="21"/>
                <w:szCs w:val="21"/>
              </w:rPr>
            </w:pPr>
          </w:p>
        </w:tc>
      </w:tr>
      <w:tr w14:paraId="3693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28C60F6C">
            <w:pPr>
              <w:widowControl/>
              <w:jc w:val="center"/>
              <w:rPr>
                <w:rFonts w:ascii="Times New Roman"/>
                <w:kern w:val="0"/>
                <w:sz w:val="21"/>
                <w:szCs w:val="21"/>
              </w:rPr>
            </w:pPr>
            <w:r>
              <w:rPr>
                <w:rFonts w:ascii="Times New Roman"/>
                <w:kern w:val="0"/>
                <w:sz w:val="21"/>
                <w:szCs w:val="21"/>
              </w:rPr>
              <w:t>6</w:t>
            </w:r>
          </w:p>
        </w:tc>
        <w:tc>
          <w:tcPr>
            <w:tcW w:w="695" w:type="pct"/>
            <w:shd w:val="clear" w:color="auto" w:fill="auto"/>
            <w:vAlign w:val="center"/>
          </w:tcPr>
          <w:p w14:paraId="1878B922">
            <w:pPr>
              <w:autoSpaceDE w:val="0"/>
              <w:autoSpaceDN w:val="0"/>
              <w:adjustRightInd w:val="0"/>
              <w:snapToGrid w:val="0"/>
              <w:jc w:val="center"/>
              <w:rPr>
                <w:rFonts w:ascii="Times New Roman"/>
                <w:sz w:val="21"/>
                <w:szCs w:val="21"/>
              </w:rPr>
            </w:pPr>
            <w:r>
              <w:rPr>
                <w:rFonts w:ascii="Times New Roman"/>
                <w:sz w:val="21"/>
                <w:szCs w:val="21"/>
              </w:rPr>
              <w:t>硅烷化</w:t>
            </w:r>
          </w:p>
        </w:tc>
        <w:tc>
          <w:tcPr>
            <w:tcW w:w="407" w:type="pct"/>
            <w:shd w:val="clear" w:color="auto" w:fill="auto"/>
            <w:vAlign w:val="center"/>
          </w:tcPr>
          <w:p w14:paraId="6647A664">
            <w:pPr>
              <w:widowControl/>
              <w:jc w:val="center"/>
              <w:rPr>
                <w:rFonts w:ascii="Times New Roman"/>
                <w:kern w:val="0"/>
                <w:sz w:val="21"/>
                <w:szCs w:val="21"/>
              </w:rPr>
            </w:pPr>
            <w:r>
              <w:rPr>
                <w:rFonts w:hint="eastAsia" w:ascii="Times New Roman"/>
                <w:kern w:val="0"/>
                <w:sz w:val="21"/>
                <w:szCs w:val="21"/>
              </w:rPr>
              <w:t>2.671</w:t>
            </w:r>
          </w:p>
        </w:tc>
        <w:tc>
          <w:tcPr>
            <w:tcW w:w="330" w:type="pct"/>
            <w:shd w:val="clear" w:color="auto" w:fill="auto"/>
            <w:vAlign w:val="center"/>
          </w:tcPr>
          <w:p w14:paraId="7EE70FF4">
            <w:pPr>
              <w:widowControl/>
              <w:jc w:val="center"/>
              <w:rPr>
                <w:rFonts w:ascii="Times New Roman"/>
                <w:kern w:val="0"/>
                <w:sz w:val="21"/>
                <w:szCs w:val="21"/>
              </w:rPr>
            </w:pPr>
            <w:r>
              <w:rPr>
                <w:rFonts w:hint="eastAsia" w:ascii="Times New Roman"/>
                <w:kern w:val="0"/>
                <w:sz w:val="21"/>
                <w:szCs w:val="21"/>
              </w:rPr>
              <w:t>2.671</w:t>
            </w:r>
          </w:p>
        </w:tc>
        <w:tc>
          <w:tcPr>
            <w:tcW w:w="319" w:type="pct"/>
            <w:shd w:val="clear" w:color="auto" w:fill="auto"/>
            <w:vAlign w:val="center"/>
          </w:tcPr>
          <w:p w14:paraId="6D37DF04">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25411F25">
            <w:pPr>
              <w:widowControl/>
              <w:jc w:val="center"/>
              <w:rPr>
                <w:rFonts w:ascii="Times New Roman"/>
                <w:kern w:val="0"/>
                <w:sz w:val="21"/>
                <w:szCs w:val="21"/>
              </w:rPr>
            </w:pPr>
            <w:r>
              <w:rPr>
                <w:rFonts w:ascii="Times New Roman"/>
                <w:kern w:val="0"/>
                <w:sz w:val="21"/>
                <w:szCs w:val="21"/>
              </w:rPr>
              <w:t>/</w:t>
            </w:r>
          </w:p>
        </w:tc>
        <w:tc>
          <w:tcPr>
            <w:tcW w:w="360" w:type="pct"/>
            <w:shd w:val="clear" w:color="auto" w:fill="auto"/>
            <w:vAlign w:val="center"/>
          </w:tcPr>
          <w:p w14:paraId="441DBD59">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50F2B733">
            <w:pPr>
              <w:widowControl/>
              <w:jc w:val="center"/>
              <w:rPr>
                <w:rFonts w:ascii="Times New Roman"/>
                <w:kern w:val="0"/>
                <w:sz w:val="21"/>
                <w:szCs w:val="21"/>
              </w:rPr>
            </w:pPr>
            <w:r>
              <w:rPr>
                <w:rFonts w:ascii="Times New Roman"/>
                <w:kern w:val="0"/>
                <w:sz w:val="21"/>
                <w:szCs w:val="21"/>
              </w:rPr>
              <w:t>/</w:t>
            </w:r>
          </w:p>
        </w:tc>
        <w:tc>
          <w:tcPr>
            <w:tcW w:w="355" w:type="pct"/>
            <w:shd w:val="clear" w:color="auto" w:fill="auto"/>
            <w:vAlign w:val="center"/>
          </w:tcPr>
          <w:p w14:paraId="47FE8E41">
            <w:pPr>
              <w:widowControl/>
              <w:jc w:val="center"/>
              <w:rPr>
                <w:rFonts w:ascii="Times New Roman"/>
                <w:kern w:val="0"/>
                <w:sz w:val="21"/>
                <w:szCs w:val="21"/>
              </w:rPr>
            </w:pPr>
            <w:r>
              <w:rPr>
                <w:rFonts w:hint="eastAsia" w:ascii="Times New Roman"/>
                <w:kern w:val="0"/>
                <w:sz w:val="21"/>
                <w:szCs w:val="21"/>
              </w:rPr>
              <w:t>2.671</w:t>
            </w:r>
          </w:p>
        </w:tc>
        <w:tc>
          <w:tcPr>
            <w:tcW w:w="318" w:type="pct"/>
            <w:shd w:val="clear" w:color="auto" w:fill="auto"/>
            <w:vAlign w:val="center"/>
          </w:tcPr>
          <w:p w14:paraId="58509583">
            <w:pPr>
              <w:widowControl/>
              <w:jc w:val="center"/>
              <w:rPr>
                <w:rFonts w:ascii="Times New Roman"/>
                <w:kern w:val="0"/>
                <w:sz w:val="21"/>
                <w:szCs w:val="21"/>
              </w:rPr>
            </w:pPr>
            <w:r>
              <w:rPr>
                <w:rFonts w:hint="eastAsia" w:ascii="Times New Roman"/>
                <w:kern w:val="0"/>
                <w:sz w:val="21"/>
                <w:szCs w:val="21"/>
              </w:rPr>
              <w:t>/</w:t>
            </w:r>
          </w:p>
        </w:tc>
        <w:tc>
          <w:tcPr>
            <w:tcW w:w="1301" w:type="pct"/>
            <w:vMerge w:val="continue"/>
            <w:vAlign w:val="center"/>
          </w:tcPr>
          <w:p w14:paraId="1D8C3DB3">
            <w:pPr>
              <w:widowControl/>
              <w:jc w:val="center"/>
              <w:rPr>
                <w:rFonts w:ascii="Times New Roman"/>
                <w:kern w:val="0"/>
                <w:sz w:val="21"/>
                <w:szCs w:val="21"/>
              </w:rPr>
            </w:pPr>
          </w:p>
        </w:tc>
      </w:tr>
      <w:tr w14:paraId="22F8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37BB14AB">
            <w:pPr>
              <w:widowControl/>
              <w:jc w:val="center"/>
              <w:rPr>
                <w:rFonts w:ascii="Times New Roman"/>
                <w:kern w:val="0"/>
                <w:sz w:val="21"/>
                <w:szCs w:val="21"/>
              </w:rPr>
            </w:pPr>
            <w:r>
              <w:rPr>
                <w:rFonts w:ascii="Times New Roman"/>
                <w:kern w:val="0"/>
                <w:sz w:val="21"/>
                <w:szCs w:val="21"/>
              </w:rPr>
              <w:t>7</w:t>
            </w:r>
          </w:p>
        </w:tc>
        <w:tc>
          <w:tcPr>
            <w:tcW w:w="695" w:type="pct"/>
            <w:shd w:val="clear" w:color="auto" w:fill="auto"/>
            <w:vAlign w:val="center"/>
          </w:tcPr>
          <w:p w14:paraId="7493EA68">
            <w:pPr>
              <w:widowControl/>
              <w:jc w:val="center"/>
              <w:rPr>
                <w:rFonts w:ascii="Times New Roman"/>
                <w:kern w:val="0"/>
                <w:sz w:val="21"/>
                <w:szCs w:val="21"/>
              </w:rPr>
            </w:pPr>
            <w:r>
              <w:rPr>
                <w:rFonts w:ascii="Times New Roman"/>
                <w:kern w:val="0"/>
                <w:sz w:val="21"/>
                <w:szCs w:val="21"/>
              </w:rPr>
              <w:t>纯水洗2</w:t>
            </w:r>
          </w:p>
        </w:tc>
        <w:tc>
          <w:tcPr>
            <w:tcW w:w="407" w:type="pct"/>
            <w:shd w:val="clear" w:color="auto" w:fill="auto"/>
            <w:vAlign w:val="center"/>
          </w:tcPr>
          <w:p w14:paraId="040326F2">
            <w:pPr>
              <w:widowControl/>
              <w:jc w:val="center"/>
              <w:rPr>
                <w:rFonts w:ascii="Times New Roman"/>
                <w:kern w:val="0"/>
                <w:sz w:val="21"/>
                <w:szCs w:val="21"/>
              </w:rPr>
            </w:pPr>
            <w:r>
              <w:rPr>
                <w:rFonts w:hint="eastAsia" w:ascii="Times New Roman"/>
                <w:sz w:val="21"/>
                <w:szCs w:val="21"/>
              </w:rPr>
              <w:t>33.6</w:t>
            </w:r>
          </w:p>
        </w:tc>
        <w:tc>
          <w:tcPr>
            <w:tcW w:w="330" w:type="pct"/>
            <w:shd w:val="clear" w:color="auto" w:fill="auto"/>
            <w:vAlign w:val="center"/>
          </w:tcPr>
          <w:p w14:paraId="1C901BF3">
            <w:pPr>
              <w:widowControl/>
              <w:jc w:val="center"/>
              <w:rPr>
                <w:rFonts w:ascii="Times New Roman"/>
                <w:kern w:val="0"/>
                <w:sz w:val="21"/>
                <w:szCs w:val="21"/>
              </w:rPr>
            </w:pPr>
            <w:r>
              <w:rPr>
                <w:rFonts w:ascii="Times New Roman"/>
                <w:kern w:val="0"/>
                <w:sz w:val="21"/>
                <w:szCs w:val="21"/>
              </w:rPr>
              <w:t>/</w:t>
            </w:r>
          </w:p>
        </w:tc>
        <w:tc>
          <w:tcPr>
            <w:tcW w:w="319" w:type="pct"/>
            <w:shd w:val="clear" w:color="auto" w:fill="auto"/>
            <w:vAlign w:val="center"/>
          </w:tcPr>
          <w:p w14:paraId="15ACB1B1">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4AF92B97">
            <w:pPr>
              <w:widowControl/>
              <w:jc w:val="center"/>
              <w:rPr>
                <w:rFonts w:ascii="Times New Roman"/>
                <w:kern w:val="0"/>
                <w:sz w:val="21"/>
                <w:szCs w:val="21"/>
              </w:rPr>
            </w:pPr>
            <w:r>
              <w:rPr>
                <w:rFonts w:ascii="Times New Roman"/>
                <w:kern w:val="0"/>
                <w:sz w:val="21"/>
                <w:szCs w:val="21"/>
              </w:rPr>
              <w:t>/</w:t>
            </w:r>
          </w:p>
        </w:tc>
        <w:tc>
          <w:tcPr>
            <w:tcW w:w="360" w:type="pct"/>
            <w:shd w:val="clear" w:color="auto" w:fill="auto"/>
            <w:vAlign w:val="center"/>
          </w:tcPr>
          <w:p w14:paraId="412ECD19">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7348FE57">
            <w:pPr>
              <w:widowControl/>
              <w:jc w:val="center"/>
              <w:rPr>
                <w:rFonts w:ascii="Times New Roman"/>
                <w:sz w:val="21"/>
                <w:szCs w:val="21"/>
              </w:rPr>
            </w:pPr>
            <w:r>
              <w:rPr>
                <w:rFonts w:hint="eastAsia" w:ascii="Times New Roman"/>
                <w:sz w:val="21"/>
                <w:szCs w:val="21"/>
              </w:rPr>
              <w:t>33.6</w:t>
            </w:r>
          </w:p>
        </w:tc>
        <w:tc>
          <w:tcPr>
            <w:tcW w:w="355" w:type="pct"/>
            <w:shd w:val="clear" w:color="auto" w:fill="auto"/>
            <w:vAlign w:val="center"/>
          </w:tcPr>
          <w:p w14:paraId="772E0FCB">
            <w:pPr>
              <w:widowControl/>
              <w:jc w:val="center"/>
              <w:rPr>
                <w:rFonts w:ascii="Times New Roman"/>
                <w:kern w:val="0"/>
                <w:sz w:val="21"/>
                <w:szCs w:val="21"/>
              </w:rPr>
            </w:pPr>
            <w:r>
              <w:rPr>
                <w:rFonts w:hint="eastAsia" w:ascii="Times New Roman"/>
                <w:kern w:val="0"/>
                <w:sz w:val="21"/>
                <w:szCs w:val="21"/>
              </w:rPr>
              <w:t>/</w:t>
            </w:r>
          </w:p>
        </w:tc>
        <w:tc>
          <w:tcPr>
            <w:tcW w:w="318" w:type="pct"/>
            <w:shd w:val="clear" w:color="auto" w:fill="auto"/>
            <w:vAlign w:val="center"/>
          </w:tcPr>
          <w:p w14:paraId="62EF9457">
            <w:pPr>
              <w:widowControl/>
              <w:jc w:val="center"/>
              <w:rPr>
                <w:rFonts w:ascii="Times New Roman"/>
                <w:kern w:val="0"/>
                <w:sz w:val="21"/>
                <w:szCs w:val="21"/>
              </w:rPr>
            </w:pPr>
            <w:r>
              <w:rPr>
                <w:rFonts w:hint="eastAsia" w:ascii="Times New Roman"/>
                <w:kern w:val="0"/>
                <w:sz w:val="21"/>
                <w:szCs w:val="21"/>
              </w:rPr>
              <w:t>33.6</w:t>
            </w:r>
          </w:p>
        </w:tc>
        <w:tc>
          <w:tcPr>
            <w:tcW w:w="1301" w:type="pct"/>
            <w:vMerge w:val="continue"/>
            <w:vAlign w:val="center"/>
          </w:tcPr>
          <w:p w14:paraId="6B8628C0">
            <w:pPr>
              <w:widowControl/>
              <w:jc w:val="center"/>
              <w:rPr>
                <w:rFonts w:ascii="Times New Roman"/>
                <w:kern w:val="0"/>
                <w:sz w:val="21"/>
                <w:szCs w:val="21"/>
              </w:rPr>
            </w:pPr>
          </w:p>
        </w:tc>
      </w:tr>
      <w:tr w14:paraId="3428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79FB6AAE">
            <w:pPr>
              <w:widowControl/>
              <w:jc w:val="center"/>
              <w:rPr>
                <w:rFonts w:ascii="Times New Roman"/>
                <w:kern w:val="0"/>
                <w:sz w:val="21"/>
                <w:szCs w:val="21"/>
              </w:rPr>
            </w:pPr>
            <w:r>
              <w:rPr>
                <w:rFonts w:ascii="Times New Roman"/>
                <w:kern w:val="0"/>
                <w:sz w:val="21"/>
                <w:szCs w:val="21"/>
              </w:rPr>
              <w:t>8</w:t>
            </w:r>
          </w:p>
        </w:tc>
        <w:tc>
          <w:tcPr>
            <w:tcW w:w="695" w:type="pct"/>
            <w:shd w:val="clear" w:color="auto" w:fill="auto"/>
            <w:vAlign w:val="center"/>
          </w:tcPr>
          <w:p w14:paraId="063C3C33">
            <w:pPr>
              <w:widowControl/>
              <w:jc w:val="center"/>
              <w:rPr>
                <w:rFonts w:ascii="Times New Roman"/>
                <w:kern w:val="0"/>
                <w:sz w:val="21"/>
                <w:szCs w:val="21"/>
              </w:rPr>
            </w:pPr>
            <w:r>
              <w:rPr>
                <w:rFonts w:ascii="Times New Roman"/>
                <w:kern w:val="0"/>
                <w:sz w:val="21"/>
                <w:szCs w:val="21"/>
              </w:rPr>
              <w:t>纯水洗3</w:t>
            </w:r>
          </w:p>
        </w:tc>
        <w:tc>
          <w:tcPr>
            <w:tcW w:w="407" w:type="pct"/>
            <w:shd w:val="clear" w:color="auto" w:fill="auto"/>
            <w:vAlign w:val="center"/>
          </w:tcPr>
          <w:p w14:paraId="19AE29C1">
            <w:pPr>
              <w:widowControl/>
              <w:jc w:val="center"/>
              <w:rPr>
                <w:rFonts w:ascii="Times New Roman"/>
                <w:kern w:val="0"/>
                <w:sz w:val="21"/>
                <w:szCs w:val="21"/>
              </w:rPr>
            </w:pPr>
            <w:r>
              <w:rPr>
                <w:rFonts w:hint="eastAsia" w:ascii="Times New Roman"/>
                <w:kern w:val="0"/>
                <w:sz w:val="21"/>
                <w:szCs w:val="21"/>
              </w:rPr>
              <w:t>37.3</w:t>
            </w:r>
          </w:p>
        </w:tc>
        <w:tc>
          <w:tcPr>
            <w:tcW w:w="330" w:type="pct"/>
            <w:shd w:val="clear" w:color="auto" w:fill="auto"/>
            <w:vAlign w:val="center"/>
          </w:tcPr>
          <w:p w14:paraId="212A3EBA">
            <w:pPr>
              <w:widowControl/>
              <w:jc w:val="center"/>
              <w:rPr>
                <w:rFonts w:ascii="Times New Roman"/>
                <w:kern w:val="0"/>
                <w:sz w:val="21"/>
                <w:szCs w:val="21"/>
              </w:rPr>
            </w:pPr>
            <w:r>
              <w:rPr>
                <w:rFonts w:hint="eastAsia" w:ascii="Times New Roman"/>
                <w:kern w:val="0"/>
                <w:sz w:val="21"/>
                <w:szCs w:val="21"/>
              </w:rPr>
              <w:t>/</w:t>
            </w:r>
          </w:p>
        </w:tc>
        <w:tc>
          <w:tcPr>
            <w:tcW w:w="319" w:type="pct"/>
            <w:shd w:val="clear" w:color="auto" w:fill="auto"/>
            <w:vAlign w:val="center"/>
          </w:tcPr>
          <w:p w14:paraId="65A98F88">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1CE2809D">
            <w:pPr>
              <w:widowControl/>
              <w:jc w:val="center"/>
              <w:rPr>
                <w:rFonts w:ascii="Times New Roman"/>
                <w:kern w:val="0"/>
                <w:sz w:val="21"/>
                <w:szCs w:val="21"/>
              </w:rPr>
            </w:pPr>
            <w:r>
              <w:rPr>
                <w:rFonts w:hint="eastAsia" w:ascii="Times New Roman"/>
                <w:kern w:val="0"/>
                <w:sz w:val="21"/>
                <w:szCs w:val="21"/>
              </w:rPr>
              <w:t>37.3</w:t>
            </w:r>
          </w:p>
        </w:tc>
        <w:tc>
          <w:tcPr>
            <w:tcW w:w="360" w:type="pct"/>
            <w:shd w:val="clear" w:color="auto" w:fill="auto"/>
            <w:vAlign w:val="center"/>
          </w:tcPr>
          <w:p w14:paraId="1EF39BCE">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1D9AF7BC">
            <w:pPr>
              <w:widowControl/>
              <w:jc w:val="center"/>
              <w:rPr>
                <w:rFonts w:ascii="Times New Roman"/>
                <w:kern w:val="0"/>
                <w:sz w:val="21"/>
                <w:szCs w:val="21"/>
              </w:rPr>
            </w:pPr>
            <w:r>
              <w:rPr>
                <w:rFonts w:hint="eastAsia" w:ascii="Times New Roman"/>
                <w:kern w:val="0"/>
                <w:sz w:val="21"/>
                <w:szCs w:val="21"/>
              </w:rPr>
              <w:t>/</w:t>
            </w:r>
          </w:p>
        </w:tc>
        <w:tc>
          <w:tcPr>
            <w:tcW w:w="355" w:type="pct"/>
            <w:shd w:val="clear" w:color="auto" w:fill="auto"/>
            <w:vAlign w:val="center"/>
          </w:tcPr>
          <w:p w14:paraId="33B3F338">
            <w:pPr>
              <w:widowControl/>
              <w:jc w:val="center"/>
              <w:rPr>
                <w:rFonts w:ascii="Times New Roman"/>
                <w:kern w:val="0"/>
                <w:sz w:val="21"/>
                <w:szCs w:val="21"/>
              </w:rPr>
            </w:pPr>
            <w:r>
              <w:rPr>
                <w:rFonts w:hint="eastAsia" w:ascii="Times New Roman"/>
                <w:kern w:val="0"/>
                <w:sz w:val="21"/>
                <w:szCs w:val="21"/>
              </w:rPr>
              <w:t>3.7</w:t>
            </w:r>
          </w:p>
        </w:tc>
        <w:tc>
          <w:tcPr>
            <w:tcW w:w="318" w:type="pct"/>
            <w:shd w:val="clear" w:color="auto" w:fill="auto"/>
            <w:vAlign w:val="center"/>
          </w:tcPr>
          <w:p w14:paraId="12A88644">
            <w:pPr>
              <w:widowControl/>
              <w:jc w:val="center"/>
              <w:rPr>
                <w:rFonts w:ascii="Times New Roman"/>
                <w:kern w:val="0"/>
                <w:sz w:val="21"/>
                <w:szCs w:val="21"/>
              </w:rPr>
            </w:pPr>
            <w:r>
              <w:rPr>
                <w:rFonts w:ascii="Times New Roman"/>
                <w:kern w:val="0"/>
                <w:sz w:val="21"/>
                <w:szCs w:val="21"/>
              </w:rPr>
              <w:t>/</w:t>
            </w:r>
          </w:p>
        </w:tc>
        <w:tc>
          <w:tcPr>
            <w:tcW w:w="1301" w:type="pct"/>
            <w:vMerge w:val="continue"/>
            <w:vAlign w:val="center"/>
          </w:tcPr>
          <w:p w14:paraId="3AA9AE1B">
            <w:pPr>
              <w:widowControl/>
              <w:jc w:val="center"/>
              <w:rPr>
                <w:rFonts w:ascii="Times New Roman"/>
                <w:kern w:val="0"/>
                <w:sz w:val="21"/>
                <w:szCs w:val="21"/>
              </w:rPr>
            </w:pPr>
          </w:p>
        </w:tc>
      </w:tr>
      <w:tr w14:paraId="24D6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0" w:type="pct"/>
            <w:shd w:val="clear" w:color="auto" w:fill="auto"/>
            <w:vAlign w:val="center"/>
          </w:tcPr>
          <w:p w14:paraId="3983E7A3">
            <w:pPr>
              <w:widowControl/>
              <w:jc w:val="center"/>
              <w:rPr>
                <w:rFonts w:ascii="Times New Roman"/>
                <w:kern w:val="0"/>
                <w:sz w:val="21"/>
                <w:szCs w:val="21"/>
              </w:rPr>
            </w:pPr>
            <w:r>
              <w:rPr>
                <w:rFonts w:ascii="Times New Roman"/>
                <w:kern w:val="0"/>
                <w:sz w:val="21"/>
                <w:szCs w:val="21"/>
              </w:rPr>
              <w:t>9</w:t>
            </w:r>
          </w:p>
        </w:tc>
        <w:tc>
          <w:tcPr>
            <w:tcW w:w="695" w:type="pct"/>
            <w:shd w:val="clear" w:color="auto" w:fill="auto"/>
            <w:vAlign w:val="center"/>
          </w:tcPr>
          <w:p w14:paraId="655B9480">
            <w:pPr>
              <w:widowControl/>
              <w:jc w:val="center"/>
              <w:rPr>
                <w:rFonts w:ascii="Times New Roman"/>
                <w:kern w:val="0"/>
                <w:sz w:val="21"/>
                <w:szCs w:val="21"/>
              </w:rPr>
            </w:pPr>
            <w:r>
              <w:rPr>
                <w:rFonts w:ascii="Times New Roman"/>
                <w:kern w:val="0"/>
                <w:sz w:val="21"/>
                <w:szCs w:val="21"/>
              </w:rPr>
              <w:t>UF1、UF2工序</w:t>
            </w:r>
          </w:p>
        </w:tc>
        <w:tc>
          <w:tcPr>
            <w:tcW w:w="407" w:type="pct"/>
            <w:shd w:val="clear" w:color="auto" w:fill="auto"/>
            <w:vAlign w:val="center"/>
          </w:tcPr>
          <w:p w14:paraId="336D0315">
            <w:pPr>
              <w:widowControl/>
              <w:jc w:val="center"/>
              <w:rPr>
                <w:rFonts w:ascii="Times New Roman"/>
                <w:kern w:val="0"/>
                <w:sz w:val="21"/>
                <w:szCs w:val="21"/>
              </w:rPr>
            </w:pPr>
            <w:r>
              <w:rPr>
                <w:rFonts w:hint="eastAsia" w:ascii="Times New Roman"/>
                <w:kern w:val="0"/>
                <w:sz w:val="21"/>
                <w:szCs w:val="21"/>
              </w:rPr>
              <w:t>4.012</w:t>
            </w:r>
          </w:p>
        </w:tc>
        <w:tc>
          <w:tcPr>
            <w:tcW w:w="330" w:type="pct"/>
            <w:shd w:val="clear" w:color="auto" w:fill="auto"/>
            <w:vAlign w:val="center"/>
          </w:tcPr>
          <w:p w14:paraId="4F2C64C7">
            <w:pPr>
              <w:widowControl/>
              <w:jc w:val="center"/>
              <w:rPr>
                <w:rFonts w:ascii="Times New Roman"/>
                <w:kern w:val="0"/>
                <w:sz w:val="21"/>
                <w:szCs w:val="21"/>
              </w:rPr>
            </w:pPr>
            <w:r>
              <w:rPr>
                <w:rFonts w:hint="eastAsia" w:ascii="Times New Roman"/>
                <w:kern w:val="0"/>
                <w:sz w:val="21"/>
                <w:szCs w:val="21"/>
              </w:rPr>
              <w:t>/</w:t>
            </w:r>
          </w:p>
        </w:tc>
        <w:tc>
          <w:tcPr>
            <w:tcW w:w="319" w:type="pct"/>
            <w:shd w:val="clear" w:color="auto" w:fill="auto"/>
            <w:vAlign w:val="center"/>
          </w:tcPr>
          <w:p w14:paraId="38F78AAE">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684A9EA0">
            <w:pPr>
              <w:widowControl/>
              <w:jc w:val="center"/>
              <w:rPr>
                <w:rFonts w:ascii="Times New Roman"/>
                <w:kern w:val="0"/>
                <w:sz w:val="21"/>
                <w:szCs w:val="21"/>
              </w:rPr>
            </w:pPr>
            <w:r>
              <w:rPr>
                <w:rFonts w:hint="eastAsia" w:ascii="Times New Roman"/>
                <w:kern w:val="0"/>
                <w:sz w:val="21"/>
                <w:szCs w:val="21"/>
              </w:rPr>
              <w:t>4.012</w:t>
            </w:r>
          </w:p>
        </w:tc>
        <w:tc>
          <w:tcPr>
            <w:tcW w:w="360" w:type="pct"/>
            <w:shd w:val="clear" w:color="auto" w:fill="auto"/>
            <w:vAlign w:val="center"/>
          </w:tcPr>
          <w:p w14:paraId="69DC383D">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585D6F33">
            <w:pPr>
              <w:widowControl/>
              <w:jc w:val="center"/>
              <w:rPr>
                <w:rFonts w:ascii="Times New Roman"/>
                <w:kern w:val="0"/>
                <w:sz w:val="21"/>
                <w:szCs w:val="21"/>
              </w:rPr>
            </w:pPr>
            <w:r>
              <w:rPr>
                <w:rFonts w:hint="eastAsia" w:ascii="Times New Roman"/>
                <w:kern w:val="0"/>
                <w:sz w:val="21"/>
                <w:szCs w:val="21"/>
              </w:rPr>
              <w:t>1.2</w:t>
            </w:r>
          </w:p>
        </w:tc>
        <w:tc>
          <w:tcPr>
            <w:tcW w:w="355" w:type="pct"/>
            <w:shd w:val="clear" w:color="auto" w:fill="auto"/>
            <w:vAlign w:val="center"/>
          </w:tcPr>
          <w:p w14:paraId="7C855DE1">
            <w:pPr>
              <w:widowControl/>
              <w:jc w:val="center"/>
              <w:rPr>
                <w:rFonts w:ascii="Times New Roman"/>
                <w:kern w:val="0"/>
                <w:sz w:val="21"/>
                <w:szCs w:val="21"/>
              </w:rPr>
            </w:pPr>
            <w:r>
              <w:rPr>
                <w:rFonts w:hint="eastAsia" w:ascii="Times New Roman"/>
                <w:kern w:val="0"/>
                <w:sz w:val="21"/>
                <w:szCs w:val="21"/>
              </w:rPr>
              <w:t>2.812</w:t>
            </w:r>
          </w:p>
        </w:tc>
        <w:tc>
          <w:tcPr>
            <w:tcW w:w="318" w:type="pct"/>
            <w:shd w:val="clear" w:color="auto" w:fill="auto"/>
            <w:vAlign w:val="center"/>
          </w:tcPr>
          <w:p w14:paraId="53878330">
            <w:pPr>
              <w:widowControl/>
              <w:jc w:val="center"/>
              <w:rPr>
                <w:rFonts w:ascii="Times New Roman"/>
                <w:kern w:val="0"/>
                <w:sz w:val="21"/>
                <w:szCs w:val="21"/>
              </w:rPr>
            </w:pPr>
            <w:r>
              <w:rPr>
                <w:rFonts w:hint="eastAsia" w:ascii="Times New Roman"/>
                <w:kern w:val="0"/>
                <w:sz w:val="21"/>
                <w:szCs w:val="21"/>
              </w:rPr>
              <w:t>/</w:t>
            </w:r>
          </w:p>
        </w:tc>
        <w:tc>
          <w:tcPr>
            <w:tcW w:w="1301" w:type="pct"/>
            <w:vMerge w:val="continue"/>
            <w:vAlign w:val="center"/>
          </w:tcPr>
          <w:p w14:paraId="4A1D8466">
            <w:pPr>
              <w:widowControl/>
              <w:jc w:val="center"/>
              <w:rPr>
                <w:rFonts w:ascii="Times New Roman"/>
                <w:kern w:val="0"/>
                <w:sz w:val="21"/>
                <w:szCs w:val="21"/>
              </w:rPr>
            </w:pPr>
          </w:p>
        </w:tc>
      </w:tr>
      <w:tr w14:paraId="12E0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0" w:type="pct"/>
            <w:shd w:val="clear" w:color="auto" w:fill="auto"/>
            <w:vAlign w:val="center"/>
          </w:tcPr>
          <w:p w14:paraId="2C5F79CA">
            <w:pPr>
              <w:widowControl/>
              <w:jc w:val="center"/>
              <w:rPr>
                <w:rFonts w:ascii="Times New Roman"/>
                <w:kern w:val="0"/>
                <w:sz w:val="21"/>
                <w:szCs w:val="21"/>
              </w:rPr>
            </w:pPr>
            <w:r>
              <w:rPr>
                <w:rFonts w:ascii="Times New Roman"/>
                <w:kern w:val="0"/>
                <w:sz w:val="21"/>
                <w:szCs w:val="21"/>
              </w:rPr>
              <w:t>10</w:t>
            </w:r>
          </w:p>
        </w:tc>
        <w:tc>
          <w:tcPr>
            <w:tcW w:w="695" w:type="pct"/>
            <w:shd w:val="clear" w:color="auto" w:fill="auto"/>
            <w:vAlign w:val="center"/>
          </w:tcPr>
          <w:p w14:paraId="7E7C7D84">
            <w:pPr>
              <w:widowControl/>
              <w:jc w:val="center"/>
              <w:rPr>
                <w:rFonts w:ascii="Times New Roman"/>
                <w:kern w:val="0"/>
                <w:sz w:val="21"/>
                <w:szCs w:val="21"/>
              </w:rPr>
            </w:pPr>
            <w:r>
              <w:rPr>
                <w:rFonts w:ascii="Times New Roman"/>
                <w:kern w:val="0"/>
                <w:sz w:val="21"/>
                <w:szCs w:val="21"/>
              </w:rPr>
              <w:t>车间地面清洁用水</w:t>
            </w:r>
          </w:p>
        </w:tc>
        <w:tc>
          <w:tcPr>
            <w:tcW w:w="407" w:type="pct"/>
            <w:shd w:val="clear" w:color="auto" w:fill="auto"/>
            <w:vAlign w:val="center"/>
          </w:tcPr>
          <w:p w14:paraId="51B51D08">
            <w:pPr>
              <w:widowControl/>
              <w:jc w:val="center"/>
              <w:rPr>
                <w:rFonts w:ascii="Times New Roman"/>
                <w:kern w:val="0"/>
                <w:sz w:val="21"/>
                <w:szCs w:val="21"/>
              </w:rPr>
            </w:pPr>
            <w:r>
              <w:rPr>
                <w:rFonts w:ascii="Times New Roman"/>
                <w:kern w:val="0"/>
                <w:sz w:val="21"/>
                <w:szCs w:val="21"/>
              </w:rPr>
              <w:t>3</w:t>
            </w:r>
          </w:p>
        </w:tc>
        <w:tc>
          <w:tcPr>
            <w:tcW w:w="330" w:type="pct"/>
            <w:shd w:val="clear" w:color="auto" w:fill="auto"/>
            <w:vAlign w:val="center"/>
          </w:tcPr>
          <w:p w14:paraId="6EF22194">
            <w:pPr>
              <w:widowControl/>
              <w:jc w:val="center"/>
              <w:rPr>
                <w:rFonts w:ascii="Times New Roman"/>
                <w:kern w:val="0"/>
                <w:sz w:val="21"/>
                <w:szCs w:val="21"/>
              </w:rPr>
            </w:pPr>
            <w:r>
              <w:rPr>
                <w:rFonts w:ascii="Times New Roman"/>
                <w:kern w:val="0"/>
                <w:sz w:val="21"/>
                <w:szCs w:val="21"/>
              </w:rPr>
              <w:t>3</w:t>
            </w:r>
          </w:p>
        </w:tc>
        <w:tc>
          <w:tcPr>
            <w:tcW w:w="319" w:type="pct"/>
            <w:shd w:val="clear" w:color="auto" w:fill="auto"/>
            <w:vAlign w:val="center"/>
          </w:tcPr>
          <w:p w14:paraId="6F5EE2AC">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59A04DA0">
            <w:pPr>
              <w:widowControl/>
              <w:jc w:val="center"/>
              <w:rPr>
                <w:rFonts w:ascii="Times New Roman"/>
                <w:kern w:val="0"/>
                <w:sz w:val="21"/>
                <w:szCs w:val="21"/>
              </w:rPr>
            </w:pPr>
            <w:r>
              <w:rPr>
                <w:rFonts w:ascii="Times New Roman"/>
                <w:kern w:val="0"/>
                <w:sz w:val="21"/>
                <w:szCs w:val="21"/>
              </w:rPr>
              <w:t>/</w:t>
            </w:r>
          </w:p>
        </w:tc>
        <w:tc>
          <w:tcPr>
            <w:tcW w:w="360" w:type="pct"/>
            <w:shd w:val="clear" w:color="auto" w:fill="auto"/>
            <w:vAlign w:val="center"/>
          </w:tcPr>
          <w:p w14:paraId="13986D2A">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7A396630">
            <w:pPr>
              <w:widowControl/>
              <w:jc w:val="center"/>
              <w:rPr>
                <w:rFonts w:ascii="Times New Roman"/>
                <w:kern w:val="0"/>
                <w:sz w:val="21"/>
                <w:szCs w:val="21"/>
              </w:rPr>
            </w:pPr>
            <w:r>
              <w:rPr>
                <w:rFonts w:ascii="Times New Roman"/>
                <w:kern w:val="0"/>
                <w:sz w:val="21"/>
                <w:szCs w:val="21"/>
              </w:rPr>
              <w:t>/</w:t>
            </w:r>
          </w:p>
        </w:tc>
        <w:tc>
          <w:tcPr>
            <w:tcW w:w="355" w:type="pct"/>
            <w:shd w:val="clear" w:color="auto" w:fill="auto"/>
            <w:vAlign w:val="center"/>
          </w:tcPr>
          <w:p w14:paraId="1C537751">
            <w:pPr>
              <w:widowControl/>
              <w:jc w:val="center"/>
              <w:rPr>
                <w:rFonts w:ascii="Times New Roman"/>
                <w:kern w:val="0"/>
                <w:sz w:val="21"/>
                <w:szCs w:val="21"/>
              </w:rPr>
            </w:pPr>
            <w:r>
              <w:rPr>
                <w:rFonts w:ascii="Times New Roman"/>
                <w:kern w:val="0"/>
                <w:sz w:val="21"/>
                <w:szCs w:val="21"/>
              </w:rPr>
              <w:t>0.06</w:t>
            </w:r>
          </w:p>
        </w:tc>
        <w:tc>
          <w:tcPr>
            <w:tcW w:w="318" w:type="pct"/>
            <w:shd w:val="clear" w:color="auto" w:fill="auto"/>
            <w:vAlign w:val="center"/>
          </w:tcPr>
          <w:p w14:paraId="56759FC3">
            <w:pPr>
              <w:widowControl/>
              <w:jc w:val="center"/>
              <w:rPr>
                <w:rFonts w:ascii="Times New Roman"/>
                <w:kern w:val="0"/>
                <w:sz w:val="21"/>
                <w:szCs w:val="21"/>
              </w:rPr>
            </w:pPr>
            <w:r>
              <w:rPr>
                <w:rFonts w:ascii="Times New Roman"/>
                <w:kern w:val="0"/>
                <w:sz w:val="21"/>
                <w:szCs w:val="21"/>
              </w:rPr>
              <w:t>2.4</w:t>
            </w:r>
          </w:p>
        </w:tc>
        <w:tc>
          <w:tcPr>
            <w:tcW w:w="1301" w:type="pct"/>
            <w:vMerge w:val="continue"/>
            <w:vAlign w:val="center"/>
          </w:tcPr>
          <w:p w14:paraId="1C3A428E">
            <w:pPr>
              <w:widowControl/>
              <w:jc w:val="center"/>
              <w:rPr>
                <w:rFonts w:ascii="Times New Roman"/>
                <w:sz w:val="21"/>
                <w:szCs w:val="21"/>
              </w:rPr>
            </w:pPr>
          </w:p>
        </w:tc>
      </w:tr>
      <w:tr w14:paraId="2194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40" w:type="pct"/>
            <w:shd w:val="clear" w:color="auto" w:fill="auto"/>
            <w:vAlign w:val="center"/>
          </w:tcPr>
          <w:p w14:paraId="6B7BC115">
            <w:pPr>
              <w:widowControl/>
              <w:jc w:val="center"/>
              <w:rPr>
                <w:rFonts w:ascii="Times New Roman"/>
                <w:kern w:val="0"/>
                <w:sz w:val="21"/>
                <w:szCs w:val="21"/>
              </w:rPr>
            </w:pPr>
            <w:r>
              <w:rPr>
                <w:rFonts w:ascii="Times New Roman"/>
                <w:kern w:val="0"/>
                <w:sz w:val="21"/>
                <w:szCs w:val="21"/>
              </w:rPr>
              <w:t>12</w:t>
            </w:r>
          </w:p>
        </w:tc>
        <w:tc>
          <w:tcPr>
            <w:tcW w:w="695" w:type="pct"/>
            <w:shd w:val="clear" w:color="auto" w:fill="auto"/>
            <w:vAlign w:val="center"/>
          </w:tcPr>
          <w:p w14:paraId="46EA1ED8">
            <w:pPr>
              <w:pStyle w:val="20"/>
              <w:widowControl/>
              <w:ind w:firstLine="0"/>
              <w:jc w:val="center"/>
              <w:rPr>
                <w:rFonts w:eastAsia="宋体"/>
                <w:szCs w:val="21"/>
              </w:rPr>
            </w:pPr>
            <w:r>
              <w:rPr>
                <w:rFonts w:eastAsia="宋体"/>
                <w:szCs w:val="21"/>
              </w:rPr>
              <w:t>淬火工序用水</w:t>
            </w:r>
          </w:p>
        </w:tc>
        <w:tc>
          <w:tcPr>
            <w:tcW w:w="407" w:type="pct"/>
            <w:shd w:val="clear" w:color="auto" w:fill="auto"/>
            <w:vAlign w:val="center"/>
          </w:tcPr>
          <w:p w14:paraId="2A33147A">
            <w:pPr>
              <w:widowControl/>
              <w:jc w:val="center"/>
              <w:rPr>
                <w:rFonts w:ascii="Times New Roman"/>
                <w:sz w:val="21"/>
                <w:szCs w:val="21"/>
              </w:rPr>
            </w:pPr>
            <w:r>
              <w:rPr>
                <w:rFonts w:hint="eastAsia" w:ascii="Times New Roman"/>
                <w:sz w:val="21"/>
                <w:szCs w:val="21"/>
              </w:rPr>
              <w:t>840</w:t>
            </w:r>
          </w:p>
        </w:tc>
        <w:tc>
          <w:tcPr>
            <w:tcW w:w="330" w:type="pct"/>
            <w:shd w:val="clear" w:color="auto" w:fill="auto"/>
            <w:vAlign w:val="center"/>
          </w:tcPr>
          <w:p w14:paraId="4C847B7E">
            <w:pPr>
              <w:widowControl/>
              <w:jc w:val="center"/>
              <w:rPr>
                <w:rFonts w:ascii="Times New Roman"/>
                <w:sz w:val="21"/>
                <w:szCs w:val="21"/>
              </w:rPr>
            </w:pPr>
            <w:r>
              <w:rPr>
                <w:rFonts w:hint="eastAsia" w:ascii="Times New Roman"/>
                <w:sz w:val="21"/>
                <w:szCs w:val="21"/>
              </w:rPr>
              <w:t>84</w:t>
            </w:r>
          </w:p>
        </w:tc>
        <w:tc>
          <w:tcPr>
            <w:tcW w:w="319" w:type="pct"/>
            <w:shd w:val="clear" w:color="auto" w:fill="auto"/>
            <w:vAlign w:val="center"/>
          </w:tcPr>
          <w:p w14:paraId="2E2E1DA6">
            <w:pPr>
              <w:widowControl/>
              <w:jc w:val="center"/>
              <w:rPr>
                <w:rFonts w:ascii="Times New Roman"/>
                <w:sz w:val="21"/>
                <w:szCs w:val="21"/>
              </w:rPr>
            </w:pPr>
            <w:r>
              <w:rPr>
                <w:rFonts w:ascii="Times New Roman"/>
                <w:sz w:val="21"/>
                <w:szCs w:val="21"/>
              </w:rPr>
              <w:t>/</w:t>
            </w:r>
          </w:p>
        </w:tc>
        <w:tc>
          <w:tcPr>
            <w:tcW w:w="323" w:type="pct"/>
            <w:shd w:val="clear" w:color="auto" w:fill="auto"/>
            <w:vAlign w:val="center"/>
          </w:tcPr>
          <w:p w14:paraId="317B3BD5">
            <w:pPr>
              <w:widowControl/>
              <w:jc w:val="center"/>
              <w:rPr>
                <w:rFonts w:ascii="Times New Roman"/>
                <w:sz w:val="21"/>
                <w:szCs w:val="21"/>
              </w:rPr>
            </w:pPr>
            <w:r>
              <w:rPr>
                <w:rFonts w:ascii="Times New Roman"/>
                <w:sz w:val="21"/>
                <w:szCs w:val="21"/>
              </w:rPr>
              <w:t>/</w:t>
            </w:r>
          </w:p>
        </w:tc>
        <w:tc>
          <w:tcPr>
            <w:tcW w:w="360" w:type="pct"/>
            <w:shd w:val="clear" w:color="auto" w:fill="auto"/>
            <w:vAlign w:val="center"/>
          </w:tcPr>
          <w:p w14:paraId="4367FDB9">
            <w:pPr>
              <w:widowControl/>
              <w:jc w:val="center"/>
              <w:rPr>
                <w:rFonts w:ascii="Times New Roman"/>
                <w:sz w:val="21"/>
                <w:szCs w:val="21"/>
              </w:rPr>
            </w:pPr>
            <w:r>
              <w:rPr>
                <w:rFonts w:ascii="Times New Roman"/>
                <w:sz w:val="21"/>
                <w:szCs w:val="21"/>
              </w:rPr>
              <w:t>75</w:t>
            </w:r>
            <w:r>
              <w:rPr>
                <w:rFonts w:hint="eastAsia" w:ascii="Times New Roman"/>
                <w:sz w:val="21"/>
                <w:szCs w:val="21"/>
              </w:rPr>
              <w:t>6</w:t>
            </w:r>
          </w:p>
        </w:tc>
        <w:tc>
          <w:tcPr>
            <w:tcW w:w="349" w:type="pct"/>
            <w:shd w:val="clear" w:color="auto" w:fill="auto"/>
            <w:vAlign w:val="center"/>
          </w:tcPr>
          <w:p w14:paraId="547491B1">
            <w:pPr>
              <w:widowControl/>
              <w:jc w:val="center"/>
              <w:rPr>
                <w:rFonts w:ascii="Times New Roman"/>
                <w:sz w:val="21"/>
                <w:szCs w:val="21"/>
              </w:rPr>
            </w:pPr>
            <w:r>
              <w:rPr>
                <w:rFonts w:ascii="Times New Roman"/>
                <w:sz w:val="21"/>
                <w:szCs w:val="21"/>
              </w:rPr>
              <w:t>/</w:t>
            </w:r>
          </w:p>
        </w:tc>
        <w:tc>
          <w:tcPr>
            <w:tcW w:w="355" w:type="pct"/>
            <w:shd w:val="clear" w:color="auto" w:fill="auto"/>
            <w:vAlign w:val="center"/>
          </w:tcPr>
          <w:p w14:paraId="0740CEDC">
            <w:pPr>
              <w:widowControl/>
              <w:jc w:val="center"/>
              <w:rPr>
                <w:rFonts w:ascii="Times New Roman"/>
                <w:sz w:val="21"/>
                <w:szCs w:val="21"/>
              </w:rPr>
            </w:pPr>
            <w:r>
              <w:rPr>
                <w:rFonts w:hint="eastAsia" w:ascii="Times New Roman"/>
                <w:sz w:val="21"/>
                <w:szCs w:val="21"/>
              </w:rPr>
              <w:t>84</w:t>
            </w:r>
          </w:p>
        </w:tc>
        <w:tc>
          <w:tcPr>
            <w:tcW w:w="318" w:type="pct"/>
            <w:shd w:val="clear" w:color="auto" w:fill="auto"/>
            <w:vAlign w:val="center"/>
          </w:tcPr>
          <w:p w14:paraId="54B6C760">
            <w:pPr>
              <w:widowControl/>
              <w:jc w:val="center"/>
              <w:rPr>
                <w:rFonts w:ascii="Times New Roman"/>
                <w:sz w:val="21"/>
                <w:szCs w:val="21"/>
              </w:rPr>
            </w:pPr>
            <w:r>
              <w:rPr>
                <w:rFonts w:ascii="Times New Roman"/>
                <w:sz w:val="21"/>
                <w:szCs w:val="21"/>
              </w:rPr>
              <w:t>/</w:t>
            </w:r>
          </w:p>
        </w:tc>
        <w:tc>
          <w:tcPr>
            <w:tcW w:w="1301" w:type="pct"/>
            <w:vMerge w:val="restart"/>
            <w:shd w:val="clear" w:color="auto" w:fill="auto"/>
            <w:vAlign w:val="center"/>
          </w:tcPr>
          <w:p w14:paraId="577056E4">
            <w:pPr>
              <w:widowControl/>
              <w:jc w:val="center"/>
              <w:rPr>
                <w:rFonts w:ascii="Times New Roman"/>
                <w:kern w:val="0"/>
                <w:sz w:val="21"/>
                <w:szCs w:val="21"/>
              </w:rPr>
            </w:pPr>
            <w:r>
              <w:rPr>
                <w:rFonts w:ascii="Times New Roman"/>
                <w:kern w:val="0"/>
                <w:sz w:val="21"/>
                <w:szCs w:val="21"/>
              </w:rPr>
              <w:t>循环利用，不外排</w:t>
            </w:r>
          </w:p>
        </w:tc>
      </w:tr>
      <w:tr w14:paraId="2C96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40" w:type="pct"/>
            <w:shd w:val="clear" w:color="auto" w:fill="auto"/>
            <w:vAlign w:val="center"/>
          </w:tcPr>
          <w:p w14:paraId="25F1A20B">
            <w:pPr>
              <w:widowControl/>
              <w:jc w:val="center"/>
              <w:rPr>
                <w:rFonts w:ascii="Times New Roman"/>
                <w:kern w:val="0"/>
                <w:sz w:val="21"/>
                <w:szCs w:val="21"/>
              </w:rPr>
            </w:pPr>
            <w:r>
              <w:rPr>
                <w:rFonts w:ascii="Times New Roman"/>
                <w:kern w:val="0"/>
                <w:sz w:val="21"/>
                <w:szCs w:val="21"/>
              </w:rPr>
              <w:t>13</w:t>
            </w:r>
          </w:p>
        </w:tc>
        <w:tc>
          <w:tcPr>
            <w:tcW w:w="695" w:type="pct"/>
            <w:shd w:val="clear" w:color="auto" w:fill="auto"/>
            <w:vAlign w:val="center"/>
          </w:tcPr>
          <w:p w14:paraId="3FEB3C64">
            <w:pPr>
              <w:pStyle w:val="20"/>
              <w:widowControl/>
              <w:ind w:firstLine="0"/>
              <w:jc w:val="center"/>
              <w:rPr>
                <w:rFonts w:eastAsia="宋体"/>
                <w:szCs w:val="21"/>
              </w:rPr>
            </w:pPr>
            <w:r>
              <w:rPr>
                <w:rFonts w:eastAsia="宋体"/>
                <w:szCs w:val="21"/>
              </w:rPr>
              <w:t>喷塑前处理用水</w:t>
            </w:r>
          </w:p>
        </w:tc>
        <w:tc>
          <w:tcPr>
            <w:tcW w:w="407" w:type="pct"/>
            <w:shd w:val="clear" w:color="auto" w:fill="auto"/>
            <w:vAlign w:val="center"/>
          </w:tcPr>
          <w:p w14:paraId="19B6B512">
            <w:pPr>
              <w:widowControl/>
              <w:jc w:val="center"/>
              <w:rPr>
                <w:rFonts w:ascii="Times New Roman"/>
                <w:sz w:val="21"/>
                <w:szCs w:val="21"/>
              </w:rPr>
            </w:pPr>
            <w:r>
              <w:rPr>
                <w:rFonts w:hint="eastAsia" w:ascii="Times New Roman"/>
                <w:sz w:val="21"/>
                <w:szCs w:val="21"/>
              </w:rPr>
              <w:t>705</w:t>
            </w:r>
          </w:p>
        </w:tc>
        <w:tc>
          <w:tcPr>
            <w:tcW w:w="330" w:type="pct"/>
            <w:shd w:val="clear" w:color="auto" w:fill="auto"/>
            <w:vAlign w:val="center"/>
          </w:tcPr>
          <w:p w14:paraId="6F5BFF8E">
            <w:pPr>
              <w:widowControl/>
              <w:jc w:val="center"/>
              <w:rPr>
                <w:rFonts w:ascii="Times New Roman"/>
                <w:sz w:val="21"/>
                <w:szCs w:val="21"/>
              </w:rPr>
            </w:pPr>
            <w:r>
              <w:rPr>
                <w:rFonts w:hint="eastAsia" w:ascii="Times New Roman"/>
                <w:sz w:val="21"/>
                <w:szCs w:val="21"/>
              </w:rPr>
              <w:t>14.1</w:t>
            </w:r>
          </w:p>
        </w:tc>
        <w:tc>
          <w:tcPr>
            <w:tcW w:w="319" w:type="pct"/>
            <w:shd w:val="clear" w:color="auto" w:fill="auto"/>
            <w:vAlign w:val="center"/>
          </w:tcPr>
          <w:p w14:paraId="370AA2F4">
            <w:pPr>
              <w:widowControl/>
              <w:jc w:val="center"/>
              <w:rPr>
                <w:rFonts w:ascii="Times New Roman"/>
                <w:sz w:val="21"/>
                <w:szCs w:val="21"/>
              </w:rPr>
            </w:pPr>
            <w:r>
              <w:rPr>
                <w:rFonts w:hint="eastAsia" w:ascii="Times New Roman"/>
                <w:sz w:val="21"/>
                <w:szCs w:val="21"/>
              </w:rPr>
              <w:t>/</w:t>
            </w:r>
          </w:p>
        </w:tc>
        <w:tc>
          <w:tcPr>
            <w:tcW w:w="323" w:type="pct"/>
            <w:shd w:val="clear" w:color="auto" w:fill="auto"/>
            <w:vAlign w:val="center"/>
          </w:tcPr>
          <w:p w14:paraId="4333D27B">
            <w:pPr>
              <w:widowControl/>
              <w:jc w:val="center"/>
              <w:rPr>
                <w:rFonts w:ascii="Times New Roman"/>
                <w:sz w:val="21"/>
                <w:szCs w:val="21"/>
              </w:rPr>
            </w:pPr>
            <w:r>
              <w:rPr>
                <w:rFonts w:hint="eastAsia" w:ascii="Times New Roman"/>
                <w:sz w:val="21"/>
                <w:szCs w:val="21"/>
              </w:rPr>
              <w:t>/</w:t>
            </w:r>
          </w:p>
        </w:tc>
        <w:tc>
          <w:tcPr>
            <w:tcW w:w="360" w:type="pct"/>
            <w:shd w:val="clear" w:color="auto" w:fill="auto"/>
            <w:vAlign w:val="center"/>
          </w:tcPr>
          <w:p w14:paraId="7ED254FC">
            <w:pPr>
              <w:widowControl/>
              <w:jc w:val="center"/>
              <w:rPr>
                <w:rFonts w:ascii="Times New Roman"/>
                <w:sz w:val="21"/>
                <w:szCs w:val="21"/>
              </w:rPr>
            </w:pPr>
            <w:r>
              <w:rPr>
                <w:rFonts w:hint="eastAsia" w:ascii="Times New Roman"/>
                <w:sz w:val="21"/>
                <w:szCs w:val="21"/>
              </w:rPr>
              <w:t>690.9</w:t>
            </w:r>
          </w:p>
        </w:tc>
        <w:tc>
          <w:tcPr>
            <w:tcW w:w="349" w:type="pct"/>
            <w:shd w:val="clear" w:color="auto" w:fill="auto"/>
            <w:vAlign w:val="center"/>
          </w:tcPr>
          <w:p w14:paraId="7A91EB05">
            <w:pPr>
              <w:widowControl/>
              <w:jc w:val="center"/>
              <w:rPr>
                <w:rFonts w:ascii="Times New Roman"/>
                <w:sz w:val="21"/>
                <w:szCs w:val="21"/>
              </w:rPr>
            </w:pPr>
            <w:r>
              <w:rPr>
                <w:rFonts w:hint="eastAsia" w:ascii="Times New Roman"/>
                <w:sz w:val="21"/>
                <w:szCs w:val="21"/>
              </w:rPr>
              <w:t>/</w:t>
            </w:r>
          </w:p>
        </w:tc>
        <w:tc>
          <w:tcPr>
            <w:tcW w:w="355" w:type="pct"/>
            <w:shd w:val="clear" w:color="auto" w:fill="auto"/>
            <w:vAlign w:val="center"/>
          </w:tcPr>
          <w:p w14:paraId="00BDC59F">
            <w:pPr>
              <w:widowControl/>
              <w:jc w:val="center"/>
              <w:rPr>
                <w:rFonts w:ascii="Times New Roman"/>
                <w:sz w:val="21"/>
                <w:szCs w:val="21"/>
              </w:rPr>
            </w:pPr>
            <w:r>
              <w:rPr>
                <w:rFonts w:hint="eastAsia" w:ascii="Times New Roman"/>
                <w:sz w:val="21"/>
                <w:szCs w:val="21"/>
              </w:rPr>
              <w:t>14.1</w:t>
            </w:r>
          </w:p>
        </w:tc>
        <w:tc>
          <w:tcPr>
            <w:tcW w:w="318" w:type="pct"/>
            <w:shd w:val="clear" w:color="auto" w:fill="auto"/>
            <w:vAlign w:val="center"/>
          </w:tcPr>
          <w:p w14:paraId="2FF18486">
            <w:pPr>
              <w:widowControl/>
              <w:jc w:val="center"/>
              <w:rPr>
                <w:rFonts w:ascii="Times New Roman"/>
                <w:sz w:val="21"/>
                <w:szCs w:val="21"/>
              </w:rPr>
            </w:pPr>
            <w:r>
              <w:rPr>
                <w:rFonts w:hint="eastAsia" w:ascii="Times New Roman"/>
                <w:sz w:val="21"/>
                <w:szCs w:val="21"/>
              </w:rPr>
              <w:t>/</w:t>
            </w:r>
          </w:p>
        </w:tc>
        <w:tc>
          <w:tcPr>
            <w:tcW w:w="1301" w:type="pct"/>
            <w:vMerge w:val="continue"/>
            <w:shd w:val="clear" w:color="auto" w:fill="auto"/>
            <w:vAlign w:val="center"/>
          </w:tcPr>
          <w:p w14:paraId="64F620B0">
            <w:pPr>
              <w:widowControl/>
              <w:jc w:val="center"/>
              <w:rPr>
                <w:rFonts w:ascii="Times New Roman"/>
                <w:kern w:val="0"/>
                <w:sz w:val="21"/>
                <w:szCs w:val="21"/>
              </w:rPr>
            </w:pPr>
          </w:p>
        </w:tc>
      </w:tr>
      <w:tr w14:paraId="6AB2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0" w:type="pct"/>
            <w:shd w:val="clear" w:color="auto" w:fill="auto"/>
            <w:vAlign w:val="center"/>
          </w:tcPr>
          <w:p w14:paraId="68AE4D02">
            <w:pPr>
              <w:widowControl/>
              <w:jc w:val="center"/>
              <w:rPr>
                <w:rFonts w:ascii="Times New Roman"/>
                <w:kern w:val="0"/>
                <w:sz w:val="21"/>
                <w:szCs w:val="21"/>
              </w:rPr>
            </w:pPr>
            <w:r>
              <w:rPr>
                <w:rFonts w:ascii="Times New Roman"/>
                <w:kern w:val="0"/>
                <w:sz w:val="21"/>
                <w:szCs w:val="21"/>
              </w:rPr>
              <w:t>14</w:t>
            </w:r>
          </w:p>
        </w:tc>
        <w:tc>
          <w:tcPr>
            <w:tcW w:w="695" w:type="pct"/>
            <w:shd w:val="clear" w:color="auto" w:fill="auto"/>
            <w:vAlign w:val="center"/>
          </w:tcPr>
          <w:p w14:paraId="26DB03D6">
            <w:pPr>
              <w:pStyle w:val="20"/>
              <w:widowControl/>
              <w:ind w:firstLine="0"/>
              <w:jc w:val="center"/>
              <w:rPr>
                <w:rFonts w:eastAsia="宋体"/>
                <w:szCs w:val="21"/>
              </w:rPr>
            </w:pPr>
            <w:r>
              <w:rPr>
                <w:rFonts w:eastAsia="宋体"/>
                <w:szCs w:val="21"/>
              </w:rPr>
              <w:t>设备冷却水</w:t>
            </w:r>
          </w:p>
        </w:tc>
        <w:tc>
          <w:tcPr>
            <w:tcW w:w="407" w:type="pct"/>
            <w:shd w:val="clear" w:color="auto" w:fill="auto"/>
            <w:vAlign w:val="center"/>
          </w:tcPr>
          <w:p w14:paraId="558EB518">
            <w:pPr>
              <w:widowControl/>
              <w:jc w:val="center"/>
              <w:rPr>
                <w:rFonts w:ascii="Times New Roman"/>
                <w:sz w:val="21"/>
                <w:szCs w:val="21"/>
              </w:rPr>
            </w:pPr>
            <w:r>
              <w:rPr>
                <w:rFonts w:hint="eastAsia" w:ascii="Times New Roman"/>
                <w:sz w:val="21"/>
                <w:szCs w:val="21"/>
              </w:rPr>
              <w:t>1348.4</w:t>
            </w:r>
          </w:p>
        </w:tc>
        <w:tc>
          <w:tcPr>
            <w:tcW w:w="330" w:type="pct"/>
            <w:shd w:val="clear" w:color="auto" w:fill="auto"/>
            <w:vAlign w:val="center"/>
          </w:tcPr>
          <w:p w14:paraId="6965AF7C">
            <w:pPr>
              <w:widowControl/>
              <w:jc w:val="center"/>
              <w:rPr>
                <w:rFonts w:ascii="Times New Roman"/>
                <w:sz w:val="21"/>
                <w:szCs w:val="21"/>
              </w:rPr>
            </w:pPr>
            <w:r>
              <w:rPr>
                <w:rFonts w:ascii="Times New Roman"/>
                <w:sz w:val="21"/>
                <w:szCs w:val="21"/>
              </w:rPr>
              <w:t>13.4</w:t>
            </w:r>
          </w:p>
        </w:tc>
        <w:tc>
          <w:tcPr>
            <w:tcW w:w="319" w:type="pct"/>
            <w:shd w:val="clear" w:color="auto" w:fill="auto"/>
            <w:vAlign w:val="center"/>
          </w:tcPr>
          <w:p w14:paraId="716B712E">
            <w:pPr>
              <w:widowControl/>
              <w:jc w:val="center"/>
              <w:rPr>
                <w:rFonts w:ascii="Times New Roman"/>
                <w:sz w:val="21"/>
                <w:szCs w:val="21"/>
              </w:rPr>
            </w:pPr>
            <w:r>
              <w:rPr>
                <w:rFonts w:ascii="Times New Roman"/>
                <w:sz w:val="21"/>
                <w:szCs w:val="21"/>
              </w:rPr>
              <w:t>/</w:t>
            </w:r>
          </w:p>
        </w:tc>
        <w:tc>
          <w:tcPr>
            <w:tcW w:w="323" w:type="pct"/>
            <w:shd w:val="clear" w:color="auto" w:fill="auto"/>
            <w:vAlign w:val="center"/>
          </w:tcPr>
          <w:p w14:paraId="3AA2B309">
            <w:pPr>
              <w:widowControl/>
              <w:jc w:val="center"/>
              <w:rPr>
                <w:rFonts w:ascii="Times New Roman"/>
                <w:sz w:val="21"/>
                <w:szCs w:val="21"/>
              </w:rPr>
            </w:pPr>
            <w:r>
              <w:rPr>
                <w:rFonts w:ascii="Times New Roman"/>
                <w:sz w:val="21"/>
                <w:szCs w:val="21"/>
              </w:rPr>
              <w:t>/</w:t>
            </w:r>
          </w:p>
        </w:tc>
        <w:tc>
          <w:tcPr>
            <w:tcW w:w="360" w:type="pct"/>
            <w:shd w:val="clear" w:color="auto" w:fill="auto"/>
            <w:vAlign w:val="center"/>
          </w:tcPr>
          <w:p w14:paraId="4F109B3B">
            <w:pPr>
              <w:widowControl/>
              <w:jc w:val="center"/>
              <w:rPr>
                <w:rFonts w:ascii="Times New Roman"/>
                <w:sz w:val="21"/>
                <w:szCs w:val="21"/>
              </w:rPr>
            </w:pPr>
            <w:r>
              <w:rPr>
                <w:rFonts w:ascii="Times New Roman"/>
                <w:sz w:val="21"/>
                <w:szCs w:val="21"/>
              </w:rPr>
              <w:t>1335</w:t>
            </w:r>
          </w:p>
        </w:tc>
        <w:tc>
          <w:tcPr>
            <w:tcW w:w="349" w:type="pct"/>
            <w:shd w:val="clear" w:color="auto" w:fill="auto"/>
            <w:vAlign w:val="center"/>
          </w:tcPr>
          <w:p w14:paraId="6C85431E">
            <w:pPr>
              <w:widowControl/>
              <w:jc w:val="center"/>
              <w:rPr>
                <w:rFonts w:ascii="Times New Roman"/>
                <w:sz w:val="21"/>
                <w:szCs w:val="21"/>
              </w:rPr>
            </w:pPr>
            <w:r>
              <w:rPr>
                <w:rFonts w:ascii="Times New Roman"/>
                <w:sz w:val="21"/>
                <w:szCs w:val="21"/>
              </w:rPr>
              <w:t>/</w:t>
            </w:r>
          </w:p>
        </w:tc>
        <w:tc>
          <w:tcPr>
            <w:tcW w:w="355" w:type="pct"/>
            <w:shd w:val="clear" w:color="auto" w:fill="auto"/>
            <w:vAlign w:val="center"/>
          </w:tcPr>
          <w:p w14:paraId="7536D1C5">
            <w:pPr>
              <w:widowControl/>
              <w:jc w:val="center"/>
              <w:rPr>
                <w:rFonts w:ascii="Times New Roman"/>
                <w:sz w:val="21"/>
                <w:szCs w:val="21"/>
              </w:rPr>
            </w:pPr>
            <w:r>
              <w:rPr>
                <w:rFonts w:ascii="Times New Roman"/>
                <w:sz w:val="21"/>
                <w:szCs w:val="21"/>
              </w:rPr>
              <w:t>13.4</w:t>
            </w:r>
          </w:p>
        </w:tc>
        <w:tc>
          <w:tcPr>
            <w:tcW w:w="318" w:type="pct"/>
            <w:shd w:val="clear" w:color="auto" w:fill="auto"/>
            <w:vAlign w:val="center"/>
          </w:tcPr>
          <w:p w14:paraId="6F97D701">
            <w:pPr>
              <w:widowControl/>
              <w:jc w:val="center"/>
              <w:rPr>
                <w:rFonts w:ascii="Times New Roman"/>
                <w:sz w:val="21"/>
                <w:szCs w:val="21"/>
              </w:rPr>
            </w:pPr>
            <w:r>
              <w:rPr>
                <w:rFonts w:ascii="Times New Roman"/>
                <w:sz w:val="21"/>
                <w:szCs w:val="21"/>
              </w:rPr>
              <w:t>/</w:t>
            </w:r>
          </w:p>
        </w:tc>
        <w:tc>
          <w:tcPr>
            <w:tcW w:w="1301" w:type="pct"/>
            <w:vMerge w:val="continue"/>
            <w:vAlign w:val="center"/>
          </w:tcPr>
          <w:p w14:paraId="3BBC7F2D">
            <w:pPr>
              <w:widowControl/>
              <w:jc w:val="center"/>
              <w:rPr>
                <w:rFonts w:ascii="Times New Roman"/>
                <w:kern w:val="0"/>
                <w:sz w:val="21"/>
                <w:szCs w:val="21"/>
              </w:rPr>
            </w:pPr>
          </w:p>
        </w:tc>
      </w:tr>
      <w:tr w14:paraId="0B12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40" w:type="pct"/>
            <w:shd w:val="clear" w:color="auto" w:fill="auto"/>
            <w:vAlign w:val="center"/>
          </w:tcPr>
          <w:p w14:paraId="566C0B16">
            <w:pPr>
              <w:widowControl/>
              <w:jc w:val="center"/>
              <w:rPr>
                <w:rFonts w:ascii="Times New Roman"/>
                <w:kern w:val="0"/>
                <w:sz w:val="21"/>
                <w:szCs w:val="21"/>
              </w:rPr>
            </w:pPr>
            <w:r>
              <w:rPr>
                <w:rFonts w:ascii="Times New Roman"/>
                <w:kern w:val="0"/>
                <w:sz w:val="21"/>
                <w:szCs w:val="21"/>
              </w:rPr>
              <w:t>15</w:t>
            </w:r>
          </w:p>
        </w:tc>
        <w:tc>
          <w:tcPr>
            <w:tcW w:w="695" w:type="pct"/>
            <w:shd w:val="clear" w:color="auto" w:fill="auto"/>
            <w:vAlign w:val="center"/>
          </w:tcPr>
          <w:p w14:paraId="27A52028">
            <w:pPr>
              <w:pStyle w:val="20"/>
              <w:widowControl/>
              <w:ind w:firstLine="0"/>
              <w:jc w:val="center"/>
              <w:rPr>
                <w:rFonts w:eastAsia="宋体"/>
                <w:kern w:val="0"/>
                <w:szCs w:val="21"/>
              </w:rPr>
            </w:pPr>
            <w:r>
              <w:rPr>
                <w:rFonts w:eastAsia="宋体"/>
                <w:kern w:val="0"/>
                <w:szCs w:val="21"/>
              </w:rPr>
              <w:t>切削液配比用水</w:t>
            </w:r>
          </w:p>
        </w:tc>
        <w:tc>
          <w:tcPr>
            <w:tcW w:w="407" w:type="pct"/>
            <w:shd w:val="clear" w:color="auto" w:fill="auto"/>
            <w:vAlign w:val="center"/>
          </w:tcPr>
          <w:p w14:paraId="1B6EBCE9">
            <w:pPr>
              <w:widowControl/>
              <w:jc w:val="center"/>
              <w:rPr>
                <w:rFonts w:ascii="Times New Roman"/>
                <w:sz w:val="21"/>
                <w:szCs w:val="21"/>
              </w:rPr>
            </w:pPr>
            <w:r>
              <w:rPr>
                <w:rFonts w:ascii="Times New Roman"/>
                <w:sz w:val="21"/>
                <w:szCs w:val="21"/>
              </w:rPr>
              <w:t>0.5</w:t>
            </w:r>
          </w:p>
        </w:tc>
        <w:tc>
          <w:tcPr>
            <w:tcW w:w="330" w:type="pct"/>
            <w:shd w:val="clear" w:color="auto" w:fill="auto"/>
            <w:vAlign w:val="center"/>
          </w:tcPr>
          <w:p w14:paraId="07659A07">
            <w:pPr>
              <w:widowControl/>
              <w:jc w:val="center"/>
              <w:rPr>
                <w:rFonts w:ascii="Times New Roman"/>
                <w:sz w:val="21"/>
                <w:szCs w:val="21"/>
              </w:rPr>
            </w:pPr>
            <w:r>
              <w:rPr>
                <w:rFonts w:ascii="Times New Roman"/>
                <w:sz w:val="21"/>
                <w:szCs w:val="21"/>
              </w:rPr>
              <w:t>0.5</w:t>
            </w:r>
          </w:p>
        </w:tc>
        <w:tc>
          <w:tcPr>
            <w:tcW w:w="319" w:type="pct"/>
            <w:shd w:val="clear" w:color="auto" w:fill="auto"/>
            <w:vAlign w:val="center"/>
          </w:tcPr>
          <w:p w14:paraId="1048B4C2">
            <w:pPr>
              <w:widowControl/>
              <w:jc w:val="center"/>
              <w:rPr>
                <w:rFonts w:ascii="Times New Roman"/>
                <w:sz w:val="21"/>
                <w:szCs w:val="21"/>
              </w:rPr>
            </w:pPr>
            <w:r>
              <w:rPr>
                <w:rFonts w:ascii="Times New Roman"/>
                <w:sz w:val="21"/>
                <w:szCs w:val="21"/>
              </w:rPr>
              <w:t>/</w:t>
            </w:r>
          </w:p>
        </w:tc>
        <w:tc>
          <w:tcPr>
            <w:tcW w:w="323" w:type="pct"/>
            <w:shd w:val="clear" w:color="auto" w:fill="auto"/>
            <w:vAlign w:val="center"/>
          </w:tcPr>
          <w:p w14:paraId="07457A48">
            <w:pPr>
              <w:widowControl/>
              <w:jc w:val="center"/>
              <w:rPr>
                <w:rFonts w:ascii="Times New Roman"/>
                <w:sz w:val="21"/>
                <w:szCs w:val="21"/>
              </w:rPr>
            </w:pPr>
            <w:r>
              <w:rPr>
                <w:rFonts w:ascii="Times New Roman"/>
                <w:sz w:val="21"/>
                <w:szCs w:val="21"/>
              </w:rPr>
              <w:t>/</w:t>
            </w:r>
          </w:p>
        </w:tc>
        <w:tc>
          <w:tcPr>
            <w:tcW w:w="360" w:type="pct"/>
            <w:shd w:val="clear" w:color="auto" w:fill="auto"/>
            <w:vAlign w:val="center"/>
          </w:tcPr>
          <w:p w14:paraId="6785F4EB">
            <w:pPr>
              <w:widowControl/>
              <w:jc w:val="center"/>
              <w:rPr>
                <w:rFonts w:ascii="Times New Roman"/>
                <w:sz w:val="21"/>
                <w:szCs w:val="21"/>
              </w:rPr>
            </w:pPr>
            <w:r>
              <w:rPr>
                <w:rFonts w:ascii="Times New Roman"/>
                <w:sz w:val="21"/>
                <w:szCs w:val="21"/>
              </w:rPr>
              <w:t>/</w:t>
            </w:r>
          </w:p>
        </w:tc>
        <w:tc>
          <w:tcPr>
            <w:tcW w:w="349" w:type="pct"/>
            <w:shd w:val="clear" w:color="auto" w:fill="auto"/>
            <w:vAlign w:val="center"/>
          </w:tcPr>
          <w:p w14:paraId="67328D74">
            <w:pPr>
              <w:widowControl/>
              <w:jc w:val="center"/>
              <w:rPr>
                <w:rFonts w:ascii="Times New Roman"/>
                <w:sz w:val="21"/>
                <w:szCs w:val="21"/>
              </w:rPr>
            </w:pPr>
            <w:r>
              <w:rPr>
                <w:rFonts w:ascii="Times New Roman"/>
                <w:sz w:val="21"/>
                <w:szCs w:val="21"/>
              </w:rPr>
              <w:t>/</w:t>
            </w:r>
          </w:p>
        </w:tc>
        <w:tc>
          <w:tcPr>
            <w:tcW w:w="355" w:type="pct"/>
            <w:shd w:val="clear" w:color="auto" w:fill="auto"/>
            <w:vAlign w:val="center"/>
          </w:tcPr>
          <w:p w14:paraId="29C35FB9">
            <w:pPr>
              <w:widowControl/>
              <w:jc w:val="center"/>
              <w:rPr>
                <w:rFonts w:ascii="Times New Roman"/>
                <w:sz w:val="21"/>
                <w:szCs w:val="21"/>
              </w:rPr>
            </w:pPr>
            <w:r>
              <w:rPr>
                <w:rFonts w:ascii="Times New Roman"/>
                <w:sz w:val="21"/>
                <w:szCs w:val="21"/>
              </w:rPr>
              <w:t>0.475</w:t>
            </w:r>
          </w:p>
        </w:tc>
        <w:tc>
          <w:tcPr>
            <w:tcW w:w="318" w:type="pct"/>
            <w:shd w:val="clear" w:color="auto" w:fill="auto"/>
            <w:vAlign w:val="center"/>
          </w:tcPr>
          <w:p w14:paraId="77F9801B">
            <w:pPr>
              <w:widowControl/>
              <w:jc w:val="center"/>
              <w:rPr>
                <w:rFonts w:ascii="Times New Roman"/>
                <w:sz w:val="21"/>
                <w:szCs w:val="21"/>
              </w:rPr>
            </w:pPr>
            <w:r>
              <w:rPr>
                <w:rFonts w:ascii="Times New Roman"/>
                <w:sz w:val="21"/>
                <w:szCs w:val="21"/>
              </w:rPr>
              <w:t>/</w:t>
            </w:r>
          </w:p>
        </w:tc>
        <w:tc>
          <w:tcPr>
            <w:tcW w:w="1301" w:type="pct"/>
            <w:shd w:val="clear" w:color="auto" w:fill="auto"/>
            <w:vAlign w:val="center"/>
          </w:tcPr>
          <w:p w14:paraId="78B77430">
            <w:pPr>
              <w:widowControl/>
              <w:jc w:val="center"/>
              <w:rPr>
                <w:rFonts w:ascii="Times New Roman"/>
                <w:kern w:val="0"/>
                <w:sz w:val="21"/>
                <w:szCs w:val="21"/>
              </w:rPr>
            </w:pPr>
            <w:r>
              <w:rPr>
                <w:rFonts w:ascii="Times New Roman"/>
                <w:kern w:val="0"/>
                <w:sz w:val="21"/>
                <w:szCs w:val="21"/>
              </w:rPr>
              <w:t>0.025作为危废处置</w:t>
            </w:r>
          </w:p>
        </w:tc>
      </w:tr>
      <w:tr w14:paraId="6E30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shd w:val="clear" w:color="auto" w:fill="auto"/>
            <w:vAlign w:val="center"/>
          </w:tcPr>
          <w:p w14:paraId="79ABBA88">
            <w:pPr>
              <w:widowControl/>
              <w:jc w:val="center"/>
              <w:rPr>
                <w:rFonts w:ascii="Times New Roman"/>
                <w:kern w:val="0"/>
                <w:sz w:val="21"/>
                <w:szCs w:val="21"/>
              </w:rPr>
            </w:pPr>
            <w:r>
              <w:rPr>
                <w:rFonts w:ascii="Times New Roman"/>
                <w:kern w:val="0"/>
                <w:sz w:val="21"/>
                <w:szCs w:val="21"/>
              </w:rPr>
              <w:t>16</w:t>
            </w:r>
          </w:p>
        </w:tc>
        <w:tc>
          <w:tcPr>
            <w:tcW w:w="695" w:type="pct"/>
            <w:shd w:val="clear" w:color="auto" w:fill="auto"/>
            <w:vAlign w:val="center"/>
          </w:tcPr>
          <w:p w14:paraId="6ADFCBA5">
            <w:pPr>
              <w:widowControl/>
              <w:jc w:val="center"/>
              <w:rPr>
                <w:rFonts w:ascii="Times New Roman"/>
                <w:kern w:val="0"/>
                <w:sz w:val="21"/>
                <w:szCs w:val="21"/>
              </w:rPr>
            </w:pPr>
            <w:r>
              <w:rPr>
                <w:rFonts w:ascii="Times New Roman"/>
                <w:kern w:val="0"/>
                <w:sz w:val="21"/>
                <w:szCs w:val="21"/>
              </w:rPr>
              <w:t>绿化用水</w:t>
            </w:r>
          </w:p>
        </w:tc>
        <w:tc>
          <w:tcPr>
            <w:tcW w:w="407" w:type="pct"/>
            <w:shd w:val="clear" w:color="auto" w:fill="auto"/>
            <w:vAlign w:val="center"/>
          </w:tcPr>
          <w:p w14:paraId="452C016F">
            <w:pPr>
              <w:widowControl/>
              <w:jc w:val="center"/>
              <w:rPr>
                <w:rFonts w:ascii="Times New Roman"/>
                <w:kern w:val="0"/>
                <w:sz w:val="21"/>
                <w:szCs w:val="21"/>
              </w:rPr>
            </w:pPr>
            <w:r>
              <w:rPr>
                <w:rFonts w:ascii="Times New Roman"/>
                <w:kern w:val="0"/>
                <w:sz w:val="21"/>
                <w:szCs w:val="21"/>
              </w:rPr>
              <w:t>37</w:t>
            </w:r>
          </w:p>
        </w:tc>
        <w:tc>
          <w:tcPr>
            <w:tcW w:w="330" w:type="pct"/>
            <w:shd w:val="clear" w:color="auto" w:fill="auto"/>
            <w:vAlign w:val="center"/>
          </w:tcPr>
          <w:p w14:paraId="536D51C5">
            <w:pPr>
              <w:widowControl/>
              <w:jc w:val="center"/>
              <w:rPr>
                <w:rFonts w:ascii="Times New Roman"/>
                <w:kern w:val="0"/>
                <w:sz w:val="21"/>
                <w:szCs w:val="21"/>
              </w:rPr>
            </w:pPr>
            <w:r>
              <w:rPr>
                <w:rFonts w:ascii="Times New Roman"/>
                <w:kern w:val="0"/>
                <w:sz w:val="21"/>
                <w:szCs w:val="21"/>
              </w:rPr>
              <w:t>37</w:t>
            </w:r>
          </w:p>
        </w:tc>
        <w:tc>
          <w:tcPr>
            <w:tcW w:w="319" w:type="pct"/>
            <w:shd w:val="clear" w:color="auto" w:fill="auto"/>
            <w:vAlign w:val="center"/>
          </w:tcPr>
          <w:p w14:paraId="173286B8">
            <w:pPr>
              <w:widowControl/>
              <w:jc w:val="center"/>
              <w:rPr>
                <w:rFonts w:ascii="Times New Roman"/>
                <w:kern w:val="0"/>
                <w:sz w:val="21"/>
                <w:szCs w:val="21"/>
              </w:rPr>
            </w:pPr>
            <w:r>
              <w:rPr>
                <w:rFonts w:ascii="Times New Roman"/>
                <w:kern w:val="0"/>
                <w:sz w:val="21"/>
                <w:szCs w:val="21"/>
              </w:rPr>
              <w:t>/</w:t>
            </w:r>
          </w:p>
        </w:tc>
        <w:tc>
          <w:tcPr>
            <w:tcW w:w="323" w:type="pct"/>
            <w:shd w:val="clear" w:color="auto" w:fill="auto"/>
            <w:vAlign w:val="center"/>
          </w:tcPr>
          <w:p w14:paraId="7315C873">
            <w:pPr>
              <w:widowControl/>
              <w:jc w:val="center"/>
              <w:rPr>
                <w:rFonts w:ascii="Times New Roman"/>
                <w:kern w:val="0"/>
                <w:sz w:val="21"/>
                <w:szCs w:val="21"/>
              </w:rPr>
            </w:pPr>
            <w:r>
              <w:rPr>
                <w:rFonts w:ascii="Times New Roman"/>
                <w:kern w:val="0"/>
                <w:sz w:val="21"/>
                <w:szCs w:val="21"/>
              </w:rPr>
              <w:t>/</w:t>
            </w:r>
          </w:p>
        </w:tc>
        <w:tc>
          <w:tcPr>
            <w:tcW w:w="360" w:type="pct"/>
            <w:shd w:val="clear" w:color="auto" w:fill="auto"/>
            <w:vAlign w:val="center"/>
          </w:tcPr>
          <w:p w14:paraId="3A24A0DE">
            <w:pPr>
              <w:widowControl/>
              <w:jc w:val="center"/>
              <w:rPr>
                <w:rFonts w:ascii="Times New Roman"/>
                <w:kern w:val="0"/>
                <w:sz w:val="21"/>
                <w:szCs w:val="21"/>
              </w:rPr>
            </w:pPr>
            <w:r>
              <w:rPr>
                <w:rFonts w:ascii="Times New Roman"/>
                <w:kern w:val="0"/>
                <w:sz w:val="21"/>
                <w:szCs w:val="21"/>
              </w:rPr>
              <w:t>/</w:t>
            </w:r>
          </w:p>
        </w:tc>
        <w:tc>
          <w:tcPr>
            <w:tcW w:w="349" w:type="pct"/>
            <w:shd w:val="clear" w:color="auto" w:fill="auto"/>
            <w:vAlign w:val="center"/>
          </w:tcPr>
          <w:p w14:paraId="49556B88">
            <w:pPr>
              <w:widowControl/>
              <w:jc w:val="center"/>
              <w:rPr>
                <w:rFonts w:ascii="Times New Roman"/>
                <w:kern w:val="0"/>
                <w:sz w:val="21"/>
                <w:szCs w:val="21"/>
              </w:rPr>
            </w:pPr>
            <w:r>
              <w:rPr>
                <w:rFonts w:ascii="Times New Roman"/>
                <w:kern w:val="0"/>
                <w:sz w:val="21"/>
                <w:szCs w:val="21"/>
              </w:rPr>
              <w:t>/</w:t>
            </w:r>
          </w:p>
        </w:tc>
        <w:tc>
          <w:tcPr>
            <w:tcW w:w="355" w:type="pct"/>
            <w:shd w:val="clear" w:color="auto" w:fill="auto"/>
            <w:vAlign w:val="center"/>
          </w:tcPr>
          <w:p w14:paraId="68F4BA16">
            <w:pPr>
              <w:widowControl/>
              <w:jc w:val="center"/>
              <w:rPr>
                <w:rFonts w:ascii="Times New Roman"/>
                <w:kern w:val="0"/>
                <w:sz w:val="21"/>
                <w:szCs w:val="21"/>
              </w:rPr>
            </w:pPr>
            <w:r>
              <w:rPr>
                <w:rFonts w:ascii="Times New Roman"/>
                <w:kern w:val="0"/>
                <w:sz w:val="21"/>
                <w:szCs w:val="21"/>
              </w:rPr>
              <w:t>37</w:t>
            </w:r>
          </w:p>
        </w:tc>
        <w:tc>
          <w:tcPr>
            <w:tcW w:w="318" w:type="pct"/>
            <w:shd w:val="clear" w:color="auto" w:fill="auto"/>
            <w:vAlign w:val="center"/>
          </w:tcPr>
          <w:p w14:paraId="35571E4E">
            <w:pPr>
              <w:widowControl/>
              <w:jc w:val="center"/>
              <w:rPr>
                <w:rFonts w:ascii="Times New Roman"/>
                <w:kern w:val="0"/>
                <w:sz w:val="21"/>
                <w:szCs w:val="21"/>
              </w:rPr>
            </w:pPr>
            <w:r>
              <w:rPr>
                <w:rFonts w:ascii="Times New Roman"/>
                <w:kern w:val="0"/>
                <w:sz w:val="21"/>
                <w:szCs w:val="21"/>
              </w:rPr>
              <w:t>/</w:t>
            </w:r>
          </w:p>
        </w:tc>
        <w:tc>
          <w:tcPr>
            <w:tcW w:w="1301" w:type="pct"/>
            <w:shd w:val="clear" w:color="auto" w:fill="auto"/>
            <w:vAlign w:val="center"/>
          </w:tcPr>
          <w:p w14:paraId="798714D6">
            <w:pPr>
              <w:widowControl/>
              <w:jc w:val="center"/>
              <w:rPr>
                <w:rFonts w:ascii="Times New Roman"/>
                <w:sz w:val="21"/>
                <w:szCs w:val="21"/>
              </w:rPr>
            </w:pPr>
            <w:r>
              <w:rPr>
                <w:rFonts w:ascii="Times New Roman"/>
                <w:sz w:val="21"/>
                <w:szCs w:val="21"/>
              </w:rPr>
              <w:t>/</w:t>
            </w:r>
          </w:p>
        </w:tc>
      </w:tr>
      <w:tr w14:paraId="36B9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240" w:type="pct"/>
            <w:shd w:val="clear" w:color="auto" w:fill="auto"/>
            <w:vAlign w:val="center"/>
          </w:tcPr>
          <w:p w14:paraId="247FDAEA">
            <w:pPr>
              <w:widowControl/>
              <w:jc w:val="center"/>
              <w:rPr>
                <w:rFonts w:ascii="Times New Roman"/>
                <w:kern w:val="0"/>
                <w:sz w:val="21"/>
                <w:szCs w:val="21"/>
              </w:rPr>
            </w:pPr>
            <w:r>
              <w:rPr>
                <w:rFonts w:hint="eastAsia" w:ascii="Times New Roman"/>
                <w:kern w:val="0"/>
                <w:sz w:val="21"/>
                <w:szCs w:val="21"/>
              </w:rPr>
              <w:t>17</w:t>
            </w:r>
          </w:p>
        </w:tc>
        <w:tc>
          <w:tcPr>
            <w:tcW w:w="695" w:type="pct"/>
            <w:shd w:val="clear" w:color="auto" w:fill="auto"/>
            <w:vAlign w:val="center"/>
          </w:tcPr>
          <w:p w14:paraId="61303D70">
            <w:pPr>
              <w:pStyle w:val="20"/>
              <w:widowControl/>
              <w:ind w:firstLine="0"/>
              <w:jc w:val="center"/>
              <w:rPr>
                <w:rFonts w:eastAsia="宋体"/>
                <w:kern w:val="0"/>
                <w:szCs w:val="21"/>
              </w:rPr>
            </w:pPr>
            <w:r>
              <w:rPr>
                <w:rFonts w:eastAsia="宋体"/>
                <w:szCs w:val="21"/>
              </w:rPr>
              <w:t>生活用水</w:t>
            </w:r>
          </w:p>
        </w:tc>
        <w:tc>
          <w:tcPr>
            <w:tcW w:w="407" w:type="pct"/>
            <w:shd w:val="clear" w:color="auto" w:fill="auto"/>
            <w:vAlign w:val="center"/>
          </w:tcPr>
          <w:p w14:paraId="0BB07F7B">
            <w:pPr>
              <w:widowControl/>
              <w:jc w:val="center"/>
              <w:rPr>
                <w:rFonts w:ascii="Times New Roman"/>
                <w:sz w:val="21"/>
                <w:szCs w:val="21"/>
              </w:rPr>
            </w:pPr>
            <w:r>
              <w:rPr>
                <w:rFonts w:ascii="Times New Roman"/>
                <w:sz w:val="21"/>
                <w:szCs w:val="21"/>
              </w:rPr>
              <w:t>40</w:t>
            </w:r>
          </w:p>
        </w:tc>
        <w:tc>
          <w:tcPr>
            <w:tcW w:w="330" w:type="pct"/>
            <w:shd w:val="clear" w:color="auto" w:fill="auto"/>
            <w:vAlign w:val="center"/>
          </w:tcPr>
          <w:p w14:paraId="69FEC5CB">
            <w:pPr>
              <w:widowControl/>
              <w:jc w:val="center"/>
              <w:rPr>
                <w:rFonts w:ascii="Times New Roman"/>
                <w:sz w:val="21"/>
                <w:szCs w:val="21"/>
              </w:rPr>
            </w:pPr>
            <w:r>
              <w:rPr>
                <w:rFonts w:ascii="Times New Roman"/>
                <w:sz w:val="21"/>
                <w:szCs w:val="21"/>
              </w:rPr>
              <w:t>40</w:t>
            </w:r>
          </w:p>
        </w:tc>
        <w:tc>
          <w:tcPr>
            <w:tcW w:w="319" w:type="pct"/>
            <w:shd w:val="clear" w:color="auto" w:fill="auto"/>
            <w:vAlign w:val="center"/>
          </w:tcPr>
          <w:p w14:paraId="7C376586">
            <w:pPr>
              <w:widowControl/>
              <w:jc w:val="center"/>
              <w:rPr>
                <w:rFonts w:ascii="Times New Roman"/>
                <w:sz w:val="21"/>
                <w:szCs w:val="21"/>
              </w:rPr>
            </w:pPr>
            <w:r>
              <w:rPr>
                <w:rFonts w:ascii="Times New Roman"/>
                <w:sz w:val="21"/>
                <w:szCs w:val="21"/>
              </w:rPr>
              <w:t>/</w:t>
            </w:r>
          </w:p>
        </w:tc>
        <w:tc>
          <w:tcPr>
            <w:tcW w:w="323" w:type="pct"/>
            <w:shd w:val="clear" w:color="auto" w:fill="auto"/>
            <w:vAlign w:val="center"/>
          </w:tcPr>
          <w:p w14:paraId="3CEC9296">
            <w:pPr>
              <w:widowControl/>
              <w:jc w:val="center"/>
              <w:rPr>
                <w:rFonts w:ascii="Times New Roman"/>
                <w:sz w:val="21"/>
                <w:szCs w:val="21"/>
              </w:rPr>
            </w:pPr>
            <w:r>
              <w:rPr>
                <w:rFonts w:ascii="Times New Roman"/>
                <w:sz w:val="21"/>
                <w:szCs w:val="21"/>
              </w:rPr>
              <w:t>/</w:t>
            </w:r>
          </w:p>
        </w:tc>
        <w:tc>
          <w:tcPr>
            <w:tcW w:w="360" w:type="pct"/>
            <w:shd w:val="clear" w:color="auto" w:fill="auto"/>
            <w:vAlign w:val="center"/>
          </w:tcPr>
          <w:p w14:paraId="091A0A90">
            <w:pPr>
              <w:widowControl/>
              <w:jc w:val="center"/>
              <w:rPr>
                <w:rFonts w:ascii="Times New Roman"/>
                <w:sz w:val="21"/>
                <w:szCs w:val="21"/>
              </w:rPr>
            </w:pPr>
            <w:r>
              <w:rPr>
                <w:rFonts w:ascii="Times New Roman"/>
                <w:sz w:val="21"/>
                <w:szCs w:val="21"/>
              </w:rPr>
              <w:t>/</w:t>
            </w:r>
          </w:p>
        </w:tc>
        <w:tc>
          <w:tcPr>
            <w:tcW w:w="349" w:type="pct"/>
            <w:shd w:val="clear" w:color="auto" w:fill="auto"/>
            <w:vAlign w:val="center"/>
          </w:tcPr>
          <w:p w14:paraId="4939E1C8">
            <w:pPr>
              <w:widowControl/>
              <w:jc w:val="center"/>
              <w:rPr>
                <w:rFonts w:ascii="Times New Roman"/>
                <w:sz w:val="21"/>
                <w:szCs w:val="21"/>
              </w:rPr>
            </w:pPr>
            <w:r>
              <w:rPr>
                <w:rFonts w:ascii="Times New Roman"/>
                <w:sz w:val="21"/>
                <w:szCs w:val="21"/>
              </w:rPr>
              <w:t>/</w:t>
            </w:r>
          </w:p>
        </w:tc>
        <w:tc>
          <w:tcPr>
            <w:tcW w:w="355" w:type="pct"/>
            <w:shd w:val="clear" w:color="auto" w:fill="auto"/>
            <w:vAlign w:val="center"/>
          </w:tcPr>
          <w:p w14:paraId="66EC102E">
            <w:pPr>
              <w:widowControl/>
              <w:jc w:val="center"/>
              <w:rPr>
                <w:rFonts w:ascii="Times New Roman"/>
                <w:sz w:val="21"/>
                <w:szCs w:val="21"/>
              </w:rPr>
            </w:pPr>
            <w:r>
              <w:rPr>
                <w:rFonts w:ascii="Times New Roman"/>
                <w:sz w:val="21"/>
                <w:szCs w:val="21"/>
              </w:rPr>
              <w:t>8</w:t>
            </w:r>
          </w:p>
        </w:tc>
        <w:tc>
          <w:tcPr>
            <w:tcW w:w="318" w:type="pct"/>
            <w:shd w:val="clear" w:color="auto" w:fill="auto"/>
            <w:vAlign w:val="center"/>
          </w:tcPr>
          <w:p w14:paraId="0CBA90E2">
            <w:pPr>
              <w:widowControl/>
              <w:jc w:val="center"/>
              <w:rPr>
                <w:rFonts w:ascii="Times New Roman"/>
                <w:sz w:val="21"/>
                <w:szCs w:val="21"/>
              </w:rPr>
            </w:pPr>
            <w:r>
              <w:rPr>
                <w:rFonts w:ascii="Times New Roman"/>
                <w:sz w:val="21"/>
                <w:szCs w:val="21"/>
              </w:rPr>
              <w:t>32</w:t>
            </w:r>
          </w:p>
        </w:tc>
        <w:tc>
          <w:tcPr>
            <w:tcW w:w="1301" w:type="pct"/>
            <w:shd w:val="clear" w:color="auto" w:fill="auto"/>
            <w:vAlign w:val="center"/>
          </w:tcPr>
          <w:p w14:paraId="582C3948">
            <w:pPr>
              <w:widowControl/>
              <w:jc w:val="center"/>
              <w:rPr>
                <w:rFonts w:ascii="Times New Roman"/>
                <w:kern w:val="0"/>
                <w:sz w:val="21"/>
                <w:szCs w:val="21"/>
              </w:rPr>
            </w:pPr>
            <w:r>
              <w:rPr>
                <w:rFonts w:ascii="Times New Roman"/>
                <w:kern w:val="0"/>
                <w:sz w:val="21"/>
                <w:szCs w:val="21"/>
              </w:rPr>
              <w:t>生活废水（食堂废水先经隔油池处理）经化粪池处理后，由园区污水管网，排入园区污水处理厂进一步处理</w:t>
            </w:r>
          </w:p>
        </w:tc>
      </w:tr>
      <w:tr w14:paraId="5A50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40" w:type="pct"/>
            <w:vAlign w:val="center"/>
          </w:tcPr>
          <w:p w14:paraId="270ECB0F">
            <w:pPr>
              <w:widowControl/>
              <w:jc w:val="center"/>
              <w:rPr>
                <w:rFonts w:ascii="Times New Roman"/>
                <w:kern w:val="0"/>
                <w:sz w:val="21"/>
                <w:szCs w:val="21"/>
              </w:rPr>
            </w:pPr>
            <w:r>
              <w:rPr>
                <w:rFonts w:ascii="Times New Roman"/>
                <w:kern w:val="0"/>
                <w:sz w:val="21"/>
                <w:szCs w:val="21"/>
              </w:rPr>
              <w:t>1</w:t>
            </w:r>
            <w:r>
              <w:rPr>
                <w:rFonts w:hint="eastAsia" w:ascii="Times New Roman"/>
                <w:kern w:val="0"/>
                <w:sz w:val="21"/>
                <w:szCs w:val="21"/>
              </w:rPr>
              <w:t>8</w:t>
            </w:r>
          </w:p>
        </w:tc>
        <w:tc>
          <w:tcPr>
            <w:tcW w:w="695" w:type="pct"/>
            <w:vAlign w:val="center"/>
          </w:tcPr>
          <w:p w14:paraId="1CF71BBC">
            <w:pPr>
              <w:widowControl/>
              <w:jc w:val="center"/>
              <w:rPr>
                <w:rFonts w:ascii="Times New Roman"/>
                <w:sz w:val="21"/>
                <w:szCs w:val="21"/>
              </w:rPr>
            </w:pPr>
            <w:r>
              <w:rPr>
                <w:rFonts w:ascii="Times New Roman"/>
                <w:sz w:val="21"/>
                <w:szCs w:val="21"/>
              </w:rPr>
              <w:t>合计用水</w:t>
            </w:r>
          </w:p>
        </w:tc>
        <w:tc>
          <w:tcPr>
            <w:tcW w:w="407" w:type="pct"/>
            <w:vAlign w:val="center"/>
          </w:tcPr>
          <w:p w14:paraId="572E3E28">
            <w:pPr>
              <w:widowControl/>
              <w:jc w:val="center"/>
              <w:rPr>
                <w:rFonts w:ascii="Times New Roman"/>
                <w:sz w:val="21"/>
                <w:szCs w:val="21"/>
              </w:rPr>
            </w:pPr>
            <w:r>
              <w:rPr>
                <w:rFonts w:ascii="Times New Roman"/>
                <w:sz w:val="21"/>
                <w:szCs w:val="21"/>
              </w:rPr>
              <w:t>2527.27</w:t>
            </w:r>
          </w:p>
        </w:tc>
        <w:tc>
          <w:tcPr>
            <w:tcW w:w="330" w:type="pct"/>
            <w:vAlign w:val="center"/>
          </w:tcPr>
          <w:p w14:paraId="09AC51C1">
            <w:pPr>
              <w:widowControl/>
              <w:jc w:val="center"/>
              <w:rPr>
                <w:rFonts w:ascii="Times New Roman"/>
                <w:sz w:val="21"/>
                <w:szCs w:val="21"/>
              </w:rPr>
            </w:pPr>
            <w:r>
              <w:rPr>
                <w:rFonts w:ascii="Times New Roman"/>
                <w:sz w:val="21"/>
                <w:szCs w:val="21"/>
              </w:rPr>
              <w:t>289.258</w:t>
            </w:r>
          </w:p>
        </w:tc>
        <w:tc>
          <w:tcPr>
            <w:tcW w:w="319" w:type="pct"/>
            <w:vAlign w:val="center"/>
          </w:tcPr>
          <w:p w14:paraId="6E79BF48">
            <w:pPr>
              <w:widowControl/>
              <w:jc w:val="center"/>
              <w:rPr>
                <w:rFonts w:ascii="Times New Roman"/>
                <w:sz w:val="21"/>
                <w:szCs w:val="21"/>
              </w:rPr>
            </w:pPr>
            <w:r>
              <w:rPr>
                <w:rFonts w:ascii="Times New Roman"/>
                <w:sz w:val="21"/>
                <w:szCs w:val="21"/>
              </w:rPr>
              <w:t>78.612</w:t>
            </w:r>
          </w:p>
        </w:tc>
        <w:tc>
          <w:tcPr>
            <w:tcW w:w="323" w:type="pct"/>
            <w:vAlign w:val="center"/>
          </w:tcPr>
          <w:p w14:paraId="18FDF191">
            <w:pPr>
              <w:widowControl/>
              <w:jc w:val="center"/>
              <w:rPr>
                <w:rFonts w:ascii="Times New Roman"/>
                <w:sz w:val="21"/>
                <w:szCs w:val="21"/>
              </w:rPr>
            </w:pPr>
            <w:r>
              <w:rPr>
                <w:rFonts w:ascii="Times New Roman"/>
                <w:sz w:val="21"/>
                <w:szCs w:val="21"/>
              </w:rPr>
              <w:t>78.612</w:t>
            </w:r>
          </w:p>
        </w:tc>
        <w:tc>
          <w:tcPr>
            <w:tcW w:w="360" w:type="pct"/>
            <w:vAlign w:val="center"/>
          </w:tcPr>
          <w:p w14:paraId="1AB27D26">
            <w:pPr>
              <w:widowControl/>
              <w:jc w:val="center"/>
              <w:rPr>
                <w:rFonts w:ascii="Times New Roman"/>
                <w:sz w:val="21"/>
                <w:szCs w:val="21"/>
              </w:rPr>
            </w:pPr>
            <w:r>
              <w:rPr>
                <w:rFonts w:ascii="Times New Roman"/>
                <w:sz w:val="21"/>
                <w:szCs w:val="21"/>
              </w:rPr>
              <w:t>2091</w:t>
            </w:r>
          </w:p>
        </w:tc>
        <w:tc>
          <w:tcPr>
            <w:tcW w:w="349" w:type="pct"/>
            <w:vAlign w:val="center"/>
          </w:tcPr>
          <w:p w14:paraId="39E2CDBD">
            <w:pPr>
              <w:widowControl/>
              <w:jc w:val="center"/>
              <w:rPr>
                <w:rFonts w:ascii="Times New Roman"/>
                <w:sz w:val="21"/>
                <w:szCs w:val="21"/>
              </w:rPr>
            </w:pPr>
            <w:r>
              <w:rPr>
                <w:rFonts w:ascii="Times New Roman"/>
                <w:sz w:val="21"/>
                <w:szCs w:val="21"/>
              </w:rPr>
              <w:t>69.6</w:t>
            </w:r>
          </w:p>
        </w:tc>
        <w:tc>
          <w:tcPr>
            <w:tcW w:w="355" w:type="pct"/>
            <w:vAlign w:val="center"/>
          </w:tcPr>
          <w:p w14:paraId="01E503D8">
            <w:pPr>
              <w:widowControl/>
              <w:jc w:val="center"/>
              <w:rPr>
                <w:rFonts w:ascii="Times New Roman"/>
                <w:kern w:val="0"/>
                <w:sz w:val="21"/>
                <w:szCs w:val="21"/>
              </w:rPr>
            </w:pPr>
            <w:r>
              <w:rPr>
                <w:rFonts w:ascii="Times New Roman"/>
                <w:kern w:val="0"/>
                <w:sz w:val="21"/>
                <w:szCs w:val="21"/>
              </w:rPr>
              <w:t>158.489</w:t>
            </w:r>
          </w:p>
        </w:tc>
        <w:tc>
          <w:tcPr>
            <w:tcW w:w="318" w:type="pct"/>
            <w:vAlign w:val="center"/>
          </w:tcPr>
          <w:p w14:paraId="7B795F24">
            <w:pPr>
              <w:widowControl/>
              <w:jc w:val="center"/>
              <w:rPr>
                <w:rFonts w:ascii="Times New Roman"/>
                <w:kern w:val="0"/>
                <w:sz w:val="21"/>
                <w:szCs w:val="21"/>
              </w:rPr>
            </w:pPr>
            <w:r>
              <w:rPr>
                <w:rFonts w:ascii="Times New Roman"/>
                <w:kern w:val="0"/>
                <w:sz w:val="21"/>
                <w:szCs w:val="21"/>
              </w:rPr>
              <w:t>127.804</w:t>
            </w:r>
          </w:p>
        </w:tc>
        <w:tc>
          <w:tcPr>
            <w:tcW w:w="1301" w:type="pct"/>
            <w:vAlign w:val="center"/>
          </w:tcPr>
          <w:p w14:paraId="7A0FF529">
            <w:pPr>
              <w:widowControl/>
              <w:jc w:val="center"/>
              <w:rPr>
                <w:rFonts w:ascii="Times New Roman"/>
                <w:sz w:val="21"/>
                <w:szCs w:val="21"/>
              </w:rPr>
            </w:pPr>
            <w:r>
              <w:rPr>
                <w:rFonts w:ascii="Times New Roman"/>
                <w:sz w:val="21"/>
                <w:szCs w:val="21"/>
              </w:rPr>
              <w:t>/</w:t>
            </w:r>
          </w:p>
        </w:tc>
      </w:tr>
      <w:tr w14:paraId="0E24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5000" w:type="pct"/>
            <w:gridSpan w:val="11"/>
            <w:vAlign w:val="center"/>
          </w:tcPr>
          <w:p w14:paraId="32FA9EF4">
            <w:pPr>
              <w:autoSpaceDE w:val="0"/>
              <w:autoSpaceDN w:val="0"/>
              <w:adjustRightInd w:val="0"/>
              <w:snapToGrid w:val="0"/>
              <w:rPr>
                <w:rFonts w:ascii="Times New Roman"/>
                <w:sz w:val="21"/>
                <w:szCs w:val="21"/>
              </w:rPr>
            </w:pPr>
            <w:r>
              <w:rPr>
                <w:rFonts w:hint="eastAsia" w:ascii="Times New Roman"/>
                <w:sz w:val="21"/>
                <w:szCs w:val="21"/>
              </w:rPr>
              <w:t>注：①电泳线首次运行注水：新鲜水680.2</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，纯水838.8</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（折新鲜水1118.4</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）②槽体清洗每半年1次，</w:t>
            </w:r>
            <w:r>
              <w:rPr>
                <w:rFonts w:ascii="Times New Roman"/>
                <w:sz w:val="21"/>
                <w:szCs w:val="21"/>
              </w:rPr>
              <w:t>水洗</w:t>
            </w:r>
            <w:r>
              <w:rPr>
                <w:rFonts w:hint="eastAsia" w:ascii="Times New Roman"/>
                <w:sz w:val="21"/>
                <w:szCs w:val="21"/>
              </w:rPr>
              <w:t>槽内废水2天排尽后用于槽体清洗</w:t>
            </w:r>
            <w:r>
              <w:rPr>
                <w:rFonts w:ascii="Times New Roman"/>
                <w:sz w:val="21"/>
                <w:szCs w:val="21"/>
              </w:rPr>
              <w:t>转移槽</w:t>
            </w:r>
            <w:r>
              <w:rPr>
                <w:rFonts w:hint="eastAsia" w:ascii="Times New Roman"/>
                <w:sz w:val="21"/>
                <w:szCs w:val="21"/>
              </w:rPr>
              <w:t>。槽体清洗水：新鲜水42.18</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，纯水14.06</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（折新鲜水18.75</w:t>
            </w:r>
            <w:r>
              <w:rPr>
                <w:rFonts w:ascii="Times New Roman"/>
                <w:sz w:val="21"/>
                <w:szCs w:val="21"/>
              </w:rPr>
              <w:t>m</w:t>
            </w:r>
            <w:r>
              <w:rPr>
                <w:rFonts w:ascii="Times New Roman"/>
                <w:sz w:val="21"/>
                <w:szCs w:val="21"/>
                <w:vertAlign w:val="superscript"/>
              </w:rPr>
              <w:t>3</w:t>
            </w:r>
            <w:r>
              <w:rPr>
                <w:rFonts w:ascii="Times New Roman"/>
                <w:sz w:val="21"/>
                <w:szCs w:val="21"/>
              </w:rPr>
              <w:t>/a</w:t>
            </w:r>
            <w:r>
              <w:rPr>
                <w:rFonts w:hint="eastAsia" w:ascii="Times New Roman"/>
                <w:sz w:val="21"/>
                <w:szCs w:val="21"/>
              </w:rPr>
              <w:t>）。③槽体清洗废水总量：50.976</w:t>
            </w:r>
            <w:r>
              <w:rPr>
                <w:rFonts w:ascii="Times New Roman"/>
                <w:sz w:val="21"/>
                <w:szCs w:val="21"/>
              </w:rPr>
              <w:t>m</w:t>
            </w:r>
            <w:r>
              <w:rPr>
                <w:rFonts w:ascii="Times New Roman"/>
                <w:sz w:val="21"/>
                <w:szCs w:val="21"/>
                <w:vertAlign w:val="superscript"/>
              </w:rPr>
              <w:t>3</w:t>
            </w:r>
            <w:r>
              <w:rPr>
                <w:rFonts w:ascii="Times New Roman"/>
                <w:sz w:val="21"/>
                <w:szCs w:val="21"/>
              </w:rPr>
              <w:t>/a</w:t>
            </w:r>
          </w:p>
        </w:tc>
      </w:tr>
    </w:tbl>
    <w:p w14:paraId="69E79C59">
      <w:pPr>
        <w:autoSpaceDE w:val="0"/>
        <w:autoSpaceDN w:val="0"/>
        <w:adjustRightInd w:val="0"/>
        <w:snapToGrid w:val="0"/>
        <w:spacing w:line="360" w:lineRule="auto"/>
        <w:ind w:firstLine="480" w:firstLineChars="200"/>
        <w:rPr>
          <w:rFonts w:ascii="Times New Roman"/>
          <w:kern w:val="0"/>
          <w:sz w:val="24"/>
          <w:szCs w:val="24"/>
        </w:rPr>
        <w:sectPr>
          <w:pgSz w:w="16838" w:h="11906" w:orient="landscape"/>
          <w:pgMar w:top="1800" w:right="1440" w:bottom="1800" w:left="1440" w:header="1134" w:footer="1134" w:gutter="0"/>
          <w:cols w:space="720" w:num="1"/>
          <w:docGrid w:type="lines" w:linePitch="340" w:charSpace="0"/>
        </w:sectPr>
      </w:pPr>
    </w:p>
    <w:p w14:paraId="19AD41E4">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项目水量平衡图见图3.6-1。</w:t>
      </w:r>
    </w:p>
    <w:p w14:paraId="59BE86DE">
      <w:pPr>
        <w:pStyle w:val="151"/>
        <w:widowControl w:val="0"/>
        <w:autoSpaceDE/>
        <w:autoSpaceDN/>
        <w:snapToGrid/>
        <w:spacing w:line="240" w:lineRule="auto"/>
        <w:ind w:left="0" w:leftChars="0"/>
        <w:rPr>
          <w:rFonts w:cs="Times New Roman"/>
        </w:rPr>
      </w:pPr>
      <w:r>
        <w:rPr>
          <w:rFonts w:cs="Times New Roman"/>
        </w:rPr>
        <w:drawing>
          <wp:inline distT="0" distB="0" distL="114300" distR="114300">
            <wp:extent cx="5271770" cy="6941185"/>
            <wp:effectExtent l="0" t="0" r="11430" b="5715"/>
            <wp:docPr id="72" name="图片 3"/>
            <wp:cNvGraphicFramePr/>
            <a:graphic xmlns:a="http://schemas.openxmlformats.org/drawingml/2006/main">
              <a:graphicData uri="http://schemas.openxmlformats.org/drawingml/2006/picture">
                <pic:pic xmlns:pic="http://schemas.openxmlformats.org/drawingml/2006/picture">
                  <pic:nvPicPr>
                    <pic:cNvPr id="72" name="图片 3"/>
                    <pic:cNvPicPr/>
                  </pic:nvPicPr>
                  <pic:blipFill>
                    <a:blip r:embed="rId37"/>
                    <a:stretch>
                      <a:fillRect/>
                    </a:stretch>
                  </pic:blipFill>
                  <pic:spPr>
                    <a:xfrm>
                      <a:off x="0" y="0"/>
                      <a:ext cx="5271770" cy="6941185"/>
                    </a:xfrm>
                    <a:prstGeom prst="rect">
                      <a:avLst/>
                    </a:prstGeom>
                    <a:noFill/>
                    <a:ln>
                      <a:noFill/>
                    </a:ln>
                  </pic:spPr>
                </pic:pic>
              </a:graphicData>
            </a:graphic>
          </wp:inline>
        </w:drawing>
      </w:r>
    </w:p>
    <w:p w14:paraId="43893432">
      <w:pPr>
        <w:spacing w:line="0" w:lineRule="atLeast"/>
        <w:jc w:val="center"/>
        <w:rPr>
          <w:rFonts w:ascii="Times New Roman"/>
          <w:b/>
          <w:sz w:val="24"/>
          <w:szCs w:val="24"/>
        </w:rPr>
      </w:pPr>
      <w:r>
        <w:rPr>
          <w:rFonts w:ascii="Times New Roman"/>
          <w:b/>
          <w:sz w:val="24"/>
          <w:szCs w:val="24"/>
        </w:rPr>
        <w:t>图3.6-1  本项目水量平衡图   单位：m</w:t>
      </w:r>
      <w:r>
        <w:rPr>
          <w:rFonts w:ascii="Times New Roman"/>
          <w:b/>
          <w:sz w:val="24"/>
          <w:szCs w:val="24"/>
          <w:vertAlign w:val="superscript"/>
        </w:rPr>
        <w:t>3</w:t>
      </w:r>
      <w:r>
        <w:rPr>
          <w:rFonts w:ascii="Times New Roman"/>
          <w:b/>
          <w:sz w:val="24"/>
          <w:szCs w:val="24"/>
        </w:rPr>
        <w:t>/d</w:t>
      </w:r>
    </w:p>
    <w:p w14:paraId="72832526">
      <w:pPr>
        <w:spacing w:line="0" w:lineRule="atLeast"/>
        <w:jc w:val="center"/>
        <w:rPr>
          <w:rFonts w:ascii="Times New Roman"/>
          <w:b/>
          <w:sz w:val="24"/>
          <w:szCs w:val="24"/>
        </w:rPr>
      </w:pPr>
    </w:p>
    <w:p w14:paraId="7BD480B2">
      <w:pPr>
        <w:spacing w:line="0" w:lineRule="atLeast"/>
        <w:jc w:val="center"/>
        <w:rPr>
          <w:rFonts w:ascii="Times New Roman"/>
          <w:b/>
          <w:sz w:val="24"/>
          <w:szCs w:val="24"/>
        </w:rPr>
      </w:pPr>
    </w:p>
    <w:bookmarkEnd w:id="91"/>
    <w:bookmarkEnd w:id="92"/>
    <w:bookmarkEnd w:id="93"/>
    <w:bookmarkEnd w:id="94"/>
    <w:bookmarkEnd w:id="95"/>
    <w:p w14:paraId="77836B7A">
      <w:pPr>
        <w:spacing w:line="520" w:lineRule="exact"/>
        <w:outlineLvl w:val="2"/>
        <w:rPr>
          <w:rFonts w:ascii="Times New Roman"/>
          <w:b/>
          <w:sz w:val="28"/>
          <w:szCs w:val="28"/>
        </w:rPr>
      </w:pPr>
      <w:bookmarkStart w:id="112" w:name="_Toc390963093"/>
      <w:bookmarkStart w:id="113" w:name="_Toc316978422"/>
      <w:bookmarkStart w:id="114" w:name="_Toc246763532"/>
      <w:r>
        <w:rPr>
          <w:rFonts w:ascii="Times New Roman"/>
          <w:b/>
          <w:sz w:val="28"/>
          <w:szCs w:val="28"/>
        </w:rPr>
        <w:t>3.6.2供电</w:t>
      </w:r>
    </w:p>
    <w:p w14:paraId="19650114">
      <w:pPr>
        <w:adjustRightInd w:val="0"/>
        <w:snapToGrid w:val="0"/>
        <w:spacing w:line="440" w:lineRule="exact"/>
        <w:ind w:firstLine="480" w:firstLineChars="200"/>
        <w:rPr>
          <w:rFonts w:ascii="Times New Roman"/>
          <w:sz w:val="24"/>
          <w:szCs w:val="24"/>
        </w:rPr>
      </w:pPr>
      <w:r>
        <w:rPr>
          <w:rFonts w:ascii="Times New Roman"/>
          <w:sz w:val="24"/>
          <w:szCs w:val="24"/>
        </w:rPr>
        <w:t>由园区供电系统提供，年耗电1</w:t>
      </w:r>
      <w:r>
        <w:rPr>
          <w:rFonts w:hint="eastAsia" w:ascii="Times New Roman"/>
          <w:sz w:val="24"/>
          <w:szCs w:val="24"/>
        </w:rPr>
        <w:t>5950</w:t>
      </w:r>
      <w:r>
        <w:rPr>
          <w:rFonts w:ascii="Times New Roman"/>
          <w:sz w:val="24"/>
          <w:szCs w:val="24"/>
        </w:rPr>
        <w:t>万kWh/a，能够满足项目需求。</w:t>
      </w:r>
    </w:p>
    <w:p w14:paraId="399FFA49">
      <w:pPr>
        <w:spacing w:line="520" w:lineRule="exact"/>
        <w:outlineLvl w:val="2"/>
        <w:rPr>
          <w:rFonts w:ascii="Times New Roman"/>
          <w:b/>
          <w:sz w:val="28"/>
          <w:szCs w:val="28"/>
        </w:rPr>
      </w:pPr>
      <w:r>
        <w:rPr>
          <w:rFonts w:ascii="Times New Roman"/>
          <w:b/>
          <w:sz w:val="28"/>
          <w:szCs w:val="28"/>
        </w:rPr>
        <w:t>3.6.3供热</w:t>
      </w:r>
    </w:p>
    <w:p w14:paraId="7175CC76">
      <w:pPr>
        <w:spacing w:line="480" w:lineRule="exact"/>
        <w:ind w:left="-23" w:firstLine="480" w:firstLineChars="200"/>
        <w:rPr>
          <w:rFonts w:ascii="Times New Roman"/>
          <w:sz w:val="24"/>
          <w:szCs w:val="24"/>
        </w:rPr>
      </w:pPr>
      <w:r>
        <w:rPr>
          <w:rFonts w:ascii="Times New Roman"/>
          <w:sz w:val="24"/>
          <w:szCs w:val="20"/>
        </w:rPr>
        <w:t>项目生产用热（热处理台炉、电泳固化炉、前处理烘干炉、喷塑固化炉、喷漆烘干炉、喷漆室供风加热）采用天然气燃烧器加热；研发楼取暖采用地源热泵取暖。冬季生活供热由园区集中供热管网提供</w:t>
      </w:r>
      <w:r>
        <w:rPr>
          <w:rFonts w:ascii="Times New Roman"/>
          <w:sz w:val="24"/>
          <w:szCs w:val="24"/>
        </w:rPr>
        <w:t>。</w:t>
      </w:r>
    </w:p>
    <w:bookmarkEnd w:id="112"/>
    <w:bookmarkEnd w:id="113"/>
    <w:p w14:paraId="23E3A28B">
      <w:pPr>
        <w:spacing w:line="520" w:lineRule="exact"/>
        <w:outlineLvl w:val="2"/>
        <w:rPr>
          <w:rFonts w:ascii="Times New Roman"/>
          <w:b/>
          <w:sz w:val="28"/>
          <w:szCs w:val="28"/>
        </w:rPr>
      </w:pPr>
      <w:bookmarkStart w:id="115" w:name="_Toc390963094"/>
      <w:bookmarkStart w:id="116" w:name="_Toc20687"/>
      <w:bookmarkStart w:id="117" w:name="_Toc422392407"/>
      <w:r>
        <w:rPr>
          <w:rFonts w:ascii="Times New Roman"/>
          <w:b/>
          <w:sz w:val="28"/>
          <w:szCs w:val="28"/>
        </w:rPr>
        <w:t>3.6.4供气</w:t>
      </w:r>
    </w:p>
    <w:p w14:paraId="6FA8D4E8">
      <w:pPr>
        <w:spacing w:line="360" w:lineRule="auto"/>
        <w:ind w:firstLine="480" w:firstLineChars="200"/>
        <w:rPr>
          <w:rFonts w:ascii="Times New Roman"/>
          <w:sz w:val="24"/>
          <w:szCs w:val="20"/>
        </w:rPr>
      </w:pPr>
      <w:r>
        <w:rPr>
          <w:rFonts w:ascii="Times New Roman"/>
          <w:sz w:val="24"/>
          <w:szCs w:val="20"/>
        </w:rPr>
        <w:t>本项目使用天然气，由园区燃气管网提供。年耗天然气</w:t>
      </w:r>
      <w:r>
        <w:rPr>
          <w:rFonts w:hint="eastAsia" w:ascii="Times New Roman"/>
          <w:sz w:val="24"/>
          <w:szCs w:val="20"/>
        </w:rPr>
        <w:t>272.88</w:t>
      </w:r>
      <w:r>
        <w:rPr>
          <w:rFonts w:ascii="Times New Roman"/>
          <w:sz w:val="24"/>
          <w:szCs w:val="20"/>
        </w:rPr>
        <w:t>万m</w:t>
      </w:r>
      <w:r>
        <w:rPr>
          <w:rFonts w:ascii="Times New Roman"/>
          <w:sz w:val="24"/>
          <w:szCs w:val="20"/>
          <w:vertAlign w:val="superscript"/>
        </w:rPr>
        <w:t>3</w:t>
      </w:r>
      <w:r>
        <w:rPr>
          <w:rFonts w:ascii="Times New Roman"/>
          <w:sz w:val="24"/>
          <w:szCs w:val="20"/>
        </w:rPr>
        <w:t>。</w:t>
      </w:r>
      <w:r>
        <w:rPr>
          <w:rFonts w:hint="eastAsia" w:ascii="Times New Roman"/>
          <w:sz w:val="24"/>
          <w:szCs w:val="20"/>
        </w:rPr>
        <w:t>各工序天然气用量见下表：</w:t>
      </w:r>
    </w:p>
    <w:p w14:paraId="21FA6333">
      <w:pPr>
        <w:widowControl/>
        <w:tabs>
          <w:tab w:val="left" w:pos="1734"/>
        </w:tabs>
        <w:jc w:val="center"/>
        <w:rPr>
          <w:rFonts w:ascii="Times New Roman"/>
          <w:sz w:val="24"/>
          <w:szCs w:val="20"/>
        </w:rPr>
      </w:pPr>
      <w:r>
        <w:rPr>
          <w:rFonts w:ascii="Times New Roman"/>
          <w:sz w:val="24"/>
          <w:szCs w:val="24"/>
        </w:rPr>
        <w:t>表3.6-</w:t>
      </w:r>
      <w:r>
        <w:rPr>
          <w:rFonts w:hint="eastAsia"/>
          <w:sz w:val="24"/>
          <w:szCs w:val="24"/>
        </w:rPr>
        <w:t>3</w:t>
      </w:r>
      <w:r>
        <w:rPr>
          <w:rFonts w:ascii="Times New Roman"/>
          <w:sz w:val="24"/>
          <w:szCs w:val="24"/>
        </w:rPr>
        <w:t xml:space="preserve">  本项目</w:t>
      </w:r>
      <w:r>
        <w:rPr>
          <w:rFonts w:hint="eastAsia"/>
          <w:sz w:val="24"/>
          <w:szCs w:val="24"/>
        </w:rPr>
        <w:t>天然气用量</w:t>
      </w:r>
      <w:r>
        <w:rPr>
          <w:rFonts w:ascii="Times New Roman"/>
          <w:sz w:val="24"/>
          <w:szCs w:val="24"/>
        </w:rPr>
        <w:t>一览表</w:t>
      </w:r>
    </w:p>
    <w:tbl>
      <w:tblPr>
        <w:tblStyle w:val="8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03"/>
        <w:gridCol w:w="899"/>
        <w:gridCol w:w="1582"/>
        <w:gridCol w:w="1296"/>
        <w:gridCol w:w="1322"/>
        <w:gridCol w:w="1288"/>
      </w:tblGrid>
      <w:tr w14:paraId="08BF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26" w:type="pct"/>
            <w:vMerge w:val="restart"/>
            <w:vAlign w:val="center"/>
          </w:tcPr>
          <w:p w14:paraId="7AA0A3EE">
            <w:pPr>
              <w:pStyle w:val="32"/>
              <w:spacing w:after="0"/>
              <w:jc w:val="center"/>
              <w:rPr>
                <w:rFonts w:ascii="Times New Roman"/>
                <w:sz w:val="21"/>
                <w:szCs w:val="21"/>
              </w:rPr>
            </w:pPr>
            <w:r>
              <w:rPr>
                <w:rFonts w:ascii="Times New Roman"/>
                <w:sz w:val="21"/>
                <w:szCs w:val="21"/>
              </w:rPr>
              <w:t>序号</w:t>
            </w:r>
          </w:p>
        </w:tc>
        <w:tc>
          <w:tcPr>
            <w:tcW w:w="823" w:type="pct"/>
            <w:vMerge w:val="restart"/>
            <w:vAlign w:val="center"/>
          </w:tcPr>
          <w:p w14:paraId="46AE9600">
            <w:pPr>
              <w:pStyle w:val="32"/>
              <w:spacing w:after="0"/>
              <w:jc w:val="center"/>
              <w:rPr>
                <w:rFonts w:ascii="Times New Roman"/>
                <w:sz w:val="21"/>
                <w:szCs w:val="21"/>
              </w:rPr>
            </w:pPr>
            <w:r>
              <w:rPr>
                <w:rFonts w:ascii="Times New Roman"/>
                <w:sz w:val="21"/>
                <w:szCs w:val="21"/>
              </w:rPr>
              <w:t>工序</w:t>
            </w:r>
          </w:p>
        </w:tc>
        <w:tc>
          <w:tcPr>
            <w:tcW w:w="527" w:type="pct"/>
            <w:vMerge w:val="restart"/>
            <w:vAlign w:val="center"/>
          </w:tcPr>
          <w:p w14:paraId="55AA5F11">
            <w:pPr>
              <w:pStyle w:val="32"/>
              <w:spacing w:after="0"/>
              <w:jc w:val="center"/>
              <w:rPr>
                <w:rFonts w:ascii="Times New Roman"/>
                <w:sz w:val="21"/>
                <w:szCs w:val="21"/>
              </w:rPr>
            </w:pPr>
            <w:r>
              <w:rPr>
                <w:rFonts w:hint="eastAsia" w:ascii="Times New Roman"/>
                <w:sz w:val="21"/>
                <w:szCs w:val="21"/>
              </w:rPr>
              <w:t>生产时间</w:t>
            </w:r>
          </w:p>
        </w:tc>
        <w:tc>
          <w:tcPr>
            <w:tcW w:w="1690" w:type="pct"/>
            <w:gridSpan w:val="2"/>
            <w:vAlign w:val="center"/>
          </w:tcPr>
          <w:p w14:paraId="3FC3A25A">
            <w:pPr>
              <w:pStyle w:val="32"/>
              <w:spacing w:after="0"/>
              <w:jc w:val="center"/>
              <w:rPr>
                <w:rFonts w:ascii="Times New Roman"/>
                <w:sz w:val="21"/>
                <w:szCs w:val="21"/>
              </w:rPr>
            </w:pPr>
            <w:r>
              <w:rPr>
                <w:rFonts w:hint="eastAsia" w:ascii="Times New Roman"/>
                <w:sz w:val="21"/>
                <w:szCs w:val="21"/>
              </w:rPr>
              <w:t>燃烧机/锅炉—</w:t>
            </w:r>
            <w:r>
              <w:rPr>
                <w:rFonts w:ascii="Times New Roman"/>
                <w:sz w:val="21"/>
                <w:szCs w:val="21"/>
              </w:rPr>
              <w:t>规格</w:t>
            </w:r>
          </w:p>
        </w:tc>
        <w:tc>
          <w:tcPr>
            <w:tcW w:w="776" w:type="pct"/>
            <w:vMerge w:val="restart"/>
            <w:vAlign w:val="center"/>
          </w:tcPr>
          <w:p w14:paraId="31F60961">
            <w:pPr>
              <w:pStyle w:val="32"/>
              <w:spacing w:after="0"/>
              <w:jc w:val="center"/>
              <w:rPr>
                <w:rFonts w:ascii="Times New Roman"/>
                <w:sz w:val="21"/>
                <w:szCs w:val="21"/>
              </w:rPr>
            </w:pPr>
            <w:r>
              <w:rPr>
                <w:rFonts w:hint="eastAsia" w:ascii="Times New Roman"/>
                <w:sz w:val="21"/>
                <w:szCs w:val="21"/>
              </w:rPr>
              <w:t>天然气</w:t>
            </w:r>
            <w:r>
              <w:rPr>
                <w:rFonts w:ascii="Times New Roman"/>
                <w:sz w:val="21"/>
                <w:szCs w:val="21"/>
              </w:rPr>
              <w:t>用量</w:t>
            </w:r>
            <w:r>
              <w:rPr>
                <w:rFonts w:hint="eastAsia" w:ascii="Times New Roman"/>
                <w:sz w:val="21"/>
                <w:szCs w:val="21"/>
              </w:rPr>
              <w:t>（m</w:t>
            </w:r>
            <w:r>
              <w:rPr>
                <w:rFonts w:hint="eastAsia" w:ascii="Times New Roman"/>
                <w:sz w:val="21"/>
                <w:szCs w:val="21"/>
                <w:vertAlign w:val="superscript"/>
              </w:rPr>
              <w:t>3</w:t>
            </w:r>
            <w:r>
              <w:rPr>
                <w:rFonts w:hint="eastAsia" w:ascii="Times New Roman"/>
                <w:sz w:val="21"/>
                <w:szCs w:val="21"/>
              </w:rPr>
              <w:t>/h）</w:t>
            </w:r>
          </w:p>
        </w:tc>
        <w:tc>
          <w:tcPr>
            <w:tcW w:w="756" w:type="pct"/>
            <w:vMerge w:val="restart"/>
            <w:vAlign w:val="center"/>
          </w:tcPr>
          <w:p w14:paraId="29F1A13C">
            <w:pPr>
              <w:pStyle w:val="32"/>
              <w:spacing w:after="0"/>
              <w:jc w:val="center"/>
              <w:rPr>
                <w:rFonts w:ascii="Times New Roman"/>
                <w:sz w:val="21"/>
                <w:szCs w:val="21"/>
              </w:rPr>
            </w:pPr>
            <w:r>
              <w:rPr>
                <w:rFonts w:hint="eastAsia" w:ascii="Times New Roman"/>
                <w:sz w:val="21"/>
                <w:szCs w:val="21"/>
              </w:rPr>
              <w:t>年用量</w:t>
            </w:r>
          </w:p>
          <w:p w14:paraId="3ECE2303">
            <w:pPr>
              <w:pStyle w:val="32"/>
              <w:spacing w:after="0"/>
              <w:jc w:val="center"/>
              <w:rPr>
                <w:rFonts w:ascii="Times New Roman"/>
                <w:sz w:val="21"/>
                <w:szCs w:val="21"/>
              </w:rPr>
            </w:pPr>
            <w:r>
              <w:rPr>
                <w:rFonts w:hint="eastAsia" w:ascii="Times New Roman"/>
                <w:sz w:val="21"/>
                <w:szCs w:val="21"/>
              </w:rPr>
              <w:t>（万m</w:t>
            </w:r>
            <w:r>
              <w:rPr>
                <w:rFonts w:hint="eastAsia" w:ascii="Times New Roman"/>
                <w:sz w:val="21"/>
                <w:szCs w:val="21"/>
                <w:vertAlign w:val="superscript"/>
              </w:rPr>
              <w:t>3</w:t>
            </w:r>
            <w:r>
              <w:rPr>
                <w:rFonts w:hint="eastAsia" w:ascii="Times New Roman"/>
                <w:sz w:val="21"/>
                <w:szCs w:val="21"/>
              </w:rPr>
              <w:t>/a）</w:t>
            </w:r>
          </w:p>
        </w:tc>
      </w:tr>
      <w:tr w14:paraId="52DE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6" w:type="pct"/>
            <w:vMerge w:val="continue"/>
            <w:vAlign w:val="center"/>
          </w:tcPr>
          <w:p w14:paraId="2E480A7D">
            <w:pPr>
              <w:pStyle w:val="32"/>
              <w:spacing w:after="0"/>
              <w:jc w:val="center"/>
              <w:rPr>
                <w:rFonts w:ascii="Times New Roman"/>
                <w:sz w:val="21"/>
                <w:szCs w:val="21"/>
              </w:rPr>
            </w:pPr>
          </w:p>
        </w:tc>
        <w:tc>
          <w:tcPr>
            <w:tcW w:w="823" w:type="pct"/>
            <w:vMerge w:val="continue"/>
            <w:vAlign w:val="center"/>
          </w:tcPr>
          <w:p w14:paraId="7351B602">
            <w:pPr>
              <w:pStyle w:val="32"/>
              <w:spacing w:after="0"/>
              <w:jc w:val="center"/>
              <w:rPr>
                <w:rFonts w:ascii="Times New Roman"/>
                <w:sz w:val="21"/>
                <w:szCs w:val="21"/>
              </w:rPr>
            </w:pPr>
          </w:p>
        </w:tc>
        <w:tc>
          <w:tcPr>
            <w:tcW w:w="527" w:type="pct"/>
            <w:vMerge w:val="continue"/>
            <w:vAlign w:val="center"/>
          </w:tcPr>
          <w:p w14:paraId="0BF8A309">
            <w:pPr>
              <w:pStyle w:val="32"/>
              <w:spacing w:after="0"/>
              <w:jc w:val="center"/>
              <w:rPr>
                <w:rFonts w:ascii="Times New Roman"/>
                <w:sz w:val="21"/>
                <w:szCs w:val="21"/>
              </w:rPr>
            </w:pPr>
          </w:p>
        </w:tc>
        <w:tc>
          <w:tcPr>
            <w:tcW w:w="929" w:type="pct"/>
            <w:vAlign w:val="center"/>
          </w:tcPr>
          <w:p w14:paraId="56CBECBA">
            <w:pPr>
              <w:pStyle w:val="32"/>
              <w:spacing w:after="0"/>
              <w:jc w:val="center"/>
              <w:rPr>
                <w:rFonts w:ascii="Times New Roman"/>
                <w:sz w:val="21"/>
                <w:szCs w:val="21"/>
              </w:rPr>
            </w:pPr>
            <w:r>
              <w:rPr>
                <w:rFonts w:hint="eastAsia" w:ascii="Times New Roman"/>
                <w:sz w:val="21"/>
                <w:szCs w:val="21"/>
              </w:rPr>
              <w:t>设备</w:t>
            </w:r>
          </w:p>
        </w:tc>
        <w:tc>
          <w:tcPr>
            <w:tcW w:w="760" w:type="pct"/>
            <w:vAlign w:val="center"/>
          </w:tcPr>
          <w:p w14:paraId="7DDAFCCF">
            <w:pPr>
              <w:pStyle w:val="32"/>
              <w:spacing w:after="0"/>
              <w:jc w:val="center"/>
              <w:rPr>
                <w:rFonts w:ascii="Times New Roman"/>
                <w:sz w:val="21"/>
                <w:szCs w:val="21"/>
              </w:rPr>
            </w:pPr>
            <w:r>
              <w:rPr>
                <w:rFonts w:ascii="Times New Roman"/>
                <w:sz w:val="21"/>
                <w:szCs w:val="21"/>
              </w:rPr>
              <w:t>规格</w:t>
            </w:r>
          </w:p>
        </w:tc>
        <w:tc>
          <w:tcPr>
            <w:tcW w:w="776" w:type="pct"/>
            <w:vMerge w:val="continue"/>
            <w:vAlign w:val="center"/>
          </w:tcPr>
          <w:p w14:paraId="06659A5E">
            <w:pPr>
              <w:pStyle w:val="32"/>
              <w:spacing w:after="0"/>
              <w:jc w:val="center"/>
              <w:rPr>
                <w:rFonts w:ascii="Times New Roman"/>
                <w:sz w:val="21"/>
                <w:szCs w:val="21"/>
              </w:rPr>
            </w:pPr>
          </w:p>
        </w:tc>
        <w:tc>
          <w:tcPr>
            <w:tcW w:w="756" w:type="pct"/>
            <w:vMerge w:val="continue"/>
            <w:vAlign w:val="center"/>
          </w:tcPr>
          <w:p w14:paraId="7978830B">
            <w:pPr>
              <w:pStyle w:val="32"/>
              <w:spacing w:after="0"/>
              <w:jc w:val="center"/>
              <w:rPr>
                <w:rFonts w:ascii="Times New Roman"/>
                <w:sz w:val="21"/>
                <w:szCs w:val="21"/>
              </w:rPr>
            </w:pPr>
          </w:p>
        </w:tc>
      </w:tr>
      <w:tr w14:paraId="33AC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6" w:type="pct"/>
            <w:vMerge w:val="restart"/>
            <w:vAlign w:val="center"/>
          </w:tcPr>
          <w:p w14:paraId="401BB280">
            <w:pPr>
              <w:pStyle w:val="32"/>
              <w:spacing w:after="0"/>
              <w:jc w:val="center"/>
              <w:rPr>
                <w:rFonts w:ascii="Times New Roman"/>
                <w:sz w:val="21"/>
                <w:szCs w:val="21"/>
              </w:rPr>
            </w:pPr>
            <w:r>
              <w:rPr>
                <w:rFonts w:hint="eastAsia" w:ascii="Times New Roman"/>
                <w:sz w:val="21"/>
                <w:szCs w:val="21"/>
              </w:rPr>
              <w:t>1</w:t>
            </w:r>
          </w:p>
        </w:tc>
        <w:tc>
          <w:tcPr>
            <w:tcW w:w="823" w:type="pct"/>
            <w:vMerge w:val="restart"/>
            <w:vAlign w:val="center"/>
          </w:tcPr>
          <w:p w14:paraId="5FB3E0D8">
            <w:pPr>
              <w:pStyle w:val="32"/>
              <w:spacing w:after="0"/>
              <w:jc w:val="center"/>
              <w:rPr>
                <w:rFonts w:ascii="Times New Roman"/>
                <w:sz w:val="21"/>
                <w:szCs w:val="21"/>
              </w:rPr>
            </w:pPr>
            <w:r>
              <w:rPr>
                <w:rFonts w:ascii="Times New Roman"/>
                <w:sz w:val="21"/>
                <w:szCs w:val="21"/>
              </w:rPr>
              <w:t>热处理</w:t>
            </w:r>
            <w:r>
              <w:rPr>
                <w:rFonts w:hint="eastAsia" w:ascii="Times New Roman"/>
                <w:sz w:val="21"/>
                <w:szCs w:val="21"/>
              </w:rPr>
              <w:t>台</w:t>
            </w:r>
            <w:r>
              <w:rPr>
                <w:rFonts w:ascii="Times New Roman"/>
                <w:sz w:val="21"/>
                <w:szCs w:val="21"/>
              </w:rPr>
              <w:t>车炉加热</w:t>
            </w:r>
          </w:p>
        </w:tc>
        <w:tc>
          <w:tcPr>
            <w:tcW w:w="527" w:type="pct"/>
            <w:vMerge w:val="restart"/>
            <w:vAlign w:val="center"/>
          </w:tcPr>
          <w:p w14:paraId="270A8F82">
            <w:pPr>
              <w:pStyle w:val="32"/>
              <w:spacing w:after="0"/>
              <w:jc w:val="center"/>
              <w:rPr>
                <w:rFonts w:ascii="Times New Roman"/>
                <w:sz w:val="21"/>
                <w:szCs w:val="21"/>
              </w:rPr>
            </w:pPr>
            <w:r>
              <w:rPr>
                <w:rFonts w:hint="eastAsia" w:ascii="Times New Roman"/>
                <w:sz w:val="21"/>
                <w:szCs w:val="21"/>
              </w:rPr>
              <w:t>1800h</w:t>
            </w:r>
          </w:p>
        </w:tc>
        <w:tc>
          <w:tcPr>
            <w:tcW w:w="929" w:type="pct"/>
            <w:vAlign w:val="center"/>
          </w:tcPr>
          <w:p w14:paraId="69A8C1B6">
            <w:pPr>
              <w:pStyle w:val="32"/>
              <w:spacing w:after="0"/>
              <w:jc w:val="center"/>
              <w:rPr>
                <w:rFonts w:ascii="Times New Roman"/>
                <w:sz w:val="21"/>
                <w:szCs w:val="21"/>
              </w:rPr>
            </w:pPr>
            <w:r>
              <w:rPr>
                <w:rFonts w:hint="eastAsia" w:ascii="Times New Roman"/>
                <w:sz w:val="21"/>
                <w:szCs w:val="21"/>
              </w:rPr>
              <w:t>大台车炉</w:t>
            </w:r>
          </w:p>
        </w:tc>
        <w:tc>
          <w:tcPr>
            <w:tcW w:w="760" w:type="pct"/>
            <w:vAlign w:val="center"/>
          </w:tcPr>
          <w:p w14:paraId="3D7DB0AC">
            <w:pPr>
              <w:pStyle w:val="32"/>
              <w:spacing w:after="0"/>
              <w:jc w:val="center"/>
              <w:rPr>
                <w:rFonts w:ascii="Times New Roman"/>
                <w:sz w:val="21"/>
                <w:szCs w:val="21"/>
              </w:rPr>
            </w:pPr>
            <w:r>
              <w:rPr>
                <w:rFonts w:hint="eastAsia" w:ascii="Times New Roman"/>
                <w:sz w:val="21"/>
                <w:szCs w:val="21"/>
              </w:rPr>
              <w:t>210万大卡</w:t>
            </w:r>
          </w:p>
        </w:tc>
        <w:tc>
          <w:tcPr>
            <w:tcW w:w="776" w:type="pct"/>
            <w:shd w:val="clear" w:color="auto" w:fill="auto"/>
            <w:vAlign w:val="center"/>
          </w:tcPr>
          <w:p w14:paraId="13F53B35">
            <w:pPr>
              <w:pStyle w:val="32"/>
              <w:spacing w:after="0"/>
              <w:jc w:val="center"/>
              <w:rPr>
                <w:rFonts w:ascii="Times New Roman"/>
                <w:sz w:val="21"/>
                <w:szCs w:val="21"/>
              </w:rPr>
            </w:pPr>
            <w:r>
              <w:rPr>
                <w:rFonts w:hint="eastAsia" w:ascii="Times New Roman"/>
                <w:sz w:val="21"/>
                <w:szCs w:val="21"/>
              </w:rPr>
              <w:t>252</w:t>
            </w:r>
          </w:p>
        </w:tc>
        <w:tc>
          <w:tcPr>
            <w:tcW w:w="756" w:type="pct"/>
            <w:vMerge w:val="restart"/>
            <w:vAlign w:val="center"/>
          </w:tcPr>
          <w:p w14:paraId="1B555F33">
            <w:pPr>
              <w:pStyle w:val="32"/>
              <w:spacing w:after="0"/>
              <w:jc w:val="center"/>
              <w:rPr>
                <w:rFonts w:ascii="Times New Roman"/>
                <w:sz w:val="21"/>
                <w:szCs w:val="21"/>
              </w:rPr>
            </w:pPr>
            <w:r>
              <w:rPr>
                <w:rFonts w:hint="eastAsia" w:ascii="Times New Roman"/>
                <w:sz w:val="21"/>
                <w:szCs w:val="21"/>
              </w:rPr>
              <w:t>66.96</w:t>
            </w:r>
          </w:p>
        </w:tc>
      </w:tr>
      <w:tr w14:paraId="5EA7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6" w:type="pct"/>
            <w:vMerge w:val="continue"/>
            <w:vAlign w:val="center"/>
          </w:tcPr>
          <w:p w14:paraId="543C2AF5">
            <w:pPr>
              <w:pStyle w:val="32"/>
              <w:spacing w:after="0"/>
              <w:jc w:val="center"/>
              <w:rPr>
                <w:rFonts w:ascii="Times New Roman"/>
                <w:sz w:val="21"/>
                <w:szCs w:val="21"/>
              </w:rPr>
            </w:pPr>
          </w:p>
        </w:tc>
        <w:tc>
          <w:tcPr>
            <w:tcW w:w="823" w:type="pct"/>
            <w:vMerge w:val="continue"/>
            <w:vAlign w:val="center"/>
          </w:tcPr>
          <w:p w14:paraId="50F16EE3">
            <w:pPr>
              <w:pStyle w:val="32"/>
              <w:spacing w:after="0"/>
              <w:jc w:val="center"/>
              <w:rPr>
                <w:rFonts w:ascii="Times New Roman"/>
                <w:sz w:val="21"/>
                <w:szCs w:val="21"/>
              </w:rPr>
            </w:pPr>
          </w:p>
        </w:tc>
        <w:tc>
          <w:tcPr>
            <w:tcW w:w="527" w:type="pct"/>
            <w:vMerge w:val="continue"/>
            <w:vAlign w:val="center"/>
          </w:tcPr>
          <w:p w14:paraId="3B65F384">
            <w:pPr>
              <w:pStyle w:val="32"/>
              <w:spacing w:after="0"/>
              <w:jc w:val="center"/>
              <w:rPr>
                <w:rFonts w:ascii="Times New Roman"/>
                <w:sz w:val="21"/>
                <w:szCs w:val="21"/>
              </w:rPr>
            </w:pPr>
          </w:p>
        </w:tc>
        <w:tc>
          <w:tcPr>
            <w:tcW w:w="929" w:type="pct"/>
            <w:vAlign w:val="center"/>
          </w:tcPr>
          <w:p w14:paraId="2974CF31">
            <w:pPr>
              <w:pStyle w:val="32"/>
              <w:spacing w:after="0"/>
              <w:jc w:val="center"/>
              <w:rPr>
                <w:rFonts w:ascii="Times New Roman"/>
                <w:sz w:val="21"/>
                <w:szCs w:val="21"/>
              </w:rPr>
            </w:pPr>
            <w:r>
              <w:rPr>
                <w:rFonts w:hint="eastAsia" w:ascii="Times New Roman"/>
                <w:sz w:val="21"/>
                <w:szCs w:val="21"/>
              </w:rPr>
              <w:t>小台车炉</w:t>
            </w:r>
          </w:p>
        </w:tc>
        <w:tc>
          <w:tcPr>
            <w:tcW w:w="760" w:type="pct"/>
            <w:vAlign w:val="center"/>
          </w:tcPr>
          <w:p w14:paraId="3958A7C2">
            <w:pPr>
              <w:pStyle w:val="32"/>
              <w:spacing w:after="0"/>
              <w:jc w:val="center"/>
              <w:rPr>
                <w:rFonts w:ascii="Times New Roman"/>
                <w:sz w:val="21"/>
                <w:szCs w:val="21"/>
              </w:rPr>
            </w:pPr>
            <w:r>
              <w:rPr>
                <w:rFonts w:hint="eastAsia" w:ascii="Times New Roman"/>
                <w:sz w:val="21"/>
                <w:szCs w:val="21"/>
              </w:rPr>
              <w:t>100万大卡</w:t>
            </w:r>
          </w:p>
        </w:tc>
        <w:tc>
          <w:tcPr>
            <w:tcW w:w="776" w:type="pct"/>
            <w:shd w:val="clear" w:color="auto" w:fill="auto"/>
            <w:vAlign w:val="center"/>
          </w:tcPr>
          <w:p w14:paraId="03E17CCD">
            <w:pPr>
              <w:pStyle w:val="32"/>
              <w:spacing w:after="0"/>
              <w:jc w:val="center"/>
              <w:rPr>
                <w:rFonts w:ascii="Times New Roman"/>
                <w:sz w:val="21"/>
                <w:szCs w:val="21"/>
              </w:rPr>
            </w:pPr>
            <w:r>
              <w:rPr>
                <w:rFonts w:hint="eastAsia" w:ascii="Times New Roman"/>
                <w:sz w:val="21"/>
                <w:szCs w:val="21"/>
              </w:rPr>
              <w:t>120</w:t>
            </w:r>
          </w:p>
        </w:tc>
        <w:tc>
          <w:tcPr>
            <w:tcW w:w="756" w:type="pct"/>
            <w:vMerge w:val="continue"/>
            <w:vAlign w:val="center"/>
          </w:tcPr>
          <w:p w14:paraId="3E4FBBE0">
            <w:pPr>
              <w:pStyle w:val="32"/>
              <w:spacing w:after="0"/>
              <w:jc w:val="center"/>
              <w:rPr>
                <w:rFonts w:ascii="Times New Roman"/>
                <w:sz w:val="21"/>
                <w:szCs w:val="21"/>
              </w:rPr>
            </w:pPr>
          </w:p>
        </w:tc>
      </w:tr>
      <w:tr w14:paraId="00F4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21D62160">
            <w:pPr>
              <w:pStyle w:val="32"/>
              <w:spacing w:after="0"/>
              <w:jc w:val="center"/>
              <w:rPr>
                <w:rFonts w:ascii="Times New Roman"/>
                <w:sz w:val="21"/>
                <w:szCs w:val="21"/>
              </w:rPr>
            </w:pPr>
            <w:r>
              <w:rPr>
                <w:rFonts w:hint="eastAsia" w:ascii="Times New Roman"/>
                <w:sz w:val="21"/>
                <w:szCs w:val="21"/>
              </w:rPr>
              <w:t>2</w:t>
            </w:r>
          </w:p>
        </w:tc>
        <w:tc>
          <w:tcPr>
            <w:tcW w:w="823" w:type="pct"/>
            <w:vAlign w:val="center"/>
          </w:tcPr>
          <w:p w14:paraId="7B93341E">
            <w:pPr>
              <w:pStyle w:val="32"/>
              <w:spacing w:after="0"/>
              <w:jc w:val="center"/>
              <w:rPr>
                <w:rFonts w:ascii="Times New Roman"/>
                <w:sz w:val="21"/>
                <w:szCs w:val="21"/>
              </w:rPr>
            </w:pPr>
            <w:r>
              <w:rPr>
                <w:rFonts w:hint="eastAsia" w:ascii="Times New Roman"/>
                <w:sz w:val="21"/>
                <w:szCs w:val="21"/>
              </w:rPr>
              <w:t>电泳前处理加热</w:t>
            </w:r>
          </w:p>
        </w:tc>
        <w:tc>
          <w:tcPr>
            <w:tcW w:w="527" w:type="pct"/>
            <w:vAlign w:val="center"/>
          </w:tcPr>
          <w:p w14:paraId="35808F0C">
            <w:pPr>
              <w:pStyle w:val="32"/>
              <w:spacing w:after="0"/>
              <w:jc w:val="center"/>
              <w:rPr>
                <w:rFonts w:ascii="Times New Roman"/>
                <w:sz w:val="21"/>
                <w:szCs w:val="21"/>
              </w:rPr>
            </w:pPr>
            <w:r>
              <w:rPr>
                <w:rFonts w:hint="eastAsia" w:ascii="Times New Roman"/>
                <w:sz w:val="21"/>
                <w:szCs w:val="21"/>
              </w:rPr>
              <w:t>1500h</w:t>
            </w:r>
          </w:p>
        </w:tc>
        <w:tc>
          <w:tcPr>
            <w:tcW w:w="929" w:type="pct"/>
            <w:vAlign w:val="center"/>
          </w:tcPr>
          <w:p w14:paraId="52E5B380">
            <w:pPr>
              <w:pStyle w:val="32"/>
              <w:spacing w:after="0"/>
              <w:jc w:val="center"/>
              <w:rPr>
                <w:rFonts w:ascii="Times New Roman"/>
                <w:sz w:val="21"/>
                <w:szCs w:val="21"/>
              </w:rPr>
            </w:pPr>
            <w:r>
              <w:rPr>
                <w:rFonts w:hint="eastAsia" w:ascii="Times New Roman"/>
                <w:sz w:val="21"/>
                <w:szCs w:val="21"/>
              </w:rPr>
              <w:t>热水炉</w:t>
            </w:r>
          </w:p>
        </w:tc>
        <w:tc>
          <w:tcPr>
            <w:tcW w:w="760" w:type="pct"/>
            <w:vAlign w:val="center"/>
          </w:tcPr>
          <w:p w14:paraId="0DD0B415">
            <w:pPr>
              <w:pStyle w:val="32"/>
              <w:spacing w:after="0"/>
              <w:jc w:val="center"/>
              <w:rPr>
                <w:rFonts w:ascii="Times New Roman"/>
                <w:sz w:val="21"/>
                <w:szCs w:val="21"/>
              </w:rPr>
            </w:pPr>
            <w:r>
              <w:rPr>
                <w:rFonts w:hint="eastAsia" w:ascii="Times New Roman"/>
                <w:sz w:val="21"/>
                <w:szCs w:val="21"/>
              </w:rPr>
              <w:t>200万大卡</w:t>
            </w:r>
          </w:p>
        </w:tc>
        <w:tc>
          <w:tcPr>
            <w:tcW w:w="776" w:type="pct"/>
            <w:vAlign w:val="center"/>
          </w:tcPr>
          <w:p w14:paraId="276C0635">
            <w:pPr>
              <w:pStyle w:val="32"/>
              <w:spacing w:after="0"/>
              <w:jc w:val="center"/>
              <w:rPr>
                <w:rFonts w:ascii="Times New Roman"/>
                <w:sz w:val="21"/>
                <w:szCs w:val="21"/>
              </w:rPr>
            </w:pPr>
            <w:r>
              <w:rPr>
                <w:rFonts w:hint="eastAsia" w:ascii="Times New Roman"/>
                <w:sz w:val="21"/>
                <w:szCs w:val="21"/>
              </w:rPr>
              <w:t>240</w:t>
            </w:r>
          </w:p>
        </w:tc>
        <w:tc>
          <w:tcPr>
            <w:tcW w:w="756" w:type="pct"/>
            <w:vAlign w:val="center"/>
          </w:tcPr>
          <w:p w14:paraId="6B6F9ECA">
            <w:pPr>
              <w:pStyle w:val="32"/>
              <w:spacing w:after="0"/>
              <w:jc w:val="center"/>
              <w:rPr>
                <w:rFonts w:ascii="Times New Roman"/>
                <w:sz w:val="21"/>
                <w:szCs w:val="21"/>
              </w:rPr>
            </w:pPr>
            <w:r>
              <w:rPr>
                <w:rFonts w:hint="eastAsia" w:ascii="Times New Roman"/>
                <w:sz w:val="21"/>
                <w:szCs w:val="21"/>
              </w:rPr>
              <w:t>36</w:t>
            </w:r>
          </w:p>
        </w:tc>
      </w:tr>
      <w:tr w14:paraId="7E93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272D9333">
            <w:pPr>
              <w:pStyle w:val="32"/>
              <w:spacing w:after="0"/>
              <w:jc w:val="center"/>
              <w:rPr>
                <w:rFonts w:ascii="Times New Roman"/>
                <w:sz w:val="21"/>
                <w:szCs w:val="21"/>
              </w:rPr>
            </w:pPr>
            <w:r>
              <w:rPr>
                <w:rFonts w:hint="eastAsia" w:ascii="Times New Roman"/>
                <w:sz w:val="21"/>
                <w:szCs w:val="21"/>
              </w:rPr>
              <w:t>3</w:t>
            </w:r>
          </w:p>
        </w:tc>
        <w:tc>
          <w:tcPr>
            <w:tcW w:w="823" w:type="pct"/>
            <w:vAlign w:val="center"/>
          </w:tcPr>
          <w:p w14:paraId="357C2E26">
            <w:pPr>
              <w:pStyle w:val="32"/>
              <w:spacing w:after="0"/>
              <w:jc w:val="center"/>
              <w:rPr>
                <w:rFonts w:ascii="Times New Roman"/>
                <w:sz w:val="21"/>
                <w:szCs w:val="21"/>
              </w:rPr>
            </w:pPr>
            <w:r>
              <w:rPr>
                <w:rFonts w:hint="eastAsia" w:ascii="Times New Roman"/>
                <w:sz w:val="21"/>
                <w:szCs w:val="21"/>
              </w:rPr>
              <w:t>电泳烘干</w:t>
            </w:r>
          </w:p>
        </w:tc>
        <w:tc>
          <w:tcPr>
            <w:tcW w:w="527" w:type="pct"/>
            <w:vAlign w:val="center"/>
          </w:tcPr>
          <w:p w14:paraId="3D2C784C">
            <w:pPr>
              <w:pStyle w:val="32"/>
              <w:spacing w:after="0"/>
              <w:jc w:val="center"/>
              <w:rPr>
                <w:rFonts w:ascii="Times New Roman"/>
                <w:sz w:val="21"/>
                <w:szCs w:val="21"/>
              </w:rPr>
            </w:pPr>
            <w:r>
              <w:rPr>
                <w:rFonts w:hint="eastAsia" w:ascii="Times New Roman"/>
                <w:sz w:val="21"/>
                <w:szCs w:val="21"/>
              </w:rPr>
              <w:t>1500h</w:t>
            </w:r>
          </w:p>
        </w:tc>
        <w:tc>
          <w:tcPr>
            <w:tcW w:w="929" w:type="pct"/>
            <w:vAlign w:val="center"/>
          </w:tcPr>
          <w:p w14:paraId="619AD50F">
            <w:pPr>
              <w:pStyle w:val="32"/>
              <w:spacing w:after="0"/>
              <w:jc w:val="center"/>
              <w:rPr>
                <w:rFonts w:ascii="Times New Roman"/>
                <w:sz w:val="21"/>
                <w:szCs w:val="21"/>
              </w:rPr>
            </w:pPr>
            <w:r>
              <w:rPr>
                <w:rFonts w:hint="eastAsia" w:ascii="Times New Roman"/>
                <w:sz w:val="21"/>
                <w:szCs w:val="21"/>
              </w:rPr>
              <w:t>固化炉</w:t>
            </w:r>
          </w:p>
        </w:tc>
        <w:tc>
          <w:tcPr>
            <w:tcW w:w="760" w:type="pct"/>
            <w:vAlign w:val="center"/>
          </w:tcPr>
          <w:p w14:paraId="17BBD48A">
            <w:pPr>
              <w:pStyle w:val="32"/>
              <w:spacing w:after="0"/>
              <w:jc w:val="center"/>
              <w:rPr>
                <w:rFonts w:ascii="Times New Roman"/>
                <w:sz w:val="21"/>
                <w:szCs w:val="21"/>
              </w:rPr>
            </w:pPr>
            <w:r>
              <w:rPr>
                <w:rFonts w:hint="eastAsia" w:ascii="Times New Roman"/>
                <w:sz w:val="21"/>
                <w:szCs w:val="21"/>
              </w:rPr>
              <w:t>180万大卡</w:t>
            </w:r>
          </w:p>
        </w:tc>
        <w:tc>
          <w:tcPr>
            <w:tcW w:w="776" w:type="pct"/>
            <w:vAlign w:val="center"/>
          </w:tcPr>
          <w:p w14:paraId="2557A497">
            <w:pPr>
              <w:pStyle w:val="32"/>
              <w:spacing w:after="0"/>
              <w:jc w:val="center"/>
              <w:rPr>
                <w:rFonts w:ascii="Times New Roman"/>
                <w:sz w:val="21"/>
                <w:szCs w:val="21"/>
              </w:rPr>
            </w:pPr>
            <w:r>
              <w:rPr>
                <w:rFonts w:hint="eastAsia" w:ascii="Times New Roman"/>
                <w:sz w:val="21"/>
                <w:szCs w:val="21"/>
              </w:rPr>
              <w:t>216</w:t>
            </w:r>
          </w:p>
        </w:tc>
        <w:tc>
          <w:tcPr>
            <w:tcW w:w="756" w:type="pct"/>
            <w:vAlign w:val="center"/>
          </w:tcPr>
          <w:p w14:paraId="59A68106">
            <w:pPr>
              <w:pStyle w:val="32"/>
              <w:spacing w:after="0"/>
              <w:jc w:val="center"/>
              <w:rPr>
                <w:rFonts w:ascii="Times New Roman"/>
                <w:sz w:val="21"/>
                <w:szCs w:val="21"/>
              </w:rPr>
            </w:pPr>
            <w:r>
              <w:rPr>
                <w:rFonts w:hint="eastAsia" w:ascii="Times New Roman"/>
                <w:sz w:val="21"/>
                <w:szCs w:val="21"/>
              </w:rPr>
              <w:t>32.4</w:t>
            </w:r>
          </w:p>
        </w:tc>
      </w:tr>
      <w:tr w14:paraId="3A1B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293B4946">
            <w:pPr>
              <w:pStyle w:val="32"/>
              <w:spacing w:after="0"/>
              <w:jc w:val="center"/>
              <w:rPr>
                <w:rFonts w:ascii="Times New Roman"/>
                <w:sz w:val="21"/>
                <w:szCs w:val="21"/>
              </w:rPr>
            </w:pPr>
            <w:r>
              <w:rPr>
                <w:rFonts w:hint="eastAsia" w:ascii="Times New Roman"/>
                <w:sz w:val="21"/>
                <w:szCs w:val="21"/>
              </w:rPr>
              <w:t>4</w:t>
            </w:r>
          </w:p>
        </w:tc>
        <w:tc>
          <w:tcPr>
            <w:tcW w:w="823" w:type="pct"/>
            <w:shd w:val="clear" w:color="auto" w:fill="auto"/>
            <w:vAlign w:val="center"/>
          </w:tcPr>
          <w:p w14:paraId="3F950568">
            <w:pPr>
              <w:pStyle w:val="32"/>
              <w:spacing w:after="0"/>
              <w:jc w:val="center"/>
              <w:rPr>
                <w:rFonts w:ascii="Times New Roman"/>
                <w:sz w:val="21"/>
                <w:szCs w:val="21"/>
              </w:rPr>
            </w:pPr>
            <w:r>
              <w:rPr>
                <w:rFonts w:hint="eastAsia" w:ascii="Times New Roman"/>
                <w:sz w:val="21"/>
                <w:szCs w:val="21"/>
              </w:rPr>
              <w:t>喷漆</w:t>
            </w:r>
          </w:p>
        </w:tc>
        <w:tc>
          <w:tcPr>
            <w:tcW w:w="527" w:type="pct"/>
            <w:shd w:val="clear" w:color="auto" w:fill="auto"/>
            <w:vAlign w:val="center"/>
          </w:tcPr>
          <w:p w14:paraId="40A45DAA">
            <w:pPr>
              <w:pStyle w:val="32"/>
              <w:spacing w:after="0"/>
              <w:jc w:val="center"/>
              <w:rPr>
                <w:rFonts w:ascii="Times New Roman"/>
                <w:sz w:val="21"/>
                <w:szCs w:val="21"/>
              </w:rPr>
            </w:pPr>
            <w:r>
              <w:rPr>
                <w:rFonts w:hint="eastAsia" w:ascii="Times New Roman"/>
                <w:sz w:val="21"/>
                <w:szCs w:val="21"/>
              </w:rPr>
              <w:t>1500h</w:t>
            </w:r>
          </w:p>
        </w:tc>
        <w:tc>
          <w:tcPr>
            <w:tcW w:w="929" w:type="pct"/>
            <w:shd w:val="clear" w:color="auto" w:fill="auto"/>
            <w:vAlign w:val="center"/>
          </w:tcPr>
          <w:p w14:paraId="095D30C6">
            <w:pPr>
              <w:pStyle w:val="32"/>
              <w:spacing w:after="0"/>
              <w:jc w:val="center"/>
              <w:rPr>
                <w:rFonts w:ascii="Times New Roman"/>
                <w:sz w:val="21"/>
                <w:szCs w:val="21"/>
              </w:rPr>
            </w:pPr>
            <w:r>
              <w:rPr>
                <w:rFonts w:hint="eastAsia" w:ascii="Times New Roman"/>
                <w:sz w:val="21"/>
                <w:szCs w:val="21"/>
              </w:rPr>
              <w:t>2个喷漆室</w:t>
            </w:r>
          </w:p>
        </w:tc>
        <w:tc>
          <w:tcPr>
            <w:tcW w:w="760" w:type="pct"/>
            <w:shd w:val="clear" w:color="auto" w:fill="auto"/>
            <w:vAlign w:val="center"/>
          </w:tcPr>
          <w:p w14:paraId="464DBE95">
            <w:pPr>
              <w:pStyle w:val="32"/>
              <w:spacing w:after="0"/>
              <w:jc w:val="center"/>
              <w:rPr>
                <w:rFonts w:ascii="Times New Roman"/>
                <w:sz w:val="21"/>
                <w:szCs w:val="21"/>
              </w:rPr>
            </w:pPr>
            <w:r>
              <w:rPr>
                <w:rFonts w:hint="eastAsia" w:ascii="Times New Roman"/>
                <w:sz w:val="21"/>
                <w:szCs w:val="21"/>
              </w:rPr>
              <w:t>60万大卡</w:t>
            </w:r>
          </w:p>
        </w:tc>
        <w:tc>
          <w:tcPr>
            <w:tcW w:w="776" w:type="pct"/>
            <w:vAlign w:val="center"/>
          </w:tcPr>
          <w:p w14:paraId="5A7A3A76">
            <w:pPr>
              <w:pStyle w:val="32"/>
              <w:spacing w:after="0"/>
              <w:jc w:val="center"/>
              <w:rPr>
                <w:rFonts w:ascii="Times New Roman"/>
                <w:sz w:val="21"/>
                <w:szCs w:val="21"/>
              </w:rPr>
            </w:pPr>
            <w:r>
              <w:rPr>
                <w:rFonts w:hint="eastAsia" w:ascii="Times New Roman"/>
                <w:sz w:val="21"/>
                <w:szCs w:val="21"/>
              </w:rPr>
              <w:t>144</w:t>
            </w:r>
          </w:p>
        </w:tc>
        <w:tc>
          <w:tcPr>
            <w:tcW w:w="756" w:type="pct"/>
            <w:vAlign w:val="center"/>
          </w:tcPr>
          <w:p w14:paraId="1088B6D8">
            <w:pPr>
              <w:pStyle w:val="32"/>
              <w:spacing w:after="0"/>
              <w:jc w:val="center"/>
              <w:rPr>
                <w:rFonts w:ascii="Times New Roman"/>
                <w:sz w:val="21"/>
                <w:szCs w:val="21"/>
              </w:rPr>
            </w:pPr>
            <w:r>
              <w:rPr>
                <w:rFonts w:hint="eastAsia" w:ascii="Times New Roman"/>
                <w:sz w:val="21"/>
                <w:szCs w:val="21"/>
              </w:rPr>
              <w:t>21.6</w:t>
            </w:r>
          </w:p>
        </w:tc>
      </w:tr>
      <w:tr w14:paraId="1175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426" w:type="pct"/>
            <w:vMerge w:val="restart"/>
            <w:vAlign w:val="center"/>
          </w:tcPr>
          <w:p w14:paraId="78EC3361">
            <w:pPr>
              <w:pStyle w:val="32"/>
              <w:spacing w:after="0"/>
              <w:jc w:val="center"/>
              <w:rPr>
                <w:rFonts w:ascii="Times New Roman"/>
                <w:sz w:val="21"/>
                <w:szCs w:val="21"/>
              </w:rPr>
            </w:pPr>
            <w:r>
              <w:rPr>
                <w:rFonts w:hint="eastAsia" w:ascii="Times New Roman"/>
                <w:sz w:val="21"/>
                <w:szCs w:val="21"/>
              </w:rPr>
              <w:t>5</w:t>
            </w:r>
          </w:p>
        </w:tc>
        <w:tc>
          <w:tcPr>
            <w:tcW w:w="823" w:type="pct"/>
            <w:vMerge w:val="restart"/>
            <w:vAlign w:val="center"/>
          </w:tcPr>
          <w:p w14:paraId="3DBA59CD">
            <w:pPr>
              <w:pStyle w:val="32"/>
              <w:spacing w:after="0"/>
              <w:jc w:val="center"/>
              <w:rPr>
                <w:rFonts w:ascii="Times New Roman"/>
                <w:sz w:val="21"/>
                <w:szCs w:val="21"/>
              </w:rPr>
            </w:pPr>
            <w:r>
              <w:rPr>
                <w:rFonts w:hint="eastAsia" w:ascii="Times New Roman"/>
                <w:sz w:val="21"/>
                <w:szCs w:val="21"/>
              </w:rPr>
              <w:t>喷漆烘干</w:t>
            </w:r>
          </w:p>
        </w:tc>
        <w:tc>
          <w:tcPr>
            <w:tcW w:w="527" w:type="pct"/>
            <w:vMerge w:val="restart"/>
            <w:vAlign w:val="center"/>
          </w:tcPr>
          <w:p w14:paraId="2F612FFE">
            <w:pPr>
              <w:pStyle w:val="32"/>
              <w:spacing w:after="0"/>
              <w:jc w:val="center"/>
              <w:rPr>
                <w:rFonts w:ascii="Times New Roman"/>
                <w:sz w:val="21"/>
                <w:szCs w:val="21"/>
              </w:rPr>
            </w:pPr>
            <w:r>
              <w:rPr>
                <w:rFonts w:hint="eastAsia" w:ascii="Times New Roman"/>
                <w:sz w:val="21"/>
                <w:szCs w:val="21"/>
              </w:rPr>
              <w:t>1500h</w:t>
            </w:r>
          </w:p>
        </w:tc>
        <w:tc>
          <w:tcPr>
            <w:tcW w:w="929" w:type="pct"/>
            <w:vAlign w:val="center"/>
          </w:tcPr>
          <w:p w14:paraId="7FCF63A8">
            <w:pPr>
              <w:pStyle w:val="32"/>
              <w:spacing w:after="0"/>
              <w:jc w:val="center"/>
              <w:rPr>
                <w:rFonts w:ascii="Times New Roman"/>
                <w:sz w:val="21"/>
                <w:szCs w:val="21"/>
              </w:rPr>
            </w:pPr>
            <w:r>
              <w:rPr>
                <w:rFonts w:hint="eastAsia" w:ascii="Times New Roman"/>
                <w:sz w:val="21"/>
                <w:szCs w:val="21"/>
              </w:rPr>
              <w:t>2个烘干炉</w:t>
            </w:r>
          </w:p>
        </w:tc>
        <w:tc>
          <w:tcPr>
            <w:tcW w:w="760" w:type="pct"/>
            <w:vAlign w:val="center"/>
          </w:tcPr>
          <w:p w14:paraId="3C04A70A">
            <w:pPr>
              <w:pStyle w:val="32"/>
              <w:spacing w:after="0"/>
              <w:jc w:val="center"/>
              <w:rPr>
                <w:rFonts w:ascii="Times New Roman"/>
                <w:sz w:val="21"/>
                <w:szCs w:val="21"/>
              </w:rPr>
            </w:pPr>
            <w:r>
              <w:rPr>
                <w:rFonts w:hint="eastAsia" w:ascii="Times New Roman"/>
                <w:sz w:val="21"/>
                <w:szCs w:val="21"/>
              </w:rPr>
              <w:t>80万大卡</w:t>
            </w:r>
          </w:p>
        </w:tc>
        <w:tc>
          <w:tcPr>
            <w:tcW w:w="776" w:type="pct"/>
            <w:vAlign w:val="center"/>
          </w:tcPr>
          <w:p w14:paraId="7F2ED34F">
            <w:pPr>
              <w:pStyle w:val="32"/>
              <w:spacing w:after="0"/>
              <w:jc w:val="center"/>
              <w:rPr>
                <w:rFonts w:ascii="Times New Roman"/>
                <w:sz w:val="21"/>
                <w:szCs w:val="21"/>
              </w:rPr>
            </w:pPr>
            <w:r>
              <w:rPr>
                <w:rFonts w:hint="eastAsia" w:ascii="Times New Roman"/>
                <w:sz w:val="21"/>
                <w:szCs w:val="21"/>
              </w:rPr>
              <w:t>192</w:t>
            </w:r>
          </w:p>
        </w:tc>
        <w:tc>
          <w:tcPr>
            <w:tcW w:w="756" w:type="pct"/>
            <w:vMerge w:val="restart"/>
            <w:vAlign w:val="center"/>
          </w:tcPr>
          <w:p w14:paraId="39F8B952">
            <w:pPr>
              <w:pStyle w:val="32"/>
              <w:spacing w:after="0"/>
              <w:jc w:val="center"/>
              <w:rPr>
                <w:rFonts w:ascii="Times New Roman"/>
                <w:sz w:val="21"/>
                <w:szCs w:val="21"/>
              </w:rPr>
            </w:pPr>
            <w:r>
              <w:rPr>
                <w:rFonts w:hint="eastAsia" w:ascii="Times New Roman"/>
                <w:sz w:val="21"/>
                <w:szCs w:val="21"/>
              </w:rPr>
              <w:t>32.4</w:t>
            </w:r>
          </w:p>
        </w:tc>
      </w:tr>
      <w:tr w14:paraId="19EC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26" w:type="pct"/>
            <w:vMerge w:val="continue"/>
            <w:vAlign w:val="center"/>
          </w:tcPr>
          <w:p w14:paraId="3282C7B0">
            <w:pPr>
              <w:pStyle w:val="32"/>
              <w:spacing w:after="0"/>
              <w:jc w:val="center"/>
              <w:rPr>
                <w:rFonts w:ascii="Times New Roman"/>
                <w:sz w:val="21"/>
                <w:szCs w:val="21"/>
              </w:rPr>
            </w:pPr>
          </w:p>
        </w:tc>
        <w:tc>
          <w:tcPr>
            <w:tcW w:w="823" w:type="pct"/>
            <w:vMerge w:val="continue"/>
            <w:vAlign w:val="center"/>
          </w:tcPr>
          <w:p w14:paraId="0F6F5E62">
            <w:pPr>
              <w:pStyle w:val="32"/>
              <w:spacing w:after="0"/>
              <w:jc w:val="center"/>
              <w:rPr>
                <w:rFonts w:ascii="Times New Roman"/>
                <w:sz w:val="21"/>
                <w:szCs w:val="21"/>
              </w:rPr>
            </w:pPr>
          </w:p>
        </w:tc>
        <w:tc>
          <w:tcPr>
            <w:tcW w:w="527" w:type="pct"/>
            <w:vMerge w:val="continue"/>
            <w:vAlign w:val="center"/>
          </w:tcPr>
          <w:p w14:paraId="57A86D42">
            <w:pPr>
              <w:pStyle w:val="32"/>
              <w:spacing w:after="0"/>
              <w:jc w:val="center"/>
              <w:rPr>
                <w:rFonts w:ascii="Times New Roman"/>
                <w:sz w:val="21"/>
                <w:szCs w:val="21"/>
              </w:rPr>
            </w:pPr>
          </w:p>
        </w:tc>
        <w:tc>
          <w:tcPr>
            <w:tcW w:w="929" w:type="pct"/>
            <w:vAlign w:val="center"/>
          </w:tcPr>
          <w:p w14:paraId="09534EE4">
            <w:pPr>
              <w:pStyle w:val="32"/>
              <w:spacing w:after="0"/>
              <w:jc w:val="center"/>
              <w:rPr>
                <w:rFonts w:ascii="Times New Roman"/>
                <w:sz w:val="21"/>
                <w:szCs w:val="21"/>
              </w:rPr>
            </w:pPr>
            <w:r>
              <w:rPr>
                <w:rFonts w:ascii="Times New Roman"/>
                <w:sz w:val="21"/>
                <w:szCs w:val="21"/>
              </w:rPr>
              <w:t>油漆烘干炉</w:t>
            </w:r>
          </w:p>
        </w:tc>
        <w:tc>
          <w:tcPr>
            <w:tcW w:w="760" w:type="pct"/>
            <w:vAlign w:val="center"/>
          </w:tcPr>
          <w:p w14:paraId="28465872">
            <w:pPr>
              <w:pStyle w:val="32"/>
              <w:spacing w:after="0"/>
              <w:jc w:val="center"/>
              <w:rPr>
                <w:rFonts w:ascii="Times New Roman"/>
                <w:sz w:val="21"/>
                <w:szCs w:val="21"/>
              </w:rPr>
            </w:pPr>
            <w:r>
              <w:rPr>
                <w:rFonts w:hint="eastAsia" w:ascii="Times New Roman"/>
                <w:sz w:val="21"/>
                <w:szCs w:val="21"/>
              </w:rPr>
              <w:t>20万大卡</w:t>
            </w:r>
          </w:p>
        </w:tc>
        <w:tc>
          <w:tcPr>
            <w:tcW w:w="776" w:type="pct"/>
            <w:vAlign w:val="center"/>
          </w:tcPr>
          <w:p w14:paraId="79766435">
            <w:pPr>
              <w:pStyle w:val="32"/>
              <w:spacing w:after="0"/>
              <w:jc w:val="center"/>
              <w:rPr>
                <w:rFonts w:ascii="Times New Roman"/>
                <w:sz w:val="21"/>
                <w:szCs w:val="21"/>
              </w:rPr>
            </w:pPr>
            <w:r>
              <w:rPr>
                <w:rFonts w:hint="eastAsia" w:ascii="Times New Roman"/>
                <w:sz w:val="21"/>
                <w:szCs w:val="21"/>
              </w:rPr>
              <w:t>24</w:t>
            </w:r>
          </w:p>
        </w:tc>
        <w:tc>
          <w:tcPr>
            <w:tcW w:w="756" w:type="pct"/>
            <w:vMerge w:val="continue"/>
            <w:vAlign w:val="center"/>
          </w:tcPr>
          <w:p w14:paraId="3EDE6260">
            <w:pPr>
              <w:pStyle w:val="32"/>
              <w:spacing w:after="0"/>
              <w:jc w:val="center"/>
              <w:rPr>
                <w:rFonts w:ascii="Times New Roman"/>
                <w:sz w:val="21"/>
                <w:szCs w:val="21"/>
              </w:rPr>
            </w:pPr>
          </w:p>
        </w:tc>
      </w:tr>
      <w:tr w14:paraId="29F3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426" w:type="pct"/>
            <w:vMerge w:val="restart"/>
            <w:vAlign w:val="center"/>
          </w:tcPr>
          <w:p w14:paraId="04B3BCAA">
            <w:pPr>
              <w:pStyle w:val="32"/>
              <w:spacing w:after="0"/>
              <w:jc w:val="center"/>
              <w:rPr>
                <w:rFonts w:ascii="Times New Roman"/>
                <w:sz w:val="21"/>
                <w:szCs w:val="21"/>
              </w:rPr>
            </w:pPr>
            <w:r>
              <w:rPr>
                <w:rFonts w:hint="eastAsia" w:ascii="Times New Roman"/>
                <w:sz w:val="21"/>
                <w:szCs w:val="21"/>
              </w:rPr>
              <w:t>6</w:t>
            </w:r>
          </w:p>
        </w:tc>
        <w:tc>
          <w:tcPr>
            <w:tcW w:w="823" w:type="pct"/>
            <w:vMerge w:val="restart"/>
            <w:vAlign w:val="center"/>
          </w:tcPr>
          <w:p w14:paraId="73C21B05">
            <w:pPr>
              <w:pStyle w:val="32"/>
              <w:spacing w:after="0"/>
              <w:jc w:val="center"/>
              <w:rPr>
                <w:rFonts w:ascii="Times New Roman"/>
                <w:sz w:val="21"/>
                <w:szCs w:val="21"/>
              </w:rPr>
            </w:pPr>
            <w:r>
              <w:rPr>
                <w:rFonts w:hint="eastAsia" w:ascii="Times New Roman"/>
                <w:sz w:val="21"/>
                <w:szCs w:val="21"/>
              </w:rPr>
              <w:t>喷粉前处理</w:t>
            </w:r>
          </w:p>
        </w:tc>
        <w:tc>
          <w:tcPr>
            <w:tcW w:w="527" w:type="pct"/>
            <w:vMerge w:val="restart"/>
            <w:vAlign w:val="center"/>
          </w:tcPr>
          <w:p w14:paraId="4D30A5A0">
            <w:pPr>
              <w:pStyle w:val="32"/>
              <w:spacing w:after="0"/>
              <w:jc w:val="center"/>
              <w:rPr>
                <w:rFonts w:ascii="Times New Roman"/>
                <w:sz w:val="21"/>
                <w:szCs w:val="21"/>
              </w:rPr>
            </w:pPr>
            <w:r>
              <w:rPr>
                <w:rFonts w:hint="eastAsia" w:ascii="Times New Roman"/>
                <w:sz w:val="21"/>
                <w:szCs w:val="21"/>
              </w:rPr>
              <w:t>1500h</w:t>
            </w:r>
          </w:p>
        </w:tc>
        <w:tc>
          <w:tcPr>
            <w:tcW w:w="929" w:type="pct"/>
            <w:vAlign w:val="center"/>
          </w:tcPr>
          <w:p w14:paraId="60235D77">
            <w:pPr>
              <w:pStyle w:val="32"/>
              <w:spacing w:after="0"/>
              <w:jc w:val="center"/>
              <w:rPr>
                <w:rFonts w:ascii="Times New Roman"/>
                <w:sz w:val="21"/>
                <w:szCs w:val="21"/>
              </w:rPr>
            </w:pPr>
            <w:r>
              <w:rPr>
                <w:rFonts w:hint="eastAsia" w:ascii="Times New Roman"/>
                <w:sz w:val="21"/>
                <w:szCs w:val="21"/>
              </w:rPr>
              <w:t>前处理（清洗）</w:t>
            </w:r>
          </w:p>
        </w:tc>
        <w:tc>
          <w:tcPr>
            <w:tcW w:w="760" w:type="pct"/>
            <w:vAlign w:val="center"/>
          </w:tcPr>
          <w:p w14:paraId="136BED8D">
            <w:pPr>
              <w:pStyle w:val="32"/>
              <w:spacing w:after="0"/>
              <w:jc w:val="center"/>
              <w:rPr>
                <w:rFonts w:ascii="Times New Roman"/>
                <w:sz w:val="21"/>
                <w:szCs w:val="21"/>
              </w:rPr>
            </w:pPr>
            <w:r>
              <w:rPr>
                <w:rFonts w:hint="eastAsia" w:ascii="Times New Roman"/>
                <w:sz w:val="21"/>
                <w:szCs w:val="21"/>
              </w:rPr>
              <w:t>80万大卡</w:t>
            </w:r>
          </w:p>
        </w:tc>
        <w:tc>
          <w:tcPr>
            <w:tcW w:w="776" w:type="pct"/>
            <w:vAlign w:val="center"/>
          </w:tcPr>
          <w:p w14:paraId="7CAD5045">
            <w:pPr>
              <w:pStyle w:val="32"/>
              <w:spacing w:after="0"/>
              <w:jc w:val="center"/>
              <w:rPr>
                <w:rFonts w:ascii="Times New Roman"/>
                <w:sz w:val="21"/>
                <w:szCs w:val="21"/>
              </w:rPr>
            </w:pPr>
            <w:r>
              <w:rPr>
                <w:rFonts w:hint="eastAsia" w:ascii="Times New Roman"/>
                <w:sz w:val="21"/>
                <w:szCs w:val="21"/>
              </w:rPr>
              <w:t>96</w:t>
            </w:r>
          </w:p>
        </w:tc>
        <w:tc>
          <w:tcPr>
            <w:tcW w:w="756" w:type="pct"/>
            <w:vMerge w:val="restart"/>
            <w:vAlign w:val="center"/>
          </w:tcPr>
          <w:p w14:paraId="3BDB812D">
            <w:pPr>
              <w:pStyle w:val="32"/>
              <w:spacing w:after="0"/>
              <w:jc w:val="center"/>
              <w:rPr>
                <w:rFonts w:ascii="Times New Roman"/>
                <w:sz w:val="21"/>
                <w:szCs w:val="21"/>
              </w:rPr>
            </w:pPr>
            <w:r>
              <w:rPr>
                <w:rFonts w:hint="eastAsia" w:ascii="Times New Roman"/>
                <w:sz w:val="21"/>
                <w:szCs w:val="21"/>
              </w:rPr>
              <w:t>21.6</w:t>
            </w:r>
          </w:p>
        </w:tc>
      </w:tr>
      <w:tr w14:paraId="7A3A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26" w:type="pct"/>
            <w:vMerge w:val="continue"/>
            <w:vAlign w:val="center"/>
          </w:tcPr>
          <w:p w14:paraId="4C56EC35">
            <w:pPr>
              <w:pStyle w:val="32"/>
              <w:spacing w:after="0"/>
              <w:jc w:val="center"/>
              <w:rPr>
                <w:rFonts w:ascii="Times New Roman"/>
                <w:sz w:val="21"/>
                <w:szCs w:val="21"/>
              </w:rPr>
            </w:pPr>
          </w:p>
        </w:tc>
        <w:tc>
          <w:tcPr>
            <w:tcW w:w="823" w:type="pct"/>
            <w:vMerge w:val="continue"/>
            <w:vAlign w:val="center"/>
          </w:tcPr>
          <w:p w14:paraId="5CB8B63C">
            <w:pPr>
              <w:pStyle w:val="32"/>
              <w:spacing w:after="0"/>
              <w:jc w:val="center"/>
              <w:rPr>
                <w:rFonts w:ascii="Times New Roman"/>
                <w:sz w:val="21"/>
                <w:szCs w:val="21"/>
              </w:rPr>
            </w:pPr>
          </w:p>
        </w:tc>
        <w:tc>
          <w:tcPr>
            <w:tcW w:w="527" w:type="pct"/>
            <w:vMerge w:val="continue"/>
            <w:vAlign w:val="center"/>
          </w:tcPr>
          <w:p w14:paraId="52A759B3">
            <w:pPr>
              <w:pStyle w:val="32"/>
              <w:spacing w:after="0"/>
              <w:jc w:val="center"/>
              <w:rPr>
                <w:rFonts w:ascii="Times New Roman"/>
                <w:sz w:val="21"/>
                <w:szCs w:val="21"/>
              </w:rPr>
            </w:pPr>
          </w:p>
        </w:tc>
        <w:tc>
          <w:tcPr>
            <w:tcW w:w="929" w:type="pct"/>
            <w:vAlign w:val="center"/>
          </w:tcPr>
          <w:p w14:paraId="1819261D">
            <w:pPr>
              <w:pStyle w:val="32"/>
              <w:spacing w:after="0"/>
              <w:jc w:val="center"/>
              <w:rPr>
                <w:rFonts w:ascii="Times New Roman"/>
                <w:sz w:val="21"/>
                <w:szCs w:val="21"/>
              </w:rPr>
            </w:pPr>
            <w:r>
              <w:rPr>
                <w:rFonts w:hint="eastAsia" w:ascii="Times New Roman"/>
                <w:sz w:val="21"/>
                <w:szCs w:val="21"/>
              </w:rPr>
              <w:t>水分烘干</w:t>
            </w:r>
          </w:p>
        </w:tc>
        <w:tc>
          <w:tcPr>
            <w:tcW w:w="760" w:type="pct"/>
            <w:vAlign w:val="center"/>
          </w:tcPr>
          <w:p w14:paraId="65911796">
            <w:pPr>
              <w:pStyle w:val="32"/>
              <w:spacing w:after="0"/>
              <w:jc w:val="center"/>
              <w:rPr>
                <w:rFonts w:ascii="Times New Roman"/>
                <w:sz w:val="21"/>
                <w:szCs w:val="21"/>
              </w:rPr>
            </w:pPr>
            <w:r>
              <w:rPr>
                <w:rFonts w:hint="eastAsia" w:ascii="Times New Roman"/>
                <w:sz w:val="21"/>
                <w:szCs w:val="21"/>
              </w:rPr>
              <w:t>40万大卡</w:t>
            </w:r>
          </w:p>
        </w:tc>
        <w:tc>
          <w:tcPr>
            <w:tcW w:w="776" w:type="pct"/>
            <w:vAlign w:val="center"/>
          </w:tcPr>
          <w:p w14:paraId="6E6D5DF3">
            <w:pPr>
              <w:pStyle w:val="32"/>
              <w:spacing w:after="0"/>
              <w:jc w:val="center"/>
              <w:rPr>
                <w:rFonts w:ascii="Times New Roman"/>
                <w:sz w:val="21"/>
                <w:szCs w:val="21"/>
              </w:rPr>
            </w:pPr>
            <w:r>
              <w:rPr>
                <w:rFonts w:hint="eastAsia" w:ascii="Times New Roman"/>
                <w:sz w:val="21"/>
                <w:szCs w:val="21"/>
              </w:rPr>
              <w:t>48</w:t>
            </w:r>
          </w:p>
        </w:tc>
        <w:tc>
          <w:tcPr>
            <w:tcW w:w="756" w:type="pct"/>
            <w:vMerge w:val="continue"/>
            <w:vAlign w:val="center"/>
          </w:tcPr>
          <w:p w14:paraId="0FF93ACC">
            <w:pPr>
              <w:pStyle w:val="32"/>
              <w:spacing w:after="0"/>
              <w:jc w:val="center"/>
              <w:rPr>
                <w:rFonts w:ascii="Times New Roman"/>
                <w:sz w:val="21"/>
                <w:szCs w:val="21"/>
              </w:rPr>
            </w:pPr>
          </w:p>
        </w:tc>
      </w:tr>
      <w:tr w14:paraId="552E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426" w:type="pct"/>
            <w:vMerge w:val="restart"/>
            <w:vAlign w:val="center"/>
          </w:tcPr>
          <w:p w14:paraId="08A6F6FA">
            <w:pPr>
              <w:pStyle w:val="32"/>
              <w:spacing w:after="0"/>
              <w:jc w:val="center"/>
              <w:rPr>
                <w:rFonts w:ascii="Times New Roman"/>
                <w:sz w:val="21"/>
                <w:szCs w:val="21"/>
              </w:rPr>
            </w:pPr>
            <w:r>
              <w:rPr>
                <w:rFonts w:hint="eastAsia" w:ascii="Times New Roman"/>
                <w:sz w:val="21"/>
                <w:szCs w:val="21"/>
              </w:rPr>
              <w:t>7</w:t>
            </w:r>
          </w:p>
        </w:tc>
        <w:tc>
          <w:tcPr>
            <w:tcW w:w="823" w:type="pct"/>
            <w:vMerge w:val="restart"/>
            <w:vAlign w:val="center"/>
          </w:tcPr>
          <w:p w14:paraId="7584E49E">
            <w:pPr>
              <w:pStyle w:val="32"/>
              <w:spacing w:after="0"/>
              <w:jc w:val="center"/>
              <w:rPr>
                <w:rFonts w:ascii="Times New Roman"/>
                <w:sz w:val="21"/>
                <w:szCs w:val="21"/>
              </w:rPr>
            </w:pPr>
            <w:r>
              <w:rPr>
                <w:rFonts w:hint="eastAsia" w:ascii="Times New Roman"/>
                <w:sz w:val="21"/>
                <w:szCs w:val="21"/>
              </w:rPr>
              <w:t>喷粉固化</w:t>
            </w:r>
          </w:p>
        </w:tc>
        <w:tc>
          <w:tcPr>
            <w:tcW w:w="527" w:type="pct"/>
            <w:vMerge w:val="restart"/>
            <w:vAlign w:val="center"/>
          </w:tcPr>
          <w:p w14:paraId="674146BE">
            <w:pPr>
              <w:pStyle w:val="32"/>
              <w:spacing w:after="0"/>
              <w:jc w:val="center"/>
              <w:rPr>
                <w:rFonts w:ascii="Times New Roman"/>
                <w:sz w:val="21"/>
                <w:szCs w:val="21"/>
              </w:rPr>
            </w:pPr>
            <w:r>
              <w:rPr>
                <w:rFonts w:hint="eastAsia" w:ascii="Times New Roman"/>
                <w:sz w:val="21"/>
                <w:szCs w:val="21"/>
              </w:rPr>
              <w:t>1500h</w:t>
            </w:r>
          </w:p>
        </w:tc>
        <w:tc>
          <w:tcPr>
            <w:tcW w:w="929" w:type="pct"/>
            <w:vAlign w:val="center"/>
          </w:tcPr>
          <w:p w14:paraId="01C6875A">
            <w:pPr>
              <w:pStyle w:val="32"/>
              <w:spacing w:after="0"/>
              <w:jc w:val="center"/>
              <w:rPr>
                <w:rFonts w:ascii="Times New Roman"/>
                <w:sz w:val="21"/>
                <w:szCs w:val="21"/>
              </w:rPr>
            </w:pPr>
            <w:r>
              <w:rPr>
                <w:rFonts w:ascii="Times New Roman"/>
                <w:sz w:val="21"/>
                <w:szCs w:val="21"/>
              </w:rPr>
              <w:t>底粉固化炉</w:t>
            </w:r>
          </w:p>
        </w:tc>
        <w:tc>
          <w:tcPr>
            <w:tcW w:w="760" w:type="pct"/>
            <w:vAlign w:val="center"/>
          </w:tcPr>
          <w:p w14:paraId="23B62925">
            <w:pPr>
              <w:pStyle w:val="32"/>
              <w:spacing w:after="0"/>
              <w:jc w:val="center"/>
              <w:rPr>
                <w:rFonts w:ascii="Times New Roman"/>
                <w:sz w:val="21"/>
                <w:szCs w:val="21"/>
              </w:rPr>
            </w:pPr>
            <w:r>
              <w:rPr>
                <w:rFonts w:hint="eastAsia" w:ascii="Times New Roman"/>
                <w:sz w:val="21"/>
                <w:szCs w:val="21"/>
              </w:rPr>
              <w:t>60万大卡</w:t>
            </w:r>
          </w:p>
        </w:tc>
        <w:tc>
          <w:tcPr>
            <w:tcW w:w="776" w:type="pct"/>
            <w:vAlign w:val="center"/>
          </w:tcPr>
          <w:p w14:paraId="39BDE499">
            <w:pPr>
              <w:pStyle w:val="32"/>
              <w:spacing w:after="0"/>
              <w:jc w:val="center"/>
              <w:rPr>
                <w:rFonts w:ascii="Times New Roman"/>
                <w:sz w:val="21"/>
                <w:szCs w:val="21"/>
              </w:rPr>
            </w:pPr>
            <w:r>
              <w:rPr>
                <w:rFonts w:hint="eastAsia" w:ascii="Times New Roman"/>
                <w:sz w:val="21"/>
                <w:szCs w:val="21"/>
              </w:rPr>
              <w:t>72</w:t>
            </w:r>
          </w:p>
        </w:tc>
        <w:tc>
          <w:tcPr>
            <w:tcW w:w="756" w:type="pct"/>
            <w:vMerge w:val="restart"/>
            <w:vAlign w:val="center"/>
          </w:tcPr>
          <w:p w14:paraId="7F68D219">
            <w:pPr>
              <w:pStyle w:val="32"/>
              <w:spacing w:after="0"/>
              <w:jc w:val="center"/>
              <w:rPr>
                <w:rFonts w:ascii="Times New Roman"/>
                <w:sz w:val="21"/>
                <w:szCs w:val="21"/>
              </w:rPr>
            </w:pPr>
            <w:r>
              <w:rPr>
                <w:rFonts w:hint="eastAsia" w:ascii="Times New Roman"/>
                <w:sz w:val="21"/>
                <w:szCs w:val="21"/>
              </w:rPr>
              <w:t>34.2</w:t>
            </w:r>
          </w:p>
        </w:tc>
      </w:tr>
      <w:tr w14:paraId="1133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26" w:type="pct"/>
            <w:vMerge w:val="continue"/>
            <w:vAlign w:val="center"/>
          </w:tcPr>
          <w:p w14:paraId="21134E52">
            <w:pPr>
              <w:pStyle w:val="32"/>
              <w:spacing w:after="0"/>
              <w:jc w:val="center"/>
              <w:rPr>
                <w:rFonts w:ascii="Times New Roman"/>
                <w:sz w:val="21"/>
                <w:szCs w:val="21"/>
              </w:rPr>
            </w:pPr>
          </w:p>
        </w:tc>
        <w:tc>
          <w:tcPr>
            <w:tcW w:w="823" w:type="pct"/>
            <w:vMerge w:val="continue"/>
            <w:vAlign w:val="center"/>
          </w:tcPr>
          <w:p w14:paraId="3BD26A2F">
            <w:pPr>
              <w:pStyle w:val="32"/>
              <w:spacing w:after="0"/>
              <w:jc w:val="center"/>
              <w:rPr>
                <w:rFonts w:ascii="Times New Roman"/>
                <w:sz w:val="21"/>
                <w:szCs w:val="21"/>
              </w:rPr>
            </w:pPr>
          </w:p>
        </w:tc>
        <w:tc>
          <w:tcPr>
            <w:tcW w:w="527" w:type="pct"/>
            <w:vMerge w:val="continue"/>
            <w:vAlign w:val="center"/>
          </w:tcPr>
          <w:p w14:paraId="7AB5BAD8">
            <w:pPr>
              <w:pStyle w:val="32"/>
              <w:spacing w:after="0"/>
              <w:jc w:val="center"/>
              <w:rPr>
                <w:rFonts w:ascii="Times New Roman"/>
                <w:sz w:val="21"/>
                <w:szCs w:val="21"/>
              </w:rPr>
            </w:pPr>
          </w:p>
        </w:tc>
        <w:tc>
          <w:tcPr>
            <w:tcW w:w="929" w:type="pct"/>
            <w:vAlign w:val="center"/>
          </w:tcPr>
          <w:p w14:paraId="5167175D">
            <w:pPr>
              <w:pStyle w:val="32"/>
              <w:spacing w:after="0"/>
              <w:jc w:val="center"/>
              <w:rPr>
                <w:rFonts w:ascii="Times New Roman"/>
                <w:sz w:val="21"/>
                <w:szCs w:val="21"/>
              </w:rPr>
            </w:pPr>
            <w:r>
              <w:rPr>
                <w:rFonts w:hint="eastAsia" w:ascii="Times New Roman"/>
                <w:sz w:val="21"/>
                <w:szCs w:val="21"/>
              </w:rPr>
              <w:t>面</w:t>
            </w:r>
            <w:r>
              <w:rPr>
                <w:rFonts w:ascii="Times New Roman"/>
                <w:sz w:val="21"/>
                <w:szCs w:val="21"/>
              </w:rPr>
              <w:t>粉固化炉</w:t>
            </w:r>
          </w:p>
        </w:tc>
        <w:tc>
          <w:tcPr>
            <w:tcW w:w="760" w:type="pct"/>
            <w:vAlign w:val="center"/>
          </w:tcPr>
          <w:p w14:paraId="688C1C3F">
            <w:pPr>
              <w:pStyle w:val="32"/>
              <w:spacing w:after="0"/>
              <w:jc w:val="center"/>
              <w:rPr>
                <w:rFonts w:ascii="Times New Roman"/>
                <w:sz w:val="21"/>
                <w:szCs w:val="21"/>
              </w:rPr>
            </w:pPr>
            <w:r>
              <w:rPr>
                <w:rFonts w:hint="eastAsia" w:ascii="Times New Roman"/>
                <w:sz w:val="21"/>
                <w:szCs w:val="21"/>
              </w:rPr>
              <w:t>130万大卡</w:t>
            </w:r>
          </w:p>
        </w:tc>
        <w:tc>
          <w:tcPr>
            <w:tcW w:w="776" w:type="pct"/>
            <w:vAlign w:val="center"/>
          </w:tcPr>
          <w:p w14:paraId="46690D19">
            <w:pPr>
              <w:pStyle w:val="32"/>
              <w:spacing w:after="0"/>
              <w:jc w:val="center"/>
              <w:rPr>
                <w:rFonts w:ascii="Times New Roman"/>
                <w:sz w:val="21"/>
                <w:szCs w:val="21"/>
              </w:rPr>
            </w:pPr>
            <w:r>
              <w:rPr>
                <w:rFonts w:hint="eastAsia" w:ascii="Times New Roman"/>
                <w:sz w:val="21"/>
                <w:szCs w:val="21"/>
              </w:rPr>
              <w:t>156</w:t>
            </w:r>
          </w:p>
        </w:tc>
        <w:tc>
          <w:tcPr>
            <w:tcW w:w="756" w:type="pct"/>
            <w:vMerge w:val="continue"/>
            <w:vAlign w:val="center"/>
          </w:tcPr>
          <w:p w14:paraId="7CF13449">
            <w:pPr>
              <w:pStyle w:val="32"/>
              <w:spacing w:after="0"/>
              <w:jc w:val="center"/>
              <w:rPr>
                <w:rFonts w:ascii="Times New Roman"/>
                <w:sz w:val="21"/>
                <w:szCs w:val="21"/>
              </w:rPr>
            </w:pPr>
          </w:p>
        </w:tc>
      </w:tr>
      <w:tr w14:paraId="41C3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04E41DDC">
            <w:pPr>
              <w:pStyle w:val="32"/>
              <w:spacing w:after="0"/>
              <w:jc w:val="center"/>
              <w:rPr>
                <w:rFonts w:ascii="Times New Roman"/>
                <w:sz w:val="21"/>
                <w:szCs w:val="21"/>
              </w:rPr>
            </w:pPr>
            <w:r>
              <w:rPr>
                <w:rFonts w:hint="eastAsia" w:ascii="Times New Roman"/>
                <w:sz w:val="21"/>
                <w:szCs w:val="21"/>
              </w:rPr>
              <w:t>8</w:t>
            </w:r>
          </w:p>
        </w:tc>
        <w:tc>
          <w:tcPr>
            <w:tcW w:w="823" w:type="pct"/>
            <w:vAlign w:val="center"/>
          </w:tcPr>
          <w:p w14:paraId="2EC34F02">
            <w:pPr>
              <w:pStyle w:val="32"/>
              <w:spacing w:after="0"/>
              <w:jc w:val="center"/>
              <w:rPr>
                <w:rFonts w:ascii="Times New Roman"/>
                <w:sz w:val="21"/>
                <w:szCs w:val="21"/>
              </w:rPr>
            </w:pPr>
            <w:r>
              <w:rPr>
                <w:rFonts w:hint="eastAsia" w:ascii="Times New Roman"/>
                <w:sz w:val="21"/>
                <w:szCs w:val="21"/>
              </w:rPr>
              <w:t>托辊生产喷粉固化</w:t>
            </w:r>
          </w:p>
        </w:tc>
        <w:tc>
          <w:tcPr>
            <w:tcW w:w="527" w:type="pct"/>
            <w:vAlign w:val="center"/>
          </w:tcPr>
          <w:p w14:paraId="0A75032C">
            <w:pPr>
              <w:pStyle w:val="32"/>
              <w:spacing w:after="0"/>
              <w:jc w:val="center"/>
              <w:rPr>
                <w:rFonts w:ascii="Times New Roman"/>
                <w:sz w:val="21"/>
                <w:szCs w:val="21"/>
              </w:rPr>
            </w:pPr>
            <w:r>
              <w:rPr>
                <w:rFonts w:hint="eastAsia" w:ascii="Times New Roman"/>
                <w:sz w:val="21"/>
                <w:szCs w:val="21"/>
              </w:rPr>
              <w:t>1500h</w:t>
            </w:r>
          </w:p>
        </w:tc>
        <w:tc>
          <w:tcPr>
            <w:tcW w:w="929" w:type="pct"/>
            <w:vAlign w:val="center"/>
          </w:tcPr>
          <w:p w14:paraId="77B5D727">
            <w:pPr>
              <w:pStyle w:val="32"/>
              <w:spacing w:after="0"/>
              <w:jc w:val="center"/>
              <w:rPr>
                <w:rFonts w:ascii="Times New Roman"/>
                <w:sz w:val="21"/>
                <w:szCs w:val="21"/>
              </w:rPr>
            </w:pPr>
            <w:r>
              <w:rPr>
                <w:rFonts w:ascii="Times New Roman"/>
                <w:sz w:val="21"/>
                <w:szCs w:val="21"/>
              </w:rPr>
              <w:t>固化炉</w:t>
            </w:r>
          </w:p>
        </w:tc>
        <w:tc>
          <w:tcPr>
            <w:tcW w:w="760" w:type="pct"/>
            <w:vAlign w:val="center"/>
          </w:tcPr>
          <w:p w14:paraId="2A472FCC">
            <w:pPr>
              <w:pStyle w:val="32"/>
              <w:spacing w:after="0"/>
              <w:jc w:val="center"/>
              <w:rPr>
                <w:rFonts w:ascii="Times New Roman"/>
                <w:sz w:val="21"/>
                <w:szCs w:val="21"/>
              </w:rPr>
            </w:pPr>
            <w:r>
              <w:rPr>
                <w:rFonts w:hint="eastAsia" w:ascii="Times New Roman"/>
                <w:sz w:val="21"/>
                <w:szCs w:val="21"/>
              </w:rPr>
              <w:t>50万大卡</w:t>
            </w:r>
          </w:p>
        </w:tc>
        <w:tc>
          <w:tcPr>
            <w:tcW w:w="776" w:type="pct"/>
            <w:vAlign w:val="center"/>
          </w:tcPr>
          <w:p w14:paraId="2B7E0580">
            <w:pPr>
              <w:pStyle w:val="32"/>
              <w:spacing w:after="0"/>
              <w:jc w:val="center"/>
              <w:rPr>
                <w:rFonts w:ascii="Times New Roman"/>
                <w:sz w:val="21"/>
                <w:szCs w:val="21"/>
              </w:rPr>
            </w:pPr>
            <w:r>
              <w:rPr>
                <w:rFonts w:hint="eastAsia" w:ascii="Times New Roman"/>
                <w:sz w:val="21"/>
                <w:szCs w:val="21"/>
              </w:rPr>
              <w:t>60</w:t>
            </w:r>
          </w:p>
        </w:tc>
        <w:tc>
          <w:tcPr>
            <w:tcW w:w="756" w:type="pct"/>
            <w:vAlign w:val="center"/>
          </w:tcPr>
          <w:p w14:paraId="2E59C3AB">
            <w:pPr>
              <w:pStyle w:val="32"/>
              <w:spacing w:after="0"/>
              <w:jc w:val="center"/>
              <w:rPr>
                <w:rFonts w:ascii="Times New Roman"/>
                <w:sz w:val="21"/>
                <w:szCs w:val="21"/>
              </w:rPr>
            </w:pPr>
            <w:r>
              <w:rPr>
                <w:rFonts w:hint="eastAsia" w:ascii="Times New Roman"/>
                <w:sz w:val="21"/>
                <w:szCs w:val="21"/>
              </w:rPr>
              <w:t>9</w:t>
            </w:r>
          </w:p>
        </w:tc>
      </w:tr>
      <w:tr w14:paraId="54E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70029FEB">
            <w:pPr>
              <w:pStyle w:val="32"/>
              <w:spacing w:after="0"/>
              <w:jc w:val="center"/>
              <w:rPr>
                <w:rFonts w:ascii="Times New Roman"/>
                <w:sz w:val="21"/>
                <w:szCs w:val="21"/>
              </w:rPr>
            </w:pPr>
            <w:r>
              <w:rPr>
                <w:rFonts w:hint="eastAsia" w:ascii="Times New Roman"/>
                <w:sz w:val="21"/>
                <w:szCs w:val="21"/>
              </w:rPr>
              <w:t>9</w:t>
            </w:r>
          </w:p>
        </w:tc>
        <w:tc>
          <w:tcPr>
            <w:tcW w:w="823" w:type="pct"/>
            <w:vAlign w:val="center"/>
          </w:tcPr>
          <w:p w14:paraId="098CB73F">
            <w:pPr>
              <w:pStyle w:val="32"/>
              <w:spacing w:after="0"/>
              <w:jc w:val="center"/>
              <w:rPr>
                <w:rFonts w:ascii="Times New Roman"/>
                <w:sz w:val="21"/>
                <w:szCs w:val="21"/>
              </w:rPr>
            </w:pPr>
            <w:r>
              <w:rPr>
                <w:rFonts w:hint="eastAsia" w:ascii="Times New Roman"/>
                <w:sz w:val="21"/>
                <w:szCs w:val="21"/>
              </w:rPr>
              <w:t>RTO焚烧</w:t>
            </w:r>
          </w:p>
        </w:tc>
        <w:tc>
          <w:tcPr>
            <w:tcW w:w="527" w:type="pct"/>
            <w:vAlign w:val="center"/>
          </w:tcPr>
          <w:p w14:paraId="0896EAB8">
            <w:pPr>
              <w:pStyle w:val="32"/>
              <w:spacing w:after="0"/>
              <w:jc w:val="center"/>
              <w:rPr>
                <w:rFonts w:ascii="Times New Roman"/>
                <w:sz w:val="21"/>
                <w:szCs w:val="21"/>
              </w:rPr>
            </w:pPr>
            <w:r>
              <w:rPr>
                <w:rFonts w:hint="eastAsia" w:ascii="Times New Roman"/>
                <w:sz w:val="21"/>
                <w:szCs w:val="21"/>
              </w:rPr>
              <w:t>3000h</w:t>
            </w:r>
          </w:p>
        </w:tc>
        <w:tc>
          <w:tcPr>
            <w:tcW w:w="929" w:type="pct"/>
            <w:vAlign w:val="center"/>
          </w:tcPr>
          <w:p w14:paraId="26E657CF">
            <w:pPr>
              <w:pStyle w:val="32"/>
              <w:spacing w:after="0"/>
              <w:jc w:val="center"/>
              <w:rPr>
                <w:rFonts w:ascii="Times New Roman"/>
                <w:sz w:val="21"/>
                <w:szCs w:val="21"/>
              </w:rPr>
            </w:pPr>
            <w:r>
              <w:rPr>
                <w:rFonts w:hint="eastAsia" w:ascii="Times New Roman"/>
                <w:sz w:val="21"/>
                <w:szCs w:val="21"/>
              </w:rPr>
              <w:t>焚烧炉</w:t>
            </w:r>
          </w:p>
        </w:tc>
        <w:tc>
          <w:tcPr>
            <w:tcW w:w="760" w:type="pct"/>
            <w:vAlign w:val="center"/>
          </w:tcPr>
          <w:p w14:paraId="5FC11800">
            <w:pPr>
              <w:pStyle w:val="32"/>
              <w:spacing w:after="0"/>
              <w:jc w:val="center"/>
              <w:rPr>
                <w:rFonts w:ascii="Times New Roman"/>
                <w:sz w:val="21"/>
                <w:szCs w:val="21"/>
              </w:rPr>
            </w:pPr>
            <w:r>
              <w:rPr>
                <w:rFonts w:hint="eastAsia" w:ascii="Times New Roman"/>
                <w:sz w:val="21"/>
                <w:szCs w:val="21"/>
              </w:rPr>
              <w:t>40万大卡</w:t>
            </w:r>
          </w:p>
        </w:tc>
        <w:tc>
          <w:tcPr>
            <w:tcW w:w="776" w:type="pct"/>
            <w:vAlign w:val="center"/>
          </w:tcPr>
          <w:p w14:paraId="18844986">
            <w:pPr>
              <w:pStyle w:val="32"/>
              <w:spacing w:after="0"/>
              <w:jc w:val="center"/>
              <w:rPr>
                <w:rFonts w:ascii="Times New Roman"/>
                <w:sz w:val="21"/>
                <w:szCs w:val="21"/>
              </w:rPr>
            </w:pPr>
            <w:r>
              <w:rPr>
                <w:rFonts w:hint="eastAsia" w:ascii="Times New Roman"/>
                <w:sz w:val="21"/>
                <w:szCs w:val="21"/>
              </w:rPr>
              <w:t>48</w:t>
            </w:r>
          </w:p>
        </w:tc>
        <w:tc>
          <w:tcPr>
            <w:tcW w:w="756" w:type="pct"/>
            <w:vAlign w:val="center"/>
          </w:tcPr>
          <w:p w14:paraId="0103D97A">
            <w:pPr>
              <w:pStyle w:val="32"/>
              <w:spacing w:after="0"/>
              <w:jc w:val="center"/>
              <w:rPr>
                <w:rFonts w:ascii="Times New Roman"/>
                <w:sz w:val="21"/>
                <w:szCs w:val="21"/>
              </w:rPr>
            </w:pPr>
            <w:r>
              <w:rPr>
                <w:rFonts w:hint="eastAsia" w:ascii="Times New Roman"/>
                <w:sz w:val="21"/>
                <w:szCs w:val="21"/>
              </w:rPr>
              <w:t>14.4</w:t>
            </w:r>
          </w:p>
        </w:tc>
      </w:tr>
      <w:tr w14:paraId="70F1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62C1A9D3">
            <w:pPr>
              <w:pStyle w:val="32"/>
              <w:spacing w:after="0"/>
              <w:jc w:val="center"/>
              <w:rPr>
                <w:rFonts w:ascii="Times New Roman"/>
                <w:sz w:val="21"/>
                <w:szCs w:val="21"/>
              </w:rPr>
            </w:pPr>
            <w:r>
              <w:rPr>
                <w:rFonts w:hint="eastAsia" w:ascii="Times New Roman"/>
                <w:sz w:val="21"/>
                <w:szCs w:val="21"/>
              </w:rPr>
              <w:t>10</w:t>
            </w:r>
          </w:p>
        </w:tc>
        <w:tc>
          <w:tcPr>
            <w:tcW w:w="823" w:type="pct"/>
            <w:vAlign w:val="center"/>
          </w:tcPr>
          <w:p w14:paraId="699F168E">
            <w:pPr>
              <w:pStyle w:val="32"/>
              <w:spacing w:after="0"/>
              <w:jc w:val="center"/>
              <w:rPr>
                <w:rFonts w:ascii="Times New Roman"/>
                <w:sz w:val="21"/>
                <w:szCs w:val="21"/>
              </w:rPr>
            </w:pPr>
            <w:r>
              <w:rPr>
                <w:rFonts w:hint="eastAsia" w:ascii="Times New Roman"/>
                <w:sz w:val="21"/>
                <w:szCs w:val="21"/>
              </w:rPr>
              <w:t>食堂</w:t>
            </w:r>
          </w:p>
        </w:tc>
        <w:tc>
          <w:tcPr>
            <w:tcW w:w="527" w:type="pct"/>
            <w:vAlign w:val="center"/>
          </w:tcPr>
          <w:p w14:paraId="25B2C7DD">
            <w:pPr>
              <w:pStyle w:val="32"/>
              <w:spacing w:after="0"/>
              <w:jc w:val="center"/>
              <w:rPr>
                <w:rFonts w:ascii="Times New Roman"/>
                <w:sz w:val="21"/>
                <w:szCs w:val="21"/>
              </w:rPr>
            </w:pPr>
            <w:r>
              <w:rPr>
                <w:rFonts w:hint="eastAsia" w:ascii="Times New Roman"/>
                <w:sz w:val="21"/>
                <w:szCs w:val="21"/>
              </w:rPr>
              <w:t>1800h</w:t>
            </w:r>
          </w:p>
        </w:tc>
        <w:tc>
          <w:tcPr>
            <w:tcW w:w="929" w:type="pct"/>
            <w:vAlign w:val="center"/>
          </w:tcPr>
          <w:p w14:paraId="5D9097BE">
            <w:pPr>
              <w:pStyle w:val="32"/>
              <w:spacing w:after="0"/>
              <w:jc w:val="center"/>
              <w:rPr>
                <w:rFonts w:ascii="Times New Roman"/>
                <w:sz w:val="21"/>
                <w:szCs w:val="21"/>
              </w:rPr>
            </w:pPr>
            <w:r>
              <w:rPr>
                <w:rFonts w:hint="eastAsia" w:ascii="Times New Roman"/>
                <w:sz w:val="21"/>
                <w:szCs w:val="21"/>
              </w:rPr>
              <w:t>/</w:t>
            </w:r>
          </w:p>
        </w:tc>
        <w:tc>
          <w:tcPr>
            <w:tcW w:w="760" w:type="pct"/>
            <w:vAlign w:val="center"/>
          </w:tcPr>
          <w:p w14:paraId="67FAF93A">
            <w:pPr>
              <w:pStyle w:val="32"/>
              <w:spacing w:after="0"/>
              <w:jc w:val="center"/>
              <w:rPr>
                <w:rFonts w:ascii="Times New Roman"/>
                <w:sz w:val="21"/>
                <w:szCs w:val="21"/>
              </w:rPr>
            </w:pPr>
            <w:r>
              <w:rPr>
                <w:rFonts w:hint="eastAsia" w:ascii="Times New Roman"/>
                <w:sz w:val="21"/>
                <w:szCs w:val="21"/>
              </w:rPr>
              <w:t>/</w:t>
            </w:r>
          </w:p>
        </w:tc>
        <w:tc>
          <w:tcPr>
            <w:tcW w:w="776" w:type="pct"/>
            <w:vAlign w:val="center"/>
          </w:tcPr>
          <w:p w14:paraId="7E63D6E9">
            <w:pPr>
              <w:pStyle w:val="32"/>
              <w:spacing w:after="0"/>
              <w:jc w:val="center"/>
              <w:rPr>
                <w:rFonts w:ascii="Times New Roman"/>
                <w:sz w:val="21"/>
                <w:szCs w:val="21"/>
              </w:rPr>
            </w:pPr>
            <w:r>
              <w:rPr>
                <w:rFonts w:hint="eastAsia" w:ascii="Times New Roman"/>
                <w:sz w:val="21"/>
                <w:szCs w:val="21"/>
              </w:rPr>
              <w:t>24</w:t>
            </w:r>
          </w:p>
        </w:tc>
        <w:tc>
          <w:tcPr>
            <w:tcW w:w="756" w:type="pct"/>
            <w:vAlign w:val="center"/>
          </w:tcPr>
          <w:p w14:paraId="365E1415">
            <w:pPr>
              <w:pStyle w:val="32"/>
              <w:spacing w:after="0"/>
              <w:jc w:val="center"/>
              <w:rPr>
                <w:rFonts w:ascii="Times New Roman"/>
                <w:sz w:val="21"/>
                <w:szCs w:val="21"/>
              </w:rPr>
            </w:pPr>
            <w:r>
              <w:rPr>
                <w:rFonts w:hint="eastAsia" w:ascii="Times New Roman"/>
                <w:sz w:val="21"/>
                <w:szCs w:val="21"/>
              </w:rPr>
              <w:t>4.32</w:t>
            </w:r>
          </w:p>
        </w:tc>
      </w:tr>
    </w:tbl>
    <w:p w14:paraId="22011C0A">
      <w:pPr>
        <w:spacing w:line="360" w:lineRule="auto"/>
        <w:ind w:firstLine="602" w:firstLineChars="200"/>
        <w:rPr>
          <w:rFonts w:ascii="Times New Roman"/>
          <w:b/>
          <w:sz w:val="30"/>
          <w:szCs w:val="30"/>
        </w:rPr>
      </w:pPr>
      <w:r>
        <w:rPr>
          <w:rFonts w:ascii="Times New Roman"/>
          <w:b/>
          <w:sz w:val="30"/>
          <w:szCs w:val="30"/>
        </w:rPr>
        <w:br w:type="page"/>
      </w:r>
    </w:p>
    <w:p w14:paraId="613BE36A">
      <w:pPr>
        <w:widowControl/>
        <w:spacing w:line="520" w:lineRule="exact"/>
        <w:jc w:val="left"/>
        <w:outlineLvl w:val="1"/>
        <w:rPr>
          <w:rFonts w:ascii="Times New Roman"/>
          <w:b/>
          <w:snapToGrid w:val="0"/>
          <w:sz w:val="32"/>
          <w:szCs w:val="32"/>
        </w:rPr>
      </w:pPr>
      <w:bookmarkStart w:id="118" w:name="_Toc32362"/>
      <w:r>
        <w:rPr>
          <w:rFonts w:ascii="Times New Roman"/>
          <w:b/>
          <w:sz w:val="30"/>
          <w:szCs w:val="30"/>
        </w:rPr>
        <w:t>3.7生产工艺流程及主要污染物</w:t>
      </w:r>
      <w:bookmarkEnd w:id="114"/>
      <w:bookmarkEnd w:id="115"/>
      <w:bookmarkEnd w:id="116"/>
      <w:bookmarkEnd w:id="117"/>
      <w:bookmarkEnd w:id="118"/>
    </w:p>
    <w:p w14:paraId="5F449991">
      <w:pPr>
        <w:tabs>
          <w:tab w:val="left" w:pos="7560"/>
        </w:tabs>
        <w:spacing w:line="360" w:lineRule="auto"/>
        <w:ind w:firstLine="480" w:firstLineChars="200"/>
        <w:rPr>
          <w:rFonts w:ascii="Times New Roman"/>
          <w:sz w:val="24"/>
          <w:szCs w:val="20"/>
        </w:rPr>
      </w:pPr>
      <w:bookmarkStart w:id="119" w:name="_Toc246763533"/>
      <w:bookmarkStart w:id="120" w:name="_Toc217011949"/>
      <w:r>
        <w:rPr>
          <w:rFonts w:ascii="Times New Roman"/>
          <w:sz w:val="24"/>
          <w:szCs w:val="20"/>
        </w:rPr>
        <w:t>项目产品主要为</w:t>
      </w:r>
      <w:r>
        <w:rPr>
          <w:rFonts w:ascii="Times New Roman"/>
          <w:szCs w:val="24"/>
        </w:rPr>
        <w:t>数字孪生智能输送机，</w:t>
      </w:r>
      <w:r>
        <w:rPr>
          <w:rFonts w:ascii="Times New Roman"/>
          <w:sz w:val="24"/>
          <w:szCs w:val="20"/>
        </w:rPr>
        <w:t>主要使用原钢材料（板钢、型钢等）生产</w:t>
      </w:r>
      <w:r>
        <w:rPr>
          <w:rFonts w:ascii="Times New Roman"/>
          <w:sz w:val="24"/>
          <w:szCs w:val="24"/>
        </w:rPr>
        <w:t>滚筒、桁架、栈桥、头尾架、托辊横梁、中间架、支腿、漏斗、溜管、导料槽、驱动架、转运站、拉紧系统、辊子</w:t>
      </w:r>
      <w:r>
        <w:rPr>
          <w:rFonts w:ascii="Times New Roman"/>
          <w:sz w:val="24"/>
          <w:szCs w:val="20"/>
        </w:rPr>
        <w:t>等</w:t>
      </w:r>
      <w:r>
        <w:rPr>
          <w:rFonts w:ascii="Times New Roman"/>
          <w:sz w:val="24"/>
          <w:szCs w:val="24"/>
        </w:rPr>
        <w:t>钢结构件</w:t>
      </w:r>
      <w:r>
        <w:rPr>
          <w:rFonts w:ascii="Times New Roman"/>
          <w:sz w:val="24"/>
          <w:szCs w:val="20"/>
        </w:rPr>
        <w:t>，滚筒、头尾架、托辊横梁（部分）、导料槽、拉紧系统（部分）</w:t>
      </w:r>
      <w:r>
        <w:rPr>
          <w:rFonts w:hint="eastAsia" w:ascii="Times New Roman"/>
          <w:sz w:val="24"/>
          <w:szCs w:val="20"/>
        </w:rPr>
        <w:t>等零部件需要部装，成品为外售后现场组装</w:t>
      </w:r>
      <w:r>
        <w:rPr>
          <w:rFonts w:ascii="Times New Roman"/>
          <w:sz w:val="24"/>
          <w:szCs w:val="20"/>
        </w:rPr>
        <w:t>。</w:t>
      </w:r>
    </w:p>
    <w:p w14:paraId="1B04F2B7">
      <w:pPr>
        <w:spacing w:line="360" w:lineRule="auto"/>
        <w:ind w:firstLine="480" w:firstLineChars="200"/>
        <w:rPr>
          <w:rFonts w:ascii="Times New Roman"/>
          <w:sz w:val="24"/>
          <w:szCs w:val="24"/>
        </w:rPr>
      </w:pPr>
      <w:r>
        <w:rPr>
          <w:rFonts w:ascii="Times New Roman"/>
          <w:sz w:val="24"/>
          <w:szCs w:val="24"/>
        </w:rPr>
        <w:t>生产过程主要包括全自动下料、全自动焊接、表面处理（电泳、喷砂、喷漆、喷塑）、滚筒加工、热处理、检验入库等工序。</w:t>
      </w:r>
    </w:p>
    <w:p w14:paraId="5C5A0223">
      <w:pPr>
        <w:tabs>
          <w:tab w:val="left" w:pos="7560"/>
        </w:tabs>
        <w:spacing w:line="360" w:lineRule="auto"/>
        <w:ind w:firstLine="480" w:firstLineChars="200"/>
        <w:rPr>
          <w:rFonts w:ascii="Times New Roman"/>
          <w:sz w:val="24"/>
          <w:szCs w:val="20"/>
        </w:rPr>
      </w:pPr>
      <w:r>
        <w:rPr>
          <w:rFonts w:ascii="Times New Roman"/>
          <w:sz w:val="24"/>
          <w:szCs w:val="24"/>
        </w:rPr>
        <w:t>下料主要分为两部分，其中型钢下料中心进行工件切割、冲剪、弯管处理；板材下料中心进行工件切割、打磨等操作。焊接工序主要为结构件的焊接。滚筒工序主要为机加工、组装、打磨。热处理主要对工件进行淬火/油处理。表面处理主要为电泳、喷砂、喷漆、喷塑，进行电泳和预处理后的工件，部分进行喷漆，部分进行喷塑。检验主要为物理检测，使用划格器、光泽度仪、色差仪、测厚仪、激光跟踪仪、自动摄影测量仪、微波频谱仪进行工件抽检，合格后入库待售。</w:t>
      </w:r>
    </w:p>
    <w:p w14:paraId="7B045DA8">
      <w:pPr>
        <w:spacing w:line="360" w:lineRule="auto"/>
        <w:outlineLvl w:val="2"/>
        <w:rPr>
          <w:rFonts w:ascii="Times New Roman"/>
          <w:b/>
          <w:sz w:val="28"/>
          <w:szCs w:val="28"/>
        </w:rPr>
      </w:pPr>
      <w:r>
        <w:rPr>
          <w:rFonts w:ascii="Times New Roman"/>
          <w:b/>
          <w:sz w:val="28"/>
          <w:szCs w:val="28"/>
        </w:rPr>
        <w:t>3.7.1下料</w:t>
      </w:r>
      <w:r>
        <w:rPr>
          <w:rFonts w:hint="eastAsia" w:ascii="Times New Roman"/>
          <w:b/>
          <w:sz w:val="28"/>
          <w:szCs w:val="28"/>
        </w:rPr>
        <w:t>生产线</w:t>
      </w:r>
    </w:p>
    <w:p w14:paraId="3A00C355">
      <w:pPr>
        <w:tabs>
          <w:tab w:val="left" w:pos="7560"/>
        </w:tabs>
        <w:spacing w:line="360" w:lineRule="auto"/>
        <w:ind w:firstLine="480" w:firstLineChars="200"/>
        <w:rPr>
          <w:rFonts w:ascii="Times New Roman"/>
          <w:sz w:val="24"/>
          <w:szCs w:val="24"/>
        </w:rPr>
      </w:pPr>
      <w:r>
        <w:rPr>
          <w:rFonts w:ascii="Times New Roman"/>
          <w:sz w:val="24"/>
          <w:szCs w:val="24"/>
        </w:rPr>
        <w:t>1.原料堆存、出库</w:t>
      </w:r>
    </w:p>
    <w:p w14:paraId="30F17230">
      <w:pPr>
        <w:tabs>
          <w:tab w:val="left" w:pos="7560"/>
        </w:tabs>
        <w:spacing w:line="360" w:lineRule="auto"/>
        <w:ind w:firstLine="480" w:firstLineChars="200"/>
        <w:rPr>
          <w:rFonts w:ascii="Times New Roman"/>
          <w:sz w:val="24"/>
          <w:szCs w:val="24"/>
        </w:rPr>
      </w:pPr>
      <w:r>
        <w:rPr>
          <w:rFonts w:ascii="Times New Roman"/>
          <w:sz w:val="24"/>
          <w:szCs w:val="24"/>
        </w:rPr>
        <w:t>货运汽车运入原材料存放区，采用桥式起重机完成卸料。板材通过智能行车与对中装置，按照库位码垛在智能化板材库。中小规格尺寸的型钢进入立库存放，其余规格的型钢通过平库存放。板材的厚度、板幅等信息通过对中装置尺寸检测装置检测后，向中控报工并录入系统。生产任务下发后，智能化板材库自动识别所需板材所在库位的位置，自动计算吊运路径，通过智能行车完成板材的自动倒库、出库。</w:t>
      </w:r>
    </w:p>
    <w:p w14:paraId="52705DD0">
      <w:pPr>
        <w:tabs>
          <w:tab w:val="left" w:pos="7560"/>
        </w:tabs>
        <w:spacing w:line="360" w:lineRule="auto"/>
        <w:ind w:firstLine="480" w:firstLineChars="200"/>
        <w:rPr>
          <w:rFonts w:ascii="Times New Roman"/>
          <w:sz w:val="24"/>
          <w:szCs w:val="24"/>
        </w:rPr>
      </w:pPr>
      <w:r>
        <w:rPr>
          <w:rFonts w:ascii="Times New Roman"/>
          <w:sz w:val="24"/>
          <w:szCs w:val="24"/>
        </w:rPr>
        <w:t>2.下料</w:t>
      </w:r>
    </w:p>
    <w:p w14:paraId="46386BCC">
      <w:pPr>
        <w:tabs>
          <w:tab w:val="left" w:pos="7560"/>
        </w:tabs>
        <w:spacing w:line="360" w:lineRule="auto"/>
        <w:ind w:firstLine="480" w:firstLineChars="200"/>
        <w:rPr>
          <w:rFonts w:ascii="Times New Roman"/>
          <w:sz w:val="24"/>
          <w:szCs w:val="24"/>
        </w:rPr>
      </w:pPr>
      <w:r>
        <w:rPr>
          <w:rFonts w:ascii="Times New Roman"/>
          <w:sz w:val="24"/>
          <w:szCs w:val="24"/>
        </w:rPr>
        <w:t>①板材</w:t>
      </w:r>
    </w:p>
    <w:p w14:paraId="1C180818">
      <w:pPr>
        <w:tabs>
          <w:tab w:val="left" w:pos="7560"/>
        </w:tabs>
        <w:spacing w:line="360" w:lineRule="auto"/>
        <w:ind w:firstLine="480" w:firstLineChars="200"/>
        <w:rPr>
          <w:rFonts w:ascii="Times New Roman"/>
          <w:sz w:val="24"/>
          <w:szCs w:val="24"/>
        </w:rPr>
      </w:pPr>
      <w:r>
        <w:rPr>
          <w:rFonts w:ascii="Times New Roman"/>
          <w:sz w:val="24"/>
          <w:szCs w:val="24"/>
        </w:rPr>
        <w:t>板材通过智能行车运至切割机，根据需求进行切割。项目板材切割</w:t>
      </w:r>
      <w:r>
        <w:rPr>
          <w:rFonts w:hint="eastAsia" w:ascii="Times New Roman"/>
          <w:sz w:val="24"/>
          <w:szCs w:val="24"/>
        </w:rPr>
        <w:t>主要采取</w:t>
      </w:r>
      <w:r>
        <w:rPr>
          <w:rFonts w:ascii="Times New Roman"/>
          <w:sz w:val="24"/>
          <w:szCs w:val="24"/>
        </w:rPr>
        <w:t>激光切割工艺。经激光切割后的钢板采用关节机械手和桁架机械手，自动完成切割件的分拣码垛。切割完成后送入校正、冲压成型作业区进行压型、折弯等焊前加工处理。</w:t>
      </w:r>
    </w:p>
    <w:p w14:paraId="23F8FE37">
      <w:pPr>
        <w:tabs>
          <w:tab w:val="left" w:pos="7560"/>
        </w:tabs>
        <w:spacing w:line="360" w:lineRule="auto"/>
        <w:ind w:firstLine="480" w:firstLineChars="200"/>
        <w:rPr>
          <w:rFonts w:ascii="Times New Roman"/>
          <w:sz w:val="24"/>
          <w:szCs w:val="24"/>
        </w:rPr>
      </w:pPr>
      <w:r>
        <w:rPr>
          <w:rFonts w:ascii="Times New Roman"/>
          <w:sz w:val="24"/>
          <w:szCs w:val="24"/>
        </w:rPr>
        <w:t>②型钢</w:t>
      </w:r>
    </w:p>
    <w:p w14:paraId="059869A4">
      <w:pPr>
        <w:tabs>
          <w:tab w:val="left" w:pos="7560"/>
        </w:tabs>
        <w:spacing w:line="360" w:lineRule="auto"/>
        <w:ind w:firstLine="480" w:firstLineChars="200"/>
        <w:rPr>
          <w:rFonts w:ascii="Times New Roman"/>
          <w:sz w:val="24"/>
          <w:szCs w:val="24"/>
        </w:rPr>
      </w:pPr>
      <w:r>
        <w:rPr>
          <w:rFonts w:ascii="Times New Roman"/>
          <w:sz w:val="24"/>
          <w:szCs w:val="24"/>
        </w:rPr>
        <w:t>型钢由天车送入下料区，根据型钢种类及需求选用激光、锯切、冲剪等不同形式下料方式，下料完成后送入校正、冲压成型作业区进行弯管等焊前加工处理。</w:t>
      </w:r>
    </w:p>
    <w:p w14:paraId="21E3EA20">
      <w:pPr>
        <w:tabs>
          <w:tab w:val="left" w:pos="7560"/>
        </w:tabs>
        <w:spacing w:line="360" w:lineRule="auto"/>
        <w:jc w:val="center"/>
        <w:rPr>
          <w:rFonts w:ascii="Times New Roman"/>
        </w:rPr>
      </w:pPr>
      <w:r>
        <w:rPr>
          <w:rFonts w:ascii="Times New Roman"/>
        </w:rPr>
        <w:drawing>
          <wp:inline distT="0" distB="0" distL="114300" distR="114300">
            <wp:extent cx="4961255" cy="2164080"/>
            <wp:effectExtent l="0" t="0" r="10795" b="7620"/>
            <wp:docPr id="3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2"/>
                    <pic:cNvPicPr>
                      <a:picLocks noChangeAspect="1"/>
                    </pic:cNvPicPr>
                  </pic:nvPicPr>
                  <pic:blipFill>
                    <a:blip r:embed="rId38" cstate="print"/>
                    <a:stretch>
                      <a:fillRect/>
                    </a:stretch>
                  </pic:blipFill>
                  <pic:spPr>
                    <a:xfrm>
                      <a:off x="0" y="0"/>
                      <a:ext cx="4961255" cy="2164080"/>
                    </a:xfrm>
                    <a:prstGeom prst="rect">
                      <a:avLst/>
                    </a:prstGeom>
                    <a:noFill/>
                    <a:ln>
                      <a:noFill/>
                    </a:ln>
                  </pic:spPr>
                </pic:pic>
              </a:graphicData>
            </a:graphic>
          </wp:inline>
        </w:drawing>
      </w:r>
    </w:p>
    <w:p w14:paraId="2E4242BA">
      <w:pPr>
        <w:spacing w:line="0" w:lineRule="atLeast"/>
        <w:jc w:val="center"/>
        <w:rPr>
          <w:rFonts w:ascii="Times New Roman"/>
          <w:b/>
          <w:sz w:val="24"/>
          <w:szCs w:val="20"/>
        </w:rPr>
      </w:pPr>
      <w:r>
        <w:rPr>
          <w:rFonts w:ascii="Times New Roman"/>
          <w:b/>
          <w:sz w:val="24"/>
          <w:szCs w:val="20"/>
        </w:rPr>
        <w:t xml:space="preserve">图3.7-1  </w:t>
      </w:r>
      <w:r>
        <w:rPr>
          <w:rFonts w:ascii="Times New Roman"/>
          <w:b/>
          <w:bCs/>
        </w:rPr>
        <w:t>下料</w:t>
      </w:r>
      <w:r>
        <w:rPr>
          <w:rFonts w:hint="eastAsia" w:ascii="Times New Roman"/>
          <w:b/>
          <w:bCs/>
        </w:rPr>
        <w:t>生产线</w:t>
      </w:r>
      <w:r>
        <w:rPr>
          <w:rFonts w:ascii="Times New Roman"/>
          <w:b/>
          <w:bCs/>
        </w:rPr>
        <w:t>工艺流程及排污节点示意图</w:t>
      </w:r>
    </w:p>
    <w:p w14:paraId="2971F35C">
      <w:pPr>
        <w:tabs>
          <w:tab w:val="left" w:pos="7560"/>
        </w:tabs>
        <w:spacing w:line="360" w:lineRule="auto"/>
        <w:ind w:firstLine="482" w:firstLineChars="200"/>
        <w:rPr>
          <w:rFonts w:ascii="Times New Roman"/>
          <w:b/>
          <w:sz w:val="24"/>
          <w:szCs w:val="20"/>
        </w:rPr>
      </w:pPr>
      <w:r>
        <w:rPr>
          <w:rFonts w:ascii="Times New Roman"/>
          <w:b/>
          <w:sz w:val="24"/>
          <w:szCs w:val="20"/>
        </w:rPr>
        <w:t>该工艺排污节点为：</w:t>
      </w:r>
      <w:r>
        <w:rPr>
          <w:rFonts w:ascii="Times New Roman"/>
          <w:b/>
          <w:kern w:val="0"/>
          <w:sz w:val="24"/>
          <w:szCs w:val="24"/>
        </w:rPr>
        <w:t>切割机</w:t>
      </w:r>
      <w:r>
        <w:rPr>
          <w:rFonts w:ascii="Times New Roman"/>
          <w:b/>
          <w:sz w:val="24"/>
          <w:szCs w:val="20"/>
        </w:rPr>
        <w:t>工作过程产生的下料烟尘（G1）；设备运行噪声（N）；下料过程产生的钢材边角料（S1）。</w:t>
      </w:r>
    </w:p>
    <w:p w14:paraId="6BECC412">
      <w:pPr>
        <w:spacing w:line="360" w:lineRule="auto"/>
        <w:outlineLvl w:val="2"/>
        <w:rPr>
          <w:rFonts w:ascii="Times New Roman"/>
          <w:b/>
          <w:sz w:val="28"/>
          <w:szCs w:val="28"/>
        </w:rPr>
      </w:pPr>
      <w:r>
        <w:rPr>
          <w:rFonts w:ascii="Times New Roman"/>
          <w:b/>
          <w:sz w:val="28"/>
          <w:szCs w:val="28"/>
        </w:rPr>
        <w:t>3.7.2焊接</w:t>
      </w:r>
      <w:r>
        <w:rPr>
          <w:rFonts w:hint="eastAsia" w:ascii="Times New Roman"/>
          <w:b/>
          <w:sz w:val="28"/>
          <w:szCs w:val="28"/>
        </w:rPr>
        <w:t>生产线</w:t>
      </w:r>
    </w:p>
    <w:p w14:paraId="423BA3B3">
      <w:pPr>
        <w:numPr>
          <w:ilvl w:val="0"/>
          <w:numId w:val="11"/>
        </w:numPr>
        <w:spacing w:line="360" w:lineRule="auto"/>
        <w:ind w:firstLine="480" w:firstLineChars="200"/>
        <w:rPr>
          <w:rFonts w:ascii="Times New Roman"/>
          <w:sz w:val="24"/>
          <w:szCs w:val="24"/>
        </w:rPr>
      </w:pPr>
      <w:r>
        <w:rPr>
          <w:rFonts w:ascii="Times New Roman"/>
          <w:sz w:val="24"/>
          <w:szCs w:val="24"/>
        </w:rPr>
        <w:t>焊接</w:t>
      </w:r>
      <w:r>
        <w:rPr>
          <w:rFonts w:hint="eastAsia" w:ascii="Times New Roman"/>
          <w:sz w:val="24"/>
          <w:szCs w:val="24"/>
        </w:rPr>
        <w:t>生产线</w:t>
      </w:r>
    </w:p>
    <w:p w14:paraId="0FA84D4F">
      <w:pPr>
        <w:tabs>
          <w:tab w:val="left" w:pos="7560"/>
        </w:tabs>
        <w:spacing w:line="360" w:lineRule="auto"/>
        <w:ind w:firstLine="480" w:firstLineChars="200"/>
        <w:rPr>
          <w:rFonts w:ascii="Times New Roman"/>
          <w:sz w:val="24"/>
          <w:szCs w:val="24"/>
        </w:rPr>
      </w:pPr>
      <w:r>
        <w:rPr>
          <w:rFonts w:ascii="Times New Roman"/>
          <w:sz w:val="24"/>
          <w:szCs w:val="24"/>
        </w:rPr>
        <w:t>板材、型钢经过下料后，由天车转运至焊接区进行结构件的拼装、焊接。</w:t>
      </w:r>
    </w:p>
    <w:p w14:paraId="4A478043">
      <w:pPr>
        <w:tabs>
          <w:tab w:val="left" w:pos="7560"/>
        </w:tabs>
        <w:spacing w:line="360" w:lineRule="auto"/>
        <w:ind w:firstLine="480" w:firstLineChars="200"/>
        <w:rPr>
          <w:rFonts w:ascii="Times New Roman"/>
          <w:sz w:val="24"/>
          <w:szCs w:val="24"/>
        </w:rPr>
      </w:pPr>
      <w:r>
        <w:rPr>
          <w:rFonts w:ascii="Times New Roman"/>
          <w:sz w:val="24"/>
          <w:szCs w:val="24"/>
        </w:rPr>
        <w:t>1.桁架类结构件（桁架、栈桥等）</w:t>
      </w:r>
    </w:p>
    <w:p w14:paraId="6C013761">
      <w:pPr>
        <w:tabs>
          <w:tab w:val="left" w:pos="7560"/>
        </w:tabs>
        <w:spacing w:line="360" w:lineRule="auto"/>
        <w:ind w:firstLine="480" w:firstLineChars="200"/>
        <w:rPr>
          <w:rFonts w:ascii="Times New Roman"/>
          <w:sz w:val="24"/>
          <w:szCs w:val="24"/>
        </w:rPr>
      </w:pPr>
      <w:r>
        <w:rPr>
          <w:rFonts w:ascii="Times New Roman"/>
          <w:sz w:val="24"/>
          <w:szCs w:val="24"/>
        </w:rPr>
        <w:t>桁架类结构件（桁架、栈桥等）为空间杆系结构，采用柔性桁架拼装工装和异形件柔性拼装工装，实现桁架和异形件的快速拼装；采用变位机实现焊缝的平焊或横焊位置转换，提升焊接质量保证能力。</w:t>
      </w:r>
    </w:p>
    <w:p w14:paraId="5494C8C3">
      <w:pPr>
        <w:tabs>
          <w:tab w:val="left" w:pos="7560"/>
        </w:tabs>
        <w:spacing w:line="360" w:lineRule="auto"/>
        <w:ind w:firstLine="480" w:firstLineChars="200"/>
        <w:rPr>
          <w:rFonts w:ascii="Times New Roman"/>
          <w:sz w:val="24"/>
          <w:szCs w:val="24"/>
        </w:rPr>
      </w:pPr>
      <w:r>
        <w:rPr>
          <w:rFonts w:ascii="Times New Roman"/>
          <w:sz w:val="24"/>
          <w:szCs w:val="24"/>
        </w:rPr>
        <w:t>焊接流程为：型钢板材下料件→单片组对→单片焊接→矫正→整体组对→整体焊接→矫正→试装矫正拆卸→转涂装。</w:t>
      </w:r>
    </w:p>
    <w:p w14:paraId="72787065">
      <w:pPr>
        <w:tabs>
          <w:tab w:val="left" w:pos="7560"/>
        </w:tabs>
        <w:spacing w:line="360" w:lineRule="auto"/>
        <w:ind w:firstLine="480" w:firstLineChars="200"/>
        <w:rPr>
          <w:rFonts w:ascii="Times New Roman"/>
          <w:sz w:val="24"/>
          <w:szCs w:val="24"/>
        </w:rPr>
      </w:pPr>
      <w:r>
        <w:rPr>
          <w:rFonts w:ascii="Times New Roman"/>
          <w:sz w:val="24"/>
          <w:szCs w:val="24"/>
        </w:rPr>
        <w:t>2.板焊类结构件（驱动架等）</w:t>
      </w:r>
    </w:p>
    <w:p w14:paraId="0B5C01E2">
      <w:pPr>
        <w:tabs>
          <w:tab w:val="left" w:pos="7560"/>
        </w:tabs>
        <w:spacing w:line="360" w:lineRule="auto"/>
        <w:ind w:firstLine="480" w:firstLineChars="200"/>
        <w:rPr>
          <w:rFonts w:ascii="Times New Roman"/>
          <w:sz w:val="24"/>
          <w:szCs w:val="24"/>
        </w:rPr>
      </w:pPr>
      <w:r>
        <w:rPr>
          <w:rFonts w:ascii="Times New Roman"/>
          <w:sz w:val="24"/>
          <w:szCs w:val="24"/>
        </w:rPr>
        <w:t>板焊类结构件多为板－板结构形式，焊缝较为规则，多以角焊缝和对接焊缝为主，批量件采用自动化拼装和自动化的焊接方式来制作，建立以门式（或关节臂）焊接机构配合变位机构成结构件自动化拼装焊接工作站，完成此类结构件的自动拼装、自动定位焊和自动焊接；对于一些非批量件，且遮蔽焊缝较多的结构件，采用板、型钢自动划线，人工拼装、自动焊接、人工补焊的方式进行。各个拼装定位焊工作站、自动焊接工作站，配置有自动上下料系统，可自动完成工件的上下料，并与车间的自动化物流系统相接驳，实现物流和信息流的无缝衔接。各个拼焊单元，规划从工作站侧面进出工件，为工作站焊烟处理提供有利前提条件；同时配置网络数据接口，可接入中控系统，满足上传下载数据需求。通过视觉系统扫码工件，形成点云图像拟合产品外形，并通过算法得到焊缝位置，实现免示教编程。</w:t>
      </w:r>
    </w:p>
    <w:p w14:paraId="62D5426E">
      <w:pPr>
        <w:tabs>
          <w:tab w:val="left" w:pos="7560"/>
        </w:tabs>
        <w:spacing w:line="360" w:lineRule="auto"/>
        <w:ind w:firstLine="480" w:firstLineChars="200"/>
        <w:rPr>
          <w:rFonts w:ascii="Times New Roman"/>
          <w:sz w:val="24"/>
          <w:szCs w:val="24"/>
        </w:rPr>
      </w:pPr>
      <w:r>
        <w:rPr>
          <w:rFonts w:ascii="Times New Roman"/>
          <w:sz w:val="24"/>
          <w:szCs w:val="24"/>
        </w:rPr>
        <w:t>焊接流程为：板材下料件→组件拼装→组件焊接→矫正→整体组对→整体焊接→矫正→（机加工）→转涂装。</w:t>
      </w:r>
    </w:p>
    <w:p w14:paraId="387F6333">
      <w:pPr>
        <w:tabs>
          <w:tab w:val="left" w:pos="7560"/>
        </w:tabs>
        <w:spacing w:line="360" w:lineRule="auto"/>
        <w:ind w:firstLine="480" w:firstLineChars="200"/>
        <w:rPr>
          <w:rFonts w:ascii="Times New Roman"/>
          <w:sz w:val="24"/>
          <w:szCs w:val="24"/>
        </w:rPr>
      </w:pPr>
      <w:r>
        <w:rPr>
          <w:rFonts w:ascii="Times New Roman"/>
          <w:sz w:val="24"/>
          <w:szCs w:val="24"/>
        </w:rPr>
        <w:t>3.型（管）板类结构件（立柱、横梁等）</w:t>
      </w:r>
    </w:p>
    <w:p w14:paraId="0C54B61F">
      <w:pPr>
        <w:tabs>
          <w:tab w:val="left" w:pos="7560"/>
        </w:tabs>
        <w:spacing w:line="360" w:lineRule="auto"/>
        <w:ind w:firstLine="482" w:firstLineChars="200"/>
        <w:rPr>
          <w:rFonts w:ascii="Times New Roman"/>
          <w:sz w:val="24"/>
          <w:szCs w:val="24"/>
        </w:rPr>
      </w:pPr>
      <w:r>
        <w:rPr>
          <w:rFonts w:ascii="Times New Roman"/>
          <w:b/>
          <w:bCs/>
          <w:sz w:val="24"/>
          <w:szCs w:val="24"/>
        </w:rPr>
        <w:t>立柱类结构件</w:t>
      </w:r>
      <w:r>
        <w:rPr>
          <w:rFonts w:ascii="Times New Roman"/>
          <w:sz w:val="24"/>
          <w:szCs w:val="24"/>
        </w:rPr>
        <w:t>，采用管－板（法兰）自动拼焊工作站，实现批量立柱管-法兰的自动化拼装与焊接；管－管通过工装夹具由人工拼装完成，配套有焊接变位机，可自动化完成相贯线焊缝的施焊。焊缝位置通过视觉系统识别，可实现免示教编程。</w:t>
      </w:r>
      <w:r>
        <w:rPr>
          <w:rFonts w:ascii="Times New Roman"/>
          <w:b/>
          <w:bCs/>
          <w:sz w:val="24"/>
          <w:szCs w:val="24"/>
        </w:rPr>
        <w:t>横梁类结构件</w:t>
      </w:r>
      <w:r>
        <w:rPr>
          <w:rFonts w:ascii="Times New Roman"/>
          <w:sz w:val="24"/>
          <w:szCs w:val="24"/>
        </w:rPr>
        <w:t>，同类型批量相对较大，焊缝位置较为统一，采用自动化上料机械手，在焊接夹具上一次装夹到位，满焊机械手配合变位机实现整体的自动化焊接，完工后的横梁可通过下料机械手进行自动化下料、码垛。</w:t>
      </w:r>
    </w:p>
    <w:p w14:paraId="46D809BA">
      <w:pPr>
        <w:tabs>
          <w:tab w:val="left" w:pos="7560"/>
        </w:tabs>
        <w:spacing w:line="360" w:lineRule="auto"/>
        <w:ind w:firstLine="480" w:firstLineChars="200"/>
        <w:rPr>
          <w:rFonts w:ascii="Times New Roman"/>
          <w:sz w:val="24"/>
          <w:szCs w:val="24"/>
        </w:rPr>
      </w:pPr>
      <w:r>
        <w:rPr>
          <w:rFonts w:ascii="Times New Roman"/>
          <w:sz w:val="24"/>
          <w:szCs w:val="24"/>
        </w:rPr>
        <w:t>焊接流程为：板下料件、型（管）材下料件→小件组对→小件焊接→矫正→整体组对→整体焊接→矫正→试装矫正拆卸→转涂装。</w:t>
      </w:r>
    </w:p>
    <w:p w14:paraId="6EDC0680">
      <w:pPr>
        <w:tabs>
          <w:tab w:val="left" w:pos="7560"/>
        </w:tabs>
        <w:spacing w:line="360" w:lineRule="auto"/>
        <w:ind w:firstLine="480" w:firstLineChars="200"/>
        <w:rPr>
          <w:rFonts w:ascii="Times New Roman"/>
          <w:sz w:val="24"/>
          <w:szCs w:val="24"/>
        </w:rPr>
      </w:pPr>
      <w:r>
        <w:rPr>
          <w:rFonts w:ascii="Times New Roman"/>
          <w:sz w:val="24"/>
          <w:szCs w:val="24"/>
        </w:rPr>
        <w:t>焊接流程为：板下料件、型（管）材下料件→组对→焊接→矫正→（机加工）→转涂装。</w:t>
      </w:r>
    </w:p>
    <w:p w14:paraId="593B9B22">
      <w:pPr>
        <w:tabs>
          <w:tab w:val="left" w:pos="7560"/>
        </w:tabs>
        <w:spacing w:line="360" w:lineRule="auto"/>
        <w:jc w:val="center"/>
        <w:rPr>
          <w:rFonts w:ascii="Times New Roman"/>
          <w:sz w:val="24"/>
          <w:szCs w:val="24"/>
        </w:rPr>
      </w:pPr>
      <w:r>
        <w:drawing>
          <wp:inline distT="0" distB="0" distL="114300" distR="114300">
            <wp:extent cx="5270500" cy="1351915"/>
            <wp:effectExtent l="0" t="0" r="6350" b="635"/>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39" cstate="print"/>
                    <a:stretch>
                      <a:fillRect/>
                    </a:stretch>
                  </pic:blipFill>
                  <pic:spPr>
                    <a:xfrm>
                      <a:off x="0" y="0"/>
                      <a:ext cx="5270500" cy="1351915"/>
                    </a:xfrm>
                    <a:prstGeom prst="rect">
                      <a:avLst/>
                    </a:prstGeom>
                    <a:noFill/>
                    <a:ln>
                      <a:noFill/>
                    </a:ln>
                  </pic:spPr>
                </pic:pic>
              </a:graphicData>
            </a:graphic>
          </wp:inline>
        </w:drawing>
      </w:r>
    </w:p>
    <w:p w14:paraId="3DAC4015">
      <w:pPr>
        <w:spacing w:line="0" w:lineRule="atLeast"/>
        <w:jc w:val="center"/>
        <w:rPr>
          <w:rFonts w:ascii="Times New Roman"/>
          <w:b/>
          <w:sz w:val="24"/>
          <w:szCs w:val="20"/>
        </w:rPr>
      </w:pPr>
      <w:r>
        <w:rPr>
          <w:rFonts w:ascii="Times New Roman"/>
          <w:b/>
          <w:sz w:val="24"/>
          <w:szCs w:val="20"/>
        </w:rPr>
        <w:t xml:space="preserve">图3.7-2  </w:t>
      </w:r>
      <w:r>
        <w:rPr>
          <w:rFonts w:ascii="Times New Roman"/>
          <w:b/>
          <w:bCs/>
        </w:rPr>
        <w:t>桁架类、钣焊类、型（管）板类结构件工艺流程及排污节点示意图</w:t>
      </w:r>
    </w:p>
    <w:p w14:paraId="68909434">
      <w:pPr>
        <w:tabs>
          <w:tab w:val="left" w:pos="7560"/>
        </w:tabs>
        <w:spacing w:line="360" w:lineRule="auto"/>
        <w:ind w:firstLine="482" w:firstLineChars="200"/>
        <w:rPr>
          <w:rFonts w:ascii="Times New Roman"/>
          <w:b/>
          <w:sz w:val="24"/>
          <w:szCs w:val="20"/>
        </w:rPr>
      </w:pPr>
      <w:r>
        <w:rPr>
          <w:rFonts w:ascii="Times New Roman"/>
          <w:b/>
          <w:sz w:val="24"/>
          <w:szCs w:val="20"/>
        </w:rPr>
        <w:t>该工序排污节点为：焊接过程产生的焊接烟尘（G2）；设备运行噪声（N）；焊接工程中产生的废焊材（S2）、机加工产生的废边角料S3</w:t>
      </w:r>
      <w:r>
        <w:rPr>
          <w:rFonts w:hint="eastAsia" w:ascii="Times New Roman"/>
          <w:b/>
          <w:sz w:val="24"/>
          <w:szCs w:val="20"/>
        </w:rPr>
        <w:t>、废切削液S4</w:t>
      </w:r>
      <w:r>
        <w:rPr>
          <w:rFonts w:ascii="Times New Roman"/>
          <w:b/>
          <w:sz w:val="24"/>
          <w:szCs w:val="20"/>
        </w:rPr>
        <w:t>。</w:t>
      </w:r>
    </w:p>
    <w:p w14:paraId="6E414CF4">
      <w:pPr>
        <w:spacing w:line="360" w:lineRule="auto"/>
        <w:outlineLvl w:val="2"/>
        <w:rPr>
          <w:rFonts w:ascii="Times New Roman"/>
          <w:b/>
          <w:sz w:val="28"/>
          <w:szCs w:val="28"/>
        </w:rPr>
      </w:pPr>
      <w:r>
        <w:rPr>
          <w:rFonts w:ascii="Times New Roman"/>
          <w:b/>
          <w:sz w:val="28"/>
          <w:szCs w:val="28"/>
        </w:rPr>
        <w:t>3.7.</w:t>
      </w:r>
      <w:r>
        <w:rPr>
          <w:rFonts w:hint="eastAsia" w:ascii="Times New Roman"/>
          <w:b/>
          <w:sz w:val="28"/>
          <w:szCs w:val="28"/>
        </w:rPr>
        <w:t>3</w:t>
      </w:r>
      <w:r>
        <w:rPr>
          <w:rFonts w:ascii="Times New Roman"/>
          <w:b/>
          <w:sz w:val="28"/>
          <w:szCs w:val="28"/>
        </w:rPr>
        <w:t>滚筒</w:t>
      </w:r>
      <w:r>
        <w:rPr>
          <w:rFonts w:hint="eastAsia" w:ascii="Times New Roman"/>
          <w:b/>
          <w:sz w:val="28"/>
          <w:szCs w:val="28"/>
        </w:rPr>
        <w:t>生产线</w:t>
      </w:r>
    </w:p>
    <w:p w14:paraId="761BE4AA">
      <w:pPr>
        <w:tabs>
          <w:tab w:val="left" w:pos="7560"/>
        </w:tabs>
        <w:spacing w:line="360" w:lineRule="auto"/>
        <w:ind w:firstLine="480" w:firstLineChars="200"/>
        <w:rPr>
          <w:rFonts w:ascii="Times New Roman"/>
          <w:sz w:val="24"/>
          <w:szCs w:val="24"/>
        </w:rPr>
      </w:pPr>
      <w:r>
        <w:rPr>
          <w:rFonts w:hint="eastAsia" w:ascii="Times New Roman"/>
          <w:sz w:val="24"/>
          <w:szCs w:val="24"/>
        </w:rPr>
        <w:t>（1）</w:t>
      </w:r>
      <w:r>
        <w:rPr>
          <w:rFonts w:ascii="Times New Roman"/>
          <w:sz w:val="24"/>
          <w:szCs w:val="24"/>
        </w:rPr>
        <w:t>滚筒</w:t>
      </w:r>
      <w:r>
        <w:rPr>
          <w:rFonts w:hint="eastAsia" w:ascii="Times New Roman"/>
          <w:sz w:val="24"/>
          <w:szCs w:val="24"/>
        </w:rPr>
        <w:t>生产线—焊接工段</w:t>
      </w:r>
    </w:p>
    <w:p w14:paraId="2C3841A9">
      <w:pPr>
        <w:tabs>
          <w:tab w:val="left" w:pos="7560"/>
        </w:tabs>
        <w:spacing w:line="360" w:lineRule="auto"/>
        <w:ind w:firstLine="480" w:firstLineChars="200"/>
        <w:rPr>
          <w:rFonts w:ascii="Times New Roman"/>
          <w:sz w:val="24"/>
          <w:szCs w:val="24"/>
        </w:rPr>
      </w:pPr>
      <w:r>
        <w:rPr>
          <w:rFonts w:ascii="Times New Roman"/>
          <w:sz w:val="24"/>
          <w:szCs w:val="24"/>
        </w:rPr>
        <w:t>滚筒类结构件标准化程度相对高，焊缝形式统一，主要为直对接焊缝、环角焊缝和环对接焊缝为主。</w:t>
      </w:r>
    </w:p>
    <w:p w14:paraId="42CBCD38">
      <w:pPr>
        <w:tabs>
          <w:tab w:val="left" w:pos="7560"/>
        </w:tabs>
        <w:spacing w:line="360" w:lineRule="auto"/>
        <w:ind w:firstLine="480" w:firstLineChars="200"/>
        <w:rPr>
          <w:rFonts w:ascii="Times New Roman"/>
          <w:sz w:val="24"/>
          <w:szCs w:val="24"/>
        </w:rPr>
      </w:pPr>
      <w:r>
        <w:rPr>
          <w:rFonts w:ascii="Times New Roman"/>
          <w:sz w:val="24"/>
          <w:szCs w:val="24"/>
        </w:rPr>
        <w:t>直对接焊缝采用十字型焊接专机完成施焊，对接环焊缝采用双臂焊接机械手并配套变位机，实现双边高效焊接；环角焊缝通过变位机实现船形位施焊，配合自动焊接机械手实现环角焊缝的自动化施焊。通过RGV子母车系统实现工位件的自动化上下料和工位间自动化转运。</w:t>
      </w:r>
    </w:p>
    <w:p w14:paraId="12915608">
      <w:pPr>
        <w:tabs>
          <w:tab w:val="left" w:pos="7560"/>
        </w:tabs>
        <w:spacing w:line="360" w:lineRule="auto"/>
        <w:ind w:firstLine="500" w:firstLineChars="200"/>
        <w:rPr>
          <w:rFonts w:ascii="Times New Roman"/>
          <w:sz w:val="24"/>
          <w:szCs w:val="24"/>
        </w:rPr>
      </w:pPr>
      <w:r>
        <w:rPr>
          <w:rFonts w:hint="eastAsia"/>
        </w:rPr>
        <w:t>项目探伤机生产设备产生的辐射影响须另行评价，不属于本次评价内容。</w:t>
      </w:r>
    </w:p>
    <w:p w14:paraId="6BB08296">
      <w:pPr>
        <w:spacing w:line="360" w:lineRule="auto"/>
        <w:jc w:val="center"/>
        <w:rPr>
          <w:rFonts w:ascii="Times New Roman"/>
          <w:b/>
          <w:sz w:val="24"/>
          <w:szCs w:val="20"/>
        </w:rPr>
      </w:pPr>
      <w:r>
        <mc:AlternateContent>
          <mc:Choice Requires="wps">
            <w:drawing>
              <wp:anchor distT="0" distB="0" distL="114300" distR="114300" simplePos="0" relativeHeight="251714560" behindDoc="0" locked="0" layoutInCell="1" allowOverlap="1">
                <wp:simplePos x="0" y="0"/>
                <wp:positionH relativeFrom="column">
                  <wp:posOffset>4592955</wp:posOffset>
                </wp:positionH>
                <wp:positionV relativeFrom="paragraph">
                  <wp:posOffset>873125</wp:posOffset>
                </wp:positionV>
                <wp:extent cx="789305" cy="248920"/>
                <wp:effectExtent l="0" t="0" r="10795" b="5080"/>
                <wp:wrapNone/>
                <wp:docPr id="119" name="文本框 119"/>
                <wp:cNvGraphicFramePr/>
                <a:graphic xmlns:a="http://schemas.openxmlformats.org/drawingml/2006/main">
                  <a:graphicData uri="http://schemas.microsoft.com/office/word/2010/wordprocessingShape">
                    <wps:wsp>
                      <wps:cNvSpPr txBox="1"/>
                      <wps:spPr>
                        <a:xfrm>
                          <a:off x="0" y="0"/>
                          <a:ext cx="789305" cy="248920"/>
                        </a:xfrm>
                        <a:prstGeom prst="rect">
                          <a:avLst/>
                        </a:prstGeom>
                        <a:solidFill>
                          <a:srgbClr val="FFFFFF"/>
                        </a:solidFill>
                        <a:ln w="6350">
                          <a:noFill/>
                        </a:ln>
                        <a:effectLst/>
                      </wps:spPr>
                      <wps:txbx>
                        <w:txbxContent>
                          <w:p w14:paraId="6330B2B8">
                            <w:pPr>
                              <w:rPr>
                                <w:rFonts w:ascii="Times New Roman"/>
                                <w:sz w:val="21"/>
                                <w:szCs w:val="21"/>
                              </w:rPr>
                            </w:pPr>
                            <w:r>
                              <w:rPr>
                                <w:rFonts w:hint="eastAsia" w:ascii="Times New Roman"/>
                                <w:sz w:val="21"/>
                                <w:szCs w:val="21"/>
                              </w:rPr>
                              <w:t>G3、S2、N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65pt;margin-top:68.75pt;height:19.6pt;width:62.15pt;z-index:251714560;mso-width-relative:page;mso-height-relative:page;" fillcolor="#FFFFFF" filled="t" stroked="f" coordsize="21600,21600" o:gfxdata="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wznmHX&#10;AAAACwEAAA8AAAAAAAAAAQAgAAAAIgAAAGRycy9kb3ducmV2LnhtbFBLAQIUABQAAAAIAIdO4kDA&#10;PiWNWgIAAKAEAAAOAAAAAAAAAAEAIAAAACYBAABkcnMvZTJvRG9jLnhtbFBLBQYAAAAABgAGAFkB&#10;AADyBQAAAAA=&#10;">
                <v:fill on="t" focussize="0,0"/>
                <v:stroke on="f" weight="0.5pt"/>
                <v:imagedata o:title=""/>
                <o:lock v:ext="edit" aspectratio="f"/>
                <v:textbox>
                  <w:txbxContent>
                    <w:p w14:paraId="6330B2B8">
                      <w:pPr>
                        <w:rPr>
                          <w:rFonts w:ascii="Times New Roman"/>
                          <w:sz w:val="21"/>
                          <w:szCs w:val="21"/>
                        </w:rPr>
                      </w:pPr>
                      <w:r>
                        <w:rPr>
                          <w:rFonts w:hint="eastAsia" w:ascii="Times New Roman"/>
                          <w:sz w:val="21"/>
                          <w:szCs w:val="21"/>
                        </w:rPr>
                        <w:t>G3、S2、N</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116205</wp:posOffset>
                </wp:positionH>
                <wp:positionV relativeFrom="paragraph">
                  <wp:posOffset>15875</wp:posOffset>
                </wp:positionV>
                <wp:extent cx="495300" cy="247650"/>
                <wp:effectExtent l="0" t="0" r="0" b="6350"/>
                <wp:wrapNone/>
                <wp:docPr id="116" name="文本框 116"/>
                <wp:cNvGraphicFramePr/>
                <a:graphic xmlns:a="http://schemas.openxmlformats.org/drawingml/2006/main">
                  <a:graphicData uri="http://schemas.microsoft.com/office/word/2010/wordprocessingShape">
                    <wps:wsp>
                      <wps:cNvSpPr txBox="1"/>
                      <wps:spPr>
                        <a:xfrm>
                          <a:off x="1249680" y="4385945"/>
                          <a:ext cx="495300" cy="247650"/>
                        </a:xfrm>
                        <a:prstGeom prst="rect">
                          <a:avLst/>
                        </a:prstGeom>
                        <a:solidFill>
                          <a:srgbClr val="FFFFFF"/>
                        </a:solidFill>
                        <a:ln w="6350">
                          <a:noFill/>
                        </a:ln>
                        <a:effectLst/>
                      </wps:spPr>
                      <wps:txbx>
                        <w:txbxContent>
                          <w:p w14:paraId="2A917F39">
                            <w:pPr>
                              <w:rPr>
                                <w:rFonts w:ascii="Times New Roman"/>
                                <w:sz w:val="21"/>
                                <w:szCs w:val="21"/>
                              </w:rPr>
                            </w:pPr>
                            <w:r>
                              <w:rPr>
                                <w:rFonts w:hint="eastAsia" w:ascii="Times New Roman"/>
                                <w:sz w:val="21"/>
                                <w:szCs w:val="21"/>
                              </w:rPr>
                              <w:t>S5、N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5pt;margin-top:1.25pt;height:19.5pt;width:39pt;z-index:251713536;mso-width-relative:page;mso-height-relative:page;" fillcolor="#FFFFFF" filled="t" stroked="f" coordsize="21600,21600" o:gfxdata="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R+4S0QAAAAYBAAAPAAAAAAAAAAEAIAAAACIAAABkcnMvZG93bnJldi54bWxQSwECFAAUAAAACACH&#10;TuJAXFOg+mQCAACsBAAADgAAAAAAAAABACAAAAAgAQAAZHJzL2Uyb0RvYy54bWxQSwUGAAAAAAYA&#10;BgBZAQAA9gUAAAAA&#10;">
                <v:fill on="t" focussize="0,0"/>
                <v:stroke on="f" weight="0.5pt"/>
                <v:imagedata o:title=""/>
                <o:lock v:ext="edit" aspectratio="f"/>
                <v:textbox>
                  <w:txbxContent>
                    <w:p w14:paraId="2A917F39">
                      <w:pPr>
                        <w:rPr>
                          <w:rFonts w:ascii="Times New Roman"/>
                          <w:sz w:val="21"/>
                          <w:szCs w:val="21"/>
                        </w:rPr>
                      </w:pPr>
                      <w:r>
                        <w:rPr>
                          <w:rFonts w:hint="eastAsia" w:ascii="Times New Roman"/>
                          <w:sz w:val="21"/>
                          <w:szCs w:val="21"/>
                        </w:rPr>
                        <w:t>S5、N</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2440305</wp:posOffset>
                </wp:positionH>
                <wp:positionV relativeFrom="paragraph">
                  <wp:posOffset>481965</wp:posOffset>
                </wp:positionV>
                <wp:extent cx="704850" cy="514350"/>
                <wp:effectExtent l="6350" t="6350" r="12700" b="12700"/>
                <wp:wrapNone/>
                <wp:docPr id="115" name="矩形 115"/>
                <wp:cNvGraphicFramePr/>
                <a:graphic xmlns:a="http://schemas.openxmlformats.org/drawingml/2006/main">
                  <a:graphicData uri="http://schemas.microsoft.com/office/word/2010/wordprocessingShape">
                    <wps:wsp>
                      <wps:cNvSpPr/>
                      <wps:spPr>
                        <a:xfrm>
                          <a:off x="3583305" y="4766310"/>
                          <a:ext cx="704850" cy="514350"/>
                        </a:xfrm>
                        <a:prstGeom prst="rect">
                          <a:avLst/>
                        </a:prstGeom>
                        <a:noFill/>
                        <a:ln w="127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15pt;margin-top:37.95pt;height:40.5pt;width:55.5pt;z-index:251712512;v-text-anchor:middle;mso-width-relative:page;mso-height-relative:page;" filled="f" stroked="t" coordsize="21600,21600" o:gfxdata="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cGvEy2gAAAAoBAAAPAAAAAAAAAAEAIAAAACIAAABkcnMv&#10;ZG93bnJldi54bWxQSwECFAAUAAAACACHTuJAgsvObHMCAADTBAAADgAAAAAAAAABACAAAAApAQAA&#10;ZHJzL2Uyb0RvYy54bWxQSwUGAAAAAAYABgBZAQAADgYAAAAA&#10;">
                <v:fill on="f" focussize="0,0"/>
                <v:stroke weight="1pt" color="#FF0000" joinstyle="round" dashstyle="3 1"/>
                <v:imagedata o:title=""/>
                <o:lock v:ext="edit" aspectratio="f"/>
              </v:rect>
            </w:pict>
          </mc:Fallback>
        </mc:AlternateContent>
      </w:r>
      <w:r>
        <w:rPr>
          <w:rFonts w:ascii="Times New Roman"/>
        </w:rPr>
        <w:drawing>
          <wp:inline distT="0" distB="0" distL="114300" distR="114300">
            <wp:extent cx="5268595" cy="1769110"/>
            <wp:effectExtent l="0" t="0" r="8255" b="254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40" cstate="print"/>
                    <a:stretch>
                      <a:fillRect/>
                    </a:stretch>
                  </pic:blipFill>
                  <pic:spPr>
                    <a:xfrm>
                      <a:off x="0" y="0"/>
                      <a:ext cx="5268595" cy="1769110"/>
                    </a:xfrm>
                    <a:prstGeom prst="rect">
                      <a:avLst/>
                    </a:prstGeom>
                    <a:noFill/>
                    <a:ln>
                      <a:noFill/>
                    </a:ln>
                  </pic:spPr>
                </pic:pic>
              </a:graphicData>
            </a:graphic>
          </wp:inline>
        </w:drawing>
      </w:r>
    </w:p>
    <w:p w14:paraId="021523FF">
      <w:pPr>
        <w:spacing w:line="0" w:lineRule="atLeast"/>
        <w:jc w:val="center"/>
        <w:rPr>
          <w:rFonts w:ascii="Times New Roman"/>
          <w:b/>
          <w:sz w:val="24"/>
          <w:szCs w:val="20"/>
        </w:rPr>
      </w:pPr>
      <w:r>
        <w:rPr>
          <w:rFonts w:ascii="Times New Roman"/>
          <w:b/>
          <w:sz w:val="24"/>
          <w:szCs w:val="20"/>
        </w:rPr>
        <w:t xml:space="preserve">图3.7-3  </w:t>
      </w:r>
      <w:r>
        <w:rPr>
          <w:rFonts w:ascii="Times New Roman"/>
          <w:b/>
          <w:bCs/>
          <w:sz w:val="24"/>
          <w:szCs w:val="24"/>
        </w:rPr>
        <w:t>滚筒类结构件</w:t>
      </w:r>
      <w:r>
        <w:rPr>
          <w:rFonts w:ascii="Times New Roman"/>
          <w:b/>
          <w:bCs/>
        </w:rPr>
        <w:t>工艺流程及排污节点示意图</w:t>
      </w:r>
    </w:p>
    <w:p w14:paraId="2C0037A5">
      <w:pPr>
        <w:spacing w:line="360" w:lineRule="auto"/>
        <w:ind w:firstLine="482" w:firstLineChars="200"/>
        <w:rPr>
          <w:rFonts w:ascii="Times New Roman"/>
          <w:b/>
          <w:sz w:val="24"/>
          <w:szCs w:val="20"/>
        </w:rPr>
      </w:pPr>
      <w:r>
        <w:rPr>
          <w:rFonts w:ascii="Times New Roman"/>
          <w:b/>
          <w:sz w:val="24"/>
          <w:szCs w:val="20"/>
        </w:rPr>
        <w:t>该工序排污节点为：焊接过程产生的焊接烟尘（G3）；设备运行噪声（N）；焊接工程中产生的废焊材（S2）、坡口加工、清理打磨过程产生的金属碎屑（S</w:t>
      </w:r>
      <w:r>
        <w:rPr>
          <w:rFonts w:hint="eastAsia" w:ascii="Times New Roman"/>
          <w:b/>
          <w:sz w:val="24"/>
          <w:szCs w:val="20"/>
        </w:rPr>
        <w:t>5</w:t>
      </w:r>
      <w:r>
        <w:rPr>
          <w:rFonts w:ascii="Times New Roman"/>
          <w:b/>
          <w:sz w:val="24"/>
          <w:szCs w:val="20"/>
        </w:rPr>
        <w:t>）。</w:t>
      </w:r>
    </w:p>
    <w:p w14:paraId="6B0F8F97">
      <w:pPr>
        <w:numPr>
          <w:ilvl w:val="0"/>
          <w:numId w:val="11"/>
        </w:numPr>
        <w:spacing w:line="360" w:lineRule="auto"/>
        <w:ind w:firstLine="480" w:firstLineChars="200"/>
        <w:rPr>
          <w:rFonts w:ascii="Times New Roman"/>
          <w:sz w:val="24"/>
          <w:szCs w:val="24"/>
        </w:rPr>
      </w:pPr>
      <w:r>
        <w:rPr>
          <w:rFonts w:ascii="Times New Roman"/>
          <w:sz w:val="24"/>
          <w:szCs w:val="24"/>
        </w:rPr>
        <w:t>滚筒</w:t>
      </w:r>
      <w:r>
        <w:rPr>
          <w:rFonts w:hint="eastAsia" w:ascii="Times New Roman"/>
          <w:sz w:val="24"/>
          <w:szCs w:val="24"/>
        </w:rPr>
        <w:t>生产线</w:t>
      </w:r>
      <w:r>
        <w:rPr>
          <w:rFonts w:ascii="Times New Roman"/>
          <w:sz w:val="24"/>
          <w:szCs w:val="24"/>
        </w:rPr>
        <w:t>—机加工工</w:t>
      </w:r>
      <w:r>
        <w:rPr>
          <w:rFonts w:hint="eastAsia" w:ascii="Times New Roman"/>
          <w:sz w:val="24"/>
          <w:szCs w:val="24"/>
        </w:rPr>
        <w:t>段</w:t>
      </w:r>
    </w:p>
    <w:p w14:paraId="558DE989">
      <w:pPr>
        <w:spacing w:line="360" w:lineRule="auto"/>
        <w:ind w:left="500" w:leftChars="200"/>
        <w:rPr>
          <w:rFonts w:ascii="Times New Roman"/>
          <w:sz w:val="24"/>
          <w:szCs w:val="24"/>
        </w:rPr>
      </w:pPr>
      <w:r>
        <w:rPr>
          <w:rFonts w:ascii="Times New Roman"/>
          <w:sz w:val="24"/>
          <w:szCs w:val="24"/>
        </w:rPr>
        <w:t>主要承担生产纲领中筒皮、接盘、轴、轴承座的加工任务。</w:t>
      </w:r>
    </w:p>
    <w:p w14:paraId="78E805BF">
      <w:pPr>
        <w:spacing w:line="360" w:lineRule="auto"/>
        <w:ind w:firstLine="480" w:firstLineChars="200"/>
        <w:rPr>
          <w:rFonts w:ascii="Times New Roman"/>
          <w:sz w:val="24"/>
          <w:szCs w:val="24"/>
        </w:rPr>
      </w:pPr>
      <w:r>
        <w:rPr>
          <w:rFonts w:ascii="Times New Roman"/>
          <w:sz w:val="24"/>
          <w:szCs w:val="24"/>
        </w:rPr>
        <w:t>1、轴类零件加工过程为外协来料、打中心孔、粗车轴、探伤、热处理、硬度检测、重打中心孔、半精车轴、精车轴、键槽加工。</w:t>
      </w:r>
    </w:p>
    <w:p w14:paraId="6BB9409D">
      <w:pPr>
        <w:spacing w:line="360" w:lineRule="auto"/>
        <w:ind w:firstLine="480" w:firstLineChars="200"/>
        <w:rPr>
          <w:rFonts w:ascii="Times New Roman"/>
          <w:sz w:val="24"/>
          <w:szCs w:val="24"/>
        </w:rPr>
      </w:pPr>
      <w:r>
        <w:rPr>
          <w:rFonts w:ascii="Times New Roman"/>
          <w:sz w:val="24"/>
          <w:szCs w:val="24"/>
        </w:rPr>
        <w:t>2、接盘类零件加工过程为：1）焊接接盘：外协来料、机加工、组对焊接、焊缝探伤、车外圆坡口；2）铸造接盘：外协来料、粗车。</w:t>
      </w:r>
    </w:p>
    <w:p w14:paraId="23896275">
      <w:pPr>
        <w:spacing w:line="360" w:lineRule="auto"/>
        <w:ind w:firstLine="480" w:firstLineChars="200"/>
        <w:rPr>
          <w:rFonts w:ascii="Times New Roman"/>
          <w:sz w:val="24"/>
          <w:szCs w:val="24"/>
        </w:rPr>
      </w:pPr>
      <w:r>
        <w:rPr>
          <w:rFonts w:ascii="Times New Roman"/>
          <w:sz w:val="24"/>
          <w:szCs w:val="24"/>
        </w:rPr>
        <w:t>4、筒体类零件加工过程为1）焊接接盘筒体，接盘焊接：筒体刨坡口、初卷卷圆、装配组对、内侧焊接、外侧焊接、复卷卷圆、按技术要求规范探伤检测直焊缝（二级）、加工筒皮端面、筒皮与接盘装配组对、角焊缝内侧焊接、填充盖面焊接、按技术要求规范探伤检测环焊缝（二级）、退火处理、筒体接盘轮毂加工、与轴装配、加工筒体端面外圆、外协铸胶。穿轴焊筒体：复卷卷圆、加工筒皮端面、筒皮、接盘及轴装配组对、填充盖面焊接、加工筒体端面外圆、外协铸胶。</w:t>
      </w:r>
    </w:p>
    <w:p w14:paraId="23EB9825">
      <w:pPr>
        <w:spacing w:line="360" w:lineRule="auto"/>
        <w:ind w:firstLine="480" w:firstLineChars="200"/>
        <w:rPr>
          <w:rFonts w:ascii="Times New Roman"/>
          <w:sz w:val="24"/>
          <w:szCs w:val="24"/>
        </w:rPr>
      </w:pPr>
      <w:r>
        <w:rPr>
          <w:rFonts w:ascii="Times New Roman"/>
          <w:sz w:val="24"/>
          <w:szCs w:val="24"/>
        </w:rPr>
        <w:t>2）铸焊接盘筒体：筒体上坡口、初卷卷圆、装配组队、内侧焊接、外侧焊接、复卷卷圆、按技术要求规范探伤检测直焊缝（二级））、加工筒皮端面、筒皮与接盘装配组对、（内侧焊接、外侧焊接、按技术要求规范探伤检测环焊缝（二级）、退火处理）、筒体接盘轮毂加工端面、孔、与轴装配、筒体接盘轮毂加工外圆、外协铸胶。</w:t>
      </w:r>
    </w:p>
    <w:p w14:paraId="37316115">
      <w:pPr>
        <w:spacing w:line="360" w:lineRule="auto"/>
        <w:ind w:firstLine="480" w:firstLineChars="200"/>
        <w:rPr>
          <w:rFonts w:ascii="Times New Roman"/>
          <w:b/>
          <w:sz w:val="24"/>
          <w:szCs w:val="20"/>
        </w:rPr>
      </w:pPr>
      <w:r>
        <w:rPr>
          <w:rFonts w:ascii="Times New Roman"/>
          <w:sz w:val="24"/>
          <w:szCs w:val="24"/>
        </w:rPr>
        <mc:AlternateContent>
          <mc:Choice Requires="wpg">
            <w:drawing>
              <wp:anchor distT="0" distB="0" distL="114300" distR="114300" simplePos="0" relativeHeight="251666432" behindDoc="0" locked="0" layoutInCell="1" allowOverlap="1">
                <wp:simplePos x="0" y="0"/>
                <wp:positionH relativeFrom="column">
                  <wp:posOffset>384810</wp:posOffset>
                </wp:positionH>
                <wp:positionV relativeFrom="paragraph">
                  <wp:posOffset>259080</wp:posOffset>
                </wp:positionV>
                <wp:extent cx="4046220" cy="1233805"/>
                <wp:effectExtent l="0" t="0" r="5080" b="9525"/>
                <wp:wrapNone/>
                <wp:docPr id="336" name="组合 53"/>
                <wp:cNvGraphicFramePr/>
                <a:graphic xmlns:a="http://schemas.openxmlformats.org/drawingml/2006/main">
                  <a:graphicData uri="http://schemas.microsoft.com/office/word/2010/wordprocessingGroup">
                    <wpg:wgp>
                      <wpg:cNvGrpSpPr/>
                      <wpg:grpSpPr>
                        <a:xfrm>
                          <a:off x="0" y="0"/>
                          <a:ext cx="4046220" cy="1233805"/>
                          <a:chOff x="2689" y="1970620"/>
                          <a:chExt cx="6372" cy="1943"/>
                        </a:xfrm>
                        <a:effectLst/>
                      </wpg:grpSpPr>
                      <wps:wsp>
                        <wps:cNvPr id="337" name="文本框 30"/>
                        <wps:cNvSpPr txBox="1"/>
                        <wps:spPr>
                          <a:xfrm>
                            <a:off x="3666" y="1970636"/>
                            <a:ext cx="1469" cy="401"/>
                          </a:xfrm>
                          <a:prstGeom prst="rect">
                            <a:avLst/>
                          </a:prstGeom>
                          <a:noFill/>
                          <a:ln w="3175">
                            <a:noFill/>
                          </a:ln>
                          <a:effectLst/>
                        </wps:spPr>
                        <wps:txbx>
                          <w:txbxContent>
                            <w:p w14:paraId="4F0C0063">
                              <w:pPr>
                                <w:spacing w:line="300" w:lineRule="exact"/>
                                <w:jc w:val="center"/>
                                <w:rPr>
                                  <w:rFonts w:ascii="Times New Roman"/>
                                  <w:sz w:val="21"/>
                                  <w:szCs w:val="21"/>
                                </w:rPr>
                              </w:pPr>
                              <w:r>
                                <w:rPr>
                                  <w:rFonts w:hint="eastAsia" w:ascii="Times New Roman"/>
                                  <w:sz w:val="21"/>
                                  <w:szCs w:val="21"/>
                                </w:rPr>
                                <w:t>S3、S4、</w:t>
                              </w:r>
                              <w:r>
                                <w:rPr>
                                  <w:rFonts w:ascii="Times New Roman"/>
                                  <w:sz w:val="21"/>
                                  <w:szCs w:val="21"/>
                                </w:rPr>
                                <w:t>N</w:t>
                              </w:r>
                            </w:p>
                          </w:txbxContent>
                        </wps:txbx>
                        <wps:bodyPr upright="1"/>
                      </wps:wsp>
                      <wpg:grpSp>
                        <wpg:cNvPr id="338" name="组合 122"/>
                        <wpg:cNvGrpSpPr/>
                        <wpg:grpSpPr>
                          <a:xfrm>
                            <a:off x="2689" y="1970620"/>
                            <a:ext cx="6372" cy="1943"/>
                            <a:chOff x="1959" y="246549"/>
                            <a:chExt cx="6372" cy="1943"/>
                          </a:xfrm>
                          <a:effectLst/>
                        </wpg:grpSpPr>
                        <wpg:grpSp>
                          <wpg:cNvPr id="339" name="组合 218"/>
                          <wpg:cNvGrpSpPr/>
                          <wpg:grpSpPr>
                            <a:xfrm>
                              <a:off x="1959" y="246549"/>
                              <a:ext cx="6372" cy="1943"/>
                              <a:chOff x="1960" y="217019"/>
                              <a:chExt cx="6359" cy="1942"/>
                            </a:xfrm>
                            <a:effectLst/>
                          </wpg:grpSpPr>
                          <wpg:grpSp>
                            <wpg:cNvPr id="340" name="组合 34"/>
                            <wpg:cNvGrpSpPr/>
                            <wpg:grpSpPr>
                              <a:xfrm rot="0">
                                <a:off x="1960" y="217019"/>
                                <a:ext cx="6359" cy="1942"/>
                                <a:chOff x="4604" y="895132"/>
                                <a:chExt cx="6391" cy="2014"/>
                              </a:xfrm>
                              <a:effectLst/>
                            </wpg:grpSpPr>
                            <wps:wsp>
                              <wps:cNvPr id="341" name="文本框 7"/>
                              <wps:cNvSpPr txBox="1"/>
                              <wps:spPr>
                                <a:xfrm>
                                  <a:off x="4604" y="895974"/>
                                  <a:ext cx="778" cy="427"/>
                                </a:xfrm>
                                <a:prstGeom prst="rect">
                                  <a:avLst/>
                                </a:prstGeom>
                                <a:noFill/>
                                <a:ln w="3175">
                                  <a:noFill/>
                                </a:ln>
                                <a:effectLst/>
                              </wps:spPr>
                              <wps:txbx>
                                <w:txbxContent>
                                  <w:p w14:paraId="4051BD5E">
                                    <w:pPr>
                                      <w:spacing w:line="300" w:lineRule="exact"/>
                                      <w:rPr>
                                        <w:sz w:val="21"/>
                                        <w:szCs w:val="21"/>
                                      </w:rPr>
                                    </w:pPr>
                                    <w:r>
                                      <w:rPr>
                                        <w:rFonts w:hint="eastAsia"/>
                                        <w:sz w:val="21"/>
                                        <w:szCs w:val="21"/>
                                      </w:rPr>
                                      <w:t>来料</w:t>
                                    </w:r>
                                  </w:p>
                                </w:txbxContent>
                              </wps:txbx>
                              <wps:bodyPr upright="1"/>
                            </wps:wsp>
                            <wps:wsp>
                              <wps:cNvPr id="342" name="直接连接符 8"/>
                              <wps:cNvCnPr/>
                              <wps:spPr>
                                <a:xfrm>
                                  <a:off x="5246" y="896230"/>
                                  <a:ext cx="585" cy="1"/>
                                </a:xfrm>
                                <a:prstGeom prst="line">
                                  <a:avLst/>
                                </a:prstGeom>
                                <a:ln w="3175" cap="flat" cmpd="sng">
                                  <a:solidFill>
                                    <a:srgbClr val="000000"/>
                                  </a:solidFill>
                                  <a:prstDash val="solid"/>
                                  <a:headEnd type="none" w="med" len="med"/>
                                  <a:tailEnd type="triangle" w="med" len="med"/>
                                </a:ln>
                                <a:effectLst/>
                              </wps:spPr>
                              <wps:bodyPr upright="1"/>
                            </wps:wsp>
                            <wps:wsp>
                              <wps:cNvPr id="343" name="文本框 9"/>
                              <wps:cNvSpPr txBox="1"/>
                              <wps:spPr>
                                <a:xfrm>
                                  <a:off x="5821" y="896014"/>
                                  <a:ext cx="972" cy="442"/>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a:effectLst/>
                              </wps:spPr>
                              <wps:txbx>
                                <w:txbxContent>
                                  <w:p w14:paraId="719E947C">
                                    <w:pPr>
                                      <w:spacing w:line="240" w:lineRule="exact"/>
                                      <w:rPr>
                                        <w:sz w:val="21"/>
                                        <w:szCs w:val="21"/>
                                      </w:rPr>
                                    </w:pPr>
                                    <w:r>
                                      <w:rPr>
                                        <w:rFonts w:hint="eastAsia"/>
                                        <w:sz w:val="21"/>
                                        <w:szCs w:val="21"/>
                                      </w:rPr>
                                      <w:t>机加工</w:t>
                                    </w:r>
                                  </w:p>
                                </w:txbxContent>
                              </wps:txbx>
                              <wps:bodyPr upright="1"/>
                            </wps:wsp>
                            <wps:wsp>
                              <wps:cNvPr id="344" name="直接连接符 11"/>
                              <wps:cNvCnPr/>
                              <wps:spPr>
                                <a:xfrm flipV="1">
                                  <a:off x="6787" y="896240"/>
                                  <a:ext cx="511" cy="1"/>
                                </a:xfrm>
                                <a:prstGeom prst="line">
                                  <a:avLst/>
                                </a:prstGeom>
                                <a:ln w="3175" cap="flat" cmpd="sng">
                                  <a:solidFill>
                                    <a:srgbClr val="000000"/>
                                  </a:solidFill>
                                  <a:prstDash val="solid"/>
                                  <a:headEnd type="none" w="med" len="med"/>
                                  <a:tailEnd type="triangle" w="med" len="med"/>
                                </a:ln>
                                <a:effectLst/>
                              </wps:spPr>
                              <wps:bodyPr upright="1"/>
                            </wps:wsp>
                            <wps:wsp>
                              <wps:cNvPr id="345" name="文本框 12"/>
                              <wps:cNvSpPr txBox="1"/>
                              <wps:spPr>
                                <a:xfrm>
                                  <a:off x="7292" y="896014"/>
                                  <a:ext cx="743" cy="447"/>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a:effectLst/>
                              </wps:spPr>
                              <wps:txbx>
                                <w:txbxContent>
                                  <w:p w14:paraId="322827DC">
                                    <w:pPr>
                                      <w:spacing w:line="240" w:lineRule="exact"/>
                                      <w:rPr>
                                        <w:sz w:val="21"/>
                                        <w:szCs w:val="21"/>
                                      </w:rPr>
                                    </w:pPr>
                                    <w:r>
                                      <w:rPr>
                                        <w:rFonts w:hint="eastAsia"/>
                                        <w:sz w:val="21"/>
                                        <w:szCs w:val="21"/>
                                      </w:rPr>
                                      <w:t>焊接</w:t>
                                    </w:r>
                                  </w:p>
                                </w:txbxContent>
                              </wps:txbx>
                              <wps:bodyPr upright="1"/>
                            </wps:wsp>
                            <wps:wsp>
                              <wps:cNvPr id="346" name="直接连接符 13"/>
                              <wps:cNvCnPr/>
                              <wps:spPr>
                                <a:xfrm>
                                  <a:off x="8047" y="896239"/>
                                  <a:ext cx="586" cy="1"/>
                                </a:xfrm>
                                <a:prstGeom prst="line">
                                  <a:avLst/>
                                </a:prstGeom>
                                <a:ln w="3175" cap="flat" cmpd="sng">
                                  <a:solidFill>
                                    <a:srgbClr val="000000"/>
                                  </a:solidFill>
                                  <a:prstDash val="solid"/>
                                  <a:headEnd type="none" w="med" len="med"/>
                                  <a:tailEnd type="triangle" w="med" len="med"/>
                                </a:ln>
                                <a:effectLst/>
                              </wps:spPr>
                              <wps:bodyPr upright="1"/>
                            </wps:wsp>
                            <wps:wsp>
                              <wps:cNvPr id="347" name="文本框 14"/>
                              <wps:cNvSpPr txBox="1"/>
                              <wps:spPr>
                                <a:xfrm>
                                  <a:off x="8605" y="896005"/>
                                  <a:ext cx="859" cy="437"/>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a:effectLst/>
                              </wps:spPr>
                              <wps:txbx>
                                <w:txbxContent>
                                  <w:p w14:paraId="276698D7">
                                    <w:pPr>
                                      <w:spacing w:line="240" w:lineRule="exact"/>
                                      <w:rPr>
                                        <w:sz w:val="21"/>
                                        <w:szCs w:val="21"/>
                                      </w:rPr>
                                    </w:pPr>
                                    <w:r>
                                      <w:rPr>
                                        <w:rFonts w:hint="eastAsia"/>
                                        <w:sz w:val="21"/>
                                        <w:szCs w:val="21"/>
                                      </w:rPr>
                                      <w:t>组装</w:t>
                                    </w:r>
                                  </w:p>
                                </w:txbxContent>
                              </wps:txbx>
                              <wps:bodyPr upright="1"/>
                            </wps:wsp>
                            <wps:wsp>
                              <wps:cNvPr id="348" name="直接连接符 16"/>
                              <wps:cNvCnPr/>
                              <wps:spPr>
                                <a:xfrm>
                                  <a:off x="9472" y="896206"/>
                                  <a:ext cx="586" cy="1"/>
                                </a:xfrm>
                                <a:prstGeom prst="line">
                                  <a:avLst/>
                                </a:prstGeom>
                                <a:ln w="3175" cap="flat" cmpd="sng">
                                  <a:solidFill>
                                    <a:srgbClr val="000000"/>
                                  </a:solidFill>
                                  <a:prstDash val="solid"/>
                                  <a:headEnd type="none" w="med" len="med"/>
                                  <a:tailEnd type="triangle" w="med" len="med"/>
                                </a:ln>
                                <a:effectLst/>
                              </wps:spPr>
                              <wps:bodyPr upright="1"/>
                            </wps:wsp>
                            <wps:wsp>
                              <wps:cNvPr id="349" name="文本框 25"/>
                              <wps:cNvSpPr txBox="1"/>
                              <wps:spPr>
                                <a:xfrm>
                                  <a:off x="7216" y="896612"/>
                                  <a:ext cx="3779" cy="534"/>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a:effectLst/>
                              </wps:spPr>
                              <wps:txbx>
                                <w:txbxContent>
                                  <w:p w14:paraId="5D869FA3">
                                    <w:pPr>
                                      <w:spacing w:line="300" w:lineRule="exact"/>
                                      <w:rPr>
                                        <w:rFonts w:ascii="Times New Roman"/>
                                        <w:sz w:val="21"/>
                                        <w:szCs w:val="21"/>
                                      </w:rPr>
                                    </w:pPr>
                                    <w:r>
                                      <w:rPr>
                                        <w:rFonts w:ascii="Times New Roman"/>
                                        <w:sz w:val="21"/>
                                        <w:szCs w:val="21"/>
                                      </w:rPr>
                                      <w:t>图例：G-废气、N-噪声、S-固体废物</w:t>
                                    </w:r>
                                  </w:p>
                                </w:txbxContent>
                              </wps:txbx>
                              <wps:bodyPr upright="1"/>
                            </wps:wsp>
                            <wps:wsp>
                              <wps:cNvPr id="350" name="直接连接符 27"/>
                              <wps:cNvCnPr/>
                              <wps:spPr>
                                <a:xfrm flipV="1">
                                  <a:off x="7642" y="895503"/>
                                  <a:ext cx="1" cy="494"/>
                                </a:xfrm>
                                <a:prstGeom prst="line">
                                  <a:avLst/>
                                </a:prstGeom>
                                <a:ln w="9525" cap="flat" cmpd="sng">
                                  <a:solidFill>
                                    <a:srgbClr val="000000"/>
                                  </a:solidFill>
                                  <a:prstDash val="dash"/>
                                  <a:headEnd type="none" w="med" len="med"/>
                                  <a:tailEnd type="triangle" w="med" len="med"/>
                                </a:ln>
                                <a:effectLst/>
                              </wps:spPr>
                              <wps:bodyPr upright="1"/>
                            </wps:wsp>
                            <wps:wsp>
                              <wps:cNvPr id="351" name="文本框 28"/>
                              <wps:cNvSpPr txBox="1"/>
                              <wps:spPr>
                                <a:xfrm>
                                  <a:off x="6962" y="895143"/>
                                  <a:ext cx="1400" cy="416"/>
                                </a:xfrm>
                                <a:prstGeom prst="rect">
                                  <a:avLst/>
                                </a:prstGeom>
                                <a:noFill/>
                                <a:ln w="3175">
                                  <a:noFill/>
                                </a:ln>
                                <a:effectLst/>
                              </wps:spPr>
                              <wps:txbx>
                                <w:txbxContent>
                                  <w:p w14:paraId="54BC68C4">
                                    <w:pPr>
                                      <w:spacing w:line="300" w:lineRule="exact"/>
                                      <w:jc w:val="center"/>
                                      <w:rPr>
                                        <w:rFonts w:ascii="Times New Roman"/>
                                        <w:sz w:val="21"/>
                                        <w:szCs w:val="21"/>
                                      </w:rPr>
                                    </w:pPr>
                                    <w:r>
                                      <w:rPr>
                                        <w:rFonts w:hint="eastAsia" w:ascii="Times New Roman"/>
                                        <w:sz w:val="21"/>
                                        <w:szCs w:val="21"/>
                                      </w:rPr>
                                      <w:t>G3、S2、</w:t>
                                    </w:r>
                                    <w:r>
                                      <w:rPr>
                                        <w:rFonts w:ascii="Times New Roman"/>
                                        <w:sz w:val="21"/>
                                        <w:szCs w:val="21"/>
                                      </w:rPr>
                                      <w:t>N</w:t>
                                    </w:r>
                                  </w:p>
                                </w:txbxContent>
                              </wps:txbx>
                              <wps:bodyPr upright="1"/>
                            </wps:wsp>
                            <wps:wsp>
                              <wps:cNvPr id="352" name="直接连接符 29"/>
                              <wps:cNvCnPr/>
                              <wps:spPr>
                                <a:xfrm flipV="1">
                                  <a:off x="9036" y="895492"/>
                                  <a:ext cx="1" cy="501"/>
                                </a:xfrm>
                                <a:prstGeom prst="line">
                                  <a:avLst/>
                                </a:prstGeom>
                                <a:ln w="9525" cap="flat" cmpd="sng">
                                  <a:solidFill>
                                    <a:srgbClr val="000000"/>
                                  </a:solidFill>
                                  <a:prstDash val="dash"/>
                                  <a:headEnd type="none" w="med" len="med"/>
                                  <a:tailEnd type="triangle" w="med" len="med"/>
                                </a:ln>
                                <a:effectLst/>
                              </wps:spPr>
                              <wps:bodyPr upright="1"/>
                            </wps:wsp>
                            <wps:wsp>
                              <wps:cNvPr id="353" name="文本框 30"/>
                              <wps:cNvSpPr txBox="1"/>
                              <wps:spPr>
                                <a:xfrm>
                                  <a:off x="8758" y="895132"/>
                                  <a:ext cx="589" cy="416"/>
                                </a:xfrm>
                                <a:prstGeom prst="rect">
                                  <a:avLst/>
                                </a:prstGeom>
                                <a:noFill/>
                                <a:ln w="3175">
                                  <a:noFill/>
                                </a:ln>
                                <a:effectLst/>
                              </wps:spPr>
                              <wps:txbx>
                                <w:txbxContent>
                                  <w:p w14:paraId="459141D7">
                                    <w:pPr>
                                      <w:spacing w:line="300" w:lineRule="exact"/>
                                      <w:jc w:val="center"/>
                                      <w:rPr>
                                        <w:rFonts w:ascii="Times New Roman"/>
                                        <w:sz w:val="21"/>
                                        <w:szCs w:val="21"/>
                                      </w:rPr>
                                    </w:pPr>
                                    <w:r>
                                      <w:rPr>
                                        <w:rFonts w:ascii="Times New Roman"/>
                                        <w:sz w:val="21"/>
                                        <w:szCs w:val="21"/>
                                      </w:rPr>
                                      <w:t>N</w:t>
                                    </w:r>
                                  </w:p>
                                </w:txbxContent>
                              </wps:txbx>
                              <wps:bodyPr upright="1"/>
                            </wps:wsp>
                          </wpg:grpSp>
                          <wps:wsp>
                            <wps:cNvPr id="354" name="直接连接符 29"/>
                            <wps:cNvCnPr/>
                            <wps:spPr>
                              <a:xfrm flipV="1">
                                <a:off x="3692" y="217386"/>
                                <a:ext cx="1" cy="483"/>
                              </a:xfrm>
                              <a:prstGeom prst="line">
                                <a:avLst/>
                              </a:prstGeom>
                              <a:ln w="9525" cap="flat" cmpd="sng">
                                <a:solidFill>
                                  <a:srgbClr val="000000"/>
                                </a:solidFill>
                                <a:prstDash val="dash"/>
                                <a:headEnd type="none" w="med" len="med"/>
                                <a:tailEnd type="triangle" w="med" len="med"/>
                              </a:ln>
                              <a:effectLst/>
                            </wps:spPr>
                            <wps:bodyPr upright="1"/>
                          </wps:wsp>
                        </wpg:grpSp>
                        <wps:wsp>
                          <wps:cNvPr id="355" name="文本框 7"/>
                          <wps:cNvSpPr txBox="1"/>
                          <wps:spPr>
                            <a:xfrm>
                              <a:off x="7406" y="247365"/>
                              <a:ext cx="774" cy="412"/>
                            </a:xfrm>
                            <a:prstGeom prst="rect">
                              <a:avLst/>
                            </a:prstGeom>
                            <a:noFill/>
                            <a:ln w="3175">
                              <a:noFill/>
                            </a:ln>
                            <a:effectLst/>
                          </wps:spPr>
                          <wps:txbx>
                            <w:txbxContent>
                              <w:p w14:paraId="18E6B193">
                                <w:pPr>
                                  <w:spacing w:line="300" w:lineRule="exact"/>
                                  <w:rPr>
                                    <w:sz w:val="21"/>
                                    <w:szCs w:val="21"/>
                                  </w:rPr>
                                </w:pPr>
                                <w:r>
                                  <w:rPr>
                                    <w:rFonts w:hint="eastAsia"/>
                                    <w:sz w:val="21"/>
                                    <w:szCs w:val="21"/>
                                  </w:rPr>
                                  <w:t>转序</w:t>
                                </w:r>
                              </w:p>
                            </w:txbxContent>
                          </wps:txbx>
                          <wps:bodyPr upright="1"/>
                        </wps:wsp>
                      </wpg:grpSp>
                    </wpg:wgp>
                  </a:graphicData>
                </a:graphic>
              </wp:anchor>
            </w:drawing>
          </mc:Choice>
          <mc:Fallback>
            <w:pict>
              <v:group id="组合 53" o:spid="_x0000_s1026" o:spt="203" style="position:absolute;left:0pt;margin-left:30.3pt;margin-top:20.4pt;height:97.15pt;width:318.6pt;z-index:251666432;mso-width-relative:page;mso-height-relative:page;" coordorigin="2689,1970620" coordsize="6372,1943" o:gfxdata="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">
                <o:lock v:ext="edit" aspectratio="f"/>
                <v:shape id="文本框 30" o:spid="_x0000_s1026" o:spt="202" type="#_x0000_t202" style="position:absolute;left:3666;top:1970636;height:401;width:1469;" filled="f" stroked="f" coordsize="21600,21600" o:gfxdata="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fnWvQAA&#10;ANwAAAAPAAAAAAAAAAEAIAAAACIAAABkcnMvZG93bnJldi54bWxQSwECFAAUAAAACACHTuJAMy8F&#10;njsAAAA5AAAAEAAAAAAAAAABACAAAAAMAQAAZHJzL3NoYXBleG1sLnhtbFBLBQYAAAAABgAGAFsB&#10;AAC2AwAAAAA=&#10;">
                  <v:fill on="f" focussize="0,0"/>
                  <v:stroke on="f" weight="0.25pt"/>
                  <v:imagedata o:title=""/>
                  <o:lock v:ext="edit" aspectratio="f"/>
                  <v:textbox>
                    <w:txbxContent>
                      <w:p w14:paraId="4F0C0063">
                        <w:pPr>
                          <w:spacing w:line="300" w:lineRule="exact"/>
                          <w:jc w:val="center"/>
                          <w:rPr>
                            <w:rFonts w:ascii="Times New Roman"/>
                            <w:sz w:val="21"/>
                            <w:szCs w:val="21"/>
                          </w:rPr>
                        </w:pPr>
                        <w:r>
                          <w:rPr>
                            <w:rFonts w:hint="eastAsia" w:ascii="Times New Roman"/>
                            <w:sz w:val="21"/>
                            <w:szCs w:val="21"/>
                          </w:rPr>
                          <w:t>S3、S4、</w:t>
                        </w:r>
                        <w:r>
                          <w:rPr>
                            <w:rFonts w:ascii="Times New Roman"/>
                            <w:sz w:val="21"/>
                            <w:szCs w:val="21"/>
                          </w:rPr>
                          <w:t>N</w:t>
                        </w:r>
                      </w:p>
                    </w:txbxContent>
                  </v:textbox>
                </v:shape>
                <v:group id="组合 122" o:spid="_x0000_s1026" o:spt="203" style="position:absolute;left:2689;top:1970620;height:1943;width:6372;" coordorigin="1959,246549" coordsize="6372,1943"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group id="组合 218" o:spid="_x0000_s1026" o:spt="203" style="position:absolute;left:1959;top:246549;height:1943;width:6372;" coordorigin="1960,217019" coordsize="6359,1942"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group id="组合 34" o:spid="_x0000_s1026" o:spt="203" style="position:absolute;left:1960;top:217019;height:1942;width:6359;" coordorigin="4604,895132" coordsize="6391,2014"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文本框 7" o:spid="_x0000_s1026" o:spt="202" type="#_x0000_t202" style="position:absolute;left:4604;top:895974;height:427;width:778;" filled="f" stroked="f" coordsize="21600,21600" o:gfxdata="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et0S/&#10;AAAA3AAAAA8AAAAAAAAAAQAgAAAAIgAAAGRycy9kb3ducmV2LnhtbFBLAQIUABQAAAAIAIdO4kAz&#10;LwWeOwAAADkAAAAQAAAAAAAAAAEAIAAAAA4BAABkcnMvc2hhcGV4bWwueG1sUEsFBgAAAAAGAAYA&#10;WwEAALgDAAAAAA==&#10;">
                        <v:fill on="f" focussize="0,0"/>
                        <v:stroke on="f" weight="0.25pt"/>
                        <v:imagedata o:title=""/>
                        <o:lock v:ext="edit" aspectratio="f"/>
                        <v:textbox>
                          <w:txbxContent>
                            <w:p w14:paraId="4051BD5E">
                              <w:pPr>
                                <w:spacing w:line="300" w:lineRule="exact"/>
                                <w:rPr>
                                  <w:sz w:val="21"/>
                                  <w:szCs w:val="21"/>
                                </w:rPr>
                              </w:pPr>
                              <w:r>
                                <w:rPr>
                                  <w:rFonts w:hint="eastAsia"/>
                                  <w:sz w:val="21"/>
                                  <w:szCs w:val="21"/>
                                </w:rPr>
                                <w:t>来料</w:t>
                              </w:r>
                            </w:p>
                          </w:txbxContent>
                        </v:textbox>
                      </v:shape>
                      <v:line id="直接连接符 8" o:spid="_x0000_s1026" o:spt="20" style="position:absolute;left:5246;top:896230;height:1;width:585;" filled="f" stroked="t" coordsize="21600,21600" o:gfxdata="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Mwm&#10;wAAAANwAAAAPAAAAAAAAAAEAIAAAACIAAABkcnMvZG93bnJldi54bWxQSwECFAAUAAAACACHTuJA&#10;My8FnjsAAAA5AAAAEAAAAAAAAAABACAAAAAPAQAAZHJzL3NoYXBleG1sLnhtbFBLBQYAAAAABgAG&#10;AFsBAAC5AwAAAAA=&#10;">
                        <v:fill on="f" focussize="0,0"/>
                        <v:stroke weight="0.25pt" color="#000000" joinstyle="round" endarrow="block"/>
                        <v:imagedata o:title=""/>
                        <o:lock v:ext="edit" aspectratio="f"/>
                      </v:line>
                      <v:shape id="文本框 9" o:spid="_x0000_s1026" o:spt="202" type="#_x0000_t202" style="position:absolute;left:5821;top:896014;height:442;width:972;" fillcolor="#FFFFFF" filled="t" stroked="t" coordsize="21600,21600" o:gfxdata="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S32S/&#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0.25pt" color="#000000" joinstyle="miter"/>
                        <v:imagedata o:title=""/>
                        <o:lock v:ext="edit" aspectratio="f"/>
                        <v:textbox>
                          <w:txbxContent>
                            <w:p w14:paraId="719E947C">
                              <w:pPr>
                                <w:spacing w:line="240" w:lineRule="exact"/>
                                <w:rPr>
                                  <w:sz w:val="21"/>
                                  <w:szCs w:val="21"/>
                                </w:rPr>
                              </w:pPr>
                              <w:r>
                                <w:rPr>
                                  <w:rFonts w:hint="eastAsia"/>
                                  <w:sz w:val="21"/>
                                  <w:szCs w:val="21"/>
                                </w:rPr>
                                <w:t>机加工</w:t>
                              </w:r>
                            </w:p>
                          </w:txbxContent>
                        </v:textbox>
                      </v:shape>
                      <v:line id="直接连接符 11" o:spid="_x0000_s1026" o:spt="20" style="position:absolute;left:6787;top:896240;flip:y;height:1;width:511;" filled="f" stroked="t" coordsize="21600,21600" o:gfxdata="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8wIL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shape id="文本框 12" o:spid="_x0000_s1026" o:spt="202" type="#_x0000_t202" style="position:absolute;left:7292;top:896014;height:447;width:743;" fillcolor="#FFFFFF" filled="t" stroked="t" coordsize="21600,21600" o:gfxdata="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N+KL&#10;wAAAANwAAAAPAAAAAAAAAAEAIAAAACIAAABkcnMvZG93bnJldi54bWxQSwECFAAUAAAACACHTuJA&#10;My8FnjsAAAA5AAAAEAAAAAAAAAABACAAAAAPAQAAZHJzL3NoYXBleG1sLnhtbFBLBQYAAAAABgAG&#10;AFsBAAC5AwAAAAA=&#10;">
                        <v:fill type="gradient" on="t" color2="#FFFFFF" angle="90" focus="100%" focussize="0,0">
                          <o:fill type="gradientUnscaled" v:ext="backwardCompatible"/>
                        </v:fill>
                        <v:stroke weight="0.25pt" color="#000000" joinstyle="miter"/>
                        <v:imagedata o:title=""/>
                        <o:lock v:ext="edit" aspectratio="f"/>
                        <v:textbox>
                          <w:txbxContent>
                            <w:p w14:paraId="322827DC">
                              <w:pPr>
                                <w:spacing w:line="240" w:lineRule="exact"/>
                                <w:rPr>
                                  <w:sz w:val="21"/>
                                  <w:szCs w:val="21"/>
                                </w:rPr>
                              </w:pPr>
                              <w:r>
                                <w:rPr>
                                  <w:rFonts w:hint="eastAsia"/>
                                  <w:sz w:val="21"/>
                                  <w:szCs w:val="21"/>
                                </w:rPr>
                                <w:t>焊接</w:t>
                              </w:r>
                            </w:p>
                          </w:txbxContent>
                        </v:textbox>
                      </v:shape>
                      <v:line id="直接连接符 13" o:spid="_x0000_s1026" o:spt="20" style="position:absolute;left:8047;top:896239;height:1;width:586;" filled="f" stroked="t" coordsize="21600,21600" o:gfxdata="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Tyi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shape id="文本框 14" o:spid="_x0000_s1026" o:spt="202" type="#_x0000_t202" style="position:absolute;left:8605;top:896005;height:437;width:859;" fillcolor="#FFFFFF" filled="t" stroked="t" coordsize="21600,21600" o:gfxdata="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qdln&#10;wAAAANwAAAAPAAAAAAAAAAEAIAAAACIAAABkcnMvZG93bnJldi54bWxQSwECFAAUAAAACACHTuJA&#10;My8FnjsAAAA5AAAAEAAAAAAAAAABACAAAAAPAQAAZHJzL3NoYXBleG1sLnhtbFBLBQYAAAAABgAG&#10;AFsBAAC5AwAAAAA=&#10;">
                        <v:fill type="gradient" on="t" color2="#FFFFFF" angle="90" focus="100%" focussize="0,0">
                          <o:fill type="gradientUnscaled" v:ext="backwardCompatible"/>
                        </v:fill>
                        <v:stroke weight="0.25pt" color="#000000" joinstyle="miter"/>
                        <v:imagedata o:title=""/>
                        <o:lock v:ext="edit" aspectratio="f"/>
                        <v:textbox>
                          <w:txbxContent>
                            <w:p w14:paraId="276698D7">
                              <w:pPr>
                                <w:spacing w:line="240" w:lineRule="exact"/>
                                <w:rPr>
                                  <w:sz w:val="21"/>
                                  <w:szCs w:val="21"/>
                                </w:rPr>
                              </w:pPr>
                              <w:r>
                                <w:rPr>
                                  <w:rFonts w:hint="eastAsia"/>
                                  <w:sz w:val="21"/>
                                  <w:szCs w:val="21"/>
                                </w:rPr>
                                <w:t>组装</w:t>
                              </w:r>
                            </w:p>
                          </w:txbxContent>
                        </v:textbox>
                      </v:shape>
                      <v:line id="直接连接符 16" o:spid="_x0000_s1026" o:spt="20" style="position:absolute;left:9472;top:896206;height:1;width:586;" filled="f" stroked="t" coordsize="21600,21600" o:gfxdata="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D7zL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shape id="文本框 25" o:spid="_x0000_s1026" o:spt="202" type="#_x0000_t202" style="position:absolute;left:7216;top:896612;height:534;width:3779;" fillcolor="#FFFFFF" filled="t" stroked="t" coordsize="21600,21600" o:gfxdata="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uiO&#10;wAAAANwAAAAPAAAAAAAAAAEAIAAAACIAAABkcnMvZG93bnJldi54bWxQSwECFAAUAAAACACHTuJA&#10;My8FnjsAAAA5AAAAEAAAAAAAAAABACAAAAAPAQAAZHJzL3NoYXBleG1sLnhtbFBLBQYAAAAABgAG&#10;AFsBAAC5AwAAAAA=&#10;">
                        <v:fill type="gradient" on="t" color2="#FFFFFF" angle="90" focus="100%" focussize="0,0">
                          <o:fill type="gradientUnscaled" v:ext="backwardCompatible"/>
                        </v:fill>
                        <v:stroke weight="0.25pt" color="#000000" joinstyle="miter"/>
                        <v:imagedata o:title=""/>
                        <o:lock v:ext="edit" aspectratio="f"/>
                        <v:textbox>
                          <w:txbxContent>
                            <w:p w14:paraId="5D869FA3">
                              <w:pPr>
                                <w:spacing w:line="300" w:lineRule="exact"/>
                                <w:rPr>
                                  <w:rFonts w:ascii="Times New Roman"/>
                                  <w:sz w:val="21"/>
                                  <w:szCs w:val="21"/>
                                </w:rPr>
                              </w:pPr>
                              <w:r>
                                <w:rPr>
                                  <w:rFonts w:ascii="Times New Roman"/>
                                  <w:sz w:val="21"/>
                                  <w:szCs w:val="21"/>
                                </w:rPr>
                                <w:t>图例：G-废气、N-噪声、S-固体废物</w:t>
                              </w:r>
                            </w:p>
                          </w:txbxContent>
                        </v:textbox>
                      </v:shape>
                      <v:line id="直接连接符 27" o:spid="_x0000_s1026" o:spt="20" style="position:absolute;left:7642;top:895503;flip:y;height:494;width:1;" filled="f" stroked="t" coordsize="21600,21600" o:gfxdata="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GPP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文本框 28" o:spid="_x0000_s1026" o:spt="202" type="#_x0000_t202" style="position:absolute;left:6962;top:895143;height:416;width:1400;" filled="f" stroked="f" coordsize="21600,21600" o:gfxdata="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HIZm/&#10;AAAA3AAAAA8AAAAAAAAAAQAgAAAAIgAAAGRycy9kb3ducmV2LnhtbFBLAQIUABQAAAAIAIdO4kAz&#10;LwWeOwAAADkAAAAQAAAAAAAAAAEAIAAAAA4BAABkcnMvc2hhcGV4bWwueG1sUEsFBgAAAAAGAAYA&#10;WwEAALgDAAAAAA==&#10;">
                        <v:fill on="f" focussize="0,0"/>
                        <v:stroke on="f" weight="0.25pt"/>
                        <v:imagedata o:title=""/>
                        <o:lock v:ext="edit" aspectratio="f"/>
                        <v:textbox>
                          <w:txbxContent>
                            <w:p w14:paraId="54BC68C4">
                              <w:pPr>
                                <w:spacing w:line="300" w:lineRule="exact"/>
                                <w:jc w:val="center"/>
                                <w:rPr>
                                  <w:rFonts w:ascii="Times New Roman"/>
                                  <w:sz w:val="21"/>
                                  <w:szCs w:val="21"/>
                                </w:rPr>
                              </w:pPr>
                              <w:r>
                                <w:rPr>
                                  <w:rFonts w:hint="eastAsia" w:ascii="Times New Roman"/>
                                  <w:sz w:val="21"/>
                                  <w:szCs w:val="21"/>
                                </w:rPr>
                                <w:t>G3、S2、</w:t>
                              </w:r>
                              <w:r>
                                <w:rPr>
                                  <w:rFonts w:ascii="Times New Roman"/>
                                  <w:sz w:val="21"/>
                                  <w:szCs w:val="21"/>
                                </w:rPr>
                                <w:t>N</w:t>
                              </w:r>
                            </w:p>
                          </w:txbxContent>
                        </v:textbox>
                      </v:shape>
                      <v:line id="直接连接符 29" o:spid="_x0000_s1026" o:spt="20" style="position:absolute;left:9036;top:895492;flip:y;height:501;width:1;" filled="f" stroked="t" coordsize="21600,21600" o:gfxdata="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7TS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文本框 30" o:spid="_x0000_s1026" o:spt="202" type="#_x0000_t202" style="position:absolute;left:8758;top:895132;height:416;width:589;" filled="f" stroked="f" coordsize="21600,21600" o:gfxdata="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kadb4A&#10;AADcAAAADwAAAAAAAAABACAAAAAiAAAAZHJzL2Rvd25yZXYueG1sUEsBAhQAFAAAAAgAh07iQDMv&#10;BZ47AAAAOQAAABAAAAAAAAAAAQAgAAAADQEAAGRycy9zaGFwZXhtbC54bWxQSwUGAAAAAAYABgBb&#10;AQAAtwMAAAAA&#10;">
                        <v:fill on="f" focussize="0,0"/>
                        <v:stroke on="f" weight="0.25pt"/>
                        <v:imagedata o:title=""/>
                        <o:lock v:ext="edit" aspectratio="f"/>
                        <v:textbox>
                          <w:txbxContent>
                            <w:p w14:paraId="459141D7">
                              <w:pPr>
                                <w:spacing w:line="300" w:lineRule="exact"/>
                                <w:jc w:val="center"/>
                                <w:rPr>
                                  <w:rFonts w:ascii="Times New Roman"/>
                                  <w:sz w:val="21"/>
                                  <w:szCs w:val="21"/>
                                </w:rPr>
                              </w:pPr>
                              <w:r>
                                <w:rPr>
                                  <w:rFonts w:ascii="Times New Roman"/>
                                  <w:sz w:val="21"/>
                                  <w:szCs w:val="21"/>
                                </w:rPr>
                                <w:t>N</w:t>
                              </w:r>
                            </w:p>
                          </w:txbxContent>
                        </v:textbox>
                      </v:shape>
                    </v:group>
                    <v:line id="直接连接符 29" o:spid="_x0000_s1026" o:spt="20" style="position:absolute;left:3692;top:217386;flip:y;height:483;width:1;" filled="f" stroked="t" coordsize="21600,21600" o:gfxdata="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ok9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group>
                  <v:shape id="文本框 7" o:spid="_x0000_s1026" o:spt="202" type="#_x0000_t202" style="position:absolute;left:7406;top:247365;height:412;width:774;" filled="f" stroked="f" coordsize="21600,21600" o:gfxdata="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CeavQAA&#10;ANwAAAAPAAAAAAAAAAEAIAAAACIAAABkcnMvZG93bnJldi54bWxQSwECFAAUAAAACACHTuJAMy8F&#10;njsAAAA5AAAAEAAAAAAAAAABACAAAAAMAQAAZHJzL3NoYXBleG1sLnhtbFBLBQYAAAAABgAGAFsB&#10;AAC2AwAAAAA=&#10;">
                    <v:fill on="f" focussize="0,0"/>
                    <v:stroke on="f" weight="0.25pt"/>
                    <v:imagedata o:title=""/>
                    <o:lock v:ext="edit" aspectratio="f"/>
                    <v:textbox>
                      <w:txbxContent>
                        <w:p w14:paraId="18E6B193">
                          <w:pPr>
                            <w:spacing w:line="300" w:lineRule="exact"/>
                            <w:rPr>
                              <w:sz w:val="21"/>
                              <w:szCs w:val="21"/>
                            </w:rPr>
                          </w:pPr>
                          <w:r>
                            <w:rPr>
                              <w:rFonts w:hint="eastAsia"/>
                              <w:sz w:val="21"/>
                              <w:szCs w:val="21"/>
                            </w:rPr>
                            <w:t>转序</w:t>
                          </w:r>
                        </w:p>
                      </w:txbxContent>
                    </v:textbox>
                  </v:shape>
                </v:group>
              </v:group>
            </w:pict>
          </mc:Fallback>
        </mc:AlternateContent>
      </w:r>
      <w:r>
        <w:rPr>
          <w:rFonts w:ascii="Times New Roman"/>
          <w:sz w:val="24"/>
          <w:szCs w:val="24"/>
        </w:rPr>
        <w:t>4、轴承座类零件加工过程为外协来料、机加工、总装。</w:t>
      </w:r>
    </w:p>
    <w:p w14:paraId="1CF48C9C">
      <w:pPr>
        <w:spacing w:line="360" w:lineRule="auto"/>
        <w:ind w:firstLine="482" w:firstLineChars="200"/>
        <w:rPr>
          <w:rFonts w:ascii="Times New Roman"/>
          <w:b/>
          <w:sz w:val="24"/>
          <w:szCs w:val="20"/>
        </w:rPr>
      </w:pPr>
    </w:p>
    <w:p w14:paraId="15A539F2">
      <w:pPr>
        <w:spacing w:line="360" w:lineRule="auto"/>
        <w:ind w:firstLine="482" w:firstLineChars="200"/>
        <w:rPr>
          <w:rFonts w:ascii="Times New Roman"/>
          <w:b/>
          <w:sz w:val="24"/>
          <w:szCs w:val="20"/>
        </w:rPr>
      </w:pPr>
    </w:p>
    <w:p w14:paraId="13418927">
      <w:pPr>
        <w:spacing w:line="360" w:lineRule="auto"/>
        <w:ind w:firstLine="482" w:firstLineChars="200"/>
        <w:rPr>
          <w:rFonts w:ascii="Times New Roman"/>
          <w:b/>
          <w:sz w:val="24"/>
          <w:szCs w:val="20"/>
        </w:rPr>
      </w:pPr>
    </w:p>
    <w:p w14:paraId="3FD43C74">
      <w:pPr>
        <w:spacing w:line="360" w:lineRule="auto"/>
        <w:ind w:firstLine="482" w:firstLineChars="200"/>
        <w:rPr>
          <w:rFonts w:ascii="Times New Roman"/>
          <w:b/>
          <w:sz w:val="24"/>
          <w:szCs w:val="20"/>
        </w:rPr>
      </w:pPr>
    </w:p>
    <w:p w14:paraId="3CFA3C4F">
      <w:pPr>
        <w:spacing w:line="0" w:lineRule="atLeast"/>
        <w:jc w:val="center"/>
        <w:rPr>
          <w:rFonts w:ascii="Times New Roman"/>
          <w:b/>
          <w:sz w:val="24"/>
          <w:szCs w:val="20"/>
        </w:rPr>
      </w:pPr>
      <w:r>
        <w:rPr>
          <w:rFonts w:ascii="Times New Roman"/>
          <w:b/>
          <w:sz w:val="24"/>
          <w:szCs w:val="20"/>
        </w:rPr>
        <w:t xml:space="preserve">图3.7-4  </w:t>
      </w:r>
      <w:r>
        <w:rPr>
          <w:rFonts w:ascii="Times New Roman"/>
          <w:b/>
          <w:bCs/>
          <w:sz w:val="24"/>
        </w:rPr>
        <w:t>筒皮、接盘、轴、轴承座</w:t>
      </w:r>
      <w:r>
        <w:rPr>
          <w:rFonts w:ascii="Times New Roman"/>
          <w:b/>
          <w:bCs/>
        </w:rPr>
        <w:t>工艺流程及排污节点示意图</w:t>
      </w:r>
    </w:p>
    <w:p w14:paraId="5D8C9E40">
      <w:pPr>
        <w:spacing w:line="360" w:lineRule="auto"/>
        <w:ind w:firstLine="482" w:firstLineChars="200"/>
        <w:rPr>
          <w:rFonts w:ascii="Times New Roman"/>
          <w:b/>
          <w:sz w:val="24"/>
          <w:szCs w:val="20"/>
        </w:rPr>
      </w:pPr>
      <w:r>
        <w:rPr>
          <w:rFonts w:ascii="Times New Roman"/>
          <w:b/>
          <w:sz w:val="24"/>
          <w:szCs w:val="20"/>
        </w:rPr>
        <w:t>该工序排污节点为：焊接过程产生的颗粒物（G2）；设备运行噪声（N）；机加工产生的废边角料S</w:t>
      </w:r>
      <w:r>
        <w:rPr>
          <w:rFonts w:hint="eastAsia" w:ascii="Times New Roman"/>
          <w:b/>
          <w:sz w:val="24"/>
          <w:szCs w:val="20"/>
        </w:rPr>
        <w:t>3</w:t>
      </w:r>
      <w:r>
        <w:rPr>
          <w:rFonts w:ascii="Times New Roman"/>
          <w:b/>
          <w:sz w:val="24"/>
          <w:szCs w:val="20"/>
        </w:rPr>
        <w:t>、</w:t>
      </w:r>
      <w:r>
        <w:rPr>
          <w:rFonts w:hint="eastAsia" w:ascii="Times New Roman"/>
          <w:b/>
          <w:sz w:val="24"/>
          <w:szCs w:val="20"/>
        </w:rPr>
        <w:t>废切削液S4，</w:t>
      </w:r>
      <w:r>
        <w:rPr>
          <w:rFonts w:ascii="Times New Roman"/>
          <w:b/>
          <w:sz w:val="24"/>
          <w:szCs w:val="20"/>
        </w:rPr>
        <w:t>焊接工程中产生的废焊材（S2）。</w:t>
      </w:r>
    </w:p>
    <w:p w14:paraId="09F847CB">
      <w:pPr>
        <w:numPr>
          <w:ilvl w:val="0"/>
          <w:numId w:val="11"/>
        </w:numPr>
        <w:spacing w:line="360" w:lineRule="auto"/>
        <w:ind w:firstLine="480" w:firstLineChars="200"/>
        <w:rPr>
          <w:rFonts w:ascii="Times New Roman"/>
          <w:sz w:val="24"/>
          <w:szCs w:val="24"/>
        </w:rPr>
      </w:pPr>
      <w:r>
        <w:rPr>
          <w:rFonts w:ascii="Times New Roman"/>
          <w:sz w:val="24"/>
          <w:szCs w:val="24"/>
        </w:rPr>
        <w:t>滚筒</w:t>
      </w:r>
      <w:r>
        <w:rPr>
          <w:rFonts w:hint="eastAsia" w:ascii="Times New Roman"/>
          <w:sz w:val="24"/>
          <w:szCs w:val="24"/>
        </w:rPr>
        <w:t>生产线</w:t>
      </w:r>
      <w:r>
        <w:rPr>
          <w:rFonts w:ascii="Times New Roman"/>
          <w:sz w:val="24"/>
          <w:szCs w:val="24"/>
        </w:rPr>
        <w:t>—热处理工</w:t>
      </w:r>
      <w:r>
        <w:rPr>
          <w:rFonts w:hint="eastAsia" w:ascii="Times New Roman"/>
          <w:sz w:val="24"/>
          <w:szCs w:val="24"/>
        </w:rPr>
        <w:t>段</w:t>
      </w:r>
    </w:p>
    <w:p w14:paraId="5B4E5F7C">
      <w:pPr>
        <w:spacing w:line="360" w:lineRule="auto"/>
        <w:ind w:firstLine="480" w:firstLineChars="200"/>
        <w:rPr>
          <w:rFonts w:ascii="Times New Roman"/>
          <w:sz w:val="24"/>
          <w:szCs w:val="24"/>
        </w:rPr>
      </w:pPr>
      <w:r>
        <w:rPr>
          <w:rFonts w:ascii="Times New Roman"/>
          <w:sz w:val="24"/>
          <w:szCs w:val="24"/>
        </w:rPr>
        <w:t>金属热处理是将金属工件放在一定的介质中加热到适宜的温度，并在此温度中保持一段时间后，又以不同的速度冷却，以改变金属材料表面或内部的结构来控制其力学性能、物理性能、化学性能的一种工艺。根据其加热和冷却方式不同，分为退火、回火、淬火、加热、调质等多种工艺。淬火：为提高金属零部件的表面性能，通过淬火炉将金属零部件加热到870~890℃，保温18分钟，在淬火油/水中冷却，淬火硬度≥HRC60。回火：通过回火炉将金属部件加热到445~455℃，保温1小时，在空气中冷却，消除内应力，硬度达到HRC51~52，回火炉采用电加热。</w:t>
      </w:r>
    </w:p>
    <w:p w14:paraId="618C246E">
      <w:pPr>
        <w:spacing w:line="360" w:lineRule="auto"/>
        <w:ind w:firstLine="480" w:firstLineChars="200"/>
        <w:rPr>
          <w:rFonts w:ascii="Times New Roman"/>
          <w:sz w:val="24"/>
          <w:szCs w:val="24"/>
        </w:rPr>
      </w:pPr>
      <w:r>
        <w:rPr>
          <w:rFonts w:ascii="Times New Roman"/>
          <w:sz w:val="24"/>
          <w:szCs w:val="24"/>
        </w:rPr>
        <w:t>本项目滚筒类结构件热处理采用车炉加热，冷却方式主要为自然冷却和水冷。根据图纸要求把原料放入料框、进入大小车炉，根据工艺要求的温度、时间进行淬火。本项目工件淬火完毕后</w:t>
      </w:r>
      <w:r>
        <w:rPr>
          <w:rFonts w:hint="eastAsia" w:ascii="Times New Roman"/>
          <w:sz w:val="24"/>
          <w:szCs w:val="24"/>
        </w:rPr>
        <w:t>进入回火炉</w:t>
      </w:r>
      <w:r>
        <w:rPr>
          <w:rFonts w:ascii="Times New Roman"/>
          <w:sz w:val="24"/>
          <w:szCs w:val="24"/>
        </w:rPr>
        <w:t>冷却至室温。硬度检测后转序至喷涂工序。本项目滚筒类结构件采用车炉热处理，热源为天然气。</w:t>
      </w:r>
    </w:p>
    <w:p w14:paraId="3BA22255">
      <w:pPr>
        <w:spacing w:line="360" w:lineRule="auto"/>
        <w:ind w:firstLine="480" w:firstLineChars="200"/>
        <w:rPr>
          <w:rFonts w:ascii="Times New Roman"/>
          <w:b/>
          <w:sz w:val="24"/>
          <w:szCs w:val="20"/>
        </w:rPr>
      </w:pPr>
      <w:r>
        <w:rPr>
          <w:rFonts w:ascii="Times New Roman"/>
          <w:sz w:val="24"/>
          <w:szCs w:val="24"/>
        </w:rPr>
        <w:t>本项目轴类零件热处理采用大小淬火炉加热，冷却方式主要为油冷和水冷。由于小型工件水淬火可能会引起冷却过快，出现淬火开裂，因此根据工件的大小选择进行水淬火和油淬火，用淬火油进行淬火处理会产生油雾。根据图纸要求把原料放入料框、进入淬火炉，根据工艺要求的温度、时间进行淬火。本项目工件淬火完毕后</w:t>
      </w:r>
      <w:r>
        <w:rPr>
          <w:rFonts w:hint="eastAsia" w:ascii="Times New Roman"/>
          <w:sz w:val="24"/>
          <w:szCs w:val="24"/>
        </w:rPr>
        <w:t>进入回火炉</w:t>
      </w:r>
      <w:r>
        <w:rPr>
          <w:rFonts w:ascii="Times New Roman"/>
          <w:sz w:val="24"/>
          <w:szCs w:val="24"/>
        </w:rPr>
        <w:t>冷却至室温。硬度检测后转序至喷涂工序。本项目轴类零件采用淬火炉热处理，热源为电能。</w:t>
      </w:r>
    </w:p>
    <w:p w14:paraId="6C7B867D">
      <w:pPr>
        <w:pStyle w:val="1760"/>
        <w:widowControl/>
        <w:spacing w:before="170" w:after="170"/>
        <w:ind w:left="500"/>
        <w:rPr>
          <w:rFonts w:hint="default" w:ascii="Times New Roman" w:hAnsi="Times New Roman"/>
          <w:color w:val="auto"/>
          <w:sz w:val="24"/>
        </w:rPr>
      </w:pPr>
      <w:r>
        <w:rPr>
          <w:rFonts w:hint="default" w:ascii="Times New Roman" w:hAnsi="Times New Roman"/>
          <w:color w:val="auto"/>
          <w:sz w:val="24"/>
        </w:rPr>
        <mc:AlternateContent>
          <mc:Choice Requires="wpg">
            <w:drawing>
              <wp:anchor distT="0" distB="0" distL="114300" distR="114300" simplePos="0" relativeHeight="251667456" behindDoc="0" locked="0" layoutInCell="1" allowOverlap="1">
                <wp:simplePos x="0" y="0"/>
                <wp:positionH relativeFrom="column">
                  <wp:posOffset>1791970</wp:posOffset>
                </wp:positionH>
                <wp:positionV relativeFrom="paragraph">
                  <wp:posOffset>81915</wp:posOffset>
                </wp:positionV>
                <wp:extent cx="2035175" cy="2058670"/>
                <wp:effectExtent l="0" t="0" r="0" b="0"/>
                <wp:wrapNone/>
                <wp:docPr id="356" name="组合 37"/>
                <wp:cNvGraphicFramePr/>
                <a:graphic xmlns:a="http://schemas.openxmlformats.org/drawingml/2006/main">
                  <a:graphicData uri="http://schemas.microsoft.com/office/word/2010/wordprocessingGroup">
                    <wpg:wgp>
                      <wpg:cNvGrpSpPr/>
                      <wpg:grpSpPr>
                        <a:xfrm>
                          <a:off x="0" y="0"/>
                          <a:ext cx="2035175" cy="2058670"/>
                          <a:chOff x="4905" y="260158"/>
                          <a:chExt cx="3205" cy="3155"/>
                        </a:xfrm>
                        <a:effectLst/>
                      </wpg:grpSpPr>
                      <wps:wsp>
                        <wps:cNvPr id="357" name="文本框 2"/>
                        <wps:cNvSpPr txBox="1"/>
                        <wps:spPr>
                          <a:xfrm>
                            <a:off x="5310" y="260158"/>
                            <a:ext cx="972" cy="414"/>
                          </a:xfrm>
                          <a:prstGeom prst="rect">
                            <a:avLst/>
                          </a:prstGeom>
                          <a:noFill/>
                          <a:ln w="6350" cap="flat" cmpd="sng">
                            <a:noFill/>
                            <a:prstDash val="solid"/>
                            <a:miter/>
                            <a:headEnd type="none" w="med" len="med"/>
                            <a:tailEnd type="none" w="med" len="med"/>
                          </a:ln>
                          <a:effectLst/>
                        </wps:spPr>
                        <wps:txbx>
                          <w:txbxContent>
                            <w:p w14:paraId="7343C9BB">
                              <w:pPr>
                                <w:rPr>
                                  <w:sz w:val="21"/>
                                  <w:szCs w:val="21"/>
                                </w:rPr>
                              </w:pPr>
                              <w:r>
                                <w:rPr>
                                  <w:rFonts w:hint="eastAsia"/>
                                  <w:sz w:val="21"/>
                                  <w:szCs w:val="21"/>
                                </w:rPr>
                                <w:t>金属件</w:t>
                              </w:r>
                            </w:p>
                          </w:txbxContent>
                        </wps:txbx>
                        <wps:bodyPr upright="1"/>
                      </wps:wsp>
                      <wpg:grpSp>
                        <wpg:cNvPr id="260" name="组合 26"/>
                        <wpg:cNvGrpSpPr/>
                        <wpg:grpSpPr>
                          <a:xfrm>
                            <a:off x="4905" y="260528"/>
                            <a:ext cx="3205" cy="2785"/>
                            <a:chOff x="4905" y="260528"/>
                            <a:chExt cx="3205" cy="2785"/>
                          </a:xfrm>
                          <a:effectLst/>
                        </wpg:grpSpPr>
                        <wps:wsp>
                          <wps:cNvPr id="358" name="直接箭头连接符 5"/>
                          <wps:cNvCnPr/>
                          <wps:spPr>
                            <a:xfrm>
                              <a:off x="5838" y="260528"/>
                              <a:ext cx="4" cy="416"/>
                            </a:xfrm>
                            <a:prstGeom prst="straightConnector1">
                              <a:avLst/>
                            </a:prstGeom>
                            <a:ln w="12700" cap="flat" cmpd="sng">
                              <a:solidFill>
                                <a:srgbClr val="000000"/>
                              </a:solidFill>
                              <a:prstDash val="solid"/>
                              <a:miter/>
                              <a:headEnd type="none" w="med" len="med"/>
                              <a:tailEnd type="triangle" w="med" len="med"/>
                            </a:ln>
                            <a:effectLst/>
                          </wps:spPr>
                          <wps:bodyPr/>
                        </wps:wsp>
                        <wps:wsp>
                          <wps:cNvPr id="360" name="文本框 6"/>
                          <wps:cNvSpPr txBox="1"/>
                          <wps:spPr>
                            <a:xfrm>
                              <a:off x="6746" y="260929"/>
                              <a:ext cx="1351" cy="393"/>
                            </a:xfrm>
                            <a:prstGeom prst="rect">
                              <a:avLst/>
                            </a:prstGeom>
                            <a:noFill/>
                            <a:ln w="6350" cap="flat" cmpd="sng">
                              <a:noFill/>
                              <a:prstDash val="dash"/>
                              <a:miter/>
                              <a:headEnd type="none" w="med" len="med"/>
                              <a:tailEnd type="none" w="med" len="med"/>
                            </a:ln>
                            <a:effectLst/>
                          </wps:spPr>
                          <wps:txbx>
                            <w:txbxContent>
                              <w:p w14:paraId="21F10259">
                                <w:pPr>
                                  <w:rPr>
                                    <w:rFonts w:ascii="Times New Roman"/>
                                    <w:sz w:val="18"/>
                                    <w:szCs w:val="18"/>
                                  </w:rPr>
                                </w:pPr>
                                <w:r>
                                  <w:rPr>
                                    <w:rFonts w:ascii="Times New Roman"/>
                                    <w:sz w:val="18"/>
                                    <w:szCs w:val="18"/>
                                  </w:rPr>
                                  <w:t>G</w:t>
                                </w:r>
                                <w:r>
                                  <w:rPr>
                                    <w:rFonts w:hint="eastAsia" w:ascii="Times New Roman"/>
                                    <w:sz w:val="18"/>
                                    <w:szCs w:val="18"/>
                                  </w:rPr>
                                  <w:t>4</w:t>
                                </w:r>
                                <w:r>
                                  <w:rPr>
                                    <w:rFonts w:ascii="Times New Roman"/>
                                    <w:sz w:val="18"/>
                                    <w:szCs w:val="18"/>
                                  </w:rPr>
                                  <w:t>、G</w:t>
                                </w:r>
                                <w:r>
                                  <w:rPr>
                                    <w:rFonts w:hint="eastAsia" w:ascii="Times New Roman"/>
                                    <w:sz w:val="18"/>
                                    <w:szCs w:val="18"/>
                                  </w:rPr>
                                  <w:t>5、S6</w:t>
                                </w:r>
                              </w:p>
                            </w:txbxContent>
                          </wps:txbx>
                          <wps:bodyPr upright="1"/>
                        </wps:wsp>
                        <wps:wsp>
                          <wps:cNvPr id="361" name="文本框 108"/>
                          <wps:cNvSpPr txBox="1"/>
                          <wps:spPr>
                            <a:xfrm>
                              <a:off x="5261" y="260944"/>
                              <a:ext cx="1179" cy="442"/>
                            </a:xfrm>
                            <a:prstGeom prst="rect">
                              <a:avLst/>
                            </a:prstGeom>
                            <a:noFill/>
                            <a:ln w="6350" cap="flat" cmpd="sng">
                              <a:solidFill>
                                <a:srgbClr val="000000"/>
                              </a:solidFill>
                              <a:prstDash val="solid"/>
                              <a:miter/>
                              <a:headEnd type="none" w="med" len="med"/>
                              <a:tailEnd type="none" w="med" len="med"/>
                            </a:ln>
                            <a:effectLst/>
                          </wps:spPr>
                          <wps:txbx>
                            <w:txbxContent>
                              <w:p w14:paraId="537687DC">
                                <w:pPr>
                                  <w:jc w:val="center"/>
                                  <w:rPr>
                                    <w:sz w:val="21"/>
                                    <w:szCs w:val="21"/>
                                  </w:rPr>
                                </w:pPr>
                                <w:r>
                                  <w:rPr>
                                    <w:rFonts w:hint="eastAsia"/>
                                    <w:sz w:val="21"/>
                                    <w:szCs w:val="21"/>
                                  </w:rPr>
                                  <w:t>淬火</w:t>
                                </w:r>
                              </w:p>
                            </w:txbxContent>
                          </wps:txbx>
                          <wps:bodyPr upright="1"/>
                        </wps:wsp>
                        <wps:wsp>
                          <wps:cNvPr id="362" name="直接箭头连接符 8"/>
                          <wps:cNvCnPr/>
                          <wps:spPr>
                            <a:xfrm rot="16200000">
                              <a:off x="6663" y="260957"/>
                              <a:ext cx="4" cy="417"/>
                            </a:xfrm>
                            <a:prstGeom prst="straightConnector1">
                              <a:avLst/>
                            </a:prstGeom>
                            <a:ln w="12700" cap="flat" cmpd="sng">
                              <a:solidFill>
                                <a:srgbClr val="000000"/>
                              </a:solidFill>
                              <a:prstDash val="sysDot"/>
                              <a:miter/>
                              <a:headEnd type="none" w="med" len="med"/>
                              <a:tailEnd type="triangle" w="med" len="med"/>
                            </a:ln>
                            <a:effectLst/>
                          </wps:spPr>
                          <wps:bodyPr/>
                        </wps:wsp>
                        <wpg:grpSp>
                          <wpg:cNvPr id="363" name="组合 25"/>
                          <wpg:cNvGrpSpPr/>
                          <wpg:grpSpPr>
                            <a:xfrm>
                              <a:off x="4905" y="261598"/>
                              <a:ext cx="1840" cy="1715"/>
                              <a:chOff x="4891" y="250687"/>
                              <a:chExt cx="1840" cy="1715"/>
                            </a:xfrm>
                            <a:effectLst/>
                          </wpg:grpSpPr>
                          <wps:wsp>
                            <wps:cNvPr id="364" name="文本框 108"/>
                            <wps:cNvSpPr txBox="1"/>
                            <wps:spPr>
                              <a:xfrm>
                                <a:off x="5261" y="250687"/>
                                <a:ext cx="1179" cy="442"/>
                              </a:xfrm>
                              <a:prstGeom prst="rect">
                                <a:avLst/>
                              </a:prstGeom>
                              <a:noFill/>
                              <a:ln w="6350" cap="flat" cmpd="sng">
                                <a:solidFill>
                                  <a:srgbClr val="000000"/>
                                </a:solidFill>
                                <a:prstDash val="solid"/>
                                <a:miter/>
                                <a:headEnd type="none" w="med" len="med"/>
                                <a:tailEnd type="none" w="med" len="med"/>
                              </a:ln>
                              <a:effectLst/>
                            </wps:spPr>
                            <wps:txbx>
                              <w:txbxContent>
                                <w:p w14:paraId="782ECCB7">
                                  <w:pPr>
                                    <w:jc w:val="center"/>
                                    <w:rPr>
                                      <w:sz w:val="21"/>
                                      <w:szCs w:val="21"/>
                                    </w:rPr>
                                  </w:pPr>
                                  <w:r>
                                    <w:rPr>
                                      <w:rFonts w:hint="eastAsia"/>
                                      <w:sz w:val="21"/>
                                      <w:szCs w:val="21"/>
                                    </w:rPr>
                                    <w:t>回火</w:t>
                                  </w:r>
                                </w:p>
                              </w:txbxContent>
                            </wps:txbx>
                            <wps:bodyPr upright="1"/>
                          </wps:wsp>
                          <wps:wsp>
                            <wps:cNvPr id="366" name="直接箭头连接符 163"/>
                            <wps:cNvCnPr/>
                            <wps:spPr>
                              <a:xfrm flipH="1">
                                <a:off x="5834" y="251137"/>
                                <a:ext cx="6" cy="205"/>
                              </a:xfrm>
                              <a:prstGeom prst="straightConnector1">
                                <a:avLst/>
                              </a:prstGeom>
                              <a:ln w="12700" cap="flat" cmpd="sng">
                                <a:solidFill>
                                  <a:srgbClr val="000000"/>
                                </a:solidFill>
                                <a:prstDash val="solid"/>
                                <a:miter/>
                                <a:headEnd type="none" w="med" len="med"/>
                                <a:tailEnd type="triangle" w="med" len="med"/>
                              </a:ln>
                              <a:effectLst/>
                            </wps:spPr>
                            <wps:bodyPr/>
                          </wps:wsp>
                          <wps:wsp>
                            <wps:cNvPr id="367" name="文本框 164"/>
                            <wps:cNvSpPr txBox="1"/>
                            <wps:spPr>
                              <a:xfrm>
                                <a:off x="5250" y="251349"/>
                                <a:ext cx="1179" cy="401"/>
                              </a:xfrm>
                              <a:prstGeom prst="rect">
                                <a:avLst/>
                              </a:prstGeom>
                              <a:noFill/>
                              <a:ln w="6350" cap="flat" cmpd="sng">
                                <a:solidFill>
                                  <a:srgbClr val="000000"/>
                                </a:solidFill>
                                <a:prstDash val="solid"/>
                                <a:miter/>
                                <a:headEnd type="none" w="med" len="med"/>
                                <a:tailEnd type="none" w="med" len="med"/>
                              </a:ln>
                              <a:effectLst/>
                            </wps:spPr>
                            <wps:txbx>
                              <w:txbxContent>
                                <w:p w14:paraId="757E1F31">
                                  <w:pPr>
                                    <w:ind w:firstLine="210" w:firstLineChars="100"/>
                                    <w:rPr>
                                      <w:sz w:val="21"/>
                                      <w:szCs w:val="21"/>
                                    </w:rPr>
                                  </w:pPr>
                                  <w:r>
                                    <w:rPr>
                                      <w:rFonts w:hint="eastAsia"/>
                                      <w:sz w:val="21"/>
                                      <w:szCs w:val="21"/>
                                    </w:rPr>
                                    <w:t>成品</w:t>
                                  </w:r>
                                </w:p>
                              </w:txbxContent>
                            </wps:txbx>
                            <wps:bodyPr upright="1"/>
                          </wps:wsp>
                          <wps:wsp>
                            <wps:cNvPr id="368" name="直接箭头连接符 165"/>
                            <wps:cNvCnPr/>
                            <wps:spPr>
                              <a:xfrm flipH="1">
                                <a:off x="5850" y="251761"/>
                                <a:ext cx="6" cy="205"/>
                              </a:xfrm>
                              <a:prstGeom prst="straightConnector1">
                                <a:avLst/>
                              </a:prstGeom>
                              <a:ln w="12700" cap="flat" cmpd="sng">
                                <a:solidFill>
                                  <a:srgbClr val="000000"/>
                                </a:solidFill>
                                <a:prstDash val="solid"/>
                                <a:miter/>
                                <a:headEnd type="none" w="med" len="med"/>
                                <a:tailEnd type="triangle" w="med" len="med"/>
                              </a:ln>
                              <a:effectLst/>
                            </wps:spPr>
                            <wps:bodyPr/>
                          </wps:wsp>
                          <wps:wsp>
                            <wps:cNvPr id="369" name="文本框 166"/>
                            <wps:cNvSpPr txBox="1"/>
                            <wps:spPr>
                              <a:xfrm>
                                <a:off x="4891" y="251984"/>
                                <a:ext cx="1840" cy="418"/>
                              </a:xfrm>
                              <a:prstGeom prst="rect">
                                <a:avLst/>
                              </a:prstGeom>
                              <a:noFill/>
                              <a:ln w="6350" cap="flat" cmpd="sng">
                                <a:noFill/>
                                <a:prstDash val="solid"/>
                                <a:miter/>
                                <a:headEnd type="none" w="med" len="med"/>
                                <a:tailEnd type="none" w="med" len="med"/>
                              </a:ln>
                              <a:effectLst/>
                            </wps:spPr>
                            <wps:txbx>
                              <w:txbxContent>
                                <w:p w14:paraId="33A929D6">
                                  <w:pPr>
                                    <w:ind w:firstLine="210" w:firstLineChars="100"/>
                                    <w:rPr>
                                      <w:sz w:val="21"/>
                                      <w:szCs w:val="21"/>
                                    </w:rPr>
                                  </w:pPr>
                                  <w:r>
                                    <w:rPr>
                                      <w:rFonts w:hint="eastAsia"/>
                                      <w:sz w:val="21"/>
                                      <w:szCs w:val="21"/>
                                    </w:rPr>
                                    <w:t>转喷涂工序</w:t>
                                  </w:r>
                                </w:p>
                              </w:txbxContent>
                            </wps:txbx>
                            <wps:bodyPr upright="1"/>
                          </wps:wsp>
                        </wpg:grpSp>
                        <wps:wsp>
                          <wps:cNvPr id="370" name="直接箭头连接符 9"/>
                          <wps:cNvCnPr/>
                          <wps:spPr>
                            <a:xfrm flipH="1">
                              <a:off x="5834" y="261394"/>
                              <a:ext cx="6" cy="205"/>
                            </a:xfrm>
                            <a:prstGeom prst="straightConnector1">
                              <a:avLst/>
                            </a:prstGeom>
                            <a:ln w="12700" cap="flat" cmpd="sng">
                              <a:solidFill>
                                <a:srgbClr val="000000"/>
                              </a:solidFill>
                              <a:prstDash val="solid"/>
                              <a:miter/>
                              <a:headEnd type="none" w="med" len="med"/>
                              <a:tailEnd type="triangle" w="med" len="med"/>
                            </a:ln>
                            <a:effectLst/>
                          </wps:spPr>
                          <wps:bodyPr/>
                        </wps:wsp>
                        <wps:wsp>
                          <wps:cNvPr id="18" name="文本框 6"/>
                          <wps:cNvSpPr txBox="1"/>
                          <wps:spPr>
                            <a:xfrm>
                              <a:off x="6759" y="261598"/>
                              <a:ext cx="1351" cy="393"/>
                            </a:xfrm>
                            <a:prstGeom prst="rect">
                              <a:avLst/>
                            </a:prstGeom>
                            <a:noFill/>
                            <a:ln w="6350" cap="flat" cmpd="sng">
                              <a:noFill/>
                              <a:prstDash val="dash"/>
                              <a:miter/>
                              <a:headEnd type="none" w="med" len="med"/>
                              <a:tailEnd type="none" w="med" len="med"/>
                            </a:ln>
                            <a:effectLst/>
                          </wps:spPr>
                          <wps:txbx>
                            <w:txbxContent>
                              <w:p w14:paraId="3489FABF">
                                <w:pPr>
                                  <w:rPr>
                                    <w:rFonts w:ascii="Times New Roman"/>
                                    <w:sz w:val="18"/>
                                    <w:szCs w:val="18"/>
                                  </w:rPr>
                                </w:pPr>
                                <w:r>
                                  <w:rPr>
                                    <w:rFonts w:ascii="Times New Roman"/>
                                    <w:sz w:val="18"/>
                                    <w:szCs w:val="18"/>
                                  </w:rPr>
                                  <w:t>G</w:t>
                                </w:r>
                                <w:r>
                                  <w:rPr>
                                    <w:rFonts w:hint="eastAsia" w:ascii="Times New Roman"/>
                                    <w:sz w:val="18"/>
                                    <w:szCs w:val="18"/>
                                  </w:rPr>
                                  <w:t>4</w:t>
                                </w:r>
                                <w:r>
                                  <w:rPr>
                                    <w:rFonts w:ascii="Times New Roman"/>
                                    <w:sz w:val="18"/>
                                    <w:szCs w:val="18"/>
                                  </w:rPr>
                                  <w:t>、G</w:t>
                                </w:r>
                                <w:r>
                                  <w:rPr>
                                    <w:rFonts w:hint="eastAsia" w:ascii="Times New Roman"/>
                                    <w:sz w:val="18"/>
                                    <w:szCs w:val="18"/>
                                  </w:rPr>
                                  <w:t>5、S6</w:t>
                                </w:r>
                              </w:p>
                            </w:txbxContent>
                          </wps:txbx>
                          <wps:bodyPr upright="1"/>
                        </wps:wsp>
                        <wps:wsp>
                          <wps:cNvPr id="20" name="直接箭头连接符 8"/>
                          <wps:cNvCnPr/>
                          <wps:spPr>
                            <a:xfrm rot="16200000">
                              <a:off x="6676" y="261627"/>
                              <a:ext cx="4" cy="417"/>
                            </a:xfrm>
                            <a:prstGeom prst="straightConnector1">
                              <a:avLst/>
                            </a:prstGeom>
                            <a:ln w="12700" cap="flat" cmpd="sng">
                              <a:solidFill>
                                <a:srgbClr val="000000"/>
                              </a:solidFill>
                              <a:prstDash val="sysDot"/>
                              <a:miter/>
                              <a:headEnd type="none" w="med" len="med"/>
                              <a:tailEnd type="triangle" w="med" len="med"/>
                            </a:ln>
                            <a:effectLst/>
                          </wps:spPr>
                          <wps:bodyPr/>
                        </wps:wsp>
                      </wpg:grpSp>
                    </wpg:wgp>
                  </a:graphicData>
                </a:graphic>
              </wp:anchor>
            </w:drawing>
          </mc:Choice>
          <mc:Fallback>
            <w:pict>
              <v:group id="组合 37" o:spid="_x0000_s1026" o:spt="203" style="position:absolute;left:0pt;margin-left:141.1pt;margin-top:6.45pt;height:162.1pt;width:160.25pt;z-index:251667456;mso-width-relative:page;mso-height-relative:page;" coordorigin="4905,260158" coordsize="3205,3155" o:gfxdata="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HKE3YnaAAAACgEAAA8AAAAAAAAAAQAgAAAAIgAAAGRycy9kb3ducmV2LnhtbFBLAQIUABQAAAAI&#10;AIdO4kCbdzbyQgUAAEQiAAAOAAAAAAAAAAEAIAAAACkBAABkcnMvZTJvRG9jLnhtbFBLBQYAAAAA&#10;BgAGAFkBAADdCAAAAAA=&#10;">
                <o:lock v:ext="edit" aspectratio="f"/>
                <v:shape id="文本框 2" o:spid="_x0000_s1026" o:spt="202" type="#_x0000_t202" style="position:absolute;left:5310;top:260158;height:414;width:972;" filled="f" stroked="f" coordsize="21600,21600" o:gfxdata="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TU&#10;BsEAAADcAAAADwAAAAAAAAABACAAAAAiAAAAZHJzL2Rvd25yZXYueG1sUEsBAhQAFAAAAAgAh07i&#10;QDMvBZ47AAAAOQAAABAAAAAAAAAAAQAgAAAAEAEAAGRycy9zaGFwZXhtbC54bWxQSwUGAAAAAAYA&#10;BgBbAQAAugMAAAAA&#10;">
                  <v:fill on="f" focussize="0,0"/>
                  <v:stroke on="f" weight="0.5pt" joinstyle="miter"/>
                  <v:imagedata o:title=""/>
                  <o:lock v:ext="edit" aspectratio="f"/>
                  <v:textbox>
                    <w:txbxContent>
                      <w:p w14:paraId="7343C9BB">
                        <w:pPr>
                          <w:rPr>
                            <w:sz w:val="21"/>
                            <w:szCs w:val="21"/>
                          </w:rPr>
                        </w:pPr>
                        <w:r>
                          <w:rPr>
                            <w:rFonts w:hint="eastAsia"/>
                            <w:sz w:val="21"/>
                            <w:szCs w:val="21"/>
                          </w:rPr>
                          <w:t>金属件</w:t>
                        </w:r>
                      </w:p>
                    </w:txbxContent>
                  </v:textbox>
                </v:shape>
                <v:group id="组合 26" o:spid="_x0000_s1026" o:spt="203" style="position:absolute;left:4905;top:260528;height:2785;width:3205;" coordorigin="4905,260528" coordsize="3205,2785"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直接箭头连接符 5" o:spid="_x0000_s1026" o:spt="32" type="#_x0000_t32" style="position:absolute;left:5838;top:260528;height:416;width:4;" filled="f" stroked="t" coordsize="21600,21600" o:gfxdata="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GNnC8AAAA&#10;3AAAAA8AAAAAAAAAAQAgAAAAIgAAAGRycy9kb3ducmV2LnhtbFBLAQIUABQAAAAIAIdO4kAzLwWe&#10;OwAAADkAAAAQAAAAAAAAAAEAIAAAAAsBAABkcnMvc2hhcGV4bWwueG1sUEsFBgAAAAAGAAYAWwEA&#10;ALUDAAAAAA==&#10;">
                    <v:fill on="f" focussize="0,0"/>
                    <v:stroke weight="1pt" color="#000000" joinstyle="miter" endarrow="block"/>
                    <v:imagedata o:title=""/>
                    <o:lock v:ext="edit" aspectratio="f"/>
                  </v:shape>
                  <v:shape id="文本框 6" o:spid="_x0000_s1026" o:spt="202" type="#_x0000_t202" style="position:absolute;left:6746;top:260929;height:393;width:1351;" filled="f" stroked="f" coordsize="21600,21600" o:gfxdata="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maqLgAAADcAAAA&#10;DwAAAAAAAAABACAAAAAiAAAAZHJzL2Rvd25yZXYueG1sUEsBAhQAFAAAAAgAh07iQDMvBZ47AAAA&#10;OQAAABAAAAAAAAAAAQAgAAAABwEAAGRycy9zaGFwZXhtbC54bWxQSwUGAAAAAAYABgBbAQAAsQMA&#10;AAAA&#10;">
                    <v:fill on="f" focussize="0,0"/>
                    <v:stroke on="f" weight="0.5pt" joinstyle="miter" dashstyle="dash"/>
                    <v:imagedata o:title=""/>
                    <o:lock v:ext="edit" aspectratio="f"/>
                    <v:textbox>
                      <w:txbxContent>
                        <w:p w14:paraId="21F10259">
                          <w:pPr>
                            <w:rPr>
                              <w:rFonts w:ascii="Times New Roman"/>
                              <w:sz w:val="18"/>
                              <w:szCs w:val="18"/>
                            </w:rPr>
                          </w:pPr>
                          <w:r>
                            <w:rPr>
                              <w:rFonts w:ascii="Times New Roman"/>
                              <w:sz w:val="18"/>
                              <w:szCs w:val="18"/>
                            </w:rPr>
                            <w:t>G</w:t>
                          </w:r>
                          <w:r>
                            <w:rPr>
                              <w:rFonts w:hint="eastAsia" w:ascii="Times New Roman"/>
                              <w:sz w:val="18"/>
                              <w:szCs w:val="18"/>
                            </w:rPr>
                            <w:t>4</w:t>
                          </w:r>
                          <w:r>
                            <w:rPr>
                              <w:rFonts w:ascii="Times New Roman"/>
                              <w:sz w:val="18"/>
                              <w:szCs w:val="18"/>
                            </w:rPr>
                            <w:t>、G</w:t>
                          </w:r>
                          <w:r>
                            <w:rPr>
                              <w:rFonts w:hint="eastAsia" w:ascii="Times New Roman"/>
                              <w:sz w:val="18"/>
                              <w:szCs w:val="18"/>
                            </w:rPr>
                            <w:t>5、S6</w:t>
                          </w:r>
                        </w:p>
                      </w:txbxContent>
                    </v:textbox>
                  </v:shape>
                  <v:shape id="文本框 108" o:spid="_x0000_s1026" o:spt="202" type="#_x0000_t202" style="position:absolute;left:5261;top:260944;height:442;width:1179;" filled="f" stroked="t" coordsize="21600,21600" o:gfxdata="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5A69&#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w:txbxContent>
                        <w:p w14:paraId="537687DC">
                          <w:pPr>
                            <w:jc w:val="center"/>
                            <w:rPr>
                              <w:sz w:val="21"/>
                              <w:szCs w:val="21"/>
                            </w:rPr>
                          </w:pPr>
                          <w:r>
                            <w:rPr>
                              <w:rFonts w:hint="eastAsia"/>
                              <w:sz w:val="21"/>
                              <w:szCs w:val="21"/>
                            </w:rPr>
                            <w:t>淬火</w:t>
                          </w:r>
                        </w:p>
                      </w:txbxContent>
                    </v:textbox>
                  </v:shape>
                  <v:shape id="直接箭头连接符 8" o:spid="_x0000_s1026" o:spt="32" type="#_x0000_t32" style="position:absolute;left:6663;top:260957;height:417;width:4;rotation:-5898240f;" filled="f" stroked="t" coordsize="21600,21600" o:gfxdata="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TM&#10;wAAAANwAAAAPAAAAAAAAAAEAIAAAACIAAABkcnMvZG93bnJldi54bWxQSwECFAAUAAAACACHTuJA&#10;My8FnjsAAAA5AAAAEAAAAAAAAAABACAAAAAPAQAAZHJzL3NoYXBleG1sLnhtbFBLBQYAAAAABgAG&#10;AFsBAAC5AwAAAAA=&#10;">
                    <v:fill on="f" focussize="0,0"/>
                    <v:stroke weight="1pt" color="#000000" joinstyle="miter" dashstyle="1 1" endarrow="block"/>
                    <v:imagedata o:title=""/>
                    <o:lock v:ext="edit" aspectratio="f"/>
                  </v:shape>
                  <v:group id="组合 25" o:spid="_x0000_s1026" o:spt="203" style="position:absolute;left:4905;top:261598;height:1715;width:1840;" coordorigin="4891,250687" coordsize="1840,1715"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o:lock v:ext="edit" aspectratio="f"/>
                    <v:shape id="文本框 108" o:spid="_x0000_s1026" o:spt="202" type="#_x0000_t202" style="position:absolute;left:5261;top:250687;height:442;width:1179;" filled="f" stroked="t" coordsize="21600,21600" o:gfxdata="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k60l&#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w:txbxContent>
                          <w:p w14:paraId="782ECCB7">
                            <w:pPr>
                              <w:jc w:val="center"/>
                              <w:rPr>
                                <w:sz w:val="21"/>
                                <w:szCs w:val="21"/>
                              </w:rPr>
                            </w:pPr>
                            <w:r>
                              <w:rPr>
                                <w:rFonts w:hint="eastAsia"/>
                                <w:sz w:val="21"/>
                                <w:szCs w:val="21"/>
                              </w:rPr>
                              <w:t>回火</w:t>
                            </w:r>
                          </w:p>
                        </w:txbxContent>
                      </v:textbox>
                    </v:shape>
                    <v:shape id="直接箭头连接符 163" o:spid="_x0000_s1026" o:spt="32" type="#_x0000_t32" style="position:absolute;left:5834;top:251137;flip:x;height:205;width:6;" filled="f" stroked="t" coordsize="21600,21600" o:gfxdata="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pcLvQAA&#10;ANwAAAAPAAAAAAAAAAEAIAAAACIAAABkcnMvZG93bnJldi54bWxQSwECFAAUAAAACACHTuJAMy8F&#10;njsAAAA5AAAAEAAAAAAAAAABACAAAAAMAQAAZHJzL3NoYXBleG1sLnhtbFBLBQYAAAAABgAGAFsB&#10;AAC2AwAAAAA=&#10;">
                      <v:fill on="f" focussize="0,0"/>
                      <v:stroke weight="1pt" color="#000000" joinstyle="miter" endarrow="block"/>
                      <v:imagedata o:title=""/>
                      <o:lock v:ext="edit" aspectratio="f"/>
                    </v:shape>
                    <v:shape id="文本框 164" o:spid="_x0000_s1026" o:spt="202" type="#_x0000_t202" style="position:absolute;left:5250;top:251349;height:401;width:1179;" filled="f" stroked="t" coordsize="21600,21600" o:gfxdata="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QTNS&#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w:txbxContent>
                          <w:p w14:paraId="757E1F31">
                            <w:pPr>
                              <w:ind w:firstLine="210" w:firstLineChars="100"/>
                              <w:rPr>
                                <w:sz w:val="21"/>
                                <w:szCs w:val="21"/>
                              </w:rPr>
                            </w:pPr>
                            <w:r>
                              <w:rPr>
                                <w:rFonts w:hint="eastAsia"/>
                                <w:sz w:val="21"/>
                                <w:szCs w:val="21"/>
                              </w:rPr>
                              <w:t>成品</w:t>
                            </w:r>
                          </w:p>
                        </w:txbxContent>
                      </v:textbox>
                    </v:shape>
                    <v:shape id="直接箭头连接符 165" o:spid="_x0000_s1026" o:spt="32" type="#_x0000_t32" style="position:absolute;left:5850;top:251761;flip:x;height:205;width:6;" filled="f" stroked="t" coordsize="21600,21600" o:gfxdata="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YabiugAAANwA&#10;AAAPAAAAAAAAAAEAIAAAACIAAABkcnMvZG93bnJldi54bWxQSwECFAAUAAAACACHTuJAMy8FnjsA&#10;AAA5AAAAEAAAAAAAAAABACAAAAAJAQAAZHJzL3NoYXBleG1sLnhtbFBLBQYAAAAABgAGAFsBAACz&#10;AwAAAAA=&#10;">
                      <v:fill on="f" focussize="0,0"/>
                      <v:stroke weight="1pt" color="#000000" joinstyle="miter" endarrow="block"/>
                      <v:imagedata o:title=""/>
                      <o:lock v:ext="edit" aspectratio="f"/>
                    </v:shape>
                    <v:shape id="文本框 166" o:spid="_x0000_s1026" o:spt="202" type="#_x0000_t202" style="position:absolute;left:4891;top:251984;height:418;width:1840;" filled="f" stroked="f" coordsize="21600,21600" o:gfxdata="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rL1K/&#10;AAAA3AAAAA8AAAAAAAAAAQAgAAAAIgAAAGRycy9kb3ducmV2LnhtbFBLAQIUABQAAAAIAIdO4kAz&#10;LwWeOwAAADkAAAAQAAAAAAAAAAEAIAAAAA4BAABkcnMvc2hhcGV4bWwueG1sUEsFBgAAAAAGAAYA&#10;WwEAALgDAAAAAA==&#10;">
                      <v:fill on="f" focussize="0,0"/>
                      <v:stroke on="f" weight="0.5pt" joinstyle="miter"/>
                      <v:imagedata o:title=""/>
                      <o:lock v:ext="edit" aspectratio="f"/>
                      <v:textbox>
                        <w:txbxContent>
                          <w:p w14:paraId="33A929D6">
                            <w:pPr>
                              <w:ind w:firstLine="210" w:firstLineChars="100"/>
                              <w:rPr>
                                <w:sz w:val="21"/>
                                <w:szCs w:val="21"/>
                              </w:rPr>
                            </w:pPr>
                            <w:r>
                              <w:rPr>
                                <w:rFonts w:hint="eastAsia"/>
                                <w:sz w:val="21"/>
                                <w:szCs w:val="21"/>
                              </w:rPr>
                              <w:t>转喷涂工序</w:t>
                            </w:r>
                          </w:p>
                        </w:txbxContent>
                      </v:textbox>
                    </v:shape>
                  </v:group>
                  <v:shape id="直接箭头连接符 9" o:spid="_x0000_s1026" o:spt="32" type="#_x0000_t32" style="position:absolute;left:5834;top:261394;flip:x;height:205;width:6;" filled="f" stroked="t" coordsize="21600,21600" o:gfxdata="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zjw5ugAAANwA&#10;AAAPAAAAAAAAAAEAIAAAACIAAABkcnMvZG93bnJldi54bWxQSwECFAAUAAAACACHTuJAMy8FnjsA&#10;AAA5AAAAEAAAAAAAAAABACAAAAAJAQAAZHJzL3NoYXBleG1sLnhtbFBLBQYAAAAABgAGAFsBAACz&#10;AwAAAAA=&#10;">
                    <v:fill on="f" focussize="0,0"/>
                    <v:stroke weight="1pt" color="#000000" joinstyle="miter" endarrow="block"/>
                    <v:imagedata o:title=""/>
                    <o:lock v:ext="edit" aspectratio="f"/>
                  </v:shape>
                  <v:shape id="文本框 6" o:spid="_x0000_s1026" o:spt="202" type="#_x0000_t202" style="position:absolute;left:6759;top:261598;height:393;width:1351;" filled="f" stroked="f" coordsize="21600,21600" o:gfxdata="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qHR7sAAADb&#10;AAAADwAAAAAAAAABACAAAAAiAAAAZHJzL2Rvd25yZXYueG1sUEsBAhQAFAAAAAgAh07iQDMvBZ47&#10;AAAAOQAAABAAAAAAAAAAAQAgAAAACgEAAGRycy9zaGFwZXhtbC54bWxQSwUGAAAAAAYABgBbAQAA&#10;tAMAAAAA&#10;">
                    <v:fill on="f" focussize="0,0"/>
                    <v:stroke on="f" weight="0.5pt" joinstyle="miter" dashstyle="dash"/>
                    <v:imagedata o:title=""/>
                    <o:lock v:ext="edit" aspectratio="f"/>
                    <v:textbox>
                      <w:txbxContent>
                        <w:p w14:paraId="3489FABF">
                          <w:pPr>
                            <w:rPr>
                              <w:rFonts w:ascii="Times New Roman"/>
                              <w:sz w:val="18"/>
                              <w:szCs w:val="18"/>
                            </w:rPr>
                          </w:pPr>
                          <w:r>
                            <w:rPr>
                              <w:rFonts w:ascii="Times New Roman"/>
                              <w:sz w:val="18"/>
                              <w:szCs w:val="18"/>
                            </w:rPr>
                            <w:t>G</w:t>
                          </w:r>
                          <w:r>
                            <w:rPr>
                              <w:rFonts w:hint="eastAsia" w:ascii="Times New Roman"/>
                              <w:sz w:val="18"/>
                              <w:szCs w:val="18"/>
                            </w:rPr>
                            <w:t>4</w:t>
                          </w:r>
                          <w:r>
                            <w:rPr>
                              <w:rFonts w:ascii="Times New Roman"/>
                              <w:sz w:val="18"/>
                              <w:szCs w:val="18"/>
                            </w:rPr>
                            <w:t>、G</w:t>
                          </w:r>
                          <w:r>
                            <w:rPr>
                              <w:rFonts w:hint="eastAsia" w:ascii="Times New Roman"/>
                              <w:sz w:val="18"/>
                              <w:szCs w:val="18"/>
                            </w:rPr>
                            <w:t>5、S6</w:t>
                          </w:r>
                        </w:p>
                      </w:txbxContent>
                    </v:textbox>
                  </v:shape>
                  <v:shape id="直接箭头连接符 8" o:spid="_x0000_s1026" o:spt="32" type="#_x0000_t32" style="position:absolute;left:6676;top:261627;height:417;width:4;rotation:-5898240f;" filled="f" stroked="t" coordsize="21600,21600" o:gfxdata="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QJPG8AAAA&#10;2wAAAA8AAAAAAAAAAQAgAAAAIgAAAGRycy9kb3ducmV2LnhtbFBLAQIUABQAAAAIAIdO4kAzLwWe&#10;OwAAADkAAAAQAAAAAAAAAAEAIAAAAAsBAABkcnMvc2hhcGV4bWwueG1sUEsFBgAAAAAGAAYAWwEA&#10;ALUDAAAAAA==&#10;">
                    <v:fill on="f" focussize="0,0"/>
                    <v:stroke weight="1pt" color="#000000" joinstyle="miter" dashstyle="1 1" endarrow="block"/>
                    <v:imagedata o:title=""/>
                    <o:lock v:ext="edit" aspectratio="f"/>
                  </v:shape>
                </v:group>
              </v:group>
            </w:pict>
          </mc:Fallback>
        </mc:AlternateContent>
      </w:r>
    </w:p>
    <w:p w14:paraId="697655BE">
      <w:pPr>
        <w:pStyle w:val="1760"/>
        <w:widowControl/>
        <w:spacing w:before="170" w:after="170"/>
        <w:ind w:left="500"/>
        <w:rPr>
          <w:rFonts w:hint="default" w:ascii="Times New Roman" w:hAnsi="Times New Roman"/>
          <w:color w:val="auto"/>
          <w:sz w:val="24"/>
        </w:rPr>
      </w:pPr>
    </w:p>
    <w:p w14:paraId="41616541">
      <w:pPr>
        <w:pStyle w:val="1760"/>
        <w:widowControl/>
        <w:spacing w:before="170" w:after="170"/>
        <w:ind w:left="500"/>
        <w:rPr>
          <w:rFonts w:hint="default" w:ascii="Times New Roman" w:hAnsi="Times New Roman"/>
          <w:color w:val="auto"/>
          <w:sz w:val="24"/>
        </w:rPr>
      </w:pPr>
    </w:p>
    <w:p w14:paraId="03D98C3F">
      <w:pPr>
        <w:pStyle w:val="1760"/>
        <w:widowControl/>
        <w:spacing w:before="170" w:after="170"/>
        <w:ind w:left="500"/>
        <w:rPr>
          <w:rFonts w:hint="default" w:ascii="Times New Roman" w:hAnsi="Times New Roman"/>
          <w:color w:val="auto"/>
          <w:sz w:val="24"/>
        </w:rPr>
      </w:pPr>
    </w:p>
    <w:p w14:paraId="3F65DD41">
      <w:pPr>
        <w:pStyle w:val="1760"/>
        <w:widowControl/>
        <w:spacing w:before="170" w:after="170"/>
        <w:ind w:left="500"/>
        <w:rPr>
          <w:rFonts w:hint="default" w:ascii="Times New Roman" w:hAnsi="Times New Roman"/>
          <w:color w:val="auto"/>
          <w:sz w:val="24"/>
        </w:rPr>
      </w:pPr>
    </w:p>
    <w:p w14:paraId="2F217E1B">
      <w:pPr>
        <w:spacing w:line="500" w:lineRule="exact"/>
        <w:jc w:val="center"/>
        <w:rPr>
          <w:rFonts w:ascii="Times New Roman"/>
        </w:rPr>
      </w:pPr>
      <w:r>
        <w:rPr>
          <w:rFonts w:ascii="Times New Roman"/>
          <w:b/>
          <w:bCs/>
          <w:sz w:val="24"/>
          <w:szCs w:val="24"/>
        </w:rPr>
        <w:t>图3</w:t>
      </w:r>
      <w:r>
        <w:rPr>
          <w:rFonts w:ascii="Times New Roman"/>
          <w:b/>
          <w:bCs/>
          <w:w w:val="90"/>
          <w:kern w:val="0"/>
          <w:sz w:val="24"/>
          <w:szCs w:val="24"/>
          <w:lang w:bidi="zh-CN"/>
        </w:rPr>
        <w:t xml:space="preserve">.7-5  </w:t>
      </w:r>
      <w:r>
        <w:rPr>
          <w:rFonts w:ascii="Times New Roman"/>
          <w:b/>
          <w:bCs/>
          <w:sz w:val="24"/>
          <w:szCs w:val="24"/>
        </w:rPr>
        <w:t>热处理生产工艺</w:t>
      </w:r>
      <w:r>
        <w:rPr>
          <w:rFonts w:ascii="Times New Roman"/>
          <w:b/>
          <w:bCs/>
          <w:sz w:val="24"/>
        </w:rPr>
        <w:t>及产排污节点图</w:t>
      </w:r>
    </w:p>
    <w:p w14:paraId="0DB19E39">
      <w:pPr>
        <w:spacing w:line="360" w:lineRule="auto"/>
        <w:ind w:firstLine="482" w:firstLineChars="200"/>
        <w:rPr>
          <w:rFonts w:ascii="Times New Roman"/>
          <w:b/>
          <w:sz w:val="24"/>
          <w:szCs w:val="20"/>
        </w:rPr>
      </w:pPr>
      <w:r>
        <w:rPr>
          <w:rFonts w:ascii="Times New Roman"/>
          <w:b/>
          <w:sz w:val="24"/>
          <w:szCs w:val="20"/>
        </w:rPr>
        <w:t>此车间污染源主要为：热处理大小台车炉产生的燃烧废气颗粒物、二氧化硫、氮氧化物（G4），淬火油处理过程产生的非甲烷总烃、油雾颗粒物G5</w:t>
      </w:r>
      <w:r>
        <w:rPr>
          <w:rFonts w:hint="eastAsia" w:ascii="Times New Roman"/>
          <w:b/>
          <w:sz w:val="24"/>
          <w:szCs w:val="20"/>
        </w:rPr>
        <w:t>，淬火、回火产生槽渣S6</w:t>
      </w:r>
      <w:r>
        <w:rPr>
          <w:rFonts w:ascii="Times New Roman"/>
          <w:b/>
          <w:sz w:val="24"/>
          <w:szCs w:val="20"/>
        </w:rPr>
        <w:t>。</w:t>
      </w:r>
    </w:p>
    <w:p w14:paraId="7997EAB3">
      <w:pPr>
        <w:spacing w:line="360" w:lineRule="auto"/>
        <w:outlineLvl w:val="2"/>
        <w:rPr>
          <w:rFonts w:ascii="Times New Roman"/>
          <w:b/>
          <w:sz w:val="28"/>
          <w:szCs w:val="28"/>
        </w:rPr>
      </w:pPr>
      <w:r>
        <w:rPr>
          <w:rFonts w:ascii="Times New Roman"/>
          <w:b/>
          <w:sz w:val="28"/>
          <w:szCs w:val="28"/>
        </w:rPr>
        <w:t>3.7.3表面处理</w:t>
      </w:r>
      <w:r>
        <w:rPr>
          <w:rFonts w:hint="eastAsia" w:ascii="Times New Roman"/>
          <w:b/>
          <w:sz w:val="28"/>
          <w:szCs w:val="28"/>
        </w:rPr>
        <w:t>生产</w:t>
      </w:r>
      <w:r>
        <w:rPr>
          <w:rFonts w:ascii="Times New Roman"/>
          <w:b/>
          <w:sz w:val="28"/>
          <w:szCs w:val="28"/>
        </w:rPr>
        <w:t>区</w:t>
      </w:r>
    </w:p>
    <w:p w14:paraId="7A000D82">
      <w:pPr>
        <w:pStyle w:val="20"/>
        <w:spacing w:line="360" w:lineRule="auto"/>
        <w:ind w:firstLine="480" w:firstLineChars="200"/>
        <w:rPr>
          <w:rFonts w:eastAsiaTheme="minorEastAsia"/>
          <w:sz w:val="24"/>
        </w:rPr>
      </w:pPr>
      <w:r>
        <w:rPr>
          <w:rFonts w:eastAsiaTheme="minorEastAsia"/>
          <w:sz w:val="24"/>
        </w:rPr>
        <w:t>项目表面处理主要为电泳、喷漆、喷塑，工件首先进行电泳和预处理，处理后的工件，托辊横梁</w:t>
      </w:r>
      <w:r>
        <w:rPr>
          <w:rFonts w:hint="eastAsia" w:eastAsiaTheme="minorEastAsia"/>
          <w:sz w:val="24"/>
        </w:rPr>
        <w:t>、支腿、导料槽等零部件进行</w:t>
      </w:r>
      <w:r>
        <w:rPr>
          <w:rFonts w:eastAsiaTheme="minorEastAsia"/>
          <w:sz w:val="24"/>
        </w:rPr>
        <w:t>喷塑</w:t>
      </w:r>
      <w:r>
        <w:rPr>
          <w:rFonts w:hint="eastAsia" w:eastAsiaTheme="minorEastAsia"/>
          <w:sz w:val="24"/>
        </w:rPr>
        <w:t>，其余工件</w:t>
      </w:r>
      <w:r>
        <w:rPr>
          <w:rFonts w:eastAsiaTheme="minorEastAsia"/>
          <w:sz w:val="24"/>
        </w:rPr>
        <w:t>进行喷漆。</w:t>
      </w:r>
    </w:p>
    <w:p w14:paraId="7088C45E">
      <w:pPr>
        <w:pStyle w:val="20"/>
        <w:spacing w:line="360" w:lineRule="auto"/>
        <w:ind w:firstLine="482" w:firstLineChars="200"/>
        <w:rPr>
          <w:rFonts w:eastAsia="宋体"/>
          <w:b/>
          <w:bCs/>
          <w:sz w:val="24"/>
        </w:rPr>
      </w:pPr>
      <w:r>
        <w:rPr>
          <w:rFonts w:eastAsia="宋体"/>
          <w:b/>
          <w:bCs/>
          <w:sz w:val="24"/>
        </w:rPr>
        <w:t>1、预处理及电泳生产线</w:t>
      </w:r>
    </w:p>
    <w:p w14:paraId="4E0490C5">
      <w:pPr>
        <w:pStyle w:val="151"/>
        <w:widowControl w:val="0"/>
        <w:autoSpaceDE/>
        <w:autoSpaceDN/>
        <w:snapToGrid/>
        <w:spacing w:line="240" w:lineRule="auto"/>
        <w:ind w:left="0" w:leftChars="0"/>
        <w:rPr>
          <w:rFonts w:eastAsia="宋体" w:cs="Times New Roman"/>
          <w:b/>
          <w:bCs/>
          <w:w w:val="100"/>
          <w:kern w:val="2"/>
          <w:sz w:val="24"/>
          <w:szCs w:val="24"/>
          <w:lang w:val="en-US" w:bidi="ar-SA"/>
        </w:rPr>
      </w:pPr>
      <w:r>
        <w:rPr>
          <w:rFonts w:cs="Times New Roman"/>
          <w:sz w:val="15"/>
          <w:szCs w:val="15"/>
        </w:rPr>
        <w:drawing>
          <wp:inline distT="0" distB="0" distL="114300" distR="114300">
            <wp:extent cx="5295265" cy="1336040"/>
            <wp:effectExtent l="0" t="0" r="0" b="0"/>
            <wp:docPr id="78" name="图片 4"/>
            <wp:cNvGraphicFramePr/>
            <a:graphic xmlns:a="http://schemas.openxmlformats.org/drawingml/2006/main">
              <a:graphicData uri="http://schemas.openxmlformats.org/drawingml/2006/picture">
                <pic:pic xmlns:pic="http://schemas.openxmlformats.org/drawingml/2006/picture">
                  <pic:nvPicPr>
                    <pic:cNvPr id="78" name="图片 4"/>
                    <pic:cNvPicPr/>
                  </pic:nvPicPr>
                  <pic:blipFill>
                    <a:blip r:embed="rId41"/>
                    <a:stretch>
                      <a:fillRect/>
                    </a:stretch>
                  </pic:blipFill>
                  <pic:spPr>
                    <a:xfrm>
                      <a:off x="0" y="0"/>
                      <a:ext cx="5295265" cy="1336040"/>
                    </a:xfrm>
                    <a:prstGeom prst="rect">
                      <a:avLst/>
                    </a:prstGeom>
                    <a:noFill/>
                    <a:ln>
                      <a:noFill/>
                    </a:ln>
                  </pic:spPr>
                </pic:pic>
              </a:graphicData>
            </a:graphic>
          </wp:inline>
        </w:drawing>
      </w:r>
      <w:r>
        <w:rPr>
          <w:rFonts w:eastAsia="宋体" w:cs="Times New Roman"/>
          <w:b/>
          <w:bCs/>
          <w:sz w:val="24"/>
          <w:szCs w:val="24"/>
          <w:lang w:val="en-US"/>
        </w:rPr>
        <w:t>图3.7-6  预处理及电泳</w:t>
      </w:r>
      <w:r>
        <w:rPr>
          <w:rFonts w:eastAsia="宋体" w:cs="Times New Roman"/>
          <w:b/>
          <w:bCs/>
          <w:w w:val="100"/>
          <w:kern w:val="2"/>
          <w:sz w:val="24"/>
          <w:szCs w:val="24"/>
          <w:lang w:val="en-US" w:bidi="ar-SA"/>
        </w:rPr>
        <w:t>生产工艺流程和排污节点图</w:t>
      </w:r>
    </w:p>
    <w:p w14:paraId="0E156FF4">
      <w:pPr>
        <w:pStyle w:val="20"/>
        <w:spacing w:line="360" w:lineRule="auto"/>
        <w:ind w:firstLine="480" w:firstLineChars="200"/>
        <w:rPr>
          <w:rFonts w:eastAsiaTheme="minorEastAsia"/>
          <w:sz w:val="24"/>
        </w:rPr>
      </w:pPr>
      <w:r>
        <w:rPr>
          <w:rFonts w:eastAsia="宋体"/>
          <w:sz w:val="24"/>
        </w:rPr>
        <w:t>（</w:t>
      </w:r>
      <w:r>
        <w:rPr>
          <w:rFonts w:eastAsiaTheme="minorEastAsia"/>
          <w:sz w:val="24"/>
        </w:rPr>
        <w:t>1）抛丸/喷砂</w:t>
      </w:r>
    </w:p>
    <w:p w14:paraId="167DB06E">
      <w:pPr>
        <w:pStyle w:val="20"/>
        <w:spacing w:line="360" w:lineRule="auto"/>
        <w:ind w:firstLine="480" w:firstLineChars="200"/>
        <w:rPr>
          <w:rFonts w:eastAsiaTheme="minorEastAsia"/>
          <w:sz w:val="24"/>
        </w:rPr>
      </w:pPr>
      <w:r>
        <w:rPr>
          <w:rFonts w:eastAsiaTheme="minorEastAsia"/>
          <w:sz w:val="24"/>
        </w:rPr>
        <w:t>焊接好的工件送至封闭的抛丸</w:t>
      </w:r>
      <w:r>
        <w:rPr>
          <w:rFonts w:hint="eastAsia" w:ascii="宋体" w:hAnsi="宋体" w:eastAsia="宋体" w:cs="宋体"/>
          <w:sz w:val="24"/>
        </w:rPr>
        <w:t>清理室</w:t>
      </w:r>
      <w:r>
        <w:rPr>
          <w:rFonts w:eastAsia="宋体"/>
          <w:sz w:val="24"/>
        </w:rPr>
        <w:t>/</w:t>
      </w:r>
      <w:r>
        <w:rPr>
          <w:rFonts w:hint="eastAsia" w:ascii="宋体" w:hAnsi="宋体" w:eastAsia="宋体" w:cs="宋体"/>
          <w:sz w:val="24"/>
        </w:rPr>
        <w:t>喷砂室</w:t>
      </w:r>
      <w:r>
        <w:rPr>
          <w:rFonts w:eastAsiaTheme="minorEastAsia"/>
          <w:sz w:val="24"/>
        </w:rPr>
        <w:t>进行抛丸/喷砂处理，使工件的表面获得一定的清洁度和不同的粗糙度，使工件表面的机械性能得到改善，从而提高了工件的抗疲劳性。对于工件后续的表面处理而言，喷砂可增加工件表面和涂层之间的附着力，延长涂膜的耐久性，也有利于涂料的流平和装饰。</w:t>
      </w:r>
    </w:p>
    <w:p w14:paraId="0337E66A">
      <w:pPr>
        <w:tabs>
          <w:tab w:val="left" w:pos="7560"/>
        </w:tabs>
        <w:spacing w:line="360" w:lineRule="auto"/>
        <w:ind w:firstLine="482" w:firstLineChars="200"/>
        <w:rPr>
          <w:rFonts w:ascii="Times New Roman" w:eastAsiaTheme="minorEastAsia"/>
          <w:b/>
          <w:bCs/>
          <w:sz w:val="24"/>
          <w:szCs w:val="24"/>
        </w:rPr>
      </w:pPr>
      <w:r>
        <w:rPr>
          <w:rFonts w:ascii="Times New Roman" w:eastAsiaTheme="minorEastAsia"/>
          <w:b/>
          <w:bCs/>
          <w:sz w:val="24"/>
          <w:szCs w:val="24"/>
        </w:rPr>
        <w:t>本工序</w:t>
      </w:r>
      <w:r>
        <w:rPr>
          <w:rFonts w:ascii="Times New Roman"/>
          <w:b/>
          <w:bCs/>
          <w:sz w:val="24"/>
          <w:szCs w:val="24"/>
        </w:rPr>
        <w:t>污染源主要</w:t>
      </w:r>
      <w:r>
        <w:rPr>
          <w:rFonts w:ascii="Times New Roman" w:eastAsiaTheme="minorEastAsia"/>
          <w:b/>
          <w:bCs/>
          <w:sz w:val="24"/>
          <w:szCs w:val="24"/>
        </w:rPr>
        <w:t>为：抛丸、喷砂工序产生的颗粒物（G6、G7），设备运行噪声（N），抛丸过程中产生的废钢丸（S</w:t>
      </w:r>
      <w:r>
        <w:rPr>
          <w:rFonts w:hint="eastAsia" w:ascii="Times New Roman" w:eastAsiaTheme="minorEastAsia"/>
          <w:b/>
          <w:bCs/>
          <w:sz w:val="24"/>
          <w:szCs w:val="24"/>
        </w:rPr>
        <w:t>7</w:t>
      </w:r>
      <w:r>
        <w:rPr>
          <w:rFonts w:ascii="Times New Roman" w:eastAsiaTheme="minorEastAsia"/>
          <w:b/>
          <w:bCs/>
          <w:sz w:val="24"/>
          <w:szCs w:val="24"/>
        </w:rPr>
        <w:t>）</w:t>
      </w:r>
      <w:r>
        <w:rPr>
          <w:rFonts w:hint="eastAsia" w:ascii="Times New Roman" w:eastAsiaTheme="minorEastAsia"/>
          <w:b/>
          <w:bCs/>
          <w:sz w:val="24"/>
          <w:szCs w:val="24"/>
        </w:rPr>
        <w:t>、废钢砂</w:t>
      </w:r>
      <w:r>
        <w:rPr>
          <w:rFonts w:ascii="Times New Roman" w:eastAsiaTheme="minorEastAsia"/>
          <w:b/>
          <w:bCs/>
          <w:sz w:val="24"/>
          <w:szCs w:val="24"/>
        </w:rPr>
        <w:t>（S</w:t>
      </w:r>
      <w:r>
        <w:rPr>
          <w:rFonts w:hint="eastAsia" w:ascii="Times New Roman" w:eastAsiaTheme="minorEastAsia"/>
          <w:b/>
          <w:bCs/>
          <w:sz w:val="24"/>
          <w:szCs w:val="24"/>
        </w:rPr>
        <w:t>8</w:t>
      </w:r>
      <w:r>
        <w:rPr>
          <w:rFonts w:ascii="Times New Roman" w:eastAsiaTheme="minorEastAsia"/>
          <w:b/>
          <w:bCs/>
          <w:sz w:val="24"/>
          <w:szCs w:val="24"/>
        </w:rPr>
        <w:t>）。</w:t>
      </w:r>
    </w:p>
    <w:p w14:paraId="65846627">
      <w:pPr>
        <w:tabs>
          <w:tab w:val="left" w:pos="7560"/>
        </w:tabs>
        <w:spacing w:line="360" w:lineRule="auto"/>
        <w:ind w:firstLine="480" w:firstLineChars="200"/>
        <w:rPr>
          <w:rFonts w:ascii="Times New Roman"/>
          <w:sz w:val="24"/>
          <w:szCs w:val="24"/>
        </w:rPr>
      </w:pPr>
      <w:r>
        <w:rPr>
          <w:rFonts w:ascii="Times New Roman"/>
          <w:sz w:val="24"/>
          <w:szCs w:val="24"/>
        </w:rPr>
        <w:t>（2）涂装前处理</w:t>
      </w:r>
    </w:p>
    <w:p w14:paraId="6929F68D">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清理后的工件</w:t>
      </w:r>
      <w:r>
        <w:rPr>
          <w:rFonts w:hint="eastAsia" w:ascii="Times New Roman" w:eastAsiaTheme="minorEastAsia"/>
          <w:sz w:val="24"/>
          <w:szCs w:val="24"/>
        </w:rPr>
        <w:t>分别</w:t>
      </w:r>
      <w:r>
        <w:rPr>
          <w:rFonts w:ascii="Times New Roman" w:eastAsiaTheme="minorEastAsia"/>
          <w:sz w:val="24"/>
          <w:szCs w:val="24"/>
        </w:rPr>
        <w:t>送入封闭的涂装前处理室进行清洗，</w:t>
      </w:r>
      <w:r>
        <w:rPr>
          <w:rFonts w:hint="eastAsia" w:ascii="Times New Roman" w:eastAsiaTheme="minorEastAsia"/>
          <w:sz w:val="24"/>
          <w:szCs w:val="24"/>
        </w:rPr>
        <w:t>喷塑工件进行1道清洗后直接烘干，喷漆工件需进行7道清工序洗</w:t>
      </w:r>
      <w:r>
        <w:rPr>
          <w:rFonts w:ascii="Times New Roman" w:eastAsiaTheme="minorEastAsia"/>
          <w:sz w:val="24"/>
          <w:szCs w:val="24"/>
        </w:rPr>
        <w:t>依次为热水洗</w:t>
      </w:r>
      <w:r>
        <w:rPr>
          <w:rFonts w:ascii="Times New Roman"/>
          <w:sz w:val="24"/>
          <w:szCs w:val="24"/>
        </w:rPr>
        <w:t>、</w:t>
      </w:r>
      <w:r>
        <w:rPr>
          <w:rFonts w:ascii="Times New Roman" w:eastAsiaTheme="minorEastAsia"/>
          <w:sz w:val="24"/>
          <w:szCs w:val="24"/>
        </w:rPr>
        <w:t>脱脂</w:t>
      </w:r>
      <w:r>
        <w:rPr>
          <w:rFonts w:ascii="Times New Roman"/>
          <w:sz w:val="24"/>
          <w:szCs w:val="24"/>
        </w:rPr>
        <w:t>、</w:t>
      </w:r>
      <w:r>
        <w:rPr>
          <w:rFonts w:ascii="Times New Roman" w:eastAsiaTheme="minorEastAsia"/>
          <w:sz w:val="24"/>
          <w:szCs w:val="24"/>
        </w:rPr>
        <w:t>水洗</w:t>
      </w:r>
      <w:r>
        <w:rPr>
          <w:rFonts w:ascii="Times New Roman"/>
          <w:sz w:val="24"/>
          <w:szCs w:val="24"/>
        </w:rPr>
        <w:t>、</w:t>
      </w:r>
      <w:r>
        <w:rPr>
          <w:rFonts w:ascii="Times New Roman" w:eastAsiaTheme="minorEastAsia"/>
          <w:sz w:val="24"/>
          <w:szCs w:val="24"/>
        </w:rPr>
        <w:t>纯水洗</w:t>
      </w:r>
      <w:r>
        <w:rPr>
          <w:rFonts w:ascii="Times New Roman"/>
          <w:sz w:val="24"/>
          <w:szCs w:val="24"/>
        </w:rPr>
        <w:t>、</w:t>
      </w:r>
      <w:r>
        <w:rPr>
          <w:rFonts w:ascii="Times New Roman" w:eastAsiaTheme="minorEastAsia"/>
          <w:sz w:val="24"/>
          <w:szCs w:val="24"/>
        </w:rPr>
        <w:t>硅烷喷淋</w:t>
      </w:r>
      <w:r>
        <w:rPr>
          <w:rFonts w:ascii="Times New Roman"/>
          <w:sz w:val="24"/>
          <w:szCs w:val="24"/>
        </w:rPr>
        <w:t>、</w:t>
      </w:r>
      <w:r>
        <w:rPr>
          <w:rFonts w:ascii="Times New Roman" w:eastAsiaTheme="minorEastAsia"/>
          <w:sz w:val="24"/>
          <w:szCs w:val="24"/>
        </w:rPr>
        <w:t>纯水洗</w:t>
      </w:r>
      <w:r>
        <w:rPr>
          <w:rFonts w:ascii="Times New Roman"/>
          <w:sz w:val="24"/>
          <w:szCs w:val="24"/>
        </w:rPr>
        <w:t>、</w:t>
      </w:r>
      <w:r>
        <w:rPr>
          <w:rFonts w:ascii="Times New Roman" w:eastAsiaTheme="minorEastAsia"/>
          <w:sz w:val="24"/>
          <w:szCs w:val="24"/>
        </w:rPr>
        <w:t>纯水洗，清洗方式为高压喷头喷淋，其中喷淋脱脂剂可除去工件表面油脂，喷淋硅烷可使工件表面形成一层氧化膜，增加工件的抗腐及保护能力并提升涂膜的附着性。</w:t>
      </w:r>
    </w:p>
    <w:p w14:paraId="28E82948">
      <w:pPr>
        <w:pStyle w:val="20"/>
        <w:spacing w:line="360" w:lineRule="auto"/>
        <w:rPr>
          <w:rFonts w:eastAsiaTheme="minorEastAsia"/>
          <w:sz w:val="24"/>
        </w:rPr>
      </w:pPr>
      <w:r>
        <w:rPr>
          <w:rFonts w:eastAsiaTheme="minorEastAsia"/>
          <w:b/>
          <w:bCs/>
          <w:sz w:val="24"/>
        </w:rPr>
        <w:t>热水洗：</w:t>
      </w:r>
      <w:r>
        <w:rPr>
          <w:rFonts w:eastAsiaTheme="minorEastAsia"/>
          <w:sz w:val="24"/>
        </w:rPr>
        <w:t>热水洗槽水源来源于脱脂后第一道水洗使用后的水，水温约45℃，热水洗槽水采用</w:t>
      </w:r>
      <w:r>
        <w:rPr>
          <w:rFonts w:hint="eastAsia" w:eastAsiaTheme="minorEastAsia"/>
          <w:sz w:val="24"/>
        </w:rPr>
        <w:t>电</w:t>
      </w:r>
      <w:r>
        <w:rPr>
          <w:rFonts w:eastAsiaTheme="minorEastAsia"/>
          <w:sz w:val="24"/>
        </w:rPr>
        <w:t>加热。热水洗通过水泵抽取热水洗槽内热水进行喷淋喷嘴大流量喷淋冲洗，冲洗工件表面的油污，冲洗完成后，热水回到热水洗槽，内存水连续溢流排放，通过管道进入废水处理站处理。热水洗工序产生水洗溢流废水W1。</w:t>
      </w:r>
    </w:p>
    <w:p w14:paraId="31C67962">
      <w:pPr>
        <w:pStyle w:val="20"/>
        <w:spacing w:line="360" w:lineRule="auto"/>
        <w:rPr>
          <w:rFonts w:eastAsiaTheme="minorEastAsia"/>
          <w:sz w:val="24"/>
        </w:rPr>
      </w:pPr>
      <w:r>
        <w:rPr>
          <w:rFonts w:eastAsiaTheme="minorEastAsia"/>
          <w:b/>
          <w:bCs/>
          <w:sz w:val="24"/>
        </w:rPr>
        <w:t>预脱脂</w:t>
      </w:r>
      <w:r>
        <w:rPr>
          <w:rFonts w:hint="eastAsia" w:eastAsiaTheme="minorEastAsia"/>
          <w:b/>
          <w:bCs/>
          <w:sz w:val="24"/>
        </w:rPr>
        <w:t>、</w:t>
      </w:r>
      <w:r>
        <w:rPr>
          <w:rFonts w:eastAsiaTheme="minorEastAsia"/>
          <w:b/>
          <w:bCs/>
          <w:sz w:val="24"/>
        </w:rPr>
        <w:t>脱脂：</w:t>
      </w:r>
      <w:r>
        <w:rPr>
          <w:rFonts w:eastAsiaTheme="minorEastAsia"/>
          <w:sz w:val="24"/>
        </w:rPr>
        <w:t>预脱脂槽和脱脂槽体水温约45℃，采用</w:t>
      </w:r>
      <w:r>
        <w:rPr>
          <w:rFonts w:hint="eastAsia" w:eastAsiaTheme="minorEastAsia"/>
          <w:sz w:val="24"/>
        </w:rPr>
        <w:t>电</w:t>
      </w:r>
      <w:r>
        <w:rPr>
          <w:rFonts w:eastAsiaTheme="minorEastAsia"/>
          <w:sz w:val="24"/>
        </w:rPr>
        <w:t>加热。目的是进一步去除工件上的油污。两道脱脂工序主要利用通过脱脂剂中的表面活性剂对金属表面油脂进行乳化，使得油脂能够被水分散，从而易于从金属表面去除。</w:t>
      </w:r>
    </w:p>
    <w:p w14:paraId="6E4621CB">
      <w:pPr>
        <w:pStyle w:val="20"/>
        <w:spacing w:line="360" w:lineRule="auto"/>
        <w:rPr>
          <w:rFonts w:eastAsiaTheme="minorEastAsia"/>
          <w:sz w:val="24"/>
        </w:rPr>
      </w:pPr>
      <w:r>
        <w:rPr>
          <w:rFonts w:eastAsiaTheme="minorEastAsia"/>
          <w:sz w:val="24"/>
        </w:rPr>
        <w:t>预脱脂采用浸洗，去除工件上的铁屑、油污，时间约1min。脱脂采用超声波浸泡清洗，去除工件表面顽固油污，清洗时间约1min。</w:t>
      </w:r>
    </w:p>
    <w:p w14:paraId="234990D9">
      <w:pPr>
        <w:pStyle w:val="20"/>
        <w:spacing w:line="360" w:lineRule="auto"/>
        <w:rPr>
          <w:rFonts w:eastAsiaTheme="minorEastAsia"/>
          <w:sz w:val="24"/>
        </w:rPr>
      </w:pPr>
      <w:r>
        <w:rPr>
          <w:rFonts w:eastAsiaTheme="minorEastAsia"/>
          <w:sz w:val="24"/>
        </w:rPr>
        <w:t>脱脂液采用脱脂剂浓度为5%，脱脂槽液循环使用，根据业主提供资料，脱脂过程损耗主要为工件带出损耗。脱脂槽采用机械设备自动添加碱性</w:t>
      </w:r>
      <w:r>
        <w:rPr>
          <w:rFonts w:hint="eastAsia" w:eastAsiaTheme="minorEastAsia"/>
          <w:sz w:val="24"/>
        </w:rPr>
        <w:t>无磷</w:t>
      </w:r>
      <w:r>
        <w:rPr>
          <w:rFonts w:eastAsiaTheme="minorEastAsia"/>
          <w:sz w:val="24"/>
        </w:rPr>
        <w:t>脱脂剂和新鲜水，补充量约为槽有效容积的2%。槽内浮油经油水分离器分离后定期撇除，分离后的清水回流至脱脂槽内循环使用，浮油收集委外处置。净化的脱脂液返回槽内。脱脂槽底设有过滤装置，槽液循环使用。预脱脂槽、超声波脱脂槽每半年倒槽1次，对槽体进行清洗，倒槽时将上方槽液泵入</w:t>
      </w:r>
      <w:r>
        <w:rPr>
          <w:rFonts w:hint="eastAsia" w:eastAsiaTheme="minorEastAsia"/>
          <w:sz w:val="24"/>
        </w:rPr>
        <w:t>水洗槽（已提前3天将槽内废水排至污水处理站处理）</w:t>
      </w:r>
      <w:r>
        <w:rPr>
          <w:rFonts w:eastAsiaTheme="minorEastAsia"/>
          <w:sz w:val="24"/>
        </w:rPr>
        <w:t>内，待脱脂槽清洗干净后，将槽液倒入槽内重复利用。预脱脂</w:t>
      </w:r>
      <w:r>
        <w:rPr>
          <w:rFonts w:hint="eastAsia" w:eastAsiaTheme="minorEastAsia"/>
          <w:sz w:val="24"/>
        </w:rPr>
        <w:t>、脱脂</w:t>
      </w:r>
      <w:r>
        <w:rPr>
          <w:rFonts w:eastAsiaTheme="minorEastAsia"/>
          <w:sz w:val="24"/>
        </w:rPr>
        <w:t>工序产生槽体清洗废水W2和</w:t>
      </w:r>
      <w:r>
        <w:rPr>
          <w:rFonts w:hint="eastAsia" w:eastAsiaTheme="minorEastAsia"/>
          <w:sz w:val="24"/>
        </w:rPr>
        <w:t>浮油S9、</w:t>
      </w:r>
      <w:r>
        <w:rPr>
          <w:rFonts w:eastAsiaTheme="minorEastAsia"/>
          <w:sz w:val="24"/>
        </w:rPr>
        <w:t>废滤芯、杂质</w:t>
      </w:r>
      <w:r>
        <w:rPr>
          <w:rFonts w:hint="eastAsia" w:eastAsiaTheme="minorEastAsia"/>
          <w:sz w:val="24"/>
        </w:rPr>
        <w:t>S10</w:t>
      </w:r>
      <w:r>
        <w:rPr>
          <w:rFonts w:eastAsiaTheme="minorEastAsia"/>
          <w:sz w:val="24"/>
        </w:rPr>
        <w:t>。</w:t>
      </w:r>
    </w:p>
    <w:p w14:paraId="08B33ACB">
      <w:pPr>
        <w:pStyle w:val="20"/>
        <w:spacing w:line="360" w:lineRule="auto"/>
        <w:rPr>
          <w:rFonts w:eastAsiaTheme="minorEastAsia"/>
          <w:sz w:val="24"/>
        </w:rPr>
      </w:pPr>
      <w:r>
        <w:rPr>
          <w:rFonts w:eastAsiaTheme="minorEastAsia"/>
          <w:b/>
          <w:bCs/>
          <w:sz w:val="24"/>
        </w:rPr>
        <w:t>水洗：</w:t>
      </w:r>
      <w:r>
        <w:rPr>
          <w:rFonts w:eastAsiaTheme="minorEastAsia"/>
          <w:sz w:val="24"/>
        </w:rPr>
        <w:t>常温，</w:t>
      </w:r>
      <w:r>
        <w:rPr>
          <w:rFonts w:hint="eastAsia" w:eastAsiaTheme="minorEastAsia"/>
          <w:sz w:val="24"/>
        </w:rPr>
        <w:t>脱脂后，工件吊运至</w:t>
      </w:r>
      <w:r>
        <w:rPr>
          <w:rFonts w:eastAsiaTheme="minorEastAsia"/>
          <w:sz w:val="24"/>
        </w:rPr>
        <w:t>水洗槽通过泵抽取水进行喷淋，喷淋后水回到水洗槽。脱脂后水洗采用逆流工序，水洗槽水来源于纯水洗1槽，同时溢流排入热水洗槽。</w:t>
      </w:r>
    </w:p>
    <w:p w14:paraId="4FFF3555">
      <w:pPr>
        <w:pStyle w:val="20"/>
        <w:spacing w:line="360" w:lineRule="auto"/>
        <w:rPr>
          <w:rFonts w:eastAsiaTheme="minorEastAsia"/>
          <w:sz w:val="24"/>
        </w:rPr>
      </w:pPr>
      <w:r>
        <w:rPr>
          <w:rFonts w:eastAsiaTheme="minorEastAsia"/>
          <w:b/>
          <w:bCs/>
          <w:sz w:val="24"/>
        </w:rPr>
        <w:t>纯水洗1：</w:t>
      </w:r>
      <w:r>
        <w:rPr>
          <w:rFonts w:eastAsiaTheme="minorEastAsia"/>
          <w:sz w:val="24"/>
        </w:rPr>
        <w:t>采用纯水洗，清洗掉工件表面脱脂液，纯水洗1槽溢流排入水洗槽。</w:t>
      </w:r>
    </w:p>
    <w:p w14:paraId="27DC7DCC">
      <w:pPr>
        <w:spacing w:line="360" w:lineRule="auto"/>
        <w:ind w:firstLine="482" w:firstLineChars="200"/>
        <w:rPr>
          <w:rFonts w:ascii="Times New Roman"/>
          <w:bCs/>
          <w:sz w:val="24"/>
          <w:szCs w:val="24"/>
        </w:rPr>
      </w:pPr>
      <w:r>
        <w:rPr>
          <w:rFonts w:ascii="Times New Roman" w:eastAsiaTheme="minorEastAsia"/>
          <w:b/>
          <w:bCs/>
          <w:sz w:val="24"/>
          <w:szCs w:val="24"/>
        </w:rPr>
        <w:t>硅烷洗：</w:t>
      </w:r>
      <w:r>
        <w:rPr>
          <w:rFonts w:ascii="Times New Roman"/>
          <w:bCs/>
          <w:sz w:val="24"/>
          <w:szCs w:val="24"/>
        </w:rPr>
        <w:t>硅烷化处理是以有机硅烷水溶液为主要成分对工件进行表面处理的过程。项目工件采用喷淋的方式进行硅烷化处理，喷淋液为外购已配置好的常温硅烷化剂，浓度为5%，操作时间10min。槽底设有过滤装置，槽液循环使用</w:t>
      </w:r>
      <w:r>
        <w:rPr>
          <w:rFonts w:hint="eastAsia" w:ascii="Times New Roman"/>
          <w:bCs/>
          <w:sz w:val="24"/>
          <w:szCs w:val="24"/>
        </w:rPr>
        <w:t>。</w:t>
      </w:r>
      <w:r>
        <w:rPr>
          <w:rFonts w:ascii="Times New Roman" w:eastAsiaTheme="minorEastAsia"/>
          <w:sz w:val="24"/>
          <w:szCs w:val="24"/>
        </w:rPr>
        <w:t>每半年倒槽1次，对槽体进行清洗，倒槽时将上方槽液泵水洗槽（已提前3天将槽内废水排至污水处理站处理）内，待</w:t>
      </w:r>
      <w:r>
        <w:rPr>
          <w:rFonts w:hint="eastAsia" w:ascii="Times New Roman" w:eastAsiaTheme="minorEastAsia"/>
          <w:sz w:val="24"/>
          <w:szCs w:val="24"/>
        </w:rPr>
        <w:t>硅烷洗</w:t>
      </w:r>
      <w:r>
        <w:rPr>
          <w:rFonts w:ascii="Times New Roman" w:eastAsiaTheme="minorEastAsia"/>
          <w:sz w:val="24"/>
          <w:szCs w:val="24"/>
        </w:rPr>
        <w:t>槽清洗干净后，将槽液倒入槽内重复利用</w:t>
      </w:r>
      <w:r>
        <w:rPr>
          <w:rFonts w:hint="eastAsia" w:ascii="Times New Roman" w:eastAsiaTheme="minorEastAsia"/>
          <w:sz w:val="24"/>
          <w:szCs w:val="24"/>
        </w:rPr>
        <w:t>。硅烷洗</w:t>
      </w:r>
      <w:r>
        <w:rPr>
          <w:rFonts w:ascii="Times New Roman" w:eastAsiaTheme="minorEastAsia"/>
          <w:sz w:val="24"/>
          <w:szCs w:val="24"/>
        </w:rPr>
        <w:t>工序产生槽体清洗废水W2和废滤芯、杂质S</w:t>
      </w:r>
      <w:r>
        <w:rPr>
          <w:rFonts w:hint="eastAsia" w:ascii="Times New Roman" w:eastAsiaTheme="minorEastAsia"/>
          <w:sz w:val="24"/>
          <w:szCs w:val="24"/>
        </w:rPr>
        <w:t>9。</w:t>
      </w:r>
    </w:p>
    <w:p w14:paraId="738E84B4">
      <w:pPr>
        <w:spacing w:line="360" w:lineRule="auto"/>
        <w:ind w:firstLine="480" w:firstLineChars="200"/>
        <w:rPr>
          <w:rFonts w:ascii="Times New Roman"/>
          <w:bCs/>
          <w:sz w:val="24"/>
          <w:szCs w:val="24"/>
        </w:rPr>
      </w:pPr>
      <w:r>
        <w:rPr>
          <w:rFonts w:ascii="Times New Roman"/>
          <w:bCs/>
          <w:sz w:val="24"/>
          <w:szCs w:val="24"/>
        </w:rPr>
        <w:t>硅烷化反应基本原理如下：硅烷是一类含硅基的有机/无机杂化物，其基本分子式为：R'(CH)nSi(OR)</w:t>
      </w:r>
      <w:r>
        <w:rPr>
          <w:rFonts w:ascii="Times New Roman"/>
          <w:bCs/>
          <w:sz w:val="24"/>
          <w:szCs w:val="24"/>
          <w:vertAlign w:val="subscript"/>
        </w:rPr>
        <w:t>3</w:t>
      </w:r>
      <w:r>
        <w:rPr>
          <w:rFonts w:ascii="Times New Roman"/>
          <w:bCs/>
          <w:sz w:val="24"/>
          <w:szCs w:val="24"/>
        </w:rPr>
        <w:t>。其中OR是可水解的基团，R'是有机官能团。</w:t>
      </w:r>
    </w:p>
    <w:p w14:paraId="72EE018F">
      <w:pPr>
        <w:spacing w:line="360" w:lineRule="auto"/>
        <w:ind w:firstLine="480" w:firstLineChars="200"/>
        <w:rPr>
          <w:rFonts w:ascii="Times New Roman"/>
          <w:bCs/>
          <w:sz w:val="24"/>
          <w:szCs w:val="24"/>
        </w:rPr>
      </w:pPr>
      <w:r>
        <w:rPr>
          <w:rFonts w:ascii="Times New Roman"/>
          <w:bCs/>
          <w:sz w:val="24"/>
          <w:szCs w:val="24"/>
        </w:rPr>
        <w:t>硅烷在水溶液中通常以水解的形式存在：</w:t>
      </w:r>
    </w:p>
    <w:p w14:paraId="6B014990">
      <w:pPr>
        <w:spacing w:line="360" w:lineRule="auto"/>
        <w:ind w:firstLine="480" w:firstLineChars="200"/>
        <w:rPr>
          <w:rFonts w:ascii="Times New Roman"/>
          <w:bCs/>
          <w:sz w:val="24"/>
          <w:szCs w:val="24"/>
        </w:rPr>
      </w:pPr>
      <w:r>
        <w:rPr>
          <w:rFonts w:ascii="Times New Roman"/>
          <w:bCs/>
          <w:sz w:val="24"/>
          <w:szCs w:val="24"/>
        </w:rPr>
        <w:t>-Si(OR)</w:t>
      </w:r>
      <w:r>
        <w:rPr>
          <w:rFonts w:ascii="Times New Roman"/>
          <w:bCs/>
          <w:sz w:val="24"/>
          <w:szCs w:val="24"/>
          <w:vertAlign w:val="subscript"/>
        </w:rPr>
        <w:t>3</w:t>
      </w:r>
      <w:r>
        <w:rPr>
          <w:rFonts w:ascii="Times New Roman"/>
          <w:bCs/>
          <w:sz w:val="24"/>
          <w:szCs w:val="24"/>
        </w:rPr>
        <w:t>+H</w:t>
      </w:r>
      <w:r>
        <w:rPr>
          <w:rFonts w:ascii="Times New Roman"/>
          <w:bCs/>
          <w:sz w:val="24"/>
          <w:szCs w:val="24"/>
          <w:vertAlign w:val="subscript"/>
        </w:rPr>
        <w:t>2</w:t>
      </w:r>
      <w:r>
        <w:rPr>
          <w:rFonts w:ascii="Times New Roman"/>
          <w:bCs/>
          <w:sz w:val="24"/>
          <w:szCs w:val="24"/>
        </w:rPr>
        <w:t>OSi(OH)</w:t>
      </w:r>
      <w:r>
        <w:rPr>
          <w:rFonts w:ascii="Times New Roman"/>
          <w:bCs/>
          <w:sz w:val="24"/>
          <w:szCs w:val="24"/>
          <w:vertAlign w:val="subscript"/>
        </w:rPr>
        <w:t>3</w:t>
      </w:r>
      <w:r>
        <w:rPr>
          <w:rFonts w:ascii="Times New Roman"/>
          <w:bCs/>
          <w:sz w:val="24"/>
          <w:szCs w:val="24"/>
        </w:rPr>
        <w:t>+3OH</w:t>
      </w:r>
    </w:p>
    <w:p w14:paraId="19AD08C3">
      <w:pPr>
        <w:spacing w:line="360" w:lineRule="auto"/>
        <w:ind w:firstLine="480" w:firstLineChars="200"/>
        <w:rPr>
          <w:rFonts w:ascii="Times New Roman"/>
          <w:bCs/>
          <w:sz w:val="24"/>
          <w:szCs w:val="24"/>
        </w:rPr>
      </w:pPr>
      <w:r>
        <w:rPr>
          <w:rFonts w:ascii="Times New Roman"/>
          <w:bCs/>
          <w:sz w:val="24"/>
          <w:szCs w:val="24"/>
        </w:rPr>
        <w:t>硅烷水解后通过其SiOH基团与金属表面的MeOH基团(Me表示金属)的缩水反应而快速吸附于金属表面。</w:t>
      </w:r>
    </w:p>
    <w:p w14:paraId="299713DF">
      <w:pPr>
        <w:spacing w:line="360" w:lineRule="auto"/>
        <w:ind w:firstLine="480" w:firstLineChars="200"/>
        <w:rPr>
          <w:rFonts w:ascii="Times New Roman"/>
          <w:bCs/>
          <w:sz w:val="24"/>
          <w:szCs w:val="24"/>
        </w:rPr>
      </w:pPr>
      <w:r>
        <w:rPr>
          <w:rFonts w:ascii="Times New Roman"/>
          <w:bCs/>
          <w:sz w:val="24"/>
          <w:szCs w:val="24"/>
        </w:rPr>
        <w:t>SiOH+MeOH=SiOMe+H</w:t>
      </w:r>
      <w:r>
        <w:rPr>
          <w:rFonts w:ascii="Times New Roman"/>
          <w:bCs/>
          <w:sz w:val="24"/>
          <w:szCs w:val="24"/>
          <w:vertAlign w:val="subscript"/>
        </w:rPr>
        <w:t>2</w:t>
      </w:r>
      <w:r>
        <w:rPr>
          <w:rFonts w:ascii="Times New Roman"/>
          <w:bCs/>
          <w:sz w:val="24"/>
          <w:szCs w:val="24"/>
        </w:rPr>
        <w:t>O</w:t>
      </w:r>
    </w:p>
    <w:p w14:paraId="4993920F">
      <w:pPr>
        <w:pStyle w:val="20"/>
        <w:spacing w:line="360" w:lineRule="auto"/>
        <w:rPr>
          <w:rFonts w:eastAsiaTheme="minorEastAsia"/>
          <w:sz w:val="24"/>
        </w:rPr>
      </w:pPr>
      <w:r>
        <w:rPr>
          <w:rFonts w:eastAsiaTheme="minorEastAsia"/>
          <w:sz w:val="24"/>
        </w:rPr>
        <w:t>一方面硅烷在金属界面上形成Si-O-Me共价键。一般来说，共价键间的作用力可达700kJ/tool，硅烷与金属之间的结合是非常牢固的；另一方面，剩余的硅烷分子通过SiOH基团之间的缩聚反应在金属表面形成具有Si-O-Si三维网状结构的硅烷膜。该硅烷膜作为中间过渡层可提高工件与后续电泳漆之间的附着力，同时由于硅烷聚合物带有能与有机涂层反应的特殊官能团，硅烷膜在后续烘干过程中会和有机涂层通过交联反应结合在一起，形成牢固的化学键，从而形成稳定的膜层结构。</w:t>
      </w:r>
    </w:p>
    <w:p w14:paraId="55749CA3">
      <w:pPr>
        <w:pStyle w:val="20"/>
        <w:spacing w:line="360" w:lineRule="auto"/>
        <w:rPr>
          <w:rFonts w:eastAsiaTheme="minorEastAsia"/>
          <w:sz w:val="24"/>
        </w:rPr>
      </w:pPr>
      <w:r>
        <w:rPr>
          <w:rFonts w:eastAsiaTheme="minorEastAsia"/>
          <w:b/>
          <w:bCs/>
          <w:sz w:val="24"/>
        </w:rPr>
        <w:t>二级纯水洗：</w:t>
      </w:r>
      <w:r>
        <w:rPr>
          <w:rFonts w:eastAsiaTheme="minorEastAsia"/>
          <w:sz w:val="24"/>
        </w:rPr>
        <w:t>完成硅烷处理后的工件先送到两级纯水逆流清洗，清洗掉工件表面残留的液体。项目清洗过程采用逆流清洗，根据工件数量及水质状况，第一道水洗槽中洗涤废水续溢流排放。废水由单独管道收集引入污水处理站。项目第二道水洗槽内送入新水通过两道溢流堰控制使其向第一道水洗槽流动。</w:t>
      </w:r>
    </w:p>
    <w:p w14:paraId="7232FF60">
      <w:pPr>
        <w:pStyle w:val="20"/>
        <w:spacing w:line="360" w:lineRule="auto"/>
        <w:rPr>
          <w:rFonts w:eastAsiaTheme="minorEastAsia"/>
          <w:b/>
          <w:bCs/>
          <w:sz w:val="24"/>
        </w:rPr>
      </w:pPr>
      <w:r>
        <w:rPr>
          <w:rFonts w:eastAsiaTheme="minorEastAsia"/>
          <w:b/>
          <w:bCs/>
          <w:sz w:val="24"/>
        </w:rPr>
        <w:t>本工序排污节点为：设备运行噪声N，水洗溢流废水W1</w:t>
      </w:r>
      <w:r>
        <w:rPr>
          <w:rFonts w:hint="eastAsia" w:eastAsiaTheme="minorEastAsia"/>
          <w:b/>
          <w:bCs/>
          <w:sz w:val="24"/>
        </w:rPr>
        <w:t>、槽体清洗废水W2</w:t>
      </w:r>
      <w:r>
        <w:rPr>
          <w:rFonts w:eastAsiaTheme="minorEastAsia"/>
          <w:b/>
          <w:bCs/>
          <w:sz w:val="24"/>
        </w:rPr>
        <w:t>，</w:t>
      </w:r>
      <w:r>
        <w:rPr>
          <w:rFonts w:hint="eastAsia" w:eastAsiaTheme="minorEastAsia"/>
          <w:b/>
          <w:bCs/>
          <w:sz w:val="24"/>
        </w:rPr>
        <w:t>浮油S9、</w:t>
      </w:r>
      <w:r>
        <w:rPr>
          <w:rFonts w:eastAsiaTheme="minorEastAsia"/>
          <w:b/>
          <w:bCs/>
          <w:sz w:val="24"/>
        </w:rPr>
        <w:t>废滤芯、杂质（S</w:t>
      </w:r>
      <w:r>
        <w:rPr>
          <w:rFonts w:hint="eastAsia" w:eastAsiaTheme="minorEastAsia"/>
          <w:b/>
          <w:bCs/>
          <w:sz w:val="24"/>
        </w:rPr>
        <w:t>10</w:t>
      </w:r>
      <w:r>
        <w:rPr>
          <w:rFonts w:eastAsiaTheme="minorEastAsia"/>
          <w:b/>
          <w:bCs/>
          <w:sz w:val="24"/>
        </w:rPr>
        <w:t>）。</w:t>
      </w:r>
    </w:p>
    <w:p w14:paraId="0E879157">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（3）电泳</w:t>
      </w:r>
    </w:p>
    <w:p w14:paraId="12B64522">
      <w:pPr>
        <w:tabs>
          <w:tab w:val="left" w:pos="7560"/>
        </w:tabs>
        <w:spacing w:line="360" w:lineRule="auto"/>
        <w:ind w:firstLine="480" w:firstLineChars="200"/>
        <w:rPr>
          <w:rFonts w:ascii="Times New Roman" w:eastAsiaTheme="minorEastAsia"/>
          <w:sz w:val="24"/>
          <w:szCs w:val="24"/>
        </w:rPr>
      </w:pPr>
      <w:r>
        <w:rPr>
          <w:rFonts w:ascii="Times New Roman"/>
          <w:sz w:val="24"/>
          <w:szCs w:val="24"/>
        </w:rPr>
        <w:t>前处理后的工件</w:t>
      </w:r>
      <w:r>
        <w:rPr>
          <w:rFonts w:ascii="Times New Roman" w:eastAsiaTheme="minorEastAsia"/>
          <w:sz w:val="24"/>
          <w:szCs w:val="24"/>
        </w:rPr>
        <w:t>采用电泳工艺，工件输送至封闭电泳</w:t>
      </w:r>
      <w:r>
        <w:rPr>
          <w:rFonts w:hint="eastAsia" w:ascii="Times New Roman" w:eastAsiaTheme="minorEastAsia"/>
          <w:sz w:val="24"/>
          <w:szCs w:val="24"/>
        </w:rPr>
        <w:t>槽</w:t>
      </w:r>
      <w:r>
        <w:rPr>
          <w:rFonts w:ascii="Times New Roman" w:eastAsiaTheme="minorEastAsia"/>
          <w:sz w:val="24"/>
          <w:szCs w:val="24"/>
        </w:rPr>
        <w:t>内，</w:t>
      </w:r>
      <w:r>
        <w:rPr>
          <w:rFonts w:hint="eastAsia" w:ascii="Times New Roman" w:eastAsiaTheme="minorEastAsia"/>
          <w:sz w:val="24"/>
          <w:szCs w:val="24"/>
        </w:rPr>
        <w:t>电泳液</w:t>
      </w:r>
      <w:r>
        <w:rPr>
          <w:rFonts w:ascii="Times New Roman" w:eastAsiaTheme="minorEastAsia"/>
          <w:sz w:val="24"/>
          <w:szCs w:val="24"/>
        </w:rPr>
        <w:t>采用环氧体系电泳涂料</w:t>
      </w:r>
      <w:r>
        <w:rPr>
          <w:rFonts w:hint="eastAsia" w:ascii="Times New Roman" w:eastAsiaTheme="minorEastAsia"/>
          <w:sz w:val="24"/>
          <w:szCs w:val="24"/>
        </w:rPr>
        <w:t>，</w:t>
      </w:r>
      <w:r>
        <w:rPr>
          <w:rFonts w:ascii="Times New Roman" w:eastAsiaTheme="minorEastAsia"/>
          <w:sz w:val="24"/>
          <w:szCs w:val="24"/>
        </w:rPr>
        <w:t>包括电泳底漆</w:t>
      </w:r>
      <w:r>
        <w:rPr>
          <w:rFonts w:hint="eastAsia" w:ascii="Times New Roman" w:eastAsiaTheme="minorEastAsia"/>
          <w:sz w:val="24"/>
          <w:szCs w:val="24"/>
        </w:rPr>
        <w:t>灰</w:t>
      </w:r>
      <w:r>
        <w:rPr>
          <w:rFonts w:ascii="Times New Roman" w:eastAsiaTheme="minorEastAsia"/>
          <w:sz w:val="24"/>
          <w:szCs w:val="24"/>
        </w:rPr>
        <w:t>浆、电泳底漆乳液双组分</w:t>
      </w:r>
      <w:r>
        <w:rPr>
          <w:rFonts w:hint="eastAsia" w:ascii="Times New Roman" w:eastAsiaTheme="minorEastAsia"/>
          <w:sz w:val="24"/>
          <w:szCs w:val="24"/>
        </w:rPr>
        <w:t>，</w:t>
      </w:r>
      <w:r>
        <w:rPr>
          <w:rFonts w:ascii="Times New Roman" w:eastAsiaTheme="minorEastAsia"/>
          <w:sz w:val="24"/>
          <w:szCs w:val="24"/>
        </w:rPr>
        <w:t>以纯水为溶剂，在密闭加药槽中，按工艺参数，泵入电泳漆</w:t>
      </w:r>
      <w:r>
        <w:rPr>
          <w:rFonts w:hint="eastAsia" w:ascii="Times New Roman" w:eastAsiaTheme="minorEastAsia"/>
          <w:sz w:val="24"/>
          <w:szCs w:val="24"/>
        </w:rPr>
        <w:t>、纯水（1：5）</w:t>
      </w:r>
      <w:r>
        <w:rPr>
          <w:rFonts w:ascii="Times New Roman" w:eastAsiaTheme="minorEastAsia"/>
          <w:sz w:val="24"/>
          <w:szCs w:val="24"/>
        </w:rPr>
        <w:t xml:space="preserve">，开启自动搅拌装置，调配电泳槽液，调配好电泳液经泵至电泳槽(1个，槽体容积 </w:t>
      </w:r>
      <w:r>
        <w:rPr>
          <w:rFonts w:hint="eastAsia" w:ascii="Times New Roman" w:eastAsiaTheme="minorEastAsia"/>
          <w:sz w:val="24"/>
          <w:szCs w:val="24"/>
        </w:rPr>
        <w:t>104.6</w:t>
      </w:r>
      <w:r>
        <w:rPr>
          <w:rFonts w:ascii="Times New Roman" w:eastAsiaTheme="minorEastAsia"/>
          <w:sz w:val="24"/>
          <w:szCs w:val="24"/>
        </w:rPr>
        <w:t>m</w:t>
      </w:r>
      <w:r>
        <w:rPr>
          <w:rFonts w:hint="eastAsia" w:ascii="Times New Roman" w:eastAsiaTheme="minorEastAsia"/>
          <w:sz w:val="24"/>
          <w:szCs w:val="24"/>
          <w:vertAlign w:val="superscript"/>
        </w:rPr>
        <w:t>3</w:t>
      </w:r>
      <w:r>
        <w:rPr>
          <w:rFonts w:ascii="Times New Roman" w:eastAsiaTheme="minorEastAsia"/>
          <w:sz w:val="24"/>
          <w:szCs w:val="24"/>
        </w:rPr>
        <w:t>)。</w:t>
      </w:r>
      <w:r>
        <w:rPr>
          <w:rFonts w:hint="eastAsia" w:ascii="Times New Roman" w:eastAsiaTheme="minorEastAsia"/>
          <w:sz w:val="24"/>
          <w:szCs w:val="24"/>
        </w:rPr>
        <w:t>工件</w:t>
      </w:r>
      <w:r>
        <w:rPr>
          <w:rFonts w:ascii="Times New Roman" w:eastAsiaTheme="minorEastAsia"/>
          <w:sz w:val="24"/>
          <w:szCs w:val="24"/>
        </w:rPr>
        <w:t>带电入槽，完全浸入电泳槽内，进行阴极电泳，约4min。控制槽内温度在28</w:t>
      </w:r>
      <w:r>
        <w:rPr>
          <w:rFonts w:hint="eastAsia" w:ascii="Times New Roman" w:eastAsiaTheme="minorEastAsia"/>
          <w:sz w:val="24"/>
          <w:szCs w:val="24"/>
        </w:rPr>
        <w:t>±</w:t>
      </w:r>
      <w:r>
        <w:rPr>
          <w:rFonts w:ascii="Times New Roman" w:eastAsiaTheme="minorEastAsia"/>
          <w:sz w:val="24"/>
          <w:szCs w:val="24"/>
        </w:rPr>
        <w:t>2℃(槽体外隔热水控温)，工作电压150~250V。</w:t>
      </w:r>
    </w:p>
    <w:p w14:paraId="6B9955C2">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电泳漆在阴阳两极施加于电压作用下，带电荷的涂料离子移动到阴极，并与阴极表面所产生的碱性作用形成不溶解物，沉积于工件表面。</w:t>
      </w:r>
      <w:r>
        <w:rPr>
          <w:rFonts w:ascii="Times New Roman"/>
          <w:bCs/>
          <w:sz w:val="24"/>
          <w:szCs w:val="24"/>
        </w:rPr>
        <w:t>槽底设有过滤装置，槽液循环使用</w:t>
      </w:r>
      <w:r>
        <w:rPr>
          <w:rFonts w:hint="eastAsia" w:ascii="Times New Roman"/>
          <w:bCs/>
          <w:sz w:val="24"/>
          <w:szCs w:val="24"/>
        </w:rPr>
        <w:t>。</w:t>
      </w:r>
      <w:r>
        <w:rPr>
          <w:rFonts w:ascii="Times New Roman" w:eastAsiaTheme="minorEastAsia"/>
          <w:sz w:val="24"/>
          <w:szCs w:val="24"/>
        </w:rPr>
        <w:t>电泳漆每半年倒槽1次，对槽体进行清洗，倒槽时将上方槽液泵入水洗槽（已提前3天将槽内废水排至污水处理站处理）内，待</w:t>
      </w:r>
      <w:r>
        <w:rPr>
          <w:rFonts w:hint="eastAsia" w:ascii="Times New Roman" w:eastAsiaTheme="minorEastAsia"/>
          <w:sz w:val="24"/>
          <w:szCs w:val="24"/>
        </w:rPr>
        <w:t>电泳</w:t>
      </w:r>
      <w:r>
        <w:rPr>
          <w:rFonts w:ascii="Times New Roman" w:eastAsiaTheme="minorEastAsia"/>
          <w:sz w:val="24"/>
          <w:szCs w:val="24"/>
        </w:rPr>
        <w:t>槽清洗干净后，将槽液倒入槽内重复利用</w:t>
      </w:r>
      <w:r>
        <w:rPr>
          <w:rFonts w:ascii="Times New Roman"/>
          <w:bCs/>
          <w:sz w:val="24"/>
          <w:szCs w:val="24"/>
        </w:rPr>
        <w:t>。</w:t>
      </w:r>
    </w:p>
    <w:p w14:paraId="10B12C71">
      <w:pPr>
        <w:tabs>
          <w:tab w:val="left" w:pos="7560"/>
        </w:tabs>
        <w:spacing w:line="360" w:lineRule="auto"/>
        <w:ind w:firstLine="482" w:firstLineChars="200"/>
        <w:rPr>
          <w:rFonts w:ascii="Times New Roman" w:eastAsiaTheme="minorEastAsia"/>
          <w:b/>
          <w:bCs/>
          <w:sz w:val="24"/>
          <w:szCs w:val="24"/>
        </w:rPr>
      </w:pPr>
      <w:r>
        <w:rPr>
          <w:rFonts w:ascii="Times New Roman" w:eastAsiaTheme="minorEastAsia"/>
          <w:b/>
          <w:bCs/>
          <w:sz w:val="24"/>
          <w:szCs w:val="24"/>
        </w:rPr>
        <w:t>本工序排污节点为：电泳过程产生的废气（G8），槽体清洗废水W2，</w:t>
      </w:r>
      <w:r>
        <w:rPr>
          <w:rFonts w:hint="eastAsia" w:ascii="Times New Roman" w:eastAsiaTheme="minorEastAsia"/>
          <w:b/>
          <w:bCs/>
          <w:sz w:val="24"/>
          <w:szCs w:val="24"/>
        </w:rPr>
        <w:t>电泳工序产生的漆渣S11，</w:t>
      </w:r>
      <w:r>
        <w:rPr>
          <w:rFonts w:ascii="Times New Roman" w:eastAsiaTheme="minorEastAsia"/>
          <w:b/>
          <w:bCs/>
          <w:sz w:val="24"/>
          <w:szCs w:val="24"/>
        </w:rPr>
        <w:t>设备运行噪声（N4）。</w:t>
      </w:r>
    </w:p>
    <w:p w14:paraId="56AFFE74">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（4）UF1、UF2</w:t>
      </w:r>
    </w:p>
    <w:p w14:paraId="5BDA29E6">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电泳池后设置UF1、UF2清洗装置，清洗方式为高压喷头喷淋</w:t>
      </w:r>
      <w:r>
        <w:rPr>
          <w:rFonts w:hint="eastAsia" w:ascii="Times New Roman" w:eastAsiaTheme="minorEastAsia"/>
          <w:sz w:val="24"/>
          <w:szCs w:val="24"/>
        </w:rPr>
        <w:t>，</w:t>
      </w:r>
      <w:r>
        <w:rPr>
          <w:rFonts w:ascii="Times New Roman" w:eastAsiaTheme="minorEastAsia"/>
          <w:sz w:val="24"/>
          <w:szCs w:val="24"/>
        </w:rPr>
        <w:t>在一个清洗批次过程中，最初是用纯水进行清洗，纯水清洗后产生的含漆料液体由管道回入</w:t>
      </w:r>
      <w:r>
        <w:rPr>
          <w:rFonts w:hint="eastAsia" w:ascii="Times New Roman" w:eastAsiaTheme="minorEastAsia"/>
          <w:sz w:val="24"/>
          <w:szCs w:val="24"/>
        </w:rPr>
        <w:t>槽内</w:t>
      </w:r>
      <w:r>
        <w:rPr>
          <w:rFonts w:ascii="Times New Roman" w:eastAsiaTheme="minorEastAsia"/>
          <w:sz w:val="24"/>
          <w:szCs w:val="24"/>
        </w:rPr>
        <w:t>，</w:t>
      </w:r>
      <w:r>
        <w:rPr>
          <w:rFonts w:hint="eastAsia" w:ascii="Times New Roman" w:eastAsiaTheme="minorEastAsia"/>
          <w:sz w:val="24"/>
          <w:szCs w:val="24"/>
        </w:rPr>
        <w:t>槽</w:t>
      </w:r>
      <w:r>
        <w:rPr>
          <w:rFonts w:ascii="Times New Roman" w:eastAsiaTheme="minorEastAsia"/>
          <w:sz w:val="24"/>
          <w:szCs w:val="24"/>
        </w:rPr>
        <w:t>内液体由高压泵再回泵入到高压喷头循环喷淋，循环至一定周期后清洗液中的漆料浓度、电导力、pH等参数不满足循环使用时，用超滤装置进行过滤，过滤后产生的高浓度漆料返回电泳槽，UF1、UF2</w:t>
      </w:r>
      <w:r>
        <w:rPr>
          <w:rFonts w:hint="eastAsia" w:ascii="Times New Roman" w:eastAsiaTheme="minorEastAsia"/>
          <w:sz w:val="24"/>
          <w:szCs w:val="24"/>
        </w:rPr>
        <w:t>槽</w:t>
      </w:r>
      <w:r>
        <w:rPr>
          <w:rFonts w:ascii="Times New Roman" w:eastAsiaTheme="minorEastAsia"/>
          <w:sz w:val="24"/>
          <w:szCs w:val="24"/>
        </w:rPr>
        <w:t>每半年倒槽1次，对槽体进行清洗，倒槽时将上方槽液泵入水洗槽（已提前3天将槽内废水排至污水处理站处理）内，待槽</w:t>
      </w:r>
      <w:r>
        <w:rPr>
          <w:rFonts w:hint="eastAsia" w:ascii="Times New Roman" w:eastAsiaTheme="minorEastAsia"/>
          <w:sz w:val="24"/>
          <w:szCs w:val="24"/>
        </w:rPr>
        <w:t>体</w:t>
      </w:r>
      <w:r>
        <w:rPr>
          <w:rFonts w:ascii="Times New Roman" w:eastAsiaTheme="minorEastAsia"/>
          <w:sz w:val="24"/>
          <w:szCs w:val="24"/>
        </w:rPr>
        <w:t>清洗干净后，将槽液倒入槽内重复利用。</w:t>
      </w:r>
    </w:p>
    <w:p w14:paraId="130C3A6D">
      <w:pPr>
        <w:tabs>
          <w:tab w:val="left" w:pos="7560"/>
        </w:tabs>
        <w:spacing w:line="360" w:lineRule="auto"/>
        <w:ind w:firstLine="482" w:firstLineChars="200"/>
        <w:rPr>
          <w:rFonts w:ascii="Times New Roman" w:eastAsiaTheme="minorEastAsia"/>
          <w:b/>
          <w:bCs/>
          <w:sz w:val="24"/>
          <w:szCs w:val="24"/>
        </w:rPr>
      </w:pPr>
      <w:r>
        <w:rPr>
          <w:rFonts w:ascii="Times New Roman" w:eastAsiaTheme="minorEastAsia"/>
          <w:b/>
          <w:bCs/>
          <w:sz w:val="24"/>
          <w:szCs w:val="24"/>
        </w:rPr>
        <w:t>本工序排污节点为：槽体清洗废水W2，设备运行噪声N。</w:t>
      </w:r>
    </w:p>
    <w:p w14:paraId="002798BD">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（5）</w:t>
      </w:r>
      <w:r>
        <w:rPr>
          <w:rFonts w:hint="eastAsia" w:ascii="Times New Roman" w:eastAsiaTheme="minorEastAsia"/>
          <w:sz w:val="24"/>
          <w:szCs w:val="24"/>
        </w:rPr>
        <w:t>吹水、</w:t>
      </w:r>
      <w:r>
        <w:rPr>
          <w:rFonts w:ascii="Times New Roman" w:eastAsiaTheme="minorEastAsia"/>
          <w:sz w:val="24"/>
          <w:szCs w:val="24"/>
        </w:rPr>
        <w:t>电泳烘干及强冷</w:t>
      </w:r>
    </w:p>
    <w:p w14:paraId="6E001BDE">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UF1、UF2</w:t>
      </w:r>
      <w:r>
        <w:rPr>
          <w:rFonts w:hint="eastAsia" w:ascii="Times New Roman" w:eastAsiaTheme="minorEastAsia"/>
          <w:sz w:val="24"/>
          <w:szCs w:val="24"/>
        </w:rPr>
        <w:t>后的</w:t>
      </w:r>
      <w:r>
        <w:rPr>
          <w:rFonts w:ascii="Times New Roman" w:eastAsiaTheme="minorEastAsia"/>
          <w:sz w:val="24"/>
          <w:szCs w:val="24"/>
        </w:rPr>
        <w:t>工件经过吹水工序除去工件表面的水</w:t>
      </w:r>
      <w:r>
        <w:rPr>
          <w:rFonts w:hint="eastAsia" w:ascii="Times New Roman" w:eastAsiaTheme="minorEastAsia"/>
          <w:sz w:val="24"/>
          <w:szCs w:val="24"/>
        </w:rPr>
        <w:t>，然后</w:t>
      </w:r>
      <w:r>
        <w:rPr>
          <w:rFonts w:ascii="Times New Roman" w:eastAsiaTheme="minorEastAsia"/>
          <w:sz w:val="24"/>
          <w:szCs w:val="24"/>
        </w:rPr>
        <w:t>送入</w:t>
      </w:r>
      <w:r>
        <w:rPr>
          <w:rFonts w:hint="eastAsia" w:ascii="Times New Roman" w:eastAsiaTheme="minorEastAsia"/>
          <w:sz w:val="24"/>
          <w:szCs w:val="24"/>
        </w:rPr>
        <w:t>固化</w:t>
      </w:r>
      <w:r>
        <w:rPr>
          <w:rFonts w:ascii="Times New Roman" w:eastAsiaTheme="minorEastAsia"/>
          <w:sz w:val="24"/>
          <w:szCs w:val="24"/>
        </w:rPr>
        <w:t>炉进行烘干固化，烘干温度为170℃，烘干时间30min。项目采用天然气燃烧器直接加热进行烘干。烘干完成后工件进入强冷室降温1</w:t>
      </w:r>
      <w:r>
        <w:rPr>
          <w:rFonts w:hint="eastAsia" w:ascii="Times New Roman" w:eastAsiaTheme="minorEastAsia"/>
          <w:sz w:val="24"/>
          <w:szCs w:val="24"/>
        </w:rPr>
        <w:t>0</w:t>
      </w:r>
      <w:r>
        <w:rPr>
          <w:rFonts w:ascii="Times New Roman" w:eastAsiaTheme="minorEastAsia"/>
          <w:sz w:val="24"/>
          <w:szCs w:val="24"/>
        </w:rPr>
        <w:t>min</w:t>
      </w:r>
      <w:r>
        <w:rPr>
          <w:rFonts w:hint="eastAsia" w:ascii="Times New Roman" w:eastAsiaTheme="minorEastAsia"/>
          <w:sz w:val="24"/>
          <w:szCs w:val="24"/>
        </w:rPr>
        <w:t>，送风机从室外送入压缩冷空气进入强冷室，吹向工件四周，将工件迅速降温至室温</w:t>
      </w:r>
      <w:r>
        <w:rPr>
          <w:rFonts w:ascii="Times New Roman" w:eastAsiaTheme="minorEastAsia"/>
          <w:sz w:val="24"/>
          <w:szCs w:val="24"/>
        </w:rPr>
        <w:t>。</w:t>
      </w:r>
    </w:p>
    <w:p w14:paraId="7DBB8451">
      <w:pPr>
        <w:tabs>
          <w:tab w:val="left" w:pos="7560"/>
        </w:tabs>
        <w:spacing w:line="360" w:lineRule="auto"/>
        <w:ind w:firstLine="482" w:firstLineChars="200"/>
        <w:rPr>
          <w:rFonts w:ascii="Times New Roman" w:eastAsiaTheme="minorEastAsia"/>
          <w:sz w:val="24"/>
          <w:szCs w:val="24"/>
        </w:rPr>
      </w:pPr>
      <w:r>
        <w:rPr>
          <w:rFonts w:ascii="Times New Roman" w:eastAsiaTheme="minorEastAsia"/>
          <w:b/>
          <w:bCs/>
          <w:sz w:val="24"/>
          <w:szCs w:val="24"/>
        </w:rPr>
        <w:t>本工序排污节点为：电泳烘干</w:t>
      </w:r>
      <w:r>
        <w:rPr>
          <w:rFonts w:hint="eastAsia" w:ascii="Times New Roman" w:eastAsiaTheme="minorEastAsia"/>
          <w:b/>
          <w:bCs/>
          <w:sz w:val="24"/>
          <w:szCs w:val="24"/>
        </w:rPr>
        <w:t>（含天然气燃烧)</w:t>
      </w:r>
      <w:r>
        <w:rPr>
          <w:rFonts w:ascii="Times New Roman" w:eastAsiaTheme="minorEastAsia"/>
          <w:b/>
          <w:bCs/>
          <w:sz w:val="24"/>
          <w:szCs w:val="24"/>
        </w:rPr>
        <w:t>、强冷过程产生的废气（G9）</w:t>
      </w:r>
      <w:r>
        <w:rPr>
          <w:rFonts w:ascii="Times New Roman"/>
          <w:b/>
          <w:bCs/>
          <w:sz w:val="24"/>
          <w:szCs w:val="24"/>
        </w:rPr>
        <w:t>、</w:t>
      </w:r>
      <w:r>
        <w:rPr>
          <w:rFonts w:ascii="Times New Roman" w:eastAsiaTheme="minorEastAsia"/>
          <w:b/>
          <w:bCs/>
          <w:sz w:val="24"/>
          <w:szCs w:val="24"/>
        </w:rPr>
        <w:t>设备运行噪声（N6）。</w:t>
      </w:r>
    </w:p>
    <w:p w14:paraId="4D492AE9">
      <w:pPr>
        <w:tabs>
          <w:tab w:val="left" w:pos="7560"/>
        </w:tabs>
        <w:spacing w:line="360" w:lineRule="auto"/>
        <w:ind w:firstLine="482" w:firstLineChars="200"/>
        <w:rPr>
          <w:rFonts w:ascii="Times New Roman" w:eastAsiaTheme="minorEastAsia"/>
          <w:b/>
          <w:bCs/>
          <w:sz w:val="24"/>
          <w:szCs w:val="24"/>
        </w:rPr>
      </w:pPr>
      <w:r>
        <w:rPr>
          <w:rFonts w:ascii="Times New Roman" w:eastAsiaTheme="minorEastAsia"/>
          <w:b/>
          <w:bCs/>
          <w:sz w:val="24"/>
          <w:szCs w:val="24"/>
        </w:rPr>
        <w:t>2、喷漆、喷粉生产线</w:t>
      </w:r>
    </w:p>
    <w:p w14:paraId="6336F065">
      <w:pPr>
        <w:tabs>
          <w:tab w:val="left" w:pos="7560"/>
        </w:tabs>
        <w:spacing w:line="360" w:lineRule="auto"/>
        <w:jc w:val="center"/>
        <w:rPr>
          <w:rFonts w:ascii="Times New Roman" w:eastAsiaTheme="minorEastAsia"/>
          <w:sz w:val="24"/>
          <w:szCs w:val="24"/>
        </w:rPr>
      </w:pPr>
      <w:r>
        <w:rPr>
          <w:rFonts w:ascii="Times New Roman" w:eastAsiaTheme="minorEastAsia"/>
          <w:sz w:val="24"/>
          <w:szCs w:val="24"/>
        </w:rPr>
        <w:drawing>
          <wp:inline distT="0" distB="0" distL="114300" distR="114300">
            <wp:extent cx="4977765" cy="1367790"/>
            <wp:effectExtent l="0" t="0" r="0" b="0"/>
            <wp:docPr id="79" name="图片 5"/>
            <wp:cNvGraphicFramePr/>
            <a:graphic xmlns:a="http://schemas.openxmlformats.org/drawingml/2006/main">
              <a:graphicData uri="http://schemas.openxmlformats.org/drawingml/2006/picture">
                <pic:pic xmlns:pic="http://schemas.openxmlformats.org/drawingml/2006/picture">
                  <pic:nvPicPr>
                    <pic:cNvPr id="79" name="图片 5"/>
                    <pic:cNvPicPr/>
                  </pic:nvPicPr>
                  <pic:blipFill>
                    <a:blip r:embed="rId42"/>
                    <a:stretch>
                      <a:fillRect/>
                    </a:stretch>
                  </pic:blipFill>
                  <pic:spPr>
                    <a:xfrm>
                      <a:off x="0" y="0"/>
                      <a:ext cx="4977765" cy="1367790"/>
                    </a:xfrm>
                    <a:prstGeom prst="rect">
                      <a:avLst/>
                    </a:prstGeom>
                    <a:noFill/>
                    <a:ln>
                      <a:noFill/>
                    </a:ln>
                  </pic:spPr>
                </pic:pic>
              </a:graphicData>
            </a:graphic>
          </wp:inline>
        </w:drawing>
      </w:r>
    </w:p>
    <w:p w14:paraId="530936DD">
      <w:pPr>
        <w:pStyle w:val="151"/>
        <w:widowControl w:val="0"/>
        <w:autoSpaceDE/>
        <w:autoSpaceDN/>
        <w:snapToGrid/>
        <w:spacing w:line="240" w:lineRule="auto"/>
        <w:ind w:left="0" w:leftChars="0"/>
        <w:rPr>
          <w:rFonts w:eastAsia="宋体" w:cs="Times New Roman"/>
          <w:b/>
          <w:bCs/>
          <w:w w:val="100"/>
          <w:kern w:val="2"/>
          <w:sz w:val="24"/>
          <w:szCs w:val="24"/>
          <w:lang w:val="en-US" w:bidi="ar-SA"/>
        </w:rPr>
      </w:pPr>
      <w:r>
        <w:rPr>
          <w:rFonts w:eastAsia="宋体" w:cs="Times New Roman"/>
          <w:b/>
          <w:bCs/>
          <w:sz w:val="24"/>
          <w:szCs w:val="24"/>
          <w:lang w:val="en-US"/>
        </w:rPr>
        <w:t>图3.7-7  喷涂</w:t>
      </w:r>
      <w:r>
        <w:rPr>
          <w:rFonts w:eastAsia="宋体" w:cs="Times New Roman"/>
          <w:b/>
          <w:bCs/>
          <w:w w:val="100"/>
          <w:kern w:val="2"/>
          <w:sz w:val="24"/>
          <w:szCs w:val="24"/>
          <w:lang w:val="en-US" w:bidi="ar-SA"/>
        </w:rPr>
        <w:t>生产线工艺流程和排污节点图</w:t>
      </w:r>
    </w:p>
    <w:p w14:paraId="04968458">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（1）</w:t>
      </w:r>
      <w:r>
        <w:rPr>
          <w:rFonts w:ascii="Times New Roman"/>
          <w:sz w:val="24"/>
          <w:szCs w:val="24"/>
        </w:rPr>
        <w:t>喷漆</w:t>
      </w:r>
    </w:p>
    <w:p w14:paraId="207DF1C3">
      <w:pPr>
        <w:spacing w:line="360" w:lineRule="auto"/>
        <w:ind w:firstLine="480" w:firstLineChars="200"/>
        <w:rPr>
          <w:rFonts w:ascii="Times New Roman"/>
          <w:sz w:val="24"/>
          <w:szCs w:val="24"/>
        </w:rPr>
      </w:pPr>
      <w:r>
        <w:rPr>
          <w:rFonts w:ascii="Times New Roman"/>
          <w:bCs/>
          <w:sz w:val="24"/>
          <w:szCs w:val="24"/>
        </w:rPr>
        <w:t>喷漆首先配制漆料，在密闭喷漆房内进行，采用</w:t>
      </w:r>
      <w:r>
        <w:rPr>
          <w:rFonts w:hint="eastAsia" w:ascii="Times New Roman"/>
          <w:bCs/>
          <w:sz w:val="24"/>
          <w:szCs w:val="24"/>
        </w:rPr>
        <w:t>泵</w:t>
      </w:r>
      <w:r>
        <w:rPr>
          <w:rFonts w:ascii="Times New Roman"/>
          <w:bCs/>
          <w:sz w:val="24"/>
          <w:szCs w:val="24"/>
        </w:rPr>
        <w:t>将原料</w:t>
      </w:r>
      <w:r>
        <w:rPr>
          <w:rFonts w:hint="eastAsia" w:ascii="Times New Roman"/>
          <w:bCs/>
          <w:sz w:val="24"/>
          <w:szCs w:val="24"/>
        </w:rPr>
        <w:t>泵</w:t>
      </w:r>
      <w:r>
        <w:rPr>
          <w:rFonts w:ascii="Times New Roman"/>
          <w:bCs/>
          <w:sz w:val="24"/>
          <w:szCs w:val="24"/>
        </w:rPr>
        <w:t>入调漆搅拌桶的入口，口径约有5cm，然后加盖进行搅拌调配，配好的涂料采用专用漆料管道事先将漆料按一定比例接入各喷漆室喷枪以备喷涂。</w:t>
      </w:r>
    </w:p>
    <w:p w14:paraId="7FBAE4E1">
      <w:pPr>
        <w:spacing w:line="360" w:lineRule="auto"/>
        <w:ind w:firstLine="480" w:firstLineChars="200"/>
        <w:rPr>
          <w:rFonts w:ascii="Times New Roman"/>
          <w:sz w:val="24"/>
          <w:szCs w:val="24"/>
        </w:rPr>
      </w:pPr>
      <w:r>
        <w:rPr>
          <w:rFonts w:ascii="Times New Roman"/>
          <w:sz w:val="24"/>
          <w:szCs w:val="24"/>
        </w:rPr>
        <w:t>由于客户对漆膜厚度的要求不同，项目工件全部需进行面漆喷涂，漆膜厚度80μm，1/2工件需进行中间漆喷涂，漆膜厚度</w:t>
      </w:r>
      <w:r>
        <w:rPr>
          <w:rFonts w:hint="eastAsia" w:ascii="Times New Roman"/>
          <w:sz w:val="24"/>
          <w:szCs w:val="24"/>
        </w:rPr>
        <w:t>8</w:t>
      </w:r>
      <w:r>
        <w:rPr>
          <w:rFonts w:ascii="Times New Roman"/>
          <w:sz w:val="24"/>
          <w:szCs w:val="24"/>
        </w:rPr>
        <w:t>0μm，1/4工件需进行底漆喷涂，漆膜厚度60μm。对工件内外表面进行喷漆作业，可保证产品表面的耐腐蚀能力，本项目喷漆在2</w:t>
      </w:r>
      <w:r>
        <w:rPr>
          <w:rFonts w:hint="eastAsia" w:ascii="Times New Roman"/>
          <w:sz w:val="24"/>
          <w:szCs w:val="24"/>
        </w:rPr>
        <w:t>个面</w:t>
      </w:r>
      <w:r>
        <w:rPr>
          <w:rFonts w:ascii="Times New Roman"/>
          <w:sz w:val="24"/>
          <w:szCs w:val="24"/>
        </w:rPr>
        <w:t>漆房</w:t>
      </w:r>
      <w:r>
        <w:rPr>
          <w:rFonts w:hint="eastAsia" w:ascii="Times New Roman"/>
          <w:sz w:val="24"/>
          <w:szCs w:val="24"/>
        </w:rPr>
        <w:t>、1个手工漆房</w:t>
      </w:r>
      <w:r>
        <w:rPr>
          <w:rFonts w:ascii="Times New Roman"/>
          <w:sz w:val="24"/>
          <w:szCs w:val="24"/>
        </w:rPr>
        <w:t>内进行。</w:t>
      </w:r>
    </w:p>
    <w:p w14:paraId="69FEF188">
      <w:pPr>
        <w:spacing w:line="360" w:lineRule="auto"/>
        <w:ind w:firstLine="480" w:firstLineChars="200"/>
        <w:rPr>
          <w:rFonts w:ascii="Times New Roman"/>
          <w:sz w:val="24"/>
          <w:szCs w:val="24"/>
        </w:rPr>
      </w:pPr>
      <w:r>
        <w:rPr>
          <w:rFonts w:ascii="Times New Roman"/>
          <w:sz w:val="24"/>
          <w:szCs w:val="24"/>
        </w:rPr>
        <w:t>本工序</w:t>
      </w:r>
      <w:r>
        <w:rPr>
          <w:rFonts w:hint="eastAsia"/>
          <w:sz w:val="24"/>
          <w:szCs w:val="24"/>
        </w:rPr>
        <w:t>部分</w:t>
      </w:r>
      <w:r>
        <w:rPr>
          <w:rFonts w:ascii="Times New Roman"/>
          <w:sz w:val="24"/>
          <w:szCs w:val="24"/>
        </w:rPr>
        <w:t>工件喷漆作业程序为先喷底漆，然后进入流平室进行流平，</w:t>
      </w:r>
      <w:r>
        <w:rPr>
          <w:rFonts w:ascii="Times New Roman" w:eastAsia="sans-serif"/>
          <w:sz w:val="24"/>
          <w:szCs w:val="24"/>
          <w:shd w:val="clear" w:color="auto" w:fill="FFFFFF"/>
        </w:rPr>
        <w:t>使喷漆后喷在材料表面上的漆摊平，并使部分溶剂挥发，以防止在烘</w:t>
      </w:r>
      <w:r>
        <w:rPr>
          <w:rFonts w:ascii="Times New Roman"/>
          <w:sz w:val="24"/>
          <w:szCs w:val="24"/>
          <w:shd w:val="clear" w:color="auto" w:fill="FFFFFF"/>
        </w:rPr>
        <w:t>干</w:t>
      </w:r>
      <w:r>
        <w:rPr>
          <w:rFonts w:ascii="Times New Roman" w:eastAsia="sans-serif"/>
          <w:sz w:val="24"/>
          <w:szCs w:val="24"/>
          <w:shd w:val="clear" w:color="auto" w:fill="FFFFFF"/>
        </w:rPr>
        <w:t>时漆膜上出现针孔。常温流平。</w:t>
      </w:r>
      <w:r>
        <w:rPr>
          <w:rFonts w:ascii="Times New Roman"/>
          <w:sz w:val="24"/>
          <w:szCs w:val="24"/>
          <w:shd w:val="clear" w:color="auto" w:fill="FFFFFF"/>
        </w:rPr>
        <w:t>流平后的工件进入烘干房</w:t>
      </w:r>
      <w:r>
        <w:rPr>
          <w:rFonts w:ascii="Times New Roman"/>
          <w:sz w:val="24"/>
          <w:szCs w:val="24"/>
        </w:rPr>
        <w:t>采用天然气加热烘干底漆，加热温度60~80℃</w:t>
      </w:r>
      <w:r>
        <w:rPr>
          <w:rFonts w:hint="eastAsia" w:ascii="Times New Roman"/>
          <w:sz w:val="24"/>
          <w:szCs w:val="24"/>
        </w:rPr>
        <w:t>，30min</w:t>
      </w:r>
      <w:r>
        <w:rPr>
          <w:rFonts w:ascii="Times New Roman"/>
          <w:sz w:val="24"/>
          <w:szCs w:val="24"/>
        </w:rPr>
        <w:t>。底漆烘干后</w:t>
      </w:r>
      <w:r>
        <w:rPr>
          <w:rFonts w:hint="eastAsia" w:ascii="Times New Roman"/>
          <w:sz w:val="24"/>
          <w:szCs w:val="24"/>
        </w:rPr>
        <w:t>的工件进入强冷室降温10min，温度降至室温后</w:t>
      </w:r>
      <w:r>
        <w:rPr>
          <w:rFonts w:ascii="Times New Roman"/>
          <w:sz w:val="24"/>
          <w:szCs w:val="24"/>
        </w:rPr>
        <w:t>进行中间漆、面漆喷涂，作业流程与底漆喷涂相同。本项目喷漆设备采用较先进的喷漆方法，其采用增压泵将涂料增至高压（常用压力60~300kg/cm</w:t>
      </w:r>
      <w:r>
        <w:rPr>
          <w:rFonts w:ascii="Times New Roman"/>
          <w:sz w:val="24"/>
          <w:szCs w:val="24"/>
          <w:vertAlign w:val="superscript"/>
        </w:rPr>
        <w:t>2</w:t>
      </w:r>
      <w:r>
        <w:rPr>
          <w:rFonts w:ascii="Times New Roman"/>
          <w:sz w:val="24"/>
          <w:szCs w:val="24"/>
        </w:rPr>
        <w:t>），通过很细的喷孔喷出，使涂料形成扇形雾状。喷漆速度快，并能喷涂较厚的涂料，由于涂料里不混入空气，且涂料传递效率和生产效率较高，从而在金属表面形成致密的涂层，且上漆率较高。</w:t>
      </w:r>
    </w:p>
    <w:p w14:paraId="76A1E5A9">
      <w:pPr>
        <w:pStyle w:val="522"/>
        <w:widowControl w:val="0"/>
        <w:tabs>
          <w:tab w:val="left" w:pos="5040"/>
        </w:tabs>
        <w:spacing w:line="360" w:lineRule="auto"/>
        <w:ind w:firstLine="482" w:firstLineChars="200"/>
        <w:jc w:val="both"/>
        <w:rPr>
          <w:b/>
          <w:bCs/>
          <w:sz w:val="24"/>
          <w:szCs w:val="24"/>
        </w:rPr>
      </w:pPr>
      <w:r>
        <w:rPr>
          <w:b/>
          <w:bCs/>
          <w:sz w:val="24"/>
          <w:szCs w:val="24"/>
        </w:rPr>
        <w:t>本工艺污染源主要为喷漆、流平、固化、强冷废气G10、G11、G12、G13；</w:t>
      </w:r>
      <w:r>
        <w:rPr>
          <w:rFonts w:hint="eastAsia"/>
          <w:b/>
          <w:bCs/>
          <w:sz w:val="24"/>
          <w:szCs w:val="24"/>
        </w:rPr>
        <w:t>喷漆工序产生的漆渣S10，</w:t>
      </w:r>
      <w:r>
        <w:rPr>
          <w:b/>
          <w:bCs/>
          <w:sz w:val="24"/>
          <w:szCs w:val="24"/>
        </w:rPr>
        <w:t>设备运行噪声N。</w:t>
      </w:r>
    </w:p>
    <w:p w14:paraId="1CF3A6AF">
      <w:pPr>
        <w:tabs>
          <w:tab w:val="left" w:pos="7560"/>
        </w:tabs>
        <w:spacing w:line="360" w:lineRule="auto"/>
        <w:ind w:left="500" w:leftChars="200"/>
        <w:rPr>
          <w:rFonts w:ascii="Times New Roman"/>
          <w:sz w:val="24"/>
          <w:szCs w:val="24"/>
        </w:rPr>
      </w:pPr>
      <w:r>
        <w:rPr>
          <w:rFonts w:ascii="Times New Roman"/>
          <w:sz w:val="24"/>
          <w:szCs w:val="24"/>
        </w:rPr>
        <w:t>（2）喷塑</w:t>
      </w:r>
    </w:p>
    <w:p w14:paraId="166A9923">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托辊横梁</w:t>
      </w:r>
      <w:r>
        <w:rPr>
          <w:rFonts w:hint="eastAsia" w:eastAsiaTheme="minorEastAsia"/>
          <w:sz w:val="24"/>
          <w:szCs w:val="24"/>
        </w:rPr>
        <w:t>、支腿、导料槽等</w:t>
      </w:r>
      <w:r>
        <w:rPr>
          <w:rFonts w:ascii="Times New Roman"/>
          <w:sz w:val="24"/>
          <w:szCs w:val="24"/>
        </w:rPr>
        <w:t>部分</w:t>
      </w:r>
      <w:r>
        <w:rPr>
          <w:rFonts w:hint="eastAsia" w:ascii="Times New Roman"/>
          <w:sz w:val="24"/>
          <w:szCs w:val="24"/>
        </w:rPr>
        <w:t>零部件</w:t>
      </w:r>
      <w:r>
        <w:rPr>
          <w:rFonts w:ascii="Times New Roman"/>
          <w:sz w:val="24"/>
          <w:szCs w:val="24"/>
        </w:rPr>
        <w:t>预处理</w:t>
      </w:r>
      <w:r>
        <w:rPr>
          <w:rFonts w:ascii="Times New Roman" w:eastAsiaTheme="minorEastAsia"/>
          <w:sz w:val="24"/>
          <w:szCs w:val="24"/>
        </w:rPr>
        <w:t>工件送至喷</w:t>
      </w:r>
      <w:r>
        <w:rPr>
          <w:rFonts w:ascii="Times New Roman"/>
          <w:sz w:val="24"/>
          <w:szCs w:val="24"/>
        </w:rPr>
        <w:t>塑</w:t>
      </w:r>
      <w:r>
        <w:rPr>
          <w:rFonts w:ascii="Times New Roman" w:eastAsiaTheme="minorEastAsia"/>
          <w:sz w:val="24"/>
          <w:szCs w:val="24"/>
        </w:rPr>
        <w:t>房，喷塑是一种将粉末涂料喷涂在工件上的表面涂装方法，本项目喷塑作业在</w:t>
      </w:r>
      <w:r>
        <w:rPr>
          <w:rFonts w:hint="eastAsia" w:ascii="Times New Roman" w:eastAsiaTheme="minorEastAsia"/>
          <w:sz w:val="24"/>
          <w:szCs w:val="24"/>
        </w:rPr>
        <w:t>底粉房和面粉房内</w:t>
      </w:r>
      <w:r>
        <w:rPr>
          <w:rFonts w:ascii="Times New Roman" w:eastAsiaTheme="minorEastAsia"/>
          <w:sz w:val="24"/>
          <w:szCs w:val="24"/>
        </w:rPr>
        <w:t>进行。</w:t>
      </w:r>
    </w:p>
    <w:p w14:paraId="5AB41F51">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本项目喷塑采用静电粉末喷涂工艺，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再继续吸附，从而使整个工件获得一定厚度的粉末涂层。粉状涂层经过加热后熔融流平固化</w:t>
      </w:r>
      <w:r>
        <w:rPr>
          <w:rFonts w:ascii="Times New Roman"/>
          <w:sz w:val="24"/>
          <w:szCs w:val="24"/>
        </w:rPr>
        <w:t>，</w:t>
      </w:r>
      <w:r>
        <w:rPr>
          <w:rFonts w:ascii="Times New Roman" w:eastAsiaTheme="minorEastAsia"/>
          <w:sz w:val="24"/>
          <w:szCs w:val="24"/>
        </w:rPr>
        <w:t>在工件表面形成一层致密的保护涂层，牢牢附着在工件表面，从而达到装饰和防腐的目的。固化</w:t>
      </w:r>
      <w:r>
        <w:rPr>
          <w:rFonts w:ascii="Times New Roman"/>
          <w:sz w:val="24"/>
          <w:szCs w:val="24"/>
        </w:rPr>
        <w:t>后</w:t>
      </w:r>
      <w:r>
        <w:rPr>
          <w:rFonts w:hint="eastAsia" w:ascii="Times New Roman"/>
          <w:sz w:val="24"/>
          <w:szCs w:val="24"/>
        </w:rPr>
        <w:t>的工件进入强冷室降温10min，温度降到室温。</w:t>
      </w:r>
    </w:p>
    <w:p w14:paraId="2E500A97">
      <w:pPr>
        <w:tabs>
          <w:tab w:val="left" w:pos="7560"/>
        </w:tabs>
        <w:spacing w:line="360" w:lineRule="auto"/>
        <w:ind w:firstLine="482" w:firstLineChars="200"/>
        <w:rPr>
          <w:rFonts w:ascii="Times New Roman"/>
          <w:b/>
          <w:bCs/>
          <w:sz w:val="24"/>
          <w:szCs w:val="24"/>
        </w:rPr>
      </w:pPr>
      <w:r>
        <w:rPr>
          <w:rFonts w:ascii="Times New Roman" w:eastAsiaTheme="minorEastAsia"/>
          <w:b/>
          <w:bCs/>
          <w:sz w:val="24"/>
          <w:szCs w:val="24"/>
        </w:rPr>
        <w:t>本工序排污节点为：</w:t>
      </w:r>
      <w:r>
        <w:rPr>
          <w:rFonts w:ascii="Times New Roman"/>
          <w:b/>
          <w:bCs/>
          <w:sz w:val="24"/>
          <w:szCs w:val="24"/>
        </w:rPr>
        <w:t>喷塑</w:t>
      </w:r>
      <w:r>
        <w:rPr>
          <w:rFonts w:ascii="Times New Roman" w:eastAsiaTheme="minorEastAsia"/>
          <w:b/>
          <w:bCs/>
          <w:sz w:val="24"/>
          <w:szCs w:val="24"/>
        </w:rPr>
        <w:t>、烘干、强冷过程产生的废气（G14</w:t>
      </w:r>
      <w:r>
        <w:rPr>
          <w:rFonts w:ascii="Times New Roman"/>
          <w:b/>
          <w:bCs/>
          <w:sz w:val="24"/>
          <w:szCs w:val="24"/>
        </w:rPr>
        <w:t>、G15、G16</w:t>
      </w:r>
      <w:r>
        <w:rPr>
          <w:rFonts w:ascii="Times New Roman" w:eastAsiaTheme="minorEastAsia"/>
          <w:b/>
          <w:bCs/>
          <w:sz w:val="24"/>
          <w:szCs w:val="24"/>
        </w:rPr>
        <w:t>），设备运行噪声（N）。</w:t>
      </w:r>
    </w:p>
    <w:p w14:paraId="29F9E893">
      <w:pPr>
        <w:spacing w:line="360" w:lineRule="auto"/>
        <w:outlineLvl w:val="2"/>
        <w:rPr>
          <w:rFonts w:ascii="Times New Roman"/>
          <w:b/>
          <w:sz w:val="28"/>
          <w:szCs w:val="28"/>
        </w:rPr>
      </w:pPr>
      <w:r>
        <w:rPr>
          <w:rFonts w:ascii="Times New Roman"/>
          <w:b/>
          <w:sz w:val="28"/>
          <w:szCs w:val="28"/>
        </w:rPr>
        <w:t>3.7.4托辊及装配</w:t>
      </w:r>
      <w:r>
        <w:rPr>
          <w:rFonts w:hint="eastAsia" w:ascii="Times New Roman"/>
          <w:b/>
          <w:sz w:val="28"/>
          <w:szCs w:val="28"/>
        </w:rPr>
        <w:t>生产线</w:t>
      </w:r>
    </w:p>
    <w:p w14:paraId="1B03A14E">
      <w:pPr>
        <w:widowControl/>
        <w:spacing w:line="360" w:lineRule="auto"/>
        <w:ind w:firstLine="480" w:firstLineChars="200"/>
        <w:rPr>
          <w:rFonts w:ascii="Times New Roman"/>
          <w:kern w:val="0"/>
          <w:sz w:val="24"/>
          <w:szCs w:val="24"/>
        </w:rPr>
      </w:pPr>
      <w:r>
        <w:rPr>
          <w:rFonts w:ascii="Times New Roman"/>
          <w:kern w:val="0"/>
          <w:sz w:val="24"/>
          <w:szCs w:val="24"/>
        </w:rPr>
        <w:t>（一）</w:t>
      </w:r>
      <w:r>
        <w:rPr>
          <w:rFonts w:ascii="Times New Roman"/>
          <w:b/>
          <w:sz w:val="24"/>
          <w:szCs w:val="24"/>
        </w:rPr>
        <w:t>托辊</w:t>
      </w:r>
    </w:p>
    <w:p w14:paraId="1E8D22F6">
      <w:pPr>
        <w:widowControl/>
        <w:rPr>
          <w:rFonts w:ascii="Times New Roman"/>
          <w:kern w:val="0"/>
          <w:sz w:val="24"/>
          <w:szCs w:val="24"/>
        </w:rPr>
      </w:pPr>
      <w:r>
        <w:rPr>
          <w:rFonts w:ascii="Times New Roman"/>
        </w:rPr>
        <mc:AlternateContent>
          <mc:Choice Requires="wps">
            <w:drawing>
              <wp:anchor distT="0" distB="0" distL="114300" distR="114300" simplePos="0" relativeHeight="251669504" behindDoc="0" locked="0" layoutInCell="1" allowOverlap="1">
                <wp:simplePos x="0" y="0"/>
                <wp:positionH relativeFrom="column">
                  <wp:posOffset>534670</wp:posOffset>
                </wp:positionH>
                <wp:positionV relativeFrom="paragraph">
                  <wp:posOffset>619125</wp:posOffset>
                </wp:positionV>
                <wp:extent cx="964565" cy="25336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64565" cy="253365"/>
                        </a:xfrm>
                        <a:prstGeom prst="rect">
                          <a:avLst/>
                        </a:prstGeom>
                        <a:noFill/>
                        <a:ln w="6350">
                          <a:noFill/>
                        </a:ln>
                        <a:effectLst/>
                      </wps:spPr>
                      <wps:txbx>
                        <w:txbxContent>
                          <w:p w14:paraId="75601DE2">
                            <w:pPr>
                              <w:rPr>
                                <w:rFonts w:ascii="Times New Roman"/>
                                <w:sz w:val="18"/>
                                <w:szCs w:val="18"/>
                              </w:rPr>
                            </w:pPr>
                            <w:r>
                              <w:rPr>
                                <w:rFonts w:ascii="Times New Roman"/>
                                <w:sz w:val="18"/>
                                <w:szCs w:val="18"/>
                              </w:rPr>
                              <w:t>N、</w:t>
                            </w:r>
                            <w:r>
                              <w:rPr>
                                <w:rFonts w:hint="eastAsia" w:ascii="Times New Roman"/>
                                <w:sz w:val="18"/>
                                <w:szCs w:val="18"/>
                              </w:rPr>
                              <w:t>S1、</w:t>
                            </w:r>
                            <w:r>
                              <w:rPr>
                                <w:rFonts w:ascii="Times New Roman"/>
                                <w:sz w:val="18"/>
                                <w:szCs w:val="18"/>
                              </w:rPr>
                              <w:t>S</w:t>
                            </w:r>
                            <w:r>
                              <w:rPr>
                                <w:rFonts w:hint="eastAsia" w:ascii="Times New Roman"/>
                                <w:sz w:val="18"/>
                                <w:szCs w:val="18"/>
                              </w:rPr>
                              <w:t>3、S4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48.75pt;height:19.95pt;width:75.95pt;z-index:251669504;mso-width-relative:page;mso-height-relative:page;" filled="f" stroked="f" coordsize="21600,21600" o:gfxdata="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d8eYtsAAAAJAQAADwAAAAAAAAABACAAAAAi&#10;AAAAZHJzL2Rvd25yZXYueG1sUEsBAhQAFAAAAAgAh07iQLT8xKxAAgAAdQQAAA4AAAAAAAAAAQAg&#10;AAAAKgEAAGRycy9lMm9Eb2MueG1sUEsFBgAAAAAGAAYAWQEAANwFAAAAAA==&#10;">
                <v:fill on="f" focussize="0,0"/>
                <v:stroke on="f" weight="0.5pt"/>
                <v:imagedata o:title=""/>
                <o:lock v:ext="edit" aspectratio="f"/>
                <v:textbox>
                  <w:txbxContent>
                    <w:p w14:paraId="75601DE2">
                      <w:pPr>
                        <w:rPr>
                          <w:rFonts w:ascii="Times New Roman"/>
                          <w:sz w:val="18"/>
                          <w:szCs w:val="18"/>
                        </w:rPr>
                      </w:pPr>
                      <w:r>
                        <w:rPr>
                          <w:rFonts w:ascii="Times New Roman"/>
                          <w:sz w:val="18"/>
                          <w:szCs w:val="18"/>
                        </w:rPr>
                        <w:t>N、</w:t>
                      </w:r>
                      <w:r>
                        <w:rPr>
                          <w:rFonts w:hint="eastAsia" w:ascii="Times New Roman"/>
                          <w:sz w:val="18"/>
                          <w:szCs w:val="18"/>
                        </w:rPr>
                        <w:t>S1、</w:t>
                      </w:r>
                      <w:r>
                        <w:rPr>
                          <w:rFonts w:ascii="Times New Roman"/>
                          <w:sz w:val="18"/>
                          <w:szCs w:val="18"/>
                        </w:rPr>
                        <w:t>S</w:t>
                      </w:r>
                      <w:r>
                        <w:rPr>
                          <w:rFonts w:hint="eastAsia" w:ascii="Times New Roman"/>
                          <w:sz w:val="18"/>
                          <w:szCs w:val="18"/>
                        </w:rPr>
                        <w:t>3、S4</w:t>
                      </w:r>
                    </w:p>
                  </w:txbxContent>
                </v:textbox>
              </v:shape>
            </w:pict>
          </mc:Fallback>
        </mc:AlternateContent>
      </w:r>
      <w:r>
        <w:rPr>
          <w:rFonts w:ascii="Times New Roman"/>
        </w:rPr>
        <mc:AlternateContent>
          <mc:Choice Requires="wps">
            <w:drawing>
              <wp:anchor distT="0" distB="0" distL="114300" distR="114300" simplePos="0" relativeHeight="251668480" behindDoc="0" locked="0" layoutInCell="1" allowOverlap="1">
                <wp:simplePos x="0" y="0"/>
                <wp:positionH relativeFrom="column">
                  <wp:posOffset>805180</wp:posOffset>
                </wp:positionH>
                <wp:positionV relativeFrom="paragraph">
                  <wp:posOffset>256540</wp:posOffset>
                </wp:positionV>
                <wp:extent cx="936625" cy="253365"/>
                <wp:effectExtent l="0" t="0" r="0" b="0"/>
                <wp:wrapNone/>
                <wp:docPr id="23" name="文本框 23"/>
                <wp:cNvGraphicFramePr/>
                <a:graphic xmlns:a="http://schemas.openxmlformats.org/drawingml/2006/main">
                  <a:graphicData uri="http://schemas.microsoft.com/office/word/2010/wordprocessingShape">
                    <wps:wsp>
                      <wps:cNvSpPr txBox="1"/>
                      <wps:spPr>
                        <a:xfrm>
                          <a:off x="2036445" y="1316990"/>
                          <a:ext cx="936625" cy="253365"/>
                        </a:xfrm>
                        <a:prstGeom prst="rect">
                          <a:avLst/>
                        </a:prstGeom>
                        <a:noFill/>
                        <a:ln w="6350">
                          <a:noFill/>
                        </a:ln>
                        <a:effectLst/>
                      </wps:spPr>
                      <wps:txbx>
                        <w:txbxContent>
                          <w:p w14:paraId="32390BCE">
                            <w:pPr>
                              <w:rPr>
                                <w:rFonts w:ascii="Times New Roman"/>
                                <w:sz w:val="18"/>
                                <w:szCs w:val="18"/>
                              </w:rPr>
                            </w:pPr>
                            <w:r>
                              <w:rPr>
                                <w:rFonts w:ascii="Times New Roman"/>
                                <w:sz w:val="18"/>
                                <w:szCs w:val="18"/>
                              </w:rPr>
                              <w:t>N、</w:t>
                            </w:r>
                            <w:r>
                              <w:rPr>
                                <w:rFonts w:hint="eastAsia" w:ascii="Times New Roman"/>
                                <w:sz w:val="18"/>
                                <w:szCs w:val="18"/>
                              </w:rPr>
                              <w:t>S1、</w:t>
                            </w:r>
                            <w:r>
                              <w:rPr>
                                <w:rFonts w:ascii="Times New Roman"/>
                                <w:sz w:val="18"/>
                                <w:szCs w:val="18"/>
                              </w:rPr>
                              <w:t>S</w:t>
                            </w:r>
                            <w:r>
                              <w:rPr>
                                <w:rFonts w:hint="eastAsia" w:ascii="Times New Roman"/>
                                <w:sz w:val="18"/>
                                <w:szCs w:val="18"/>
                              </w:rPr>
                              <w:t>3、S4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4pt;margin-top:20.2pt;height:19.95pt;width:73.75pt;z-index:251668480;mso-width-relative:page;mso-height-relative:page;" filled="f" stroked="f" coordsize="21600,21600" o:gfxdata="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3qCQdoAAAAJAQAADwAA&#10;AAAAAAABACAAAAAiAAAAZHJzL2Rvd25yZXYueG1sUEsBAhQAFAAAAAgAh07iQOCXpNpNAgAAgQQA&#10;AA4AAAAAAAAAAQAgAAAAKQEAAGRycy9lMm9Eb2MueG1sUEsFBgAAAAAGAAYAWQEAAOgFAAAAAA==&#10;">
                <v:fill on="f" focussize="0,0"/>
                <v:stroke on="f" weight="0.5pt"/>
                <v:imagedata o:title=""/>
                <o:lock v:ext="edit" aspectratio="f"/>
                <v:textbox>
                  <w:txbxContent>
                    <w:p w14:paraId="32390BCE">
                      <w:pPr>
                        <w:rPr>
                          <w:rFonts w:ascii="Times New Roman"/>
                          <w:sz w:val="18"/>
                          <w:szCs w:val="18"/>
                        </w:rPr>
                      </w:pPr>
                      <w:r>
                        <w:rPr>
                          <w:rFonts w:ascii="Times New Roman"/>
                          <w:sz w:val="18"/>
                          <w:szCs w:val="18"/>
                        </w:rPr>
                        <w:t>N、</w:t>
                      </w:r>
                      <w:r>
                        <w:rPr>
                          <w:rFonts w:hint="eastAsia" w:ascii="Times New Roman"/>
                          <w:sz w:val="18"/>
                          <w:szCs w:val="18"/>
                        </w:rPr>
                        <w:t>S1、</w:t>
                      </w:r>
                      <w:r>
                        <w:rPr>
                          <w:rFonts w:ascii="Times New Roman"/>
                          <w:sz w:val="18"/>
                          <w:szCs w:val="18"/>
                        </w:rPr>
                        <w:t>S</w:t>
                      </w:r>
                      <w:r>
                        <w:rPr>
                          <w:rFonts w:hint="eastAsia" w:ascii="Times New Roman"/>
                          <w:sz w:val="18"/>
                          <w:szCs w:val="18"/>
                        </w:rPr>
                        <w:t>3、S4</w:t>
                      </w:r>
                    </w:p>
                  </w:txbxContent>
                </v:textbox>
              </v:shape>
            </w:pict>
          </mc:Fallback>
        </mc:AlternateContent>
      </w:r>
      <w:r>
        <w:rPr>
          <w:rFonts w:ascii="Times New Roman"/>
        </w:rPr>
        <mc:AlternateContent>
          <mc:Choice Requires="wps">
            <w:drawing>
              <wp:anchor distT="0" distB="0" distL="114300" distR="114300" simplePos="0" relativeHeight="251670528" behindDoc="0" locked="0" layoutInCell="1" allowOverlap="1">
                <wp:simplePos x="0" y="0"/>
                <wp:positionH relativeFrom="column">
                  <wp:posOffset>1682750</wp:posOffset>
                </wp:positionH>
                <wp:positionV relativeFrom="paragraph">
                  <wp:posOffset>74930</wp:posOffset>
                </wp:positionV>
                <wp:extent cx="1762125" cy="253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762125" cy="253365"/>
                        </a:xfrm>
                        <a:prstGeom prst="rect">
                          <a:avLst/>
                        </a:prstGeom>
                        <a:noFill/>
                        <a:ln w="6350">
                          <a:noFill/>
                        </a:ln>
                        <a:effectLst/>
                      </wps:spPr>
                      <wps:txbx>
                        <w:txbxContent>
                          <w:p w14:paraId="6ADF8098">
                            <w:pPr>
                              <w:rPr>
                                <w:rFonts w:ascii="Times New Roman"/>
                                <w:sz w:val="18"/>
                                <w:szCs w:val="18"/>
                              </w:rPr>
                            </w:pPr>
                            <w:r>
                              <w:rPr>
                                <w:rFonts w:hint="eastAsia" w:ascii="Times New Roman"/>
                                <w:sz w:val="18"/>
                                <w:szCs w:val="18"/>
                              </w:rPr>
                              <w:t>G17、G18、G19、G20、</w:t>
                            </w:r>
                            <w:r>
                              <w:rPr>
                                <w:rFonts w:ascii="Times New Roman"/>
                                <w:sz w:val="18"/>
                                <w:szCs w:val="18"/>
                              </w:rPr>
                              <w:t>N、S</w:t>
                            </w:r>
                            <w:r>
                              <w:rPr>
                                <w:rFonts w:hint="eastAsia" w:ascii="Times New Roman"/>
                                <w:sz w:val="18"/>
                                <w:szCs w:val="1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5.9pt;height:19.95pt;width:138.75pt;z-index:251670528;mso-width-relative:page;mso-height-relative:page;" filled="f" stroked="f" coordsize="21600,21600" o:gfxdata="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IY4z42gAAAAkBAAAPAAAAAAAAAAEAIAAA&#10;ACIAAABkcnMvZG93bnJldi54bWxQSwECFAAUAAAACACHTuJASW++g0MCAAB2BAAADgAAAAAAAAAB&#10;ACAAAAApAQAAZHJzL2Uyb0RvYy54bWxQSwUGAAAAAAYABgBZAQAA3gUAAAAA&#10;">
                <v:fill on="f" focussize="0,0"/>
                <v:stroke on="f" weight="0.5pt"/>
                <v:imagedata o:title=""/>
                <o:lock v:ext="edit" aspectratio="f"/>
                <v:textbox>
                  <w:txbxContent>
                    <w:p w14:paraId="6ADF8098">
                      <w:pPr>
                        <w:rPr>
                          <w:rFonts w:ascii="Times New Roman"/>
                          <w:sz w:val="18"/>
                          <w:szCs w:val="18"/>
                        </w:rPr>
                      </w:pPr>
                      <w:r>
                        <w:rPr>
                          <w:rFonts w:hint="eastAsia" w:ascii="Times New Roman"/>
                          <w:sz w:val="18"/>
                          <w:szCs w:val="18"/>
                        </w:rPr>
                        <w:t>G17、G18、G19、G20、</w:t>
                      </w:r>
                      <w:r>
                        <w:rPr>
                          <w:rFonts w:ascii="Times New Roman"/>
                          <w:sz w:val="18"/>
                          <w:szCs w:val="18"/>
                        </w:rPr>
                        <w:t>N、S</w:t>
                      </w:r>
                      <w:r>
                        <w:rPr>
                          <w:rFonts w:hint="eastAsia" w:ascii="Times New Roman"/>
                          <w:sz w:val="18"/>
                          <w:szCs w:val="18"/>
                        </w:rPr>
                        <w:t>2</w:t>
                      </w:r>
                    </w:p>
                  </w:txbxContent>
                </v:textbox>
              </v:shape>
            </w:pict>
          </mc:Fallback>
        </mc:AlternateContent>
      </w:r>
      <w:r>
        <w:rPr>
          <w:rFonts w:ascii="Times New Roman"/>
        </w:rPr>
        <w:drawing>
          <wp:inline distT="0" distB="0" distL="0" distR="0">
            <wp:extent cx="5266690" cy="1932305"/>
            <wp:effectExtent l="0" t="0" r="1016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cstate="print"/>
                    <a:stretch>
                      <a:fillRect/>
                    </a:stretch>
                  </pic:blipFill>
                  <pic:spPr>
                    <a:xfrm>
                      <a:off x="0" y="0"/>
                      <a:ext cx="5266690" cy="1932305"/>
                    </a:xfrm>
                    <a:prstGeom prst="rect">
                      <a:avLst/>
                    </a:prstGeom>
                  </pic:spPr>
                </pic:pic>
              </a:graphicData>
            </a:graphic>
          </wp:inline>
        </w:drawing>
      </w:r>
    </w:p>
    <w:p w14:paraId="125CBD1A">
      <w:pPr>
        <w:pStyle w:val="151"/>
        <w:widowControl w:val="0"/>
        <w:autoSpaceDE/>
        <w:autoSpaceDN/>
        <w:snapToGrid/>
        <w:spacing w:line="240" w:lineRule="auto"/>
        <w:ind w:left="0" w:leftChars="0"/>
        <w:rPr>
          <w:rFonts w:eastAsia="宋体" w:cs="Times New Roman"/>
          <w:b/>
          <w:bCs/>
          <w:w w:val="100"/>
          <w:kern w:val="2"/>
          <w:sz w:val="24"/>
          <w:szCs w:val="24"/>
          <w:lang w:val="en-US" w:bidi="ar-SA"/>
        </w:rPr>
      </w:pPr>
      <w:r>
        <w:rPr>
          <w:rFonts w:eastAsia="宋体" w:cs="Times New Roman"/>
          <w:b/>
          <w:bCs/>
          <w:sz w:val="24"/>
          <w:szCs w:val="24"/>
          <w:lang w:val="en-US"/>
        </w:rPr>
        <w:t>图3.7-6  预处理及电泳</w:t>
      </w:r>
      <w:r>
        <w:rPr>
          <w:rFonts w:eastAsia="宋体" w:cs="Times New Roman"/>
          <w:b/>
          <w:bCs/>
          <w:w w:val="100"/>
          <w:kern w:val="2"/>
          <w:sz w:val="24"/>
          <w:szCs w:val="24"/>
          <w:lang w:val="en-US" w:bidi="ar-SA"/>
        </w:rPr>
        <w:t>生产工艺流程和排污节点图</w:t>
      </w:r>
    </w:p>
    <w:p w14:paraId="05B37538">
      <w:pPr>
        <w:widowControl/>
        <w:spacing w:line="360" w:lineRule="auto"/>
        <w:ind w:firstLine="480" w:firstLineChars="200"/>
        <w:rPr>
          <w:rFonts w:ascii="Times New Roman"/>
          <w:kern w:val="0"/>
          <w:sz w:val="24"/>
          <w:szCs w:val="24"/>
        </w:rPr>
      </w:pPr>
      <w:r>
        <w:rPr>
          <w:rFonts w:ascii="Times New Roman" w:eastAsia="monospace"/>
          <w:sz w:val="24"/>
          <w:szCs w:val="24"/>
          <w:shd w:val="clear" w:color="auto" w:fill="FFFFFF"/>
        </w:rPr>
        <w:t>托辊主要由</w:t>
      </w:r>
      <w:r>
        <w:rPr>
          <w:rFonts w:ascii="Times New Roman"/>
          <w:szCs w:val="21"/>
        </w:rPr>
        <w:t>高频焊管</w:t>
      </w:r>
      <w:r>
        <w:rPr>
          <w:rFonts w:ascii="Times New Roman" w:eastAsia="monospace"/>
          <w:sz w:val="24"/>
          <w:szCs w:val="24"/>
          <w:shd w:val="clear" w:color="auto" w:fill="FFFFFF"/>
        </w:rPr>
        <w:t>、</w:t>
      </w:r>
      <w:r>
        <w:rPr>
          <w:rFonts w:ascii="Times New Roman"/>
          <w:szCs w:val="21"/>
        </w:rPr>
        <w:t>拉光轴</w:t>
      </w:r>
      <w:r>
        <w:rPr>
          <w:rFonts w:ascii="Times New Roman" w:eastAsia="monospace"/>
          <w:sz w:val="24"/>
          <w:szCs w:val="24"/>
          <w:shd w:val="clear" w:color="auto" w:fill="FFFFFF"/>
        </w:rPr>
        <w:t>、标准件（轴承座、密封件、卡簧）、托辊架等部分组装而成。</w:t>
      </w:r>
    </w:p>
    <w:p w14:paraId="51125C9D">
      <w:pPr>
        <w:widowControl/>
        <w:spacing w:line="360" w:lineRule="auto"/>
        <w:ind w:firstLine="480" w:firstLineChars="200"/>
        <w:rPr>
          <w:rFonts w:ascii="Times New Roman"/>
          <w:kern w:val="0"/>
          <w:sz w:val="24"/>
          <w:szCs w:val="24"/>
        </w:rPr>
      </w:pPr>
      <w:r>
        <w:rPr>
          <w:rFonts w:ascii="Times New Roman"/>
          <w:kern w:val="0"/>
          <w:sz w:val="24"/>
          <w:szCs w:val="24"/>
        </w:rPr>
        <w:t>1、辊体</w:t>
      </w:r>
    </w:p>
    <w:p w14:paraId="321D8F9B">
      <w:pPr>
        <w:widowControl/>
        <w:spacing w:line="360" w:lineRule="auto"/>
        <w:ind w:firstLine="480" w:firstLineChars="200"/>
        <w:rPr>
          <w:rFonts w:ascii="Times New Roman"/>
          <w:kern w:val="0"/>
          <w:sz w:val="24"/>
          <w:szCs w:val="24"/>
        </w:rPr>
      </w:pPr>
      <w:r>
        <w:rPr>
          <w:rFonts w:ascii="Times New Roman"/>
          <w:kern w:val="0"/>
          <w:sz w:val="24"/>
          <w:szCs w:val="24"/>
        </w:rPr>
        <w:t>（1）下料</w:t>
      </w:r>
    </w:p>
    <w:p w14:paraId="0440F19C">
      <w:pPr>
        <w:widowControl/>
        <w:spacing w:line="360" w:lineRule="auto"/>
        <w:ind w:firstLine="480" w:firstLineChars="200"/>
        <w:rPr>
          <w:rFonts w:ascii="Times New Roman"/>
          <w:kern w:val="0"/>
          <w:sz w:val="24"/>
          <w:szCs w:val="24"/>
        </w:rPr>
      </w:pPr>
      <w:r>
        <w:rPr>
          <w:rFonts w:ascii="Times New Roman"/>
          <w:kern w:val="0"/>
          <w:sz w:val="24"/>
          <w:szCs w:val="24"/>
        </w:rPr>
        <w:t>项目外购的</w:t>
      </w:r>
      <w:r>
        <w:rPr>
          <w:rFonts w:ascii="Times New Roman"/>
          <w:szCs w:val="21"/>
        </w:rPr>
        <w:t>高频焊管</w:t>
      </w:r>
      <w:r>
        <w:rPr>
          <w:rFonts w:ascii="Times New Roman"/>
          <w:kern w:val="0"/>
          <w:sz w:val="24"/>
          <w:szCs w:val="24"/>
        </w:rPr>
        <w:t>经检验合格后，根据不同托尺寸，采用锯床、车床等设备进行下料，根据生产要求，管长的误差应控制在0.5mm以内。</w:t>
      </w:r>
      <w:r>
        <w:rPr>
          <w:rFonts w:ascii="Times New Roman"/>
          <w:szCs w:val="21"/>
        </w:rPr>
        <w:t>焊管</w:t>
      </w:r>
      <w:r>
        <w:rPr>
          <w:rFonts w:ascii="Times New Roman"/>
          <w:kern w:val="0"/>
          <w:sz w:val="24"/>
          <w:szCs w:val="24"/>
        </w:rPr>
        <w:t>下料过程中产生粉尘，颗粒物较大，沉降在设备周边，作为一般固废由企业收集。</w:t>
      </w:r>
    </w:p>
    <w:p w14:paraId="47F6A78C">
      <w:pPr>
        <w:widowControl/>
        <w:spacing w:line="360" w:lineRule="auto"/>
        <w:ind w:firstLine="482" w:firstLineChars="200"/>
        <w:rPr>
          <w:rFonts w:ascii="Times New Roman"/>
          <w:kern w:val="0"/>
          <w:sz w:val="24"/>
          <w:szCs w:val="24"/>
        </w:rPr>
      </w:pPr>
      <w:r>
        <w:rPr>
          <w:rFonts w:ascii="Times New Roman" w:eastAsiaTheme="minorEastAsia"/>
          <w:b/>
          <w:bCs/>
          <w:sz w:val="24"/>
          <w:szCs w:val="24"/>
        </w:rPr>
        <w:t>本工序排污节点为：设备运行噪声（N）；下料产生的废边角料S</w:t>
      </w:r>
      <w:r>
        <w:rPr>
          <w:rFonts w:hint="eastAsia" w:ascii="Times New Roman" w:eastAsiaTheme="minorEastAsia"/>
          <w:b/>
          <w:bCs/>
          <w:sz w:val="24"/>
          <w:szCs w:val="24"/>
        </w:rPr>
        <w:t>1</w:t>
      </w:r>
      <w:r>
        <w:rPr>
          <w:rFonts w:ascii="Times New Roman" w:eastAsiaTheme="minorEastAsia"/>
          <w:b/>
          <w:bCs/>
          <w:sz w:val="24"/>
          <w:szCs w:val="24"/>
        </w:rPr>
        <w:t>。</w:t>
      </w:r>
    </w:p>
    <w:p w14:paraId="3F0CCB51">
      <w:pPr>
        <w:widowControl/>
        <w:spacing w:line="360" w:lineRule="auto"/>
        <w:ind w:firstLine="480" w:firstLineChars="200"/>
        <w:rPr>
          <w:rFonts w:ascii="Times New Roman"/>
          <w:kern w:val="0"/>
          <w:sz w:val="24"/>
          <w:szCs w:val="24"/>
        </w:rPr>
      </w:pPr>
      <w:r>
        <w:rPr>
          <w:rFonts w:ascii="Times New Roman"/>
          <w:kern w:val="0"/>
          <w:sz w:val="24"/>
          <w:szCs w:val="24"/>
        </w:rPr>
        <w:t>（2）机加工</w:t>
      </w:r>
    </w:p>
    <w:p w14:paraId="732CDA4A">
      <w:pPr>
        <w:widowControl/>
        <w:spacing w:line="360" w:lineRule="auto"/>
        <w:ind w:firstLine="480" w:firstLineChars="200"/>
        <w:rPr>
          <w:rFonts w:ascii="Times New Roman"/>
          <w:kern w:val="0"/>
          <w:sz w:val="24"/>
          <w:szCs w:val="24"/>
        </w:rPr>
      </w:pPr>
      <w:r>
        <w:rPr>
          <w:rFonts w:ascii="Times New Roman"/>
          <w:kern w:val="0"/>
          <w:sz w:val="24"/>
          <w:szCs w:val="24"/>
        </w:rPr>
        <w:t>根据外购件轴承座，调整车床的进刀量(0.2-0.5mm)及进刀深度对下料后的钢管进行镗端面、止口、倒角，保证表面部位光滑、无毛刺，获得合格管体。此过程产生边角料。</w:t>
      </w:r>
    </w:p>
    <w:p w14:paraId="246C3B34">
      <w:pPr>
        <w:widowControl/>
        <w:spacing w:line="360" w:lineRule="auto"/>
        <w:ind w:firstLine="482" w:firstLineChars="200"/>
        <w:rPr>
          <w:rFonts w:ascii="Times New Roman"/>
          <w:kern w:val="0"/>
          <w:sz w:val="24"/>
          <w:szCs w:val="24"/>
        </w:rPr>
      </w:pPr>
      <w:r>
        <w:rPr>
          <w:rFonts w:ascii="Times New Roman" w:eastAsiaTheme="minorEastAsia"/>
          <w:b/>
          <w:bCs/>
          <w:sz w:val="24"/>
          <w:szCs w:val="24"/>
        </w:rPr>
        <w:t>本工序排污节点为：设备运行噪声（N）；机加工产生的废边角料S</w:t>
      </w:r>
      <w:r>
        <w:rPr>
          <w:rFonts w:hint="eastAsia" w:ascii="Times New Roman" w:eastAsiaTheme="minorEastAsia"/>
          <w:b/>
          <w:bCs/>
          <w:sz w:val="24"/>
          <w:szCs w:val="24"/>
        </w:rPr>
        <w:t>3、废切削液S4</w:t>
      </w:r>
      <w:r>
        <w:rPr>
          <w:rFonts w:ascii="Times New Roman" w:eastAsiaTheme="minorEastAsia"/>
          <w:b/>
          <w:bCs/>
          <w:sz w:val="24"/>
          <w:szCs w:val="24"/>
        </w:rPr>
        <w:t>。</w:t>
      </w:r>
    </w:p>
    <w:p w14:paraId="1E0980AA">
      <w:pPr>
        <w:widowControl/>
        <w:spacing w:line="360" w:lineRule="auto"/>
        <w:ind w:firstLine="480" w:firstLineChars="200"/>
        <w:rPr>
          <w:rFonts w:ascii="Times New Roman"/>
          <w:kern w:val="0"/>
          <w:sz w:val="24"/>
          <w:szCs w:val="24"/>
        </w:rPr>
      </w:pPr>
      <w:r>
        <w:rPr>
          <w:rFonts w:ascii="Times New Roman"/>
          <w:kern w:val="0"/>
          <w:sz w:val="24"/>
          <w:szCs w:val="24"/>
        </w:rPr>
        <w:t>（3）</w:t>
      </w:r>
      <w:r>
        <w:rPr>
          <w:rFonts w:hint="eastAsia" w:ascii="Times New Roman"/>
          <w:kern w:val="0"/>
          <w:sz w:val="24"/>
          <w:szCs w:val="24"/>
        </w:rPr>
        <w:t>焊接</w:t>
      </w:r>
    </w:p>
    <w:p w14:paraId="79EB97A8">
      <w:pPr>
        <w:widowControl/>
        <w:spacing w:line="360" w:lineRule="auto"/>
        <w:ind w:firstLine="480" w:firstLineChars="200"/>
        <w:rPr>
          <w:rFonts w:ascii="Times New Roman"/>
          <w:kern w:val="0"/>
          <w:sz w:val="24"/>
          <w:szCs w:val="24"/>
        </w:rPr>
      </w:pPr>
      <w:r>
        <w:rPr>
          <w:rFonts w:ascii="Times New Roman"/>
          <w:kern w:val="0"/>
          <w:sz w:val="24"/>
          <w:szCs w:val="24"/>
        </w:rPr>
        <w:t>项目外购轴承座成品件，经检验合格后与生产的合格管体焊接成型。</w:t>
      </w:r>
    </w:p>
    <w:p w14:paraId="4C68202A">
      <w:pPr>
        <w:widowControl/>
        <w:spacing w:line="360" w:lineRule="auto"/>
        <w:ind w:firstLine="482" w:firstLineChars="200"/>
        <w:rPr>
          <w:rFonts w:ascii="Times New Roman"/>
          <w:kern w:val="0"/>
          <w:sz w:val="24"/>
          <w:szCs w:val="24"/>
        </w:rPr>
      </w:pPr>
      <w:r>
        <w:rPr>
          <w:rFonts w:ascii="Times New Roman" w:eastAsiaTheme="minorEastAsia"/>
          <w:b/>
          <w:bCs/>
          <w:sz w:val="24"/>
          <w:szCs w:val="24"/>
        </w:rPr>
        <w:t>本工序排污节点为：焊接产生的焊接烟尘（G17）；设备运行噪声（N）；焊接产生的废焊材S2。</w:t>
      </w:r>
    </w:p>
    <w:p w14:paraId="18F595E2">
      <w:pPr>
        <w:widowControl/>
        <w:spacing w:line="360" w:lineRule="auto"/>
        <w:ind w:firstLine="480" w:firstLineChars="200"/>
        <w:rPr>
          <w:rFonts w:ascii="Times New Roman"/>
          <w:kern w:val="0"/>
          <w:sz w:val="24"/>
          <w:szCs w:val="24"/>
        </w:rPr>
      </w:pPr>
      <w:r>
        <w:rPr>
          <w:rFonts w:ascii="Times New Roman"/>
          <w:kern w:val="0"/>
          <w:sz w:val="24"/>
          <w:szCs w:val="24"/>
        </w:rPr>
        <w:t>（4）除锈</w:t>
      </w:r>
    </w:p>
    <w:p w14:paraId="71961760">
      <w:pPr>
        <w:widowControl/>
        <w:spacing w:line="360" w:lineRule="auto"/>
        <w:ind w:firstLine="480" w:firstLineChars="200"/>
        <w:rPr>
          <w:rFonts w:ascii="Times New Roman"/>
          <w:kern w:val="0"/>
          <w:sz w:val="24"/>
          <w:szCs w:val="24"/>
        </w:rPr>
      </w:pPr>
      <w:r>
        <w:rPr>
          <w:rFonts w:ascii="Times New Roman"/>
          <w:kern w:val="0"/>
          <w:sz w:val="24"/>
          <w:szCs w:val="24"/>
        </w:rPr>
        <w:t>压装而成的辊体采用打砂罐进行表面处理。项目使用打砂罐是以压缩空气为动力，将防锈砂从砂罐中压出，通过砂阀和输砂管吸入喷枪并经喷嘴射出，高速喷射到需要处理的工件表面，使工件表面的外表面的外表或形状发生变化，由于料对工件表面的冲击和切削作用，使工件的表面获得一定的清洁度和不同的粗糙度，工件表面的机械性能得到改善，因此提高了工件的抗疲劳性。</w:t>
      </w:r>
    </w:p>
    <w:p w14:paraId="14C24BCF">
      <w:pPr>
        <w:tabs>
          <w:tab w:val="left" w:pos="7560"/>
        </w:tabs>
        <w:spacing w:line="360" w:lineRule="auto"/>
        <w:ind w:firstLine="482" w:firstLineChars="200"/>
        <w:rPr>
          <w:rFonts w:ascii="Times New Roman" w:eastAsiaTheme="minorEastAsia"/>
          <w:sz w:val="24"/>
          <w:szCs w:val="24"/>
        </w:rPr>
      </w:pPr>
      <w:r>
        <w:rPr>
          <w:rFonts w:ascii="Times New Roman" w:eastAsiaTheme="minorEastAsia"/>
          <w:b/>
          <w:bCs/>
          <w:sz w:val="24"/>
          <w:szCs w:val="24"/>
        </w:rPr>
        <w:t>本工序排污节点为：</w:t>
      </w:r>
      <w:r>
        <w:rPr>
          <w:rFonts w:ascii="Times New Roman"/>
          <w:b/>
          <w:bCs/>
          <w:kern w:val="0"/>
          <w:sz w:val="24"/>
          <w:szCs w:val="24"/>
        </w:rPr>
        <w:t>除锈产生的粉尘</w:t>
      </w:r>
      <w:r>
        <w:rPr>
          <w:rFonts w:ascii="Times New Roman" w:eastAsiaTheme="minorEastAsia"/>
          <w:b/>
          <w:bCs/>
          <w:sz w:val="24"/>
          <w:szCs w:val="24"/>
        </w:rPr>
        <w:t>（G18）；设备运行噪声（N）。</w:t>
      </w:r>
    </w:p>
    <w:p w14:paraId="1FA38271">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（5）喷塑、烘干</w:t>
      </w:r>
    </w:p>
    <w:p w14:paraId="621C3239">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项目喷塑作业在</w:t>
      </w:r>
      <w:r>
        <w:rPr>
          <w:rFonts w:hint="eastAsia" w:ascii="Times New Roman" w:eastAsiaTheme="minorEastAsia"/>
          <w:sz w:val="24"/>
          <w:szCs w:val="24"/>
        </w:rPr>
        <w:t>托辊生产线——</w:t>
      </w:r>
      <w:r>
        <w:rPr>
          <w:rFonts w:ascii="Times New Roman" w:eastAsiaTheme="minorEastAsia"/>
          <w:sz w:val="24"/>
          <w:szCs w:val="24"/>
        </w:rPr>
        <w:t>喷塑房进行。</w:t>
      </w:r>
    </w:p>
    <w:p w14:paraId="79A430EB">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本项目喷塑采用静电粉末喷涂工艺，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再继续吸附，从而使整个工件获得一定厚度的粉末涂层。粉状涂层经过加热后熔融流平固化</w:t>
      </w:r>
      <w:r>
        <w:rPr>
          <w:rFonts w:ascii="Times New Roman"/>
          <w:sz w:val="24"/>
          <w:szCs w:val="24"/>
        </w:rPr>
        <w:t>，</w:t>
      </w:r>
      <w:r>
        <w:rPr>
          <w:rFonts w:ascii="Times New Roman" w:eastAsiaTheme="minorEastAsia"/>
          <w:sz w:val="24"/>
          <w:szCs w:val="24"/>
        </w:rPr>
        <w:t>在工件表面形成一层致密的保护涂层，牢牢附着在工件表面，从而达到装饰和防腐的目的。</w:t>
      </w:r>
    </w:p>
    <w:p w14:paraId="36283336">
      <w:pPr>
        <w:widowControl/>
        <w:spacing w:line="360" w:lineRule="auto"/>
        <w:ind w:firstLine="482" w:firstLineChars="200"/>
        <w:rPr>
          <w:rFonts w:ascii="Times New Roman" w:eastAsiaTheme="minorEastAsia"/>
          <w:b/>
          <w:bCs/>
          <w:sz w:val="24"/>
          <w:szCs w:val="24"/>
        </w:rPr>
      </w:pPr>
      <w:r>
        <w:rPr>
          <w:rFonts w:ascii="Times New Roman" w:eastAsiaTheme="minorEastAsia"/>
          <w:b/>
          <w:bCs/>
          <w:sz w:val="24"/>
          <w:szCs w:val="24"/>
        </w:rPr>
        <w:t>本工序排污节点为：喷塑、烘干过程产生的废气（G19、G20），设备运行噪声（N）。</w:t>
      </w:r>
    </w:p>
    <w:p w14:paraId="5789DDA6">
      <w:pPr>
        <w:tabs>
          <w:tab w:val="left" w:pos="7560"/>
        </w:tabs>
        <w:spacing w:line="360" w:lineRule="auto"/>
        <w:ind w:firstLine="480" w:firstLineChars="200"/>
        <w:rPr>
          <w:rFonts w:ascii="Times New Roman" w:eastAsiaTheme="minorEastAsia"/>
          <w:sz w:val="24"/>
          <w:szCs w:val="24"/>
        </w:rPr>
      </w:pPr>
      <w:r>
        <w:rPr>
          <w:rFonts w:hint="eastAsia" w:ascii="Times New Roman" w:eastAsiaTheme="minorEastAsia"/>
          <w:sz w:val="24"/>
          <w:szCs w:val="24"/>
        </w:rPr>
        <w:t>2</w:t>
      </w:r>
      <w:r>
        <w:rPr>
          <w:rFonts w:ascii="Times New Roman" w:eastAsiaTheme="minorEastAsia"/>
          <w:sz w:val="24"/>
          <w:szCs w:val="24"/>
        </w:rPr>
        <w:t>、辊轴</w:t>
      </w:r>
    </w:p>
    <w:p w14:paraId="492397CC">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（1）下料</w:t>
      </w:r>
    </w:p>
    <w:p w14:paraId="20EE5B08">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外购的拉光轴经检查合格后，根据不同托辊尺寸，采用锯床、车床等设备进行下料，根据生产要求，与标准尺寸比应预留3mm。</w:t>
      </w:r>
    </w:p>
    <w:p w14:paraId="2066DFEE">
      <w:pPr>
        <w:tabs>
          <w:tab w:val="left" w:pos="7560"/>
        </w:tabs>
        <w:spacing w:line="360" w:lineRule="auto"/>
        <w:ind w:firstLine="482" w:firstLineChars="200"/>
        <w:rPr>
          <w:rFonts w:ascii="Times New Roman" w:eastAsiaTheme="minorEastAsia"/>
          <w:sz w:val="24"/>
          <w:szCs w:val="24"/>
        </w:rPr>
      </w:pPr>
      <w:r>
        <w:rPr>
          <w:rFonts w:ascii="Times New Roman" w:eastAsiaTheme="minorEastAsia"/>
          <w:b/>
          <w:bCs/>
          <w:sz w:val="24"/>
          <w:szCs w:val="24"/>
        </w:rPr>
        <w:t>本工序排污节点为：设备运行噪声（N）；下料产生的废边角料S1。</w:t>
      </w:r>
    </w:p>
    <w:p w14:paraId="03992181">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（2）机加工</w:t>
      </w:r>
    </w:p>
    <w:p w14:paraId="49CBDDDB">
      <w:pPr>
        <w:tabs>
          <w:tab w:val="left" w:pos="7560"/>
        </w:tabs>
        <w:spacing w:line="360" w:lineRule="auto"/>
        <w:ind w:firstLine="480" w:firstLineChars="200"/>
        <w:rPr>
          <w:rFonts w:ascii="Times New Roman" w:eastAsiaTheme="minorEastAsia"/>
          <w:sz w:val="24"/>
          <w:szCs w:val="24"/>
        </w:rPr>
      </w:pPr>
      <w:r>
        <w:rPr>
          <w:rFonts w:ascii="Times New Roman" w:eastAsiaTheme="minorEastAsia"/>
          <w:sz w:val="24"/>
          <w:szCs w:val="24"/>
        </w:rPr>
        <w:t>下料后的拉光轴</w:t>
      </w:r>
      <w:r>
        <w:rPr>
          <w:rFonts w:ascii="Times New Roman"/>
          <w:kern w:val="0"/>
          <w:sz w:val="24"/>
          <w:szCs w:val="24"/>
        </w:rPr>
        <w:t>采用铣床进行铣轴，根据生产要求，轴口偏差为0-0.05mm。获得合格托辊轴。然后</w:t>
      </w:r>
      <w:r>
        <w:rPr>
          <w:rFonts w:ascii="Times New Roman" w:eastAsiaTheme="minorEastAsia"/>
          <w:sz w:val="24"/>
          <w:szCs w:val="24"/>
        </w:rPr>
        <w:t>经两端用定位车槽机进行切槽、倒角。</w:t>
      </w:r>
    </w:p>
    <w:p w14:paraId="6F46E275">
      <w:pPr>
        <w:tabs>
          <w:tab w:val="left" w:pos="7560"/>
        </w:tabs>
        <w:spacing w:line="360" w:lineRule="auto"/>
        <w:ind w:firstLine="482" w:firstLineChars="200"/>
        <w:rPr>
          <w:rFonts w:ascii="Times New Roman" w:eastAsiaTheme="minorEastAsia"/>
          <w:sz w:val="24"/>
          <w:szCs w:val="24"/>
        </w:rPr>
      </w:pPr>
      <w:r>
        <w:rPr>
          <w:rFonts w:ascii="Times New Roman" w:eastAsiaTheme="minorEastAsia"/>
          <w:b/>
          <w:bCs/>
          <w:sz w:val="24"/>
          <w:szCs w:val="24"/>
        </w:rPr>
        <w:t>本工序排污节点为：设备运行噪声（N）；机加工产生的废边角料S</w:t>
      </w:r>
      <w:r>
        <w:rPr>
          <w:rFonts w:hint="eastAsia" w:ascii="Times New Roman" w:eastAsiaTheme="minorEastAsia"/>
          <w:b/>
          <w:bCs/>
          <w:sz w:val="24"/>
          <w:szCs w:val="24"/>
        </w:rPr>
        <w:t>3、废切削液S4</w:t>
      </w:r>
      <w:r>
        <w:rPr>
          <w:rFonts w:ascii="Times New Roman" w:eastAsiaTheme="minorEastAsia"/>
          <w:b/>
          <w:bCs/>
          <w:sz w:val="24"/>
          <w:szCs w:val="24"/>
        </w:rPr>
        <w:t>。</w:t>
      </w:r>
    </w:p>
    <w:p w14:paraId="0056A01A">
      <w:pPr>
        <w:spacing w:line="360" w:lineRule="auto"/>
        <w:ind w:firstLine="480" w:firstLineChars="200"/>
        <w:rPr>
          <w:rFonts w:ascii="Times New Roman"/>
          <w:kern w:val="0"/>
          <w:sz w:val="24"/>
          <w:szCs w:val="24"/>
        </w:rPr>
      </w:pPr>
      <w:r>
        <w:rPr>
          <w:rFonts w:ascii="Times New Roman"/>
          <w:kern w:val="0"/>
          <w:sz w:val="24"/>
          <w:szCs w:val="24"/>
        </w:rPr>
        <w:t>（3）组装</w:t>
      </w:r>
    </w:p>
    <w:p w14:paraId="71D1EC23">
      <w:pPr>
        <w:spacing w:line="360" w:lineRule="auto"/>
        <w:ind w:firstLine="480" w:firstLineChars="200"/>
        <w:rPr>
          <w:rFonts w:ascii="Times New Roman"/>
          <w:kern w:val="0"/>
          <w:sz w:val="24"/>
          <w:szCs w:val="24"/>
        </w:rPr>
      </w:pPr>
      <w:r>
        <w:rPr>
          <w:rFonts w:ascii="Times New Roman"/>
          <w:kern w:val="0"/>
          <w:sz w:val="24"/>
          <w:szCs w:val="24"/>
        </w:rPr>
        <w:t>将加工处理后的辊轴与喷涂好的辊体组装成型。</w:t>
      </w:r>
    </w:p>
    <w:p w14:paraId="633122DB">
      <w:pPr>
        <w:spacing w:line="360" w:lineRule="auto"/>
        <w:ind w:firstLine="480" w:firstLineChars="200"/>
        <w:rPr>
          <w:rFonts w:ascii="Times New Roman"/>
          <w:kern w:val="0"/>
          <w:sz w:val="24"/>
          <w:szCs w:val="24"/>
        </w:rPr>
      </w:pPr>
      <w:r>
        <w:rPr>
          <w:rFonts w:ascii="Times New Roman"/>
          <w:kern w:val="0"/>
          <w:sz w:val="24"/>
          <w:szCs w:val="24"/>
        </w:rPr>
        <w:t>4、标准件（密封圈、卡簧）</w:t>
      </w:r>
    </w:p>
    <w:p w14:paraId="7DFD33FF">
      <w:pPr>
        <w:spacing w:line="360" w:lineRule="auto"/>
        <w:ind w:firstLine="480" w:firstLineChars="200"/>
        <w:rPr>
          <w:rFonts w:ascii="Times New Roman"/>
          <w:kern w:val="0"/>
          <w:sz w:val="24"/>
          <w:szCs w:val="24"/>
        </w:rPr>
      </w:pPr>
      <w:r>
        <w:rPr>
          <w:rFonts w:ascii="Times New Roman"/>
          <w:kern w:val="0"/>
          <w:sz w:val="24"/>
          <w:szCs w:val="24"/>
        </w:rPr>
        <w:t>项目使用密封圈、卡簧均为外购成品件，经检查合格后注入2#锂基脂，将组装好的托辊密封。</w:t>
      </w:r>
    </w:p>
    <w:p w14:paraId="673B3B96">
      <w:pPr>
        <w:spacing w:line="360" w:lineRule="auto"/>
        <w:ind w:firstLine="480" w:firstLineChars="200"/>
        <w:rPr>
          <w:rFonts w:ascii="Times New Roman"/>
          <w:kern w:val="0"/>
          <w:sz w:val="24"/>
          <w:szCs w:val="24"/>
        </w:rPr>
      </w:pPr>
      <w:r>
        <w:rPr>
          <w:rFonts w:ascii="Times New Roman"/>
          <w:kern w:val="0"/>
          <w:sz w:val="24"/>
          <w:szCs w:val="24"/>
        </w:rPr>
        <w:t>5、检验</w:t>
      </w:r>
    </w:p>
    <w:p w14:paraId="5F47A19E">
      <w:pPr>
        <w:spacing w:line="360" w:lineRule="auto"/>
        <w:ind w:firstLine="480" w:firstLineChars="200"/>
        <w:rPr>
          <w:rFonts w:ascii="Times New Roman"/>
        </w:rPr>
      </w:pPr>
      <w:r>
        <w:rPr>
          <w:rFonts w:ascii="Times New Roman"/>
          <w:kern w:val="0"/>
          <w:sz w:val="24"/>
          <w:szCs w:val="24"/>
        </w:rPr>
        <w:t>此过程对托辊的法应力、性能进行检验，检验合格后入库待售。</w:t>
      </w:r>
    </w:p>
    <w:p w14:paraId="17B3F13B">
      <w:pPr>
        <w:widowControl/>
        <w:numPr>
          <w:ilvl w:val="0"/>
          <w:numId w:val="12"/>
        </w:numPr>
        <w:spacing w:line="360" w:lineRule="auto"/>
        <w:ind w:firstLine="482"/>
        <w:rPr>
          <w:rFonts w:ascii="Times New Roman"/>
          <w:b/>
          <w:bCs/>
          <w:kern w:val="0"/>
          <w:sz w:val="24"/>
          <w:szCs w:val="24"/>
        </w:rPr>
      </w:pPr>
      <w:r>
        <w:rPr>
          <w:rFonts w:ascii="Times New Roman"/>
          <w:b/>
          <w:bCs/>
          <w:kern w:val="0"/>
          <w:sz w:val="24"/>
          <w:szCs w:val="24"/>
        </w:rPr>
        <w:t>装配</w:t>
      </w:r>
    </w:p>
    <w:p w14:paraId="0C849BD7">
      <w:pPr>
        <w:spacing w:line="360" w:lineRule="auto"/>
        <w:ind w:firstLine="500" w:firstLineChars="200"/>
        <w:rPr>
          <w:rFonts w:ascii="Times New Roman"/>
          <w:sz w:val="24"/>
          <w:szCs w:val="24"/>
        </w:rPr>
      </w:pPr>
      <w:r>
        <w:rPr>
          <w:rFonts w:ascii="Times New Roman"/>
        </w:rPr>
        <w:t>生产好的部分工件，滚筒、头尾架、托辊横梁（部分）、导料槽、拉紧系统（部分）需要在装配车间内进行组装，</w:t>
      </w:r>
      <w:r>
        <w:rPr>
          <w:rFonts w:ascii="Times New Roman"/>
          <w:sz w:val="24"/>
          <w:szCs w:val="24"/>
        </w:rPr>
        <w:t>本工艺污染源主要为设备运行产生的车间内噪声N。</w:t>
      </w:r>
    </w:p>
    <w:p w14:paraId="1D3D167E">
      <w:pPr>
        <w:spacing w:line="360" w:lineRule="auto"/>
        <w:ind w:firstLine="480" w:firstLineChars="200"/>
      </w:pPr>
      <w:r>
        <w:rPr>
          <w:rFonts w:ascii="Times New Roman"/>
          <w:sz w:val="24"/>
          <w:szCs w:val="24"/>
        </w:rPr>
        <w:t>项目全厂工艺流程及产排污节点见表3.6-2</w:t>
      </w:r>
      <w:r>
        <w:rPr>
          <w:rFonts w:hint="eastAsia" w:ascii="Times New Roman"/>
          <w:sz w:val="24"/>
          <w:szCs w:val="24"/>
        </w:rPr>
        <w:t>。</w:t>
      </w:r>
    </w:p>
    <w:p w14:paraId="1FCCE972">
      <w:pPr>
        <w:tabs>
          <w:tab w:val="left" w:pos="7560"/>
        </w:tabs>
        <w:spacing w:line="480" w:lineRule="exact"/>
        <w:ind w:left="200" w:leftChars="80" w:right="67" w:rightChars="27" w:firstLine="482" w:firstLineChars="200"/>
        <w:jc w:val="center"/>
        <w:rPr>
          <w:rFonts w:ascii="Times New Roman"/>
          <w:b/>
          <w:sz w:val="24"/>
          <w:szCs w:val="20"/>
        </w:rPr>
      </w:pPr>
      <w:r>
        <w:rPr>
          <w:rFonts w:ascii="Times New Roman"/>
          <w:b/>
          <w:sz w:val="24"/>
          <w:szCs w:val="20"/>
        </w:rPr>
        <w:t>表3.6-2  工艺流程及排污节点一览表</w:t>
      </w:r>
    </w:p>
    <w:tbl>
      <w:tblPr>
        <w:tblStyle w:val="84"/>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4"/>
        <w:gridCol w:w="638"/>
        <w:gridCol w:w="519"/>
        <w:gridCol w:w="1170"/>
        <w:gridCol w:w="2051"/>
        <w:gridCol w:w="1044"/>
        <w:gridCol w:w="1958"/>
        <w:gridCol w:w="583"/>
      </w:tblGrid>
      <w:tr w14:paraId="2D52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Align w:val="center"/>
          </w:tcPr>
          <w:p w14:paraId="46ED6D99">
            <w:pPr>
              <w:spacing w:line="320" w:lineRule="exact"/>
              <w:jc w:val="center"/>
              <w:rPr>
                <w:rFonts w:ascii="Times New Roman"/>
                <w:sz w:val="21"/>
                <w:szCs w:val="21"/>
              </w:rPr>
            </w:pPr>
            <w:r>
              <w:rPr>
                <w:rFonts w:ascii="Times New Roman"/>
                <w:sz w:val="21"/>
                <w:szCs w:val="21"/>
              </w:rPr>
              <w:t>类别</w:t>
            </w:r>
          </w:p>
        </w:tc>
        <w:tc>
          <w:tcPr>
            <w:tcW w:w="386" w:type="pct"/>
            <w:vAlign w:val="center"/>
          </w:tcPr>
          <w:p w14:paraId="1C8E798D">
            <w:pPr>
              <w:spacing w:line="320" w:lineRule="exact"/>
              <w:jc w:val="center"/>
              <w:rPr>
                <w:rFonts w:ascii="Times New Roman"/>
                <w:sz w:val="21"/>
                <w:szCs w:val="21"/>
              </w:rPr>
            </w:pPr>
            <w:r>
              <w:rPr>
                <w:rFonts w:ascii="Times New Roman"/>
                <w:sz w:val="21"/>
                <w:szCs w:val="21"/>
              </w:rPr>
              <w:t>序号</w:t>
            </w:r>
          </w:p>
        </w:tc>
        <w:tc>
          <w:tcPr>
            <w:tcW w:w="1022" w:type="pct"/>
            <w:gridSpan w:val="2"/>
            <w:vAlign w:val="center"/>
          </w:tcPr>
          <w:p w14:paraId="6C5BE30D">
            <w:pPr>
              <w:spacing w:line="320" w:lineRule="exact"/>
              <w:jc w:val="center"/>
              <w:rPr>
                <w:rFonts w:ascii="Times New Roman"/>
                <w:sz w:val="21"/>
                <w:szCs w:val="21"/>
              </w:rPr>
            </w:pPr>
            <w:r>
              <w:rPr>
                <w:rFonts w:ascii="Times New Roman"/>
                <w:sz w:val="21"/>
                <w:szCs w:val="21"/>
              </w:rPr>
              <w:t>污染源</w:t>
            </w:r>
          </w:p>
        </w:tc>
        <w:tc>
          <w:tcPr>
            <w:tcW w:w="1241" w:type="pct"/>
            <w:vAlign w:val="center"/>
          </w:tcPr>
          <w:p w14:paraId="568E2F88">
            <w:pPr>
              <w:spacing w:line="320" w:lineRule="exact"/>
              <w:jc w:val="center"/>
              <w:rPr>
                <w:rFonts w:ascii="Times New Roman"/>
                <w:sz w:val="21"/>
                <w:szCs w:val="21"/>
              </w:rPr>
            </w:pPr>
            <w:r>
              <w:rPr>
                <w:rFonts w:ascii="Times New Roman"/>
                <w:sz w:val="21"/>
                <w:szCs w:val="21"/>
              </w:rPr>
              <w:t>污染因子</w:t>
            </w:r>
          </w:p>
        </w:tc>
        <w:tc>
          <w:tcPr>
            <w:tcW w:w="1817" w:type="pct"/>
            <w:gridSpan w:val="2"/>
            <w:vAlign w:val="center"/>
          </w:tcPr>
          <w:p w14:paraId="559391A6">
            <w:pPr>
              <w:spacing w:line="320" w:lineRule="exact"/>
              <w:jc w:val="center"/>
              <w:rPr>
                <w:rFonts w:ascii="Times New Roman"/>
                <w:sz w:val="21"/>
                <w:szCs w:val="21"/>
              </w:rPr>
            </w:pPr>
            <w:r>
              <w:rPr>
                <w:rFonts w:ascii="Times New Roman"/>
                <w:sz w:val="21"/>
                <w:szCs w:val="21"/>
              </w:rPr>
              <w:t>防治措施</w:t>
            </w:r>
          </w:p>
        </w:tc>
        <w:tc>
          <w:tcPr>
            <w:tcW w:w="353" w:type="pct"/>
            <w:vAlign w:val="center"/>
          </w:tcPr>
          <w:p w14:paraId="37C3BF9D">
            <w:pPr>
              <w:spacing w:line="320" w:lineRule="exact"/>
              <w:jc w:val="center"/>
              <w:rPr>
                <w:rFonts w:ascii="Times New Roman"/>
                <w:sz w:val="21"/>
                <w:szCs w:val="21"/>
              </w:rPr>
            </w:pPr>
            <w:r>
              <w:rPr>
                <w:rFonts w:ascii="Times New Roman"/>
                <w:sz w:val="21"/>
                <w:szCs w:val="21"/>
              </w:rPr>
              <w:t>排放特征</w:t>
            </w:r>
          </w:p>
        </w:tc>
      </w:tr>
      <w:tr w14:paraId="2DD2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restart"/>
            <w:vAlign w:val="center"/>
          </w:tcPr>
          <w:p w14:paraId="451D6068">
            <w:pPr>
              <w:spacing w:line="320" w:lineRule="exact"/>
              <w:jc w:val="center"/>
              <w:rPr>
                <w:rFonts w:ascii="Times New Roman"/>
                <w:sz w:val="21"/>
                <w:szCs w:val="21"/>
              </w:rPr>
            </w:pPr>
            <w:r>
              <w:rPr>
                <w:rFonts w:ascii="Times New Roman"/>
                <w:sz w:val="21"/>
                <w:szCs w:val="21"/>
              </w:rPr>
              <w:t>废气</w:t>
            </w:r>
          </w:p>
        </w:tc>
        <w:tc>
          <w:tcPr>
            <w:tcW w:w="386" w:type="pct"/>
            <w:vAlign w:val="center"/>
          </w:tcPr>
          <w:p w14:paraId="4007ED0D">
            <w:pPr>
              <w:spacing w:line="320" w:lineRule="exact"/>
              <w:jc w:val="center"/>
              <w:rPr>
                <w:rFonts w:ascii="Times New Roman"/>
                <w:sz w:val="21"/>
                <w:szCs w:val="21"/>
              </w:rPr>
            </w:pPr>
            <w:r>
              <w:rPr>
                <w:rFonts w:ascii="Times New Roman"/>
                <w:sz w:val="21"/>
                <w:szCs w:val="21"/>
              </w:rPr>
              <w:t>G1</w:t>
            </w:r>
          </w:p>
        </w:tc>
        <w:tc>
          <w:tcPr>
            <w:tcW w:w="314" w:type="pct"/>
            <w:vAlign w:val="center"/>
          </w:tcPr>
          <w:p w14:paraId="643DC119">
            <w:pPr>
              <w:spacing w:line="320" w:lineRule="exact"/>
              <w:jc w:val="center"/>
              <w:rPr>
                <w:rFonts w:ascii="Times New Roman"/>
                <w:sz w:val="21"/>
                <w:szCs w:val="21"/>
              </w:rPr>
            </w:pPr>
            <w:r>
              <w:rPr>
                <w:rFonts w:hint="eastAsia" w:ascii="Times New Roman"/>
                <w:sz w:val="21"/>
                <w:szCs w:val="21"/>
              </w:rPr>
              <w:t>下料生产线</w:t>
            </w:r>
          </w:p>
        </w:tc>
        <w:tc>
          <w:tcPr>
            <w:tcW w:w="708" w:type="pct"/>
            <w:vAlign w:val="center"/>
          </w:tcPr>
          <w:p w14:paraId="77753171">
            <w:pPr>
              <w:spacing w:line="320" w:lineRule="exact"/>
              <w:jc w:val="center"/>
              <w:rPr>
                <w:rFonts w:ascii="Times New Roman"/>
                <w:sz w:val="21"/>
                <w:szCs w:val="21"/>
              </w:rPr>
            </w:pPr>
            <w:r>
              <w:rPr>
                <w:rFonts w:ascii="Times New Roman"/>
                <w:sz w:val="21"/>
                <w:szCs w:val="21"/>
              </w:rPr>
              <w:t>下料工序</w:t>
            </w:r>
          </w:p>
        </w:tc>
        <w:tc>
          <w:tcPr>
            <w:tcW w:w="1241" w:type="pct"/>
            <w:vAlign w:val="center"/>
          </w:tcPr>
          <w:p w14:paraId="61ED98A8">
            <w:pPr>
              <w:spacing w:line="320" w:lineRule="exact"/>
              <w:jc w:val="center"/>
              <w:rPr>
                <w:rFonts w:ascii="Times New Roman"/>
                <w:sz w:val="21"/>
                <w:szCs w:val="21"/>
              </w:rPr>
            </w:pPr>
            <w:r>
              <w:rPr>
                <w:rFonts w:ascii="Times New Roman"/>
                <w:sz w:val="21"/>
                <w:szCs w:val="21"/>
              </w:rPr>
              <w:t>颗粒物</w:t>
            </w:r>
          </w:p>
        </w:tc>
        <w:tc>
          <w:tcPr>
            <w:tcW w:w="1817" w:type="pct"/>
            <w:gridSpan w:val="2"/>
            <w:shd w:val="clear" w:color="auto" w:fill="auto"/>
            <w:vAlign w:val="center"/>
          </w:tcPr>
          <w:p w14:paraId="6769E06F">
            <w:pPr>
              <w:spacing w:line="320" w:lineRule="exact"/>
              <w:jc w:val="center"/>
              <w:rPr>
                <w:rFonts w:ascii="Times New Roman"/>
                <w:sz w:val="21"/>
                <w:szCs w:val="21"/>
              </w:rPr>
            </w:pPr>
            <w:r>
              <w:rPr>
                <w:rFonts w:ascii="Times New Roman"/>
                <w:sz w:val="21"/>
                <w:szCs w:val="21"/>
              </w:rPr>
              <w:t>集气罩+布袋除尘器+20m高排气筒（DA001）</w:t>
            </w:r>
          </w:p>
        </w:tc>
        <w:tc>
          <w:tcPr>
            <w:tcW w:w="353" w:type="pct"/>
            <w:shd w:val="clear" w:color="auto" w:fill="auto"/>
            <w:vAlign w:val="center"/>
          </w:tcPr>
          <w:p w14:paraId="38BA54A2">
            <w:pPr>
              <w:spacing w:line="320" w:lineRule="exact"/>
              <w:jc w:val="center"/>
              <w:rPr>
                <w:rFonts w:ascii="Times New Roman"/>
                <w:sz w:val="21"/>
                <w:szCs w:val="21"/>
              </w:rPr>
            </w:pPr>
            <w:r>
              <w:rPr>
                <w:rFonts w:ascii="Times New Roman"/>
                <w:sz w:val="21"/>
                <w:szCs w:val="21"/>
              </w:rPr>
              <w:t>间断</w:t>
            </w:r>
          </w:p>
        </w:tc>
      </w:tr>
      <w:tr w14:paraId="7B1A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1630A69A">
            <w:pPr>
              <w:spacing w:line="320" w:lineRule="exact"/>
              <w:jc w:val="center"/>
              <w:rPr>
                <w:rFonts w:ascii="Times New Roman"/>
                <w:sz w:val="21"/>
                <w:szCs w:val="21"/>
              </w:rPr>
            </w:pPr>
          </w:p>
        </w:tc>
        <w:tc>
          <w:tcPr>
            <w:tcW w:w="386" w:type="pct"/>
            <w:shd w:val="clear" w:color="auto" w:fill="auto"/>
            <w:vAlign w:val="center"/>
          </w:tcPr>
          <w:p w14:paraId="4AB74640">
            <w:pPr>
              <w:spacing w:line="320" w:lineRule="exact"/>
              <w:jc w:val="center"/>
              <w:rPr>
                <w:rFonts w:ascii="Times New Roman"/>
                <w:sz w:val="21"/>
                <w:szCs w:val="21"/>
              </w:rPr>
            </w:pPr>
            <w:r>
              <w:rPr>
                <w:rFonts w:ascii="Times New Roman"/>
                <w:sz w:val="21"/>
                <w:szCs w:val="21"/>
              </w:rPr>
              <w:t>G2</w:t>
            </w:r>
          </w:p>
        </w:tc>
        <w:tc>
          <w:tcPr>
            <w:tcW w:w="314" w:type="pct"/>
            <w:vMerge w:val="restart"/>
            <w:vAlign w:val="center"/>
          </w:tcPr>
          <w:p w14:paraId="490C7293">
            <w:pPr>
              <w:spacing w:line="320" w:lineRule="exact"/>
              <w:jc w:val="center"/>
              <w:rPr>
                <w:rFonts w:ascii="Times New Roman"/>
                <w:sz w:val="21"/>
                <w:szCs w:val="21"/>
              </w:rPr>
            </w:pPr>
            <w:r>
              <w:rPr>
                <w:rFonts w:ascii="Times New Roman"/>
                <w:sz w:val="21"/>
                <w:szCs w:val="21"/>
              </w:rPr>
              <w:t>焊接、滚筒生产线</w:t>
            </w:r>
          </w:p>
        </w:tc>
        <w:tc>
          <w:tcPr>
            <w:tcW w:w="708" w:type="pct"/>
            <w:vAlign w:val="center"/>
          </w:tcPr>
          <w:p w14:paraId="3F118369">
            <w:pPr>
              <w:spacing w:line="320" w:lineRule="exact"/>
              <w:jc w:val="center"/>
              <w:rPr>
                <w:rFonts w:ascii="Times New Roman"/>
                <w:sz w:val="21"/>
                <w:szCs w:val="21"/>
              </w:rPr>
            </w:pPr>
            <w:r>
              <w:rPr>
                <w:rFonts w:ascii="Times New Roman"/>
                <w:sz w:val="21"/>
                <w:szCs w:val="21"/>
              </w:rPr>
              <w:t>焊接工序</w:t>
            </w:r>
          </w:p>
        </w:tc>
        <w:tc>
          <w:tcPr>
            <w:tcW w:w="1241" w:type="pct"/>
            <w:shd w:val="clear" w:color="auto" w:fill="auto"/>
            <w:vAlign w:val="center"/>
          </w:tcPr>
          <w:p w14:paraId="57DD992D">
            <w:pPr>
              <w:spacing w:line="320" w:lineRule="exact"/>
              <w:jc w:val="center"/>
              <w:rPr>
                <w:rFonts w:ascii="Times New Roman"/>
                <w:sz w:val="21"/>
                <w:szCs w:val="21"/>
              </w:rPr>
            </w:pPr>
            <w:r>
              <w:rPr>
                <w:rFonts w:ascii="Times New Roman"/>
                <w:sz w:val="21"/>
                <w:szCs w:val="21"/>
              </w:rPr>
              <w:t>颗粒物</w:t>
            </w:r>
          </w:p>
        </w:tc>
        <w:tc>
          <w:tcPr>
            <w:tcW w:w="1817" w:type="pct"/>
            <w:gridSpan w:val="2"/>
            <w:shd w:val="clear" w:color="auto" w:fill="auto"/>
            <w:vAlign w:val="center"/>
          </w:tcPr>
          <w:p w14:paraId="787DC4CF">
            <w:pPr>
              <w:spacing w:line="320" w:lineRule="exact"/>
              <w:jc w:val="center"/>
              <w:rPr>
                <w:rFonts w:ascii="Times New Roman"/>
                <w:sz w:val="21"/>
                <w:szCs w:val="21"/>
              </w:rPr>
            </w:pPr>
            <w:r>
              <w:rPr>
                <w:rFonts w:ascii="Times New Roman"/>
                <w:sz w:val="21"/>
                <w:szCs w:val="21"/>
              </w:rPr>
              <w:t>集气罩+3套</w:t>
            </w:r>
            <w:r>
              <w:rPr>
                <w:rFonts w:hint="eastAsia" w:ascii="Times New Roman"/>
                <w:sz w:val="21"/>
                <w:szCs w:val="21"/>
              </w:rPr>
              <w:t>滤筒</w:t>
            </w:r>
            <w:r>
              <w:rPr>
                <w:rFonts w:ascii="Times New Roman"/>
                <w:sz w:val="21"/>
                <w:szCs w:val="21"/>
              </w:rPr>
              <w:t>除尘器+3根2</w:t>
            </w:r>
            <w:r>
              <w:rPr>
                <w:rFonts w:hint="eastAsia" w:ascii="Times New Roman"/>
                <w:sz w:val="21"/>
                <w:szCs w:val="21"/>
              </w:rPr>
              <w:t>2</w:t>
            </w:r>
            <w:r>
              <w:rPr>
                <w:rFonts w:ascii="Times New Roman"/>
                <w:sz w:val="21"/>
                <w:szCs w:val="21"/>
              </w:rPr>
              <w:t>m高排气筒（DA002~DA004）</w:t>
            </w:r>
          </w:p>
        </w:tc>
        <w:tc>
          <w:tcPr>
            <w:tcW w:w="353" w:type="pct"/>
            <w:shd w:val="clear" w:color="auto" w:fill="auto"/>
            <w:vAlign w:val="center"/>
          </w:tcPr>
          <w:p w14:paraId="63A7DA04">
            <w:pPr>
              <w:spacing w:line="320" w:lineRule="exact"/>
              <w:jc w:val="center"/>
              <w:rPr>
                <w:rFonts w:ascii="Times New Roman"/>
                <w:sz w:val="21"/>
                <w:szCs w:val="21"/>
              </w:rPr>
            </w:pPr>
            <w:r>
              <w:rPr>
                <w:rFonts w:ascii="Times New Roman"/>
                <w:sz w:val="21"/>
                <w:szCs w:val="21"/>
              </w:rPr>
              <w:t>间断</w:t>
            </w:r>
          </w:p>
        </w:tc>
      </w:tr>
      <w:tr w14:paraId="05EF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68E115A">
            <w:pPr>
              <w:spacing w:line="320" w:lineRule="exact"/>
              <w:jc w:val="center"/>
              <w:rPr>
                <w:rFonts w:ascii="Times New Roman"/>
                <w:sz w:val="21"/>
                <w:szCs w:val="21"/>
              </w:rPr>
            </w:pPr>
          </w:p>
        </w:tc>
        <w:tc>
          <w:tcPr>
            <w:tcW w:w="386" w:type="pct"/>
            <w:shd w:val="clear" w:color="auto" w:fill="auto"/>
            <w:vAlign w:val="center"/>
          </w:tcPr>
          <w:p w14:paraId="097C1F36">
            <w:pPr>
              <w:spacing w:line="320" w:lineRule="exact"/>
              <w:jc w:val="center"/>
              <w:rPr>
                <w:rFonts w:ascii="Times New Roman"/>
                <w:sz w:val="21"/>
                <w:szCs w:val="21"/>
              </w:rPr>
            </w:pPr>
            <w:r>
              <w:rPr>
                <w:rFonts w:ascii="Times New Roman"/>
                <w:sz w:val="21"/>
                <w:szCs w:val="21"/>
              </w:rPr>
              <w:t>G3</w:t>
            </w:r>
          </w:p>
        </w:tc>
        <w:tc>
          <w:tcPr>
            <w:tcW w:w="314" w:type="pct"/>
            <w:vMerge w:val="continue"/>
            <w:vAlign w:val="center"/>
          </w:tcPr>
          <w:p w14:paraId="40FED043">
            <w:pPr>
              <w:spacing w:line="320" w:lineRule="exact"/>
              <w:jc w:val="center"/>
              <w:rPr>
                <w:rFonts w:ascii="Times New Roman"/>
                <w:sz w:val="21"/>
                <w:szCs w:val="21"/>
              </w:rPr>
            </w:pPr>
          </w:p>
        </w:tc>
        <w:tc>
          <w:tcPr>
            <w:tcW w:w="708" w:type="pct"/>
            <w:vAlign w:val="center"/>
          </w:tcPr>
          <w:p w14:paraId="52C711EB">
            <w:pPr>
              <w:spacing w:line="320" w:lineRule="exact"/>
              <w:jc w:val="center"/>
              <w:rPr>
                <w:rFonts w:ascii="Times New Roman"/>
                <w:sz w:val="21"/>
                <w:szCs w:val="21"/>
              </w:rPr>
            </w:pPr>
            <w:r>
              <w:rPr>
                <w:rFonts w:ascii="Times New Roman"/>
                <w:sz w:val="21"/>
                <w:szCs w:val="21"/>
              </w:rPr>
              <w:t>焊接工序</w:t>
            </w:r>
          </w:p>
        </w:tc>
        <w:tc>
          <w:tcPr>
            <w:tcW w:w="1241" w:type="pct"/>
            <w:vAlign w:val="center"/>
          </w:tcPr>
          <w:p w14:paraId="09278E1E">
            <w:pPr>
              <w:spacing w:line="320" w:lineRule="exact"/>
              <w:jc w:val="center"/>
              <w:rPr>
                <w:rFonts w:ascii="Times New Roman"/>
                <w:sz w:val="21"/>
                <w:szCs w:val="21"/>
              </w:rPr>
            </w:pPr>
            <w:r>
              <w:rPr>
                <w:rFonts w:ascii="Times New Roman"/>
                <w:sz w:val="21"/>
                <w:szCs w:val="21"/>
              </w:rPr>
              <w:t>颗粒物</w:t>
            </w:r>
          </w:p>
        </w:tc>
        <w:tc>
          <w:tcPr>
            <w:tcW w:w="1817" w:type="pct"/>
            <w:gridSpan w:val="2"/>
            <w:vAlign w:val="center"/>
          </w:tcPr>
          <w:p w14:paraId="439C4F62">
            <w:pPr>
              <w:spacing w:line="320" w:lineRule="exact"/>
              <w:jc w:val="center"/>
              <w:rPr>
                <w:rFonts w:ascii="Times New Roman"/>
                <w:sz w:val="21"/>
                <w:szCs w:val="21"/>
              </w:rPr>
            </w:pPr>
            <w:r>
              <w:rPr>
                <w:rFonts w:hint="eastAsia" w:ascii="Times New Roman"/>
                <w:sz w:val="21"/>
                <w:szCs w:val="21"/>
              </w:rPr>
              <w:t>滤筒</w:t>
            </w:r>
            <w:r>
              <w:rPr>
                <w:rFonts w:ascii="Times New Roman"/>
                <w:sz w:val="21"/>
                <w:szCs w:val="21"/>
              </w:rPr>
              <w:t>除尘器处理后无组织排放</w:t>
            </w:r>
          </w:p>
        </w:tc>
        <w:tc>
          <w:tcPr>
            <w:tcW w:w="353" w:type="pct"/>
            <w:vAlign w:val="center"/>
          </w:tcPr>
          <w:p w14:paraId="7912489C">
            <w:pPr>
              <w:spacing w:line="320" w:lineRule="exact"/>
              <w:jc w:val="center"/>
              <w:rPr>
                <w:rFonts w:ascii="Times New Roman"/>
                <w:sz w:val="21"/>
                <w:szCs w:val="21"/>
              </w:rPr>
            </w:pPr>
            <w:r>
              <w:rPr>
                <w:rFonts w:ascii="Times New Roman"/>
                <w:sz w:val="21"/>
                <w:szCs w:val="21"/>
              </w:rPr>
              <w:t>间断</w:t>
            </w:r>
          </w:p>
        </w:tc>
      </w:tr>
      <w:tr w14:paraId="4729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2D829AE9">
            <w:pPr>
              <w:spacing w:line="320" w:lineRule="exact"/>
              <w:jc w:val="center"/>
              <w:rPr>
                <w:rFonts w:ascii="Times New Roman"/>
                <w:sz w:val="21"/>
                <w:szCs w:val="21"/>
              </w:rPr>
            </w:pPr>
          </w:p>
        </w:tc>
        <w:tc>
          <w:tcPr>
            <w:tcW w:w="386" w:type="pct"/>
            <w:vAlign w:val="center"/>
          </w:tcPr>
          <w:p w14:paraId="644A1566">
            <w:pPr>
              <w:spacing w:line="320" w:lineRule="exact"/>
              <w:jc w:val="center"/>
              <w:rPr>
                <w:rFonts w:ascii="Times New Roman"/>
                <w:sz w:val="21"/>
                <w:szCs w:val="21"/>
              </w:rPr>
            </w:pPr>
            <w:r>
              <w:rPr>
                <w:rFonts w:ascii="Times New Roman"/>
                <w:sz w:val="21"/>
                <w:szCs w:val="21"/>
              </w:rPr>
              <w:t>G4</w:t>
            </w:r>
          </w:p>
        </w:tc>
        <w:tc>
          <w:tcPr>
            <w:tcW w:w="314" w:type="pct"/>
            <w:vMerge w:val="continue"/>
            <w:vAlign w:val="center"/>
          </w:tcPr>
          <w:p w14:paraId="7E274DAB">
            <w:pPr>
              <w:spacing w:line="320" w:lineRule="exact"/>
              <w:jc w:val="center"/>
              <w:rPr>
                <w:rFonts w:ascii="Times New Roman"/>
                <w:sz w:val="21"/>
                <w:szCs w:val="21"/>
              </w:rPr>
            </w:pPr>
          </w:p>
        </w:tc>
        <w:tc>
          <w:tcPr>
            <w:tcW w:w="708" w:type="pct"/>
            <w:vAlign w:val="center"/>
          </w:tcPr>
          <w:p w14:paraId="5132257F">
            <w:pPr>
              <w:spacing w:line="320" w:lineRule="exact"/>
              <w:jc w:val="center"/>
              <w:rPr>
                <w:rFonts w:ascii="Times New Roman"/>
                <w:sz w:val="21"/>
                <w:szCs w:val="21"/>
              </w:rPr>
            </w:pPr>
            <w:r>
              <w:rPr>
                <w:rFonts w:ascii="Times New Roman"/>
                <w:sz w:val="21"/>
                <w:szCs w:val="21"/>
              </w:rPr>
              <w:t>热处理车炉加热工序</w:t>
            </w:r>
          </w:p>
        </w:tc>
        <w:tc>
          <w:tcPr>
            <w:tcW w:w="1241" w:type="pct"/>
            <w:vAlign w:val="center"/>
          </w:tcPr>
          <w:p w14:paraId="2E36872D">
            <w:pPr>
              <w:spacing w:line="320" w:lineRule="exact"/>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X</w:t>
            </w:r>
            <w:r>
              <w:rPr>
                <w:rFonts w:ascii="Times New Roman"/>
                <w:sz w:val="21"/>
                <w:szCs w:val="21"/>
              </w:rPr>
              <w:t>、烟气黑度</w:t>
            </w:r>
          </w:p>
        </w:tc>
        <w:tc>
          <w:tcPr>
            <w:tcW w:w="1817" w:type="pct"/>
            <w:gridSpan w:val="2"/>
            <w:vAlign w:val="center"/>
          </w:tcPr>
          <w:p w14:paraId="1E5E10E1">
            <w:pPr>
              <w:spacing w:line="320" w:lineRule="exact"/>
              <w:jc w:val="center"/>
              <w:rPr>
                <w:rFonts w:ascii="Times New Roman"/>
                <w:sz w:val="21"/>
                <w:szCs w:val="21"/>
              </w:rPr>
            </w:pPr>
            <w:r>
              <w:rPr>
                <w:rFonts w:ascii="Times New Roman"/>
                <w:sz w:val="21"/>
                <w:szCs w:val="21"/>
              </w:rPr>
              <w:t>低氮燃烧器+20米高排气筒DA005</w:t>
            </w:r>
          </w:p>
        </w:tc>
        <w:tc>
          <w:tcPr>
            <w:tcW w:w="353" w:type="pct"/>
            <w:shd w:val="clear" w:color="auto" w:fill="auto"/>
            <w:vAlign w:val="center"/>
          </w:tcPr>
          <w:p w14:paraId="125445EF">
            <w:pPr>
              <w:spacing w:line="320" w:lineRule="exact"/>
              <w:jc w:val="center"/>
              <w:rPr>
                <w:rFonts w:ascii="Times New Roman"/>
                <w:sz w:val="21"/>
                <w:szCs w:val="21"/>
              </w:rPr>
            </w:pPr>
            <w:r>
              <w:rPr>
                <w:rFonts w:ascii="Times New Roman"/>
                <w:sz w:val="21"/>
                <w:szCs w:val="21"/>
              </w:rPr>
              <w:t>间断</w:t>
            </w:r>
          </w:p>
        </w:tc>
      </w:tr>
      <w:tr w14:paraId="6E1E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5D2659CA">
            <w:pPr>
              <w:spacing w:line="320" w:lineRule="exact"/>
              <w:jc w:val="center"/>
              <w:rPr>
                <w:rFonts w:ascii="Times New Roman"/>
                <w:sz w:val="21"/>
                <w:szCs w:val="21"/>
              </w:rPr>
            </w:pPr>
          </w:p>
        </w:tc>
        <w:tc>
          <w:tcPr>
            <w:tcW w:w="386" w:type="pct"/>
            <w:vAlign w:val="center"/>
          </w:tcPr>
          <w:p w14:paraId="1D46AB3E">
            <w:pPr>
              <w:spacing w:line="320" w:lineRule="exact"/>
              <w:jc w:val="center"/>
              <w:rPr>
                <w:rFonts w:ascii="Times New Roman"/>
                <w:sz w:val="21"/>
                <w:szCs w:val="21"/>
              </w:rPr>
            </w:pPr>
            <w:r>
              <w:rPr>
                <w:rFonts w:ascii="Times New Roman"/>
                <w:sz w:val="21"/>
                <w:szCs w:val="21"/>
              </w:rPr>
              <w:t>G5</w:t>
            </w:r>
          </w:p>
        </w:tc>
        <w:tc>
          <w:tcPr>
            <w:tcW w:w="314" w:type="pct"/>
            <w:vMerge w:val="continue"/>
            <w:vAlign w:val="center"/>
          </w:tcPr>
          <w:p w14:paraId="242500F3">
            <w:pPr>
              <w:spacing w:line="320" w:lineRule="exact"/>
              <w:jc w:val="center"/>
              <w:rPr>
                <w:rFonts w:ascii="Times New Roman"/>
                <w:sz w:val="21"/>
                <w:szCs w:val="21"/>
              </w:rPr>
            </w:pPr>
          </w:p>
        </w:tc>
        <w:tc>
          <w:tcPr>
            <w:tcW w:w="708" w:type="pct"/>
            <w:vAlign w:val="center"/>
          </w:tcPr>
          <w:p w14:paraId="4B1E9D10">
            <w:pPr>
              <w:spacing w:line="320" w:lineRule="exact"/>
              <w:jc w:val="center"/>
              <w:rPr>
                <w:rFonts w:ascii="Times New Roman"/>
                <w:sz w:val="21"/>
                <w:szCs w:val="21"/>
              </w:rPr>
            </w:pPr>
            <w:r>
              <w:rPr>
                <w:rFonts w:ascii="Times New Roman"/>
                <w:sz w:val="21"/>
                <w:szCs w:val="21"/>
              </w:rPr>
              <w:t>淬火、回火</w:t>
            </w:r>
          </w:p>
        </w:tc>
        <w:tc>
          <w:tcPr>
            <w:tcW w:w="1241" w:type="pct"/>
            <w:vAlign w:val="center"/>
          </w:tcPr>
          <w:p w14:paraId="004D9ED8">
            <w:pPr>
              <w:spacing w:line="320" w:lineRule="exact"/>
              <w:jc w:val="center"/>
              <w:rPr>
                <w:rFonts w:ascii="Times New Roman"/>
                <w:sz w:val="21"/>
                <w:szCs w:val="21"/>
              </w:rPr>
            </w:pPr>
            <w:r>
              <w:rPr>
                <w:rFonts w:ascii="Times New Roman"/>
                <w:sz w:val="21"/>
                <w:szCs w:val="21"/>
              </w:rPr>
              <w:t>油雾、非甲烷总烃</w:t>
            </w:r>
          </w:p>
        </w:tc>
        <w:tc>
          <w:tcPr>
            <w:tcW w:w="1817" w:type="pct"/>
            <w:gridSpan w:val="2"/>
            <w:vAlign w:val="center"/>
          </w:tcPr>
          <w:p w14:paraId="3F4CE8AE">
            <w:pPr>
              <w:spacing w:line="320" w:lineRule="exact"/>
              <w:jc w:val="center"/>
              <w:rPr>
                <w:rFonts w:ascii="Times New Roman"/>
                <w:sz w:val="21"/>
                <w:szCs w:val="21"/>
              </w:rPr>
            </w:pPr>
            <w:r>
              <w:rPr>
                <w:rFonts w:ascii="Times New Roman"/>
                <w:sz w:val="21"/>
                <w:szCs w:val="21"/>
              </w:rPr>
              <w:t>油雾净化器+二级活性炭吸附装置+20米高排气筒DA006</w:t>
            </w:r>
          </w:p>
        </w:tc>
        <w:tc>
          <w:tcPr>
            <w:tcW w:w="353" w:type="pct"/>
            <w:shd w:val="clear" w:color="auto" w:fill="auto"/>
            <w:vAlign w:val="center"/>
          </w:tcPr>
          <w:p w14:paraId="641E73A3">
            <w:pPr>
              <w:spacing w:line="320" w:lineRule="exact"/>
              <w:jc w:val="center"/>
              <w:rPr>
                <w:rFonts w:ascii="Times New Roman"/>
                <w:sz w:val="21"/>
                <w:szCs w:val="21"/>
              </w:rPr>
            </w:pPr>
            <w:r>
              <w:rPr>
                <w:rFonts w:ascii="Times New Roman"/>
                <w:sz w:val="21"/>
                <w:szCs w:val="21"/>
              </w:rPr>
              <w:t>间断</w:t>
            </w:r>
          </w:p>
        </w:tc>
      </w:tr>
      <w:tr w14:paraId="15E6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178" w:type="pct"/>
            <w:vMerge w:val="continue"/>
            <w:vAlign w:val="center"/>
          </w:tcPr>
          <w:p w14:paraId="7C11578E">
            <w:pPr>
              <w:spacing w:line="320" w:lineRule="exact"/>
              <w:jc w:val="center"/>
              <w:rPr>
                <w:rFonts w:ascii="Times New Roman"/>
                <w:sz w:val="21"/>
                <w:szCs w:val="21"/>
              </w:rPr>
            </w:pPr>
          </w:p>
        </w:tc>
        <w:tc>
          <w:tcPr>
            <w:tcW w:w="386" w:type="pct"/>
            <w:vAlign w:val="center"/>
          </w:tcPr>
          <w:p w14:paraId="4DEA1B37">
            <w:pPr>
              <w:spacing w:line="320" w:lineRule="exact"/>
              <w:jc w:val="center"/>
              <w:rPr>
                <w:rFonts w:ascii="Times New Roman"/>
                <w:sz w:val="21"/>
                <w:szCs w:val="21"/>
              </w:rPr>
            </w:pPr>
            <w:r>
              <w:rPr>
                <w:rFonts w:ascii="Times New Roman"/>
                <w:sz w:val="21"/>
                <w:szCs w:val="21"/>
              </w:rPr>
              <w:t>G6</w:t>
            </w:r>
          </w:p>
        </w:tc>
        <w:tc>
          <w:tcPr>
            <w:tcW w:w="314" w:type="pct"/>
            <w:vMerge w:val="restart"/>
            <w:vAlign w:val="center"/>
          </w:tcPr>
          <w:p w14:paraId="44232057">
            <w:pPr>
              <w:spacing w:line="320" w:lineRule="exact"/>
              <w:jc w:val="center"/>
              <w:rPr>
                <w:rFonts w:ascii="Times New Roman"/>
                <w:sz w:val="21"/>
                <w:szCs w:val="21"/>
              </w:rPr>
            </w:pPr>
            <w:r>
              <w:rPr>
                <w:rFonts w:ascii="Times New Roman"/>
                <w:sz w:val="21"/>
                <w:szCs w:val="21"/>
              </w:rPr>
              <w:t>预处理及电泳生产线</w:t>
            </w:r>
          </w:p>
        </w:tc>
        <w:tc>
          <w:tcPr>
            <w:tcW w:w="708" w:type="pct"/>
            <w:vAlign w:val="center"/>
          </w:tcPr>
          <w:p w14:paraId="7B5923DF">
            <w:pPr>
              <w:spacing w:line="320" w:lineRule="exact"/>
              <w:jc w:val="center"/>
              <w:rPr>
                <w:rFonts w:ascii="Times New Roman"/>
                <w:sz w:val="21"/>
                <w:szCs w:val="21"/>
              </w:rPr>
            </w:pPr>
            <w:r>
              <w:rPr>
                <w:rFonts w:ascii="Times New Roman"/>
                <w:sz w:val="21"/>
                <w:szCs w:val="21"/>
              </w:rPr>
              <w:t>抛丸</w:t>
            </w:r>
          </w:p>
        </w:tc>
        <w:tc>
          <w:tcPr>
            <w:tcW w:w="1241" w:type="pct"/>
            <w:vAlign w:val="center"/>
          </w:tcPr>
          <w:p w14:paraId="32B21D5C">
            <w:pPr>
              <w:spacing w:line="320" w:lineRule="exact"/>
              <w:jc w:val="center"/>
              <w:rPr>
                <w:rFonts w:ascii="Times New Roman"/>
                <w:sz w:val="21"/>
                <w:szCs w:val="21"/>
              </w:rPr>
            </w:pPr>
            <w:r>
              <w:rPr>
                <w:rFonts w:ascii="Times New Roman"/>
                <w:sz w:val="21"/>
                <w:szCs w:val="21"/>
              </w:rPr>
              <w:t>颗粒物</w:t>
            </w:r>
          </w:p>
        </w:tc>
        <w:tc>
          <w:tcPr>
            <w:tcW w:w="632" w:type="pct"/>
            <w:vAlign w:val="center"/>
          </w:tcPr>
          <w:p w14:paraId="1EAA0C72">
            <w:pPr>
              <w:spacing w:line="320" w:lineRule="exact"/>
              <w:jc w:val="center"/>
              <w:rPr>
                <w:rFonts w:ascii="Times New Roman"/>
                <w:sz w:val="21"/>
                <w:szCs w:val="21"/>
              </w:rPr>
            </w:pPr>
            <w:r>
              <w:rPr>
                <w:rFonts w:ascii="Times New Roman"/>
                <w:sz w:val="21"/>
                <w:szCs w:val="21"/>
              </w:rPr>
              <w:t>集气管道</w:t>
            </w:r>
          </w:p>
        </w:tc>
        <w:tc>
          <w:tcPr>
            <w:tcW w:w="1185" w:type="pct"/>
            <w:vMerge w:val="restart"/>
            <w:vAlign w:val="center"/>
          </w:tcPr>
          <w:p w14:paraId="0E10B883">
            <w:pPr>
              <w:spacing w:line="320" w:lineRule="exact"/>
              <w:jc w:val="center"/>
              <w:rPr>
                <w:rFonts w:ascii="Times New Roman"/>
                <w:sz w:val="21"/>
                <w:szCs w:val="21"/>
              </w:rPr>
            </w:pPr>
            <w:r>
              <w:rPr>
                <w:rFonts w:ascii="Times New Roman"/>
                <w:sz w:val="21"/>
                <w:szCs w:val="21"/>
              </w:rPr>
              <w:t>旋风除尘器</w:t>
            </w:r>
            <w:r>
              <w:rPr>
                <w:rFonts w:hint="eastAsia" w:ascii="Times New Roman"/>
                <w:sz w:val="21"/>
                <w:szCs w:val="21"/>
              </w:rPr>
              <w:t>+滤筒</w:t>
            </w:r>
            <w:r>
              <w:rPr>
                <w:rFonts w:ascii="Times New Roman"/>
                <w:sz w:val="21"/>
                <w:szCs w:val="21"/>
              </w:rPr>
              <w:t>除尘器+20m高排气筒（DA007）</w:t>
            </w:r>
          </w:p>
        </w:tc>
        <w:tc>
          <w:tcPr>
            <w:tcW w:w="353" w:type="pct"/>
            <w:vAlign w:val="center"/>
          </w:tcPr>
          <w:p w14:paraId="4B55D830">
            <w:pPr>
              <w:spacing w:line="320" w:lineRule="exact"/>
              <w:jc w:val="center"/>
              <w:rPr>
                <w:rFonts w:ascii="Times New Roman"/>
                <w:sz w:val="21"/>
                <w:szCs w:val="21"/>
              </w:rPr>
            </w:pPr>
            <w:r>
              <w:rPr>
                <w:rFonts w:ascii="Times New Roman"/>
                <w:sz w:val="21"/>
                <w:szCs w:val="21"/>
              </w:rPr>
              <w:t>间断</w:t>
            </w:r>
          </w:p>
        </w:tc>
      </w:tr>
      <w:tr w14:paraId="6BAD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178" w:type="pct"/>
            <w:vMerge w:val="continue"/>
            <w:vAlign w:val="center"/>
          </w:tcPr>
          <w:p w14:paraId="2960076F">
            <w:pPr>
              <w:spacing w:line="320" w:lineRule="exact"/>
              <w:jc w:val="center"/>
              <w:rPr>
                <w:rFonts w:ascii="Times New Roman"/>
                <w:sz w:val="21"/>
                <w:szCs w:val="21"/>
              </w:rPr>
            </w:pPr>
          </w:p>
        </w:tc>
        <w:tc>
          <w:tcPr>
            <w:tcW w:w="386" w:type="pct"/>
            <w:shd w:val="clear" w:color="auto" w:fill="auto"/>
            <w:vAlign w:val="center"/>
          </w:tcPr>
          <w:p w14:paraId="5701B92B">
            <w:pPr>
              <w:spacing w:line="320" w:lineRule="exact"/>
              <w:jc w:val="center"/>
              <w:rPr>
                <w:rFonts w:ascii="Times New Roman"/>
                <w:sz w:val="21"/>
                <w:szCs w:val="21"/>
              </w:rPr>
            </w:pPr>
            <w:r>
              <w:rPr>
                <w:rFonts w:ascii="Times New Roman"/>
                <w:sz w:val="21"/>
                <w:szCs w:val="21"/>
              </w:rPr>
              <w:t>G7</w:t>
            </w:r>
          </w:p>
        </w:tc>
        <w:tc>
          <w:tcPr>
            <w:tcW w:w="314" w:type="pct"/>
            <w:vMerge w:val="continue"/>
            <w:vAlign w:val="center"/>
          </w:tcPr>
          <w:p w14:paraId="36BCF73E">
            <w:pPr>
              <w:spacing w:line="320" w:lineRule="exact"/>
              <w:jc w:val="center"/>
              <w:rPr>
                <w:rFonts w:ascii="Times New Roman"/>
                <w:sz w:val="21"/>
                <w:szCs w:val="21"/>
              </w:rPr>
            </w:pPr>
          </w:p>
        </w:tc>
        <w:tc>
          <w:tcPr>
            <w:tcW w:w="708" w:type="pct"/>
            <w:shd w:val="clear" w:color="auto" w:fill="auto"/>
            <w:vAlign w:val="center"/>
          </w:tcPr>
          <w:p w14:paraId="422AEA34">
            <w:pPr>
              <w:spacing w:line="320" w:lineRule="exact"/>
              <w:jc w:val="center"/>
              <w:rPr>
                <w:rFonts w:ascii="Times New Roman"/>
                <w:sz w:val="21"/>
                <w:szCs w:val="21"/>
              </w:rPr>
            </w:pPr>
            <w:r>
              <w:rPr>
                <w:rFonts w:ascii="Times New Roman"/>
                <w:sz w:val="21"/>
                <w:szCs w:val="21"/>
              </w:rPr>
              <w:t>喷砂工序</w:t>
            </w:r>
          </w:p>
        </w:tc>
        <w:tc>
          <w:tcPr>
            <w:tcW w:w="1241" w:type="pct"/>
            <w:shd w:val="clear" w:color="auto" w:fill="auto"/>
            <w:vAlign w:val="center"/>
          </w:tcPr>
          <w:p w14:paraId="215D4299">
            <w:pPr>
              <w:spacing w:line="320" w:lineRule="exact"/>
              <w:jc w:val="center"/>
              <w:rPr>
                <w:rFonts w:ascii="Times New Roman"/>
                <w:sz w:val="21"/>
                <w:szCs w:val="21"/>
              </w:rPr>
            </w:pPr>
            <w:r>
              <w:rPr>
                <w:rFonts w:ascii="Times New Roman"/>
                <w:sz w:val="21"/>
                <w:szCs w:val="21"/>
              </w:rPr>
              <w:t>颗粒物</w:t>
            </w:r>
          </w:p>
        </w:tc>
        <w:tc>
          <w:tcPr>
            <w:tcW w:w="632" w:type="pct"/>
            <w:vAlign w:val="center"/>
          </w:tcPr>
          <w:p w14:paraId="1FFF57E1">
            <w:pPr>
              <w:spacing w:line="320" w:lineRule="exact"/>
              <w:jc w:val="center"/>
              <w:rPr>
                <w:rFonts w:ascii="Times New Roman"/>
                <w:sz w:val="21"/>
                <w:szCs w:val="21"/>
              </w:rPr>
            </w:pPr>
            <w:r>
              <w:rPr>
                <w:rFonts w:ascii="Times New Roman"/>
                <w:sz w:val="21"/>
                <w:szCs w:val="21"/>
              </w:rPr>
              <w:t>集气管道</w:t>
            </w:r>
          </w:p>
        </w:tc>
        <w:tc>
          <w:tcPr>
            <w:tcW w:w="1185" w:type="pct"/>
            <w:vMerge w:val="continue"/>
            <w:vAlign w:val="center"/>
          </w:tcPr>
          <w:p w14:paraId="3BB5B665">
            <w:pPr>
              <w:spacing w:line="320" w:lineRule="exact"/>
              <w:jc w:val="center"/>
              <w:rPr>
                <w:rFonts w:ascii="Times New Roman"/>
                <w:sz w:val="21"/>
                <w:szCs w:val="21"/>
              </w:rPr>
            </w:pPr>
          </w:p>
        </w:tc>
        <w:tc>
          <w:tcPr>
            <w:tcW w:w="353" w:type="pct"/>
            <w:vAlign w:val="center"/>
          </w:tcPr>
          <w:p w14:paraId="42E62C33">
            <w:pPr>
              <w:spacing w:line="320" w:lineRule="exact"/>
              <w:jc w:val="center"/>
              <w:rPr>
                <w:rFonts w:ascii="Times New Roman"/>
                <w:sz w:val="21"/>
                <w:szCs w:val="21"/>
              </w:rPr>
            </w:pPr>
            <w:r>
              <w:rPr>
                <w:rFonts w:ascii="Times New Roman"/>
                <w:sz w:val="21"/>
                <w:szCs w:val="21"/>
              </w:rPr>
              <w:t>间断</w:t>
            </w:r>
          </w:p>
        </w:tc>
      </w:tr>
      <w:tr w14:paraId="1673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178" w:type="pct"/>
            <w:vMerge w:val="continue"/>
            <w:vAlign w:val="center"/>
          </w:tcPr>
          <w:p w14:paraId="5DB4A2D3">
            <w:pPr>
              <w:spacing w:line="320" w:lineRule="exact"/>
              <w:jc w:val="center"/>
              <w:rPr>
                <w:rFonts w:ascii="Times New Roman"/>
                <w:sz w:val="21"/>
                <w:szCs w:val="21"/>
              </w:rPr>
            </w:pPr>
          </w:p>
        </w:tc>
        <w:tc>
          <w:tcPr>
            <w:tcW w:w="386" w:type="pct"/>
            <w:shd w:val="clear" w:color="auto" w:fill="auto"/>
            <w:vAlign w:val="center"/>
          </w:tcPr>
          <w:p w14:paraId="5394A51D">
            <w:pPr>
              <w:spacing w:line="320" w:lineRule="exact"/>
              <w:jc w:val="center"/>
              <w:rPr>
                <w:rFonts w:ascii="Times New Roman"/>
                <w:sz w:val="21"/>
                <w:szCs w:val="21"/>
              </w:rPr>
            </w:pPr>
            <w:r>
              <w:rPr>
                <w:rFonts w:hint="eastAsia" w:ascii="Times New Roman"/>
                <w:sz w:val="21"/>
                <w:szCs w:val="21"/>
              </w:rPr>
              <w:t>--</w:t>
            </w:r>
          </w:p>
        </w:tc>
        <w:tc>
          <w:tcPr>
            <w:tcW w:w="314" w:type="pct"/>
            <w:vMerge w:val="continue"/>
            <w:vAlign w:val="center"/>
          </w:tcPr>
          <w:p w14:paraId="36E820D7">
            <w:pPr>
              <w:spacing w:line="320" w:lineRule="exact"/>
              <w:jc w:val="center"/>
              <w:rPr>
                <w:rFonts w:ascii="Times New Roman"/>
                <w:sz w:val="21"/>
                <w:szCs w:val="21"/>
              </w:rPr>
            </w:pPr>
          </w:p>
        </w:tc>
        <w:tc>
          <w:tcPr>
            <w:tcW w:w="708" w:type="pct"/>
            <w:shd w:val="clear" w:color="auto" w:fill="auto"/>
            <w:vAlign w:val="center"/>
          </w:tcPr>
          <w:p w14:paraId="73BE6FBB">
            <w:pPr>
              <w:spacing w:line="320" w:lineRule="exact"/>
              <w:jc w:val="center"/>
              <w:rPr>
                <w:rFonts w:ascii="Times New Roman"/>
                <w:sz w:val="21"/>
                <w:szCs w:val="21"/>
              </w:rPr>
            </w:pPr>
            <w:r>
              <w:rPr>
                <w:rFonts w:hint="eastAsia" w:ascii="Times New Roman"/>
                <w:sz w:val="21"/>
                <w:szCs w:val="21"/>
              </w:rPr>
              <w:t>热水锅炉</w:t>
            </w:r>
          </w:p>
        </w:tc>
        <w:tc>
          <w:tcPr>
            <w:tcW w:w="1241" w:type="pct"/>
            <w:shd w:val="clear" w:color="auto" w:fill="auto"/>
            <w:vAlign w:val="center"/>
          </w:tcPr>
          <w:p w14:paraId="7118160C">
            <w:pPr>
              <w:spacing w:line="320" w:lineRule="exact"/>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X</w:t>
            </w:r>
            <w:r>
              <w:rPr>
                <w:rFonts w:ascii="Times New Roman"/>
                <w:sz w:val="21"/>
                <w:szCs w:val="21"/>
              </w:rPr>
              <w:t>、烟气黑度</w:t>
            </w:r>
          </w:p>
        </w:tc>
        <w:tc>
          <w:tcPr>
            <w:tcW w:w="1817" w:type="pct"/>
            <w:gridSpan w:val="2"/>
            <w:vAlign w:val="center"/>
          </w:tcPr>
          <w:p w14:paraId="5E03E556">
            <w:pPr>
              <w:spacing w:line="320" w:lineRule="exact"/>
              <w:jc w:val="center"/>
              <w:rPr>
                <w:rFonts w:ascii="Times New Roman"/>
                <w:sz w:val="21"/>
                <w:szCs w:val="21"/>
              </w:rPr>
            </w:pPr>
            <w:r>
              <w:rPr>
                <w:rFonts w:ascii="Times New Roman"/>
                <w:sz w:val="21"/>
                <w:szCs w:val="21"/>
              </w:rPr>
              <w:t>低氮燃烧器+2</w:t>
            </w:r>
            <w:r>
              <w:rPr>
                <w:rFonts w:hint="eastAsia" w:ascii="Times New Roman"/>
                <w:sz w:val="21"/>
                <w:szCs w:val="21"/>
              </w:rPr>
              <w:t>2</w:t>
            </w:r>
            <w:r>
              <w:rPr>
                <w:rFonts w:ascii="Times New Roman"/>
                <w:sz w:val="21"/>
                <w:szCs w:val="21"/>
              </w:rPr>
              <w:t>米高排气筒DA00</w:t>
            </w:r>
            <w:r>
              <w:rPr>
                <w:rFonts w:hint="eastAsia" w:ascii="Times New Roman"/>
                <w:sz w:val="21"/>
                <w:szCs w:val="21"/>
              </w:rPr>
              <w:t>8</w:t>
            </w:r>
          </w:p>
        </w:tc>
        <w:tc>
          <w:tcPr>
            <w:tcW w:w="353" w:type="pct"/>
            <w:vAlign w:val="center"/>
          </w:tcPr>
          <w:p w14:paraId="3AF9BF36">
            <w:pPr>
              <w:spacing w:line="320" w:lineRule="exact"/>
              <w:jc w:val="center"/>
              <w:rPr>
                <w:rFonts w:ascii="Times New Roman"/>
                <w:sz w:val="21"/>
                <w:szCs w:val="21"/>
              </w:rPr>
            </w:pPr>
            <w:r>
              <w:rPr>
                <w:rFonts w:ascii="Times New Roman"/>
                <w:sz w:val="21"/>
                <w:szCs w:val="21"/>
              </w:rPr>
              <w:t>间断</w:t>
            </w:r>
          </w:p>
        </w:tc>
      </w:tr>
      <w:tr w14:paraId="2FEA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78" w:type="pct"/>
            <w:vMerge w:val="continue"/>
            <w:vAlign w:val="center"/>
          </w:tcPr>
          <w:p w14:paraId="42D5B9D9">
            <w:pPr>
              <w:spacing w:line="320" w:lineRule="exact"/>
              <w:jc w:val="center"/>
              <w:rPr>
                <w:rFonts w:ascii="Times New Roman"/>
                <w:sz w:val="21"/>
                <w:szCs w:val="21"/>
              </w:rPr>
            </w:pPr>
          </w:p>
        </w:tc>
        <w:tc>
          <w:tcPr>
            <w:tcW w:w="386" w:type="pct"/>
            <w:shd w:val="clear" w:color="auto" w:fill="auto"/>
            <w:vAlign w:val="center"/>
          </w:tcPr>
          <w:p w14:paraId="0000F46B">
            <w:pPr>
              <w:spacing w:line="320" w:lineRule="exact"/>
              <w:jc w:val="center"/>
              <w:rPr>
                <w:rFonts w:ascii="Times New Roman"/>
                <w:sz w:val="21"/>
                <w:szCs w:val="21"/>
              </w:rPr>
            </w:pPr>
            <w:r>
              <w:rPr>
                <w:rFonts w:ascii="Times New Roman"/>
                <w:sz w:val="21"/>
                <w:szCs w:val="21"/>
              </w:rPr>
              <w:t>G8</w:t>
            </w:r>
          </w:p>
        </w:tc>
        <w:tc>
          <w:tcPr>
            <w:tcW w:w="314" w:type="pct"/>
            <w:vMerge w:val="continue"/>
            <w:vAlign w:val="center"/>
          </w:tcPr>
          <w:p w14:paraId="4A1343FF">
            <w:pPr>
              <w:spacing w:line="320" w:lineRule="exact"/>
              <w:jc w:val="center"/>
              <w:rPr>
                <w:rFonts w:ascii="Times New Roman"/>
                <w:sz w:val="21"/>
                <w:szCs w:val="21"/>
              </w:rPr>
            </w:pPr>
          </w:p>
        </w:tc>
        <w:tc>
          <w:tcPr>
            <w:tcW w:w="708" w:type="pct"/>
            <w:vAlign w:val="center"/>
          </w:tcPr>
          <w:p w14:paraId="54400C5E">
            <w:pPr>
              <w:spacing w:line="320" w:lineRule="exact"/>
              <w:jc w:val="center"/>
              <w:rPr>
                <w:rFonts w:ascii="Times New Roman"/>
                <w:sz w:val="21"/>
                <w:szCs w:val="21"/>
              </w:rPr>
            </w:pPr>
            <w:r>
              <w:rPr>
                <w:rFonts w:ascii="Times New Roman"/>
                <w:sz w:val="21"/>
                <w:szCs w:val="21"/>
              </w:rPr>
              <w:t>电泳工序</w:t>
            </w:r>
          </w:p>
        </w:tc>
        <w:tc>
          <w:tcPr>
            <w:tcW w:w="1241" w:type="pct"/>
            <w:vAlign w:val="center"/>
          </w:tcPr>
          <w:p w14:paraId="36920BAD">
            <w:pPr>
              <w:spacing w:line="320" w:lineRule="exact"/>
              <w:jc w:val="center"/>
              <w:rPr>
                <w:rFonts w:ascii="Times New Roman"/>
                <w:sz w:val="21"/>
                <w:szCs w:val="21"/>
              </w:rPr>
            </w:pPr>
            <w:r>
              <w:rPr>
                <w:rFonts w:ascii="Times New Roman"/>
                <w:sz w:val="21"/>
                <w:szCs w:val="21"/>
              </w:rPr>
              <w:t>非甲烷总烃</w:t>
            </w:r>
          </w:p>
        </w:tc>
        <w:tc>
          <w:tcPr>
            <w:tcW w:w="1817" w:type="pct"/>
            <w:gridSpan w:val="2"/>
            <w:vMerge w:val="restart"/>
            <w:vAlign w:val="center"/>
          </w:tcPr>
          <w:p w14:paraId="5019FF32">
            <w:pPr>
              <w:spacing w:line="320" w:lineRule="exact"/>
              <w:jc w:val="center"/>
              <w:rPr>
                <w:rFonts w:ascii="Times New Roman"/>
                <w:sz w:val="21"/>
                <w:szCs w:val="21"/>
              </w:rPr>
            </w:pPr>
            <w:r>
              <w:rPr>
                <w:rFonts w:ascii="Times New Roman"/>
                <w:kern w:val="0"/>
                <w:sz w:val="21"/>
                <w:szCs w:val="21"/>
              </w:rPr>
              <w:t>喷漆房为干式，电泳、喷漆、流平废气与烘干固化、强冷废气负压收集一并引入“4级干式过滤器+沸石轮转吸附+RTO焚烧装置”净化工艺处理后，由1根2</w:t>
            </w:r>
            <w:r>
              <w:rPr>
                <w:rFonts w:hint="eastAsia" w:ascii="Times New Roman"/>
                <w:kern w:val="0"/>
                <w:sz w:val="21"/>
                <w:szCs w:val="21"/>
              </w:rPr>
              <w:t>2</w:t>
            </w:r>
            <w:r>
              <w:rPr>
                <w:rFonts w:ascii="Times New Roman"/>
                <w:kern w:val="0"/>
                <w:sz w:val="21"/>
                <w:szCs w:val="21"/>
              </w:rPr>
              <w:t>米高排气筒DA0</w:t>
            </w:r>
            <w:r>
              <w:rPr>
                <w:rFonts w:hint="eastAsia" w:ascii="Times New Roman"/>
                <w:kern w:val="0"/>
                <w:sz w:val="21"/>
                <w:szCs w:val="21"/>
              </w:rPr>
              <w:t>11</w:t>
            </w:r>
            <w:r>
              <w:rPr>
                <w:rFonts w:ascii="Times New Roman"/>
                <w:kern w:val="0"/>
                <w:sz w:val="21"/>
                <w:szCs w:val="21"/>
              </w:rPr>
              <w:t>排放</w:t>
            </w:r>
          </w:p>
        </w:tc>
        <w:tc>
          <w:tcPr>
            <w:tcW w:w="353" w:type="pct"/>
            <w:vAlign w:val="center"/>
          </w:tcPr>
          <w:p w14:paraId="37B8130F">
            <w:pPr>
              <w:spacing w:line="320" w:lineRule="exact"/>
              <w:jc w:val="center"/>
              <w:rPr>
                <w:rFonts w:ascii="Times New Roman"/>
                <w:sz w:val="21"/>
                <w:szCs w:val="21"/>
              </w:rPr>
            </w:pPr>
            <w:r>
              <w:rPr>
                <w:rFonts w:ascii="Times New Roman"/>
                <w:sz w:val="21"/>
                <w:szCs w:val="21"/>
              </w:rPr>
              <w:t>间断</w:t>
            </w:r>
          </w:p>
        </w:tc>
      </w:tr>
      <w:tr w14:paraId="7A84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7C4F1353">
            <w:pPr>
              <w:spacing w:line="320" w:lineRule="exact"/>
              <w:jc w:val="center"/>
              <w:rPr>
                <w:rFonts w:ascii="Times New Roman"/>
                <w:sz w:val="21"/>
                <w:szCs w:val="21"/>
              </w:rPr>
            </w:pPr>
          </w:p>
        </w:tc>
        <w:tc>
          <w:tcPr>
            <w:tcW w:w="386" w:type="pct"/>
            <w:vAlign w:val="center"/>
          </w:tcPr>
          <w:p w14:paraId="18BF6988">
            <w:pPr>
              <w:spacing w:line="320" w:lineRule="exact"/>
              <w:jc w:val="center"/>
              <w:rPr>
                <w:rFonts w:ascii="Times New Roman"/>
                <w:sz w:val="21"/>
                <w:szCs w:val="21"/>
              </w:rPr>
            </w:pPr>
            <w:r>
              <w:rPr>
                <w:rFonts w:ascii="Times New Roman"/>
                <w:sz w:val="21"/>
                <w:szCs w:val="21"/>
              </w:rPr>
              <w:t>G9</w:t>
            </w:r>
          </w:p>
        </w:tc>
        <w:tc>
          <w:tcPr>
            <w:tcW w:w="314" w:type="pct"/>
            <w:vMerge w:val="continue"/>
            <w:vAlign w:val="center"/>
          </w:tcPr>
          <w:p w14:paraId="005CBC5E">
            <w:pPr>
              <w:spacing w:line="320" w:lineRule="exact"/>
              <w:jc w:val="center"/>
              <w:rPr>
                <w:rFonts w:ascii="Times New Roman"/>
                <w:sz w:val="21"/>
                <w:szCs w:val="21"/>
              </w:rPr>
            </w:pPr>
          </w:p>
        </w:tc>
        <w:tc>
          <w:tcPr>
            <w:tcW w:w="708" w:type="pct"/>
            <w:vAlign w:val="center"/>
          </w:tcPr>
          <w:p w14:paraId="1A0F51E5">
            <w:pPr>
              <w:spacing w:line="320" w:lineRule="exact"/>
              <w:jc w:val="center"/>
              <w:rPr>
                <w:rFonts w:ascii="Times New Roman"/>
                <w:sz w:val="21"/>
                <w:szCs w:val="21"/>
              </w:rPr>
            </w:pPr>
            <w:r>
              <w:rPr>
                <w:rFonts w:ascii="Times New Roman"/>
                <w:sz w:val="21"/>
                <w:szCs w:val="21"/>
              </w:rPr>
              <w:t>电泳烘干、强冷工序</w:t>
            </w:r>
          </w:p>
        </w:tc>
        <w:tc>
          <w:tcPr>
            <w:tcW w:w="1241" w:type="pct"/>
            <w:vAlign w:val="center"/>
          </w:tcPr>
          <w:p w14:paraId="762E3DB8">
            <w:pPr>
              <w:spacing w:line="320" w:lineRule="exact"/>
              <w:jc w:val="center"/>
              <w:rPr>
                <w:rFonts w:ascii="Times New Roman"/>
                <w:sz w:val="21"/>
                <w:szCs w:val="21"/>
              </w:rPr>
            </w:pPr>
            <w:r>
              <w:rPr>
                <w:rFonts w:ascii="Times New Roman"/>
                <w:sz w:val="21"/>
                <w:szCs w:val="21"/>
              </w:rPr>
              <w:t>非甲烷总烃、颗粒物、SO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X</w:t>
            </w:r>
            <w:r>
              <w:rPr>
                <w:rFonts w:ascii="Times New Roman"/>
                <w:sz w:val="21"/>
                <w:szCs w:val="21"/>
              </w:rPr>
              <w:t>、烟气黑度</w:t>
            </w:r>
          </w:p>
        </w:tc>
        <w:tc>
          <w:tcPr>
            <w:tcW w:w="1817" w:type="pct"/>
            <w:gridSpan w:val="2"/>
            <w:vMerge w:val="continue"/>
            <w:vAlign w:val="center"/>
          </w:tcPr>
          <w:p w14:paraId="14E171FF">
            <w:pPr>
              <w:spacing w:line="320" w:lineRule="exact"/>
              <w:jc w:val="center"/>
              <w:rPr>
                <w:rFonts w:ascii="Times New Roman"/>
                <w:kern w:val="0"/>
                <w:sz w:val="21"/>
                <w:szCs w:val="21"/>
              </w:rPr>
            </w:pPr>
          </w:p>
        </w:tc>
        <w:tc>
          <w:tcPr>
            <w:tcW w:w="353" w:type="pct"/>
            <w:vAlign w:val="center"/>
          </w:tcPr>
          <w:p w14:paraId="631463CA">
            <w:pPr>
              <w:spacing w:line="320" w:lineRule="exact"/>
              <w:jc w:val="center"/>
              <w:rPr>
                <w:rFonts w:ascii="Times New Roman"/>
                <w:sz w:val="21"/>
                <w:szCs w:val="21"/>
              </w:rPr>
            </w:pPr>
            <w:r>
              <w:rPr>
                <w:rFonts w:ascii="Times New Roman"/>
                <w:sz w:val="21"/>
                <w:szCs w:val="21"/>
              </w:rPr>
              <w:t>间断</w:t>
            </w:r>
          </w:p>
        </w:tc>
      </w:tr>
      <w:tr w14:paraId="4CBA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5EB842F">
            <w:pPr>
              <w:spacing w:line="320" w:lineRule="exact"/>
              <w:jc w:val="center"/>
              <w:rPr>
                <w:rFonts w:ascii="Times New Roman"/>
                <w:sz w:val="21"/>
                <w:szCs w:val="21"/>
              </w:rPr>
            </w:pPr>
          </w:p>
        </w:tc>
        <w:tc>
          <w:tcPr>
            <w:tcW w:w="386" w:type="pct"/>
            <w:vAlign w:val="center"/>
          </w:tcPr>
          <w:p w14:paraId="5DDDD778">
            <w:pPr>
              <w:spacing w:line="320" w:lineRule="exact"/>
              <w:jc w:val="center"/>
              <w:rPr>
                <w:rFonts w:ascii="Times New Roman"/>
                <w:sz w:val="21"/>
                <w:szCs w:val="21"/>
              </w:rPr>
            </w:pPr>
            <w:r>
              <w:rPr>
                <w:rFonts w:ascii="Times New Roman"/>
                <w:sz w:val="21"/>
                <w:szCs w:val="21"/>
              </w:rPr>
              <w:t>G10</w:t>
            </w:r>
          </w:p>
        </w:tc>
        <w:tc>
          <w:tcPr>
            <w:tcW w:w="314" w:type="pct"/>
            <w:vMerge w:val="restart"/>
            <w:vAlign w:val="center"/>
          </w:tcPr>
          <w:p w14:paraId="4DEEF50D">
            <w:pPr>
              <w:spacing w:line="320" w:lineRule="exact"/>
              <w:jc w:val="center"/>
              <w:rPr>
                <w:rFonts w:ascii="Times New Roman"/>
                <w:sz w:val="21"/>
                <w:szCs w:val="21"/>
              </w:rPr>
            </w:pPr>
            <w:r>
              <w:rPr>
                <w:rFonts w:ascii="Times New Roman"/>
                <w:sz w:val="21"/>
                <w:szCs w:val="21"/>
              </w:rPr>
              <w:t>喷涂生产线</w:t>
            </w:r>
          </w:p>
        </w:tc>
        <w:tc>
          <w:tcPr>
            <w:tcW w:w="708" w:type="pct"/>
            <w:shd w:val="clear" w:color="auto" w:fill="auto"/>
            <w:vAlign w:val="center"/>
          </w:tcPr>
          <w:p w14:paraId="247F42AF">
            <w:pPr>
              <w:spacing w:line="320" w:lineRule="exact"/>
              <w:jc w:val="center"/>
              <w:rPr>
                <w:rFonts w:ascii="Times New Roman"/>
                <w:sz w:val="21"/>
                <w:szCs w:val="21"/>
              </w:rPr>
            </w:pPr>
            <w:r>
              <w:rPr>
                <w:rFonts w:ascii="Times New Roman"/>
                <w:sz w:val="21"/>
                <w:szCs w:val="21"/>
              </w:rPr>
              <w:t>调漆、喷漆工序</w:t>
            </w:r>
          </w:p>
        </w:tc>
        <w:tc>
          <w:tcPr>
            <w:tcW w:w="1241" w:type="pct"/>
            <w:shd w:val="clear" w:color="auto" w:fill="auto"/>
            <w:vAlign w:val="center"/>
          </w:tcPr>
          <w:p w14:paraId="0C465F6E">
            <w:pPr>
              <w:spacing w:line="320" w:lineRule="exact"/>
              <w:jc w:val="center"/>
              <w:rPr>
                <w:rFonts w:ascii="Times New Roman"/>
                <w:sz w:val="21"/>
                <w:szCs w:val="21"/>
              </w:rPr>
            </w:pPr>
            <w:r>
              <w:rPr>
                <w:rFonts w:ascii="Times New Roman"/>
                <w:sz w:val="21"/>
                <w:szCs w:val="21"/>
              </w:rPr>
              <w:t>颗粒物、非甲烷总烃、甲苯与二甲苯合计</w:t>
            </w:r>
          </w:p>
        </w:tc>
        <w:tc>
          <w:tcPr>
            <w:tcW w:w="1817" w:type="pct"/>
            <w:gridSpan w:val="2"/>
            <w:vMerge w:val="continue"/>
            <w:vAlign w:val="center"/>
          </w:tcPr>
          <w:p w14:paraId="50FD9E37">
            <w:pPr>
              <w:spacing w:line="320" w:lineRule="exact"/>
              <w:jc w:val="center"/>
              <w:rPr>
                <w:rFonts w:ascii="Times New Roman"/>
                <w:sz w:val="21"/>
                <w:szCs w:val="21"/>
              </w:rPr>
            </w:pPr>
          </w:p>
        </w:tc>
        <w:tc>
          <w:tcPr>
            <w:tcW w:w="353" w:type="pct"/>
            <w:vAlign w:val="center"/>
          </w:tcPr>
          <w:p w14:paraId="34AC7699">
            <w:pPr>
              <w:spacing w:line="320" w:lineRule="exact"/>
              <w:jc w:val="center"/>
              <w:rPr>
                <w:rFonts w:ascii="Times New Roman"/>
                <w:sz w:val="21"/>
                <w:szCs w:val="21"/>
              </w:rPr>
            </w:pPr>
            <w:r>
              <w:rPr>
                <w:rFonts w:ascii="Times New Roman"/>
                <w:sz w:val="21"/>
                <w:szCs w:val="21"/>
              </w:rPr>
              <w:t>间断</w:t>
            </w:r>
          </w:p>
        </w:tc>
      </w:tr>
      <w:tr w14:paraId="55C7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5437934C">
            <w:pPr>
              <w:spacing w:line="320" w:lineRule="exact"/>
              <w:jc w:val="center"/>
              <w:rPr>
                <w:rFonts w:ascii="Times New Roman"/>
                <w:sz w:val="21"/>
                <w:szCs w:val="21"/>
              </w:rPr>
            </w:pPr>
          </w:p>
        </w:tc>
        <w:tc>
          <w:tcPr>
            <w:tcW w:w="386" w:type="pct"/>
            <w:vAlign w:val="center"/>
          </w:tcPr>
          <w:p w14:paraId="4F476F35">
            <w:pPr>
              <w:spacing w:line="320" w:lineRule="exact"/>
              <w:jc w:val="center"/>
              <w:rPr>
                <w:rFonts w:ascii="Times New Roman"/>
                <w:sz w:val="21"/>
                <w:szCs w:val="21"/>
              </w:rPr>
            </w:pPr>
            <w:r>
              <w:rPr>
                <w:rFonts w:ascii="Times New Roman"/>
                <w:sz w:val="21"/>
                <w:szCs w:val="21"/>
              </w:rPr>
              <w:t>G11</w:t>
            </w:r>
          </w:p>
        </w:tc>
        <w:tc>
          <w:tcPr>
            <w:tcW w:w="314" w:type="pct"/>
            <w:vMerge w:val="continue"/>
            <w:vAlign w:val="center"/>
          </w:tcPr>
          <w:p w14:paraId="1DCC42C2">
            <w:pPr>
              <w:spacing w:line="320" w:lineRule="exact"/>
              <w:jc w:val="center"/>
              <w:rPr>
                <w:rFonts w:ascii="Times New Roman"/>
                <w:sz w:val="21"/>
                <w:szCs w:val="21"/>
              </w:rPr>
            </w:pPr>
          </w:p>
        </w:tc>
        <w:tc>
          <w:tcPr>
            <w:tcW w:w="708" w:type="pct"/>
            <w:shd w:val="clear" w:color="auto" w:fill="auto"/>
            <w:vAlign w:val="center"/>
          </w:tcPr>
          <w:p w14:paraId="528D1ABA">
            <w:pPr>
              <w:spacing w:line="320" w:lineRule="exact"/>
              <w:jc w:val="center"/>
              <w:rPr>
                <w:rFonts w:ascii="Times New Roman"/>
                <w:sz w:val="21"/>
                <w:szCs w:val="21"/>
              </w:rPr>
            </w:pPr>
            <w:r>
              <w:rPr>
                <w:rFonts w:ascii="Times New Roman"/>
                <w:sz w:val="21"/>
                <w:szCs w:val="21"/>
              </w:rPr>
              <w:t>流平工序</w:t>
            </w:r>
          </w:p>
        </w:tc>
        <w:tc>
          <w:tcPr>
            <w:tcW w:w="1241" w:type="pct"/>
            <w:vMerge w:val="restart"/>
            <w:shd w:val="clear" w:color="auto" w:fill="auto"/>
            <w:vAlign w:val="center"/>
          </w:tcPr>
          <w:p w14:paraId="721A4AF2">
            <w:pPr>
              <w:spacing w:line="320" w:lineRule="exact"/>
              <w:jc w:val="center"/>
              <w:rPr>
                <w:rFonts w:ascii="Times New Roman"/>
                <w:sz w:val="21"/>
                <w:szCs w:val="21"/>
              </w:rPr>
            </w:pPr>
            <w:r>
              <w:rPr>
                <w:rFonts w:ascii="Times New Roman"/>
                <w:sz w:val="21"/>
                <w:szCs w:val="21"/>
              </w:rPr>
              <w:t>非甲烷总烃、甲苯与二甲苯合计</w:t>
            </w:r>
          </w:p>
        </w:tc>
        <w:tc>
          <w:tcPr>
            <w:tcW w:w="1817" w:type="pct"/>
            <w:gridSpan w:val="2"/>
            <w:vMerge w:val="continue"/>
            <w:shd w:val="clear" w:color="auto" w:fill="auto"/>
            <w:vAlign w:val="center"/>
          </w:tcPr>
          <w:p w14:paraId="6EB7B552">
            <w:pPr>
              <w:spacing w:line="320" w:lineRule="exact"/>
              <w:jc w:val="center"/>
              <w:rPr>
                <w:rFonts w:ascii="Times New Roman"/>
                <w:kern w:val="0"/>
                <w:sz w:val="21"/>
                <w:szCs w:val="21"/>
              </w:rPr>
            </w:pPr>
          </w:p>
        </w:tc>
        <w:tc>
          <w:tcPr>
            <w:tcW w:w="353" w:type="pct"/>
            <w:vAlign w:val="center"/>
          </w:tcPr>
          <w:p w14:paraId="5711E29D">
            <w:pPr>
              <w:spacing w:line="320" w:lineRule="exact"/>
              <w:jc w:val="center"/>
              <w:rPr>
                <w:rFonts w:ascii="Times New Roman"/>
                <w:sz w:val="21"/>
                <w:szCs w:val="21"/>
              </w:rPr>
            </w:pPr>
            <w:r>
              <w:rPr>
                <w:rFonts w:ascii="Times New Roman"/>
                <w:sz w:val="21"/>
                <w:szCs w:val="21"/>
              </w:rPr>
              <w:t>间断</w:t>
            </w:r>
          </w:p>
        </w:tc>
      </w:tr>
      <w:tr w14:paraId="2192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7E1D7A19">
            <w:pPr>
              <w:spacing w:line="320" w:lineRule="exact"/>
              <w:jc w:val="center"/>
              <w:rPr>
                <w:rFonts w:ascii="Times New Roman"/>
                <w:sz w:val="21"/>
                <w:szCs w:val="21"/>
              </w:rPr>
            </w:pPr>
          </w:p>
        </w:tc>
        <w:tc>
          <w:tcPr>
            <w:tcW w:w="386" w:type="pct"/>
            <w:shd w:val="clear" w:color="auto" w:fill="auto"/>
            <w:vAlign w:val="center"/>
          </w:tcPr>
          <w:p w14:paraId="5D64741B">
            <w:pPr>
              <w:spacing w:line="320" w:lineRule="exact"/>
              <w:jc w:val="center"/>
              <w:rPr>
                <w:rFonts w:ascii="Times New Roman"/>
                <w:sz w:val="21"/>
                <w:szCs w:val="21"/>
              </w:rPr>
            </w:pPr>
            <w:r>
              <w:rPr>
                <w:rFonts w:ascii="Times New Roman"/>
                <w:sz w:val="21"/>
                <w:szCs w:val="21"/>
              </w:rPr>
              <w:t>G13</w:t>
            </w:r>
          </w:p>
        </w:tc>
        <w:tc>
          <w:tcPr>
            <w:tcW w:w="314" w:type="pct"/>
            <w:vMerge w:val="continue"/>
            <w:vAlign w:val="center"/>
          </w:tcPr>
          <w:p w14:paraId="41548A88">
            <w:pPr>
              <w:spacing w:line="320" w:lineRule="exact"/>
              <w:jc w:val="center"/>
              <w:rPr>
                <w:rFonts w:ascii="Times New Roman"/>
                <w:sz w:val="21"/>
                <w:szCs w:val="21"/>
              </w:rPr>
            </w:pPr>
          </w:p>
        </w:tc>
        <w:tc>
          <w:tcPr>
            <w:tcW w:w="708" w:type="pct"/>
            <w:shd w:val="clear" w:color="auto" w:fill="auto"/>
            <w:vAlign w:val="center"/>
          </w:tcPr>
          <w:p w14:paraId="416603DF">
            <w:pPr>
              <w:spacing w:line="320" w:lineRule="exact"/>
              <w:jc w:val="center"/>
              <w:rPr>
                <w:rFonts w:ascii="Times New Roman"/>
                <w:sz w:val="21"/>
                <w:szCs w:val="21"/>
              </w:rPr>
            </w:pPr>
            <w:r>
              <w:rPr>
                <w:rFonts w:ascii="Times New Roman"/>
                <w:sz w:val="21"/>
                <w:szCs w:val="21"/>
              </w:rPr>
              <w:t>强冷工序</w:t>
            </w:r>
          </w:p>
        </w:tc>
        <w:tc>
          <w:tcPr>
            <w:tcW w:w="1241" w:type="pct"/>
            <w:vMerge w:val="continue"/>
            <w:shd w:val="clear" w:color="auto" w:fill="auto"/>
            <w:vAlign w:val="center"/>
          </w:tcPr>
          <w:p w14:paraId="32905C92">
            <w:pPr>
              <w:spacing w:line="320" w:lineRule="exact"/>
              <w:jc w:val="center"/>
              <w:rPr>
                <w:rFonts w:ascii="Times New Roman"/>
                <w:sz w:val="21"/>
                <w:szCs w:val="21"/>
              </w:rPr>
            </w:pPr>
          </w:p>
        </w:tc>
        <w:tc>
          <w:tcPr>
            <w:tcW w:w="1817" w:type="pct"/>
            <w:gridSpan w:val="2"/>
            <w:vMerge w:val="continue"/>
            <w:shd w:val="clear" w:color="auto" w:fill="auto"/>
            <w:vAlign w:val="center"/>
          </w:tcPr>
          <w:p w14:paraId="259C23B1">
            <w:pPr>
              <w:spacing w:line="320" w:lineRule="exact"/>
              <w:jc w:val="center"/>
              <w:rPr>
                <w:rFonts w:ascii="Times New Roman"/>
                <w:kern w:val="0"/>
                <w:sz w:val="21"/>
                <w:szCs w:val="21"/>
              </w:rPr>
            </w:pPr>
          </w:p>
        </w:tc>
        <w:tc>
          <w:tcPr>
            <w:tcW w:w="353" w:type="pct"/>
            <w:vAlign w:val="center"/>
          </w:tcPr>
          <w:p w14:paraId="7C10ABB3">
            <w:pPr>
              <w:spacing w:line="320" w:lineRule="exact"/>
              <w:jc w:val="center"/>
              <w:rPr>
                <w:rFonts w:ascii="Times New Roman"/>
                <w:sz w:val="21"/>
                <w:szCs w:val="21"/>
              </w:rPr>
            </w:pPr>
            <w:r>
              <w:rPr>
                <w:rFonts w:ascii="Times New Roman"/>
                <w:sz w:val="21"/>
                <w:szCs w:val="21"/>
              </w:rPr>
              <w:t>间断</w:t>
            </w:r>
          </w:p>
        </w:tc>
      </w:tr>
      <w:tr w14:paraId="60E6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178" w:type="pct"/>
            <w:vMerge w:val="continue"/>
            <w:vAlign w:val="center"/>
          </w:tcPr>
          <w:p w14:paraId="35A6F1AA">
            <w:pPr>
              <w:spacing w:line="320" w:lineRule="exact"/>
              <w:jc w:val="center"/>
              <w:rPr>
                <w:rFonts w:ascii="Times New Roman"/>
                <w:sz w:val="21"/>
                <w:szCs w:val="21"/>
              </w:rPr>
            </w:pPr>
          </w:p>
        </w:tc>
        <w:tc>
          <w:tcPr>
            <w:tcW w:w="386" w:type="pct"/>
            <w:vMerge w:val="restart"/>
            <w:shd w:val="clear" w:color="auto" w:fill="auto"/>
            <w:vAlign w:val="center"/>
          </w:tcPr>
          <w:p w14:paraId="6BF0B3A5">
            <w:pPr>
              <w:spacing w:line="320" w:lineRule="exact"/>
              <w:jc w:val="center"/>
              <w:rPr>
                <w:rFonts w:ascii="Times New Roman"/>
                <w:sz w:val="21"/>
                <w:szCs w:val="21"/>
              </w:rPr>
            </w:pPr>
            <w:r>
              <w:rPr>
                <w:rFonts w:ascii="Times New Roman"/>
                <w:sz w:val="21"/>
                <w:szCs w:val="21"/>
              </w:rPr>
              <w:t>G12</w:t>
            </w:r>
          </w:p>
        </w:tc>
        <w:tc>
          <w:tcPr>
            <w:tcW w:w="314" w:type="pct"/>
            <w:vMerge w:val="continue"/>
            <w:vAlign w:val="center"/>
          </w:tcPr>
          <w:p w14:paraId="7428F6EB">
            <w:pPr>
              <w:spacing w:line="320" w:lineRule="exact"/>
              <w:jc w:val="center"/>
              <w:rPr>
                <w:rFonts w:ascii="Times New Roman"/>
                <w:sz w:val="21"/>
                <w:szCs w:val="21"/>
              </w:rPr>
            </w:pPr>
          </w:p>
        </w:tc>
        <w:tc>
          <w:tcPr>
            <w:tcW w:w="708" w:type="pct"/>
            <w:vMerge w:val="restart"/>
            <w:shd w:val="clear" w:color="auto" w:fill="auto"/>
            <w:vAlign w:val="center"/>
          </w:tcPr>
          <w:p w14:paraId="10D2D8DB">
            <w:pPr>
              <w:spacing w:line="320" w:lineRule="exact"/>
              <w:jc w:val="center"/>
              <w:rPr>
                <w:rFonts w:ascii="Times New Roman"/>
                <w:sz w:val="21"/>
                <w:szCs w:val="21"/>
              </w:rPr>
            </w:pPr>
            <w:r>
              <w:rPr>
                <w:rFonts w:ascii="Times New Roman"/>
                <w:sz w:val="21"/>
                <w:szCs w:val="21"/>
              </w:rPr>
              <w:t>固化工序</w:t>
            </w:r>
          </w:p>
        </w:tc>
        <w:tc>
          <w:tcPr>
            <w:tcW w:w="1241" w:type="pct"/>
            <w:vMerge w:val="continue"/>
            <w:shd w:val="clear" w:color="auto" w:fill="auto"/>
            <w:vAlign w:val="center"/>
          </w:tcPr>
          <w:p w14:paraId="60E909FF">
            <w:pPr>
              <w:spacing w:line="320" w:lineRule="exact"/>
              <w:jc w:val="center"/>
              <w:rPr>
                <w:rFonts w:ascii="Times New Roman"/>
                <w:sz w:val="21"/>
                <w:szCs w:val="21"/>
              </w:rPr>
            </w:pPr>
          </w:p>
        </w:tc>
        <w:tc>
          <w:tcPr>
            <w:tcW w:w="1817" w:type="pct"/>
            <w:gridSpan w:val="2"/>
            <w:vMerge w:val="continue"/>
            <w:shd w:val="clear" w:color="auto" w:fill="auto"/>
            <w:vAlign w:val="center"/>
          </w:tcPr>
          <w:p w14:paraId="392B6CA0">
            <w:pPr>
              <w:spacing w:line="320" w:lineRule="exact"/>
              <w:jc w:val="center"/>
              <w:rPr>
                <w:rFonts w:ascii="Times New Roman"/>
                <w:kern w:val="0"/>
                <w:sz w:val="21"/>
                <w:szCs w:val="21"/>
              </w:rPr>
            </w:pPr>
          </w:p>
        </w:tc>
        <w:tc>
          <w:tcPr>
            <w:tcW w:w="353" w:type="pct"/>
            <w:vMerge w:val="restart"/>
            <w:vAlign w:val="center"/>
          </w:tcPr>
          <w:p w14:paraId="790CAA97">
            <w:pPr>
              <w:spacing w:line="320" w:lineRule="exact"/>
              <w:jc w:val="center"/>
              <w:rPr>
                <w:rFonts w:ascii="Times New Roman"/>
                <w:sz w:val="21"/>
                <w:szCs w:val="21"/>
              </w:rPr>
            </w:pPr>
            <w:r>
              <w:rPr>
                <w:rFonts w:ascii="Times New Roman"/>
                <w:sz w:val="21"/>
                <w:szCs w:val="21"/>
              </w:rPr>
              <w:t>间断</w:t>
            </w:r>
          </w:p>
        </w:tc>
      </w:tr>
      <w:tr w14:paraId="15CB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178" w:type="pct"/>
            <w:vMerge w:val="continue"/>
            <w:vAlign w:val="center"/>
          </w:tcPr>
          <w:p w14:paraId="451B734F">
            <w:pPr>
              <w:spacing w:line="320" w:lineRule="exact"/>
              <w:jc w:val="center"/>
              <w:rPr>
                <w:rFonts w:ascii="Times New Roman"/>
                <w:sz w:val="21"/>
                <w:szCs w:val="21"/>
              </w:rPr>
            </w:pPr>
          </w:p>
        </w:tc>
        <w:tc>
          <w:tcPr>
            <w:tcW w:w="386" w:type="pct"/>
            <w:vMerge w:val="continue"/>
            <w:shd w:val="clear" w:color="auto" w:fill="auto"/>
            <w:vAlign w:val="center"/>
          </w:tcPr>
          <w:p w14:paraId="4A42AA47">
            <w:pPr>
              <w:spacing w:line="320" w:lineRule="exact"/>
              <w:jc w:val="center"/>
              <w:rPr>
                <w:rFonts w:ascii="Times New Roman"/>
                <w:sz w:val="21"/>
                <w:szCs w:val="21"/>
              </w:rPr>
            </w:pPr>
          </w:p>
        </w:tc>
        <w:tc>
          <w:tcPr>
            <w:tcW w:w="314" w:type="pct"/>
            <w:vMerge w:val="continue"/>
            <w:vAlign w:val="center"/>
          </w:tcPr>
          <w:p w14:paraId="5E13676C">
            <w:pPr>
              <w:spacing w:line="320" w:lineRule="exact"/>
              <w:jc w:val="center"/>
              <w:rPr>
                <w:rFonts w:ascii="Times New Roman"/>
                <w:sz w:val="21"/>
                <w:szCs w:val="21"/>
              </w:rPr>
            </w:pPr>
          </w:p>
        </w:tc>
        <w:tc>
          <w:tcPr>
            <w:tcW w:w="708" w:type="pct"/>
            <w:vMerge w:val="continue"/>
            <w:shd w:val="clear" w:color="auto" w:fill="auto"/>
            <w:vAlign w:val="center"/>
          </w:tcPr>
          <w:p w14:paraId="12480F4E">
            <w:pPr>
              <w:spacing w:line="320" w:lineRule="exact"/>
              <w:jc w:val="center"/>
              <w:rPr>
                <w:rFonts w:ascii="Times New Roman"/>
                <w:sz w:val="21"/>
                <w:szCs w:val="21"/>
              </w:rPr>
            </w:pPr>
          </w:p>
        </w:tc>
        <w:tc>
          <w:tcPr>
            <w:tcW w:w="1241" w:type="pct"/>
            <w:shd w:val="clear" w:color="auto" w:fill="auto"/>
            <w:vAlign w:val="center"/>
          </w:tcPr>
          <w:p w14:paraId="36B6E77A">
            <w:pPr>
              <w:spacing w:line="320" w:lineRule="exact"/>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X</w:t>
            </w:r>
            <w:r>
              <w:rPr>
                <w:rFonts w:ascii="Times New Roman"/>
                <w:sz w:val="21"/>
                <w:szCs w:val="21"/>
              </w:rPr>
              <w:t>、烟气黑度</w:t>
            </w:r>
          </w:p>
        </w:tc>
        <w:tc>
          <w:tcPr>
            <w:tcW w:w="1817" w:type="pct"/>
            <w:gridSpan w:val="2"/>
            <w:vMerge w:val="continue"/>
            <w:shd w:val="clear" w:color="auto" w:fill="auto"/>
            <w:vAlign w:val="center"/>
          </w:tcPr>
          <w:p w14:paraId="558629ED">
            <w:pPr>
              <w:spacing w:line="320" w:lineRule="exact"/>
              <w:jc w:val="center"/>
              <w:rPr>
                <w:rFonts w:ascii="Times New Roman"/>
                <w:kern w:val="0"/>
                <w:sz w:val="21"/>
                <w:szCs w:val="21"/>
              </w:rPr>
            </w:pPr>
          </w:p>
        </w:tc>
        <w:tc>
          <w:tcPr>
            <w:tcW w:w="353" w:type="pct"/>
            <w:vMerge w:val="continue"/>
            <w:vAlign w:val="center"/>
          </w:tcPr>
          <w:p w14:paraId="3D875F79">
            <w:pPr>
              <w:spacing w:line="320" w:lineRule="exact"/>
              <w:jc w:val="center"/>
              <w:rPr>
                <w:rFonts w:ascii="Times New Roman"/>
                <w:sz w:val="21"/>
                <w:szCs w:val="21"/>
              </w:rPr>
            </w:pPr>
          </w:p>
        </w:tc>
      </w:tr>
      <w:tr w14:paraId="3D0E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178" w:type="pct"/>
            <w:vMerge w:val="continue"/>
            <w:vAlign w:val="center"/>
          </w:tcPr>
          <w:p w14:paraId="14B0E726">
            <w:pPr>
              <w:spacing w:line="320" w:lineRule="exact"/>
              <w:jc w:val="center"/>
              <w:rPr>
                <w:rFonts w:ascii="Times New Roman"/>
                <w:sz w:val="21"/>
                <w:szCs w:val="21"/>
              </w:rPr>
            </w:pPr>
          </w:p>
        </w:tc>
        <w:tc>
          <w:tcPr>
            <w:tcW w:w="386" w:type="pct"/>
            <w:shd w:val="clear" w:color="auto" w:fill="auto"/>
            <w:vAlign w:val="center"/>
          </w:tcPr>
          <w:p w14:paraId="403CB80D">
            <w:pPr>
              <w:spacing w:line="320" w:lineRule="exact"/>
              <w:jc w:val="center"/>
              <w:rPr>
                <w:rFonts w:ascii="Times New Roman"/>
                <w:sz w:val="21"/>
                <w:szCs w:val="21"/>
              </w:rPr>
            </w:pPr>
            <w:r>
              <w:rPr>
                <w:rFonts w:ascii="Times New Roman"/>
                <w:sz w:val="21"/>
                <w:szCs w:val="21"/>
              </w:rPr>
              <w:t>G14</w:t>
            </w:r>
          </w:p>
        </w:tc>
        <w:tc>
          <w:tcPr>
            <w:tcW w:w="314" w:type="pct"/>
            <w:vMerge w:val="continue"/>
            <w:vAlign w:val="center"/>
          </w:tcPr>
          <w:p w14:paraId="39F0F2ED">
            <w:pPr>
              <w:spacing w:line="320" w:lineRule="exact"/>
              <w:jc w:val="center"/>
              <w:rPr>
                <w:rFonts w:ascii="Times New Roman"/>
                <w:sz w:val="21"/>
                <w:szCs w:val="21"/>
              </w:rPr>
            </w:pPr>
          </w:p>
        </w:tc>
        <w:tc>
          <w:tcPr>
            <w:tcW w:w="708" w:type="pct"/>
            <w:shd w:val="clear" w:color="auto" w:fill="auto"/>
            <w:vAlign w:val="center"/>
          </w:tcPr>
          <w:p w14:paraId="4FD6B687">
            <w:pPr>
              <w:spacing w:line="320" w:lineRule="exact"/>
              <w:jc w:val="center"/>
              <w:rPr>
                <w:rFonts w:ascii="Times New Roman"/>
                <w:sz w:val="21"/>
                <w:szCs w:val="21"/>
              </w:rPr>
            </w:pPr>
            <w:r>
              <w:rPr>
                <w:rFonts w:ascii="Times New Roman"/>
                <w:sz w:val="21"/>
                <w:szCs w:val="21"/>
              </w:rPr>
              <w:t>喷塑工序</w:t>
            </w:r>
          </w:p>
        </w:tc>
        <w:tc>
          <w:tcPr>
            <w:tcW w:w="1241" w:type="pct"/>
            <w:shd w:val="clear" w:color="auto" w:fill="auto"/>
            <w:vAlign w:val="center"/>
          </w:tcPr>
          <w:p w14:paraId="61266C7C">
            <w:pPr>
              <w:spacing w:line="320" w:lineRule="exact"/>
              <w:jc w:val="center"/>
              <w:rPr>
                <w:rFonts w:ascii="Times New Roman"/>
                <w:sz w:val="21"/>
                <w:szCs w:val="21"/>
              </w:rPr>
            </w:pPr>
            <w:r>
              <w:rPr>
                <w:rFonts w:ascii="Times New Roman"/>
                <w:sz w:val="21"/>
                <w:szCs w:val="21"/>
              </w:rPr>
              <w:t>颗粒物</w:t>
            </w:r>
          </w:p>
        </w:tc>
        <w:tc>
          <w:tcPr>
            <w:tcW w:w="1817" w:type="pct"/>
            <w:gridSpan w:val="2"/>
            <w:shd w:val="clear" w:color="auto" w:fill="auto"/>
            <w:vAlign w:val="center"/>
          </w:tcPr>
          <w:p w14:paraId="3F0BB1BA">
            <w:pPr>
              <w:spacing w:line="320" w:lineRule="exact"/>
              <w:jc w:val="center"/>
              <w:rPr>
                <w:rFonts w:ascii="Times New Roman"/>
                <w:kern w:val="0"/>
                <w:sz w:val="21"/>
                <w:szCs w:val="21"/>
              </w:rPr>
            </w:pPr>
            <w:r>
              <w:rPr>
                <w:rFonts w:ascii="Times New Roman"/>
                <w:kern w:val="0"/>
                <w:sz w:val="21"/>
                <w:szCs w:val="21"/>
              </w:rPr>
              <w:t>自带滤筒除尘器+2</w:t>
            </w:r>
            <w:r>
              <w:rPr>
                <w:rFonts w:hint="eastAsia" w:ascii="Times New Roman"/>
                <w:kern w:val="0"/>
                <w:sz w:val="21"/>
                <w:szCs w:val="21"/>
              </w:rPr>
              <w:t>2</w:t>
            </w:r>
            <w:r>
              <w:rPr>
                <w:rFonts w:ascii="Times New Roman"/>
                <w:kern w:val="0"/>
                <w:sz w:val="21"/>
                <w:szCs w:val="21"/>
              </w:rPr>
              <w:t>m高排气筒DA00</w:t>
            </w:r>
            <w:r>
              <w:rPr>
                <w:rFonts w:hint="eastAsia" w:ascii="Times New Roman"/>
                <w:kern w:val="0"/>
                <w:sz w:val="21"/>
                <w:szCs w:val="21"/>
              </w:rPr>
              <w:t>9</w:t>
            </w:r>
            <w:r>
              <w:rPr>
                <w:rFonts w:ascii="Times New Roman"/>
                <w:kern w:val="0"/>
                <w:sz w:val="21"/>
                <w:szCs w:val="21"/>
              </w:rPr>
              <w:t>排放</w:t>
            </w:r>
          </w:p>
        </w:tc>
        <w:tc>
          <w:tcPr>
            <w:tcW w:w="353" w:type="pct"/>
            <w:vAlign w:val="center"/>
          </w:tcPr>
          <w:p w14:paraId="2D823F90">
            <w:pPr>
              <w:spacing w:line="320" w:lineRule="exact"/>
              <w:jc w:val="center"/>
              <w:rPr>
                <w:rFonts w:ascii="Times New Roman"/>
                <w:sz w:val="21"/>
                <w:szCs w:val="21"/>
              </w:rPr>
            </w:pPr>
            <w:r>
              <w:rPr>
                <w:rFonts w:ascii="Times New Roman"/>
                <w:sz w:val="21"/>
                <w:szCs w:val="21"/>
              </w:rPr>
              <w:t>间断</w:t>
            </w:r>
          </w:p>
        </w:tc>
      </w:tr>
      <w:tr w14:paraId="10AF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3952555B">
            <w:pPr>
              <w:spacing w:line="320" w:lineRule="exact"/>
              <w:jc w:val="center"/>
              <w:rPr>
                <w:rFonts w:ascii="Times New Roman"/>
                <w:sz w:val="21"/>
                <w:szCs w:val="21"/>
              </w:rPr>
            </w:pPr>
          </w:p>
        </w:tc>
        <w:tc>
          <w:tcPr>
            <w:tcW w:w="386" w:type="pct"/>
            <w:shd w:val="clear" w:color="auto" w:fill="auto"/>
            <w:vAlign w:val="center"/>
          </w:tcPr>
          <w:p w14:paraId="32C40D18">
            <w:pPr>
              <w:spacing w:line="320" w:lineRule="exact"/>
              <w:jc w:val="center"/>
              <w:rPr>
                <w:rFonts w:ascii="Times New Roman"/>
                <w:sz w:val="21"/>
                <w:szCs w:val="21"/>
              </w:rPr>
            </w:pPr>
            <w:r>
              <w:rPr>
                <w:rFonts w:ascii="Times New Roman"/>
                <w:sz w:val="21"/>
                <w:szCs w:val="21"/>
              </w:rPr>
              <w:t>G15</w:t>
            </w:r>
          </w:p>
        </w:tc>
        <w:tc>
          <w:tcPr>
            <w:tcW w:w="314" w:type="pct"/>
            <w:vMerge w:val="continue"/>
            <w:vAlign w:val="center"/>
          </w:tcPr>
          <w:p w14:paraId="3A5D3526">
            <w:pPr>
              <w:spacing w:line="320" w:lineRule="exact"/>
              <w:jc w:val="center"/>
              <w:rPr>
                <w:rFonts w:ascii="Times New Roman"/>
                <w:sz w:val="21"/>
                <w:szCs w:val="21"/>
              </w:rPr>
            </w:pPr>
          </w:p>
        </w:tc>
        <w:tc>
          <w:tcPr>
            <w:tcW w:w="708" w:type="pct"/>
            <w:shd w:val="clear" w:color="auto" w:fill="auto"/>
            <w:vAlign w:val="center"/>
          </w:tcPr>
          <w:p w14:paraId="08E5C95D">
            <w:pPr>
              <w:spacing w:line="320" w:lineRule="exact"/>
              <w:jc w:val="center"/>
              <w:rPr>
                <w:rFonts w:ascii="Times New Roman"/>
                <w:sz w:val="21"/>
                <w:szCs w:val="21"/>
              </w:rPr>
            </w:pPr>
            <w:r>
              <w:rPr>
                <w:rFonts w:ascii="Times New Roman"/>
                <w:sz w:val="21"/>
                <w:szCs w:val="21"/>
              </w:rPr>
              <w:t>固化工序</w:t>
            </w:r>
          </w:p>
        </w:tc>
        <w:tc>
          <w:tcPr>
            <w:tcW w:w="1241" w:type="pct"/>
            <w:vMerge w:val="restart"/>
            <w:shd w:val="clear" w:color="auto" w:fill="auto"/>
            <w:vAlign w:val="center"/>
          </w:tcPr>
          <w:p w14:paraId="46B4B75C">
            <w:pPr>
              <w:spacing w:line="320" w:lineRule="exact"/>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X</w:t>
            </w:r>
            <w:r>
              <w:rPr>
                <w:rFonts w:ascii="Times New Roman"/>
                <w:sz w:val="21"/>
                <w:szCs w:val="21"/>
              </w:rPr>
              <w:t>、烟气黑度、非甲烷总烃</w:t>
            </w:r>
          </w:p>
        </w:tc>
        <w:tc>
          <w:tcPr>
            <w:tcW w:w="1817" w:type="pct"/>
            <w:gridSpan w:val="2"/>
            <w:vMerge w:val="restart"/>
            <w:shd w:val="clear" w:color="auto" w:fill="auto"/>
            <w:vAlign w:val="center"/>
          </w:tcPr>
          <w:p w14:paraId="64083309">
            <w:pPr>
              <w:spacing w:line="320" w:lineRule="exact"/>
              <w:jc w:val="center"/>
              <w:rPr>
                <w:rFonts w:ascii="Times New Roman"/>
                <w:kern w:val="0"/>
                <w:sz w:val="21"/>
                <w:szCs w:val="21"/>
              </w:rPr>
            </w:pPr>
            <w:r>
              <w:rPr>
                <w:rFonts w:ascii="Times New Roman"/>
                <w:kern w:val="0"/>
                <w:sz w:val="21"/>
                <w:szCs w:val="21"/>
              </w:rPr>
              <w:t>负压管道+</w:t>
            </w:r>
            <w:r>
              <w:rPr>
                <w:rFonts w:hint="eastAsia" w:ascii="Times New Roman"/>
                <w:kern w:val="0"/>
                <w:sz w:val="21"/>
                <w:szCs w:val="21"/>
              </w:rPr>
              <w:t>水喷淋+</w:t>
            </w:r>
            <w:r>
              <w:rPr>
                <w:rFonts w:ascii="Times New Roman"/>
                <w:kern w:val="0"/>
                <w:sz w:val="21"/>
                <w:szCs w:val="21"/>
              </w:rPr>
              <w:t>二级活性炭吸附装置</w:t>
            </w:r>
            <w:r>
              <w:rPr>
                <w:rFonts w:ascii="Times New Roman"/>
                <w:sz w:val="21"/>
                <w:szCs w:val="21"/>
              </w:rPr>
              <w:t>+2</w:t>
            </w:r>
            <w:r>
              <w:rPr>
                <w:rFonts w:hint="eastAsia" w:ascii="Times New Roman"/>
                <w:sz w:val="21"/>
                <w:szCs w:val="21"/>
              </w:rPr>
              <w:t>2</w:t>
            </w:r>
            <w:r>
              <w:rPr>
                <w:rFonts w:ascii="Times New Roman"/>
                <w:sz w:val="21"/>
                <w:szCs w:val="21"/>
              </w:rPr>
              <w:t>米高排气筒DA0</w:t>
            </w:r>
            <w:r>
              <w:rPr>
                <w:rFonts w:hint="eastAsia" w:ascii="Times New Roman"/>
                <w:sz w:val="21"/>
                <w:szCs w:val="21"/>
              </w:rPr>
              <w:t>10</w:t>
            </w:r>
          </w:p>
        </w:tc>
        <w:tc>
          <w:tcPr>
            <w:tcW w:w="353" w:type="pct"/>
            <w:vAlign w:val="center"/>
          </w:tcPr>
          <w:p w14:paraId="73672AD7">
            <w:pPr>
              <w:spacing w:line="320" w:lineRule="exact"/>
              <w:jc w:val="center"/>
              <w:rPr>
                <w:rFonts w:ascii="Times New Roman"/>
                <w:sz w:val="21"/>
                <w:szCs w:val="21"/>
              </w:rPr>
            </w:pPr>
            <w:r>
              <w:rPr>
                <w:rFonts w:ascii="Times New Roman"/>
                <w:sz w:val="21"/>
                <w:szCs w:val="21"/>
              </w:rPr>
              <w:t>间断</w:t>
            </w:r>
          </w:p>
        </w:tc>
      </w:tr>
      <w:tr w14:paraId="2C65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0" w:hRule="atLeast"/>
          <w:jc w:val="center"/>
        </w:trPr>
        <w:tc>
          <w:tcPr>
            <w:tcW w:w="178" w:type="pct"/>
            <w:vMerge w:val="continue"/>
            <w:vAlign w:val="center"/>
          </w:tcPr>
          <w:p w14:paraId="7D0AC3D0">
            <w:pPr>
              <w:spacing w:line="320" w:lineRule="exact"/>
              <w:jc w:val="center"/>
              <w:rPr>
                <w:rFonts w:ascii="Times New Roman"/>
                <w:sz w:val="21"/>
                <w:szCs w:val="21"/>
              </w:rPr>
            </w:pPr>
          </w:p>
        </w:tc>
        <w:tc>
          <w:tcPr>
            <w:tcW w:w="386" w:type="pct"/>
            <w:shd w:val="clear" w:color="auto" w:fill="auto"/>
            <w:vAlign w:val="center"/>
          </w:tcPr>
          <w:p w14:paraId="54831B06">
            <w:pPr>
              <w:spacing w:line="320" w:lineRule="exact"/>
              <w:jc w:val="center"/>
              <w:rPr>
                <w:rFonts w:ascii="Times New Roman"/>
                <w:sz w:val="21"/>
                <w:szCs w:val="21"/>
              </w:rPr>
            </w:pPr>
            <w:r>
              <w:rPr>
                <w:rFonts w:ascii="Times New Roman"/>
                <w:sz w:val="21"/>
                <w:szCs w:val="21"/>
              </w:rPr>
              <w:t>G16</w:t>
            </w:r>
          </w:p>
        </w:tc>
        <w:tc>
          <w:tcPr>
            <w:tcW w:w="314" w:type="pct"/>
            <w:vMerge w:val="continue"/>
            <w:vAlign w:val="center"/>
          </w:tcPr>
          <w:p w14:paraId="1F928B6D">
            <w:pPr>
              <w:spacing w:line="320" w:lineRule="exact"/>
              <w:jc w:val="center"/>
              <w:rPr>
                <w:rFonts w:ascii="Times New Roman"/>
                <w:sz w:val="21"/>
                <w:szCs w:val="21"/>
              </w:rPr>
            </w:pPr>
          </w:p>
        </w:tc>
        <w:tc>
          <w:tcPr>
            <w:tcW w:w="708" w:type="pct"/>
            <w:shd w:val="clear" w:color="auto" w:fill="auto"/>
            <w:vAlign w:val="center"/>
          </w:tcPr>
          <w:p w14:paraId="618306E6">
            <w:pPr>
              <w:spacing w:line="320" w:lineRule="exact"/>
              <w:jc w:val="center"/>
              <w:rPr>
                <w:rFonts w:ascii="Times New Roman"/>
                <w:sz w:val="21"/>
                <w:szCs w:val="21"/>
              </w:rPr>
            </w:pPr>
            <w:r>
              <w:rPr>
                <w:rFonts w:ascii="Times New Roman"/>
                <w:sz w:val="21"/>
                <w:szCs w:val="21"/>
              </w:rPr>
              <w:t>强冷工序</w:t>
            </w:r>
          </w:p>
        </w:tc>
        <w:tc>
          <w:tcPr>
            <w:tcW w:w="1241" w:type="pct"/>
            <w:vMerge w:val="continue"/>
            <w:shd w:val="clear" w:color="auto" w:fill="auto"/>
            <w:vAlign w:val="center"/>
          </w:tcPr>
          <w:p w14:paraId="36DF7DF8">
            <w:pPr>
              <w:spacing w:line="320" w:lineRule="exact"/>
              <w:jc w:val="center"/>
              <w:rPr>
                <w:rFonts w:ascii="Times New Roman"/>
                <w:sz w:val="21"/>
                <w:szCs w:val="21"/>
              </w:rPr>
            </w:pPr>
          </w:p>
        </w:tc>
        <w:tc>
          <w:tcPr>
            <w:tcW w:w="1817" w:type="pct"/>
            <w:gridSpan w:val="2"/>
            <w:vMerge w:val="continue"/>
            <w:shd w:val="clear" w:color="auto" w:fill="auto"/>
            <w:vAlign w:val="center"/>
          </w:tcPr>
          <w:p w14:paraId="35446F91">
            <w:pPr>
              <w:spacing w:line="320" w:lineRule="exact"/>
              <w:jc w:val="center"/>
              <w:rPr>
                <w:rFonts w:ascii="Times New Roman"/>
                <w:kern w:val="0"/>
                <w:sz w:val="21"/>
                <w:szCs w:val="21"/>
              </w:rPr>
            </w:pPr>
          </w:p>
        </w:tc>
        <w:tc>
          <w:tcPr>
            <w:tcW w:w="353" w:type="pct"/>
            <w:vAlign w:val="center"/>
          </w:tcPr>
          <w:p w14:paraId="38C45BDC">
            <w:pPr>
              <w:spacing w:line="320" w:lineRule="exact"/>
              <w:jc w:val="center"/>
              <w:rPr>
                <w:rFonts w:ascii="Times New Roman"/>
                <w:sz w:val="21"/>
                <w:szCs w:val="21"/>
              </w:rPr>
            </w:pPr>
            <w:r>
              <w:rPr>
                <w:rFonts w:ascii="Times New Roman"/>
                <w:sz w:val="21"/>
                <w:szCs w:val="21"/>
              </w:rPr>
              <w:t>间断</w:t>
            </w:r>
          </w:p>
        </w:tc>
      </w:tr>
      <w:tr w14:paraId="5E03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3B0565F4">
            <w:pPr>
              <w:spacing w:line="320" w:lineRule="exact"/>
              <w:jc w:val="center"/>
              <w:rPr>
                <w:rFonts w:ascii="Times New Roman"/>
                <w:sz w:val="21"/>
                <w:szCs w:val="21"/>
              </w:rPr>
            </w:pPr>
          </w:p>
        </w:tc>
        <w:tc>
          <w:tcPr>
            <w:tcW w:w="386" w:type="pct"/>
            <w:vAlign w:val="center"/>
          </w:tcPr>
          <w:p w14:paraId="1A4AC971">
            <w:pPr>
              <w:spacing w:line="320" w:lineRule="exact"/>
              <w:jc w:val="center"/>
              <w:rPr>
                <w:rFonts w:ascii="Times New Roman"/>
                <w:sz w:val="21"/>
                <w:szCs w:val="21"/>
              </w:rPr>
            </w:pPr>
            <w:r>
              <w:rPr>
                <w:rFonts w:ascii="Times New Roman"/>
                <w:sz w:val="21"/>
                <w:szCs w:val="21"/>
              </w:rPr>
              <w:t>G17</w:t>
            </w:r>
          </w:p>
        </w:tc>
        <w:tc>
          <w:tcPr>
            <w:tcW w:w="314" w:type="pct"/>
            <w:vMerge w:val="restart"/>
            <w:shd w:val="clear" w:color="auto" w:fill="auto"/>
            <w:vAlign w:val="center"/>
          </w:tcPr>
          <w:p w14:paraId="079F470C">
            <w:pPr>
              <w:spacing w:line="320" w:lineRule="exact"/>
              <w:jc w:val="center"/>
              <w:rPr>
                <w:rFonts w:ascii="Times New Roman"/>
                <w:sz w:val="21"/>
                <w:szCs w:val="21"/>
              </w:rPr>
            </w:pPr>
            <w:r>
              <w:rPr>
                <w:rFonts w:hint="eastAsia" w:ascii="Times New Roman"/>
                <w:sz w:val="21"/>
                <w:szCs w:val="21"/>
              </w:rPr>
              <w:t>托辊生产线</w:t>
            </w:r>
          </w:p>
        </w:tc>
        <w:tc>
          <w:tcPr>
            <w:tcW w:w="708" w:type="pct"/>
            <w:shd w:val="clear" w:color="auto" w:fill="auto"/>
            <w:vAlign w:val="center"/>
          </w:tcPr>
          <w:p w14:paraId="63E90F27">
            <w:pPr>
              <w:spacing w:line="320" w:lineRule="exact"/>
              <w:jc w:val="center"/>
              <w:rPr>
                <w:rFonts w:ascii="Times New Roman"/>
                <w:sz w:val="21"/>
                <w:szCs w:val="21"/>
              </w:rPr>
            </w:pPr>
            <w:r>
              <w:rPr>
                <w:rFonts w:ascii="Times New Roman"/>
                <w:sz w:val="21"/>
                <w:szCs w:val="21"/>
              </w:rPr>
              <w:t>焊接</w:t>
            </w:r>
          </w:p>
        </w:tc>
        <w:tc>
          <w:tcPr>
            <w:tcW w:w="1241" w:type="pct"/>
            <w:shd w:val="clear" w:color="auto" w:fill="auto"/>
            <w:vAlign w:val="center"/>
          </w:tcPr>
          <w:p w14:paraId="46D48C22">
            <w:pPr>
              <w:spacing w:line="320" w:lineRule="exact"/>
              <w:jc w:val="center"/>
              <w:rPr>
                <w:rFonts w:ascii="Times New Roman"/>
                <w:sz w:val="21"/>
                <w:szCs w:val="21"/>
              </w:rPr>
            </w:pPr>
            <w:r>
              <w:rPr>
                <w:rFonts w:ascii="Times New Roman"/>
                <w:sz w:val="21"/>
                <w:szCs w:val="21"/>
              </w:rPr>
              <w:t>颗粒物</w:t>
            </w:r>
          </w:p>
        </w:tc>
        <w:tc>
          <w:tcPr>
            <w:tcW w:w="1817" w:type="pct"/>
            <w:gridSpan w:val="2"/>
            <w:vMerge w:val="restart"/>
            <w:vAlign w:val="center"/>
          </w:tcPr>
          <w:p w14:paraId="11BEC61B">
            <w:pPr>
              <w:spacing w:line="320" w:lineRule="exact"/>
              <w:jc w:val="center"/>
              <w:rPr>
                <w:rFonts w:ascii="Times New Roman"/>
                <w:sz w:val="21"/>
                <w:szCs w:val="21"/>
              </w:rPr>
            </w:pPr>
            <w:r>
              <w:rPr>
                <w:rFonts w:ascii="Times New Roman"/>
                <w:kern w:val="0"/>
                <w:sz w:val="21"/>
                <w:szCs w:val="21"/>
              </w:rPr>
              <w:t>布袋除尘器处理后无组织外排</w:t>
            </w:r>
          </w:p>
        </w:tc>
        <w:tc>
          <w:tcPr>
            <w:tcW w:w="353" w:type="pct"/>
            <w:vAlign w:val="center"/>
          </w:tcPr>
          <w:p w14:paraId="721DB7BB">
            <w:pPr>
              <w:spacing w:line="320" w:lineRule="exact"/>
              <w:jc w:val="center"/>
              <w:rPr>
                <w:rFonts w:ascii="Times New Roman"/>
                <w:sz w:val="21"/>
                <w:szCs w:val="21"/>
              </w:rPr>
            </w:pPr>
            <w:r>
              <w:rPr>
                <w:rFonts w:ascii="Times New Roman"/>
                <w:sz w:val="21"/>
                <w:szCs w:val="21"/>
              </w:rPr>
              <w:t>间断</w:t>
            </w:r>
          </w:p>
        </w:tc>
      </w:tr>
      <w:tr w14:paraId="1DDD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1D44930A">
            <w:pPr>
              <w:spacing w:line="320" w:lineRule="exact"/>
              <w:jc w:val="center"/>
              <w:rPr>
                <w:rFonts w:ascii="Times New Roman"/>
                <w:sz w:val="21"/>
                <w:szCs w:val="21"/>
              </w:rPr>
            </w:pPr>
          </w:p>
        </w:tc>
        <w:tc>
          <w:tcPr>
            <w:tcW w:w="386" w:type="pct"/>
            <w:vAlign w:val="center"/>
          </w:tcPr>
          <w:p w14:paraId="463012B8">
            <w:pPr>
              <w:spacing w:line="320" w:lineRule="exact"/>
              <w:jc w:val="center"/>
              <w:rPr>
                <w:rFonts w:ascii="Times New Roman"/>
                <w:sz w:val="21"/>
                <w:szCs w:val="21"/>
              </w:rPr>
            </w:pPr>
            <w:r>
              <w:rPr>
                <w:rFonts w:ascii="Times New Roman"/>
                <w:sz w:val="21"/>
                <w:szCs w:val="21"/>
              </w:rPr>
              <w:t>G18</w:t>
            </w:r>
          </w:p>
        </w:tc>
        <w:tc>
          <w:tcPr>
            <w:tcW w:w="314" w:type="pct"/>
            <w:vMerge w:val="continue"/>
            <w:vAlign w:val="center"/>
          </w:tcPr>
          <w:p w14:paraId="08E3C2AC">
            <w:pPr>
              <w:spacing w:line="320" w:lineRule="exact"/>
              <w:jc w:val="center"/>
              <w:rPr>
                <w:rFonts w:ascii="Times New Roman"/>
                <w:sz w:val="21"/>
                <w:szCs w:val="21"/>
              </w:rPr>
            </w:pPr>
          </w:p>
        </w:tc>
        <w:tc>
          <w:tcPr>
            <w:tcW w:w="708" w:type="pct"/>
            <w:shd w:val="clear" w:color="auto" w:fill="auto"/>
            <w:vAlign w:val="center"/>
          </w:tcPr>
          <w:p w14:paraId="54830154">
            <w:pPr>
              <w:spacing w:line="320" w:lineRule="exact"/>
              <w:jc w:val="center"/>
              <w:rPr>
                <w:rFonts w:ascii="Times New Roman"/>
                <w:sz w:val="21"/>
                <w:szCs w:val="21"/>
              </w:rPr>
            </w:pPr>
            <w:r>
              <w:rPr>
                <w:rFonts w:ascii="Times New Roman"/>
                <w:sz w:val="21"/>
                <w:szCs w:val="21"/>
              </w:rPr>
              <w:t>除锈</w:t>
            </w:r>
          </w:p>
        </w:tc>
        <w:tc>
          <w:tcPr>
            <w:tcW w:w="1241" w:type="pct"/>
            <w:vAlign w:val="center"/>
          </w:tcPr>
          <w:p w14:paraId="630827E5">
            <w:pPr>
              <w:spacing w:line="320" w:lineRule="exact"/>
              <w:jc w:val="center"/>
              <w:rPr>
                <w:rFonts w:ascii="Times New Roman"/>
                <w:sz w:val="21"/>
                <w:szCs w:val="21"/>
              </w:rPr>
            </w:pPr>
            <w:r>
              <w:rPr>
                <w:rFonts w:ascii="Times New Roman"/>
                <w:sz w:val="21"/>
                <w:szCs w:val="21"/>
              </w:rPr>
              <w:t>颗粒物</w:t>
            </w:r>
          </w:p>
        </w:tc>
        <w:tc>
          <w:tcPr>
            <w:tcW w:w="1817" w:type="pct"/>
            <w:gridSpan w:val="2"/>
            <w:vMerge w:val="continue"/>
            <w:vAlign w:val="center"/>
          </w:tcPr>
          <w:p w14:paraId="69C2F555">
            <w:pPr>
              <w:spacing w:line="320" w:lineRule="exact"/>
              <w:jc w:val="center"/>
              <w:rPr>
                <w:rFonts w:ascii="Times New Roman"/>
                <w:sz w:val="21"/>
                <w:szCs w:val="21"/>
              </w:rPr>
            </w:pPr>
          </w:p>
        </w:tc>
        <w:tc>
          <w:tcPr>
            <w:tcW w:w="353" w:type="pct"/>
            <w:vAlign w:val="center"/>
          </w:tcPr>
          <w:p w14:paraId="62A8ACC9">
            <w:pPr>
              <w:spacing w:line="320" w:lineRule="exact"/>
              <w:jc w:val="center"/>
              <w:rPr>
                <w:rFonts w:ascii="Times New Roman"/>
                <w:sz w:val="21"/>
                <w:szCs w:val="21"/>
              </w:rPr>
            </w:pPr>
            <w:r>
              <w:rPr>
                <w:rFonts w:ascii="Times New Roman"/>
                <w:sz w:val="21"/>
                <w:szCs w:val="21"/>
              </w:rPr>
              <w:t>间断</w:t>
            </w:r>
          </w:p>
        </w:tc>
      </w:tr>
      <w:tr w14:paraId="07F5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178" w:type="pct"/>
            <w:vMerge w:val="continue"/>
            <w:vAlign w:val="center"/>
          </w:tcPr>
          <w:p w14:paraId="0314BC86">
            <w:pPr>
              <w:spacing w:line="320" w:lineRule="exact"/>
              <w:jc w:val="center"/>
              <w:rPr>
                <w:rFonts w:ascii="Times New Roman"/>
                <w:sz w:val="21"/>
                <w:szCs w:val="21"/>
              </w:rPr>
            </w:pPr>
          </w:p>
        </w:tc>
        <w:tc>
          <w:tcPr>
            <w:tcW w:w="386" w:type="pct"/>
            <w:vAlign w:val="center"/>
          </w:tcPr>
          <w:p w14:paraId="6958672B">
            <w:pPr>
              <w:spacing w:line="320" w:lineRule="exact"/>
              <w:jc w:val="center"/>
              <w:rPr>
                <w:rFonts w:ascii="Times New Roman"/>
                <w:sz w:val="21"/>
                <w:szCs w:val="21"/>
              </w:rPr>
            </w:pPr>
            <w:r>
              <w:rPr>
                <w:rFonts w:ascii="Times New Roman"/>
                <w:sz w:val="21"/>
                <w:szCs w:val="21"/>
              </w:rPr>
              <w:t>G19</w:t>
            </w:r>
          </w:p>
        </w:tc>
        <w:tc>
          <w:tcPr>
            <w:tcW w:w="314" w:type="pct"/>
            <w:vMerge w:val="continue"/>
            <w:vAlign w:val="center"/>
          </w:tcPr>
          <w:p w14:paraId="5D8698CB">
            <w:pPr>
              <w:spacing w:line="320" w:lineRule="exact"/>
              <w:jc w:val="center"/>
              <w:rPr>
                <w:rFonts w:ascii="Times New Roman"/>
                <w:sz w:val="21"/>
                <w:szCs w:val="21"/>
              </w:rPr>
            </w:pPr>
          </w:p>
        </w:tc>
        <w:tc>
          <w:tcPr>
            <w:tcW w:w="708" w:type="pct"/>
            <w:shd w:val="clear" w:color="auto" w:fill="auto"/>
            <w:vAlign w:val="center"/>
          </w:tcPr>
          <w:p w14:paraId="46FFE937">
            <w:pPr>
              <w:spacing w:line="320" w:lineRule="exact"/>
              <w:jc w:val="center"/>
              <w:rPr>
                <w:rFonts w:ascii="Times New Roman"/>
                <w:sz w:val="21"/>
                <w:szCs w:val="21"/>
              </w:rPr>
            </w:pPr>
            <w:r>
              <w:rPr>
                <w:rFonts w:ascii="Times New Roman"/>
                <w:sz w:val="21"/>
                <w:szCs w:val="21"/>
              </w:rPr>
              <w:t>喷塑</w:t>
            </w:r>
          </w:p>
        </w:tc>
        <w:tc>
          <w:tcPr>
            <w:tcW w:w="1241" w:type="pct"/>
            <w:vAlign w:val="center"/>
          </w:tcPr>
          <w:p w14:paraId="631C80A0">
            <w:pPr>
              <w:spacing w:line="320" w:lineRule="exact"/>
              <w:jc w:val="center"/>
              <w:rPr>
                <w:rFonts w:ascii="Times New Roman"/>
                <w:sz w:val="21"/>
                <w:szCs w:val="21"/>
              </w:rPr>
            </w:pPr>
            <w:r>
              <w:rPr>
                <w:rFonts w:ascii="Times New Roman"/>
                <w:sz w:val="21"/>
                <w:szCs w:val="21"/>
              </w:rPr>
              <w:t>颗粒物</w:t>
            </w:r>
          </w:p>
        </w:tc>
        <w:tc>
          <w:tcPr>
            <w:tcW w:w="1817" w:type="pct"/>
            <w:gridSpan w:val="2"/>
            <w:vAlign w:val="center"/>
          </w:tcPr>
          <w:p w14:paraId="1F26471E">
            <w:pPr>
              <w:spacing w:line="320" w:lineRule="exact"/>
              <w:jc w:val="center"/>
              <w:rPr>
                <w:rFonts w:ascii="Times New Roman"/>
                <w:sz w:val="21"/>
                <w:szCs w:val="21"/>
              </w:rPr>
            </w:pPr>
            <w:r>
              <w:rPr>
                <w:rFonts w:ascii="Times New Roman"/>
                <w:kern w:val="0"/>
                <w:sz w:val="21"/>
                <w:szCs w:val="21"/>
              </w:rPr>
              <w:t>自带滤筒除尘器+20m高排气筒DA01</w:t>
            </w:r>
            <w:r>
              <w:rPr>
                <w:rFonts w:hint="eastAsia" w:ascii="Times New Roman"/>
                <w:kern w:val="0"/>
                <w:sz w:val="21"/>
                <w:szCs w:val="21"/>
              </w:rPr>
              <w:t>2</w:t>
            </w:r>
            <w:r>
              <w:rPr>
                <w:rFonts w:ascii="Times New Roman"/>
                <w:kern w:val="0"/>
                <w:sz w:val="21"/>
                <w:szCs w:val="21"/>
              </w:rPr>
              <w:t>排放</w:t>
            </w:r>
          </w:p>
        </w:tc>
        <w:tc>
          <w:tcPr>
            <w:tcW w:w="353" w:type="pct"/>
            <w:vAlign w:val="center"/>
          </w:tcPr>
          <w:p w14:paraId="1204C9B3">
            <w:pPr>
              <w:spacing w:line="320" w:lineRule="exact"/>
              <w:jc w:val="center"/>
              <w:rPr>
                <w:rFonts w:ascii="Times New Roman"/>
                <w:sz w:val="21"/>
                <w:szCs w:val="21"/>
              </w:rPr>
            </w:pPr>
            <w:r>
              <w:rPr>
                <w:rFonts w:ascii="Times New Roman"/>
                <w:sz w:val="21"/>
                <w:szCs w:val="21"/>
              </w:rPr>
              <w:t>间断</w:t>
            </w:r>
          </w:p>
        </w:tc>
      </w:tr>
      <w:tr w14:paraId="6CE9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178" w:type="pct"/>
            <w:vMerge w:val="continue"/>
            <w:vAlign w:val="center"/>
          </w:tcPr>
          <w:p w14:paraId="12CE6CFF">
            <w:pPr>
              <w:spacing w:line="320" w:lineRule="exact"/>
              <w:jc w:val="center"/>
              <w:rPr>
                <w:rFonts w:ascii="Times New Roman"/>
                <w:sz w:val="21"/>
                <w:szCs w:val="21"/>
              </w:rPr>
            </w:pPr>
          </w:p>
        </w:tc>
        <w:tc>
          <w:tcPr>
            <w:tcW w:w="386" w:type="pct"/>
            <w:vAlign w:val="center"/>
          </w:tcPr>
          <w:p w14:paraId="48DD9FA0">
            <w:pPr>
              <w:spacing w:line="320" w:lineRule="exact"/>
              <w:jc w:val="center"/>
              <w:rPr>
                <w:rFonts w:ascii="Times New Roman"/>
                <w:sz w:val="21"/>
                <w:szCs w:val="21"/>
              </w:rPr>
            </w:pPr>
            <w:r>
              <w:rPr>
                <w:rFonts w:ascii="Times New Roman"/>
                <w:sz w:val="21"/>
                <w:szCs w:val="21"/>
              </w:rPr>
              <w:t>G20</w:t>
            </w:r>
          </w:p>
        </w:tc>
        <w:tc>
          <w:tcPr>
            <w:tcW w:w="314" w:type="pct"/>
            <w:vMerge w:val="continue"/>
            <w:vAlign w:val="center"/>
          </w:tcPr>
          <w:p w14:paraId="3DFB2AC2">
            <w:pPr>
              <w:spacing w:line="320" w:lineRule="exact"/>
              <w:jc w:val="center"/>
              <w:rPr>
                <w:rFonts w:ascii="Times New Roman"/>
                <w:sz w:val="21"/>
                <w:szCs w:val="21"/>
              </w:rPr>
            </w:pPr>
          </w:p>
        </w:tc>
        <w:tc>
          <w:tcPr>
            <w:tcW w:w="708" w:type="pct"/>
            <w:shd w:val="clear" w:color="auto" w:fill="auto"/>
            <w:vAlign w:val="center"/>
          </w:tcPr>
          <w:p w14:paraId="3ACE8F6C">
            <w:pPr>
              <w:spacing w:line="320" w:lineRule="exact"/>
              <w:jc w:val="center"/>
              <w:rPr>
                <w:rFonts w:ascii="Times New Roman"/>
                <w:sz w:val="21"/>
                <w:szCs w:val="21"/>
              </w:rPr>
            </w:pPr>
            <w:r>
              <w:rPr>
                <w:rFonts w:ascii="Times New Roman"/>
                <w:sz w:val="21"/>
                <w:szCs w:val="21"/>
              </w:rPr>
              <w:t>喷塑烘干</w:t>
            </w:r>
          </w:p>
        </w:tc>
        <w:tc>
          <w:tcPr>
            <w:tcW w:w="1241" w:type="pct"/>
            <w:vAlign w:val="center"/>
          </w:tcPr>
          <w:p w14:paraId="5D4C55B2">
            <w:pPr>
              <w:spacing w:line="320" w:lineRule="exact"/>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w:t>
            </w:r>
            <w:r>
              <w:rPr>
                <w:rFonts w:ascii="Times New Roman"/>
                <w:sz w:val="21"/>
                <w:szCs w:val="21"/>
                <w:vertAlign w:val="subscript"/>
              </w:rPr>
              <w:t>X</w:t>
            </w:r>
            <w:r>
              <w:rPr>
                <w:rFonts w:ascii="Times New Roman"/>
                <w:sz w:val="21"/>
                <w:szCs w:val="21"/>
              </w:rPr>
              <w:t>、烟气黑度、非甲烷总烃</w:t>
            </w:r>
          </w:p>
        </w:tc>
        <w:tc>
          <w:tcPr>
            <w:tcW w:w="1817" w:type="pct"/>
            <w:gridSpan w:val="2"/>
            <w:vAlign w:val="center"/>
          </w:tcPr>
          <w:p w14:paraId="0929ECC0">
            <w:pPr>
              <w:spacing w:line="320" w:lineRule="exact"/>
              <w:jc w:val="center"/>
              <w:rPr>
                <w:rFonts w:ascii="Times New Roman"/>
                <w:sz w:val="21"/>
                <w:szCs w:val="21"/>
              </w:rPr>
            </w:pPr>
            <w:r>
              <w:rPr>
                <w:rFonts w:ascii="Times New Roman"/>
                <w:kern w:val="0"/>
                <w:sz w:val="21"/>
                <w:szCs w:val="21"/>
              </w:rPr>
              <w:t>负压管道+</w:t>
            </w:r>
            <w:r>
              <w:rPr>
                <w:rFonts w:hint="eastAsia" w:ascii="Times New Roman"/>
                <w:kern w:val="0"/>
                <w:sz w:val="21"/>
                <w:szCs w:val="21"/>
              </w:rPr>
              <w:t>水喷淋+</w:t>
            </w:r>
            <w:r>
              <w:rPr>
                <w:rFonts w:ascii="Times New Roman"/>
                <w:kern w:val="0"/>
                <w:sz w:val="21"/>
                <w:szCs w:val="21"/>
              </w:rPr>
              <w:t>二级活性炭吸附装置</w:t>
            </w:r>
            <w:r>
              <w:rPr>
                <w:rFonts w:ascii="Times New Roman"/>
                <w:sz w:val="21"/>
                <w:szCs w:val="21"/>
              </w:rPr>
              <w:t>+20米高排气筒DA01</w:t>
            </w:r>
            <w:r>
              <w:rPr>
                <w:rFonts w:hint="eastAsia" w:ascii="Times New Roman"/>
                <w:sz w:val="21"/>
                <w:szCs w:val="21"/>
              </w:rPr>
              <w:t>3</w:t>
            </w:r>
          </w:p>
        </w:tc>
        <w:tc>
          <w:tcPr>
            <w:tcW w:w="353" w:type="pct"/>
            <w:vAlign w:val="center"/>
          </w:tcPr>
          <w:p w14:paraId="13B8C22D">
            <w:pPr>
              <w:spacing w:line="320" w:lineRule="exact"/>
              <w:jc w:val="center"/>
              <w:rPr>
                <w:rFonts w:ascii="Times New Roman"/>
                <w:sz w:val="21"/>
                <w:szCs w:val="21"/>
              </w:rPr>
            </w:pPr>
            <w:r>
              <w:rPr>
                <w:rFonts w:ascii="Times New Roman"/>
                <w:sz w:val="21"/>
                <w:szCs w:val="21"/>
              </w:rPr>
              <w:t>间断</w:t>
            </w:r>
          </w:p>
        </w:tc>
      </w:tr>
      <w:tr w14:paraId="3430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178" w:type="pct"/>
            <w:vMerge w:val="continue"/>
            <w:vAlign w:val="center"/>
          </w:tcPr>
          <w:p w14:paraId="2CD04B87">
            <w:pPr>
              <w:spacing w:line="320" w:lineRule="exact"/>
              <w:jc w:val="center"/>
              <w:rPr>
                <w:rFonts w:ascii="Times New Roman"/>
                <w:sz w:val="21"/>
                <w:szCs w:val="21"/>
              </w:rPr>
            </w:pPr>
          </w:p>
        </w:tc>
        <w:tc>
          <w:tcPr>
            <w:tcW w:w="386" w:type="pct"/>
            <w:vAlign w:val="center"/>
          </w:tcPr>
          <w:p w14:paraId="2A5735C6">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438913B3">
            <w:pPr>
              <w:spacing w:line="320" w:lineRule="exact"/>
              <w:jc w:val="center"/>
              <w:rPr>
                <w:rFonts w:ascii="Times New Roman"/>
                <w:sz w:val="21"/>
                <w:szCs w:val="21"/>
              </w:rPr>
            </w:pPr>
            <w:r>
              <w:rPr>
                <w:rFonts w:ascii="Times New Roman"/>
                <w:sz w:val="21"/>
                <w:szCs w:val="21"/>
              </w:rPr>
              <w:t>食堂</w:t>
            </w:r>
          </w:p>
        </w:tc>
        <w:tc>
          <w:tcPr>
            <w:tcW w:w="1241" w:type="pct"/>
            <w:shd w:val="clear" w:color="auto" w:fill="auto"/>
            <w:vAlign w:val="center"/>
          </w:tcPr>
          <w:p w14:paraId="2D1F6161">
            <w:pPr>
              <w:spacing w:line="320" w:lineRule="exact"/>
              <w:jc w:val="center"/>
              <w:rPr>
                <w:rFonts w:ascii="Times New Roman"/>
                <w:sz w:val="21"/>
                <w:szCs w:val="21"/>
              </w:rPr>
            </w:pPr>
            <w:r>
              <w:rPr>
                <w:rFonts w:ascii="Times New Roman"/>
                <w:sz w:val="21"/>
                <w:szCs w:val="21"/>
              </w:rPr>
              <w:t>油烟</w:t>
            </w:r>
          </w:p>
        </w:tc>
        <w:tc>
          <w:tcPr>
            <w:tcW w:w="1817" w:type="pct"/>
            <w:gridSpan w:val="2"/>
            <w:shd w:val="clear" w:color="auto" w:fill="auto"/>
            <w:vAlign w:val="center"/>
          </w:tcPr>
          <w:p w14:paraId="1EEE01AD">
            <w:pPr>
              <w:spacing w:line="320" w:lineRule="exact"/>
              <w:jc w:val="center"/>
              <w:rPr>
                <w:rFonts w:ascii="Times New Roman"/>
                <w:kern w:val="0"/>
                <w:sz w:val="21"/>
                <w:szCs w:val="21"/>
              </w:rPr>
            </w:pPr>
            <w:r>
              <w:rPr>
                <w:rFonts w:ascii="Times New Roman"/>
                <w:kern w:val="0"/>
                <w:sz w:val="21"/>
                <w:szCs w:val="21"/>
              </w:rPr>
              <w:t>油烟净化器装置+专用烟道DA01</w:t>
            </w:r>
            <w:r>
              <w:rPr>
                <w:rFonts w:hint="eastAsia" w:ascii="Times New Roman"/>
                <w:kern w:val="0"/>
                <w:sz w:val="21"/>
                <w:szCs w:val="21"/>
              </w:rPr>
              <w:t>4</w:t>
            </w:r>
            <w:r>
              <w:rPr>
                <w:rFonts w:ascii="Times New Roman"/>
                <w:kern w:val="0"/>
                <w:sz w:val="21"/>
                <w:szCs w:val="21"/>
              </w:rPr>
              <w:t>楼顶排放</w:t>
            </w:r>
          </w:p>
        </w:tc>
        <w:tc>
          <w:tcPr>
            <w:tcW w:w="353" w:type="pct"/>
            <w:shd w:val="clear" w:color="auto" w:fill="auto"/>
            <w:vAlign w:val="center"/>
          </w:tcPr>
          <w:p w14:paraId="4A78D75B">
            <w:pPr>
              <w:spacing w:line="320" w:lineRule="exact"/>
              <w:jc w:val="center"/>
              <w:rPr>
                <w:rFonts w:ascii="Times New Roman"/>
                <w:sz w:val="21"/>
                <w:szCs w:val="21"/>
              </w:rPr>
            </w:pPr>
            <w:r>
              <w:rPr>
                <w:rFonts w:ascii="Times New Roman"/>
                <w:sz w:val="21"/>
                <w:szCs w:val="21"/>
              </w:rPr>
              <w:t>间断</w:t>
            </w:r>
          </w:p>
        </w:tc>
      </w:tr>
      <w:tr w14:paraId="2A75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3C5C0292">
            <w:pPr>
              <w:spacing w:line="320" w:lineRule="exact"/>
              <w:jc w:val="center"/>
              <w:rPr>
                <w:rFonts w:ascii="Times New Roman"/>
                <w:sz w:val="21"/>
                <w:szCs w:val="21"/>
              </w:rPr>
            </w:pPr>
          </w:p>
        </w:tc>
        <w:tc>
          <w:tcPr>
            <w:tcW w:w="386" w:type="pct"/>
            <w:vAlign w:val="center"/>
          </w:tcPr>
          <w:p w14:paraId="6222B7EB">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023AE426">
            <w:pPr>
              <w:spacing w:line="320" w:lineRule="exact"/>
              <w:jc w:val="center"/>
              <w:rPr>
                <w:rFonts w:ascii="Times New Roman"/>
                <w:sz w:val="21"/>
                <w:szCs w:val="21"/>
              </w:rPr>
            </w:pPr>
            <w:r>
              <w:rPr>
                <w:rFonts w:ascii="Times New Roman"/>
                <w:sz w:val="21"/>
                <w:szCs w:val="21"/>
              </w:rPr>
              <w:t>污水处理站</w:t>
            </w:r>
          </w:p>
        </w:tc>
        <w:tc>
          <w:tcPr>
            <w:tcW w:w="1241" w:type="pct"/>
            <w:shd w:val="clear" w:color="auto" w:fill="auto"/>
            <w:vAlign w:val="center"/>
          </w:tcPr>
          <w:p w14:paraId="3047CAC9">
            <w:pPr>
              <w:spacing w:line="320" w:lineRule="exact"/>
              <w:jc w:val="center"/>
              <w:rPr>
                <w:rFonts w:ascii="Times New Roman"/>
                <w:sz w:val="21"/>
                <w:szCs w:val="21"/>
              </w:rPr>
            </w:pPr>
            <w:r>
              <w:rPr>
                <w:rFonts w:hint="eastAsia" w:ascii="Times New Roman"/>
                <w:sz w:val="21"/>
                <w:szCs w:val="21"/>
              </w:rPr>
              <w:t>臭气浓度</w:t>
            </w:r>
          </w:p>
        </w:tc>
        <w:tc>
          <w:tcPr>
            <w:tcW w:w="1817" w:type="pct"/>
            <w:gridSpan w:val="2"/>
            <w:shd w:val="clear" w:color="auto" w:fill="auto"/>
            <w:vAlign w:val="center"/>
          </w:tcPr>
          <w:p w14:paraId="40AB3130">
            <w:pPr>
              <w:spacing w:line="320" w:lineRule="exact"/>
              <w:jc w:val="center"/>
              <w:rPr>
                <w:rFonts w:ascii="Times New Roman"/>
                <w:sz w:val="21"/>
                <w:szCs w:val="21"/>
              </w:rPr>
            </w:pPr>
            <w:r>
              <w:rPr>
                <w:rFonts w:ascii="Times New Roman"/>
                <w:sz w:val="21"/>
                <w:szCs w:val="21"/>
              </w:rPr>
              <w:t>污水处理站密闭，定期喷洒微生物除臭剂，产生的废气无组织排放</w:t>
            </w:r>
          </w:p>
        </w:tc>
        <w:tc>
          <w:tcPr>
            <w:tcW w:w="353" w:type="pct"/>
            <w:shd w:val="clear" w:color="auto" w:fill="auto"/>
            <w:vAlign w:val="center"/>
          </w:tcPr>
          <w:p w14:paraId="44BFD779">
            <w:pPr>
              <w:spacing w:line="320" w:lineRule="exact"/>
              <w:jc w:val="center"/>
              <w:rPr>
                <w:rFonts w:ascii="Times New Roman"/>
                <w:sz w:val="21"/>
                <w:szCs w:val="21"/>
              </w:rPr>
            </w:pPr>
            <w:r>
              <w:rPr>
                <w:rFonts w:ascii="Times New Roman"/>
                <w:sz w:val="21"/>
                <w:szCs w:val="21"/>
              </w:rPr>
              <w:t>间断</w:t>
            </w:r>
          </w:p>
        </w:tc>
      </w:tr>
      <w:tr w14:paraId="0BFA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7" w:hRule="atLeast"/>
          <w:jc w:val="center"/>
        </w:trPr>
        <w:tc>
          <w:tcPr>
            <w:tcW w:w="178" w:type="pct"/>
            <w:vMerge w:val="restart"/>
            <w:vAlign w:val="center"/>
          </w:tcPr>
          <w:p w14:paraId="29749524">
            <w:pPr>
              <w:spacing w:line="320" w:lineRule="exact"/>
              <w:jc w:val="center"/>
              <w:rPr>
                <w:rFonts w:ascii="Times New Roman"/>
                <w:sz w:val="21"/>
                <w:szCs w:val="21"/>
              </w:rPr>
            </w:pPr>
            <w:r>
              <w:rPr>
                <w:rFonts w:ascii="Times New Roman"/>
                <w:sz w:val="21"/>
                <w:szCs w:val="21"/>
              </w:rPr>
              <w:t>废水</w:t>
            </w:r>
          </w:p>
        </w:tc>
        <w:tc>
          <w:tcPr>
            <w:tcW w:w="386" w:type="pct"/>
            <w:vAlign w:val="center"/>
          </w:tcPr>
          <w:p w14:paraId="6485A5D0">
            <w:pPr>
              <w:spacing w:line="320" w:lineRule="exact"/>
              <w:jc w:val="center"/>
              <w:rPr>
                <w:rFonts w:ascii="Times New Roman"/>
                <w:sz w:val="21"/>
                <w:szCs w:val="21"/>
              </w:rPr>
            </w:pPr>
            <w:r>
              <w:rPr>
                <w:rFonts w:ascii="Times New Roman"/>
                <w:sz w:val="21"/>
                <w:szCs w:val="21"/>
              </w:rPr>
              <w:t>W1</w:t>
            </w:r>
          </w:p>
        </w:tc>
        <w:tc>
          <w:tcPr>
            <w:tcW w:w="1022" w:type="pct"/>
            <w:gridSpan w:val="2"/>
            <w:vAlign w:val="center"/>
          </w:tcPr>
          <w:p w14:paraId="1BB16E81">
            <w:pPr>
              <w:spacing w:line="320" w:lineRule="exact"/>
              <w:jc w:val="center"/>
              <w:rPr>
                <w:rFonts w:ascii="Times New Roman"/>
                <w:sz w:val="21"/>
                <w:szCs w:val="21"/>
              </w:rPr>
            </w:pPr>
            <w:r>
              <w:rPr>
                <w:rFonts w:hint="eastAsia" w:ascii="Times New Roman"/>
                <w:sz w:val="21"/>
                <w:szCs w:val="21"/>
              </w:rPr>
              <w:t>热水洗、</w:t>
            </w:r>
            <w:r>
              <w:rPr>
                <w:rFonts w:ascii="Times New Roman"/>
                <w:sz w:val="21"/>
                <w:szCs w:val="21"/>
              </w:rPr>
              <w:t>纯水洗2溢流废水</w:t>
            </w:r>
          </w:p>
        </w:tc>
        <w:tc>
          <w:tcPr>
            <w:tcW w:w="1241" w:type="pct"/>
            <w:vMerge w:val="restart"/>
            <w:vAlign w:val="center"/>
          </w:tcPr>
          <w:p w14:paraId="7CAFD94B">
            <w:pPr>
              <w:spacing w:line="320" w:lineRule="exact"/>
              <w:jc w:val="center"/>
              <w:rPr>
                <w:rFonts w:ascii="Times New Roman"/>
                <w:sz w:val="21"/>
                <w:szCs w:val="21"/>
              </w:rPr>
            </w:pPr>
            <w:r>
              <w:rPr>
                <w:rFonts w:ascii="Times New Roman"/>
                <w:sz w:val="21"/>
                <w:szCs w:val="21"/>
              </w:rPr>
              <w:t>pH、COD、SS、</w:t>
            </w:r>
            <w:r>
              <w:rPr>
                <w:rFonts w:hint="eastAsia" w:ascii="Times New Roman"/>
                <w:sz w:val="21"/>
                <w:szCs w:val="21"/>
              </w:rPr>
              <w:t>TP、</w:t>
            </w:r>
            <w:r>
              <w:rPr>
                <w:rFonts w:ascii="Times New Roman"/>
                <w:sz w:val="21"/>
                <w:szCs w:val="21"/>
              </w:rPr>
              <w:t>石油类</w:t>
            </w:r>
            <w:r>
              <w:rPr>
                <w:rFonts w:hint="eastAsia"/>
                <w:sz w:val="21"/>
                <w:szCs w:val="21"/>
              </w:rPr>
              <w:t>、阴离子表面活性</w:t>
            </w:r>
          </w:p>
        </w:tc>
        <w:tc>
          <w:tcPr>
            <w:tcW w:w="1817" w:type="pct"/>
            <w:gridSpan w:val="2"/>
            <w:vMerge w:val="restart"/>
            <w:vAlign w:val="center"/>
          </w:tcPr>
          <w:p w14:paraId="23FB4219">
            <w:pPr>
              <w:spacing w:line="320" w:lineRule="exact"/>
              <w:jc w:val="center"/>
              <w:rPr>
                <w:rFonts w:ascii="Times New Roman"/>
                <w:sz w:val="21"/>
                <w:szCs w:val="21"/>
              </w:rPr>
            </w:pPr>
            <w:r>
              <w:rPr>
                <w:rFonts w:ascii="Times New Roman"/>
                <w:kern w:val="0"/>
                <w:sz w:val="21"/>
                <w:szCs w:val="21"/>
              </w:rPr>
              <w:t>水洗、纯水洗2、电泳槽清洗废水先经预处理反应斜管沉淀槽处理后，热水洗与预脱脂、脱脂、硅烷化槽体清洗废水一同进入污水处理站“一体化气浮槽+综合反应斜管沉淀槽+综合芬顿反应槽+多介质过滤器+活性炭过滤器”系统进行处理，处理达标后由园区污水管网，入园区污水处理厂进一步处理</w:t>
            </w:r>
          </w:p>
        </w:tc>
        <w:tc>
          <w:tcPr>
            <w:tcW w:w="353" w:type="pct"/>
            <w:shd w:val="clear" w:color="auto" w:fill="auto"/>
            <w:vAlign w:val="center"/>
          </w:tcPr>
          <w:p w14:paraId="4DC2888D">
            <w:pPr>
              <w:spacing w:line="320" w:lineRule="exact"/>
              <w:jc w:val="center"/>
              <w:rPr>
                <w:rFonts w:ascii="Times New Roman"/>
                <w:sz w:val="21"/>
                <w:szCs w:val="21"/>
              </w:rPr>
            </w:pPr>
            <w:r>
              <w:rPr>
                <w:rFonts w:ascii="Times New Roman"/>
                <w:sz w:val="21"/>
                <w:szCs w:val="21"/>
              </w:rPr>
              <w:t>间断</w:t>
            </w:r>
          </w:p>
        </w:tc>
      </w:tr>
      <w:tr w14:paraId="4CC3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3" w:hRule="atLeast"/>
          <w:jc w:val="center"/>
        </w:trPr>
        <w:tc>
          <w:tcPr>
            <w:tcW w:w="178" w:type="pct"/>
            <w:vMerge w:val="continue"/>
            <w:vAlign w:val="center"/>
          </w:tcPr>
          <w:p w14:paraId="62CF4F4D">
            <w:pPr>
              <w:spacing w:line="320" w:lineRule="exact"/>
              <w:jc w:val="center"/>
              <w:rPr>
                <w:rFonts w:ascii="Times New Roman"/>
                <w:sz w:val="21"/>
                <w:szCs w:val="21"/>
              </w:rPr>
            </w:pPr>
          </w:p>
        </w:tc>
        <w:tc>
          <w:tcPr>
            <w:tcW w:w="386" w:type="pct"/>
            <w:vAlign w:val="center"/>
          </w:tcPr>
          <w:p w14:paraId="2A8F0048">
            <w:pPr>
              <w:spacing w:line="320" w:lineRule="exact"/>
              <w:jc w:val="center"/>
              <w:rPr>
                <w:rFonts w:ascii="Times New Roman"/>
                <w:sz w:val="21"/>
                <w:szCs w:val="21"/>
              </w:rPr>
            </w:pPr>
            <w:r>
              <w:rPr>
                <w:rFonts w:ascii="Times New Roman"/>
                <w:sz w:val="21"/>
                <w:szCs w:val="21"/>
              </w:rPr>
              <w:t>W2</w:t>
            </w:r>
          </w:p>
        </w:tc>
        <w:tc>
          <w:tcPr>
            <w:tcW w:w="1022" w:type="pct"/>
            <w:gridSpan w:val="2"/>
            <w:vAlign w:val="center"/>
          </w:tcPr>
          <w:p w14:paraId="050ED3C3">
            <w:pPr>
              <w:spacing w:line="320" w:lineRule="exact"/>
              <w:jc w:val="center"/>
              <w:rPr>
                <w:rFonts w:ascii="Times New Roman"/>
                <w:sz w:val="21"/>
                <w:szCs w:val="21"/>
              </w:rPr>
            </w:pPr>
            <w:r>
              <w:rPr>
                <w:rFonts w:ascii="Times New Roman"/>
                <w:sz w:val="21"/>
                <w:szCs w:val="21"/>
              </w:rPr>
              <w:t>槽体清洗废水</w:t>
            </w:r>
          </w:p>
        </w:tc>
        <w:tc>
          <w:tcPr>
            <w:tcW w:w="1241" w:type="pct"/>
            <w:vMerge w:val="continue"/>
            <w:vAlign w:val="center"/>
          </w:tcPr>
          <w:p w14:paraId="5B44C8ED">
            <w:pPr>
              <w:spacing w:line="320" w:lineRule="exact"/>
              <w:jc w:val="center"/>
              <w:rPr>
                <w:rFonts w:ascii="Times New Roman"/>
                <w:sz w:val="21"/>
                <w:szCs w:val="21"/>
              </w:rPr>
            </w:pPr>
          </w:p>
        </w:tc>
        <w:tc>
          <w:tcPr>
            <w:tcW w:w="1817" w:type="pct"/>
            <w:gridSpan w:val="2"/>
            <w:vMerge w:val="continue"/>
            <w:vAlign w:val="center"/>
          </w:tcPr>
          <w:p w14:paraId="03CCD64A">
            <w:pPr>
              <w:spacing w:line="320" w:lineRule="exact"/>
              <w:jc w:val="center"/>
              <w:rPr>
                <w:rFonts w:ascii="Times New Roman"/>
                <w:sz w:val="21"/>
                <w:szCs w:val="21"/>
              </w:rPr>
            </w:pPr>
          </w:p>
        </w:tc>
        <w:tc>
          <w:tcPr>
            <w:tcW w:w="353" w:type="pct"/>
            <w:shd w:val="clear" w:color="auto" w:fill="auto"/>
            <w:vAlign w:val="center"/>
          </w:tcPr>
          <w:p w14:paraId="3B640CE7">
            <w:pPr>
              <w:spacing w:line="320" w:lineRule="exact"/>
              <w:jc w:val="center"/>
              <w:rPr>
                <w:rFonts w:ascii="Times New Roman"/>
                <w:sz w:val="21"/>
                <w:szCs w:val="21"/>
              </w:rPr>
            </w:pPr>
            <w:r>
              <w:rPr>
                <w:rFonts w:ascii="Times New Roman"/>
                <w:sz w:val="21"/>
                <w:szCs w:val="21"/>
              </w:rPr>
              <w:t>间断</w:t>
            </w:r>
          </w:p>
        </w:tc>
      </w:tr>
      <w:tr w14:paraId="4FE2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178" w:type="pct"/>
            <w:vMerge w:val="continue"/>
            <w:vAlign w:val="center"/>
          </w:tcPr>
          <w:p w14:paraId="18715531">
            <w:pPr>
              <w:spacing w:line="320" w:lineRule="exact"/>
              <w:jc w:val="center"/>
              <w:rPr>
                <w:rFonts w:ascii="Times New Roman"/>
                <w:sz w:val="21"/>
                <w:szCs w:val="21"/>
              </w:rPr>
            </w:pPr>
          </w:p>
        </w:tc>
        <w:tc>
          <w:tcPr>
            <w:tcW w:w="386" w:type="pct"/>
            <w:vAlign w:val="center"/>
          </w:tcPr>
          <w:p w14:paraId="6E373437">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1888343B">
            <w:pPr>
              <w:spacing w:line="320" w:lineRule="exact"/>
              <w:jc w:val="center"/>
              <w:rPr>
                <w:rFonts w:ascii="Times New Roman"/>
                <w:sz w:val="21"/>
                <w:szCs w:val="21"/>
              </w:rPr>
            </w:pPr>
            <w:r>
              <w:rPr>
                <w:rFonts w:ascii="Times New Roman"/>
                <w:sz w:val="21"/>
                <w:szCs w:val="21"/>
              </w:rPr>
              <w:t>车间地面清洁废水</w:t>
            </w:r>
          </w:p>
        </w:tc>
        <w:tc>
          <w:tcPr>
            <w:tcW w:w="1241" w:type="pct"/>
            <w:vAlign w:val="center"/>
          </w:tcPr>
          <w:p w14:paraId="3CB0D194">
            <w:pPr>
              <w:spacing w:line="320" w:lineRule="exact"/>
              <w:jc w:val="center"/>
              <w:rPr>
                <w:rFonts w:ascii="Times New Roman"/>
                <w:sz w:val="21"/>
                <w:szCs w:val="21"/>
              </w:rPr>
            </w:pPr>
            <w:r>
              <w:rPr>
                <w:rFonts w:ascii="Times New Roman"/>
                <w:sz w:val="21"/>
                <w:szCs w:val="21"/>
              </w:rPr>
              <w:t>pH、COD、SS</w:t>
            </w:r>
          </w:p>
        </w:tc>
        <w:tc>
          <w:tcPr>
            <w:tcW w:w="1817" w:type="pct"/>
            <w:gridSpan w:val="2"/>
            <w:vMerge w:val="continue"/>
            <w:vAlign w:val="center"/>
          </w:tcPr>
          <w:p w14:paraId="428A7D71">
            <w:pPr>
              <w:spacing w:line="320" w:lineRule="exact"/>
              <w:jc w:val="center"/>
              <w:rPr>
                <w:rFonts w:ascii="Times New Roman"/>
                <w:sz w:val="21"/>
                <w:szCs w:val="21"/>
              </w:rPr>
            </w:pPr>
          </w:p>
        </w:tc>
        <w:tc>
          <w:tcPr>
            <w:tcW w:w="353" w:type="pct"/>
            <w:shd w:val="clear" w:color="auto" w:fill="auto"/>
            <w:vAlign w:val="center"/>
          </w:tcPr>
          <w:p w14:paraId="117034A2">
            <w:pPr>
              <w:spacing w:line="320" w:lineRule="exact"/>
              <w:jc w:val="center"/>
              <w:rPr>
                <w:rFonts w:ascii="Times New Roman"/>
                <w:sz w:val="21"/>
                <w:szCs w:val="21"/>
              </w:rPr>
            </w:pPr>
            <w:r>
              <w:rPr>
                <w:rFonts w:ascii="Times New Roman"/>
                <w:sz w:val="21"/>
                <w:szCs w:val="21"/>
              </w:rPr>
              <w:t>间断</w:t>
            </w:r>
          </w:p>
        </w:tc>
      </w:tr>
      <w:tr w14:paraId="02FF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178" w:type="pct"/>
            <w:vMerge w:val="continue"/>
            <w:vAlign w:val="center"/>
          </w:tcPr>
          <w:p w14:paraId="6BF5B11F">
            <w:pPr>
              <w:spacing w:line="320" w:lineRule="exact"/>
              <w:jc w:val="center"/>
              <w:rPr>
                <w:rFonts w:ascii="Times New Roman"/>
                <w:sz w:val="21"/>
                <w:szCs w:val="21"/>
              </w:rPr>
            </w:pPr>
          </w:p>
        </w:tc>
        <w:tc>
          <w:tcPr>
            <w:tcW w:w="386" w:type="pct"/>
            <w:vAlign w:val="center"/>
          </w:tcPr>
          <w:p w14:paraId="4CF28C74">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55029DE9">
            <w:pPr>
              <w:spacing w:line="320" w:lineRule="exact"/>
              <w:jc w:val="center"/>
              <w:rPr>
                <w:rFonts w:ascii="Times New Roman"/>
                <w:sz w:val="21"/>
                <w:szCs w:val="21"/>
              </w:rPr>
            </w:pPr>
            <w:r>
              <w:rPr>
                <w:rFonts w:hint="eastAsia"/>
                <w:sz w:val="21"/>
                <w:szCs w:val="21"/>
              </w:rPr>
              <w:t>纯</w:t>
            </w:r>
            <w:r>
              <w:rPr>
                <w:rFonts w:ascii="Times New Roman"/>
                <w:sz w:val="21"/>
                <w:szCs w:val="21"/>
              </w:rPr>
              <w:t>水制备废水</w:t>
            </w:r>
          </w:p>
        </w:tc>
        <w:tc>
          <w:tcPr>
            <w:tcW w:w="1241" w:type="pct"/>
            <w:vAlign w:val="center"/>
          </w:tcPr>
          <w:p w14:paraId="5D4DAAB0">
            <w:pPr>
              <w:spacing w:line="320" w:lineRule="exact"/>
              <w:jc w:val="center"/>
              <w:rPr>
                <w:rFonts w:ascii="Times New Roman"/>
                <w:sz w:val="21"/>
                <w:szCs w:val="21"/>
              </w:rPr>
            </w:pPr>
            <w:r>
              <w:rPr>
                <w:rFonts w:ascii="Times New Roman"/>
                <w:sz w:val="21"/>
                <w:szCs w:val="21"/>
              </w:rPr>
              <w:t>pH、COD、SS</w:t>
            </w:r>
            <w:r>
              <w:rPr>
                <w:rFonts w:hint="eastAsia" w:ascii="Times New Roman"/>
                <w:sz w:val="21"/>
                <w:szCs w:val="21"/>
              </w:rPr>
              <w:t>、全盐量</w:t>
            </w:r>
          </w:p>
        </w:tc>
        <w:tc>
          <w:tcPr>
            <w:tcW w:w="1817" w:type="pct"/>
            <w:gridSpan w:val="2"/>
            <w:vAlign w:val="center"/>
          </w:tcPr>
          <w:p w14:paraId="5AACC014">
            <w:pPr>
              <w:spacing w:line="320" w:lineRule="exact"/>
              <w:jc w:val="center"/>
              <w:rPr>
                <w:rFonts w:ascii="Times New Roman"/>
                <w:sz w:val="21"/>
                <w:szCs w:val="21"/>
              </w:rPr>
            </w:pPr>
            <w:r>
              <w:rPr>
                <w:rFonts w:hint="eastAsia" w:ascii="Times New Roman"/>
                <w:sz w:val="21"/>
                <w:szCs w:val="21"/>
              </w:rPr>
              <w:t>直接</w:t>
            </w:r>
            <w:r>
              <w:rPr>
                <w:rFonts w:ascii="Times New Roman"/>
                <w:sz w:val="21"/>
                <w:szCs w:val="21"/>
              </w:rPr>
              <w:t>由园区污水管网</w:t>
            </w:r>
            <w:r>
              <w:rPr>
                <w:rFonts w:hint="eastAsia" w:ascii="Times New Roman"/>
                <w:sz w:val="21"/>
                <w:szCs w:val="21"/>
              </w:rPr>
              <w:t>排</w:t>
            </w:r>
            <w:r>
              <w:rPr>
                <w:rFonts w:ascii="Times New Roman"/>
                <w:sz w:val="21"/>
                <w:szCs w:val="21"/>
              </w:rPr>
              <w:t>入园区污水处理厂处理</w:t>
            </w:r>
          </w:p>
        </w:tc>
        <w:tc>
          <w:tcPr>
            <w:tcW w:w="353" w:type="pct"/>
            <w:shd w:val="clear" w:color="auto" w:fill="auto"/>
            <w:vAlign w:val="center"/>
          </w:tcPr>
          <w:p w14:paraId="0D08AED2">
            <w:pPr>
              <w:spacing w:line="320" w:lineRule="exact"/>
              <w:jc w:val="center"/>
              <w:rPr>
                <w:rFonts w:ascii="Times New Roman"/>
                <w:sz w:val="21"/>
                <w:szCs w:val="21"/>
              </w:rPr>
            </w:pPr>
            <w:r>
              <w:rPr>
                <w:rFonts w:ascii="Times New Roman"/>
                <w:sz w:val="21"/>
                <w:szCs w:val="21"/>
              </w:rPr>
              <w:t>间断</w:t>
            </w:r>
          </w:p>
        </w:tc>
      </w:tr>
      <w:tr w14:paraId="45F9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8" w:type="pct"/>
            <w:vMerge w:val="continue"/>
            <w:vAlign w:val="center"/>
          </w:tcPr>
          <w:p w14:paraId="40BBDB98">
            <w:pPr>
              <w:spacing w:line="320" w:lineRule="exact"/>
              <w:jc w:val="center"/>
              <w:rPr>
                <w:rFonts w:ascii="Times New Roman"/>
                <w:sz w:val="21"/>
                <w:szCs w:val="21"/>
              </w:rPr>
            </w:pPr>
          </w:p>
        </w:tc>
        <w:tc>
          <w:tcPr>
            <w:tcW w:w="386" w:type="pct"/>
            <w:vAlign w:val="center"/>
          </w:tcPr>
          <w:p w14:paraId="7B2884F3">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3E2DE511">
            <w:pPr>
              <w:spacing w:line="320" w:lineRule="exact"/>
              <w:jc w:val="center"/>
              <w:rPr>
                <w:rFonts w:ascii="Times New Roman"/>
                <w:sz w:val="21"/>
                <w:szCs w:val="21"/>
              </w:rPr>
            </w:pPr>
            <w:r>
              <w:rPr>
                <w:rFonts w:ascii="Times New Roman"/>
                <w:sz w:val="21"/>
                <w:szCs w:val="21"/>
              </w:rPr>
              <w:t>淬火工序废水</w:t>
            </w:r>
          </w:p>
        </w:tc>
        <w:tc>
          <w:tcPr>
            <w:tcW w:w="1241" w:type="pct"/>
            <w:vAlign w:val="center"/>
          </w:tcPr>
          <w:p w14:paraId="1D44E4D5">
            <w:pPr>
              <w:spacing w:line="320" w:lineRule="exact"/>
              <w:jc w:val="center"/>
              <w:rPr>
                <w:rFonts w:ascii="Times New Roman"/>
                <w:sz w:val="21"/>
                <w:szCs w:val="21"/>
              </w:rPr>
            </w:pPr>
            <w:r>
              <w:rPr>
                <w:rFonts w:ascii="Times New Roman"/>
                <w:sz w:val="21"/>
                <w:szCs w:val="21"/>
              </w:rPr>
              <w:t>石油类</w:t>
            </w:r>
          </w:p>
        </w:tc>
        <w:tc>
          <w:tcPr>
            <w:tcW w:w="1817" w:type="pct"/>
            <w:gridSpan w:val="2"/>
            <w:vAlign w:val="center"/>
          </w:tcPr>
          <w:p w14:paraId="5FD3D226">
            <w:pPr>
              <w:spacing w:line="320" w:lineRule="exact"/>
              <w:jc w:val="center"/>
              <w:rPr>
                <w:rFonts w:ascii="Times New Roman"/>
                <w:sz w:val="21"/>
                <w:szCs w:val="21"/>
              </w:rPr>
            </w:pPr>
            <w:r>
              <w:rPr>
                <w:rFonts w:ascii="Times New Roman"/>
                <w:sz w:val="21"/>
                <w:szCs w:val="21"/>
              </w:rPr>
              <w:t>经油水分离器分离后回用</w:t>
            </w:r>
          </w:p>
        </w:tc>
        <w:tc>
          <w:tcPr>
            <w:tcW w:w="353" w:type="pct"/>
            <w:shd w:val="clear" w:color="auto" w:fill="auto"/>
            <w:vAlign w:val="center"/>
          </w:tcPr>
          <w:p w14:paraId="1288C7B6">
            <w:pPr>
              <w:spacing w:line="320" w:lineRule="exact"/>
              <w:jc w:val="center"/>
              <w:rPr>
                <w:rFonts w:ascii="Times New Roman"/>
                <w:sz w:val="21"/>
                <w:szCs w:val="21"/>
              </w:rPr>
            </w:pPr>
            <w:r>
              <w:rPr>
                <w:rFonts w:ascii="Times New Roman"/>
                <w:sz w:val="21"/>
                <w:szCs w:val="21"/>
              </w:rPr>
              <w:t>间断</w:t>
            </w:r>
          </w:p>
        </w:tc>
      </w:tr>
      <w:tr w14:paraId="617C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178" w:type="pct"/>
            <w:vMerge w:val="continue"/>
            <w:vAlign w:val="center"/>
          </w:tcPr>
          <w:p w14:paraId="6AC0732F">
            <w:pPr>
              <w:spacing w:line="320" w:lineRule="exact"/>
              <w:jc w:val="center"/>
              <w:rPr>
                <w:rFonts w:ascii="Times New Roman"/>
                <w:sz w:val="21"/>
                <w:szCs w:val="21"/>
              </w:rPr>
            </w:pPr>
          </w:p>
        </w:tc>
        <w:tc>
          <w:tcPr>
            <w:tcW w:w="386" w:type="pct"/>
            <w:vAlign w:val="center"/>
          </w:tcPr>
          <w:p w14:paraId="620AC910">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0C19EA28">
            <w:pPr>
              <w:spacing w:line="320" w:lineRule="exact"/>
              <w:jc w:val="center"/>
              <w:rPr>
                <w:rFonts w:ascii="Times New Roman"/>
                <w:sz w:val="21"/>
                <w:szCs w:val="21"/>
              </w:rPr>
            </w:pPr>
            <w:r>
              <w:rPr>
                <w:rFonts w:ascii="Times New Roman"/>
                <w:sz w:val="21"/>
                <w:szCs w:val="21"/>
              </w:rPr>
              <w:t>设备冷却水</w:t>
            </w:r>
          </w:p>
        </w:tc>
        <w:tc>
          <w:tcPr>
            <w:tcW w:w="1241" w:type="pct"/>
            <w:vAlign w:val="center"/>
          </w:tcPr>
          <w:p w14:paraId="520EF68B">
            <w:pPr>
              <w:spacing w:line="320" w:lineRule="exact"/>
              <w:jc w:val="center"/>
              <w:rPr>
                <w:rFonts w:ascii="Times New Roman"/>
                <w:sz w:val="21"/>
                <w:szCs w:val="21"/>
              </w:rPr>
            </w:pPr>
            <w:r>
              <w:rPr>
                <w:rFonts w:ascii="Times New Roman"/>
                <w:sz w:val="21"/>
                <w:szCs w:val="21"/>
              </w:rPr>
              <w:t>SS</w:t>
            </w:r>
          </w:p>
        </w:tc>
        <w:tc>
          <w:tcPr>
            <w:tcW w:w="1817" w:type="pct"/>
            <w:gridSpan w:val="2"/>
            <w:vAlign w:val="center"/>
          </w:tcPr>
          <w:p w14:paraId="139CACA5">
            <w:pPr>
              <w:spacing w:line="320" w:lineRule="exact"/>
              <w:jc w:val="center"/>
              <w:rPr>
                <w:rFonts w:ascii="Times New Roman"/>
                <w:sz w:val="21"/>
                <w:szCs w:val="21"/>
              </w:rPr>
            </w:pPr>
            <w:r>
              <w:rPr>
                <w:rFonts w:ascii="Times New Roman"/>
                <w:sz w:val="21"/>
                <w:szCs w:val="21"/>
              </w:rPr>
              <w:t>循环使用不外排</w:t>
            </w:r>
          </w:p>
        </w:tc>
        <w:tc>
          <w:tcPr>
            <w:tcW w:w="353" w:type="pct"/>
            <w:shd w:val="clear" w:color="auto" w:fill="auto"/>
            <w:vAlign w:val="center"/>
          </w:tcPr>
          <w:p w14:paraId="46034E87">
            <w:pPr>
              <w:spacing w:line="320" w:lineRule="exact"/>
              <w:jc w:val="center"/>
              <w:rPr>
                <w:rFonts w:ascii="Times New Roman"/>
                <w:sz w:val="21"/>
                <w:szCs w:val="21"/>
              </w:rPr>
            </w:pPr>
            <w:r>
              <w:rPr>
                <w:rFonts w:ascii="Times New Roman"/>
                <w:sz w:val="21"/>
                <w:szCs w:val="21"/>
              </w:rPr>
              <w:t>间断</w:t>
            </w:r>
          </w:p>
        </w:tc>
      </w:tr>
      <w:tr w14:paraId="6A19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178" w:type="pct"/>
            <w:vMerge w:val="continue"/>
            <w:vAlign w:val="center"/>
          </w:tcPr>
          <w:p w14:paraId="45646320">
            <w:pPr>
              <w:spacing w:line="320" w:lineRule="exact"/>
              <w:jc w:val="center"/>
              <w:rPr>
                <w:rFonts w:ascii="Times New Roman"/>
                <w:sz w:val="21"/>
                <w:szCs w:val="21"/>
              </w:rPr>
            </w:pPr>
          </w:p>
        </w:tc>
        <w:tc>
          <w:tcPr>
            <w:tcW w:w="386" w:type="pct"/>
            <w:vAlign w:val="center"/>
          </w:tcPr>
          <w:p w14:paraId="0E304B70">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44DD383F">
            <w:pPr>
              <w:spacing w:line="320" w:lineRule="exact"/>
              <w:jc w:val="center"/>
              <w:rPr>
                <w:rFonts w:ascii="Times New Roman"/>
                <w:sz w:val="21"/>
                <w:szCs w:val="21"/>
              </w:rPr>
            </w:pPr>
            <w:r>
              <w:rPr>
                <w:rFonts w:ascii="Times New Roman"/>
                <w:sz w:val="21"/>
                <w:szCs w:val="21"/>
              </w:rPr>
              <w:t>生活污水</w:t>
            </w:r>
          </w:p>
        </w:tc>
        <w:tc>
          <w:tcPr>
            <w:tcW w:w="1241" w:type="pct"/>
            <w:shd w:val="clear" w:color="auto" w:fill="auto"/>
            <w:vAlign w:val="center"/>
          </w:tcPr>
          <w:p w14:paraId="2FF3D3FF">
            <w:pPr>
              <w:spacing w:line="320" w:lineRule="exact"/>
              <w:jc w:val="center"/>
              <w:rPr>
                <w:rFonts w:ascii="Times New Roman"/>
                <w:sz w:val="21"/>
                <w:szCs w:val="21"/>
              </w:rPr>
            </w:pPr>
            <w:r>
              <w:rPr>
                <w:rFonts w:ascii="Times New Roman"/>
                <w:sz w:val="21"/>
                <w:szCs w:val="21"/>
              </w:rPr>
              <w:t>pH、COD、BOD</w:t>
            </w:r>
            <w:r>
              <w:rPr>
                <w:rFonts w:ascii="Times New Roman"/>
                <w:kern w:val="0"/>
                <w:sz w:val="21"/>
                <w:szCs w:val="21"/>
                <w:vertAlign w:val="subscript"/>
              </w:rPr>
              <w:t>5</w:t>
            </w:r>
            <w:r>
              <w:rPr>
                <w:rFonts w:ascii="Times New Roman"/>
                <w:sz w:val="21"/>
                <w:szCs w:val="21"/>
              </w:rPr>
              <w:t>、SS、氨氮</w:t>
            </w:r>
          </w:p>
        </w:tc>
        <w:tc>
          <w:tcPr>
            <w:tcW w:w="1817" w:type="pct"/>
            <w:gridSpan w:val="2"/>
            <w:vMerge w:val="restart"/>
            <w:shd w:val="clear" w:color="auto" w:fill="auto"/>
            <w:vAlign w:val="center"/>
          </w:tcPr>
          <w:p w14:paraId="03B6B53D">
            <w:pPr>
              <w:spacing w:line="320" w:lineRule="exact"/>
              <w:jc w:val="center"/>
              <w:rPr>
                <w:rFonts w:ascii="Times New Roman"/>
                <w:sz w:val="21"/>
                <w:szCs w:val="21"/>
              </w:rPr>
            </w:pPr>
            <w:r>
              <w:rPr>
                <w:rFonts w:ascii="Times New Roman"/>
                <w:sz w:val="21"/>
                <w:szCs w:val="21"/>
              </w:rPr>
              <w:t>食堂废水经隔油池预处理后和生活污水共同经化粪池处理后排入曹妃甸装备制造园区污水处理站进一步处理</w:t>
            </w:r>
          </w:p>
        </w:tc>
        <w:tc>
          <w:tcPr>
            <w:tcW w:w="353" w:type="pct"/>
            <w:shd w:val="clear" w:color="auto" w:fill="auto"/>
            <w:vAlign w:val="center"/>
          </w:tcPr>
          <w:p w14:paraId="1E5595FB">
            <w:pPr>
              <w:spacing w:line="320" w:lineRule="exact"/>
              <w:jc w:val="center"/>
              <w:rPr>
                <w:rFonts w:ascii="Times New Roman"/>
                <w:sz w:val="21"/>
                <w:szCs w:val="21"/>
              </w:rPr>
            </w:pPr>
            <w:r>
              <w:rPr>
                <w:rFonts w:ascii="Times New Roman"/>
                <w:sz w:val="21"/>
                <w:szCs w:val="21"/>
              </w:rPr>
              <w:t>间断</w:t>
            </w:r>
          </w:p>
        </w:tc>
      </w:tr>
      <w:tr w14:paraId="635D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jc w:val="center"/>
        </w:trPr>
        <w:tc>
          <w:tcPr>
            <w:tcW w:w="178" w:type="pct"/>
            <w:vMerge w:val="continue"/>
            <w:vAlign w:val="center"/>
          </w:tcPr>
          <w:p w14:paraId="150379E4">
            <w:pPr>
              <w:spacing w:line="320" w:lineRule="exact"/>
              <w:jc w:val="center"/>
              <w:rPr>
                <w:rFonts w:ascii="Times New Roman"/>
                <w:sz w:val="21"/>
                <w:szCs w:val="21"/>
              </w:rPr>
            </w:pPr>
          </w:p>
        </w:tc>
        <w:tc>
          <w:tcPr>
            <w:tcW w:w="386" w:type="pct"/>
            <w:vAlign w:val="center"/>
          </w:tcPr>
          <w:p w14:paraId="1B7AC4D2">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69EF9DDD">
            <w:pPr>
              <w:spacing w:line="320" w:lineRule="exact"/>
              <w:jc w:val="center"/>
              <w:rPr>
                <w:rFonts w:ascii="Times New Roman"/>
                <w:sz w:val="21"/>
                <w:szCs w:val="21"/>
              </w:rPr>
            </w:pPr>
            <w:r>
              <w:rPr>
                <w:rFonts w:ascii="Times New Roman"/>
                <w:sz w:val="21"/>
                <w:szCs w:val="21"/>
              </w:rPr>
              <w:t>食堂废水</w:t>
            </w:r>
          </w:p>
        </w:tc>
        <w:tc>
          <w:tcPr>
            <w:tcW w:w="1241" w:type="pct"/>
            <w:shd w:val="clear" w:color="auto" w:fill="auto"/>
            <w:vAlign w:val="center"/>
          </w:tcPr>
          <w:p w14:paraId="100AEF66">
            <w:pPr>
              <w:spacing w:line="320" w:lineRule="exact"/>
              <w:jc w:val="center"/>
              <w:rPr>
                <w:rFonts w:ascii="Times New Roman"/>
                <w:sz w:val="21"/>
                <w:szCs w:val="21"/>
              </w:rPr>
            </w:pPr>
            <w:r>
              <w:rPr>
                <w:rFonts w:ascii="Times New Roman"/>
                <w:sz w:val="21"/>
                <w:szCs w:val="21"/>
              </w:rPr>
              <w:t>pH、COD、BOD</w:t>
            </w:r>
            <w:r>
              <w:rPr>
                <w:rFonts w:ascii="Times New Roman"/>
                <w:kern w:val="0"/>
                <w:sz w:val="21"/>
                <w:szCs w:val="21"/>
                <w:vertAlign w:val="subscript"/>
              </w:rPr>
              <w:t>5</w:t>
            </w:r>
            <w:r>
              <w:rPr>
                <w:rFonts w:ascii="Times New Roman"/>
                <w:sz w:val="21"/>
                <w:szCs w:val="21"/>
              </w:rPr>
              <w:t>、SS、氨氮、</w:t>
            </w:r>
            <w:r>
              <w:rPr>
                <w:rFonts w:hint="eastAsia" w:ascii="Times New Roman"/>
                <w:sz w:val="21"/>
                <w:szCs w:val="21"/>
              </w:rPr>
              <w:t>TP、TN、</w:t>
            </w:r>
            <w:r>
              <w:rPr>
                <w:rFonts w:ascii="Times New Roman"/>
                <w:sz w:val="21"/>
                <w:szCs w:val="21"/>
              </w:rPr>
              <w:t>动植物油</w:t>
            </w:r>
          </w:p>
        </w:tc>
        <w:tc>
          <w:tcPr>
            <w:tcW w:w="1817" w:type="pct"/>
            <w:gridSpan w:val="2"/>
            <w:vMerge w:val="continue"/>
            <w:shd w:val="clear" w:color="auto" w:fill="auto"/>
            <w:vAlign w:val="center"/>
          </w:tcPr>
          <w:p w14:paraId="797123CD">
            <w:pPr>
              <w:spacing w:line="320" w:lineRule="exact"/>
              <w:jc w:val="center"/>
              <w:rPr>
                <w:rFonts w:ascii="Times New Roman"/>
                <w:sz w:val="21"/>
                <w:szCs w:val="21"/>
              </w:rPr>
            </w:pPr>
          </w:p>
        </w:tc>
        <w:tc>
          <w:tcPr>
            <w:tcW w:w="353" w:type="pct"/>
            <w:vAlign w:val="center"/>
          </w:tcPr>
          <w:p w14:paraId="76DF5E05">
            <w:pPr>
              <w:spacing w:line="320" w:lineRule="exact"/>
              <w:jc w:val="center"/>
              <w:rPr>
                <w:rFonts w:ascii="Times New Roman"/>
                <w:sz w:val="21"/>
                <w:szCs w:val="21"/>
              </w:rPr>
            </w:pPr>
            <w:r>
              <w:rPr>
                <w:rFonts w:ascii="Times New Roman"/>
                <w:sz w:val="21"/>
                <w:szCs w:val="21"/>
              </w:rPr>
              <w:t>间断</w:t>
            </w:r>
          </w:p>
        </w:tc>
      </w:tr>
      <w:tr w14:paraId="563B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Align w:val="center"/>
          </w:tcPr>
          <w:p w14:paraId="5EC718B2">
            <w:pPr>
              <w:spacing w:line="320" w:lineRule="exact"/>
              <w:jc w:val="center"/>
              <w:rPr>
                <w:rFonts w:ascii="Times New Roman"/>
                <w:sz w:val="21"/>
                <w:szCs w:val="21"/>
              </w:rPr>
            </w:pPr>
            <w:r>
              <w:rPr>
                <w:rFonts w:ascii="Times New Roman"/>
                <w:sz w:val="21"/>
                <w:szCs w:val="21"/>
              </w:rPr>
              <w:t>噪声</w:t>
            </w:r>
          </w:p>
        </w:tc>
        <w:tc>
          <w:tcPr>
            <w:tcW w:w="386" w:type="pct"/>
            <w:vAlign w:val="center"/>
          </w:tcPr>
          <w:p w14:paraId="18795469">
            <w:pPr>
              <w:spacing w:line="320" w:lineRule="exact"/>
              <w:jc w:val="center"/>
              <w:rPr>
                <w:rFonts w:ascii="Times New Roman"/>
                <w:sz w:val="21"/>
                <w:szCs w:val="21"/>
              </w:rPr>
            </w:pPr>
            <w:r>
              <w:rPr>
                <w:rFonts w:ascii="Times New Roman"/>
                <w:sz w:val="21"/>
                <w:szCs w:val="21"/>
              </w:rPr>
              <w:t>N</w:t>
            </w:r>
          </w:p>
        </w:tc>
        <w:tc>
          <w:tcPr>
            <w:tcW w:w="1022" w:type="pct"/>
            <w:gridSpan w:val="2"/>
            <w:vAlign w:val="center"/>
          </w:tcPr>
          <w:p w14:paraId="56FD2B6A">
            <w:pPr>
              <w:spacing w:line="320" w:lineRule="exact"/>
              <w:jc w:val="center"/>
              <w:rPr>
                <w:rFonts w:ascii="Times New Roman"/>
                <w:sz w:val="21"/>
                <w:szCs w:val="21"/>
              </w:rPr>
            </w:pPr>
            <w:r>
              <w:rPr>
                <w:rFonts w:ascii="Times New Roman"/>
                <w:sz w:val="21"/>
                <w:szCs w:val="21"/>
              </w:rPr>
              <w:t>设备噪声</w:t>
            </w:r>
          </w:p>
        </w:tc>
        <w:tc>
          <w:tcPr>
            <w:tcW w:w="1241" w:type="pct"/>
            <w:vAlign w:val="center"/>
          </w:tcPr>
          <w:p w14:paraId="6750784F">
            <w:pPr>
              <w:spacing w:line="320" w:lineRule="exact"/>
              <w:jc w:val="center"/>
              <w:rPr>
                <w:rFonts w:ascii="Times New Roman"/>
                <w:sz w:val="21"/>
                <w:szCs w:val="21"/>
              </w:rPr>
            </w:pPr>
            <w:r>
              <w:rPr>
                <w:rFonts w:ascii="Times New Roman"/>
                <w:sz w:val="21"/>
                <w:szCs w:val="21"/>
              </w:rPr>
              <w:t>噪声</w:t>
            </w:r>
          </w:p>
        </w:tc>
        <w:tc>
          <w:tcPr>
            <w:tcW w:w="1817" w:type="pct"/>
            <w:gridSpan w:val="2"/>
            <w:vAlign w:val="center"/>
          </w:tcPr>
          <w:p w14:paraId="7FCA612D">
            <w:pPr>
              <w:spacing w:line="320" w:lineRule="exact"/>
              <w:jc w:val="center"/>
              <w:rPr>
                <w:rFonts w:ascii="Times New Roman"/>
                <w:sz w:val="21"/>
                <w:szCs w:val="21"/>
              </w:rPr>
            </w:pPr>
            <w:r>
              <w:rPr>
                <w:rFonts w:ascii="Times New Roman"/>
                <w:sz w:val="21"/>
                <w:szCs w:val="21"/>
              </w:rPr>
              <w:t>基础减震、厂房隔声</w:t>
            </w:r>
          </w:p>
        </w:tc>
        <w:tc>
          <w:tcPr>
            <w:tcW w:w="353" w:type="pct"/>
            <w:vAlign w:val="center"/>
          </w:tcPr>
          <w:p w14:paraId="5A9F316A">
            <w:pPr>
              <w:spacing w:line="320" w:lineRule="exact"/>
              <w:jc w:val="center"/>
              <w:rPr>
                <w:rFonts w:ascii="Times New Roman"/>
                <w:sz w:val="21"/>
                <w:szCs w:val="21"/>
              </w:rPr>
            </w:pPr>
            <w:r>
              <w:rPr>
                <w:rFonts w:ascii="Times New Roman"/>
                <w:sz w:val="21"/>
                <w:szCs w:val="21"/>
              </w:rPr>
              <w:t>连续</w:t>
            </w:r>
          </w:p>
        </w:tc>
      </w:tr>
      <w:tr w14:paraId="6755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restart"/>
            <w:vAlign w:val="center"/>
          </w:tcPr>
          <w:p w14:paraId="32168988">
            <w:pPr>
              <w:spacing w:line="320" w:lineRule="exact"/>
              <w:jc w:val="center"/>
              <w:rPr>
                <w:rFonts w:ascii="Times New Roman"/>
                <w:sz w:val="21"/>
                <w:szCs w:val="21"/>
              </w:rPr>
            </w:pPr>
            <w:r>
              <w:rPr>
                <w:rFonts w:ascii="Times New Roman"/>
                <w:sz w:val="21"/>
                <w:szCs w:val="21"/>
              </w:rPr>
              <w:t>固体废物</w:t>
            </w:r>
          </w:p>
        </w:tc>
        <w:tc>
          <w:tcPr>
            <w:tcW w:w="386" w:type="pct"/>
            <w:vAlign w:val="center"/>
          </w:tcPr>
          <w:p w14:paraId="042DE76B">
            <w:pPr>
              <w:spacing w:line="320" w:lineRule="exact"/>
              <w:jc w:val="center"/>
              <w:rPr>
                <w:rFonts w:ascii="Times New Roman"/>
                <w:sz w:val="21"/>
                <w:szCs w:val="21"/>
              </w:rPr>
            </w:pPr>
            <w:r>
              <w:rPr>
                <w:rFonts w:ascii="Times New Roman"/>
                <w:sz w:val="21"/>
                <w:szCs w:val="21"/>
              </w:rPr>
              <w:t>S1</w:t>
            </w:r>
          </w:p>
        </w:tc>
        <w:tc>
          <w:tcPr>
            <w:tcW w:w="1022" w:type="pct"/>
            <w:gridSpan w:val="2"/>
            <w:vAlign w:val="center"/>
          </w:tcPr>
          <w:p w14:paraId="242B874C">
            <w:pPr>
              <w:spacing w:line="320" w:lineRule="exact"/>
              <w:jc w:val="center"/>
              <w:rPr>
                <w:rFonts w:ascii="Times New Roman"/>
                <w:sz w:val="21"/>
                <w:szCs w:val="21"/>
              </w:rPr>
            </w:pPr>
            <w:r>
              <w:rPr>
                <w:rFonts w:ascii="Times New Roman"/>
                <w:sz w:val="21"/>
                <w:szCs w:val="21"/>
              </w:rPr>
              <w:t>下料工序</w:t>
            </w:r>
          </w:p>
        </w:tc>
        <w:tc>
          <w:tcPr>
            <w:tcW w:w="1241" w:type="pct"/>
            <w:vAlign w:val="center"/>
          </w:tcPr>
          <w:p w14:paraId="66EAA825">
            <w:pPr>
              <w:spacing w:line="320" w:lineRule="exact"/>
              <w:jc w:val="center"/>
              <w:rPr>
                <w:rFonts w:ascii="Times New Roman"/>
                <w:sz w:val="21"/>
                <w:szCs w:val="21"/>
              </w:rPr>
            </w:pPr>
            <w:r>
              <w:rPr>
                <w:rFonts w:ascii="Times New Roman"/>
                <w:sz w:val="21"/>
                <w:szCs w:val="21"/>
              </w:rPr>
              <w:t>钢材边角料</w:t>
            </w:r>
          </w:p>
        </w:tc>
        <w:tc>
          <w:tcPr>
            <w:tcW w:w="1817" w:type="pct"/>
            <w:gridSpan w:val="2"/>
            <w:vMerge w:val="restart"/>
            <w:vAlign w:val="center"/>
          </w:tcPr>
          <w:p w14:paraId="19895D6F">
            <w:pPr>
              <w:spacing w:line="320" w:lineRule="exact"/>
              <w:jc w:val="center"/>
              <w:rPr>
                <w:rFonts w:ascii="Times New Roman"/>
                <w:sz w:val="21"/>
                <w:szCs w:val="21"/>
              </w:rPr>
            </w:pPr>
            <w:r>
              <w:rPr>
                <w:rFonts w:ascii="Times New Roman"/>
                <w:sz w:val="21"/>
                <w:szCs w:val="21"/>
              </w:rPr>
              <w:t>收集后外售</w:t>
            </w:r>
          </w:p>
        </w:tc>
        <w:tc>
          <w:tcPr>
            <w:tcW w:w="353" w:type="pct"/>
            <w:vAlign w:val="center"/>
          </w:tcPr>
          <w:p w14:paraId="21478803">
            <w:pPr>
              <w:spacing w:line="320" w:lineRule="exact"/>
              <w:jc w:val="center"/>
              <w:rPr>
                <w:rFonts w:ascii="Times New Roman"/>
                <w:sz w:val="21"/>
                <w:szCs w:val="21"/>
              </w:rPr>
            </w:pPr>
            <w:r>
              <w:rPr>
                <w:rFonts w:ascii="Times New Roman"/>
                <w:sz w:val="21"/>
                <w:szCs w:val="21"/>
              </w:rPr>
              <w:t>间断</w:t>
            </w:r>
          </w:p>
        </w:tc>
      </w:tr>
      <w:tr w14:paraId="0DD9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4027A2DD">
            <w:pPr>
              <w:spacing w:line="320" w:lineRule="exact"/>
              <w:jc w:val="center"/>
              <w:rPr>
                <w:rFonts w:ascii="Times New Roman"/>
                <w:sz w:val="21"/>
                <w:szCs w:val="21"/>
              </w:rPr>
            </w:pPr>
          </w:p>
        </w:tc>
        <w:tc>
          <w:tcPr>
            <w:tcW w:w="386" w:type="pct"/>
            <w:vAlign w:val="center"/>
          </w:tcPr>
          <w:p w14:paraId="120AC8FF">
            <w:pPr>
              <w:spacing w:line="320" w:lineRule="exact"/>
              <w:jc w:val="center"/>
              <w:rPr>
                <w:rFonts w:ascii="Times New Roman"/>
                <w:sz w:val="21"/>
                <w:szCs w:val="21"/>
              </w:rPr>
            </w:pPr>
            <w:r>
              <w:rPr>
                <w:rFonts w:ascii="Times New Roman"/>
                <w:sz w:val="21"/>
                <w:szCs w:val="21"/>
              </w:rPr>
              <w:t>S2</w:t>
            </w:r>
          </w:p>
        </w:tc>
        <w:tc>
          <w:tcPr>
            <w:tcW w:w="1022" w:type="pct"/>
            <w:gridSpan w:val="2"/>
            <w:vAlign w:val="center"/>
          </w:tcPr>
          <w:p w14:paraId="7D71D190">
            <w:pPr>
              <w:spacing w:line="320" w:lineRule="exact"/>
              <w:jc w:val="center"/>
              <w:rPr>
                <w:rFonts w:ascii="Times New Roman"/>
                <w:sz w:val="21"/>
                <w:szCs w:val="21"/>
              </w:rPr>
            </w:pPr>
            <w:r>
              <w:rPr>
                <w:rFonts w:ascii="Times New Roman"/>
                <w:sz w:val="21"/>
                <w:szCs w:val="21"/>
              </w:rPr>
              <w:t>焊接工序</w:t>
            </w:r>
          </w:p>
        </w:tc>
        <w:tc>
          <w:tcPr>
            <w:tcW w:w="1241" w:type="pct"/>
            <w:vAlign w:val="center"/>
          </w:tcPr>
          <w:p w14:paraId="113559F8">
            <w:pPr>
              <w:spacing w:line="320" w:lineRule="exact"/>
              <w:jc w:val="center"/>
              <w:rPr>
                <w:rFonts w:ascii="Times New Roman"/>
                <w:sz w:val="21"/>
                <w:szCs w:val="21"/>
              </w:rPr>
            </w:pPr>
            <w:r>
              <w:rPr>
                <w:rFonts w:ascii="Times New Roman"/>
                <w:sz w:val="21"/>
                <w:szCs w:val="21"/>
              </w:rPr>
              <w:t>废焊材</w:t>
            </w:r>
          </w:p>
        </w:tc>
        <w:tc>
          <w:tcPr>
            <w:tcW w:w="1817" w:type="pct"/>
            <w:gridSpan w:val="2"/>
            <w:vMerge w:val="continue"/>
            <w:vAlign w:val="center"/>
          </w:tcPr>
          <w:p w14:paraId="48356232">
            <w:pPr>
              <w:spacing w:line="320" w:lineRule="exact"/>
              <w:jc w:val="center"/>
              <w:rPr>
                <w:rFonts w:ascii="Times New Roman"/>
                <w:sz w:val="21"/>
                <w:szCs w:val="21"/>
              </w:rPr>
            </w:pPr>
          </w:p>
        </w:tc>
        <w:tc>
          <w:tcPr>
            <w:tcW w:w="353" w:type="pct"/>
            <w:vAlign w:val="center"/>
          </w:tcPr>
          <w:p w14:paraId="6094AACD">
            <w:pPr>
              <w:spacing w:line="320" w:lineRule="exact"/>
              <w:jc w:val="center"/>
              <w:rPr>
                <w:rFonts w:ascii="Times New Roman"/>
                <w:sz w:val="21"/>
                <w:szCs w:val="21"/>
              </w:rPr>
            </w:pPr>
            <w:r>
              <w:rPr>
                <w:rFonts w:ascii="Times New Roman"/>
                <w:sz w:val="21"/>
                <w:szCs w:val="21"/>
              </w:rPr>
              <w:t>间断</w:t>
            </w:r>
          </w:p>
        </w:tc>
      </w:tr>
      <w:tr w14:paraId="5E0C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D0C9914">
            <w:pPr>
              <w:spacing w:line="320" w:lineRule="exact"/>
              <w:jc w:val="center"/>
              <w:rPr>
                <w:rFonts w:ascii="Times New Roman"/>
                <w:sz w:val="21"/>
                <w:szCs w:val="21"/>
              </w:rPr>
            </w:pPr>
          </w:p>
        </w:tc>
        <w:tc>
          <w:tcPr>
            <w:tcW w:w="386" w:type="pct"/>
            <w:vAlign w:val="center"/>
          </w:tcPr>
          <w:p w14:paraId="5F26AF1E">
            <w:pPr>
              <w:spacing w:line="320" w:lineRule="exact"/>
              <w:jc w:val="center"/>
              <w:rPr>
                <w:rFonts w:ascii="Times New Roman"/>
                <w:sz w:val="21"/>
                <w:szCs w:val="21"/>
              </w:rPr>
            </w:pPr>
            <w:r>
              <w:rPr>
                <w:rFonts w:ascii="Times New Roman"/>
                <w:sz w:val="21"/>
                <w:szCs w:val="21"/>
              </w:rPr>
              <w:t>S3</w:t>
            </w:r>
          </w:p>
        </w:tc>
        <w:tc>
          <w:tcPr>
            <w:tcW w:w="1022" w:type="pct"/>
            <w:gridSpan w:val="2"/>
            <w:vAlign w:val="center"/>
          </w:tcPr>
          <w:p w14:paraId="5B28430E">
            <w:pPr>
              <w:spacing w:line="320" w:lineRule="exact"/>
              <w:jc w:val="center"/>
              <w:rPr>
                <w:rFonts w:ascii="Times New Roman"/>
                <w:sz w:val="21"/>
                <w:szCs w:val="21"/>
              </w:rPr>
            </w:pPr>
            <w:r>
              <w:rPr>
                <w:rFonts w:ascii="Times New Roman"/>
                <w:sz w:val="21"/>
                <w:szCs w:val="21"/>
              </w:rPr>
              <w:t>机加工工序</w:t>
            </w:r>
          </w:p>
        </w:tc>
        <w:tc>
          <w:tcPr>
            <w:tcW w:w="1241" w:type="pct"/>
            <w:vAlign w:val="center"/>
          </w:tcPr>
          <w:p w14:paraId="0419E9AE">
            <w:pPr>
              <w:spacing w:line="320" w:lineRule="exact"/>
              <w:jc w:val="center"/>
              <w:rPr>
                <w:rFonts w:ascii="Times New Roman"/>
                <w:sz w:val="21"/>
                <w:szCs w:val="21"/>
              </w:rPr>
            </w:pPr>
            <w:r>
              <w:rPr>
                <w:rFonts w:ascii="Times New Roman"/>
                <w:sz w:val="21"/>
                <w:szCs w:val="21"/>
              </w:rPr>
              <w:t>废边角料</w:t>
            </w:r>
          </w:p>
        </w:tc>
        <w:tc>
          <w:tcPr>
            <w:tcW w:w="1817" w:type="pct"/>
            <w:gridSpan w:val="2"/>
            <w:vMerge w:val="continue"/>
            <w:vAlign w:val="center"/>
          </w:tcPr>
          <w:p w14:paraId="38C0492A">
            <w:pPr>
              <w:spacing w:line="320" w:lineRule="exact"/>
              <w:jc w:val="center"/>
              <w:rPr>
                <w:rFonts w:ascii="Times New Roman"/>
                <w:sz w:val="21"/>
                <w:szCs w:val="21"/>
              </w:rPr>
            </w:pPr>
          </w:p>
        </w:tc>
        <w:tc>
          <w:tcPr>
            <w:tcW w:w="353" w:type="pct"/>
            <w:vAlign w:val="center"/>
          </w:tcPr>
          <w:p w14:paraId="0B664D3C">
            <w:pPr>
              <w:spacing w:line="320" w:lineRule="exact"/>
              <w:jc w:val="center"/>
              <w:rPr>
                <w:rFonts w:ascii="Times New Roman"/>
                <w:sz w:val="21"/>
                <w:szCs w:val="21"/>
              </w:rPr>
            </w:pPr>
            <w:r>
              <w:rPr>
                <w:rFonts w:ascii="Times New Roman"/>
                <w:sz w:val="21"/>
                <w:szCs w:val="21"/>
              </w:rPr>
              <w:t>间断</w:t>
            </w:r>
          </w:p>
        </w:tc>
      </w:tr>
      <w:tr w14:paraId="74A3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1C9E47F">
            <w:pPr>
              <w:spacing w:line="320" w:lineRule="exact"/>
              <w:jc w:val="center"/>
              <w:rPr>
                <w:rFonts w:ascii="Times New Roman"/>
                <w:sz w:val="21"/>
                <w:szCs w:val="21"/>
              </w:rPr>
            </w:pPr>
          </w:p>
        </w:tc>
        <w:tc>
          <w:tcPr>
            <w:tcW w:w="386" w:type="pct"/>
            <w:vAlign w:val="center"/>
          </w:tcPr>
          <w:p w14:paraId="1AFCA596">
            <w:pPr>
              <w:spacing w:line="320" w:lineRule="exact"/>
              <w:jc w:val="center"/>
              <w:rPr>
                <w:rFonts w:ascii="Times New Roman"/>
                <w:sz w:val="21"/>
                <w:szCs w:val="21"/>
              </w:rPr>
            </w:pPr>
            <w:r>
              <w:rPr>
                <w:rFonts w:ascii="Times New Roman"/>
                <w:sz w:val="21"/>
                <w:szCs w:val="21"/>
              </w:rPr>
              <w:t>S</w:t>
            </w:r>
            <w:r>
              <w:rPr>
                <w:rFonts w:hint="eastAsia" w:ascii="Times New Roman"/>
                <w:sz w:val="21"/>
                <w:szCs w:val="21"/>
              </w:rPr>
              <w:t>5</w:t>
            </w:r>
          </w:p>
        </w:tc>
        <w:tc>
          <w:tcPr>
            <w:tcW w:w="1022" w:type="pct"/>
            <w:gridSpan w:val="2"/>
            <w:shd w:val="clear" w:color="auto" w:fill="auto"/>
            <w:vAlign w:val="center"/>
          </w:tcPr>
          <w:p w14:paraId="34912410">
            <w:pPr>
              <w:spacing w:line="320" w:lineRule="exact"/>
              <w:jc w:val="center"/>
              <w:rPr>
                <w:rFonts w:ascii="Times New Roman"/>
                <w:sz w:val="21"/>
                <w:szCs w:val="21"/>
              </w:rPr>
            </w:pPr>
            <w:r>
              <w:rPr>
                <w:rFonts w:ascii="Times New Roman"/>
                <w:sz w:val="21"/>
                <w:szCs w:val="21"/>
              </w:rPr>
              <w:t>坡口加工、清理打磨工序</w:t>
            </w:r>
          </w:p>
        </w:tc>
        <w:tc>
          <w:tcPr>
            <w:tcW w:w="1241" w:type="pct"/>
            <w:shd w:val="clear" w:color="auto" w:fill="auto"/>
            <w:vAlign w:val="center"/>
          </w:tcPr>
          <w:p w14:paraId="204F7FA2">
            <w:pPr>
              <w:spacing w:line="320" w:lineRule="exact"/>
              <w:jc w:val="center"/>
              <w:rPr>
                <w:rFonts w:ascii="Times New Roman"/>
                <w:sz w:val="21"/>
                <w:szCs w:val="21"/>
              </w:rPr>
            </w:pPr>
            <w:r>
              <w:rPr>
                <w:rFonts w:ascii="Times New Roman"/>
                <w:sz w:val="21"/>
                <w:szCs w:val="21"/>
              </w:rPr>
              <w:t>金属碎屑</w:t>
            </w:r>
          </w:p>
        </w:tc>
        <w:tc>
          <w:tcPr>
            <w:tcW w:w="1817" w:type="pct"/>
            <w:gridSpan w:val="2"/>
            <w:vMerge w:val="continue"/>
            <w:vAlign w:val="center"/>
          </w:tcPr>
          <w:p w14:paraId="16AFFB1F">
            <w:pPr>
              <w:spacing w:line="320" w:lineRule="exact"/>
              <w:jc w:val="center"/>
              <w:rPr>
                <w:rFonts w:ascii="Times New Roman"/>
                <w:sz w:val="21"/>
                <w:szCs w:val="21"/>
              </w:rPr>
            </w:pPr>
          </w:p>
        </w:tc>
        <w:tc>
          <w:tcPr>
            <w:tcW w:w="353" w:type="pct"/>
            <w:vAlign w:val="center"/>
          </w:tcPr>
          <w:p w14:paraId="3D3D38C0">
            <w:pPr>
              <w:spacing w:line="320" w:lineRule="exact"/>
              <w:jc w:val="center"/>
              <w:rPr>
                <w:rFonts w:ascii="Times New Roman"/>
                <w:sz w:val="21"/>
                <w:szCs w:val="21"/>
              </w:rPr>
            </w:pPr>
            <w:r>
              <w:rPr>
                <w:rFonts w:ascii="Times New Roman"/>
                <w:sz w:val="21"/>
                <w:szCs w:val="21"/>
              </w:rPr>
              <w:t>间断</w:t>
            </w:r>
          </w:p>
        </w:tc>
      </w:tr>
      <w:tr w14:paraId="7BBA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30A6DCE4">
            <w:pPr>
              <w:spacing w:line="320" w:lineRule="exact"/>
              <w:jc w:val="center"/>
              <w:rPr>
                <w:rFonts w:ascii="Times New Roman"/>
                <w:sz w:val="21"/>
                <w:szCs w:val="21"/>
              </w:rPr>
            </w:pPr>
          </w:p>
        </w:tc>
        <w:tc>
          <w:tcPr>
            <w:tcW w:w="386" w:type="pct"/>
            <w:shd w:val="clear" w:color="auto" w:fill="auto"/>
            <w:vAlign w:val="center"/>
          </w:tcPr>
          <w:p w14:paraId="3427BEBB">
            <w:pPr>
              <w:spacing w:line="320" w:lineRule="exact"/>
              <w:jc w:val="center"/>
              <w:rPr>
                <w:rFonts w:ascii="Times New Roman"/>
                <w:sz w:val="21"/>
                <w:szCs w:val="21"/>
              </w:rPr>
            </w:pPr>
            <w:r>
              <w:rPr>
                <w:rFonts w:ascii="Times New Roman"/>
                <w:sz w:val="21"/>
                <w:szCs w:val="21"/>
              </w:rPr>
              <w:t>S6</w:t>
            </w:r>
          </w:p>
        </w:tc>
        <w:tc>
          <w:tcPr>
            <w:tcW w:w="1022" w:type="pct"/>
            <w:gridSpan w:val="2"/>
            <w:shd w:val="clear" w:color="auto" w:fill="auto"/>
            <w:vAlign w:val="center"/>
          </w:tcPr>
          <w:p w14:paraId="0234A3E5">
            <w:pPr>
              <w:spacing w:line="320" w:lineRule="exact"/>
              <w:jc w:val="center"/>
              <w:rPr>
                <w:rFonts w:ascii="Times New Roman"/>
                <w:sz w:val="21"/>
                <w:szCs w:val="21"/>
              </w:rPr>
            </w:pPr>
            <w:r>
              <w:rPr>
                <w:rFonts w:hint="eastAsia" w:ascii="Times New Roman"/>
                <w:sz w:val="21"/>
                <w:szCs w:val="21"/>
              </w:rPr>
              <w:t>淬火、回火工序</w:t>
            </w:r>
          </w:p>
        </w:tc>
        <w:tc>
          <w:tcPr>
            <w:tcW w:w="1241" w:type="pct"/>
            <w:shd w:val="clear" w:color="auto" w:fill="auto"/>
            <w:vAlign w:val="center"/>
          </w:tcPr>
          <w:p w14:paraId="0D0BE935">
            <w:pPr>
              <w:spacing w:line="320" w:lineRule="exact"/>
              <w:jc w:val="center"/>
              <w:rPr>
                <w:rFonts w:ascii="Times New Roman"/>
                <w:sz w:val="21"/>
                <w:szCs w:val="21"/>
              </w:rPr>
            </w:pPr>
            <w:r>
              <w:rPr>
                <w:rFonts w:ascii="Times New Roman"/>
                <w:sz w:val="21"/>
                <w:szCs w:val="21"/>
              </w:rPr>
              <w:t>槽渣</w:t>
            </w:r>
          </w:p>
        </w:tc>
        <w:tc>
          <w:tcPr>
            <w:tcW w:w="1817" w:type="pct"/>
            <w:gridSpan w:val="2"/>
            <w:vMerge w:val="continue"/>
            <w:vAlign w:val="center"/>
          </w:tcPr>
          <w:p w14:paraId="18E89AFF">
            <w:pPr>
              <w:spacing w:line="320" w:lineRule="exact"/>
              <w:jc w:val="center"/>
              <w:rPr>
                <w:rFonts w:ascii="Times New Roman"/>
                <w:sz w:val="21"/>
                <w:szCs w:val="21"/>
              </w:rPr>
            </w:pPr>
          </w:p>
        </w:tc>
        <w:tc>
          <w:tcPr>
            <w:tcW w:w="353" w:type="pct"/>
            <w:vAlign w:val="center"/>
          </w:tcPr>
          <w:p w14:paraId="15D24265">
            <w:pPr>
              <w:spacing w:line="320" w:lineRule="exact"/>
              <w:jc w:val="center"/>
              <w:rPr>
                <w:rFonts w:ascii="Times New Roman"/>
                <w:sz w:val="21"/>
                <w:szCs w:val="21"/>
              </w:rPr>
            </w:pPr>
            <w:r>
              <w:rPr>
                <w:rFonts w:ascii="Times New Roman"/>
                <w:sz w:val="21"/>
                <w:szCs w:val="21"/>
              </w:rPr>
              <w:t>间断</w:t>
            </w:r>
          </w:p>
        </w:tc>
      </w:tr>
      <w:tr w14:paraId="3C3B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2193AC91">
            <w:pPr>
              <w:spacing w:line="320" w:lineRule="exact"/>
              <w:jc w:val="center"/>
              <w:rPr>
                <w:rFonts w:ascii="Times New Roman"/>
                <w:sz w:val="21"/>
                <w:szCs w:val="21"/>
              </w:rPr>
            </w:pPr>
          </w:p>
        </w:tc>
        <w:tc>
          <w:tcPr>
            <w:tcW w:w="386" w:type="pct"/>
            <w:shd w:val="clear" w:color="auto" w:fill="auto"/>
            <w:vAlign w:val="center"/>
          </w:tcPr>
          <w:p w14:paraId="3F79A0E4">
            <w:pPr>
              <w:spacing w:line="320" w:lineRule="exact"/>
              <w:jc w:val="center"/>
              <w:rPr>
                <w:rFonts w:ascii="Times New Roman"/>
                <w:sz w:val="21"/>
                <w:szCs w:val="21"/>
              </w:rPr>
            </w:pPr>
            <w:r>
              <w:rPr>
                <w:rFonts w:ascii="Times New Roman"/>
                <w:sz w:val="21"/>
                <w:szCs w:val="21"/>
              </w:rPr>
              <w:t>S7</w:t>
            </w:r>
          </w:p>
        </w:tc>
        <w:tc>
          <w:tcPr>
            <w:tcW w:w="1022" w:type="pct"/>
            <w:gridSpan w:val="2"/>
            <w:shd w:val="clear" w:color="auto" w:fill="auto"/>
            <w:vAlign w:val="center"/>
          </w:tcPr>
          <w:p w14:paraId="0FDF143A">
            <w:pPr>
              <w:spacing w:line="320" w:lineRule="exact"/>
              <w:jc w:val="center"/>
              <w:rPr>
                <w:rFonts w:ascii="Times New Roman"/>
                <w:sz w:val="21"/>
                <w:szCs w:val="21"/>
              </w:rPr>
            </w:pPr>
            <w:r>
              <w:rPr>
                <w:rFonts w:ascii="Times New Roman"/>
                <w:sz w:val="21"/>
                <w:szCs w:val="21"/>
              </w:rPr>
              <w:t>抛丸工序</w:t>
            </w:r>
          </w:p>
        </w:tc>
        <w:tc>
          <w:tcPr>
            <w:tcW w:w="1241" w:type="pct"/>
            <w:shd w:val="clear" w:color="auto" w:fill="auto"/>
            <w:vAlign w:val="center"/>
          </w:tcPr>
          <w:p w14:paraId="4C6F8BE2">
            <w:pPr>
              <w:spacing w:line="320" w:lineRule="exact"/>
              <w:jc w:val="center"/>
              <w:rPr>
                <w:rFonts w:ascii="Times New Roman"/>
                <w:sz w:val="21"/>
                <w:szCs w:val="21"/>
              </w:rPr>
            </w:pPr>
            <w:r>
              <w:rPr>
                <w:rFonts w:ascii="Times New Roman"/>
                <w:sz w:val="21"/>
                <w:szCs w:val="21"/>
              </w:rPr>
              <w:t>废钢丸</w:t>
            </w:r>
          </w:p>
        </w:tc>
        <w:tc>
          <w:tcPr>
            <w:tcW w:w="1817" w:type="pct"/>
            <w:gridSpan w:val="2"/>
            <w:vMerge w:val="continue"/>
            <w:vAlign w:val="center"/>
          </w:tcPr>
          <w:p w14:paraId="07B927ED">
            <w:pPr>
              <w:spacing w:line="320" w:lineRule="exact"/>
              <w:jc w:val="center"/>
              <w:rPr>
                <w:rFonts w:ascii="Times New Roman"/>
                <w:sz w:val="21"/>
                <w:szCs w:val="21"/>
              </w:rPr>
            </w:pPr>
          </w:p>
        </w:tc>
        <w:tc>
          <w:tcPr>
            <w:tcW w:w="353" w:type="pct"/>
            <w:vAlign w:val="center"/>
          </w:tcPr>
          <w:p w14:paraId="67FCFE1B">
            <w:pPr>
              <w:spacing w:line="320" w:lineRule="exact"/>
              <w:jc w:val="center"/>
              <w:rPr>
                <w:rFonts w:ascii="Times New Roman"/>
                <w:sz w:val="21"/>
                <w:szCs w:val="21"/>
              </w:rPr>
            </w:pPr>
            <w:r>
              <w:rPr>
                <w:rFonts w:ascii="Times New Roman"/>
                <w:sz w:val="21"/>
                <w:szCs w:val="21"/>
              </w:rPr>
              <w:t>间断</w:t>
            </w:r>
          </w:p>
        </w:tc>
      </w:tr>
      <w:tr w14:paraId="5B9C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1C7583FD">
            <w:pPr>
              <w:spacing w:line="320" w:lineRule="exact"/>
              <w:jc w:val="center"/>
              <w:rPr>
                <w:rFonts w:ascii="Times New Roman"/>
                <w:sz w:val="21"/>
                <w:szCs w:val="21"/>
              </w:rPr>
            </w:pPr>
          </w:p>
        </w:tc>
        <w:tc>
          <w:tcPr>
            <w:tcW w:w="386" w:type="pct"/>
            <w:shd w:val="clear" w:color="auto" w:fill="auto"/>
            <w:vAlign w:val="center"/>
          </w:tcPr>
          <w:p w14:paraId="34872C61">
            <w:pPr>
              <w:spacing w:line="320" w:lineRule="exact"/>
              <w:jc w:val="center"/>
              <w:rPr>
                <w:rFonts w:ascii="Times New Roman"/>
                <w:sz w:val="21"/>
                <w:szCs w:val="21"/>
              </w:rPr>
            </w:pPr>
            <w:r>
              <w:rPr>
                <w:rFonts w:hint="eastAsia" w:ascii="Times New Roman"/>
                <w:sz w:val="21"/>
                <w:szCs w:val="21"/>
              </w:rPr>
              <w:t>S8</w:t>
            </w:r>
          </w:p>
        </w:tc>
        <w:tc>
          <w:tcPr>
            <w:tcW w:w="1022" w:type="pct"/>
            <w:gridSpan w:val="2"/>
            <w:shd w:val="clear" w:color="auto" w:fill="auto"/>
            <w:vAlign w:val="center"/>
          </w:tcPr>
          <w:p w14:paraId="373D2563">
            <w:pPr>
              <w:spacing w:line="320" w:lineRule="exact"/>
              <w:jc w:val="center"/>
              <w:rPr>
                <w:rFonts w:ascii="Times New Roman"/>
                <w:sz w:val="21"/>
                <w:szCs w:val="21"/>
              </w:rPr>
            </w:pPr>
            <w:r>
              <w:rPr>
                <w:rFonts w:ascii="Times New Roman"/>
                <w:sz w:val="21"/>
                <w:szCs w:val="21"/>
              </w:rPr>
              <w:t>喷砂工序</w:t>
            </w:r>
          </w:p>
        </w:tc>
        <w:tc>
          <w:tcPr>
            <w:tcW w:w="1241" w:type="pct"/>
            <w:shd w:val="clear" w:color="auto" w:fill="auto"/>
            <w:vAlign w:val="center"/>
          </w:tcPr>
          <w:p w14:paraId="1575750D">
            <w:pPr>
              <w:spacing w:line="320" w:lineRule="exact"/>
              <w:jc w:val="center"/>
              <w:rPr>
                <w:rFonts w:ascii="Times New Roman"/>
                <w:sz w:val="21"/>
                <w:szCs w:val="21"/>
              </w:rPr>
            </w:pPr>
            <w:r>
              <w:rPr>
                <w:rFonts w:ascii="Times New Roman"/>
                <w:sz w:val="21"/>
                <w:szCs w:val="21"/>
              </w:rPr>
              <w:t>废钢砂</w:t>
            </w:r>
          </w:p>
        </w:tc>
        <w:tc>
          <w:tcPr>
            <w:tcW w:w="1817" w:type="pct"/>
            <w:gridSpan w:val="2"/>
            <w:vMerge w:val="continue"/>
            <w:vAlign w:val="center"/>
          </w:tcPr>
          <w:p w14:paraId="3104FA22">
            <w:pPr>
              <w:spacing w:line="320" w:lineRule="exact"/>
              <w:jc w:val="center"/>
              <w:rPr>
                <w:rFonts w:ascii="Times New Roman"/>
                <w:sz w:val="21"/>
                <w:szCs w:val="21"/>
              </w:rPr>
            </w:pPr>
          </w:p>
        </w:tc>
        <w:tc>
          <w:tcPr>
            <w:tcW w:w="353" w:type="pct"/>
            <w:vAlign w:val="center"/>
          </w:tcPr>
          <w:p w14:paraId="64676256">
            <w:pPr>
              <w:spacing w:line="320" w:lineRule="exact"/>
              <w:jc w:val="center"/>
              <w:rPr>
                <w:rFonts w:ascii="Times New Roman"/>
                <w:sz w:val="21"/>
                <w:szCs w:val="21"/>
              </w:rPr>
            </w:pPr>
            <w:r>
              <w:rPr>
                <w:rFonts w:ascii="Times New Roman"/>
                <w:sz w:val="21"/>
                <w:szCs w:val="21"/>
              </w:rPr>
              <w:t>间断</w:t>
            </w:r>
          </w:p>
        </w:tc>
      </w:tr>
      <w:tr w14:paraId="2E00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2B48CBEC">
            <w:pPr>
              <w:spacing w:line="320" w:lineRule="exact"/>
              <w:jc w:val="center"/>
              <w:rPr>
                <w:rFonts w:ascii="Times New Roman"/>
                <w:sz w:val="21"/>
                <w:szCs w:val="21"/>
              </w:rPr>
            </w:pPr>
          </w:p>
        </w:tc>
        <w:tc>
          <w:tcPr>
            <w:tcW w:w="386" w:type="pct"/>
            <w:shd w:val="clear" w:color="auto" w:fill="auto"/>
            <w:vAlign w:val="center"/>
          </w:tcPr>
          <w:p w14:paraId="7AF074B1">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1401B6A3">
            <w:pPr>
              <w:spacing w:line="320" w:lineRule="exact"/>
              <w:jc w:val="center"/>
              <w:rPr>
                <w:rFonts w:ascii="Times New Roman"/>
                <w:sz w:val="21"/>
                <w:szCs w:val="21"/>
              </w:rPr>
            </w:pPr>
            <w:r>
              <w:rPr>
                <w:rFonts w:ascii="Times New Roman"/>
                <w:sz w:val="21"/>
                <w:szCs w:val="21"/>
              </w:rPr>
              <w:t>原料包装</w:t>
            </w:r>
          </w:p>
        </w:tc>
        <w:tc>
          <w:tcPr>
            <w:tcW w:w="1241" w:type="pct"/>
            <w:shd w:val="clear" w:color="auto" w:fill="auto"/>
            <w:vAlign w:val="center"/>
          </w:tcPr>
          <w:p w14:paraId="40E3BF89">
            <w:pPr>
              <w:spacing w:line="320" w:lineRule="exact"/>
              <w:jc w:val="center"/>
              <w:rPr>
                <w:rFonts w:ascii="Times New Roman"/>
                <w:sz w:val="21"/>
                <w:szCs w:val="21"/>
              </w:rPr>
            </w:pPr>
            <w:r>
              <w:rPr>
                <w:rFonts w:ascii="Times New Roman"/>
                <w:sz w:val="21"/>
                <w:szCs w:val="21"/>
              </w:rPr>
              <w:t>废包装材料</w:t>
            </w:r>
          </w:p>
        </w:tc>
        <w:tc>
          <w:tcPr>
            <w:tcW w:w="1817" w:type="pct"/>
            <w:gridSpan w:val="2"/>
            <w:vMerge w:val="continue"/>
            <w:shd w:val="clear" w:color="auto" w:fill="auto"/>
            <w:vAlign w:val="center"/>
          </w:tcPr>
          <w:p w14:paraId="5DE86D42">
            <w:pPr>
              <w:spacing w:line="320" w:lineRule="exact"/>
              <w:jc w:val="center"/>
              <w:rPr>
                <w:rFonts w:ascii="Times New Roman"/>
                <w:sz w:val="21"/>
                <w:szCs w:val="21"/>
              </w:rPr>
            </w:pPr>
          </w:p>
        </w:tc>
        <w:tc>
          <w:tcPr>
            <w:tcW w:w="353" w:type="pct"/>
            <w:shd w:val="clear" w:color="auto" w:fill="auto"/>
            <w:vAlign w:val="center"/>
          </w:tcPr>
          <w:p w14:paraId="74BD67B5">
            <w:pPr>
              <w:spacing w:line="320" w:lineRule="exact"/>
              <w:jc w:val="center"/>
              <w:rPr>
                <w:rFonts w:ascii="Times New Roman"/>
                <w:sz w:val="21"/>
                <w:szCs w:val="21"/>
              </w:rPr>
            </w:pPr>
            <w:r>
              <w:rPr>
                <w:rFonts w:ascii="Times New Roman"/>
                <w:sz w:val="21"/>
                <w:szCs w:val="21"/>
              </w:rPr>
              <w:t>间断</w:t>
            </w:r>
          </w:p>
        </w:tc>
      </w:tr>
      <w:tr w14:paraId="56C9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2367B31C">
            <w:pPr>
              <w:spacing w:line="320" w:lineRule="exact"/>
              <w:jc w:val="center"/>
              <w:rPr>
                <w:rFonts w:ascii="Times New Roman"/>
                <w:sz w:val="21"/>
                <w:szCs w:val="21"/>
              </w:rPr>
            </w:pPr>
          </w:p>
        </w:tc>
        <w:tc>
          <w:tcPr>
            <w:tcW w:w="386" w:type="pct"/>
            <w:shd w:val="clear" w:color="auto" w:fill="auto"/>
            <w:vAlign w:val="center"/>
          </w:tcPr>
          <w:p w14:paraId="2A6AF26E">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55F36B9B">
            <w:pPr>
              <w:spacing w:line="320" w:lineRule="exact"/>
              <w:jc w:val="center"/>
              <w:rPr>
                <w:rFonts w:ascii="Times New Roman"/>
                <w:sz w:val="21"/>
                <w:szCs w:val="21"/>
              </w:rPr>
            </w:pPr>
            <w:r>
              <w:rPr>
                <w:rFonts w:ascii="Times New Roman"/>
                <w:sz w:val="21"/>
                <w:szCs w:val="21"/>
              </w:rPr>
              <w:t>布袋除尘器</w:t>
            </w:r>
          </w:p>
        </w:tc>
        <w:tc>
          <w:tcPr>
            <w:tcW w:w="1241" w:type="pct"/>
            <w:shd w:val="clear" w:color="auto" w:fill="auto"/>
            <w:vAlign w:val="center"/>
          </w:tcPr>
          <w:p w14:paraId="71C976CF">
            <w:pPr>
              <w:spacing w:line="320" w:lineRule="exact"/>
              <w:jc w:val="center"/>
              <w:rPr>
                <w:rFonts w:ascii="Times New Roman"/>
                <w:sz w:val="21"/>
                <w:szCs w:val="21"/>
              </w:rPr>
            </w:pPr>
            <w:r>
              <w:rPr>
                <w:rFonts w:ascii="Times New Roman"/>
                <w:sz w:val="21"/>
                <w:szCs w:val="21"/>
              </w:rPr>
              <w:t>除尘灰、废布袋</w:t>
            </w:r>
          </w:p>
        </w:tc>
        <w:tc>
          <w:tcPr>
            <w:tcW w:w="1817" w:type="pct"/>
            <w:gridSpan w:val="2"/>
            <w:vMerge w:val="continue"/>
            <w:shd w:val="clear" w:color="auto" w:fill="auto"/>
            <w:vAlign w:val="center"/>
          </w:tcPr>
          <w:p w14:paraId="48ED0FF9">
            <w:pPr>
              <w:spacing w:line="320" w:lineRule="exact"/>
              <w:jc w:val="center"/>
              <w:rPr>
                <w:rFonts w:ascii="Times New Roman"/>
                <w:sz w:val="21"/>
                <w:szCs w:val="21"/>
              </w:rPr>
            </w:pPr>
          </w:p>
        </w:tc>
        <w:tc>
          <w:tcPr>
            <w:tcW w:w="353" w:type="pct"/>
            <w:shd w:val="clear" w:color="auto" w:fill="auto"/>
            <w:vAlign w:val="center"/>
          </w:tcPr>
          <w:p w14:paraId="39345C00">
            <w:pPr>
              <w:spacing w:line="320" w:lineRule="exact"/>
              <w:jc w:val="center"/>
              <w:rPr>
                <w:rFonts w:ascii="Times New Roman"/>
                <w:sz w:val="21"/>
                <w:szCs w:val="21"/>
              </w:rPr>
            </w:pPr>
            <w:r>
              <w:rPr>
                <w:rFonts w:ascii="Times New Roman"/>
                <w:sz w:val="21"/>
                <w:szCs w:val="21"/>
              </w:rPr>
              <w:t>间断</w:t>
            </w:r>
          </w:p>
        </w:tc>
      </w:tr>
      <w:tr w14:paraId="31BE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10767130">
            <w:pPr>
              <w:spacing w:line="320" w:lineRule="exact"/>
              <w:jc w:val="center"/>
              <w:rPr>
                <w:rFonts w:ascii="Times New Roman"/>
                <w:sz w:val="21"/>
                <w:szCs w:val="21"/>
              </w:rPr>
            </w:pPr>
          </w:p>
        </w:tc>
        <w:tc>
          <w:tcPr>
            <w:tcW w:w="386" w:type="pct"/>
            <w:shd w:val="clear" w:color="auto" w:fill="auto"/>
            <w:vAlign w:val="center"/>
          </w:tcPr>
          <w:p w14:paraId="612079EE">
            <w:pPr>
              <w:spacing w:line="320" w:lineRule="exact"/>
              <w:jc w:val="center"/>
              <w:rPr>
                <w:rFonts w:ascii="Times New Roman"/>
                <w:sz w:val="21"/>
                <w:szCs w:val="21"/>
              </w:rPr>
            </w:pPr>
            <w:r>
              <w:rPr>
                <w:rFonts w:ascii="Times New Roman"/>
                <w:sz w:val="21"/>
                <w:szCs w:val="21"/>
              </w:rPr>
              <w:t>S</w:t>
            </w:r>
            <w:r>
              <w:rPr>
                <w:rFonts w:hint="eastAsia" w:ascii="Times New Roman"/>
                <w:sz w:val="21"/>
                <w:szCs w:val="21"/>
              </w:rPr>
              <w:t>9</w:t>
            </w:r>
          </w:p>
        </w:tc>
        <w:tc>
          <w:tcPr>
            <w:tcW w:w="1022" w:type="pct"/>
            <w:gridSpan w:val="2"/>
            <w:shd w:val="clear" w:color="auto" w:fill="auto"/>
            <w:vAlign w:val="center"/>
          </w:tcPr>
          <w:p w14:paraId="52600143">
            <w:pPr>
              <w:spacing w:line="320" w:lineRule="exact"/>
              <w:jc w:val="center"/>
              <w:rPr>
                <w:rFonts w:ascii="Times New Roman"/>
                <w:sz w:val="21"/>
                <w:szCs w:val="21"/>
              </w:rPr>
            </w:pPr>
            <w:r>
              <w:rPr>
                <w:rFonts w:ascii="Times New Roman"/>
                <w:sz w:val="21"/>
                <w:szCs w:val="21"/>
              </w:rPr>
              <w:t>脱脂工序</w:t>
            </w:r>
          </w:p>
        </w:tc>
        <w:tc>
          <w:tcPr>
            <w:tcW w:w="1241" w:type="pct"/>
            <w:shd w:val="clear" w:color="auto" w:fill="auto"/>
            <w:vAlign w:val="center"/>
          </w:tcPr>
          <w:p w14:paraId="71F27C0D">
            <w:pPr>
              <w:spacing w:line="320" w:lineRule="exact"/>
              <w:jc w:val="center"/>
              <w:rPr>
                <w:rFonts w:ascii="Times New Roman"/>
                <w:sz w:val="21"/>
                <w:szCs w:val="21"/>
              </w:rPr>
            </w:pPr>
            <w:r>
              <w:rPr>
                <w:rFonts w:ascii="Times New Roman"/>
                <w:sz w:val="21"/>
                <w:szCs w:val="21"/>
              </w:rPr>
              <w:t>浮油</w:t>
            </w:r>
          </w:p>
        </w:tc>
        <w:tc>
          <w:tcPr>
            <w:tcW w:w="1817" w:type="pct"/>
            <w:gridSpan w:val="2"/>
            <w:vMerge w:val="restart"/>
            <w:shd w:val="clear" w:color="auto" w:fill="auto"/>
            <w:vAlign w:val="center"/>
          </w:tcPr>
          <w:p w14:paraId="1DCF6B09">
            <w:pPr>
              <w:spacing w:line="320" w:lineRule="exact"/>
              <w:jc w:val="center"/>
              <w:rPr>
                <w:rFonts w:ascii="Times New Roman"/>
                <w:sz w:val="21"/>
                <w:szCs w:val="21"/>
              </w:rPr>
            </w:pPr>
            <w:r>
              <w:rPr>
                <w:rFonts w:ascii="Times New Roman"/>
                <w:sz w:val="21"/>
                <w:szCs w:val="21"/>
              </w:rPr>
              <w:t>分类暂存危废间，定期交由资质单位处置</w:t>
            </w:r>
          </w:p>
        </w:tc>
        <w:tc>
          <w:tcPr>
            <w:tcW w:w="353" w:type="pct"/>
            <w:shd w:val="clear" w:color="auto" w:fill="auto"/>
            <w:vAlign w:val="center"/>
          </w:tcPr>
          <w:p w14:paraId="6EDC5B63">
            <w:pPr>
              <w:spacing w:line="320" w:lineRule="exact"/>
              <w:jc w:val="center"/>
              <w:rPr>
                <w:rFonts w:ascii="Times New Roman"/>
                <w:sz w:val="21"/>
                <w:szCs w:val="21"/>
              </w:rPr>
            </w:pPr>
            <w:r>
              <w:rPr>
                <w:rFonts w:ascii="Times New Roman"/>
                <w:sz w:val="21"/>
                <w:szCs w:val="21"/>
              </w:rPr>
              <w:t>间断</w:t>
            </w:r>
          </w:p>
        </w:tc>
      </w:tr>
      <w:tr w14:paraId="64C6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2065986">
            <w:pPr>
              <w:spacing w:line="320" w:lineRule="exact"/>
              <w:jc w:val="center"/>
              <w:rPr>
                <w:rFonts w:ascii="Times New Roman"/>
                <w:sz w:val="21"/>
                <w:szCs w:val="21"/>
              </w:rPr>
            </w:pPr>
          </w:p>
        </w:tc>
        <w:tc>
          <w:tcPr>
            <w:tcW w:w="386" w:type="pct"/>
            <w:shd w:val="clear" w:color="auto" w:fill="auto"/>
            <w:vAlign w:val="center"/>
          </w:tcPr>
          <w:p w14:paraId="1C949F6A">
            <w:pPr>
              <w:spacing w:line="320" w:lineRule="exact"/>
              <w:jc w:val="center"/>
              <w:rPr>
                <w:rFonts w:ascii="Times New Roman"/>
                <w:sz w:val="21"/>
                <w:szCs w:val="21"/>
              </w:rPr>
            </w:pPr>
            <w:r>
              <w:rPr>
                <w:rFonts w:ascii="Times New Roman"/>
                <w:sz w:val="21"/>
                <w:szCs w:val="21"/>
              </w:rPr>
              <w:t>S</w:t>
            </w:r>
            <w:r>
              <w:rPr>
                <w:rFonts w:hint="eastAsia" w:ascii="Times New Roman"/>
                <w:sz w:val="21"/>
                <w:szCs w:val="21"/>
              </w:rPr>
              <w:t>10</w:t>
            </w:r>
          </w:p>
        </w:tc>
        <w:tc>
          <w:tcPr>
            <w:tcW w:w="1022" w:type="pct"/>
            <w:gridSpan w:val="2"/>
            <w:shd w:val="clear" w:color="auto" w:fill="auto"/>
            <w:vAlign w:val="center"/>
          </w:tcPr>
          <w:p w14:paraId="45D4ED75">
            <w:pPr>
              <w:spacing w:line="320" w:lineRule="exact"/>
              <w:jc w:val="center"/>
              <w:rPr>
                <w:rFonts w:ascii="Times New Roman"/>
                <w:sz w:val="21"/>
                <w:szCs w:val="21"/>
              </w:rPr>
            </w:pPr>
            <w:r>
              <w:rPr>
                <w:rFonts w:ascii="Times New Roman"/>
                <w:sz w:val="21"/>
                <w:szCs w:val="21"/>
              </w:rPr>
              <w:t>硅烷化工序</w:t>
            </w:r>
          </w:p>
        </w:tc>
        <w:tc>
          <w:tcPr>
            <w:tcW w:w="1241" w:type="pct"/>
            <w:shd w:val="clear" w:color="auto" w:fill="auto"/>
            <w:vAlign w:val="center"/>
          </w:tcPr>
          <w:p w14:paraId="45ED138F">
            <w:pPr>
              <w:spacing w:line="320" w:lineRule="exact"/>
              <w:jc w:val="center"/>
              <w:rPr>
                <w:rFonts w:ascii="Times New Roman"/>
                <w:sz w:val="21"/>
                <w:szCs w:val="21"/>
              </w:rPr>
            </w:pPr>
            <w:r>
              <w:rPr>
                <w:rFonts w:ascii="Times New Roman"/>
                <w:sz w:val="21"/>
                <w:szCs w:val="21"/>
              </w:rPr>
              <w:t>废滤芯、杂质</w:t>
            </w:r>
          </w:p>
        </w:tc>
        <w:tc>
          <w:tcPr>
            <w:tcW w:w="1817" w:type="pct"/>
            <w:gridSpan w:val="2"/>
            <w:vMerge w:val="continue"/>
            <w:vAlign w:val="center"/>
          </w:tcPr>
          <w:p w14:paraId="5570D9F9">
            <w:pPr>
              <w:spacing w:line="320" w:lineRule="exact"/>
              <w:jc w:val="center"/>
              <w:rPr>
                <w:rFonts w:ascii="Times New Roman"/>
                <w:sz w:val="21"/>
                <w:szCs w:val="21"/>
              </w:rPr>
            </w:pPr>
          </w:p>
        </w:tc>
        <w:tc>
          <w:tcPr>
            <w:tcW w:w="353" w:type="pct"/>
            <w:shd w:val="clear" w:color="auto" w:fill="auto"/>
            <w:vAlign w:val="center"/>
          </w:tcPr>
          <w:p w14:paraId="1098BE36">
            <w:pPr>
              <w:spacing w:line="320" w:lineRule="exact"/>
              <w:jc w:val="center"/>
              <w:rPr>
                <w:rFonts w:ascii="Times New Roman"/>
                <w:sz w:val="21"/>
                <w:szCs w:val="21"/>
              </w:rPr>
            </w:pPr>
            <w:r>
              <w:rPr>
                <w:rFonts w:ascii="Times New Roman"/>
                <w:sz w:val="21"/>
                <w:szCs w:val="21"/>
              </w:rPr>
              <w:t>间断</w:t>
            </w:r>
          </w:p>
        </w:tc>
      </w:tr>
      <w:tr w14:paraId="3EA8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5D7455F9">
            <w:pPr>
              <w:spacing w:line="320" w:lineRule="exact"/>
              <w:jc w:val="center"/>
              <w:rPr>
                <w:rFonts w:ascii="Times New Roman"/>
                <w:sz w:val="21"/>
                <w:szCs w:val="21"/>
              </w:rPr>
            </w:pPr>
          </w:p>
        </w:tc>
        <w:tc>
          <w:tcPr>
            <w:tcW w:w="386" w:type="pct"/>
            <w:vAlign w:val="center"/>
          </w:tcPr>
          <w:p w14:paraId="1C14A281">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79F91DF0">
            <w:pPr>
              <w:spacing w:line="320" w:lineRule="exact"/>
              <w:jc w:val="center"/>
              <w:rPr>
                <w:rFonts w:ascii="Times New Roman"/>
                <w:sz w:val="21"/>
                <w:szCs w:val="21"/>
              </w:rPr>
            </w:pPr>
            <w:r>
              <w:rPr>
                <w:rFonts w:ascii="Times New Roman"/>
                <w:sz w:val="21"/>
                <w:szCs w:val="21"/>
              </w:rPr>
              <w:t>滤筒除尘器</w:t>
            </w:r>
          </w:p>
        </w:tc>
        <w:tc>
          <w:tcPr>
            <w:tcW w:w="1241" w:type="pct"/>
            <w:vAlign w:val="center"/>
          </w:tcPr>
          <w:p w14:paraId="7C6D4133">
            <w:pPr>
              <w:spacing w:line="320" w:lineRule="exact"/>
              <w:jc w:val="center"/>
              <w:rPr>
                <w:rFonts w:ascii="Times New Roman"/>
                <w:sz w:val="21"/>
                <w:szCs w:val="21"/>
              </w:rPr>
            </w:pPr>
            <w:r>
              <w:rPr>
                <w:rFonts w:ascii="Times New Roman"/>
                <w:sz w:val="21"/>
                <w:szCs w:val="21"/>
              </w:rPr>
              <w:t>收尘灰</w:t>
            </w:r>
          </w:p>
        </w:tc>
        <w:tc>
          <w:tcPr>
            <w:tcW w:w="1817" w:type="pct"/>
            <w:gridSpan w:val="2"/>
            <w:vAlign w:val="center"/>
          </w:tcPr>
          <w:p w14:paraId="2B396F06">
            <w:pPr>
              <w:spacing w:line="320" w:lineRule="exact"/>
              <w:jc w:val="center"/>
              <w:rPr>
                <w:rFonts w:ascii="Times New Roman"/>
                <w:sz w:val="21"/>
                <w:szCs w:val="21"/>
              </w:rPr>
            </w:pPr>
            <w:r>
              <w:rPr>
                <w:rFonts w:ascii="Times New Roman"/>
                <w:sz w:val="21"/>
                <w:szCs w:val="21"/>
              </w:rPr>
              <w:t>回用于喷塑工序</w:t>
            </w:r>
          </w:p>
        </w:tc>
        <w:tc>
          <w:tcPr>
            <w:tcW w:w="353" w:type="pct"/>
            <w:shd w:val="clear" w:color="auto" w:fill="auto"/>
            <w:vAlign w:val="center"/>
          </w:tcPr>
          <w:p w14:paraId="7DAA30E0">
            <w:pPr>
              <w:spacing w:line="320" w:lineRule="exact"/>
              <w:jc w:val="center"/>
              <w:rPr>
                <w:rFonts w:ascii="Times New Roman"/>
                <w:sz w:val="21"/>
                <w:szCs w:val="21"/>
              </w:rPr>
            </w:pPr>
            <w:r>
              <w:rPr>
                <w:rFonts w:ascii="Times New Roman"/>
                <w:sz w:val="21"/>
                <w:szCs w:val="21"/>
              </w:rPr>
              <w:t>间断</w:t>
            </w:r>
          </w:p>
        </w:tc>
      </w:tr>
      <w:tr w14:paraId="3019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73F8CF62">
            <w:pPr>
              <w:spacing w:line="320" w:lineRule="exact"/>
              <w:jc w:val="center"/>
              <w:rPr>
                <w:rFonts w:ascii="Times New Roman"/>
                <w:sz w:val="21"/>
                <w:szCs w:val="21"/>
              </w:rPr>
            </w:pPr>
          </w:p>
        </w:tc>
        <w:tc>
          <w:tcPr>
            <w:tcW w:w="386" w:type="pct"/>
            <w:vAlign w:val="center"/>
          </w:tcPr>
          <w:p w14:paraId="37C1F1C6">
            <w:pPr>
              <w:spacing w:line="320" w:lineRule="exact"/>
              <w:jc w:val="center"/>
              <w:rPr>
                <w:rFonts w:ascii="Times New Roman"/>
                <w:sz w:val="21"/>
                <w:szCs w:val="21"/>
              </w:rPr>
            </w:pPr>
            <w:r>
              <w:rPr>
                <w:rFonts w:hint="eastAsia" w:ascii="Times New Roman"/>
                <w:sz w:val="21"/>
                <w:szCs w:val="21"/>
              </w:rPr>
              <w:t>--</w:t>
            </w:r>
          </w:p>
        </w:tc>
        <w:tc>
          <w:tcPr>
            <w:tcW w:w="1022" w:type="pct"/>
            <w:gridSpan w:val="2"/>
            <w:shd w:val="clear" w:color="auto" w:fill="auto"/>
            <w:vAlign w:val="center"/>
          </w:tcPr>
          <w:p w14:paraId="16E34F12">
            <w:pPr>
              <w:spacing w:line="320" w:lineRule="exact"/>
              <w:jc w:val="center"/>
              <w:rPr>
                <w:rFonts w:ascii="Times New Roman"/>
                <w:sz w:val="21"/>
                <w:szCs w:val="21"/>
              </w:rPr>
            </w:pPr>
            <w:r>
              <w:rPr>
                <w:rFonts w:hint="eastAsia" w:ascii="Times New Roman"/>
                <w:sz w:val="21"/>
                <w:szCs w:val="21"/>
              </w:rPr>
              <w:t>UF1、UF2</w:t>
            </w:r>
          </w:p>
        </w:tc>
        <w:tc>
          <w:tcPr>
            <w:tcW w:w="1241" w:type="pct"/>
            <w:shd w:val="clear" w:color="auto" w:fill="auto"/>
            <w:vAlign w:val="center"/>
          </w:tcPr>
          <w:p w14:paraId="49BE13C5">
            <w:pPr>
              <w:spacing w:line="320" w:lineRule="exact"/>
              <w:jc w:val="center"/>
              <w:rPr>
                <w:rFonts w:ascii="Times New Roman"/>
                <w:sz w:val="21"/>
                <w:szCs w:val="21"/>
              </w:rPr>
            </w:pPr>
            <w:r>
              <w:rPr>
                <w:rFonts w:hint="eastAsia" w:ascii="Times New Roman"/>
                <w:sz w:val="21"/>
                <w:szCs w:val="21"/>
              </w:rPr>
              <w:t>废超滤膜</w:t>
            </w:r>
          </w:p>
        </w:tc>
        <w:tc>
          <w:tcPr>
            <w:tcW w:w="1817" w:type="pct"/>
            <w:gridSpan w:val="2"/>
            <w:vMerge w:val="restart"/>
            <w:shd w:val="clear" w:color="auto" w:fill="auto"/>
            <w:vAlign w:val="center"/>
          </w:tcPr>
          <w:p w14:paraId="576052C6">
            <w:pPr>
              <w:spacing w:line="320" w:lineRule="exact"/>
              <w:jc w:val="center"/>
              <w:rPr>
                <w:rFonts w:ascii="Times New Roman"/>
                <w:sz w:val="21"/>
                <w:szCs w:val="21"/>
              </w:rPr>
            </w:pPr>
            <w:r>
              <w:rPr>
                <w:rFonts w:ascii="Times New Roman"/>
                <w:sz w:val="21"/>
                <w:szCs w:val="21"/>
              </w:rPr>
              <w:t>由厂家回收再生处理</w:t>
            </w:r>
          </w:p>
        </w:tc>
        <w:tc>
          <w:tcPr>
            <w:tcW w:w="353" w:type="pct"/>
            <w:shd w:val="clear" w:color="auto" w:fill="auto"/>
            <w:vAlign w:val="center"/>
          </w:tcPr>
          <w:p w14:paraId="6488D3D0">
            <w:pPr>
              <w:spacing w:line="320" w:lineRule="exact"/>
              <w:jc w:val="center"/>
              <w:rPr>
                <w:rFonts w:ascii="Times New Roman"/>
                <w:sz w:val="21"/>
                <w:szCs w:val="21"/>
              </w:rPr>
            </w:pPr>
            <w:r>
              <w:rPr>
                <w:rFonts w:ascii="Times New Roman"/>
                <w:sz w:val="21"/>
                <w:szCs w:val="21"/>
              </w:rPr>
              <w:t>间断</w:t>
            </w:r>
          </w:p>
        </w:tc>
      </w:tr>
      <w:tr w14:paraId="18A7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25F98393">
            <w:pPr>
              <w:spacing w:line="320" w:lineRule="exact"/>
              <w:jc w:val="center"/>
              <w:rPr>
                <w:rFonts w:ascii="Times New Roman"/>
                <w:sz w:val="21"/>
                <w:szCs w:val="21"/>
              </w:rPr>
            </w:pPr>
          </w:p>
        </w:tc>
        <w:tc>
          <w:tcPr>
            <w:tcW w:w="386" w:type="pct"/>
            <w:vAlign w:val="center"/>
          </w:tcPr>
          <w:p w14:paraId="77D8BE50">
            <w:pPr>
              <w:spacing w:line="320" w:lineRule="exact"/>
              <w:jc w:val="center"/>
              <w:rPr>
                <w:rFonts w:ascii="Times New Roman"/>
                <w:sz w:val="21"/>
                <w:szCs w:val="21"/>
              </w:rPr>
            </w:pPr>
            <w:r>
              <w:rPr>
                <w:rFonts w:ascii="Times New Roman"/>
                <w:sz w:val="21"/>
                <w:szCs w:val="21"/>
              </w:rPr>
              <w:t>--</w:t>
            </w:r>
          </w:p>
        </w:tc>
        <w:tc>
          <w:tcPr>
            <w:tcW w:w="1022" w:type="pct"/>
            <w:gridSpan w:val="2"/>
            <w:shd w:val="clear" w:color="auto" w:fill="auto"/>
            <w:vAlign w:val="center"/>
          </w:tcPr>
          <w:p w14:paraId="1B7941E3">
            <w:pPr>
              <w:spacing w:line="320" w:lineRule="exact"/>
              <w:jc w:val="center"/>
              <w:rPr>
                <w:rFonts w:ascii="Times New Roman"/>
                <w:sz w:val="21"/>
                <w:szCs w:val="21"/>
              </w:rPr>
            </w:pPr>
            <w:r>
              <w:rPr>
                <w:rFonts w:hint="eastAsia" w:ascii="Times New Roman"/>
                <w:sz w:val="21"/>
                <w:szCs w:val="21"/>
              </w:rPr>
              <w:t>纯</w:t>
            </w:r>
            <w:r>
              <w:rPr>
                <w:rFonts w:ascii="Times New Roman"/>
                <w:sz w:val="21"/>
                <w:szCs w:val="21"/>
              </w:rPr>
              <w:t>水制备</w:t>
            </w:r>
          </w:p>
        </w:tc>
        <w:tc>
          <w:tcPr>
            <w:tcW w:w="1241" w:type="pct"/>
            <w:shd w:val="clear" w:color="auto" w:fill="auto"/>
            <w:vAlign w:val="center"/>
          </w:tcPr>
          <w:p w14:paraId="4341A9B0">
            <w:pPr>
              <w:spacing w:line="320" w:lineRule="exact"/>
              <w:jc w:val="center"/>
              <w:rPr>
                <w:rFonts w:ascii="Times New Roman"/>
                <w:sz w:val="21"/>
                <w:szCs w:val="21"/>
              </w:rPr>
            </w:pPr>
            <w:r>
              <w:rPr>
                <w:rFonts w:ascii="Times New Roman"/>
                <w:sz w:val="21"/>
                <w:szCs w:val="21"/>
              </w:rPr>
              <w:t>废反渗透膜</w:t>
            </w:r>
          </w:p>
        </w:tc>
        <w:tc>
          <w:tcPr>
            <w:tcW w:w="1817" w:type="pct"/>
            <w:gridSpan w:val="2"/>
            <w:vMerge w:val="continue"/>
            <w:shd w:val="clear" w:color="auto" w:fill="auto"/>
            <w:vAlign w:val="center"/>
          </w:tcPr>
          <w:p w14:paraId="5DF2DBDF">
            <w:pPr>
              <w:spacing w:line="320" w:lineRule="exact"/>
              <w:jc w:val="center"/>
              <w:rPr>
                <w:rFonts w:ascii="Times New Roman"/>
                <w:sz w:val="21"/>
                <w:szCs w:val="21"/>
              </w:rPr>
            </w:pPr>
          </w:p>
        </w:tc>
        <w:tc>
          <w:tcPr>
            <w:tcW w:w="353" w:type="pct"/>
            <w:shd w:val="clear" w:color="auto" w:fill="auto"/>
            <w:vAlign w:val="center"/>
          </w:tcPr>
          <w:p w14:paraId="4958622F">
            <w:pPr>
              <w:spacing w:line="320" w:lineRule="exact"/>
              <w:jc w:val="center"/>
              <w:rPr>
                <w:rFonts w:ascii="Times New Roman"/>
                <w:sz w:val="21"/>
                <w:szCs w:val="21"/>
              </w:rPr>
            </w:pPr>
            <w:r>
              <w:rPr>
                <w:rFonts w:ascii="Times New Roman"/>
                <w:sz w:val="21"/>
                <w:szCs w:val="21"/>
              </w:rPr>
              <w:t>间断</w:t>
            </w:r>
          </w:p>
        </w:tc>
      </w:tr>
      <w:tr w14:paraId="0AAD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5FCBC3F5">
            <w:pPr>
              <w:spacing w:line="320" w:lineRule="exact"/>
              <w:jc w:val="center"/>
              <w:rPr>
                <w:rFonts w:ascii="Times New Roman"/>
                <w:sz w:val="21"/>
                <w:szCs w:val="21"/>
              </w:rPr>
            </w:pPr>
          </w:p>
        </w:tc>
        <w:tc>
          <w:tcPr>
            <w:tcW w:w="386" w:type="pct"/>
            <w:vAlign w:val="center"/>
          </w:tcPr>
          <w:p w14:paraId="15D79B39">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06E09E96">
            <w:pPr>
              <w:spacing w:line="320" w:lineRule="exact"/>
              <w:jc w:val="center"/>
              <w:rPr>
                <w:rFonts w:ascii="Times New Roman"/>
                <w:sz w:val="21"/>
                <w:szCs w:val="21"/>
              </w:rPr>
            </w:pPr>
            <w:r>
              <w:rPr>
                <w:rFonts w:hint="eastAsia" w:ascii="Times New Roman"/>
                <w:sz w:val="21"/>
                <w:szCs w:val="21"/>
              </w:rPr>
              <w:t>电泳、</w:t>
            </w:r>
            <w:r>
              <w:rPr>
                <w:rFonts w:ascii="Times New Roman"/>
                <w:sz w:val="21"/>
                <w:szCs w:val="21"/>
              </w:rPr>
              <w:t>喷漆</w:t>
            </w:r>
          </w:p>
        </w:tc>
        <w:tc>
          <w:tcPr>
            <w:tcW w:w="1241" w:type="pct"/>
            <w:vAlign w:val="center"/>
          </w:tcPr>
          <w:p w14:paraId="3D67D34B">
            <w:pPr>
              <w:spacing w:line="320" w:lineRule="exact"/>
              <w:jc w:val="center"/>
              <w:rPr>
                <w:rFonts w:ascii="Times New Roman"/>
                <w:sz w:val="21"/>
                <w:szCs w:val="21"/>
              </w:rPr>
            </w:pPr>
            <w:r>
              <w:rPr>
                <w:rFonts w:ascii="Times New Roman"/>
                <w:sz w:val="21"/>
                <w:szCs w:val="21"/>
              </w:rPr>
              <w:t>漆渣、废漆桶、废稀释剂桶</w:t>
            </w:r>
          </w:p>
        </w:tc>
        <w:tc>
          <w:tcPr>
            <w:tcW w:w="1817" w:type="pct"/>
            <w:gridSpan w:val="2"/>
            <w:vMerge w:val="restart"/>
            <w:vAlign w:val="center"/>
          </w:tcPr>
          <w:p w14:paraId="1B58C0EB">
            <w:pPr>
              <w:spacing w:line="320" w:lineRule="exact"/>
              <w:jc w:val="center"/>
              <w:rPr>
                <w:rFonts w:ascii="Times New Roman"/>
                <w:sz w:val="21"/>
                <w:szCs w:val="21"/>
              </w:rPr>
            </w:pPr>
            <w:r>
              <w:rPr>
                <w:rFonts w:ascii="Times New Roman"/>
                <w:sz w:val="21"/>
                <w:szCs w:val="21"/>
              </w:rPr>
              <w:t>分类暂存危废间，定期交由资质单位处置</w:t>
            </w:r>
          </w:p>
        </w:tc>
        <w:tc>
          <w:tcPr>
            <w:tcW w:w="353" w:type="pct"/>
            <w:shd w:val="clear" w:color="auto" w:fill="auto"/>
            <w:vAlign w:val="center"/>
          </w:tcPr>
          <w:p w14:paraId="228BBDD6">
            <w:pPr>
              <w:spacing w:line="320" w:lineRule="exact"/>
              <w:jc w:val="center"/>
              <w:rPr>
                <w:rFonts w:ascii="Times New Roman"/>
                <w:sz w:val="21"/>
                <w:szCs w:val="21"/>
              </w:rPr>
            </w:pPr>
            <w:r>
              <w:rPr>
                <w:rFonts w:ascii="Times New Roman"/>
                <w:sz w:val="21"/>
                <w:szCs w:val="21"/>
              </w:rPr>
              <w:t>间断</w:t>
            </w:r>
          </w:p>
        </w:tc>
      </w:tr>
      <w:tr w14:paraId="319C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5641699B">
            <w:pPr>
              <w:spacing w:line="320" w:lineRule="exact"/>
              <w:jc w:val="center"/>
              <w:rPr>
                <w:rFonts w:ascii="Times New Roman"/>
                <w:sz w:val="21"/>
                <w:szCs w:val="21"/>
              </w:rPr>
            </w:pPr>
          </w:p>
        </w:tc>
        <w:tc>
          <w:tcPr>
            <w:tcW w:w="386" w:type="pct"/>
            <w:vAlign w:val="center"/>
          </w:tcPr>
          <w:p w14:paraId="50253FFC">
            <w:pPr>
              <w:spacing w:line="320" w:lineRule="exact"/>
              <w:jc w:val="center"/>
              <w:rPr>
                <w:rFonts w:ascii="Times New Roman"/>
                <w:sz w:val="21"/>
                <w:szCs w:val="21"/>
              </w:rPr>
            </w:pPr>
            <w:r>
              <w:rPr>
                <w:rFonts w:ascii="Times New Roman"/>
                <w:sz w:val="21"/>
                <w:szCs w:val="21"/>
              </w:rPr>
              <w:t>--</w:t>
            </w:r>
          </w:p>
        </w:tc>
        <w:tc>
          <w:tcPr>
            <w:tcW w:w="1022" w:type="pct"/>
            <w:gridSpan w:val="2"/>
            <w:vMerge w:val="restart"/>
            <w:vAlign w:val="center"/>
          </w:tcPr>
          <w:p w14:paraId="14010356">
            <w:pPr>
              <w:spacing w:line="320" w:lineRule="exact"/>
              <w:jc w:val="center"/>
              <w:rPr>
                <w:rFonts w:ascii="Times New Roman"/>
                <w:sz w:val="21"/>
                <w:szCs w:val="21"/>
              </w:rPr>
            </w:pPr>
            <w:r>
              <w:rPr>
                <w:rFonts w:ascii="Times New Roman"/>
                <w:sz w:val="21"/>
                <w:szCs w:val="21"/>
              </w:rPr>
              <w:t>机械加工</w:t>
            </w:r>
          </w:p>
        </w:tc>
        <w:tc>
          <w:tcPr>
            <w:tcW w:w="1241" w:type="pct"/>
            <w:vAlign w:val="center"/>
          </w:tcPr>
          <w:p w14:paraId="24D86406">
            <w:pPr>
              <w:spacing w:line="320" w:lineRule="exact"/>
              <w:jc w:val="center"/>
              <w:rPr>
                <w:rFonts w:ascii="Times New Roman"/>
                <w:sz w:val="21"/>
                <w:szCs w:val="21"/>
              </w:rPr>
            </w:pPr>
            <w:r>
              <w:rPr>
                <w:rFonts w:ascii="Times New Roman"/>
                <w:sz w:val="21"/>
                <w:szCs w:val="21"/>
              </w:rPr>
              <w:t>废液压油</w:t>
            </w:r>
          </w:p>
        </w:tc>
        <w:tc>
          <w:tcPr>
            <w:tcW w:w="1817" w:type="pct"/>
            <w:gridSpan w:val="2"/>
            <w:vMerge w:val="continue"/>
            <w:vAlign w:val="center"/>
          </w:tcPr>
          <w:p w14:paraId="75668D3B">
            <w:pPr>
              <w:spacing w:line="320" w:lineRule="exact"/>
              <w:jc w:val="center"/>
              <w:rPr>
                <w:rFonts w:ascii="Times New Roman"/>
                <w:sz w:val="21"/>
                <w:szCs w:val="21"/>
              </w:rPr>
            </w:pPr>
          </w:p>
        </w:tc>
        <w:tc>
          <w:tcPr>
            <w:tcW w:w="353" w:type="pct"/>
            <w:vAlign w:val="center"/>
          </w:tcPr>
          <w:p w14:paraId="44EDA0A5">
            <w:pPr>
              <w:spacing w:line="320" w:lineRule="exact"/>
              <w:jc w:val="center"/>
              <w:rPr>
                <w:rFonts w:ascii="Times New Roman"/>
                <w:sz w:val="21"/>
                <w:szCs w:val="21"/>
              </w:rPr>
            </w:pPr>
            <w:r>
              <w:rPr>
                <w:rFonts w:ascii="Times New Roman"/>
                <w:sz w:val="21"/>
                <w:szCs w:val="21"/>
              </w:rPr>
              <w:t>间断</w:t>
            </w:r>
          </w:p>
        </w:tc>
      </w:tr>
      <w:tr w14:paraId="43CE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1B82D473">
            <w:pPr>
              <w:spacing w:line="320" w:lineRule="exact"/>
              <w:jc w:val="center"/>
              <w:rPr>
                <w:rFonts w:ascii="Times New Roman"/>
                <w:sz w:val="21"/>
                <w:szCs w:val="21"/>
              </w:rPr>
            </w:pPr>
          </w:p>
        </w:tc>
        <w:tc>
          <w:tcPr>
            <w:tcW w:w="386" w:type="pct"/>
            <w:vAlign w:val="center"/>
          </w:tcPr>
          <w:p w14:paraId="45EBD69C">
            <w:pPr>
              <w:spacing w:line="320" w:lineRule="exact"/>
              <w:jc w:val="center"/>
              <w:rPr>
                <w:rFonts w:ascii="Times New Roman"/>
                <w:sz w:val="21"/>
                <w:szCs w:val="21"/>
              </w:rPr>
            </w:pPr>
            <w:r>
              <w:rPr>
                <w:rFonts w:ascii="Times New Roman"/>
                <w:sz w:val="21"/>
                <w:szCs w:val="21"/>
              </w:rPr>
              <w:t>--</w:t>
            </w:r>
          </w:p>
        </w:tc>
        <w:tc>
          <w:tcPr>
            <w:tcW w:w="1022" w:type="pct"/>
            <w:gridSpan w:val="2"/>
            <w:vMerge w:val="continue"/>
            <w:vAlign w:val="center"/>
          </w:tcPr>
          <w:p w14:paraId="6C4BB053">
            <w:pPr>
              <w:spacing w:line="320" w:lineRule="exact"/>
              <w:jc w:val="center"/>
              <w:rPr>
                <w:rFonts w:ascii="Times New Roman"/>
                <w:sz w:val="21"/>
                <w:szCs w:val="21"/>
              </w:rPr>
            </w:pPr>
          </w:p>
        </w:tc>
        <w:tc>
          <w:tcPr>
            <w:tcW w:w="1241" w:type="pct"/>
            <w:vAlign w:val="center"/>
          </w:tcPr>
          <w:p w14:paraId="6162676B">
            <w:pPr>
              <w:spacing w:line="320" w:lineRule="exact"/>
              <w:jc w:val="center"/>
              <w:rPr>
                <w:rFonts w:ascii="Times New Roman"/>
                <w:sz w:val="21"/>
                <w:szCs w:val="21"/>
              </w:rPr>
            </w:pPr>
            <w:r>
              <w:rPr>
                <w:rFonts w:ascii="Times New Roman"/>
                <w:sz w:val="21"/>
                <w:szCs w:val="21"/>
              </w:rPr>
              <w:t>废润滑油</w:t>
            </w:r>
          </w:p>
        </w:tc>
        <w:tc>
          <w:tcPr>
            <w:tcW w:w="1817" w:type="pct"/>
            <w:gridSpan w:val="2"/>
            <w:vMerge w:val="continue"/>
            <w:vAlign w:val="center"/>
          </w:tcPr>
          <w:p w14:paraId="1C438D2D">
            <w:pPr>
              <w:spacing w:line="320" w:lineRule="exact"/>
              <w:jc w:val="center"/>
              <w:rPr>
                <w:rFonts w:ascii="Times New Roman"/>
                <w:sz w:val="21"/>
                <w:szCs w:val="21"/>
              </w:rPr>
            </w:pPr>
          </w:p>
        </w:tc>
        <w:tc>
          <w:tcPr>
            <w:tcW w:w="353" w:type="pct"/>
            <w:vAlign w:val="center"/>
          </w:tcPr>
          <w:p w14:paraId="718123B3">
            <w:pPr>
              <w:spacing w:line="320" w:lineRule="exact"/>
              <w:jc w:val="center"/>
              <w:rPr>
                <w:rFonts w:ascii="Times New Roman"/>
                <w:sz w:val="21"/>
                <w:szCs w:val="21"/>
              </w:rPr>
            </w:pPr>
            <w:r>
              <w:rPr>
                <w:rFonts w:ascii="Times New Roman"/>
                <w:sz w:val="21"/>
                <w:szCs w:val="21"/>
              </w:rPr>
              <w:t>间断</w:t>
            </w:r>
          </w:p>
        </w:tc>
      </w:tr>
      <w:tr w14:paraId="5CEA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3D78D01E">
            <w:pPr>
              <w:spacing w:line="320" w:lineRule="exact"/>
              <w:jc w:val="center"/>
              <w:rPr>
                <w:rFonts w:ascii="Times New Roman"/>
                <w:sz w:val="21"/>
                <w:szCs w:val="21"/>
              </w:rPr>
            </w:pPr>
          </w:p>
        </w:tc>
        <w:tc>
          <w:tcPr>
            <w:tcW w:w="386" w:type="pct"/>
            <w:vAlign w:val="center"/>
          </w:tcPr>
          <w:p w14:paraId="10662EE4">
            <w:pPr>
              <w:spacing w:line="320" w:lineRule="exact"/>
              <w:jc w:val="center"/>
              <w:rPr>
                <w:rFonts w:ascii="Times New Roman"/>
                <w:sz w:val="21"/>
                <w:szCs w:val="21"/>
              </w:rPr>
            </w:pPr>
            <w:r>
              <w:rPr>
                <w:rFonts w:ascii="Times New Roman"/>
                <w:sz w:val="21"/>
                <w:szCs w:val="21"/>
              </w:rPr>
              <w:t>--</w:t>
            </w:r>
          </w:p>
        </w:tc>
        <w:tc>
          <w:tcPr>
            <w:tcW w:w="1022" w:type="pct"/>
            <w:gridSpan w:val="2"/>
            <w:vMerge w:val="continue"/>
            <w:vAlign w:val="center"/>
          </w:tcPr>
          <w:p w14:paraId="6BAAA764">
            <w:pPr>
              <w:spacing w:line="320" w:lineRule="exact"/>
              <w:jc w:val="center"/>
              <w:rPr>
                <w:rFonts w:ascii="Times New Roman"/>
                <w:sz w:val="21"/>
                <w:szCs w:val="21"/>
              </w:rPr>
            </w:pPr>
          </w:p>
        </w:tc>
        <w:tc>
          <w:tcPr>
            <w:tcW w:w="1241" w:type="pct"/>
            <w:vAlign w:val="center"/>
          </w:tcPr>
          <w:p w14:paraId="26D5341B">
            <w:pPr>
              <w:spacing w:line="320" w:lineRule="exact"/>
              <w:jc w:val="center"/>
              <w:rPr>
                <w:rFonts w:ascii="Times New Roman"/>
                <w:sz w:val="21"/>
                <w:szCs w:val="21"/>
              </w:rPr>
            </w:pPr>
            <w:r>
              <w:rPr>
                <w:rFonts w:ascii="Times New Roman"/>
                <w:sz w:val="21"/>
                <w:szCs w:val="21"/>
              </w:rPr>
              <w:t>废油桶</w:t>
            </w:r>
          </w:p>
        </w:tc>
        <w:tc>
          <w:tcPr>
            <w:tcW w:w="1817" w:type="pct"/>
            <w:gridSpan w:val="2"/>
            <w:vMerge w:val="continue"/>
            <w:vAlign w:val="center"/>
          </w:tcPr>
          <w:p w14:paraId="1A56C31D">
            <w:pPr>
              <w:spacing w:line="320" w:lineRule="exact"/>
              <w:jc w:val="center"/>
              <w:rPr>
                <w:rFonts w:ascii="Times New Roman"/>
                <w:sz w:val="21"/>
                <w:szCs w:val="21"/>
              </w:rPr>
            </w:pPr>
          </w:p>
        </w:tc>
        <w:tc>
          <w:tcPr>
            <w:tcW w:w="353" w:type="pct"/>
            <w:vAlign w:val="center"/>
          </w:tcPr>
          <w:p w14:paraId="62492A36">
            <w:pPr>
              <w:spacing w:line="320" w:lineRule="exact"/>
              <w:jc w:val="center"/>
              <w:rPr>
                <w:rFonts w:ascii="Times New Roman"/>
                <w:sz w:val="21"/>
                <w:szCs w:val="21"/>
              </w:rPr>
            </w:pPr>
            <w:r>
              <w:rPr>
                <w:rFonts w:ascii="Times New Roman"/>
                <w:sz w:val="21"/>
                <w:szCs w:val="21"/>
              </w:rPr>
              <w:t>间断</w:t>
            </w:r>
          </w:p>
        </w:tc>
      </w:tr>
      <w:tr w14:paraId="2B9A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2B541D4B">
            <w:pPr>
              <w:spacing w:line="320" w:lineRule="exact"/>
              <w:jc w:val="center"/>
              <w:rPr>
                <w:rFonts w:ascii="Times New Roman"/>
                <w:sz w:val="21"/>
                <w:szCs w:val="21"/>
              </w:rPr>
            </w:pPr>
          </w:p>
        </w:tc>
        <w:tc>
          <w:tcPr>
            <w:tcW w:w="386" w:type="pct"/>
            <w:vAlign w:val="center"/>
          </w:tcPr>
          <w:p w14:paraId="7AC3EE73">
            <w:pPr>
              <w:spacing w:line="320" w:lineRule="exact"/>
              <w:jc w:val="center"/>
              <w:rPr>
                <w:rFonts w:ascii="Times New Roman"/>
                <w:sz w:val="21"/>
                <w:szCs w:val="21"/>
              </w:rPr>
            </w:pPr>
            <w:r>
              <w:rPr>
                <w:rFonts w:hint="eastAsia" w:ascii="Times New Roman"/>
                <w:sz w:val="21"/>
                <w:szCs w:val="21"/>
              </w:rPr>
              <w:t>--</w:t>
            </w:r>
          </w:p>
        </w:tc>
        <w:tc>
          <w:tcPr>
            <w:tcW w:w="1022" w:type="pct"/>
            <w:gridSpan w:val="2"/>
            <w:vMerge w:val="continue"/>
            <w:vAlign w:val="center"/>
          </w:tcPr>
          <w:p w14:paraId="32B51545">
            <w:pPr>
              <w:spacing w:line="320" w:lineRule="exact"/>
              <w:jc w:val="center"/>
              <w:rPr>
                <w:rFonts w:ascii="Times New Roman"/>
                <w:sz w:val="21"/>
                <w:szCs w:val="21"/>
              </w:rPr>
            </w:pPr>
          </w:p>
        </w:tc>
        <w:tc>
          <w:tcPr>
            <w:tcW w:w="1241" w:type="pct"/>
            <w:vAlign w:val="center"/>
          </w:tcPr>
          <w:p w14:paraId="6CEECE7D">
            <w:pPr>
              <w:spacing w:line="320" w:lineRule="exact"/>
              <w:jc w:val="center"/>
              <w:rPr>
                <w:rFonts w:ascii="Times New Roman"/>
                <w:sz w:val="21"/>
                <w:szCs w:val="21"/>
              </w:rPr>
            </w:pPr>
            <w:r>
              <w:rPr>
                <w:rFonts w:ascii="Times New Roman"/>
                <w:sz w:val="21"/>
                <w:szCs w:val="21"/>
              </w:rPr>
              <w:t>废切削液</w:t>
            </w:r>
          </w:p>
        </w:tc>
        <w:tc>
          <w:tcPr>
            <w:tcW w:w="1817" w:type="pct"/>
            <w:gridSpan w:val="2"/>
            <w:vMerge w:val="continue"/>
            <w:vAlign w:val="center"/>
          </w:tcPr>
          <w:p w14:paraId="4A111810">
            <w:pPr>
              <w:spacing w:line="320" w:lineRule="exact"/>
              <w:jc w:val="center"/>
              <w:rPr>
                <w:rFonts w:ascii="Times New Roman"/>
                <w:sz w:val="21"/>
                <w:szCs w:val="21"/>
              </w:rPr>
            </w:pPr>
          </w:p>
        </w:tc>
        <w:tc>
          <w:tcPr>
            <w:tcW w:w="353" w:type="pct"/>
            <w:vAlign w:val="center"/>
          </w:tcPr>
          <w:p w14:paraId="6EB36130">
            <w:pPr>
              <w:spacing w:line="320" w:lineRule="exact"/>
              <w:jc w:val="center"/>
              <w:rPr>
                <w:rFonts w:ascii="Times New Roman"/>
                <w:sz w:val="21"/>
                <w:szCs w:val="21"/>
              </w:rPr>
            </w:pPr>
            <w:r>
              <w:rPr>
                <w:rFonts w:ascii="Times New Roman"/>
                <w:sz w:val="21"/>
                <w:szCs w:val="21"/>
              </w:rPr>
              <w:t>间断</w:t>
            </w:r>
          </w:p>
        </w:tc>
      </w:tr>
      <w:tr w14:paraId="6169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44C96440">
            <w:pPr>
              <w:spacing w:line="320" w:lineRule="exact"/>
              <w:jc w:val="center"/>
              <w:rPr>
                <w:rFonts w:ascii="Times New Roman"/>
                <w:sz w:val="21"/>
                <w:szCs w:val="21"/>
              </w:rPr>
            </w:pPr>
          </w:p>
        </w:tc>
        <w:tc>
          <w:tcPr>
            <w:tcW w:w="386" w:type="pct"/>
            <w:vAlign w:val="center"/>
          </w:tcPr>
          <w:p w14:paraId="50B18741">
            <w:pPr>
              <w:spacing w:line="320" w:lineRule="exact"/>
              <w:jc w:val="center"/>
              <w:rPr>
                <w:rFonts w:ascii="Times New Roman"/>
                <w:sz w:val="21"/>
                <w:szCs w:val="21"/>
              </w:rPr>
            </w:pPr>
            <w:r>
              <w:rPr>
                <w:rFonts w:hint="eastAsia" w:ascii="Times New Roman"/>
                <w:sz w:val="21"/>
                <w:szCs w:val="21"/>
              </w:rPr>
              <w:t>--</w:t>
            </w:r>
          </w:p>
        </w:tc>
        <w:tc>
          <w:tcPr>
            <w:tcW w:w="1022" w:type="pct"/>
            <w:gridSpan w:val="2"/>
            <w:vMerge w:val="continue"/>
            <w:vAlign w:val="center"/>
          </w:tcPr>
          <w:p w14:paraId="2D890EC6">
            <w:pPr>
              <w:spacing w:line="320" w:lineRule="exact"/>
              <w:jc w:val="center"/>
              <w:rPr>
                <w:rFonts w:ascii="Times New Roman"/>
                <w:sz w:val="21"/>
                <w:szCs w:val="21"/>
              </w:rPr>
            </w:pPr>
          </w:p>
        </w:tc>
        <w:tc>
          <w:tcPr>
            <w:tcW w:w="1241" w:type="pct"/>
            <w:vAlign w:val="center"/>
          </w:tcPr>
          <w:p w14:paraId="7F6D8493">
            <w:pPr>
              <w:spacing w:line="320" w:lineRule="exact"/>
              <w:jc w:val="center"/>
              <w:rPr>
                <w:rFonts w:ascii="Times New Roman"/>
                <w:sz w:val="21"/>
                <w:szCs w:val="21"/>
              </w:rPr>
            </w:pPr>
            <w:r>
              <w:rPr>
                <w:rFonts w:ascii="Times New Roman"/>
                <w:sz w:val="21"/>
                <w:szCs w:val="21"/>
              </w:rPr>
              <w:t>废切削液桶</w:t>
            </w:r>
          </w:p>
        </w:tc>
        <w:tc>
          <w:tcPr>
            <w:tcW w:w="1817" w:type="pct"/>
            <w:gridSpan w:val="2"/>
            <w:vMerge w:val="continue"/>
            <w:vAlign w:val="center"/>
          </w:tcPr>
          <w:p w14:paraId="640CA1D8">
            <w:pPr>
              <w:spacing w:line="320" w:lineRule="exact"/>
              <w:jc w:val="center"/>
              <w:rPr>
                <w:rFonts w:ascii="Times New Roman"/>
                <w:sz w:val="21"/>
                <w:szCs w:val="21"/>
              </w:rPr>
            </w:pPr>
          </w:p>
        </w:tc>
        <w:tc>
          <w:tcPr>
            <w:tcW w:w="353" w:type="pct"/>
            <w:vAlign w:val="center"/>
          </w:tcPr>
          <w:p w14:paraId="3BD54B32">
            <w:pPr>
              <w:spacing w:line="320" w:lineRule="exact"/>
              <w:jc w:val="center"/>
              <w:rPr>
                <w:rFonts w:ascii="Times New Roman"/>
                <w:sz w:val="21"/>
                <w:szCs w:val="21"/>
              </w:rPr>
            </w:pPr>
            <w:r>
              <w:rPr>
                <w:rFonts w:ascii="Times New Roman"/>
                <w:sz w:val="21"/>
                <w:szCs w:val="21"/>
              </w:rPr>
              <w:t>间断</w:t>
            </w:r>
          </w:p>
        </w:tc>
      </w:tr>
      <w:tr w14:paraId="441B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1EB8A5D9">
            <w:pPr>
              <w:spacing w:line="320" w:lineRule="exact"/>
              <w:jc w:val="center"/>
              <w:rPr>
                <w:rFonts w:ascii="Times New Roman"/>
                <w:sz w:val="21"/>
                <w:szCs w:val="21"/>
              </w:rPr>
            </w:pPr>
          </w:p>
        </w:tc>
        <w:tc>
          <w:tcPr>
            <w:tcW w:w="386" w:type="pct"/>
            <w:vAlign w:val="center"/>
          </w:tcPr>
          <w:p w14:paraId="6B909756">
            <w:pPr>
              <w:spacing w:line="320" w:lineRule="exact"/>
              <w:jc w:val="center"/>
              <w:rPr>
                <w:rFonts w:ascii="Times New Roman"/>
                <w:sz w:val="21"/>
                <w:szCs w:val="21"/>
              </w:rPr>
            </w:pPr>
            <w:r>
              <w:rPr>
                <w:rFonts w:ascii="Times New Roman"/>
                <w:sz w:val="21"/>
                <w:szCs w:val="21"/>
              </w:rPr>
              <w:t>--</w:t>
            </w:r>
          </w:p>
        </w:tc>
        <w:tc>
          <w:tcPr>
            <w:tcW w:w="1022" w:type="pct"/>
            <w:gridSpan w:val="2"/>
            <w:vMerge w:val="continue"/>
            <w:vAlign w:val="center"/>
          </w:tcPr>
          <w:p w14:paraId="74532197">
            <w:pPr>
              <w:spacing w:line="320" w:lineRule="exact"/>
              <w:jc w:val="center"/>
              <w:rPr>
                <w:rFonts w:ascii="Times New Roman"/>
                <w:sz w:val="21"/>
                <w:szCs w:val="21"/>
              </w:rPr>
            </w:pPr>
          </w:p>
        </w:tc>
        <w:tc>
          <w:tcPr>
            <w:tcW w:w="1241" w:type="pct"/>
            <w:vAlign w:val="center"/>
          </w:tcPr>
          <w:p w14:paraId="356AA24D">
            <w:pPr>
              <w:spacing w:line="320" w:lineRule="exact"/>
              <w:jc w:val="center"/>
              <w:rPr>
                <w:rFonts w:ascii="Times New Roman"/>
                <w:sz w:val="21"/>
                <w:szCs w:val="21"/>
              </w:rPr>
            </w:pPr>
            <w:r>
              <w:rPr>
                <w:rFonts w:ascii="Times New Roman"/>
                <w:sz w:val="21"/>
                <w:szCs w:val="21"/>
              </w:rPr>
              <w:t>含油金属屑</w:t>
            </w:r>
          </w:p>
        </w:tc>
        <w:tc>
          <w:tcPr>
            <w:tcW w:w="1817" w:type="pct"/>
            <w:gridSpan w:val="2"/>
            <w:vMerge w:val="continue"/>
            <w:vAlign w:val="center"/>
          </w:tcPr>
          <w:p w14:paraId="4C488DED">
            <w:pPr>
              <w:spacing w:line="320" w:lineRule="exact"/>
              <w:jc w:val="center"/>
              <w:rPr>
                <w:rFonts w:ascii="Times New Roman"/>
                <w:sz w:val="21"/>
                <w:szCs w:val="21"/>
              </w:rPr>
            </w:pPr>
          </w:p>
        </w:tc>
        <w:tc>
          <w:tcPr>
            <w:tcW w:w="353" w:type="pct"/>
            <w:vAlign w:val="center"/>
          </w:tcPr>
          <w:p w14:paraId="42562628">
            <w:pPr>
              <w:spacing w:line="320" w:lineRule="exact"/>
              <w:jc w:val="center"/>
              <w:rPr>
                <w:rFonts w:ascii="Times New Roman"/>
                <w:sz w:val="21"/>
                <w:szCs w:val="21"/>
              </w:rPr>
            </w:pPr>
            <w:r>
              <w:rPr>
                <w:rFonts w:ascii="Times New Roman"/>
                <w:sz w:val="21"/>
                <w:szCs w:val="21"/>
              </w:rPr>
              <w:t>间断</w:t>
            </w:r>
          </w:p>
        </w:tc>
      </w:tr>
      <w:tr w14:paraId="760C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85DF5B4">
            <w:pPr>
              <w:spacing w:line="320" w:lineRule="exact"/>
              <w:jc w:val="center"/>
              <w:rPr>
                <w:rFonts w:ascii="Times New Roman"/>
                <w:sz w:val="21"/>
                <w:szCs w:val="21"/>
              </w:rPr>
            </w:pPr>
          </w:p>
        </w:tc>
        <w:tc>
          <w:tcPr>
            <w:tcW w:w="386" w:type="pct"/>
            <w:vAlign w:val="center"/>
          </w:tcPr>
          <w:p w14:paraId="6FABFEC8">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4DFAF62B">
            <w:pPr>
              <w:spacing w:line="320" w:lineRule="exact"/>
              <w:jc w:val="center"/>
              <w:rPr>
                <w:rFonts w:ascii="Times New Roman"/>
                <w:sz w:val="21"/>
                <w:szCs w:val="21"/>
              </w:rPr>
            </w:pPr>
            <w:r>
              <w:rPr>
                <w:rFonts w:hint="eastAsia" w:ascii="Times New Roman"/>
                <w:sz w:val="21"/>
                <w:szCs w:val="21"/>
              </w:rPr>
              <w:t>污水处理</w:t>
            </w:r>
          </w:p>
        </w:tc>
        <w:tc>
          <w:tcPr>
            <w:tcW w:w="1241" w:type="pct"/>
            <w:vAlign w:val="center"/>
          </w:tcPr>
          <w:p w14:paraId="76D4B443">
            <w:pPr>
              <w:spacing w:line="320" w:lineRule="exact"/>
              <w:jc w:val="center"/>
              <w:rPr>
                <w:rFonts w:ascii="Times New Roman"/>
                <w:sz w:val="21"/>
                <w:szCs w:val="21"/>
              </w:rPr>
            </w:pPr>
            <w:r>
              <w:rPr>
                <w:rFonts w:hint="eastAsia" w:ascii="Times New Roman"/>
                <w:sz w:val="21"/>
                <w:szCs w:val="21"/>
              </w:rPr>
              <w:t>污泥</w:t>
            </w:r>
          </w:p>
        </w:tc>
        <w:tc>
          <w:tcPr>
            <w:tcW w:w="1817" w:type="pct"/>
            <w:gridSpan w:val="2"/>
            <w:vMerge w:val="continue"/>
            <w:vAlign w:val="center"/>
          </w:tcPr>
          <w:p w14:paraId="1C3E5D11">
            <w:pPr>
              <w:spacing w:line="320" w:lineRule="exact"/>
              <w:jc w:val="center"/>
              <w:rPr>
                <w:rFonts w:ascii="Times New Roman"/>
                <w:sz w:val="21"/>
                <w:szCs w:val="21"/>
              </w:rPr>
            </w:pPr>
          </w:p>
        </w:tc>
        <w:tc>
          <w:tcPr>
            <w:tcW w:w="353" w:type="pct"/>
            <w:vAlign w:val="center"/>
          </w:tcPr>
          <w:p w14:paraId="594B342E">
            <w:pPr>
              <w:spacing w:line="320" w:lineRule="exact"/>
              <w:jc w:val="center"/>
              <w:rPr>
                <w:rFonts w:ascii="Times New Roman"/>
                <w:sz w:val="21"/>
                <w:szCs w:val="21"/>
              </w:rPr>
            </w:pPr>
            <w:r>
              <w:rPr>
                <w:rFonts w:ascii="Times New Roman"/>
                <w:sz w:val="21"/>
                <w:szCs w:val="21"/>
              </w:rPr>
              <w:t>间断</w:t>
            </w:r>
          </w:p>
        </w:tc>
      </w:tr>
      <w:tr w14:paraId="158F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6A20E90D">
            <w:pPr>
              <w:spacing w:line="320" w:lineRule="exact"/>
              <w:jc w:val="center"/>
              <w:rPr>
                <w:rFonts w:ascii="Times New Roman"/>
                <w:sz w:val="21"/>
                <w:szCs w:val="21"/>
              </w:rPr>
            </w:pPr>
          </w:p>
        </w:tc>
        <w:tc>
          <w:tcPr>
            <w:tcW w:w="386" w:type="pct"/>
            <w:vAlign w:val="center"/>
          </w:tcPr>
          <w:p w14:paraId="1F1FCF84">
            <w:pPr>
              <w:spacing w:line="320" w:lineRule="exact"/>
              <w:jc w:val="center"/>
              <w:rPr>
                <w:rFonts w:ascii="Times New Roman"/>
                <w:sz w:val="21"/>
                <w:szCs w:val="21"/>
              </w:rPr>
            </w:pPr>
            <w:r>
              <w:rPr>
                <w:rFonts w:ascii="Times New Roman"/>
                <w:sz w:val="21"/>
                <w:szCs w:val="21"/>
              </w:rPr>
              <w:t>--</w:t>
            </w:r>
          </w:p>
        </w:tc>
        <w:tc>
          <w:tcPr>
            <w:tcW w:w="1022" w:type="pct"/>
            <w:gridSpan w:val="2"/>
            <w:vMerge w:val="restart"/>
            <w:vAlign w:val="center"/>
          </w:tcPr>
          <w:p w14:paraId="6550F68D">
            <w:pPr>
              <w:spacing w:line="320" w:lineRule="exact"/>
              <w:jc w:val="center"/>
              <w:rPr>
                <w:rFonts w:ascii="Times New Roman"/>
                <w:sz w:val="21"/>
                <w:szCs w:val="21"/>
              </w:rPr>
            </w:pPr>
            <w:r>
              <w:rPr>
                <w:rFonts w:ascii="Times New Roman"/>
                <w:sz w:val="21"/>
                <w:szCs w:val="21"/>
              </w:rPr>
              <w:t>有机废气净化装置</w:t>
            </w:r>
          </w:p>
        </w:tc>
        <w:tc>
          <w:tcPr>
            <w:tcW w:w="1241" w:type="pct"/>
            <w:vAlign w:val="center"/>
          </w:tcPr>
          <w:p w14:paraId="2BD95A96">
            <w:pPr>
              <w:spacing w:line="320" w:lineRule="exact"/>
              <w:jc w:val="center"/>
              <w:rPr>
                <w:rFonts w:ascii="Times New Roman"/>
                <w:sz w:val="21"/>
                <w:szCs w:val="21"/>
              </w:rPr>
            </w:pPr>
            <w:r>
              <w:rPr>
                <w:rFonts w:ascii="Times New Roman"/>
                <w:sz w:val="21"/>
                <w:szCs w:val="21"/>
              </w:rPr>
              <w:t>废过滤棉</w:t>
            </w:r>
          </w:p>
        </w:tc>
        <w:tc>
          <w:tcPr>
            <w:tcW w:w="1817" w:type="pct"/>
            <w:gridSpan w:val="2"/>
            <w:vMerge w:val="continue"/>
            <w:vAlign w:val="center"/>
          </w:tcPr>
          <w:p w14:paraId="435CB453">
            <w:pPr>
              <w:spacing w:line="320" w:lineRule="exact"/>
              <w:jc w:val="center"/>
              <w:rPr>
                <w:rFonts w:ascii="Times New Roman"/>
                <w:sz w:val="21"/>
                <w:szCs w:val="21"/>
              </w:rPr>
            </w:pPr>
          </w:p>
        </w:tc>
        <w:tc>
          <w:tcPr>
            <w:tcW w:w="353" w:type="pct"/>
            <w:vAlign w:val="center"/>
          </w:tcPr>
          <w:p w14:paraId="5207DFE3">
            <w:pPr>
              <w:spacing w:line="320" w:lineRule="exact"/>
              <w:jc w:val="center"/>
              <w:rPr>
                <w:rFonts w:ascii="Times New Roman"/>
                <w:sz w:val="21"/>
                <w:szCs w:val="21"/>
              </w:rPr>
            </w:pPr>
            <w:r>
              <w:rPr>
                <w:rFonts w:ascii="Times New Roman"/>
                <w:sz w:val="21"/>
                <w:szCs w:val="21"/>
              </w:rPr>
              <w:t>间断</w:t>
            </w:r>
          </w:p>
        </w:tc>
      </w:tr>
      <w:tr w14:paraId="2454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09FF0BC4">
            <w:pPr>
              <w:spacing w:line="320" w:lineRule="exact"/>
              <w:jc w:val="center"/>
              <w:rPr>
                <w:rFonts w:ascii="Times New Roman"/>
                <w:sz w:val="21"/>
                <w:szCs w:val="21"/>
              </w:rPr>
            </w:pPr>
          </w:p>
        </w:tc>
        <w:tc>
          <w:tcPr>
            <w:tcW w:w="386" w:type="pct"/>
            <w:vAlign w:val="center"/>
          </w:tcPr>
          <w:p w14:paraId="06017783">
            <w:pPr>
              <w:spacing w:line="320" w:lineRule="exact"/>
              <w:jc w:val="center"/>
              <w:rPr>
                <w:rFonts w:ascii="Times New Roman"/>
                <w:sz w:val="21"/>
                <w:szCs w:val="21"/>
              </w:rPr>
            </w:pPr>
            <w:r>
              <w:rPr>
                <w:rFonts w:hint="eastAsia" w:ascii="Times New Roman"/>
                <w:sz w:val="21"/>
                <w:szCs w:val="21"/>
              </w:rPr>
              <w:t>--</w:t>
            </w:r>
          </w:p>
        </w:tc>
        <w:tc>
          <w:tcPr>
            <w:tcW w:w="1022" w:type="pct"/>
            <w:gridSpan w:val="2"/>
            <w:vMerge w:val="continue"/>
            <w:vAlign w:val="center"/>
          </w:tcPr>
          <w:p w14:paraId="694C0DA8">
            <w:pPr>
              <w:spacing w:line="320" w:lineRule="exact"/>
              <w:jc w:val="center"/>
              <w:rPr>
                <w:rFonts w:ascii="Times New Roman"/>
                <w:sz w:val="21"/>
                <w:szCs w:val="21"/>
              </w:rPr>
            </w:pPr>
          </w:p>
        </w:tc>
        <w:tc>
          <w:tcPr>
            <w:tcW w:w="1241" w:type="pct"/>
            <w:vAlign w:val="center"/>
          </w:tcPr>
          <w:p w14:paraId="3C4ECA63">
            <w:pPr>
              <w:spacing w:line="320" w:lineRule="exact"/>
              <w:jc w:val="center"/>
              <w:rPr>
                <w:rFonts w:ascii="Times New Roman"/>
                <w:sz w:val="21"/>
                <w:szCs w:val="21"/>
              </w:rPr>
            </w:pPr>
            <w:r>
              <w:rPr>
                <w:rFonts w:ascii="Times New Roman"/>
                <w:sz w:val="21"/>
                <w:szCs w:val="21"/>
              </w:rPr>
              <w:t>废沸石分子筛</w:t>
            </w:r>
          </w:p>
        </w:tc>
        <w:tc>
          <w:tcPr>
            <w:tcW w:w="1817" w:type="pct"/>
            <w:gridSpan w:val="2"/>
            <w:vMerge w:val="continue"/>
            <w:vAlign w:val="center"/>
          </w:tcPr>
          <w:p w14:paraId="148691ED">
            <w:pPr>
              <w:spacing w:line="320" w:lineRule="exact"/>
              <w:jc w:val="center"/>
              <w:rPr>
                <w:rFonts w:ascii="Times New Roman"/>
                <w:sz w:val="21"/>
                <w:szCs w:val="21"/>
              </w:rPr>
            </w:pPr>
          </w:p>
        </w:tc>
        <w:tc>
          <w:tcPr>
            <w:tcW w:w="353" w:type="pct"/>
            <w:vAlign w:val="center"/>
          </w:tcPr>
          <w:p w14:paraId="272C7C3B">
            <w:pPr>
              <w:spacing w:line="320" w:lineRule="exact"/>
              <w:jc w:val="center"/>
              <w:rPr>
                <w:rFonts w:ascii="Times New Roman"/>
                <w:sz w:val="21"/>
                <w:szCs w:val="21"/>
              </w:rPr>
            </w:pPr>
            <w:r>
              <w:rPr>
                <w:rFonts w:ascii="Times New Roman"/>
                <w:sz w:val="21"/>
                <w:szCs w:val="21"/>
              </w:rPr>
              <w:t>间断</w:t>
            </w:r>
          </w:p>
        </w:tc>
      </w:tr>
      <w:tr w14:paraId="57C5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54855D2F">
            <w:pPr>
              <w:spacing w:line="320" w:lineRule="exact"/>
              <w:jc w:val="center"/>
              <w:rPr>
                <w:rFonts w:ascii="Times New Roman"/>
                <w:sz w:val="21"/>
                <w:szCs w:val="21"/>
              </w:rPr>
            </w:pPr>
          </w:p>
        </w:tc>
        <w:tc>
          <w:tcPr>
            <w:tcW w:w="386" w:type="pct"/>
            <w:vAlign w:val="center"/>
          </w:tcPr>
          <w:p w14:paraId="4521EDB3">
            <w:pPr>
              <w:spacing w:line="320" w:lineRule="exact"/>
              <w:jc w:val="center"/>
              <w:rPr>
                <w:rFonts w:ascii="Times New Roman"/>
                <w:sz w:val="21"/>
                <w:szCs w:val="21"/>
              </w:rPr>
            </w:pPr>
            <w:r>
              <w:rPr>
                <w:rFonts w:ascii="Times New Roman"/>
                <w:sz w:val="21"/>
                <w:szCs w:val="21"/>
              </w:rPr>
              <w:t>--</w:t>
            </w:r>
          </w:p>
        </w:tc>
        <w:tc>
          <w:tcPr>
            <w:tcW w:w="1022" w:type="pct"/>
            <w:gridSpan w:val="2"/>
            <w:vMerge w:val="continue"/>
            <w:vAlign w:val="center"/>
          </w:tcPr>
          <w:p w14:paraId="1BFC8190">
            <w:pPr>
              <w:spacing w:line="320" w:lineRule="exact"/>
              <w:jc w:val="center"/>
              <w:rPr>
                <w:rFonts w:ascii="Times New Roman"/>
                <w:sz w:val="21"/>
                <w:szCs w:val="21"/>
              </w:rPr>
            </w:pPr>
          </w:p>
        </w:tc>
        <w:tc>
          <w:tcPr>
            <w:tcW w:w="1241" w:type="pct"/>
            <w:vAlign w:val="center"/>
          </w:tcPr>
          <w:p w14:paraId="6720653F">
            <w:pPr>
              <w:spacing w:line="320" w:lineRule="exact"/>
              <w:jc w:val="center"/>
              <w:rPr>
                <w:rFonts w:ascii="Times New Roman"/>
                <w:sz w:val="21"/>
                <w:szCs w:val="21"/>
              </w:rPr>
            </w:pPr>
            <w:r>
              <w:rPr>
                <w:rFonts w:ascii="Times New Roman"/>
                <w:sz w:val="21"/>
                <w:szCs w:val="21"/>
              </w:rPr>
              <w:t>废活性炭</w:t>
            </w:r>
          </w:p>
        </w:tc>
        <w:tc>
          <w:tcPr>
            <w:tcW w:w="1817" w:type="pct"/>
            <w:gridSpan w:val="2"/>
            <w:vMerge w:val="continue"/>
            <w:vAlign w:val="center"/>
          </w:tcPr>
          <w:p w14:paraId="315F9777">
            <w:pPr>
              <w:spacing w:line="320" w:lineRule="exact"/>
              <w:jc w:val="center"/>
              <w:rPr>
                <w:rFonts w:ascii="Times New Roman"/>
                <w:sz w:val="21"/>
                <w:szCs w:val="21"/>
              </w:rPr>
            </w:pPr>
          </w:p>
        </w:tc>
        <w:tc>
          <w:tcPr>
            <w:tcW w:w="353" w:type="pct"/>
            <w:vAlign w:val="center"/>
          </w:tcPr>
          <w:p w14:paraId="751E70D9">
            <w:pPr>
              <w:spacing w:line="320" w:lineRule="exact"/>
              <w:jc w:val="center"/>
              <w:rPr>
                <w:rFonts w:ascii="Times New Roman"/>
                <w:sz w:val="21"/>
                <w:szCs w:val="21"/>
              </w:rPr>
            </w:pPr>
            <w:r>
              <w:rPr>
                <w:rFonts w:ascii="Times New Roman"/>
                <w:sz w:val="21"/>
                <w:szCs w:val="21"/>
              </w:rPr>
              <w:t>间断</w:t>
            </w:r>
          </w:p>
        </w:tc>
      </w:tr>
      <w:tr w14:paraId="3770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8" w:type="pct"/>
            <w:vMerge w:val="continue"/>
            <w:vAlign w:val="center"/>
          </w:tcPr>
          <w:p w14:paraId="7914441C">
            <w:pPr>
              <w:spacing w:line="320" w:lineRule="exact"/>
              <w:jc w:val="center"/>
              <w:rPr>
                <w:rFonts w:ascii="Times New Roman"/>
                <w:sz w:val="21"/>
                <w:szCs w:val="21"/>
              </w:rPr>
            </w:pPr>
          </w:p>
        </w:tc>
        <w:tc>
          <w:tcPr>
            <w:tcW w:w="386" w:type="pct"/>
            <w:vAlign w:val="center"/>
          </w:tcPr>
          <w:p w14:paraId="2D52E8F7">
            <w:pPr>
              <w:spacing w:line="320" w:lineRule="exact"/>
              <w:jc w:val="center"/>
              <w:rPr>
                <w:rFonts w:ascii="Times New Roman"/>
                <w:sz w:val="21"/>
                <w:szCs w:val="21"/>
              </w:rPr>
            </w:pPr>
            <w:r>
              <w:rPr>
                <w:rFonts w:ascii="Times New Roman"/>
                <w:sz w:val="21"/>
                <w:szCs w:val="21"/>
              </w:rPr>
              <w:t>--</w:t>
            </w:r>
          </w:p>
        </w:tc>
        <w:tc>
          <w:tcPr>
            <w:tcW w:w="1022" w:type="pct"/>
            <w:gridSpan w:val="2"/>
            <w:vAlign w:val="center"/>
          </w:tcPr>
          <w:p w14:paraId="7A8EB2E0">
            <w:pPr>
              <w:spacing w:line="320" w:lineRule="exact"/>
              <w:jc w:val="center"/>
              <w:rPr>
                <w:rFonts w:ascii="Times New Roman"/>
                <w:sz w:val="21"/>
                <w:szCs w:val="21"/>
              </w:rPr>
            </w:pPr>
            <w:r>
              <w:rPr>
                <w:rFonts w:ascii="Times New Roman"/>
                <w:sz w:val="21"/>
                <w:szCs w:val="21"/>
              </w:rPr>
              <w:t>职工生活</w:t>
            </w:r>
          </w:p>
        </w:tc>
        <w:tc>
          <w:tcPr>
            <w:tcW w:w="1241" w:type="pct"/>
            <w:vAlign w:val="center"/>
          </w:tcPr>
          <w:p w14:paraId="7CC7C100">
            <w:pPr>
              <w:spacing w:line="320" w:lineRule="exact"/>
              <w:jc w:val="center"/>
              <w:rPr>
                <w:rFonts w:ascii="Times New Roman"/>
                <w:sz w:val="21"/>
                <w:szCs w:val="21"/>
              </w:rPr>
            </w:pPr>
            <w:r>
              <w:rPr>
                <w:rFonts w:ascii="Times New Roman"/>
                <w:sz w:val="21"/>
                <w:szCs w:val="21"/>
              </w:rPr>
              <w:t>生活垃圾</w:t>
            </w:r>
          </w:p>
        </w:tc>
        <w:tc>
          <w:tcPr>
            <w:tcW w:w="1817" w:type="pct"/>
            <w:gridSpan w:val="2"/>
            <w:vAlign w:val="center"/>
          </w:tcPr>
          <w:p w14:paraId="5AD9D80B">
            <w:pPr>
              <w:spacing w:line="320" w:lineRule="exact"/>
              <w:jc w:val="center"/>
              <w:rPr>
                <w:rFonts w:ascii="Times New Roman"/>
                <w:sz w:val="21"/>
                <w:szCs w:val="21"/>
              </w:rPr>
            </w:pPr>
            <w:r>
              <w:rPr>
                <w:rFonts w:ascii="Times New Roman"/>
                <w:sz w:val="21"/>
                <w:szCs w:val="21"/>
              </w:rPr>
              <w:t>定期交由环卫部门处置</w:t>
            </w:r>
          </w:p>
        </w:tc>
        <w:tc>
          <w:tcPr>
            <w:tcW w:w="353" w:type="pct"/>
            <w:vAlign w:val="center"/>
          </w:tcPr>
          <w:p w14:paraId="235144CB">
            <w:pPr>
              <w:spacing w:line="320" w:lineRule="exact"/>
              <w:jc w:val="center"/>
              <w:rPr>
                <w:rFonts w:ascii="Times New Roman"/>
                <w:sz w:val="21"/>
                <w:szCs w:val="21"/>
              </w:rPr>
            </w:pPr>
            <w:r>
              <w:rPr>
                <w:rFonts w:ascii="Times New Roman"/>
                <w:sz w:val="21"/>
                <w:szCs w:val="21"/>
              </w:rPr>
              <w:t>间断</w:t>
            </w:r>
          </w:p>
        </w:tc>
      </w:tr>
    </w:tbl>
    <w:p w14:paraId="10949E88">
      <w:pPr>
        <w:rPr>
          <w:rFonts w:ascii="Times New Roman"/>
          <w:b/>
          <w:sz w:val="30"/>
          <w:szCs w:val="30"/>
        </w:rPr>
      </w:pPr>
      <w:bookmarkStart w:id="121" w:name="_Toc8002"/>
      <w:bookmarkStart w:id="122" w:name="_Toc390963108"/>
      <w:bookmarkStart w:id="123" w:name="_Toc422392408"/>
      <w:r>
        <w:rPr>
          <w:rFonts w:ascii="Times New Roman"/>
          <w:b/>
          <w:sz w:val="30"/>
          <w:szCs w:val="30"/>
        </w:rPr>
        <w:br w:type="page"/>
      </w:r>
    </w:p>
    <w:p w14:paraId="730ED95D">
      <w:pPr>
        <w:widowControl/>
        <w:spacing w:line="360" w:lineRule="auto"/>
        <w:jc w:val="left"/>
        <w:outlineLvl w:val="1"/>
        <w:rPr>
          <w:rFonts w:ascii="Times New Roman"/>
          <w:b/>
          <w:sz w:val="30"/>
          <w:szCs w:val="30"/>
        </w:rPr>
      </w:pPr>
      <w:bookmarkStart w:id="124" w:name="_Toc26304"/>
      <w:r>
        <w:rPr>
          <w:rFonts w:ascii="Times New Roman"/>
          <w:b/>
          <w:sz w:val="30"/>
          <w:szCs w:val="30"/>
        </w:rPr>
        <w:t>3.7项目主要污染源、污染物</w:t>
      </w:r>
      <w:bookmarkEnd w:id="119"/>
      <w:bookmarkEnd w:id="120"/>
      <w:r>
        <w:rPr>
          <w:rFonts w:ascii="Times New Roman"/>
          <w:b/>
          <w:sz w:val="30"/>
          <w:szCs w:val="30"/>
        </w:rPr>
        <w:t>治理措施</w:t>
      </w:r>
      <w:bookmarkEnd w:id="121"/>
      <w:bookmarkEnd w:id="122"/>
      <w:bookmarkEnd w:id="123"/>
      <w:bookmarkEnd w:id="124"/>
    </w:p>
    <w:p w14:paraId="65F3ADEE">
      <w:pPr>
        <w:spacing w:line="360" w:lineRule="auto"/>
        <w:outlineLvl w:val="2"/>
        <w:rPr>
          <w:rFonts w:ascii="Times New Roman"/>
          <w:b/>
          <w:sz w:val="28"/>
          <w:szCs w:val="28"/>
        </w:rPr>
      </w:pPr>
      <w:bookmarkStart w:id="125" w:name="_Toc390963109"/>
      <w:bookmarkStart w:id="126" w:name="_Toc389681166"/>
      <w:r>
        <w:rPr>
          <w:rFonts w:ascii="Times New Roman"/>
          <w:b/>
          <w:sz w:val="28"/>
          <w:szCs w:val="28"/>
        </w:rPr>
        <w:t>3.7.1废气</w:t>
      </w:r>
      <w:bookmarkEnd w:id="125"/>
      <w:bookmarkEnd w:id="126"/>
    </w:p>
    <w:p w14:paraId="3E8B7C2A">
      <w:pPr>
        <w:pStyle w:val="2759"/>
        <w:spacing w:line="360" w:lineRule="auto"/>
        <w:ind w:firstLine="480"/>
      </w:pPr>
      <w:r>
        <w:t>本项目废气治理措施见下表：</w:t>
      </w:r>
    </w:p>
    <w:p w14:paraId="0A7328A3">
      <w:pPr>
        <w:pStyle w:val="2759"/>
        <w:spacing w:line="360" w:lineRule="auto"/>
        <w:ind w:firstLine="0" w:firstLineChars="0"/>
        <w:jc w:val="center"/>
        <w:rPr>
          <w:b/>
          <w:szCs w:val="20"/>
        </w:rPr>
      </w:pPr>
      <w:r>
        <w:rPr>
          <w:b/>
          <w:szCs w:val="20"/>
        </w:rPr>
        <w:t>表3.7-1  项目废气治理措施一览表</w:t>
      </w:r>
    </w:p>
    <w:tbl>
      <w:tblPr>
        <w:tblStyle w:val="84"/>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652"/>
        <w:gridCol w:w="709"/>
        <w:gridCol w:w="1023"/>
        <w:gridCol w:w="1242"/>
        <w:gridCol w:w="1650"/>
        <w:gridCol w:w="2127"/>
        <w:gridCol w:w="1095"/>
      </w:tblGrid>
      <w:tr w14:paraId="4409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gridSpan w:val="3"/>
            <w:vMerge w:val="restart"/>
            <w:vAlign w:val="center"/>
          </w:tcPr>
          <w:p w14:paraId="00CBBCA3">
            <w:pPr>
              <w:jc w:val="center"/>
              <w:rPr>
                <w:rFonts w:ascii="Times New Roman"/>
                <w:sz w:val="21"/>
                <w:szCs w:val="21"/>
              </w:rPr>
            </w:pPr>
            <w:r>
              <w:rPr>
                <w:rFonts w:ascii="Times New Roman"/>
                <w:sz w:val="21"/>
                <w:szCs w:val="21"/>
              </w:rPr>
              <w:t>排污节点</w:t>
            </w:r>
          </w:p>
        </w:tc>
        <w:tc>
          <w:tcPr>
            <w:tcW w:w="572" w:type="pct"/>
            <w:vMerge w:val="restart"/>
            <w:vAlign w:val="center"/>
          </w:tcPr>
          <w:p w14:paraId="17EC08FC">
            <w:pPr>
              <w:jc w:val="center"/>
              <w:rPr>
                <w:rFonts w:ascii="Times New Roman"/>
                <w:sz w:val="21"/>
                <w:szCs w:val="21"/>
              </w:rPr>
            </w:pPr>
            <w:r>
              <w:rPr>
                <w:rFonts w:ascii="Times New Roman"/>
                <w:sz w:val="21"/>
                <w:szCs w:val="21"/>
              </w:rPr>
              <w:t>产污设施</w:t>
            </w:r>
          </w:p>
        </w:tc>
        <w:tc>
          <w:tcPr>
            <w:tcW w:w="693" w:type="pct"/>
            <w:vMerge w:val="restart"/>
            <w:vAlign w:val="center"/>
          </w:tcPr>
          <w:p w14:paraId="1D4ADA19">
            <w:pPr>
              <w:jc w:val="center"/>
              <w:rPr>
                <w:rFonts w:ascii="Times New Roman"/>
                <w:sz w:val="21"/>
                <w:szCs w:val="21"/>
              </w:rPr>
            </w:pPr>
            <w:r>
              <w:rPr>
                <w:rFonts w:ascii="Times New Roman"/>
                <w:sz w:val="21"/>
                <w:szCs w:val="21"/>
              </w:rPr>
              <w:t>污染物</w:t>
            </w:r>
          </w:p>
        </w:tc>
        <w:tc>
          <w:tcPr>
            <w:tcW w:w="921" w:type="pct"/>
            <w:vMerge w:val="restart"/>
            <w:vAlign w:val="center"/>
          </w:tcPr>
          <w:p w14:paraId="61FAD7D1">
            <w:pPr>
              <w:jc w:val="center"/>
              <w:rPr>
                <w:rFonts w:ascii="Times New Roman"/>
                <w:sz w:val="21"/>
                <w:szCs w:val="21"/>
              </w:rPr>
            </w:pPr>
            <w:r>
              <w:rPr>
                <w:rFonts w:ascii="Times New Roman"/>
                <w:sz w:val="21"/>
                <w:szCs w:val="21"/>
              </w:rPr>
              <w:t>收集措施</w:t>
            </w:r>
          </w:p>
        </w:tc>
        <w:tc>
          <w:tcPr>
            <w:tcW w:w="1188" w:type="pct"/>
            <w:vMerge w:val="restart"/>
            <w:vAlign w:val="center"/>
          </w:tcPr>
          <w:p w14:paraId="1810BC01">
            <w:pPr>
              <w:jc w:val="center"/>
              <w:rPr>
                <w:rFonts w:ascii="Times New Roman"/>
                <w:sz w:val="21"/>
                <w:szCs w:val="21"/>
              </w:rPr>
            </w:pPr>
            <w:r>
              <w:rPr>
                <w:rFonts w:ascii="Times New Roman"/>
                <w:sz w:val="21"/>
                <w:szCs w:val="21"/>
              </w:rPr>
              <w:t>治理措施</w:t>
            </w:r>
          </w:p>
        </w:tc>
        <w:tc>
          <w:tcPr>
            <w:tcW w:w="612" w:type="pct"/>
            <w:vMerge w:val="restart"/>
            <w:vAlign w:val="center"/>
          </w:tcPr>
          <w:p w14:paraId="212C4D66">
            <w:pPr>
              <w:jc w:val="center"/>
              <w:rPr>
                <w:rFonts w:ascii="Times New Roman"/>
                <w:sz w:val="21"/>
                <w:szCs w:val="21"/>
              </w:rPr>
            </w:pPr>
            <w:r>
              <w:rPr>
                <w:rFonts w:ascii="Times New Roman"/>
                <w:sz w:val="21"/>
                <w:szCs w:val="21"/>
              </w:rPr>
              <w:t>设计风量(m</w:t>
            </w:r>
            <w:r>
              <w:rPr>
                <w:rFonts w:ascii="Times New Roman"/>
                <w:sz w:val="21"/>
                <w:szCs w:val="21"/>
                <w:vertAlign w:val="superscript"/>
              </w:rPr>
              <w:t>3</w:t>
            </w:r>
            <w:r>
              <w:rPr>
                <w:rFonts w:ascii="Times New Roman"/>
                <w:sz w:val="21"/>
                <w:szCs w:val="21"/>
              </w:rPr>
              <w:t>/h)</w:t>
            </w:r>
          </w:p>
        </w:tc>
      </w:tr>
      <w:tr w14:paraId="2754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010" w:type="pct"/>
            <w:gridSpan w:val="3"/>
            <w:vMerge w:val="continue"/>
            <w:vAlign w:val="center"/>
          </w:tcPr>
          <w:p w14:paraId="4EA5F900">
            <w:pPr>
              <w:jc w:val="center"/>
              <w:rPr>
                <w:rFonts w:ascii="Times New Roman"/>
                <w:sz w:val="21"/>
                <w:szCs w:val="21"/>
              </w:rPr>
            </w:pPr>
          </w:p>
        </w:tc>
        <w:tc>
          <w:tcPr>
            <w:tcW w:w="572" w:type="pct"/>
            <w:vMerge w:val="continue"/>
            <w:vAlign w:val="center"/>
          </w:tcPr>
          <w:p w14:paraId="5AE99EB8">
            <w:pPr>
              <w:jc w:val="center"/>
              <w:rPr>
                <w:rFonts w:ascii="Times New Roman"/>
                <w:sz w:val="21"/>
                <w:szCs w:val="21"/>
              </w:rPr>
            </w:pPr>
          </w:p>
        </w:tc>
        <w:tc>
          <w:tcPr>
            <w:tcW w:w="693" w:type="pct"/>
            <w:vMerge w:val="continue"/>
            <w:vAlign w:val="center"/>
          </w:tcPr>
          <w:p w14:paraId="1300DE04">
            <w:pPr>
              <w:jc w:val="center"/>
              <w:rPr>
                <w:rFonts w:ascii="Times New Roman"/>
                <w:sz w:val="21"/>
                <w:szCs w:val="21"/>
              </w:rPr>
            </w:pPr>
          </w:p>
        </w:tc>
        <w:tc>
          <w:tcPr>
            <w:tcW w:w="921" w:type="pct"/>
            <w:vMerge w:val="continue"/>
            <w:vAlign w:val="center"/>
          </w:tcPr>
          <w:p w14:paraId="62067142">
            <w:pPr>
              <w:jc w:val="center"/>
              <w:rPr>
                <w:rFonts w:ascii="Times New Roman"/>
                <w:sz w:val="21"/>
                <w:szCs w:val="21"/>
              </w:rPr>
            </w:pPr>
          </w:p>
        </w:tc>
        <w:tc>
          <w:tcPr>
            <w:tcW w:w="1188" w:type="pct"/>
            <w:vMerge w:val="continue"/>
            <w:vAlign w:val="center"/>
          </w:tcPr>
          <w:p w14:paraId="0A42BA62">
            <w:pPr>
              <w:jc w:val="center"/>
              <w:rPr>
                <w:rFonts w:ascii="Times New Roman"/>
                <w:sz w:val="21"/>
                <w:szCs w:val="21"/>
              </w:rPr>
            </w:pPr>
          </w:p>
        </w:tc>
        <w:tc>
          <w:tcPr>
            <w:tcW w:w="612" w:type="pct"/>
            <w:vMerge w:val="continue"/>
            <w:vAlign w:val="center"/>
          </w:tcPr>
          <w:p w14:paraId="66F8F4B3">
            <w:pPr>
              <w:jc w:val="center"/>
              <w:rPr>
                <w:rFonts w:ascii="Times New Roman"/>
                <w:sz w:val="21"/>
                <w:szCs w:val="21"/>
              </w:rPr>
            </w:pPr>
          </w:p>
        </w:tc>
      </w:tr>
      <w:tr w14:paraId="2CF3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50" w:type="pct"/>
            <w:vMerge w:val="restart"/>
            <w:vAlign w:val="center"/>
          </w:tcPr>
          <w:p w14:paraId="1C715B7D">
            <w:pPr>
              <w:jc w:val="center"/>
              <w:rPr>
                <w:rFonts w:ascii="Times New Roman"/>
                <w:sz w:val="21"/>
                <w:szCs w:val="21"/>
              </w:rPr>
            </w:pPr>
            <w:r>
              <w:rPr>
                <w:rFonts w:ascii="Times New Roman"/>
                <w:sz w:val="21"/>
                <w:szCs w:val="21"/>
              </w:rPr>
              <w:t>有组织</w:t>
            </w:r>
          </w:p>
        </w:tc>
        <w:tc>
          <w:tcPr>
            <w:tcW w:w="364" w:type="pct"/>
            <w:shd w:val="clear" w:color="auto" w:fill="auto"/>
            <w:noWrap/>
            <w:vAlign w:val="center"/>
          </w:tcPr>
          <w:p w14:paraId="4653C354">
            <w:pPr>
              <w:spacing w:line="320" w:lineRule="exact"/>
              <w:jc w:val="center"/>
              <w:rPr>
                <w:rFonts w:ascii="Times New Roman"/>
                <w:sz w:val="21"/>
                <w:szCs w:val="21"/>
              </w:rPr>
            </w:pPr>
            <w:r>
              <w:rPr>
                <w:rFonts w:ascii="Times New Roman"/>
                <w:sz w:val="21"/>
                <w:szCs w:val="21"/>
              </w:rPr>
              <w:t>下料生产</w:t>
            </w:r>
          </w:p>
        </w:tc>
        <w:tc>
          <w:tcPr>
            <w:tcW w:w="395" w:type="pct"/>
            <w:shd w:val="clear" w:color="auto" w:fill="auto"/>
            <w:noWrap/>
            <w:vAlign w:val="center"/>
          </w:tcPr>
          <w:p w14:paraId="3A7224FE">
            <w:pPr>
              <w:spacing w:line="320" w:lineRule="exact"/>
              <w:jc w:val="center"/>
              <w:rPr>
                <w:rFonts w:ascii="Times New Roman"/>
                <w:sz w:val="21"/>
                <w:szCs w:val="21"/>
              </w:rPr>
            </w:pPr>
            <w:r>
              <w:rPr>
                <w:rFonts w:ascii="Times New Roman"/>
                <w:sz w:val="21"/>
                <w:szCs w:val="21"/>
              </w:rPr>
              <w:t>下料工序</w:t>
            </w:r>
          </w:p>
        </w:tc>
        <w:tc>
          <w:tcPr>
            <w:tcW w:w="572" w:type="pct"/>
            <w:shd w:val="clear" w:color="auto" w:fill="auto"/>
            <w:vAlign w:val="center"/>
          </w:tcPr>
          <w:p w14:paraId="5020CF88">
            <w:pPr>
              <w:spacing w:line="320" w:lineRule="exact"/>
              <w:jc w:val="center"/>
              <w:rPr>
                <w:rFonts w:ascii="Times New Roman"/>
                <w:sz w:val="21"/>
                <w:szCs w:val="21"/>
              </w:rPr>
            </w:pPr>
            <w:r>
              <w:rPr>
                <w:rFonts w:ascii="Times New Roman"/>
                <w:sz w:val="21"/>
                <w:szCs w:val="21"/>
              </w:rPr>
              <w:t>切割机</w:t>
            </w:r>
          </w:p>
        </w:tc>
        <w:tc>
          <w:tcPr>
            <w:tcW w:w="693" w:type="pct"/>
            <w:vAlign w:val="center"/>
          </w:tcPr>
          <w:p w14:paraId="20790310">
            <w:pPr>
              <w:jc w:val="center"/>
              <w:rPr>
                <w:rFonts w:ascii="Times New Roman"/>
                <w:sz w:val="21"/>
                <w:szCs w:val="21"/>
              </w:rPr>
            </w:pPr>
            <w:r>
              <w:rPr>
                <w:rFonts w:ascii="Times New Roman"/>
                <w:sz w:val="21"/>
                <w:szCs w:val="21"/>
              </w:rPr>
              <w:t>颗粒物</w:t>
            </w:r>
          </w:p>
        </w:tc>
        <w:tc>
          <w:tcPr>
            <w:tcW w:w="921" w:type="pct"/>
            <w:vAlign w:val="center"/>
          </w:tcPr>
          <w:p w14:paraId="58FBC63A">
            <w:pPr>
              <w:jc w:val="center"/>
              <w:rPr>
                <w:rFonts w:ascii="Times New Roman"/>
                <w:sz w:val="21"/>
                <w:szCs w:val="21"/>
              </w:rPr>
            </w:pPr>
            <w:r>
              <w:rPr>
                <w:rFonts w:ascii="Times New Roman"/>
                <w:sz w:val="21"/>
                <w:szCs w:val="21"/>
              </w:rPr>
              <w:t>集气罩</w:t>
            </w:r>
          </w:p>
        </w:tc>
        <w:tc>
          <w:tcPr>
            <w:tcW w:w="1188" w:type="pct"/>
            <w:vAlign w:val="center"/>
          </w:tcPr>
          <w:p w14:paraId="33E9DC8E">
            <w:pPr>
              <w:jc w:val="center"/>
              <w:rPr>
                <w:rFonts w:ascii="Times New Roman"/>
                <w:sz w:val="21"/>
                <w:szCs w:val="21"/>
              </w:rPr>
            </w:pPr>
            <w:r>
              <w:rPr>
                <w:rFonts w:ascii="Times New Roman"/>
                <w:sz w:val="21"/>
                <w:szCs w:val="21"/>
              </w:rPr>
              <w:t>布袋除尘器+20m高排气筒（DA001）</w:t>
            </w:r>
          </w:p>
        </w:tc>
        <w:tc>
          <w:tcPr>
            <w:tcW w:w="612" w:type="pct"/>
            <w:vAlign w:val="center"/>
          </w:tcPr>
          <w:p w14:paraId="68323809">
            <w:pPr>
              <w:jc w:val="center"/>
              <w:rPr>
                <w:rFonts w:ascii="Times New Roman"/>
                <w:sz w:val="21"/>
                <w:szCs w:val="21"/>
              </w:rPr>
            </w:pPr>
            <w:r>
              <w:rPr>
                <w:rFonts w:ascii="Times New Roman"/>
                <w:sz w:val="21"/>
                <w:szCs w:val="21"/>
              </w:rPr>
              <w:t>20000</w:t>
            </w:r>
          </w:p>
        </w:tc>
      </w:tr>
      <w:tr w14:paraId="5D40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50" w:type="pct"/>
            <w:vMerge w:val="continue"/>
            <w:vAlign w:val="center"/>
          </w:tcPr>
          <w:p w14:paraId="7126B2B7">
            <w:pPr>
              <w:jc w:val="center"/>
              <w:rPr>
                <w:rFonts w:ascii="Times New Roman"/>
                <w:sz w:val="21"/>
                <w:szCs w:val="21"/>
              </w:rPr>
            </w:pPr>
          </w:p>
        </w:tc>
        <w:tc>
          <w:tcPr>
            <w:tcW w:w="364" w:type="pct"/>
            <w:vMerge w:val="restart"/>
            <w:shd w:val="clear" w:color="auto" w:fill="auto"/>
            <w:noWrap/>
            <w:vAlign w:val="center"/>
          </w:tcPr>
          <w:p w14:paraId="56AD4AF3">
            <w:pPr>
              <w:jc w:val="center"/>
              <w:rPr>
                <w:rFonts w:ascii="Times New Roman"/>
                <w:sz w:val="21"/>
                <w:szCs w:val="21"/>
              </w:rPr>
            </w:pPr>
            <w:r>
              <w:rPr>
                <w:rFonts w:ascii="Times New Roman"/>
                <w:sz w:val="21"/>
                <w:szCs w:val="21"/>
              </w:rPr>
              <w:t>焊接、滚筒生产线</w:t>
            </w:r>
          </w:p>
        </w:tc>
        <w:tc>
          <w:tcPr>
            <w:tcW w:w="395" w:type="pct"/>
            <w:shd w:val="clear" w:color="auto" w:fill="auto"/>
            <w:vAlign w:val="center"/>
          </w:tcPr>
          <w:p w14:paraId="3C9CE57A">
            <w:pPr>
              <w:spacing w:line="320" w:lineRule="exact"/>
              <w:jc w:val="center"/>
              <w:rPr>
                <w:rFonts w:ascii="Times New Roman"/>
                <w:sz w:val="21"/>
                <w:szCs w:val="21"/>
              </w:rPr>
            </w:pPr>
            <w:r>
              <w:rPr>
                <w:rFonts w:ascii="Times New Roman"/>
                <w:sz w:val="21"/>
                <w:szCs w:val="21"/>
              </w:rPr>
              <w:t>焊接工序</w:t>
            </w:r>
          </w:p>
        </w:tc>
        <w:tc>
          <w:tcPr>
            <w:tcW w:w="572" w:type="pct"/>
            <w:tcBorders>
              <w:top w:val="single" w:color="000000" w:sz="4" w:space="0"/>
            </w:tcBorders>
            <w:vAlign w:val="center"/>
          </w:tcPr>
          <w:p w14:paraId="6CCFE2F2">
            <w:pPr>
              <w:jc w:val="center"/>
              <w:rPr>
                <w:rFonts w:ascii="Times New Roman"/>
                <w:sz w:val="21"/>
                <w:szCs w:val="21"/>
              </w:rPr>
            </w:pPr>
            <w:r>
              <w:rPr>
                <w:rFonts w:ascii="Times New Roman"/>
                <w:sz w:val="21"/>
                <w:szCs w:val="21"/>
              </w:rPr>
              <w:t>焊机</w:t>
            </w:r>
          </w:p>
        </w:tc>
        <w:tc>
          <w:tcPr>
            <w:tcW w:w="693" w:type="pct"/>
            <w:tcBorders>
              <w:top w:val="single" w:color="000000" w:sz="4" w:space="0"/>
            </w:tcBorders>
            <w:vAlign w:val="center"/>
          </w:tcPr>
          <w:p w14:paraId="47695CFA">
            <w:pPr>
              <w:jc w:val="center"/>
              <w:rPr>
                <w:rFonts w:ascii="Times New Roman"/>
                <w:sz w:val="21"/>
                <w:szCs w:val="21"/>
              </w:rPr>
            </w:pPr>
            <w:r>
              <w:rPr>
                <w:rFonts w:ascii="Times New Roman"/>
                <w:sz w:val="21"/>
                <w:szCs w:val="21"/>
              </w:rPr>
              <w:t>颗粒物</w:t>
            </w:r>
          </w:p>
        </w:tc>
        <w:tc>
          <w:tcPr>
            <w:tcW w:w="921" w:type="pct"/>
            <w:vAlign w:val="center"/>
          </w:tcPr>
          <w:p w14:paraId="3918DD87">
            <w:pPr>
              <w:jc w:val="center"/>
              <w:rPr>
                <w:rFonts w:ascii="Times New Roman"/>
                <w:sz w:val="21"/>
                <w:szCs w:val="21"/>
              </w:rPr>
            </w:pPr>
            <w:r>
              <w:rPr>
                <w:rFonts w:ascii="Times New Roman"/>
                <w:sz w:val="21"/>
                <w:szCs w:val="21"/>
              </w:rPr>
              <w:t>焊接工位上方安装集气罩</w:t>
            </w:r>
          </w:p>
        </w:tc>
        <w:tc>
          <w:tcPr>
            <w:tcW w:w="1188" w:type="pct"/>
            <w:vAlign w:val="center"/>
          </w:tcPr>
          <w:p w14:paraId="30AEBBF1">
            <w:pPr>
              <w:jc w:val="center"/>
              <w:rPr>
                <w:rFonts w:ascii="Times New Roman"/>
                <w:sz w:val="21"/>
                <w:szCs w:val="21"/>
              </w:rPr>
            </w:pPr>
            <w:r>
              <w:rPr>
                <w:rFonts w:ascii="Times New Roman"/>
                <w:sz w:val="21"/>
                <w:szCs w:val="21"/>
              </w:rPr>
              <w:t>3套布袋除尘器+3根2</w:t>
            </w:r>
            <w:r>
              <w:rPr>
                <w:rFonts w:hint="eastAsia" w:ascii="Times New Roman"/>
                <w:sz w:val="21"/>
                <w:szCs w:val="21"/>
              </w:rPr>
              <w:t>2</w:t>
            </w:r>
            <w:r>
              <w:rPr>
                <w:rFonts w:ascii="Times New Roman"/>
                <w:sz w:val="21"/>
                <w:szCs w:val="21"/>
              </w:rPr>
              <w:t>m高排气筒（DA002~DA004）</w:t>
            </w:r>
          </w:p>
        </w:tc>
        <w:tc>
          <w:tcPr>
            <w:tcW w:w="612" w:type="pct"/>
            <w:vAlign w:val="center"/>
          </w:tcPr>
          <w:p w14:paraId="18309E3F">
            <w:pPr>
              <w:jc w:val="center"/>
              <w:rPr>
                <w:rFonts w:ascii="Times New Roman"/>
                <w:sz w:val="21"/>
                <w:szCs w:val="21"/>
              </w:rPr>
            </w:pPr>
            <w:r>
              <w:rPr>
                <w:rFonts w:ascii="Times New Roman"/>
                <w:sz w:val="21"/>
                <w:szCs w:val="21"/>
              </w:rPr>
              <w:t>15000</w:t>
            </w:r>
          </w:p>
        </w:tc>
      </w:tr>
      <w:tr w14:paraId="11D6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50" w:type="pct"/>
            <w:vMerge w:val="continue"/>
            <w:vAlign w:val="center"/>
          </w:tcPr>
          <w:p w14:paraId="16731E9C">
            <w:pPr>
              <w:jc w:val="center"/>
              <w:rPr>
                <w:rFonts w:ascii="Times New Roman"/>
                <w:sz w:val="21"/>
                <w:szCs w:val="21"/>
              </w:rPr>
            </w:pPr>
          </w:p>
        </w:tc>
        <w:tc>
          <w:tcPr>
            <w:tcW w:w="364" w:type="pct"/>
            <w:vMerge w:val="continue"/>
            <w:shd w:val="clear" w:color="auto" w:fill="auto"/>
            <w:noWrap/>
            <w:vAlign w:val="center"/>
          </w:tcPr>
          <w:p w14:paraId="534DE5E4">
            <w:pPr>
              <w:jc w:val="center"/>
              <w:rPr>
                <w:rFonts w:ascii="Times New Roman"/>
                <w:sz w:val="21"/>
                <w:szCs w:val="21"/>
              </w:rPr>
            </w:pPr>
          </w:p>
        </w:tc>
        <w:tc>
          <w:tcPr>
            <w:tcW w:w="395" w:type="pct"/>
            <w:shd w:val="clear" w:color="auto" w:fill="auto"/>
            <w:vAlign w:val="center"/>
          </w:tcPr>
          <w:p w14:paraId="1C7BD0F7">
            <w:pPr>
              <w:spacing w:line="320" w:lineRule="exact"/>
              <w:jc w:val="center"/>
              <w:rPr>
                <w:rFonts w:ascii="Times New Roman"/>
                <w:sz w:val="21"/>
                <w:szCs w:val="21"/>
              </w:rPr>
            </w:pPr>
            <w:r>
              <w:rPr>
                <w:rFonts w:ascii="Times New Roman"/>
                <w:sz w:val="21"/>
                <w:szCs w:val="21"/>
              </w:rPr>
              <w:t>热处理车炉加热工序</w:t>
            </w:r>
          </w:p>
        </w:tc>
        <w:tc>
          <w:tcPr>
            <w:tcW w:w="572" w:type="pct"/>
            <w:tcBorders>
              <w:bottom w:val="single" w:color="000000" w:sz="4" w:space="0"/>
            </w:tcBorders>
            <w:vAlign w:val="center"/>
          </w:tcPr>
          <w:p w14:paraId="7DBF4614">
            <w:pPr>
              <w:jc w:val="center"/>
              <w:rPr>
                <w:rFonts w:ascii="Times New Roman"/>
                <w:sz w:val="21"/>
                <w:szCs w:val="21"/>
              </w:rPr>
            </w:pPr>
            <w:r>
              <w:rPr>
                <w:rFonts w:ascii="Times New Roman"/>
                <w:sz w:val="21"/>
                <w:szCs w:val="21"/>
              </w:rPr>
              <w:t>热处理车炉</w:t>
            </w:r>
          </w:p>
        </w:tc>
        <w:tc>
          <w:tcPr>
            <w:tcW w:w="693" w:type="pct"/>
            <w:vAlign w:val="center"/>
          </w:tcPr>
          <w:p w14:paraId="742CF391">
            <w:pPr>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、NOx、烟气黑度</w:t>
            </w:r>
          </w:p>
        </w:tc>
        <w:tc>
          <w:tcPr>
            <w:tcW w:w="921" w:type="pct"/>
            <w:vAlign w:val="center"/>
          </w:tcPr>
          <w:p w14:paraId="480FA6A9">
            <w:pPr>
              <w:jc w:val="center"/>
              <w:rPr>
                <w:rFonts w:ascii="Times New Roman"/>
                <w:sz w:val="21"/>
                <w:szCs w:val="21"/>
              </w:rPr>
            </w:pPr>
            <w:r>
              <w:rPr>
                <w:rFonts w:ascii="Times New Roman"/>
                <w:sz w:val="21"/>
                <w:szCs w:val="21"/>
              </w:rPr>
              <w:t>集气管道</w:t>
            </w:r>
          </w:p>
        </w:tc>
        <w:tc>
          <w:tcPr>
            <w:tcW w:w="1188" w:type="pct"/>
            <w:vAlign w:val="center"/>
          </w:tcPr>
          <w:p w14:paraId="144429FB">
            <w:pPr>
              <w:jc w:val="center"/>
              <w:rPr>
                <w:rFonts w:ascii="Times New Roman"/>
                <w:sz w:val="21"/>
                <w:szCs w:val="21"/>
              </w:rPr>
            </w:pPr>
            <w:r>
              <w:rPr>
                <w:rFonts w:ascii="Times New Roman"/>
                <w:sz w:val="21"/>
                <w:szCs w:val="21"/>
              </w:rPr>
              <w:t>低氮燃烧器+20米高排气筒DA005</w:t>
            </w:r>
          </w:p>
        </w:tc>
        <w:tc>
          <w:tcPr>
            <w:tcW w:w="612" w:type="pct"/>
            <w:vAlign w:val="center"/>
          </w:tcPr>
          <w:p w14:paraId="0669D70E">
            <w:pPr>
              <w:jc w:val="center"/>
              <w:rPr>
                <w:rFonts w:ascii="Times New Roman"/>
                <w:sz w:val="21"/>
                <w:szCs w:val="21"/>
              </w:rPr>
            </w:pPr>
            <w:r>
              <w:rPr>
                <w:rFonts w:hint="eastAsia" w:ascii="Times New Roman"/>
                <w:sz w:val="21"/>
                <w:szCs w:val="21"/>
              </w:rPr>
              <w:t>5059.2</w:t>
            </w:r>
          </w:p>
        </w:tc>
      </w:tr>
      <w:tr w14:paraId="3403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50" w:type="pct"/>
            <w:vMerge w:val="continue"/>
            <w:vAlign w:val="center"/>
          </w:tcPr>
          <w:p w14:paraId="6CB4B240">
            <w:pPr>
              <w:jc w:val="center"/>
              <w:rPr>
                <w:rFonts w:ascii="Times New Roman"/>
                <w:sz w:val="21"/>
                <w:szCs w:val="21"/>
              </w:rPr>
            </w:pPr>
          </w:p>
        </w:tc>
        <w:tc>
          <w:tcPr>
            <w:tcW w:w="364" w:type="pct"/>
            <w:vMerge w:val="continue"/>
            <w:shd w:val="clear" w:color="auto" w:fill="auto"/>
            <w:noWrap/>
            <w:vAlign w:val="center"/>
          </w:tcPr>
          <w:p w14:paraId="3434A42E">
            <w:pPr>
              <w:jc w:val="center"/>
              <w:rPr>
                <w:rFonts w:ascii="Times New Roman"/>
                <w:sz w:val="21"/>
                <w:szCs w:val="21"/>
              </w:rPr>
            </w:pPr>
          </w:p>
        </w:tc>
        <w:tc>
          <w:tcPr>
            <w:tcW w:w="395" w:type="pct"/>
            <w:shd w:val="clear" w:color="auto" w:fill="auto"/>
            <w:vAlign w:val="center"/>
          </w:tcPr>
          <w:p w14:paraId="18FEC141">
            <w:pPr>
              <w:spacing w:line="320" w:lineRule="exact"/>
              <w:jc w:val="center"/>
              <w:rPr>
                <w:rFonts w:ascii="Times New Roman"/>
                <w:sz w:val="21"/>
                <w:szCs w:val="21"/>
              </w:rPr>
            </w:pPr>
            <w:r>
              <w:rPr>
                <w:rFonts w:ascii="Times New Roman"/>
                <w:sz w:val="21"/>
                <w:szCs w:val="21"/>
              </w:rPr>
              <w:t>淬火、回火</w:t>
            </w:r>
          </w:p>
        </w:tc>
        <w:tc>
          <w:tcPr>
            <w:tcW w:w="572" w:type="pct"/>
            <w:tcBorders>
              <w:top w:val="single" w:color="000000" w:sz="4" w:space="0"/>
            </w:tcBorders>
            <w:vAlign w:val="center"/>
          </w:tcPr>
          <w:p w14:paraId="097BA357">
            <w:pPr>
              <w:jc w:val="center"/>
              <w:rPr>
                <w:rFonts w:ascii="Times New Roman"/>
                <w:sz w:val="21"/>
                <w:szCs w:val="21"/>
              </w:rPr>
            </w:pPr>
            <w:r>
              <w:rPr>
                <w:rFonts w:ascii="Times New Roman"/>
                <w:sz w:val="21"/>
                <w:szCs w:val="21"/>
              </w:rPr>
              <w:t>淬火炉回火炉</w:t>
            </w:r>
          </w:p>
        </w:tc>
        <w:tc>
          <w:tcPr>
            <w:tcW w:w="693" w:type="pct"/>
            <w:vAlign w:val="center"/>
          </w:tcPr>
          <w:p w14:paraId="18D60C94">
            <w:pPr>
              <w:jc w:val="center"/>
              <w:rPr>
                <w:rFonts w:ascii="Times New Roman"/>
                <w:sz w:val="21"/>
                <w:szCs w:val="21"/>
              </w:rPr>
            </w:pPr>
            <w:r>
              <w:rPr>
                <w:rFonts w:ascii="Times New Roman"/>
                <w:sz w:val="21"/>
                <w:szCs w:val="21"/>
              </w:rPr>
              <w:t>非甲烷总烃、油雾</w:t>
            </w:r>
          </w:p>
        </w:tc>
        <w:tc>
          <w:tcPr>
            <w:tcW w:w="921" w:type="pct"/>
            <w:vAlign w:val="center"/>
          </w:tcPr>
          <w:p w14:paraId="36398DB9">
            <w:pPr>
              <w:jc w:val="center"/>
              <w:rPr>
                <w:rFonts w:ascii="Times New Roman"/>
                <w:sz w:val="21"/>
                <w:szCs w:val="21"/>
              </w:rPr>
            </w:pPr>
            <w:r>
              <w:rPr>
                <w:rFonts w:ascii="Times New Roman"/>
                <w:sz w:val="21"/>
                <w:szCs w:val="21"/>
              </w:rPr>
              <w:t>集气管道</w:t>
            </w:r>
          </w:p>
        </w:tc>
        <w:tc>
          <w:tcPr>
            <w:tcW w:w="1188" w:type="pct"/>
            <w:vAlign w:val="center"/>
          </w:tcPr>
          <w:p w14:paraId="2F8D64D4">
            <w:pPr>
              <w:jc w:val="center"/>
              <w:rPr>
                <w:rFonts w:ascii="Times New Roman"/>
                <w:sz w:val="21"/>
                <w:szCs w:val="21"/>
              </w:rPr>
            </w:pPr>
            <w:r>
              <w:rPr>
                <w:rFonts w:ascii="Times New Roman"/>
                <w:sz w:val="21"/>
                <w:szCs w:val="21"/>
              </w:rPr>
              <w:t>油雾净化器+二级活性炭吸附装置+20米高排气筒DA006</w:t>
            </w:r>
          </w:p>
        </w:tc>
        <w:tc>
          <w:tcPr>
            <w:tcW w:w="612" w:type="pct"/>
            <w:vAlign w:val="center"/>
          </w:tcPr>
          <w:p w14:paraId="61A2A6A7">
            <w:pPr>
              <w:jc w:val="center"/>
              <w:rPr>
                <w:rFonts w:ascii="Times New Roman"/>
                <w:sz w:val="21"/>
                <w:szCs w:val="21"/>
              </w:rPr>
            </w:pPr>
            <w:r>
              <w:rPr>
                <w:rFonts w:ascii="Times New Roman"/>
                <w:sz w:val="21"/>
                <w:szCs w:val="21"/>
              </w:rPr>
              <w:t>5000</w:t>
            </w:r>
            <w:r>
              <w:rPr>
                <w:rFonts w:hint="eastAsia" w:ascii="Times New Roman"/>
                <w:sz w:val="21"/>
                <w:szCs w:val="21"/>
              </w:rPr>
              <w:t>0</w:t>
            </w:r>
          </w:p>
        </w:tc>
      </w:tr>
      <w:tr w14:paraId="62F9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50" w:type="pct"/>
            <w:vMerge w:val="continue"/>
            <w:vAlign w:val="center"/>
          </w:tcPr>
          <w:p w14:paraId="7C629C8E">
            <w:pPr>
              <w:jc w:val="center"/>
              <w:rPr>
                <w:rFonts w:ascii="Times New Roman"/>
                <w:sz w:val="21"/>
                <w:szCs w:val="21"/>
              </w:rPr>
            </w:pPr>
          </w:p>
        </w:tc>
        <w:tc>
          <w:tcPr>
            <w:tcW w:w="364" w:type="pct"/>
            <w:vMerge w:val="restart"/>
            <w:shd w:val="clear" w:color="auto" w:fill="auto"/>
            <w:noWrap/>
            <w:vAlign w:val="center"/>
          </w:tcPr>
          <w:p w14:paraId="734671DD">
            <w:pPr>
              <w:jc w:val="center"/>
              <w:rPr>
                <w:rFonts w:ascii="Times New Roman"/>
                <w:sz w:val="21"/>
                <w:szCs w:val="21"/>
              </w:rPr>
            </w:pPr>
            <w:r>
              <w:rPr>
                <w:rFonts w:ascii="Times New Roman"/>
                <w:sz w:val="21"/>
                <w:szCs w:val="21"/>
              </w:rPr>
              <w:t>预处理及电泳生产线</w:t>
            </w:r>
          </w:p>
        </w:tc>
        <w:tc>
          <w:tcPr>
            <w:tcW w:w="395" w:type="pct"/>
            <w:shd w:val="clear" w:color="auto" w:fill="auto"/>
            <w:vAlign w:val="center"/>
          </w:tcPr>
          <w:p w14:paraId="736E662B">
            <w:pPr>
              <w:spacing w:line="320" w:lineRule="exact"/>
              <w:jc w:val="center"/>
              <w:rPr>
                <w:rFonts w:ascii="Times New Roman"/>
                <w:sz w:val="21"/>
                <w:szCs w:val="21"/>
              </w:rPr>
            </w:pPr>
            <w:r>
              <w:rPr>
                <w:rFonts w:ascii="Times New Roman"/>
                <w:sz w:val="21"/>
                <w:szCs w:val="21"/>
              </w:rPr>
              <w:t>抛丸</w:t>
            </w:r>
          </w:p>
        </w:tc>
        <w:tc>
          <w:tcPr>
            <w:tcW w:w="572" w:type="pct"/>
            <w:vAlign w:val="center"/>
          </w:tcPr>
          <w:p w14:paraId="230937DB">
            <w:pPr>
              <w:jc w:val="center"/>
              <w:rPr>
                <w:rFonts w:ascii="Times New Roman"/>
                <w:sz w:val="21"/>
                <w:szCs w:val="21"/>
              </w:rPr>
            </w:pPr>
            <w:r>
              <w:rPr>
                <w:rFonts w:ascii="Times New Roman"/>
                <w:sz w:val="21"/>
                <w:szCs w:val="21"/>
              </w:rPr>
              <w:t>抛丸机</w:t>
            </w:r>
          </w:p>
        </w:tc>
        <w:tc>
          <w:tcPr>
            <w:tcW w:w="693" w:type="pct"/>
            <w:shd w:val="clear" w:color="auto" w:fill="auto"/>
            <w:vAlign w:val="center"/>
          </w:tcPr>
          <w:p w14:paraId="03B8B882">
            <w:pPr>
              <w:spacing w:line="320" w:lineRule="exact"/>
              <w:jc w:val="center"/>
              <w:rPr>
                <w:rFonts w:ascii="Times New Roman"/>
                <w:sz w:val="21"/>
                <w:szCs w:val="21"/>
              </w:rPr>
            </w:pPr>
            <w:r>
              <w:rPr>
                <w:rFonts w:ascii="Times New Roman"/>
                <w:sz w:val="21"/>
                <w:szCs w:val="21"/>
              </w:rPr>
              <w:t>颗粒物</w:t>
            </w:r>
          </w:p>
        </w:tc>
        <w:tc>
          <w:tcPr>
            <w:tcW w:w="921" w:type="pct"/>
            <w:shd w:val="clear" w:color="auto" w:fill="auto"/>
            <w:vAlign w:val="center"/>
          </w:tcPr>
          <w:p w14:paraId="621DF472">
            <w:pPr>
              <w:spacing w:line="320" w:lineRule="exact"/>
              <w:jc w:val="center"/>
              <w:rPr>
                <w:rFonts w:ascii="Times New Roman"/>
                <w:sz w:val="21"/>
                <w:szCs w:val="21"/>
              </w:rPr>
            </w:pPr>
            <w:r>
              <w:rPr>
                <w:rFonts w:ascii="Times New Roman"/>
                <w:sz w:val="21"/>
                <w:szCs w:val="21"/>
              </w:rPr>
              <w:t>集气管道</w:t>
            </w:r>
          </w:p>
        </w:tc>
        <w:tc>
          <w:tcPr>
            <w:tcW w:w="1188" w:type="pct"/>
            <w:vMerge w:val="restart"/>
            <w:vAlign w:val="center"/>
          </w:tcPr>
          <w:p w14:paraId="13A3B896">
            <w:pPr>
              <w:jc w:val="center"/>
              <w:rPr>
                <w:rFonts w:ascii="Times New Roman"/>
                <w:sz w:val="21"/>
                <w:szCs w:val="21"/>
              </w:rPr>
            </w:pPr>
            <w:r>
              <w:rPr>
                <w:rFonts w:ascii="Times New Roman"/>
                <w:sz w:val="21"/>
                <w:szCs w:val="21"/>
              </w:rPr>
              <w:t>旋风除尘器</w:t>
            </w:r>
            <w:r>
              <w:rPr>
                <w:rFonts w:hint="eastAsia" w:ascii="Times New Roman"/>
                <w:sz w:val="21"/>
                <w:szCs w:val="21"/>
              </w:rPr>
              <w:t>+滤筒</w:t>
            </w:r>
            <w:r>
              <w:rPr>
                <w:rFonts w:ascii="Times New Roman"/>
                <w:sz w:val="21"/>
                <w:szCs w:val="21"/>
              </w:rPr>
              <w:t>除尘器+20m高排气筒（DA007）</w:t>
            </w:r>
          </w:p>
        </w:tc>
        <w:tc>
          <w:tcPr>
            <w:tcW w:w="612" w:type="pct"/>
            <w:vMerge w:val="restart"/>
            <w:vAlign w:val="center"/>
          </w:tcPr>
          <w:p w14:paraId="3FC4731F">
            <w:pPr>
              <w:jc w:val="center"/>
              <w:rPr>
                <w:rFonts w:ascii="Times New Roman"/>
                <w:sz w:val="21"/>
                <w:szCs w:val="21"/>
              </w:rPr>
            </w:pPr>
            <w:r>
              <w:rPr>
                <w:rFonts w:ascii="Times New Roman"/>
                <w:sz w:val="21"/>
                <w:szCs w:val="21"/>
              </w:rPr>
              <w:t>20000</w:t>
            </w:r>
          </w:p>
        </w:tc>
      </w:tr>
      <w:tr w14:paraId="7FEF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50" w:type="pct"/>
            <w:vMerge w:val="continue"/>
            <w:vAlign w:val="center"/>
          </w:tcPr>
          <w:p w14:paraId="2F22FA05">
            <w:pPr>
              <w:jc w:val="center"/>
              <w:rPr>
                <w:rFonts w:ascii="Times New Roman"/>
                <w:sz w:val="21"/>
                <w:szCs w:val="21"/>
              </w:rPr>
            </w:pPr>
          </w:p>
        </w:tc>
        <w:tc>
          <w:tcPr>
            <w:tcW w:w="364" w:type="pct"/>
            <w:vMerge w:val="continue"/>
            <w:shd w:val="clear" w:color="auto" w:fill="auto"/>
            <w:noWrap/>
            <w:vAlign w:val="center"/>
          </w:tcPr>
          <w:p w14:paraId="7990F119">
            <w:pPr>
              <w:jc w:val="center"/>
              <w:rPr>
                <w:rFonts w:ascii="Times New Roman"/>
                <w:sz w:val="21"/>
                <w:szCs w:val="21"/>
              </w:rPr>
            </w:pPr>
          </w:p>
        </w:tc>
        <w:tc>
          <w:tcPr>
            <w:tcW w:w="395" w:type="pct"/>
            <w:shd w:val="clear" w:color="auto" w:fill="auto"/>
            <w:vAlign w:val="center"/>
          </w:tcPr>
          <w:p w14:paraId="71032472">
            <w:pPr>
              <w:spacing w:line="320" w:lineRule="exact"/>
              <w:jc w:val="center"/>
              <w:rPr>
                <w:rFonts w:ascii="Times New Roman"/>
                <w:sz w:val="21"/>
                <w:szCs w:val="21"/>
              </w:rPr>
            </w:pPr>
            <w:r>
              <w:rPr>
                <w:rFonts w:ascii="Times New Roman"/>
                <w:sz w:val="21"/>
                <w:szCs w:val="21"/>
              </w:rPr>
              <w:t>喷砂工序</w:t>
            </w:r>
          </w:p>
        </w:tc>
        <w:tc>
          <w:tcPr>
            <w:tcW w:w="572" w:type="pct"/>
            <w:vAlign w:val="center"/>
          </w:tcPr>
          <w:p w14:paraId="25EAD5AA">
            <w:pPr>
              <w:jc w:val="center"/>
              <w:rPr>
                <w:rFonts w:ascii="Times New Roman"/>
                <w:sz w:val="21"/>
                <w:szCs w:val="21"/>
              </w:rPr>
            </w:pPr>
            <w:r>
              <w:rPr>
                <w:rFonts w:ascii="Times New Roman"/>
                <w:sz w:val="21"/>
                <w:szCs w:val="21"/>
              </w:rPr>
              <w:t>喷砂房</w:t>
            </w:r>
          </w:p>
        </w:tc>
        <w:tc>
          <w:tcPr>
            <w:tcW w:w="693" w:type="pct"/>
            <w:shd w:val="clear" w:color="auto" w:fill="auto"/>
            <w:vAlign w:val="center"/>
          </w:tcPr>
          <w:p w14:paraId="64D59E3D">
            <w:pPr>
              <w:spacing w:line="320" w:lineRule="exact"/>
              <w:jc w:val="center"/>
              <w:rPr>
                <w:rFonts w:ascii="Times New Roman"/>
                <w:sz w:val="21"/>
                <w:szCs w:val="21"/>
              </w:rPr>
            </w:pPr>
            <w:r>
              <w:rPr>
                <w:rFonts w:ascii="Times New Roman"/>
                <w:sz w:val="21"/>
                <w:szCs w:val="21"/>
              </w:rPr>
              <w:t>颗粒物</w:t>
            </w:r>
          </w:p>
        </w:tc>
        <w:tc>
          <w:tcPr>
            <w:tcW w:w="921" w:type="pct"/>
            <w:shd w:val="clear" w:color="auto" w:fill="auto"/>
            <w:vAlign w:val="center"/>
          </w:tcPr>
          <w:p w14:paraId="61B78A5B">
            <w:pPr>
              <w:spacing w:line="320" w:lineRule="exact"/>
              <w:jc w:val="center"/>
              <w:rPr>
                <w:rFonts w:ascii="Times New Roman"/>
                <w:sz w:val="21"/>
                <w:szCs w:val="21"/>
              </w:rPr>
            </w:pPr>
            <w:r>
              <w:rPr>
                <w:rFonts w:ascii="Times New Roman"/>
                <w:sz w:val="21"/>
                <w:szCs w:val="21"/>
              </w:rPr>
              <w:t>集气管道</w:t>
            </w:r>
          </w:p>
        </w:tc>
        <w:tc>
          <w:tcPr>
            <w:tcW w:w="1188" w:type="pct"/>
            <w:vMerge w:val="continue"/>
            <w:vAlign w:val="center"/>
          </w:tcPr>
          <w:p w14:paraId="2AA8E637">
            <w:pPr>
              <w:jc w:val="center"/>
              <w:rPr>
                <w:rFonts w:ascii="Times New Roman"/>
                <w:sz w:val="21"/>
                <w:szCs w:val="21"/>
              </w:rPr>
            </w:pPr>
          </w:p>
        </w:tc>
        <w:tc>
          <w:tcPr>
            <w:tcW w:w="612" w:type="pct"/>
            <w:vMerge w:val="continue"/>
            <w:vAlign w:val="center"/>
          </w:tcPr>
          <w:p w14:paraId="754D3529">
            <w:pPr>
              <w:jc w:val="center"/>
              <w:rPr>
                <w:rFonts w:ascii="Times New Roman"/>
                <w:sz w:val="21"/>
                <w:szCs w:val="21"/>
              </w:rPr>
            </w:pPr>
          </w:p>
        </w:tc>
      </w:tr>
      <w:tr w14:paraId="2007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50" w:type="pct"/>
            <w:vMerge w:val="continue"/>
            <w:vAlign w:val="center"/>
          </w:tcPr>
          <w:p w14:paraId="5FBAA239">
            <w:pPr>
              <w:jc w:val="center"/>
              <w:rPr>
                <w:rFonts w:ascii="Times New Roman"/>
                <w:sz w:val="21"/>
                <w:szCs w:val="21"/>
              </w:rPr>
            </w:pPr>
          </w:p>
        </w:tc>
        <w:tc>
          <w:tcPr>
            <w:tcW w:w="364" w:type="pct"/>
            <w:vMerge w:val="continue"/>
            <w:shd w:val="clear" w:color="auto" w:fill="auto"/>
            <w:noWrap/>
            <w:vAlign w:val="center"/>
          </w:tcPr>
          <w:p w14:paraId="23C0F147">
            <w:pPr>
              <w:jc w:val="center"/>
              <w:rPr>
                <w:rFonts w:ascii="Times New Roman"/>
                <w:sz w:val="21"/>
                <w:szCs w:val="21"/>
              </w:rPr>
            </w:pPr>
          </w:p>
        </w:tc>
        <w:tc>
          <w:tcPr>
            <w:tcW w:w="395" w:type="pct"/>
            <w:shd w:val="clear" w:color="auto" w:fill="auto"/>
            <w:vAlign w:val="center"/>
          </w:tcPr>
          <w:p w14:paraId="6D6673FF">
            <w:pPr>
              <w:spacing w:line="320" w:lineRule="exact"/>
              <w:jc w:val="center"/>
              <w:rPr>
                <w:rFonts w:ascii="Times New Roman"/>
                <w:sz w:val="21"/>
                <w:szCs w:val="21"/>
              </w:rPr>
            </w:pPr>
            <w:r>
              <w:rPr>
                <w:rFonts w:hint="eastAsia" w:ascii="Times New Roman"/>
                <w:sz w:val="21"/>
                <w:szCs w:val="21"/>
              </w:rPr>
              <w:t>热水炉</w:t>
            </w:r>
          </w:p>
        </w:tc>
        <w:tc>
          <w:tcPr>
            <w:tcW w:w="572" w:type="pct"/>
            <w:vAlign w:val="center"/>
          </w:tcPr>
          <w:p w14:paraId="758C48C4">
            <w:pPr>
              <w:jc w:val="center"/>
              <w:rPr>
                <w:rFonts w:ascii="Times New Roman"/>
                <w:sz w:val="21"/>
                <w:szCs w:val="21"/>
              </w:rPr>
            </w:pPr>
            <w:r>
              <w:rPr>
                <w:rFonts w:hint="eastAsia" w:ascii="Times New Roman"/>
                <w:sz w:val="21"/>
                <w:szCs w:val="21"/>
              </w:rPr>
              <w:t>热水炉</w:t>
            </w:r>
          </w:p>
        </w:tc>
        <w:tc>
          <w:tcPr>
            <w:tcW w:w="693" w:type="pct"/>
            <w:shd w:val="clear" w:color="auto" w:fill="auto"/>
            <w:vAlign w:val="center"/>
          </w:tcPr>
          <w:p w14:paraId="3708B39E">
            <w:pPr>
              <w:spacing w:line="320" w:lineRule="exact"/>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、NOx、烟气黑度</w:t>
            </w:r>
          </w:p>
        </w:tc>
        <w:tc>
          <w:tcPr>
            <w:tcW w:w="921" w:type="pct"/>
            <w:shd w:val="clear" w:color="auto" w:fill="auto"/>
            <w:vAlign w:val="center"/>
          </w:tcPr>
          <w:p w14:paraId="0CE76C01">
            <w:pPr>
              <w:jc w:val="center"/>
              <w:rPr>
                <w:rFonts w:ascii="Times New Roman"/>
                <w:sz w:val="21"/>
                <w:szCs w:val="21"/>
              </w:rPr>
            </w:pPr>
            <w:r>
              <w:rPr>
                <w:rFonts w:ascii="Times New Roman"/>
                <w:sz w:val="21"/>
                <w:szCs w:val="21"/>
              </w:rPr>
              <w:t>集气管道</w:t>
            </w:r>
          </w:p>
        </w:tc>
        <w:tc>
          <w:tcPr>
            <w:tcW w:w="1188" w:type="pct"/>
            <w:shd w:val="clear" w:color="auto" w:fill="auto"/>
            <w:vAlign w:val="center"/>
          </w:tcPr>
          <w:p w14:paraId="72826416">
            <w:pPr>
              <w:jc w:val="center"/>
              <w:rPr>
                <w:rFonts w:ascii="Times New Roman"/>
                <w:sz w:val="21"/>
                <w:szCs w:val="21"/>
              </w:rPr>
            </w:pPr>
            <w:r>
              <w:rPr>
                <w:rFonts w:ascii="Times New Roman"/>
                <w:sz w:val="21"/>
                <w:szCs w:val="21"/>
              </w:rPr>
              <w:t>低氮燃烧器+2</w:t>
            </w:r>
            <w:r>
              <w:rPr>
                <w:rFonts w:hint="eastAsia" w:ascii="Times New Roman"/>
                <w:sz w:val="21"/>
                <w:szCs w:val="21"/>
              </w:rPr>
              <w:t>2</w:t>
            </w:r>
            <w:r>
              <w:rPr>
                <w:rFonts w:ascii="Times New Roman"/>
                <w:sz w:val="21"/>
                <w:szCs w:val="21"/>
              </w:rPr>
              <w:t>米高排气筒DA00</w:t>
            </w:r>
            <w:r>
              <w:rPr>
                <w:rFonts w:hint="eastAsia" w:ascii="Times New Roman"/>
                <w:sz w:val="21"/>
                <w:szCs w:val="21"/>
              </w:rPr>
              <w:t>8</w:t>
            </w:r>
          </w:p>
        </w:tc>
        <w:tc>
          <w:tcPr>
            <w:tcW w:w="612" w:type="pct"/>
            <w:vAlign w:val="center"/>
          </w:tcPr>
          <w:p w14:paraId="50F70850">
            <w:pPr>
              <w:jc w:val="center"/>
              <w:rPr>
                <w:rFonts w:ascii="Times New Roman"/>
                <w:sz w:val="21"/>
                <w:szCs w:val="21"/>
              </w:rPr>
            </w:pPr>
            <w:r>
              <w:rPr>
                <w:rFonts w:hint="eastAsia" w:ascii="Times New Roman"/>
                <w:sz w:val="21"/>
                <w:szCs w:val="21"/>
              </w:rPr>
              <w:t>2586.072</w:t>
            </w:r>
          </w:p>
        </w:tc>
      </w:tr>
      <w:tr w14:paraId="64B6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50" w:type="pct"/>
            <w:vMerge w:val="continue"/>
            <w:vAlign w:val="center"/>
          </w:tcPr>
          <w:p w14:paraId="2DBFEABE">
            <w:pPr>
              <w:jc w:val="center"/>
              <w:rPr>
                <w:rFonts w:ascii="Times New Roman"/>
                <w:sz w:val="21"/>
                <w:szCs w:val="21"/>
              </w:rPr>
            </w:pPr>
          </w:p>
        </w:tc>
        <w:tc>
          <w:tcPr>
            <w:tcW w:w="364" w:type="pct"/>
            <w:vMerge w:val="continue"/>
            <w:shd w:val="clear" w:color="auto" w:fill="auto"/>
            <w:noWrap/>
            <w:vAlign w:val="center"/>
          </w:tcPr>
          <w:p w14:paraId="55FBB477">
            <w:pPr>
              <w:jc w:val="center"/>
              <w:rPr>
                <w:rFonts w:ascii="Times New Roman"/>
                <w:sz w:val="21"/>
                <w:szCs w:val="21"/>
              </w:rPr>
            </w:pPr>
          </w:p>
        </w:tc>
        <w:tc>
          <w:tcPr>
            <w:tcW w:w="395" w:type="pct"/>
            <w:shd w:val="clear" w:color="auto" w:fill="auto"/>
            <w:vAlign w:val="center"/>
          </w:tcPr>
          <w:p w14:paraId="0CDAB172">
            <w:pPr>
              <w:spacing w:line="320" w:lineRule="exact"/>
              <w:jc w:val="center"/>
              <w:rPr>
                <w:rFonts w:ascii="Times New Roman"/>
                <w:sz w:val="21"/>
                <w:szCs w:val="21"/>
              </w:rPr>
            </w:pPr>
            <w:r>
              <w:rPr>
                <w:rFonts w:ascii="Times New Roman"/>
                <w:sz w:val="21"/>
                <w:szCs w:val="21"/>
              </w:rPr>
              <w:t>电泳工序</w:t>
            </w:r>
          </w:p>
        </w:tc>
        <w:tc>
          <w:tcPr>
            <w:tcW w:w="572" w:type="pct"/>
            <w:vAlign w:val="center"/>
          </w:tcPr>
          <w:p w14:paraId="074CC225">
            <w:pPr>
              <w:jc w:val="center"/>
              <w:rPr>
                <w:rFonts w:ascii="Times New Roman"/>
                <w:sz w:val="21"/>
                <w:szCs w:val="21"/>
              </w:rPr>
            </w:pPr>
            <w:r>
              <w:rPr>
                <w:rFonts w:ascii="Times New Roman"/>
                <w:sz w:val="21"/>
                <w:szCs w:val="21"/>
              </w:rPr>
              <w:t>电泳槽</w:t>
            </w:r>
          </w:p>
        </w:tc>
        <w:tc>
          <w:tcPr>
            <w:tcW w:w="693" w:type="pct"/>
            <w:shd w:val="clear" w:color="auto" w:fill="auto"/>
            <w:vAlign w:val="center"/>
          </w:tcPr>
          <w:p w14:paraId="6F81EC0D">
            <w:pPr>
              <w:spacing w:line="320" w:lineRule="exact"/>
              <w:jc w:val="center"/>
              <w:rPr>
                <w:rFonts w:ascii="Times New Roman"/>
                <w:sz w:val="21"/>
                <w:szCs w:val="21"/>
              </w:rPr>
            </w:pPr>
            <w:r>
              <w:rPr>
                <w:rFonts w:ascii="Times New Roman"/>
                <w:sz w:val="21"/>
                <w:szCs w:val="21"/>
              </w:rPr>
              <w:t>非甲烷总烃</w:t>
            </w:r>
          </w:p>
        </w:tc>
        <w:tc>
          <w:tcPr>
            <w:tcW w:w="921" w:type="pct"/>
            <w:vAlign w:val="center"/>
          </w:tcPr>
          <w:p w14:paraId="16F63AA6">
            <w:pPr>
              <w:jc w:val="center"/>
              <w:rPr>
                <w:rFonts w:ascii="Times New Roman"/>
                <w:sz w:val="21"/>
                <w:szCs w:val="21"/>
              </w:rPr>
            </w:pPr>
            <w:r>
              <w:rPr>
                <w:rFonts w:hint="eastAsia" w:ascii="Times New Roman"/>
                <w:sz w:val="21"/>
                <w:szCs w:val="21"/>
              </w:rPr>
              <w:t>管道</w:t>
            </w:r>
          </w:p>
        </w:tc>
        <w:tc>
          <w:tcPr>
            <w:tcW w:w="1188" w:type="pct"/>
            <w:vMerge w:val="restart"/>
            <w:vAlign w:val="center"/>
          </w:tcPr>
          <w:p w14:paraId="166288A7">
            <w:pPr>
              <w:jc w:val="center"/>
              <w:rPr>
                <w:rFonts w:ascii="Times New Roman"/>
                <w:sz w:val="21"/>
                <w:szCs w:val="21"/>
              </w:rPr>
            </w:pPr>
            <w:r>
              <w:rPr>
                <w:rFonts w:ascii="Times New Roman"/>
                <w:kern w:val="0"/>
                <w:sz w:val="21"/>
                <w:szCs w:val="21"/>
              </w:rPr>
              <w:t>“4级干式过滤器+沸石轮转吸附+RTO焚烧装置”净化工艺+2</w:t>
            </w:r>
            <w:r>
              <w:rPr>
                <w:rFonts w:hint="eastAsia" w:ascii="Times New Roman"/>
                <w:kern w:val="0"/>
                <w:sz w:val="21"/>
                <w:szCs w:val="21"/>
              </w:rPr>
              <w:t>2</w:t>
            </w:r>
            <w:r>
              <w:rPr>
                <w:rFonts w:ascii="Times New Roman"/>
                <w:kern w:val="0"/>
                <w:sz w:val="21"/>
                <w:szCs w:val="21"/>
              </w:rPr>
              <w:t>米高排气筒DA0</w:t>
            </w:r>
            <w:r>
              <w:rPr>
                <w:rFonts w:hint="eastAsia" w:ascii="Times New Roman"/>
                <w:kern w:val="0"/>
                <w:sz w:val="21"/>
                <w:szCs w:val="21"/>
              </w:rPr>
              <w:t>11</w:t>
            </w:r>
          </w:p>
        </w:tc>
        <w:tc>
          <w:tcPr>
            <w:tcW w:w="612" w:type="pct"/>
            <w:vMerge w:val="restart"/>
            <w:vAlign w:val="center"/>
          </w:tcPr>
          <w:p w14:paraId="10F63FB1">
            <w:pPr>
              <w:jc w:val="center"/>
              <w:rPr>
                <w:rFonts w:ascii="Times New Roman"/>
                <w:sz w:val="21"/>
                <w:szCs w:val="21"/>
              </w:rPr>
            </w:pPr>
            <w:r>
              <w:rPr>
                <w:rFonts w:ascii="Times New Roman"/>
                <w:sz w:val="21"/>
                <w:szCs w:val="21"/>
              </w:rPr>
              <w:t>232000</w:t>
            </w:r>
          </w:p>
        </w:tc>
      </w:tr>
      <w:tr w14:paraId="3EAD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50" w:type="pct"/>
            <w:vMerge w:val="continue"/>
            <w:vAlign w:val="center"/>
          </w:tcPr>
          <w:p w14:paraId="62A2878C">
            <w:pPr>
              <w:jc w:val="center"/>
              <w:rPr>
                <w:rFonts w:ascii="Times New Roman"/>
                <w:sz w:val="21"/>
                <w:szCs w:val="21"/>
              </w:rPr>
            </w:pPr>
          </w:p>
        </w:tc>
        <w:tc>
          <w:tcPr>
            <w:tcW w:w="364" w:type="pct"/>
            <w:vMerge w:val="continue"/>
            <w:shd w:val="clear" w:color="auto" w:fill="auto"/>
            <w:noWrap/>
            <w:vAlign w:val="center"/>
          </w:tcPr>
          <w:p w14:paraId="3413A330">
            <w:pPr>
              <w:jc w:val="center"/>
              <w:rPr>
                <w:rFonts w:ascii="Times New Roman"/>
                <w:sz w:val="21"/>
                <w:szCs w:val="21"/>
              </w:rPr>
            </w:pPr>
          </w:p>
        </w:tc>
        <w:tc>
          <w:tcPr>
            <w:tcW w:w="395" w:type="pct"/>
            <w:shd w:val="clear" w:color="auto" w:fill="auto"/>
            <w:vAlign w:val="center"/>
          </w:tcPr>
          <w:p w14:paraId="209F9E7E">
            <w:pPr>
              <w:spacing w:line="320" w:lineRule="exact"/>
              <w:jc w:val="center"/>
              <w:rPr>
                <w:rFonts w:ascii="Times New Roman"/>
                <w:sz w:val="21"/>
                <w:szCs w:val="21"/>
              </w:rPr>
            </w:pPr>
            <w:r>
              <w:rPr>
                <w:rFonts w:ascii="Times New Roman"/>
                <w:sz w:val="21"/>
                <w:szCs w:val="21"/>
              </w:rPr>
              <w:t>电泳烘干、强冷工序</w:t>
            </w:r>
          </w:p>
        </w:tc>
        <w:tc>
          <w:tcPr>
            <w:tcW w:w="572" w:type="pct"/>
            <w:vAlign w:val="center"/>
          </w:tcPr>
          <w:p w14:paraId="0ED06DB1">
            <w:pPr>
              <w:jc w:val="center"/>
              <w:rPr>
                <w:rFonts w:ascii="Times New Roman"/>
                <w:sz w:val="21"/>
                <w:szCs w:val="21"/>
              </w:rPr>
            </w:pPr>
            <w:r>
              <w:rPr>
                <w:rFonts w:ascii="Times New Roman"/>
                <w:sz w:val="21"/>
                <w:szCs w:val="21"/>
              </w:rPr>
              <w:t>烘干室、强冷室</w:t>
            </w:r>
          </w:p>
        </w:tc>
        <w:tc>
          <w:tcPr>
            <w:tcW w:w="693" w:type="pct"/>
            <w:shd w:val="clear" w:color="auto" w:fill="auto"/>
            <w:vAlign w:val="center"/>
          </w:tcPr>
          <w:p w14:paraId="5A2596FD">
            <w:pPr>
              <w:spacing w:line="320" w:lineRule="exact"/>
              <w:jc w:val="center"/>
              <w:rPr>
                <w:rFonts w:ascii="Times New Roman"/>
                <w:sz w:val="21"/>
                <w:szCs w:val="21"/>
              </w:rPr>
            </w:pPr>
            <w:r>
              <w:rPr>
                <w:rFonts w:ascii="Times New Roman"/>
                <w:sz w:val="21"/>
                <w:szCs w:val="21"/>
              </w:rPr>
              <w:t>非甲烷总烃</w:t>
            </w:r>
          </w:p>
        </w:tc>
        <w:tc>
          <w:tcPr>
            <w:tcW w:w="921" w:type="pct"/>
            <w:vAlign w:val="center"/>
          </w:tcPr>
          <w:p w14:paraId="3A41D876">
            <w:pPr>
              <w:jc w:val="center"/>
              <w:rPr>
                <w:rFonts w:ascii="Times New Roman"/>
                <w:sz w:val="21"/>
                <w:szCs w:val="21"/>
              </w:rPr>
            </w:pPr>
            <w:r>
              <w:rPr>
                <w:rFonts w:ascii="Times New Roman"/>
                <w:sz w:val="21"/>
                <w:szCs w:val="21"/>
              </w:rPr>
              <w:t>烘干室、强冷室密闭，设置抽风系统</w:t>
            </w:r>
          </w:p>
        </w:tc>
        <w:tc>
          <w:tcPr>
            <w:tcW w:w="1188" w:type="pct"/>
            <w:vMerge w:val="continue"/>
            <w:vAlign w:val="center"/>
          </w:tcPr>
          <w:p w14:paraId="7326C698">
            <w:pPr>
              <w:jc w:val="center"/>
              <w:rPr>
                <w:rFonts w:ascii="Times New Roman"/>
                <w:sz w:val="21"/>
                <w:szCs w:val="21"/>
              </w:rPr>
            </w:pPr>
          </w:p>
        </w:tc>
        <w:tc>
          <w:tcPr>
            <w:tcW w:w="612" w:type="pct"/>
            <w:vMerge w:val="continue"/>
            <w:vAlign w:val="center"/>
          </w:tcPr>
          <w:p w14:paraId="575F5ECA">
            <w:pPr>
              <w:jc w:val="center"/>
              <w:rPr>
                <w:rFonts w:ascii="Times New Roman"/>
                <w:sz w:val="21"/>
                <w:szCs w:val="21"/>
              </w:rPr>
            </w:pPr>
          </w:p>
        </w:tc>
      </w:tr>
      <w:tr w14:paraId="277D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50" w:type="pct"/>
            <w:vMerge w:val="continue"/>
            <w:vAlign w:val="center"/>
          </w:tcPr>
          <w:p w14:paraId="774A36A2">
            <w:pPr>
              <w:jc w:val="center"/>
              <w:rPr>
                <w:rFonts w:ascii="Times New Roman"/>
                <w:sz w:val="21"/>
                <w:szCs w:val="21"/>
              </w:rPr>
            </w:pPr>
          </w:p>
        </w:tc>
        <w:tc>
          <w:tcPr>
            <w:tcW w:w="364" w:type="pct"/>
            <w:vMerge w:val="restart"/>
            <w:shd w:val="clear" w:color="auto" w:fill="auto"/>
            <w:noWrap/>
            <w:vAlign w:val="center"/>
          </w:tcPr>
          <w:p w14:paraId="1AF8BF82">
            <w:pPr>
              <w:jc w:val="center"/>
              <w:rPr>
                <w:rFonts w:ascii="Times New Roman"/>
                <w:sz w:val="21"/>
                <w:szCs w:val="21"/>
              </w:rPr>
            </w:pPr>
            <w:r>
              <w:rPr>
                <w:rFonts w:ascii="Times New Roman"/>
                <w:sz w:val="21"/>
                <w:szCs w:val="21"/>
              </w:rPr>
              <w:t>喷涂生产线</w:t>
            </w:r>
          </w:p>
        </w:tc>
        <w:tc>
          <w:tcPr>
            <w:tcW w:w="395" w:type="pct"/>
            <w:shd w:val="clear" w:color="auto" w:fill="auto"/>
            <w:vAlign w:val="center"/>
          </w:tcPr>
          <w:p w14:paraId="3F40994C">
            <w:pPr>
              <w:spacing w:line="320" w:lineRule="exact"/>
              <w:jc w:val="center"/>
              <w:rPr>
                <w:rFonts w:ascii="Times New Roman"/>
                <w:sz w:val="21"/>
                <w:szCs w:val="21"/>
              </w:rPr>
            </w:pPr>
            <w:r>
              <w:rPr>
                <w:rFonts w:ascii="Times New Roman"/>
                <w:sz w:val="21"/>
                <w:szCs w:val="21"/>
              </w:rPr>
              <w:t>调漆、喷漆工序</w:t>
            </w:r>
          </w:p>
        </w:tc>
        <w:tc>
          <w:tcPr>
            <w:tcW w:w="572" w:type="pct"/>
            <w:vAlign w:val="center"/>
          </w:tcPr>
          <w:p w14:paraId="06A1AF80">
            <w:pPr>
              <w:jc w:val="center"/>
              <w:rPr>
                <w:rFonts w:ascii="Times New Roman"/>
                <w:sz w:val="21"/>
                <w:szCs w:val="21"/>
              </w:rPr>
            </w:pPr>
            <w:r>
              <w:rPr>
                <w:rFonts w:ascii="Times New Roman"/>
                <w:sz w:val="21"/>
                <w:szCs w:val="21"/>
              </w:rPr>
              <w:t>喷漆室</w:t>
            </w:r>
          </w:p>
        </w:tc>
        <w:tc>
          <w:tcPr>
            <w:tcW w:w="693" w:type="pct"/>
            <w:vAlign w:val="center"/>
          </w:tcPr>
          <w:p w14:paraId="1CE1B4EF">
            <w:pPr>
              <w:jc w:val="center"/>
              <w:rPr>
                <w:rFonts w:ascii="Times New Roman"/>
                <w:sz w:val="21"/>
                <w:szCs w:val="21"/>
              </w:rPr>
            </w:pPr>
            <w:r>
              <w:rPr>
                <w:rFonts w:ascii="Times New Roman"/>
                <w:sz w:val="21"/>
                <w:szCs w:val="21"/>
              </w:rPr>
              <w:t>颗粒物、非甲烷总烃、甲苯与二甲苯合计</w:t>
            </w:r>
          </w:p>
        </w:tc>
        <w:tc>
          <w:tcPr>
            <w:tcW w:w="921" w:type="pct"/>
            <w:vAlign w:val="center"/>
          </w:tcPr>
          <w:p w14:paraId="5FBFAD3E">
            <w:pPr>
              <w:jc w:val="center"/>
              <w:rPr>
                <w:rFonts w:ascii="Times New Roman"/>
                <w:sz w:val="21"/>
                <w:szCs w:val="21"/>
              </w:rPr>
            </w:pPr>
            <w:r>
              <w:rPr>
                <w:rFonts w:ascii="Times New Roman"/>
                <w:sz w:val="21"/>
                <w:szCs w:val="21"/>
              </w:rPr>
              <w:t>喷漆室密闭，设置抽风系统</w:t>
            </w:r>
          </w:p>
        </w:tc>
        <w:tc>
          <w:tcPr>
            <w:tcW w:w="1188" w:type="pct"/>
            <w:vMerge w:val="continue"/>
            <w:vAlign w:val="center"/>
          </w:tcPr>
          <w:p w14:paraId="769FB0E6">
            <w:pPr>
              <w:jc w:val="center"/>
              <w:rPr>
                <w:rFonts w:ascii="Times New Roman"/>
                <w:sz w:val="21"/>
                <w:szCs w:val="21"/>
              </w:rPr>
            </w:pPr>
          </w:p>
        </w:tc>
        <w:tc>
          <w:tcPr>
            <w:tcW w:w="612" w:type="pct"/>
            <w:vMerge w:val="continue"/>
            <w:vAlign w:val="center"/>
          </w:tcPr>
          <w:p w14:paraId="1BCDAC79">
            <w:pPr>
              <w:jc w:val="center"/>
              <w:rPr>
                <w:rFonts w:ascii="Times New Roman"/>
                <w:sz w:val="21"/>
                <w:szCs w:val="21"/>
              </w:rPr>
            </w:pPr>
          </w:p>
        </w:tc>
      </w:tr>
      <w:tr w14:paraId="2295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50" w:type="pct"/>
            <w:vMerge w:val="continue"/>
            <w:vAlign w:val="center"/>
          </w:tcPr>
          <w:p w14:paraId="1C3DEF57">
            <w:pPr>
              <w:jc w:val="center"/>
              <w:rPr>
                <w:rFonts w:ascii="Times New Roman"/>
                <w:sz w:val="21"/>
                <w:szCs w:val="21"/>
              </w:rPr>
            </w:pPr>
          </w:p>
        </w:tc>
        <w:tc>
          <w:tcPr>
            <w:tcW w:w="364" w:type="pct"/>
            <w:vMerge w:val="continue"/>
            <w:shd w:val="clear" w:color="auto" w:fill="auto"/>
            <w:noWrap/>
            <w:vAlign w:val="center"/>
          </w:tcPr>
          <w:p w14:paraId="5C64C1BE">
            <w:pPr>
              <w:jc w:val="center"/>
              <w:rPr>
                <w:rFonts w:ascii="Times New Roman"/>
                <w:sz w:val="21"/>
                <w:szCs w:val="21"/>
              </w:rPr>
            </w:pPr>
          </w:p>
        </w:tc>
        <w:tc>
          <w:tcPr>
            <w:tcW w:w="395" w:type="pct"/>
            <w:shd w:val="clear" w:color="auto" w:fill="auto"/>
            <w:vAlign w:val="center"/>
          </w:tcPr>
          <w:p w14:paraId="0F165094">
            <w:pPr>
              <w:spacing w:line="320" w:lineRule="exact"/>
              <w:jc w:val="center"/>
              <w:rPr>
                <w:rFonts w:ascii="Times New Roman"/>
                <w:sz w:val="21"/>
                <w:szCs w:val="21"/>
              </w:rPr>
            </w:pPr>
            <w:r>
              <w:rPr>
                <w:rFonts w:ascii="Times New Roman"/>
                <w:sz w:val="21"/>
                <w:szCs w:val="21"/>
              </w:rPr>
              <w:t>流平工序</w:t>
            </w:r>
          </w:p>
        </w:tc>
        <w:tc>
          <w:tcPr>
            <w:tcW w:w="572" w:type="pct"/>
            <w:vAlign w:val="center"/>
          </w:tcPr>
          <w:p w14:paraId="7FA80681">
            <w:pPr>
              <w:jc w:val="center"/>
              <w:rPr>
                <w:rFonts w:ascii="Times New Roman"/>
                <w:sz w:val="21"/>
                <w:szCs w:val="21"/>
              </w:rPr>
            </w:pPr>
            <w:r>
              <w:rPr>
                <w:rFonts w:ascii="Times New Roman" w:eastAsia="Arial"/>
                <w:sz w:val="21"/>
                <w:szCs w:val="21"/>
              </w:rPr>
              <w:t>流平室</w:t>
            </w:r>
          </w:p>
        </w:tc>
        <w:tc>
          <w:tcPr>
            <w:tcW w:w="693" w:type="pct"/>
            <w:vMerge w:val="restart"/>
            <w:vAlign w:val="center"/>
          </w:tcPr>
          <w:p w14:paraId="4A9D46D8">
            <w:pPr>
              <w:jc w:val="center"/>
              <w:rPr>
                <w:rFonts w:ascii="Times New Roman"/>
                <w:sz w:val="21"/>
                <w:szCs w:val="21"/>
              </w:rPr>
            </w:pPr>
            <w:r>
              <w:rPr>
                <w:rFonts w:ascii="Times New Roman"/>
                <w:sz w:val="21"/>
                <w:szCs w:val="21"/>
              </w:rPr>
              <w:t>非甲烷总烃、甲苯与二甲苯合计</w:t>
            </w:r>
          </w:p>
        </w:tc>
        <w:tc>
          <w:tcPr>
            <w:tcW w:w="921" w:type="pct"/>
            <w:vMerge w:val="restart"/>
            <w:vAlign w:val="center"/>
          </w:tcPr>
          <w:p w14:paraId="1A5C7EE8">
            <w:pPr>
              <w:jc w:val="center"/>
              <w:rPr>
                <w:rFonts w:ascii="Times New Roman"/>
                <w:sz w:val="21"/>
                <w:szCs w:val="21"/>
              </w:rPr>
            </w:pPr>
            <w:r>
              <w:rPr>
                <w:rFonts w:ascii="Times New Roman"/>
                <w:sz w:val="21"/>
                <w:szCs w:val="21"/>
              </w:rPr>
              <w:t>流平室、烘干室、强冷室密闭，设置抽风系统</w:t>
            </w:r>
          </w:p>
        </w:tc>
        <w:tc>
          <w:tcPr>
            <w:tcW w:w="1188" w:type="pct"/>
            <w:vMerge w:val="continue"/>
            <w:vAlign w:val="center"/>
          </w:tcPr>
          <w:p w14:paraId="3F314CFF">
            <w:pPr>
              <w:jc w:val="center"/>
              <w:rPr>
                <w:rFonts w:ascii="Times New Roman"/>
                <w:sz w:val="21"/>
                <w:szCs w:val="21"/>
              </w:rPr>
            </w:pPr>
          </w:p>
        </w:tc>
        <w:tc>
          <w:tcPr>
            <w:tcW w:w="612" w:type="pct"/>
            <w:vMerge w:val="continue"/>
            <w:vAlign w:val="center"/>
          </w:tcPr>
          <w:p w14:paraId="13888836">
            <w:pPr>
              <w:jc w:val="center"/>
              <w:rPr>
                <w:rFonts w:ascii="Times New Roman"/>
                <w:sz w:val="21"/>
                <w:szCs w:val="21"/>
              </w:rPr>
            </w:pPr>
          </w:p>
        </w:tc>
      </w:tr>
      <w:tr w14:paraId="7D99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0" w:type="pct"/>
            <w:vMerge w:val="continue"/>
            <w:vAlign w:val="center"/>
          </w:tcPr>
          <w:p w14:paraId="2090C250">
            <w:pPr>
              <w:jc w:val="center"/>
              <w:rPr>
                <w:rFonts w:ascii="Times New Roman"/>
                <w:sz w:val="21"/>
                <w:szCs w:val="21"/>
              </w:rPr>
            </w:pPr>
          </w:p>
        </w:tc>
        <w:tc>
          <w:tcPr>
            <w:tcW w:w="364" w:type="pct"/>
            <w:vMerge w:val="continue"/>
            <w:shd w:val="clear" w:color="auto" w:fill="auto"/>
            <w:noWrap/>
            <w:vAlign w:val="center"/>
          </w:tcPr>
          <w:p w14:paraId="24C09721">
            <w:pPr>
              <w:jc w:val="center"/>
              <w:rPr>
                <w:rFonts w:ascii="Times New Roman"/>
                <w:sz w:val="21"/>
                <w:szCs w:val="21"/>
              </w:rPr>
            </w:pPr>
          </w:p>
        </w:tc>
        <w:tc>
          <w:tcPr>
            <w:tcW w:w="395" w:type="pct"/>
            <w:shd w:val="clear" w:color="auto" w:fill="auto"/>
            <w:vAlign w:val="center"/>
          </w:tcPr>
          <w:p w14:paraId="1B552D22">
            <w:pPr>
              <w:spacing w:line="320" w:lineRule="exact"/>
              <w:jc w:val="center"/>
              <w:rPr>
                <w:rFonts w:ascii="Times New Roman"/>
                <w:sz w:val="21"/>
                <w:szCs w:val="21"/>
              </w:rPr>
            </w:pPr>
            <w:r>
              <w:rPr>
                <w:rFonts w:ascii="Times New Roman"/>
                <w:sz w:val="21"/>
                <w:szCs w:val="21"/>
              </w:rPr>
              <w:t>强冷工序</w:t>
            </w:r>
          </w:p>
        </w:tc>
        <w:tc>
          <w:tcPr>
            <w:tcW w:w="572" w:type="pct"/>
            <w:tcBorders>
              <w:bottom w:val="single" w:color="000000" w:sz="4" w:space="0"/>
            </w:tcBorders>
            <w:vAlign w:val="center"/>
          </w:tcPr>
          <w:p w14:paraId="52E168FB">
            <w:pPr>
              <w:jc w:val="center"/>
              <w:rPr>
                <w:rFonts w:ascii="Times New Roman"/>
                <w:sz w:val="21"/>
                <w:szCs w:val="21"/>
              </w:rPr>
            </w:pPr>
            <w:r>
              <w:rPr>
                <w:rFonts w:ascii="Times New Roman" w:eastAsia="Arial"/>
                <w:sz w:val="21"/>
                <w:szCs w:val="21"/>
              </w:rPr>
              <w:t>强冷室</w:t>
            </w:r>
          </w:p>
        </w:tc>
        <w:tc>
          <w:tcPr>
            <w:tcW w:w="693" w:type="pct"/>
            <w:vMerge w:val="continue"/>
            <w:vAlign w:val="center"/>
          </w:tcPr>
          <w:p w14:paraId="7BCE8A39">
            <w:pPr>
              <w:jc w:val="center"/>
              <w:rPr>
                <w:rFonts w:ascii="Times New Roman"/>
                <w:sz w:val="21"/>
                <w:szCs w:val="21"/>
              </w:rPr>
            </w:pPr>
          </w:p>
        </w:tc>
        <w:tc>
          <w:tcPr>
            <w:tcW w:w="921" w:type="pct"/>
            <w:vMerge w:val="continue"/>
            <w:vAlign w:val="center"/>
          </w:tcPr>
          <w:p w14:paraId="29524B5F">
            <w:pPr>
              <w:jc w:val="center"/>
              <w:rPr>
                <w:rFonts w:ascii="Times New Roman"/>
                <w:sz w:val="21"/>
                <w:szCs w:val="21"/>
              </w:rPr>
            </w:pPr>
          </w:p>
        </w:tc>
        <w:tc>
          <w:tcPr>
            <w:tcW w:w="1188" w:type="pct"/>
            <w:vMerge w:val="continue"/>
            <w:vAlign w:val="center"/>
          </w:tcPr>
          <w:p w14:paraId="239F44E8">
            <w:pPr>
              <w:jc w:val="center"/>
              <w:rPr>
                <w:rFonts w:ascii="Times New Roman"/>
                <w:sz w:val="21"/>
                <w:szCs w:val="21"/>
              </w:rPr>
            </w:pPr>
          </w:p>
        </w:tc>
        <w:tc>
          <w:tcPr>
            <w:tcW w:w="612" w:type="pct"/>
            <w:vMerge w:val="continue"/>
            <w:vAlign w:val="center"/>
          </w:tcPr>
          <w:p w14:paraId="71F2D719">
            <w:pPr>
              <w:jc w:val="center"/>
              <w:rPr>
                <w:rFonts w:ascii="Times New Roman"/>
                <w:sz w:val="21"/>
                <w:szCs w:val="21"/>
              </w:rPr>
            </w:pPr>
          </w:p>
        </w:tc>
      </w:tr>
      <w:tr w14:paraId="5E17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0" w:type="pct"/>
            <w:vMerge w:val="continue"/>
            <w:vAlign w:val="center"/>
          </w:tcPr>
          <w:p w14:paraId="59EA4F64">
            <w:pPr>
              <w:jc w:val="center"/>
              <w:rPr>
                <w:rFonts w:ascii="Times New Roman"/>
                <w:sz w:val="21"/>
                <w:szCs w:val="21"/>
              </w:rPr>
            </w:pPr>
          </w:p>
        </w:tc>
        <w:tc>
          <w:tcPr>
            <w:tcW w:w="364" w:type="pct"/>
            <w:vMerge w:val="continue"/>
            <w:shd w:val="clear" w:color="auto" w:fill="auto"/>
            <w:noWrap/>
            <w:vAlign w:val="center"/>
          </w:tcPr>
          <w:p w14:paraId="0241F37E">
            <w:pPr>
              <w:jc w:val="center"/>
              <w:rPr>
                <w:rFonts w:ascii="Times New Roman"/>
                <w:sz w:val="21"/>
                <w:szCs w:val="21"/>
              </w:rPr>
            </w:pPr>
          </w:p>
        </w:tc>
        <w:tc>
          <w:tcPr>
            <w:tcW w:w="395" w:type="pct"/>
            <w:shd w:val="clear" w:color="auto" w:fill="auto"/>
            <w:vAlign w:val="center"/>
          </w:tcPr>
          <w:p w14:paraId="5F329B63">
            <w:pPr>
              <w:spacing w:line="320" w:lineRule="exact"/>
              <w:jc w:val="center"/>
              <w:rPr>
                <w:rFonts w:ascii="Times New Roman"/>
                <w:sz w:val="21"/>
                <w:szCs w:val="21"/>
              </w:rPr>
            </w:pPr>
            <w:r>
              <w:rPr>
                <w:rFonts w:ascii="Times New Roman"/>
                <w:sz w:val="21"/>
                <w:szCs w:val="21"/>
              </w:rPr>
              <w:t>固化工序</w:t>
            </w:r>
          </w:p>
        </w:tc>
        <w:tc>
          <w:tcPr>
            <w:tcW w:w="572" w:type="pct"/>
            <w:tcBorders>
              <w:top w:val="single" w:color="000000" w:sz="4" w:space="0"/>
            </w:tcBorders>
            <w:vAlign w:val="center"/>
          </w:tcPr>
          <w:p w14:paraId="3E48AE23">
            <w:pPr>
              <w:jc w:val="center"/>
              <w:rPr>
                <w:rFonts w:ascii="Times New Roman"/>
                <w:sz w:val="21"/>
                <w:szCs w:val="21"/>
              </w:rPr>
            </w:pPr>
            <w:r>
              <w:rPr>
                <w:rFonts w:ascii="Times New Roman"/>
                <w:sz w:val="21"/>
                <w:szCs w:val="21"/>
              </w:rPr>
              <w:t>烘干室</w:t>
            </w:r>
          </w:p>
        </w:tc>
        <w:tc>
          <w:tcPr>
            <w:tcW w:w="693" w:type="pct"/>
            <w:vMerge w:val="continue"/>
            <w:vAlign w:val="center"/>
          </w:tcPr>
          <w:p w14:paraId="684277FD">
            <w:pPr>
              <w:jc w:val="center"/>
              <w:rPr>
                <w:rFonts w:ascii="Times New Roman"/>
                <w:sz w:val="21"/>
                <w:szCs w:val="21"/>
              </w:rPr>
            </w:pPr>
          </w:p>
        </w:tc>
        <w:tc>
          <w:tcPr>
            <w:tcW w:w="921" w:type="pct"/>
            <w:vMerge w:val="continue"/>
            <w:vAlign w:val="center"/>
          </w:tcPr>
          <w:p w14:paraId="0BDA0639">
            <w:pPr>
              <w:jc w:val="center"/>
              <w:rPr>
                <w:rFonts w:ascii="Times New Roman"/>
                <w:sz w:val="21"/>
                <w:szCs w:val="21"/>
              </w:rPr>
            </w:pPr>
          </w:p>
        </w:tc>
        <w:tc>
          <w:tcPr>
            <w:tcW w:w="1188" w:type="pct"/>
            <w:vMerge w:val="continue"/>
            <w:vAlign w:val="center"/>
          </w:tcPr>
          <w:p w14:paraId="07022B01">
            <w:pPr>
              <w:jc w:val="center"/>
              <w:rPr>
                <w:rFonts w:ascii="Times New Roman"/>
                <w:sz w:val="21"/>
                <w:szCs w:val="21"/>
              </w:rPr>
            </w:pPr>
          </w:p>
        </w:tc>
        <w:tc>
          <w:tcPr>
            <w:tcW w:w="612" w:type="pct"/>
            <w:vMerge w:val="continue"/>
            <w:vAlign w:val="center"/>
          </w:tcPr>
          <w:p w14:paraId="307B27D4">
            <w:pPr>
              <w:jc w:val="center"/>
              <w:rPr>
                <w:rFonts w:ascii="Times New Roman"/>
                <w:sz w:val="21"/>
                <w:szCs w:val="21"/>
              </w:rPr>
            </w:pPr>
          </w:p>
        </w:tc>
      </w:tr>
      <w:tr w14:paraId="305C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0" w:type="pct"/>
            <w:vMerge w:val="continue"/>
            <w:vAlign w:val="center"/>
          </w:tcPr>
          <w:p w14:paraId="27E09A28">
            <w:pPr>
              <w:jc w:val="center"/>
              <w:rPr>
                <w:rFonts w:ascii="Times New Roman"/>
                <w:sz w:val="21"/>
                <w:szCs w:val="21"/>
              </w:rPr>
            </w:pPr>
          </w:p>
        </w:tc>
        <w:tc>
          <w:tcPr>
            <w:tcW w:w="364" w:type="pct"/>
            <w:vMerge w:val="continue"/>
            <w:shd w:val="clear" w:color="auto" w:fill="auto"/>
            <w:noWrap/>
            <w:vAlign w:val="center"/>
          </w:tcPr>
          <w:p w14:paraId="54359402">
            <w:pPr>
              <w:jc w:val="center"/>
              <w:rPr>
                <w:rFonts w:ascii="Times New Roman"/>
                <w:sz w:val="21"/>
                <w:szCs w:val="21"/>
              </w:rPr>
            </w:pPr>
          </w:p>
        </w:tc>
        <w:tc>
          <w:tcPr>
            <w:tcW w:w="395" w:type="pct"/>
            <w:shd w:val="clear" w:color="auto" w:fill="auto"/>
            <w:vAlign w:val="center"/>
          </w:tcPr>
          <w:p w14:paraId="434F7557">
            <w:pPr>
              <w:spacing w:line="320" w:lineRule="exact"/>
              <w:jc w:val="center"/>
              <w:rPr>
                <w:rFonts w:ascii="Times New Roman"/>
                <w:sz w:val="21"/>
                <w:szCs w:val="21"/>
              </w:rPr>
            </w:pPr>
            <w:r>
              <w:rPr>
                <w:rFonts w:hint="eastAsia" w:ascii="Times New Roman"/>
                <w:sz w:val="21"/>
                <w:szCs w:val="21"/>
              </w:rPr>
              <w:t>/</w:t>
            </w:r>
          </w:p>
        </w:tc>
        <w:tc>
          <w:tcPr>
            <w:tcW w:w="572" w:type="pct"/>
            <w:vAlign w:val="center"/>
          </w:tcPr>
          <w:p w14:paraId="347F1DD4">
            <w:pPr>
              <w:jc w:val="center"/>
              <w:rPr>
                <w:rFonts w:ascii="Times New Roman"/>
                <w:sz w:val="21"/>
                <w:szCs w:val="21"/>
              </w:rPr>
            </w:pPr>
            <w:r>
              <w:rPr>
                <w:rFonts w:hint="eastAsia" w:ascii="Times New Roman"/>
                <w:sz w:val="21"/>
                <w:szCs w:val="21"/>
              </w:rPr>
              <w:t>天然气燃烧废气</w:t>
            </w:r>
          </w:p>
        </w:tc>
        <w:tc>
          <w:tcPr>
            <w:tcW w:w="693" w:type="pct"/>
            <w:vAlign w:val="center"/>
          </w:tcPr>
          <w:p w14:paraId="39AFCACB">
            <w:pPr>
              <w:jc w:val="center"/>
              <w:rPr>
                <w:rFonts w:ascii="Times New Roman"/>
                <w:sz w:val="21"/>
                <w:szCs w:val="21"/>
              </w:rPr>
            </w:pPr>
            <w:r>
              <w:rPr>
                <w:rFonts w:ascii="Times New Roman"/>
                <w:sz w:val="21"/>
                <w:szCs w:val="21"/>
              </w:rPr>
              <w:t>颗粒物、SO</w:t>
            </w:r>
            <w:r>
              <w:rPr>
                <w:rFonts w:ascii="Times New Roman"/>
                <w:sz w:val="21"/>
                <w:szCs w:val="21"/>
                <w:vertAlign w:val="subscript"/>
              </w:rPr>
              <w:t>2</w:t>
            </w:r>
            <w:r>
              <w:rPr>
                <w:rFonts w:ascii="Times New Roman"/>
                <w:sz w:val="21"/>
                <w:szCs w:val="21"/>
              </w:rPr>
              <w:t>、NOx、烟气黑度</w:t>
            </w:r>
          </w:p>
        </w:tc>
        <w:tc>
          <w:tcPr>
            <w:tcW w:w="921" w:type="pct"/>
            <w:vAlign w:val="center"/>
          </w:tcPr>
          <w:p w14:paraId="18FF47C6">
            <w:pPr>
              <w:jc w:val="center"/>
              <w:rPr>
                <w:rFonts w:ascii="Times New Roman"/>
                <w:sz w:val="21"/>
                <w:szCs w:val="21"/>
              </w:rPr>
            </w:pPr>
            <w:r>
              <w:rPr>
                <w:rFonts w:ascii="Times New Roman"/>
                <w:sz w:val="21"/>
                <w:szCs w:val="21"/>
              </w:rPr>
              <w:t>集气管道</w:t>
            </w:r>
          </w:p>
        </w:tc>
        <w:tc>
          <w:tcPr>
            <w:tcW w:w="1188" w:type="pct"/>
            <w:vMerge w:val="continue"/>
            <w:vAlign w:val="center"/>
          </w:tcPr>
          <w:p w14:paraId="0F39BD0A">
            <w:pPr>
              <w:jc w:val="center"/>
              <w:rPr>
                <w:rFonts w:ascii="Times New Roman"/>
                <w:sz w:val="21"/>
                <w:szCs w:val="21"/>
              </w:rPr>
            </w:pPr>
          </w:p>
        </w:tc>
        <w:tc>
          <w:tcPr>
            <w:tcW w:w="612" w:type="pct"/>
            <w:vAlign w:val="center"/>
          </w:tcPr>
          <w:p w14:paraId="2D21E328">
            <w:pPr>
              <w:jc w:val="center"/>
              <w:rPr>
                <w:rFonts w:ascii="Times New Roman"/>
                <w:sz w:val="21"/>
                <w:szCs w:val="21"/>
              </w:rPr>
            </w:pPr>
            <w:r>
              <w:rPr>
                <w:rFonts w:hint="eastAsia" w:ascii="Times New Roman"/>
                <w:sz w:val="21"/>
                <w:szCs w:val="21"/>
              </w:rPr>
              <w:t>7833.6</w:t>
            </w:r>
          </w:p>
        </w:tc>
      </w:tr>
      <w:tr w14:paraId="15AD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50" w:type="pct"/>
            <w:vMerge w:val="continue"/>
            <w:vAlign w:val="center"/>
          </w:tcPr>
          <w:p w14:paraId="2E391F5C">
            <w:pPr>
              <w:jc w:val="center"/>
              <w:rPr>
                <w:rFonts w:ascii="Times New Roman"/>
                <w:sz w:val="21"/>
                <w:szCs w:val="21"/>
              </w:rPr>
            </w:pPr>
          </w:p>
        </w:tc>
        <w:tc>
          <w:tcPr>
            <w:tcW w:w="364" w:type="pct"/>
            <w:vMerge w:val="continue"/>
            <w:shd w:val="clear" w:color="auto" w:fill="auto"/>
            <w:noWrap/>
            <w:vAlign w:val="center"/>
          </w:tcPr>
          <w:p w14:paraId="56165A8A">
            <w:pPr>
              <w:jc w:val="center"/>
              <w:rPr>
                <w:rFonts w:ascii="Times New Roman"/>
                <w:sz w:val="21"/>
                <w:szCs w:val="21"/>
              </w:rPr>
            </w:pPr>
          </w:p>
        </w:tc>
        <w:tc>
          <w:tcPr>
            <w:tcW w:w="395" w:type="pct"/>
            <w:shd w:val="clear" w:color="auto" w:fill="auto"/>
            <w:vAlign w:val="center"/>
          </w:tcPr>
          <w:p w14:paraId="764437B5">
            <w:pPr>
              <w:spacing w:line="320" w:lineRule="exact"/>
              <w:jc w:val="center"/>
              <w:rPr>
                <w:rFonts w:ascii="Times New Roman"/>
                <w:sz w:val="21"/>
                <w:szCs w:val="21"/>
              </w:rPr>
            </w:pPr>
            <w:r>
              <w:rPr>
                <w:rFonts w:ascii="Times New Roman"/>
                <w:sz w:val="21"/>
                <w:szCs w:val="21"/>
              </w:rPr>
              <w:t>喷塑工序</w:t>
            </w:r>
          </w:p>
        </w:tc>
        <w:tc>
          <w:tcPr>
            <w:tcW w:w="572" w:type="pct"/>
            <w:tcBorders>
              <w:top w:val="single" w:color="000000" w:sz="4" w:space="0"/>
            </w:tcBorders>
            <w:vAlign w:val="center"/>
          </w:tcPr>
          <w:p w14:paraId="2B3BAB68">
            <w:pPr>
              <w:jc w:val="center"/>
              <w:rPr>
                <w:rFonts w:ascii="Times New Roman"/>
                <w:sz w:val="21"/>
                <w:szCs w:val="21"/>
              </w:rPr>
            </w:pPr>
            <w:r>
              <w:rPr>
                <w:rFonts w:ascii="Times New Roman" w:eastAsia="Arial"/>
                <w:sz w:val="21"/>
                <w:szCs w:val="21"/>
              </w:rPr>
              <w:t>底粉房、面粉房</w:t>
            </w:r>
          </w:p>
        </w:tc>
        <w:tc>
          <w:tcPr>
            <w:tcW w:w="693" w:type="pct"/>
            <w:vAlign w:val="center"/>
          </w:tcPr>
          <w:p w14:paraId="5ED88075">
            <w:pPr>
              <w:jc w:val="center"/>
              <w:rPr>
                <w:rFonts w:ascii="Times New Roman"/>
                <w:sz w:val="21"/>
                <w:szCs w:val="21"/>
              </w:rPr>
            </w:pPr>
            <w:r>
              <w:rPr>
                <w:rFonts w:ascii="Times New Roman"/>
                <w:sz w:val="21"/>
                <w:szCs w:val="21"/>
              </w:rPr>
              <w:t>颗粒物</w:t>
            </w:r>
          </w:p>
        </w:tc>
        <w:tc>
          <w:tcPr>
            <w:tcW w:w="921" w:type="pct"/>
            <w:vAlign w:val="center"/>
          </w:tcPr>
          <w:p w14:paraId="47E0C3F8">
            <w:pPr>
              <w:jc w:val="center"/>
              <w:rPr>
                <w:rFonts w:ascii="Times New Roman"/>
                <w:sz w:val="21"/>
                <w:szCs w:val="21"/>
              </w:rPr>
            </w:pPr>
            <w:r>
              <w:rPr>
                <w:rFonts w:ascii="Times New Roman" w:eastAsia="Arial"/>
                <w:sz w:val="21"/>
                <w:szCs w:val="21"/>
              </w:rPr>
              <w:t>底粉房、面粉房</w:t>
            </w:r>
            <w:r>
              <w:rPr>
                <w:rFonts w:ascii="Times New Roman"/>
                <w:sz w:val="21"/>
                <w:szCs w:val="21"/>
              </w:rPr>
              <w:t>密闭，设置抽风系统</w:t>
            </w:r>
          </w:p>
        </w:tc>
        <w:tc>
          <w:tcPr>
            <w:tcW w:w="1188" w:type="pct"/>
            <w:vAlign w:val="center"/>
          </w:tcPr>
          <w:p w14:paraId="71856168">
            <w:pPr>
              <w:jc w:val="center"/>
              <w:rPr>
                <w:rFonts w:ascii="Times New Roman"/>
                <w:sz w:val="21"/>
                <w:szCs w:val="21"/>
              </w:rPr>
            </w:pPr>
            <w:r>
              <w:rPr>
                <w:rFonts w:ascii="Times New Roman"/>
                <w:kern w:val="0"/>
                <w:sz w:val="21"/>
                <w:szCs w:val="21"/>
              </w:rPr>
              <w:t>自带滤筒除尘器+2</w:t>
            </w:r>
            <w:r>
              <w:rPr>
                <w:rFonts w:hint="eastAsia" w:ascii="Times New Roman"/>
                <w:kern w:val="0"/>
                <w:sz w:val="21"/>
                <w:szCs w:val="21"/>
              </w:rPr>
              <w:t>2</w:t>
            </w:r>
            <w:r>
              <w:rPr>
                <w:rFonts w:ascii="Times New Roman"/>
                <w:kern w:val="0"/>
                <w:sz w:val="21"/>
                <w:szCs w:val="21"/>
              </w:rPr>
              <w:t>m高排气筒DA00</w:t>
            </w:r>
            <w:r>
              <w:rPr>
                <w:rFonts w:hint="eastAsia" w:ascii="Times New Roman"/>
                <w:kern w:val="0"/>
                <w:sz w:val="21"/>
                <w:szCs w:val="21"/>
              </w:rPr>
              <w:t>9</w:t>
            </w:r>
            <w:r>
              <w:rPr>
                <w:rFonts w:ascii="Times New Roman"/>
                <w:kern w:val="0"/>
                <w:sz w:val="21"/>
                <w:szCs w:val="21"/>
              </w:rPr>
              <w:t>排放</w:t>
            </w:r>
          </w:p>
        </w:tc>
        <w:tc>
          <w:tcPr>
            <w:tcW w:w="612" w:type="pct"/>
            <w:vAlign w:val="center"/>
          </w:tcPr>
          <w:p w14:paraId="58F971EB">
            <w:pPr>
              <w:jc w:val="center"/>
              <w:rPr>
                <w:rFonts w:ascii="Times New Roman"/>
                <w:sz w:val="21"/>
                <w:szCs w:val="21"/>
              </w:rPr>
            </w:pPr>
            <w:r>
              <w:rPr>
                <w:rFonts w:ascii="Times New Roman"/>
                <w:sz w:val="21"/>
                <w:szCs w:val="21"/>
              </w:rPr>
              <w:t>15000</w:t>
            </w:r>
          </w:p>
        </w:tc>
      </w:tr>
      <w:tr w14:paraId="134B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50" w:type="pct"/>
            <w:vMerge w:val="continue"/>
            <w:vAlign w:val="center"/>
          </w:tcPr>
          <w:p w14:paraId="238AB587">
            <w:pPr>
              <w:jc w:val="center"/>
              <w:rPr>
                <w:rFonts w:ascii="Times New Roman"/>
                <w:sz w:val="21"/>
                <w:szCs w:val="21"/>
              </w:rPr>
            </w:pPr>
          </w:p>
        </w:tc>
        <w:tc>
          <w:tcPr>
            <w:tcW w:w="364" w:type="pct"/>
            <w:vMerge w:val="continue"/>
            <w:shd w:val="clear" w:color="auto" w:fill="auto"/>
            <w:noWrap/>
            <w:vAlign w:val="center"/>
          </w:tcPr>
          <w:p w14:paraId="3AB3D8DE">
            <w:pPr>
              <w:jc w:val="center"/>
              <w:rPr>
                <w:rFonts w:ascii="Times New Roman"/>
                <w:sz w:val="21"/>
                <w:szCs w:val="21"/>
              </w:rPr>
            </w:pPr>
          </w:p>
        </w:tc>
        <w:tc>
          <w:tcPr>
            <w:tcW w:w="395" w:type="pct"/>
            <w:shd w:val="clear" w:color="auto" w:fill="auto"/>
            <w:vAlign w:val="center"/>
          </w:tcPr>
          <w:p w14:paraId="73B52A48">
            <w:pPr>
              <w:spacing w:line="320" w:lineRule="exact"/>
              <w:jc w:val="center"/>
              <w:rPr>
                <w:rFonts w:ascii="Times New Roman"/>
                <w:sz w:val="21"/>
                <w:szCs w:val="21"/>
              </w:rPr>
            </w:pPr>
            <w:r>
              <w:rPr>
                <w:rFonts w:ascii="Times New Roman"/>
                <w:sz w:val="21"/>
                <w:szCs w:val="21"/>
              </w:rPr>
              <w:t>固化工序</w:t>
            </w:r>
          </w:p>
        </w:tc>
        <w:tc>
          <w:tcPr>
            <w:tcW w:w="572" w:type="pct"/>
            <w:tcBorders>
              <w:top w:val="single" w:color="000000" w:sz="4" w:space="0"/>
            </w:tcBorders>
            <w:vAlign w:val="center"/>
          </w:tcPr>
          <w:p w14:paraId="457B82B7">
            <w:pPr>
              <w:jc w:val="center"/>
              <w:rPr>
                <w:rFonts w:ascii="Times New Roman"/>
                <w:sz w:val="21"/>
                <w:szCs w:val="21"/>
              </w:rPr>
            </w:pPr>
            <w:r>
              <w:rPr>
                <w:rFonts w:ascii="Times New Roman" w:eastAsia="Arial"/>
                <w:sz w:val="21"/>
                <w:szCs w:val="21"/>
              </w:rPr>
              <w:t>固化炉</w:t>
            </w:r>
          </w:p>
        </w:tc>
        <w:tc>
          <w:tcPr>
            <w:tcW w:w="693" w:type="pct"/>
            <w:vMerge w:val="restart"/>
            <w:vAlign w:val="center"/>
          </w:tcPr>
          <w:p w14:paraId="6EF2502C">
            <w:pPr>
              <w:jc w:val="center"/>
              <w:rPr>
                <w:rFonts w:ascii="Times New Roman"/>
                <w:sz w:val="21"/>
                <w:szCs w:val="21"/>
              </w:rPr>
            </w:pPr>
            <w:r>
              <w:rPr>
                <w:rFonts w:ascii="Times New Roman"/>
                <w:sz w:val="21"/>
                <w:szCs w:val="21"/>
              </w:rPr>
              <w:t>非甲烷总烃</w:t>
            </w:r>
            <w:r>
              <w:rPr>
                <w:rFonts w:hint="eastAsia" w:ascii="Times New Roman"/>
                <w:sz w:val="21"/>
                <w:szCs w:val="21"/>
              </w:rPr>
              <w:t>、</w:t>
            </w:r>
            <w:r>
              <w:rPr>
                <w:rFonts w:ascii="Times New Roman"/>
                <w:sz w:val="21"/>
                <w:szCs w:val="21"/>
              </w:rPr>
              <w:t>颗粒物、SO</w:t>
            </w:r>
            <w:r>
              <w:rPr>
                <w:rFonts w:ascii="Times New Roman"/>
                <w:sz w:val="21"/>
                <w:szCs w:val="21"/>
                <w:vertAlign w:val="subscript"/>
              </w:rPr>
              <w:t>2</w:t>
            </w:r>
            <w:r>
              <w:rPr>
                <w:rFonts w:ascii="Times New Roman"/>
                <w:sz w:val="21"/>
                <w:szCs w:val="21"/>
              </w:rPr>
              <w:t>、NOx、烟气黑度</w:t>
            </w:r>
          </w:p>
        </w:tc>
        <w:tc>
          <w:tcPr>
            <w:tcW w:w="921" w:type="pct"/>
            <w:vMerge w:val="restart"/>
            <w:vAlign w:val="center"/>
          </w:tcPr>
          <w:p w14:paraId="4DB3C1CB">
            <w:pPr>
              <w:jc w:val="center"/>
              <w:rPr>
                <w:rFonts w:ascii="Times New Roman"/>
                <w:sz w:val="21"/>
                <w:szCs w:val="21"/>
              </w:rPr>
            </w:pPr>
            <w:r>
              <w:rPr>
                <w:rFonts w:ascii="Times New Roman" w:eastAsia="Arial"/>
                <w:sz w:val="21"/>
                <w:szCs w:val="21"/>
              </w:rPr>
              <w:t>固化炉</w:t>
            </w:r>
            <w:r>
              <w:rPr>
                <w:rFonts w:ascii="Times New Roman"/>
                <w:sz w:val="21"/>
                <w:szCs w:val="21"/>
              </w:rPr>
              <w:t>、强冷室密闭，设置抽风系统</w:t>
            </w:r>
          </w:p>
        </w:tc>
        <w:tc>
          <w:tcPr>
            <w:tcW w:w="1188" w:type="pct"/>
            <w:vMerge w:val="restart"/>
            <w:vAlign w:val="center"/>
          </w:tcPr>
          <w:p w14:paraId="2E93EC79">
            <w:pPr>
              <w:jc w:val="center"/>
              <w:rPr>
                <w:rFonts w:ascii="Times New Roman"/>
                <w:sz w:val="21"/>
                <w:szCs w:val="21"/>
              </w:rPr>
            </w:pPr>
            <w:r>
              <w:rPr>
                <w:rFonts w:hint="eastAsia" w:ascii="Times New Roman"/>
                <w:kern w:val="0"/>
                <w:sz w:val="21"/>
                <w:szCs w:val="21"/>
              </w:rPr>
              <w:t>水喷淋+</w:t>
            </w:r>
            <w:r>
              <w:rPr>
                <w:rFonts w:ascii="Times New Roman"/>
                <w:kern w:val="0"/>
                <w:sz w:val="21"/>
                <w:szCs w:val="21"/>
              </w:rPr>
              <w:t>二级活性炭吸附装置</w:t>
            </w:r>
            <w:r>
              <w:rPr>
                <w:rFonts w:ascii="Times New Roman"/>
                <w:sz w:val="21"/>
                <w:szCs w:val="21"/>
              </w:rPr>
              <w:t>+2</w:t>
            </w:r>
            <w:r>
              <w:rPr>
                <w:rFonts w:hint="eastAsia" w:ascii="Times New Roman"/>
                <w:sz w:val="21"/>
                <w:szCs w:val="21"/>
              </w:rPr>
              <w:t>2</w:t>
            </w:r>
            <w:r>
              <w:rPr>
                <w:rFonts w:ascii="Times New Roman"/>
                <w:sz w:val="21"/>
                <w:szCs w:val="21"/>
              </w:rPr>
              <w:t>米高排气筒DA0</w:t>
            </w:r>
            <w:r>
              <w:rPr>
                <w:rFonts w:hint="eastAsia" w:ascii="Times New Roman"/>
                <w:sz w:val="21"/>
                <w:szCs w:val="21"/>
              </w:rPr>
              <w:t>10</w:t>
            </w:r>
          </w:p>
        </w:tc>
        <w:tc>
          <w:tcPr>
            <w:tcW w:w="612" w:type="pct"/>
            <w:vMerge w:val="restart"/>
            <w:vAlign w:val="center"/>
          </w:tcPr>
          <w:p w14:paraId="2E344498">
            <w:pPr>
              <w:jc w:val="center"/>
              <w:rPr>
                <w:rFonts w:ascii="Times New Roman"/>
                <w:sz w:val="21"/>
                <w:szCs w:val="21"/>
              </w:rPr>
            </w:pPr>
            <w:r>
              <w:rPr>
                <w:rFonts w:hint="eastAsia" w:ascii="Times New Roman"/>
                <w:sz w:val="21"/>
                <w:szCs w:val="21"/>
              </w:rPr>
              <w:t>18000</w:t>
            </w:r>
          </w:p>
        </w:tc>
      </w:tr>
      <w:tr w14:paraId="521E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50" w:type="pct"/>
            <w:vMerge w:val="continue"/>
            <w:vAlign w:val="center"/>
          </w:tcPr>
          <w:p w14:paraId="0D08D082">
            <w:pPr>
              <w:jc w:val="center"/>
              <w:rPr>
                <w:rFonts w:ascii="Times New Roman"/>
                <w:sz w:val="21"/>
                <w:szCs w:val="21"/>
              </w:rPr>
            </w:pPr>
          </w:p>
        </w:tc>
        <w:tc>
          <w:tcPr>
            <w:tcW w:w="364" w:type="pct"/>
            <w:vMerge w:val="continue"/>
            <w:shd w:val="clear" w:color="auto" w:fill="auto"/>
            <w:noWrap/>
            <w:vAlign w:val="center"/>
          </w:tcPr>
          <w:p w14:paraId="66D2CE1A">
            <w:pPr>
              <w:jc w:val="center"/>
              <w:rPr>
                <w:rFonts w:ascii="Times New Roman"/>
                <w:sz w:val="21"/>
                <w:szCs w:val="21"/>
              </w:rPr>
            </w:pPr>
          </w:p>
        </w:tc>
        <w:tc>
          <w:tcPr>
            <w:tcW w:w="395" w:type="pct"/>
            <w:shd w:val="clear" w:color="auto" w:fill="auto"/>
            <w:vAlign w:val="center"/>
          </w:tcPr>
          <w:p w14:paraId="365D367A">
            <w:pPr>
              <w:spacing w:line="320" w:lineRule="exact"/>
              <w:jc w:val="center"/>
              <w:rPr>
                <w:rFonts w:ascii="Times New Roman"/>
                <w:sz w:val="21"/>
                <w:szCs w:val="21"/>
              </w:rPr>
            </w:pPr>
            <w:r>
              <w:rPr>
                <w:rFonts w:ascii="Times New Roman"/>
                <w:sz w:val="21"/>
                <w:szCs w:val="21"/>
              </w:rPr>
              <w:t>强冷工序</w:t>
            </w:r>
          </w:p>
        </w:tc>
        <w:tc>
          <w:tcPr>
            <w:tcW w:w="572" w:type="pct"/>
            <w:tcBorders>
              <w:top w:val="single" w:color="000000" w:sz="4" w:space="0"/>
            </w:tcBorders>
            <w:vAlign w:val="center"/>
          </w:tcPr>
          <w:p w14:paraId="7CB1DEA0">
            <w:pPr>
              <w:jc w:val="center"/>
              <w:rPr>
                <w:rFonts w:ascii="Times New Roman"/>
                <w:sz w:val="21"/>
                <w:szCs w:val="21"/>
              </w:rPr>
            </w:pPr>
            <w:r>
              <w:rPr>
                <w:rFonts w:ascii="Times New Roman" w:eastAsia="Arial"/>
                <w:sz w:val="21"/>
                <w:szCs w:val="21"/>
              </w:rPr>
              <w:t>强冷室</w:t>
            </w:r>
          </w:p>
        </w:tc>
        <w:tc>
          <w:tcPr>
            <w:tcW w:w="693" w:type="pct"/>
            <w:vMerge w:val="continue"/>
            <w:vAlign w:val="center"/>
          </w:tcPr>
          <w:p w14:paraId="16C3AEBA">
            <w:pPr>
              <w:jc w:val="center"/>
              <w:rPr>
                <w:rFonts w:ascii="Times New Roman"/>
                <w:sz w:val="21"/>
                <w:szCs w:val="21"/>
              </w:rPr>
            </w:pPr>
          </w:p>
        </w:tc>
        <w:tc>
          <w:tcPr>
            <w:tcW w:w="921" w:type="pct"/>
            <w:vMerge w:val="continue"/>
            <w:vAlign w:val="center"/>
          </w:tcPr>
          <w:p w14:paraId="137CCB83">
            <w:pPr>
              <w:jc w:val="center"/>
              <w:rPr>
                <w:rFonts w:ascii="Times New Roman"/>
                <w:sz w:val="21"/>
                <w:szCs w:val="21"/>
              </w:rPr>
            </w:pPr>
          </w:p>
        </w:tc>
        <w:tc>
          <w:tcPr>
            <w:tcW w:w="1188" w:type="pct"/>
            <w:vMerge w:val="continue"/>
            <w:vAlign w:val="center"/>
          </w:tcPr>
          <w:p w14:paraId="18F0A90D">
            <w:pPr>
              <w:jc w:val="center"/>
              <w:rPr>
                <w:rFonts w:ascii="Times New Roman"/>
                <w:sz w:val="21"/>
                <w:szCs w:val="21"/>
              </w:rPr>
            </w:pPr>
          </w:p>
        </w:tc>
        <w:tc>
          <w:tcPr>
            <w:tcW w:w="612" w:type="pct"/>
            <w:vMerge w:val="continue"/>
            <w:vAlign w:val="center"/>
          </w:tcPr>
          <w:p w14:paraId="1EB2E139">
            <w:pPr>
              <w:jc w:val="center"/>
              <w:rPr>
                <w:rFonts w:ascii="Times New Roman"/>
                <w:sz w:val="21"/>
                <w:szCs w:val="21"/>
              </w:rPr>
            </w:pPr>
          </w:p>
        </w:tc>
      </w:tr>
      <w:tr w14:paraId="719D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0" w:type="pct"/>
            <w:vMerge w:val="continue"/>
            <w:vAlign w:val="center"/>
          </w:tcPr>
          <w:p w14:paraId="41426A14">
            <w:pPr>
              <w:jc w:val="center"/>
              <w:rPr>
                <w:rFonts w:ascii="Times New Roman"/>
                <w:sz w:val="21"/>
                <w:szCs w:val="21"/>
              </w:rPr>
            </w:pPr>
          </w:p>
        </w:tc>
        <w:tc>
          <w:tcPr>
            <w:tcW w:w="364" w:type="pct"/>
            <w:vMerge w:val="restart"/>
            <w:shd w:val="clear" w:color="auto" w:fill="auto"/>
            <w:noWrap/>
            <w:vAlign w:val="center"/>
          </w:tcPr>
          <w:p w14:paraId="740CECBE">
            <w:pPr>
              <w:jc w:val="center"/>
              <w:rPr>
                <w:rFonts w:ascii="Times New Roman"/>
                <w:sz w:val="21"/>
                <w:szCs w:val="21"/>
              </w:rPr>
            </w:pPr>
            <w:r>
              <w:rPr>
                <w:rFonts w:ascii="Times New Roman"/>
                <w:sz w:val="21"/>
                <w:szCs w:val="21"/>
              </w:rPr>
              <w:t>托辊生产线</w:t>
            </w:r>
          </w:p>
        </w:tc>
        <w:tc>
          <w:tcPr>
            <w:tcW w:w="395" w:type="pct"/>
            <w:shd w:val="clear" w:color="auto" w:fill="auto"/>
            <w:vAlign w:val="center"/>
          </w:tcPr>
          <w:p w14:paraId="190D5D9E">
            <w:pPr>
              <w:spacing w:line="320" w:lineRule="exact"/>
              <w:jc w:val="center"/>
              <w:rPr>
                <w:rFonts w:ascii="Times New Roman"/>
                <w:sz w:val="21"/>
                <w:szCs w:val="21"/>
              </w:rPr>
            </w:pPr>
            <w:r>
              <w:rPr>
                <w:rFonts w:ascii="Times New Roman"/>
                <w:sz w:val="21"/>
                <w:szCs w:val="21"/>
              </w:rPr>
              <w:t>喷塑</w:t>
            </w:r>
          </w:p>
        </w:tc>
        <w:tc>
          <w:tcPr>
            <w:tcW w:w="572" w:type="pct"/>
            <w:vAlign w:val="center"/>
          </w:tcPr>
          <w:p w14:paraId="1EA76B1E">
            <w:pPr>
              <w:jc w:val="center"/>
              <w:rPr>
                <w:rFonts w:ascii="Times New Roman"/>
                <w:sz w:val="21"/>
                <w:szCs w:val="21"/>
              </w:rPr>
            </w:pPr>
            <w:r>
              <w:rPr>
                <w:rFonts w:ascii="Times New Roman"/>
                <w:sz w:val="21"/>
                <w:szCs w:val="21"/>
              </w:rPr>
              <w:t>喷粉室</w:t>
            </w:r>
          </w:p>
        </w:tc>
        <w:tc>
          <w:tcPr>
            <w:tcW w:w="693" w:type="pct"/>
            <w:shd w:val="clear" w:color="auto" w:fill="auto"/>
            <w:vAlign w:val="center"/>
          </w:tcPr>
          <w:p w14:paraId="2C173141">
            <w:pPr>
              <w:jc w:val="center"/>
              <w:rPr>
                <w:rFonts w:ascii="Times New Roman"/>
                <w:sz w:val="21"/>
                <w:szCs w:val="21"/>
              </w:rPr>
            </w:pPr>
            <w:r>
              <w:rPr>
                <w:rFonts w:ascii="Times New Roman"/>
                <w:sz w:val="21"/>
                <w:szCs w:val="21"/>
              </w:rPr>
              <w:t>颗粒物</w:t>
            </w:r>
          </w:p>
        </w:tc>
        <w:tc>
          <w:tcPr>
            <w:tcW w:w="921" w:type="pct"/>
            <w:vAlign w:val="center"/>
          </w:tcPr>
          <w:p w14:paraId="6853B6D7">
            <w:pPr>
              <w:jc w:val="center"/>
              <w:rPr>
                <w:rFonts w:ascii="Times New Roman"/>
                <w:sz w:val="21"/>
                <w:szCs w:val="21"/>
              </w:rPr>
            </w:pPr>
            <w:r>
              <w:rPr>
                <w:rFonts w:ascii="Times New Roman"/>
                <w:sz w:val="21"/>
                <w:szCs w:val="21"/>
              </w:rPr>
              <w:t>喷粉室密闭，设置抽风系统</w:t>
            </w:r>
          </w:p>
        </w:tc>
        <w:tc>
          <w:tcPr>
            <w:tcW w:w="1188" w:type="pct"/>
            <w:vAlign w:val="center"/>
          </w:tcPr>
          <w:p w14:paraId="1FB4CC4D">
            <w:pPr>
              <w:jc w:val="center"/>
              <w:rPr>
                <w:rFonts w:ascii="Times New Roman"/>
                <w:sz w:val="21"/>
                <w:szCs w:val="21"/>
              </w:rPr>
            </w:pPr>
            <w:r>
              <w:rPr>
                <w:rFonts w:ascii="Times New Roman"/>
                <w:kern w:val="0"/>
                <w:sz w:val="21"/>
                <w:szCs w:val="21"/>
              </w:rPr>
              <w:t>自带滤筒除尘器+20m高排气筒DA01</w:t>
            </w:r>
            <w:r>
              <w:rPr>
                <w:rFonts w:hint="eastAsia" w:ascii="Times New Roman"/>
                <w:kern w:val="0"/>
                <w:sz w:val="21"/>
                <w:szCs w:val="21"/>
              </w:rPr>
              <w:t>2</w:t>
            </w:r>
            <w:r>
              <w:rPr>
                <w:rFonts w:ascii="Times New Roman"/>
                <w:kern w:val="0"/>
                <w:sz w:val="21"/>
                <w:szCs w:val="21"/>
              </w:rPr>
              <w:t>排放</w:t>
            </w:r>
          </w:p>
        </w:tc>
        <w:tc>
          <w:tcPr>
            <w:tcW w:w="612" w:type="pct"/>
            <w:vAlign w:val="center"/>
          </w:tcPr>
          <w:p w14:paraId="6909A1BA">
            <w:pPr>
              <w:jc w:val="center"/>
              <w:rPr>
                <w:rFonts w:ascii="Times New Roman"/>
                <w:sz w:val="21"/>
                <w:szCs w:val="21"/>
              </w:rPr>
            </w:pPr>
            <w:r>
              <w:rPr>
                <w:rFonts w:ascii="Times New Roman"/>
                <w:sz w:val="21"/>
                <w:szCs w:val="21"/>
              </w:rPr>
              <w:t>10000</w:t>
            </w:r>
          </w:p>
        </w:tc>
      </w:tr>
      <w:tr w14:paraId="2C1E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0" w:type="pct"/>
            <w:vMerge w:val="continue"/>
            <w:vAlign w:val="center"/>
          </w:tcPr>
          <w:p w14:paraId="76AA7DB5">
            <w:pPr>
              <w:jc w:val="center"/>
              <w:rPr>
                <w:rFonts w:ascii="Times New Roman"/>
                <w:sz w:val="21"/>
                <w:szCs w:val="21"/>
              </w:rPr>
            </w:pPr>
          </w:p>
        </w:tc>
        <w:tc>
          <w:tcPr>
            <w:tcW w:w="364" w:type="pct"/>
            <w:vMerge w:val="continue"/>
            <w:shd w:val="clear" w:color="auto" w:fill="auto"/>
            <w:noWrap/>
            <w:vAlign w:val="center"/>
          </w:tcPr>
          <w:p w14:paraId="36C7F957">
            <w:pPr>
              <w:jc w:val="center"/>
              <w:rPr>
                <w:rFonts w:ascii="Times New Roman"/>
                <w:sz w:val="21"/>
                <w:szCs w:val="21"/>
              </w:rPr>
            </w:pPr>
          </w:p>
        </w:tc>
        <w:tc>
          <w:tcPr>
            <w:tcW w:w="395" w:type="pct"/>
            <w:shd w:val="clear" w:color="auto" w:fill="auto"/>
            <w:vAlign w:val="center"/>
          </w:tcPr>
          <w:p w14:paraId="7D2B1C76">
            <w:pPr>
              <w:spacing w:line="320" w:lineRule="exact"/>
              <w:jc w:val="center"/>
              <w:rPr>
                <w:rFonts w:ascii="Times New Roman"/>
                <w:sz w:val="21"/>
                <w:szCs w:val="21"/>
              </w:rPr>
            </w:pPr>
            <w:r>
              <w:rPr>
                <w:rFonts w:ascii="Times New Roman"/>
                <w:sz w:val="21"/>
                <w:szCs w:val="21"/>
              </w:rPr>
              <w:t>喷塑烘干</w:t>
            </w:r>
          </w:p>
        </w:tc>
        <w:tc>
          <w:tcPr>
            <w:tcW w:w="572" w:type="pct"/>
            <w:vAlign w:val="center"/>
          </w:tcPr>
          <w:p w14:paraId="0F6835E6">
            <w:pPr>
              <w:jc w:val="center"/>
              <w:rPr>
                <w:rFonts w:ascii="Times New Roman"/>
                <w:sz w:val="21"/>
                <w:szCs w:val="21"/>
              </w:rPr>
            </w:pPr>
            <w:r>
              <w:rPr>
                <w:rFonts w:ascii="Times New Roman"/>
                <w:sz w:val="21"/>
                <w:szCs w:val="21"/>
              </w:rPr>
              <w:t>烘干室</w:t>
            </w:r>
          </w:p>
        </w:tc>
        <w:tc>
          <w:tcPr>
            <w:tcW w:w="693" w:type="pct"/>
            <w:shd w:val="clear" w:color="auto" w:fill="auto"/>
            <w:vAlign w:val="center"/>
          </w:tcPr>
          <w:p w14:paraId="07629BC4">
            <w:pPr>
              <w:jc w:val="center"/>
              <w:rPr>
                <w:rFonts w:ascii="Times New Roman"/>
                <w:sz w:val="21"/>
                <w:szCs w:val="21"/>
              </w:rPr>
            </w:pPr>
            <w:r>
              <w:rPr>
                <w:rFonts w:ascii="Times New Roman"/>
                <w:sz w:val="21"/>
                <w:szCs w:val="21"/>
              </w:rPr>
              <w:t>非甲烷总烃</w:t>
            </w:r>
            <w:r>
              <w:rPr>
                <w:rFonts w:hint="eastAsia" w:ascii="Times New Roman"/>
                <w:sz w:val="21"/>
                <w:szCs w:val="21"/>
              </w:rPr>
              <w:t>、</w:t>
            </w:r>
            <w:r>
              <w:rPr>
                <w:rFonts w:ascii="Times New Roman"/>
                <w:sz w:val="21"/>
                <w:szCs w:val="21"/>
              </w:rPr>
              <w:t>颗粒物、SO</w:t>
            </w:r>
            <w:r>
              <w:rPr>
                <w:rFonts w:ascii="Times New Roman"/>
                <w:sz w:val="21"/>
                <w:szCs w:val="21"/>
                <w:vertAlign w:val="subscript"/>
              </w:rPr>
              <w:t>2</w:t>
            </w:r>
            <w:r>
              <w:rPr>
                <w:rFonts w:ascii="Times New Roman"/>
                <w:sz w:val="21"/>
                <w:szCs w:val="21"/>
              </w:rPr>
              <w:t>、NOx、烟气黑度</w:t>
            </w:r>
          </w:p>
        </w:tc>
        <w:tc>
          <w:tcPr>
            <w:tcW w:w="921" w:type="pct"/>
            <w:vAlign w:val="center"/>
          </w:tcPr>
          <w:p w14:paraId="084E9109">
            <w:pPr>
              <w:jc w:val="center"/>
              <w:rPr>
                <w:rFonts w:ascii="Times New Roman"/>
                <w:sz w:val="21"/>
                <w:szCs w:val="21"/>
              </w:rPr>
            </w:pPr>
            <w:r>
              <w:rPr>
                <w:rFonts w:ascii="Times New Roman"/>
                <w:sz w:val="21"/>
                <w:szCs w:val="21"/>
              </w:rPr>
              <w:t>烘干室密闭，设置抽风系统</w:t>
            </w:r>
          </w:p>
        </w:tc>
        <w:tc>
          <w:tcPr>
            <w:tcW w:w="1188" w:type="pct"/>
            <w:vAlign w:val="center"/>
          </w:tcPr>
          <w:p w14:paraId="271E4FF5">
            <w:pPr>
              <w:jc w:val="center"/>
              <w:rPr>
                <w:rFonts w:ascii="Times New Roman"/>
                <w:sz w:val="21"/>
                <w:szCs w:val="21"/>
              </w:rPr>
            </w:pPr>
            <w:r>
              <w:rPr>
                <w:rFonts w:hint="eastAsia" w:ascii="Times New Roman"/>
                <w:kern w:val="0"/>
                <w:sz w:val="21"/>
                <w:szCs w:val="21"/>
              </w:rPr>
              <w:t>水喷淋+</w:t>
            </w:r>
            <w:r>
              <w:rPr>
                <w:rFonts w:ascii="Times New Roman"/>
                <w:kern w:val="0"/>
                <w:sz w:val="21"/>
                <w:szCs w:val="21"/>
              </w:rPr>
              <w:t>二级活性炭吸附装置</w:t>
            </w:r>
            <w:r>
              <w:rPr>
                <w:rFonts w:ascii="Times New Roman"/>
                <w:sz w:val="21"/>
                <w:szCs w:val="21"/>
              </w:rPr>
              <w:t>+20米高排气筒DA01</w:t>
            </w:r>
            <w:r>
              <w:rPr>
                <w:rFonts w:hint="eastAsia" w:ascii="Times New Roman"/>
                <w:sz w:val="21"/>
                <w:szCs w:val="21"/>
              </w:rPr>
              <w:t>3</w:t>
            </w:r>
          </w:p>
        </w:tc>
        <w:tc>
          <w:tcPr>
            <w:tcW w:w="612" w:type="pct"/>
            <w:vAlign w:val="center"/>
          </w:tcPr>
          <w:p w14:paraId="73B643EF">
            <w:pPr>
              <w:jc w:val="center"/>
              <w:rPr>
                <w:rFonts w:ascii="Times New Roman"/>
                <w:sz w:val="21"/>
                <w:szCs w:val="21"/>
              </w:rPr>
            </w:pPr>
            <w:r>
              <w:rPr>
                <w:rFonts w:ascii="Times New Roman"/>
                <w:sz w:val="21"/>
                <w:szCs w:val="21"/>
              </w:rPr>
              <w:t>8000</w:t>
            </w:r>
          </w:p>
        </w:tc>
      </w:tr>
      <w:tr w14:paraId="5335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0" w:type="pct"/>
            <w:vMerge w:val="continue"/>
            <w:vAlign w:val="center"/>
          </w:tcPr>
          <w:p w14:paraId="7F70953B">
            <w:pPr>
              <w:jc w:val="center"/>
              <w:rPr>
                <w:rFonts w:ascii="Times New Roman"/>
                <w:sz w:val="21"/>
                <w:szCs w:val="21"/>
              </w:rPr>
            </w:pPr>
          </w:p>
        </w:tc>
        <w:tc>
          <w:tcPr>
            <w:tcW w:w="1332" w:type="pct"/>
            <w:gridSpan w:val="3"/>
            <w:shd w:val="clear" w:color="auto" w:fill="auto"/>
            <w:noWrap/>
            <w:vAlign w:val="center"/>
          </w:tcPr>
          <w:p w14:paraId="75D614E7">
            <w:pPr>
              <w:jc w:val="center"/>
              <w:rPr>
                <w:rFonts w:ascii="Times New Roman"/>
                <w:sz w:val="21"/>
                <w:szCs w:val="21"/>
              </w:rPr>
            </w:pPr>
            <w:r>
              <w:rPr>
                <w:rFonts w:ascii="Times New Roman"/>
                <w:sz w:val="21"/>
                <w:szCs w:val="21"/>
              </w:rPr>
              <w:t>食堂</w:t>
            </w:r>
          </w:p>
        </w:tc>
        <w:tc>
          <w:tcPr>
            <w:tcW w:w="693" w:type="pct"/>
            <w:vAlign w:val="center"/>
          </w:tcPr>
          <w:p w14:paraId="6FE1291F">
            <w:pPr>
              <w:jc w:val="center"/>
              <w:rPr>
                <w:rFonts w:ascii="Times New Roman"/>
                <w:snapToGrid w:val="0"/>
                <w:sz w:val="21"/>
                <w:szCs w:val="21"/>
              </w:rPr>
            </w:pPr>
            <w:r>
              <w:rPr>
                <w:rFonts w:ascii="Times New Roman"/>
                <w:snapToGrid w:val="0"/>
                <w:sz w:val="21"/>
                <w:szCs w:val="21"/>
              </w:rPr>
              <w:t>油烟</w:t>
            </w:r>
          </w:p>
        </w:tc>
        <w:tc>
          <w:tcPr>
            <w:tcW w:w="921" w:type="pct"/>
            <w:vAlign w:val="center"/>
          </w:tcPr>
          <w:p w14:paraId="0A31F2B1">
            <w:pPr>
              <w:jc w:val="center"/>
              <w:rPr>
                <w:rFonts w:ascii="Times New Roman"/>
                <w:sz w:val="21"/>
                <w:szCs w:val="21"/>
              </w:rPr>
            </w:pPr>
            <w:r>
              <w:rPr>
                <w:rFonts w:ascii="Times New Roman"/>
                <w:sz w:val="21"/>
                <w:szCs w:val="21"/>
              </w:rPr>
              <w:t>灶头上方安装集气罩</w:t>
            </w:r>
          </w:p>
        </w:tc>
        <w:tc>
          <w:tcPr>
            <w:tcW w:w="1188" w:type="pct"/>
            <w:vAlign w:val="center"/>
          </w:tcPr>
          <w:p w14:paraId="2D6E4816">
            <w:pPr>
              <w:jc w:val="center"/>
              <w:rPr>
                <w:rFonts w:ascii="Times New Roman"/>
                <w:sz w:val="21"/>
                <w:szCs w:val="21"/>
              </w:rPr>
            </w:pPr>
            <w:r>
              <w:rPr>
                <w:rFonts w:ascii="Times New Roman"/>
                <w:sz w:val="21"/>
                <w:szCs w:val="21"/>
              </w:rPr>
              <w:t>油烟净化器+</w:t>
            </w:r>
            <w:r>
              <w:rPr>
                <w:rFonts w:ascii="Times New Roman"/>
                <w:kern w:val="0"/>
                <w:sz w:val="21"/>
                <w:szCs w:val="21"/>
              </w:rPr>
              <w:t>专用烟道DA01</w:t>
            </w:r>
            <w:r>
              <w:rPr>
                <w:rFonts w:hint="eastAsia" w:ascii="Times New Roman"/>
                <w:kern w:val="0"/>
                <w:sz w:val="21"/>
                <w:szCs w:val="21"/>
              </w:rPr>
              <w:t>4</w:t>
            </w:r>
            <w:r>
              <w:rPr>
                <w:rFonts w:ascii="Times New Roman"/>
                <w:kern w:val="0"/>
                <w:sz w:val="21"/>
                <w:szCs w:val="21"/>
              </w:rPr>
              <w:t>楼顶排放</w:t>
            </w:r>
          </w:p>
        </w:tc>
        <w:tc>
          <w:tcPr>
            <w:tcW w:w="612" w:type="pct"/>
            <w:vAlign w:val="center"/>
          </w:tcPr>
          <w:p w14:paraId="76C4B267">
            <w:pPr>
              <w:jc w:val="center"/>
              <w:rPr>
                <w:rFonts w:ascii="Times New Roman"/>
                <w:sz w:val="21"/>
                <w:szCs w:val="21"/>
              </w:rPr>
            </w:pPr>
            <w:r>
              <w:rPr>
                <w:rFonts w:hint="eastAsia" w:ascii="Times New Roman"/>
                <w:sz w:val="21"/>
                <w:szCs w:val="21"/>
              </w:rPr>
              <w:t>30</w:t>
            </w:r>
            <w:r>
              <w:rPr>
                <w:rFonts w:ascii="Times New Roman"/>
                <w:sz w:val="21"/>
                <w:szCs w:val="21"/>
              </w:rPr>
              <w:t>000</w:t>
            </w:r>
          </w:p>
        </w:tc>
      </w:tr>
    </w:tbl>
    <w:p w14:paraId="6697BC41">
      <w:pPr>
        <w:pStyle w:val="2759"/>
        <w:ind w:firstLine="480"/>
        <w:sectPr>
          <w:pgSz w:w="11906" w:h="16838"/>
          <w:pgMar w:top="1440" w:right="1800" w:bottom="1440" w:left="1800" w:header="1134" w:footer="1134" w:gutter="0"/>
          <w:cols w:space="720" w:num="1"/>
          <w:docGrid w:type="lines" w:linePitch="340" w:charSpace="0"/>
        </w:sectPr>
      </w:pPr>
    </w:p>
    <w:p w14:paraId="25CA9A4B">
      <w:pPr>
        <w:spacing w:line="360" w:lineRule="auto"/>
        <w:outlineLvl w:val="3"/>
        <w:rPr>
          <w:rFonts w:ascii="Times New Roman"/>
          <w:b/>
          <w:sz w:val="24"/>
          <w:szCs w:val="24"/>
        </w:rPr>
      </w:pPr>
      <w:bookmarkStart w:id="127" w:name="_Toc389681172"/>
      <w:bookmarkStart w:id="128" w:name="_Toc389680598"/>
      <w:bookmarkStart w:id="129" w:name="_Toc389681168"/>
      <w:bookmarkStart w:id="130" w:name="_Toc389680602"/>
      <w:r>
        <w:rPr>
          <w:rFonts w:ascii="Times New Roman"/>
          <w:b/>
          <w:sz w:val="24"/>
          <w:szCs w:val="24"/>
        </w:rPr>
        <w:t>3.7.1.1下料工序废气</w:t>
      </w:r>
    </w:p>
    <w:p w14:paraId="4512199F">
      <w:pPr>
        <w:spacing w:line="360" w:lineRule="auto"/>
        <w:ind w:firstLine="480" w:firstLineChars="200"/>
        <w:rPr>
          <w:rFonts w:ascii="Times New Roman"/>
          <w:bCs/>
          <w:sz w:val="24"/>
          <w:szCs w:val="24"/>
        </w:rPr>
      </w:pPr>
      <w:r>
        <w:rPr>
          <w:rFonts w:ascii="Times New Roman"/>
          <w:sz w:val="24"/>
          <w:szCs w:val="24"/>
        </w:rPr>
        <w:t>项目部分切割下料设备会产生切割烟尘，</w:t>
      </w:r>
      <w:r>
        <w:rPr>
          <w:rFonts w:ascii="Times New Roman"/>
          <w:bCs/>
          <w:sz w:val="24"/>
          <w:szCs w:val="24"/>
        </w:rPr>
        <w:t>根据生态环境部发布的《排放源统计调查产排污核算方法和系数手册》中“机械行业系数手册”-04下料环节的产排污系数核算颗粒物的产生源强，产生情况见下表。</w:t>
      </w:r>
    </w:p>
    <w:p w14:paraId="3FC9FAA6">
      <w:pPr>
        <w:spacing w:line="360" w:lineRule="auto"/>
        <w:jc w:val="center"/>
        <w:rPr>
          <w:rFonts w:ascii="Times New Roman"/>
          <w:b/>
          <w:sz w:val="24"/>
          <w:szCs w:val="24"/>
        </w:rPr>
      </w:pPr>
      <w:r>
        <w:rPr>
          <w:rFonts w:ascii="Times New Roman"/>
          <w:b/>
          <w:sz w:val="24"/>
          <w:szCs w:val="24"/>
        </w:rPr>
        <w:t>表3.7-1  下料切割颗粒物产生情况表</w:t>
      </w:r>
    </w:p>
    <w:tbl>
      <w:tblPr>
        <w:tblStyle w:val="84"/>
        <w:tblW w:w="83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
        <w:gridCol w:w="2336"/>
        <w:gridCol w:w="703"/>
        <w:gridCol w:w="1177"/>
        <w:gridCol w:w="904"/>
        <w:gridCol w:w="939"/>
        <w:gridCol w:w="913"/>
        <w:gridCol w:w="1067"/>
      </w:tblGrid>
      <w:tr w14:paraId="08DEA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2674" w:type="dxa"/>
            <w:gridSpan w:val="2"/>
            <w:vMerge w:val="restart"/>
            <w:tcBorders>
              <w:bottom w:val="nil"/>
            </w:tcBorders>
            <w:vAlign w:val="center"/>
          </w:tcPr>
          <w:p w14:paraId="1EB80BFA">
            <w:pPr>
              <w:jc w:val="center"/>
              <w:rPr>
                <w:rFonts w:ascii="Times New Roman"/>
                <w:b/>
                <w:bCs/>
                <w:sz w:val="21"/>
                <w:szCs w:val="21"/>
              </w:rPr>
            </w:pPr>
            <w:r>
              <w:rPr>
                <w:rFonts w:ascii="Times New Roman"/>
                <w:b/>
                <w:bCs/>
                <w:spacing w:val="-2"/>
                <w:sz w:val="21"/>
                <w:szCs w:val="21"/>
              </w:rPr>
              <w:t>工艺名称</w:t>
            </w:r>
          </w:p>
        </w:tc>
        <w:tc>
          <w:tcPr>
            <w:tcW w:w="703" w:type="dxa"/>
            <w:vMerge w:val="restart"/>
            <w:tcBorders>
              <w:bottom w:val="nil"/>
            </w:tcBorders>
            <w:vAlign w:val="center"/>
          </w:tcPr>
          <w:p w14:paraId="693B82E0">
            <w:pPr>
              <w:jc w:val="center"/>
              <w:rPr>
                <w:rFonts w:ascii="Times New Roman"/>
                <w:b/>
                <w:bCs/>
                <w:sz w:val="21"/>
                <w:szCs w:val="21"/>
              </w:rPr>
            </w:pPr>
            <w:r>
              <w:rPr>
                <w:rFonts w:ascii="Times New Roman"/>
                <w:b/>
                <w:bCs/>
                <w:spacing w:val="-4"/>
                <w:sz w:val="21"/>
                <w:szCs w:val="21"/>
              </w:rPr>
              <w:t>原</w:t>
            </w:r>
            <w:r>
              <w:rPr>
                <w:rFonts w:ascii="Times New Roman"/>
                <w:b/>
                <w:bCs/>
                <w:spacing w:val="-2"/>
                <w:sz w:val="21"/>
                <w:szCs w:val="21"/>
              </w:rPr>
              <w:t>料名称</w:t>
            </w:r>
          </w:p>
        </w:tc>
        <w:tc>
          <w:tcPr>
            <w:tcW w:w="1177" w:type="dxa"/>
            <w:vAlign w:val="center"/>
          </w:tcPr>
          <w:p w14:paraId="5F06CC87">
            <w:pPr>
              <w:jc w:val="center"/>
              <w:rPr>
                <w:rFonts w:ascii="Times New Roman"/>
                <w:b/>
                <w:bCs/>
                <w:sz w:val="21"/>
                <w:szCs w:val="21"/>
              </w:rPr>
            </w:pPr>
            <w:r>
              <w:rPr>
                <w:rFonts w:ascii="Times New Roman"/>
                <w:b/>
                <w:bCs/>
                <w:spacing w:val="-2"/>
                <w:sz w:val="21"/>
                <w:szCs w:val="21"/>
              </w:rPr>
              <w:t>产</w:t>
            </w:r>
            <w:r>
              <w:rPr>
                <w:rFonts w:ascii="Times New Roman"/>
                <w:b/>
                <w:bCs/>
                <w:spacing w:val="-1"/>
                <w:sz w:val="21"/>
                <w:szCs w:val="21"/>
              </w:rPr>
              <w:t>污系数</w:t>
            </w:r>
          </w:p>
        </w:tc>
        <w:tc>
          <w:tcPr>
            <w:tcW w:w="904" w:type="dxa"/>
            <w:vAlign w:val="center"/>
          </w:tcPr>
          <w:p w14:paraId="3F6EA130">
            <w:pPr>
              <w:jc w:val="center"/>
              <w:rPr>
                <w:rFonts w:ascii="Times New Roman"/>
                <w:b/>
                <w:bCs/>
                <w:sz w:val="21"/>
                <w:szCs w:val="21"/>
              </w:rPr>
            </w:pPr>
            <w:r>
              <w:rPr>
                <w:rFonts w:ascii="Times New Roman"/>
                <w:b/>
                <w:bCs/>
                <w:spacing w:val="-4"/>
                <w:sz w:val="21"/>
                <w:szCs w:val="21"/>
              </w:rPr>
              <w:t>原</w:t>
            </w:r>
            <w:r>
              <w:rPr>
                <w:rFonts w:ascii="Times New Roman"/>
                <w:b/>
                <w:bCs/>
                <w:spacing w:val="-2"/>
                <w:sz w:val="21"/>
                <w:szCs w:val="21"/>
              </w:rPr>
              <w:t>料</w:t>
            </w:r>
          </w:p>
        </w:tc>
        <w:tc>
          <w:tcPr>
            <w:tcW w:w="939" w:type="dxa"/>
            <w:vAlign w:val="center"/>
          </w:tcPr>
          <w:p w14:paraId="7547EAB9">
            <w:pPr>
              <w:jc w:val="center"/>
              <w:rPr>
                <w:rFonts w:ascii="Times New Roman"/>
                <w:b/>
                <w:bCs/>
                <w:sz w:val="21"/>
                <w:szCs w:val="21"/>
              </w:rPr>
            </w:pPr>
            <w:r>
              <w:rPr>
                <w:rFonts w:ascii="Times New Roman"/>
                <w:b/>
                <w:bCs/>
                <w:spacing w:val="-2"/>
                <w:sz w:val="21"/>
                <w:szCs w:val="21"/>
              </w:rPr>
              <w:t>产</w:t>
            </w:r>
            <w:r>
              <w:rPr>
                <w:rFonts w:ascii="Times New Roman"/>
                <w:b/>
                <w:bCs/>
                <w:spacing w:val="-1"/>
                <w:sz w:val="21"/>
                <w:szCs w:val="21"/>
              </w:rPr>
              <w:t>生量</w:t>
            </w:r>
          </w:p>
        </w:tc>
        <w:tc>
          <w:tcPr>
            <w:tcW w:w="913" w:type="dxa"/>
            <w:vAlign w:val="center"/>
          </w:tcPr>
          <w:p w14:paraId="7DD5E8C3">
            <w:pPr>
              <w:jc w:val="center"/>
              <w:rPr>
                <w:rFonts w:ascii="Times New Roman"/>
                <w:b/>
                <w:bCs/>
                <w:sz w:val="21"/>
                <w:szCs w:val="21"/>
              </w:rPr>
            </w:pPr>
            <w:r>
              <w:rPr>
                <w:rFonts w:ascii="Times New Roman"/>
                <w:b/>
                <w:bCs/>
                <w:spacing w:val="-3"/>
                <w:sz w:val="21"/>
                <w:szCs w:val="21"/>
              </w:rPr>
              <w:t>工</w:t>
            </w:r>
            <w:r>
              <w:rPr>
                <w:rFonts w:ascii="Times New Roman"/>
                <w:b/>
                <w:bCs/>
                <w:spacing w:val="-2"/>
                <w:sz w:val="21"/>
                <w:szCs w:val="21"/>
              </w:rPr>
              <w:t>时</w:t>
            </w:r>
          </w:p>
        </w:tc>
        <w:tc>
          <w:tcPr>
            <w:tcW w:w="1067" w:type="dxa"/>
            <w:tcBorders>
              <w:right w:val="single" w:color="000000" w:sz="8" w:space="0"/>
            </w:tcBorders>
            <w:vAlign w:val="center"/>
          </w:tcPr>
          <w:p w14:paraId="4241DA1F">
            <w:pPr>
              <w:jc w:val="center"/>
              <w:rPr>
                <w:rFonts w:ascii="Times New Roman"/>
                <w:b/>
                <w:bCs/>
                <w:sz w:val="21"/>
                <w:szCs w:val="21"/>
              </w:rPr>
            </w:pPr>
            <w:r>
              <w:rPr>
                <w:rFonts w:ascii="Times New Roman"/>
                <w:b/>
                <w:bCs/>
                <w:spacing w:val="-2"/>
                <w:sz w:val="21"/>
                <w:szCs w:val="21"/>
              </w:rPr>
              <w:t>产</w:t>
            </w:r>
            <w:r>
              <w:rPr>
                <w:rFonts w:ascii="Times New Roman"/>
                <w:b/>
                <w:bCs/>
                <w:spacing w:val="-1"/>
                <w:sz w:val="21"/>
                <w:szCs w:val="21"/>
              </w:rPr>
              <w:t>生速率</w:t>
            </w:r>
          </w:p>
        </w:tc>
      </w:tr>
      <w:tr w14:paraId="5AACE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2674" w:type="dxa"/>
            <w:gridSpan w:val="2"/>
            <w:vMerge w:val="continue"/>
            <w:tcBorders>
              <w:top w:val="nil"/>
            </w:tcBorders>
            <w:vAlign w:val="center"/>
          </w:tcPr>
          <w:p w14:paraId="161EF410">
            <w:pPr>
              <w:jc w:val="center"/>
              <w:rPr>
                <w:rFonts w:ascii="Times New Roman"/>
                <w:b/>
                <w:bCs/>
                <w:sz w:val="21"/>
              </w:rPr>
            </w:pPr>
          </w:p>
        </w:tc>
        <w:tc>
          <w:tcPr>
            <w:tcW w:w="703" w:type="dxa"/>
            <w:vMerge w:val="continue"/>
            <w:tcBorders>
              <w:top w:val="nil"/>
            </w:tcBorders>
            <w:vAlign w:val="center"/>
          </w:tcPr>
          <w:p w14:paraId="2F2321CA">
            <w:pPr>
              <w:jc w:val="center"/>
              <w:rPr>
                <w:rFonts w:ascii="Times New Roman"/>
                <w:b/>
                <w:bCs/>
                <w:sz w:val="21"/>
              </w:rPr>
            </w:pPr>
          </w:p>
        </w:tc>
        <w:tc>
          <w:tcPr>
            <w:tcW w:w="1177" w:type="dxa"/>
            <w:vAlign w:val="center"/>
          </w:tcPr>
          <w:p w14:paraId="2DF62A6E">
            <w:pPr>
              <w:jc w:val="center"/>
              <w:rPr>
                <w:rFonts w:ascii="Times New Roman"/>
                <w:b/>
                <w:bCs/>
                <w:sz w:val="21"/>
                <w:szCs w:val="21"/>
              </w:rPr>
            </w:pPr>
            <w:r>
              <w:rPr>
                <w:rFonts w:ascii="Times New Roman"/>
                <w:b/>
                <w:bCs/>
                <w:spacing w:val="-1"/>
                <w:sz w:val="21"/>
                <w:szCs w:val="21"/>
              </w:rPr>
              <w:t>千克</w:t>
            </w:r>
            <w:r>
              <w:rPr>
                <w:rFonts w:ascii="Times New Roman" w:eastAsia="Times New Roman"/>
                <w:b/>
                <w:bCs/>
                <w:spacing w:val="-1"/>
                <w:sz w:val="21"/>
                <w:szCs w:val="21"/>
              </w:rPr>
              <w:t>/</w:t>
            </w:r>
            <w:r>
              <w:rPr>
                <w:rFonts w:ascii="Times New Roman"/>
                <w:b/>
                <w:bCs/>
                <w:spacing w:val="-1"/>
                <w:sz w:val="21"/>
                <w:szCs w:val="21"/>
              </w:rPr>
              <w:t>吨</w:t>
            </w:r>
            <w:r>
              <w:rPr>
                <w:rFonts w:ascii="Times New Roman" w:eastAsia="Times New Roman"/>
                <w:b/>
                <w:bCs/>
                <w:spacing w:val="-1"/>
                <w:sz w:val="21"/>
                <w:szCs w:val="21"/>
              </w:rPr>
              <w:t>-</w:t>
            </w:r>
            <w:r>
              <w:rPr>
                <w:rFonts w:ascii="Times New Roman"/>
                <w:b/>
                <w:bCs/>
                <w:spacing w:val="-4"/>
                <w:sz w:val="21"/>
                <w:szCs w:val="21"/>
              </w:rPr>
              <w:t>原</w:t>
            </w:r>
            <w:r>
              <w:rPr>
                <w:rFonts w:ascii="Times New Roman"/>
                <w:b/>
                <w:bCs/>
                <w:spacing w:val="-2"/>
                <w:sz w:val="21"/>
                <w:szCs w:val="21"/>
              </w:rPr>
              <w:t>料</w:t>
            </w:r>
          </w:p>
        </w:tc>
        <w:tc>
          <w:tcPr>
            <w:tcW w:w="904" w:type="dxa"/>
            <w:vAlign w:val="center"/>
          </w:tcPr>
          <w:p w14:paraId="34B87ECA">
            <w:pPr>
              <w:jc w:val="center"/>
              <w:rPr>
                <w:rFonts w:ascii="Times New Roman" w:eastAsia="Times New Roman"/>
                <w:b/>
                <w:bCs/>
                <w:sz w:val="21"/>
                <w:szCs w:val="21"/>
              </w:rPr>
            </w:pPr>
            <w:r>
              <w:rPr>
                <w:rFonts w:ascii="Times New Roman" w:eastAsia="Times New Roman"/>
                <w:b/>
                <w:bCs/>
                <w:spacing w:val="-1"/>
                <w:sz w:val="21"/>
                <w:szCs w:val="21"/>
              </w:rPr>
              <w:t>t/</w:t>
            </w:r>
            <w:r>
              <w:rPr>
                <w:rFonts w:ascii="Times New Roman" w:eastAsia="Times New Roman"/>
                <w:b/>
                <w:bCs/>
                <w:sz w:val="21"/>
                <w:szCs w:val="21"/>
              </w:rPr>
              <w:t>a</w:t>
            </w:r>
          </w:p>
        </w:tc>
        <w:tc>
          <w:tcPr>
            <w:tcW w:w="939" w:type="dxa"/>
            <w:vAlign w:val="center"/>
          </w:tcPr>
          <w:p w14:paraId="483D0E9C">
            <w:pPr>
              <w:jc w:val="center"/>
              <w:rPr>
                <w:rFonts w:ascii="Times New Roman" w:eastAsia="Times New Roman"/>
                <w:b/>
                <w:bCs/>
                <w:sz w:val="21"/>
                <w:szCs w:val="21"/>
              </w:rPr>
            </w:pPr>
            <w:r>
              <w:rPr>
                <w:rFonts w:ascii="Times New Roman" w:eastAsia="Times New Roman"/>
                <w:b/>
                <w:bCs/>
                <w:spacing w:val="-1"/>
                <w:sz w:val="21"/>
                <w:szCs w:val="21"/>
              </w:rPr>
              <w:t>t/</w:t>
            </w:r>
            <w:r>
              <w:rPr>
                <w:rFonts w:ascii="Times New Roman" w:eastAsia="Times New Roman"/>
                <w:b/>
                <w:bCs/>
                <w:sz w:val="21"/>
                <w:szCs w:val="21"/>
              </w:rPr>
              <w:t>a</w:t>
            </w:r>
          </w:p>
        </w:tc>
        <w:tc>
          <w:tcPr>
            <w:tcW w:w="913" w:type="dxa"/>
            <w:vAlign w:val="center"/>
          </w:tcPr>
          <w:p w14:paraId="3311FCC2">
            <w:pPr>
              <w:jc w:val="center"/>
              <w:rPr>
                <w:rFonts w:ascii="Times New Roman" w:eastAsia="Times New Roman"/>
                <w:b/>
                <w:bCs/>
                <w:sz w:val="21"/>
                <w:szCs w:val="21"/>
              </w:rPr>
            </w:pPr>
            <w:r>
              <w:rPr>
                <w:rFonts w:ascii="Times New Roman" w:eastAsia="Times New Roman"/>
                <w:b/>
                <w:bCs/>
                <w:sz w:val="21"/>
                <w:szCs w:val="21"/>
              </w:rPr>
              <w:t>h/a</w:t>
            </w:r>
          </w:p>
        </w:tc>
        <w:tc>
          <w:tcPr>
            <w:tcW w:w="1067" w:type="dxa"/>
            <w:tcBorders>
              <w:right w:val="single" w:color="000000" w:sz="8" w:space="0"/>
            </w:tcBorders>
            <w:vAlign w:val="center"/>
          </w:tcPr>
          <w:p w14:paraId="5FF6B6F5">
            <w:pPr>
              <w:jc w:val="center"/>
              <w:rPr>
                <w:rFonts w:ascii="Times New Roman" w:eastAsia="Times New Roman"/>
                <w:b/>
                <w:bCs/>
                <w:sz w:val="21"/>
                <w:szCs w:val="21"/>
              </w:rPr>
            </w:pPr>
            <w:r>
              <w:rPr>
                <w:rFonts w:ascii="Times New Roman" w:eastAsia="Times New Roman"/>
                <w:b/>
                <w:bCs/>
                <w:sz w:val="21"/>
                <w:szCs w:val="21"/>
              </w:rPr>
              <w:t>kg/h</w:t>
            </w:r>
          </w:p>
        </w:tc>
      </w:tr>
      <w:tr w14:paraId="1EE6C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jc w:val="center"/>
        </w:trPr>
        <w:tc>
          <w:tcPr>
            <w:tcW w:w="338" w:type="dxa"/>
            <w:vMerge w:val="restart"/>
            <w:tcBorders>
              <w:bottom w:val="nil"/>
            </w:tcBorders>
            <w:vAlign w:val="center"/>
          </w:tcPr>
          <w:p w14:paraId="02959384">
            <w:pPr>
              <w:jc w:val="center"/>
              <w:rPr>
                <w:rFonts w:ascii="Times New Roman"/>
                <w:sz w:val="21"/>
                <w:szCs w:val="21"/>
              </w:rPr>
            </w:pPr>
            <w:r>
              <w:rPr>
                <w:rFonts w:ascii="Times New Roman"/>
                <w:spacing w:val="-4"/>
                <w:sz w:val="21"/>
                <w:szCs w:val="21"/>
              </w:rPr>
              <w:t>下</w:t>
            </w:r>
            <w:r>
              <w:rPr>
                <w:rFonts w:ascii="Times New Roman"/>
                <w:spacing w:val="-3"/>
                <w:sz w:val="21"/>
                <w:szCs w:val="21"/>
              </w:rPr>
              <w:t>料</w:t>
            </w:r>
          </w:p>
        </w:tc>
        <w:tc>
          <w:tcPr>
            <w:tcW w:w="2336" w:type="dxa"/>
            <w:vAlign w:val="center"/>
          </w:tcPr>
          <w:p w14:paraId="55A568A5">
            <w:pPr>
              <w:jc w:val="center"/>
              <w:rPr>
                <w:rFonts w:ascii="Times New Roman"/>
                <w:sz w:val="21"/>
                <w:szCs w:val="21"/>
              </w:rPr>
            </w:pPr>
            <w:r>
              <w:rPr>
                <w:rFonts w:ascii="Times New Roman"/>
                <w:spacing w:val="1"/>
                <w:sz w:val="21"/>
                <w:szCs w:val="21"/>
              </w:rPr>
              <w:t>激光直口切割机</w:t>
            </w:r>
          </w:p>
        </w:tc>
        <w:tc>
          <w:tcPr>
            <w:tcW w:w="703" w:type="dxa"/>
            <w:vAlign w:val="center"/>
          </w:tcPr>
          <w:p w14:paraId="59BE38F9">
            <w:pPr>
              <w:jc w:val="center"/>
              <w:rPr>
                <w:rFonts w:ascii="Times New Roman"/>
                <w:sz w:val="21"/>
                <w:szCs w:val="21"/>
              </w:rPr>
            </w:pPr>
            <w:r>
              <w:rPr>
                <w:rFonts w:ascii="Times New Roman"/>
                <w:sz w:val="21"/>
                <w:szCs w:val="21"/>
              </w:rPr>
              <w:t>板材</w:t>
            </w:r>
          </w:p>
        </w:tc>
        <w:tc>
          <w:tcPr>
            <w:tcW w:w="1177" w:type="dxa"/>
            <w:vAlign w:val="center"/>
          </w:tcPr>
          <w:p w14:paraId="35C0DCA2">
            <w:pPr>
              <w:jc w:val="center"/>
              <w:rPr>
                <w:rFonts w:ascii="Times New Roman"/>
                <w:sz w:val="21"/>
                <w:szCs w:val="21"/>
              </w:rPr>
            </w:pPr>
            <w:r>
              <w:rPr>
                <w:rFonts w:ascii="Times New Roman" w:eastAsia="Times New Roman"/>
                <w:spacing w:val="-5"/>
                <w:sz w:val="21"/>
                <w:szCs w:val="21"/>
              </w:rPr>
              <w:t>1</w:t>
            </w:r>
            <w:r>
              <w:rPr>
                <w:rFonts w:ascii="Times New Roman" w:eastAsia="Times New Roman"/>
                <w:spacing w:val="-4"/>
                <w:sz w:val="21"/>
                <w:szCs w:val="21"/>
              </w:rPr>
              <w:t>.</w:t>
            </w:r>
            <w:r>
              <w:rPr>
                <w:rFonts w:ascii="Times New Roman"/>
                <w:spacing w:val="-4"/>
                <w:sz w:val="21"/>
                <w:szCs w:val="21"/>
              </w:rPr>
              <w:t>50</w:t>
            </w:r>
          </w:p>
        </w:tc>
        <w:tc>
          <w:tcPr>
            <w:tcW w:w="904" w:type="dxa"/>
            <w:vAlign w:val="center"/>
          </w:tcPr>
          <w:p w14:paraId="6AD4979A">
            <w:pPr>
              <w:jc w:val="center"/>
              <w:rPr>
                <w:rFonts w:ascii="Times New Roman"/>
                <w:sz w:val="21"/>
                <w:szCs w:val="21"/>
              </w:rPr>
            </w:pPr>
            <w:r>
              <w:rPr>
                <w:rFonts w:ascii="Times New Roman"/>
                <w:sz w:val="21"/>
                <w:szCs w:val="21"/>
              </w:rPr>
              <w:t>25000</w:t>
            </w:r>
          </w:p>
        </w:tc>
        <w:tc>
          <w:tcPr>
            <w:tcW w:w="939" w:type="dxa"/>
            <w:vAlign w:val="center"/>
          </w:tcPr>
          <w:p w14:paraId="6531B308">
            <w:pPr>
              <w:jc w:val="center"/>
              <w:rPr>
                <w:rFonts w:ascii="Times New Roman"/>
                <w:sz w:val="21"/>
                <w:szCs w:val="21"/>
              </w:rPr>
            </w:pPr>
            <w:r>
              <w:rPr>
                <w:rFonts w:ascii="Times New Roman"/>
                <w:sz w:val="21"/>
                <w:szCs w:val="21"/>
              </w:rPr>
              <w:t>37.5</w:t>
            </w:r>
          </w:p>
        </w:tc>
        <w:tc>
          <w:tcPr>
            <w:tcW w:w="913" w:type="dxa"/>
            <w:vAlign w:val="center"/>
          </w:tcPr>
          <w:p w14:paraId="4307E698">
            <w:pPr>
              <w:jc w:val="center"/>
              <w:rPr>
                <w:rFonts w:ascii="Times New Roman"/>
                <w:sz w:val="21"/>
                <w:szCs w:val="21"/>
              </w:rPr>
            </w:pPr>
            <w:r>
              <w:rPr>
                <w:rFonts w:hint="eastAsia" w:ascii="Times New Roman"/>
                <w:sz w:val="21"/>
                <w:szCs w:val="21"/>
              </w:rPr>
              <w:t>60</w:t>
            </w:r>
            <w:r>
              <w:rPr>
                <w:rFonts w:ascii="Times New Roman"/>
                <w:sz w:val="21"/>
                <w:szCs w:val="21"/>
              </w:rPr>
              <w:t>00</w:t>
            </w:r>
          </w:p>
        </w:tc>
        <w:tc>
          <w:tcPr>
            <w:tcW w:w="1067" w:type="dxa"/>
            <w:tcBorders>
              <w:right w:val="single" w:color="000000" w:sz="8" w:space="0"/>
            </w:tcBorders>
            <w:vAlign w:val="center"/>
          </w:tcPr>
          <w:p w14:paraId="1389F80C">
            <w:pPr>
              <w:jc w:val="center"/>
              <w:rPr>
                <w:rFonts w:ascii="Times New Roman"/>
                <w:sz w:val="21"/>
                <w:szCs w:val="21"/>
              </w:rPr>
            </w:pPr>
            <w:r>
              <w:rPr>
                <w:rFonts w:ascii="Times New Roman"/>
                <w:sz w:val="21"/>
                <w:szCs w:val="21"/>
              </w:rPr>
              <w:t>5.208</w:t>
            </w:r>
          </w:p>
        </w:tc>
      </w:tr>
      <w:tr w14:paraId="60202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jc w:val="center"/>
        </w:trPr>
        <w:tc>
          <w:tcPr>
            <w:tcW w:w="338" w:type="dxa"/>
            <w:vMerge w:val="continue"/>
            <w:vAlign w:val="center"/>
          </w:tcPr>
          <w:p w14:paraId="57AFDEC7">
            <w:pPr>
              <w:jc w:val="center"/>
              <w:rPr>
                <w:rFonts w:ascii="Times New Roman"/>
                <w:spacing w:val="-4"/>
                <w:sz w:val="21"/>
                <w:szCs w:val="21"/>
              </w:rPr>
            </w:pPr>
          </w:p>
        </w:tc>
        <w:tc>
          <w:tcPr>
            <w:tcW w:w="2336" w:type="dxa"/>
            <w:vAlign w:val="center"/>
          </w:tcPr>
          <w:p w14:paraId="79B017C4">
            <w:pPr>
              <w:jc w:val="center"/>
              <w:rPr>
                <w:rFonts w:ascii="Times New Roman"/>
                <w:sz w:val="21"/>
                <w:szCs w:val="21"/>
              </w:rPr>
            </w:pPr>
            <w:r>
              <w:rPr>
                <w:rFonts w:ascii="Times New Roman"/>
                <w:sz w:val="21"/>
                <w:szCs w:val="21"/>
              </w:rPr>
              <w:t>型材数控切割机、槽钢角钢数控切割机</w:t>
            </w:r>
          </w:p>
        </w:tc>
        <w:tc>
          <w:tcPr>
            <w:tcW w:w="703" w:type="dxa"/>
            <w:vAlign w:val="center"/>
          </w:tcPr>
          <w:p w14:paraId="274B5EFA">
            <w:pPr>
              <w:jc w:val="center"/>
              <w:rPr>
                <w:rFonts w:ascii="Times New Roman"/>
                <w:sz w:val="21"/>
                <w:szCs w:val="21"/>
              </w:rPr>
            </w:pPr>
            <w:r>
              <w:rPr>
                <w:rFonts w:ascii="Times New Roman"/>
                <w:sz w:val="21"/>
                <w:szCs w:val="21"/>
              </w:rPr>
              <w:t>型材</w:t>
            </w:r>
          </w:p>
        </w:tc>
        <w:tc>
          <w:tcPr>
            <w:tcW w:w="1177" w:type="dxa"/>
            <w:vAlign w:val="center"/>
          </w:tcPr>
          <w:p w14:paraId="69DC5C88">
            <w:pPr>
              <w:jc w:val="center"/>
              <w:rPr>
                <w:rFonts w:ascii="Times New Roman"/>
                <w:spacing w:val="-5"/>
                <w:sz w:val="21"/>
                <w:szCs w:val="21"/>
              </w:rPr>
            </w:pPr>
            <w:r>
              <w:rPr>
                <w:rFonts w:ascii="Times New Roman"/>
                <w:spacing w:val="-5"/>
                <w:sz w:val="21"/>
                <w:szCs w:val="21"/>
              </w:rPr>
              <w:t>1.50</w:t>
            </w:r>
          </w:p>
        </w:tc>
        <w:tc>
          <w:tcPr>
            <w:tcW w:w="904" w:type="dxa"/>
            <w:vAlign w:val="center"/>
          </w:tcPr>
          <w:p w14:paraId="4BD2C1CD">
            <w:pPr>
              <w:jc w:val="center"/>
              <w:rPr>
                <w:rFonts w:ascii="Times New Roman"/>
                <w:sz w:val="21"/>
                <w:szCs w:val="21"/>
              </w:rPr>
            </w:pPr>
            <w:r>
              <w:rPr>
                <w:rFonts w:ascii="Times New Roman"/>
                <w:sz w:val="21"/>
                <w:szCs w:val="21"/>
              </w:rPr>
              <w:t>45000</w:t>
            </w:r>
          </w:p>
        </w:tc>
        <w:tc>
          <w:tcPr>
            <w:tcW w:w="939" w:type="dxa"/>
            <w:vAlign w:val="center"/>
          </w:tcPr>
          <w:p w14:paraId="33F9CE46">
            <w:pPr>
              <w:jc w:val="center"/>
              <w:rPr>
                <w:rFonts w:ascii="Times New Roman"/>
                <w:sz w:val="21"/>
                <w:szCs w:val="21"/>
              </w:rPr>
            </w:pPr>
            <w:r>
              <w:rPr>
                <w:rFonts w:ascii="Times New Roman"/>
                <w:sz w:val="21"/>
                <w:szCs w:val="21"/>
              </w:rPr>
              <w:t>67.5</w:t>
            </w:r>
          </w:p>
        </w:tc>
        <w:tc>
          <w:tcPr>
            <w:tcW w:w="913" w:type="dxa"/>
            <w:vAlign w:val="center"/>
          </w:tcPr>
          <w:p w14:paraId="26A83219">
            <w:pPr>
              <w:jc w:val="center"/>
              <w:rPr>
                <w:rFonts w:ascii="Times New Roman"/>
                <w:sz w:val="21"/>
                <w:szCs w:val="21"/>
              </w:rPr>
            </w:pPr>
            <w:r>
              <w:rPr>
                <w:rFonts w:hint="eastAsia" w:ascii="Times New Roman"/>
                <w:sz w:val="21"/>
                <w:szCs w:val="21"/>
              </w:rPr>
              <w:t>60</w:t>
            </w:r>
            <w:r>
              <w:rPr>
                <w:rFonts w:ascii="Times New Roman"/>
                <w:sz w:val="21"/>
                <w:szCs w:val="21"/>
              </w:rPr>
              <w:t>00</w:t>
            </w:r>
          </w:p>
        </w:tc>
        <w:tc>
          <w:tcPr>
            <w:tcW w:w="1067" w:type="dxa"/>
            <w:tcBorders>
              <w:right w:val="single" w:color="000000" w:sz="8" w:space="0"/>
            </w:tcBorders>
            <w:vAlign w:val="center"/>
          </w:tcPr>
          <w:p w14:paraId="5F91EE7D">
            <w:pPr>
              <w:jc w:val="center"/>
              <w:rPr>
                <w:rFonts w:ascii="Times New Roman"/>
                <w:sz w:val="21"/>
                <w:szCs w:val="21"/>
              </w:rPr>
            </w:pPr>
            <w:r>
              <w:rPr>
                <w:rFonts w:ascii="Times New Roman"/>
                <w:sz w:val="21"/>
                <w:szCs w:val="21"/>
              </w:rPr>
              <w:t>9.375</w:t>
            </w:r>
          </w:p>
        </w:tc>
      </w:tr>
      <w:tr w14:paraId="6F9C3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2674" w:type="dxa"/>
            <w:gridSpan w:val="2"/>
            <w:vAlign w:val="center"/>
          </w:tcPr>
          <w:p w14:paraId="046C3BAB">
            <w:pPr>
              <w:jc w:val="center"/>
              <w:rPr>
                <w:rFonts w:ascii="Times New Roman"/>
                <w:sz w:val="21"/>
                <w:szCs w:val="21"/>
              </w:rPr>
            </w:pPr>
            <w:r>
              <w:rPr>
                <w:rFonts w:ascii="Times New Roman"/>
                <w:spacing w:val="-2"/>
                <w:sz w:val="21"/>
                <w:szCs w:val="21"/>
              </w:rPr>
              <w:t>合计</w:t>
            </w:r>
          </w:p>
        </w:tc>
        <w:tc>
          <w:tcPr>
            <w:tcW w:w="703" w:type="dxa"/>
            <w:vAlign w:val="center"/>
          </w:tcPr>
          <w:p w14:paraId="10F0C78F">
            <w:pPr>
              <w:jc w:val="center"/>
              <w:rPr>
                <w:rFonts w:ascii="Times New Roman" w:eastAsia="Times New Roman"/>
                <w:sz w:val="21"/>
                <w:szCs w:val="21"/>
              </w:rPr>
            </w:pPr>
            <w:r>
              <w:rPr>
                <w:rFonts w:ascii="Times New Roman" w:eastAsia="Times New Roman"/>
                <w:sz w:val="21"/>
                <w:szCs w:val="21"/>
              </w:rPr>
              <w:t>/</w:t>
            </w:r>
          </w:p>
        </w:tc>
        <w:tc>
          <w:tcPr>
            <w:tcW w:w="1177" w:type="dxa"/>
            <w:vAlign w:val="center"/>
          </w:tcPr>
          <w:p w14:paraId="00693C29">
            <w:pPr>
              <w:jc w:val="center"/>
              <w:rPr>
                <w:rFonts w:ascii="Times New Roman" w:eastAsia="Times New Roman"/>
                <w:sz w:val="21"/>
                <w:szCs w:val="21"/>
              </w:rPr>
            </w:pPr>
            <w:r>
              <w:rPr>
                <w:rFonts w:ascii="Times New Roman" w:eastAsia="Times New Roman"/>
                <w:sz w:val="21"/>
                <w:szCs w:val="21"/>
              </w:rPr>
              <w:t>/</w:t>
            </w:r>
          </w:p>
        </w:tc>
        <w:tc>
          <w:tcPr>
            <w:tcW w:w="904" w:type="dxa"/>
            <w:vAlign w:val="center"/>
          </w:tcPr>
          <w:p w14:paraId="3ECD4C51">
            <w:pPr>
              <w:jc w:val="center"/>
              <w:rPr>
                <w:rFonts w:ascii="Times New Roman"/>
                <w:sz w:val="21"/>
                <w:szCs w:val="21"/>
              </w:rPr>
            </w:pPr>
            <w:r>
              <w:rPr>
                <w:rFonts w:ascii="Times New Roman"/>
                <w:sz w:val="21"/>
                <w:szCs w:val="21"/>
              </w:rPr>
              <w:t>70000</w:t>
            </w:r>
          </w:p>
        </w:tc>
        <w:tc>
          <w:tcPr>
            <w:tcW w:w="939" w:type="dxa"/>
            <w:vAlign w:val="center"/>
          </w:tcPr>
          <w:p w14:paraId="52B371E2">
            <w:pPr>
              <w:jc w:val="center"/>
              <w:rPr>
                <w:rFonts w:ascii="Times New Roman"/>
                <w:sz w:val="21"/>
                <w:szCs w:val="21"/>
              </w:rPr>
            </w:pPr>
            <w:r>
              <w:rPr>
                <w:rFonts w:ascii="Times New Roman"/>
                <w:sz w:val="21"/>
                <w:szCs w:val="21"/>
              </w:rPr>
              <w:t>105</w:t>
            </w:r>
          </w:p>
        </w:tc>
        <w:tc>
          <w:tcPr>
            <w:tcW w:w="913" w:type="dxa"/>
            <w:vAlign w:val="center"/>
          </w:tcPr>
          <w:p w14:paraId="1C59E908">
            <w:pPr>
              <w:jc w:val="center"/>
              <w:rPr>
                <w:rFonts w:ascii="Times New Roman" w:eastAsia="Times New Roman"/>
                <w:sz w:val="21"/>
                <w:szCs w:val="21"/>
              </w:rPr>
            </w:pPr>
            <w:r>
              <w:rPr>
                <w:rFonts w:ascii="Times New Roman" w:eastAsia="Times New Roman"/>
                <w:sz w:val="21"/>
                <w:szCs w:val="21"/>
              </w:rPr>
              <w:t>/</w:t>
            </w:r>
          </w:p>
        </w:tc>
        <w:tc>
          <w:tcPr>
            <w:tcW w:w="1067" w:type="dxa"/>
            <w:tcBorders>
              <w:right w:val="single" w:color="000000" w:sz="8" w:space="0"/>
            </w:tcBorders>
            <w:vAlign w:val="center"/>
          </w:tcPr>
          <w:p w14:paraId="71FD7674">
            <w:pPr>
              <w:jc w:val="center"/>
              <w:rPr>
                <w:rFonts w:ascii="Times New Roman"/>
                <w:sz w:val="21"/>
                <w:szCs w:val="21"/>
              </w:rPr>
            </w:pPr>
            <w:r>
              <w:rPr>
                <w:rFonts w:ascii="Times New Roman"/>
                <w:sz w:val="21"/>
                <w:szCs w:val="21"/>
              </w:rPr>
              <w:t>14.583</w:t>
            </w:r>
          </w:p>
        </w:tc>
      </w:tr>
    </w:tbl>
    <w:p w14:paraId="34DCFB0D">
      <w:pPr>
        <w:spacing w:before="10" w:line="360" w:lineRule="auto"/>
        <w:ind w:firstLine="480" w:firstLineChars="200"/>
        <w:rPr>
          <w:rFonts w:ascii="Times New Roman"/>
          <w:sz w:val="24"/>
          <w:szCs w:val="24"/>
        </w:rPr>
      </w:pPr>
      <w:r>
        <w:rPr>
          <w:rFonts w:ascii="Times New Roman"/>
          <w:sz w:val="24"/>
          <w:szCs w:val="24"/>
        </w:rPr>
        <w:t>项目在</w:t>
      </w:r>
      <w:r>
        <w:rPr>
          <w:rFonts w:ascii="Times New Roman"/>
          <w:kern w:val="0"/>
          <w:sz w:val="24"/>
          <w:szCs w:val="24"/>
        </w:rPr>
        <w:t>切割机设备下方设置吸风口，</w:t>
      </w:r>
      <w:r>
        <w:rPr>
          <w:rFonts w:ascii="Times New Roman"/>
          <w:sz w:val="24"/>
          <w:szCs w:val="24"/>
        </w:rPr>
        <w:t>下料切割工序产生的烟尘经布袋除尘器处理后通过1根20m高排气筒（DA001）排放，风机设计风量为20000m</w:t>
      </w:r>
      <w:r>
        <w:rPr>
          <w:rFonts w:ascii="Times New Roman"/>
          <w:sz w:val="24"/>
          <w:szCs w:val="24"/>
          <w:vertAlign w:val="superscript"/>
        </w:rPr>
        <w:t>3</w:t>
      </w:r>
      <w:r>
        <w:rPr>
          <w:rFonts w:ascii="Times New Roman"/>
          <w:sz w:val="24"/>
          <w:szCs w:val="24"/>
        </w:rPr>
        <w:t>/h，集气装置收集效率为95%，</w:t>
      </w:r>
      <w:r>
        <w:rPr>
          <w:rFonts w:ascii="Times New Roman"/>
        </w:rPr>
        <w:t>布袋除尘器</w:t>
      </w:r>
      <w:r>
        <w:rPr>
          <w:rFonts w:ascii="Times New Roman"/>
          <w:sz w:val="24"/>
          <w:szCs w:val="24"/>
        </w:rPr>
        <w:t>处理除尘效率为99%，则下料切割工序污染物产生及排放情况如下：</w:t>
      </w:r>
    </w:p>
    <w:p w14:paraId="0A5CE82C">
      <w:pPr>
        <w:spacing w:line="360" w:lineRule="auto"/>
        <w:jc w:val="center"/>
        <w:rPr>
          <w:rFonts w:ascii="Times New Roman"/>
          <w:b/>
          <w:sz w:val="24"/>
          <w:szCs w:val="24"/>
        </w:rPr>
      </w:pPr>
      <w:r>
        <w:rPr>
          <w:rFonts w:ascii="Times New Roman"/>
          <w:b/>
          <w:sz w:val="24"/>
          <w:szCs w:val="24"/>
        </w:rPr>
        <w:t>表3.7-2  下料切割工序污染物产生及排放情况</w:t>
      </w:r>
    </w:p>
    <w:tbl>
      <w:tblPr>
        <w:tblStyle w:val="84"/>
        <w:tblW w:w="8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0"/>
        <w:gridCol w:w="675"/>
        <w:gridCol w:w="940"/>
        <w:gridCol w:w="929"/>
        <w:gridCol w:w="929"/>
        <w:gridCol w:w="1016"/>
        <w:gridCol w:w="931"/>
        <w:gridCol w:w="1016"/>
        <w:gridCol w:w="824"/>
        <w:gridCol w:w="900"/>
      </w:tblGrid>
      <w:tr w14:paraId="6661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9" w:hRule="exact"/>
          <w:jc w:val="center"/>
        </w:trPr>
        <w:tc>
          <w:tcPr>
            <w:tcW w:w="750" w:type="dxa"/>
            <w:shd w:val="clear" w:color="auto" w:fill="auto"/>
            <w:vAlign w:val="center"/>
          </w:tcPr>
          <w:p w14:paraId="31A39CC0">
            <w:pPr>
              <w:jc w:val="center"/>
              <w:rPr>
                <w:rFonts w:ascii="Times New Roman"/>
                <w:b/>
                <w:bCs/>
                <w:sz w:val="21"/>
                <w:szCs w:val="21"/>
              </w:rPr>
            </w:pPr>
            <w:r>
              <w:rPr>
                <w:rFonts w:ascii="Times New Roman"/>
                <w:b/>
                <w:bCs/>
                <w:sz w:val="21"/>
                <w:szCs w:val="21"/>
              </w:rPr>
              <w:t>污染源</w:t>
            </w:r>
          </w:p>
        </w:tc>
        <w:tc>
          <w:tcPr>
            <w:tcW w:w="675" w:type="dxa"/>
            <w:shd w:val="clear" w:color="auto" w:fill="auto"/>
            <w:vAlign w:val="center"/>
          </w:tcPr>
          <w:p w14:paraId="183A87DA">
            <w:pPr>
              <w:jc w:val="center"/>
              <w:rPr>
                <w:rFonts w:ascii="Times New Roman"/>
                <w:b/>
                <w:bCs/>
                <w:sz w:val="21"/>
                <w:szCs w:val="21"/>
              </w:rPr>
            </w:pPr>
            <w:r>
              <w:rPr>
                <w:rFonts w:ascii="Times New Roman"/>
                <w:b/>
                <w:bCs/>
                <w:sz w:val="21"/>
                <w:szCs w:val="21"/>
              </w:rPr>
              <w:t>污染物</w:t>
            </w:r>
          </w:p>
        </w:tc>
        <w:tc>
          <w:tcPr>
            <w:tcW w:w="940" w:type="dxa"/>
            <w:shd w:val="clear" w:color="auto" w:fill="auto"/>
            <w:vAlign w:val="center"/>
          </w:tcPr>
          <w:p w14:paraId="127A7B4D">
            <w:pPr>
              <w:jc w:val="center"/>
              <w:rPr>
                <w:rFonts w:ascii="Times New Roman"/>
                <w:b/>
                <w:bCs/>
                <w:sz w:val="21"/>
                <w:szCs w:val="21"/>
              </w:rPr>
            </w:pPr>
            <w:r>
              <w:rPr>
                <w:rFonts w:ascii="Times New Roman"/>
                <w:b/>
                <w:bCs/>
                <w:sz w:val="21"/>
                <w:szCs w:val="21"/>
              </w:rPr>
              <w:t>收集效率（%）</w:t>
            </w:r>
          </w:p>
        </w:tc>
        <w:tc>
          <w:tcPr>
            <w:tcW w:w="929" w:type="dxa"/>
            <w:shd w:val="clear" w:color="auto" w:fill="auto"/>
            <w:vAlign w:val="center"/>
          </w:tcPr>
          <w:p w14:paraId="387D393B">
            <w:pPr>
              <w:jc w:val="center"/>
              <w:rPr>
                <w:rFonts w:ascii="Times New Roman"/>
                <w:b/>
                <w:bCs/>
                <w:sz w:val="21"/>
                <w:szCs w:val="21"/>
              </w:rPr>
            </w:pPr>
            <w:r>
              <w:rPr>
                <w:rFonts w:ascii="Times New Roman"/>
                <w:b/>
                <w:bCs/>
                <w:sz w:val="21"/>
                <w:szCs w:val="21"/>
              </w:rPr>
              <w:t>产生量</w:t>
            </w:r>
          </w:p>
          <w:p w14:paraId="4636E5B6">
            <w:pPr>
              <w:jc w:val="center"/>
              <w:rPr>
                <w:rFonts w:ascii="Times New Roman"/>
                <w:b/>
                <w:bCs/>
                <w:sz w:val="21"/>
                <w:szCs w:val="21"/>
                <w:lang w:bidi="zh-TW"/>
              </w:rPr>
            </w:pPr>
            <w:r>
              <w:rPr>
                <w:rFonts w:ascii="Times New Roman"/>
                <w:b/>
                <w:bCs/>
                <w:sz w:val="21"/>
                <w:szCs w:val="21"/>
                <w:lang w:eastAsia="en-US" w:bidi="en-US"/>
              </w:rPr>
              <w:t>(t/a)</w:t>
            </w:r>
          </w:p>
        </w:tc>
        <w:tc>
          <w:tcPr>
            <w:tcW w:w="929" w:type="dxa"/>
            <w:shd w:val="clear" w:color="auto" w:fill="auto"/>
            <w:vAlign w:val="center"/>
          </w:tcPr>
          <w:p w14:paraId="4BD430A5">
            <w:pPr>
              <w:jc w:val="center"/>
              <w:rPr>
                <w:rFonts w:ascii="Times New Roman"/>
                <w:b/>
                <w:bCs/>
                <w:sz w:val="21"/>
                <w:szCs w:val="21"/>
                <w:lang w:val="zh-TW" w:bidi="zh-TW"/>
              </w:rPr>
            </w:pPr>
            <w:r>
              <w:rPr>
                <w:rFonts w:ascii="Times New Roman"/>
                <w:b/>
                <w:bCs/>
                <w:sz w:val="21"/>
                <w:szCs w:val="21"/>
                <w:lang w:bidi="en-US"/>
              </w:rPr>
              <w:t>产生速率（kg/h）</w:t>
            </w:r>
          </w:p>
        </w:tc>
        <w:tc>
          <w:tcPr>
            <w:tcW w:w="1016" w:type="dxa"/>
            <w:shd w:val="clear" w:color="auto" w:fill="auto"/>
            <w:vAlign w:val="center"/>
          </w:tcPr>
          <w:p w14:paraId="4029CE29">
            <w:pPr>
              <w:jc w:val="center"/>
              <w:rPr>
                <w:rFonts w:ascii="Times New Roman"/>
                <w:b/>
                <w:bCs/>
                <w:sz w:val="21"/>
                <w:szCs w:val="21"/>
              </w:rPr>
            </w:pPr>
            <w:r>
              <w:rPr>
                <w:rFonts w:ascii="Times New Roman"/>
                <w:b/>
                <w:bCs/>
                <w:sz w:val="21"/>
                <w:szCs w:val="21"/>
              </w:rPr>
              <w:t>产生浓度</w:t>
            </w:r>
          </w:p>
          <w:p w14:paraId="76A408BA">
            <w:pPr>
              <w:jc w:val="center"/>
              <w:rPr>
                <w:rFonts w:ascii="Times New Roman"/>
                <w:b/>
                <w:bCs/>
                <w:sz w:val="21"/>
                <w:szCs w:val="21"/>
                <w:lang w:val="zh-TW" w:eastAsia="zh-TW" w:bidi="zh-TW"/>
              </w:rPr>
            </w:pPr>
            <w:r>
              <w:rPr>
                <w:rFonts w:ascii="Times New Roman"/>
                <w:b/>
                <w:bCs/>
                <w:sz w:val="21"/>
                <w:szCs w:val="21"/>
              </w:rPr>
              <w:t>(</w:t>
            </w:r>
            <w:r>
              <w:rPr>
                <w:rFonts w:ascii="Times New Roman"/>
                <w:b/>
                <w:bCs/>
                <w:sz w:val="21"/>
                <w:szCs w:val="21"/>
                <w:lang w:eastAsia="en-US" w:bidi="en-US"/>
              </w:rPr>
              <w:t>mg/m</w:t>
            </w:r>
            <w:r>
              <w:rPr>
                <w:rFonts w:ascii="Times New Roman"/>
                <w:b/>
                <w:bCs/>
                <w:sz w:val="21"/>
                <w:szCs w:val="21"/>
                <w:vertAlign w:val="superscript"/>
                <w:lang w:bidi="en-US"/>
              </w:rPr>
              <w:t>3</w:t>
            </w:r>
            <w:r>
              <w:rPr>
                <w:rFonts w:ascii="Times New Roman"/>
                <w:b/>
                <w:bCs/>
                <w:sz w:val="21"/>
                <w:szCs w:val="21"/>
              </w:rPr>
              <w:t>)</w:t>
            </w:r>
          </w:p>
        </w:tc>
        <w:tc>
          <w:tcPr>
            <w:tcW w:w="931" w:type="dxa"/>
            <w:shd w:val="clear" w:color="auto" w:fill="auto"/>
            <w:vAlign w:val="center"/>
          </w:tcPr>
          <w:p w14:paraId="751CD32C">
            <w:pPr>
              <w:jc w:val="center"/>
              <w:rPr>
                <w:rFonts w:ascii="Times New Roman"/>
                <w:b/>
                <w:bCs/>
                <w:sz w:val="21"/>
                <w:szCs w:val="21"/>
                <w:lang w:bidi="zh-TW"/>
              </w:rPr>
            </w:pPr>
            <w:r>
              <w:rPr>
                <w:rFonts w:ascii="Times New Roman"/>
                <w:b/>
                <w:bCs/>
                <w:sz w:val="21"/>
                <w:szCs w:val="21"/>
              </w:rPr>
              <w:t>废气量（m</w:t>
            </w:r>
            <w:r>
              <w:rPr>
                <w:rFonts w:ascii="Times New Roman"/>
                <w:b/>
                <w:bCs/>
                <w:sz w:val="21"/>
                <w:szCs w:val="21"/>
                <w:vertAlign w:val="superscript"/>
              </w:rPr>
              <w:t>3</w:t>
            </w:r>
            <w:r>
              <w:rPr>
                <w:rFonts w:ascii="Times New Roman"/>
                <w:b/>
                <w:bCs/>
                <w:sz w:val="21"/>
                <w:szCs w:val="21"/>
              </w:rPr>
              <w:t>/h）</w:t>
            </w:r>
          </w:p>
        </w:tc>
        <w:tc>
          <w:tcPr>
            <w:tcW w:w="1016" w:type="dxa"/>
            <w:shd w:val="clear" w:color="auto" w:fill="auto"/>
            <w:vAlign w:val="center"/>
          </w:tcPr>
          <w:p w14:paraId="22085E9B">
            <w:pPr>
              <w:jc w:val="center"/>
              <w:rPr>
                <w:rFonts w:ascii="Times New Roman"/>
                <w:b/>
                <w:bCs/>
                <w:sz w:val="21"/>
                <w:szCs w:val="21"/>
              </w:rPr>
            </w:pPr>
            <w:r>
              <w:rPr>
                <w:rFonts w:ascii="Times New Roman"/>
                <w:b/>
                <w:bCs/>
                <w:sz w:val="21"/>
                <w:szCs w:val="21"/>
              </w:rPr>
              <w:t>排放浓度</w:t>
            </w:r>
          </w:p>
          <w:p w14:paraId="5110CC82">
            <w:pPr>
              <w:jc w:val="center"/>
              <w:rPr>
                <w:rFonts w:ascii="Times New Roman"/>
                <w:b/>
                <w:bCs/>
                <w:sz w:val="21"/>
                <w:szCs w:val="21"/>
              </w:rPr>
            </w:pPr>
            <w:r>
              <w:rPr>
                <w:rFonts w:ascii="Times New Roman"/>
                <w:b/>
                <w:bCs/>
                <w:sz w:val="21"/>
                <w:szCs w:val="21"/>
              </w:rPr>
              <w:t>(</w:t>
            </w:r>
            <w:r>
              <w:rPr>
                <w:rFonts w:ascii="Times New Roman"/>
                <w:b/>
                <w:bCs/>
                <w:sz w:val="21"/>
                <w:szCs w:val="21"/>
                <w:lang w:eastAsia="en-US" w:bidi="en-US"/>
              </w:rPr>
              <w:t>mg/m</w:t>
            </w:r>
            <w:r>
              <w:rPr>
                <w:rFonts w:ascii="Times New Roman"/>
                <w:b/>
                <w:bCs/>
                <w:sz w:val="21"/>
                <w:szCs w:val="21"/>
                <w:vertAlign w:val="superscript"/>
                <w:lang w:bidi="en-US"/>
              </w:rPr>
              <w:t>3</w:t>
            </w:r>
            <w:r>
              <w:rPr>
                <w:rFonts w:ascii="Times New Roman"/>
                <w:b/>
                <w:bCs/>
                <w:sz w:val="21"/>
                <w:szCs w:val="21"/>
              </w:rPr>
              <w:t>)</w:t>
            </w:r>
          </w:p>
        </w:tc>
        <w:tc>
          <w:tcPr>
            <w:tcW w:w="824" w:type="dxa"/>
            <w:shd w:val="clear" w:color="auto" w:fill="auto"/>
            <w:vAlign w:val="center"/>
          </w:tcPr>
          <w:p w14:paraId="2B85420A">
            <w:pPr>
              <w:jc w:val="center"/>
              <w:rPr>
                <w:rFonts w:ascii="Times New Roman"/>
                <w:b/>
                <w:bCs/>
                <w:sz w:val="21"/>
                <w:szCs w:val="21"/>
              </w:rPr>
            </w:pPr>
            <w:r>
              <w:rPr>
                <w:rFonts w:ascii="Times New Roman"/>
                <w:b/>
                <w:bCs/>
                <w:sz w:val="21"/>
                <w:szCs w:val="21"/>
              </w:rPr>
              <w:t>排放量</w:t>
            </w:r>
          </w:p>
          <w:p w14:paraId="5AC13232">
            <w:pPr>
              <w:jc w:val="center"/>
              <w:rPr>
                <w:rFonts w:ascii="Times New Roman"/>
                <w:b/>
                <w:bCs/>
                <w:sz w:val="21"/>
                <w:szCs w:val="21"/>
              </w:rPr>
            </w:pPr>
            <w:r>
              <w:rPr>
                <w:rFonts w:ascii="Times New Roman"/>
                <w:b/>
                <w:bCs/>
                <w:sz w:val="21"/>
                <w:szCs w:val="21"/>
                <w:lang w:eastAsia="en-US" w:bidi="en-US"/>
              </w:rPr>
              <w:t>(t/a)</w:t>
            </w:r>
          </w:p>
        </w:tc>
        <w:tc>
          <w:tcPr>
            <w:tcW w:w="900" w:type="dxa"/>
            <w:shd w:val="clear" w:color="auto" w:fill="auto"/>
            <w:vAlign w:val="center"/>
          </w:tcPr>
          <w:p w14:paraId="6D61D13C">
            <w:pPr>
              <w:jc w:val="center"/>
              <w:rPr>
                <w:rFonts w:ascii="Times New Roman"/>
                <w:b/>
                <w:bCs/>
                <w:sz w:val="21"/>
                <w:szCs w:val="21"/>
                <w:lang w:bidi="en-US"/>
              </w:rPr>
            </w:pPr>
            <w:r>
              <w:rPr>
                <w:rFonts w:ascii="Times New Roman"/>
                <w:b/>
                <w:bCs/>
                <w:sz w:val="21"/>
                <w:szCs w:val="21"/>
                <w:lang w:bidi="en-US"/>
              </w:rPr>
              <w:t>排放速率（kg/h）</w:t>
            </w:r>
          </w:p>
        </w:tc>
      </w:tr>
      <w:tr w14:paraId="0C3F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16" w:hRule="exact"/>
          <w:jc w:val="center"/>
        </w:trPr>
        <w:tc>
          <w:tcPr>
            <w:tcW w:w="750" w:type="dxa"/>
            <w:shd w:val="clear" w:color="auto" w:fill="auto"/>
            <w:vAlign w:val="center"/>
          </w:tcPr>
          <w:p w14:paraId="6BF72607">
            <w:pPr>
              <w:jc w:val="center"/>
              <w:rPr>
                <w:rFonts w:ascii="Times New Roman"/>
                <w:sz w:val="21"/>
                <w:szCs w:val="21"/>
              </w:rPr>
            </w:pPr>
            <w:r>
              <w:rPr>
                <w:rFonts w:ascii="Times New Roman"/>
                <w:sz w:val="21"/>
                <w:szCs w:val="21"/>
              </w:rPr>
              <w:t>下料</w:t>
            </w:r>
          </w:p>
        </w:tc>
        <w:tc>
          <w:tcPr>
            <w:tcW w:w="675" w:type="dxa"/>
            <w:shd w:val="clear" w:color="auto" w:fill="auto"/>
            <w:vAlign w:val="center"/>
          </w:tcPr>
          <w:p w14:paraId="70C90011">
            <w:pPr>
              <w:jc w:val="center"/>
              <w:rPr>
                <w:rFonts w:ascii="Times New Roman"/>
                <w:sz w:val="21"/>
                <w:szCs w:val="21"/>
              </w:rPr>
            </w:pPr>
            <w:r>
              <w:rPr>
                <w:rFonts w:ascii="Times New Roman"/>
                <w:bCs/>
                <w:sz w:val="21"/>
                <w:szCs w:val="21"/>
              </w:rPr>
              <w:t>颗粒物</w:t>
            </w:r>
          </w:p>
        </w:tc>
        <w:tc>
          <w:tcPr>
            <w:tcW w:w="940" w:type="dxa"/>
            <w:shd w:val="clear" w:color="auto" w:fill="auto"/>
            <w:vAlign w:val="center"/>
          </w:tcPr>
          <w:p w14:paraId="12D15B9B">
            <w:pPr>
              <w:jc w:val="center"/>
              <w:rPr>
                <w:rFonts w:ascii="Times New Roman"/>
                <w:sz w:val="21"/>
                <w:szCs w:val="21"/>
              </w:rPr>
            </w:pPr>
            <w:r>
              <w:rPr>
                <w:rFonts w:ascii="Times New Roman"/>
                <w:sz w:val="21"/>
                <w:szCs w:val="21"/>
              </w:rPr>
              <w:t>95</w:t>
            </w:r>
          </w:p>
        </w:tc>
        <w:tc>
          <w:tcPr>
            <w:tcW w:w="929" w:type="dxa"/>
            <w:shd w:val="clear" w:color="auto" w:fill="auto"/>
            <w:vAlign w:val="center"/>
          </w:tcPr>
          <w:p w14:paraId="312B6CAF">
            <w:pPr>
              <w:jc w:val="center"/>
              <w:rPr>
                <w:rFonts w:ascii="Times New Roman"/>
                <w:sz w:val="21"/>
                <w:szCs w:val="21"/>
              </w:rPr>
            </w:pPr>
            <w:r>
              <w:rPr>
                <w:rFonts w:ascii="Times New Roman"/>
                <w:sz w:val="21"/>
                <w:szCs w:val="21"/>
              </w:rPr>
              <w:t>99.75</w:t>
            </w:r>
          </w:p>
        </w:tc>
        <w:tc>
          <w:tcPr>
            <w:tcW w:w="929" w:type="dxa"/>
            <w:shd w:val="clear" w:color="auto" w:fill="auto"/>
            <w:vAlign w:val="center"/>
          </w:tcPr>
          <w:p w14:paraId="2493DE9E">
            <w:pPr>
              <w:jc w:val="center"/>
              <w:rPr>
                <w:rFonts w:ascii="Times New Roman"/>
                <w:sz w:val="21"/>
                <w:szCs w:val="21"/>
              </w:rPr>
            </w:pPr>
            <w:r>
              <w:rPr>
                <w:rFonts w:ascii="Times New Roman"/>
                <w:sz w:val="21"/>
                <w:szCs w:val="21"/>
              </w:rPr>
              <w:t>13.854</w:t>
            </w:r>
          </w:p>
        </w:tc>
        <w:tc>
          <w:tcPr>
            <w:tcW w:w="1016" w:type="dxa"/>
            <w:shd w:val="clear" w:color="auto" w:fill="auto"/>
            <w:vAlign w:val="center"/>
          </w:tcPr>
          <w:p w14:paraId="43E04E2E">
            <w:pPr>
              <w:jc w:val="center"/>
              <w:rPr>
                <w:rFonts w:ascii="Times New Roman"/>
                <w:sz w:val="21"/>
                <w:szCs w:val="21"/>
              </w:rPr>
            </w:pPr>
            <w:r>
              <w:rPr>
                <w:rFonts w:ascii="Times New Roman"/>
                <w:sz w:val="21"/>
                <w:szCs w:val="21"/>
              </w:rPr>
              <w:t>692.708</w:t>
            </w:r>
          </w:p>
        </w:tc>
        <w:tc>
          <w:tcPr>
            <w:tcW w:w="931" w:type="dxa"/>
            <w:shd w:val="clear" w:color="auto" w:fill="auto"/>
            <w:vAlign w:val="center"/>
          </w:tcPr>
          <w:p w14:paraId="43419F6C">
            <w:pPr>
              <w:jc w:val="center"/>
              <w:rPr>
                <w:rFonts w:ascii="Times New Roman"/>
                <w:sz w:val="21"/>
                <w:szCs w:val="21"/>
              </w:rPr>
            </w:pPr>
            <w:r>
              <w:rPr>
                <w:rFonts w:ascii="Times New Roman"/>
                <w:sz w:val="21"/>
                <w:szCs w:val="21"/>
              </w:rPr>
              <w:t>20000</w:t>
            </w:r>
          </w:p>
        </w:tc>
        <w:tc>
          <w:tcPr>
            <w:tcW w:w="1016" w:type="dxa"/>
            <w:shd w:val="clear" w:color="auto" w:fill="auto"/>
            <w:vAlign w:val="center"/>
          </w:tcPr>
          <w:p w14:paraId="67209DA7">
            <w:pPr>
              <w:jc w:val="center"/>
              <w:rPr>
                <w:rFonts w:ascii="Times New Roman"/>
                <w:sz w:val="21"/>
                <w:szCs w:val="21"/>
                <w:lang w:bidi="zh-TW"/>
              </w:rPr>
            </w:pPr>
            <w:r>
              <w:rPr>
                <w:rFonts w:hint="eastAsia" w:ascii="Times New Roman"/>
                <w:sz w:val="21"/>
                <w:szCs w:val="21"/>
                <w:lang w:bidi="zh-TW"/>
              </w:rPr>
              <w:t>6.927</w:t>
            </w:r>
          </w:p>
        </w:tc>
        <w:tc>
          <w:tcPr>
            <w:tcW w:w="824" w:type="dxa"/>
            <w:shd w:val="clear" w:color="auto" w:fill="auto"/>
            <w:vAlign w:val="center"/>
          </w:tcPr>
          <w:p w14:paraId="684ADC4D">
            <w:pPr>
              <w:jc w:val="center"/>
              <w:rPr>
                <w:rFonts w:ascii="Times New Roman"/>
                <w:sz w:val="21"/>
                <w:szCs w:val="21"/>
                <w:lang w:bidi="zh-TW"/>
              </w:rPr>
            </w:pPr>
            <w:r>
              <w:rPr>
                <w:rFonts w:hint="eastAsia" w:ascii="Times New Roman"/>
                <w:sz w:val="21"/>
                <w:szCs w:val="21"/>
                <w:lang w:bidi="zh-TW"/>
              </w:rPr>
              <w:t>1.000</w:t>
            </w:r>
          </w:p>
        </w:tc>
        <w:tc>
          <w:tcPr>
            <w:tcW w:w="900" w:type="dxa"/>
            <w:shd w:val="clear" w:color="auto" w:fill="auto"/>
            <w:vAlign w:val="center"/>
          </w:tcPr>
          <w:p w14:paraId="2F152D6E">
            <w:pPr>
              <w:jc w:val="center"/>
              <w:rPr>
                <w:rFonts w:ascii="Times New Roman"/>
                <w:sz w:val="21"/>
                <w:szCs w:val="21"/>
              </w:rPr>
            </w:pPr>
            <w:r>
              <w:rPr>
                <w:rFonts w:ascii="Times New Roman"/>
                <w:sz w:val="21"/>
                <w:szCs w:val="21"/>
              </w:rPr>
              <w:t>0.1</w:t>
            </w:r>
            <w:r>
              <w:rPr>
                <w:rFonts w:hint="eastAsia" w:ascii="Times New Roman"/>
                <w:sz w:val="21"/>
                <w:szCs w:val="21"/>
              </w:rPr>
              <w:t>38</w:t>
            </w:r>
          </w:p>
        </w:tc>
      </w:tr>
    </w:tbl>
    <w:p w14:paraId="78DA103D">
      <w:pPr>
        <w:spacing w:line="360" w:lineRule="auto"/>
        <w:ind w:firstLine="480" w:firstLineChars="200"/>
        <w:rPr>
          <w:rFonts w:ascii="Times New Roman"/>
          <w:b/>
          <w:sz w:val="24"/>
          <w:szCs w:val="24"/>
        </w:rPr>
      </w:pPr>
      <w:r>
        <w:rPr>
          <w:rFonts w:ascii="Times New Roman"/>
          <w:sz w:val="24"/>
          <w:szCs w:val="24"/>
        </w:rPr>
        <w:t>经处理后，废气中颗粒物排放速率为0.</w:t>
      </w:r>
      <w:r>
        <w:rPr>
          <w:rFonts w:hint="eastAsia" w:ascii="Times New Roman"/>
          <w:sz w:val="24"/>
          <w:szCs w:val="24"/>
        </w:rPr>
        <w:t>138</w:t>
      </w:r>
      <w:r>
        <w:rPr>
          <w:rFonts w:ascii="Times New Roman"/>
          <w:sz w:val="24"/>
          <w:szCs w:val="24"/>
        </w:rPr>
        <w:t>kg/h（</w:t>
      </w:r>
      <w:r>
        <w:rPr>
          <w:rFonts w:hint="eastAsia" w:ascii="Times New Roman"/>
          <w:sz w:val="24"/>
          <w:szCs w:val="24"/>
        </w:rPr>
        <w:t>1.000</w:t>
      </w:r>
      <w:r>
        <w:rPr>
          <w:rFonts w:ascii="Times New Roman"/>
          <w:sz w:val="24"/>
          <w:szCs w:val="24"/>
        </w:rPr>
        <w:t>t/a），排放浓度为6.</w:t>
      </w:r>
      <w:r>
        <w:rPr>
          <w:rFonts w:hint="eastAsia" w:ascii="Times New Roman"/>
          <w:sz w:val="24"/>
          <w:szCs w:val="24"/>
        </w:rPr>
        <w:t>927</w:t>
      </w:r>
      <w:r>
        <w:rPr>
          <w:rFonts w:ascii="Times New Roman"/>
          <w:sz w:val="24"/>
          <w:szCs w:val="24"/>
        </w:rPr>
        <w:t>mg/m</w:t>
      </w:r>
      <w:r>
        <w:rPr>
          <w:rFonts w:ascii="Times New Roman"/>
          <w:sz w:val="24"/>
          <w:szCs w:val="24"/>
          <w:vertAlign w:val="superscript"/>
        </w:rPr>
        <w:t>3</w:t>
      </w:r>
      <w:r>
        <w:rPr>
          <w:rFonts w:ascii="Times New Roman"/>
          <w:sz w:val="24"/>
          <w:szCs w:val="24"/>
        </w:rPr>
        <w:t>，颗粒物排放满足《钢铁工业大气污染物超低排放标准》（DB13/2169-2018）表1轧钢“热处理炉、拉矫、精整、抛丸、修磨、焊接机及其他生产设施”排放限值要求。</w:t>
      </w:r>
    </w:p>
    <w:p w14:paraId="099F2CCC">
      <w:pPr>
        <w:spacing w:line="360" w:lineRule="auto"/>
        <w:ind w:firstLine="482" w:firstLineChars="200"/>
        <w:rPr>
          <w:rFonts w:ascii="Times New Roman"/>
          <w:spacing w:val="15"/>
          <w:sz w:val="24"/>
          <w:szCs w:val="24"/>
        </w:rPr>
      </w:pPr>
      <w:r>
        <w:rPr>
          <w:rFonts w:ascii="Times New Roman"/>
          <w:b/>
          <w:sz w:val="24"/>
          <w:szCs w:val="24"/>
        </w:rPr>
        <w:t>无组织废气：</w:t>
      </w:r>
      <w:r>
        <w:rPr>
          <w:rFonts w:ascii="Times New Roman"/>
          <w:bCs/>
          <w:sz w:val="24"/>
          <w:szCs w:val="24"/>
        </w:rPr>
        <w:t>下料工序</w:t>
      </w:r>
      <w:r>
        <w:rPr>
          <w:rFonts w:ascii="Times New Roman"/>
          <w:sz w:val="24"/>
          <w:szCs w:val="24"/>
        </w:rPr>
        <w:t>未被收集的5%无组织颗粒物产生量、产生速率分别为</w:t>
      </w:r>
      <w:r>
        <w:rPr>
          <w:rFonts w:hint="eastAsia" w:ascii="Times New Roman"/>
          <w:sz w:val="24"/>
          <w:szCs w:val="24"/>
        </w:rPr>
        <w:t>5.250</w:t>
      </w:r>
      <w:r>
        <w:rPr>
          <w:rFonts w:ascii="Times New Roman"/>
          <w:sz w:val="24"/>
          <w:szCs w:val="24"/>
        </w:rPr>
        <w:t>t/a、0.</w:t>
      </w:r>
      <w:r>
        <w:rPr>
          <w:rFonts w:hint="eastAsia" w:ascii="Times New Roman"/>
          <w:sz w:val="24"/>
          <w:szCs w:val="24"/>
        </w:rPr>
        <w:t>729</w:t>
      </w:r>
      <w:r>
        <w:rPr>
          <w:rFonts w:ascii="Times New Roman"/>
          <w:sz w:val="24"/>
          <w:szCs w:val="24"/>
        </w:rPr>
        <w:t>kg/h，采取密闭车间等措施。</w:t>
      </w:r>
    </w:p>
    <w:p w14:paraId="10C3AD6E">
      <w:pPr>
        <w:spacing w:line="360" w:lineRule="auto"/>
        <w:outlineLvl w:val="3"/>
        <w:rPr>
          <w:rFonts w:ascii="Times New Roman"/>
          <w:b/>
          <w:sz w:val="24"/>
          <w:szCs w:val="24"/>
        </w:rPr>
      </w:pPr>
      <w:r>
        <w:rPr>
          <w:rFonts w:ascii="Times New Roman"/>
          <w:b/>
          <w:sz w:val="24"/>
          <w:szCs w:val="24"/>
        </w:rPr>
        <w:t>3.7.1.2焊接、滚筒生产线废气</w:t>
      </w:r>
    </w:p>
    <w:p w14:paraId="3D30BA64">
      <w:pPr>
        <w:spacing w:line="360" w:lineRule="auto"/>
        <w:ind w:firstLine="540" w:firstLineChars="200"/>
        <w:rPr>
          <w:rFonts w:ascii="Times New Roman"/>
          <w:spacing w:val="9"/>
          <w:sz w:val="24"/>
          <w:szCs w:val="24"/>
        </w:rPr>
      </w:pPr>
      <w:r>
        <w:rPr>
          <w:rFonts w:ascii="Times New Roman"/>
          <w:spacing w:val="15"/>
          <w:sz w:val="24"/>
          <w:szCs w:val="24"/>
        </w:rPr>
        <w:t>（1）焊接工序废气</w:t>
      </w:r>
    </w:p>
    <w:p w14:paraId="0D2D3E38">
      <w:pPr>
        <w:spacing w:line="360" w:lineRule="auto"/>
        <w:ind w:firstLine="480" w:firstLineChars="200"/>
        <w:rPr>
          <w:rFonts w:ascii="Times New Roman"/>
          <w:sz w:val="24"/>
          <w:szCs w:val="24"/>
        </w:rPr>
      </w:pPr>
      <w:r>
        <w:rPr>
          <w:rFonts w:ascii="Times New Roman"/>
          <w:sz w:val="24"/>
          <w:szCs w:val="24"/>
        </w:rPr>
        <w:t>项目焊接工序产生会产生焊接烟尘。项目设置焊接工位较多，共分为1</w:t>
      </w:r>
      <w:r>
        <w:rPr>
          <w:rFonts w:hint="eastAsia" w:ascii="Times New Roman"/>
          <w:sz w:val="24"/>
          <w:szCs w:val="24"/>
        </w:rPr>
        <w:t>4</w:t>
      </w:r>
      <w:r>
        <w:rPr>
          <w:rFonts w:ascii="Times New Roman"/>
          <w:sz w:val="24"/>
          <w:szCs w:val="24"/>
        </w:rPr>
        <w:t>个焊接区域，（区域</w:t>
      </w:r>
      <w:r>
        <w:rPr>
          <w:rFonts w:hint="eastAsia" w:ascii="Times New Roman"/>
          <w:sz w:val="24"/>
          <w:szCs w:val="24"/>
        </w:rPr>
        <w:t>5</w:t>
      </w:r>
      <w:r>
        <w:rPr>
          <w:rFonts w:ascii="Times New Roman"/>
          <w:sz w:val="24"/>
          <w:szCs w:val="24"/>
        </w:rPr>
        <w:t>~1</w:t>
      </w:r>
      <w:r>
        <w:rPr>
          <w:rFonts w:hint="eastAsia" w:ascii="Times New Roman"/>
          <w:sz w:val="24"/>
          <w:szCs w:val="24"/>
        </w:rPr>
        <w:t>3</w:t>
      </w:r>
      <w:r>
        <w:rPr>
          <w:rFonts w:ascii="Times New Roman"/>
          <w:sz w:val="24"/>
          <w:szCs w:val="24"/>
        </w:rPr>
        <w:t>）焊接废气收集处理后通过3根排气筒有组织排放，（区域1~</w:t>
      </w:r>
      <w:r>
        <w:rPr>
          <w:rFonts w:hint="eastAsia" w:ascii="Times New Roman"/>
          <w:sz w:val="24"/>
          <w:szCs w:val="24"/>
        </w:rPr>
        <w:t>4</w:t>
      </w:r>
      <w:r>
        <w:rPr>
          <w:rFonts w:ascii="Times New Roman"/>
          <w:sz w:val="24"/>
          <w:szCs w:val="24"/>
        </w:rPr>
        <w:t>、区域14）焊接废气收集处理后无组织外排。</w:t>
      </w:r>
    </w:p>
    <w:p w14:paraId="287E8334">
      <w:pPr>
        <w:spacing w:line="360" w:lineRule="auto"/>
        <w:ind w:firstLine="480" w:firstLineChars="200"/>
        <w:rPr>
          <w:rFonts w:ascii="Times New Roman"/>
          <w:bCs/>
          <w:sz w:val="24"/>
          <w:szCs w:val="24"/>
        </w:rPr>
      </w:pPr>
      <w:r>
        <w:rPr>
          <w:rFonts w:ascii="Times New Roman"/>
          <w:bCs/>
          <w:sz w:val="24"/>
          <w:szCs w:val="24"/>
        </w:rPr>
        <w:t>1、有组织废气</w:t>
      </w:r>
    </w:p>
    <w:p w14:paraId="2EEA3721">
      <w:pPr>
        <w:spacing w:line="360" w:lineRule="auto"/>
        <w:ind w:firstLine="480" w:firstLineChars="200"/>
        <w:rPr>
          <w:rFonts w:ascii="Times New Roman"/>
          <w:sz w:val="24"/>
          <w:szCs w:val="24"/>
        </w:rPr>
      </w:pPr>
      <w:r>
        <w:rPr>
          <w:rFonts w:ascii="Times New Roman"/>
          <w:bCs/>
          <w:sz w:val="24"/>
          <w:szCs w:val="24"/>
        </w:rPr>
        <w:t xml:space="preserve">根据生态环境部发布的《排放源统计调查产排污核算方法和系数手册》中“机械行业系数手册”-09 </w:t>
      </w:r>
      <w:r>
        <w:rPr>
          <w:rFonts w:hint="eastAsia"/>
        </w:rPr>
        <w:t>二氧化碳保护焊、氩弧焊、埋弧焊等</w:t>
      </w:r>
      <w:r>
        <w:rPr>
          <w:rFonts w:ascii="Times New Roman"/>
          <w:bCs/>
          <w:sz w:val="24"/>
          <w:szCs w:val="24"/>
        </w:rPr>
        <w:t>焊接环节的产排污系数核算颗粒物的产生源强，产生情况见下表。</w:t>
      </w:r>
    </w:p>
    <w:p w14:paraId="46465782">
      <w:pPr>
        <w:spacing w:line="16" w:lineRule="auto"/>
        <w:rPr>
          <w:rFonts w:ascii="Times New Roman"/>
          <w:bCs/>
          <w:sz w:val="2"/>
        </w:rPr>
      </w:pPr>
    </w:p>
    <w:p w14:paraId="39C0C680">
      <w:pPr>
        <w:spacing w:line="360" w:lineRule="auto"/>
        <w:jc w:val="center"/>
        <w:rPr>
          <w:rFonts w:ascii="Times New Roman"/>
          <w:b/>
          <w:sz w:val="24"/>
          <w:szCs w:val="24"/>
        </w:rPr>
      </w:pPr>
      <w:r>
        <w:rPr>
          <w:rFonts w:ascii="Times New Roman"/>
          <w:b/>
          <w:sz w:val="24"/>
          <w:szCs w:val="24"/>
        </w:rPr>
        <w:t>表3.7-3  焊接颗粒物产生情况表</w:t>
      </w:r>
    </w:p>
    <w:tbl>
      <w:tblPr>
        <w:tblStyle w:val="84"/>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0"/>
        <w:gridCol w:w="1760"/>
        <w:gridCol w:w="626"/>
        <w:gridCol w:w="1426"/>
        <w:gridCol w:w="1067"/>
        <w:gridCol w:w="1007"/>
        <w:gridCol w:w="1036"/>
        <w:gridCol w:w="1164"/>
      </w:tblGrid>
      <w:tr w14:paraId="106D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2090" w:type="dxa"/>
            <w:gridSpan w:val="2"/>
            <w:vMerge w:val="restart"/>
            <w:vAlign w:val="center"/>
          </w:tcPr>
          <w:p w14:paraId="6AE5B90E">
            <w:pPr>
              <w:jc w:val="center"/>
              <w:rPr>
                <w:rFonts w:ascii="Times New Roman"/>
                <w:b/>
                <w:bCs/>
                <w:sz w:val="21"/>
                <w:szCs w:val="21"/>
              </w:rPr>
            </w:pPr>
            <w:r>
              <w:rPr>
                <w:rFonts w:ascii="Times New Roman"/>
                <w:b/>
                <w:bCs/>
                <w:spacing w:val="-2"/>
                <w:sz w:val="21"/>
                <w:szCs w:val="21"/>
              </w:rPr>
              <w:t>工艺名称</w:t>
            </w:r>
          </w:p>
        </w:tc>
        <w:tc>
          <w:tcPr>
            <w:tcW w:w="626" w:type="dxa"/>
            <w:vMerge w:val="restart"/>
            <w:vAlign w:val="center"/>
          </w:tcPr>
          <w:p w14:paraId="350BCF4E">
            <w:pPr>
              <w:jc w:val="center"/>
              <w:rPr>
                <w:rFonts w:ascii="Times New Roman"/>
                <w:b/>
                <w:bCs/>
                <w:sz w:val="21"/>
                <w:szCs w:val="21"/>
              </w:rPr>
            </w:pPr>
            <w:r>
              <w:rPr>
                <w:rFonts w:ascii="Times New Roman"/>
                <w:b/>
                <w:bCs/>
                <w:spacing w:val="-4"/>
                <w:sz w:val="21"/>
                <w:szCs w:val="21"/>
              </w:rPr>
              <w:t>原</w:t>
            </w:r>
            <w:r>
              <w:rPr>
                <w:rFonts w:ascii="Times New Roman"/>
                <w:b/>
                <w:bCs/>
                <w:spacing w:val="-2"/>
                <w:sz w:val="21"/>
                <w:szCs w:val="21"/>
              </w:rPr>
              <w:t>料名称</w:t>
            </w:r>
          </w:p>
        </w:tc>
        <w:tc>
          <w:tcPr>
            <w:tcW w:w="1426" w:type="dxa"/>
            <w:vAlign w:val="center"/>
          </w:tcPr>
          <w:p w14:paraId="020DCF70">
            <w:pPr>
              <w:jc w:val="center"/>
              <w:rPr>
                <w:rFonts w:ascii="Times New Roman"/>
                <w:b/>
                <w:bCs/>
                <w:sz w:val="21"/>
                <w:szCs w:val="21"/>
              </w:rPr>
            </w:pPr>
            <w:r>
              <w:rPr>
                <w:rFonts w:ascii="Times New Roman"/>
                <w:b/>
                <w:bCs/>
                <w:spacing w:val="-2"/>
                <w:sz w:val="21"/>
                <w:szCs w:val="21"/>
              </w:rPr>
              <w:t>产</w:t>
            </w:r>
            <w:r>
              <w:rPr>
                <w:rFonts w:ascii="Times New Roman"/>
                <w:b/>
                <w:bCs/>
                <w:spacing w:val="-1"/>
                <w:sz w:val="21"/>
                <w:szCs w:val="21"/>
              </w:rPr>
              <w:t>污系数</w:t>
            </w:r>
          </w:p>
        </w:tc>
        <w:tc>
          <w:tcPr>
            <w:tcW w:w="1067" w:type="dxa"/>
            <w:vAlign w:val="center"/>
          </w:tcPr>
          <w:p w14:paraId="39BA89F7">
            <w:pPr>
              <w:jc w:val="center"/>
              <w:rPr>
                <w:rFonts w:ascii="Times New Roman"/>
                <w:b/>
                <w:bCs/>
                <w:sz w:val="21"/>
                <w:szCs w:val="21"/>
              </w:rPr>
            </w:pPr>
            <w:r>
              <w:rPr>
                <w:rFonts w:ascii="Times New Roman"/>
                <w:b/>
                <w:bCs/>
                <w:spacing w:val="-4"/>
                <w:sz w:val="21"/>
                <w:szCs w:val="21"/>
              </w:rPr>
              <w:t>原</w:t>
            </w:r>
            <w:r>
              <w:rPr>
                <w:rFonts w:ascii="Times New Roman"/>
                <w:b/>
                <w:bCs/>
                <w:spacing w:val="-2"/>
                <w:sz w:val="21"/>
                <w:szCs w:val="21"/>
              </w:rPr>
              <w:t>料</w:t>
            </w:r>
          </w:p>
        </w:tc>
        <w:tc>
          <w:tcPr>
            <w:tcW w:w="1007" w:type="dxa"/>
            <w:vAlign w:val="center"/>
          </w:tcPr>
          <w:p w14:paraId="7CC3B442">
            <w:pPr>
              <w:jc w:val="center"/>
              <w:rPr>
                <w:rFonts w:ascii="Times New Roman"/>
                <w:b/>
                <w:bCs/>
                <w:sz w:val="21"/>
                <w:szCs w:val="21"/>
              </w:rPr>
            </w:pPr>
            <w:r>
              <w:rPr>
                <w:rFonts w:ascii="Times New Roman"/>
                <w:b/>
                <w:bCs/>
                <w:spacing w:val="-2"/>
                <w:sz w:val="21"/>
                <w:szCs w:val="21"/>
              </w:rPr>
              <w:t>产</w:t>
            </w:r>
            <w:r>
              <w:rPr>
                <w:rFonts w:ascii="Times New Roman"/>
                <w:b/>
                <w:bCs/>
                <w:spacing w:val="-1"/>
                <w:sz w:val="21"/>
                <w:szCs w:val="21"/>
              </w:rPr>
              <w:t>生量</w:t>
            </w:r>
          </w:p>
        </w:tc>
        <w:tc>
          <w:tcPr>
            <w:tcW w:w="1036" w:type="dxa"/>
            <w:vAlign w:val="center"/>
          </w:tcPr>
          <w:p w14:paraId="5082CCA5">
            <w:pPr>
              <w:jc w:val="center"/>
              <w:rPr>
                <w:rFonts w:ascii="Times New Roman"/>
                <w:b/>
                <w:bCs/>
                <w:sz w:val="21"/>
                <w:szCs w:val="21"/>
              </w:rPr>
            </w:pPr>
            <w:r>
              <w:rPr>
                <w:rFonts w:ascii="Times New Roman"/>
                <w:b/>
                <w:bCs/>
                <w:spacing w:val="-3"/>
                <w:sz w:val="21"/>
                <w:szCs w:val="21"/>
              </w:rPr>
              <w:t>工</w:t>
            </w:r>
            <w:r>
              <w:rPr>
                <w:rFonts w:ascii="Times New Roman"/>
                <w:b/>
                <w:bCs/>
                <w:spacing w:val="-2"/>
                <w:sz w:val="21"/>
                <w:szCs w:val="21"/>
              </w:rPr>
              <w:t>时</w:t>
            </w:r>
          </w:p>
        </w:tc>
        <w:tc>
          <w:tcPr>
            <w:tcW w:w="1164" w:type="dxa"/>
            <w:vAlign w:val="center"/>
          </w:tcPr>
          <w:p w14:paraId="6C10E129">
            <w:pPr>
              <w:jc w:val="center"/>
              <w:rPr>
                <w:rFonts w:ascii="Times New Roman"/>
                <w:b/>
                <w:bCs/>
                <w:sz w:val="21"/>
                <w:szCs w:val="21"/>
              </w:rPr>
            </w:pPr>
            <w:r>
              <w:rPr>
                <w:rFonts w:ascii="Times New Roman"/>
                <w:b/>
                <w:bCs/>
                <w:spacing w:val="-2"/>
                <w:sz w:val="21"/>
                <w:szCs w:val="21"/>
              </w:rPr>
              <w:t>产</w:t>
            </w:r>
            <w:r>
              <w:rPr>
                <w:rFonts w:ascii="Times New Roman"/>
                <w:b/>
                <w:bCs/>
                <w:spacing w:val="-1"/>
                <w:sz w:val="21"/>
                <w:szCs w:val="21"/>
              </w:rPr>
              <w:t>生速率</w:t>
            </w:r>
          </w:p>
        </w:tc>
      </w:tr>
      <w:tr w14:paraId="332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2090" w:type="dxa"/>
            <w:gridSpan w:val="2"/>
            <w:vMerge w:val="continue"/>
            <w:vAlign w:val="center"/>
          </w:tcPr>
          <w:p w14:paraId="6A17B0B8">
            <w:pPr>
              <w:jc w:val="center"/>
              <w:rPr>
                <w:rFonts w:ascii="Times New Roman"/>
                <w:b/>
                <w:bCs/>
                <w:sz w:val="21"/>
              </w:rPr>
            </w:pPr>
          </w:p>
        </w:tc>
        <w:tc>
          <w:tcPr>
            <w:tcW w:w="626" w:type="dxa"/>
            <w:vMerge w:val="continue"/>
            <w:vAlign w:val="center"/>
          </w:tcPr>
          <w:p w14:paraId="49B99E65">
            <w:pPr>
              <w:jc w:val="center"/>
              <w:rPr>
                <w:rFonts w:ascii="Times New Roman"/>
                <w:b/>
                <w:bCs/>
                <w:sz w:val="21"/>
              </w:rPr>
            </w:pPr>
          </w:p>
        </w:tc>
        <w:tc>
          <w:tcPr>
            <w:tcW w:w="1426" w:type="dxa"/>
            <w:vAlign w:val="center"/>
          </w:tcPr>
          <w:p w14:paraId="2139DD90">
            <w:pPr>
              <w:jc w:val="center"/>
              <w:rPr>
                <w:rFonts w:ascii="Times New Roman"/>
                <w:b/>
                <w:bCs/>
                <w:sz w:val="21"/>
                <w:szCs w:val="21"/>
              </w:rPr>
            </w:pPr>
            <w:r>
              <w:rPr>
                <w:rFonts w:ascii="Times New Roman"/>
                <w:b/>
                <w:bCs/>
                <w:spacing w:val="-1"/>
                <w:sz w:val="21"/>
                <w:szCs w:val="21"/>
              </w:rPr>
              <w:t>千克</w:t>
            </w:r>
            <w:r>
              <w:rPr>
                <w:rFonts w:ascii="Times New Roman" w:eastAsia="Times New Roman"/>
                <w:b/>
                <w:bCs/>
                <w:spacing w:val="-1"/>
                <w:sz w:val="21"/>
                <w:szCs w:val="21"/>
              </w:rPr>
              <w:t>/</w:t>
            </w:r>
            <w:r>
              <w:rPr>
                <w:rFonts w:ascii="Times New Roman"/>
                <w:b/>
                <w:bCs/>
                <w:spacing w:val="-1"/>
                <w:sz w:val="21"/>
                <w:szCs w:val="21"/>
              </w:rPr>
              <w:t>吨</w:t>
            </w:r>
            <w:r>
              <w:rPr>
                <w:rFonts w:ascii="Times New Roman" w:eastAsia="Times New Roman"/>
                <w:b/>
                <w:bCs/>
                <w:spacing w:val="-1"/>
                <w:sz w:val="21"/>
                <w:szCs w:val="21"/>
              </w:rPr>
              <w:t>-</w:t>
            </w:r>
            <w:r>
              <w:rPr>
                <w:rFonts w:ascii="Times New Roman"/>
                <w:b/>
                <w:bCs/>
                <w:spacing w:val="-4"/>
                <w:sz w:val="21"/>
                <w:szCs w:val="21"/>
              </w:rPr>
              <w:t>原</w:t>
            </w:r>
            <w:r>
              <w:rPr>
                <w:rFonts w:ascii="Times New Roman"/>
                <w:b/>
                <w:bCs/>
                <w:spacing w:val="-2"/>
                <w:sz w:val="21"/>
                <w:szCs w:val="21"/>
              </w:rPr>
              <w:t>料</w:t>
            </w:r>
          </w:p>
        </w:tc>
        <w:tc>
          <w:tcPr>
            <w:tcW w:w="1067" w:type="dxa"/>
            <w:vAlign w:val="center"/>
          </w:tcPr>
          <w:p w14:paraId="75060B39">
            <w:pPr>
              <w:jc w:val="center"/>
              <w:rPr>
                <w:rFonts w:ascii="Times New Roman" w:eastAsia="Times New Roman"/>
                <w:b/>
                <w:bCs/>
                <w:sz w:val="21"/>
                <w:szCs w:val="21"/>
              </w:rPr>
            </w:pPr>
            <w:r>
              <w:rPr>
                <w:rFonts w:ascii="Times New Roman" w:eastAsia="Times New Roman"/>
                <w:b/>
                <w:bCs/>
                <w:spacing w:val="-1"/>
                <w:sz w:val="21"/>
                <w:szCs w:val="21"/>
              </w:rPr>
              <w:t>t/</w:t>
            </w:r>
            <w:r>
              <w:rPr>
                <w:rFonts w:ascii="Times New Roman" w:eastAsia="Times New Roman"/>
                <w:b/>
                <w:bCs/>
                <w:sz w:val="21"/>
                <w:szCs w:val="21"/>
              </w:rPr>
              <w:t>a</w:t>
            </w:r>
          </w:p>
        </w:tc>
        <w:tc>
          <w:tcPr>
            <w:tcW w:w="1007" w:type="dxa"/>
            <w:vAlign w:val="center"/>
          </w:tcPr>
          <w:p w14:paraId="417944F7">
            <w:pPr>
              <w:jc w:val="center"/>
              <w:rPr>
                <w:rFonts w:ascii="Times New Roman" w:eastAsia="Times New Roman"/>
                <w:b/>
                <w:bCs/>
                <w:sz w:val="21"/>
                <w:szCs w:val="21"/>
              </w:rPr>
            </w:pPr>
            <w:r>
              <w:rPr>
                <w:rFonts w:ascii="Times New Roman" w:eastAsia="Times New Roman"/>
                <w:b/>
                <w:bCs/>
                <w:spacing w:val="-1"/>
                <w:sz w:val="21"/>
                <w:szCs w:val="21"/>
              </w:rPr>
              <w:t>t/</w:t>
            </w:r>
            <w:r>
              <w:rPr>
                <w:rFonts w:ascii="Times New Roman" w:eastAsia="Times New Roman"/>
                <w:b/>
                <w:bCs/>
                <w:sz w:val="21"/>
                <w:szCs w:val="21"/>
              </w:rPr>
              <w:t>a</w:t>
            </w:r>
          </w:p>
        </w:tc>
        <w:tc>
          <w:tcPr>
            <w:tcW w:w="1036" w:type="dxa"/>
            <w:vAlign w:val="center"/>
          </w:tcPr>
          <w:p w14:paraId="156C8FE1">
            <w:pPr>
              <w:jc w:val="center"/>
              <w:rPr>
                <w:rFonts w:ascii="Times New Roman" w:eastAsia="Times New Roman"/>
                <w:b/>
                <w:bCs/>
                <w:sz w:val="21"/>
                <w:szCs w:val="21"/>
              </w:rPr>
            </w:pPr>
            <w:r>
              <w:rPr>
                <w:rFonts w:ascii="Times New Roman" w:eastAsia="Times New Roman"/>
                <w:b/>
                <w:bCs/>
                <w:sz w:val="21"/>
                <w:szCs w:val="21"/>
              </w:rPr>
              <w:t>h/a</w:t>
            </w:r>
          </w:p>
        </w:tc>
        <w:tc>
          <w:tcPr>
            <w:tcW w:w="1164" w:type="dxa"/>
            <w:vAlign w:val="center"/>
          </w:tcPr>
          <w:p w14:paraId="3EB14206">
            <w:pPr>
              <w:jc w:val="center"/>
              <w:rPr>
                <w:rFonts w:ascii="Times New Roman" w:eastAsia="Times New Roman"/>
                <w:b/>
                <w:bCs/>
                <w:sz w:val="21"/>
                <w:szCs w:val="21"/>
              </w:rPr>
            </w:pPr>
            <w:r>
              <w:rPr>
                <w:rFonts w:ascii="Times New Roman" w:eastAsia="Times New Roman"/>
                <w:b/>
                <w:bCs/>
                <w:sz w:val="21"/>
                <w:szCs w:val="21"/>
              </w:rPr>
              <w:t>kg/h</w:t>
            </w:r>
          </w:p>
        </w:tc>
      </w:tr>
      <w:tr w14:paraId="3578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330" w:type="dxa"/>
            <w:vMerge w:val="restart"/>
            <w:vAlign w:val="center"/>
          </w:tcPr>
          <w:p w14:paraId="687066C2">
            <w:pPr>
              <w:jc w:val="center"/>
              <w:rPr>
                <w:rFonts w:ascii="Times New Roman"/>
                <w:sz w:val="21"/>
                <w:szCs w:val="21"/>
              </w:rPr>
            </w:pPr>
            <w:r>
              <w:rPr>
                <w:rFonts w:ascii="Times New Roman"/>
                <w:spacing w:val="-2"/>
                <w:sz w:val="21"/>
                <w:szCs w:val="21"/>
              </w:rPr>
              <w:t>焊</w:t>
            </w:r>
            <w:r>
              <w:rPr>
                <w:rFonts w:ascii="Times New Roman"/>
                <w:spacing w:val="-1"/>
                <w:sz w:val="21"/>
                <w:szCs w:val="21"/>
              </w:rPr>
              <w:t>接</w:t>
            </w:r>
          </w:p>
        </w:tc>
        <w:tc>
          <w:tcPr>
            <w:tcW w:w="1760" w:type="dxa"/>
            <w:vAlign w:val="center"/>
          </w:tcPr>
          <w:p w14:paraId="7D938E99">
            <w:pPr>
              <w:jc w:val="center"/>
              <w:rPr>
                <w:rFonts w:ascii="Times New Roman"/>
                <w:spacing w:val="-2"/>
                <w:sz w:val="21"/>
                <w:szCs w:val="21"/>
              </w:rPr>
            </w:pPr>
            <w:r>
              <w:rPr>
                <w:rFonts w:ascii="Times New Roman"/>
                <w:spacing w:val="-2"/>
                <w:sz w:val="21"/>
                <w:szCs w:val="21"/>
              </w:rPr>
              <w:t>区域</w:t>
            </w:r>
            <w:r>
              <w:rPr>
                <w:rFonts w:hint="eastAsia" w:ascii="Times New Roman"/>
                <w:spacing w:val="-2"/>
                <w:sz w:val="21"/>
                <w:szCs w:val="21"/>
              </w:rPr>
              <w:t>5</w:t>
            </w:r>
            <w:r>
              <w:rPr>
                <w:rFonts w:ascii="Times New Roman"/>
                <w:spacing w:val="-2"/>
                <w:sz w:val="21"/>
                <w:szCs w:val="21"/>
              </w:rPr>
              <w:t>、</w:t>
            </w:r>
            <w:r>
              <w:rPr>
                <w:rFonts w:hint="eastAsia" w:ascii="Times New Roman"/>
                <w:spacing w:val="-2"/>
                <w:sz w:val="21"/>
                <w:szCs w:val="21"/>
              </w:rPr>
              <w:t>7</w:t>
            </w:r>
          </w:p>
        </w:tc>
        <w:tc>
          <w:tcPr>
            <w:tcW w:w="626" w:type="dxa"/>
            <w:vAlign w:val="center"/>
          </w:tcPr>
          <w:p w14:paraId="0DBA7E8A">
            <w:pPr>
              <w:jc w:val="center"/>
              <w:rPr>
                <w:rFonts w:ascii="Times New Roman"/>
                <w:sz w:val="21"/>
                <w:szCs w:val="21"/>
              </w:rPr>
            </w:pPr>
            <w:r>
              <w:rPr>
                <w:rFonts w:ascii="Times New Roman"/>
                <w:spacing w:val="-2"/>
                <w:sz w:val="21"/>
                <w:szCs w:val="21"/>
              </w:rPr>
              <w:t>焊</w:t>
            </w:r>
            <w:r>
              <w:rPr>
                <w:rFonts w:ascii="Times New Roman"/>
                <w:spacing w:val="-1"/>
                <w:sz w:val="21"/>
                <w:szCs w:val="21"/>
              </w:rPr>
              <w:t>丝</w:t>
            </w:r>
          </w:p>
        </w:tc>
        <w:tc>
          <w:tcPr>
            <w:tcW w:w="1426" w:type="dxa"/>
            <w:vAlign w:val="center"/>
          </w:tcPr>
          <w:p w14:paraId="63E2AFDC">
            <w:pPr>
              <w:jc w:val="center"/>
              <w:rPr>
                <w:rFonts w:ascii="Times New Roman" w:eastAsia="Times New Roman"/>
                <w:sz w:val="21"/>
                <w:szCs w:val="21"/>
              </w:rPr>
            </w:pPr>
            <w:r>
              <w:rPr>
                <w:rFonts w:ascii="Times New Roman" w:eastAsia="Times New Roman"/>
                <w:spacing w:val="-2"/>
                <w:sz w:val="21"/>
                <w:szCs w:val="21"/>
              </w:rPr>
              <w:t>9</w:t>
            </w:r>
            <w:r>
              <w:rPr>
                <w:rFonts w:ascii="Times New Roman" w:eastAsia="Times New Roman"/>
                <w:spacing w:val="-1"/>
                <w:sz w:val="21"/>
                <w:szCs w:val="21"/>
              </w:rPr>
              <w:t>.19</w:t>
            </w:r>
          </w:p>
        </w:tc>
        <w:tc>
          <w:tcPr>
            <w:tcW w:w="1067" w:type="dxa"/>
            <w:vAlign w:val="center"/>
          </w:tcPr>
          <w:p w14:paraId="094CFC73">
            <w:pPr>
              <w:jc w:val="center"/>
              <w:rPr>
                <w:rFonts w:ascii="Times New Roman"/>
                <w:sz w:val="21"/>
                <w:szCs w:val="21"/>
              </w:rPr>
            </w:pPr>
            <w:r>
              <w:rPr>
                <w:rFonts w:ascii="Times New Roman"/>
                <w:sz w:val="21"/>
                <w:szCs w:val="21"/>
              </w:rPr>
              <w:t>165</w:t>
            </w:r>
          </w:p>
        </w:tc>
        <w:tc>
          <w:tcPr>
            <w:tcW w:w="1007" w:type="dxa"/>
            <w:vAlign w:val="center"/>
          </w:tcPr>
          <w:p w14:paraId="33229129">
            <w:pPr>
              <w:jc w:val="center"/>
              <w:rPr>
                <w:rFonts w:ascii="Times New Roman"/>
                <w:sz w:val="21"/>
                <w:szCs w:val="21"/>
              </w:rPr>
            </w:pPr>
            <w:r>
              <w:rPr>
                <w:rFonts w:ascii="Times New Roman"/>
                <w:sz w:val="21"/>
                <w:szCs w:val="21"/>
              </w:rPr>
              <w:t>1.516</w:t>
            </w:r>
          </w:p>
        </w:tc>
        <w:tc>
          <w:tcPr>
            <w:tcW w:w="1036" w:type="dxa"/>
            <w:vAlign w:val="center"/>
          </w:tcPr>
          <w:p w14:paraId="7C4C50FF">
            <w:pPr>
              <w:jc w:val="center"/>
              <w:rPr>
                <w:rFonts w:ascii="Times New Roman"/>
                <w:sz w:val="21"/>
                <w:szCs w:val="21"/>
              </w:rPr>
            </w:pPr>
            <w:r>
              <w:rPr>
                <w:rFonts w:hint="eastAsia" w:ascii="Times New Roman"/>
                <w:sz w:val="21"/>
                <w:szCs w:val="21"/>
              </w:rPr>
              <w:t>30</w:t>
            </w:r>
            <w:r>
              <w:rPr>
                <w:rFonts w:ascii="Times New Roman"/>
                <w:sz w:val="21"/>
                <w:szCs w:val="21"/>
              </w:rPr>
              <w:t>00</w:t>
            </w:r>
          </w:p>
        </w:tc>
        <w:tc>
          <w:tcPr>
            <w:tcW w:w="1164" w:type="dxa"/>
            <w:vAlign w:val="center"/>
          </w:tcPr>
          <w:p w14:paraId="48671BA1">
            <w:pPr>
              <w:jc w:val="center"/>
              <w:rPr>
                <w:rFonts w:ascii="Times New Roman"/>
                <w:sz w:val="21"/>
                <w:szCs w:val="21"/>
              </w:rPr>
            </w:pPr>
            <w:r>
              <w:rPr>
                <w:rFonts w:ascii="Times New Roman"/>
                <w:sz w:val="21"/>
                <w:szCs w:val="21"/>
              </w:rPr>
              <w:t>0.211</w:t>
            </w:r>
          </w:p>
        </w:tc>
      </w:tr>
      <w:tr w14:paraId="30D5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330" w:type="dxa"/>
            <w:vMerge w:val="continue"/>
            <w:vAlign w:val="center"/>
          </w:tcPr>
          <w:p w14:paraId="411E374A">
            <w:pPr>
              <w:jc w:val="center"/>
              <w:rPr>
                <w:rFonts w:ascii="Times New Roman"/>
                <w:sz w:val="21"/>
                <w:szCs w:val="21"/>
              </w:rPr>
            </w:pPr>
          </w:p>
        </w:tc>
        <w:tc>
          <w:tcPr>
            <w:tcW w:w="1760" w:type="dxa"/>
            <w:vAlign w:val="center"/>
          </w:tcPr>
          <w:p w14:paraId="1AEC7FF3">
            <w:pPr>
              <w:jc w:val="center"/>
              <w:rPr>
                <w:rFonts w:ascii="Times New Roman"/>
                <w:sz w:val="21"/>
                <w:szCs w:val="21"/>
              </w:rPr>
            </w:pPr>
            <w:r>
              <w:rPr>
                <w:rFonts w:ascii="Times New Roman"/>
                <w:spacing w:val="-2"/>
                <w:sz w:val="21"/>
                <w:szCs w:val="21"/>
              </w:rPr>
              <w:t>区域</w:t>
            </w:r>
            <w:r>
              <w:rPr>
                <w:rFonts w:hint="eastAsia" w:ascii="Times New Roman"/>
                <w:spacing w:val="-2"/>
                <w:sz w:val="21"/>
                <w:szCs w:val="21"/>
              </w:rPr>
              <w:t>6</w:t>
            </w:r>
            <w:r>
              <w:rPr>
                <w:rFonts w:ascii="Times New Roman"/>
                <w:spacing w:val="-2"/>
                <w:sz w:val="21"/>
                <w:szCs w:val="21"/>
              </w:rPr>
              <w:t>、</w:t>
            </w:r>
            <w:r>
              <w:rPr>
                <w:rFonts w:hint="eastAsia" w:ascii="Times New Roman"/>
                <w:spacing w:val="-2"/>
                <w:sz w:val="21"/>
                <w:szCs w:val="21"/>
              </w:rPr>
              <w:t>8</w:t>
            </w:r>
            <w:r>
              <w:rPr>
                <w:rFonts w:ascii="Times New Roman"/>
                <w:spacing w:val="-2"/>
                <w:sz w:val="21"/>
                <w:szCs w:val="21"/>
              </w:rPr>
              <w:t>、</w:t>
            </w:r>
            <w:r>
              <w:rPr>
                <w:rFonts w:hint="eastAsia" w:ascii="Times New Roman"/>
                <w:spacing w:val="-2"/>
                <w:sz w:val="21"/>
                <w:szCs w:val="21"/>
              </w:rPr>
              <w:t>13</w:t>
            </w:r>
          </w:p>
        </w:tc>
        <w:tc>
          <w:tcPr>
            <w:tcW w:w="626" w:type="dxa"/>
            <w:shd w:val="clear" w:color="auto" w:fill="auto"/>
            <w:vAlign w:val="center"/>
          </w:tcPr>
          <w:p w14:paraId="4618D9FE">
            <w:pPr>
              <w:jc w:val="center"/>
              <w:rPr>
                <w:rFonts w:ascii="Times New Roman"/>
                <w:sz w:val="21"/>
                <w:szCs w:val="21"/>
              </w:rPr>
            </w:pPr>
            <w:r>
              <w:rPr>
                <w:rFonts w:ascii="Times New Roman"/>
                <w:spacing w:val="-2"/>
                <w:sz w:val="21"/>
                <w:szCs w:val="21"/>
              </w:rPr>
              <w:t>焊</w:t>
            </w:r>
            <w:r>
              <w:rPr>
                <w:rFonts w:ascii="Times New Roman"/>
                <w:spacing w:val="-1"/>
                <w:sz w:val="21"/>
                <w:szCs w:val="21"/>
              </w:rPr>
              <w:t>丝</w:t>
            </w:r>
          </w:p>
        </w:tc>
        <w:tc>
          <w:tcPr>
            <w:tcW w:w="1426" w:type="dxa"/>
            <w:shd w:val="clear" w:color="auto" w:fill="auto"/>
            <w:vAlign w:val="center"/>
          </w:tcPr>
          <w:p w14:paraId="784B7B45">
            <w:pPr>
              <w:jc w:val="center"/>
              <w:rPr>
                <w:rFonts w:ascii="Times New Roman" w:eastAsia="Times New Roman"/>
                <w:sz w:val="21"/>
                <w:szCs w:val="21"/>
              </w:rPr>
            </w:pPr>
            <w:r>
              <w:rPr>
                <w:rFonts w:ascii="Times New Roman" w:eastAsia="Times New Roman"/>
                <w:spacing w:val="-2"/>
                <w:sz w:val="21"/>
                <w:szCs w:val="21"/>
              </w:rPr>
              <w:t>9</w:t>
            </w:r>
            <w:r>
              <w:rPr>
                <w:rFonts w:ascii="Times New Roman" w:eastAsia="Times New Roman"/>
                <w:spacing w:val="-1"/>
                <w:sz w:val="21"/>
                <w:szCs w:val="21"/>
              </w:rPr>
              <w:t>.19</w:t>
            </w:r>
          </w:p>
        </w:tc>
        <w:tc>
          <w:tcPr>
            <w:tcW w:w="1067" w:type="dxa"/>
            <w:vAlign w:val="center"/>
          </w:tcPr>
          <w:p w14:paraId="3F397E9E">
            <w:pPr>
              <w:jc w:val="center"/>
              <w:rPr>
                <w:rFonts w:ascii="Times New Roman"/>
                <w:sz w:val="21"/>
                <w:szCs w:val="21"/>
              </w:rPr>
            </w:pPr>
            <w:r>
              <w:rPr>
                <w:rFonts w:ascii="Times New Roman"/>
                <w:sz w:val="21"/>
                <w:szCs w:val="21"/>
              </w:rPr>
              <w:t>200</w:t>
            </w:r>
          </w:p>
        </w:tc>
        <w:tc>
          <w:tcPr>
            <w:tcW w:w="1007" w:type="dxa"/>
            <w:vAlign w:val="center"/>
          </w:tcPr>
          <w:p w14:paraId="266C214B">
            <w:pPr>
              <w:jc w:val="center"/>
              <w:rPr>
                <w:rFonts w:ascii="Times New Roman"/>
                <w:sz w:val="21"/>
                <w:szCs w:val="21"/>
              </w:rPr>
            </w:pPr>
            <w:r>
              <w:rPr>
                <w:rFonts w:ascii="Times New Roman"/>
                <w:sz w:val="21"/>
                <w:szCs w:val="21"/>
              </w:rPr>
              <w:t>1.838</w:t>
            </w:r>
          </w:p>
        </w:tc>
        <w:tc>
          <w:tcPr>
            <w:tcW w:w="1036" w:type="dxa"/>
            <w:vAlign w:val="center"/>
          </w:tcPr>
          <w:p w14:paraId="0E454ED1">
            <w:pPr>
              <w:jc w:val="center"/>
              <w:rPr>
                <w:rFonts w:ascii="Times New Roman"/>
                <w:sz w:val="21"/>
                <w:szCs w:val="21"/>
              </w:rPr>
            </w:pPr>
            <w:r>
              <w:rPr>
                <w:rFonts w:hint="eastAsia" w:ascii="Times New Roman"/>
                <w:sz w:val="21"/>
                <w:szCs w:val="21"/>
              </w:rPr>
              <w:t>30</w:t>
            </w:r>
            <w:r>
              <w:rPr>
                <w:rFonts w:ascii="Times New Roman"/>
                <w:sz w:val="21"/>
                <w:szCs w:val="21"/>
              </w:rPr>
              <w:t>00</w:t>
            </w:r>
          </w:p>
        </w:tc>
        <w:tc>
          <w:tcPr>
            <w:tcW w:w="1164" w:type="dxa"/>
            <w:vAlign w:val="center"/>
          </w:tcPr>
          <w:p w14:paraId="1CD80297">
            <w:pPr>
              <w:jc w:val="center"/>
              <w:rPr>
                <w:rFonts w:ascii="Times New Roman"/>
                <w:sz w:val="21"/>
                <w:szCs w:val="21"/>
              </w:rPr>
            </w:pPr>
            <w:r>
              <w:rPr>
                <w:rFonts w:ascii="Times New Roman"/>
                <w:sz w:val="21"/>
                <w:szCs w:val="21"/>
              </w:rPr>
              <w:t>0.255</w:t>
            </w:r>
          </w:p>
        </w:tc>
      </w:tr>
      <w:tr w14:paraId="625A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30" w:type="dxa"/>
            <w:vMerge w:val="continue"/>
            <w:vAlign w:val="center"/>
          </w:tcPr>
          <w:p w14:paraId="244343AB">
            <w:pPr>
              <w:jc w:val="center"/>
              <w:rPr>
                <w:rFonts w:ascii="Times New Roman"/>
                <w:sz w:val="21"/>
                <w:szCs w:val="21"/>
              </w:rPr>
            </w:pPr>
          </w:p>
        </w:tc>
        <w:tc>
          <w:tcPr>
            <w:tcW w:w="1760" w:type="dxa"/>
            <w:vAlign w:val="center"/>
          </w:tcPr>
          <w:p w14:paraId="3227ADEB">
            <w:pPr>
              <w:jc w:val="center"/>
              <w:rPr>
                <w:rFonts w:ascii="Times New Roman"/>
                <w:sz w:val="21"/>
                <w:szCs w:val="21"/>
              </w:rPr>
            </w:pPr>
            <w:r>
              <w:rPr>
                <w:rFonts w:ascii="Times New Roman"/>
                <w:spacing w:val="-2"/>
                <w:sz w:val="21"/>
                <w:szCs w:val="21"/>
              </w:rPr>
              <w:t>区域</w:t>
            </w:r>
            <w:r>
              <w:rPr>
                <w:rFonts w:hint="eastAsia" w:ascii="Times New Roman"/>
                <w:spacing w:val="-2"/>
                <w:sz w:val="21"/>
                <w:szCs w:val="21"/>
              </w:rPr>
              <w:t>9</w:t>
            </w:r>
            <w:r>
              <w:rPr>
                <w:rFonts w:ascii="Times New Roman"/>
                <w:spacing w:val="-2"/>
                <w:sz w:val="21"/>
                <w:szCs w:val="21"/>
              </w:rPr>
              <w:t>、10</w:t>
            </w:r>
            <w:r>
              <w:rPr>
                <w:rFonts w:hint="eastAsia" w:ascii="Times New Roman"/>
                <w:spacing w:val="-2"/>
                <w:sz w:val="21"/>
                <w:szCs w:val="21"/>
              </w:rPr>
              <w:t>、11、12</w:t>
            </w:r>
          </w:p>
        </w:tc>
        <w:tc>
          <w:tcPr>
            <w:tcW w:w="626" w:type="dxa"/>
            <w:shd w:val="clear" w:color="auto" w:fill="auto"/>
            <w:vAlign w:val="center"/>
          </w:tcPr>
          <w:p w14:paraId="533B806D">
            <w:pPr>
              <w:jc w:val="center"/>
              <w:rPr>
                <w:rFonts w:ascii="Times New Roman"/>
                <w:sz w:val="21"/>
                <w:szCs w:val="21"/>
              </w:rPr>
            </w:pPr>
            <w:r>
              <w:rPr>
                <w:rFonts w:ascii="Times New Roman"/>
                <w:spacing w:val="-2"/>
                <w:sz w:val="21"/>
                <w:szCs w:val="21"/>
              </w:rPr>
              <w:t>焊</w:t>
            </w:r>
            <w:r>
              <w:rPr>
                <w:rFonts w:ascii="Times New Roman"/>
                <w:spacing w:val="-1"/>
                <w:sz w:val="21"/>
                <w:szCs w:val="21"/>
              </w:rPr>
              <w:t>丝</w:t>
            </w:r>
          </w:p>
        </w:tc>
        <w:tc>
          <w:tcPr>
            <w:tcW w:w="1426" w:type="dxa"/>
            <w:shd w:val="clear" w:color="auto" w:fill="auto"/>
            <w:vAlign w:val="center"/>
          </w:tcPr>
          <w:p w14:paraId="50F3C82F">
            <w:pPr>
              <w:jc w:val="center"/>
              <w:rPr>
                <w:rFonts w:ascii="Times New Roman" w:eastAsia="Times New Roman"/>
                <w:sz w:val="21"/>
                <w:szCs w:val="21"/>
              </w:rPr>
            </w:pPr>
            <w:r>
              <w:rPr>
                <w:rFonts w:ascii="Times New Roman" w:eastAsia="Times New Roman"/>
                <w:spacing w:val="-2"/>
                <w:sz w:val="21"/>
                <w:szCs w:val="21"/>
              </w:rPr>
              <w:t>9</w:t>
            </w:r>
            <w:r>
              <w:rPr>
                <w:rFonts w:ascii="Times New Roman" w:eastAsia="Times New Roman"/>
                <w:spacing w:val="-1"/>
                <w:sz w:val="21"/>
                <w:szCs w:val="21"/>
              </w:rPr>
              <w:t>.19</w:t>
            </w:r>
          </w:p>
        </w:tc>
        <w:tc>
          <w:tcPr>
            <w:tcW w:w="1067" w:type="dxa"/>
            <w:vAlign w:val="center"/>
          </w:tcPr>
          <w:p w14:paraId="5F66F761">
            <w:pPr>
              <w:jc w:val="center"/>
              <w:rPr>
                <w:rFonts w:ascii="Times New Roman"/>
                <w:sz w:val="21"/>
                <w:szCs w:val="21"/>
              </w:rPr>
            </w:pPr>
            <w:r>
              <w:rPr>
                <w:rFonts w:ascii="Times New Roman"/>
                <w:sz w:val="21"/>
                <w:szCs w:val="21"/>
              </w:rPr>
              <w:t>170</w:t>
            </w:r>
          </w:p>
        </w:tc>
        <w:tc>
          <w:tcPr>
            <w:tcW w:w="1007" w:type="dxa"/>
            <w:vAlign w:val="center"/>
          </w:tcPr>
          <w:p w14:paraId="0D281B01">
            <w:pPr>
              <w:jc w:val="center"/>
              <w:rPr>
                <w:rFonts w:ascii="Times New Roman"/>
                <w:sz w:val="21"/>
                <w:szCs w:val="21"/>
              </w:rPr>
            </w:pPr>
            <w:r>
              <w:rPr>
                <w:rFonts w:ascii="Times New Roman"/>
                <w:sz w:val="21"/>
                <w:szCs w:val="21"/>
              </w:rPr>
              <w:t>1.562</w:t>
            </w:r>
          </w:p>
        </w:tc>
        <w:tc>
          <w:tcPr>
            <w:tcW w:w="1036" w:type="dxa"/>
            <w:vAlign w:val="center"/>
          </w:tcPr>
          <w:p w14:paraId="4520F8AA">
            <w:pPr>
              <w:jc w:val="center"/>
              <w:rPr>
                <w:rFonts w:ascii="Times New Roman"/>
                <w:sz w:val="21"/>
                <w:szCs w:val="21"/>
              </w:rPr>
            </w:pPr>
            <w:r>
              <w:rPr>
                <w:rFonts w:hint="eastAsia" w:ascii="Times New Roman"/>
                <w:sz w:val="21"/>
                <w:szCs w:val="21"/>
              </w:rPr>
              <w:t>30</w:t>
            </w:r>
            <w:r>
              <w:rPr>
                <w:rFonts w:ascii="Times New Roman"/>
                <w:sz w:val="21"/>
                <w:szCs w:val="21"/>
              </w:rPr>
              <w:t>00</w:t>
            </w:r>
          </w:p>
        </w:tc>
        <w:tc>
          <w:tcPr>
            <w:tcW w:w="1164" w:type="dxa"/>
            <w:vAlign w:val="center"/>
          </w:tcPr>
          <w:p w14:paraId="1D007325">
            <w:pPr>
              <w:jc w:val="center"/>
              <w:rPr>
                <w:rFonts w:ascii="Times New Roman"/>
                <w:sz w:val="21"/>
                <w:szCs w:val="21"/>
              </w:rPr>
            </w:pPr>
            <w:r>
              <w:rPr>
                <w:rFonts w:ascii="Times New Roman"/>
                <w:sz w:val="21"/>
                <w:szCs w:val="21"/>
              </w:rPr>
              <w:t>0.217</w:t>
            </w:r>
          </w:p>
        </w:tc>
      </w:tr>
    </w:tbl>
    <w:p w14:paraId="44753890">
      <w:pPr>
        <w:spacing w:before="10" w:line="360" w:lineRule="auto"/>
        <w:ind w:firstLine="480" w:firstLineChars="200"/>
        <w:rPr>
          <w:rFonts w:ascii="Times New Roman"/>
          <w:sz w:val="24"/>
          <w:szCs w:val="24"/>
        </w:rPr>
      </w:pPr>
      <w:r>
        <w:rPr>
          <w:rFonts w:ascii="Times New Roman"/>
          <w:sz w:val="24"/>
          <w:szCs w:val="24"/>
        </w:rPr>
        <w:t>项目（区域6、15、16）焊接废气经集气罩收集，引入布袋除尘器处理后通过1根20米高排气筒（DA002）排放；（区域4、5、7）焊接废气经集气罩收集，引入布袋除尘器处理后通过1根20米高排气筒（DA003）排放；（区域8、9、10）焊接废气经集气罩收集，引入布袋除尘器处理后通过1根20米高排气筒（DA004）排放。</w:t>
      </w:r>
    </w:p>
    <w:p w14:paraId="2C73C60A">
      <w:pPr>
        <w:spacing w:before="10" w:line="360" w:lineRule="auto"/>
        <w:ind w:firstLine="480" w:firstLineChars="200"/>
        <w:rPr>
          <w:rFonts w:ascii="Times New Roman"/>
          <w:sz w:val="24"/>
          <w:szCs w:val="24"/>
        </w:rPr>
      </w:pPr>
      <w:r>
        <w:rPr>
          <w:rFonts w:ascii="Times New Roman"/>
          <w:sz w:val="24"/>
          <w:szCs w:val="24"/>
        </w:rPr>
        <w:t>由于焊接工件大小不一，位置不固定，焊接废气采用柔性万向吸气臂收集方式，焊接产生的烟尘经吸风罩收集后的烟尘通过螺旋风管先进入火花捕集器（有效防止焊接时的火花和明火进入到滤筒除尘器发生燃烧火灾的情况发生），然后进入到除尘器进行过滤。</w:t>
      </w:r>
    </w:p>
    <w:p w14:paraId="182A63D3">
      <w:pPr>
        <w:spacing w:before="10" w:line="360" w:lineRule="auto"/>
        <w:ind w:firstLine="480" w:firstLineChars="200"/>
        <w:rPr>
          <w:rFonts w:ascii="Times New Roman"/>
          <w:sz w:val="24"/>
          <w:szCs w:val="24"/>
        </w:rPr>
      </w:pPr>
      <w:r>
        <w:rPr>
          <w:rFonts w:ascii="Times New Roman"/>
          <w:sz w:val="24"/>
          <w:szCs w:val="24"/>
        </w:rPr>
        <w:t>根据《排风罩的分类及技术条件》(GB/T16758-2008)中排风罩的排风量计算公式：</w:t>
      </w:r>
    </w:p>
    <w:p w14:paraId="58D98F74">
      <w:pPr>
        <w:spacing w:before="10" w:line="360" w:lineRule="auto"/>
        <w:ind w:firstLine="480" w:firstLineChars="200"/>
        <w:jc w:val="center"/>
        <w:rPr>
          <w:rFonts w:ascii="Times New Roman"/>
          <w:sz w:val="24"/>
          <w:szCs w:val="24"/>
        </w:rPr>
      </w:pPr>
      <w:r>
        <w:rPr>
          <w:rFonts w:ascii="Times New Roman"/>
          <w:sz w:val="24"/>
          <w:szCs w:val="24"/>
        </w:rPr>
        <w:t>Q=F*V</w:t>
      </w:r>
    </w:p>
    <w:p w14:paraId="6546C99E">
      <w:pPr>
        <w:spacing w:before="10" w:line="360" w:lineRule="auto"/>
        <w:ind w:firstLine="480" w:firstLineChars="200"/>
        <w:rPr>
          <w:rFonts w:ascii="Times New Roman"/>
          <w:sz w:val="24"/>
          <w:szCs w:val="24"/>
        </w:rPr>
      </w:pPr>
      <w:r>
        <w:rPr>
          <w:rFonts w:ascii="Times New Roman"/>
          <w:sz w:val="24"/>
          <w:szCs w:val="24"/>
        </w:rPr>
        <w:t>式中：Q——排风罩排风量，m</w:t>
      </w:r>
      <w:r>
        <w:rPr>
          <w:rFonts w:ascii="Times New Roman"/>
          <w:sz w:val="24"/>
          <w:szCs w:val="24"/>
          <w:vertAlign w:val="superscript"/>
        </w:rPr>
        <w:t>3</w:t>
      </w:r>
      <w:r>
        <w:rPr>
          <w:rFonts w:ascii="Times New Roman"/>
          <w:sz w:val="24"/>
          <w:szCs w:val="24"/>
        </w:rPr>
        <w:t>/s；</w:t>
      </w:r>
    </w:p>
    <w:p w14:paraId="604A18C7">
      <w:pPr>
        <w:spacing w:before="10" w:line="360" w:lineRule="auto"/>
        <w:ind w:firstLine="1200" w:firstLineChars="500"/>
        <w:rPr>
          <w:rFonts w:ascii="Times New Roman"/>
          <w:sz w:val="24"/>
          <w:szCs w:val="24"/>
        </w:rPr>
      </w:pPr>
      <w:r>
        <w:rPr>
          <w:rFonts w:ascii="Times New Roman"/>
          <w:sz w:val="24"/>
          <w:szCs w:val="24"/>
        </w:rPr>
        <w:t>F——排风罩罩口总面积，m</w:t>
      </w:r>
      <w:r>
        <w:rPr>
          <w:rFonts w:ascii="Times New Roman"/>
          <w:sz w:val="24"/>
          <w:szCs w:val="24"/>
          <w:vertAlign w:val="superscript"/>
        </w:rPr>
        <w:t>2</w:t>
      </w:r>
      <w:r>
        <w:rPr>
          <w:rFonts w:ascii="Times New Roman"/>
          <w:sz w:val="24"/>
          <w:szCs w:val="24"/>
        </w:rPr>
        <w:t>；</w:t>
      </w:r>
    </w:p>
    <w:p w14:paraId="2F33741B">
      <w:pPr>
        <w:spacing w:before="10" w:line="360" w:lineRule="auto"/>
        <w:ind w:firstLine="1200" w:firstLineChars="500"/>
        <w:rPr>
          <w:rFonts w:ascii="Times New Roman"/>
          <w:sz w:val="24"/>
          <w:szCs w:val="24"/>
        </w:rPr>
      </w:pPr>
      <w:r>
        <w:rPr>
          <w:rFonts w:ascii="Times New Roman"/>
          <w:sz w:val="24"/>
          <w:szCs w:val="24"/>
        </w:rPr>
        <w:t>V——排风罩罩口平均风速，m/s。</w:t>
      </w:r>
    </w:p>
    <w:p w14:paraId="23B54FF5">
      <w:pPr>
        <w:spacing w:before="10" w:line="360" w:lineRule="auto"/>
        <w:ind w:firstLine="480" w:firstLineChars="200"/>
        <w:rPr>
          <w:rFonts w:ascii="Times New Roman"/>
          <w:sz w:val="24"/>
          <w:szCs w:val="24"/>
        </w:rPr>
      </w:pPr>
      <w:r>
        <w:rPr>
          <w:rFonts w:ascii="Times New Roman"/>
          <w:sz w:val="24"/>
          <w:szCs w:val="24"/>
        </w:rPr>
        <w:t>参考《局部排风设施控制风速检测与评估技术规范》(AQ/T4274-2016)，外部排风罩侧吸式粉尘控制风速为1m/s，则本项目风量设计如下表所示。</w:t>
      </w:r>
    </w:p>
    <w:p w14:paraId="26F9075C">
      <w:pPr>
        <w:spacing w:line="360" w:lineRule="auto"/>
        <w:jc w:val="center"/>
        <w:rPr>
          <w:rFonts w:ascii="Times New Roman"/>
          <w:sz w:val="24"/>
          <w:szCs w:val="24"/>
        </w:rPr>
      </w:pPr>
      <w:r>
        <w:rPr>
          <w:rFonts w:ascii="Times New Roman"/>
          <w:b/>
          <w:sz w:val="24"/>
          <w:szCs w:val="24"/>
        </w:rPr>
        <w:t>表3.7-</w:t>
      </w:r>
      <w:r>
        <w:rPr>
          <w:rFonts w:hint="eastAsia" w:ascii="Times New Roman"/>
          <w:b/>
          <w:sz w:val="24"/>
          <w:szCs w:val="24"/>
        </w:rPr>
        <w:t>4</w:t>
      </w:r>
      <w:r>
        <w:rPr>
          <w:rFonts w:ascii="Times New Roman"/>
          <w:b/>
          <w:sz w:val="24"/>
          <w:szCs w:val="24"/>
        </w:rPr>
        <w:t xml:space="preserve">  焊接工序集气罩风量设置情况一览表</w:t>
      </w:r>
    </w:p>
    <w:tbl>
      <w:tblPr>
        <w:tblStyle w:val="84"/>
        <w:tblW w:w="893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612"/>
        <w:gridCol w:w="1197"/>
        <w:gridCol w:w="1755"/>
        <w:gridCol w:w="1596"/>
        <w:gridCol w:w="1616"/>
      </w:tblGrid>
      <w:tr w14:paraId="587DA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62" w:type="dxa"/>
            <w:vAlign w:val="center"/>
          </w:tcPr>
          <w:p w14:paraId="57281945">
            <w:pPr>
              <w:jc w:val="center"/>
              <w:rPr>
                <w:rFonts w:ascii="Times New Roman"/>
                <w:b/>
                <w:bCs/>
                <w:sz w:val="21"/>
                <w:szCs w:val="21"/>
              </w:rPr>
            </w:pPr>
            <w:r>
              <w:rPr>
                <w:rFonts w:ascii="Times New Roman"/>
                <w:b/>
                <w:bCs/>
                <w:sz w:val="21"/>
                <w:szCs w:val="21"/>
              </w:rPr>
              <w:t>收集装置</w:t>
            </w:r>
          </w:p>
        </w:tc>
        <w:tc>
          <w:tcPr>
            <w:tcW w:w="1612" w:type="dxa"/>
            <w:vAlign w:val="center"/>
          </w:tcPr>
          <w:p w14:paraId="3E04E4F4">
            <w:pPr>
              <w:jc w:val="center"/>
              <w:rPr>
                <w:rFonts w:ascii="Times New Roman"/>
                <w:b/>
                <w:bCs/>
                <w:sz w:val="13"/>
                <w:szCs w:val="13"/>
              </w:rPr>
            </w:pPr>
            <w:r>
              <w:rPr>
                <w:rFonts w:ascii="Times New Roman"/>
                <w:b/>
                <w:bCs/>
                <w:sz w:val="21"/>
                <w:szCs w:val="21"/>
              </w:rPr>
              <w:t>罩口面积</w:t>
            </w:r>
            <w:r>
              <w:rPr>
                <w:rFonts w:ascii="Times New Roman" w:eastAsia="Times New Roman"/>
                <w:b/>
                <w:bCs/>
                <w:sz w:val="21"/>
                <w:szCs w:val="21"/>
              </w:rPr>
              <w:t>/m</w:t>
            </w:r>
            <w:r>
              <w:rPr>
                <w:rFonts w:ascii="Times New Roman"/>
                <w:b/>
                <w:bCs/>
                <w:sz w:val="21"/>
                <w:szCs w:val="21"/>
                <w:vertAlign w:val="superscript"/>
              </w:rPr>
              <w:t>2</w:t>
            </w:r>
          </w:p>
        </w:tc>
        <w:tc>
          <w:tcPr>
            <w:tcW w:w="1197" w:type="dxa"/>
            <w:vAlign w:val="center"/>
          </w:tcPr>
          <w:p w14:paraId="08DDF0B1">
            <w:pPr>
              <w:jc w:val="center"/>
              <w:rPr>
                <w:rFonts w:ascii="Times New Roman"/>
                <w:b/>
                <w:bCs/>
                <w:sz w:val="21"/>
                <w:szCs w:val="21"/>
              </w:rPr>
            </w:pPr>
            <w:r>
              <w:rPr>
                <w:rFonts w:ascii="Times New Roman"/>
                <w:b/>
                <w:bCs/>
                <w:sz w:val="21"/>
                <w:szCs w:val="21"/>
              </w:rPr>
              <w:t>个数</w:t>
            </w:r>
            <w:r>
              <w:rPr>
                <w:rFonts w:ascii="Times New Roman" w:eastAsia="Times New Roman"/>
                <w:b/>
                <w:bCs/>
                <w:sz w:val="21"/>
                <w:szCs w:val="21"/>
              </w:rPr>
              <w:t>/</w:t>
            </w:r>
            <w:r>
              <w:rPr>
                <w:rFonts w:ascii="Times New Roman"/>
                <w:b/>
                <w:bCs/>
                <w:sz w:val="21"/>
                <w:szCs w:val="21"/>
              </w:rPr>
              <w:t>个</w:t>
            </w:r>
          </w:p>
        </w:tc>
        <w:tc>
          <w:tcPr>
            <w:tcW w:w="1755" w:type="dxa"/>
            <w:vAlign w:val="center"/>
          </w:tcPr>
          <w:p w14:paraId="051E69D5">
            <w:pPr>
              <w:jc w:val="center"/>
              <w:rPr>
                <w:rFonts w:ascii="Times New Roman"/>
                <w:b/>
                <w:bCs/>
                <w:sz w:val="21"/>
                <w:szCs w:val="21"/>
              </w:rPr>
            </w:pPr>
            <w:r>
              <w:rPr>
                <w:rFonts w:ascii="Times New Roman"/>
                <w:b/>
                <w:bCs/>
                <w:sz w:val="21"/>
                <w:szCs w:val="21"/>
              </w:rPr>
              <w:t>罩口平均风速</w:t>
            </w:r>
          </w:p>
          <w:p w14:paraId="3D2A9433">
            <w:pPr>
              <w:jc w:val="center"/>
              <w:rPr>
                <w:rFonts w:ascii="Times New Roman"/>
                <w:b/>
                <w:bCs/>
                <w:sz w:val="21"/>
                <w:szCs w:val="21"/>
              </w:rPr>
            </w:pPr>
            <w:r>
              <w:rPr>
                <w:rFonts w:ascii="Times New Roman"/>
                <w:b/>
                <w:bCs/>
                <w:sz w:val="21"/>
                <w:szCs w:val="21"/>
              </w:rPr>
              <w:t>(</w:t>
            </w:r>
            <w:r>
              <w:rPr>
                <w:rFonts w:ascii="Times New Roman" w:eastAsia="Times New Roman"/>
                <w:b/>
                <w:bCs/>
                <w:sz w:val="21"/>
                <w:szCs w:val="21"/>
              </w:rPr>
              <w:t>m/s</w:t>
            </w:r>
            <w:r>
              <w:rPr>
                <w:rFonts w:ascii="Times New Roman"/>
                <w:b/>
                <w:bCs/>
                <w:sz w:val="21"/>
                <w:szCs w:val="21"/>
              </w:rPr>
              <w:t>)</w:t>
            </w:r>
          </w:p>
        </w:tc>
        <w:tc>
          <w:tcPr>
            <w:tcW w:w="1596" w:type="dxa"/>
            <w:vAlign w:val="center"/>
          </w:tcPr>
          <w:p w14:paraId="54411026">
            <w:pPr>
              <w:jc w:val="center"/>
              <w:rPr>
                <w:rFonts w:ascii="Times New Roman"/>
                <w:b/>
                <w:bCs/>
                <w:sz w:val="21"/>
                <w:szCs w:val="21"/>
              </w:rPr>
            </w:pPr>
            <w:r>
              <w:rPr>
                <w:rFonts w:ascii="Times New Roman"/>
                <w:b/>
                <w:bCs/>
                <w:sz w:val="21"/>
                <w:szCs w:val="21"/>
              </w:rPr>
              <w:t>理论风量</w:t>
            </w:r>
          </w:p>
          <w:p w14:paraId="7197F00D">
            <w:pPr>
              <w:jc w:val="center"/>
              <w:rPr>
                <w:rFonts w:ascii="Times New Roman"/>
                <w:b/>
                <w:bCs/>
                <w:sz w:val="21"/>
                <w:szCs w:val="21"/>
              </w:rPr>
            </w:pPr>
            <w:r>
              <w:rPr>
                <w:rFonts w:ascii="Times New Roman"/>
                <w:b/>
                <w:bCs/>
                <w:sz w:val="21"/>
                <w:szCs w:val="21"/>
              </w:rPr>
              <w:t>(</w:t>
            </w:r>
            <w:r>
              <w:rPr>
                <w:rFonts w:ascii="Times New Roman" w:eastAsia="Times New Roman"/>
                <w:b/>
                <w:bCs/>
                <w:sz w:val="21"/>
                <w:szCs w:val="21"/>
              </w:rPr>
              <w:t>m</w:t>
            </w:r>
            <w:r>
              <w:rPr>
                <w:rFonts w:ascii="Times New Roman"/>
                <w:b/>
                <w:bCs/>
                <w:sz w:val="21"/>
                <w:szCs w:val="21"/>
                <w:vertAlign w:val="superscript"/>
              </w:rPr>
              <w:t>3</w:t>
            </w:r>
            <w:r>
              <w:rPr>
                <w:rFonts w:ascii="Times New Roman" w:eastAsia="Times New Roman"/>
                <w:b/>
                <w:bCs/>
                <w:sz w:val="21"/>
                <w:szCs w:val="21"/>
              </w:rPr>
              <w:t>/h</w:t>
            </w:r>
            <w:r>
              <w:rPr>
                <w:rFonts w:ascii="Times New Roman"/>
                <w:b/>
                <w:bCs/>
                <w:sz w:val="21"/>
                <w:szCs w:val="21"/>
              </w:rPr>
              <w:t>)</w:t>
            </w:r>
          </w:p>
        </w:tc>
        <w:tc>
          <w:tcPr>
            <w:tcW w:w="1616" w:type="dxa"/>
            <w:tcBorders>
              <w:right w:val="single" w:color="000000" w:sz="8" w:space="0"/>
            </w:tcBorders>
            <w:vAlign w:val="center"/>
          </w:tcPr>
          <w:p w14:paraId="5B78E199">
            <w:pPr>
              <w:jc w:val="center"/>
              <w:rPr>
                <w:rFonts w:ascii="Times New Roman"/>
                <w:b/>
                <w:bCs/>
                <w:sz w:val="21"/>
                <w:szCs w:val="21"/>
              </w:rPr>
            </w:pPr>
            <w:r>
              <w:rPr>
                <w:rFonts w:ascii="Times New Roman"/>
                <w:b/>
                <w:bCs/>
                <w:sz w:val="21"/>
                <w:szCs w:val="21"/>
              </w:rPr>
              <w:t>设备风量</w:t>
            </w:r>
          </w:p>
          <w:p w14:paraId="0F55E34E">
            <w:pPr>
              <w:jc w:val="center"/>
              <w:rPr>
                <w:rFonts w:ascii="Times New Roman"/>
                <w:b/>
                <w:bCs/>
                <w:sz w:val="21"/>
                <w:szCs w:val="21"/>
              </w:rPr>
            </w:pPr>
            <w:r>
              <w:rPr>
                <w:rFonts w:ascii="Times New Roman"/>
                <w:b/>
                <w:bCs/>
                <w:sz w:val="21"/>
                <w:szCs w:val="21"/>
              </w:rPr>
              <w:t>(</w:t>
            </w:r>
            <w:r>
              <w:rPr>
                <w:rFonts w:ascii="Times New Roman" w:eastAsia="Times New Roman"/>
                <w:b/>
                <w:bCs/>
                <w:sz w:val="21"/>
                <w:szCs w:val="21"/>
              </w:rPr>
              <w:t>m</w:t>
            </w:r>
            <w:r>
              <w:rPr>
                <w:rFonts w:ascii="Times New Roman" w:eastAsia="Times New Roman"/>
                <w:b/>
                <w:bCs/>
                <w:sz w:val="21"/>
                <w:szCs w:val="21"/>
                <w:vertAlign w:val="superscript"/>
              </w:rPr>
              <w:t>3</w:t>
            </w:r>
            <w:r>
              <w:rPr>
                <w:rFonts w:ascii="Times New Roman" w:eastAsia="Times New Roman"/>
                <w:b/>
                <w:bCs/>
                <w:sz w:val="21"/>
                <w:szCs w:val="21"/>
              </w:rPr>
              <w:t>/h</w:t>
            </w:r>
            <w:r>
              <w:rPr>
                <w:rFonts w:ascii="Times New Roman"/>
                <w:b/>
                <w:bCs/>
                <w:sz w:val="21"/>
                <w:szCs w:val="21"/>
              </w:rPr>
              <w:t>)</w:t>
            </w:r>
          </w:p>
        </w:tc>
      </w:tr>
      <w:tr w14:paraId="5DA85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162" w:type="dxa"/>
            <w:vAlign w:val="center"/>
          </w:tcPr>
          <w:p w14:paraId="38AEBF00">
            <w:pPr>
              <w:jc w:val="center"/>
              <w:rPr>
                <w:rFonts w:ascii="Times New Roman"/>
                <w:sz w:val="21"/>
                <w:szCs w:val="21"/>
              </w:rPr>
            </w:pPr>
            <w:r>
              <w:rPr>
                <w:rFonts w:ascii="Times New Roman"/>
                <w:sz w:val="21"/>
                <w:szCs w:val="21"/>
              </w:rPr>
              <w:t>（DA002）</w:t>
            </w:r>
          </w:p>
          <w:p w14:paraId="77679169">
            <w:pPr>
              <w:jc w:val="center"/>
              <w:rPr>
                <w:rFonts w:ascii="Times New Roman"/>
                <w:sz w:val="21"/>
                <w:szCs w:val="21"/>
              </w:rPr>
            </w:pPr>
            <w:r>
              <w:rPr>
                <w:rFonts w:ascii="Times New Roman"/>
                <w:sz w:val="21"/>
                <w:szCs w:val="21"/>
              </w:rPr>
              <w:t>集气罩</w:t>
            </w:r>
          </w:p>
        </w:tc>
        <w:tc>
          <w:tcPr>
            <w:tcW w:w="1612" w:type="dxa"/>
            <w:vAlign w:val="center"/>
          </w:tcPr>
          <w:p w14:paraId="03A333AB">
            <w:pPr>
              <w:jc w:val="center"/>
              <w:rPr>
                <w:rFonts w:ascii="Times New Roman"/>
                <w:sz w:val="21"/>
                <w:szCs w:val="21"/>
              </w:rPr>
            </w:pPr>
            <w:r>
              <w:rPr>
                <w:rFonts w:ascii="Times New Roman"/>
                <w:sz w:val="21"/>
                <w:szCs w:val="21"/>
              </w:rPr>
              <w:t>0.12</w:t>
            </w:r>
          </w:p>
          <w:p w14:paraId="57533C15">
            <w:pPr>
              <w:jc w:val="center"/>
              <w:rPr>
                <w:rFonts w:ascii="Times New Roman"/>
                <w:sz w:val="21"/>
                <w:szCs w:val="21"/>
              </w:rPr>
            </w:pPr>
            <w:r>
              <w:rPr>
                <w:rFonts w:ascii="Times New Roman"/>
                <w:sz w:val="21"/>
                <w:szCs w:val="21"/>
              </w:rPr>
              <w:t>（圆口 Φ0.4m）</w:t>
            </w:r>
          </w:p>
        </w:tc>
        <w:tc>
          <w:tcPr>
            <w:tcW w:w="1197" w:type="dxa"/>
            <w:vAlign w:val="center"/>
          </w:tcPr>
          <w:p w14:paraId="4806D2D6">
            <w:pPr>
              <w:jc w:val="center"/>
              <w:rPr>
                <w:rFonts w:ascii="Times New Roman"/>
                <w:sz w:val="21"/>
                <w:szCs w:val="21"/>
              </w:rPr>
            </w:pPr>
            <w:r>
              <w:rPr>
                <w:rFonts w:ascii="Times New Roman"/>
                <w:sz w:val="21"/>
                <w:szCs w:val="21"/>
              </w:rPr>
              <w:t>34</w:t>
            </w:r>
          </w:p>
        </w:tc>
        <w:tc>
          <w:tcPr>
            <w:tcW w:w="1755" w:type="dxa"/>
            <w:vAlign w:val="center"/>
          </w:tcPr>
          <w:p w14:paraId="1B24C2D0">
            <w:pPr>
              <w:jc w:val="center"/>
              <w:rPr>
                <w:rFonts w:ascii="Times New Roman" w:eastAsia="Times New Roman"/>
                <w:sz w:val="21"/>
                <w:szCs w:val="21"/>
              </w:rPr>
            </w:pPr>
            <w:r>
              <w:rPr>
                <w:rFonts w:ascii="Times New Roman" w:eastAsia="Times New Roman"/>
                <w:sz w:val="21"/>
                <w:szCs w:val="21"/>
              </w:rPr>
              <w:t>1</w:t>
            </w:r>
          </w:p>
        </w:tc>
        <w:tc>
          <w:tcPr>
            <w:tcW w:w="1596" w:type="dxa"/>
            <w:vAlign w:val="center"/>
          </w:tcPr>
          <w:p w14:paraId="45E8DAF0">
            <w:pPr>
              <w:jc w:val="center"/>
              <w:rPr>
                <w:rFonts w:ascii="Times New Roman"/>
                <w:sz w:val="21"/>
                <w:szCs w:val="21"/>
              </w:rPr>
            </w:pPr>
            <w:r>
              <w:rPr>
                <w:rFonts w:ascii="Times New Roman"/>
                <w:sz w:val="21"/>
                <w:szCs w:val="21"/>
              </w:rPr>
              <w:t>14688</w:t>
            </w:r>
          </w:p>
        </w:tc>
        <w:tc>
          <w:tcPr>
            <w:tcW w:w="1616" w:type="dxa"/>
            <w:tcBorders>
              <w:right w:val="single" w:color="000000" w:sz="8" w:space="0"/>
            </w:tcBorders>
            <w:vAlign w:val="center"/>
          </w:tcPr>
          <w:p w14:paraId="21372C92">
            <w:pPr>
              <w:jc w:val="center"/>
              <w:rPr>
                <w:rFonts w:ascii="Times New Roman"/>
                <w:sz w:val="21"/>
                <w:szCs w:val="21"/>
              </w:rPr>
            </w:pPr>
            <w:r>
              <w:rPr>
                <w:rFonts w:ascii="Times New Roman"/>
                <w:sz w:val="21"/>
                <w:szCs w:val="21"/>
              </w:rPr>
              <w:t>15000</w:t>
            </w:r>
          </w:p>
        </w:tc>
      </w:tr>
      <w:tr w14:paraId="04512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162" w:type="dxa"/>
            <w:vAlign w:val="center"/>
          </w:tcPr>
          <w:p w14:paraId="576011C5">
            <w:pPr>
              <w:jc w:val="center"/>
              <w:rPr>
                <w:rFonts w:ascii="Times New Roman"/>
                <w:sz w:val="21"/>
                <w:szCs w:val="21"/>
              </w:rPr>
            </w:pPr>
            <w:r>
              <w:rPr>
                <w:rFonts w:ascii="Times New Roman"/>
                <w:sz w:val="21"/>
                <w:szCs w:val="21"/>
              </w:rPr>
              <w:t>（DA003）</w:t>
            </w:r>
          </w:p>
          <w:p w14:paraId="499A10D3">
            <w:pPr>
              <w:jc w:val="center"/>
              <w:rPr>
                <w:rFonts w:ascii="Times New Roman"/>
                <w:sz w:val="21"/>
                <w:szCs w:val="21"/>
              </w:rPr>
            </w:pPr>
            <w:r>
              <w:rPr>
                <w:rFonts w:ascii="Times New Roman"/>
                <w:sz w:val="21"/>
                <w:szCs w:val="21"/>
              </w:rPr>
              <w:t>集气罩</w:t>
            </w:r>
          </w:p>
        </w:tc>
        <w:tc>
          <w:tcPr>
            <w:tcW w:w="1612" w:type="dxa"/>
            <w:vAlign w:val="center"/>
          </w:tcPr>
          <w:p w14:paraId="35FA50E9">
            <w:pPr>
              <w:jc w:val="center"/>
              <w:rPr>
                <w:rFonts w:ascii="Times New Roman"/>
                <w:sz w:val="21"/>
                <w:szCs w:val="21"/>
              </w:rPr>
            </w:pPr>
            <w:r>
              <w:rPr>
                <w:rFonts w:ascii="Times New Roman"/>
                <w:sz w:val="21"/>
                <w:szCs w:val="21"/>
              </w:rPr>
              <w:t>0.12</w:t>
            </w:r>
          </w:p>
          <w:p w14:paraId="013116D6">
            <w:pPr>
              <w:jc w:val="center"/>
              <w:rPr>
                <w:rFonts w:ascii="Times New Roman"/>
                <w:sz w:val="21"/>
                <w:szCs w:val="21"/>
              </w:rPr>
            </w:pPr>
            <w:r>
              <w:rPr>
                <w:rFonts w:ascii="Times New Roman"/>
                <w:sz w:val="21"/>
                <w:szCs w:val="21"/>
              </w:rPr>
              <w:t>（圆口 Φ0.4m）</w:t>
            </w:r>
          </w:p>
        </w:tc>
        <w:tc>
          <w:tcPr>
            <w:tcW w:w="1197" w:type="dxa"/>
            <w:vAlign w:val="center"/>
          </w:tcPr>
          <w:p w14:paraId="3B68FDFB">
            <w:pPr>
              <w:jc w:val="center"/>
              <w:rPr>
                <w:rFonts w:ascii="Times New Roman"/>
                <w:sz w:val="21"/>
                <w:szCs w:val="21"/>
              </w:rPr>
            </w:pPr>
            <w:r>
              <w:rPr>
                <w:rFonts w:ascii="Times New Roman"/>
                <w:sz w:val="21"/>
                <w:szCs w:val="21"/>
              </w:rPr>
              <w:t>29</w:t>
            </w:r>
          </w:p>
        </w:tc>
        <w:tc>
          <w:tcPr>
            <w:tcW w:w="1755" w:type="dxa"/>
            <w:vAlign w:val="center"/>
          </w:tcPr>
          <w:p w14:paraId="55C6FDD0">
            <w:pPr>
              <w:jc w:val="center"/>
              <w:rPr>
                <w:rFonts w:ascii="Times New Roman"/>
                <w:sz w:val="21"/>
                <w:szCs w:val="21"/>
              </w:rPr>
            </w:pPr>
            <w:r>
              <w:rPr>
                <w:rFonts w:ascii="Times New Roman"/>
                <w:sz w:val="21"/>
                <w:szCs w:val="21"/>
              </w:rPr>
              <w:t>1</w:t>
            </w:r>
          </w:p>
        </w:tc>
        <w:tc>
          <w:tcPr>
            <w:tcW w:w="1596" w:type="dxa"/>
            <w:vAlign w:val="center"/>
          </w:tcPr>
          <w:p w14:paraId="06AA31AA">
            <w:pPr>
              <w:jc w:val="center"/>
              <w:rPr>
                <w:rFonts w:ascii="Times New Roman"/>
                <w:sz w:val="21"/>
                <w:szCs w:val="21"/>
              </w:rPr>
            </w:pPr>
            <w:r>
              <w:rPr>
                <w:rFonts w:ascii="Times New Roman"/>
                <w:sz w:val="21"/>
                <w:szCs w:val="21"/>
              </w:rPr>
              <w:t>12528</w:t>
            </w:r>
          </w:p>
        </w:tc>
        <w:tc>
          <w:tcPr>
            <w:tcW w:w="1616" w:type="dxa"/>
            <w:tcBorders>
              <w:right w:val="single" w:color="000000" w:sz="8" w:space="0"/>
            </w:tcBorders>
            <w:vAlign w:val="center"/>
          </w:tcPr>
          <w:p w14:paraId="4A024D08">
            <w:pPr>
              <w:jc w:val="center"/>
              <w:rPr>
                <w:rFonts w:ascii="Times New Roman"/>
                <w:sz w:val="21"/>
                <w:szCs w:val="21"/>
              </w:rPr>
            </w:pPr>
            <w:r>
              <w:rPr>
                <w:rFonts w:ascii="Times New Roman"/>
                <w:sz w:val="21"/>
                <w:szCs w:val="21"/>
              </w:rPr>
              <w:t>15000</w:t>
            </w:r>
          </w:p>
        </w:tc>
      </w:tr>
      <w:tr w14:paraId="1E60F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162" w:type="dxa"/>
            <w:vAlign w:val="center"/>
          </w:tcPr>
          <w:p w14:paraId="7E8B6F1A">
            <w:pPr>
              <w:jc w:val="center"/>
              <w:rPr>
                <w:rFonts w:ascii="Times New Roman"/>
                <w:sz w:val="21"/>
                <w:szCs w:val="21"/>
              </w:rPr>
            </w:pPr>
            <w:r>
              <w:rPr>
                <w:rFonts w:ascii="Times New Roman"/>
                <w:sz w:val="21"/>
                <w:szCs w:val="21"/>
              </w:rPr>
              <w:t>（DA004）</w:t>
            </w:r>
          </w:p>
          <w:p w14:paraId="465E9785">
            <w:pPr>
              <w:jc w:val="center"/>
              <w:rPr>
                <w:rFonts w:ascii="Times New Roman"/>
                <w:sz w:val="21"/>
                <w:szCs w:val="21"/>
              </w:rPr>
            </w:pPr>
            <w:r>
              <w:rPr>
                <w:rFonts w:ascii="Times New Roman"/>
                <w:sz w:val="21"/>
                <w:szCs w:val="21"/>
              </w:rPr>
              <w:t>集气罩</w:t>
            </w:r>
          </w:p>
        </w:tc>
        <w:tc>
          <w:tcPr>
            <w:tcW w:w="1612" w:type="dxa"/>
            <w:vAlign w:val="center"/>
          </w:tcPr>
          <w:p w14:paraId="15FA898A">
            <w:pPr>
              <w:jc w:val="center"/>
              <w:rPr>
                <w:rFonts w:ascii="Times New Roman"/>
                <w:sz w:val="21"/>
                <w:szCs w:val="21"/>
              </w:rPr>
            </w:pPr>
            <w:r>
              <w:rPr>
                <w:rFonts w:ascii="Times New Roman"/>
                <w:sz w:val="21"/>
                <w:szCs w:val="21"/>
              </w:rPr>
              <w:t>0.12</w:t>
            </w:r>
          </w:p>
          <w:p w14:paraId="66BCDAC2">
            <w:pPr>
              <w:jc w:val="center"/>
              <w:rPr>
                <w:rFonts w:ascii="Times New Roman"/>
                <w:sz w:val="21"/>
                <w:szCs w:val="21"/>
              </w:rPr>
            </w:pPr>
            <w:r>
              <w:rPr>
                <w:rFonts w:ascii="Times New Roman"/>
                <w:sz w:val="21"/>
                <w:szCs w:val="21"/>
              </w:rPr>
              <w:t>（圆口 Φ0.4m）</w:t>
            </w:r>
          </w:p>
        </w:tc>
        <w:tc>
          <w:tcPr>
            <w:tcW w:w="1197" w:type="dxa"/>
            <w:vAlign w:val="center"/>
          </w:tcPr>
          <w:p w14:paraId="0E15A58A">
            <w:pPr>
              <w:jc w:val="center"/>
              <w:rPr>
                <w:rFonts w:ascii="Times New Roman"/>
                <w:sz w:val="21"/>
                <w:szCs w:val="21"/>
              </w:rPr>
            </w:pPr>
            <w:r>
              <w:rPr>
                <w:rFonts w:ascii="Times New Roman"/>
                <w:sz w:val="21"/>
                <w:szCs w:val="21"/>
              </w:rPr>
              <w:t>21</w:t>
            </w:r>
          </w:p>
        </w:tc>
        <w:tc>
          <w:tcPr>
            <w:tcW w:w="1755" w:type="dxa"/>
            <w:vAlign w:val="center"/>
          </w:tcPr>
          <w:p w14:paraId="22C3B0D1">
            <w:pPr>
              <w:jc w:val="center"/>
              <w:rPr>
                <w:rFonts w:ascii="Times New Roman"/>
                <w:sz w:val="21"/>
                <w:szCs w:val="21"/>
              </w:rPr>
            </w:pPr>
            <w:r>
              <w:rPr>
                <w:rFonts w:ascii="Times New Roman"/>
                <w:sz w:val="21"/>
                <w:szCs w:val="21"/>
              </w:rPr>
              <w:t>1</w:t>
            </w:r>
          </w:p>
        </w:tc>
        <w:tc>
          <w:tcPr>
            <w:tcW w:w="1596" w:type="dxa"/>
            <w:vAlign w:val="center"/>
          </w:tcPr>
          <w:p w14:paraId="09397570">
            <w:pPr>
              <w:jc w:val="center"/>
              <w:rPr>
                <w:rFonts w:ascii="Times New Roman"/>
                <w:sz w:val="21"/>
                <w:szCs w:val="21"/>
              </w:rPr>
            </w:pPr>
            <w:r>
              <w:rPr>
                <w:rFonts w:ascii="Times New Roman"/>
                <w:sz w:val="21"/>
                <w:szCs w:val="21"/>
              </w:rPr>
              <w:t>9072</w:t>
            </w:r>
          </w:p>
        </w:tc>
        <w:tc>
          <w:tcPr>
            <w:tcW w:w="1616" w:type="dxa"/>
            <w:tcBorders>
              <w:right w:val="single" w:color="000000" w:sz="8" w:space="0"/>
            </w:tcBorders>
            <w:vAlign w:val="center"/>
          </w:tcPr>
          <w:p w14:paraId="75B6E63A">
            <w:pPr>
              <w:jc w:val="center"/>
              <w:rPr>
                <w:rFonts w:ascii="Times New Roman"/>
                <w:sz w:val="21"/>
                <w:szCs w:val="21"/>
              </w:rPr>
            </w:pPr>
            <w:r>
              <w:rPr>
                <w:rFonts w:ascii="Times New Roman"/>
                <w:sz w:val="21"/>
                <w:szCs w:val="21"/>
              </w:rPr>
              <w:t>15000</w:t>
            </w:r>
          </w:p>
        </w:tc>
      </w:tr>
    </w:tbl>
    <w:p w14:paraId="1AEED954">
      <w:pPr>
        <w:spacing w:before="10" w:line="360" w:lineRule="auto"/>
        <w:ind w:firstLine="480" w:firstLineChars="200"/>
        <w:rPr>
          <w:rFonts w:ascii="Times New Roman"/>
          <w:sz w:val="24"/>
          <w:szCs w:val="24"/>
        </w:rPr>
      </w:pPr>
      <w:r>
        <w:rPr>
          <w:rFonts w:ascii="Times New Roman"/>
          <w:sz w:val="24"/>
          <w:szCs w:val="24"/>
        </w:rPr>
        <w:t>项目集气罩收集效率90%，布袋除尘器处理除尘效率为99%，则：</w:t>
      </w:r>
    </w:p>
    <w:p w14:paraId="182079CA">
      <w:pPr>
        <w:spacing w:before="10" w:line="360" w:lineRule="auto"/>
        <w:ind w:firstLine="480" w:firstLineChars="200"/>
        <w:rPr>
          <w:rFonts w:ascii="Times New Roman"/>
          <w:sz w:val="24"/>
          <w:szCs w:val="24"/>
        </w:rPr>
      </w:pPr>
      <w:r>
        <w:rPr>
          <w:rFonts w:ascii="Times New Roman"/>
          <w:sz w:val="24"/>
          <w:szCs w:val="24"/>
        </w:rPr>
        <w:t>排气筒DA002颗粒物有组织产生速率为0.190kg/h（1.364t/a），产生浓度为12.633mg/m</w:t>
      </w:r>
      <w:r>
        <w:rPr>
          <w:rFonts w:ascii="Times New Roman"/>
          <w:sz w:val="24"/>
          <w:szCs w:val="24"/>
          <w:vertAlign w:val="superscript"/>
        </w:rPr>
        <w:t>3</w:t>
      </w:r>
      <w:r>
        <w:rPr>
          <w:rFonts w:ascii="Times New Roman"/>
          <w:sz w:val="24"/>
          <w:szCs w:val="24"/>
        </w:rPr>
        <w:t>，经处理后，废气中颗粒物排放速率为0.002kg/h（0.014t/a），排放浓度为0.126mg/m</w:t>
      </w:r>
      <w:r>
        <w:rPr>
          <w:rFonts w:ascii="Times New Roman"/>
          <w:sz w:val="24"/>
          <w:szCs w:val="24"/>
          <w:vertAlign w:val="superscript"/>
        </w:rPr>
        <w:t>3</w:t>
      </w:r>
      <w:r>
        <w:rPr>
          <w:rFonts w:ascii="Times New Roman"/>
          <w:sz w:val="24"/>
          <w:szCs w:val="24"/>
        </w:rPr>
        <w:t>；</w:t>
      </w:r>
    </w:p>
    <w:p w14:paraId="276CCB31">
      <w:pPr>
        <w:spacing w:before="10" w:line="360" w:lineRule="auto"/>
        <w:ind w:firstLine="480" w:firstLineChars="200"/>
        <w:rPr>
          <w:rFonts w:ascii="Times New Roman"/>
          <w:sz w:val="24"/>
          <w:szCs w:val="24"/>
        </w:rPr>
      </w:pPr>
      <w:r>
        <w:rPr>
          <w:rFonts w:ascii="Times New Roman"/>
          <w:sz w:val="24"/>
          <w:szCs w:val="24"/>
        </w:rPr>
        <w:t>排气筒DA003颗粒物有组织产生速率为0.230kg/h（1.654t/a），产生浓度为15.317mg/m</w:t>
      </w:r>
      <w:r>
        <w:rPr>
          <w:rFonts w:ascii="Times New Roman"/>
          <w:sz w:val="24"/>
          <w:szCs w:val="24"/>
          <w:vertAlign w:val="superscript"/>
        </w:rPr>
        <w:t>3</w:t>
      </w:r>
      <w:r>
        <w:rPr>
          <w:rFonts w:ascii="Times New Roman"/>
          <w:sz w:val="24"/>
          <w:szCs w:val="24"/>
        </w:rPr>
        <w:t>，经处理后，废气中颗粒物排放速率为0.002kg/h（0.016t/a），排放浓度为0.153mg/m</w:t>
      </w:r>
      <w:r>
        <w:rPr>
          <w:rFonts w:ascii="Times New Roman"/>
          <w:sz w:val="24"/>
          <w:szCs w:val="24"/>
          <w:vertAlign w:val="superscript"/>
        </w:rPr>
        <w:t>3</w:t>
      </w:r>
      <w:r>
        <w:rPr>
          <w:rFonts w:ascii="Times New Roman"/>
          <w:sz w:val="24"/>
          <w:szCs w:val="24"/>
        </w:rPr>
        <w:t>；</w:t>
      </w:r>
    </w:p>
    <w:p w14:paraId="1B7FBABB">
      <w:pPr>
        <w:spacing w:before="10" w:line="360" w:lineRule="auto"/>
        <w:ind w:firstLine="480" w:firstLineChars="200"/>
        <w:rPr>
          <w:rFonts w:ascii="Times New Roman"/>
          <w:sz w:val="24"/>
          <w:szCs w:val="24"/>
        </w:rPr>
      </w:pPr>
      <w:r>
        <w:rPr>
          <w:rFonts w:ascii="Times New Roman"/>
          <w:sz w:val="24"/>
          <w:szCs w:val="24"/>
        </w:rPr>
        <w:t>排气筒DA004颗粒物有组织产生速率为0.195kg/h（1.406t/a），产生浓度为13.017mg/m</w:t>
      </w:r>
      <w:r>
        <w:rPr>
          <w:rFonts w:ascii="Times New Roman"/>
          <w:sz w:val="24"/>
          <w:szCs w:val="24"/>
          <w:vertAlign w:val="superscript"/>
        </w:rPr>
        <w:t>3</w:t>
      </w:r>
      <w:r>
        <w:rPr>
          <w:rFonts w:ascii="Times New Roman"/>
          <w:sz w:val="24"/>
          <w:szCs w:val="24"/>
        </w:rPr>
        <w:t>，经处理后，废气中颗粒物排放速率为0.002kg/h（0.014t/a），排放浓度为0.130mg/m</w:t>
      </w:r>
      <w:r>
        <w:rPr>
          <w:rFonts w:ascii="Times New Roman"/>
          <w:sz w:val="24"/>
          <w:szCs w:val="24"/>
          <w:vertAlign w:val="superscript"/>
        </w:rPr>
        <w:t>3</w:t>
      </w:r>
      <w:r>
        <w:rPr>
          <w:rFonts w:ascii="Times New Roman"/>
          <w:sz w:val="24"/>
          <w:szCs w:val="24"/>
        </w:rPr>
        <w:t>。</w:t>
      </w:r>
    </w:p>
    <w:p w14:paraId="5D09177A">
      <w:pPr>
        <w:spacing w:before="10" w:line="360" w:lineRule="auto"/>
        <w:ind w:firstLine="480" w:firstLineChars="200"/>
        <w:rPr>
          <w:rFonts w:ascii="Times New Roman"/>
          <w:sz w:val="24"/>
          <w:szCs w:val="24"/>
        </w:rPr>
      </w:pPr>
      <w:r>
        <w:rPr>
          <w:rFonts w:ascii="Times New Roman"/>
          <w:sz w:val="24"/>
          <w:szCs w:val="24"/>
        </w:rPr>
        <w:t>有组织焊接废气颗粒物排放均满足《钢铁工业大气污染物超低排放标准》（DB13/2169-2018）表1轧钢“热处理炉、拉矫、精整、抛丸、修磨、焊接机及其他生产设施”排放限值要求。</w:t>
      </w:r>
    </w:p>
    <w:p w14:paraId="0F9372C5">
      <w:pPr>
        <w:spacing w:line="360" w:lineRule="auto"/>
        <w:ind w:firstLine="482" w:firstLineChars="200"/>
        <w:rPr>
          <w:rFonts w:ascii="Times New Roman"/>
          <w:b/>
          <w:sz w:val="24"/>
          <w:szCs w:val="24"/>
        </w:rPr>
      </w:pPr>
      <w:r>
        <w:rPr>
          <w:rFonts w:ascii="Times New Roman"/>
          <w:b/>
          <w:sz w:val="24"/>
          <w:szCs w:val="24"/>
        </w:rPr>
        <w:t>2、无组织废气</w:t>
      </w:r>
    </w:p>
    <w:p w14:paraId="35573968">
      <w:pPr>
        <w:spacing w:line="360" w:lineRule="auto"/>
        <w:ind w:firstLine="480" w:firstLineChars="200"/>
        <w:rPr>
          <w:rFonts w:ascii="Times New Roman"/>
          <w:sz w:val="24"/>
          <w:szCs w:val="24"/>
        </w:rPr>
      </w:pPr>
      <w:r>
        <w:rPr>
          <w:rFonts w:ascii="Times New Roman"/>
          <w:sz w:val="24"/>
          <w:szCs w:val="24"/>
        </w:rPr>
        <w:t>项目焊接无组织废气主要为（区域1~</w:t>
      </w:r>
      <w:r>
        <w:rPr>
          <w:rFonts w:hint="eastAsia" w:ascii="Times New Roman"/>
          <w:sz w:val="24"/>
          <w:szCs w:val="24"/>
        </w:rPr>
        <w:t>4</w:t>
      </w:r>
      <w:r>
        <w:rPr>
          <w:rFonts w:ascii="Times New Roman"/>
          <w:sz w:val="24"/>
          <w:szCs w:val="24"/>
        </w:rPr>
        <w:t>、区域14）焊接工序产生的废气及集气罩未收集废气。</w:t>
      </w:r>
    </w:p>
    <w:p w14:paraId="7B461C5F">
      <w:pPr>
        <w:spacing w:line="360" w:lineRule="auto"/>
        <w:ind w:firstLine="516" w:firstLineChars="200"/>
        <w:rPr>
          <w:rFonts w:ascii="Times New Roman"/>
          <w:spacing w:val="9"/>
          <w:sz w:val="24"/>
          <w:szCs w:val="24"/>
        </w:rPr>
      </w:pPr>
      <w:r>
        <w:rPr>
          <w:rFonts w:ascii="Times New Roman"/>
          <w:spacing w:val="9"/>
          <w:sz w:val="24"/>
          <w:szCs w:val="24"/>
        </w:rPr>
        <w:t>①</w:t>
      </w:r>
      <w:r>
        <w:rPr>
          <w:rFonts w:ascii="Times New Roman"/>
          <w:sz w:val="24"/>
          <w:szCs w:val="24"/>
        </w:rPr>
        <w:t>（区域1~</w:t>
      </w:r>
      <w:r>
        <w:rPr>
          <w:rFonts w:hint="eastAsia" w:ascii="Times New Roman"/>
          <w:sz w:val="24"/>
          <w:szCs w:val="24"/>
        </w:rPr>
        <w:t>4</w:t>
      </w:r>
      <w:r>
        <w:rPr>
          <w:rFonts w:ascii="Times New Roman"/>
          <w:sz w:val="24"/>
          <w:szCs w:val="24"/>
        </w:rPr>
        <w:t>、区域14）焊接废气</w:t>
      </w:r>
    </w:p>
    <w:p w14:paraId="30FF596B">
      <w:pPr>
        <w:spacing w:line="360" w:lineRule="auto"/>
        <w:ind w:firstLine="480" w:firstLineChars="200"/>
        <w:rPr>
          <w:rFonts w:ascii="Times New Roman"/>
          <w:spacing w:val="9"/>
          <w:sz w:val="24"/>
          <w:szCs w:val="24"/>
        </w:rPr>
      </w:pPr>
      <w:r>
        <w:rPr>
          <w:rFonts w:ascii="Times New Roman"/>
          <w:sz w:val="24"/>
          <w:szCs w:val="24"/>
        </w:rPr>
        <w:t>项目（区域1~</w:t>
      </w:r>
      <w:r>
        <w:rPr>
          <w:rFonts w:hint="eastAsia" w:ascii="Times New Roman"/>
          <w:sz w:val="24"/>
          <w:szCs w:val="24"/>
        </w:rPr>
        <w:t>4</w:t>
      </w:r>
      <w:r>
        <w:rPr>
          <w:rFonts w:ascii="Times New Roman"/>
          <w:sz w:val="24"/>
          <w:szCs w:val="24"/>
        </w:rPr>
        <w:t>、区域14）焊接工序运行时间为2400h/a，焊丝用量为30t/a，</w:t>
      </w:r>
      <w:r>
        <w:rPr>
          <w:rFonts w:ascii="Times New Roman"/>
          <w:bCs/>
          <w:sz w:val="24"/>
          <w:szCs w:val="24"/>
        </w:rPr>
        <w:t>焊接环节的产排污系数核算颗粒物的产生源强为9.19千克/吨-原料，</w:t>
      </w:r>
      <w:r>
        <w:rPr>
          <w:rFonts w:ascii="Times New Roman"/>
          <w:sz w:val="24"/>
          <w:szCs w:val="24"/>
        </w:rPr>
        <w:t>故焊接废气产生量为0.276t/a，产生速率为0.115kg/h。</w:t>
      </w:r>
    </w:p>
    <w:p w14:paraId="28AE9D9D">
      <w:pPr>
        <w:spacing w:line="360" w:lineRule="auto"/>
        <w:ind w:firstLine="516" w:firstLineChars="200"/>
        <w:rPr>
          <w:rFonts w:ascii="Times New Roman"/>
          <w:spacing w:val="9"/>
          <w:sz w:val="24"/>
          <w:szCs w:val="24"/>
        </w:rPr>
      </w:pPr>
      <w:r>
        <w:rPr>
          <w:rFonts w:ascii="Times New Roman"/>
          <w:spacing w:val="9"/>
          <w:sz w:val="24"/>
          <w:szCs w:val="24"/>
        </w:rPr>
        <w:t>滚筒类结构件及滚筒车间焊接工序（区域1~</w:t>
      </w:r>
      <w:r>
        <w:rPr>
          <w:rFonts w:hint="eastAsia" w:ascii="Times New Roman"/>
          <w:spacing w:val="9"/>
          <w:sz w:val="24"/>
          <w:szCs w:val="24"/>
        </w:rPr>
        <w:t>4</w:t>
      </w:r>
      <w:r>
        <w:rPr>
          <w:rFonts w:ascii="Times New Roman"/>
          <w:spacing w:val="9"/>
          <w:sz w:val="24"/>
          <w:szCs w:val="24"/>
        </w:rPr>
        <w:t>、区域14）废气经集气罩（四周设置软帘）收集后，经</w:t>
      </w:r>
      <w:r>
        <w:rPr>
          <w:rFonts w:hint="eastAsia" w:ascii="Times New Roman"/>
          <w:spacing w:val="9"/>
          <w:sz w:val="24"/>
          <w:szCs w:val="24"/>
        </w:rPr>
        <w:t>5</w:t>
      </w:r>
      <w:r>
        <w:rPr>
          <w:rFonts w:ascii="Times New Roman"/>
          <w:spacing w:val="9"/>
          <w:sz w:val="24"/>
          <w:szCs w:val="24"/>
        </w:rPr>
        <w:t>套布袋除尘器（各区域设置1套）处理后无组织外排。</w:t>
      </w:r>
      <w:r>
        <w:rPr>
          <w:rFonts w:ascii="Times New Roman"/>
          <w:sz w:val="24"/>
          <w:szCs w:val="24"/>
        </w:rPr>
        <w:t>项目集气罩收集效率90%，布袋除尘器处理除尘效率为99%，则（区域1~</w:t>
      </w:r>
      <w:r>
        <w:rPr>
          <w:rFonts w:hint="eastAsia" w:ascii="Times New Roman"/>
          <w:sz w:val="24"/>
          <w:szCs w:val="24"/>
        </w:rPr>
        <w:t>4</w:t>
      </w:r>
      <w:r>
        <w:rPr>
          <w:rFonts w:ascii="Times New Roman"/>
          <w:sz w:val="24"/>
          <w:szCs w:val="24"/>
        </w:rPr>
        <w:t>、区域14）焊接废气排放量为0.002t/a。</w:t>
      </w:r>
    </w:p>
    <w:p w14:paraId="15B17EE6">
      <w:pPr>
        <w:spacing w:line="360" w:lineRule="auto"/>
        <w:ind w:firstLine="516" w:firstLineChars="200"/>
        <w:rPr>
          <w:rFonts w:ascii="Times New Roman"/>
          <w:spacing w:val="9"/>
          <w:sz w:val="24"/>
          <w:szCs w:val="24"/>
        </w:rPr>
      </w:pPr>
      <w:r>
        <w:rPr>
          <w:rFonts w:ascii="Times New Roman"/>
          <w:spacing w:val="9"/>
          <w:sz w:val="24"/>
          <w:szCs w:val="24"/>
        </w:rPr>
        <w:t>②集气罩未收集废气</w:t>
      </w:r>
    </w:p>
    <w:p w14:paraId="34653CCA">
      <w:pPr>
        <w:spacing w:line="360" w:lineRule="auto"/>
        <w:ind w:firstLine="516" w:firstLineChars="200"/>
        <w:rPr>
          <w:rFonts w:ascii="Times New Roman"/>
          <w:sz w:val="24"/>
          <w:szCs w:val="24"/>
        </w:rPr>
      </w:pPr>
      <w:r>
        <w:rPr>
          <w:rFonts w:ascii="Times New Roman"/>
          <w:spacing w:val="9"/>
          <w:sz w:val="24"/>
          <w:szCs w:val="24"/>
        </w:rPr>
        <w:t>项目集气罩未收集废气量为0.520</w:t>
      </w:r>
      <w:r>
        <w:rPr>
          <w:rFonts w:ascii="Times New Roman"/>
          <w:sz w:val="24"/>
          <w:szCs w:val="24"/>
        </w:rPr>
        <w:t>t/a。</w:t>
      </w:r>
    </w:p>
    <w:p w14:paraId="0BB55CA9">
      <w:pPr>
        <w:spacing w:line="360" w:lineRule="auto"/>
        <w:ind w:firstLine="480" w:firstLineChars="200"/>
        <w:rPr>
          <w:rFonts w:ascii="Times New Roman"/>
          <w:sz w:val="24"/>
          <w:szCs w:val="24"/>
        </w:rPr>
      </w:pPr>
      <w:r>
        <w:rPr>
          <w:rFonts w:ascii="Times New Roman"/>
          <w:sz w:val="24"/>
          <w:szCs w:val="24"/>
        </w:rPr>
        <w:t>综上，项目焊接工序无组织颗粒物</w:t>
      </w:r>
      <w:r>
        <w:rPr>
          <w:rFonts w:hint="eastAsia" w:ascii="Times New Roman"/>
          <w:sz w:val="24"/>
          <w:szCs w:val="24"/>
        </w:rPr>
        <w:t>产生</w:t>
      </w:r>
      <w:r>
        <w:rPr>
          <w:rFonts w:ascii="Times New Roman"/>
          <w:sz w:val="24"/>
          <w:szCs w:val="24"/>
        </w:rPr>
        <w:t>量为0.522t/a，</w:t>
      </w:r>
      <w:r>
        <w:rPr>
          <w:rFonts w:hint="eastAsia" w:ascii="Times New Roman"/>
          <w:sz w:val="24"/>
          <w:szCs w:val="24"/>
        </w:rPr>
        <w:t>产生</w:t>
      </w:r>
      <w:r>
        <w:rPr>
          <w:rFonts w:ascii="Times New Roman"/>
          <w:sz w:val="24"/>
          <w:szCs w:val="24"/>
        </w:rPr>
        <w:t>速率为0.072kg/h。</w:t>
      </w:r>
    </w:p>
    <w:p w14:paraId="27BBB00E">
      <w:pPr>
        <w:numPr>
          <w:ilvl w:val="0"/>
          <w:numId w:val="13"/>
        </w:numPr>
        <w:spacing w:line="360" w:lineRule="auto"/>
        <w:ind w:firstLine="516" w:firstLineChars="200"/>
        <w:rPr>
          <w:rFonts w:ascii="Times New Roman"/>
          <w:spacing w:val="9"/>
          <w:sz w:val="24"/>
          <w:szCs w:val="24"/>
        </w:rPr>
      </w:pPr>
      <w:r>
        <w:rPr>
          <w:rFonts w:ascii="Times New Roman"/>
          <w:spacing w:val="9"/>
          <w:sz w:val="24"/>
          <w:szCs w:val="24"/>
        </w:rPr>
        <w:t>热处理车炉加热工序废气</w:t>
      </w:r>
    </w:p>
    <w:p w14:paraId="573A0B6B">
      <w:pPr>
        <w:spacing w:line="360" w:lineRule="auto"/>
        <w:ind w:firstLine="480" w:firstLineChars="200"/>
        <w:rPr>
          <w:rFonts w:ascii="Times New Roman"/>
          <w:bCs/>
          <w:sz w:val="24"/>
          <w:szCs w:val="24"/>
        </w:rPr>
      </w:pPr>
      <w:r>
        <w:rPr>
          <w:rFonts w:ascii="Times New Roman"/>
          <w:bCs/>
          <w:sz w:val="24"/>
          <w:szCs w:val="24"/>
        </w:rPr>
        <w:t>项目</w:t>
      </w:r>
      <w:r>
        <w:rPr>
          <w:rFonts w:ascii="Times New Roman"/>
          <w:spacing w:val="9"/>
          <w:sz w:val="24"/>
          <w:szCs w:val="24"/>
        </w:rPr>
        <w:t>热处理车炉采用</w:t>
      </w:r>
      <w:r>
        <w:rPr>
          <w:rFonts w:ascii="Times New Roman"/>
          <w:bCs/>
          <w:sz w:val="24"/>
          <w:szCs w:val="24"/>
        </w:rPr>
        <w:t>天然气</w:t>
      </w:r>
      <w:r>
        <w:rPr>
          <w:rFonts w:ascii="Times New Roman"/>
          <w:spacing w:val="9"/>
          <w:sz w:val="24"/>
          <w:szCs w:val="24"/>
        </w:rPr>
        <w:t>加热</w:t>
      </w:r>
      <w:r>
        <w:rPr>
          <w:rFonts w:ascii="Times New Roman"/>
          <w:bCs/>
          <w:sz w:val="24"/>
          <w:szCs w:val="24"/>
        </w:rPr>
        <w:t>。燃烧器运行过程中有烟气产生，污染物主要为烟气黑度、SO</w:t>
      </w:r>
      <w:r>
        <w:rPr>
          <w:rFonts w:ascii="Times New Roman"/>
          <w:bCs/>
          <w:sz w:val="24"/>
          <w:szCs w:val="24"/>
          <w:vertAlign w:val="subscript"/>
        </w:rPr>
        <w:t>2</w:t>
      </w:r>
      <w:r>
        <w:rPr>
          <w:rFonts w:ascii="Times New Roman"/>
          <w:bCs/>
          <w:sz w:val="24"/>
          <w:szCs w:val="24"/>
        </w:rPr>
        <w:t>、NOx和颗粒物，废气通过1根20m高排气筒（DA005）排放。</w:t>
      </w:r>
    </w:p>
    <w:p w14:paraId="2CDBDB90">
      <w:pPr>
        <w:spacing w:line="360" w:lineRule="auto"/>
        <w:ind w:firstLine="480" w:firstLineChars="200"/>
        <w:rPr>
          <w:rFonts w:ascii="Times New Roman"/>
          <w:sz w:val="24"/>
          <w:szCs w:val="24"/>
        </w:rPr>
      </w:pPr>
      <w:r>
        <w:rPr>
          <w:rFonts w:ascii="Times New Roman"/>
          <w:bCs/>
          <w:sz w:val="24"/>
          <w:szCs w:val="24"/>
        </w:rPr>
        <w:t>项目</w:t>
      </w:r>
      <w:r>
        <w:rPr>
          <w:rFonts w:ascii="Times New Roman"/>
          <w:spacing w:val="9"/>
          <w:sz w:val="24"/>
          <w:szCs w:val="24"/>
        </w:rPr>
        <w:t>热处理车炉</w:t>
      </w:r>
      <w:r>
        <w:rPr>
          <w:rFonts w:ascii="Times New Roman"/>
          <w:bCs/>
          <w:sz w:val="24"/>
          <w:szCs w:val="24"/>
        </w:rPr>
        <w:t>年运行7200h，天然气消耗量为88.8万m</w:t>
      </w:r>
      <w:r>
        <w:rPr>
          <w:rFonts w:ascii="Times New Roman"/>
          <w:bCs/>
          <w:sz w:val="24"/>
          <w:szCs w:val="24"/>
          <w:vertAlign w:val="superscript"/>
        </w:rPr>
        <w:t>3</w:t>
      </w:r>
      <w:r>
        <w:rPr>
          <w:rFonts w:ascii="Times New Roman"/>
          <w:bCs/>
          <w:sz w:val="24"/>
          <w:szCs w:val="24"/>
        </w:rPr>
        <w:t>。根据《第二次全国污染源普查工业污染源普查》C33-C37行业核算环节-12 热处理核算环节系数，废气中污染物产排污系数如下表所示。</w:t>
      </w:r>
    </w:p>
    <w:p w14:paraId="7FB196E4">
      <w:pPr>
        <w:spacing w:line="360" w:lineRule="auto"/>
        <w:jc w:val="center"/>
        <w:rPr>
          <w:rFonts w:ascii="Times New Roman"/>
          <w:b/>
          <w:bCs/>
          <w:sz w:val="24"/>
          <w:szCs w:val="24"/>
        </w:rPr>
      </w:pPr>
      <w:r>
        <w:rPr>
          <w:rFonts w:ascii="Times New Roman"/>
          <w:b/>
          <w:bCs/>
          <w:sz w:val="24"/>
          <w:szCs w:val="24"/>
        </w:rPr>
        <w:t>表3.7-</w:t>
      </w:r>
      <w:r>
        <w:rPr>
          <w:rFonts w:hint="eastAsia" w:ascii="Times New Roman"/>
          <w:b/>
          <w:bCs/>
          <w:sz w:val="24"/>
          <w:szCs w:val="24"/>
        </w:rPr>
        <w:t>5</w:t>
      </w:r>
      <w:r>
        <w:rPr>
          <w:rFonts w:ascii="Times New Roman"/>
          <w:b/>
          <w:bCs/>
          <w:sz w:val="24"/>
          <w:szCs w:val="24"/>
        </w:rPr>
        <w:t xml:space="preserve">  热处理工段产排污系数表</w:t>
      </w:r>
    </w:p>
    <w:tbl>
      <w:tblPr>
        <w:tblStyle w:val="84"/>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53"/>
        <w:gridCol w:w="1332"/>
        <w:gridCol w:w="2050"/>
        <w:gridCol w:w="1314"/>
        <w:gridCol w:w="1452"/>
        <w:gridCol w:w="1250"/>
      </w:tblGrid>
      <w:tr w14:paraId="4CEC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gridSpan w:val="2"/>
            <w:tcBorders>
              <w:tl2br w:val="nil"/>
              <w:tr2bl w:val="nil"/>
            </w:tcBorders>
            <w:vAlign w:val="center"/>
          </w:tcPr>
          <w:p w14:paraId="4B6EF5CF">
            <w:pPr>
              <w:jc w:val="center"/>
              <w:rPr>
                <w:rFonts w:ascii="Times New Roman"/>
                <w:b/>
                <w:bCs/>
                <w:sz w:val="21"/>
                <w:szCs w:val="21"/>
              </w:rPr>
            </w:pPr>
            <w:bookmarkStart w:id="131" w:name="_Toc31386"/>
            <w:r>
              <w:rPr>
                <w:rFonts w:ascii="Times New Roman"/>
                <w:b/>
                <w:bCs/>
                <w:sz w:val="21"/>
                <w:szCs w:val="21"/>
              </w:rPr>
              <w:t>项目</w:t>
            </w:r>
            <w:bookmarkEnd w:id="131"/>
          </w:p>
        </w:tc>
        <w:tc>
          <w:tcPr>
            <w:tcW w:w="735" w:type="pct"/>
            <w:tcBorders>
              <w:tl2br w:val="nil"/>
              <w:tr2bl w:val="nil"/>
            </w:tcBorders>
            <w:vAlign w:val="center"/>
          </w:tcPr>
          <w:p w14:paraId="40CD7CD1">
            <w:pPr>
              <w:jc w:val="center"/>
              <w:rPr>
                <w:rFonts w:ascii="Times New Roman"/>
                <w:b/>
                <w:bCs/>
                <w:sz w:val="21"/>
                <w:szCs w:val="21"/>
              </w:rPr>
            </w:pPr>
            <w:bookmarkStart w:id="132" w:name="_Toc14311"/>
            <w:r>
              <w:rPr>
                <w:rFonts w:ascii="Times New Roman"/>
                <w:b/>
                <w:bCs/>
                <w:sz w:val="21"/>
                <w:szCs w:val="21"/>
              </w:rPr>
              <w:t>污染物指标</w:t>
            </w:r>
            <w:bookmarkEnd w:id="132"/>
          </w:p>
        </w:tc>
        <w:tc>
          <w:tcPr>
            <w:tcW w:w="1131" w:type="pct"/>
            <w:tcBorders>
              <w:tl2br w:val="nil"/>
              <w:tr2bl w:val="nil"/>
            </w:tcBorders>
            <w:vAlign w:val="center"/>
          </w:tcPr>
          <w:p w14:paraId="54B89892">
            <w:pPr>
              <w:jc w:val="center"/>
              <w:rPr>
                <w:rFonts w:ascii="Times New Roman"/>
                <w:b/>
                <w:bCs/>
                <w:sz w:val="21"/>
                <w:szCs w:val="21"/>
              </w:rPr>
            </w:pPr>
            <w:bookmarkStart w:id="133" w:name="_Toc1073"/>
            <w:r>
              <w:rPr>
                <w:rFonts w:ascii="Times New Roman"/>
                <w:b/>
                <w:bCs/>
                <w:sz w:val="21"/>
                <w:szCs w:val="21"/>
              </w:rPr>
              <w:t>单位</w:t>
            </w:r>
            <w:bookmarkEnd w:id="133"/>
          </w:p>
        </w:tc>
        <w:tc>
          <w:tcPr>
            <w:tcW w:w="725" w:type="pct"/>
            <w:tcBorders>
              <w:tl2br w:val="nil"/>
              <w:tr2bl w:val="nil"/>
            </w:tcBorders>
            <w:vAlign w:val="center"/>
          </w:tcPr>
          <w:p w14:paraId="0E57B5AA">
            <w:pPr>
              <w:jc w:val="center"/>
              <w:rPr>
                <w:rFonts w:ascii="Times New Roman"/>
                <w:b/>
                <w:bCs/>
                <w:sz w:val="21"/>
                <w:szCs w:val="21"/>
              </w:rPr>
            </w:pPr>
            <w:bookmarkStart w:id="134" w:name="_Toc27888"/>
            <w:r>
              <w:rPr>
                <w:rFonts w:ascii="Times New Roman"/>
                <w:b/>
                <w:bCs/>
                <w:sz w:val="21"/>
                <w:szCs w:val="21"/>
              </w:rPr>
              <w:t>产污系数</w:t>
            </w:r>
            <w:bookmarkEnd w:id="134"/>
          </w:p>
        </w:tc>
        <w:tc>
          <w:tcPr>
            <w:tcW w:w="801" w:type="pct"/>
            <w:tcBorders>
              <w:tl2br w:val="nil"/>
              <w:tr2bl w:val="nil"/>
            </w:tcBorders>
            <w:vAlign w:val="center"/>
          </w:tcPr>
          <w:p w14:paraId="0284D644">
            <w:pPr>
              <w:jc w:val="center"/>
              <w:rPr>
                <w:rFonts w:ascii="Times New Roman"/>
                <w:b/>
                <w:bCs/>
                <w:sz w:val="21"/>
                <w:szCs w:val="21"/>
              </w:rPr>
            </w:pPr>
            <w:bookmarkStart w:id="135" w:name="_Toc31562"/>
            <w:r>
              <w:rPr>
                <w:rFonts w:ascii="Times New Roman"/>
                <w:b/>
                <w:bCs/>
                <w:sz w:val="21"/>
                <w:szCs w:val="21"/>
              </w:rPr>
              <w:t>治理技术</w:t>
            </w:r>
            <w:bookmarkEnd w:id="135"/>
          </w:p>
        </w:tc>
        <w:tc>
          <w:tcPr>
            <w:tcW w:w="687" w:type="pct"/>
            <w:tcBorders>
              <w:tl2br w:val="nil"/>
              <w:tr2bl w:val="nil"/>
            </w:tcBorders>
            <w:vAlign w:val="center"/>
          </w:tcPr>
          <w:p w14:paraId="2D3E8C83">
            <w:pPr>
              <w:jc w:val="center"/>
              <w:rPr>
                <w:rFonts w:ascii="Times New Roman"/>
                <w:b/>
                <w:bCs/>
                <w:sz w:val="21"/>
                <w:szCs w:val="21"/>
              </w:rPr>
            </w:pPr>
            <w:bookmarkStart w:id="136" w:name="_Toc8742"/>
            <w:r>
              <w:rPr>
                <w:rFonts w:ascii="Times New Roman"/>
                <w:b/>
                <w:bCs/>
                <w:sz w:val="21"/>
                <w:szCs w:val="21"/>
              </w:rPr>
              <w:t>治理效率</w:t>
            </w:r>
            <w:bookmarkEnd w:id="136"/>
          </w:p>
        </w:tc>
      </w:tr>
      <w:tr w14:paraId="7621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vMerge w:val="restart"/>
            <w:tcBorders>
              <w:tl2br w:val="nil"/>
              <w:tr2bl w:val="nil"/>
            </w:tcBorders>
            <w:vAlign w:val="center"/>
          </w:tcPr>
          <w:p w14:paraId="43F30FB3">
            <w:pPr>
              <w:spacing w:line="240" w:lineRule="atLeast"/>
              <w:jc w:val="center"/>
              <w:rPr>
                <w:rFonts w:ascii="Times New Roman"/>
                <w:sz w:val="21"/>
                <w:szCs w:val="21"/>
              </w:rPr>
            </w:pPr>
            <w:bookmarkStart w:id="137" w:name="_Toc29891"/>
            <w:r>
              <w:rPr>
                <w:rFonts w:ascii="Times New Roman"/>
                <w:sz w:val="21"/>
                <w:szCs w:val="21"/>
              </w:rPr>
              <w:t>热处理工段</w:t>
            </w:r>
            <w:bookmarkEnd w:id="137"/>
          </w:p>
        </w:tc>
        <w:tc>
          <w:tcPr>
            <w:tcW w:w="525" w:type="pct"/>
            <w:vMerge w:val="restart"/>
            <w:tcBorders>
              <w:tl2br w:val="nil"/>
              <w:tr2bl w:val="nil"/>
            </w:tcBorders>
            <w:vAlign w:val="center"/>
          </w:tcPr>
          <w:p w14:paraId="27F6B1B4">
            <w:pPr>
              <w:jc w:val="center"/>
              <w:rPr>
                <w:rFonts w:ascii="Times New Roman"/>
                <w:sz w:val="21"/>
                <w:szCs w:val="21"/>
              </w:rPr>
            </w:pPr>
            <w:bookmarkStart w:id="138" w:name="_Toc12428"/>
            <w:r>
              <w:rPr>
                <w:rFonts w:ascii="Times New Roman"/>
                <w:sz w:val="21"/>
                <w:szCs w:val="21"/>
              </w:rPr>
              <w:t>天然气</w:t>
            </w:r>
            <w:bookmarkEnd w:id="138"/>
          </w:p>
        </w:tc>
        <w:tc>
          <w:tcPr>
            <w:tcW w:w="735" w:type="pct"/>
            <w:tcBorders>
              <w:tl2br w:val="nil"/>
              <w:tr2bl w:val="nil"/>
            </w:tcBorders>
            <w:vAlign w:val="center"/>
          </w:tcPr>
          <w:p w14:paraId="7416864A">
            <w:pPr>
              <w:spacing w:line="320" w:lineRule="exact"/>
              <w:jc w:val="center"/>
              <w:rPr>
                <w:rFonts w:ascii="Times New Roman"/>
                <w:snapToGrid w:val="0"/>
                <w:sz w:val="21"/>
                <w:szCs w:val="21"/>
              </w:rPr>
            </w:pPr>
            <w:r>
              <w:rPr>
                <w:rFonts w:ascii="Times New Roman"/>
                <w:snapToGrid w:val="0"/>
                <w:sz w:val="21"/>
                <w:szCs w:val="21"/>
              </w:rPr>
              <w:t>废气量</w:t>
            </w:r>
          </w:p>
        </w:tc>
        <w:tc>
          <w:tcPr>
            <w:tcW w:w="1131" w:type="pct"/>
            <w:tcBorders>
              <w:tl2br w:val="nil"/>
              <w:tr2bl w:val="nil"/>
            </w:tcBorders>
            <w:vAlign w:val="center"/>
          </w:tcPr>
          <w:p w14:paraId="3BE95650">
            <w:pPr>
              <w:spacing w:line="320" w:lineRule="exact"/>
              <w:jc w:val="center"/>
              <w:rPr>
                <w:rFonts w:ascii="Times New Roman" w:eastAsia="PMingLiU-ExtB"/>
                <w:snapToGrid w:val="0"/>
                <w:sz w:val="21"/>
                <w:szCs w:val="21"/>
              </w:rPr>
            </w:pPr>
            <w:r>
              <w:rPr>
                <w:rFonts w:ascii="Times New Roman" w:eastAsia="PMingLiU-ExtB"/>
                <w:snapToGrid w:val="0"/>
                <w:sz w:val="21"/>
                <w:szCs w:val="21"/>
              </w:rPr>
              <w:t>Nm</w:t>
            </w:r>
            <w:r>
              <w:rPr>
                <w:rFonts w:ascii="Times New Roman" w:eastAsia="PMingLiU-ExtB"/>
                <w:snapToGrid w:val="0"/>
                <w:sz w:val="21"/>
                <w:szCs w:val="21"/>
                <w:vertAlign w:val="superscript"/>
              </w:rPr>
              <w:t>3</w:t>
            </w:r>
            <w:r>
              <w:rPr>
                <w:rFonts w:ascii="Times New Roman" w:eastAsia="PMingLiU-ExtB"/>
                <w:snapToGrid w:val="0"/>
                <w:sz w:val="21"/>
                <w:szCs w:val="21"/>
              </w:rPr>
              <w:t>/m</w:t>
            </w:r>
            <w:r>
              <w:rPr>
                <w:rFonts w:ascii="Times New Roman" w:eastAsia="PMingLiU-ExtB"/>
                <w:snapToGrid w:val="0"/>
                <w:sz w:val="21"/>
                <w:szCs w:val="21"/>
                <w:vertAlign w:val="superscript"/>
              </w:rPr>
              <w:t>3</w:t>
            </w:r>
            <w:r>
              <w:rPr>
                <w:rFonts w:ascii="Times New Roman"/>
                <w:snapToGrid w:val="0"/>
                <w:sz w:val="21"/>
                <w:szCs w:val="21"/>
              </w:rPr>
              <w:t>原料</w:t>
            </w:r>
          </w:p>
        </w:tc>
        <w:tc>
          <w:tcPr>
            <w:tcW w:w="725" w:type="pct"/>
            <w:tcBorders>
              <w:tl2br w:val="nil"/>
              <w:tr2bl w:val="nil"/>
            </w:tcBorders>
            <w:vAlign w:val="center"/>
          </w:tcPr>
          <w:p w14:paraId="6E9BFD84">
            <w:pPr>
              <w:jc w:val="center"/>
              <w:rPr>
                <w:rFonts w:ascii="Times New Roman"/>
                <w:sz w:val="21"/>
                <w:szCs w:val="21"/>
              </w:rPr>
            </w:pPr>
            <w:bookmarkStart w:id="139" w:name="_Toc1732"/>
            <w:r>
              <w:rPr>
                <w:rFonts w:ascii="Times New Roman"/>
                <w:sz w:val="21"/>
                <w:szCs w:val="21"/>
              </w:rPr>
              <w:t>13.6</w:t>
            </w:r>
            <w:bookmarkEnd w:id="139"/>
          </w:p>
        </w:tc>
        <w:tc>
          <w:tcPr>
            <w:tcW w:w="801" w:type="pct"/>
            <w:tcBorders>
              <w:tl2br w:val="nil"/>
              <w:tr2bl w:val="nil"/>
            </w:tcBorders>
            <w:vAlign w:val="center"/>
          </w:tcPr>
          <w:p w14:paraId="3F703FE9">
            <w:pPr>
              <w:jc w:val="center"/>
              <w:rPr>
                <w:rFonts w:ascii="Times New Roman"/>
                <w:sz w:val="21"/>
                <w:szCs w:val="21"/>
              </w:rPr>
            </w:pPr>
            <w:bookmarkStart w:id="140" w:name="_Toc14862"/>
            <w:r>
              <w:rPr>
                <w:rFonts w:ascii="Times New Roman"/>
                <w:sz w:val="21"/>
                <w:szCs w:val="21"/>
              </w:rPr>
              <w:t>/</w:t>
            </w:r>
            <w:bookmarkEnd w:id="140"/>
          </w:p>
        </w:tc>
        <w:tc>
          <w:tcPr>
            <w:tcW w:w="687" w:type="pct"/>
            <w:tcBorders>
              <w:tl2br w:val="nil"/>
              <w:tr2bl w:val="nil"/>
            </w:tcBorders>
            <w:shd w:val="clear" w:color="auto" w:fill="auto"/>
            <w:vAlign w:val="center"/>
          </w:tcPr>
          <w:p w14:paraId="7A2EE859">
            <w:pPr>
              <w:jc w:val="center"/>
              <w:rPr>
                <w:rFonts w:ascii="Times New Roman"/>
                <w:sz w:val="21"/>
                <w:szCs w:val="21"/>
              </w:rPr>
            </w:pPr>
            <w:bookmarkStart w:id="141" w:name="_Toc17998"/>
            <w:r>
              <w:rPr>
                <w:rFonts w:ascii="Times New Roman"/>
                <w:sz w:val="21"/>
                <w:szCs w:val="21"/>
              </w:rPr>
              <w:t>/</w:t>
            </w:r>
            <w:bookmarkEnd w:id="141"/>
          </w:p>
        </w:tc>
      </w:tr>
      <w:tr w14:paraId="7FB7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vMerge w:val="continue"/>
            <w:tcBorders>
              <w:tl2br w:val="nil"/>
              <w:tr2bl w:val="nil"/>
            </w:tcBorders>
            <w:vAlign w:val="center"/>
          </w:tcPr>
          <w:p w14:paraId="2013A61E">
            <w:pPr>
              <w:spacing w:line="240" w:lineRule="atLeast"/>
              <w:jc w:val="center"/>
              <w:rPr>
                <w:rFonts w:ascii="Times New Roman"/>
                <w:sz w:val="21"/>
                <w:szCs w:val="21"/>
              </w:rPr>
            </w:pPr>
          </w:p>
        </w:tc>
        <w:tc>
          <w:tcPr>
            <w:tcW w:w="525" w:type="pct"/>
            <w:vMerge w:val="continue"/>
            <w:tcBorders>
              <w:tl2br w:val="nil"/>
              <w:tr2bl w:val="nil"/>
            </w:tcBorders>
            <w:vAlign w:val="center"/>
          </w:tcPr>
          <w:p w14:paraId="6AA13E33">
            <w:pPr>
              <w:jc w:val="center"/>
              <w:rPr>
                <w:rFonts w:ascii="Times New Roman"/>
                <w:sz w:val="21"/>
                <w:szCs w:val="21"/>
              </w:rPr>
            </w:pPr>
          </w:p>
        </w:tc>
        <w:tc>
          <w:tcPr>
            <w:tcW w:w="735" w:type="pct"/>
            <w:tcBorders>
              <w:tl2br w:val="nil"/>
              <w:tr2bl w:val="nil"/>
            </w:tcBorders>
            <w:vAlign w:val="center"/>
          </w:tcPr>
          <w:p w14:paraId="68098638">
            <w:pPr>
              <w:jc w:val="center"/>
              <w:rPr>
                <w:rFonts w:ascii="Times New Roman"/>
                <w:sz w:val="21"/>
                <w:szCs w:val="21"/>
              </w:rPr>
            </w:pPr>
            <w:bookmarkStart w:id="142" w:name="_Toc5993"/>
            <w:r>
              <w:rPr>
                <w:rFonts w:ascii="Times New Roman"/>
                <w:sz w:val="21"/>
                <w:szCs w:val="21"/>
              </w:rPr>
              <w:t>颗粒物</w:t>
            </w:r>
            <w:bookmarkEnd w:id="142"/>
          </w:p>
        </w:tc>
        <w:tc>
          <w:tcPr>
            <w:tcW w:w="1131" w:type="pct"/>
            <w:tcBorders>
              <w:tl2br w:val="nil"/>
              <w:tr2bl w:val="nil"/>
            </w:tcBorders>
            <w:vAlign w:val="center"/>
          </w:tcPr>
          <w:p w14:paraId="33CB8F02">
            <w:pPr>
              <w:jc w:val="center"/>
              <w:rPr>
                <w:rFonts w:ascii="Times New Roman"/>
                <w:sz w:val="21"/>
                <w:szCs w:val="21"/>
              </w:rPr>
            </w:pPr>
            <w:bookmarkStart w:id="143" w:name="_Toc18935"/>
            <w:r>
              <w:rPr>
                <w:rFonts w:ascii="Times New Roman"/>
                <w:sz w:val="21"/>
                <w:szCs w:val="21"/>
              </w:rPr>
              <w:t>kg/立方米原料</w:t>
            </w:r>
            <w:bookmarkEnd w:id="143"/>
          </w:p>
        </w:tc>
        <w:tc>
          <w:tcPr>
            <w:tcW w:w="725" w:type="pct"/>
            <w:tcBorders>
              <w:tl2br w:val="nil"/>
              <w:tr2bl w:val="nil"/>
            </w:tcBorders>
            <w:vAlign w:val="center"/>
          </w:tcPr>
          <w:p w14:paraId="0A183B38">
            <w:pPr>
              <w:jc w:val="center"/>
              <w:rPr>
                <w:rFonts w:ascii="Times New Roman"/>
                <w:sz w:val="21"/>
                <w:szCs w:val="21"/>
              </w:rPr>
            </w:pPr>
            <w:bookmarkStart w:id="144" w:name="_Toc27231"/>
            <w:r>
              <w:rPr>
                <w:rFonts w:ascii="Times New Roman"/>
                <w:sz w:val="21"/>
                <w:szCs w:val="21"/>
              </w:rPr>
              <w:t>0.000286</w:t>
            </w:r>
            <w:bookmarkEnd w:id="144"/>
          </w:p>
        </w:tc>
        <w:tc>
          <w:tcPr>
            <w:tcW w:w="801" w:type="pct"/>
            <w:tcBorders>
              <w:tl2br w:val="nil"/>
              <w:tr2bl w:val="nil"/>
            </w:tcBorders>
            <w:vAlign w:val="center"/>
          </w:tcPr>
          <w:p w14:paraId="10FC2C28">
            <w:pPr>
              <w:jc w:val="center"/>
              <w:rPr>
                <w:rFonts w:ascii="Times New Roman"/>
                <w:sz w:val="21"/>
                <w:szCs w:val="21"/>
              </w:rPr>
            </w:pPr>
            <w:bookmarkStart w:id="145" w:name="_Toc9179"/>
            <w:r>
              <w:rPr>
                <w:rFonts w:ascii="Times New Roman"/>
                <w:sz w:val="21"/>
                <w:szCs w:val="21"/>
              </w:rPr>
              <w:t>/</w:t>
            </w:r>
            <w:bookmarkEnd w:id="145"/>
          </w:p>
        </w:tc>
        <w:tc>
          <w:tcPr>
            <w:tcW w:w="687" w:type="pct"/>
            <w:tcBorders>
              <w:tl2br w:val="nil"/>
              <w:tr2bl w:val="nil"/>
            </w:tcBorders>
            <w:shd w:val="clear" w:color="auto" w:fill="auto"/>
            <w:vAlign w:val="center"/>
          </w:tcPr>
          <w:p w14:paraId="50652847">
            <w:pPr>
              <w:jc w:val="center"/>
              <w:rPr>
                <w:rFonts w:ascii="Times New Roman"/>
                <w:sz w:val="21"/>
                <w:szCs w:val="21"/>
              </w:rPr>
            </w:pPr>
            <w:bookmarkStart w:id="146" w:name="_Toc7804"/>
            <w:r>
              <w:rPr>
                <w:rFonts w:ascii="Times New Roman"/>
                <w:sz w:val="21"/>
                <w:szCs w:val="21"/>
              </w:rPr>
              <w:t>/</w:t>
            </w:r>
            <w:bookmarkEnd w:id="146"/>
          </w:p>
        </w:tc>
      </w:tr>
      <w:tr w14:paraId="22DB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vMerge w:val="continue"/>
            <w:tcBorders>
              <w:tl2br w:val="nil"/>
              <w:tr2bl w:val="nil"/>
            </w:tcBorders>
            <w:vAlign w:val="center"/>
          </w:tcPr>
          <w:p w14:paraId="5664FDC5">
            <w:pPr>
              <w:spacing w:line="240" w:lineRule="atLeast"/>
              <w:jc w:val="center"/>
              <w:rPr>
                <w:rFonts w:ascii="Times New Roman"/>
                <w:sz w:val="21"/>
                <w:szCs w:val="21"/>
              </w:rPr>
            </w:pPr>
          </w:p>
        </w:tc>
        <w:tc>
          <w:tcPr>
            <w:tcW w:w="525" w:type="pct"/>
            <w:vMerge w:val="continue"/>
            <w:tcBorders>
              <w:tl2br w:val="nil"/>
              <w:tr2bl w:val="nil"/>
            </w:tcBorders>
            <w:vAlign w:val="center"/>
          </w:tcPr>
          <w:p w14:paraId="5102B454">
            <w:pPr>
              <w:jc w:val="center"/>
              <w:rPr>
                <w:rFonts w:ascii="Times New Roman"/>
                <w:sz w:val="21"/>
                <w:szCs w:val="21"/>
              </w:rPr>
            </w:pPr>
          </w:p>
        </w:tc>
        <w:tc>
          <w:tcPr>
            <w:tcW w:w="735" w:type="pct"/>
            <w:tcBorders>
              <w:tl2br w:val="nil"/>
              <w:tr2bl w:val="nil"/>
            </w:tcBorders>
            <w:vAlign w:val="center"/>
          </w:tcPr>
          <w:p w14:paraId="0DC57428">
            <w:pPr>
              <w:jc w:val="center"/>
              <w:rPr>
                <w:rFonts w:ascii="Times New Roman"/>
                <w:sz w:val="21"/>
                <w:szCs w:val="21"/>
              </w:rPr>
            </w:pPr>
            <w:bookmarkStart w:id="147" w:name="_Toc5069"/>
            <w:r>
              <w:rPr>
                <w:rFonts w:ascii="Times New Roman"/>
                <w:sz w:val="21"/>
                <w:szCs w:val="21"/>
              </w:rPr>
              <w:t>二氧化硫</w:t>
            </w:r>
            <w:bookmarkEnd w:id="147"/>
          </w:p>
        </w:tc>
        <w:tc>
          <w:tcPr>
            <w:tcW w:w="1131" w:type="pct"/>
            <w:tcBorders>
              <w:tl2br w:val="nil"/>
              <w:tr2bl w:val="nil"/>
            </w:tcBorders>
            <w:vAlign w:val="center"/>
          </w:tcPr>
          <w:p w14:paraId="5CD6FD58">
            <w:pPr>
              <w:jc w:val="center"/>
              <w:rPr>
                <w:rFonts w:ascii="Times New Roman"/>
                <w:sz w:val="21"/>
                <w:szCs w:val="21"/>
              </w:rPr>
            </w:pPr>
            <w:bookmarkStart w:id="148" w:name="_Toc13548"/>
            <w:r>
              <w:rPr>
                <w:rFonts w:ascii="Times New Roman"/>
                <w:sz w:val="21"/>
                <w:szCs w:val="21"/>
              </w:rPr>
              <w:t>kg/立方米原料</w:t>
            </w:r>
            <w:bookmarkEnd w:id="148"/>
          </w:p>
        </w:tc>
        <w:tc>
          <w:tcPr>
            <w:tcW w:w="725" w:type="pct"/>
            <w:tcBorders>
              <w:tl2br w:val="nil"/>
              <w:tr2bl w:val="nil"/>
            </w:tcBorders>
            <w:vAlign w:val="center"/>
          </w:tcPr>
          <w:p w14:paraId="4F44754D">
            <w:pPr>
              <w:jc w:val="center"/>
              <w:rPr>
                <w:rFonts w:ascii="Times New Roman"/>
                <w:sz w:val="21"/>
                <w:szCs w:val="21"/>
              </w:rPr>
            </w:pPr>
            <w:bookmarkStart w:id="149" w:name="_Toc31815"/>
            <w:r>
              <w:rPr>
                <w:rFonts w:ascii="Times New Roman"/>
                <w:sz w:val="21"/>
                <w:szCs w:val="21"/>
              </w:rPr>
              <w:t>0.000002S</w:t>
            </w:r>
            <w:r>
              <w:rPr>
                <w:rFonts w:ascii="Times New Roman"/>
                <w:snapToGrid w:val="0"/>
                <w:sz w:val="21"/>
                <w:szCs w:val="21"/>
                <w:vertAlign w:val="superscript"/>
              </w:rPr>
              <w:t>①</w:t>
            </w:r>
            <w:bookmarkEnd w:id="149"/>
          </w:p>
        </w:tc>
        <w:tc>
          <w:tcPr>
            <w:tcW w:w="801" w:type="pct"/>
            <w:tcBorders>
              <w:tl2br w:val="nil"/>
              <w:tr2bl w:val="nil"/>
            </w:tcBorders>
            <w:vAlign w:val="center"/>
          </w:tcPr>
          <w:p w14:paraId="7DD10FF6">
            <w:pPr>
              <w:jc w:val="center"/>
              <w:rPr>
                <w:rFonts w:ascii="Times New Roman"/>
                <w:sz w:val="21"/>
                <w:szCs w:val="21"/>
              </w:rPr>
            </w:pPr>
            <w:bookmarkStart w:id="150" w:name="_Toc23614"/>
            <w:r>
              <w:rPr>
                <w:rFonts w:ascii="Times New Roman"/>
                <w:sz w:val="21"/>
                <w:szCs w:val="21"/>
              </w:rPr>
              <w:t>/</w:t>
            </w:r>
            <w:bookmarkEnd w:id="150"/>
          </w:p>
        </w:tc>
        <w:tc>
          <w:tcPr>
            <w:tcW w:w="687" w:type="pct"/>
            <w:tcBorders>
              <w:tl2br w:val="nil"/>
              <w:tr2bl w:val="nil"/>
            </w:tcBorders>
            <w:shd w:val="clear" w:color="auto" w:fill="auto"/>
            <w:vAlign w:val="center"/>
          </w:tcPr>
          <w:p w14:paraId="4149BDBA">
            <w:pPr>
              <w:jc w:val="center"/>
              <w:rPr>
                <w:rFonts w:ascii="Times New Roman"/>
                <w:sz w:val="21"/>
                <w:szCs w:val="21"/>
              </w:rPr>
            </w:pPr>
            <w:bookmarkStart w:id="151" w:name="_Toc14256"/>
            <w:r>
              <w:rPr>
                <w:rFonts w:ascii="Times New Roman"/>
                <w:sz w:val="21"/>
                <w:szCs w:val="21"/>
              </w:rPr>
              <w:t>/</w:t>
            </w:r>
            <w:bookmarkEnd w:id="151"/>
          </w:p>
        </w:tc>
      </w:tr>
      <w:tr w14:paraId="0F32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vMerge w:val="continue"/>
            <w:tcBorders>
              <w:tl2br w:val="nil"/>
              <w:tr2bl w:val="nil"/>
            </w:tcBorders>
            <w:vAlign w:val="center"/>
          </w:tcPr>
          <w:p w14:paraId="475DF9DD">
            <w:pPr>
              <w:jc w:val="center"/>
              <w:rPr>
                <w:rFonts w:ascii="Times New Roman"/>
                <w:sz w:val="21"/>
                <w:szCs w:val="21"/>
              </w:rPr>
            </w:pPr>
          </w:p>
        </w:tc>
        <w:tc>
          <w:tcPr>
            <w:tcW w:w="525" w:type="pct"/>
            <w:vMerge w:val="continue"/>
            <w:tcBorders>
              <w:tl2br w:val="nil"/>
              <w:tr2bl w:val="nil"/>
            </w:tcBorders>
            <w:vAlign w:val="center"/>
          </w:tcPr>
          <w:p w14:paraId="3672E2AB">
            <w:pPr>
              <w:jc w:val="center"/>
              <w:rPr>
                <w:rFonts w:ascii="Times New Roman"/>
                <w:sz w:val="21"/>
                <w:szCs w:val="21"/>
              </w:rPr>
            </w:pPr>
          </w:p>
        </w:tc>
        <w:tc>
          <w:tcPr>
            <w:tcW w:w="735" w:type="pct"/>
            <w:tcBorders>
              <w:tl2br w:val="nil"/>
              <w:tr2bl w:val="nil"/>
            </w:tcBorders>
            <w:vAlign w:val="center"/>
          </w:tcPr>
          <w:p w14:paraId="497955F0">
            <w:pPr>
              <w:jc w:val="center"/>
              <w:rPr>
                <w:rFonts w:ascii="Times New Roman"/>
                <w:sz w:val="21"/>
                <w:szCs w:val="21"/>
              </w:rPr>
            </w:pPr>
            <w:bookmarkStart w:id="152" w:name="_Toc6919"/>
            <w:r>
              <w:rPr>
                <w:rFonts w:ascii="Times New Roman"/>
                <w:sz w:val="21"/>
                <w:szCs w:val="21"/>
              </w:rPr>
              <w:t>氮氧化物</w:t>
            </w:r>
            <w:bookmarkEnd w:id="152"/>
          </w:p>
        </w:tc>
        <w:tc>
          <w:tcPr>
            <w:tcW w:w="1131" w:type="pct"/>
            <w:tcBorders>
              <w:tl2br w:val="nil"/>
              <w:tr2bl w:val="nil"/>
            </w:tcBorders>
            <w:vAlign w:val="center"/>
          </w:tcPr>
          <w:p w14:paraId="23833DE7">
            <w:pPr>
              <w:jc w:val="center"/>
              <w:rPr>
                <w:rFonts w:ascii="Times New Roman"/>
                <w:sz w:val="21"/>
                <w:szCs w:val="21"/>
              </w:rPr>
            </w:pPr>
            <w:bookmarkStart w:id="153" w:name="_Toc6378"/>
            <w:r>
              <w:rPr>
                <w:rFonts w:ascii="Times New Roman"/>
                <w:sz w:val="21"/>
                <w:szCs w:val="21"/>
              </w:rPr>
              <w:t>kg/立方米燃料</w:t>
            </w:r>
            <w:bookmarkEnd w:id="153"/>
          </w:p>
        </w:tc>
        <w:tc>
          <w:tcPr>
            <w:tcW w:w="725" w:type="pct"/>
            <w:tcBorders>
              <w:tl2br w:val="nil"/>
              <w:tr2bl w:val="nil"/>
            </w:tcBorders>
            <w:vAlign w:val="center"/>
          </w:tcPr>
          <w:p w14:paraId="6614D9DB">
            <w:pPr>
              <w:jc w:val="center"/>
              <w:rPr>
                <w:rFonts w:ascii="Times New Roman"/>
                <w:sz w:val="21"/>
                <w:szCs w:val="21"/>
              </w:rPr>
            </w:pPr>
            <w:bookmarkStart w:id="154" w:name="_Toc19643"/>
            <w:r>
              <w:rPr>
                <w:rFonts w:ascii="Times New Roman"/>
                <w:sz w:val="21"/>
                <w:szCs w:val="21"/>
              </w:rPr>
              <w:t>0.00187</w:t>
            </w:r>
            <w:bookmarkEnd w:id="154"/>
          </w:p>
        </w:tc>
        <w:tc>
          <w:tcPr>
            <w:tcW w:w="801" w:type="pct"/>
            <w:tcBorders>
              <w:tl2br w:val="nil"/>
              <w:tr2bl w:val="nil"/>
            </w:tcBorders>
            <w:vAlign w:val="center"/>
          </w:tcPr>
          <w:p w14:paraId="225088EE">
            <w:pPr>
              <w:jc w:val="center"/>
              <w:rPr>
                <w:rFonts w:ascii="Times New Roman"/>
                <w:sz w:val="21"/>
                <w:szCs w:val="21"/>
              </w:rPr>
            </w:pPr>
            <w:bookmarkStart w:id="155" w:name="_Toc31053"/>
            <w:r>
              <w:rPr>
                <w:rFonts w:ascii="Times New Roman"/>
                <w:sz w:val="21"/>
                <w:szCs w:val="21"/>
              </w:rPr>
              <w:t>低氮燃烧</w:t>
            </w:r>
            <w:bookmarkEnd w:id="155"/>
          </w:p>
        </w:tc>
        <w:tc>
          <w:tcPr>
            <w:tcW w:w="687" w:type="pct"/>
            <w:tcBorders>
              <w:tl2br w:val="nil"/>
              <w:tr2bl w:val="nil"/>
            </w:tcBorders>
            <w:vAlign w:val="center"/>
          </w:tcPr>
          <w:p w14:paraId="7982A417">
            <w:pPr>
              <w:jc w:val="center"/>
              <w:rPr>
                <w:rFonts w:ascii="Times New Roman"/>
                <w:sz w:val="21"/>
                <w:szCs w:val="21"/>
              </w:rPr>
            </w:pPr>
            <w:bookmarkStart w:id="156" w:name="_Toc27194"/>
            <w:r>
              <w:rPr>
                <w:rFonts w:ascii="Times New Roman"/>
                <w:sz w:val="21"/>
                <w:szCs w:val="21"/>
              </w:rPr>
              <w:t>50%</w:t>
            </w:r>
            <w:bookmarkEnd w:id="156"/>
          </w:p>
        </w:tc>
      </w:tr>
      <w:tr w14:paraId="3D3C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vAlign w:val="center"/>
          </w:tcPr>
          <w:p w14:paraId="12BDB443">
            <w:pPr>
              <w:jc w:val="left"/>
              <w:rPr>
                <w:rFonts w:ascii="Times New Roman"/>
                <w:sz w:val="21"/>
                <w:szCs w:val="21"/>
              </w:rPr>
            </w:pPr>
            <w:bookmarkStart w:id="157" w:name="_Toc1911"/>
            <w:r>
              <w:rPr>
                <w:rFonts w:ascii="Times New Roman"/>
                <w:sz w:val="21"/>
                <w:szCs w:val="21"/>
              </w:rPr>
              <w:t>注：</w:t>
            </w:r>
            <w:r>
              <w:rPr>
                <w:rFonts w:ascii="Times New Roman"/>
                <w:snapToGrid w:val="0"/>
                <w:sz w:val="21"/>
                <w:szCs w:val="21"/>
                <w:vertAlign w:val="superscript"/>
              </w:rPr>
              <w:t>①</w:t>
            </w:r>
            <w:r>
              <w:rPr>
                <w:rFonts w:ascii="Times New Roman"/>
                <w:kern w:val="0"/>
                <w:sz w:val="21"/>
                <w:szCs w:val="21"/>
              </w:rPr>
              <w:t>产污系数表中气体燃料的二氧化硫的产污系数是以含硫量（S）的形式表示的，其中含硫量（S）是指气体燃料中的硫含量，单位为毫克/立方米</w:t>
            </w:r>
            <w:r>
              <w:rPr>
                <w:rFonts w:ascii="Times New Roman"/>
                <w:sz w:val="21"/>
                <w:szCs w:val="21"/>
              </w:rPr>
              <w:t>计。</w:t>
            </w:r>
            <w:r>
              <w:rPr>
                <w:rFonts w:ascii="Times New Roman"/>
                <w:snapToGrid w:val="0"/>
                <w:sz w:val="21"/>
                <w:szCs w:val="21"/>
              </w:rPr>
              <w:t>按照表3.3-7，含硫量S取20mg/m</w:t>
            </w:r>
            <w:r>
              <w:rPr>
                <w:rFonts w:ascii="Times New Roman"/>
                <w:snapToGrid w:val="0"/>
                <w:sz w:val="21"/>
                <w:szCs w:val="21"/>
                <w:vertAlign w:val="superscript"/>
              </w:rPr>
              <w:t>3</w:t>
            </w:r>
            <w:r>
              <w:rPr>
                <w:rFonts w:ascii="Times New Roman"/>
                <w:snapToGrid w:val="0"/>
                <w:sz w:val="21"/>
                <w:szCs w:val="21"/>
              </w:rPr>
              <w:t>。</w:t>
            </w:r>
            <w:bookmarkEnd w:id="157"/>
          </w:p>
        </w:tc>
      </w:tr>
    </w:tbl>
    <w:p w14:paraId="22D44667">
      <w:pPr>
        <w:spacing w:line="360" w:lineRule="auto"/>
        <w:ind w:firstLine="480" w:firstLineChars="200"/>
        <w:rPr>
          <w:rFonts w:ascii="Times New Roman"/>
          <w:bCs/>
          <w:sz w:val="24"/>
          <w:szCs w:val="24"/>
        </w:rPr>
      </w:pPr>
      <w:r>
        <w:rPr>
          <w:rFonts w:ascii="Times New Roman"/>
          <w:sz w:val="24"/>
          <w:szCs w:val="24"/>
        </w:rPr>
        <w:t>根据上述数据计算（烟气黑度类比同类型天然气燃烧器），</w:t>
      </w:r>
      <w:r>
        <w:rPr>
          <w:rFonts w:ascii="Times New Roman"/>
          <w:bCs/>
          <w:sz w:val="24"/>
          <w:szCs w:val="24"/>
        </w:rPr>
        <w:t>项目天然气燃烧器烟气污染物产生及排放情况见下表。</w:t>
      </w:r>
    </w:p>
    <w:p w14:paraId="10A0CA62">
      <w:pPr>
        <w:spacing w:line="360" w:lineRule="auto"/>
        <w:jc w:val="center"/>
        <w:rPr>
          <w:rFonts w:ascii="Times New Roman"/>
          <w:b/>
          <w:sz w:val="24"/>
          <w:szCs w:val="24"/>
        </w:rPr>
      </w:pPr>
      <w:r>
        <w:rPr>
          <w:rFonts w:ascii="Times New Roman"/>
          <w:b/>
          <w:sz w:val="24"/>
          <w:szCs w:val="24"/>
        </w:rPr>
        <w:t>表3.7-</w:t>
      </w:r>
      <w:r>
        <w:rPr>
          <w:rFonts w:hint="eastAsia" w:ascii="Times New Roman"/>
          <w:b/>
          <w:sz w:val="24"/>
          <w:szCs w:val="24"/>
        </w:rPr>
        <w:t>6</w:t>
      </w:r>
      <w:r>
        <w:rPr>
          <w:rFonts w:ascii="Times New Roman"/>
          <w:b/>
          <w:sz w:val="24"/>
          <w:szCs w:val="24"/>
        </w:rPr>
        <w:t xml:space="preserve">  项目热处理车炉加热工序废气污染物产生及排放情况</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68"/>
        <w:gridCol w:w="1053"/>
        <w:gridCol w:w="1099"/>
        <w:gridCol w:w="1086"/>
        <w:gridCol w:w="1188"/>
        <w:gridCol w:w="1088"/>
        <w:gridCol w:w="1188"/>
        <w:gridCol w:w="1088"/>
      </w:tblGrid>
      <w:tr w14:paraId="32E0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exact"/>
          <w:jc w:val="center"/>
        </w:trPr>
        <w:tc>
          <w:tcPr>
            <w:tcW w:w="1068" w:type="dxa"/>
            <w:shd w:val="clear" w:color="auto" w:fill="auto"/>
            <w:vAlign w:val="center"/>
          </w:tcPr>
          <w:p w14:paraId="6384550B">
            <w:pPr>
              <w:jc w:val="center"/>
              <w:rPr>
                <w:rFonts w:ascii="Times New Roman"/>
                <w:b/>
                <w:bCs/>
                <w:sz w:val="21"/>
                <w:szCs w:val="21"/>
              </w:rPr>
            </w:pPr>
            <w:r>
              <w:rPr>
                <w:rFonts w:ascii="Times New Roman"/>
                <w:b/>
                <w:bCs/>
                <w:sz w:val="21"/>
                <w:szCs w:val="21"/>
              </w:rPr>
              <w:t>污染源</w:t>
            </w:r>
          </w:p>
        </w:tc>
        <w:tc>
          <w:tcPr>
            <w:tcW w:w="1053" w:type="dxa"/>
            <w:shd w:val="clear" w:color="auto" w:fill="auto"/>
            <w:vAlign w:val="center"/>
          </w:tcPr>
          <w:p w14:paraId="2BB6E34E">
            <w:pPr>
              <w:jc w:val="center"/>
              <w:rPr>
                <w:rFonts w:ascii="Times New Roman"/>
                <w:b/>
                <w:bCs/>
                <w:sz w:val="21"/>
                <w:szCs w:val="21"/>
              </w:rPr>
            </w:pPr>
            <w:r>
              <w:rPr>
                <w:rFonts w:ascii="Times New Roman"/>
                <w:b/>
                <w:bCs/>
                <w:sz w:val="21"/>
                <w:szCs w:val="21"/>
              </w:rPr>
              <w:t>污染物</w:t>
            </w:r>
          </w:p>
        </w:tc>
        <w:tc>
          <w:tcPr>
            <w:tcW w:w="1099" w:type="dxa"/>
            <w:shd w:val="clear" w:color="auto" w:fill="auto"/>
            <w:vAlign w:val="center"/>
          </w:tcPr>
          <w:p w14:paraId="485FFBB2">
            <w:pPr>
              <w:jc w:val="center"/>
              <w:rPr>
                <w:rFonts w:ascii="Times New Roman"/>
                <w:b/>
                <w:bCs/>
                <w:sz w:val="21"/>
                <w:szCs w:val="21"/>
              </w:rPr>
            </w:pPr>
            <w:r>
              <w:rPr>
                <w:rFonts w:ascii="Times New Roman"/>
                <w:b/>
                <w:bCs/>
                <w:sz w:val="21"/>
                <w:szCs w:val="21"/>
              </w:rPr>
              <w:t>废气量（m</w:t>
            </w:r>
            <w:r>
              <w:rPr>
                <w:rFonts w:ascii="Times New Roman"/>
                <w:b/>
                <w:bCs/>
                <w:sz w:val="21"/>
                <w:szCs w:val="21"/>
                <w:vertAlign w:val="superscript"/>
              </w:rPr>
              <w:t>3</w:t>
            </w:r>
            <w:r>
              <w:rPr>
                <w:rFonts w:ascii="Times New Roman"/>
                <w:b/>
                <w:bCs/>
                <w:sz w:val="21"/>
                <w:szCs w:val="21"/>
              </w:rPr>
              <w:t>/h）</w:t>
            </w:r>
          </w:p>
        </w:tc>
        <w:tc>
          <w:tcPr>
            <w:tcW w:w="1086" w:type="dxa"/>
            <w:shd w:val="clear" w:color="auto" w:fill="auto"/>
            <w:vAlign w:val="center"/>
          </w:tcPr>
          <w:p w14:paraId="2329A35D">
            <w:pPr>
              <w:jc w:val="center"/>
              <w:rPr>
                <w:rFonts w:ascii="Times New Roman"/>
                <w:b/>
                <w:bCs/>
                <w:sz w:val="21"/>
                <w:szCs w:val="21"/>
              </w:rPr>
            </w:pPr>
            <w:r>
              <w:rPr>
                <w:rFonts w:ascii="Times New Roman"/>
                <w:b/>
                <w:bCs/>
                <w:sz w:val="21"/>
                <w:szCs w:val="21"/>
              </w:rPr>
              <w:t>工作时间</w:t>
            </w:r>
          </w:p>
          <w:p w14:paraId="6111285F">
            <w:pPr>
              <w:jc w:val="center"/>
              <w:rPr>
                <w:rFonts w:ascii="Times New Roman"/>
                <w:b/>
                <w:bCs/>
                <w:sz w:val="21"/>
                <w:szCs w:val="21"/>
              </w:rPr>
            </w:pPr>
            <w:r>
              <w:rPr>
                <w:rFonts w:ascii="Times New Roman"/>
                <w:b/>
                <w:bCs/>
                <w:sz w:val="21"/>
                <w:szCs w:val="21"/>
                <w:lang w:bidi="en-US"/>
              </w:rPr>
              <w:t>（</w:t>
            </w:r>
            <w:r>
              <w:rPr>
                <w:rFonts w:ascii="Times New Roman"/>
                <w:b/>
                <w:bCs/>
                <w:sz w:val="21"/>
                <w:szCs w:val="21"/>
                <w:lang w:eastAsia="en-US" w:bidi="en-US"/>
              </w:rPr>
              <w:t>h/a</w:t>
            </w:r>
            <w:r>
              <w:rPr>
                <w:rFonts w:ascii="Times New Roman"/>
                <w:b/>
                <w:bCs/>
                <w:sz w:val="21"/>
                <w:szCs w:val="21"/>
                <w:lang w:bidi="en-US"/>
              </w:rPr>
              <w:t>）</w:t>
            </w:r>
          </w:p>
        </w:tc>
        <w:tc>
          <w:tcPr>
            <w:tcW w:w="1188" w:type="dxa"/>
            <w:shd w:val="clear" w:color="auto" w:fill="auto"/>
            <w:vAlign w:val="center"/>
          </w:tcPr>
          <w:p w14:paraId="504C7A64">
            <w:pPr>
              <w:jc w:val="center"/>
              <w:rPr>
                <w:rFonts w:ascii="Times New Roman"/>
                <w:b/>
                <w:bCs/>
                <w:sz w:val="21"/>
                <w:szCs w:val="21"/>
              </w:rPr>
            </w:pPr>
            <w:r>
              <w:rPr>
                <w:rFonts w:ascii="Times New Roman"/>
                <w:b/>
                <w:bCs/>
                <w:sz w:val="21"/>
                <w:szCs w:val="21"/>
              </w:rPr>
              <w:t>产生浓度</w:t>
            </w:r>
          </w:p>
          <w:p w14:paraId="44EC1B54">
            <w:pPr>
              <w:jc w:val="center"/>
              <w:rPr>
                <w:rFonts w:ascii="Times New Roman"/>
                <w:b/>
                <w:bCs/>
                <w:sz w:val="21"/>
                <w:szCs w:val="21"/>
              </w:rPr>
            </w:pPr>
            <w:r>
              <w:rPr>
                <w:rFonts w:ascii="Times New Roman"/>
                <w:b/>
                <w:bCs/>
                <w:sz w:val="21"/>
                <w:szCs w:val="21"/>
              </w:rPr>
              <w:t>(</w:t>
            </w:r>
            <w:r>
              <w:rPr>
                <w:rFonts w:ascii="Times New Roman"/>
                <w:b/>
                <w:bCs/>
                <w:sz w:val="21"/>
                <w:szCs w:val="21"/>
                <w:lang w:eastAsia="en-US" w:bidi="en-US"/>
              </w:rPr>
              <w:t>mg/m</w:t>
            </w:r>
            <w:r>
              <w:rPr>
                <w:rFonts w:ascii="Times New Roman"/>
                <w:b/>
                <w:bCs/>
                <w:sz w:val="21"/>
                <w:szCs w:val="21"/>
                <w:vertAlign w:val="superscript"/>
                <w:lang w:bidi="en-US"/>
              </w:rPr>
              <w:t>3</w:t>
            </w:r>
            <w:r>
              <w:rPr>
                <w:rFonts w:ascii="Times New Roman"/>
                <w:b/>
                <w:bCs/>
                <w:sz w:val="21"/>
                <w:szCs w:val="21"/>
              </w:rPr>
              <w:t>)</w:t>
            </w:r>
          </w:p>
        </w:tc>
        <w:tc>
          <w:tcPr>
            <w:tcW w:w="1088" w:type="dxa"/>
            <w:shd w:val="clear" w:color="auto" w:fill="auto"/>
            <w:vAlign w:val="center"/>
          </w:tcPr>
          <w:p w14:paraId="73BDC8AB">
            <w:pPr>
              <w:jc w:val="center"/>
              <w:rPr>
                <w:rFonts w:ascii="Times New Roman"/>
                <w:b/>
                <w:bCs/>
                <w:sz w:val="21"/>
                <w:szCs w:val="21"/>
              </w:rPr>
            </w:pPr>
            <w:r>
              <w:rPr>
                <w:rFonts w:ascii="Times New Roman"/>
                <w:b/>
                <w:bCs/>
                <w:sz w:val="21"/>
                <w:szCs w:val="21"/>
              </w:rPr>
              <w:t>产生量</w:t>
            </w:r>
          </w:p>
          <w:p w14:paraId="0EEC1D6D">
            <w:pPr>
              <w:jc w:val="center"/>
              <w:rPr>
                <w:rFonts w:ascii="Times New Roman"/>
                <w:b/>
                <w:bCs/>
                <w:sz w:val="21"/>
                <w:szCs w:val="21"/>
              </w:rPr>
            </w:pPr>
            <w:r>
              <w:rPr>
                <w:rFonts w:ascii="Times New Roman"/>
                <w:b/>
                <w:bCs/>
                <w:sz w:val="21"/>
                <w:szCs w:val="21"/>
                <w:lang w:eastAsia="en-US" w:bidi="en-US"/>
              </w:rPr>
              <w:t>(t/a)</w:t>
            </w:r>
          </w:p>
        </w:tc>
        <w:tc>
          <w:tcPr>
            <w:tcW w:w="1188" w:type="dxa"/>
            <w:shd w:val="clear" w:color="auto" w:fill="auto"/>
            <w:vAlign w:val="center"/>
          </w:tcPr>
          <w:p w14:paraId="08BBFF56">
            <w:pPr>
              <w:jc w:val="center"/>
              <w:rPr>
                <w:rFonts w:ascii="Times New Roman"/>
                <w:b/>
                <w:bCs/>
                <w:sz w:val="21"/>
                <w:szCs w:val="21"/>
              </w:rPr>
            </w:pPr>
            <w:r>
              <w:rPr>
                <w:rFonts w:ascii="Times New Roman"/>
                <w:b/>
                <w:bCs/>
                <w:sz w:val="21"/>
                <w:szCs w:val="21"/>
              </w:rPr>
              <w:t>排放浓度</w:t>
            </w:r>
          </w:p>
          <w:p w14:paraId="30A94A07">
            <w:pPr>
              <w:jc w:val="center"/>
              <w:rPr>
                <w:rFonts w:ascii="Times New Roman"/>
                <w:b/>
                <w:bCs/>
                <w:sz w:val="21"/>
                <w:szCs w:val="21"/>
              </w:rPr>
            </w:pPr>
            <w:r>
              <w:rPr>
                <w:rFonts w:ascii="Times New Roman"/>
                <w:b/>
                <w:bCs/>
                <w:sz w:val="21"/>
                <w:szCs w:val="21"/>
              </w:rPr>
              <w:t>(</w:t>
            </w:r>
            <w:r>
              <w:rPr>
                <w:rFonts w:ascii="Times New Roman"/>
                <w:b/>
                <w:bCs/>
                <w:sz w:val="21"/>
                <w:szCs w:val="21"/>
                <w:lang w:eastAsia="en-US" w:bidi="en-US"/>
              </w:rPr>
              <w:t>mg/m</w:t>
            </w:r>
            <w:r>
              <w:rPr>
                <w:rFonts w:ascii="Times New Roman"/>
                <w:b/>
                <w:bCs/>
                <w:sz w:val="21"/>
                <w:szCs w:val="21"/>
                <w:vertAlign w:val="superscript"/>
                <w:lang w:bidi="en-US"/>
              </w:rPr>
              <w:t>3</w:t>
            </w:r>
            <w:r>
              <w:rPr>
                <w:rFonts w:ascii="Times New Roman"/>
                <w:b/>
                <w:bCs/>
                <w:sz w:val="21"/>
                <w:szCs w:val="21"/>
              </w:rPr>
              <w:t>)</w:t>
            </w:r>
          </w:p>
        </w:tc>
        <w:tc>
          <w:tcPr>
            <w:tcW w:w="1088" w:type="dxa"/>
            <w:shd w:val="clear" w:color="auto" w:fill="auto"/>
            <w:vAlign w:val="center"/>
          </w:tcPr>
          <w:p w14:paraId="5372933D">
            <w:pPr>
              <w:jc w:val="center"/>
              <w:rPr>
                <w:rFonts w:ascii="Times New Roman"/>
                <w:b/>
                <w:bCs/>
                <w:sz w:val="21"/>
                <w:szCs w:val="21"/>
              </w:rPr>
            </w:pPr>
            <w:r>
              <w:rPr>
                <w:rFonts w:ascii="Times New Roman"/>
                <w:b/>
                <w:bCs/>
                <w:sz w:val="21"/>
                <w:szCs w:val="21"/>
              </w:rPr>
              <w:t>排放量</w:t>
            </w:r>
          </w:p>
          <w:p w14:paraId="245784B6">
            <w:pPr>
              <w:jc w:val="center"/>
              <w:rPr>
                <w:rFonts w:ascii="Times New Roman"/>
                <w:b/>
                <w:bCs/>
                <w:sz w:val="21"/>
                <w:szCs w:val="21"/>
              </w:rPr>
            </w:pPr>
            <w:r>
              <w:rPr>
                <w:rFonts w:ascii="Times New Roman"/>
                <w:b/>
                <w:bCs/>
                <w:sz w:val="21"/>
                <w:szCs w:val="21"/>
                <w:lang w:eastAsia="en-US" w:bidi="en-US"/>
              </w:rPr>
              <w:t>(t/a)</w:t>
            </w:r>
          </w:p>
        </w:tc>
      </w:tr>
      <w:tr w14:paraId="0C0D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2" w:hRule="exact"/>
          <w:jc w:val="center"/>
        </w:trPr>
        <w:tc>
          <w:tcPr>
            <w:tcW w:w="1068" w:type="dxa"/>
            <w:vMerge w:val="restart"/>
            <w:shd w:val="clear" w:color="auto" w:fill="auto"/>
            <w:vAlign w:val="center"/>
          </w:tcPr>
          <w:p w14:paraId="33F57A6D">
            <w:pPr>
              <w:jc w:val="center"/>
              <w:rPr>
                <w:rFonts w:ascii="Times New Roman"/>
                <w:sz w:val="21"/>
                <w:szCs w:val="21"/>
              </w:rPr>
            </w:pPr>
            <w:r>
              <w:rPr>
                <w:rFonts w:ascii="Times New Roman"/>
                <w:sz w:val="21"/>
                <w:szCs w:val="21"/>
              </w:rPr>
              <w:t>热处理车炉天然气燃烧烟气</w:t>
            </w:r>
          </w:p>
        </w:tc>
        <w:tc>
          <w:tcPr>
            <w:tcW w:w="1053" w:type="dxa"/>
            <w:shd w:val="clear" w:color="auto" w:fill="auto"/>
            <w:vAlign w:val="center"/>
          </w:tcPr>
          <w:p w14:paraId="391824BD">
            <w:pPr>
              <w:jc w:val="center"/>
              <w:rPr>
                <w:rFonts w:ascii="Times New Roman"/>
                <w:sz w:val="21"/>
                <w:szCs w:val="21"/>
              </w:rPr>
            </w:pPr>
            <w:r>
              <w:rPr>
                <w:rFonts w:ascii="Times New Roman"/>
                <w:bCs/>
                <w:sz w:val="21"/>
                <w:szCs w:val="21"/>
              </w:rPr>
              <w:t>SO</w:t>
            </w:r>
            <w:r>
              <w:rPr>
                <w:rFonts w:ascii="Times New Roman"/>
                <w:bCs/>
                <w:sz w:val="21"/>
                <w:szCs w:val="21"/>
                <w:vertAlign w:val="subscript"/>
              </w:rPr>
              <w:t>2</w:t>
            </w:r>
          </w:p>
        </w:tc>
        <w:tc>
          <w:tcPr>
            <w:tcW w:w="1099" w:type="dxa"/>
            <w:vMerge w:val="restart"/>
            <w:shd w:val="clear" w:color="auto" w:fill="auto"/>
            <w:vAlign w:val="center"/>
          </w:tcPr>
          <w:p w14:paraId="4AC07C85">
            <w:pPr>
              <w:jc w:val="center"/>
              <w:rPr>
                <w:rFonts w:ascii="Times New Roman"/>
                <w:sz w:val="21"/>
                <w:szCs w:val="21"/>
              </w:rPr>
            </w:pPr>
            <w:r>
              <w:rPr>
                <w:rFonts w:hint="eastAsia" w:ascii="Times New Roman"/>
                <w:sz w:val="21"/>
                <w:szCs w:val="21"/>
              </w:rPr>
              <w:t>5059.2</w:t>
            </w:r>
          </w:p>
        </w:tc>
        <w:tc>
          <w:tcPr>
            <w:tcW w:w="1086" w:type="dxa"/>
            <w:vMerge w:val="restart"/>
            <w:shd w:val="clear" w:color="auto" w:fill="auto"/>
            <w:vAlign w:val="center"/>
          </w:tcPr>
          <w:p w14:paraId="75A43BE1">
            <w:pPr>
              <w:jc w:val="center"/>
              <w:rPr>
                <w:rFonts w:ascii="Times New Roman"/>
                <w:sz w:val="21"/>
                <w:szCs w:val="21"/>
              </w:rPr>
            </w:pPr>
            <w:r>
              <w:rPr>
                <w:rFonts w:hint="eastAsia" w:ascii="Times New Roman"/>
                <w:sz w:val="21"/>
                <w:szCs w:val="21"/>
              </w:rPr>
              <w:t>18</w:t>
            </w:r>
            <w:r>
              <w:rPr>
                <w:rFonts w:ascii="Times New Roman"/>
                <w:sz w:val="21"/>
                <w:szCs w:val="21"/>
              </w:rPr>
              <w:t>00</w:t>
            </w:r>
          </w:p>
        </w:tc>
        <w:tc>
          <w:tcPr>
            <w:tcW w:w="1188" w:type="dxa"/>
            <w:shd w:val="clear" w:color="auto" w:fill="auto"/>
            <w:vAlign w:val="center"/>
          </w:tcPr>
          <w:p w14:paraId="403DFDF3">
            <w:pPr>
              <w:jc w:val="center"/>
              <w:rPr>
                <w:rFonts w:ascii="Times New Roman"/>
                <w:sz w:val="21"/>
                <w:szCs w:val="21"/>
              </w:rPr>
            </w:pPr>
            <w:r>
              <w:rPr>
                <w:rFonts w:ascii="Times New Roman"/>
                <w:sz w:val="21"/>
                <w:szCs w:val="21"/>
              </w:rPr>
              <w:t>2.982</w:t>
            </w:r>
          </w:p>
        </w:tc>
        <w:tc>
          <w:tcPr>
            <w:tcW w:w="1088" w:type="dxa"/>
            <w:shd w:val="clear" w:color="auto" w:fill="auto"/>
            <w:vAlign w:val="center"/>
          </w:tcPr>
          <w:p w14:paraId="73FA7B2B">
            <w:pPr>
              <w:jc w:val="center"/>
              <w:rPr>
                <w:rFonts w:ascii="Times New Roman"/>
                <w:sz w:val="21"/>
                <w:szCs w:val="21"/>
              </w:rPr>
            </w:pPr>
            <w:r>
              <w:rPr>
                <w:rFonts w:ascii="Times New Roman"/>
                <w:sz w:val="21"/>
                <w:szCs w:val="21"/>
              </w:rPr>
              <w:t>0.036</w:t>
            </w:r>
          </w:p>
        </w:tc>
        <w:tc>
          <w:tcPr>
            <w:tcW w:w="1188" w:type="dxa"/>
            <w:shd w:val="clear" w:color="auto" w:fill="auto"/>
            <w:vAlign w:val="center"/>
          </w:tcPr>
          <w:p w14:paraId="0AD0BABA">
            <w:pPr>
              <w:jc w:val="center"/>
              <w:rPr>
                <w:rFonts w:ascii="Times New Roman"/>
                <w:sz w:val="21"/>
                <w:szCs w:val="21"/>
                <w:lang w:bidi="zh-TW"/>
              </w:rPr>
            </w:pPr>
            <w:r>
              <w:rPr>
                <w:rFonts w:ascii="Times New Roman"/>
                <w:sz w:val="21"/>
                <w:szCs w:val="21"/>
              </w:rPr>
              <w:t>2.982</w:t>
            </w:r>
          </w:p>
        </w:tc>
        <w:tc>
          <w:tcPr>
            <w:tcW w:w="1088" w:type="dxa"/>
            <w:shd w:val="clear" w:color="auto" w:fill="auto"/>
            <w:vAlign w:val="center"/>
          </w:tcPr>
          <w:p w14:paraId="7FB6CAA3">
            <w:pPr>
              <w:jc w:val="center"/>
              <w:rPr>
                <w:rFonts w:ascii="Times New Roman"/>
                <w:sz w:val="21"/>
                <w:szCs w:val="21"/>
                <w:lang w:bidi="zh-TW"/>
              </w:rPr>
            </w:pPr>
            <w:r>
              <w:rPr>
                <w:rFonts w:ascii="Times New Roman"/>
                <w:sz w:val="21"/>
                <w:szCs w:val="21"/>
              </w:rPr>
              <w:t>0.036</w:t>
            </w:r>
          </w:p>
        </w:tc>
      </w:tr>
      <w:tr w14:paraId="02FB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4" w:hRule="exact"/>
          <w:jc w:val="center"/>
        </w:trPr>
        <w:tc>
          <w:tcPr>
            <w:tcW w:w="1068" w:type="dxa"/>
            <w:vMerge w:val="continue"/>
            <w:shd w:val="clear" w:color="auto" w:fill="auto"/>
            <w:vAlign w:val="center"/>
          </w:tcPr>
          <w:p w14:paraId="41564BAD">
            <w:pPr>
              <w:jc w:val="center"/>
              <w:rPr>
                <w:rFonts w:ascii="Times New Roman"/>
                <w:sz w:val="21"/>
                <w:szCs w:val="21"/>
              </w:rPr>
            </w:pPr>
          </w:p>
        </w:tc>
        <w:tc>
          <w:tcPr>
            <w:tcW w:w="1053" w:type="dxa"/>
            <w:shd w:val="clear" w:color="auto" w:fill="auto"/>
            <w:vAlign w:val="center"/>
          </w:tcPr>
          <w:p w14:paraId="791BE9DF">
            <w:pPr>
              <w:jc w:val="center"/>
              <w:rPr>
                <w:rFonts w:ascii="Times New Roman"/>
                <w:sz w:val="21"/>
                <w:szCs w:val="21"/>
              </w:rPr>
            </w:pPr>
            <w:r>
              <w:rPr>
                <w:rFonts w:ascii="Times New Roman"/>
                <w:sz w:val="21"/>
                <w:szCs w:val="21"/>
                <w:lang w:eastAsia="en-US" w:bidi="en-US"/>
              </w:rPr>
              <w:t>NOx</w:t>
            </w:r>
          </w:p>
        </w:tc>
        <w:tc>
          <w:tcPr>
            <w:tcW w:w="1099" w:type="dxa"/>
            <w:vMerge w:val="continue"/>
            <w:shd w:val="clear" w:color="auto" w:fill="auto"/>
            <w:vAlign w:val="center"/>
          </w:tcPr>
          <w:p w14:paraId="1B103ABC">
            <w:pPr>
              <w:jc w:val="center"/>
              <w:rPr>
                <w:rFonts w:ascii="Times New Roman"/>
                <w:sz w:val="21"/>
                <w:szCs w:val="21"/>
              </w:rPr>
            </w:pPr>
          </w:p>
        </w:tc>
        <w:tc>
          <w:tcPr>
            <w:tcW w:w="1086" w:type="dxa"/>
            <w:vMerge w:val="continue"/>
            <w:shd w:val="clear" w:color="auto" w:fill="auto"/>
            <w:vAlign w:val="center"/>
          </w:tcPr>
          <w:p w14:paraId="2B8BA318">
            <w:pPr>
              <w:jc w:val="center"/>
              <w:rPr>
                <w:rFonts w:ascii="Times New Roman"/>
                <w:sz w:val="21"/>
                <w:szCs w:val="21"/>
              </w:rPr>
            </w:pPr>
          </w:p>
        </w:tc>
        <w:tc>
          <w:tcPr>
            <w:tcW w:w="1188" w:type="dxa"/>
            <w:shd w:val="clear" w:color="auto" w:fill="auto"/>
            <w:vAlign w:val="center"/>
          </w:tcPr>
          <w:p w14:paraId="1C2DC39B">
            <w:pPr>
              <w:jc w:val="center"/>
              <w:rPr>
                <w:rFonts w:ascii="Times New Roman"/>
                <w:sz w:val="21"/>
                <w:szCs w:val="21"/>
              </w:rPr>
            </w:pPr>
            <w:r>
              <w:rPr>
                <w:rFonts w:hint="eastAsia" w:ascii="Times New Roman"/>
                <w:sz w:val="21"/>
                <w:szCs w:val="21"/>
              </w:rPr>
              <w:t>137.564</w:t>
            </w:r>
          </w:p>
        </w:tc>
        <w:tc>
          <w:tcPr>
            <w:tcW w:w="1088" w:type="dxa"/>
            <w:shd w:val="clear" w:color="auto" w:fill="auto"/>
            <w:vAlign w:val="center"/>
          </w:tcPr>
          <w:p w14:paraId="296C745F">
            <w:pPr>
              <w:jc w:val="center"/>
              <w:rPr>
                <w:rFonts w:ascii="Times New Roman"/>
                <w:sz w:val="21"/>
                <w:szCs w:val="21"/>
              </w:rPr>
            </w:pPr>
            <w:r>
              <w:rPr>
                <w:rFonts w:ascii="Times New Roman"/>
                <w:sz w:val="21"/>
                <w:szCs w:val="21"/>
              </w:rPr>
              <w:t>1.661</w:t>
            </w:r>
          </w:p>
        </w:tc>
        <w:tc>
          <w:tcPr>
            <w:tcW w:w="1188" w:type="dxa"/>
            <w:shd w:val="clear" w:color="auto" w:fill="auto"/>
            <w:vAlign w:val="center"/>
          </w:tcPr>
          <w:p w14:paraId="1690B659">
            <w:pPr>
              <w:jc w:val="center"/>
              <w:rPr>
                <w:rFonts w:ascii="Times New Roman"/>
                <w:sz w:val="21"/>
                <w:szCs w:val="21"/>
                <w:lang w:bidi="zh-TW"/>
              </w:rPr>
            </w:pPr>
            <w:r>
              <w:rPr>
                <w:rFonts w:hint="eastAsia" w:ascii="Times New Roman"/>
                <w:sz w:val="21"/>
                <w:szCs w:val="21"/>
              </w:rPr>
              <w:t>68.782</w:t>
            </w:r>
          </w:p>
        </w:tc>
        <w:tc>
          <w:tcPr>
            <w:tcW w:w="1088" w:type="dxa"/>
            <w:shd w:val="clear" w:color="auto" w:fill="auto"/>
            <w:vAlign w:val="center"/>
          </w:tcPr>
          <w:p w14:paraId="45518E45">
            <w:pPr>
              <w:jc w:val="center"/>
              <w:rPr>
                <w:rFonts w:ascii="Times New Roman"/>
                <w:sz w:val="21"/>
                <w:szCs w:val="21"/>
                <w:lang w:bidi="zh-TW"/>
              </w:rPr>
            </w:pPr>
            <w:r>
              <w:rPr>
                <w:rFonts w:ascii="Times New Roman"/>
                <w:sz w:val="21"/>
                <w:szCs w:val="21"/>
              </w:rPr>
              <w:t>0.831</w:t>
            </w:r>
          </w:p>
        </w:tc>
      </w:tr>
      <w:tr w14:paraId="042A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9" w:hRule="exact"/>
          <w:jc w:val="center"/>
        </w:trPr>
        <w:tc>
          <w:tcPr>
            <w:tcW w:w="1068" w:type="dxa"/>
            <w:vMerge w:val="continue"/>
            <w:shd w:val="clear" w:color="auto" w:fill="auto"/>
            <w:vAlign w:val="center"/>
          </w:tcPr>
          <w:p w14:paraId="46B44FBD">
            <w:pPr>
              <w:jc w:val="center"/>
              <w:rPr>
                <w:rFonts w:ascii="Times New Roman"/>
                <w:sz w:val="21"/>
                <w:szCs w:val="21"/>
              </w:rPr>
            </w:pPr>
          </w:p>
        </w:tc>
        <w:tc>
          <w:tcPr>
            <w:tcW w:w="1053" w:type="dxa"/>
            <w:shd w:val="clear" w:color="auto" w:fill="auto"/>
            <w:vAlign w:val="center"/>
          </w:tcPr>
          <w:p w14:paraId="443268B0">
            <w:pPr>
              <w:jc w:val="center"/>
              <w:rPr>
                <w:rFonts w:ascii="Times New Roman"/>
                <w:sz w:val="21"/>
                <w:szCs w:val="21"/>
              </w:rPr>
            </w:pPr>
            <w:r>
              <w:rPr>
                <w:rFonts w:ascii="Times New Roman"/>
                <w:sz w:val="21"/>
                <w:szCs w:val="21"/>
              </w:rPr>
              <w:t>颗粒物</w:t>
            </w:r>
          </w:p>
        </w:tc>
        <w:tc>
          <w:tcPr>
            <w:tcW w:w="1099" w:type="dxa"/>
            <w:vMerge w:val="continue"/>
            <w:shd w:val="clear" w:color="auto" w:fill="auto"/>
            <w:vAlign w:val="center"/>
          </w:tcPr>
          <w:p w14:paraId="06790FB0">
            <w:pPr>
              <w:jc w:val="center"/>
              <w:rPr>
                <w:rFonts w:ascii="Times New Roman"/>
                <w:sz w:val="21"/>
                <w:szCs w:val="21"/>
              </w:rPr>
            </w:pPr>
          </w:p>
        </w:tc>
        <w:tc>
          <w:tcPr>
            <w:tcW w:w="1086" w:type="dxa"/>
            <w:vMerge w:val="continue"/>
            <w:shd w:val="clear" w:color="auto" w:fill="auto"/>
            <w:vAlign w:val="center"/>
          </w:tcPr>
          <w:p w14:paraId="4BE92F65">
            <w:pPr>
              <w:jc w:val="center"/>
              <w:rPr>
                <w:rFonts w:ascii="Times New Roman"/>
                <w:sz w:val="21"/>
                <w:szCs w:val="21"/>
              </w:rPr>
            </w:pPr>
          </w:p>
        </w:tc>
        <w:tc>
          <w:tcPr>
            <w:tcW w:w="1188" w:type="dxa"/>
            <w:shd w:val="clear" w:color="auto" w:fill="auto"/>
            <w:vAlign w:val="center"/>
          </w:tcPr>
          <w:p w14:paraId="078B5F77">
            <w:pPr>
              <w:jc w:val="center"/>
              <w:rPr>
                <w:rFonts w:ascii="Times New Roman"/>
                <w:sz w:val="21"/>
                <w:szCs w:val="21"/>
              </w:rPr>
            </w:pPr>
            <w:r>
              <w:rPr>
                <w:rFonts w:ascii="Times New Roman"/>
                <w:sz w:val="21"/>
                <w:szCs w:val="21"/>
              </w:rPr>
              <w:t>21.036</w:t>
            </w:r>
          </w:p>
        </w:tc>
        <w:tc>
          <w:tcPr>
            <w:tcW w:w="1088" w:type="dxa"/>
            <w:shd w:val="clear" w:color="auto" w:fill="auto"/>
            <w:vAlign w:val="center"/>
          </w:tcPr>
          <w:p w14:paraId="360983E4">
            <w:pPr>
              <w:jc w:val="center"/>
              <w:rPr>
                <w:rFonts w:ascii="Times New Roman"/>
                <w:sz w:val="21"/>
                <w:szCs w:val="21"/>
              </w:rPr>
            </w:pPr>
            <w:r>
              <w:rPr>
                <w:rFonts w:ascii="Times New Roman"/>
                <w:sz w:val="21"/>
                <w:szCs w:val="21"/>
              </w:rPr>
              <w:t>0.254</w:t>
            </w:r>
          </w:p>
        </w:tc>
        <w:tc>
          <w:tcPr>
            <w:tcW w:w="1188" w:type="dxa"/>
            <w:shd w:val="clear" w:color="auto" w:fill="auto"/>
            <w:vAlign w:val="center"/>
          </w:tcPr>
          <w:p w14:paraId="0E37FFB8">
            <w:pPr>
              <w:jc w:val="center"/>
              <w:rPr>
                <w:rFonts w:ascii="Times New Roman"/>
                <w:sz w:val="21"/>
                <w:szCs w:val="21"/>
                <w:lang w:bidi="zh-TW"/>
              </w:rPr>
            </w:pPr>
            <w:r>
              <w:rPr>
                <w:rFonts w:ascii="Times New Roman"/>
                <w:sz w:val="21"/>
                <w:szCs w:val="21"/>
              </w:rPr>
              <w:t>21.036</w:t>
            </w:r>
          </w:p>
        </w:tc>
        <w:tc>
          <w:tcPr>
            <w:tcW w:w="1088" w:type="dxa"/>
            <w:shd w:val="clear" w:color="auto" w:fill="auto"/>
            <w:vAlign w:val="center"/>
          </w:tcPr>
          <w:p w14:paraId="24F90438">
            <w:pPr>
              <w:jc w:val="center"/>
              <w:rPr>
                <w:rFonts w:ascii="Times New Roman"/>
                <w:sz w:val="21"/>
                <w:szCs w:val="21"/>
                <w:lang w:bidi="zh-TW"/>
              </w:rPr>
            </w:pPr>
            <w:r>
              <w:rPr>
                <w:rFonts w:ascii="Times New Roman"/>
                <w:sz w:val="21"/>
                <w:szCs w:val="21"/>
              </w:rPr>
              <w:t>0.254</w:t>
            </w:r>
          </w:p>
        </w:tc>
      </w:tr>
      <w:tr w14:paraId="36B0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8" w:hRule="exact"/>
          <w:jc w:val="center"/>
        </w:trPr>
        <w:tc>
          <w:tcPr>
            <w:tcW w:w="1068" w:type="dxa"/>
            <w:vMerge w:val="continue"/>
            <w:shd w:val="clear" w:color="auto" w:fill="auto"/>
            <w:vAlign w:val="center"/>
          </w:tcPr>
          <w:p w14:paraId="77F3AD84">
            <w:pPr>
              <w:jc w:val="center"/>
              <w:rPr>
                <w:rFonts w:ascii="Times New Roman"/>
                <w:sz w:val="21"/>
                <w:szCs w:val="21"/>
              </w:rPr>
            </w:pPr>
          </w:p>
        </w:tc>
        <w:tc>
          <w:tcPr>
            <w:tcW w:w="1053" w:type="dxa"/>
            <w:shd w:val="clear" w:color="auto" w:fill="auto"/>
            <w:vAlign w:val="center"/>
          </w:tcPr>
          <w:p w14:paraId="2425530B">
            <w:pPr>
              <w:jc w:val="center"/>
              <w:rPr>
                <w:rFonts w:ascii="Times New Roman"/>
                <w:sz w:val="21"/>
                <w:szCs w:val="21"/>
              </w:rPr>
            </w:pPr>
            <w:r>
              <w:rPr>
                <w:rFonts w:ascii="Times New Roman"/>
                <w:sz w:val="21"/>
                <w:szCs w:val="21"/>
              </w:rPr>
              <w:t>烟气黑度</w:t>
            </w:r>
          </w:p>
        </w:tc>
        <w:tc>
          <w:tcPr>
            <w:tcW w:w="1099" w:type="dxa"/>
            <w:vMerge w:val="continue"/>
            <w:shd w:val="clear" w:color="auto" w:fill="auto"/>
            <w:vAlign w:val="center"/>
          </w:tcPr>
          <w:p w14:paraId="51E5C72E">
            <w:pPr>
              <w:jc w:val="center"/>
              <w:rPr>
                <w:rFonts w:ascii="Times New Roman"/>
                <w:sz w:val="21"/>
                <w:szCs w:val="21"/>
              </w:rPr>
            </w:pPr>
          </w:p>
        </w:tc>
        <w:tc>
          <w:tcPr>
            <w:tcW w:w="1086" w:type="dxa"/>
            <w:vMerge w:val="continue"/>
            <w:shd w:val="clear" w:color="auto" w:fill="auto"/>
            <w:vAlign w:val="center"/>
          </w:tcPr>
          <w:p w14:paraId="7EBB0719">
            <w:pPr>
              <w:jc w:val="center"/>
              <w:rPr>
                <w:rFonts w:ascii="Times New Roman"/>
                <w:sz w:val="21"/>
                <w:szCs w:val="21"/>
              </w:rPr>
            </w:pPr>
          </w:p>
        </w:tc>
        <w:tc>
          <w:tcPr>
            <w:tcW w:w="1188" w:type="dxa"/>
            <w:shd w:val="clear" w:color="auto" w:fill="auto"/>
            <w:vAlign w:val="center"/>
          </w:tcPr>
          <w:p w14:paraId="08F22BBD">
            <w:pPr>
              <w:jc w:val="center"/>
              <w:rPr>
                <w:rFonts w:ascii="Times New Roman"/>
                <w:sz w:val="21"/>
                <w:szCs w:val="21"/>
              </w:rPr>
            </w:pPr>
            <w:r>
              <w:rPr>
                <w:rFonts w:hint="eastAsia" w:ascii="Times New Roman"/>
                <w:sz w:val="21"/>
                <w:szCs w:val="21"/>
                <w:lang w:bidi="zh-TW"/>
              </w:rPr>
              <w:t>≤</w:t>
            </w:r>
            <w:r>
              <w:rPr>
                <w:rFonts w:ascii="Times New Roman"/>
                <w:sz w:val="21"/>
                <w:szCs w:val="21"/>
              </w:rPr>
              <w:t>1级</w:t>
            </w:r>
          </w:p>
        </w:tc>
        <w:tc>
          <w:tcPr>
            <w:tcW w:w="1088" w:type="dxa"/>
            <w:shd w:val="clear" w:color="auto" w:fill="auto"/>
            <w:vAlign w:val="center"/>
          </w:tcPr>
          <w:p w14:paraId="422E14AC">
            <w:pPr>
              <w:jc w:val="center"/>
              <w:rPr>
                <w:rFonts w:ascii="Times New Roman"/>
                <w:sz w:val="21"/>
                <w:szCs w:val="21"/>
              </w:rPr>
            </w:pPr>
            <w:r>
              <w:rPr>
                <w:rFonts w:ascii="Times New Roman"/>
                <w:sz w:val="21"/>
                <w:szCs w:val="21"/>
              </w:rPr>
              <w:t>/</w:t>
            </w:r>
          </w:p>
        </w:tc>
        <w:tc>
          <w:tcPr>
            <w:tcW w:w="1188" w:type="dxa"/>
            <w:shd w:val="clear" w:color="auto" w:fill="auto"/>
            <w:vAlign w:val="center"/>
          </w:tcPr>
          <w:p w14:paraId="58C2FF78">
            <w:pPr>
              <w:jc w:val="center"/>
              <w:rPr>
                <w:rFonts w:ascii="Times New Roman"/>
                <w:sz w:val="21"/>
                <w:szCs w:val="21"/>
              </w:rPr>
            </w:pPr>
            <w:r>
              <w:rPr>
                <w:rFonts w:hint="eastAsia" w:ascii="Times New Roman"/>
                <w:sz w:val="21"/>
                <w:szCs w:val="21"/>
                <w:lang w:bidi="zh-TW"/>
              </w:rPr>
              <w:t>≤</w:t>
            </w:r>
            <w:r>
              <w:rPr>
                <w:rFonts w:ascii="Times New Roman"/>
                <w:sz w:val="21"/>
                <w:szCs w:val="21"/>
              </w:rPr>
              <w:t>1级</w:t>
            </w:r>
          </w:p>
        </w:tc>
        <w:tc>
          <w:tcPr>
            <w:tcW w:w="1088" w:type="dxa"/>
            <w:shd w:val="clear" w:color="auto" w:fill="auto"/>
            <w:vAlign w:val="center"/>
          </w:tcPr>
          <w:p w14:paraId="322C59CD">
            <w:pPr>
              <w:jc w:val="center"/>
              <w:rPr>
                <w:rFonts w:ascii="Times New Roman"/>
                <w:sz w:val="21"/>
                <w:szCs w:val="21"/>
              </w:rPr>
            </w:pPr>
            <w:r>
              <w:rPr>
                <w:rFonts w:ascii="Times New Roman"/>
                <w:sz w:val="21"/>
                <w:szCs w:val="21"/>
              </w:rPr>
              <w:t>/</w:t>
            </w:r>
          </w:p>
        </w:tc>
      </w:tr>
    </w:tbl>
    <w:p w14:paraId="510AD8B7">
      <w:pPr>
        <w:spacing w:line="360" w:lineRule="auto"/>
        <w:ind w:firstLine="480" w:firstLineChars="200"/>
        <w:rPr>
          <w:rFonts w:ascii="Times New Roman"/>
          <w:spacing w:val="9"/>
          <w:sz w:val="24"/>
          <w:szCs w:val="24"/>
        </w:rPr>
      </w:pPr>
      <w:r>
        <w:rPr>
          <w:rFonts w:ascii="Times New Roman"/>
          <w:bCs/>
          <w:sz w:val="24"/>
          <w:szCs w:val="24"/>
        </w:rPr>
        <w:t>由上表可知，热处理车炉加热工序</w:t>
      </w:r>
      <w:r>
        <w:rPr>
          <w:rFonts w:ascii="Times New Roman"/>
          <w:kern w:val="0"/>
          <w:sz w:val="24"/>
          <w:szCs w:val="24"/>
        </w:rPr>
        <w:t>排气筒出口的颗粒物、二氧化硫、氮氧化物和烟气黑度，均满足《工业炉窑大气污染物排放标准》（DB13/1640-2012）表1、2标准及《工业炉窑大气污染综合治理方案》（环大气〔2019〕56号）标准要求。</w:t>
      </w:r>
    </w:p>
    <w:p w14:paraId="3DAA1639">
      <w:pPr>
        <w:numPr>
          <w:ilvl w:val="0"/>
          <w:numId w:val="13"/>
        </w:numPr>
        <w:spacing w:line="360" w:lineRule="auto"/>
        <w:ind w:firstLine="516" w:firstLineChars="200"/>
        <w:rPr>
          <w:rFonts w:ascii="Times New Roman"/>
          <w:spacing w:val="9"/>
          <w:sz w:val="24"/>
          <w:szCs w:val="24"/>
        </w:rPr>
      </w:pPr>
      <w:r>
        <w:rPr>
          <w:rFonts w:ascii="Times New Roman"/>
          <w:spacing w:val="9"/>
          <w:sz w:val="24"/>
          <w:szCs w:val="24"/>
        </w:rPr>
        <w:t>淬火、回火工序废气</w:t>
      </w:r>
    </w:p>
    <w:p w14:paraId="35D55CB8">
      <w:pPr>
        <w:spacing w:line="360" w:lineRule="auto"/>
        <w:ind w:firstLine="516" w:firstLineChars="200"/>
        <w:rPr>
          <w:rFonts w:ascii="Times New Roman"/>
          <w:spacing w:val="9"/>
          <w:sz w:val="24"/>
          <w:szCs w:val="24"/>
        </w:rPr>
      </w:pPr>
      <w:r>
        <w:rPr>
          <w:rFonts w:ascii="Times New Roman"/>
          <w:spacing w:val="9"/>
          <w:sz w:val="24"/>
          <w:szCs w:val="24"/>
        </w:rPr>
        <w:t>项目淬火过程中，淬火油挥发会产生淬火油雾，主要污染因子为颗粒物(以油雾计)、挥发性有机物(以非甲烷总烃计)。通过参考《第二次全国污染源普查产排污量核算系数手册》33 金属制品业中热处理产污系数可知，使用火油进行热处理(淬火/回火)时，颗粒物产污系数为200千克/吨-淬火油，挥发性有机物产污系数为0.010kg/吨-淬火油，项目淬火油的用量为</w:t>
      </w:r>
      <w:r>
        <w:rPr>
          <w:rFonts w:hint="eastAsia" w:ascii="Times New Roman"/>
          <w:spacing w:val="9"/>
          <w:sz w:val="24"/>
          <w:szCs w:val="24"/>
        </w:rPr>
        <w:t>80</w:t>
      </w:r>
      <w:r>
        <w:rPr>
          <w:rFonts w:ascii="Times New Roman"/>
          <w:spacing w:val="9"/>
          <w:sz w:val="24"/>
          <w:szCs w:val="24"/>
        </w:rPr>
        <w:t>t/a，则油雾的产生量为</w:t>
      </w:r>
      <w:r>
        <w:rPr>
          <w:rFonts w:hint="eastAsia" w:ascii="Times New Roman"/>
          <w:spacing w:val="9"/>
          <w:sz w:val="24"/>
          <w:szCs w:val="24"/>
        </w:rPr>
        <w:t>16</w:t>
      </w:r>
      <w:r>
        <w:rPr>
          <w:rFonts w:ascii="Times New Roman"/>
          <w:spacing w:val="9"/>
          <w:sz w:val="24"/>
          <w:szCs w:val="24"/>
        </w:rPr>
        <w:t>t/a，非甲烷总烃产生量为0.</w:t>
      </w:r>
      <w:r>
        <w:rPr>
          <w:rFonts w:hint="eastAsia" w:ascii="Times New Roman"/>
          <w:spacing w:val="9"/>
          <w:sz w:val="24"/>
          <w:szCs w:val="24"/>
        </w:rPr>
        <w:t>0008t</w:t>
      </w:r>
      <w:r>
        <w:rPr>
          <w:rFonts w:ascii="Times New Roman"/>
          <w:spacing w:val="9"/>
          <w:sz w:val="24"/>
          <w:szCs w:val="24"/>
        </w:rPr>
        <w:t>/a。</w:t>
      </w:r>
    </w:p>
    <w:p w14:paraId="2008D2FC">
      <w:pPr>
        <w:spacing w:line="360" w:lineRule="auto"/>
        <w:ind w:firstLine="516" w:firstLineChars="200"/>
        <w:rPr>
          <w:rFonts w:ascii="Times New Roman"/>
          <w:spacing w:val="9"/>
          <w:sz w:val="24"/>
          <w:szCs w:val="24"/>
        </w:rPr>
      </w:pPr>
      <w:r>
        <w:rPr>
          <w:rFonts w:ascii="Times New Roman"/>
          <w:spacing w:val="9"/>
          <w:sz w:val="24"/>
          <w:szCs w:val="24"/>
        </w:rPr>
        <w:t>本项目油槽</w:t>
      </w:r>
      <w:r>
        <w:rPr>
          <w:rFonts w:hint="eastAsia" w:ascii="Times New Roman"/>
          <w:spacing w:val="9"/>
          <w:sz w:val="24"/>
          <w:szCs w:val="24"/>
        </w:rPr>
        <w:t>上方设置集气罩</w:t>
      </w:r>
      <w:r>
        <w:rPr>
          <w:rFonts w:ascii="Times New Roman"/>
          <w:spacing w:val="9"/>
          <w:sz w:val="24"/>
          <w:szCs w:val="24"/>
        </w:rPr>
        <w:t>收集</w:t>
      </w:r>
      <w:r>
        <w:rPr>
          <w:rFonts w:hint="eastAsia" w:ascii="Times New Roman"/>
          <w:spacing w:val="9"/>
          <w:sz w:val="24"/>
          <w:szCs w:val="24"/>
        </w:rPr>
        <w:t>废气</w:t>
      </w:r>
      <w:r>
        <w:rPr>
          <w:rFonts w:ascii="Times New Roman"/>
          <w:spacing w:val="9"/>
          <w:sz w:val="24"/>
          <w:szCs w:val="24"/>
        </w:rPr>
        <w:t>，</w:t>
      </w:r>
      <w:r>
        <w:rPr>
          <w:rFonts w:hint="eastAsia" w:ascii="Times New Roman"/>
          <w:spacing w:val="9"/>
          <w:sz w:val="24"/>
          <w:szCs w:val="24"/>
        </w:rPr>
        <w:t>集气罩尺寸（Ø4m）</w:t>
      </w:r>
      <w:r>
        <w:rPr>
          <w:rFonts w:ascii="Times New Roman"/>
          <w:spacing w:val="9"/>
          <w:sz w:val="24"/>
          <w:szCs w:val="24"/>
        </w:rPr>
        <w:t>风机设计风量为</w:t>
      </w:r>
      <w:r>
        <w:rPr>
          <w:rFonts w:hint="eastAsia" w:ascii="Times New Roman"/>
          <w:spacing w:val="9"/>
          <w:sz w:val="24"/>
          <w:szCs w:val="24"/>
        </w:rPr>
        <w:t>50</w:t>
      </w:r>
      <w:r>
        <w:rPr>
          <w:rFonts w:ascii="Times New Roman"/>
          <w:spacing w:val="9"/>
          <w:sz w:val="24"/>
          <w:szCs w:val="24"/>
        </w:rPr>
        <w:t>000m</w:t>
      </w:r>
      <w:r>
        <w:rPr>
          <w:rFonts w:ascii="Times New Roman"/>
          <w:spacing w:val="9"/>
          <w:sz w:val="24"/>
          <w:szCs w:val="24"/>
          <w:vertAlign w:val="superscript"/>
        </w:rPr>
        <w:t>3</w:t>
      </w:r>
      <w:r>
        <w:rPr>
          <w:rFonts w:ascii="Times New Roman"/>
          <w:spacing w:val="9"/>
          <w:sz w:val="24"/>
          <w:szCs w:val="24"/>
        </w:rPr>
        <w:t>/h，废气引入一套油雾净化器+二级活性炭吸附装置处理，处理后经一根20m高排气筒(DA006)排放；</w:t>
      </w:r>
      <w:r>
        <w:rPr>
          <w:rFonts w:hint="eastAsia" w:ascii="Times New Roman"/>
          <w:spacing w:val="9"/>
          <w:sz w:val="24"/>
          <w:szCs w:val="24"/>
        </w:rPr>
        <w:t>油</w:t>
      </w:r>
      <w:r>
        <w:rPr>
          <w:rFonts w:ascii="Times New Roman"/>
          <w:spacing w:val="9"/>
          <w:sz w:val="24"/>
          <w:szCs w:val="24"/>
        </w:rPr>
        <w:t>淬、回火工序</w:t>
      </w:r>
      <w:r>
        <w:rPr>
          <w:rFonts w:hint="eastAsia" w:ascii="Times New Roman"/>
          <w:spacing w:val="9"/>
          <w:sz w:val="24"/>
          <w:szCs w:val="24"/>
        </w:rPr>
        <w:t>年运行时间2400h，</w:t>
      </w:r>
      <w:r>
        <w:rPr>
          <w:rFonts w:ascii="Times New Roman"/>
          <w:spacing w:val="9"/>
          <w:sz w:val="24"/>
          <w:szCs w:val="24"/>
        </w:rPr>
        <w:t>收集效率95%，根据对同类环保设施污染物去除效率分析，油雾净化器+二级活性炭吸附装置对油雾的处理效率可达到</w:t>
      </w:r>
      <w:r>
        <w:rPr>
          <w:rFonts w:hint="eastAsia" w:ascii="Times New Roman"/>
          <w:spacing w:val="9"/>
          <w:sz w:val="24"/>
          <w:szCs w:val="24"/>
        </w:rPr>
        <w:t>9</w:t>
      </w:r>
      <w:r>
        <w:rPr>
          <w:rFonts w:ascii="Times New Roman"/>
          <w:spacing w:val="9"/>
          <w:sz w:val="24"/>
          <w:szCs w:val="24"/>
        </w:rPr>
        <w:t>0%，对非甲烷总烃的处理效率可达到60%。</w:t>
      </w:r>
    </w:p>
    <w:p w14:paraId="19F4B01C">
      <w:pPr>
        <w:spacing w:line="360" w:lineRule="auto"/>
        <w:ind w:firstLine="516" w:firstLineChars="200"/>
        <w:rPr>
          <w:rFonts w:ascii="Times New Roman"/>
          <w:spacing w:val="9"/>
          <w:sz w:val="24"/>
          <w:szCs w:val="24"/>
        </w:rPr>
      </w:pPr>
      <w:r>
        <w:rPr>
          <w:rFonts w:ascii="Times New Roman"/>
          <w:spacing w:val="9"/>
          <w:sz w:val="24"/>
          <w:szCs w:val="24"/>
        </w:rPr>
        <w:t>经处理后，颗粒物排放量为</w:t>
      </w:r>
      <w:r>
        <w:rPr>
          <w:rFonts w:hint="eastAsia" w:ascii="Times New Roman"/>
          <w:spacing w:val="9"/>
          <w:sz w:val="24"/>
          <w:szCs w:val="24"/>
        </w:rPr>
        <w:t>1.520</w:t>
      </w:r>
      <w:r>
        <w:rPr>
          <w:rFonts w:ascii="Times New Roman"/>
          <w:spacing w:val="9"/>
          <w:sz w:val="24"/>
          <w:szCs w:val="24"/>
        </w:rPr>
        <w:t>t/a，排放速率为0.</w:t>
      </w:r>
      <w:r>
        <w:rPr>
          <w:rFonts w:hint="eastAsia" w:ascii="Times New Roman"/>
          <w:spacing w:val="9"/>
          <w:sz w:val="24"/>
          <w:szCs w:val="24"/>
        </w:rPr>
        <w:t>633</w:t>
      </w:r>
      <w:r>
        <w:rPr>
          <w:rFonts w:ascii="Times New Roman"/>
          <w:spacing w:val="9"/>
          <w:sz w:val="24"/>
          <w:szCs w:val="24"/>
        </w:rPr>
        <w:t>kg/h，排放浓度为1</w:t>
      </w:r>
      <w:r>
        <w:rPr>
          <w:rFonts w:hint="eastAsia" w:ascii="Times New Roman"/>
          <w:spacing w:val="9"/>
          <w:sz w:val="24"/>
          <w:szCs w:val="24"/>
        </w:rPr>
        <w:t>2.667</w:t>
      </w:r>
      <w:r>
        <w:rPr>
          <w:rFonts w:ascii="Times New Roman"/>
          <w:spacing w:val="9"/>
          <w:sz w:val="24"/>
          <w:szCs w:val="24"/>
        </w:rPr>
        <w:t>mg/m</w:t>
      </w:r>
      <w:r>
        <w:rPr>
          <w:rFonts w:ascii="Times New Roman"/>
          <w:spacing w:val="9"/>
          <w:sz w:val="24"/>
          <w:szCs w:val="24"/>
          <w:vertAlign w:val="superscript"/>
        </w:rPr>
        <w:t>3</w:t>
      </w:r>
      <w:r>
        <w:rPr>
          <w:rFonts w:ascii="Times New Roman"/>
          <w:spacing w:val="9"/>
          <w:sz w:val="24"/>
          <w:szCs w:val="24"/>
        </w:rPr>
        <w:t>，非甲烷总烃排放量为0.0</w:t>
      </w:r>
      <w:r>
        <w:rPr>
          <w:rFonts w:hint="eastAsia" w:ascii="Times New Roman"/>
          <w:spacing w:val="9"/>
          <w:sz w:val="24"/>
          <w:szCs w:val="24"/>
        </w:rPr>
        <w:t>003t</w:t>
      </w:r>
      <w:r>
        <w:rPr>
          <w:rFonts w:ascii="Times New Roman"/>
          <w:spacing w:val="9"/>
          <w:sz w:val="24"/>
          <w:szCs w:val="24"/>
        </w:rPr>
        <w:t>/a，排放速率为0.000</w:t>
      </w:r>
      <w:r>
        <w:rPr>
          <w:rFonts w:hint="eastAsia" w:ascii="Times New Roman"/>
          <w:spacing w:val="9"/>
          <w:sz w:val="24"/>
          <w:szCs w:val="24"/>
        </w:rPr>
        <w:t>1</w:t>
      </w:r>
      <w:r>
        <w:rPr>
          <w:rFonts w:ascii="Times New Roman"/>
          <w:spacing w:val="9"/>
          <w:sz w:val="24"/>
          <w:szCs w:val="24"/>
        </w:rPr>
        <w:t>kg/h，排放浓度为0.</w:t>
      </w:r>
      <w:r>
        <w:rPr>
          <w:rFonts w:hint="eastAsia" w:ascii="Times New Roman"/>
          <w:spacing w:val="9"/>
          <w:sz w:val="24"/>
          <w:szCs w:val="24"/>
        </w:rPr>
        <w:t>002</w:t>
      </w:r>
      <w:r>
        <w:rPr>
          <w:rFonts w:ascii="Times New Roman"/>
          <w:spacing w:val="9"/>
          <w:sz w:val="24"/>
          <w:szCs w:val="24"/>
        </w:rPr>
        <w:t>mg/m</w:t>
      </w:r>
      <w:r>
        <w:rPr>
          <w:rFonts w:ascii="Times New Roman"/>
          <w:spacing w:val="9"/>
          <w:sz w:val="24"/>
          <w:szCs w:val="24"/>
          <w:vertAlign w:val="superscript"/>
        </w:rPr>
        <w:t>3</w:t>
      </w:r>
      <w:r>
        <w:rPr>
          <w:rFonts w:ascii="Times New Roman"/>
          <w:spacing w:val="9"/>
          <w:sz w:val="24"/>
          <w:szCs w:val="24"/>
        </w:rPr>
        <w:t>，颗粒物排放浓度满足《钢铁工业大气污染物超低排放标准》(DB13/2169-2018)表4中的排放浓度限值：20mg/m</w:t>
      </w:r>
      <w:r>
        <w:rPr>
          <w:rFonts w:ascii="Times New Roman"/>
          <w:spacing w:val="9"/>
          <w:sz w:val="24"/>
          <w:szCs w:val="24"/>
          <w:vertAlign w:val="superscript"/>
        </w:rPr>
        <w:t>3</w:t>
      </w:r>
      <w:r>
        <w:rPr>
          <w:rFonts w:ascii="Times New Roman"/>
          <w:spacing w:val="9"/>
          <w:sz w:val="24"/>
          <w:szCs w:val="24"/>
        </w:rPr>
        <w:t>。非甲烷总烃满足《工业企业挥发性有机物排放控制标准》(DB13/2322-2016)表1“其他行业”排放限值：</w:t>
      </w:r>
      <w:r>
        <w:rPr>
          <w:rFonts w:hint="eastAsia" w:ascii="Times New Roman"/>
          <w:spacing w:val="9"/>
          <w:sz w:val="24"/>
          <w:szCs w:val="24"/>
        </w:rPr>
        <w:t>4</w:t>
      </w:r>
      <w:r>
        <w:rPr>
          <w:rFonts w:ascii="Times New Roman"/>
          <w:spacing w:val="9"/>
          <w:sz w:val="24"/>
          <w:szCs w:val="24"/>
        </w:rPr>
        <w:t>0mg/m</w:t>
      </w:r>
      <w:r>
        <w:rPr>
          <w:rFonts w:ascii="Times New Roman"/>
          <w:spacing w:val="9"/>
          <w:sz w:val="24"/>
          <w:szCs w:val="24"/>
          <w:vertAlign w:val="superscript"/>
        </w:rPr>
        <w:t>3</w:t>
      </w:r>
      <w:r>
        <w:rPr>
          <w:rFonts w:ascii="Times New Roman"/>
          <w:spacing w:val="9"/>
          <w:sz w:val="24"/>
          <w:szCs w:val="24"/>
        </w:rPr>
        <w:t>。</w:t>
      </w:r>
    </w:p>
    <w:p w14:paraId="78B702BA">
      <w:pPr>
        <w:spacing w:line="360" w:lineRule="auto"/>
        <w:ind w:firstLine="516" w:firstLineChars="200"/>
        <w:rPr>
          <w:rFonts w:ascii="Times New Roman"/>
          <w:spacing w:val="9"/>
          <w:sz w:val="24"/>
          <w:szCs w:val="24"/>
        </w:rPr>
      </w:pPr>
      <w:r>
        <w:rPr>
          <w:rFonts w:ascii="Times New Roman"/>
          <w:spacing w:val="9"/>
          <w:sz w:val="24"/>
          <w:szCs w:val="24"/>
        </w:rPr>
        <w:t>②无组织废气</w:t>
      </w:r>
    </w:p>
    <w:p w14:paraId="12E91274">
      <w:pPr>
        <w:spacing w:line="360" w:lineRule="auto"/>
        <w:ind w:firstLine="516" w:firstLineChars="200"/>
        <w:rPr>
          <w:rFonts w:ascii="Times New Roman"/>
          <w:spacing w:val="9"/>
          <w:sz w:val="24"/>
          <w:szCs w:val="24"/>
        </w:rPr>
      </w:pPr>
      <w:r>
        <w:rPr>
          <w:rFonts w:ascii="Times New Roman"/>
          <w:spacing w:val="9"/>
          <w:sz w:val="24"/>
          <w:szCs w:val="24"/>
        </w:rPr>
        <w:t>无组织颗粒物产生量为0.025t/a、无组织非甲烷总烃产生量为0.001kg/a。</w:t>
      </w:r>
    </w:p>
    <w:p w14:paraId="0FE0BFE5">
      <w:pPr>
        <w:spacing w:line="360" w:lineRule="auto"/>
        <w:outlineLvl w:val="3"/>
        <w:rPr>
          <w:rFonts w:ascii="Times New Roman"/>
          <w:b/>
          <w:sz w:val="24"/>
          <w:szCs w:val="24"/>
        </w:rPr>
      </w:pPr>
      <w:r>
        <w:rPr>
          <w:rFonts w:ascii="Times New Roman"/>
          <w:b/>
          <w:sz w:val="24"/>
          <w:szCs w:val="24"/>
        </w:rPr>
        <w:t>3.7.1.3预处理废气</w:t>
      </w:r>
    </w:p>
    <w:p w14:paraId="1C1D707D">
      <w:pPr>
        <w:spacing w:line="360" w:lineRule="auto"/>
        <w:ind w:firstLine="468" w:firstLineChars="200"/>
        <w:rPr>
          <w:rFonts w:ascii="Times New Roman"/>
          <w:spacing w:val="-3"/>
          <w:sz w:val="24"/>
          <w:szCs w:val="24"/>
        </w:rPr>
      </w:pPr>
      <w:r>
        <w:rPr>
          <w:rFonts w:hint="eastAsia" w:ascii="Times New Roman"/>
          <w:spacing w:val="-3"/>
          <w:sz w:val="24"/>
          <w:szCs w:val="24"/>
        </w:rPr>
        <w:t>1、</w:t>
      </w:r>
      <w:r>
        <w:rPr>
          <w:rFonts w:ascii="Times New Roman"/>
          <w:spacing w:val="-3"/>
          <w:sz w:val="24"/>
          <w:szCs w:val="24"/>
        </w:rPr>
        <w:t>抛丸、喷砂</w:t>
      </w:r>
      <w:r>
        <w:rPr>
          <w:rFonts w:hint="eastAsia" w:ascii="Times New Roman"/>
          <w:spacing w:val="-3"/>
          <w:sz w:val="24"/>
          <w:szCs w:val="24"/>
        </w:rPr>
        <w:t>废气</w:t>
      </w:r>
    </w:p>
    <w:p w14:paraId="0014F2C8">
      <w:pPr>
        <w:spacing w:line="360" w:lineRule="auto"/>
        <w:ind w:firstLine="468" w:firstLineChars="200"/>
        <w:rPr>
          <w:rFonts w:ascii="Times New Roman"/>
          <w:spacing w:val="-3"/>
          <w:sz w:val="24"/>
          <w:szCs w:val="24"/>
        </w:rPr>
      </w:pPr>
      <w:r>
        <w:rPr>
          <w:rFonts w:ascii="Times New Roman"/>
          <w:spacing w:val="-3"/>
          <w:sz w:val="24"/>
          <w:szCs w:val="24"/>
        </w:rPr>
        <w:t>抛丸、喷砂属于干式预处理，本次评价参考</w:t>
      </w:r>
      <w:r>
        <w:rPr>
          <w:rFonts w:ascii="Times New Roman"/>
          <w:bCs/>
          <w:sz w:val="24"/>
          <w:szCs w:val="24"/>
        </w:rPr>
        <w:t>《排放源统计调查产排污核算方法和系数手册》中“机械行业系数手册”-06预处理（抛丸）环节的产排污系数核算颗粒物的产生源强</w:t>
      </w:r>
      <w:r>
        <w:rPr>
          <w:rFonts w:ascii="Times New Roman"/>
          <w:spacing w:val="-3"/>
          <w:sz w:val="24"/>
          <w:szCs w:val="24"/>
        </w:rPr>
        <w:t>。具体产排污系数见下表。</w:t>
      </w:r>
    </w:p>
    <w:p w14:paraId="3692D484">
      <w:pPr>
        <w:pStyle w:val="2759"/>
        <w:spacing w:line="360" w:lineRule="auto"/>
        <w:ind w:firstLine="0" w:firstLineChars="0"/>
        <w:jc w:val="center"/>
        <w:rPr>
          <w:b/>
          <w:szCs w:val="20"/>
        </w:rPr>
      </w:pPr>
      <w:r>
        <w:rPr>
          <w:b/>
          <w:szCs w:val="20"/>
        </w:rPr>
        <w:t>表3.7-</w:t>
      </w:r>
      <w:r>
        <w:rPr>
          <w:rFonts w:hint="eastAsia"/>
          <w:b/>
          <w:szCs w:val="20"/>
        </w:rPr>
        <w:t>7</w:t>
      </w:r>
      <w:r>
        <w:rPr>
          <w:b/>
          <w:szCs w:val="20"/>
        </w:rPr>
        <w:t xml:space="preserve">  抛丸工艺产排污系数</w:t>
      </w:r>
    </w:p>
    <w:p w14:paraId="2039529A">
      <w:pPr>
        <w:spacing w:line="38" w:lineRule="auto"/>
        <w:rPr>
          <w:rFonts w:ascii="Times New Roman"/>
          <w:sz w:val="2"/>
        </w:rPr>
      </w:pPr>
    </w:p>
    <w:tbl>
      <w:tblPr>
        <w:tblStyle w:val="84"/>
        <w:tblW w:w="875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1403"/>
        <w:gridCol w:w="1329"/>
        <w:gridCol w:w="1000"/>
        <w:gridCol w:w="1208"/>
        <w:gridCol w:w="1617"/>
        <w:gridCol w:w="1169"/>
      </w:tblGrid>
      <w:tr w14:paraId="3DF7B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031" w:type="dxa"/>
            <w:tcBorders>
              <w:tl2br w:val="nil"/>
              <w:tr2bl w:val="nil"/>
            </w:tcBorders>
            <w:vAlign w:val="center"/>
          </w:tcPr>
          <w:p w14:paraId="46BC89B3">
            <w:pPr>
              <w:jc w:val="center"/>
              <w:rPr>
                <w:rFonts w:ascii="Times New Roman"/>
                <w:b/>
                <w:bCs/>
                <w:sz w:val="21"/>
                <w:szCs w:val="21"/>
              </w:rPr>
            </w:pPr>
            <w:r>
              <w:rPr>
                <w:rFonts w:ascii="Times New Roman"/>
                <w:b/>
                <w:bCs/>
                <w:sz w:val="21"/>
                <w:szCs w:val="21"/>
              </w:rPr>
              <w:t>工段名称</w:t>
            </w:r>
          </w:p>
        </w:tc>
        <w:tc>
          <w:tcPr>
            <w:tcW w:w="1403" w:type="dxa"/>
            <w:tcBorders>
              <w:tl2br w:val="nil"/>
              <w:tr2bl w:val="nil"/>
            </w:tcBorders>
            <w:vAlign w:val="center"/>
          </w:tcPr>
          <w:p w14:paraId="2FDEFDB9">
            <w:pPr>
              <w:jc w:val="center"/>
              <w:rPr>
                <w:rFonts w:ascii="Times New Roman"/>
                <w:b/>
                <w:bCs/>
                <w:sz w:val="21"/>
                <w:szCs w:val="21"/>
              </w:rPr>
            </w:pPr>
            <w:r>
              <w:rPr>
                <w:rFonts w:ascii="Times New Roman"/>
                <w:b/>
                <w:bCs/>
                <w:sz w:val="21"/>
                <w:szCs w:val="21"/>
              </w:rPr>
              <w:t>产品名称</w:t>
            </w:r>
          </w:p>
        </w:tc>
        <w:tc>
          <w:tcPr>
            <w:tcW w:w="1329" w:type="dxa"/>
            <w:tcBorders>
              <w:tl2br w:val="nil"/>
              <w:tr2bl w:val="nil"/>
            </w:tcBorders>
            <w:vAlign w:val="center"/>
          </w:tcPr>
          <w:p w14:paraId="22A56413">
            <w:pPr>
              <w:jc w:val="center"/>
              <w:rPr>
                <w:rFonts w:ascii="Times New Roman"/>
                <w:b/>
                <w:bCs/>
                <w:sz w:val="21"/>
                <w:szCs w:val="21"/>
              </w:rPr>
            </w:pPr>
            <w:r>
              <w:rPr>
                <w:rFonts w:ascii="Times New Roman"/>
                <w:b/>
                <w:bCs/>
                <w:sz w:val="21"/>
                <w:szCs w:val="21"/>
              </w:rPr>
              <w:t>原料名称</w:t>
            </w:r>
          </w:p>
        </w:tc>
        <w:tc>
          <w:tcPr>
            <w:tcW w:w="1000" w:type="dxa"/>
            <w:tcBorders>
              <w:tl2br w:val="nil"/>
              <w:tr2bl w:val="nil"/>
            </w:tcBorders>
            <w:vAlign w:val="center"/>
          </w:tcPr>
          <w:p w14:paraId="271A43C5">
            <w:pPr>
              <w:jc w:val="center"/>
              <w:rPr>
                <w:rFonts w:ascii="Times New Roman"/>
                <w:b/>
                <w:bCs/>
                <w:sz w:val="21"/>
                <w:szCs w:val="21"/>
              </w:rPr>
            </w:pPr>
            <w:r>
              <w:rPr>
                <w:rFonts w:ascii="Times New Roman"/>
                <w:b/>
                <w:bCs/>
                <w:sz w:val="21"/>
                <w:szCs w:val="21"/>
              </w:rPr>
              <w:t>工艺名称</w:t>
            </w:r>
          </w:p>
        </w:tc>
        <w:tc>
          <w:tcPr>
            <w:tcW w:w="1208" w:type="dxa"/>
            <w:tcBorders>
              <w:tl2br w:val="nil"/>
              <w:tr2bl w:val="nil"/>
            </w:tcBorders>
            <w:vAlign w:val="center"/>
          </w:tcPr>
          <w:p w14:paraId="7DD6E45D">
            <w:pPr>
              <w:jc w:val="center"/>
              <w:rPr>
                <w:rFonts w:ascii="Times New Roman"/>
                <w:b/>
                <w:bCs/>
                <w:sz w:val="21"/>
                <w:szCs w:val="21"/>
              </w:rPr>
            </w:pPr>
            <w:r>
              <w:rPr>
                <w:rFonts w:ascii="Times New Roman"/>
                <w:b/>
                <w:bCs/>
                <w:sz w:val="21"/>
                <w:szCs w:val="21"/>
              </w:rPr>
              <w:t>污染物</w:t>
            </w:r>
          </w:p>
        </w:tc>
        <w:tc>
          <w:tcPr>
            <w:tcW w:w="1617" w:type="dxa"/>
            <w:tcBorders>
              <w:tl2br w:val="nil"/>
              <w:tr2bl w:val="nil"/>
            </w:tcBorders>
            <w:vAlign w:val="center"/>
          </w:tcPr>
          <w:p w14:paraId="770730D7">
            <w:pPr>
              <w:jc w:val="center"/>
              <w:rPr>
                <w:rFonts w:ascii="Times New Roman"/>
                <w:b/>
                <w:bCs/>
                <w:sz w:val="21"/>
                <w:szCs w:val="21"/>
              </w:rPr>
            </w:pPr>
            <w:r>
              <w:rPr>
                <w:rFonts w:ascii="Times New Roman"/>
                <w:b/>
                <w:bCs/>
                <w:sz w:val="21"/>
                <w:szCs w:val="21"/>
              </w:rPr>
              <w:t>单位</w:t>
            </w:r>
          </w:p>
        </w:tc>
        <w:tc>
          <w:tcPr>
            <w:tcW w:w="1169" w:type="dxa"/>
            <w:tcBorders>
              <w:tl2br w:val="nil"/>
              <w:tr2bl w:val="nil"/>
            </w:tcBorders>
            <w:vAlign w:val="center"/>
          </w:tcPr>
          <w:p w14:paraId="7CC6DAD1">
            <w:pPr>
              <w:jc w:val="center"/>
              <w:rPr>
                <w:rFonts w:ascii="Times New Roman"/>
                <w:b/>
                <w:bCs/>
                <w:sz w:val="21"/>
                <w:szCs w:val="21"/>
              </w:rPr>
            </w:pPr>
            <w:r>
              <w:rPr>
                <w:rFonts w:ascii="Times New Roman"/>
                <w:b/>
                <w:bCs/>
                <w:sz w:val="21"/>
                <w:szCs w:val="21"/>
              </w:rPr>
              <w:t>产污系数</w:t>
            </w:r>
          </w:p>
        </w:tc>
      </w:tr>
      <w:tr w14:paraId="25E0B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031" w:type="dxa"/>
            <w:tcBorders>
              <w:tl2br w:val="nil"/>
              <w:tr2bl w:val="nil"/>
            </w:tcBorders>
            <w:vAlign w:val="center"/>
          </w:tcPr>
          <w:p w14:paraId="3E246FEF">
            <w:pPr>
              <w:jc w:val="center"/>
              <w:rPr>
                <w:rFonts w:ascii="Times New Roman"/>
                <w:sz w:val="21"/>
                <w:szCs w:val="21"/>
              </w:rPr>
            </w:pPr>
            <w:r>
              <w:rPr>
                <w:rFonts w:ascii="Times New Roman"/>
                <w:sz w:val="21"/>
                <w:szCs w:val="21"/>
              </w:rPr>
              <w:t>预处理</w:t>
            </w:r>
          </w:p>
        </w:tc>
        <w:tc>
          <w:tcPr>
            <w:tcW w:w="1403" w:type="dxa"/>
            <w:tcBorders>
              <w:tl2br w:val="nil"/>
              <w:tr2bl w:val="nil"/>
            </w:tcBorders>
            <w:vAlign w:val="center"/>
          </w:tcPr>
          <w:p w14:paraId="5816AA9B">
            <w:pPr>
              <w:jc w:val="center"/>
              <w:rPr>
                <w:rFonts w:ascii="Times New Roman"/>
                <w:sz w:val="21"/>
                <w:szCs w:val="21"/>
              </w:rPr>
            </w:pPr>
            <w:r>
              <w:rPr>
                <w:rFonts w:ascii="Times New Roman"/>
                <w:sz w:val="21"/>
                <w:szCs w:val="21"/>
              </w:rPr>
              <w:t>干式预处理件</w:t>
            </w:r>
          </w:p>
        </w:tc>
        <w:tc>
          <w:tcPr>
            <w:tcW w:w="1329" w:type="dxa"/>
            <w:tcBorders>
              <w:tl2br w:val="nil"/>
              <w:tr2bl w:val="nil"/>
            </w:tcBorders>
            <w:vAlign w:val="center"/>
          </w:tcPr>
          <w:p w14:paraId="66FF2DF6">
            <w:pPr>
              <w:jc w:val="center"/>
              <w:rPr>
                <w:rFonts w:ascii="Times New Roman"/>
                <w:sz w:val="21"/>
                <w:szCs w:val="21"/>
              </w:rPr>
            </w:pPr>
            <w:r>
              <w:rPr>
                <w:rFonts w:ascii="Times New Roman"/>
                <w:sz w:val="21"/>
                <w:szCs w:val="21"/>
              </w:rPr>
              <w:t>钢材、型材</w:t>
            </w:r>
          </w:p>
        </w:tc>
        <w:tc>
          <w:tcPr>
            <w:tcW w:w="1000" w:type="dxa"/>
            <w:tcBorders>
              <w:tl2br w:val="nil"/>
              <w:tr2bl w:val="nil"/>
            </w:tcBorders>
            <w:vAlign w:val="center"/>
          </w:tcPr>
          <w:p w14:paraId="29E8FE29">
            <w:pPr>
              <w:jc w:val="center"/>
              <w:rPr>
                <w:rFonts w:ascii="Times New Roman"/>
                <w:sz w:val="21"/>
                <w:szCs w:val="21"/>
              </w:rPr>
            </w:pPr>
            <w:r>
              <w:rPr>
                <w:rFonts w:ascii="Times New Roman"/>
                <w:sz w:val="21"/>
                <w:szCs w:val="21"/>
              </w:rPr>
              <w:t>抛丸、喷砂</w:t>
            </w:r>
          </w:p>
        </w:tc>
        <w:tc>
          <w:tcPr>
            <w:tcW w:w="1208" w:type="dxa"/>
            <w:tcBorders>
              <w:tl2br w:val="nil"/>
              <w:tr2bl w:val="nil"/>
            </w:tcBorders>
            <w:vAlign w:val="center"/>
          </w:tcPr>
          <w:p w14:paraId="1986A6AA">
            <w:pPr>
              <w:jc w:val="center"/>
              <w:rPr>
                <w:rFonts w:ascii="Times New Roman"/>
                <w:sz w:val="21"/>
                <w:szCs w:val="21"/>
              </w:rPr>
            </w:pPr>
            <w:r>
              <w:rPr>
                <w:rFonts w:ascii="Times New Roman"/>
                <w:sz w:val="21"/>
                <w:szCs w:val="21"/>
              </w:rPr>
              <w:t>颗粒物</w:t>
            </w:r>
          </w:p>
        </w:tc>
        <w:tc>
          <w:tcPr>
            <w:tcW w:w="1617" w:type="dxa"/>
            <w:tcBorders>
              <w:tl2br w:val="nil"/>
              <w:tr2bl w:val="nil"/>
            </w:tcBorders>
            <w:vAlign w:val="center"/>
          </w:tcPr>
          <w:p w14:paraId="2F0C81B3">
            <w:pPr>
              <w:jc w:val="center"/>
              <w:rPr>
                <w:rFonts w:ascii="Times New Roman"/>
                <w:sz w:val="21"/>
                <w:szCs w:val="21"/>
              </w:rPr>
            </w:pPr>
            <w:r>
              <w:rPr>
                <w:rFonts w:ascii="Times New Roman"/>
                <w:sz w:val="21"/>
                <w:szCs w:val="21"/>
              </w:rPr>
              <w:t>kg/吨-原料</w:t>
            </w:r>
          </w:p>
        </w:tc>
        <w:tc>
          <w:tcPr>
            <w:tcW w:w="1169" w:type="dxa"/>
            <w:tcBorders>
              <w:tl2br w:val="nil"/>
              <w:tr2bl w:val="nil"/>
            </w:tcBorders>
            <w:vAlign w:val="center"/>
          </w:tcPr>
          <w:p w14:paraId="043BC770">
            <w:pPr>
              <w:jc w:val="center"/>
              <w:rPr>
                <w:rFonts w:ascii="Times New Roman"/>
                <w:sz w:val="21"/>
                <w:szCs w:val="21"/>
              </w:rPr>
            </w:pPr>
            <w:r>
              <w:rPr>
                <w:rFonts w:ascii="Times New Roman"/>
                <w:sz w:val="21"/>
                <w:szCs w:val="21"/>
              </w:rPr>
              <w:t>2.19</w:t>
            </w:r>
          </w:p>
        </w:tc>
      </w:tr>
    </w:tbl>
    <w:p w14:paraId="766D8789">
      <w:pPr>
        <w:spacing w:line="360" w:lineRule="auto"/>
        <w:ind w:firstLine="480" w:firstLineChars="200"/>
        <w:rPr>
          <w:rFonts w:ascii="Times New Roman"/>
          <w:sz w:val="24"/>
          <w:szCs w:val="24"/>
        </w:rPr>
      </w:pPr>
      <w:r>
        <w:rPr>
          <w:rFonts w:ascii="Times New Roman"/>
          <w:sz w:val="24"/>
          <w:szCs w:val="24"/>
        </w:rPr>
        <w:t>根据企业提供资料，项目预处理抛丸、喷砂钢材、型材量为70</w:t>
      </w:r>
      <w:r>
        <w:rPr>
          <w:rFonts w:ascii="Times New Roman" w:eastAsia="Times New Roman"/>
          <w:sz w:val="24"/>
          <w:szCs w:val="24"/>
        </w:rPr>
        <w:t>000t/a</w:t>
      </w:r>
      <w:r>
        <w:rPr>
          <w:rFonts w:ascii="Times New Roman"/>
          <w:sz w:val="24"/>
          <w:szCs w:val="24"/>
        </w:rPr>
        <w:t>，则预处理抛丸、喷砂工艺颗粒物产生量为153.3t</w:t>
      </w:r>
      <w:r>
        <w:rPr>
          <w:rFonts w:ascii="Times New Roman" w:eastAsia="Times New Roman"/>
          <w:sz w:val="24"/>
          <w:szCs w:val="24"/>
        </w:rPr>
        <w:t>/a</w:t>
      </w:r>
      <w:r>
        <w:rPr>
          <w:rFonts w:ascii="Times New Roman"/>
          <w:sz w:val="24"/>
          <w:szCs w:val="24"/>
        </w:rPr>
        <w:t>。项目抛丸机为密闭空间内进行抛丸作业，喷砂设置密闭喷砂室，不考虑无组织排放。废气经自带旋风除尘器收集处理后，引入滤筒除尘器处理后，由1根20m高排气筒DA007排放。</w:t>
      </w:r>
    </w:p>
    <w:p w14:paraId="384D2704">
      <w:pPr>
        <w:spacing w:line="360" w:lineRule="auto"/>
        <w:ind w:firstLine="480" w:firstLineChars="200"/>
        <w:rPr>
          <w:rFonts w:ascii="Times New Roman"/>
          <w:sz w:val="24"/>
          <w:szCs w:val="24"/>
        </w:rPr>
      </w:pPr>
      <w:r>
        <w:rPr>
          <w:rFonts w:ascii="Times New Roman"/>
          <w:sz w:val="24"/>
          <w:szCs w:val="24"/>
        </w:rPr>
        <w:t>项目预处理抛丸、喷砂工序年运行2400h，预处理系统配套风机风量为20</w:t>
      </w:r>
      <w:r>
        <w:rPr>
          <w:rFonts w:ascii="Times New Roman" w:eastAsia="Times New Roman"/>
          <w:sz w:val="24"/>
          <w:szCs w:val="24"/>
        </w:rPr>
        <w:t>000m</w:t>
      </w:r>
      <w:r>
        <w:rPr>
          <w:rFonts w:ascii="Times New Roman"/>
          <w:sz w:val="24"/>
          <w:szCs w:val="24"/>
          <w:vertAlign w:val="superscript"/>
        </w:rPr>
        <w:t>3</w:t>
      </w:r>
      <w:r>
        <w:rPr>
          <w:rFonts w:ascii="Times New Roman" w:eastAsia="Times New Roman"/>
          <w:sz w:val="24"/>
          <w:szCs w:val="24"/>
        </w:rPr>
        <w:t>/h</w:t>
      </w:r>
      <w:r>
        <w:rPr>
          <w:rFonts w:ascii="Times New Roman"/>
          <w:sz w:val="24"/>
          <w:szCs w:val="24"/>
        </w:rPr>
        <w:t>，则颗粒物产生速率为63.875</w:t>
      </w:r>
      <w:r>
        <w:rPr>
          <w:rFonts w:ascii="Times New Roman" w:eastAsia="Times New Roman"/>
          <w:sz w:val="24"/>
          <w:szCs w:val="24"/>
        </w:rPr>
        <w:t>kg/h</w:t>
      </w:r>
      <w:r>
        <w:rPr>
          <w:rFonts w:ascii="Times New Roman"/>
          <w:sz w:val="24"/>
          <w:szCs w:val="24"/>
        </w:rPr>
        <w:t>，产生浓度为3193.75</w:t>
      </w:r>
      <w:r>
        <w:rPr>
          <w:rFonts w:ascii="Times New Roman" w:eastAsia="Times New Roman"/>
          <w:sz w:val="24"/>
          <w:szCs w:val="24"/>
        </w:rPr>
        <w:t>mg/m</w:t>
      </w:r>
      <w:r>
        <w:rPr>
          <w:rFonts w:ascii="Times New Roman"/>
          <w:sz w:val="24"/>
          <w:szCs w:val="24"/>
          <w:vertAlign w:val="superscript"/>
        </w:rPr>
        <w:t>3</w:t>
      </w:r>
      <w:r>
        <w:rPr>
          <w:rFonts w:ascii="Times New Roman"/>
          <w:sz w:val="24"/>
          <w:szCs w:val="24"/>
        </w:rPr>
        <w:t>。项目预处理抛丸、喷砂工序</w:t>
      </w:r>
      <w:r>
        <w:rPr>
          <w:rFonts w:hint="eastAsia" w:ascii="Times New Roman"/>
          <w:sz w:val="24"/>
          <w:szCs w:val="24"/>
        </w:rPr>
        <w:t>颗粒物产生浓度较高，故</w:t>
      </w:r>
      <w:r>
        <w:rPr>
          <w:rFonts w:ascii="Times New Roman"/>
          <w:sz w:val="24"/>
          <w:szCs w:val="24"/>
        </w:rPr>
        <w:t>除尘器设计除尘效率为</w:t>
      </w:r>
      <w:r>
        <w:rPr>
          <w:rFonts w:ascii="Times New Roman" w:eastAsia="Times New Roman"/>
          <w:sz w:val="24"/>
          <w:szCs w:val="24"/>
        </w:rPr>
        <w:t>9</w:t>
      </w:r>
      <w:r>
        <w:rPr>
          <w:rFonts w:ascii="Times New Roman"/>
          <w:sz w:val="24"/>
          <w:szCs w:val="24"/>
        </w:rPr>
        <w:t>9.</w:t>
      </w:r>
      <w:r>
        <w:rPr>
          <w:rFonts w:hint="eastAsia" w:ascii="Times New Roman"/>
          <w:sz w:val="24"/>
          <w:szCs w:val="24"/>
        </w:rPr>
        <w:t>9</w:t>
      </w:r>
      <w:r>
        <w:rPr>
          <w:rFonts w:ascii="Times New Roman" w:eastAsia="Times New Roman"/>
          <w:sz w:val="24"/>
          <w:szCs w:val="24"/>
        </w:rPr>
        <w:t>%</w:t>
      </w:r>
      <w:r>
        <w:rPr>
          <w:rFonts w:ascii="Times New Roman"/>
          <w:sz w:val="24"/>
          <w:szCs w:val="24"/>
        </w:rPr>
        <w:t>，排放量为</w:t>
      </w:r>
      <w:r>
        <w:rPr>
          <w:rFonts w:ascii="Times New Roman" w:eastAsia="Times New Roman"/>
          <w:sz w:val="24"/>
          <w:szCs w:val="24"/>
        </w:rPr>
        <w:t>0.</w:t>
      </w:r>
      <w:r>
        <w:rPr>
          <w:rFonts w:hint="eastAsia" w:ascii="Times New Roman"/>
          <w:sz w:val="24"/>
          <w:szCs w:val="24"/>
        </w:rPr>
        <w:t>153</w:t>
      </w:r>
      <w:r>
        <w:rPr>
          <w:rFonts w:ascii="Times New Roman" w:eastAsia="Times New Roman"/>
          <w:sz w:val="24"/>
          <w:szCs w:val="24"/>
        </w:rPr>
        <w:t>t/a</w:t>
      </w:r>
      <w:r>
        <w:rPr>
          <w:rFonts w:ascii="Times New Roman"/>
          <w:sz w:val="24"/>
          <w:szCs w:val="24"/>
        </w:rPr>
        <w:t>，排放速率为</w:t>
      </w:r>
      <w:r>
        <w:rPr>
          <w:rFonts w:ascii="Times New Roman" w:eastAsia="Times New Roman"/>
          <w:sz w:val="24"/>
          <w:szCs w:val="24"/>
        </w:rPr>
        <w:t>0.</w:t>
      </w:r>
      <w:r>
        <w:rPr>
          <w:rFonts w:hint="eastAsia" w:ascii="Times New Roman"/>
          <w:sz w:val="24"/>
          <w:szCs w:val="24"/>
        </w:rPr>
        <w:t>064</w:t>
      </w:r>
      <w:r>
        <w:rPr>
          <w:rFonts w:ascii="Times New Roman" w:eastAsia="Times New Roman"/>
          <w:sz w:val="24"/>
          <w:szCs w:val="24"/>
        </w:rPr>
        <w:t>kg/h</w:t>
      </w:r>
      <w:r>
        <w:rPr>
          <w:rFonts w:ascii="Times New Roman"/>
          <w:sz w:val="24"/>
          <w:szCs w:val="24"/>
        </w:rPr>
        <w:t>，排放浓度为</w:t>
      </w:r>
      <w:r>
        <w:rPr>
          <w:rFonts w:hint="eastAsia" w:ascii="Times New Roman"/>
          <w:sz w:val="24"/>
          <w:szCs w:val="24"/>
        </w:rPr>
        <w:t>3.194</w:t>
      </w:r>
      <w:r>
        <w:rPr>
          <w:rFonts w:ascii="Times New Roman" w:eastAsia="Times New Roman"/>
          <w:sz w:val="24"/>
          <w:szCs w:val="24"/>
        </w:rPr>
        <w:t>mg/m</w:t>
      </w:r>
      <w:r>
        <w:rPr>
          <w:rFonts w:ascii="Times New Roman"/>
          <w:sz w:val="24"/>
          <w:szCs w:val="24"/>
          <w:vertAlign w:val="superscript"/>
        </w:rPr>
        <w:t>3</w:t>
      </w:r>
      <w:r>
        <w:rPr>
          <w:rFonts w:ascii="Times New Roman"/>
          <w:sz w:val="24"/>
          <w:szCs w:val="24"/>
        </w:rPr>
        <w:t>，颗粒物排放满足《钢铁工业大气污染物超低排放标准》（DB13/2169-2018）表1轧钢“热处理炉、拉矫、精整、抛丸、修磨、焊接机及其他生产设施”排放限值要求。</w:t>
      </w:r>
    </w:p>
    <w:p w14:paraId="0BDEBDC8">
      <w:pPr>
        <w:numPr>
          <w:ilvl w:val="0"/>
          <w:numId w:val="14"/>
        </w:numPr>
        <w:spacing w:line="360" w:lineRule="auto"/>
        <w:ind w:firstLine="468" w:firstLineChars="200"/>
        <w:rPr>
          <w:rFonts w:ascii="Times New Roman"/>
          <w:spacing w:val="-3"/>
          <w:sz w:val="24"/>
          <w:szCs w:val="24"/>
        </w:rPr>
      </w:pPr>
      <w:r>
        <w:rPr>
          <w:rFonts w:hint="eastAsia" w:ascii="Times New Roman"/>
          <w:spacing w:val="-3"/>
          <w:sz w:val="24"/>
          <w:szCs w:val="24"/>
        </w:rPr>
        <w:t>热水锅炉燃烧废气</w:t>
      </w:r>
    </w:p>
    <w:p w14:paraId="596452EC">
      <w:pPr>
        <w:spacing w:line="360" w:lineRule="auto"/>
        <w:ind w:firstLine="480" w:firstLineChars="200"/>
        <w:rPr>
          <w:rFonts w:ascii="Times New Roman"/>
          <w:sz w:val="24"/>
          <w:szCs w:val="24"/>
        </w:rPr>
      </w:pPr>
      <w:r>
        <w:rPr>
          <w:rFonts w:ascii="Times New Roman"/>
          <w:sz w:val="24"/>
          <w:szCs w:val="24"/>
        </w:rPr>
        <w:t>电泳前处理热水炉加热过程燃用天然气，使用低氮燃烧器，天然气用量为36万m</w:t>
      </w:r>
      <w:r>
        <w:rPr>
          <w:rFonts w:ascii="Times New Roman"/>
          <w:sz w:val="24"/>
          <w:szCs w:val="24"/>
          <w:vertAlign w:val="superscript"/>
        </w:rPr>
        <w:t>3</w:t>
      </w:r>
      <w:r>
        <w:rPr>
          <w:rFonts w:ascii="Times New Roman"/>
          <w:sz w:val="24"/>
          <w:szCs w:val="24"/>
        </w:rPr>
        <w:t>/a，年运行</w:t>
      </w:r>
      <w:r>
        <w:rPr>
          <w:rFonts w:hint="eastAsia" w:ascii="Times New Roman"/>
          <w:sz w:val="24"/>
          <w:szCs w:val="24"/>
        </w:rPr>
        <w:t>15</w:t>
      </w:r>
      <w:r>
        <w:rPr>
          <w:rFonts w:ascii="Times New Roman"/>
          <w:sz w:val="24"/>
          <w:szCs w:val="24"/>
        </w:rPr>
        <w:t>00h，参照《排放源统计调查产排污核算方法和系数手册—4430锅炉产排污量核算系数手册》中燃气工业锅炉产排污系数产排污系数</w:t>
      </w:r>
      <w:r>
        <w:rPr>
          <w:rFonts w:hint="eastAsia" w:ascii="Times New Roman"/>
          <w:sz w:val="24"/>
          <w:szCs w:val="24"/>
        </w:rPr>
        <w:t>：</w:t>
      </w:r>
    </w:p>
    <w:p w14:paraId="13E54302">
      <w:pPr>
        <w:pStyle w:val="83"/>
        <w:ind w:left="500"/>
      </w:pPr>
    </w:p>
    <w:p w14:paraId="2A4C8FBE">
      <w:pPr>
        <w:spacing w:line="360" w:lineRule="auto"/>
        <w:jc w:val="center"/>
        <w:rPr>
          <w:rFonts w:ascii="Times New Roman"/>
          <w:b/>
          <w:sz w:val="24"/>
          <w:szCs w:val="24"/>
        </w:rPr>
      </w:pPr>
      <w:r>
        <w:rPr>
          <w:rFonts w:ascii="Times New Roman"/>
          <w:b/>
          <w:sz w:val="24"/>
          <w:szCs w:val="24"/>
        </w:rPr>
        <w:t>表3.7-</w:t>
      </w:r>
      <w:r>
        <w:rPr>
          <w:rFonts w:hint="eastAsia" w:ascii="Times New Roman"/>
          <w:b/>
          <w:sz w:val="24"/>
          <w:szCs w:val="24"/>
        </w:rPr>
        <w:t>8</w:t>
      </w:r>
      <w:r>
        <w:rPr>
          <w:rFonts w:ascii="Times New Roman"/>
          <w:b/>
          <w:sz w:val="24"/>
          <w:szCs w:val="24"/>
        </w:rPr>
        <w:t xml:space="preserve">  燃气锅炉大气污染物排放总量及治理措施一览表</w:t>
      </w:r>
    </w:p>
    <w:tbl>
      <w:tblPr>
        <w:tblStyle w:val="8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222"/>
        <w:gridCol w:w="2269"/>
        <w:gridCol w:w="940"/>
        <w:gridCol w:w="1319"/>
        <w:gridCol w:w="1237"/>
      </w:tblGrid>
      <w:tr w14:paraId="7AE2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2" w:type="pct"/>
            <w:vMerge w:val="restart"/>
            <w:vAlign w:val="center"/>
          </w:tcPr>
          <w:p w14:paraId="5E463515">
            <w:pPr>
              <w:snapToGrid w:val="0"/>
              <w:jc w:val="center"/>
              <w:rPr>
                <w:rFonts w:ascii="Times New Roman"/>
                <w:sz w:val="21"/>
                <w:szCs w:val="21"/>
              </w:rPr>
            </w:pPr>
            <w:r>
              <w:rPr>
                <w:rFonts w:hint="eastAsia" w:ascii="Times New Roman"/>
                <w:sz w:val="21"/>
                <w:szCs w:val="21"/>
              </w:rPr>
              <w:t>排气筒</w:t>
            </w:r>
          </w:p>
        </w:tc>
        <w:tc>
          <w:tcPr>
            <w:tcW w:w="674" w:type="pct"/>
            <w:vMerge w:val="restart"/>
            <w:vAlign w:val="center"/>
          </w:tcPr>
          <w:p w14:paraId="00913905">
            <w:pPr>
              <w:snapToGrid w:val="0"/>
              <w:jc w:val="center"/>
              <w:rPr>
                <w:rFonts w:ascii="Times New Roman"/>
                <w:sz w:val="21"/>
                <w:szCs w:val="21"/>
              </w:rPr>
            </w:pPr>
            <w:r>
              <w:rPr>
                <w:rFonts w:ascii="Times New Roman"/>
                <w:sz w:val="21"/>
                <w:szCs w:val="21"/>
              </w:rPr>
              <w:t>污染物</w:t>
            </w:r>
          </w:p>
        </w:tc>
        <w:tc>
          <w:tcPr>
            <w:tcW w:w="1251" w:type="pct"/>
            <w:vAlign w:val="center"/>
          </w:tcPr>
          <w:p w14:paraId="35E600AA">
            <w:pPr>
              <w:snapToGrid w:val="0"/>
              <w:jc w:val="center"/>
              <w:rPr>
                <w:rFonts w:ascii="Times New Roman"/>
                <w:sz w:val="21"/>
                <w:szCs w:val="21"/>
              </w:rPr>
            </w:pPr>
            <w:r>
              <w:rPr>
                <w:rFonts w:ascii="Times New Roman"/>
                <w:sz w:val="21"/>
                <w:szCs w:val="21"/>
              </w:rPr>
              <w:t>产污系数</w:t>
            </w:r>
          </w:p>
        </w:tc>
        <w:tc>
          <w:tcPr>
            <w:tcW w:w="519" w:type="pct"/>
            <w:vMerge w:val="restart"/>
            <w:vAlign w:val="center"/>
          </w:tcPr>
          <w:p w14:paraId="4B675D0E">
            <w:pPr>
              <w:snapToGrid w:val="0"/>
              <w:jc w:val="center"/>
              <w:rPr>
                <w:rFonts w:ascii="Times New Roman"/>
                <w:sz w:val="21"/>
                <w:szCs w:val="21"/>
              </w:rPr>
            </w:pPr>
            <w:r>
              <w:rPr>
                <w:rFonts w:ascii="Times New Roman"/>
                <w:sz w:val="21"/>
                <w:szCs w:val="21"/>
              </w:rPr>
              <w:t>产生量（t/a）</w:t>
            </w:r>
          </w:p>
        </w:tc>
        <w:tc>
          <w:tcPr>
            <w:tcW w:w="728" w:type="pct"/>
            <w:vMerge w:val="restart"/>
            <w:vAlign w:val="center"/>
          </w:tcPr>
          <w:p w14:paraId="44241671">
            <w:pPr>
              <w:snapToGrid w:val="0"/>
              <w:jc w:val="center"/>
              <w:rPr>
                <w:rFonts w:ascii="Times New Roman"/>
                <w:sz w:val="21"/>
                <w:szCs w:val="21"/>
              </w:rPr>
            </w:pPr>
            <w:r>
              <w:rPr>
                <w:rFonts w:ascii="Times New Roman"/>
                <w:sz w:val="21"/>
                <w:szCs w:val="21"/>
              </w:rPr>
              <w:t>产生浓度（mg/m</w:t>
            </w:r>
            <w:r>
              <w:rPr>
                <w:rFonts w:ascii="Times New Roman"/>
                <w:sz w:val="21"/>
                <w:szCs w:val="21"/>
                <w:vertAlign w:val="superscript"/>
              </w:rPr>
              <w:t>3</w:t>
            </w:r>
            <w:r>
              <w:rPr>
                <w:rFonts w:ascii="Times New Roman"/>
                <w:sz w:val="21"/>
                <w:szCs w:val="21"/>
              </w:rPr>
              <w:t>）</w:t>
            </w:r>
          </w:p>
        </w:tc>
        <w:tc>
          <w:tcPr>
            <w:tcW w:w="683" w:type="pct"/>
            <w:vMerge w:val="restart"/>
            <w:vAlign w:val="center"/>
          </w:tcPr>
          <w:p w14:paraId="17FA58ED">
            <w:pPr>
              <w:snapToGrid w:val="0"/>
              <w:jc w:val="center"/>
              <w:rPr>
                <w:rFonts w:ascii="Times New Roman"/>
                <w:sz w:val="21"/>
                <w:szCs w:val="21"/>
              </w:rPr>
            </w:pPr>
            <w:r>
              <w:rPr>
                <w:rFonts w:ascii="Times New Roman"/>
                <w:sz w:val="21"/>
                <w:szCs w:val="21"/>
              </w:rPr>
              <w:t>产生速率（</w:t>
            </w:r>
            <w:r>
              <w:rPr>
                <w:rFonts w:ascii="Times New Roman"/>
                <w:bCs/>
                <w:sz w:val="21"/>
                <w:szCs w:val="21"/>
              </w:rPr>
              <w:t>kg/h</w:t>
            </w:r>
            <w:r>
              <w:rPr>
                <w:rFonts w:ascii="Times New Roman"/>
                <w:sz w:val="21"/>
                <w:szCs w:val="21"/>
              </w:rPr>
              <w:t>）</w:t>
            </w:r>
          </w:p>
        </w:tc>
      </w:tr>
      <w:tr w14:paraId="5736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2" w:type="pct"/>
            <w:vMerge w:val="continue"/>
            <w:vAlign w:val="center"/>
          </w:tcPr>
          <w:p w14:paraId="2C86508B">
            <w:pPr>
              <w:snapToGrid w:val="0"/>
              <w:jc w:val="center"/>
              <w:rPr>
                <w:rFonts w:ascii="Times New Roman"/>
                <w:sz w:val="21"/>
                <w:szCs w:val="21"/>
              </w:rPr>
            </w:pPr>
          </w:p>
        </w:tc>
        <w:tc>
          <w:tcPr>
            <w:tcW w:w="674" w:type="pct"/>
            <w:vMerge w:val="continue"/>
            <w:vAlign w:val="center"/>
          </w:tcPr>
          <w:p w14:paraId="48E88B25">
            <w:pPr>
              <w:snapToGrid w:val="0"/>
              <w:jc w:val="center"/>
              <w:rPr>
                <w:rFonts w:ascii="Times New Roman"/>
                <w:sz w:val="21"/>
                <w:szCs w:val="21"/>
              </w:rPr>
            </w:pPr>
          </w:p>
        </w:tc>
        <w:tc>
          <w:tcPr>
            <w:tcW w:w="1251" w:type="pct"/>
            <w:vAlign w:val="center"/>
          </w:tcPr>
          <w:p w14:paraId="6CBCFA69">
            <w:pPr>
              <w:snapToGrid w:val="0"/>
              <w:jc w:val="center"/>
              <w:rPr>
                <w:rFonts w:ascii="Times New Roman"/>
                <w:sz w:val="21"/>
                <w:szCs w:val="21"/>
              </w:rPr>
            </w:pPr>
            <w:r>
              <w:rPr>
                <w:rFonts w:ascii="Times New Roman"/>
                <w:sz w:val="21"/>
                <w:szCs w:val="21"/>
              </w:rPr>
              <w:t>Nm</w:t>
            </w:r>
            <w:r>
              <w:rPr>
                <w:rFonts w:ascii="Times New Roman"/>
                <w:sz w:val="21"/>
                <w:szCs w:val="21"/>
                <w:vertAlign w:val="superscript"/>
              </w:rPr>
              <w:t>3</w:t>
            </w:r>
            <w:r>
              <w:rPr>
                <w:rFonts w:ascii="Times New Roman"/>
                <w:sz w:val="21"/>
                <w:szCs w:val="21"/>
              </w:rPr>
              <w:t>/万m</w:t>
            </w:r>
            <w:r>
              <w:rPr>
                <w:rFonts w:ascii="Times New Roman"/>
                <w:sz w:val="21"/>
                <w:szCs w:val="21"/>
                <w:vertAlign w:val="superscript"/>
              </w:rPr>
              <w:t>3</w:t>
            </w:r>
            <w:r>
              <w:rPr>
                <w:rFonts w:ascii="Times New Roman"/>
                <w:sz w:val="21"/>
                <w:szCs w:val="21"/>
              </w:rPr>
              <w:t>-燃料</w:t>
            </w:r>
          </w:p>
        </w:tc>
        <w:tc>
          <w:tcPr>
            <w:tcW w:w="519" w:type="pct"/>
            <w:vMerge w:val="continue"/>
            <w:vAlign w:val="center"/>
          </w:tcPr>
          <w:p w14:paraId="788488BB">
            <w:pPr>
              <w:snapToGrid w:val="0"/>
              <w:jc w:val="center"/>
              <w:rPr>
                <w:rFonts w:ascii="Times New Roman"/>
                <w:sz w:val="21"/>
                <w:szCs w:val="21"/>
              </w:rPr>
            </w:pPr>
          </w:p>
        </w:tc>
        <w:tc>
          <w:tcPr>
            <w:tcW w:w="728" w:type="pct"/>
            <w:vMerge w:val="continue"/>
            <w:vAlign w:val="center"/>
          </w:tcPr>
          <w:p w14:paraId="3ACC7216">
            <w:pPr>
              <w:snapToGrid w:val="0"/>
              <w:jc w:val="center"/>
              <w:rPr>
                <w:rFonts w:ascii="Times New Roman"/>
                <w:sz w:val="21"/>
                <w:szCs w:val="21"/>
              </w:rPr>
            </w:pPr>
          </w:p>
        </w:tc>
        <w:tc>
          <w:tcPr>
            <w:tcW w:w="683" w:type="pct"/>
            <w:vMerge w:val="continue"/>
            <w:vAlign w:val="center"/>
          </w:tcPr>
          <w:p w14:paraId="4A35D396">
            <w:pPr>
              <w:snapToGrid w:val="0"/>
              <w:jc w:val="center"/>
              <w:rPr>
                <w:rFonts w:ascii="Times New Roman"/>
                <w:sz w:val="21"/>
                <w:szCs w:val="21"/>
              </w:rPr>
            </w:pPr>
          </w:p>
        </w:tc>
      </w:tr>
      <w:tr w14:paraId="2F7B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2" w:type="pct"/>
            <w:vMerge w:val="restart"/>
            <w:vAlign w:val="center"/>
          </w:tcPr>
          <w:p w14:paraId="53AEAD77">
            <w:pPr>
              <w:snapToGrid w:val="0"/>
              <w:jc w:val="center"/>
              <w:rPr>
                <w:rFonts w:ascii="Times New Roman"/>
                <w:sz w:val="21"/>
                <w:szCs w:val="21"/>
              </w:rPr>
            </w:pPr>
            <w:r>
              <w:rPr>
                <w:rFonts w:hint="eastAsia" w:ascii="Times New Roman"/>
                <w:sz w:val="21"/>
                <w:szCs w:val="21"/>
              </w:rPr>
              <w:t>DA008</w:t>
            </w:r>
          </w:p>
          <w:p w14:paraId="324B6A68">
            <w:pPr>
              <w:snapToGrid w:val="0"/>
              <w:jc w:val="center"/>
              <w:rPr>
                <w:rFonts w:ascii="Times New Roman"/>
                <w:sz w:val="21"/>
                <w:szCs w:val="21"/>
              </w:rPr>
            </w:pPr>
            <w:r>
              <w:rPr>
                <w:rFonts w:ascii="Times New Roman"/>
                <w:sz w:val="21"/>
                <w:szCs w:val="21"/>
              </w:rPr>
              <w:t>天然气耗量：</w:t>
            </w:r>
          </w:p>
          <w:p w14:paraId="0CF413CF">
            <w:pPr>
              <w:snapToGrid w:val="0"/>
              <w:jc w:val="center"/>
              <w:rPr>
                <w:rFonts w:ascii="Times New Roman"/>
                <w:sz w:val="21"/>
                <w:szCs w:val="21"/>
              </w:rPr>
            </w:pPr>
            <w:r>
              <w:rPr>
                <w:rFonts w:hint="eastAsia" w:ascii="Times New Roman"/>
                <w:bCs/>
                <w:sz w:val="21"/>
                <w:szCs w:val="21"/>
              </w:rPr>
              <w:t>36</w:t>
            </w:r>
            <w:r>
              <w:rPr>
                <w:rFonts w:ascii="Times New Roman"/>
                <w:sz w:val="21"/>
                <w:szCs w:val="21"/>
              </w:rPr>
              <w:t>万m</w:t>
            </w:r>
            <w:r>
              <w:rPr>
                <w:rFonts w:ascii="Times New Roman"/>
                <w:sz w:val="21"/>
                <w:szCs w:val="21"/>
                <w:vertAlign w:val="superscript"/>
              </w:rPr>
              <w:t>3</w:t>
            </w:r>
            <w:r>
              <w:rPr>
                <w:rFonts w:ascii="Times New Roman"/>
                <w:sz w:val="21"/>
                <w:szCs w:val="21"/>
              </w:rPr>
              <w:t>/a</w:t>
            </w:r>
          </w:p>
          <w:p w14:paraId="6B709DAE">
            <w:pPr>
              <w:snapToGrid w:val="0"/>
              <w:jc w:val="center"/>
              <w:rPr>
                <w:rFonts w:ascii="Times New Roman"/>
                <w:sz w:val="21"/>
                <w:szCs w:val="21"/>
              </w:rPr>
            </w:pPr>
            <w:r>
              <w:rPr>
                <w:rFonts w:ascii="Times New Roman"/>
                <w:sz w:val="21"/>
                <w:szCs w:val="21"/>
              </w:rPr>
              <w:t>废气排放量：3879108m</w:t>
            </w:r>
            <w:r>
              <w:rPr>
                <w:rFonts w:ascii="Times New Roman"/>
                <w:sz w:val="21"/>
                <w:szCs w:val="21"/>
                <w:vertAlign w:val="superscript"/>
              </w:rPr>
              <w:t>3</w:t>
            </w:r>
            <w:r>
              <w:rPr>
                <w:rFonts w:ascii="Times New Roman"/>
                <w:sz w:val="21"/>
                <w:szCs w:val="21"/>
              </w:rPr>
              <w:t>/a</w:t>
            </w:r>
          </w:p>
        </w:tc>
        <w:tc>
          <w:tcPr>
            <w:tcW w:w="674" w:type="pct"/>
            <w:vAlign w:val="center"/>
          </w:tcPr>
          <w:p w14:paraId="6C120AB1">
            <w:pPr>
              <w:snapToGrid w:val="0"/>
              <w:jc w:val="center"/>
              <w:rPr>
                <w:rFonts w:ascii="Times New Roman"/>
                <w:sz w:val="21"/>
                <w:szCs w:val="21"/>
              </w:rPr>
            </w:pPr>
            <w:r>
              <w:rPr>
                <w:rFonts w:ascii="Times New Roman"/>
                <w:sz w:val="21"/>
                <w:szCs w:val="21"/>
              </w:rPr>
              <w:t>颗粒物</w:t>
            </w:r>
          </w:p>
        </w:tc>
        <w:tc>
          <w:tcPr>
            <w:tcW w:w="1251" w:type="pct"/>
            <w:vAlign w:val="center"/>
          </w:tcPr>
          <w:p w14:paraId="3D851016">
            <w:pPr>
              <w:snapToGrid w:val="0"/>
              <w:jc w:val="center"/>
              <w:rPr>
                <w:rFonts w:ascii="Times New Roman"/>
                <w:sz w:val="21"/>
                <w:szCs w:val="21"/>
              </w:rPr>
            </w:pPr>
            <w:r>
              <w:rPr>
                <w:rFonts w:ascii="Times New Roman"/>
                <w:sz w:val="21"/>
                <w:szCs w:val="21"/>
              </w:rPr>
              <w:t>0.45kg/万m</w:t>
            </w:r>
            <w:r>
              <w:rPr>
                <w:rFonts w:ascii="Times New Roman"/>
                <w:sz w:val="21"/>
                <w:szCs w:val="21"/>
                <w:vertAlign w:val="superscript"/>
              </w:rPr>
              <w:t>3</w:t>
            </w:r>
            <w:r>
              <w:rPr>
                <w:rFonts w:ascii="Times New Roman"/>
                <w:sz w:val="21"/>
                <w:szCs w:val="21"/>
              </w:rPr>
              <w:t>-燃气</w:t>
            </w:r>
          </w:p>
        </w:tc>
        <w:tc>
          <w:tcPr>
            <w:tcW w:w="519" w:type="pct"/>
            <w:vAlign w:val="center"/>
          </w:tcPr>
          <w:p w14:paraId="472DE0EE">
            <w:pPr>
              <w:snapToGrid w:val="0"/>
              <w:jc w:val="center"/>
              <w:rPr>
                <w:rFonts w:ascii="Times New Roman"/>
                <w:sz w:val="21"/>
                <w:szCs w:val="21"/>
              </w:rPr>
            </w:pPr>
            <w:r>
              <w:rPr>
                <w:rFonts w:hint="eastAsia" w:ascii="Times New Roman"/>
                <w:sz w:val="21"/>
                <w:szCs w:val="21"/>
              </w:rPr>
              <w:t>0.016</w:t>
            </w:r>
          </w:p>
        </w:tc>
        <w:tc>
          <w:tcPr>
            <w:tcW w:w="728" w:type="pct"/>
            <w:vAlign w:val="center"/>
          </w:tcPr>
          <w:p w14:paraId="160135D5">
            <w:pPr>
              <w:snapToGrid w:val="0"/>
              <w:jc w:val="center"/>
              <w:rPr>
                <w:rFonts w:ascii="Times New Roman"/>
                <w:sz w:val="21"/>
                <w:szCs w:val="21"/>
              </w:rPr>
            </w:pPr>
            <w:r>
              <w:rPr>
                <w:rFonts w:ascii="Times New Roman"/>
                <w:sz w:val="21"/>
                <w:szCs w:val="21"/>
              </w:rPr>
              <w:t>4.176</w:t>
            </w:r>
          </w:p>
        </w:tc>
        <w:tc>
          <w:tcPr>
            <w:tcW w:w="683" w:type="pct"/>
            <w:vAlign w:val="center"/>
          </w:tcPr>
          <w:p w14:paraId="192A77AD">
            <w:pPr>
              <w:snapToGrid w:val="0"/>
              <w:jc w:val="center"/>
              <w:rPr>
                <w:rFonts w:ascii="Times New Roman"/>
                <w:sz w:val="21"/>
                <w:szCs w:val="21"/>
              </w:rPr>
            </w:pPr>
            <w:r>
              <w:rPr>
                <w:rFonts w:ascii="Times New Roman"/>
                <w:sz w:val="21"/>
                <w:szCs w:val="21"/>
              </w:rPr>
              <w:t>0.</w:t>
            </w:r>
            <w:r>
              <w:rPr>
                <w:rFonts w:hint="eastAsia" w:ascii="Times New Roman"/>
                <w:sz w:val="21"/>
                <w:szCs w:val="21"/>
              </w:rPr>
              <w:t>011</w:t>
            </w:r>
          </w:p>
        </w:tc>
      </w:tr>
      <w:tr w14:paraId="2B09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2" w:type="pct"/>
            <w:vMerge w:val="continue"/>
            <w:vAlign w:val="center"/>
          </w:tcPr>
          <w:p w14:paraId="26731219">
            <w:pPr>
              <w:snapToGrid w:val="0"/>
              <w:jc w:val="center"/>
              <w:rPr>
                <w:rFonts w:ascii="Times New Roman"/>
                <w:sz w:val="21"/>
                <w:szCs w:val="21"/>
              </w:rPr>
            </w:pPr>
          </w:p>
        </w:tc>
        <w:tc>
          <w:tcPr>
            <w:tcW w:w="674" w:type="pct"/>
            <w:vAlign w:val="center"/>
          </w:tcPr>
          <w:p w14:paraId="378C2866">
            <w:pPr>
              <w:snapToGrid w:val="0"/>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251" w:type="pct"/>
            <w:vAlign w:val="center"/>
          </w:tcPr>
          <w:p w14:paraId="0CC97916">
            <w:pPr>
              <w:snapToGrid w:val="0"/>
              <w:jc w:val="center"/>
              <w:rPr>
                <w:rFonts w:ascii="Times New Roman"/>
                <w:sz w:val="21"/>
                <w:szCs w:val="21"/>
              </w:rPr>
            </w:pPr>
            <w:r>
              <w:rPr>
                <w:rFonts w:ascii="Times New Roman"/>
                <w:sz w:val="21"/>
                <w:szCs w:val="21"/>
              </w:rPr>
              <w:t>0.02Skg/万m</w:t>
            </w:r>
            <w:r>
              <w:rPr>
                <w:rFonts w:ascii="Times New Roman"/>
                <w:sz w:val="21"/>
                <w:szCs w:val="21"/>
                <w:vertAlign w:val="superscript"/>
              </w:rPr>
              <w:t>3</w:t>
            </w:r>
            <w:r>
              <w:rPr>
                <w:rFonts w:ascii="Times New Roman"/>
                <w:sz w:val="21"/>
                <w:szCs w:val="21"/>
              </w:rPr>
              <w:t>-燃气</w:t>
            </w:r>
          </w:p>
        </w:tc>
        <w:tc>
          <w:tcPr>
            <w:tcW w:w="519" w:type="pct"/>
            <w:vAlign w:val="center"/>
          </w:tcPr>
          <w:p w14:paraId="6606E162">
            <w:pPr>
              <w:snapToGrid w:val="0"/>
              <w:jc w:val="center"/>
              <w:rPr>
                <w:rFonts w:ascii="Times New Roman"/>
                <w:sz w:val="21"/>
                <w:szCs w:val="21"/>
              </w:rPr>
            </w:pPr>
            <w:r>
              <w:rPr>
                <w:rFonts w:hint="eastAsia" w:ascii="Times New Roman"/>
                <w:sz w:val="21"/>
                <w:szCs w:val="21"/>
              </w:rPr>
              <w:t>0.014</w:t>
            </w:r>
          </w:p>
        </w:tc>
        <w:tc>
          <w:tcPr>
            <w:tcW w:w="728" w:type="pct"/>
            <w:vAlign w:val="center"/>
          </w:tcPr>
          <w:p w14:paraId="1C404DDB">
            <w:pPr>
              <w:snapToGrid w:val="0"/>
              <w:jc w:val="center"/>
              <w:rPr>
                <w:rFonts w:ascii="Times New Roman"/>
                <w:sz w:val="21"/>
                <w:szCs w:val="21"/>
              </w:rPr>
            </w:pPr>
            <w:r>
              <w:rPr>
                <w:rFonts w:ascii="Times New Roman"/>
                <w:sz w:val="21"/>
                <w:szCs w:val="21"/>
              </w:rPr>
              <w:t>9.280</w:t>
            </w:r>
          </w:p>
        </w:tc>
        <w:tc>
          <w:tcPr>
            <w:tcW w:w="683" w:type="pct"/>
            <w:vAlign w:val="center"/>
          </w:tcPr>
          <w:p w14:paraId="4C7864D9">
            <w:pPr>
              <w:snapToGrid w:val="0"/>
              <w:jc w:val="center"/>
              <w:rPr>
                <w:rFonts w:ascii="Times New Roman"/>
                <w:sz w:val="21"/>
                <w:szCs w:val="21"/>
              </w:rPr>
            </w:pPr>
            <w:r>
              <w:rPr>
                <w:rFonts w:ascii="Times New Roman"/>
                <w:sz w:val="21"/>
                <w:szCs w:val="21"/>
              </w:rPr>
              <w:t>0.</w:t>
            </w:r>
            <w:r>
              <w:rPr>
                <w:rFonts w:hint="eastAsia" w:ascii="Times New Roman"/>
                <w:sz w:val="21"/>
                <w:szCs w:val="21"/>
              </w:rPr>
              <w:t>009</w:t>
            </w:r>
          </w:p>
        </w:tc>
      </w:tr>
      <w:tr w14:paraId="28DC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2" w:type="pct"/>
            <w:vMerge w:val="continue"/>
            <w:vAlign w:val="center"/>
          </w:tcPr>
          <w:p w14:paraId="58FD35DD">
            <w:pPr>
              <w:snapToGrid w:val="0"/>
              <w:jc w:val="center"/>
              <w:rPr>
                <w:rFonts w:ascii="Times New Roman"/>
                <w:sz w:val="21"/>
                <w:szCs w:val="21"/>
              </w:rPr>
            </w:pPr>
          </w:p>
        </w:tc>
        <w:tc>
          <w:tcPr>
            <w:tcW w:w="674" w:type="pct"/>
            <w:vAlign w:val="center"/>
          </w:tcPr>
          <w:p w14:paraId="4FBB75EC">
            <w:pPr>
              <w:snapToGrid w:val="0"/>
              <w:jc w:val="center"/>
              <w:rPr>
                <w:rFonts w:ascii="Times New Roman"/>
                <w:sz w:val="21"/>
                <w:szCs w:val="21"/>
              </w:rPr>
            </w:pPr>
            <w:r>
              <w:rPr>
                <w:rFonts w:ascii="Times New Roman"/>
                <w:sz w:val="21"/>
                <w:szCs w:val="21"/>
              </w:rPr>
              <w:t>NOx</w:t>
            </w:r>
          </w:p>
        </w:tc>
        <w:tc>
          <w:tcPr>
            <w:tcW w:w="1251" w:type="pct"/>
            <w:vAlign w:val="center"/>
          </w:tcPr>
          <w:p w14:paraId="054B58B8">
            <w:pPr>
              <w:snapToGrid w:val="0"/>
              <w:jc w:val="center"/>
              <w:rPr>
                <w:rFonts w:ascii="Times New Roman"/>
                <w:sz w:val="21"/>
                <w:szCs w:val="21"/>
              </w:rPr>
            </w:pPr>
            <w:r>
              <w:rPr>
                <w:rFonts w:ascii="Times New Roman"/>
                <w:sz w:val="21"/>
                <w:szCs w:val="21"/>
              </w:rPr>
              <w:t>3.03kg/万m</w:t>
            </w:r>
            <w:r>
              <w:rPr>
                <w:rFonts w:ascii="Times New Roman"/>
                <w:sz w:val="21"/>
                <w:szCs w:val="21"/>
                <w:vertAlign w:val="superscript"/>
              </w:rPr>
              <w:t>3</w:t>
            </w:r>
            <w:r>
              <w:rPr>
                <w:rFonts w:ascii="Times New Roman"/>
                <w:sz w:val="21"/>
                <w:szCs w:val="21"/>
              </w:rPr>
              <w:t>-燃气</w:t>
            </w:r>
          </w:p>
        </w:tc>
        <w:tc>
          <w:tcPr>
            <w:tcW w:w="519" w:type="pct"/>
            <w:vAlign w:val="center"/>
          </w:tcPr>
          <w:p w14:paraId="05F4EAD9">
            <w:pPr>
              <w:snapToGrid w:val="0"/>
              <w:jc w:val="center"/>
              <w:rPr>
                <w:rFonts w:ascii="Times New Roman"/>
                <w:sz w:val="21"/>
                <w:szCs w:val="21"/>
              </w:rPr>
            </w:pPr>
            <w:r>
              <w:rPr>
                <w:rFonts w:hint="eastAsia" w:ascii="Times New Roman"/>
                <w:sz w:val="21"/>
                <w:szCs w:val="21"/>
              </w:rPr>
              <w:t>0.108</w:t>
            </w:r>
          </w:p>
        </w:tc>
        <w:tc>
          <w:tcPr>
            <w:tcW w:w="728" w:type="pct"/>
            <w:vAlign w:val="center"/>
          </w:tcPr>
          <w:p w14:paraId="665F2807">
            <w:pPr>
              <w:snapToGrid w:val="0"/>
              <w:jc w:val="center"/>
              <w:rPr>
                <w:rFonts w:ascii="Times New Roman"/>
                <w:sz w:val="21"/>
                <w:szCs w:val="21"/>
              </w:rPr>
            </w:pPr>
            <w:r>
              <w:rPr>
                <w:rFonts w:ascii="Times New Roman"/>
                <w:sz w:val="21"/>
                <w:szCs w:val="21"/>
              </w:rPr>
              <w:t>28.120</w:t>
            </w:r>
          </w:p>
        </w:tc>
        <w:tc>
          <w:tcPr>
            <w:tcW w:w="683" w:type="pct"/>
            <w:vAlign w:val="center"/>
          </w:tcPr>
          <w:p w14:paraId="7859705B">
            <w:pPr>
              <w:snapToGrid w:val="0"/>
              <w:jc w:val="center"/>
              <w:rPr>
                <w:rFonts w:ascii="Times New Roman"/>
                <w:sz w:val="21"/>
                <w:szCs w:val="21"/>
              </w:rPr>
            </w:pPr>
            <w:r>
              <w:rPr>
                <w:rFonts w:hint="eastAsia" w:ascii="Times New Roman"/>
                <w:sz w:val="21"/>
                <w:szCs w:val="21"/>
              </w:rPr>
              <w:t>0.072</w:t>
            </w:r>
          </w:p>
        </w:tc>
      </w:tr>
      <w:tr w14:paraId="0A88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2" w:type="pct"/>
            <w:vMerge w:val="continue"/>
            <w:vAlign w:val="center"/>
          </w:tcPr>
          <w:p w14:paraId="10EB5694">
            <w:pPr>
              <w:snapToGrid w:val="0"/>
              <w:jc w:val="center"/>
              <w:rPr>
                <w:rFonts w:ascii="Times New Roman"/>
                <w:sz w:val="21"/>
                <w:szCs w:val="21"/>
              </w:rPr>
            </w:pPr>
          </w:p>
        </w:tc>
        <w:tc>
          <w:tcPr>
            <w:tcW w:w="674" w:type="pct"/>
            <w:vAlign w:val="center"/>
          </w:tcPr>
          <w:p w14:paraId="22B4068A">
            <w:pPr>
              <w:snapToGrid w:val="0"/>
              <w:jc w:val="center"/>
              <w:rPr>
                <w:rFonts w:ascii="Times New Roman"/>
                <w:sz w:val="21"/>
                <w:szCs w:val="21"/>
              </w:rPr>
            </w:pPr>
            <w:r>
              <w:rPr>
                <w:rFonts w:ascii="Times New Roman"/>
                <w:sz w:val="21"/>
                <w:szCs w:val="21"/>
              </w:rPr>
              <w:t>烟气黑度</w:t>
            </w:r>
          </w:p>
        </w:tc>
        <w:tc>
          <w:tcPr>
            <w:tcW w:w="1251" w:type="pct"/>
            <w:vAlign w:val="center"/>
          </w:tcPr>
          <w:p w14:paraId="4402CC9E">
            <w:pPr>
              <w:snapToGrid w:val="0"/>
              <w:jc w:val="center"/>
              <w:rPr>
                <w:rFonts w:ascii="Times New Roman"/>
                <w:sz w:val="21"/>
                <w:szCs w:val="21"/>
              </w:rPr>
            </w:pPr>
            <w:r>
              <w:rPr>
                <w:rFonts w:ascii="Times New Roman"/>
                <w:sz w:val="21"/>
                <w:szCs w:val="21"/>
              </w:rPr>
              <w:t>--</w:t>
            </w:r>
          </w:p>
        </w:tc>
        <w:tc>
          <w:tcPr>
            <w:tcW w:w="519" w:type="pct"/>
            <w:vAlign w:val="center"/>
          </w:tcPr>
          <w:p w14:paraId="29A25E87">
            <w:pPr>
              <w:snapToGrid w:val="0"/>
              <w:jc w:val="center"/>
              <w:rPr>
                <w:rFonts w:ascii="Times New Roman"/>
                <w:sz w:val="21"/>
                <w:szCs w:val="21"/>
              </w:rPr>
            </w:pPr>
            <w:r>
              <w:rPr>
                <w:rFonts w:ascii="Times New Roman"/>
                <w:sz w:val="21"/>
                <w:szCs w:val="21"/>
              </w:rPr>
              <w:t>--</w:t>
            </w:r>
          </w:p>
        </w:tc>
        <w:tc>
          <w:tcPr>
            <w:tcW w:w="728" w:type="pct"/>
            <w:vAlign w:val="center"/>
          </w:tcPr>
          <w:p w14:paraId="1C2701D1">
            <w:pPr>
              <w:snapToGrid w:val="0"/>
              <w:jc w:val="center"/>
              <w:rPr>
                <w:rFonts w:ascii="Times New Roman"/>
                <w:sz w:val="21"/>
                <w:szCs w:val="21"/>
              </w:rPr>
            </w:pPr>
            <w:r>
              <w:rPr>
                <w:rFonts w:ascii="Times New Roman"/>
                <w:bCs/>
                <w:sz w:val="21"/>
                <w:szCs w:val="21"/>
              </w:rPr>
              <w:t>林格曼黑度≤1级</w:t>
            </w:r>
          </w:p>
        </w:tc>
        <w:tc>
          <w:tcPr>
            <w:tcW w:w="683" w:type="pct"/>
            <w:vAlign w:val="center"/>
          </w:tcPr>
          <w:p w14:paraId="4EEDCA55">
            <w:pPr>
              <w:snapToGrid w:val="0"/>
              <w:jc w:val="center"/>
              <w:rPr>
                <w:rFonts w:ascii="Times New Roman"/>
                <w:bCs/>
                <w:sz w:val="21"/>
                <w:szCs w:val="21"/>
              </w:rPr>
            </w:pPr>
            <w:r>
              <w:rPr>
                <w:rFonts w:ascii="Times New Roman"/>
                <w:bCs/>
                <w:sz w:val="21"/>
                <w:szCs w:val="21"/>
              </w:rPr>
              <w:t>--</w:t>
            </w:r>
          </w:p>
        </w:tc>
      </w:tr>
    </w:tbl>
    <w:p w14:paraId="419D8BC3">
      <w:pPr>
        <w:spacing w:line="360" w:lineRule="auto"/>
        <w:ind w:firstLine="480" w:firstLineChars="200"/>
        <w:rPr>
          <w:rFonts w:ascii="Times New Roman"/>
          <w:sz w:val="24"/>
          <w:szCs w:val="24"/>
        </w:rPr>
      </w:pPr>
      <w:r>
        <w:rPr>
          <w:rFonts w:hint="eastAsia" w:ascii="Times New Roman"/>
          <w:sz w:val="24"/>
          <w:szCs w:val="24"/>
        </w:rPr>
        <w:t>项目热水锅炉废气排放满足</w:t>
      </w:r>
      <w:r>
        <w:rPr>
          <w:rFonts w:ascii="Times New Roman"/>
          <w:sz w:val="24"/>
          <w:szCs w:val="24"/>
        </w:rPr>
        <w:t>《锅炉大气污染物排放标准》（DB13/5161-2020）表1排放标准</w:t>
      </w:r>
      <w:r>
        <w:rPr>
          <w:rFonts w:hint="eastAsia" w:ascii="Times New Roman"/>
          <w:sz w:val="24"/>
          <w:szCs w:val="24"/>
        </w:rPr>
        <w:t>。</w:t>
      </w:r>
    </w:p>
    <w:p w14:paraId="1B7529C7">
      <w:pPr>
        <w:spacing w:line="360" w:lineRule="auto"/>
        <w:outlineLvl w:val="3"/>
        <w:rPr>
          <w:rFonts w:ascii="Times New Roman"/>
          <w:b/>
          <w:sz w:val="24"/>
          <w:szCs w:val="24"/>
        </w:rPr>
      </w:pPr>
      <w:r>
        <w:rPr>
          <w:rFonts w:ascii="Times New Roman"/>
          <w:b/>
          <w:sz w:val="24"/>
          <w:szCs w:val="24"/>
        </w:rPr>
        <w:t>3.7.1.4电泳及喷涂生产线废气</w:t>
      </w:r>
    </w:p>
    <w:p w14:paraId="544364F0">
      <w:pPr>
        <w:spacing w:line="360" w:lineRule="auto"/>
        <w:ind w:firstLine="480" w:firstLineChars="200"/>
        <w:rPr>
          <w:rFonts w:ascii="Times New Roman"/>
          <w:sz w:val="24"/>
          <w:szCs w:val="24"/>
        </w:rPr>
      </w:pPr>
      <w:r>
        <w:rPr>
          <w:rFonts w:ascii="Times New Roman"/>
          <w:sz w:val="24"/>
          <w:szCs w:val="24"/>
        </w:rPr>
        <w:t>1、电泳、喷漆及烘干废气</w:t>
      </w:r>
    </w:p>
    <w:p w14:paraId="5A922F49">
      <w:pPr>
        <w:spacing w:line="360" w:lineRule="auto"/>
        <w:ind w:firstLine="480" w:firstLineChars="200"/>
        <w:rPr>
          <w:rFonts w:ascii="Times New Roman"/>
          <w:sz w:val="24"/>
          <w:szCs w:val="24"/>
        </w:rPr>
      </w:pPr>
      <w:r>
        <w:rPr>
          <w:rFonts w:ascii="Times New Roman"/>
          <w:sz w:val="24"/>
          <w:szCs w:val="24"/>
        </w:rPr>
        <w:t>预处理电泳、调漆、喷漆和烘干废气均在密闭房内进行，漆房采用上部送风、下部抽风，喷漆室底部抽风口格栅设置过滤棉，预处理部分漆雾后，废气经“4级干式过滤器+沸石轮转吸附+RTO焚烧装置”净化处理后经2</w:t>
      </w:r>
      <w:r>
        <w:rPr>
          <w:rFonts w:hint="eastAsia" w:ascii="Times New Roman"/>
          <w:sz w:val="24"/>
          <w:szCs w:val="24"/>
        </w:rPr>
        <w:t>2</w:t>
      </w:r>
      <w:r>
        <w:rPr>
          <w:rFonts w:ascii="Times New Roman"/>
          <w:sz w:val="24"/>
          <w:szCs w:val="24"/>
        </w:rPr>
        <w:t>m高排气筒（DA0</w:t>
      </w:r>
      <w:r>
        <w:rPr>
          <w:rFonts w:hint="eastAsia" w:ascii="Times New Roman"/>
          <w:sz w:val="24"/>
          <w:szCs w:val="24"/>
        </w:rPr>
        <w:t>11</w:t>
      </w:r>
      <w:r>
        <w:rPr>
          <w:rFonts w:ascii="Times New Roman"/>
          <w:sz w:val="24"/>
          <w:szCs w:val="24"/>
        </w:rPr>
        <w:t>）排放</w:t>
      </w:r>
      <w:r>
        <w:rPr>
          <w:rFonts w:hint="eastAsia" w:ascii="Times New Roman"/>
          <w:sz w:val="24"/>
          <w:szCs w:val="24"/>
        </w:rPr>
        <w:t>。</w:t>
      </w:r>
    </w:p>
    <w:p w14:paraId="3D281739">
      <w:pPr>
        <w:spacing w:line="360" w:lineRule="auto"/>
        <w:ind w:firstLine="480" w:firstLineChars="200"/>
        <w:rPr>
          <w:rFonts w:ascii="Times New Roman"/>
          <w:bCs/>
          <w:sz w:val="24"/>
          <w:szCs w:val="24"/>
        </w:rPr>
      </w:pPr>
      <w:r>
        <w:rPr>
          <w:rFonts w:ascii="Times New Roman"/>
          <w:sz w:val="24"/>
          <w:szCs w:val="24"/>
        </w:rPr>
        <w:t>由表3.4-1，</w:t>
      </w:r>
      <w:r>
        <w:rPr>
          <w:rFonts w:ascii="Times New Roman"/>
          <w:bCs/>
          <w:sz w:val="24"/>
          <w:szCs w:val="24"/>
        </w:rPr>
        <w:t>电泳、喷漆及烘干废气风量设置情况</w:t>
      </w:r>
      <w:r>
        <w:rPr>
          <w:rFonts w:hint="eastAsia" w:ascii="Times New Roman"/>
          <w:bCs/>
          <w:sz w:val="24"/>
          <w:szCs w:val="24"/>
        </w:rPr>
        <w:t>见下表：</w:t>
      </w:r>
    </w:p>
    <w:p w14:paraId="7CC3D3DB">
      <w:pPr>
        <w:spacing w:line="360" w:lineRule="auto"/>
        <w:jc w:val="center"/>
        <w:rPr>
          <w:rFonts w:ascii="Times New Roman"/>
          <w:sz w:val="24"/>
          <w:szCs w:val="24"/>
        </w:rPr>
      </w:pPr>
      <w:r>
        <w:rPr>
          <w:rFonts w:ascii="Times New Roman"/>
          <w:b/>
          <w:sz w:val="24"/>
          <w:szCs w:val="24"/>
        </w:rPr>
        <w:t>表3.7-</w:t>
      </w:r>
      <w:r>
        <w:rPr>
          <w:rFonts w:hint="eastAsia" w:ascii="Times New Roman"/>
          <w:b/>
          <w:sz w:val="24"/>
          <w:szCs w:val="24"/>
        </w:rPr>
        <w:t>9</w:t>
      </w:r>
      <w:r>
        <w:rPr>
          <w:rFonts w:ascii="Times New Roman"/>
          <w:b/>
          <w:sz w:val="24"/>
          <w:szCs w:val="24"/>
        </w:rPr>
        <w:t xml:space="preserve">  电泳、喷漆及烘干废气风量设置情况一览表</w:t>
      </w:r>
    </w:p>
    <w:tbl>
      <w:tblPr>
        <w:tblStyle w:val="84"/>
        <w:tblW w:w="893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9"/>
        <w:gridCol w:w="2130"/>
        <w:gridCol w:w="795"/>
        <w:gridCol w:w="1342"/>
        <w:gridCol w:w="1596"/>
        <w:gridCol w:w="1616"/>
      </w:tblGrid>
      <w:tr w14:paraId="7B8C6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459" w:type="dxa"/>
            <w:vAlign w:val="center"/>
          </w:tcPr>
          <w:p w14:paraId="5642EEF0">
            <w:pPr>
              <w:jc w:val="center"/>
              <w:rPr>
                <w:rFonts w:ascii="Times New Roman"/>
                <w:b/>
                <w:bCs/>
                <w:sz w:val="21"/>
                <w:szCs w:val="21"/>
              </w:rPr>
            </w:pPr>
            <w:r>
              <w:rPr>
                <w:rFonts w:ascii="Times New Roman"/>
                <w:b/>
                <w:bCs/>
                <w:sz w:val="21"/>
                <w:szCs w:val="21"/>
              </w:rPr>
              <w:t>收集装置</w:t>
            </w:r>
          </w:p>
        </w:tc>
        <w:tc>
          <w:tcPr>
            <w:tcW w:w="2130" w:type="dxa"/>
            <w:vAlign w:val="center"/>
          </w:tcPr>
          <w:p w14:paraId="31CAE131">
            <w:pPr>
              <w:jc w:val="center"/>
              <w:rPr>
                <w:rFonts w:ascii="Times New Roman"/>
                <w:b/>
                <w:bCs/>
                <w:sz w:val="13"/>
                <w:szCs w:val="13"/>
              </w:rPr>
            </w:pPr>
            <w:r>
              <w:rPr>
                <w:rFonts w:hint="eastAsia" w:ascii="Times New Roman"/>
                <w:b/>
                <w:bCs/>
                <w:sz w:val="21"/>
                <w:szCs w:val="21"/>
              </w:rPr>
              <w:t>尺寸</w:t>
            </w:r>
          </w:p>
        </w:tc>
        <w:tc>
          <w:tcPr>
            <w:tcW w:w="795" w:type="dxa"/>
            <w:vAlign w:val="center"/>
          </w:tcPr>
          <w:p w14:paraId="4A3D303B">
            <w:pPr>
              <w:jc w:val="center"/>
              <w:rPr>
                <w:rFonts w:ascii="Times New Roman"/>
                <w:b/>
                <w:bCs/>
                <w:sz w:val="21"/>
                <w:szCs w:val="21"/>
              </w:rPr>
            </w:pPr>
            <w:r>
              <w:rPr>
                <w:rFonts w:ascii="Times New Roman"/>
                <w:b/>
                <w:bCs/>
                <w:sz w:val="21"/>
                <w:szCs w:val="21"/>
              </w:rPr>
              <w:t>个数</w:t>
            </w:r>
            <w:r>
              <w:rPr>
                <w:rFonts w:ascii="Times New Roman" w:eastAsia="Times New Roman"/>
                <w:b/>
                <w:bCs/>
                <w:sz w:val="21"/>
                <w:szCs w:val="21"/>
              </w:rPr>
              <w:t>/</w:t>
            </w:r>
            <w:r>
              <w:rPr>
                <w:rFonts w:ascii="Times New Roman"/>
                <w:b/>
                <w:bCs/>
                <w:sz w:val="21"/>
                <w:szCs w:val="21"/>
              </w:rPr>
              <w:t>个</w:t>
            </w:r>
          </w:p>
        </w:tc>
        <w:tc>
          <w:tcPr>
            <w:tcW w:w="1342" w:type="dxa"/>
            <w:vAlign w:val="center"/>
          </w:tcPr>
          <w:p w14:paraId="2B296570">
            <w:pPr>
              <w:jc w:val="center"/>
              <w:rPr>
                <w:rFonts w:ascii="Times New Roman"/>
                <w:b/>
                <w:bCs/>
                <w:sz w:val="21"/>
                <w:szCs w:val="21"/>
              </w:rPr>
            </w:pPr>
            <w:r>
              <w:rPr>
                <w:rFonts w:hint="eastAsia" w:ascii="Times New Roman"/>
                <w:b/>
                <w:bCs/>
                <w:sz w:val="21"/>
                <w:szCs w:val="21"/>
              </w:rPr>
              <w:t>换风次数</w:t>
            </w:r>
          </w:p>
        </w:tc>
        <w:tc>
          <w:tcPr>
            <w:tcW w:w="1596" w:type="dxa"/>
            <w:vAlign w:val="center"/>
          </w:tcPr>
          <w:p w14:paraId="2E1A8249">
            <w:pPr>
              <w:jc w:val="center"/>
              <w:rPr>
                <w:rFonts w:ascii="Times New Roman"/>
                <w:b/>
                <w:bCs/>
                <w:sz w:val="21"/>
                <w:szCs w:val="21"/>
              </w:rPr>
            </w:pPr>
            <w:r>
              <w:rPr>
                <w:rFonts w:ascii="Times New Roman"/>
                <w:b/>
                <w:bCs/>
                <w:sz w:val="21"/>
                <w:szCs w:val="21"/>
              </w:rPr>
              <w:t>理论风量</w:t>
            </w:r>
          </w:p>
          <w:p w14:paraId="748EE88B">
            <w:pPr>
              <w:jc w:val="center"/>
              <w:rPr>
                <w:rFonts w:ascii="Times New Roman"/>
                <w:b/>
                <w:bCs/>
                <w:sz w:val="21"/>
                <w:szCs w:val="21"/>
              </w:rPr>
            </w:pPr>
            <w:r>
              <w:rPr>
                <w:rFonts w:ascii="Times New Roman"/>
                <w:b/>
                <w:bCs/>
                <w:sz w:val="21"/>
                <w:szCs w:val="21"/>
              </w:rPr>
              <w:t>(</w:t>
            </w:r>
            <w:r>
              <w:rPr>
                <w:rFonts w:ascii="Times New Roman" w:eastAsia="Times New Roman"/>
                <w:b/>
                <w:bCs/>
                <w:sz w:val="21"/>
                <w:szCs w:val="21"/>
              </w:rPr>
              <w:t>m</w:t>
            </w:r>
            <w:r>
              <w:rPr>
                <w:rFonts w:ascii="Times New Roman"/>
                <w:b/>
                <w:bCs/>
                <w:sz w:val="21"/>
                <w:szCs w:val="21"/>
                <w:vertAlign w:val="superscript"/>
              </w:rPr>
              <w:t>3</w:t>
            </w:r>
            <w:r>
              <w:rPr>
                <w:rFonts w:ascii="Times New Roman" w:eastAsia="Times New Roman"/>
                <w:b/>
                <w:bCs/>
                <w:sz w:val="21"/>
                <w:szCs w:val="21"/>
              </w:rPr>
              <w:t>/h</w:t>
            </w:r>
            <w:r>
              <w:rPr>
                <w:rFonts w:ascii="Times New Roman"/>
                <w:b/>
                <w:bCs/>
                <w:sz w:val="21"/>
                <w:szCs w:val="21"/>
              </w:rPr>
              <w:t>)</w:t>
            </w:r>
          </w:p>
        </w:tc>
        <w:tc>
          <w:tcPr>
            <w:tcW w:w="1616" w:type="dxa"/>
            <w:tcBorders>
              <w:right w:val="single" w:color="000000" w:sz="8" w:space="0"/>
            </w:tcBorders>
            <w:vAlign w:val="center"/>
          </w:tcPr>
          <w:p w14:paraId="72856292">
            <w:pPr>
              <w:jc w:val="center"/>
              <w:rPr>
                <w:rFonts w:ascii="Times New Roman"/>
                <w:b/>
                <w:bCs/>
                <w:sz w:val="21"/>
                <w:szCs w:val="21"/>
              </w:rPr>
            </w:pPr>
            <w:r>
              <w:rPr>
                <w:rFonts w:ascii="Times New Roman"/>
                <w:b/>
                <w:bCs/>
                <w:sz w:val="21"/>
                <w:szCs w:val="21"/>
              </w:rPr>
              <w:t>设备风量</w:t>
            </w:r>
          </w:p>
          <w:p w14:paraId="2B4AA5A2">
            <w:pPr>
              <w:jc w:val="center"/>
              <w:rPr>
                <w:rFonts w:ascii="Times New Roman"/>
                <w:b/>
                <w:bCs/>
                <w:sz w:val="21"/>
                <w:szCs w:val="21"/>
              </w:rPr>
            </w:pPr>
            <w:r>
              <w:rPr>
                <w:rFonts w:ascii="Times New Roman"/>
                <w:b/>
                <w:bCs/>
                <w:sz w:val="21"/>
                <w:szCs w:val="21"/>
              </w:rPr>
              <w:t>(</w:t>
            </w:r>
            <w:r>
              <w:rPr>
                <w:rFonts w:ascii="Times New Roman" w:eastAsia="Times New Roman"/>
                <w:b/>
                <w:bCs/>
                <w:sz w:val="21"/>
                <w:szCs w:val="21"/>
              </w:rPr>
              <w:t>m</w:t>
            </w:r>
            <w:r>
              <w:rPr>
                <w:rFonts w:ascii="Times New Roman" w:eastAsia="Times New Roman"/>
                <w:b/>
                <w:bCs/>
                <w:sz w:val="21"/>
                <w:szCs w:val="21"/>
                <w:vertAlign w:val="superscript"/>
              </w:rPr>
              <w:t>3</w:t>
            </w:r>
            <w:r>
              <w:rPr>
                <w:rFonts w:ascii="Times New Roman" w:eastAsia="Times New Roman"/>
                <w:b/>
                <w:bCs/>
                <w:sz w:val="21"/>
                <w:szCs w:val="21"/>
              </w:rPr>
              <w:t>/h</w:t>
            </w:r>
            <w:r>
              <w:rPr>
                <w:rFonts w:ascii="Times New Roman"/>
                <w:b/>
                <w:bCs/>
                <w:sz w:val="21"/>
                <w:szCs w:val="21"/>
              </w:rPr>
              <w:t>)</w:t>
            </w:r>
          </w:p>
        </w:tc>
      </w:tr>
      <w:tr w14:paraId="1E9DC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vAlign w:val="center"/>
          </w:tcPr>
          <w:p w14:paraId="3521215C">
            <w:pPr>
              <w:jc w:val="center"/>
              <w:rPr>
                <w:rFonts w:ascii="Times New Roman"/>
                <w:sz w:val="21"/>
                <w:szCs w:val="21"/>
              </w:rPr>
            </w:pPr>
            <w:r>
              <w:rPr>
                <w:rFonts w:hint="eastAsia" w:ascii="Times New Roman"/>
                <w:sz w:val="21"/>
                <w:szCs w:val="21"/>
              </w:rPr>
              <w:t>电泳</w:t>
            </w:r>
          </w:p>
        </w:tc>
        <w:tc>
          <w:tcPr>
            <w:tcW w:w="2130" w:type="dxa"/>
            <w:shd w:val="clear" w:color="auto" w:fill="auto"/>
            <w:vAlign w:val="center"/>
          </w:tcPr>
          <w:p w14:paraId="2845EA60">
            <w:pPr>
              <w:widowControl/>
              <w:jc w:val="center"/>
              <w:textAlignment w:val="center"/>
              <w:rPr>
                <w:rFonts w:ascii="Times New Roman" w:eastAsia="Arial"/>
                <w:sz w:val="21"/>
                <w:szCs w:val="21"/>
              </w:rPr>
            </w:pPr>
            <w:r>
              <w:rPr>
                <w:rFonts w:ascii="Times New Roman" w:eastAsia="Arial"/>
                <w:sz w:val="21"/>
                <w:szCs w:val="21"/>
              </w:rPr>
              <w:t>L13.5m×w3.6m×h4.2m</w:t>
            </w:r>
          </w:p>
        </w:tc>
        <w:tc>
          <w:tcPr>
            <w:tcW w:w="795" w:type="dxa"/>
            <w:shd w:val="clear" w:color="auto" w:fill="auto"/>
            <w:vAlign w:val="center"/>
          </w:tcPr>
          <w:p w14:paraId="7AE643D4">
            <w:pPr>
              <w:widowControl/>
              <w:jc w:val="center"/>
              <w:textAlignment w:val="center"/>
              <w:rPr>
                <w:rFonts w:ascii="Times New Roman" w:eastAsia="Arial"/>
                <w:spacing w:val="-2"/>
                <w:sz w:val="21"/>
                <w:szCs w:val="21"/>
              </w:rPr>
            </w:pPr>
            <w:r>
              <w:rPr>
                <w:rFonts w:ascii="Times New Roman" w:eastAsia="Arial"/>
                <w:spacing w:val="-2"/>
                <w:sz w:val="21"/>
                <w:szCs w:val="21"/>
              </w:rPr>
              <w:t>1</w:t>
            </w:r>
          </w:p>
        </w:tc>
        <w:tc>
          <w:tcPr>
            <w:tcW w:w="1342" w:type="dxa"/>
            <w:vMerge w:val="restart"/>
            <w:vAlign w:val="center"/>
          </w:tcPr>
          <w:p w14:paraId="33A99B57">
            <w:pPr>
              <w:jc w:val="center"/>
              <w:rPr>
                <w:rFonts w:ascii="Times New Roman"/>
                <w:sz w:val="21"/>
                <w:szCs w:val="21"/>
              </w:rPr>
            </w:pPr>
            <w:r>
              <w:rPr>
                <w:rFonts w:hint="eastAsia" w:ascii="Times New Roman"/>
                <w:sz w:val="21"/>
                <w:szCs w:val="21"/>
              </w:rPr>
              <w:t>23</w:t>
            </w:r>
          </w:p>
        </w:tc>
        <w:tc>
          <w:tcPr>
            <w:tcW w:w="1596" w:type="dxa"/>
            <w:vAlign w:val="center"/>
          </w:tcPr>
          <w:p w14:paraId="0DF74339">
            <w:pPr>
              <w:widowControl/>
              <w:jc w:val="center"/>
              <w:textAlignment w:val="center"/>
              <w:rPr>
                <w:rFonts w:ascii="Times New Roman" w:eastAsia="Arial"/>
                <w:spacing w:val="-2"/>
                <w:sz w:val="21"/>
                <w:szCs w:val="21"/>
              </w:rPr>
            </w:pPr>
            <w:r>
              <w:rPr>
                <w:rFonts w:hint="eastAsia" w:ascii="Times New Roman" w:eastAsia="Arial"/>
                <w:spacing w:val="-2"/>
                <w:sz w:val="21"/>
                <w:szCs w:val="21"/>
              </w:rPr>
              <w:t>4694.76</w:t>
            </w:r>
          </w:p>
        </w:tc>
        <w:tc>
          <w:tcPr>
            <w:tcW w:w="1616" w:type="dxa"/>
            <w:vMerge w:val="restart"/>
            <w:tcBorders>
              <w:right w:val="single" w:color="000000" w:sz="8" w:space="0"/>
            </w:tcBorders>
            <w:vAlign w:val="center"/>
          </w:tcPr>
          <w:p w14:paraId="2BE5D1D0">
            <w:pPr>
              <w:widowControl/>
              <w:jc w:val="center"/>
              <w:textAlignment w:val="center"/>
              <w:rPr>
                <w:rFonts w:ascii="Times New Roman" w:eastAsia="Arial"/>
                <w:spacing w:val="-2"/>
                <w:sz w:val="21"/>
                <w:szCs w:val="21"/>
              </w:rPr>
            </w:pPr>
            <w:r>
              <w:rPr>
                <w:rFonts w:hint="eastAsia" w:ascii="Times New Roman" w:eastAsia="Arial"/>
                <w:spacing w:val="-2"/>
                <w:sz w:val="21"/>
                <w:szCs w:val="21"/>
              </w:rPr>
              <w:t>232000</w:t>
            </w:r>
          </w:p>
        </w:tc>
      </w:tr>
      <w:tr w14:paraId="2CEFD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2E3B0C85">
            <w:pPr>
              <w:widowControl/>
              <w:jc w:val="center"/>
              <w:textAlignment w:val="center"/>
              <w:rPr>
                <w:rFonts w:ascii="Times New Roman" w:eastAsia="Arial"/>
                <w:sz w:val="21"/>
                <w:szCs w:val="21"/>
              </w:rPr>
            </w:pPr>
            <w:r>
              <w:rPr>
                <w:rFonts w:ascii="Times New Roman" w:eastAsia="Arial"/>
                <w:sz w:val="21"/>
                <w:szCs w:val="21"/>
              </w:rPr>
              <w:t>电泳固化炉</w:t>
            </w:r>
          </w:p>
        </w:tc>
        <w:tc>
          <w:tcPr>
            <w:tcW w:w="2130" w:type="dxa"/>
            <w:shd w:val="clear" w:color="auto" w:fill="auto"/>
            <w:vAlign w:val="center"/>
          </w:tcPr>
          <w:p w14:paraId="37E336E7">
            <w:pPr>
              <w:widowControl/>
              <w:jc w:val="center"/>
              <w:textAlignment w:val="center"/>
              <w:rPr>
                <w:rFonts w:ascii="Times New Roman" w:eastAsia="Arial"/>
                <w:sz w:val="21"/>
                <w:szCs w:val="21"/>
              </w:rPr>
            </w:pPr>
            <w:r>
              <w:rPr>
                <w:rFonts w:ascii="Times New Roman" w:eastAsia="Arial"/>
                <w:sz w:val="21"/>
                <w:szCs w:val="21"/>
              </w:rPr>
              <w:t>L45.2m×w3.9m×h8.4m</w:t>
            </w:r>
          </w:p>
        </w:tc>
        <w:tc>
          <w:tcPr>
            <w:tcW w:w="795" w:type="dxa"/>
            <w:shd w:val="clear" w:color="auto" w:fill="auto"/>
            <w:vAlign w:val="center"/>
          </w:tcPr>
          <w:p w14:paraId="09D2376C">
            <w:pPr>
              <w:widowControl/>
              <w:jc w:val="center"/>
              <w:textAlignment w:val="center"/>
              <w:rPr>
                <w:rFonts w:ascii="Times New Roman" w:eastAsia="Arial"/>
                <w:sz w:val="21"/>
                <w:szCs w:val="21"/>
              </w:rPr>
            </w:pPr>
            <w:r>
              <w:rPr>
                <w:rFonts w:ascii="Times New Roman" w:eastAsia="Arial"/>
                <w:sz w:val="21"/>
                <w:szCs w:val="21"/>
              </w:rPr>
              <w:t>1</w:t>
            </w:r>
          </w:p>
        </w:tc>
        <w:tc>
          <w:tcPr>
            <w:tcW w:w="1342" w:type="dxa"/>
            <w:vMerge w:val="continue"/>
            <w:vAlign w:val="center"/>
          </w:tcPr>
          <w:p w14:paraId="53AD4217">
            <w:pPr>
              <w:jc w:val="center"/>
              <w:rPr>
                <w:rFonts w:ascii="Times New Roman"/>
                <w:sz w:val="21"/>
                <w:szCs w:val="21"/>
              </w:rPr>
            </w:pPr>
          </w:p>
        </w:tc>
        <w:tc>
          <w:tcPr>
            <w:tcW w:w="1596" w:type="dxa"/>
            <w:vAlign w:val="center"/>
          </w:tcPr>
          <w:p w14:paraId="20DA5E74">
            <w:pPr>
              <w:widowControl/>
              <w:jc w:val="center"/>
              <w:textAlignment w:val="center"/>
              <w:rPr>
                <w:rFonts w:ascii="Times New Roman" w:eastAsia="Arial"/>
                <w:spacing w:val="-2"/>
                <w:sz w:val="21"/>
                <w:szCs w:val="21"/>
              </w:rPr>
            </w:pPr>
            <w:r>
              <w:rPr>
                <w:rFonts w:hint="eastAsia" w:ascii="Times New Roman" w:eastAsia="Arial"/>
                <w:spacing w:val="-2"/>
                <w:sz w:val="21"/>
                <w:szCs w:val="21"/>
              </w:rPr>
              <w:t>34057.296</w:t>
            </w:r>
          </w:p>
        </w:tc>
        <w:tc>
          <w:tcPr>
            <w:tcW w:w="1616" w:type="dxa"/>
            <w:vMerge w:val="continue"/>
            <w:tcBorders>
              <w:right w:val="single" w:color="000000" w:sz="8" w:space="0"/>
            </w:tcBorders>
            <w:vAlign w:val="center"/>
          </w:tcPr>
          <w:p w14:paraId="3777BA44">
            <w:pPr>
              <w:widowControl/>
              <w:jc w:val="center"/>
              <w:textAlignment w:val="center"/>
              <w:rPr>
                <w:rFonts w:ascii="Times New Roman" w:eastAsia="Arial"/>
                <w:spacing w:val="-2"/>
                <w:sz w:val="21"/>
                <w:szCs w:val="21"/>
              </w:rPr>
            </w:pPr>
          </w:p>
        </w:tc>
      </w:tr>
      <w:tr w14:paraId="104B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7E8DA734">
            <w:pPr>
              <w:widowControl/>
              <w:jc w:val="center"/>
              <w:textAlignment w:val="center"/>
              <w:rPr>
                <w:rFonts w:ascii="Times New Roman" w:eastAsia="Arial"/>
                <w:sz w:val="21"/>
                <w:szCs w:val="21"/>
              </w:rPr>
            </w:pPr>
            <w:r>
              <w:rPr>
                <w:rFonts w:ascii="Times New Roman" w:eastAsia="Arial"/>
                <w:sz w:val="21"/>
                <w:szCs w:val="21"/>
              </w:rPr>
              <w:t>电泳强冷室</w:t>
            </w:r>
          </w:p>
        </w:tc>
        <w:tc>
          <w:tcPr>
            <w:tcW w:w="2130" w:type="dxa"/>
            <w:shd w:val="clear" w:color="auto" w:fill="auto"/>
            <w:vAlign w:val="center"/>
          </w:tcPr>
          <w:p w14:paraId="34D9728F">
            <w:pPr>
              <w:widowControl/>
              <w:jc w:val="center"/>
              <w:textAlignment w:val="center"/>
              <w:rPr>
                <w:rFonts w:ascii="Times New Roman" w:eastAsia="Arial"/>
                <w:sz w:val="21"/>
                <w:szCs w:val="21"/>
              </w:rPr>
            </w:pPr>
            <w:r>
              <w:rPr>
                <w:rFonts w:ascii="Times New Roman" w:eastAsia="Arial"/>
                <w:sz w:val="21"/>
                <w:szCs w:val="21"/>
              </w:rPr>
              <w:t>L14m×W4.2m×H8.4m</w:t>
            </w:r>
          </w:p>
        </w:tc>
        <w:tc>
          <w:tcPr>
            <w:tcW w:w="795" w:type="dxa"/>
            <w:shd w:val="clear" w:color="auto" w:fill="auto"/>
            <w:vAlign w:val="center"/>
          </w:tcPr>
          <w:p w14:paraId="0D5EE791">
            <w:pPr>
              <w:widowControl/>
              <w:jc w:val="center"/>
              <w:textAlignment w:val="center"/>
              <w:rPr>
                <w:rFonts w:ascii="Times New Roman" w:eastAsia="Arial"/>
                <w:sz w:val="21"/>
                <w:szCs w:val="21"/>
              </w:rPr>
            </w:pPr>
            <w:r>
              <w:rPr>
                <w:rFonts w:ascii="Times New Roman" w:eastAsia="Arial"/>
                <w:sz w:val="21"/>
                <w:szCs w:val="21"/>
              </w:rPr>
              <w:t>1</w:t>
            </w:r>
          </w:p>
        </w:tc>
        <w:tc>
          <w:tcPr>
            <w:tcW w:w="1342" w:type="dxa"/>
            <w:vMerge w:val="continue"/>
            <w:vAlign w:val="center"/>
          </w:tcPr>
          <w:p w14:paraId="344E4410">
            <w:pPr>
              <w:jc w:val="center"/>
              <w:rPr>
                <w:rFonts w:ascii="Times New Roman"/>
                <w:sz w:val="21"/>
                <w:szCs w:val="21"/>
              </w:rPr>
            </w:pPr>
          </w:p>
        </w:tc>
        <w:tc>
          <w:tcPr>
            <w:tcW w:w="1596" w:type="dxa"/>
            <w:vAlign w:val="center"/>
          </w:tcPr>
          <w:p w14:paraId="49DC1886">
            <w:pPr>
              <w:widowControl/>
              <w:jc w:val="center"/>
              <w:textAlignment w:val="center"/>
              <w:rPr>
                <w:rFonts w:ascii="Times New Roman" w:eastAsia="Arial"/>
                <w:spacing w:val="-2"/>
                <w:sz w:val="21"/>
                <w:szCs w:val="21"/>
              </w:rPr>
            </w:pPr>
            <w:r>
              <w:rPr>
                <w:rFonts w:hint="eastAsia" w:ascii="Times New Roman" w:eastAsia="Arial"/>
                <w:spacing w:val="-2"/>
                <w:sz w:val="21"/>
                <w:szCs w:val="21"/>
              </w:rPr>
              <w:t>11360.16</w:t>
            </w:r>
          </w:p>
        </w:tc>
        <w:tc>
          <w:tcPr>
            <w:tcW w:w="1616" w:type="dxa"/>
            <w:vMerge w:val="continue"/>
            <w:tcBorders>
              <w:right w:val="single" w:color="000000" w:sz="8" w:space="0"/>
            </w:tcBorders>
            <w:vAlign w:val="center"/>
          </w:tcPr>
          <w:p w14:paraId="669D2BE1">
            <w:pPr>
              <w:widowControl/>
              <w:jc w:val="center"/>
              <w:textAlignment w:val="center"/>
              <w:rPr>
                <w:rFonts w:ascii="Times New Roman" w:eastAsia="Arial"/>
                <w:spacing w:val="-2"/>
                <w:sz w:val="21"/>
                <w:szCs w:val="21"/>
              </w:rPr>
            </w:pPr>
          </w:p>
        </w:tc>
      </w:tr>
      <w:tr w14:paraId="3C668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10CD0E7C">
            <w:pPr>
              <w:widowControl/>
              <w:jc w:val="center"/>
              <w:textAlignment w:val="center"/>
              <w:rPr>
                <w:rFonts w:ascii="Times New Roman" w:eastAsia="Arial"/>
                <w:sz w:val="21"/>
                <w:szCs w:val="21"/>
              </w:rPr>
            </w:pPr>
            <w:r>
              <w:rPr>
                <w:rFonts w:ascii="Times New Roman" w:eastAsia="Arial"/>
                <w:sz w:val="21"/>
                <w:szCs w:val="21"/>
              </w:rPr>
              <w:t>人工面漆房</w:t>
            </w:r>
          </w:p>
        </w:tc>
        <w:tc>
          <w:tcPr>
            <w:tcW w:w="2130" w:type="dxa"/>
            <w:shd w:val="clear" w:color="auto" w:fill="auto"/>
            <w:vAlign w:val="center"/>
          </w:tcPr>
          <w:p w14:paraId="4B8854C4">
            <w:pPr>
              <w:widowControl/>
              <w:jc w:val="center"/>
              <w:textAlignment w:val="center"/>
              <w:rPr>
                <w:rFonts w:ascii="Times New Roman" w:eastAsia="Arial"/>
                <w:sz w:val="21"/>
                <w:szCs w:val="21"/>
              </w:rPr>
            </w:pPr>
            <w:r>
              <w:rPr>
                <w:rFonts w:ascii="Times New Roman" w:eastAsia="Arial"/>
                <w:sz w:val="21"/>
                <w:szCs w:val="21"/>
              </w:rPr>
              <w:t>L15m×W5.2m×H9.7m</w:t>
            </w:r>
          </w:p>
        </w:tc>
        <w:tc>
          <w:tcPr>
            <w:tcW w:w="795" w:type="dxa"/>
            <w:shd w:val="clear" w:color="auto" w:fill="auto"/>
            <w:vAlign w:val="center"/>
          </w:tcPr>
          <w:p w14:paraId="27CFA093">
            <w:pPr>
              <w:widowControl/>
              <w:jc w:val="center"/>
              <w:textAlignment w:val="center"/>
              <w:rPr>
                <w:rFonts w:ascii="Times New Roman" w:eastAsia="Arial"/>
                <w:spacing w:val="-2"/>
                <w:sz w:val="21"/>
                <w:szCs w:val="21"/>
              </w:rPr>
            </w:pPr>
            <w:r>
              <w:rPr>
                <w:rFonts w:ascii="Times New Roman" w:eastAsia="Arial"/>
                <w:spacing w:val="-2"/>
                <w:sz w:val="21"/>
                <w:szCs w:val="21"/>
              </w:rPr>
              <w:t>2</w:t>
            </w:r>
          </w:p>
        </w:tc>
        <w:tc>
          <w:tcPr>
            <w:tcW w:w="1342" w:type="dxa"/>
            <w:vMerge w:val="continue"/>
            <w:vAlign w:val="center"/>
          </w:tcPr>
          <w:p w14:paraId="213B0D93">
            <w:pPr>
              <w:jc w:val="center"/>
              <w:rPr>
                <w:rFonts w:ascii="Times New Roman"/>
                <w:sz w:val="21"/>
                <w:szCs w:val="21"/>
              </w:rPr>
            </w:pPr>
          </w:p>
        </w:tc>
        <w:tc>
          <w:tcPr>
            <w:tcW w:w="1596" w:type="dxa"/>
            <w:vAlign w:val="center"/>
          </w:tcPr>
          <w:p w14:paraId="1B001F99">
            <w:pPr>
              <w:widowControl/>
              <w:jc w:val="center"/>
              <w:textAlignment w:val="center"/>
              <w:rPr>
                <w:rFonts w:ascii="Times New Roman" w:eastAsia="Arial"/>
                <w:spacing w:val="-2"/>
                <w:sz w:val="21"/>
                <w:szCs w:val="21"/>
              </w:rPr>
            </w:pPr>
            <w:r>
              <w:rPr>
                <w:rFonts w:hint="eastAsia" w:ascii="Times New Roman" w:eastAsia="Arial"/>
                <w:spacing w:val="-2"/>
                <w:sz w:val="21"/>
                <w:szCs w:val="21"/>
              </w:rPr>
              <w:t>34803.6</w:t>
            </w:r>
          </w:p>
        </w:tc>
        <w:tc>
          <w:tcPr>
            <w:tcW w:w="1616" w:type="dxa"/>
            <w:vMerge w:val="continue"/>
            <w:tcBorders>
              <w:right w:val="single" w:color="000000" w:sz="8" w:space="0"/>
            </w:tcBorders>
            <w:vAlign w:val="center"/>
          </w:tcPr>
          <w:p w14:paraId="7CBFDC5C">
            <w:pPr>
              <w:widowControl/>
              <w:jc w:val="center"/>
              <w:textAlignment w:val="center"/>
              <w:rPr>
                <w:rFonts w:ascii="Times New Roman" w:eastAsia="Arial"/>
                <w:spacing w:val="-2"/>
                <w:sz w:val="21"/>
                <w:szCs w:val="21"/>
              </w:rPr>
            </w:pPr>
          </w:p>
        </w:tc>
      </w:tr>
      <w:tr w14:paraId="4C43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459" w:type="dxa"/>
            <w:shd w:val="clear" w:color="auto" w:fill="auto"/>
            <w:vAlign w:val="center"/>
          </w:tcPr>
          <w:p w14:paraId="39965B11">
            <w:pPr>
              <w:widowControl/>
              <w:jc w:val="center"/>
              <w:textAlignment w:val="center"/>
              <w:rPr>
                <w:rFonts w:ascii="Times New Roman" w:eastAsia="Arial"/>
                <w:sz w:val="21"/>
                <w:szCs w:val="21"/>
              </w:rPr>
            </w:pPr>
            <w:r>
              <w:rPr>
                <w:rFonts w:ascii="Times New Roman" w:eastAsia="Arial"/>
                <w:sz w:val="21"/>
                <w:szCs w:val="21"/>
              </w:rPr>
              <w:t>面漆流平室</w:t>
            </w:r>
          </w:p>
        </w:tc>
        <w:tc>
          <w:tcPr>
            <w:tcW w:w="2130" w:type="dxa"/>
            <w:shd w:val="clear" w:color="auto" w:fill="auto"/>
            <w:vAlign w:val="center"/>
          </w:tcPr>
          <w:p w14:paraId="79CCECF2">
            <w:pPr>
              <w:widowControl/>
              <w:jc w:val="center"/>
              <w:textAlignment w:val="center"/>
              <w:rPr>
                <w:rFonts w:ascii="Times New Roman" w:eastAsia="Arial"/>
                <w:sz w:val="21"/>
                <w:szCs w:val="21"/>
              </w:rPr>
            </w:pPr>
            <w:r>
              <w:rPr>
                <w:rFonts w:ascii="Times New Roman" w:eastAsia="Arial"/>
                <w:sz w:val="21"/>
                <w:szCs w:val="21"/>
              </w:rPr>
              <w:t>L18m×W11.5m×H5.6m</w:t>
            </w:r>
          </w:p>
        </w:tc>
        <w:tc>
          <w:tcPr>
            <w:tcW w:w="795" w:type="dxa"/>
            <w:shd w:val="clear" w:color="auto" w:fill="auto"/>
            <w:vAlign w:val="center"/>
          </w:tcPr>
          <w:p w14:paraId="23F2004C">
            <w:pPr>
              <w:widowControl/>
              <w:jc w:val="center"/>
              <w:textAlignment w:val="center"/>
              <w:rPr>
                <w:rFonts w:ascii="Times New Roman" w:eastAsia="Arial"/>
                <w:spacing w:val="-2"/>
                <w:sz w:val="21"/>
                <w:szCs w:val="21"/>
              </w:rPr>
            </w:pPr>
            <w:r>
              <w:rPr>
                <w:rFonts w:ascii="Times New Roman" w:eastAsia="Arial"/>
                <w:spacing w:val="-2"/>
                <w:sz w:val="21"/>
                <w:szCs w:val="21"/>
              </w:rPr>
              <w:t>2</w:t>
            </w:r>
          </w:p>
        </w:tc>
        <w:tc>
          <w:tcPr>
            <w:tcW w:w="1342" w:type="dxa"/>
            <w:vMerge w:val="continue"/>
            <w:vAlign w:val="center"/>
          </w:tcPr>
          <w:p w14:paraId="55D9649D">
            <w:pPr>
              <w:jc w:val="center"/>
              <w:rPr>
                <w:rFonts w:ascii="Times New Roman"/>
                <w:sz w:val="21"/>
                <w:szCs w:val="21"/>
              </w:rPr>
            </w:pPr>
          </w:p>
        </w:tc>
        <w:tc>
          <w:tcPr>
            <w:tcW w:w="1596" w:type="dxa"/>
            <w:vAlign w:val="center"/>
          </w:tcPr>
          <w:p w14:paraId="33D0FEF6">
            <w:pPr>
              <w:widowControl/>
              <w:jc w:val="center"/>
              <w:textAlignment w:val="center"/>
              <w:rPr>
                <w:rFonts w:ascii="Times New Roman" w:eastAsia="Arial"/>
                <w:spacing w:val="-2"/>
                <w:sz w:val="21"/>
                <w:szCs w:val="21"/>
              </w:rPr>
            </w:pPr>
            <w:r>
              <w:rPr>
                <w:rFonts w:hint="eastAsia" w:ascii="Times New Roman" w:eastAsia="Arial"/>
                <w:spacing w:val="-2"/>
                <w:sz w:val="21"/>
                <w:szCs w:val="21"/>
              </w:rPr>
              <w:t>53323.2</w:t>
            </w:r>
          </w:p>
        </w:tc>
        <w:tc>
          <w:tcPr>
            <w:tcW w:w="1616" w:type="dxa"/>
            <w:vMerge w:val="continue"/>
            <w:tcBorders>
              <w:right w:val="single" w:color="000000" w:sz="8" w:space="0"/>
            </w:tcBorders>
            <w:vAlign w:val="center"/>
          </w:tcPr>
          <w:p w14:paraId="18E4D7EA">
            <w:pPr>
              <w:widowControl/>
              <w:jc w:val="center"/>
              <w:textAlignment w:val="center"/>
              <w:rPr>
                <w:rFonts w:ascii="Times New Roman" w:eastAsia="Arial"/>
                <w:spacing w:val="-2"/>
                <w:sz w:val="21"/>
                <w:szCs w:val="21"/>
              </w:rPr>
            </w:pPr>
          </w:p>
        </w:tc>
      </w:tr>
      <w:tr w14:paraId="0671F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141F3C51">
            <w:pPr>
              <w:widowControl/>
              <w:jc w:val="center"/>
              <w:textAlignment w:val="center"/>
              <w:rPr>
                <w:rFonts w:ascii="Times New Roman" w:eastAsia="Arial"/>
                <w:sz w:val="21"/>
                <w:szCs w:val="21"/>
              </w:rPr>
            </w:pPr>
            <w:r>
              <w:rPr>
                <w:rFonts w:ascii="Times New Roman" w:eastAsia="Arial"/>
                <w:sz w:val="21"/>
                <w:szCs w:val="21"/>
              </w:rPr>
              <w:t>面漆烘干房</w:t>
            </w:r>
          </w:p>
        </w:tc>
        <w:tc>
          <w:tcPr>
            <w:tcW w:w="2130" w:type="dxa"/>
            <w:shd w:val="clear" w:color="auto" w:fill="auto"/>
            <w:vAlign w:val="center"/>
          </w:tcPr>
          <w:p w14:paraId="0ABEB1EF">
            <w:pPr>
              <w:widowControl/>
              <w:jc w:val="center"/>
              <w:textAlignment w:val="center"/>
              <w:rPr>
                <w:rFonts w:ascii="Times New Roman" w:eastAsia="Arial"/>
                <w:sz w:val="21"/>
                <w:szCs w:val="21"/>
              </w:rPr>
            </w:pPr>
            <w:r>
              <w:rPr>
                <w:rFonts w:ascii="Times New Roman" w:eastAsia="Arial"/>
                <w:sz w:val="21"/>
                <w:szCs w:val="21"/>
              </w:rPr>
              <w:t>L39.7m×W4.2m×H5.6m</w:t>
            </w:r>
          </w:p>
        </w:tc>
        <w:tc>
          <w:tcPr>
            <w:tcW w:w="795" w:type="dxa"/>
            <w:shd w:val="clear" w:color="auto" w:fill="auto"/>
            <w:vAlign w:val="center"/>
          </w:tcPr>
          <w:p w14:paraId="7761B8D0">
            <w:pPr>
              <w:widowControl/>
              <w:jc w:val="center"/>
              <w:textAlignment w:val="center"/>
              <w:rPr>
                <w:rFonts w:ascii="Times New Roman" w:eastAsia="Arial"/>
                <w:spacing w:val="-2"/>
                <w:sz w:val="21"/>
                <w:szCs w:val="21"/>
              </w:rPr>
            </w:pPr>
            <w:r>
              <w:rPr>
                <w:rFonts w:ascii="Times New Roman" w:eastAsia="Arial"/>
                <w:spacing w:val="-2"/>
                <w:sz w:val="21"/>
                <w:szCs w:val="21"/>
              </w:rPr>
              <w:t>2</w:t>
            </w:r>
          </w:p>
        </w:tc>
        <w:tc>
          <w:tcPr>
            <w:tcW w:w="1342" w:type="dxa"/>
            <w:vMerge w:val="continue"/>
            <w:vAlign w:val="center"/>
          </w:tcPr>
          <w:p w14:paraId="50171A7E">
            <w:pPr>
              <w:jc w:val="center"/>
              <w:rPr>
                <w:rFonts w:ascii="Times New Roman"/>
                <w:sz w:val="21"/>
                <w:szCs w:val="21"/>
              </w:rPr>
            </w:pPr>
          </w:p>
        </w:tc>
        <w:tc>
          <w:tcPr>
            <w:tcW w:w="1596" w:type="dxa"/>
            <w:vAlign w:val="center"/>
          </w:tcPr>
          <w:p w14:paraId="60F1D584">
            <w:pPr>
              <w:widowControl/>
              <w:jc w:val="center"/>
              <w:textAlignment w:val="center"/>
              <w:rPr>
                <w:rFonts w:ascii="Times New Roman" w:eastAsia="Arial"/>
                <w:spacing w:val="-2"/>
                <w:sz w:val="21"/>
                <w:szCs w:val="21"/>
              </w:rPr>
            </w:pPr>
            <w:r>
              <w:rPr>
                <w:rFonts w:hint="eastAsia" w:ascii="Times New Roman" w:eastAsia="Arial"/>
                <w:spacing w:val="-2"/>
                <w:sz w:val="21"/>
                <w:szCs w:val="21"/>
              </w:rPr>
              <w:t>42952.224</w:t>
            </w:r>
          </w:p>
        </w:tc>
        <w:tc>
          <w:tcPr>
            <w:tcW w:w="1616" w:type="dxa"/>
            <w:vMerge w:val="continue"/>
            <w:tcBorders>
              <w:right w:val="single" w:color="000000" w:sz="8" w:space="0"/>
            </w:tcBorders>
            <w:vAlign w:val="center"/>
          </w:tcPr>
          <w:p w14:paraId="548B1137">
            <w:pPr>
              <w:widowControl/>
              <w:jc w:val="center"/>
              <w:textAlignment w:val="center"/>
              <w:rPr>
                <w:rFonts w:ascii="Times New Roman" w:eastAsia="Arial"/>
                <w:spacing w:val="-2"/>
                <w:sz w:val="21"/>
                <w:szCs w:val="21"/>
              </w:rPr>
            </w:pPr>
          </w:p>
        </w:tc>
      </w:tr>
      <w:tr w14:paraId="78AD6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3C19DB40">
            <w:pPr>
              <w:widowControl/>
              <w:jc w:val="center"/>
              <w:textAlignment w:val="center"/>
              <w:rPr>
                <w:rFonts w:ascii="Times New Roman" w:eastAsia="Arial"/>
                <w:sz w:val="21"/>
                <w:szCs w:val="21"/>
              </w:rPr>
            </w:pPr>
            <w:r>
              <w:rPr>
                <w:rFonts w:ascii="Times New Roman" w:eastAsia="Arial"/>
                <w:sz w:val="21"/>
                <w:szCs w:val="21"/>
              </w:rPr>
              <w:t>面漆强冷室</w:t>
            </w:r>
          </w:p>
        </w:tc>
        <w:tc>
          <w:tcPr>
            <w:tcW w:w="2130" w:type="dxa"/>
            <w:shd w:val="clear" w:color="auto" w:fill="auto"/>
            <w:vAlign w:val="center"/>
          </w:tcPr>
          <w:p w14:paraId="3F444223">
            <w:pPr>
              <w:widowControl/>
              <w:jc w:val="center"/>
              <w:textAlignment w:val="center"/>
              <w:rPr>
                <w:rFonts w:ascii="Times New Roman" w:eastAsia="Arial"/>
                <w:sz w:val="21"/>
                <w:szCs w:val="21"/>
              </w:rPr>
            </w:pPr>
            <w:r>
              <w:rPr>
                <w:rFonts w:ascii="Times New Roman" w:eastAsia="Arial"/>
                <w:sz w:val="21"/>
                <w:szCs w:val="21"/>
              </w:rPr>
              <w:t>L14m×W4.2m×H5.6m</w:t>
            </w:r>
          </w:p>
        </w:tc>
        <w:tc>
          <w:tcPr>
            <w:tcW w:w="795" w:type="dxa"/>
            <w:shd w:val="clear" w:color="auto" w:fill="auto"/>
            <w:vAlign w:val="center"/>
          </w:tcPr>
          <w:p w14:paraId="03423148">
            <w:pPr>
              <w:widowControl/>
              <w:jc w:val="center"/>
              <w:textAlignment w:val="center"/>
              <w:rPr>
                <w:rFonts w:ascii="Times New Roman" w:eastAsia="Arial"/>
                <w:spacing w:val="-2"/>
                <w:sz w:val="21"/>
                <w:szCs w:val="21"/>
              </w:rPr>
            </w:pPr>
            <w:r>
              <w:rPr>
                <w:rFonts w:ascii="Times New Roman" w:eastAsia="Arial"/>
                <w:spacing w:val="-2"/>
                <w:sz w:val="21"/>
                <w:szCs w:val="21"/>
              </w:rPr>
              <w:t>2</w:t>
            </w:r>
          </w:p>
        </w:tc>
        <w:tc>
          <w:tcPr>
            <w:tcW w:w="1342" w:type="dxa"/>
            <w:vMerge w:val="continue"/>
            <w:vAlign w:val="center"/>
          </w:tcPr>
          <w:p w14:paraId="35A01A52">
            <w:pPr>
              <w:jc w:val="center"/>
              <w:rPr>
                <w:rFonts w:ascii="Times New Roman"/>
                <w:sz w:val="21"/>
                <w:szCs w:val="21"/>
              </w:rPr>
            </w:pPr>
          </w:p>
        </w:tc>
        <w:tc>
          <w:tcPr>
            <w:tcW w:w="1596" w:type="dxa"/>
            <w:vAlign w:val="center"/>
          </w:tcPr>
          <w:p w14:paraId="056ED1BD">
            <w:pPr>
              <w:widowControl/>
              <w:jc w:val="center"/>
              <w:textAlignment w:val="center"/>
              <w:rPr>
                <w:rFonts w:ascii="Times New Roman" w:eastAsia="Arial"/>
                <w:spacing w:val="-2"/>
                <w:sz w:val="21"/>
                <w:szCs w:val="21"/>
              </w:rPr>
            </w:pPr>
            <w:r>
              <w:rPr>
                <w:rFonts w:hint="eastAsia" w:ascii="Times New Roman" w:eastAsia="Arial"/>
                <w:spacing w:val="-2"/>
                <w:sz w:val="21"/>
                <w:szCs w:val="21"/>
              </w:rPr>
              <w:t>15146.88</w:t>
            </w:r>
          </w:p>
        </w:tc>
        <w:tc>
          <w:tcPr>
            <w:tcW w:w="1616" w:type="dxa"/>
            <w:vMerge w:val="continue"/>
            <w:tcBorders>
              <w:right w:val="single" w:color="000000" w:sz="8" w:space="0"/>
            </w:tcBorders>
            <w:vAlign w:val="center"/>
          </w:tcPr>
          <w:p w14:paraId="2EB8FCD6">
            <w:pPr>
              <w:widowControl/>
              <w:jc w:val="center"/>
              <w:textAlignment w:val="center"/>
              <w:rPr>
                <w:rFonts w:ascii="Times New Roman" w:eastAsia="Arial"/>
                <w:spacing w:val="-2"/>
                <w:sz w:val="21"/>
                <w:szCs w:val="21"/>
              </w:rPr>
            </w:pPr>
          </w:p>
        </w:tc>
      </w:tr>
      <w:tr w14:paraId="100D2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175C804C">
            <w:pPr>
              <w:widowControl/>
              <w:jc w:val="center"/>
              <w:textAlignment w:val="center"/>
              <w:rPr>
                <w:rFonts w:ascii="Times New Roman" w:eastAsia="Arial"/>
                <w:sz w:val="21"/>
                <w:szCs w:val="21"/>
              </w:rPr>
            </w:pPr>
            <w:r>
              <w:rPr>
                <w:rFonts w:ascii="Times New Roman" w:eastAsia="Arial"/>
                <w:sz w:val="21"/>
                <w:szCs w:val="21"/>
              </w:rPr>
              <w:t>手工喷漆房</w:t>
            </w:r>
          </w:p>
        </w:tc>
        <w:tc>
          <w:tcPr>
            <w:tcW w:w="2130" w:type="dxa"/>
            <w:shd w:val="clear" w:color="auto" w:fill="auto"/>
            <w:vAlign w:val="center"/>
          </w:tcPr>
          <w:p w14:paraId="40482491">
            <w:pPr>
              <w:widowControl/>
              <w:jc w:val="center"/>
              <w:textAlignment w:val="center"/>
              <w:rPr>
                <w:rFonts w:ascii="Times New Roman" w:eastAsia="Arial"/>
                <w:sz w:val="21"/>
                <w:szCs w:val="21"/>
              </w:rPr>
            </w:pPr>
            <w:r>
              <w:rPr>
                <w:rFonts w:ascii="Times New Roman" w:eastAsia="Arial"/>
                <w:sz w:val="21"/>
                <w:szCs w:val="21"/>
              </w:rPr>
              <w:t>L15m×W6.8m×H9.6m</w:t>
            </w:r>
          </w:p>
        </w:tc>
        <w:tc>
          <w:tcPr>
            <w:tcW w:w="795" w:type="dxa"/>
            <w:shd w:val="clear" w:color="auto" w:fill="auto"/>
            <w:vAlign w:val="center"/>
          </w:tcPr>
          <w:p w14:paraId="0851B942">
            <w:pPr>
              <w:widowControl/>
              <w:jc w:val="center"/>
              <w:textAlignment w:val="center"/>
              <w:rPr>
                <w:rFonts w:ascii="Times New Roman" w:eastAsia="Arial"/>
                <w:spacing w:val="-2"/>
                <w:sz w:val="21"/>
                <w:szCs w:val="21"/>
              </w:rPr>
            </w:pPr>
            <w:r>
              <w:rPr>
                <w:rFonts w:ascii="Times New Roman" w:eastAsia="Arial"/>
                <w:sz w:val="21"/>
                <w:szCs w:val="21"/>
              </w:rPr>
              <w:t>1</w:t>
            </w:r>
          </w:p>
        </w:tc>
        <w:tc>
          <w:tcPr>
            <w:tcW w:w="1342" w:type="dxa"/>
            <w:vMerge w:val="continue"/>
            <w:vAlign w:val="center"/>
          </w:tcPr>
          <w:p w14:paraId="4B1FD827">
            <w:pPr>
              <w:jc w:val="center"/>
              <w:rPr>
                <w:rFonts w:ascii="Times New Roman"/>
                <w:sz w:val="21"/>
                <w:szCs w:val="21"/>
              </w:rPr>
            </w:pPr>
          </w:p>
        </w:tc>
        <w:tc>
          <w:tcPr>
            <w:tcW w:w="1596" w:type="dxa"/>
            <w:vAlign w:val="center"/>
          </w:tcPr>
          <w:p w14:paraId="24F35F3A">
            <w:pPr>
              <w:widowControl/>
              <w:jc w:val="center"/>
              <w:textAlignment w:val="center"/>
              <w:rPr>
                <w:rFonts w:ascii="Times New Roman" w:eastAsia="Arial"/>
                <w:spacing w:val="-2"/>
                <w:sz w:val="21"/>
                <w:szCs w:val="21"/>
              </w:rPr>
            </w:pPr>
            <w:r>
              <w:rPr>
                <w:rFonts w:hint="eastAsia" w:ascii="Times New Roman" w:eastAsia="Arial"/>
                <w:spacing w:val="-2"/>
                <w:sz w:val="21"/>
                <w:szCs w:val="21"/>
              </w:rPr>
              <w:t>22521.6</w:t>
            </w:r>
          </w:p>
        </w:tc>
        <w:tc>
          <w:tcPr>
            <w:tcW w:w="1616" w:type="dxa"/>
            <w:vMerge w:val="continue"/>
            <w:tcBorders>
              <w:right w:val="single" w:color="000000" w:sz="8" w:space="0"/>
            </w:tcBorders>
            <w:vAlign w:val="center"/>
          </w:tcPr>
          <w:p w14:paraId="0A3163F8">
            <w:pPr>
              <w:widowControl/>
              <w:jc w:val="center"/>
              <w:textAlignment w:val="center"/>
              <w:rPr>
                <w:rFonts w:ascii="Times New Roman" w:eastAsia="Arial"/>
                <w:spacing w:val="-2"/>
                <w:sz w:val="21"/>
                <w:szCs w:val="21"/>
              </w:rPr>
            </w:pPr>
          </w:p>
        </w:tc>
      </w:tr>
      <w:tr w14:paraId="6E0A4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shd w:val="clear" w:color="auto" w:fill="auto"/>
            <w:vAlign w:val="center"/>
          </w:tcPr>
          <w:p w14:paraId="0FBB9AD2">
            <w:pPr>
              <w:widowControl/>
              <w:jc w:val="center"/>
              <w:textAlignment w:val="center"/>
              <w:rPr>
                <w:rFonts w:ascii="Times New Roman" w:eastAsia="Arial"/>
                <w:sz w:val="21"/>
                <w:szCs w:val="21"/>
              </w:rPr>
            </w:pPr>
            <w:r>
              <w:rPr>
                <w:rFonts w:ascii="Times New Roman" w:eastAsia="Arial"/>
                <w:sz w:val="21"/>
                <w:szCs w:val="21"/>
              </w:rPr>
              <w:t>油漆烘干炉</w:t>
            </w:r>
          </w:p>
          <w:p w14:paraId="44C6C1C2">
            <w:pPr>
              <w:widowControl/>
              <w:jc w:val="center"/>
              <w:textAlignment w:val="center"/>
              <w:rPr>
                <w:rFonts w:ascii="Times New Roman" w:eastAsia="Arial"/>
                <w:sz w:val="21"/>
                <w:szCs w:val="21"/>
              </w:rPr>
            </w:pPr>
            <w:r>
              <w:rPr>
                <w:rFonts w:ascii="Times New Roman" w:eastAsia="Arial"/>
                <w:sz w:val="21"/>
                <w:szCs w:val="21"/>
              </w:rPr>
              <w:t>（天然气加热）</w:t>
            </w:r>
          </w:p>
        </w:tc>
        <w:tc>
          <w:tcPr>
            <w:tcW w:w="2130" w:type="dxa"/>
            <w:shd w:val="clear" w:color="auto" w:fill="auto"/>
            <w:vAlign w:val="center"/>
          </w:tcPr>
          <w:p w14:paraId="554D5648">
            <w:pPr>
              <w:widowControl/>
              <w:jc w:val="center"/>
              <w:textAlignment w:val="center"/>
              <w:rPr>
                <w:rFonts w:ascii="Times New Roman" w:eastAsia="Arial"/>
                <w:sz w:val="21"/>
                <w:szCs w:val="21"/>
              </w:rPr>
            </w:pPr>
            <w:r>
              <w:rPr>
                <w:rFonts w:ascii="Times New Roman" w:eastAsia="Arial"/>
                <w:sz w:val="21"/>
                <w:szCs w:val="21"/>
              </w:rPr>
              <w:t>L14m×W5m×H6.5m</w:t>
            </w:r>
          </w:p>
        </w:tc>
        <w:tc>
          <w:tcPr>
            <w:tcW w:w="795" w:type="dxa"/>
            <w:shd w:val="clear" w:color="auto" w:fill="auto"/>
            <w:vAlign w:val="center"/>
          </w:tcPr>
          <w:p w14:paraId="1EF0F2FC">
            <w:pPr>
              <w:widowControl/>
              <w:jc w:val="center"/>
              <w:textAlignment w:val="center"/>
              <w:rPr>
                <w:rFonts w:ascii="Times New Roman" w:eastAsia="Arial"/>
                <w:spacing w:val="-2"/>
                <w:sz w:val="21"/>
                <w:szCs w:val="21"/>
              </w:rPr>
            </w:pPr>
            <w:r>
              <w:rPr>
                <w:rFonts w:ascii="Times New Roman" w:eastAsia="Arial"/>
                <w:sz w:val="21"/>
                <w:szCs w:val="21"/>
              </w:rPr>
              <w:t>1</w:t>
            </w:r>
          </w:p>
        </w:tc>
        <w:tc>
          <w:tcPr>
            <w:tcW w:w="1342" w:type="dxa"/>
            <w:vMerge w:val="continue"/>
          </w:tcPr>
          <w:p w14:paraId="5997FFFB">
            <w:pPr>
              <w:jc w:val="center"/>
              <w:rPr>
                <w:rFonts w:ascii="Times New Roman"/>
                <w:sz w:val="21"/>
                <w:szCs w:val="21"/>
              </w:rPr>
            </w:pPr>
          </w:p>
        </w:tc>
        <w:tc>
          <w:tcPr>
            <w:tcW w:w="1596" w:type="dxa"/>
            <w:vAlign w:val="center"/>
          </w:tcPr>
          <w:p w14:paraId="497A360C">
            <w:pPr>
              <w:widowControl/>
              <w:jc w:val="center"/>
              <w:textAlignment w:val="center"/>
              <w:rPr>
                <w:rFonts w:ascii="Times New Roman" w:eastAsia="Arial"/>
                <w:spacing w:val="-2"/>
                <w:sz w:val="21"/>
                <w:szCs w:val="21"/>
              </w:rPr>
            </w:pPr>
            <w:r>
              <w:rPr>
                <w:rFonts w:hint="eastAsia" w:ascii="Times New Roman" w:eastAsia="Arial"/>
                <w:spacing w:val="-2"/>
                <w:sz w:val="21"/>
                <w:szCs w:val="21"/>
              </w:rPr>
              <w:t>10465</w:t>
            </w:r>
          </w:p>
        </w:tc>
        <w:tc>
          <w:tcPr>
            <w:tcW w:w="1616" w:type="dxa"/>
            <w:vMerge w:val="continue"/>
            <w:tcBorders>
              <w:right w:val="single" w:color="000000" w:sz="8" w:space="0"/>
            </w:tcBorders>
          </w:tcPr>
          <w:p w14:paraId="40DE8823">
            <w:pPr>
              <w:widowControl/>
              <w:jc w:val="center"/>
              <w:textAlignment w:val="center"/>
              <w:rPr>
                <w:rFonts w:ascii="Times New Roman" w:eastAsia="Arial"/>
                <w:spacing w:val="-2"/>
                <w:sz w:val="21"/>
                <w:szCs w:val="21"/>
              </w:rPr>
            </w:pPr>
          </w:p>
        </w:tc>
      </w:tr>
    </w:tbl>
    <w:p w14:paraId="19267BD0">
      <w:pPr>
        <w:spacing w:line="360" w:lineRule="auto"/>
        <w:ind w:firstLine="480" w:firstLineChars="200"/>
        <w:rPr>
          <w:rFonts w:ascii="Times New Roman"/>
          <w:sz w:val="24"/>
          <w:szCs w:val="24"/>
        </w:rPr>
      </w:pPr>
      <w:r>
        <w:rPr>
          <w:rFonts w:ascii="Times New Roman"/>
          <w:sz w:val="24"/>
          <w:szCs w:val="24"/>
        </w:rPr>
        <w:t>预处理电泳、调漆、喷漆和烘干工序净化装置配套风量为232000m</w:t>
      </w:r>
      <w:r>
        <w:rPr>
          <w:rFonts w:ascii="Times New Roman"/>
          <w:sz w:val="24"/>
          <w:szCs w:val="24"/>
          <w:vertAlign w:val="superscript"/>
        </w:rPr>
        <w:t>3</w:t>
      </w:r>
      <w:r>
        <w:rPr>
          <w:rFonts w:ascii="Times New Roman"/>
          <w:sz w:val="24"/>
          <w:szCs w:val="24"/>
        </w:rPr>
        <w:t>/h。预处理电泳、调漆、喷漆和烘干工序时间为</w:t>
      </w:r>
      <w:r>
        <w:rPr>
          <w:rFonts w:hint="eastAsia" w:ascii="Times New Roman"/>
          <w:sz w:val="24"/>
          <w:szCs w:val="24"/>
        </w:rPr>
        <w:t>30</w:t>
      </w:r>
      <w:r>
        <w:rPr>
          <w:rFonts w:ascii="Times New Roman"/>
          <w:sz w:val="24"/>
          <w:szCs w:val="24"/>
        </w:rPr>
        <w:t>00h/a，预处理电泳、调漆、喷漆、烘干均于密闭作业间进行，收集效率以95%计，</w:t>
      </w:r>
      <w:r>
        <w:rPr>
          <w:rFonts w:ascii="Times New Roman"/>
          <w:spacing w:val="9"/>
          <w:sz w:val="24"/>
          <w:szCs w:val="24"/>
        </w:rPr>
        <w:t>颗粒物的处理效率95%</w:t>
      </w:r>
      <w:r>
        <w:rPr>
          <w:rFonts w:ascii="Times New Roman"/>
          <w:sz w:val="24"/>
          <w:szCs w:val="24"/>
        </w:rPr>
        <w:t>计</w:t>
      </w:r>
      <w:r>
        <w:rPr>
          <w:rFonts w:ascii="Times New Roman"/>
          <w:spacing w:val="9"/>
          <w:sz w:val="24"/>
          <w:szCs w:val="24"/>
        </w:rPr>
        <w:t>，非甲烷总烃</w:t>
      </w:r>
      <w:r>
        <w:rPr>
          <w:rFonts w:hint="eastAsia" w:ascii="Times New Roman"/>
          <w:spacing w:val="9"/>
          <w:sz w:val="24"/>
          <w:szCs w:val="24"/>
        </w:rPr>
        <w:t>、二甲苯</w:t>
      </w:r>
      <w:r>
        <w:rPr>
          <w:rFonts w:ascii="Times New Roman"/>
          <w:spacing w:val="9"/>
          <w:sz w:val="24"/>
          <w:szCs w:val="24"/>
        </w:rPr>
        <w:t>的处理效率95%</w:t>
      </w:r>
      <w:r>
        <w:rPr>
          <w:rFonts w:ascii="Times New Roman"/>
          <w:sz w:val="24"/>
          <w:szCs w:val="24"/>
        </w:rPr>
        <w:t>计</w:t>
      </w:r>
      <w:r>
        <w:rPr>
          <w:rFonts w:ascii="Times New Roman"/>
          <w:spacing w:val="9"/>
          <w:sz w:val="24"/>
          <w:szCs w:val="24"/>
        </w:rPr>
        <w:t>。</w:t>
      </w:r>
    </w:p>
    <w:p w14:paraId="0B469D5C">
      <w:pPr>
        <w:spacing w:line="360" w:lineRule="auto"/>
        <w:ind w:firstLine="480" w:firstLineChars="200"/>
        <w:rPr>
          <w:rFonts w:ascii="Times New Roman"/>
          <w:sz w:val="24"/>
          <w:szCs w:val="24"/>
        </w:rPr>
      </w:pPr>
      <w:r>
        <w:rPr>
          <w:rFonts w:ascii="Times New Roman"/>
          <w:sz w:val="24"/>
          <w:szCs w:val="24"/>
        </w:rPr>
        <w:t>根据表3.5-7项目预处理电泳、调漆、喷漆和烘干工序废气产排情况见下表：</w:t>
      </w:r>
    </w:p>
    <w:p w14:paraId="08216117">
      <w:pPr>
        <w:pStyle w:val="83"/>
        <w:ind w:left="500" w:firstLine="480"/>
        <w:rPr>
          <w:sz w:val="24"/>
          <w:szCs w:val="24"/>
        </w:rPr>
      </w:pPr>
    </w:p>
    <w:p w14:paraId="6B65901F">
      <w:pPr>
        <w:rPr>
          <w:rFonts w:ascii="Times New Roman"/>
          <w:sz w:val="24"/>
          <w:szCs w:val="24"/>
        </w:rPr>
      </w:pPr>
    </w:p>
    <w:p w14:paraId="76F29044">
      <w:pPr>
        <w:pStyle w:val="83"/>
        <w:ind w:left="500"/>
      </w:pPr>
    </w:p>
    <w:p w14:paraId="2F7683DF">
      <w:pPr>
        <w:spacing w:line="360" w:lineRule="auto"/>
        <w:jc w:val="center"/>
        <w:rPr>
          <w:rFonts w:ascii="Times New Roman"/>
          <w:b/>
          <w:sz w:val="24"/>
          <w:szCs w:val="24"/>
        </w:rPr>
      </w:pPr>
      <w:r>
        <w:rPr>
          <w:rFonts w:ascii="Times New Roman"/>
          <w:b/>
          <w:sz w:val="24"/>
          <w:szCs w:val="24"/>
        </w:rPr>
        <w:t>表3.7-</w:t>
      </w:r>
      <w:r>
        <w:rPr>
          <w:rFonts w:hint="eastAsia" w:ascii="Times New Roman"/>
          <w:b/>
          <w:sz w:val="24"/>
          <w:szCs w:val="24"/>
        </w:rPr>
        <w:t>10</w:t>
      </w:r>
      <w:r>
        <w:rPr>
          <w:rFonts w:ascii="Times New Roman"/>
          <w:b/>
          <w:sz w:val="24"/>
          <w:szCs w:val="24"/>
        </w:rPr>
        <w:t xml:space="preserve"> 喷涂工序污染物产生及排放情况</w:t>
      </w:r>
    </w:p>
    <w:tbl>
      <w:tblPr>
        <w:tblStyle w:val="84"/>
        <w:tblW w:w="8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0"/>
        <w:gridCol w:w="675"/>
        <w:gridCol w:w="940"/>
        <w:gridCol w:w="929"/>
        <w:gridCol w:w="929"/>
        <w:gridCol w:w="1016"/>
        <w:gridCol w:w="931"/>
        <w:gridCol w:w="1016"/>
        <w:gridCol w:w="928"/>
        <w:gridCol w:w="796"/>
      </w:tblGrid>
      <w:tr w14:paraId="4768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exact"/>
          <w:jc w:val="center"/>
        </w:trPr>
        <w:tc>
          <w:tcPr>
            <w:tcW w:w="750" w:type="dxa"/>
            <w:shd w:val="clear" w:color="auto" w:fill="auto"/>
            <w:vAlign w:val="center"/>
          </w:tcPr>
          <w:p w14:paraId="44E827AE">
            <w:pPr>
              <w:jc w:val="center"/>
              <w:rPr>
                <w:rFonts w:ascii="Times New Roman"/>
                <w:b/>
                <w:bCs/>
                <w:sz w:val="21"/>
                <w:szCs w:val="21"/>
              </w:rPr>
            </w:pPr>
            <w:r>
              <w:rPr>
                <w:rFonts w:ascii="Times New Roman"/>
                <w:b/>
                <w:bCs/>
                <w:sz w:val="21"/>
                <w:szCs w:val="21"/>
              </w:rPr>
              <w:t>污染源</w:t>
            </w:r>
          </w:p>
        </w:tc>
        <w:tc>
          <w:tcPr>
            <w:tcW w:w="675" w:type="dxa"/>
            <w:shd w:val="clear" w:color="auto" w:fill="auto"/>
            <w:vAlign w:val="center"/>
          </w:tcPr>
          <w:p w14:paraId="2263D1D2">
            <w:pPr>
              <w:jc w:val="center"/>
              <w:rPr>
                <w:rFonts w:ascii="Times New Roman"/>
                <w:b/>
                <w:bCs/>
                <w:sz w:val="21"/>
                <w:szCs w:val="21"/>
              </w:rPr>
            </w:pPr>
            <w:r>
              <w:rPr>
                <w:rFonts w:ascii="Times New Roman"/>
                <w:b/>
                <w:bCs/>
                <w:sz w:val="21"/>
                <w:szCs w:val="21"/>
              </w:rPr>
              <w:t>污染物</w:t>
            </w:r>
          </w:p>
        </w:tc>
        <w:tc>
          <w:tcPr>
            <w:tcW w:w="940" w:type="dxa"/>
            <w:shd w:val="clear" w:color="auto" w:fill="auto"/>
            <w:vAlign w:val="center"/>
          </w:tcPr>
          <w:p w14:paraId="2FBECE49">
            <w:pPr>
              <w:jc w:val="center"/>
              <w:rPr>
                <w:rFonts w:ascii="Times New Roman"/>
                <w:b/>
                <w:bCs/>
                <w:sz w:val="21"/>
                <w:szCs w:val="21"/>
              </w:rPr>
            </w:pPr>
            <w:r>
              <w:rPr>
                <w:rFonts w:ascii="Times New Roman"/>
                <w:b/>
                <w:bCs/>
                <w:sz w:val="21"/>
                <w:szCs w:val="21"/>
              </w:rPr>
              <w:t>收集效率（%）</w:t>
            </w:r>
          </w:p>
        </w:tc>
        <w:tc>
          <w:tcPr>
            <w:tcW w:w="929" w:type="dxa"/>
            <w:shd w:val="clear" w:color="auto" w:fill="auto"/>
            <w:vAlign w:val="center"/>
          </w:tcPr>
          <w:p w14:paraId="32A9F4A4">
            <w:pPr>
              <w:jc w:val="center"/>
              <w:rPr>
                <w:rFonts w:ascii="Times New Roman"/>
                <w:b/>
                <w:bCs/>
                <w:sz w:val="21"/>
                <w:szCs w:val="21"/>
              </w:rPr>
            </w:pPr>
            <w:r>
              <w:rPr>
                <w:rFonts w:ascii="Times New Roman"/>
                <w:b/>
                <w:bCs/>
                <w:sz w:val="21"/>
                <w:szCs w:val="21"/>
              </w:rPr>
              <w:t>产生量</w:t>
            </w:r>
          </w:p>
          <w:p w14:paraId="5AD3982D">
            <w:pPr>
              <w:jc w:val="center"/>
              <w:rPr>
                <w:rFonts w:ascii="Times New Roman"/>
                <w:b/>
                <w:bCs/>
                <w:sz w:val="21"/>
                <w:szCs w:val="21"/>
                <w:lang w:bidi="zh-TW"/>
              </w:rPr>
            </w:pPr>
            <w:r>
              <w:rPr>
                <w:rFonts w:ascii="Times New Roman"/>
                <w:b/>
                <w:bCs/>
                <w:sz w:val="21"/>
                <w:szCs w:val="21"/>
                <w:lang w:eastAsia="en-US" w:bidi="en-US"/>
              </w:rPr>
              <w:t>(t/a)</w:t>
            </w:r>
          </w:p>
        </w:tc>
        <w:tc>
          <w:tcPr>
            <w:tcW w:w="929" w:type="dxa"/>
            <w:shd w:val="clear" w:color="auto" w:fill="auto"/>
            <w:vAlign w:val="center"/>
          </w:tcPr>
          <w:p w14:paraId="22397189">
            <w:pPr>
              <w:jc w:val="center"/>
              <w:rPr>
                <w:rFonts w:ascii="Times New Roman"/>
                <w:b/>
                <w:bCs/>
                <w:sz w:val="21"/>
                <w:szCs w:val="21"/>
                <w:lang w:val="zh-TW" w:bidi="zh-TW"/>
              </w:rPr>
            </w:pPr>
            <w:r>
              <w:rPr>
                <w:rFonts w:ascii="Times New Roman"/>
                <w:b/>
                <w:bCs/>
                <w:sz w:val="21"/>
                <w:szCs w:val="21"/>
                <w:lang w:bidi="en-US"/>
              </w:rPr>
              <w:t>产生速率（kg/h）</w:t>
            </w:r>
          </w:p>
        </w:tc>
        <w:tc>
          <w:tcPr>
            <w:tcW w:w="1016" w:type="dxa"/>
            <w:shd w:val="clear" w:color="auto" w:fill="auto"/>
            <w:vAlign w:val="center"/>
          </w:tcPr>
          <w:p w14:paraId="64C0FEEF">
            <w:pPr>
              <w:jc w:val="center"/>
              <w:rPr>
                <w:rFonts w:ascii="Times New Roman"/>
                <w:b/>
                <w:bCs/>
                <w:sz w:val="21"/>
                <w:szCs w:val="21"/>
              </w:rPr>
            </w:pPr>
            <w:r>
              <w:rPr>
                <w:rFonts w:ascii="Times New Roman"/>
                <w:b/>
                <w:bCs/>
                <w:sz w:val="21"/>
                <w:szCs w:val="21"/>
              </w:rPr>
              <w:t>产生浓度</w:t>
            </w:r>
          </w:p>
          <w:p w14:paraId="3EC69CB6">
            <w:pPr>
              <w:jc w:val="center"/>
              <w:rPr>
                <w:rFonts w:ascii="Times New Roman"/>
                <w:b/>
                <w:bCs/>
                <w:sz w:val="21"/>
                <w:szCs w:val="21"/>
                <w:lang w:val="zh-TW" w:eastAsia="zh-TW" w:bidi="zh-TW"/>
              </w:rPr>
            </w:pPr>
            <w:r>
              <w:rPr>
                <w:rFonts w:ascii="Times New Roman"/>
                <w:b/>
                <w:bCs/>
                <w:sz w:val="21"/>
                <w:szCs w:val="21"/>
              </w:rPr>
              <w:t>(</w:t>
            </w:r>
            <w:r>
              <w:rPr>
                <w:rFonts w:ascii="Times New Roman"/>
                <w:b/>
                <w:bCs/>
                <w:sz w:val="21"/>
                <w:szCs w:val="21"/>
                <w:lang w:eastAsia="en-US" w:bidi="en-US"/>
              </w:rPr>
              <w:t>mg/m</w:t>
            </w:r>
            <w:r>
              <w:rPr>
                <w:rFonts w:ascii="Times New Roman"/>
                <w:b/>
                <w:bCs/>
                <w:sz w:val="21"/>
                <w:szCs w:val="21"/>
                <w:vertAlign w:val="superscript"/>
                <w:lang w:bidi="en-US"/>
              </w:rPr>
              <w:t>3</w:t>
            </w:r>
            <w:r>
              <w:rPr>
                <w:rFonts w:ascii="Times New Roman"/>
                <w:b/>
                <w:bCs/>
                <w:sz w:val="21"/>
                <w:szCs w:val="21"/>
              </w:rPr>
              <w:t>)</w:t>
            </w:r>
          </w:p>
        </w:tc>
        <w:tc>
          <w:tcPr>
            <w:tcW w:w="931" w:type="dxa"/>
            <w:shd w:val="clear" w:color="auto" w:fill="auto"/>
            <w:vAlign w:val="center"/>
          </w:tcPr>
          <w:p w14:paraId="04D67732">
            <w:pPr>
              <w:jc w:val="center"/>
              <w:rPr>
                <w:rFonts w:ascii="Times New Roman"/>
                <w:b/>
                <w:bCs/>
                <w:sz w:val="21"/>
                <w:szCs w:val="21"/>
                <w:lang w:bidi="zh-TW"/>
              </w:rPr>
            </w:pPr>
            <w:r>
              <w:rPr>
                <w:rFonts w:ascii="Times New Roman"/>
                <w:b/>
                <w:bCs/>
                <w:sz w:val="21"/>
                <w:szCs w:val="21"/>
              </w:rPr>
              <w:t>废气量（m</w:t>
            </w:r>
            <w:r>
              <w:rPr>
                <w:rFonts w:ascii="Times New Roman"/>
                <w:b/>
                <w:bCs/>
                <w:sz w:val="21"/>
                <w:szCs w:val="21"/>
                <w:vertAlign w:val="superscript"/>
              </w:rPr>
              <w:t>3</w:t>
            </w:r>
            <w:r>
              <w:rPr>
                <w:rFonts w:ascii="Times New Roman"/>
                <w:b/>
                <w:bCs/>
                <w:sz w:val="21"/>
                <w:szCs w:val="21"/>
              </w:rPr>
              <w:t>/h）</w:t>
            </w:r>
          </w:p>
        </w:tc>
        <w:tc>
          <w:tcPr>
            <w:tcW w:w="1016" w:type="dxa"/>
            <w:shd w:val="clear" w:color="auto" w:fill="auto"/>
            <w:vAlign w:val="center"/>
          </w:tcPr>
          <w:p w14:paraId="42A7D276">
            <w:pPr>
              <w:jc w:val="center"/>
              <w:rPr>
                <w:rFonts w:ascii="Times New Roman"/>
                <w:b/>
                <w:bCs/>
                <w:sz w:val="21"/>
                <w:szCs w:val="21"/>
              </w:rPr>
            </w:pPr>
            <w:r>
              <w:rPr>
                <w:rFonts w:ascii="Times New Roman"/>
                <w:b/>
                <w:bCs/>
                <w:sz w:val="21"/>
                <w:szCs w:val="21"/>
              </w:rPr>
              <w:t>排放浓度</w:t>
            </w:r>
          </w:p>
          <w:p w14:paraId="670F6A2B">
            <w:pPr>
              <w:jc w:val="center"/>
              <w:rPr>
                <w:rFonts w:ascii="Times New Roman"/>
                <w:b/>
                <w:bCs/>
                <w:sz w:val="21"/>
                <w:szCs w:val="21"/>
              </w:rPr>
            </w:pPr>
            <w:r>
              <w:rPr>
                <w:rFonts w:ascii="Times New Roman"/>
                <w:b/>
                <w:bCs/>
                <w:sz w:val="21"/>
                <w:szCs w:val="21"/>
              </w:rPr>
              <w:t>(</w:t>
            </w:r>
            <w:r>
              <w:rPr>
                <w:rFonts w:ascii="Times New Roman"/>
                <w:b/>
                <w:bCs/>
                <w:sz w:val="21"/>
                <w:szCs w:val="21"/>
                <w:lang w:eastAsia="en-US" w:bidi="en-US"/>
              </w:rPr>
              <w:t>mg/m</w:t>
            </w:r>
            <w:r>
              <w:rPr>
                <w:rFonts w:ascii="Times New Roman"/>
                <w:b/>
                <w:bCs/>
                <w:sz w:val="21"/>
                <w:szCs w:val="21"/>
                <w:vertAlign w:val="superscript"/>
                <w:lang w:bidi="en-US"/>
              </w:rPr>
              <w:t>3</w:t>
            </w:r>
            <w:r>
              <w:rPr>
                <w:rFonts w:ascii="Times New Roman"/>
                <w:b/>
                <w:bCs/>
                <w:sz w:val="21"/>
                <w:szCs w:val="21"/>
              </w:rPr>
              <w:t>)</w:t>
            </w:r>
          </w:p>
        </w:tc>
        <w:tc>
          <w:tcPr>
            <w:tcW w:w="928" w:type="dxa"/>
            <w:shd w:val="clear" w:color="auto" w:fill="auto"/>
            <w:vAlign w:val="center"/>
          </w:tcPr>
          <w:p w14:paraId="7CF92271">
            <w:pPr>
              <w:jc w:val="center"/>
              <w:rPr>
                <w:rFonts w:ascii="Times New Roman"/>
                <w:b/>
                <w:bCs/>
                <w:sz w:val="21"/>
                <w:szCs w:val="21"/>
              </w:rPr>
            </w:pPr>
            <w:r>
              <w:rPr>
                <w:rFonts w:ascii="Times New Roman"/>
                <w:b/>
                <w:bCs/>
                <w:sz w:val="21"/>
                <w:szCs w:val="21"/>
                <w:lang w:bidi="en-US"/>
              </w:rPr>
              <w:t>排放速率（kg/h）</w:t>
            </w:r>
          </w:p>
        </w:tc>
        <w:tc>
          <w:tcPr>
            <w:tcW w:w="796" w:type="dxa"/>
            <w:shd w:val="clear" w:color="auto" w:fill="auto"/>
            <w:vAlign w:val="center"/>
          </w:tcPr>
          <w:p w14:paraId="269A89F4">
            <w:pPr>
              <w:jc w:val="center"/>
              <w:rPr>
                <w:rFonts w:ascii="Times New Roman"/>
                <w:b/>
                <w:bCs/>
                <w:sz w:val="21"/>
                <w:szCs w:val="21"/>
              </w:rPr>
            </w:pPr>
            <w:r>
              <w:rPr>
                <w:rFonts w:ascii="Times New Roman"/>
                <w:b/>
                <w:bCs/>
                <w:sz w:val="21"/>
                <w:szCs w:val="21"/>
              </w:rPr>
              <w:t>排放量</w:t>
            </w:r>
          </w:p>
          <w:p w14:paraId="5071BFDC">
            <w:pPr>
              <w:jc w:val="center"/>
              <w:rPr>
                <w:rFonts w:ascii="Times New Roman"/>
                <w:b/>
                <w:bCs/>
                <w:sz w:val="21"/>
                <w:szCs w:val="21"/>
                <w:lang w:bidi="en-US"/>
              </w:rPr>
            </w:pPr>
            <w:r>
              <w:rPr>
                <w:rFonts w:ascii="Times New Roman"/>
                <w:b/>
                <w:bCs/>
                <w:sz w:val="21"/>
                <w:szCs w:val="21"/>
                <w:lang w:eastAsia="en-US" w:bidi="en-US"/>
              </w:rPr>
              <w:t>(t/a)</w:t>
            </w:r>
          </w:p>
        </w:tc>
      </w:tr>
      <w:tr w14:paraId="5258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exact"/>
          <w:jc w:val="center"/>
        </w:trPr>
        <w:tc>
          <w:tcPr>
            <w:tcW w:w="750" w:type="dxa"/>
            <w:vMerge w:val="restart"/>
            <w:shd w:val="clear" w:color="auto" w:fill="auto"/>
            <w:vAlign w:val="center"/>
          </w:tcPr>
          <w:p w14:paraId="66CB23CD">
            <w:pPr>
              <w:jc w:val="center"/>
              <w:rPr>
                <w:rFonts w:ascii="Times New Roman"/>
                <w:sz w:val="21"/>
                <w:szCs w:val="21"/>
              </w:rPr>
            </w:pPr>
            <w:r>
              <w:rPr>
                <w:rFonts w:ascii="Times New Roman"/>
                <w:sz w:val="21"/>
                <w:szCs w:val="21"/>
              </w:rPr>
              <w:t>预处理电泳、调漆、喷漆和烘干、强冷工序</w:t>
            </w:r>
          </w:p>
        </w:tc>
        <w:tc>
          <w:tcPr>
            <w:tcW w:w="675" w:type="dxa"/>
            <w:shd w:val="clear" w:color="auto" w:fill="auto"/>
            <w:vAlign w:val="center"/>
          </w:tcPr>
          <w:p w14:paraId="7B9D4F93">
            <w:pPr>
              <w:jc w:val="center"/>
              <w:rPr>
                <w:rFonts w:ascii="Times New Roman"/>
                <w:sz w:val="21"/>
                <w:szCs w:val="21"/>
              </w:rPr>
            </w:pPr>
            <w:r>
              <w:rPr>
                <w:rFonts w:ascii="Times New Roman"/>
                <w:bCs/>
                <w:sz w:val="21"/>
                <w:szCs w:val="21"/>
              </w:rPr>
              <w:t>颗粒物</w:t>
            </w:r>
          </w:p>
        </w:tc>
        <w:tc>
          <w:tcPr>
            <w:tcW w:w="940" w:type="dxa"/>
            <w:shd w:val="clear" w:color="auto" w:fill="auto"/>
            <w:vAlign w:val="center"/>
          </w:tcPr>
          <w:p w14:paraId="517B9E4B">
            <w:pPr>
              <w:jc w:val="center"/>
              <w:rPr>
                <w:rFonts w:ascii="Times New Roman"/>
                <w:sz w:val="21"/>
                <w:szCs w:val="21"/>
              </w:rPr>
            </w:pPr>
            <w:r>
              <w:rPr>
                <w:rFonts w:ascii="Times New Roman"/>
                <w:sz w:val="21"/>
                <w:szCs w:val="21"/>
              </w:rPr>
              <w:t>95</w:t>
            </w:r>
          </w:p>
        </w:tc>
        <w:tc>
          <w:tcPr>
            <w:tcW w:w="929" w:type="dxa"/>
            <w:shd w:val="clear" w:color="auto" w:fill="auto"/>
            <w:vAlign w:val="center"/>
          </w:tcPr>
          <w:p w14:paraId="0B314D4A">
            <w:pPr>
              <w:jc w:val="center"/>
              <w:rPr>
                <w:rFonts w:ascii="Times New Roman"/>
                <w:sz w:val="21"/>
                <w:szCs w:val="21"/>
              </w:rPr>
            </w:pPr>
            <w:r>
              <w:rPr>
                <w:rFonts w:hint="eastAsia" w:ascii="Times New Roman"/>
                <w:sz w:val="21"/>
                <w:szCs w:val="21"/>
              </w:rPr>
              <w:t>197.886</w:t>
            </w:r>
          </w:p>
        </w:tc>
        <w:tc>
          <w:tcPr>
            <w:tcW w:w="929" w:type="dxa"/>
            <w:shd w:val="clear" w:color="auto" w:fill="auto"/>
            <w:vAlign w:val="center"/>
          </w:tcPr>
          <w:p w14:paraId="64C5B86A">
            <w:pPr>
              <w:jc w:val="center"/>
              <w:rPr>
                <w:rFonts w:ascii="Times New Roman"/>
                <w:sz w:val="21"/>
                <w:szCs w:val="21"/>
              </w:rPr>
            </w:pPr>
            <w:r>
              <w:rPr>
                <w:rFonts w:hint="eastAsia" w:ascii="Times New Roman"/>
                <w:sz w:val="21"/>
                <w:szCs w:val="21"/>
              </w:rPr>
              <w:t>27.484</w:t>
            </w:r>
          </w:p>
        </w:tc>
        <w:tc>
          <w:tcPr>
            <w:tcW w:w="1016" w:type="dxa"/>
            <w:shd w:val="clear" w:color="auto" w:fill="auto"/>
            <w:vAlign w:val="center"/>
          </w:tcPr>
          <w:p w14:paraId="354D634E">
            <w:pPr>
              <w:jc w:val="center"/>
              <w:rPr>
                <w:rFonts w:ascii="Times New Roman"/>
                <w:sz w:val="21"/>
                <w:szCs w:val="21"/>
              </w:rPr>
            </w:pPr>
            <w:r>
              <w:rPr>
                <w:rFonts w:hint="eastAsia" w:ascii="Times New Roman"/>
                <w:sz w:val="21"/>
                <w:szCs w:val="21"/>
              </w:rPr>
              <w:t>118.466</w:t>
            </w:r>
          </w:p>
        </w:tc>
        <w:tc>
          <w:tcPr>
            <w:tcW w:w="931" w:type="dxa"/>
            <w:shd w:val="clear" w:color="auto" w:fill="auto"/>
            <w:vAlign w:val="center"/>
          </w:tcPr>
          <w:p w14:paraId="0630C5A3">
            <w:pPr>
              <w:jc w:val="center"/>
              <w:rPr>
                <w:rFonts w:ascii="Times New Roman"/>
                <w:sz w:val="21"/>
                <w:szCs w:val="21"/>
              </w:rPr>
            </w:pPr>
            <w:r>
              <w:rPr>
                <w:rFonts w:ascii="Times New Roman"/>
                <w:sz w:val="21"/>
                <w:szCs w:val="21"/>
              </w:rPr>
              <w:t>232000</w:t>
            </w:r>
          </w:p>
        </w:tc>
        <w:tc>
          <w:tcPr>
            <w:tcW w:w="1016" w:type="dxa"/>
            <w:shd w:val="clear" w:color="auto" w:fill="auto"/>
            <w:vAlign w:val="center"/>
          </w:tcPr>
          <w:p w14:paraId="5694E8A0">
            <w:pPr>
              <w:jc w:val="center"/>
              <w:rPr>
                <w:rFonts w:ascii="Times New Roman"/>
                <w:sz w:val="21"/>
                <w:szCs w:val="21"/>
                <w:lang w:bidi="zh-TW"/>
              </w:rPr>
            </w:pPr>
            <w:r>
              <w:rPr>
                <w:rFonts w:hint="eastAsia" w:ascii="Times New Roman"/>
                <w:sz w:val="21"/>
                <w:szCs w:val="21"/>
              </w:rPr>
              <w:t>1.305</w:t>
            </w:r>
          </w:p>
        </w:tc>
        <w:tc>
          <w:tcPr>
            <w:tcW w:w="928" w:type="dxa"/>
            <w:shd w:val="clear" w:color="auto" w:fill="auto"/>
            <w:vAlign w:val="center"/>
          </w:tcPr>
          <w:p w14:paraId="149FAF8C">
            <w:pPr>
              <w:jc w:val="center"/>
              <w:rPr>
                <w:rFonts w:ascii="Times New Roman"/>
                <w:sz w:val="21"/>
                <w:szCs w:val="21"/>
                <w:lang w:bidi="zh-TW"/>
              </w:rPr>
            </w:pPr>
            <w:r>
              <w:rPr>
                <w:rFonts w:hint="eastAsia" w:ascii="Times New Roman"/>
                <w:sz w:val="21"/>
                <w:szCs w:val="21"/>
              </w:rPr>
              <w:t>5.627</w:t>
            </w:r>
          </w:p>
        </w:tc>
        <w:tc>
          <w:tcPr>
            <w:tcW w:w="796" w:type="dxa"/>
            <w:shd w:val="clear" w:color="auto" w:fill="auto"/>
            <w:vAlign w:val="center"/>
          </w:tcPr>
          <w:p w14:paraId="3146BEBC">
            <w:pPr>
              <w:jc w:val="center"/>
              <w:rPr>
                <w:rFonts w:ascii="Times New Roman"/>
                <w:sz w:val="21"/>
                <w:szCs w:val="21"/>
                <w:lang w:bidi="zh-TW"/>
              </w:rPr>
            </w:pPr>
            <w:r>
              <w:rPr>
                <w:rFonts w:hint="eastAsia" w:ascii="Times New Roman"/>
                <w:sz w:val="21"/>
                <w:szCs w:val="21"/>
              </w:rPr>
              <w:t>9.400</w:t>
            </w:r>
          </w:p>
        </w:tc>
      </w:tr>
      <w:tr w14:paraId="45FE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exact"/>
          <w:jc w:val="center"/>
        </w:trPr>
        <w:tc>
          <w:tcPr>
            <w:tcW w:w="750" w:type="dxa"/>
            <w:vMerge w:val="continue"/>
            <w:shd w:val="clear" w:color="auto" w:fill="auto"/>
            <w:vAlign w:val="center"/>
          </w:tcPr>
          <w:p w14:paraId="270E7085">
            <w:pPr>
              <w:jc w:val="center"/>
              <w:rPr>
                <w:rFonts w:ascii="Times New Roman"/>
                <w:sz w:val="21"/>
                <w:szCs w:val="21"/>
              </w:rPr>
            </w:pPr>
          </w:p>
        </w:tc>
        <w:tc>
          <w:tcPr>
            <w:tcW w:w="675" w:type="dxa"/>
            <w:shd w:val="clear" w:color="auto" w:fill="auto"/>
            <w:vAlign w:val="center"/>
          </w:tcPr>
          <w:p w14:paraId="7B4EBB96">
            <w:pPr>
              <w:jc w:val="center"/>
              <w:rPr>
                <w:rFonts w:ascii="Times New Roman"/>
                <w:bCs/>
                <w:sz w:val="21"/>
                <w:szCs w:val="21"/>
              </w:rPr>
            </w:pPr>
            <w:r>
              <w:rPr>
                <w:rFonts w:ascii="Times New Roman"/>
                <w:sz w:val="21"/>
                <w:szCs w:val="21"/>
              </w:rPr>
              <w:t>VOCs</w:t>
            </w:r>
          </w:p>
        </w:tc>
        <w:tc>
          <w:tcPr>
            <w:tcW w:w="940" w:type="dxa"/>
            <w:shd w:val="clear" w:color="auto" w:fill="auto"/>
            <w:vAlign w:val="center"/>
          </w:tcPr>
          <w:p w14:paraId="40C1FCB4">
            <w:pPr>
              <w:jc w:val="center"/>
              <w:rPr>
                <w:rFonts w:ascii="Times New Roman"/>
                <w:sz w:val="21"/>
                <w:szCs w:val="21"/>
              </w:rPr>
            </w:pPr>
            <w:r>
              <w:rPr>
                <w:rFonts w:ascii="Times New Roman"/>
                <w:sz w:val="21"/>
                <w:szCs w:val="21"/>
              </w:rPr>
              <w:t>95</w:t>
            </w:r>
          </w:p>
        </w:tc>
        <w:tc>
          <w:tcPr>
            <w:tcW w:w="929" w:type="dxa"/>
            <w:shd w:val="clear" w:color="auto" w:fill="auto"/>
            <w:vAlign w:val="center"/>
          </w:tcPr>
          <w:p w14:paraId="6A910F9E">
            <w:pPr>
              <w:jc w:val="center"/>
              <w:rPr>
                <w:rFonts w:ascii="Times New Roman"/>
                <w:sz w:val="21"/>
                <w:szCs w:val="21"/>
              </w:rPr>
            </w:pPr>
            <w:r>
              <w:rPr>
                <w:rFonts w:hint="eastAsia" w:ascii="Times New Roman"/>
                <w:sz w:val="21"/>
                <w:szCs w:val="21"/>
              </w:rPr>
              <w:t>348.16</w:t>
            </w:r>
          </w:p>
        </w:tc>
        <w:tc>
          <w:tcPr>
            <w:tcW w:w="929" w:type="dxa"/>
            <w:shd w:val="clear" w:color="auto" w:fill="auto"/>
            <w:vAlign w:val="center"/>
          </w:tcPr>
          <w:p w14:paraId="15ABBBC1">
            <w:pPr>
              <w:jc w:val="center"/>
              <w:rPr>
                <w:rFonts w:ascii="Times New Roman"/>
                <w:sz w:val="21"/>
                <w:szCs w:val="21"/>
              </w:rPr>
            </w:pPr>
            <w:r>
              <w:rPr>
                <w:rFonts w:hint="eastAsia" w:ascii="Times New Roman"/>
                <w:sz w:val="21"/>
                <w:szCs w:val="21"/>
              </w:rPr>
              <w:t>48.356</w:t>
            </w:r>
          </w:p>
        </w:tc>
        <w:tc>
          <w:tcPr>
            <w:tcW w:w="1016" w:type="dxa"/>
            <w:shd w:val="clear" w:color="auto" w:fill="auto"/>
            <w:vAlign w:val="center"/>
          </w:tcPr>
          <w:p w14:paraId="5DAA858D">
            <w:pPr>
              <w:jc w:val="center"/>
              <w:rPr>
                <w:rFonts w:ascii="Times New Roman"/>
                <w:sz w:val="21"/>
                <w:szCs w:val="21"/>
              </w:rPr>
            </w:pPr>
            <w:r>
              <w:rPr>
                <w:rFonts w:hint="eastAsia" w:ascii="Times New Roman"/>
                <w:sz w:val="21"/>
                <w:szCs w:val="21"/>
              </w:rPr>
              <w:t>208.429</w:t>
            </w:r>
          </w:p>
        </w:tc>
        <w:tc>
          <w:tcPr>
            <w:tcW w:w="931" w:type="dxa"/>
            <w:shd w:val="clear" w:color="auto" w:fill="auto"/>
            <w:vAlign w:val="center"/>
          </w:tcPr>
          <w:p w14:paraId="043AF60F">
            <w:pPr>
              <w:jc w:val="center"/>
              <w:rPr>
                <w:rFonts w:ascii="Times New Roman"/>
                <w:sz w:val="21"/>
                <w:szCs w:val="21"/>
              </w:rPr>
            </w:pPr>
            <w:r>
              <w:rPr>
                <w:rFonts w:ascii="Times New Roman"/>
                <w:sz w:val="21"/>
                <w:szCs w:val="21"/>
              </w:rPr>
              <w:t>232000</w:t>
            </w:r>
          </w:p>
        </w:tc>
        <w:tc>
          <w:tcPr>
            <w:tcW w:w="1016" w:type="dxa"/>
            <w:shd w:val="clear" w:color="auto" w:fill="auto"/>
            <w:vAlign w:val="center"/>
          </w:tcPr>
          <w:p w14:paraId="6C4A78E7">
            <w:pPr>
              <w:jc w:val="center"/>
              <w:rPr>
                <w:rFonts w:ascii="Times New Roman"/>
                <w:sz w:val="21"/>
                <w:szCs w:val="21"/>
                <w:lang w:bidi="zh-TW"/>
              </w:rPr>
            </w:pPr>
            <w:r>
              <w:rPr>
                <w:rFonts w:hint="eastAsia" w:ascii="Times New Roman"/>
                <w:sz w:val="21"/>
                <w:szCs w:val="21"/>
              </w:rPr>
              <w:t>2.297</w:t>
            </w:r>
          </w:p>
        </w:tc>
        <w:tc>
          <w:tcPr>
            <w:tcW w:w="928" w:type="dxa"/>
            <w:shd w:val="clear" w:color="auto" w:fill="auto"/>
            <w:vAlign w:val="center"/>
          </w:tcPr>
          <w:p w14:paraId="1FFD5852">
            <w:pPr>
              <w:jc w:val="center"/>
              <w:rPr>
                <w:rFonts w:ascii="Times New Roman"/>
                <w:sz w:val="21"/>
                <w:szCs w:val="21"/>
                <w:lang w:bidi="zh-TW"/>
              </w:rPr>
            </w:pPr>
            <w:r>
              <w:rPr>
                <w:rFonts w:hint="eastAsia" w:ascii="Times New Roman"/>
                <w:sz w:val="21"/>
                <w:szCs w:val="21"/>
              </w:rPr>
              <w:t>9.900</w:t>
            </w:r>
          </w:p>
        </w:tc>
        <w:tc>
          <w:tcPr>
            <w:tcW w:w="796" w:type="dxa"/>
            <w:shd w:val="clear" w:color="auto" w:fill="auto"/>
            <w:vAlign w:val="center"/>
          </w:tcPr>
          <w:p w14:paraId="64DC11BB">
            <w:pPr>
              <w:jc w:val="center"/>
              <w:rPr>
                <w:rFonts w:ascii="Times New Roman"/>
                <w:sz w:val="21"/>
                <w:szCs w:val="21"/>
                <w:lang w:bidi="zh-TW"/>
              </w:rPr>
            </w:pPr>
            <w:r>
              <w:rPr>
                <w:rFonts w:hint="eastAsia" w:ascii="Times New Roman"/>
                <w:sz w:val="21"/>
                <w:szCs w:val="21"/>
              </w:rPr>
              <w:t>16.538</w:t>
            </w:r>
          </w:p>
        </w:tc>
      </w:tr>
      <w:tr w14:paraId="1AC9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1" w:hRule="exact"/>
          <w:jc w:val="center"/>
        </w:trPr>
        <w:tc>
          <w:tcPr>
            <w:tcW w:w="750" w:type="dxa"/>
            <w:vMerge w:val="continue"/>
            <w:shd w:val="clear" w:color="auto" w:fill="auto"/>
            <w:vAlign w:val="center"/>
          </w:tcPr>
          <w:p w14:paraId="23431669">
            <w:pPr>
              <w:jc w:val="center"/>
              <w:rPr>
                <w:rFonts w:ascii="Times New Roman"/>
                <w:sz w:val="21"/>
                <w:szCs w:val="21"/>
              </w:rPr>
            </w:pPr>
          </w:p>
        </w:tc>
        <w:tc>
          <w:tcPr>
            <w:tcW w:w="675" w:type="dxa"/>
            <w:shd w:val="clear" w:color="auto" w:fill="auto"/>
            <w:vAlign w:val="center"/>
          </w:tcPr>
          <w:p w14:paraId="211D9820">
            <w:pPr>
              <w:jc w:val="center"/>
              <w:rPr>
                <w:rFonts w:ascii="Times New Roman"/>
                <w:bCs/>
                <w:sz w:val="21"/>
                <w:szCs w:val="21"/>
              </w:rPr>
            </w:pPr>
            <w:r>
              <w:rPr>
                <w:rFonts w:ascii="Times New Roman"/>
                <w:sz w:val="21"/>
                <w:szCs w:val="21"/>
              </w:rPr>
              <w:t>甲苯与二甲苯合计</w:t>
            </w:r>
          </w:p>
        </w:tc>
        <w:tc>
          <w:tcPr>
            <w:tcW w:w="940" w:type="dxa"/>
            <w:shd w:val="clear" w:color="auto" w:fill="auto"/>
            <w:vAlign w:val="center"/>
          </w:tcPr>
          <w:p w14:paraId="545604EC">
            <w:pPr>
              <w:jc w:val="center"/>
              <w:rPr>
                <w:rFonts w:ascii="Times New Roman"/>
                <w:sz w:val="21"/>
                <w:szCs w:val="21"/>
              </w:rPr>
            </w:pPr>
            <w:r>
              <w:rPr>
                <w:rFonts w:ascii="Times New Roman"/>
                <w:sz w:val="21"/>
                <w:szCs w:val="21"/>
              </w:rPr>
              <w:t>95</w:t>
            </w:r>
          </w:p>
        </w:tc>
        <w:tc>
          <w:tcPr>
            <w:tcW w:w="929" w:type="dxa"/>
            <w:shd w:val="clear" w:color="auto" w:fill="auto"/>
            <w:vAlign w:val="center"/>
          </w:tcPr>
          <w:p w14:paraId="6B78E68C">
            <w:pPr>
              <w:jc w:val="center"/>
              <w:rPr>
                <w:rFonts w:ascii="Times New Roman"/>
                <w:sz w:val="21"/>
                <w:szCs w:val="21"/>
              </w:rPr>
            </w:pPr>
            <w:r>
              <w:rPr>
                <w:rFonts w:hint="eastAsia" w:ascii="Times New Roman"/>
                <w:sz w:val="21"/>
                <w:szCs w:val="21"/>
              </w:rPr>
              <w:t>96.56</w:t>
            </w:r>
          </w:p>
        </w:tc>
        <w:tc>
          <w:tcPr>
            <w:tcW w:w="929" w:type="dxa"/>
            <w:shd w:val="clear" w:color="auto" w:fill="auto"/>
            <w:vAlign w:val="center"/>
          </w:tcPr>
          <w:p w14:paraId="5B4C329B">
            <w:pPr>
              <w:jc w:val="center"/>
              <w:rPr>
                <w:rFonts w:ascii="Times New Roman"/>
                <w:sz w:val="21"/>
                <w:szCs w:val="21"/>
              </w:rPr>
            </w:pPr>
            <w:r>
              <w:rPr>
                <w:rFonts w:hint="eastAsia" w:ascii="Times New Roman"/>
                <w:sz w:val="21"/>
                <w:szCs w:val="21"/>
              </w:rPr>
              <w:t>13.411</w:t>
            </w:r>
          </w:p>
        </w:tc>
        <w:tc>
          <w:tcPr>
            <w:tcW w:w="1016" w:type="dxa"/>
            <w:shd w:val="clear" w:color="auto" w:fill="auto"/>
            <w:vAlign w:val="center"/>
          </w:tcPr>
          <w:p w14:paraId="6B964192">
            <w:pPr>
              <w:jc w:val="center"/>
              <w:rPr>
                <w:rFonts w:ascii="Times New Roman"/>
                <w:sz w:val="21"/>
                <w:szCs w:val="21"/>
              </w:rPr>
            </w:pPr>
            <w:r>
              <w:rPr>
                <w:rFonts w:hint="eastAsia" w:ascii="Times New Roman"/>
                <w:sz w:val="21"/>
                <w:szCs w:val="21"/>
              </w:rPr>
              <w:t>57.807</w:t>
            </w:r>
          </w:p>
        </w:tc>
        <w:tc>
          <w:tcPr>
            <w:tcW w:w="931" w:type="dxa"/>
            <w:shd w:val="clear" w:color="auto" w:fill="auto"/>
            <w:vAlign w:val="center"/>
          </w:tcPr>
          <w:p w14:paraId="4FC3DD0C">
            <w:pPr>
              <w:jc w:val="center"/>
              <w:rPr>
                <w:rFonts w:ascii="Times New Roman"/>
                <w:sz w:val="21"/>
                <w:szCs w:val="21"/>
              </w:rPr>
            </w:pPr>
            <w:r>
              <w:rPr>
                <w:rFonts w:ascii="Times New Roman"/>
                <w:sz w:val="21"/>
                <w:szCs w:val="21"/>
              </w:rPr>
              <w:t>232000</w:t>
            </w:r>
          </w:p>
        </w:tc>
        <w:tc>
          <w:tcPr>
            <w:tcW w:w="1016" w:type="dxa"/>
            <w:shd w:val="clear" w:color="auto" w:fill="auto"/>
            <w:vAlign w:val="center"/>
          </w:tcPr>
          <w:p w14:paraId="6A771361">
            <w:pPr>
              <w:jc w:val="center"/>
              <w:rPr>
                <w:rFonts w:ascii="Times New Roman"/>
                <w:sz w:val="21"/>
                <w:szCs w:val="21"/>
                <w:lang w:bidi="zh-TW"/>
              </w:rPr>
            </w:pPr>
            <w:r>
              <w:rPr>
                <w:rFonts w:hint="eastAsia" w:ascii="Times New Roman"/>
                <w:sz w:val="21"/>
                <w:szCs w:val="21"/>
              </w:rPr>
              <w:t>0.637</w:t>
            </w:r>
          </w:p>
        </w:tc>
        <w:tc>
          <w:tcPr>
            <w:tcW w:w="928" w:type="dxa"/>
            <w:shd w:val="clear" w:color="auto" w:fill="auto"/>
            <w:vAlign w:val="center"/>
          </w:tcPr>
          <w:p w14:paraId="26C8743A">
            <w:pPr>
              <w:jc w:val="center"/>
              <w:rPr>
                <w:rFonts w:ascii="Times New Roman"/>
                <w:sz w:val="21"/>
                <w:szCs w:val="21"/>
                <w:lang w:bidi="zh-TW"/>
              </w:rPr>
            </w:pPr>
            <w:r>
              <w:rPr>
                <w:rFonts w:hint="eastAsia" w:ascii="Times New Roman"/>
                <w:sz w:val="21"/>
                <w:szCs w:val="21"/>
              </w:rPr>
              <w:t>2.746</w:t>
            </w:r>
          </w:p>
        </w:tc>
        <w:tc>
          <w:tcPr>
            <w:tcW w:w="796" w:type="dxa"/>
            <w:shd w:val="clear" w:color="auto" w:fill="auto"/>
            <w:vAlign w:val="center"/>
          </w:tcPr>
          <w:p w14:paraId="2078F16F">
            <w:pPr>
              <w:jc w:val="center"/>
              <w:rPr>
                <w:rFonts w:ascii="Times New Roman"/>
                <w:sz w:val="21"/>
                <w:szCs w:val="21"/>
                <w:lang w:bidi="zh-TW"/>
              </w:rPr>
            </w:pPr>
            <w:r>
              <w:rPr>
                <w:rFonts w:hint="eastAsia" w:ascii="Times New Roman"/>
                <w:sz w:val="21"/>
                <w:szCs w:val="21"/>
              </w:rPr>
              <w:t>4.587</w:t>
            </w:r>
          </w:p>
        </w:tc>
      </w:tr>
    </w:tbl>
    <w:p w14:paraId="05FE52A6">
      <w:pPr>
        <w:spacing w:line="360" w:lineRule="auto"/>
        <w:ind w:firstLine="480" w:firstLineChars="200"/>
        <w:rPr>
          <w:rFonts w:ascii="Times New Roman"/>
          <w:sz w:val="24"/>
          <w:szCs w:val="24"/>
        </w:rPr>
      </w:pPr>
      <w:r>
        <w:rPr>
          <w:rFonts w:hint="eastAsia" w:ascii="Times New Roman"/>
          <w:sz w:val="24"/>
          <w:szCs w:val="24"/>
        </w:rPr>
        <w:t>故项目</w:t>
      </w:r>
      <w:r>
        <w:rPr>
          <w:rFonts w:ascii="Times New Roman"/>
          <w:sz w:val="24"/>
          <w:szCs w:val="24"/>
        </w:rPr>
        <w:t>预处理电泳、调漆、喷漆和烘干工序废气</w:t>
      </w:r>
      <w:r>
        <w:rPr>
          <w:rFonts w:hint="eastAsia" w:ascii="Times New Roman"/>
          <w:sz w:val="24"/>
          <w:szCs w:val="24"/>
        </w:rPr>
        <w:t>排放颗粒物满足</w:t>
      </w:r>
      <w:r>
        <w:rPr>
          <w:rFonts w:ascii="Times New Roman"/>
          <w:sz w:val="24"/>
          <w:szCs w:val="24"/>
        </w:rPr>
        <w:t>《大气污染物综合排放标准》(GB16297-1996)表2染料尘二级标准要求</w:t>
      </w:r>
      <w:r>
        <w:rPr>
          <w:rFonts w:hint="eastAsia" w:ascii="Times New Roman"/>
          <w:sz w:val="24"/>
          <w:szCs w:val="24"/>
        </w:rPr>
        <w:t>，非甲烷总烃、二甲苯满足</w:t>
      </w:r>
      <w:r>
        <w:rPr>
          <w:rFonts w:ascii="Times New Roman"/>
          <w:sz w:val="24"/>
          <w:szCs w:val="24"/>
        </w:rPr>
        <w:t>《工业企业挥发性有机物排放控制标准》（DB13/2322-2016）表1表面涂装业排放限值要求</w:t>
      </w:r>
      <w:r>
        <w:rPr>
          <w:rFonts w:hint="eastAsia" w:ascii="Times New Roman"/>
          <w:sz w:val="24"/>
          <w:szCs w:val="24"/>
        </w:rPr>
        <w:t>。</w:t>
      </w:r>
    </w:p>
    <w:p w14:paraId="3EE1CD67">
      <w:pPr>
        <w:numPr>
          <w:ilvl w:val="0"/>
          <w:numId w:val="15"/>
        </w:numPr>
        <w:spacing w:line="360" w:lineRule="auto"/>
        <w:ind w:firstLine="480" w:firstLineChars="200"/>
        <w:rPr>
          <w:rFonts w:ascii="Times New Roman"/>
          <w:sz w:val="24"/>
          <w:szCs w:val="24"/>
        </w:rPr>
      </w:pPr>
      <w:r>
        <w:rPr>
          <w:rFonts w:ascii="Times New Roman"/>
          <w:sz w:val="24"/>
          <w:szCs w:val="24"/>
        </w:rPr>
        <w:t>喷塑固化废气</w:t>
      </w:r>
    </w:p>
    <w:p w14:paraId="620F0843">
      <w:pPr>
        <w:spacing w:line="360" w:lineRule="auto"/>
        <w:ind w:firstLine="480" w:firstLineChars="200"/>
        <w:rPr>
          <w:rFonts w:ascii="Times New Roman"/>
          <w:sz w:val="24"/>
          <w:szCs w:val="24"/>
        </w:rPr>
      </w:pPr>
      <w:r>
        <w:rPr>
          <w:rFonts w:ascii="Times New Roman"/>
          <w:sz w:val="24"/>
          <w:szCs w:val="24"/>
        </w:rPr>
        <w:t>喷塑后塑粉固化会产生有机废气，根据《排放源统计调查产排污核算方法和系数手册》中《机械行业系数手册》中喷塑后固化工段非甲烷总烃产生量为1.2kg/t原料，年使用塑粉300t/a，则塑粉固化时会产生非甲烷总烃0.360t/a。</w:t>
      </w:r>
    </w:p>
    <w:p w14:paraId="56538D70">
      <w:pPr>
        <w:spacing w:line="360" w:lineRule="auto"/>
        <w:ind w:firstLine="480" w:firstLineChars="200"/>
        <w:rPr>
          <w:rFonts w:ascii="Times New Roman"/>
          <w:sz w:val="24"/>
          <w:szCs w:val="24"/>
        </w:rPr>
      </w:pPr>
      <w:r>
        <w:rPr>
          <w:rFonts w:ascii="Times New Roman"/>
          <w:sz w:val="24"/>
          <w:szCs w:val="24"/>
        </w:rPr>
        <w:t>喷塑固化废气经两级活性炭吸附装置进行处理，处理后经1根</w:t>
      </w:r>
      <w:r>
        <w:rPr>
          <w:rFonts w:hint="eastAsia" w:ascii="Times New Roman"/>
          <w:sz w:val="24"/>
          <w:szCs w:val="24"/>
        </w:rPr>
        <w:t>22</w:t>
      </w:r>
      <w:r>
        <w:rPr>
          <w:rFonts w:ascii="Times New Roman"/>
          <w:sz w:val="24"/>
          <w:szCs w:val="24"/>
        </w:rPr>
        <w:t>m高排气筒（DA0</w:t>
      </w:r>
      <w:r>
        <w:rPr>
          <w:rFonts w:hint="eastAsia" w:ascii="Times New Roman"/>
          <w:sz w:val="24"/>
          <w:szCs w:val="24"/>
        </w:rPr>
        <w:t>10</w:t>
      </w:r>
      <w:r>
        <w:rPr>
          <w:rFonts w:ascii="Times New Roman"/>
          <w:sz w:val="24"/>
          <w:szCs w:val="24"/>
        </w:rPr>
        <w:t>）排放。项目设置</w:t>
      </w:r>
      <w:r>
        <w:rPr>
          <w:rFonts w:hint="eastAsia" w:ascii="Times New Roman"/>
          <w:sz w:val="24"/>
          <w:szCs w:val="24"/>
        </w:rPr>
        <w:t>2</w:t>
      </w:r>
      <w:r>
        <w:rPr>
          <w:rFonts w:ascii="Times New Roman"/>
          <w:sz w:val="24"/>
          <w:szCs w:val="24"/>
        </w:rPr>
        <w:t>座固化炉（25.7m×2.4m×7.2m）</w:t>
      </w:r>
      <w:r>
        <w:rPr>
          <w:rFonts w:hint="eastAsia" w:ascii="Times New Roman"/>
          <w:sz w:val="24"/>
          <w:szCs w:val="24"/>
        </w:rPr>
        <w:t>、2座强冷室</w:t>
      </w:r>
      <w:r>
        <w:rPr>
          <w:rFonts w:ascii="Times New Roman"/>
          <w:sz w:val="24"/>
          <w:szCs w:val="24"/>
        </w:rPr>
        <w:t>（</w:t>
      </w:r>
      <w:r>
        <w:rPr>
          <w:rFonts w:hint="eastAsia" w:ascii="Times New Roman"/>
          <w:sz w:val="24"/>
          <w:szCs w:val="24"/>
        </w:rPr>
        <w:t>17.5</w:t>
      </w:r>
      <w:r>
        <w:rPr>
          <w:rFonts w:ascii="Times New Roman"/>
          <w:sz w:val="24"/>
          <w:szCs w:val="24"/>
        </w:rPr>
        <w:t>m×2.4m×7.2m），废气负压收集处理，则固化工序风量为25.7×2.4×7.2×</w:t>
      </w:r>
      <w:r>
        <w:rPr>
          <w:rFonts w:hint="eastAsia" w:ascii="Times New Roman"/>
          <w:sz w:val="24"/>
          <w:szCs w:val="24"/>
        </w:rPr>
        <w:t>8</w:t>
      </w:r>
      <w:r>
        <w:rPr>
          <w:rFonts w:ascii="Times New Roman"/>
          <w:sz w:val="24"/>
          <w:szCs w:val="24"/>
        </w:rPr>
        <w:t>×</w:t>
      </w:r>
      <w:r>
        <w:rPr>
          <w:rFonts w:hint="eastAsia" w:ascii="Times New Roman"/>
          <w:sz w:val="24"/>
          <w:szCs w:val="24"/>
        </w:rPr>
        <w:t>2+17.5</w:t>
      </w:r>
      <w:r>
        <w:rPr>
          <w:rFonts w:ascii="Times New Roman"/>
          <w:sz w:val="24"/>
          <w:szCs w:val="24"/>
        </w:rPr>
        <w:t>×2.4×7.2×</w:t>
      </w:r>
      <w:r>
        <w:rPr>
          <w:rFonts w:hint="eastAsia" w:ascii="Times New Roman"/>
          <w:sz w:val="24"/>
          <w:szCs w:val="24"/>
        </w:rPr>
        <w:t>8</w:t>
      </w:r>
      <w:r>
        <w:rPr>
          <w:rFonts w:ascii="Times New Roman"/>
          <w:sz w:val="24"/>
          <w:szCs w:val="24"/>
        </w:rPr>
        <w:t>×</w:t>
      </w:r>
      <w:r>
        <w:rPr>
          <w:rFonts w:hint="eastAsia" w:ascii="Times New Roman"/>
          <w:sz w:val="24"/>
          <w:szCs w:val="24"/>
        </w:rPr>
        <w:t>2</w:t>
      </w:r>
      <w:r>
        <w:rPr>
          <w:rFonts w:ascii="Times New Roman"/>
          <w:sz w:val="24"/>
          <w:szCs w:val="24"/>
        </w:rPr>
        <w:t>=</w:t>
      </w:r>
      <w:r>
        <w:rPr>
          <w:rFonts w:hint="eastAsia" w:ascii="Times New Roman"/>
          <w:sz w:val="24"/>
          <w:szCs w:val="24"/>
        </w:rPr>
        <w:t>11943.936</w:t>
      </w:r>
      <w:r>
        <w:rPr>
          <w:rFonts w:ascii="Times New Roman"/>
          <w:sz w:val="24"/>
          <w:szCs w:val="24"/>
        </w:rPr>
        <w:t>m</w:t>
      </w:r>
      <w:r>
        <w:rPr>
          <w:rFonts w:ascii="Times New Roman"/>
          <w:sz w:val="24"/>
          <w:szCs w:val="24"/>
          <w:vertAlign w:val="superscript"/>
        </w:rPr>
        <w:t>3</w:t>
      </w:r>
      <w:r>
        <w:rPr>
          <w:rFonts w:ascii="Times New Roman"/>
          <w:sz w:val="24"/>
          <w:szCs w:val="24"/>
        </w:rPr>
        <w:t>/h，故项目设计风机风量为</w:t>
      </w:r>
      <w:r>
        <w:rPr>
          <w:rFonts w:hint="eastAsia" w:ascii="Times New Roman"/>
          <w:sz w:val="24"/>
          <w:szCs w:val="24"/>
        </w:rPr>
        <w:t>12</w:t>
      </w:r>
      <w:r>
        <w:rPr>
          <w:rFonts w:ascii="Times New Roman"/>
          <w:sz w:val="24"/>
          <w:szCs w:val="24"/>
        </w:rPr>
        <w:t>000m</w:t>
      </w:r>
      <w:r>
        <w:rPr>
          <w:rFonts w:ascii="Times New Roman"/>
          <w:sz w:val="24"/>
          <w:szCs w:val="24"/>
          <w:vertAlign w:val="superscript"/>
        </w:rPr>
        <w:t>3</w:t>
      </w:r>
      <w:r>
        <w:rPr>
          <w:rFonts w:ascii="Times New Roman"/>
          <w:sz w:val="24"/>
          <w:szCs w:val="24"/>
        </w:rPr>
        <w:t>/h，满足废气收集要求。项目</w:t>
      </w:r>
      <w:r>
        <w:rPr>
          <w:rFonts w:hint="eastAsia" w:ascii="Times New Roman"/>
          <w:sz w:val="24"/>
          <w:szCs w:val="24"/>
        </w:rPr>
        <w:t>喷塑</w:t>
      </w:r>
      <w:r>
        <w:rPr>
          <w:rFonts w:ascii="Times New Roman"/>
          <w:sz w:val="24"/>
          <w:szCs w:val="24"/>
        </w:rPr>
        <w:t>固化工序平均每天运行</w:t>
      </w:r>
      <w:r>
        <w:rPr>
          <w:rFonts w:hint="eastAsia" w:ascii="Times New Roman"/>
          <w:sz w:val="24"/>
          <w:szCs w:val="24"/>
        </w:rPr>
        <w:t>24</w:t>
      </w:r>
      <w:r>
        <w:rPr>
          <w:rFonts w:ascii="Times New Roman"/>
          <w:sz w:val="24"/>
          <w:szCs w:val="24"/>
        </w:rPr>
        <w:t>h，全年运行</w:t>
      </w:r>
      <w:r>
        <w:rPr>
          <w:rFonts w:hint="eastAsia" w:ascii="Times New Roman"/>
          <w:sz w:val="24"/>
          <w:szCs w:val="24"/>
        </w:rPr>
        <w:t>72</w:t>
      </w:r>
      <w:r>
        <w:rPr>
          <w:rFonts w:ascii="Times New Roman"/>
          <w:sz w:val="24"/>
          <w:szCs w:val="24"/>
        </w:rPr>
        <w:t>00h。本项目固化废气收集效率按95%计</w:t>
      </w:r>
      <w:r>
        <w:rPr>
          <w:rFonts w:ascii="Times New Roman"/>
        </w:rPr>
        <w:t>。</w:t>
      </w:r>
      <w:r>
        <w:rPr>
          <w:rFonts w:ascii="Times New Roman"/>
          <w:sz w:val="24"/>
          <w:szCs w:val="24"/>
        </w:rPr>
        <w:t>根据《排放源统计调查产排污核算方法和系数手册-机械行业系数手册》结合企业实际情况，本次非甲烷总烃去除效率按70%计</w:t>
      </w:r>
      <w:r>
        <w:rPr>
          <w:rFonts w:hint="eastAsia" w:ascii="Times New Roman"/>
          <w:sz w:val="24"/>
          <w:szCs w:val="24"/>
        </w:rPr>
        <w:t>。</w:t>
      </w:r>
    </w:p>
    <w:p w14:paraId="4E6D202F">
      <w:pPr>
        <w:pStyle w:val="32"/>
        <w:spacing w:after="0" w:line="360" w:lineRule="auto"/>
        <w:ind w:firstLine="480" w:firstLineChars="200"/>
      </w:pPr>
      <w:r>
        <w:rPr>
          <w:rFonts w:ascii="Times New Roman"/>
          <w:kern w:val="0"/>
          <w:sz w:val="24"/>
          <w:szCs w:val="24"/>
        </w:rPr>
        <w:t>则本项目</w:t>
      </w:r>
      <w:r>
        <w:rPr>
          <w:rFonts w:ascii="Times New Roman"/>
          <w:sz w:val="24"/>
          <w:szCs w:val="24"/>
        </w:rPr>
        <w:t>固化工序有组织非甲烷总烃有组织排放量为0.</w:t>
      </w:r>
      <w:r>
        <w:rPr>
          <w:rFonts w:hint="eastAsia" w:ascii="Times New Roman"/>
          <w:sz w:val="24"/>
          <w:szCs w:val="24"/>
        </w:rPr>
        <w:t>103</w:t>
      </w:r>
      <w:r>
        <w:rPr>
          <w:rFonts w:ascii="Times New Roman"/>
          <w:sz w:val="24"/>
          <w:szCs w:val="24"/>
        </w:rPr>
        <w:t>t/a，排放速率为0.01</w:t>
      </w:r>
      <w:r>
        <w:rPr>
          <w:rFonts w:hint="eastAsia" w:ascii="Times New Roman"/>
          <w:sz w:val="24"/>
          <w:szCs w:val="24"/>
        </w:rPr>
        <w:t>4</w:t>
      </w:r>
      <w:r>
        <w:rPr>
          <w:rFonts w:ascii="Times New Roman"/>
          <w:sz w:val="24"/>
          <w:szCs w:val="24"/>
        </w:rPr>
        <w:t>kg/h，排放浓度为1.</w:t>
      </w:r>
      <w:r>
        <w:rPr>
          <w:rFonts w:hint="eastAsia" w:ascii="Times New Roman"/>
          <w:sz w:val="24"/>
          <w:szCs w:val="24"/>
        </w:rPr>
        <w:t>188</w:t>
      </w:r>
      <w:r>
        <w:rPr>
          <w:rFonts w:ascii="Times New Roman"/>
          <w:sz w:val="24"/>
          <w:szCs w:val="24"/>
        </w:rPr>
        <w:t>mg/m</w:t>
      </w:r>
      <w:r>
        <w:rPr>
          <w:rFonts w:ascii="Times New Roman"/>
          <w:sz w:val="24"/>
          <w:szCs w:val="24"/>
          <w:vertAlign w:val="superscript"/>
        </w:rPr>
        <w:t>3</w:t>
      </w:r>
      <w:r>
        <w:rPr>
          <w:rFonts w:ascii="Times New Roman"/>
          <w:sz w:val="24"/>
          <w:szCs w:val="24"/>
        </w:rPr>
        <w:t>，满足《工业企业挥发性有机物排放控制标准》（DB13/2322-2016）表1表面涂装业排放限值要求</w:t>
      </w:r>
      <w:r>
        <w:rPr>
          <w:rFonts w:hint="eastAsia" w:ascii="Times New Roman"/>
          <w:sz w:val="24"/>
          <w:szCs w:val="24"/>
        </w:rPr>
        <w:t>。</w:t>
      </w:r>
    </w:p>
    <w:p w14:paraId="61141996">
      <w:pPr>
        <w:numPr>
          <w:ilvl w:val="0"/>
          <w:numId w:val="15"/>
        </w:numPr>
        <w:spacing w:line="360" w:lineRule="auto"/>
        <w:ind w:firstLine="480" w:firstLineChars="200"/>
        <w:rPr>
          <w:rFonts w:ascii="Times New Roman"/>
          <w:sz w:val="24"/>
          <w:szCs w:val="24"/>
        </w:rPr>
      </w:pPr>
      <w:r>
        <w:rPr>
          <w:rFonts w:ascii="Times New Roman"/>
          <w:sz w:val="24"/>
          <w:szCs w:val="24"/>
        </w:rPr>
        <w:t>电泳、喷涂生产线天然气燃烧废气</w:t>
      </w:r>
    </w:p>
    <w:p w14:paraId="1C17F25A">
      <w:pPr>
        <w:pStyle w:val="1730"/>
        <w:spacing w:line="360" w:lineRule="auto"/>
        <w:ind w:firstLine="480"/>
        <w:rPr>
          <w:rFonts w:ascii="Times New Roman" w:hAnsi="Times New Roman" w:cs="Times New Roman"/>
          <w:szCs w:val="24"/>
        </w:rPr>
      </w:pPr>
      <w:r>
        <w:rPr>
          <w:rFonts w:ascii="Times New Roman" w:hAnsi="Times New Roman" w:cs="Times New Roman"/>
          <w:szCs w:val="24"/>
        </w:rPr>
        <w:t>项目电泳、喷涂生产线烘干固化工序使用天然气燃烧机，燃料采用天然气，消耗量为361.27</w:t>
      </w:r>
      <w:r>
        <w:rPr>
          <w:rFonts w:ascii="Times New Roman" w:hAnsi="Times New Roman" w:cs="Times New Roman"/>
          <w:kern w:val="0"/>
          <w:szCs w:val="24"/>
        </w:rPr>
        <w:t>万m</w:t>
      </w:r>
      <w:r>
        <w:rPr>
          <w:rFonts w:ascii="Times New Roman" w:hAnsi="Times New Roman" w:cs="Times New Roman"/>
          <w:kern w:val="0"/>
          <w:szCs w:val="24"/>
          <w:vertAlign w:val="superscript"/>
        </w:rPr>
        <w:t>3</w:t>
      </w:r>
      <w:r>
        <w:rPr>
          <w:rFonts w:ascii="Times New Roman" w:hAnsi="Times New Roman" w:cs="Times New Roman"/>
          <w:szCs w:val="24"/>
        </w:rPr>
        <w:t>/a。天然气燃烧废气根据《排放源统计调查产排污核算方法和系数手册》中《机械行业系数手册》中天然气工业炉窑产污系数计算，产排污系数详见表3.7-</w:t>
      </w:r>
      <w:r>
        <w:rPr>
          <w:rFonts w:hint="eastAsia" w:ascii="Times New Roman" w:hAnsi="Times New Roman" w:cs="Times New Roman"/>
          <w:szCs w:val="24"/>
        </w:rPr>
        <w:t>11</w:t>
      </w:r>
      <w:r>
        <w:rPr>
          <w:rFonts w:ascii="Times New Roman" w:hAnsi="Times New Roman" w:cs="Times New Roman"/>
          <w:szCs w:val="24"/>
        </w:rPr>
        <w:t>。</w:t>
      </w:r>
    </w:p>
    <w:p w14:paraId="4BAF5722">
      <w:pPr>
        <w:spacing w:line="360" w:lineRule="auto"/>
        <w:jc w:val="center"/>
        <w:rPr>
          <w:rFonts w:ascii="Times New Roman"/>
          <w:b/>
          <w:sz w:val="24"/>
          <w:szCs w:val="24"/>
        </w:rPr>
      </w:pPr>
      <w:r>
        <w:rPr>
          <w:rFonts w:ascii="Times New Roman"/>
          <w:b/>
          <w:sz w:val="24"/>
          <w:szCs w:val="24"/>
        </w:rPr>
        <w:t>表3.7-</w:t>
      </w:r>
      <w:r>
        <w:rPr>
          <w:rFonts w:hint="eastAsia" w:ascii="Times New Roman"/>
          <w:b/>
          <w:sz w:val="24"/>
          <w:szCs w:val="24"/>
        </w:rPr>
        <w:t>11</w:t>
      </w:r>
      <w:r>
        <w:rPr>
          <w:rFonts w:ascii="Times New Roman"/>
          <w:b/>
          <w:sz w:val="24"/>
          <w:szCs w:val="24"/>
        </w:rPr>
        <w:t xml:space="preserve">  工业炉窑产污系数--天然气</w:t>
      </w:r>
    </w:p>
    <w:tbl>
      <w:tblPr>
        <w:tblStyle w:val="85"/>
        <w:tblW w:w="4799" w:type="pct"/>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462"/>
        <w:gridCol w:w="2059"/>
        <w:gridCol w:w="2278"/>
        <w:gridCol w:w="1617"/>
      </w:tblGrid>
      <w:tr w14:paraId="760F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7" w:type="pct"/>
            <w:vAlign w:val="center"/>
          </w:tcPr>
          <w:p w14:paraId="22F7033D">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原料名称</w:t>
            </w:r>
          </w:p>
        </w:tc>
        <w:tc>
          <w:tcPr>
            <w:tcW w:w="840" w:type="pct"/>
            <w:vAlign w:val="center"/>
          </w:tcPr>
          <w:p w14:paraId="4D45E66A">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规模等级</w:t>
            </w:r>
          </w:p>
        </w:tc>
        <w:tc>
          <w:tcPr>
            <w:tcW w:w="1183" w:type="pct"/>
            <w:vAlign w:val="center"/>
          </w:tcPr>
          <w:p w14:paraId="7B96299F">
            <w:pPr>
              <w:widowControl/>
              <w:jc w:val="center"/>
              <w:rPr>
                <w:rFonts w:ascii="Times New Roman"/>
                <w:sz w:val="21"/>
                <w:szCs w:val="21"/>
              </w:rPr>
            </w:pPr>
            <w:r>
              <w:rPr>
                <w:rFonts w:ascii="Times New Roman"/>
                <w:kern w:val="0"/>
                <w:sz w:val="20"/>
                <w:szCs w:val="20"/>
              </w:rPr>
              <w:t>污染物指标</w:t>
            </w:r>
          </w:p>
        </w:tc>
        <w:tc>
          <w:tcPr>
            <w:tcW w:w="1309" w:type="pct"/>
            <w:vAlign w:val="center"/>
          </w:tcPr>
          <w:p w14:paraId="3FCF75AA">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单位</w:t>
            </w:r>
          </w:p>
        </w:tc>
        <w:tc>
          <w:tcPr>
            <w:tcW w:w="929" w:type="pct"/>
            <w:vAlign w:val="center"/>
          </w:tcPr>
          <w:p w14:paraId="3FDEEE7D">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产物系数</w:t>
            </w:r>
          </w:p>
        </w:tc>
      </w:tr>
      <w:tr w14:paraId="76FC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restart"/>
            <w:vAlign w:val="center"/>
          </w:tcPr>
          <w:p w14:paraId="5FD4310C">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天然气</w:t>
            </w:r>
          </w:p>
        </w:tc>
        <w:tc>
          <w:tcPr>
            <w:tcW w:w="840" w:type="pct"/>
            <w:vMerge w:val="restart"/>
            <w:vAlign w:val="center"/>
          </w:tcPr>
          <w:p w14:paraId="6F225BF3">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所有规模</w:t>
            </w:r>
          </w:p>
        </w:tc>
        <w:tc>
          <w:tcPr>
            <w:tcW w:w="1183" w:type="pct"/>
            <w:vAlign w:val="center"/>
          </w:tcPr>
          <w:p w14:paraId="15D86DBE">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工业废气量</w:t>
            </w:r>
          </w:p>
        </w:tc>
        <w:tc>
          <w:tcPr>
            <w:tcW w:w="1309" w:type="pct"/>
            <w:vAlign w:val="center"/>
          </w:tcPr>
          <w:p w14:paraId="19031035">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立方米/立方米原料</w:t>
            </w:r>
          </w:p>
        </w:tc>
        <w:tc>
          <w:tcPr>
            <w:tcW w:w="929" w:type="pct"/>
            <w:vAlign w:val="center"/>
          </w:tcPr>
          <w:p w14:paraId="742754B0">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13.6</w:t>
            </w:r>
          </w:p>
        </w:tc>
      </w:tr>
      <w:tr w14:paraId="287C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vAlign w:val="center"/>
          </w:tcPr>
          <w:p w14:paraId="379A3BDA">
            <w:pPr>
              <w:pStyle w:val="1730"/>
              <w:spacing w:line="240" w:lineRule="auto"/>
              <w:ind w:firstLine="0" w:firstLineChars="0"/>
              <w:jc w:val="center"/>
              <w:rPr>
                <w:rFonts w:ascii="Times New Roman" w:hAnsi="Times New Roman" w:cs="Times New Roman"/>
                <w:sz w:val="21"/>
                <w:szCs w:val="21"/>
              </w:rPr>
            </w:pPr>
          </w:p>
        </w:tc>
        <w:tc>
          <w:tcPr>
            <w:tcW w:w="840" w:type="pct"/>
            <w:vMerge w:val="continue"/>
            <w:vAlign w:val="center"/>
          </w:tcPr>
          <w:p w14:paraId="7015DF25">
            <w:pPr>
              <w:pStyle w:val="1730"/>
              <w:spacing w:line="240" w:lineRule="auto"/>
              <w:ind w:firstLine="0" w:firstLineChars="0"/>
              <w:jc w:val="center"/>
              <w:rPr>
                <w:rFonts w:ascii="Times New Roman" w:hAnsi="Times New Roman" w:cs="Times New Roman"/>
                <w:sz w:val="21"/>
                <w:szCs w:val="21"/>
              </w:rPr>
            </w:pPr>
          </w:p>
        </w:tc>
        <w:tc>
          <w:tcPr>
            <w:tcW w:w="1183" w:type="pct"/>
            <w:vAlign w:val="center"/>
          </w:tcPr>
          <w:p w14:paraId="5D77F561">
            <w:pPr>
              <w:snapToGrid w:val="0"/>
              <w:jc w:val="center"/>
              <w:rPr>
                <w:rFonts w:ascii="Times New Roman"/>
                <w:sz w:val="21"/>
                <w:szCs w:val="21"/>
              </w:rPr>
            </w:pPr>
            <w:r>
              <w:rPr>
                <w:rFonts w:ascii="Times New Roman"/>
                <w:sz w:val="21"/>
                <w:szCs w:val="21"/>
              </w:rPr>
              <w:t>颗粒物</w:t>
            </w:r>
          </w:p>
        </w:tc>
        <w:tc>
          <w:tcPr>
            <w:tcW w:w="1309" w:type="pct"/>
            <w:vAlign w:val="center"/>
          </w:tcPr>
          <w:p w14:paraId="0A9AEF24">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千克/立方米原料</w:t>
            </w:r>
          </w:p>
        </w:tc>
        <w:tc>
          <w:tcPr>
            <w:tcW w:w="929" w:type="pct"/>
            <w:vAlign w:val="center"/>
          </w:tcPr>
          <w:p w14:paraId="5337A587">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0.000286</w:t>
            </w:r>
          </w:p>
        </w:tc>
      </w:tr>
      <w:tr w14:paraId="663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vAlign w:val="center"/>
          </w:tcPr>
          <w:p w14:paraId="6F962E28">
            <w:pPr>
              <w:pStyle w:val="1730"/>
              <w:spacing w:line="240" w:lineRule="auto"/>
              <w:ind w:firstLine="0" w:firstLineChars="0"/>
              <w:jc w:val="center"/>
              <w:rPr>
                <w:rFonts w:ascii="Times New Roman" w:hAnsi="Times New Roman" w:cs="Times New Roman"/>
                <w:sz w:val="21"/>
                <w:szCs w:val="21"/>
              </w:rPr>
            </w:pPr>
          </w:p>
        </w:tc>
        <w:tc>
          <w:tcPr>
            <w:tcW w:w="840" w:type="pct"/>
            <w:vMerge w:val="continue"/>
            <w:vAlign w:val="center"/>
          </w:tcPr>
          <w:p w14:paraId="2D14280D">
            <w:pPr>
              <w:pStyle w:val="1730"/>
              <w:spacing w:line="240" w:lineRule="auto"/>
              <w:ind w:firstLine="0" w:firstLineChars="0"/>
              <w:jc w:val="center"/>
              <w:rPr>
                <w:rFonts w:ascii="Times New Roman" w:hAnsi="Times New Roman" w:cs="Times New Roman"/>
                <w:sz w:val="21"/>
                <w:szCs w:val="21"/>
              </w:rPr>
            </w:pPr>
          </w:p>
        </w:tc>
        <w:tc>
          <w:tcPr>
            <w:tcW w:w="1183" w:type="pct"/>
            <w:vAlign w:val="center"/>
          </w:tcPr>
          <w:p w14:paraId="381B537C">
            <w:pPr>
              <w:snapToGrid w:val="0"/>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309" w:type="pct"/>
            <w:vAlign w:val="center"/>
          </w:tcPr>
          <w:p w14:paraId="6DA12C71">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千克/立方米原料</w:t>
            </w:r>
          </w:p>
        </w:tc>
        <w:tc>
          <w:tcPr>
            <w:tcW w:w="929" w:type="pct"/>
            <w:vAlign w:val="center"/>
          </w:tcPr>
          <w:p w14:paraId="18984FC5">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0.000002S</w:t>
            </w:r>
          </w:p>
        </w:tc>
      </w:tr>
      <w:tr w14:paraId="773E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vAlign w:val="center"/>
          </w:tcPr>
          <w:p w14:paraId="4537AF21">
            <w:pPr>
              <w:pStyle w:val="1730"/>
              <w:spacing w:line="240" w:lineRule="auto"/>
              <w:ind w:firstLine="0" w:firstLineChars="0"/>
              <w:jc w:val="center"/>
              <w:rPr>
                <w:rFonts w:ascii="Times New Roman" w:hAnsi="Times New Roman" w:cs="Times New Roman"/>
                <w:sz w:val="21"/>
                <w:szCs w:val="21"/>
              </w:rPr>
            </w:pPr>
          </w:p>
        </w:tc>
        <w:tc>
          <w:tcPr>
            <w:tcW w:w="840" w:type="pct"/>
            <w:vMerge w:val="continue"/>
            <w:vAlign w:val="center"/>
          </w:tcPr>
          <w:p w14:paraId="53640135">
            <w:pPr>
              <w:pStyle w:val="1730"/>
              <w:spacing w:line="240" w:lineRule="auto"/>
              <w:ind w:firstLine="0" w:firstLineChars="0"/>
              <w:jc w:val="center"/>
              <w:rPr>
                <w:rFonts w:ascii="Times New Roman" w:hAnsi="Times New Roman" w:cs="Times New Roman"/>
                <w:sz w:val="21"/>
                <w:szCs w:val="21"/>
              </w:rPr>
            </w:pPr>
          </w:p>
        </w:tc>
        <w:tc>
          <w:tcPr>
            <w:tcW w:w="1183" w:type="pct"/>
            <w:vAlign w:val="center"/>
          </w:tcPr>
          <w:p w14:paraId="5542ED6C">
            <w:pPr>
              <w:snapToGrid w:val="0"/>
              <w:jc w:val="center"/>
              <w:rPr>
                <w:rFonts w:ascii="Times New Roman"/>
                <w:sz w:val="21"/>
                <w:szCs w:val="21"/>
              </w:rPr>
            </w:pPr>
            <w:r>
              <w:rPr>
                <w:rFonts w:ascii="Times New Roman"/>
                <w:sz w:val="21"/>
                <w:szCs w:val="21"/>
              </w:rPr>
              <w:t>NOx</w:t>
            </w:r>
          </w:p>
        </w:tc>
        <w:tc>
          <w:tcPr>
            <w:tcW w:w="1309" w:type="pct"/>
            <w:vAlign w:val="center"/>
          </w:tcPr>
          <w:p w14:paraId="546DD6B8">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千克/立方米原料</w:t>
            </w:r>
          </w:p>
        </w:tc>
        <w:tc>
          <w:tcPr>
            <w:tcW w:w="929" w:type="pct"/>
            <w:vAlign w:val="center"/>
          </w:tcPr>
          <w:p w14:paraId="31C7A3CB">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0.00187</w:t>
            </w:r>
          </w:p>
        </w:tc>
      </w:tr>
    </w:tbl>
    <w:p w14:paraId="41573AE2">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天然气燃烧废气产生量分别为SO</w:t>
      </w:r>
      <w:r>
        <w:rPr>
          <w:rFonts w:ascii="Times New Roman"/>
          <w:sz w:val="24"/>
          <w:szCs w:val="24"/>
          <w:vertAlign w:val="subscript"/>
        </w:rPr>
        <w:t>2</w:t>
      </w:r>
      <w:r>
        <w:rPr>
          <w:rFonts w:ascii="Times New Roman"/>
          <w:sz w:val="24"/>
          <w:szCs w:val="24"/>
        </w:rPr>
        <w:t>：0.144t/a，NOx：6.756t/a，颗粒物：1.033t/a。</w:t>
      </w:r>
    </w:p>
    <w:p w14:paraId="6C7191BD">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项目燃烧机配备低氮燃烧器；天然气燃烧</w:t>
      </w:r>
      <w:r>
        <w:rPr>
          <w:rFonts w:ascii="Times New Roman"/>
          <w:sz w:val="24"/>
          <w:szCs w:val="24"/>
        </w:rPr>
        <w:t>风量为6</w:t>
      </w:r>
      <w:r>
        <w:rPr>
          <w:rFonts w:hint="eastAsia" w:ascii="Times New Roman"/>
          <w:sz w:val="24"/>
          <w:szCs w:val="24"/>
        </w:rPr>
        <w:t>824</w:t>
      </w:r>
      <w:r>
        <w:rPr>
          <w:rFonts w:ascii="Times New Roman"/>
          <w:sz w:val="24"/>
          <w:szCs w:val="24"/>
        </w:rPr>
        <w:t>m</w:t>
      </w:r>
      <w:r>
        <w:rPr>
          <w:rFonts w:ascii="Times New Roman"/>
          <w:sz w:val="24"/>
          <w:szCs w:val="24"/>
          <w:vertAlign w:val="superscript"/>
        </w:rPr>
        <w:t>3</w:t>
      </w:r>
      <w:r>
        <w:rPr>
          <w:rFonts w:ascii="Times New Roman"/>
          <w:sz w:val="24"/>
          <w:szCs w:val="24"/>
        </w:rPr>
        <w:t>/h。项目电泳、喷涂生产线天然气燃烧工序平均每天运行</w:t>
      </w:r>
      <w:r>
        <w:rPr>
          <w:rFonts w:hint="eastAsia" w:ascii="Times New Roman"/>
          <w:sz w:val="24"/>
          <w:szCs w:val="24"/>
        </w:rPr>
        <w:t>5</w:t>
      </w:r>
      <w:r>
        <w:rPr>
          <w:rFonts w:ascii="Times New Roman"/>
          <w:sz w:val="24"/>
          <w:szCs w:val="24"/>
        </w:rPr>
        <w:t>h，全年运行</w:t>
      </w:r>
      <w:r>
        <w:rPr>
          <w:rFonts w:hint="eastAsia" w:ascii="Times New Roman"/>
          <w:sz w:val="24"/>
          <w:szCs w:val="24"/>
        </w:rPr>
        <w:t>15</w:t>
      </w:r>
      <w:r>
        <w:rPr>
          <w:rFonts w:ascii="Times New Roman"/>
          <w:sz w:val="24"/>
          <w:szCs w:val="24"/>
        </w:rPr>
        <w:t>00h。本项目天然气燃烧废气收集效率按100%计</w:t>
      </w:r>
      <w:r>
        <w:rPr>
          <w:rFonts w:ascii="Times New Roman"/>
        </w:rPr>
        <w:t>。</w:t>
      </w:r>
      <w:r>
        <w:rPr>
          <w:rFonts w:ascii="Times New Roman"/>
          <w:sz w:val="24"/>
          <w:szCs w:val="24"/>
        </w:rPr>
        <w:t>根据《排放源统计调查产排污核算方法和系数手册-机械行业系数手册》结合企业实际情况，本次NOx去除效率按50%计。</w:t>
      </w:r>
    </w:p>
    <w:p w14:paraId="1ABA38EC">
      <w:pPr>
        <w:spacing w:line="360" w:lineRule="auto"/>
        <w:ind w:firstLine="480" w:firstLineChars="200"/>
        <w:rPr>
          <w:rFonts w:ascii="Times New Roman"/>
          <w:sz w:val="24"/>
          <w:szCs w:val="24"/>
        </w:rPr>
      </w:pPr>
      <w:r>
        <w:rPr>
          <w:rFonts w:ascii="Times New Roman"/>
          <w:kern w:val="0"/>
          <w:sz w:val="24"/>
          <w:szCs w:val="24"/>
        </w:rPr>
        <w:t>则本项目</w:t>
      </w:r>
      <w:r>
        <w:rPr>
          <w:rFonts w:ascii="Times New Roman"/>
          <w:sz w:val="24"/>
          <w:szCs w:val="24"/>
        </w:rPr>
        <w:t>天然气燃烧废气颗粒物排放量为</w:t>
      </w:r>
      <w:r>
        <w:rPr>
          <w:rFonts w:hint="eastAsia" w:ascii="Times New Roman"/>
          <w:sz w:val="24"/>
          <w:szCs w:val="24"/>
        </w:rPr>
        <w:t>1.033</w:t>
      </w:r>
      <w:r>
        <w:rPr>
          <w:rFonts w:ascii="Times New Roman"/>
          <w:sz w:val="24"/>
          <w:szCs w:val="24"/>
        </w:rPr>
        <w:t>t/a，排放速率为0.</w:t>
      </w:r>
      <w:r>
        <w:rPr>
          <w:rFonts w:hint="eastAsia" w:ascii="Times New Roman"/>
          <w:sz w:val="24"/>
          <w:szCs w:val="24"/>
        </w:rPr>
        <w:t>143</w:t>
      </w:r>
      <w:r>
        <w:rPr>
          <w:rFonts w:ascii="Times New Roman"/>
          <w:sz w:val="24"/>
          <w:szCs w:val="24"/>
        </w:rPr>
        <w:t>kg/h，排放浓度为</w:t>
      </w:r>
      <w:r>
        <w:rPr>
          <w:rFonts w:hint="eastAsia" w:ascii="Times New Roman"/>
          <w:sz w:val="24"/>
          <w:szCs w:val="24"/>
        </w:rPr>
        <w:t>21.025</w:t>
      </w:r>
      <w:r>
        <w:rPr>
          <w:rFonts w:ascii="Times New Roman"/>
          <w:sz w:val="24"/>
          <w:szCs w:val="24"/>
        </w:rPr>
        <w:t>mg/m</w:t>
      </w:r>
      <w:r>
        <w:rPr>
          <w:rFonts w:ascii="Times New Roman"/>
          <w:sz w:val="24"/>
          <w:szCs w:val="24"/>
          <w:vertAlign w:val="superscript"/>
        </w:rPr>
        <w:t>3</w:t>
      </w:r>
      <w:r>
        <w:rPr>
          <w:rFonts w:ascii="Times New Roman"/>
          <w:sz w:val="24"/>
          <w:szCs w:val="24"/>
        </w:rPr>
        <w:t>，SO</w:t>
      </w:r>
      <w:r>
        <w:rPr>
          <w:rFonts w:ascii="Times New Roman"/>
          <w:sz w:val="24"/>
          <w:szCs w:val="24"/>
          <w:vertAlign w:val="subscript"/>
        </w:rPr>
        <w:t>2</w:t>
      </w:r>
      <w:r>
        <w:rPr>
          <w:rFonts w:ascii="Times New Roman"/>
          <w:sz w:val="24"/>
          <w:szCs w:val="24"/>
        </w:rPr>
        <w:t>有组织排放量为0.</w:t>
      </w:r>
      <w:r>
        <w:rPr>
          <w:rFonts w:hint="eastAsia" w:ascii="Times New Roman"/>
          <w:sz w:val="24"/>
          <w:szCs w:val="24"/>
        </w:rPr>
        <w:t>144</w:t>
      </w:r>
      <w:r>
        <w:rPr>
          <w:rFonts w:ascii="Times New Roman"/>
          <w:sz w:val="24"/>
          <w:szCs w:val="24"/>
        </w:rPr>
        <w:t>t/a，排放速率为0.0</w:t>
      </w:r>
      <w:r>
        <w:rPr>
          <w:rFonts w:hint="eastAsia" w:ascii="Times New Roman"/>
          <w:sz w:val="24"/>
          <w:szCs w:val="24"/>
        </w:rPr>
        <w:t>20</w:t>
      </w:r>
      <w:r>
        <w:rPr>
          <w:rFonts w:ascii="Times New Roman"/>
          <w:sz w:val="24"/>
          <w:szCs w:val="24"/>
        </w:rPr>
        <w:t>kg/h，排放浓度为</w:t>
      </w:r>
      <w:r>
        <w:rPr>
          <w:rFonts w:hint="eastAsia" w:ascii="Times New Roman"/>
          <w:sz w:val="24"/>
          <w:szCs w:val="24"/>
        </w:rPr>
        <w:t>2.931</w:t>
      </w:r>
      <w:r>
        <w:rPr>
          <w:rFonts w:ascii="Times New Roman"/>
          <w:sz w:val="24"/>
          <w:szCs w:val="24"/>
        </w:rPr>
        <w:t>mg/m</w:t>
      </w:r>
      <w:r>
        <w:rPr>
          <w:rFonts w:ascii="Times New Roman"/>
          <w:sz w:val="24"/>
          <w:szCs w:val="24"/>
          <w:vertAlign w:val="superscript"/>
        </w:rPr>
        <w:t>3</w:t>
      </w:r>
      <w:r>
        <w:rPr>
          <w:rFonts w:ascii="Times New Roman"/>
          <w:sz w:val="24"/>
          <w:szCs w:val="24"/>
        </w:rPr>
        <w:t>；NOx有组织排放量为</w:t>
      </w:r>
      <w:r>
        <w:rPr>
          <w:rFonts w:hint="eastAsia" w:ascii="Times New Roman"/>
          <w:sz w:val="24"/>
          <w:szCs w:val="24"/>
        </w:rPr>
        <w:t>3.378</w:t>
      </w:r>
      <w:r>
        <w:rPr>
          <w:rFonts w:ascii="Times New Roman"/>
          <w:sz w:val="24"/>
          <w:szCs w:val="24"/>
        </w:rPr>
        <w:t>t/a，排放速率为0.</w:t>
      </w:r>
      <w:r>
        <w:rPr>
          <w:rFonts w:hint="eastAsia" w:ascii="Times New Roman"/>
          <w:sz w:val="24"/>
          <w:szCs w:val="24"/>
        </w:rPr>
        <w:t>469</w:t>
      </w:r>
      <w:r>
        <w:rPr>
          <w:rFonts w:ascii="Times New Roman"/>
          <w:sz w:val="24"/>
          <w:szCs w:val="24"/>
        </w:rPr>
        <w:t>kg/h，排放浓度为</w:t>
      </w:r>
      <w:r>
        <w:rPr>
          <w:rFonts w:hint="eastAsia" w:ascii="Times New Roman"/>
          <w:sz w:val="24"/>
          <w:szCs w:val="24"/>
        </w:rPr>
        <w:t>68.752</w:t>
      </w:r>
      <w:r>
        <w:rPr>
          <w:rFonts w:ascii="Times New Roman"/>
          <w:sz w:val="24"/>
          <w:szCs w:val="24"/>
        </w:rPr>
        <w:t>mg/m</w:t>
      </w:r>
      <w:r>
        <w:rPr>
          <w:rFonts w:ascii="Times New Roman"/>
          <w:sz w:val="24"/>
          <w:szCs w:val="24"/>
          <w:vertAlign w:val="superscript"/>
        </w:rPr>
        <w:t>3</w:t>
      </w:r>
      <w:r>
        <w:rPr>
          <w:rFonts w:ascii="Times New Roman"/>
          <w:sz w:val="24"/>
          <w:szCs w:val="24"/>
        </w:rPr>
        <w:t>，烟气黑度≤1级，满足</w:t>
      </w:r>
      <w:r>
        <w:rPr>
          <w:rFonts w:ascii="Times New Roman"/>
          <w:kern w:val="0"/>
          <w:sz w:val="24"/>
          <w:szCs w:val="24"/>
        </w:rPr>
        <w:t>《工业炉窑大气污染物排放标准》（DB13/1640-2012）表1、2标准及《工业炉窑大气污染综合治理方案》（环大气〔2019〕56号）标准要求</w:t>
      </w:r>
      <w:r>
        <w:rPr>
          <w:rFonts w:ascii="Times New Roman"/>
          <w:sz w:val="24"/>
          <w:szCs w:val="24"/>
        </w:rPr>
        <w:t>。</w:t>
      </w:r>
    </w:p>
    <w:p w14:paraId="764BD19F">
      <w:pPr>
        <w:spacing w:line="360" w:lineRule="auto"/>
        <w:ind w:firstLine="482" w:firstLineChars="200"/>
        <w:rPr>
          <w:rFonts w:ascii="Times New Roman"/>
          <w:sz w:val="24"/>
          <w:szCs w:val="24"/>
        </w:rPr>
      </w:pPr>
      <w:r>
        <w:rPr>
          <w:rFonts w:ascii="Times New Roman"/>
          <w:b/>
          <w:sz w:val="24"/>
          <w:szCs w:val="24"/>
        </w:rPr>
        <w:t>无组织废气：</w:t>
      </w:r>
      <w:r>
        <w:rPr>
          <w:rFonts w:ascii="Times New Roman"/>
          <w:sz w:val="24"/>
          <w:szCs w:val="24"/>
        </w:rPr>
        <w:t>根据上述分析计算，本项目电泳及喷涂生产线无组织排放废气源强为：颗粒物、非甲烷总烃和二甲苯无组织</w:t>
      </w:r>
      <w:r>
        <w:rPr>
          <w:rFonts w:hint="eastAsia" w:ascii="Times New Roman"/>
          <w:sz w:val="24"/>
          <w:szCs w:val="24"/>
        </w:rPr>
        <w:t>产生</w:t>
      </w:r>
      <w:r>
        <w:rPr>
          <w:rFonts w:ascii="Times New Roman"/>
          <w:sz w:val="24"/>
          <w:szCs w:val="24"/>
        </w:rPr>
        <w:t>速率和</w:t>
      </w:r>
      <w:r>
        <w:rPr>
          <w:rFonts w:hint="eastAsia" w:ascii="Times New Roman"/>
          <w:sz w:val="24"/>
          <w:szCs w:val="24"/>
        </w:rPr>
        <w:t>产生</w:t>
      </w:r>
      <w:r>
        <w:rPr>
          <w:rFonts w:ascii="Times New Roman"/>
          <w:sz w:val="24"/>
          <w:szCs w:val="24"/>
        </w:rPr>
        <w:t>量分别为</w:t>
      </w:r>
      <w:r>
        <w:rPr>
          <w:rFonts w:hint="eastAsia" w:ascii="Times New Roman"/>
          <w:sz w:val="24"/>
          <w:szCs w:val="24"/>
        </w:rPr>
        <w:t>1.374</w:t>
      </w:r>
      <w:r>
        <w:rPr>
          <w:rFonts w:ascii="Times New Roman"/>
          <w:sz w:val="24"/>
          <w:szCs w:val="24"/>
        </w:rPr>
        <w:t>kg/h（</w:t>
      </w:r>
      <w:r>
        <w:rPr>
          <w:rFonts w:hint="eastAsia" w:ascii="Times New Roman"/>
          <w:sz w:val="24"/>
          <w:szCs w:val="24"/>
        </w:rPr>
        <w:t>9.894</w:t>
      </w:r>
      <w:r>
        <w:rPr>
          <w:rFonts w:ascii="Times New Roman"/>
          <w:sz w:val="24"/>
          <w:szCs w:val="24"/>
        </w:rPr>
        <w:t>t/a）、</w:t>
      </w:r>
      <w:r>
        <w:rPr>
          <w:rFonts w:hint="eastAsia" w:ascii="Times New Roman"/>
          <w:sz w:val="24"/>
          <w:szCs w:val="24"/>
        </w:rPr>
        <w:t>2.418</w:t>
      </w:r>
      <w:r>
        <w:rPr>
          <w:rFonts w:ascii="Times New Roman"/>
          <w:sz w:val="24"/>
          <w:szCs w:val="24"/>
        </w:rPr>
        <w:t>kg/h（</w:t>
      </w:r>
      <w:r>
        <w:rPr>
          <w:rFonts w:hint="eastAsia" w:ascii="Times New Roman"/>
          <w:sz w:val="24"/>
          <w:szCs w:val="24"/>
        </w:rPr>
        <w:t>17.408</w:t>
      </w:r>
      <w:r>
        <w:rPr>
          <w:rFonts w:ascii="Times New Roman"/>
          <w:sz w:val="24"/>
          <w:szCs w:val="24"/>
        </w:rPr>
        <w:t>t/a）和</w:t>
      </w:r>
      <w:r>
        <w:rPr>
          <w:rFonts w:hint="eastAsia" w:ascii="Times New Roman"/>
          <w:sz w:val="24"/>
          <w:szCs w:val="24"/>
        </w:rPr>
        <w:t>0.671</w:t>
      </w:r>
      <w:r>
        <w:rPr>
          <w:rFonts w:ascii="Times New Roman"/>
          <w:sz w:val="24"/>
          <w:szCs w:val="24"/>
        </w:rPr>
        <w:t>kg/h（</w:t>
      </w:r>
      <w:r>
        <w:rPr>
          <w:rFonts w:hint="eastAsia" w:ascii="Times New Roman"/>
          <w:sz w:val="24"/>
          <w:szCs w:val="24"/>
        </w:rPr>
        <w:t>4.828</w:t>
      </w:r>
      <w:r>
        <w:rPr>
          <w:rFonts w:ascii="Times New Roman"/>
          <w:sz w:val="24"/>
          <w:szCs w:val="24"/>
        </w:rPr>
        <w:t>t/a）。</w:t>
      </w:r>
    </w:p>
    <w:p w14:paraId="6D3BC75C">
      <w:pPr>
        <w:spacing w:line="360" w:lineRule="auto"/>
        <w:ind w:firstLine="480" w:firstLineChars="200"/>
        <w:rPr>
          <w:rFonts w:ascii="Times New Roman"/>
          <w:sz w:val="24"/>
          <w:szCs w:val="24"/>
        </w:rPr>
      </w:pPr>
      <w:r>
        <w:rPr>
          <w:rFonts w:ascii="Times New Roman"/>
          <w:sz w:val="24"/>
          <w:szCs w:val="24"/>
        </w:rPr>
        <w:t>3、喷塑废气</w:t>
      </w:r>
    </w:p>
    <w:p w14:paraId="73912E5E">
      <w:pPr>
        <w:spacing w:line="360" w:lineRule="auto"/>
        <w:ind w:firstLine="480" w:firstLineChars="200"/>
        <w:rPr>
          <w:rFonts w:ascii="Times New Roman"/>
          <w:sz w:val="24"/>
          <w:szCs w:val="24"/>
        </w:rPr>
      </w:pPr>
      <w:r>
        <w:rPr>
          <w:rFonts w:ascii="Times New Roman"/>
          <w:sz w:val="24"/>
          <w:szCs w:val="24"/>
        </w:rPr>
        <w:t>项目喷塑工序会产生一定量的颗粒物，采用静电喷涂。根据《排放源统计调查产排污核算方法和系数手册》中《机械行业系数手册》中喷塑工段颗粒物产生量为300kg/t原料，年使用塑粉300t/a，则项目颗粒物产生量为90t/a。</w:t>
      </w:r>
    </w:p>
    <w:p w14:paraId="5FF56CF8">
      <w:pPr>
        <w:pStyle w:val="1730"/>
        <w:spacing w:line="360" w:lineRule="auto"/>
        <w:ind w:firstLine="480"/>
        <w:rPr>
          <w:rFonts w:ascii="Times New Roman" w:hAnsi="Times New Roman" w:cs="Times New Roman"/>
          <w:szCs w:val="24"/>
        </w:rPr>
      </w:pPr>
      <w:r>
        <w:rPr>
          <w:rFonts w:ascii="Times New Roman" w:hAnsi="Times New Roman" w:cs="Times New Roman"/>
          <w:szCs w:val="24"/>
        </w:rPr>
        <w:t>项目喷塑废气经自带滤筒除尘器收集处理后，通过</w:t>
      </w:r>
      <w:r>
        <w:rPr>
          <w:rFonts w:hint="eastAsia" w:ascii="Times New Roman" w:hAnsi="Times New Roman" w:cs="Times New Roman"/>
          <w:szCs w:val="24"/>
        </w:rPr>
        <w:t>22</w:t>
      </w:r>
      <w:r>
        <w:rPr>
          <w:rFonts w:ascii="Times New Roman" w:hAnsi="Times New Roman" w:cs="Times New Roman"/>
          <w:szCs w:val="24"/>
        </w:rPr>
        <w:t>m排气筒（DA00</w:t>
      </w:r>
      <w:r>
        <w:rPr>
          <w:rFonts w:hint="eastAsia" w:ascii="Times New Roman" w:hAnsi="Times New Roman" w:cs="Times New Roman"/>
          <w:szCs w:val="24"/>
        </w:rPr>
        <w:t>9</w:t>
      </w:r>
      <w:r>
        <w:rPr>
          <w:rFonts w:ascii="Times New Roman" w:hAnsi="Times New Roman" w:cs="Times New Roman"/>
          <w:szCs w:val="24"/>
        </w:rPr>
        <w:t>）排放。项目</w:t>
      </w:r>
      <w:r>
        <w:rPr>
          <w:rFonts w:ascii="Times New Roman" w:hAnsi="Times New Roman" w:cs="Times New Roman"/>
          <w:kern w:val="0"/>
          <w:szCs w:val="24"/>
        </w:rPr>
        <w:t>设置2座喷粉房（6m×4.6m×5.3m），结合工艺考虑，项目喷塑</w:t>
      </w:r>
      <w:r>
        <w:rPr>
          <w:rFonts w:ascii="Times New Roman" w:hAnsi="Times New Roman" w:cs="Times New Roman"/>
          <w:szCs w:val="24"/>
        </w:rPr>
        <w:t>废气应做到负压收集，换气次数按30次/h计，则喷塑工序风量为6×4.6×5.3×30×2=8776.8m</w:t>
      </w:r>
      <w:r>
        <w:rPr>
          <w:rFonts w:ascii="Times New Roman" w:hAnsi="Times New Roman" w:cs="Times New Roman"/>
          <w:szCs w:val="24"/>
          <w:vertAlign w:val="superscript"/>
        </w:rPr>
        <w:t>3</w:t>
      </w:r>
      <w:r>
        <w:rPr>
          <w:rFonts w:ascii="Times New Roman" w:hAnsi="Times New Roman" w:cs="Times New Roman"/>
          <w:szCs w:val="24"/>
        </w:rPr>
        <w:t>/h</w:t>
      </w:r>
      <w:r>
        <w:rPr>
          <w:rFonts w:ascii="Times New Roman" w:hAnsi="Times New Roman" w:cs="Times New Roman"/>
          <w:bCs/>
          <w:szCs w:val="24"/>
          <w:lang w:val="zh-CN"/>
        </w:rPr>
        <w:t>，</w:t>
      </w:r>
      <w:r>
        <w:rPr>
          <w:rFonts w:ascii="Times New Roman" w:hAnsi="Times New Roman" w:cs="Times New Roman"/>
          <w:szCs w:val="24"/>
        </w:rPr>
        <w:t>项目设计风机风量为15000m</w:t>
      </w:r>
      <w:r>
        <w:rPr>
          <w:rFonts w:ascii="Times New Roman" w:hAnsi="Times New Roman" w:cs="Times New Roman"/>
          <w:szCs w:val="24"/>
          <w:vertAlign w:val="superscript"/>
        </w:rPr>
        <w:t>3</w:t>
      </w:r>
      <w:r>
        <w:rPr>
          <w:rFonts w:ascii="Times New Roman" w:hAnsi="Times New Roman" w:cs="Times New Roman"/>
          <w:szCs w:val="24"/>
        </w:rPr>
        <w:t>/h，可满足废气收集要求。项目喷塑工序平均每天运行</w:t>
      </w:r>
      <w:r>
        <w:rPr>
          <w:rFonts w:hint="eastAsia" w:ascii="Times New Roman" w:hAnsi="Times New Roman" w:cs="Times New Roman"/>
          <w:szCs w:val="24"/>
        </w:rPr>
        <w:t>10</w:t>
      </w:r>
      <w:r>
        <w:rPr>
          <w:rFonts w:ascii="Times New Roman" w:hAnsi="Times New Roman" w:cs="Times New Roman"/>
          <w:szCs w:val="24"/>
        </w:rPr>
        <w:t>h，全年运行</w:t>
      </w:r>
      <w:r>
        <w:rPr>
          <w:rFonts w:hint="eastAsia" w:ascii="Times New Roman" w:hAnsi="Times New Roman" w:cs="Times New Roman"/>
          <w:szCs w:val="24"/>
        </w:rPr>
        <w:t>30</w:t>
      </w:r>
      <w:r>
        <w:rPr>
          <w:rFonts w:ascii="Times New Roman" w:hAnsi="Times New Roman" w:cs="Times New Roman"/>
          <w:szCs w:val="24"/>
        </w:rPr>
        <w:t>00h。废气收集效率按95%计，本次</w:t>
      </w:r>
      <w:r>
        <w:rPr>
          <w:rFonts w:ascii="Times New Roman" w:hAnsi="Times New Roman" w:cs="Times New Roman"/>
          <w:kern w:val="0"/>
          <w:szCs w:val="24"/>
        </w:rPr>
        <w:t>滤筒除尘器</w:t>
      </w:r>
      <w:r>
        <w:rPr>
          <w:rFonts w:ascii="Times New Roman" w:hAnsi="Times New Roman" w:cs="Times New Roman"/>
          <w:szCs w:val="24"/>
        </w:rPr>
        <w:t>处理效率按99%计。</w:t>
      </w:r>
    </w:p>
    <w:p w14:paraId="5863176C">
      <w:pPr>
        <w:pStyle w:val="1730"/>
        <w:spacing w:line="360" w:lineRule="auto"/>
        <w:ind w:firstLine="480"/>
        <w:rPr>
          <w:rFonts w:ascii="Times New Roman" w:hAnsi="Times New Roman" w:cs="Times New Roman"/>
          <w:szCs w:val="24"/>
        </w:rPr>
      </w:pPr>
      <w:r>
        <w:rPr>
          <w:rFonts w:ascii="Times New Roman" w:hAnsi="Times New Roman" w:cs="Times New Roman"/>
          <w:szCs w:val="24"/>
        </w:rPr>
        <w:t>则经处理，颗粒物有组织排放量为0.855t/a，排放速率为0.119kg/h，排放浓度为7.917mg/m</w:t>
      </w:r>
      <w:r>
        <w:rPr>
          <w:rFonts w:ascii="Times New Roman" w:hAnsi="Times New Roman" w:cs="Times New Roman"/>
          <w:szCs w:val="24"/>
          <w:vertAlign w:val="superscript"/>
        </w:rPr>
        <w:t>3</w:t>
      </w:r>
      <w:r>
        <w:rPr>
          <w:rFonts w:ascii="Times New Roman" w:hAnsi="Times New Roman" w:cs="Times New Roman"/>
          <w:szCs w:val="24"/>
        </w:rPr>
        <w:t>，满足《大气污染物综合排放标准》(GB16297-1996)表2染料尘二级标准要求。</w:t>
      </w:r>
    </w:p>
    <w:p w14:paraId="56684130">
      <w:pPr>
        <w:spacing w:line="360" w:lineRule="auto"/>
        <w:ind w:firstLine="480" w:firstLineChars="200"/>
        <w:rPr>
          <w:rFonts w:ascii="Times New Roman"/>
          <w:sz w:val="24"/>
          <w:szCs w:val="24"/>
        </w:rPr>
      </w:pPr>
      <w:r>
        <w:rPr>
          <w:rFonts w:ascii="Times New Roman"/>
          <w:sz w:val="24"/>
          <w:szCs w:val="24"/>
        </w:rPr>
        <w:t>无组织颗粒物</w:t>
      </w:r>
      <w:r>
        <w:rPr>
          <w:rFonts w:hint="eastAsia" w:ascii="Times New Roman"/>
          <w:sz w:val="24"/>
          <w:szCs w:val="24"/>
        </w:rPr>
        <w:t>产生</w:t>
      </w:r>
      <w:r>
        <w:rPr>
          <w:rFonts w:ascii="Times New Roman"/>
          <w:sz w:val="24"/>
          <w:szCs w:val="24"/>
        </w:rPr>
        <w:t>量为4.5t/a，</w:t>
      </w:r>
      <w:r>
        <w:rPr>
          <w:rFonts w:hint="eastAsia" w:ascii="Times New Roman"/>
          <w:sz w:val="24"/>
          <w:szCs w:val="24"/>
        </w:rPr>
        <w:t>产生</w:t>
      </w:r>
      <w:r>
        <w:rPr>
          <w:rFonts w:ascii="Times New Roman"/>
          <w:sz w:val="24"/>
          <w:szCs w:val="24"/>
        </w:rPr>
        <w:t>速率为0.625kg/h。</w:t>
      </w:r>
    </w:p>
    <w:p w14:paraId="55623555">
      <w:pPr>
        <w:spacing w:line="360" w:lineRule="auto"/>
        <w:outlineLvl w:val="3"/>
        <w:rPr>
          <w:rFonts w:ascii="Times New Roman"/>
          <w:b/>
          <w:sz w:val="24"/>
          <w:szCs w:val="24"/>
        </w:rPr>
      </w:pPr>
      <w:r>
        <w:rPr>
          <w:rFonts w:ascii="Times New Roman"/>
          <w:b/>
          <w:sz w:val="24"/>
          <w:szCs w:val="24"/>
        </w:rPr>
        <w:t>3.7.1.5托辊生产线废气</w:t>
      </w:r>
    </w:p>
    <w:p w14:paraId="3D43C65D">
      <w:pPr>
        <w:spacing w:line="360" w:lineRule="auto"/>
        <w:ind w:firstLine="480" w:firstLineChars="200"/>
        <w:rPr>
          <w:rFonts w:ascii="Times New Roman"/>
          <w:sz w:val="24"/>
          <w:szCs w:val="24"/>
        </w:rPr>
      </w:pPr>
      <w:r>
        <w:rPr>
          <w:rFonts w:ascii="Times New Roman"/>
          <w:sz w:val="24"/>
          <w:szCs w:val="24"/>
        </w:rPr>
        <w:t>1、喷塑废气</w:t>
      </w:r>
    </w:p>
    <w:p w14:paraId="2226D485">
      <w:pPr>
        <w:spacing w:line="360" w:lineRule="auto"/>
        <w:ind w:firstLine="480" w:firstLineChars="200"/>
        <w:rPr>
          <w:rFonts w:ascii="Times New Roman"/>
          <w:sz w:val="24"/>
          <w:szCs w:val="24"/>
        </w:rPr>
      </w:pPr>
      <w:r>
        <w:rPr>
          <w:rFonts w:ascii="Times New Roman"/>
          <w:sz w:val="24"/>
          <w:szCs w:val="24"/>
        </w:rPr>
        <w:t>项目托辊生产喷塑工序会产生一定量的颗粒物，采用静电喷涂。根据《排放源统计调查产排污核算方法和系数手册》中《机械行业系数手册》中喷塑工段颗粒物产生量为300kg/t原料，托辊生产年使用塑粉70t/a，则项目颗粒物产生量为21t/a。</w:t>
      </w:r>
    </w:p>
    <w:p w14:paraId="3064F490">
      <w:pPr>
        <w:pStyle w:val="1730"/>
        <w:spacing w:line="360" w:lineRule="auto"/>
        <w:ind w:firstLine="480"/>
        <w:rPr>
          <w:rFonts w:ascii="Times New Roman" w:hAnsi="Times New Roman" w:cs="Times New Roman"/>
          <w:szCs w:val="24"/>
        </w:rPr>
      </w:pPr>
      <w:r>
        <w:rPr>
          <w:rFonts w:ascii="Times New Roman" w:hAnsi="Times New Roman" w:cs="Times New Roman"/>
          <w:szCs w:val="24"/>
        </w:rPr>
        <w:t>项目喷塑废气经自带滤筒除尘器收集处理后，通过15m排气筒（DA010）排放。项目</w:t>
      </w:r>
      <w:r>
        <w:rPr>
          <w:rFonts w:ascii="Times New Roman" w:hAnsi="Times New Roman" w:cs="Times New Roman"/>
          <w:kern w:val="0"/>
          <w:szCs w:val="24"/>
        </w:rPr>
        <w:t>设置1座喷粉室（6m×4.6m×5.3m），结合工艺考虑，项目喷塑</w:t>
      </w:r>
      <w:r>
        <w:rPr>
          <w:rFonts w:ascii="Times New Roman" w:hAnsi="Times New Roman" w:cs="Times New Roman"/>
          <w:szCs w:val="24"/>
        </w:rPr>
        <w:t>废气应做到负压收集，换气次数按30次/h计，则喷塑工序风量为6×4.6×5.3×30=4388.4m</w:t>
      </w:r>
      <w:r>
        <w:rPr>
          <w:rFonts w:ascii="Times New Roman" w:hAnsi="Times New Roman" w:cs="Times New Roman"/>
          <w:szCs w:val="24"/>
          <w:vertAlign w:val="superscript"/>
        </w:rPr>
        <w:t>3</w:t>
      </w:r>
      <w:r>
        <w:rPr>
          <w:rFonts w:ascii="Times New Roman" w:hAnsi="Times New Roman" w:cs="Times New Roman"/>
          <w:szCs w:val="24"/>
        </w:rPr>
        <w:t>/h</w:t>
      </w:r>
      <w:r>
        <w:rPr>
          <w:rFonts w:ascii="Times New Roman" w:hAnsi="Times New Roman" w:cs="Times New Roman"/>
          <w:bCs/>
          <w:szCs w:val="24"/>
          <w:lang w:val="zh-CN"/>
        </w:rPr>
        <w:t>，</w:t>
      </w:r>
      <w:r>
        <w:rPr>
          <w:rFonts w:ascii="Times New Roman" w:hAnsi="Times New Roman" w:cs="Times New Roman"/>
          <w:szCs w:val="24"/>
        </w:rPr>
        <w:t>项目设计风机风量为10000m</w:t>
      </w:r>
      <w:r>
        <w:rPr>
          <w:rFonts w:ascii="Times New Roman" w:hAnsi="Times New Roman" w:cs="Times New Roman"/>
          <w:szCs w:val="24"/>
          <w:vertAlign w:val="superscript"/>
        </w:rPr>
        <w:t>3</w:t>
      </w:r>
      <w:r>
        <w:rPr>
          <w:rFonts w:ascii="Times New Roman" w:hAnsi="Times New Roman" w:cs="Times New Roman"/>
          <w:szCs w:val="24"/>
        </w:rPr>
        <w:t>/h，可满足废气收集要求。项目喷塑工序平均每天运行</w:t>
      </w:r>
      <w:r>
        <w:rPr>
          <w:rFonts w:hint="eastAsia" w:ascii="Times New Roman" w:hAnsi="Times New Roman" w:cs="Times New Roman"/>
          <w:szCs w:val="24"/>
        </w:rPr>
        <w:t>8</w:t>
      </w:r>
      <w:r>
        <w:rPr>
          <w:rFonts w:ascii="Times New Roman" w:hAnsi="Times New Roman" w:cs="Times New Roman"/>
          <w:szCs w:val="24"/>
        </w:rPr>
        <w:t>h，全年运行2400h。废气收集效率按95%计，本次</w:t>
      </w:r>
      <w:r>
        <w:rPr>
          <w:rFonts w:ascii="Times New Roman" w:hAnsi="Times New Roman" w:cs="Times New Roman"/>
          <w:kern w:val="0"/>
          <w:szCs w:val="24"/>
        </w:rPr>
        <w:t>滤筒除尘器</w:t>
      </w:r>
      <w:r>
        <w:rPr>
          <w:rFonts w:ascii="Times New Roman" w:hAnsi="Times New Roman" w:cs="Times New Roman"/>
          <w:szCs w:val="24"/>
        </w:rPr>
        <w:t>处理效率按99%计。</w:t>
      </w:r>
    </w:p>
    <w:p w14:paraId="1C434A70">
      <w:pPr>
        <w:pStyle w:val="1730"/>
        <w:spacing w:line="360" w:lineRule="auto"/>
        <w:ind w:firstLine="480"/>
        <w:rPr>
          <w:rFonts w:ascii="Times New Roman" w:hAnsi="Times New Roman" w:cs="Times New Roman"/>
          <w:szCs w:val="24"/>
        </w:rPr>
      </w:pPr>
      <w:r>
        <w:rPr>
          <w:rFonts w:ascii="Times New Roman" w:hAnsi="Times New Roman" w:cs="Times New Roman"/>
          <w:szCs w:val="24"/>
        </w:rPr>
        <w:t>则经处理，颗粒物有组织排放量为0.</w:t>
      </w:r>
      <w:r>
        <w:rPr>
          <w:rFonts w:hint="eastAsia" w:ascii="Times New Roman" w:hAnsi="Times New Roman" w:cs="Times New Roman"/>
          <w:szCs w:val="24"/>
        </w:rPr>
        <w:t>20</w:t>
      </w:r>
      <w:r>
        <w:rPr>
          <w:rFonts w:ascii="Times New Roman" w:hAnsi="Times New Roman" w:cs="Times New Roman"/>
          <w:szCs w:val="24"/>
        </w:rPr>
        <w:t>0t/a，排放速率为0.0</w:t>
      </w:r>
      <w:r>
        <w:rPr>
          <w:rFonts w:hint="eastAsia" w:ascii="Times New Roman" w:hAnsi="Times New Roman" w:cs="Times New Roman"/>
          <w:szCs w:val="24"/>
        </w:rPr>
        <w:t>83</w:t>
      </w:r>
      <w:r>
        <w:rPr>
          <w:rFonts w:ascii="Times New Roman" w:hAnsi="Times New Roman" w:cs="Times New Roman"/>
          <w:szCs w:val="24"/>
        </w:rPr>
        <w:t>kg/h，排放浓度为</w:t>
      </w:r>
      <w:r>
        <w:rPr>
          <w:rFonts w:hint="eastAsia" w:ascii="Times New Roman" w:hAnsi="Times New Roman" w:cs="Times New Roman"/>
          <w:szCs w:val="24"/>
        </w:rPr>
        <w:t>8.312</w:t>
      </w:r>
      <w:r>
        <w:rPr>
          <w:rFonts w:ascii="Times New Roman" w:hAnsi="Times New Roman" w:cs="Times New Roman"/>
          <w:szCs w:val="24"/>
        </w:rPr>
        <w:t>mg/m</w:t>
      </w:r>
      <w:r>
        <w:rPr>
          <w:rFonts w:ascii="Times New Roman" w:hAnsi="Times New Roman" w:cs="Times New Roman"/>
          <w:szCs w:val="24"/>
          <w:vertAlign w:val="superscript"/>
        </w:rPr>
        <w:t>3</w:t>
      </w:r>
      <w:r>
        <w:rPr>
          <w:rFonts w:ascii="Times New Roman" w:hAnsi="Times New Roman" w:cs="Times New Roman"/>
          <w:szCs w:val="24"/>
        </w:rPr>
        <w:t>，满足《大气污染物综合排放标准》(GB16297-1996)表2染料尘二级标准要求。</w:t>
      </w:r>
    </w:p>
    <w:p w14:paraId="4807D4EE">
      <w:pPr>
        <w:spacing w:line="360" w:lineRule="auto"/>
        <w:ind w:firstLine="480" w:firstLineChars="200"/>
        <w:rPr>
          <w:rFonts w:ascii="Times New Roman"/>
          <w:sz w:val="24"/>
          <w:szCs w:val="24"/>
        </w:rPr>
      </w:pPr>
      <w:r>
        <w:rPr>
          <w:rFonts w:ascii="Times New Roman"/>
          <w:sz w:val="24"/>
          <w:szCs w:val="24"/>
        </w:rPr>
        <w:t>无组织颗粒物排放量为1.05t/a，排放速率为0.438kg/h。</w:t>
      </w:r>
    </w:p>
    <w:p w14:paraId="4051F84D">
      <w:pPr>
        <w:spacing w:line="360" w:lineRule="auto"/>
        <w:ind w:firstLine="480" w:firstLineChars="200"/>
        <w:rPr>
          <w:rFonts w:ascii="Times New Roman"/>
          <w:sz w:val="24"/>
          <w:szCs w:val="24"/>
        </w:rPr>
      </w:pPr>
      <w:r>
        <w:rPr>
          <w:rFonts w:ascii="Times New Roman"/>
          <w:sz w:val="24"/>
          <w:szCs w:val="24"/>
        </w:rPr>
        <w:t>2、喷塑后烘干废气</w:t>
      </w:r>
    </w:p>
    <w:p w14:paraId="7E599C57">
      <w:pPr>
        <w:pStyle w:val="1730"/>
        <w:spacing w:line="360" w:lineRule="auto"/>
        <w:ind w:firstLine="482"/>
        <w:rPr>
          <w:rFonts w:ascii="Times New Roman" w:hAnsi="Times New Roman" w:cs="Times New Roman"/>
          <w:kern w:val="0"/>
          <w:szCs w:val="24"/>
        </w:rPr>
      </w:pPr>
      <w:r>
        <w:rPr>
          <w:rFonts w:ascii="Times New Roman" w:hAnsi="Times New Roman" w:cs="Times New Roman"/>
          <w:b/>
          <w:bCs/>
          <w:szCs w:val="24"/>
        </w:rPr>
        <w:t>喷塑固化工序：</w:t>
      </w:r>
      <w:r>
        <w:rPr>
          <w:rFonts w:ascii="Times New Roman" w:hAnsi="Times New Roman" w:cs="Times New Roman"/>
          <w:szCs w:val="24"/>
        </w:rPr>
        <w:t>喷塑后塑粉固化会产生有机废气，根据《排放源统计调查产排污核算方法和系数手册》中《机械行业系数手册》中喷塑后固化工段非甲烷总烃产生量为1.2kg/t原料，年使用塑粉70t/a，则塑粉固化时会产生非甲烷总烃0.084t/a。</w:t>
      </w:r>
    </w:p>
    <w:p w14:paraId="53DE40FD">
      <w:pPr>
        <w:pStyle w:val="1730"/>
        <w:spacing w:line="360" w:lineRule="auto"/>
        <w:ind w:firstLine="482"/>
        <w:rPr>
          <w:rFonts w:ascii="Times New Roman" w:hAnsi="Times New Roman" w:cs="Times New Roman"/>
          <w:szCs w:val="24"/>
        </w:rPr>
      </w:pPr>
      <w:r>
        <w:rPr>
          <w:rFonts w:ascii="Times New Roman" w:hAnsi="Times New Roman" w:cs="Times New Roman"/>
          <w:b/>
          <w:bCs/>
          <w:szCs w:val="24"/>
        </w:rPr>
        <w:t>天然气燃烧废气：</w:t>
      </w:r>
      <w:r>
        <w:rPr>
          <w:rFonts w:ascii="Times New Roman" w:hAnsi="Times New Roman" w:cs="Times New Roman"/>
          <w:szCs w:val="24"/>
        </w:rPr>
        <w:t>项目固化工序使用天然气燃烧机，燃料采用天然气，消耗量为11.16</w:t>
      </w:r>
      <w:r>
        <w:rPr>
          <w:rFonts w:ascii="Times New Roman" w:hAnsi="Times New Roman" w:cs="Times New Roman"/>
          <w:kern w:val="0"/>
          <w:szCs w:val="24"/>
        </w:rPr>
        <w:t>万m</w:t>
      </w:r>
      <w:r>
        <w:rPr>
          <w:rFonts w:ascii="Times New Roman" w:hAnsi="Times New Roman" w:cs="Times New Roman"/>
          <w:kern w:val="0"/>
          <w:szCs w:val="24"/>
          <w:vertAlign w:val="superscript"/>
        </w:rPr>
        <w:t>3</w:t>
      </w:r>
      <w:r>
        <w:rPr>
          <w:rFonts w:ascii="Times New Roman" w:hAnsi="Times New Roman" w:cs="Times New Roman"/>
          <w:szCs w:val="24"/>
        </w:rPr>
        <w:t>/a。天然气燃烧废气根据《排放源统计调查产排污核算方法和系数手册》中《机械行业系数手册》中天然气工业炉窑产污系数计算，产排污系数详见表3.7-</w:t>
      </w:r>
      <w:r>
        <w:rPr>
          <w:rFonts w:hint="eastAsia" w:ascii="Times New Roman" w:hAnsi="Times New Roman" w:cs="Times New Roman"/>
          <w:szCs w:val="24"/>
        </w:rPr>
        <w:t>10</w:t>
      </w:r>
      <w:r>
        <w:rPr>
          <w:rFonts w:ascii="Times New Roman" w:hAnsi="Times New Roman" w:cs="Times New Roman"/>
          <w:szCs w:val="24"/>
        </w:rPr>
        <w:t>。</w:t>
      </w:r>
    </w:p>
    <w:p w14:paraId="6190B124">
      <w:pPr>
        <w:spacing w:line="360" w:lineRule="auto"/>
        <w:jc w:val="center"/>
        <w:rPr>
          <w:rFonts w:ascii="Times New Roman"/>
          <w:b/>
          <w:sz w:val="24"/>
          <w:szCs w:val="24"/>
        </w:rPr>
      </w:pPr>
      <w:r>
        <w:rPr>
          <w:rFonts w:ascii="Times New Roman"/>
          <w:b/>
          <w:sz w:val="24"/>
          <w:szCs w:val="24"/>
        </w:rPr>
        <w:t>表3.7-</w:t>
      </w:r>
      <w:r>
        <w:rPr>
          <w:rFonts w:hint="eastAsia" w:ascii="Times New Roman"/>
          <w:b/>
          <w:sz w:val="24"/>
          <w:szCs w:val="24"/>
        </w:rPr>
        <w:t>10</w:t>
      </w:r>
      <w:r>
        <w:rPr>
          <w:rFonts w:ascii="Times New Roman"/>
          <w:b/>
          <w:sz w:val="24"/>
          <w:szCs w:val="24"/>
        </w:rPr>
        <w:t xml:space="preserve">  工业炉窑产污系数--天然气</w:t>
      </w:r>
    </w:p>
    <w:tbl>
      <w:tblPr>
        <w:tblStyle w:val="8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61"/>
        <w:gridCol w:w="2059"/>
        <w:gridCol w:w="2278"/>
        <w:gridCol w:w="1812"/>
      </w:tblGrid>
      <w:tr w14:paraId="644F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14:paraId="33AE4E0A">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原料名称</w:t>
            </w:r>
          </w:p>
        </w:tc>
        <w:tc>
          <w:tcPr>
            <w:tcW w:w="806" w:type="pct"/>
            <w:vAlign w:val="center"/>
          </w:tcPr>
          <w:p w14:paraId="5B908582">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规模等级</w:t>
            </w:r>
          </w:p>
        </w:tc>
        <w:tc>
          <w:tcPr>
            <w:tcW w:w="1136" w:type="pct"/>
            <w:vAlign w:val="center"/>
          </w:tcPr>
          <w:p w14:paraId="73C680AF">
            <w:pPr>
              <w:widowControl/>
              <w:jc w:val="center"/>
              <w:rPr>
                <w:rFonts w:ascii="Times New Roman"/>
                <w:sz w:val="21"/>
                <w:szCs w:val="21"/>
              </w:rPr>
            </w:pPr>
            <w:r>
              <w:rPr>
                <w:rFonts w:ascii="Times New Roman"/>
                <w:kern w:val="0"/>
                <w:sz w:val="20"/>
                <w:szCs w:val="20"/>
              </w:rPr>
              <w:t>污染物指标</w:t>
            </w:r>
          </w:p>
        </w:tc>
        <w:tc>
          <w:tcPr>
            <w:tcW w:w="1257" w:type="pct"/>
            <w:vAlign w:val="center"/>
          </w:tcPr>
          <w:p w14:paraId="55A63016">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单位</w:t>
            </w:r>
          </w:p>
        </w:tc>
        <w:tc>
          <w:tcPr>
            <w:tcW w:w="1000" w:type="pct"/>
            <w:vAlign w:val="center"/>
          </w:tcPr>
          <w:p w14:paraId="6A2E74E0">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产物系数</w:t>
            </w:r>
          </w:p>
        </w:tc>
      </w:tr>
      <w:tr w14:paraId="7AAF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Merge w:val="restart"/>
            <w:vAlign w:val="center"/>
          </w:tcPr>
          <w:p w14:paraId="22C0BF90">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天然气</w:t>
            </w:r>
          </w:p>
        </w:tc>
        <w:tc>
          <w:tcPr>
            <w:tcW w:w="806" w:type="pct"/>
            <w:vMerge w:val="restart"/>
            <w:vAlign w:val="center"/>
          </w:tcPr>
          <w:p w14:paraId="60059ED3">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所有规模</w:t>
            </w:r>
          </w:p>
        </w:tc>
        <w:tc>
          <w:tcPr>
            <w:tcW w:w="1136" w:type="pct"/>
            <w:vAlign w:val="center"/>
          </w:tcPr>
          <w:p w14:paraId="12CD7E6D">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工业废气量</w:t>
            </w:r>
          </w:p>
        </w:tc>
        <w:tc>
          <w:tcPr>
            <w:tcW w:w="1257" w:type="pct"/>
            <w:vAlign w:val="center"/>
          </w:tcPr>
          <w:p w14:paraId="59B99450">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立方米/立方米原料</w:t>
            </w:r>
          </w:p>
        </w:tc>
        <w:tc>
          <w:tcPr>
            <w:tcW w:w="1000" w:type="pct"/>
            <w:vAlign w:val="center"/>
          </w:tcPr>
          <w:p w14:paraId="33D8ABE0">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13.6</w:t>
            </w:r>
          </w:p>
        </w:tc>
      </w:tr>
      <w:tr w14:paraId="536A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Merge w:val="continue"/>
            <w:vAlign w:val="center"/>
          </w:tcPr>
          <w:p w14:paraId="43284E85">
            <w:pPr>
              <w:pStyle w:val="1730"/>
              <w:spacing w:line="240" w:lineRule="auto"/>
              <w:ind w:firstLine="0" w:firstLineChars="0"/>
              <w:jc w:val="center"/>
              <w:rPr>
                <w:rFonts w:ascii="Times New Roman" w:hAnsi="Times New Roman" w:cs="Times New Roman"/>
                <w:sz w:val="21"/>
                <w:szCs w:val="21"/>
              </w:rPr>
            </w:pPr>
          </w:p>
        </w:tc>
        <w:tc>
          <w:tcPr>
            <w:tcW w:w="806" w:type="pct"/>
            <w:vMerge w:val="continue"/>
            <w:vAlign w:val="center"/>
          </w:tcPr>
          <w:p w14:paraId="2A4BE3D1">
            <w:pPr>
              <w:pStyle w:val="1730"/>
              <w:spacing w:line="240" w:lineRule="auto"/>
              <w:ind w:firstLine="0" w:firstLineChars="0"/>
              <w:jc w:val="center"/>
              <w:rPr>
                <w:rFonts w:ascii="Times New Roman" w:hAnsi="Times New Roman" w:cs="Times New Roman"/>
                <w:sz w:val="21"/>
                <w:szCs w:val="21"/>
              </w:rPr>
            </w:pPr>
          </w:p>
        </w:tc>
        <w:tc>
          <w:tcPr>
            <w:tcW w:w="1136" w:type="pct"/>
            <w:vAlign w:val="center"/>
          </w:tcPr>
          <w:p w14:paraId="27704ECD">
            <w:pPr>
              <w:snapToGrid w:val="0"/>
              <w:jc w:val="center"/>
              <w:rPr>
                <w:rFonts w:ascii="Times New Roman"/>
                <w:sz w:val="21"/>
                <w:szCs w:val="21"/>
              </w:rPr>
            </w:pPr>
            <w:r>
              <w:rPr>
                <w:rFonts w:ascii="Times New Roman"/>
                <w:sz w:val="21"/>
                <w:szCs w:val="21"/>
              </w:rPr>
              <w:t>颗粒物</w:t>
            </w:r>
          </w:p>
        </w:tc>
        <w:tc>
          <w:tcPr>
            <w:tcW w:w="1257" w:type="pct"/>
            <w:vAlign w:val="center"/>
          </w:tcPr>
          <w:p w14:paraId="0F9E8E58">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千克/立方米原料</w:t>
            </w:r>
          </w:p>
        </w:tc>
        <w:tc>
          <w:tcPr>
            <w:tcW w:w="1000" w:type="pct"/>
            <w:vAlign w:val="center"/>
          </w:tcPr>
          <w:p w14:paraId="1E4A82FF">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0.000286</w:t>
            </w:r>
          </w:p>
        </w:tc>
      </w:tr>
      <w:tr w14:paraId="08E6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Merge w:val="continue"/>
            <w:vAlign w:val="center"/>
          </w:tcPr>
          <w:p w14:paraId="4643D1B9">
            <w:pPr>
              <w:pStyle w:val="1730"/>
              <w:spacing w:line="240" w:lineRule="auto"/>
              <w:ind w:firstLine="0" w:firstLineChars="0"/>
              <w:jc w:val="center"/>
              <w:rPr>
                <w:rFonts w:ascii="Times New Roman" w:hAnsi="Times New Roman" w:cs="Times New Roman"/>
                <w:sz w:val="21"/>
                <w:szCs w:val="21"/>
              </w:rPr>
            </w:pPr>
          </w:p>
        </w:tc>
        <w:tc>
          <w:tcPr>
            <w:tcW w:w="806" w:type="pct"/>
            <w:vMerge w:val="continue"/>
            <w:vAlign w:val="center"/>
          </w:tcPr>
          <w:p w14:paraId="2F3EF8D2">
            <w:pPr>
              <w:pStyle w:val="1730"/>
              <w:spacing w:line="240" w:lineRule="auto"/>
              <w:ind w:firstLine="0" w:firstLineChars="0"/>
              <w:jc w:val="center"/>
              <w:rPr>
                <w:rFonts w:ascii="Times New Roman" w:hAnsi="Times New Roman" w:cs="Times New Roman"/>
                <w:sz w:val="21"/>
                <w:szCs w:val="21"/>
              </w:rPr>
            </w:pPr>
          </w:p>
        </w:tc>
        <w:tc>
          <w:tcPr>
            <w:tcW w:w="1136" w:type="pct"/>
            <w:vAlign w:val="center"/>
          </w:tcPr>
          <w:p w14:paraId="521EE072">
            <w:pPr>
              <w:snapToGrid w:val="0"/>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257" w:type="pct"/>
            <w:vAlign w:val="center"/>
          </w:tcPr>
          <w:p w14:paraId="347C9424">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千克/立方米原料</w:t>
            </w:r>
          </w:p>
        </w:tc>
        <w:tc>
          <w:tcPr>
            <w:tcW w:w="1000" w:type="pct"/>
            <w:vAlign w:val="center"/>
          </w:tcPr>
          <w:p w14:paraId="4511D073">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0.000002S</w:t>
            </w:r>
          </w:p>
        </w:tc>
      </w:tr>
      <w:tr w14:paraId="2DFE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Merge w:val="continue"/>
            <w:vAlign w:val="center"/>
          </w:tcPr>
          <w:p w14:paraId="07788F13">
            <w:pPr>
              <w:pStyle w:val="1730"/>
              <w:spacing w:line="240" w:lineRule="auto"/>
              <w:ind w:firstLine="0" w:firstLineChars="0"/>
              <w:jc w:val="center"/>
              <w:rPr>
                <w:rFonts w:ascii="Times New Roman" w:hAnsi="Times New Roman" w:cs="Times New Roman"/>
                <w:sz w:val="21"/>
                <w:szCs w:val="21"/>
              </w:rPr>
            </w:pPr>
          </w:p>
        </w:tc>
        <w:tc>
          <w:tcPr>
            <w:tcW w:w="806" w:type="pct"/>
            <w:vMerge w:val="continue"/>
            <w:vAlign w:val="center"/>
          </w:tcPr>
          <w:p w14:paraId="134FFEF0">
            <w:pPr>
              <w:pStyle w:val="1730"/>
              <w:spacing w:line="240" w:lineRule="auto"/>
              <w:ind w:firstLine="0" w:firstLineChars="0"/>
              <w:jc w:val="center"/>
              <w:rPr>
                <w:rFonts w:ascii="Times New Roman" w:hAnsi="Times New Roman" w:cs="Times New Roman"/>
                <w:sz w:val="21"/>
                <w:szCs w:val="21"/>
              </w:rPr>
            </w:pPr>
          </w:p>
        </w:tc>
        <w:tc>
          <w:tcPr>
            <w:tcW w:w="1136" w:type="pct"/>
            <w:vAlign w:val="center"/>
          </w:tcPr>
          <w:p w14:paraId="4CF18A8A">
            <w:pPr>
              <w:snapToGrid w:val="0"/>
              <w:jc w:val="center"/>
              <w:rPr>
                <w:rFonts w:ascii="Times New Roman"/>
                <w:sz w:val="21"/>
                <w:szCs w:val="21"/>
              </w:rPr>
            </w:pPr>
            <w:r>
              <w:rPr>
                <w:rFonts w:ascii="Times New Roman"/>
                <w:sz w:val="21"/>
                <w:szCs w:val="21"/>
              </w:rPr>
              <w:t>NOx</w:t>
            </w:r>
          </w:p>
        </w:tc>
        <w:tc>
          <w:tcPr>
            <w:tcW w:w="1257" w:type="pct"/>
            <w:vAlign w:val="center"/>
          </w:tcPr>
          <w:p w14:paraId="5D7061E8">
            <w:pPr>
              <w:pStyle w:val="173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千克/立方米原料</w:t>
            </w:r>
          </w:p>
        </w:tc>
        <w:tc>
          <w:tcPr>
            <w:tcW w:w="1000" w:type="pct"/>
            <w:vAlign w:val="center"/>
          </w:tcPr>
          <w:p w14:paraId="14D31CB3">
            <w:pPr>
              <w:pStyle w:val="173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0.00187</w:t>
            </w:r>
          </w:p>
        </w:tc>
      </w:tr>
    </w:tbl>
    <w:p w14:paraId="68D43ABA">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天然气燃烧废气产生量分别为SO</w:t>
      </w:r>
      <w:r>
        <w:rPr>
          <w:rFonts w:ascii="Times New Roman"/>
          <w:sz w:val="24"/>
          <w:szCs w:val="24"/>
          <w:vertAlign w:val="subscript"/>
        </w:rPr>
        <w:t>2</w:t>
      </w:r>
      <w:r>
        <w:rPr>
          <w:rFonts w:ascii="Times New Roman"/>
          <w:sz w:val="24"/>
          <w:szCs w:val="24"/>
        </w:rPr>
        <w:t>：0.004t/a，NOx：0.208t/a，颗粒物：0.032t/a。</w:t>
      </w:r>
    </w:p>
    <w:p w14:paraId="233EED82">
      <w:pPr>
        <w:autoSpaceDE w:val="0"/>
        <w:autoSpaceDN w:val="0"/>
        <w:adjustRightInd w:val="0"/>
        <w:snapToGrid w:val="0"/>
        <w:spacing w:line="360" w:lineRule="auto"/>
        <w:ind w:firstLine="480" w:firstLineChars="200"/>
        <w:rPr>
          <w:rFonts w:ascii="Times New Roman"/>
          <w:kern w:val="0"/>
          <w:sz w:val="24"/>
          <w:szCs w:val="24"/>
        </w:rPr>
      </w:pPr>
      <w:r>
        <w:rPr>
          <w:rFonts w:ascii="Times New Roman"/>
          <w:sz w:val="24"/>
          <w:szCs w:val="24"/>
        </w:rPr>
        <w:t>综上，项目固化工序产生的颗粒物0.032t/a、非甲烷总烃0.084t/a、SO</w:t>
      </w:r>
      <w:r>
        <w:rPr>
          <w:rFonts w:ascii="Times New Roman"/>
          <w:sz w:val="24"/>
          <w:szCs w:val="24"/>
          <w:vertAlign w:val="subscript"/>
        </w:rPr>
        <w:t>2</w:t>
      </w:r>
      <w:r>
        <w:rPr>
          <w:rFonts w:ascii="Times New Roman"/>
          <w:sz w:val="24"/>
          <w:szCs w:val="24"/>
        </w:rPr>
        <w:t>：0.004t/a、NOx：0.208t/a。</w:t>
      </w:r>
    </w:p>
    <w:p w14:paraId="3BEBEBBD">
      <w:pPr>
        <w:autoSpaceDE w:val="0"/>
        <w:autoSpaceDN w:val="0"/>
        <w:adjustRightInd w:val="0"/>
        <w:snapToGrid w:val="0"/>
        <w:spacing w:line="360" w:lineRule="auto"/>
        <w:ind w:firstLine="480" w:firstLineChars="200"/>
        <w:rPr>
          <w:rFonts w:ascii="Times New Roman"/>
          <w:kern w:val="0"/>
          <w:sz w:val="24"/>
          <w:szCs w:val="24"/>
        </w:rPr>
      </w:pPr>
      <w:r>
        <w:rPr>
          <w:rFonts w:ascii="Times New Roman"/>
          <w:kern w:val="0"/>
          <w:sz w:val="24"/>
          <w:szCs w:val="24"/>
        </w:rPr>
        <w:t>项目燃烧机配备低氮燃烧器；固化、天然气燃烧废气经两级活性炭吸附装置进行处理，处理后经1根</w:t>
      </w:r>
      <w:r>
        <w:rPr>
          <w:rFonts w:hint="eastAsia" w:ascii="Times New Roman"/>
          <w:kern w:val="0"/>
          <w:sz w:val="24"/>
          <w:szCs w:val="24"/>
        </w:rPr>
        <w:t>20</w:t>
      </w:r>
      <w:r>
        <w:rPr>
          <w:rFonts w:ascii="Times New Roman"/>
          <w:kern w:val="0"/>
          <w:sz w:val="24"/>
          <w:szCs w:val="24"/>
        </w:rPr>
        <w:t>m高排气筒（DA010）排放。项目设置1座固化炉（25.7m×2.4m×7.2m），</w:t>
      </w:r>
      <w:r>
        <w:rPr>
          <w:rFonts w:ascii="Times New Roman"/>
          <w:sz w:val="24"/>
          <w:szCs w:val="24"/>
        </w:rPr>
        <w:t>废气负压收集处理，则固化工序风量为25.7×2.4×7.2×15=6661.44m</w:t>
      </w:r>
      <w:r>
        <w:rPr>
          <w:rFonts w:ascii="Times New Roman"/>
          <w:sz w:val="24"/>
          <w:szCs w:val="24"/>
          <w:vertAlign w:val="superscript"/>
        </w:rPr>
        <w:t>3</w:t>
      </w:r>
      <w:r>
        <w:rPr>
          <w:rFonts w:ascii="Times New Roman"/>
          <w:sz w:val="24"/>
          <w:szCs w:val="24"/>
        </w:rPr>
        <w:t>/h，</w:t>
      </w:r>
      <w:r>
        <w:rPr>
          <w:rFonts w:ascii="Times New Roman"/>
          <w:kern w:val="0"/>
          <w:sz w:val="24"/>
          <w:szCs w:val="24"/>
        </w:rPr>
        <w:t>天然气燃烧</w:t>
      </w:r>
      <w:r>
        <w:rPr>
          <w:rFonts w:ascii="Times New Roman"/>
          <w:sz w:val="24"/>
          <w:szCs w:val="24"/>
        </w:rPr>
        <w:t>风量为632.4m</w:t>
      </w:r>
      <w:r>
        <w:rPr>
          <w:rFonts w:ascii="Times New Roman"/>
          <w:sz w:val="24"/>
          <w:szCs w:val="24"/>
          <w:vertAlign w:val="superscript"/>
        </w:rPr>
        <w:t>3</w:t>
      </w:r>
      <w:r>
        <w:rPr>
          <w:rFonts w:ascii="Times New Roman"/>
          <w:sz w:val="24"/>
          <w:szCs w:val="24"/>
        </w:rPr>
        <w:t>/h，故项目设计风机风量为8000m</w:t>
      </w:r>
      <w:r>
        <w:rPr>
          <w:rFonts w:ascii="Times New Roman"/>
          <w:sz w:val="24"/>
          <w:szCs w:val="24"/>
          <w:vertAlign w:val="superscript"/>
        </w:rPr>
        <w:t>3</w:t>
      </w:r>
      <w:r>
        <w:rPr>
          <w:rFonts w:ascii="Times New Roman"/>
          <w:sz w:val="24"/>
          <w:szCs w:val="24"/>
        </w:rPr>
        <w:t>/h，满足废气收集要求。项目托辊生产线固化工序平均每天运行8h，全年运行2400h。本项目固化废气收集效率按95%计，天然气燃烧废气收集效率按100%计</w:t>
      </w:r>
      <w:r>
        <w:rPr>
          <w:rFonts w:ascii="Times New Roman"/>
        </w:rPr>
        <w:t>。</w:t>
      </w:r>
      <w:r>
        <w:rPr>
          <w:rFonts w:ascii="Times New Roman"/>
          <w:sz w:val="24"/>
          <w:szCs w:val="24"/>
        </w:rPr>
        <w:t>根据《排放源统计调查产排污核算方法和系数手册-机械行业系数手册》结合企业实际情况，本次非甲烷总烃去除效率按70%计，NOx去除效率按50%计。</w:t>
      </w:r>
    </w:p>
    <w:p w14:paraId="72C38B51">
      <w:pPr>
        <w:autoSpaceDE w:val="0"/>
        <w:autoSpaceDN w:val="0"/>
        <w:adjustRightInd w:val="0"/>
        <w:snapToGrid w:val="0"/>
        <w:spacing w:line="360" w:lineRule="auto"/>
        <w:ind w:firstLine="480" w:firstLineChars="200"/>
        <w:rPr>
          <w:rFonts w:ascii="Times New Roman"/>
          <w:sz w:val="24"/>
          <w:szCs w:val="24"/>
        </w:rPr>
      </w:pPr>
      <w:r>
        <w:rPr>
          <w:rFonts w:ascii="Times New Roman"/>
          <w:kern w:val="0"/>
          <w:sz w:val="24"/>
          <w:szCs w:val="24"/>
        </w:rPr>
        <w:t>则本项目</w:t>
      </w:r>
      <w:r>
        <w:rPr>
          <w:rFonts w:ascii="Times New Roman"/>
          <w:sz w:val="24"/>
          <w:szCs w:val="24"/>
        </w:rPr>
        <w:t>固化工序有组织非甲烷总烃有组织排放量为0.024t/a，排放速率为0.010kg/h，排放浓度为1.247mg/m</w:t>
      </w:r>
      <w:r>
        <w:rPr>
          <w:rFonts w:ascii="Times New Roman"/>
          <w:sz w:val="24"/>
          <w:szCs w:val="24"/>
          <w:vertAlign w:val="superscript"/>
        </w:rPr>
        <w:t>3</w:t>
      </w:r>
      <w:r>
        <w:rPr>
          <w:rFonts w:ascii="Times New Roman"/>
          <w:sz w:val="24"/>
          <w:szCs w:val="24"/>
        </w:rPr>
        <w:t>，满足《工业企业挥发性有机物排放控制标准》（DB13/2322-2016）表1表面涂装业排放限值要求；颗粒物排放量为0.032t/a，排放速率为0.013kg/h，排放浓度为1.66</w:t>
      </w:r>
      <w:r>
        <w:rPr>
          <w:rFonts w:hint="eastAsia" w:ascii="Times New Roman"/>
          <w:sz w:val="24"/>
          <w:szCs w:val="24"/>
        </w:rPr>
        <w:t>7</w:t>
      </w:r>
      <w:r>
        <w:rPr>
          <w:rFonts w:ascii="Times New Roman"/>
          <w:sz w:val="24"/>
          <w:szCs w:val="24"/>
        </w:rPr>
        <w:t>mg/m</w:t>
      </w:r>
      <w:r>
        <w:rPr>
          <w:rFonts w:ascii="Times New Roman"/>
          <w:sz w:val="24"/>
          <w:szCs w:val="24"/>
          <w:vertAlign w:val="superscript"/>
        </w:rPr>
        <w:t>3</w:t>
      </w:r>
      <w:r>
        <w:rPr>
          <w:rFonts w:ascii="Times New Roman"/>
          <w:sz w:val="24"/>
          <w:szCs w:val="24"/>
        </w:rPr>
        <w:t>，SO</w:t>
      </w:r>
      <w:r>
        <w:rPr>
          <w:rFonts w:ascii="Times New Roman"/>
          <w:sz w:val="24"/>
          <w:szCs w:val="24"/>
          <w:vertAlign w:val="subscript"/>
        </w:rPr>
        <w:t>2</w:t>
      </w:r>
      <w:r>
        <w:rPr>
          <w:rFonts w:ascii="Times New Roman"/>
          <w:sz w:val="24"/>
          <w:szCs w:val="24"/>
        </w:rPr>
        <w:t>有组织排放量为0.004t/a，排放速率为0.002kg/h，排放浓度为0.2</w:t>
      </w:r>
      <w:r>
        <w:rPr>
          <w:rFonts w:hint="eastAsia" w:ascii="Times New Roman"/>
          <w:sz w:val="24"/>
          <w:szCs w:val="24"/>
        </w:rPr>
        <w:t>08</w:t>
      </w:r>
      <w:r>
        <w:rPr>
          <w:rFonts w:ascii="Times New Roman"/>
          <w:sz w:val="24"/>
          <w:szCs w:val="24"/>
        </w:rPr>
        <w:t>mg/m</w:t>
      </w:r>
      <w:r>
        <w:rPr>
          <w:rFonts w:ascii="Times New Roman"/>
          <w:sz w:val="24"/>
          <w:szCs w:val="24"/>
          <w:vertAlign w:val="superscript"/>
        </w:rPr>
        <w:t>3</w:t>
      </w:r>
      <w:r>
        <w:rPr>
          <w:rFonts w:ascii="Times New Roman"/>
          <w:sz w:val="24"/>
          <w:szCs w:val="24"/>
        </w:rPr>
        <w:t>；NOx有组织排放量为0.104t/a，排放速率为0.043kg/h，排放浓度为5.417mg/m</w:t>
      </w:r>
      <w:r>
        <w:rPr>
          <w:rFonts w:ascii="Times New Roman"/>
          <w:sz w:val="24"/>
          <w:szCs w:val="24"/>
          <w:vertAlign w:val="superscript"/>
        </w:rPr>
        <w:t>3</w:t>
      </w:r>
      <w:r>
        <w:rPr>
          <w:rFonts w:ascii="Times New Roman"/>
          <w:sz w:val="24"/>
          <w:szCs w:val="24"/>
        </w:rPr>
        <w:t>，烟气黑度≤1级，满足</w:t>
      </w:r>
      <w:r>
        <w:rPr>
          <w:rFonts w:ascii="Times New Roman"/>
          <w:kern w:val="0"/>
          <w:sz w:val="24"/>
          <w:szCs w:val="24"/>
        </w:rPr>
        <w:t>《工业炉窑大气污染物排放标准》（DB13/1640-2012）表1、2标准及《工业炉窑大气污染综合治理方案》（环大气〔2019〕56号）标准要求</w:t>
      </w:r>
      <w:r>
        <w:rPr>
          <w:rFonts w:ascii="Times New Roman"/>
          <w:sz w:val="24"/>
          <w:szCs w:val="24"/>
        </w:rPr>
        <w:t>。</w:t>
      </w:r>
    </w:p>
    <w:p w14:paraId="060CB514">
      <w:pPr>
        <w:pStyle w:val="32"/>
        <w:spacing w:line="360" w:lineRule="auto"/>
        <w:ind w:left="500" w:leftChars="200"/>
        <w:rPr>
          <w:rFonts w:ascii="Times New Roman"/>
          <w:sz w:val="24"/>
          <w:szCs w:val="24"/>
        </w:rPr>
      </w:pPr>
      <w:r>
        <w:rPr>
          <w:rFonts w:ascii="Times New Roman"/>
          <w:sz w:val="24"/>
          <w:szCs w:val="24"/>
        </w:rPr>
        <w:t>无组织</w:t>
      </w:r>
      <w:r>
        <w:rPr>
          <w:rFonts w:hint="eastAsia" w:ascii="Times New Roman"/>
          <w:sz w:val="24"/>
          <w:szCs w:val="24"/>
        </w:rPr>
        <w:t>非甲烷总烃</w:t>
      </w:r>
      <w:r>
        <w:rPr>
          <w:rFonts w:ascii="Times New Roman"/>
          <w:sz w:val="24"/>
          <w:szCs w:val="24"/>
        </w:rPr>
        <w:t>排放量为1.05t/a，排放速率为0.438kg/h。</w:t>
      </w:r>
    </w:p>
    <w:p w14:paraId="337829A0">
      <w:pPr>
        <w:pStyle w:val="32"/>
        <w:spacing w:after="0" w:line="360" w:lineRule="auto"/>
        <w:rPr>
          <w:rFonts w:ascii="Times New Roman"/>
          <w:sz w:val="24"/>
          <w:szCs w:val="24"/>
        </w:rPr>
      </w:pPr>
      <w:r>
        <w:rPr>
          <w:rFonts w:hint="eastAsia" w:ascii="Times New Roman"/>
          <w:sz w:val="24"/>
          <w:szCs w:val="24"/>
        </w:rPr>
        <w:t>3、焊接废气</w:t>
      </w:r>
    </w:p>
    <w:p w14:paraId="1C1A190A">
      <w:pPr>
        <w:spacing w:line="360" w:lineRule="auto"/>
        <w:ind w:firstLine="480" w:firstLineChars="200"/>
        <w:rPr>
          <w:rFonts w:ascii="Times New Roman"/>
          <w:spacing w:val="9"/>
          <w:sz w:val="24"/>
          <w:szCs w:val="24"/>
        </w:rPr>
      </w:pPr>
      <w:r>
        <w:rPr>
          <w:rFonts w:ascii="Times New Roman"/>
          <w:sz w:val="24"/>
          <w:szCs w:val="24"/>
        </w:rPr>
        <w:t>项目</w:t>
      </w:r>
      <w:r>
        <w:rPr>
          <w:rFonts w:hint="eastAsia" w:ascii="Times New Roman"/>
          <w:sz w:val="24"/>
          <w:szCs w:val="24"/>
        </w:rPr>
        <w:t>托辊生产</w:t>
      </w:r>
      <w:r>
        <w:rPr>
          <w:rFonts w:ascii="Times New Roman"/>
          <w:sz w:val="24"/>
          <w:szCs w:val="24"/>
        </w:rPr>
        <w:t>焊接工序运行时间为2400h/a，焊丝用量为3</w:t>
      </w:r>
      <w:r>
        <w:rPr>
          <w:rFonts w:hint="eastAsia" w:ascii="Times New Roman"/>
          <w:sz w:val="24"/>
          <w:szCs w:val="24"/>
        </w:rPr>
        <w:t>5</w:t>
      </w:r>
      <w:r>
        <w:rPr>
          <w:rFonts w:ascii="Times New Roman"/>
          <w:sz w:val="24"/>
          <w:szCs w:val="24"/>
        </w:rPr>
        <w:t>t/a，</w:t>
      </w:r>
      <w:r>
        <w:rPr>
          <w:rFonts w:ascii="Times New Roman"/>
          <w:bCs/>
          <w:sz w:val="24"/>
          <w:szCs w:val="24"/>
        </w:rPr>
        <w:t>焊接环节的产排污系数核算颗粒物的产生源强为9.19千克/吨-原料，</w:t>
      </w:r>
      <w:r>
        <w:rPr>
          <w:rFonts w:ascii="Times New Roman"/>
          <w:sz w:val="24"/>
          <w:szCs w:val="24"/>
        </w:rPr>
        <w:t>故焊接废气产生量为0.</w:t>
      </w:r>
      <w:r>
        <w:rPr>
          <w:rFonts w:hint="eastAsia" w:ascii="Times New Roman"/>
          <w:sz w:val="24"/>
          <w:szCs w:val="24"/>
        </w:rPr>
        <w:t>322</w:t>
      </w:r>
      <w:r>
        <w:rPr>
          <w:rFonts w:ascii="Times New Roman"/>
          <w:sz w:val="24"/>
          <w:szCs w:val="24"/>
        </w:rPr>
        <w:t>t/a，产生速率为0.1</w:t>
      </w:r>
      <w:r>
        <w:rPr>
          <w:rFonts w:hint="eastAsia" w:ascii="Times New Roman"/>
          <w:sz w:val="24"/>
          <w:szCs w:val="24"/>
        </w:rPr>
        <w:t>34</w:t>
      </w:r>
      <w:r>
        <w:rPr>
          <w:rFonts w:ascii="Times New Roman"/>
          <w:sz w:val="24"/>
          <w:szCs w:val="24"/>
        </w:rPr>
        <w:t>kg/h。</w:t>
      </w:r>
    </w:p>
    <w:p w14:paraId="54253F2E">
      <w:pPr>
        <w:pStyle w:val="32"/>
        <w:spacing w:after="0" w:line="360" w:lineRule="auto"/>
        <w:ind w:firstLine="480" w:firstLineChars="200"/>
        <w:rPr>
          <w:rFonts w:ascii="Times New Roman"/>
          <w:sz w:val="24"/>
          <w:szCs w:val="24"/>
        </w:rPr>
      </w:pPr>
      <w:r>
        <w:rPr>
          <w:rFonts w:hint="eastAsia" w:ascii="Times New Roman"/>
          <w:sz w:val="24"/>
          <w:szCs w:val="24"/>
        </w:rPr>
        <w:t>托辊生产</w:t>
      </w:r>
      <w:r>
        <w:rPr>
          <w:rFonts w:ascii="Times New Roman"/>
          <w:spacing w:val="9"/>
          <w:sz w:val="24"/>
          <w:szCs w:val="24"/>
        </w:rPr>
        <w:t>焊接工序废气经集气罩收集后，</w:t>
      </w:r>
      <w:r>
        <w:rPr>
          <w:rFonts w:hint="eastAsia" w:ascii="Times New Roman"/>
          <w:spacing w:val="9"/>
          <w:sz w:val="24"/>
          <w:szCs w:val="24"/>
        </w:rPr>
        <w:t>引入</w:t>
      </w:r>
      <w:r>
        <w:rPr>
          <w:rFonts w:ascii="Times New Roman"/>
          <w:spacing w:val="9"/>
          <w:sz w:val="24"/>
          <w:szCs w:val="24"/>
        </w:rPr>
        <w:t>布袋除尘器处理后无组织外排。</w:t>
      </w:r>
      <w:r>
        <w:rPr>
          <w:rFonts w:ascii="Times New Roman"/>
          <w:sz w:val="24"/>
          <w:szCs w:val="24"/>
        </w:rPr>
        <w:t>项目集气罩收集效率90%，布袋除尘器处理除尘效率为99%，则</w:t>
      </w:r>
      <w:r>
        <w:rPr>
          <w:rFonts w:hint="eastAsia" w:ascii="Times New Roman"/>
          <w:sz w:val="24"/>
          <w:szCs w:val="24"/>
        </w:rPr>
        <w:t>托辊生产</w:t>
      </w:r>
      <w:r>
        <w:rPr>
          <w:rFonts w:ascii="Times New Roman"/>
          <w:sz w:val="24"/>
          <w:szCs w:val="24"/>
        </w:rPr>
        <w:t>焊接废气排放量为0.00</w:t>
      </w:r>
      <w:r>
        <w:rPr>
          <w:rFonts w:hint="eastAsia" w:ascii="Times New Roman"/>
          <w:sz w:val="24"/>
          <w:szCs w:val="24"/>
        </w:rPr>
        <w:t>3</w:t>
      </w:r>
      <w:r>
        <w:rPr>
          <w:rFonts w:ascii="Times New Roman"/>
          <w:sz w:val="24"/>
          <w:szCs w:val="24"/>
        </w:rPr>
        <w:t>t/a。</w:t>
      </w:r>
    </w:p>
    <w:p w14:paraId="66318ABC">
      <w:pPr>
        <w:spacing w:line="360" w:lineRule="auto"/>
        <w:outlineLvl w:val="3"/>
        <w:rPr>
          <w:rFonts w:ascii="Times New Roman"/>
          <w:b/>
          <w:sz w:val="24"/>
          <w:szCs w:val="24"/>
        </w:rPr>
      </w:pPr>
      <w:r>
        <w:rPr>
          <w:rFonts w:ascii="Times New Roman"/>
          <w:b/>
          <w:sz w:val="24"/>
          <w:szCs w:val="24"/>
        </w:rPr>
        <w:t>3.7.1.6食堂油烟</w:t>
      </w:r>
    </w:p>
    <w:p w14:paraId="33C066D4">
      <w:pPr>
        <w:tabs>
          <w:tab w:val="left" w:pos="296"/>
        </w:tabs>
        <w:spacing w:line="360" w:lineRule="auto"/>
        <w:ind w:firstLine="480" w:firstLineChars="200"/>
        <w:rPr>
          <w:rFonts w:ascii="Times New Roman"/>
          <w:sz w:val="24"/>
          <w:szCs w:val="24"/>
        </w:rPr>
      </w:pPr>
      <w:r>
        <w:rPr>
          <w:rFonts w:ascii="Times New Roman"/>
          <w:sz w:val="24"/>
          <w:szCs w:val="24"/>
        </w:rPr>
        <w:t>项目设一个食堂供员工就餐，食堂可容纳</w:t>
      </w:r>
      <w:r>
        <w:rPr>
          <w:rFonts w:hint="eastAsia" w:ascii="Times New Roman"/>
          <w:sz w:val="24"/>
          <w:szCs w:val="24"/>
        </w:rPr>
        <w:t>600</w:t>
      </w:r>
      <w:r>
        <w:rPr>
          <w:rFonts w:ascii="Times New Roman"/>
          <w:sz w:val="24"/>
          <w:szCs w:val="24"/>
        </w:rPr>
        <w:t>人就餐，根据《餐饮业大气污染物排放标准》</w:t>
      </w:r>
      <w:r>
        <w:rPr>
          <w:rFonts w:hint="eastAsia" w:ascii="Times New Roman"/>
          <w:sz w:val="24"/>
          <w:szCs w:val="24"/>
        </w:rPr>
        <w:t>（</w:t>
      </w:r>
      <w:r>
        <w:rPr>
          <w:rFonts w:ascii="Times New Roman"/>
          <w:sz w:val="24"/>
          <w:szCs w:val="24"/>
        </w:rPr>
        <w:t>DB13/5808-2023</w:t>
      </w:r>
      <w:r>
        <w:rPr>
          <w:rFonts w:hint="eastAsia" w:ascii="Times New Roman"/>
          <w:sz w:val="24"/>
          <w:szCs w:val="24"/>
        </w:rPr>
        <w:t>）</w:t>
      </w:r>
      <w:r>
        <w:rPr>
          <w:rFonts w:ascii="Times New Roman"/>
          <w:sz w:val="24"/>
          <w:szCs w:val="24"/>
        </w:rPr>
        <w:t>中的划分要求，本项目就餐座位数为大于250座的餐饮服务单位，折合标准灶头</w:t>
      </w:r>
      <w:r>
        <w:rPr>
          <w:rFonts w:hint="eastAsia" w:ascii="Times New Roman"/>
          <w:sz w:val="24"/>
          <w:szCs w:val="24"/>
        </w:rPr>
        <w:t>1</w:t>
      </w:r>
      <w:r>
        <w:rPr>
          <w:rFonts w:ascii="Times New Roman"/>
          <w:sz w:val="24"/>
          <w:szCs w:val="24"/>
        </w:rPr>
        <w:t>5个，属于</w:t>
      </w:r>
      <w:r>
        <w:rPr>
          <w:rFonts w:hint="eastAsia" w:ascii="Times New Roman"/>
          <w:sz w:val="24"/>
          <w:szCs w:val="24"/>
        </w:rPr>
        <w:t>大</w:t>
      </w:r>
      <w:r>
        <w:rPr>
          <w:rFonts w:ascii="Times New Roman"/>
          <w:sz w:val="24"/>
          <w:szCs w:val="24"/>
        </w:rPr>
        <w:t>型食堂。本项目食堂使用清洁能源</w:t>
      </w:r>
      <w:r>
        <w:rPr>
          <w:rFonts w:hint="eastAsia" w:ascii="Times New Roman"/>
          <w:sz w:val="24"/>
          <w:szCs w:val="24"/>
        </w:rPr>
        <w:t>天然气</w:t>
      </w:r>
      <w:r>
        <w:rPr>
          <w:rFonts w:ascii="Times New Roman"/>
          <w:sz w:val="24"/>
          <w:szCs w:val="24"/>
        </w:rPr>
        <w:t>作为燃料。</w:t>
      </w:r>
    </w:p>
    <w:p w14:paraId="63FF64A8">
      <w:pPr>
        <w:tabs>
          <w:tab w:val="left" w:pos="296"/>
        </w:tabs>
        <w:spacing w:line="360" w:lineRule="auto"/>
        <w:ind w:firstLine="480" w:firstLineChars="200"/>
        <w:rPr>
          <w:rFonts w:ascii="Times New Roman"/>
          <w:sz w:val="24"/>
          <w:szCs w:val="24"/>
        </w:rPr>
      </w:pPr>
      <w:r>
        <w:rPr>
          <w:rFonts w:ascii="Times New Roman"/>
          <w:sz w:val="24"/>
          <w:szCs w:val="24"/>
        </w:rPr>
        <w:t>食堂</w:t>
      </w:r>
      <w:r>
        <w:rPr>
          <w:rFonts w:hint="eastAsia" w:ascii="Times New Roman"/>
          <w:sz w:val="24"/>
          <w:szCs w:val="24"/>
        </w:rPr>
        <w:t>油烟废气</w:t>
      </w:r>
      <w:r>
        <w:rPr>
          <w:rFonts w:ascii="Times New Roman"/>
          <w:sz w:val="24"/>
          <w:szCs w:val="24"/>
        </w:rPr>
        <w:t>排放的废气中主要含油烟、非甲烷总烃等污染物，油烟产生浓度参考《饮食业环境保护技术规范编制说明》中</w:t>
      </w:r>
      <w:r>
        <w:rPr>
          <w:rFonts w:hint="eastAsia" w:ascii="Times New Roman"/>
          <w:sz w:val="24"/>
          <w:szCs w:val="24"/>
        </w:rPr>
        <w:t>“</w:t>
      </w:r>
      <w:r>
        <w:rPr>
          <w:rFonts w:ascii="Times New Roman"/>
          <w:sz w:val="24"/>
          <w:szCs w:val="24"/>
        </w:rPr>
        <w:t>6.1.2 采样及分析方法</w:t>
      </w:r>
      <w:r>
        <w:rPr>
          <w:rFonts w:hint="eastAsia" w:ascii="Times New Roman"/>
          <w:sz w:val="24"/>
          <w:szCs w:val="24"/>
        </w:rPr>
        <w:t>”</w:t>
      </w:r>
      <w:r>
        <w:rPr>
          <w:rFonts w:ascii="Times New Roman"/>
          <w:sz w:val="24"/>
          <w:szCs w:val="24"/>
        </w:rPr>
        <w:t>中的相关规定说明</w:t>
      </w:r>
      <w:r>
        <w:rPr>
          <w:rFonts w:hint="eastAsia" w:ascii="Times New Roman"/>
          <w:sz w:val="24"/>
          <w:szCs w:val="24"/>
        </w:rPr>
        <w:t>，</w:t>
      </w:r>
      <w:r>
        <w:rPr>
          <w:rFonts w:ascii="Times New Roman"/>
          <w:sz w:val="24"/>
          <w:szCs w:val="24"/>
        </w:rPr>
        <w:t>餐饮企业一般油烟浓度保持在10mg/m</w:t>
      </w:r>
      <w:r>
        <w:rPr>
          <w:rFonts w:hint="eastAsia" w:ascii="Times New Roman"/>
          <w:sz w:val="24"/>
          <w:szCs w:val="24"/>
          <w:vertAlign w:val="superscript"/>
        </w:rPr>
        <w:t>3</w:t>
      </w:r>
      <w:r>
        <w:rPr>
          <w:rFonts w:hint="eastAsia" w:ascii="Times New Roman"/>
          <w:sz w:val="24"/>
          <w:szCs w:val="24"/>
        </w:rPr>
        <w:t>±</w:t>
      </w:r>
      <w:r>
        <w:rPr>
          <w:rFonts w:ascii="Times New Roman"/>
          <w:sz w:val="24"/>
          <w:szCs w:val="24"/>
        </w:rPr>
        <w:t>0.5mg/m</w:t>
      </w:r>
      <w:r>
        <w:rPr>
          <w:rFonts w:hint="eastAsia" w:ascii="Times New Roman"/>
          <w:sz w:val="24"/>
          <w:szCs w:val="24"/>
          <w:vertAlign w:val="superscript"/>
        </w:rPr>
        <w:t>3</w:t>
      </w:r>
      <w:r>
        <w:rPr>
          <w:rFonts w:ascii="Times New Roman"/>
          <w:sz w:val="24"/>
          <w:szCs w:val="24"/>
        </w:rPr>
        <w:t>之问，本次评价取10.5mg/m</w:t>
      </w:r>
      <w:r>
        <w:rPr>
          <w:rFonts w:hint="eastAsia" w:ascii="Times New Roman"/>
          <w:sz w:val="24"/>
          <w:szCs w:val="24"/>
          <w:vertAlign w:val="superscript"/>
        </w:rPr>
        <w:t>3</w:t>
      </w:r>
      <w:r>
        <w:rPr>
          <w:rFonts w:hint="eastAsia" w:ascii="Times New Roman"/>
          <w:sz w:val="24"/>
          <w:szCs w:val="24"/>
        </w:rPr>
        <w:t>；</w:t>
      </w:r>
      <w:r>
        <w:rPr>
          <w:rFonts w:ascii="Times New Roman"/>
          <w:sz w:val="24"/>
          <w:szCs w:val="24"/>
        </w:rPr>
        <w:t>根据北京市生态环境局《&lt;餐饮业大气污染物排放标准&gt;第三次征求意见稿编制说明》通过大量的现场采样测试得到</w:t>
      </w:r>
      <w:r>
        <w:rPr>
          <w:rFonts w:hint="eastAsia" w:ascii="Times New Roman"/>
          <w:sz w:val="24"/>
          <w:szCs w:val="24"/>
        </w:rPr>
        <w:t>，</w:t>
      </w:r>
      <w:r>
        <w:rPr>
          <w:rFonts w:ascii="Times New Roman"/>
          <w:sz w:val="24"/>
          <w:szCs w:val="24"/>
        </w:rPr>
        <w:t>非甲烷总烃初始排放浓度范围20-40mg/m</w:t>
      </w:r>
      <w:r>
        <w:rPr>
          <w:rFonts w:hint="eastAsia" w:ascii="Times New Roman"/>
          <w:sz w:val="24"/>
          <w:szCs w:val="24"/>
          <w:vertAlign w:val="superscript"/>
        </w:rPr>
        <w:t>3</w:t>
      </w:r>
      <w:r>
        <w:rPr>
          <w:rFonts w:hint="eastAsia" w:ascii="Times New Roman"/>
          <w:sz w:val="24"/>
          <w:szCs w:val="24"/>
        </w:rPr>
        <w:t>，</w:t>
      </w:r>
      <w:r>
        <w:rPr>
          <w:rFonts w:ascii="Times New Roman"/>
          <w:sz w:val="24"/>
          <w:szCs w:val="24"/>
        </w:rPr>
        <w:t>本次评价取40mg/m</w:t>
      </w:r>
      <w:r>
        <w:rPr>
          <w:rFonts w:hint="eastAsia" w:ascii="Times New Roman"/>
          <w:sz w:val="24"/>
          <w:szCs w:val="24"/>
          <w:vertAlign w:val="superscript"/>
        </w:rPr>
        <w:t>3</w:t>
      </w:r>
      <w:r>
        <w:rPr>
          <w:rFonts w:hint="eastAsia" w:ascii="Times New Roman"/>
          <w:sz w:val="24"/>
          <w:szCs w:val="24"/>
        </w:rPr>
        <w:t>。</w:t>
      </w:r>
      <w:r>
        <w:rPr>
          <w:rFonts w:ascii="Times New Roman"/>
          <w:sz w:val="24"/>
          <w:szCs w:val="24"/>
        </w:rPr>
        <w:t>治理措施</w:t>
      </w:r>
      <w:r>
        <w:rPr>
          <w:rFonts w:hint="eastAsia" w:ascii="Times New Roman"/>
          <w:sz w:val="24"/>
          <w:szCs w:val="24"/>
        </w:rPr>
        <w:t>：</w:t>
      </w:r>
      <w:r>
        <w:rPr>
          <w:rFonts w:ascii="Times New Roman"/>
          <w:sz w:val="24"/>
          <w:szCs w:val="24"/>
        </w:rPr>
        <w:t>本项目拟在灶头上方安装集气罩，将</w:t>
      </w:r>
      <w:r>
        <w:rPr>
          <w:rFonts w:hint="eastAsia" w:ascii="Times New Roman"/>
          <w:sz w:val="24"/>
          <w:szCs w:val="24"/>
        </w:rPr>
        <w:t>油烟</w:t>
      </w:r>
      <w:r>
        <w:rPr>
          <w:rFonts w:ascii="Times New Roman"/>
          <w:sz w:val="24"/>
          <w:szCs w:val="24"/>
        </w:rPr>
        <w:t>废气集中引入油烟净化器处理(油烟去除效率&gt;95%，非甲烷总烃处理效率&gt;85%)，每个头设置一个油烟净化器单台油烟净化器设置风量为2000m</w:t>
      </w:r>
      <w:r>
        <w:rPr>
          <w:rFonts w:hint="eastAsia" w:ascii="Times New Roman"/>
          <w:sz w:val="24"/>
          <w:szCs w:val="24"/>
          <w:vertAlign w:val="superscript"/>
        </w:rPr>
        <w:t>3</w:t>
      </w:r>
      <w:r>
        <w:rPr>
          <w:rFonts w:ascii="Times New Roman"/>
          <w:sz w:val="24"/>
          <w:szCs w:val="24"/>
        </w:rPr>
        <w:t>/h的引风机，共</w:t>
      </w:r>
      <w:r>
        <w:rPr>
          <w:rFonts w:hint="eastAsia" w:ascii="Times New Roman"/>
          <w:sz w:val="24"/>
          <w:szCs w:val="24"/>
        </w:rPr>
        <w:t>1</w:t>
      </w:r>
      <w:r>
        <w:rPr>
          <w:rFonts w:ascii="Times New Roman"/>
          <w:sz w:val="24"/>
          <w:szCs w:val="24"/>
        </w:rPr>
        <w:t>5台，油烟净化器每天平均工作6小时，通过油烟净化器处理后的油烟排放浓度为0.6mg/m</w:t>
      </w:r>
      <w:r>
        <w:rPr>
          <w:rFonts w:hint="eastAsia" w:ascii="Times New Roman"/>
          <w:sz w:val="24"/>
          <w:szCs w:val="24"/>
          <w:vertAlign w:val="superscript"/>
        </w:rPr>
        <w:t>3</w:t>
      </w:r>
      <w:r>
        <w:rPr>
          <w:rFonts w:ascii="Times New Roman"/>
          <w:sz w:val="24"/>
          <w:szCs w:val="24"/>
        </w:rPr>
        <w:t>，非甲烷总烃排放浓度为6mg/m</w:t>
      </w:r>
      <w:r>
        <w:rPr>
          <w:rFonts w:hint="eastAsia" w:ascii="Times New Roman"/>
          <w:sz w:val="24"/>
          <w:szCs w:val="24"/>
          <w:vertAlign w:val="superscript"/>
        </w:rPr>
        <w:t>3</w:t>
      </w:r>
      <w:r>
        <w:rPr>
          <w:rFonts w:ascii="Times New Roman"/>
          <w:sz w:val="24"/>
          <w:szCs w:val="24"/>
        </w:rPr>
        <w:t>，可满足《餐饮业大气污染物排放标准》(DB13/5808-2023)中限值要求，即油烟1.2mg/m</w:t>
      </w:r>
      <w:r>
        <w:rPr>
          <w:rFonts w:hint="eastAsia" w:ascii="Times New Roman"/>
          <w:sz w:val="24"/>
          <w:szCs w:val="24"/>
          <w:vertAlign w:val="superscript"/>
        </w:rPr>
        <w:t>3</w:t>
      </w:r>
      <w:r>
        <w:rPr>
          <w:rFonts w:ascii="Times New Roman"/>
          <w:sz w:val="24"/>
          <w:szCs w:val="24"/>
        </w:rPr>
        <w:t>，非甲烷总烃10mg/m</w:t>
      </w:r>
      <w:r>
        <w:rPr>
          <w:rFonts w:hint="eastAsia" w:ascii="Times New Roman"/>
          <w:sz w:val="24"/>
          <w:szCs w:val="24"/>
          <w:vertAlign w:val="superscript"/>
        </w:rPr>
        <w:t>3</w:t>
      </w:r>
      <w:r>
        <w:rPr>
          <w:rFonts w:ascii="Times New Roman"/>
          <w:sz w:val="24"/>
          <w:szCs w:val="24"/>
        </w:rPr>
        <w:t>，对周围环境影响较小。经处理后，油烟排放量为0.011t</w:t>
      </w:r>
      <w:r>
        <w:rPr>
          <w:rFonts w:hint="eastAsia" w:ascii="Times New Roman"/>
          <w:sz w:val="24"/>
          <w:szCs w:val="24"/>
        </w:rPr>
        <w:t>/</w:t>
      </w:r>
      <w:r>
        <w:rPr>
          <w:rFonts w:ascii="Times New Roman"/>
          <w:sz w:val="24"/>
          <w:szCs w:val="24"/>
        </w:rPr>
        <w:t>a，非甲烷总烃排放量为0.108t/a。</w:t>
      </w:r>
    </w:p>
    <w:p w14:paraId="3381CBD5">
      <w:pPr>
        <w:spacing w:line="360" w:lineRule="auto"/>
        <w:outlineLvl w:val="3"/>
        <w:rPr>
          <w:rFonts w:ascii="Times New Roman"/>
          <w:b/>
          <w:sz w:val="24"/>
          <w:szCs w:val="24"/>
        </w:rPr>
      </w:pPr>
      <w:r>
        <w:rPr>
          <w:rFonts w:ascii="Times New Roman"/>
          <w:b/>
          <w:sz w:val="24"/>
          <w:szCs w:val="24"/>
        </w:rPr>
        <w:t>3.7.1.</w:t>
      </w:r>
      <w:r>
        <w:rPr>
          <w:rFonts w:hint="eastAsia" w:ascii="Times New Roman"/>
          <w:b/>
          <w:sz w:val="24"/>
          <w:szCs w:val="24"/>
        </w:rPr>
        <w:t>7污水处理站废气</w:t>
      </w:r>
    </w:p>
    <w:p w14:paraId="29626432">
      <w:pPr>
        <w:adjustRightInd w:val="0"/>
        <w:spacing w:line="360" w:lineRule="auto"/>
        <w:ind w:firstLine="480" w:firstLineChars="200"/>
        <w:rPr>
          <w:rFonts w:ascii="Times New Roman"/>
          <w:bCs/>
          <w:iCs/>
          <w:sz w:val="24"/>
          <w:szCs w:val="22"/>
        </w:rPr>
      </w:pPr>
      <w:r>
        <w:rPr>
          <w:rFonts w:ascii="Times New Roman"/>
          <w:sz w:val="24"/>
        </w:rPr>
        <w:t>项目厂区污水处理设施采用“</w:t>
      </w:r>
      <w:r>
        <w:rPr>
          <w:rFonts w:ascii="Times New Roman"/>
          <w:bCs/>
          <w:sz w:val="24"/>
          <w:szCs w:val="24"/>
        </w:rPr>
        <w:t>一体化气浮槽+综合反应斜管沉淀槽+综合芬顿反应槽+多介质过滤器+活性炭过滤器</w:t>
      </w:r>
      <w:r>
        <w:rPr>
          <w:rFonts w:ascii="Times New Roman"/>
          <w:sz w:val="24"/>
        </w:rPr>
        <w:t>”工艺，废气主要为</w:t>
      </w:r>
      <w:r>
        <w:rPr>
          <w:rFonts w:hint="eastAsia" w:ascii="Times New Roman"/>
          <w:sz w:val="24"/>
        </w:rPr>
        <w:t>臭气浓度</w:t>
      </w:r>
      <w:r>
        <w:rPr>
          <w:rFonts w:ascii="Times New Roman"/>
          <w:sz w:val="24"/>
        </w:rPr>
        <w:t>，臭气组成与污水厂水质情况、污水和污泥处理工艺、处理构筑物种类等因素有关。</w:t>
      </w:r>
    </w:p>
    <w:p w14:paraId="59577117">
      <w:pPr>
        <w:pStyle w:val="70"/>
        <w:spacing w:line="360" w:lineRule="auto"/>
        <w:ind w:left="0" w:firstLine="480" w:firstLineChars="200"/>
        <w:rPr>
          <w:smallCaps w:val="0"/>
          <w:sz w:val="24"/>
          <w:szCs w:val="24"/>
        </w:rPr>
      </w:pPr>
      <w:r>
        <w:rPr>
          <w:bCs/>
          <w:iCs/>
          <w:sz w:val="24"/>
          <w:szCs w:val="22"/>
        </w:rPr>
        <w:t>本项目污水处理站处理的废水类型主要为</w:t>
      </w:r>
      <w:r>
        <w:rPr>
          <w:rFonts w:hint="eastAsia"/>
          <w:bCs/>
          <w:iCs/>
          <w:sz w:val="24"/>
          <w:szCs w:val="22"/>
        </w:rPr>
        <w:t>电泳生产线</w:t>
      </w:r>
      <w:r>
        <w:rPr>
          <w:bCs/>
          <w:iCs/>
          <w:sz w:val="24"/>
          <w:szCs w:val="22"/>
        </w:rPr>
        <w:t>生产废水，废水采用</w:t>
      </w:r>
      <w:r>
        <w:rPr>
          <w:sz w:val="24"/>
        </w:rPr>
        <w:t>“</w:t>
      </w:r>
      <w:r>
        <w:rPr>
          <w:bCs/>
          <w:sz w:val="24"/>
          <w:szCs w:val="24"/>
        </w:rPr>
        <w:t>一体化气浮槽+综合反应斜管沉淀槽+综合芬顿反应槽+多介质过滤器+活性炭过滤器</w:t>
      </w:r>
      <w:r>
        <w:rPr>
          <w:sz w:val="24"/>
        </w:rPr>
        <w:t>”工艺</w:t>
      </w:r>
      <w:r>
        <w:rPr>
          <w:bCs/>
          <w:iCs/>
          <w:sz w:val="24"/>
          <w:szCs w:val="22"/>
        </w:rPr>
        <w:t>处理</w:t>
      </w:r>
      <w:r>
        <w:rPr>
          <w:rFonts w:hint="eastAsia"/>
          <w:bCs/>
          <w:iCs/>
          <w:sz w:val="24"/>
          <w:szCs w:val="22"/>
        </w:rPr>
        <w:t>，</w:t>
      </w:r>
      <w:r>
        <w:rPr>
          <w:bCs/>
          <w:iCs/>
          <w:sz w:val="24"/>
          <w:szCs w:val="22"/>
        </w:rPr>
        <w:t>污水处理恶臭气体排放较小</w:t>
      </w:r>
      <w:r>
        <w:rPr>
          <w:rFonts w:hint="eastAsia"/>
          <w:bCs/>
          <w:iCs/>
          <w:sz w:val="24"/>
          <w:szCs w:val="22"/>
        </w:rPr>
        <w:t>，不做定量分析</w:t>
      </w:r>
      <w:r>
        <w:rPr>
          <w:bCs/>
          <w:iCs/>
          <w:sz w:val="24"/>
          <w:szCs w:val="22"/>
        </w:rPr>
        <w:t>。污水处理站内均采取全室通风的措施，少量恶臭污染物通过通风机排出站房，各厂界种植绿化隔离带。采取以上措施后，污水站恶臭气体不会对周围环境造成明显影响。</w:t>
      </w:r>
    </w:p>
    <w:p w14:paraId="21A26456">
      <w:pPr>
        <w:rPr>
          <w:rFonts w:ascii="Times New Roman"/>
          <w:sz w:val="24"/>
          <w:szCs w:val="24"/>
        </w:rPr>
        <w:sectPr>
          <w:pgSz w:w="11907" w:h="16839"/>
          <w:pgMar w:top="1113" w:right="1387" w:bottom="1052" w:left="1673" w:header="879" w:footer="737" w:gutter="0"/>
          <w:cols w:space="720" w:num="1"/>
        </w:sectPr>
      </w:pPr>
    </w:p>
    <w:p w14:paraId="7F365FFE">
      <w:pPr>
        <w:spacing w:line="360" w:lineRule="auto"/>
        <w:jc w:val="center"/>
        <w:rPr>
          <w:rFonts w:ascii="Times New Roman"/>
          <w:b/>
          <w:sz w:val="24"/>
          <w:szCs w:val="24"/>
        </w:rPr>
      </w:pPr>
      <w:r>
        <w:rPr>
          <w:rFonts w:ascii="Times New Roman"/>
          <w:b/>
          <w:sz w:val="24"/>
          <w:szCs w:val="24"/>
        </w:rPr>
        <w:t>表3.7-1</w:t>
      </w:r>
      <w:r>
        <w:rPr>
          <w:rFonts w:hint="eastAsia" w:ascii="Times New Roman"/>
          <w:b/>
          <w:sz w:val="24"/>
          <w:szCs w:val="24"/>
        </w:rPr>
        <w:t>1</w:t>
      </w:r>
      <w:r>
        <w:rPr>
          <w:rFonts w:ascii="Times New Roman"/>
          <w:b/>
          <w:sz w:val="24"/>
          <w:szCs w:val="24"/>
        </w:rPr>
        <w:t xml:space="preserve">  废气污染物产生及排放状况</w:t>
      </w:r>
    </w:p>
    <w:tbl>
      <w:tblPr>
        <w:tblStyle w:val="84"/>
        <w:tblW w:w="1308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9"/>
        <w:gridCol w:w="967"/>
        <w:gridCol w:w="943"/>
        <w:gridCol w:w="874"/>
        <w:gridCol w:w="798"/>
        <w:gridCol w:w="845"/>
        <w:gridCol w:w="646"/>
        <w:gridCol w:w="774"/>
        <w:gridCol w:w="652"/>
        <w:gridCol w:w="832"/>
        <w:gridCol w:w="819"/>
        <w:gridCol w:w="819"/>
        <w:gridCol w:w="832"/>
        <w:gridCol w:w="519"/>
        <w:gridCol w:w="592"/>
        <w:gridCol w:w="603"/>
        <w:gridCol w:w="602"/>
      </w:tblGrid>
      <w:tr w14:paraId="30C8E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blHeader/>
          <w:jc w:val="center"/>
        </w:trPr>
        <w:tc>
          <w:tcPr>
            <w:tcW w:w="969" w:type="dxa"/>
            <w:vMerge w:val="restart"/>
            <w:vAlign w:val="center"/>
          </w:tcPr>
          <w:p w14:paraId="6E0B9E33">
            <w:pPr>
              <w:jc w:val="center"/>
              <w:rPr>
                <w:rFonts w:ascii="Times New Roman"/>
                <w:sz w:val="21"/>
                <w:szCs w:val="21"/>
              </w:rPr>
            </w:pPr>
            <w:r>
              <w:rPr>
                <w:rFonts w:ascii="Times New Roman"/>
                <w:sz w:val="21"/>
                <w:szCs w:val="21"/>
              </w:rPr>
              <w:t>排放源</w:t>
            </w:r>
          </w:p>
        </w:tc>
        <w:tc>
          <w:tcPr>
            <w:tcW w:w="967" w:type="dxa"/>
            <w:vMerge w:val="restart"/>
            <w:vAlign w:val="center"/>
          </w:tcPr>
          <w:p w14:paraId="2CBDD9AC">
            <w:pPr>
              <w:jc w:val="center"/>
              <w:rPr>
                <w:rFonts w:ascii="Times New Roman"/>
                <w:sz w:val="21"/>
                <w:szCs w:val="21"/>
              </w:rPr>
            </w:pPr>
            <w:r>
              <w:rPr>
                <w:rFonts w:ascii="Times New Roman"/>
                <w:sz w:val="21"/>
                <w:szCs w:val="21"/>
              </w:rPr>
              <w:t>污染物</w:t>
            </w:r>
          </w:p>
        </w:tc>
        <w:tc>
          <w:tcPr>
            <w:tcW w:w="3460" w:type="dxa"/>
            <w:gridSpan w:val="4"/>
            <w:vAlign w:val="center"/>
          </w:tcPr>
          <w:p w14:paraId="495DDFC0">
            <w:pPr>
              <w:jc w:val="center"/>
              <w:rPr>
                <w:rFonts w:ascii="Times New Roman"/>
                <w:sz w:val="21"/>
                <w:szCs w:val="21"/>
              </w:rPr>
            </w:pPr>
            <w:r>
              <w:rPr>
                <w:rFonts w:ascii="Times New Roman"/>
                <w:sz w:val="21"/>
                <w:szCs w:val="21"/>
              </w:rPr>
              <w:t>产生状况</w:t>
            </w:r>
          </w:p>
        </w:tc>
        <w:tc>
          <w:tcPr>
            <w:tcW w:w="646" w:type="dxa"/>
            <w:vMerge w:val="restart"/>
            <w:vAlign w:val="center"/>
          </w:tcPr>
          <w:p w14:paraId="31F2ACEC">
            <w:pPr>
              <w:jc w:val="center"/>
              <w:rPr>
                <w:rFonts w:ascii="Times New Roman"/>
                <w:sz w:val="21"/>
                <w:szCs w:val="21"/>
              </w:rPr>
            </w:pPr>
            <w:r>
              <w:rPr>
                <w:rFonts w:ascii="Times New Roman"/>
                <w:sz w:val="21"/>
                <w:szCs w:val="21"/>
              </w:rPr>
              <w:t>收集</w:t>
            </w:r>
          </w:p>
          <w:p w14:paraId="52B949E6">
            <w:pPr>
              <w:jc w:val="center"/>
              <w:rPr>
                <w:rFonts w:ascii="Times New Roman"/>
                <w:sz w:val="21"/>
                <w:szCs w:val="21"/>
              </w:rPr>
            </w:pPr>
            <w:r>
              <w:rPr>
                <w:rFonts w:ascii="Times New Roman"/>
                <w:sz w:val="21"/>
                <w:szCs w:val="21"/>
              </w:rPr>
              <w:t>效率</w:t>
            </w:r>
          </w:p>
          <w:p w14:paraId="3A1AFC32">
            <w:pPr>
              <w:jc w:val="center"/>
              <w:rPr>
                <w:rFonts w:ascii="Times New Roman"/>
                <w:sz w:val="21"/>
                <w:szCs w:val="21"/>
              </w:rPr>
            </w:pPr>
            <w:r>
              <w:rPr>
                <w:rFonts w:ascii="Times New Roman"/>
                <w:sz w:val="21"/>
                <w:szCs w:val="21"/>
              </w:rPr>
              <w:t>(％)</w:t>
            </w:r>
          </w:p>
        </w:tc>
        <w:tc>
          <w:tcPr>
            <w:tcW w:w="774" w:type="dxa"/>
            <w:vMerge w:val="restart"/>
            <w:vAlign w:val="center"/>
          </w:tcPr>
          <w:p w14:paraId="117BA77B">
            <w:pPr>
              <w:jc w:val="center"/>
              <w:rPr>
                <w:rFonts w:ascii="Times New Roman"/>
                <w:sz w:val="21"/>
                <w:szCs w:val="21"/>
              </w:rPr>
            </w:pPr>
            <w:r>
              <w:rPr>
                <w:rFonts w:ascii="Times New Roman"/>
                <w:sz w:val="21"/>
                <w:szCs w:val="21"/>
              </w:rPr>
              <w:t>治理</w:t>
            </w:r>
          </w:p>
          <w:p w14:paraId="7A9B0EF6">
            <w:pPr>
              <w:jc w:val="center"/>
              <w:rPr>
                <w:rFonts w:ascii="Times New Roman"/>
                <w:sz w:val="21"/>
                <w:szCs w:val="21"/>
              </w:rPr>
            </w:pPr>
            <w:r>
              <w:rPr>
                <w:rFonts w:ascii="Times New Roman"/>
                <w:sz w:val="21"/>
                <w:szCs w:val="21"/>
              </w:rPr>
              <w:t>措施</w:t>
            </w:r>
          </w:p>
        </w:tc>
        <w:tc>
          <w:tcPr>
            <w:tcW w:w="652" w:type="dxa"/>
            <w:vMerge w:val="restart"/>
            <w:vAlign w:val="center"/>
          </w:tcPr>
          <w:p w14:paraId="7359B869">
            <w:pPr>
              <w:jc w:val="center"/>
              <w:rPr>
                <w:rFonts w:ascii="Times New Roman"/>
                <w:sz w:val="21"/>
                <w:szCs w:val="21"/>
              </w:rPr>
            </w:pPr>
            <w:r>
              <w:rPr>
                <w:rFonts w:ascii="Times New Roman"/>
                <w:sz w:val="21"/>
                <w:szCs w:val="21"/>
              </w:rPr>
              <w:t>去除率(％)</w:t>
            </w:r>
          </w:p>
        </w:tc>
        <w:tc>
          <w:tcPr>
            <w:tcW w:w="2470" w:type="dxa"/>
            <w:gridSpan w:val="3"/>
            <w:vAlign w:val="center"/>
          </w:tcPr>
          <w:p w14:paraId="57E03A0C">
            <w:pPr>
              <w:jc w:val="center"/>
              <w:rPr>
                <w:rFonts w:ascii="Times New Roman"/>
                <w:sz w:val="21"/>
                <w:szCs w:val="21"/>
              </w:rPr>
            </w:pPr>
            <w:r>
              <w:rPr>
                <w:rFonts w:ascii="Times New Roman"/>
                <w:sz w:val="21"/>
                <w:szCs w:val="21"/>
              </w:rPr>
              <w:t>排放状况</w:t>
            </w:r>
          </w:p>
        </w:tc>
        <w:tc>
          <w:tcPr>
            <w:tcW w:w="832" w:type="dxa"/>
            <w:vMerge w:val="restart"/>
            <w:vAlign w:val="center"/>
          </w:tcPr>
          <w:p w14:paraId="7A202C5F">
            <w:pPr>
              <w:jc w:val="center"/>
              <w:rPr>
                <w:rFonts w:ascii="Times New Roman"/>
                <w:sz w:val="21"/>
                <w:szCs w:val="21"/>
              </w:rPr>
            </w:pPr>
            <w:r>
              <w:rPr>
                <w:rFonts w:ascii="Times New Roman"/>
                <w:sz w:val="21"/>
                <w:szCs w:val="21"/>
              </w:rPr>
              <w:t>排放</w:t>
            </w:r>
          </w:p>
          <w:p w14:paraId="5667FBBB">
            <w:pPr>
              <w:jc w:val="center"/>
              <w:rPr>
                <w:rFonts w:ascii="Times New Roman"/>
                <w:sz w:val="21"/>
                <w:szCs w:val="21"/>
              </w:rPr>
            </w:pPr>
            <w:r>
              <w:rPr>
                <w:rFonts w:ascii="Times New Roman"/>
                <w:sz w:val="21"/>
                <w:szCs w:val="21"/>
              </w:rPr>
              <w:t>标准</w:t>
            </w:r>
          </w:p>
          <w:p w14:paraId="697C3DF1">
            <w:pPr>
              <w:jc w:val="center"/>
              <w:rPr>
                <w:rFonts w:ascii="Times New Roman" w:eastAsia="Times New Roman"/>
                <w:sz w:val="21"/>
                <w:szCs w:val="21"/>
              </w:rPr>
            </w:pPr>
            <w:r>
              <w:rPr>
                <w:rFonts w:ascii="Times New Roman" w:eastAsia="Times New Roman"/>
                <w:b/>
                <w:bCs/>
                <w:sz w:val="21"/>
                <w:szCs w:val="21"/>
              </w:rPr>
              <w:t>(mg/m</w:t>
            </w:r>
            <w:r>
              <w:rPr>
                <w:rFonts w:ascii="Times New Roman" w:eastAsia="Times New Roman"/>
                <w:b/>
                <w:bCs/>
                <w:sz w:val="21"/>
                <w:szCs w:val="21"/>
                <w:vertAlign w:val="superscript"/>
              </w:rPr>
              <w:t>3</w:t>
            </w:r>
            <w:r>
              <w:rPr>
                <w:rFonts w:ascii="Times New Roman" w:eastAsia="Times New Roman"/>
                <w:b/>
                <w:bCs/>
                <w:sz w:val="21"/>
                <w:szCs w:val="21"/>
              </w:rPr>
              <w:t>)</w:t>
            </w:r>
          </w:p>
        </w:tc>
        <w:tc>
          <w:tcPr>
            <w:tcW w:w="1714" w:type="dxa"/>
            <w:gridSpan w:val="3"/>
            <w:vAlign w:val="center"/>
          </w:tcPr>
          <w:p w14:paraId="5C70624A">
            <w:pPr>
              <w:jc w:val="center"/>
              <w:rPr>
                <w:rFonts w:ascii="Times New Roman"/>
                <w:sz w:val="21"/>
                <w:szCs w:val="21"/>
              </w:rPr>
            </w:pPr>
            <w:r>
              <w:rPr>
                <w:rFonts w:ascii="Times New Roman"/>
                <w:sz w:val="21"/>
                <w:szCs w:val="21"/>
              </w:rPr>
              <w:t>排放参数</w:t>
            </w:r>
          </w:p>
        </w:tc>
        <w:tc>
          <w:tcPr>
            <w:tcW w:w="602" w:type="dxa"/>
            <w:vMerge w:val="restart"/>
            <w:vAlign w:val="center"/>
          </w:tcPr>
          <w:p w14:paraId="55575BDC">
            <w:pPr>
              <w:jc w:val="center"/>
              <w:rPr>
                <w:rFonts w:ascii="Times New Roman"/>
                <w:sz w:val="21"/>
                <w:szCs w:val="21"/>
              </w:rPr>
            </w:pPr>
            <w:r>
              <w:rPr>
                <w:rFonts w:ascii="Times New Roman"/>
                <w:sz w:val="21"/>
                <w:szCs w:val="21"/>
              </w:rPr>
              <w:t>作业时间</w:t>
            </w:r>
          </w:p>
        </w:tc>
      </w:tr>
      <w:tr w14:paraId="62D76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blHeader/>
          <w:jc w:val="center"/>
        </w:trPr>
        <w:tc>
          <w:tcPr>
            <w:tcW w:w="969" w:type="dxa"/>
            <w:vMerge w:val="continue"/>
            <w:vAlign w:val="center"/>
          </w:tcPr>
          <w:p w14:paraId="4288C971">
            <w:pPr>
              <w:jc w:val="center"/>
              <w:rPr>
                <w:rFonts w:ascii="Times New Roman"/>
                <w:sz w:val="21"/>
                <w:szCs w:val="21"/>
              </w:rPr>
            </w:pPr>
          </w:p>
        </w:tc>
        <w:tc>
          <w:tcPr>
            <w:tcW w:w="967" w:type="dxa"/>
            <w:vMerge w:val="continue"/>
            <w:vAlign w:val="center"/>
          </w:tcPr>
          <w:p w14:paraId="4A6DBA6A">
            <w:pPr>
              <w:jc w:val="center"/>
              <w:rPr>
                <w:rFonts w:ascii="Times New Roman"/>
                <w:sz w:val="21"/>
                <w:szCs w:val="21"/>
              </w:rPr>
            </w:pPr>
          </w:p>
        </w:tc>
        <w:tc>
          <w:tcPr>
            <w:tcW w:w="943" w:type="dxa"/>
            <w:vAlign w:val="center"/>
          </w:tcPr>
          <w:p w14:paraId="58811DAA">
            <w:pPr>
              <w:jc w:val="center"/>
              <w:rPr>
                <w:rFonts w:ascii="Times New Roman"/>
                <w:sz w:val="21"/>
                <w:szCs w:val="21"/>
              </w:rPr>
            </w:pPr>
            <w:r>
              <w:rPr>
                <w:rFonts w:ascii="Times New Roman"/>
                <w:sz w:val="21"/>
                <w:szCs w:val="21"/>
              </w:rPr>
              <w:t>废气量</w:t>
            </w:r>
          </w:p>
        </w:tc>
        <w:tc>
          <w:tcPr>
            <w:tcW w:w="874" w:type="dxa"/>
            <w:vMerge w:val="restart"/>
            <w:vAlign w:val="center"/>
          </w:tcPr>
          <w:p w14:paraId="7841FD63">
            <w:pPr>
              <w:jc w:val="center"/>
              <w:rPr>
                <w:rFonts w:ascii="Times New Roman" w:eastAsia="Times New Roman"/>
                <w:sz w:val="21"/>
                <w:szCs w:val="21"/>
              </w:rPr>
            </w:pPr>
            <w:r>
              <w:rPr>
                <w:rFonts w:ascii="Times New Roman"/>
                <w:sz w:val="21"/>
                <w:szCs w:val="21"/>
              </w:rPr>
              <w:t>浓度</w:t>
            </w:r>
            <w:r>
              <w:rPr>
                <w:rFonts w:ascii="Times New Roman" w:eastAsia="Times New Roman"/>
                <w:b/>
                <w:bCs/>
                <w:sz w:val="21"/>
                <w:szCs w:val="21"/>
              </w:rPr>
              <w:t>(mg/m</w:t>
            </w:r>
            <w:r>
              <w:rPr>
                <w:rFonts w:ascii="Times New Roman" w:eastAsia="Times New Roman"/>
                <w:b/>
                <w:bCs/>
                <w:sz w:val="21"/>
                <w:szCs w:val="21"/>
                <w:vertAlign w:val="superscript"/>
              </w:rPr>
              <w:t>3</w:t>
            </w:r>
            <w:r>
              <w:rPr>
                <w:rFonts w:ascii="Times New Roman" w:eastAsia="Times New Roman"/>
                <w:b/>
                <w:bCs/>
                <w:sz w:val="21"/>
                <w:szCs w:val="21"/>
              </w:rPr>
              <w:t>)</w:t>
            </w:r>
          </w:p>
        </w:tc>
        <w:tc>
          <w:tcPr>
            <w:tcW w:w="1643" w:type="dxa"/>
            <w:gridSpan w:val="2"/>
            <w:vAlign w:val="center"/>
          </w:tcPr>
          <w:p w14:paraId="663B30DB">
            <w:pPr>
              <w:jc w:val="center"/>
              <w:rPr>
                <w:rFonts w:ascii="Times New Roman"/>
                <w:sz w:val="21"/>
                <w:szCs w:val="21"/>
              </w:rPr>
            </w:pPr>
            <w:r>
              <w:rPr>
                <w:rFonts w:ascii="Times New Roman"/>
                <w:sz w:val="21"/>
                <w:szCs w:val="21"/>
              </w:rPr>
              <w:t>产生量</w:t>
            </w:r>
          </w:p>
        </w:tc>
        <w:tc>
          <w:tcPr>
            <w:tcW w:w="646" w:type="dxa"/>
            <w:vMerge w:val="continue"/>
            <w:vAlign w:val="center"/>
          </w:tcPr>
          <w:p w14:paraId="1BC3AE74">
            <w:pPr>
              <w:jc w:val="center"/>
              <w:rPr>
                <w:rFonts w:ascii="Times New Roman"/>
                <w:sz w:val="21"/>
                <w:szCs w:val="21"/>
              </w:rPr>
            </w:pPr>
          </w:p>
        </w:tc>
        <w:tc>
          <w:tcPr>
            <w:tcW w:w="774" w:type="dxa"/>
            <w:vMerge w:val="continue"/>
            <w:vAlign w:val="center"/>
          </w:tcPr>
          <w:p w14:paraId="58DB86EE">
            <w:pPr>
              <w:jc w:val="center"/>
              <w:rPr>
                <w:rFonts w:ascii="Times New Roman"/>
                <w:sz w:val="21"/>
                <w:szCs w:val="21"/>
              </w:rPr>
            </w:pPr>
          </w:p>
        </w:tc>
        <w:tc>
          <w:tcPr>
            <w:tcW w:w="652" w:type="dxa"/>
            <w:vMerge w:val="continue"/>
            <w:vAlign w:val="center"/>
          </w:tcPr>
          <w:p w14:paraId="3A7039DC">
            <w:pPr>
              <w:jc w:val="center"/>
              <w:rPr>
                <w:rFonts w:ascii="Times New Roman"/>
                <w:sz w:val="21"/>
                <w:szCs w:val="21"/>
              </w:rPr>
            </w:pPr>
          </w:p>
        </w:tc>
        <w:tc>
          <w:tcPr>
            <w:tcW w:w="832" w:type="dxa"/>
            <w:vMerge w:val="restart"/>
            <w:vAlign w:val="center"/>
          </w:tcPr>
          <w:p w14:paraId="46BFD9BF">
            <w:pPr>
              <w:jc w:val="center"/>
              <w:rPr>
                <w:rFonts w:ascii="Times New Roman" w:eastAsia="Times New Roman"/>
                <w:sz w:val="21"/>
                <w:szCs w:val="21"/>
              </w:rPr>
            </w:pPr>
            <w:r>
              <w:rPr>
                <w:rFonts w:ascii="Times New Roman"/>
                <w:sz w:val="21"/>
                <w:szCs w:val="21"/>
              </w:rPr>
              <w:t>浓度</w:t>
            </w:r>
            <w:r>
              <w:rPr>
                <w:rFonts w:ascii="Times New Roman" w:eastAsia="Times New Roman"/>
                <w:b/>
                <w:bCs/>
                <w:sz w:val="21"/>
                <w:szCs w:val="21"/>
              </w:rPr>
              <w:t>(mg/m</w:t>
            </w:r>
            <w:r>
              <w:rPr>
                <w:rFonts w:ascii="Times New Roman" w:eastAsia="Times New Roman"/>
                <w:b/>
                <w:bCs/>
                <w:sz w:val="21"/>
                <w:szCs w:val="21"/>
                <w:vertAlign w:val="superscript"/>
              </w:rPr>
              <w:t>3</w:t>
            </w:r>
            <w:r>
              <w:rPr>
                <w:rFonts w:ascii="Times New Roman" w:eastAsia="Times New Roman"/>
                <w:b/>
                <w:bCs/>
                <w:sz w:val="21"/>
                <w:szCs w:val="21"/>
              </w:rPr>
              <w:t>)</w:t>
            </w:r>
          </w:p>
        </w:tc>
        <w:tc>
          <w:tcPr>
            <w:tcW w:w="1638" w:type="dxa"/>
            <w:gridSpan w:val="2"/>
            <w:vAlign w:val="center"/>
          </w:tcPr>
          <w:p w14:paraId="0254765B">
            <w:pPr>
              <w:jc w:val="center"/>
              <w:rPr>
                <w:rFonts w:ascii="Times New Roman"/>
                <w:sz w:val="21"/>
                <w:szCs w:val="21"/>
              </w:rPr>
            </w:pPr>
            <w:r>
              <w:rPr>
                <w:rFonts w:ascii="Times New Roman"/>
                <w:sz w:val="21"/>
                <w:szCs w:val="21"/>
              </w:rPr>
              <w:t>排放量</w:t>
            </w:r>
          </w:p>
        </w:tc>
        <w:tc>
          <w:tcPr>
            <w:tcW w:w="832" w:type="dxa"/>
            <w:vMerge w:val="continue"/>
            <w:vAlign w:val="center"/>
          </w:tcPr>
          <w:p w14:paraId="642E0061">
            <w:pPr>
              <w:jc w:val="center"/>
              <w:rPr>
                <w:rFonts w:ascii="Times New Roman"/>
                <w:sz w:val="21"/>
                <w:szCs w:val="21"/>
              </w:rPr>
            </w:pPr>
          </w:p>
        </w:tc>
        <w:tc>
          <w:tcPr>
            <w:tcW w:w="519" w:type="dxa"/>
            <w:vAlign w:val="center"/>
          </w:tcPr>
          <w:p w14:paraId="69359353">
            <w:pPr>
              <w:jc w:val="center"/>
              <w:rPr>
                <w:rFonts w:ascii="Times New Roman"/>
                <w:sz w:val="21"/>
                <w:szCs w:val="21"/>
              </w:rPr>
            </w:pPr>
            <w:r>
              <w:rPr>
                <w:rFonts w:ascii="Times New Roman"/>
                <w:sz w:val="21"/>
                <w:szCs w:val="21"/>
              </w:rPr>
              <w:t>高度</w:t>
            </w:r>
          </w:p>
        </w:tc>
        <w:tc>
          <w:tcPr>
            <w:tcW w:w="592" w:type="dxa"/>
            <w:vAlign w:val="center"/>
          </w:tcPr>
          <w:p w14:paraId="4547D9A8">
            <w:pPr>
              <w:jc w:val="center"/>
              <w:rPr>
                <w:rFonts w:ascii="Times New Roman"/>
                <w:sz w:val="21"/>
                <w:szCs w:val="21"/>
              </w:rPr>
            </w:pPr>
            <w:r>
              <w:rPr>
                <w:rFonts w:ascii="Times New Roman"/>
                <w:sz w:val="21"/>
                <w:szCs w:val="21"/>
              </w:rPr>
              <w:t>内径</w:t>
            </w:r>
          </w:p>
        </w:tc>
        <w:tc>
          <w:tcPr>
            <w:tcW w:w="603" w:type="dxa"/>
            <w:vAlign w:val="center"/>
          </w:tcPr>
          <w:p w14:paraId="4282D89B">
            <w:pPr>
              <w:jc w:val="center"/>
              <w:rPr>
                <w:rFonts w:ascii="Times New Roman"/>
                <w:sz w:val="21"/>
                <w:szCs w:val="21"/>
              </w:rPr>
            </w:pPr>
            <w:r>
              <w:rPr>
                <w:rFonts w:ascii="Times New Roman"/>
                <w:sz w:val="21"/>
                <w:szCs w:val="21"/>
              </w:rPr>
              <w:t>温度</w:t>
            </w:r>
          </w:p>
        </w:tc>
        <w:tc>
          <w:tcPr>
            <w:tcW w:w="602" w:type="dxa"/>
            <w:vMerge w:val="continue"/>
            <w:vAlign w:val="center"/>
          </w:tcPr>
          <w:p w14:paraId="5D53E75C">
            <w:pPr>
              <w:jc w:val="center"/>
              <w:rPr>
                <w:rFonts w:ascii="Times New Roman"/>
                <w:sz w:val="21"/>
                <w:szCs w:val="21"/>
              </w:rPr>
            </w:pPr>
          </w:p>
        </w:tc>
      </w:tr>
      <w:tr w14:paraId="3F6E6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blHeader/>
          <w:jc w:val="center"/>
        </w:trPr>
        <w:tc>
          <w:tcPr>
            <w:tcW w:w="969" w:type="dxa"/>
            <w:vMerge w:val="continue"/>
            <w:vAlign w:val="center"/>
          </w:tcPr>
          <w:p w14:paraId="7E0EC102">
            <w:pPr>
              <w:jc w:val="center"/>
              <w:rPr>
                <w:rFonts w:ascii="Times New Roman"/>
                <w:sz w:val="21"/>
                <w:szCs w:val="21"/>
              </w:rPr>
            </w:pPr>
          </w:p>
        </w:tc>
        <w:tc>
          <w:tcPr>
            <w:tcW w:w="967" w:type="dxa"/>
            <w:vMerge w:val="continue"/>
            <w:vAlign w:val="center"/>
          </w:tcPr>
          <w:p w14:paraId="17A80965">
            <w:pPr>
              <w:jc w:val="center"/>
              <w:rPr>
                <w:rFonts w:ascii="Times New Roman"/>
                <w:sz w:val="21"/>
                <w:szCs w:val="21"/>
              </w:rPr>
            </w:pPr>
          </w:p>
        </w:tc>
        <w:tc>
          <w:tcPr>
            <w:tcW w:w="943" w:type="dxa"/>
            <w:vAlign w:val="center"/>
          </w:tcPr>
          <w:p w14:paraId="028E327A">
            <w:pPr>
              <w:jc w:val="center"/>
              <w:rPr>
                <w:rFonts w:ascii="Times New Roman" w:eastAsia="Times New Roman"/>
                <w:sz w:val="21"/>
                <w:szCs w:val="21"/>
              </w:rPr>
            </w:pPr>
            <w:r>
              <w:rPr>
                <w:rFonts w:ascii="Times New Roman" w:eastAsia="Times New Roman"/>
                <w:b/>
                <w:bCs/>
                <w:sz w:val="21"/>
                <w:szCs w:val="21"/>
              </w:rPr>
              <w:t>(m</w:t>
            </w:r>
            <w:r>
              <w:rPr>
                <w:rFonts w:ascii="Times New Roman" w:eastAsia="Times New Roman"/>
                <w:b/>
                <w:bCs/>
                <w:sz w:val="21"/>
                <w:szCs w:val="21"/>
                <w:vertAlign w:val="superscript"/>
              </w:rPr>
              <w:t>3</w:t>
            </w:r>
            <w:r>
              <w:rPr>
                <w:rFonts w:ascii="Times New Roman" w:eastAsia="Times New Roman"/>
                <w:b/>
                <w:bCs/>
                <w:sz w:val="21"/>
                <w:szCs w:val="21"/>
              </w:rPr>
              <w:t>/h)</w:t>
            </w:r>
          </w:p>
        </w:tc>
        <w:tc>
          <w:tcPr>
            <w:tcW w:w="874" w:type="dxa"/>
            <w:vMerge w:val="continue"/>
            <w:vAlign w:val="center"/>
          </w:tcPr>
          <w:p w14:paraId="750B1B6F">
            <w:pPr>
              <w:jc w:val="center"/>
              <w:rPr>
                <w:rFonts w:ascii="Times New Roman"/>
                <w:sz w:val="21"/>
                <w:szCs w:val="21"/>
              </w:rPr>
            </w:pPr>
          </w:p>
        </w:tc>
        <w:tc>
          <w:tcPr>
            <w:tcW w:w="798" w:type="dxa"/>
            <w:vAlign w:val="center"/>
          </w:tcPr>
          <w:p w14:paraId="78393D92">
            <w:pPr>
              <w:jc w:val="center"/>
              <w:rPr>
                <w:rFonts w:ascii="Times New Roman" w:eastAsia="Times New Roman"/>
                <w:sz w:val="21"/>
                <w:szCs w:val="21"/>
              </w:rPr>
            </w:pPr>
            <w:r>
              <w:rPr>
                <w:rFonts w:ascii="Times New Roman" w:eastAsia="Times New Roman"/>
                <w:b/>
                <w:bCs/>
                <w:sz w:val="21"/>
                <w:szCs w:val="21"/>
              </w:rPr>
              <w:t>(kg/h)</w:t>
            </w:r>
          </w:p>
        </w:tc>
        <w:tc>
          <w:tcPr>
            <w:tcW w:w="845" w:type="dxa"/>
            <w:vAlign w:val="center"/>
          </w:tcPr>
          <w:p w14:paraId="555600A1">
            <w:pPr>
              <w:jc w:val="center"/>
              <w:rPr>
                <w:rFonts w:ascii="Times New Roman" w:eastAsia="Times New Roman"/>
                <w:sz w:val="21"/>
                <w:szCs w:val="21"/>
              </w:rPr>
            </w:pPr>
            <w:r>
              <w:rPr>
                <w:rFonts w:ascii="Times New Roman" w:eastAsia="Times New Roman"/>
                <w:b/>
                <w:bCs/>
                <w:sz w:val="21"/>
                <w:szCs w:val="21"/>
              </w:rPr>
              <w:t>(t/a)</w:t>
            </w:r>
          </w:p>
        </w:tc>
        <w:tc>
          <w:tcPr>
            <w:tcW w:w="646" w:type="dxa"/>
            <w:vMerge w:val="continue"/>
            <w:vAlign w:val="center"/>
          </w:tcPr>
          <w:p w14:paraId="7CA9A07B">
            <w:pPr>
              <w:jc w:val="center"/>
              <w:rPr>
                <w:rFonts w:ascii="Times New Roman"/>
                <w:sz w:val="21"/>
                <w:szCs w:val="21"/>
              </w:rPr>
            </w:pPr>
          </w:p>
        </w:tc>
        <w:tc>
          <w:tcPr>
            <w:tcW w:w="774" w:type="dxa"/>
            <w:vMerge w:val="continue"/>
            <w:vAlign w:val="center"/>
          </w:tcPr>
          <w:p w14:paraId="473F817F">
            <w:pPr>
              <w:jc w:val="center"/>
              <w:rPr>
                <w:rFonts w:ascii="Times New Roman"/>
                <w:sz w:val="21"/>
                <w:szCs w:val="21"/>
              </w:rPr>
            </w:pPr>
          </w:p>
        </w:tc>
        <w:tc>
          <w:tcPr>
            <w:tcW w:w="652" w:type="dxa"/>
            <w:vMerge w:val="continue"/>
            <w:vAlign w:val="center"/>
          </w:tcPr>
          <w:p w14:paraId="4FFFC997">
            <w:pPr>
              <w:jc w:val="center"/>
              <w:rPr>
                <w:rFonts w:ascii="Times New Roman"/>
                <w:sz w:val="21"/>
                <w:szCs w:val="21"/>
              </w:rPr>
            </w:pPr>
          </w:p>
        </w:tc>
        <w:tc>
          <w:tcPr>
            <w:tcW w:w="832" w:type="dxa"/>
            <w:vMerge w:val="continue"/>
            <w:vAlign w:val="center"/>
          </w:tcPr>
          <w:p w14:paraId="686FCDE3">
            <w:pPr>
              <w:jc w:val="center"/>
              <w:rPr>
                <w:rFonts w:ascii="Times New Roman"/>
                <w:sz w:val="21"/>
                <w:szCs w:val="21"/>
              </w:rPr>
            </w:pPr>
          </w:p>
        </w:tc>
        <w:tc>
          <w:tcPr>
            <w:tcW w:w="819" w:type="dxa"/>
            <w:vAlign w:val="center"/>
          </w:tcPr>
          <w:p w14:paraId="22DA2988">
            <w:pPr>
              <w:jc w:val="center"/>
              <w:rPr>
                <w:rFonts w:ascii="Times New Roman" w:eastAsia="Times New Roman"/>
                <w:sz w:val="21"/>
                <w:szCs w:val="21"/>
              </w:rPr>
            </w:pPr>
            <w:r>
              <w:rPr>
                <w:rFonts w:ascii="Times New Roman" w:eastAsia="Times New Roman"/>
                <w:b/>
                <w:bCs/>
                <w:sz w:val="21"/>
                <w:szCs w:val="21"/>
              </w:rPr>
              <w:t>(kg/h)</w:t>
            </w:r>
          </w:p>
        </w:tc>
        <w:tc>
          <w:tcPr>
            <w:tcW w:w="819" w:type="dxa"/>
            <w:vAlign w:val="center"/>
          </w:tcPr>
          <w:p w14:paraId="6B2EA794">
            <w:pPr>
              <w:jc w:val="center"/>
              <w:rPr>
                <w:rFonts w:ascii="Times New Roman" w:eastAsia="Times New Roman"/>
                <w:sz w:val="21"/>
                <w:szCs w:val="21"/>
              </w:rPr>
            </w:pPr>
            <w:r>
              <w:rPr>
                <w:rFonts w:ascii="Times New Roman" w:eastAsia="Times New Roman"/>
                <w:b/>
                <w:bCs/>
                <w:sz w:val="21"/>
                <w:szCs w:val="21"/>
              </w:rPr>
              <w:t>(t/a)</w:t>
            </w:r>
          </w:p>
        </w:tc>
        <w:tc>
          <w:tcPr>
            <w:tcW w:w="832" w:type="dxa"/>
            <w:vMerge w:val="continue"/>
            <w:vAlign w:val="center"/>
          </w:tcPr>
          <w:p w14:paraId="08512FF4">
            <w:pPr>
              <w:jc w:val="center"/>
              <w:rPr>
                <w:rFonts w:ascii="Times New Roman"/>
                <w:sz w:val="21"/>
                <w:szCs w:val="21"/>
              </w:rPr>
            </w:pPr>
          </w:p>
        </w:tc>
        <w:tc>
          <w:tcPr>
            <w:tcW w:w="519" w:type="dxa"/>
            <w:vAlign w:val="center"/>
          </w:tcPr>
          <w:p w14:paraId="5A464F34">
            <w:pPr>
              <w:jc w:val="center"/>
              <w:rPr>
                <w:rFonts w:ascii="Times New Roman" w:eastAsia="Times New Roman"/>
                <w:sz w:val="21"/>
                <w:szCs w:val="21"/>
              </w:rPr>
            </w:pPr>
            <w:r>
              <w:rPr>
                <w:rFonts w:ascii="Times New Roman" w:eastAsia="Times New Roman"/>
                <w:b/>
                <w:bCs/>
                <w:sz w:val="21"/>
                <w:szCs w:val="21"/>
              </w:rPr>
              <w:t>(m)</w:t>
            </w:r>
          </w:p>
        </w:tc>
        <w:tc>
          <w:tcPr>
            <w:tcW w:w="592" w:type="dxa"/>
            <w:vAlign w:val="center"/>
          </w:tcPr>
          <w:p w14:paraId="60AE8174">
            <w:pPr>
              <w:jc w:val="center"/>
              <w:rPr>
                <w:rFonts w:ascii="Times New Roman" w:eastAsia="Times New Roman"/>
                <w:sz w:val="21"/>
                <w:szCs w:val="21"/>
              </w:rPr>
            </w:pPr>
            <w:r>
              <w:rPr>
                <w:rFonts w:ascii="Times New Roman" w:eastAsia="Times New Roman"/>
                <w:b/>
                <w:bCs/>
                <w:sz w:val="21"/>
                <w:szCs w:val="21"/>
              </w:rPr>
              <w:t>(m)</w:t>
            </w:r>
          </w:p>
        </w:tc>
        <w:tc>
          <w:tcPr>
            <w:tcW w:w="603" w:type="dxa"/>
            <w:vAlign w:val="center"/>
          </w:tcPr>
          <w:p w14:paraId="2E793354">
            <w:pPr>
              <w:jc w:val="center"/>
              <w:rPr>
                <w:rFonts w:ascii="Times New Roman" w:eastAsia="Times New Roman"/>
                <w:sz w:val="21"/>
                <w:szCs w:val="21"/>
              </w:rPr>
            </w:pPr>
            <w:r>
              <w:rPr>
                <w:rFonts w:ascii="Times New Roman" w:eastAsia="Times New Roman"/>
                <w:b/>
                <w:bCs/>
                <w:sz w:val="21"/>
                <w:szCs w:val="21"/>
              </w:rPr>
              <w:t>(</w:t>
            </w:r>
            <w:r>
              <w:rPr>
                <w:rFonts w:ascii="Times New Roman"/>
                <w:sz w:val="21"/>
                <w:szCs w:val="21"/>
              </w:rPr>
              <w:t>℃</w:t>
            </w:r>
            <w:r>
              <w:rPr>
                <w:rFonts w:ascii="Times New Roman" w:eastAsia="Times New Roman"/>
                <w:b/>
                <w:bCs/>
                <w:sz w:val="21"/>
                <w:szCs w:val="21"/>
              </w:rPr>
              <w:t>)</w:t>
            </w:r>
          </w:p>
        </w:tc>
        <w:tc>
          <w:tcPr>
            <w:tcW w:w="602" w:type="dxa"/>
            <w:vMerge w:val="continue"/>
            <w:vAlign w:val="center"/>
          </w:tcPr>
          <w:p w14:paraId="54D4C7B8">
            <w:pPr>
              <w:jc w:val="center"/>
              <w:rPr>
                <w:rFonts w:ascii="Times New Roman"/>
                <w:sz w:val="21"/>
                <w:szCs w:val="21"/>
              </w:rPr>
            </w:pPr>
          </w:p>
        </w:tc>
      </w:tr>
      <w:tr w14:paraId="3C686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969" w:type="dxa"/>
            <w:vAlign w:val="center"/>
          </w:tcPr>
          <w:p w14:paraId="44E287A6">
            <w:pPr>
              <w:jc w:val="center"/>
              <w:rPr>
                <w:rFonts w:ascii="Times New Roman" w:eastAsia="Times New Roman"/>
                <w:sz w:val="21"/>
                <w:szCs w:val="21"/>
              </w:rPr>
            </w:pPr>
            <w:r>
              <w:rPr>
                <w:rFonts w:ascii="Times New Roman"/>
                <w:sz w:val="21"/>
                <w:szCs w:val="21"/>
              </w:rPr>
              <w:t>下料废气</w:t>
            </w:r>
            <w:r>
              <w:rPr>
                <w:rFonts w:ascii="Times New Roman" w:eastAsia="Times New Roman"/>
                <w:sz w:val="21"/>
                <w:szCs w:val="21"/>
              </w:rPr>
              <w:t>(</w:t>
            </w:r>
            <w:r>
              <w:rPr>
                <w:rFonts w:ascii="Times New Roman"/>
                <w:sz w:val="21"/>
                <w:szCs w:val="21"/>
              </w:rPr>
              <w:t>DA001</w:t>
            </w:r>
            <w:r>
              <w:rPr>
                <w:rFonts w:ascii="Times New Roman" w:eastAsia="Times New Roman"/>
                <w:sz w:val="21"/>
                <w:szCs w:val="21"/>
              </w:rPr>
              <w:t>)</w:t>
            </w:r>
          </w:p>
        </w:tc>
        <w:tc>
          <w:tcPr>
            <w:tcW w:w="967" w:type="dxa"/>
            <w:vAlign w:val="center"/>
          </w:tcPr>
          <w:p w14:paraId="6333E827">
            <w:pPr>
              <w:jc w:val="center"/>
              <w:rPr>
                <w:rFonts w:ascii="Times New Roman"/>
                <w:sz w:val="21"/>
                <w:szCs w:val="21"/>
              </w:rPr>
            </w:pPr>
            <w:r>
              <w:rPr>
                <w:rFonts w:ascii="Times New Roman"/>
                <w:sz w:val="21"/>
                <w:szCs w:val="21"/>
              </w:rPr>
              <w:t>颗粒物</w:t>
            </w:r>
          </w:p>
        </w:tc>
        <w:tc>
          <w:tcPr>
            <w:tcW w:w="943" w:type="dxa"/>
            <w:vAlign w:val="center"/>
          </w:tcPr>
          <w:p w14:paraId="06DFB45D">
            <w:pPr>
              <w:jc w:val="center"/>
              <w:rPr>
                <w:rFonts w:ascii="Times New Roman"/>
                <w:sz w:val="21"/>
                <w:szCs w:val="21"/>
              </w:rPr>
            </w:pPr>
            <w:r>
              <w:rPr>
                <w:rFonts w:ascii="Times New Roman"/>
                <w:sz w:val="21"/>
                <w:szCs w:val="21"/>
              </w:rPr>
              <w:t>20000</w:t>
            </w:r>
          </w:p>
        </w:tc>
        <w:tc>
          <w:tcPr>
            <w:tcW w:w="874" w:type="dxa"/>
            <w:vAlign w:val="center"/>
          </w:tcPr>
          <w:p w14:paraId="3C2B3475">
            <w:pPr>
              <w:jc w:val="center"/>
              <w:rPr>
                <w:rFonts w:ascii="Times New Roman"/>
                <w:sz w:val="21"/>
                <w:szCs w:val="21"/>
              </w:rPr>
            </w:pPr>
            <w:r>
              <w:rPr>
                <w:rFonts w:hint="eastAsia" w:ascii="Times New Roman"/>
                <w:sz w:val="21"/>
                <w:szCs w:val="21"/>
              </w:rPr>
              <w:t>875.000</w:t>
            </w:r>
          </w:p>
        </w:tc>
        <w:tc>
          <w:tcPr>
            <w:tcW w:w="798" w:type="dxa"/>
            <w:shd w:val="clear" w:color="auto" w:fill="auto"/>
            <w:vAlign w:val="center"/>
          </w:tcPr>
          <w:p w14:paraId="25229617">
            <w:pPr>
              <w:jc w:val="center"/>
              <w:rPr>
                <w:rFonts w:ascii="Times New Roman"/>
                <w:sz w:val="21"/>
                <w:szCs w:val="21"/>
                <w:lang w:bidi="zh-TW"/>
              </w:rPr>
            </w:pPr>
            <w:r>
              <w:rPr>
                <w:rFonts w:ascii="Times New Roman"/>
                <w:sz w:val="21"/>
                <w:szCs w:val="21"/>
              </w:rPr>
              <w:t>1</w:t>
            </w:r>
            <w:r>
              <w:rPr>
                <w:rFonts w:hint="eastAsia" w:ascii="Times New Roman"/>
                <w:sz w:val="21"/>
                <w:szCs w:val="21"/>
              </w:rPr>
              <w:t>4.583</w:t>
            </w:r>
          </w:p>
        </w:tc>
        <w:tc>
          <w:tcPr>
            <w:tcW w:w="845" w:type="dxa"/>
            <w:shd w:val="clear" w:color="auto" w:fill="auto"/>
            <w:vAlign w:val="center"/>
          </w:tcPr>
          <w:p w14:paraId="2E2A7179">
            <w:pPr>
              <w:jc w:val="center"/>
              <w:rPr>
                <w:rFonts w:ascii="Times New Roman"/>
                <w:sz w:val="21"/>
                <w:szCs w:val="21"/>
                <w:lang w:bidi="zh-TW"/>
              </w:rPr>
            </w:pPr>
            <w:r>
              <w:rPr>
                <w:rFonts w:hint="eastAsia" w:ascii="Times New Roman"/>
                <w:sz w:val="21"/>
                <w:szCs w:val="21"/>
              </w:rPr>
              <w:t>105</w:t>
            </w:r>
          </w:p>
        </w:tc>
        <w:tc>
          <w:tcPr>
            <w:tcW w:w="646" w:type="dxa"/>
            <w:vAlign w:val="center"/>
          </w:tcPr>
          <w:p w14:paraId="28AA9305">
            <w:pPr>
              <w:jc w:val="center"/>
              <w:rPr>
                <w:rFonts w:ascii="Times New Roman"/>
                <w:sz w:val="21"/>
                <w:szCs w:val="21"/>
              </w:rPr>
            </w:pPr>
            <w:r>
              <w:rPr>
                <w:rFonts w:ascii="Times New Roman"/>
                <w:sz w:val="21"/>
                <w:szCs w:val="21"/>
              </w:rPr>
              <w:t>9</w:t>
            </w:r>
            <w:r>
              <w:rPr>
                <w:rFonts w:hint="eastAsia" w:ascii="Times New Roman"/>
                <w:sz w:val="21"/>
                <w:szCs w:val="21"/>
              </w:rPr>
              <w:t>5</w:t>
            </w:r>
          </w:p>
        </w:tc>
        <w:tc>
          <w:tcPr>
            <w:tcW w:w="774" w:type="dxa"/>
            <w:vAlign w:val="center"/>
          </w:tcPr>
          <w:p w14:paraId="541985E1">
            <w:pPr>
              <w:jc w:val="center"/>
              <w:rPr>
                <w:rFonts w:ascii="Times New Roman"/>
                <w:sz w:val="21"/>
                <w:szCs w:val="21"/>
              </w:rPr>
            </w:pPr>
            <w:r>
              <w:rPr>
                <w:rFonts w:ascii="Times New Roman"/>
                <w:sz w:val="21"/>
                <w:szCs w:val="21"/>
              </w:rPr>
              <w:t>布袋除尘器</w:t>
            </w:r>
          </w:p>
        </w:tc>
        <w:tc>
          <w:tcPr>
            <w:tcW w:w="652" w:type="dxa"/>
            <w:vAlign w:val="center"/>
          </w:tcPr>
          <w:p w14:paraId="7A4180F7">
            <w:pPr>
              <w:jc w:val="center"/>
              <w:rPr>
                <w:rFonts w:ascii="Times New Roman" w:eastAsia="Times New Roman"/>
                <w:sz w:val="21"/>
                <w:szCs w:val="21"/>
              </w:rPr>
            </w:pPr>
            <w:r>
              <w:rPr>
                <w:rFonts w:ascii="Times New Roman" w:eastAsia="Times New Roman"/>
                <w:sz w:val="21"/>
                <w:szCs w:val="21"/>
              </w:rPr>
              <w:t>99</w:t>
            </w:r>
          </w:p>
        </w:tc>
        <w:tc>
          <w:tcPr>
            <w:tcW w:w="832" w:type="dxa"/>
            <w:shd w:val="clear" w:color="auto" w:fill="auto"/>
            <w:vAlign w:val="center"/>
          </w:tcPr>
          <w:p w14:paraId="7D335C30">
            <w:pPr>
              <w:jc w:val="center"/>
              <w:rPr>
                <w:rFonts w:ascii="Times New Roman"/>
                <w:sz w:val="21"/>
                <w:szCs w:val="21"/>
                <w:lang w:bidi="zh-TW"/>
              </w:rPr>
            </w:pPr>
            <w:r>
              <w:rPr>
                <w:rFonts w:ascii="Times New Roman"/>
                <w:sz w:val="21"/>
                <w:szCs w:val="21"/>
                <w:lang w:bidi="zh-TW"/>
              </w:rPr>
              <w:t>6.</w:t>
            </w:r>
            <w:r>
              <w:rPr>
                <w:rFonts w:hint="eastAsia" w:ascii="Times New Roman"/>
                <w:sz w:val="21"/>
                <w:szCs w:val="21"/>
                <w:lang w:bidi="zh-TW"/>
              </w:rPr>
              <w:t>927</w:t>
            </w:r>
          </w:p>
        </w:tc>
        <w:tc>
          <w:tcPr>
            <w:tcW w:w="819" w:type="dxa"/>
            <w:shd w:val="clear" w:color="auto" w:fill="auto"/>
            <w:vAlign w:val="center"/>
          </w:tcPr>
          <w:p w14:paraId="7371BAAF">
            <w:pPr>
              <w:jc w:val="center"/>
              <w:rPr>
                <w:rFonts w:ascii="Times New Roman"/>
                <w:sz w:val="21"/>
                <w:szCs w:val="21"/>
                <w:lang w:bidi="zh-TW"/>
              </w:rPr>
            </w:pPr>
            <w:r>
              <w:rPr>
                <w:rFonts w:ascii="Times New Roman"/>
                <w:sz w:val="21"/>
                <w:szCs w:val="21"/>
              </w:rPr>
              <w:t>0.13</w:t>
            </w:r>
            <w:r>
              <w:rPr>
                <w:rFonts w:hint="eastAsia" w:ascii="Times New Roman"/>
                <w:sz w:val="21"/>
                <w:szCs w:val="21"/>
              </w:rPr>
              <w:t>8</w:t>
            </w:r>
          </w:p>
        </w:tc>
        <w:tc>
          <w:tcPr>
            <w:tcW w:w="819" w:type="dxa"/>
            <w:shd w:val="clear" w:color="auto" w:fill="auto"/>
            <w:vAlign w:val="center"/>
          </w:tcPr>
          <w:p w14:paraId="703183E2">
            <w:pPr>
              <w:jc w:val="center"/>
              <w:rPr>
                <w:rFonts w:ascii="Times New Roman"/>
                <w:sz w:val="21"/>
                <w:szCs w:val="21"/>
                <w:lang w:bidi="zh-TW"/>
              </w:rPr>
            </w:pPr>
            <w:r>
              <w:rPr>
                <w:rFonts w:hint="eastAsia" w:ascii="Times New Roman"/>
                <w:sz w:val="21"/>
                <w:szCs w:val="21"/>
                <w:lang w:bidi="zh-TW"/>
              </w:rPr>
              <w:t>1.000</w:t>
            </w:r>
          </w:p>
        </w:tc>
        <w:tc>
          <w:tcPr>
            <w:tcW w:w="832" w:type="dxa"/>
            <w:shd w:val="clear" w:color="auto" w:fill="auto"/>
            <w:vAlign w:val="center"/>
          </w:tcPr>
          <w:p w14:paraId="5FBCF5AD">
            <w:pPr>
              <w:jc w:val="center"/>
              <w:rPr>
                <w:rFonts w:ascii="Times New Roman"/>
                <w:sz w:val="21"/>
                <w:szCs w:val="21"/>
              </w:rPr>
            </w:pPr>
            <w:r>
              <w:rPr>
                <w:rFonts w:ascii="Times New Roman"/>
                <w:sz w:val="21"/>
                <w:szCs w:val="21"/>
              </w:rPr>
              <w:t>10</w:t>
            </w:r>
          </w:p>
        </w:tc>
        <w:tc>
          <w:tcPr>
            <w:tcW w:w="519" w:type="dxa"/>
            <w:vAlign w:val="center"/>
          </w:tcPr>
          <w:p w14:paraId="60D8DBD2">
            <w:pPr>
              <w:jc w:val="center"/>
              <w:rPr>
                <w:rFonts w:ascii="Times New Roman"/>
                <w:sz w:val="21"/>
                <w:szCs w:val="21"/>
              </w:rPr>
            </w:pPr>
            <w:r>
              <w:rPr>
                <w:rFonts w:ascii="Times New Roman"/>
                <w:sz w:val="21"/>
                <w:szCs w:val="21"/>
              </w:rPr>
              <w:t>20</w:t>
            </w:r>
          </w:p>
        </w:tc>
        <w:tc>
          <w:tcPr>
            <w:tcW w:w="592" w:type="dxa"/>
            <w:vAlign w:val="center"/>
          </w:tcPr>
          <w:p w14:paraId="1090B1A5">
            <w:pPr>
              <w:spacing w:line="280" w:lineRule="exact"/>
              <w:jc w:val="center"/>
              <w:rPr>
                <w:rFonts w:ascii="Times New Roman"/>
                <w:sz w:val="21"/>
                <w:szCs w:val="21"/>
              </w:rPr>
            </w:pPr>
            <w:r>
              <w:rPr>
                <w:rFonts w:ascii="Times New Roman"/>
                <w:sz w:val="21"/>
                <w:szCs w:val="21"/>
              </w:rPr>
              <w:t>0.7</w:t>
            </w:r>
          </w:p>
        </w:tc>
        <w:tc>
          <w:tcPr>
            <w:tcW w:w="603" w:type="dxa"/>
            <w:vAlign w:val="center"/>
          </w:tcPr>
          <w:p w14:paraId="2A20AE03">
            <w:pPr>
              <w:jc w:val="center"/>
              <w:rPr>
                <w:rFonts w:ascii="Times New Roman" w:eastAsia="Times New Roman"/>
                <w:sz w:val="21"/>
                <w:szCs w:val="21"/>
              </w:rPr>
            </w:pPr>
            <w:r>
              <w:rPr>
                <w:rFonts w:ascii="Times New Roman" w:eastAsia="Times New Roman"/>
                <w:sz w:val="21"/>
                <w:szCs w:val="21"/>
              </w:rPr>
              <w:t>25</w:t>
            </w:r>
          </w:p>
        </w:tc>
        <w:tc>
          <w:tcPr>
            <w:tcW w:w="602" w:type="dxa"/>
            <w:vAlign w:val="center"/>
          </w:tcPr>
          <w:p w14:paraId="17E6D77E">
            <w:pPr>
              <w:jc w:val="center"/>
              <w:rPr>
                <w:rFonts w:ascii="Times New Roman" w:eastAsia="Times New Roman"/>
                <w:sz w:val="21"/>
                <w:szCs w:val="21"/>
              </w:rPr>
            </w:pPr>
            <w:r>
              <w:rPr>
                <w:rFonts w:hint="eastAsia" w:ascii="Times New Roman"/>
                <w:sz w:val="21"/>
                <w:szCs w:val="21"/>
              </w:rPr>
              <w:t>60</w:t>
            </w:r>
            <w:r>
              <w:rPr>
                <w:rFonts w:ascii="Times New Roman" w:eastAsia="Times New Roman"/>
                <w:sz w:val="21"/>
                <w:szCs w:val="21"/>
              </w:rPr>
              <w:t>00</w:t>
            </w:r>
          </w:p>
        </w:tc>
      </w:tr>
      <w:tr w14:paraId="786B5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969" w:type="dxa"/>
            <w:vAlign w:val="center"/>
          </w:tcPr>
          <w:p w14:paraId="562C6B1E">
            <w:pPr>
              <w:jc w:val="center"/>
              <w:rPr>
                <w:rFonts w:ascii="Times New Roman"/>
                <w:sz w:val="21"/>
                <w:szCs w:val="21"/>
              </w:rPr>
            </w:pPr>
            <w:r>
              <w:rPr>
                <w:rFonts w:ascii="Times New Roman"/>
                <w:sz w:val="21"/>
                <w:szCs w:val="21"/>
              </w:rPr>
              <w:t>焊接废气</w:t>
            </w:r>
            <w:r>
              <w:rPr>
                <w:rFonts w:ascii="Times New Roman" w:eastAsia="Times New Roman"/>
                <w:sz w:val="21"/>
                <w:szCs w:val="21"/>
              </w:rPr>
              <w:t>(</w:t>
            </w:r>
            <w:r>
              <w:rPr>
                <w:rFonts w:ascii="Times New Roman"/>
                <w:sz w:val="21"/>
                <w:szCs w:val="21"/>
              </w:rPr>
              <w:t>DA002</w:t>
            </w:r>
            <w:r>
              <w:rPr>
                <w:rFonts w:ascii="Times New Roman" w:eastAsia="Times New Roman"/>
                <w:sz w:val="21"/>
                <w:szCs w:val="21"/>
              </w:rPr>
              <w:t>)</w:t>
            </w:r>
          </w:p>
        </w:tc>
        <w:tc>
          <w:tcPr>
            <w:tcW w:w="967" w:type="dxa"/>
            <w:vAlign w:val="center"/>
          </w:tcPr>
          <w:p w14:paraId="38E26CC4">
            <w:pPr>
              <w:jc w:val="center"/>
              <w:rPr>
                <w:rFonts w:ascii="Times New Roman"/>
                <w:sz w:val="21"/>
                <w:szCs w:val="21"/>
              </w:rPr>
            </w:pPr>
            <w:r>
              <w:rPr>
                <w:rFonts w:ascii="Times New Roman"/>
                <w:sz w:val="21"/>
                <w:szCs w:val="21"/>
              </w:rPr>
              <w:t>颗粒物</w:t>
            </w:r>
          </w:p>
        </w:tc>
        <w:tc>
          <w:tcPr>
            <w:tcW w:w="943" w:type="dxa"/>
            <w:vAlign w:val="center"/>
          </w:tcPr>
          <w:p w14:paraId="101AFA9E">
            <w:pPr>
              <w:jc w:val="center"/>
              <w:rPr>
                <w:rFonts w:ascii="Times New Roman"/>
                <w:sz w:val="21"/>
                <w:szCs w:val="21"/>
              </w:rPr>
            </w:pPr>
            <w:r>
              <w:rPr>
                <w:rFonts w:hint="eastAsia" w:ascii="Times New Roman"/>
                <w:sz w:val="21"/>
                <w:szCs w:val="21"/>
              </w:rPr>
              <w:t>15000</w:t>
            </w:r>
          </w:p>
        </w:tc>
        <w:tc>
          <w:tcPr>
            <w:tcW w:w="874" w:type="dxa"/>
            <w:vAlign w:val="center"/>
          </w:tcPr>
          <w:p w14:paraId="2156FDB7">
            <w:pPr>
              <w:jc w:val="center"/>
              <w:rPr>
                <w:rFonts w:ascii="Times New Roman"/>
                <w:sz w:val="21"/>
                <w:szCs w:val="21"/>
              </w:rPr>
            </w:pPr>
            <w:r>
              <w:rPr>
                <w:rFonts w:hint="eastAsia" w:ascii="Times New Roman"/>
                <w:sz w:val="21"/>
                <w:szCs w:val="21"/>
              </w:rPr>
              <w:t>14.463</w:t>
            </w:r>
          </w:p>
        </w:tc>
        <w:tc>
          <w:tcPr>
            <w:tcW w:w="798" w:type="dxa"/>
            <w:shd w:val="clear" w:color="auto" w:fill="auto"/>
            <w:vAlign w:val="center"/>
          </w:tcPr>
          <w:p w14:paraId="2AA69F8F">
            <w:pPr>
              <w:jc w:val="center"/>
              <w:rPr>
                <w:rFonts w:ascii="Times New Roman"/>
                <w:sz w:val="21"/>
                <w:szCs w:val="21"/>
              </w:rPr>
            </w:pPr>
            <w:r>
              <w:rPr>
                <w:rFonts w:ascii="Times New Roman"/>
                <w:sz w:val="21"/>
                <w:szCs w:val="21"/>
              </w:rPr>
              <w:t>0.211</w:t>
            </w:r>
          </w:p>
        </w:tc>
        <w:tc>
          <w:tcPr>
            <w:tcW w:w="845" w:type="dxa"/>
            <w:vAlign w:val="center"/>
          </w:tcPr>
          <w:p w14:paraId="0B8B051C">
            <w:pPr>
              <w:jc w:val="center"/>
              <w:rPr>
                <w:rFonts w:ascii="Times New Roman"/>
                <w:sz w:val="21"/>
                <w:szCs w:val="21"/>
              </w:rPr>
            </w:pPr>
            <w:r>
              <w:rPr>
                <w:rFonts w:hint="eastAsia" w:ascii="Times New Roman"/>
                <w:sz w:val="21"/>
                <w:szCs w:val="21"/>
              </w:rPr>
              <w:t>1.516</w:t>
            </w:r>
          </w:p>
        </w:tc>
        <w:tc>
          <w:tcPr>
            <w:tcW w:w="646" w:type="dxa"/>
            <w:shd w:val="clear" w:color="auto" w:fill="auto"/>
            <w:vAlign w:val="center"/>
          </w:tcPr>
          <w:p w14:paraId="24132628">
            <w:pPr>
              <w:jc w:val="center"/>
              <w:rPr>
                <w:rFonts w:ascii="Times New Roman"/>
                <w:sz w:val="21"/>
                <w:szCs w:val="21"/>
              </w:rPr>
            </w:pPr>
            <w:r>
              <w:rPr>
                <w:rFonts w:ascii="Times New Roman"/>
                <w:sz w:val="21"/>
                <w:szCs w:val="21"/>
              </w:rPr>
              <w:t>90</w:t>
            </w:r>
          </w:p>
        </w:tc>
        <w:tc>
          <w:tcPr>
            <w:tcW w:w="774" w:type="dxa"/>
            <w:shd w:val="clear" w:color="auto" w:fill="auto"/>
            <w:vAlign w:val="center"/>
          </w:tcPr>
          <w:p w14:paraId="620A6E8B">
            <w:pPr>
              <w:jc w:val="center"/>
              <w:rPr>
                <w:rFonts w:ascii="Times New Roman"/>
                <w:sz w:val="21"/>
                <w:szCs w:val="21"/>
              </w:rPr>
            </w:pPr>
            <w:r>
              <w:rPr>
                <w:rFonts w:hint="eastAsia" w:ascii="Times New Roman"/>
                <w:sz w:val="21"/>
                <w:szCs w:val="21"/>
              </w:rPr>
              <w:t>滤筒</w:t>
            </w:r>
            <w:r>
              <w:rPr>
                <w:rFonts w:ascii="Times New Roman"/>
                <w:sz w:val="21"/>
                <w:szCs w:val="21"/>
              </w:rPr>
              <w:t>除尘器</w:t>
            </w:r>
          </w:p>
        </w:tc>
        <w:tc>
          <w:tcPr>
            <w:tcW w:w="652" w:type="dxa"/>
            <w:shd w:val="clear" w:color="auto" w:fill="auto"/>
            <w:vAlign w:val="center"/>
          </w:tcPr>
          <w:p w14:paraId="637E30BE">
            <w:pPr>
              <w:jc w:val="center"/>
              <w:rPr>
                <w:rFonts w:ascii="Times New Roman" w:eastAsia="Times New Roman"/>
                <w:sz w:val="21"/>
                <w:szCs w:val="21"/>
              </w:rPr>
            </w:pPr>
            <w:r>
              <w:rPr>
                <w:rFonts w:ascii="Times New Roman" w:eastAsia="Times New Roman"/>
                <w:sz w:val="21"/>
                <w:szCs w:val="21"/>
              </w:rPr>
              <w:t>99</w:t>
            </w:r>
          </w:p>
        </w:tc>
        <w:tc>
          <w:tcPr>
            <w:tcW w:w="832" w:type="dxa"/>
            <w:vAlign w:val="center"/>
          </w:tcPr>
          <w:p w14:paraId="318F7356">
            <w:pPr>
              <w:jc w:val="center"/>
              <w:rPr>
                <w:rFonts w:ascii="Times New Roman"/>
                <w:sz w:val="21"/>
                <w:szCs w:val="21"/>
              </w:rPr>
            </w:pPr>
            <w:r>
              <w:rPr>
                <w:rFonts w:hint="eastAsia" w:ascii="Times New Roman"/>
                <w:sz w:val="21"/>
                <w:szCs w:val="21"/>
              </w:rPr>
              <w:t>0.126</w:t>
            </w:r>
          </w:p>
        </w:tc>
        <w:tc>
          <w:tcPr>
            <w:tcW w:w="819" w:type="dxa"/>
            <w:vAlign w:val="center"/>
          </w:tcPr>
          <w:p w14:paraId="0266FADA">
            <w:pPr>
              <w:jc w:val="center"/>
              <w:rPr>
                <w:rFonts w:ascii="Times New Roman"/>
                <w:sz w:val="21"/>
                <w:szCs w:val="21"/>
                <w:lang w:bidi="zh-TW"/>
              </w:rPr>
            </w:pPr>
            <w:r>
              <w:rPr>
                <w:rFonts w:hint="eastAsia" w:ascii="Times New Roman"/>
                <w:sz w:val="21"/>
                <w:szCs w:val="21"/>
                <w:lang w:bidi="zh-TW"/>
              </w:rPr>
              <w:t>0.002</w:t>
            </w:r>
          </w:p>
        </w:tc>
        <w:tc>
          <w:tcPr>
            <w:tcW w:w="819" w:type="dxa"/>
            <w:vAlign w:val="center"/>
          </w:tcPr>
          <w:p w14:paraId="40308A6C">
            <w:pPr>
              <w:jc w:val="center"/>
              <w:rPr>
                <w:rFonts w:ascii="Times New Roman"/>
                <w:sz w:val="21"/>
                <w:szCs w:val="21"/>
              </w:rPr>
            </w:pPr>
            <w:r>
              <w:rPr>
                <w:rFonts w:hint="eastAsia" w:ascii="Times New Roman"/>
                <w:sz w:val="21"/>
                <w:szCs w:val="21"/>
              </w:rPr>
              <w:t>0.014</w:t>
            </w:r>
          </w:p>
        </w:tc>
        <w:tc>
          <w:tcPr>
            <w:tcW w:w="832" w:type="dxa"/>
            <w:shd w:val="clear" w:color="auto" w:fill="auto"/>
            <w:vAlign w:val="center"/>
          </w:tcPr>
          <w:p w14:paraId="45AD7AC7">
            <w:pPr>
              <w:jc w:val="center"/>
              <w:rPr>
                <w:rFonts w:ascii="Times New Roman"/>
                <w:sz w:val="21"/>
                <w:szCs w:val="21"/>
              </w:rPr>
            </w:pPr>
            <w:r>
              <w:rPr>
                <w:rFonts w:hint="eastAsia" w:ascii="Times New Roman"/>
                <w:sz w:val="21"/>
                <w:szCs w:val="21"/>
              </w:rPr>
              <w:t>10</w:t>
            </w:r>
          </w:p>
        </w:tc>
        <w:tc>
          <w:tcPr>
            <w:tcW w:w="519" w:type="dxa"/>
            <w:shd w:val="clear" w:color="auto" w:fill="auto"/>
            <w:vAlign w:val="center"/>
          </w:tcPr>
          <w:p w14:paraId="657DDA81">
            <w:pPr>
              <w:jc w:val="center"/>
              <w:rPr>
                <w:rFonts w:ascii="Times New Roman"/>
                <w:sz w:val="21"/>
                <w:szCs w:val="21"/>
              </w:rPr>
            </w:pPr>
            <w:r>
              <w:rPr>
                <w:rFonts w:ascii="Times New Roman"/>
                <w:sz w:val="21"/>
                <w:szCs w:val="21"/>
              </w:rPr>
              <w:t>2</w:t>
            </w:r>
            <w:r>
              <w:rPr>
                <w:rFonts w:hint="eastAsia" w:ascii="Times New Roman"/>
                <w:sz w:val="21"/>
                <w:szCs w:val="21"/>
              </w:rPr>
              <w:t>2</w:t>
            </w:r>
          </w:p>
        </w:tc>
        <w:tc>
          <w:tcPr>
            <w:tcW w:w="592" w:type="dxa"/>
            <w:shd w:val="clear" w:color="auto" w:fill="auto"/>
            <w:vAlign w:val="center"/>
          </w:tcPr>
          <w:p w14:paraId="19E1CC1B">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5</w:t>
            </w:r>
          </w:p>
        </w:tc>
        <w:tc>
          <w:tcPr>
            <w:tcW w:w="603" w:type="dxa"/>
            <w:shd w:val="clear" w:color="auto" w:fill="auto"/>
            <w:vAlign w:val="center"/>
          </w:tcPr>
          <w:p w14:paraId="649164D9">
            <w:pPr>
              <w:jc w:val="center"/>
              <w:rPr>
                <w:rFonts w:ascii="Times New Roman" w:eastAsia="Times New Roman"/>
                <w:sz w:val="21"/>
                <w:szCs w:val="21"/>
              </w:rPr>
            </w:pPr>
            <w:r>
              <w:rPr>
                <w:rFonts w:ascii="Times New Roman" w:eastAsia="Times New Roman"/>
                <w:sz w:val="21"/>
                <w:szCs w:val="21"/>
              </w:rPr>
              <w:t>25</w:t>
            </w:r>
          </w:p>
        </w:tc>
        <w:tc>
          <w:tcPr>
            <w:tcW w:w="602" w:type="dxa"/>
            <w:shd w:val="clear" w:color="auto" w:fill="auto"/>
            <w:vAlign w:val="center"/>
          </w:tcPr>
          <w:p w14:paraId="79A1A068">
            <w:pPr>
              <w:jc w:val="center"/>
              <w:rPr>
                <w:rFonts w:ascii="Times New Roman" w:eastAsia="Times New Roman"/>
                <w:sz w:val="21"/>
                <w:szCs w:val="21"/>
              </w:rPr>
            </w:pPr>
            <w:r>
              <w:rPr>
                <w:rFonts w:hint="eastAsia" w:ascii="Times New Roman"/>
                <w:sz w:val="21"/>
                <w:szCs w:val="21"/>
              </w:rPr>
              <w:t>30</w:t>
            </w:r>
            <w:r>
              <w:rPr>
                <w:rFonts w:ascii="Times New Roman" w:eastAsia="Times New Roman"/>
                <w:sz w:val="21"/>
                <w:szCs w:val="21"/>
              </w:rPr>
              <w:t>00</w:t>
            </w:r>
          </w:p>
        </w:tc>
      </w:tr>
      <w:tr w14:paraId="3EE62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969" w:type="dxa"/>
            <w:vAlign w:val="center"/>
          </w:tcPr>
          <w:p w14:paraId="3322C242">
            <w:pPr>
              <w:jc w:val="center"/>
              <w:rPr>
                <w:rFonts w:ascii="Times New Roman" w:eastAsia="Times New Roman"/>
                <w:sz w:val="21"/>
                <w:szCs w:val="21"/>
              </w:rPr>
            </w:pPr>
            <w:r>
              <w:rPr>
                <w:rFonts w:ascii="Times New Roman"/>
                <w:sz w:val="21"/>
                <w:szCs w:val="21"/>
              </w:rPr>
              <w:t>焊接废气</w:t>
            </w:r>
            <w:r>
              <w:rPr>
                <w:rFonts w:ascii="Times New Roman" w:eastAsia="Times New Roman"/>
                <w:sz w:val="21"/>
                <w:szCs w:val="21"/>
              </w:rPr>
              <w:t>(</w:t>
            </w:r>
            <w:r>
              <w:rPr>
                <w:rFonts w:ascii="Times New Roman"/>
                <w:sz w:val="21"/>
                <w:szCs w:val="21"/>
              </w:rPr>
              <w:t>DA003</w:t>
            </w:r>
            <w:r>
              <w:rPr>
                <w:rFonts w:ascii="Times New Roman" w:eastAsia="Times New Roman"/>
                <w:sz w:val="21"/>
                <w:szCs w:val="21"/>
              </w:rPr>
              <w:t>)</w:t>
            </w:r>
          </w:p>
        </w:tc>
        <w:tc>
          <w:tcPr>
            <w:tcW w:w="967" w:type="dxa"/>
            <w:vAlign w:val="center"/>
          </w:tcPr>
          <w:p w14:paraId="47C8D724">
            <w:pPr>
              <w:jc w:val="center"/>
              <w:rPr>
                <w:rFonts w:ascii="Times New Roman"/>
                <w:sz w:val="21"/>
                <w:szCs w:val="21"/>
              </w:rPr>
            </w:pPr>
            <w:r>
              <w:rPr>
                <w:rFonts w:ascii="Times New Roman"/>
                <w:sz w:val="21"/>
                <w:szCs w:val="21"/>
              </w:rPr>
              <w:t>颗粒物</w:t>
            </w:r>
          </w:p>
        </w:tc>
        <w:tc>
          <w:tcPr>
            <w:tcW w:w="943" w:type="dxa"/>
            <w:vAlign w:val="center"/>
          </w:tcPr>
          <w:p w14:paraId="5281B651">
            <w:pPr>
              <w:jc w:val="center"/>
              <w:rPr>
                <w:rFonts w:ascii="Times New Roman"/>
                <w:sz w:val="21"/>
                <w:szCs w:val="21"/>
              </w:rPr>
            </w:pPr>
            <w:r>
              <w:rPr>
                <w:rFonts w:hint="eastAsia" w:ascii="Times New Roman"/>
                <w:sz w:val="21"/>
                <w:szCs w:val="21"/>
              </w:rPr>
              <w:t>15000</w:t>
            </w:r>
          </w:p>
        </w:tc>
        <w:tc>
          <w:tcPr>
            <w:tcW w:w="874" w:type="dxa"/>
            <w:vAlign w:val="center"/>
          </w:tcPr>
          <w:p w14:paraId="40A5D924">
            <w:pPr>
              <w:jc w:val="center"/>
              <w:rPr>
                <w:rFonts w:ascii="Times New Roman"/>
                <w:sz w:val="21"/>
                <w:szCs w:val="21"/>
              </w:rPr>
            </w:pPr>
            <w:r>
              <w:rPr>
                <w:rFonts w:hint="eastAsia" w:ascii="Times New Roman"/>
                <w:sz w:val="21"/>
                <w:szCs w:val="21"/>
              </w:rPr>
              <w:t>17.018</w:t>
            </w:r>
          </w:p>
        </w:tc>
        <w:tc>
          <w:tcPr>
            <w:tcW w:w="798" w:type="dxa"/>
            <w:shd w:val="clear" w:color="auto" w:fill="auto"/>
            <w:vAlign w:val="center"/>
          </w:tcPr>
          <w:p w14:paraId="51908A7A">
            <w:pPr>
              <w:jc w:val="center"/>
              <w:rPr>
                <w:rFonts w:ascii="Times New Roman"/>
                <w:sz w:val="21"/>
                <w:szCs w:val="21"/>
              </w:rPr>
            </w:pPr>
            <w:r>
              <w:rPr>
                <w:rFonts w:ascii="Times New Roman"/>
                <w:sz w:val="21"/>
                <w:szCs w:val="21"/>
              </w:rPr>
              <w:t>0.255</w:t>
            </w:r>
          </w:p>
        </w:tc>
        <w:tc>
          <w:tcPr>
            <w:tcW w:w="845" w:type="dxa"/>
            <w:shd w:val="clear" w:color="auto" w:fill="auto"/>
            <w:vAlign w:val="center"/>
          </w:tcPr>
          <w:p w14:paraId="620C1A2F">
            <w:pPr>
              <w:jc w:val="center"/>
              <w:rPr>
                <w:rFonts w:ascii="Times New Roman"/>
                <w:sz w:val="21"/>
                <w:szCs w:val="21"/>
              </w:rPr>
            </w:pPr>
            <w:r>
              <w:rPr>
                <w:rFonts w:ascii="Times New Roman"/>
                <w:sz w:val="21"/>
                <w:szCs w:val="21"/>
              </w:rPr>
              <w:t>1.838</w:t>
            </w:r>
          </w:p>
        </w:tc>
        <w:tc>
          <w:tcPr>
            <w:tcW w:w="646" w:type="dxa"/>
            <w:shd w:val="clear" w:color="auto" w:fill="auto"/>
            <w:vAlign w:val="center"/>
          </w:tcPr>
          <w:p w14:paraId="3FDFF9DB">
            <w:pPr>
              <w:jc w:val="center"/>
              <w:rPr>
                <w:rFonts w:ascii="Times New Roman"/>
                <w:sz w:val="21"/>
                <w:szCs w:val="21"/>
              </w:rPr>
            </w:pPr>
            <w:r>
              <w:rPr>
                <w:rFonts w:ascii="Times New Roman"/>
                <w:sz w:val="21"/>
                <w:szCs w:val="21"/>
              </w:rPr>
              <w:t>90</w:t>
            </w:r>
          </w:p>
        </w:tc>
        <w:tc>
          <w:tcPr>
            <w:tcW w:w="774" w:type="dxa"/>
            <w:shd w:val="clear" w:color="auto" w:fill="auto"/>
            <w:vAlign w:val="center"/>
          </w:tcPr>
          <w:p w14:paraId="13A15C34">
            <w:pPr>
              <w:jc w:val="center"/>
              <w:rPr>
                <w:rFonts w:ascii="Times New Roman"/>
                <w:sz w:val="21"/>
                <w:szCs w:val="21"/>
              </w:rPr>
            </w:pPr>
            <w:r>
              <w:rPr>
                <w:rFonts w:hint="eastAsia" w:ascii="Times New Roman"/>
                <w:sz w:val="21"/>
                <w:szCs w:val="21"/>
              </w:rPr>
              <w:t>滤筒</w:t>
            </w:r>
            <w:r>
              <w:rPr>
                <w:rFonts w:ascii="Times New Roman"/>
                <w:sz w:val="21"/>
                <w:szCs w:val="21"/>
              </w:rPr>
              <w:t>除尘器</w:t>
            </w:r>
          </w:p>
        </w:tc>
        <w:tc>
          <w:tcPr>
            <w:tcW w:w="652" w:type="dxa"/>
            <w:shd w:val="clear" w:color="auto" w:fill="auto"/>
            <w:vAlign w:val="center"/>
          </w:tcPr>
          <w:p w14:paraId="50B2A595">
            <w:pPr>
              <w:jc w:val="center"/>
              <w:rPr>
                <w:rFonts w:ascii="Times New Roman" w:eastAsia="Times New Roman"/>
                <w:sz w:val="21"/>
                <w:szCs w:val="21"/>
              </w:rPr>
            </w:pPr>
            <w:r>
              <w:rPr>
                <w:rFonts w:ascii="Times New Roman" w:eastAsia="Times New Roman"/>
                <w:sz w:val="21"/>
                <w:szCs w:val="21"/>
              </w:rPr>
              <w:t>99</w:t>
            </w:r>
          </w:p>
        </w:tc>
        <w:tc>
          <w:tcPr>
            <w:tcW w:w="832" w:type="dxa"/>
            <w:vAlign w:val="center"/>
          </w:tcPr>
          <w:p w14:paraId="4AB542CE">
            <w:pPr>
              <w:jc w:val="center"/>
              <w:rPr>
                <w:rFonts w:ascii="Times New Roman"/>
                <w:sz w:val="21"/>
                <w:szCs w:val="21"/>
              </w:rPr>
            </w:pPr>
            <w:r>
              <w:rPr>
                <w:rFonts w:hint="eastAsia" w:ascii="Times New Roman"/>
                <w:sz w:val="21"/>
                <w:szCs w:val="21"/>
              </w:rPr>
              <w:t>0.153</w:t>
            </w:r>
          </w:p>
        </w:tc>
        <w:tc>
          <w:tcPr>
            <w:tcW w:w="819" w:type="dxa"/>
            <w:vAlign w:val="center"/>
          </w:tcPr>
          <w:p w14:paraId="73F0F038">
            <w:pPr>
              <w:jc w:val="center"/>
              <w:rPr>
                <w:rFonts w:ascii="Times New Roman"/>
                <w:sz w:val="21"/>
                <w:szCs w:val="21"/>
                <w:lang w:bidi="zh-TW"/>
              </w:rPr>
            </w:pPr>
            <w:r>
              <w:rPr>
                <w:rFonts w:hint="eastAsia" w:ascii="Times New Roman"/>
                <w:sz w:val="21"/>
                <w:szCs w:val="21"/>
                <w:lang w:bidi="zh-TW"/>
              </w:rPr>
              <w:t>0.002</w:t>
            </w:r>
          </w:p>
        </w:tc>
        <w:tc>
          <w:tcPr>
            <w:tcW w:w="819" w:type="dxa"/>
            <w:vAlign w:val="center"/>
          </w:tcPr>
          <w:p w14:paraId="4908AD41">
            <w:pPr>
              <w:jc w:val="center"/>
              <w:rPr>
                <w:rFonts w:ascii="Times New Roman"/>
                <w:sz w:val="21"/>
                <w:szCs w:val="21"/>
              </w:rPr>
            </w:pPr>
            <w:r>
              <w:rPr>
                <w:rFonts w:hint="eastAsia" w:ascii="Times New Roman"/>
                <w:sz w:val="21"/>
                <w:szCs w:val="21"/>
              </w:rPr>
              <w:t>0.016</w:t>
            </w:r>
          </w:p>
        </w:tc>
        <w:tc>
          <w:tcPr>
            <w:tcW w:w="832" w:type="dxa"/>
            <w:shd w:val="clear" w:color="auto" w:fill="auto"/>
            <w:vAlign w:val="center"/>
          </w:tcPr>
          <w:p w14:paraId="39F1A058">
            <w:pPr>
              <w:jc w:val="center"/>
              <w:rPr>
                <w:rFonts w:ascii="Times New Roman"/>
                <w:sz w:val="21"/>
                <w:szCs w:val="21"/>
              </w:rPr>
            </w:pPr>
            <w:r>
              <w:rPr>
                <w:rFonts w:ascii="Times New Roman"/>
                <w:sz w:val="21"/>
                <w:szCs w:val="21"/>
              </w:rPr>
              <w:t>10</w:t>
            </w:r>
          </w:p>
        </w:tc>
        <w:tc>
          <w:tcPr>
            <w:tcW w:w="519" w:type="dxa"/>
            <w:shd w:val="clear" w:color="auto" w:fill="auto"/>
            <w:vAlign w:val="center"/>
          </w:tcPr>
          <w:p w14:paraId="52B584F6">
            <w:pPr>
              <w:jc w:val="center"/>
              <w:rPr>
                <w:rFonts w:ascii="Times New Roman"/>
                <w:sz w:val="21"/>
                <w:szCs w:val="21"/>
              </w:rPr>
            </w:pPr>
            <w:r>
              <w:rPr>
                <w:rFonts w:ascii="Times New Roman"/>
                <w:sz w:val="21"/>
                <w:szCs w:val="21"/>
              </w:rPr>
              <w:t>2</w:t>
            </w:r>
            <w:r>
              <w:rPr>
                <w:rFonts w:hint="eastAsia" w:ascii="Times New Roman"/>
                <w:sz w:val="21"/>
                <w:szCs w:val="21"/>
              </w:rPr>
              <w:t>2</w:t>
            </w:r>
          </w:p>
        </w:tc>
        <w:tc>
          <w:tcPr>
            <w:tcW w:w="592" w:type="dxa"/>
            <w:shd w:val="clear" w:color="auto" w:fill="auto"/>
            <w:vAlign w:val="center"/>
          </w:tcPr>
          <w:p w14:paraId="149D901D">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5</w:t>
            </w:r>
          </w:p>
        </w:tc>
        <w:tc>
          <w:tcPr>
            <w:tcW w:w="603" w:type="dxa"/>
            <w:shd w:val="clear" w:color="auto" w:fill="auto"/>
            <w:vAlign w:val="center"/>
          </w:tcPr>
          <w:p w14:paraId="76DCE95B">
            <w:pPr>
              <w:jc w:val="center"/>
              <w:rPr>
                <w:rFonts w:ascii="Times New Roman" w:eastAsia="Times New Roman"/>
                <w:sz w:val="21"/>
                <w:szCs w:val="21"/>
              </w:rPr>
            </w:pPr>
            <w:r>
              <w:rPr>
                <w:rFonts w:ascii="Times New Roman" w:eastAsia="Times New Roman"/>
                <w:sz w:val="21"/>
                <w:szCs w:val="21"/>
              </w:rPr>
              <w:t>25</w:t>
            </w:r>
          </w:p>
        </w:tc>
        <w:tc>
          <w:tcPr>
            <w:tcW w:w="602" w:type="dxa"/>
            <w:shd w:val="clear" w:color="auto" w:fill="auto"/>
            <w:vAlign w:val="center"/>
          </w:tcPr>
          <w:p w14:paraId="7E7EEE60">
            <w:pPr>
              <w:jc w:val="center"/>
              <w:rPr>
                <w:rFonts w:ascii="Times New Roman" w:eastAsia="Times New Roman"/>
                <w:sz w:val="21"/>
                <w:szCs w:val="21"/>
              </w:rPr>
            </w:pPr>
            <w:r>
              <w:rPr>
                <w:rFonts w:hint="eastAsia" w:ascii="Times New Roman"/>
                <w:sz w:val="21"/>
                <w:szCs w:val="21"/>
              </w:rPr>
              <w:t>30</w:t>
            </w:r>
            <w:r>
              <w:rPr>
                <w:rFonts w:ascii="Times New Roman" w:eastAsia="Times New Roman"/>
                <w:sz w:val="21"/>
                <w:szCs w:val="21"/>
              </w:rPr>
              <w:t>00</w:t>
            </w:r>
          </w:p>
        </w:tc>
      </w:tr>
      <w:tr w14:paraId="7097B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969" w:type="dxa"/>
            <w:vAlign w:val="center"/>
          </w:tcPr>
          <w:p w14:paraId="630C25B9">
            <w:pPr>
              <w:jc w:val="center"/>
              <w:rPr>
                <w:rFonts w:ascii="Times New Roman" w:eastAsia="Times New Roman"/>
                <w:sz w:val="21"/>
                <w:szCs w:val="21"/>
              </w:rPr>
            </w:pPr>
            <w:r>
              <w:rPr>
                <w:rFonts w:ascii="Times New Roman"/>
                <w:sz w:val="21"/>
                <w:szCs w:val="21"/>
              </w:rPr>
              <w:t>焊接废气</w:t>
            </w:r>
            <w:r>
              <w:rPr>
                <w:rFonts w:ascii="Times New Roman" w:eastAsia="Times New Roman"/>
                <w:sz w:val="21"/>
                <w:szCs w:val="21"/>
              </w:rPr>
              <w:t>(</w:t>
            </w:r>
            <w:r>
              <w:rPr>
                <w:rFonts w:ascii="Times New Roman"/>
                <w:sz w:val="21"/>
                <w:szCs w:val="21"/>
              </w:rPr>
              <w:t>DA004</w:t>
            </w:r>
            <w:r>
              <w:rPr>
                <w:rFonts w:ascii="Times New Roman" w:eastAsia="Times New Roman"/>
                <w:sz w:val="21"/>
                <w:szCs w:val="21"/>
              </w:rPr>
              <w:t>)</w:t>
            </w:r>
          </w:p>
        </w:tc>
        <w:tc>
          <w:tcPr>
            <w:tcW w:w="967" w:type="dxa"/>
            <w:vAlign w:val="center"/>
          </w:tcPr>
          <w:p w14:paraId="06645F4F">
            <w:pPr>
              <w:jc w:val="center"/>
              <w:rPr>
                <w:rFonts w:ascii="Times New Roman"/>
                <w:sz w:val="21"/>
                <w:szCs w:val="21"/>
              </w:rPr>
            </w:pPr>
            <w:r>
              <w:rPr>
                <w:rFonts w:ascii="Times New Roman"/>
                <w:sz w:val="21"/>
                <w:szCs w:val="21"/>
              </w:rPr>
              <w:t>颗粒物</w:t>
            </w:r>
          </w:p>
        </w:tc>
        <w:tc>
          <w:tcPr>
            <w:tcW w:w="943" w:type="dxa"/>
            <w:vAlign w:val="center"/>
          </w:tcPr>
          <w:p w14:paraId="341C3D78">
            <w:pPr>
              <w:jc w:val="center"/>
              <w:rPr>
                <w:rFonts w:ascii="Times New Roman"/>
                <w:sz w:val="21"/>
                <w:szCs w:val="21"/>
              </w:rPr>
            </w:pPr>
            <w:r>
              <w:rPr>
                <w:rFonts w:hint="eastAsia" w:ascii="Times New Roman"/>
                <w:sz w:val="21"/>
                <w:szCs w:val="21"/>
              </w:rPr>
              <w:t>15000</w:t>
            </w:r>
          </w:p>
        </w:tc>
        <w:tc>
          <w:tcPr>
            <w:tcW w:w="874" w:type="dxa"/>
            <w:vAlign w:val="center"/>
          </w:tcPr>
          <w:p w14:paraId="4233CF58">
            <w:pPr>
              <w:jc w:val="center"/>
              <w:rPr>
                <w:rFonts w:ascii="Times New Roman"/>
                <w:sz w:val="21"/>
                <w:szCs w:val="21"/>
              </w:rPr>
            </w:pPr>
            <w:r>
              <w:rPr>
                <w:rFonts w:hint="eastAsia" w:ascii="Times New Roman"/>
                <w:sz w:val="21"/>
                <w:szCs w:val="21"/>
              </w:rPr>
              <w:t>14.462</w:t>
            </w:r>
          </w:p>
        </w:tc>
        <w:tc>
          <w:tcPr>
            <w:tcW w:w="798" w:type="dxa"/>
            <w:shd w:val="clear" w:color="auto" w:fill="auto"/>
            <w:vAlign w:val="center"/>
          </w:tcPr>
          <w:p w14:paraId="077D3010">
            <w:pPr>
              <w:jc w:val="center"/>
              <w:rPr>
                <w:rFonts w:ascii="Times New Roman"/>
                <w:sz w:val="21"/>
                <w:szCs w:val="21"/>
              </w:rPr>
            </w:pPr>
            <w:r>
              <w:rPr>
                <w:rFonts w:ascii="Times New Roman"/>
                <w:sz w:val="21"/>
                <w:szCs w:val="21"/>
              </w:rPr>
              <w:t>0.217</w:t>
            </w:r>
          </w:p>
        </w:tc>
        <w:tc>
          <w:tcPr>
            <w:tcW w:w="845" w:type="dxa"/>
            <w:shd w:val="clear" w:color="auto" w:fill="auto"/>
            <w:vAlign w:val="center"/>
          </w:tcPr>
          <w:p w14:paraId="08F97FC8">
            <w:pPr>
              <w:jc w:val="center"/>
              <w:rPr>
                <w:rFonts w:ascii="Times New Roman"/>
                <w:sz w:val="21"/>
                <w:szCs w:val="21"/>
              </w:rPr>
            </w:pPr>
            <w:r>
              <w:rPr>
                <w:rFonts w:ascii="Times New Roman"/>
                <w:sz w:val="21"/>
                <w:szCs w:val="21"/>
              </w:rPr>
              <w:t>1.562</w:t>
            </w:r>
          </w:p>
        </w:tc>
        <w:tc>
          <w:tcPr>
            <w:tcW w:w="646" w:type="dxa"/>
            <w:shd w:val="clear" w:color="auto" w:fill="auto"/>
            <w:vAlign w:val="center"/>
          </w:tcPr>
          <w:p w14:paraId="3737E659">
            <w:pPr>
              <w:jc w:val="center"/>
              <w:rPr>
                <w:rFonts w:ascii="Times New Roman"/>
                <w:sz w:val="21"/>
                <w:szCs w:val="21"/>
              </w:rPr>
            </w:pPr>
            <w:r>
              <w:rPr>
                <w:rFonts w:ascii="Times New Roman"/>
                <w:sz w:val="21"/>
                <w:szCs w:val="21"/>
              </w:rPr>
              <w:t>90</w:t>
            </w:r>
          </w:p>
        </w:tc>
        <w:tc>
          <w:tcPr>
            <w:tcW w:w="774" w:type="dxa"/>
            <w:shd w:val="clear" w:color="auto" w:fill="auto"/>
            <w:vAlign w:val="center"/>
          </w:tcPr>
          <w:p w14:paraId="53EDACBE">
            <w:pPr>
              <w:jc w:val="center"/>
              <w:rPr>
                <w:rFonts w:ascii="Times New Roman"/>
                <w:sz w:val="21"/>
                <w:szCs w:val="21"/>
              </w:rPr>
            </w:pPr>
            <w:r>
              <w:rPr>
                <w:rFonts w:hint="eastAsia" w:ascii="Times New Roman"/>
                <w:sz w:val="21"/>
                <w:szCs w:val="21"/>
              </w:rPr>
              <w:t>滤筒</w:t>
            </w:r>
            <w:r>
              <w:rPr>
                <w:rFonts w:ascii="Times New Roman"/>
                <w:sz w:val="21"/>
                <w:szCs w:val="21"/>
              </w:rPr>
              <w:t>除尘器</w:t>
            </w:r>
          </w:p>
        </w:tc>
        <w:tc>
          <w:tcPr>
            <w:tcW w:w="652" w:type="dxa"/>
            <w:shd w:val="clear" w:color="auto" w:fill="auto"/>
            <w:vAlign w:val="center"/>
          </w:tcPr>
          <w:p w14:paraId="65339845">
            <w:pPr>
              <w:jc w:val="center"/>
              <w:rPr>
                <w:rFonts w:ascii="Times New Roman" w:eastAsia="Times New Roman"/>
                <w:sz w:val="21"/>
                <w:szCs w:val="21"/>
              </w:rPr>
            </w:pPr>
            <w:r>
              <w:rPr>
                <w:rFonts w:ascii="Times New Roman" w:eastAsia="Times New Roman"/>
                <w:sz w:val="21"/>
                <w:szCs w:val="21"/>
              </w:rPr>
              <w:t>99</w:t>
            </w:r>
          </w:p>
        </w:tc>
        <w:tc>
          <w:tcPr>
            <w:tcW w:w="832" w:type="dxa"/>
            <w:vAlign w:val="center"/>
          </w:tcPr>
          <w:p w14:paraId="41D09BF1">
            <w:pPr>
              <w:jc w:val="center"/>
              <w:rPr>
                <w:rFonts w:ascii="Times New Roman"/>
                <w:sz w:val="21"/>
                <w:szCs w:val="21"/>
              </w:rPr>
            </w:pPr>
            <w:r>
              <w:rPr>
                <w:rFonts w:hint="eastAsia" w:ascii="Times New Roman"/>
                <w:sz w:val="21"/>
                <w:szCs w:val="21"/>
              </w:rPr>
              <w:t>0.130</w:t>
            </w:r>
          </w:p>
        </w:tc>
        <w:tc>
          <w:tcPr>
            <w:tcW w:w="819" w:type="dxa"/>
            <w:vAlign w:val="center"/>
          </w:tcPr>
          <w:p w14:paraId="1BE50588">
            <w:pPr>
              <w:jc w:val="center"/>
              <w:rPr>
                <w:rFonts w:ascii="Times New Roman"/>
                <w:sz w:val="21"/>
                <w:szCs w:val="21"/>
                <w:lang w:bidi="zh-TW"/>
              </w:rPr>
            </w:pPr>
            <w:r>
              <w:rPr>
                <w:rFonts w:hint="eastAsia" w:ascii="Times New Roman"/>
                <w:sz w:val="21"/>
                <w:szCs w:val="21"/>
                <w:lang w:bidi="zh-TW"/>
              </w:rPr>
              <w:t>0.002</w:t>
            </w:r>
          </w:p>
        </w:tc>
        <w:tc>
          <w:tcPr>
            <w:tcW w:w="819" w:type="dxa"/>
            <w:vAlign w:val="center"/>
          </w:tcPr>
          <w:p w14:paraId="5C3E49CE">
            <w:pPr>
              <w:jc w:val="center"/>
              <w:rPr>
                <w:rFonts w:ascii="Times New Roman"/>
                <w:sz w:val="21"/>
                <w:szCs w:val="21"/>
              </w:rPr>
            </w:pPr>
            <w:r>
              <w:rPr>
                <w:rFonts w:hint="eastAsia" w:ascii="Times New Roman"/>
                <w:sz w:val="21"/>
                <w:szCs w:val="21"/>
              </w:rPr>
              <w:t>0.014</w:t>
            </w:r>
          </w:p>
        </w:tc>
        <w:tc>
          <w:tcPr>
            <w:tcW w:w="832" w:type="dxa"/>
            <w:shd w:val="clear" w:color="auto" w:fill="auto"/>
            <w:vAlign w:val="center"/>
          </w:tcPr>
          <w:p w14:paraId="5FA5E82C">
            <w:pPr>
              <w:jc w:val="center"/>
              <w:rPr>
                <w:rFonts w:ascii="Times New Roman"/>
                <w:sz w:val="21"/>
                <w:szCs w:val="21"/>
              </w:rPr>
            </w:pPr>
            <w:r>
              <w:rPr>
                <w:rFonts w:ascii="Times New Roman"/>
                <w:sz w:val="21"/>
                <w:szCs w:val="21"/>
              </w:rPr>
              <w:t>10</w:t>
            </w:r>
          </w:p>
        </w:tc>
        <w:tc>
          <w:tcPr>
            <w:tcW w:w="519" w:type="dxa"/>
            <w:shd w:val="clear" w:color="auto" w:fill="auto"/>
            <w:vAlign w:val="center"/>
          </w:tcPr>
          <w:p w14:paraId="54FADB53">
            <w:pPr>
              <w:jc w:val="center"/>
              <w:rPr>
                <w:rFonts w:ascii="Times New Roman"/>
                <w:sz w:val="21"/>
                <w:szCs w:val="21"/>
              </w:rPr>
            </w:pPr>
            <w:r>
              <w:rPr>
                <w:rFonts w:ascii="Times New Roman"/>
                <w:sz w:val="21"/>
                <w:szCs w:val="21"/>
              </w:rPr>
              <w:t>2</w:t>
            </w:r>
            <w:r>
              <w:rPr>
                <w:rFonts w:hint="eastAsia" w:ascii="Times New Roman"/>
                <w:sz w:val="21"/>
                <w:szCs w:val="21"/>
              </w:rPr>
              <w:t>2</w:t>
            </w:r>
          </w:p>
        </w:tc>
        <w:tc>
          <w:tcPr>
            <w:tcW w:w="592" w:type="dxa"/>
            <w:shd w:val="clear" w:color="auto" w:fill="auto"/>
            <w:vAlign w:val="center"/>
          </w:tcPr>
          <w:p w14:paraId="3C7AD575">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5</w:t>
            </w:r>
          </w:p>
        </w:tc>
        <w:tc>
          <w:tcPr>
            <w:tcW w:w="603" w:type="dxa"/>
            <w:shd w:val="clear" w:color="auto" w:fill="auto"/>
            <w:vAlign w:val="center"/>
          </w:tcPr>
          <w:p w14:paraId="5BE186E4">
            <w:pPr>
              <w:jc w:val="center"/>
              <w:rPr>
                <w:rFonts w:ascii="Times New Roman" w:eastAsia="Times New Roman"/>
                <w:sz w:val="21"/>
                <w:szCs w:val="21"/>
              </w:rPr>
            </w:pPr>
            <w:r>
              <w:rPr>
                <w:rFonts w:ascii="Times New Roman" w:eastAsia="Times New Roman"/>
                <w:sz w:val="21"/>
                <w:szCs w:val="21"/>
              </w:rPr>
              <w:t>25</w:t>
            </w:r>
          </w:p>
        </w:tc>
        <w:tc>
          <w:tcPr>
            <w:tcW w:w="602" w:type="dxa"/>
            <w:shd w:val="clear" w:color="auto" w:fill="auto"/>
            <w:vAlign w:val="center"/>
          </w:tcPr>
          <w:p w14:paraId="0408961B">
            <w:pPr>
              <w:jc w:val="center"/>
              <w:rPr>
                <w:rFonts w:ascii="Times New Roman" w:eastAsia="Times New Roman"/>
                <w:sz w:val="21"/>
                <w:szCs w:val="21"/>
              </w:rPr>
            </w:pPr>
            <w:r>
              <w:rPr>
                <w:rFonts w:hint="eastAsia" w:ascii="Times New Roman"/>
                <w:sz w:val="21"/>
                <w:szCs w:val="21"/>
              </w:rPr>
              <w:t>30</w:t>
            </w:r>
            <w:r>
              <w:rPr>
                <w:rFonts w:ascii="Times New Roman" w:eastAsia="Times New Roman"/>
                <w:sz w:val="21"/>
                <w:szCs w:val="21"/>
              </w:rPr>
              <w:t>00</w:t>
            </w:r>
          </w:p>
        </w:tc>
      </w:tr>
      <w:tr w14:paraId="62A0E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969" w:type="dxa"/>
            <w:vMerge w:val="restart"/>
            <w:vAlign w:val="center"/>
          </w:tcPr>
          <w:p w14:paraId="6702D55D">
            <w:pPr>
              <w:jc w:val="center"/>
              <w:rPr>
                <w:rFonts w:ascii="Times New Roman"/>
                <w:sz w:val="21"/>
                <w:szCs w:val="21"/>
              </w:rPr>
            </w:pPr>
            <w:r>
              <w:rPr>
                <w:rFonts w:ascii="Times New Roman"/>
                <w:sz w:val="21"/>
                <w:szCs w:val="21"/>
              </w:rPr>
              <w:t>热处理车炉加热废气</w:t>
            </w:r>
          </w:p>
          <w:p w14:paraId="486D7EB3">
            <w:pPr>
              <w:jc w:val="center"/>
              <w:rPr>
                <w:rFonts w:ascii="Times New Roman" w:eastAsia="Times New Roman"/>
                <w:sz w:val="21"/>
                <w:szCs w:val="21"/>
              </w:rPr>
            </w:pPr>
            <w:r>
              <w:rPr>
                <w:rFonts w:ascii="Times New Roman" w:eastAsia="Times New Roman"/>
                <w:sz w:val="21"/>
                <w:szCs w:val="21"/>
              </w:rPr>
              <w:t>(</w:t>
            </w:r>
            <w:r>
              <w:rPr>
                <w:rFonts w:ascii="Times New Roman"/>
                <w:sz w:val="21"/>
                <w:szCs w:val="21"/>
              </w:rPr>
              <w:t>DA005</w:t>
            </w:r>
            <w:r>
              <w:rPr>
                <w:rFonts w:ascii="Times New Roman" w:eastAsia="Times New Roman"/>
                <w:sz w:val="21"/>
                <w:szCs w:val="21"/>
              </w:rPr>
              <w:t>)</w:t>
            </w:r>
          </w:p>
        </w:tc>
        <w:tc>
          <w:tcPr>
            <w:tcW w:w="967" w:type="dxa"/>
            <w:vAlign w:val="center"/>
          </w:tcPr>
          <w:p w14:paraId="0AA41A73">
            <w:pPr>
              <w:jc w:val="center"/>
              <w:rPr>
                <w:rFonts w:ascii="Times New Roman"/>
                <w:sz w:val="21"/>
                <w:szCs w:val="21"/>
              </w:rPr>
            </w:pPr>
            <w:r>
              <w:rPr>
                <w:rFonts w:ascii="Times New Roman"/>
                <w:sz w:val="21"/>
                <w:szCs w:val="21"/>
              </w:rPr>
              <w:t>颗粒物</w:t>
            </w:r>
          </w:p>
        </w:tc>
        <w:tc>
          <w:tcPr>
            <w:tcW w:w="943" w:type="dxa"/>
            <w:vMerge w:val="restart"/>
            <w:vAlign w:val="center"/>
          </w:tcPr>
          <w:p w14:paraId="624C683D">
            <w:pPr>
              <w:jc w:val="center"/>
              <w:rPr>
                <w:rFonts w:ascii="Times New Roman"/>
                <w:sz w:val="21"/>
                <w:szCs w:val="21"/>
              </w:rPr>
            </w:pPr>
            <w:r>
              <w:rPr>
                <w:rFonts w:hint="eastAsia" w:ascii="Times New Roman"/>
                <w:sz w:val="21"/>
                <w:szCs w:val="21"/>
              </w:rPr>
              <w:t>5059.2</w:t>
            </w:r>
          </w:p>
        </w:tc>
        <w:tc>
          <w:tcPr>
            <w:tcW w:w="874" w:type="dxa"/>
            <w:shd w:val="clear" w:color="auto" w:fill="auto"/>
            <w:vAlign w:val="center"/>
          </w:tcPr>
          <w:p w14:paraId="3454FFD8">
            <w:pPr>
              <w:jc w:val="center"/>
              <w:rPr>
                <w:rFonts w:ascii="Times New Roman"/>
                <w:sz w:val="21"/>
                <w:szCs w:val="21"/>
                <w:lang w:bidi="zh-TW"/>
              </w:rPr>
            </w:pPr>
            <w:r>
              <w:rPr>
                <w:rFonts w:ascii="Times New Roman"/>
                <w:sz w:val="21"/>
                <w:szCs w:val="21"/>
              </w:rPr>
              <w:t>21.036</w:t>
            </w:r>
          </w:p>
        </w:tc>
        <w:tc>
          <w:tcPr>
            <w:tcW w:w="798" w:type="dxa"/>
            <w:shd w:val="clear" w:color="auto" w:fill="auto"/>
            <w:vAlign w:val="center"/>
          </w:tcPr>
          <w:p w14:paraId="0841665E">
            <w:pPr>
              <w:jc w:val="center"/>
              <w:rPr>
                <w:rFonts w:ascii="Times New Roman"/>
                <w:sz w:val="21"/>
                <w:szCs w:val="21"/>
                <w:lang w:bidi="zh-TW"/>
              </w:rPr>
            </w:pPr>
            <w:r>
              <w:rPr>
                <w:rFonts w:hint="eastAsia" w:ascii="Times New Roman"/>
                <w:sz w:val="21"/>
                <w:szCs w:val="21"/>
                <w:lang w:bidi="zh-TW"/>
              </w:rPr>
              <w:t>0.035</w:t>
            </w:r>
          </w:p>
        </w:tc>
        <w:tc>
          <w:tcPr>
            <w:tcW w:w="845" w:type="dxa"/>
            <w:shd w:val="clear" w:color="auto" w:fill="auto"/>
            <w:vAlign w:val="center"/>
          </w:tcPr>
          <w:p w14:paraId="7989ECF5">
            <w:pPr>
              <w:jc w:val="center"/>
              <w:rPr>
                <w:rFonts w:ascii="Times New Roman"/>
                <w:sz w:val="21"/>
                <w:szCs w:val="21"/>
                <w:lang w:bidi="zh-TW"/>
              </w:rPr>
            </w:pPr>
            <w:r>
              <w:rPr>
                <w:rFonts w:ascii="Times New Roman"/>
                <w:sz w:val="21"/>
                <w:szCs w:val="21"/>
              </w:rPr>
              <w:t>0.254</w:t>
            </w:r>
          </w:p>
        </w:tc>
        <w:tc>
          <w:tcPr>
            <w:tcW w:w="646" w:type="dxa"/>
            <w:vMerge w:val="restart"/>
            <w:vAlign w:val="center"/>
          </w:tcPr>
          <w:p w14:paraId="5FB2C31E">
            <w:pPr>
              <w:jc w:val="center"/>
              <w:rPr>
                <w:rFonts w:ascii="Times New Roman"/>
                <w:sz w:val="21"/>
                <w:szCs w:val="21"/>
              </w:rPr>
            </w:pPr>
            <w:r>
              <w:rPr>
                <w:rFonts w:ascii="Times New Roman"/>
                <w:sz w:val="21"/>
                <w:szCs w:val="21"/>
              </w:rPr>
              <w:t>100</w:t>
            </w:r>
          </w:p>
        </w:tc>
        <w:tc>
          <w:tcPr>
            <w:tcW w:w="774" w:type="dxa"/>
            <w:vMerge w:val="restart"/>
            <w:vAlign w:val="center"/>
          </w:tcPr>
          <w:p w14:paraId="4DDF94AD">
            <w:pPr>
              <w:jc w:val="center"/>
              <w:rPr>
                <w:rFonts w:ascii="Times New Roman"/>
                <w:sz w:val="21"/>
                <w:szCs w:val="21"/>
              </w:rPr>
            </w:pPr>
            <w:r>
              <w:rPr>
                <w:rFonts w:ascii="Times New Roman"/>
                <w:sz w:val="21"/>
                <w:szCs w:val="21"/>
              </w:rPr>
              <w:t>低氮燃烧器</w:t>
            </w:r>
          </w:p>
        </w:tc>
        <w:tc>
          <w:tcPr>
            <w:tcW w:w="652" w:type="dxa"/>
            <w:vAlign w:val="center"/>
          </w:tcPr>
          <w:p w14:paraId="018D7EE3">
            <w:pPr>
              <w:jc w:val="center"/>
              <w:rPr>
                <w:rFonts w:ascii="Times New Roman" w:eastAsia="Times New Roman"/>
                <w:sz w:val="21"/>
                <w:szCs w:val="21"/>
              </w:rPr>
            </w:pPr>
            <w:r>
              <w:rPr>
                <w:rFonts w:ascii="Times New Roman" w:eastAsia="Times New Roman"/>
                <w:sz w:val="21"/>
                <w:szCs w:val="21"/>
              </w:rPr>
              <w:t>0</w:t>
            </w:r>
          </w:p>
        </w:tc>
        <w:tc>
          <w:tcPr>
            <w:tcW w:w="832" w:type="dxa"/>
            <w:shd w:val="clear" w:color="auto" w:fill="auto"/>
            <w:vAlign w:val="center"/>
          </w:tcPr>
          <w:p w14:paraId="29560CDF">
            <w:pPr>
              <w:jc w:val="center"/>
              <w:rPr>
                <w:rFonts w:ascii="Times New Roman"/>
                <w:sz w:val="21"/>
                <w:szCs w:val="21"/>
                <w:lang w:bidi="zh-TW"/>
              </w:rPr>
            </w:pPr>
            <w:r>
              <w:rPr>
                <w:rFonts w:ascii="Times New Roman"/>
                <w:sz w:val="21"/>
                <w:szCs w:val="21"/>
              </w:rPr>
              <w:t>21.036</w:t>
            </w:r>
          </w:p>
        </w:tc>
        <w:tc>
          <w:tcPr>
            <w:tcW w:w="819" w:type="dxa"/>
            <w:shd w:val="clear" w:color="auto" w:fill="auto"/>
            <w:vAlign w:val="center"/>
          </w:tcPr>
          <w:p w14:paraId="11B39893">
            <w:pPr>
              <w:jc w:val="center"/>
              <w:rPr>
                <w:rFonts w:ascii="Times New Roman"/>
                <w:sz w:val="21"/>
                <w:szCs w:val="21"/>
                <w:lang w:bidi="zh-TW"/>
              </w:rPr>
            </w:pPr>
            <w:r>
              <w:rPr>
                <w:rFonts w:hint="eastAsia" w:ascii="Times New Roman"/>
                <w:sz w:val="21"/>
                <w:szCs w:val="21"/>
                <w:lang w:bidi="zh-TW"/>
              </w:rPr>
              <w:t>0.035</w:t>
            </w:r>
          </w:p>
        </w:tc>
        <w:tc>
          <w:tcPr>
            <w:tcW w:w="819" w:type="dxa"/>
            <w:shd w:val="clear" w:color="auto" w:fill="auto"/>
            <w:vAlign w:val="center"/>
          </w:tcPr>
          <w:p w14:paraId="250BD269">
            <w:pPr>
              <w:jc w:val="center"/>
              <w:rPr>
                <w:rFonts w:ascii="Times New Roman"/>
                <w:sz w:val="21"/>
                <w:szCs w:val="21"/>
                <w:lang w:bidi="zh-TW"/>
              </w:rPr>
            </w:pPr>
            <w:r>
              <w:rPr>
                <w:rFonts w:ascii="Times New Roman"/>
                <w:sz w:val="21"/>
                <w:szCs w:val="21"/>
              </w:rPr>
              <w:t>0.254</w:t>
            </w:r>
          </w:p>
        </w:tc>
        <w:tc>
          <w:tcPr>
            <w:tcW w:w="832" w:type="dxa"/>
            <w:shd w:val="clear" w:color="auto" w:fill="auto"/>
            <w:vAlign w:val="center"/>
          </w:tcPr>
          <w:p w14:paraId="3464E943">
            <w:pPr>
              <w:jc w:val="center"/>
              <w:rPr>
                <w:rFonts w:ascii="Times New Roman"/>
                <w:sz w:val="21"/>
                <w:szCs w:val="21"/>
              </w:rPr>
            </w:pPr>
            <w:r>
              <w:rPr>
                <w:rFonts w:hint="eastAsia" w:ascii="Times New Roman"/>
                <w:sz w:val="21"/>
                <w:szCs w:val="21"/>
              </w:rPr>
              <w:t>30</w:t>
            </w:r>
          </w:p>
        </w:tc>
        <w:tc>
          <w:tcPr>
            <w:tcW w:w="519" w:type="dxa"/>
            <w:vMerge w:val="restart"/>
            <w:vAlign w:val="center"/>
          </w:tcPr>
          <w:p w14:paraId="3AA1CF65">
            <w:pPr>
              <w:jc w:val="center"/>
              <w:rPr>
                <w:rFonts w:ascii="Times New Roman"/>
                <w:sz w:val="21"/>
                <w:szCs w:val="21"/>
              </w:rPr>
            </w:pPr>
            <w:r>
              <w:rPr>
                <w:rFonts w:ascii="Times New Roman"/>
                <w:sz w:val="21"/>
                <w:szCs w:val="21"/>
              </w:rPr>
              <w:t>20</w:t>
            </w:r>
          </w:p>
        </w:tc>
        <w:tc>
          <w:tcPr>
            <w:tcW w:w="592" w:type="dxa"/>
            <w:vMerge w:val="restart"/>
            <w:vAlign w:val="center"/>
          </w:tcPr>
          <w:p w14:paraId="241AD1E2">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3</w:t>
            </w:r>
          </w:p>
        </w:tc>
        <w:tc>
          <w:tcPr>
            <w:tcW w:w="603" w:type="dxa"/>
            <w:vMerge w:val="restart"/>
            <w:vAlign w:val="center"/>
          </w:tcPr>
          <w:p w14:paraId="51E210D8">
            <w:pPr>
              <w:jc w:val="center"/>
              <w:rPr>
                <w:rFonts w:ascii="Times New Roman"/>
                <w:sz w:val="21"/>
                <w:szCs w:val="21"/>
              </w:rPr>
            </w:pPr>
            <w:r>
              <w:rPr>
                <w:rFonts w:ascii="Times New Roman"/>
                <w:sz w:val="21"/>
                <w:szCs w:val="21"/>
              </w:rPr>
              <w:t>120</w:t>
            </w:r>
          </w:p>
        </w:tc>
        <w:tc>
          <w:tcPr>
            <w:tcW w:w="602" w:type="dxa"/>
            <w:vMerge w:val="restart"/>
            <w:vAlign w:val="center"/>
          </w:tcPr>
          <w:p w14:paraId="79D876E5">
            <w:pPr>
              <w:jc w:val="center"/>
              <w:rPr>
                <w:rFonts w:ascii="Times New Roman"/>
                <w:sz w:val="21"/>
                <w:szCs w:val="21"/>
              </w:rPr>
            </w:pPr>
            <w:r>
              <w:rPr>
                <w:rFonts w:hint="eastAsia" w:ascii="Times New Roman"/>
                <w:sz w:val="21"/>
                <w:szCs w:val="21"/>
              </w:rPr>
              <w:t>18</w:t>
            </w:r>
            <w:r>
              <w:rPr>
                <w:rFonts w:ascii="Times New Roman"/>
                <w:sz w:val="21"/>
                <w:szCs w:val="21"/>
              </w:rPr>
              <w:t>00</w:t>
            </w:r>
          </w:p>
        </w:tc>
      </w:tr>
      <w:tr w14:paraId="2937F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969" w:type="dxa"/>
            <w:vMerge w:val="continue"/>
            <w:vAlign w:val="center"/>
          </w:tcPr>
          <w:p w14:paraId="43AB8C9E">
            <w:pPr>
              <w:jc w:val="center"/>
              <w:rPr>
                <w:rFonts w:ascii="Times New Roman"/>
                <w:sz w:val="21"/>
                <w:szCs w:val="21"/>
              </w:rPr>
            </w:pPr>
          </w:p>
        </w:tc>
        <w:tc>
          <w:tcPr>
            <w:tcW w:w="967" w:type="dxa"/>
            <w:vAlign w:val="center"/>
          </w:tcPr>
          <w:p w14:paraId="4DB3CF86">
            <w:pPr>
              <w:jc w:val="center"/>
              <w:rPr>
                <w:rFonts w:ascii="Times New Roman" w:eastAsia="Times New Roman"/>
                <w:sz w:val="21"/>
                <w:szCs w:val="21"/>
              </w:rPr>
            </w:pPr>
            <w:r>
              <w:rPr>
                <w:rFonts w:ascii="Times New Roman" w:eastAsia="Times New Roman"/>
                <w:sz w:val="21"/>
                <w:szCs w:val="21"/>
              </w:rPr>
              <w:t>SO</w:t>
            </w:r>
            <w:r>
              <w:rPr>
                <w:rFonts w:ascii="Times New Roman" w:eastAsia="Times New Roman"/>
                <w:sz w:val="21"/>
                <w:szCs w:val="21"/>
                <w:vertAlign w:val="subscript"/>
              </w:rPr>
              <w:t>2</w:t>
            </w:r>
          </w:p>
        </w:tc>
        <w:tc>
          <w:tcPr>
            <w:tcW w:w="943" w:type="dxa"/>
            <w:vMerge w:val="continue"/>
            <w:vAlign w:val="center"/>
          </w:tcPr>
          <w:p w14:paraId="7E6D54EE">
            <w:pPr>
              <w:jc w:val="center"/>
              <w:rPr>
                <w:rFonts w:ascii="Times New Roman"/>
                <w:sz w:val="21"/>
                <w:szCs w:val="21"/>
              </w:rPr>
            </w:pPr>
          </w:p>
        </w:tc>
        <w:tc>
          <w:tcPr>
            <w:tcW w:w="874" w:type="dxa"/>
            <w:shd w:val="clear" w:color="auto" w:fill="auto"/>
            <w:vAlign w:val="center"/>
          </w:tcPr>
          <w:p w14:paraId="3E86BCAE">
            <w:pPr>
              <w:jc w:val="center"/>
              <w:rPr>
                <w:rFonts w:ascii="Times New Roman"/>
                <w:sz w:val="21"/>
                <w:szCs w:val="21"/>
                <w:lang w:bidi="zh-TW"/>
              </w:rPr>
            </w:pPr>
            <w:r>
              <w:rPr>
                <w:rFonts w:ascii="Times New Roman"/>
                <w:sz w:val="21"/>
                <w:szCs w:val="21"/>
              </w:rPr>
              <w:t>2.982</w:t>
            </w:r>
          </w:p>
        </w:tc>
        <w:tc>
          <w:tcPr>
            <w:tcW w:w="798" w:type="dxa"/>
            <w:shd w:val="clear" w:color="auto" w:fill="auto"/>
            <w:vAlign w:val="center"/>
          </w:tcPr>
          <w:p w14:paraId="0AF97FE6">
            <w:pPr>
              <w:jc w:val="center"/>
              <w:rPr>
                <w:rFonts w:ascii="Times New Roman"/>
                <w:sz w:val="21"/>
                <w:szCs w:val="21"/>
                <w:lang w:bidi="zh-TW"/>
              </w:rPr>
            </w:pPr>
            <w:r>
              <w:rPr>
                <w:rFonts w:hint="eastAsia" w:ascii="Times New Roman"/>
                <w:sz w:val="21"/>
                <w:szCs w:val="21"/>
                <w:lang w:bidi="zh-TW"/>
              </w:rPr>
              <w:t>0.001</w:t>
            </w:r>
          </w:p>
        </w:tc>
        <w:tc>
          <w:tcPr>
            <w:tcW w:w="845" w:type="dxa"/>
            <w:shd w:val="clear" w:color="auto" w:fill="auto"/>
            <w:vAlign w:val="center"/>
          </w:tcPr>
          <w:p w14:paraId="7F5B2A79">
            <w:pPr>
              <w:jc w:val="center"/>
              <w:rPr>
                <w:rFonts w:ascii="Times New Roman"/>
                <w:sz w:val="21"/>
                <w:szCs w:val="21"/>
                <w:lang w:bidi="zh-TW"/>
              </w:rPr>
            </w:pPr>
            <w:r>
              <w:rPr>
                <w:rFonts w:ascii="Times New Roman"/>
                <w:sz w:val="21"/>
                <w:szCs w:val="21"/>
              </w:rPr>
              <w:t>0.036</w:t>
            </w:r>
          </w:p>
        </w:tc>
        <w:tc>
          <w:tcPr>
            <w:tcW w:w="646" w:type="dxa"/>
            <w:vMerge w:val="continue"/>
            <w:vAlign w:val="center"/>
          </w:tcPr>
          <w:p w14:paraId="100FA3AC">
            <w:pPr>
              <w:jc w:val="center"/>
              <w:rPr>
                <w:rFonts w:ascii="Times New Roman"/>
                <w:sz w:val="21"/>
                <w:szCs w:val="21"/>
              </w:rPr>
            </w:pPr>
          </w:p>
        </w:tc>
        <w:tc>
          <w:tcPr>
            <w:tcW w:w="774" w:type="dxa"/>
            <w:vMerge w:val="continue"/>
            <w:vAlign w:val="center"/>
          </w:tcPr>
          <w:p w14:paraId="39FE85B3">
            <w:pPr>
              <w:jc w:val="center"/>
              <w:rPr>
                <w:rFonts w:ascii="Times New Roman"/>
                <w:sz w:val="21"/>
                <w:szCs w:val="21"/>
              </w:rPr>
            </w:pPr>
          </w:p>
        </w:tc>
        <w:tc>
          <w:tcPr>
            <w:tcW w:w="652" w:type="dxa"/>
            <w:vAlign w:val="center"/>
          </w:tcPr>
          <w:p w14:paraId="316C5593">
            <w:pPr>
              <w:jc w:val="center"/>
              <w:rPr>
                <w:rFonts w:ascii="Times New Roman" w:eastAsia="Times New Roman"/>
                <w:sz w:val="21"/>
                <w:szCs w:val="21"/>
              </w:rPr>
            </w:pPr>
            <w:r>
              <w:rPr>
                <w:rFonts w:ascii="Times New Roman" w:eastAsia="Times New Roman"/>
                <w:sz w:val="21"/>
                <w:szCs w:val="21"/>
              </w:rPr>
              <w:t>0</w:t>
            </w:r>
          </w:p>
        </w:tc>
        <w:tc>
          <w:tcPr>
            <w:tcW w:w="832" w:type="dxa"/>
            <w:shd w:val="clear" w:color="auto" w:fill="auto"/>
            <w:vAlign w:val="center"/>
          </w:tcPr>
          <w:p w14:paraId="2EBBDEA5">
            <w:pPr>
              <w:jc w:val="center"/>
              <w:rPr>
                <w:rFonts w:ascii="Times New Roman"/>
                <w:sz w:val="21"/>
                <w:szCs w:val="21"/>
                <w:lang w:bidi="zh-TW"/>
              </w:rPr>
            </w:pPr>
            <w:r>
              <w:rPr>
                <w:rFonts w:ascii="Times New Roman"/>
                <w:sz w:val="21"/>
                <w:szCs w:val="21"/>
              </w:rPr>
              <w:t>2.982</w:t>
            </w:r>
          </w:p>
        </w:tc>
        <w:tc>
          <w:tcPr>
            <w:tcW w:w="819" w:type="dxa"/>
            <w:shd w:val="clear" w:color="auto" w:fill="auto"/>
            <w:vAlign w:val="center"/>
          </w:tcPr>
          <w:p w14:paraId="6EE280E4">
            <w:pPr>
              <w:jc w:val="center"/>
              <w:rPr>
                <w:rFonts w:ascii="Times New Roman"/>
                <w:sz w:val="21"/>
                <w:szCs w:val="21"/>
                <w:lang w:bidi="zh-TW"/>
              </w:rPr>
            </w:pPr>
            <w:r>
              <w:rPr>
                <w:rFonts w:hint="eastAsia" w:ascii="Times New Roman"/>
                <w:sz w:val="21"/>
                <w:szCs w:val="21"/>
                <w:lang w:bidi="zh-TW"/>
              </w:rPr>
              <w:t>0.001</w:t>
            </w:r>
          </w:p>
        </w:tc>
        <w:tc>
          <w:tcPr>
            <w:tcW w:w="819" w:type="dxa"/>
            <w:shd w:val="clear" w:color="auto" w:fill="auto"/>
            <w:vAlign w:val="center"/>
          </w:tcPr>
          <w:p w14:paraId="33DD6FEA">
            <w:pPr>
              <w:jc w:val="center"/>
              <w:rPr>
                <w:rFonts w:ascii="Times New Roman"/>
                <w:sz w:val="21"/>
                <w:szCs w:val="21"/>
                <w:lang w:bidi="zh-TW"/>
              </w:rPr>
            </w:pPr>
            <w:r>
              <w:rPr>
                <w:rFonts w:ascii="Times New Roman"/>
                <w:sz w:val="21"/>
                <w:szCs w:val="21"/>
              </w:rPr>
              <w:t>0.036</w:t>
            </w:r>
          </w:p>
        </w:tc>
        <w:tc>
          <w:tcPr>
            <w:tcW w:w="832" w:type="dxa"/>
            <w:shd w:val="clear" w:color="auto" w:fill="auto"/>
            <w:vAlign w:val="center"/>
          </w:tcPr>
          <w:p w14:paraId="5CF9FC2F">
            <w:pPr>
              <w:jc w:val="center"/>
              <w:rPr>
                <w:rFonts w:ascii="Times New Roman"/>
                <w:sz w:val="21"/>
                <w:szCs w:val="21"/>
              </w:rPr>
            </w:pPr>
            <w:r>
              <w:rPr>
                <w:rFonts w:hint="eastAsia" w:ascii="Times New Roman"/>
                <w:sz w:val="21"/>
                <w:szCs w:val="21"/>
              </w:rPr>
              <w:t>200</w:t>
            </w:r>
          </w:p>
        </w:tc>
        <w:tc>
          <w:tcPr>
            <w:tcW w:w="519" w:type="dxa"/>
            <w:vMerge w:val="continue"/>
            <w:vAlign w:val="center"/>
          </w:tcPr>
          <w:p w14:paraId="0B4A4BCC">
            <w:pPr>
              <w:jc w:val="center"/>
              <w:rPr>
                <w:rFonts w:ascii="Times New Roman"/>
                <w:sz w:val="21"/>
                <w:szCs w:val="21"/>
              </w:rPr>
            </w:pPr>
          </w:p>
        </w:tc>
        <w:tc>
          <w:tcPr>
            <w:tcW w:w="592" w:type="dxa"/>
            <w:vMerge w:val="continue"/>
            <w:vAlign w:val="center"/>
          </w:tcPr>
          <w:p w14:paraId="18FF8AB4">
            <w:pPr>
              <w:jc w:val="center"/>
              <w:rPr>
                <w:rFonts w:ascii="Times New Roman"/>
                <w:sz w:val="21"/>
                <w:szCs w:val="21"/>
              </w:rPr>
            </w:pPr>
          </w:p>
        </w:tc>
        <w:tc>
          <w:tcPr>
            <w:tcW w:w="603" w:type="dxa"/>
            <w:vMerge w:val="continue"/>
            <w:vAlign w:val="center"/>
          </w:tcPr>
          <w:p w14:paraId="41DB1064">
            <w:pPr>
              <w:jc w:val="center"/>
              <w:rPr>
                <w:rFonts w:ascii="Times New Roman"/>
                <w:sz w:val="21"/>
                <w:szCs w:val="21"/>
              </w:rPr>
            </w:pPr>
          </w:p>
        </w:tc>
        <w:tc>
          <w:tcPr>
            <w:tcW w:w="602" w:type="dxa"/>
            <w:vMerge w:val="continue"/>
            <w:vAlign w:val="center"/>
          </w:tcPr>
          <w:p w14:paraId="12F90486">
            <w:pPr>
              <w:jc w:val="center"/>
              <w:rPr>
                <w:rFonts w:ascii="Times New Roman"/>
                <w:sz w:val="21"/>
                <w:szCs w:val="21"/>
              </w:rPr>
            </w:pPr>
          </w:p>
        </w:tc>
      </w:tr>
      <w:tr w14:paraId="5C32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969" w:type="dxa"/>
            <w:vMerge w:val="continue"/>
            <w:vAlign w:val="center"/>
          </w:tcPr>
          <w:p w14:paraId="7ED56AFD">
            <w:pPr>
              <w:jc w:val="center"/>
              <w:rPr>
                <w:rFonts w:ascii="Times New Roman"/>
                <w:sz w:val="21"/>
                <w:szCs w:val="21"/>
              </w:rPr>
            </w:pPr>
          </w:p>
        </w:tc>
        <w:tc>
          <w:tcPr>
            <w:tcW w:w="967" w:type="dxa"/>
            <w:shd w:val="clear" w:color="auto" w:fill="auto"/>
            <w:vAlign w:val="center"/>
          </w:tcPr>
          <w:p w14:paraId="7E6BF932">
            <w:pPr>
              <w:jc w:val="center"/>
              <w:rPr>
                <w:rFonts w:ascii="Times New Roman" w:eastAsia="Times New Roman"/>
                <w:sz w:val="21"/>
                <w:szCs w:val="21"/>
              </w:rPr>
            </w:pPr>
            <w:r>
              <w:rPr>
                <w:rFonts w:ascii="Times New Roman" w:eastAsia="Times New Roman"/>
                <w:sz w:val="21"/>
                <w:szCs w:val="21"/>
              </w:rPr>
              <w:t>NO</w:t>
            </w:r>
            <w:r>
              <w:rPr>
                <w:rFonts w:ascii="Times New Roman" w:eastAsia="Times New Roman"/>
                <w:sz w:val="21"/>
                <w:szCs w:val="21"/>
                <w:vertAlign w:val="subscript"/>
              </w:rPr>
              <w:t>X</w:t>
            </w:r>
          </w:p>
        </w:tc>
        <w:tc>
          <w:tcPr>
            <w:tcW w:w="943" w:type="dxa"/>
            <w:vMerge w:val="continue"/>
            <w:shd w:val="clear" w:color="auto" w:fill="auto"/>
            <w:vAlign w:val="center"/>
          </w:tcPr>
          <w:p w14:paraId="4D4DF729">
            <w:pPr>
              <w:jc w:val="center"/>
              <w:rPr>
                <w:rFonts w:ascii="Times New Roman"/>
                <w:sz w:val="21"/>
                <w:szCs w:val="21"/>
              </w:rPr>
            </w:pPr>
          </w:p>
        </w:tc>
        <w:tc>
          <w:tcPr>
            <w:tcW w:w="874" w:type="dxa"/>
            <w:shd w:val="clear" w:color="auto" w:fill="auto"/>
            <w:vAlign w:val="center"/>
          </w:tcPr>
          <w:p w14:paraId="3692FB61">
            <w:pPr>
              <w:jc w:val="center"/>
              <w:rPr>
                <w:rFonts w:ascii="Times New Roman"/>
                <w:sz w:val="21"/>
                <w:szCs w:val="21"/>
                <w:lang w:bidi="zh-TW"/>
              </w:rPr>
            </w:pPr>
            <w:r>
              <w:rPr>
                <w:rFonts w:hint="eastAsia" w:ascii="Times New Roman"/>
                <w:sz w:val="21"/>
                <w:szCs w:val="21"/>
              </w:rPr>
              <w:t>137.564</w:t>
            </w:r>
          </w:p>
        </w:tc>
        <w:tc>
          <w:tcPr>
            <w:tcW w:w="798" w:type="dxa"/>
            <w:shd w:val="clear" w:color="auto" w:fill="auto"/>
            <w:vAlign w:val="center"/>
          </w:tcPr>
          <w:p w14:paraId="7A4D9D41">
            <w:pPr>
              <w:jc w:val="center"/>
              <w:rPr>
                <w:rFonts w:ascii="Times New Roman"/>
                <w:sz w:val="21"/>
                <w:szCs w:val="21"/>
                <w:lang w:bidi="zh-TW"/>
              </w:rPr>
            </w:pPr>
            <w:r>
              <w:rPr>
                <w:rFonts w:hint="eastAsia" w:ascii="Times New Roman"/>
                <w:sz w:val="21"/>
                <w:szCs w:val="21"/>
                <w:lang w:bidi="zh-TW"/>
              </w:rPr>
              <w:t>0.231</w:t>
            </w:r>
          </w:p>
        </w:tc>
        <w:tc>
          <w:tcPr>
            <w:tcW w:w="845" w:type="dxa"/>
            <w:shd w:val="clear" w:color="auto" w:fill="auto"/>
            <w:vAlign w:val="center"/>
          </w:tcPr>
          <w:p w14:paraId="23F8FC43">
            <w:pPr>
              <w:jc w:val="center"/>
              <w:rPr>
                <w:rFonts w:ascii="Times New Roman"/>
                <w:sz w:val="21"/>
                <w:szCs w:val="21"/>
                <w:lang w:bidi="zh-TW"/>
              </w:rPr>
            </w:pPr>
            <w:r>
              <w:rPr>
                <w:rFonts w:ascii="Times New Roman"/>
                <w:sz w:val="21"/>
                <w:szCs w:val="21"/>
              </w:rPr>
              <w:t>1.661</w:t>
            </w:r>
          </w:p>
        </w:tc>
        <w:tc>
          <w:tcPr>
            <w:tcW w:w="646" w:type="dxa"/>
            <w:vMerge w:val="continue"/>
            <w:shd w:val="clear" w:color="auto" w:fill="auto"/>
            <w:vAlign w:val="center"/>
          </w:tcPr>
          <w:p w14:paraId="31EA2C86">
            <w:pPr>
              <w:jc w:val="center"/>
              <w:rPr>
                <w:rFonts w:ascii="Times New Roman"/>
                <w:sz w:val="21"/>
                <w:szCs w:val="21"/>
              </w:rPr>
            </w:pPr>
          </w:p>
        </w:tc>
        <w:tc>
          <w:tcPr>
            <w:tcW w:w="774" w:type="dxa"/>
            <w:vMerge w:val="continue"/>
            <w:shd w:val="clear" w:color="auto" w:fill="auto"/>
            <w:vAlign w:val="center"/>
          </w:tcPr>
          <w:p w14:paraId="432E58F9">
            <w:pPr>
              <w:jc w:val="center"/>
              <w:rPr>
                <w:rFonts w:ascii="Times New Roman"/>
                <w:sz w:val="21"/>
                <w:szCs w:val="21"/>
              </w:rPr>
            </w:pPr>
          </w:p>
        </w:tc>
        <w:tc>
          <w:tcPr>
            <w:tcW w:w="652" w:type="dxa"/>
            <w:shd w:val="clear" w:color="auto" w:fill="auto"/>
            <w:vAlign w:val="center"/>
          </w:tcPr>
          <w:p w14:paraId="4AB1AE33">
            <w:pPr>
              <w:jc w:val="center"/>
              <w:rPr>
                <w:rFonts w:ascii="Times New Roman"/>
                <w:sz w:val="21"/>
                <w:szCs w:val="21"/>
              </w:rPr>
            </w:pPr>
            <w:r>
              <w:rPr>
                <w:rFonts w:hint="eastAsia" w:ascii="Times New Roman"/>
                <w:sz w:val="21"/>
                <w:szCs w:val="21"/>
              </w:rPr>
              <w:t>5</w:t>
            </w:r>
            <w:r>
              <w:rPr>
                <w:rFonts w:ascii="Times New Roman" w:eastAsia="Times New Roman"/>
                <w:sz w:val="21"/>
                <w:szCs w:val="21"/>
              </w:rPr>
              <w:t>0</w:t>
            </w:r>
          </w:p>
        </w:tc>
        <w:tc>
          <w:tcPr>
            <w:tcW w:w="832" w:type="dxa"/>
            <w:shd w:val="clear" w:color="auto" w:fill="auto"/>
            <w:vAlign w:val="center"/>
          </w:tcPr>
          <w:p w14:paraId="15196124">
            <w:pPr>
              <w:jc w:val="center"/>
              <w:rPr>
                <w:rFonts w:ascii="Times New Roman"/>
                <w:sz w:val="21"/>
                <w:szCs w:val="21"/>
                <w:lang w:bidi="zh-TW"/>
              </w:rPr>
            </w:pPr>
            <w:r>
              <w:rPr>
                <w:rFonts w:hint="eastAsia" w:ascii="Times New Roman"/>
                <w:sz w:val="21"/>
                <w:szCs w:val="21"/>
              </w:rPr>
              <w:t>68.782</w:t>
            </w:r>
          </w:p>
        </w:tc>
        <w:tc>
          <w:tcPr>
            <w:tcW w:w="819" w:type="dxa"/>
            <w:shd w:val="clear" w:color="auto" w:fill="auto"/>
            <w:vAlign w:val="center"/>
          </w:tcPr>
          <w:p w14:paraId="176178D4">
            <w:pPr>
              <w:jc w:val="center"/>
              <w:rPr>
                <w:rFonts w:ascii="Times New Roman"/>
                <w:sz w:val="21"/>
                <w:szCs w:val="21"/>
                <w:lang w:bidi="zh-TW"/>
              </w:rPr>
            </w:pPr>
            <w:r>
              <w:rPr>
                <w:rFonts w:hint="eastAsia" w:ascii="Times New Roman"/>
                <w:sz w:val="21"/>
                <w:szCs w:val="21"/>
                <w:lang w:bidi="zh-TW"/>
              </w:rPr>
              <w:t>0.115</w:t>
            </w:r>
          </w:p>
        </w:tc>
        <w:tc>
          <w:tcPr>
            <w:tcW w:w="819" w:type="dxa"/>
            <w:shd w:val="clear" w:color="auto" w:fill="auto"/>
            <w:vAlign w:val="center"/>
          </w:tcPr>
          <w:p w14:paraId="15A6BAFC">
            <w:pPr>
              <w:jc w:val="center"/>
              <w:rPr>
                <w:rFonts w:ascii="Times New Roman"/>
                <w:sz w:val="21"/>
                <w:szCs w:val="21"/>
                <w:lang w:bidi="zh-TW"/>
              </w:rPr>
            </w:pPr>
            <w:r>
              <w:rPr>
                <w:rFonts w:hint="eastAsia" w:ascii="Times New Roman"/>
                <w:sz w:val="21"/>
                <w:szCs w:val="21"/>
              </w:rPr>
              <w:t>0.831</w:t>
            </w:r>
          </w:p>
        </w:tc>
        <w:tc>
          <w:tcPr>
            <w:tcW w:w="832" w:type="dxa"/>
            <w:shd w:val="clear" w:color="auto" w:fill="auto"/>
            <w:vAlign w:val="center"/>
          </w:tcPr>
          <w:p w14:paraId="5E1D4F3A">
            <w:pPr>
              <w:jc w:val="center"/>
              <w:rPr>
                <w:rFonts w:ascii="Times New Roman"/>
                <w:sz w:val="21"/>
                <w:szCs w:val="21"/>
              </w:rPr>
            </w:pPr>
            <w:r>
              <w:rPr>
                <w:rFonts w:ascii="Times New Roman"/>
                <w:sz w:val="21"/>
                <w:szCs w:val="21"/>
              </w:rPr>
              <w:t>30</w:t>
            </w:r>
            <w:r>
              <w:rPr>
                <w:rFonts w:hint="eastAsia" w:ascii="Times New Roman"/>
                <w:sz w:val="21"/>
                <w:szCs w:val="21"/>
              </w:rPr>
              <w:t>0</w:t>
            </w:r>
          </w:p>
        </w:tc>
        <w:tc>
          <w:tcPr>
            <w:tcW w:w="519" w:type="dxa"/>
            <w:vMerge w:val="continue"/>
            <w:vAlign w:val="center"/>
          </w:tcPr>
          <w:p w14:paraId="075C5101">
            <w:pPr>
              <w:jc w:val="center"/>
              <w:rPr>
                <w:rFonts w:ascii="Times New Roman"/>
                <w:sz w:val="21"/>
                <w:szCs w:val="21"/>
              </w:rPr>
            </w:pPr>
          </w:p>
        </w:tc>
        <w:tc>
          <w:tcPr>
            <w:tcW w:w="592" w:type="dxa"/>
            <w:vMerge w:val="continue"/>
            <w:vAlign w:val="center"/>
          </w:tcPr>
          <w:p w14:paraId="487212B3">
            <w:pPr>
              <w:jc w:val="center"/>
              <w:rPr>
                <w:rFonts w:ascii="Times New Roman"/>
                <w:sz w:val="21"/>
                <w:szCs w:val="21"/>
              </w:rPr>
            </w:pPr>
          </w:p>
        </w:tc>
        <w:tc>
          <w:tcPr>
            <w:tcW w:w="603" w:type="dxa"/>
            <w:vMerge w:val="continue"/>
            <w:vAlign w:val="center"/>
          </w:tcPr>
          <w:p w14:paraId="08A8DFDD">
            <w:pPr>
              <w:jc w:val="center"/>
              <w:rPr>
                <w:rFonts w:ascii="Times New Roman"/>
                <w:sz w:val="21"/>
                <w:szCs w:val="21"/>
              </w:rPr>
            </w:pPr>
          </w:p>
        </w:tc>
        <w:tc>
          <w:tcPr>
            <w:tcW w:w="602" w:type="dxa"/>
            <w:vMerge w:val="continue"/>
            <w:vAlign w:val="center"/>
          </w:tcPr>
          <w:p w14:paraId="4E226926">
            <w:pPr>
              <w:jc w:val="center"/>
              <w:rPr>
                <w:rFonts w:ascii="Times New Roman"/>
                <w:sz w:val="21"/>
                <w:szCs w:val="21"/>
              </w:rPr>
            </w:pPr>
          </w:p>
        </w:tc>
      </w:tr>
      <w:tr w14:paraId="7368A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969" w:type="dxa"/>
            <w:vMerge w:val="continue"/>
            <w:vAlign w:val="center"/>
          </w:tcPr>
          <w:p w14:paraId="4866D209">
            <w:pPr>
              <w:jc w:val="center"/>
              <w:rPr>
                <w:rFonts w:ascii="Times New Roman"/>
                <w:sz w:val="21"/>
                <w:szCs w:val="21"/>
              </w:rPr>
            </w:pPr>
          </w:p>
        </w:tc>
        <w:tc>
          <w:tcPr>
            <w:tcW w:w="967" w:type="dxa"/>
            <w:vAlign w:val="center"/>
          </w:tcPr>
          <w:p w14:paraId="26B09DB4">
            <w:pPr>
              <w:jc w:val="center"/>
              <w:rPr>
                <w:rFonts w:ascii="Times New Roman"/>
                <w:sz w:val="21"/>
                <w:szCs w:val="21"/>
              </w:rPr>
            </w:pPr>
            <w:r>
              <w:rPr>
                <w:rFonts w:hint="eastAsia" w:ascii="Times New Roman"/>
                <w:sz w:val="21"/>
                <w:szCs w:val="21"/>
              </w:rPr>
              <w:t>烟气黑度</w:t>
            </w:r>
          </w:p>
        </w:tc>
        <w:tc>
          <w:tcPr>
            <w:tcW w:w="943" w:type="dxa"/>
            <w:vMerge w:val="continue"/>
            <w:vAlign w:val="center"/>
          </w:tcPr>
          <w:p w14:paraId="08573C2C">
            <w:pPr>
              <w:jc w:val="center"/>
              <w:rPr>
                <w:rFonts w:ascii="Times New Roman"/>
                <w:sz w:val="21"/>
                <w:szCs w:val="21"/>
              </w:rPr>
            </w:pPr>
          </w:p>
        </w:tc>
        <w:tc>
          <w:tcPr>
            <w:tcW w:w="874" w:type="dxa"/>
            <w:shd w:val="clear" w:color="auto" w:fill="auto"/>
            <w:vAlign w:val="center"/>
          </w:tcPr>
          <w:p w14:paraId="5BB41355">
            <w:pPr>
              <w:jc w:val="center"/>
              <w:rPr>
                <w:rFonts w:ascii="Times New Roman"/>
                <w:sz w:val="21"/>
                <w:szCs w:val="21"/>
                <w:lang w:bidi="zh-TW"/>
              </w:rPr>
            </w:pPr>
            <w:r>
              <w:rPr>
                <w:rFonts w:ascii="Times New Roman"/>
                <w:sz w:val="21"/>
                <w:szCs w:val="21"/>
                <w:lang w:bidi="zh-TW"/>
              </w:rPr>
              <w:t>≤</w:t>
            </w:r>
            <w:r>
              <w:rPr>
                <w:rFonts w:ascii="Times New Roman"/>
                <w:sz w:val="21"/>
                <w:szCs w:val="21"/>
              </w:rPr>
              <w:t>1级</w:t>
            </w:r>
          </w:p>
        </w:tc>
        <w:tc>
          <w:tcPr>
            <w:tcW w:w="798" w:type="dxa"/>
            <w:vAlign w:val="center"/>
          </w:tcPr>
          <w:p w14:paraId="671164EC">
            <w:pPr>
              <w:jc w:val="center"/>
              <w:rPr>
                <w:rFonts w:ascii="Times New Roman"/>
                <w:sz w:val="21"/>
                <w:szCs w:val="21"/>
                <w:lang w:bidi="zh-TW"/>
              </w:rPr>
            </w:pPr>
            <w:r>
              <w:rPr>
                <w:rFonts w:ascii="Times New Roman"/>
                <w:sz w:val="21"/>
                <w:szCs w:val="21"/>
                <w:lang w:bidi="zh-TW"/>
              </w:rPr>
              <w:t>/</w:t>
            </w:r>
          </w:p>
        </w:tc>
        <w:tc>
          <w:tcPr>
            <w:tcW w:w="845" w:type="dxa"/>
            <w:vAlign w:val="center"/>
          </w:tcPr>
          <w:p w14:paraId="738D1561">
            <w:pPr>
              <w:jc w:val="center"/>
              <w:rPr>
                <w:rFonts w:ascii="Times New Roman"/>
                <w:sz w:val="21"/>
                <w:szCs w:val="21"/>
                <w:lang w:bidi="zh-TW"/>
              </w:rPr>
            </w:pPr>
            <w:r>
              <w:rPr>
                <w:rFonts w:ascii="Times New Roman"/>
                <w:sz w:val="21"/>
                <w:szCs w:val="21"/>
                <w:lang w:bidi="zh-TW"/>
              </w:rPr>
              <w:t>/</w:t>
            </w:r>
          </w:p>
        </w:tc>
        <w:tc>
          <w:tcPr>
            <w:tcW w:w="646" w:type="dxa"/>
            <w:vMerge w:val="continue"/>
            <w:vAlign w:val="center"/>
          </w:tcPr>
          <w:p w14:paraId="0B4AC91C">
            <w:pPr>
              <w:jc w:val="center"/>
              <w:rPr>
                <w:rFonts w:ascii="Times New Roman"/>
                <w:sz w:val="21"/>
                <w:szCs w:val="21"/>
              </w:rPr>
            </w:pPr>
          </w:p>
        </w:tc>
        <w:tc>
          <w:tcPr>
            <w:tcW w:w="774" w:type="dxa"/>
            <w:vMerge w:val="continue"/>
            <w:vAlign w:val="center"/>
          </w:tcPr>
          <w:p w14:paraId="52EBA7B8">
            <w:pPr>
              <w:jc w:val="center"/>
              <w:rPr>
                <w:rFonts w:ascii="Times New Roman"/>
                <w:sz w:val="21"/>
                <w:szCs w:val="21"/>
              </w:rPr>
            </w:pPr>
          </w:p>
        </w:tc>
        <w:tc>
          <w:tcPr>
            <w:tcW w:w="652" w:type="dxa"/>
            <w:vAlign w:val="center"/>
          </w:tcPr>
          <w:p w14:paraId="1C3B95C9">
            <w:pPr>
              <w:jc w:val="center"/>
              <w:rPr>
                <w:rFonts w:ascii="Times New Roman"/>
                <w:sz w:val="21"/>
                <w:szCs w:val="21"/>
              </w:rPr>
            </w:pPr>
            <w:r>
              <w:rPr>
                <w:rFonts w:ascii="Times New Roman"/>
                <w:sz w:val="21"/>
                <w:szCs w:val="21"/>
              </w:rPr>
              <w:t>/</w:t>
            </w:r>
          </w:p>
        </w:tc>
        <w:tc>
          <w:tcPr>
            <w:tcW w:w="832" w:type="dxa"/>
            <w:shd w:val="clear" w:color="auto" w:fill="auto"/>
            <w:vAlign w:val="center"/>
          </w:tcPr>
          <w:p w14:paraId="11E36D57">
            <w:pPr>
              <w:jc w:val="center"/>
              <w:rPr>
                <w:rFonts w:ascii="Times New Roman"/>
                <w:sz w:val="21"/>
                <w:szCs w:val="21"/>
                <w:lang w:bidi="zh-TW"/>
              </w:rPr>
            </w:pPr>
            <w:r>
              <w:rPr>
                <w:rFonts w:ascii="Times New Roman"/>
                <w:sz w:val="21"/>
                <w:szCs w:val="21"/>
                <w:lang w:bidi="zh-TW"/>
              </w:rPr>
              <w:t>≤</w:t>
            </w:r>
            <w:r>
              <w:rPr>
                <w:rFonts w:ascii="Times New Roman"/>
                <w:sz w:val="21"/>
                <w:szCs w:val="21"/>
              </w:rPr>
              <w:t>1级</w:t>
            </w:r>
          </w:p>
        </w:tc>
        <w:tc>
          <w:tcPr>
            <w:tcW w:w="819" w:type="dxa"/>
            <w:vAlign w:val="center"/>
          </w:tcPr>
          <w:p w14:paraId="2FA64966">
            <w:pPr>
              <w:jc w:val="center"/>
              <w:rPr>
                <w:rFonts w:ascii="Times New Roman"/>
                <w:sz w:val="21"/>
                <w:szCs w:val="21"/>
                <w:lang w:bidi="zh-TW"/>
              </w:rPr>
            </w:pPr>
            <w:r>
              <w:rPr>
                <w:rFonts w:ascii="Times New Roman"/>
                <w:sz w:val="21"/>
                <w:szCs w:val="21"/>
                <w:lang w:bidi="zh-TW"/>
              </w:rPr>
              <w:t>/</w:t>
            </w:r>
          </w:p>
        </w:tc>
        <w:tc>
          <w:tcPr>
            <w:tcW w:w="819" w:type="dxa"/>
            <w:vAlign w:val="center"/>
          </w:tcPr>
          <w:p w14:paraId="22B3E143">
            <w:pPr>
              <w:jc w:val="center"/>
              <w:rPr>
                <w:rFonts w:ascii="Times New Roman"/>
                <w:sz w:val="21"/>
                <w:szCs w:val="21"/>
                <w:lang w:bidi="zh-TW"/>
              </w:rPr>
            </w:pPr>
            <w:r>
              <w:rPr>
                <w:rFonts w:ascii="Times New Roman"/>
                <w:sz w:val="21"/>
                <w:szCs w:val="21"/>
                <w:lang w:bidi="zh-TW"/>
              </w:rPr>
              <w:t>/</w:t>
            </w:r>
          </w:p>
        </w:tc>
        <w:tc>
          <w:tcPr>
            <w:tcW w:w="832" w:type="dxa"/>
            <w:shd w:val="clear" w:color="auto" w:fill="auto"/>
            <w:vAlign w:val="center"/>
          </w:tcPr>
          <w:p w14:paraId="12567B43">
            <w:pPr>
              <w:jc w:val="center"/>
              <w:rPr>
                <w:rFonts w:ascii="Times New Roman"/>
                <w:sz w:val="21"/>
                <w:szCs w:val="21"/>
              </w:rPr>
            </w:pPr>
            <w:r>
              <w:rPr>
                <w:rFonts w:ascii="Times New Roman"/>
                <w:sz w:val="21"/>
                <w:szCs w:val="21"/>
                <w:lang w:bidi="zh-TW"/>
              </w:rPr>
              <w:t>≤</w:t>
            </w:r>
            <w:r>
              <w:rPr>
                <w:rFonts w:ascii="Times New Roman"/>
                <w:sz w:val="21"/>
                <w:szCs w:val="21"/>
              </w:rPr>
              <w:t>1级</w:t>
            </w:r>
          </w:p>
        </w:tc>
        <w:tc>
          <w:tcPr>
            <w:tcW w:w="519" w:type="dxa"/>
            <w:vMerge w:val="continue"/>
            <w:vAlign w:val="center"/>
          </w:tcPr>
          <w:p w14:paraId="57881AC6">
            <w:pPr>
              <w:jc w:val="center"/>
              <w:rPr>
                <w:rFonts w:ascii="Times New Roman"/>
                <w:sz w:val="21"/>
                <w:szCs w:val="21"/>
              </w:rPr>
            </w:pPr>
          </w:p>
        </w:tc>
        <w:tc>
          <w:tcPr>
            <w:tcW w:w="592" w:type="dxa"/>
            <w:vMerge w:val="continue"/>
            <w:vAlign w:val="center"/>
          </w:tcPr>
          <w:p w14:paraId="609E9951">
            <w:pPr>
              <w:jc w:val="center"/>
              <w:rPr>
                <w:rFonts w:ascii="Times New Roman"/>
                <w:sz w:val="21"/>
                <w:szCs w:val="21"/>
              </w:rPr>
            </w:pPr>
          </w:p>
        </w:tc>
        <w:tc>
          <w:tcPr>
            <w:tcW w:w="603" w:type="dxa"/>
            <w:vMerge w:val="continue"/>
            <w:vAlign w:val="center"/>
          </w:tcPr>
          <w:p w14:paraId="4308A906">
            <w:pPr>
              <w:jc w:val="center"/>
              <w:rPr>
                <w:rFonts w:ascii="Times New Roman"/>
                <w:sz w:val="21"/>
                <w:szCs w:val="21"/>
              </w:rPr>
            </w:pPr>
          </w:p>
        </w:tc>
        <w:tc>
          <w:tcPr>
            <w:tcW w:w="602" w:type="dxa"/>
            <w:vMerge w:val="continue"/>
            <w:vAlign w:val="center"/>
          </w:tcPr>
          <w:p w14:paraId="4829E890">
            <w:pPr>
              <w:jc w:val="center"/>
              <w:rPr>
                <w:rFonts w:ascii="Times New Roman"/>
                <w:sz w:val="21"/>
                <w:szCs w:val="21"/>
              </w:rPr>
            </w:pPr>
          </w:p>
        </w:tc>
      </w:tr>
      <w:tr w14:paraId="38512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969" w:type="dxa"/>
            <w:vMerge w:val="restart"/>
            <w:vAlign w:val="center"/>
          </w:tcPr>
          <w:p w14:paraId="130BF4B8">
            <w:pPr>
              <w:jc w:val="center"/>
              <w:rPr>
                <w:rFonts w:ascii="Times New Roman" w:eastAsia="Times New Roman"/>
                <w:sz w:val="21"/>
                <w:szCs w:val="21"/>
              </w:rPr>
            </w:pPr>
            <w:r>
              <w:rPr>
                <w:rFonts w:ascii="Times New Roman"/>
                <w:sz w:val="21"/>
                <w:szCs w:val="21"/>
              </w:rPr>
              <w:t>淬火、回火废气</w:t>
            </w:r>
            <w:r>
              <w:rPr>
                <w:rFonts w:ascii="Times New Roman" w:eastAsia="Times New Roman"/>
                <w:sz w:val="21"/>
                <w:szCs w:val="21"/>
              </w:rPr>
              <w:t>(</w:t>
            </w:r>
            <w:r>
              <w:rPr>
                <w:rFonts w:ascii="Times New Roman"/>
                <w:sz w:val="21"/>
                <w:szCs w:val="21"/>
              </w:rPr>
              <w:t>DA006</w:t>
            </w:r>
            <w:r>
              <w:rPr>
                <w:rFonts w:ascii="Times New Roman" w:eastAsia="Times New Roman"/>
                <w:sz w:val="21"/>
                <w:szCs w:val="21"/>
              </w:rPr>
              <w:t>)</w:t>
            </w:r>
          </w:p>
        </w:tc>
        <w:tc>
          <w:tcPr>
            <w:tcW w:w="967" w:type="dxa"/>
            <w:vAlign w:val="center"/>
          </w:tcPr>
          <w:p w14:paraId="6D613FD6">
            <w:pPr>
              <w:jc w:val="center"/>
              <w:rPr>
                <w:rFonts w:ascii="Times New Roman"/>
                <w:sz w:val="21"/>
                <w:szCs w:val="21"/>
              </w:rPr>
            </w:pPr>
            <w:r>
              <w:rPr>
                <w:rFonts w:ascii="Times New Roman"/>
                <w:sz w:val="21"/>
                <w:szCs w:val="21"/>
              </w:rPr>
              <w:t>颗粒物</w:t>
            </w:r>
          </w:p>
        </w:tc>
        <w:tc>
          <w:tcPr>
            <w:tcW w:w="943" w:type="dxa"/>
            <w:vMerge w:val="restart"/>
            <w:vAlign w:val="center"/>
          </w:tcPr>
          <w:p w14:paraId="573364BF">
            <w:pPr>
              <w:jc w:val="center"/>
              <w:rPr>
                <w:rFonts w:ascii="Times New Roman"/>
                <w:sz w:val="21"/>
                <w:szCs w:val="21"/>
              </w:rPr>
            </w:pPr>
            <w:r>
              <w:rPr>
                <w:rFonts w:hint="eastAsia" w:ascii="Times New Roman"/>
                <w:sz w:val="21"/>
                <w:szCs w:val="21"/>
              </w:rPr>
              <w:t>5</w:t>
            </w:r>
            <w:r>
              <w:rPr>
                <w:rFonts w:ascii="Times New Roman"/>
                <w:sz w:val="21"/>
                <w:szCs w:val="21"/>
              </w:rPr>
              <w:t>0</w:t>
            </w:r>
            <w:r>
              <w:rPr>
                <w:rFonts w:hint="eastAsia" w:ascii="Times New Roman"/>
                <w:sz w:val="21"/>
                <w:szCs w:val="21"/>
              </w:rPr>
              <w:t>0</w:t>
            </w:r>
            <w:r>
              <w:rPr>
                <w:rFonts w:ascii="Times New Roman"/>
                <w:sz w:val="21"/>
                <w:szCs w:val="21"/>
              </w:rPr>
              <w:t>00</w:t>
            </w:r>
          </w:p>
        </w:tc>
        <w:tc>
          <w:tcPr>
            <w:tcW w:w="874" w:type="dxa"/>
            <w:vAlign w:val="center"/>
          </w:tcPr>
          <w:p w14:paraId="7012A861">
            <w:pPr>
              <w:jc w:val="center"/>
              <w:rPr>
                <w:rFonts w:ascii="Times New Roman"/>
                <w:sz w:val="21"/>
                <w:szCs w:val="21"/>
              </w:rPr>
            </w:pPr>
            <w:r>
              <w:rPr>
                <w:rFonts w:hint="eastAsia" w:ascii="Times New Roman"/>
                <w:sz w:val="21"/>
                <w:szCs w:val="21"/>
              </w:rPr>
              <w:t>133.333</w:t>
            </w:r>
          </w:p>
        </w:tc>
        <w:tc>
          <w:tcPr>
            <w:tcW w:w="798" w:type="dxa"/>
            <w:vAlign w:val="center"/>
          </w:tcPr>
          <w:p w14:paraId="7CFBC7FE">
            <w:pPr>
              <w:jc w:val="center"/>
              <w:rPr>
                <w:rFonts w:ascii="Times New Roman"/>
                <w:sz w:val="21"/>
                <w:szCs w:val="21"/>
              </w:rPr>
            </w:pPr>
            <w:r>
              <w:rPr>
                <w:rFonts w:hint="eastAsia" w:ascii="Times New Roman"/>
                <w:sz w:val="21"/>
                <w:szCs w:val="21"/>
              </w:rPr>
              <w:t>6.667</w:t>
            </w:r>
          </w:p>
        </w:tc>
        <w:tc>
          <w:tcPr>
            <w:tcW w:w="845" w:type="dxa"/>
            <w:vAlign w:val="center"/>
          </w:tcPr>
          <w:p w14:paraId="5DC3F576">
            <w:pPr>
              <w:jc w:val="center"/>
              <w:rPr>
                <w:rFonts w:ascii="Times New Roman"/>
                <w:sz w:val="21"/>
                <w:szCs w:val="21"/>
              </w:rPr>
            </w:pPr>
            <w:r>
              <w:rPr>
                <w:rFonts w:hint="eastAsia" w:ascii="Times New Roman"/>
                <w:sz w:val="21"/>
                <w:szCs w:val="21"/>
              </w:rPr>
              <w:t>16</w:t>
            </w:r>
          </w:p>
        </w:tc>
        <w:tc>
          <w:tcPr>
            <w:tcW w:w="646" w:type="dxa"/>
            <w:vMerge w:val="restart"/>
            <w:vAlign w:val="center"/>
          </w:tcPr>
          <w:p w14:paraId="3CA22C6F">
            <w:pPr>
              <w:jc w:val="center"/>
              <w:rPr>
                <w:rFonts w:ascii="Times New Roman"/>
                <w:sz w:val="21"/>
                <w:szCs w:val="21"/>
              </w:rPr>
            </w:pPr>
            <w:r>
              <w:rPr>
                <w:rFonts w:ascii="Times New Roman"/>
                <w:sz w:val="21"/>
                <w:szCs w:val="21"/>
              </w:rPr>
              <w:t>9</w:t>
            </w:r>
            <w:r>
              <w:rPr>
                <w:rFonts w:hint="eastAsia" w:ascii="Times New Roman"/>
                <w:sz w:val="21"/>
                <w:szCs w:val="21"/>
              </w:rPr>
              <w:t>5</w:t>
            </w:r>
          </w:p>
        </w:tc>
        <w:tc>
          <w:tcPr>
            <w:tcW w:w="774" w:type="dxa"/>
            <w:vMerge w:val="restart"/>
            <w:vAlign w:val="center"/>
          </w:tcPr>
          <w:p w14:paraId="02CD2A50">
            <w:pPr>
              <w:rPr>
                <w:rFonts w:ascii="Times New Roman"/>
                <w:sz w:val="21"/>
                <w:szCs w:val="21"/>
              </w:rPr>
            </w:pPr>
            <w:r>
              <w:rPr>
                <w:rFonts w:ascii="Times New Roman"/>
                <w:sz w:val="21"/>
                <w:szCs w:val="21"/>
              </w:rPr>
              <w:t>油雾净化器+二级活性炭吸附装置</w:t>
            </w:r>
          </w:p>
        </w:tc>
        <w:tc>
          <w:tcPr>
            <w:tcW w:w="652" w:type="dxa"/>
            <w:vAlign w:val="center"/>
          </w:tcPr>
          <w:p w14:paraId="351067D3">
            <w:pPr>
              <w:jc w:val="center"/>
              <w:rPr>
                <w:rFonts w:ascii="Times New Roman" w:eastAsia="Times New Roman"/>
                <w:sz w:val="21"/>
                <w:szCs w:val="21"/>
              </w:rPr>
            </w:pPr>
            <w:r>
              <w:rPr>
                <w:rFonts w:hint="eastAsia" w:ascii="Times New Roman"/>
                <w:sz w:val="21"/>
                <w:szCs w:val="21"/>
              </w:rPr>
              <w:t>90</w:t>
            </w:r>
            <w:r>
              <w:rPr>
                <w:rFonts w:ascii="Times New Roman" w:eastAsia="Times New Roman"/>
                <w:sz w:val="21"/>
                <w:szCs w:val="21"/>
              </w:rPr>
              <w:t>%</w:t>
            </w:r>
          </w:p>
        </w:tc>
        <w:tc>
          <w:tcPr>
            <w:tcW w:w="832" w:type="dxa"/>
            <w:vAlign w:val="center"/>
          </w:tcPr>
          <w:p w14:paraId="69D9AD17">
            <w:pPr>
              <w:jc w:val="center"/>
              <w:rPr>
                <w:rFonts w:ascii="Times New Roman"/>
                <w:sz w:val="21"/>
                <w:szCs w:val="21"/>
              </w:rPr>
            </w:pPr>
            <w:r>
              <w:rPr>
                <w:rFonts w:hint="eastAsia" w:ascii="Times New Roman"/>
                <w:sz w:val="21"/>
                <w:szCs w:val="21"/>
              </w:rPr>
              <w:t>12.667</w:t>
            </w:r>
          </w:p>
        </w:tc>
        <w:tc>
          <w:tcPr>
            <w:tcW w:w="819" w:type="dxa"/>
            <w:vAlign w:val="center"/>
          </w:tcPr>
          <w:p w14:paraId="4592477E">
            <w:pPr>
              <w:jc w:val="center"/>
              <w:rPr>
                <w:rFonts w:ascii="Times New Roman"/>
                <w:sz w:val="21"/>
                <w:szCs w:val="21"/>
              </w:rPr>
            </w:pPr>
            <w:r>
              <w:rPr>
                <w:rFonts w:ascii="Times New Roman"/>
                <w:sz w:val="21"/>
                <w:szCs w:val="21"/>
              </w:rPr>
              <w:t>0.</w:t>
            </w:r>
            <w:r>
              <w:rPr>
                <w:rFonts w:hint="eastAsia" w:ascii="Times New Roman"/>
                <w:sz w:val="21"/>
                <w:szCs w:val="21"/>
              </w:rPr>
              <w:t>663</w:t>
            </w:r>
          </w:p>
        </w:tc>
        <w:tc>
          <w:tcPr>
            <w:tcW w:w="819" w:type="dxa"/>
            <w:vAlign w:val="center"/>
          </w:tcPr>
          <w:p w14:paraId="579E900A">
            <w:pPr>
              <w:jc w:val="center"/>
              <w:rPr>
                <w:rFonts w:ascii="Times New Roman"/>
                <w:sz w:val="21"/>
                <w:szCs w:val="21"/>
              </w:rPr>
            </w:pPr>
            <w:r>
              <w:rPr>
                <w:rFonts w:hint="eastAsia" w:ascii="Times New Roman"/>
                <w:sz w:val="21"/>
                <w:szCs w:val="21"/>
              </w:rPr>
              <w:t>1.520</w:t>
            </w:r>
          </w:p>
        </w:tc>
        <w:tc>
          <w:tcPr>
            <w:tcW w:w="832" w:type="dxa"/>
            <w:tcBorders>
              <w:bottom w:val="single" w:color="auto" w:sz="4" w:space="0"/>
            </w:tcBorders>
            <w:shd w:val="clear" w:color="auto" w:fill="auto"/>
            <w:vAlign w:val="center"/>
          </w:tcPr>
          <w:p w14:paraId="2C8633F7">
            <w:pPr>
              <w:jc w:val="center"/>
              <w:rPr>
                <w:rFonts w:ascii="Times New Roman"/>
                <w:sz w:val="21"/>
                <w:szCs w:val="21"/>
              </w:rPr>
            </w:pPr>
            <w:r>
              <w:rPr>
                <w:rFonts w:hint="eastAsia" w:ascii="Times New Roman"/>
                <w:sz w:val="21"/>
                <w:szCs w:val="21"/>
              </w:rPr>
              <w:t>20</w:t>
            </w:r>
          </w:p>
        </w:tc>
        <w:tc>
          <w:tcPr>
            <w:tcW w:w="519" w:type="dxa"/>
            <w:vMerge w:val="restart"/>
            <w:vAlign w:val="center"/>
          </w:tcPr>
          <w:p w14:paraId="08D114CA">
            <w:pPr>
              <w:jc w:val="center"/>
              <w:rPr>
                <w:rFonts w:ascii="Times New Roman"/>
                <w:sz w:val="21"/>
                <w:szCs w:val="21"/>
              </w:rPr>
            </w:pPr>
            <w:r>
              <w:rPr>
                <w:rFonts w:ascii="Times New Roman"/>
                <w:sz w:val="21"/>
                <w:szCs w:val="21"/>
              </w:rPr>
              <w:t>20</w:t>
            </w:r>
          </w:p>
        </w:tc>
        <w:tc>
          <w:tcPr>
            <w:tcW w:w="592" w:type="dxa"/>
            <w:vMerge w:val="restart"/>
            <w:vAlign w:val="center"/>
          </w:tcPr>
          <w:p w14:paraId="4C4D0A67">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3</w:t>
            </w:r>
          </w:p>
        </w:tc>
        <w:tc>
          <w:tcPr>
            <w:tcW w:w="603" w:type="dxa"/>
            <w:vMerge w:val="restart"/>
            <w:vAlign w:val="center"/>
          </w:tcPr>
          <w:p w14:paraId="79222B6B">
            <w:pPr>
              <w:jc w:val="center"/>
              <w:rPr>
                <w:rFonts w:ascii="Times New Roman"/>
                <w:sz w:val="21"/>
                <w:szCs w:val="21"/>
              </w:rPr>
            </w:pPr>
            <w:r>
              <w:rPr>
                <w:rFonts w:ascii="Times New Roman"/>
                <w:sz w:val="21"/>
                <w:szCs w:val="21"/>
              </w:rPr>
              <w:t>50</w:t>
            </w:r>
          </w:p>
        </w:tc>
        <w:tc>
          <w:tcPr>
            <w:tcW w:w="602" w:type="dxa"/>
            <w:vMerge w:val="restart"/>
            <w:vAlign w:val="center"/>
          </w:tcPr>
          <w:p w14:paraId="68619552">
            <w:pPr>
              <w:jc w:val="center"/>
              <w:rPr>
                <w:rFonts w:ascii="Times New Roman"/>
                <w:sz w:val="21"/>
                <w:szCs w:val="21"/>
              </w:rPr>
            </w:pPr>
            <w:r>
              <w:rPr>
                <w:rFonts w:hint="eastAsia" w:ascii="Times New Roman"/>
                <w:sz w:val="21"/>
                <w:szCs w:val="21"/>
              </w:rPr>
              <w:t>24</w:t>
            </w:r>
            <w:r>
              <w:rPr>
                <w:rFonts w:ascii="Times New Roman"/>
                <w:sz w:val="21"/>
                <w:szCs w:val="21"/>
              </w:rPr>
              <w:t>0</w:t>
            </w:r>
            <w:r>
              <w:rPr>
                <w:rFonts w:ascii="Times New Roman" w:eastAsia="Times New Roman"/>
                <w:sz w:val="21"/>
                <w:szCs w:val="21"/>
              </w:rPr>
              <w:t>0</w:t>
            </w:r>
          </w:p>
        </w:tc>
      </w:tr>
      <w:tr w14:paraId="1EAD5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969" w:type="dxa"/>
            <w:vMerge w:val="continue"/>
            <w:vAlign w:val="center"/>
          </w:tcPr>
          <w:p w14:paraId="110926E2">
            <w:pPr>
              <w:jc w:val="center"/>
              <w:rPr>
                <w:rFonts w:ascii="Times New Roman"/>
                <w:sz w:val="21"/>
                <w:szCs w:val="21"/>
              </w:rPr>
            </w:pPr>
          </w:p>
        </w:tc>
        <w:tc>
          <w:tcPr>
            <w:tcW w:w="967" w:type="dxa"/>
            <w:vAlign w:val="center"/>
          </w:tcPr>
          <w:p w14:paraId="623C0106">
            <w:pPr>
              <w:jc w:val="center"/>
              <w:rPr>
                <w:rFonts w:ascii="Times New Roman" w:eastAsia="Times New Roman"/>
                <w:sz w:val="21"/>
                <w:szCs w:val="21"/>
              </w:rPr>
            </w:pPr>
            <w:r>
              <w:rPr>
                <w:rFonts w:ascii="Times New Roman"/>
                <w:sz w:val="21"/>
                <w:szCs w:val="21"/>
              </w:rPr>
              <w:t>非甲烷总烃</w:t>
            </w:r>
          </w:p>
        </w:tc>
        <w:tc>
          <w:tcPr>
            <w:tcW w:w="943" w:type="dxa"/>
            <w:vMerge w:val="continue"/>
            <w:vAlign w:val="center"/>
          </w:tcPr>
          <w:p w14:paraId="6CC52A26">
            <w:pPr>
              <w:jc w:val="center"/>
              <w:rPr>
                <w:rFonts w:ascii="Times New Roman"/>
                <w:sz w:val="21"/>
                <w:szCs w:val="21"/>
              </w:rPr>
            </w:pPr>
          </w:p>
        </w:tc>
        <w:tc>
          <w:tcPr>
            <w:tcW w:w="874" w:type="dxa"/>
            <w:vAlign w:val="center"/>
          </w:tcPr>
          <w:p w14:paraId="0F83A5AD">
            <w:pPr>
              <w:jc w:val="center"/>
              <w:rPr>
                <w:rFonts w:ascii="Times New Roman"/>
                <w:sz w:val="21"/>
                <w:szCs w:val="21"/>
              </w:rPr>
            </w:pPr>
            <w:r>
              <w:rPr>
                <w:rFonts w:hint="eastAsia" w:ascii="Times New Roman"/>
                <w:sz w:val="21"/>
                <w:szCs w:val="21"/>
              </w:rPr>
              <w:t>0.007</w:t>
            </w:r>
          </w:p>
        </w:tc>
        <w:tc>
          <w:tcPr>
            <w:tcW w:w="798" w:type="dxa"/>
            <w:vAlign w:val="center"/>
          </w:tcPr>
          <w:p w14:paraId="4CD37527">
            <w:pPr>
              <w:jc w:val="center"/>
              <w:rPr>
                <w:rFonts w:ascii="Times New Roman"/>
                <w:sz w:val="21"/>
                <w:szCs w:val="21"/>
              </w:rPr>
            </w:pPr>
            <w:r>
              <w:rPr>
                <w:rFonts w:hint="eastAsia" w:ascii="Times New Roman"/>
                <w:sz w:val="21"/>
                <w:szCs w:val="21"/>
              </w:rPr>
              <w:t>0.0003</w:t>
            </w:r>
          </w:p>
        </w:tc>
        <w:tc>
          <w:tcPr>
            <w:tcW w:w="845" w:type="dxa"/>
            <w:vAlign w:val="center"/>
          </w:tcPr>
          <w:p w14:paraId="7C542481">
            <w:pPr>
              <w:jc w:val="center"/>
              <w:rPr>
                <w:rFonts w:ascii="Times New Roman"/>
                <w:sz w:val="21"/>
                <w:szCs w:val="21"/>
              </w:rPr>
            </w:pPr>
            <w:r>
              <w:rPr>
                <w:rFonts w:hint="eastAsia" w:ascii="Times New Roman"/>
                <w:sz w:val="21"/>
                <w:szCs w:val="21"/>
              </w:rPr>
              <w:t>0.0008</w:t>
            </w:r>
          </w:p>
        </w:tc>
        <w:tc>
          <w:tcPr>
            <w:tcW w:w="646" w:type="dxa"/>
            <w:vMerge w:val="continue"/>
            <w:vAlign w:val="center"/>
          </w:tcPr>
          <w:p w14:paraId="02ED86D1">
            <w:pPr>
              <w:jc w:val="center"/>
              <w:rPr>
                <w:rFonts w:ascii="Times New Roman"/>
                <w:sz w:val="21"/>
                <w:szCs w:val="21"/>
              </w:rPr>
            </w:pPr>
          </w:p>
        </w:tc>
        <w:tc>
          <w:tcPr>
            <w:tcW w:w="774" w:type="dxa"/>
            <w:vMerge w:val="continue"/>
            <w:vAlign w:val="center"/>
          </w:tcPr>
          <w:p w14:paraId="3DF12FB1">
            <w:pPr>
              <w:jc w:val="center"/>
              <w:rPr>
                <w:rFonts w:ascii="Times New Roman"/>
                <w:sz w:val="21"/>
                <w:szCs w:val="21"/>
              </w:rPr>
            </w:pPr>
          </w:p>
        </w:tc>
        <w:tc>
          <w:tcPr>
            <w:tcW w:w="652" w:type="dxa"/>
            <w:vAlign w:val="center"/>
          </w:tcPr>
          <w:p w14:paraId="527D2741">
            <w:pPr>
              <w:jc w:val="center"/>
              <w:rPr>
                <w:rFonts w:ascii="Times New Roman" w:eastAsia="Times New Roman"/>
                <w:sz w:val="21"/>
                <w:szCs w:val="21"/>
              </w:rPr>
            </w:pPr>
            <w:r>
              <w:rPr>
                <w:rFonts w:hint="eastAsia" w:ascii="Times New Roman"/>
                <w:sz w:val="21"/>
                <w:szCs w:val="21"/>
              </w:rPr>
              <w:t>60%</w:t>
            </w:r>
          </w:p>
        </w:tc>
        <w:tc>
          <w:tcPr>
            <w:tcW w:w="832" w:type="dxa"/>
            <w:vAlign w:val="center"/>
          </w:tcPr>
          <w:p w14:paraId="53FD6ED6">
            <w:pPr>
              <w:jc w:val="center"/>
              <w:rPr>
                <w:rFonts w:ascii="Times New Roman"/>
                <w:sz w:val="21"/>
                <w:szCs w:val="21"/>
              </w:rPr>
            </w:pPr>
            <w:r>
              <w:rPr>
                <w:rFonts w:hint="eastAsia" w:ascii="Times New Roman"/>
                <w:sz w:val="21"/>
                <w:szCs w:val="21"/>
              </w:rPr>
              <w:t>0.002</w:t>
            </w:r>
          </w:p>
        </w:tc>
        <w:tc>
          <w:tcPr>
            <w:tcW w:w="819" w:type="dxa"/>
            <w:vAlign w:val="center"/>
          </w:tcPr>
          <w:p w14:paraId="437D000D">
            <w:pPr>
              <w:jc w:val="center"/>
              <w:rPr>
                <w:rFonts w:ascii="Times New Roman"/>
                <w:sz w:val="21"/>
                <w:szCs w:val="21"/>
              </w:rPr>
            </w:pPr>
            <w:r>
              <w:rPr>
                <w:rFonts w:hint="eastAsia" w:ascii="Times New Roman"/>
                <w:sz w:val="21"/>
                <w:szCs w:val="21"/>
              </w:rPr>
              <w:t>0.0001</w:t>
            </w:r>
          </w:p>
        </w:tc>
        <w:tc>
          <w:tcPr>
            <w:tcW w:w="819" w:type="dxa"/>
            <w:vAlign w:val="center"/>
          </w:tcPr>
          <w:p w14:paraId="1DA90760">
            <w:pPr>
              <w:jc w:val="center"/>
              <w:rPr>
                <w:rFonts w:ascii="Times New Roman"/>
                <w:sz w:val="21"/>
                <w:szCs w:val="21"/>
              </w:rPr>
            </w:pPr>
            <w:r>
              <w:rPr>
                <w:rFonts w:hint="eastAsia" w:ascii="Times New Roman"/>
                <w:sz w:val="21"/>
                <w:szCs w:val="21"/>
              </w:rPr>
              <w:t>0.0003</w:t>
            </w:r>
          </w:p>
        </w:tc>
        <w:tc>
          <w:tcPr>
            <w:tcW w:w="832" w:type="dxa"/>
            <w:tcBorders>
              <w:top w:val="single" w:color="auto" w:sz="4" w:space="0"/>
            </w:tcBorders>
            <w:shd w:val="clear" w:color="auto" w:fill="auto"/>
            <w:vAlign w:val="center"/>
          </w:tcPr>
          <w:p w14:paraId="1CF294FC">
            <w:pPr>
              <w:jc w:val="center"/>
              <w:rPr>
                <w:rFonts w:ascii="Times New Roman"/>
                <w:sz w:val="21"/>
                <w:szCs w:val="21"/>
              </w:rPr>
            </w:pPr>
            <w:r>
              <w:rPr>
                <w:rFonts w:hint="eastAsia" w:ascii="Times New Roman"/>
                <w:sz w:val="21"/>
                <w:szCs w:val="21"/>
              </w:rPr>
              <w:t>8</w:t>
            </w:r>
            <w:r>
              <w:rPr>
                <w:rFonts w:ascii="Times New Roman"/>
                <w:sz w:val="21"/>
                <w:szCs w:val="21"/>
              </w:rPr>
              <w:t>0</w:t>
            </w:r>
          </w:p>
        </w:tc>
        <w:tc>
          <w:tcPr>
            <w:tcW w:w="519" w:type="dxa"/>
            <w:vMerge w:val="continue"/>
            <w:vAlign w:val="center"/>
          </w:tcPr>
          <w:p w14:paraId="3AC3ACD8">
            <w:pPr>
              <w:jc w:val="center"/>
              <w:rPr>
                <w:rFonts w:ascii="Times New Roman"/>
                <w:sz w:val="21"/>
                <w:szCs w:val="21"/>
              </w:rPr>
            </w:pPr>
          </w:p>
        </w:tc>
        <w:tc>
          <w:tcPr>
            <w:tcW w:w="592" w:type="dxa"/>
            <w:vMerge w:val="continue"/>
            <w:shd w:val="clear" w:color="auto" w:fill="auto"/>
            <w:vAlign w:val="center"/>
          </w:tcPr>
          <w:p w14:paraId="30D55A03">
            <w:pPr>
              <w:spacing w:line="280" w:lineRule="exact"/>
              <w:jc w:val="center"/>
              <w:rPr>
                <w:rFonts w:ascii="Times New Roman"/>
                <w:sz w:val="21"/>
                <w:szCs w:val="21"/>
              </w:rPr>
            </w:pPr>
          </w:p>
        </w:tc>
        <w:tc>
          <w:tcPr>
            <w:tcW w:w="603" w:type="dxa"/>
            <w:vMerge w:val="continue"/>
            <w:shd w:val="clear" w:color="auto" w:fill="auto"/>
            <w:vAlign w:val="center"/>
          </w:tcPr>
          <w:p w14:paraId="31DFCF40">
            <w:pPr>
              <w:jc w:val="center"/>
              <w:rPr>
                <w:rFonts w:ascii="Times New Roman"/>
                <w:sz w:val="21"/>
                <w:szCs w:val="21"/>
              </w:rPr>
            </w:pPr>
          </w:p>
        </w:tc>
        <w:tc>
          <w:tcPr>
            <w:tcW w:w="602" w:type="dxa"/>
            <w:vMerge w:val="continue"/>
            <w:shd w:val="clear" w:color="auto" w:fill="auto"/>
            <w:vAlign w:val="center"/>
          </w:tcPr>
          <w:p w14:paraId="18FEC7D0">
            <w:pPr>
              <w:jc w:val="center"/>
              <w:rPr>
                <w:rFonts w:ascii="Times New Roman"/>
                <w:sz w:val="21"/>
                <w:szCs w:val="21"/>
              </w:rPr>
            </w:pPr>
          </w:p>
        </w:tc>
      </w:tr>
      <w:tr w14:paraId="593B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9" w:type="dxa"/>
            <w:vAlign w:val="center"/>
          </w:tcPr>
          <w:p w14:paraId="7689631A">
            <w:pPr>
              <w:jc w:val="center"/>
              <w:rPr>
                <w:rFonts w:ascii="Times New Roman" w:eastAsia="Times New Roman"/>
                <w:sz w:val="21"/>
                <w:szCs w:val="21"/>
              </w:rPr>
            </w:pPr>
            <w:r>
              <w:rPr>
                <w:rFonts w:ascii="Times New Roman"/>
                <w:sz w:val="21"/>
                <w:szCs w:val="21"/>
              </w:rPr>
              <w:t>抛丸、喷砂废气</w:t>
            </w:r>
            <w:r>
              <w:rPr>
                <w:rFonts w:ascii="Times New Roman" w:eastAsia="Times New Roman"/>
                <w:sz w:val="21"/>
                <w:szCs w:val="21"/>
              </w:rPr>
              <w:t>(</w:t>
            </w:r>
            <w:r>
              <w:rPr>
                <w:rFonts w:ascii="Times New Roman"/>
                <w:sz w:val="21"/>
                <w:szCs w:val="21"/>
              </w:rPr>
              <w:t>DA007</w:t>
            </w:r>
            <w:r>
              <w:rPr>
                <w:rFonts w:ascii="Times New Roman" w:eastAsia="Times New Roman"/>
                <w:sz w:val="21"/>
                <w:szCs w:val="21"/>
              </w:rPr>
              <w:t>)</w:t>
            </w:r>
          </w:p>
        </w:tc>
        <w:tc>
          <w:tcPr>
            <w:tcW w:w="967" w:type="dxa"/>
            <w:vAlign w:val="center"/>
          </w:tcPr>
          <w:p w14:paraId="45EFFA7C">
            <w:pPr>
              <w:jc w:val="center"/>
              <w:rPr>
                <w:rFonts w:ascii="Times New Roman"/>
                <w:sz w:val="21"/>
                <w:szCs w:val="21"/>
              </w:rPr>
            </w:pPr>
            <w:r>
              <w:rPr>
                <w:rFonts w:ascii="Times New Roman"/>
                <w:sz w:val="21"/>
                <w:szCs w:val="21"/>
              </w:rPr>
              <w:t>颗粒物</w:t>
            </w:r>
          </w:p>
        </w:tc>
        <w:tc>
          <w:tcPr>
            <w:tcW w:w="943" w:type="dxa"/>
            <w:vAlign w:val="center"/>
          </w:tcPr>
          <w:p w14:paraId="4BD7507B">
            <w:pPr>
              <w:jc w:val="center"/>
              <w:rPr>
                <w:rFonts w:ascii="Times New Roman" w:eastAsia="Times New Roman"/>
                <w:sz w:val="21"/>
                <w:szCs w:val="21"/>
              </w:rPr>
            </w:pPr>
            <w:r>
              <w:rPr>
                <w:rFonts w:hint="eastAsia" w:ascii="Times New Roman" w:eastAsia="Times New Roman"/>
                <w:sz w:val="21"/>
                <w:szCs w:val="21"/>
              </w:rPr>
              <w:t>2</w:t>
            </w:r>
            <w:r>
              <w:rPr>
                <w:rFonts w:ascii="Times New Roman" w:eastAsia="Times New Roman"/>
                <w:sz w:val="21"/>
                <w:szCs w:val="21"/>
              </w:rPr>
              <w:t>0000</w:t>
            </w:r>
          </w:p>
        </w:tc>
        <w:tc>
          <w:tcPr>
            <w:tcW w:w="874" w:type="dxa"/>
            <w:vAlign w:val="center"/>
          </w:tcPr>
          <w:p w14:paraId="33D0B935">
            <w:pPr>
              <w:jc w:val="center"/>
              <w:rPr>
                <w:rFonts w:ascii="Times New Roman" w:eastAsia="Times New Roman"/>
                <w:sz w:val="21"/>
                <w:szCs w:val="21"/>
              </w:rPr>
            </w:pPr>
            <w:r>
              <w:rPr>
                <w:rFonts w:hint="eastAsia" w:ascii="Times New Roman" w:eastAsia="Times New Roman"/>
                <w:sz w:val="21"/>
                <w:szCs w:val="21"/>
              </w:rPr>
              <w:t>3193.75</w:t>
            </w:r>
          </w:p>
        </w:tc>
        <w:tc>
          <w:tcPr>
            <w:tcW w:w="798" w:type="dxa"/>
            <w:vAlign w:val="center"/>
          </w:tcPr>
          <w:p w14:paraId="075016CF">
            <w:pPr>
              <w:jc w:val="center"/>
              <w:rPr>
                <w:rFonts w:ascii="Times New Roman" w:eastAsia="Times New Roman"/>
                <w:sz w:val="21"/>
                <w:szCs w:val="21"/>
              </w:rPr>
            </w:pPr>
            <w:r>
              <w:rPr>
                <w:rFonts w:hint="eastAsia" w:ascii="Times New Roman" w:eastAsia="Times New Roman"/>
                <w:sz w:val="21"/>
                <w:szCs w:val="21"/>
              </w:rPr>
              <w:t>63.875</w:t>
            </w:r>
          </w:p>
        </w:tc>
        <w:tc>
          <w:tcPr>
            <w:tcW w:w="845" w:type="dxa"/>
            <w:vAlign w:val="center"/>
          </w:tcPr>
          <w:p w14:paraId="6AF8F7D1">
            <w:pPr>
              <w:jc w:val="center"/>
              <w:rPr>
                <w:rFonts w:ascii="Times New Roman" w:eastAsia="Times New Roman"/>
                <w:sz w:val="21"/>
                <w:szCs w:val="21"/>
              </w:rPr>
            </w:pPr>
            <w:r>
              <w:rPr>
                <w:rFonts w:hint="eastAsia" w:ascii="Times New Roman" w:eastAsia="Times New Roman"/>
                <w:sz w:val="21"/>
                <w:szCs w:val="21"/>
              </w:rPr>
              <w:t>153.3</w:t>
            </w:r>
          </w:p>
        </w:tc>
        <w:tc>
          <w:tcPr>
            <w:tcW w:w="646" w:type="dxa"/>
            <w:vAlign w:val="center"/>
          </w:tcPr>
          <w:p w14:paraId="07BD91EB">
            <w:pPr>
              <w:jc w:val="center"/>
              <w:rPr>
                <w:rFonts w:ascii="Times New Roman"/>
                <w:sz w:val="21"/>
                <w:szCs w:val="21"/>
              </w:rPr>
            </w:pPr>
            <w:r>
              <w:rPr>
                <w:rFonts w:hint="eastAsia" w:ascii="Times New Roman"/>
                <w:sz w:val="21"/>
                <w:szCs w:val="21"/>
              </w:rPr>
              <w:t>100</w:t>
            </w:r>
          </w:p>
        </w:tc>
        <w:tc>
          <w:tcPr>
            <w:tcW w:w="774" w:type="dxa"/>
            <w:vAlign w:val="center"/>
          </w:tcPr>
          <w:p w14:paraId="73859982">
            <w:pPr>
              <w:jc w:val="center"/>
              <w:rPr>
                <w:rFonts w:ascii="Times New Roman"/>
                <w:sz w:val="21"/>
                <w:szCs w:val="21"/>
              </w:rPr>
            </w:pPr>
            <w:r>
              <w:rPr>
                <w:rFonts w:hint="eastAsia" w:ascii="Times New Roman"/>
                <w:sz w:val="21"/>
                <w:szCs w:val="21"/>
              </w:rPr>
              <w:t>旋风+滤筒</w:t>
            </w:r>
            <w:r>
              <w:rPr>
                <w:rFonts w:ascii="Times New Roman"/>
                <w:sz w:val="21"/>
                <w:szCs w:val="21"/>
              </w:rPr>
              <w:t>除尘器</w:t>
            </w:r>
          </w:p>
        </w:tc>
        <w:tc>
          <w:tcPr>
            <w:tcW w:w="652" w:type="dxa"/>
            <w:vAlign w:val="center"/>
          </w:tcPr>
          <w:p w14:paraId="6ED032AC">
            <w:pPr>
              <w:jc w:val="center"/>
              <w:rPr>
                <w:rFonts w:ascii="Times New Roman"/>
                <w:sz w:val="21"/>
                <w:szCs w:val="21"/>
              </w:rPr>
            </w:pPr>
            <w:r>
              <w:rPr>
                <w:rFonts w:ascii="Times New Roman" w:eastAsia="Times New Roman"/>
                <w:sz w:val="21"/>
                <w:szCs w:val="21"/>
              </w:rPr>
              <w:t>99</w:t>
            </w:r>
            <w:r>
              <w:rPr>
                <w:rFonts w:hint="eastAsia" w:ascii="Times New Roman"/>
                <w:sz w:val="21"/>
                <w:szCs w:val="21"/>
              </w:rPr>
              <w:t>.9</w:t>
            </w:r>
          </w:p>
        </w:tc>
        <w:tc>
          <w:tcPr>
            <w:tcW w:w="832" w:type="dxa"/>
            <w:vAlign w:val="center"/>
          </w:tcPr>
          <w:p w14:paraId="2A0492E9">
            <w:pPr>
              <w:jc w:val="center"/>
              <w:rPr>
                <w:rFonts w:ascii="Times New Roman" w:eastAsia="Times New Roman"/>
                <w:sz w:val="21"/>
                <w:szCs w:val="21"/>
              </w:rPr>
            </w:pPr>
            <w:r>
              <w:rPr>
                <w:rFonts w:hint="eastAsia" w:ascii="Times New Roman" w:eastAsia="Times New Roman"/>
                <w:sz w:val="21"/>
                <w:szCs w:val="21"/>
              </w:rPr>
              <w:t>3.194</w:t>
            </w:r>
          </w:p>
        </w:tc>
        <w:tc>
          <w:tcPr>
            <w:tcW w:w="819" w:type="dxa"/>
            <w:vAlign w:val="center"/>
          </w:tcPr>
          <w:p w14:paraId="214E969F">
            <w:pPr>
              <w:jc w:val="center"/>
              <w:rPr>
                <w:rFonts w:ascii="Times New Roman" w:eastAsia="Times New Roman"/>
                <w:sz w:val="21"/>
                <w:szCs w:val="21"/>
              </w:rPr>
            </w:pPr>
            <w:r>
              <w:rPr>
                <w:rFonts w:ascii="Times New Roman" w:eastAsia="Times New Roman"/>
                <w:sz w:val="21"/>
                <w:szCs w:val="21"/>
              </w:rPr>
              <w:t>0.06</w:t>
            </w:r>
            <w:r>
              <w:rPr>
                <w:rFonts w:hint="eastAsia" w:ascii="Times New Roman" w:eastAsia="Times New Roman"/>
                <w:sz w:val="21"/>
                <w:szCs w:val="21"/>
              </w:rPr>
              <w:t>4</w:t>
            </w:r>
          </w:p>
        </w:tc>
        <w:tc>
          <w:tcPr>
            <w:tcW w:w="819" w:type="dxa"/>
            <w:vAlign w:val="center"/>
          </w:tcPr>
          <w:p w14:paraId="37BCE447">
            <w:pPr>
              <w:jc w:val="center"/>
              <w:rPr>
                <w:rFonts w:ascii="Times New Roman" w:eastAsia="Times New Roman"/>
                <w:sz w:val="21"/>
                <w:szCs w:val="21"/>
              </w:rPr>
            </w:pPr>
            <w:r>
              <w:rPr>
                <w:rFonts w:hint="eastAsia" w:ascii="Times New Roman" w:eastAsia="Times New Roman"/>
                <w:sz w:val="21"/>
                <w:szCs w:val="21"/>
              </w:rPr>
              <w:t>0.153</w:t>
            </w:r>
          </w:p>
        </w:tc>
        <w:tc>
          <w:tcPr>
            <w:tcW w:w="832" w:type="dxa"/>
            <w:shd w:val="clear" w:color="auto" w:fill="auto"/>
            <w:vAlign w:val="center"/>
          </w:tcPr>
          <w:p w14:paraId="1EC21FD0">
            <w:pPr>
              <w:jc w:val="center"/>
              <w:rPr>
                <w:rFonts w:ascii="Times New Roman" w:eastAsia="Times New Roman"/>
                <w:sz w:val="21"/>
                <w:szCs w:val="21"/>
              </w:rPr>
            </w:pPr>
            <w:r>
              <w:rPr>
                <w:rFonts w:hint="eastAsia" w:ascii="Times New Roman" w:eastAsia="Times New Roman"/>
                <w:sz w:val="21"/>
                <w:szCs w:val="21"/>
              </w:rPr>
              <w:t>10</w:t>
            </w:r>
          </w:p>
        </w:tc>
        <w:tc>
          <w:tcPr>
            <w:tcW w:w="519" w:type="dxa"/>
            <w:vAlign w:val="center"/>
          </w:tcPr>
          <w:p w14:paraId="46674081">
            <w:pPr>
              <w:jc w:val="center"/>
              <w:rPr>
                <w:rFonts w:ascii="Times New Roman"/>
                <w:sz w:val="21"/>
                <w:szCs w:val="21"/>
              </w:rPr>
            </w:pPr>
            <w:r>
              <w:rPr>
                <w:rFonts w:ascii="Times New Roman"/>
                <w:sz w:val="21"/>
                <w:szCs w:val="21"/>
              </w:rPr>
              <w:t>20</w:t>
            </w:r>
          </w:p>
        </w:tc>
        <w:tc>
          <w:tcPr>
            <w:tcW w:w="592" w:type="dxa"/>
            <w:vAlign w:val="center"/>
          </w:tcPr>
          <w:p w14:paraId="758D6939">
            <w:pPr>
              <w:spacing w:line="280" w:lineRule="exact"/>
              <w:jc w:val="center"/>
              <w:rPr>
                <w:rFonts w:ascii="Times New Roman" w:eastAsia="Times New Roman"/>
                <w:sz w:val="21"/>
                <w:szCs w:val="21"/>
              </w:rPr>
            </w:pPr>
            <w:r>
              <w:rPr>
                <w:rFonts w:ascii="Times New Roman"/>
                <w:sz w:val="21"/>
                <w:szCs w:val="21"/>
              </w:rPr>
              <w:t>0.</w:t>
            </w:r>
            <w:r>
              <w:rPr>
                <w:rFonts w:hint="eastAsia" w:ascii="Times New Roman"/>
                <w:sz w:val="21"/>
                <w:szCs w:val="21"/>
              </w:rPr>
              <w:t>7</w:t>
            </w:r>
          </w:p>
        </w:tc>
        <w:tc>
          <w:tcPr>
            <w:tcW w:w="603" w:type="dxa"/>
            <w:vAlign w:val="center"/>
          </w:tcPr>
          <w:p w14:paraId="141D1853">
            <w:pPr>
              <w:jc w:val="center"/>
              <w:rPr>
                <w:rFonts w:ascii="Times New Roman" w:eastAsia="Times New Roman"/>
                <w:sz w:val="21"/>
                <w:szCs w:val="21"/>
              </w:rPr>
            </w:pPr>
            <w:r>
              <w:rPr>
                <w:rFonts w:ascii="Times New Roman" w:eastAsia="Times New Roman"/>
                <w:sz w:val="21"/>
                <w:szCs w:val="21"/>
              </w:rPr>
              <w:t>25</w:t>
            </w:r>
          </w:p>
        </w:tc>
        <w:tc>
          <w:tcPr>
            <w:tcW w:w="602" w:type="dxa"/>
            <w:vAlign w:val="center"/>
          </w:tcPr>
          <w:p w14:paraId="21DEE043">
            <w:pPr>
              <w:jc w:val="center"/>
              <w:rPr>
                <w:rFonts w:ascii="Times New Roman"/>
                <w:sz w:val="21"/>
                <w:szCs w:val="21"/>
              </w:rPr>
            </w:pPr>
            <w:r>
              <w:rPr>
                <w:rFonts w:hint="eastAsia" w:ascii="Times New Roman"/>
                <w:sz w:val="21"/>
                <w:szCs w:val="21"/>
              </w:rPr>
              <w:t>24</w:t>
            </w:r>
            <w:r>
              <w:rPr>
                <w:rFonts w:ascii="Times New Roman"/>
                <w:sz w:val="21"/>
                <w:szCs w:val="21"/>
              </w:rPr>
              <w:t>00</w:t>
            </w:r>
          </w:p>
        </w:tc>
      </w:tr>
      <w:tr w14:paraId="06C5B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969" w:type="dxa"/>
            <w:vMerge w:val="restart"/>
            <w:vAlign w:val="center"/>
          </w:tcPr>
          <w:p w14:paraId="2A6AC4F1">
            <w:pPr>
              <w:rPr>
                <w:rFonts w:ascii="Times New Roman"/>
                <w:sz w:val="21"/>
                <w:szCs w:val="21"/>
              </w:rPr>
            </w:pPr>
            <w:r>
              <w:rPr>
                <w:rFonts w:hint="eastAsia" w:ascii="Times New Roman"/>
                <w:sz w:val="21"/>
                <w:szCs w:val="21"/>
              </w:rPr>
              <w:t>热水炉燃烧</w:t>
            </w:r>
            <w:r>
              <w:rPr>
                <w:rFonts w:ascii="Times New Roman"/>
                <w:sz w:val="21"/>
                <w:szCs w:val="21"/>
              </w:rPr>
              <w:t>废气</w:t>
            </w:r>
            <w:r>
              <w:rPr>
                <w:rFonts w:ascii="Times New Roman" w:eastAsia="Times New Roman"/>
                <w:sz w:val="21"/>
                <w:szCs w:val="21"/>
              </w:rPr>
              <w:t>(</w:t>
            </w:r>
            <w:r>
              <w:rPr>
                <w:rFonts w:ascii="Times New Roman"/>
                <w:sz w:val="21"/>
                <w:szCs w:val="21"/>
              </w:rPr>
              <w:t>DA00</w:t>
            </w:r>
            <w:r>
              <w:rPr>
                <w:rFonts w:hint="eastAsia" w:ascii="Times New Roman"/>
                <w:sz w:val="21"/>
                <w:szCs w:val="21"/>
              </w:rPr>
              <w:t>8</w:t>
            </w:r>
            <w:r>
              <w:rPr>
                <w:rFonts w:ascii="Times New Roman" w:eastAsia="Times New Roman"/>
                <w:sz w:val="21"/>
                <w:szCs w:val="21"/>
              </w:rPr>
              <w:t>)</w:t>
            </w:r>
          </w:p>
        </w:tc>
        <w:tc>
          <w:tcPr>
            <w:tcW w:w="967" w:type="dxa"/>
            <w:tcBorders>
              <w:bottom w:val="single" w:color="auto" w:sz="4" w:space="0"/>
            </w:tcBorders>
            <w:shd w:val="clear" w:color="auto" w:fill="auto"/>
            <w:vAlign w:val="center"/>
          </w:tcPr>
          <w:p w14:paraId="146437C6">
            <w:pPr>
              <w:jc w:val="center"/>
              <w:rPr>
                <w:rFonts w:ascii="Times New Roman"/>
                <w:sz w:val="21"/>
                <w:szCs w:val="21"/>
              </w:rPr>
            </w:pPr>
            <w:r>
              <w:rPr>
                <w:rFonts w:ascii="Times New Roman"/>
                <w:sz w:val="21"/>
                <w:szCs w:val="21"/>
              </w:rPr>
              <w:t>颗粒物</w:t>
            </w:r>
          </w:p>
        </w:tc>
        <w:tc>
          <w:tcPr>
            <w:tcW w:w="943" w:type="dxa"/>
            <w:vMerge w:val="restart"/>
            <w:vAlign w:val="center"/>
          </w:tcPr>
          <w:p w14:paraId="443AF342">
            <w:pPr>
              <w:jc w:val="center"/>
              <w:rPr>
                <w:rFonts w:ascii="Times New Roman" w:eastAsia="Times New Roman"/>
                <w:sz w:val="21"/>
                <w:szCs w:val="21"/>
              </w:rPr>
            </w:pPr>
            <w:r>
              <w:rPr>
                <w:rFonts w:hint="eastAsia" w:ascii="Times New Roman"/>
                <w:sz w:val="21"/>
                <w:szCs w:val="21"/>
              </w:rPr>
              <w:t>2586.072</w:t>
            </w:r>
          </w:p>
        </w:tc>
        <w:tc>
          <w:tcPr>
            <w:tcW w:w="874" w:type="dxa"/>
            <w:tcBorders>
              <w:bottom w:val="single" w:color="auto" w:sz="4" w:space="0"/>
            </w:tcBorders>
            <w:shd w:val="clear" w:color="auto" w:fill="auto"/>
            <w:vAlign w:val="center"/>
          </w:tcPr>
          <w:p w14:paraId="55A5E9D1">
            <w:pPr>
              <w:snapToGrid w:val="0"/>
              <w:jc w:val="center"/>
              <w:rPr>
                <w:rFonts w:ascii="Times New Roman"/>
                <w:sz w:val="21"/>
                <w:szCs w:val="21"/>
              </w:rPr>
            </w:pPr>
            <w:r>
              <w:rPr>
                <w:rFonts w:ascii="Times New Roman"/>
                <w:sz w:val="21"/>
                <w:szCs w:val="21"/>
              </w:rPr>
              <w:t>4.176</w:t>
            </w:r>
          </w:p>
        </w:tc>
        <w:tc>
          <w:tcPr>
            <w:tcW w:w="798" w:type="dxa"/>
            <w:tcBorders>
              <w:bottom w:val="single" w:color="auto" w:sz="4" w:space="0"/>
            </w:tcBorders>
            <w:shd w:val="clear" w:color="auto" w:fill="auto"/>
            <w:vAlign w:val="center"/>
          </w:tcPr>
          <w:p w14:paraId="7A90C8B0">
            <w:pPr>
              <w:snapToGrid w:val="0"/>
              <w:jc w:val="center"/>
              <w:rPr>
                <w:rFonts w:ascii="Times New Roman"/>
                <w:sz w:val="21"/>
                <w:szCs w:val="21"/>
              </w:rPr>
            </w:pPr>
            <w:r>
              <w:rPr>
                <w:rFonts w:ascii="Times New Roman"/>
                <w:sz w:val="21"/>
                <w:szCs w:val="21"/>
              </w:rPr>
              <w:t>0.</w:t>
            </w:r>
            <w:r>
              <w:rPr>
                <w:rFonts w:hint="eastAsia" w:ascii="Times New Roman"/>
                <w:sz w:val="21"/>
                <w:szCs w:val="21"/>
              </w:rPr>
              <w:t>011</w:t>
            </w:r>
          </w:p>
        </w:tc>
        <w:tc>
          <w:tcPr>
            <w:tcW w:w="845" w:type="dxa"/>
            <w:tcBorders>
              <w:bottom w:val="single" w:color="auto" w:sz="4" w:space="0"/>
            </w:tcBorders>
            <w:shd w:val="clear" w:color="auto" w:fill="auto"/>
            <w:vAlign w:val="center"/>
          </w:tcPr>
          <w:p w14:paraId="36BD9136">
            <w:pPr>
              <w:snapToGrid w:val="0"/>
              <w:jc w:val="center"/>
              <w:rPr>
                <w:rFonts w:ascii="Times New Roman"/>
                <w:sz w:val="21"/>
                <w:szCs w:val="21"/>
              </w:rPr>
            </w:pPr>
            <w:r>
              <w:rPr>
                <w:rFonts w:hint="eastAsia" w:ascii="Times New Roman"/>
                <w:sz w:val="21"/>
                <w:szCs w:val="21"/>
              </w:rPr>
              <w:t>0.016</w:t>
            </w:r>
          </w:p>
        </w:tc>
        <w:tc>
          <w:tcPr>
            <w:tcW w:w="646" w:type="dxa"/>
            <w:vMerge w:val="restart"/>
            <w:vAlign w:val="center"/>
          </w:tcPr>
          <w:p w14:paraId="5B08D410">
            <w:pPr>
              <w:jc w:val="center"/>
              <w:rPr>
                <w:rFonts w:ascii="Times New Roman"/>
                <w:sz w:val="21"/>
                <w:szCs w:val="21"/>
              </w:rPr>
            </w:pPr>
            <w:r>
              <w:rPr>
                <w:rFonts w:hint="eastAsia" w:ascii="Times New Roman"/>
                <w:sz w:val="21"/>
                <w:szCs w:val="21"/>
              </w:rPr>
              <w:t>100</w:t>
            </w:r>
          </w:p>
        </w:tc>
        <w:tc>
          <w:tcPr>
            <w:tcW w:w="774" w:type="dxa"/>
            <w:vMerge w:val="restart"/>
            <w:vAlign w:val="center"/>
          </w:tcPr>
          <w:p w14:paraId="41543845">
            <w:pPr>
              <w:jc w:val="center"/>
              <w:rPr>
                <w:rFonts w:ascii="Times New Roman"/>
                <w:sz w:val="21"/>
                <w:szCs w:val="21"/>
              </w:rPr>
            </w:pPr>
            <w:r>
              <w:rPr>
                <w:rFonts w:ascii="Times New Roman"/>
                <w:sz w:val="21"/>
                <w:szCs w:val="21"/>
              </w:rPr>
              <w:t>低氮燃烧器</w:t>
            </w:r>
          </w:p>
        </w:tc>
        <w:tc>
          <w:tcPr>
            <w:tcW w:w="652" w:type="dxa"/>
            <w:tcBorders>
              <w:bottom w:val="single" w:color="auto" w:sz="4" w:space="0"/>
            </w:tcBorders>
            <w:shd w:val="clear" w:color="auto" w:fill="auto"/>
            <w:vAlign w:val="center"/>
          </w:tcPr>
          <w:p w14:paraId="1149244E">
            <w:pPr>
              <w:jc w:val="center"/>
              <w:rPr>
                <w:rFonts w:ascii="Times New Roman"/>
                <w:sz w:val="21"/>
                <w:szCs w:val="21"/>
              </w:rPr>
            </w:pPr>
            <w:r>
              <w:rPr>
                <w:rFonts w:hint="eastAsia" w:ascii="Times New Roman"/>
                <w:sz w:val="21"/>
                <w:szCs w:val="21"/>
              </w:rPr>
              <w:t>/</w:t>
            </w:r>
          </w:p>
        </w:tc>
        <w:tc>
          <w:tcPr>
            <w:tcW w:w="832" w:type="dxa"/>
            <w:tcBorders>
              <w:bottom w:val="single" w:color="auto" w:sz="4" w:space="0"/>
            </w:tcBorders>
            <w:shd w:val="clear" w:color="auto" w:fill="auto"/>
            <w:vAlign w:val="center"/>
          </w:tcPr>
          <w:p w14:paraId="62B7FFFD">
            <w:pPr>
              <w:snapToGrid w:val="0"/>
              <w:jc w:val="center"/>
              <w:rPr>
                <w:rFonts w:ascii="Times New Roman"/>
                <w:sz w:val="21"/>
                <w:szCs w:val="21"/>
              </w:rPr>
            </w:pPr>
            <w:r>
              <w:rPr>
                <w:rFonts w:ascii="Times New Roman"/>
                <w:sz w:val="21"/>
                <w:szCs w:val="21"/>
              </w:rPr>
              <w:t>4.176</w:t>
            </w:r>
          </w:p>
        </w:tc>
        <w:tc>
          <w:tcPr>
            <w:tcW w:w="819" w:type="dxa"/>
            <w:tcBorders>
              <w:bottom w:val="single" w:color="auto" w:sz="4" w:space="0"/>
            </w:tcBorders>
            <w:shd w:val="clear" w:color="auto" w:fill="auto"/>
            <w:vAlign w:val="center"/>
          </w:tcPr>
          <w:p w14:paraId="74E6B30A">
            <w:pPr>
              <w:snapToGrid w:val="0"/>
              <w:jc w:val="center"/>
              <w:rPr>
                <w:rFonts w:ascii="Times New Roman"/>
                <w:sz w:val="21"/>
                <w:szCs w:val="21"/>
              </w:rPr>
            </w:pPr>
            <w:r>
              <w:rPr>
                <w:rFonts w:ascii="Times New Roman"/>
                <w:sz w:val="21"/>
                <w:szCs w:val="21"/>
              </w:rPr>
              <w:t>0.</w:t>
            </w:r>
            <w:r>
              <w:rPr>
                <w:rFonts w:hint="eastAsia" w:ascii="Times New Roman"/>
                <w:sz w:val="21"/>
                <w:szCs w:val="21"/>
              </w:rPr>
              <w:t>011</w:t>
            </w:r>
          </w:p>
        </w:tc>
        <w:tc>
          <w:tcPr>
            <w:tcW w:w="819" w:type="dxa"/>
            <w:tcBorders>
              <w:bottom w:val="single" w:color="auto" w:sz="4" w:space="0"/>
            </w:tcBorders>
            <w:shd w:val="clear" w:color="auto" w:fill="auto"/>
            <w:vAlign w:val="center"/>
          </w:tcPr>
          <w:p w14:paraId="2CB8FD67">
            <w:pPr>
              <w:snapToGrid w:val="0"/>
              <w:jc w:val="center"/>
              <w:rPr>
                <w:rFonts w:ascii="Times New Roman"/>
                <w:sz w:val="21"/>
                <w:szCs w:val="21"/>
              </w:rPr>
            </w:pPr>
            <w:r>
              <w:rPr>
                <w:rFonts w:hint="eastAsia" w:ascii="Times New Roman"/>
                <w:sz w:val="21"/>
                <w:szCs w:val="21"/>
              </w:rPr>
              <w:t>0.016</w:t>
            </w:r>
          </w:p>
        </w:tc>
        <w:tc>
          <w:tcPr>
            <w:tcW w:w="832" w:type="dxa"/>
            <w:tcBorders>
              <w:bottom w:val="single" w:color="auto" w:sz="4" w:space="0"/>
            </w:tcBorders>
            <w:shd w:val="clear" w:color="auto" w:fill="auto"/>
            <w:vAlign w:val="center"/>
          </w:tcPr>
          <w:p w14:paraId="6AE83D3C">
            <w:pPr>
              <w:jc w:val="center"/>
              <w:rPr>
                <w:rFonts w:ascii="Times New Roman" w:eastAsia="Times New Roman"/>
                <w:sz w:val="21"/>
                <w:szCs w:val="21"/>
              </w:rPr>
            </w:pPr>
            <w:r>
              <w:rPr>
                <w:rFonts w:hint="eastAsia" w:ascii="Times New Roman" w:eastAsia="Times New Roman"/>
                <w:sz w:val="21"/>
                <w:szCs w:val="21"/>
              </w:rPr>
              <w:t>5</w:t>
            </w:r>
          </w:p>
        </w:tc>
        <w:tc>
          <w:tcPr>
            <w:tcW w:w="519" w:type="dxa"/>
            <w:vMerge w:val="restart"/>
            <w:shd w:val="clear" w:color="auto" w:fill="auto"/>
            <w:vAlign w:val="center"/>
          </w:tcPr>
          <w:p w14:paraId="57B23440">
            <w:pPr>
              <w:jc w:val="center"/>
              <w:rPr>
                <w:rFonts w:ascii="Times New Roman"/>
                <w:sz w:val="21"/>
                <w:szCs w:val="21"/>
              </w:rPr>
            </w:pPr>
            <w:r>
              <w:rPr>
                <w:rFonts w:ascii="Times New Roman"/>
                <w:sz w:val="21"/>
                <w:szCs w:val="21"/>
              </w:rPr>
              <w:t>20</w:t>
            </w:r>
          </w:p>
        </w:tc>
        <w:tc>
          <w:tcPr>
            <w:tcW w:w="592" w:type="dxa"/>
            <w:vMerge w:val="restart"/>
            <w:shd w:val="clear" w:color="auto" w:fill="auto"/>
            <w:vAlign w:val="center"/>
          </w:tcPr>
          <w:p w14:paraId="1F8C23EF">
            <w:pPr>
              <w:spacing w:line="280" w:lineRule="exact"/>
              <w:jc w:val="center"/>
              <w:rPr>
                <w:rFonts w:ascii="Times New Roman"/>
                <w:sz w:val="21"/>
                <w:szCs w:val="21"/>
              </w:rPr>
            </w:pPr>
            <w:r>
              <w:rPr>
                <w:rFonts w:ascii="Times New Roman"/>
                <w:sz w:val="21"/>
                <w:szCs w:val="21"/>
              </w:rPr>
              <w:t>0.</w:t>
            </w:r>
            <w:r>
              <w:rPr>
                <w:rFonts w:hint="eastAsia" w:ascii="Times New Roman"/>
                <w:sz w:val="21"/>
                <w:szCs w:val="21"/>
              </w:rPr>
              <w:t>2</w:t>
            </w:r>
          </w:p>
        </w:tc>
        <w:tc>
          <w:tcPr>
            <w:tcW w:w="603" w:type="dxa"/>
            <w:vMerge w:val="restart"/>
            <w:shd w:val="clear" w:color="auto" w:fill="auto"/>
            <w:vAlign w:val="center"/>
          </w:tcPr>
          <w:p w14:paraId="633D4EAB">
            <w:pPr>
              <w:jc w:val="center"/>
              <w:rPr>
                <w:rFonts w:ascii="Times New Roman"/>
                <w:sz w:val="21"/>
                <w:szCs w:val="21"/>
              </w:rPr>
            </w:pPr>
            <w:r>
              <w:rPr>
                <w:rFonts w:ascii="Times New Roman"/>
                <w:sz w:val="21"/>
                <w:szCs w:val="21"/>
              </w:rPr>
              <w:t>120</w:t>
            </w:r>
          </w:p>
        </w:tc>
        <w:tc>
          <w:tcPr>
            <w:tcW w:w="602" w:type="dxa"/>
            <w:vMerge w:val="restart"/>
            <w:shd w:val="clear" w:color="auto" w:fill="auto"/>
            <w:vAlign w:val="center"/>
          </w:tcPr>
          <w:p w14:paraId="7F19F7DA">
            <w:pPr>
              <w:jc w:val="center"/>
              <w:rPr>
                <w:rFonts w:ascii="Times New Roman"/>
                <w:sz w:val="21"/>
                <w:szCs w:val="21"/>
              </w:rPr>
            </w:pPr>
            <w:r>
              <w:rPr>
                <w:rFonts w:hint="eastAsia" w:ascii="Times New Roman"/>
                <w:sz w:val="21"/>
                <w:szCs w:val="21"/>
              </w:rPr>
              <w:t>15</w:t>
            </w:r>
            <w:r>
              <w:rPr>
                <w:rFonts w:ascii="Times New Roman"/>
                <w:sz w:val="21"/>
                <w:szCs w:val="21"/>
              </w:rPr>
              <w:t>00</w:t>
            </w:r>
          </w:p>
        </w:tc>
      </w:tr>
      <w:tr w14:paraId="51342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jc w:val="center"/>
        </w:trPr>
        <w:tc>
          <w:tcPr>
            <w:tcW w:w="969" w:type="dxa"/>
            <w:vMerge w:val="continue"/>
            <w:vAlign w:val="center"/>
          </w:tcPr>
          <w:p w14:paraId="5201C97C">
            <w:pPr>
              <w:rPr>
                <w:rFonts w:ascii="Times New Roman"/>
                <w:sz w:val="21"/>
                <w:szCs w:val="21"/>
              </w:rPr>
            </w:pPr>
          </w:p>
        </w:tc>
        <w:tc>
          <w:tcPr>
            <w:tcW w:w="967" w:type="dxa"/>
            <w:tcBorders>
              <w:top w:val="single" w:color="auto" w:sz="4" w:space="0"/>
              <w:bottom w:val="single" w:color="auto" w:sz="4" w:space="0"/>
            </w:tcBorders>
            <w:shd w:val="clear" w:color="auto" w:fill="auto"/>
            <w:vAlign w:val="center"/>
          </w:tcPr>
          <w:p w14:paraId="1587BBA4">
            <w:pPr>
              <w:jc w:val="center"/>
              <w:rPr>
                <w:rFonts w:ascii="Times New Roman" w:eastAsia="Times New Roman"/>
                <w:sz w:val="21"/>
                <w:szCs w:val="21"/>
              </w:rPr>
            </w:pPr>
            <w:r>
              <w:rPr>
                <w:rFonts w:ascii="Times New Roman" w:eastAsia="Times New Roman"/>
                <w:sz w:val="21"/>
                <w:szCs w:val="21"/>
              </w:rPr>
              <w:t>SO</w:t>
            </w:r>
            <w:r>
              <w:rPr>
                <w:rFonts w:ascii="Times New Roman" w:eastAsia="Times New Roman"/>
                <w:sz w:val="21"/>
                <w:szCs w:val="21"/>
                <w:vertAlign w:val="subscript"/>
              </w:rPr>
              <w:t>2</w:t>
            </w:r>
          </w:p>
        </w:tc>
        <w:tc>
          <w:tcPr>
            <w:tcW w:w="943" w:type="dxa"/>
            <w:vMerge w:val="continue"/>
            <w:vAlign w:val="center"/>
          </w:tcPr>
          <w:p w14:paraId="4133A978">
            <w:pPr>
              <w:jc w:val="center"/>
              <w:rPr>
                <w:rFonts w:ascii="Times New Roman" w:eastAsia="Times New Roman"/>
                <w:sz w:val="21"/>
                <w:szCs w:val="21"/>
              </w:rPr>
            </w:pPr>
          </w:p>
        </w:tc>
        <w:tc>
          <w:tcPr>
            <w:tcW w:w="874" w:type="dxa"/>
            <w:tcBorders>
              <w:top w:val="single" w:color="auto" w:sz="4" w:space="0"/>
              <w:bottom w:val="single" w:color="auto" w:sz="4" w:space="0"/>
            </w:tcBorders>
            <w:shd w:val="clear" w:color="auto" w:fill="auto"/>
            <w:vAlign w:val="center"/>
          </w:tcPr>
          <w:p w14:paraId="08DD84E8">
            <w:pPr>
              <w:snapToGrid w:val="0"/>
              <w:jc w:val="center"/>
              <w:rPr>
                <w:rFonts w:ascii="Times New Roman"/>
                <w:sz w:val="21"/>
                <w:szCs w:val="21"/>
              </w:rPr>
            </w:pPr>
            <w:r>
              <w:rPr>
                <w:rFonts w:ascii="Times New Roman"/>
                <w:sz w:val="21"/>
                <w:szCs w:val="21"/>
              </w:rPr>
              <w:t>9.280</w:t>
            </w:r>
          </w:p>
        </w:tc>
        <w:tc>
          <w:tcPr>
            <w:tcW w:w="798" w:type="dxa"/>
            <w:tcBorders>
              <w:top w:val="single" w:color="auto" w:sz="4" w:space="0"/>
              <w:bottom w:val="single" w:color="auto" w:sz="4" w:space="0"/>
            </w:tcBorders>
            <w:shd w:val="clear" w:color="auto" w:fill="auto"/>
            <w:vAlign w:val="center"/>
          </w:tcPr>
          <w:p w14:paraId="409A0DF4">
            <w:pPr>
              <w:snapToGrid w:val="0"/>
              <w:jc w:val="center"/>
              <w:rPr>
                <w:rFonts w:ascii="Times New Roman"/>
                <w:sz w:val="21"/>
                <w:szCs w:val="21"/>
              </w:rPr>
            </w:pPr>
            <w:r>
              <w:rPr>
                <w:rFonts w:ascii="Times New Roman"/>
                <w:sz w:val="21"/>
                <w:szCs w:val="21"/>
              </w:rPr>
              <w:t>0.</w:t>
            </w:r>
            <w:r>
              <w:rPr>
                <w:rFonts w:hint="eastAsia" w:ascii="Times New Roman"/>
                <w:sz w:val="21"/>
                <w:szCs w:val="21"/>
              </w:rPr>
              <w:t>009</w:t>
            </w:r>
          </w:p>
        </w:tc>
        <w:tc>
          <w:tcPr>
            <w:tcW w:w="845" w:type="dxa"/>
            <w:tcBorders>
              <w:top w:val="single" w:color="auto" w:sz="4" w:space="0"/>
              <w:bottom w:val="single" w:color="auto" w:sz="4" w:space="0"/>
            </w:tcBorders>
            <w:shd w:val="clear" w:color="auto" w:fill="auto"/>
            <w:vAlign w:val="center"/>
          </w:tcPr>
          <w:p w14:paraId="124E4D7B">
            <w:pPr>
              <w:snapToGrid w:val="0"/>
              <w:jc w:val="center"/>
              <w:rPr>
                <w:rFonts w:ascii="Times New Roman"/>
                <w:sz w:val="21"/>
                <w:szCs w:val="21"/>
              </w:rPr>
            </w:pPr>
            <w:r>
              <w:rPr>
                <w:rFonts w:hint="eastAsia" w:ascii="Times New Roman"/>
                <w:sz w:val="21"/>
                <w:szCs w:val="21"/>
              </w:rPr>
              <w:t>0.014</w:t>
            </w:r>
          </w:p>
        </w:tc>
        <w:tc>
          <w:tcPr>
            <w:tcW w:w="646" w:type="dxa"/>
            <w:vMerge w:val="continue"/>
            <w:vAlign w:val="center"/>
          </w:tcPr>
          <w:p w14:paraId="44027CBD">
            <w:pPr>
              <w:jc w:val="center"/>
              <w:rPr>
                <w:rFonts w:ascii="Times New Roman"/>
                <w:sz w:val="21"/>
                <w:szCs w:val="21"/>
              </w:rPr>
            </w:pPr>
          </w:p>
        </w:tc>
        <w:tc>
          <w:tcPr>
            <w:tcW w:w="774" w:type="dxa"/>
            <w:vMerge w:val="continue"/>
            <w:vAlign w:val="center"/>
          </w:tcPr>
          <w:p w14:paraId="7D8F41A8">
            <w:pPr>
              <w:jc w:val="center"/>
              <w:rPr>
                <w:rFonts w:ascii="Times New Roman"/>
                <w:sz w:val="21"/>
                <w:szCs w:val="21"/>
              </w:rPr>
            </w:pPr>
          </w:p>
        </w:tc>
        <w:tc>
          <w:tcPr>
            <w:tcW w:w="652" w:type="dxa"/>
            <w:tcBorders>
              <w:top w:val="single" w:color="auto" w:sz="4" w:space="0"/>
              <w:bottom w:val="single" w:color="auto" w:sz="4" w:space="0"/>
            </w:tcBorders>
            <w:shd w:val="clear" w:color="auto" w:fill="auto"/>
            <w:vAlign w:val="center"/>
          </w:tcPr>
          <w:p w14:paraId="5E9C5884">
            <w:pPr>
              <w:jc w:val="center"/>
              <w:rPr>
                <w:rFonts w:ascii="Times New Roman"/>
                <w:sz w:val="21"/>
                <w:szCs w:val="21"/>
              </w:rPr>
            </w:pPr>
            <w:r>
              <w:rPr>
                <w:rFonts w:hint="eastAsia" w:ascii="Times New Roman"/>
                <w:sz w:val="21"/>
                <w:szCs w:val="21"/>
              </w:rPr>
              <w:t>/</w:t>
            </w:r>
          </w:p>
        </w:tc>
        <w:tc>
          <w:tcPr>
            <w:tcW w:w="832" w:type="dxa"/>
            <w:tcBorders>
              <w:top w:val="single" w:color="auto" w:sz="4" w:space="0"/>
              <w:bottom w:val="single" w:color="auto" w:sz="4" w:space="0"/>
            </w:tcBorders>
            <w:shd w:val="clear" w:color="auto" w:fill="auto"/>
            <w:vAlign w:val="center"/>
          </w:tcPr>
          <w:p w14:paraId="261F3B19">
            <w:pPr>
              <w:snapToGrid w:val="0"/>
              <w:jc w:val="center"/>
              <w:rPr>
                <w:rFonts w:ascii="Times New Roman"/>
                <w:sz w:val="21"/>
                <w:szCs w:val="21"/>
              </w:rPr>
            </w:pPr>
            <w:r>
              <w:rPr>
                <w:rFonts w:ascii="Times New Roman"/>
                <w:sz w:val="21"/>
                <w:szCs w:val="21"/>
              </w:rPr>
              <w:t>9.280</w:t>
            </w:r>
          </w:p>
        </w:tc>
        <w:tc>
          <w:tcPr>
            <w:tcW w:w="819" w:type="dxa"/>
            <w:tcBorders>
              <w:top w:val="single" w:color="auto" w:sz="4" w:space="0"/>
              <w:bottom w:val="single" w:color="auto" w:sz="4" w:space="0"/>
            </w:tcBorders>
            <w:shd w:val="clear" w:color="auto" w:fill="auto"/>
            <w:vAlign w:val="center"/>
          </w:tcPr>
          <w:p w14:paraId="092A9636">
            <w:pPr>
              <w:snapToGrid w:val="0"/>
              <w:jc w:val="center"/>
              <w:rPr>
                <w:rFonts w:ascii="Times New Roman"/>
                <w:sz w:val="21"/>
                <w:szCs w:val="21"/>
              </w:rPr>
            </w:pPr>
            <w:r>
              <w:rPr>
                <w:rFonts w:ascii="Times New Roman"/>
                <w:sz w:val="21"/>
                <w:szCs w:val="21"/>
              </w:rPr>
              <w:t>0.</w:t>
            </w:r>
            <w:r>
              <w:rPr>
                <w:rFonts w:hint="eastAsia" w:ascii="Times New Roman"/>
                <w:sz w:val="21"/>
                <w:szCs w:val="21"/>
              </w:rPr>
              <w:t>009</w:t>
            </w:r>
          </w:p>
        </w:tc>
        <w:tc>
          <w:tcPr>
            <w:tcW w:w="819" w:type="dxa"/>
            <w:tcBorders>
              <w:top w:val="single" w:color="auto" w:sz="4" w:space="0"/>
              <w:bottom w:val="single" w:color="auto" w:sz="4" w:space="0"/>
            </w:tcBorders>
            <w:shd w:val="clear" w:color="auto" w:fill="auto"/>
            <w:vAlign w:val="center"/>
          </w:tcPr>
          <w:p w14:paraId="5FB6E914">
            <w:pPr>
              <w:snapToGrid w:val="0"/>
              <w:jc w:val="center"/>
              <w:rPr>
                <w:rFonts w:ascii="Times New Roman"/>
                <w:sz w:val="21"/>
                <w:szCs w:val="21"/>
              </w:rPr>
            </w:pPr>
            <w:r>
              <w:rPr>
                <w:rFonts w:hint="eastAsia" w:ascii="Times New Roman"/>
                <w:sz w:val="21"/>
                <w:szCs w:val="21"/>
              </w:rPr>
              <w:t>0.014</w:t>
            </w:r>
          </w:p>
        </w:tc>
        <w:tc>
          <w:tcPr>
            <w:tcW w:w="832" w:type="dxa"/>
            <w:tcBorders>
              <w:top w:val="single" w:color="auto" w:sz="4" w:space="0"/>
              <w:bottom w:val="single" w:color="auto" w:sz="4" w:space="0"/>
            </w:tcBorders>
            <w:shd w:val="clear" w:color="auto" w:fill="auto"/>
            <w:vAlign w:val="center"/>
          </w:tcPr>
          <w:p w14:paraId="50B5BAC7">
            <w:pPr>
              <w:jc w:val="center"/>
              <w:rPr>
                <w:rFonts w:ascii="Times New Roman" w:eastAsia="Times New Roman"/>
                <w:sz w:val="21"/>
                <w:szCs w:val="21"/>
              </w:rPr>
            </w:pPr>
            <w:r>
              <w:rPr>
                <w:rFonts w:hint="eastAsia" w:ascii="Times New Roman" w:eastAsia="Times New Roman"/>
                <w:sz w:val="21"/>
                <w:szCs w:val="21"/>
              </w:rPr>
              <w:t>10</w:t>
            </w:r>
          </w:p>
        </w:tc>
        <w:tc>
          <w:tcPr>
            <w:tcW w:w="519" w:type="dxa"/>
            <w:vMerge w:val="continue"/>
            <w:shd w:val="clear" w:color="auto" w:fill="auto"/>
            <w:vAlign w:val="center"/>
          </w:tcPr>
          <w:p w14:paraId="5CB59C5C">
            <w:pPr>
              <w:jc w:val="center"/>
              <w:rPr>
                <w:rFonts w:ascii="Times New Roman"/>
                <w:sz w:val="21"/>
                <w:szCs w:val="21"/>
              </w:rPr>
            </w:pPr>
          </w:p>
        </w:tc>
        <w:tc>
          <w:tcPr>
            <w:tcW w:w="592" w:type="dxa"/>
            <w:vMerge w:val="continue"/>
            <w:shd w:val="clear" w:color="auto" w:fill="auto"/>
            <w:vAlign w:val="center"/>
          </w:tcPr>
          <w:p w14:paraId="7B3DBC20">
            <w:pPr>
              <w:spacing w:line="280" w:lineRule="exact"/>
              <w:jc w:val="center"/>
              <w:rPr>
                <w:rFonts w:ascii="Times New Roman"/>
                <w:sz w:val="21"/>
                <w:szCs w:val="21"/>
              </w:rPr>
            </w:pPr>
          </w:p>
        </w:tc>
        <w:tc>
          <w:tcPr>
            <w:tcW w:w="603" w:type="dxa"/>
            <w:vMerge w:val="continue"/>
            <w:shd w:val="clear" w:color="auto" w:fill="auto"/>
            <w:vAlign w:val="center"/>
          </w:tcPr>
          <w:p w14:paraId="5D2F8DE8">
            <w:pPr>
              <w:jc w:val="center"/>
              <w:rPr>
                <w:rFonts w:ascii="Times New Roman" w:eastAsia="Times New Roman"/>
                <w:sz w:val="21"/>
                <w:szCs w:val="21"/>
              </w:rPr>
            </w:pPr>
          </w:p>
        </w:tc>
        <w:tc>
          <w:tcPr>
            <w:tcW w:w="602" w:type="dxa"/>
            <w:vMerge w:val="continue"/>
            <w:shd w:val="clear" w:color="auto" w:fill="auto"/>
            <w:vAlign w:val="center"/>
          </w:tcPr>
          <w:p w14:paraId="141F80AA">
            <w:pPr>
              <w:jc w:val="center"/>
              <w:rPr>
                <w:rFonts w:ascii="Times New Roman"/>
                <w:sz w:val="21"/>
                <w:szCs w:val="21"/>
              </w:rPr>
            </w:pPr>
          </w:p>
        </w:tc>
      </w:tr>
      <w:tr w14:paraId="484FF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 w:hRule="atLeast"/>
          <w:jc w:val="center"/>
        </w:trPr>
        <w:tc>
          <w:tcPr>
            <w:tcW w:w="969" w:type="dxa"/>
            <w:vMerge w:val="continue"/>
            <w:vAlign w:val="center"/>
          </w:tcPr>
          <w:p w14:paraId="79FAD164">
            <w:pPr>
              <w:rPr>
                <w:rFonts w:ascii="Times New Roman"/>
                <w:sz w:val="21"/>
                <w:szCs w:val="21"/>
              </w:rPr>
            </w:pPr>
          </w:p>
        </w:tc>
        <w:tc>
          <w:tcPr>
            <w:tcW w:w="967" w:type="dxa"/>
            <w:tcBorders>
              <w:top w:val="single" w:color="auto" w:sz="4" w:space="0"/>
              <w:bottom w:val="single" w:color="auto" w:sz="4" w:space="0"/>
            </w:tcBorders>
            <w:shd w:val="clear" w:color="auto" w:fill="auto"/>
            <w:vAlign w:val="center"/>
          </w:tcPr>
          <w:p w14:paraId="26A536E6">
            <w:pPr>
              <w:jc w:val="center"/>
              <w:rPr>
                <w:rFonts w:ascii="Times New Roman" w:eastAsia="Times New Roman"/>
                <w:sz w:val="21"/>
                <w:szCs w:val="21"/>
              </w:rPr>
            </w:pPr>
            <w:r>
              <w:rPr>
                <w:rFonts w:ascii="Times New Roman" w:eastAsia="Times New Roman"/>
                <w:sz w:val="21"/>
                <w:szCs w:val="21"/>
              </w:rPr>
              <w:t>NO</w:t>
            </w:r>
            <w:r>
              <w:rPr>
                <w:rFonts w:ascii="Times New Roman" w:eastAsia="Times New Roman"/>
                <w:sz w:val="21"/>
                <w:szCs w:val="21"/>
                <w:vertAlign w:val="subscript"/>
              </w:rPr>
              <w:t>X</w:t>
            </w:r>
          </w:p>
        </w:tc>
        <w:tc>
          <w:tcPr>
            <w:tcW w:w="943" w:type="dxa"/>
            <w:vMerge w:val="continue"/>
            <w:vAlign w:val="center"/>
          </w:tcPr>
          <w:p w14:paraId="68188BB2">
            <w:pPr>
              <w:jc w:val="center"/>
              <w:rPr>
                <w:rFonts w:ascii="Times New Roman" w:eastAsia="Times New Roman"/>
                <w:sz w:val="21"/>
                <w:szCs w:val="21"/>
              </w:rPr>
            </w:pPr>
          </w:p>
        </w:tc>
        <w:tc>
          <w:tcPr>
            <w:tcW w:w="874" w:type="dxa"/>
            <w:tcBorders>
              <w:top w:val="single" w:color="auto" w:sz="4" w:space="0"/>
              <w:bottom w:val="single" w:color="auto" w:sz="4" w:space="0"/>
            </w:tcBorders>
            <w:shd w:val="clear" w:color="auto" w:fill="auto"/>
            <w:vAlign w:val="center"/>
          </w:tcPr>
          <w:p w14:paraId="399B6C96">
            <w:pPr>
              <w:snapToGrid w:val="0"/>
              <w:jc w:val="center"/>
              <w:rPr>
                <w:rFonts w:ascii="Times New Roman"/>
                <w:sz w:val="21"/>
                <w:szCs w:val="21"/>
              </w:rPr>
            </w:pPr>
            <w:r>
              <w:rPr>
                <w:rFonts w:ascii="Times New Roman"/>
                <w:sz w:val="21"/>
                <w:szCs w:val="21"/>
              </w:rPr>
              <w:t>28.120</w:t>
            </w:r>
          </w:p>
        </w:tc>
        <w:tc>
          <w:tcPr>
            <w:tcW w:w="798" w:type="dxa"/>
            <w:tcBorders>
              <w:top w:val="single" w:color="auto" w:sz="4" w:space="0"/>
              <w:bottom w:val="single" w:color="auto" w:sz="4" w:space="0"/>
            </w:tcBorders>
            <w:shd w:val="clear" w:color="auto" w:fill="auto"/>
            <w:vAlign w:val="center"/>
          </w:tcPr>
          <w:p w14:paraId="26070905">
            <w:pPr>
              <w:snapToGrid w:val="0"/>
              <w:jc w:val="center"/>
              <w:rPr>
                <w:rFonts w:ascii="Times New Roman"/>
                <w:sz w:val="21"/>
                <w:szCs w:val="21"/>
              </w:rPr>
            </w:pPr>
            <w:r>
              <w:rPr>
                <w:rFonts w:hint="eastAsia" w:ascii="Times New Roman"/>
                <w:sz w:val="21"/>
                <w:szCs w:val="21"/>
              </w:rPr>
              <w:t>0.072</w:t>
            </w:r>
          </w:p>
        </w:tc>
        <w:tc>
          <w:tcPr>
            <w:tcW w:w="845" w:type="dxa"/>
            <w:tcBorders>
              <w:top w:val="single" w:color="auto" w:sz="4" w:space="0"/>
              <w:bottom w:val="single" w:color="auto" w:sz="4" w:space="0"/>
            </w:tcBorders>
            <w:shd w:val="clear" w:color="auto" w:fill="auto"/>
            <w:vAlign w:val="center"/>
          </w:tcPr>
          <w:p w14:paraId="005CA3A9">
            <w:pPr>
              <w:snapToGrid w:val="0"/>
              <w:jc w:val="center"/>
              <w:rPr>
                <w:rFonts w:ascii="Times New Roman"/>
                <w:sz w:val="21"/>
                <w:szCs w:val="21"/>
              </w:rPr>
            </w:pPr>
            <w:r>
              <w:rPr>
                <w:rFonts w:hint="eastAsia" w:ascii="Times New Roman"/>
                <w:sz w:val="21"/>
                <w:szCs w:val="21"/>
              </w:rPr>
              <w:t>0.108</w:t>
            </w:r>
          </w:p>
        </w:tc>
        <w:tc>
          <w:tcPr>
            <w:tcW w:w="646" w:type="dxa"/>
            <w:vMerge w:val="continue"/>
            <w:vAlign w:val="center"/>
          </w:tcPr>
          <w:p w14:paraId="6BF78D25">
            <w:pPr>
              <w:jc w:val="center"/>
              <w:rPr>
                <w:rFonts w:ascii="Times New Roman"/>
                <w:sz w:val="21"/>
                <w:szCs w:val="21"/>
              </w:rPr>
            </w:pPr>
          </w:p>
        </w:tc>
        <w:tc>
          <w:tcPr>
            <w:tcW w:w="774" w:type="dxa"/>
            <w:vMerge w:val="continue"/>
            <w:vAlign w:val="center"/>
          </w:tcPr>
          <w:p w14:paraId="6C073291">
            <w:pPr>
              <w:jc w:val="center"/>
              <w:rPr>
                <w:rFonts w:ascii="Times New Roman"/>
                <w:sz w:val="21"/>
                <w:szCs w:val="21"/>
              </w:rPr>
            </w:pPr>
          </w:p>
        </w:tc>
        <w:tc>
          <w:tcPr>
            <w:tcW w:w="652" w:type="dxa"/>
            <w:tcBorders>
              <w:top w:val="single" w:color="auto" w:sz="4" w:space="0"/>
              <w:bottom w:val="single" w:color="auto" w:sz="4" w:space="0"/>
            </w:tcBorders>
            <w:shd w:val="clear" w:color="auto" w:fill="auto"/>
            <w:vAlign w:val="center"/>
          </w:tcPr>
          <w:p w14:paraId="0BEF8C64">
            <w:pPr>
              <w:jc w:val="center"/>
              <w:rPr>
                <w:rFonts w:ascii="Times New Roman"/>
                <w:sz w:val="21"/>
                <w:szCs w:val="21"/>
              </w:rPr>
            </w:pPr>
            <w:r>
              <w:rPr>
                <w:rFonts w:hint="eastAsia" w:ascii="Times New Roman"/>
                <w:sz w:val="21"/>
                <w:szCs w:val="21"/>
              </w:rPr>
              <w:t>/</w:t>
            </w:r>
          </w:p>
        </w:tc>
        <w:tc>
          <w:tcPr>
            <w:tcW w:w="832" w:type="dxa"/>
            <w:tcBorders>
              <w:top w:val="single" w:color="auto" w:sz="4" w:space="0"/>
              <w:bottom w:val="single" w:color="auto" w:sz="4" w:space="0"/>
            </w:tcBorders>
            <w:shd w:val="clear" w:color="auto" w:fill="auto"/>
            <w:vAlign w:val="center"/>
          </w:tcPr>
          <w:p w14:paraId="26AD96A0">
            <w:pPr>
              <w:snapToGrid w:val="0"/>
              <w:jc w:val="center"/>
              <w:rPr>
                <w:rFonts w:ascii="Times New Roman"/>
                <w:sz w:val="21"/>
                <w:szCs w:val="21"/>
              </w:rPr>
            </w:pPr>
            <w:r>
              <w:rPr>
                <w:rFonts w:ascii="Times New Roman"/>
                <w:sz w:val="21"/>
                <w:szCs w:val="21"/>
              </w:rPr>
              <w:t>28.120</w:t>
            </w:r>
          </w:p>
        </w:tc>
        <w:tc>
          <w:tcPr>
            <w:tcW w:w="819" w:type="dxa"/>
            <w:tcBorders>
              <w:top w:val="single" w:color="auto" w:sz="4" w:space="0"/>
              <w:bottom w:val="single" w:color="auto" w:sz="4" w:space="0"/>
            </w:tcBorders>
            <w:shd w:val="clear" w:color="auto" w:fill="auto"/>
            <w:vAlign w:val="center"/>
          </w:tcPr>
          <w:p w14:paraId="7E87FCC2">
            <w:pPr>
              <w:snapToGrid w:val="0"/>
              <w:jc w:val="center"/>
              <w:rPr>
                <w:rFonts w:ascii="Times New Roman"/>
                <w:sz w:val="21"/>
                <w:szCs w:val="21"/>
              </w:rPr>
            </w:pPr>
            <w:r>
              <w:rPr>
                <w:rFonts w:hint="eastAsia" w:ascii="Times New Roman"/>
                <w:sz w:val="21"/>
                <w:szCs w:val="21"/>
              </w:rPr>
              <w:t>0.072</w:t>
            </w:r>
          </w:p>
        </w:tc>
        <w:tc>
          <w:tcPr>
            <w:tcW w:w="819" w:type="dxa"/>
            <w:tcBorders>
              <w:top w:val="single" w:color="auto" w:sz="4" w:space="0"/>
              <w:bottom w:val="single" w:color="auto" w:sz="4" w:space="0"/>
            </w:tcBorders>
            <w:shd w:val="clear" w:color="auto" w:fill="auto"/>
            <w:vAlign w:val="center"/>
          </w:tcPr>
          <w:p w14:paraId="5607710C">
            <w:pPr>
              <w:snapToGrid w:val="0"/>
              <w:jc w:val="center"/>
              <w:rPr>
                <w:rFonts w:ascii="Times New Roman"/>
                <w:sz w:val="21"/>
                <w:szCs w:val="21"/>
              </w:rPr>
            </w:pPr>
            <w:r>
              <w:rPr>
                <w:rFonts w:hint="eastAsia" w:ascii="Times New Roman"/>
                <w:sz w:val="21"/>
                <w:szCs w:val="21"/>
              </w:rPr>
              <w:t>0.108</w:t>
            </w:r>
          </w:p>
        </w:tc>
        <w:tc>
          <w:tcPr>
            <w:tcW w:w="832" w:type="dxa"/>
            <w:tcBorders>
              <w:top w:val="single" w:color="auto" w:sz="4" w:space="0"/>
              <w:bottom w:val="single" w:color="auto" w:sz="4" w:space="0"/>
            </w:tcBorders>
            <w:shd w:val="clear" w:color="auto" w:fill="auto"/>
            <w:vAlign w:val="center"/>
          </w:tcPr>
          <w:p w14:paraId="2099F64F">
            <w:pPr>
              <w:jc w:val="center"/>
              <w:rPr>
                <w:rFonts w:ascii="Times New Roman" w:eastAsia="Times New Roman"/>
                <w:sz w:val="21"/>
                <w:szCs w:val="21"/>
              </w:rPr>
            </w:pPr>
            <w:r>
              <w:rPr>
                <w:rFonts w:hint="eastAsia" w:ascii="Times New Roman" w:eastAsia="Times New Roman"/>
                <w:sz w:val="21"/>
                <w:szCs w:val="21"/>
              </w:rPr>
              <w:t>50</w:t>
            </w:r>
          </w:p>
        </w:tc>
        <w:tc>
          <w:tcPr>
            <w:tcW w:w="519" w:type="dxa"/>
            <w:vMerge w:val="continue"/>
            <w:shd w:val="clear" w:color="auto" w:fill="auto"/>
            <w:vAlign w:val="center"/>
          </w:tcPr>
          <w:p w14:paraId="69A381DF">
            <w:pPr>
              <w:jc w:val="center"/>
              <w:rPr>
                <w:rFonts w:ascii="Times New Roman"/>
                <w:sz w:val="21"/>
                <w:szCs w:val="21"/>
              </w:rPr>
            </w:pPr>
          </w:p>
        </w:tc>
        <w:tc>
          <w:tcPr>
            <w:tcW w:w="592" w:type="dxa"/>
            <w:vMerge w:val="continue"/>
            <w:shd w:val="clear" w:color="auto" w:fill="auto"/>
            <w:vAlign w:val="center"/>
          </w:tcPr>
          <w:p w14:paraId="2174C6B7">
            <w:pPr>
              <w:spacing w:line="280" w:lineRule="exact"/>
              <w:jc w:val="center"/>
              <w:rPr>
                <w:rFonts w:ascii="Times New Roman"/>
                <w:sz w:val="21"/>
                <w:szCs w:val="21"/>
              </w:rPr>
            </w:pPr>
          </w:p>
        </w:tc>
        <w:tc>
          <w:tcPr>
            <w:tcW w:w="603" w:type="dxa"/>
            <w:vMerge w:val="continue"/>
            <w:shd w:val="clear" w:color="auto" w:fill="auto"/>
            <w:vAlign w:val="center"/>
          </w:tcPr>
          <w:p w14:paraId="75AF690B">
            <w:pPr>
              <w:jc w:val="center"/>
              <w:rPr>
                <w:rFonts w:ascii="Times New Roman" w:eastAsia="Times New Roman"/>
                <w:sz w:val="21"/>
                <w:szCs w:val="21"/>
              </w:rPr>
            </w:pPr>
          </w:p>
        </w:tc>
        <w:tc>
          <w:tcPr>
            <w:tcW w:w="602" w:type="dxa"/>
            <w:vMerge w:val="continue"/>
            <w:shd w:val="clear" w:color="auto" w:fill="auto"/>
            <w:vAlign w:val="center"/>
          </w:tcPr>
          <w:p w14:paraId="02745C98">
            <w:pPr>
              <w:jc w:val="center"/>
              <w:rPr>
                <w:rFonts w:ascii="Times New Roman"/>
                <w:sz w:val="21"/>
                <w:szCs w:val="21"/>
              </w:rPr>
            </w:pPr>
          </w:p>
        </w:tc>
      </w:tr>
      <w:tr w14:paraId="774AE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969" w:type="dxa"/>
            <w:vMerge w:val="continue"/>
            <w:vAlign w:val="center"/>
          </w:tcPr>
          <w:p w14:paraId="3C7D6E54">
            <w:pPr>
              <w:rPr>
                <w:rFonts w:ascii="Times New Roman"/>
                <w:sz w:val="21"/>
                <w:szCs w:val="21"/>
              </w:rPr>
            </w:pPr>
          </w:p>
        </w:tc>
        <w:tc>
          <w:tcPr>
            <w:tcW w:w="967" w:type="dxa"/>
            <w:tcBorders>
              <w:top w:val="single" w:color="auto" w:sz="4" w:space="0"/>
            </w:tcBorders>
            <w:shd w:val="clear" w:color="auto" w:fill="auto"/>
            <w:vAlign w:val="center"/>
          </w:tcPr>
          <w:p w14:paraId="3CA77325">
            <w:pPr>
              <w:jc w:val="center"/>
              <w:rPr>
                <w:rFonts w:ascii="Times New Roman"/>
                <w:sz w:val="21"/>
                <w:szCs w:val="21"/>
              </w:rPr>
            </w:pPr>
            <w:r>
              <w:rPr>
                <w:rFonts w:hint="eastAsia" w:ascii="Times New Roman"/>
                <w:sz w:val="21"/>
                <w:szCs w:val="21"/>
              </w:rPr>
              <w:t>烟气黑度</w:t>
            </w:r>
          </w:p>
        </w:tc>
        <w:tc>
          <w:tcPr>
            <w:tcW w:w="943" w:type="dxa"/>
            <w:vMerge w:val="continue"/>
            <w:vAlign w:val="center"/>
          </w:tcPr>
          <w:p w14:paraId="6C0F4B88">
            <w:pPr>
              <w:jc w:val="center"/>
              <w:rPr>
                <w:rFonts w:ascii="Times New Roman" w:eastAsia="Times New Roman"/>
                <w:sz w:val="21"/>
                <w:szCs w:val="21"/>
              </w:rPr>
            </w:pPr>
          </w:p>
        </w:tc>
        <w:tc>
          <w:tcPr>
            <w:tcW w:w="874" w:type="dxa"/>
            <w:tcBorders>
              <w:top w:val="single" w:color="auto" w:sz="4" w:space="0"/>
            </w:tcBorders>
            <w:shd w:val="clear" w:color="auto" w:fill="auto"/>
            <w:vAlign w:val="center"/>
          </w:tcPr>
          <w:p w14:paraId="06D297D1">
            <w:pPr>
              <w:jc w:val="center"/>
              <w:rPr>
                <w:rFonts w:ascii="Times New Roman"/>
                <w:sz w:val="21"/>
                <w:szCs w:val="21"/>
                <w:lang w:bidi="zh-TW"/>
              </w:rPr>
            </w:pPr>
            <w:r>
              <w:rPr>
                <w:rFonts w:hint="eastAsia" w:ascii="Times New Roman"/>
                <w:sz w:val="21"/>
                <w:szCs w:val="21"/>
                <w:lang w:bidi="zh-TW"/>
              </w:rPr>
              <w:t>＜</w:t>
            </w:r>
            <w:r>
              <w:rPr>
                <w:rFonts w:ascii="Times New Roman"/>
                <w:sz w:val="21"/>
                <w:szCs w:val="21"/>
              </w:rPr>
              <w:t>1级</w:t>
            </w:r>
          </w:p>
        </w:tc>
        <w:tc>
          <w:tcPr>
            <w:tcW w:w="798" w:type="dxa"/>
            <w:tcBorders>
              <w:top w:val="single" w:color="auto" w:sz="4" w:space="0"/>
            </w:tcBorders>
            <w:shd w:val="clear" w:color="auto" w:fill="auto"/>
            <w:vAlign w:val="center"/>
          </w:tcPr>
          <w:p w14:paraId="70F0B8BC">
            <w:pPr>
              <w:jc w:val="center"/>
              <w:rPr>
                <w:rFonts w:ascii="Times New Roman"/>
                <w:sz w:val="21"/>
                <w:szCs w:val="21"/>
                <w:lang w:bidi="zh-TW"/>
              </w:rPr>
            </w:pPr>
            <w:r>
              <w:rPr>
                <w:rFonts w:ascii="Times New Roman"/>
                <w:sz w:val="21"/>
                <w:szCs w:val="21"/>
                <w:lang w:bidi="zh-TW"/>
              </w:rPr>
              <w:t>/</w:t>
            </w:r>
          </w:p>
        </w:tc>
        <w:tc>
          <w:tcPr>
            <w:tcW w:w="845" w:type="dxa"/>
            <w:tcBorders>
              <w:top w:val="single" w:color="auto" w:sz="4" w:space="0"/>
            </w:tcBorders>
            <w:shd w:val="clear" w:color="auto" w:fill="auto"/>
            <w:vAlign w:val="center"/>
          </w:tcPr>
          <w:p w14:paraId="491F485A">
            <w:pPr>
              <w:jc w:val="center"/>
              <w:rPr>
                <w:rFonts w:ascii="Times New Roman"/>
                <w:sz w:val="21"/>
                <w:szCs w:val="21"/>
                <w:lang w:bidi="zh-TW"/>
              </w:rPr>
            </w:pPr>
            <w:r>
              <w:rPr>
                <w:rFonts w:ascii="Times New Roman"/>
                <w:sz w:val="21"/>
                <w:szCs w:val="21"/>
                <w:lang w:bidi="zh-TW"/>
              </w:rPr>
              <w:t>/</w:t>
            </w:r>
          </w:p>
        </w:tc>
        <w:tc>
          <w:tcPr>
            <w:tcW w:w="646" w:type="dxa"/>
            <w:vMerge w:val="continue"/>
            <w:shd w:val="clear" w:color="auto" w:fill="auto"/>
            <w:vAlign w:val="center"/>
          </w:tcPr>
          <w:p w14:paraId="1E6DE5B0">
            <w:pPr>
              <w:jc w:val="center"/>
              <w:rPr>
                <w:rFonts w:ascii="Times New Roman"/>
                <w:sz w:val="21"/>
                <w:szCs w:val="21"/>
              </w:rPr>
            </w:pPr>
          </w:p>
        </w:tc>
        <w:tc>
          <w:tcPr>
            <w:tcW w:w="774" w:type="dxa"/>
            <w:vMerge w:val="continue"/>
            <w:shd w:val="clear" w:color="auto" w:fill="auto"/>
            <w:vAlign w:val="center"/>
          </w:tcPr>
          <w:p w14:paraId="0F645B9D">
            <w:pPr>
              <w:jc w:val="center"/>
              <w:rPr>
                <w:rFonts w:ascii="Times New Roman"/>
                <w:sz w:val="21"/>
                <w:szCs w:val="21"/>
              </w:rPr>
            </w:pPr>
          </w:p>
        </w:tc>
        <w:tc>
          <w:tcPr>
            <w:tcW w:w="652" w:type="dxa"/>
            <w:tcBorders>
              <w:top w:val="single" w:color="auto" w:sz="4" w:space="0"/>
            </w:tcBorders>
            <w:shd w:val="clear" w:color="auto" w:fill="auto"/>
            <w:vAlign w:val="center"/>
          </w:tcPr>
          <w:p w14:paraId="67916E52">
            <w:pPr>
              <w:jc w:val="center"/>
              <w:rPr>
                <w:rFonts w:ascii="Times New Roman"/>
                <w:sz w:val="21"/>
                <w:szCs w:val="21"/>
              </w:rPr>
            </w:pPr>
            <w:r>
              <w:rPr>
                <w:rFonts w:ascii="Times New Roman"/>
                <w:sz w:val="21"/>
                <w:szCs w:val="21"/>
              </w:rPr>
              <w:t>/</w:t>
            </w:r>
          </w:p>
        </w:tc>
        <w:tc>
          <w:tcPr>
            <w:tcW w:w="832" w:type="dxa"/>
            <w:tcBorders>
              <w:top w:val="single" w:color="auto" w:sz="4" w:space="0"/>
            </w:tcBorders>
            <w:shd w:val="clear" w:color="auto" w:fill="auto"/>
            <w:vAlign w:val="center"/>
          </w:tcPr>
          <w:p w14:paraId="6537226E">
            <w:pPr>
              <w:jc w:val="center"/>
              <w:rPr>
                <w:rFonts w:ascii="Times New Roman"/>
                <w:sz w:val="21"/>
                <w:szCs w:val="21"/>
                <w:lang w:bidi="zh-TW"/>
              </w:rPr>
            </w:pPr>
            <w:r>
              <w:rPr>
                <w:rFonts w:hint="eastAsia" w:ascii="Times New Roman"/>
                <w:sz w:val="21"/>
                <w:szCs w:val="21"/>
                <w:lang w:bidi="zh-TW"/>
              </w:rPr>
              <w:t>＜</w:t>
            </w:r>
            <w:r>
              <w:rPr>
                <w:rFonts w:ascii="Times New Roman"/>
                <w:sz w:val="21"/>
                <w:szCs w:val="21"/>
              </w:rPr>
              <w:t>1级</w:t>
            </w:r>
          </w:p>
        </w:tc>
        <w:tc>
          <w:tcPr>
            <w:tcW w:w="819" w:type="dxa"/>
            <w:tcBorders>
              <w:top w:val="single" w:color="auto" w:sz="4" w:space="0"/>
            </w:tcBorders>
            <w:shd w:val="clear" w:color="auto" w:fill="auto"/>
            <w:vAlign w:val="center"/>
          </w:tcPr>
          <w:p w14:paraId="6195C11D">
            <w:pPr>
              <w:jc w:val="center"/>
              <w:rPr>
                <w:rFonts w:ascii="Times New Roman"/>
                <w:sz w:val="21"/>
                <w:szCs w:val="21"/>
                <w:lang w:bidi="zh-TW"/>
              </w:rPr>
            </w:pPr>
            <w:r>
              <w:rPr>
                <w:rFonts w:ascii="Times New Roman"/>
                <w:sz w:val="21"/>
                <w:szCs w:val="21"/>
                <w:lang w:bidi="zh-TW"/>
              </w:rPr>
              <w:t>/</w:t>
            </w:r>
          </w:p>
        </w:tc>
        <w:tc>
          <w:tcPr>
            <w:tcW w:w="819" w:type="dxa"/>
            <w:tcBorders>
              <w:top w:val="single" w:color="auto" w:sz="4" w:space="0"/>
            </w:tcBorders>
            <w:shd w:val="clear" w:color="auto" w:fill="auto"/>
            <w:vAlign w:val="center"/>
          </w:tcPr>
          <w:p w14:paraId="01AB017C">
            <w:pPr>
              <w:jc w:val="center"/>
              <w:rPr>
                <w:rFonts w:ascii="Times New Roman"/>
                <w:sz w:val="21"/>
                <w:szCs w:val="21"/>
                <w:lang w:bidi="zh-TW"/>
              </w:rPr>
            </w:pPr>
            <w:r>
              <w:rPr>
                <w:rFonts w:ascii="Times New Roman"/>
                <w:sz w:val="21"/>
                <w:szCs w:val="21"/>
                <w:lang w:bidi="zh-TW"/>
              </w:rPr>
              <w:t>/</w:t>
            </w:r>
          </w:p>
        </w:tc>
        <w:tc>
          <w:tcPr>
            <w:tcW w:w="832" w:type="dxa"/>
            <w:tcBorders>
              <w:top w:val="single" w:color="auto" w:sz="4" w:space="0"/>
            </w:tcBorders>
            <w:shd w:val="clear" w:color="auto" w:fill="auto"/>
            <w:vAlign w:val="center"/>
          </w:tcPr>
          <w:p w14:paraId="690FDF67">
            <w:pPr>
              <w:jc w:val="center"/>
              <w:rPr>
                <w:rFonts w:ascii="Times New Roman"/>
                <w:sz w:val="21"/>
                <w:szCs w:val="21"/>
              </w:rPr>
            </w:pPr>
            <w:r>
              <w:rPr>
                <w:rFonts w:hint="eastAsia" w:ascii="Times New Roman"/>
                <w:sz w:val="21"/>
                <w:szCs w:val="21"/>
                <w:lang w:bidi="zh-TW"/>
              </w:rPr>
              <w:t>＜</w:t>
            </w:r>
            <w:r>
              <w:rPr>
                <w:rFonts w:ascii="Times New Roman"/>
                <w:sz w:val="21"/>
                <w:szCs w:val="21"/>
              </w:rPr>
              <w:t>1级</w:t>
            </w:r>
          </w:p>
        </w:tc>
        <w:tc>
          <w:tcPr>
            <w:tcW w:w="519" w:type="dxa"/>
            <w:vMerge w:val="continue"/>
            <w:shd w:val="clear" w:color="auto" w:fill="auto"/>
            <w:vAlign w:val="center"/>
          </w:tcPr>
          <w:p w14:paraId="61AB6F99">
            <w:pPr>
              <w:jc w:val="center"/>
              <w:rPr>
                <w:rFonts w:ascii="Times New Roman"/>
                <w:sz w:val="21"/>
                <w:szCs w:val="21"/>
              </w:rPr>
            </w:pPr>
          </w:p>
        </w:tc>
        <w:tc>
          <w:tcPr>
            <w:tcW w:w="592" w:type="dxa"/>
            <w:vMerge w:val="continue"/>
            <w:shd w:val="clear" w:color="auto" w:fill="auto"/>
            <w:vAlign w:val="center"/>
          </w:tcPr>
          <w:p w14:paraId="78B6E770">
            <w:pPr>
              <w:spacing w:line="280" w:lineRule="exact"/>
              <w:jc w:val="center"/>
              <w:rPr>
                <w:rFonts w:ascii="Times New Roman"/>
                <w:sz w:val="21"/>
                <w:szCs w:val="21"/>
              </w:rPr>
            </w:pPr>
          </w:p>
        </w:tc>
        <w:tc>
          <w:tcPr>
            <w:tcW w:w="603" w:type="dxa"/>
            <w:vMerge w:val="continue"/>
            <w:shd w:val="clear" w:color="auto" w:fill="auto"/>
            <w:vAlign w:val="center"/>
          </w:tcPr>
          <w:p w14:paraId="227A085D">
            <w:pPr>
              <w:jc w:val="center"/>
              <w:rPr>
                <w:rFonts w:ascii="Times New Roman" w:eastAsia="Times New Roman"/>
                <w:sz w:val="21"/>
                <w:szCs w:val="21"/>
              </w:rPr>
            </w:pPr>
          </w:p>
        </w:tc>
        <w:tc>
          <w:tcPr>
            <w:tcW w:w="602" w:type="dxa"/>
            <w:vMerge w:val="continue"/>
            <w:shd w:val="clear" w:color="auto" w:fill="auto"/>
            <w:vAlign w:val="center"/>
          </w:tcPr>
          <w:p w14:paraId="491B16CC">
            <w:pPr>
              <w:jc w:val="center"/>
              <w:rPr>
                <w:rFonts w:ascii="Times New Roman"/>
                <w:sz w:val="21"/>
                <w:szCs w:val="21"/>
              </w:rPr>
            </w:pPr>
          </w:p>
        </w:tc>
      </w:tr>
      <w:tr w14:paraId="7C50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jc w:val="center"/>
        </w:trPr>
        <w:tc>
          <w:tcPr>
            <w:tcW w:w="969" w:type="dxa"/>
            <w:vAlign w:val="center"/>
          </w:tcPr>
          <w:p w14:paraId="0A48456A">
            <w:pPr>
              <w:rPr>
                <w:rFonts w:ascii="Times New Roman"/>
                <w:sz w:val="21"/>
                <w:szCs w:val="21"/>
              </w:rPr>
            </w:pPr>
            <w:r>
              <w:rPr>
                <w:rFonts w:ascii="Times New Roman"/>
                <w:sz w:val="21"/>
                <w:szCs w:val="21"/>
              </w:rPr>
              <w:t>喷塑废气</w:t>
            </w:r>
            <w:r>
              <w:rPr>
                <w:rFonts w:ascii="Times New Roman" w:eastAsia="Times New Roman"/>
                <w:sz w:val="21"/>
                <w:szCs w:val="21"/>
              </w:rPr>
              <w:t>(</w:t>
            </w:r>
            <w:r>
              <w:rPr>
                <w:rFonts w:ascii="Times New Roman"/>
                <w:sz w:val="21"/>
                <w:szCs w:val="21"/>
              </w:rPr>
              <w:t>DA00</w:t>
            </w:r>
            <w:r>
              <w:rPr>
                <w:rFonts w:hint="eastAsia" w:ascii="Times New Roman"/>
                <w:sz w:val="21"/>
                <w:szCs w:val="21"/>
              </w:rPr>
              <w:t>9</w:t>
            </w:r>
            <w:r>
              <w:rPr>
                <w:rFonts w:ascii="Times New Roman" w:eastAsia="Times New Roman"/>
                <w:sz w:val="21"/>
                <w:szCs w:val="21"/>
              </w:rPr>
              <w:t>)</w:t>
            </w:r>
          </w:p>
        </w:tc>
        <w:tc>
          <w:tcPr>
            <w:tcW w:w="967" w:type="dxa"/>
            <w:vAlign w:val="center"/>
          </w:tcPr>
          <w:p w14:paraId="657C88E1">
            <w:pPr>
              <w:jc w:val="center"/>
              <w:rPr>
                <w:rFonts w:ascii="Times New Roman"/>
                <w:sz w:val="21"/>
                <w:szCs w:val="21"/>
              </w:rPr>
            </w:pPr>
            <w:r>
              <w:rPr>
                <w:rFonts w:ascii="Times New Roman"/>
                <w:sz w:val="21"/>
                <w:szCs w:val="21"/>
              </w:rPr>
              <w:t>颗粒物</w:t>
            </w:r>
          </w:p>
        </w:tc>
        <w:tc>
          <w:tcPr>
            <w:tcW w:w="943" w:type="dxa"/>
            <w:vAlign w:val="center"/>
          </w:tcPr>
          <w:p w14:paraId="237EE01D">
            <w:pPr>
              <w:jc w:val="center"/>
              <w:rPr>
                <w:rFonts w:ascii="Times New Roman" w:eastAsia="Times New Roman"/>
                <w:sz w:val="21"/>
                <w:szCs w:val="21"/>
              </w:rPr>
            </w:pPr>
            <w:r>
              <w:rPr>
                <w:rFonts w:hint="eastAsia" w:ascii="Times New Roman" w:eastAsia="Times New Roman"/>
                <w:sz w:val="21"/>
                <w:szCs w:val="21"/>
              </w:rPr>
              <w:t>15000</w:t>
            </w:r>
          </w:p>
        </w:tc>
        <w:tc>
          <w:tcPr>
            <w:tcW w:w="874" w:type="dxa"/>
            <w:vAlign w:val="center"/>
          </w:tcPr>
          <w:p w14:paraId="19F751AB">
            <w:pPr>
              <w:jc w:val="center"/>
              <w:rPr>
                <w:rFonts w:ascii="Times New Roman" w:eastAsia="Times New Roman"/>
                <w:sz w:val="21"/>
                <w:szCs w:val="21"/>
              </w:rPr>
            </w:pPr>
            <w:r>
              <w:rPr>
                <w:rFonts w:hint="eastAsia" w:ascii="Times New Roman" w:eastAsia="Times New Roman"/>
                <w:sz w:val="21"/>
                <w:szCs w:val="21"/>
              </w:rPr>
              <w:t>833.333</w:t>
            </w:r>
          </w:p>
        </w:tc>
        <w:tc>
          <w:tcPr>
            <w:tcW w:w="798" w:type="dxa"/>
            <w:vAlign w:val="center"/>
          </w:tcPr>
          <w:p w14:paraId="35DC64C3">
            <w:pPr>
              <w:jc w:val="center"/>
              <w:rPr>
                <w:rFonts w:ascii="Times New Roman" w:eastAsia="Times New Roman"/>
                <w:sz w:val="21"/>
                <w:szCs w:val="21"/>
              </w:rPr>
            </w:pPr>
            <w:r>
              <w:rPr>
                <w:rFonts w:hint="eastAsia" w:ascii="Times New Roman" w:eastAsia="Times New Roman"/>
                <w:sz w:val="21"/>
                <w:szCs w:val="21"/>
              </w:rPr>
              <w:t>12.5</w:t>
            </w:r>
          </w:p>
        </w:tc>
        <w:tc>
          <w:tcPr>
            <w:tcW w:w="845" w:type="dxa"/>
            <w:vAlign w:val="center"/>
          </w:tcPr>
          <w:p w14:paraId="1D915150">
            <w:pPr>
              <w:jc w:val="center"/>
              <w:rPr>
                <w:rFonts w:ascii="Times New Roman" w:eastAsia="Times New Roman"/>
                <w:sz w:val="21"/>
                <w:szCs w:val="21"/>
              </w:rPr>
            </w:pPr>
            <w:r>
              <w:rPr>
                <w:rFonts w:hint="eastAsia" w:ascii="Times New Roman" w:eastAsia="Times New Roman"/>
                <w:sz w:val="21"/>
                <w:szCs w:val="21"/>
              </w:rPr>
              <w:t>90</w:t>
            </w:r>
          </w:p>
        </w:tc>
        <w:tc>
          <w:tcPr>
            <w:tcW w:w="646" w:type="dxa"/>
            <w:vAlign w:val="center"/>
          </w:tcPr>
          <w:p w14:paraId="67608C5D">
            <w:pPr>
              <w:jc w:val="center"/>
              <w:rPr>
                <w:rFonts w:ascii="Times New Roman"/>
                <w:sz w:val="21"/>
                <w:szCs w:val="21"/>
              </w:rPr>
            </w:pPr>
            <w:r>
              <w:rPr>
                <w:rFonts w:hint="eastAsia" w:ascii="Times New Roman"/>
                <w:sz w:val="21"/>
                <w:szCs w:val="21"/>
              </w:rPr>
              <w:t>95</w:t>
            </w:r>
          </w:p>
        </w:tc>
        <w:tc>
          <w:tcPr>
            <w:tcW w:w="774" w:type="dxa"/>
            <w:vAlign w:val="center"/>
          </w:tcPr>
          <w:p w14:paraId="516120E2">
            <w:pPr>
              <w:jc w:val="center"/>
              <w:rPr>
                <w:rFonts w:ascii="Times New Roman"/>
                <w:sz w:val="21"/>
                <w:szCs w:val="21"/>
              </w:rPr>
            </w:pPr>
            <w:r>
              <w:rPr>
                <w:rFonts w:ascii="Times New Roman"/>
                <w:sz w:val="21"/>
                <w:szCs w:val="21"/>
              </w:rPr>
              <w:t>滤筒除尘器</w:t>
            </w:r>
          </w:p>
        </w:tc>
        <w:tc>
          <w:tcPr>
            <w:tcW w:w="652" w:type="dxa"/>
            <w:vAlign w:val="center"/>
          </w:tcPr>
          <w:p w14:paraId="079374FD">
            <w:pPr>
              <w:jc w:val="center"/>
              <w:rPr>
                <w:rFonts w:ascii="Times New Roman"/>
                <w:sz w:val="21"/>
                <w:szCs w:val="21"/>
              </w:rPr>
            </w:pPr>
            <w:r>
              <w:rPr>
                <w:rFonts w:hint="eastAsia" w:ascii="Times New Roman"/>
                <w:sz w:val="21"/>
                <w:szCs w:val="21"/>
              </w:rPr>
              <w:t>99</w:t>
            </w:r>
          </w:p>
        </w:tc>
        <w:tc>
          <w:tcPr>
            <w:tcW w:w="832" w:type="dxa"/>
            <w:vAlign w:val="center"/>
          </w:tcPr>
          <w:p w14:paraId="7BE69032">
            <w:pPr>
              <w:jc w:val="center"/>
              <w:rPr>
                <w:rFonts w:ascii="Times New Roman" w:eastAsia="Times New Roman"/>
                <w:sz w:val="21"/>
                <w:szCs w:val="21"/>
              </w:rPr>
            </w:pPr>
            <w:r>
              <w:rPr>
                <w:rFonts w:hint="eastAsia" w:ascii="Times New Roman" w:eastAsia="Times New Roman"/>
                <w:sz w:val="21"/>
                <w:szCs w:val="21"/>
              </w:rPr>
              <w:t>7.917</w:t>
            </w:r>
          </w:p>
        </w:tc>
        <w:tc>
          <w:tcPr>
            <w:tcW w:w="819" w:type="dxa"/>
            <w:vAlign w:val="center"/>
          </w:tcPr>
          <w:p w14:paraId="60D7A0BD">
            <w:pPr>
              <w:jc w:val="center"/>
              <w:rPr>
                <w:rFonts w:ascii="Times New Roman" w:eastAsia="Times New Roman"/>
                <w:sz w:val="21"/>
                <w:szCs w:val="21"/>
              </w:rPr>
            </w:pPr>
            <w:r>
              <w:rPr>
                <w:rFonts w:hint="eastAsia" w:ascii="Times New Roman" w:eastAsia="Times New Roman"/>
                <w:sz w:val="21"/>
                <w:szCs w:val="21"/>
              </w:rPr>
              <w:t>0.119</w:t>
            </w:r>
          </w:p>
        </w:tc>
        <w:tc>
          <w:tcPr>
            <w:tcW w:w="819" w:type="dxa"/>
            <w:vAlign w:val="center"/>
          </w:tcPr>
          <w:p w14:paraId="220D9F43">
            <w:pPr>
              <w:jc w:val="center"/>
              <w:rPr>
                <w:rFonts w:ascii="Times New Roman" w:eastAsia="Times New Roman"/>
                <w:sz w:val="21"/>
                <w:szCs w:val="21"/>
              </w:rPr>
            </w:pPr>
            <w:r>
              <w:rPr>
                <w:rFonts w:hint="eastAsia" w:ascii="Times New Roman" w:eastAsia="Times New Roman"/>
                <w:sz w:val="21"/>
                <w:szCs w:val="21"/>
              </w:rPr>
              <w:t>0.855</w:t>
            </w:r>
          </w:p>
        </w:tc>
        <w:tc>
          <w:tcPr>
            <w:tcW w:w="832" w:type="dxa"/>
            <w:shd w:val="clear" w:color="auto" w:fill="auto"/>
            <w:vAlign w:val="center"/>
          </w:tcPr>
          <w:p w14:paraId="11E2B53A">
            <w:pPr>
              <w:jc w:val="center"/>
              <w:rPr>
                <w:rFonts w:ascii="Times New Roman" w:eastAsia="Times New Roman"/>
                <w:sz w:val="21"/>
                <w:szCs w:val="21"/>
              </w:rPr>
            </w:pPr>
            <w:r>
              <w:rPr>
                <w:rFonts w:hint="eastAsia" w:ascii="Times New Roman" w:eastAsia="Times New Roman"/>
                <w:sz w:val="21"/>
                <w:szCs w:val="21"/>
              </w:rPr>
              <w:t>18</w:t>
            </w:r>
          </w:p>
        </w:tc>
        <w:tc>
          <w:tcPr>
            <w:tcW w:w="519" w:type="dxa"/>
            <w:shd w:val="clear" w:color="auto" w:fill="auto"/>
            <w:vAlign w:val="center"/>
          </w:tcPr>
          <w:p w14:paraId="131A09A6">
            <w:pPr>
              <w:jc w:val="center"/>
              <w:rPr>
                <w:rFonts w:ascii="Times New Roman"/>
                <w:sz w:val="21"/>
                <w:szCs w:val="21"/>
              </w:rPr>
            </w:pPr>
            <w:r>
              <w:rPr>
                <w:rFonts w:ascii="Times New Roman"/>
                <w:sz w:val="21"/>
                <w:szCs w:val="21"/>
              </w:rPr>
              <w:t>2</w:t>
            </w:r>
            <w:r>
              <w:rPr>
                <w:rFonts w:hint="eastAsia" w:ascii="Times New Roman"/>
                <w:sz w:val="21"/>
                <w:szCs w:val="21"/>
              </w:rPr>
              <w:t>2</w:t>
            </w:r>
          </w:p>
        </w:tc>
        <w:tc>
          <w:tcPr>
            <w:tcW w:w="592" w:type="dxa"/>
            <w:shd w:val="clear" w:color="auto" w:fill="auto"/>
            <w:vAlign w:val="center"/>
          </w:tcPr>
          <w:p w14:paraId="15F94160">
            <w:pPr>
              <w:spacing w:line="280" w:lineRule="exact"/>
              <w:jc w:val="center"/>
              <w:rPr>
                <w:rFonts w:ascii="Times New Roman" w:eastAsia="Times New Roman"/>
                <w:sz w:val="21"/>
                <w:szCs w:val="21"/>
              </w:rPr>
            </w:pPr>
            <w:r>
              <w:rPr>
                <w:rFonts w:ascii="Times New Roman"/>
                <w:sz w:val="21"/>
                <w:szCs w:val="21"/>
              </w:rPr>
              <w:t>0.5</w:t>
            </w:r>
          </w:p>
        </w:tc>
        <w:tc>
          <w:tcPr>
            <w:tcW w:w="603" w:type="dxa"/>
            <w:shd w:val="clear" w:color="auto" w:fill="auto"/>
            <w:vAlign w:val="center"/>
          </w:tcPr>
          <w:p w14:paraId="327F3DA1">
            <w:pPr>
              <w:jc w:val="center"/>
              <w:rPr>
                <w:rFonts w:ascii="Times New Roman" w:eastAsia="Times New Roman"/>
                <w:sz w:val="21"/>
                <w:szCs w:val="21"/>
              </w:rPr>
            </w:pPr>
            <w:r>
              <w:rPr>
                <w:rFonts w:ascii="Times New Roman" w:eastAsia="Times New Roman"/>
                <w:sz w:val="21"/>
                <w:szCs w:val="21"/>
              </w:rPr>
              <w:t>25</w:t>
            </w:r>
          </w:p>
        </w:tc>
        <w:tc>
          <w:tcPr>
            <w:tcW w:w="602" w:type="dxa"/>
            <w:shd w:val="clear" w:color="auto" w:fill="auto"/>
            <w:vAlign w:val="center"/>
          </w:tcPr>
          <w:p w14:paraId="4E16F857">
            <w:pPr>
              <w:jc w:val="center"/>
              <w:rPr>
                <w:rFonts w:ascii="Times New Roman"/>
                <w:sz w:val="21"/>
                <w:szCs w:val="21"/>
              </w:rPr>
            </w:pPr>
            <w:r>
              <w:rPr>
                <w:rFonts w:hint="eastAsia" w:ascii="Times New Roman"/>
                <w:sz w:val="21"/>
                <w:szCs w:val="21"/>
              </w:rPr>
              <w:t>30</w:t>
            </w:r>
            <w:r>
              <w:rPr>
                <w:rFonts w:ascii="Times New Roman"/>
                <w:sz w:val="21"/>
                <w:szCs w:val="21"/>
              </w:rPr>
              <w:t>00</w:t>
            </w:r>
          </w:p>
        </w:tc>
      </w:tr>
      <w:tr w14:paraId="3EC53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969" w:type="dxa"/>
            <w:vMerge w:val="restart"/>
            <w:vAlign w:val="center"/>
          </w:tcPr>
          <w:p w14:paraId="379E3E56">
            <w:pPr>
              <w:jc w:val="center"/>
              <w:rPr>
                <w:rFonts w:ascii="Times New Roman"/>
                <w:sz w:val="21"/>
                <w:szCs w:val="21"/>
              </w:rPr>
            </w:pPr>
            <w:r>
              <w:rPr>
                <w:rFonts w:ascii="Times New Roman"/>
                <w:kern w:val="0"/>
                <w:sz w:val="21"/>
                <w:szCs w:val="21"/>
              </w:rPr>
              <w:t>电泳、喷漆、流平、烘干固化、强冷</w:t>
            </w:r>
            <w:r>
              <w:rPr>
                <w:rFonts w:ascii="Times New Roman"/>
                <w:sz w:val="21"/>
                <w:szCs w:val="21"/>
              </w:rPr>
              <w:t>废气</w:t>
            </w:r>
          </w:p>
          <w:p w14:paraId="26016483">
            <w:pPr>
              <w:jc w:val="center"/>
              <w:rPr>
                <w:rFonts w:ascii="Times New Roman" w:eastAsia="Times New Roman"/>
                <w:sz w:val="21"/>
                <w:szCs w:val="21"/>
              </w:rPr>
            </w:pPr>
            <w:r>
              <w:rPr>
                <w:rFonts w:ascii="Times New Roman" w:eastAsia="Times New Roman"/>
                <w:sz w:val="21"/>
                <w:szCs w:val="21"/>
              </w:rPr>
              <w:t>(</w:t>
            </w:r>
            <w:r>
              <w:rPr>
                <w:rFonts w:ascii="Times New Roman"/>
                <w:sz w:val="21"/>
                <w:szCs w:val="21"/>
              </w:rPr>
              <w:t>DA0</w:t>
            </w:r>
            <w:r>
              <w:rPr>
                <w:rFonts w:hint="eastAsia" w:ascii="Times New Roman"/>
                <w:sz w:val="21"/>
                <w:szCs w:val="21"/>
              </w:rPr>
              <w:t>11</w:t>
            </w:r>
            <w:r>
              <w:rPr>
                <w:rFonts w:ascii="Times New Roman" w:eastAsia="Times New Roman"/>
                <w:sz w:val="21"/>
                <w:szCs w:val="21"/>
              </w:rPr>
              <w:t>)</w:t>
            </w:r>
          </w:p>
        </w:tc>
        <w:tc>
          <w:tcPr>
            <w:tcW w:w="967" w:type="dxa"/>
            <w:vAlign w:val="center"/>
          </w:tcPr>
          <w:p w14:paraId="099207AE">
            <w:pPr>
              <w:jc w:val="center"/>
              <w:rPr>
                <w:rFonts w:ascii="Times New Roman"/>
                <w:sz w:val="21"/>
                <w:szCs w:val="21"/>
              </w:rPr>
            </w:pPr>
            <w:r>
              <w:rPr>
                <w:rFonts w:hint="eastAsia" w:ascii="Times New Roman"/>
                <w:sz w:val="21"/>
                <w:szCs w:val="21"/>
              </w:rPr>
              <w:t>颗粒物</w:t>
            </w:r>
          </w:p>
        </w:tc>
        <w:tc>
          <w:tcPr>
            <w:tcW w:w="943" w:type="dxa"/>
            <w:vMerge w:val="restart"/>
            <w:vAlign w:val="center"/>
          </w:tcPr>
          <w:p w14:paraId="56D7D487">
            <w:pPr>
              <w:jc w:val="center"/>
              <w:rPr>
                <w:rFonts w:ascii="Times New Roman"/>
                <w:sz w:val="21"/>
                <w:szCs w:val="21"/>
              </w:rPr>
            </w:pPr>
            <w:r>
              <w:rPr>
                <w:rFonts w:hint="eastAsia" w:ascii="Times New Roman" w:eastAsia="Times New Roman"/>
                <w:sz w:val="21"/>
                <w:szCs w:val="21"/>
              </w:rPr>
              <w:t>232000</w:t>
            </w:r>
          </w:p>
        </w:tc>
        <w:tc>
          <w:tcPr>
            <w:tcW w:w="874" w:type="dxa"/>
            <w:shd w:val="clear" w:color="auto" w:fill="auto"/>
            <w:vAlign w:val="center"/>
          </w:tcPr>
          <w:p w14:paraId="60DDD275">
            <w:pPr>
              <w:jc w:val="center"/>
              <w:rPr>
                <w:rFonts w:ascii="Times New Roman"/>
                <w:sz w:val="21"/>
                <w:szCs w:val="21"/>
                <w:lang w:bidi="zh-TW"/>
              </w:rPr>
            </w:pPr>
            <w:r>
              <w:rPr>
                <w:rFonts w:hint="eastAsia" w:ascii="Times New Roman"/>
                <w:sz w:val="21"/>
                <w:szCs w:val="21"/>
              </w:rPr>
              <w:t>118.466</w:t>
            </w:r>
          </w:p>
        </w:tc>
        <w:tc>
          <w:tcPr>
            <w:tcW w:w="798" w:type="dxa"/>
            <w:shd w:val="clear" w:color="auto" w:fill="auto"/>
            <w:vAlign w:val="center"/>
          </w:tcPr>
          <w:p w14:paraId="438C7A0F">
            <w:pPr>
              <w:jc w:val="center"/>
              <w:rPr>
                <w:rFonts w:ascii="Times New Roman"/>
                <w:sz w:val="21"/>
                <w:szCs w:val="21"/>
                <w:lang w:bidi="zh-TW"/>
              </w:rPr>
            </w:pPr>
            <w:r>
              <w:rPr>
                <w:rFonts w:hint="eastAsia" w:ascii="Times New Roman"/>
                <w:sz w:val="21"/>
                <w:szCs w:val="21"/>
              </w:rPr>
              <w:t>27.484</w:t>
            </w:r>
          </w:p>
        </w:tc>
        <w:tc>
          <w:tcPr>
            <w:tcW w:w="845" w:type="dxa"/>
            <w:shd w:val="clear" w:color="auto" w:fill="auto"/>
            <w:vAlign w:val="center"/>
          </w:tcPr>
          <w:p w14:paraId="61405A69">
            <w:pPr>
              <w:jc w:val="center"/>
              <w:rPr>
                <w:rFonts w:ascii="Times New Roman"/>
                <w:sz w:val="21"/>
                <w:szCs w:val="21"/>
                <w:lang w:bidi="zh-TW"/>
              </w:rPr>
            </w:pPr>
            <w:r>
              <w:rPr>
                <w:rFonts w:hint="eastAsia" w:ascii="Times New Roman"/>
                <w:sz w:val="21"/>
                <w:szCs w:val="21"/>
              </w:rPr>
              <w:t>197.886</w:t>
            </w:r>
          </w:p>
        </w:tc>
        <w:tc>
          <w:tcPr>
            <w:tcW w:w="646" w:type="dxa"/>
            <w:vAlign w:val="center"/>
          </w:tcPr>
          <w:p w14:paraId="01633A2E">
            <w:pPr>
              <w:jc w:val="center"/>
              <w:rPr>
                <w:rFonts w:ascii="Times New Roman"/>
                <w:sz w:val="21"/>
                <w:szCs w:val="21"/>
              </w:rPr>
            </w:pPr>
            <w:r>
              <w:rPr>
                <w:rFonts w:ascii="Times New Roman"/>
                <w:sz w:val="21"/>
                <w:szCs w:val="21"/>
              </w:rPr>
              <w:t>9</w:t>
            </w:r>
            <w:r>
              <w:rPr>
                <w:rFonts w:hint="eastAsia" w:ascii="Times New Roman"/>
                <w:sz w:val="21"/>
                <w:szCs w:val="21"/>
              </w:rPr>
              <w:t>5</w:t>
            </w:r>
          </w:p>
        </w:tc>
        <w:tc>
          <w:tcPr>
            <w:tcW w:w="774" w:type="dxa"/>
            <w:vMerge w:val="restart"/>
            <w:vAlign w:val="center"/>
          </w:tcPr>
          <w:p w14:paraId="23830933">
            <w:pPr>
              <w:jc w:val="center"/>
              <w:rPr>
                <w:rFonts w:ascii="Times New Roman" w:eastAsia="Times New Roman"/>
                <w:sz w:val="21"/>
                <w:szCs w:val="21"/>
              </w:rPr>
            </w:pPr>
            <w:r>
              <w:rPr>
                <w:rFonts w:ascii="Times New Roman"/>
                <w:kern w:val="0"/>
                <w:sz w:val="21"/>
                <w:szCs w:val="21"/>
              </w:rPr>
              <w:t>“4级干式过滤器+沸石轮转吸附+RTO焚烧装置”</w:t>
            </w:r>
          </w:p>
        </w:tc>
        <w:tc>
          <w:tcPr>
            <w:tcW w:w="652" w:type="dxa"/>
            <w:vAlign w:val="center"/>
          </w:tcPr>
          <w:p w14:paraId="3D43C959">
            <w:pPr>
              <w:jc w:val="center"/>
              <w:rPr>
                <w:rFonts w:ascii="Times New Roman"/>
                <w:sz w:val="21"/>
                <w:szCs w:val="21"/>
              </w:rPr>
            </w:pPr>
            <w:r>
              <w:rPr>
                <w:rFonts w:ascii="Times New Roman" w:eastAsia="Times New Roman"/>
                <w:sz w:val="21"/>
                <w:szCs w:val="21"/>
              </w:rPr>
              <w:t>9</w:t>
            </w:r>
            <w:r>
              <w:rPr>
                <w:rFonts w:hint="eastAsia" w:ascii="Times New Roman"/>
                <w:sz w:val="21"/>
                <w:szCs w:val="21"/>
              </w:rPr>
              <w:t>5</w:t>
            </w:r>
          </w:p>
        </w:tc>
        <w:tc>
          <w:tcPr>
            <w:tcW w:w="832" w:type="dxa"/>
            <w:shd w:val="clear" w:color="auto" w:fill="auto"/>
            <w:vAlign w:val="center"/>
          </w:tcPr>
          <w:p w14:paraId="29A279CE">
            <w:pPr>
              <w:jc w:val="center"/>
              <w:rPr>
                <w:rFonts w:ascii="Times New Roman"/>
                <w:sz w:val="21"/>
                <w:szCs w:val="21"/>
                <w:lang w:bidi="zh-TW"/>
              </w:rPr>
            </w:pPr>
            <w:r>
              <w:rPr>
                <w:rFonts w:hint="eastAsia" w:ascii="Times New Roman"/>
                <w:sz w:val="21"/>
                <w:szCs w:val="21"/>
              </w:rPr>
              <w:t>5.627</w:t>
            </w:r>
          </w:p>
        </w:tc>
        <w:tc>
          <w:tcPr>
            <w:tcW w:w="819" w:type="dxa"/>
            <w:shd w:val="clear" w:color="auto" w:fill="auto"/>
            <w:vAlign w:val="center"/>
          </w:tcPr>
          <w:p w14:paraId="09ABA5BD">
            <w:pPr>
              <w:jc w:val="center"/>
              <w:rPr>
                <w:rFonts w:ascii="Times New Roman"/>
                <w:sz w:val="21"/>
                <w:szCs w:val="21"/>
                <w:lang w:bidi="zh-TW"/>
              </w:rPr>
            </w:pPr>
            <w:r>
              <w:rPr>
                <w:rFonts w:hint="eastAsia" w:ascii="Times New Roman"/>
                <w:sz w:val="21"/>
                <w:szCs w:val="21"/>
              </w:rPr>
              <w:t>1.305</w:t>
            </w:r>
          </w:p>
        </w:tc>
        <w:tc>
          <w:tcPr>
            <w:tcW w:w="819" w:type="dxa"/>
            <w:shd w:val="clear" w:color="auto" w:fill="auto"/>
            <w:vAlign w:val="center"/>
          </w:tcPr>
          <w:p w14:paraId="5FCB5F19">
            <w:pPr>
              <w:jc w:val="center"/>
              <w:rPr>
                <w:rFonts w:ascii="Times New Roman"/>
                <w:sz w:val="21"/>
                <w:szCs w:val="21"/>
                <w:lang w:bidi="zh-TW"/>
              </w:rPr>
            </w:pPr>
            <w:r>
              <w:rPr>
                <w:rFonts w:hint="eastAsia" w:ascii="Times New Roman"/>
                <w:sz w:val="21"/>
                <w:szCs w:val="21"/>
              </w:rPr>
              <w:t>9.400</w:t>
            </w:r>
          </w:p>
        </w:tc>
        <w:tc>
          <w:tcPr>
            <w:tcW w:w="832" w:type="dxa"/>
            <w:shd w:val="clear" w:color="auto" w:fill="auto"/>
            <w:vAlign w:val="center"/>
          </w:tcPr>
          <w:p w14:paraId="25B84B99">
            <w:pPr>
              <w:jc w:val="center"/>
              <w:rPr>
                <w:rFonts w:ascii="Times New Roman" w:eastAsia="Times New Roman"/>
                <w:sz w:val="21"/>
                <w:szCs w:val="21"/>
              </w:rPr>
            </w:pPr>
            <w:r>
              <w:rPr>
                <w:rFonts w:ascii="Times New Roman" w:eastAsia="Times New Roman"/>
                <w:sz w:val="21"/>
                <w:szCs w:val="21"/>
              </w:rPr>
              <w:t>1</w:t>
            </w:r>
            <w:r>
              <w:rPr>
                <w:rFonts w:hint="eastAsia" w:ascii="Times New Roman" w:eastAsia="Times New Roman"/>
                <w:sz w:val="21"/>
                <w:szCs w:val="21"/>
              </w:rPr>
              <w:t>8</w:t>
            </w:r>
          </w:p>
        </w:tc>
        <w:tc>
          <w:tcPr>
            <w:tcW w:w="519" w:type="dxa"/>
            <w:vMerge w:val="restart"/>
            <w:vAlign w:val="center"/>
          </w:tcPr>
          <w:p w14:paraId="5B796E4E">
            <w:pPr>
              <w:jc w:val="center"/>
              <w:rPr>
                <w:rFonts w:ascii="Times New Roman"/>
                <w:sz w:val="21"/>
                <w:szCs w:val="21"/>
              </w:rPr>
            </w:pPr>
            <w:r>
              <w:rPr>
                <w:rFonts w:hint="eastAsia" w:ascii="Times New Roman"/>
                <w:sz w:val="21"/>
                <w:szCs w:val="21"/>
              </w:rPr>
              <w:t>22</w:t>
            </w:r>
          </w:p>
        </w:tc>
        <w:tc>
          <w:tcPr>
            <w:tcW w:w="592" w:type="dxa"/>
            <w:vMerge w:val="restart"/>
            <w:vAlign w:val="center"/>
          </w:tcPr>
          <w:p w14:paraId="5B029EAE">
            <w:pPr>
              <w:spacing w:line="280" w:lineRule="exact"/>
              <w:jc w:val="center"/>
              <w:rPr>
                <w:rFonts w:ascii="Times New Roman"/>
                <w:sz w:val="21"/>
                <w:szCs w:val="21"/>
              </w:rPr>
            </w:pPr>
            <w:r>
              <w:rPr>
                <w:rFonts w:hint="eastAsia" w:ascii="Times New Roman"/>
                <w:sz w:val="21"/>
                <w:szCs w:val="21"/>
              </w:rPr>
              <w:t>2.5</w:t>
            </w:r>
          </w:p>
        </w:tc>
        <w:tc>
          <w:tcPr>
            <w:tcW w:w="603" w:type="dxa"/>
            <w:vMerge w:val="restart"/>
            <w:vAlign w:val="center"/>
          </w:tcPr>
          <w:p w14:paraId="0E486DC8">
            <w:pPr>
              <w:jc w:val="center"/>
              <w:rPr>
                <w:rFonts w:ascii="Times New Roman"/>
                <w:sz w:val="21"/>
                <w:szCs w:val="21"/>
              </w:rPr>
            </w:pPr>
            <w:r>
              <w:rPr>
                <w:rFonts w:hint="eastAsia" w:ascii="Times New Roman"/>
                <w:sz w:val="21"/>
                <w:szCs w:val="21"/>
              </w:rPr>
              <w:t>60</w:t>
            </w:r>
          </w:p>
        </w:tc>
        <w:tc>
          <w:tcPr>
            <w:tcW w:w="602" w:type="dxa"/>
            <w:vMerge w:val="restart"/>
            <w:vAlign w:val="center"/>
          </w:tcPr>
          <w:p w14:paraId="4AEE4AEA">
            <w:pPr>
              <w:jc w:val="center"/>
              <w:rPr>
                <w:rFonts w:ascii="Times New Roman"/>
                <w:sz w:val="21"/>
                <w:szCs w:val="21"/>
              </w:rPr>
            </w:pPr>
            <w:r>
              <w:rPr>
                <w:rFonts w:hint="eastAsia" w:ascii="Times New Roman"/>
                <w:sz w:val="21"/>
                <w:szCs w:val="21"/>
              </w:rPr>
              <w:t>3000</w:t>
            </w:r>
          </w:p>
        </w:tc>
      </w:tr>
      <w:tr w14:paraId="25DB3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969" w:type="dxa"/>
            <w:vMerge w:val="continue"/>
            <w:tcBorders>
              <w:bottom w:val="single" w:color="auto" w:sz="4" w:space="0"/>
            </w:tcBorders>
            <w:vAlign w:val="center"/>
          </w:tcPr>
          <w:p w14:paraId="48F3C965">
            <w:pPr>
              <w:jc w:val="center"/>
              <w:rPr>
                <w:rFonts w:ascii="Times New Roman" w:eastAsia="Times New Roman"/>
                <w:sz w:val="21"/>
                <w:szCs w:val="21"/>
              </w:rPr>
            </w:pPr>
          </w:p>
        </w:tc>
        <w:tc>
          <w:tcPr>
            <w:tcW w:w="967" w:type="dxa"/>
            <w:tcBorders>
              <w:bottom w:val="single" w:color="auto" w:sz="4" w:space="0"/>
            </w:tcBorders>
            <w:vAlign w:val="center"/>
          </w:tcPr>
          <w:p w14:paraId="77F3B3EC">
            <w:pPr>
              <w:jc w:val="center"/>
              <w:rPr>
                <w:rFonts w:ascii="Times New Roman"/>
                <w:sz w:val="21"/>
                <w:szCs w:val="21"/>
              </w:rPr>
            </w:pPr>
            <w:r>
              <w:rPr>
                <w:rFonts w:ascii="Times New Roman"/>
                <w:sz w:val="21"/>
                <w:szCs w:val="21"/>
              </w:rPr>
              <w:t>非甲烷总烃</w:t>
            </w:r>
          </w:p>
        </w:tc>
        <w:tc>
          <w:tcPr>
            <w:tcW w:w="943" w:type="dxa"/>
            <w:vMerge w:val="continue"/>
            <w:tcBorders>
              <w:bottom w:val="single" w:color="auto" w:sz="4" w:space="0"/>
            </w:tcBorders>
            <w:vAlign w:val="center"/>
          </w:tcPr>
          <w:p w14:paraId="5F6DB6F3">
            <w:pPr>
              <w:jc w:val="center"/>
              <w:rPr>
                <w:rFonts w:ascii="Times New Roman" w:eastAsia="Times New Roman"/>
                <w:sz w:val="21"/>
                <w:szCs w:val="21"/>
              </w:rPr>
            </w:pPr>
          </w:p>
        </w:tc>
        <w:tc>
          <w:tcPr>
            <w:tcW w:w="874" w:type="dxa"/>
            <w:shd w:val="clear" w:color="auto" w:fill="auto"/>
            <w:vAlign w:val="center"/>
          </w:tcPr>
          <w:p w14:paraId="7FDADE07">
            <w:pPr>
              <w:jc w:val="center"/>
              <w:rPr>
                <w:rFonts w:ascii="Times New Roman"/>
                <w:sz w:val="21"/>
                <w:szCs w:val="21"/>
                <w:lang w:bidi="zh-TW"/>
              </w:rPr>
            </w:pPr>
            <w:r>
              <w:rPr>
                <w:rFonts w:hint="eastAsia" w:ascii="Times New Roman"/>
                <w:sz w:val="21"/>
                <w:szCs w:val="21"/>
              </w:rPr>
              <w:t>208.429</w:t>
            </w:r>
          </w:p>
        </w:tc>
        <w:tc>
          <w:tcPr>
            <w:tcW w:w="798" w:type="dxa"/>
            <w:shd w:val="clear" w:color="auto" w:fill="auto"/>
            <w:vAlign w:val="center"/>
          </w:tcPr>
          <w:p w14:paraId="445D7758">
            <w:pPr>
              <w:jc w:val="center"/>
              <w:rPr>
                <w:rFonts w:ascii="Times New Roman"/>
                <w:sz w:val="21"/>
                <w:szCs w:val="21"/>
                <w:lang w:bidi="zh-TW"/>
              </w:rPr>
            </w:pPr>
            <w:r>
              <w:rPr>
                <w:rFonts w:hint="eastAsia" w:ascii="Times New Roman"/>
                <w:sz w:val="21"/>
                <w:szCs w:val="21"/>
              </w:rPr>
              <w:t>48.356</w:t>
            </w:r>
          </w:p>
        </w:tc>
        <w:tc>
          <w:tcPr>
            <w:tcW w:w="845" w:type="dxa"/>
            <w:shd w:val="clear" w:color="auto" w:fill="auto"/>
            <w:vAlign w:val="center"/>
          </w:tcPr>
          <w:p w14:paraId="75A413C4">
            <w:pPr>
              <w:jc w:val="center"/>
              <w:rPr>
                <w:rFonts w:ascii="Times New Roman"/>
                <w:sz w:val="21"/>
                <w:szCs w:val="21"/>
                <w:lang w:bidi="zh-TW"/>
              </w:rPr>
            </w:pPr>
            <w:r>
              <w:rPr>
                <w:rFonts w:hint="eastAsia" w:ascii="Times New Roman"/>
                <w:sz w:val="21"/>
                <w:szCs w:val="21"/>
              </w:rPr>
              <w:t>348.16</w:t>
            </w:r>
          </w:p>
        </w:tc>
        <w:tc>
          <w:tcPr>
            <w:tcW w:w="646" w:type="dxa"/>
            <w:shd w:val="clear" w:color="auto" w:fill="auto"/>
            <w:vAlign w:val="center"/>
          </w:tcPr>
          <w:p w14:paraId="3E7E2A2A">
            <w:pPr>
              <w:jc w:val="center"/>
              <w:rPr>
                <w:rFonts w:ascii="Times New Roman"/>
                <w:sz w:val="21"/>
                <w:szCs w:val="21"/>
              </w:rPr>
            </w:pPr>
            <w:r>
              <w:rPr>
                <w:rFonts w:hint="eastAsia" w:ascii="Times New Roman"/>
                <w:sz w:val="21"/>
                <w:szCs w:val="21"/>
              </w:rPr>
              <w:t>95</w:t>
            </w:r>
          </w:p>
        </w:tc>
        <w:tc>
          <w:tcPr>
            <w:tcW w:w="774" w:type="dxa"/>
            <w:vMerge w:val="continue"/>
            <w:shd w:val="clear" w:color="auto" w:fill="auto"/>
            <w:vAlign w:val="center"/>
          </w:tcPr>
          <w:p w14:paraId="33C7EC5E">
            <w:pPr>
              <w:jc w:val="center"/>
              <w:rPr>
                <w:rFonts w:ascii="Times New Roman"/>
                <w:sz w:val="21"/>
                <w:szCs w:val="21"/>
              </w:rPr>
            </w:pPr>
          </w:p>
        </w:tc>
        <w:tc>
          <w:tcPr>
            <w:tcW w:w="652" w:type="dxa"/>
            <w:shd w:val="clear" w:color="auto" w:fill="auto"/>
            <w:vAlign w:val="center"/>
          </w:tcPr>
          <w:p w14:paraId="7865BA03">
            <w:pPr>
              <w:jc w:val="center"/>
              <w:rPr>
                <w:rFonts w:ascii="Times New Roman" w:eastAsia="Times New Roman"/>
                <w:sz w:val="21"/>
                <w:szCs w:val="21"/>
              </w:rPr>
            </w:pPr>
            <w:r>
              <w:rPr>
                <w:rFonts w:ascii="Times New Roman" w:eastAsia="Times New Roman"/>
                <w:sz w:val="21"/>
                <w:szCs w:val="21"/>
              </w:rPr>
              <w:t>9</w:t>
            </w:r>
            <w:r>
              <w:rPr>
                <w:rFonts w:hint="eastAsia" w:ascii="Times New Roman"/>
                <w:sz w:val="21"/>
                <w:szCs w:val="21"/>
              </w:rPr>
              <w:t>5</w:t>
            </w:r>
          </w:p>
        </w:tc>
        <w:tc>
          <w:tcPr>
            <w:tcW w:w="832" w:type="dxa"/>
            <w:shd w:val="clear" w:color="auto" w:fill="auto"/>
            <w:vAlign w:val="center"/>
          </w:tcPr>
          <w:p w14:paraId="7457204E">
            <w:pPr>
              <w:jc w:val="center"/>
              <w:rPr>
                <w:rFonts w:ascii="Times New Roman"/>
                <w:sz w:val="21"/>
                <w:szCs w:val="21"/>
                <w:lang w:bidi="zh-TW"/>
              </w:rPr>
            </w:pPr>
            <w:r>
              <w:rPr>
                <w:rFonts w:hint="eastAsia" w:ascii="Times New Roman"/>
                <w:sz w:val="21"/>
                <w:szCs w:val="21"/>
              </w:rPr>
              <w:t>9.900</w:t>
            </w:r>
          </w:p>
        </w:tc>
        <w:tc>
          <w:tcPr>
            <w:tcW w:w="819" w:type="dxa"/>
            <w:shd w:val="clear" w:color="auto" w:fill="auto"/>
            <w:vAlign w:val="center"/>
          </w:tcPr>
          <w:p w14:paraId="7FC0BC24">
            <w:pPr>
              <w:jc w:val="center"/>
              <w:rPr>
                <w:rFonts w:ascii="Times New Roman"/>
                <w:sz w:val="21"/>
                <w:szCs w:val="21"/>
                <w:lang w:bidi="zh-TW"/>
              </w:rPr>
            </w:pPr>
            <w:r>
              <w:rPr>
                <w:rFonts w:hint="eastAsia" w:ascii="Times New Roman"/>
                <w:sz w:val="21"/>
                <w:szCs w:val="21"/>
              </w:rPr>
              <w:t>2.297</w:t>
            </w:r>
          </w:p>
        </w:tc>
        <w:tc>
          <w:tcPr>
            <w:tcW w:w="819" w:type="dxa"/>
            <w:shd w:val="clear" w:color="auto" w:fill="auto"/>
            <w:vAlign w:val="center"/>
          </w:tcPr>
          <w:p w14:paraId="1F44BD4D">
            <w:pPr>
              <w:jc w:val="center"/>
              <w:rPr>
                <w:rFonts w:ascii="Times New Roman"/>
                <w:sz w:val="21"/>
                <w:szCs w:val="21"/>
                <w:lang w:bidi="zh-TW"/>
              </w:rPr>
            </w:pPr>
            <w:r>
              <w:rPr>
                <w:rFonts w:hint="eastAsia" w:ascii="Times New Roman"/>
                <w:sz w:val="21"/>
                <w:szCs w:val="21"/>
              </w:rPr>
              <w:t>16.538</w:t>
            </w:r>
          </w:p>
        </w:tc>
        <w:tc>
          <w:tcPr>
            <w:tcW w:w="832" w:type="dxa"/>
            <w:shd w:val="clear" w:color="auto" w:fill="auto"/>
            <w:vAlign w:val="center"/>
          </w:tcPr>
          <w:p w14:paraId="46A0D902">
            <w:pPr>
              <w:jc w:val="center"/>
              <w:rPr>
                <w:rFonts w:ascii="Times New Roman" w:eastAsia="Times New Roman"/>
                <w:sz w:val="21"/>
                <w:szCs w:val="21"/>
              </w:rPr>
            </w:pPr>
            <w:r>
              <w:rPr>
                <w:rFonts w:hint="eastAsia" w:ascii="Times New Roman" w:eastAsia="Times New Roman"/>
                <w:sz w:val="21"/>
                <w:szCs w:val="21"/>
              </w:rPr>
              <w:t>60</w:t>
            </w:r>
          </w:p>
        </w:tc>
        <w:tc>
          <w:tcPr>
            <w:tcW w:w="519" w:type="dxa"/>
            <w:vMerge w:val="continue"/>
            <w:shd w:val="clear" w:color="auto" w:fill="auto"/>
            <w:vAlign w:val="center"/>
          </w:tcPr>
          <w:p w14:paraId="4C680D2F">
            <w:pPr>
              <w:jc w:val="center"/>
              <w:rPr>
                <w:rFonts w:ascii="Times New Roman"/>
                <w:sz w:val="21"/>
                <w:szCs w:val="21"/>
              </w:rPr>
            </w:pPr>
          </w:p>
        </w:tc>
        <w:tc>
          <w:tcPr>
            <w:tcW w:w="592" w:type="dxa"/>
            <w:vMerge w:val="continue"/>
            <w:shd w:val="clear" w:color="auto" w:fill="auto"/>
            <w:vAlign w:val="center"/>
          </w:tcPr>
          <w:p w14:paraId="57F758F6">
            <w:pPr>
              <w:spacing w:line="280" w:lineRule="exact"/>
              <w:jc w:val="center"/>
              <w:rPr>
                <w:rFonts w:ascii="Times New Roman"/>
                <w:sz w:val="21"/>
                <w:szCs w:val="21"/>
              </w:rPr>
            </w:pPr>
          </w:p>
        </w:tc>
        <w:tc>
          <w:tcPr>
            <w:tcW w:w="603" w:type="dxa"/>
            <w:vMerge w:val="continue"/>
            <w:shd w:val="clear" w:color="auto" w:fill="auto"/>
            <w:vAlign w:val="center"/>
          </w:tcPr>
          <w:p w14:paraId="7C834899">
            <w:pPr>
              <w:jc w:val="center"/>
              <w:rPr>
                <w:rFonts w:ascii="Times New Roman" w:eastAsia="Times New Roman"/>
                <w:sz w:val="21"/>
                <w:szCs w:val="21"/>
              </w:rPr>
            </w:pPr>
          </w:p>
        </w:tc>
        <w:tc>
          <w:tcPr>
            <w:tcW w:w="602" w:type="dxa"/>
            <w:vMerge w:val="continue"/>
            <w:shd w:val="clear" w:color="auto" w:fill="auto"/>
            <w:vAlign w:val="center"/>
          </w:tcPr>
          <w:p w14:paraId="01270FB6">
            <w:pPr>
              <w:jc w:val="center"/>
              <w:rPr>
                <w:rFonts w:ascii="Times New Roman"/>
                <w:sz w:val="21"/>
                <w:szCs w:val="21"/>
              </w:rPr>
            </w:pPr>
          </w:p>
        </w:tc>
      </w:tr>
      <w:tr w14:paraId="7998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jc w:val="center"/>
        </w:trPr>
        <w:tc>
          <w:tcPr>
            <w:tcW w:w="969" w:type="dxa"/>
            <w:vMerge w:val="continue"/>
            <w:tcBorders>
              <w:bottom w:val="single" w:color="auto" w:sz="4" w:space="0"/>
            </w:tcBorders>
            <w:vAlign w:val="center"/>
          </w:tcPr>
          <w:p w14:paraId="17A4FBD7">
            <w:pPr>
              <w:jc w:val="center"/>
              <w:rPr>
                <w:rFonts w:ascii="Times New Roman" w:eastAsia="Times New Roman"/>
                <w:sz w:val="21"/>
                <w:szCs w:val="21"/>
              </w:rPr>
            </w:pPr>
          </w:p>
        </w:tc>
        <w:tc>
          <w:tcPr>
            <w:tcW w:w="967" w:type="dxa"/>
            <w:tcBorders>
              <w:bottom w:val="single" w:color="auto" w:sz="4" w:space="0"/>
            </w:tcBorders>
            <w:vAlign w:val="center"/>
          </w:tcPr>
          <w:p w14:paraId="6FE108F1">
            <w:pPr>
              <w:jc w:val="center"/>
              <w:rPr>
                <w:rFonts w:ascii="Times New Roman"/>
                <w:sz w:val="21"/>
                <w:szCs w:val="21"/>
              </w:rPr>
            </w:pPr>
            <w:r>
              <w:rPr>
                <w:rFonts w:ascii="Times New Roman"/>
                <w:sz w:val="21"/>
                <w:szCs w:val="21"/>
              </w:rPr>
              <w:t>甲苯与二甲苯合计</w:t>
            </w:r>
          </w:p>
        </w:tc>
        <w:tc>
          <w:tcPr>
            <w:tcW w:w="943" w:type="dxa"/>
            <w:vMerge w:val="continue"/>
            <w:tcBorders>
              <w:bottom w:val="single" w:color="auto" w:sz="4" w:space="0"/>
            </w:tcBorders>
            <w:vAlign w:val="center"/>
          </w:tcPr>
          <w:p w14:paraId="2F862162">
            <w:pPr>
              <w:jc w:val="center"/>
              <w:rPr>
                <w:rFonts w:ascii="Times New Roman" w:eastAsia="Times New Roman"/>
                <w:sz w:val="21"/>
                <w:szCs w:val="21"/>
              </w:rPr>
            </w:pPr>
          </w:p>
        </w:tc>
        <w:tc>
          <w:tcPr>
            <w:tcW w:w="874" w:type="dxa"/>
            <w:shd w:val="clear" w:color="auto" w:fill="auto"/>
            <w:vAlign w:val="center"/>
          </w:tcPr>
          <w:p w14:paraId="016B7BA1">
            <w:pPr>
              <w:jc w:val="center"/>
              <w:rPr>
                <w:rFonts w:ascii="Times New Roman"/>
                <w:sz w:val="21"/>
                <w:szCs w:val="21"/>
                <w:lang w:bidi="zh-TW"/>
              </w:rPr>
            </w:pPr>
            <w:r>
              <w:rPr>
                <w:rFonts w:hint="eastAsia" w:ascii="Times New Roman"/>
                <w:sz w:val="21"/>
                <w:szCs w:val="21"/>
              </w:rPr>
              <w:t>57.807</w:t>
            </w:r>
          </w:p>
        </w:tc>
        <w:tc>
          <w:tcPr>
            <w:tcW w:w="798" w:type="dxa"/>
            <w:shd w:val="clear" w:color="auto" w:fill="auto"/>
            <w:vAlign w:val="center"/>
          </w:tcPr>
          <w:p w14:paraId="5766964E">
            <w:pPr>
              <w:jc w:val="center"/>
              <w:rPr>
                <w:rFonts w:ascii="Times New Roman"/>
                <w:sz w:val="21"/>
                <w:szCs w:val="21"/>
                <w:lang w:bidi="zh-TW"/>
              </w:rPr>
            </w:pPr>
            <w:r>
              <w:rPr>
                <w:rFonts w:hint="eastAsia" w:ascii="Times New Roman"/>
                <w:sz w:val="21"/>
                <w:szCs w:val="21"/>
              </w:rPr>
              <w:t>13.411</w:t>
            </w:r>
          </w:p>
        </w:tc>
        <w:tc>
          <w:tcPr>
            <w:tcW w:w="845" w:type="dxa"/>
            <w:shd w:val="clear" w:color="auto" w:fill="auto"/>
            <w:vAlign w:val="center"/>
          </w:tcPr>
          <w:p w14:paraId="26D2271F">
            <w:pPr>
              <w:jc w:val="center"/>
              <w:rPr>
                <w:rFonts w:ascii="Times New Roman"/>
                <w:sz w:val="21"/>
                <w:szCs w:val="21"/>
                <w:lang w:bidi="zh-TW"/>
              </w:rPr>
            </w:pPr>
            <w:r>
              <w:rPr>
                <w:rFonts w:hint="eastAsia" w:ascii="Times New Roman"/>
                <w:sz w:val="21"/>
                <w:szCs w:val="21"/>
              </w:rPr>
              <w:t>96.56</w:t>
            </w:r>
          </w:p>
        </w:tc>
        <w:tc>
          <w:tcPr>
            <w:tcW w:w="646" w:type="dxa"/>
            <w:shd w:val="clear" w:color="auto" w:fill="auto"/>
            <w:vAlign w:val="center"/>
          </w:tcPr>
          <w:p w14:paraId="175AF7D1">
            <w:pPr>
              <w:jc w:val="center"/>
              <w:rPr>
                <w:rFonts w:ascii="Times New Roman"/>
                <w:sz w:val="21"/>
                <w:szCs w:val="21"/>
              </w:rPr>
            </w:pPr>
            <w:r>
              <w:rPr>
                <w:rFonts w:hint="eastAsia" w:ascii="Times New Roman"/>
                <w:sz w:val="21"/>
                <w:szCs w:val="21"/>
              </w:rPr>
              <w:t>95</w:t>
            </w:r>
          </w:p>
        </w:tc>
        <w:tc>
          <w:tcPr>
            <w:tcW w:w="774" w:type="dxa"/>
            <w:vMerge w:val="continue"/>
            <w:shd w:val="clear" w:color="auto" w:fill="auto"/>
            <w:vAlign w:val="center"/>
          </w:tcPr>
          <w:p w14:paraId="79F0D8AB">
            <w:pPr>
              <w:jc w:val="center"/>
              <w:rPr>
                <w:rFonts w:ascii="Times New Roman"/>
                <w:sz w:val="21"/>
                <w:szCs w:val="21"/>
              </w:rPr>
            </w:pPr>
          </w:p>
        </w:tc>
        <w:tc>
          <w:tcPr>
            <w:tcW w:w="652" w:type="dxa"/>
            <w:shd w:val="clear" w:color="auto" w:fill="auto"/>
            <w:vAlign w:val="center"/>
          </w:tcPr>
          <w:p w14:paraId="29B12E07">
            <w:pPr>
              <w:jc w:val="center"/>
              <w:rPr>
                <w:rFonts w:ascii="Times New Roman"/>
                <w:sz w:val="21"/>
                <w:szCs w:val="21"/>
              </w:rPr>
            </w:pPr>
            <w:r>
              <w:rPr>
                <w:rFonts w:ascii="Times New Roman" w:eastAsia="Times New Roman"/>
                <w:sz w:val="21"/>
                <w:szCs w:val="21"/>
              </w:rPr>
              <w:t>9</w:t>
            </w:r>
            <w:r>
              <w:rPr>
                <w:rFonts w:hint="eastAsia" w:ascii="Times New Roman"/>
                <w:sz w:val="21"/>
                <w:szCs w:val="21"/>
              </w:rPr>
              <w:t>5</w:t>
            </w:r>
          </w:p>
        </w:tc>
        <w:tc>
          <w:tcPr>
            <w:tcW w:w="832" w:type="dxa"/>
            <w:shd w:val="clear" w:color="auto" w:fill="auto"/>
            <w:vAlign w:val="center"/>
          </w:tcPr>
          <w:p w14:paraId="29FCA3F2">
            <w:pPr>
              <w:jc w:val="center"/>
              <w:rPr>
                <w:rFonts w:ascii="Times New Roman"/>
                <w:sz w:val="21"/>
                <w:szCs w:val="21"/>
                <w:lang w:bidi="zh-TW"/>
              </w:rPr>
            </w:pPr>
            <w:r>
              <w:rPr>
                <w:rFonts w:hint="eastAsia" w:ascii="Times New Roman"/>
                <w:sz w:val="21"/>
                <w:szCs w:val="21"/>
              </w:rPr>
              <w:t>2.746</w:t>
            </w:r>
          </w:p>
        </w:tc>
        <w:tc>
          <w:tcPr>
            <w:tcW w:w="819" w:type="dxa"/>
            <w:shd w:val="clear" w:color="auto" w:fill="auto"/>
            <w:vAlign w:val="center"/>
          </w:tcPr>
          <w:p w14:paraId="7628B862">
            <w:pPr>
              <w:jc w:val="center"/>
              <w:rPr>
                <w:rFonts w:ascii="Times New Roman"/>
                <w:sz w:val="21"/>
                <w:szCs w:val="21"/>
                <w:lang w:bidi="zh-TW"/>
              </w:rPr>
            </w:pPr>
            <w:r>
              <w:rPr>
                <w:rFonts w:hint="eastAsia" w:ascii="Times New Roman"/>
                <w:sz w:val="21"/>
                <w:szCs w:val="21"/>
              </w:rPr>
              <w:t>0.637</w:t>
            </w:r>
          </w:p>
        </w:tc>
        <w:tc>
          <w:tcPr>
            <w:tcW w:w="819" w:type="dxa"/>
            <w:shd w:val="clear" w:color="auto" w:fill="auto"/>
            <w:vAlign w:val="center"/>
          </w:tcPr>
          <w:p w14:paraId="6D24FAAD">
            <w:pPr>
              <w:jc w:val="center"/>
              <w:rPr>
                <w:rFonts w:ascii="Times New Roman"/>
                <w:sz w:val="21"/>
                <w:szCs w:val="21"/>
                <w:lang w:bidi="zh-TW"/>
              </w:rPr>
            </w:pPr>
            <w:r>
              <w:rPr>
                <w:rFonts w:hint="eastAsia" w:ascii="Times New Roman"/>
                <w:sz w:val="21"/>
                <w:szCs w:val="21"/>
              </w:rPr>
              <w:t>4.587</w:t>
            </w:r>
          </w:p>
        </w:tc>
        <w:tc>
          <w:tcPr>
            <w:tcW w:w="832" w:type="dxa"/>
            <w:shd w:val="clear" w:color="auto" w:fill="auto"/>
            <w:vAlign w:val="center"/>
          </w:tcPr>
          <w:p w14:paraId="05709827">
            <w:pPr>
              <w:jc w:val="center"/>
              <w:rPr>
                <w:rFonts w:ascii="Times New Roman" w:eastAsia="Times New Roman"/>
                <w:sz w:val="21"/>
                <w:szCs w:val="21"/>
              </w:rPr>
            </w:pPr>
            <w:r>
              <w:rPr>
                <w:rFonts w:hint="eastAsia" w:ascii="Times New Roman" w:eastAsia="Times New Roman"/>
                <w:sz w:val="21"/>
                <w:szCs w:val="21"/>
              </w:rPr>
              <w:t>2</w:t>
            </w:r>
            <w:r>
              <w:rPr>
                <w:rFonts w:ascii="Times New Roman" w:eastAsia="Times New Roman"/>
                <w:sz w:val="21"/>
                <w:szCs w:val="21"/>
              </w:rPr>
              <w:t>0</w:t>
            </w:r>
          </w:p>
        </w:tc>
        <w:tc>
          <w:tcPr>
            <w:tcW w:w="519" w:type="dxa"/>
            <w:vMerge w:val="continue"/>
            <w:shd w:val="clear" w:color="auto" w:fill="auto"/>
            <w:vAlign w:val="center"/>
          </w:tcPr>
          <w:p w14:paraId="1CB8C8DB">
            <w:pPr>
              <w:jc w:val="center"/>
              <w:rPr>
                <w:rFonts w:ascii="Times New Roman"/>
                <w:sz w:val="21"/>
                <w:szCs w:val="21"/>
              </w:rPr>
            </w:pPr>
          </w:p>
        </w:tc>
        <w:tc>
          <w:tcPr>
            <w:tcW w:w="592" w:type="dxa"/>
            <w:vMerge w:val="continue"/>
            <w:shd w:val="clear" w:color="auto" w:fill="auto"/>
            <w:vAlign w:val="center"/>
          </w:tcPr>
          <w:p w14:paraId="18C29549">
            <w:pPr>
              <w:spacing w:line="280" w:lineRule="exact"/>
              <w:jc w:val="center"/>
              <w:rPr>
                <w:rFonts w:ascii="Times New Roman"/>
                <w:sz w:val="21"/>
                <w:szCs w:val="21"/>
              </w:rPr>
            </w:pPr>
          </w:p>
        </w:tc>
        <w:tc>
          <w:tcPr>
            <w:tcW w:w="603" w:type="dxa"/>
            <w:vMerge w:val="continue"/>
            <w:shd w:val="clear" w:color="auto" w:fill="auto"/>
            <w:vAlign w:val="center"/>
          </w:tcPr>
          <w:p w14:paraId="570419FC">
            <w:pPr>
              <w:jc w:val="center"/>
              <w:rPr>
                <w:rFonts w:ascii="Times New Roman"/>
                <w:sz w:val="21"/>
                <w:szCs w:val="21"/>
              </w:rPr>
            </w:pPr>
          </w:p>
        </w:tc>
        <w:tc>
          <w:tcPr>
            <w:tcW w:w="602" w:type="dxa"/>
            <w:vMerge w:val="continue"/>
            <w:tcBorders>
              <w:bottom w:val="single" w:color="auto" w:sz="4" w:space="0"/>
            </w:tcBorders>
            <w:shd w:val="clear" w:color="auto" w:fill="auto"/>
            <w:vAlign w:val="center"/>
          </w:tcPr>
          <w:p w14:paraId="7110AB55">
            <w:pPr>
              <w:jc w:val="center"/>
              <w:rPr>
                <w:rFonts w:ascii="Times New Roman"/>
                <w:sz w:val="21"/>
                <w:szCs w:val="21"/>
              </w:rPr>
            </w:pPr>
          </w:p>
        </w:tc>
      </w:tr>
      <w:tr w14:paraId="6C341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969" w:type="dxa"/>
            <w:vMerge w:val="restart"/>
            <w:tcBorders>
              <w:top w:val="single" w:color="auto" w:sz="4" w:space="0"/>
            </w:tcBorders>
            <w:vAlign w:val="center"/>
          </w:tcPr>
          <w:p w14:paraId="2E55A2EE">
            <w:pPr>
              <w:jc w:val="center"/>
              <w:rPr>
                <w:rFonts w:ascii="Times New Roman"/>
                <w:sz w:val="21"/>
                <w:szCs w:val="21"/>
              </w:rPr>
            </w:pPr>
            <w:r>
              <w:rPr>
                <w:rFonts w:hint="eastAsia" w:ascii="Times New Roman"/>
                <w:sz w:val="21"/>
                <w:szCs w:val="21"/>
              </w:rPr>
              <w:t>天然气燃烧废气</w:t>
            </w:r>
            <w:r>
              <w:rPr>
                <w:rFonts w:ascii="Times New Roman" w:eastAsia="Times New Roman"/>
                <w:sz w:val="21"/>
                <w:szCs w:val="21"/>
              </w:rPr>
              <w:t>(</w:t>
            </w:r>
            <w:r>
              <w:rPr>
                <w:rFonts w:ascii="Times New Roman"/>
                <w:sz w:val="21"/>
                <w:szCs w:val="21"/>
              </w:rPr>
              <w:t>DA0</w:t>
            </w:r>
            <w:r>
              <w:rPr>
                <w:rFonts w:hint="eastAsia" w:ascii="Times New Roman"/>
                <w:sz w:val="21"/>
                <w:szCs w:val="21"/>
              </w:rPr>
              <w:t>11</w:t>
            </w:r>
            <w:r>
              <w:rPr>
                <w:rFonts w:ascii="Times New Roman" w:eastAsia="Times New Roman"/>
                <w:sz w:val="21"/>
                <w:szCs w:val="21"/>
              </w:rPr>
              <w:t>)</w:t>
            </w:r>
          </w:p>
        </w:tc>
        <w:tc>
          <w:tcPr>
            <w:tcW w:w="967" w:type="dxa"/>
            <w:tcBorders>
              <w:top w:val="single" w:color="auto" w:sz="4" w:space="0"/>
            </w:tcBorders>
            <w:vAlign w:val="center"/>
          </w:tcPr>
          <w:p w14:paraId="596FB428">
            <w:pPr>
              <w:jc w:val="center"/>
              <w:rPr>
                <w:rFonts w:ascii="Times New Roman"/>
                <w:sz w:val="21"/>
                <w:szCs w:val="21"/>
              </w:rPr>
            </w:pPr>
            <w:r>
              <w:rPr>
                <w:rFonts w:ascii="Times New Roman"/>
                <w:sz w:val="21"/>
                <w:szCs w:val="21"/>
              </w:rPr>
              <w:t>颗粒物</w:t>
            </w:r>
          </w:p>
        </w:tc>
        <w:tc>
          <w:tcPr>
            <w:tcW w:w="943" w:type="dxa"/>
            <w:vMerge w:val="restart"/>
            <w:tcBorders>
              <w:top w:val="single" w:color="auto" w:sz="4" w:space="0"/>
            </w:tcBorders>
            <w:vAlign w:val="center"/>
          </w:tcPr>
          <w:p w14:paraId="2D790DBE">
            <w:pPr>
              <w:jc w:val="center"/>
              <w:rPr>
                <w:rFonts w:ascii="Times New Roman"/>
                <w:sz w:val="21"/>
                <w:szCs w:val="21"/>
              </w:rPr>
            </w:pPr>
            <w:r>
              <w:rPr>
                <w:rFonts w:hint="eastAsia" w:ascii="Times New Roman"/>
                <w:sz w:val="21"/>
                <w:szCs w:val="21"/>
              </w:rPr>
              <w:t>7833.6</w:t>
            </w:r>
          </w:p>
        </w:tc>
        <w:tc>
          <w:tcPr>
            <w:tcW w:w="874" w:type="dxa"/>
            <w:shd w:val="clear" w:color="auto" w:fill="auto"/>
            <w:vAlign w:val="center"/>
          </w:tcPr>
          <w:p w14:paraId="24557528">
            <w:pPr>
              <w:jc w:val="center"/>
              <w:rPr>
                <w:rFonts w:ascii="Times New Roman"/>
                <w:sz w:val="21"/>
                <w:szCs w:val="21"/>
                <w:lang w:bidi="zh-TW"/>
              </w:rPr>
            </w:pPr>
            <w:r>
              <w:rPr>
                <w:rFonts w:hint="eastAsia" w:ascii="Times New Roman"/>
                <w:sz w:val="21"/>
                <w:szCs w:val="21"/>
                <w:lang w:bidi="zh-TW"/>
              </w:rPr>
              <w:t>21.025</w:t>
            </w:r>
          </w:p>
        </w:tc>
        <w:tc>
          <w:tcPr>
            <w:tcW w:w="798" w:type="dxa"/>
            <w:shd w:val="clear" w:color="auto" w:fill="auto"/>
            <w:vAlign w:val="center"/>
          </w:tcPr>
          <w:p w14:paraId="65E570CA">
            <w:pPr>
              <w:jc w:val="center"/>
              <w:rPr>
                <w:rFonts w:ascii="Times New Roman"/>
                <w:sz w:val="21"/>
                <w:szCs w:val="21"/>
                <w:lang w:bidi="zh-TW"/>
              </w:rPr>
            </w:pPr>
            <w:r>
              <w:rPr>
                <w:rFonts w:hint="eastAsia" w:ascii="Times New Roman"/>
                <w:sz w:val="21"/>
                <w:szCs w:val="21"/>
                <w:lang w:bidi="zh-TW"/>
              </w:rPr>
              <w:t>0.143</w:t>
            </w:r>
          </w:p>
        </w:tc>
        <w:tc>
          <w:tcPr>
            <w:tcW w:w="845" w:type="dxa"/>
            <w:shd w:val="clear" w:color="auto" w:fill="auto"/>
            <w:vAlign w:val="center"/>
          </w:tcPr>
          <w:p w14:paraId="42EE8B6B">
            <w:pPr>
              <w:jc w:val="center"/>
              <w:rPr>
                <w:rFonts w:ascii="Times New Roman"/>
                <w:sz w:val="21"/>
                <w:szCs w:val="21"/>
                <w:lang w:bidi="zh-TW"/>
              </w:rPr>
            </w:pPr>
            <w:r>
              <w:rPr>
                <w:rFonts w:hint="eastAsia" w:ascii="Times New Roman"/>
                <w:sz w:val="21"/>
                <w:szCs w:val="21"/>
              </w:rPr>
              <w:t>1.033</w:t>
            </w:r>
          </w:p>
        </w:tc>
        <w:tc>
          <w:tcPr>
            <w:tcW w:w="646" w:type="dxa"/>
            <w:vMerge w:val="restart"/>
            <w:vAlign w:val="center"/>
          </w:tcPr>
          <w:p w14:paraId="1B9690F3">
            <w:pPr>
              <w:jc w:val="center"/>
              <w:rPr>
                <w:rFonts w:ascii="Times New Roman"/>
                <w:sz w:val="21"/>
                <w:szCs w:val="21"/>
              </w:rPr>
            </w:pPr>
            <w:r>
              <w:rPr>
                <w:rFonts w:ascii="Times New Roman"/>
                <w:sz w:val="21"/>
                <w:szCs w:val="21"/>
              </w:rPr>
              <w:t>100</w:t>
            </w:r>
          </w:p>
        </w:tc>
        <w:tc>
          <w:tcPr>
            <w:tcW w:w="774" w:type="dxa"/>
            <w:vMerge w:val="continue"/>
            <w:vAlign w:val="center"/>
          </w:tcPr>
          <w:p w14:paraId="494C84DA">
            <w:pPr>
              <w:jc w:val="center"/>
              <w:rPr>
                <w:rFonts w:ascii="Times New Roman" w:eastAsia="Times New Roman"/>
                <w:sz w:val="21"/>
                <w:szCs w:val="21"/>
              </w:rPr>
            </w:pPr>
          </w:p>
        </w:tc>
        <w:tc>
          <w:tcPr>
            <w:tcW w:w="652" w:type="dxa"/>
            <w:vAlign w:val="center"/>
          </w:tcPr>
          <w:p w14:paraId="2F7C9C74">
            <w:pPr>
              <w:jc w:val="center"/>
              <w:rPr>
                <w:rFonts w:ascii="Times New Roman" w:eastAsia="Times New Roman"/>
                <w:sz w:val="21"/>
                <w:szCs w:val="21"/>
              </w:rPr>
            </w:pPr>
            <w:r>
              <w:rPr>
                <w:rFonts w:ascii="Times New Roman" w:eastAsia="Times New Roman"/>
                <w:sz w:val="21"/>
                <w:szCs w:val="21"/>
              </w:rPr>
              <w:t>0</w:t>
            </w:r>
          </w:p>
        </w:tc>
        <w:tc>
          <w:tcPr>
            <w:tcW w:w="832" w:type="dxa"/>
            <w:vAlign w:val="center"/>
          </w:tcPr>
          <w:p w14:paraId="6627A2E2">
            <w:pPr>
              <w:jc w:val="center"/>
              <w:rPr>
                <w:rFonts w:ascii="Times New Roman"/>
                <w:sz w:val="21"/>
                <w:szCs w:val="21"/>
                <w:lang w:bidi="zh-TW"/>
              </w:rPr>
            </w:pPr>
            <w:r>
              <w:rPr>
                <w:rFonts w:hint="eastAsia" w:ascii="Times New Roman"/>
                <w:sz w:val="21"/>
                <w:szCs w:val="21"/>
                <w:lang w:bidi="zh-TW"/>
              </w:rPr>
              <w:t>21.025</w:t>
            </w:r>
          </w:p>
        </w:tc>
        <w:tc>
          <w:tcPr>
            <w:tcW w:w="819" w:type="dxa"/>
            <w:vAlign w:val="center"/>
          </w:tcPr>
          <w:p w14:paraId="6FE74E4E">
            <w:pPr>
              <w:jc w:val="center"/>
              <w:rPr>
                <w:rFonts w:ascii="Times New Roman"/>
                <w:sz w:val="21"/>
                <w:szCs w:val="21"/>
                <w:lang w:bidi="zh-TW"/>
              </w:rPr>
            </w:pPr>
            <w:r>
              <w:rPr>
                <w:rFonts w:hint="eastAsia" w:ascii="Times New Roman"/>
                <w:sz w:val="21"/>
                <w:szCs w:val="21"/>
                <w:lang w:bidi="zh-TW"/>
              </w:rPr>
              <w:t>0.143</w:t>
            </w:r>
          </w:p>
        </w:tc>
        <w:tc>
          <w:tcPr>
            <w:tcW w:w="819" w:type="dxa"/>
            <w:vAlign w:val="center"/>
          </w:tcPr>
          <w:p w14:paraId="310BC107">
            <w:pPr>
              <w:jc w:val="center"/>
              <w:rPr>
                <w:rFonts w:ascii="Times New Roman"/>
                <w:sz w:val="21"/>
                <w:szCs w:val="21"/>
                <w:lang w:bidi="zh-TW"/>
              </w:rPr>
            </w:pPr>
            <w:r>
              <w:rPr>
                <w:rFonts w:hint="eastAsia" w:ascii="Times New Roman"/>
                <w:sz w:val="21"/>
                <w:szCs w:val="21"/>
              </w:rPr>
              <w:t>1.033</w:t>
            </w:r>
          </w:p>
        </w:tc>
        <w:tc>
          <w:tcPr>
            <w:tcW w:w="832" w:type="dxa"/>
            <w:shd w:val="clear" w:color="auto" w:fill="auto"/>
            <w:vAlign w:val="center"/>
          </w:tcPr>
          <w:p w14:paraId="21515C88">
            <w:pPr>
              <w:jc w:val="center"/>
              <w:rPr>
                <w:rFonts w:ascii="Times New Roman"/>
                <w:sz w:val="21"/>
                <w:szCs w:val="21"/>
              </w:rPr>
            </w:pPr>
            <w:r>
              <w:rPr>
                <w:rFonts w:hint="eastAsia" w:ascii="Times New Roman"/>
                <w:sz w:val="21"/>
                <w:szCs w:val="21"/>
              </w:rPr>
              <w:t>30</w:t>
            </w:r>
          </w:p>
        </w:tc>
        <w:tc>
          <w:tcPr>
            <w:tcW w:w="519" w:type="dxa"/>
            <w:vMerge w:val="continue"/>
            <w:vAlign w:val="center"/>
          </w:tcPr>
          <w:p w14:paraId="1386C6F0">
            <w:pPr>
              <w:jc w:val="center"/>
              <w:rPr>
                <w:rFonts w:ascii="Times New Roman"/>
                <w:sz w:val="21"/>
                <w:szCs w:val="21"/>
              </w:rPr>
            </w:pPr>
          </w:p>
        </w:tc>
        <w:tc>
          <w:tcPr>
            <w:tcW w:w="592" w:type="dxa"/>
            <w:vMerge w:val="continue"/>
            <w:vAlign w:val="center"/>
          </w:tcPr>
          <w:p w14:paraId="43419E10">
            <w:pPr>
              <w:spacing w:line="280" w:lineRule="exact"/>
              <w:jc w:val="center"/>
              <w:rPr>
                <w:rFonts w:ascii="Times New Roman"/>
                <w:sz w:val="21"/>
                <w:szCs w:val="21"/>
              </w:rPr>
            </w:pPr>
          </w:p>
        </w:tc>
        <w:tc>
          <w:tcPr>
            <w:tcW w:w="603" w:type="dxa"/>
            <w:vMerge w:val="continue"/>
            <w:vAlign w:val="center"/>
          </w:tcPr>
          <w:p w14:paraId="28E90C00">
            <w:pPr>
              <w:jc w:val="center"/>
              <w:rPr>
                <w:rFonts w:ascii="Times New Roman"/>
                <w:sz w:val="21"/>
                <w:szCs w:val="21"/>
              </w:rPr>
            </w:pPr>
          </w:p>
        </w:tc>
        <w:tc>
          <w:tcPr>
            <w:tcW w:w="602" w:type="dxa"/>
            <w:vMerge w:val="restart"/>
            <w:tcBorders>
              <w:top w:val="single" w:color="auto" w:sz="4" w:space="0"/>
            </w:tcBorders>
            <w:vAlign w:val="center"/>
          </w:tcPr>
          <w:p w14:paraId="0D7EA8F5">
            <w:pPr>
              <w:jc w:val="center"/>
              <w:rPr>
                <w:rFonts w:ascii="Times New Roman"/>
                <w:sz w:val="21"/>
                <w:szCs w:val="21"/>
              </w:rPr>
            </w:pPr>
            <w:r>
              <w:rPr>
                <w:rFonts w:hint="eastAsia" w:ascii="Times New Roman"/>
                <w:sz w:val="21"/>
                <w:szCs w:val="21"/>
              </w:rPr>
              <w:t>1500</w:t>
            </w:r>
          </w:p>
        </w:tc>
      </w:tr>
      <w:tr w14:paraId="1F45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969" w:type="dxa"/>
            <w:vMerge w:val="continue"/>
            <w:vAlign w:val="center"/>
          </w:tcPr>
          <w:p w14:paraId="249201DA">
            <w:pPr>
              <w:jc w:val="center"/>
              <w:rPr>
                <w:rFonts w:ascii="Times New Roman"/>
                <w:sz w:val="21"/>
                <w:szCs w:val="21"/>
              </w:rPr>
            </w:pPr>
          </w:p>
        </w:tc>
        <w:tc>
          <w:tcPr>
            <w:tcW w:w="967" w:type="dxa"/>
            <w:vAlign w:val="center"/>
          </w:tcPr>
          <w:p w14:paraId="03B974C1">
            <w:pPr>
              <w:jc w:val="center"/>
              <w:rPr>
                <w:rFonts w:ascii="Times New Roman" w:eastAsia="Times New Roman"/>
                <w:sz w:val="21"/>
                <w:szCs w:val="21"/>
              </w:rPr>
            </w:pPr>
            <w:r>
              <w:rPr>
                <w:rFonts w:ascii="Times New Roman" w:eastAsia="Times New Roman"/>
                <w:sz w:val="21"/>
                <w:szCs w:val="21"/>
              </w:rPr>
              <w:t>SO</w:t>
            </w:r>
            <w:r>
              <w:rPr>
                <w:rFonts w:ascii="Times New Roman" w:eastAsia="Times New Roman"/>
                <w:sz w:val="21"/>
                <w:szCs w:val="21"/>
                <w:vertAlign w:val="subscript"/>
              </w:rPr>
              <w:t>2</w:t>
            </w:r>
          </w:p>
        </w:tc>
        <w:tc>
          <w:tcPr>
            <w:tcW w:w="943" w:type="dxa"/>
            <w:vMerge w:val="continue"/>
            <w:tcBorders>
              <w:top w:val="single" w:color="auto" w:sz="4" w:space="0"/>
              <w:bottom w:val="single" w:color="auto" w:sz="4" w:space="0"/>
            </w:tcBorders>
            <w:vAlign w:val="center"/>
          </w:tcPr>
          <w:p w14:paraId="13291287">
            <w:pPr>
              <w:jc w:val="center"/>
              <w:rPr>
                <w:rFonts w:ascii="Times New Roman"/>
                <w:sz w:val="21"/>
                <w:szCs w:val="21"/>
              </w:rPr>
            </w:pPr>
          </w:p>
        </w:tc>
        <w:tc>
          <w:tcPr>
            <w:tcW w:w="874" w:type="dxa"/>
            <w:shd w:val="clear" w:color="auto" w:fill="auto"/>
            <w:vAlign w:val="center"/>
          </w:tcPr>
          <w:p w14:paraId="1984C126">
            <w:pPr>
              <w:jc w:val="center"/>
              <w:rPr>
                <w:rFonts w:ascii="Times New Roman"/>
                <w:sz w:val="21"/>
                <w:szCs w:val="21"/>
                <w:lang w:bidi="zh-TW"/>
              </w:rPr>
            </w:pPr>
            <w:r>
              <w:rPr>
                <w:rFonts w:hint="eastAsia" w:ascii="Times New Roman"/>
                <w:sz w:val="21"/>
                <w:szCs w:val="21"/>
                <w:lang w:bidi="zh-TW"/>
              </w:rPr>
              <w:t>0.651</w:t>
            </w:r>
          </w:p>
        </w:tc>
        <w:tc>
          <w:tcPr>
            <w:tcW w:w="798" w:type="dxa"/>
            <w:shd w:val="clear" w:color="auto" w:fill="auto"/>
            <w:vAlign w:val="center"/>
          </w:tcPr>
          <w:p w14:paraId="20DD7F6A">
            <w:pPr>
              <w:jc w:val="center"/>
              <w:rPr>
                <w:rFonts w:ascii="Times New Roman"/>
                <w:sz w:val="21"/>
                <w:szCs w:val="21"/>
                <w:lang w:bidi="zh-TW"/>
              </w:rPr>
            </w:pPr>
            <w:r>
              <w:rPr>
                <w:rFonts w:hint="eastAsia" w:ascii="Times New Roman"/>
                <w:sz w:val="21"/>
                <w:szCs w:val="21"/>
                <w:lang w:bidi="zh-TW"/>
              </w:rPr>
              <w:t>0.004</w:t>
            </w:r>
          </w:p>
        </w:tc>
        <w:tc>
          <w:tcPr>
            <w:tcW w:w="845" w:type="dxa"/>
            <w:shd w:val="clear" w:color="auto" w:fill="auto"/>
            <w:vAlign w:val="center"/>
          </w:tcPr>
          <w:p w14:paraId="5C47B263">
            <w:pPr>
              <w:jc w:val="center"/>
              <w:rPr>
                <w:rFonts w:ascii="Times New Roman"/>
                <w:sz w:val="21"/>
                <w:szCs w:val="21"/>
                <w:lang w:bidi="zh-TW"/>
              </w:rPr>
            </w:pPr>
            <w:r>
              <w:rPr>
                <w:rFonts w:hint="eastAsia" w:ascii="Times New Roman"/>
                <w:sz w:val="21"/>
                <w:szCs w:val="21"/>
              </w:rPr>
              <w:t>0.032</w:t>
            </w:r>
          </w:p>
        </w:tc>
        <w:tc>
          <w:tcPr>
            <w:tcW w:w="646" w:type="dxa"/>
            <w:vMerge w:val="continue"/>
            <w:vAlign w:val="center"/>
          </w:tcPr>
          <w:p w14:paraId="19D4914A">
            <w:pPr>
              <w:jc w:val="center"/>
              <w:rPr>
                <w:rFonts w:ascii="Times New Roman"/>
                <w:sz w:val="21"/>
                <w:szCs w:val="21"/>
              </w:rPr>
            </w:pPr>
          </w:p>
        </w:tc>
        <w:tc>
          <w:tcPr>
            <w:tcW w:w="774" w:type="dxa"/>
            <w:vMerge w:val="continue"/>
            <w:vAlign w:val="center"/>
          </w:tcPr>
          <w:p w14:paraId="40D85214">
            <w:pPr>
              <w:jc w:val="center"/>
              <w:rPr>
                <w:rFonts w:ascii="Times New Roman"/>
                <w:sz w:val="21"/>
                <w:szCs w:val="21"/>
              </w:rPr>
            </w:pPr>
          </w:p>
        </w:tc>
        <w:tc>
          <w:tcPr>
            <w:tcW w:w="652" w:type="dxa"/>
            <w:vAlign w:val="center"/>
          </w:tcPr>
          <w:p w14:paraId="2DF84574">
            <w:pPr>
              <w:jc w:val="center"/>
              <w:rPr>
                <w:rFonts w:ascii="Times New Roman" w:eastAsia="Times New Roman"/>
                <w:sz w:val="21"/>
                <w:szCs w:val="21"/>
              </w:rPr>
            </w:pPr>
            <w:r>
              <w:rPr>
                <w:rFonts w:ascii="Times New Roman" w:eastAsia="Times New Roman"/>
                <w:sz w:val="21"/>
                <w:szCs w:val="21"/>
              </w:rPr>
              <w:t>0</w:t>
            </w:r>
          </w:p>
        </w:tc>
        <w:tc>
          <w:tcPr>
            <w:tcW w:w="832" w:type="dxa"/>
            <w:vAlign w:val="center"/>
          </w:tcPr>
          <w:p w14:paraId="73CDE770">
            <w:pPr>
              <w:jc w:val="center"/>
              <w:rPr>
                <w:rFonts w:ascii="Times New Roman"/>
                <w:sz w:val="21"/>
                <w:szCs w:val="21"/>
                <w:lang w:bidi="zh-TW"/>
              </w:rPr>
            </w:pPr>
            <w:r>
              <w:rPr>
                <w:rFonts w:hint="eastAsia" w:ascii="Times New Roman"/>
                <w:sz w:val="21"/>
                <w:szCs w:val="21"/>
                <w:lang w:bidi="zh-TW"/>
              </w:rPr>
              <w:t>0.651</w:t>
            </w:r>
          </w:p>
        </w:tc>
        <w:tc>
          <w:tcPr>
            <w:tcW w:w="819" w:type="dxa"/>
            <w:vAlign w:val="center"/>
          </w:tcPr>
          <w:p w14:paraId="555B29CA">
            <w:pPr>
              <w:jc w:val="center"/>
              <w:rPr>
                <w:rFonts w:ascii="Times New Roman"/>
                <w:sz w:val="21"/>
                <w:szCs w:val="21"/>
                <w:lang w:bidi="zh-TW"/>
              </w:rPr>
            </w:pPr>
            <w:r>
              <w:rPr>
                <w:rFonts w:hint="eastAsia" w:ascii="Times New Roman"/>
                <w:sz w:val="21"/>
                <w:szCs w:val="21"/>
                <w:lang w:bidi="zh-TW"/>
              </w:rPr>
              <w:t>0.004</w:t>
            </w:r>
          </w:p>
        </w:tc>
        <w:tc>
          <w:tcPr>
            <w:tcW w:w="819" w:type="dxa"/>
            <w:vAlign w:val="center"/>
          </w:tcPr>
          <w:p w14:paraId="310B113E">
            <w:pPr>
              <w:jc w:val="center"/>
              <w:rPr>
                <w:rFonts w:ascii="Times New Roman"/>
                <w:sz w:val="21"/>
                <w:szCs w:val="21"/>
                <w:lang w:bidi="zh-TW"/>
              </w:rPr>
            </w:pPr>
            <w:r>
              <w:rPr>
                <w:rFonts w:hint="eastAsia" w:ascii="Times New Roman"/>
                <w:sz w:val="21"/>
                <w:szCs w:val="21"/>
              </w:rPr>
              <w:t>0.032</w:t>
            </w:r>
          </w:p>
        </w:tc>
        <w:tc>
          <w:tcPr>
            <w:tcW w:w="832" w:type="dxa"/>
            <w:shd w:val="clear" w:color="auto" w:fill="auto"/>
            <w:vAlign w:val="center"/>
          </w:tcPr>
          <w:p w14:paraId="6E02AADA">
            <w:pPr>
              <w:jc w:val="center"/>
              <w:rPr>
                <w:rFonts w:ascii="Times New Roman"/>
                <w:sz w:val="21"/>
                <w:szCs w:val="21"/>
              </w:rPr>
            </w:pPr>
            <w:r>
              <w:rPr>
                <w:rFonts w:hint="eastAsia" w:ascii="Times New Roman"/>
                <w:sz w:val="21"/>
                <w:szCs w:val="21"/>
              </w:rPr>
              <w:t>200</w:t>
            </w:r>
          </w:p>
        </w:tc>
        <w:tc>
          <w:tcPr>
            <w:tcW w:w="519" w:type="dxa"/>
            <w:vMerge w:val="continue"/>
            <w:vAlign w:val="center"/>
          </w:tcPr>
          <w:p w14:paraId="10143F9C">
            <w:pPr>
              <w:jc w:val="center"/>
              <w:rPr>
                <w:rFonts w:ascii="Times New Roman"/>
                <w:sz w:val="21"/>
                <w:szCs w:val="21"/>
              </w:rPr>
            </w:pPr>
          </w:p>
        </w:tc>
        <w:tc>
          <w:tcPr>
            <w:tcW w:w="592" w:type="dxa"/>
            <w:vMerge w:val="continue"/>
            <w:vAlign w:val="center"/>
          </w:tcPr>
          <w:p w14:paraId="5C5F3749">
            <w:pPr>
              <w:jc w:val="center"/>
              <w:rPr>
                <w:rFonts w:ascii="Times New Roman"/>
                <w:sz w:val="21"/>
                <w:szCs w:val="21"/>
              </w:rPr>
            </w:pPr>
          </w:p>
        </w:tc>
        <w:tc>
          <w:tcPr>
            <w:tcW w:w="603" w:type="dxa"/>
            <w:vMerge w:val="continue"/>
            <w:vAlign w:val="center"/>
          </w:tcPr>
          <w:p w14:paraId="46B72F38">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5CE9F75C">
            <w:pPr>
              <w:jc w:val="center"/>
              <w:rPr>
                <w:rFonts w:ascii="Times New Roman"/>
                <w:sz w:val="21"/>
                <w:szCs w:val="21"/>
              </w:rPr>
            </w:pPr>
          </w:p>
        </w:tc>
      </w:tr>
      <w:tr w14:paraId="63029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969" w:type="dxa"/>
            <w:vMerge w:val="continue"/>
            <w:vAlign w:val="center"/>
          </w:tcPr>
          <w:p w14:paraId="67CB17E7">
            <w:pPr>
              <w:jc w:val="center"/>
              <w:rPr>
                <w:rFonts w:ascii="Times New Roman"/>
                <w:sz w:val="21"/>
                <w:szCs w:val="21"/>
              </w:rPr>
            </w:pPr>
          </w:p>
        </w:tc>
        <w:tc>
          <w:tcPr>
            <w:tcW w:w="967" w:type="dxa"/>
            <w:shd w:val="clear" w:color="auto" w:fill="auto"/>
            <w:vAlign w:val="center"/>
          </w:tcPr>
          <w:p w14:paraId="7E9AF73A">
            <w:pPr>
              <w:jc w:val="center"/>
              <w:rPr>
                <w:rFonts w:ascii="Times New Roman" w:eastAsia="Times New Roman"/>
                <w:sz w:val="21"/>
                <w:szCs w:val="21"/>
              </w:rPr>
            </w:pPr>
            <w:r>
              <w:rPr>
                <w:rFonts w:ascii="Times New Roman" w:eastAsia="Times New Roman"/>
                <w:sz w:val="21"/>
                <w:szCs w:val="21"/>
              </w:rPr>
              <w:t>NO</w:t>
            </w:r>
            <w:r>
              <w:rPr>
                <w:rFonts w:ascii="Times New Roman" w:eastAsia="Times New Roman"/>
                <w:sz w:val="21"/>
                <w:szCs w:val="21"/>
                <w:vertAlign w:val="subscript"/>
              </w:rPr>
              <w:t>X</w:t>
            </w:r>
          </w:p>
        </w:tc>
        <w:tc>
          <w:tcPr>
            <w:tcW w:w="943" w:type="dxa"/>
            <w:vMerge w:val="continue"/>
            <w:tcBorders>
              <w:top w:val="single" w:color="auto" w:sz="4" w:space="0"/>
              <w:bottom w:val="single" w:color="auto" w:sz="4" w:space="0"/>
            </w:tcBorders>
            <w:shd w:val="clear" w:color="auto" w:fill="auto"/>
            <w:vAlign w:val="center"/>
          </w:tcPr>
          <w:p w14:paraId="762B3110">
            <w:pPr>
              <w:jc w:val="center"/>
              <w:rPr>
                <w:rFonts w:ascii="Times New Roman"/>
                <w:sz w:val="21"/>
                <w:szCs w:val="21"/>
              </w:rPr>
            </w:pPr>
          </w:p>
        </w:tc>
        <w:tc>
          <w:tcPr>
            <w:tcW w:w="874" w:type="dxa"/>
            <w:shd w:val="clear" w:color="auto" w:fill="auto"/>
            <w:vAlign w:val="center"/>
          </w:tcPr>
          <w:p w14:paraId="1D9B3C14">
            <w:pPr>
              <w:jc w:val="center"/>
              <w:rPr>
                <w:rFonts w:ascii="Times New Roman"/>
                <w:sz w:val="21"/>
                <w:szCs w:val="21"/>
                <w:lang w:bidi="zh-TW"/>
              </w:rPr>
            </w:pPr>
            <w:r>
              <w:rPr>
                <w:rFonts w:hint="eastAsia" w:ascii="Times New Roman"/>
                <w:sz w:val="21"/>
                <w:szCs w:val="21"/>
              </w:rPr>
              <w:t>137.505</w:t>
            </w:r>
          </w:p>
        </w:tc>
        <w:tc>
          <w:tcPr>
            <w:tcW w:w="798" w:type="dxa"/>
            <w:shd w:val="clear" w:color="auto" w:fill="auto"/>
            <w:vAlign w:val="center"/>
          </w:tcPr>
          <w:p w14:paraId="77E34BDD">
            <w:pPr>
              <w:jc w:val="center"/>
              <w:rPr>
                <w:rFonts w:ascii="Times New Roman"/>
                <w:sz w:val="21"/>
                <w:szCs w:val="21"/>
                <w:lang w:bidi="zh-TW"/>
              </w:rPr>
            </w:pPr>
            <w:r>
              <w:rPr>
                <w:rFonts w:hint="eastAsia" w:ascii="Times New Roman"/>
                <w:sz w:val="21"/>
                <w:szCs w:val="21"/>
                <w:lang w:bidi="zh-TW"/>
              </w:rPr>
              <w:t>0.938</w:t>
            </w:r>
          </w:p>
        </w:tc>
        <w:tc>
          <w:tcPr>
            <w:tcW w:w="845" w:type="dxa"/>
            <w:shd w:val="clear" w:color="auto" w:fill="auto"/>
            <w:vAlign w:val="center"/>
          </w:tcPr>
          <w:p w14:paraId="306FFC5E">
            <w:pPr>
              <w:jc w:val="center"/>
              <w:rPr>
                <w:rFonts w:ascii="Times New Roman"/>
                <w:sz w:val="21"/>
                <w:szCs w:val="21"/>
                <w:lang w:bidi="zh-TW"/>
              </w:rPr>
            </w:pPr>
            <w:r>
              <w:rPr>
                <w:rFonts w:hint="eastAsia" w:ascii="Times New Roman"/>
                <w:sz w:val="21"/>
                <w:szCs w:val="21"/>
              </w:rPr>
              <w:t>6.756</w:t>
            </w:r>
          </w:p>
        </w:tc>
        <w:tc>
          <w:tcPr>
            <w:tcW w:w="646" w:type="dxa"/>
            <w:vMerge w:val="continue"/>
            <w:shd w:val="clear" w:color="auto" w:fill="auto"/>
            <w:vAlign w:val="center"/>
          </w:tcPr>
          <w:p w14:paraId="245A38B7">
            <w:pPr>
              <w:jc w:val="center"/>
              <w:rPr>
                <w:rFonts w:ascii="Times New Roman"/>
                <w:sz w:val="21"/>
                <w:szCs w:val="21"/>
              </w:rPr>
            </w:pPr>
          </w:p>
        </w:tc>
        <w:tc>
          <w:tcPr>
            <w:tcW w:w="774" w:type="dxa"/>
            <w:vMerge w:val="continue"/>
            <w:shd w:val="clear" w:color="auto" w:fill="auto"/>
            <w:vAlign w:val="center"/>
          </w:tcPr>
          <w:p w14:paraId="2CD4A83D">
            <w:pPr>
              <w:jc w:val="center"/>
              <w:rPr>
                <w:rFonts w:ascii="Times New Roman"/>
                <w:sz w:val="21"/>
                <w:szCs w:val="21"/>
              </w:rPr>
            </w:pPr>
          </w:p>
        </w:tc>
        <w:tc>
          <w:tcPr>
            <w:tcW w:w="652" w:type="dxa"/>
            <w:shd w:val="clear" w:color="auto" w:fill="auto"/>
            <w:vAlign w:val="center"/>
          </w:tcPr>
          <w:p w14:paraId="1489D8D7">
            <w:pPr>
              <w:jc w:val="center"/>
              <w:rPr>
                <w:rFonts w:ascii="Times New Roman"/>
                <w:sz w:val="21"/>
                <w:szCs w:val="21"/>
              </w:rPr>
            </w:pPr>
            <w:r>
              <w:rPr>
                <w:rFonts w:hint="eastAsia" w:ascii="Times New Roman"/>
                <w:sz w:val="21"/>
                <w:szCs w:val="21"/>
              </w:rPr>
              <w:t>5</w:t>
            </w:r>
            <w:r>
              <w:rPr>
                <w:rFonts w:ascii="Times New Roman"/>
                <w:sz w:val="21"/>
                <w:szCs w:val="21"/>
              </w:rPr>
              <w:t>0</w:t>
            </w:r>
          </w:p>
        </w:tc>
        <w:tc>
          <w:tcPr>
            <w:tcW w:w="832" w:type="dxa"/>
            <w:shd w:val="clear" w:color="auto" w:fill="auto"/>
            <w:vAlign w:val="center"/>
          </w:tcPr>
          <w:p w14:paraId="3B58C1B9">
            <w:pPr>
              <w:jc w:val="center"/>
              <w:rPr>
                <w:rFonts w:ascii="Times New Roman"/>
                <w:sz w:val="21"/>
                <w:szCs w:val="21"/>
                <w:lang w:bidi="zh-TW"/>
              </w:rPr>
            </w:pPr>
            <w:r>
              <w:rPr>
                <w:rFonts w:hint="eastAsia" w:ascii="Times New Roman"/>
                <w:sz w:val="21"/>
                <w:szCs w:val="21"/>
                <w:lang w:bidi="zh-TW"/>
              </w:rPr>
              <w:t>68.752</w:t>
            </w:r>
          </w:p>
        </w:tc>
        <w:tc>
          <w:tcPr>
            <w:tcW w:w="819" w:type="dxa"/>
            <w:shd w:val="clear" w:color="auto" w:fill="auto"/>
            <w:vAlign w:val="center"/>
          </w:tcPr>
          <w:p w14:paraId="7D4EB131">
            <w:pPr>
              <w:jc w:val="center"/>
              <w:rPr>
                <w:rFonts w:ascii="Times New Roman"/>
                <w:sz w:val="21"/>
                <w:szCs w:val="21"/>
                <w:lang w:bidi="zh-TW"/>
              </w:rPr>
            </w:pPr>
            <w:r>
              <w:rPr>
                <w:rFonts w:hint="eastAsia" w:ascii="Times New Roman"/>
                <w:sz w:val="21"/>
                <w:szCs w:val="21"/>
                <w:lang w:bidi="zh-TW"/>
              </w:rPr>
              <w:t>0.469</w:t>
            </w:r>
          </w:p>
        </w:tc>
        <w:tc>
          <w:tcPr>
            <w:tcW w:w="819" w:type="dxa"/>
            <w:shd w:val="clear" w:color="auto" w:fill="auto"/>
            <w:vAlign w:val="center"/>
          </w:tcPr>
          <w:p w14:paraId="522644F4">
            <w:pPr>
              <w:jc w:val="center"/>
              <w:rPr>
                <w:rFonts w:ascii="Times New Roman"/>
                <w:sz w:val="21"/>
                <w:szCs w:val="21"/>
                <w:lang w:bidi="zh-TW"/>
              </w:rPr>
            </w:pPr>
            <w:r>
              <w:rPr>
                <w:rFonts w:hint="eastAsia" w:ascii="Times New Roman"/>
                <w:sz w:val="21"/>
                <w:szCs w:val="21"/>
                <w:lang w:bidi="zh-TW"/>
              </w:rPr>
              <w:t>3.378</w:t>
            </w:r>
          </w:p>
        </w:tc>
        <w:tc>
          <w:tcPr>
            <w:tcW w:w="832" w:type="dxa"/>
            <w:shd w:val="clear" w:color="auto" w:fill="auto"/>
            <w:vAlign w:val="center"/>
          </w:tcPr>
          <w:p w14:paraId="4EFA4583">
            <w:pPr>
              <w:jc w:val="center"/>
              <w:rPr>
                <w:rFonts w:ascii="Times New Roman"/>
                <w:sz w:val="21"/>
                <w:szCs w:val="21"/>
              </w:rPr>
            </w:pPr>
            <w:r>
              <w:rPr>
                <w:rFonts w:ascii="Times New Roman"/>
                <w:sz w:val="21"/>
                <w:szCs w:val="21"/>
              </w:rPr>
              <w:t>30</w:t>
            </w:r>
            <w:r>
              <w:rPr>
                <w:rFonts w:hint="eastAsia" w:ascii="Times New Roman"/>
                <w:sz w:val="21"/>
                <w:szCs w:val="21"/>
              </w:rPr>
              <w:t>0</w:t>
            </w:r>
          </w:p>
        </w:tc>
        <w:tc>
          <w:tcPr>
            <w:tcW w:w="519" w:type="dxa"/>
            <w:vMerge w:val="continue"/>
            <w:vAlign w:val="center"/>
          </w:tcPr>
          <w:p w14:paraId="21CCC07C">
            <w:pPr>
              <w:jc w:val="center"/>
              <w:rPr>
                <w:rFonts w:ascii="Times New Roman"/>
                <w:sz w:val="21"/>
                <w:szCs w:val="21"/>
              </w:rPr>
            </w:pPr>
          </w:p>
        </w:tc>
        <w:tc>
          <w:tcPr>
            <w:tcW w:w="592" w:type="dxa"/>
            <w:vMerge w:val="continue"/>
            <w:vAlign w:val="center"/>
          </w:tcPr>
          <w:p w14:paraId="6F841CAF">
            <w:pPr>
              <w:jc w:val="center"/>
              <w:rPr>
                <w:rFonts w:ascii="Times New Roman"/>
                <w:sz w:val="21"/>
                <w:szCs w:val="21"/>
              </w:rPr>
            </w:pPr>
          </w:p>
        </w:tc>
        <w:tc>
          <w:tcPr>
            <w:tcW w:w="603" w:type="dxa"/>
            <w:vMerge w:val="continue"/>
            <w:vAlign w:val="center"/>
          </w:tcPr>
          <w:p w14:paraId="62B1DB14">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1998CA39">
            <w:pPr>
              <w:jc w:val="center"/>
              <w:rPr>
                <w:rFonts w:ascii="Times New Roman"/>
                <w:sz w:val="21"/>
                <w:szCs w:val="21"/>
              </w:rPr>
            </w:pPr>
          </w:p>
        </w:tc>
      </w:tr>
      <w:tr w14:paraId="7FFF9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969" w:type="dxa"/>
            <w:vMerge w:val="continue"/>
            <w:vAlign w:val="center"/>
          </w:tcPr>
          <w:p w14:paraId="19008FCB">
            <w:pPr>
              <w:jc w:val="center"/>
              <w:rPr>
                <w:rFonts w:ascii="Times New Roman"/>
                <w:sz w:val="21"/>
                <w:szCs w:val="21"/>
              </w:rPr>
            </w:pPr>
          </w:p>
        </w:tc>
        <w:tc>
          <w:tcPr>
            <w:tcW w:w="967" w:type="dxa"/>
            <w:vAlign w:val="center"/>
          </w:tcPr>
          <w:p w14:paraId="531CD766">
            <w:pPr>
              <w:jc w:val="center"/>
              <w:rPr>
                <w:rFonts w:ascii="Times New Roman" w:eastAsia="Times New Roman"/>
                <w:sz w:val="21"/>
                <w:szCs w:val="21"/>
              </w:rPr>
            </w:pPr>
            <w:r>
              <w:rPr>
                <w:rFonts w:ascii="Times New Roman"/>
                <w:sz w:val="21"/>
                <w:szCs w:val="21"/>
              </w:rPr>
              <w:t>烟气黑度</w:t>
            </w:r>
          </w:p>
        </w:tc>
        <w:tc>
          <w:tcPr>
            <w:tcW w:w="943" w:type="dxa"/>
            <w:vMerge w:val="continue"/>
            <w:tcBorders>
              <w:top w:val="single" w:color="auto" w:sz="4" w:space="0"/>
              <w:bottom w:val="single" w:color="auto" w:sz="4" w:space="0"/>
            </w:tcBorders>
            <w:vAlign w:val="center"/>
          </w:tcPr>
          <w:p w14:paraId="0956DE64">
            <w:pPr>
              <w:jc w:val="center"/>
              <w:rPr>
                <w:rFonts w:ascii="Times New Roman"/>
                <w:sz w:val="21"/>
                <w:szCs w:val="21"/>
              </w:rPr>
            </w:pPr>
          </w:p>
        </w:tc>
        <w:tc>
          <w:tcPr>
            <w:tcW w:w="874" w:type="dxa"/>
            <w:vAlign w:val="center"/>
          </w:tcPr>
          <w:p w14:paraId="78BFF51F">
            <w:pPr>
              <w:jc w:val="center"/>
              <w:rPr>
                <w:rFonts w:ascii="Times New Roman"/>
                <w:sz w:val="21"/>
                <w:szCs w:val="21"/>
                <w:lang w:bidi="zh-TW"/>
              </w:rPr>
            </w:pPr>
            <w:r>
              <w:rPr>
                <w:rFonts w:ascii="Times New Roman"/>
                <w:sz w:val="21"/>
                <w:szCs w:val="21"/>
                <w:lang w:bidi="zh-TW"/>
              </w:rPr>
              <w:t>≤1级</w:t>
            </w:r>
          </w:p>
        </w:tc>
        <w:tc>
          <w:tcPr>
            <w:tcW w:w="798" w:type="dxa"/>
            <w:vAlign w:val="center"/>
          </w:tcPr>
          <w:p w14:paraId="3579E67F">
            <w:pPr>
              <w:jc w:val="center"/>
              <w:rPr>
                <w:rFonts w:ascii="Times New Roman"/>
                <w:sz w:val="21"/>
                <w:szCs w:val="21"/>
                <w:lang w:bidi="zh-TW"/>
              </w:rPr>
            </w:pPr>
            <w:r>
              <w:rPr>
                <w:rFonts w:hint="eastAsia" w:ascii="Times New Roman"/>
                <w:sz w:val="21"/>
                <w:szCs w:val="21"/>
                <w:lang w:bidi="zh-TW"/>
              </w:rPr>
              <w:t>/</w:t>
            </w:r>
          </w:p>
        </w:tc>
        <w:tc>
          <w:tcPr>
            <w:tcW w:w="845" w:type="dxa"/>
            <w:vAlign w:val="center"/>
          </w:tcPr>
          <w:p w14:paraId="21D62105">
            <w:pPr>
              <w:jc w:val="center"/>
              <w:rPr>
                <w:rFonts w:ascii="Times New Roman"/>
                <w:sz w:val="21"/>
                <w:szCs w:val="21"/>
                <w:lang w:bidi="zh-TW"/>
              </w:rPr>
            </w:pPr>
            <w:r>
              <w:rPr>
                <w:rFonts w:hint="eastAsia" w:ascii="Times New Roman"/>
                <w:sz w:val="21"/>
                <w:szCs w:val="21"/>
                <w:lang w:bidi="zh-TW"/>
              </w:rPr>
              <w:t>/</w:t>
            </w:r>
          </w:p>
        </w:tc>
        <w:tc>
          <w:tcPr>
            <w:tcW w:w="646" w:type="dxa"/>
            <w:vMerge w:val="continue"/>
            <w:vAlign w:val="center"/>
          </w:tcPr>
          <w:p w14:paraId="5F92C457">
            <w:pPr>
              <w:jc w:val="center"/>
              <w:rPr>
                <w:rFonts w:ascii="Times New Roman"/>
                <w:sz w:val="21"/>
                <w:szCs w:val="21"/>
              </w:rPr>
            </w:pPr>
          </w:p>
        </w:tc>
        <w:tc>
          <w:tcPr>
            <w:tcW w:w="774" w:type="dxa"/>
            <w:vMerge w:val="continue"/>
            <w:vAlign w:val="center"/>
          </w:tcPr>
          <w:p w14:paraId="2C9A2C56">
            <w:pPr>
              <w:jc w:val="center"/>
              <w:rPr>
                <w:rFonts w:ascii="Times New Roman"/>
                <w:sz w:val="21"/>
                <w:szCs w:val="21"/>
              </w:rPr>
            </w:pPr>
          </w:p>
        </w:tc>
        <w:tc>
          <w:tcPr>
            <w:tcW w:w="652" w:type="dxa"/>
            <w:vAlign w:val="center"/>
          </w:tcPr>
          <w:p w14:paraId="38D0CEE4">
            <w:pPr>
              <w:jc w:val="center"/>
              <w:rPr>
                <w:rFonts w:ascii="Times New Roman"/>
                <w:sz w:val="21"/>
                <w:szCs w:val="21"/>
              </w:rPr>
            </w:pPr>
            <w:r>
              <w:rPr>
                <w:rFonts w:hint="eastAsia" w:ascii="Times New Roman"/>
                <w:sz w:val="21"/>
                <w:szCs w:val="21"/>
              </w:rPr>
              <w:t>/</w:t>
            </w:r>
          </w:p>
        </w:tc>
        <w:tc>
          <w:tcPr>
            <w:tcW w:w="832" w:type="dxa"/>
            <w:vAlign w:val="center"/>
          </w:tcPr>
          <w:p w14:paraId="1E0C6693">
            <w:pPr>
              <w:jc w:val="center"/>
              <w:rPr>
                <w:rFonts w:ascii="Times New Roman"/>
                <w:sz w:val="21"/>
                <w:szCs w:val="21"/>
                <w:lang w:bidi="zh-TW"/>
              </w:rPr>
            </w:pPr>
            <w:r>
              <w:rPr>
                <w:rFonts w:ascii="Times New Roman"/>
                <w:sz w:val="21"/>
                <w:szCs w:val="21"/>
                <w:lang w:bidi="zh-TW"/>
              </w:rPr>
              <w:t>≤1级</w:t>
            </w:r>
          </w:p>
        </w:tc>
        <w:tc>
          <w:tcPr>
            <w:tcW w:w="819" w:type="dxa"/>
            <w:vAlign w:val="center"/>
          </w:tcPr>
          <w:p w14:paraId="694AA903">
            <w:pPr>
              <w:jc w:val="center"/>
              <w:rPr>
                <w:rFonts w:ascii="Times New Roman"/>
                <w:sz w:val="21"/>
                <w:szCs w:val="21"/>
                <w:lang w:bidi="zh-TW"/>
              </w:rPr>
            </w:pPr>
            <w:r>
              <w:rPr>
                <w:rFonts w:hint="eastAsia" w:ascii="Times New Roman"/>
                <w:sz w:val="21"/>
                <w:szCs w:val="21"/>
                <w:lang w:bidi="zh-TW"/>
              </w:rPr>
              <w:t>/</w:t>
            </w:r>
          </w:p>
        </w:tc>
        <w:tc>
          <w:tcPr>
            <w:tcW w:w="819" w:type="dxa"/>
            <w:vAlign w:val="center"/>
          </w:tcPr>
          <w:p w14:paraId="660E16DD">
            <w:pPr>
              <w:jc w:val="center"/>
              <w:rPr>
                <w:rFonts w:ascii="Times New Roman"/>
                <w:sz w:val="21"/>
                <w:szCs w:val="21"/>
                <w:lang w:bidi="zh-TW"/>
              </w:rPr>
            </w:pPr>
            <w:r>
              <w:rPr>
                <w:rFonts w:hint="eastAsia" w:ascii="Times New Roman"/>
                <w:sz w:val="21"/>
                <w:szCs w:val="21"/>
                <w:lang w:bidi="zh-TW"/>
              </w:rPr>
              <w:t>/</w:t>
            </w:r>
          </w:p>
        </w:tc>
        <w:tc>
          <w:tcPr>
            <w:tcW w:w="832" w:type="dxa"/>
            <w:shd w:val="clear" w:color="auto" w:fill="auto"/>
            <w:vAlign w:val="center"/>
          </w:tcPr>
          <w:p w14:paraId="6F8791BF">
            <w:pPr>
              <w:jc w:val="center"/>
              <w:rPr>
                <w:rFonts w:ascii="Times New Roman"/>
                <w:sz w:val="21"/>
                <w:szCs w:val="21"/>
              </w:rPr>
            </w:pPr>
            <w:r>
              <w:rPr>
                <w:rFonts w:ascii="Times New Roman"/>
                <w:sz w:val="21"/>
                <w:szCs w:val="21"/>
                <w:lang w:bidi="zh-TW"/>
              </w:rPr>
              <w:t>≤1级</w:t>
            </w:r>
          </w:p>
        </w:tc>
        <w:tc>
          <w:tcPr>
            <w:tcW w:w="519" w:type="dxa"/>
            <w:vMerge w:val="continue"/>
            <w:tcBorders>
              <w:bottom w:val="single" w:color="auto" w:sz="4" w:space="0"/>
            </w:tcBorders>
            <w:vAlign w:val="center"/>
          </w:tcPr>
          <w:p w14:paraId="5166FC5C">
            <w:pPr>
              <w:jc w:val="center"/>
              <w:rPr>
                <w:rFonts w:ascii="Times New Roman"/>
                <w:sz w:val="21"/>
                <w:szCs w:val="21"/>
              </w:rPr>
            </w:pPr>
          </w:p>
        </w:tc>
        <w:tc>
          <w:tcPr>
            <w:tcW w:w="592" w:type="dxa"/>
            <w:vMerge w:val="continue"/>
            <w:tcBorders>
              <w:bottom w:val="single" w:color="auto" w:sz="4" w:space="0"/>
            </w:tcBorders>
            <w:vAlign w:val="center"/>
          </w:tcPr>
          <w:p w14:paraId="2DAAF443">
            <w:pPr>
              <w:jc w:val="center"/>
              <w:rPr>
                <w:rFonts w:ascii="Times New Roman"/>
                <w:sz w:val="21"/>
                <w:szCs w:val="21"/>
              </w:rPr>
            </w:pPr>
          </w:p>
        </w:tc>
        <w:tc>
          <w:tcPr>
            <w:tcW w:w="603" w:type="dxa"/>
            <w:vMerge w:val="continue"/>
            <w:tcBorders>
              <w:bottom w:val="single" w:color="auto" w:sz="4" w:space="0"/>
            </w:tcBorders>
            <w:vAlign w:val="center"/>
          </w:tcPr>
          <w:p w14:paraId="4DBBE3FC">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4474FA2C">
            <w:pPr>
              <w:jc w:val="center"/>
              <w:rPr>
                <w:rFonts w:ascii="Times New Roman"/>
                <w:sz w:val="21"/>
                <w:szCs w:val="21"/>
              </w:rPr>
            </w:pPr>
          </w:p>
        </w:tc>
      </w:tr>
      <w:tr w14:paraId="5D166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969" w:type="dxa"/>
            <w:vMerge w:val="restart"/>
            <w:shd w:val="clear" w:color="auto" w:fill="auto"/>
            <w:vAlign w:val="center"/>
          </w:tcPr>
          <w:p w14:paraId="6ADDC91F">
            <w:pPr>
              <w:jc w:val="center"/>
              <w:rPr>
                <w:rFonts w:ascii="Times New Roman"/>
                <w:sz w:val="21"/>
                <w:szCs w:val="21"/>
              </w:rPr>
            </w:pPr>
            <w:r>
              <w:rPr>
                <w:rFonts w:ascii="Times New Roman"/>
                <w:sz w:val="21"/>
                <w:szCs w:val="21"/>
              </w:rPr>
              <w:t>喷塑固化、强冷废气</w:t>
            </w:r>
            <w:r>
              <w:rPr>
                <w:rFonts w:ascii="Times New Roman" w:eastAsia="Times New Roman"/>
                <w:sz w:val="21"/>
                <w:szCs w:val="21"/>
              </w:rPr>
              <w:t>(</w:t>
            </w:r>
            <w:r>
              <w:rPr>
                <w:rFonts w:ascii="Times New Roman"/>
                <w:sz w:val="21"/>
                <w:szCs w:val="21"/>
              </w:rPr>
              <w:t>DA0</w:t>
            </w:r>
            <w:r>
              <w:rPr>
                <w:rFonts w:hint="eastAsia" w:ascii="Times New Roman"/>
                <w:sz w:val="21"/>
                <w:szCs w:val="21"/>
              </w:rPr>
              <w:t>10</w:t>
            </w:r>
            <w:r>
              <w:rPr>
                <w:rFonts w:ascii="Times New Roman" w:eastAsia="Times New Roman"/>
                <w:sz w:val="21"/>
                <w:szCs w:val="21"/>
              </w:rPr>
              <w:t>)</w:t>
            </w:r>
          </w:p>
        </w:tc>
        <w:tc>
          <w:tcPr>
            <w:tcW w:w="967" w:type="dxa"/>
            <w:tcBorders>
              <w:bottom w:val="single" w:color="auto" w:sz="4" w:space="0"/>
            </w:tcBorders>
            <w:shd w:val="clear" w:color="auto" w:fill="auto"/>
            <w:vAlign w:val="center"/>
          </w:tcPr>
          <w:p w14:paraId="19935E0C">
            <w:pPr>
              <w:jc w:val="center"/>
              <w:rPr>
                <w:rFonts w:ascii="Times New Roman" w:eastAsia="Times New Roman"/>
                <w:sz w:val="21"/>
                <w:szCs w:val="21"/>
              </w:rPr>
            </w:pPr>
            <w:r>
              <w:rPr>
                <w:rFonts w:ascii="Times New Roman"/>
                <w:sz w:val="21"/>
                <w:szCs w:val="21"/>
              </w:rPr>
              <w:t>非甲烷总烃</w:t>
            </w:r>
          </w:p>
        </w:tc>
        <w:tc>
          <w:tcPr>
            <w:tcW w:w="943" w:type="dxa"/>
            <w:vMerge w:val="restart"/>
            <w:tcBorders>
              <w:top w:val="single" w:color="auto" w:sz="4" w:space="0"/>
            </w:tcBorders>
            <w:vAlign w:val="center"/>
          </w:tcPr>
          <w:p w14:paraId="3AF31E78">
            <w:pPr>
              <w:jc w:val="center"/>
              <w:rPr>
                <w:rFonts w:ascii="Times New Roman"/>
                <w:sz w:val="21"/>
                <w:szCs w:val="21"/>
              </w:rPr>
            </w:pPr>
            <w:r>
              <w:rPr>
                <w:rFonts w:hint="eastAsia" w:ascii="Times New Roman"/>
                <w:sz w:val="21"/>
                <w:szCs w:val="21"/>
              </w:rPr>
              <w:t>18000</w:t>
            </w:r>
          </w:p>
        </w:tc>
        <w:tc>
          <w:tcPr>
            <w:tcW w:w="874" w:type="dxa"/>
            <w:tcBorders>
              <w:bottom w:val="single" w:color="auto" w:sz="4" w:space="0"/>
            </w:tcBorders>
            <w:vAlign w:val="center"/>
          </w:tcPr>
          <w:p w14:paraId="7B1B63B4">
            <w:pPr>
              <w:jc w:val="center"/>
              <w:rPr>
                <w:rFonts w:ascii="Times New Roman"/>
                <w:sz w:val="21"/>
                <w:szCs w:val="21"/>
                <w:lang w:bidi="zh-TW"/>
              </w:rPr>
            </w:pPr>
            <w:r>
              <w:rPr>
                <w:rFonts w:hint="eastAsia" w:ascii="Times New Roman"/>
                <w:sz w:val="21"/>
                <w:szCs w:val="21"/>
                <w:lang w:bidi="zh-TW"/>
              </w:rPr>
              <w:t>4.167</w:t>
            </w:r>
          </w:p>
        </w:tc>
        <w:tc>
          <w:tcPr>
            <w:tcW w:w="798" w:type="dxa"/>
            <w:tcBorders>
              <w:bottom w:val="single" w:color="auto" w:sz="4" w:space="0"/>
            </w:tcBorders>
            <w:vAlign w:val="center"/>
          </w:tcPr>
          <w:p w14:paraId="16B3C746">
            <w:pPr>
              <w:jc w:val="center"/>
              <w:rPr>
                <w:rFonts w:ascii="Times New Roman"/>
                <w:sz w:val="21"/>
                <w:szCs w:val="21"/>
                <w:lang w:bidi="zh-TW"/>
              </w:rPr>
            </w:pPr>
            <w:r>
              <w:rPr>
                <w:rFonts w:hint="eastAsia" w:ascii="Times New Roman"/>
                <w:sz w:val="21"/>
                <w:szCs w:val="21"/>
                <w:lang w:bidi="zh-TW"/>
              </w:rPr>
              <w:t>0.05</w:t>
            </w:r>
          </w:p>
        </w:tc>
        <w:tc>
          <w:tcPr>
            <w:tcW w:w="845" w:type="dxa"/>
            <w:tcBorders>
              <w:bottom w:val="single" w:color="auto" w:sz="4" w:space="0"/>
            </w:tcBorders>
            <w:vAlign w:val="center"/>
          </w:tcPr>
          <w:p w14:paraId="41E1F42D">
            <w:pPr>
              <w:jc w:val="center"/>
              <w:rPr>
                <w:rFonts w:ascii="Times New Roman"/>
                <w:sz w:val="21"/>
                <w:szCs w:val="21"/>
                <w:lang w:bidi="zh-TW"/>
              </w:rPr>
            </w:pPr>
            <w:r>
              <w:rPr>
                <w:rFonts w:hint="eastAsia" w:ascii="Times New Roman"/>
                <w:sz w:val="21"/>
                <w:szCs w:val="21"/>
                <w:lang w:bidi="zh-TW"/>
              </w:rPr>
              <w:t>0.360</w:t>
            </w:r>
          </w:p>
        </w:tc>
        <w:tc>
          <w:tcPr>
            <w:tcW w:w="646" w:type="dxa"/>
            <w:tcBorders>
              <w:bottom w:val="single" w:color="auto" w:sz="4" w:space="0"/>
            </w:tcBorders>
            <w:vAlign w:val="center"/>
          </w:tcPr>
          <w:p w14:paraId="6594E5FE">
            <w:pPr>
              <w:jc w:val="center"/>
              <w:rPr>
                <w:rFonts w:ascii="Times New Roman"/>
                <w:sz w:val="21"/>
                <w:szCs w:val="21"/>
              </w:rPr>
            </w:pPr>
            <w:r>
              <w:rPr>
                <w:rFonts w:hint="eastAsia" w:ascii="Times New Roman"/>
                <w:sz w:val="21"/>
                <w:szCs w:val="21"/>
              </w:rPr>
              <w:t>95</w:t>
            </w:r>
          </w:p>
        </w:tc>
        <w:tc>
          <w:tcPr>
            <w:tcW w:w="774" w:type="dxa"/>
            <w:vMerge w:val="restart"/>
            <w:vAlign w:val="center"/>
          </w:tcPr>
          <w:p w14:paraId="0EAB35A9">
            <w:pPr>
              <w:jc w:val="center"/>
              <w:rPr>
                <w:rFonts w:ascii="Times New Roman"/>
                <w:sz w:val="21"/>
                <w:szCs w:val="21"/>
              </w:rPr>
            </w:pPr>
            <w:r>
              <w:rPr>
                <w:rFonts w:hint="eastAsia" w:ascii="Times New Roman"/>
                <w:kern w:val="0"/>
                <w:sz w:val="21"/>
                <w:szCs w:val="21"/>
              </w:rPr>
              <w:t>水喷淋+</w:t>
            </w:r>
            <w:r>
              <w:rPr>
                <w:rFonts w:ascii="Times New Roman"/>
                <w:kern w:val="0"/>
                <w:sz w:val="21"/>
                <w:szCs w:val="21"/>
              </w:rPr>
              <w:t>二级活性炭吸附装置</w:t>
            </w:r>
          </w:p>
        </w:tc>
        <w:tc>
          <w:tcPr>
            <w:tcW w:w="652" w:type="dxa"/>
            <w:tcBorders>
              <w:bottom w:val="single" w:color="auto" w:sz="4" w:space="0"/>
            </w:tcBorders>
            <w:vAlign w:val="center"/>
          </w:tcPr>
          <w:p w14:paraId="27C3B29D">
            <w:pPr>
              <w:jc w:val="center"/>
              <w:rPr>
                <w:rFonts w:ascii="Times New Roman"/>
                <w:sz w:val="21"/>
                <w:szCs w:val="21"/>
              </w:rPr>
            </w:pPr>
            <w:r>
              <w:rPr>
                <w:rFonts w:hint="eastAsia" w:ascii="Times New Roman"/>
                <w:sz w:val="21"/>
                <w:szCs w:val="21"/>
              </w:rPr>
              <w:t>70</w:t>
            </w:r>
          </w:p>
        </w:tc>
        <w:tc>
          <w:tcPr>
            <w:tcW w:w="832" w:type="dxa"/>
            <w:tcBorders>
              <w:bottom w:val="single" w:color="auto" w:sz="4" w:space="0"/>
            </w:tcBorders>
            <w:vAlign w:val="center"/>
          </w:tcPr>
          <w:p w14:paraId="3D31A3BF">
            <w:pPr>
              <w:jc w:val="center"/>
              <w:rPr>
                <w:rFonts w:ascii="Times New Roman"/>
                <w:sz w:val="21"/>
                <w:szCs w:val="21"/>
                <w:lang w:bidi="zh-TW"/>
              </w:rPr>
            </w:pPr>
            <w:r>
              <w:rPr>
                <w:rFonts w:hint="eastAsia" w:ascii="Times New Roman"/>
                <w:sz w:val="21"/>
                <w:szCs w:val="21"/>
                <w:lang w:bidi="zh-TW"/>
              </w:rPr>
              <w:t>1.188</w:t>
            </w:r>
          </w:p>
        </w:tc>
        <w:tc>
          <w:tcPr>
            <w:tcW w:w="819" w:type="dxa"/>
            <w:tcBorders>
              <w:bottom w:val="single" w:color="auto" w:sz="4" w:space="0"/>
            </w:tcBorders>
            <w:vAlign w:val="center"/>
          </w:tcPr>
          <w:p w14:paraId="0F893D8C">
            <w:pPr>
              <w:jc w:val="center"/>
              <w:rPr>
                <w:rFonts w:ascii="Times New Roman"/>
                <w:sz w:val="21"/>
                <w:szCs w:val="21"/>
                <w:lang w:bidi="zh-TW"/>
              </w:rPr>
            </w:pPr>
            <w:r>
              <w:rPr>
                <w:rFonts w:hint="eastAsia" w:ascii="Times New Roman"/>
                <w:sz w:val="21"/>
                <w:szCs w:val="21"/>
                <w:lang w:bidi="zh-TW"/>
              </w:rPr>
              <w:t>0.014</w:t>
            </w:r>
          </w:p>
        </w:tc>
        <w:tc>
          <w:tcPr>
            <w:tcW w:w="819" w:type="dxa"/>
            <w:tcBorders>
              <w:bottom w:val="single" w:color="auto" w:sz="4" w:space="0"/>
            </w:tcBorders>
            <w:vAlign w:val="center"/>
          </w:tcPr>
          <w:p w14:paraId="789541E7">
            <w:pPr>
              <w:jc w:val="center"/>
              <w:rPr>
                <w:rFonts w:ascii="Times New Roman"/>
                <w:sz w:val="21"/>
                <w:szCs w:val="21"/>
                <w:lang w:bidi="zh-TW"/>
              </w:rPr>
            </w:pPr>
            <w:r>
              <w:rPr>
                <w:rFonts w:hint="eastAsia" w:ascii="Times New Roman"/>
                <w:sz w:val="21"/>
                <w:szCs w:val="21"/>
                <w:lang w:bidi="zh-TW"/>
              </w:rPr>
              <w:t>0.103</w:t>
            </w:r>
          </w:p>
        </w:tc>
        <w:tc>
          <w:tcPr>
            <w:tcW w:w="832" w:type="dxa"/>
            <w:tcBorders>
              <w:bottom w:val="single" w:color="auto" w:sz="4" w:space="0"/>
            </w:tcBorders>
            <w:shd w:val="clear" w:color="auto" w:fill="auto"/>
            <w:vAlign w:val="center"/>
          </w:tcPr>
          <w:p w14:paraId="3CE3DE1C">
            <w:pPr>
              <w:jc w:val="center"/>
              <w:rPr>
                <w:rFonts w:ascii="Times New Roman"/>
                <w:sz w:val="21"/>
                <w:szCs w:val="21"/>
                <w:lang w:bidi="zh-TW"/>
              </w:rPr>
            </w:pPr>
            <w:r>
              <w:rPr>
                <w:rFonts w:hint="eastAsia" w:ascii="Times New Roman"/>
                <w:sz w:val="21"/>
                <w:szCs w:val="21"/>
                <w:lang w:bidi="zh-TW"/>
              </w:rPr>
              <w:t>30</w:t>
            </w:r>
          </w:p>
        </w:tc>
        <w:tc>
          <w:tcPr>
            <w:tcW w:w="519" w:type="dxa"/>
            <w:vMerge w:val="restart"/>
            <w:tcBorders>
              <w:top w:val="single" w:color="auto" w:sz="4" w:space="0"/>
            </w:tcBorders>
            <w:vAlign w:val="center"/>
          </w:tcPr>
          <w:p w14:paraId="5730FABF">
            <w:pPr>
              <w:jc w:val="center"/>
              <w:rPr>
                <w:rFonts w:ascii="Times New Roman"/>
                <w:sz w:val="21"/>
                <w:szCs w:val="21"/>
              </w:rPr>
            </w:pPr>
            <w:r>
              <w:rPr>
                <w:rFonts w:hint="eastAsia" w:ascii="Times New Roman"/>
                <w:sz w:val="21"/>
                <w:szCs w:val="21"/>
              </w:rPr>
              <w:t>22</w:t>
            </w:r>
          </w:p>
        </w:tc>
        <w:tc>
          <w:tcPr>
            <w:tcW w:w="592" w:type="dxa"/>
            <w:vMerge w:val="restart"/>
            <w:tcBorders>
              <w:top w:val="single" w:color="auto" w:sz="4" w:space="0"/>
            </w:tcBorders>
            <w:vAlign w:val="center"/>
          </w:tcPr>
          <w:p w14:paraId="66C512A8">
            <w:pPr>
              <w:jc w:val="center"/>
              <w:rPr>
                <w:rFonts w:ascii="Times New Roman"/>
                <w:sz w:val="21"/>
                <w:szCs w:val="21"/>
              </w:rPr>
            </w:pPr>
          </w:p>
        </w:tc>
        <w:tc>
          <w:tcPr>
            <w:tcW w:w="603" w:type="dxa"/>
            <w:vMerge w:val="restart"/>
            <w:tcBorders>
              <w:top w:val="single" w:color="auto" w:sz="4" w:space="0"/>
            </w:tcBorders>
            <w:vAlign w:val="center"/>
          </w:tcPr>
          <w:p w14:paraId="4D5DD128">
            <w:pPr>
              <w:jc w:val="center"/>
              <w:rPr>
                <w:rFonts w:ascii="Times New Roman"/>
                <w:sz w:val="21"/>
                <w:szCs w:val="21"/>
              </w:rPr>
            </w:pPr>
          </w:p>
        </w:tc>
        <w:tc>
          <w:tcPr>
            <w:tcW w:w="602" w:type="dxa"/>
            <w:vMerge w:val="restart"/>
            <w:tcBorders>
              <w:top w:val="single" w:color="auto" w:sz="4" w:space="0"/>
              <w:bottom w:val="single" w:color="auto" w:sz="4" w:space="0"/>
            </w:tcBorders>
            <w:vAlign w:val="center"/>
          </w:tcPr>
          <w:p w14:paraId="62BB3000">
            <w:pPr>
              <w:jc w:val="center"/>
              <w:rPr>
                <w:rFonts w:ascii="Times New Roman"/>
                <w:sz w:val="21"/>
                <w:szCs w:val="21"/>
              </w:rPr>
            </w:pPr>
            <w:r>
              <w:rPr>
                <w:rFonts w:hint="eastAsia" w:ascii="Times New Roman"/>
                <w:sz w:val="21"/>
                <w:szCs w:val="21"/>
              </w:rPr>
              <w:t>3000</w:t>
            </w:r>
          </w:p>
        </w:tc>
      </w:tr>
      <w:tr w14:paraId="151FD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jc w:val="center"/>
        </w:trPr>
        <w:tc>
          <w:tcPr>
            <w:tcW w:w="969" w:type="dxa"/>
            <w:vMerge w:val="continue"/>
            <w:shd w:val="clear" w:color="auto" w:fill="auto"/>
            <w:vAlign w:val="center"/>
          </w:tcPr>
          <w:p w14:paraId="07641AE9">
            <w:pPr>
              <w:jc w:val="center"/>
              <w:rPr>
                <w:rFonts w:ascii="Times New Roman"/>
                <w:sz w:val="21"/>
                <w:szCs w:val="21"/>
              </w:rPr>
            </w:pPr>
          </w:p>
        </w:tc>
        <w:tc>
          <w:tcPr>
            <w:tcW w:w="967" w:type="dxa"/>
            <w:tcBorders>
              <w:top w:val="single" w:color="auto" w:sz="4" w:space="0"/>
              <w:bottom w:val="single" w:color="auto" w:sz="4" w:space="0"/>
            </w:tcBorders>
            <w:shd w:val="clear" w:color="auto" w:fill="auto"/>
            <w:vAlign w:val="center"/>
          </w:tcPr>
          <w:p w14:paraId="161776D5">
            <w:pPr>
              <w:jc w:val="center"/>
              <w:rPr>
                <w:rFonts w:ascii="Times New Roman"/>
                <w:sz w:val="21"/>
                <w:szCs w:val="21"/>
              </w:rPr>
            </w:pPr>
            <w:r>
              <w:rPr>
                <w:rFonts w:ascii="Times New Roman"/>
                <w:sz w:val="21"/>
                <w:szCs w:val="21"/>
              </w:rPr>
              <w:t>颗粒物</w:t>
            </w:r>
          </w:p>
        </w:tc>
        <w:tc>
          <w:tcPr>
            <w:tcW w:w="943" w:type="dxa"/>
            <w:vMerge w:val="continue"/>
            <w:vAlign w:val="center"/>
          </w:tcPr>
          <w:p w14:paraId="6EDFEC22">
            <w:pPr>
              <w:jc w:val="center"/>
              <w:rPr>
                <w:rFonts w:ascii="Times New Roman"/>
                <w:sz w:val="21"/>
                <w:szCs w:val="21"/>
              </w:rPr>
            </w:pPr>
          </w:p>
        </w:tc>
        <w:tc>
          <w:tcPr>
            <w:tcW w:w="874" w:type="dxa"/>
            <w:tcBorders>
              <w:top w:val="single" w:color="auto" w:sz="4" w:space="0"/>
              <w:bottom w:val="single" w:color="auto" w:sz="4" w:space="0"/>
            </w:tcBorders>
            <w:shd w:val="clear" w:color="auto" w:fill="auto"/>
            <w:vAlign w:val="center"/>
          </w:tcPr>
          <w:p w14:paraId="1CF8013E">
            <w:pPr>
              <w:jc w:val="center"/>
              <w:rPr>
                <w:rFonts w:ascii="Times New Roman"/>
                <w:sz w:val="21"/>
                <w:szCs w:val="21"/>
                <w:lang w:bidi="zh-TW"/>
              </w:rPr>
            </w:pPr>
            <w:r>
              <w:rPr>
                <w:rFonts w:hint="eastAsia" w:ascii="Times New Roman"/>
                <w:sz w:val="21"/>
                <w:szCs w:val="21"/>
                <w:lang w:bidi="zh-TW"/>
              </w:rPr>
              <w:t>21.025</w:t>
            </w:r>
          </w:p>
        </w:tc>
        <w:tc>
          <w:tcPr>
            <w:tcW w:w="798" w:type="dxa"/>
            <w:tcBorders>
              <w:top w:val="single" w:color="auto" w:sz="4" w:space="0"/>
              <w:bottom w:val="single" w:color="auto" w:sz="4" w:space="0"/>
            </w:tcBorders>
            <w:shd w:val="clear" w:color="auto" w:fill="auto"/>
            <w:vAlign w:val="center"/>
          </w:tcPr>
          <w:p w14:paraId="090BC67B">
            <w:pPr>
              <w:jc w:val="center"/>
              <w:rPr>
                <w:rFonts w:ascii="Times New Roman"/>
                <w:sz w:val="21"/>
                <w:szCs w:val="21"/>
                <w:lang w:bidi="zh-TW"/>
              </w:rPr>
            </w:pPr>
            <w:r>
              <w:rPr>
                <w:rFonts w:hint="eastAsia" w:ascii="Times New Roman"/>
                <w:sz w:val="21"/>
                <w:szCs w:val="21"/>
                <w:lang w:bidi="zh-TW"/>
              </w:rPr>
              <w:t>0.143</w:t>
            </w:r>
          </w:p>
        </w:tc>
        <w:tc>
          <w:tcPr>
            <w:tcW w:w="845" w:type="dxa"/>
            <w:tcBorders>
              <w:top w:val="single" w:color="auto" w:sz="4" w:space="0"/>
              <w:bottom w:val="single" w:color="auto" w:sz="4" w:space="0"/>
            </w:tcBorders>
            <w:shd w:val="clear" w:color="auto" w:fill="auto"/>
            <w:vAlign w:val="center"/>
          </w:tcPr>
          <w:p w14:paraId="73132536">
            <w:pPr>
              <w:jc w:val="center"/>
              <w:rPr>
                <w:rFonts w:ascii="Times New Roman"/>
                <w:sz w:val="21"/>
                <w:szCs w:val="21"/>
                <w:lang w:bidi="zh-TW"/>
              </w:rPr>
            </w:pPr>
            <w:r>
              <w:rPr>
                <w:rFonts w:hint="eastAsia" w:ascii="Times New Roman"/>
                <w:sz w:val="21"/>
                <w:szCs w:val="21"/>
              </w:rPr>
              <w:t>1.033</w:t>
            </w:r>
          </w:p>
        </w:tc>
        <w:tc>
          <w:tcPr>
            <w:tcW w:w="646" w:type="dxa"/>
            <w:vMerge w:val="restart"/>
            <w:tcBorders>
              <w:top w:val="single" w:color="auto" w:sz="4" w:space="0"/>
            </w:tcBorders>
            <w:vAlign w:val="center"/>
          </w:tcPr>
          <w:p w14:paraId="0DD0812E">
            <w:pPr>
              <w:jc w:val="center"/>
              <w:rPr>
                <w:rFonts w:ascii="Times New Roman"/>
                <w:sz w:val="21"/>
                <w:szCs w:val="21"/>
              </w:rPr>
            </w:pPr>
            <w:r>
              <w:rPr>
                <w:rFonts w:hint="eastAsia" w:ascii="Times New Roman"/>
                <w:sz w:val="21"/>
                <w:szCs w:val="21"/>
              </w:rPr>
              <w:t>100</w:t>
            </w:r>
          </w:p>
        </w:tc>
        <w:tc>
          <w:tcPr>
            <w:tcW w:w="774" w:type="dxa"/>
            <w:vMerge w:val="continue"/>
            <w:vAlign w:val="center"/>
          </w:tcPr>
          <w:p w14:paraId="3059DADF">
            <w:pPr>
              <w:jc w:val="center"/>
              <w:rPr>
                <w:rFonts w:ascii="Times New Roman"/>
                <w:kern w:val="0"/>
                <w:sz w:val="21"/>
                <w:szCs w:val="21"/>
              </w:rPr>
            </w:pPr>
          </w:p>
        </w:tc>
        <w:tc>
          <w:tcPr>
            <w:tcW w:w="652" w:type="dxa"/>
            <w:tcBorders>
              <w:top w:val="single" w:color="auto" w:sz="4" w:space="0"/>
              <w:bottom w:val="single" w:color="auto" w:sz="4" w:space="0"/>
            </w:tcBorders>
            <w:shd w:val="clear" w:color="auto" w:fill="auto"/>
            <w:vAlign w:val="center"/>
          </w:tcPr>
          <w:p w14:paraId="5B45D808">
            <w:pPr>
              <w:jc w:val="center"/>
              <w:rPr>
                <w:rFonts w:ascii="Times New Roman" w:eastAsia="Times New Roman"/>
                <w:sz w:val="21"/>
                <w:szCs w:val="21"/>
              </w:rPr>
            </w:pPr>
            <w:r>
              <w:rPr>
                <w:rFonts w:ascii="Times New Roman" w:eastAsia="Times New Roman"/>
                <w:sz w:val="21"/>
                <w:szCs w:val="21"/>
              </w:rPr>
              <w:t>0</w:t>
            </w:r>
          </w:p>
        </w:tc>
        <w:tc>
          <w:tcPr>
            <w:tcW w:w="832" w:type="dxa"/>
            <w:tcBorders>
              <w:top w:val="single" w:color="auto" w:sz="4" w:space="0"/>
              <w:bottom w:val="single" w:color="auto" w:sz="4" w:space="0"/>
            </w:tcBorders>
            <w:shd w:val="clear" w:color="auto" w:fill="auto"/>
            <w:vAlign w:val="center"/>
          </w:tcPr>
          <w:p w14:paraId="11CEF37F">
            <w:pPr>
              <w:jc w:val="center"/>
              <w:rPr>
                <w:rFonts w:ascii="Times New Roman"/>
                <w:sz w:val="21"/>
                <w:szCs w:val="21"/>
                <w:lang w:bidi="zh-TW"/>
              </w:rPr>
            </w:pPr>
            <w:r>
              <w:rPr>
                <w:rFonts w:hint="eastAsia" w:ascii="Times New Roman"/>
                <w:sz w:val="21"/>
                <w:szCs w:val="21"/>
                <w:lang w:bidi="zh-TW"/>
              </w:rPr>
              <w:t>21.025</w:t>
            </w:r>
          </w:p>
        </w:tc>
        <w:tc>
          <w:tcPr>
            <w:tcW w:w="819" w:type="dxa"/>
            <w:tcBorders>
              <w:top w:val="single" w:color="auto" w:sz="4" w:space="0"/>
              <w:bottom w:val="single" w:color="auto" w:sz="4" w:space="0"/>
            </w:tcBorders>
            <w:shd w:val="clear" w:color="auto" w:fill="auto"/>
            <w:vAlign w:val="center"/>
          </w:tcPr>
          <w:p w14:paraId="11ED4702">
            <w:pPr>
              <w:jc w:val="center"/>
              <w:rPr>
                <w:rFonts w:ascii="Times New Roman"/>
                <w:sz w:val="21"/>
                <w:szCs w:val="21"/>
                <w:lang w:bidi="zh-TW"/>
              </w:rPr>
            </w:pPr>
            <w:r>
              <w:rPr>
                <w:rFonts w:hint="eastAsia" w:ascii="Times New Roman"/>
                <w:sz w:val="21"/>
                <w:szCs w:val="21"/>
                <w:lang w:bidi="zh-TW"/>
              </w:rPr>
              <w:t>0.143</w:t>
            </w:r>
          </w:p>
        </w:tc>
        <w:tc>
          <w:tcPr>
            <w:tcW w:w="819" w:type="dxa"/>
            <w:tcBorders>
              <w:top w:val="single" w:color="auto" w:sz="4" w:space="0"/>
              <w:bottom w:val="single" w:color="auto" w:sz="4" w:space="0"/>
            </w:tcBorders>
            <w:shd w:val="clear" w:color="auto" w:fill="auto"/>
            <w:vAlign w:val="center"/>
          </w:tcPr>
          <w:p w14:paraId="44BA4990">
            <w:pPr>
              <w:jc w:val="center"/>
              <w:rPr>
                <w:rFonts w:ascii="Times New Roman"/>
                <w:sz w:val="21"/>
                <w:szCs w:val="21"/>
                <w:lang w:bidi="zh-TW"/>
              </w:rPr>
            </w:pPr>
            <w:r>
              <w:rPr>
                <w:rFonts w:hint="eastAsia" w:ascii="Times New Roman"/>
                <w:sz w:val="21"/>
                <w:szCs w:val="21"/>
              </w:rPr>
              <w:t>1.033</w:t>
            </w:r>
          </w:p>
        </w:tc>
        <w:tc>
          <w:tcPr>
            <w:tcW w:w="832" w:type="dxa"/>
            <w:tcBorders>
              <w:top w:val="single" w:color="auto" w:sz="4" w:space="0"/>
              <w:bottom w:val="single" w:color="auto" w:sz="4" w:space="0"/>
            </w:tcBorders>
            <w:shd w:val="clear" w:color="auto" w:fill="auto"/>
            <w:vAlign w:val="center"/>
          </w:tcPr>
          <w:p w14:paraId="7AEE7275">
            <w:pPr>
              <w:jc w:val="center"/>
              <w:rPr>
                <w:rFonts w:ascii="Times New Roman"/>
                <w:sz w:val="21"/>
                <w:szCs w:val="21"/>
              </w:rPr>
            </w:pPr>
            <w:r>
              <w:rPr>
                <w:rFonts w:hint="eastAsia" w:ascii="Times New Roman"/>
                <w:sz w:val="21"/>
                <w:szCs w:val="21"/>
              </w:rPr>
              <w:t>30</w:t>
            </w:r>
          </w:p>
        </w:tc>
        <w:tc>
          <w:tcPr>
            <w:tcW w:w="519" w:type="dxa"/>
            <w:vMerge w:val="continue"/>
            <w:tcBorders>
              <w:top w:val="single" w:color="auto" w:sz="4" w:space="0"/>
              <w:bottom w:val="single" w:color="auto" w:sz="4" w:space="0"/>
            </w:tcBorders>
            <w:vAlign w:val="center"/>
          </w:tcPr>
          <w:p w14:paraId="46DB12A6">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7E11DCEB">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74A9C2FB">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2BF6849F">
            <w:pPr>
              <w:jc w:val="center"/>
              <w:rPr>
                <w:rFonts w:ascii="Times New Roman"/>
                <w:sz w:val="21"/>
                <w:szCs w:val="21"/>
              </w:rPr>
            </w:pPr>
          </w:p>
        </w:tc>
      </w:tr>
      <w:tr w14:paraId="223DB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 w:hRule="atLeast"/>
          <w:jc w:val="center"/>
        </w:trPr>
        <w:tc>
          <w:tcPr>
            <w:tcW w:w="969" w:type="dxa"/>
            <w:vMerge w:val="continue"/>
            <w:shd w:val="clear" w:color="auto" w:fill="auto"/>
            <w:vAlign w:val="center"/>
          </w:tcPr>
          <w:p w14:paraId="5ACCCD26">
            <w:pPr>
              <w:jc w:val="center"/>
              <w:rPr>
                <w:rFonts w:ascii="Times New Roman"/>
                <w:sz w:val="21"/>
                <w:szCs w:val="21"/>
              </w:rPr>
            </w:pPr>
          </w:p>
        </w:tc>
        <w:tc>
          <w:tcPr>
            <w:tcW w:w="967" w:type="dxa"/>
            <w:tcBorders>
              <w:top w:val="single" w:color="auto" w:sz="4" w:space="0"/>
              <w:bottom w:val="single" w:color="auto" w:sz="4" w:space="0"/>
            </w:tcBorders>
            <w:shd w:val="clear" w:color="auto" w:fill="auto"/>
            <w:vAlign w:val="center"/>
          </w:tcPr>
          <w:p w14:paraId="3E78F04B">
            <w:pPr>
              <w:jc w:val="center"/>
              <w:rPr>
                <w:rFonts w:ascii="Times New Roman" w:eastAsia="Times New Roman"/>
                <w:sz w:val="21"/>
                <w:szCs w:val="21"/>
              </w:rPr>
            </w:pPr>
            <w:r>
              <w:rPr>
                <w:rFonts w:ascii="Times New Roman" w:eastAsia="Times New Roman"/>
                <w:sz w:val="21"/>
                <w:szCs w:val="21"/>
              </w:rPr>
              <w:t>SO</w:t>
            </w:r>
            <w:r>
              <w:rPr>
                <w:rFonts w:ascii="Times New Roman" w:eastAsia="Times New Roman"/>
                <w:sz w:val="21"/>
                <w:szCs w:val="21"/>
                <w:vertAlign w:val="subscript"/>
              </w:rPr>
              <w:t>2</w:t>
            </w:r>
          </w:p>
        </w:tc>
        <w:tc>
          <w:tcPr>
            <w:tcW w:w="943" w:type="dxa"/>
            <w:vMerge w:val="continue"/>
            <w:vAlign w:val="center"/>
          </w:tcPr>
          <w:p w14:paraId="3BF1A587">
            <w:pPr>
              <w:jc w:val="center"/>
              <w:rPr>
                <w:rFonts w:ascii="Times New Roman"/>
                <w:sz w:val="21"/>
                <w:szCs w:val="21"/>
              </w:rPr>
            </w:pPr>
          </w:p>
        </w:tc>
        <w:tc>
          <w:tcPr>
            <w:tcW w:w="874" w:type="dxa"/>
            <w:tcBorders>
              <w:top w:val="single" w:color="auto" w:sz="4" w:space="0"/>
              <w:bottom w:val="single" w:color="auto" w:sz="4" w:space="0"/>
            </w:tcBorders>
            <w:shd w:val="clear" w:color="auto" w:fill="auto"/>
            <w:vAlign w:val="center"/>
          </w:tcPr>
          <w:p w14:paraId="051E2019">
            <w:pPr>
              <w:jc w:val="center"/>
              <w:rPr>
                <w:rFonts w:ascii="Times New Roman"/>
                <w:sz w:val="21"/>
                <w:szCs w:val="21"/>
                <w:lang w:bidi="zh-TW"/>
              </w:rPr>
            </w:pPr>
            <w:r>
              <w:rPr>
                <w:rFonts w:hint="eastAsia" w:ascii="Times New Roman"/>
                <w:sz w:val="21"/>
                <w:szCs w:val="21"/>
                <w:lang w:bidi="zh-TW"/>
              </w:rPr>
              <w:t>0.651</w:t>
            </w:r>
          </w:p>
        </w:tc>
        <w:tc>
          <w:tcPr>
            <w:tcW w:w="798" w:type="dxa"/>
            <w:tcBorders>
              <w:top w:val="single" w:color="auto" w:sz="4" w:space="0"/>
              <w:bottom w:val="single" w:color="auto" w:sz="4" w:space="0"/>
            </w:tcBorders>
            <w:shd w:val="clear" w:color="auto" w:fill="auto"/>
            <w:vAlign w:val="center"/>
          </w:tcPr>
          <w:p w14:paraId="3EC5943A">
            <w:pPr>
              <w:jc w:val="center"/>
              <w:rPr>
                <w:rFonts w:ascii="Times New Roman"/>
                <w:sz w:val="21"/>
                <w:szCs w:val="21"/>
                <w:lang w:bidi="zh-TW"/>
              </w:rPr>
            </w:pPr>
            <w:r>
              <w:rPr>
                <w:rFonts w:hint="eastAsia" w:ascii="Times New Roman"/>
                <w:sz w:val="21"/>
                <w:szCs w:val="21"/>
                <w:lang w:bidi="zh-TW"/>
              </w:rPr>
              <w:t>0.004</w:t>
            </w:r>
          </w:p>
        </w:tc>
        <w:tc>
          <w:tcPr>
            <w:tcW w:w="845" w:type="dxa"/>
            <w:tcBorders>
              <w:top w:val="single" w:color="auto" w:sz="4" w:space="0"/>
              <w:bottom w:val="single" w:color="auto" w:sz="4" w:space="0"/>
            </w:tcBorders>
            <w:shd w:val="clear" w:color="auto" w:fill="auto"/>
            <w:vAlign w:val="center"/>
          </w:tcPr>
          <w:p w14:paraId="3D978BB2">
            <w:pPr>
              <w:jc w:val="center"/>
              <w:rPr>
                <w:rFonts w:ascii="Times New Roman"/>
                <w:sz w:val="21"/>
                <w:szCs w:val="21"/>
                <w:lang w:bidi="zh-TW"/>
              </w:rPr>
            </w:pPr>
            <w:r>
              <w:rPr>
                <w:rFonts w:hint="eastAsia" w:ascii="Times New Roman"/>
                <w:sz w:val="21"/>
                <w:szCs w:val="21"/>
              </w:rPr>
              <w:t>0.032</w:t>
            </w:r>
          </w:p>
        </w:tc>
        <w:tc>
          <w:tcPr>
            <w:tcW w:w="646" w:type="dxa"/>
            <w:vMerge w:val="continue"/>
            <w:vAlign w:val="center"/>
          </w:tcPr>
          <w:p w14:paraId="46F142C8">
            <w:pPr>
              <w:jc w:val="center"/>
              <w:rPr>
                <w:rFonts w:ascii="Times New Roman"/>
                <w:sz w:val="21"/>
                <w:szCs w:val="21"/>
              </w:rPr>
            </w:pPr>
          </w:p>
        </w:tc>
        <w:tc>
          <w:tcPr>
            <w:tcW w:w="774" w:type="dxa"/>
            <w:vMerge w:val="continue"/>
            <w:vAlign w:val="center"/>
          </w:tcPr>
          <w:p w14:paraId="618BF4A5">
            <w:pPr>
              <w:jc w:val="center"/>
              <w:rPr>
                <w:rFonts w:ascii="Times New Roman"/>
                <w:kern w:val="0"/>
                <w:sz w:val="21"/>
                <w:szCs w:val="21"/>
              </w:rPr>
            </w:pPr>
          </w:p>
        </w:tc>
        <w:tc>
          <w:tcPr>
            <w:tcW w:w="652" w:type="dxa"/>
            <w:tcBorders>
              <w:top w:val="single" w:color="auto" w:sz="4" w:space="0"/>
              <w:bottom w:val="single" w:color="auto" w:sz="4" w:space="0"/>
            </w:tcBorders>
            <w:shd w:val="clear" w:color="auto" w:fill="auto"/>
            <w:vAlign w:val="center"/>
          </w:tcPr>
          <w:p w14:paraId="3279CC81">
            <w:pPr>
              <w:jc w:val="center"/>
              <w:rPr>
                <w:rFonts w:ascii="Times New Roman" w:eastAsia="Times New Roman"/>
                <w:sz w:val="21"/>
                <w:szCs w:val="21"/>
              </w:rPr>
            </w:pPr>
            <w:r>
              <w:rPr>
                <w:rFonts w:ascii="Times New Roman" w:eastAsia="Times New Roman"/>
                <w:sz w:val="21"/>
                <w:szCs w:val="21"/>
              </w:rPr>
              <w:t>0</w:t>
            </w:r>
          </w:p>
        </w:tc>
        <w:tc>
          <w:tcPr>
            <w:tcW w:w="832" w:type="dxa"/>
            <w:tcBorders>
              <w:top w:val="single" w:color="auto" w:sz="4" w:space="0"/>
              <w:bottom w:val="single" w:color="auto" w:sz="4" w:space="0"/>
            </w:tcBorders>
            <w:shd w:val="clear" w:color="auto" w:fill="auto"/>
            <w:vAlign w:val="center"/>
          </w:tcPr>
          <w:p w14:paraId="22213F16">
            <w:pPr>
              <w:jc w:val="center"/>
              <w:rPr>
                <w:rFonts w:ascii="Times New Roman"/>
                <w:sz w:val="21"/>
                <w:szCs w:val="21"/>
                <w:lang w:bidi="zh-TW"/>
              </w:rPr>
            </w:pPr>
            <w:r>
              <w:rPr>
                <w:rFonts w:hint="eastAsia" w:ascii="Times New Roman"/>
                <w:sz w:val="21"/>
                <w:szCs w:val="21"/>
                <w:lang w:bidi="zh-TW"/>
              </w:rPr>
              <w:t>0.651</w:t>
            </w:r>
          </w:p>
        </w:tc>
        <w:tc>
          <w:tcPr>
            <w:tcW w:w="819" w:type="dxa"/>
            <w:tcBorders>
              <w:top w:val="single" w:color="auto" w:sz="4" w:space="0"/>
              <w:bottom w:val="single" w:color="auto" w:sz="4" w:space="0"/>
            </w:tcBorders>
            <w:shd w:val="clear" w:color="auto" w:fill="auto"/>
            <w:vAlign w:val="center"/>
          </w:tcPr>
          <w:p w14:paraId="1880370A">
            <w:pPr>
              <w:jc w:val="center"/>
              <w:rPr>
                <w:rFonts w:ascii="Times New Roman"/>
                <w:sz w:val="21"/>
                <w:szCs w:val="21"/>
                <w:lang w:bidi="zh-TW"/>
              </w:rPr>
            </w:pPr>
            <w:r>
              <w:rPr>
                <w:rFonts w:hint="eastAsia" w:ascii="Times New Roman"/>
                <w:sz w:val="21"/>
                <w:szCs w:val="21"/>
                <w:lang w:bidi="zh-TW"/>
              </w:rPr>
              <w:t>0.004</w:t>
            </w:r>
          </w:p>
        </w:tc>
        <w:tc>
          <w:tcPr>
            <w:tcW w:w="819" w:type="dxa"/>
            <w:tcBorders>
              <w:top w:val="single" w:color="auto" w:sz="4" w:space="0"/>
              <w:bottom w:val="single" w:color="auto" w:sz="4" w:space="0"/>
            </w:tcBorders>
            <w:shd w:val="clear" w:color="auto" w:fill="auto"/>
            <w:vAlign w:val="center"/>
          </w:tcPr>
          <w:p w14:paraId="38E33210">
            <w:pPr>
              <w:jc w:val="center"/>
              <w:rPr>
                <w:rFonts w:ascii="Times New Roman"/>
                <w:sz w:val="21"/>
                <w:szCs w:val="21"/>
                <w:lang w:bidi="zh-TW"/>
              </w:rPr>
            </w:pPr>
            <w:r>
              <w:rPr>
                <w:rFonts w:hint="eastAsia" w:ascii="Times New Roman"/>
                <w:sz w:val="21"/>
                <w:szCs w:val="21"/>
              </w:rPr>
              <w:t>0.032</w:t>
            </w:r>
          </w:p>
        </w:tc>
        <w:tc>
          <w:tcPr>
            <w:tcW w:w="832" w:type="dxa"/>
            <w:tcBorders>
              <w:top w:val="single" w:color="auto" w:sz="4" w:space="0"/>
              <w:bottom w:val="single" w:color="auto" w:sz="4" w:space="0"/>
            </w:tcBorders>
            <w:shd w:val="clear" w:color="auto" w:fill="auto"/>
            <w:vAlign w:val="center"/>
          </w:tcPr>
          <w:p w14:paraId="6E1C9AF1">
            <w:pPr>
              <w:jc w:val="center"/>
              <w:rPr>
                <w:rFonts w:ascii="Times New Roman"/>
                <w:sz w:val="21"/>
                <w:szCs w:val="21"/>
              </w:rPr>
            </w:pPr>
            <w:r>
              <w:rPr>
                <w:rFonts w:hint="eastAsia" w:ascii="Times New Roman"/>
                <w:sz w:val="21"/>
                <w:szCs w:val="21"/>
              </w:rPr>
              <w:t>200</w:t>
            </w:r>
          </w:p>
        </w:tc>
        <w:tc>
          <w:tcPr>
            <w:tcW w:w="519" w:type="dxa"/>
            <w:vMerge w:val="continue"/>
            <w:tcBorders>
              <w:top w:val="single" w:color="auto" w:sz="4" w:space="0"/>
              <w:bottom w:val="single" w:color="auto" w:sz="4" w:space="0"/>
            </w:tcBorders>
            <w:vAlign w:val="center"/>
          </w:tcPr>
          <w:p w14:paraId="46BE7C08">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2F0C7C30">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3A4A20A1">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4188E510">
            <w:pPr>
              <w:jc w:val="center"/>
              <w:rPr>
                <w:rFonts w:ascii="Times New Roman"/>
                <w:sz w:val="21"/>
                <w:szCs w:val="21"/>
              </w:rPr>
            </w:pPr>
          </w:p>
        </w:tc>
      </w:tr>
      <w:tr w14:paraId="266D8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jc w:val="center"/>
        </w:trPr>
        <w:tc>
          <w:tcPr>
            <w:tcW w:w="969" w:type="dxa"/>
            <w:vMerge w:val="continue"/>
            <w:shd w:val="clear" w:color="auto" w:fill="auto"/>
            <w:vAlign w:val="center"/>
          </w:tcPr>
          <w:p w14:paraId="560E2796">
            <w:pPr>
              <w:jc w:val="center"/>
              <w:rPr>
                <w:rFonts w:ascii="Times New Roman"/>
                <w:sz w:val="21"/>
                <w:szCs w:val="21"/>
              </w:rPr>
            </w:pPr>
          </w:p>
        </w:tc>
        <w:tc>
          <w:tcPr>
            <w:tcW w:w="967" w:type="dxa"/>
            <w:tcBorders>
              <w:top w:val="single" w:color="auto" w:sz="4" w:space="0"/>
              <w:bottom w:val="single" w:color="auto" w:sz="4" w:space="0"/>
            </w:tcBorders>
            <w:shd w:val="clear" w:color="auto" w:fill="auto"/>
            <w:vAlign w:val="center"/>
          </w:tcPr>
          <w:p w14:paraId="1FB9A597">
            <w:pPr>
              <w:jc w:val="center"/>
              <w:rPr>
                <w:rFonts w:ascii="Times New Roman" w:eastAsia="Times New Roman"/>
                <w:sz w:val="21"/>
                <w:szCs w:val="21"/>
              </w:rPr>
            </w:pPr>
            <w:r>
              <w:rPr>
                <w:rFonts w:ascii="Times New Roman" w:eastAsia="Times New Roman"/>
                <w:sz w:val="21"/>
                <w:szCs w:val="21"/>
              </w:rPr>
              <w:t>NO</w:t>
            </w:r>
            <w:r>
              <w:rPr>
                <w:rFonts w:ascii="Times New Roman" w:eastAsia="Times New Roman"/>
                <w:sz w:val="21"/>
                <w:szCs w:val="21"/>
                <w:vertAlign w:val="subscript"/>
              </w:rPr>
              <w:t>X</w:t>
            </w:r>
          </w:p>
        </w:tc>
        <w:tc>
          <w:tcPr>
            <w:tcW w:w="943" w:type="dxa"/>
            <w:vMerge w:val="continue"/>
            <w:vAlign w:val="center"/>
          </w:tcPr>
          <w:p w14:paraId="66144C66">
            <w:pPr>
              <w:jc w:val="center"/>
              <w:rPr>
                <w:rFonts w:ascii="Times New Roman"/>
                <w:sz w:val="21"/>
                <w:szCs w:val="21"/>
              </w:rPr>
            </w:pPr>
          </w:p>
        </w:tc>
        <w:tc>
          <w:tcPr>
            <w:tcW w:w="874" w:type="dxa"/>
            <w:tcBorders>
              <w:top w:val="single" w:color="auto" w:sz="4" w:space="0"/>
              <w:bottom w:val="single" w:color="auto" w:sz="4" w:space="0"/>
            </w:tcBorders>
            <w:shd w:val="clear" w:color="auto" w:fill="auto"/>
            <w:vAlign w:val="center"/>
          </w:tcPr>
          <w:p w14:paraId="4138A7D0">
            <w:pPr>
              <w:jc w:val="center"/>
              <w:rPr>
                <w:rFonts w:ascii="Times New Roman"/>
                <w:sz w:val="21"/>
                <w:szCs w:val="21"/>
                <w:lang w:bidi="zh-TW"/>
              </w:rPr>
            </w:pPr>
            <w:r>
              <w:rPr>
                <w:rFonts w:hint="eastAsia" w:ascii="Times New Roman"/>
                <w:sz w:val="21"/>
                <w:szCs w:val="21"/>
              </w:rPr>
              <w:t>137.505</w:t>
            </w:r>
          </w:p>
        </w:tc>
        <w:tc>
          <w:tcPr>
            <w:tcW w:w="798" w:type="dxa"/>
            <w:tcBorders>
              <w:top w:val="single" w:color="auto" w:sz="4" w:space="0"/>
              <w:bottom w:val="single" w:color="auto" w:sz="4" w:space="0"/>
            </w:tcBorders>
            <w:shd w:val="clear" w:color="auto" w:fill="auto"/>
            <w:vAlign w:val="center"/>
          </w:tcPr>
          <w:p w14:paraId="57261DCE">
            <w:pPr>
              <w:jc w:val="center"/>
              <w:rPr>
                <w:rFonts w:ascii="Times New Roman"/>
                <w:sz w:val="21"/>
                <w:szCs w:val="21"/>
                <w:lang w:bidi="zh-TW"/>
              </w:rPr>
            </w:pPr>
            <w:r>
              <w:rPr>
                <w:rFonts w:hint="eastAsia" w:ascii="Times New Roman"/>
                <w:sz w:val="21"/>
                <w:szCs w:val="21"/>
                <w:lang w:bidi="zh-TW"/>
              </w:rPr>
              <w:t>0.938</w:t>
            </w:r>
          </w:p>
        </w:tc>
        <w:tc>
          <w:tcPr>
            <w:tcW w:w="845" w:type="dxa"/>
            <w:tcBorders>
              <w:top w:val="single" w:color="auto" w:sz="4" w:space="0"/>
              <w:bottom w:val="single" w:color="auto" w:sz="4" w:space="0"/>
            </w:tcBorders>
            <w:shd w:val="clear" w:color="auto" w:fill="auto"/>
            <w:vAlign w:val="center"/>
          </w:tcPr>
          <w:p w14:paraId="54B56720">
            <w:pPr>
              <w:jc w:val="center"/>
              <w:rPr>
                <w:rFonts w:ascii="Times New Roman"/>
                <w:sz w:val="21"/>
                <w:szCs w:val="21"/>
                <w:lang w:bidi="zh-TW"/>
              </w:rPr>
            </w:pPr>
            <w:r>
              <w:rPr>
                <w:rFonts w:hint="eastAsia" w:ascii="Times New Roman"/>
                <w:sz w:val="21"/>
                <w:szCs w:val="21"/>
              </w:rPr>
              <w:t>6.756</w:t>
            </w:r>
          </w:p>
        </w:tc>
        <w:tc>
          <w:tcPr>
            <w:tcW w:w="646" w:type="dxa"/>
            <w:vMerge w:val="continue"/>
            <w:vAlign w:val="center"/>
          </w:tcPr>
          <w:p w14:paraId="611CDAD8">
            <w:pPr>
              <w:jc w:val="center"/>
              <w:rPr>
                <w:rFonts w:ascii="Times New Roman"/>
                <w:sz w:val="21"/>
                <w:szCs w:val="21"/>
              </w:rPr>
            </w:pPr>
          </w:p>
        </w:tc>
        <w:tc>
          <w:tcPr>
            <w:tcW w:w="774" w:type="dxa"/>
            <w:vMerge w:val="continue"/>
            <w:vAlign w:val="center"/>
          </w:tcPr>
          <w:p w14:paraId="67D6FB65">
            <w:pPr>
              <w:jc w:val="center"/>
              <w:rPr>
                <w:rFonts w:ascii="Times New Roman"/>
                <w:kern w:val="0"/>
                <w:sz w:val="21"/>
                <w:szCs w:val="21"/>
              </w:rPr>
            </w:pPr>
          </w:p>
        </w:tc>
        <w:tc>
          <w:tcPr>
            <w:tcW w:w="652" w:type="dxa"/>
            <w:tcBorders>
              <w:top w:val="single" w:color="auto" w:sz="4" w:space="0"/>
              <w:bottom w:val="single" w:color="auto" w:sz="4" w:space="0"/>
            </w:tcBorders>
            <w:shd w:val="clear" w:color="auto" w:fill="auto"/>
            <w:vAlign w:val="center"/>
          </w:tcPr>
          <w:p w14:paraId="03A93C54">
            <w:pPr>
              <w:jc w:val="center"/>
              <w:rPr>
                <w:rFonts w:ascii="Times New Roman"/>
                <w:sz w:val="21"/>
                <w:szCs w:val="21"/>
              </w:rPr>
            </w:pPr>
            <w:r>
              <w:rPr>
                <w:rFonts w:hint="eastAsia" w:ascii="Times New Roman"/>
                <w:sz w:val="21"/>
                <w:szCs w:val="21"/>
              </w:rPr>
              <w:t>5</w:t>
            </w:r>
            <w:r>
              <w:rPr>
                <w:rFonts w:ascii="Times New Roman"/>
                <w:sz w:val="21"/>
                <w:szCs w:val="21"/>
              </w:rPr>
              <w:t>0</w:t>
            </w:r>
          </w:p>
        </w:tc>
        <w:tc>
          <w:tcPr>
            <w:tcW w:w="832" w:type="dxa"/>
            <w:tcBorders>
              <w:top w:val="single" w:color="auto" w:sz="4" w:space="0"/>
              <w:bottom w:val="single" w:color="auto" w:sz="4" w:space="0"/>
            </w:tcBorders>
            <w:shd w:val="clear" w:color="auto" w:fill="auto"/>
            <w:vAlign w:val="center"/>
          </w:tcPr>
          <w:p w14:paraId="785760A5">
            <w:pPr>
              <w:jc w:val="center"/>
              <w:rPr>
                <w:rFonts w:ascii="Times New Roman"/>
                <w:sz w:val="21"/>
                <w:szCs w:val="21"/>
                <w:lang w:bidi="zh-TW"/>
              </w:rPr>
            </w:pPr>
            <w:r>
              <w:rPr>
                <w:rFonts w:hint="eastAsia" w:ascii="Times New Roman"/>
                <w:sz w:val="21"/>
                <w:szCs w:val="21"/>
                <w:lang w:bidi="zh-TW"/>
              </w:rPr>
              <w:t>68.752</w:t>
            </w:r>
          </w:p>
        </w:tc>
        <w:tc>
          <w:tcPr>
            <w:tcW w:w="819" w:type="dxa"/>
            <w:tcBorders>
              <w:top w:val="single" w:color="auto" w:sz="4" w:space="0"/>
              <w:bottom w:val="single" w:color="auto" w:sz="4" w:space="0"/>
            </w:tcBorders>
            <w:shd w:val="clear" w:color="auto" w:fill="auto"/>
            <w:vAlign w:val="center"/>
          </w:tcPr>
          <w:p w14:paraId="6104041A">
            <w:pPr>
              <w:jc w:val="center"/>
              <w:rPr>
                <w:rFonts w:ascii="Times New Roman"/>
                <w:sz w:val="21"/>
                <w:szCs w:val="21"/>
                <w:lang w:bidi="zh-TW"/>
              </w:rPr>
            </w:pPr>
            <w:r>
              <w:rPr>
                <w:rFonts w:hint="eastAsia" w:ascii="Times New Roman"/>
                <w:sz w:val="21"/>
                <w:szCs w:val="21"/>
                <w:lang w:bidi="zh-TW"/>
              </w:rPr>
              <w:t>0.469</w:t>
            </w:r>
          </w:p>
        </w:tc>
        <w:tc>
          <w:tcPr>
            <w:tcW w:w="819" w:type="dxa"/>
            <w:tcBorders>
              <w:top w:val="single" w:color="auto" w:sz="4" w:space="0"/>
              <w:bottom w:val="single" w:color="auto" w:sz="4" w:space="0"/>
            </w:tcBorders>
            <w:shd w:val="clear" w:color="auto" w:fill="auto"/>
            <w:vAlign w:val="center"/>
          </w:tcPr>
          <w:p w14:paraId="7BDBC632">
            <w:pPr>
              <w:jc w:val="center"/>
              <w:rPr>
                <w:rFonts w:ascii="Times New Roman"/>
                <w:sz w:val="21"/>
                <w:szCs w:val="21"/>
                <w:lang w:bidi="zh-TW"/>
              </w:rPr>
            </w:pPr>
            <w:r>
              <w:rPr>
                <w:rFonts w:hint="eastAsia" w:ascii="Times New Roman"/>
                <w:sz w:val="21"/>
                <w:szCs w:val="21"/>
                <w:lang w:bidi="zh-TW"/>
              </w:rPr>
              <w:t>3.378</w:t>
            </w:r>
          </w:p>
        </w:tc>
        <w:tc>
          <w:tcPr>
            <w:tcW w:w="832" w:type="dxa"/>
            <w:tcBorders>
              <w:top w:val="single" w:color="auto" w:sz="4" w:space="0"/>
              <w:bottom w:val="single" w:color="auto" w:sz="4" w:space="0"/>
            </w:tcBorders>
            <w:shd w:val="clear" w:color="auto" w:fill="auto"/>
            <w:vAlign w:val="center"/>
          </w:tcPr>
          <w:p w14:paraId="1911695F">
            <w:pPr>
              <w:jc w:val="center"/>
              <w:rPr>
                <w:rFonts w:ascii="Times New Roman"/>
                <w:sz w:val="21"/>
                <w:szCs w:val="21"/>
              </w:rPr>
            </w:pPr>
            <w:r>
              <w:rPr>
                <w:rFonts w:ascii="Times New Roman"/>
                <w:sz w:val="21"/>
                <w:szCs w:val="21"/>
              </w:rPr>
              <w:t>30</w:t>
            </w:r>
            <w:r>
              <w:rPr>
                <w:rFonts w:hint="eastAsia" w:ascii="Times New Roman"/>
                <w:sz w:val="21"/>
                <w:szCs w:val="21"/>
              </w:rPr>
              <w:t>0</w:t>
            </w:r>
          </w:p>
        </w:tc>
        <w:tc>
          <w:tcPr>
            <w:tcW w:w="519" w:type="dxa"/>
            <w:vMerge w:val="continue"/>
            <w:tcBorders>
              <w:top w:val="single" w:color="auto" w:sz="4" w:space="0"/>
              <w:bottom w:val="single" w:color="auto" w:sz="4" w:space="0"/>
            </w:tcBorders>
            <w:vAlign w:val="center"/>
          </w:tcPr>
          <w:p w14:paraId="2BDD090B">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5D20CEDA">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4B6B1CBE">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52CB9761">
            <w:pPr>
              <w:jc w:val="center"/>
              <w:rPr>
                <w:rFonts w:ascii="Times New Roman"/>
                <w:sz w:val="21"/>
                <w:szCs w:val="21"/>
              </w:rPr>
            </w:pPr>
          </w:p>
        </w:tc>
      </w:tr>
      <w:tr w14:paraId="01FD7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jc w:val="center"/>
        </w:trPr>
        <w:tc>
          <w:tcPr>
            <w:tcW w:w="969" w:type="dxa"/>
            <w:vMerge w:val="continue"/>
            <w:shd w:val="clear" w:color="auto" w:fill="auto"/>
            <w:vAlign w:val="center"/>
          </w:tcPr>
          <w:p w14:paraId="2B661157">
            <w:pPr>
              <w:jc w:val="center"/>
              <w:rPr>
                <w:rFonts w:ascii="Times New Roman"/>
                <w:sz w:val="21"/>
                <w:szCs w:val="21"/>
              </w:rPr>
            </w:pPr>
          </w:p>
        </w:tc>
        <w:tc>
          <w:tcPr>
            <w:tcW w:w="967" w:type="dxa"/>
            <w:tcBorders>
              <w:top w:val="single" w:color="auto" w:sz="4" w:space="0"/>
            </w:tcBorders>
            <w:shd w:val="clear" w:color="auto" w:fill="auto"/>
            <w:vAlign w:val="center"/>
          </w:tcPr>
          <w:p w14:paraId="19C48995">
            <w:pPr>
              <w:jc w:val="center"/>
              <w:rPr>
                <w:rFonts w:ascii="Times New Roman" w:eastAsia="Times New Roman"/>
                <w:sz w:val="21"/>
                <w:szCs w:val="21"/>
              </w:rPr>
            </w:pPr>
            <w:r>
              <w:rPr>
                <w:rFonts w:ascii="Times New Roman"/>
                <w:sz w:val="21"/>
                <w:szCs w:val="21"/>
              </w:rPr>
              <w:t>烟气黑度</w:t>
            </w:r>
          </w:p>
        </w:tc>
        <w:tc>
          <w:tcPr>
            <w:tcW w:w="943" w:type="dxa"/>
            <w:vMerge w:val="continue"/>
            <w:tcBorders>
              <w:bottom w:val="single" w:color="auto" w:sz="4" w:space="0"/>
            </w:tcBorders>
            <w:vAlign w:val="center"/>
          </w:tcPr>
          <w:p w14:paraId="2CE40E9F">
            <w:pPr>
              <w:jc w:val="center"/>
              <w:rPr>
                <w:rFonts w:ascii="Times New Roman"/>
                <w:sz w:val="21"/>
                <w:szCs w:val="21"/>
              </w:rPr>
            </w:pPr>
          </w:p>
        </w:tc>
        <w:tc>
          <w:tcPr>
            <w:tcW w:w="874" w:type="dxa"/>
            <w:tcBorders>
              <w:top w:val="single" w:color="auto" w:sz="4" w:space="0"/>
            </w:tcBorders>
            <w:shd w:val="clear" w:color="auto" w:fill="auto"/>
            <w:vAlign w:val="center"/>
          </w:tcPr>
          <w:p w14:paraId="7B024888">
            <w:pPr>
              <w:jc w:val="center"/>
              <w:rPr>
                <w:rFonts w:ascii="Times New Roman"/>
                <w:sz w:val="21"/>
                <w:szCs w:val="21"/>
                <w:lang w:bidi="zh-TW"/>
              </w:rPr>
            </w:pPr>
            <w:r>
              <w:rPr>
                <w:rFonts w:ascii="Times New Roman"/>
                <w:sz w:val="21"/>
                <w:szCs w:val="21"/>
                <w:lang w:bidi="zh-TW"/>
              </w:rPr>
              <w:t>≤1级</w:t>
            </w:r>
          </w:p>
        </w:tc>
        <w:tc>
          <w:tcPr>
            <w:tcW w:w="798" w:type="dxa"/>
            <w:tcBorders>
              <w:top w:val="single" w:color="auto" w:sz="4" w:space="0"/>
            </w:tcBorders>
            <w:shd w:val="clear" w:color="auto" w:fill="auto"/>
            <w:vAlign w:val="center"/>
          </w:tcPr>
          <w:p w14:paraId="72E7F480">
            <w:pPr>
              <w:jc w:val="center"/>
              <w:rPr>
                <w:rFonts w:ascii="Times New Roman"/>
                <w:sz w:val="21"/>
                <w:szCs w:val="21"/>
                <w:lang w:bidi="zh-TW"/>
              </w:rPr>
            </w:pPr>
            <w:r>
              <w:rPr>
                <w:rFonts w:hint="eastAsia" w:ascii="Times New Roman"/>
                <w:sz w:val="21"/>
                <w:szCs w:val="21"/>
                <w:lang w:bidi="zh-TW"/>
              </w:rPr>
              <w:t>/</w:t>
            </w:r>
          </w:p>
        </w:tc>
        <w:tc>
          <w:tcPr>
            <w:tcW w:w="845" w:type="dxa"/>
            <w:tcBorders>
              <w:top w:val="single" w:color="auto" w:sz="4" w:space="0"/>
            </w:tcBorders>
            <w:shd w:val="clear" w:color="auto" w:fill="auto"/>
            <w:vAlign w:val="center"/>
          </w:tcPr>
          <w:p w14:paraId="4D198E7E">
            <w:pPr>
              <w:jc w:val="center"/>
              <w:rPr>
                <w:rFonts w:ascii="Times New Roman"/>
                <w:sz w:val="21"/>
                <w:szCs w:val="21"/>
                <w:lang w:bidi="zh-TW"/>
              </w:rPr>
            </w:pPr>
            <w:r>
              <w:rPr>
                <w:rFonts w:hint="eastAsia" w:ascii="Times New Roman"/>
                <w:sz w:val="21"/>
                <w:szCs w:val="21"/>
                <w:lang w:bidi="zh-TW"/>
              </w:rPr>
              <w:t>/</w:t>
            </w:r>
          </w:p>
        </w:tc>
        <w:tc>
          <w:tcPr>
            <w:tcW w:w="646" w:type="dxa"/>
            <w:vMerge w:val="continue"/>
            <w:vAlign w:val="center"/>
          </w:tcPr>
          <w:p w14:paraId="539AAEED">
            <w:pPr>
              <w:jc w:val="center"/>
              <w:rPr>
                <w:rFonts w:ascii="Times New Roman"/>
                <w:sz w:val="21"/>
                <w:szCs w:val="21"/>
              </w:rPr>
            </w:pPr>
          </w:p>
        </w:tc>
        <w:tc>
          <w:tcPr>
            <w:tcW w:w="774" w:type="dxa"/>
            <w:vMerge w:val="continue"/>
            <w:vAlign w:val="center"/>
          </w:tcPr>
          <w:p w14:paraId="3A0F2212">
            <w:pPr>
              <w:jc w:val="center"/>
              <w:rPr>
                <w:rFonts w:ascii="Times New Roman"/>
                <w:kern w:val="0"/>
                <w:sz w:val="21"/>
                <w:szCs w:val="21"/>
              </w:rPr>
            </w:pPr>
          </w:p>
        </w:tc>
        <w:tc>
          <w:tcPr>
            <w:tcW w:w="652" w:type="dxa"/>
            <w:tcBorders>
              <w:top w:val="single" w:color="auto" w:sz="4" w:space="0"/>
            </w:tcBorders>
            <w:shd w:val="clear" w:color="auto" w:fill="auto"/>
            <w:vAlign w:val="center"/>
          </w:tcPr>
          <w:p w14:paraId="298D5DAD">
            <w:pPr>
              <w:jc w:val="center"/>
              <w:rPr>
                <w:rFonts w:ascii="Times New Roman"/>
                <w:sz w:val="21"/>
                <w:szCs w:val="21"/>
              </w:rPr>
            </w:pPr>
            <w:r>
              <w:rPr>
                <w:rFonts w:hint="eastAsia" w:ascii="Times New Roman"/>
                <w:sz w:val="21"/>
                <w:szCs w:val="21"/>
              </w:rPr>
              <w:t>/</w:t>
            </w:r>
          </w:p>
        </w:tc>
        <w:tc>
          <w:tcPr>
            <w:tcW w:w="832" w:type="dxa"/>
            <w:tcBorders>
              <w:top w:val="single" w:color="auto" w:sz="4" w:space="0"/>
            </w:tcBorders>
            <w:shd w:val="clear" w:color="auto" w:fill="auto"/>
            <w:vAlign w:val="center"/>
          </w:tcPr>
          <w:p w14:paraId="63CE479C">
            <w:pPr>
              <w:jc w:val="center"/>
              <w:rPr>
                <w:rFonts w:ascii="Times New Roman"/>
                <w:sz w:val="21"/>
                <w:szCs w:val="21"/>
                <w:lang w:bidi="zh-TW"/>
              </w:rPr>
            </w:pPr>
            <w:r>
              <w:rPr>
                <w:rFonts w:ascii="Times New Roman"/>
                <w:sz w:val="21"/>
                <w:szCs w:val="21"/>
                <w:lang w:bidi="zh-TW"/>
              </w:rPr>
              <w:t>≤1级</w:t>
            </w:r>
          </w:p>
        </w:tc>
        <w:tc>
          <w:tcPr>
            <w:tcW w:w="819" w:type="dxa"/>
            <w:tcBorders>
              <w:top w:val="single" w:color="auto" w:sz="4" w:space="0"/>
            </w:tcBorders>
            <w:shd w:val="clear" w:color="auto" w:fill="auto"/>
            <w:vAlign w:val="center"/>
          </w:tcPr>
          <w:p w14:paraId="1303767A">
            <w:pPr>
              <w:jc w:val="center"/>
              <w:rPr>
                <w:rFonts w:ascii="Times New Roman"/>
                <w:sz w:val="21"/>
                <w:szCs w:val="21"/>
                <w:lang w:bidi="zh-TW"/>
              </w:rPr>
            </w:pPr>
            <w:r>
              <w:rPr>
                <w:rFonts w:hint="eastAsia" w:ascii="Times New Roman"/>
                <w:sz w:val="21"/>
                <w:szCs w:val="21"/>
                <w:lang w:bidi="zh-TW"/>
              </w:rPr>
              <w:t>/</w:t>
            </w:r>
          </w:p>
        </w:tc>
        <w:tc>
          <w:tcPr>
            <w:tcW w:w="819" w:type="dxa"/>
            <w:tcBorders>
              <w:top w:val="single" w:color="auto" w:sz="4" w:space="0"/>
            </w:tcBorders>
            <w:shd w:val="clear" w:color="auto" w:fill="auto"/>
            <w:vAlign w:val="center"/>
          </w:tcPr>
          <w:p w14:paraId="053C7B82">
            <w:pPr>
              <w:jc w:val="center"/>
              <w:rPr>
                <w:rFonts w:ascii="Times New Roman"/>
                <w:sz w:val="21"/>
                <w:szCs w:val="21"/>
                <w:lang w:bidi="zh-TW"/>
              </w:rPr>
            </w:pPr>
            <w:r>
              <w:rPr>
                <w:rFonts w:hint="eastAsia" w:ascii="Times New Roman"/>
                <w:sz w:val="21"/>
                <w:szCs w:val="21"/>
                <w:lang w:bidi="zh-TW"/>
              </w:rPr>
              <w:t>/</w:t>
            </w:r>
          </w:p>
        </w:tc>
        <w:tc>
          <w:tcPr>
            <w:tcW w:w="832" w:type="dxa"/>
            <w:tcBorders>
              <w:top w:val="single" w:color="auto" w:sz="4" w:space="0"/>
            </w:tcBorders>
            <w:shd w:val="clear" w:color="auto" w:fill="auto"/>
            <w:vAlign w:val="center"/>
          </w:tcPr>
          <w:p w14:paraId="400BC384">
            <w:pPr>
              <w:jc w:val="center"/>
              <w:rPr>
                <w:rFonts w:ascii="Times New Roman"/>
                <w:sz w:val="21"/>
                <w:szCs w:val="21"/>
              </w:rPr>
            </w:pPr>
            <w:r>
              <w:rPr>
                <w:rFonts w:ascii="Times New Roman"/>
                <w:sz w:val="21"/>
                <w:szCs w:val="21"/>
                <w:lang w:bidi="zh-TW"/>
              </w:rPr>
              <w:t>≤1级</w:t>
            </w:r>
          </w:p>
        </w:tc>
        <w:tc>
          <w:tcPr>
            <w:tcW w:w="519" w:type="dxa"/>
            <w:vMerge w:val="continue"/>
            <w:tcBorders>
              <w:top w:val="single" w:color="auto" w:sz="4" w:space="0"/>
              <w:bottom w:val="single" w:color="auto" w:sz="4" w:space="0"/>
            </w:tcBorders>
            <w:vAlign w:val="center"/>
          </w:tcPr>
          <w:p w14:paraId="6FB97726">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63703DFA">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45D91B65">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0C74E033">
            <w:pPr>
              <w:jc w:val="center"/>
              <w:rPr>
                <w:rFonts w:ascii="Times New Roman"/>
                <w:sz w:val="21"/>
                <w:szCs w:val="21"/>
              </w:rPr>
            </w:pPr>
          </w:p>
        </w:tc>
      </w:tr>
      <w:tr w14:paraId="567AF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969" w:type="dxa"/>
            <w:tcBorders>
              <w:bottom w:val="single" w:color="auto" w:sz="4" w:space="0"/>
            </w:tcBorders>
            <w:vAlign w:val="center"/>
          </w:tcPr>
          <w:p w14:paraId="579769E3">
            <w:pPr>
              <w:jc w:val="center"/>
              <w:rPr>
                <w:rFonts w:ascii="Times New Roman" w:eastAsia="Times New Roman"/>
                <w:sz w:val="21"/>
                <w:szCs w:val="21"/>
              </w:rPr>
            </w:pPr>
            <w:r>
              <w:rPr>
                <w:rFonts w:ascii="Times New Roman"/>
                <w:sz w:val="21"/>
                <w:szCs w:val="21"/>
              </w:rPr>
              <w:t>喷塑废气</w:t>
            </w:r>
            <w:r>
              <w:rPr>
                <w:rFonts w:ascii="Times New Roman" w:eastAsia="Times New Roman"/>
                <w:sz w:val="21"/>
                <w:szCs w:val="21"/>
              </w:rPr>
              <w:t>(</w:t>
            </w:r>
            <w:r>
              <w:rPr>
                <w:rFonts w:ascii="Times New Roman"/>
                <w:sz w:val="21"/>
                <w:szCs w:val="21"/>
              </w:rPr>
              <w:t>DA0</w:t>
            </w:r>
            <w:r>
              <w:rPr>
                <w:rFonts w:hint="eastAsia" w:ascii="Times New Roman"/>
                <w:sz w:val="21"/>
                <w:szCs w:val="21"/>
              </w:rPr>
              <w:t>12</w:t>
            </w:r>
            <w:r>
              <w:rPr>
                <w:rFonts w:ascii="Times New Roman" w:eastAsia="Times New Roman"/>
                <w:sz w:val="21"/>
                <w:szCs w:val="21"/>
              </w:rPr>
              <w:t>)</w:t>
            </w:r>
          </w:p>
        </w:tc>
        <w:tc>
          <w:tcPr>
            <w:tcW w:w="967" w:type="dxa"/>
            <w:tcBorders>
              <w:bottom w:val="single" w:color="auto" w:sz="4" w:space="0"/>
            </w:tcBorders>
            <w:vAlign w:val="center"/>
          </w:tcPr>
          <w:p w14:paraId="34FF5CA9">
            <w:pPr>
              <w:jc w:val="center"/>
              <w:rPr>
                <w:rFonts w:ascii="Times New Roman"/>
                <w:sz w:val="21"/>
                <w:szCs w:val="21"/>
              </w:rPr>
            </w:pPr>
            <w:r>
              <w:rPr>
                <w:rFonts w:ascii="Times New Roman"/>
                <w:sz w:val="21"/>
                <w:szCs w:val="21"/>
              </w:rPr>
              <w:t>颗粒物</w:t>
            </w:r>
          </w:p>
        </w:tc>
        <w:tc>
          <w:tcPr>
            <w:tcW w:w="943" w:type="dxa"/>
            <w:tcBorders>
              <w:top w:val="single" w:color="auto" w:sz="4" w:space="0"/>
              <w:bottom w:val="single" w:color="auto" w:sz="4" w:space="0"/>
            </w:tcBorders>
            <w:vAlign w:val="center"/>
          </w:tcPr>
          <w:p w14:paraId="44E3F881">
            <w:pPr>
              <w:jc w:val="center"/>
              <w:rPr>
                <w:rFonts w:ascii="Times New Roman"/>
                <w:sz w:val="21"/>
                <w:szCs w:val="21"/>
              </w:rPr>
            </w:pPr>
            <w:r>
              <w:rPr>
                <w:rFonts w:hint="eastAsia" w:ascii="Times New Roman"/>
                <w:sz w:val="21"/>
                <w:szCs w:val="21"/>
              </w:rPr>
              <w:t>10</w:t>
            </w:r>
            <w:r>
              <w:rPr>
                <w:rFonts w:ascii="Times New Roman"/>
                <w:sz w:val="21"/>
                <w:szCs w:val="21"/>
              </w:rPr>
              <w:t>000</w:t>
            </w:r>
          </w:p>
        </w:tc>
        <w:tc>
          <w:tcPr>
            <w:tcW w:w="874" w:type="dxa"/>
            <w:tcBorders>
              <w:bottom w:val="single" w:color="auto" w:sz="4" w:space="0"/>
            </w:tcBorders>
            <w:vAlign w:val="center"/>
          </w:tcPr>
          <w:p w14:paraId="3E7AC39B">
            <w:pPr>
              <w:jc w:val="center"/>
              <w:rPr>
                <w:rFonts w:ascii="Times New Roman"/>
                <w:sz w:val="21"/>
                <w:szCs w:val="21"/>
              </w:rPr>
            </w:pPr>
            <w:r>
              <w:rPr>
                <w:rFonts w:hint="eastAsia" w:ascii="Times New Roman"/>
                <w:sz w:val="21"/>
                <w:szCs w:val="21"/>
              </w:rPr>
              <w:t>291.667</w:t>
            </w:r>
          </w:p>
        </w:tc>
        <w:tc>
          <w:tcPr>
            <w:tcW w:w="798" w:type="dxa"/>
            <w:tcBorders>
              <w:bottom w:val="single" w:color="auto" w:sz="4" w:space="0"/>
            </w:tcBorders>
            <w:vAlign w:val="center"/>
          </w:tcPr>
          <w:p w14:paraId="58CA58E0">
            <w:pPr>
              <w:jc w:val="center"/>
              <w:rPr>
                <w:rFonts w:ascii="Times New Roman"/>
                <w:sz w:val="21"/>
                <w:szCs w:val="21"/>
              </w:rPr>
            </w:pPr>
            <w:r>
              <w:rPr>
                <w:rFonts w:hint="eastAsia" w:ascii="Times New Roman"/>
                <w:sz w:val="21"/>
                <w:szCs w:val="21"/>
              </w:rPr>
              <w:t>8.75</w:t>
            </w:r>
          </w:p>
        </w:tc>
        <w:tc>
          <w:tcPr>
            <w:tcW w:w="845" w:type="dxa"/>
            <w:tcBorders>
              <w:bottom w:val="single" w:color="auto" w:sz="4" w:space="0"/>
            </w:tcBorders>
            <w:vAlign w:val="center"/>
          </w:tcPr>
          <w:p w14:paraId="5376DBC7">
            <w:pPr>
              <w:jc w:val="center"/>
              <w:rPr>
                <w:rFonts w:ascii="Times New Roman"/>
                <w:sz w:val="21"/>
                <w:szCs w:val="21"/>
              </w:rPr>
            </w:pPr>
            <w:r>
              <w:rPr>
                <w:rFonts w:hint="eastAsia" w:ascii="Times New Roman"/>
                <w:sz w:val="21"/>
                <w:szCs w:val="21"/>
              </w:rPr>
              <w:t>21</w:t>
            </w:r>
          </w:p>
        </w:tc>
        <w:tc>
          <w:tcPr>
            <w:tcW w:w="646" w:type="dxa"/>
            <w:tcBorders>
              <w:bottom w:val="single" w:color="auto" w:sz="4" w:space="0"/>
            </w:tcBorders>
            <w:vAlign w:val="center"/>
          </w:tcPr>
          <w:p w14:paraId="3A5CCE42">
            <w:pPr>
              <w:jc w:val="center"/>
              <w:rPr>
                <w:rFonts w:ascii="Times New Roman"/>
                <w:sz w:val="21"/>
                <w:szCs w:val="21"/>
              </w:rPr>
            </w:pPr>
            <w:r>
              <w:rPr>
                <w:rFonts w:ascii="Times New Roman"/>
                <w:sz w:val="21"/>
                <w:szCs w:val="21"/>
              </w:rPr>
              <w:t>9</w:t>
            </w:r>
            <w:r>
              <w:rPr>
                <w:rFonts w:hint="eastAsia" w:ascii="Times New Roman"/>
                <w:sz w:val="21"/>
                <w:szCs w:val="21"/>
              </w:rPr>
              <w:t>5</w:t>
            </w:r>
          </w:p>
        </w:tc>
        <w:tc>
          <w:tcPr>
            <w:tcW w:w="774" w:type="dxa"/>
            <w:tcBorders>
              <w:bottom w:val="single" w:color="auto" w:sz="4" w:space="0"/>
            </w:tcBorders>
            <w:vAlign w:val="center"/>
          </w:tcPr>
          <w:p w14:paraId="6FEC5390">
            <w:pPr>
              <w:jc w:val="center"/>
              <w:rPr>
                <w:rFonts w:ascii="Times New Roman"/>
                <w:sz w:val="21"/>
                <w:szCs w:val="21"/>
              </w:rPr>
            </w:pPr>
            <w:r>
              <w:rPr>
                <w:rFonts w:ascii="Times New Roman"/>
                <w:kern w:val="0"/>
                <w:sz w:val="21"/>
                <w:szCs w:val="21"/>
              </w:rPr>
              <w:t>滤筒除尘器</w:t>
            </w:r>
          </w:p>
        </w:tc>
        <w:tc>
          <w:tcPr>
            <w:tcW w:w="652" w:type="dxa"/>
            <w:vAlign w:val="center"/>
          </w:tcPr>
          <w:p w14:paraId="7522D82B">
            <w:pPr>
              <w:jc w:val="center"/>
              <w:rPr>
                <w:rFonts w:ascii="Times New Roman"/>
                <w:sz w:val="21"/>
                <w:szCs w:val="21"/>
              </w:rPr>
            </w:pPr>
            <w:r>
              <w:rPr>
                <w:rFonts w:ascii="Times New Roman" w:eastAsia="Times New Roman"/>
                <w:sz w:val="21"/>
                <w:szCs w:val="21"/>
              </w:rPr>
              <w:t>9</w:t>
            </w:r>
            <w:r>
              <w:rPr>
                <w:rFonts w:ascii="Times New Roman"/>
                <w:sz w:val="21"/>
                <w:szCs w:val="21"/>
              </w:rPr>
              <w:t>9</w:t>
            </w:r>
          </w:p>
        </w:tc>
        <w:tc>
          <w:tcPr>
            <w:tcW w:w="832" w:type="dxa"/>
            <w:vAlign w:val="center"/>
          </w:tcPr>
          <w:p w14:paraId="30A4FD89">
            <w:pPr>
              <w:jc w:val="center"/>
              <w:rPr>
                <w:rFonts w:ascii="Times New Roman"/>
                <w:sz w:val="21"/>
                <w:szCs w:val="21"/>
              </w:rPr>
            </w:pPr>
            <w:r>
              <w:rPr>
                <w:rFonts w:hint="eastAsia" w:ascii="Times New Roman"/>
                <w:sz w:val="21"/>
                <w:szCs w:val="21"/>
              </w:rPr>
              <w:t>8.312</w:t>
            </w:r>
          </w:p>
        </w:tc>
        <w:tc>
          <w:tcPr>
            <w:tcW w:w="819" w:type="dxa"/>
            <w:vAlign w:val="center"/>
          </w:tcPr>
          <w:p w14:paraId="1A61F9A8">
            <w:pPr>
              <w:jc w:val="center"/>
              <w:rPr>
                <w:rFonts w:ascii="Times New Roman"/>
                <w:sz w:val="21"/>
                <w:szCs w:val="21"/>
              </w:rPr>
            </w:pPr>
            <w:r>
              <w:rPr>
                <w:rFonts w:ascii="Times New Roman"/>
                <w:sz w:val="21"/>
                <w:szCs w:val="21"/>
              </w:rPr>
              <w:t>0.</w:t>
            </w:r>
            <w:r>
              <w:rPr>
                <w:rFonts w:hint="eastAsia" w:ascii="Times New Roman"/>
                <w:sz w:val="21"/>
                <w:szCs w:val="21"/>
              </w:rPr>
              <w:t>083</w:t>
            </w:r>
          </w:p>
        </w:tc>
        <w:tc>
          <w:tcPr>
            <w:tcW w:w="819" w:type="dxa"/>
            <w:vAlign w:val="center"/>
          </w:tcPr>
          <w:p w14:paraId="0C3AA92F">
            <w:pPr>
              <w:jc w:val="center"/>
              <w:rPr>
                <w:rFonts w:ascii="Times New Roman"/>
                <w:sz w:val="21"/>
                <w:szCs w:val="21"/>
              </w:rPr>
            </w:pPr>
            <w:r>
              <w:rPr>
                <w:rFonts w:hint="eastAsia" w:ascii="Times New Roman"/>
                <w:sz w:val="21"/>
                <w:szCs w:val="21"/>
              </w:rPr>
              <w:t>0.200</w:t>
            </w:r>
          </w:p>
        </w:tc>
        <w:tc>
          <w:tcPr>
            <w:tcW w:w="832" w:type="dxa"/>
            <w:tcBorders>
              <w:bottom w:val="single" w:color="auto" w:sz="4" w:space="0"/>
            </w:tcBorders>
            <w:shd w:val="clear" w:color="auto" w:fill="auto"/>
            <w:vAlign w:val="center"/>
          </w:tcPr>
          <w:p w14:paraId="442BF87E">
            <w:pPr>
              <w:jc w:val="center"/>
              <w:rPr>
                <w:rFonts w:ascii="Times New Roman"/>
                <w:sz w:val="21"/>
                <w:szCs w:val="21"/>
              </w:rPr>
            </w:pPr>
            <w:r>
              <w:rPr>
                <w:rFonts w:hint="eastAsia" w:ascii="Times New Roman"/>
                <w:sz w:val="21"/>
                <w:szCs w:val="21"/>
              </w:rPr>
              <w:t>18</w:t>
            </w:r>
          </w:p>
        </w:tc>
        <w:tc>
          <w:tcPr>
            <w:tcW w:w="519" w:type="dxa"/>
            <w:tcBorders>
              <w:top w:val="single" w:color="auto" w:sz="4" w:space="0"/>
              <w:bottom w:val="single" w:color="auto" w:sz="4" w:space="0"/>
            </w:tcBorders>
            <w:vAlign w:val="center"/>
          </w:tcPr>
          <w:p w14:paraId="0594A325">
            <w:pPr>
              <w:jc w:val="center"/>
              <w:rPr>
                <w:rFonts w:ascii="Times New Roman"/>
                <w:sz w:val="21"/>
                <w:szCs w:val="21"/>
              </w:rPr>
            </w:pPr>
            <w:r>
              <w:rPr>
                <w:rFonts w:ascii="Times New Roman"/>
                <w:sz w:val="21"/>
                <w:szCs w:val="21"/>
              </w:rPr>
              <w:t>20</w:t>
            </w:r>
          </w:p>
        </w:tc>
        <w:tc>
          <w:tcPr>
            <w:tcW w:w="592" w:type="dxa"/>
            <w:tcBorders>
              <w:top w:val="single" w:color="auto" w:sz="4" w:space="0"/>
              <w:bottom w:val="single" w:color="auto" w:sz="4" w:space="0"/>
            </w:tcBorders>
            <w:vAlign w:val="center"/>
          </w:tcPr>
          <w:p w14:paraId="5BAD03EE">
            <w:pPr>
              <w:spacing w:line="280" w:lineRule="exact"/>
              <w:jc w:val="center"/>
              <w:rPr>
                <w:rFonts w:ascii="Times New Roman"/>
                <w:sz w:val="21"/>
                <w:szCs w:val="21"/>
              </w:rPr>
            </w:pPr>
            <w:r>
              <w:rPr>
                <w:rFonts w:hint="eastAsia" w:ascii="Times New Roman"/>
                <w:sz w:val="21"/>
                <w:szCs w:val="21"/>
              </w:rPr>
              <w:t>0.4</w:t>
            </w:r>
          </w:p>
        </w:tc>
        <w:tc>
          <w:tcPr>
            <w:tcW w:w="603" w:type="dxa"/>
            <w:tcBorders>
              <w:top w:val="single" w:color="auto" w:sz="4" w:space="0"/>
              <w:bottom w:val="single" w:color="auto" w:sz="4" w:space="0"/>
            </w:tcBorders>
            <w:vAlign w:val="center"/>
          </w:tcPr>
          <w:p w14:paraId="404D773F">
            <w:pPr>
              <w:jc w:val="center"/>
              <w:rPr>
                <w:rFonts w:ascii="Times New Roman"/>
                <w:sz w:val="21"/>
                <w:szCs w:val="21"/>
              </w:rPr>
            </w:pPr>
            <w:r>
              <w:rPr>
                <w:rFonts w:hint="eastAsia" w:ascii="Times New Roman"/>
                <w:sz w:val="21"/>
                <w:szCs w:val="21"/>
              </w:rPr>
              <w:t>25</w:t>
            </w:r>
          </w:p>
        </w:tc>
        <w:tc>
          <w:tcPr>
            <w:tcW w:w="602" w:type="dxa"/>
            <w:tcBorders>
              <w:top w:val="single" w:color="auto" w:sz="4" w:space="0"/>
              <w:bottom w:val="single" w:color="auto" w:sz="4" w:space="0"/>
            </w:tcBorders>
            <w:vAlign w:val="center"/>
          </w:tcPr>
          <w:p w14:paraId="629CD708">
            <w:pPr>
              <w:jc w:val="center"/>
              <w:rPr>
                <w:rFonts w:ascii="Times New Roman" w:eastAsia="Times New Roman"/>
                <w:sz w:val="21"/>
                <w:szCs w:val="21"/>
              </w:rPr>
            </w:pPr>
            <w:r>
              <w:rPr>
                <w:rFonts w:hint="eastAsia" w:ascii="Times New Roman"/>
                <w:sz w:val="21"/>
                <w:szCs w:val="21"/>
              </w:rPr>
              <w:t>24</w:t>
            </w:r>
            <w:r>
              <w:rPr>
                <w:rFonts w:ascii="Times New Roman" w:eastAsia="Times New Roman"/>
                <w:sz w:val="21"/>
                <w:szCs w:val="21"/>
              </w:rPr>
              <w:t>00</w:t>
            </w:r>
          </w:p>
        </w:tc>
      </w:tr>
      <w:tr w14:paraId="61A29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969" w:type="dxa"/>
            <w:vMerge w:val="restart"/>
            <w:tcBorders>
              <w:top w:val="single" w:color="auto" w:sz="4" w:space="0"/>
            </w:tcBorders>
            <w:vAlign w:val="center"/>
          </w:tcPr>
          <w:p w14:paraId="752A9AFE">
            <w:pPr>
              <w:jc w:val="center"/>
              <w:rPr>
                <w:rFonts w:ascii="Times New Roman"/>
                <w:sz w:val="21"/>
                <w:szCs w:val="21"/>
              </w:rPr>
            </w:pPr>
            <w:r>
              <w:rPr>
                <w:rFonts w:ascii="Times New Roman"/>
                <w:sz w:val="21"/>
                <w:szCs w:val="21"/>
              </w:rPr>
              <w:t>喷塑后固化、强冷废气</w:t>
            </w:r>
            <w:r>
              <w:rPr>
                <w:rFonts w:ascii="Times New Roman" w:eastAsia="Times New Roman"/>
                <w:sz w:val="21"/>
                <w:szCs w:val="21"/>
              </w:rPr>
              <w:t>(</w:t>
            </w:r>
            <w:r>
              <w:rPr>
                <w:rFonts w:ascii="Times New Roman"/>
                <w:sz w:val="21"/>
                <w:szCs w:val="21"/>
              </w:rPr>
              <w:t>DA01</w:t>
            </w:r>
            <w:r>
              <w:rPr>
                <w:rFonts w:hint="eastAsia" w:ascii="Times New Roman"/>
                <w:sz w:val="21"/>
                <w:szCs w:val="21"/>
              </w:rPr>
              <w:t>3</w:t>
            </w:r>
            <w:r>
              <w:rPr>
                <w:rFonts w:ascii="Times New Roman" w:eastAsia="Times New Roman"/>
                <w:sz w:val="21"/>
                <w:szCs w:val="21"/>
              </w:rPr>
              <w:t>)</w:t>
            </w:r>
          </w:p>
        </w:tc>
        <w:tc>
          <w:tcPr>
            <w:tcW w:w="967" w:type="dxa"/>
            <w:tcBorders>
              <w:top w:val="single" w:color="auto" w:sz="4" w:space="0"/>
            </w:tcBorders>
            <w:vAlign w:val="center"/>
          </w:tcPr>
          <w:p w14:paraId="7A0876BC">
            <w:pPr>
              <w:jc w:val="center"/>
              <w:rPr>
                <w:rFonts w:ascii="Times New Roman" w:eastAsia="Times New Roman"/>
                <w:sz w:val="21"/>
                <w:szCs w:val="21"/>
              </w:rPr>
            </w:pPr>
            <w:r>
              <w:rPr>
                <w:rFonts w:ascii="Times New Roman"/>
                <w:sz w:val="21"/>
                <w:szCs w:val="21"/>
              </w:rPr>
              <w:t>非甲烷总烃</w:t>
            </w:r>
          </w:p>
        </w:tc>
        <w:tc>
          <w:tcPr>
            <w:tcW w:w="943" w:type="dxa"/>
            <w:vMerge w:val="restart"/>
            <w:tcBorders>
              <w:top w:val="single" w:color="auto" w:sz="4" w:space="0"/>
            </w:tcBorders>
            <w:vAlign w:val="center"/>
          </w:tcPr>
          <w:p w14:paraId="2936AC52">
            <w:pPr>
              <w:jc w:val="center"/>
              <w:rPr>
                <w:rFonts w:ascii="Times New Roman"/>
                <w:sz w:val="21"/>
                <w:szCs w:val="21"/>
              </w:rPr>
            </w:pPr>
            <w:r>
              <w:rPr>
                <w:rFonts w:hint="eastAsia" w:ascii="Times New Roman"/>
                <w:sz w:val="21"/>
                <w:szCs w:val="21"/>
              </w:rPr>
              <w:t>8000</w:t>
            </w:r>
          </w:p>
        </w:tc>
        <w:tc>
          <w:tcPr>
            <w:tcW w:w="874" w:type="dxa"/>
            <w:tcBorders>
              <w:top w:val="single" w:color="auto" w:sz="4" w:space="0"/>
            </w:tcBorders>
            <w:vAlign w:val="center"/>
          </w:tcPr>
          <w:p w14:paraId="53E3FF3C">
            <w:pPr>
              <w:jc w:val="center"/>
              <w:rPr>
                <w:rFonts w:ascii="Times New Roman"/>
                <w:sz w:val="21"/>
                <w:szCs w:val="21"/>
              </w:rPr>
            </w:pPr>
            <w:r>
              <w:rPr>
                <w:rFonts w:hint="eastAsia" w:ascii="Times New Roman"/>
                <w:sz w:val="21"/>
                <w:szCs w:val="21"/>
              </w:rPr>
              <w:t>4.375</w:t>
            </w:r>
          </w:p>
        </w:tc>
        <w:tc>
          <w:tcPr>
            <w:tcW w:w="798" w:type="dxa"/>
            <w:tcBorders>
              <w:top w:val="single" w:color="auto" w:sz="4" w:space="0"/>
            </w:tcBorders>
            <w:vAlign w:val="center"/>
          </w:tcPr>
          <w:p w14:paraId="187D02D7">
            <w:pPr>
              <w:jc w:val="center"/>
              <w:rPr>
                <w:rFonts w:ascii="Times New Roman"/>
                <w:sz w:val="21"/>
                <w:szCs w:val="21"/>
              </w:rPr>
            </w:pPr>
            <w:r>
              <w:rPr>
                <w:rFonts w:hint="eastAsia" w:ascii="Times New Roman"/>
                <w:sz w:val="21"/>
                <w:szCs w:val="21"/>
              </w:rPr>
              <w:t>0.035</w:t>
            </w:r>
          </w:p>
        </w:tc>
        <w:tc>
          <w:tcPr>
            <w:tcW w:w="845" w:type="dxa"/>
            <w:tcBorders>
              <w:top w:val="single" w:color="auto" w:sz="4" w:space="0"/>
            </w:tcBorders>
            <w:vAlign w:val="center"/>
          </w:tcPr>
          <w:p w14:paraId="0E81A538">
            <w:pPr>
              <w:jc w:val="center"/>
              <w:rPr>
                <w:rFonts w:ascii="Times New Roman"/>
                <w:sz w:val="21"/>
                <w:szCs w:val="21"/>
              </w:rPr>
            </w:pPr>
            <w:r>
              <w:rPr>
                <w:rFonts w:hint="eastAsia" w:ascii="Times New Roman"/>
                <w:sz w:val="21"/>
                <w:szCs w:val="21"/>
              </w:rPr>
              <w:t>0.084</w:t>
            </w:r>
          </w:p>
        </w:tc>
        <w:tc>
          <w:tcPr>
            <w:tcW w:w="646" w:type="dxa"/>
            <w:tcBorders>
              <w:top w:val="single" w:color="auto" w:sz="4" w:space="0"/>
              <w:bottom w:val="single" w:color="auto" w:sz="4" w:space="0"/>
            </w:tcBorders>
            <w:vAlign w:val="center"/>
          </w:tcPr>
          <w:p w14:paraId="4DB866BF">
            <w:pPr>
              <w:jc w:val="center"/>
              <w:rPr>
                <w:rFonts w:ascii="Times New Roman"/>
                <w:sz w:val="21"/>
                <w:szCs w:val="21"/>
              </w:rPr>
            </w:pPr>
            <w:r>
              <w:rPr>
                <w:rFonts w:hint="eastAsia" w:ascii="Times New Roman"/>
                <w:sz w:val="21"/>
                <w:szCs w:val="21"/>
              </w:rPr>
              <w:t>95</w:t>
            </w:r>
          </w:p>
        </w:tc>
        <w:tc>
          <w:tcPr>
            <w:tcW w:w="774" w:type="dxa"/>
            <w:vMerge w:val="restart"/>
            <w:tcBorders>
              <w:top w:val="single" w:color="auto" w:sz="4" w:space="0"/>
            </w:tcBorders>
            <w:vAlign w:val="center"/>
          </w:tcPr>
          <w:p w14:paraId="40BB5B5F">
            <w:pPr>
              <w:jc w:val="center"/>
              <w:rPr>
                <w:rFonts w:ascii="Times New Roman"/>
                <w:sz w:val="21"/>
                <w:szCs w:val="21"/>
              </w:rPr>
            </w:pPr>
            <w:r>
              <w:rPr>
                <w:rFonts w:hint="eastAsia" w:ascii="Times New Roman"/>
                <w:kern w:val="0"/>
                <w:sz w:val="21"/>
                <w:szCs w:val="21"/>
              </w:rPr>
              <w:t>水喷淋+</w:t>
            </w:r>
            <w:r>
              <w:rPr>
                <w:rFonts w:ascii="Times New Roman"/>
                <w:kern w:val="0"/>
                <w:sz w:val="21"/>
                <w:szCs w:val="21"/>
              </w:rPr>
              <w:t>二级活性炭吸附装置</w:t>
            </w:r>
          </w:p>
        </w:tc>
        <w:tc>
          <w:tcPr>
            <w:tcW w:w="652" w:type="dxa"/>
            <w:vAlign w:val="center"/>
          </w:tcPr>
          <w:p w14:paraId="4B47F77E">
            <w:pPr>
              <w:jc w:val="center"/>
              <w:rPr>
                <w:rFonts w:ascii="Times New Roman"/>
                <w:sz w:val="21"/>
                <w:szCs w:val="21"/>
              </w:rPr>
            </w:pPr>
            <w:r>
              <w:rPr>
                <w:rFonts w:hint="eastAsia" w:ascii="Times New Roman"/>
                <w:sz w:val="21"/>
                <w:szCs w:val="21"/>
              </w:rPr>
              <w:t>70</w:t>
            </w:r>
          </w:p>
        </w:tc>
        <w:tc>
          <w:tcPr>
            <w:tcW w:w="832" w:type="dxa"/>
            <w:vAlign w:val="center"/>
          </w:tcPr>
          <w:p w14:paraId="4CC6F8A1">
            <w:pPr>
              <w:jc w:val="center"/>
              <w:rPr>
                <w:rFonts w:ascii="Times New Roman"/>
                <w:sz w:val="21"/>
                <w:szCs w:val="21"/>
              </w:rPr>
            </w:pPr>
            <w:r>
              <w:rPr>
                <w:rFonts w:hint="eastAsia" w:ascii="Times New Roman"/>
                <w:sz w:val="21"/>
                <w:szCs w:val="21"/>
              </w:rPr>
              <w:t>1.247</w:t>
            </w:r>
          </w:p>
        </w:tc>
        <w:tc>
          <w:tcPr>
            <w:tcW w:w="819" w:type="dxa"/>
            <w:vAlign w:val="center"/>
          </w:tcPr>
          <w:p w14:paraId="178F2F4E">
            <w:pPr>
              <w:jc w:val="center"/>
              <w:rPr>
                <w:rFonts w:ascii="Times New Roman"/>
                <w:sz w:val="21"/>
                <w:szCs w:val="21"/>
              </w:rPr>
            </w:pPr>
            <w:r>
              <w:rPr>
                <w:rFonts w:hint="eastAsia" w:ascii="Times New Roman"/>
                <w:sz w:val="21"/>
                <w:szCs w:val="21"/>
              </w:rPr>
              <w:t>0.010</w:t>
            </w:r>
          </w:p>
        </w:tc>
        <w:tc>
          <w:tcPr>
            <w:tcW w:w="819" w:type="dxa"/>
            <w:vAlign w:val="center"/>
          </w:tcPr>
          <w:p w14:paraId="141A8DC1">
            <w:pPr>
              <w:jc w:val="center"/>
              <w:rPr>
                <w:rFonts w:ascii="Times New Roman"/>
                <w:sz w:val="21"/>
                <w:szCs w:val="21"/>
              </w:rPr>
            </w:pPr>
            <w:r>
              <w:rPr>
                <w:rFonts w:hint="eastAsia" w:ascii="Times New Roman"/>
                <w:sz w:val="21"/>
                <w:szCs w:val="21"/>
              </w:rPr>
              <w:t>0.024</w:t>
            </w:r>
          </w:p>
        </w:tc>
        <w:tc>
          <w:tcPr>
            <w:tcW w:w="832" w:type="dxa"/>
            <w:tcBorders>
              <w:top w:val="single" w:color="auto" w:sz="4" w:space="0"/>
            </w:tcBorders>
            <w:shd w:val="clear" w:color="auto" w:fill="auto"/>
            <w:vAlign w:val="center"/>
          </w:tcPr>
          <w:p w14:paraId="321FF18E">
            <w:pPr>
              <w:jc w:val="center"/>
              <w:rPr>
                <w:rFonts w:ascii="Times New Roman"/>
                <w:sz w:val="21"/>
                <w:szCs w:val="21"/>
              </w:rPr>
            </w:pPr>
            <w:r>
              <w:rPr>
                <w:rFonts w:hint="eastAsia" w:ascii="Times New Roman"/>
                <w:sz w:val="21"/>
                <w:szCs w:val="21"/>
              </w:rPr>
              <w:t>6</w:t>
            </w:r>
            <w:r>
              <w:rPr>
                <w:rFonts w:ascii="Times New Roman"/>
                <w:sz w:val="21"/>
                <w:szCs w:val="21"/>
              </w:rPr>
              <w:t>0</w:t>
            </w:r>
          </w:p>
        </w:tc>
        <w:tc>
          <w:tcPr>
            <w:tcW w:w="519" w:type="dxa"/>
            <w:vMerge w:val="restart"/>
            <w:tcBorders>
              <w:top w:val="single" w:color="auto" w:sz="4" w:space="0"/>
            </w:tcBorders>
            <w:vAlign w:val="center"/>
          </w:tcPr>
          <w:p w14:paraId="22D0ECAA">
            <w:pPr>
              <w:jc w:val="center"/>
              <w:rPr>
                <w:rFonts w:ascii="Times New Roman"/>
                <w:sz w:val="21"/>
                <w:szCs w:val="21"/>
              </w:rPr>
            </w:pPr>
            <w:r>
              <w:rPr>
                <w:rFonts w:hint="eastAsia" w:ascii="Times New Roman"/>
                <w:sz w:val="21"/>
                <w:szCs w:val="21"/>
              </w:rPr>
              <w:t>20</w:t>
            </w:r>
          </w:p>
        </w:tc>
        <w:tc>
          <w:tcPr>
            <w:tcW w:w="592" w:type="dxa"/>
            <w:vMerge w:val="restart"/>
            <w:tcBorders>
              <w:top w:val="single" w:color="auto" w:sz="4" w:space="0"/>
            </w:tcBorders>
            <w:vAlign w:val="center"/>
          </w:tcPr>
          <w:p w14:paraId="235AB001">
            <w:pPr>
              <w:jc w:val="center"/>
              <w:rPr>
                <w:rFonts w:ascii="Times New Roman"/>
                <w:sz w:val="21"/>
                <w:szCs w:val="21"/>
              </w:rPr>
            </w:pPr>
            <w:r>
              <w:rPr>
                <w:rFonts w:hint="eastAsia" w:ascii="Times New Roman"/>
                <w:sz w:val="21"/>
                <w:szCs w:val="21"/>
              </w:rPr>
              <w:t>0.3</w:t>
            </w:r>
          </w:p>
        </w:tc>
        <w:tc>
          <w:tcPr>
            <w:tcW w:w="603" w:type="dxa"/>
            <w:vMerge w:val="restart"/>
            <w:tcBorders>
              <w:top w:val="single" w:color="auto" w:sz="4" w:space="0"/>
            </w:tcBorders>
            <w:vAlign w:val="center"/>
          </w:tcPr>
          <w:p w14:paraId="2312A3CA">
            <w:pPr>
              <w:jc w:val="center"/>
              <w:rPr>
                <w:rFonts w:ascii="Times New Roman"/>
                <w:sz w:val="21"/>
                <w:szCs w:val="21"/>
              </w:rPr>
            </w:pPr>
            <w:r>
              <w:rPr>
                <w:rFonts w:hint="eastAsia" w:ascii="Times New Roman"/>
                <w:sz w:val="21"/>
                <w:szCs w:val="21"/>
              </w:rPr>
              <w:t>60</w:t>
            </w:r>
          </w:p>
        </w:tc>
        <w:tc>
          <w:tcPr>
            <w:tcW w:w="602" w:type="dxa"/>
            <w:vMerge w:val="restart"/>
            <w:tcBorders>
              <w:top w:val="single" w:color="auto" w:sz="4" w:space="0"/>
            </w:tcBorders>
            <w:vAlign w:val="center"/>
          </w:tcPr>
          <w:p w14:paraId="0B99DDE1">
            <w:pPr>
              <w:jc w:val="center"/>
              <w:rPr>
                <w:rFonts w:ascii="Times New Roman"/>
                <w:sz w:val="21"/>
                <w:szCs w:val="21"/>
              </w:rPr>
            </w:pPr>
            <w:r>
              <w:rPr>
                <w:rFonts w:hint="eastAsia" w:ascii="Times New Roman"/>
                <w:sz w:val="21"/>
                <w:szCs w:val="21"/>
              </w:rPr>
              <w:t>2400</w:t>
            </w:r>
          </w:p>
        </w:tc>
      </w:tr>
      <w:tr w14:paraId="70831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969" w:type="dxa"/>
            <w:vMerge w:val="continue"/>
            <w:vAlign w:val="center"/>
          </w:tcPr>
          <w:p w14:paraId="58B859A4">
            <w:pPr>
              <w:jc w:val="center"/>
              <w:rPr>
                <w:rFonts w:ascii="Times New Roman"/>
                <w:sz w:val="21"/>
                <w:szCs w:val="21"/>
              </w:rPr>
            </w:pPr>
          </w:p>
        </w:tc>
        <w:tc>
          <w:tcPr>
            <w:tcW w:w="967" w:type="dxa"/>
            <w:tcBorders>
              <w:top w:val="single" w:color="auto" w:sz="4" w:space="0"/>
            </w:tcBorders>
            <w:shd w:val="clear" w:color="auto" w:fill="auto"/>
            <w:vAlign w:val="center"/>
          </w:tcPr>
          <w:p w14:paraId="622DBD17">
            <w:pPr>
              <w:jc w:val="center"/>
              <w:rPr>
                <w:rFonts w:ascii="Times New Roman"/>
                <w:sz w:val="21"/>
                <w:szCs w:val="21"/>
              </w:rPr>
            </w:pPr>
            <w:r>
              <w:rPr>
                <w:rFonts w:ascii="Times New Roman"/>
                <w:sz w:val="21"/>
                <w:szCs w:val="21"/>
              </w:rPr>
              <w:t>颗粒物</w:t>
            </w:r>
          </w:p>
        </w:tc>
        <w:tc>
          <w:tcPr>
            <w:tcW w:w="943" w:type="dxa"/>
            <w:vMerge w:val="continue"/>
            <w:vAlign w:val="center"/>
          </w:tcPr>
          <w:p w14:paraId="2882F8D6">
            <w:pPr>
              <w:jc w:val="center"/>
              <w:rPr>
                <w:rFonts w:ascii="Times New Roman"/>
                <w:sz w:val="21"/>
                <w:szCs w:val="21"/>
              </w:rPr>
            </w:pPr>
          </w:p>
        </w:tc>
        <w:tc>
          <w:tcPr>
            <w:tcW w:w="874" w:type="dxa"/>
            <w:shd w:val="clear" w:color="auto" w:fill="auto"/>
            <w:vAlign w:val="center"/>
          </w:tcPr>
          <w:p w14:paraId="6C2F0B4C">
            <w:pPr>
              <w:jc w:val="center"/>
              <w:rPr>
                <w:rFonts w:ascii="Times New Roman"/>
                <w:sz w:val="21"/>
                <w:szCs w:val="21"/>
                <w:lang w:bidi="zh-TW"/>
              </w:rPr>
            </w:pPr>
            <w:r>
              <w:rPr>
                <w:rFonts w:hint="eastAsia" w:ascii="Times New Roman"/>
                <w:sz w:val="21"/>
                <w:szCs w:val="21"/>
                <w:lang w:bidi="zh-TW"/>
              </w:rPr>
              <w:t>1.667</w:t>
            </w:r>
          </w:p>
        </w:tc>
        <w:tc>
          <w:tcPr>
            <w:tcW w:w="798" w:type="dxa"/>
            <w:shd w:val="clear" w:color="auto" w:fill="auto"/>
            <w:vAlign w:val="center"/>
          </w:tcPr>
          <w:p w14:paraId="2DD1485C">
            <w:pPr>
              <w:jc w:val="center"/>
              <w:rPr>
                <w:rFonts w:ascii="Times New Roman"/>
                <w:sz w:val="21"/>
                <w:szCs w:val="21"/>
                <w:lang w:bidi="zh-TW"/>
              </w:rPr>
            </w:pPr>
            <w:r>
              <w:rPr>
                <w:rFonts w:hint="eastAsia" w:ascii="Times New Roman"/>
                <w:sz w:val="21"/>
                <w:szCs w:val="21"/>
                <w:lang w:bidi="zh-TW"/>
              </w:rPr>
              <w:t>0.013</w:t>
            </w:r>
          </w:p>
        </w:tc>
        <w:tc>
          <w:tcPr>
            <w:tcW w:w="845" w:type="dxa"/>
            <w:shd w:val="clear" w:color="auto" w:fill="auto"/>
            <w:vAlign w:val="center"/>
          </w:tcPr>
          <w:p w14:paraId="0747F7C4">
            <w:pPr>
              <w:jc w:val="center"/>
              <w:rPr>
                <w:rFonts w:ascii="Times New Roman"/>
                <w:sz w:val="21"/>
                <w:szCs w:val="21"/>
                <w:lang w:bidi="zh-TW"/>
              </w:rPr>
            </w:pPr>
            <w:r>
              <w:rPr>
                <w:rFonts w:hint="eastAsia" w:ascii="Times New Roman"/>
                <w:sz w:val="21"/>
                <w:szCs w:val="21"/>
                <w:lang w:bidi="zh-TW"/>
              </w:rPr>
              <w:t>0.032</w:t>
            </w:r>
          </w:p>
        </w:tc>
        <w:tc>
          <w:tcPr>
            <w:tcW w:w="646" w:type="dxa"/>
            <w:vMerge w:val="restart"/>
            <w:tcBorders>
              <w:top w:val="single" w:color="auto" w:sz="4" w:space="0"/>
            </w:tcBorders>
            <w:vAlign w:val="center"/>
          </w:tcPr>
          <w:p w14:paraId="1DA5A67B">
            <w:pPr>
              <w:jc w:val="center"/>
              <w:rPr>
                <w:rFonts w:ascii="Times New Roman"/>
                <w:sz w:val="21"/>
                <w:szCs w:val="21"/>
              </w:rPr>
            </w:pPr>
            <w:r>
              <w:rPr>
                <w:rFonts w:hint="eastAsia" w:ascii="Times New Roman"/>
                <w:sz w:val="21"/>
                <w:szCs w:val="21"/>
              </w:rPr>
              <w:t>100</w:t>
            </w:r>
          </w:p>
        </w:tc>
        <w:tc>
          <w:tcPr>
            <w:tcW w:w="774" w:type="dxa"/>
            <w:vMerge w:val="continue"/>
            <w:vAlign w:val="center"/>
          </w:tcPr>
          <w:p w14:paraId="480C5AD9">
            <w:pPr>
              <w:jc w:val="center"/>
              <w:rPr>
                <w:rFonts w:ascii="Times New Roman"/>
                <w:sz w:val="21"/>
                <w:szCs w:val="21"/>
              </w:rPr>
            </w:pPr>
          </w:p>
        </w:tc>
        <w:tc>
          <w:tcPr>
            <w:tcW w:w="652" w:type="dxa"/>
            <w:shd w:val="clear" w:color="auto" w:fill="auto"/>
            <w:vAlign w:val="center"/>
          </w:tcPr>
          <w:p w14:paraId="1A021EF4">
            <w:pPr>
              <w:jc w:val="center"/>
              <w:rPr>
                <w:rFonts w:ascii="Times New Roman" w:eastAsia="Times New Roman"/>
                <w:sz w:val="21"/>
                <w:szCs w:val="21"/>
              </w:rPr>
            </w:pPr>
            <w:r>
              <w:rPr>
                <w:rFonts w:ascii="Times New Roman" w:eastAsia="Times New Roman"/>
                <w:sz w:val="21"/>
                <w:szCs w:val="21"/>
              </w:rPr>
              <w:t>0</w:t>
            </w:r>
          </w:p>
        </w:tc>
        <w:tc>
          <w:tcPr>
            <w:tcW w:w="832" w:type="dxa"/>
            <w:shd w:val="clear" w:color="auto" w:fill="auto"/>
            <w:vAlign w:val="center"/>
          </w:tcPr>
          <w:p w14:paraId="223B2996">
            <w:pPr>
              <w:jc w:val="center"/>
              <w:rPr>
                <w:rFonts w:ascii="Times New Roman"/>
                <w:sz w:val="21"/>
                <w:szCs w:val="21"/>
                <w:lang w:bidi="zh-TW"/>
              </w:rPr>
            </w:pPr>
            <w:r>
              <w:rPr>
                <w:rFonts w:hint="eastAsia" w:ascii="Times New Roman"/>
                <w:sz w:val="21"/>
                <w:szCs w:val="21"/>
                <w:lang w:bidi="zh-TW"/>
              </w:rPr>
              <w:t>1.667</w:t>
            </w:r>
          </w:p>
        </w:tc>
        <w:tc>
          <w:tcPr>
            <w:tcW w:w="819" w:type="dxa"/>
            <w:shd w:val="clear" w:color="auto" w:fill="auto"/>
            <w:vAlign w:val="center"/>
          </w:tcPr>
          <w:p w14:paraId="6A71F4B6">
            <w:pPr>
              <w:jc w:val="center"/>
              <w:rPr>
                <w:rFonts w:ascii="Times New Roman"/>
                <w:sz w:val="21"/>
                <w:szCs w:val="21"/>
                <w:lang w:bidi="zh-TW"/>
              </w:rPr>
            </w:pPr>
            <w:r>
              <w:rPr>
                <w:rFonts w:hint="eastAsia" w:ascii="Times New Roman"/>
                <w:sz w:val="21"/>
                <w:szCs w:val="21"/>
                <w:lang w:bidi="zh-TW"/>
              </w:rPr>
              <w:t>0.013</w:t>
            </w:r>
          </w:p>
        </w:tc>
        <w:tc>
          <w:tcPr>
            <w:tcW w:w="819" w:type="dxa"/>
            <w:shd w:val="clear" w:color="auto" w:fill="auto"/>
            <w:vAlign w:val="center"/>
          </w:tcPr>
          <w:p w14:paraId="34125DF6">
            <w:pPr>
              <w:jc w:val="center"/>
              <w:rPr>
                <w:rFonts w:ascii="Times New Roman"/>
                <w:sz w:val="21"/>
                <w:szCs w:val="21"/>
                <w:lang w:bidi="zh-TW"/>
              </w:rPr>
            </w:pPr>
            <w:r>
              <w:rPr>
                <w:rFonts w:hint="eastAsia" w:ascii="Times New Roman"/>
                <w:sz w:val="21"/>
                <w:szCs w:val="21"/>
                <w:lang w:bidi="zh-TW"/>
              </w:rPr>
              <w:t>0.032</w:t>
            </w:r>
          </w:p>
        </w:tc>
        <w:tc>
          <w:tcPr>
            <w:tcW w:w="832" w:type="dxa"/>
            <w:shd w:val="clear" w:color="auto" w:fill="auto"/>
            <w:vAlign w:val="center"/>
          </w:tcPr>
          <w:p w14:paraId="2073F103">
            <w:pPr>
              <w:jc w:val="center"/>
              <w:rPr>
                <w:rFonts w:ascii="Times New Roman"/>
                <w:sz w:val="21"/>
                <w:szCs w:val="21"/>
              </w:rPr>
            </w:pPr>
            <w:r>
              <w:rPr>
                <w:rFonts w:hint="eastAsia" w:ascii="Times New Roman"/>
                <w:sz w:val="21"/>
                <w:szCs w:val="21"/>
              </w:rPr>
              <w:t>30</w:t>
            </w:r>
          </w:p>
        </w:tc>
        <w:tc>
          <w:tcPr>
            <w:tcW w:w="519" w:type="dxa"/>
            <w:vMerge w:val="continue"/>
            <w:tcBorders>
              <w:top w:val="single" w:color="auto" w:sz="4" w:space="0"/>
              <w:bottom w:val="single" w:color="auto" w:sz="4" w:space="0"/>
            </w:tcBorders>
            <w:vAlign w:val="center"/>
          </w:tcPr>
          <w:p w14:paraId="3365B6BB">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4A17A75C">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05CDCF80">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18AA3DFA">
            <w:pPr>
              <w:jc w:val="center"/>
              <w:rPr>
                <w:rFonts w:ascii="Times New Roman"/>
                <w:sz w:val="21"/>
                <w:szCs w:val="21"/>
              </w:rPr>
            </w:pPr>
          </w:p>
        </w:tc>
      </w:tr>
      <w:tr w14:paraId="76BA3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969" w:type="dxa"/>
            <w:vMerge w:val="continue"/>
            <w:vAlign w:val="center"/>
          </w:tcPr>
          <w:p w14:paraId="6F909120">
            <w:pPr>
              <w:jc w:val="center"/>
              <w:rPr>
                <w:rFonts w:ascii="Times New Roman"/>
                <w:sz w:val="21"/>
                <w:szCs w:val="21"/>
              </w:rPr>
            </w:pPr>
          </w:p>
        </w:tc>
        <w:tc>
          <w:tcPr>
            <w:tcW w:w="967" w:type="dxa"/>
            <w:tcBorders>
              <w:top w:val="single" w:color="auto" w:sz="4" w:space="0"/>
            </w:tcBorders>
            <w:shd w:val="clear" w:color="auto" w:fill="auto"/>
            <w:vAlign w:val="center"/>
          </w:tcPr>
          <w:p w14:paraId="6ECAFB69">
            <w:pPr>
              <w:jc w:val="center"/>
              <w:rPr>
                <w:rFonts w:ascii="Times New Roman" w:eastAsia="Times New Roman"/>
                <w:sz w:val="21"/>
                <w:szCs w:val="21"/>
              </w:rPr>
            </w:pPr>
            <w:r>
              <w:rPr>
                <w:rFonts w:ascii="Times New Roman" w:eastAsia="Times New Roman"/>
                <w:sz w:val="21"/>
                <w:szCs w:val="21"/>
              </w:rPr>
              <w:t>SO</w:t>
            </w:r>
            <w:r>
              <w:rPr>
                <w:rFonts w:ascii="Times New Roman" w:eastAsia="Times New Roman"/>
                <w:sz w:val="21"/>
                <w:szCs w:val="21"/>
                <w:vertAlign w:val="subscript"/>
              </w:rPr>
              <w:t>2</w:t>
            </w:r>
          </w:p>
        </w:tc>
        <w:tc>
          <w:tcPr>
            <w:tcW w:w="943" w:type="dxa"/>
            <w:vMerge w:val="continue"/>
            <w:vAlign w:val="center"/>
          </w:tcPr>
          <w:p w14:paraId="1FCAA368">
            <w:pPr>
              <w:jc w:val="center"/>
              <w:rPr>
                <w:rFonts w:ascii="Times New Roman"/>
                <w:sz w:val="21"/>
                <w:szCs w:val="21"/>
              </w:rPr>
            </w:pPr>
          </w:p>
        </w:tc>
        <w:tc>
          <w:tcPr>
            <w:tcW w:w="874" w:type="dxa"/>
            <w:shd w:val="clear" w:color="auto" w:fill="auto"/>
            <w:vAlign w:val="center"/>
          </w:tcPr>
          <w:p w14:paraId="02F87359">
            <w:pPr>
              <w:jc w:val="center"/>
              <w:rPr>
                <w:rFonts w:ascii="Times New Roman"/>
                <w:sz w:val="21"/>
                <w:szCs w:val="21"/>
                <w:lang w:bidi="zh-TW"/>
              </w:rPr>
            </w:pPr>
            <w:r>
              <w:rPr>
                <w:rFonts w:hint="eastAsia" w:ascii="Times New Roman"/>
                <w:sz w:val="21"/>
                <w:szCs w:val="21"/>
                <w:lang w:bidi="zh-TW"/>
              </w:rPr>
              <w:t>0.208</w:t>
            </w:r>
          </w:p>
        </w:tc>
        <w:tc>
          <w:tcPr>
            <w:tcW w:w="798" w:type="dxa"/>
            <w:shd w:val="clear" w:color="auto" w:fill="auto"/>
            <w:vAlign w:val="center"/>
          </w:tcPr>
          <w:p w14:paraId="0D2D1E17">
            <w:pPr>
              <w:jc w:val="center"/>
              <w:rPr>
                <w:rFonts w:ascii="Times New Roman"/>
                <w:sz w:val="21"/>
                <w:szCs w:val="21"/>
                <w:lang w:bidi="zh-TW"/>
              </w:rPr>
            </w:pPr>
            <w:r>
              <w:rPr>
                <w:rFonts w:hint="eastAsia" w:ascii="Times New Roman"/>
                <w:sz w:val="21"/>
                <w:szCs w:val="21"/>
                <w:lang w:bidi="zh-TW"/>
              </w:rPr>
              <w:t>0.002</w:t>
            </w:r>
          </w:p>
        </w:tc>
        <w:tc>
          <w:tcPr>
            <w:tcW w:w="845" w:type="dxa"/>
            <w:shd w:val="clear" w:color="auto" w:fill="auto"/>
            <w:vAlign w:val="center"/>
          </w:tcPr>
          <w:p w14:paraId="7C001644">
            <w:pPr>
              <w:jc w:val="center"/>
              <w:rPr>
                <w:rFonts w:ascii="Times New Roman"/>
                <w:sz w:val="21"/>
                <w:szCs w:val="21"/>
                <w:lang w:bidi="zh-TW"/>
              </w:rPr>
            </w:pPr>
            <w:r>
              <w:rPr>
                <w:rFonts w:hint="eastAsia" w:ascii="Times New Roman"/>
                <w:sz w:val="21"/>
                <w:szCs w:val="21"/>
                <w:lang w:bidi="zh-TW"/>
              </w:rPr>
              <w:t>0.004</w:t>
            </w:r>
          </w:p>
        </w:tc>
        <w:tc>
          <w:tcPr>
            <w:tcW w:w="646" w:type="dxa"/>
            <w:vMerge w:val="continue"/>
            <w:vAlign w:val="center"/>
          </w:tcPr>
          <w:p w14:paraId="0757CC01">
            <w:pPr>
              <w:jc w:val="center"/>
              <w:rPr>
                <w:rFonts w:ascii="Times New Roman"/>
                <w:sz w:val="21"/>
                <w:szCs w:val="21"/>
              </w:rPr>
            </w:pPr>
          </w:p>
        </w:tc>
        <w:tc>
          <w:tcPr>
            <w:tcW w:w="774" w:type="dxa"/>
            <w:vMerge w:val="continue"/>
            <w:vAlign w:val="center"/>
          </w:tcPr>
          <w:p w14:paraId="06B2DF53">
            <w:pPr>
              <w:jc w:val="center"/>
              <w:rPr>
                <w:rFonts w:ascii="Times New Roman"/>
                <w:sz w:val="21"/>
                <w:szCs w:val="21"/>
              </w:rPr>
            </w:pPr>
          </w:p>
        </w:tc>
        <w:tc>
          <w:tcPr>
            <w:tcW w:w="652" w:type="dxa"/>
            <w:shd w:val="clear" w:color="auto" w:fill="auto"/>
            <w:vAlign w:val="center"/>
          </w:tcPr>
          <w:p w14:paraId="78212F97">
            <w:pPr>
              <w:jc w:val="center"/>
              <w:rPr>
                <w:rFonts w:ascii="Times New Roman" w:eastAsia="Times New Roman"/>
                <w:sz w:val="21"/>
                <w:szCs w:val="21"/>
              </w:rPr>
            </w:pPr>
            <w:r>
              <w:rPr>
                <w:rFonts w:ascii="Times New Roman" w:eastAsia="Times New Roman"/>
                <w:sz w:val="21"/>
                <w:szCs w:val="21"/>
              </w:rPr>
              <w:t>0</w:t>
            </w:r>
          </w:p>
        </w:tc>
        <w:tc>
          <w:tcPr>
            <w:tcW w:w="832" w:type="dxa"/>
            <w:shd w:val="clear" w:color="auto" w:fill="auto"/>
            <w:vAlign w:val="center"/>
          </w:tcPr>
          <w:p w14:paraId="146CEEA3">
            <w:pPr>
              <w:jc w:val="center"/>
              <w:rPr>
                <w:rFonts w:ascii="Times New Roman"/>
                <w:sz w:val="21"/>
                <w:szCs w:val="21"/>
                <w:lang w:bidi="zh-TW"/>
              </w:rPr>
            </w:pPr>
            <w:r>
              <w:rPr>
                <w:rFonts w:hint="eastAsia" w:ascii="Times New Roman"/>
                <w:sz w:val="21"/>
                <w:szCs w:val="21"/>
                <w:lang w:bidi="zh-TW"/>
              </w:rPr>
              <w:t>0.208</w:t>
            </w:r>
          </w:p>
        </w:tc>
        <w:tc>
          <w:tcPr>
            <w:tcW w:w="819" w:type="dxa"/>
            <w:shd w:val="clear" w:color="auto" w:fill="auto"/>
            <w:vAlign w:val="center"/>
          </w:tcPr>
          <w:p w14:paraId="4C39FEFD">
            <w:pPr>
              <w:jc w:val="center"/>
              <w:rPr>
                <w:rFonts w:ascii="Times New Roman"/>
                <w:sz w:val="21"/>
                <w:szCs w:val="21"/>
                <w:lang w:bidi="zh-TW"/>
              </w:rPr>
            </w:pPr>
            <w:r>
              <w:rPr>
                <w:rFonts w:hint="eastAsia" w:ascii="Times New Roman"/>
                <w:sz w:val="21"/>
                <w:szCs w:val="21"/>
                <w:lang w:bidi="zh-TW"/>
              </w:rPr>
              <w:t>0.002</w:t>
            </w:r>
          </w:p>
        </w:tc>
        <w:tc>
          <w:tcPr>
            <w:tcW w:w="819" w:type="dxa"/>
            <w:shd w:val="clear" w:color="auto" w:fill="auto"/>
            <w:vAlign w:val="center"/>
          </w:tcPr>
          <w:p w14:paraId="5EA4417B">
            <w:pPr>
              <w:jc w:val="center"/>
              <w:rPr>
                <w:rFonts w:ascii="Times New Roman"/>
                <w:sz w:val="21"/>
                <w:szCs w:val="21"/>
                <w:lang w:bidi="zh-TW"/>
              </w:rPr>
            </w:pPr>
            <w:r>
              <w:rPr>
                <w:rFonts w:hint="eastAsia" w:ascii="Times New Roman"/>
                <w:sz w:val="21"/>
                <w:szCs w:val="21"/>
                <w:lang w:bidi="zh-TW"/>
              </w:rPr>
              <w:t>0.004</w:t>
            </w:r>
          </w:p>
        </w:tc>
        <w:tc>
          <w:tcPr>
            <w:tcW w:w="832" w:type="dxa"/>
            <w:shd w:val="clear" w:color="auto" w:fill="auto"/>
            <w:vAlign w:val="center"/>
          </w:tcPr>
          <w:p w14:paraId="6EC1B00E">
            <w:pPr>
              <w:jc w:val="center"/>
              <w:rPr>
                <w:rFonts w:ascii="Times New Roman"/>
                <w:sz w:val="21"/>
                <w:szCs w:val="21"/>
              </w:rPr>
            </w:pPr>
            <w:r>
              <w:rPr>
                <w:rFonts w:hint="eastAsia" w:ascii="Times New Roman"/>
                <w:sz w:val="21"/>
                <w:szCs w:val="21"/>
              </w:rPr>
              <w:t>200</w:t>
            </w:r>
          </w:p>
        </w:tc>
        <w:tc>
          <w:tcPr>
            <w:tcW w:w="519" w:type="dxa"/>
            <w:vMerge w:val="continue"/>
            <w:tcBorders>
              <w:top w:val="single" w:color="auto" w:sz="4" w:space="0"/>
              <w:bottom w:val="single" w:color="auto" w:sz="4" w:space="0"/>
            </w:tcBorders>
            <w:vAlign w:val="center"/>
          </w:tcPr>
          <w:p w14:paraId="6F3B6DC3">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04EAA37A">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3125CE68">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082BFBE7">
            <w:pPr>
              <w:jc w:val="center"/>
              <w:rPr>
                <w:rFonts w:ascii="Times New Roman"/>
                <w:sz w:val="21"/>
                <w:szCs w:val="21"/>
              </w:rPr>
            </w:pPr>
          </w:p>
        </w:tc>
      </w:tr>
      <w:tr w14:paraId="6ED4C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969" w:type="dxa"/>
            <w:vMerge w:val="continue"/>
            <w:vAlign w:val="center"/>
          </w:tcPr>
          <w:p w14:paraId="5CBBA890">
            <w:pPr>
              <w:jc w:val="center"/>
              <w:rPr>
                <w:rFonts w:ascii="Times New Roman"/>
                <w:sz w:val="21"/>
                <w:szCs w:val="21"/>
              </w:rPr>
            </w:pPr>
          </w:p>
        </w:tc>
        <w:tc>
          <w:tcPr>
            <w:tcW w:w="967" w:type="dxa"/>
            <w:tcBorders>
              <w:top w:val="single" w:color="auto" w:sz="4" w:space="0"/>
            </w:tcBorders>
            <w:shd w:val="clear" w:color="auto" w:fill="auto"/>
            <w:vAlign w:val="center"/>
          </w:tcPr>
          <w:p w14:paraId="535246D6">
            <w:pPr>
              <w:jc w:val="center"/>
              <w:rPr>
                <w:rFonts w:ascii="Times New Roman" w:eastAsia="Times New Roman"/>
                <w:sz w:val="21"/>
                <w:szCs w:val="21"/>
              </w:rPr>
            </w:pPr>
            <w:r>
              <w:rPr>
                <w:rFonts w:ascii="Times New Roman" w:eastAsia="Times New Roman"/>
                <w:sz w:val="21"/>
                <w:szCs w:val="21"/>
              </w:rPr>
              <w:t>NO</w:t>
            </w:r>
            <w:r>
              <w:rPr>
                <w:rFonts w:ascii="Times New Roman" w:eastAsia="Times New Roman"/>
                <w:sz w:val="21"/>
                <w:szCs w:val="21"/>
                <w:vertAlign w:val="subscript"/>
              </w:rPr>
              <w:t>X</w:t>
            </w:r>
          </w:p>
        </w:tc>
        <w:tc>
          <w:tcPr>
            <w:tcW w:w="943" w:type="dxa"/>
            <w:vMerge w:val="continue"/>
            <w:vAlign w:val="center"/>
          </w:tcPr>
          <w:p w14:paraId="2735C64F">
            <w:pPr>
              <w:jc w:val="center"/>
              <w:rPr>
                <w:rFonts w:ascii="Times New Roman"/>
                <w:sz w:val="21"/>
                <w:szCs w:val="21"/>
              </w:rPr>
            </w:pPr>
          </w:p>
        </w:tc>
        <w:tc>
          <w:tcPr>
            <w:tcW w:w="874" w:type="dxa"/>
            <w:shd w:val="clear" w:color="auto" w:fill="auto"/>
            <w:vAlign w:val="center"/>
          </w:tcPr>
          <w:p w14:paraId="5F95A0C3">
            <w:pPr>
              <w:jc w:val="center"/>
              <w:rPr>
                <w:rFonts w:ascii="Times New Roman"/>
                <w:sz w:val="21"/>
                <w:szCs w:val="21"/>
                <w:lang w:bidi="zh-TW"/>
              </w:rPr>
            </w:pPr>
            <w:r>
              <w:rPr>
                <w:rFonts w:hint="eastAsia" w:ascii="Times New Roman"/>
                <w:sz w:val="21"/>
                <w:szCs w:val="21"/>
                <w:lang w:bidi="zh-TW"/>
              </w:rPr>
              <w:t>10.833</w:t>
            </w:r>
          </w:p>
        </w:tc>
        <w:tc>
          <w:tcPr>
            <w:tcW w:w="798" w:type="dxa"/>
            <w:shd w:val="clear" w:color="auto" w:fill="auto"/>
            <w:vAlign w:val="center"/>
          </w:tcPr>
          <w:p w14:paraId="3AA772D9">
            <w:pPr>
              <w:jc w:val="center"/>
              <w:rPr>
                <w:rFonts w:ascii="Times New Roman"/>
                <w:sz w:val="21"/>
                <w:szCs w:val="21"/>
                <w:lang w:bidi="zh-TW"/>
              </w:rPr>
            </w:pPr>
            <w:r>
              <w:rPr>
                <w:rFonts w:hint="eastAsia" w:ascii="Times New Roman"/>
                <w:sz w:val="21"/>
                <w:szCs w:val="21"/>
                <w:lang w:bidi="zh-TW"/>
              </w:rPr>
              <w:t>0.087</w:t>
            </w:r>
          </w:p>
        </w:tc>
        <w:tc>
          <w:tcPr>
            <w:tcW w:w="845" w:type="dxa"/>
            <w:shd w:val="clear" w:color="auto" w:fill="auto"/>
            <w:vAlign w:val="center"/>
          </w:tcPr>
          <w:p w14:paraId="26C8A04C">
            <w:pPr>
              <w:jc w:val="center"/>
              <w:rPr>
                <w:rFonts w:ascii="Times New Roman"/>
                <w:sz w:val="21"/>
                <w:szCs w:val="21"/>
                <w:lang w:bidi="zh-TW"/>
              </w:rPr>
            </w:pPr>
            <w:r>
              <w:rPr>
                <w:rFonts w:hint="eastAsia" w:ascii="Times New Roman"/>
                <w:sz w:val="21"/>
                <w:szCs w:val="21"/>
                <w:lang w:bidi="zh-TW"/>
              </w:rPr>
              <w:t>0.208</w:t>
            </w:r>
          </w:p>
        </w:tc>
        <w:tc>
          <w:tcPr>
            <w:tcW w:w="646" w:type="dxa"/>
            <w:vMerge w:val="continue"/>
            <w:vAlign w:val="center"/>
          </w:tcPr>
          <w:p w14:paraId="13126BE5">
            <w:pPr>
              <w:jc w:val="center"/>
              <w:rPr>
                <w:rFonts w:ascii="Times New Roman"/>
                <w:sz w:val="21"/>
                <w:szCs w:val="21"/>
              </w:rPr>
            </w:pPr>
          </w:p>
        </w:tc>
        <w:tc>
          <w:tcPr>
            <w:tcW w:w="774" w:type="dxa"/>
            <w:vMerge w:val="continue"/>
            <w:vAlign w:val="center"/>
          </w:tcPr>
          <w:p w14:paraId="47C880E8">
            <w:pPr>
              <w:jc w:val="center"/>
              <w:rPr>
                <w:rFonts w:ascii="Times New Roman"/>
                <w:sz w:val="21"/>
                <w:szCs w:val="21"/>
              </w:rPr>
            </w:pPr>
          </w:p>
        </w:tc>
        <w:tc>
          <w:tcPr>
            <w:tcW w:w="652" w:type="dxa"/>
            <w:shd w:val="clear" w:color="auto" w:fill="auto"/>
            <w:vAlign w:val="center"/>
          </w:tcPr>
          <w:p w14:paraId="3B6A7CDA">
            <w:pPr>
              <w:jc w:val="center"/>
              <w:rPr>
                <w:rFonts w:ascii="Times New Roman"/>
                <w:sz w:val="21"/>
                <w:szCs w:val="21"/>
              </w:rPr>
            </w:pPr>
            <w:r>
              <w:rPr>
                <w:rFonts w:hint="eastAsia" w:ascii="Times New Roman"/>
                <w:sz w:val="21"/>
                <w:szCs w:val="21"/>
              </w:rPr>
              <w:t>5</w:t>
            </w:r>
            <w:r>
              <w:rPr>
                <w:rFonts w:ascii="Times New Roman"/>
                <w:sz w:val="21"/>
                <w:szCs w:val="21"/>
              </w:rPr>
              <w:t>0</w:t>
            </w:r>
          </w:p>
        </w:tc>
        <w:tc>
          <w:tcPr>
            <w:tcW w:w="832" w:type="dxa"/>
            <w:shd w:val="clear" w:color="auto" w:fill="auto"/>
            <w:vAlign w:val="center"/>
          </w:tcPr>
          <w:p w14:paraId="7D25F986">
            <w:pPr>
              <w:jc w:val="center"/>
              <w:rPr>
                <w:rFonts w:ascii="Times New Roman"/>
                <w:sz w:val="21"/>
                <w:szCs w:val="21"/>
                <w:lang w:bidi="zh-TW"/>
              </w:rPr>
            </w:pPr>
            <w:r>
              <w:rPr>
                <w:rFonts w:hint="eastAsia" w:ascii="Times New Roman"/>
                <w:sz w:val="21"/>
                <w:szCs w:val="21"/>
                <w:lang w:bidi="zh-TW"/>
              </w:rPr>
              <w:t>5.417</w:t>
            </w:r>
          </w:p>
        </w:tc>
        <w:tc>
          <w:tcPr>
            <w:tcW w:w="819" w:type="dxa"/>
            <w:shd w:val="clear" w:color="auto" w:fill="auto"/>
            <w:vAlign w:val="center"/>
          </w:tcPr>
          <w:p w14:paraId="70A218D9">
            <w:pPr>
              <w:jc w:val="center"/>
              <w:rPr>
                <w:rFonts w:ascii="Times New Roman"/>
                <w:sz w:val="21"/>
                <w:szCs w:val="21"/>
                <w:lang w:bidi="zh-TW"/>
              </w:rPr>
            </w:pPr>
            <w:r>
              <w:rPr>
                <w:rFonts w:hint="eastAsia" w:ascii="Times New Roman"/>
                <w:sz w:val="21"/>
                <w:szCs w:val="21"/>
                <w:lang w:bidi="zh-TW"/>
              </w:rPr>
              <w:t>0.043</w:t>
            </w:r>
          </w:p>
        </w:tc>
        <w:tc>
          <w:tcPr>
            <w:tcW w:w="819" w:type="dxa"/>
            <w:shd w:val="clear" w:color="auto" w:fill="auto"/>
            <w:vAlign w:val="center"/>
          </w:tcPr>
          <w:p w14:paraId="46586152">
            <w:pPr>
              <w:jc w:val="center"/>
              <w:rPr>
                <w:rFonts w:ascii="Times New Roman"/>
                <w:sz w:val="21"/>
                <w:szCs w:val="21"/>
                <w:lang w:bidi="zh-TW"/>
              </w:rPr>
            </w:pPr>
            <w:r>
              <w:rPr>
                <w:rFonts w:hint="eastAsia" w:ascii="Times New Roman"/>
                <w:sz w:val="21"/>
                <w:szCs w:val="21"/>
                <w:lang w:bidi="zh-TW"/>
              </w:rPr>
              <w:t>0.104</w:t>
            </w:r>
          </w:p>
        </w:tc>
        <w:tc>
          <w:tcPr>
            <w:tcW w:w="832" w:type="dxa"/>
            <w:shd w:val="clear" w:color="auto" w:fill="auto"/>
            <w:vAlign w:val="center"/>
          </w:tcPr>
          <w:p w14:paraId="561E7FEB">
            <w:pPr>
              <w:jc w:val="center"/>
              <w:rPr>
                <w:rFonts w:ascii="Times New Roman"/>
                <w:sz w:val="21"/>
                <w:szCs w:val="21"/>
              </w:rPr>
            </w:pPr>
            <w:r>
              <w:rPr>
                <w:rFonts w:hint="eastAsia" w:ascii="Times New Roman"/>
                <w:sz w:val="21"/>
                <w:szCs w:val="21"/>
              </w:rPr>
              <w:t>3</w:t>
            </w:r>
            <w:r>
              <w:rPr>
                <w:rFonts w:ascii="Times New Roman"/>
                <w:sz w:val="21"/>
                <w:szCs w:val="21"/>
              </w:rPr>
              <w:t>0</w:t>
            </w:r>
            <w:r>
              <w:rPr>
                <w:rFonts w:hint="eastAsia" w:ascii="Times New Roman"/>
                <w:sz w:val="21"/>
                <w:szCs w:val="21"/>
              </w:rPr>
              <w:t>0</w:t>
            </w:r>
          </w:p>
        </w:tc>
        <w:tc>
          <w:tcPr>
            <w:tcW w:w="519" w:type="dxa"/>
            <w:vMerge w:val="continue"/>
            <w:tcBorders>
              <w:top w:val="single" w:color="auto" w:sz="4" w:space="0"/>
              <w:bottom w:val="single" w:color="auto" w:sz="4" w:space="0"/>
            </w:tcBorders>
            <w:vAlign w:val="center"/>
          </w:tcPr>
          <w:p w14:paraId="638F81A1">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698B0BBD">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6C073DDC">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2F00D55A">
            <w:pPr>
              <w:jc w:val="center"/>
              <w:rPr>
                <w:rFonts w:ascii="Times New Roman"/>
                <w:sz w:val="21"/>
                <w:szCs w:val="21"/>
              </w:rPr>
            </w:pPr>
          </w:p>
        </w:tc>
      </w:tr>
      <w:tr w14:paraId="5A3D4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969" w:type="dxa"/>
            <w:vMerge w:val="continue"/>
            <w:vAlign w:val="center"/>
          </w:tcPr>
          <w:p w14:paraId="7EC58904">
            <w:pPr>
              <w:jc w:val="center"/>
              <w:rPr>
                <w:rFonts w:ascii="Times New Roman"/>
                <w:sz w:val="21"/>
                <w:szCs w:val="21"/>
              </w:rPr>
            </w:pPr>
          </w:p>
        </w:tc>
        <w:tc>
          <w:tcPr>
            <w:tcW w:w="967" w:type="dxa"/>
            <w:vAlign w:val="center"/>
          </w:tcPr>
          <w:p w14:paraId="421DF405">
            <w:pPr>
              <w:jc w:val="center"/>
              <w:rPr>
                <w:rFonts w:ascii="Times New Roman"/>
                <w:sz w:val="21"/>
                <w:szCs w:val="21"/>
              </w:rPr>
            </w:pPr>
            <w:r>
              <w:rPr>
                <w:rFonts w:ascii="Times New Roman"/>
                <w:sz w:val="21"/>
                <w:szCs w:val="21"/>
              </w:rPr>
              <w:t>烟气黑度</w:t>
            </w:r>
          </w:p>
        </w:tc>
        <w:tc>
          <w:tcPr>
            <w:tcW w:w="943" w:type="dxa"/>
            <w:vMerge w:val="continue"/>
            <w:vAlign w:val="center"/>
          </w:tcPr>
          <w:p w14:paraId="38372DF5">
            <w:pPr>
              <w:jc w:val="center"/>
              <w:rPr>
                <w:rFonts w:ascii="Times New Roman"/>
                <w:sz w:val="21"/>
                <w:szCs w:val="21"/>
              </w:rPr>
            </w:pPr>
          </w:p>
        </w:tc>
        <w:tc>
          <w:tcPr>
            <w:tcW w:w="874" w:type="dxa"/>
            <w:shd w:val="clear" w:color="auto" w:fill="auto"/>
            <w:vAlign w:val="center"/>
          </w:tcPr>
          <w:p w14:paraId="7467AFD0">
            <w:pPr>
              <w:jc w:val="center"/>
              <w:rPr>
                <w:rFonts w:ascii="Times New Roman"/>
                <w:sz w:val="21"/>
                <w:szCs w:val="21"/>
                <w:lang w:bidi="zh-TW"/>
              </w:rPr>
            </w:pPr>
            <w:r>
              <w:rPr>
                <w:rFonts w:ascii="Times New Roman"/>
                <w:sz w:val="21"/>
                <w:szCs w:val="21"/>
                <w:lang w:bidi="zh-TW"/>
              </w:rPr>
              <w:t>≤1级</w:t>
            </w:r>
          </w:p>
        </w:tc>
        <w:tc>
          <w:tcPr>
            <w:tcW w:w="798" w:type="dxa"/>
            <w:shd w:val="clear" w:color="auto" w:fill="auto"/>
            <w:vAlign w:val="center"/>
          </w:tcPr>
          <w:p w14:paraId="09A881ED">
            <w:pPr>
              <w:jc w:val="center"/>
              <w:rPr>
                <w:rFonts w:ascii="Times New Roman"/>
                <w:sz w:val="21"/>
                <w:szCs w:val="21"/>
                <w:lang w:bidi="zh-TW"/>
              </w:rPr>
            </w:pPr>
            <w:r>
              <w:rPr>
                <w:rFonts w:hint="eastAsia" w:ascii="Times New Roman"/>
                <w:sz w:val="21"/>
                <w:szCs w:val="21"/>
                <w:lang w:bidi="zh-TW"/>
              </w:rPr>
              <w:t>/</w:t>
            </w:r>
          </w:p>
        </w:tc>
        <w:tc>
          <w:tcPr>
            <w:tcW w:w="845" w:type="dxa"/>
            <w:shd w:val="clear" w:color="auto" w:fill="auto"/>
            <w:vAlign w:val="center"/>
          </w:tcPr>
          <w:p w14:paraId="3E32DA8A">
            <w:pPr>
              <w:jc w:val="center"/>
              <w:rPr>
                <w:rFonts w:ascii="Times New Roman"/>
                <w:sz w:val="21"/>
                <w:szCs w:val="21"/>
                <w:lang w:bidi="zh-TW"/>
              </w:rPr>
            </w:pPr>
            <w:r>
              <w:rPr>
                <w:rFonts w:hint="eastAsia" w:ascii="Times New Roman"/>
                <w:sz w:val="21"/>
                <w:szCs w:val="21"/>
                <w:lang w:bidi="zh-TW"/>
              </w:rPr>
              <w:t>/</w:t>
            </w:r>
          </w:p>
        </w:tc>
        <w:tc>
          <w:tcPr>
            <w:tcW w:w="646" w:type="dxa"/>
            <w:vMerge w:val="continue"/>
            <w:shd w:val="clear" w:color="auto" w:fill="auto"/>
            <w:vAlign w:val="center"/>
          </w:tcPr>
          <w:p w14:paraId="23F8FAFF">
            <w:pPr>
              <w:jc w:val="center"/>
              <w:rPr>
                <w:rFonts w:ascii="Times New Roman"/>
                <w:sz w:val="21"/>
                <w:szCs w:val="21"/>
              </w:rPr>
            </w:pPr>
          </w:p>
        </w:tc>
        <w:tc>
          <w:tcPr>
            <w:tcW w:w="774" w:type="dxa"/>
            <w:vMerge w:val="continue"/>
            <w:shd w:val="clear" w:color="auto" w:fill="auto"/>
            <w:vAlign w:val="center"/>
          </w:tcPr>
          <w:p w14:paraId="304C0639">
            <w:pPr>
              <w:jc w:val="center"/>
              <w:rPr>
                <w:rFonts w:ascii="Times New Roman"/>
                <w:sz w:val="21"/>
                <w:szCs w:val="21"/>
              </w:rPr>
            </w:pPr>
          </w:p>
        </w:tc>
        <w:tc>
          <w:tcPr>
            <w:tcW w:w="652" w:type="dxa"/>
            <w:shd w:val="clear" w:color="auto" w:fill="auto"/>
            <w:vAlign w:val="center"/>
          </w:tcPr>
          <w:p w14:paraId="04A1D42A">
            <w:pPr>
              <w:jc w:val="center"/>
              <w:rPr>
                <w:rFonts w:ascii="Times New Roman"/>
                <w:sz w:val="21"/>
                <w:szCs w:val="21"/>
              </w:rPr>
            </w:pPr>
            <w:r>
              <w:rPr>
                <w:rFonts w:hint="eastAsia" w:ascii="Times New Roman"/>
                <w:sz w:val="21"/>
                <w:szCs w:val="21"/>
              </w:rPr>
              <w:t>/</w:t>
            </w:r>
          </w:p>
        </w:tc>
        <w:tc>
          <w:tcPr>
            <w:tcW w:w="832" w:type="dxa"/>
            <w:shd w:val="clear" w:color="auto" w:fill="auto"/>
            <w:vAlign w:val="center"/>
          </w:tcPr>
          <w:p w14:paraId="2B75E805">
            <w:pPr>
              <w:jc w:val="center"/>
              <w:rPr>
                <w:rFonts w:ascii="Times New Roman"/>
                <w:sz w:val="21"/>
                <w:szCs w:val="21"/>
                <w:lang w:bidi="zh-TW"/>
              </w:rPr>
            </w:pPr>
            <w:r>
              <w:rPr>
                <w:rFonts w:ascii="Times New Roman"/>
                <w:sz w:val="21"/>
                <w:szCs w:val="21"/>
                <w:lang w:bidi="zh-TW"/>
              </w:rPr>
              <w:t>≤1级</w:t>
            </w:r>
          </w:p>
        </w:tc>
        <w:tc>
          <w:tcPr>
            <w:tcW w:w="819" w:type="dxa"/>
            <w:shd w:val="clear" w:color="auto" w:fill="auto"/>
            <w:vAlign w:val="center"/>
          </w:tcPr>
          <w:p w14:paraId="151A8682">
            <w:pPr>
              <w:jc w:val="center"/>
              <w:rPr>
                <w:rFonts w:ascii="Times New Roman"/>
                <w:sz w:val="21"/>
                <w:szCs w:val="21"/>
                <w:lang w:bidi="zh-TW"/>
              </w:rPr>
            </w:pPr>
            <w:r>
              <w:rPr>
                <w:rFonts w:hint="eastAsia" w:ascii="Times New Roman"/>
                <w:sz w:val="21"/>
                <w:szCs w:val="21"/>
                <w:lang w:bidi="zh-TW"/>
              </w:rPr>
              <w:t>/</w:t>
            </w:r>
          </w:p>
        </w:tc>
        <w:tc>
          <w:tcPr>
            <w:tcW w:w="819" w:type="dxa"/>
            <w:shd w:val="clear" w:color="auto" w:fill="auto"/>
            <w:vAlign w:val="center"/>
          </w:tcPr>
          <w:p w14:paraId="29C9B5C9">
            <w:pPr>
              <w:jc w:val="center"/>
              <w:rPr>
                <w:rFonts w:ascii="Times New Roman"/>
                <w:sz w:val="21"/>
                <w:szCs w:val="21"/>
                <w:lang w:bidi="zh-TW"/>
              </w:rPr>
            </w:pPr>
            <w:r>
              <w:rPr>
                <w:rFonts w:hint="eastAsia" w:ascii="Times New Roman"/>
                <w:sz w:val="21"/>
                <w:szCs w:val="21"/>
                <w:lang w:bidi="zh-TW"/>
              </w:rPr>
              <w:t>/</w:t>
            </w:r>
          </w:p>
        </w:tc>
        <w:tc>
          <w:tcPr>
            <w:tcW w:w="832" w:type="dxa"/>
            <w:shd w:val="clear" w:color="auto" w:fill="auto"/>
            <w:vAlign w:val="center"/>
          </w:tcPr>
          <w:p w14:paraId="5B58CA1B">
            <w:pPr>
              <w:jc w:val="center"/>
              <w:rPr>
                <w:rFonts w:ascii="Times New Roman"/>
                <w:sz w:val="21"/>
                <w:szCs w:val="21"/>
              </w:rPr>
            </w:pPr>
            <w:r>
              <w:rPr>
                <w:rFonts w:ascii="Times New Roman"/>
                <w:sz w:val="21"/>
                <w:szCs w:val="21"/>
                <w:lang w:bidi="zh-TW"/>
              </w:rPr>
              <w:t>≤1级</w:t>
            </w:r>
          </w:p>
        </w:tc>
        <w:tc>
          <w:tcPr>
            <w:tcW w:w="519" w:type="dxa"/>
            <w:vMerge w:val="continue"/>
            <w:tcBorders>
              <w:top w:val="single" w:color="auto" w:sz="4" w:space="0"/>
              <w:bottom w:val="single" w:color="auto" w:sz="4" w:space="0"/>
            </w:tcBorders>
            <w:vAlign w:val="center"/>
          </w:tcPr>
          <w:p w14:paraId="51E51BEB">
            <w:pPr>
              <w:jc w:val="center"/>
              <w:rPr>
                <w:rFonts w:ascii="Times New Roman"/>
                <w:sz w:val="21"/>
                <w:szCs w:val="21"/>
              </w:rPr>
            </w:pPr>
          </w:p>
        </w:tc>
        <w:tc>
          <w:tcPr>
            <w:tcW w:w="592" w:type="dxa"/>
            <w:vMerge w:val="continue"/>
            <w:tcBorders>
              <w:top w:val="single" w:color="auto" w:sz="4" w:space="0"/>
              <w:bottom w:val="single" w:color="auto" w:sz="4" w:space="0"/>
            </w:tcBorders>
            <w:vAlign w:val="center"/>
          </w:tcPr>
          <w:p w14:paraId="782D5694">
            <w:pPr>
              <w:jc w:val="center"/>
              <w:rPr>
                <w:rFonts w:ascii="Times New Roman"/>
                <w:sz w:val="21"/>
                <w:szCs w:val="21"/>
              </w:rPr>
            </w:pPr>
          </w:p>
        </w:tc>
        <w:tc>
          <w:tcPr>
            <w:tcW w:w="603" w:type="dxa"/>
            <w:vMerge w:val="continue"/>
            <w:tcBorders>
              <w:top w:val="single" w:color="auto" w:sz="4" w:space="0"/>
              <w:bottom w:val="single" w:color="auto" w:sz="4" w:space="0"/>
            </w:tcBorders>
            <w:vAlign w:val="center"/>
          </w:tcPr>
          <w:p w14:paraId="31E4A73F">
            <w:pPr>
              <w:jc w:val="center"/>
              <w:rPr>
                <w:rFonts w:ascii="Times New Roman"/>
                <w:sz w:val="21"/>
                <w:szCs w:val="21"/>
              </w:rPr>
            </w:pPr>
          </w:p>
        </w:tc>
        <w:tc>
          <w:tcPr>
            <w:tcW w:w="602" w:type="dxa"/>
            <w:vMerge w:val="continue"/>
            <w:tcBorders>
              <w:top w:val="single" w:color="auto" w:sz="4" w:space="0"/>
              <w:bottom w:val="single" w:color="auto" w:sz="4" w:space="0"/>
            </w:tcBorders>
            <w:vAlign w:val="center"/>
          </w:tcPr>
          <w:p w14:paraId="360D969B">
            <w:pPr>
              <w:jc w:val="center"/>
              <w:rPr>
                <w:rFonts w:ascii="Times New Roman"/>
                <w:sz w:val="21"/>
                <w:szCs w:val="21"/>
              </w:rPr>
            </w:pPr>
          </w:p>
        </w:tc>
      </w:tr>
      <w:tr w14:paraId="24A42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969" w:type="dxa"/>
            <w:vMerge w:val="restart"/>
            <w:vAlign w:val="center"/>
          </w:tcPr>
          <w:p w14:paraId="57A35829">
            <w:pPr>
              <w:jc w:val="center"/>
              <w:rPr>
                <w:rFonts w:ascii="Times New Roman"/>
                <w:sz w:val="21"/>
                <w:szCs w:val="21"/>
              </w:rPr>
            </w:pPr>
            <w:r>
              <w:rPr>
                <w:rFonts w:ascii="Times New Roman"/>
                <w:sz w:val="21"/>
                <w:szCs w:val="21"/>
              </w:rPr>
              <w:t>食堂油烟(DA01</w:t>
            </w:r>
            <w:r>
              <w:rPr>
                <w:rFonts w:hint="eastAsia" w:ascii="Times New Roman"/>
                <w:sz w:val="21"/>
                <w:szCs w:val="21"/>
              </w:rPr>
              <w:t>4</w:t>
            </w:r>
            <w:r>
              <w:rPr>
                <w:rFonts w:ascii="Times New Roman"/>
                <w:sz w:val="21"/>
                <w:szCs w:val="21"/>
              </w:rPr>
              <w:t>)</w:t>
            </w:r>
          </w:p>
        </w:tc>
        <w:tc>
          <w:tcPr>
            <w:tcW w:w="967" w:type="dxa"/>
            <w:tcBorders>
              <w:bottom w:val="single" w:color="auto" w:sz="4" w:space="0"/>
            </w:tcBorders>
            <w:vAlign w:val="center"/>
          </w:tcPr>
          <w:p w14:paraId="185F1646">
            <w:pPr>
              <w:jc w:val="center"/>
              <w:rPr>
                <w:rFonts w:ascii="Times New Roman"/>
                <w:sz w:val="21"/>
                <w:szCs w:val="21"/>
              </w:rPr>
            </w:pPr>
            <w:r>
              <w:rPr>
                <w:rFonts w:ascii="Times New Roman"/>
                <w:sz w:val="21"/>
                <w:szCs w:val="21"/>
              </w:rPr>
              <w:t>油烟</w:t>
            </w:r>
          </w:p>
        </w:tc>
        <w:tc>
          <w:tcPr>
            <w:tcW w:w="943" w:type="dxa"/>
            <w:vMerge w:val="restart"/>
            <w:vAlign w:val="center"/>
          </w:tcPr>
          <w:p w14:paraId="2E8C8E21">
            <w:pPr>
              <w:jc w:val="center"/>
              <w:rPr>
                <w:rFonts w:ascii="Times New Roman"/>
                <w:sz w:val="21"/>
                <w:szCs w:val="21"/>
              </w:rPr>
            </w:pPr>
            <w:r>
              <w:rPr>
                <w:rFonts w:hint="eastAsia" w:ascii="Times New Roman"/>
                <w:sz w:val="21"/>
                <w:szCs w:val="21"/>
              </w:rPr>
              <w:t>30</w:t>
            </w:r>
            <w:r>
              <w:rPr>
                <w:rFonts w:ascii="Times New Roman"/>
                <w:sz w:val="21"/>
                <w:szCs w:val="21"/>
              </w:rPr>
              <w:t>000</w:t>
            </w:r>
          </w:p>
        </w:tc>
        <w:tc>
          <w:tcPr>
            <w:tcW w:w="874" w:type="dxa"/>
            <w:tcBorders>
              <w:bottom w:val="single" w:color="auto" w:sz="4" w:space="0"/>
            </w:tcBorders>
            <w:vAlign w:val="center"/>
          </w:tcPr>
          <w:p w14:paraId="2BAF7EB2">
            <w:pPr>
              <w:jc w:val="center"/>
              <w:rPr>
                <w:rFonts w:ascii="Times New Roman"/>
                <w:sz w:val="21"/>
                <w:szCs w:val="21"/>
              </w:rPr>
            </w:pPr>
            <w:r>
              <w:rPr>
                <w:rFonts w:hint="eastAsia" w:ascii="Times New Roman"/>
                <w:sz w:val="21"/>
                <w:szCs w:val="21"/>
              </w:rPr>
              <w:t>10.5</w:t>
            </w:r>
          </w:p>
        </w:tc>
        <w:tc>
          <w:tcPr>
            <w:tcW w:w="798" w:type="dxa"/>
            <w:tcBorders>
              <w:bottom w:val="single" w:color="auto" w:sz="4" w:space="0"/>
            </w:tcBorders>
            <w:vAlign w:val="center"/>
          </w:tcPr>
          <w:p w14:paraId="4AE22837">
            <w:pPr>
              <w:jc w:val="center"/>
              <w:rPr>
                <w:rFonts w:ascii="Times New Roman"/>
                <w:sz w:val="21"/>
                <w:szCs w:val="21"/>
              </w:rPr>
            </w:pPr>
            <w:r>
              <w:rPr>
                <w:rFonts w:ascii="Times New Roman"/>
                <w:sz w:val="21"/>
                <w:szCs w:val="21"/>
              </w:rPr>
              <w:t>0.</w:t>
            </w:r>
            <w:r>
              <w:rPr>
                <w:rFonts w:hint="eastAsia" w:ascii="Times New Roman"/>
                <w:sz w:val="21"/>
                <w:szCs w:val="21"/>
              </w:rPr>
              <w:t>315</w:t>
            </w:r>
          </w:p>
        </w:tc>
        <w:tc>
          <w:tcPr>
            <w:tcW w:w="845" w:type="dxa"/>
            <w:tcBorders>
              <w:bottom w:val="single" w:color="auto" w:sz="4" w:space="0"/>
            </w:tcBorders>
            <w:vAlign w:val="center"/>
          </w:tcPr>
          <w:p w14:paraId="7D2D442A">
            <w:pPr>
              <w:jc w:val="center"/>
              <w:rPr>
                <w:rFonts w:ascii="Times New Roman"/>
                <w:sz w:val="21"/>
                <w:szCs w:val="21"/>
              </w:rPr>
            </w:pPr>
            <w:r>
              <w:rPr>
                <w:rFonts w:ascii="Times New Roman"/>
                <w:sz w:val="21"/>
                <w:szCs w:val="21"/>
              </w:rPr>
              <w:t>0.</w:t>
            </w:r>
            <w:r>
              <w:rPr>
                <w:rFonts w:hint="eastAsia" w:ascii="Times New Roman"/>
                <w:sz w:val="21"/>
                <w:szCs w:val="21"/>
              </w:rPr>
              <w:t>567</w:t>
            </w:r>
          </w:p>
        </w:tc>
        <w:tc>
          <w:tcPr>
            <w:tcW w:w="646" w:type="dxa"/>
            <w:vMerge w:val="restart"/>
            <w:vAlign w:val="center"/>
          </w:tcPr>
          <w:p w14:paraId="2AEB84C2">
            <w:pPr>
              <w:jc w:val="center"/>
              <w:rPr>
                <w:rFonts w:ascii="Times New Roman"/>
                <w:sz w:val="21"/>
                <w:szCs w:val="21"/>
              </w:rPr>
            </w:pPr>
            <w:r>
              <w:rPr>
                <w:rFonts w:ascii="Times New Roman"/>
                <w:sz w:val="21"/>
                <w:szCs w:val="21"/>
              </w:rPr>
              <w:t>/</w:t>
            </w:r>
          </w:p>
        </w:tc>
        <w:tc>
          <w:tcPr>
            <w:tcW w:w="774" w:type="dxa"/>
            <w:vMerge w:val="restart"/>
            <w:vAlign w:val="center"/>
          </w:tcPr>
          <w:p w14:paraId="227D8984">
            <w:pPr>
              <w:jc w:val="center"/>
              <w:rPr>
                <w:rFonts w:ascii="Times New Roman"/>
                <w:sz w:val="21"/>
                <w:szCs w:val="21"/>
              </w:rPr>
            </w:pPr>
            <w:r>
              <w:rPr>
                <w:rFonts w:ascii="Times New Roman"/>
                <w:sz w:val="21"/>
                <w:szCs w:val="21"/>
              </w:rPr>
              <w:t>油烟净化器</w:t>
            </w:r>
          </w:p>
        </w:tc>
        <w:tc>
          <w:tcPr>
            <w:tcW w:w="652" w:type="dxa"/>
            <w:tcBorders>
              <w:bottom w:val="single" w:color="auto" w:sz="4" w:space="0"/>
            </w:tcBorders>
            <w:vAlign w:val="center"/>
          </w:tcPr>
          <w:p w14:paraId="2622AFFC">
            <w:pPr>
              <w:jc w:val="center"/>
              <w:rPr>
                <w:rFonts w:ascii="Times New Roman"/>
                <w:sz w:val="21"/>
                <w:szCs w:val="21"/>
              </w:rPr>
            </w:pPr>
            <w:r>
              <w:rPr>
                <w:rFonts w:hint="eastAsia" w:ascii="Times New Roman"/>
                <w:sz w:val="21"/>
                <w:szCs w:val="21"/>
              </w:rPr>
              <w:t>9</w:t>
            </w:r>
            <w:r>
              <w:rPr>
                <w:rFonts w:ascii="Times New Roman"/>
                <w:sz w:val="21"/>
                <w:szCs w:val="21"/>
              </w:rPr>
              <w:t>5</w:t>
            </w:r>
          </w:p>
        </w:tc>
        <w:tc>
          <w:tcPr>
            <w:tcW w:w="832" w:type="dxa"/>
            <w:tcBorders>
              <w:bottom w:val="single" w:color="auto" w:sz="4" w:space="0"/>
            </w:tcBorders>
            <w:vAlign w:val="center"/>
          </w:tcPr>
          <w:p w14:paraId="47831FED">
            <w:pPr>
              <w:jc w:val="center"/>
              <w:rPr>
                <w:rFonts w:ascii="Times New Roman"/>
                <w:sz w:val="21"/>
                <w:szCs w:val="21"/>
              </w:rPr>
            </w:pPr>
            <w:r>
              <w:rPr>
                <w:rFonts w:hint="eastAsia" w:ascii="Times New Roman"/>
                <w:sz w:val="21"/>
                <w:szCs w:val="21"/>
              </w:rPr>
              <w:t>0.6</w:t>
            </w:r>
          </w:p>
        </w:tc>
        <w:tc>
          <w:tcPr>
            <w:tcW w:w="819" w:type="dxa"/>
            <w:tcBorders>
              <w:bottom w:val="single" w:color="auto" w:sz="4" w:space="0"/>
            </w:tcBorders>
            <w:vAlign w:val="center"/>
          </w:tcPr>
          <w:p w14:paraId="72ACC482">
            <w:pPr>
              <w:jc w:val="center"/>
              <w:rPr>
                <w:rFonts w:ascii="Times New Roman"/>
                <w:sz w:val="21"/>
                <w:szCs w:val="21"/>
              </w:rPr>
            </w:pPr>
            <w:r>
              <w:rPr>
                <w:rFonts w:ascii="Times New Roman"/>
                <w:sz w:val="21"/>
                <w:szCs w:val="21"/>
              </w:rPr>
              <w:t>0.01</w:t>
            </w:r>
            <w:r>
              <w:rPr>
                <w:rFonts w:hint="eastAsia" w:ascii="Times New Roman"/>
                <w:sz w:val="21"/>
                <w:szCs w:val="21"/>
              </w:rPr>
              <w:t>8</w:t>
            </w:r>
          </w:p>
        </w:tc>
        <w:tc>
          <w:tcPr>
            <w:tcW w:w="819" w:type="dxa"/>
            <w:tcBorders>
              <w:bottom w:val="single" w:color="auto" w:sz="4" w:space="0"/>
            </w:tcBorders>
            <w:vAlign w:val="center"/>
          </w:tcPr>
          <w:p w14:paraId="08729036">
            <w:pPr>
              <w:jc w:val="center"/>
              <w:rPr>
                <w:rFonts w:ascii="Times New Roman"/>
                <w:sz w:val="21"/>
                <w:szCs w:val="21"/>
              </w:rPr>
            </w:pPr>
            <w:r>
              <w:rPr>
                <w:rFonts w:ascii="Times New Roman"/>
                <w:sz w:val="21"/>
                <w:szCs w:val="21"/>
              </w:rPr>
              <w:t>0.0</w:t>
            </w:r>
            <w:r>
              <w:rPr>
                <w:rFonts w:hint="eastAsia" w:ascii="Times New Roman"/>
                <w:sz w:val="21"/>
                <w:szCs w:val="21"/>
              </w:rPr>
              <w:t>32</w:t>
            </w:r>
          </w:p>
        </w:tc>
        <w:tc>
          <w:tcPr>
            <w:tcW w:w="832" w:type="dxa"/>
            <w:tcBorders>
              <w:bottom w:val="single" w:color="auto" w:sz="4" w:space="0"/>
            </w:tcBorders>
            <w:shd w:val="clear" w:color="auto" w:fill="auto"/>
            <w:vAlign w:val="center"/>
          </w:tcPr>
          <w:p w14:paraId="1B8A6D7D">
            <w:pPr>
              <w:jc w:val="center"/>
              <w:rPr>
                <w:rFonts w:ascii="Times New Roman"/>
                <w:sz w:val="21"/>
                <w:szCs w:val="21"/>
              </w:rPr>
            </w:pPr>
            <w:r>
              <w:rPr>
                <w:rFonts w:hint="eastAsia" w:ascii="Times New Roman"/>
                <w:sz w:val="21"/>
                <w:szCs w:val="21"/>
              </w:rPr>
              <w:t>1.2</w:t>
            </w:r>
          </w:p>
        </w:tc>
        <w:tc>
          <w:tcPr>
            <w:tcW w:w="519" w:type="dxa"/>
            <w:vMerge w:val="restart"/>
            <w:tcBorders>
              <w:top w:val="single" w:color="auto" w:sz="4" w:space="0"/>
            </w:tcBorders>
            <w:vAlign w:val="center"/>
          </w:tcPr>
          <w:p w14:paraId="65F5B229">
            <w:pPr>
              <w:jc w:val="center"/>
              <w:rPr>
                <w:rFonts w:ascii="Times New Roman"/>
                <w:sz w:val="21"/>
                <w:szCs w:val="21"/>
              </w:rPr>
            </w:pPr>
            <w:r>
              <w:rPr>
                <w:rFonts w:hint="eastAsia" w:ascii="Times New Roman"/>
                <w:sz w:val="21"/>
                <w:szCs w:val="21"/>
              </w:rPr>
              <w:t>22</w:t>
            </w:r>
          </w:p>
        </w:tc>
        <w:tc>
          <w:tcPr>
            <w:tcW w:w="592" w:type="dxa"/>
            <w:vMerge w:val="restart"/>
            <w:tcBorders>
              <w:top w:val="single" w:color="auto" w:sz="4" w:space="0"/>
            </w:tcBorders>
            <w:vAlign w:val="center"/>
          </w:tcPr>
          <w:p w14:paraId="4B0105B4">
            <w:pPr>
              <w:jc w:val="center"/>
              <w:rPr>
                <w:rFonts w:ascii="Times New Roman"/>
                <w:sz w:val="21"/>
                <w:szCs w:val="21"/>
              </w:rPr>
            </w:pPr>
            <w:r>
              <w:rPr>
                <w:rFonts w:ascii="Times New Roman"/>
                <w:sz w:val="21"/>
                <w:szCs w:val="21"/>
              </w:rPr>
              <w:t>0.4</w:t>
            </w:r>
          </w:p>
        </w:tc>
        <w:tc>
          <w:tcPr>
            <w:tcW w:w="603" w:type="dxa"/>
            <w:vMerge w:val="restart"/>
            <w:tcBorders>
              <w:top w:val="single" w:color="auto" w:sz="4" w:space="0"/>
            </w:tcBorders>
            <w:vAlign w:val="center"/>
          </w:tcPr>
          <w:p w14:paraId="3D72D7DA">
            <w:pPr>
              <w:jc w:val="center"/>
              <w:rPr>
                <w:rFonts w:ascii="Times New Roman"/>
                <w:sz w:val="21"/>
                <w:szCs w:val="21"/>
              </w:rPr>
            </w:pPr>
            <w:r>
              <w:rPr>
                <w:rFonts w:ascii="Times New Roman"/>
                <w:sz w:val="21"/>
                <w:szCs w:val="21"/>
              </w:rPr>
              <w:t>50</w:t>
            </w:r>
          </w:p>
        </w:tc>
        <w:tc>
          <w:tcPr>
            <w:tcW w:w="602" w:type="dxa"/>
            <w:vMerge w:val="restart"/>
            <w:tcBorders>
              <w:top w:val="single" w:color="auto" w:sz="4" w:space="0"/>
            </w:tcBorders>
            <w:vAlign w:val="center"/>
          </w:tcPr>
          <w:p w14:paraId="2DCF2DAD">
            <w:pPr>
              <w:jc w:val="center"/>
              <w:rPr>
                <w:rFonts w:ascii="Times New Roman"/>
                <w:sz w:val="21"/>
                <w:szCs w:val="21"/>
              </w:rPr>
            </w:pPr>
            <w:r>
              <w:rPr>
                <w:rFonts w:ascii="Times New Roman"/>
                <w:sz w:val="21"/>
                <w:szCs w:val="21"/>
              </w:rPr>
              <w:t>1</w:t>
            </w:r>
            <w:r>
              <w:rPr>
                <w:rFonts w:hint="eastAsia" w:ascii="Times New Roman"/>
                <w:sz w:val="21"/>
                <w:szCs w:val="21"/>
              </w:rPr>
              <w:t>800</w:t>
            </w:r>
          </w:p>
        </w:tc>
      </w:tr>
      <w:tr w14:paraId="49895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969" w:type="dxa"/>
            <w:vMerge w:val="continue"/>
            <w:vAlign w:val="center"/>
          </w:tcPr>
          <w:p w14:paraId="16375812">
            <w:pPr>
              <w:jc w:val="center"/>
              <w:rPr>
                <w:rFonts w:ascii="Times New Roman"/>
                <w:sz w:val="21"/>
                <w:szCs w:val="21"/>
              </w:rPr>
            </w:pPr>
          </w:p>
        </w:tc>
        <w:tc>
          <w:tcPr>
            <w:tcW w:w="967" w:type="dxa"/>
            <w:tcBorders>
              <w:top w:val="single" w:color="auto" w:sz="4" w:space="0"/>
            </w:tcBorders>
            <w:vAlign w:val="center"/>
          </w:tcPr>
          <w:p w14:paraId="477BA298">
            <w:pPr>
              <w:jc w:val="center"/>
              <w:rPr>
                <w:rFonts w:ascii="Times New Roman"/>
                <w:sz w:val="21"/>
                <w:szCs w:val="21"/>
              </w:rPr>
            </w:pPr>
            <w:r>
              <w:rPr>
                <w:rFonts w:ascii="Times New Roman"/>
                <w:sz w:val="21"/>
                <w:szCs w:val="21"/>
              </w:rPr>
              <w:t>非甲烷总烃</w:t>
            </w:r>
          </w:p>
        </w:tc>
        <w:tc>
          <w:tcPr>
            <w:tcW w:w="943" w:type="dxa"/>
            <w:vMerge w:val="continue"/>
            <w:vAlign w:val="center"/>
          </w:tcPr>
          <w:p w14:paraId="138A86D7">
            <w:pPr>
              <w:jc w:val="center"/>
              <w:rPr>
                <w:rFonts w:ascii="Times New Roman"/>
                <w:sz w:val="21"/>
                <w:szCs w:val="21"/>
              </w:rPr>
            </w:pPr>
          </w:p>
        </w:tc>
        <w:tc>
          <w:tcPr>
            <w:tcW w:w="874" w:type="dxa"/>
            <w:tcBorders>
              <w:top w:val="single" w:color="auto" w:sz="4" w:space="0"/>
            </w:tcBorders>
            <w:vAlign w:val="center"/>
          </w:tcPr>
          <w:p w14:paraId="164671D0">
            <w:pPr>
              <w:jc w:val="center"/>
              <w:rPr>
                <w:rFonts w:ascii="Times New Roman"/>
                <w:sz w:val="21"/>
                <w:szCs w:val="21"/>
              </w:rPr>
            </w:pPr>
            <w:r>
              <w:rPr>
                <w:rFonts w:hint="eastAsia" w:ascii="Times New Roman"/>
                <w:sz w:val="21"/>
                <w:szCs w:val="21"/>
              </w:rPr>
              <w:t>40</w:t>
            </w:r>
          </w:p>
        </w:tc>
        <w:tc>
          <w:tcPr>
            <w:tcW w:w="798" w:type="dxa"/>
            <w:tcBorders>
              <w:top w:val="single" w:color="auto" w:sz="4" w:space="0"/>
            </w:tcBorders>
            <w:vAlign w:val="center"/>
          </w:tcPr>
          <w:p w14:paraId="5844BFB8">
            <w:pPr>
              <w:jc w:val="center"/>
              <w:rPr>
                <w:rFonts w:ascii="Times New Roman"/>
                <w:sz w:val="21"/>
                <w:szCs w:val="21"/>
              </w:rPr>
            </w:pPr>
            <w:r>
              <w:rPr>
                <w:rFonts w:hint="eastAsia" w:ascii="Times New Roman"/>
                <w:sz w:val="21"/>
                <w:szCs w:val="21"/>
              </w:rPr>
              <w:t>1.200</w:t>
            </w:r>
          </w:p>
        </w:tc>
        <w:tc>
          <w:tcPr>
            <w:tcW w:w="845" w:type="dxa"/>
            <w:tcBorders>
              <w:top w:val="single" w:color="auto" w:sz="4" w:space="0"/>
            </w:tcBorders>
            <w:vAlign w:val="center"/>
          </w:tcPr>
          <w:p w14:paraId="56DE303C">
            <w:pPr>
              <w:jc w:val="center"/>
              <w:rPr>
                <w:rFonts w:ascii="Times New Roman"/>
                <w:sz w:val="21"/>
                <w:szCs w:val="21"/>
              </w:rPr>
            </w:pPr>
            <w:r>
              <w:rPr>
                <w:rFonts w:hint="eastAsia" w:ascii="Times New Roman"/>
                <w:sz w:val="21"/>
                <w:szCs w:val="21"/>
              </w:rPr>
              <w:t>2.160</w:t>
            </w:r>
          </w:p>
        </w:tc>
        <w:tc>
          <w:tcPr>
            <w:tcW w:w="646" w:type="dxa"/>
            <w:vMerge w:val="continue"/>
            <w:vAlign w:val="center"/>
          </w:tcPr>
          <w:p w14:paraId="771B18A2">
            <w:pPr>
              <w:jc w:val="center"/>
              <w:rPr>
                <w:rFonts w:ascii="Times New Roman"/>
                <w:sz w:val="21"/>
                <w:szCs w:val="21"/>
              </w:rPr>
            </w:pPr>
          </w:p>
        </w:tc>
        <w:tc>
          <w:tcPr>
            <w:tcW w:w="774" w:type="dxa"/>
            <w:vMerge w:val="continue"/>
            <w:vAlign w:val="center"/>
          </w:tcPr>
          <w:p w14:paraId="60029532">
            <w:pPr>
              <w:jc w:val="center"/>
              <w:rPr>
                <w:rFonts w:ascii="Times New Roman"/>
                <w:sz w:val="21"/>
                <w:szCs w:val="21"/>
              </w:rPr>
            </w:pPr>
          </w:p>
        </w:tc>
        <w:tc>
          <w:tcPr>
            <w:tcW w:w="652" w:type="dxa"/>
            <w:tcBorders>
              <w:top w:val="single" w:color="auto" w:sz="4" w:space="0"/>
            </w:tcBorders>
            <w:vAlign w:val="center"/>
          </w:tcPr>
          <w:p w14:paraId="68417E09">
            <w:pPr>
              <w:jc w:val="center"/>
              <w:rPr>
                <w:rFonts w:ascii="Times New Roman"/>
                <w:sz w:val="21"/>
                <w:szCs w:val="21"/>
              </w:rPr>
            </w:pPr>
            <w:r>
              <w:rPr>
                <w:rFonts w:hint="eastAsia" w:ascii="Times New Roman"/>
                <w:sz w:val="21"/>
                <w:szCs w:val="21"/>
              </w:rPr>
              <w:t>85</w:t>
            </w:r>
          </w:p>
        </w:tc>
        <w:tc>
          <w:tcPr>
            <w:tcW w:w="832" w:type="dxa"/>
            <w:tcBorders>
              <w:top w:val="single" w:color="auto" w:sz="4" w:space="0"/>
            </w:tcBorders>
            <w:vAlign w:val="center"/>
          </w:tcPr>
          <w:p w14:paraId="771E8380">
            <w:pPr>
              <w:jc w:val="center"/>
              <w:rPr>
                <w:rFonts w:ascii="Times New Roman"/>
                <w:sz w:val="21"/>
                <w:szCs w:val="21"/>
              </w:rPr>
            </w:pPr>
            <w:r>
              <w:rPr>
                <w:rFonts w:hint="eastAsia" w:ascii="Times New Roman"/>
                <w:sz w:val="21"/>
                <w:szCs w:val="21"/>
              </w:rPr>
              <w:t>6</w:t>
            </w:r>
          </w:p>
        </w:tc>
        <w:tc>
          <w:tcPr>
            <w:tcW w:w="819" w:type="dxa"/>
            <w:tcBorders>
              <w:top w:val="single" w:color="auto" w:sz="4" w:space="0"/>
            </w:tcBorders>
            <w:vAlign w:val="center"/>
          </w:tcPr>
          <w:p w14:paraId="4D441940">
            <w:pPr>
              <w:jc w:val="center"/>
              <w:rPr>
                <w:rFonts w:ascii="Times New Roman"/>
                <w:sz w:val="21"/>
                <w:szCs w:val="21"/>
              </w:rPr>
            </w:pPr>
            <w:r>
              <w:rPr>
                <w:rFonts w:hint="eastAsia" w:ascii="Times New Roman"/>
                <w:sz w:val="21"/>
                <w:szCs w:val="21"/>
              </w:rPr>
              <w:t>0.180</w:t>
            </w:r>
          </w:p>
        </w:tc>
        <w:tc>
          <w:tcPr>
            <w:tcW w:w="819" w:type="dxa"/>
            <w:tcBorders>
              <w:top w:val="single" w:color="auto" w:sz="4" w:space="0"/>
            </w:tcBorders>
            <w:vAlign w:val="center"/>
          </w:tcPr>
          <w:p w14:paraId="483965E0">
            <w:pPr>
              <w:jc w:val="center"/>
              <w:rPr>
                <w:rFonts w:ascii="Times New Roman"/>
                <w:sz w:val="21"/>
                <w:szCs w:val="21"/>
              </w:rPr>
            </w:pPr>
            <w:r>
              <w:rPr>
                <w:rFonts w:hint="eastAsia" w:ascii="Times New Roman"/>
                <w:sz w:val="21"/>
                <w:szCs w:val="21"/>
              </w:rPr>
              <w:t>0.324</w:t>
            </w:r>
          </w:p>
        </w:tc>
        <w:tc>
          <w:tcPr>
            <w:tcW w:w="832" w:type="dxa"/>
            <w:tcBorders>
              <w:top w:val="single" w:color="auto" w:sz="4" w:space="0"/>
            </w:tcBorders>
            <w:shd w:val="clear" w:color="auto" w:fill="auto"/>
            <w:vAlign w:val="center"/>
          </w:tcPr>
          <w:p w14:paraId="68562CFA">
            <w:pPr>
              <w:jc w:val="center"/>
              <w:rPr>
                <w:rFonts w:ascii="Times New Roman"/>
                <w:sz w:val="21"/>
                <w:szCs w:val="21"/>
              </w:rPr>
            </w:pPr>
            <w:r>
              <w:rPr>
                <w:rFonts w:hint="eastAsia" w:ascii="Times New Roman"/>
                <w:sz w:val="21"/>
                <w:szCs w:val="21"/>
              </w:rPr>
              <w:t>10</w:t>
            </w:r>
          </w:p>
        </w:tc>
        <w:tc>
          <w:tcPr>
            <w:tcW w:w="519" w:type="dxa"/>
            <w:vMerge w:val="continue"/>
            <w:vAlign w:val="center"/>
          </w:tcPr>
          <w:p w14:paraId="085B324A">
            <w:pPr>
              <w:jc w:val="center"/>
              <w:rPr>
                <w:rFonts w:ascii="Times New Roman"/>
                <w:sz w:val="21"/>
                <w:szCs w:val="21"/>
              </w:rPr>
            </w:pPr>
          </w:p>
        </w:tc>
        <w:tc>
          <w:tcPr>
            <w:tcW w:w="592" w:type="dxa"/>
            <w:vMerge w:val="continue"/>
            <w:vAlign w:val="center"/>
          </w:tcPr>
          <w:p w14:paraId="42E5566B">
            <w:pPr>
              <w:jc w:val="center"/>
              <w:rPr>
                <w:rFonts w:ascii="Times New Roman"/>
                <w:sz w:val="21"/>
                <w:szCs w:val="21"/>
              </w:rPr>
            </w:pPr>
          </w:p>
        </w:tc>
        <w:tc>
          <w:tcPr>
            <w:tcW w:w="603" w:type="dxa"/>
            <w:vMerge w:val="continue"/>
            <w:vAlign w:val="center"/>
          </w:tcPr>
          <w:p w14:paraId="60AE5EAC">
            <w:pPr>
              <w:jc w:val="center"/>
              <w:rPr>
                <w:rFonts w:ascii="Times New Roman"/>
                <w:sz w:val="21"/>
                <w:szCs w:val="21"/>
              </w:rPr>
            </w:pPr>
          </w:p>
        </w:tc>
        <w:tc>
          <w:tcPr>
            <w:tcW w:w="602" w:type="dxa"/>
            <w:vMerge w:val="continue"/>
            <w:vAlign w:val="center"/>
          </w:tcPr>
          <w:p w14:paraId="02BD8EFE">
            <w:pPr>
              <w:jc w:val="center"/>
              <w:rPr>
                <w:rFonts w:ascii="Times New Roman"/>
                <w:sz w:val="21"/>
                <w:szCs w:val="21"/>
              </w:rPr>
            </w:pPr>
          </w:p>
        </w:tc>
      </w:tr>
      <w:tr w14:paraId="13D5C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969" w:type="dxa"/>
            <w:vMerge w:val="restart"/>
            <w:vAlign w:val="center"/>
          </w:tcPr>
          <w:p w14:paraId="18237ADD">
            <w:pPr>
              <w:jc w:val="center"/>
              <w:rPr>
                <w:rFonts w:ascii="Times New Roman"/>
                <w:sz w:val="21"/>
                <w:szCs w:val="21"/>
              </w:rPr>
            </w:pPr>
            <w:r>
              <w:rPr>
                <w:rFonts w:ascii="Times New Roman"/>
                <w:kern w:val="0"/>
                <w:sz w:val="21"/>
                <w:szCs w:val="21"/>
              </w:rPr>
              <w:t>托辊及装配厂房</w:t>
            </w:r>
          </w:p>
        </w:tc>
        <w:tc>
          <w:tcPr>
            <w:tcW w:w="967" w:type="dxa"/>
            <w:vAlign w:val="center"/>
          </w:tcPr>
          <w:p w14:paraId="035F9054">
            <w:pPr>
              <w:jc w:val="center"/>
              <w:rPr>
                <w:rFonts w:ascii="Times New Roman"/>
                <w:sz w:val="21"/>
                <w:szCs w:val="21"/>
              </w:rPr>
            </w:pPr>
            <w:r>
              <w:rPr>
                <w:rFonts w:ascii="Times New Roman"/>
                <w:sz w:val="21"/>
                <w:szCs w:val="21"/>
              </w:rPr>
              <w:t>颗粒物</w:t>
            </w:r>
          </w:p>
        </w:tc>
        <w:tc>
          <w:tcPr>
            <w:tcW w:w="943" w:type="dxa"/>
            <w:vMerge w:val="restart"/>
            <w:vAlign w:val="center"/>
          </w:tcPr>
          <w:p w14:paraId="4BF3A1D9">
            <w:pPr>
              <w:jc w:val="center"/>
              <w:rPr>
                <w:rFonts w:ascii="Times New Roman" w:eastAsia="Times New Roman"/>
                <w:sz w:val="21"/>
                <w:szCs w:val="21"/>
              </w:rPr>
            </w:pPr>
            <w:r>
              <w:rPr>
                <w:rFonts w:ascii="Times New Roman" w:eastAsia="Times New Roman"/>
                <w:sz w:val="21"/>
                <w:szCs w:val="21"/>
              </w:rPr>
              <w:t>/</w:t>
            </w:r>
          </w:p>
        </w:tc>
        <w:tc>
          <w:tcPr>
            <w:tcW w:w="874" w:type="dxa"/>
            <w:vAlign w:val="center"/>
          </w:tcPr>
          <w:p w14:paraId="20878678">
            <w:pPr>
              <w:jc w:val="center"/>
              <w:rPr>
                <w:rFonts w:ascii="Times New Roman"/>
                <w:sz w:val="21"/>
                <w:szCs w:val="21"/>
              </w:rPr>
            </w:pPr>
            <w:r>
              <w:rPr>
                <w:rFonts w:ascii="Times New Roman"/>
                <w:sz w:val="21"/>
                <w:szCs w:val="21"/>
              </w:rPr>
              <w:t>/</w:t>
            </w:r>
          </w:p>
        </w:tc>
        <w:tc>
          <w:tcPr>
            <w:tcW w:w="798" w:type="dxa"/>
            <w:shd w:val="clear" w:color="auto" w:fill="auto"/>
            <w:vAlign w:val="center"/>
          </w:tcPr>
          <w:p w14:paraId="705B7FE0">
            <w:pPr>
              <w:jc w:val="center"/>
              <w:rPr>
                <w:rFonts w:ascii="Times New Roman"/>
                <w:sz w:val="21"/>
                <w:szCs w:val="21"/>
              </w:rPr>
            </w:pPr>
            <w:r>
              <w:rPr>
                <w:rFonts w:hint="eastAsia" w:ascii="Times New Roman"/>
                <w:sz w:val="21"/>
                <w:szCs w:val="21"/>
              </w:rPr>
              <w:t>0.439</w:t>
            </w:r>
          </w:p>
        </w:tc>
        <w:tc>
          <w:tcPr>
            <w:tcW w:w="845" w:type="dxa"/>
            <w:shd w:val="clear" w:color="auto" w:fill="auto"/>
            <w:vAlign w:val="center"/>
          </w:tcPr>
          <w:p w14:paraId="198C0D31">
            <w:pPr>
              <w:jc w:val="center"/>
              <w:rPr>
                <w:rFonts w:ascii="Times New Roman"/>
                <w:sz w:val="21"/>
                <w:szCs w:val="21"/>
              </w:rPr>
            </w:pPr>
            <w:r>
              <w:rPr>
                <w:rFonts w:hint="eastAsia" w:ascii="Times New Roman"/>
                <w:sz w:val="21"/>
                <w:szCs w:val="21"/>
              </w:rPr>
              <w:t>1.053</w:t>
            </w:r>
          </w:p>
        </w:tc>
        <w:tc>
          <w:tcPr>
            <w:tcW w:w="646" w:type="dxa"/>
            <w:vAlign w:val="center"/>
          </w:tcPr>
          <w:p w14:paraId="355A84D9">
            <w:pPr>
              <w:jc w:val="center"/>
              <w:rPr>
                <w:rFonts w:ascii="Times New Roman"/>
                <w:sz w:val="21"/>
                <w:szCs w:val="21"/>
              </w:rPr>
            </w:pPr>
            <w:r>
              <w:rPr>
                <w:rFonts w:ascii="Times New Roman"/>
                <w:sz w:val="21"/>
                <w:szCs w:val="21"/>
              </w:rPr>
              <w:t>/</w:t>
            </w:r>
          </w:p>
        </w:tc>
        <w:tc>
          <w:tcPr>
            <w:tcW w:w="774" w:type="dxa"/>
            <w:vAlign w:val="center"/>
          </w:tcPr>
          <w:p w14:paraId="192285B0">
            <w:pPr>
              <w:jc w:val="center"/>
              <w:rPr>
                <w:rFonts w:ascii="Times New Roman"/>
                <w:sz w:val="21"/>
                <w:szCs w:val="21"/>
              </w:rPr>
            </w:pPr>
            <w:r>
              <w:rPr>
                <w:rFonts w:ascii="Times New Roman"/>
                <w:sz w:val="21"/>
                <w:szCs w:val="21"/>
              </w:rPr>
              <w:t>/</w:t>
            </w:r>
          </w:p>
        </w:tc>
        <w:tc>
          <w:tcPr>
            <w:tcW w:w="652" w:type="dxa"/>
            <w:vAlign w:val="center"/>
          </w:tcPr>
          <w:p w14:paraId="3388193E">
            <w:pPr>
              <w:jc w:val="center"/>
              <w:rPr>
                <w:rFonts w:ascii="Times New Roman"/>
                <w:sz w:val="21"/>
                <w:szCs w:val="21"/>
              </w:rPr>
            </w:pPr>
            <w:r>
              <w:rPr>
                <w:rFonts w:ascii="Times New Roman"/>
                <w:sz w:val="21"/>
                <w:szCs w:val="21"/>
              </w:rPr>
              <w:t>/</w:t>
            </w:r>
          </w:p>
        </w:tc>
        <w:tc>
          <w:tcPr>
            <w:tcW w:w="832" w:type="dxa"/>
            <w:vAlign w:val="center"/>
          </w:tcPr>
          <w:p w14:paraId="409B9975">
            <w:pPr>
              <w:jc w:val="center"/>
              <w:rPr>
                <w:rFonts w:ascii="Times New Roman"/>
                <w:sz w:val="21"/>
                <w:szCs w:val="21"/>
              </w:rPr>
            </w:pPr>
            <w:r>
              <w:rPr>
                <w:rFonts w:ascii="Times New Roman"/>
                <w:sz w:val="21"/>
                <w:szCs w:val="21"/>
              </w:rPr>
              <w:t>/</w:t>
            </w:r>
          </w:p>
        </w:tc>
        <w:tc>
          <w:tcPr>
            <w:tcW w:w="819" w:type="dxa"/>
            <w:shd w:val="clear" w:color="auto" w:fill="auto"/>
            <w:vAlign w:val="center"/>
          </w:tcPr>
          <w:p w14:paraId="109ED495">
            <w:pPr>
              <w:jc w:val="center"/>
              <w:rPr>
                <w:rFonts w:ascii="Times New Roman"/>
                <w:sz w:val="21"/>
                <w:szCs w:val="21"/>
              </w:rPr>
            </w:pPr>
            <w:r>
              <w:rPr>
                <w:rFonts w:hint="eastAsia" w:ascii="Times New Roman"/>
                <w:sz w:val="21"/>
                <w:szCs w:val="21"/>
              </w:rPr>
              <w:t>0.439</w:t>
            </w:r>
          </w:p>
        </w:tc>
        <w:tc>
          <w:tcPr>
            <w:tcW w:w="819" w:type="dxa"/>
            <w:shd w:val="clear" w:color="auto" w:fill="auto"/>
            <w:vAlign w:val="center"/>
          </w:tcPr>
          <w:p w14:paraId="219C776E">
            <w:pPr>
              <w:jc w:val="center"/>
              <w:rPr>
                <w:rFonts w:ascii="Times New Roman"/>
                <w:sz w:val="21"/>
                <w:szCs w:val="21"/>
              </w:rPr>
            </w:pPr>
            <w:r>
              <w:rPr>
                <w:rFonts w:hint="eastAsia" w:ascii="Times New Roman"/>
                <w:sz w:val="21"/>
                <w:szCs w:val="21"/>
              </w:rPr>
              <w:t>1.053</w:t>
            </w:r>
          </w:p>
        </w:tc>
        <w:tc>
          <w:tcPr>
            <w:tcW w:w="832" w:type="dxa"/>
            <w:vAlign w:val="center"/>
          </w:tcPr>
          <w:p w14:paraId="47EDBC9F">
            <w:pPr>
              <w:jc w:val="center"/>
              <w:rPr>
                <w:rFonts w:ascii="Times New Roman"/>
                <w:sz w:val="21"/>
                <w:szCs w:val="21"/>
              </w:rPr>
            </w:pPr>
            <w:r>
              <w:rPr>
                <w:rFonts w:ascii="Times New Roman"/>
                <w:sz w:val="21"/>
                <w:szCs w:val="21"/>
              </w:rPr>
              <w:t>/</w:t>
            </w:r>
          </w:p>
        </w:tc>
        <w:tc>
          <w:tcPr>
            <w:tcW w:w="2316" w:type="dxa"/>
            <w:gridSpan w:val="4"/>
            <w:vMerge w:val="restart"/>
            <w:vAlign w:val="center"/>
          </w:tcPr>
          <w:p w14:paraId="6B8F7DB7">
            <w:pPr>
              <w:jc w:val="center"/>
              <w:rPr>
                <w:rFonts w:ascii="Times New Roman" w:eastAsia="Times New Roman"/>
                <w:sz w:val="21"/>
                <w:szCs w:val="21"/>
              </w:rPr>
            </w:pPr>
            <w:r>
              <w:rPr>
                <w:rFonts w:hint="eastAsia" w:ascii="Times New Roman"/>
                <w:sz w:val="21"/>
                <w:szCs w:val="21"/>
              </w:rPr>
              <w:t>16885.96</w:t>
            </w:r>
            <w:r>
              <w:rPr>
                <w:rFonts w:ascii="Times New Roman" w:eastAsia="Times New Roman"/>
                <w:sz w:val="21"/>
                <w:szCs w:val="21"/>
              </w:rPr>
              <w:t>m</w:t>
            </w:r>
            <w:r>
              <w:rPr>
                <w:rFonts w:ascii="Times New Roman" w:eastAsia="Times New Roman"/>
                <w:sz w:val="21"/>
                <w:szCs w:val="21"/>
                <w:vertAlign w:val="superscript"/>
              </w:rPr>
              <w:t>2</w:t>
            </w:r>
            <w:r>
              <w:rPr>
                <w:rFonts w:ascii="Times New Roman"/>
                <w:sz w:val="21"/>
                <w:szCs w:val="21"/>
              </w:rPr>
              <w:t>，高</w:t>
            </w:r>
            <w:r>
              <w:rPr>
                <w:rFonts w:ascii="Times New Roman" w:eastAsia="Times New Roman"/>
                <w:sz w:val="21"/>
                <w:szCs w:val="21"/>
              </w:rPr>
              <w:t>1</w:t>
            </w:r>
            <w:r>
              <w:rPr>
                <w:rFonts w:hint="eastAsia" w:ascii="Times New Roman"/>
                <w:sz w:val="21"/>
                <w:szCs w:val="21"/>
              </w:rPr>
              <w:t>5.5</w:t>
            </w:r>
            <w:r>
              <w:rPr>
                <w:rFonts w:ascii="Times New Roman" w:eastAsia="Times New Roman"/>
                <w:sz w:val="21"/>
                <w:szCs w:val="21"/>
              </w:rPr>
              <w:t>m</w:t>
            </w:r>
          </w:p>
        </w:tc>
      </w:tr>
      <w:tr w14:paraId="391FE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969" w:type="dxa"/>
            <w:vMerge w:val="continue"/>
            <w:vAlign w:val="center"/>
          </w:tcPr>
          <w:p w14:paraId="3DB17D59">
            <w:pPr>
              <w:jc w:val="center"/>
              <w:rPr>
                <w:rFonts w:ascii="Times New Roman" w:eastAsia="Times New Roman"/>
                <w:sz w:val="21"/>
                <w:szCs w:val="21"/>
              </w:rPr>
            </w:pPr>
          </w:p>
        </w:tc>
        <w:tc>
          <w:tcPr>
            <w:tcW w:w="967" w:type="dxa"/>
            <w:vAlign w:val="center"/>
          </w:tcPr>
          <w:p w14:paraId="209D0494">
            <w:pPr>
              <w:jc w:val="center"/>
              <w:rPr>
                <w:rFonts w:ascii="Times New Roman"/>
                <w:sz w:val="21"/>
                <w:szCs w:val="21"/>
              </w:rPr>
            </w:pPr>
            <w:r>
              <w:rPr>
                <w:rFonts w:ascii="Times New Roman"/>
                <w:sz w:val="21"/>
                <w:szCs w:val="21"/>
              </w:rPr>
              <w:t>非甲烷总烃</w:t>
            </w:r>
          </w:p>
        </w:tc>
        <w:tc>
          <w:tcPr>
            <w:tcW w:w="943" w:type="dxa"/>
            <w:vMerge w:val="continue"/>
            <w:vAlign w:val="center"/>
          </w:tcPr>
          <w:p w14:paraId="4126ED66">
            <w:pPr>
              <w:jc w:val="center"/>
              <w:rPr>
                <w:rFonts w:ascii="Times New Roman" w:eastAsia="Times New Roman"/>
                <w:sz w:val="21"/>
                <w:szCs w:val="21"/>
              </w:rPr>
            </w:pPr>
          </w:p>
        </w:tc>
        <w:tc>
          <w:tcPr>
            <w:tcW w:w="874" w:type="dxa"/>
            <w:vAlign w:val="center"/>
          </w:tcPr>
          <w:p w14:paraId="4BA11AAC">
            <w:pPr>
              <w:jc w:val="center"/>
              <w:rPr>
                <w:rFonts w:ascii="Times New Roman"/>
                <w:sz w:val="21"/>
                <w:szCs w:val="21"/>
              </w:rPr>
            </w:pPr>
            <w:r>
              <w:rPr>
                <w:rFonts w:ascii="Times New Roman"/>
                <w:sz w:val="21"/>
                <w:szCs w:val="21"/>
              </w:rPr>
              <w:t>/</w:t>
            </w:r>
          </w:p>
        </w:tc>
        <w:tc>
          <w:tcPr>
            <w:tcW w:w="798" w:type="dxa"/>
            <w:vAlign w:val="center"/>
          </w:tcPr>
          <w:p w14:paraId="0CA4D119">
            <w:pPr>
              <w:jc w:val="center"/>
              <w:rPr>
                <w:rFonts w:ascii="Times New Roman"/>
                <w:sz w:val="21"/>
                <w:szCs w:val="21"/>
              </w:rPr>
            </w:pPr>
            <w:r>
              <w:rPr>
                <w:rFonts w:hint="eastAsia" w:ascii="Times New Roman"/>
                <w:sz w:val="21"/>
                <w:szCs w:val="21"/>
              </w:rPr>
              <w:t>0.0006</w:t>
            </w:r>
          </w:p>
        </w:tc>
        <w:tc>
          <w:tcPr>
            <w:tcW w:w="845" w:type="dxa"/>
            <w:vAlign w:val="center"/>
          </w:tcPr>
          <w:p w14:paraId="706D2FFA">
            <w:pPr>
              <w:jc w:val="center"/>
              <w:rPr>
                <w:rFonts w:ascii="Times New Roman"/>
                <w:sz w:val="21"/>
                <w:szCs w:val="21"/>
              </w:rPr>
            </w:pPr>
            <w:r>
              <w:rPr>
                <w:rFonts w:hint="eastAsia" w:ascii="Times New Roman"/>
                <w:sz w:val="21"/>
                <w:szCs w:val="21"/>
              </w:rPr>
              <w:t>0.004</w:t>
            </w:r>
          </w:p>
        </w:tc>
        <w:tc>
          <w:tcPr>
            <w:tcW w:w="646" w:type="dxa"/>
            <w:vAlign w:val="center"/>
          </w:tcPr>
          <w:p w14:paraId="379EA7D0">
            <w:pPr>
              <w:jc w:val="center"/>
              <w:rPr>
                <w:rFonts w:ascii="Times New Roman"/>
                <w:sz w:val="21"/>
                <w:szCs w:val="21"/>
              </w:rPr>
            </w:pPr>
            <w:r>
              <w:rPr>
                <w:rFonts w:ascii="Times New Roman"/>
                <w:sz w:val="21"/>
                <w:szCs w:val="21"/>
              </w:rPr>
              <w:t>/</w:t>
            </w:r>
          </w:p>
        </w:tc>
        <w:tc>
          <w:tcPr>
            <w:tcW w:w="774" w:type="dxa"/>
            <w:vAlign w:val="center"/>
          </w:tcPr>
          <w:p w14:paraId="7429EDB1">
            <w:pPr>
              <w:jc w:val="center"/>
              <w:rPr>
                <w:rFonts w:ascii="Times New Roman"/>
                <w:sz w:val="21"/>
                <w:szCs w:val="21"/>
              </w:rPr>
            </w:pPr>
            <w:r>
              <w:rPr>
                <w:rFonts w:ascii="Times New Roman"/>
                <w:sz w:val="21"/>
                <w:szCs w:val="21"/>
              </w:rPr>
              <w:t>/</w:t>
            </w:r>
          </w:p>
        </w:tc>
        <w:tc>
          <w:tcPr>
            <w:tcW w:w="652" w:type="dxa"/>
            <w:vAlign w:val="center"/>
          </w:tcPr>
          <w:p w14:paraId="7AD54A57">
            <w:pPr>
              <w:jc w:val="center"/>
              <w:rPr>
                <w:rFonts w:ascii="Times New Roman"/>
                <w:sz w:val="21"/>
                <w:szCs w:val="21"/>
              </w:rPr>
            </w:pPr>
            <w:r>
              <w:rPr>
                <w:rFonts w:ascii="Times New Roman"/>
                <w:sz w:val="21"/>
                <w:szCs w:val="21"/>
              </w:rPr>
              <w:t>/</w:t>
            </w:r>
          </w:p>
        </w:tc>
        <w:tc>
          <w:tcPr>
            <w:tcW w:w="832" w:type="dxa"/>
            <w:vAlign w:val="center"/>
          </w:tcPr>
          <w:p w14:paraId="12C7BE71">
            <w:pPr>
              <w:jc w:val="center"/>
              <w:rPr>
                <w:rFonts w:ascii="Times New Roman"/>
                <w:sz w:val="21"/>
                <w:szCs w:val="21"/>
              </w:rPr>
            </w:pPr>
            <w:r>
              <w:rPr>
                <w:rFonts w:ascii="Times New Roman"/>
                <w:sz w:val="21"/>
                <w:szCs w:val="21"/>
              </w:rPr>
              <w:t>/</w:t>
            </w:r>
          </w:p>
        </w:tc>
        <w:tc>
          <w:tcPr>
            <w:tcW w:w="819" w:type="dxa"/>
            <w:shd w:val="clear" w:color="auto" w:fill="auto"/>
            <w:vAlign w:val="center"/>
          </w:tcPr>
          <w:p w14:paraId="20B877A2">
            <w:pPr>
              <w:jc w:val="center"/>
              <w:rPr>
                <w:rFonts w:ascii="Times New Roman"/>
                <w:sz w:val="21"/>
                <w:szCs w:val="21"/>
              </w:rPr>
            </w:pPr>
            <w:r>
              <w:rPr>
                <w:rFonts w:hint="eastAsia" w:ascii="Times New Roman"/>
                <w:sz w:val="21"/>
                <w:szCs w:val="21"/>
              </w:rPr>
              <w:t>0.0006</w:t>
            </w:r>
          </w:p>
        </w:tc>
        <w:tc>
          <w:tcPr>
            <w:tcW w:w="819" w:type="dxa"/>
            <w:shd w:val="clear" w:color="auto" w:fill="auto"/>
            <w:vAlign w:val="center"/>
          </w:tcPr>
          <w:p w14:paraId="2C4C818D">
            <w:pPr>
              <w:jc w:val="center"/>
              <w:rPr>
                <w:rFonts w:ascii="Times New Roman"/>
                <w:sz w:val="21"/>
                <w:szCs w:val="21"/>
              </w:rPr>
            </w:pPr>
            <w:r>
              <w:rPr>
                <w:rFonts w:hint="eastAsia" w:ascii="Times New Roman"/>
                <w:sz w:val="21"/>
                <w:szCs w:val="21"/>
              </w:rPr>
              <w:t>0.004</w:t>
            </w:r>
          </w:p>
        </w:tc>
        <w:tc>
          <w:tcPr>
            <w:tcW w:w="832" w:type="dxa"/>
            <w:vAlign w:val="center"/>
          </w:tcPr>
          <w:p w14:paraId="671CCB6E">
            <w:pPr>
              <w:jc w:val="center"/>
              <w:rPr>
                <w:rFonts w:ascii="Times New Roman"/>
                <w:sz w:val="21"/>
                <w:szCs w:val="21"/>
              </w:rPr>
            </w:pPr>
            <w:r>
              <w:rPr>
                <w:rFonts w:ascii="Times New Roman"/>
                <w:sz w:val="21"/>
                <w:szCs w:val="21"/>
              </w:rPr>
              <w:t>/</w:t>
            </w:r>
          </w:p>
        </w:tc>
        <w:tc>
          <w:tcPr>
            <w:tcW w:w="2316" w:type="dxa"/>
            <w:gridSpan w:val="4"/>
            <w:vMerge w:val="continue"/>
            <w:vAlign w:val="center"/>
          </w:tcPr>
          <w:p w14:paraId="4EE7B046">
            <w:pPr>
              <w:jc w:val="center"/>
              <w:rPr>
                <w:rFonts w:ascii="Times New Roman" w:eastAsia="Times New Roman"/>
                <w:sz w:val="21"/>
                <w:szCs w:val="21"/>
              </w:rPr>
            </w:pPr>
          </w:p>
        </w:tc>
      </w:tr>
      <w:tr w14:paraId="2A265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969" w:type="dxa"/>
            <w:vMerge w:val="restart"/>
            <w:vAlign w:val="center"/>
          </w:tcPr>
          <w:p w14:paraId="3C396774">
            <w:pPr>
              <w:jc w:val="center"/>
              <w:rPr>
                <w:rFonts w:ascii="Times New Roman"/>
                <w:sz w:val="21"/>
                <w:szCs w:val="21"/>
              </w:rPr>
            </w:pPr>
            <w:r>
              <w:rPr>
                <w:rFonts w:ascii="Times New Roman"/>
                <w:kern w:val="0"/>
                <w:sz w:val="21"/>
                <w:szCs w:val="21"/>
              </w:rPr>
              <w:t>联合厂房</w:t>
            </w:r>
          </w:p>
        </w:tc>
        <w:tc>
          <w:tcPr>
            <w:tcW w:w="967" w:type="dxa"/>
            <w:vAlign w:val="center"/>
          </w:tcPr>
          <w:p w14:paraId="722C088E">
            <w:pPr>
              <w:jc w:val="center"/>
              <w:rPr>
                <w:rFonts w:ascii="Times New Roman"/>
                <w:sz w:val="21"/>
                <w:szCs w:val="21"/>
              </w:rPr>
            </w:pPr>
            <w:r>
              <w:rPr>
                <w:rFonts w:ascii="Times New Roman"/>
                <w:sz w:val="21"/>
                <w:szCs w:val="21"/>
              </w:rPr>
              <w:t>颗粒物</w:t>
            </w:r>
          </w:p>
        </w:tc>
        <w:tc>
          <w:tcPr>
            <w:tcW w:w="943" w:type="dxa"/>
            <w:vMerge w:val="restart"/>
            <w:vAlign w:val="center"/>
          </w:tcPr>
          <w:p w14:paraId="6A8A08FA">
            <w:pPr>
              <w:jc w:val="center"/>
              <w:rPr>
                <w:rFonts w:ascii="Times New Roman"/>
                <w:sz w:val="21"/>
                <w:szCs w:val="21"/>
              </w:rPr>
            </w:pPr>
            <w:r>
              <w:rPr>
                <w:rFonts w:ascii="Times New Roman"/>
                <w:sz w:val="21"/>
                <w:szCs w:val="21"/>
              </w:rPr>
              <w:t>/</w:t>
            </w:r>
          </w:p>
        </w:tc>
        <w:tc>
          <w:tcPr>
            <w:tcW w:w="874" w:type="dxa"/>
            <w:vAlign w:val="center"/>
          </w:tcPr>
          <w:p w14:paraId="5373B5AB">
            <w:pPr>
              <w:jc w:val="center"/>
              <w:rPr>
                <w:rFonts w:ascii="Times New Roman"/>
                <w:sz w:val="21"/>
                <w:szCs w:val="21"/>
              </w:rPr>
            </w:pPr>
            <w:r>
              <w:rPr>
                <w:rFonts w:ascii="Times New Roman"/>
                <w:sz w:val="21"/>
                <w:szCs w:val="21"/>
              </w:rPr>
              <w:t>/</w:t>
            </w:r>
          </w:p>
        </w:tc>
        <w:tc>
          <w:tcPr>
            <w:tcW w:w="798" w:type="dxa"/>
            <w:vAlign w:val="center"/>
          </w:tcPr>
          <w:p w14:paraId="29D0D873">
            <w:pPr>
              <w:jc w:val="center"/>
              <w:rPr>
                <w:rFonts w:ascii="Times New Roman"/>
                <w:sz w:val="21"/>
                <w:szCs w:val="21"/>
              </w:rPr>
            </w:pPr>
            <w:r>
              <w:rPr>
                <w:rFonts w:hint="eastAsia" w:ascii="Times New Roman"/>
                <w:sz w:val="21"/>
                <w:szCs w:val="21"/>
              </w:rPr>
              <w:t>2.871</w:t>
            </w:r>
          </w:p>
        </w:tc>
        <w:tc>
          <w:tcPr>
            <w:tcW w:w="845" w:type="dxa"/>
            <w:vAlign w:val="center"/>
          </w:tcPr>
          <w:p w14:paraId="19FEC6F8">
            <w:pPr>
              <w:jc w:val="center"/>
              <w:rPr>
                <w:rFonts w:ascii="Times New Roman"/>
                <w:sz w:val="21"/>
                <w:szCs w:val="21"/>
              </w:rPr>
            </w:pPr>
            <w:r>
              <w:rPr>
                <w:rFonts w:hint="eastAsia" w:ascii="Times New Roman"/>
                <w:sz w:val="21"/>
                <w:szCs w:val="21"/>
              </w:rPr>
              <w:t>20.67</w:t>
            </w:r>
          </w:p>
        </w:tc>
        <w:tc>
          <w:tcPr>
            <w:tcW w:w="646" w:type="dxa"/>
            <w:vAlign w:val="center"/>
          </w:tcPr>
          <w:p w14:paraId="4B97E36D">
            <w:pPr>
              <w:jc w:val="center"/>
              <w:rPr>
                <w:rFonts w:ascii="Times New Roman"/>
                <w:sz w:val="21"/>
                <w:szCs w:val="21"/>
              </w:rPr>
            </w:pPr>
            <w:r>
              <w:rPr>
                <w:rFonts w:ascii="Times New Roman"/>
                <w:sz w:val="21"/>
                <w:szCs w:val="21"/>
              </w:rPr>
              <w:t>/</w:t>
            </w:r>
          </w:p>
        </w:tc>
        <w:tc>
          <w:tcPr>
            <w:tcW w:w="774" w:type="dxa"/>
            <w:vAlign w:val="center"/>
          </w:tcPr>
          <w:p w14:paraId="2D602C90">
            <w:pPr>
              <w:jc w:val="center"/>
              <w:rPr>
                <w:rFonts w:ascii="Times New Roman"/>
                <w:sz w:val="21"/>
                <w:szCs w:val="21"/>
              </w:rPr>
            </w:pPr>
            <w:r>
              <w:rPr>
                <w:rFonts w:ascii="Times New Roman"/>
                <w:sz w:val="21"/>
                <w:szCs w:val="21"/>
              </w:rPr>
              <w:t>/</w:t>
            </w:r>
          </w:p>
        </w:tc>
        <w:tc>
          <w:tcPr>
            <w:tcW w:w="652" w:type="dxa"/>
            <w:vAlign w:val="center"/>
          </w:tcPr>
          <w:p w14:paraId="1ECCC610">
            <w:pPr>
              <w:jc w:val="center"/>
              <w:rPr>
                <w:rFonts w:ascii="Times New Roman"/>
                <w:sz w:val="21"/>
                <w:szCs w:val="21"/>
              </w:rPr>
            </w:pPr>
            <w:r>
              <w:rPr>
                <w:rFonts w:ascii="Times New Roman"/>
                <w:sz w:val="21"/>
                <w:szCs w:val="21"/>
              </w:rPr>
              <w:t>/</w:t>
            </w:r>
          </w:p>
        </w:tc>
        <w:tc>
          <w:tcPr>
            <w:tcW w:w="832" w:type="dxa"/>
            <w:vAlign w:val="center"/>
          </w:tcPr>
          <w:p w14:paraId="296141BB">
            <w:pPr>
              <w:jc w:val="center"/>
              <w:rPr>
                <w:rFonts w:ascii="Times New Roman"/>
                <w:sz w:val="21"/>
                <w:szCs w:val="21"/>
              </w:rPr>
            </w:pPr>
            <w:r>
              <w:rPr>
                <w:rFonts w:ascii="Times New Roman"/>
                <w:sz w:val="21"/>
                <w:szCs w:val="21"/>
              </w:rPr>
              <w:t>/</w:t>
            </w:r>
          </w:p>
        </w:tc>
        <w:tc>
          <w:tcPr>
            <w:tcW w:w="819" w:type="dxa"/>
            <w:shd w:val="clear" w:color="auto" w:fill="auto"/>
            <w:vAlign w:val="center"/>
          </w:tcPr>
          <w:p w14:paraId="24DA3543">
            <w:pPr>
              <w:jc w:val="center"/>
              <w:rPr>
                <w:rFonts w:ascii="Times New Roman"/>
                <w:sz w:val="21"/>
                <w:szCs w:val="21"/>
              </w:rPr>
            </w:pPr>
            <w:r>
              <w:rPr>
                <w:rFonts w:hint="eastAsia" w:ascii="Times New Roman"/>
                <w:sz w:val="21"/>
                <w:szCs w:val="21"/>
              </w:rPr>
              <w:t>2.871</w:t>
            </w:r>
          </w:p>
        </w:tc>
        <w:tc>
          <w:tcPr>
            <w:tcW w:w="819" w:type="dxa"/>
            <w:shd w:val="clear" w:color="auto" w:fill="auto"/>
            <w:vAlign w:val="center"/>
          </w:tcPr>
          <w:p w14:paraId="370B317C">
            <w:pPr>
              <w:jc w:val="center"/>
              <w:rPr>
                <w:rFonts w:ascii="Times New Roman"/>
                <w:sz w:val="21"/>
                <w:szCs w:val="21"/>
              </w:rPr>
            </w:pPr>
            <w:r>
              <w:rPr>
                <w:rFonts w:hint="eastAsia" w:ascii="Times New Roman"/>
                <w:sz w:val="21"/>
                <w:szCs w:val="21"/>
              </w:rPr>
              <w:t>20.67</w:t>
            </w:r>
          </w:p>
        </w:tc>
        <w:tc>
          <w:tcPr>
            <w:tcW w:w="832" w:type="dxa"/>
            <w:vAlign w:val="center"/>
          </w:tcPr>
          <w:p w14:paraId="1E44A5A2">
            <w:pPr>
              <w:jc w:val="center"/>
              <w:rPr>
                <w:rFonts w:ascii="Times New Roman"/>
                <w:sz w:val="21"/>
                <w:szCs w:val="21"/>
              </w:rPr>
            </w:pPr>
            <w:r>
              <w:rPr>
                <w:rFonts w:ascii="Times New Roman"/>
                <w:sz w:val="21"/>
                <w:szCs w:val="21"/>
              </w:rPr>
              <w:t>/</w:t>
            </w:r>
          </w:p>
        </w:tc>
        <w:tc>
          <w:tcPr>
            <w:tcW w:w="2316" w:type="dxa"/>
            <w:gridSpan w:val="4"/>
            <w:vMerge w:val="restart"/>
            <w:vAlign w:val="center"/>
          </w:tcPr>
          <w:p w14:paraId="20653D69">
            <w:pPr>
              <w:jc w:val="center"/>
              <w:rPr>
                <w:rFonts w:ascii="Times New Roman" w:eastAsia="Times New Roman"/>
                <w:sz w:val="21"/>
                <w:szCs w:val="21"/>
              </w:rPr>
            </w:pPr>
            <w:r>
              <w:rPr>
                <w:rFonts w:hint="eastAsia" w:ascii="Times New Roman"/>
                <w:sz w:val="21"/>
                <w:szCs w:val="21"/>
              </w:rPr>
              <w:t>106147.47</w:t>
            </w:r>
            <w:r>
              <w:rPr>
                <w:rFonts w:ascii="Times New Roman" w:eastAsia="Times New Roman"/>
                <w:sz w:val="21"/>
                <w:szCs w:val="21"/>
              </w:rPr>
              <w:t>m</w:t>
            </w:r>
            <w:r>
              <w:rPr>
                <w:rFonts w:ascii="Times New Roman" w:eastAsia="Times New Roman"/>
                <w:sz w:val="21"/>
                <w:szCs w:val="21"/>
                <w:vertAlign w:val="superscript"/>
              </w:rPr>
              <w:t>2</w:t>
            </w:r>
            <w:r>
              <w:rPr>
                <w:rFonts w:ascii="Times New Roman"/>
                <w:sz w:val="21"/>
                <w:szCs w:val="21"/>
              </w:rPr>
              <w:t>，高</w:t>
            </w:r>
            <w:r>
              <w:rPr>
                <w:rFonts w:ascii="Times New Roman" w:eastAsia="Times New Roman"/>
                <w:sz w:val="21"/>
                <w:szCs w:val="21"/>
              </w:rPr>
              <w:t>1</w:t>
            </w:r>
            <w:r>
              <w:rPr>
                <w:rFonts w:hint="eastAsia" w:ascii="Times New Roman"/>
                <w:sz w:val="21"/>
                <w:szCs w:val="21"/>
              </w:rPr>
              <w:t>6.4</w:t>
            </w:r>
            <w:r>
              <w:rPr>
                <w:rFonts w:ascii="Times New Roman" w:eastAsia="Times New Roman"/>
                <w:sz w:val="21"/>
                <w:szCs w:val="21"/>
              </w:rPr>
              <w:t>m</w:t>
            </w:r>
          </w:p>
        </w:tc>
      </w:tr>
      <w:tr w14:paraId="67967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969" w:type="dxa"/>
            <w:vMerge w:val="continue"/>
            <w:vAlign w:val="center"/>
          </w:tcPr>
          <w:p w14:paraId="563F0846">
            <w:pPr>
              <w:jc w:val="center"/>
              <w:rPr>
                <w:rFonts w:ascii="Times New Roman" w:eastAsia="Times New Roman"/>
                <w:sz w:val="21"/>
                <w:szCs w:val="21"/>
              </w:rPr>
            </w:pPr>
          </w:p>
        </w:tc>
        <w:tc>
          <w:tcPr>
            <w:tcW w:w="967" w:type="dxa"/>
            <w:vAlign w:val="center"/>
          </w:tcPr>
          <w:p w14:paraId="16FAF179">
            <w:pPr>
              <w:jc w:val="center"/>
              <w:rPr>
                <w:rFonts w:ascii="Times New Roman"/>
                <w:sz w:val="21"/>
                <w:szCs w:val="21"/>
              </w:rPr>
            </w:pPr>
            <w:r>
              <w:rPr>
                <w:rFonts w:ascii="Times New Roman"/>
                <w:sz w:val="21"/>
                <w:szCs w:val="21"/>
              </w:rPr>
              <w:t>非甲烷总烃</w:t>
            </w:r>
          </w:p>
        </w:tc>
        <w:tc>
          <w:tcPr>
            <w:tcW w:w="943" w:type="dxa"/>
            <w:vMerge w:val="continue"/>
            <w:vAlign w:val="center"/>
          </w:tcPr>
          <w:p w14:paraId="0ABBE8AC">
            <w:pPr>
              <w:jc w:val="center"/>
              <w:rPr>
                <w:rFonts w:ascii="Times New Roman" w:eastAsia="Times New Roman"/>
                <w:sz w:val="21"/>
                <w:szCs w:val="21"/>
              </w:rPr>
            </w:pPr>
          </w:p>
        </w:tc>
        <w:tc>
          <w:tcPr>
            <w:tcW w:w="874" w:type="dxa"/>
            <w:vAlign w:val="center"/>
          </w:tcPr>
          <w:p w14:paraId="126EC013">
            <w:pPr>
              <w:jc w:val="center"/>
              <w:rPr>
                <w:rFonts w:ascii="Times New Roman"/>
                <w:sz w:val="21"/>
                <w:szCs w:val="21"/>
              </w:rPr>
            </w:pPr>
            <w:r>
              <w:rPr>
                <w:rFonts w:ascii="Times New Roman"/>
                <w:sz w:val="21"/>
                <w:szCs w:val="21"/>
              </w:rPr>
              <w:t>/</w:t>
            </w:r>
          </w:p>
        </w:tc>
        <w:tc>
          <w:tcPr>
            <w:tcW w:w="798" w:type="dxa"/>
            <w:vAlign w:val="center"/>
          </w:tcPr>
          <w:p w14:paraId="2188C546">
            <w:pPr>
              <w:jc w:val="center"/>
              <w:rPr>
                <w:rFonts w:ascii="Times New Roman"/>
                <w:sz w:val="21"/>
                <w:szCs w:val="21"/>
              </w:rPr>
            </w:pPr>
            <w:r>
              <w:rPr>
                <w:rFonts w:hint="eastAsia" w:ascii="Times New Roman"/>
                <w:sz w:val="21"/>
                <w:szCs w:val="21"/>
              </w:rPr>
              <w:t>2.420</w:t>
            </w:r>
          </w:p>
        </w:tc>
        <w:tc>
          <w:tcPr>
            <w:tcW w:w="845" w:type="dxa"/>
            <w:vAlign w:val="center"/>
          </w:tcPr>
          <w:p w14:paraId="6C4DC5D2">
            <w:pPr>
              <w:jc w:val="center"/>
              <w:rPr>
                <w:rFonts w:ascii="Times New Roman"/>
                <w:sz w:val="21"/>
                <w:szCs w:val="21"/>
              </w:rPr>
            </w:pPr>
            <w:r>
              <w:rPr>
                <w:rFonts w:hint="eastAsia" w:ascii="Times New Roman"/>
                <w:sz w:val="21"/>
                <w:szCs w:val="21"/>
              </w:rPr>
              <w:t>17.426</w:t>
            </w:r>
          </w:p>
        </w:tc>
        <w:tc>
          <w:tcPr>
            <w:tcW w:w="646" w:type="dxa"/>
            <w:vAlign w:val="center"/>
          </w:tcPr>
          <w:p w14:paraId="6E2307A7">
            <w:pPr>
              <w:jc w:val="center"/>
              <w:rPr>
                <w:rFonts w:ascii="Times New Roman"/>
                <w:sz w:val="21"/>
                <w:szCs w:val="21"/>
              </w:rPr>
            </w:pPr>
            <w:r>
              <w:rPr>
                <w:rFonts w:ascii="Times New Roman"/>
                <w:sz w:val="21"/>
                <w:szCs w:val="21"/>
              </w:rPr>
              <w:t>/</w:t>
            </w:r>
          </w:p>
        </w:tc>
        <w:tc>
          <w:tcPr>
            <w:tcW w:w="774" w:type="dxa"/>
            <w:vAlign w:val="center"/>
          </w:tcPr>
          <w:p w14:paraId="4A0D26ED">
            <w:pPr>
              <w:jc w:val="center"/>
              <w:rPr>
                <w:rFonts w:ascii="Times New Roman"/>
                <w:sz w:val="21"/>
                <w:szCs w:val="21"/>
              </w:rPr>
            </w:pPr>
            <w:r>
              <w:rPr>
                <w:rFonts w:ascii="Times New Roman"/>
                <w:sz w:val="21"/>
                <w:szCs w:val="21"/>
              </w:rPr>
              <w:t>/</w:t>
            </w:r>
          </w:p>
        </w:tc>
        <w:tc>
          <w:tcPr>
            <w:tcW w:w="652" w:type="dxa"/>
            <w:vAlign w:val="center"/>
          </w:tcPr>
          <w:p w14:paraId="3EF70523">
            <w:pPr>
              <w:jc w:val="center"/>
              <w:rPr>
                <w:rFonts w:ascii="Times New Roman"/>
                <w:sz w:val="21"/>
                <w:szCs w:val="21"/>
              </w:rPr>
            </w:pPr>
            <w:r>
              <w:rPr>
                <w:rFonts w:ascii="Times New Roman"/>
                <w:sz w:val="21"/>
                <w:szCs w:val="21"/>
              </w:rPr>
              <w:t>/</w:t>
            </w:r>
          </w:p>
        </w:tc>
        <w:tc>
          <w:tcPr>
            <w:tcW w:w="832" w:type="dxa"/>
            <w:vAlign w:val="center"/>
          </w:tcPr>
          <w:p w14:paraId="59698313">
            <w:pPr>
              <w:jc w:val="center"/>
              <w:rPr>
                <w:rFonts w:ascii="Times New Roman"/>
                <w:sz w:val="21"/>
                <w:szCs w:val="21"/>
              </w:rPr>
            </w:pPr>
            <w:r>
              <w:rPr>
                <w:rFonts w:ascii="Times New Roman"/>
                <w:sz w:val="21"/>
                <w:szCs w:val="21"/>
              </w:rPr>
              <w:t>/</w:t>
            </w:r>
          </w:p>
        </w:tc>
        <w:tc>
          <w:tcPr>
            <w:tcW w:w="819" w:type="dxa"/>
            <w:shd w:val="clear" w:color="auto" w:fill="auto"/>
            <w:vAlign w:val="center"/>
          </w:tcPr>
          <w:p w14:paraId="6C55460C">
            <w:pPr>
              <w:jc w:val="center"/>
              <w:rPr>
                <w:rFonts w:ascii="Times New Roman"/>
                <w:sz w:val="21"/>
                <w:szCs w:val="21"/>
              </w:rPr>
            </w:pPr>
            <w:r>
              <w:rPr>
                <w:rFonts w:hint="eastAsia" w:ascii="Times New Roman"/>
                <w:sz w:val="21"/>
                <w:szCs w:val="21"/>
              </w:rPr>
              <w:t>2.420</w:t>
            </w:r>
          </w:p>
        </w:tc>
        <w:tc>
          <w:tcPr>
            <w:tcW w:w="819" w:type="dxa"/>
            <w:shd w:val="clear" w:color="auto" w:fill="auto"/>
            <w:vAlign w:val="center"/>
          </w:tcPr>
          <w:p w14:paraId="0D69006A">
            <w:pPr>
              <w:jc w:val="center"/>
              <w:rPr>
                <w:rFonts w:ascii="Times New Roman"/>
                <w:sz w:val="21"/>
                <w:szCs w:val="21"/>
              </w:rPr>
            </w:pPr>
            <w:r>
              <w:rPr>
                <w:rFonts w:hint="eastAsia" w:ascii="Times New Roman"/>
                <w:sz w:val="21"/>
                <w:szCs w:val="21"/>
              </w:rPr>
              <w:t>17.426</w:t>
            </w:r>
          </w:p>
        </w:tc>
        <w:tc>
          <w:tcPr>
            <w:tcW w:w="832" w:type="dxa"/>
            <w:vAlign w:val="center"/>
          </w:tcPr>
          <w:p w14:paraId="720D121F">
            <w:pPr>
              <w:jc w:val="center"/>
              <w:rPr>
                <w:rFonts w:ascii="Times New Roman"/>
                <w:sz w:val="21"/>
                <w:szCs w:val="21"/>
              </w:rPr>
            </w:pPr>
            <w:r>
              <w:rPr>
                <w:rFonts w:ascii="Times New Roman"/>
                <w:sz w:val="21"/>
                <w:szCs w:val="21"/>
              </w:rPr>
              <w:t>/</w:t>
            </w:r>
          </w:p>
        </w:tc>
        <w:tc>
          <w:tcPr>
            <w:tcW w:w="2316" w:type="dxa"/>
            <w:gridSpan w:val="4"/>
            <w:vMerge w:val="continue"/>
            <w:vAlign w:val="center"/>
          </w:tcPr>
          <w:p w14:paraId="2A8A5B69">
            <w:pPr>
              <w:jc w:val="center"/>
              <w:rPr>
                <w:rFonts w:ascii="Times New Roman" w:eastAsia="Times New Roman"/>
                <w:sz w:val="21"/>
                <w:szCs w:val="21"/>
              </w:rPr>
            </w:pPr>
          </w:p>
        </w:tc>
      </w:tr>
      <w:tr w14:paraId="65C6F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969" w:type="dxa"/>
            <w:vMerge w:val="continue"/>
            <w:vAlign w:val="center"/>
          </w:tcPr>
          <w:p w14:paraId="16D2ADB7">
            <w:pPr>
              <w:jc w:val="center"/>
              <w:rPr>
                <w:rFonts w:ascii="Times New Roman" w:eastAsia="Times New Roman"/>
                <w:sz w:val="21"/>
                <w:szCs w:val="21"/>
              </w:rPr>
            </w:pPr>
          </w:p>
        </w:tc>
        <w:tc>
          <w:tcPr>
            <w:tcW w:w="967" w:type="dxa"/>
            <w:vAlign w:val="center"/>
          </w:tcPr>
          <w:p w14:paraId="51923DE9">
            <w:pPr>
              <w:jc w:val="center"/>
              <w:rPr>
                <w:rFonts w:ascii="Times New Roman" w:eastAsia="Times New Roman"/>
                <w:sz w:val="21"/>
                <w:szCs w:val="21"/>
              </w:rPr>
            </w:pPr>
            <w:r>
              <w:rPr>
                <w:rFonts w:ascii="Times New Roman"/>
                <w:sz w:val="21"/>
                <w:szCs w:val="21"/>
              </w:rPr>
              <w:t>二甲苯</w:t>
            </w:r>
          </w:p>
        </w:tc>
        <w:tc>
          <w:tcPr>
            <w:tcW w:w="943" w:type="dxa"/>
            <w:vMerge w:val="continue"/>
            <w:vAlign w:val="center"/>
          </w:tcPr>
          <w:p w14:paraId="5657A3F6">
            <w:pPr>
              <w:jc w:val="center"/>
              <w:rPr>
                <w:rFonts w:ascii="Times New Roman" w:eastAsia="Times New Roman"/>
                <w:sz w:val="21"/>
                <w:szCs w:val="21"/>
              </w:rPr>
            </w:pPr>
          </w:p>
        </w:tc>
        <w:tc>
          <w:tcPr>
            <w:tcW w:w="874" w:type="dxa"/>
            <w:vAlign w:val="center"/>
          </w:tcPr>
          <w:p w14:paraId="79B813D2">
            <w:pPr>
              <w:jc w:val="center"/>
              <w:rPr>
                <w:rFonts w:ascii="Times New Roman"/>
                <w:sz w:val="21"/>
                <w:szCs w:val="21"/>
              </w:rPr>
            </w:pPr>
            <w:r>
              <w:rPr>
                <w:rFonts w:ascii="Times New Roman"/>
                <w:sz w:val="21"/>
                <w:szCs w:val="21"/>
              </w:rPr>
              <w:t>/</w:t>
            </w:r>
          </w:p>
        </w:tc>
        <w:tc>
          <w:tcPr>
            <w:tcW w:w="798" w:type="dxa"/>
            <w:vAlign w:val="center"/>
          </w:tcPr>
          <w:p w14:paraId="0650B662">
            <w:pPr>
              <w:jc w:val="center"/>
              <w:rPr>
                <w:rFonts w:ascii="Times New Roman"/>
                <w:sz w:val="21"/>
                <w:szCs w:val="21"/>
              </w:rPr>
            </w:pPr>
            <w:r>
              <w:rPr>
                <w:rFonts w:hint="eastAsia" w:ascii="Times New Roman"/>
                <w:sz w:val="21"/>
                <w:szCs w:val="21"/>
              </w:rPr>
              <w:t>0.671</w:t>
            </w:r>
          </w:p>
        </w:tc>
        <w:tc>
          <w:tcPr>
            <w:tcW w:w="845" w:type="dxa"/>
            <w:vAlign w:val="center"/>
          </w:tcPr>
          <w:p w14:paraId="7A51DF10">
            <w:pPr>
              <w:jc w:val="center"/>
              <w:rPr>
                <w:rFonts w:ascii="Times New Roman"/>
                <w:sz w:val="21"/>
                <w:szCs w:val="21"/>
              </w:rPr>
            </w:pPr>
            <w:r>
              <w:rPr>
                <w:rFonts w:hint="eastAsia" w:ascii="Times New Roman"/>
                <w:sz w:val="21"/>
                <w:szCs w:val="21"/>
              </w:rPr>
              <w:t>4.828</w:t>
            </w:r>
          </w:p>
        </w:tc>
        <w:tc>
          <w:tcPr>
            <w:tcW w:w="646" w:type="dxa"/>
            <w:vAlign w:val="center"/>
          </w:tcPr>
          <w:p w14:paraId="28EDF250">
            <w:pPr>
              <w:jc w:val="center"/>
              <w:rPr>
                <w:rFonts w:ascii="Times New Roman"/>
                <w:sz w:val="21"/>
                <w:szCs w:val="21"/>
              </w:rPr>
            </w:pPr>
            <w:r>
              <w:rPr>
                <w:rFonts w:ascii="Times New Roman"/>
                <w:sz w:val="21"/>
                <w:szCs w:val="21"/>
              </w:rPr>
              <w:t>/</w:t>
            </w:r>
          </w:p>
        </w:tc>
        <w:tc>
          <w:tcPr>
            <w:tcW w:w="774" w:type="dxa"/>
            <w:vAlign w:val="center"/>
          </w:tcPr>
          <w:p w14:paraId="5FE23EFA">
            <w:pPr>
              <w:jc w:val="center"/>
              <w:rPr>
                <w:rFonts w:ascii="Times New Roman"/>
                <w:sz w:val="21"/>
                <w:szCs w:val="21"/>
              </w:rPr>
            </w:pPr>
            <w:r>
              <w:rPr>
                <w:rFonts w:ascii="Times New Roman"/>
                <w:sz w:val="21"/>
                <w:szCs w:val="21"/>
              </w:rPr>
              <w:t>/</w:t>
            </w:r>
          </w:p>
        </w:tc>
        <w:tc>
          <w:tcPr>
            <w:tcW w:w="652" w:type="dxa"/>
            <w:vAlign w:val="center"/>
          </w:tcPr>
          <w:p w14:paraId="487B36C2">
            <w:pPr>
              <w:jc w:val="center"/>
              <w:rPr>
                <w:rFonts w:ascii="Times New Roman"/>
                <w:sz w:val="21"/>
                <w:szCs w:val="21"/>
              </w:rPr>
            </w:pPr>
            <w:r>
              <w:rPr>
                <w:rFonts w:ascii="Times New Roman"/>
                <w:sz w:val="21"/>
                <w:szCs w:val="21"/>
              </w:rPr>
              <w:t>/</w:t>
            </w:r>
          </w:p>
        </w:tc>
        <w:tc>
          <w:tcPr>
            <w:tcW w:w="832" w:type="dxa"/>
            <w:vAlign w:val="center"/>
          </w:tcPr>
          <w:p w14:paraId="373C2266">
            <w:pPr>
              <w:jc w:val="center"/>
              <w:rPr>
                <w:rFonts w:ascii="Times New Roman"/>
                <w:sz w:val="21"/>
                <w:szCs w:val="21"/>
              </w:rPr>
            </w:pPr>
            <w:r>
              <w:rPr>
                <w:rFonts w:ascii="Times New Roman"/>
                <w:sz w:val="21"/>
                <w:szCs w:val="21"/>
              </w:rPr>
              <w:t>/</w:t>
            </w:r>
          </w:p>
        </w:tc>
        <w:tc>
          <w:tcPr>
            <w:tcW w:w="819" w:type="dxa"/>
            <w:shd w:val="clear" w:color="auto" w:fill="auto"/>
            <w:vAlign w:val="center"/>
          </w:tcPr>
          <w:p w14:paraId="47EBD718">
            <w:pPr>
              <w:jc w:val="center"/>
              <w:rPr>
                <w:rFonts w:ascii="Times New Roman"/>
                <w:sz w:val="21"/>
                <w:szCs w:val="21"/>
              </w:rPr>
            </w:pPr>
            <w:r>
              <w:rPr>
                <w:rFonts w:hint="eastAsia" w:ascii="Times New Roman"/>
                <w:sz w:val="21"/>
                <w:szCs w:val="21"/>
              </w:rPr>
              <w:t>0.671</w:t>
            </w:r>
          </w:p>
        </w:tc>
        <w:tc>
          <w:tcPr>
            <w:tcW w:w="819" w:type="dxa"/>
            <w:shd w:val="clear" w:color="auto" w:fill="auto"/>
            <w:vAlign w:val="center"/>
          </w:tcPr>
          <w:p w14:paraId="53EAC87F">
            <w:pPr>
              <w:jc w:val="center"/>
              <w:rPr>
                <w:rFonts w:ascii="Times New Roman"/>
                <w:sz w:val="21"/>
                <w:szCs w:val="21"/>
              </w:rPr>
            </w:pPr>
            <w:r>
              <w:rPr>
                <w:rFonts w:hint="eastAsia" w:ascii="Times New Roman"/>
                <w:sz w:val="21"/>
                <w:szCs w:val="21"/>
              </w:rPr>
              <w:t>4.828</w:t>
            </w:r>
          </w:p>
        </w:tc>
        <w:tc>
          <w:tcPr>
            <w:tcW w:w="832" w:type="dxa"/>
            <w:vAlign w:val="center"/>
          </w:tcPr>
          <w:p w14:paraId="64242D01">
            <w:pPr>
              <w:jc w:val="center"/>
              <w:rPr>
                <w:rFonts w:ascii="Times New Roman"/>
                <w:sz w:val="21"/>
                <w:szCs w:val="21"/>
              </w:rPr>
            </w:pPr>
            <w:r>
              <w:rPr>
                <w:rFonts w:ascii="Times New Roman"/>
                <w:sz w:val="21"/>
                <w:szCs w:val="21"/>
              </w:rPr>
              <w:t>/</w:t>
            </w:r>
          </w:p>
        </w:tc>
        <w:tc>
          <w:tcPr>
            <w:tcW w:w="2316" w:type="dxa"/>
            <w:gridSpan w:val="4"/>
            <w:vMerge w:val="continue"/>
            <w:vAlign w:val="center"/>
          </w:tcPr>
          <w:p w14:paraId="12736E9F">
            <w:pPr>
              <w:jc w:val="center"/>
              <w:rPr>
                <w:rFonts w:ascii="Times New Roman" w:eastAsia="Times New Roman"/>
                <w:sz w:val="21"/>
                <w:szCs w:val="21"/>
              </w:rPr>
            </w:pPr>
          </w:p>
        </w:tc>
      </w:tr>
    </w:tbl>
    <w:p w14:paraId="3DA2F3B5">
      <w:pPr>
        <w:pStyle w:val="20"/>
        <w:ind w:firstLine="0"/>
        <w:jc w:val="center"/>
      </w:pPr>
    </w:p>
    <w:p w14:paraId="07116DEC">
      <w:pPr>
        <w:spacing w:line="63" w:lineRule="exact"/>
        <w:rPr>
          <w:rFonts w:ascii="Times New Roman"/>
        </w:rPr>
      </w:pPr>
    </w:p>
    <w:p w14:paraId="4DD25553">
      <w:pPr>
        <w:rPr>
          <w:rFonts w:ascii="Times New Roman"/>
          <w:sz w:val="21"/>
        </w:rPr>
        <w:sectPr>
          <w:pgSz w:w="16841" w:h="11907"/>
          <w:pgMar w:top="1113" w:right="1355" w:bottom="1050" w:left="1627" w:header="879" w:footer="890" w:gutter="0"/>
          <w:cols w:space="720" w:num="1"/>
        </w:sectPr>
      </w:pPr>
    </w:p>
    <w:bookmarkEnd w:id="127"/>
    <w:bookmarkEnd w:id="128"/>
    <w:bookmarkEnd w:id="129"/>
    <w:bookmarkEnd w:id="130"/>
    <w:p w14:paraId="6EFE7622">
      <w:pPr>
        <w:spacing w:line="360" w:lineRule="auto"/>
        <w:outlineLvl w:val="2"/>
        <w:rPr>
          <w:rFonts w:ascii="Times New Roman"/>
          <w:b/>
          <w:sz w:val="28"/>
          <w:szCs w:val="28"/>
        </w:rPr>
      </w:pPr>
      <w:bookmarkStart w:id="158" w:name="_Toc390963111"/>
      <w:r>
        <w:rPr>
          <w:rFonts w:ascii="Times New Roman"/>
          <w:b/>
          <w:sz w:val="28"/>
          <w:szCs w:val="28"/>
        </w:rPr>
        <w:t>3.7.2废水</w:t>
      </w:r>
      <w:bookmarkEnd w:id="158"/>
    </w:p>
    <w:p w14:paraId="27EA15B8">
      <w:pPr>
        <w:autoSpaceDE w:val="0"/>
        <w:autoSpaceDN w:val="0"/>
        <w:adjustRightInd w:val="0"/>
        <w:snapToGrid w:val="0"/>
        <w:spacing w:line="360" w:lineRule="auto"/>
        <w:ind w:firstLine="480" w:firstLineChars="200"/>
        <w:rPr>
          <w:rFonts w:ascii="Times New Roman"/>
          <w:bCs/>
          <w:sz w:val="24"/>
          <w:szCs w:val="24"/>
        </w:rPr>
      </w:pPr>
      <w:bookmarkStart w:id="159" w:name="_Toc390963110"/>
      <w:bookmarkStart w:id="160" w:name="_Toc390963112"/>
      <w:r>
        <w:rPr>
          <w:rFonts w:ascii="Times New Roman"/>
          <w:bCs/>
          <w:sz w:val="24"/>
          <w:szCs w:val="24"/>
        </w:rPr>
        <w:t>项目废水主要为生产废水和生活废水。</w:t>
      </w:r>
    </w:p>
    <w:p w14:paraId="19ABE5F7">
      <w:pPr>
        <w:autoSpaceDE w:val="0"/>
        <w:autoSpaceDN w:val="0"/>
        <w:adjustRightInd w:val="0"/>
        <w:snapToGrid w:val="0"/>
        <w:spacing w:line="360" w:lineRule="auto"/>
        <w:ind w:firstLine="480" w:firstLineChars="200"/>
        <w:rPr>
          <w:rFonts w:ascii="Times New Roman"/>
          <w:sz w:val="24"/>
          <w:szCs w:val="24"/>
        </w:rPr>
      </w:pPr>
      <w:r>
        <w:rPr>
          <w:rFonts w:ascii="Times New Roman"/>
          <w:bCs/>
          <w:sz w:val="24"/>
          <w:szCs w:val="24"/>
        </w:rPr>
        <w:t>项目废水主要为生产废水和生活废水，项目产生的职工生活污水</w:t>
      </w:r>
      <w:r>
        <w:rPr>
          <w:rFonts w:ascii="Times New Roman"/>
          <w:sz w:val="24"/>
          <w:szCs w:val="24"/>
        </w:rPr>
        <w:t>量按用水量的80%计，则生活废水（含食堂废水）量为32m</w:t>
      </w:r>
      <w:r>
        <w:rPr>
          <w:rFonts w:ascii="Times New Roman"/>
          <w:sz w:val="24"/>
          <w:szCs w:val="24"/>
          <w:vertAlign w:val="superscript"/>
        </w:rPr>
        <w:t>3</w:t>
      </w:r>
      <w:r>
        <w:rPr>
          <w:rFonts w:ascii="Times New Roman"/>
          <w:sz w:val="24"/>
          <w:szCs w:val="24"/>
        </w:rPr>
        <w:t>/d</w:t>
      </w:r>
      <w:r>
        <w:rPr>
          <w:rFonts w:ascii="Times New Roman"/>
          <w:kern w:val="0"/>
          <w:sz w:val="24"/>
          <w:szCs w:val="24"/>
        </w:rPr>
        <w:t>（9600m</w:t>
      </w:r>
      <w:r>
        <w:rPr>
          <w:rFonts w:ascii="Times New Roman"/>
          <w:kern w:val="0"/>
          <w:sz w:val="24"/>
          <w:szCs w:val="24"/>
          <w:vertAlign w:val="superscript"/>
        </w:rPr>
        <w:t>3</w:t>
      </w:r>
      <w:r>
        <w:rPr>
          <w:rFonts w:ascii="Times New Roman"/>
          <w:kern w:val="0"/>
          <w:sz w:val="24"/>
          <w:szCs w:val="24"/>
        </w:rPr>
        <w:t>/a）</w:t>
      </w:r>
      <w:r>
        <w:rPr>
          <w:rFonts w:ascii="Times New Roman"/>
          <w:sz w:val="24"/>
          <w:szCs w:val="24"/>
        </w:rPr>
        <w:t>，食堂废水采用隔油池预处理后，与日常生活污水一并入化粪池处理，</w:t>
      </w:r>
      <w:r>
        <w:rPr>
          <w:rFonts w:hint="eastAsia" w:ascii="Times New Roman"/>
          <w:sz w:val="24"/>
          <w:szCs w:val="24"/>
        </w:rPr>
        <w:t>后经</w:t>
      </w:r>
      <w:r>
        <w:rPr>
          <w:rFonts w:ascii="Times New Roman"/>
          <w:sz w:val="24"/>
          <w:szCs w:val="24"/>
        </w:rPr>
        <w:t>园区污水管网</w:t>
      </w:r>
      <w:r>
        <w:rPr>
          <w:rFonts w:hint="eastAsia" w:ascii="Times New Roman"/>
          <w:sz w:val="24"/>
          <w:szCs w:val="24"/>
        </w:rPr>
        <w:t>排</w:t>
      </w:r>
      <w:r>
        <w:rPr>
          <w:rFonts w:ascii="Times New Roman"/>
          <w:sz w:val="24"/>
          <w:szCs w:val="24"/>
        </w:rPr>
        <w:t>入园区污水处理厂进一步处理。</w:t>
      </w:r>
    </w:p>
    <w:p w14:paraId="1803A60F">
      <w:pPr>
        <w:autoSpaceDE w:val="0"/>
        <w:autoSpaceDN w:val="0"/>
        <w:adjustRightInd w:val="0"/>
        <w:snapToGrid w:val="0"/>
        <w:spacing w:line="360" w:lineRule="auto"/>
        <w:ind w:firstLine="500" w:firstLineChars="200"/>
        <w:rPr>
          <w:rFonts w:ascii="Times New Roman"/>
          <w:bCs/>
          <w:sz w:val="24"/>
          <w:szCs w:val="24"/>
        </w:rPr>
      </w:pPr>
      <w:r>
        <w:rPr>
          <w:rFonts w:hint="eastAsia"/>
        </w:rPr>
        <w:t>水洗</w:t>
      </w:r>
      <w:r>
        <w:rPr>
          <w:rFonts w:ascii="Times New Roman"/>
          <w:kern w:val="0"/>
          <w:sz w:val="24"/>
          <w:szCs w:val="24"/>
        </w:rPr>
        <w:t>（</w:t>
      </w:r>
      <w:r>
        <w:rPr>
          <w:rFonts w:hint="eastAsia" w:ascii="Times New Roman"/>
          <w:kern w:val="0"/>
          <w:sz w:val="24"/>
          <w:szCs w:val="24"/>
        </w:rPr>
        <w:t>140.6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、纯水洗2</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、电泳槽清洗</w:t>
      </w:r>
      <w:r>
        <w:rPr>
          <w:rFonts w:ascii="Times New Roman"/>
          <w:kern w:val="0"/>
          <w:sz w:val="24"/>
          <w:szCs w:val="24"/>
        </w:rPr>
        <w:t>（</w:t>
      </w:r>
      <w:r>
        <w:rPr>
          <w:rFonts w:hint="eastAsia" w:ascii="Times New Roman"/>
          <w:kern w:val="0"/>
          <w:sz w:val="24"/>
          <w:szCs w:val="24"/>
        </w:rPr>
        <w:t>12.744</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废水先经预处理反应斜管沉淀槽处理后，热水洗</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与预脱脂、脱脂、</w:t>
      </w:r>
      <w:r>
        <w:rPr>
          <w:rFonts w:hint="eastAsia" w:ascii="Times New Roman"/>
          <w:bCs/>
          <w:sz w:val="24"/>
          <w:szCs w:val="24"/>
        </w:rPr>
        <w:t>硅烷化</w:t>
      </w:r>
      <w:r>
        <w:rPr>
          <w:rFonts w:ascii="Times New Roman"/>
          <w:bCs/>
          <w:sz w:val="24"/>
          <w:szCs w:val="24"/>
        </w:rPr>
        <w:t>槽体清洗废水</w:t>
      </w:r>
      <w:r>
        <w:rPr>
          <w:rFonts w:ascii="Times New Roman"/>
          <w:kern w:val="0"/>
          <w:sz w:val="24"/>
          <w:szCs w:val="24"/>
        </w:rPr>
        <w:t>（</w:t>
      </w:r>
      <w:r>
        <w:rPr>
          <w:rFonts w:hint="eastAsia" w:ascii="Times New Roman"/>
          <w:kern w:val="0"/>
          <w:sz w:val="24"/>
          <w:szCs w:val="24"/>
        </w:rPr>
        <w:t>38.232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一同进入污水处理站“一体化气浮槽+综合反应斜管沉淀槽+综合芬顿反应槽+多介质过滤器+活性炭过滤器”系统进行处理，处理达标后由园区污水管网，入园区污水处理厂进一步处理。</w:t>
      </w:r>
    </w:p>
    <w:p w14:paraId="43682872">
      <w:pPr>
        <w:autoSpaceDE w:val="0"/>
        <w:autoSpaceDN w:val="0"/>
        <w:adjustRightInd w:val="0"/>
        <w:snapToGrid w:val="0"/>
        <w:spacing w:line="360" w:lineRule="auto"/>
        <w:ind w:firstLine="480" w:firstLineChars="200"/>
        <w:rPr>
          <w:rFonts w:ascii="Times New Roman"/>
          <w:bCs/>
          <w:sz w:val="24"/>
          <w:szCs w:val="24"/>
        </w:rPr>
      </w:pPr>
      <w:r>
        <w:rPr>
          <w:rFonts w:ascii="Times New Roman"/>
          <w:bCs/>
          <w:sz w:val="24"/>
          <w:szCs w:val="24"/>
        </w:rPr>
        <w:t>纯水制备废水</w:t>
      </w:r>
      <w:r>
        <w:rPr>
          <w:rFonts w:hint="eastAsia" w:ascii="Times New Roman"/>
          <w:bCs/>
          <w:sz w:val="24"/>
          <w:szCs w:val="24"/>
        </w:rPr>
        <w:t>(</w:t>
      </w:r>
      <w:r>
        <w:rPr>
          <w:rFonts w:hint="eastAsia" w:ascii="Times New Roman"/>
          <w:sz w:val="24"/>
          <w:szCs w:val="24"/>
        </w:rPr>
        <w:t>8145.49</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bCs/>
          <w:sz w:val="24"/>
          <w:szCs w:val="24"/>
        </w:rPr>
        <w:t>，直接由园区污水管网，入园区污水处理厂处理</w:t>
      </w:r>
      <w:r>
        <w:rPr>
          <w:rFonts w:hint="eastAsia" w:ascii="Times New Roman"/>
          <w:bCs/>
          <w:sz w:val="24"/>
          <w:szCs w:val="24"/>
        </w:rPr>
        <w:t>。</w:t>
      </w:r>
    </w:p>
    <w:p w14:paraId="6D4CC3FC">
      <w:pPr>
        <w:pStyle w:val="32"/>
        <w:spacing w:after="0" w:line="360" w:lineRule="auto"/>
        <w:ind w:firstLine="480" w:firstLineChars="200"/>
        <w:rPr>
          <w:rFonts w:ascii="Times New Roman"/>
          <w:sz w:val="24"/>
          <w:szCs w:val="24"/>
        </w:rPr>
      </w:pPr>
      <w:r>
        <w:rPr>
          <w:rFonts w:ascii="Times New Roman"/>
          <w:sz w:val="24"/>
          <w:szCs w:val="24"/>
        </w:rPr>
        <w:t>电泳生产线废水参考《汽车工业污染防治可行技术指南》</w:t>
      </w:r>
      <w:r>
        <w:rPr>
          <w:rFonts w:hint="eastAsia" w:ascii="Times New Roman"/>
          <w:sz w:val="24"/>
          <w:szCs w:val="24"/>
        </w:rPr>
        <w:t>（</w:t>
      </w:r>
      <w:r>
        <w:rPr>
          <w:rFonts w:ascii="Times New Roman"/>
          <w:sz w:val="24"/>
          <w:szCs w:val="24"/>
        </w:rPr>
        <w:t>HJ1181-2021</w:t>
      </w:r>
      <w:r>
        <w:rPr>
          <w:rFonts w:hint="eastAsia" w:ascii="Times New Roman"/>
          <w:sz w:val="24"/>
          <w:szCs w:val="24"/>
        </w:rPr>
        <w:t>）</w:t>
      </w:r>
      <w:r>
        <w:rPr>
          <w:rFonts w:ascii="Times New Roman"/>
          <w:sz w:val="24"/>
          <w:szCs w:val="24"/>
        </w:rPr>
        <w:t>及企业提供资料确定本项目废水污染物产生浓度；</w:t>
      </w:r>
      <w:r>
        <w:rPr>
          <w:rFonts w:hint="eastAsia" w:ascii="Times New Roman"/>
          <w:sz w:val="24"/>
          <w:szCs w:val="24"/>
        </w:rPr>
        <w:t>生活废水参照《给排水设计手册》第五册《城镇排水》中表4-1典型生活污水水质示例中浓度</w:t>
      </w:r>
      <w:r>
        <w:rPr>
          <w:rFonts w:ascii="Times New Roman"/>
          <w:sz w:val="24"/>
          <w:szCs w:val="24"/>
        </w:rPr>
        <w:t>，本项目具体废水污染物产生情况见下表。</w:t>
      </w:r>
    </w:p>
    <w:p w14:paraId="0EBF9CA7">
      <w:pPr>
        <w:spacing w:line="360" w:lineRule="auto"/>
        <w:ind w:firstLine="480" w:firstLineChars="200"/>
        <w:rPr>
          <w:rFonts w:ascii="Times New Roman"/>
          <w:bCs/>
          <w:sz w:val="24"/>
          <w:szCs w:val="24"/>
        </w:rPr>
        <w:sectPr>
          <w:pgSz w:w="11906" w:h="16838"/>
          <w:pgMar w:top="1440" w:right="1800" w:bottom="1440" w:left="1800" w:header="1134" w:footer="1134" w:gutter="0"/>
          <w:cols w:space="720" w:num="1"/>
          <w:docGrid w:type="lines" w:linePitch="340" w:charSpace="0"/>
        </w:sectPr>
      </w:pPr>
    </w:p>
    <w:p w14:paraId="32F6BE96">
      <w:pPr>
        <w:spacing w:line="360" w:lineRule="auto"/>
        <w:jc w:val="center"/>
        <w:rPr>
          <w:rFonts w:ascii="Times New Roman"/>
          <w:b/>
          <w:sz w:val="24"/>
          <w:szCs w:val="24"/>
        </w:rPr>
      </w:pPr>
      <w:r>
        <w:rPr>
          <w:rFonts w:ascii="Times New Roman"/>
          <w:b/>
          <w:sz w:val="24"/>
          <w:szCs w:val="24"/>
        </w:rPr>
        <w:t>表3.7-1</w:t>
      </w:r>
      <w:r>
        <w:rPr>
          <w:rFonts w:hint="eastAsia" w:ascii="Times New Roman"/>
          <w:b/>
          <w:sz w:val="24"/>
          <w:szCs w:val="24"/>
        </w:rPr>
        <w:t>2</w:t>
      </w:r>
      <w:r>
        <w:rPr>
          <w:rFonts w:ascii="Times New Roman"/>
          <w:b/>
          <w:sz w:val="24"/>
          <w:szCs w:val="24"/>
        </w:rPr>
        <w:t xml:space="preserve">  废水污染源及治理设施一览表</w:t>
      </w:r>
      <w:r>
        <w:rPr>
          <w:rFonts w:hint="eastAsia" w:ascii="Times New Roman"/>
          <w:b/>
          <w:sz w:val="24"/>
          <w:szCs w:val="24"/>
        </w:rPr>
        <w:t>（单位：mg/L）</w:t>
      </w:r>
    </w:p>
    <w:tbl>
      <w:tblPr>
        <w:tblStyle w:val="8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83"/>
        <w:gridCol w:w="1234"/>
        <w:gridCol w:w="1254"/>
        <w:gridCol w:w="1242"/>
        <w:gridCol w:w="1310"/>
        <w:gridCol w:w="1225"/>
        <w:gridCol w:w="1205"/>
        <w:gridCol w:w="1132"/>
        <w:gridCol w:w="1129"/>
        <w:gridCol w:w="1154"/>
        <w:gridCol w:w="990"/>
      </w:tblGrid>
      <w:tr w14:paraId="3971E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726941FE">
            <w:pPr>
              <w:jc w:val="center"/>
              <w:rPr>
                <w:rFonts w:ascii="Times New Roman"/>
                <w:b/>
                <w:bCs/>
                <w:sz w:val="21"/>
                <w:szCs w:val="21"/>
              </w:rPr>
            </w:pPr>
            <w:r>
              <w:rPr>
                <w:rFonts w:ascii="Times New Roman"/>
                <w:b/>
                <w:bCs/>
                <w:sz w:val="21"/>
                <w:szCs w:val="21"/>
              </w:rPr>
              <w:t>项目</w:t>
            </w:r>
          </w:p>
        </w:tc>
        <w:tc>
          <w:tcPr>
            <w:tcW w:w="435" w:type="pct"/>
            <w:vAlign w:val="center"/>
          </w:tcPr>
          <w:p w14:paraId="3E496AE7">
            <w:pPr>
              <w:jc w:val="center"/>
              <w:rPr>
                <w:rFonts w:ascii="Times New Roman"/>
                <w:b/>
                <w:bCs/>
                <w:sz w:val="21"/>
                <w:szCs w:val="21"/>
              </w:rPr>
            </w:pPr>
            <w:r>
              <w:rPr>
                <w:rFonts w:ascii="Times New Roman"/>
                <w:b/>
                <w:bCs/>
                <w:sz w:val="21"/>
                <w:szCs w:val="21"/>
              </w:rPr>
              <w:t>水量（m</w:t>
            </w:r>
            <w:r>
              <w:rPr>
                <w:rFonts w:ascii="Times New Roman"/>
                <w:b/>
                <w:bCs/>
                <w:sz w:val="21"/>
                <w:szCs w:val="21"/>
                <w:vertAlign w:val="superscript"/>
              </w:rPr>
              <w:t>3</w:t>
            </w:r>
            <w:r>
              <w:rPr>
                <w:rFonts w:ascii="Times New Roman"/>
                <w:b/>
                <w:bCs/>
                <w:sz w:val="21"/>
                <w:szCs w:val="21"/>
              </w:rPr>
              <w:t>/a）</w:t>
            </w:r>
          </w:p>
        </w:tc>
        <w:tc>
          <w:tcPr>
            <w:tcW w:w="442" w:type="pct"/>
            <w:vAlign w:val="center"/>
          </w:tcPr>
          <w:p w14:paraId="1C9AE0AF">
            <w:pPr>
              <w:jc w:val="center"/>
              <w:rPr>
                <w:rFonts w:ascii="Times New Roman"/>
                <w:b/>
                <w:bCs/>
                <w:sz w:val="21"/>
                <w:szCs w:val="21"/>
              </w:rPr>
            </w:pPr>
            <w:r>
              <w:rPr>
                <w:rFonts w:ascii="Times New Roman"/>
                <w:b/>
                <w:bCs/>
                <w:sz w:val="21"/>
                <w:szCs w:val="21"/>
              </w:rPr>
              <w:t>pH</w:t>
            </w:r>
          </w:p>
          <w:p w14:paraId="28CC4C6E">
            <w:pPr>
              <w:jc w:val="center"/>
              <w:rPr>
                <w:rFonts w:ascii="Times New Roman"/>
                <w:b/>
                <w:bCs/>
                <w:sz w:val="21"/>
                <w:szCs w:val="21"/>
              </w:rPr>
            </w:pPr>
            <w:r>
              <w:rPr>
                <w:rFonts w:ascii="Times New Roman"/>
                <w:b/>
                <w:bCs/>
                <w:sz w:val="21"/>
                <w:szCs w:val="21"/>
              </w:rPr>
              <w:t>（无量纲）</w:t>
            </w:r>
          </w:p>
        </w:tc>
        <w:tc>
          <w:tcPr>
            <w:tcW w:w="438" w:type="pct"/>
            <w:vAlign w:val="center"/>
          </w:tcPr>
          <w:p w14:paraId="0B84CD1E">
            <w:pPr>
              <w:jc w:val="center"/>
              <w:rPr>
                <w:rFonts w:ascii="Times New Roman"/>
                <w:b/>
                <w:bCs/>
                <w:sz w:val="21"/>
                <w:szCs w:val="21"/>
              </w:rPr>
            </w:pPr>
            <w:r>
              <w:rPr>
                <w:rFonts w:ascii="Times New Roman"/>
                <w:b/>
                <w:bCs/>
                <w:sz w:val="21"/>
                <w:szCs w:val="21"/>
              </w:rPr>
              <w:t>COD</w:t>
            </w:r>
          </w:p>
        </w:tc>
        <w:tc>
          <w:tcPr>
            <w:tcW w:w="462" w:type="pct"/>
            <w:vAlign w:val="center"/>
          </w:tcPr>
          <w:p w14:paraId="32933912">
            <w:pPr>
              <w:jc w:val="center"/>
              <w:rPr>
                <w:rFonts w:ascii="Times New Roman"/>
                <w:b/>
                <w:bCs/>
                <w:sz w:val="21"/>
                <w:szCs w:val="21"/>
              </w:rPr>
            </w:pPr>
            <w:r>
              <w:rPr>
                <w:rFonts w:ascii="Times New Roman"/>
                <w:b/>
                <w:bCs/>
                <w:sz w:val="21"/>
                <w:szCs w:val="21"/>
              </w:rPr>
              <w:t>BOD</w:t>
            </w:r>
            <w:r>
              <w:rPr>
                <w:rFonts w:ascii="Times New Roman"/>
                <w:b/>
                <w:bCs/>
                <w:sz w:val="21"/>
                <w:szCs w:val="21"/>
                <w:vertAlign w:val="subscript"/>
              </w:rPr>
              <w:t>5</w:t>
            </w:r>
          </w:p>
        </w:tc>
        <w:tc>
          <w:tcPr>
            <w:tcW w:w="432" w:type="pct"/>
            <w:vAlign w:val="center"/>
          </w:tcPr>
          <w:p w14:paraId="55BE60FB">
            <w:pPr>
              <w:jc w:val="center"/>
              <w:rPr>
                <w:rFonts w:ascii="Times New Roman"/>
                <w:b/>
                <w:bCs/>
                <w:sz w:val="21"/>
                <w:szCs w:val="21"/>
              </w:rPr>
            </w:pPr>
            <w:r>
              <w:rPr>
                <w:rFonts w:ascii="Times New Roman"/>
                <w:b/>
                <w:bCs/>
                <w:sz w:val="21"/>
                <w:szCs w:val="21"/>
              </w:rPr>
              <w:t>SS</w:t>
            </w:r>
          </w:p>
        </w:tc>
        <w:tc>
          <w:tcPr>
            <w:tcW w:w="425" w:type="pct"/>
            <w:vAlign w:val="center"/>
          </w:tcPr>
          <w:p w14:paraId="54B330E3">
            <w:pPr>
              <w:jc w:val="center"/>
              <w:rPr>
                <w:rFonts w:ascii="Times New Roman"/>
                <w:b/>
                <w:kern w:val="0"/>
                <w:sz w:val="21"/>
                <w:szCs w:val="21"/>
              </w:rPr>
            </w:pPr>
            <w:r>
              <w:rPr>
                <w:rFonts w:ascii="Times New Roman"/>
                <w:b/>
                <w:kern w:val="0"/>
                <w:sz w:val="21"/>
                <w:szCs w:val="21"/>
              </w:rPr>
              <w:t>NH</w:t>
            </w:r>
            <w:r>
              <w:rPr>
                <w:rFonts w:ascii="Times New Roman"/>
                <w:b/>
                <w:kern w:val="0"/>
                <w:sz w:val="21"/>
                <w:szCs w:val="21"/>
                <w:vertAlign w:val="subscript"/>
              </w:rPr>
              <w:t>3</w:t>
            </w:r>
            <w:r>
              <w:rPr>
                <w:rFonts w:ascii="Times New Roman"/>
                <w:b/>
                <w:kern w:val="0"/>
                <w:sz w:val="21"/>
                <w:szCs w:val="21"/>
              </w:rPr>
              <w:t>-N</w:t>
            </w:r>
          </w:p>
        </w:tc>
        <w:tc>
          <w:tcPr>
            <w:tcW w:w="399" w:type="pct"/>
            <w:vAlign w:val="center"/>
          </w:tcPr>
          <w:p w14:paraId="1B5E5A5E">
            <w:pPr>
              <w:jc w:val="center"/>
              <w:rPr>
                <w:rFonts w:ascii="Times New Roman"/>
                <w:b/>
                <w:bCs/>
                <w:sz w:val="21"/>
                <w:szCs w:val="21"/>
              </w:rPr>
            </w:pPr>
            <w:r>
              <w:rPr>
                <w:rFonts w:ascii="Times New Roman"/>
                <w:b/>
                <w:kern w:val="0"/>
                <w:sz w:val="21"/>
                <w:szCs w:val="21"/>
              </w:rPr>
              <w:t>TP</w:t>
            </w:r>
          </w:p>
        </w:tc>
        <w:tc>
          <w:tcPr>
            <w:tcW w:w="398" w:type="pct"/>
            <w:vAlign w:val="center"/>
          </w:tcPr>
          <w:p w14:paraId="2D02804B">
            <w:pPr>
              <w:jc w:val="center"/>
              <w:rPr>
                <w:rFonts w:ascii="Times New Roman"/>
                <w:b/>
                <w:bCs/>
                <w:sz w:val="21"/>
                <w:szCs w:val="21"/>
              </w:rPr>
            </w:pPr>
            <w:r>
              <w:rPr>
                <w:rFonts w:ascii="Times New Roman"/>
                <w:b/>
                <w:kern w:val="0"/>
                <w:sz w:val="21"/>
                <w:szCs w:val="21"/>
              </w:rPr>
              <w:t>TN</w:t>
            </w:r>
          </w:p>
        </w:tc>
        <w:tc>
          <w:tcPr>
            <w:tcW w:w="407" w:type="pct"/>
            <w:vAlign w:val="center"/>
          </w:tcPr>
          <w:p w14:paraId="41416837">
            <w:pPr>
              <w:jc w:val="center"/>
              <w:rPr>
                <w:rFonts w:ascii="Times New Roman"/>
                <w:b/>
                <w:kern w:val="0"/>
                <w:sz w:val="21"/>
                <w:szCs w:val="21"/>
              </w:rPr>
            </w:pPr>
            <w:r>
              <w:rPr>
                <w:rFonts w:ascii="Times New Roman"/>
                <w:b/>
                <w:kern w:val="0"/>
                <w:sz w:val="21"/>
                <w:szCs w:val="21"/>
              </w:rPr>
              <w:t>动植物油</w:t>
            </w:r>
          </w:p>
        </w:tc>
        <w:tc>
          <w:tcPr>
            <w:tcW w:w="349" w:type="pct"/>
            <w:vAlign w:val="center"/>
          </w:tcPr>
          <w:p w14:paraId="655573BA">
            <w:pPr>
              <w:jc w:val="center"/>
              <w:rPr>
                <w:rFonts w:ascii="Times New Roman"/>
                <w:b/>
                <w:kern w:val="0"/>
                <w:sz w:val="21"/>
                <w:szCs w:val="21"/>
              </w:rPr>
            </w:pPr>
            <w:r>
              <w:rPr>
                <w:rFonts w:hint="eastAsia" w:ascii="Times New Roman"/>
                <w:b/>
                <w:kern w:val="0"/>
                <w:sz w:val="21"/>
                <w:szCs w:val="21"/>
              </w:rPr>
              <w:t>石油类</w:t>
            </w:r>
          </w:p>
        </w:tc>
      </w:tr>
      <w:tr w14:paraId="515D6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1118A592">
            <w:pPr>
              <w:jc w:val="center"/>
              <w:rPr>
                <w:rFonts w:ascii="Times New Roman"/>
                <w:sz w:val="21"/>
                <w:szCs w:val="21"/>
              </w:rPr>
            </w:pPr>
            <w:r>
              <w:rPr>
                <w:rFonts w:hint="eastAsia" w:ascii="Times New Roman"/>
                <w:sz w:val="21"/>
                <w:szCs w:val="21"/>
              </w:rPr>
              <w:t>电泳生产线</w:t>
            </w:r>
            <w:r>
              <w:rPr>
                <w:rFonts w:ascii="Times New Roman"/>
                <w:sz w:val="21"/>
                <w:szCs w:val="21"/>
              </w:rPr>
              <w:t>废水</w:t>
            </w:r>
          </w:p>
        </w:tc>
        <w:tc>
          <w:tcPr>
            <w:tcW w:w="435" w:type="pct"/>
            <w:vAlign w:val="center"/>
          </w:tcPr>
          <w:p w14:paraId="07D46D8D">
            <w:pPr>
              <w:jc w:val="center"/>
              <w:rPr>
                <w:rFonts w:ascii="Times New Roman"/>
                <w:sz w:val="21"/>
                <w:szCs w:val="21"/>
              </w:rPr>
            </w:pPr>
            <w:r>
              <w:rPr>
                <w:rFonts w:hint="eastAsia" w:ascii="Times New Roman"/>
                <w:sz w:val="21"/>
                <w:szCs w:val="21"/>
              </w:rPr>
              <w:t>20351.576</w:t>
            </w:r>
          </w:p>
        </w:tc>
        <w:tc>
          <w:tcPr>
            <w:tcW w:w="442" w:type="pct"/>
            <w:vAlign w:val="center"/>
          </w:tcPr>
          <w:p w14:paraId="57400C23">
            <w:pPr>
              <w:jc w:val="center"/>
              <w:rPr>
                <w:rFonts w:ascii="Times New Roman"/>
                <w:sz w:val="21"/>
                <w:szCs w:val="21"/>
              </w:rPr>
            </w:pPr>
            <w:r>
              <w:rPr>
                <w:rFonts w:hint="eastAsia" w:ascii="Times New Roman"/>
                <w:sz w:val="21"/>
                <w:szCs w:val="21"/>
              </w:rPr>
              <w:t>10</w:t>
            </w:r>
          </w:p>
        </w:tc>
        <w:tc>
          <w:tcPr>
            <w:tcW w:w="438" w:type="pct"/>
            <w:vAlign w:val="center"/>
          </w:tcPr>
          <w:p w14:paraId="48BE5589">
            <w:pPr>
              <w:jc w:val="center"/>
              <w:rPr>
                <w:rFonts w:ascii="Times New Roman"/>
                <w:sz w:val="21"/>
                <w:szCs w:val="21"/>
              </w:rPr>
            </w:pPr>
            <w:r>
              <w:rPr>
                <w:rFonts w:hint="eastAsia" w:ascii="Times New Roman"/>
                <w:sz w:val="21"/>
                <w:szCs w:val="21"/>
              </w:rPr>
              <w:t>6</w:t>
            </w:r>
            <w:r>
              <w:rPr>
                <w:rFonts w:ascii="Times New Roman"/>
                <w:sz w:val="21"/>
                <w:szCs w:val="21"/>
              </w:rPr>
              <w:t>00</w:t>
            </w:r>
          </w:p>
        </w:tc>
        <w:tc>
          <w:tcPr>
            <w:tcW w:w="462" w:type="pct"/>
            <w:vAlign w:val="center"/>
          </w:tcPr>
          <w:p w14:paraId="4128E0BF">
            <w:pPr>
              <w:jc w:val="center"/>
              <w:rPr>
                <w:rFonts w:ascii="Times New Roman"/>
                <w:sz w:val="21"/>
                <w:szCs w:val="21"/>
              </w:rPr>
            </w:pPr>
            <w:r>
              <w:rPr>
                <w:rFonts w:hint="eastAsia" w:ascii="Times New Roman"/>
                <w:sz w:val="21"/>
                <w:szCs w:val="21"/>
              </w:rPr>
              <w:t>/</w:t>
            </w:r>
          </w:p>
        </w:tc>
        <w:tc>
          <w:tcPr>
            <w:tcW w:w="432" w:type="pct"/>
            <w:vAlign w:val="center"/>
          </w:tcPr>
          <w:p w14:paraId="422EF92A">
            <w:pPr>
              <w:jc w:val="center"/>
              <w:rPr>
                <w:rFonts w:ascii="Times New Roman"/>
                <w:sz w:val="21"/>
                <w:szCs w:val="21"/>
              </w:rPr>
            </w:pPr>
            <w:r>
              <w:rPr>
                <w:rFonts w:ascii="Times New Roman"/>
                <w:sz w:val="21"/>
                <w:szCs w:val="21"/>
              </w:rPr>
              <w:t>400</w:t>
            </w:r>
          </w:p>
        </w:tc>
        <w:tc>
          <w:tcPr>
            <w:tcW w:w="425" w:type="pct"/>
            <w:vAlign w:val="center"/>
          </w:tcPr>
          <w:p w14:paraId="3D6935DE">
            <w:pPr>
              <w:jc w:val="center"/>
              <w:rPr>
                <w:rFonts w:ascii="Times New Roman"/>
                <w:sz w:val="21"/>
                <w:szCs w:val="21"/>
              </w:rPr>
            </w:pPr>
            <w:r>
              <w:rPr>
                <w:rFonts w:hint="eastAsia" w:ascii="Times New Roman"/>
                <w:sz w:val="21"/>
                <w:szCs w:val="21"/>
              </w:rPr>
              <w:t>/</w:t>
            </w:r>
          </w:p>
        </w:tc>
        <w:tc>
          <w:tcPr>
            <w:tcW w:w="399" w:type="pct"/>
            <w:vAlign w:val="center"/>
          </w:tcPr>
          <w:p w14:paraId="4336E279">
            <w:pPr>
              <w:jc w:val="center"/>
              <w:rPr>
                <w:rFonts w:ascii="Times New Roman"/>
                <w:sz w:val="21"/>
                <w:szCs w:val="21"/>
              </w:rPr>
            </w:pPr>
            <w:r>
              <w:rPr>
                <w:rFonts w:hint="eastAsia" w:ascii="Times New Roman"/>
                <w:sz w:val="21"/>
                <w:szCs w:val="21"/>
              </w:rPr>
              <w:t>10</w:t>
            </w:r>
          </w:p>
        </w:tc>
        <w:tc>
          <w:tcPr>
            <w:tcW w:w="398" w:type="pct"/>
            <w:vAlign w:val="center"/>
          </w:tcPr>
          <w:p w14:paraId="23728F8E">
            <w:pPr>
              <w:jc w:val="center"/>
              <w:rPr>
                <w:rFonts w:ascii="Times New Roman"/>
                <w:sz w:val="21"/>
                <w:szCs w:val="21"/>
              </w:rPr>
            </w:pPr>
            <w:r>
              <w:rPr>
                <w:rFonts w:hint="eastAsia" w:ascii="Times New Roman"/>
                <w:sz w:val="21"/>
                <w:szCs w:val="21"/>
              </w:rPr>
              <w:t>/</w:t>
            </w:r>
          </w:p>
        </w:tc>
        <w:tc>
          <w:tcPr>
            <w:tcW w:w="407" w:type="pct"/>
            <w:vAlign w:val="center"/>
          </w:tcPr>
          <w:p w14:paraId="5E1AE271">
            <w:pPr>
              <w:jc w:val="center"/>
              <w:rPr>
                <w:rFonts w:ascii="Times New Roman"/>
                <w:sz w:val="21"/>
                <w:szCs w:val="21"/>
              </w:rPr>
            </w:pPr>
            <w:r>
              <w:rPr>
                <w:rFonts w:ascii="Times New Roman"/>
                <w:sz w:val="21"/>
                <w:szCs w:val="21"/>
              </w:rPr>
              <w:t>/</w:t>
            </w:r>
          </w:p>
        </w:tc>
        <w:tc>
          <w:tcPr>
            <w:tcW w:w="349" w:type="pct"/>
            <w:vAlign w:val="center"/>
          </w:tcPr>
          <w:p w14:paraId="5F764A34">
            <w:pPr>
              <w:jc w:val="center"/>
              <w:rPr>
                <w:rFonts w:ascii="Times New Roman"/>
                <w:sz w:val="21"/>
                <w:szCs w:val="21"/>
              </w:rPr>
            </w:pPr>
            <w:r>
              <w:rPr>
                <w:rFonts w:hint="eastAsia" w:ascii="Times New Roman"/>
                <w:sz w:val="21"/>
                <w:szCs w:val="21"/>
              </w:rPr>
              <w:t>15</w:t>
            </w:r>
          </w:p>
        </w:tc>
      </w:tr>
      <w:tr w14:paraId="0000A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520E15C3">
            <w:pPr>
              <w:jc w:val="center"/>
              <w:rPr>
                <w:rFonts w:ascii="Times New Roman"/>
                <w:sz w:val="21"/>
                <w:szCs w:val="21"/>
              </w:rPr>
            </w:pPr>
            <w:r>
              <w:rPr>
                <w:rFonts w:hint="eastAsia" w:ascii="Times New Roman"/>
                <w:sz w:val="21"/>
                <w:szCs w:val="21"/>
              </w:rPr>
              <w:t>车间地面清洁</w:t>
            </w:r>
            <w:r>
              <w:rPr>
                <w:rFonts w:ascii="Times New Roman"/>
                <w:sz w:val="21"/>
                <w:szCs w:val="21"/>
              </w:rPr>
              <w:t>废水</w:t>
            </w:r>
          </w:p>
        </w:tc>
        <w:tc>
          <w:tcPr>
            <w:tcW w:w="435" w:type="pct"/>
            <w:vAlign w:val="center"/>
          </w:tcPr>
          <w:p w14:paraId="13823943">
            <w:pPr>
              <w:jc w:val="center"/>
              <w:rPr>
                <w:rFonts w:ascii="Times New Roman"/>
                <w:sz w:val="21"/>
                <w:szCs w:val="21"/>
              </w:rPr>
            </w:pPr>
            <w:r>
              <w:rPr>
                <w:rFonts w:hint="eastAsia" w:ascii="Times New Roman"/>
                <w:sz w:val="21"/>
                <w:szCs w:val="21"/>
              </w:rPr>
              <w:t>720</w:t>
            </w:r>
          </w:p>
        </w:tc>
        <w:tc>
          <w:tcPr>
            <w:tcW w:w="442" w:type="pct"/>
            <w:vAlign w:val="center"/>
          </w:tcPr>
          <w:p w14:paraId="30D98622">
            <w:pPr>
              <w:jc w:val="center"/>
              <w:rPr>
                <w:rFonts w:ascii="Times New Roman"/>
                <w:sz w:val="21"/>
                <w:szCs w:val="21"/>
              </w:rPr>
            </w:pPr>
            <w:r>
              <w:rPr>
                <w:rFonts w:ascii="Times New Roman"/>
                <w:sz w:val="21"/>
                <w:szCs w:val="21"/>
              </w:rPr>
              <w:t>6~9</w:t>
            </w:r>
          </w:p>
        </w:tc>
        <w:tc>
          <w:tcPr>
            <w:tcW w:w="438" w:type="pct"/>
            <w:vAlign w:val="center"/>
          </w:tcPr>
          <w:p w14:paraId="40476308">
            <w:pPr>
              <w:jc w:val="center"/>
              <w:rPr>
                <w:rFonts w:ascii="Times New Roman"/>
                <w:sz w:val="21"/>
                <w:szCs w:val="21"/>
              </w:rPr>
            </w:pPr>
            <w:r>
              <w:rPr>
                <w:rFonts w:hint="eastAsia" w:ascii="Times New Roman"/>
                <w:sz w:val="21"/>
                <w:szCs w:val="21"/>
              </w:rPr>
              <w:t>200</w:t>
            </w:r>
          </w:p>
        </w:tc>
        <w:tc>
          <w:tcPr>
            <w:tcW w:w="462" w:type="pct"/>
            <w:vAlign w:val="center"/>
          </w:tcPr>
          <w:p w14:paraId="785037A3">
            <w:pPr>
              <w:jc w:val="center"/>
              <w:rPr>
                <w:rFonts w:ascii="Times New Roman"/>
                <w:sz w:val="21"/>
                <w:szCs w:val="21"/>
              </w:rPr>
            </w:pPr>
            <w:r>
              <w:rPr>
                <w:rFonts w:hint="eastAsia" w:ascii="Times New Roman"/>
                <w:sz w:val="21"/>
                <w:szCs w:val="21"/>
              </w:rPr>
              <w:t>/</w:t>
            </w:r>
          </w:p>
        </w:tc>
        <w:tc>
          <w:tcPr>
            <w:tcW w:w="432" w:type="pct"/>
            <w:vAlign w:val="center"/>
          </w:tcPr>
          <w:p w14:paraId="3D0635F0">
            <w:pPr>
              <w:jc w:val="center"/>
              <w:rPr>
                <w:rFonts w:ascii="Times New Roman"/>
                <w:sz w:val="21"/>
                <w:szCs w:val="21"/>
              </w:rPr>
            </w:pPr>
            <w:r>
              <w:rPr>
                <w:rFonts w:hint="eastAsia" w:ascii="Times New Roman"/>
                <w:sz w:val="21"/>
                <w:szCs w:val="21"/>
              </w:rPr>
              <w:t>400</w:t>
            </w:r>
          </w:p>
        </w:tc>
        <w:tc>
          <w:tcPr>
            <w:tcW w:w="425" w:type="pct"/>
            <w:vAlign w:val="center"/>
          </w:tcPr>
          <w:p w14:paraId="2EF48083">
            <w:pPr>
              <w:jc w:val="center"/>
              <w:rPr>
                <w:rFonts w:ascii="Times New Roman"/>
                <w:sz w:val="21"/>
                <w:szCs w:val="21"/>
              </w:rPr>
            </w:pPr>
            <w:r>
              <w:rPr>
                <w:rFonts w:hint="eastAsia" w:ascii="Times New Roman"/>
                <w:sz w:val="21"/>
                <w:szCs w:val="21"/>
              </w:rPr>
              <w:t>/</w:t>
            </w:r>
          </w:p>
        </w:tc>
        <w:tc>
          <w:tcPr>
            <w:tcW w:w="399" w:type="pct"/>
            <w:vAlign w:val="center"/>
          </w:tcPr>
          <w:p w14:paraId="1D45BE58">
            <w:pPr>
              <w:jc w:val="center"/>
              <w:rPr>
                <w:rFonts w:ascii="Times New Roman"/>
                <w:sz w:val="21"/>
                <w:szCs w:val="21"/>
              </w:rPr>
            </w:pPr>
            <w:r>
              <w:rPr>
                <w:rFonts w:hint="eastAsia" w:ascii="Times New Roman"/>
                <w:sz w:val="21"/>
                <w:szCs w:val="21"/>
              </w:rPr>
              <w:t>/</w:t>
            </w:r>
          </w:p>
        </w:tc>
        <w:tc>
          <w:tcPr>
            <w:tcW w:w="398" w:type="pct"/>
            <w:vAlign w:val="center"/>
          </w:tcPr>
          <w:p w14:paraId="2BBAFB06">
            <w:pPr>
              <w:jc w:val="center"/>
              <w:rPr>
                <w:rFonts w:ascii="Times New Roman"/>
                <w:sz w:val="21"/>
                <w:szCs w:val="21"/>
              </w:rPr>
            </w:pPr>
            <w:r>
              <w:rPr>
                <w:rFonts w:hint="eastAsia" w:ascii="Times New Roman"/>
                <w:sz w:val="21"/>
                <w:szCs w:val="21"/>
              </w:rPr>
              <w:t>/</w:t>
            </w:r>
          </w:p>
        </w:tc>
        <w:tc>
          <w:tcPr>
            <w:tcW w:w="407" w:type="pct"/>
            <w:vAlign w:val="center"/>
          </w:tcPr>
          <w:p w14:paraId="27494EFB">
            <w:pPr>
              <w:jc w:val="center"/>
              <w:rPr>
                <w:rFonts w:ascii="Times New Roman"/>
                <w:sz w:val="21"/>
                <w:szCs w:val="21"/>
              </w:rPr>
            </w:pPr>
            <w:r>
              <w:rPr>
                <w:rFonts w:hint="eastAsia" w:ascii="Times New Roman"/>
                <w:sz w:val="21"/>
                <w:szCs w:val="21"/>
              </w:rPr>
              <w:t>/</w:t>
            </w:r>
          </w:p>
        </w:tc>
        <w:tc>
          <w:tcPr>
            <w:tcW w:w="349" w:type="pct"/>
            <w:vAlign w:val="center"/>
          </w:tcPr>
          <w:p w14:paraId="1AA1CC11">
            <w:pPr>
              <w:jc w:val="center"/>
              <w:rPr>
                <w:rFonts w:ascii="Times New Roman"/>
                <w:sz w:val="21"/>
                <w:szCs w:val="21"/>
              </w:rPr>
            </w:pPr>
            <w:r>
              <w:rPr>
                <w:rFonts w:hint="eastAsia" w:ascii="Times New Roman"/>
                <w:sz w:val="21"/>
                <w:szCs w:val="21"/>
              </w:rPr>
              <w:t>/</w:t>
            </w:r>
          </w:p>
        </w:tc>
      </w:tr>
      <w:tr w14:paraId="71289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14:paraId="044C5D84">
            <w:pPr>
              <w:jc w:val="center"/>
              <w:rPr>
                <w:rFonts w:ascii="Times New Roman"/>
                <w:sz w:val="21"/>
                <w:szCs w:val="21"/>
              </w:rPr>
            </w:pPr>
            <w:r>
              <w:rPr>
                <w:rFonts w:ascii="Times New Roman"/>
                <w:sz w:val="21"/>
                <w:szCs w:val="21"/>
              </w:rPr>
              <w:t>污水处理设施</w:t>
            </w:r>
          </w:p>
        </w:tc>
        <w:tc>
          <w:tcPr>
            <w:tcW w:w="417" w:type="pct"/>
            <w:vAlign w:val="center"/>
          </w:tcPr>
          <w:p w14:paraId="63A42683">
            <w:pPr>
              <w:jc w:val="center"/>
              <w:rPr>
                <w:rFonts w:ascii="Times New Roman"/>
                <w:sz w:val="21"/>
                <w:szCs w:val="21"/>
              </w:rPr>
            </w:pPr>
            <w:r>
              <w:rPr>
                <w:rFonts w:ascii="Times New Roman"/>
                <w:sz w:val="21"/>
                <w:szCs w:val="21"/>
              </w:rPr>
              <w:t>处理效率</w:t>
            </w:r>
          </w:p>
        </w:tc>
        <w:tc>
          <w:tcPr>
            <w:tcW w:w="435" w:type="pct"/>
            <w:vAlign w:val="center"/>
          </w:tcPr>
          <w:p w14:paraId="2C99F0A6">
            <w:pPr>
              <w:jc w:val="center"/>
              <w:rPr>
                <w:rFonts w:ascii="Times New Roman"/>
                <w:sz w:val="21"/>
                <w:szCs w:val="21"/>
              </w:rPr>
            </w:pPr>
            <w:r>
              <w:rPr>
                <w:rFonts w:ascii="Times New Roman"/>
                <w:sz w:val="21"/>
                <w:szCs w:val="21"/>
              </w:rPr>
              <w:t>/</w:t>
            </w:r>
          </w:p>
        </w:tc>
        <w:tc>
          <w:tcPr>
            <w:tcW w:w="442" w:type="pct"/>
            <w:vAlign w:val="center"/>
          </w:tcPr>
          <w:p w14:paraId="65E31549">
            <w:pPr>
              <w:jc w:val="center"/>
              <w:rPr>
                <w:rFonts w:ascii="Times New Roman"/>
                <w:sz w:val="21"/>
                <w:szCs w:val="21"/>
              </w:rPr>
            </w:pPr>
            <w:r>
              <w:rPr>
                <w:rFonts w:ascii="Times New Roman"/>
                <w:sz w:val="21"/>
                <w:szCs w:val="21"/>
              </w:rPr>
              <w:t>/</w:t>
            </w:r>
          </w:p>
        </w:tc>
        <w:tc>
          <w:tcPr>
            <w:tcW w:w="438" w:type="pct"/>
            <w:vAlign w:val="center"/>
          </w:tcPr>
          <w:p w14:paraId="4F3F01F7">
            <w:pPr>
              <w:jc w:val="center"/>
              <w:rPr>
                <w:rFonts w:ascii="Times New Roman"/>
                <w:sz w:val="21"/>
                <w:szCs w:val="21"/>
              </w:rPr>
            </w:pPr>
            <w:r>
              <w:rPr>
                <w:rFonts w:ascii="Times New Roman"/>
                <w:sz w:val="21"/>
                <w:szCs w:val="21"/>
              </w:rPr>
              <w:t>80%</w:t>
            </w:r>
          </w:p>
        </w:tc>
        <w:tc>
          <w:tcPr>
            <w:tcW w:w="462" w:type="pct"/>
            <w:vAlign w:val="center"/>
          </w:tcPr>
          <w:p w14:paraId="764B8E54">
            <w:pPr>
              <w:jc w:val="center"/>
              <w:rPr>
                <w:rFonts w:ascii="Times New Roman"/>
                <w:sz w:val="21"/>
                <w:szCs w:val="21"/>
              </w:rPr>
            </w:pPr>
            <w:r>
              <w:rPr>
                <w:rFonts w:hint="eastAsia" w:ascii="Times New Roman"/>
                <w:sz w:val="21"/>
                <w:szCs w:val="21"/>
              </w:rPr>
              <w:t>/</w:t>
            </w:r>
          </w:p>
        </w:tc>
        <w:tc>
          <w:tcPr>
            <w:tcW w:w="432" w:type="pct"/>
            <w:vAlign w:val="center"/>
          </w:tcPr>
          <w:p w14:paraId="6DF2A2DF">
            <w:pPr>
              <w:jc w:val="center"/>
              <w:rPr>
                <w:rFonts w:ascii="Times New Roman"/>
                <w:sz w:val="21"/>
                <w:szCs w:val="21"/>
              </w:rPr>
            </w:pPr>
            <w:r>
              <w:rPr>
                <w:rFonts w:ascii="Times New Roman"/>
                <w:sz w:val="21"/>
                <w:szCs w:val="21"/>
              </w:rPr>
              <w:t>78%</w:t>
            </w:r>
          </w:p>
        </w:tc>
        <w:tc>
          <w:tcPr>
            <w:tcW w:w="425" w:type="pct"/>
            <w:shd w:val="clear" w:color="auto" w:fill="auto"/>
            <w:vAlign w:val="center"/>
          </w:tcPr>
          <w:p w14:paraId="73525FEA">
            <w:pPr>
              <w:jc w:val="center"/>
              <w:rPr>
                <w:rFonts w:ascii="Times New Roman"/>
                <w:sz w:val="21"/>
                <w:szCs w:val="21"/>
              </w:rPr>
            </w:pPr>
            <w:r>
              <w:rPr>
                <w:rFonts w:hint="eastAsia" w:ascii="Times New Roman"/>
                <w:sz w:val="21"/>
                <w:szCs w:val="21"/>
              </w:rPr>
              <w:t>/</w:t>
            </w:r>
          </w:p>
        </w:tc>
        <w:tc>
          <w:tcPr>
            <w:tcW w:w="399" w:type="pct"/>
            <w:vAlign w:val="center"/>
          </w:tcPr>
          <w:p w14:paraId="3234BE1B">
            <w:pPr>
              <w:jc w:val="center"/>
              <w:rPr>
                <w:rFonts w:ascii="Times New Roman"/>
                <w:sz w:val="21"/>
                <w:szCs w:val="21"/>
              </w:rPr>
            </w:pPr>
            <w:r>
              <w:rPr>
                <w:rFonts w:ascii="Times New Roman"/>
                <w:sz w:val="21"/>
                <w:szCs w:val="21"/>
              </w:rPr>
              <w:t>58%</w:t>
            </w:r>
          </w:p>
        </w:tc>
        <w:tc>
          <w:tcPr>
            <w:tcW w:w="398" w:type="pct"/>
            <w:shd w:val="clear" w:color="auto" w:fill="auto"/>
            <w:vAlign w:val="center"/>
          </w:tcPr>
          <w:p w14:paraId="1391021A">
            <w:pPr>
              <w:jc w:val="center"/>
              <w:rPr>
                <w:rFonts w:ascii="Times New Roman"/>
                <w:sz w:val="21"/>
                <w:szCs w:val="21"/>
              </w:rPr>
            </w:pPr>
            <w:r>
              <w:rPr>
                <w:rFonts w:ascii="Times New Roman"/>
                <w:sz w:val="21"/>
                <w:szCs w:val="21"/>
              </w:rPr>
              <w:t>/</w:t>
            </w:r>
          </w:p>
        </w:tc>
        <w:tc>
          <w:tcPr>
            <w:tcW w:w="407" w:type="pct"/>
            <w:vAlign w:val="center"/>
          </w:tcPr>
          <w:p w14:paraId="4D5D0FFC">
            <w:pPr>
              <w:jc w:val="center"/>
              <w:rPr>
                <w:rFonts w:ascii="Times New Roman"/>
                <w:sz w:val="21"/>
                <w:szCs w:val="21"/>
              </w:rPr>
            </w:pPr>
            <w:r>
              <w:rPr>
                <w:rFonts w:ascii="Times New Roman"/>
                <w:sz w:val="21"/>
                <w:szCs w:val="21"/>
              </w:rPr>
              <w:t>/</w:t>
            </w:r>
          </w:p>
        </w:tc>
        <w:tc>
          <w:tcPr>
            <w:tcW w:w="349" w:type="pct"/>
            <w:vAlign w:val="center"/>
          </w:tcPr>
          <w:p w14:paraId="6DE46B2B">
            <w:pPr>
              <w:jc w:val="center"/>
              <w:rPr>
                <w:rFonts w:ascii="Times New Roman"/>
                <w:sz w:val="21"/>
                <w:szCs w:val="21"/>
              </w:rPr>
            </w:pPr>
            <w:r>
              <w:rPr>
                <w:rFonts w:hint="eastAsia" w:ascii="Times New Roman"/>
                <w:sz w:val="21"/>
                <w:szCs w:val="21"/>
              </w:rPr>
              <w:t>40%</w:t>
            </w:r>
          </w:p>
        </w:tc>
      </w:tr>
      <w:tr w14:paraId="7E0A9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Merge w:val="continue"/>
            <w:vAlign w:val="center"/>
          </w:tcPr>
          <w:p w14:paraId="6A214663">
            <w:pPr>
              <w:jc w:val="center"/>
              <w:rPr>
                <w:rFonts w:ascii="Times New Roman"/>
                <w:sz w:val="21"/>
                <w:szCs w:val="21"/>
              </w:rPr>
            </w:pPr>
          </w:p>
        </w:tc>
        <w:tc>
          <w:tcPr>
            <w:tcW w:w="417" w:type="pct"/>
            <w:vAlign w:val="center"/>
          </w:tcPr>
          <w:p w14:paraId="55C85CA0">
            <w:pPr>
              <w:jc w:val="center"/>
              <w:rPr>
                <w:rFonts w:ascii="Times New Roman"/>
                <w:sz w:val="21"/>
                <w:szCs w:val="21"/>
              </w:rPr>
            </w:pPr>
            <w:r>
              <w:rPr>
                <w:rFonts w:ascii="Times New Roman"/>
                <w:sz w:val="21"/>
                <w:szCs w:val="21"/>
              </w:rPr>
              <w:t>处理后</w:t>
            </w:r>
          </w:p>
        </w:tc>
        <w:tc>
          <w:tcPr>
            <w:tcW w:w="435" w:type="pct"/>
            <w:vAlign w:val="center"/>
          </w:tcPr>
          <w:p w14:paraId="71D7B39A">
            <w:pPr>
              <w:jc w:val="center"/>
              <w:rPr>
                <w:rFonts w:ascii="Times New Roman"/>
                <w:sz w:val="21"/>
                <w:szCs w:val="21"/>
              </w:rPr>
            </w:pPr>
            <w:r>
              <w:rPr>
                <w:rFonts w:hint="eastAsia" w:ascii="Times New Roman"/>
                <w:sz w:val="21"/>
                <w:szCs w:val="21"/>
              </w:rPr>
              <w:t>21071.576</w:t>
            </w:r>
          </w:p>
        </w:tc>
        <w:tc>
          <w:tcPr>
            <w:tcW w:w="442" w:type="pct"/>
            <w:vAlign w:val="center"/>
          </w:tcPr>
          <w:p w14:paraId="004CDCA1">
            <w:pPr>
              <w:jc w:val="center"/>
              <w:rPr>
                <w:rFonts w:ascii="Times New Roman"/>
                <w:sz w:val="21"/>
                <w:szCs w:val="21"/>
              </w:rPr>
            </w:pPr>
            <w:r>
              <w:rPr>
                <w:rFonts w:ascii="Times New Roman"/>
                <w:sz w:val="21"/>
                <w:szCs w:val="21"/>
              </w:rPr>
              <w:t>6~9</w:t>
            </w:r>
          </w:p>
        </w:tc>
        <w:tc>
          <w:tcPr>
            <w:tcW w:w="438" w:type="pct"/>
            <w:vAlign w:val="center"/>
          </w:tcPr>
          <w:p w14:paraId="681A9FDC">
            <w:pPr>
              <w:jc w:val="center"/>
              <w:rPr>
                <w:rFonts w:ascii="Times New Roman"/>
                <w:sz w:val="21"/>
                <w:szCs w:val="21"/>
              </w:rPr>
            </w:pPr>
            <w:r>
              <w:rPr>
                <w:rFonts w:ascii="Times New Roman"/>
                <w:sz w:val="21"/>
                <w:szCs w:val="21"/>
              </w:rPr>
              <w:t>1</w:t>
            </w:r>
            <w:r>
              <w:rPr>
                <w:rFonts w:hint="eastAsia" w:ascii="Times New Roman"/>
                <w:sz w:val="21"/>
                <w:szCs w:val="21"/>
              </w:rPr>
              <w:t>17.3</w:t>
            </w:r>
          </w:p>
        </w:tc>
        <w:tc>
          <w:tcPr>
            <w:tcW w:w="462" w:type="pct"/>
            <w:vAlign w:val="center"/>
          </w:tcPr>
          <w:p w14:paraId="4BC83056">
            <w:pPr>
              <w:jc w:val="center"/>
              <w:rPr>
                <w:rFonts w:ascii="Times New Roman"/>
                <w:sz w:val="21"/>
                <w:szCs w:val="21"/>
              </w:rPr>
            </w:pPr>
            <w:r>
              <w:rPr>
                <w:rFonts w:hint="eastAsia" w:ascii="Times New Roman"/>
                <w:sz w:val="21"/>
                <w:szCs w:val="21"/>
              </w:rPr>
              <w:t>/</w:t>
            </w:r>
          </w:p>
        </w:tc>
        <w:tc>
          <w:tcPr>
            <w:tcW w:w="432" w:type="pct"/>
            <w:vAlign w:val="center"/>
          </w:tcPr>
          <w:p w14:paraId="24B86187">
            <w:pPr>
              <w:jc w:val="center"/>
              <w:rPr>
                <w:rFonts w:ascii="Times New Roman"/>
                <w:sz w:val="21"/>
                <w:szCs w:val="21"/>
              </w:rPr>
            </w:pPr>
            <w:r>
              <w:rPr>
                <w:rFonts w:ascii="Times New Roman"/>
                <w:sz w:val="21"/>
                <w:szCs w:val="21"/>
              </w:rPr>
              <w:t>88</w:t>
            </w:r>
          </w:p>
        </w:tc>
        <w:tc>
          <w:tcPr>
            <w:tcW w:w="425" w:type="pct"/>
            <w:shd w:val="clear" w:color="auto" w:fill="auto"/>
            <w:vAlign w:val="center"/>
          </w:tcPr>
          <w:p w14:paraId="65D494D9">
            <w:pPr>
              <w:jc w:val="center"/>
              <w:rPr>
                <w:rFonts w:ascii="Times New Roman"/>
                <w:sz w:val="21"/>
                <w:szCs w:val="21"/>
              </w:rPr>
            </w:pPr>
            <w:r>
              <w:rPr>
                <w:rFonts w:hint="eastAsia" w:ascii="Times New Roman"/>
                <w:sz w:val="21"/>
                <w:szCs w:val="21"/>
              </w:rPr>
              <w:t>/</w:t>
            </w:r>
          </w:p>
        </w:tc>
        <w:tc>
          <w:tcPr>
            <w:tcW w:w="399" w:type="pct"/>
            <w:vAlign w:val="center"/>
          </w:tcPr>
          <w:p w14:paraId="1B0D9737">
            <w:pPr>
              <w:jc w:val="center"/>
              <w:rPr>
                <w:rFonts w:ascii="Times New Roman"/>
                <w:sz w:val="21"/>
                <w:szCs w:val="21"/>
              </w:rPr>
            </w:pPr>
            <w:r>
              <w:rPr>
                <w:rFonts w:hint="eastAsia" w:ascii="Times New Roman"/>
                <w:sz w:val="21"/>
                <w:szCs w:val="21"/>
              </w:rPr>
              <w:t>4.1</w:t>
            </w:r>
          </w:p>
        </w:tc>
        <w:tc>
          <w:tcPr>
            <w:tcW w:w="398" w:type="pct"/>
            <w:shd w:val="clear" w:color="auto" w:fill="auto"/>
            <w:vAlign w:val="center"/>
          </w:tcPr>
          <w:p w14:paraId="0F3EDA3C">
            <w:pPr>
              <w:jc w:val="center"/>
              <w:rPr>
                <w:rFonts w:ascii="Times New Roman"/>
                <w:sz w:val="21"/>
                <w:szCs w:val="21"/>
              </w:rPr>
            </w:pPr>
            <w:r>
              <w:rPr>
                <w:rFonts w:hint="eastAsia" w:ascii="Times New Roman"/>
                <w:sz w:val="21"/>
                <w:szCs w:val="21"/>
              </w:rPr>
              <w:t>/</w:t>
            </w:r>
          </w:p>
        </w:tc>
        <w:tc>
          <w:tcPr>
            <w:tcW w:w="407" w:type="pct"/>
            <w:vAlign w:val="center"/>
          </w:tcPr>
          <w:p w14:paraId="770D8CB9">
            <w:pPr>
              <w:jc w:val="center"/>
              <w:rPr>
                <w:rFonts w:ascii="Times New Roman"/>
                <w:sz w:val="21"/>
                <w:szCs w:val="21"/>
              </w:rPr>
            </w:pPr>
            <w:r>
              <w:rPr>
                <w:rFonts w:ascii="Times New Roman"/>
                <w:sz w:val="21"/>
                <w:szCs w:val="21"/>
              </w:rPr>
              <w:t>/</w:t>
            </w:r>
          </w:p>
        </w:tc>
        <w:tc>
          <w:tcPr>
            <w:tcW w:w="349" w:type="pct"/>
            <w:vAlign w:val="center"/>
          </w:tcPr>
          <w:p w14:paraId="27B21D44">
            <w:pPr>
              <w:jc w:val="center"/>
              <w:rPr>
                <w:rFonts w:ascii="Times New Roman"/>
                <w:sz w:val="21"/>
                <w:szCs w:val="21"/>
              </w:rPr>
            </w:pPr>
            <w:r>
              <w:rPr>
                <w:rFonts w:hint="eastAsia" w:ascii="Times New Roman"/>
                <w:sz w:val="21"/>
                <w:szCs w:val="21"/>
              </w:rPr>
              <w:t>8.7</w:t>
            </w:r>
          </w:p>
        </w:tc>
      </w:tr>
      <w:tr w14:paraId="3BEAB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170C59ED">
            <w:pPr>
              <w:rPr>
                <w:rFonts w:ascii="Times New Roman"/>
                <w:sz w:val="21"/>
                <w:szCs w:val="21"/>
              </w:rPr>
            </w:pPr>
            <w:r>
              <w:rPr>
                <w:rFonts w:hint="eastAsia"/>
                <w:sz w:val="21"/>
                <w:szCs w:val="21"/>
              </w:rPr>
              <w:t>纯</w:t>
            </w:r>
            <w:r>
              <w:rPr>
                <w:rFonts w:ascii="Times New Roman"/>
                <w:sz w:val="21"/>
                <w:szCs w:val="21"/>
              </w:rPr>
              <w:t>水制备废水</w:t>
            </w:r>
          </w:p>
        </w:tc>
        <w:tc>
          <w:tcPr>
            <w:tcW w:w="435" w:type="pct"/>
            <w:vAlign w:val="center"/>
          </w:tcPr>
          <w:p w14:paraId="0B4E73C1">
            <w:pPr>
              <w:jc w:val="center"/>
              <w:rPr>
                <w:rFonts w:ascii="Times New Roman"/>
                <w:sz w:val="21"/>
                <w:szCs w:val="21"/>
              </w:rPr>
            </w:pPr>
            <w:r>
              <w:rPr>
                <w:rFonts w:ascii="Times New Roman"/>
                <w:sz w:val="21"/>
                <w:szCs w:val="21"/>
              </w:rPr>
              <w:t>8145.49</w:t>
            </w:r>
          </w:p>
        </w:tc>
        <w:tc>
          <w:tcPr>
            <w:tcW w:w="442" w:type="pct"/>
            <w:vAlign w:val="center"/>
          </w:tcPr>
          <w:p w14:paraId="70AC666C">
            <w:pPr>
              <w:jc w:val="center"/>
              <w:rPr>
                <w:rFonts w:ascii="Times New Roman"/>
                <w:sz w:val="21"/>
                <w:szCs w:val="21"/>
              </w:rPr>
            </w:pPr>
            <w:r>
              <w:rPr>
                <w:rFonts w:ascii="Times New Roman"/>
                <w:sz w:val="21"/>
                <w:szCs w:val="21"/>
              </w:rPr>
              <w:t>6~9</w:t>
            </w:r>
          </w:p>
        </w:tc>
        <w:tc>
          <w:tcPr>
            <w:tcW w:w="438" w:type="pct"/>
            <w:vAlign w:val="center"/>
          </w:tcPr>
          <w:p w14:paraId="19B147E8">
            <w:pPr>
              <w:jc w:val="center"/>
              <w:rPr>
                <w:rFonts w:ascii="Times New Roman"/>
                <w:sz w:val="21"/>
                <w:szCs w:val="21"/>
              </w:rPr>
            </w:pPr>
            <w:r>
              <w:rPr>
                <w:rFonts w:ascii="Times New Roman"/>
                <w:sz w:val="21"/>
                <w:szCs w:val="21"/>
              </w:rPr>
              <w:t>40</w:t>
            </w:r>
          </w:p>
        </w:tc>
        <w:tc>
          <w:tcPr>
            <w:tcW w:w="462" w:type="pct"/>
            <w:vAlign w:val="center"/>
          </w:tcPr>
          <w:p w14:paraId="68BE5220">
            <w:pPr>
              <w:jc w:val="center"/>
              <w:rPr>
                <w:rFonts w:ascii="Times New Roman"/>
                <w:sz w:val="21"/>
                <w:szCs w:val="21"/>
              </w:rPr>
            </w:pPr>
            <w:r>
              <w:rPr>
                <w:rFonts w:ascii="Times New Roman"/>
                <w:sz w:val="21"/>
                <w:szCs w:val="21"/>
              </w:rPr>
              <w:t>/</w:t>
            </w:r>
          </w:p>
        </w:tc>
        <w:tc>
          <w:tcPr>
            <w:tcW w:w="432" w:type="pct"/>
            <w:vAlign w:val="center"/>
          </w:tcPr>
          <w:p w14:paraId="377FE80D">
            <w:pPr>
              <w:jc w:val="center"/>
              <w:rPr>
                <w:rFonts w:ascii="Times New Roman"/>
                <w:sz w:val="21"/>
                <w:szCs w:val="21"/>
              </w:rPr>
            </w:pPr>
            <w:r>
              <w:rPr>
                <w:rFonts w:ascii="Times New Roman"/>
                <w:sz w:val="21"/>
                <w:szCs w:val="21"/>
              </w:rPr>
              <w:t>60</w:t>
            </w:r>
          </w:p>
        </w:tc>
        <w:tc>
          <w:tcPr>
            <w:tcW w:w="425" w:type="pct"/>
            <w:vAlign w:val="center"/>
          </w:tcPr>
          <w:p w14:paraId="0A48DDD7">
            <w:pPr>
              <w:jc w:val="center"/>
              <w:rPr>
                <w:rFonts w:ascii="Times New Roman"/>
                <w:sz w:val="21"/>
                <w:szCs w:val="21"/>
              </w:rPr>
            </w:pPr>
            <w:r>
              <w:rPr>
                <w:rFonts w:ascii="Times New Roman"/>
                <w:sz w:val="21"/>
                <w:szCs w:val="21"/>
              </w:rPr>
              <w:t>/</w:t>
            </w:r>
          </w:p>
        </w:tc>
        <w:tc>
          <w:tcPr>
            <w:tcW w:w="399" w:type="pct"/>
            <w:vAlign w:val="center"/>
          </w:tcPr>
          <w:p w14:paraId="07C9D8ED">
            <w:pPr>
              <w:jc w:val="center"/>
              <w:rPr>
                <w:rFonts w:ascii="Times New Roman"/>
                <w:sz w:val="21"/>
                <w:szCs w:val="21"/>
              </w:rPr>
            </w:pPr>
            <w:r>
              <w:rPr>
                <w:rFonts w:ascii="Times New Roman"/>
                <w:sz w:val="21"/>
                <w:szCs w:val="21"/>
              </w:rPr>
              <w:t>/</w:t>
            </w:r>
          </w:p>
        </w:tc>
        <w:tc>
          <w:tcPr>
            <w:tcW w:w="398" w:type="pct"/>
            <w:shd w:val="clear" w:color="auto" w:fill="auto"/>
            <w:vAlign w:val="center"/>
          </w:tcPr>
          <w:p w14:paraId="581E9D7C">
            <w:pPr>
              <w:jc w:val="center"/>
              <w:rPr>
                <w:rFonts w:ascii="Times New Roman"/>
                <w:sz w:val="21"/>
                <w:szCs w:val="21"/>
              </w:rPr>
            </w:pPr>
            <w:r>
              <w:rPr>
                <w:rFonts w:ascii="Times New Roman"/>
                <w:sz w:val="21"/>
                <w:szCs w:val="21"/>
              </w:rPr>
              <w:t>/</w:t>
            </w:r>
          </w:p>
        </w:tc>
        <w:tc>
          <w:tcPr>
            <w:tcW w:w="407" w:type="pct"/>
            <w:shd w:val="clear" w:color="auto" w:fill="auto"/>
            <w:vAlign w:val="center"/>
          </w:tcPr>
          <w:p w14:paraId="3EC9AD9F">
            <w:pPr>
              <w:jc w:val="center"/>
              <w:rPr>
                <w:rFonts w:ascii="Times New Roman"/>
                <w:sz w:val="21"/>
                <w:szCs w:val="21"/>
              </w:rPr>
            </w:pPr>
            <w:r>
              <w:rPr>
                <w:rFonts w:ascii="Times New Roman"/>
                <w:sz w:val="21"/>
                <w:szCs w:val="21"/>
              </w:rPr>
              <w:t>/</w:t>
            </w:r>
          </w:p>
        </w:tc>
        <w:tc>
          <w:tcPr>
            <w:tcW w:w="349" w:type="pct"/>
            <w:vAlign w:val="center"/>
          </w:tcPr>
          <w:p w14:paraId="1BEC4DD8">
            <w:pPr>
              <w:jc w:val="center"/>
              <w:rPr>
                <w:rFonts w:ascii="Times New Roman"/>
                <w:sz w:val="21"/>
                <w:szCs w:val="21"/>
              </w:rPr>
            </w:pPr>
            <w:r>
              <w:rPr>
                <w:rFonts w:hint="eastAsia" w:ascii="Times New Roman"/>
                <w:sz w:val="21"/>
                <w:szCs w:val="21"/>
              </w:rPr>
              <w:t>/</w:t>
            </w:r>
          </w:p>
        </w:tc>
      </w:tr>
      <w:tr w14:paraId="1DD4A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07" w:type="pct"/>
            <w:gridSpan w:val="2"/>
            <w:vMerge w:val="restart"/>
            <w:vAlign w:val="center"/>
          </w:tcPr>
          <w:p w14:paraId="45526CC2">
            <w:pPr>
              <w:jc w:val="center"/>
              <w:rPr>
                <w:rFonts w:ascii="Times New Roman"/>
                <w:sz w:val="21"/>
                <w:szCs w:val="21"/>
              </w:rPr>
            </w:pPr>
            <w:r>
              <w:rPr>
                <w:rFonts w:ascii="Times New Roman"/>
                <w:b/>
                <w:bCs/>
                <w:sz w:val="21"/>
                <w:szCs w:val="21"/>
              </w:rPr>
              <w:t>本项目外排生产废水</w:t>
            </w:r>
          </w:p>
        </w:tc>
        <w:tc>
          <w:tcPr>
            <w:tcW w:w="435" w:type="pct"/>
            <w:vMerge w:val="restart"/>
            <w:vAlign w:val="center"/>
          </w:tcPr>
          <w:p w14:paraId="20CBCF88">
            <w:pPr>
              <w:jc w:val="center"/>
              <w:rPr>
                <w:rFonts w:ascii="Times New Roman"/>
                <w:sz w:val="21"/>
                <w:szCs w:val="21"/>
              </w:rPr>
            </w:pPr>
            <w:r>
              <w:rPr>
                <w:rFonts w:hint="eastAsia" w:ascii="Times New Roman"/>
                <w:sz w:val="21"/>
                <w:szCs w:val="21"/>
              </w:rPr>
              <w:t>29217.066</w:t>
            </w:r>
          </w:p>
        </w:tc>
        <w:tc>
          <w:tcPr>
            <w:tcW w:w="442" w:type="pct"/>
            <w:vAlign w:val="center"/>
          </w:tcPr>
          <w:p w14:paraId="707ABB4B">
            <w:pPr>
              <w:jc w:val="center"/>
              <w:rPr>
                <w:rFonts w:ascii="Times New Roman"/>
                <w:sz w:val="21"/>
                <w:szCs w:val="21"/>
              </w:rPr>
            </w:pPr>
            <w:r>
              <w:rPr>
                <w:rFonts w:ascii="Times New Roman"/>
                <w:sz w:val="21"/>
                <w:szCs w:val="21"/>
              </w:rPr>
              <w:t>6~9</w:t>
            </w:r>
          </w:p>
        </w:tc>
        <w:tc>
          <w:tcPr>
            <w:tcW w:w="438" w:type="pct"/>
            <w:vAlign w:val="center"/>
          </w:tcPr>
          <w:p w14:paraId="57844075">
            <w:pPr>
              <w:jc w:val="center"/>
              <w:rPr>
                <w:rFonts w:ascii="Times New Roman"/>
                <w:sz w:val="21"/>
                <w:szCs w:val="21"/>
              </w:rPr>
            </w:pPr>
            <w:r>
              <w:rPr>
                <w:rFonts w:hint="eastAsia" w:ascii="Times New Roman"/>
                <w:sz w:val="21"/>
                <w:szCs w:val="21"/>
              </w:rPr>
              <w:t>95.7</w:t>
            </w:r>
          </w:p>
        </w:tc>
        <w:tc>
          <w:tcPr>
            <w:tcW w:w="462" w:type="pct"/>
            <w:shd w:val="clear" w:color="auto" w:fill="auto"/>
            <w:vAlign w:val="center"/>
          </w:tcPr>
          <w:p w14:paraId="33BBAFC1">
            <w:pPr>
              <w:jc w:val="center"/>
              <w:rPr>
                <w:rFonts w:ascii="Times New Roman"/>
                <w:sz w:val="21"/>
                <w:szCs w:val="21"/>
              </w:rPr>
            </w:pPr>
            <w:r>
              <w:rPr>
                <w:rFonts w:hint="eastAsia" w:ascii="Times New Roman"/>
                <w:sz w:val="21"/>
                <w:szCs w:val="21"/>
              </w:rPr>
              <w:t>/</w:t>
            </w:r>
          </w:p>
        </w:tc>
        <w:tc>
          <w:tcPr>
            <w:tcW w:w="432" w:type="pct"/>
            <w:vAlign w:val="center"/>
          </w:tcPr>
          <w:p w14:paraId="7D811AA1">
            <w:pPr>
              <w:jc w:val="center"/>
              <w:rPr>
                <w:rFonts w:ascii="Times New Roman"/>
                <w:sz w:val="21"/>
                <w:szCs w:val="21"/>
              </w:rPr>
            </w:pPr>
            <w:r>
              <w:rPr>
                <w:rFonts w:ascii="Times New Roman"/>
                <w:sz w:val="21"/>
                <w:szCs w:val="21"/>
              </w:rPr>
              <w:t>80</w:t>
            </w:r>
            <w:r>
              <w:rPr>
                <w:rFonts w:hint="eastAsia" w:ascii="Times New Roman"/>
                <w:sz w:val="21"/>
                <w:szCs w:val="21"/>
              </w:rPr>
              <w:t>.2</w:t>
            </w:r>
          </w:p>
        </w:tc>
        <w:tc>
          <w:tcPr>
            <w:tcW w:w="425" w:type="pct"/>
            <w:shd w:val="clear" w:color="auto" w:fill="auto"/>
            <w:vAlign w:val="center"/>
          </w:tcPr>
          <w:p w14:paraId="5366582F">
            <w:pPr>
              <w:jc w:val="center"/>
              <w:rPr>
                <w:rFonts w:ascii="Times New Roman"/>
                <w:sz w:val="21"/>
                <w:szCs w:val="21"/>
              </w:rPr>
            </w:pPr>
            <w:r>
              <w:rPr>
                <w:rFonts w:hint="eastAsia" w:ascii="Times New Roman"/>
                <w:sz w:val="21"/>
                <w:szCs w:val="21"/>
              </w:rPr>
              <w:t>/</w:t>
            </w:r>
          </w:p>
        </w:tc>
        <w:tc>
          <w:tcPr>
            <w:tcW w:w="399" w:type="pct"/>
            <w:vAlign w:val="center"/>
          </w:tcPr>
          <w:p w14:paraId="38466D8F">
            <w:pPr>
              <w:jc w:val="center"/>
              <w:rPr>
                <w:rFonts w:ascii="Times New Roman"/>
                <w:sz w:val="21"/>
                <w:szCs w:val="21"/>
              </w:rPr>
            </w:pPr>
            <w:r>
              <w:rPr>
                <w:rFonts w:hint="eastAsia" w:ascii="Times New Roman"/>
                <w:sz w:val="21"/>
                <w:szCs w:val="21"/>
              </w:rPr>
              <w:t>2.9</w:t>
            </w:r>
          </w:p>
        </w:tc>
        <w:tc>
          <w:tcPr>
            <w:tcW w:w="398" w:type="pct"/>
            <w:shd w:val="clear" w:color="auto" w:fill="auto"/>
            <w:vAlign w:val="center"/>
          </w:tcPr>
          <w:p w14:paraId="1F8F8A12">
            <w:pPr>
              <w:jc w:val="center"/>
              <w:rPr>
                <w:rFonts w:ascii="Times New Roman"/>
                <w:sz w:val="21"/>
                <w:szCs w:val="21"/>
              </w:rPr>
            </w:pPr>
            <w:r>
              <w:rPr>
                <w:rFonts w:hint="eastAsia" w:ascii="Times New Roman"/>
                <w:sz w:val="21"/>
                <w:szCs w:val="21"/>
              </w:rPr>
              <w:t>/</w:t>
            </w:r>
          </w:p>
        </w:tc>
        <w:tc>
          <w:tcPr>
            <w:tcW w:w="407" w:type="pct"/>
            <w:shd w:val="clear" w:color="auto" w:fill="auto"/>
            <w:vAlign w:val="center"/>
          </w:tcPr>
          <w:p w14:paraId="3629EBBD">
            <w:pPr>
              <w:jc w:val="center"/>
              <w:rPr>
                <w:rFonts w:ascii="Times New Roman"/>
                <w:sz w:val="21"/>
                <w:szCs w:val="21"/>
              </w:rPr>
            </w:pPr>
            <w:r>
              <w:rPr>
                <w:rFonts w:ascii="Times New Roman"/>
                <w:sz w:val="21"/>
                <w:szCs w:val="21"/>
              </w:rPr>
              <w:t>/</w:t>
            </w:r>
          </w:p>
        </w:tc>
        <w:tc>
          <w:tcPr>
            <w:tcW w:w="349" w:type="pct"/>
            <w:vAlign w:val="center"/>
          </w:tcPr>
          <w:p w14:paraId="55D999B7">
            <w:pPr>
              <w:jc w:val="center"/>
              <w:rPr>
                <w:rFonts w:ascii="Times New Roman"/>
                <w:sz w:val="21"/>
                <w:szCs w:val="21"/>
              </w:rPr>
            </w:pPr>
            <w:r>
              <w:rPr>
                <w:rFonts w:hint="eastAsia" w:ascii="Times New Roman"/>
                <w:sz w:val="21"/>
                <w:szCs w:val="21"/>
              </w:rPr>
              <w:t>6.3</w:t>
            </w:r>
          </w:p>
        </w:tc>
      </w:tr>
      <w:tr w14:paraId="07CE0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Merge w:val="continue"/>
            <w:vAlign w:val="center"/>
          </w:tcPr>
          <w:p w14:paraId="46B232A0">
            <w:pPr>
              <w:jc w:val="center"/>
              <w:rPr>
                <w:rFonts w:ascii="Times New Roman"/>
                <w:sz w:val="21"/>
                <w:szCs w:val="21"/>
              </w:rPr>
            </w:pPr>
          </w:p>
        </w:tc>
        <w:tc>
          <w:tcPr>
            <w:tcW w:w="435" w:type="pct"/>
            <w:vMerge w:val="continue"/>
            <w:vAlign w:val="center"/>
          </w:tcPr>
          <w:p w14:paraId="40DD09D9">
            <w:pPr>
              <w:jc w:val="center"/>
              <w:rPr>
                <w:rFonts w:ascii="Times New Roman"/>
                <w:sz w:val="21"/>
                <w:szCs w:val="21"/>
              </w:rPr>
            </w:pPr>
          </w:p>
        </w:tc>
        <w:tc>
          <w:tcPr>
            <w:tcW w:w="442" w:type="pct"/>
            <w:vAlign w:val="center"/>
          </w:tcPr>
          <w:p w14:paraId="049371E1">
            <w:pPr>
              <w:jc w:val="center"/>
              <w:rPr>
                <w:rFonts w:ascii="Times New Roman"/>
                <w:sz w:val="21"/>
                <w:szCs w:val="21"/>
              </w:rPr>
            </w:pPr>
            <w:r>
              <w:rPr>
                <w:rFonts w:ascii="Times New Roman"/>
                <w:sz w:val="21"/>
                <w:szCs w:val="21"/>
              </w:rPr>
              <w:t>/</w:t>
            </w:r>
          </w:p>
        </w:tc>
        <w:tc>
          <w:tcPr>
            <w:tcW w:w="438" w:type="pct"/>
            <w:vAlign w:val="center"/>
          </w:tcPr>
          <w:p w14:paraId="3CE35E86">
            <w:pPr>
              <w:jc w:val="center"/>
              <w:rPr>
                <w:rFonts w:ascii="Times New Roman"/>
                <w:sz w:val="21"/>
                <w:szCs w:val="21"/>
              </w:rPr>
            </w:pPr>
            <w:r>
              <w:rPr>
                <w:rFonts w:hint="eastAsia" w:ascii="Times New Roman"/>
                <w:sz w:val="21"/>
                <w:szCs w:val="21"/>
              </w:rPr>
              <w:t>2.797</w:t>
            </w:r>
            <w:r>
              <w:rPr>
                <w:rFonts w:ascii="Times New Roman"/>
                <w:sz w:val="21"/>
                <w:szCs w:val="21"/>
              </w:rPr>
              <w:t>t/a</w:t>
            </w:r>
          </w:p>
        </w:tc>
        <w:tc>
          <w:tcPr>
            <w:tcW w:w="462" w:type="pct"/>
            <w:shd w:val="clear" w:color="auto" w:fill="auto"/>
            <w:vAlign w:val="center"/>
          </w:tcPr>
          <w:p w14:paraId="1A32C3E1">
            <w:pPr>
              <w:jc w:val="center"/>
              <w:rPr>
                <w:rFonts w:ascii="Times New Roman"/>
                <w:sz w:val="21"/>
                <w:szCs w:val="21"/>
              </w:rPr>
            </w:pPr>
            <w:r>
              <w:rPr>
                <w:rFonts w:hint="eastAsia" w:ascii="Times New Roman"/>
                <w:sz w:val="21"/>
                <w:szCs w:val="21"/>
              </w:rPr>
              <w:t>/</w:t>
            </w:r>
          </w:p>
        </w:tc>
        <w:tc>
          <w:tcPr>
            <w:tcW w:w="432" w:type="pct"/>
            <w:vAlign w:val="center"/>
          </w:tcPr>
          <w:p w14:paraId="649E8C48">
            <w:pPr>
              <w:jc w:val="center"/>
              <w:rPr>
                <w:rFonts w:ascii="Times New Roman"/>
                <w:sz w:val="21"/>
                <w:szCs w:val="21"/>
              </w:rPr>
            </w:pPr>
            <w:r>
              <w:rPr>
                <w:rFonts w:hint="eastAsia" w:ascii="Times New Roman"/>
                <w:sz w:val="21"/>
                <w:szCs w:val="21"/>
              </w:rPr>
              <w:t>2.343</w:t>
            </w:r>
            <w:r>
              <w:rPr>
                <w:rFonts w:ascii="Times New Roman"/>
                <w:sz w:val="21"/>
                <w:szCs w:val="21"/>
              </w:rPr>
              <w:t>t/a</w:t>
            </w:r>
          </w:p>
        </w:tc>
        <w:tc>
          <w:tcPr>
            <w:tcW w:w="425" w:type="pct"/>
            <w:shd w:val="clear" w:color="auto" w:fill="auto"/>
            <w:vAlign w:val="center"/>
          </w:tcPr>
          <w:p w14:paraId="340F7F91">
            <w:pPr>
              <w:jc w:val="center"/>
              <w:rPr>
                <w:rFonts w:ascii="Times New Roman"/>
                <w:sz w:val="21"/>
                <w:szCs w:val="21"/>
              </w:rPr>
            </w:pPr>
            <w:r>
              <w:rPr>
                <w:rFonts w:hint="eastAsia" w:ascii="Times New Roman"/>
                <w:sz w:val="21"/>
                <w:szCs w:val="21"/>
              </w:rPr>
              <w:t>/</w:t>
            </w:r>
          </w:p>
        </w:tc>
        <w:tc>
          <w:tcPr>
            <w:tcW w:w="399" w:type="pct"/>
            <w:vAlign w:val="center"/>
          </w:tcPr>
          <w:p w14:paraId="381A17C2">
            <w:pPr>
              <w:jc w:val="center"/>
              <w:rPr>
                <w:rFonts w:ascii="Times New Roman"/>
                <w:sz w:val="21"/>
                <w:szCs w:val="21"/>
              </w:rPr>
            </w:pPr>
            <w:r>
              <w:rPr>
                <w:rFonts w:ascii="Times New Roman"/>
                <w:sz w:val="21"/>
                <w:szCs w:val="21"/>
              </w:rPr>
              <w:t>0.</w:t>
            </w:r>
            <w:r>
              <w:rPr>
                <w:rFonts w:hint="eastAsia" w:ascii="Times New Roman"/>
                <w:sz w:val="21"/>
                <w:szCs w:val="21"/>
              </w:rPr>
              <w:t>085</w:t>
            </w:r>
            <w:r>
              <w:rPr>
                <w:rFonts w:ascii="Times New Roman"/>
                <w:sz w:val="21"/>
                <w:szCs w:val="21"/>
              </w:rPr>
              <w:t>t/a</w:t>
            </w:r>
          </w:p>
        </w:tc>
        <w:tc>
          <w:tcPr>
            <w:tcW w:w="398" w:type="pct"/>
            <w:shd w:val="clear" w:color="auto" w:fill="auto"/>
            <w:vAlign w:val="center"/>
          </w:tcPr>
          <w:p w14:paraId="09D1DF7F">
            <w:pPr>
              <w:jc w:val="center"/>
              <w:rPr>
                <w:rFonts w:ascii="Times New Roman"/>
                <w:sz w:val="21"/>
                <w:szCs w:val="21"/>
              </w:rPr>
            </w:pPr>
            <w:r>
              <w:rPr>
                <w:rFonts w:hint="eastAsia" w:ascii="Times New Roman"/>
                <w:sz w:val="21"/>
                <w:szCs w:val="21"/>
              </w:rPr>
              <w:t>/</w:t>
            </w:r>
          </w:p>
        </w:tc>
        <w:tc>
          <w:tcPr>
            <w:tcW w:w="407" w:type="pct"/>
            <w:shd w:val="clear" w:color="auto" w:fill="auto"/>
            <w:vAlign w:val="center"/>
          </w:tcPr>
          <w:p w14:paraId="71035DB3">
            <w:pPr>
              <w:jc w:val="center"/>
              <w:rPr>
                <w:rFonts w:ascii="Times New Roman"/>
                <w:sz w:val="21"/>
                <w:szCs w:val="21"/>
              </w:rPr>
            </w:pPr>
            <w:r>
              <w:rPr>
                <w:rFonts w:hint="eastAsia" w:ascii="Times New Roman"/>
                <w:sz w:val="21"/>
                <w:szCs w:val="21"/>
              </w:rPr>
              <w:t>/</w:t>
            </w:r>
          </w:p>
        </w:tc>
        <w:tc>
          <w:tcPr>
            <w:tcW w:w="349" w:type="pct"/>
            <w:vAlign w:val="center"/>
          </w:tcPr>
          <w:p w14:paraId="62C8763C">
            <w:pPr>
              <w:jc w:val="center"/>
              <w:rPr>
                <w:rFonts w:ascii="Times New Roman"/>
                <w:sz w:val="21"/>
                <w:szCs w:val="21"/>
              </w:rPr>
            </w:pPr>
            <w:r>
              <w:rPr>
                <w:rFonts w:hint="eastAsia" w:ascii="Times New Roman"/>
                <w:sz w:val="21"/>
                <w:szCs w:val="21"/>
              </w:rPr>
              <w:t>0.183</w:t>
            </w:r>
            <w:r>
              <w:rPr>
                <w:rFonts w:ascii="Times New Roman"/>
                <w:sz w:val="21"/>
                <w:szCs w:val="21"/>
              </w:rPr>
              <w:t>t/a</w:t>
            </w:r>
          </w:p>
        </w:tc>
      </w:tr>
      <w:tr w14:paraId="1764D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59E57969">
            <w:pPr>
              <w:jc w:val="center"/>
              <w:rPr>
                <w:rFonts w:ascii="Times New Roman"/>
                <w:sz w:val="21"/>
                <w:szCs w:val="21"/>
              </w:rPr>
            </w:pPr>
            <w:r>
              <w:rPr>
                <w:rFonts w:ascii="Times New Roman"/>
                <w:sz w:val="21"/>
                <w:szCs w:val="21"/>
              </w:rPr>
              <w:t>生活污水</w:t>
            </w:r>
          </w:p>
        </w:tc>
        <w:tc>
          <w:tcPr>
            <w:tcW w:w="435" w:type="pct"/>
            <w:vAlign w:val="center"/>
          </w:tcPr>
          <w:p w14:paraId="1C21B915">
            <w:pPr>
              <w:jc w:val="center"/>
              <w:rPr>
                <w:rFonts w:ascii="Times New Roman"/>
                <w:sz w:val="21"/>
                <w:szCs w:val="21"/>
              </w:rPr>
            </w:pPr>
            <w:r>
              <w:rPr>
                <w:rFonts w:hint="eastAsia" w:ascii="Times New Roman"/>
                <w:sz w:val="21"/>
                <w:szCs w:val="21"/>
              </w:rPr>
              <w:t>9600</w:t>
            </w:r>
          </w:p>
        </w:tc>
        <w:tc>
          <w:tcPr>
            <w:tcW w:w="442" w:type="pct"/>
            <w:vAlign w:val="center"/>
          </w:tcPr>
          <w:p w14:paraId="1BC77AD7">
            <w:pPr>
              <w:jc w:val="center"/>
              <w:rPr>
                <w:rFonts w:ascii="Times New Roman"/>
                <w:sz w:val="21"/>
                <w:szCs w:val="21"/>
              </w:rPr>
            </w:pPr>
            <w:r>
              <w:rPr>
                <w:rFonts w:ascii="Times New Roman"/>
                <w:sz w:val="21"/>
                <w:szCs w:val="21"/>
              </w:rPr>
              <w:t>6~9</w:t>
            </w:r>
          </w:p>
        </w:tc>
        <w:tc>
          <w:tcPr>
            <w:tcW w:w="438" w:type="pct"/>
            <w:vAlign w:val="center"/>
          </w:tcPr>
          <w:p w14:paraId="7001855B">
            <w:pPr>
              <w:jc w:val="center"/>
              <w:rPr>
                <w:rFonts w:ascii="Times New Roman"/>
                <w:sz w:val="21"/>
                <w:szCs w:val="21"/>
              </w:rPr>
            </w:pPr>
            <w:r>
              <w:rPr>
                <w:rFonts w:ascii="Times New Roman"/>
                <w:sz w:val="21"/>
                <w:szCs w:val="21"/>
              </w:rPr>
              <w:t>350</w:t>
            </w:r>
          </w:p>
        </w:tc>
        <w:tc>
          <w:tcPr>
            <w:tcW w:w="462" w:type="pct"/>
            <w:vAlign w:val="center"/>
          </w:tcPr>
          <w:p w14:paraId="50FD2134">
            <w:pPr>
              <w:jc w:val="center"/>
              <w:rPr>
                <w:rFonts w:ascii="Times New Roman"/>
                <w:sz w:val="21"/>
                <w:szCs w:val="21"/>
              </w:rPr>
            </w:pPr>
            <w:r>
              <w:rPr>
                <w:rFonts w:ascii="Times New Roman"/>
                <w:sz w:val="21"/>
                <w:szCs w:val="21"/>
              </w:rPr>
              <w:t>2</w:t>
            </w:r>
            <w:r>
              <w:rPr>
                <w:rFonts w:hint="eastAsia" w:ascii="Times New Roman"/>
                <w:sz w:val="21"/>
                <w:szCs w:val="21"/>
              </w:rPr>
              <w:t>0</w:t>
            </w:r>
            <w:r>
              <w:rPr>
                <w:rFonts w:ascii="Times New Roman"/>
                <w:sz w:val="21"/>
                <w:szCs w:val="21"/>
              </w:rPr>
              <w:t>0</w:t>
            </w:r>
          </w:p>
        </w:tc>
        <w:tc>
          <w:tcPr>
            <w:tcW w:w="432" w:type="pct"/>
            <w:vAlign w:val="center"/>
          </w:tcPr>
          <w:p w14:paraId="29B0A29D">
            <w:pPr>
              <w:jc w:val="center"/>
              <w:rPr>
                <w:rFonts w:ascii="Times New Roman"/>
                <w:sz w:val="21"/>
                <w:szCs w:val="21"/>
              </w:rPr>
            </w:pPr>
            <w:r>
              <w:rPr>
                <w:rFonts w:ascii="Times New Roman"/>
                <w:sz w:val="21"/>
                <w:szCs w:val="21"/>
              </w:rPr>
              <w:t>2</w:t>
            </w:r>
            <w:r>
              <w:rPr>
                <w:rFonts w:hint="eastAsia" w:ascii="Times New Roman"/>
                <w:sz w:val="21"/>
                <w:szCs w:val="21"/>
              </w:rPr>
              <w:t>5</w:t>
            </w:r>
            <w:r>
              <w:rPr>
                <w:rFonts w:ascii="Times New Roman"/>
                <w:sz w:val="21"/>
                <w:szCs w:val="21"/>
              </w:rPr>
              <w:t>0</w:t>
            </w:r>
          </w:p>
        </w:tc>
        <w:tc>
          <w:tcPr>
            <w:tcW w:w="425" w:type="pct"/>
            <w:vAlign w:val="center"/>
          </w:tcPr>
          <w:p w14:paraId="344E949C">
            <w:pPr>
              <w:jc w:val="center"/>
              <w:rPr>
                <w:rFonts w:ascii="Times New Roman"/>
                <w:sz w:val="21"/>
                <w:szCs w:val="21"/>
              </w:rPr>
            </w:pPr>
            <w:r>
              <w:rPr>
                <w:rFonts w:hint="eastAsia" w:ascii="Times New Roman"/>
                <w:sz w:val="21"/>
                <w:szCs w:val="21"/>
              </w:rPr>
              <w:t>30</w:t>
            </w:r>
          </w:p>
        </w:tc>
        <w:tc>
          <w:tcPr>
            <w:tcW w:w="399" w:type="pct"/>
            <w:vAlign w:val="center"/>
          </w:tcPr>
          <w:p w14:paraId="1B5F8A1B">
            <w:pPr>
              <w:jc w:val="center"/>
              <w:rPr>
                <w:rFonts w:ascii="Times New Roman"/>
                <w:sz w:val="21"/>
                <w:szCs w:val="21"/>
              </w:rPr>
            </w:pPr>
            <w:r>
              <w:rPr>
                <w:rFonts w:hint="eastAsia" w:ascii="Times New Roman"/>
                <w:sz w:val="21"/>
                <w:szCs w:val="21"/>
              </w:rPr>
              <w:t>5</w:t>
            </w:r>
          </w:p>
        </w:tc>
        <w:tc>
          <w:tcPr>
            <w:tcW w:w="398" w:type="pct"/>
            <w:vAlign w:val="center"/>
          </w:tcPr>
          <w:p w14:paraId="35F0BF69">
            <w:pPr>
              <w:jc w:val="center"/>
              <w:rPr>
                <w:rFonts w:ascii="Times New Roman"/>
                <w:sz w:val="21"/>
                <w:szCs w:val="21"/>
              </w:rPr>
            </w:pPr>
            <w:r>
              <w:rPr>
                <w:rFonts w:hint="eastAsia" w:ascii="Times New Roman"/>
                <w:sz w:val="21"/>
                <w:szCs w:val="21"/>
              </w:rPr>
              <w:t>45</w:t>
            </w:r>
          </w:p>
        </w:tc>
        <w:tc>
          <w:tcPr>
            <w:tcW w:w="407" w:type="pct"/>
            <w:vAlign w:val="center"/>
          </w:tcPr>
          <w:p w14:paraId="376E68E9">
            <w:pPr>
              <w:jc w:val="center"/>
              <w:rPr>
                <w:rFonts w:ascii="Times New Roman"/>
                <w:sz w:val="21"/>
                <w:szCs w:val="21"/>
              </w:rPr>
            </w:pPr>
            <w:r>
              <w:rPr>
                <w:rFonts w:hint="eastAsia" w:ascii="Times New Roman"/>
                <w:sz w:val="21"/>
                <w:szCs w:val="21"/>
              </w:rPr>
              <w:t>50</w:t>
            </w:r>
          </w:p>
        </w:tc>
        <w:tc>
          <w:tcPr>
            <w:tcW w:w="349" w:type="pct"/>
            <w:vAlign w:val="center"/>
          </w:tcPr>
          <w:p w14:paraId="1E86F59B">
            <w:pPr>
              <w:jc w:val="center"/>
              <w:rPr>
                <w:rFonts w:ascii="Times New Roman"/>
                <w:sz w:val="21"/>
                <w:szCs w:val="21"/>
              </w:rPr>
            </w:pPr>
            <w:r>
              <w:rPr>
                <w:rFonts w:hint="eastAsia" w:ascii="Times New Roman"/>
                <w:sz w:val="21"/>
                <w:szCs w:val="21"/>
              </w:rPr>
              <w:t>/</w:t>
            </w:r>
          </w:p>
        </w:tc>
      </w:tr>
      <w:tr w14:paraId="16ED3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14:paraId="715983E4">
            <w:pPr>
              <w:jc w:val="center"/>
              <w:rPr>
                <w:rFonts w:ascii="Times New Roman"/>
                <w:sz w:val="21"/>
                <w:szCs w:val="21"/>
              </w:rPr>
            </w:pPr>
            <w:r>
              <w:rPr>
                <w:rFonts w:hint="eastAsia" w:ascii="Times New Roman"/>
                <w:sz w:val="21"/>
                <w:szCs w:val="21"/>
              </w:rPr>
              <w:t>隔油池+</w:t>
            </w:r>
            <w:r>
              <w:rPr>
                <w:rFonts w:ascii="Times New Roman"/>
                <w:sz w:val="21"/>
                <w:szCs w:val="21"/>
              </w:rPr>
              <w:t>化粪池</w:t>
            </w:r>
          </w:p>
        </w:tc>
        <w:tc>
          <w:tcPr>
            <w:tcW w:w="417" w:type="pct"/>
            <w:vAlign w:val="center"/>
          </w:tcPr>
          <w:p w14:paraId="261AE8A4">
            <w:pPr>
              <w:jc w:val="center"/>
              <w:rPr>
                <w:rFonts w:ascii="Times New Roman"/>
                <w:sz w:val="21"/>
                <w:szCs w:val="21"/>
              </w:rPr>
            </w:pPr>
            <w:r>
              <w:rPr>
                <w:rFonts w:ascii="Times New Roman"/>
                <w:sz w:val="21"/>
                <w:szCs w:val="21"/>
              </w:rPr>
              <w:t>处理效率</w:t>
            </w:r>
          </w:p>
        </w:tc>
        <w:tc>
          <w:tcPr>
            <w:tcW w:w="435" w:type="pct"/>
            <w:vAlign w:val="center"/>
          </w:tcPr>
          <w:p w14:paraId="13032A1B">
            <w:pPr>
              <w:jc w:val="center"/>
              <w:rPr>
                <w:rFonts w:ascii="Times New Roman"/>
                <w:sz w:val="21"/>
                <w:szCs w:val="21"/>
              </w:rPr>
            </w:pPr>
            <w:r>
              <w:rPr>
                <w:rFonts w:ascii="Times New Roman"/>
                <w:sz w:val="21"/>
                <w:szCs w:val="21"/>
              </w:rPr>
              <w:t>/</w:t>
            </w:r>
          </w:p>
        </w:tc>
        <w:tc>
          <w:tcPr>
            <w:tcW w:w="442" w:type="pct"/>
            <w:vAlign w:val="center"/>
          </w:tcPr>
          <w:p w14:paraId="6C52FE85">
            <w:pPr>
              <w:jc w:val="center"/>
              <w:rPr>
                <w:rFonts w:ascii="Times New Roman"/>
                <w:sz w:val="21"/>
                <w:szCs w:val="21"/>
              </w:rPr>
            </w:pPr>
            <w:r>
              <w:rPr>
                <w:rFonts w:ascii="Times New Roman"/>
                <w:sz w:val="21"/>
                <w:szCs w:val="21"/>
              </w:rPr>
              <w:t>/</w:t>
            </w:r>
          </w:p>
        </w:tc>
        <w:tc>
          <w:tcPr>
            <w:tcW w:w="438" w:type="pct"/>
            <w:vAlign w:val="center"/>
          </w:tcPr>
          <w:p w14:paraId="67132619">
            <w:pPr>
              <w:jc w:val="center"/>
              <w:rPr>
                <w:rFonts w:ascii="Times New Roman"/>
                <w:sz w:val="21"/>
                <w:szCs w:val="21"/>
              </w:rPr>
            </w:pPr>
            <w:r>
              <w:rPr>
                <w:rFonts w:ascii="Times New Roman"/>
                <w:sz w:val="21"/>
                <w:szCs w:val="21"/>
              </w:rPr>
              <w:t>14.3</w:t>
            </w:r>
            <w:r>
              <w:rPr>
                <w:rFonts w:hint="eastAsia" w:ascii="Times New Roman"/>
                <w:sz w:val="21"/>
                <w:szCs w:val="21"/>
              </w:rPr>
              <w:t>%</w:t>
            </w:r>
          </w:p>
        </w:tc>
        <w:tc>
          <w:tcPr>
            <w:tcW w:w="462" w:type="pct"/>
            <w:vAlign w:val="center"/>
          </w:tcPr>
          <w:p w14:paraId="131EB066">
            <w:pPr>
              <w:jc w:val="center"/>
              <w:rPr>
                <w:rFonts w:ascii="Times New Roman"/>
                <w:sz w:val="21"/>
                <w:szCs w:val="21"/>
              </w:rPr>
            </w:pPr>
            <w:r>
              <w:rPr>
                <w:rFonts w:hint="eastAsia" w:ascii="Times New Roman"/>
                <w:sz w:val="21"/>
                <w:szCs w:val="21"/>
              </w:rPr>
              <w:t>2</w:t>
            </w:r>
            <w:r>
              <w:rPr>
                <w:rFonts w:ascii="Times New Roman"/>
                <w:sz w:val="21"/>
                <w:szCs w:val="21"/>
              </w:rPr>
              <w:t>0</w:t>
            </w:r>
            <w:r>
              <w:rPr>
                <w:rFonts w:hint="eastAsia" w:ascii="Times New Roman"/>
                <w:sz w:val="21"/>
                <w:szCs w:val="21"/>
              </w:rPr>
              <w:t>%</w:t>
            </w:r>
          </w:p>
        </w:tc>
        <w:tc>
          <w:tcPr>
            <w:tcW w:w="432" w:type="pct"/>
            <w:vAlign w:val="center"/>
          </w:tcPr>
          <w:p w14:paraId="1A86B79F">
            <w:pPr>
              <w:jc w:val="center"/>
              <w:rPr>
                <w:rFonts w:ascii="Times New Roman"/>
                <w:sz w:val="21"/>
                <w:szCs w:val="21"/>
              </w:rPr>
            </w:pPr>
            <w:r>
              <w:rPr>
                <w:rFonts w:hint="eastAsia" w:ascii="Times New Roman"/>
                <w:sz w:val="21"/>
                <w:szCs w:val="21"/>
              </w:rPr>
              <w:t>40%</w:t>
            </w:r>
          </w:p>
        </w:tc>
        <w:tc>
          <w:tcPr>
            <w:tcW w:w="425" w:type="pct"/>
            <w:vAlign w:val="center"/>
          </w:tcPr>
          <w:p w14:paraId="0A08AD73">
            <w:pPr>
              <w:jc w:val="center"/>
              <w:rPr>
                <w:rFonts w:ascii="Times New Roman"/>
                <w:sz w:val="21"/>
                <w:szCs w:val="21"/>
              </w:rPr>
            </w:pPr>
            <w:r>
              <w:rPr>
                <w:rFonts w:hint="eastAsia" w:ascii="Times New Roman"/>
                <w:sz w:val="21"/>
                <w:szCs w:val="21"/>
              </w:rPr>
              <w:t>16.7%</w:t>
            </w:r>
          </w:p>
        </w:tc>
        <w:tc>
          <w:tcPr>
            <w:tcW w:w="399" w:type="pct"/>
            <w:vAlign w:val="center"/>
          </w:tcPr>
          <w:p w14:paraId="6E5AC00E">
            <w:pPr>
              <w:jc w:val="center"/>
              <w:rPr>
                <w:rFonts w:ascii="Times New Roman"/>
                <w:sz w:val="21"/>
                <w:szCs w:val="21"/>
              </w:rPr>
            </w:pPr>
            <w:r>
              <w:rPr>
                <w:rFonts w:ascii="Times New Roman"/>
                <w:sz w:val="21"/>
                <w:szCs w:val="21"/>
              </w:rPr>
              <w:t>/</w:t>
            </w:r>
          </w:p>
        </w:tc>
        <w:tc>
          <w:tcPr>
            <w:tcW w:w="398" w:type="pct"/>
            <w:vAlign w:val="center"/>
          </w:tcPr>
          <w:p w14:paraId="7B50CEE0">
            <w:pPr>
              <w:jc w:val="center"/>
              <w:rPr>
                <w:rFonts w:ascii="Times New Roman"/>
                <w:sz w:val="21"/>
                <w:szCs w:val="21"/>
              </w:rPr>
            </w:pPr>
            <w:r>
              <w:rPr>
                <w:rFonts w:hint="eastAsia" w:ascii="Times New Roman"/>
                <w:sz w:val="21"/>
                <w:szCs w:val="21"/>
              </w:rPr>
              <w:t>22.2%</w:t>
            </w:r>
          </w:p>
        </w:tc>
        <w:tc>
          <w:tcPr>
            <w:tcW w:w="407" w:type="pct"/>
            <w:vAlign w:val="center"/>
          </w:tcPr>
          <w:p w14:paraId="32333B73">
            <w:pPr>
              <w:jc w:val="center"/>
              <w:rPr>
                <w:rFonts w:ascii="Times New Roman"/>
                <w:sz w:val="21"/>
                <w:szCs w:val="21"/>
              </w:rPr>
            </w:pPr>
            <w:r>
              <w:rPr>
                <w:rFonts w:hint="eastAsia" w:ascii="Times New Roman"/>
                <w:sz w:val="21"/>
                <w:szCs w:val="21"/>
              </w:rPr>
              <w:t>80%</w:t>
            </w:r>
          </w:p>
        </w:tc>
        <w:tc>
          <w:tcPr>
            <w:tcW w:w="349" w:type="pct"/>
            <w:vAlign w:val="center"/>
          </w:tcPr>
          <w:p w14:paraId="17D56660">
            <w:pPr>
              <w:jc w:val="center"/>
              <w:rPr>
                <w:rFonts w:ascii="Times New Roman"/>
                <w:sz w:val="21"/>
                <w:szCs w:val="21"/>
              </w:rPr>
            </w:pPr>
            <w:r>
              <w:rPr>
                <w:rFonts w:hint="eastAsia" w:ascii="Times New Roman"/>
                <w:sz w:val="21"/>
                <w:szCs w:val="21"/>
              </w:rPr>
              <w:t>/</w:t>
            </w:r>
          </w:p>
        </w:tc>
      </w:tr>
      <w:tr w14:paraId="3F075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14:paraId="4315A84B">
            <w:pPr>
              <w:jc w:val="center"/>
              <w:rPr>
                <w:rFonts w:ascii="Times New Roman"/>
                <w:sz w:val="21"/>
                <w:szCs w:val="21"/>
              </w:rPr>
            </w:pPr>
          </w:p>
        </w:tc>
        <w:tc>
          <w:tcPr>
            <w:tcW w:w="417" w:type="pct"/>
            <w:vAlign w:val="center"/>
          </w:tcPr>
          <w:p w14:paraId="64CDDB73">
            <w:pPr>
              <w:jc w:val="center"/>
              <w:rPr>
                <w:rFonts w:ascii="Times New Roman"/>
                <w:sz w:val="21"/>
                <w:szCs w:val="21"/>
              </w:rPr>
            </w:pPr>
            <w:r>
              <w:rPr>
                <w:rFonts w:ascii="Times New Roman"/>
                <w:sz w:val="21"/>
                <w:szCs w:val="21"/>
              </w:rPr>
              <w:t>处理后</w:t>
            </w:r>
          </w:p>
        </w:tc>
        <w:tc>
          <w:tcPr>
            <w:tcW w:w="435" w:type="pct"/>
            <w:vAlign w:val="center"/>
          </w:tcPr>
          <w:p w14:paraId="13A604BB">
            <w:pPr>
              <w:jc w:val="center"/>
              <w:rPr>
                <w:rFonts w:ascii="Times New Roman"/>
                <w:sz w:val="21"/>
                <w:szCs w:val="21"/>
              </w:rPr>
            </w:pPr>
            <w:r>
              <w:rPr>
                <w:rFonts w:hint="eastAsia" w:ascii="Times New Roman"/>
                <w:sz w:val="21"/>
                <w:szCs w:val="21"/>
              </w:rPr>
              <w:t>9600</w:t>
            </w:r>
          </w:p>
        </w:tc>
        <w:tc>
          <w:tcPr>
            <w:tcW w:w="442" w:type="pct"/>
            <w:vAlign w:val="center"/>
          </w:tcPr>
          <w:p w14:paraId="6F03B3AD">
            <w:pPr>
              <w:jc w:val="center"/>
              <w:rPr>
                <w:rFonts w:ascii="Times New Roman"/>
                <w:sz w:val="21"/>
                <w:szCs w:val="21"/>
              </w:rPr>
            </w:pPr>
            <w:r>
              <w:rPr>
                <w:rFonts w:ascii="Times New Roman"/>
                <w:sz w:val="21"/>
                <w:szCs w:val="21"/>
              </w:rPr>
              <w:t>6~9</w:t>
            </w:r>
          </w:p>
        </w:tc>
        <w:tc>
          <w:tcPr>
            <w:tcW w:w="438" w:type="pct"/>
            <w:vAlign w:val="center"/>
          </w:tcPr>
          <w:p w14:paraId="5024E9DD">
            <w:pPr>
              <w:jc w:val="center"/>
              <w:rPr>
                <w:rFonts w:ascii="Times New Roman"/>
                <w:sz w:val="21"/>
                <w:szCs w:val="21"/>
              </w:rPr>
            </w:pPr>
            <w:r>
              <w:rPr>
                <w:rFonts w:ascii="Times New Roman"/>
                <w:sz w:val="21"/>
                <w:szCs w:val="21"/>
              </w:rPr>
              <w:t>300</w:t>
            </w:r>
          </w:p>
        </w:tc>
        <w:tc>
          <w:tcPr>
            <w:tcW w:w="462" w:type="pct"/>
            <w:vAlign w:val="center"/>
          </w:tcPr>
          <w:p w14:paraId="518E6D00">
            <w:pPr>
              <w:jc w:val="center"/>
              <w:rPr>
                <w:rFonts w:ascii="Times New Roman"/>
                <w:sz w:val="21"/>
                <w:szCs w:val="21"/>
              </w:rPr>
            </w:pPr>
            <w:r>
              <w:rPr>
                <w:rFonts w:ascii="Times New Roman"/>
                <w:sz w:val="21"/>
                <w:szCs w:val="21"/>
              </w:rPr>
              <w:t>1</w:t>
            </w:r>
            <w:r>
              <w:rPr>
                <w:rFonts w:hint="eastAsia" w:ascii="Times New Roman"/>
                <w:sz w:val="21"/>
                <w:szCs w:val="21"/>
              </w:rPr>
              <w:t>6</w:t>
            </w:r>
            <w:r>
              <w:rPr>
                <w:rFonts w:ascii="Times New Roman"/>
                <w:sz w:val="21"/>
                <w:szCs w:val="21"/>
              </w:rPr>
              <w:t>0</w:t>
            </w:r>
          </w:p>
        </w:tc>
        <w:tc>
          <w:tcPr>
            <w:tcW w:w="432" w:type="pct"/>
            <w:vAlign w:val="center"/>
          </w:tcPr>
          <w:p w14:paraId="44FA72EE">
            <w:pPr>
              <w:jc w:val="center"/>
              <w:rPr>
                <w:rFonts w:ascii="Times New Roman"/>
                <w:sz w:val="21"/>
                <w:szCs w:val="21"/>
              </w:rPr>
            </w:pPr>
            <w:r>
              <w:rPr>
                <w:rFonts w:ascii="Times New Roman"/>
                <w:sz w:val="21"/>
                <w:szCs w:val="21"/>
              </w:rPr>
              <w:t>150</w:t>
            </w:r>
          </w:p>
        </w:tc>
        <w:tc>
          <w:tcPr>
            <w:tcW w:w="425" w:type="pct"/>
            <w:vAlign w:val="center"/>
          </w:tcPr>
          <w:p w14:paraId="6FD6E485">
            <w:pPr>
              <w:jc w:val="center"/>
              <w:rPr>
                <w:rFonts w:ascii="Times New Roman"/>
                <w:sz w:val="21"/>
                <w:szCs w:val="21"/>
              </w:rPr>
            </w:pPr>
            <w:r>
              <w:rPr>
                <w:rFonts w:ascii="Times New Roman"/>
                <w:sz w:val="21"/>
                <w:szCs w:val="21"/>
              </w:rPr>
              <w:t>25</w:t>
            </w:r>
          </w:p>
        </w:tc>
        <w:tc>
          <w:tcPr>
            <w:tcW w:w="399" w:type="pct"/>
            <w:vAlign w:val="center"/>
          </w:tcPr>
          <w:p w14:paraId="443BCA9E">
            <w:pPr>
              <w:jc w:val="center"/>
              <w:rPr>
                <w:rFonts w:ascii="Times New Roman"/>
                <w:sz w:val="21"/>
                <w:szCs w:val="21"/>
              </w:rPr>
            </w:pPr>
            <w:r>
              <w:rPr>
                <w:rFonts w:hint="eastAsia" w:ascii="Times New Roman"/>
                <w:sz w:val="21"/>
                <w:szCs w:val="21"/>
              </w:rPr>
              <w:t>5</w:t>
            </w:r>
          </w:p>
        </w:tc>
        <w:tc>
          <w:tcPr>
            <w:tcW w:w="398" w:type="pct"/>
            <w:vAlign w:val="center"/>
          </w:tcPr>
          <w:p w14:paraId="1A1BE5B4">
            <w:pPr>
              <w:jc w:val="center"/>
              <w:rPr>
                <w:rFonts w:ascii="Times New Roman"/>
                <w:sz w:val="21"/>
                <w:szCs w:val="21"/>
              </w:rPr>
            </w:pPr>
            <w:r>
              <w:rPr>
                <w:rFonts w:hint="eastAsia" w:ascii="Times New Roman"/>
                <w:sz w:val="21"/>
                <w:szCs w:val="21"/>
              </w:rPr>
              <w:t>35</w:t>
            </w:r>
          </w:p>
        </w:tc>
        <w:tc>
          <w:tcPr>
            <w:tcW w:w="407" w:type="pct"/>
            <w:vAlign w:val="center"/>
          </w:tcPr>
          <w:p w14:paraId="33DCF98D">
            <w:pPr>
              <w:jc w:val="center"/>
              <w:rPr>
                <w:rFonts w:ascii="Times New Roman"/>
                <w:sz w:val="21"/>
                <w:szCs w:val="21"/>
              </w:rPr>
            </w:pPr>
            <w:r>
              <w:rPr>
                <w:rFonts w:hint="eastAsia" w:ascii="Times New Roman"/>
                <w:sz w:val="21"/>
                <w:szCs w:val="21"/>
              </w:rPr>
              <w:t>10</w:t>
            </w:r>
          </w:p>
        </w:tc>
        <w:tc>
          <w:tcPr>
            <w:tcW w:w="349" w:type="pct"/>
            <w:vAlign w:val="center"/>
          </w:tcPr>
          <w:p w14:paraId="0F032BC2">
            <w:pPr>
              <w:jc w:val="center"/>
              <w:rPr>
                <w:rFonts w:ascii="Times New Roman"/>
                <w:sz w:val="21"/>
                <w:szCs w:val="21"/>
              </w:rPr>
            </w:pPr>
            <w:r>
              <w:rPr>
                <w:rFonts w:hint="eastAsia" w:ascii="Times New Roman"/>
                <w:sz w:val="21"/>
                <w:szCs w:val="21"/>
              </w:rPr>
              <w:t>/</w:t>
            </w:r>
          </w:p>
        </w:tc>
      </w:tr>
      <w:tr w14:paraId="3BDAE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7" w:type="pct"/>
            <w:gridSpan w:val="2"/>
            <w:vMerge w:val="restart"/>
            <w:vAlign w:val="center"/>
          </w:tcPr>
          <w:p w14:paraId="445C7B41">
            <w:pPr>
              <w:jc w:val="center"/>
              <w:rPr>
                <w:rFonts w:ascii="Times New Roman"/>
                <w:sz w:val="21"/>
                <w:szCs w:val="21"/>
              </w:rPr>
            </w:pPr>
            <w:r>
              <w:rPr>
                <w:rFonts w:ascii="Times New Roman"/>
                <w:b/>
                <w:bCs/>
                <w:sz w:val="21"/>
                <w:szCs w:val="21"/>
              </w:rPr>
              <w:t>本项目外排生活废水</w:t>
            </w:r>
          </w:p>
        </w:tc>
        <w:tc>
          <w:tcPr>
            <w:tcW w:w="435" w:type="pct"/>
            <w:vMerge w:val="restart"/>
            <w:vAlign w:val="center"/>
          </w:tcPr>
          <w:p w14:paraId="196BA3E0">
            <w:pPr>
              <w:jc w:val="center"/>
              <w:rPr>
                <w:rFonts w:ascii="Times New Roman"/>
                <w:sz w:val="21"/>
                <w:szCs w:val="21"/>
              </w:rPr>
            </w:pPr>
            <w:r>
              <w:rPr>
                <w:rFonts w:hint="eastAsia" w:ascii="Times New Roman"/>
                <w:sz w:val="21"/>
                <w:szCs w:val="21"/>
              </w:rPr>
              <w:t>9600</w:t>
            </w:r>
          </w:p>
        </w:tc>
        <w:tc>
          <w:tcPr>
            <w:tcW w:w="442" w:type="pct"/>
            <w:vAlign w:val="center"/>
          </w:tcPr>
          <w:p w14:paraId="536FB9B2">
            <w:pPr>
              <w:jc w:val="center"/>
              <w:rPr>
                <w:rFonts w:ascii="Times New Roman"/>
                <w:sz w:val="21"/>
                <w:szCs w:val="21"/>
              </w:rPr>
            </w:pPr>
            <w:r>
              <w:rPr>
                <w:rFonts w:ascii="Times New Roman"/>
                <w:sz w:val="21"/>
                <w:szCs w:val="21"/>
              </w:rPr>
              <w:t>6~9</w:t>
            </w:r>
          </w:p>
        </w:tc>
        <w:tc>
          <w:tcPr>
            <w:tcW w:w="438" w:type="pct"/>
            <w:shd w:val="clear" w:color="auto" w:fill="auto"/>
            <w:vAlign w:val="center"/>
          </w:tcPr>
          <w:p w14:paraId="5C3CD047">
            <w:pPr>
              <w:jc w:val="center"/>
              <w:rPr>
                <w:rFonts w:ascii="Times New Roman"/>
                <w:sz w:val="21"/>
                <w:szCs w:val="21"/>
              </w:rPr>
            </w:pPr>
            <w:r>
              <w:rPr>
                <w:rFonts w:ascii="Times New Roman"/>
                <w:sz w:val="21"/>
                <w:szCs w:val="21"/>
              </w:rPr>
              <w:t>300</w:t>
            </w:r>
          </w:p>
        </w:tc>
        <w:tc>
          <w:tcPr>
            <w:tcW w:w="462" w:type="pct"/>
            <w:shd w:val="clear" w:color="auto" w:fill="auto"/>
            <w:vAlign w:val="center"/>
          </w:tcPr>
          <w:p w14:paraId="0E1A7AF6">
            <w:pPr>
              <w:jc w:val="center"/>
              <w:rPr>
                <w:rFonts w:ascii="Times New Roman"/>
                <w:sz w:val="21"/>
                <w:szCs w:val="21"/>
              </w:rPr>
            </w:pPr>
            <w:r>
              <w:rPr>
                <w:rFonts w:ascii="Times New Roman"/>
                <w:sz w:val="21"/>
                <w:szCs w:val="21"/>
              </w:rPr>
              <w:t>1</w:t>
            </w:r>
            <w:r>
              <w:rPr>
                <w:rFonts w:hint="eastAsia" w:ascii="Times New Roman"/>
                <w:sz w:val="21"/>
                <w:szCs w:val="21"/>
              </w:rPr>
              <w:t>6</w:t>
            </w:r>
            <w:r>
              <w:rPr>
                <w:rFonts w:ascii="Times New Roman"/>
                <w:sz w:val="21"/>
                <w:szCs w:val="21"/>
              </w:rPr>
              <w:t>0</w:t>
            </w:r>
          </w:p>
        </w:tc>
        <w:tc>
          <w:tcPr>
            <w:tcW w:w="432" w:type="pct"/>
            <w:shd w:val="clear" w:color="auto" w:fill="auto"/>
            <w:vAlign w:val="center"/>
          </w:tcPr>
          <w:p w14:paraId="6BC0DA8C">
            <w:pPr>
              <w:jc w:val="center"/>
              <w:rPr>
                <w:rFonts w:ascii="Times New Roman"/>
                <w:sz w:val="21"/>
                <w:szCs w:val="21"/>
              </w:rPr>
            </w:pPr>
            <w:r>
              <w:rPr>
                <w:rFonts w:ascii="Times New Roman"/>
                <w:sz w:val="21"/>
                <w:szCs w:val="21"/>
              </w:rPr>
              <w:t>150</w:t>
            </w:r>
          </w:p>
        </w:tc>
        <w:tc>
          <w:tcPr>
            <w:tcW w:w="425" w:type="pct"/>
            <w:shd w:val="clear" w:color="auto" w:fill="auto"/>
            <w:vAlign w:val="center"/>
          </w:tcPr>
          <w:p w14:paraId="32D3D112">
            <w:pPr>
              <w:jc w:val="center"/>
              <w:rPr>
                <w:rFonts w:ascii="Times New Roman"/>
                <w:sz w:val="21"/>
                <w:szCs w:val="21"/>
              </w:rPr>
            </w:pPr>
            <w:r>
              <w:rPr>
                <w:rFonts w:ascii="Times New Roman"/>
                <w:sz w:val="21"/>
                <w:szCs w:val="21"/>
              </w:rPr>
              <w:t>25</w:t>
            </w:r>
          </w:p>
        </w:tc>
        <w:tc>
          <w:tcPr>
            <w:tcW w:w="399" w:type="pct"/>
            <w:shd w:val="clear" w:color="auto" w:fill="auto"/>
            <w:vAlign w:val="center"/>
          </w:tcPr>
          <w:p w14:paraId="1DD973BD">
            <w:pPr>
              <w:jc w:val="center"/>
              <w:rPr>
                <w:rFonts w:ascii="Times New Roman"/>
                <w:sz w:val="21"/>
                <w:szCs w:val="21"/>
              </w:rPr>
            </w:pPr>
            <w:r>
              <w:rPr>
                <w:rFonts w:hint="eastAsia" w:ascii="Times New Roman"/>
                <w:sz w:val="21"/>
                <w:szCs w:val="21"/>
              </w:rPr>
              <w:t>5</w:t>
            </w:r>
          </w:p>
        </w:tc>
        <w:tc>
          <w:tcPr>
            <w:tcW w:w="398" w:type="pct"/>
            <w:shd w:val="clear" w:color="auto" w:fill="auto"/>
            <w:vAlign w:val="center"/>
          </w:tcPr>
          <w:p w14:paraId="27E8C964">
            <w:pPr>
              <w:jc w:val="center"/>
              <w:rPr>
                <w:rFonts w:ascii="Times New Roman"/>
                <w:sz w:val="21"/>
                <w:szCs w:val="21"/>
              </w:rPr>
            </w:pPr>
            <w:r>
              <w:rPr>
                <w:rFonts w:hint="eastAsia" w:ascii="Times New Roman"/>
                <w:sz w:val="21"/>
                <w:szCs w:val="21"/>
              </w:rPr>
              <w:t>35</w:t>
            </w:r>
          </w:p>
        </w:tc>
        <w:tc>
          <w:tcPr>
            <w:tcW w:w="407" w:type="pct"/>
            <w:shd w:val="clear" w:color="auto" w:fill="auto"/>
            <w:vAlign w:val="center"/>
          </w:tcPr>
          <w:p w14:paraId="5EAE30A3">
            <w:pPr>
              <w:jc w:val="center"/>
              <w:rPr>
                <w:rFonts w:ascii="Times New Roman"/>
                <w:sz w:val="21"/>
                <w:szCs w:val="21"/>
              </w:rPr>
            </w:pPr>
            <w:r>
              <w:rPr>
                <w:rFonts w:hint="eastAsia" w:ascii="Times New Roman"/>
                <w:sz w:val="21"/>
                <w:szCs w:val="21"/>
              </w:rPr>
              <w:t>10</w:t>
            </w:r>
          </w:p>
        </w:tc>
        <w:tc>
          <w:tcPr>
            <w:tcW w:w="349" w:type="pct"/>
            <w:vAlign w:val="center"/>
          </w:tcPr>
          <w:p w14:paraId="6C3E895F">
            <w:pPr>
              <w:jc w:val="center"/>
              <w:rPr>
                <w:rFonts w:ascii="Times New Roman"/>
                <w:sz w:val="21"/>
                <w:szCs w:val="21"/>
              </w:rPr>
            </w:pPr>
            <w:r>
              <w:rPr>
                <w:rFonts w:hint="eastAsia" w:ascii="Times New Roman"/>
                <w:sz w:val="21"/>
                <w:szCs w:val="21"/>
              </w:rPr>
              <w:t>/</w:t>
            </w:r>
          </w:p>
        </w:tc>
      </w:tr>
      <w:tr w14:paraId="265D9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07" w:type="pct"/>
            <w:gridSpan w:val="2"/>
            <w:vMerge w:val="continue"/>
            <w:vAlign w:val="center"/>
          </w:tcPr>
          <w:p w14:paraId="45D6031E">
            <w:pPr>
              <w:jc w:val="center"/>
              <w:rPr>
                <w:rFonts w:ascii="Times New Roman"/>
                <w:sz w:val="21"/>
                <w:szCs w:val="21"/>
              </w:rPr>
            </w:pPr>
          </w:p>
        </w:tc>
        <w:tc>
          <w:tcPr>
            <w:tcW w:w="435" w:type="pct"/>
            <w:vMerge w:val="continue"/>
            <w:vAlign w:val="center"/>
          </w:tcPr>
          <w:p w14:paraId="4F7D6F7F">
            <w:pPr>
              <w:jc w:val="center"/>
              <w:rPr>
                <w:rFonts w:ascii="Times New Roman"/>
                <w:sz w:val="21"/>
                <w:szCs w:val="21"/>
              </w:rPr>
            </w:pPr>
          </w:p>
        </w:tc>
        <w:tc>
          <w:tcPr>
            <w:tcW w:w="442" w:type="pct"/>
            <w:vAlign w:val="center"/>
          </w:tcPr>
          <w:p w14:paraId="6712D549">
            <w:pPr>
              <w:jc w:val="center"/>
              <w:rPr>
                <w:rFonts w:ascii="Times New Roman"/>
                <w:sz w:val="21"/>
                <w:szCs w:val="21"/>
              </w:rPr>
            </w:pPr>
            <w:r>
              <w:rPr>
                <w:rFonts w:ascii="Times New Roman"/>
                <w:sz w:val="21"/>
                <w:szCs w:val="21"/>
              </w:rPr>
              <w:t>/</w:t>
            </w:r>
          </w:p>
        </w:tc>
        <w:tc>
          <w:tcPr>
            <w:tcW w:w="438" w:type="pct"/>
            <w:vAlign w:val="center"/>
          </w:tcPr>
          <w:p w14:paraId="25D4DC2D">
            <w:pPr>
              <w:jc w:val="center"/>
              <w:rPr>
                <w:rFonts w:ascii="Times New Roman"/>
                <w:sz w:val="21"/>
                <w:szCs w:val="21"/>
              </w:rPr>
            </w:pPr>
            <w:r>
              <w:rPr>
                <w:rFonts w:hint="eastAsia" w:ascii="Times New Roman"/>
                <w:sz w:val="21"/>
                <w:szCs w:val="21"/>
              </w:rPr>
              <w:t>2.88</w:t>
            </w:r>
            <w:r>
              <w:rPr>
                <w:rFonts w:ascii="Times New Roman"/>
                <w:sz w:val="21"/>
                <w:szCs w:val="21"/>
              </w:rPr>
              <w:t>t/a</w:t>
            </w:r>
          </w:p>
        </w:tc>
        <w:tc>
          <w:tcPr>
            <w:tcW w:w="462" w:type="pct"/>
            <w:vAlign w:val="center"/>
          </w:tcPr>
          <w:p w14:paraId="61E4731D">
            <w:pPr>
              <w:jc w:val="center"/>
              <w:rPr>
                <w:rFonts w:ascii="Times New Roman"/>
                <w:sz w:val="21"/>
                <w:szCs w:val="21"/>
              </w:rPr>
            </w:pPr>
            <w:r>
              <w:rPr>
                <w:rFonts w:hint="eastAsia" w:ascii="Times New Roman"/>
                <w:sz w:val="21"/>
                <w:szCs w:val="21"/>
              </w:rPr>
              <w:t>1.536</w:t>
            </w:r>
            <w:r>
              <w:rPr>
                <w:rFonts w:ascii="Times New Roman"/>
                <w:sz w:val="21"/>
                <w:szCs w:val="21"/>
              </w:rPr>
              <w:t>t/a</w:t>
            </w:r>
          </w:p>
        </w:tc>
        <w:tc>
          <w:tcPr>
            <w:tcW w:w="432" w:type="pct"/>
            <w:vAlign w:val="center"/>
          </w:tcPr>
          <w:p w14:paraId="4A2181D2">
            <w:pPr>
              <w:jc w:val="center"/>
              <w:rPr>
                <w:rFonts w:ascii="Times New Roman"/>
                <w:sz w:val="21"/>
                <w:szCs w:val="21"/>
              </w:rPr>
            </w:pPr>
            <w:r>
              <w:rPr>
                <w:rFonts w:hint="eastAsia" w:ascii="Times New Roman"/>
                <w:sz w:val="21"/>
                <w:szCs w:val="21"/>
              </w:rPr>
              <w:t>1.44</w:t>
            </w:r>
            <w:r>
              <w:rPr>
                <w:rFonts w:ascii="Times New Roman"/>
                <w:sz w:val="21"/>
                <w:szCs w:val="21"/>
              </w:rPr>
              <w:t>t/a</w:t>
            </w:r>
          </w:p>
        </w:tc>
        <w:tc>
          <w:tcPr>
            <w:tcW w:w="425" w:type="pct"/>
            <w:vAlign w:val="center"/>
          </w:tcPr>
          <w:p w14:paraId="765B238B">
            <w:pPr>
              <w:jc w:val="center"/>
              <w:rPr>
                <w:rFonts w:ascii="Times New Roman"/>
                <w:sz w:val="21"/>
                <w:szCs w:val="21"/>
              </w:rPr>
            </w:pPr>
            <w:r>
              <w:rPr>
                <w:rFonts w:ascii="Times New Roman"/>
                <w:sz w:val="21"/>
                <w:szCs w:val="21"/>
              </w:rPr>
              <w:t>0.</w:t>
            </w:r>
            <w:r>
              <w:rPr>
                <w:rFonts w:hint="eastAsia" w:ascii="Times New Roman"/>
                <w:sz w:val="21"/>
                <w:szCs w:val="21"/>
              </w:rPr>
              <w:t>24</w:t>
            </w:r>
            <w:r>
              <w:rPr>
                <w:rFonts w:ascii="Times New Roman"/>
                <w:sz w:val="21"/>
                <w:szCs w:val="21"/>
              </w:rPr>
              <w:t>t/a</w:t>
            </w:r>
          </w:p>
        </w:tc>
        <w:tc>
          <w:tcPr>
            <w:tcW w:w="399" w:type="pct"/>
            <w:vAlign w:val="center"/>
          </w:tcPr>
          <w:p w14:paraId="050E6B16">
            <w:pPr>
              <w:jc w:val="center"/>
              <w:rPr>
                <w:rFonts w:ascii="Times New Roman"/>
                <w:sz w:val="21"/>
                <w:szCs w:val="21"/>
              </w:rPr>
            </w:pPr>
            <w:r>
              <w:rPr>
                <w:rFonts w:hint="eastAsia" w:ascii="Times New Roman"/>
                <w:sz w:val="21"/>
                <w:szCs w:val="21"/>
              </w:rPr>
              <w:t>0.048</w:t>
            </w:r>
            <w:r>
              <w:rPr>
                <w:rFonts w:ascii="Times New Roman"/>
                <w:sz w:val="21"/>
                <w:szCs w:val="21"/>
              </w:rPr>
              <w:t>t/a</w:t>
            </w:r>
          </w:p>
        </w:tc>
        <w:tc>
          <w:tcPr>
            <w:tcW w:w="398" w:type="pct"/>
            <w:vAlign w:val="center"/>
          </w:tcPr>
          <w:p w14:paraId="7B7C0294">
            <w:pPr>
              <w:jc w:val="center"/>
              <w:rPr>
                <w:rFonts w:ascii="Times New Roman"/>
                <w:sz w:val="21"/>
                <w:szCs w:val="21"/>
              </w:rPr>
            </w:pPr>
            <w:r>
              <w:rPr>
                <w:rFonts w:hint="eastAsia" w:ascii="Times New Roman"/>
                <w:sz w:val="21"/>
                <w:szCs w:val="21"/>
              </w:rPr>
              <w:t>0.336</w:t>
            </w:r>
            <w:r>
              <w:rPr>
                <w:rFonts w:ascii="Times New Roman"/>
                <w:sz w:val="21"/>
                <w:szCs w:val="21"/>
              </w:rPr>
              <w:t>t/a</w:t>
            </w:r>
          </w:p>
        </w:tc>
        <w:tc>
          <w:tcPr>
            <w:tcW w:w="407" w:type="pct"/>
            <w:vAlign w:val="center"/>
          </w:tcPr>
          <w:p w14:paraId="381BAD1D">
            <w:pPr>
              <w:jc w:val="center"/>
              <w:rPr>
                <w:rFonts w:ascii="Times New Roman"/>
                <w:sz w:val="21"/>
                <w:szCs w:val="21"/>
              </w:rPr>
            </w:pPr>
            <w:r>
              <w:rPr>
                <w:rFonts w:hint="eastAsia" w:ascii="Times New Roman"/>
                <w:sz w:val="21"/>
                <w:szCs w:val="21"/>
              </w:rPr>
              <w:t>0.096</w:t>
            </w:r>
            <w:r>
              <w:rPr>
                <w:rFonts w:ascii="Times New Roman"/>
                <w:sz w:val="21"/>
                <w:szCs w:val="21"/>
              </w:rPr>
              <w:t>t/a</w:t>
            </w:r>
          </w:p>
        </w:tc>
        <w:tc>
          <w:tcPr>
            <w:tcW w:w="349" w:type="pct"/>
            <w:vAlign w:val="center"/>
          </w:tcPr>
          <w:p w14:paraId="76B36B4D">
            <w:pPr>
              <w:jc w:val="center"/>
              <w:rPr>
                <w:rFonts w:ascii="Times New Roman"/>
                <w:sz w:val="21"/>
                <w:szCs w:val="21"/>
              </w:rPr>
            </w:pPr>
            <w:r>
              <w:rPr>
                <w:rFonts w:hint="eastAsia" w:ascii="Times New Roman"/>
                <w:sz w:val="21"/>
                <w:szCs w:val="21"/>
              </w:rPr>
              <w:t>/</w:t>
            </w:r>
          </w:p>
        </w:tc>
      </w:tr>
      <w:tr w14:paraId="5336E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411FE09D">
            <w:pPr>
              <w:jc w:val="center"/>
              <w:rPr>
                <w:rFonts w:ascii="Times New Roman"/>
                <w:sz w:val="21"/>
                <w:szCs w:val="21"/>
              </w:rPr>
            </w:pPr>
            <w:r>
              <w:rPr>
                <w:rFonts w:ascii="Times New Roman"/>
                <w:sz w:val="21"/>
                <w:szCs w:val="21"/>
              </w:rPr>
              <w:t>曹妃甸装备制造园区污水处理站收水标准</w:t>
            </w:r>
          </w:p>
        </w:tc>
        <w:tc>
          <w:tcPr>
            <w:tcW w:w="435" w:type="pct"/>
            <w:vAlign w:val="center"/>
          </w:tcPr>
          <w:p w14:paraId="315E63A6">
            <w:pPr>
              <w:jc w:val="center"/>
              <w:rPr>
                <w:rFonts w:ascii="Times New Roman"/>
                <w:sz w:val="21"/>
                <w:szCs w:val="21"/>
              </w:rPr>
            </w:pPr>
            <w:r>
              <w:rPr>
                <w:rFonts w:ascii="Times New Roman"/>
                <w:sz w:val="21"/>
                <w:szCs w:val="21"/>
              </w:rPr>
              <w:t>/</w:t>
            </w:r>
          </w:p>
        </w:tc>
        <w:tc>
          <w:tcPr>
            <w:tcW w:w="442" w:type="pct"/>
            <w:vAlign w:val="center"/>
          </w:tcPr>
          <w:p w14:paraId="486C9A8B">
            <w:pPr>
              <w:jc w:val="center"/>
              <w:rPr>
                <w:rFonts w:ascii="Times New Roman"/>
                <w:sz w:val="21"/>
                <w:szCs w:val="21"/>
              </w:rPr>
            </w:pPr>
            <w:r>
              <w:rPr>
                <w:rFonts w:ascii="Times New Roman"/>
                <w:sz w:val="21"/>
                <w:szCs w:val="21"/>
              </w:rPr>
              <w:t>6~9</w:t>
            </w:r>
          </w:p>
        </w:tc>
        <w:tc>
          <w:tcPr>
            <w:tcW w:w="438" w:type="pct"/>
            <w:vAlign w:val="center"/>
          </w:tcPr>
          <w:p w14:paraId="7372A40B">
            <w:pPr>
              <w:jc w:val="center"/>
              <w:rPr>
                <w:rFonts w:ascii="Times New Roman"/>
                <w:sz w:val="21"/>
                <w:szCs w:val="21"/>
              </w:rPr>
            </w:pPr>
            <w:r>
              <w:rPr>
                <w:rFonts w:ascii="Times New Roman"/>
                <w:sz w:val="21"/>
                <w:szCs w:val="21"/>
              </w:rPr>
              <w:t>3</w:t>
            </w:r>
            <w:r>
              <w:rPr>
                <w:rFonts w:hint="eastAsia" w:ascii="Times New Roman"/>
                <w:sz w:val="21"/>
                <w:szCs w:val="21"/>
              </w:rPr>
              <w:t>5</w:t>
            </w:r>
            <w:r>
              <w:rPr>
                <w:rFonts w:ascii="Times New Roman"/>
                <w:sz w:val="21"/>
                <w:szCs w:val="21"/>
              </w:rPr>
              <w:t>0</w:t>
            </w:r>
          </w:p>
        </w:tc>
        <w:tc>
          <w:tcPr>
            <w:tcW w:w="462" w:type="pct"/>
            <w:vAlign w:val="center"/>
          </w:tcPr>
          <w:p w14:paraId="057A5E5C">
            <w:pPr>
              <w:jc w:val="center"/>
              <w:rPr>
                <w:rFonts w:ascii="Times New Roman"/>
                <w:sz w:val="21"/>
                <w:szCs w:val="21"/>
              </w:rPr>
            </w:pPr>
            <w:r>
              <w:rPr>
                <w:rFonts w:hint="eastAsia" w:ascii="Times New Roman"/>
                <w:sz w:val="21"/>
                <w:szCs w:val="21"/>
              </w:rPr>
              <w:t>15</w:t>
            </w:r>
            <w:r>
              <w:rPr>
                <w:rFonts w:ascii="Times New Roman"/>
                <w:sz w:val="21"/>
                <w:szCs w:val="21"/>
              </w:rPr>
              <w:t>0</w:t>
            </w:r>
          </w:p>
        </w:tc>
        <w:tc>
          <w:tcPr>
            <w:tcW w:w="432" w:type="pct"/>
            <w:vAlign w:val="center"/>
          </w:tcPr>
          <w:p w14:paraId="41462863">
            <w:pPr>
              <w:jc w:val="center"/>
              <w:rPr>
                <w:rFonts w:ascii="Times New Roman"/>
                <w:sz w:val="21"/>
                <w:szCs w:val="21"/>
              </w:rPr>
            </w:pPr>
            <w:r>
              <w:rPr>
                <w:rFonts w:ascii="Times New Roman"/>
                <w:sz w:val="21"/>
                <w:szCs w:val="21"/>
              </w:rPr>
              <w:t>3</w:t>
            </w:r>
            <w:r>
              <w:rPr>
                <w:rFonts w:hint="eastAsia" w:ascii="Times New Roman"/>
                <w:sz w:val="21"/>
                <w:szCs w:val="21"/>
              </w:rPr>
              <w:t>9</w:t>
            </w:r>
            <w:r>
              <w:rPr>
                <w:rFonts w:ascii="Times New Roman"/>
                <w:sz w:val="21"/>
                <w:szCs w:val="21"/>
              </w:rPr>
              <w:t>0</w:t>
            </w:r>
          </w:p>
        </w:tc>
        <w:tc>
          <w:tcPr>
            <w:tcW w:w="425" w:type="pct"/>
            <w:vAlign w:val="center"/>
          </w:tcPr>
          <w:p w14:paraId="52F5AAAE">
            <w:pPr>
              <w:jc w:val="center"/>
              <w:rPr>
                <w:rFonts w:ascii="Times New Roman"/>
                <w:sz w:val="21"/>
                <w:szCs w:val="21"/>
              </w:rPr>
            </w:pPr>
            <w:r>
              <w:rPr>
                <w:rFonts w:ascii="Times New Roman"/>
                <w:sz w:val="21"/>
                <w:szCs w:val="21"/>
              </w:rPr>
              <w:t>35</w:t>
            </w:r>
          </w:p>
        </w:tc>
        <w:tc>
          <w:tcPr>
            <w:tcW w:w="399" w:type="pct"/>
            <w:vAlign w:val="center"/>
          </w:tcPr>
          <w:p w14:paraId="309E6035">
            <w:pPr>
              <w:jc w:val="center"/>
              <w:rPr>
                <w:rFonts w:ascii="Times New Roman"/>
                <w:sz w:val="21"/>
                <w:szCs w:val="21"/>
              </w:rPr>
            </w:pPr>
            <w:r>
              <w:rPr>
                <w:rFonts w:hint="eastAsia" w:ascii="Times New Roman"/>
                <w:sz w:val="21"/>
                <w:szCs w:val="21"/>
              </w:rPr>
              <w:t>6</w:t>
            </w:r>
          </w:p>
        </w:tc>
        <w:tc>
          <w:tcPr>
            <w:tcW w:w="398" w:type="pct"/>
            <w:vAlign w:val="center"/>
          </w:tcPr>
          <w:p w14:paraId="63D34E5B">
            <w:pPr>
              <w:jc w:val="center"/>
              <w:rPr>
                <w:rFonts w:ascii="Times New Roman"/>
                <w:sz w:val="21"/>
                <w:szCs w:val="21"/>
              </w:rPr>
            </w:pPr>
            <w:r>
              <w:rPr>
                <w:rFonts w:ascii="Times New Roman"/>
                <w:sz w:val="21"/>
                <w:szCs w:val="21"/>
              </w:rPr>
              <w:t>40</w:t>
            </w:r>
          </w:p>
        </w:tc>
        <w:tc>
          <w:tcPr>
            <w:tcW w:w="407" w:type="pct"/>
            <w:vAlign w:val="center"/>
          </w:tcPr>
          <w:p w14:paraId="296AE907">
            <w:pPr>
              <w:jc w:val="center"/>
              <w:rPr>
                <w:rFonts w:ascii="Times New Roman"/>
                <w:sz w:val="21"/>
                <w:szCs w:val="21"/>
              </w:rPr>
            </w:pPr>
            <w:r>
              <w:rPr>
                <w:rFonts w:ascii="Times New Roman"/>
                <w:sz w:val="21"/>
                <w:szCs w:val="21"/>
              </w:rPr>
              <w:t>/</w:t>
            </w:r>
          </w:p>
        </w:tc>
        <w:tc>
          <w:tcPr>
            <w:tcW w:w="349" w:type="pct"/>
            <w:vAlign w:val="center"/>
          </w:tcPr>
          <w:p w14:paraId="402E215E">
            <w:pPr>
              <w:jc w:val="center"/>
              <w:rPr>
                <w:rFonts w:ascii="Times New Roman"/>
                <w:sz w:val="21"/>
                <w:szCs w:val="21"/>
              </w:rPr>
            </w:pPr>
            <w:r>
              <w:rPr>
                <w:rFonts w:hint="eastAsia" w:ascii="Times New Roman"/>
                <w:sz w:val="21"/>
                <w:szCs w:val="21"/>
              </w:rPr>
              <w:t>/</w:t>
            </w:r>
          </w:p>
        </w:tc>
      </w:tr>
      <w:tr w14:paraId="097BE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515A000D">
            <w:pPr>
              <w:jc w:val="center"/>
              <w:rPr>
                <w:rFonts w:ascii="Times New Roman"/>
                <w:sz w:val="21"/>
                <w:szCs w:val="21"/>
              </w:rPr>
            </w:pPr>
            <w:r>
              <w:rPr>
                <w:rFonts w:ascii="Times New Roman"/>
                <w:sz w:val="21"/>
                <w:szCs w:val="21"/>
              </w:rPr>
              <w:t>《污水综合排放标准》（GB8978-1996）表4-三级标准</w:t>
            </w:r>
          </w:p>
        </w:tc>
        <w:tc>
          <w:tcPr>
            <w:tcW w:w="435" w:type="pct"/>
            <w:vAlign w:val="center"/>
          </w:tcPr>
          <w:p w14:paraId="46EC971F">
            <w:pPr>
              <w:jc w:val="center"/>
              <w:rPr>
                <w:rFonts w:ascii="Times New Roman"/>
                <w:sz w:val="21"/>
                <w:szCs w:val="21"/>
              </w:rPr>
            </w:pPr>
            <w:r>
              <w:rPr>
                <w:rFonts w:ascii="Times New Roman"/>
                <w:sz w:val="21"/>
                <w:szCs w:val="21"/>
              </w:rPr>
              <w:t>/</w:t>
            </w:r>
          </w:p>
        </w:tc>
        <w:tc>
          <w:tcPr>
            <w:tcW w:w="442" w:type="pct"/>
            <w:vAlign w:val="center"/>
          </w:tcPr>
          <w:p w14:paraId="0AE8851F">
            <w:pPr>
              <w:jc w:val="center"/>
              <w:rPr>
                <w:rFonts w:ascii="Times New Roman"/>
                <w:sz w:val="21"/>
                <w:szCs w:val="21"/>
              </w:rPr>
            </w:pPr>
            <w:r>
              <w:rPr>
                <w:rFonts w:ascii="Times New Roman"/>
                <w:sz w:val="21"/>
                <w:szCs w:val="21"/>
              </w:rPr>
              <w:t>6~9</w:t>
            </w:r>
          </w:p>
        </w:tc>
        <w:tc>
          <w:tcPr>
            <w:tcW w:w="438" w:type="pct"/>
            <w:vAlign w:val="center"/>
          </w:tcPr>
          <w:p w14:paraId="3553FF0C">
            <w:pPr>
              <w:jc w:val="center"/>
              <w:rPr>
                <w:rFonts w:ascii="Times New Roman"/>
                <w:sz w:val="21"/>
                <w:szCs w:val="21"/>
              </w:rPr>
            </w:pPr>
            <w:r>
              <w:rPr>
                <w:rFonts w:ascii="Times New Roman"/>
                <w:sz w:val="21"/>
                <w:szCs w:val="21"/>
              </w:rPr>
              <w:t>500</w:t>
            </w:r>
          </w:p>
        </w:tc>
        <w:tc>
          <w:tcPr>
            <w:tcW w:w="462" w:type="pct"/>
            <w:vAlign w:val="center"/>
          </w:tcPr>
          <w:p w14:paraId="749B486E">
            <w:pPr>
              <w:jc w:val="center"/>
              <w:rPr>
                <w:rFonts w:ascii="Times New Roman"/>
                <w:sz w:val="21"/>
                <w:szCs w:val="21"/>
              </w:rPr>
            </w:pPr>
            <w:r>
              <w:rPr>
                <w:rFonts w:ascii="Times New Roman"/>
                <w:sz w:val="21"/>
                <w:szCs w:val="21"/>
              </w:rPr>
              <w:t>300</w:t>
            </w:r>
          </w:p>
        </w:tc>
        <w:tc>
          <w:tcPr>
            <w:tcW w:w="432" w:type="pct"/>
            <w:vAlign w:val="center"/>
          </w:tcPr>
          <w:p w14:paraId="697227C3">
            <w:pPr>
              <w:jc w:val="center"/>
              <w:rPr>
                <w:rFonts w:ascii="Times New Roman"/>
                <w:sz w:val="21"/>
                <w:szCs w:val="21"/>
              </w:rPr>
            </w:pPr>
            <w:r>
              <w:rPr>
                <w:rFonts w:ascii="Times New Roman"/>
                <w:sz w:val="21"/>
                <w:szCs w:val="21"/>
              </w:rPr>
              <w:t>400</w:t>
            </w:r>
          </w:p>
        </w:tc>
        <w:tc>
          <w:tcPr>
            <w:tcW w:w="425" w:type="pct"/>
            <w:vAlign w:val="center"/>
          </w:tcPr>
          <w:p w14:paraId="03089115">
            <w:pPr>
              <w:jc w:val="center"/>
              <w:rPr>
                <w:rFonts w:ascii="Times New Roman"/>
                <w:sz w:val="21"/>
                <w:szCs w:val="21"/>
              </w:rPr>
            </w:pPr>
            <w:r>
              <w:rPr>
                <w:rFonts w:ascii="Times New Roman"/>
                <w:sz w:val="21"/>
                <w:szCs w:val="21"/>
              </w:rPr>
              <w:t>/</w:t>
            </w:r>
          </w:p>
        </w:tc>
        <w:tc>
          <w:tcPr>
            <w:tcW w:w="399" w:type="pct"/>
            <w:vAlign w:val="center"/>
          </w:tcPr>
          <w:p w14:paraId="14F2F967">
            <w:pPr>
              <w:jc w:val="center"/>
              <w:rPr>
                <w:rFonts w:ascii="Times New Roman"/>
                <w:sz w:val="21"/>
                <w:szCs w:val="21"/>
              </w:rPr>
            </w:pPr>
            <w:r>
              <w:rPr>
                <w:rFonts w:ascii="Times New Roman"/>
                <w:sz w:val="21"/>
                <w:szCs w:val="21"/>
              </w:rPr>
              <w:t>/</w:t>
            </w:r>
          </w:p>
        </w:tc>
        <w:tc>
          <w:tcPr>
            <w:tcW w:w="398" w:type="pct"/>
            <w:vAlign w:val="center"/>
          </w:tcPr>
          <w:p w14:paraId="2C6546F6">
            <w:pPr>
              <w:jc w:val="center"/>
              <w:rPr>
                <w:rFonts w:ascii="Times New Roman"/>
                <w:sz w:val="21"/>
                <w:szCs w:val="21"/>
              </w:rPr>
            </w:pPr>
            <w:r>
              <w:rPr>
                <w:rFonts w:ascii="Times New Roman"/>
                <w:sz w:val="21"/>
                <w:szCs w:val="21"/>
              </w:rPr>
              <w:t>/</w:t>
            </w:r>
          </w:p>
        </w:tc>
        <w:tc>
          <w:tcPr>
            <w:tcW w:w="407" w:type="pct"/>
            <w:vAlign w:val="center"/>
          </w:tcPr>
          <w:p w14:paraId="3CFD14FD">
            <w:pPr>
              <w:jc w:val="center"/>
              <w:rPr>
                <w:rFonts w:ascii="Times New Roman"/>
                <w:sz w:val="21"/>
                <w:szCs w:val="21"/>
              </w:rPr>
            </w:pPr>
            <w:r>
              <w:rPr>
                <w:rFonts w:hint="eastAsia" w:ascii="Times New Roman"/>
                <w:sz w:val="21"/>
                <w:szCs w:val="21"/>
              </w:rPr>
              <w:t>100</w:t>
            </w:r>
          </w:p>
        </w:tc>
        <w:tc>
          <w:tcPr>
            <w:tcW w:w="349" w:type="pct"/>
            <w:vAlign w:val="center"/>
          </w:tcPr>
          <w:p w14:paraId="7C1C9F2E">
            <w:pPr>
              <w:jc w:val="center"/>
              <w:rPr>
                <w:rFonts w:ascii="Times New Roman"/>
                <w:sz w:val="21"/>
                <w:szCs w:val="21"/>
              </w:rPr>
            </w:pPr>
            <w:r>
              <w:rPr>
                <w:rFonts w:hint="eastAsia" w:ascii="Times New Roman"/>
                <w:sz w:val="21"/>
                <w:szCs w:val="21"/>
              </w:rPr>
              <w:t>20</w:t>
            </w:r>
          </w:p>
        </w:tc>
      </w:tr>
    </w:tbl>
    <w:p w14:paraId="32609D95">
      <w:pPr>
        <w:pStyle w:val="32"/>
        <w:sectPr>
          <w:pgSz w:w="16838" w:h="11906" w:orient="landscape"/>
          <w:pgMar w:top="1800" w:right="1440" w:bottom="1800" w:left="1440" w:header="1134" w:footer="1134" w:gutter="0"/>
          <w:cols w:space="720" w:num="1"/>
          <w:docGrid w:type="lines" w:linePitch="340" w:charSpace="0"/>
        </w:sectPr>
      </w:pPr>
    </w:p>
    <w:p w14:paraId="487E3FC0">
      <w:pPr>
        <w:spacing w:line="520" w:lineRule="exact"/>
        <w:outlineLvl w:val="2"/>
        <w:rPr>
          <w:rFonts w:ascii="Times New Roman"/>
          <w:b/>
          <w:sz w:val="28"/>
          <w:szCs w:val="28"/>
        </w:rPr>
      </w:pPr>
      <w:r>
        <w:rPr>
          <w:rFonts w:ascii="Times New Roman"/>
          <w:b/>
          <w:sz w:val="28"/>
          <w:szCs w:val="28"/>
        </w:rPr>
        <w:t>3.7.3噪声</w:t>
      </w:r>
      <w:bookmarkEnd w:id="159"/>
    </w:p>
    <w:p w14:paraId="3238A0F8">
      <w:pPr>
        <w:spacing w:line="480" w:lineRule="exact"/>
        <w:ind w:firstLine="480" w:firstLineChars="200"/>
        <w:rPr>
          <w:rFonts w:ascii="Times New Roman"/>
          <w:kern w:val="24"/>
          <w:sz w:val="24"/>
          <w:szCs w:val="24"/>
        </w:rPr>
      </w:pPr>
      <w:r>
        <w:rPr>
          <w:rFonts w:ascii="Times New Roman"/>
          <w:kern w:val="24"/>
          <w:sz w:val="24"/>
          <w:szCs w:val="24"/>
        </w:rPr>
        <w:t>本项目运营后噪声主要为激光直口切割机、冲床、焊机等设备产生的噪声，噪声值约为70~85dB（A）。项目采取基础减震、厂房隔声、加装隔声罩、消音器等措施控制噪声，本项目主要噪声污染源强见下表。</w:t>
      </w:r>
    </w:p>
    <w:p w14:paraId="749230D0">
      <w:pPr>
        <w:tabs>
          <w:tab w:val="left" w:pos="7020"/>
        </w:tabs>
        <w:spacing w:line="480" w:lineRule="exact"/>
        <w:jc w:val="center"/>
        <w:rPr>
          <w:rFonts w:ascii="Times New Roman"/>
          <w:b/>
          <w:sz w:val="24"/>
          <w:szCs w:val="24"/>
        </w:rPr>
        <w:sectPr>
          <w:pgSz w:w="11906" w:h="16838"/>
          <w:pgMar w:top="1440" w:right="1800" w:bottom="1440" w:left="1800" w:header="1134" w:footer="1134" w:gutter="0"/>
          <w:cols w:space="720" w:num="1"/>
          <w:docGrid w:type="lines" w:linePitch="340" w:charSpace="0"/>
        </w:sectPr>
      </w:pPr>
    </w:p>
    <w:p w14:paraId="11CA15F3">
      <w:pPr>
        <w:spacing w:before="78" w:line="220" w:lineRule="auto"/>
        <w:jc w:val="center"/>
        <w:rPr>
          <w:rFonts w:ascii="Times New Roman"/>
          <w:b/>
          <w:sz w:val="24"/>
          <w:szCs w:val="24"/>
        </w:rPr>
      </w:pPr>
      <w:r>
        <w:rPr>
          <w:rFonts w:ascii="Times New Roman"/>
          <w:b/>
          <w:sz w:val="24"/>
          <w:szCs w:val="24"/>
        </w:rPr>
        <w:t>表3.7-1</w:t>
      </w:r>
      <w:r>
        <w:rPr>
          <w:rFonts w:hint="eastAsia" w:ascii="Times New Roman"/>
          <w:b/>
          <w:sz w:val="24"/>
          <w:szCs w:val="24"/>
        </w:rPr>
        <w:t>3</w:t>
      </w:r>
      <w:r>
        <w:rPr>
          <w:rFonts w:ascii="Times New Roman"/>
          <w:b/>
          <w:sz w:val="24"/>
          <w:szCs w:val="24"/>
        </w:rPr>
        <w:t xml:space="preserve"> </w:t>
      </w:r>
      <w:r>
        <w:rPr>
          <w:rFonts w:ascii="Times New Roman" w:eastAsia="Times New Roman"/>
          <w:spacing w:val="2"/>
          <w:sz w:val="24"/>
          <w:szCs w:val="24"/>
        </w:rPr>
        <w:t xml:space="preserve"> </w:t>
      </w:r>
      <w:r>
        <w:rPr>
          <w:rFonts w:ascii="Times New Roman"/>
          <w:b/>
          <w:sz w:val="24"/>
          <w:szCs w:val="24"/>
        </w:rPr>
        <w:t>项目主要噪声源强表(室内)</w:t>
      </w:r>
    </w:p>
    <w:tbl>
      <w:tblPr>
        <w:tblStyle w:val="84"/>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3"/>
        <w:gridCol w:w="1974"/>
        <w:gridCol w:w="980"/>
        <w:gridCol w:w="869"/>
        <w:gridCol w:w="589"/>
        <w:gridCol w:w="569"/>
        <w:gridCol w:w="683"/>
        <w:gridCol w:w="980"/>
        <w:gridCol w:w="1014"/>
        <w:gridCol w:w="895"/>
        <w:gridCol w:w="1561"/>
        <w:gridCol w:w="742"/>
        <w:gridCol w:w="816"/>
        <w:gridCol w:w="1246"/>
      </w:tblGrid>
      <w:tr w14:paraId="0D3D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439" w:type="pct"/>
            <w:vMerge w:val="restart"/>
            <w:vAlign w:val="center"/>
          </w:tcPr>
          <w:p w14:paraId="52AA4F23">
            <w:pPr>
              <w:autoSpaceDE w:val="0"/>
              <w:autoSpaceDN w:val="0"/>
              <w:adjustRightInd w:val="0"/>
              <w:snapToGrid w:val="0"/>
              <w:jc w:val="center"/>
              <w:rPr>
                <w:rFonts w:ascii="Times New Roman"/>
                <w:sz w:val="21"/>
                <w:szCs w:val="21"/>
              </w:rPr>
            </w:pPr>
            <w:r>
              <w:rPr>
                <w:rFonts w:ascii="Times New Roman"/>
                <w:sz w:val="21"/>
                <w:szCs w:val="21"/>
              </w:rPr>
              <w:t>建筑物名称</w:t>
            </w:r>
          </w:p>
          <w:p w14:paraId="7C5E98FE">
            <w:pPr>
              <w:autoSpaceDE w:val="0"/>
              <w:autoSpaceDN w:val="0"/>
              <w:adjustRightInd w:val="0"/>
              <w:snapToGrid w:val="0"/>
              <w:jc w:val="center"/>
              <w:rPr>
                <w:rFonts w:ascii="Times New Roman"/>
                <w:sz w:val="21"/>
                <w:szCs w:val="21"/>
              </w:rPr>
            </w:pPr>
            <w:r>
              <w:rPr>
                <w:rFonts w:ascii="Times New Roman"/>
                <w:sz w:val="21"/>
                <w:szCs w:val="21"/>
              </w:rPr>
              <w:t>生产车间</w:t>
            </w:r>
          </w:p>
        </w:tc>
        <w:tc>
          <w:tcPr>
            <w:tcW w:w="697" w:type="pct"/>
            <w:vMerge w:val="restart"/>
            <w:vAlign w:val="center"/>
          </w:tcPr>
          <w:p w14:paraId="086EF88E">
            <w:pPr>
              <w:autoSpaceDE w:val="0"/>
              <w:autoSpaceDN w:val="0"/>
              <w:adjustRightInd w:val="0"/>
              <w:snapToGrid w:val="0"/>
              <w:jc w:val="center"/>
              <w:rPr>
                <w:rFonts w:ascii="Times New Roman"/>
                <w:sz w:val="21"/>
                <w:szCs w:val="21"/>
              </w:rPr>
            </w:pPr>
            <w:r>
              <w:rPr>
                <w:rFonts w:ascii="Times New Roman"/>
                <w:sz w:val="21"/>
                <w:szCs w:val="21"/>
              </w:rPr>
              <w:t>声源名称</w:t>
            </w:r>
          </w:p>
        </w:tc>
        <w:tc>
          <w:tcPr>
            <w:tcW w:w="346" w:type="pct"/>
            <w:vAlign w:val="center"/>
          </w:tcPr>
          <w:p w14:paraId="0E8B5E85">
            <w:pPr>
              <w:autoSpaceDE w:val="0"/>
              <w:autoSpaceDN w:val="0"/>
              <w:adjustRightInd w:val="0"/>
              <w:snapToGrid w:val="0"/>
              <w:jc w:val="center"/>
              <w:rPr>
                <w:rFonts w:ascii="Times New Roman"/>
                <w:sz w:val="21"/>
                <w:szCs w:val="21"/>
              </w:rPr>
            </w:pPr>
            <w:r>
              <w:rPr>
                <w:rFonts w:ascii="Times New Roman"/>
                <w:sz w:val="21"/>
                <w:szCs w:val="21"/>
              </w:rPr>
              <w:t>声源源强</w:t>
            </w:r>
          </w:p>
        </w:tc>
        <w:tc>
          <w:tcPr>
            <w:tcW w:w="307" w:type="pct"/>
            <w:vMerge w:val="restart"/>
            <w:vAlign w:val="center"/>
          </w:tcPr>
          <w:p w14:paraId="333B841B">
            <w:pPr>
              <w:autoSpaceDE w:val="0"/>
              <w:autoSpaceDN w:val="0"/>
              <w:adjustRightInd w:val="0"/>
              <w:snapToGrid w:val="0"/>
              <w:jc w:val="center"/>
              <w:rPr>
                <w:rFonts w:ascii="Times New Roman"/>
                <w:sz w:val="21"/>
                <w:szCs w:val="21"/>
              </w:rPr>
            </w:pPr>
            <w:r>
              <w:rPr>
                <w:rFonts w:ascii="Times New Roman"/>
                <w:sz w:val="21"/>
                <w:szCs w:val="21"/>
              </w:rPr>
              <w:t>声源控制措施</w:t>
            </w:r>
          </w:p>
        </w:tc>
        <w:tc>
          <w:tcPr>
            <w:tcW w:w="650" w:type="pct"/>
            <w:gridSpan w:val="3"/>
            <w:vAlign w:val="center"/>
          </w:tcPr>
          <w:p w14:paraId="14F04BC8">
            <w:pPr>
              <w:autoSpaceDE w:val="0"/>
              <w:autoSpaceDN w:val="0"/>
              <w:adjustRightInd w:val="0"/>
              <w:snapToGrid w:val="0"/>
              <w:jc w:val="center"/>
              <w:rPr>
                <w:rFonts w:ascii="Times New Roman"/>
                <w:sz w:val="21"/>
                <w:szCs w:val="21"/>
              </w:rPr>
            </w:pPr>
            <w:r>
              <w:rPr>
                <w:rFonts w:ascii="Times New Roman"/>
                <w:sz w:val="21"/>
                <w:szCs w:val="21"/>
              </w:rPr>
              <w:t>空间相对位置/m</w:t>
            </w:r>
          </w:p>
        </w:tc>
        <w:tc>
          <w:tcPr>
            <w:tcW w:w="346" w:type="pct"/>
            <w:vMerge w:val="restart"/>
            <w:vAlign w:val="center"/>
          </w:tcPr>
          <w:p w14:paraId="4CC4FC38">
            <w:pPr>
              <w:autoSpaceDE w:val="0"/>
              <w:autoSpaceDN w:val="0"/>
              <w:adjustRightInd w:val="0"/>
              <w:snapToGrid w:val="0"/>
              <w:jc w:val="center"/>
              <w:rPr>
                <w:rFonts w:ascii="Times New Roman"/>
                <w:sz w:val="21"/>
                <w:szCs w:val="21"/>
              </w:rPr>
            </w:pPr>
            <w:r>
              <w:rPr>
                <w:rFonts w:ascii="Times New Roman"/>
                <w:sz w:val="21"/>
                <w:szCs w:val="21"/>
              </w:rPr>
              <w:t>距离室内边界距离/m</w:t>
            </w:r>
          </w:p>
        </w:tc>
        <w:tc>
          <w:tcPr>
            <w:tcW w:w="358" w:type="pct"/>
            <w:vMerge w:val="restart"/>
            <w:vAlign w:val="center"/>
          </w:tcPr>
          <w:p w14:paraId="716D362F">
            <w:pPr>
              <w:autoSpaceDE w:val="0"/>
              <w:autoSpaceDN w:val="0"/>
              <w:adjustRightInd w:val="0"/>
              <w:snapToGrid w:val="0"/>
              <w:jc w:val="center"/>
              <w:rPr>
                <w:rFonts w:ascii="Times New Roman"/>
                <w:sz w:val="21"/>
                <w:szCs w:val="21"/>
              </w:rPr>
            </w:pPr>
            <w:r>
              <w:rPr>
                <w:rFonts w:ascii="Times New Roman"/>
                <w:sz w:val="21"/>
                <w:szCs w:val="21"/>
              </w:rPr>
              <w:t>室内边界声级/dB(A)</w:t>
            </w:r>
          </w:p>
        </w:tc>
        <w:tc>
          <w:tcPr>
            <w:tcW w:w="316" w:type="pct"/>
            <w:vMerge w:val="restart"/>
            <w:vAlign w:val="center"/>
          </w:tcPr>
          <w:p w14:paraId="62BD0B97">
            <w:pPr>
              <w:autoSpaceDE w:val="0"/>
              <w:autoSpaceDN w:val="0"/>
              <w:adjustRightInd w:val="0"/>
              <w:snapToGrid w:val="0"/>
              <w:jc w:val="center"/>
              <w:rPr>
                <w:rFonts w:ascii="Times New Roman"/>
                <w:sz w:val="21"/>
                <w:szCs w:val="21"/>
              </w:rPr>
            </w:pPr>
            <w:r>
              <w:rPr>
                <w:rFonts w:ascii="Times New Roman"/>
                <w:sz w:val="21"/>
                <w:szCs w:val="21"/>
              </w:rPr>
              <w:t>运行时段</w:t>
            </w:r>
          </w:p>
        </w:tc>
        <w:tc>
          <w:tcPr>
            <w:tcW w:w="551" w:type="pct"/>
            <w:vMerge w:val="restart"/>
            <w:vAlign w:val="center"/>
          </w:tcPr>
          <w:p w14:paraId="16D2936E">
            <w:pPr>
              <w:autoSpaceDE w:val="0"/>
              <w:autoSpaceDN w:val="0"/>
              <w:adjustRightInd w:val="0"/>
              <w:snapToGrid w:val="0"/>
              <w:jc w:val="center"/>
              <w:rPr>
                <w:rFonts w:ascii="Times New Roman"/>
                <w:sz w:val="21"/>
                <w:szCs w:val="21"/>
              </w:rPr>
            </w:pPr>
            <w:r>
              <w:rPr>
                <w:rFonts w:ascii="Times New Roman"/>
                <w:sz w:val="21"/>
                <w:szCs w:val="21"/>
              </w:rPr>
              <w:t xml:space="preserve">建筑物插入损失/dB(A) </w:t>
            </w:r>
          </w:p>
        </w:tc>
        <w:tc>
          <w:tcPr>
            <w:tcW w:w="985" w:type="pct"/>
            <w:gridSpan w:val="3"/>
            <w:vAlign w:val="center"/>
          </w:tcPr>
          <w:p w14:paraId="05560964">
            <w:pPr>
              <w:autoSpaceDE w:val="0"/>
              <w:autoSpaceDN w:val="0"/>
              <w:adjustRightInd w:val="0"/>
              <w:snapToGrid w:val="0"/>
              <w:jc w:val="center"/>
              <w:rPr>
                <w:rFonts w:ascii="Times New Roman"/>
                <w:sz w:val="21"/>
                <w:szCs w:val="21"/>
              </w:rPr>
            </w:pPr>
            <w:r>
              <w:rPr>
                <w:rFonts w:ascii="Times New Roman"/>
                <w:sz w:val="21"/>
                <w:szCs w:val="21"/>
              </w:rPr>
              <w:t>建筑物外噪声</w:t>
            </w:r>
          </w:p>
        </w:tc>
      </w:tr>
      <w:tr w14:paraId="4F83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439" w:type="pct"/>
            <w:vMerge w:val="continue"/>
            <w:vAlign w:val="center"/>
          </w:tcPr>
          <w:p w14:paraId="7C28B003">
            <w:pPr>
              <w:autoSpaceDE w:val="0"/>
              <w:autoSpaceDN w:val="0"/>
              <w:adjustRightInd w:val="0"/>
              <w:snapToGrid w:val="0"/>
              <w:jc w:val="center"/>
              <w:rPr>
                <w:rFonts w:ascii="Times New Roman"/>
                <w:sz w:val="21"/>
                <w:szCs w:val="21"/>
              </w:rPr>
            </w:pPr>
          </w:p>
        </w:tc>
        <w:tc>
          <w:tcPr>
            <w:tcW w:w="697" w:type="pct"/>
            <w:vMerge w:val="continue"/>
            <w:vAlign w:val="center"/>
          </w:tcPr>
          <w:p w14:paraId="659CD111">
            <w:pPr>
              <w:autoSpaceDE w:val="0"/>
              <w:autoSpaceDN w:val="0"/>
              <w:adjustRightInd w:val="0"/>
              <w:snapToGrid w:val="0"/>
              <w:jc w:val="center"/>
              <w:rPr>
                <w:rFonts w:ascii="Times New Roman"/>
                <w:sz w:val="21"/>
                <w:szCs w:val="21"/>
              </w:rPr>
            </w:pPr>
          </w:p>
        </w:tc>
        <w:tc>
          <w:tcPr>
            <w:tcW w:w="346" w:type="pct"/>
            <w:vAlign w:val="center"/>
          </w:tcPr>
          <w:p w14:paraId="528261A8">
            <w:pPr>
              <w:autoSpaceDE w:val="0"/>
              <w:autoSpaceDN w:val="0"/>
              <w:adjustRightInd w:val="0"/>
              <w:snapToGrid w:val="0"/>
              <w:jc w:val="center"/>
              <w:rPr>
                <w:rFonts w:ascii="Times New Roman"/>
                <w:sz w:val="21"/>
                <w:szCs w:val="21"/>
              </w:rPr>
            </w:pPr>
            <w:r>
              <w:rPr>
                <w:rFonts w:ascii="Times New Roman"/>
                <w:sz w:val="21"/>
                <w:szCs w:val="21"/>
              </w:rPr>
              <w:t>声功率级/dB（A）</w:t>
            </w:r>
          </w:p>
        </w:tc>
        <w:tc>
          <w:tcPr>
            <w:tcW w:w="307" w:type="pct"/>
            <w:vMerge w:val="continue"/>
            <w:vAlign w:val="center"/>
          </w:tcPr>
          <w:p w14:paraId="26826735">
            <w:pPr>
              <w:autoSpaceDE w:val="0"/>
              <w:autoSpaceDN w:val="0"/>
              <w:adjustRightInd w:val="0"/>
              <w:snapToGrid w:val="0"/>
              <w:jc w:val="center"/>
              <w:rPr>
                <w:rFonts w:ascii="Times New Roman"/>
                <w:sz w:val="21"/>
                <w:szCs w:val="21"/>
              </w:rPr>
            </w:pPr>
          </w:p>
        </w:tc>
        <w:tc>
          <w:tcPr>
            <w:tcW w:w="208" w:type="pct"/>
            <w:vAlign w:val="center"/>
          </w:tcPr>
          <w:p w14:paraId="4B9B464F">
            <w:pPr>
              <w:autoSpaceDE w:val="0"/>
              <w:autoSpaceDN w:val="0"/>
              <w:adjustRightInd w:val="0"/>
              <w:snapToGrid w:val="0"/>
              <w:jc w:val="center"/>
              <w:rPr>
                <w:rFonts w:ascii="Times New Roman"/>
                <w:sz w:val="21"/>
                <w:szCs w:val="21"/>
              </w:rPr>
            </w:pPr>
            <w:r>
              <w:rPr>
                <w:rFonts w:ascii="Times New Roman"/>
                <w:sz w:val="21"/>
                <w:szCs w:val="21"/>
              </w:rPr>
              <w:t>x</w:t>
            </w:r>
          </w:p>
        </w:tc>
        <w:tc>
          <w:tcPr>
            <w:tcW w:w="201" w:type="pct"/>
            <w:vAlign w:val="center"/>
          </w:tcPr>
          <w:p w14:paraId="1058CAA0">
            <w:pPr>
              <w:autoSpaceDE w:val="0"/>
              <w:autoSpaceDN w:val="0"/>
              <w:adjustRightInd w:val="0"/>
              <w:snapToGrid w:val="0"/>
              <w:jc w:val="center"/>
              <w:rPr>
                <w:rFonts w:ascii="Times New Roman"/>
                <w:sz w:val="21"/>
                <w:szCs w:val="21"/>
              </w:rPr>
            </w:pPr>
            <w:r>
              <w:rPr>
                <w:rFonts w:ascii="Times New Roman"/>
                <w:sz w:val="21"/>
                <w:szCs w:val="21"/>
              </w:rPr>
              <w:t>y</w:t>
            </w:r>
          </w:p>
        </w:tc>
        <w:tc>
          <w:tcPr>
            <w:tcW w:w="240" w:type="pct"/>
            <w:vAlign w:val="center"/>
          </w:tcPr>
          <w:p w14:paraId="0DFB6DA4">
            <w:pPr>
              <w:autoSpaceDE w:val="0"/>
              <w:autoSpaceDN w:val="0"/>
              <w:adjustRightInd w:val="0"/>
              <w:snapToGrid w:val="0"/>
              <w:jc w:val="center"/>
              <w:rPr>
                <w:rFonts w:ascii="Times New Roman"/>
                <w:sz w:val="21"/>
                <w:szCs w:val="21"/>
              </w:rPr>
            </w:pPr>
            <w:r>
              <w:rPr>
                <w:rFonts w:ascii="Times New Roman"/>
                <w:sz w:val="21"/>
                <w:szCs w:val="21"/>
              </w:rPr>
              <w:t>z</w:t>
            </w:r>
          </w:p>
        </w:tc>
        <w:tc>
          <w:tcPr>
            <w:tcW w:w="346" w:type="pct"/>
            <w:vMerge w:val="continue"/>
            <w:vAlign w:val="center"/>
          </w:tcPr>
          <w:p w14:paraId="3B67703F">
            <w:pPr>
              <w:autoSpaceDE w:val="0"/>
              <w:autoSpaceDN w:val="0"/>
              <w:adjustRightInd w:val="0"/>
              <w:snapToGrid w:val="0"/>
              <w:jc w:val="center"/>
              <w:rPr>
                <w:rFonts w:ascii="Times New Roman"/>
                <w:sz w:val="21"/>
                <w:szCs w:val="21"/>
              </w:rPr>
            </w:pPr>
          </w:p>
        </w:tc>
        <w:tc>
          <w:tcPr>
            <w:tcW w:w="358" w:type="pct"/>
            <w:vMerge w:val="continue"/>
            <w:vAlign w:val="center"/>
          </w:tcPr>
          <w:p w14:paraId="0C12DAD2">
            <w:pPr>
              <w:autoSpaceDE w:val="0"/>
              <w:autoSpaceDN w:val="0"/>
              <w:adjustRightInd w:val="0"/>
              <w:snapToGrid w:val="0"/>
              <w:jc w:val="center"/>
              <w:rPr>
                <w:rFonts w:ascii="Times New Roman"/>
                <w:sz w:val="21"/>
                <w:szCs w:val="21"/>
              </w:rPr>
            </w:pPr>
          </w:p>
        </w:tc>
        <w:tc>
          <w:tcPr>
            <w:tcW w:w="316" w:type="pct"/>
            <w:vMerge w:val="continue"/>
            <w:vAlign w:val="center"/>
          </w:tcPr>
          <w:p w14:paraId="7541324E">
            <w:pPr>
              <w:autoSpaceDE w:val="0"/>
              <w:autoSpaceDN w:val="0"/>
              <w:adjustRightInd w:val="0"/>
              <w:snapToGrid w:val="0"/>
              <w:jc w:val="center"/>
              <w:rPr>
                <w:rFonts w:ascii="Times New Roman"/>
                <w:sz w:val="21"/>
                <w:szCs w:val="21"/>
              </w:rPr>
            </w:pPr>
          </w:p>
        </w:tc>
        <w:tc>
          <w:tcPr>
            <w:tcW w:w="551" w:type="pct"/>
            <w:vMerge w:val="continue"/>
            <w:vAlign w:val="center"/>
          </w:tcPr>
          <w:p w14:paraId="3C92C29D">
            <w:pPr>
              <w:autoSpaceDE w:val="0"/>
              <w:autoSpaceDN w:val="0"/>
              <w:adjustRightInd w:val="0"/>
              <w:snapToGrid w:val="0"/>
              <w:jc w:val="center"/>
              <w:rPr>
                <w:rFonts w:ascii="Times New Roman"/>
                <w:sz w:val="21"/>
                <w:szCs w:val="21"/>
              </w:rPr>
            </w:pPr>
          </w:p>
        </w:tc>
        <w:tc>
          <w:tcPr>
            <w:tcW w:w="550" w:type="pct"/>
            <w:gridSpan w:val="2"/>
            <w:vAlign w:val="center"/>
          </w:tcPr>
          <w:p w14:paraId="5D61AAAB">
            <w:pPr>
              <w:autoSpaceDE w:val="0"/>
              <w:autoSpaceDN w:val="0"/>
              <w:adjustRightInd w:val="0"/>
              <w:snapToGrid w:val="0"/>
              <w:jc w:val="center"/>
              <w:rPr>
                <w:rFonts w:ascii="Times New Roman"/>
                <w:sz w:val="21"/>
                <w:szCs w:val="21"/>
              </w:rPr>
            </w:pPr>
            <w:r>
              <w:rPr>
                <w:rFonts w:ascii="Times New Roman"/>
                <w:sz w:val="21"/>
                <w:szCs w:val="21"/>
              </w:rPr>
              <w:t>声功率级/dB（A）</w:t>
            </w:r>
          </w:p>
        </w:tc>
        <w:tc>
          <w:tcPr>
            <w:tcW w:w="434" w:type="pct"/>
            <w:vAlign w:val="center"/>
          </w:tcPr>
          <w:p w14:paraId="00048D96">
            <w:pPr>
              <w:autoSpaceDE w:val="0"/>
              <w:autoSpaceDN w:val="0"/>
              <w:adjustRightInd w:val="0"/>
              <w:snapToGrid w:val="0"/>
              <w:jc w:val="center"/>
              <w:rPr>
                <w:rFonts w:ascii="Times New Roman"/>
                <w:sz w:val="21"/>
                <w:szCs w:val="21"/>
              </w:rPr>
            </w:pPr>
            <w:r>
              <w:rPr>
                <w:rFonts w:ascii="Times New Roman"/>
                <w:sz w:val="21"/>
                <w:szCs w:val="21"/>
              </w:rPr>
              <w:t>建筑物外距距离/m</w:t>
            </w:r>
          </w:p>
        </w:tc>
      </w:tr>
      <w:tr w14:paraId="513B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9" w:type="pct"/>
            <w:vMerge w:val="restart"/>
            <w:vAlign w:val="center"/>
          </w:tcPr>
          <w:p w14:paraId="185C67CA">
            <w:pPr>
              <w:autoSpaceDE w:val="0"/>
              <w:autoSpaceDN w:val="0"/>
              <w:adjustRightInd w:val="0"/>
              <w:snapToGrid w:val="0"/>
              <w:jc w:val="center"/>
              <w:rPr>
                <w:rFonts w:ascii="Times New Roman"/>
                <w:sz w:val="21"/>
                <w:szCs w:val="21"/>
              </w:rPr>
            </w:pPr>
            <w:r>
              <w:rPr>
                <w:rFonts w:ascii="Times New Roman"/>
                <w:sz w:val="21"/>
                <w:szCs w:val="21"/>
              </w:rPr>
              <w:t>联合厂房</w:t>
            </w:r>
          </w:p>
        </w:tc>
        <w:tc>
          <w:tcPr>
            <w:tcW w:w="697" w:type="pct"/>
            <w:vAlign w:val="center"/>
          </w:tcPr>
          <w:p w14:paraId="5957A926">
            <w:pPr>
              <w:jc w:val="center"/>
              <w:rPr>
                <w:rFonts w:ascii="Times New Roman"/>
                <w:sz w:val="21"/>
                <w:szCs w:val="21"/>
              </w:rPr>
            </w:pPr>
            <w:r>
              <w:rPr>
                <w:rFonts w:ascii="Times New Roman"/>
                <w:sz w:val="21"/>
                <w:szCs w:val="21"/>
              </w:rPr>
              <w:t>喷码机</w:t>
            </w:r>
          </w:p>
        </w:tc>
        <w:tc>
          <w:tcPr>
            <w:tcW w:w="346" w:type="pct"/>
            <w:vAlign w:val="center"/>
          </w:tcPr>
          <w:p w14:paraId="1594E36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restart"/>
            <w:vAlign w:val="center"/>
          </w:tcPr>
          <w:p w14:paraId="422348B3">
            <w:pPr>
              <w:autoSpaceDE w:val="0"/>
              <w:autoSpaceDN w:val="0"/>
              <w:adjustRightInd w:val="0"/>
              <w:snapToGrid w:val="0"/>
              <w:jc w:val="center"/>
              <w:rPr>
                <w:rFonts w:ascii="Times New Roman"/>
                <w:sz w:val="21"/>
                <w:szCs w:val="21"/>
              </w:rPr>
            </w:pPr>
            <w:r>
              <w:rPr>
                <w:rFonts w:ascii="Times New Roman"/>
                <w:sz w:val="21"/>
                <w:szCs w:val="21"/>
              </w:rPr>
              <w:t>基础减振、生产车间隔声</w:t>
            </w:r>
          </w:p>
        </w:tc>
        <w:tc>
          <w:tcPr>
            <w:tcW w:w="208" w:type="pct"/>
            <w:vAlign w:val="center"/>
          </w:tcPr>
          <w:p w14:paraId="3E66F2C4">
            <w:pPr>
              <w:autoSpaceDE w:val="0"/>
              <w:autoSpaceDN w:val="0"/>
              <w:adjustRightInd w:val="0"/>
              <w:snapToGrid w:val="0"/>
              <w:jc w:val="center"/>
              <w:rPr>
                <w:rFonts w:ascii="Times New Roman"/>
                <w:kern w:val="0"/>
                <w:sz w:val="21"/>
                <w:szCs w:val="21"/>
              </w:rPr>
            </w:pPr>
            <w:r>
              <w:rPr>
                <w:rFonts w:ascii="Times New Roman"/>
                <w:kern w:val="0"/>
                <w:sz w:val="21"/>
                <w:szCs w:val="21"/>
              </w:rPr>
              <w:t>220</w:t>
            </w:r>
          </w:p>
        </w:tc>
        <w:tc>
          <w:tcPr>
            <w:tcW w:w="201" w:type="pct"/>
            <w:vAlign w:val="center"/>
          </w:tcPr>
          <w:p w14:paraId="54553403">
            <w:pPr>
              <w:autoSpaceDE w:val="0"/>
              <w:autoSpaceDN w:val="0"/>
              <w:adjustRightInd w:val="0"/>
              <w:snapToGrid w:val="0"/>
              <w:jc w:val="center"/>
              <w:rPr>
                <w:rFonts w:ascii="Times New Roman"/>
                <w:kern w:val="0"/>
                <w:sz w:val="21"/>
                <w:szCs w:val="21"/>
              </w:rPr>
            </w:pPr>
            <w:r>
              <w:rPr>
                <w:rFonts w:ascii="Times New Roman"/>
                <w:kern w:val="0"/>
                <w:sz w:val="21"/>
                <w:szCs w:val="21"/>
              </w:rPr>
              <w:t>47</w:t>
            </w:r>
          </w:p>
        </w:tc>
        <w:tc>
          <w:tcPr>
            <w:tcW w:w="240" w:type="pct"/>
            <w:vAlign w:val="center"/>
          </w:tcPr>
          <w:p w14:paraId="474C9BF7">
            <w:pPr>
              <w:autoSpaceDE w:val="0"/>
              <w:autoSpaceDN w:val="0"/>
              <w:adjustRightInd w:val="0"/>
              <w:snapToGrid w:val="0"/>
              <w:jc w:val="center"/>
              <w:rPr>
                <w:rFonts w:ascii="Times New Roman"/>
                <w:kern w:val="0"/>
                <w:sz w:val="21"/>
                <w:szCs w:val="21"/>
              </w:rPr>
            </w:pPr>
            <w:r>
              <w:rPr>
                <w:rFonts w:ascii="Times New Roman"/>
                <w:kern w:val="0"/>
                <w:sz w:val="21"/>
                <w:szCs w:val="21"/>
              </w:rPr>
              <w:t>0.5</w:t>
            </w:r>
          </w:p>
        </w:tc>
        <w:tc>
          <w:tcPr>
            <w:tcW w:w="346" w:type="pct"/>
            <w:vAlign w:val="center"/>
          </w:tcPr>
          <w:p w14:paraId="7D569164">
            <w:pPr>
              <w:autoSpaceDE w:val="0"/>
              <w:autoSpaceDN w:val="0"/>
              <w:adjustRightInd w:val="0"/>
              <w:snapToGrid w:val="0"/>
              <w:jc w:val="center"/>
              <w:rPr>
                <w:rFonts w:ascii="Times New Roman"/>
                <w:sz w:val="21"/>
                <w:szCs w:val="21"/>
              </w:rPr>
            </w:pPr>
            <w:r>
              <w:rPr>
                <w:rFonts w:ascii="Times New Roman"/>
                <w:sz w:val="21"/>
                <w:szCs w:val="21"/>
              </w:rPr>
              <w:t>18.52</w:t>
            </w:r>
          </w:p>
        </w:tc>
        <w:tc>
          <w:tcPr>
            <w:tcW w:w="358" w:type="pct"/>
            <w:vAlign w:val="center"/>
          </w:tcPr>
          <w:p w14:paraId="51E1D820">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restart"/>
            <w:vAlign w:val="center"/>
          </w:tcPr>
          <w:p w14:paraId="11CD4A05">
            <w:pPr>
              <w:autoSpaceDE w:val="0"/>
              <w:autoSpaceDN w:val="0"/>
              <w:adjustRightInd w:val="0"/>
              <w:snapToGrid w:val="0"/>
              <w:jc w:val="center"/>
              <w:rPr>
                <w:rFonts w:ascii="Times New Roman"/>
                <w:sz w:val="21"/>
                <w:szCs w:val="21"/>
              </w:rPr>
            </w:pPr>
            <w:r>
              <w:rPr>
                <w:rFonts w:ascii="Times New Roman"/>
                <w:sz w:val="21"/>
                <w:szCs w:val="21"/>
              </w:rPr>
              <w:t>昼间、夜间</w:t>
            </w:r>
          </w:p>
        </w:tc>
        <w:tc>
          <w:tcPr>
            <w:tcW w:w="551" w:type="pct"/>
            <w:vAlign w:val="center"/>
          </w:tcPr>
          <w:p w14:paraId="629C524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restart"/>
            <w:vAlign w:val="center"/>
          </w:tcPr>
          <w:p w14:paraId="2636159F">
            <w:pPr>
              <w:autoSpaceDE w:val="0"/>
              <w:autoSpaceDN w:val="0"/>
              <w:adjustRightInd w:val="0"/>
              <w:snapToGrid w:val="0"/>
              <w:jc w:val="center"/>
              <w:rPr>
                <w:rFonts w:ascii="Times New Roman"/>
                <w:sz w:val="21"/>
                <w:szCs w:val="21"/>
              </w:rPr>
            </w:pPr>
            <w:r>
              <w:rPr>
                <w:rFonts w:ascii="Times New Roman"/>
                <w:sz w:val="21"/>
                <w:szCs w:val="21"/>
              </w:rPr>
              <w:t>东边界</w:t>
            </w:r>
          </w:p>
        </w:tc>
        <w:tc>
          <w:tcPr>
            <w:tcW w:w="287" w:type="pct"/>
            <w:vMerge w:val="restart"/>
            <w:vAlign w:val="center"/>
          </w:tcPr>
          <w:p w14:paraId="6CF05551">
            <w:pPr>
              <w:autoSpaceDE w:val="0"/>
              <w:autoSpaceDN w:val="0"/>
              <w:adjustRightInd w:val="0"/>
              <w:snapToGrid w:val="0"/>
              <w:jc w:val="center"/>
              <w:rPr>
                <w:rFonts w:ascii="Times New Roman"/>
                <w:sz w:val="21"/>
                <w:szCs w:val="21"/>
              </w:rPr>
            </w:pPr>
            <w:r>
              <w:rPr>
                <w:rFonts w:ascii="Times New Roman"/>
                <w:sz w:val="21"/>
                <w:szCs w:val="21"/>
              </w:rPr>
              <w:t>38.9</w:t>
            </w:r>
          </w:p>
        </w:tc>
        <w:tc>
          <w:tcPr>
            <w:tcW w:w="434" w:type="pct"/>
            <w:vMerge w:val="restart"/>
            <w:vAlign w:val="center"/>
          </w:tcPr>
          <w:p w14:paraId="46E33B0D">
            <w:pPr>
              <w:autoSpaceDE w:val="0"/>
              <w:autoSpaceDN w:val="0"/>
              <w:adjustRightInd w:val="0"/>
              <w:snapToGrid w:val="0"/>
              <w:jc w:val="center"/>
              <w:rPr>
                <w:rFonts w:ascii="Times New Roman"/>
                <w:sz w:val="21"/>
                <w:szCs w:val="21"/>
              </w:rPr>
            </w:pPr>
            <w:r>
              <w:rPr>
                <w:rFonts w:ascii="Times New Roman"/>
                <w:sz w:val="21"/>
                <w:szCs w:val="21"/>
              </w:rPr>
              <w:t>1</w:t>
            </w:r>
          </w:p>
        </w:tc>
      </w:tr>
      <w:tr w14:paraId="7FC4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439" w:type="pct"/>
            <w:vMerge w:val="continue"/>
            <w:vAlign w:val="center"/>
          </w:tcPr>
          <w:p w14:paraId="36E5A3D1">
            <w:pPr>
              <w:autoSpaceDE w:val="0"/>
              <w:autoSpaceDN w:val="0"/>
              <w:adjustRightInd w:val="0"/>
              <w:snapToGrid w:val="0"/>
              <w:jc w:val="center"/>
              <w:rPr>
                <w:rFonts w:ascii="Times New Roman"/>
                <w:sz w:val="21"/>
                <w:szCs w:val="21"/>
              </w:rPr>
            </w:pPr>
          </w:p>
        </w:tc>
        <w:tc>
          <w:tcPr>
            <w:tcW w:w="697" w:type="pct"/>
            <w:vAlign w:val="center"/>
          </w:tcPr>
          <w:p w14:paraId="6E817297">
            <w:pPr>
              <w:jc w:val="center"/>
              <w:rPr>
                <w:rFonts w:ascii="Times New Roman"/>
                <w:sz w:val="21"/>
                <w:szCs w:val="21"/>
              </w:rPr>
            </w:pPr>
            <w:r>
              <w:rPr>
                <w:rFonts w:ascii="Times New Roman"/>
                <w:sz w:val="21"/>
                <w:szCs w:val="21"/>
              </w:rPr>
              <w:t>喷码机</w:t>
            </w:r>
          </w:p>
        </w:tc>
        <w:tc>
          <w:tcPr>
            <w:tcW w:w="346" w:type="pct"/>
            <w:vAlign w:val="center"/>
          </w:tcPr>
          <w:p w14:paraId="376FCDA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C52EE15">
            <w:pPr>
              <w:autoSpaceDE w:val="0"/>
              <w:autoSpaceDN w:val="0"/>
              <w:adjustRightInd w:val="0"/>
              <w:snapToGrid w:val="0"/>
              <w:jc w:val="center"/>
              <w:rPr>
                <w:rFonts w:ascii="Times New Roman"/>
                <w:sz w:val="21"/>
                <w:szCs w:val="21"/>
              </w:rPr>
            </w:pPr>
          </w:p>
        </w:tc>
        <w:tc>
          <w:tcPr>
            <w:tcW w:w="208" w:type="pct"/>
            <w:vAlign w:val="center"/>
          </w:tcPr>
          <w:p w14:paraId="3919D12C">
            <w:pPr>
              <w:autoSpaceDE w:val="0"/>
              <w:autoSpaceDN w:val="0"/>
              <w:adjustRightInd w:val="0"/>
              <w:snapToGrid w:val="0"/>
              <w:jc w:val="center"/>
              <w:rPr>
                <w:rFonts w:ascii="Times New Roman"/>
                <w:kern w:val="0"/>
                <w:sz w:val="21"/>
                <w:szCs w:val="21"/>
              </w:rPr>
            </w:pPr>
            <w:r>
              <w:rPr>
                <w:rFonts w:ascii="Times New Roman"/>
                <w:kern w:val="0"/>
                <w:sz w:val="21"/>
                <w:szCs w:val="21"/>
              </w:rPr>
              <w:t>220</w:t>
            </w:r>
          </w:p>
        </w:tc>
        <w:tc>
          <w:tcPr>
            <w:tcW w:w="201" w:type="pct"/>
            <w:vAlign w:val="center"/>
          </w:tcPr>
          <w:p w14:paraId="7FABF7B9">
            <w:pPr>
              <w:autoSpaceDE w:val="0"/>
              <w:autoSpaceDN w:val="0"/>
              <w:adjustRightInd w:val="0"/>
              <w:snapToGrid w:val="0"/>
              <w:jc w:val="center"/>
              <w:rPr>
                <w:rFonts w:ascii="Times New Roman"/>
                <w:kern w:val="0"/>
                <w:sz w:val="21"/>
                <w:szCs w:val="21"/>
              </w:rPr>
            </w:pPr>
            <w:r>
              <w:rPr>
                <w:rFonts w:ascii="Times New Roman"/>
                <w:kern w:val="0"/>
                <w:sz w:val="21"/>
                <w:szCs w:val="21"/>
              </w:rPr>
              <w:t>55</w:t>
            </w:r>
          </w:p>
        </w:tc>
        <w:tc>
          <w:tcPr>
            <w:tcW w:w="240" w:type="pct"/>
            <w:vAlign w:val="center"/>
          </w:tcPr>
          <w:p w14:paraId="0A88D65A">
            <w:pPr>
              <w:autoSpaceDE w:val="0"/>
              <w:autoSpaceDN w:val="0"/>
              <w:adjustRightInd w:val="0"/>
              <w:snapToGrid w:val="0"/>
              <w:jc w:val="center"/>
              <w:rPr>
                <w:rFonts w:ascii="Times New Roman"/>
                <w:kern w:val="0"/>
                <w:sz w:val="21"/>
                <w:szCs w:val="21"/>
              </w:rPr>
            </w:pPr>
            <w:r>
              <w:rPr>
                <w:rFonts w:ascii="Times New Roman"/>
                <w:kern w:val="0"/>
                <w:sz w:val="21"/>
                <w:szCs w:val="21"/>
              </w:rPr>
              <w:t>0.5</w:t>
            </w:r>
          </w:p>
        </w:tc>
        <w:tc>
          <w:tcPr>
            <w:tcW w:w="346" w:type="pct"/>
            <w:vAlign w:val="center"/>
          </w:tcPr>
          <w:p w14:paraId="01F6F1AD">
            <w:pPr>
              <w:autoSpaceDE w:val="0"/>
              <w:autoSpaceDN w:val="0"/>
              <w:adjustRightInd w:val="0"/>
              <w:snapToGrid w:val="0"/>
              <w:jc w:val="center"/>
              <w:rPr>
                <w:rFonts w:ascii="Times New Roman"/>
                <w:kern w:val="0"/>
                <w:sz w:val="21"/>
                <w:szCs w:val="21"/>
              </w:rPr>
            </w:pPr>
            <w:r>
              <w:rPr>
                <w:rFonts w:ascii="Times New Roman"/>
                <w:kern w:val="0"/>
                <w:sz w:val="21"/>
                <w:szCs w:val="21"/>
              </w:rPr>
              <w:t>18.52</w:t>
            </w:r>
          </w:p>
        </w:tc>
        <w:tc>
          <w:tcPr>
            <w:tcW w:w="358" w:type="pct"/>
            <w:vAlign w:val="center"/>
          </w:tcPr>
          <w:p w14:paraId="1EF47073">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79285261">
            <w:pPr>
              <w:autoSpaceDE w:val="0"/>
              <w:autoSpaceDN w:val="0"/>
              <w:adjustRightInd w:val="0"/>
              <w:snapToGrid w:val="0"/>
              <w:jc w:val="center"/>
              <w:rPr>
                <w:rFonts w:ascii="Times New Roman"/>
                <w:sz w:val="21"/>
                <w:szCs w:val="21"/>
              </w:rPr>
            </w:pPr>
          </w:p>
        </w:tc>
        <w:tc>
          <w:tcPr>
            <w:tcW w:w="551" w:type="pct"/>
            <w:vAlign w:val="center"/>
          </w:tcPr>
          <w:p w14:paraId="325CFE5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8768155">
            <w:pPr>
              <w:autoSpaceDE w:val="0"/>
              <w:autoSpaceDN w:val="0"/>
              <w:adjustRightInd w:val="0"/>
              <w:snapToGrid w:val="0"/>
              <w:jc w:val="center"/>
              <w:rPr>
                <w:rFonts w:ascii="Times New Roman"/>
                <w:kern w:val="0"/>
                <w:sz w:val="21"/>
                <w:szCs w:val="21"/>
              </w:rPr>
            </w:pPr>
          </w:p>
        </w:tc>
        <w:tc>
          <w:tcPr>
            <w:tcW w:w="287" w:type="pct"/>
            <w:vMerge w:val="continue"/>
            <w:vAlign w:val="center"/>
          </w:tcPr>
          <w:p w14:paraId="140DAC03">
            <w:pPr>
              <w:autoSpaceDE w:val="0"/>
              <w:autoSpaceDN w:val="0"/>
              <w:adjustRightInd w:val="0"/>
              <w:snapToGrid w:val="0"/>
              <w:jc w:val="center"/>
              <w:rPr>
                <w:rFonts w:ascii="Times New Roman"/>
                <w:kern w:val="0"/>
                <w:sz w:val="21"/>
                <w:szCs w:val="21"/>
              </w:rPr>
            </w:pPr>
          </w:p>
        </w:tc>
        <w:tc>
          <w:tcPr>
            <w:tcW w:w="434" w:type="pct"/>
            <w:vMerge w:val="continue"/>
            <w:vAlign w:val="center"/>
          </w:tcPr>
          <w:p w14:paraId="06B408A3">
            <w:pPr>
              <w:autoSpaceDE w:val="0"/>
              <w:autoSpaceDN w:val="0"/>
              <w:adjustRightInd w:val="0"/>
              <w:snapToGrid w:val="0"/>
              <w:jc w:val="center"/>
              <w:rPr>
                <w:rFonts w:ascii="Times New Roman"/>
                <w:sz w:val="21"/>
                <w:szCs w:val="21"/>
              </w:rPr>
            </w:pPr>
          </w:p>
        </w:tc>
      </w:tr>
      <w:tr w14:paraId="5A6A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439" w:type="pct"/>
            <w:vMerge w:val="continue"/>
            <w:vAlign w:val="center"/>
          </w:tcPr>
          <w:p w14:paraId="7F57E4E5">
            <w:pPr>
              <w:autoSpaceDE w:val="0"/>
              <w:autoSpaceDN w:val="0"/>
              <w:adjustRightInd w:val="0"/>
              <w:snapToGrid w:val="0"/>
              <w:jc w:val="center"/>
              <w:rPr>
                <w:rFonts w:ascii="Times New Roman"/>
                <w:sz w:val="21"/>
                <w:szCs w:val="21"/>
              </w:rPr>
            </w:pPr>
          </w:p>
        </w:tc>
        <w:tc>
          <w:tcPr>
            <w:tcW w:w="697" w:type="pct"/>
            <w:vAlign w:val="center"/>
          </w:tcPr>
          <w:p w14:paraId="0EC5AD39">
            <w:pPr>
              <w:jc w:val="center"/>
              <w:rPr>
                <w:rFonts w:ascii="Times New Roman"/>
                <w:sz w:val="21"/>
                <w:szCs w:val="21"/>
              </w:rPr>
            </w:pPr>
            <w:r>
              <w:rPr>
                <w:rFonts w:ascii="Times New Roman"/>
                <w:sz w:val="21"/>
                <w:szCs w:val="21"/>
              </w:rPr>
              <w:t>清洗设备</w:t>
            </w:r>
          </w:p>
        </w:tc>
        <w:tc>
          <w:tcPr>
            <w:tcW w:w="346" w:type="pct"/>
            <w:vAlign w:val="center"/>
          </w:tcPr>
          <w:p w14:paraId="18908257">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26431C1F">
            <w:pPr>
              <w:autoSpaceDE w:val="0"/>
              <w:autoSpaceDN w:val="0"/>
              <w:adjustRightInd w:val="0"/>
              <w:snapToGrid w:val="0"/>
              <w:jc w:val="center"/>
              <w:rPr>
                <w:rFonts w:ascii="Times New Roman"/>
                <w:sz w:val="21"/>
                <w:szCs w:val="21"/>
              </w:rPr>
            </w:pPr>
          </w:p>
        </w:tc>
        <w:tc>
          <w:tcPr>
            <w:tcW w:w="208" w:type="pct"/>
            <w:vAlign w:val="center"/>
          </w:tcPr>
          <w:p w14:paraId="1B296F9D">
            <w:pPr>
              <w:autoSpaceDE w:val="0"/>
              <w:autoSpaceDN w:val="0"/>
              <w:adjustRightInd w:val="0"/>
              <w:snapToGrid w:val="0"/>
              <w:jc w:val="center"/>
              <w:rPr>
                <w:rFonts w:ascii="Times New Roman"/>
                <w:kern w:val="0"/>
                <w:sz w:val="21"/>
                <w:szCs w:val="21"/>
              </w:rPr>
            </w:pPr>
            <w:r>
              <w:rPr>
                <w:rFonts w:ascii="Times New Roman"/>
                <w:kern w:val="0"/>
                <w:sz w:val="21"/>
                <w:szCs w:val="21"/>
              </w:rPr>
              <w:t>225</w:t>
            </w:r>
          </w:p>
        </w:tc>
        <w:tc>
          <w:tcPr>
            <w:tcW w:w="201" w:type="pct"/>
            <w:vAlign w:val="center"/>
          </w:tcPr>
          <w:p w14:paraId="16DDC903">
            <w:pPr>
              <w:autoSpaceDE w:val="0"/>
              <w:autoSpaceDN w:val="0"/>
              <w:adjustRightInd w:val="0"/>
              <w:snapToGrid w:val="0"/>
              <w:jc w:val="center"/>
              <w:rPr>
                <w:rFonts w:ascii="Times New Roman"/>
                <w:kern w:val="0"/>
                <w:sz w:val="21"/>
                <w:szCs w:val="21"/>
              </w:rPr>
            </w:pPr>
            <w:r>
              <w:rPr>
                <w:rFonts w:ascii="Times New Roman"/>
                <w:kern w:val="0"/>
                <w:sz w:val="21"/>
                <w:szCs w:val="21"/>
              </w:rPr>
              <w:t>47</w:t>
            </w:r>
          </w:p>
        </w:tc>
        <w:tc>
          <w:tcPr>
            <w:tcW w:w="240" w:type="pct"/>
            <w:vAlign w:val="center"/>
          </w:tcPr>
          <w:p w14:paraId="3856583F">
            <w:pPr>
              <w:autoSpaceDE w:val="0"/>
              <w:autoSpaceDN w:val="0"/>
              <w:adjustRightInd w:val="0"/>
              <w:snapToGrid w:val="0"/>
              <w:jc w:val="center"/>
              <w:rPr>
                <w:rFonts w:ascii="Times New Roman"/>
                <w:kern w:val="0"/>
                <w:sz w:val="21"/>
                <w:szCs w:val="21"/>
              </w:rPr>
            </w:pPr>
            <w:r>
              <w:rPr>
                <w:rFonts w:ascii="Times New Roman"/>
                <w:kern w:val="0"/>
                <w:sz w:val="21"/>
                <w:szCs w:val="21"/>
              </w:rPr>
              <w:t>0.7</w:t>
            </w:r>
          </w:p>
        </w:tc>
        <w:tc>
          <w:tcPr>
            <w:tcW w:w="346" w:type="pct"/>
            <w:vAlign w:val="center"/>
          </w:tcPr>
          <w:p w14:paraId="203693EC">
            <w:pPr>
              <w:autoSpaceDE w:val="0"/>
              <w:autoSpaceDN w:val="0"/>
              <w:adjustRightInd w:val="0"/>
              <w:snapToGrid w:val="0"/>
              <w:jc w:val="center"/>
              <w:rPr>
                <w:rFonts w:ascii="Times New Roman"/>
                <w:kern w:val="0"/>
                <w:sz w:val="21"/>
                <w:szCs w:val="21"/>
              </w:rPr>
            </w:pPr>
            <w:r>
              <w:rPr>
                <w:rFonts w:ascii="Times New Roman"/>
                <w:kern w:val="0"/>
                <w:sz w:val="21"/>
                <w:szCs w:val="21"/>
              </w:rPr>
              <w:t>23.52</w:t>
            </w:r>
          </w:p>
        </w:tc>
        <w:tc>
          <w:tcPr>
            <w:tcW w:w="358" w:type="pct"/>
            <w:vAlign w:val="center"/>
          </w:tcPr>
          <w:p w14:paraId="798B6FE2">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67BA53EA">
            <w:pPr>
              <w:autoSpaceDE w:val="0"/>
              <w:autoSpaceDN w:val="0"/>
              <w:adjustRightInd w:val="0"/>
              <w:snapToGrid w:val="0"/>
              <w:jc w:val="center"/>
              <w:rPr>
                <w:rFonts w:ascii="Times New Roman"/>
                <w:sz w:val="21"/>
                <w:szCs w:val="21"/>
              </w:rPr>
            </w:pPr>
          </w:p>
        </w:tc>
        <w:tc>
          <w:tcPr>
            <w:tcW w:w="551" w:type="pct"/>
            <w:vAlign w:val="center"/>
          </w:tcPr>
          <w:p w14:paraId="5094239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8DADE85">
            <w:pPr>
              <w:autoSpaceDE w:val="0"/>
              <w:autoSpaceDN w:val="0"/>
              <w:adjustRightInd w:val="0"/>
              <w:snapToGrid w:val="0"/>
              <w:jc w:val="center"/>
              <w:rPr>
                <w:rFonts w:ascii="Times New Roman"/>
                <w:kern w:val="0"/>
                <w:sz w:val="21"/>
                <w:szCs w:val="21"/>
              </w:rPr>
            </w:pPr>
          </w:p>
        </w:tc>
        <w:tc>
          <w:tcPr>
            <w:tcW w:w="287" w:type="pct"/>
            <w:vMerge w:val="continue"/>
            <w:vAlign w:val="center"/>
          </w:tcPr>
          <w:p w14:paraId="4A7D5788">
            <w:pPr>
              <w:autoSpaceDE w:val="0"/>
              <w:autoSpaceDN w:val="0"/>
              <w:adjustRightInd w:val="0"/>
              <w:snapToGrid w:val="0"/>
              <w:jc w:val="center"/>
              <w:rPr>
                <w:rFonts w:ascii="Times New Roman"/>
                <w:kern w:val="0"/>
                <w:sz w:val="21"/>
                <w:szCs w:val="21"/>
              </w:rPr>
            </w:pPr>
          </w:p>
        </w:tc>
        <w:tc>
          <w:tcPr>
            <w:tcW w:w="434" w:type="pct"/>
            <w:vMerge w:val="continue"/>
            <w:vAlign w:val="center"/>
          </w:tcPr>
          <w:p w14:paraId="08A13B3B">
            <w:pPr>
              <w:autoSpaceDE w:val="0"/>
              <w:autoSpaceDN w:val="0"/>
              <w:adjustRightInd w:val="0"/>
              <w:snapToGrid w:val="0"/>
              <w:jc w:val="center"/>
              <w:rPr>
                <w:rFonts w:ascii="Times New Roman"/>
                <w:sz w:val="21"/>
                <w:szCs w:val="21"/>
              </w:rPr>
            </w:pPr>
          </w:p>
        </w:tc>
      </w:tr>
      <w:tr w14:paraId="1B07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439" w:type="pct"/>
            <w:vMerge w:val="continue"/>
            <w:vAlign w:val="center"/>
          </w:tcPr>
          <w:p w14:paraId="7546677B">
            <w:pPr>
              <w:autoSpaceDE w:val="0"/>
              <w:autoSpaceDN w:val="0"/>
              <w:adjustRightInd w:val="0"/>
              <w:snapToGrid w:val="0"/>
              <w:jc w:val="center"/>
              <w:rPr>
                <w:rFonts w:ascii="Times New Roman"/>
                <w:sz w:val="21"/>
                <w:szCs w:val="21"/>
              </w:rPr>
            </w:pPr>
          </w:p>
        </w:tc>
        <w:tc>
          <w:tcPr>
            <w:tcW w:w="697" w:type="pct"/>
            <w:vAlign w:val="center"/>
          </w:tcPr>
          <w:p w14:paraId="21DBF1A8">
            <w:pPr>
              <w:jc w:val="center"/>
              <w:rPr>
                <w:rFonts w:ascii="Times New Roman"/>
                <w:sz w:val="21"/>
                <w:szCs w:val="21"/>
              </w:rPr>
            </w:pPr>
            <w:r>
              <w:rPr>
                <w:rFonts w:ascii="Times New Roman"/>
                <w:sz w:val="21"/>
                <w:szCs w:val="21"/>
              </w:rPr>
              <w:t>清洗设备</w:t>
            </w:r>
          </w:p>
        </w:tc>
        <w:tc>
          <w:tcPr>
            <w:tcW w:w="346" w:type="pct"/>
            <w:vAlign w:val="center"/>
          </w:tcPr>
          <w:p w14:paraId="41602E15">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0B586813">
            <w:pPr>
              <w:autoSpaceDE w:val="0"/>
              <w:autoSpaceDN w:val="0"/>
              <w:adjustRightInd w:val="0"/>
              <w:snapToGrid w:val="0"/>
              <w:jc w:val="center"/>
              <w:rPr>
                <w:rFonts w:ascii="Times New Roman"/>
                <w:sz w:val="21"/>
                <w:szCs w:val="21"/>
              </w:rPr>
            </w:pPr>
          </w:p>
        </w:tc>
        <w:tc>
          <w:tcPr>
            <w:tcW w:w="208" w:type="pct"/>
            <w:vAlign w:val="center"/>
          </w:tcPr>
          <w:p w14:paraId="1806B821">
            <w:pPr>
              <w:autoSpaceDE w:val="0"/>
              <w:autoSpaceDN w:val="0"/>
              <w:adjustRightInd w:val="0"/>
              <w:snapToGrid w:val="0"/>
              <w:jc w:val="center"/>
              <w:rPr>
                <w:rFonts w:ascii="Times New Roman"/>
                <w:kern w:val="0"/>
                <w:sz w:val="21"/>
                <w:szCs w:val="21"/>
              </w:rPr>
            </w:pPr>
            <w:r>
              <w:rPr>
                <w:rFonts w:ascii="Times New Roman"/>
                <w:kern w:val="0"/>
                <w:sz w:val="21"/>
                <w:szCs w:val="21"/>
              </w:rPr>
              <w:t>225</w:t>
            </w:r>
          </w:p>
        </w:tc>
        <w:tc>
          <w:tcPr>
            <w:tcW w:w="201" w:type="pct"/>
            <w:vAlign w:val="center"/>
          </w:tcPr>
          <w:p w14:paraId="0F3394E0">
            <w:pPr>
              <w:autoSpaceDE w:val="0"/>
              <w:autoSpaceDN w:val="0"/>
              <w:adjustRightInd w:val="0"/>
              <w:snapToGrid w:val="0"/>
              <w:jc w:val="center"/>
              <w:rPr>
                <w:rFonts w:ascii="Times New Roman"/>
                <w:kern w:val="0"/>
                <w:sz w:val="21"/>
                <w:szCs w:val="21"/>
              </w:rPr>
            </w:pPr>
            <w:r>
              <w:rPr>
                <w:rFonts w:ascii="Times New Roman"/>
                <w:kern w:val="0"/>
                <w:sz w:val="21"/>
                <w:szCs w:val="21"/>
              </w:rPr>
              <w:t>55</w:t>
            </w:r>
          </w:p>
        </w:tc>
        <w:tc>
          <w:tcPr>
            <w:tcW w:w="240" w:type="pct"/>
            <w:vAlign w:val="center"/>
          </w:tcPr>
          <w:p w14:paraId="6C04AAF3">
            <w:pPr>
              <w:autoSpaceDE w:val="0"/>
              <w:autoSpaceDN w:val="0"/>
              <w:adjustRightInd w:val="0"/>
              <w:snapToGrid w:val="0"/>
              <w:jc w:val="center"/>
              <w:rPr>
                <w:rFonts w:ascii="Times New Roman"/>
                <w:kern w:val="0"/>
                <w:sz w:val="21"/>
                <w:szCs w:val="21"/>
              </w:rPr>
            </w:pPr>
            <w:r>
              <w:rPr>
                <w:rFonts w:ascii="Times New Roman"/>
                <w:kern w:val="0"/>
                <w:sz w:val="21"/>
                <w:szCs w:val="21"/>
              </w:rPr>
              <w:t>0.7</w:t>
            </w:r>
          </w:p>
        </w:tc>
        <w:tc>
          <w:tcPr>
            <w:tcW w:w="346" w:type="pct"/>
            <w:vAlign w:val="center"/>
          </w:tcPr>
          <w:p w14:paraId="642B44B4">
            <w:pPr>
              <w:autoSpaceDE w:val="0"/>
              <w:autoSpaceDN w:val="0"/>
              <w:adjustRightInd w:val="0"/>
              <w:snapToGrid w:val="0"/>
              <w:jc w:val="center"/>
              <w:rPr>
                <w:rFonts w:ascii="Times New Roman"/>
                <w:kern w:val="0"/>
                <w:sz w:val="21"/>
                <w:szCs w:val="21"/>
              </w:rPr>
            </w:pPr>
            <w:r>
              <w:rPr>
                <w:rFonts w:ascii="Times New Roman"/>
                <w:kern w:val="0"/>
                <w:sz w:val="21"/>
                <w:szCs w:val="21"/>
              </w:rPr>
              <w:t>23.52</w:t>
            </w:r>
          </w:p>
        </w:tc>
        <w:tc>
          <w:tcPr>
            <w:tcW w:w="358" w:type="pct"/>
            <w:vAlign w:val="center"/>
          </w:tcPr>
          <w:p w14:paraId="140168F0">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450EE214">
            <w:pPr>
              <w:autoSpaceDE w:val="0"/>
              <w:autoSpaceDN w:val="0"/>
              <w:adjustRightInd w:val="0"/>
              <w:snapToGrid w:val="0"/>
              <w:jc w:val="center"/>
              <w:rPr>
                <w:rFonts w:ascii="Times New Roman"/>
                <w:sz w:val="21"/>
                <w:szCs w:val="21"/>
              </w:rPr>
            </w:pPr>
          </w:p>
        </w:tc>
        <w:tc>
          <w:tcPr>
            <w:tcW w:w="551" w:type="pct"/>
            <w:vAlign w:val="center"/>
          </w:tcPr>
          <w:p w14:paraId="713E93C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3F38565">
            <w:pPr>
              <w:autoSpaceDE w:val="0"/>
              <w:autoSpaceDN w:val="0"/>
              <w:adjustRightInd w:val="0"/>
              <w:snapToGrid w:val="0"/>
              <w:jc w:val="center"/>
              <w:rPr>
                <w:rFonts w:ascii="Times New Roman"/>
                <w:kern w:val="0"/>
                <w:sz w:val="21"/>
                <w:szCs w:val="21"/>
              </w:rPr>
            </w:pPr>
          </w:p>
        </w:tc>
        <w:tc>
          <w:tcPr>
            <w:tcW w:w="287" w:type="pct"/>
            <w:vMerge w:val="continue"/>
            <w:vAlign w:val="center"/>
          </w:tcPr>
          <w:p w14:paraId="15A2A9FD">
            <w:pPr>
              <w:autoSpaceDE w:val="0"/>
              <w:autoSpaceDN w:val="0"/>
              <w:adjustRightInd w:val="0"/>
              <w:snapToGrid w:val="0"/>
              <w:jc w:val="center"/>
              <w:rPr>
                <w:rFonts w:ascii="Times New Roman"/>
                <w:kern w:val="0"/>
                <w:sz w:val="21"/>
                <w:szCs w:val="21"/>
              </w:rPr>
            </w:pPr>
          </w:p>
        </w:tc>
        <w:tc>
          <w:tcPr>
            <w:tcW w:w="434" w:type="pct"/>
            <w:vMerge w:val="continue"/>
            <w:vAlign w:val="center"/>
          </w:tcPr>
          <w:p w14:paraId="26114D9F">
            <w:pPr>
              <w:autoSpaceDE w:val="0"/>
              <w:autoSpaceDN w:val="0"/>
              <w:adjustRightInd w:val="0"/>
              <w:snapToGrid w:val="0"/>
              <w:jc w:val="center"/>
              <w:rPr>
                <w:rFonts w:ascii="Times New Roman"/>
                <w:sz w:val="21"/>
                <w:szCs w:val="21"/>
              </w:rPr>
            </w:pPr>
          </w:p>
        </w:tc>
      </w:tr>
      <w:tr w14:paraId="2CE1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439" w:type="pct"/>
            <w:vMerge w:val="continue"/>
            <w:vAlign w:val="center"/>
          </w:tcPr>
          <w:p w14:paraId="3A9AD6E1">
            <w:pPr>
              <w:autoSpaceDE w:val="0"/>
              <w:autoSpaceDN w:val="0"/>
              <w:adjustRightInd w:val="0"/>
              <w:snapToGrid w:val="0"/>
              <w:jc w:val="center"/>
              <w:rPr>
                <w:rFonts w:ascii="Times New Roman"/>
                <w:sz w:val="21"/>
                <w:szCs w:val="21"/>
              </w:rPr>
            </w:pPr>
          </w:p>
        </w:tc>
        <w:tc>
          <w:tcPr>
            <w:tcW w:w="697" w:type="pct"/>
            <w:vAlign w:val="center"/>
          </w:tcPr>
          <w:p w14:paraId="52FC2561">
            <w:pPr>
              <w:jc w:val="center"/>
              <w:rPr>
                <w:rFonts w:ascii="Times New Roman"/>
                <w:sz w:val="21"/>
                <w:szCs w:val="21"/>
              </w:rPr>
            </w:pPr>
            <w:r>
              <w:rPr>
                <w:rFonts w:ascii="Times New Roman"/>
                <w:sz w:val="21"/>
                <w:szCs w:val="21"/>
              </w:rPr>
              <w:t>激光直口切割机</w:t>
            </w:r>
          </w:p>
        </w:tc>
        <w:tc>
          <w:tcPr>
            <w:tcW w:w="346" w:type="pct"/>
            <w:vAlign w:val="center"/>
          </w:tcPr>
          <w:p w14:paraId="26934FB8">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04F1BE2">
            <w:pPr>
              <w:autoSpaceDE w:val="0"/>
              <w:autoSpaceDN w:val="0"/>
              <w:adjustRightInd w:val="0"/>
              <w:snapToGrid w:val="0"/>
              <w:jc w:val="center"/>
              <w:rPr>
                <w:rFonts w:ascii="Times New Roman"/>
                <w:sz w:val="21"/>
                <w:szCs w:val="21"/>
              </w:rPr>
            </w:pPr>
          </w:p>
        </w:tc>
        <w:tc>
          <w:tcPr>
            <w:tcW w:w="208" w:type="pct"/>
            <w:vAlign w:val="center"/>
          </w:tcPr>
          <w:p w14:paraId="73EC40EC">
            <w:pPr>
              <w:autoSpaceDE w:val="0"/>
              <w:autoSpaceDN w:val="0"/>
              <w:adjustRightInd w:val="0"/>
              <w:snapToGrid w:val="0"/>
              <w:jc w:val="center"/>
              <w:rPr>
                <w:rFonts w:ascii="Times New Roman"/>
                <w:kern w:val="0"/>
                <w:sz w:val="21"/>
                <w:szCs w:val="21"/>
              </w:rPr>
            </w:pPr>
            <w:r>
              <w:rPr>
                <w:rFonts w:ascii="Times New Roman"/>
                <w:kern w:val="0"/>
                <w:sz w:val="21"/>
                <w:szCs w:val="21"/>
              </w:rPr>
              <w:t>230</w:t>
            </w:r>
          </w:p>
        </w:tc>
        <w:tc>
          <w:tcPr>
            <w:tcW w:w="201" w:type="pct"/>
            <w:vAlign w:val="center"/>
          </w:tcPr>
          <w:p w14:paraId="317678CE">
            <w:pPr>
              <w:autoSpaceDE w:val="0"/>
              <w:autoSpaceDN w:val="0"/>
              <w:adjustRightInd w:val="0"/>
              <w:snapToGrid w:val="0"/>
              <w:jc w:val="center"/>
              <w:rPr>
                <w:rFonts w:ascii="Times New Roman"/>
                <w:kern w:val="0"/>
                <w:sz w:val="21"/>
                <w:szCs w:val="21"/>
              </w:rPr>
            </w:pPr>
            <w:r>
              <w:rPr>
                <w:rFonts w:ascii="Times New Roman"/>
                <w:kern w:val="0"/>
                <w:sz w:val="21"/>
                <w:szCs w:val="21"/>
              </w:rPr>
              <w:t>46</w:t>
            </w:r>
          </w:p>
        </w:tc>
        <w:tc>
          <w:tcPr>
            <w:tcW w:w="240" w:type="pct"/>
            <w:vAlign w:val="center"/>
          </w:tcPr>
          <w:p w14:paraId="13D0073A">
            <w:pPr>
              <w:autoSpaceDE w:val="0"/>
              <w:autoSpaceDN w:val="0"/>
              <w:adjustRightInd w:val="0"/>
              <w:snapToGrid w:val="0"/>
              <w:jc w:val="center"/>
              <w:rPr>
                <w:rFonts w:ascii="Times New Roman"/>
                <w:kern w:val="0"/>
                <w:sz w:val="21"/>
                <w:szCs w:val="21"/>
              </w:rPr>
            </w:pPr>
            <w:r>
              <w:rPr>
                <w:rFonts w:ascii="Times New Roman"/>
                <w:kern w:val="0"/>
                <w:sz w:val="21"/>
                <w:szCs w:val="21"/>
              </w:rPr>
              <w:t>0.8</w:t>
            </w:r>
          </w:p>
        </w:tc>
        <w:tc>
          <w:tcPr>
            <w:tcW w:w="346" w:type="pct"/>
            <w:vAlign w:val="center"/>
          </w:tcPr>
          <w:p w14:paraId="6B2CA019">
            <w:pPr>
              <w:autoSpaceDE w:val="0"/>
              <w:autoSpaceDN w:val="0"/>
              <w:adjustRightInd w:val="0"/>
              <w:snapToGrid w:val="0"/>
              <w:jc w:val="center"/>
              <w:rPr>
                <w:rFonts w:ascii="Times New Roman"/>
                <w:sz w:val="21"/>
                <w:szCs w:val="21"/>
              </w:rPr>
            </w:pPr>
            <w:r>
              <w:rPr>
                <w:rFonts w:ascii="Times New Roman"/>
                <w:sz w:val="21"/>
                <w:szCs w:val="21"/>
              </w:rPr>
              <w:t>28.52</w:t>
            </w:r>
          </w:p>
        </w:tc>
        <w:tc>
          <w:tcPr>
            <w:tcW w:w="358" w:type="pct"/>
            <w:vAlign w:val="center"/>
          </w:tcPr>
          <w:p w14:paraId="7AA48D32">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2C419C06">
            <w:pPr>
              <w:autoSpaceDE w:val="0"/>
              <w:autoSpaceDN w:val="0"/>
              <w:adjustRightInd w:val="0"/>
              <w:snapToGrid w:val="0"/>
              <w:jc w:val="center"/>
              <w:rPr>
                <w:rFonts w:ascii="Times New Roman"/>
                <w:sz w:val="21"/>
                <w:szCs w:val="21"/>
              </w:rPr>
            </w:pPr>
          </w:p>
        </w:tc>
        <w:tc>
          <w:tcPr>
            <w:tcW w:w="551" w:type="pct"/>
            <w:vAlign w:val="center"/>
          </w:tcPr>
          <w:p w14:paraId="143826B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8719A42">
            <w:pPr>
              <w:autoSpaceDE w:val="0"/>
              <w:autoSpaceDN w:val="0"/>
              <w:adjustRightInd w:val="0"/>
              <w:snapToGrid w:val="0"/>
              <w:jc w:val="center"/>
              <w:rPr>
                <w:rFonts w:ascii="Times New Roman"/>
                <w:kern w:val="0"/>
                <w:sz w:val="21"/>
                <w:szCs w:val="21"/>
              </w:rPr>
            </w:pPr>
          </w:p>
        </w:tc>
        <w:tc>
          <w:tcPr>
            <w:tcW w:w="287" w:type="pct"/>
            <w:vMerge w:val="continue"/>
            <w:vAlign w:val="center"/>
          </w:tcPr>
          <w:p w14:paraId="7BE778D2">
            <w:pPr>
              <w:autoSpaceDE w:val="0"/>
              <w:autoSpaceDN w:val="0"/>
              <w:adjustRightInd w:val="0"/>
              <w:snapToGrid w:val="0"/>
              <w:jc w:val="center"/>
              <w:rPr>
                <w:rFonts w:ascii="Times New Roman"/>
                <w:kern w:val="0"/>
                <w:sz w:val="21"/>
                <w:szCs w:val="21"/>
              </w:rPr>
            </w:pPr>
          </w:p>
        </w:tc>
        <w:tc>
          <w:tcPr>
            <w:tcW w:w="434" w:type="pct"/>
            <w:vMerge w:val="continue"/>
            <w:vAlign w:val="center"/>
          </w:tcPr>
          <w:p w14:paraId="40AFA373">
            <w:pPr>
              <w:autoSpaceDE w:val="0"/>
              <w:autoSpaceDN w:val="0"/>
              <w:adjustRightInd w:val="0"/>
              <w:snapToGrid w:val="0"/>
              <w:jc w:val="center"/>
              <w:rPr>
                <w:rFonts w:ascii="Times New Roman"/>
                <w:sz w:val="21"/>
                <w:szCs w:val="21"/>
              </w:rPr>
            </w:pPr>
          </w:p>
        </w:tc>
      </w:tr>
      <w:tr w14:paraId="08B5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439" w:type="pct"/>
            <w:vMerge w:val="continue"/>
            <w:vAlign w:val="center"/>
          </w:tcPr>
          <w:p w14:paraId="0035A2B3">
            <w:pPr>
              <w:autoSpaceDE w:val="0"/>
              <w:autoSpaceDN w:val="0"/>
              <w:adjustRightInd w:val="0"/>
              <w:snapToGrid w:val="0"/>
              <w:jc w:val="center"/>
              <w:rPr>
                <w:rFonts w:ascii="Times New Roman"/>
                <w:sz w:val="21"/>
                <w:szCs w:val="21"/>
              </w:rPr>
            </w:pPr>
          </w:p>
        </w:tc>
        <w:tc>
          <w:tcPr>
            <w:tcW w:w="697" w:type="pct"/>
            <w:vAlign w:val="center"/>
          </w:tcPr>
          <w:p w14:paraId="37888447">
            <w:pPr>
              <w:jc w:val="center"/>
              <w:rPr>
                <w:rFonts w:ascii="Times New Roman"/>
                <w:sz w:val="21"/>
                <w:szCs w:val="21"/>
              </w:rPr>
            </w:pPr>
            <w:r>
              <w:rPr>
                <w:rFonts w:ascii="Times New Roman"/>
                <w:sz w:val="21"/>
                <w:szCs w:val="21"/>
              </w:rPr>
              <w:t>激光直口切割机</w:t>
            </w:r>
          </w:p>
        </w:tc>
        <w:tc>
          <w:tcPr>
            <w:tcW w:w="346" w:type="pct"/>
            <w:vAlign w:val="center"/>
          </w:tcPr>
          <w:p w14:paraId="1277E75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08DCC2D">
            <w:pPr>
              <w:autoSpaceDE w:val="0"/>
              <w:autoSpaceDN w:val="0"/>
              <w:adjustRightInd w:val="0"/>
              <w:snapToGrid w:val="0"/>
              <w:jc w:val="center"/>
              <w:rPr>
                <w:rFonts w:ascii="Times New Roman"/>
                <w:sz w:val="21"/>
                <w:szCs w:val="21"/>
              </w:rPr>
            </w:pPr>
          </w:p>
        </w:tc>
        <w:tc>
          <w:tcPr>
            <w:tcW w:w="208" w:type="pct"/>
            <w:vAlign w:val="center"/>
          </w:tcPr>
          <w:p w14:paraId="214B9B6C">
            <w:pPr>
              <w:autoSpaceDE w:val="0"/>
              <w:autoSpaceDN w:val="0"/>
              <w:adjustRightInd w:val="0"/>
              <w:snapToGrid w:val="0"/>
              <w:jc w:val="center"/>
              <w:rPr>
                <w:rFonts w:ascii="Times New Roman"/>
                <w:kern w:val="0"/>
                <w:sz w:val="21"/>
                <w:szCs w:val="21"/>
              </w:rPr>
            </w:pPr>
            <w:r>
              <w:rPr>
                <w:rFonts w:ascii="Times New Roman"/>
                <w:kern w:val="0"/>
                <w:sz w:val="21"/>
                <w:szCs w:val="21"/>
              </w:rPr>
              <w:t>230</w:t>
            </w:r>
          </w:p>
        </w:tc>
        <w:tc>
          <w:tcPr>
            <w:tcW w:w="201" w:type="pct"/>
            <w:vAlign w:val="center"/>
          </w:tcPr>
          <w:p w14:paraId="77F8CFC8">
            <w:pPr>
              <w:autoSpaceDE w:val="0"/>
              <w:autoSpaceDN w:val="0"/>
              <w:adjustRightInd w:val="0"/>
              <w:snapToGrid w:val="0"/>
              <w:jc w:val="center"/>
              <w:rPr>
                <w:rFonts w:ascii="Times New Roman"/>
                <w:kern w:val="0"/>
                <w:sz w:val="21"/>
                <w:szCs w:val="21"/>
              </w:rPr>
            </w:pPr>
            <w:r>
              <w:rPr>
                <w:rFonts w:ascii="Times New Roman"/>
                <w:kern w:val="0"/>
                <w:sz w:val="21"/>
                <w:szCs w:val="21"/>
              </w:rPr>
              <w:t>56</w:t>
            </w:r>
          </w:p>
        </w:tc>
        <w:tc>
          <w:tcPr>
            <w:tcW w:w="240" w:type="pct"/>
            <w:vAlign w:val="center"/>
          </w:tcPr>
          <w:p w14:paraId="313AA75F">
            <w:pPr>
              <w:autoSpaceDE w:val="0"/>
              <w:autoSpaceDN w:val="0"/>
              <w:adjustRightInd w:val="0"/>
              <w:snapToGrid w:val="0"/>
              <w:jc w:val="center"/>
              <w:rPr>
                <w:rFonts w:ascii="Times New Roman"/>
                <w:kern w:val="0"/>
                <w:sz w:val="21"/>
                <w:szCs w:val="21"/>
              </w:rPr>
            </w:pPr>
            <w:r>
              <w:rPr>
                <w:rFonts w:ascii="Times New Roman"/>
                <w:kern w:val="0"/>
                <w:sz w:val="21"/>
                <w:szCs w:val="21"/>
              </w:rPr>
              <w:t>0.8</w:t>
            </w:r>
          </w:p>
        </w:tc>
        <w:tc>
          <w:tcPr>
            <w:tcW w:w="346" w:type="pct"/>
            <w:vAlign w:val="center"/>
          </w:tcPr>
          <w:p w14:paraId="77F59903">
            <w:pPr>
              <w:autoSpaceDE w:val="0"/>
              <w:autoSpaceDN w:val="0"/>
              <w:adjustRightInd w:val="0"/>
              <w:snapToGrid w:val="0"/>
              <w:jc w:val="center"/>
              <w:rPr>
                <w:rFonts w:ascii="Times New Roman"/>
                <w:sz w:val="21"/>
                <w:szCs w:val="21"/>
              </w:rPr>
            </w:pPr>
            <w:r>
              <w:rPr>
                <w:rFonts w:ascii="Times New Roman"/>
                <w:sz w:val="21"/>
                <w:szCs w:val="21"/>
              </w:rPr>
              <w:t>28.52</w:t>
            </w:r>
          </w:p>
        </w:tc>
        <w:tc>
          <w:tcPr>
            <w:tcW w:w="358" w:type="pct"/>
            <w:vAlign w:val="center"/>
          </w:tcPr>
          <w:p w14:paraId="61497F16">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2E5B9420">
            <w:pPr>
              <w:autoSpaceDE w:val="0"/>
              <w:autoSpaceDN w:val="0"/>
              <w:adjustRightInd w:val="0"/>
              <w:snapToGrid w:val="0"/>
              <w:jc w:val="center"/>
              <w:rPr>
                <w:rFonts w:ascii="Times New Roman"/>
                <w:sz w:val="21"/>
                <w:szCs w:val="21"/>
              </w:rPr>
            </w:pPr>
          </w:p>
        </w:tc>
        <w:tc>
          <w:tcPr>
            <w:tcW w:w="551" w:type="pct"/>
            <w:vAlign w:val="center"/>
          </w:tcPr>
          <w:p w14:paraId="57CA667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C8364E0">
            <w:pPr>
              <w:autoSpaceDE w:val="0"/>
              <w:autoSpaceDN w:val="0"/>
              <w:adjustRightInd w:val="0"/>
              <w:snapToGrid w:val="0"/>
              <w:jc w:val="center"/>
              <w:rPr>
                <w:rFonts w:ascii="Times New Roman"/>
                <w:kern w:val="0"/>
                <w:sz w:val="21"/>
                <w:szCs w:val="21"/>
              </w:rPr>
            </w:pPr>
          </w:p>
        </w:tc>
        <w:tc>
          <w:tcPr>
            <w:tcW w:w="287" w:type="pct"/>
            <w:vMerge w:val="continue"/>
            <w:vAlign w:val="center"/>
          </w:tcPr>
          <w:p w14:paraId="51291BD1">
            <w:pPr>
              <w:autoSpaceDE w:val="0"/>
              <w:autoSpaceDN w:val="0"/>
              <w:adjustRightInd w:val="0"/>
              <w:snapToGrid w:val="0"/>
              <w:jc w:val="center"/>
              <w:rPr>
                <w:rFonts w:ascii="Times New Roman"/>
                <w:kern w:val="0"/>
                <w:sz w:val="21"/>
                <w:szCs w:val="21"/>
              </w:rPr>
            </w:pPr>
          </w:p>
        </w:tc>
        <w:tc>
          <w:tcPr>
            <w:tcW w:w="434" w:type="pct"/>
            <w:vMerge w:val="continue"/>
            <w:vAlign w:val="center"/>
          </w:tcPr>
          <w:p w14:paraId="47C1E0FA">
            <w:pPr>
              <w:autoSpaceDE w:val="0"/>
              <w:autoSpaceDN w:val="0"/>
              <w:adjustRightInd w:val="0"/>
              <w:snapToGrid w:val="0"/>
              <w:jc w:val="center"/>
              <w:rPr>
                <w:rFonts w:ascii="Times New Roman"/>
                <w:sz w:val="21"/>
                <w:szCs w:val="21"/>
              </w:rPr>
            </w:pPr>
          </w:p>
        </w:tc>
      </w:tr>
      <w:tr w14:paraId="5D61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jc w:val="center"/>
        </w:trPr>
        <w:tc>
          <w:tcPr>
            <w:tcW w:w="439" w:type="pct"/>
            <w:vMerge w:val="continue"/>
            <w:vAlign w:val="center"/>
          </w:tcPr>
          <w:p w14:paraId="7194015C">
            <w:pPr>
              <w:autoSpaceDE w:val="0"/>
              <w:autoSpaceDN w:val="0"/>
              <w:adjustRightInd w:val="0"/>
              <w:snapToGrid w:val="0"/>
              <w:jc w:val="center"/>
              <w:rPr>
                <w:rFonts w:ascii="Times New Roman"/>
                <w:sz w:val="21"/>
                <w:szCs w:val="21"/>
              </w:rPr>
            </w:pPr>
          </w:p>
        </w:tc>
        <w:tc>
          <w:tcPr>
            <w:tcW w:w="697" w:type="pct"/>
            <w:vAlign w:val="center"/>
          </w:tcPr>
          <w:p w14:paraId="38F6C3B6">
            <w:pPr>
              <w:jc w:val="center"/>
              <w:rPr>
                <w:rFonts w:ascii="Times New Roman"/>
                <w:sz w:val="21"/>
                <w:szCs w:val="21"/>
              </w:rPr>
            </w:pPr>
            <w:r>
              <w:rPr>
                <w:rFonts w:ascii="Times New Roman"/>
                <w:sz w:val="21"/>
                <w:szCs w:val="21"/>
              </w:rPr>
              <w:t>激光直口切割机</w:t>
            </w:r>
          </w:p>
        </w:tc>
        <w:tc>
          <w:tcPr>
            <w:tcW w:w="346" w:type="pct"/>
            <w:vAlign w:val="center"/>
          </w:tcPr>
          <w:p w14:paraId="27D3FCA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2C3AAB8">
            <w:pPr>
              <w:autoSpaceDE w:val="0"/>
              <w:autoSpaceDN w:val="0"/>
              <w:adjustRightInd w:val="0"/>
              <w:snapToGrid w:val="0"/>
              <w:jc w:val="center"/>
              <w:rPr>
                <w:rFonts w:ascii="Times New Roman"/>
                <w:sz w:val="21"/>
                <w:szCs w:val="21"/>
              </w:rPr>
            </w:pPr>
          </w:p>
        </w:tc>
        <w:tc>
          <w:tcPr>
            <w:tcW w:w="208" w:type="pct"/>
            <w:vAlign w:val="center"/>
          </w:tcPr>
          <w:p w14:paraId="24C2C04C">
            <w:pPr>
              <w:autoSpaceDE w:val="0"/>
              <w:autoSpaceDN w:val="0"/>
              <w:adjustRightInd w:val="0"/>
              <w:snapToGrid w:val="0"/>
              <w:jc w:val="center"/>
              <w:rPr>
                <w:rFonts w:ascii="Times New Roman"/>
                <w:kern w:val="0"/>
                <w:sz w:val="21"/>
                <w:szCs w:val="21"/>
              </w:rPr>
            </w:pPr>
            <w:r>
              <w:rPr>
                <w:rFonts w:ascii="Times New Roman"/>
                <w:kern w:val="0"/>
                <w:sz w:val="21"/>
                <w:szCs w:val="21"/>
              </w:rPr>
              <w:t>230</w:t>
            </w:r>
          </w:p>
        </w:tc>
        <w:tc>
          <w:tcPr>
            <w:tcW w:w="201" w:type="pct"/>
            <w:vAlign w:val="center"/>
          </w:tcPr>
          <w:p w14:paraId="3D5EF4CD">
            <w:pPr>
              <w:autoSpaceDE w:val="0"/>
              <w:autoSpaceDN w:val="0"/>
              <w:adjustRightInd w:val="0"/>
              <w:snapToGrid w:val="0"/>
              <w:jc w:val="center"/>
              <w:rPr>
                <w:rFonts w:ascii="Times New Roman"/>
                <w:kern w:val="0"/>
                <w:sz w:val="21"/>
                <w:szCs w:val="21"/>
              </w:rPr>
            </w:pPr>
            <w:r>
              <w:rPr>
                <w:rFonts w:ascii="Times New Roman"/>
                <w:kern w:val="0"/>
                <w:sz w:val="21"/>
                <w:szCs w:val="21"/>
              </w:rPr>
              <w:t>66</w:t>
            </w:r>
          </w:p>
        </w:tc>
        <w:tc>
          <w:tcPr>
            <w:tcW w:w="240" w:type="pct"/>
            <w:vAlign w:val="center"/>
          </w:tcPr>
          <w:p w14:paraId="23093A34">
            <w:pPr>
              <w:autoSpaceDE w:val="0"/>
              <w:autoSpaceDN w:val="0"/>
              <w:adjustRightInd w:val="0"/>
              <w:snapToGrid w:val="0"/>
              <w:jc w:val="center"/>
              <w:rPr>
                <w:rFonts w:ascii="Times New Roman"/>
                <w:kern w:val="0"/>
                <w:sz w:val="21"/>
                <w:szCs w:val="21"/>
              </w:rPr>
            </w:pPr>
            <w:r>
              <w:rPr>
                <w:rFonts w:ascii="Times New Roman"/>
                <w:kern w:val="0"/>
                <w:sz w:val="21"/>
                <w:szCs w:val="21"/>
              </w:rPr>
              <w:t>0.8</w:t>
            </w:r>
          </w:p>
        </w:tc>
        <w:tc>
          <w:tcPr>
            <w:tcW w:w="346" w:type="pct"/>
            <w:vAlign w:val="center"/>
          </w:tcPr>
          <w:p w14:paraId="71EDC6DE">
            <w:pPr>
              <w:autoSpaceDE w:val="0"/>
              <w:autoSpaceDN w:val="0"/>
              <w:adjustRightInd w:val="0"/>
              <w:snapToGrid w:val="0"/>
              <w:jc w:val="center"/>
              <w:rPr>
                <w:rFonts w:ascii="Times New Roman"/>
                <w:sz w:val="21"/>
                <w:szCs w:val="21"/>
              </w:rPr>
            </w:pPr>
            <w:r>
              <w:rPr>
                <w:rFonts w:ascii="Times New Roman"/>
                <w:sz w:val="21"/>
                <w:szCs w:val="21"/>
              </w:rPr>
              <w:t>28.52</w:t>
            </w:r>
          </w:p>
        </w:tc>
        <w:tc>
          <w:tcPr>
            <w:tcW w:w="358" w:type="pct"/>
            <w:vAlign w:val="center"/>
          </w:tcPr>
          <w:p w14:paraId="18697899">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511F8ABB">
            <w:pPr>
              <w:autoSpaceDE w:val="0"/>
              <w:autoSpaceDN w:val="0"/>
              <w:adjustRightInd w:val="0"/>
              <w:snapToGrid w:val="0"/>
              <w:jc w:val="center"/>
              <w:rPr>
                <w:rFonts w:ascii="Times New Roman"/>
                <w:sz w:val="21"/>
                <w:szCs w:val="21"/>
              </w:rPr>
            </w:pPr>
          </w:p>
        </w:tc>
        <w:tc>
          <w:tcPr>
            <w:tcW w:w="551" w:type="pct"/>
            <w:vAlign w:val="center"/>
          </w:tcPr>
          <w:p w14:paraId="2FF0D51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5829A40">
            <w:pPr>
              <w:autoSpaceDE w:val="0"/>
              <w:autoSpaceDN w:val="0"/>
              <w:adjustRightInd w:val="0"/>
              <w:snapToGrid w:val="0"/>
              <w:jc w:val="center"/>
              <w:rPr>
                <w:rFonts w:ascii="Times New Roman"/>
                <w:kern w:val="0"/>
                <w:sz w:val="21"/>
                <w:szCs w:val="21"/>
              </w:rPr>
            </w:pPr>
          </w:p>
        </w:tc>
        <w:tc>
          <w:tcPr>
            <w:tcW w:w="287" w:type="pct"/>
            <w:vMerge w:val="continue"/>
            <w:vAlign w:val="center"/>
          </w:tcPr>
          <w:p w14:paraId="5AEC93CB">
            <w:pPr>
              <w:autoSpaceDE w:val="0"/>
              <w:autoSpaceDN w:val="0"/>
              <w:adjustRightInd w:val="0"/>
              <w:snapToGrid w:val="0"/>
              <w:jc w:val="center"/>
              <w:rPr>
                <w:rFonts w:ascii="Times New Roman"/>
                <w:kern w:val="0"/>
                <w:sz w:val="21"/>
                <w:szCs w:val="21"/>
              </w:rPr>
            </w:pPr>
          </w:p>
        </w:tc>
        <w:tc>
          <w:tcPr>
            <w:tcW w:w="434" w:type="pct"/>
            <w:vMerge w:val="continue"/>
            <w:vAlign w:val="center"/>
          </w:tcPr>
          <w:p w14:paraId="18A7C3F7">
            <w:pPr>
              <w:autoSpaceDE w:val="0"/>
              <w:autoSpaceDN w:val="0"/>
              <w:adjustRightInd w:val="0"/>
              <w:snapToGrid w:val="0"/>
              <w:jc w:val="center"/>
              <w:rPr>
                <w:rFonts w:ascii="Times New Roman"/>
                <w:sz w:val="21"/>
                <w:szCs w:val="21"/>
              </w:rPr>
            </w:pPr>
          </w:p>
        </w:tc>
      </w:tr>
      <w:tr w14:paraId="1492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7C2C378">
            <w:pPr>
              <w:autoSpaceDE w:val="0"/>
              <w:autoSpaceDN w:val="0"/>
              <w:adjustRightInd w:val="0"/>
              <w:snapToGrid w:val="0"/>
              <w:jc w:val="center"/>
              <w:rPr>
                <w:rFonts w:ascii="Times New Roman"/>
                <w:sz w:val="21"/>
                <w:szCs w:val="21"/>
              </w:rPr>
            </w:pPr>
          </w:p>
        </w:tc>
        <w:tc>
          <w:tcPr>
            <w:tcW w:w="697" w:type="pct"/>
            <w:vAlign w:val="center"/>
          </w:tcPr>
          <w:p w14:paraId="1F51A805">
            <w:pPr>
              <w:autoSpaceDE w:val="0"/>
              <w:autoSpaceDN w:val="0"/>
              <w:adjustRightInd w:val="0"/>
              <w:snapToGrid w:val="0"/>
              <w:jc w:val="center"/>
              <w:rPr>
                <w:rFonts w:ascii="Times New Roman"/>
                <w:sz w:val="21"/>
                <w:szCs w:val="21"/>
              </w:rPr>
            </w:pPr>
            <w:r>
              <w:rPr>
                <w:rFonts w:ascii="Times New Roman"/>
                <w:sz w:val="21"/>
                <w:szCs w:val="21"/>
              </w:rPr>
              <w:t>激光直口切割机</w:t>
            </w:r>
          </w:p>
        </w:tc>
        <w:tc>
          <w:tcPr>
            <w:tcW w:w="346" w:type="pct"/>
            <w:vAlign w:val="center"/>
          </w:tcPr>
          <w:p w14:paraId="43CF7047">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F5AB051">
            <w:pPr>
              <w:autoSpaceDE w:val="0"/>
              <w:autoSpaceDN w:val="0"/>
              <w:adjustRightInd w:val="0"/>
              <w:snapToGrid w:val="0"/>
              <w:jc w:val="center"/>
              <w:rPr>
                <w:rFonts w:ascii="Times New Roman"/>
                <w:sz w:val="21"/>
                <w:szCs w:val="21"/>
              </w:rPr>
            </w:pPr>
          </w:p>
        </w:tc>
        <w:tc>
          <w:tcPr>
            <w:tcW w:w="208" w:type="pct"/>
            <w:vAlign w:val="center"/>
          </w:tcPr>
          <w:p w14:paraId="20FCEEEA">
            <w:pPr>
              <w:autoSpaceDE w:val="0"/>
              <w:autoSpaceDN w:val="0"/>
              <w:adjustRightInd w:val="0"/>
              <w:snapToGrid w:val="0"/>
              <w:jc w:val="center"/>
              <w:rPr>
                <w:rFonts w:ascii="Times New Roman"/>
                <w:sz w:val="21"/>
                <w:szCs w:val="21"/>
              </w:rPr>
            </w:pPr>
            <w:r>
              <w:rPr>
                <w:rFonts w:ascii="Times New Roman"/>
                <w:sz w:val="21"/>
                <w:szCs w:val="21"/>
              </w:rPr>
              <w:t>250</w:t>
            </w:r>
          </w:p>
        </w:tc>
        <w:tc>
          <w:tcPr>
            <w:tcW w:w="201" w:type="pct"/>
            <w:vAlign w:val="center"/>
          </w:tcPr>
          <w:p w14:paraId="3BCAF871">
            <w:pPr>
              <w:autoSpaceDE w:val="0"/>
              <w:autoSpaceDN w:val="0"/>
              <w:adjustRightInd w:val="0"/>
              <w:snapToGrid w:val="0"/>
              <w:jc w:val="center"/>
              <w:rPr>
                <w:rFonts w:ascii="Times New Roman"/>
                <w:sz w:val="21"/>
                <w:szCs w:val="21"/>
              </w:rPr>
            </w:pPr>
            <w:r>
              <w:rPr>
                <w:rFonts w:ascii="Times New Roman"/>
                <w:sz w:val="21"/>
                <w:szCs w:val="21"/>
              </w:rPr>
              <w:t>46</w:t>
            </w:r>
          </w:p>
        </w:tc>
        <w:tc>
          <w:tcPr>
            <w:tcW w:w="240" w:type="pct"/>
            <w:vAlign w:val="center"/>
          </w:tcPr>
          <w:p w14:paraId="08E4B3B1">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0C319DAF">
            <w:pPr>
              <w:autoSpaceDE w:val="0"/>
              <w:autoSpaceDN w:val="0"/>
              <w:adjustRightInd w:val="0"/>
              <w:snapToGrid w:val="0"/>
              <w:jc w:val="center"/>
              <w:rPr>
                <w:rFonts w:ascii="Times New Roman"/>
                <w:sz w:val="21"/>
                <w:szCs w:val="21"/>
              </w:rPr>
            </w:pPr>
            <w:r>
              <w:rPr>
                <w:rFonts w:ascii="Times New Roman"/>
                <w:sz w:val="21"/>
                <w:szCs w:val="21"/>
              </w:rPr>
              <w:t>30.15</w:t>
            </w:r>
          </w:p>
        </w:tc>
        <w:tc>
          <w:tcPr>
            <w:tcW w:w="358" w:type="pct"/>
            <w:vAlign w:val="center"/>
          </w:tcPr>
          <w:p w14:paraId="603AE046">
            <w:pPr>
              <w:autoSpaceDE w:val="0"/>
              <w:autoSpaceDN w:val="0"/>
              <w:adjustRightInd w:val="0"/>
              <w:snapToGrid w:val="0"/>
              <w:jc w:val="center"/>
              <w:rPr>
                <w:rFonts w:ascii="Times New Roman"/>
                <w:sz w:val="21"/>
                <w:szCs w:val="21"/>
              </w:rPr>
            </w:pPr>
            <w:r>
              <w:rPr>
                <w:rFonts w:ascii="Times New Roman"/>
                <w:sz w:val="21"/>
                <w:szCs w:val="21"/>
              </w:rPr>
              <w:t>50</w:t>
            </w:r>
          </w:p>
        </w:tc>
        <w:tc>
          <w:tcPr>
            <w:tcW w:w="316" w:type="pct"/>
            <w:vMerge w:val="continue"/>
            <w:vAlign w:val="center"/>
          </w:tcPr>
          <w:p w14:paraId="14A88AE9">
            <w:pPr>
              <w:autoSpaceDE w:val="0"/>
              <w:autoSpaceDN w:val="0"/>
              <w:adjustRightInd w:val="0"/>
              <w:snapToGrid w:val="0"/>
              <w:jc w:val="center"/>
              <w:rPr>
                <w:rFonts w:ascii="Times New Roman"/>
                <w:sz w:val="21"/>
                <w:szCs w:val="21"/>
              </w:rPr>
            </w:pPr>
          </w:p>
        </w:tc>
        <w:tc>
          <w:tcPr>
            <w:tcW w:w="551" w:type="pct"/>
            <w:vAlign w:val="center"/>
          </w:tcPr>
          <w:p w14:paraId="00649D6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E066F28">
            <w:pPr>
              <w:autoSpaceDE w:val="0"/>
              <w:autoSpaceDN w:val="0"/>
              <w:adjustRightInd w:val="0"/>
              <w:snapToGrid w:val="0"/>
              <w:jc w:val="center"/>
              <w:rPr>
                <w:rFonts w:ascii="Times New Roman"/>
                <w:sz w:val="21"/>
                <w:szCs w:val="21"/>
              </w:rPr>
            </w:pPr>
          </w:p>
        </w:tc>
        <w:tc>
          <w:tcPr>
            <w:tcW w:w="287" w:type="pct"/>
            <w:vMerge w:val="continue"/>
            <w:vAlign w:val="center"/>
          </w:tcPr>
          <w:p w14:paraId="2769048E">
            <w:pPr>
              <w:autoSpaceDE w:val="0"/>
              <w:autoSpaceDN w:val="0"/>
              <w:adjustRightInd w:val="0"/>
              <w:snapToGrid w:val="0"/>
              <w:jc w:val="center"/>
              <w:rPr>
                <w:rFonts w:ascii="Times New Roman"/>
                <w:sz w:val="21"/>
                <w:szCs w:val="21"/>
              </w:rPr>
            </w:pPr>
          </w:p>
        </w:tc>
        <w:tc>
          <w:tcPr>
            <w:tcW w:w="434" w:type="pct"/>
            <w:vMerge w:val="continue"/>
            <w:vAlign w:val="center"/>
          </w:tcPr>
          <w:p w14:paraId="0A334887">
            <w:pPr>
              <w:autoSpaceDE w:val="0"/>
              <w:autoSpaceDN w:val="0"/>
              <w:adjustRightInd w:val="0"/>
              <w:snapToGrid w:val="0"/>
              <w:jc w:val="center"/>
              <w:rPr>
                <w:rFonts w:ascii="Times New Roman"/>
                <w:sz w:val="21"/>
                <w:szCs w:val="21"/>
              </w:rPr>
            </w:pPr>
          </w:p>
        </w:tc>
      </w:tr>
      <w:tr w14:paraId="1535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94679A0">
            <w:pPr>
              <w:autoSpaceDE w:val="0"/>
              <w:autoSpaceDN w:val="0"/>
              <w:adjustRightInd w:val="0"/>
              <w:snapToGrid w:val="0"/>
              <w:jc w:val="center"/>
              <w:rPr>
                <w:rFonts w:ascii="Times New Roman"/>
                <w:sz w:val="21"/>
                <w:szCs w:val="21"/>
              </w:rPr>
            </w:pPr>
          </w:p>
        </w:tc>
        <w:tc>
          <w:tcPr>
            <w:tcW w:w="697" w:type="pct"/>
            <w:vAlign w:val="center"/>
          </w:tcPr>
          <w:p w14:paraId="5D180A09">
            <w:pPr>
              <w:autoSpaceDE w:val="0"/>
              <w:autoSpaceDN w:val="0"/>
              <w:adjustRightInd w:val="0"/>
              <w:snapToGrid w:val="0"/>
              <w:jc w:val="center"/>
              <w:rPr>
                <w:rFonts w:ascii="Times New Roman"/>
                <w:sz w:val="21"/>
                <w:szCs w:val="21"/>
              </w:rPr>
            </w:pPr>
            <w:r>
              <w:rPr>
                <w:rFonts w:ascii="Times New Roman"/>
                <w:sz w:val="21"/>
                <w:szCs w:val="21"/>
              </w:rPr>
              <w:t>激光直口切割机</w:t>
            </w:r>
          </w:p>
        </w:tc>
        <w:tc>
          <w:tcPr>
            <w:tcW w:w="346" w:type="pct"/>
            <w:vAlign w:val="center"/>
          </w:tcPr>
          <w:p w14:paraId="3FDDF958">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7D9DB47">
            <w:pPr>
              <w:autoSpaceDE w:val="0"/>
              <w:autoSpaceDN w:val="0"/>
              <w:adjustRightInd w:val="0"/>
              <w:snapToGrid w:val="0"/>
              <w:jc w:val="center"/>
              <w:rPr>
                <w:rFonts w:ascii="Times New Roman"/>
                <w:sz w:val="21"/>
                <w:szCs w:val="21"/>
              </w:rPr>
            </w:pPr>
          </w:p>
        </w:tc>
        <w:tc>
          <w:tcPr>
            <w:tcW w:w="208" w:type="pct"/>
            <w:vAlign w:val="center"/>
          </w:tcPr>
          <w:p w14:paraId="5EB4783E">
            <w:pPr>
              <w:autoSpaceDE w:val="0"/>
              <w:autoSpaceDN w:val="0"/>
              <w:adjustRightInd w:val="0"/>
              <w:snapToGrid w:val="0"/>
              <w:jc w:val="center"/>
              <w:rPr>
                <w:rFonts w:ascii="Times New Roman"/>
                <w:sz w:val="21"/>
                <w:szCs w:val="21"/>
              </w:rPr>
            </w:pPr>
            <w:r>
              <w:rPr>
                <w:rFonts w:ascii="Times New Roman"/>
                <w:sz w:val="21"/>
                <w:szCs w:val="21"/>
              </w:rPr>
              <w:t>250</w:t>
            </w:r>
          </w:p>
        </w:tc>
        <w:tc>
          <w:tcPr>
            <w:tcW w:w="201" w:type="pct"/>
            <w:vAlign w:val="center"/>
          </w:tcPr>
          <w:p w14:paraId="338FD881">
            <w:pPr>
              <w:autoSpaceDE w:val="0"/>
              <w:autoSpaceDN w:val="0"/>
              <w:adjustRightInd w:val="0"/>
              <w:snapToGrid w:val="0"/>
              <w:jc w:val="center"/>
              <w:rPr>
                <w:rFonts w:ascii="Times New Roman"/>
                <w:sz w:val="21"/>
                <w:szCs w:val="21"/>
              </w:rPr>
            </w:pPr>
            <w:r>
              <w:rPr>
                <w:rFonts w:ascii="Times New Roman"/>
                <w:sz w:val="21"/>
                <w:szCs w:val="21"/>
              </w:rPr>
              <w:t>56</w:t>
            </w:r>
          </w:p>
        </w:tc>
        <w:tc>
          <w:tcPr>
            <w:tcW w:w="240" w:type="pct"/>
            <w:vAlign w:val="center"/>
          </w:tcPr>
          <w:p w14:paraId="2CFFEABA">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0CAC628">
            <w:pPr>
              <w:autoSpaceDE w:val="0"/>
              <w:autoSpaceDN w:val="0"/>
              <w:adjustRightInd w:val="0"/>
              <w:snapToGrid w:val="0"/>
              <w:jc w:val="center"/>
              <w:rPr>
                <w:rFonts w:ascii="Times New Roman"/>
                <w:sz w:val="21"/>
                <w:szCs w:val="21"/>
              </w:rPr>
            </w:pPr>
            <w:r>
              <w:rPr>
                <w:rFonts w:ascii="Times New Roman"/>
                <w:sz w:val="21"/>
                <w:szCs w:val="21"/>
              </w:rPr>
              <w:t>40.15</w:t>
            </w:r>
          </w:p>
        </w:tc>
        <w:tc>
          <w:tcPr>
            <w:tcW w:w="358" w:type="pct"/>
            <w:vAlign w:val="center"/>
          </w:tcPr>
          <w:p w14:paraId="330030C4">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2F1D98E9">
            <w:pPr>
              <w:autoSpaceDE w:val="0"/>
              <w:autoSpaceDN w:val="0"/>
              <w:adjustRightInd w:val="0"/>
              <w:snapToGrid w:val="0"/>
              <w:jc w:val="center"/>
              <w:rPr>
                <w:rFonts w:ascii="Times New Roman"/>
                <w:sz w:val="21"/>
                <w:szCs w:val="21"/>
              </w:rPr>
            </w:pPr>
          </w:p>
        </w:tc>
        <w:tc>
          <w:tcPr>
            <w:tcW w:w="551" w:type="pct"/>
            <w:vAlign w:val="center"/>
          </w:tcPr>
          <w:p w14:paraId="6DC95FB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401DC71">
            <w:pPr>
              <w:autoSpaceDE w:val="0"/>
              <w:autoSpaceDN w:val="0"/>
              <w:adjustRightInd w:val="0"/>
              <w:snapToGrid w:val="0"/>
              <w:jc w:val="center"/>
              <w:rPr>
                <w:rFonts w:ascii="Times New Roman"/>
                <w:sz w:val="21"/>
                <w:szCs w:val="21"/>
              </w:rPr>
            </w:pPr>
          </w:p>
        </w:tc>
        <w:tc>
          <w:tcPr>
            <w:tcW w:w="287" w:type="pct"/>
            <w:vMerge w:val="continue"/>
            <w:vAlign w:val="center"/>
          </w:tcPr>
          <w:p w14:paraId="0747D809">
            <w:pPr>
              <w:autoSpaceDE w:val="0"/>
              <w:autoSpaceDN w:val="0"/>
              <w:adjustRightInd w:val="0"/>
              <w:snapToGrid w:val="0"/>
              <w:jc w:val="center"/>
              <w:rPr>
                <w:rFonts w:ascii="Times New Roman"/>
                <w:sz w:val="21"/>
                <w:szCs w:val="21"/>
              </w:rPr>
            </w:pPr>
          </w:p>
        </w:tc>
        <w:tc>
          <w:tcPr>
            <w:tcW w:w="434" w:type="pct"/>
            <w:vMerge w:val="continue"/>
            <w:vAlign w:val="center"/>
          </w:tcPr>
          <w:p w14:paraId="0204B0FF">
            <w:pPr>
              <w:autoSpaceDE w:val="0"/>
              <w:autoSpaceDN w:val="0"/>
              <w:adjustRightInd w:val="0"/>
              <w:snapToGrid w:val="0"/>
              <w:jc w:val="center"/>
              <w:rPr>
                <w:rFonts w:ascii="Times New Roman"/>
                <w:sz w:val="21"/>
                <w:szCs w:val="21"/>
              </w:rPr>
            </w:pPr>
          </w:p>
        </w:tc>
      </w:tr>
      <w:tr w14:paraId="4F19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E488F99">
            <w:pPr>
              <w:autoSpaceDE w:val="0"/>
              <w:autoSpaceDN w:val="0"/>
              <w:adjustRightInd w:val="0"/>
              <w:snapToGrid w:val="0"/>
              <w:jc w:val="center"/>
              <w:rPr>
                <w:rFonts w:ascii="Times New Roman"/>
                <w:sz w:val="21"/>
                <w:szCs w:val="21"/>
              </w:rPr>
            </w:pPr>
          </w:p>
        </w:tc>
        <w:tc>
          <w:tcPr>
            <w:tcW w:w="697" w:type="pct"/>
            <w:vAlign w:val="center"/>
          </w:tcPr>
          <w:p w14:paraId="11C649BD">
            <w:pPr>
              <w:autoSpaceDE w:val="0"/>
              <w:autoSpaceDN w:val="0"/>
              <w:adjustRightInd w:val="0"/>
              <w:snapToGrid w:val="0"/>
              <w:jc w:val="center"/>
              <w:rPr>
                <w:rFonts w:ascii="Times New Roman"/>
                <w:sz w:val="21"/>
                <w:szCs w:val="21"/>
              </w:rPr>
            </w:pPr>
            <w:r>
              <w:rPr>
                <w:rFonts w:ascii="Times New Roman"/>
                <w:sz w:val="21"/>
                <w:szCs w:val="21"/>
              </w:rPr>
              <w:t>板材直口切割机</w:t>
            </w:r>
          </w:p>
        </w:tc>
        <w:tc>
          <w:tcPr>
            <w:tcW w:w="346" w:type="pct"/>
            <w:vAlign w:val="center"/>
          </w:tcPr>
          <w:p w14:paraId="295FFD1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53A0DC9">
            <w:pPr>
              <w:autoSpaceDE w:val="0"/>
              <w:autoSpaceDN w:val="0"/>
              <w:adjustRightInd w:val="0"/>
              <w:snapToGrid w:val="0"/>
              <w:jc w:val="center"/>
              <w:rPr>
                <w:rFonts w:ascii="Times New Roman"/>
                <w:sz w:val="21"/>
                <w:szCs w:val="21"/>
              </w:rPr>
            </w:pPr>
          </w:p>
        </w:tc>
        <w:tc>
          <w:tcPr>
            <w:tcW w:w="208" w:type="pct"/>
            <w:vAlign w:val="center"/>
          </w:tcPr>
          <w:p w14:paraId="0EC97B04">
            <w:pPr>
              <w:autoSpaceDE w:val="0"/>
              <w:autoSpaceDN w:val="0"/>
              <w:adjustRightInd w:val="0"/>
              <w:snapToGrid w:val="0"/>
              <w:jc w:val="center"/>
              <w:rPr>
                <w:rFonts w:ascii="Times New Roman"/>
                <w:sz w:val="21"/>
                <w:szCs w:val="21"/>
              </w:rPr>
            </w:pPr>
            <w:r>
              <w:rPr>
                <w:rFonts w:ascii="Times New Roman"/>
                <w:sz w:val="21"/>
                <w:szCs w:val="21"/>
              </w:rPr>
              <w:t>250</w:t>
            </w:r>
          </w:p>
        </w:tc>
        <w:tc>
          <w:tcPr>
            <w:tcW w:w="201" w:type="pct"/>
            <w:vAlign w:val="center"/>
          </w:tcPr>
          <w:p w14:paraId="4E664297">
            <w:pPr>
              <w:autoSpaceDE w:val="0"/>
              <w:autoSpaceDN w:val="0"/>
              <w:adjustRightInd w:val="0"/>
              <w:snapToGrid w:val="0"/>
              <w:jc w:val="center"/>
              <w:rPr>
                <w:rFonts w:ascii="Times New Roman"/>
                <w:sz w:val="21"/>
                <w:szCs w:val="21"/>
              </w:rPr>
            </w:pPr>
            <w:r>
              <w:rPr>
                <w:rFonts w:ascii="Times New Roman"/>
                <w:sz w:val="21"/>
                <w:szCs w:val="21"/>
              </w:rPr>
              <w:t>66</w:t>
            </w:r>
          </w:p>
        </w:tc>
        <w:tc>
          <w:tcPr>
            <w:tcW w:w="240" w:type="pct"/>
            <w:vAlign w:val="center"/>
          </w:tcPr>
          <w:p w14:paraId="32CB3094">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4415CAB1">
            <w:pPr>
              <w:autoSpaceDE w:val="0"/>
              <w:autoSpaceDN w:val="0"/>
              <w:adjustRightInd w:val="0"/>
              <w:snapToGrid w:val="0"/>
              <w:jc w:val="center"/>
              <w:rPr>
                <w:rFonts w:ascii="Times New Roman"/>
                <w:sz w:val="21"/>
                <w:szCs w:val="21"/>
              </w:rPr>
            </w:pPr>
            <w:r>
              <w:rPr>
                <w:rFonts w:ascii="Times New Roman"/>
                <w:sz w:val="21"/>
                <w:szCs w:val="21"/>
              </w:rPr>
              <w:t>48.52</w:t>
            </w:r>
          </w:p>
        </w:tc>
        <w:tc>
          <w:tcPr>
            <w:tcW w:w="358" w:type="pct"/>
            <w:vAlign w:val="center"/>
          </w:tcPr>
          <w:p w14:paraId="25E5992B">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73ACA18B">
            <w:pPr>
              <w:autoSpaceDE w:val="0"/>
              <w:autoSpaceDN w:val="0"/>
              <w:adjustRightInd w:val="0"/>
              <w:snapToGrid w:val="0"/>
              <w:jc w:val="center"/>
              <w:rPr>
                <w:rFonts w:ascii="Times New Roman"/>
                <w:sz w:val="21"/>
                <w:szCs w:val="21"/>
              </w:rPr>
            </w:pPr>
          </w:p>
        </w:tc>
        <w:tc>
          <w:tcPr>
            <w:tcW w:w="551" w:type="pct"/>
            <w:vAlign w:val="center"/>
          </w:tcPr>
          <w:p w14:paraId="13BDCD8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A251901">
            <w:pPr>
              <w:autoSpaceDE w:val="0"/>
              <w:autoSpaceDN w:val="0"/>
              <w:adjustRightInd w:val="0"/>
              <w:snapToGrid w:val="0"/>
              <w:jc w:val="center"/>
              <w:rPr>
                <w:rFonts w:ascii="Times New Roman"/>
                <w:sz w:val="21"/>
                <w:szCs w:val="21"/>
              </w:rPr>
            </w:pPr>
          </w:p>
        </w:tc>
        <w:tc>
          <w:tcPr>
            <w:tcW w:w="287" w:type="pct"/>
            <w:vMerge w:val="continue"/>
            <w:vAlign w:val="center"/>
          </w:tcPr>
          <w:p w14:paraId="2E336D4B">
            <w:pPr>
              <w:autoSpaceDE w:val="0"/>
              <w:autoSpaceDN w:val="0"/>
              <w:adjustRightInd w:val="0"/>
              <w:snapToGrid w:val="0"/>
              <w:jc w:val="center"/>
              <w:rPr>
                <w:rFonts w:ascii="Times New Roman"/>
                <w:sz w:val="21"/>
                <w:szCs w:val="21"/>
              </w:rPr>
            </w:pPr>
          </w:p>
        </w:tc>
        <w:tc>
          <w:tcPr>
            <w:tcW w:w="434" w:type="pct"/>
            <w:vMerge w:val="continue"/>
            <w:vAlign w:val="center"/>
          </w:tcPr>
          <w:p w14:paraId="5B223EBE">
            <w:pPr>
              <w:autoSpaceDE w:val="0"/>
              <w:autoSpaceDN w:val="0"/>
              <w:adjustRightInd w:val="0"/>
              <w:snapToGrid w:val="0"/>
              <w:jc w:val="center"/>
              <w:rPr>
                <w:rFonts w:ascii="Times New Roman"/>
                <w:sz w:val="21"/>
                <w:szCs w:val="21"/>
              </w:rPr>
            </w:pPr>
          </w:p>
        </w:tc>
      </w:tr>
      <w:tr w14:paraId="189A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A6A10CE">
            <w:pPr>
              <w:autoSpaceDE w:val="0"/>
              <w:autoSpaceDN w:val="0"/>
              <w:adjustRightInd w:val="0"/>
              <w:snapToGrid w:val="0"/>
              <w:jc w:val="center"/>
              <w:rPr>
                <w:rFonts w:ascii="Times New Roman"/>
                <w:sz w:val="21"/>
                <w:szCs w:val="21"/>
              </w:rPr>
            </w:pPr>
          </w:p>
        </w:tc>
        <w:tc>
          <w:tcPr>
            <w:tcW w:w="697" w:type="pct"/>
            <w:vAlign w:val="center"/>
          </w:tcPr>
          <w:p w14:paraId="44247AB3">
            <w:pPr>
              <w:autoSpaceDE w:val="0"/>
              <w:autoSpaceDN w:val="0"/>
              <w:adjustRightInd w:val="0"/>
              <w:snapToGrid w:val="0"/>
              <w:jc w:val="center"/>
              <w:rPr>
                <w:rFonts w:ascii="Times New Roman"/>
                <w:sz w:val="21"/>
                <w:szCs w:val="21"/>
              </w:rPr>
            </w:pPr>
            <w:r>
              <w:rPr>
                <w:rFonts w:ascii="Times New Roman"/>
                <w:sz w:val="21"/>
                <w:szCs w:val="21"/>
              </w:rPr>
              <w:t>板材直口切割机</w:t>
            </w:r>
          </w:p>
        </w:tc>
        <w:tc>
          <w:tcPr>
            <w:tcW w:w="346" w:type="pct"/>
            <w:vAlign w:val="center"/>
          </w:tcPr>
          <w:p w14:paraId="445669B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EACCB9B">
            <w:pPr>
              <w:autoSpaceDE w:val="0"/>
              <w:autoSpaceDN w:val="0"/>
              <w:adjustRightInd w:val="0"/>
              <w:snapToGrid w:val="0"/>
              <w:jc w:val="center"/>
              <w:rPr>
                <w:rFonts w:ascii="Times New Roman"/>
                <w:sz w:val="21"/>
                <w:szCs w:val="21"/>
              </w:rPr>
            </w:pPr>
          </w:p>
        </w:tc>
        <w:tc>
          <w:tcPr>
            <w:tcW w:w="208" w:type="pct"/>
            <w:vAlign w:val="center"/>
          </w:tcPr>
          <w:p w14:paraId="51B65552">
            <w:pPr>
              <w:autoSpaceDE w:val="0"/>
              <w:autoSpaceDN w:val="0"/>
              <w:adjustRightInd w:val="0"/>
              <w:snapToGrid w:val="0"/>
              <w:jc w:val="center"/>
              <w:rPr>
                <w:rFonts w:ascii="Times New Roman"/>
                <w:sz w:val="21"/>
                <w:szCs w:val="21"/>
              </w:rPr>
            </w:pPr>
            <w:r>
              <w:rPr>
                <w:rFonts w:ascii="Times New Roman"/>
                <w:sz w:val="21"/>
                <w:szCs w:val="21"/>
              </w:rPr>
              <w:t>270</w:t>
            </w:r>
          </w:p>
        </w:tc>
        <w:tc>
          <w:tcPr>
            <w:tcW w:w="201" w:type="pct"/>
            <w:vAlign w:val="center"/>
          </w:tcPr>
          <w:p w14:paraId="6712D8F0">
            <w:pPr>
              <w:autoSpaceDE w:val="0"/>
              <w:autoSpaceDN w:val="0"/>
              <w:adjustRightInd w:val="0"/>
              <w:snapToGrid w:val="0"/>
              <w:jc w:val="center"/>
              <w:rPr>
                <w:rFonts w:ascii="Times New Roman"/>
                <w:sz w:val="21"/>
                <w:szCs w:val="21"/>
              </w:rPr>
            </w:pPr>
            <w:r>
              <w:rPr>
                <w:rFonts w:ascii="Times New Roman"/>
                <w:sz w:val="21"/>
                <w:szCs w:val="21"/>
              </w:rPr>
              <w:t>46</w:t>
            </w:r>
          </w:p>
        </w:tc>
        <w:tc>
          <w:tcPr>
            <w:tcW w:w="240" w:type="pct"/>
            <w:vAlign w:val="center"/>
          </w:tcPr>
          <w:p w14:paraId="5383112B">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0D4C0356">
            <w:pPr>
              <w:autoSpaceDE w:val="0"/>
              <w:autoSpaceDN w:val="0"/>
              <w:adjustRightInd w:val="0"/>
              <w:snapToGrid w:val="0"/>
              <w:jc w:val="center"/>
              <w:rPr>
                <w:rFonts w:ascii="Times New Roman"/>
                <w:sz w:val="21"/>
                <w:szCs w:val="21"/>
              </w:rPr>
            </w:pPr>
            <w:r>
              <w:rPr>
                <w:rFonts w:ascii="Times New Roman"/>
                <w:sz w:val="21"/>
                <w:szCs w:val="21"/>
              </w:rPr>
              <w:t>30.15</w:t>
            </w:r>
          </w:p>
        </w:tc>
        <w:tc>
          <w:tcPr>
            <w:tcW w:w="358" w:type="pct"/>
            <w:vAlign w:val="center"/>
          </w:tcPr>
          <w:p w14:paraId="1703CBE7">
            <w:pPr>
              <w:autoSpaceDE w:val="0"/>
              <w:autoSpaceDN w:val="0"/>
              <w:adjustRightInd w:val="0"/>
              <w:snapToGrid w:val="0"/>
              <w:jc w:val="center"/>
              <w:rPr>
                <w:rFonts w:ascii="Times New Roman"/>
                <w:sz w:val="21"/>
                <w:szCs w:val="21"/>
              </w:rPr>
            </w:pPr>
            <w:r>
              <w:rPr>
                <w:rFonts w:ascii="Times New Roman"/>
                <w:sz w:val="21"/>
                <w:szCs w:val="21"/>
              </w:rPr>
              <w:t>50</w:t>
            </w:r>
          </w:p>
        </w:tc>
        <w:tc>
          <w:tcPr>
            <w:tcW w:w="316" w:type="pct"/>
            <w:vMerge w:val="continue"/>
            <w:vAlign w:val="center"/>
          </w:tcPr>
          <w:p w14:paraId="3BACA4A5">
            <w:pPr>
              <w:autoSpaceDE w:val="0"/>
              <w:autoSpaceDN w:val="0"/>
              <w:adjustRightInd w:val="0"/>
              <w:snapToGrid w:val="0"/>
              <w:jc w:val="center"/>
              <w:rPr>
                <w:rFonts w:ascii="Times New Roman"/>
                <w:sz w:val="21"/>
                <w:szCs w:val="21"/>
              </w:rPr>
            </w:pPr>
          </w:p>
        </w:tc>
        <w:tc>
          <w:tcPr>
            <w:tcW w:w="551" w:type="pct"/>
            <w:vAlign w:val="center"/>
          </w:tcPr>
          <w:p w14:paraId="3562F47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5076B0C">
            <w:pPr>
              <w:autoSpaceDE w:val="0"/>
              <w:autoSpaceDN w:val="0"/>
              <w:adjustRightInd w:val="0"/>
              <w:snapToGrid w:val="0"/>
              <w:jc w:val="center"/>
              <w:rPr>
                <w:rFonts w:ascii="Times New Roman"/>
                <w:sz w:val="21"/>
                <w:szCs w:val="21"/>
              </w:rPr>
            </w:pPr>
          </w:p>
        </w:tc>
        <w:tc>
          <w:tcPr>
            <w:tcW w:w="287" w:type="pct"/>
            <w:vMerge w:val="continue"/>
            <w:vAlign w:val="center"/>
          </w:tcPr>
          <w:p w14:paraId="59E05663">
            <w:pPr>
              <w:autoSpaceDE w:val="0"/>
              <w:autoSpaceDN w:val="0"/>
              <w:adjustRightInd w:val="0"/>
              <w:snapToGrid w:val="0"/>
              <w:jc w:val="center"/>
              <w:rPr>
                <w:rFonts w:ascii="Times New Roman"/>
                <w:sz w:val="21"/>
                <w:szCs w:val="21"/>
              </w:rPr>
            </w:pPr>
          </w:p>
        </w:tc>
        <w:tc>
          <w:tcPr>
            <w:tcW w:w="434" w:type="pct"/>
            <w:vMerge w:val="continue"/>
            <w:vAlign w:val="center"/>
          </w:tcPr>
          <w:p w14:paraId="1751D6D7">
            <w:pPr>
              <w:autoSpaceDE w:val="0"/>
              <w:autoSpaceDN w:val="0"/>
              <w:adjustRightInd w:val="0"/>
              <w:snapToGrid w:val="0"/>
              <w:jc w:val="center"/>
              <w:rPr>
                <w:rFonts w:ascii="Times New Roman"/>
                <w:sz w:val="21"/>
                <w:szCs w:val="21"/>
              </w:rPr>
            </w:pPr>
          </w:p>
        </w:tc>
      </w:tr>
      <w:tr w14:paraId="7B19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D3AAFF4">
            <w:pPr>
              <w:autoSpaceDE w:val="0"/>
              <w:autoSpaceDN w:val="0"/>
              <w:adjustRightInd w:val="0"/>
              <w:snapToGrid w:val="0"/>
              <w:jc w:val="center"/>
              <w:rPr>
                <w:rFonts w:ascii="Times New Roman"/>
                <w:sz w:val="21"/>
                <w:szCs w:val="21"/>
              </w:rPr>
            </w:pPr>
          </w:p>
        </w:tc>
        <w:tc>
          <w:tcPr>
            <w:tcW w:w="697" w:type="pct"/>
            <w:vAlign w:val="center"/>
          </w:tcPr>
          <w:p w14:paraId="7D61E98C">
            <w:pPr>
              <w:autoSpaceDE w:val="0"/>
              <w:autoSpaceDN w:val="0"/>
              <w:adjustRightInd w:val="0"/>
              <w:snapToGrid w:val="0"/>
              <w:jc w:val="center"/>
              <w:rPr>
                <w:rFonts w:ascii="Times New Roman"/>
                <w:sz w:val="21"/>
                <w:szCs w:val="21"/>
              </w:rPr>
            </w:pPr>
            <w:r>
              <w:rPr>
                <w:rFonts w:ascii="Times New Roman"/>
                <w:sz w:val="21"/>
                <w:szCs w:val="21"/>
              </w:rPr>
              <w:t>板材直口切割机</w:t>
            </w:r>
          </w:p>
        </w:tc>
        <w:tc>
          <w:tcPr>
            <w:tcW w:w="346" w:type="pct"/>
            <w:vAlign w:val="center"/>
          </w:tcPr>
          <w:p w14:paraId="33EF08E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A270E74">
            <w:pPr>
              <w:autoSpaceDE w:val="0"/>
              <w:autoSpaceDN w:val="0"/>
              <w:adjustRightInd w:val="0"/>
              <w:snapToGrid w:val="0"/>
              <w:jc w:val="center"/>
              <w:rPr>
                <w:rFonts w:ascii="Times New Roman"/>
                <w:sz w:val="21"/>
                <w:szCs w:val="21"/>
              </w:rPr>
            </w:pPr>
          </w:p>
        </w:tc>
        <w:tc>
          <w:tcPr>
            <w:tcW w:w="208" w:type="pct"/>
            <w:vAlign w:val="center"/>
          </w:tcPr>
          <w:p w14:paraId="7955718D">
            <w:pPr>
              <w:autoSpaceDE w:val="0"/>
              <w:autoSpaceDN w:val="0"/>
              <w:adjustRightInd w:val="0"/>
              <w:snapToGrid w:val="0"/>
              <w:jc w:val="center"/>
              <w:rPr>
                <w:rFonts w:ascii="Times New Roman"/>
                <w:sz w:val="21"/>
                <w:szCs w:val="21"/>
              </w:rPr>
            </w:pPr>
            <w:r>
              <w:rPr>
                <w:rFonts w:ascii="Times New Roman"/>
                <w:sz w:val="21"/>
                <w:szCs w:val="21"/>
              </w:rPr>
              <w:t>270</w:t>
            </w:r>
          </w:p>
        </w:tc>
        <w:tc>
          <w:tcPr>
            <w:tcW w:w="201" w:type="pct"/>
            <w:vAlign w:val="center"/>
          </w:tcPr>
          <w:p w14:paraId="6FC2F293">
            <w:pPr>
              <w:autoSpaceDE w:val="0"/>
              <w:autoSpaceDN w:val="0"/>
              <w:adjustRightInd w:val="0"/>
              <w:snapToGrid w:val="0"/>
              <w:jc w:val="center"/>
              <w:rPr>
                <w:rFonts w:ascii="Times New Roman"/>
                <w:sz w:val="21"/>
                <w:szCs w:val="21"/>
              </w:rPr>
            </w:pPr>
            <w:r>
              <w:rPr>
                <w:rFonts w:ascii="Times New Roman"/>
                <w:sz w:val="21"/>
                <w:szCs w:val="21"/>
              </w:rPr>
              <w:t>56</w:t>
            </w:r>
          </w:p>
        </w:tc>
        <w:tc>
          <w:tcPr>
            <w:tcW w:w="240" w:type="pct"/>
            <w:vAlign w:val="center"/>
          </w:tcPr>
          <w:p w14:paraId="40148FA6">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1BDA5A88">
            <w:pPr>
              <w:autoSpaceDE w:val="0"/>
              <w:autoSpaceDN w:val="0"/>
              <w:adjustRightInd w:val="0"/>
              <w:snapToGrid w:val="0"/>
              <w:jc w:val="center"/>
              <w:rPr>
                <w:rFonts w:ascii="Times New Roman"/>
                <w:sz w:val="21"/>
                <w:szCs w:val="21"/>
              </w:rPr>
            </w:pPr>
            <w:r>
              <w:rPr>
                <w:rFonts w:ascii="Times New Roman"/>
                <w:sz w:val="21"/>
                <w:szCs w:val="21"/>
              </w:rPr>
              <w:t>40.15</w:t>
            </w:r>
          </w:p>
        </w:tc>
        <w:tc>
          <w:tcPr>
            <w:tcW w:w="358" w:type="pct"/>
            <w:vAlign w:val="center"/>
          </w:tcPr>
          <w:p w14:paraId="0A9AB069">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45CD7D52">
            <w:pPr>
              <w:autoSpaceDE w:val="0"/>
              <w:autoSpaceDN w:val="0"/>
              <w:adjustRightInd w:val="0"/>
              <w:snapToGrid w:val="0"/>
              <w:jc w:val="center"/>
              <w:rPr>
                <w:rFonts w:ascii="Times New Roman"/>
                <w:sz w:val="21"/>
                <w:szCs w:val="21"/>
              </w:rPr>
            </w:pPr>
          </w:p>
        </w:tc>
        <w:tc>
          <w:tcPr>
            <w:tcW w:w="551" w:type="pct"/>
            <w:vAlign w:val="center"/>
          </w:tcPr>
          <w:p w14:paraId="5122FB5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A51F6FA">
            <w:pPr>
              <w:autoSpaceDE w:val="0"/>
              <w:autoSpaceDN w:val="0"/>
              <w:adjustRightInd w:val="0"/>
              <w:snapToGrid w:val="0"/>
              <w:jc w:val="center"/>
              <w:rPr>
                <w:rFonts w:ascii="Times New Roman"/>
                <w:sz w:val="21"/>
                <w:szCs w:val="21"/>
              </w:rPr>
            </w:pPr>
          </w:p>
        </w:tc>
        <w:tc>
          <w:tcPr>
            <w:tcW w:w="287" w:type="pct"/>
            <w:vMerge w:val="continue"/>
            <w:vAlign w:val="center"/>
          </w:tcPr>
          <w:p w14:paraId="567AFC30">
            <w:pPr>
              <w:autoSpaceDE w:val="0"/>
              <w:autoSpaceDN w:val="0"/>
              <w:adjustRightInd w:val="0"/>
              <w:snapToGrid w:val="0"/>
              <w:jc w:val="center"/>
              <w:rPr>
                <w:rFonts w:ascii="Times New Roman"/>
                <w:sz w:val="21"/>
                <w:szCs w:val="21"/>
              </w:rPr>
            </w:pPr>
          </w:p>
        </w:tc>
        <w:tc>
          <w:tcPr>
            <w:tcW w:w="434" w:type="pct"/>
            <w:vMerge w:val="continue"/>
            <w:vAlign w:val="center"/>
          </w:tcPr>
          <w:p w14:paraId="3C5F449E">
            <w:pPr>
              <w:autoSpaceDE w:val="0"/>
              <w:autoSpaceDN w:val="0"/>
              <w:adjustRightInd w:val="0"/>
              <w:snapToGrid w:val="0"/>
              <w:jc w:val="center"/>
              <w:rPr>
                <w:rFonts w:ascii="Times New Roman"/>
                <w:sz w:val="21"/>
                <w:szCs w:val="21"/>
              </w:rPr>
            </w:pPr>
          </w:p>
        </w:tc>
      </w:tr>
      <w:tr w14:paraId="5E98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7D9740">
            <w:pPr>
              <w:autoSpaceDE w:val="0"/>
              <w:autoSpaceDN w:val="0"/>
              <w:adjustRightInd w:val="0"/>
              <w:snapToGrid w:val="0"/>
              <w:jc w:val="center"/>
              <w:rPr>
                <w:rFonts w:ascii="Times New Roman"/>
                <w:sz w:val="21"/>
                <w:szCs w:val="21"/>
              </w:rPr>
            </w:pPr>
          </w:p>
        </w:tc>
        <w:tc>
          <w:tcPr>
            <w:tcW w:w="697" w:type="pct"/>
            <w:vAlign w:val="center"/>
          </w:tcPr>
          <w:p w14:paraId="7F636AE7">
            <w:pPr>
              <w:autoSpaceDE w:val="0"/>
              <w:autoSpaceDN w:val="0"/>
              <w:adjustRightInd w:val="0"/>
              <w:snapToGrid w:val="0"/>
              <w:jc w:val="center"/>
              <w:rPr>
                <w:rFonts w:ascii="Times New Roman"/>
                <w:sz w:val="21"/>
                <w:szCs w:val="21"/>
              </w:rPr>
            </w:pPr>
            <w:r>
              <w:rPr>
                <w:rFonts w:ascii="Times New Roman"/>
                <w:sz w:val="21"/>
                <w:szCs w:val="21"/>
              </w:rPr>
              <w:t>板材直口切割机</w:t>
            </w:r>
          </w:p>
        </w:tc>
        <w:tc>
          <w:tcPr>
            <w:tcW w:w="346" w:type="pct"/>
            <w:vAlign w:val="center"/>
          </w:tcPr>
          <w:p w14:paraId="0B100FB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34C47CF">
            <w:pPr>
              <w:autoSpaceDE w:val="0"/>
              <w:autoSpaceDN w:val="0"/>
              <w:adjustRightInd w:val="0"/>
              <w:snapToGrid w:val="0"/>
              <w:jc w:val="center"/>
              <w:rPr>
                <w:rFonts w:ascii="Times New Roman"/>
                <w:sz w:val="21"/>
                <w:szCs w:val="21"/>
              </w:rPr>
            </w:pPr>
          </w:p>
        </w:tc>
        <w:tc>
          <w:tcPr>
            <w:tcW w:w="208" w:type="pct"/>
            <w:vAlign w:val="center"/>
          </w:tcPr>
          <w:p w14:paraId="7CA0A6DB">
            <w:pPr>
              <w:autoSpaceDE w:val="0"/>
              <w:autoSpaceDN w:val="0"/>
              <w:adjustRightInd w:val="0"/>
              <w:snapToGrid w:val="0"/>
              <w:jc w:val="center"/>
              <w:rPr>
                <w:rFonts w:ascii="Times New Roman"/>
                <w:sz w:val="21"/>
                <w:szCs w:val="21"/>
              </w:rPr>
            </w:pPr>
            <w:r>
              <w:rPr>
                <w:rFonts w:ascii="Times New Roman"/>
                <w:sz w:val="21"/>
                <w:szCs w:val="21"/>
              </w:rPr>
              <w:t>270</w:t>
            </w:r>
          </w:p>
        </w:tc>
        <w:tc>
          <w:tcPr>
            <w:tcW w:w="201" w:type="pct"/>
            <w:vAlign w:val="center"/>
          </w:tcPr>
          <w:p w14:paraId="51A640E5">
            <w:pPr>
              <w:autoSpaceDE w:val="0"/>
              <w:autoSpaceDN w:val="0"/>
              <w:adjustRightInd w:val="0"/>
              <w:snapToGrid w:val="0"/>
              <w:jc w:val="center"/>
              <w:rPr>
                <w:rFonts w:ascii="Times New Roman"/>
                <w:sz w:val="21"/>
                <w:szCs w:val="21"/>
              </w:rPr>
            </w:pPr>
            <w:r>
              <w:rPr>
                <w:rFonts w:ascii="Times New Roman"/>
                <w:sz w:val="21"/>
                <w:szCs w:val="21"/>
              </w:rPr>
              <w:t>66</w:t>
            </w:r>
          </w:p>
        </w:tc>
        <w:tc>
          <w:tcPr>
            <w:tcW w:w="240" w:type="pct"/>
            <w:vAlign w:val="center"/>
          </w:tcPr>
          <w:p w14:paraId="46EF644E">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2B057D97">
            <w:pPr>
              <w:autoSpaceDE w:val="0"/>
              <w:autoSpaceDN w:val="0"/>
              <w:adjustRightInd w:val="0"/>
              <w:snapToGrid w:val="0"/>
              <w:jc w:val="center"/>
              <w:rPr>
                <w:rFonts w:ascii="Times New Roman"/>
                <w:sz w:val="21"/>
                <w:szCs w:val="21"/>
              </w:rPr>
            </w:pPr>
            <w:r>
              <w:rPr>
                <w:rFonts w:ascii="Times New Roman"/>
                <w:sz w:val="21"/>
                <w:szCs w:val="21"/>
              </w:rPr>
              <w:t>50.15</w:t>
            </w:r>
          </w:p>
        </w:tc>
        <w:tc>
          <w:tcPr>
            <w:tcW w:w="358" w:type="pct"/>
            <w:vAlign w:val="center"/>
          </w:tcPr>
          <w:p w14:paraId="0A792827">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5C118A90">
            <w:pPr>
              <w:autoSpaceDE w:val="0"/>
              <w:autoSpaceDN w:val="0"/>
              <w:adjustRightInd w:val="0"/>
              <w:snapToGrid w:val="0"/>
              <w:jc w:val="center"/>
              <w:rPr>
                <w:rFonts w:ascii="Times New Roman"/>
                <w:sz w:val="21"/>
                <w:szCs w:val="21"/>
              </w:rPr>
            </w:pPr>
          </w:p>
        </w:tc>
        <w:tc>
          <w:tcPr>
            <w:tcW w:w="551" w:type="pct"/>
            <w:vAlign w:val="center"/>
          </w:tcPr>
          <w:p w14:paraId="031F87C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B5C9AD2">
            <w:pPr>
              <w:autoSpaceDE w:val="0"/>
              <w:autoSpaceDN w:val="0"/>
              <w:adjustRightInd w:val="0"/>
              <w:snapToGrid w:val="0"/>
              <w:jc w:val="center"/>
              <w:rPr>
                <w:rFonts w:ascii="Times New Roman"/>
                <w:sz w:val="21"/>
                <w:szCs w:val="21"/>
              </w:rPr>
            </w:pPr>
          </w:p>
        </w:tc>
        <w:tc>
          <w:tcPr>
            <w:tcW w:w="287" w:type="pct"/>
            <w:vMerge w:val="continue"/>
            <w:vAlign w:val="center"/>
          </w:tcPr>
          <w:p w14:paraId="7992DAA7">
            <w:pPr>
              <w:autoSpaceDE w:val="0"/>
              <w:autoSpaceDN w:val="0"/>
              <w:adjustRightInd w:val="0"/>
              <w:snapToGrid w:val="0"/>
              <w:jc w:val="center"/>
              <w:rPr>
                <w:rFonts w:ascii="Times New Roman"/>
                <w:sz w:val="21"/>
                <w:szCs w:val="21"/>
              </w:rPr>
            </w:pPr>
          </w:p>
        </w:tc>
        <w:tc>
          <w:tcPr>
            <w:tcW w:w="434" w:type="pct"/>
            <w:vMerge w:val="continue"/>
            <w:vAlign w:val="center"/>
          </w:tcPr>
          <w:p w14:paraId="47493517">
            <w:pPr>
              <w:autoSpaceDE w:val="0"/>
              <w:autoSpaceDN w:val="0"/>
              <w:adjustRightInd w:val="0"/>
              <w:snapToGrid w:val="0"/>
              <w:jc w:val="center"/>
              <w:rPr>
                <w:rFonts w:ascii="Times New Roman"/>
                <w:sz w:val="21"/>
                <w:szCs w:val="21"/>
              </w:rPr>
            </w:pPr>
          </w:p>
        </w:tc>
      </w:tr>
      <w:tr w14:paraId="6266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DDE0D08">
            <w:pPr>
              <w:autoSpaceDE w:val="0"/>
              <w:autoSpaceDN w:val="0"/>
              <w:adjustRightInd w:val="0"/>
              <w:snapToGrid w:val="0"/>
              <w:jc w:val="center"/>
              <w:rPr>
                <w:rFonts w:ascii="Times New Roman"/>
                <w:sz w:val="21"/>
                <w:szCs w:val="21"/>
              </w:rPr>
            </w:pPr>
          </w:p>
        </w:tc>
        <w:tc>
          <w:tcPr>
            <w:tcW w:w="697" w:type="pct"/>
            <w:vAlign w:val="center"/>
          </w:tcPr>
          <w:p w14:paraId="312E2045">
            <w:pPr>
              <w:autoSpaceDE w:val="0"/>
              <w:autoSpaceDN w:val="0"/>
              <w:adjustRightInd w:val="0"/>
              <w:snapToGrid w:val="0"/>
              <w:jc w:val="center"/>
              <w:rPr>
                <w:rFonts w:ascii="Times New Roman"/>
                <w:sz w:val="21"/>
                <w:szCs w:val="21"/>
              </w:rPr>
            </w:pPr>
            <w:r>
              <w:rPr>
                <w:rFonts w:ascii="Times New Roman"/>
                <w:sz w:val="21"/>
                <w:szCs w:val="21"/>
              </w:rPr>
              <w:t>板材直口切割机</w:t>
            </w:r>
          </w:p>
        </w:tc>
        <w:tc>
          <w:tcPr>
            <w:tcW w:w="346" w:type="pct"/>
            <w:vAlign w:val="center"/>
          </w:tcPr>
          <w:p w14:paraId="306FF422">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5F305B4">
            <w:pPr>
              <w:autoSpaceDE w:val="0"/>
              <w:autoSpaceDN w:val="0"/>
              <w:adjustRightInd w:val="0"/>
              <w:snapToGrid w:val="0"/>
              <w:jc w:val="center"/>
              <w:rPr>
                <w:rFonts w:ascii="Times New Roman"/>
                <w:sz w:val="21"/>
                <w:szCs w:val="21"/>
              </w:rPr>
            </w:pPr>
          </w:p>
        </w:tc>
        <w:tc>
          <w:tcPr>
            <w:tcW w:w="208" w:type="pct"/>
            <w:vAlign w:val="center"/>
          </w:tcPr>
          <w:p w14:paraId="3CB5F832">
            <w:pPr>
              <w:autoSpaceDE w:val="0"/>
              <w:autoSpaceDN w:val="0"/>
              <w:adjustRightInd w:val="0"/>
              <w:snapToGrid w:val="0"/>
              <w:jc w:val="center"/>
              <w:rPr>
                <w:rFonts w:ascii="Times New Roman"/>
                <w:sz w:val="21"/>
                <w:szCs w:val="21"/>
              </w:rPr>
            </w:pPr>
            <w:r>
              <w:rPr>
                <w:rFonts w:ascii="Times New Roman"/>
                <w:sz w:val="21"/>
                <w:szCs w:val="21"/>
              </w:rPr>
              <w:t>280</w:t>
            </w:r>
          </w:p>
        </w:tc>
        <w:tc>
          <w:tcPr>
            <w:tcW w:w="201" w:type="pct"/>
            <w:vAlign w:val="center"/>
          </w:tcPr>
          <w:p w14:paraId="043C0E99">
            <w:pPr>
              <w:autoSpaceDE w:val="0"/>
              <w:autoSpaceDN w:val="0"/>
              <w:adjustRightInd w:val="0"/>
              <w:snapToGrid w:val="0"/>
              <w:jc w:val="center"/>
              <w:rPr>
                <w:rFonts w:ascii="Times New Roman"/>
                <w:sz w:val="21"/>
                <w:szCs w:val="21"/>
              </w:rPr>
            </w:pPr>
            <w:r>
              <w:rPr>
                <w:rFonts w:ascii="Times New Roman"/>
                <w:sz w:val="21"/>
                <w:szCs w:val="21"/>
              </w:rPr>
              <w:t>46</w:t>
            </w:r>
          </w:p>
        </w:tc>
        <w:tc>
          <w:tcPr>
            <w:tcW w:w="240" w:type="pct"/>
            <w:vAlign w:val="center"/>
          </w:tcPr>
          <w:p w14:paraId="2CA40BC8">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4167D18B">
            <w:pPr>
              <w:autoSpaceDE w:val="0"/>
              <w:autoSpaceDN w:val="0"/>
              <w:adjustRightInd w:val="0"/>
              <w:snapToGrid w:val="0"/>
              <w:jc w:val="center"/>
              <w:rPr>
                <w:rFonts w:ascii="Times New Roman"/>
                <w:sz w:val="21"/>
                <w:szCs w:val="21"/>
              </w:rPr>
            </w:pPr>
            <w:r>
              <w:rPr>
                <w:rFonts w:ascii="Times New Roman"/>
                <w:sz w:val="21"/>
                <w:szCs w:val="21"/>
              </w:rPr>
              <w:t>30.15</w:t>
            </w:r>
          </w:p>
        </w:tc>
        <w:tc>
          <w:tcPr>
            <w:tcW w:w="358" w:type="pct"/>
            <w:vAlign w:val="center"/>
          </w:tcPr>
          <w:p w14:paraId="616E35B0">
            <w:pPr>
              <w:autoSpaceDE w:val="0"/>
              <w:autoSpaceDN w:val="0"/>
              <w:adjustRightInd w:val="0"/>
              <w:snapToGrid w:val="0"/>
              <w:jc w:val="center"/>
              <w:rPr>
                <w:rFonts w:ascii="Times New Roman"/>
                <w:sz w:val="21"/>
                <w:szCs w:val="21"/>
              </w:rPr>
            </w:pPr>
            <w:r>
              <w:rPr>
                <w:rFonts w:ascii="Times New Roman"/>
                <w:sz w:val="21"/>
                <w:szCs w:val="21"/>
              </w:rPr>
              <w:t>50</w:t>
            </w:r>
          </w:p>
        </w:tc>
        <w:tc>
          <w:tcPr>
            <w:tcW w:w="316" w:type="pct"/>
            <w:vMerge w:val="continue"/>
            <w:vAlign w:val="center"/>
          </w:tcPr>
          <w:p w14:paraId="390D67C5">
            <w:pPr>
              <w:autoSpaceDE w:val="0"/>
              <w:autoSpaceDN w:val="0"/>
              <w:adjustRightInd w:val="0"/>
              <w:snapToGrid w:val="0"/>
              <w:jc w:val="center"/>
              <w:rPr>
                <w:rFonts w:ascii="Times New Roman"/>
                <w:sz w:val="21"/>
                <w:szCs w:val="21"/>
              </w:rPr>
            </w:pPr>
          </w:p>
        </w:tc>
        <w:tc>
          <w:tcPr>
            <w:tcW w:w="551" w:type="pct"/>
            <w:vAlign w:val="center"/>
          </w:tcPr>
          <w:p w14:paraId="281BD66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AE2687C">
            <w:pPr>
              <w:autoSpaceDE w:val="0"/>
              <w:autoSpaceDN w:val="0"/>
              <w:adjustRightInd w:val="0"/>
              <w:snapToGrid w:val="0"/>
              <w:jc w:val="center"/>
              <w:rPr>
                <w:rFonts w:ascii="Times New Roman"/>
                <w:sz w:val="21"/>
                <w:szCs w:val="21"/>
              </w:rPr>
            </w:pPr>
          </w:p>
        </w:tc>
        <w:tc>
          <w:tcPr>
            <w:tcW w:w="287" w:type="pct"/>
            <w:vMerge w:val="continue"/>
            <w:vAlign w:val="center"/>
          </w:tcPr>
          <w:p w14:paraId="33623554">
            <w:pPr>
              <w:autoSpaceDE w:val="0"/>
              <w:autoSpaceDN w:val="0"/>
              <w:adjustRightInd w:val="0"/>
              <w:snapToGrid w:val="0"/>
              <w:jc w:val="center"/>
              <w:rPr>
                <w:rFonts w:ascii="Times New Roman"/>
                <w:sz w:val="21"/>
                <w:szCs w:val="21"/>
              </w:rPr>
            </w:pPr>
          </w:p>
        </w:tc>
        <w:tc>
          <w:tcPr>
            <w:tcW w:w="434" w:type="pct"/>
            <w:vMerge w:val="continue"/>
            <w:vAlign w:val="center"/>
          </w:tcPr>
          <w:p w14:paraId="3D266467">
            <w:pPr>
              <w:autoSpaceDE w:val="0"/>
              <w:autoSpaceDN w:val="0"/>
              <w:adjustRightInd w:val="0"/>
              <w:snapToGrid w:val="0"/>
              <w:jc w:val="center"/>
              <w:rPr>
                <w:rFonts w:ascii="Times New Roman"/>
                <w:sz w:val="21"/>
                <w:szCs w:val="21"/>
              </w:rPr>
            </w:pPr>
          </w:p>
        </w:tc>
      </w:tr>
      <w:tr w14:paraId="3673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C33C640">
            <w:pPr>
              <w:autoSpaceDE w:val="0"/>
              <w:autoSpaceDN w:val="0"/>
              <w:adjustRightInd w:val="0"/>
              <w:snapToGrid w:val="0"/>
              <w:jc w:val="center"/>
              <w:rPr>
                <w:rFonts w:ascii="Times New Roman"/>
                <w:sz w:val="21"/>
                <w:szCs w:val="21"/>
              </w:rPr>
            </w:pPr>
          </w:p>
        </w:tc>
        <w:tc>
          <w:tcPr>
            <w:tcW w:w="697" w:type="pct"/>
            <w:vAlign w:val="center"/>
          </w:tcPr>
          <w:p w14:paraId="53986A6F">
            <w:pPr>
              <w:autoSpaceDE w:val="0"/>
              <w:autoSpaceDN w:val="0"/>
              <w:adjustRightInd w:val="0"/>
              <w:snapToGrid w:val="0"/>
              <w:jc w:val="center"/>
              <w:rPr>
                <w:rFonts w:ascii="Times New Roman"/>
                <w:sz w:val="21"/>
                <w:szCs w:val="21"/>
              </w:rPr>
            </w:pPr>
            <w:r>
              <w:rPr>
                <w:rFonts w:ascii="Times New Roman"/>
                <w:sz w:val="21"/>
                <w:szCs w:val="21"/>
              </w:rPr>
              <w:t>升降辊床</w:t>
            </w:r>
          </w:p>
        </w:tc>
        <w:tc>
          <w:tcPr>
            <w:tcW w:w="346" w:type="pct"/>
            <w:vAlign w:val="center"/>
          </w:tcPr>
          <w:p w14:paraId="5C10A3E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5B1A9CE">
            <w:pPr>
              <w:autoSpaceDE w:val="0"/>
              <w:autoSpaceDN w:val="0"/>
              <w:adjustRightInd w:val="0"/>
              <w:snapToGrid w:val="0"/>
              <w:jc w:val="center"/>
              <w:rPr>
                <w:rFonts w:ascii="Times New Roman"/>
                <w:sz w:val="21"/>
                <w:szCs w:val="21"/>
              </w:rPr>
            </w:pPr>
          </w:p>
        </w:tc>
        <w:tc>
          <w:tcPr>
            <w:tcW w:w="208" w:type="pct"/>
            <w:vAlign w:val="center"/>
          </w:tcPr>
          <w:p w14:paraId="3BFF9C62">
            <w:pPr>
              <w:autoSpaceDE w:val="0"/>
              <w:autoSpaceDN w:val="0"/>
              <w:adjustRightInd w:val="0"/>
              <w:snapToGrid w:val="0"/>
              <w:jc w:val="center"/>
              <w:rPr>
                <w:rFonts w:ascii="Times New Roman"/>
                <w:sz w:val="21"/>
                <w:szCs w:val="21"/>
              </w:rPr>
            </w:pPr>
            <w:r>
              <w:rPr>
                <w:rFonts w:ascii="Times New Roman"/>
                <w:sz w:val="21"/>
                <w:szCs w:val="21"/>
              </w:rPr>
              <w:t>280</w:t>
            </w:r>
          </w:p>
        </w:tc>
        <w:tc>
          <w:tcPr>
            <w:tcW w:w="201" w:type="pct"/>
            <w:vAlign w:val="center"/>
          </w:tcPr>
          <w:p w14:paraId="3FAA8EBC">
            <w:pPr>
              <w:autoSpaceDE w:val="0"/>
              <w:autoSpaceDN w:val="0"/>
              <w:adjustRightInd w:val="0"/>
              <w:snapToGrid w:val="0"/>
              <w:jc w:val="center"/>
              <w:rPr>
                <w:rFonts w:ascii="Times New Roman"/>
                <w:sz w:val="21"/>
                <w:szCs w:val="21"/>
              </w:rPr>
            </w:pPr>
            <w:r>
              <w:rPr>
                <w:rFonts w:ascii="Times New Roman"/>
                <w:sz w:val="21"/>
                <w:szCs w:val="21"/>
              </w:rPr>
              <w:t>56</w:t>
            </w:r>
          </w:p>
        </w:tc>
        <w:tc>
          <w:tcPr>
            <w:tcW w:w="240" w:type="pct"/>
            <w:vAlign w:val="center"/>
          </w:tcPr>
          <w:p w14:paraId="61A0D578">
            <w:pPr>
              <w:autoSpaceDE w:val="0"/>
              <w:autoSpaceDN w:val="0"/>
              <w:adjustRightInd w:val="0"/>
              <w:snapToGrid w:val="0"/>
              <w:jc w:val="center"/>
              <w:rPr>
                <w:rFonts w:ascii="Times New Roman"/>
                <w:sz w:val="21"/>
                <w:szCs w:val="21"/>
              </w:rPr>
            </w:pPr>
            <w:r>
              <w:rPr>
                <w:rFonts w:ascii="Times New Roman"/>
                <w:sz w:val="21"/>
                <w:szCs w:val="21"/>
              </w:rPr>
              <w:t>0.9</w:t>
            </w:r>
          </w:p>
        </w:tc>
        <w:tc>
          <w:tcPr>
            <w:tcW w:w="346" w:type="pct"/>
            <w:vAlign w:val="center"/>
          </w:tcPr>
          <w:p w14:paraId="67FE1258">
            <w:pPr>
              <w:autoSpaceDE w:val="0"/>
              <w:autoSpaceDN w:val="0"/>
              <w:adjustRightInd w:val="0"/>
              <w:snapToGrid w:val="0"/>
              <w:jc w:val="center"/>
              <w:rPr>
                <w:rFonts w:ascii="Times New Roman"/>
                <w:sz w:val="21"/>
                <w:szCs w:val="21"/>
              </w:rPr>
            </w:pPr>
            <w:r>
              <w:rPr>
                <w:rFonts w:ascii="Times New Roman"/>
                <w:sz w:val="21"/>
                <w:szCs w:val="21"/>
              </w:rPr>
              <w:t>40.15</w:t>
            </w:r>
          </w:p>
        </w:tc>
        <w:tc>
          <w:tcPr>
            <w:tcW w:w="358" w:type="pct"/>
            <w:vAlign w:val="center"/>
          </w:tcPr>
          <w:p w14:paraId="2365C5EE">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03223E88">
            <w:pPr>
              <w:autoSpaceDE w:val="0"/>
              <w:autoSpaceDN w:val="0"/>
              <w:adjustRightInd w:val="0"/>
              <w:snapToGrid w:val="0"/>
              <w:jc w:val="center"/>
              <w:rPr>
                <w:rFonts w:ascii="Times New Roman"/>
                <w:sz w:val="21"/>
                <w:szCs w:val="21"/>
              </w:rPr>
            </w:pPr>
          </w:p>
        </w:tc>
        <w:tc>
          <w:tcPr>
            <w:tcW w:w="551" w:type="pct"/>
            <w:vAlign w:val="center"/>
          </w:tcPr>
          <w:p w14:paraId="00C3CBD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366DD54">
            <w:pPr>
              <w:autoSpaceDE w:val="0"/>
              <w:autoSpaceDN w:val="0"/>
              <w:adjustRightInd w:val="0"/>
              <w:snapToGrid w:val="0"/>
              <w:jc w:val="center"/>
              <w:rPr>
                <w:rFonts w:ascii="Times New Roman"/>
                <w:sz w:val="21"/>
                <w:szCs w:val="21"/>
              </w:rPr>
            </w:pPr>
          </w:p>
        </w:tc>
        <w:tc>
          <w:tcPr>
            <w:tcW w:w="287" w:type="pct"/>
            <w:vMerge w:val="continue"/>
            <w:vAlign w:val="center"/>
          </w:tcPr>
          <w:p w14:paraId="32F8CEA7">
            <w:pPr>
              <w:autoSpaceDE w:val="0"/>
              <w:autoSpaceDN w:val="0"/>
              <w:adjustRightInd w:val="0"/>
              <w:snapToGrid w:val="0"/>
              <w:jc w:val="center"/>
              <w:rPr>
                <w:rFonts w:ascii="Times New Roman"/>
                <w:sz w:val="21"/>
                <w:szCs w:val="21"/>
              </w:rPr>
            </w:pPr>
          </w:p>
        </w:tc>
        <w:tc>
          <w:tcPr>
            <w:tcW w:w="434" w:type="pct"/>
            <w:vMerge w:val="continue"/>
            <w:vAlign w:val="center"/>
          </w:tcPr>
          <w:p w14:paraId="77BCF0F4">
            <w:pPr>
              <w:autoSpaceDE w:val="0"/>
              <w:autoSpaceDN w:val="0"/>
              <w:adjustRightInd w:val="0"/>
              <w:snapToGrid w:val="0"/>
              <w:jc w:val="center"/>
              <w:rPr>
                <w:rFonts w:ascii="Times New Roman"/>
                <w:sz w:val="21"/>
                <w:szCs w:val="21"/>
              </w:rPr>
            </w:pPr>
          </w:p>
        </w:tc>
      </w:tr>
      <w:tr w14:paraId="578F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4B0F82">
            <w:pPr>
              <w:autoSpaceDE w:val="0"/>
              <w:autoSpaceDN w:val="0"/>
              <w:adjustRightInd w:val="0"/>
              <w:snapToGrid w:val="0"/>
              <w:jc w:val="center"/>
              <w:rPr>
                <w:rFonts w:ascii="Times New Roman"/>
                <w:sz w:val="21"/>
                <w:szCs w:val="21"/>
              </w:rPr>
            </w:pPr>
          </w:p>
        </w:tc>
        <w:tc>
          <w:tcPr>
            <w:tcW w:w="697" w:type="pct"/>
            <w:vAlign w:val="center"/>
          </w:tcPr>
          <w:p w14:paraId="2DE8C664">
            <w:pPr>
              <w:autoSpaceDE w:val="0"/>
              <w:autoSpaceDN w:val="0"/>
              <w:adjustRightInd w:val="0"/>
              <w:snapToGrid w:val="0"/>
              <w:jc w:val="center"/>
              <w:rPr>
                <w:rFonts w:ascii="Times New Roman"/>
                <w:sz w:val="21"/>
                <w:szCs w:val="21"/>
              </w:rPr>
            </w:pPr>
            <w:r>
              <w:rPr>
                <w:rFonts w:ascii="Times New Roman"/>
                <w:sz w:val="21"/>
                <w:szCs w:val="21"/>
              </w:rPr>
              <w:t>升降辊床</w:t>
            </w:r>
          </w:p>
        </w:tc>
        <w:tc>
          <w:tcPr>
            <w:tcW w:w="346" w:type="pct"/>
            <w:vAlign w:val="center"/>
          </w:tcPr>
          <w:p w14:paraId="0EDD6AF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98E2940">
            <w:pPr>
              <w:autoSpaceDE w:val="0"/>
              <w:autoSpaceDN w:val="0"/>
              <w:adjustRightInd w:val="0"/>
              <w:snapToGrid w:val="0"/>
              <w:jc w:val="center"/>
              <w:rPr>
                <w:rFonts w:ascii="Times New Roman"/>
                <w:sz w:val="21"/>
                <w:szCs w:val="21"/>
              </w:rPr>
            </w:pPr>
          </w:p>
        </w:tc>
        <w:tc>
          <w:tcPr>
            <w:tcW w:w="208" w:type="pct"/>
            <w:vAlign w:val="center"/>
          </w:tcPr>
          <w:p w14:paraId="59A636A7">
            <w:pPr>
              <w:autoSpaceDE w:val="0"/>
              <w:autoSpaceDN w:val="0"/>
              <w:adjustRightInd w:val="0"/>
              <w:snapToGrid w:val="0"/>
              <w:jc w:val="center"/>
              <w:rPr>
                <w:rFonts w:ascii="Times New Roman"/>
                <w:sz w:val="21"/>
                <w:szCs w:val="21"/>
              </w:rPr>
            </w:pPr>
            <w:r>
              <w:rPr>
                <w:rFonts w:ascii="Times New Roman"/>
                <w:sz w:val="21"/>
                <w:szCs w:val="21"/>
              </w:rPr>
              <w:t>280</w:t>
            </w:r>
          </w:p>
        </w:tc>
        <w:tc>
          <w:tcPr>
            <w:tcW w:w="201" w:type="pct"/>
            <w:vAlign w:val="center"/>
          </w:tcPr>
          <w:p w14:paraId="6680082C">
            <w:pPr>
              <w:autoSpaceDE w:val="0"/>
              <w:autoSpaceDN w:val="0"/>
              <w:adjustRightInd w:val="0"/>
              <w:snapToGrid w:val="0"/>
              <w:jc w:val="center"/>
              <w:rPr>
                <w:rFonts w:ascii="Times New Roman"/>
                <w:sz w:val="21"/>
                <w:szCs w:val="21"/>
              </w:rPr>
            </w:pPr>
            <w:r>
              <w:rPr>
                <w:rFonts w:ascii="Times New Roman"/>
                <w:sz w:val="21"/>
                <w:szCs w:val="21"/>
              </w:rPr>
              <w:t>66</w:t>
            </w:r>
          </w:p>
        </w:tc>
        <w:tc>
          <w:tcPr>
            <w:tcW w:w="240" w:type="pct"/>
            <w:vAlign w:val="center"/>
          </w:tcPr>
          <w:p w14:paraId="2A9371DA">
            <w:pPr>
              <w:autoSpaceDE w:val="0"/>
              <w:autoSpaceDN w:val="0"/>
              <w:adjustRightInd w:val="0"/>
              <w:snapToGrid w:val="0"/>
              <w:jc w:val="center"/>
              <w:rPr>
                <w:rFonts w:ascii="Times New Roman"/>
                <w:sz w:val="21"/>
                <w:szCs w:val="21"/>
              </w:rPr>
            </w:pPr>
            <w:r>
              <w:rPr>
                <w:rFonts w:ascii="Times New Roman"/>
                <w:sz w:val="21"/>
                <w:szCs w:val="21"/>
              </w:rPr>
              <w:t>0.9</w:t>
            </w:r>
          </w:p>
        </w:tc>
        <w:tc>
          <w:tcPr>
            <w:tcW w:w="346" w:type="pct"/>
            <w:vAlign w:val="center"/>
          </w:tcPr>
          <w:p w14:paraId="6A518C3A">
            <w:pPr>
              <w:autoSpaceDE w:val="0"/>
              <w:autoSpaceDN w:val="0"/>
              <w:adjustRightInd w:val="0"/>
              <w:snapToGrid w:val="0"/>
              <w:jc w:val="center"/>
              <w:rPr>
                <w:rFonts w:ascii="Times New Roman"/>
                <w:sz w:val="21"/>
                <w:szCs w:val="21"/>
              </w:rPr>
            </w:pPr>
            <w:r>
              <w:rPr>
                <w:rFonts w:ascii="Times New Roman"/>
                <w:sz w:val="21"/>
                <w:szCs w:val="21"/>
              </w:rPr>
              <w:t>50.15</w:t>
            </w:r>
          </w:p>
        </w:tc>
        <w:tc>
          <w:tcPr>
            <w:tcW w:w="358" w:type="pct"/>
            <w:vAlign w:val="center"/>
          </w:tcPr>
          <w:p w14:paraId="47B3282D">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59A0BA3D">
            <w:pPr>
              <w:autoSpaceDE w:val="0"/>
              <w:autoSpaceDN w:val="0"/>
              <w:adjustRightInd w:val="0"/>
              <w:snapToGrid w:val="0"/>
              <w:jc w:val="center"/>
              <w:rPr>
                <w:rFonts w:ascii="Times New Roman"/>
                <w:sz w:val="21"/>
                <w:szCs w:val="21"/>
              </w:rPr>
            </w:pPr>
          </w:p>
        </w:tc>
        <w:tc>
          <w:tcPr>
            <w:tcW w:w="551" w:type="pct"/>
            <w:vAlign w:val="center"/>
          </w:tcPr>
          <w:p w14:paraId="1DF6A4D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3A5B0CC">
            <w:pPr>
              <w:autoSpaceDE w:val="0"/>
              <w:autoSpaceDN w:val="0"/>
              <w:adjustRightInd w:val="0"/>
              <w:snapToGrid w:val="0"/>
              <w:jc w:val="center"/>
              <w:rPr>
                <w:rFonts w:ascii="Times New Roman"/>
                <w:sz w:val="21"/>
                <w:szCs w:val="21"/>
              </w:rPr>
            </w:pPr>
          </w:p>
        </w:tc>
        <w:tc>
          <w:tcPr>
            <w:tcW w:w="287" w:type="pct"/>
            <w:vMerge w:val="continue"/>
            <w:vAlign w:val="center"/>
          </w:tcPr>
          <w:p w14:paraId="47DC6701">
            <w:pPr>
              <w:autoSpaceDE w:val="0"/>
              <w:autoSpaceDN w:val="0"/>
              <w:adjustRightInd w:val="0"/>
              <w:snapToGrid w:val="0"/>
              <w:jc w:val="center"/>
              <w:rPr>
                <w:rFonts w:ascii="Times New Roman"/>
                <w:sz w:val="21"/>
                <w:szCs w:val="21"/>
              </w:rPr>
            </w:pPr>
          </w:p>
        </w:tc>
        <w:tc>
          <w:tcPr>
            <w:tcW w:w="434" w:type="pct"/>
            <w:vMerge w:val="continue"/>
            <w:vAlign w:val="center"/>
          </w:tcPr>
          <w:p w14:paraId="464B87B0">
            <w:pPr>
              <w:autoSpaceDE w:val="0"/>
              <w:autoSpaceDN w:val="0"/>
              <w:adjustRightInd w:val="0"/>
              <w:snapToGrid w:val="0"/>
              <w:jc w:val="center"/>
              <w:rPr>
                <w:rFonts w:ascii="Times New Roman"/>
                <w:sz w:val="21"/>
                <w:szCs w:val="21"/>
              </w:rPr>
            </w:pPr>
          </w:p>
        </w:tc>
      </w:tr>
      <w:tr w14:paraId="7462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52D14A7">
            <w:pPr>
              <w:autoSpaceDE w:val="0"/>
              <w:autoSpaceDN w:val="0"/>
              <w:adjustRightInd w:val="0"/>
              <w:snapToGrid w:val="0"/>
              <w:jc w:val="center"/>
              <w:rPr>
                <w:rFonts w:ascii="Times New Roman"/>
                <w:sz w:val="21"/>
                <w:szCs w:val="21"/>
              </w:rPr>
            </w:pPr>
          </w:p>
        </w:tc>
        <w:tc>
          <w:tcPr>
            <w:tcW w:w="697" w:type="pct"/>
            <w:vAlign w:val="center"/>
          </w:tcPr>
          <w:p w14:paraId="6FC94B86">
            <w:pPr>
              <w:autoSpaceDE w:val="0"/>
              <w:autoSpaceDN w:val="0"/>
              <w:adjustRightInd w:val="0"/>
              <w:snapToGrid w:val="0"/>
              <w:jc w:val="center"/>
              <w:rPr>
                <w:rFonts w:ascii="Times New Roman"/>
                <w:sz w:val="21"/>
                <w:szCs w:val="21"/>
              </w:rPr>
            </w:pPr>
            <w:r>
              <w:rPr>
                <w:rFonts w:ascii="Times New Roman"/>
                <w:sz w:val="21"/>
                <w:szCs w:val="21"/>
              </w:rPr>
              <w:t>型材数控切割机</w:t>
            </w:r>
          </w:p>
        </w:tc>
        <w:tc>
          <w:tcPr>
            <w:tcW w:w="346" w:type="pct"/>
            <w:vAlign w:val="center"/>
          </w:tcPr>
          <w:p w14:paraId="46A81B4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A48182D">
            <w:pPr>
              <w:autoSpaceDE w:val="0"/>
              <w:autoSpaceDN w:val="0"/>
              <w:adjustRightInd w:val="0"/>
              <w:snapToGrid w:val="0"/>
              <w:jc w:val="center"/>
              <w:rPr>
                <w:rFonts w:ascii="Times New Roman"/>
                <w:sz w:val="21"/>
                <w:szCs w:val="21"/>
              </w:rPr>
            </w:pPr>
          </w:p>
        </w:tc>
        <w:tc>
          <w:tcPr>
            <w:tcW w:w="208" w:type="pct"/>
            <w:vAlign w:val="center"/>
          </w:tcPr>
          <w:p w14:paraId="1695737A">
            <w:pPr>
              <w:autoSpaceDE w:val="0"/>
              <w:autoSpaceDN w:val="0"/>
              <w:adjustRightInd w:val="0"/>
              <w:snapToGrid w:val="0"/>
              <w:jc w:val="center"/>
              <w:rPr>
                <w:rFonts w:ascii="Times New Roman"/>
                <w:sz w:val="21"/>
                <w:szCs w:val="21"/>
              </w:rPr>
            </w:pPr>
            <w:r>
              <w:rPr>
                <w:rFonts w:ascii="Times New Roman"/>
                <w:sz w:val="21"/>
                <w:szCs w:val="21"/>
              </w:rPr>
              <w:t>300</w:t>
            </w:r>
          </w:p>
        </w:tc>
        <w:tc>
          <w:tcPr>
            <w:tcW w:w="201" w:type="pct"/>
            <w:vAlign w:val="center"/>
          </w:tcPr>
          <w:p w14:paraId="6554B12C">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1EE08CB7">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5F1DDC69">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7A007C61">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4828E6DB">
            <w:pPr>
              <w:autoSpaceDE w:val="0"/>
              <w:autoSpaceDN w:val="0"/>
              <w:adjustRightInd w:val="0"/>
              <w:snapToGrid w:val="0"/>
              <w:jc w:val="center"/>
              <w:rPr>
                <w:rFonts w:ascii="Times New Roman"/>
                <w:sz w:val="21"/>
                <w:szCs w:val="21"/>
              </w:rPr>
            </w:pPr>
          </w:p>
        </w:tc>
        <w:tc>
          <w:tcPr>
            <w:tcW w:w="551" w:type="pct"/>
            <w:vAlign w:val="center"/>
          </w:tcPr>
          <w:p w14:paraId="7785803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021ECC6">
            <w:pPr>
              <w:autoSpaceDE w:val="0"/>
              <w:autoSpaceDN w:val="0"/>
              <w:adjustRightInd w:val="0"/>
              <w:snapToGrid w:val="0"/>
              <w:jc w:val="center"/>
              <w:rPr>
                <w:rFonts w:ascii="Times New Roman"/>
                <w:sz w:val="21"/>
                <w:szCs w:val="21"/>
              </w:rPr>
            </w:pPr>
          </w:p>
        </w:tc>
        <w:tc>
          <w:tcPr>
            <w:tcW w:w="287" w:type="pct"/>
            <w:vMerge w:val="continue"/>
            <w:vAlign w:val="center"/>
          </w:tcPr>
          <w:p w14:paraId="376E8EB5">
            <w:pPr>
              <w:autoSpaceDE w:val="0"/>
              <w:autoSpaceDN w:val="0"/>
              <w:adjustRightInd w:val="0"/>
              <w:snapToGrid w:val="0"/>
              <w:jc w:val="center"/>
              <w:rPr>
                <w:rFonts w:ascii="Times New Roman"/>
                <w:sz w:val="21"/>
                <w:szCs w:val="21"/>
              </w:rPr>
            </w:pPr>
          </w:p>
        </w:tc>
        <w:tc>
          <w:tcPr>
            <w:tcW w:w="434" w:type="pct"/>
            <w:vMerge w:val="continue"/>
            <w:vAlign w:val="center"/>
          </w:tcPr>
          <w:p w14:paraId="61FE8C2F">
            <w:pPr>
              <w:autoSpaceDE w:val="0"/>
              <w:autoSpaceDN w:val="0"/>
              <w:adjustRightInd w:val="0"/>
              <w:snapToGrid w:val="0"/>
              <w:jc w:val="center"/>
              <w:rPr>
                <w:rFonts w:ascii="Times New Roman"/>
                <w:sz w:val="21"/>
                <w:szCs w:val="21"/>
              </w:rPr>
            </w:pPr>
          </w:p>
        </w:tc>
      </w:tr>
      <w:tr w14:paraId="6A9F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87BC3FA">
            <w:pPr>
              <w:autoSpaceDE w:val="0"/>
              <w:autoSpaceDN w:val="0"/>
              <w:adjustRightInd w:val="0"/>
              <w:snapToGrid w:val="0"/>
              <w:jc w:val="center"/>
              <w:rPr>
                <w:rFonts w:ascii="Times New Roman"/>
                <w:sz w:val="21"/>
                <w:szCs w:val="21"/>
              </w:rPr>
            </w:pPr>
          </w:p>
        </w:tc>
        <w:tc>
          <w:tcPr>
            <w:tcW w:w="697" w:type="pct"/>
            <w:vAlign w:val="center"/>
          </w:tcPr>
          <w:p w14:paraId="1D89F313">
            <w:pPr>
              <w:autoSpaceDE w:val="0"/>
              <w:autoSpaceDN w:val="0"/>
              <w:adjustRightInd w:val="0"/>
              <w:snapToGrid w:val="0"/>
              <w:jc w:val="center"/>
              <w:rPr>
                <w:rFonts w:ascii="Times New Roman"/>
                <w:sz w:val="21"/>
                <w:szCs w:val="21"/>
              </w:rPr>
            </w:pPr>
            <w:r>
              <w:rPr>
                <w:rFonts w:ascii="Times New Roman"/>
                <w:sz w:val="21"/>
                <w:szCs w:val="21"/>
              </w:rPr>
              <w:t>槽钢角钢数控切割机</w:t>
            </w:r>
          </w:p>
        </w:tc>
        <w:tc>
          <w:tcPr>
            <w:tcW w:w="346" w:type="pct"/>
            <w:vAlign w:val="center"/>
          </w:tcPr>
          <w:p w14:paraId="6F7C09C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EDB889C">
            <w:pPr>
              <w:autoSpaceDE w:val="0"/>
              <w:autoSpaceDN w:val="0"/>
              <w:adjustRightInd w:val="0"/>
              <w:snapToGrid w:val="0"/>
              <w:jc w:val="center"/>
              <w:rPr>
                <w:rFonts w:ascii="Times New Roman"/>
                <w:sz w:val="21"/>
                <w:szCs w:val="21"/>
              </w:rPr>
            </w:pPr>
          </w:p>
        </w:tc>
        <w:tc>
          <w:tcPr>
            <w:tcW w:w="208" w:type="pct"/>
            <w:vAlign w:val="center"/>
          </w:tcPr>
          <w:p w14:paraId="16B4FF10">
            <w:pPr>
              <w:autoSpaceDE w:val="0"/>
              <w:autoSpaceDN w:val="0"/>
              <w:adjustRightInd w:val="0"/>
              <w:snapToGrid w:val="0"/>
              <w:jc w:val="center"/>
              <w:rPr>
                <w:rFonts w:ascii="Times New Roman"/>
                <w:sz w:val="21"/>
                <w:szCs w:val="21"/>
              </w:rPr>
            </w:pPr>
            <w:r>
              <w:rPr>
                <w:rFonts w:ascii="Times New Roman"/>
                <w:sz w:val="21"/>
                <w:szCs w:val="21"/>
              </w:rPr>
              <w:t>350</w:t>
            </w:r>
          </w:p>
        </w:tc>
        <w:tc>
          <w:tcPr>
            <w:tcW w:w="201" w:type="pct"/>
            <w:vAlign w:val="center"/>
          </w:tcPr>
          <w:p w14:paraId="3880D888">
            <w:pPr>
              <w:autoSpaceDE w:val="0"/>
              <w:autoSpaceDN w:val="0"/>
              <w:adjustRightInd w:val="0"/>
              <w:snapToGrid w:val="0"/>
              <w:jc w:val="center"/>
              <w:rPr>
                <w:rFonts w:ascii="Times New Roman"/>
                <w:sz w:val="21"/>
                <w:szCs w:val="21"/>
              </w:rPr>
            </w:pPr>
            <w:r>
              <w:rPr>
                <w:rFonts w:ascii="Times New Roman"/>
                <w:sz w:val="21"/>
                <w:szCs w:val="21"/>
              </w:rPr>
              <w:t>45</w:t>
            </w:r>
          </w:p>
        </w:tc>
        <w:tc>
          <w:tcPr>
            <w:tcW w:w="240" w:type="pct"/>
            <w:vAlign w:val="center"/>
          </w:tcPr>
          <w:p w14:paraId="6ECDC771">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5F46EAA8">
            <w:pPr>
              <w:autoSpaceDE w:val="0"/>
              <w:autoSpaceDN w:val="0"/>
              <w:adjustRightInd w:val="0"/>
              <w:snapToGrid w:val="0"/>
              <w:jc w:val="center"/>
              <w:rPr>
                <w:rFonts w:ascii="Times New Roman"/>
                <w:sz w:val="21"/>
                <w:szCs w:val="21"/>
              </w:rPr>
            </w:pPr>
            <w:r>
              <w:rPr>
                <w:rFonts w:ascii="Times New Roman"/>
                <w:sz w:val="21"/>
                <w:szCs w:val="21"/>
              </w:rPr>
              <w:t>29.15</w:t>
            </w:r>
          </w:p>
        </w:tc>
        <w:tc>
          <w:tcPr>
            <w:tcW w:w="358" w:type="pct"/>
            <w:vAlign w:val="center"/>
          </w:tcPr>
          <w:p w14:paraId="5A599A3E">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6D833A5A">
            <w:pPr>
              <w:autoSpaceDE w:val="0"/>
              <w:autoSpaceDN w:val="0"/>
              <w:adjustRightInd w:val="0"/>
              <w:snapToGrid w:val="0"/>
              <w:jc w:val="center"/>
              <w:rPr>
                <w:rFonts w:ascii="Times New Roman"/>
                <w:sz w:val="21"/>
                <w:szCs w:val="21"/>
              </w:rPr>
            </w:pPr>
          </w:p>
        </w:tc>
        <w:tc>
          <w:tcPr>
            <w:tcW w:w="551" w:type="pct"/>
            <w:vAlign w:val="center"/>
          </w:tcPr>
          <w:p w14:paraId="7B39024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3CB2EC5">
            <w:pPr>
              <w:autoSpaceDE w:val="0"/>
              <w:autoSpaceDN w:val="0"/>
              <w:adjustRightInd w:val="0"/>
              <w:snapToGrid w:val="0"/>
              <w:jc w:val="center"/>
              <w:rPr>
                <w:rFonts w:ascii="Times New Roman"/>
                <w:sz w:val="21"/>
                <w:szCs w:val="21"/>
              </w:rPr>
            </w:pPr>
          </w:p>
        </w:tc>
        <w:tc>
          <w:tcPr>
            <w:tcW w:w="287" w:type="pct"/>
            <w:vMerge w:val="continue"/>
            <w:vAlign w:val="center"/>
          </w:tcPr>
          <w:p w14:paraId="3C49FA79">
            <w:pPr>
              <w:autoSpaceDE w:val="0"/>
              <w:autoSpaceDN w:val="0"/>
              <w:adjustRightInd w:val="0"/>
              <w:snapToGrid w:val="0"/>
              <w:jc w:val="center"/>
              <w:rPr>
                <w:rFonts w:ascii="Times New Roman"/>
                <w:sz w:val="21"/>
                <w:szCs w:val="21"/>
              </w:rPr>
            </w:pPr>
          </w:p>
        </w:tc>
        <w:tc>
          <w:tcPr>
            <w:tcW w:w="434" w:type="pct"/>
            <w:vMerge w:val="continue"/>
            <w:vAlign w:val="center"/>
          </w:tcPr>
          <w:p w14:paraId="7F40B209">
            <w:pPr>
              <w:autoSpaceDE w:val="0"/>
              <w:autoSpaceDN w:val="0"/>
              <w:adjustRightInd w:val="0"/>
              <w:snapToGrid w:val="0"/>
              <w:jc w:val="center"/>
              <w:rPr>
                <w:rFonts w:ascii="Times New Roman"/>
                <w:sz w:val="21"/>
                <w:szCs w:val="21"/>
              </w:rPr>
            </w:pPr>
          </w:p>
        </w:tc>
      </w:tr>
      <w:tr w14:paraId="062E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8C54A40">
            <w:pPr>
              <w:autoSpaceDE w:val="0"/>
              <w:autoSpaceDN w:val="0"/>
              <w:adjustRightInd w:val="0"/>
              <w:snapToGrid w:val="0"/>
              <w:jc w:val="center"/>
              <w:rPr>
                <w:rFonts w:ascii="Times New Roman"/>
                <w:sz w:val="21"/>
                <w:szCs w:val="21"/>
              </w:rPr>
            </w:pPr>
          </w:p>
        </w:tc>
        <w:tc>
          <w:tcPr>
            <w:tcW w:w="697" w:type="pct"/>
            <w:vAlign w:val="center"/>
          </w:tcPr>
          <w:p w14:paraId="095D4F58">
            <w:pPr>
              <w:autoSpaceDE w:val="0"/>
              <w:autoSpaceDN w:val="0"/>
              <w:adjustRightInd w:val="0"/>
              <w:snapToGrid w:val="0"/>
              <w:jc w:val="center"/>
              <w:rPr>
                <w:rFonts w:ascii="Times New Roman"/>
                <w:sz w:val="21"/>
                <w:szCs w:val="21"/>
              </w:rPr>
            </w:pPr>
            <w:r>
              <w:rPr>
                <w:rFonts w:ascii="Times New Roman"/>
                <w:sz w:val="21"/>
                <w:szCs w:val="21"/>
              </w:rPr>
              <w:t>槽钢角钢数控切割机</w:t>
            </w:r>
          </w:p>
        </w:tc>
        <w:tc>
          <w:tcPr>
            <w:tcW w:w="346" w:type="pct"/>
            <w:vAlign w:val="center"/>
          </w:tcPr>
          <w:p w14:paraId="5BFD481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393D330">
            <w:pPr>
              <w:autoSpaceDE w:val="0"/>
              <w:autoSpaceDN w:val="0"/>
              <w:adjustRightInd w:val="0"/>
              <w:snapToGrid w:val="0"/>
              <w:jc w:val="center"/>
              <w:rPr>
                <w:rFonts w:ascii="Times New Roman"/>
                <w:sz w:val="21"/>
                <w:szCs w:val="21"/>
              </w:rPr>
            </w:pPr>
          </w:p>
        </w:tc>
        <w:tc>
          <w:tcPr>
            <w:tcW w:w="208" w:type="pct"/>
            <w:vAlign w:val="center"/>
          </w:tcPr>
          <w:p w14:paraId="7B30DA21">
            <w:pPr>
              <w:autoSpaceDE w:val="0"/>
              <w:autoSpaceDN w:val="0"/>
              <w:adjustRightInd w:val="0"/>
              <w:snapToGrid w:val="0"/>
              <w:jc w:val="center"/>
              <w:rPr>
                <w:rFonts w:ascii="Times New Roman"/>
                <w:sz w:val="21"/>
                <w:szCs w:val="21"/>
              </w:rPr>
            </w:pPr>
            <w:r>
              <w:rPr>
                <w:rFonts w:ascii="Times New Roman"/>
                <w:sz w:val="21"/>
                <w:szCs w:val="21"/>
              </w:rPr>
              <w:t>350</w:t>
            </w:r>
          </w:p>
        </w:tc>
        <w:tc>
          <w:tcPr>
            <w:tcW w:w="201" w:type="pct"/>
            <w:vAlign w:val="center"/>
          </w:tcPr>
          <w:p w14:paraId="795659D4">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6CEBB01B">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5D6BABE8">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232E955D">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5970FDA6">
            <w:pPr>
              <w:autoSpaceDE w:val="0"/>
              <w:autoSpaceDN w:val="0"/>
              <w:adjustRightInd w:val="0"/>
              <w:snapToGrid w:val="0"/>
              <w:jc w:val="center"/>
              <w:rPr>
                <w:rFonts w:ascii="Times New Roman"/>
                <w:sz w:val="21"/>
                <w:szCs w:val="21"/>
              </w:rPr>
            </w:pPr>
          </w:p>
        </w:tc>
        <w:tc>
          <w:tcPr>
            <w:tcW w:w="551" w:type="pct"/>
            <w:vAlign w:val="center"/>
          </w:tcPr>
          <w:p w14:paraId="4B9D0AE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AC7EA36">
            <w:pPr>
              <w:autoSpaceDE w:val="0"/>
              <w:autoSpaceDN w:val="0"/>
              <w:adjustRightInd w:val="0"/>
              <w:snapToGrid w:val="0"/>
              <w:jc w:val="center"/>
              <w:rPr>
                <w:rFonts w:ascii="Times New Roman"/>
                <w:sz w:val="21"/>
                <w:szCs w:val="21"/>
              </w:rPr>
            </w:pPr>
          </w:p>
        </w:tc>
        <w:tc>
          <w:tcPr>
            <w:tcW w:w="287" w:type="pct"/>
            <w:vMerge w:val="continue"/>
            <w:vAlign w:val="center"/>
          </w:tcPr>
          <w:p w14:paraId="141131F3">
            <w:pPr>
              <w:autoSpaceDE w:val="0"/>
              <w:autoSpaceDN w:val="0"/>
              <w:adjustRightInd w:val="0"/>
              <w:snapToGrid w:val="0"/>
              <w:jc w:val="center"/>
              <w:rPr>
                <w:rFonts w:ascii="Times New Roman"/>
                <w:sz w:val="21"/>
                <w:szCs w:val="21"/>
              </w:rPr>
            </w:pPr>
          </w:p>
        </w:tc>
        <w:tc>
          <w:tcPr>
            <w:tcW w:w="434" w:type="pct"/>
            <w:vMerge w:val="continue"/>
            <w:vAlign w:val="center"/>
          </w:tcPr>
          <w:p w14:paraId="24D063B3">
            <w:pPr>
              <w:autoSpaceDE w:val="0"/>
              <w:autoSpaceDN w:val="0"/>
              <w:adjustRightInd w:val="0"/>
              <w:snapToGrid w:val="0"/>
              <w:jc w:val="center"/>
              <w:rPr>
                <w:rFonts w:ascii="Times New Roman"/>
                <w:sz w:val="21"/>
                <w:szCs w:val="21"/>
              </w:rPr>
            </w:pPr>
          </w:p>
        </w:tc>
      </w:tr>
      <w:tr w14:paraId="276B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8079726">
            <w:pPr>
              <w:autoSpaceDE w:val="0"/>
              <w:autoSpaceDN w:val="0"/>
              <w:adjustRightInd w:val="0"/>
              <w:snapToGrid w:val="0"/>
              <w:jc w:val="center"/>
              <w:rPr>
                <w:rFonts w:ascii="Times New Roman"/>
                <w:sz w:val="21"/>
                <w:szCs w:val="21"/>
              </w:rPr>
            </w:pPr>
          </w:p>
        </w:tc>
        <w:tc>
          <w:tcPr>
            <w:tcW w:w="697" w:type="pct"/>
            <w:vAlign w:val="center"/>
          </w:tcPr>
          <w:p w14:paraId="17645B33">
            <w:pPr>
              <w:autoSpaceDE w:val="0"/>
              <w:autoSpaceDN w:val="0"/>
              <w:adjustRightInd w:val="0"/>
              <w:snapToGrid w:val="0"/>
              <w:jc w:val="center"/>
              <w:rPr>
                <w:rFonts w:ascii="Times New Roman"/>
                <w:sz w:val="21"/>
                <w:szCs w:val="21"/>
              </w:rPr>
            </w:pPr>
            <w:r>
              <w:rPr>
                <w:rFonts w:ascii="Times New Roman"/>
                <w:sz w:val="21"/>
                <w:szCs w:val="21"/>
              </w:rPr>
              <w:t>槽钢角钢数控切割机</w:t>
            </w:r>
          </w:p>
        </w:tc>
        <w:tc>
          <w:tcPr>
            <w:tcW w:w="346" w:type="pct"/>
            <w:vAlign w:val="center"/>
          </w:tcPr>
          <w:p w14:paraId="5EC10D6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D5616FC">
            <w:pPr>
              <w:autoSpaceDE w:val="0"/>
              <w:autoSpaceDN w:val="0"/>
              <w:adjustRightInd w:val="0"/>
              <w:snapToGrid w:val="0"/>
              <w:jc w:val="center"/>
              <w:rPr>
                <w:rFonts w:ascii="Times New Roman"/>
                <w:sz w:val="21"/>
                <w:szCs w:val="21"/>
              </w:rPr>
            </w:pPr>
          </w:p>
        </w:tc>
        <w:tc>
          <w:tcPr>
            <w:tcW w:w="208" w:type="pct"/>
            <w:vAlign w:val="center"/>
          </w:tcPr>
          <w:p w14:paraId="66DF6C1C">
            <w:pPr>
              <w:autoSpaceDE w:val="0"/>
              <w:autoSpaceDN w:val="0"/>
              <w:adjustRightInd w:val="0"/>
              <w:snapToGrid w:val="0"/>
              <w:jc w:val="center"/>
              <w:rPr>
                <w:rFonts w:ascii="Times New Roman"/>
                <w:sz w:val="21"/>
                <w:szCs w:val="21"/>
              </w:rPr>
            </w:pPr>
            <w:r>
              <w:rPr>
                <w:rFonts w:ascii="Times New Roman"/>
                <w:sz w:val="21"/>
                <w:szCs w:val="21"/>
              </w:rPr>
              <w:t>350</w:t>
            </w:r>
          </w:p>
        </w:tc>
        <w:tc>
          <w:tcPr>
            <w:tcW w:w="201" w:type="pct"/>
            <w:vAlign w:val="center"/>
          </w:tcPr>
          <w:p w14:paraId="18147760">
            <w:pPr>
              <w:autoSpaceDE w:val="0"/>
              <w:autoSpaceDN w:val="0"/>
              <w:adjustRightInd w:val="0"/>
              <w:snapToGrid w:val="0"/>
              <w:jc w:val="center"/>
              <w:rPr>
                <w:rFonts w:ascii="Times New Roman"/>
                <w:sz w:val="21"/>
                <w:szCs w:val="21"/>
              </w:rPr>
            </w:pPr>
            <w:r>
              <w:rPr>
                <w:rFonts w:ascii="Times New Roman"/>
                <w:sz w:val="21"/>
                <w:szCs w:val="21"/>
              </w:rPr>
              <w:t>65</w:t>
            </w:r>
          </w:p>
        </w:tc>
        <w:tc>
          <w:tcPr>
            <w:tcW w:w="240" w:type="pct"/>
            <w:vAlign w:val="center"/>
          </w:tcPr>
          <w:p w14:paraId="50B3B279">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490ECC0">
            <w:pPr>
              <w:autoSpaceDE w:val="0"/>
              <w:autoSpaceDN w:val="0"/>
              <w:adjustRightInd w:val="0"/>
              <w:snapToGrid w:val="0"/>
              <w:jc w:val="center"/>
              <w:rPr>
                <w:rFonts w:ascii="Times New Roman"/>
                <w:sz w:val="21"/>
                <w:szCs w:val="21"/>
              </w:rPr>
            </w:pPr>
            <w:r>
              <w:rPr>
                <w:rFonts w:ascii="Times New Roman"/>
                <w:sz w:val="21"/>
                <w:szCs w:val="21"/>
              </w:rPr>
              <w:t>49.15</w:t>
            </w:r>
          </w:p>
        </w:tc>
        <w:tc>
          <w:tcPr>
            <w:tcW w:w="358" w:type="pct"/>
            <w:vAlign w:val="center"/>
          </w:tcPr>
          <w:p w14:paraId="63F59C52">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5BC2B4AE">
            <w:pPr>
              <w:autoSpaceDE w:val="0"/>
              <w:autoSpaceDN w:val="0"/>
              <w:adjustRightInd w:val="0"/>
              <w:snapToGrid w:val="0"/>
              <w:jc w:val="center"/>
              <w:rPr>
                <w:rFonts w:ascii="Times New Roman"/>
                <w:sz w:val="21"/>
                <w:szCs w:val="21"/>
              </w:rPr>
            </w:pPr>
          </w:p>
        </w:tc>
        <w:tc>
          <w:tcPr>
            <w:tcW w:w="551" w:type="pct"/>
            <w:vAlign w:val="center"/>
          </w:tcPr>
          <w:p w14:paraId="051A306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7BB2C62">
            <w:pPr>
              <w:autoSpaceDE w:val="0"/>
              <w:autoSpaceDN w:val="0"/>
              <w:adjustRightInd w:val="0"/>
              <w:snapToGrid w:val="0"/>
              <w:jc w:val="center"/>
              <w:rPr>
                <w:rFonts w:ascii="Times New Roman"/>
                <w:sz w:val="21"/>
                <w:szCs w:val="21"/>
              </w:rPr>
            </w:pPr>
          </w:p>
        </w:tc>
        <w:tc>
          <w:tcPr>
            <w:tcW w:w="287" w:type="pct"/>
            <w:vMerge w:val="continue"/>
            <w:vAlign w:val="center"/>
          </w:tcPr>
          <w:p w14:paraId="4AD637EE">
            <w:pPr>
              <w:autoSpaceDE w:val="0"/>
              <w:autoSpaceDN w:val="0"/>
              <w:adjustRightInd w:val="0"/>
              <w:snapToGrid w:val="0"/>
              <w:jc w:val="center"/>
              <w:rPr>
                <w:rFonts w:ascii="Times New Roman"/>
                <w:sz w:val="21"/>
                <w:szCs w:val="21"/>
              </w:rPr>
            </w:pPr>
          </w:p>
        </w:tc>
        <w:tc>
          <w:tcPr>
            <w:tcW w:w="434" w:type="pct"/>
            <w:vMerge w:val="continue"/>
            <w:vAlign w:val="center"/>
          </w:tcPr>
          <w:p w14:paraId="6A56902F">
            <w:pPr>
              <w:autoSpaceDE w:val="0"/>
              <w:autoSpaceDN w:val="0"/>
              <w:adjustRightInd w:val="0"/>
              <w:snapToGrid w:val="0"/>
              <w:jc w:val="center"/>
              <w:rPr>
                <w:rFonts w:ascii="Times New Roman"/>
                <w:sz w:val="21"/>
                <w:szCs w:val="21"/>
              </w:rPr>
            </w:pPr>
          </w:p>
        </w:tc>
      </w:tr>
      <w:tr w14:paraId="2D92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C4C5EF5">
            <w:pPr>
              <w:autoSpaceDE w:val="0"/>
              <w:autoSpaceDN w:val="0"/>
              <w:adjustRightInd w:val="0"/>
              <w:snapToGrid w:val="0"/>
              <w:jc w:val="center"/>
              <w:rPr>
                <w:rFonts w:ascii="Times New Roman"/>
                <w:sz w:val="21"/>
                <w:szCs w:val="21"/>
              </w:rPr>
            </w:pPr>
          </w:p>
        </w:tc>
        <w:tc>
          <w:tcPr>
            <w:tcW w:w="697" w:type="pct"/>
            <w:vAlign w:val="center"/>
          </w:tcPr>
          <w:p w14:paraId="53230E82">
            <w:pPr>
              <w:autoSpaceDE w:val="0"/>
              <w:autoSpaceDN w:val="0"/>
              <w:adjustRightInd w:val="0"/>
              <w:snapToGrid w:val="0"/>
              <w:jc w:val="center"/>
              <w:rPr>
                <w:rFonts w:ascii="Times New Roman"/>
                <w:sz w:val="21"/>
                <w:szCs w:val="21"/>
              </w:rPr>
            </w:pPr>
            <w:r>
              <w:rPr>
                <w:rFonts w:ascii="Times New Roman"/>
                <w:sz w:val="21"/>
                <w:szCs w:val="21"/>
              </w:rPr>
              <w:t>数控联合冲剪机</w:t>
            </w:r>
          </w:p>
        </w:tc>
        <w:tc>
          <w:tcPr>
            <w:tcW w:w="346" w:type="pct"/>
            <w:vAlign w:val="center"/>
          </w:tcPr>
          <w:p w14:paraId="58C9C8C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8E367CD">
            <w:pPr>
              <w:autoSpaceDE w:val="0"/>
              <w:autoSpaceDN w:val="0"/>
              <w:adjustRightInd w:val="0"/>
              <w:snapToGrid w:val="0"/>
              <w:jc w:val="center"/>
              <w:rPr>
                <w:rFonts w:ascii="Times New Roman"/>
                <w:sz w:val="21"/>
                <w:szCs w:val="21"/>
              </w:rPr>
            </w:pPr>
          </w:p>
        </w:tc>
        <w:tc>
          <w:tcPr>
            <w:tcW w:w="208" w:type="pct"/>
            <w:vAlign w:val="center"/>
          </w:tcPr>
          <w:p w14:paraId="244425B7">
            <w:pPr>
              <w:autoSpaceDE w:val="0"/>
              <w:autoSpaceDN w:val="0"/>
              <w:adjustRightInd w:val="0"/>
              <w:snapToGrid w:val="0"/>
              <w:jc w:val="center"/>
              <w:rPr>
                <w:rFonts w:ascii="Times New Roman"/>
                <w:sz w:val="21"/>
                <w:szCs w:val="21"/>
              </w:rPr>
            </w:pPr>
            <w:r>
              <w:rPr>
                <w:rFonts w:ascii="Times New Roman"/>
                <w:sz w:val="21"/>
                <w:szCs w:val="21"/>
              </w:rPr>
              <w:t>370</w:t>
            </w:r>
          </w:p>
        </w:tc>
        <w:tc>
          <w:tcPr>
            <w:tcW w:w="201" w:type="pct"/>
            <w:vAlign w:val="center"/>
          </w:tcPr>
          <w:p w14:paraId="19D0E76A">
            <w:pPr>
              <w:autoSpaceDE w:val="0"/>
              <w:autoSpaceDN w:val="0"/>
              <w:adjustRightInd w:val="0"/>
              <w:snapToGrid w:val="0"/>
              <w:jc w:val="center"/>
              <w:rPr>
                <w:rFonts w:ascii="Times New Roman"/>
                <w:sz w:val="21"/>
                <w:szCs w:val="21"/>
              </w:rPr>
            </w:pPr>
            <w:r>
              <w:rPr>
                <w:rFonts w:ascii="Times New Roman"/>
                <w:sz w:val="21"/>
                <w:szCs w:val="21"/>
              </w:rPr>
              <w:t>45</w:t>
            </w:r>
          </w:p>
        </w:tc>
        <w:tc>
          <w:tcPr>
            <w:tcW w:w="240" w:type="pct"/>
            <w:vAlign w:val="center"/>
          </w:tcPr>
          <w:p w14:paraId="110A7094">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7749147F">
            <w:pPr>
              <w:autoSpaceDE w:val="0"/>
              <w:autoSpaceDN w:val="0"/>
              <w:adjustRightInd w:val="0"/>
              <w:snapToGrid w:val="0"/>
              <w:jc w:val="center"/>
              <w:rPr>
                <w:rFonts w:ascii="Times New Roman"/>
                <w:sz w:val="21"/>
                <w:szCs w:val="21"/>
              </w:rPr>
            </w:pPr>
            <w:r>
              <w:rPr>
                <w:rFonts w:ascii="Times New Roman"/>
                <w:sz w:val="21"/>
                <w:szCs w:val="21"/>
              </w:rPr>
              <w:t>29.15</w:t>
            </w:r>
          </w:p>
        </w:tc>
        <w:tc>
          <w:tcPr>
            <w:tcW w:w="358" w:type="pct"/>
            <w:vAlign w:val="center"/>
          </w:tcPr>
          <w:p w14:paraId="2E9240AA">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3E82D036">
            <w:pPr>
              <w:autoSpaceDE w:val="0"/>
              <w:autoSpaceDN w:val="0"/>
              <w:adjustRightInd w:val="0"/>
              <w:snapToGrid w:val="0"/>
              <w:jc w:val="center"/>
              <w:rPr>
                <w:rFonts w:ascii="Times New Roman"/>
                <w:sz w:val="21"/>
                <w:szCs w:val="21"/>
              </w:rPr>
            </w:pPr>
          </w:p>
        </w:tc>
        <w:tc>
          <w:tcPr>
            <w:tcW w:w="551" w:type="pct"/>
            <w:vAlign w:val="center"/>
          </w:tcPr>
          <w:p w14:paraId="5221DD5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CDD8D02">
            <w:pPr>
              <w:autoSpaceDE w:val="0"/>
              <w:autoSpaceDN w:val="0"/>
              <w:adjustRightInd w:val="0"/>
              <w:snapToGrid w:val="0"/>
              <w:jc w:val="center"/>
              <w:rPr>
                <w:rFonts w:ascii="Times New Roman"/>
                <w:sz w:val="21"/>
                <w:szCs w:val="21"/>
              </w:rPr>
            </w:pPr>
          </w:p>
        </w:tc>
        <w:tc>
          <w:tcPr>
            <w:tcW w:w="287" w:type="pct"/>
            <w:vMerge w:val="continue"/>
            <w:vAlign w:val="center"/>
          </w:tcPr>
          <w:p w14:paraId="11180118">
            <w:pPr>
              <w:autoSpaceDE w:val="0"/>
              <w:autoSpaceDN w:val="0"/>
              <w:adjustRightInd w:val="0"/>
              <w:snapToGrid w:val="0"/>
              <w:jc w:val="center"/>
              <w:rPr>
                <w:rFonts w:ascii="Times New Roman"/>
                <w:sz w:val="21"/>
                <w:szCs w:val="21"/>
              </w:rPr>
            </w:pPr>
          </w:p>
        </w:tc>
        <w:tc>
          <w:tcPr>
            <w:tcW w:w="434" w:type="pct"/>
            <w:vMerge w:val="continue"/>
            <w:vAlign w:val="center"/>
          </w:tcPr>
          <w:p w14:paraId="38369799">
            <w:pPr>
              <w:autoSpaceDE w:val="0"/>
              <w:autoSpaceDN w:val="0"/>
              <w:adjustRightInd w:val="0"/>
              <w:snapToGrid w:val="0"/>
              <w:jc w:val="center"/>
              <w:rPr>
                <w:rFonts w:ascii="Times New Roman"/>
                <w:sz w:val="21"/>
                <w:szCs w:val="21"/>
              </w:rPr>
            </w:pPr>
          </w:p>
        </w:tc>
      </w:tr>
      <w:tr w14:paraId="02FB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62DBA07">
            <w:pPr>
              <w:autoSpaceDE w:val="0"/>
              <w:autoSpaceDN w:val="0"/>
              <w:adjustRightInd w:val="0"/>
              <w:snapToGrid w:val="0"/>
              <w:jc w:val="center"/>
              <w:rPr>
                <w:rFonts w:ascii="Times New Roman"/>
                <w:sz w:val="21"/>
                <w:szCs w:val="21"/>
              </w:rPr>
            </w:pPr>
          </w:p>
        </w:tc>
        <w:tc>
          <w:tcPr>
            <w:tcW w:w="697" w:type="pct"/>
            <w:vAlign w:val="center"/>
          </w:tcPr>
          <w:p w14:paraId="0558C6CC">
            <w:pPr>
              <w:autoSpaceDE w:val="0"/>
              <w:autoSpaceDN w:val="0"/>
              <w:adjustRightInd w:val="0"/>
              <w:snapToGrid w:val="0"/>
              <w:jc w:val="center"/>
              <w:rPr>
                <w:rFonts w:ascii="Times New Roman"/>
                <w:sz w:val="21"/>
                <w:szCs w:val="21"/>
              </w:rPr>
            </w:pPr>
            <w:r>
              <w:rPr>
                <w:rFonts w:ascii="Times New Roman"/>
                <w:sz w:val="21"/>
                <w:szCs w:val="21"/>
              </w:rPr>
              <w:t>数控联合冲剪机</w:t>
            </w:r>
          </w:p>
        </w:tc>
        <w:tc>
          <w:tcPr>
            <w:tcW w:w="346" w:type="pct"/>
            <w:vAlign w:val="center"/>
          </w:tcPr>
          <w:p w14:paraId="166925C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C654FF3">
            <w:pPr>
              <w:autoSpaceDE w:val="0"/>
              <w:autoSpaceDN w:val="0"/>
              <w:adjustRightInd w:val="0"/>
              <w:snapToGrid w:val="0"/>
              <w:jc w:val="center"/>
              <w:rPr>
                <w:rFonts w:ascii="Times New Roman"/>
                <w:sz w:val="21"/>
                <w:szCs w:val="21"/>
              </w:rPr>
            </w:pPr>
          </w:p>
        </w:tc>
        <w:tc>
          <w:tcPr>
            <w:tcW w:w="208" w:type="pct"/>
            <w:vAlign w:val="center"/>
          </w:tcPr>
          <w:p w14:paraId="04C2905C">
            <w:pPr>
              <w:autoSpaceDE w:val="0"/>
              <w:autoSpaceDN w:val="0"/>
              <w:adjustRightInd w:val="0"/>
              <w:snapToGrid w:val="0"/>
              <w:jc w:val="center"/>
              <w:rPr>
                <w:rFonts w:ascii="Times New Roman"/>
                <w:sz w:val="21"/>
                <w:szCs w:val="21"/>
              </w:rPr>
            </w:pPr>
            <w:r>
              <w:rPr>
                <w:rFonts w:ascii="Times New Roman"/>
                <w:sz w:val="21"/>
                <w:szCs w:val="21"/>
              </w:rPr>
              <w:t>370</w:t>
            </w:r>
          </w:p>
        </w:tc>
        <w:tc>
          <w:tcPr>
            <w:tcW w:w="201" w:type="pct"/>
            <w:vAlign w:val="center"/>
          </w:tcPr>
          <w:p w14:paraId="6ADA8738">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55648F04">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223A2522">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6155CF5B">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5129EDCC">
            <w:pPr>
              <w:autoSpaceDE w:val="0"/>
              <w:autoSpaceDN w:val="0"/>
              <w:adjustRightInd w:val="0"/>
              <w:snapToGrid w:val="0"/>
              <w:jc w:val="center"/>
              <w:rPr>
                <w:rFonts w:ascii="Times New Roman"/>
                <w:sz w:val="21"/>
                <w:szCs w:val="21"/>
              </w:rPr>
            </w:pPr>
          </w:p>
        </w:tc>
        <w:tc>
          <w:tcPr>
            <w:tcW w:w="551" w:type="pct"/>
            <w:vAlign w:val="center"/>
          </w:tcPr>
          <w:p w14:paraId="53673E5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393CFDD">
            <w:pPr>
              <w:autoSpaceDE w:val="0"/>
              <w:autoSpaceDN w:val="0"/>
              <w:adjustRightInd w:val="0"/>
              <w:snapToGrid w:val="0"/>
              <w:jc w:val="center"/>
              <w:rPr>
                <w:rFonts w:ascii="Times New Roman"/>
                <w:sz w:val="21"/>
                <w:szCs w:val="21"/>
              </w:rPr>
            </w:pPr>
          </w:p>
        </w:tc>
        <w:tc>
          <w:tcPr>
            <w:tcW w:w="287" w:type="pct"/>
            <w:vMerge w:val="continue"/>
            <w:vAlign w:val="center"/>
          </w:tcPr>
          <w:p w14:paraId="7F3723F9">
            <w:pPr>
              <w:autoSpaceDE w:val="0"/>
              <w:autoSpaceDN w:val="0"/>
              <w:adjustRightInd w:val="0"/>
              <w:snapToGrid w:val="0"/>
              <w:jc w:val="center"/>
              <w:rPr>
                <w:rFonts w:ascii="Times New Roman"/>
                <w:sz w:val="21"/>
                <w:szCs w:val="21"/>
              </w:rPr>
            </w:pPr>
          </w:p>
        </w:tc>
        <w:tc>
          <w:tcPr>
            <w:tcW w:w="434" w:type="pct"/>
            <w:vMerge w:val="continue"/>
            <w:vAlign w:val="center"/>
          </w:tcPr>
          <w:p w14:paraId="518507CA">
            <w:pPr>
              <w:autoSpaceDE w:val="0"/>
              <w:autoSpaceDN w:val="0"/>
              <w:adjustRightInd w:val="0"/>
              <w:snapToGrid w:val="0"/>
              <w:jc w:val="center"/>
              <w:rPr>
                <w:rFonts w:ascii="Times New Roman"/>
                <w:sz w:val="21"/>
                <w:szCs w:val="21"/>
              </w:rPr>
            </w:pPr>
          </w:p>
        </w:tc>
      </w:tr>
      <w:tr w14:paraId="257F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9B08550">
            <w:pPr>
              <w:autoSpaceDE w:val="0"/>
              <w:autoSpaceDN w:val="0"/>
              <w:adjustRightInd w:val="0"/>
              <w:snapToGrid w:val="0"/>
              <w:jc w:val="center"/>
              <w:rPr>
                <w:rFonts w:ascii="Times New Roman"/>
                <w:sz w:val="21"/>
                <w:szCs w:val="21"/>
              </w:rPr>
            </w:pPr>
          </w:p>
        </w:tc>
        <w:tc>
          <w:tcPr>
            <w:tcW w:w="697" w:type="pct"/>
            <w:vAlign w:val="center"/>
          </w:tcPr>
          <w:p w14:paraId="48A1025E">
            <w:pPr>
              <w:autoSpaceDE w:val="0"/>
              <w:autoSpaceDN w:val="0"/>
              <w:adjustRightInd w:val="0"/>
              <w:snapToGrid w:val="0"/>
              <w:jc w:val="center"/>
              <w:rPr>
                <w:rFonts w:ascii="Times New Roman"/>
                <w:sz w:val="21"/>
                <w:szCs w:val="21"/>
              </w:rPr>
            </w:pPr>
            <w:r>
              <w:rPr>
                <w:rFonts w:ascii="Times New Roman"/>
                <w:sz w:val="21"/>
                <w:szCs w:val="21"/>
              </w:rPr>
              <w:t>数控联合冲剪机</w:t>
            </w:r>
          </w:p>
        </w:tc>
        <w:tc>
          <w:tcPr>
            <w:tcW w:w="346" w:type="pct"/>
            <w:vAlign w:val="center"/>
          </w:tcPr>
          <w:p w14:paraId="4A8137A0">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2F5BB64">
            <w:pPr>
              <w:autoSpaceDE w:val="0"/>
              <w:autoSpaceDN w:val="0"/>
              <w:adjustRightInd w:val="0"/>
              <w:snapToGrid w:val="0"/>
              <w:jc w:val="center"/>
              <w:rPr>
                <w:rFonts w:ascii="Times New Roman"/>
                <w:sz w:val="21"/>
                <w:szCs w:val="21"/>
              </w:rPr>
            </w:pPr>
          </w:p>
        </w:tc>
        <w:tc>
          <w:tcPr>
            <w:tcW w:w="208" w:type="pct"/>
            <w:vAlign w:val="center"/>
          </w:tcPr>
          <w:p w14:paraId="4756A34F">
            <w:pPr>
              <w:autoSpaceDE w:val="0"/>
              <w:autoSpaceDN w:val="0"/>
              <w:adjustRightInd w:val="0"/>
              <w:snapToGrid w:val="0"/>
              <w:jc w:val="center"/>
              <w:rPr>
                <w:rFonts w:ascii="Times New Roman"/>
                <w:sz w:val="21"/>
                <w:szCs w:val="21"/>
              </w:rPr>
            </w:pPr>
            <w:r>
              <w:rPr>
                <w:rFonts w:ascii="Times New Roman"/>
                <w:sz w:val="21"/>
                <w:szCs w:val="21"/>
              </w:rPr>
              <w:t>370</w:t>
            </w:r>
          </w:p>
        </w:tc>
        <w:tc>
          <w:tcPr>
            <w:tcW w:w="201" w:type="pct"/>
            <w:vAlign w:val="center"/>
          </w:tcPr>
          <w:p w14:paraId="46443E8D">
            <w:pPr>
              <w:autoSpaceDE w:val="0"/>
              <w:autoSpaceDN w:val="0"/>
              <w:adjustRightInd w:val="0"/>
              <w:snapToGrid w:val="0"/>
              <w:jc w:val="center"/>
              <w:rPr>
                <w:rFonts w:ascii="Times New Roman"/>
                <w:sz w:val="21"/>
                <w:szCs w:val="21"/>
              </w:rPr>
            </w:pPr>
            <w:r>
              <w:rPr>
                <w:rFonts w:ascii="Times New Roman"/>
                <w:sz w:val="21"/>
                <w:szCs w:val="21"/>
              </w:rPr>
              <w:t>65</w:t>
            </w:r>
          </w:p>
        </w:tc>
        <w:tc>
          <w:tcPr>
            <w:tcW w:w="240" w:type="pct"/>
            <w:vAlign w:val="center"/>
          </w:tcPr>
          <w:p w14:paraId="4E266243">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5C7DA961">
            <w:pPr>
              <w:autoSpaceDE w:val="0"/>
              <w:autoSpaceDN w:val="0"/>
              <w:adjustRightInd w:val="0"/>
              <w:snapToGrid w:val="0"/>
              <w:jc w:val="center"/>
              <w:rPr>
                <w:rFonts w:ascii="Times New Roman"/>
                <w:sz w:val="21"/>
                <w:szCs w:val="21"/>
              </w:rPr>
            </w:pPr>
            <w:r>
              <w:rPr>
                <w:rFonts w:ascii="Times New Roman"/>
                <w:sz w:val="21"/>
                <w:szCs w:val="21"/>
              </w:rPr>
              <w:t>49.15</w:t>
            </w:r>
          </w:p>
        </w:tc>
        <w:tc>
          <w:tcPr>
            <w:tcW w:w="358" w:type="pct"/>
            <w:vAlign w:val="center"/>
          </w:tcPr>
          <w:p w14:paraId="237A81C5">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5FFD39E9">
            <w:pPr>
              <w:autoSpaceDE w:val="0"/>
              <w:autoSpaceDN w:val="0"/>
              <w:adjustRightInd w:val="0"/>
              <w:snapToGrid w:val="0"/>
              <w:jc w:val="center"/>
              <w:rPr>
                <w:rFonts w:ascii="Times New Roman"/>
                <w:sz w:val="21"/>
                <w:szCs w:val="21"/>
              </w:rPr>
            </w:pPr>
          </w:p>
        </w:tc>
        <w:tc>
          <w:tcPr>
            <w:tcW w:w="551" w:type="pct"/>
            <w:vAlign w:val="center"/>
          </w:tcPr>
          <w:p w14:paraId="625A94C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9D84A34">
            <w:pPr>
              <w:autoSpaceDE w:val="0"/>
              <w:autoSpaceDN w:val="0"/>
              <w:adjustRightInd w:val="0"/>
              <w:snapToGrid w:val="0"/>
              <w:jc w:val="center"/>
              <w:rPr>
                <w:rFonts w:ascii="Times New Roman"/>
                <w:sz w:val="21"/>
                <w:szCs w:val="21"/>
              </w:rPr>
            </w:pPr>
          </w:p>
        </w:tc>
        <w:tc>
          <w:tcPr>
            <w:tcW w:w="287" w:type="pct"/>
            <w:vMerge w:val="continue"/>
            <w:vAlign w:val="center"/>
          </w:tcPr>
          <w:p w14:paraId="18AB2BBE">
            <w:pPr>
              <w:autoSpaceDE w:val="0"/>
              <w:autoSpaceDN w:val="0"/>
              <w:adjustRightInd w:val="0"/>
              <w:snapToGrid w:val="0"/>
              <w:jc w:val="center"/>
              <w:rPr>
                <w:rFonts w:ascii="Times New Roman"/>
                <w:sz w:val="21"/>
                <w:szCs w:val="21"/>
              </w:rPr>
            </w:pPr>
          </w:p>
        </w:tc>
        <w:tc>
          <w:tcPr>
            <w:tcW w:w="434" w:type="pct"/>
            <w:vMerge w:val="continue"/>
            <w:vAlign w:val="center"/>
          </w:tcPr>
          <w:p w14:paraId="2D41E266">
            <w:pPr>
              <w:autoSpaceDE w:val="0"/>
              <w:autoSpaceDN w:val="0"/>
              <w:adjustRightInd w:val="0"/>
              <w:snapToGrid w:val="0"/>
              <w:jc w:val="center"/>
              <w:rPr>
                <w:rFonts w:ascii="Times New Roman"/>
                <w:sz w:val="21"/>
                <w:szCs w:val="21"/>
              </w:rPr>
            </w:pPr>
          </w:p>
        </w:tc>
      </w:tr>
      <w:tr w14:paraId="109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5FC2DB2">
            <w:pPr>
              <w:autoSpaceDE w:val="0"/>
              <w:autoSpaceDN w:val="0"/>
              <w:adjustRightInd w:val="0"/>
              <w:snapToGrid w:val="0"/>
              <w:jc w:val="center"/>
              <w:rPr>
                <w:rFonts w:ascii="Times New Roman"/>
                <w:sz w:val="21"/>
                <w:szCs w:val="21"/>
              </w:rPr>
            </w:pPr>
          </w:p>
        </w:tc>
        <w:tc>
          <w:tcPr>
            <w:tcW w:w="697" w:type="pct"/>
            <w:vAlign w:val="center"/>
          </w:tcPr>
          <w:p w14:paraId="5E44FE3A">
            <w:pPr>
              <w:autoSpaceDE w:val="0"/>
              <w:autoSpaceDN w:val="0"/>
              <w:adjustRightInd w:val="0"/>
              <w:snapToGrid w:val="0"/>
              <w:jc w:val="center"/>
              <w:rPr>
                <w:rFonts w:ascii="Times New Roman"/>
                <w:sz w:val="21"/>
                <w:szCs w:val="21"/>
              </w:rPr>
            </w:pPr>
            <w:r>
              <w:rPr>
                <w:rFonts w:ascii="Times New Roman"/>
                <w:sz w:val="21"/>
                <w:szCs w:val="21"/>
              </w:rPr>
              <w:t>数控锯床</w:t>
            </w:r>
          </w:p>
        </w:tc>
        <w:tc>
          <w:tcPr>
            <w:tcW w:w="346" w:type="pct"/>
            <w:vAlign w:val="center"/>
          </w:tcPr>
          <w:p w14:paraId="1EEC638B">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12B8C501">
            <w:pPr>
              <w:autoSpaceDE w:val="0"/>
              <w:autoSpaceDN w:val="0"/>
              <w:adjustRightInd w:val="0"/>
              <w:snapToGrid w:val="0"/>
              <w:jc w:val="center"/>
              <w:rPr>
                <w:rFonts w:ascii="Times New Roman"/>
                <w:sz w:val="21"/>
                <w:szCs w:val="21"/>
              </w:rPr>
            </w:pPr>
          </w:p>
        </w:tc>
        <w:tc>
          <w:tcPr>
            <w:tcW w:w="208" w:type="pct"/>
            <w:vAlign w:val="center"/>
          </w:tcPr>
          <w:p w14:paraId="425512AD">
            <w:pPr>
              <w:autoSpaceDE w:val="0"/>
              <w:autoSpaceDN w:val="0"/>
              <w:adjustRightInd w:val="0"/>
              <w:snapToGrid w:val="0"/>
              <w:jc w:val="center"/>
              <w:rPr>
                <w:rFonts w:ascii="Times New Roman"/>
                <w:sz w:val="21"/>
                <w:szCs w:val="21"/>
              </w:rPr>
            </w:pPr>
            <w:r>
              <w:rPr>
                <w:rFonts w:ascii="Times New Roman"/>
                <w:sz w:val="21"/>
                <w:szCs w:val="21"/>
              </w:rPr>
              <w:t>380</w:t>
            </w:r>
          </w:p>
        </w:tc>
        <w:tc>
          <w:tcPr>
            <w:tcW w:w="201" w:type="pct"/>
            <w:vAlign w:val="center"/>
          </w:tcPr>
          <w:p w14:paraId="6F5709D9">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1B350C17">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5A06FC1">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7A16C665">
            <w:pPr>
              <w:autoSpaceDE w:val="0"/>
              <w:autoSpaceDN w:val="0"/>
              <w:adjustRightInd w:val="0"/>
              <w:snapToGrid w:val="0"/>
              <w:jc w:val="center"/>
              <w:rPr>
                <w:rFonts w:ascii="Times New Roman"/>
                <w:sz w:val="21"/>
                <w:szCs w:val="21"/>
              </w:rPr>
            </w:pPr>
            <w:r>
              <w:rPr>
                <w:rFonts w:ascii="Times New Roman"/>
                <w:sz w:val="21"/>
                <w:szCs w:val="21"/>
              </w:rPr>
              <w:t>53</w:t>
            </w:r>
          </w:p>
        </w:tc>
        <w:tc>
          <w:tcPr>
            <w:tcW w:w="316" w:type="pct"/>
            <w:vMerge w:val="continue"/>
            <w:vAlign w:val="center"/>
          </w:tcPr>
          <w:p w14:paraId="4D6F5927">
            <w:pPr>
              <w:autoSpaceDE w:val="0"/>
              <w:autoSpaceDN w:val="0"/>
              <w:adjustRightInd w:val="0"/>
              <w:snapToGrid w:val="0"/>
              <w:jc w:val="center"/>
              <w:rPr>
                <w:rFonts w:ascii="Times New Roman"/>
                <w:sz w:val="21"/>
                <w:szCs w:val="21"/>
              </w:rPr>
            </w:pPr>
          </w:p>
        </w:tc>
        <w:tc>
          <w:tcPr>
            <w:tcW w:w="551" w:type="pct"/>
            <w:vAlign w:val="center"/>
          </w:tcPr>
          <w:p w14:paraId="605A724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2F2796F">
            <w:pPr>
              <w:autoSpaceDE w:val="0"/>
              <w:autoSpaceDN w:val="0"/>
              <w:adjustRightInd w:val="0"/>
              <w:snapToGrid w:val="0"/>
              <w:jc w:val="center"/>
              <w:rPr>
                <w:rFonts w:ascii="Times New Roman"/>
                <w:sz w:val="21"/>
                <w:szCs w:val="21"/>
              </w:rPr>
            </w:pPr>
          </w:p>
        </w:tc>
        <w:tc>
          <w:tcPr>
            <w:tcW w:w="287" w:type="pct"/>
            <w:vMerge w:val="continue"/>
            <w:vAlign w:val="center"/>
          </w:tcPr>
          <w:p w14:paraId="640D25B9">
            <w:pPr>
              <w:autoSpaceDE w:val="0"/>
              <w:autoSpaceDN w:val="0"/>
              <w:adjustRightInd w:val="0"/>
              <w:snapToGrid w:val="0"/>
              <w:jc w:val="center"/>
              <w:rPr>
                <w:rFonts w:ascii="Times New Roman"/>
                <w:sz w:val="21"/>
                <w:szCs w:val="21"/>
              </w:rPr>
            </w:pPr>
          </w:p>
        </w:tc>
        <w:tc>
          <w:tcPr>
            <w:tcW w:w="434" w:type="pct"/>
            <w:vMerge w:val="continue"/>
            <w:vAlign w:val="center"/>
          </w:tcPr>
          <w:p w14:paraId="56FCE17D">
            <w:pPr>
              <w:autoSpaceDE w:val="0"/>
              <w:autoSpaceDN w:val="0"/>
              <w:adjustRightInd w:val="0"/>
              <w:snapToGrid w:val="0"/>
              <w:jc w:val="center"/>
              <w:rPr>
                <w:rFonts w:ascii="Times New Roman"/>
                <w:sz w:val="21"/>
                <w:szCs w:val="21"/>
              </w:rPr>
            </w:pPr>
          </w:p>
        </w:tc>
      </w:tr>
      <w:tr w14:paraId="2D07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67DE3A3">
            <w:pPr>
              <w:autoSpaceDE w:val="0"/>
              <w:autoSpaceDN w:val="0"/>
              <w:adjustRightInd w:val="0"/>
              <w:snapToGrid w:val="0"/>
              <w:jc w:val="center"/>
              <w:rPr>
                <w:rFonts w:ascii="Times New Roman"/>
                <w:sz w:val="21"/>
                <w:szCs w:val="21"/>
              </w:rPr>
            </w:pPr>
          </w:p>
        </w:tc>
        <w:tc>
          <w:tcPr>
            <w:tcW w:w="697" w:type="pct"/>
            <w:vAlign w:val="center"/>
          </w:tcPr>
          <w:p w14:paraId="33A41152">
            <w:pPr>
              <w:autoSpaceDE w:val="0"/>
              <w:autoSpaceDN w:val="0"/>
              <w:adjustRightInd w:val="0"/>
              <w:snapToGrid w:val="0"/>
              <w:jc w:val="center"/>
              <w:rPr>
                <w:rFonts w:ascii="Times New Roman"/>
                <w:sz w:val="21"/>
                <w:szCs w:val="21"/>
              </w:rPr>
            </w:pPr>
            <w:r>
              <w:rPr>
                <w:rFonts w:ascii="Times New Roman"/>
                <w:sz w:val="21"/>
                <w:szCs w:val="21"/>
              </w:rPr>
              <w:t>数控锯床</w:t>
            </w:r>
          </w:p>
        </w:tc>
        <w:tc>
          <w:tcPr>
            <w:tcW w:w="346" w:type="pct"/>
            <w:vAlign w:val="center"/>
          </w:tcPr>
          <w:p w14:paraId="0B205888">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3DAEECFF">
            <w:pPr>
              <w:autoSpaceDE w:val="0"/>
              <w:autoSpaceDN w:val="0"/>
              <w:adjustRightInd w:val="0"/>
              <w:snapToGrid w:val="0"/>
              <w:jc w:val="center"/>
              <w:rPr>
                <w:rFonts w:ascii="Times New Roman"/>
                <w:sz w:val="21"/>
                <w:szCs w:val="21"/>
              </w:rPr>
            </w:pPr>
          </w:p>
        </w:tc>
        <w:tc>
          <w:tcPr>
            <w:tcW w:w="208" w:type="pct"/>
            <w:vAlign w:val="center"/>
          </w:tcPr>
          <w:p w14:paraId="259AE87C">
            <w:pPr>
              <w:autoSpaceDE w:val="0"/>
              <w:autoSpaceDN w:val="0"/>
              <w:adjustRightInd w:val="0"/>
              <w:snapToGrid w:val="0"/>
              <w:jc w:val="center"/>
              <w:rPr>
                <w:rFonts w:ascii="Times New Roman"/>
                <w:sz w:val="21"/>
                <w:szCs w:val="21"/>
              </w:rPr>
            </w:pPr>
            <w:r>
              <w:rPr>
                <w:rFonts w:ascii="Times New Roman"/>
                <w:sz w:val="21"/>
                <w:szCs w:val="21"/>
              </w:rPr>
              <w:t>380</w:t>
            </w:r>
          </w:p>
        </w:tc>
        <w:tc>
          <w:tcPr>
            <w:tcW w:w="201" w:type="pct"/>
            <w:vAlign w:val="center"/>
          </w:tcPr>
          <w:p w14:paraId="43A34739">
            <w:pPr>
              <w:autoSpaceDE w:val="0"/>
              <w:autoSpaceDN w:val="0"/>
              <w:adjustRightInd w:val="0"/>
              <w:snapToGrid w:val="0"/>
              <w:jc w:val="center"/>
              <w:rPr>
                <w:rFonts w:ascii="Times New Roman"/>
                <w:sz w:val="21"/>
                <w:szCs w:val="21"/>
              </w:rPr>
            </w:pPr>
            <w:r>
              <w:rPr>
                <w:rFonts w:ascii="Times New Roman"/>
                <w:sz w:val="21"/>
                <w:szCs w:val="21"/>
              </w:rPr>
              <w:t>60</w:t>
            </w:r>
          </w:p>
        </w:tc>
        <w:tc>
          <w:tcPr>
            <w:tcW w:w="240" w:type="pct"/>
            <w:vAlign w:val="center"/>
          </w:tcPr>
          <w:p w14:paraId="46A4DAE5">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58F52F32">
            <w:pPr>
              <w:autoSpaceDE w:val="0"/>
              <w:autoSpaceDN w:val="0"/>
              <w:adjustRightInd w:val="0"/>
              <w:snapToGrid w:val="0"/>
              <w:jc w:val="center"/>
              <w:rPr>
                <w:rFonts w:ascii="Times New Roman"/>
                <w:sz w:val="21"/>
                <w:szCs w:val="21"/>
              </w:rPr>
            </w:pPr>
            <w:r>
              <w:rPr>
                <w:rFonts w:ascii="Times New Roman"/>
                <w:sz w:val="21"/>
                <w:szCs w:val="21"/>
              </w:rPr>
              <w:t>44.15</w:t>
            </w:r>
          </w:p>
        </w:tc>
        <w:tc>
          <w:tcPr>
            <w:tcW w:w="358" w:type="pct"/>
            <w:vAlign w:val="center"/>
          </w:tcPr>
          <w:p w14:paraId="528B4AF8">
            <w:pPr>
              <w:autoSpaceDE w:val="0"/>
              <w:autoSpaceDN w:val="0"/>
              <w:adjustRightInd w:val="0"/>
              <w:snapToGrid w:val="0"/>
              <w:jc w:val="center"/>
              <w:rPr>
                <w:rFonts w:ascii="Times New Roman"/>
                <w:sz w:val="21"/>
                <w:szCs w:val="21"/>
              </w:rPr>
            </w:pPr>
            <w:r>
              <w:rPr>
                <w:rFonts w:ascii="Times New Roman"/>
                <w:sz w:val="21"/>
                <w:szCs w:val="21"/>
              </w:rPr>
              <w:t>52</w:t>
            </w:r>
          </w:p>
        </w:tc>
        <w:tc>
          <w:tcPr>
            <w:tcW w:w="316" w:type="pct"/>
            <w:vMerge w:val="continue"/>
            <w:vAlign w:val="center"/>
          </w:tcPr>
          <w:p w14:paraId="0044D07F">
            <w:pPr>
              <w:autoSpaceDE w:val="0"/>
              <w:autoSpaceDN w:val="0"/>
              <w:adjustRightInd w:val="0"/>
              <w:snapToGrid w:val="0"/>
              <w:jc w:val="center"/>
              <w:rPr>
                <w:rFonts w:ascii="Times New Roman"/>
                <w:sz w:val="21"/>
                <w:szCs w:val="21"/>
              </w:rPr>
            </w:pPr>
          </w:p>
        </w:tc>
        <w:tc>
          <w:tcPr>
            <w:tcW w:w="551" w:type="pct"/>
            <w:vAlign w:val="center"/>
          </w:tcPr>
          <w:p w14:paraId="138F069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4525502">
            <w:pPr>
              <w:autoSpaceDE w:val="0"/>
              <w:autoSpaceDN w:val="0"/>
              <w:adjustRightInd w:val="0"/>
              <w:snapToGrid w:val="0"/>
              <w:jc w:val="center"/>
              <w:rPr>
                <w:rFonts w:ascii="Times New Roman"/>
                <w:sz w:val="21"/>
                <w:szCs w:val="21"/>
              </w:rPr>
            </w:pPr>
          </w:p>
        </w:tc>
        <w:tc>
          <w:tcPr>
            <w:tcW w:w="287" w:type="pct"/>
            <w:vMerge w:val="continue"/>
            <w:vAlign w:val="center"/>
          </w:tcPr>
          <w:p w14:paraId="32992744">
            <w:pPr>
              <w:autoSpaceDE w:val="0"/>
              <w:autoSpaceDN w:val="0"/>
              <w:adjustRightInd w:val="0"/>
              <w:snapToGrid w:val="0"/>
              <w:jc w:val="center"/>
              <w:rPr>
                <w:rFonts w:ascii="Times New Roman"/>
                <w:sz w:val="21"/>
                <w:szCs w:val="21"/>
              </w:rPr>
            </w:pPr>
          </w:p>
        </w:tc>
        <w:tc>
          <w:tcPr>
            <w:tcW w:w="434" w:type="pct"/>
            <w:vMerge w:val="continue"/>
            <w:vAlign w:val="center"/>
          </w:tcPr>
          <w:p w14:paraId="15B18C2F">
            <w:pPr>
              <w:autoSpaceDE w:val="0"/>
              <w:autoSpaceDN w:val="0"/>
              <w:adjustRightInd w:val="0"/>
              <w:snapToGrid w:val="0"/>
              <w:jc w:val="center"/>
              <w:rPr>
                <w:rFonts w:ascii="Times New Roman"/>
                <w:sz w:val="21"/>
                <w:szCs w:val="21"/>
              </w:rPr>
            </w:pPr>
          </w:p>
        </w:tc>
      </w:tr>
      <w:tr w14:paraId="430C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4F06CD0">
            <w:pPr>
              <w:autoSpaceDE w:val="0"/>
              <w:autoSpaceDN w:val="0"/>
              <w:adjustRightInd w:val="0"/>
              <w:snapToGrid w:val="0"/>
              <w:jc w:val="center"/>
              <w:rPr>
                <w:rFonts w:ascii="Times New Roman"/>
                <w:sz w:val="21"/>
                <w:szCs w:val="21"/>
              </w:rPr>
            </w:pPr>
          </w:p>
        </w:tc>
        <w:tc>
          <w:tcPr>
            <w:tcW w:w="697" w:type="pct"/>
            <w:vAlign w:val="center"/>
          </w:tcPr>
          <w:p w14:paraId="52CC6277">
            <w:pPr>
              <w:autoSpaceDE w:val="0"/>
              <w:autoSpaceDN w:val="0"/>
              <w:adjustRightInd w:val="0"/>
              <w:snapToGrid w:val="0"/>
              <w:jc w:val="center"/>
              <w:rPr>
                <w:rFonts w:ascii="Times New Roman"/>
                <w:sz w:val="21"/>
                <w:szCs w:val="21"/>
              </w:rPr>
            </w:pPr>
            <w:r>
              <w:rPr>
                <w:rFonts w:ascii="Times New Roman"/>
                <w:sz w:val="21"/>
                <w:szCs w:val="21"/>
              </w:rPr>
              <w:t>数控锯床</w:t>
            </w:r>
          </w:p>
        </w:tc>
        <w:tc>
          <w:tcPr>
            <w:tcW w:w="346" w:type="pct"/>
            <w:vAlign w:val="center"/>
          </w:tcPr>
          <w:p w14:paraId="098B2DEB">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3D17A410">
            <w:pPr>
              <w:autoSpaceDE w:val="0"/>
              <w:autoSpaceDN w:val="0"/>
              <w:adjustRightInd w:val="0"/>
              <w:snapToGrid w:val="0"/>
              <w:jc w:val="center"/>
              <w:rPr>
                <w:rFonts w:ascii="Times New Roman"/>
                <w:sz w:val="21"/>
                <w:szCs w:val="21"/>
              </w:rPr>
            </w:pPr>
          </w:p>
        </w:tc>
        <w:tc>
          <w:tcPr>
            <w:tcW w:w="208" w:type="pct"/>
            <w:vAlign w:val="center"/>
          </w:tcPr>
          <w:p w14:paraId="60AA6B1B">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38AC5E32">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009F51FE">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DAD1A1F">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0F9B7404">
            <w:pPr>
              <w:autoSpaceDE w:val="0"/>
              <w:autoSpaceDN w:val="0"/>
              <w:adjustRightInd w:val="0"/>
              <w:snapToGrid w:val="0"/>
              <w:jc w:val="center"/>
              <w:rPr>
                <w:rFonts w:ascii="Times New Roman"/>
                <w:sz w:val="21"/>
                <w:szCs w:val="21"/>
              </w:rPr>
            </w:pPr>
            <w:r>
              <w:rPr>
                <w:rFonts w:ascii="Times New Roman"/>
                <w:sz w:val="21"/>
                <w:szCs w:val="21"/>
              </w:rPr>
              <w:t>53</w:t>
            </w:r>
          </w:p>
        </w:tc>
        <w:tc>
          <w:tcPr>
            <w:tcW w:w="316" w:type="pct"/>
            <w:vMerge w:val="continue"/>
            <w:vAlign w:val="center"/>
          </w:tcPr>
          <w:p w14:paraId="784172C4">
            <w:pPr>
              <w:autoSpaceDE w:val="0"/>
              <w:autoSpaceDN w:val="0"/>
              <w:adjustRightInd w:val="0"/>
              <w:snapToGrid w:val="0"/>
              <w:jc w:val="center"/>
              <w:rPr>
                <w:rFonts w:ascii="Times New Roman"/>
                <w:sz w:val="21"/>
                <w:szCs w:val="21"/>
              </w:rPr>
            </w:pPr>
          </w:p>
        </w:tc>
        <w:tc>
          <w:tcPr>
            <w:tcW w:w="551" w:type="pct"/>
            <w:vAlign w:val="center"/>
          </w:tcPr>
          <w:p w14:paraId="3F7CDC3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B7832B5">
            <w:pPr>
              <w:autoSpaceDE w:val="0"/>
              <w:autoSpaceDN w:val="0"/>
              <w:adjustRightInd w:val="0"/>
              <w:snapToGrid w:val="0"/>
              <w:jc w:val="center"/>
              <w:rPr>
                <w:rFonts w:ascii="Times New Roman"/>
                <w:sz w:val="21"/>
                <w:szCs w:val="21"/>
              </w:rPr>
            </w:pPr>
          </w:p>
        </w:tc>
        <w:tc>
          <w:tcPr>
            <w:tcW w:w="287" w:type="pct"/>
            <w:vMerge w:val="continue"/>
            <w:vAlign w:val="center"/>
          </w:tcPr>
          <w:p w14:paraId="7A095B3C">
            <w:pPr>
              <w:autoSpaceDE w:val="0"/>
              <w:autoSpaceDN w:val="0"/>
              <w:adjustRightInd w:val="0"/>
              <w:snapToGrid w:val="0"/>
              <w:jc w:val="center"/>
              <w:rPr>
                <w:rFonts w:ascii="Times New Roman"/>
                <w:sz w:val="21"/>
                <w:szCs w:val="21"/>
              </w:rPr>
            </w:pPr>
          </w:p>
        </w:tc>
        <w:tc>
          <w:tcPr>
            <w:tcW w:w="434" w:type="pct"/>
            <w:vMerge w:val="continue"/>
            <w:vAlign w:val="center"/>
          </w:tcPr>
          <w:p w14:paraId="4D7A5169">
            <w:pPr>
              <w:autoSpaceDE w:val="0"/>
              <w:autoSpaceDN w:val="0"/>
              <w:adjustRightInd w:val="0"/>
              <w:snapToGrid w:val="0"/>
              <w:jc w:val="center"/>
              <w:rPr>
                <w:rFonts w:ascii="Times New Roman"/>
                <w:sz w:val="21"/>
                <w:szCs w:val="21"/>
              </w:rPr>
            </w:pPr>
          </w:p>
        </w:tc>
      </w:tr>
      <w:tr w14:paraId="07C9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44B326A">
            <w:pPr>
              <w:autoSpaceDE w:val="0"/>
              <w:autoSpaceDN w:val="0"/>
              <w:adjustRightInd w:val="0"/>
              <w:snapToGrid w:val="0"/>
              <w:jc w:val="center"/>
              <w:rPr>
                <w:rFonts w:ascii="Times New Roman"/>
                <w:sz w:val="21"/>
                <w:szCs w:val="21"/>
              </w:rPr>
            </w:pPr>
          </w:p>
        </w:tc>
        <w:tc>
          <w:tcPr>
            <w:tcW w:w="697" w:type="pct"/>
            <w:vAlign w:val="center"/>
          </w:tcPr>
          <w:p w14:paraId="53FC91A9">
            <w:pPr>
              <w:autoSpaceDE w:val="0"/>
              <w:autoSpaceDN w:val="0"/>
              <w:adjustRightInd w:val="0"/>
              <w:snapToGrid w:val="0"/>
              <w:jc w:val="center"/>
              <w:rPr>
                <w:rFonts w:ascii="Times New Roman"/>
                <w:sz w:val="21"/>
                <w:szCs w:val="21"/>
              </w:rPr>
            </w:pPr>
            <w:r>
              <w:rPr>
                <w:rFonts w:ascii="Times New Roman"/>
                <w:sz w:val="21"/>
                <w:szCs w:val="21"/>
              </w:rPr>
              <w:t>数控锯床</w:t>
            </w:r>
          </w:p>
        </w:tc>
        <w:tc>
          <w:tcPr>
            <w:tcW w:w="346" w:type="pct"/>
            <w:vAlign w:val="center"/>
          </w:tcPr>
          <w:p w14:paraId="106674CD">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76199766">
            <w:pPr>
              <w:autoSpaceDE w:val="0"/>
              <w:autoSpaceDN w:val="0"/>
              <w:adjustRightInd w:val="0"/>
              <w:snapToGrid w:val="0"/>
              <w:jc w:val="center"/>
              <w:rPr>
                <w:rFonts w:ascii="Times New Roman"/>
                <w:sz w:val="21"/>
                <w:szCs w:val="21"/>
              </w:rPr>
            </w:pPr>
          </w:p>
        </w:tc>
        <w:tc>
          <w:tcPr>
            <w:tcW w:w="208" w:type="pct"/>
            <w:vAlign w:val="center"/>
          </w:tcPr>
          <w:p w14:paraId="0C62A67C">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5D4140CD">
            <w:pPr>
              <w:autoSpaceDE w:val="0"/>
              <w:autoSpaceDN w:val="0"/>
              <w:adjustRightInd w:val="0"/>
              <w:snapToGrid w:val="0"/>
              <w:jc w:val="center"/>
              <w:rPr>
                <w:rFonts w:ascii="Times New Roman"/>
                <w:sz w:val="21"/>
                <w:szCs w:val="21"/>
              </w:rPr>
            </w:pPr>
            <w:r>
              <w:rPr>
                <w:rFonts w:ascii="Times New Roman"/>
                <w:sz w:val="21"/>
                <w:szCs w:val="21"/>
              </w:rPr>
              <w:t>60</w:t>
            </w:r>
          </w:p>
        </w:tc>
        <w:tc>
          <w:tcPr>
            <w:tcW w:w="240" w:type="pct"/>
            <w:vAlign w:val="center"/>
          </w:tcPr>
          <w:p w14:paraId="42115ECE">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3DBD4816">
            <w:pPr>
              <w:autoSpaceDE w:val="0"/>
              <w:autoSpaceDN w:val="0"/>
              <w:adjustRightInd w:val="0"/>
              <w:snapToGrid w:val="0"/>
              <w:jc w:val="center"/>
              <w:rPr>
                <w:rFonts w:ascii="Times New Roman"/>
                <w:sz w:val="21"/>
                <w:szCs w:val="21"/>
              </w:rPr>
            </w:pPr>
            <w:r>
              <w:rPr>
                <w:rFonts w:ascii="Times New Roman"/>
                <w:sz w:val="21"/>
                <w:szCs w:val="21"/>
              </w:rPr>
              <w:t>44.15</w:t>
            </w:r>
          </w:p>
        </w:tc>
        <w:tc>
          <w:tcPr>
            <w:tcW w:w="358" w:type="pct"/>
            <w:vAlign w:val="center"/>
          </w:tcPr>
          <w:p w14:paraId="692B2178">
            <w:pPr>
              <w:autoSpaceDE w:val="0"/>
              <w:autoSpaceDN w:val="0"/>
              <w:adjustRightInd w:val="0"/>
              <w:snapToGrid w:val="0"/>
              <w:jc w:val="center"/>
              <w:rPr>
                <w:rFonts w:ascii="Times New Roman"/>
                <w:sz w:val="21"/>
                <w:szCs w:val="21"/>
              </w:rPr>
            </w:pPr>
            <w:r>
              <w:rPr>
                <w:rFonts w:ascii="Times New Roman"/>
                <w:sz w:val="21"/>
                <w:szCs w:val="21"/>
              </w:rPr>
              <w:t>52</w:t>
            </w:r>
          </w:p>
        </w:tc>
        <w:tc>
          <w:tcPr>
            <w:tcW w:w="316" w:type="pct"/>
            <w:vMerge w:val="continue"/>
            <w:vAlign w:val="center"/>
          </w:tcPr>
          <w:p w14:paraId="1CF07497">
            <w:pPr>
              <w:autoSpaceDE w:val="0"/>
              <w:autoSpaceDN w:val="0"/>
              <w:adjustRightInd w:val="0"/>
              <w:snapToGrid w:val="0"/>
              <w:jc w:val="center"/>
              <w:rPr>
                <w:rFonts w:ascii="Times New Roman"/>
                <w:sz w:val="21"/>
                <w:szCs w:val="21"/>
              </w:rPr>
            </w:pPr>
          </w:p>
        </w:tc>
        <w:tc>
          <w:tcPr>
            <w:tcW w:w="551" w:type="pct"/>
            <w:vAlign w:val="center"/>
          </w:tcPr>
          <w:p w14:paraId="6ED9D99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59FC8C4">
            <w:pPr>
              <w:autoSpaceDE w:val="0"/>
              <w:autoSpaceDN w:val="0"/>
              <w:adjustRightInd w:val="0"/>
              <w:snapToGrid w:val="0"/>
              <w:jc w:val="center"/>
              <w:rPr>
                <w:rFonts w:ascii="Times New Roman"/>
                <w:sz w:val="21"/>
                <w:szCs w:val="21"/>
              </w:rPr>
            </w:pPr>
          </w:p>
        </w:tc>
        <w:tc>
          <w:tcPr>
            <w:tcW w:w="287" w:type="pct"/>
            <w:vMerge w:val="continue"/>
            <w:vAlign w:val="center"/>
          </w:tcPr>
          <w:p w14:paraId="493A4369">
            <w:pPr>
              <w:autoSpaceDE w:val="0"/>
              <w:autoSpaceDN w:val="0"/>
              <w:adjustRightInd w:val="0"/>
              <w:snapToGrid w:val="0"/>
              <w:jc w:val="center"/>
              <w:rPr>
                <w:rFonts w:ascii="Times New Roman"/>
                <w:sz w:val="21"/>
                <w:szCs w:val="21"/>
              </w:rPr>
            </w:pPr>
          </w:p>
        </w:tc>
        <w:tc>
          <w:tcPr>
            <w:tcW w:w="434" w:type="pct"/>
            <w:vMerge w:val="continue"/>
            <w:vAlign w:val="center"/>
          </w:tcPr>
          <w:p w14:paraId="4C242067">
            <w:pPr>
              <w:autoSpaceDE w:val="0"/>
              <w:autoSpaceDN w:val="0"/>
              <w:adjustRightInd w:val="0"/>
              <w:snapToGrid w:val="0"/>
              <w:jc w:val="center"/>
              <w:rPr>
                <w:rFonts w:ascii="Times New Roman"/>
                <w:sz w:val="21"/>
                <w:szCs w:val="21"/>
              </w:rPr>
            </w:pPr>
          </w:p>
        </w:tc>
      </w:tr>
      <w:tr w14:paraId="1633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A85A100">
            <w:pPr>
              <w:autoSpaceDE w:val="0"/>
              <w:autoSpaceDN w:val="0"/>
              <w:adjustRightInd w:val="0"/>
              <w:snapToGrid w:val="0"/>
              <w:jc w:val="center"/>
              <w:rPr>
                <w:rFonts w:ascii="Times New Roman"/>
                <w:sz w:val="21"/>
                <w:szCs w:val="21"/>
              </w:rPr>
            </w:pPr>
          </w:p>
        </w:tc>
        <w:tc>
          <w:tcPr>
            <w:tcW w:w="697" w:type="pct"/>
            <w:vAlign w:val="center"/>
          </w:tcPr>
          <w:p w14:paraId="7C81A0F3">
            <w:pPr>
              <w:autoSpaceDE w:val="0"/>
              <w:autoSpaceDN w:val="0"/>
              <w:adjustRightInd w:val="0"/>
              <w:snapToGrid w:val="0"/>
              <w:jc w:val="center"/>
              <w:rPr>
                <w:rFonts w:ascii="Times New Roman"/>
                <w:sz w:val="21"/>
                <w:szCs w:val="21"/>
              </w:rPr>
            </w:pPr>
            <w:r>
              <w:rPr>
                <w:rFonts w:ascii="Times New Roman"/>
                <w:sz w:val="21"/>
                <w:szCs w:val="21"/>
              </w:rPr>
              <w:t>数控圆盘锯</w:t>
            </w:r>
          </w:p>
        </w:tc>
        <w:tc>
          <w:tcPr>
            <w:tcW w:w="346" w:type="pct"/>
            <w:vAlign w:val="center"/>
          </w:tcPr>
          <w:p w14:paraId="22CCC508">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C49C3A2">
            <w:pPr>
              <w:autoSpaceDE w:val="0"/>
              <w:autoSpaceDN w:val="0"/>
              <w:adjustRightInd w:val="0"/>
              <w:snapToGrid w:val="0"/>
              <w:jc w:val="center"/>
              <w:rPr>
                <w:rFonts w:ascii="Times New Roman"/>
                <w:sz w:val="21"/>
                <w:szCs w:val="21"/>
              </w:rPr>
            </w:pPr>
          </w:p>
        </w:tc>
        <w:tc>
          <w:tcPr>
            <w:tcW w:w="208" w:type="pct"/>
            <w:vAlign w:val="center"/>
          </w:tcPr>
          <w:p w14:paraId="27BE8F9A">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0169EB10">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3D66DA26">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527ABBE3">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443BB6AD">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459F1589">
            <w:pPr>
              <w:autoSpaceDE w:val="0"/>
              <w:autoSpaceDN w:val="0"/>
              <w:adjustRightInd w:val="0"/>
              <w:snapToGrid w:val="0"/>
              <w:jc w:val="center"/>
              <w:rPr>
                <w:rFonts w:ascii="Times New Roman"/>
                <w:sz w:val="21"/>
                <w:szCs w:val="21"/>
              </w:rPr>
            </w:pPr>
          </w:p>
        </w:tc>
        <w:tc>
          <w:tcPr>
            <w:tcW w:w="551" w:type="pct"/>
            <w:vAlign w:val="center"/>
          </w:tcPr>
          <w:p w14:paraId="1ECB0AB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11D49F2">
            <w:pPr>
              <w:autoSpaceDE w:val="0"/>
              <w:autoSpaceDN w:val="0"/>
              <w:adjustRightInd w:val="0"/>
              <w:snapToGrid w:val="0"/>
              <w:jc w:val="center"/>
              <w:rPr>
                <w:rFonts w:ascii="Times New Roman"/>
                <w:sz w:val="21"/>
                <w:szCs w:val="21"/>
              </w:rPr>
            </w:pPr>
          </w:p>
        </w:tc>
        <w:tc>
          <w:tcPr>
            <w:tcW w:w="287" w:type="pct"/>
            <w:vMerge w:val="continue"/>
            <w:vAlign w:val="center"/>
          </w:tcPr>
          <w:p w14:paraId="49749635">
            <w:pPr>
              <w:autoSpaceDE w:val="0"/>
              <w:autoSpaceDN w:val="0"/>
              <w:adjustRightInd w:val="0"/>
              <w:snapToGrid w:val="0"/>
              <w:jc w:val="center"/>
              <w:rPr>
                <w:rFonts w:ascii="Times New Roman"/>
                <w:sz w:val="21"/>
                <w:szCs w:val="21"/>
              </w:rPr>
            </w:pPr>
          </w:p>
        </w:tc>
        <w:tc>
          <w:tcPr>
            <w:tcW w:w="434" w:type="pct"/>
            <w:vMerge w:val="continue"/>
            <w:vAlign w:val="center"/>
          </w:tcPr>
          <w:p w14:paraId="376BD9A0">
            <w:pPr>
              <w:autoSpaceDE w:val="0"/>
              <w:autoSpaceDN w:val="0"/>
              <w:adjustRightInd w:val="0"/>
              <w:snapToGrid w:val="0"/>
              <w:jc w:val="center"/>
              <w:rPr>
                <w:rFonts w:ascii="Times New Roman"/>
                <w:sz w:val="21"/>
                <w:szCs w:val="21"/>
              </w:rPr>
            </w:pPr>
          </w:p>
        </w:tc>
      </w:tr>
      <w:tr w14:paraId="1A6C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CF417C4">
            <w:pPr>
              <w:autoSpaceDE w:val="0"/>
              <w:autoSpaceDN w:val="0"/>
              <w:adjustRightInd w:val="0"/>
              <w:snapToGrid w:val="0"/>
              <w:jc w:val="center"/>
              <w:rPr>
                <w:rFonts w:ascii="Times New Roman"/>
                <w:sz w:val="21"/>
                <w:szCs w:val="21"/>
              </w:rPr>
            </w:pPr>
          </w:p>
        </w:tc>
        <w:tc>
          <w:tcPr>
            <w:tcW w:w="697" w:type="pct"/>
            <w:vAlign w:val="center"/>
          </w:tcPr>
          <w:p w14:paraId="708C546B">
            <w:pPr>
              <w:autoSpaceDE w:val="0"/>
              <w:autoSpaceDN w:val="0"/>
              <w:adjustRightInd w:val="0"/>
              <w:snapToGrid w:val="0"/>
              <w:jc w:val="center"/>
              <w:rPr>
                <w:rFonts w:ascii="Times New Roman"/>
                <w:sz w:val="21"/>
                <w:szCs w:val="21"/>
              </w:rPr>
            </w:pPr>
            <w:r>
              <w:rPr>
                <w:rFonts w:ascii="Times New Roman"/>
                <w:sz w:val="21"/>
                <w:szCs w:val="21"/>
              </w:rPr>
              <w:t>数控圆盘锯</w:t>
            </w:r>
          </w:p>
        </w:tc>
        <w:tc>
          <w:tcPr>
            <w:tcW w:w="346" w:type="pct"/>
            <w:vAlign w:val="center"/>
          </w:tcPr>
          <w:p w14:paraId="6F094D3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FDF75D0">
            <w:pPr>
              <w:autoSpaceDE w:val="0"/>
              <w:autoSpaceDN w:val="0"/>
              <w:adjustRightInd w:val="0"/>
              <w:snapToGrid w:val="0"/>
              <w:jc w:val="center"/>
              <w:rPr>
                <w:rFonts w:ascii="Times New Roman"/>
                <w:sz w:val="21"/>
                <w:szCs w:val="21"/>
              </w:rPr>
            </w:pPr>
          </w:p>
        </w:tc>
        <w:tc>
          <w:tcPr>
            <w:tcW w:w="208" w:type="pct"/>
            <w:vAlign w:val="center"/>
          </w:tcPr>
          <w:p w14:paraId="626D09A7">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0AB57F85">
            <w:pPr>
              <w:autoSpaceDE w:val="0"/>
              <w:autoSpaceDN w:val="0"/>
              <w:adjustRightInd w:val="0"/>
              <w:snapToGrid w:val="0"/>
              <w:jc w:val="center"/>
              <w:rPr>
                <w:rFonts w:ascii="Times New Roman"/>
                <w:sz w:val="21"/>
                <w:szCs w:val="21"/>
              </w:rPr>
            </w:pPr>
            <w:r>
              <w:rPr>
                <w:rFonts w:ascii="Times New Roman"/>
                <w:sz w:val="21"/>
                <w:szCs w:val="21"/>
              </w:rPr>
              <w:t>60</w:t>
            </w:r>
          </w:p>
        </w:tc>
        <w:tc>
          <w:tcPr>
            <w:tcW w:w="240" w:type="pct"/>
            <w:vAlign w:val="center"/>
          </w:tcPr>
          <w:p w14:paraId="5ED8DC55">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3D06EA36">
            <w:pPr>
              <w:autoSpaceDE w:val="0"/>
              <w:autoSpaceDN w:val="0"/>
              <w:adjustRightInd w:val="0"/>
              <w:snapToGrid w:val="0"/>
              <w:jc w:val="center"/>
              <w:rPr>
                <w:rFonts w:ascii="Times New Roman"/>
                <w:sz w:val="21"/>
                <w:szCs w:val="21"/>
              </w:rPr>
            </w:pPr>
            <w:r>
              <w:rPr>
                <w:rFonts w:ascii="Times New Roman"/>
                <w:sz w:val="21"/>
                <w:szCs w:val="21"/>
              </w:rPr>
              <w:t>44.15</w:t>
            </w:r>
          </w:p>
        </w:tc>
        <w:tc>
          <w:tcPr>
            <w:tcW w:w="358" w:type="pct"/>
            <w:vAlign w:val="center"/>
          </w:tcPr>
          <w:p w14:paraId="05A5038B">
            <w:pPr>
              <w:autoSpaceDE w:val="0"/>
              <w:autoSpaceDN w:val="0"/>
              <w:adjustRightInd w:val="0"/>
              <w:snapToGrid w:val="0"/>
              <w:jc w:val="center"/>
              <w:rPr>
                <w:rFonts w:ascii="Times New Roman"/>
                <w:sz w:val="21"/>
                <w:szCs w:val="21"/>
              </w:rPr>
            </w:pPr>
            <w:r>
              <w:rPr>
                <w:rFonts w:ascii="Times New Roman"/>
                <w:sz w:val="21"/>
                <w:szCs w:val="21"/>
              </w:rPr>
              <w:t>47</w:t>
            </w:r>
          </w:p>
        </w:tc>
        <w:tc>
          <w:tcPr>
            <w:tcW w:w="316" w:type="pct"/>
            <w:vMerge w:val="continue"/>
            <w:vAlign w:val="center"/>
          </w:tcPr>
          <w:p w14:paraId="38BF42AA">
            <w:pPr>
              <w:autoSpaceDE w:val="0"/>
              <w:autoSpaceDN w:val="0"/>
              <w:adjustRightInd w:val="0"/>
              <w:snapToGrid w:val="0"/>
              <w:jc w:val="center"/>
              <w:rPr>
                <w:rFonts w:ascii="Times New Roman"/>
                <w:sz w:val="21"/>
                <w:szCs w:val="21"/>
              </w:rPr>
            </w:pPr>
          </w:p>
        </w:tc>
        <w:tc>
          <w:tcPr>
            <w:tcW w:w="551" w:type="pct"/>
            <w:vAlign w:val="center"/>
          </w:tcPr>
          <w:p w14:paraId="3FBC37B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5B8A4E7">
            <w:pPr>
              <w:autoSpaceDE w:val="0"/>
              <w:autoSpaceDN w:val="0"/>
              <w:adjustRightInd w:val="0"/>
              <w:snapToGrid w:val="0"/>
              <w:jc w:val="center"/>
              <w:rPr>
                <w:rFonts w:ascii="Times New Roman"/>
                <w:sz w:val="21"/>
                <w:szCs w:val="21"/>
              </w:rPr>
            </w:pPr>
          </w:p>
        </w:tc>
        <w:tc>
          <w:tcPr>
            <w:tcW w:w="287" w:type="pct"/>
            <w:vMerge w:val="continue"/>
            <w:vAlign w:val="center"/>
          </w:tcPr>
          <w:p w14:paraId="4AD340B0">
            <w:pPr>
              <w:autoSpaceDE w:val="0"/>
              <w:autoSpaceDN w:val="0"/>
              <w:adjustRightInd w:val="0"/>
              <w:snapToGrid w:val="0"/>
              <w:jc w:val="center"/>
              <w:rPr>
                <w:rFonts w:ascii="Times New Roman"/>
                <w:sz w:val="21"/>
                <w:szCs w:val="21"/>
              </w:rPr>
            </w:pPr>
          </w:p>
        </w:tc>
        <w:tc>
          <w:tcPr>
            <w:tcW w:w="434" w:type="pct"/>
            <w:vMerge w:val="continue"/>
            <w:vAlign w:val="center"/>
          </w:tcPr>
          <w:p w14:paraId="34DB71A1">
            <w:pPr>
              <w:autoSpaceDE w:val="0"/>
              <w:autoSpaceDN w:val="0"/>
              <w:adjustRightInd w:val="0"/>
              <w:snapToGrid w:val="0"/>
              <w:jc w:val="center"/>
              <w:rPr>
                <w:rFonts w:ascii="Times New Roman"/>
                <w:sz w:val="21"/>
                <w:szCs w:val="21"/>
              </w:rPr>
            </w:pPr>
          </w:p>
        </w:tc>
      </w:tr>
      <w:tr w14:paraId="3738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A71CF19">
            <w:pPr>
              <w:autoSpaceDE w:val="0"/>
              <w:autoSpaceDN w:val="0"/>
              <w:adjustRightInd w:val="0"/>
              <w:snapToGrid w:val="0"/>
              <w:jc w:val="center"/>
              <w:rPr>
                <w:rFonts w:ascii="Times New Roman"/>
                <w:sz w:val="21"/>
                <w:szCs w:val="21"/>
              </w:rPr>
            </w:pPr>
          </w:p>
        </w:tc>
        <w:tc>
          <w:tcPr>
            <w:tcW w:w="697" w:type="pct"/>
            <w:vAlign w:val="center"/>
          </w:tcPr>
          <w:p w14:paraId="5D23DC40">
            <w:pPr>
              <w:autoSpaceDE w:val="0"/>
              <w:autoSpaceDN w:val="0"/>
              <w:adjustRightInd w:val="0"/>
              <w:snapToGrid w:val="0"/>
              <w:jc w:val="center"/>
              <w:rPr>
                <w:rFonts w:ascii="Times New Roman"/>
                <w:sz w:val="21"/>
                <w:szCs w:val="21"/>
              </w:rPr>
            </w:pPr>
            <w:r>
              <w:rPr>
                <w:rFonts w:ascii="Times New Roman"/>
                <w:sz w:val="21"/>
                <w:szCs w:val="21"/>
              </w:rPr>
              <w:t>压力机较平直</w:t>
            </w:r>
          </w:p>
        </w:tc>
        <w:tc>
          <w:tcPr>
            <w:tcW w:w="346" w:type="pct"/>
            <w:vAlign w:val="center"/>
          </w:tcPr>
          <w:p w14:paraId="0D9528B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D42604C">
            <w:pPr>
              <w:autoSpaceDE w:val="0"/>
              <w:autoSpaceDN w:val="0"/>
              <w:adjustRightInd w:val="0"/>
              <w:snapToGrid w:val="0"/>
              <w:jc w:val="center"/>
              <w:rPr>
                <w:rFonts w:ascii="Times New Roman"/>
                <w:sz w:val="21"/>
                <w:szCs w:val="21"/>
              </w:rPr>
            </w:pPr>
          </w:p>
        </w:tc>
        <w:tc>
          <w:tcPr>
            <w:tcW w:w="208" w:type="pct"/>
            <w:vAlign w:val="center"/>
          </w:tcPr>
          <w:p w14:paraId="0198A0E9">
            <w:pPr>
              <w:autoSpaceDE w:val="0"/>
              <w:autoSpaceDN w:val="0"/>
              <w:adjustRightInd w:val="0"/>
              <w:snapToGrid w:val="0"/>
              <w:jc w:val="center"/>
              <w:rPr>
                <w:rFonts w:ascii="Times New Roman"/>
                <w:sz w:val="21"/>
                <w:szCs w:val="21"/>
              </w:rPr>
            </w:pPr>
            <w:r>
              <w:rPr>
                <w:rFonts w:ascii="Times New Roman"/>
                <w:sz w:val="21"/>
                <w:szCs w:val="21"/>
              </w:rPr>
              <w:t>400</w:t>
            </w:r>
          </w:p>
        </w:tc>
        <w:tc>
          <w:tcPr>
            <w:tcW w:w="201" w:type="pct"/>
            <w:vAlign w:val="center"/>
          </w:tcPr>
          <w:p w14:paraId="626BA86C">
            <w:pPr>
              <w:autoSpaceDE w:val="0"/>
              <w:autoSpaceDN w:val="0"/>
              <w:adjustRightInd w:val="0"/>
              <w:snapToGrid w:val="0"/>
              <w:jc w:val="center"/>
              <w:rPr>
                <w:rFonts w:ascii="Times New Roman"/>
                <w:sz w:val="21"/>
                <w:szCs w:val="21"/>
              </w:rPr>
            </w:pPr>
            <w:r>
              <w:rPr>
                <w:rFonts w:ascii="Times New Roman"/>
                <w:sz w:val="21"/>
                <w:szCs w:val="21"/>
              </w:rPr>
              <w:t>45</w:t>
            </w:r>
          </w:p>
        </w:tc>
        <w:tc>
          <w:tcPr>
            <w:tcW w:w="240" w:type="pct"/>
            <w:vAlign w:val="center"/>
          </w:tcPr>
          <w:p w14:paraId="18B1EAAB">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CAA1278">
            <w:pPr>
              <w:autoSpaceDE w:val="0"/>
              <w:autoSpaceDN w:val="0"/>
              <w:adjustRightInd w:val="0"/>
              <w:snapToGrid w:val="0"/>
              <w:jc w:val="center"/>
              <w:rPr>
                <w:rFonts w:ascii="Times New Roman"/>
                <w:sz w:val="21"/>
                <w:szCs w:val="21"/>
              </w:rPr>
            </w:pPr>
            <w:r>
              <w:rPr>
                <w:rFonts w:ascii="Times New Roman"/>
                <w:sz w:val="21"/>
                <w:szCs w:val="21"/>
              </w:rPr>
              <w:t>29.15</w:t>
            </w:r>
          </w:p>
        </w:tc>
        <w:tc>
          <w:tcPr>
            <w:tcW w:w="358" w:type="pct"/>
            <w:vAlign w:val="center"/>
          </w:tcPr>
          <w:p w14:paraId="0CF867DC">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26FFE81C">
            <w:pPr>
              <w:autoSpaceDE w:val="0"/>
              <w:autoSpaceDN w:val="0"/>
              <w:adjustRightInd w:val="0"/>
              <w:snapToGrid w:val="0"/>
              <w:jc w:val="center"/>
              <w:rPr>
                <w:rFonts w:ascii="Times New Roman"/>
                <w:sz w:val="21"/>
                <w:szCs w:val="21"/>
              </w:rPr>
            </w:pPr>
          </w:p>
        </w:tc>
        <w:tc>
          <w:tcPr>
            <w:tcW w:w="551" w:type="pct"/>
            <w:vAlign w:val="center"/>
          </w:tcPr>
          <w:p w14:paraId="02739F7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FA5ABEF">
            <w:pPr>
              <w:autoSpaceDE w:val="0"/>
              <w:autoSpaceDN w:val="0"/>
              <w:adjustRightInd w:val="0"/>
              <w:snapToGrid w:val="0"/>
              <w:jc w:val="center"/>
              <w:rPr>
                <w:rFonts w:ascii="Times New Roman"/>
                <w:sz w:val="21"/>
                <w:szCs w:val="21"/>
              </w:rPr>
            </w:pPr>
          </w:p>
        </w:tc>
        <w:tc>
          <w:tcPr>
            <w:tcW w:w="287" w:type="pct"/>
            <w:vMerge w:val="continue"/>
            <w:vAlign w:val="center"/>
          </w:tcPr>
          <w:p w14:paraId="7DA16ED9">
            <w:pPr>
              <w:autoSpaceDE w:val="0"/>
              <w:autoSpaceDN w:val="0"/>
              <w:adjustRightInd w:val="0"/>
              <w:snapToGrid w:val="0"/>
              <w:jc w:val="center"/>
              <w:rPr>
                <w:rFonts w:ascii="Times New Roman"/>
                <w:sz w:val="21"/>
                <w:szCs w:val="21"/>
              </w:rPr>
            </w:pPr>
          </w:p>
        </w:tc>
        <w:tc>
          <w:tcPr>
            <w:tcW w:w="434" w:type="pct"/>
            <w:vMerge w:val="continue"/>
            <w:vAlign w:val="center"/>
          </w:tcPr>
          <w:p w14:paraId="53CA0176">
            <w:pPr>
              <w:autoSpaceDE w:val="0"/>
              <w:autoSpaceDN w:val="0"/>
              <w:adjustRightInd w:val="0"/>
              <w:snapToGrid w:val="0"/>
              <w:jc w:val="center"/>
              <w:rPr>
                <w:rFonts w:ascii="Times New Roman"/>
                <w:sz w:val="21"/>
                <w:szCs w:val="21"/>
              </w:rPr>
            </w:pPr>
          </w:p>
        </w:tc>
      </w:tr>
      <w:tr w14:paraId="14C9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EEAE02E">
            <w:pPr>
              <w:autoSpaceDE w:val="0"/>
              <w:autoSpaceDN w:val="0"/>
              <w:adjustRightInd w:val="0"/>
              <w:snapToGrid w:val="0"/>
              <w:jc w:val="center"/>
              <w:rPr>
                <w:rFonts w:ascii="Times New Roman"/>
                <w:sz w:val="21"/>
                <w:szCs w:val="21"/>
              </w:rPr>
            </w:pPr>
          </w:p>
        </w:tc>
        <w:tc>
          <w:tcPr>
            <w:tcW w:w="697" w:type="pct"/>
            <w:vAlign w:val="center"/>
          </w:tcPr>
          <w:p w14:paraId="07D27491">
            <w:pPr>
              <w:autoSpaceDE w:val="0"/>
              <w:autoSpaceDN w:val="0"/>
              <w:adjustRightInd w:val="0"/>
              <w:snapToGrid w:val="0"/>
              <w:jc w:val="center"/>
              <w:rPr>
                <w:rFonts w:ascii="Times New Roman"/>
                <w:sz w:val="21"/>
                <w:szCs w:val="21"/>
              </w:rPr>
            </w:pPr>
            <w:r>
              <w:rPr>
                <w:rFonts w:ascii="Times New Roman"/>
                <w:sz w:val="21"/>
                <w:szCs w:val="21"/>
              </w:rPr>
              <w:t>压力机较平直</w:t>
            </w:r>
          </w:p>
        </w:tc>
        <w:tc>
          <w:tcPr>
            <w:tcW w:w="346" w:type="pct"/>
            <w:vAlign w:val="center"/>
          </w:tcPr>
          <w:p w14:paraId="76537E3F">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72E62E1">
            <w:pPr>
              <w:autoSpaceDE w:val="0"/>
              <w:autoSpaceDN w:val="0"/>
              <w:adjustRightInd w:val="0"/>
              <w:snapToGrid w:val="0"/>
              <w:jc w:val="center"/>
              <w:rPr>
                <w:rFonts w:ascii="Times New Roman"/>
                <w:sz w:val="21"/>
                <w:szCs w:val="21"/>
              </w:rPr>
            </w:pPr>
          </w:p>
        </w:tc>
        <w:tc>
          <w:tcPr>
            <w:tcW w:w="208" w:type="pct"/>
            <w:vAlign w:val="center"/>
          </w:tcPr>
          <w:p w14:paraId="404A8D69">
            <w:pPr>
              <w:autoSpaceDE w:val="0"/>
              <w:autoSpaceDN w:val="0"/>
              <w:adjustRightInd w:val="0"/>
              <w:snapToGrid w:val="0"/>
              <w:jc w:val="center"/>
              <w:rPr>
                <w:rFonts w:ascii="Times New Roman"/>
                <w:sz w:val="21"/>
                <w:szCs w:val="21"/>
              </w:rPr>
            </w:pPr>
            <w:r>
              <w:rPr>
                <w:rFonts w:ascii="Times New Roman"/>
                <w:sz w:val="21"/>
                <w:szCs w:val="21"/>
              </w:rPr>
              <w:t>400</w:t>
            </w:r>
          </w:p>
        </w:tc>
        <w:tc>
          <w:tcPr>
            <w:tcW w:w="201" w:type="pct"/>
            <w:vAlign w:val="center"/>
          </w:tcPr>
          <w:p w14:paraId="5CB04A46">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70E9C0E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28553CA">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207899CA">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711ABB34">
            <w:pPr>
              <w:autoSpaceDE w:val="0"/>
              <w:autoSpaceDN w:val="0"/>
              <w:adjustRightInd w:val="0"/>
              <w:snapToGrid w:val="0"/>
              <w:jc w:val="center"/>
              <w:rPr>
                <w:rFonts w:ascii="Times New Roman"/>
                <w:sz w:val="21"/>
                <w:szCs w:val="21"/>
              </w:rPr>
            </w:pPr>
          </w:p>
        </w:tc>
        <w:tc>
          <w:tcPr>
            <w:tcW w:w="551" w:type="pct"/>
            <w:vAlign w:val="center"/>
          </w:tcPr>
          <w:p w14:paraId="7286562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C6A3B77">
            <w:pPr>
              <w:autoSpaceDE w:val="0"/>
              <w:autoSpaceDN w:val="0"/>
              <w:adjustRightInd w:val="0"/>
              <w:snapToGrid w:val="0"/>
              <w:jc w:val="center"/>
              <w:rPr>
                <w:rFonts w:ascii="Times New Roman"/>
                <w:sz w:val="21"/>
                <w:szCs w:val="21"/>
              </w:rPr>
            </w:pPr>
          </w:p>
        </w:tc>
        <w:tc>
          <w:tcPr>
            <w:tcW w:w="287" w:type="pct"/>
            <w:vMerge w:val="continue"/>
            <w:vAlign w:val="center"/>
          </w:tcPr>
          <w:p w14:paraId="082EAD6D">
            <w:pPr>
              <w:autoSpaceDE w:val="0"/>
              <w:autoSpaceDN w:val="0"/>
              <w:adjustRightInd w:val="0"/>
              <w:snapToGrid w:val="0"/>
              <w:jc w:val="center"/>
              <w:rPr>
                <w:rFonts w:ascii="Times New Roman"/>
                <w:sz w:val="21"/>
                <w:szCs w:val="21"/>
              </w:rPr>
            </w:pPr>
          </w:p>
        </w:tc>
        <w:tc>
          <w:tcPr>
            <w:tcW w:w="434" w:type="pct"/>
            <w:vMerge w:val="continue"/>
            <w:vAlign w:val="center"/>
          </w:tcPr>
          <w:p w14:paraId="6BAF2DE4">
            <w:pPr>
              <w:autoSpaceDE w:val="0"/>
              <w:autoSpaceDN w:val="0"/>
              <w:adjustRightInd w:val="0"/>
              <w:snapToGrid w:val="0"/>
              <w:jc w:val="center"/>
              <w:rPr>
                <w:rFonts w:ascii="Times New Roman"/>
                <w:sz w:val="21"/>
                <w:szCs w:val="21"/>
              </w:rPr>
            </w:pPr>
          </w:p>
        </w:tc>
      </w:tr>
      <w:tr w14:paraId="79B6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19F0754">
            <w:pPr>
              <w:autoSpaceDE w:val="0"/>
              <w:autoSpaceDN w:val="0"/>
              <w:adjustRightInd w:val="0"/>
              <w:snapToGrid w:val="0"/>
              <w:jc w:val="center"/>
              <w:rPr>
                <w:rFonts w:ascii="Times New Roman"/>
                <w:sz w:val="21"/>
                <w:szCs w:val="21"/>
              </w:rPr>
            </w:pPr>
          </w:p>
        </w:tc>
        <w:tc>
          <w:tcPr>
            <w:tcW w:w="697" w:type="pct"/>
            <w:vAlign w:val="center"/>
          </w:tcPr>
          <w:p w14:paraId="18960067">
            <w:pPr>
              <w:autoSpaceDE w:val="0"/>
              <w:autoSpaceDN w:val="0"/>
              <w:adjustRightInd w:val="0"/>
              <w:snapToGrid w:val="0"/>
              <w:jc w:val="center"/>
              <w:rPr>
                <w:rFonts w:ascii="Times New Roman"/>
                <w:sz w:val="21"/>
                <w:szCs w:val="21"/>
              </w:rPr>
            </w:pPr>
            <w:r>
              <w:rPr>
                <w:rFonts w:ascii="Times New Roman"/>
                <w:sz w:val="21"/>
                <w:szCs w:val="21"/>
              </w:rPr>
              <w:t>冲床</w:t>
            </w:r>
          </w:p>
        </w:tc>
        <w:tc>
          <w:tcPr>
            <w:tcW w:w="346" w:type="pct"/>
            <w:vAlign w:val="center"/>
          </w:tcPr>
          <w:p w14:paraId="63C2DC53">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4DD85914">
            <w:pPr>
              <w:autoSpaceDE w:val="0"/>
              <w:autoSpaceDN w:val="0"/>
              <w:adjustRightInd w:val="0"/>
              <w:snapToGrid w:val="0"/>
              <w:jc w:val="center"/>
              <w:rPr>
                <w:rFonts w:ascii="Times New Roman"/>
                <w:sz w:val="21"/>
                <w:szCs w:val="21"/>
              </w:rPr>
            </w:pPr>
          </w:p>
        </w:tc>
        <w:tc>
          <w:tcPr>
            <w:tcW w:w="208" w:type="pct"/>
            <w:vAlign w:val="center"/>
          </w:tcPr>
          <w:p w14:paraId="16E89556">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14F224AC">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33C63B52">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5C1B5E46">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748F8CD6">
            <w:pPr>
              <w:autoSpaceDE w:val="0"/>
              <w:autoSpaceDN w:val="0"/>
              <w:adjustRightInd w:val="0"/>
              <w:snapToGrid w:val="0"/>
              <w:jc w:val="center"/>
              <w:rPr>
                <w:rFonts w:ascii="Times New Roman"/>
                <w:sz w:val="21"/>
                <w:szCs w:val="21"/>
              </w:rPr>
            </w:pPr>
            <w:r>
              <w:rPr>
                <w:rFonts w:ascii="Times New Roman"/>
                <w:sz w:val="21"/>
                <w:szCs w:val="21"/>
              </w:rPr>
              <w:t>53</w:t>
            </w:r>
          </w:p>
        </w:tc>
        <w:tc>
          <w:tcPr>
            <w:tcW w:w="316" w:type="pct"/>
            <w:vMerge w:val="continue"/>
            <w:vAlign w:val="center"/>
          </w:tcPr>
          <w:p w14:paraId="1A6C542A">
            <w:pPr>
              <w:autoSpaceDE w:val="0"/>
              <w:autoSpaceDN w:val="0"/>
              <w:adjustRightInd w:val="0"/>
              <w:snapToGrid w:val="0"/>
              <w:jc w:val="center"/>
              <w:rPr>
                <w:rFonts w:ascii="Times New Roman"/>
                <w:sz w:val="21"/>
                <w:szCs w:val="21"/>
              </w:rPr>
            </w:pPr>
          </w:p>
        </w:tc>
        <w:tc>
          <w:tcPr>
            <w:tcW w:w="551" w:type="pct"/>
            <w:vAlign w:val="center"/>
          </w:tcPr>
          <w:p w14:paraId="376C9C8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493F5C0">
            <w:pPr>
              <w:autoSpaceDE w:val="0"/>
              <w:autoSpaceDN w:val="0"/>
              <w:adjustRightInd w:val="0"/>
              <w:snapToGrid w:val="0"/>
              <w:jc w:val="center"/>
              <w:rPr>
                <w:rFonts w:ascii="Times New Roman"/>
                <w:sz w:val="21"/>
                <w:szCs w:val="21"/>
              </w:rPr>
            </w:pPr>
          </w:p>
        </w:tc>
        <w:tc>
          <w:tcPr>
            <w:tcW w:w="287" w:type="pct"/>
            <w:vMerge w:val="continue"/>
            <w:vAlign w:val="center"/>
          </w:tcPr>
          <w:p w14:paraId="154F0F62">
            <w:pPr>
              <w:autoSpaceDE w:val="0"/>
              <w:autoSpaceDN w:val="0"/>
              <w:adjustRightInd w:val="0"/>
              <w:snapToGrid w:val="0"/>
              <w:jc w:val="center"/>
              <w:rPr>
                <w:rFonts w:ascii="Times New Roman"/>
                <w:sz w:val="21"/>
                <w:szCs w:val="21"/>
              </w:rPr>
            </w:pPr>
          </w:p>
        </w:tc>
        <w:tc>
          <w:tcPr>
            <w:tcW w:w="434" w:type="pct"/>
            <w:vMerge w:val="continue"/>
            <w:vAlign w:val="center"/>
          </w:tcPr>
          <w:p w14:paraId="57B8B3FC">
            <w:pPr>
              <w:autoSpaceDE w:val="0"/>
              <w:autoSpaceDN w:val="0"/>
              <w:adjustRightInd w:val="0"/>
              <w:snapToGrid w:val="0"/>
              <w:jc w:val="center"/>
              <w:rPr>
                <w:rFonts w:ascii="Times New Roman"/>
                <w:sz w:val="21"/>
                <w:szCs w:val="21"/>
              </w:rPr>
            </w:pPr>
          </w:p>
        </w:tc>
      </w:tr>
      <w:tr w14:paraId="7F59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55CAAC5">
            <w:pPr>
              <w:autoSpaceDE w:val="0"/>
              <w:autoSpaceDN w:val="0"/>
              <w:adjustRightInd w:val="0"/>
              <w:snapToGrid w:val="0"/>
              <w:jc w:val="center"/>
              <w:rPr>
                <w:rFonts w:ascii="Times New Roman"/>
                <w:sz w:val="21"/>
                <w:szCs w:val="21"/>
              </w:rPr>
            </w:pPr>
          </w:p>
        </w:tc>
        <w:tc>
          <w:tcPr>
            <w:tcW w:w="697" w:type="pct"/>
            <w:vAlign w:val="center"/>
          </w:tcPr>
          <w:p w14:paraId="10D89541">
            <w:pPr>
              <w:autoSpaceDE w:val="0"/>
              <w:autoSpaceDN w:val="0"/>
              <w:adjustRightInd w:val="0"/>
              <w:snapToGrid w:val="0"/>
              <w:jc w:val="center"/>
              <w:rPr>
                <w:rFonts w:ascii="Times New Roman"/>
                <w:sz w:val="21"/>
                <w:szCs w:val="21"/>
              </w:rPr>
            </w:pPr>
            <w:r>
              <w:rPr>
                <w:rFonts w:ascii="Times New Roman"/>
                <w:sz w:val="21"/>
                <w:szCs w:val="21"/>
              </w:rPr>
              <w:t>冲床</w:t>
            </w:r>
          </w:p>
        </w:tc>
        <w:tc>
          <w:tcPr>
            <w:tcW w:w="346" w:type="pct"/>
            <w:vAlign w:val="center"/>
          </w:tcPr>
          <w:p w14:paraId="749A9BB4">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77845D90">
            <w:pPr>
              <w:autoSpaceDE w:val="0"/>
              <w:autoSpaceDN w:val="0"/>
              <w:adjustRightInd w:val="0"/>
              <w:snapToGrid w:val="0"/>
              <w:jc w:val="center"/>
              <w:rPr>
                <w:rFonts w:ascii="Times New Roman"/>
                <w:sz w:val="21"/>
                <w:szCs w:val="21"/>
              </w:rPr>
            </w:pPr>
          </w:p>
        </w:tc>
        <w:tc>
          <w:tcPr>
            <w:tcW w:w="208" w:type="pct"/>
            <w:vAlign w:val="center"/>
          </w:tcPr>
          <w:p w14:paraId="40BC2715">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29DF1C89">
            <w:pPr>
              <w:autoSpaceDE w:val="0"/>
              <w:autoSpaceDN w:val="0"/>
              <w:adjustRightInd w:val="0"/>
              <w:snapToGrid w:val="0"/>
              <w:jc w:val="center"/>
              <w:rPr>
                <w:rFonts w:ascii="Times New Roman"/>
                <w:sz w:val="21"/>
                <w:szCs w:val="21"/>
              </w:rPr>
            </w:pPr>
            <w:r>
              <w:rPr>
                <w:rFonts w:ascii="Times New Roman"/>
                <w:sz w:val="21"/>
                <w:szCs w:val="21"/>
              </w:rPr>
              <w:t>65</w:t>
            </w:r>
          </w:p>
        </w:tc>
        <w:tc>
          <w:tcPr>
            <w:tcW w:w="240" w:type="pct"/>
            <w:vAlign w:val="center"/>
          </w:tcPr>
          <w:p w14:paraId="68638BAC">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740E697D">
            <w:pPr>
              <w:autoSpaceDE w:val="0"/>
              <w:autoSpaceDN w:val="0"/>
              <w:adjustRightInd w:val="0"/>
              <w:snapToGrid w:val="0"/>
              <w:jc w:val="center"/>
              <w:rPr>
                <w:rFonts w:ascii="Times New Roman"/>
                <w:sz w:val="21"/>
                <w:szCs w:val="21"/>
              </w:rPr>
            </w:pPr>
            <w:r>
              <w:rPr>
                <w:rFonts w:ascii="Times New Roman"/>
                <w:sz w:val="21"/>
                <w:szCs w:val="21"/>
              </w:rPr>
              <w:t>49.15</w:t>
            </w:r>
          </w:p>
        </w:tc>
        <w:tc>
          <w:tcPr>
            <w:tcW w:w="358" w:type="pct"/>
            <w:vAlign w:val="center"/>
          </w:tcPr>
          <w:p w14:paraId="7544FA3D">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1873DA57">
            <w:pPr>
              <w:autoSpaceDE w:val="0"/>
              <w:autoSpaceDN w:val="0"/>
              <w:adjustRightInd w:val="0"/>
              <w:snapToGrid w:val="0"/>
              <w:jc w:val="center"/>
              <w:rPr>
                <w:rFonts w:ascii="Times New Roman"/>
                <w:sz w:val="21"/>
                <w:szCs w:val="21"/>
              </w:rPr>
            </w:pPr>
          </w:p>
        </w:tc>
        <w:tc>
          <w:tcPr>
            <w:tcW w:w="551" w:type="pct"/>
            <w:vAlign w:val="center"/>
          </w:tcPr>
          <w:p w14:paraId="6068F7C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7EE0E1A">
            <w:pPr>
              <w:autoSpaceDE w:val="0"/>
              <w:autoSpaceDN w:val="0"/>
              <w:adjustRightInd w:val="0"/>
              <w:snapToGrid w:val="0"/>
              <w:jc w:val="center"/>
              <w:rPr>
                <w:rFonts w:ascii="Times New Roman"/>
                <w:sz w:val="21"/>
                <w:szCs w:val="21"/>
              </w:rPr>
            </w:pPr>
          </w:p>
        </w:tc>
        <w:tc>
          <w:tcPr>
            <w:tcW w:w="287" w:type="pct"/>
            <w:vMerge w:val="continue"/>
            <w:vAlign w:val="center"/>
          </w:tcPr>
          <w:p w14:paraId="0F9DFA9E">
            <w:pPr>
              <w:autoSpaceDE w:val="0"/>
              <w:autoSpaceDN w:val="0"/>
              <w:adjustRightInd w:val="0"/>
              <w:snapToGrid w:val="0"/>
              <w:jc w:val="center"/>
              <w:rPr>
                <w:rFonts w:ascii="Times New Roman"/>
                <w:sz w:val="21"/>
                <w:szCs w:val="21"/>
              </w:rPr>
            </w:pPr>
          </w:p>
        </w:tc>
        <w:tc>
          <w:tcPr>
            <w:tcW w:w="434" w:type="pct"/>
            <w:vMerge w:val="continue"/>
            <w:vAlign w:val="center"/>
          </w:tcPr>
          <w:p w14:paraId="101FE1F5">
            <w:pPr>
              <w:autoSpaceDE w:val="0"/>
              <w:autoSpaceDN w:val="0"/>
              <w:adjustRightInd w:val="0"/>
              <w:snapToGrid w:val="0"/>
              <w:jc w:val="center"/>
              <w:rPr>
                <w:rFonts w:ascii="Times New Roman"/>
                <w:sz w:val="21"/>
                <w:szCs w:val="21"/>
              </w:rPr>
            </w:pPr>
          </w:p>
        </w:tc>
      </w:tr>
      <w:tr w14:paraId="3498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AF0E2CD">
            <w:pPr>
              <w:autoSpaceDE w:val="0"/>
              <w:autoSpaceDN w:val="0"/>
              <w:adjustRightInd w:val="0"/>
              <w:snapToGrid w:val="0"/>
              <w:jc w:val="center"/>
              <w:rPr>
                <w:rFonts w:ascii="Times New Roman"/>
                <w:sz w:val="21"/>
                <w:szCs w:val="21"/>
              </w:rPr>
            </w:pPr>
          </w:p>
        </w:tc>
        <w:tc>
          <w:tcPr>
            <w:tcW w:w="697" w:type="pct"/>
            <w:vAlign w:val="center"/>
          </w:tcPr>
          <w:p w14:paraId="2D815BB1">
            <w:pPr>
              <w:autoSpaceDE w:val="0"/>
              <w:autoSpaceDN w:val="0"/>
              <w:adjustRightInd w:val="0"/>
              <w:snapToGrid w:val="0"/>
              <w:jc w:val="center"/>
              <w:rPr>
                <w:rFonts w:ascii="Times New Roman"/>
                <w:sz w:val="21"/>
                <w:szCs w:val="21"/>
              </w:rPr>
            </w:pPr>
            <w:r>
              <w:rPr>
                <w:rFonts w:ascii="Times New Roman"/>
                <w:sz w:val="21"/>
                <w:szCs w:val="21"/>
              </w:rPr>
              <w:t>冲床</w:t>
            </w:r>
          </w:p>
        </w:tc>
        <w:tc>
          <w:tcPr>
            <w:tcW w:w="346" w:type="pct"/>
            <w:vAlign w:val="center"/>
          </w:tcPr>
          <w:p w14:paraId="14B70737">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22604CEC">
            <w:pPr>
              <w:autoSpaceDE w:val="0"/>
              <w:autoSpaceDN w:val="0"/>
              <w:adjustRightInd w:val="0"/>
              <w:snapToGrid w:val="0"/>
              <w:jc w:val="center"/>
              <w:rPr>
                <w:rFonts w:ascii="Times New Roman"/>
                <w:sz w:val="21"/>
                <w:szCs w:val="21"/>
              </w:rPr>
            </w:pPr>
          </w:p>
        </w:tc>
        <w:tc>
          <w:tcPr>
            <w:tcW w:w="208" w:type="pct"/>
            <w:vAlign w:val="center"/>
          </w:tcPr>
          <w:p w14:paraId="70DA02D6">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3AB33F3C">
            <w:pPr>
              <w:autoSpaceDE w:val="0"/>
              <w:autoSpaceDN w:val="0"/>
              <w:adjustRightInd w:val="0"/>
              <w:snapToGrid w:val="0"/>
              <w:jc w:val="center"/>
              <w:rPr>
                <w:rFonts w:ascii="Times New Roman"/>
                <w:sz w:val="21"/>
                <w:szCs w:val="21"/>
              </w:rPr>
            </w:pPr>
            <w:r>
              <w:rPr>
                <w:rFonts w:ascii="Times New Roman"/>
                <w:sz w:val="21"/>
                <w:szCs w:val="21"/>
              </w:rPr>
              <w:t>55</w:t>
            </w:r>
          </w:p>
        </w:tc>
        <w:tc>
          <w:tcPr>
            <w:tcW w:w="240" w:type="pct"/>
            <w:vAlign w:val="center"/>
          </w:tcPr>
          <w:p w14:paraId="46A8BE42">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EC130DC">
            <w:pPr>
              <w:autoSpaceDE w:val="0"/>
              <w:autoSpaceDN w:val="0"/>
              <w:adjustRightInd w:val="0"/>
              <w:snapToGrid w:val="0"/>
              <w:jc w:val="center"/>
              <w:rPr>
                <w:rFonts w:ascii="Times New Roman"/>
                <w:sz w:val="21"/>
                <w:szCs w:val="21"/>
              </w:rPr>
            </w:pPr>
            <w:r>
              <w:rPr>
                <w:rFonts w:ascii="Times New Roman"/>
                <w:sz w:val="21"/>
                <w:szCs w:val="21"/>
              </w:rPr>
              <w:t>39.15</w:t>
            </w:r>
          </w:p>
        </w:tc>
        <w:tc>
          <w:tcPr>
            <w:tcW w:w="358" w:type="pct"/>
            <w:vAlign w:val="center"/>
          </w:tcPr>
          <w:p w14:paraId="03E16B57">
            <w:pPr>
              <w:autoSpaceDE w:val="0"/>
              <w:autoSpaceDN w:val="0"/>
              <w:adjustRightInd w:val="0"/>
              <w:snapToGrid w:val="0"/>
              <w:jc w:val="center"/>
              <w:rPr>
                <w:rFonts w:ascii="Times New Roman"/>
                <w:sz w:val="21"/>
                <w:szCs w:val="21"/>
              </w:rPr>
            </w:pPr>
            <w:r>
              <w:rPr>
                <w:rFonts w:ascii="Times New Roman"/>
                <w:sz w:val="21"/>
                <w:szCs w:val="21"/>
              </w:rPr>
              <w:t>53</w:t>
            </w:r>
          </w:p>
        </w:tc>
        <w:tc>
          <w:tcPr>
            <w:tcW w:w="316" w:type="pct"/>
            <w:vMerge w:val="continue"/>
            <w:vAlign w:val="center"/>
          </w:tcPr>
          <w:p w14:paraId="379A7A48">
            <w:pPr>
              <w:autoSpaceDE w:val="0"/>
              <w:autoSpaceDN w:val="0"/>
              <w:adjustRightInd w:val="0"/>
              <w:snapToGrid w:val="0"/>
              <w:jc w:val="center"/>
              <w:rPr>
                <w:rFonts w:ascii="Times New Roman"/>
                <w:sz w:val="21"/>
                <w:szCs w:val="21"/>
              </w:rPr>
            </w:pPr>
          </w:p>
        </w:tc>
        <w:tc>
          <w:tcPr>
            <w:tcW w:w="551" w:type="pct"/>
            <w:vAlign w:val="center"/>
          </w:tcPr>
          <w:p w14:paraId="4B110A4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C3944C6">
            <w:pPr>
              <w:autoSpaceDE w:val="0"/>
              <w:autoSpaceDN w:val="0"/>
              <w:adjustRightInd w:val="0"/>
              <w:snapToGrid w:val="0"/>
              <w:jc w:val="center"/>
              <w:rPr>
                <w:rFonts w:ascii="Times New Roman"/>
                <w:sz w:val="21"/>
                <w:szCs w:val="21"/>
              </w:rPr>
            </w:pPr>
          </w:p>
        </w:tc>
        <w:tc>
          <w:tcPr>
            <w:tcW w:w="287" w:type="pct"/>
            <w:vMerge w:val="continue"/>
            <w:vAlign w:val="center"/>
          </w:tcPr>
          <w:p w14:paraId="1BE02D25">
            <w:pPr>
              <w:autoSpaceDE w:val="0"/>
              <w:autoSpaceDN w:val="0"/>
              <w:adjustRightInd w:val="0"/>
              <w:snapToGrid w:val="0"/>
              <w:jc w:val="center"/>
              <w:rPr>
                <w:rFonts w:ascii="Times New Roman"/>
                <w:sz w:val="21"/>
                <w:szCs w:val="21"/>
              </w:rPr>
            </w:pPr>
          </w:p>
        </w:tc>
        <w:tc>
          <w:tcPr>
            <w:tcW w:w="434" w:type="pct"/>
            <w:vMerge w:val="continue"/>
            <w:vAlign w:val="center"/>
          </w:tcPr>
          <w:p w14:paraId="7BF3F8CC">
            <w:pPr>
              <w:autoSpaceDE w:val="0"/>
              <w:autoSpaceDN w:val="0"/>
              <w:adjustRightInd w:val="0"/>
              <w:snapToGrid w:val="0"/>
              <w:jc w:val="center"/>
              <w:rPr>
                <w:rFonts w:ascii="Times New Roman"/>
                <w:sz w:val="21"/>
                <w:szCs w:val="21"/>
              </w:rPr>
            </w:pPr>
          </w:p>
        </w:tc>
      </w:tr>
      <w:tr w14:paraId="0E8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386BB1B">
            <w:pPr>
              <w:autoSpaceDE w:val="0"/>
              <w:autoSpaceDN w:val="0"/>
              <w:adjustRightInd w:val="0"/>
              <w:snapToGrid w:val="0"/>
              <w:jc w:val="center"/>
              <w:rPr>
                <w:rFonts w:ascii="Times New Roman"/>
                <w:sz w:val="21"/>
                <w:szCs w:val="21"/>
              </w:rPr>
            </w:pPr>
          </w:p>
        </w:tc>
        <w:tc>
          <w:tcPr>
            <w:tcW w:w="697" w:type="pct"/>
            <w:vAlign w:val="center"/>
          </w:tcPr>
          <w:p w14:paraId="4B70E5D1">
            <w:pPr>
              <w:autoSpaceDE w:val="0"/>
              <w:autoSpaceDN w:val="0"/>
              <w:adjustRightInd w:val="0"/>
              <w:snapToGrid w:val="0"/>
              <w:jc w:val="center"/>
              <w:rPr>
                <w:rFonts w:ascii="Times New Roman"/>
                <w:sz w:val="21"/>
                <w:szCs w:val="21"/>
              </w:rPr>
            </w:pPr>
            <w:r>
              <w:rPr>
                <w:rFonts w:ascii="Times New Roman"/>
                <w:sz w:val="21"/>
                <w:szCs w:val="21"/>
              </w:rPr>
              <w:t>冲床</w:t>
            </w:r>
          </w:p>
        </w:tc>
        <w:tc>
          <w:tcPr>
            <w:tcW w:w="346" w:type="pct"/>
            <w:vAlign w:val="center"/>
          </w:tcPr>
          <w:p w14:paraId="0BB6268F">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206412DE">
            <w:pPr>
              <w:autoSpaceDE w:val="0"/>
              <w:autoSpaceDN w:val="0"/>
              <w:adjustRightInd w:val="0"/>
              <w:snapToGrid w:val="0"/>
              <w:jc w:val="center"/>
              <w:rPr>
                <w:rFonts w:ascii="Times New Roman"/>
                <w:sz w:val="21"/>
                <w:szCs w:val="21"/>
              </w:rPr>
            </w:pPr>
          </w:p>
        </w:tc>
        <w:tc>
          <w:tcPr>
            <w:tcW w:w="208" w:type="pct"/>
            <w:vAlign w:val="center"/>
          </w:tcPr>
          <w:p w14:paraId="3FCB98A7">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4CD563D9">
            <w:pPr>
              <w:autoSpaceDE w:val="0"/>
              <w:autoSpaceDN w:val="0"/>
              <w:adjustRightInd w:val="0"/>
              <w:snapToGrid w:val="0"/>
              <w:jc w:val="center"/>
              <w:rPr>
                <w:rFonts w:ascii="Times New Roman"/>
                <w:sz w:val="21"/>
                <w:szCs w:val="21"/>
              </w:rPr>
            </w:pPr>
            <w:r>
              <w:rPr>
                <w:rFonts w:ascii="Times New Roman"/>
                <w:sz w:val="21"/>
                <w:szCs w:val="21"/>
              </w:rPr>
              <w:t>65</w:t>
            </w:r>
          </w:p>
        </w:tc>
        <w:tc>
          <w:tcPr>
            <w:tcW w:w="240" w:type="pct"/>
            <w:vAlign w:val="center"/>
          </w:tcPr>
          <w:p w14:paraId="7A6CA179">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776949A">
            <w:pPr>
              <w:autoSpaceDE w:val="0"/>
              <w:autoSpaceDN w:val="0"/>
              <w:adjustRightInd w:val="0"/>
              <w:snapToGrid w:val="0"/>
              <w:jc w:val="center"/>
              <w:rPr>
                <w:rFonts w:ascii="Times New Roman"/>
                <w:sz w:val="21"/>
                <w:szCs w:val="21"/>
              </w:rPr>
            </w:pPr>
            <w:r>
              <w:rPr>
                <w:rFonts w:ascii="Times New Roman"/>
                <w:sz w:val="21"/>
                <w:szCs w:val="21"/>
              </w:rPr>
              <w:t>49.15</w:t>
            </w:r>
          </w:p>
        </w:tc>
        <w:tc>
          <w:tcPr>
            <w:tcW w:w="358" w:type="pct"/>
            <w:vAlign w:val="center"/>
          </w:tcPr>
          <w:p w14:paraId="22E8C48F">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344AE531">
            <w:pPr>
              <w:autoSpaceDE w:val="0"/>
              <w:autoSpaceDN w:val="0"/>
              <w:adjustRightInd w:val="0"/>
              <w:snapToGrid w:val="0"/>
              <w:jc w:val="center"/>
              <w:rPr>
                <w:rFonts w:ascii="Times New Roman"/>
                <w:sz w:val="21"/>
                <w:szCs w:val="21"/>
              </w:rPr>
            </w:pPr>
          </w:p>
        </w:tc>
        <w:tc>
          <w:tcPr>
            <w:tcW w:w="551" w:type="pct"/>
            <w:vAlign w:val="center"/>
          </w:tcPr>
          <w:p w14:paraId="31467BA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8016FCD">
            <w:pPr>
              <w:autoSpaceDE w:val="0"/>
              <w:autoSpaceDN w:val="0"/>
              <w:adjustRightInd w:val="0"/>
              <w:snapToGrid w:val="0"/>
              <w:jc w:val="center"/>
              <w:rPr>
                <w:rFonts w:ascii="Times New Roman"/>
                <w:sz w:val="21"/>
                <w:szCs w:val="21"/>
              </w:rPr>
            </w:pPr>
          </w:p>
        </w:tc>
        <w:tc>
          <w:tcPr>
            <w:tcW w:w="287" w:type="pct"/>
            <w:vMerge w:val="continue"/>
            <w:vAlign w:val="center"/>
          </w:tcPr>
          <w:p w14:paraId="1B393BC5">
            <w:pPr>
              <w:autoSpaceDE w:val="0"/>
              <w:autoSpaceDN w:val="0"/>
              <w:adjustRightInd w:val="0"/>
              <w:snapToGrid w:val="0"/>
              <w:jc w:val="center"/>
              <w:rPr>
                <w:rFonts w:ascii="Times New Roman"/>
                <w:sz w:val="21"/>
                <w:szCs w:val="21"/>
              </w:rPr>
            </w:pPr>
          </w:p>
        </w:tc>
        <w:tc>
          <w:tcPr>
            <w:tcW w:w="434" w:type="pct"/>
            <w:vMerge w:val="continue"/>
            <w:vAlign w:val="center"/>
          </w:tcPr>
          <w:p w14:paraId="3547575E">
            <w:pPr>
              <w:autoSpaceDE w:val="0"/>
              <w:autoSpaceDN w:val="0"/>
              <w:adjustRightInd w:val="0"/>
              <w:snapToGrid w:val="0"/>
              <w:jc w:val="center"/>
              <w:rPr>
                <w:rFonts w:ascii="Times New Roman"/>
                <w:sz w:val="21"/>
                <w:szCs w:val="21"/>
              </w:rPr>
            </w:pPr>
          </w:p>
        </w:tc>
      </w:tr>
      <w:tr w14:paraId="5E37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8DA8E29">
            <w:pPr>
              <w:autoSpaceDE w:val="0"/>
              <w:autoSpaceDN w:val="0"/>
              <w:adjustRightInd w:val="0"/>
              <w:snapToGrid w:val="0"/>
              <w:jc w:val="center"/>
              <w:rPr>
                <w:rFonts w:ascii="Times New Roman"/>
                <w:sz w:val="21"/>
                <w:szCs w:val="21"/>
              </w:rPr>
            </w:pPr>
          </w:p>
        </w:tc>
        <w:tc>
          <w:tcPr>
            <w:tcW w:w="697" w:type="pct"/>
            <w:vAlign w:val="center"/>
          </w:tcPr>
          <w:p w14:paraId="69D388B6">
            <w:pPr>
              <w:autoSpaceDE w:val="0"/>
              <w:autoSpaceDN w:val="0"/>
              <w:adjustRightInd w:val="0"/>
              <w:snapToGrid w:val="0"/>
              <w:jc w:val="center"/>
              <w:rPr>
                <w:rFonts w:ascii="Times New Roman"/>
                <w:sz w:val="21"/>
                <w:szCs w:val="21"/>
              </w:rPr>
            </w:pPr>
            <w:r>
              <w:rPr>
                <w:rFonts w:ascii="Times New Roman"/>
                <w:sz w:val="21"/>
                <w:szCs w:val="21"/>
              </w:rPr>
              <w:t>卷板机</w:t>
            </w:r>
          </w:p>
        </w:tc>
        <w:tc>
          <w:tcPr>
            <w:tcW w:w="346" w:type="pct"/>
            <w:vAlign w:val="center"/>
          </w:tcPr>
          <w:p w14:paraId="62964C2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AB0D77E">
            <w:pPr>
              <w:autoSpaceDE w:val="0"/>
              <w:autoSpaceDN w:val="0"/>
              <w:adjustRightInd w:val="0"/>
              <w:snapToGrid w:val="0"/>
              <w:jc w:val="center"/>
              <w:rPr>
                <w:rFonts w:ascii="Times New Roman"/>
                <w:sz w:val="21"/>
                <w:szCs w:val="21"/>
              </w:rPr>
            </w:pPr>
          </w:p>
        </w:tc>
        <w:tc>
          <w:tcPr>
            <w:tcW w:w="208" w:type="pct"/>
            <w:vAlign w:val="center"/>
          </w:tcPr>
          <w:p w14:paraId="6C1CD01A">
            <w:pPr>
              <w:autoSpaceDE w:val="0"/>
              <w:autoSpaceDN w:val="0"/>
              <w:adjustRightInd w:val="0"/>
              <w:snapToGrid w:val="0"/>
              <w:jc w:val="center"/>
              <w:rPr>
                <w:rFonts w:ascii="Times New Roman"/>
                <w:sz w:val="21"/>
                <w:szCs w:val="21"/>
              </w:rPr>
            </w:pPr>
            <w:r>
              <w:rPr>
                <w:rFonts w:ascii="Times New Roman"/>
                <w:sz w:val="21"/>
                <w:szCs w:val="21"/>
              </w:rPr>
              <w:t>235</w:t>
            </w:r>
          </w:p>
        </w:tc>
        <w:tc>
          <w:tcPr>
            <w:tcW w:w="201" w:type="pct"/>
            <w:vAlign w:val="center"/>
          </w:tcPr>
          <w:p w14:paraId="69C1E5E9">
            <w:pPr>
              <w:autoSpaceDE w:val="0"/>
              <w:autoSpaceDN w:val="0"/>
              <w:adjustRightInd w:val="0"/>
              <w:snapToGrid w:val="0"/>
              <w:jc w:val="center"/>
              <w:rPr>
                <w:rFonts w:ascii="Times New Roman"/>
                <w:sz w:val="21"/>
                <w:szCs w:val="21"/>
              </w:rPr>
            </w:pPr>
            <w:r>
              <w:rPr>
                <w:rFonts w:ascii="Times New Roman"/>
                <w:sz w:val="21"/>
                <w:szCs w:val="21"/>
              </w:rPr>
              <w:t>98</w:t>
            </w:r>
          </w:p>
        </w:tc>
        <w:tc>
          <w:tcPr>
            <w:tcW w:w="240" w:type="pct"/>
            <w:vAlign w:val="center"/>
          </w:tcPr>
          <w:p w14:paraId="4E76D063">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5859F187">
            <w:pPr>
              <w:autoSpaceDE w:val="0"/>
              <w:autoSpaceDN w:val="0"/>
              <w:adjustRightInd w:val="0"/>
              <w:snapToGrid w:val="0"/>
              <w:jc w:val="center"/>
              <w:rPr>
                <w:rFonts w:ascii="Times New Roman"/>
                <w:sz w:val="21"/>
                <w:szCs w:val="21"/>
              </w:rPr>
            </w:pPr>
            <w:r>
              <w:rPr>
                <w:rFonts w:ascii="Times New Roman"/>
                <w:sz w:val="21"/>
                <w:szCs w:val="21"/>
              </w:rPr>
              <w:t>33.52</w:t>
            </w:r>
          </w:p>
        </w:tc>
        <w:tc>
          <w:tcPr>
            <w:tcW w:w="358" w:type="pct"/>
            <w:vAlign w:val="center"/>
          </w:tcPr>
          <w:p w14:paraId="342A8F3E">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18B0CD53">
            <w:pPr>
              <w:autoSpaceDE w:val="0"/>
              <w:autoSpaceDN w:val="0"/>
              <w:adjustRightInd w:val="0"/>
              <w:snapToGrid w:val="0"/>
              <w:jc w:val="center"/>
              <w:rPr>
                <w:rFonts w:ascii="Times New Roman"/>
                <w:sz w:val="21"/>
                <w:szCs w:val="21"/>
              </w:rPr>
            </w:pPr>
          </w:p>
        </w:tc>
        <w:tc>
          <w:tcPr>
            <w:tcW w:w="551" w:type="pct"/>
            <w:vAlign w:val="center"/>
          </w:tcPr>
          <w:p w14:paraId="39EFBFB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4F4066">
            <w:pPr>
              <w:autoSpaceDE w:val="0"/>
              <w:autoSpaceDN w:val="0"/>
              <w:adjustRightInd w:val="0"/>
              <w:snapToGrid w:val="0"/>
              <w:jc w:val="center"/>
              <w:rPr>
                <w:rFonts w:ascii="Times New Roman"/>
                <w:sz w:val="21"/>
                <w:szCs w:val="21"/>
              </w:rPr>
            </w:pPr>
          </w:p>
        </w:tc>
        <w:tc>
          <w:tcPr>
            <w:tcW w:w="287" w:type="pct"/>
            <w:vMerge w:val="continue"/>
            <w:vAlign w:val="center"/>
          </w:tcPr>
          <w:p w14:paraId="5BA6483E">
            <w:pPr>
              <w:autoSpaceDE w:val="0"/>
              <w:autoSpaceDN w:val="0"/>
              <w:adjustRightInd w:val="0"/>
              <w:snapToGrid w:val="0"/>
              <w:jc w:val="center"/>
              <w:rPr>
                <w:rFonts w:ascii="Times New Roman"/>
                <w:sz w:val="21"/>
                <w:szCs w:val="21"/>
              </w:rPr>
            </w:pPr>
          </w:p>
        </w:tc>
        <w:tc>
          <w:tcPr>
            <w:tcW w:w="434" w:type="pct"/>
            <w:vMerge w:val="continue"/>
            <w:vAlign w:val="center"/>
          </w:tcPr>
          <w:p w14:paraId="65D9901C">
            <w:pPr>
              <w:autoSpaceDE w:val="0"/>
              <w:autoSpaceDN w:val="0"/>
              <w:adjustRightInd w:val="0"/>
              <w:snapToGrid w:val="0"/>
              <w:jc w:val="center"/>
              <w:rPr>
                <w:rFonts w:ascii="Times New Roman"/>
                <w:sz w:val="21"/>
                <w:szCs w:val="21"/>
              </w:rPr>
            </w:pPr>
          </w:p>
        </w:tc>
      </w:tr>
      <w:tr w14:paraId="1C27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D935B02">
            <w:pPr>
              <w:autoSpaceDE w:val="0"/>
              <w:autoSpaceDN w:val="0"/>
              <w:adjustRightInd w:val="0"/>
              <w:snapToGrid w:val="0"/>
              <w:jc w:val="center"/>
              <w:rPr>
                <w:rFonts w:ascii="Times New Roman"/>
                <w:sz w:val="21"/>
                <w:szCs w:val="21"/>
              </w:rPr>
            </w:pPr>
          </w:p>
        </w:tc>
        <w:tc>
          <w:tcPr>
            <w:tcW w:w="697" w:type="pct"/>
            <w:vAlign w:val="center"/>
          </w:tcPr>
          <w:p w14:paraId="534D597C">
            <w:pPr>
              <w:autoSpaceDE w:val="0"/>
              <w:autoSpaceDN w:val="0"/>
              <w:adjustRightInd w:val="0"/>
              <w:snapToGrid w:val="0"/>
              <w:jc w:val="center"/>
              <w:rPr>
                <w:rFonts w:ascii="Times New Roman"/>
                <w:sz w:val="21"/>
                <w:szCs w:val="21"/>
              </w:rPr>
            </w:pPr>
            <w:r>
              <w:rPr>
                <w:rFonts w:ascii="Times New Roman"/>
                <w:sz w:val="21"/>
                <w:szCs w:val="21"/>
              </w:rPr>
              <w:t>卷板机</w:t>
            </w:r>
          </w:p>
        </w:tc>
        <w:tc>
          <w:tcPr>
            <w:tcW w:w="346" w:type="pct"/>
            <w:vAlign w:val="center"/>
          </w:tcPr>
          <w:p w14:paraId="1FC6152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137EE06">
            <w:pPr>
              <w:autoSpaceDE w:val="0"/>
              <w:autoSpaceDN w:val="0"/>
              <w:adjustRightInd w:val="0"/>
              <w:snapToGrid w:val="0"/>
              <w:jc w:val="center"/>
              <w:rPr>
                <w:rFonts w:ascii="Times New Roman"/>
                <w:sz w:val="21"/>
                <w:szCs w:val="21"/>
              </w:rPr>
            </w:pPr>
          </w:p>
        </w:tc>
        <w:tc>
          <w:tcPr>
            <w:tcW w:w="208" w:type="pct"/>
            <w:vAlign w:val="center"/>
          </w:tcPr>
          <w:p w14:paraId="36C76B76">
            <w:pPr>
              <w:autoSpaceDE w:val="0"/>
              <w:autoSpaceDN w:val="0"/>
              <w:adjustRightInd w:val="0"/>
              <w:snapToGrid w:val="0"/>
              <w:jc w:val="center"/>
              <w:rPr>
                <w:rFonts w:ascii="Times New Roman"/>
                <w:sz w:val="21"/>
                <w:szCs w:val="21"/>
              </w:rPr>
            </w:pPr>
            <w:r>
              <w:rPr>
                <w:rFonts w:ascii="Times New Roman"/>
                <w:sz w:val="21"/>
                <w:szCs w:val="21"/>
              </w:rPr>
              <w:t>238</w:t>
            </w:r>
          </w:p>
        </w:tc>
        <w:tc>
          <w:tcPr>
            <w:tcW w:w="201" w:type="pct"/>
            <w:vAlign w:val="center"/>
          </w:tcPr>
          <w:p w14:paraId="11D6ED90">
            <w:pPr>
              <w:autoSpaceDE w:val="0"/>
              <w:autoSpaceDN w:val="0"/>
              <w:adjustRightInd w:val="0"/>
              <w:snapToGrid w:val="0"/>
              <w:jc w:val="center"/>
              <w:rPr>
                <w:rFonts w:ascii="Times New Roman"/>
                <w:sz w:val="21"/>
                <w:szCs w:val="21"/>
              </w:rPr>
            </w:pPr>
            <w:r>
              <w:rPr>
                <w:rFonts w:ascii="Times New Roman"/>
                <w:sz w:val="21"/>
                <w:szCs w:val="21"/>
              </w:rPr>
              <w:t>98</w:t>
            </w:r>
          </w:p>
        </w:tc>
        <w:tc>
          <w:tcPr>
            <w:tcW w:w="240" w:type="pct"/>
            <w:vAlign w:val="center"/>
          </w:tcPr>
          <w:p w14:paraId="3C710BCC">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72BB939">
            <w:pPr>
              <w:autoSpaceDE w:val="0"/>
              <w:autoSpaceDN w:val="0"/>
              <w:adjustRightInd w:val="0"/>
              <w:snapToGrid w:val="0"/>
              <w:jc w:val="center"/>
              <w:rPr>
                <w:rFonts w:ascii="Times New Roman"/>
                <w:sz w:val="21"/>
                <w:szCs w:val="21"/>
              </w:rPr>
            </w:pPr>
            <w:r>
              <w:rPr>
                <w:rFonts w:ascii="Times New Roman"/>
                <w:sz w:val="21"/>
                <w:szCs w:val="21"/>
              </w:rPr>
              <w:t>36.52</w:t>
            </w:r>
          </w:p>
        </w:tc>
        <w:tc>
          <w:tcPr>
            <w:tcW w:w="358" w:type="pct"/>
            <w:vAlign w:val="center"/>
          </w:tcPr>
          <w:p w14:paraId="4FDB73E1">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5E3E6DB3">
            <w:pPr>
              <w:autoSpaceDE w:val="0"/>
              <w:autoSpaceDN w:val="0"/>
              <w:adjustRightInd w:val="0"/>
              <w:snapToGrid w:val="0"/>
              <w:jc w:val="center"/>
              <w:rPr>
                <w:rFonts w:ascii="Times New Roman"/>
                <w:sz w:val="21"/>
                <w:szCs w:val="21"/>
              </w:rPr>
            </w:pPr>
          </w:p>
        </w:tc>
        <w:tc>
          <w:tcPr>
            <w:tcW w:w="551" w:type="pct"/>
            <w:vAlign w:val="center"/>
          </w:tcPr>
          <w:p w14:paraId="3270017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6DA54E5">
            <w:pPr>
              <w:autoSpaceDE w:val="0"/>
              <w:autoSpaceDN w:val="0"/>
              <w:adjustRightInd w:val="0"/>
              <w:snapToGrid w:val="0"/>
              <w:jc w:val="center"/>
              <w:rPr>
                <w:rFonts w:ascii="Times New Roman"/>
                <w:sz w:val="21"/>
                <w:szCs w:val="21"/>
              </w:rPr>
            </w:pPr>
          </w:p>
        </w:tc>
        <w:tc>
          <w:tcPr>
            <w:tcW w:w="287" w:type="pct"/>
            <w:vMerge w:val="continue"/>
            <w:vAlign w:val="center"/>
          </w:tcPr>
          <w:p w14:paraId="67C4F019">
            <w:pPr>
              <w:autoSpaceDE w:val="0"/>
              <w:autoSpaceDN w:val="0"/>
              <w:adjustRightInd w:val="0"/>
              <w:snapToGrid w:val="0"/>
              <w:jc w:val="center"/>
              <w:rPr>
                <w:rFonts w:ascii="Times New Roman"/>
                <w:sz w:val="21"/>
                <w:szCs w:val="21"/>
              </w:rPr>
            </w:pPr>
          </w:p>
        </w:tc>
        <w:tc>
          <w:tcPr>
            <w:tcW w:w="434" w:type="pct"/>
            <w:vMerge w:val="continue"/>
            <w:vAlign w:val="center"/>
          </w:tcPr>
          <w:p w14:paraId="78442CAB">
            <w:pPr>
              <w:autoSpaceDE w:val="0"/>
              <w:autoSpaceDN w:val="0"/>
              <w:adjustRightInd w:val="0"/>
              <w:snapToGrid w:val="0"/>
              <w:jc w:val="center"/>
              <w:rPr>
                <w:rFonts w:ascii="Times New Roman"/>
                <w:sz w:val="21"/>
                <w:szCs w:val="21"/>
              </w:rPr>
            </w:pPr>
          </w:p>
        </w:tc>
      </w:tr>
      <w:tr w14:paraId="4BC1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B7B17F9">
            <w:pPr>
              <w:autoSpaceDE w:val="0"/>
              <w:autoSpaceDN w:val="0"/>
              <w:adjustRightInd w:val="0"/>
              <w:snapToGrid w:val="0"/>
              <w:jc w:val="center"/>
              <w:rPr>
                <w:rFonts w:ascii="Times New Roman"/>
                <w:sz w:val="21"/>
                <w:szCs w:val="21"/>
              </w:rPr>
            </w:pPr>
          </w:p>
        </w:tc>
        <w:tc>
          <w:tcPr>
            <w:tcW w:w="697" w:type="pct"/>
            <w:vAlign w:val="center"/>
          </w:tcPr>
          <w:p w14:paraId="729DCC4C">
            <w:pPr>
              <w:autoSpaceDE w:val="0"/>
              <w:autoSpaceDN w:val="0"/>
              <w:adjustRightInd w:val="0"/>
              <w:snapToGrid w:val="0"/>
              <w:jc w:val="center"/>
              <w:rPr>
                <w:rFonts w:ascii="Times New Roman"/>
                <w:sz w:val="21"/>
                <w:szCs w:val="21"/>
              </w:rPr>
            </w:pPr>
            <w:r>
              <w:rPr>
                <w:rFonts w:ascii="Times New Roman"/>
                <w:sz w:val="21"/>
                <w:szCs w:val="21"/>
              </w:rPr>
              <w:t>卷板机</w:t>
            </w:r>
          </w:p>
        </w:tc>
        <w:tc>
          <w:tcPr>
            <w:tcW w:w="346" w:type="pct"/>
            <w:vAlign w:val="center"/>
          </w:tcPr>
          <w:p w14:paraId="5CFE6F77">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2939110">
            <w:pPr>
              <w:autoSpaceDE w:val="0"/>
              <w:autoSpaceDN w:val="0"/>
              <w:adjustRightInd w:val="0"/>
              <w:snapToGrid w:val="0"/>
              <w:jc w:val="center"/>
              <w:rPr>
                <w:rFonts w:ascii="Times New Roman"/>
                <w:sz w:val="21"/>
                <w:szCs w:val="21"/>
              </w:rPr>
            </w:pPr>
          </w:p>
        </w:tc>
        <w:tc>
          <w:tcPr>
            <w:tcW w:w="208" w:type="pct"/>
            <w:vAlign w:val="center"/>
          </w:tcPr>
          <w:p w14:paraId="64413147">
            <w:pPr>
              <w:autoSpaceDE w:val="0"/>
              <w:autoSpaceDN w:val="0"/>
              <w:adjustRightInd w:val="0"/>
              <w:snapToGrid w:val="0"/>
              <w:jc w:val="center"/>
              <w:rPr>
                <w:rFonts w:ascii="Times New Roman"/>
                <w:sz w:val="21"/>
                <w:szCs w:val="21"/>
              </w:rPr>
            </w:pPr>
            <w:r>
              <w:rPr>
                <w:rFonts w:ascii="Times New Roman"/>
                <w:sz w:val="21"/>
                <w:szCs w:val="21"/>
              </w:rPr>
              <w:t>241</w:t>
            </w:r>
          </w:p>
        </w:tc>
        <w:tc>
          <w:tcPr>
            <w:tcW w:w="201" w:type="pct"/>
            <w:vAlign w:val="center"/>
          </w:tcPr>
          <w:p w14:paraId="79150A20">
            <w:pPr>
              <w:autoSpaceDE w:val="0"/>
              <w:autoSpaceDN w:val="0"/>
              <w:adjustRightInd w:val="0"/>
              <w:snapToGrid w:val="0"/>
              <w:jc w:val="center"/>
              <w:rPr>
                <w:rFonts w:ascii="Times New Roman"/>
                <w:sz w:val="21"/>
                <w:szCs w:val="21"/>
              </w:rPr>
            </w:pPr>
            <w:r>
              <w:rPr>
                <w:rFonts w:ascii="Times New Roman"/>
                <w:sz w:val="21"/>
                <w:szCs w:val="21"/>
              </w:rPr>
              <w:t>98</w:t>
            </w:r>
          </w:p>
        </w:tc>
        <w:tc>
          <w:tcPr>
            <w:tcW w:w="240" w:type="pct"/>
            <w:vAlign w:val="center"/>
          </w:tcPr>
          <w:p w14:paraId="2A4EA950">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6B401C7">
            <w:pPr>
              <w:autoSpaceDE w:val="0"/>
              <w:autoSpaceDN w:val="0"/>
              <w:adjustRightInd w:val="0"/>
              <w:snapToGrid w:val="0"/>
              <w:jc w:val="center"/>
              <w:rPr>
                <w:rFonts w:ascii="Times New Roman"/>
                <w:sz w:val="21"/>
                <w:szCs w:val="21"/>
              </w:rPr>
            </w:pPr>
            <w:r>
              <w:rPr>
                <w:rFonts w:ascii="Times New Roman"/>
                <w:sz w:val="21"/>
                <w:szCs w:val="21"/>
              </w:rPr>
              <w:t>39.52</w:t>
            </w:r>
          </w:p>
        </w:tc>
        <w:tc>
          <w:tcPr>
            <w:tcW w:w="358" w:type="pct"/>
            <w:vAlign w:val="center"/>
          </w:tcPr>
          <w:p w14:paraId="2746BC97">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702DE781">
            <w:pPr>
              <w:autoSpaceDE w:val="0"/>
              <w:autoSpaceDN w:val="0"/>
              <w:adjustRightInd w:val="0"/>
              <w:snapToGrid w:val="0"/>
              <w:jc w:val="center"/>
              <w:rPr>
                <w:rFonts w:ascii="Times New Roman"/>
                <w:sz w:val="21"/>
                <w:szCs w:val="21"/>
              </w:rPr>
            </w:pPr>
          </w:p>
        </w:tc>
        <w:tc>
          <w:tcPr>
            <w:tcW w:w="551" w:type="pct"/>
            <w:vAlign w:val="center"/>
          </w:tcPr>
          <w:p w14:paraId="538394B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9AEECE3">
            <w:pPr>
              <w:autoSpaceDE w:val="0"/>
              <w:autoSpaceDN w:val="0"/>
              <w:adjustRightInd w:val="0"/>
              <w:snapToGrid w:val="0"/>
              <w:jc w:val="center"/>
              <w:rPr>
                <w:rFonts w:ascii="Times New Roman"/>
                <w:sz w:val="21"/>
                <w:szCs w:val="21"/>
              </w:rPr>
            </w:pPr>
          </w:p>
        </w:tc>
        <w:tc>
          <w:tcPr>
            <w:tcW w:w="287" w:type="pct"/>
            <w:vMerge w:val="continue"/>
            <w:vAlign w:val="center"/>
          </w:tcPr>
          <w:p w14:paraId="58C77D98">
            <w:pPr>
              <w:autoSpaceDE w:val="0"/>
              <w:autoSpaceDN w:val="0"/>
              <w:adjustRightInd w:val="0"/>
              <w:snapToGrid w:val="0"/>
              <w:jc w:val="center"/>
              <w:rPr>
                <w:rFonts w:ascii="Times New Roman"/>
                <w:sz w:val="21"/>
                <w:szCs w:val="21"/>
              </w:rPr>
            </w:pPr>
          </w:p>
        </w:tc>
        <w:tc>
          <w:tcPr>
            <w:tcW w:w="434" w:type="pct"/>
            <w:vMerge w:val="continue"/>
            <w:vAlign w:val="center"/>
          </w:tcPr>
          <w:p w14:paraId="590DED09">
            <w:pPr>
              <w:autoSpaceDE w:val="0"/>
              <w:autoSpaceDN w:val="0"/>
              <w:adjustRightInd w:val="0"/>
              <w:snapToGrid w:val="0"/>
              <w:jc w:val="center"/>
              <w:rPr>
                <w:rFonts w:ascii="Times New Roman"/>
                <w:sz w:val="21"/>
                <w:szCs w:val="21"/>
              </w:rPr>
            </w:pPr>
          </w:p>
        </w:tc>
      </w:tr>
      <w:tr w14:paraId="3C04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264B4D8">
            <w:pPr>
              <w:autoSpaceDE w:val="0"/>
              <w:autoSpaceDN w:val="0"/>
              <w:adjustRightInd w:val="0"/>
              <w:snapToGrid w:val="0"/>
              <w:jc w:val="center"/>
              <w:rPr>
                <w:rFonts w:ascii="Times New Roman"/>
                <w:sz w:val="21"/>
                <w:szCs w:val="21"/>
              </w:rPr>
            </w:pPr>
          </w:p>
        </w:tc>
        <w:tc>
          <w:tcPr>
            <w:tcW w:w="697" w:type="pct"/>
            <w:vAlign w:val="center"/>
          </w:tcPr>
          <w:p w14:paraId="3A17F8EA">
            <w:pPr>
              <w:autoSpaceDE w:val="0"/>
              <w:autoSpaceDN w:val="0"/>
              <w:adjustRightInd w:val="0"/>
              <w:snapToGrid w:val="0"/>
              <w:jc w:val="center"/>
              <w:rPr>
                <w:rFonts w:ascii="Times New Roman"/>
                <w:sz w:val="21"/>
                <w:szCs w:val="21"/>
              </w:rPr>
            </w:pPr>
            <w:r>
              <w:rPr>
                <w:rFonts w:ascii="Times New Roman"/>
                <w:sz w:val="21"/>
                <w:szCs w:val="21"/>
              </w:rPr>
              <w:t>组对焊接焊机</w:t>
            </w:r>
          </w:p>
        </w:tc>
        <w:tc>
          <w:tcPr>
            <w:tcW w:w="346" w:type="pct"/>
            <w:vAlign w:val="center"/>
          </w:tcPr>
          <w:p w14:paraId="47DA819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90A281E">
            <w:pPr>
              <w:autoSpaceDE w:val="0"/>
              <w:autoSpaceDN w:val="0"/>
              <w:adjustRightInd w:val="0"/>
              <w:snapToGrid w:val="0"/>
              <w:jc w:val="center"/>
              <w:rPr>
                <w:rFonts w:ascii="Times New Roman"/>
                <w:sz w:val="21"/>
                <w:szCs w:val="21"/>
              </w:rPr>
            </w:pPr>
          </w:p>
        </w:tc>
        <w:tc>
          <w:tcPr>
            <w:tcW w:w="208" w:type="pct"/>
            <w:vAlign w:val="center"/>
          </w:tcPr>
          <w:p w14:paraId="087668AC">
            <w:pPr>
              <w:autoSpaceDE w:val="0"/>
              <w:autoSpaceDN w:val="0"/>
              <w:adjustRightInd w:val="0"/>
              <w:snapToGrid w:val="0"/>
              <w:jc w:val="center"/>
              <w:rPr>
                <w:rFonts w:ascii="Times New Roman"/>
                <w:sz w:val="21"/>
                <w:szCs w:val="21"/>
              </w:rPr>
            </w:pPr>
            <w:r>
              <w:rPr>
                <w:rFonts w:ascii="Times New Roman"/>
                <w:sz w:val="21"/>
                <w:szCs w:val="21"/>
              </w:rPr>
              <w:t>235</w:t>
            </w:r>
          </w:p>
        </w:tc>
        <w:tc>
          <w:tcPr>
            <w:tcW w:w="201" w:type="pct"/>
            <w:vAlign w:val="center"/>
          </w:tcPr>
          <w:p w14:paraId="1317BC5D">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360C181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B497656">
            <w:pPr>
              <w:autoSpaceDE w:val="0"/>
              <w:autoSpaceDN w:val="0"/>
              <w:adjustRightInd w:val="0"/>
              <w:snapToGrid w:val="0"/>
              <w:jc w:val="center"/>
              <w:rPr>
                <w:rFonts w:ascii="Times New Roman"/>
                <w:sz w:val="21"/>
                <w:szCs w:val="21"/>
              </w:rPr>
            </w:pPr>
            <w:r>
              <w:rPr>
                <w:rFonts w:ascii="Times New Roman"/>
                <w:sz w:val="21"/>
                <w:szCs w:val="21"/>
              </w:rPr>
              <w:t>36.52</w:t>
            </w:r>
          </w:p>
        </w:tc>
        <w:tc>
          <w:tcPr>
            <w:tcW w:w="358" w:type="pct"/>
            <w:vAlign w:val="center"/>
          </w:tcPr>
          <w:p w14:paraId="1F0A4CDF">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271D6B63">
            <w:pPr>
              <w:autoSpaceDE w:val="0"/>
              <w:autoSpaceDN w:val="0"/>
              <w:adjustRightInd w:val="0"/>
              <w:snapToGrid w:val="0"/>
              <w:jc w:val="center"/>
              <w:rPr>
                <w:rFonts w:ascii="Times New Roman"/>
                <w:sz w:val="21"/>
                <w:szCs w:val="21"/>
              </w:rPr>
            </w:pPr>
          </w:p>
        </w:tc>
        <w:tc>
          <w:tcPr>
            <w:tcW w:w="551" w:type="pct"/>
            <w:vAlign w:val="center"/>
          </w:tcPr>
          <w:p w14:paraId="069401E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07C4814">
            <w:pPr>
              <w:autoSpaceDE w:val="0"/>
              <w:autoSpaceDN w:val="0"/>
              <w:adjustRightInd w:val="0"/>
              <w:snapToGrid w:val="0"/>
              <w:jc w:val="center"/>
              <w:rPr>
                <w:rFonts w:ascii="Times New Roman"/>
                <w:sz w:val="21"/>
                <w:szCs w:val="21"/>
              </w:rPr>
            </w:pPr>
          </w:p>
        </w:tc>
        <w:tc>
          <w:tcPr>
            <w:tcW w:w="287" w:type="pct"/>
            <w:vMerge w:val="continue"/>
            <w:vAlign w:val="center"/>
          </w:tcPr>
          <w:p w14:paraId="34E80026">
            <w:pPr>
              <w:autoSpaceDE w:val="0"/>
              <w:autoSpaceDN w:val="0"/>
              <w:adjustRightInd w:val="0"/>
              <w:snapToGrid w:val="0"/>
              <w:jc w:val="center"/>
              <w:rPr>
                <w:rFonts w:ascii="Times New Roman"/>
                <w:sz w:val="21"/>
                <w:szCs w:val="21"/>
              </w:rPr>
            </w:pPr>
          </w:p>
        </w:tc>
        <w:tc>
          <w:tcPr>
            <w:tcW w:w="434" w:type="pct"/>
            <w:vMerge w:val="continue"/>
            <w:vAlign w:val="center"/>
          </w:tcPr>
          <w:p w14:paraId="717E7D3D">
            <w:pPr>
              <w:autoSpaceDE w:val="0"/>
              <w:autoSpaceDN w:val="0"/>
              <w:adjustRightInd w:val="0"/>
              <w:snapToGrid w:val="0"/>
              <w:jc w:val="center"/>
              <w:rPr>
                <w:rFonts w:ascii="Times New Roman"/>
                <w:sz w:val="21"/>
                <w:szCs w:val="21"/>
              </w:rPr>
            </w:pPr>
          </w:p>
        </w:tc>
      </w:tr>
      <w:tr w14:paraId="6FB4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3730210">
            <w:pPr>
              <w:autoSpaceDE w:val="0"/>
              <w:autoSpaceDN w:val="0"/>
              <w:adjustRightInd w:val="0"/>
              <w:snapToGrid w:val="0"/>
              <w:jc w:val="center"/>
              <w:rPr>
                <w:rFonts w:ascii="Times New Roman"/>
                <w:sz w:val="21"/>
                <w:szCs w:val="21"/>
              </w:rPr>
            </w:pPr>
          </w:p>
        </w:tc>
        <w:tc>
          <w:tcPr>
            <w:tcW w:w="697" w:type="pct"/>
            <w:vAlign w:val="center"/>
          </w:tcPr>
          <w:p w14:paraId="17F40799">
            <w:pPr>
              <w:autoSpaceDE w:val="0"/>
              <w:autoSpaceDN w:val="0"/>
              <w:adjustRightInd w:val="0"/>
              <w:snapToGrid w:val="0"/>
              <w:jc w:val="center"/>
              <w:rPr>
                <w:rFonts w:ascii="Times New Roman"/>
                <w:sz w:val="21"/>
                <w:szCs w:val="21"/>
              </w:rPr>
            </w:pPr>
            <w:r>
              <w:rPr>
                <w:rFonts w:ascii="Times New Roman"/>
                <w:sz w:val="21"/>
                <w:szCs w:val="21"/>
              </w:rPr>
              <w:t>组对焊接焊机</w:t>
            </w:r>
          </w:p>
        </w:tc>
        <w:tc>
          <w:tcPr>
            <w:tcW w:w="346" w:type="pct"/>
            <w:vAlign w:val="center"/>
          </w:tcPr>
          <w:p w14:paraId="78EB6A4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6E5823A">
            <w:pPr>
              <w:autoSpaceDE w:val="0"/>
              <w:autoSpaceDN w:val="0"/>
              <w:adjustRightInd w:val="0"/>
              <w:snapToGrid w:val="0"/>
              <w:jc w:val="center"/>
              <w:rPr>
                <w:rFonts w:ascii="Times New Roman"/>
                <w:sz w:val="21"/>
                <w:szCs w:val="21"/>
              </w:rPr>
            </w:pPr>
          </w:p>
        </w:tc>
        <w:tc>
          <w:tcPr>
            <w:tcW w:w="208" w:type="pct"/>
            <w:vAlign w:val="center"/>
          </w:tcPr>
          <w:p w14:paraId="76205022">
            <w:pPr>
              <w:autoSpaceDE w:val="0"/>
              <w:autoSpaceDN w:val="0"/>
              <w:adjustRightInd w:val="0"/>
              <w:snapToGrid w:val="0"/>
              <w:jc w:val="center"/>
              <w:rPr>
                <w:rFonts w:ascii="Times New Roman"/>
                <w:sz w:val="21"/>
                <w:szCs w:val="21"/>
              </w:rPr>
            </w:pPr>
            <w:r>
              <w:rPr>
                <w:rFonts w:ascii="Times New Roman"/>
                <w:sz w:val="21"/>
                <w:szCs w:val="21"/>
              </w:rPr>
              <w:t>238</w:t>
            </w:r>
          </w:p>
        </w:tc>
        <w:tc>
          <w:tcPr>
            <w:tcW w:w="201" w:type="pct"/>
            <w:vAlign w:val="center"/>
          </w:tcPr>
          <w:p w14:paraId="34F61546">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570D0F2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C40893D">
            <w:pPr>
              <w:autoSpaceDE w:val="0"/>
              <w:autoSpaceDN w:val="0"/>
              <w:adjustRightInd w:val="0"/>
              <w:snapToGrid w:val="0"/>
              <w:jc w:val="center"/>
              <w:rPr>
                <w:rFonts w:ascii="Times New Roman"/>
                <w:sz w:val="21"/>
                <w:szCs w:val="21"/>
              </w:rPr>
            </w:pPr>
            <w:r>
              <w:rPr>
                <w:rFonts w:ascii="Times New Roman"/>
                <w:sz w:val="21"/>
                <w:szCs w:val="21"/>
              </w:rPr>
              <w:t>39.52</w:t>
            </w:r>
          </w:p>
        </w:tc>
        <w:tc>
          <w:tcPr>
            <w:tcW w:w="358" w:type="pct"/>
            <w:vAlign w:val="center"/>
          </w:tcPr>
          <w:p w14:paraId="4217D24E">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56CA1CAE">
            <w:pPr>
              <w:autoSpaceDE w:val="0"/>
              <w:autoSpaceDN w:val="0"/>
              <w:adjustRightInd w:val="0"/>
              <w:snapToGrid w:val="0"/>
              <w:jc w:val="center"/>
              <w:rPr>
                <w:rFonts w:ascii="Times New Roman"/>
                <w:sz w:val="21"/>
                <w:szCs w:val="21"/>
              </w:rPr>
            </w:pPr>
          </w:p>
        </w:tc>
        <w:tc>
          <w:tcPr>
            <w:tcW w:w="551" w:type="pct"/>
            <w:vAlign w:val="center"/>
          </w:tcPr>
          <w:p w14:paraId="2D8E048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10A632D">
            <w:pPr>
              <w:autoSpaceDE w:val="0"/>
              <w:autoSpaceDN w:val="0"/>
              <w:adjustRightInd w:val="0"/>
              <w:snapToGrid w:val="0"/>
              <w:jc w:val="center"/>
              <w:rPr>
                <w:rFonts w:ascii="Times New Roman"/>
                <w:sz w:val="21"/>
                <w:szCs w:val="21"/>
              </w:rPr>
            </w:pPr>
          </w:p>
        </w:tc>
        <w:tc>
          <w:tcPr>
            <w:tcW w:w="287" w:type="pct"/>
            <w:vMerge w:val="continue"/>
            <w:vAlign w:val="center"/>
          </w:tcPr>
          <w:p w14:paraId="64C9FE97">
            <w:pPr>
              <w:autoSpaceDE w:val="0"/>
              <w:autoSpaceDN w:val="0"/>
              <w:adjustRightInd w:val="0"/>
              <w:snapToGrid w:val="0"/>
              <w:jc w:val="center"/>
              <w:rPr>
                <w:rFonts w:ascii="Times New Roman"/>
                <w:sz w:val="21"/>
                <w:szCs w:val="21"/>
              </w:rPr>
            </w:pPr>
          </w:p>
        </w:tc>
        <w:tc>
          <w:tcPr>
            <w:tcW w:w="434" w:type="pct"/>
            <w:vMerge w:val="continue"/>
            <w:vAlign w:val="center"/>
          </w:tcPr>
          <w:p w14:paraId="5B6924EF">
            <w:pPr>
              <w:autoSpaceDE w:val="0"/>
              <w:autoSpaceDN w:val="0"/>
              <w:adjustRightInd w:val="0"/>
              <w:snapToGrid w:val="0"/>
              <w:jc w:val="center"/>
              <w:rPr>
                <w:rFonts w:ascii="Times New Roman"/>
                <w:sz w:val="21"/>
                <w:szCs w:val="21"/>
              </w:rPr>
            </w:pPr>
          </w:p>
        </w:tc>
      </w:tr>
      <w:tr w14:paraId="1ED2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D1A4E4D">
            <w:pPr>
              <w:autoSpaceDE w:val="0"/>
              <w:autoSpaceDN w:val="0"/>
              <w:adjustRightInd w:val="0"/>
              <w:snapToGrid w:val="0"/>
              <w:jc w:val="center"/>
              <w:rPr>
                <w:rFonts w:ascii="Times New Roman"/>
                <w:sz w:val="21"/>
                <w:szCs w:val="21"/>
              </w:rPr>
            </w:pPr>
          </w:p>
        </w:tc>
        <w:tc>
          <w:tcPr>
            <w:tcW w:w="697" w:type="pct"/>
            <w:vAlign w:val="center"/>
          </w:tcPr>
          <w:p w14:paraId="1FE165EE">
            <w:pPr>
              <w:autoSpaceDE w:val="0"/>
              <w:autoSpaceDN w:val="0"/>
              <w:adjustRightInd w:val="0"/>
              <w:snapToGrid w:val="0"/>
              <w:jc w:val="center"/>
              <w:rPr>
                <w:rFonts w:ascii="Times New Roman"/>
                <w:sz w:val="21"/>
                <w:szCs w:val="21"/>
              </w:rPr>
            </w:pPr>
            <w:r>
              <w:rPr>
                <w:rFonts w:ascii="Times New Roman"/>
                <w:sz w:val="21"/>
                <w:szCs w:val="21"/>
              </w:rPr>
              <w:t>组对焊接焊机</w:t>
            </w:r>
          </w:p>
        </w:tc>
        <w:tc>
          <w:tcPr>
            <w:tcW w:w="346" w:type="pct"/>
            <w:vAlign w:val="center"/>
          </w:tcPr>
          <w:p w14:paraId="44571887">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C402400">
            <w:pPr>
              <w:autoSpaceDE w:val="0"/>
              <w:autoSpaceDN w:val="0"/>
              <w:adjustRightInd w:val="0"/>
              <w:snapToGrid w:val="0"/>
              <w:jc w:val="center"/>
              <w:rPr>
                <w:rFonts w:ascii="Times New Roman"/>
                <w:sz w:val="21"/>
                <w:szCs w:val="21"/>
              </w:rPr>
            </w:pPr>
          </w:p>
        </w:tc>
        <w:tc>
          <w:tcPr>
            <w:tcW w:w="208" w:type="pct"/>
            <w:vAlign w:val="center"/>
          </w:tcPr>
          <w:p w14:paraId="10B1C19B">
            <w:pPr>
              <w:autoSpaceDE w:val="0"/>
              <w:autoSpaceDN w:val="0"/>
              <w:adjustRightInd w:val="0"/>
              <w:snapToGrid w:val="0"/>
              <w:jc w:val="center"/>
              <w:rPr>
                <w:rFonts w:ascii="Times New Roman"/>
                <w:sz w:val="21"/>
                <w:szCs w:val="21"/>
              </w:rPr>
            </w:pPr>
            <w:r>
              <w:rPr>
                <w:rFonts w:ascii="Times New Roman"/>
                <w:sz w:val="21"/>
                <w:szCs w:val="21"/>
              </w:rPr>
              <w:t>241</w:t>
            </w:r>
          </w:p>
        </w:tc>
        <w:tc>
          <w:tcPr>
            <w:tcW w:w="201" w:type="pct"/>
            <w:vAlign w:val="center"/>
          </w:tcPr>
          <w:p w14:paraId="486B0348">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113CA9F9">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6C3FF93">
            <w:pPr>
              <w:autoSpaceDE w:val="0"/>
              <w:autoSpaceDN w:val="0"/>
              <w:adjustRightInd w:val="0"/>
              <w:snapToGrid w:val="0"/>
              <w:jc w:val="center"/>
              <w:rPr>
                <w:rFonts w:ascii="Times New Roman"/>
                <w:sz w:val="21"/>
                <w:szCs w:val="21"/>
              </w:rPr>
            </w:pPr>
            <w:r>
              <w:rPr>
                <w:rFonts w:ascii="Times New Roman"/>
                <w:sz w:val="21"/>
                <w:szCs w:val="21"/>
              </w:rPr>
              <w:t>38.52</w:t>
            </w:r>
          </w:p>
        </w:tc>
        <w:tc>
          <w:tcPr>
            <w:tcW w:w="358" w:type="pct"/>
            <w:vAlign w:val="center"/>
          </w:tcPr>
          <w:p w14:paraId="67BC46F6">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7C61F259">
            <w:pPr>
              <w:autoSpaceDE w:val="0"/>
              <w:autoSpaceDN w:val="0"/>
              <w:adjustRightInd w:val="0"/>
              <w:snapToGrid w:val="0"/>
              <w:jc w:val="center"/>
              <w:rPr>
                <w:rFonts w:ascii="Times New Roman"/>
                <w:sz w:val="21"/>
                <w:szCs w:val="21"/>
              </w:rPr>
            </w:pPr>
          </w:p>
        </w:tc>
        <w:tc>
          <w:tcPr>
            <w:tcW w:w="551" w:type="pct"/>
            <w:vAlign w:val="center"/>
          </w:tcPr>
          <w:p w14:paraId="5AF4B0E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68FD66D">
            <w:pPr>
              <w:autoSpaceDE w:val="0"/>
              <w:autoSpaceDN w:val="0"/>
              <w:adjustRightInd w:val="0"/>
              <w:snapToGrid w:val="0"/>
              <w:jc w:val="center"/>
              <w:rPr>
                <w:rFonts w:ascii="Times New Roman"/>
                <w:sz w:val="21"/>
                <w:szCs w:val="21"/>
              </w:rPr>
            </w:pPr>
          </w:p>
        </w:tc>
        <w:tc>
          <w:tcPr>
            <w:tcW w:w="287" w:type="pct"/>
            <w:vMerge w:val="continue"/>
            <w:vAlign w:val="center"/>
          </w:tcPr>
          <w:p w14:paraId="277F9DE1">
            <w:pPr>
              <w:autoSpaceDE w:val="0"/>
              <w:autoSpaceDN w:val="0"/>
              <w:adjustRightInd w:val="0"/>
              <w:snapToGrid w:val="0"/>
              <w:jc w:val="center"/>
              <w:rPr>
                <w:rFonts w:ascii="Times New Roman"/>
                <w:sz w:val="21"/>
                <w:szCs w:val="21"/>
              </w:rPr>
            </w:pPr>
          </w:p>
        </w:tc>
        <w:tc>
          <w:tcPr>
            <w:tcW w:w="434" w:type="pct"/>
            <w:vMerge w:val="continue"/>
            <w:vAlign w:val="center"/>
          </w:tcPr>
          <w:p w14:paraId="774686DB">
            <w:pPr>
              <w:autoSpaceDE w:val="0"/>
              <w:autoSpaceDN w:val="0"/>
              <w:adjustRightInd w:val="0"/>
              <w:snapToGrid w:val="0"/>
              <w:jc w:val="center"/>
              <w:rPr>
                <w:rFonts w:ascii="Times New Roman"/>
                <w:sz w:val="21"/>
                <w:szCs w:val="21"/>
              </w:rPr>
            </w:pPr>
          </w:p>
        </w:tc>
      </w:tr>
      <w:tr w14:paraId="0AA7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F3F55AA">
            <w:pPr>
              <w:autoSpaceDE w:val="0"/>
              <w:autoSpaceDN w:val="0"/>
              <w:adjustRightInd w:val="0"/>
              <w:snapToGrid w:val="0"/>
              <w:jc w:val="center"/>
              <w:rPr>
                <w:rFonts w:ascii="Times New Roman"/>
                <w:sz w:val="21"/>
                <w:szCs w:val="21"/>
              </w:rPr>
            </w:pPr>
          </w:p>
        </w:tc>
        <w:tc>
          <w:tcPr>
            <w:tcW w:w="697" w:type="pct"/>
            <w:vAlign w:val="center"/>
          </w:tcPr>
          <w:p w14:paraId="0B1B73BB">
            <w:pPr>
              <w:autoSpaceDE w:val="0"/>
              <w:autoSpaceDN w:val="0"/>
              <w:adjustRightInd w:val="0"/>
              <w:snapToGrid w:val="0"/>
              <w:jc w:val="center"/>
              <w:rPr>
                <w:rFonts w:ascii="Times New Roman"/>
                <w:sz w:val="21"/>
                <w:szCs w:val="21"/>
              </w:rPr>
            </w:pPr>
            <w:r>
              <w:rPr>
                <w:rFonts w:ascii="Times New Roman"/>
                <w:sz w:val="21"/>
                <w:szCs w:val="21"/>
              </w:rPr>
              <w:t>内侧自动焊机</w:t>
            </w:r>
          </w:p>
        </w:tc>
        <w:tc>
          <w:tcPr>
            <w:tcW w:w="346" w:type="pct"/>
            <w:vAlign w:val="center"/>
          </w:tcPr>
          <w:p w14:paraId="3E34FC2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3F3D336">
            <w:pPr>
              <w:autoSpaceDE w:val="0"/>
              <w:autoSpaceDN w:val="0"/>
              <w:adjustRightInd w:val="0"/>
              <w:snapToGrid w:val="0"/>
              <w:jc w:val="center"/>
              <w:rPr>
                <w:rFonts w:ascii="Times New Roman"/>
                <w:sz w:val="21"/>
                <w:szCs w:val="21"/>
              </w:rPr>
            </w:pPr>
          </w:p>
        </w:tc>
        <w:tc>
          <w:tcPr>
            <w:tcW w:w="208" w:type="pct"/>
            <w:vAlign w:val="center"/>
          </w:tcPr>
          <w:p w14:paraId="5A65B314">
            <w:pPr>
              <w:autoSpaceDE w:val="0"/>
              <w:autoSpaceDN w:val="0"/>
              <w:adjustRightInd w:val="0"/>
              <w:snapToGrid w:val="0"/>
              <w:jc w:val="center"/>
              <w:rPr>
                <w:rFonts w:ascii="Times New Roman"/>
                <w:sz w:val="21"/>
                <w:szCs w:val="21"/>
              </w:rPr>
            </w:pPr>
            <w:r>
              <w:rPr>
                <w:rFonts w:ascii="Times New Roman"/>
                <w:sz w:val="21"/>
                <w:szCs w:val="21"/>
              </w:rPr>
              <w:t>240</w:t>
            </w:r>
          </w:p>
        </w:tc>
        <w:tc>
          <w:tcPr>
            <w:tcW w:w="201" w:type="pct"/>
            <w:vAlign w:val="center"/>
          </w:tcPr>
          <w:p w14:paraId="4D93A0F5">
            <w:pPr>
              <w:autoSpaceDE w:val="0"/>
              <w:autoSpaceDN w:val="0"/>
              <w:adjustRightInd w:val="0"/>
              <w:snapToGrid w:val="0"/>
              <w:jc w:val="center"/>
              <w:rPr>
                <w:rFonts w:ascii="Times New Roman"/>
                <w:sz w:val="21"/>
                <w:szCs w:val="21"/>
              </w:rPr>
            </w:pPr>
            <w:r>
              <w:rPr>
                <w:rFonts w:ascii="Times New Roman"/>
                <w:sz w:val="21"/>
                <w:szCs w:val="21"/>
              </w:rPr>
              <w:t>108</w:t>
            </w:r>
          </w:p>
        </w:tc>
        <w:tc>
          <w:tcPr>
            <w:tcW w:w="240" w:type="pct"/>
            <w:vAlign w:val="center"/>
          </w:tcPr>
          <w:p w14:paraId="6DC63FE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E0CA34E">
            <w:pPr>
              <w:autoSpaceDE w:val="0"/>
              <w:autoSpaceDN w:val="0"/>
              <w:adjustRightInd w:val="0"/>
              <w:snapToGrid w:val="0"/>
              <w:jc w:val="center"/>
              <w:rPr>
                <w:rFonts w:ascii="Times New Roman"/>
                <w:sz w:val="21"/>
                <w:szCs w:val="21"/>
              </w:rPr>
            </w:pPr>
            <w:r>
              <w:rPr>
                <w:rFonts w:ascii="Times New Roman"/>
                <w:sz w:val="21"/>
                <w:szCs w:val="21"/>
              </w:rPr>
              <w:t>38.52</w:t>
            </w:r>
          </w:p>
        </w:tc>
        <w:tc>
          <w:tcPr>
            <w:tcW w:w="358" w:type="pct"/>
            <w:vAlign w:val="center"/>
          </w:tcPr>
          <w:p w14:paraId="5892B659">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758A707D">
            <w:pPr>
              <w:autoSpaceDE w:val="0"/>
              <w:autoSpaceDN w:val="0"/>
              <w:adjustRightInd w:val="0"/>
              <w:snapToGrid w:val="0"/>
              <w:jc w:val="center"/>
              <w:rPr>
                <w:rFonts w:ascii="Times New Roman"/>
                <w:sz w:val="21"/>
                <w:szCs w:val="21"/>
              </w:rPr>
            </w:pPr>
          </w:p>
        </w:tc>
        <w:tc>
          <w:tcPr>
            <w:tcW w:w="551" w:type="pct"/>
            <w:vAlign w:val="center"/>
          </w:tcPr>
          <w:p w14:paraId="658E96C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51EF47">
            <w:pPr>
              <w:autoSpaceDE w:val="0"/>
              <w:autoSpaceDN w:val="0"/>
              <w:adjustRightInd w:val="0"/>
              <w:snapToGrid w:val="0"/>
              <w:jc w:val="center"/>
              <w:rPr>
                <w:rFonts w:ascii="Times New Roman"/>
                <w:sz w:val="21"/>
                <w:szCs w:val="21"/>
              </w:rPr>
            </w:pPr>
          </w:p>
        </w:tc>
        <w:tc>
          <w:tcPr>
            <w:tcW w:w="287" w:type="pct"/>
            <w:vMerge w:val="continue"/>
            <w:vAlign w:val="center"/>
          </w:tcPr>
          <w:p w14:paraId="6FCB3F54">
            <w:pPr>
              <w:autoSpaceDE w:val="0"/>
              <w:autoSpaceDN w:val="0"/>
              <w:adjustRightInd w:val="0"/>
              <w:snapToGrid w:val="0"/>
              <w:jc w:val="center"/>
              <w:rPr>
                <w:rFonts w:ascii="Times New Roman"/>
                <w:sz w:val="21"/>
                <w:szCs w:val="21"/>
              </w:rPr>
            </w:pPr>
          </w:p>
        </w:tc>
        <w:tc>
          <w:tcPr>
            <w:tcW w:w="434" w:type="pct"/>
            <w:vMerge w:val="continue"/>
            <w:vAlign w:val="center"/>
          </w:tcPr>
          <w:p w14:paraId="649D2214">
            <w:pPr>
              <w:autoSpaceDE w:val="0"/>
              <w:autoSpaceDN w:val="0"/>
              <w:adjustRightInd w:val="0"/>
              <w:snapToGrid w:val="0"/>
              <w:jc w:val="center"/>
              <w:rPr>
                <w:rFonts w:ascii="Times New Roman"/>
                <w:sz w:val="21"/>
                <w:szCs w:val="21"/>
              </w:rPr>
            </w:pPr>
          </w:p>
        </w:tc>
      </w:tr>
      <w:tr w14:paraId="206F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D752BAB">
            <w:pPr>
              <w:autoSpaceDE w:val="0"/>
              <w:autoSpaceDN w:val="0"/>
              <w:adjustRightInd w:val="0"/>
              <w:snapToGrid w:val="0"/>
              <w:jc w:val="center"/>
              <w:rPr>
                <w:rFonts w:ascii="Times New Roman"/>
                <w:sz w:val="21"/>
                <w:szCs w:val="21"/>
              </w:rPr>
            </w:pPr>
          </w:p>
        </w:tc>
        <w:tc>
          <w:tcPr>
            <w:tcW w:w="697" w:type="pct"/>
            <w:vAlign w:val="center"/>
          </w:tcPr>
          <w:p w14:paraId="1903F90C">
            <w:pPr>
              <w:autoSpaceDE w:val="0"/>
              <w:autoSpaceDN w:val="0"/>
              <w:adjustRightInd w:val="0"/>
              <w:snapToGrid w:val="0"/>
              <w:jc w:val="center"/>
              <w:rPr>
                <w:rFonts w:ascii="Times New Roman"/>
                <w:sz w:val="21"/>
                <w:szCs w:val="21"/>
              </w:rPr>
            </w:pPr>
            <w:r>
              <w:rPr>
                <w:rFonts w:ascii="Times New Roman"/>
                <w:sz w:val="21"/>
                <w:szCs w:val="21"/>
              </w:rPr>
              <w:t>外侧自动焊机</w:t>
            </w:r>
          </w:p>
        </w:tc>
        <w:tc>
          <w:tcPr>
            <w:tcW w:w="346" w:type="pct"/>
            <w:vAlign w:val="center"/>
          </w:tcPr>
          <w:p w14:paraId="615FDD4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505F04D">
            <w:pPr>
              <w:autoSpaceDE w:val="0"/>
              <w:autoSpaceDN w:val="0"/>
              <w:adjustRightInd w:val="0"/>
              <w:snapToGrid w:val="0"/>
              <w:jc w:val="center"/>
              <w:rPr>
                <w:rFonts w:ascii="Times New Roman"/>
                <w:sz w:val="21"/>
                <w:szCs w:val="21"/>
              </w:rPr>
            </w:pPr>
          </w:p>
        </w:tc>
        <w:tc>
          <w:tcPr>
            <w:tcW w:w="208" w:type="pct"/>
            <w:vAlign w:val="center"/>
          </w:tcPr>
          <w:p w14:paraId="4B4D4B7D">
            <w:pPr>
              <w:autoSpaceDE w:val="0"/>
              <w:autoSpaceDN w:val="0"/>
              <w:adjustRightInd w:val="0"/>
              <w:snapToGrid w:val="0"/>
              <w:jc w:val="center"/>
              <w:rPr>
                <w:rFonts w:ascii="Times New Roman"/>
                <w:sz w:val="21"/>
                <w:szCs w:val="21"/>
              </w:rPr>
            </w:pPr>
            <w:r>
              <w:rPr>
                <w:rFonts w:ascii="Times New Roman"/>
                <w:sz w:val="21"/>
                <w:szCs w:val="21"/>
              </w:rPr>
              <w:t>245</w:t>
            </w:r>
          </w:p>
        </w:tc>
        <w:tc>
          <w:tcPr>
            <w:tcW w:w="201" w:type="pct"/>
            <w:vAlign w:val="center"/>
          </w:tcPr>
          <w:p w14:paraId="2B33C94B">
            <w:pPr>
              <w:autoSpaceDE w:val="0"/>
              <w:autoSpaceDN w:val="0"/>
              <w:adjustRightInd w:val="0"/>
              <w:snapToGrid w:val="0"/>
              <w:jc w:val="center"/>
              <w:rPr>
                <w:rFonts w:ascii="Times New Roman"/>
                <w:sz w:val="21"/>
                <w:szCs w:val="21"/>
              </w:rPr>
            </w:pPr>
            <w:r>
              <w:rPr>
                <w:rFonts w:ascii="Times New Roman"/>
                <w:sz w:val="21"/>
                <w:szCs w:val="21"/>
              </w:rPr>
              <w:t>108</w:t>
            </w:r>
          </w:p>
        </w:tc>
        <w:tc>
          <w:tcPr>
            <w:tcW w:w="240" w:type="pct"/>
            <w:vAlign w:val="center"/>
          </w:tcPr>
          <w:p w14:paraId="19A989B5">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E5B3B7E">
            <w:pPr>
              <w:autoSpaceDE w:val="0"/>
              <w:autoSpaceDN w:val="0"/>
              <w:adjustRightInd w:val="0"/>
              <w:snapToGrid w:val="0"/>
              <w:jc w:val="center"/>
              <w:rPr>
                <w:rFonts w:ascii="Times New Roman"/>
                <w:sz w:val="21"/>
                <w:szCs w:val="21"/>
              </w:rPr>
            </w:pPr>
            <w:r>
              <w:rPr>
                <w:rFonts w:ascii="Times New Roman"/>
                <w:sz w:val="21"/>
                <w:szCs w:val="21"/>
              </w:rPr>
              <w:t>43.52</w:t>
            </w:r>
          </w:p>
        </w:tc>
        <w:tc>
          <w:tcPr>
            <w:tcW w:w="358" w:type="pct"/>
            <w:vAlign w:val="center"/>
          </w:tcPr>
          <w:p w14:paraId="56226A3E">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1634EB15">
            <w:pPr>
              <w:autoSpaceDE w:val="0"/>
              <w:autoSpaceDN w:val="0"/>
              <w:adjustRightInd w:val="0"/>
              <w:snapToGrid w:val="0"/>
              <w:jc w:val="center"/>
              <w:rPr>
                <w:rFonts w:ascii="Times New Roman"/>
                <w:sz w:val="21"/>
                <w:szCs w:val="21"/>
              </w:rPr>
            </w:pPr>
          </w:p>
        </w:tc>
        <w:tc>
          <w:tcPr>
            <w:tcW w:w="551" w:type="pct"/>
            <w:vAlign w:val="center"/>
          </w:tcPr>
          <w:p w14:paraId="53731F1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C3BBC82">
            <w:pPr>
              <w:autoSpaceDE w:val="0"/>
              <w:autoSpaceDN w:val="0"/>
              <w:adjustRightInd w:val="0"/>
              <w:snapToGrid w:val="0"/>
              <w:jc w:val="center"/>
              <w:rPr>
                <w:rFonts w:ascii="Times New Roman"/>
                <w:sz w:val="21"/>
                <w:szCs w:val="21"/>
              </w:rPr>
            </w:pPr>
          </w:p>
        </w:tc>
        <w:tc>
          <w:tcPr>
            <w:tcW w:w="287" w:type="pct"/>
            <w:vMerge w:val="continue"/>
            <w:vAlign w:val="center"/>
          </w:tcPr>
          <w:p w14:paraId="3669AF46">
            <w:pPr>
              <w:autoSpaceDE w:val="0"/>
              <w:autoSpaceDN w:val="0"/>
              <w:adjustRightInd w:val="0"/>
              <w:snapToGrid w:val="0"/>
              <w:jc w:val="center"/>
              <w:rPr>
                <w:rFonts w:ascii="Times New Roman"/>
                <w:sz w:val="21"/>
                <w:szCs w:val="21"/>
              </w:rPr>
            </w:pPr>
          </w:p>
        </w:tc>
        <w:tc>
          <w:tcPr>
            <w:tcW w:w="434" w:type="pct"/>
            <w:vMerge w:val="continue"/>
            <w:vAlign w:val="center"/>
          </w:tcPr>
          <w:p w14:paraId="0EABC09C">
            <w:pPr>
              <w:autoSpaceDE w:val="0"/>
              <w:autoSpaceDN w:val="0"/>
              <w:adjustRightInd w:val="0"/>
              <w:snapToGrid w:val="0"/>
              <w:jc w:val="center"/>
              <w:rPr>
                <w:rFonts w:ascii="Times New Roman"/>
                <w:sz w:val="21"/>
                <w:szCs w:val="21"/>
              </w:rPr>
            </w:pPr>
          </w:p>
        </w:tc>
      </w:tr>
      <w:tr w14:paraId="0B4B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F3A5E1B">
            <w:pPr>
              <w:autoSpaceDE w:val="0"/>
              <w:autoSpaceDN w:val="0"/>
              <w:adjustRightInd w:val="0"/>
              <w:snapToGrid w:val="0"/>
              <w:jc w:val="center"/>
              <w:rPr>
                <w:rFonts w:ascii="Times New Roman"/>
                <w:sz w:val="21"/>
                <w:szCs w:val="21"/>
              </w:rPr>
            </w:pPr>
          </w:p>
        </w:tc>
        <w:tc>
          <w:tcPr>
            <w:tcW w:w="697" w:type="pct"/>
            <w:vAlign w:val="center"/>
          </w:tcPr>
          <w:p w14:paraId="767DF102">
            <w:pPr>
              <w:autoSpaceDE w:val="0"/>
              <w:autoSpaceDN w:val="0"/>
              <w:adjustRightInd w:val="0"/>
              <w:snapToGrid w:val="0"/>
              <w:jc w:val="center"/>
              <w:rPr>
                <w:rFonts w:ascii="Times New Roman"/>
                <w:sz w:val="21"/>
                <w:szCs w:val="21"/>
              </w:rPr>
            </w:pPr>
            <w:r>
              <w:rPr>
                <w:rFonts w:ascii="Times New Roman"/>
                <w:sz w:val="21"/>
                <w:szCs w:val="21"/>
              </w:rPr>
              <w:t>内外打磨设备</w:t>
            </w:r>
          </w:p>
        </w:tc>
        <w:tc>
          <w:tcPr>
            <w:tcW w:w="346" w:type="pct"/>
            <w:vAlign w:val="center"/>
          </w:tcPr>
          <w:p w14:paraId="6D5AEAF0">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F51BD03">
            <w:pPr>
              <w:autoSpaceDE w:val="0"/>
              <w:autoSpaceDN w:val="0"/>
              <w:adjustRightInd w:val="0"/>
              <w:snapToGrid w:val="0"/>
              <w:jc w:val="center"/>
              <w:rPr>
                <w:rFonts w:ascii="Times New Roman"/>
                <w:sz w:val="21"/>
                <w:szCs w:val="21"/>
              </w:rPr>
            </w:pPr>
          </w:p>
        </w:tc>
        <w:tc>
          <w:tcPr>
            <w:tcW w:w="208" w:type="pct"/>
            <w:vAlign w:val="center"/>
          </w:tcPr>
          <w:p w14:paraId="56E7A695">
            <w:pPr>
              <w:autoSpaceDE w:val="0"/>
              <w:autoSpaceDN w:val="0"/>
              <w:adjustRightInd w:val="0"/>
              <w:snapToGrid w:val="0"/>
              <w:jc w:val="center"/>
              <w:rPr>
                <w:rFonts w:ascii="Times New Roman"/>
                <w:sz w:val="21"/>
                <w:szCs w:val="21"/>
              </w:rPr>
            </w:pPr>
            <w:r>
              <w:rPr>
                <w:rFonts w:ascii="Times New Roman"/>
                <w:sz w:val="21"/>
                <w:szCs w:val="21"/>
              </w:rPr>
              <w:t>245</w:t>
            </w:r>
          </w:p>
        </w:tc>
        <w:tc>
          <w:tcPr>
            <w:tcW w:w="201" w:type="pct"/>
            <w:vAlign w:val="center"/>
          </w:tcPr>
          <w:p w14:paraId="73519A91">
            <w:pPr>
              <w:autoSpaceDE w:val="0"/>
              <w:autoSpaceDN w:val="0"/>
              <w:adjustRightInd w:val="0"/>
              <w:snapToGrid w:val="0"/>
              <w:jc w:val="center"/>
              <w:rPr>
                <w:rFonts w:ascii="Times New Roman"/>
                <w:sz w:val="21"/>
                <w:szCs w:val="21"/>
              </w:rPr>
            </w:pPr>
            <w:r>
              <w:rPr>
                <w:rFonts w:ascii="Times New Roman"/>
                <w:sz w:val="21"/>
                <w:szCs w:val="21"/>
              </w:rPr>
              <w:t>110</w:t>
            </w:r>
          </w:p>
        </w:tc>
        <w:tc>
          <w:tcPr>
            <w:tcW w:w="240" w:type="pct"/>
            <w:vAlign w:val="center"/>
          </w:tcPr>
          <w:p w14:paraId="4081AB0B">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7A0B5890">
            <w:pPr>
              <w:autoSpaceDE w:val="0"/>
              <w:autoSpaceDN w:val="0"/>
              <w:adjustRightInd w:val="0"/>
              <w:snapToGrid w:val="0"/>
              <w:jc w:val="center"/>
              <w:rPr>
                <w:rFonts w:ascii="Times New Roman"/>
                <w:sz w:val="21"/>
                <w:szCs w:val="21"/>
              </w:rPr>
            </w:pPr>
            <w:r>
              <w:rPr>
                <w:rFonts w:ascii="Times New Roman"/>
                <w:sz w:val="21"/>
                <w:szCs w:val="21"/>
              </w:rPr>
              <w:t>43.52</w:t>
            </w:r>
          </w:p>
        </w:tc>
        <w:tc>
          <w:tcPr>
            <w:tcW w:w="358" w:type="pct"/>
            <w:vAlign w:val="center"/>
          </w:tcPr>
          <w:p w14:paraId="270DF38A">
            <w:pPr>
              <w:autoSpaceDE w:val="0"/>
              <w:autoSpaceDN w:val="0"/>
              <w:adjustRightInd w:val="0"/>
              <w:snapToGrid w:val="0"/>
              <w:jc w:val="center"/>
              <w:rPr>
                <w:rFonts w:ascii="Times New Roman"/>
                <w:sz w:val="21"/>
                <w:szCs w:val="21"/>
              </w:rPr>
            </w:pPr>
            <w:r>
              <w:rPr>
                <w:rFonts w:ascii="Times New Roman"/>
                <w:sz w:val="21"/>
                <w:szCs w:val="21"/>
              </w:rPr>
              <w:t>47</w:t>
            </w:r>
          </w:p>
        </w:tc>
        <w:tc>
          <w:tcPr>
            <w:tcW w:w="316" w:type="pct"/>
            <w:vMerge w:val="continue"/>
            <w:vAlign w:val="center"/>
          </w:tcPr>
          <w:p w14:paraId="51D08C25">
            <w:pPr>
              <w:autoSpaceDE w:val="0"/>
              <w:autoSpaceDN w:val="0"/>
              <w:adjustRightInd w:val="0"/>
              <w:snapToGrid w:val="0"/>
              <w:jc w:val="center"/>
              <w:rPr>
                <w:rFonts w:ascii="Times New Roman"/>
                <w:sz w:val="21"/>
                <w:szCs w:val="21"/>
              </w:rPr>
            </w:pPr>
          </w:p>
        </w:tc>
        <w:tc>
          <w:tcPr>
            <w:tcW w:w="551" w:type="pct"/>
            <w:vAlign w:val="center"/>
          </w:tcPr>
          <w:p w14:paraId="02CF24E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34DBD51">
            <w:pPr>
              <w:autoSpaceDE w:val="0"/>
              <w:autoSpaceDN w:val="0"/>
              <w:adjustRightInd w:val="0"/>
              <w:snapToGrid w:val="0"/>
              <w:jc w:val="center"/>
              <w:rPr>
                <w:rFonts w:ascii="Times New Roman"/>
                <w:sz w:val="21"/>
                <w:szCs w:val="21"/>
              </w:rPr>
            </w:pPr>
          </w:p>
        </w:tc>
        <w:tc>
          <w:tcPr>
            <w:tcW w:w="287" w:type="pct"/>
            <w:vMerge w:val="continue"/>
            <w:vAlign w:val="center"/>
          </w:tcPr>
          <w:p w14:paraId="4DDEE96D">
            <w:pPr>
              <w:autoSpaceDE w:val="0"/>
              <w:autoSpaceDN w:val="0"/>
              <w:adjustRightInd w:val="0"/>
              <w:snapToGrid w:val="0"/>
              <w:jc w:val="center"/>
              <w:rPr>
                <w:rFonts w:ascii="Times New Roman"/>
                <w:sz w:val="21"/>
                <w:szCs w:val="21"/>
              </w:rPr>
            </w:pPr>
          </w:p>
        </w:tc>
        <w:tc>
          <w:tcPr>
            <w:tcW w:w="434" w:type="pct"/>
            <w:vMerge w:val="continue"/>
            <w:vAlign w:val="center"/>
          </w:tcPr>
          <w:p w14:paraId="01B0AA3F">
            <w:pPr>
              <w:autoSpaceDE w:val="0"/>
              <w:autoSpaceDN w:val="0"/>
              <w:adjustRightInd w:val="0"/>
              <w:snapToGrid w:val="0"/>
              <w:jc w:val="center"/>
              <w:rPr>
                <w:rFonts w:ascii="Times New Roman"/>
                <w:sz w:val="21"/>
                <w:szCs w:val="21"/>
              </w:rPr>
            </w:pPr>
          </w:p>
        </w:tc>
      </w:tr>
      <w:tr w14:paraId="709C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A87FFD8">
            <w:pPr>
              <w:autoSpaceDE w:val="0"/>
              <w:autoSpaceDN w:val="0"/>
              <w:adjustRightInd w:val="0"/>
              <w:snapToGrid w:val="0"/>
              <w:jc w:val="center"/>
              <w:rPr>
                <w:rFonts w:ascii="Times New Roman"/>
                <w:sz w:val="21"/>
                <w:szCs w:val="21"/>
              </w:rPr>
            </w:pPr>
          </w:p>
        </w:tc>
        <w:tc>
          <w:tcPr>
            <w:tcW w:w="697" w:type="pct"/>
            <w:vAlign w:val="center"/>
          </w:tcPr>
          <w:p w14:paraId="7283DE7E">
            <w:pPr>
              <w:autoSpaceDE w:val="0"/>
              <w:autoSpaceDN w:val="0"/>
              <w:adjustRightInd w:val="0"/>
              <w:snapToGrid w:val="0"/>
              <w:jc w:val="center"/>
              <w:rPr>
                <w:rFonts w:ascii="Times New Roman"/>
                <w:sz w:val="21"/>
                <w:szCs w:val="21"/>
              </w:rPr>
            </w:pPr>
            <w:r>
              <w:rPr>
                <w:rFonts w:ascii="Times New Roman"/>
                <w:sz w:val="21"/>
                <w:szCs w:val="21"/>
              </w:rPr>
              <w:t>数控立式车床</w:t>
            </w:r>
          </w:p>
        </w:tc>
        <w:tc>
          <w:tcPr>
            <w:tcW w:w="346" w:type="pct"/>
            <w:vAlign w:val="center"/>
          </w:tcPr>
          <w:p w14:paraId="136405A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3170939">
            <w:pPr>
              <w:autoSpaceDE w:val="0"/>
              <w:autoSpaceDN w:val="0"/>
              <w:adjustRightInd w:val="0"/>
              <w:snapToGrid w:val="0"/>
              <w:jc w:val="center"/>
              <w:rPr>
                <w:rFonts w:ascii="Times New Roman"/>
                <w:sz w:val="21"/>
                <w:szCs w:val="21"/>
              </w:rPr>
            </w:pPr>
          </w:p>
        </w:tc>
        <w:tc>
          <w:tcPr>
            <w:tcW w:w="208" w:type="pct"/>
            <w:vAlign w:val="center"/>
          </w:tcPr>
          <w:p w14:paraId="0202F08D">
            <w:pPr>
              <w:autoSpaceDE w:val="0"/>
              <w:autoSpaceDN w:val="0"/>
              <w:adjustRightInd w:val="0"/>
              <w:snapToGrid w:val="0"/>
              <w:jc w:val="center"/>
              <w:rPr>
                <w:rFonts w:ascii="Times New Roman"/>
                <w:sz w:val="21"/>
                <w:szCs w:val="21"/>
              </w:rPr>
            </w:pPr>
            <w:r>
              <w:rPr>
                <w:rFonts w:ascii="Times New Roman"/>
                <w:sz w:val="21"/>
                <w:szCs w:val="21"/>
              </w:rPr>
              <w:t>240</w:t>
            </w:r>
          </w:p>
        </w:tc>
        <w:tc>
          <w:tcPr>
            <w:tcW w:w="201" w:type="pct"/>
            <w:vAlign w:val="center"/>
          </w:tcPr>
          <w:p w14:paraId="798B7C21">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71C0DEBC">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7A710ED">
            <w:pPr>
              <w:autoSpaceDE w:val="0"/>
              <w:autoSpaceDN w:val="0"/>
              <w:adjustRightInd w:val="0"/>
              <w:snapToGrid w:val="0"/>
              <w:jc w:val="center"/>
              <w:rPr>
                <w:rFonts w:ascii="Times New Roman"/>
                <w:sz w:val="21"/>
                <w:szCs w:val="21"/>
              </w:rPr>
            </w:pPr>
            <w:r>
              <w:rPr>
                <w:rFonts w:ascii="Times New Roman"/>
                <w:sz w:val="21"/>
                <w:szCs w:val="21"/>
              </w:rPr>
              <w:t>38.52</w:t>
            </w:r>
          </w:p>
        </w:tc>
        <w:tc>
          <w:tcPr>
            <w:tcW w:w="358" w:type="pct"/>
            <w:vAlign w:val="center"/>
          </w:tcPr>
          <w:p w14:paraId="1DD192EF">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1EAE8B79">
            <w:pPr>
              <w:autoSpaceDE w:val="0"/>
              <w:autoSpaceDN w:val="0"/>
              <w:adjustRightInd w:val="0"/>
              <w:snapToGrid w:val="0"/>
              <w:jc w:val="center"/>
              <w:rPr>
                <w:rFonts w:ascii="Times New Roman"/>
                <w:sz w:val="21"/>
                <w:szCs w:val="21"/>
              </w:rPr>
            </w:pPr>
          </w:p>
        </w:tc>
        <w:tc>
          <w:tcPr>
            <w:tcW w:w="551" w:type="pct"/>
            <w:vAlign w:val="center"/>
          </w:tcPr>
          <w:p w14:paraId="7155D1E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FB7AB4B">
            <w:pPr>
              <w:autoSpaceDE w:val="0"/>
              <w:autoSpaceDN w:val="0"/>
              <w:adjustRightInd w:val="0"/>
              <w:snapToGrid w:val="0"/>
              <w:jc w:val="center"/>
              <w:rPr>
                <w:rFonts w:ascii="Times New Roman"/>
                <w:sz w:val="21"/>
                <w:szCs w:val="21"/>
              </w:rPr>
            </w:pPr>
          </w:p>
        </w:tc>
        <w:tc>
          <w:tcPr>
            <w:tcW w:w="287" w:type="pct"/>
            <w:vMerge w:val="continue"/>
            <w:vAlign w:val="center"/>
          </w:tcPr>
          <w:p w14:paraId="6BA3647D">
            <w:pPr>
              <w:autoSpaceDE w:val="0"/>
              <w:autoSpaceDN w:val="0"/>
              <w:adjustRightInd w:val="0"/>
              <w:snapToGrid w:val="0"/>
              <w:jc w:val="center"/>
              <w:rPr>
                <w:rFonts w:ascii="Times New Roman"/>
                <w:sz w:val="21"/>
                <w:szCs w:val="21"/>
              </w:rPr>
            </w:pPr>
          </w:p>
        </w:tc>
        <w:tc>
          <w:tcPr>
            <w:tcW w:w="434" w:type="pct"/>
            <w:vMerge w:val="continue"/>
            <w:vAlign w:val="center"/>
          </w:tcPr>
          <w:p w14:paraId="220DDA60">
            <w:pPr>
              <w:autoSpaceDE w:val="0"/>
              <w:autoSpaceDN w:val="0"/>
              <w:adjustRightInd w:val="0"/>
              <w:snapToGrid w:val="0"/>
              <w:jc w:val="center"/>
              <w:rPr>
                <w:rFonts w:ascii="Times New Roman"/>
                <w:sz w:val="21"/>
                <w:szCs w:val="21"/>
              </w:rPr>
            </w:pPr>
          </w:p>
        </w:tc>
      </w:tr>
      <w:tr w14:paraId="603D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DE06530">
            <w:pPr>
              <w:autoSpaceDE w:val="0"/>
              <w:autoSpaceDN w:val="0"/>
              <w:adjustRightInd w:val="0"/>
              <w:snapToGrid w:val="0"/>
              <w:jc w:val="center"/>
              <w:rPr>
                <w:rFonts w:ascii="Times New Roman"/>
                <w:sz w:val="21"/>
                <w:szCs w:val="21"/>
              </w:rPr>
            </w:pPr>
          </w:p>
        </w:tc>
        <w:tc>
          <w:tcPr>
            <w:tcW w:w="697" w:type="pct"/>
            <w:vAlign w:val="center"/>
          </w:tcPr>
          <w:p w14:paraId="3F73DDFD">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6DD38EF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13C66CA">
            <w:pPr>
              <w:autoSpaceDE w:val="0"/>
              <w:autoSpaceDN w:val="0"/>
              <w:adjustRightInd w:val="0"/>
              <w:snapToGrid w:val="0"/>
              <w:jc w:val="center"/>
              <w:rPr>
                <w:rFonts w:ascii="Times New Roman"/>
                <w:sz w:val="21"/>
                <w:szCs w:val="21"/>
              </w:rPr>
            </w:pPr>
          </w:p>
        </w:tc>
        <w:tc>
          <w:tcPr>
            <w:tcW w:w="208" w:type="pct"/>
            <w:vAlign w:val="center"/>
          </w:tcPr>
          <w:p w14:paraId="16D3EE86">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2D958B4E">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4C628DD8">
            <w:pPr>
              <w:autoSpaceDE w:val="0"/>
              <w:autoSpaceDN w:val="0"/>
              <w:adjustRightInd w:val="0"/>
              <w:snapToGrid w:val="0"/>
              <w:jc w:val="center"/>
              <w:rPr>
                <w:rFonts w:ascii="Times New Roman"/>
                <w:sz w:val="21"/>
                <w:szCs w:val="21"/>
              </w:rPr>
            </w:pPr>
            <w:r>
              <w:rPr>
                <w:rFonts w:ascii="Times New Roman"/>
                <w:sz w:val="21"/>
                <w:szCs w:val="21"/>
              </w:rPr>
              <w:t>1.0</w:t>
            </w:r>
          </w:p>
        </w:tc>
        <w:tc>
          <w:tcPr>
            <w:tcW w:w="346" w:type="pct"/>
            <w:vAlign w:val="center"/>
          </w:tcPr>
          <w:p w14:paraId="7D91C7F8">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549D07B8">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1E407C5A">
            <w:pPr>
              <w:autoSpaceDE w:val="0"/>
              <w:autoSpaceDN w:val="0"/>
              <w:adjustRightInd w:val="0"/>
              <w:snapToGrid w:val="0"/>
              <w:jc w:val="center"/>
              <w:rPr>
                <w:rFonts w:ascii="Times New Roman"/>
                <w:sz w:val="21"/>
                <w:szCs w:val="21"/>
              </w:rPr>
            </w:pPr>
          </w:p>
        </w:tc>
        <w:tc>
          <w:tcPr>
            <w:tcW w:w="551" w:type="pct"/>
            <w:vAlign w:val="center"/>
          </w:tcPr>
          <w:p w14:paraId="7EAE3B3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67A5464">
            <w:pPr>
              <w:autoSpaceDE w:val="0"/>
              <w:autoSpaceDN w:val="0"/>
              <w:adjustRightInd w:val="0"/>
              <w:snapToGrid w:val="0"/>
              <w:jc w:val="center"/>
              <w:rPr>
                <w:rFonts w:ascii="Times New Roman"/>
                <w:sz w:val="21"/>
                <w:szCs w:val="21"/>
              </w:rPr>
            </w:pPr>
          </w:p>
        </w:tc>
        <w:tc>
          <w:tcPr>
            <w:tcW w:w="287" w:type="pct"/>
            <w:vMerge w:val="continue"/>
            <w:vAlign w:val="center"/>
          </w:tcPr>
          <w:p w14:paraId="04D03594">
            <w:pPr>
              <w:autoSpaceDE w:val="0"/>
              <w:autoSpaceDN w:val="0"/>
              <w:adjustRightInd w:val="0"/>
              <w:snapToGrid w:val="0"/>
              <w:jc w:val="center"/>
              <w:rPr>
                <w:rFonts w:ascii="Times New Roman"/>
                <w:sz w:val="21"/>
                <w:szCs w:val="21"/>
              </w:rPr>
            </w:pPr>
          </w:p>
        </w:tc>
        <w:tc>
          <w:tcPr>
            <w:tcW w:w="434" w:type="pct"/>
            <w:vMerge w:val="continue"/>
            <w:vAlign w:val="center"/>
          </w:tcPr>
          <w:p w14:paraId="05E9DE18">
            <w:pPr>
              <w:autoSpaceDE w:val="0"/>
              <w:autoSpaceDN w:val="0"/>
              <w:adjustRightInd w:val="0"/>
              <w:snapToGrid w:val="0"/>
              <w:jc w:val="center"/>
              <w:rPr>
                <w:rFonts w:ascii="Times New Roman"/>
                <w:sz w:val="21"/>
                <w:szCs w:val="21"/>
              </w:rPr>
            </w:pPr>
          </w:p>
        </w:tc>
      </w:tr>
      <w:tr w14:paraId="1583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7B2F9A">
            <w:pPr>
              <w:autoSpaceDE w:val="0"/>
              <w:autoSpaceDN w:val="0"/>
              <w:adjustRightInd w:val="0"/>
              <w:snapToGrid w:val="0"/>
              <w:jc w:val="center"/>
              <w:rPr>
                <w:rFonts w:ascii="Times New Roman"/>
                <w:sz w:val="21"/>
                <w:szCs w:val="21"/>
              </w:rPr>
            </w:pPr>
          </w:p>
        </w:tc>
        <w:tc>
          <w:tcPr>
            <w:tcW w:w="697" w:type="pct"/>
            <w:vAlign w:val="center"/>
          </w:tcPr>
          <w:p w14:paraId="4EED3746">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0107A47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8724097">
            <w:pPr>
              <w:autoSpaceDE w:val="0"/>
              <w:autoSpaceDN w:val="0"/>
              <w:adjustRightInd w:val="0"/>
              <w:snapToGrid w:val="0"/>
              <w:jc w:val="center"/>
              <w:rPr>
                <w:rFonts w:ascii="Times New Roman"/>
                <w:sz w:val="21"/>
                <w:szCs w:val="21"/>
              </w:rPr>
            </w:pPr>
          </w:p>
        </w:tc>
        <w:tc>
          <w:tcPr>
            <w:tcW w:w="208" w:type="pct"/>
            <w:vAlign w:val="center"/>
          </w:tcPr>
          <w:p w14:paraId="10D4CC05">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37B59D59">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07AA719D">
            <w:pPr>
              <w:autoSpaceDE w:val="0"/>
              <w:autoSpaceDN w:val="0"/>
              <w:adjustRightInd w:val="0"/>
              <w:snapToGrid w:val="0"/>
              <w:jc w:val="center"/>
              <w:rPr>
                <w:rFonts w:ascii="Times New Roman"/>
                <w:sz w:val="21"/>
                <w:szCs w:val="21"/>
              </w:rPr>
            </w:pPr>
            <w:r>
              <w:rPr>
                <w:rFonts w:ascii="Times New Roman"/>
                <w:sz w:val="21"/>
                <w:szCs w:val="21"/>
              </w:rPr>
              <w:t>1.0</w:t>
            </w:r>
          </w:p>
        </w:tc>
        <w:tc>
          <w:tcPr>
            <w:tcW w:w="346" w:type="pct"/>
            <w:vAlign w:val="center"/>
          </w:tcPr>
          <w:p w14:paraId="3C03E6CD">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3E40FCC8">
            <w:pPr>
              <w:autoSpaceDE w:val="0"/>
              <w:autoSpaceDN w:val="0"/>
              <w:adjustRightInd w:val="0"/>
              <w:snapToGrid w:val="0"/>
              <w:jc w:val="center"/>
              <w:rPr>
                <w:rFonts w:ascii="Times New Roman"/>
                <w:sz w:val="21"/>
                <w:szCs w:val="21"/>
              </w:rPr>
            </w:pPr>
            <w:r>
              <w:rPr>
                <w:rFonts w:ascii="Times New Roman"/>
                <w:sz w:val="21"/>
                <w:szCs w:val="21"/>
              </w:rPr>
              <w:t>44</w:t>
            </w:r>
          </w:p>
        </w:tc>
        <w:tc>
          <w:tcPr>
            <w:tcW w:w="316" w:type="pct"/>
            <w:vMerge w:val="continue"/>
            <w:vAlign w:val="center"/>
          </w:tcPr>
          <w:p w14:paraId="12E4C4A9">
            <w:pPr>
              <w:autoSpaceDE w:val="0"/>
              <w:autoSpaceDN w:val="0"/>
              <w:adjustRightInd w:val="0"/>
              <w:snapToGrid w:val="0"/>
              <w:jc w:val="center"/>
              <w:rPr>
                <w:rFonts w:ascii="Times New Roman"/>
                <w:sz w:val="21"/>
                <w:szCs w:val="21"/>
              </w:rPr>
            </w:pPr>
          </w:p>
        </w:tc>
        <w:tc>
          <w:tcPr>
            <w:tcW w:w="551" w:type="pct"/>
            <w:vAlign w:val="center"/>
          </w:tcPr>
          <w:p w14:paraId="51C5B26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72F51DF">
            <w:pPr>
              <w:autoSpaceDE w:val="0"/>
              <w:autoSpaceDN w:val="0"/>
              <w:adjustRightInd w:val="0"/>
              <w:snapToGrid w:val="0"/>
              <w:jc w:val="center"/>
              <w:rPr>
                <w:rFonts w:ascii="Times New Roman"/>
                <w:sz w:val="21"/>
                <w:szCs w:val="21"/>
              </w:rPr>
            </w:pPr>
          </w:p>
        </w:tc>
        <w:tc>
          <w:tcPr>
            <w:tcW w:w="287" w:type="pct"/>
            <w:vMerge w:val="continue"/>
            <w:vAlign w:val="center"/>
          </w:tcPr>
          <w:p w14:paraId="1FFE2219">
            <w:pPr>
              <w:autoSpaceDE w:val="0"/>
              <w:autoSpaceDN w:val="0"/>
              <w:adjustRightInd w:val="0"/>
              <w:snapToGrid w:val="0"/>
              <w:jc w:val="center"/>
              <w:rPr>
                <w:rFonts w:ascii="Times New Roman"/>
                <w:sz w:val="21"/>
                <w:szCs w:val="21"/>
              </w:rPr>
            </w:pPr>
          </w:p>
        </w:tc>
        <w:tc>
          <w:tcPr>
            <w:tcW w:w="434" w:type="pct"/>
            <w:vMerge w:val="continue"/>
            <w:vAlign w:val="center"/>
          </w:tcPr>
          <w:p w14:paraId="4B19DD97">
            <w:pPr>
              <w:autoSpaceDE w:val="0"/>
              <w:autoSpaceDN w:val="0"/>
              <w:adjustRightInd w:val="0"/>
              <w:snapToGrid w:val="0"/>
              <w:jc w:val="center"/>
              <w:rPr>
                <w:rFonts w:ascii="Times New Roman"/>
                <w:sz w:val="21"/>
                <w:szCs w:val="21"/>
              </w:rPr>
            </w:pPr>
          </w:p>
        </w:tc>
      </w:tr>
      <w:tr w14:paraId="59DA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59C6E1">
            <w:pPr>
              <w:autoSpaceDE w:val="0"/>
              <w:autoSpaceDN w:val="0"/>
              <w:adjustRightInd w:val="0"/>
              <w:snapToGrid w:val="0"/>
              <w:jc w:val="center"/>
              <w:rPr>
                <w:rFonts w:ascii="Times New Roman"/>
                <w:sz w:val="21"/>
                <w:szCs w:val="21"/>
              </w:rPr>
            </w:pPr>
          </w:p>
        </w:tc>
        <w:tc>
          <w:tcPr>
            <w:tcW w:w="697" w:type="pct"/>
            <w:vAlign w:val="center"/>
          </w:tcPr>
          <w:p w14:paraId="087924A8">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5EF8FD4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B527BC5">
            <w:pPr>
              <w:autoSpaceDE w:val="0"/>
              <w:autoSpaceDN w:val="0"/>
              <w:adjustRightInd w:val="0"/>
              <w:snapToGrid w:val="0"/>
              <w:jc w:val="center"/>
              <w:rPr>
                <w:rFonts w:ascii="Times New Roman"/>
                <w:sz w:val="21"/>
                <w:szCs w:val="21"/>
              </w:rPr>
            </w:pPr>
          </w:p>
        </w:tc>
        <w:tc>
          <w:tcPr>
            <w:tcW w:w="208" w:type="pct"/>
            <w:vAlign w:val="center"/>
          </w:tcPr>
          <w:p w14:paraId="7CCF7C45">
            <w:pPr>
              <w:autoSpaceDE w:val="0"/>
              <w:autoSpaceDN w:val="0"/>
              <w:adjustRightInd w:val="0"/>
              <w:snapToGrid w:val="0"/>
              <w:jc w:val="center"/>
              <w:rPr>
                <w:rFonts w:ascii="Times New Roman"/>
                <w:sz w:val="21"/>
                <w:szCs w:val="21"/>
              </w:rPr>
            </w:pPr>
            <w:r>
              <w:rPr>
                <w:rFonts w:ascii="Times New Roman"/>
                <w:sz w:val="21"/>
                <w:szCs w:val="21"/>
              </w:rPr>
              <w:t>275</w:t>
            </w:r>
          </w:p>
        </w:tc>
        <w:tc>
          <w:tcPr>
            <w:tcW w:w="201" w:type="pct"/>
            <w:vAlign w:val="center"/>
          </w:tcPr>
          <w:p w14:paraId="37CBE160">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68A995C7">
            <w:pPr>
              <w:autoSpaceDE w:val="0"/>
              <w:autoSpaceDN w:val="0"/>
              <w:adjustRightInd w:val="0"/>
              <w:snapToGrid w:val="0"/>
              <w:jc w:val="center"/>
              <w:rPr>
                <w:rFonts w:ascii="Times New Roman"/>
                <w:sz w:val="21"/>
                <w:szCs w:val="21"/>
              </w:rPr>
            </w:pPr>
            <w:r>
              <w:rPr>
                <w:rFonts w:ascii="Times New Roman"/>
                <w:sz w:val="21"/>
                <w:szCs w:val="21"/>
              </w:rPr>
              <w:t>1.0</w:t>
            </w:r>
          </w:p>
        </w:tc>
        <w:tc>
          <w:tcPr>
            <w:tcW w:w="346" w:type="pct"/>
            <w:vAlign w:val="center"/>
          </w:tcPr>
          <w:p w14:paraId="5851A93C">
            <w:pPr>
              <w:autoSpaceDE w:val="0"/>
              <w:autoSpaceDN w:val="0"/>
              <w:adjustRightInd w:val="0"/>
              <w:snapToGrid w:val="0"/>
              <w:jc w:val="center"/>
              <w:rPr>
                <w:rFonts w:ascii="Times New Roman"/>
                <w:sz w:val="21"/>
                <w:szCs w:val="21"/>
              </w:rPr>
            </w:pPr>
            <w:r>
              <w:rPr>
                <w:rFonts w:ascii="Times New Roman"/>
                <w:sz w:val="21"/>
                <w:szCs w:val="21"/>
              </w:rPr>
              <w:t>73.52</w:t>
            </w:r>
          </w:p>
        </w:tc>
        <w:tc>
          <w:tcPr>
            <w:tcW w:w="358" w:type="pct"/>
            <w:vAlign w:val="center"/>
          </w:tcPr>
          <w:p w14:paraId="002A349D">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0E67813E">
            <w:pPr>
              <w:autoSpaceDE w:val="0"/>
              <w:autoSpaceDN w:val="0"/>
              <w:adjustRightInd w:val="0"/>
              <w:snapToGrid w:val="0"/>
              <w:jc w:val="center"/>
              <w:rPr>
                <w:rFonts w:ascii="Times New Roman"/>
                <w:sz w:val="21"/>
                <w:szCs w:val="21"/>
              </w:rPr>
            </w:pPr>
          </w:p>
        </w:tc>
        <w:tc>
          <w:tcPr>
            <w:tcW w:w="551" w:type="pct"/>
            <w:vAlign w:val="center"/>
          </w:tcPr>
          <w:p w14:paraId="2B83E4D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954DD04">
            <w:pPr>
              <w:autoSpaceDE w:val="0"/>
              <w:autoSpaceDN w:val="0"/>
              <w:adjustRightInd w:val="0"/>
              <w:snapToGrid w:val="0"/>
              <w:jc w:val="center"/>
              <w:rPr>
                <w:rFonts w:ascii="Times New Roman"/>
                <w:sz w:val="21"/>
                <w:szCs w:val="21"/>
              </w:rPr>
            </w:pPr>
          </w:p>
        </w:tc>
        <w:tc>
          <w:tcPr>
            <w:tcW w:w="287" w:type="pct"/>
            <w:vMerge w:val="continue"/>
            <w:vAlign w:val="center"/>
          </w:tcPr>
          <w:p w14:paraId="39551D4A">
            <w:pPr>
              <w:autoSpaceDE w:val="0"/>
              <w:autoSpaceDN w:val="0"/>
              <w:adjustRightInd w:val="0"/>
              <w:snapToGrid w:val="0"/>
              <w:jc w:val="center"/>
              <w:rPr>
                <w:rFonts w:ascii="Times New Roman"/>
                <w:sz w:val="21"/>
                <w:szCs w:val="21"/>
              </w:rPr>
            </w:pPr>
          </w:p>
        </w:tc>
        <w:tc>
          <w:tcPr>
            <w:tcW w:w="434" w:type="pct"/>
            <w:vMerge w:val="continue"/>
            <w:vAlign w:val="center"/>
          </w:tcPr>
          <w:p w14:paraId="1C1DE455">
            <w:pPr>
              <w:autoSpaceDE w:val="0"/>
              <w:autoSpaceDN w:val="0"/>
              <w:adjustRightInd w:val="0"/>
              <w:snapToGrid w:val="0"/>
              <w:jc w:val="center"/>
              <w:rPr>
                <w:rFonts w:ascii="Times New Roman"/>
                <w:sz w:val="21"/>
                <w:szCs w:val="21"/>
              </w:rPr>
            </w:pPr>
          </w:p>
        </w:tc>
      </w:tr>
      <w:tr w14:paraId="4832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4137CB7">
            <w:pPr>
              <w:autoSpaceDE w:val="0"/>
              <w:autoSpaceDN w:val="0"/>
              <w:adjustRightInd w:val="0"/>
              <w:snapToGrid w:val="0"/>
              <w:jc w:val="center"/>
              <w:rPr>
                <w:rFonts w:ascii="Times New Roman"/>
                <w:sz w:val="21"/>
                <w:szCs w:val="21"/>
              </w:rPr>
            </w:pPr>
          </w:p>
        </w:tc>
        <w:tc>
          <w:tcPr>
            <w:tcW w:w="697" w:type="pct"/>
            <w:vAlign w:val="center"/>
          </w:tcPr>
          <w:p w14:paraId="24A64C55">
            <w:pPr>
              <w:autoSpaceDE w:val="0"/>
              <w:autoSpaceDN w:val="0"/>
              <w:adjustRightInd w:val="0"/>
              <w:snapToGrid w:val="0"/>
              <w:jc w:val="center"/>
              <w:rPr>
                <w:rFonts w:ascii="Times New Roman"/>
                <w:sz w:val="21"/>
                <w:szCs w:val="21"/>
              </w:rPr>
            </w:pPr>
            <w:r>
              <w:rPr>
                <w:rFonts w:ascii="Times New Roman"/>
                <w:sz w:val="21"/>
                <w:szCs w:val="21"/>
              </w:rPr>
              <w:t>自动焊机</w:t>
            </w:r>
          </w:p>
        </w:tc>
        <w:tc>
          <w:tcPr>
            <w:tcW w:w="346" w:type="pct"/>
            <w:vAlign w:val="center"/>
          </w:tcPr>
          <w:p w14:paraId="08A7876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2A1EB2E">
            <w:pPr>
              <w:autoSpaceDE w:val="0"/>
              <w:autoSpaceDN w:val="0"/>
              <w:adjustRightInd w:val="0"/>
              <w:snapToGrid w:val="0"/>
              <w:jc w:val="center"/>
              <w:rPr>
                <w:rFonts w:ascii="Times New Roman"/>
                <w:sz w:val="21"/>
                <w:szCs w:val="21"/>
              </w:rPr>
            </w:pPr>
          </w:p>
        </w:tc>
        <w:tc>
          <w:tcPr>
            <w:tcW w:w="208" w:type="pct"/>
            <w:vAlign w:val="center"/>
          </w:tcPr>
          <w:p w14:paraId="6CFD0172">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478A3E0A">
            <w:pPr>
              <w:autoSpaceDE w:val="0"/>
              <w:autoSpaceDN w:val="0"/>
              <w:adjustRightInd w:val="0"/>
              <w:snapToGrid w:val="0"/>
              <w:jc w:val="center"/>
              <w:rPr>
                <w:rFonts w:ascii="Times New Roman"/>
                <w:sz w:val="21"/>
                <w:szCs w:val="21"/>
              </w:rPr>
            </w:pPr>
            <w:r>
              <w:rPr>
                <w:rFonts w:ascii="Times New Roman"/>
                <w:sz w:val="21"/>
                <w:szCs w:val="21"/>
              </w:rPr>
              <w:t>110</w:t>
            </w:r>
          </w:p>
        </w:tc>
        <w:tc>
          <w:tcPr>
            <w:tcW w:w="240" w:type="pct"/>
            <w:vAlign w:val="center"/>
          </w:tcPr>
          <w:p w14:paraId="5DC64920">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E853795">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1034FAB1">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1DED3EE0">
            <w:pPr>
              <w:autoSpaceDE w:val="0"/>
              <w:autoSpaceDN w:val="0"/>
              <w:adjustRightInd w:val="0"/>
              <w:snapToGrid w:val="0"/>
              <w:jc w:val="center"/>
              <w:rPr>
                <w:rFonts w:ascii="Times New Roman"/>
                <w:sz w:val="21"/>
                <w:szCs w:val="21"/>
              </w:rPr>
            </w:pPr>
          </w:p>
        </w:tc>
        <w:tc>
          <w:tcPr>
            <w:tcW w:w="551" w:type="pct"/>
            <w:vAlign w:val="center"/>
          </w:tcPr>
          <w:p w14:paraId="0672509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848791C">
            <w:pPr>
              <w:autoSpaceDE w:val="0"/>
              <w:autoSpaceDN w:val="0"/>
              <w:adjustRightInd w:val="0"/>
              <w:snapToGrid w:val="0"/>
              <w:jc w:val="center"/>
              <w:rPr>
                <w:rFonts w:ascii="Times New Roman"/>
                <w:sz w:val="21"/>
                <w:szCs w:val="21"/>
              </w:rPr>
            </w:pPr>
          </w:p>
        </w:tc>
        <w:tc>
          <w:tcPr>
            <w:tcW w:w="287" w:type="pct"/>
            <w:vMerge w:val="continue"/>
            <w:vAlign w:val="center"/>
          </w:tcPr>
          <w:p w14:paraId="4BB4D6CB">
            <w:pPr>
              <w:autoSpaceDE w:val="0"/>
              <w:autoSpaceDN w:val="0"/>
              <w:adjustRightInd w:val="0"/>
              <w:snapToGrid w:val="0"/>
              <w:jc w:val="center"/>
              <w:rPr>
                <w:rFonts w:ascii="Times New Roman"/>
                <w:sz w:val="21"/>
                <w:szCs w:val="21"/>
              </w:rPr>
            </w:pPr>
          </w:p>
        </w:tc>
        <w:tc>
          <w:tcPr>
            <w:tcW w:w="434" w:type="pct"/>
            <w:vMerge w:val="continue"/>
            <w:vAlign w:val="center"/>
          </w:tcPr>
          <w:p w14:paraId="39F2C8FA">
            <w:pPr>
              <w:autoSpaceDE w:val="0"/>
              <w:autoSpaceDN w:val="0"/>
              <w:adjustRightInd w:val="0"/>
              <w:snapToGrid w:val="0"/>
              <w:jc w:val="center"/>
              <w:rPr>
                <w:rFonts w:ascii="Times New Roman"/>
                <w:sz w:val="21"/>
                <w:szCs w:val="21"/>
              </w:rPr>
            </w:pPr>
          </w:p>
        </w:tc>
      </w:tr>
      <w:tr w14:paraId="2B52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FB68813">
            <w:pPr>
              <w:autoSpaceDE w:val="0"/>
              <w:autoSpaceDN w:val="0"/>
              <w:adjustRightInd w:val="0"/>
              <w:snapToGrid w:val="0"/>
              <w:jc w:val="center"/>
              <w:rPr>
                <w:rFonts w:ascii="Times New Roman"/>
                <w:sz w:val="21"/>
                <w:szCs w:val="21"/>
              </w:rPr>
            </w:pPr>
          </w:p>
        </w:tc>
        <w:tc>
          <w:tcPr>
            <w:tcW w:w="697" w:type="pct"/>
            <w:vAlign w:val="center"/>
          </w:tcPr>
          <w:p w14:paraId="622970E6">
            <w:pPr>
              <w:autoSpaceDE w:val="0"/>
              <w:autoSpaceDN w:val="0"/>
              <w:adjustRightInd w:val="0"/>
              <w:snapToGrid w:val="0"/>
              <w:jc w:val="center"/>
              <w:rPr>
                <w:rFonts w:ascii="Times New Roman"/>
                <w:sz w:val="21"/>
                <w:szCs w:val="21"/>
              </w:rPr>
            </w:pPr>
            <w:r>
              <w:rPr>
                <w:rFonts w:ascii="Times New Roman"/>
                <w:sz w:val="21"/>
                <w:szCs w:val="21"/>
              </w:rPr>
              <w:t>自动焊机</w:t>
            </w:r>
          </w:p>
        </w:tc>
        <w:tc>
          <w:tcPr>
            <w:tcW w:w="346" w:type="pct"/>
            <w:vAlign w:val="center"/>
          </w:tcPr>
          <w:p w14:paraId="37C5000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488F594">
            <w:pPr>
              <w:autoSpaceDE w:val="0"/>
              <w:autoSpaceDN w:val="0"/>
              <w:adjustRightInd w:val="0"/>
              <w:snapToGrid w:val="0"/>
              <w:jc w:val="center"/>
              <w:rPr>
                <w:rFonts w:ascii="Times New Roman"/>
                <w:sz w:val="21"/>
                <w:szCs w:val="21"/>
              </w:rPr>
            </w:pPr>
          </w:p>
        </w:tc>
        <w:tc>
          <w:tcPr>
            <w:tcW w:w="208" w:type="pct"/>
            <w:vAlign w:val="center"/>
          </w:tcPr>
          <w:p w14:paraId="0D88C992">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4A6A071B">
            <w:pPr>
              <w:autoSpaceDE w:val="0"/>
              <w:autoSpaceDN w:val="0"/>
              <w:adjustRightInd w:val="0"/>
              <w:snapToGrid w:val="0"/>
              <w:jc w:val="center"/>
              <w:rPr>
                <w:rFonts w:ascii="Times New Roman"/>
                <w:sz w:val="21"/>
                <w:szCs w:val="21"/>
              </w:rPr>
            </w:pPr>
            <w:r>
              <w:rPr>
                <w:rFonts w:ascii="Times New Roman"/>
                <w:sz w:val="21"/>
                <w:szCs w:val="21"/>
              </w:rPr>
              <w:t>110</w:t>
            </w:r>
          </w:p>
        </w:tc>
        <w:tc>
          <w:tcPr>
            <w:tcW w:w="240" w:type="pct"/>
            <w:vAlign w:val="center"/>
          </w:tcPr>
          <w:p w14:paraId="14AE12A7">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4927C9D">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26976992">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6078BA31">
            <w:pPr>
              <w:autoSpaceDE w:val="0"/>
              <w:autoSpaceDN w:val="0"/>
              <w:adjustRightInd w:val="0"/>
              <w:snapToGrid w:val="0"/>
              <w:jc w:val="center"/>
              <w:rPr>
                <w:rFonts w:ascii="Times New Roman"/>
                <w:sz w:val="21"/>
                <w:szCs w:val="21"/>
              </w:rPr>
            </w:pPr>
          </w:p>
        </w:tc>
        <w:tc>
          <w:tcPr>
            <w:tcW w:w="551" w:type="pct"/>
            <w:vAlign w:val="center"/>
          </w:tcPr>
          <w:p w14:paraId="6FFD5E0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38B7F34">
            <w:pPr>
              <w:autoSpaceDE w:val="0"/>
              <w:autoSpaceDN w:val="0"/>
              <w:adjustRightInd w:val="0"/>
              <w:snapToGrid w:val="0"/>
              <w:jc w:val="center"/>
              <w:rPr>
                <w:rFonts w:ascii="Times New Roman"/>
                <w:sz w:val="21"/>
                <w:szCs w:val="21"/>
              </w:rPr>
            </w:pPr>
          </w:p>
        </w:tc>
        <w:tc>
          <w:tcPr>
            <w:tcW w:w="287" w:type="pct"/>
            <w:vMerge w:val="continue"/>
            <w:vAlign w:val="center"/>
          </w:tcPr>
          <w:p w14:paraId="05930FF1">
            <w:pPr>
              <w:autoSpaceDE w:val="0"/>
              <w:autoSpaceDN w:val="0"/>
              <w:adjustRightInd w:val="0"/>
              <w:snapToGrid w:val="0"/>
              <w:jc w:val="center"/>
              <w:rPr>
                <w:rFonts w:ascii="Times New Roman"/>
                <w:sz w:val="21"/>
                <w:szCs w:val="21"/>
              </w:rPr>
            </w:pPr>
          </w:p>
        </w:tc>
        <w:tc>
          <w:tcPr>
            <w:tcW w:w="434" w:type="pct"/>
            <w:vMerge w:val="continue"/>
            <w:vAlign w:val="center"/>
          </w:tcPr>
          <w:p w14:paraId="737C7541">
            <w:pPr>
              <w:autoSpaceDE w:val="0"/>
              <w:autoSpaceDN w:val="0"/>
              <w:adjustRightInd w:val="0"/>
              <w:snapToGrid w:val="0"/>
              <w:jc w:val="center"/>
              <w:rPr>
                <w:rFonts w:ascii="Times New Roman"/>
                <w:sz w:val="21"/>
                <w:szCs w:val="21"/>
              </w:rPr>
            </w:pPr>
          </w:p>
        </w:tc>
      </w:tr>
      <w:tr w14:paraId="6C66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E48F027">
            <w:pPr>
              <w:autoSpaceDE w:val="0"/>
              <w:autoSpaceDN w:val="0"/>
              <w:adjustRightInd w:val="0"/>
              <w:snapToGrid w:val="0"/>
              <w:jc w:val="center"/>
              <w:rPr>
                <w:rFonts w:ascii="Times New Roman"/>
                <w:sz w:val="21"/>
                <w:szCs w:val="21"/>
              </w:rPr>
            </w:pPr>
          </w:p>
        </w:tc>
        <w:tc>
          <w:tcPr>
            <w:tcW w:w="697" w:type="pct"/>
            <w:vAlign w:val="center"/>
          </w:tcPr>
          <w:p w14:paraId="10E68B86">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2F96D800">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DF00766">
            <w:pPr>
              <w:autoSpaceDE w:val="0"/>
              <w:autoSpaceDN w:val="0"/>
              <w:adjustRightInd w:val="0"/>
              <w:snapToGrid w:val="0"/>
              <w:jc w:val="center"/>
              <w:rPr>
                <w:rFonts w:ascii="Times New Roman"/>
                <w:sz w:val="21"/>
                <w:szCs w:val="21"/>
              </w:rPr>
            </w:pPr>
          </w:p>
        </w:tc>
        <w:tc>
          <w:tcPr>
            <w:tcW w:w="208" w:type="pct"/>
            <w:vAlign w:val="center"/>
          </w:tcPr>
          <w:p w14:paraId="3DB57968">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1F9BDE9F">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4C7A7E82">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2E894AAD">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47240DAF">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68017620">
            <w:pPr>
              <w:autoSpaceDE w:val="0"/>
              <w:autoSpaceDN w:val="0"/>
              <w:adjustRightInd w:val="0"/>
              <w:snapToGrid w:val="0"/>
              <w:jc w:val="center"/>
              <w:rPr>
                <w:rFonts w:ascii="Times New Roman"/>
                <w:sz w:val="21"/>
                <w:szCs w:val="21"/>
              </w:rPr>
            </w:pPr>
          </w:p>
        </w:tc>
        <w:tc>
          <w:tcPr>
            <w:tcW w:w="551" w:type="pct"/>
            <w:vAlign w:val="center"/>
          </w:tcPr>
          <w:p w14:paraId="3F0FDFF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4696733">
            <w:pPr>
              <w:autoSpaceDE w:val="0"/>
              <w:autoSpaceDN w:val="0"/>
              <w:adjustRightInd w:val="0"/>
              <w:snapToGrid w:val="0"/>
              <w:jc w:val="center"/>
              <w:rPr>
                <w:rFonts w:ascii="Times New Roman"/>
                <w:sz w:val="21"/>
                <w:szCs w:val="21"/>
              </w:rPr>
            </w:pPr>
          </w:p>
        </w:tc>
        <w:tc>
          <w:tcPr>
            <w:tcW w:w="287" w:type="pct"/>
            <w:vMerge w:val="continue"/>
            <w:vAlign w:val="center"/>
          </w:tcPr>
          <w:p w14:paraId="153F9E45">
            <w:pPr>
              <w:autoSpaceDE w:val="0"/>
              <w:autoSpaceDN w:val="0"/>
              <w:adjustRightInd w:val="0"/>
              <w:snapToGrid w:val="0"/>
              <w:jc w:val="center"/>
              <w:rPr>
                <w:rFonts w:ascii="Times New Roman"/>
                <w:sz w:val="21"/>
                <w:szCs w:val="21"/>
              </w:rPr>
            </w:pPr>
          </w:p>
        </w:tc>
        <w:tc>
          <w:tcPr>
            <w:tcW w:w="434" w:type="pct"/>
            <w:vMerge w:val="continue"/>
            <w:vAlign w:val="center"/>
          </w:tcPr>
          <w:p w14:paraId="26E7BE53">
            <w:pPr>
              <w:autoSpaceDE w:val="0"/>
              <w:autoSpaceDN w:val="0"/>
              <w:adjustRightInd w:val="0"/>
              <w:snapToGrid w:val="0"/>
              <w:jc w:val="center"/>
              <w:rPr>
                <w:rFonts w:ascii="Times New Roman"/>
                <w:sz w:val="21"/>
                <w:szCs w:val="21"/>
              </w:rPr>
            </w:pPr>
          </w:p>
        </w:tc>
      </w:tr>
      <w:tr w14:paraId="2AAF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0CABB9D">
            <w:pPr>
              <w:autoSpaceDE w:val="0"/>
              <w:autoSpaceDN w:val="0"/>
              <w:adjustRightInd w:val="0"/>
              <w:snapToGrid w:val="0"/>
              <w:jc w:val="center"/>
              <w:rPr>
                <w:rFonts w:ascii="Times New Roman"/>
                <w:sz w:val="21"/>
                <w:szCs w:val="21"/>
              </w:rPr>
            </w:pPr>
          </w:p>
        </w:tc>
        <w:tc>
          <w:tcPr>
            <w:tcW w:w="697" w:type="pct"/>
            <w:vAlign w:val="center"/>
          </w:tcPr>
          <w:p w14:paraId="0104D09A">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385C060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0433DF5">
            <w:pPr>
              <w:autoSpaceDE w:val="0"/>
              <w:autoSpaceDN w:val="0"/>
              <w:adjustRightInd w:val="0"/>
              <w:snapToGrid w:val="0"/>
              <w:jc w:val="center"/>
              <w:rPr>
                <w:rFonts w:ascii="Times New Roman"/>
                <w:sz w:val="21"/>
                <w:szCs w:val="21"/>
              </w:rPr>
            </w:pPr>
          </w:p>
        </w:tc>
        <w:tc>
          <w:tcPr>
            <w:tcW w:w="208" w:type="pct"/>
            <w:vAlign w:val="center"/>
          </w:tcPr>
          <w:p w14:paraId="32A24B2C">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04943E25">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39E382C7">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108CA5AB">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4FECDCE0">
            <w:pPr>
              <w:autoSpaceDE w:val="0"/>
              <w:autoSpaceDN w:val="0"/>
              <w:adjustRightInd w:val="0"/>
              <w:snapToGrid w:val="0"/>
              <w:jc w:val="center"/>
              <w:rPr>
                <w:rFonts w:ascii="Times New Roman"/>
                <w:sz w:val="21"/>
                <w:szCs w:val="21"/>
              </w:rPr>
            </w:pPr>
            <w:r>
              <w:rPr>
                <w:rFonts w:ascii="Times New Roman"/>
                <w:sz w:val="21"/>
                <w:szCs w:val="21"/>
              </w:rPr>
              <w:t>44</w:t>
            </w:r>
          </w:p>
        </w:tc>
        <w:tc>
          <w:tcPr>
            <w:tcW w:w="316" w:type="pct"/>
            <w:vMerge w:val="continue"/>
            <w:vAlign w:val="center"/>
          </w:tcPr>
          <w:p w14:paraId="7F6D85E1">
            <w:pPr>
              <w:autoSpaceDE w:val="0"/>
              <w:autoSpaceDN w:val="0"/>
              <w:adjustRightInd w:val="0"/>
              <w:snapToGrid w:val="0"/>
              <w:jc w:val="center"/>
              <w:rPr>
                <w:rFonts w:ascii="Times New Roman"/>
                <w:sz w:val="21"/>
                <w:szCs w:val="21"/>
              </w:rPr>
            </w:pPr>
          </w:p>
        </w:tc>
        <w:tc>
          <w:tcPr>
            <w:tcW w:w="551" w:type="pct"/>
            <w:vAlign w:val="center"/>
          </w:tcPr>
          <w:p w14:paraId="1C8CF70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D381B0C">
            <w:pPr>
              <w:autoSpaceDE w:val="0"/>
              <w:autoSpaceDN w:val="0"/>
              <w:adjustRightInd w:val="0"/>
              <w:snapToGrid w:val="0"/>
              <w:jc w:val="center"/>
              <w:rPr>
                <w:rFonts w:ascii="Times New Roman"/>
                <w:sz w:val="21"/>
                <w:szCs w:val="21"/>
              </w:rPr>
            </w:pPr>
          </w:p>
        </w:tc>
        <w:tc>
          <w:tcPr>
            <w:tcW w:w="287" w:type="pct"/>
            <w:vMerge w:val="continue"/>
            <w:vAlign w:val="center"/>
          </w:tcPr>
          <w:p w14:paraId="7EB8D412">
            <w:pPr>
              <w:autoSpaceDE w:val="0"/>
              <w:autoSpaceDN w:val="0"/>
              <w:adjustRightInd w:val="0"/>
              <w:snapToGrid w:val="0"/>
              <w:jc w:val="center"/>
              <w:rPr>
                <w:rFonts w:ascii="Times New Roman"/>
                <w:sz w:val="21"/>
                <w:szCs w:val="21"/>
              </w:rPr>
            </w:pPr>
          </w:p>
        </w:tc>
        <w:tc>
          <w:tcPr>
            <w:tcW w:w="434" w:type="pct"/>
            <w:vMerge w:val="continue"/>
            <w:vAlign w:val="center"/>
          </w:tcPr>
          <w:p w14:paraId="0B7C6161">
            <w:pPr>
              <w:autoSpaceDE w:val="0"/>
              <w:autoSpaceDN w:val="0"/>
              <w:adjustRightInd w:val="0"/>
              <w:snapToGrid w:val="0"/>
              <w:jc w:val="center"/>
              <w:rPr>
                <w:rFonts w:ascii="Times New Roman"/>
                <w:sz w:val="21"/>
                <w:szCs w:val="21"/>
              </w:rPr>
            </w:pPr>
          </w:p>
        </w:tc>
      </w:tr>
      <w:tr w14:paraId="4EE5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A08CB38">
            <w:pPr>
              <w:autoSpaceDE w:val="0"/>
              <w:autoSpaceDN w:val="0"/>
              <w:adjustRightInd w:val="0"/>
              <w:snapToGrid w:val="0"/>
              <w:jc w:val="center"/>
              <w:rPr>
                <w:rFonts w:ascii="Times New Roman"/>
                <w:sz w:val="21"/>
                <w:szCs w:val="21"/>
              </w:rPr>
            </w:pPr>
          </w:p>
        </w:tc>
        <w:tc>
          <w:tcPr>
            <w:tcW w:w="697" w:type="pct"/>
            <w:vAlign w:val="center"/>
          </w:tcPr>
          <w:p w14:paraId="069085A4">
            <w:pPr>
              <w:autoSpaceDE w:val="0"/>
              <w:autoSpaceDN w:val="0"/>
              <w:adjustRightInd w:val="0"/>
              <w:snapToGrid w:val="0"/>
              <w:jc w:val="center"/>
              <w:rPr>
                <w:rFonts w:ascii="Times New Roman"/>
                <w:sz w:val="21"/>
                <w:szCs w:val="21"/>
              </w:rPr>
            </w:pPr>
            <w:r>
              <w:rPr>
                <w:rFonts w:ascii="Times New Roman"/>
                <w:sz w:val="21"/>
                <w:szCs w:val="21"/>
              </w:rPr>
              <w:t>数控插床</w:t>
            </w:r>
          </w:p>
        </w:tc>
        <w:tc>
          <w:tcPr>
            <w:tcW w:w="346" w:type="pct"/>
            <w:vAlign w:val="center"/>
          </w:tcPr>
          <w:p w14:paraId="0423161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5CFACCD">
            <w:pPr>
              <w:autoSpaceDE w:val="0"/>
              <w:autoSpaceDN w:val="0"/>
              <w:adjustRightInd w:val="0"/>
              <w:snapToGrid w:val="0"/>
              <w:jc w:val="center"/>
              <w:rPr>
                <w:rFonts w:ascii="Times New Roman"/>
                <w:sz w:val="21"/>
                <w:szCs w:val="21"/>
              </w:rPr>
            </w:pPr>
          </w:p>
        </w:tc>
        <w:tc>
          <w:tcPr>
            <w:tcW w:w="208" w:type="pct"/>
            <w:vAlign w:val="center"/>
          </w:tcPr>
          <w:p w14:paraId="46DE9CBE">
            <w:pPr>
              <w:autoSpaceDE w:val="0"/>
              <w:autoSpaceDN w:val="0"/>
              <w:adjustRightInd w:val="0"/>
              <w:snapToGrid w:val="0"/>
              <w:jc w:val="center"/>
              <w:rPr>
                <w:rFonts w:ascii="Times New Roman"/>
                <w:sz w:val="21"/>
                <w:szCs w:val="21"/>
              </w:rPr>
            </w:pPr>
            <w:r>
              <w:rPr>
                <w:rFonts w:ascii="Times New Roman"/>
                <w:sz w:val="21"/>
                <w:szCs w:val="21"/>
              </w:rPr>
              <w:t>275</w:t>
            </w:r>
          </w:p>
        </w:tc>
        <w:tc>
          <w:tcPr>
            <w:tcW w:w="201" w:type="pct"/>
            <w:vAlign w:val="center"/>
          </w:tcPr>
          <w:p w14:paraId="10FE9EF9">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62A9F898">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021B20D7">
            <w:pPr>
              <w:autoSpaceDE w:val="0"/>
              <w:autoSpaceDN w:val="0"/>
              <w:adjustRightInd w:val="0"/>
              <w:snapToGrid w:val="0"/>
              <w:jc w:val="center"/>
              <w:rPr>
                <w:rFonts w:ascii="Times New Roman"/>
                <w:sz w:val="21"/>
                <w:szCs w:val="21"/>
              </w:rPr>
            </w:pPr>
            <w:r>
              <w:rPr>
                <w:rFonts w:ascii="Times New Roman"/>
                <w:sz w:val="21"/>
                <w:szCs w:val="21"/>
              </w:rPr>
              <w:t>73.52</w:t>
            </w:r>
          </w:p>
        </w:tc>
        <w:tc>
          <w:tcPr>
            <w:tcW w:w="358" w:type="pct"/>
            <w:vAlign w:val="center"/>
          </w:tcPr>
          <w:p w14:paraId="13758E9C">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47399779">
            <w:pPr>
              <w:autoSpaceDE w:val="0"/>
              <w:autoSpaceDN w:val="0"/>
              <w:adjustRightInd w:val="0"/>
              <w:snapToGrid w:val="0"/>
              <w:jc w:val="center"/>
              <w:rPr>
                <w:rFonts w:ascii="Times New Roman"/>
                <w:sz w:val="21"/>
                <w:szCs w:val="21"/>
              </w:rPr>
            </w:pPr>
          </w:p>
        </w:tc>
        <w:tc>
          <w:tcPr>
            <w:tcW w:w="551" w:type="pct"/>
            <w:vAlign w:val="center"/>
          </w:tcPr>
          <w:p w14:paraId="4BDE4FE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A9ADBFC">
            <w:pPr>
              <w:autoSpaceDE w:val="0"/>
              <w:autoSpaceDN w:val="0"/>
              <w:adjustRightInd w:val="0"/>
              <w:snapToGrid w:val="0"/>
              <w:jc w:val="center"/>
              <w:rPr>
                <w:rFonts w:ascii="Times New Roman"/>
                <w:sz w:val="21"/>
                <w:szCs w:val="21"/>
              </w:rPr>
            </w:pPr>
          </w:p>
        </w:tc>
        <w:tc>
          <w:tcPr>
            <w:tcW w:w="287" w:type="pct"/>
            <w:vMerge w:val="continue"/>
            <w:vAlign w:val="center"/>
          </w:tcPr>
          <w:p w14:paraId="0B2BDB7B">
            <w:pPr>
              <w:autoSpaceDE w:val="0"/>
              <w:autoSpaceDN w:val="0"/>
              <w:adjustRightInd w:val="0"/>
              <w:snapToGrid w:val="0"/>
              <w:jc w:val="center"/>
              <w:rPr>
                <w:rFonts w:ascii="Times New Roman"/>
                <w:sz w:val="21"/>
                <w:szCs w:val="21"/>
              </w:rPr>
            </w:pPr>
          </w:p>
        </w:tc>
        <w:tc>
          <w:tcPr>
            <w:tcW w:w="434" w:type="pct"/>
            <w:vMerge w:val="continue"/>
            <w:vAlign w:val="center"/>
          </w:tcPr>
          <w:p w14:paraId="613ECBB4">
            <w:pPr>
              <w:autoSpaceDE w:val="0"/>
              <w:autoSpaceDN w:val="0"/>
              <w:adjustRightInd w:val="0"/>
              <w:snapToGrid w:val="0"/>
              <w:jc w:val="center"/>
              <w:rPr>
                <w:rFonts w:ascii="Times New Roman"/>
                <w:sz w:val="21"/>
                <w:szCs w:val="21"/>
              </w:rPr>
            </w:pPr>
          </w:p>
        </w:tc>
      </w:tr>
      <w:tr w14:paraId="43AD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CA28795">
            <w:pPr>
              <w:autoSpaceDE w:val="0"/>
              <w:autoSpaceDN w:val="0"/>
              <w:adjustRightInd w:val="0"/>
              <w:snapToGrid w:val="0"/>
              <w:jc w:val="center"/>
              <w:rPr>
                <w:rFonts w:ascii="Times New Roman"/>
                <w:sz w:val="21"/>
                <w:szCs w:val="21"/>
              </w:rPr>
            </w:pPr>
          </w:p>
        </w:tc>
        <w:tc>
          <w:tcPr>
            <w:tcW w:w="697" w:type="pct"/>
            <w:vAlign w:val="center"/>
          </w:tcPr>
          <w:p w14:paraId="666E2151">
            <w:pPr>
              <w:autoSpaceDE w:val="0"/>
              <w:autoSpaceDN w:val="0"/>
              <w:adjustRightInd w:val="0"/>
              <w:snapToGrid w:val="0"/>
              <w:jc w:val="center"/>
              <w:rPr>
                <w:rFonts w:ascii="Times New Roman"/>
                <w:sz w:val="21"/>
                <w:szCs w:val="21"/>
              </w:rPr>
            </w:pPr>
            <w:r>
              <w:rPr>
                <w:rFonts w:ascii="Times New Roman"/>
                <w:sz w:val="21"/>
                <w:szCs w:val="21"/>
              </w:rPr>
              <w:t>数控立式车床</w:t>
            </w:r>
          </w:p>
        </w:tc>
        <w:tc>
          <w:tcPr>
            <w:tcW w:w="346" w:type="pct"/>
            <w:vAlign w:val="center"/>
          </w:tcPr>
          <w:p w14:paraId="4CA60F4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F706C63">
            <w:pPr>
              <w:autoSpaceDE w:val="0"/>
              <w:autoSpaceDN w:val="0"/>
              <w:adjustRightInd w:val="0"/>
              <w:snapToGrid w:val="0"/>
              <w:jc w:val="center"/>
              <w:rPr>
                <w:rFonts w:ascii="Times New Roman"/>
                <w:sz w:val="21"/>
                <w:szCs w:val="21"/>
              </w:rPr>
            </w:pPr>
          </w:p>
        </w:tc>
        <w:tc>
          <w:tcPr>
            <w:tcW w:w="208" w:type="pct"/>
            <w:vAlign w:val="center"/>
          </w:tcPr>
          <w:p w14:paraId="4CD8E60C">
            <w:pPr>
              <w:autoSpaceDE w:val="0"/>
              <w:autoSpaceDN w:val="0"/>
              <w:adjustRightInd w:val="0"/>
              <w:snapToGrid w:val="0"/>
              <w:jc w:val="center"/>
              <w:rPr>
                <w:rFonts w:ascii="Times New Roman"/>
                <w:sz w:val="21"/>
                <w:szCs w:val="21"/>
              </w:rPr>
            </w:pPr>
            <w:r>
              <w:rPr>
                <w:rFonts w:ascii="Times New Roman"/>
                <w:sz w:val="21"/>
                <w:szCs w:val="21"/>
              </w:rPr>
              <w:t>260</w:t>
            </w:r>
          </w:p>
        </w:tc>
        <w:tc>
          <w:tcPr>
            <w:tcW w:w="201" w:type="pct"/>
            <w:vAlign w:val="center"/>
          </w:tcPr>
          <w:p w14:paraId="3F707B84">
            <w:pPr>
              <w:autoSpaceDE w:val="0"/>
              <w:autoSpaceDN w:val="0"/>
              <w:adjustRightInd w:val="0"/>
              <w:snapToGrid w:val="0"/>
              <w:jc w:val="center"/>
              <w:rPr>
                <w:rFonts w:ascii="Times New Roman"/>
                <w:sz w:val="21"/>
                <w:szCs w:val="21"/>
              </w:rPr>
            </w:pPr>
            <w:r>
              <w:rPr>
                <w:rFonts w:ascii="Times New Roman"/>
                <w:sz w:val="21"/>
                <w:szCs w:val="21"/>
              </w:rPr>
              <w:t>130</w:t>
            </w:r>
          </w:p>
        </w:tc>
        <w:tc>
          <w:tcPr>
            <w:tcW w:w="240" w:type="pct"/>
            <w:vAlign w:val="center"/>
          </w:tcPr>
          <w:p w14:paraId="6A6A8A0B">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0C657EFF">
            <w:pPr>
              <w:autoSpaceDE w:val="0"/>
              <w:autoSpaceDN w:val="0"/>
              <w:adjustRightInd w:val="0"/>
              <w:snapToGrid w:val="0"/>
              <w:jc w:val="center"/>
              <w:rPr>
                <w:rFonts w:ascii="Times New Roman"/>
                <w:sz w:val="21"/>
                <w:szCs w:val="21"/>
              </w:rPr>
            </w:pPr>
            <w:r>
              <w:rPr>
                <w:rFonts w:ascii="Times New Roman"/>
                <w:sz w:val="21"/>
                <w:szCs w:val="21"/>
              </w:rPr>
              <w:t>58.52</w:t>
            </w:r>
          </w:p>
        </w:tc>
        <w:tc>
          <w:tcPr>
            <w:tcW w:w="358" w:type="pct"/>
            <w:vAlign w:val="center"/>
          </w:tcPr>
          <w:p w14:paraId="24645A4A">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4FD14D61">
            <w:pPr>
              <w:autoSpaceDE w:val="0"/>
              <w:autoSpaceDN w:val="0"/>
              <w:adjustRightInd w:val="0"/>
              <w:snapToGrid w:val="0"/>
              <w:jc w:val="center"/>
              <w:rPr>
                <w:rFonts w:ascii="Times New Roman"/>
                <w:sz w:val="21"/>
                <w:szCs w:val="21"/>
              </w:rPr>
            </w:pPr>
          </w:p>
        </w:tc>
        <w:tc>
          <w:tcPr>
            <w:tcW w:w="551" w:type="pct"/>
            <w:vAlign w:val="center"/>
          </w:tcPr>
          <w:p w14:paraId="7556865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8E43F3B">
            <w:pPr>
              <w:autoSpaceDE w:val="0"/>
              <w:autoSpaceDN w:val="0"/>
              <w:adjustRightInd w:val="0"/>
              <w:snapToGrid w:val="0"/>
              <w:jc w:val="center"/>
              <w:rPr>
                <w:rFonts w:ascii="Times New Roman"/>
                <w:sz w:val="21"/>
                <w:szCs w:val="21"/>
              </w:rPr>
            </w:pPr>
          </w:p>
        </w:tc>
        <w:tc>
          <w:tcPr>
            <w:tcW w:w="287" w:type="pct"/>
            <w:vMerge w:val="continue"/>
            <w:vAlign w:val="center"/>
          </w:tcPr>
          <w:p w14:paraId="23061C08">
            <w:pPr>
              <w:autoSpaceDE w:val="0"/>
              <w:autoSpaceDN w:val="0"/>
              <w:adjustRightInd w:val="0"/>
              <w:snapToGrid w:val="0"/>
              <w:jc w:val="center"/>
              <w:rPr>
                <w:rFonts w:ascii="Times New Roman"/>
                <w:sz w:val="21"/>
                <w:szCs w:val="21"/>
              </w:rPr>
            </w:pPr>
          </w:p>
        </w:tc>
        <w:tc>
          <w:tcPr>
            <w:tcW w:w="434" w:type="pct"/>
            <w:vMerge w:val="continue"/>
            <w:vAlign w:val="center"/>
          </w:tcPr>
          <w:p w14:paraId="791480B2">
            <w:pPr>
              <w:autoSpaceDE w:val="0"/>
              <w:autoSpaceDN w:val="0"/>
              <w:adjustRightInd w:val="0"/>
              <w:snapToGrid w:val="0"/>
              <w:jc w:val="center"/>
              <w:rPr>
                <w:rFonts w:ascii="Times New Roman"/>
                <w:sz w:val="21"/>
                <w:szCs w:val="21"/>
              </w:rPr>
            </w:pPr>
          </w:p>
        </w:tc>
      </w:tr>
      <w:tr w14:paraId="2887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7861263">
            <w:pPr>
              <w:autoSpaceDE w:val="0"/>
              <w:autoSpaceDN w:val="0"/>
              <w:adjustRightInd w:val="0"/>
              <w:snapToGrid w:val="0"/>
              <w:jc w:val="center"/>
              <w:rPr>
                <w:rFonts w:ascii="Times New Roman"/>
                <w:sz w:val="21"/>
                <w:szCs w:val="21"/>
              </w:rPr>
            </w:pPr>
          </w:p>
        </w:tc>
        <w:tc>
          <w:tcPr>
            <w:tcW w:w="697" w:type="pct"/>
            <w:vAlign w:val="center"/>
          </w:tcPr>
          <w:p w14:paraId="08DDA695">
            <w:pPr>
              <w:autoSpaceDE w:val="0"/>
              <w:autoSpaceDN w:val="0"/>
              <w:adjustRightInd w:val="0"/>
              <w:snapToGrid w:val="0"/>
              <w:jc w:val="center"/>
              <w:rPr>
                <w:rFonts w:ascii="Times New Roman"/>
                <w:sz w:val="21"/>
                <w:szCs w:val="21"/>
              </w:rPr>
            </w:pPr>
            <w:r>
              <w:rPr>
                <w:rFonts w:ascii="Times New Roman"/>
                <w:sz w:val="21"/>
                <w:szCs w:val="21"/>
              </w:rPr>
              <w:t>数控立式车床</w:t>
            </w:r>
          </w:p>
        </w:tc>
        <w:tc>
          <w:tcPr>
            <w:tcW w:w="346" w:type="pct"/>
            <w:vAlign w:val="center"/>
          </w:tcPr>
          <w:p w14:paraId="2A77212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8CC1863">
            <w:pPr>
              <w:autoSpaceDE w:val="0"/>
              <w:autoSpaceDN w:val="0"/>
              <w:adjustRightInd w:val="0"/>
              <w:snapToGrid w:val="0"/>
              <w:jc w:val="center"/>
              <w:rPr>
                <w:rFonts w:ascii="Times New Roman"/>
                <w:sz w:val="21"/>
                <w:szCs w:val="21"/>
              </w:rPr>
            </w:pPr>
          </w:p>
        </w:tc>
        <w:tc>
          <w:tcPr>
            <w:tcW w:w="208" w:type="pct"/>
            <w:vAlign w:val="center"/>
          </w:tcPr>
          <w:p w14:paraId="6F34D509">
            <w:pPr>
              <w:autoSpaceDE w:val="0"/>
              <w:autoSpaceDN w:val="0"/>
              <w:adjustRightInd w:val="0"/>
              <w:snapToGrid w:val="0"/>
              <w:jc w:val="center"/>
              <w:rPr>
                <w:rFonts w:ascii="Times New Roman"/>
                <w:sz w:val="21"/>
                <w:szCs w:val="21"/>
              </w:rPr>
            </w:pPr>
            <w:r>
              <w:rPr>
                <w:rFonts w:ascii="Times New Roman"/>
                <w:sz w:val="21"/>
                <w:szCs w:val="21"/>
              </w:rPr>
              <w:t>270</w:t>
            </w:r>
          </w:p>
        </w:tc>
        <w:tc>
          <w:tcPr>
            <w:tcW w:w="201" w:type="pct"/>
            <w:vAlign w:val="center"/>
          </w:tcPr>
          <w:p w14:paraId="74F5E192">
            <w:pPr>
              <w:autoSpaceDE w:val="0"/>
              <w:autoSpaceDN w:val="0"/>
              <w:adjustRightInd w:val="0"/>
              <w:snapToGrid w:val="0"/>
              <w:jc w:val="center"/>
              <w:rPr>
                <w:rFonts w:ascii="Times New Roman"/>
                <w:sz w:val="21"/>
                <w:szCs w:val="21"/>
              </w:rPr>
            </w:pPr>
            <w:r>
              <w:rPr>
                <w:rFonts w:ascii="Times New Roman"/>
                <w:sz w:val="21"/>
                <w:szCs w:val="21"/>
              </w:rPr>
              <w:t>130</w:t>
            </w:r>
          </w:p>
        </w:tc>
        <w:tc>
          <w:tcPr>
            <w:tcW w:w="240" w:type="pct"/>
            <w:vAlign w:val="center"/>
          </w:tcPr>
          <w:p w14:paraId="4DE6B261">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63AFEF82">
            <w:pPr>
              <w:autoSpaceDE w:val="0"/>
              <w:autoSpaceDN w:val="0"/>
              <w:adjustRightInd w:val="0"/>
              <w:snapToGrid w:val="0"/>
              <w:jc w:val="center"/>
              <w:rPr>
                <w:rFonts w:ascii="Times New Roman"/>
                <w:sz w:val="21"/>
                <w:szCs w:val="21"/>
              </w:rPr>
            </w:pPr>
            <w:r>
              <w:rPr>
                <w:rFonts w:ascii="Times New Roman"/>
                <w:sz w:val="21"/>
                <w:szCs w:val="21"/>
              </w:rPr>
              <w:t>68.52</w:t>
            </w:r>
          </w:p>
        </w:tc>
        <w:tc>
          <w:tcPr>
            <w:tcW w:w="358" w:type="pct"/>
            <w:vAlign w:val="center"/>
          </w:tcPr>
          <w:p w14:paraId="115861AC">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626E90E4">
            <w:pPr>
              <w:autoSpaceDE w:val="0"/>
              <w:autoSpaceDN w:val="0"/>
              <w:adjustRightInd w:val="0"/>
              <w:snapToGrid w:val="0"/>
              <w:jc w:val="center"/>
              <w:rPr>
                <w:rFonts w:ascii="Times New Roman"/>
                <w:sz w:val="21"/>
                <w:szCs w:val="21"/>
              </w:rPr>
            </w:pPr>
          </w:p>
        </w:tc>
        <w:tc>
          <w:tcPr>
            <w:tcW w:w="551" w:type="pct"/>
            <w:vAlign w:val="center"/>
          </w:tcPr>
          <w:p w14:paraId="6CC57C4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AFDB814">
            <w:pPr>
              <w:autoSpaceDE w:val="0"/>
              <w:autoSpaceDN w:val="0"/>
              <w:adjustRightInd w:val="0"/>
              <w:snapToGrid w:val="0"/>
              <w:jc w:val="center"/>
              <w:rPr>
                <w:rFonts w:ascii="Times New Roman"/>
                <w:sz w:val="21"/>
                <w:szCs w:val="21"/>
              </w:rPr>
            </w:pPr>
          </w:p>
        </w:tc>
        <w:tc>
          <w:tcPr>
            <w:tcW w:w="287" w:type="pct"/>
            <w:vMerge w:val="continue"/>
            <w:vAlign w:val="center"/>
          </w:tcPr>
          <w:p w14:paraId="3818FA92">
            <w:pPr>
              <w:autoSpaceDE w:val="0"/>
              <w:autoSpaceDN w:val="0"/>
              <w:adjustRightInd w:val="0"/>
              <w:snapToGrid w:val="0"/>
              <w:jc w:val="center"/>
              <w:rPr>
                <w:rFonts w:ascii="Times New Roman"/>
                <w:sz w:val="21"/>
                <w:szCs w:val="21"/>
              </w:rPr>
            </w:pPr>
          </w:p>
        </w:tc>
        <w:tc>
          <w:tcPr>
            <w:tcW w:w="434" w:type="pct"/>
            <w:vMerge w:val="continue"/>
            <w:vAlign w:val="center"/>
          </w:tcPr>
          <w:p w14:paraId="766BD6A7">
            <w:pPr>
              <w:autoSpaceDE w:val="0"/>
              <w:autoSpaceDN w:val="0"/>
              <w:adjustRightInd w:val="0"/>
              <w:snapToGrid w:val="0"/>
              <w:jc w:val="center"/>
              <w:rPr>
                <w:rFonts w:ascii="Times New Roman"/>
                <w:sz w:val="21"/>
                <w:szCs w:val="21"/>
              </w:rPr>
            </w:pPr>
          </w:p>
        </w:tc>
      </w:tr>
      <w:tr w14:paraId="1F30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202B0B3">
            <w:pPr>
              <w:autoSpaceDE w:val="0"/>
              <w:autoSpaceDN w:val="0"/>
              <w:adjustRightInd w:val="0"/>
              <w:snapToGrid w:val="0"/>
              <w:jc w:val="center"/>
              <w:rPr>
                <w:rFonts w:ascii="Times New Roman"/>
                <w:sz w:val="21"/>
                <w:szCs w:val="21"/>
              </w:rPr>
            </w:pPr>
          </w:p>
        </w:tc>
        <w:tc>
          <w:tcPr>
            <w:tcW w:w="697" w:type="pct"/>
            <w:vAlign w:val="center"/>
          </w:tcPr>
          <w:p w14:paraId="765DB935">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7E5B433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0851738">
            <w:pPr>
              <w:autoSpaceDE w:val="0"/>
              <w:autoSpaceDN w:val="0"/>
              <w:adjustRightInd w:val="0"/>
              <w:snapToGrid w:val="0"/>
              <w:jc w:val="center"/>
              <w:rPr>
                <w:rFonts w:ascii="Times New Roman"/>
                <w:sz w:val="21"/>
                <w:szCs w:val="21"/>
              </w:rPr>
            </w:pPr>
          </w:p>
        </w:tc>
        <w:tc>
          <w:tcPr>
            <w:tcW w:w="208" w:type="pct"/>
            <w:vAlign w:val="center"/>
          </w:tcPr>
          <w:p w14:paraId="5954A39E">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7C1FFFAF">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5CCBD73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9B73BD7">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56708C67">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080F87B3">
            <w:pPr>
              <w:autoSpaceDE w:val="0"/>
              <w:autoSpaceDN w:val="0"/>
              <w:adjustRightInd w:val="0"/>
              <w:snapToGrid w:val="0"/>
              <w:jc w:val="center"/>
              <w:rPr>
                <w:rFonts w:ascii="Times New Roman"/>
                <w:sz w:val="21"/>
                <w:szCs w:val="21"/>
              </w:rPr>
            </w:pPr>
          </w:p>
        </w:tc>
        <w:tc>
          <w:tcPr>
            <w:tcW w:w="551" w:type="pct"/>
            <w:vAlign w:val="center"/>
          </w:tcPr>
          <w:p w14:paraId="23522D8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88DA55F">
            <w:pPr>
              <w:autoSpaceDE w:val="0"/>
              <w:autoSpaceDN w:val="0"/>
              <w:adjustRightInd w:val="0"/>
              <w:snapToGrid w:val="0"/>
              <w:jc w:val="center"/>
              <w:rPr>
                <w:rFonts w:ascii="Times New Roman"/>
                <w:sz w:val="21"/>
                <w:szCs w:val="21"/>
              </w:rPr>
            </w:pPr>
          </w:p>
        </w:tc>
        <w:tc>
          <w:tcPr>
            <w:tcW w:w="287" w:type="pct"/>
            <w:vMerge w:val="continue"/>
            <w:vAlign w:val="center"/>
          </w:tcPr>
          <w:p w14:paraId="5FC8AFA1">
            <w:pPr>
              <w:autoSpaceDE w:val="0"/>
              <w:autoSpaceDN w:val="0"/>
              <w:adjustRightInd w:val="0"/>
              <w:snapToGrid w:val="0"/>
              <w:jc w:val="center"/>
              <w:rPr>
                <w:rFonts w:ascii="Times New Roman"/>
                <w:sz w:val="21"/>
                <w:szCs w:val="21"/>
              </w:rPr>
            </w:pPr>
          </w:p>
        </w:tc>
        <w:tc>
          <w:tcPr>
            <w:tcW w:w="434" w:type="pct"/>
            <w:vMerge w:val="continue"/>
            <w:vAlign w:val="center"/>
          </w:tcPr>
          <w:p w14:paraId="06A3771E">
            <w:pPr>
              <w:autoSpaceDE w:val="0"/>
              <w:autoSpaceDN w:val="0"/>
              <w:adjustRightInd w:val="0"/>
              <w:snapToGrid w:val="0"/>
              <w:jc w:val="center"/>
              <w:rPr>
                <w:rFonts w:ascii="Times New Roman"/>
                <w:sz w:val="21"/>
                <w:szCs w:val="21"/>
              </w:rPr>
            </w:pPr>
          </w:p>
        </w:tc>
      </w:tr>
      <w:tr w14:paraId="43AD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CCB5224">
            <w:pPr>
              <w:autoSpaceDE w:val="0"/>
              <w:autoSpaceDN w:val="0"/>
              <w:adjustRightInd w:val="0"/>
              <w:snapToGrid w:val="0"/>
              <w:jc w:val="center"/>
              <w:rPr>
                <w:rFonts w:ascii="Times New Roman"/>
                <w:sz w:val="21"/>
                <w:szCs w:val="21"/>
              </w:rPr>
            </w:pPr>
          </w:p>
        </w:tc>
        <w:tc>
          <w:tcPr>
            <w:tcW w:w="697" w:type="pct"/>
            <w:vAlign w:val="center"/>
          </w:tcPr>
          <w:p w14:paraId="46F3AC70">
            <w:pPr>
              <w:autoSpaceDE w:val="0"/>
              <w:autoSpaceDN w:val="0"/>
              <w:adjustRightInd w:val="0"/>
              <w:snapToGrid w:val="0"/>
              <w:jc w:val="center"/>
              <w:rPr>
                <w:rFonts w:ascii="Times New Roman"/>
                <w:sz w:val="21"/>
                <w:szCs w:val="21"/>
              </w:rPr>
            </w:pPr>
            <w:r>
              <w:rPr>
                <w:rFonts w:ascii="Times New Roman"/>
                <w:sz w:val="21"/>
                <w:szCs w:val="21"/>
              </w:rPr>
              <w:t>内侧自动焊</w:t>
            </w:r>
          </w:p>
        </w:tc>
        <w:tc>
          <w:tcPr>
            <w:tcW w:w="346" w:type="pct"/>
            <w:vAlign w:val="center"/>
          </w:tcPr>
          <w:p w14:paraId="757681A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96A3012">
            <w:pPr>
              <w:autoSpaceDE w:val="0"/>
              <w:autoSpaceDN w:val="0"/>
              <w:adjustRightInd w:val="0"/>
              <w:snapToGrid w:val="0"/>
              <w:jc w:val="center"/>
              <w:rPr>
                <w:rFonts w:ascii="Times New Roman"/>
                <w:sz w:val="21"/>
                <w:szCs w:val="21"/>
              </w:rPr>
            </w:pPr>
          </w:p>
        </w:tc>
        <w:tc>
          <w:tcPr>
            <w:tcW w:w="208" w:type="pct"/>
            <w:vAlign w:val="center"/>
          </w:tcPr>
          <w:p w14:paraId="14CA077A">
            <w:pPr>
              <w:autoSpaceDE w:val="0"/>
              <w:autoSpaceDN w:val="0"/>
              <w:adjustRightInd w:val="0"/>
              <w:snapToGrid w:val="0"/>
              <w:jc w:val="center"/>
              <w:rPr>
                <w:rFonts w:ascii="Times New Roman"/>
                <w:sz w:val="21"/>
                <w:szCs w:val="21"/>
              </w:rPr>
            </w:pPr>
            <w:r>
              <w:rPr>
                <w:rFonts w:ascii="Times New Roman"/>
                <w:sz w:val="21"/>
                <w:szCs w:val="21"/>
              </w:rPr>
              <w:t>260</w:t>
            </w:r>
          </w:p>
        </w:tc>
        <w:tc>
          <w:tcPr>
            <w:tcW w:w="201" w:type="pct"/>
            <w:vAlign w:val="center"/>
          </w:tcPr>
          <w:p w14:paraId="3793B8FF">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2849054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3ADE6F2D">
            <w:pPr>
              <w:autoSpaceDE w:val="0"/>
              <w:autoSpaceDN w:val="0"/>
              <w:adjustRightInd w:val="0"/>
              <w:snapToGrid w:val="0"/>
              <w:jc w:val="center"/>
              <w:rPr>
                <w:rFonts w:ascii="Times New Roman"/>
                <w:sz w:val="21"/>
                <w:szCs w:val="21"/>
              </w:rPr>
            </w:pPr>
            <w:r>
              <w:rPr>
                <w:rFonts w:ascii="Times New Roman"/>
                <w:sz w:val="21"/>
                <w:szCs w:val="21"/>
              </w:rPr>
              <w:t>58.52</w:t>
            </w:r>
          </w:p>
        </w:tc>
        <w:tc>
          <w:tcPr>
            <w:tcW w:w="358" w:type="pct"/>
            <w:vAlign w:val="center"/>
          </w:tcPr>
          <w:p w14:paraId="25B00DB4">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2499A19F">
            <w:pPr>
              <w:autoSpaceDE w:val="0"/>
              <w:autoSpaceDN w:val="0"/>
              <w:adjustRightInd w:val="0"/>
              <w:snapToGrid w:val="0"/>
              <w:jc w:val="center"/>
              <w:rPr>
                <w:rFonts w:ascii="Times New Roman"/>
                <w:sz w:val="21"/>
                <w:szCs w:val="21"/>
              </w:rPr>
            </w:pPr>
          </w:p>
        </w:tc>
        <w:tc>
          <w:tcPr>
            <w:tcW w:w="551" w:type="pct"/>
            <w:vAlign w:val="center"/>
          </w:tcPr>
          <w:p w14:paraId="02B8A62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2CA84DE">
            <w:pPr>
              <w:autoSpaceDE w:val="0"/>
              <w:autoSpaceDN w:val="0"/>
              <w:adjustRightInd w:val="0"/>
              <w:snapToGrid w:val="0"/>
              <w:jc w:val="center"/>
              <w:rPr>
                <w:rFonts w:ascii="Times New Roman"/>
                <w:sz w:val="21"/>
                <w:szCs w:val="21"/>
              </w:rPr>
            </w:pPr>
          </w:p>
        </w:tc>
        <w:tc>
          <w:tcPr>
            <w:tcW w:w="287" w:type="pct"/>
            <w:vMerge w:val="continue"/>
            <w:vAlign w:val="center"/>
          </w:tcPr>
          <w:p w14:paraId="12DA9401">
            <w:pPr>
              <w:autoSpaceDE w:val="0"/>
              <w:autoSpaceDN w:val="0"/>
              <w:adjustRightInd w:val="0"/>
              <w:snapToGrid w:val="0"/>
              <w:jc w:val="center"/>
              <w:rPr>
                <w:rFonts w:ascii="Times New Roman"/>
                <w:sz w:val="21"/>
                <w:szCs w:val="21"/>
              </w:rPr>
            </w:pPr>
          </w:p>
        </w:tc>
        <w:tc>
          <w:tcPr>
            <w:tcW w:w="434" w:type="pct"/>
            <w:vMerge w:val="continue"/>
            <w:vAlign w:val="center"/>
          </w:tcPr>
          <w:p w14:paraId="4730691C">
            <w:pPr>
              <w:autoSpaceDE w:val="0"/>
              <w:autoSpaceDN w:val="0"/>
              <w:adjustRightInd w:val="0"/>
              <w:snapToGrid w:val="0"/>
              <w:jc w:val="center"/>
              <w:rPr>
                <w:rFonts w:ascii="Times New Roman"/>
                <w:sz w:val="21"/>
                <w:szCs w:val="21"/>
              </w:rPr>
            </w:pPr>
          </w:p>
        </w:tc>
      </w:tr>
      <w:tr w14:paraId="2AAD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7524BB0">
            <w:pPr>
              <w:autoSpaceDE w:val="0"/>
              <w:autoSpaceDN w:val="0"/>
              <w:adjustRightInd w:val="0"/>
              <w:snapToGrid w:val="0"/>
              <w:jc w:val="center"/>
              <w:rPr>
                <w:rFonts w:ascii="Times New Roman"/>
                <w:sz w:val="21"/>
                <w:szCs w:val="21"/>
              </w:rPr>
            </w:pPr>
          </w:p>
        </w:tc>
        <w:tc>
          <w:tcPr>
            <w:tcW w:w="697" w:type="pct"/>
            <w:vAlign w:val="center"/>
          </w:tcPr>
          <w:p w14:paraId="4F9C92DB">
            <w:pPr>
              <w:autoSpaceDE w:val="0"/>
              <w:autoSpaceDN w:val="0"/>
              <w:adjustRightInd w:val="0"/>
              <w:snapToGrid w:val="0"/>
              <w:jc w:val="center"/>
              <w:rPr>
                <w:rFonts w:ascii="Times New Roman"/>
                <w:sz w:val="21"/>
                <w:szCs w:val="21"/>
              </w:rPr>
            </w:pPr>
            <w:r>
              <w:rPr>
                <w:rFonts w:ascii="Times New Roman"/>
                <w:sz w:val="21"/>
                <w:szCs w:val="21"/>
              </w:rPr>
              <w:t>外侧自动焊机</w:t>
            </w:r>
          </w:p>
        </w:tc>
        <w:tc>
          <w:tcPr>
            <w:tcW w:w="346" w:type="pct"/>
            <w:vAlign w:val="center"/>
          </w:tcPr>
          <w:p w14:paraId="593663C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F62A9B3">
            <w:pPr>
              <w:autoSpaceDE w:val="0"/>
              <w:autoSpaceDN w:val="0"/>
              <w:adjustRightInd w:val="0"/>
              <w:snapToGrid w:val="0"/>
              <w:jc w:val="center"/>
              <w:rPr>
                <w:rFonts w:ascii="Times New Roman"/>
                <w:sz w:val="21"/>
                <w:szCs w:val="21"/>
              </w:rPr>
            </w:pPr>
          </w:p>
        </w:tc>
        <w:tc>
          <w:tcPr>
            <w:tcW w:w="208" w:type="pct"/>
            <w:vAlign w:val="center"/>
          </w:tcPr>
          <w:p w14:paraId="3E0F3684">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495CF25D">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72B90371">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7886E3F">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394BB48E">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7112C405">
            <w:pPr>
              <w:autoSpaceDE w:val="0"/>
              <w:autoSpaceDN w:val="0"/>
              <w:adjustRightInd w:val="0"/>
              <w:snapToGrid w:val="0"/>
              <w:jc w:val="center"/>
              <w:rPr>
                <w:rFonts w:ascii="Times New Roman"/>
                <w:sz w:val="21"/>
                <w:szCs w:val="21"/>
              </w:rPr>
            </w:pPr>
          </w:p>
        </w:tc>
        <w:tc>
          <w:tcPr>
            <w:tcW w:w="551" w:type="pct"/>
            <w:vAlign w:val="center"/>
          </w:tcPr>
          <w:p w14:paraId="7D87EBC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AC2BFEE">
            <w:pPr>
              <w:autoSpaceDE w:val="0"/>
              <w:autoSpaceDN w:val="0"/>
              <w:adjustRightInd w:val="0"/>
              <w:snapToGrid w:val="0"/>
              <w:jc w:val="center"/>
              <w:rPr>
                <w:rFonts w:ascii="Times New Roman"/>
                <w:sz w:val="21"/>
                <w:szCs w:val="21"/>
              </w:rPr>
            </w:pPr>
          </w:p>
        </w:tc>
        <w:tc>
          <w:tcPr>
            <w:tcW w:w="287" w:type="pct"/>
            <w:vMerge w:val="continue"/>
            <w:vAlign w:val="center"/>
          </w:tcPr>
          <w:p w14:paraId="662966F0">
            <w:pPr>
              <w:autoSpaceDE w:val="0"/>
              <w:autoSpaceDN w:val="0"/>
              <w:adjustRightInd w:val="0"/>
              <w:snapToGrid w:val="0"/>
              <w:jc w:val="center"/>
              <w:rPr>
                <w:rFonts w:ascii="Times New Roman"/>
                <w:sz w:val="21"/>
                <w:szCs w:val="21"/>
              </w:rPr>
            </w:pPr>
          </w:p>
        </w:tc>
        <w:tc>
          <w:tcPr>
            <w:tcW w:w="434" w:type="pct"/>
            <w:vMerge w:val="continue"/>
            <w:vAlign w:val="center"/>
          </w:tcPr>
          <w:p w14:paraId="166CC833">
            <w:pPr>
              <w:autoSpaceDE w:val="0"/>
              <w:autoSpaceDN w:val="0"/>
              <w:adjustRightInd w:val="0"/>
              <w:snapToGrid w:val="0"/>
              <w:jc w:val="center"/>
              <w:rPr>
                <w:rFonts w:ascii="Times New Roman"/>
                <w:sz w:val="21"/>
                <w:szCs w:val="21"/>
              </w:rPr>
            </w:pPr>
          </w:p>
        </w:tc>
      </w:tr>
      <w:tr w14:paraId="2F89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991D74F">
            <w:pPr>
              <w:autoSpaceDE w:val="0"/>
              <w:autoSpaceDN w:val="0"/>
              <w:adjustRightInd w:val="0"/>
              <w:snapToGrid w:val="0"/>
              <w:jc w:val="center"/>
              <w:rPr>
                <w:rFonts w:ascii="Times New Roman"/>
                <w:sz w:val="21"/>
                <w:szCs w:val="21"/>
              </w:rPr>
            </w:pPr>
          </w:p>
        </w:tc>
        <w:tc>
          <w:tcPr>
            <w:tcW w:w="697" w:type="pct"/>
            <w:vAlign w:val="center"/>
          </w:tcPr>
          <w:p w14:paraId="18934AE3">
            <w:pPr>
              <w:autoSpaceDE w:val="0"/>
              <w:autoSpaceDN w:val="0"/>
              <w:adjustRightInd w:val="0"/>
              <w:snapToGrid w:val="0"/>
              <w:jc w:val="center"/>
              <w:rPr>
                <w:rFonts w:ascii="Times New Roman"/>
                <w:sz w:val="21"/>
                <w:szCs w:val="21"/>
              </w:rPr>
            </w:pPr>
            <w:r>
              <w:rPr>
                <w:rFonts w:ascii="Times New Roman"/>
                <w:sz w:val="21"/>
                <w:szCs w:val="21"/>
              </w:rPr>
              <w:t>外侧自动焊机</w:t>
            </w:r>
          </w:p>
        </w:tc>
        <w:tc>
          <w:tcPr>
            <w:tcW w:w="346" w:type="pct"/>
            <w:vAlign w:val="center"/>
          </w:tcPr>
          <w:p w14:paraId="2C3EC29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E174DFD">
            <w:pPr>
              <w:autoSpaceDE w:val="0"/>
              <w:autoSpaceDN w:val="0"/>
              <w:adjustRightInd w:val="0"/>
              <w:snapToGrid w:val="0"/>
              <w:jc w:val="center"/>
              <w:rPr>
                <w:rFonts w:ascii="Times New Roman"/>
                <w:sz w:val="21"/>
                <w:szCs w:val="21"/>
              </w:rPr>
            </w:pPr>
          </w:p>
        </w:tc>
        <w:tc>
          <w:tcPr>
            <w:tcW w:w="208" w:type="pct"/>
            <w:vAlign w:val="center"/>
          </w:tcPr>
          <w:p w14:paraId="4827C031">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58348DA4">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181545BF">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D7A147A">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4F6DBC45">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7EB031D3">
            <w:pPr>
              <w:autoSpaceDE w:val="0"/>
              <w:autoSpaceDN w:val="0"/>
              <w:adjustRightInd w:val="0"/>
              <w:snapToGrid w:val="0"/>
              <w:jc w:val="center"/>
              <w:rPr>
                <w:rFonts w:ascii="Times New Roman"/>
                <w:sz w:val="21"/>
                <w:szCs w:val="21"/>
              </w:rPr>
            </w:pPr>
          </w:p>
        </w:tc>
        <w:tc>
          <w:tcPr>
            <w:tcW w:w="551" w:type="pct"/>
            <w:vAlign w:val="center"/>
          </w:tcPr>
          <w:p w14:paraId="387BF34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3FE51E9">
            <w:pPr>
              <w:autoSpaceDE w:val="0"/>
              <w:autoSpaceDN w:val="0"/>
              <w:adjustRightInd w:val="0"/>
              <w:snapToGrid w:val="0"/>
              <w:jc w:val="center"/>
              <w:rPr>
                <w:rFonts w:ascii="Times New Roman"/>
                <w:sz w:val="21"/>
                <w:szCs w:val="21"/>
              </w:rPr>
            </w:pPr>
          </w:p>
        </w:tc>
        <w:tc>
          <w:tcPr>
            <w:tcW w:w="287" w:type="pct"/>
            <w:vMerge w:val="continue"/>
            <w:vAlign w:val="center"/>
          </w:tcPr>
          <w:p w14:paraId="06830C61">
            <w:pPr>
              <w:autoSpaceDE w:val="0"/>
              <w:autoSpaceDN w:val="0"/>
              <w:adjustRightInd w:val="0"/>
              <w:snapToGrid w:val="0"/>
              <w:jc w:val="center"/>
              <w:rPr>
                <w:rFonts w:ascii="Times New Roman"/>
                <w:sz w:val="21"/>
                <w:szCs w:val="21"/>
              </w:rPr>
            </w:pPr>
          </w:p>
        </w:tc>
        <w:tc>
          <w:tcPr>
            <w:tcW w:w="434" w:type="pct"/>
            <w:vMerge w:val="continue"/>
            <w:vAlign w:val="center"/>
          </w:tcPr>
          <w:p w14:paraId="3B79E207">
            <w:pPr>
              <w:autoSpaceDE w:val="0"/>
              <w:autoSpaceDN w:val="0"/>
              <w:adjustRightInd w:val="0"/>
              <w:snapToGrid w:val="0"/>
              <w:jc w:val="center"/>
              <w:rPr>
                <w:rFonts w:ascii="Times New Roman"/>
                <w:sz w:val="21"/>
                <w:szCs w:val="21"/>
              </w:rPr>
            </w:pPr>
          </w:p>
        </w:tc>
      </w:tr>
      <w:tr w14:paraId="2D29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0B1B1D1">
            <w:pPr>
              <w:autoSpaceDE w:val="0"/>
              <w:autoSpaceDN w:val="0"/>
              <w:adjustRightInd w:val="0"/>
              <w:snapToGrid w:val="0"/>
              <w:jc w:val="center"/>
              <w:rPr>
                <w:rFonts w:ascii="Times New Roman"/>
                <w:sz w:val="21"/>
                <w:szCs w:val="21"/>
              </w:rPr>
            </w:pPr>
          </w:p>
        </w:tc>
        <w:tc>
          <w:tcPr>
            <w:tcW w:w="697" w:type="pct"/>
            <w:vAlign w:val="center"/>
          </w:tcPr>
          <w:p w14:paraId="5E4B4DDD">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6448EEE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A118221">
            <w:pPr>
              <w:autoSpaceDE w:val="0"/>
              <w:autoSpaceDN w:val="0"/>
              <w:adjustRightInd w:val="0"/>
              <w:snapToGrid w:val="0"/>
              <w:jc w:val="center"/>
              <w:rPr>
                <w:rFonts w:ascii="Times New Roman"/>
                <w:sz w:val="21"/>
                <w:szCs w:val="21"/>
              </w:rPr>
            </w:pPr>
          </w:p>
        </w:tc>
        <w:tc>
          <w:tcPr>
            <w:tcW w:w="208" w:type="pct"/>
            <w:vAlign w:val="center"/>
          </w:tcPr>
          <w:p w14:paraId="0DE48843">
            <w:pPr>
              <w:autoSpaceDE w:val="0"/>
              <w:autoSpaceDN w:val="0"/>
              <w:adjustRightInd w:val="0"/>
              <w:snapToGrid w:val="0"/>
              <w:jc w:val="center"/>
              <w:rPr>
                <w:rFonts w:ascii="Times New Roman"/>
                <w:sz w:val="21"/>
                <w:szCs w:val="21"/>
              </w:rPr>
            </w:pPr>
            <w:r>
              <w:rPr>
                <w:rFonts w:ascii="Times New Roman"/>
                <w:sz w:val="21"/>
                <w:szCs w:val="21"/>
              </w:rPr>
              <w:t>260</w:t>
            </w:r>
          </w:p>
        </w:tc>
        <w:tc>
          <w:tcPr>
            <w:tcW w:w="201" w:type="pct"/>
            <w:vAlign w:val="center"/>
          </w:tcPr>
          <w:p w14:paraId="47B55268">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40BDF3F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F249DBD">
            <w:pPr>
              <w:autoSpaceDE w:val="0"/>
              <w:autoSpaceDN w:val="0"/>
              <w:adjustRightInd w:val="0"/>
              <w:snapToGrid w:val="0"/>
              <w:jc w:val="center"/>
              <w:rPr>
                <w:rFonts w:ascii="Times New Roman"/>
                <w:sz w:val="21"/>
                <w:szCs w:val="21"/>
              </w:rPr>
            </w:pPr>
            <w:r>
              <w:rPr>
                <w:rFonts w:ascii="Times New Roman"/>
                <w:sz w:val="21"/>
                <w:szCs w:val="21"/>
              </w:rPr>
              <w:t>58.52</w:t>
            </w:r>
          </w:p>
        </w:tc>
        <w:tc>
          <w:tcPr>
            <w:tcW w:w="358" w:type="pct"/>
            <w:vAlign w:val="center"/>
          </w:tcPr>
          <w:p w14:paraId="54913FDF">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15CAB578">
            <w:pPr>
              <w:autoSpaceDE w:val="0"/>
              <w:autoSpaceDN w:val="0"/>
              <w:adjustRightInd w:val="0"/>
              <w:snapToGrid w:val="0"/>
              <w:jc w:val="center"/>
              <w:rPr>
                <w:rFonts w:ascii="Times New Roman"/>
                <w:sz w:val="21"/>
                <w:szCs w:val="21"/>
              </w:rPr>
            </w:pPr>
          </w:p>
        </w:tc>
        <w:tc>
          <w:tcPr>
            <w:tcW w:w="551" w:type="pct"/>
            <w:vAlign w:val="center"/>
          </w:tcPr>
          <w:p w14:paraId="771929D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88C69BA">
            <w:pPr>
              <w:autoSpaceDE w:val="0"/>
              <w:autoSpaceDN w:val="0"/>
              <w:adjustRightInd w:val="0"/>
              <w:snapToGrid w:val="0"/>
              <w:jc w:val="center"/>
              <w:rPr>
                <w:rFonts w:ascii="Times New Roman"/>
                <w:sz w:val="21"/>
                <w:szCs w:val="21"/>
              </w:rPr>
            </w:pPr>
          </w:p>
        </w:tc>
        <w:tc>
          <w:tcPr>
            <w:tcW w:w="287" w:type="pct"/>
            <w:vMerge w:val="continue"/>
            <w:vAlign w:val="center"/>
          </w:tcPr>
          <w:p w14:paraId="663B794D">
            <w:pPr>
              <w:autoSpaceDE w:val="0"/>
              <w:autoSpaceDN w:val="0"/>
              <w:adjustRightInd w:val="0"/>
              <w:snapToGrid w:val="0"/>
              <w:jc w:val="center"/>
              <w:rPr>
                <w:rFonts w:ascii="Times New Roman"/>
                <w:sz w:val="21"/>
                <w:szCs w:val="21"/>
              </w:rPr>
            </w:pPr>
          </w:p>
        </w:tc>
        <w:tc>
          <w:tcPr>
            <w:tcW w:w="434" w:type="pct"/>
            <w:vMerge w:val="continue"/>
            <w:vAlign w:val="center"/>
          </w:tcPr>
          <w:p w14:paraId="0E1AE905">
            <w:pPr>
              <w:autoSpaceDE w:val="0"/>
              <w:autoSpaceDN w:val="0"/>
              <w:adjustRightInd w:val="0"/>
              <w:snapToGrid w:val="0"/>
              <w:jc w:val="center"/>
              <w:rPr>
                <w:rFonts w:ascii="Times New Roman"/>
                <w:sz w:val="21"/>
                <w:szCs w:val="21"/>
              </w:rPr>
            </w:pPr>
          </w:p>
        </w:tc>
      </w:tr>
      <w:tr w14:paraId="502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1B37692">
            <w:pPr>
              <w:autoSpaceDE w:val="0"/>
              <w:autoSpaceDN w:val="0"/>
              <w:adjustRightInd w:val="0"/>
              <w:snapToGrid w:val="0"/>
              <w:jc w:val="center"/>
              <w:rPr>
                <w:rFonts w:ascii="Times New Roman"/>
                <w:sz w:val="21"/>
                <w:szCs w:val="21"/>
              </w:rPr>
            </w:pPr>
          </w:p>
        </w:tc>
        <w:tc>
          <w:tcPr>
            <w:tcW w:w="697" w:type="pct"/>
            <w:vAlign w:val="center"/>
          </w:tcPr>
          <w:p w14:paraId="64461D9D">
            <w:pPr>
              <w:autoSpaceDE w:val="0"/>
              <w:autoSpaceDN w:val="0"/>
              <w:adjustRightInd w:val="0"/>
              <w:snapToGrid w:val="0"/>
              <w:jc w:val="center"/>
              <w:rPr>
                <w:rFonts w:ascii="Times New Roman"/>
                <w:sz w:val="21"/>
                <w:szCs w:val="21"/>
              </w:rPr>
            </w:pPr>
            <w:r>
              <w:rPr>
                <w:rFonts w:ascii="Times New Roman"/>
                <w:sz w:val="21"/>
                <w:szCs w:val="21"/>
              </w:rPr>
              <w:t>内侧自动焊机</w:t>
            </w:r>
          </w:p>
        </w:tc>
        <w:tc>
          <w:tcPr>
            <w:tcW w:w="346" w:type="pct"/>
            <w:vAlign w:val="center"/>
          </w:tcPr>
          <w:p w14:paraId="2696371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BF8370A">
            <w:pPr>
              <w:autoSpaceDE w:val="0"/>
              <w:autoSpaceDN w:val="0"/>
              <w:adjustRightInd w:val="0"/>
              <w:snapToGrid w:val="0"/>
              <w:jc w:val="center"/>
              <w:rPr>
                <w:rFonts w:ascii="Times New Roman"/>
                <w:sz w:val="21"/>
                <w:szCs w:val="21"/>
              </w:rPr>
            </w:pPr>
          </w:p>
        </w:tc>
        <w:tc>
          <w:tcPr>
            <w:tcW w:w="208" w:type="pct"/>
            <w:vAlign w:val="center"/>
          </w:tcPr>
          <w:p w14:paraId="714F5BE3">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7112EEAC">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3E419BA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45AAC34">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6BFBC9C4">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32A5AC12">
            <w:pPr>
              <w:autoSpaceDE w:val="0"/>
              <w:autoSpaceDN w:val="0"/>
              <w:adjustRightInd w:val="0"/>
              <w:snapToGrid w:val="0"/>
              <w:jc w:val="center"/>
              <w:rPr>
                <w:rFonts w:ascii="Times New Roman"/>
                <w:sz w:val="21"/>
                <w:szCs w:val="21"/>
              </w:rPr>
            </w:pPr>
          </w:p>
        </w:tc>
        <w:tc>
          <w:tcPr>
            <w:tcW w:w="551" w:type="pct"/>
            <w:vAlign w:val="center"/>
          </w:tcPr>
          <w:p w14:paraId="2B1F230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76A68B6">
            <w:pPr>
              <w:autoSpaceDE w:val="0"/>
              <w:autoSpaceDN w:val="0"/>
              <w:adjustRightInd w:val="0"/>
              <w:snapToGrid w:val="0"/>
              <w:jc w:val="center"/>
              <w:rPr>
                <w:rFonts w:ascii="Times New Roman"/>
                <w:sz w:val="21"/>
                <w:szCs w:val="21"/>
              </w:rPr>
            </w:pPr>
          </w:p>
        </w:tc>
        <w:tc>
          <w:tcPr>
            <w:tcW w:w="287" w:type="pct"/>
            <w:vMerge w:val="continue"/>
            <w:vAlign w:val="center"/>
          </w:tcPr>
          <w:p w14:paraId="312A5760">
            <w:pPr>
              <w:autoSpaceDE w:val="0"/>
              <w:autoSpaceDN w:val="0"/>
              <w:adjustRightInd w:val="0"/>
              <w:snapToGrid w:val="0"/>
              <w:jc w:val="center"/>
              <w:rPr>
                <w:rFonts w:ascii="Times New Roman"/>
                <w:sz w:val="21"/>
                <w:szCs w:val="21"/>
              </w:rPr>
            </w:pPr>
          </w:p>
        </w:tc>
        <w:tc>
          <w:tcPr>
            <w:tcW w:w="434" w:type="pct"/>
            <w:vMerge w:val="continue"/>
            <w:vAlign w:val="center"/>
          </w:tcPr>
          <w:p w14:paraId="65554204">
            <w:pPr>
              <w:autoSpaceDE w:val="0"/>
              <w:autoSpaceDN w:val="0"/>
              <w:adjustRightInd w:val="0"/>
              <w:snapToGrid w:val="0"/>
              <w:jc w:val="center"/>
              <w:rPr>
                <w:rFonts w:ascii="Times New Roman"/>
                <w:sz w:val="21"/>
                <w:szCs w:val="21"/>
              </w:rPr>
            </w:pPr>
          </w:p>
        </w:tc>
      </w:tr>
      <w:tr w14:paraId="1188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8880F56">
            <w:pPr>
              <w:autoSpaceDE w:val="0"/>
              <w:autoSpaceDN w:val="0"/>
              <w:adjustRightInd w:val="0"/>
              <w:snapToGrid w:val="0"/>
              <w:jc w:val="center"/>
              <w:rPr>
                <w:rFonts w:ascii="Times New Roman"/>
                <w:sz w:val="21"/>
                <w:szCs w:val="21"/>
              </w:rPr>
            </w:pPr>
          </w:p>
        </w:tc>
        <w:tc>
          <w:tcPr>
            <w:tcW w:w="697" w:type="pct"/>
            <w:vAlign w:val="center"/>
          </w:tcPr>
          <w:p w14:paraId="5E4EA3DB">
            <w:pPr>
              <w:autoSpaceDE w:val="0"/>
              <w:autoSpaceDN w:val="0"/>
              <w:adjustRightInd w:val="0"/>
              <w:snapToGrid w:val="0"/>
              <w:jc w:val="center"/>
              <w:rPr>
                <w:rFonts w:ascii="Times New Roman"/>
                <w:sz w:val="21"/>
                <w:szCs w:val="21"/>
              </w:rPr>
            </w:pPr>
            <w:r>
              <w:rPr>
                <w:rFonts w:ascii="Times New Roman"/>
                <w:sz w:val="21"/>
                <w:szCs w:val="21"/>
              </w:rPr>
              <w:t>外侧自动焊机</w:t>
            </w:r>
          </w:p>
        </w:tc>
        <w:tc>
          <w:tcPr>
            <w:tcW w:w="346" w:type="pct"/>
            <w:vAlign w:val="center"/>
          </w:tcPr>
          <w:p w14:paraId="6AB8796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33EF1AF">
            <w:pPr>
              <w:autoSpaceDE w:val="0"/>
              <w:autoSpaceDN w:val="0"/>
              <w:adjustRightInd w:val="0"/>
              <w:snapToGrid w:val="0"/>
              <w:jc w:val="center"/>
              <w:rPr>
                <w:rFonts w:ascii="Times New Roman"/>
                <w:sz w:val="21"/>
                <w:szCs w:val="21"/>
              </w:rPr>
            </w:pPr>
          </w:p>
        </w:tc>
        <w:tc>
          <w:tcPr>
            <w:tcW w:w="208" w:type="pct"/>
            <w:vAlign w:val="center"/>
          </w:tcPr>
          <w:p w14:paraId="7562E02F">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6D772B56">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42371641">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8B4D570">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104AEACA">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528C028E">
            <w:pPr>
              <w:autoSpaceDE w:val="0"/>
              <w:autoSpaceDN w:val="0"/>
              <w:adjustRightInd w:val="0"/>
              <w:snapToGrid w:val="0"/>
              <w:jc w:val="center"/>
              <w:rPr>
                <w:rFonts w:ascii="Times New Roman"/>
                <w:sz w:val="21"/>
                <w:szCs w:val="21"/>
              </w:rPr>
            </w:pPr>
          </w:p>
        </w:tc>
        <w:tc>
          <w:tcPr>
            <w:tcW w:w="551" w:type="pct"/>
            <w:vAlign w:val="center"/>
          </w:tcPr>
          <w:p w14:paraId="1FF80D8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97538F9">
            <w:pPr>
              <w:autoSpaceDE w:val="0"/>
              <w:autoSpaceDN w:val="0"/>
              <w:adjustRightInd w:val="0"/>
              <w:snapToGrid w:val="0"/>
              <w:jc w:val="center"/>
              <w:rPr>
                <w:rFonts w:ascii="Times New Roman"/>
                <w:sz w:val="21"/>
                <w:szCs w:val="21"/>
              </w:rPr>
            </w:pPr>
          </w:p>
        </w:tc>
        <w:tc>
          <w:tcPr>
            <w:tcW w:w="287" w:type="pct"/>
            <w:vMerge w:val="continue"/>
            <w:vAlign w:val="center"/>
          </w:tcPr>
          <w:p w14:paraId="5F9EFA2B">
            <w:pPr>
              <w:autoSpaceDE w:val="0"/>
              <w:autoSpaceDN w:val="0"/>
              <w:adjustRightInd w:val="0"/>
              <w:snapToGrid w:val="0"/>
              <w:jc w:val="center"/>
              <w:rPr>
                <w:rFonts w:ascii="Times New Roman"/>
                <w:sz w:val="21"/>
                <w:szCs w:val="21"/>
              </w:rPr>
            </w:pPr>
          </w:p>
        </w:tc>
        <w:tc>
          <w:tcPr>
            <w:tcW w:w="434" w:type="pct"/>
            <w:vMerge w:val="continue"/>
            <w:vAlign w:val="center"/>
          </w:tcPr>
          <w:p w14:paraId="5C5F9513">
            <w:pPr>
              <w:autoSpaceDE w:val="0"/>
              <w:autoSpaceDN w:val="0"/>
              <w:adjustRightInd w:val="0"/>
              <w:snapToGrid w:val="0"/>
              <w:jc w:val="center"/>
              <w:rPr>
                <w:rFonts w:ascii="Times New Roman"/>
                <w:sz w:val="21"/>
                <w:szCs w:val="21"/>
              </w:rPr>
            </w:pPr>
          </w:p>
        </w:tc>
      </w:tr>
      <w:tr w14:paraId="1833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D78A89D">
            <w:pPr>
              <w:autoSpaceDE w:val="0"/>
              <w:autoSpaceDN w:val="0"/>
              <w:adjustRightInd w:val="0"/>
              <w:snapToGrid w:val="0"/>
              <w:jc w:val="center"/>
              <w:rPr>
                <w:rFonts w:ascii="Times New Roman"/>
                <w:sz w:val="21"/>
                <w:szCs w:val="21"/>
              </w:rPr>
            </w:pPr>
          </w:p>
        </w:tc>
        <w:tc>
          <w:tcPr>
            <w:tcW w:w="697" w:type="pct"/>
            <w:vAlign w:val="center"/>
          </w:tcPr>
          <w:p w14:paraId="61637821">
            <w:pPr>
              <w:autoSpaceDE w:val="0"/>
              <w:autoSpaceDN w:val="0"/>
              <w:adjustRightInd w:val="0"/>
              <w:snapToGrid w:val="0"/>
              <w:jc w:val="center"/>
              <w:rPr>
                <w:rFonts w:ascii="Times New Roman"/>
                <w:sz w:val="21"/>
                <w:szCs w:val="21"/>
              </w:rPr>
            </w:pPr>
            <w:r>
              <w:rPr>
                <w:rFonts w:ascii="Times New Roman"/>
                <w:sz w:val="21"/>
                <w:szCs w:val="21"/>
              </w:rPr>
              <w:t>外侧自动焊机</w:t>
            </w:r>
          </w:p>
        </w:tc>
        <w:tc>
          <w:tcPr>
            <w:tcW w:w="346" w:type="pct"/>
            <w:vAlign w:val="center"/>
          </w:tcPr>
          <w:p w14:paraId="7BDAA16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2598D4D">
            <w:pPr>
              <w:autoSpaceDE w:val="0"/>
              <w:autoSpaceDN w:val="0"/>
              <w:adjustRightInd w:val="0"/>
              <w:snapToGrid w:val="0"/>
              <w:jc w:val="center"/>
              <w:rPr>
                <w:rFonts w:ascii="Times New Roman"/>
                <w:sz w:val="21"/>
                <w:szCs w:val="21"/>
              </w:rPr>
            </w:pPr>
          </w:p>
        </w:tc>
        <w:tc>
          <w:tcPr>
            <w:tcW w:w="208" w:type="pct"/>
            <w:vAlign w:val="center"/>
          </w:tcPr>
          <w:p w14:paraId="3F65A187">
            <w:pPr>
              <w:autoSpaceDE w:val="0"/>
              <w:autoSpaceDN w:val="0"/>
              <w:adjustRightInd w:val="0"/>
              <w:snapToGrid w:val="0"/>
              <w:jc w:val="center"/>
              <w:rPr>
                <w:rFonts w:ascii="Times New Roman"/>
                <w:sz w:val="21"/>
                <w:szCs w:val="21"/>
              </w:rPr>
            </w:pPr>
            <w:r>
              <w:rPr>
                <w:rFonts w:ascii="Times New Roman"/>
                <w:sz w:val="21"/>
                <w:szCs w:val="21"/>
              </w:rPr>
              <w:t>260</w:t>
            </w:r>
          </w:p>
        </w:tc>
        <w:tc>
          <w:tcPr>
            <w:tcW w:w="201" w:type="pct"/>
            <w:vAlign w:val="center"/>
          </w:tcPr>
          <w:p w14:paraId="5A014090">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7FF8D6A7">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CC59A7B">
            <w:pPr>
              <w:autoSpaceDE w:val="0"/>
              <w:autoSpaceDN w:val="0"/>
              <w:adjustRightInd w:val="0"/>
              <w:snapToGrid w:val="0"/>
              <w:jc w:val="center"/>
              <w:rPr>
                <w:rFonts w:ascii="Times New Roman"/>
                <w:sz w:val="21"/>
                <w:szCs w:val="21"/>
              </w:rPr>
            </w:pPr>
            <w:r>
              <w:rPr>
                <w:rFonts w:ascii="Times New Roman"/>
                <w:sz w:val="21"/>
                <w:szCs w:val="21"/>
              </w:rPr>
              <w:t>58.52</w:t>
            </w:r>
          </w:p>
        </w:tc>
        <w:tc>
          <w:tcPr>
            <w:tcW w:w="358" w:type="pct"/>
            <w:vAlign w:val="center"/>
          </w:tcPr>
          <w:p w14:paraId="2B025A7D">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459BFBBF">
            <w:pPr>
              <w:autoSpaceDE w:val="0"/>
              <w:autoSpaceDN w:val="0"/>
              <w:adjustRightInd w:val="0"/>
              <w:snapToGrid w:val="0"/>
              <w:jc w:val="center"/>
              <w:rPr>
                <w:rFonts w:ascii="Times New Roman"/>
                <w:sz w:val="21"/>
                <w:szCs w:val="21"/>
              </w:rPr>
            </w:pPr>
          </w:p>
        </w:tc>
        <w:tc>
          <w:tcPr>
            <w:tcW w:w="551" w:type="pct"/>
            <w:vAlign w:val="center"/>
          </w:tcPr>
          <w:p w14:paraId="62B1B20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CDFA5AA">
            <w:pPr>
              <w:autoSpaceDE w:val="0"/>
              <w:autoSpaceDN w:val="0"/>
              <w:adjustRightInd w:val="0"/>
              <w:snapToGrid w:val="0"/>
              <w:jc w:val="center"/>
              <w:rPr>
                <w:rFonts w:ascii="Times New Roman"/>
                <w:sz w:val="21"/>
                <w:szCs w:val="21"/>
              </w:rPr>
            </w:pPr>
          </w:p>
        </w:tc>
        <w:tc>
          <w:tcPr>
            <w:tcW w:w="287" w:type="pct"/>
            <w:vMerge w:val="continue"/>
            <w:vAlign w:val="center"/>
          </w:tcPr>
          <w:p w14:paraId="2F261C83">
            <w:pPr>
              <w:autoSpaceDE w:val="0"/>
              <w:autoSpaceDN w:val="0"/>
              <w:adjustRightInd w:val="0"/>
              <w:snapToGrid w:val="0"/>
              <w:jc w:val="center"/>
              <w:rPr>
                <w:rFonts w:ascii="Times New Roman"/>
                <w:sz w:val="21"/>
                <w:szCs w:val="21"/>
              </w:rPr>
            </w:pPr>
          </w:p>
        </w:tc>
        <w:tc>
          <w:tcPr>
            <w:tcW w:w="434" w:type="pct"/>
            <w:vMerge w:val="continue"/>
            <w:vAlign w:val="center"/>
          </w:tcPr>
          <w:p w14:paraId="28359E9C">
            <w:pPr>
              <w:autoSpaceDE w:val="0"/>
              <w:autoSpaceDN w:val="0"/>
              <w:adjustRightInd w:val="0"/>
              <w:snapToGrid w:val="0"/>
              <w:jc w:val="center"/>
              <w:rPr>
                <w:rFonts w:ascii="Times New Roman"/>
                <w:sz w:val="21"/>
                <w:szCs w:val="21"/>
              </w:rPr>
            </w:pPr>
          </w:p>
        </w:tc>
      </w:tr>
      <w:tr w14:paraId="056A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1A23B5F">
            <w:pPr>
              <w:autoSpaceDE w:val="0"/>
              <w:autoSpaceDN w:val="0"/>
              <w:adjustRightInd w:val="0"/>
              <w:snapToGrid w:val="0"/>
              <w:jc w:val="center"/>
              <w:rPr>
                <w:rFonts w:ascii="Times New Roman"/>
                <w:sz w:val="21"/>
                <w:szCs w:val="21"/>
              </w:rPr>
            </w:pPr>
          </w:p>
        </w:tc>
        <w:tc>
          <w:tcPr>
            <w:tcW w:w="697" w:type="pct"/>
            <w:vAlign w:val="center"/>
          </w:tcPr>
          <w:p w14:paraId="328367C9">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4B41ECE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1C35EF0">
            <w:pPr>
              <w:autoSpaceDE w:val="0"/>
              <w:autoSpaceDN w:val="0"/>
              <w:adjustRightInd w:val="0"/>
              <w:snapToGrid w:val="0"/>
              <w:jc w:val="center"/>
              <w:rPr>
                <w:rFonts w:ascii="Times New Roman"/>
                <w:sz w:val="21"/>
                <w:szCs w:val="21"/>
              </w:rPr>
            </w:pPr>
          </w:p>
        </w:tc>
        <w:tc>
          <w:tcPr>
            <w:tcW w:w="208" w:type="pct"/>
            <w:vAlign w:val="center"/>
          </w:tcPr>
          <w:p w14:paraId="16B97176">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25F8762C">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61A4B618">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E5D5D0D">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25287DCC">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26006B01">
            <w:pPr>
              <w:autoSpaceDE w:val="0"/>
              <w:autoSpaceDN w:val="0"/>
              <w:adjustRightInd w:val="0"/>
              <w:snapToGrid w:val="0"/>
              <w:jc w:val="center"/>
              <w:rPr>
                <w:rFonts w:ascii="Times New Roman"/>
                <w:sz w:val="21"/>
                <w:szCs w:val="21"/>
              </w:rPr>
            </w:pPr>
          </w:p>
        </w:tc>
        <w:tc>
          <w:tcPr>
            <w:tcW w:w="551" w:type="pct"/>
            <w:vAlign w:val="center"/>
          </w:tcPr>
          <w:p w14:paraId="45BB616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844EFFB">
            <w:pPr>
              <w:autoSpaceDE w:val="0"/>
              <w:autoSpaceDN w:val="0"/>
              <w:adjustRightInd w:val="0"/>
              <w:snapToGrid w:val="0"/>
              <w:jc w:val="center"/>
              <w:rPr>
                <w:rFonts w:ascii="Times New Roman"/>
                <w:sz w:val="21"/>
                <w:szCs w:val="21"/>
              </w:rPr>
            </w:pPr>
          </w:p>
        </w:tc>
        <w:tc>
          <w:tcPr>
            <w:tcW w:w="287" w:type="pct"/>
            <w:vMerge w:val="continue"/>
            <w:vAlign w:val="center"/>
          </w:tcPr>
          <w:p w14:paraId="72879A07">
            <w:pPr>
              <w:autoSpaceDE w:val="0"/>
              <w:autoSpaceDN w:val="0"/>
              <w:adjustRightInd w:val="0"/>
              <w:snapToGrid w:val="0"/>
              <w:jc w:val="center"/>
              <w:rPr>
                <w:rFonts w:ascii="Times New Roman"/>
                <w:sz w:val="21"/>
                <w:szCs w:val="21"/>
              </w:rPr>
            </w:pPr>
          </w:p>
        </w:tc>
        <w:tc>
          <w:tcPr>
            <w:tcW w:w="434" w:type="pct"/>
            <w:vMerge w:val="continue"/>
            <w:vAlign w:val="center"/>
          </w:tcPr>
          <w:p w14:paraId="6E3C57E2">
            <w:pPr>
              <w:autoSpaceDE w:val="0"/>
              <w:autoSpaceDN w:val="0"/>
              <w:adjustRightInd w:val="0"/>
              <w:snapToGrid w:val="0"/>
              <w:jc w:val="center"/>
              <w:rPr>
                <w:rFonts w:ascii="Times New Roman"/>
                <w:sz w:val="21"/>
                <w:szCs w:val="21"/>
              </w:rPr>
            </w:pPr>
          </w:p>
        </w:tc>
      </w:tr>
      <w:tr w14:paraId="1623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2907EBC">
            <w:pPr>
              <w:autoSpaceDE w:val="0"/>
              <w:autoSpaceDN w:val="0"/>
              <w:adjustRightInd w:val="0"/>
              <w:snapToGrid w:val="0"/>
              <w:jc w:val="center"/>
              <w:rPr>
                <w:rFonts w:ascii="Times New Roman"/>
                <w:sz w:val="21"/>
                <w:szCs w:val="21"/>
              </w:rPr>
            </w:pPr>
          </w:p>
        </w:tc>
        <w:tc>
          <w:tcPr>
            <w:tcW w:w="697" w:type="pct"/>
            <w:vAlign w:val="center"/>
          </w:tcPr>
          <w:p w14:paraId="7E29B170">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30535C8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62F6DFC">
            <w:pPr>
              <w:autoSpaceDE w:val="0"/>
              <w:autoSpaceDN w:val="0"/>
              <w:adjustRightInd w:val="0"/>
              <w:snapToGrid w:val="0"/>
              <w:jc w:val="center"/>
              <w:rPr>
                <w:rFonts w:ascii="Times New Roman"/>
                <w:sz w:val="21"/>
                <w:szCs w:val="21"/>
              </w:rPr>
            </w:pPr>
          </w:p>
        </w:tc>
        <w:tc>
          <w:tcPr>
            <w:tcW w:w="208" w:type="pct"/>
            <w:vAlign w:val="center"/>
          </w:tcPr>
          <w:p w14:paraId="0A4190DD">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5C4183B6">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5BFE7EA0">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5790E0F">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0A5B20A5">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65CBBFDB">
            <w:pPr>
              <w:autoSpaceDE w:val="0"/>
              <w:autoSpaceDN w:val="0"/>
              <w:adjustRightInd w:val="0"/>
              <w:snapToGrid w:val="0"/>
              <w:jc w:val="center"/>
              <w:rPr>
                <w:rFonts w:ascii="Times New Roman"/>
                <w:sz w:val="21"/>
                <w:szCs w:val="21"/>
              </w:rPr>
            </w:pPr>
          </w:p>
        </w:tc>
        <w:tc>
          <w:tcPr>
            <w:tcW w:w="551" w:type="pct"/>
            <w:vAlign w:val="center"/>
          </w:tcPr>
          <w:p w14:paraId="6009DED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BD054E5">
            <w:pPr>
              <w:autoSpaceDE w:val="0"/>
              <w:autoSpaceDN w:val="0"/>
              <w:adjustRightInd w:val="0"/>
              <w:snapToGrid w:val="0"/>
              <w:jc w:val="center"/>
              <w:rPr>
                <w:rFonts w:ascii="Times New Roman"/>
                <w:sz w:val="21"/>
                <w:szCs w:val="21"/>
              </w:rPr>
            </w:pPr>
          </w:p>
        </w:tc>
        <w:tc>
          <w:tcPr>
            <w:tcW w:w="287" w:type="pct"/>
            <w:vMerge w:val="continue"/>
            <w:vAlign w:val="center"/>
          </w:tcPr>
          <w:p w14:paraId="733CEF9C">
            <w:pPr>
              <w:autoSpaceDE w:val="0"/>
              <w:autoSpaceDN w:val="0"/>
              <w:adjustRightInd w:val="0"/>
              <w:snapToGrid w:val="0"/>
              <w:jc w:val="center"/>
              <w:rPr>
                <w:rFonts w:ascii="Times New Roman"/>
                <w:sz w:val="21"/>
                <w:szCs w:val="21"/>
              </w:rPr>
            </w:pPr>
          </w:p>
        </w:tc>
        <w:tc>
          <w:tcPr>
            <w:tcW w:w="434" w:type="pct"/>
            <w:vMerge w:val="continue"/>
            <w:vAlign w:val="center"/>
          </w:tcPr>
          <w:p w14:paraId="4F1233C7">
            <w:pPr>
              <w:autoSpaceDE w:val="0"/>
              <w:autoSpaceDN w:val="0"/>
              <w:adjustRightInd w:val="0"/>
              <w:snapToGrid w:val="0"/>
              <w:jc w:val="center"/>
              <w:rPr>
                <w:rFonts w:ascii="Times New Roman"/>
                <w:sz w:val="21"/>
                <w:szCs w:val="21"/>
              </w:rPr>
            </w:pPr>
          </w:p>
        </w:tc>
      </w:tr>
      <w:tr w14:paraId="4CE1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B68ADB1">
            <w:pPr>
              <w:autoSpaceDE w:val="0"/>
              <w:autoSpaceDN w:val="0"/>
              <w:adjustRightInd w:val="0"/>
              <w:snapToGrid w:val="0"/>
              <w:jc w:val="center"/>
              <w:rPr>
                <w:rFonts w:ascii="Times New Roman"/>
                <w:sz w:val="21"/>
                <w:szCs w:val="21"/>
              </w:rPr>
            </w:pPr>
          </w:p>
        </w:tc>
        <w:tc>
          <w:tcPr>
            <w:tcW w:w="697" w:type="pct"/>
            <w:vAlign w:val="center"/>
          </w:tcPr>
          <w:p w14:paraId="66952655">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5EA8945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9B5A3D8">
            <w:pPr>
              <w:autoSpaceDE w:val="0"/>
              <w:autoSpaceDN w:val="0"/>
              <w:adjustRightInd w:val="0"/>
              <w:snapToGrid w:val="0"/>
              <w:jc w:val="center"/>
              <w:rPr>
                <w:rFonts w:ascii="Times New Roman"/>
                <w:sz w:val="21"/>
                <w:szCs w:val="21"/>
              </w:rPr>
            </w:pPr>
          </w:p>
        </w:tc>
        <w:tc>
          <w:tcPr>
            <w:tcW w:w="208" w:type="pct"/>
            <w:vAlign w:val="center"/>
          </w:tcPr>
          <w:p w14:paraId="3F512E6B">
            <w:pPr>
              <w:autoSpaceDE w:val="0"/>
              <w:autoSpaceDN w:val="0"/>
              <w:adjustRightInd w:val="0"/>
              <w:snapToGrid w:val="0"/>
              <w:jc w:val="center"/>
              <w:rPr>
                <w:rFonts w:ascii="Times New Roman"/>
                <w:sz w:val="21"/>
                <w:szCs w:val="21"/>
              </w:rPr>
            </w:pPr>
            <w:r>
              <w:rPr>
                <w:rFonts w:ascii="Times New Roman"/>
                <w:sz w:val="21"/>
                <w:szCs w:val="21"/>
              </w:rPr>
              <w:t>260</w:t>
            </w:r>
          </w:p>
        </w:tc>
        <w:tc>
          <w:tcPr>
            <w:tcW w:w="201" w:type="pct"/>
            <w:vAlign w:val="center"/>
          </w:tcPr>
          <w:p w14:paraId="2047E921">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5A79178C">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6284FAB">
            <w:pPr>
              <w:autoSpaceDE w:val="0"/>
              <w:autoSpaceDN w:val="0"/>
              <w:adjustRightInd w:val="0"/>
              <w:snapToGrid w:val="0"/>
              <w:jc w:val="center"/>
              <w:rPr>
                <w:rFonts w:ascii="Times New Roman"/>
                <w:sz w:val="21"/>
                <w:szCs w:val="21"/>
              </w:rPr>
            </w:pPr>
            <w:r>
              <w:rPr>
                <w:rFonts w:ascii="Times New Roman"/>
                <w:sz w:val="21"/>
                <w:szCs w:val="21"/>
              </w:rPr>
              <w:t>58.52</w:t>
            </w:r>
          </w:p>
        </w:tc>
        <w:tc>
          <w:tcPr>
            <w:tcW w:w="358" w:type="pct"/>
            <w:vAlign w:val="center"/>
          </w:tcPr>
          <w:p w14:paraId="629CF05D">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293A7AB4">
            <w:pPr>
              <w:autoSpaceDE w:val="0"/>
              <w:autoSpaceDN w:val="0"/>
              <w:adjustRightInd w:val="0"/>
              <w:snapToGrid w:val="0"/>
              <w:jc w:val="center"/>
              <w:rPr>
                <w:rFonts w:ascii="Times New Roman"/>
                <w:sz w:val="21"/>
                <w:szCs w:val="21"/>
              </w:rPr>
            </w:pPr>
          </w:p>
        </w:tc>
        <w:tc>
          <w:tcPr>
            <w:tcW w:w="551" w:type="pct"/>
            <w:vAlign w:val="center"/>
          </w:tcPr>
          <w:p w14:paraId="364D6D8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1A317D7">
            <w:pPr>
              <w:autoSpaceDE w:val="0"/>
              <w:autoSpaceDN w:val="0"/>
              <w:adjustRightInd w:val="0"/>
              <w:snapToGrid w:val="0"/>
              <w:jc w:val="center"/>
              <w:rPr>
                <w:rFonts w:ascii="Times New Roman"/>
                <w:sz w:val="21"/>
                <w:szCs w:val="21"/>
              </w:rPr>
            </w:pPr>
          </w:p>
        </w:tc>
        <w:tc>
          <w:tcPr>
            <w:tcW w:w="287" w:type="pct"/>
            <w:vMerge w:val="continue"/>
            <w:vAlign w:val="center"/>
          </w:tcPr>
          <w:p w14:paraId="007100D6">
            <w:pPr>
              <w:autoSpaceDE w:val="0"/>
              <w:autoSpaceDN w:val="0"/>
              <w:adjustRightInd w:val="0"/>
              <w:snapToGrid w:val="0"/>
              <w:jc w:val="center"/>
              <w:rPr>
                <w:rFonts w:ascii="Times New Roman"/>
                <w:sz w:val="21"/>
                <w:szCs w:val="21"/>
              </w:rPr>
            </w:pPr>
          </w:p>
        </w:tc>
        <w:tc>
          <w:tcPr>
            <w:tcW w:w="434" w:type="pct"/>
            <w:vMerge w:val="continue"/>
            <w:vAlign w:val="center"/>
          </w:tcPr>
          <w:p w14:paraId="7182A09E">
            <w:pPr>
              <w:autoSpaceDE w:val="0"/>
              <w:autoSpaceDN w:val="0"/>
              <w:adjustRightInd w:val="0"/>
              <w:snapToGrid w:val="0"/>
              <w:jc w:val="center"/>
              <w:rPr>
                <w:rFonts w:ascii="Times New Roman"/>
                <w:sz w:val="21"/>
                <w:szCs w:val="21"/>
              </w:rPr>
            </w:pPr>
          </w:p>
        </w:tc>
      </w:tr>
      <w:tr w14:paraId="1295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DAAEDD">
            <w:pPr>
              <w:autoSpaceDE w:val="0"/>
              <w:autoSpaceDN w:val="0"/>
              <w:adjustRightInd w:val="0"/>
              <w:snapToGrid w:val="0"/>
              <w:jc w:val="center"/>
              <w:rPr>
                <w:rFonts w:ascii="Times New Roman"/>
                <w:sz w:val="21"/>
                <w:szCs w:val="21"/>
              </w:rPr>
            </w:pPr>
          </w:p>
        </w:tc>
        <w:tc>
          <w:tcPr>
            <w:tcW w:w="697" w:type="pct"/>
            <w:vAlign w:val="center"/>
          </w:tcPr>
          <w:p w14:paraId="22606E4D">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56E3E2E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0A68331">
            <w:pPr>
              <w:autoSpaceDE w:val="0"/>
              <w:autoSpaceDN w:val="0"/>
              <w:adjustRightInd w:val="0"/>
              <w:snapToGrid w:val="0"/>
              <w:jc w:val="center"/>
              <w:rPr>
                <w:rFonts w:ascii="Times New Roman"/>
                <w:sz w:val="21"/>
                <w:szCs w:val="21"/>
              </w:rPr>
            </w:pPr>
          </w:p>
        </w:tc>
        <w:tc>
          <w:tcPr>
            <w:tcW w:w="208" w:type="pct"/>
            <w:vAlign w:val="center"/>
          </w:tcPr>
          <w:p w14:paraId="2B5F8C25">
            <w:pPr>
              <w:autoSpaceDE w:val="0"/>
              <w:autoSpaceDN w:val="0"/>
              <w:adjustRightInd w:val="0"/>
              <w:snapToGrid w:val="0"/>
              <w:jc w:val="center"/>
              <w:rPr>
                <w:rFonts w:ascii="Times New Roman"/>
                <w:sz w:val="21"/>
                <w:szCs w:val="21"/>
              </w:rPr>
            </w:pPr>
            <w:r>
              <w:rPr>
                <w:rFonts w:ascii="Times New Roman"/>
                <w:sz w:val="21"/>
                <w:szCs w:val="21"/>
              </w:rPr>
              <w:t>265</w:t>
            </w:r>
          </w:p>
        </w:tc>
        <w:tc>
          <w:tcPr>
            <w:tcW w:w="201" w:type="pct"/>
            <w:vAlign w:val="center"/>
          </w:tcPr>
          <w:p w14:paraId="7981BBFA">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4D672EB8">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D1E81A1">
            <w:pPr>
              <w:autoSpaceDE w:val="0"/>
              <w:autoSpaceDN w:val="0"/>
              <w:adjustRightInd w:val="0"/>
              <w:snapToGrid w:val="0"/>
              <w:jc w:val="center"/>
              <w:rPr>
                <w:rFonts w:ascii="Times New Roman"/>
                <w:sz w:val="21"/>
                <w:szCs w:val="21"/>
              </w:rPr>
            </w:pPr>
            <w:r>
              <w:rPr>
                <w:rFonts w:ascii="Times New Roman"/>
                <w:sz w:val="21"/>
                <w:szCs w:val="21"/>
              </w:rPr>
              <w:t>63.52</w:t>
            </w:r>
          </w:p>
        </w:tc>
        <w:tc>
          <w:tcPr>
            <w:tcW w:w="358" w:type="pct"/>
            <w:vAlign w:val="center"/>
          </w:tcPr>
          <w:p w14:paraId="491D92D0">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0B69E21C">
            <w:pPr>
              <w:autoSpaceDE w:val="0"/>
              <w:autoSpaceDN w:val="0"/>
              <w:adjustRightInd w:val="0"/>
              <w:snapToGrid w:val="0"/>
              <w:jc w:val="center"/>
              <w:rPr>
                <w:rFonts w:ascii="Times New Roman"/>
                <w:sz w:val="21"/>
                <w:szCs w:val="21"/>
              </w:rPr>
            </w:pPr>
          </w:p>
        </w:tc>
        <w:tc>
          <w:tcPr>
            <w:tcW w:w="551" w:type="pct"/>
            <w:vAlign w:val="center"/>
          </w:tcPr>
          <w:p w14:paraId="7ADF462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B3513FC">
            <w:pPr>
              <w:autoSpaceDE w:val="0"/>
              <w:autoSpaceDN w:val="0"/>
              <w:adjustRightInd w:val="0"/>
              <w:snapToGrid w:val="0"/>
              <w:jc w:val="center"/>
              <w:rPr>
                <w:rFonts w:ascii="Times New Roman"/>
                <w:sz w:val="21"/>
                <w:szCs w:val="21"/>
              </w:rPr>
            </w:pPr>
          </w:p>
        </w:tc>
        <w:tc>
          <w:tcPr>
            <w:tcW w:w="287" w:type="pct"/>
            <w:vMerge w:val="continue"/>
            <w:vAlign w:val="center"/>
          </w:tcPr>
          <w:p w14:paraId="2B25F21A">
            <w:pPr>
              <w:autoSpaceDE w:val="0"/>
              <w:autoSpaceDN w:val="0"/>
              <w:adjustRightInd w:val="0"/>
              <w:snapToGrid w:val="0"/>
              <w:jc w:val="center"/>
              <w:rPr>
                <w:rFonts w:ascii="Times New Roman"/>
                <w:sz w:val="21"/>
                <w:szCs w:val="21"/>
              </w:rPr>
            </w:pPr>
          </w:p>
        </w:tc>
        <w:tc>
          <w:tcPr>
            <w:tcW w:w="434" w:type="pct"/>
            <w:vMerge w:val="continue"/>
            <w:vAlign w:val="center"/>
          </w:tcPr>
          <w:p w14:paraId="06D33FF8">
            <w:pPr>
              <w:autoSpaceDE w:val="0"/>
              <w:autoSpaceDN w:val="0"/>
              <w:adjustRightInd w:val="0"/>
              <w:snapToGrid w:val="0"/>
              <w:jc w:val="center"/>
              <w:rPr>
                <w:rFonts w:ascii="Times New Roman"/>
                <w:sz w:val="21"/>
                <w:szCs w:val="21"/>
              </w:rPr>
            </w:pPr>
          </w:p>
        </w:tc>
      </w:tr>
      <w:tr w14:paraId="3E0D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39D118D">
            <w:pPr>
              <w:autoSpaceDE w:val="0"/>
              <w:autoSpaceDN w:val="0"/>
              <w:adjustRightInd w:val="0"/>
              <w:snapToGrid w:val="0"/>
              <w:jc w:val="center"/>
              <w:rPr>
                <w:rFonts w:ascii="Times New Roman"/>
                <w:sz w:val="21"/>
                <w:szCs w:val="21"/>
              </w:rPr>
            </w:pPr>
          </w:p>
        </w:tc>
        <w:tc>
          <w:tcPr>
            <w:tcW w:w="697" w:type="pct"/>
            <w:vAlign w:val="center"/>
          </w:tcPr>
          <w:p w14:paraId="133C7964">
            <w:pPr>
              <w:autoSpaceDE w:val="0"/>
              <w:autoSpaceDN w:val="0"/>
              <w:adjustRightInd w:val="0"/>
              <w:snapToGrid w:val="0"/>
              <w:jc w:val="center"/>
              <w:rPr>
                <w:rFonts w:ascii="Times New Roman"/>
                <w:sz w:val="21"/>
                <w:szCs w:val="21"/>
              </w:rPr>
            </w:pPr>
            <w:r>
              <w:rPr>
                <w:rFonts w:ascii="Times New Roman"/>
                <w:sz w:val="21"/>
                <w:szCs w:val="21"/>
              </w:rPr>
              <w:t>大台车炉</w:t>
            </w:r>
          </w:p>
        </w:tc>
        <w:tc>
          <w:tcPr>
            <w:tcW w:w="346" w:type="pct"/>
            <w:vAlign w:val="center"/>
          </w:tcPr>
          <w:p w14:paraId="54F9C3E0">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3A242A0">
            <w:pPr>
              <w:autoSpaceDE w:val="0"/>
              <w:autoSpaceDN w:val="0"/>
              <w:adjustRightInd w:val="0"/>
              <w:snapToGrid w:val="0"/>
              <w:jc w:val="center"/>
              <w:rPr>
                <w:rFonts w:ascii="Times New Roman"/>
                <w:sz w:val="21"/>
                <w:szCs w:val="21"/>
              </w:rPr>
            </w:pPr>
          </w:p>
        </w:tc>
        <w:tc>
          <w:tcPr>
            <w:tcW w:w="208" w:type="pct"/>
            <w:vAlign w:val="center"/>
          </w:tcPr>
          <w:p w14:paraId="60B04F09">
            <w:pPr>
              <w:autoSpaceDE w:val="0"/>
              <w:autoSpaceDN w:val="0"/>
              <w:adjustRightInd w:val="0"/>
              <w:snapToGrid w:val="0"/>
              <w:jc w:val="center"/>
              <w:rPr>
                <w:rFonts w:ascii="Times New Roman"/>
                <w:sz w:val="21"/>
                <w:szCs w:val="21"/>
              </w:rPr>
            </w:pPr>
            <w:r>
              <w:rPr>
                <w:rFonts w:ascii="Times New Roman"/>
                <w:sz w:val="21"/>
                <w:szCs w:val="21"/>
              </w:rPr>
              <w:t>285</w:t>
            </w:r>
          </w:p>
        </w:tc>
        <w:tc>
          <w:tcPr>
            <w:tcW w:w="201" w:type="pct"/>
            <w:vAlign w:val="center"/>
          </w:tcPr>
          <w:p w14:paraId="6D62F92C">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1A8C62DB">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CDBABE2">
            <w:pPr>
              <w:autoSpaceDE w:val="0"/>
              <w:autoSpaceDN w:val="0"/>
              <w:adjustRightInd w:val="0"/>
              <w:snapToGrid w:val="0"/>
              <w:jc w:val="center"/>
              <w:rPr>
                <w:rFonts w:ascii="Times New Roman"/>
                <w:sz w:val="21"/>
                <w:szCs w:val="21"/>
              </w:rPr>
            </w:pPr>
            <w:r>
              <w:rPr>
                <w:rFonts w:ascii="Times New Roman"/>
                <w:sz w:val="21"/>
                <w:szCs w:val="21"/>
              </w:rPr>
              <w:t>83.52</w:t>
            </w:r>
          </w:p>
        </w:tc>
        <w:tc>
          <w:tcPr>
            <w:tcW w:w="358" w:type="pct"/>
            <w:vAlign w:val="center"/>
          </w:tcPr>
          <w:p w14:paraId="6026AC5B">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037E1C27">
            <w:pPr>
              <w:autoSpaceDE w:val="0"/>
              <w:autoSpaceDN w:val="0"/>
              <w:adjustRightInd w:val="0"/>
              <w:snapToGrid w:val="0"/>
              <w:jc w:val="center"/>
              <w:rPr>
                <w:rFonts w:ascii="Times New Roman"/>
                <w:sz w:val="21"/>
                <w:szCs w:val="21"/>
              </w:rPr>
            </w:pPr>
          </w:p>
        </w:tc>
        <w:tc>
          <w:tcPr>
            <w:tcW w:w="551" w:type="pct"/>
            <w:vAlign w:val="center"/>
          </w:tcPr>
          <w:p w14:paraId="5A20F21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33186A6">
            <w:pPr>
              <w:autoSpaceDE w:val="0"/>
              <w:autoSpaceDN w:val="0"/>
              <w:adjustRightInd w:val="0"/>
              <w:snapToGrid w:val="0"/>
              <w:jc w:val="center"/>
              <w:rPr>
                <w:rFonts w:ascii="Times New Roman"/>
                <w:sz w:val="21"/>
                <w:szCs w:val="21"/>
              </w:rPr>
            </w:pPr>
          </w:p>
        </w:tc>
        <w:tc>
          <w:tcPr>
            <w:tcW w:w="287" w:type="pct"/>
            <w:vMerge w:val="continue"/>
            <w:vAlign w:val="center"/>
          </w:tcPr>
          <w:p w14:paraId="73A5E67A">
            <w:pPr>
              <w:autoSpaceDE w:val="0"/>
              <w:autoSpaceDN w:val="0"/>
              <w:adjustRightInd w:val="0"/>
              <w:snapToGrid w:val="0"/>
              <w:jc w:val="center"/>
              <w:rPr>
                <w:rFonts w:ascii="Times New Roman"/>
                <w:sz w:val="21"/>
                <w:szCs w:val="21"/>
              </w:rPr>
            </w:pPr>
          </w:p>
        </w:tc>
        <w:tc>
          <w:tcPr>
            <w:tcW w:w="434" w:type="pct"/>
            <w:vMerge w:val="continue"/>
            <w:vAlign w:val="center"/>
          </w:tcPr>
          <w:p w14:paraId="073AEF32">
            <w:pPr>
              <w:autoSpaceDE w:val="0"/>
              <w:autoSpaceDN w:val="0"/>
              <w:adjustRightInd w:val="0"/>
              <w:snapToGrid w:val="0"/>
              <w:jc w:val="center"/>
              <w:rPr>
                <w:rFonts w:ascii="Times New Roman"/>
                <w:sz w:val="21"/>
                <w:szCs w:val="21"/>
              </w:rPr>
            </w:pPr>
          </w:p>
        </w:tc>
      </w:tr>
      <w:tr w14:paraId="719D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C991E55">
            <w:pPr>
              <w:autoSpaceDE w:val="0"/>
              <w:autoSpaceDN w:val="0"/>
              <w:adjustRightInd w:val="0"/>
              <w:snapToGrid w:val="0"/>
              <w:jc w:val="center"/>
              <w:rPr>
                <w:rFonts w:ascii="Times New Roman"/>
                <w:sz w:val="21"/>
                <w:szCs w:val="21"/>
              </w:rPr>
            </w:pPr>
          </w:p>
        </w:tc>
        <w:tc>
          <w:tcPr>
            <w:tcW w:w="697" w:type="pct"/>
            <w:vAlign w:val="center"/>
          </w:tcPr>
          <w:p w14:paraId="5056007B">
            <w:pPr>
              <w:autoSpaceDE w:val="0"/>
              <w:autoSpaceDN w:val="0"/>
              <w:adjustRightInd w:val="0"/>
              <w:snapToGrid w:val="0"/>
              <w:jc w:val="center"/>
              <w:rPr>
                <w:rFonts w:ascii="Times New Roman"/>
                <w:sz w:val="21"/>
                <w:szCs w:val="21"/>
              </w:rPr>
            </w:pPr>
            <w:r>
              <w:rPr>
                <w:rFonts w:ascii="Times New Roman"/>
                <w:sz w:val="21"/>
                <w:szCs w:val="21"/>
              </w:rPr>
              <w:t>小台车炉</w:t>
            </w:r>
          </w:p>
        </w:tc>
        <w:tc>
          <w:tcPr>
            <w:tcW w:w="346" w:type="pct"/>
            <w:vAlign w:val="center"/>
          </w:tcPr>
          <w:p w14:paraId="5D0F8CF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B614487">
            <w:pPr>
              <w:autoSpaceDE w:val="0"/>
              <w:autoSpaceDN w:val="0"/>
              <w:adjustRightInd w:val="0"/>
              <w:snapToGrid w:val="0"/>
              <w:jc w:val="center"/>
              <w:rPr>
                <w:rFonts w:ascii="Times New Roman"/>
                <w:sz w:val="21"/>
                <w:szCs w:val="21"/>
              </w:rPr>
            </w:pPr>
          </w:p>
        </w:tc>
        <w:tc>
          <w:tcPr>
            <w:tcW w:w="208" w:type="pct"/>
            <w:vAlign w:val="center"/>
          </w:tcPr>
          <w:p w14:paraId="13232F88">
            <w:pPr>
              <w:autoSpaceDE w:val="0"/>
              <w:autoSpaceDN w:val="0"/>
              <w:adjustRightInd w:val="0"/>
              <w:snapToGrid w:val="0"/>
              <w:jc w:val="center"/>
              <w:rPr>
                <w:rFonts w:ascii="Times New Roman"/>
                <w:sz w:val="21"/>
                <w:szCs w:val="21"/>
              </w:rPr>
            </w:pPr>
            <w:r>
              <w:rPr>
                <w:rFonts w:ascii="Times New Roman"/>
                <w:sz w:val="21"/>
                <w:szCs w:val="21"/>
              </w:rPr>
              <w:t>290</w:t>
            </w:r>
          </w:p>
        </w:tc>
        <w:tc>
          <w:tcPr>
            <w:tcW w:w="201" w:type="pct"/>
            <w:vAlign w:val="center"/>
          </w:tcPr>
          <w:p w14:paraId="4D73B7EE">
            <w:pPr>
              <w:autoSpaceDE w:val="0"/>
              <w:autoSpaceDN w:val="0"/>
              <w:adjustRightInd w:val="0"/>
              <w:snapToGrid w:val="0"/>
              <w:jc w:val="center"/>
              <w:rPr>
                <w:rFonts w:ascii="Times New Roman"/>
                <w:sz w:val="21"/>
                <w:szCs w:val="21"/>
              </w:rPr>
            </w:pPr>
            <w:r>
              <w:rPr>
                <w:rFonts w:ascii="Times New Roman"/>
                <w:sz w:val="21"/>
                <w:szCs w:val="21"/>
              </w:rPr>
              <w:t>195</w:t>
            </w:r>
          </w:p>
        </w:tc>
        <w:tc>
          <w:tcPr>
            <w:tcW w:w="240" w:type="pct"/>
            <w:vAlign w:val="center"/>
          </w:tcPr>
          <w:p w14:paraId="680D1C21">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2969F44A">
            <w:pPr>
              <w:autoSpaceDE w:val="0"/>
              <w:autoSpaceDN w:val="0"/>
              <w:adjustRightInd w:val="0"/>
              <w:snapToGrid w:val="0"/>
              <w:jc w:val="center"/>
              <w:rPr>
                <w:rFonts w:ascii="Times New Roman"/>
                <w:sz w:val="21"/>
                <w:szCs w:val="21"/>
              </w:rPr>
            </w:pPr>
            <w:r>
              <w:rPr>
                <w:rFonts w:ascii="Times New Roman"/>
                <w:sz w:val="21"/>
                <w:szCs w:val="21"/>
              </w:rPr>
              <w:t>88.52</w:t>
            </w:r>
          </w:p>
        </w:tc>
        <w:tc>
          <w:tcPr>
            <w:tcW w:w="358" w:type="pct"/>
            <w:vAlign w:val="center"/>
          </w:tcPr>
          <w:p w14:paraId="07EF8412">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52E402D0">
            <w:pPr>
              <w:autoSpaceDE w:val="0"/>
              <w:autoSpaceDN w:val="0"/>
              <w:adjustRightInd w:val="0"/>
              <w:snapToGrid w:val="0"/>
              <w:jc w:val="center"/>
              <w:rPr>
                <w:rFonts w:ascii="Times New Roman"/>
                <w:sz w:val="21"/>
                <w:szCs w:val="21"/>
              </w:rPr>
            </w:pPr>
          </w:p>
        </w:tc>
        <w:tc>
          <w:tcPr>
            <w:tcW w:w="551" w:type="pct"/>
            <w:vAlign w:val="center"/>
          </w:tcPr>
          <w:p w14:paraId="2E120F3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5A7FC94">
            <w:pPr>
              <w:autoSpaceDE w:val="0"/>
              <w:autoSpaceDN w:val="0"/>
              <w:adjustRightInd w:val="0"/>
              <w:snapToGrid w:val="0"/>
              <w:jc w:val="center"/>
              <w:rPr>
                <w:rFonts w:ascii="Times New Roman"/>
                <w:sz w:val="21"/>
                <w:szCs w:val="21"/>
              </w:rPr>
            </w:pPr>
          </w:p>
        </w:tc>
        <w:tc>
          <w:tcPr>
            <w:tcW w:w="287" w:type="pct"/>
            <w:vMerge w:val="continue"/>
            <w:vAlign w:val="center"/>
          </w:tcPr>
          <w:p w14:paraId="7BA232B8">
            <w:pPr>
              <w:autoSpaceDE w:val="0"/>
              <w:autoSpaceDN w:val="0"/>
              <w:adjustRightInd w:val="0"/>
              <w:snapToGrid w:val="0"/>
              <w:jc w:val="center"/>
              <w:rPr>
                <w:rFonts w:ascii="Times New Roman"/>
                <w:sz w:val="21"/>
                <w:szCs w:val="21"/>
              </w:rPr>
            </w:pPr>
          </w:p>
        </w:tc>
        <w:tc>
          <w:tcPr>
            <w:tcW w:w="434" w:type="pct"/>
            <w:vMerge w:val="continue"/>
            <w:vAlign w:val="center"/>
          </w:tcPr>
          <w:p w14:paraId="6826BAFA">
            <w:pPr>
              <w:autoSpaceDE w:val="0"/>
              <w:autoSpaceDN w:val="0"/>
              <w:adjustRightInd w:val="0"/>
              <w:snapToGrid w:val="0"/>
              <w:jc w:val="center"/>
              <w:rPr>
                <w:rFonts w:ascii="Times New Roman"/>
                <w:sz w:val="21"/>
                <w:szCs w:val="21"/>
              </w:rPr>
            </w:pPr>
          </w:p>
        </w:tc>
      </w:tr>
      <w:tr w14:paraId="23B4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7F36505">
            <w:pPr>
              <w:autoSpaceDE w:val="0"/>
              <w:autoSpaceDN w:val="0"/>
              <w:adjustRightInd w:val="0"/>
              <w:snapToGrid w:val="0"/>
              <w:jc w:val="center"/>
              <w:rPr>
                <w:rFonts w:ascii="Times New Roman"/>
                <w:sz w:val="21"/>
                <w:szCs w:val="21"/>
              </w:rPr>
            </w:pPr>
          </w:p>
        </w:tc>
        <w:tc>
          <w:tcPr>
            <w:tcW w:w="697" w:type="pct"/>
            <w:vAlign w:val="center"/>
          </w:tcPr>
          <w:p w14:paraId="1354ACA1">
            <w:pPr>
              <w:autoSpaceDE w:val="0"/>
              <w:autoSpaceDN w:val="0"/>
              <w:adjustRightInd w:val="0"/>
              <w:snapToGrid w:val="0"/>
              <w:jc w:val="center"/>
              <w:rPr>
                <w:rFonts w:ascii="Times New Roman"/>
                <w:sz w:val="21"/>
                <w:szCs w:val="21"/>
              </w:rPr>
            </w:pPr>
            <w:r>
              <w:rPr>
                <w:rFonts w:ascii="Times New Roman"/>
                <w:sz w:val="21"/>
                <w:szCs w:val="21"/>
              </w:rPr>
              <w:t>激光除锈机</w:t>
            </w:r>
          </w:p>
        </w:tc>
        <w:tc>
          <w:tcPr>
            <w:tcW w:w="346" w:type="pct"/>
            <w:vAlign w:val="center"/>
          </w:tcPr>
          <w:p w14:paraId="1789912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9F7D311">
            <w:pPr>
              <w:autoSpaceDE w:val="0"/>
              <w:autoSpaceDN w:val="0"/>
              <w:adjustRightInd w:val="0"/>
              <w:snapToGrid w:val="0"/>
              <w:jc w:val="center"/>
              <w:rPr>
                <w:rFonts w:ascii="Times New Roman"/>
                <w:sz w:val="21"/>
                <w:szCs w:val="21"/>
              </w:rPr>
            </w:pPr>
          </w:p>
        </w:tc>
        <w:tc>
          <w:tcPr>
            <w:tcW w:w="208" w:type="pct"/>
            <w:vAlign w:val="center"/>
          </w:tcPr>
          <w:p w14:paraId="630F0655">
            <w:pPr>
              <w:autoSpaceDE w:val="0"/>
              <w:autoSpaceDN w:val="0"/>
              <w:adjustRightInd w:val="0"/>
              <w:snapToGrid w:val="0"/>
              <w:jc w:val="center"/>
              <w:rPr>
                <w:rFonts w:ascii="Times New Roman"/>
                <w:sz w:val="21"/>
                <w:szCs w:val="21"/>
              </w:rPr>
            </w:pPr>
            <w:r>
              <w:rPr>
                <w:rFonts w:ascii="Times New Roman"/>
                <w:sz w:val="21"/>
                <w:szCs w:val="21"/>
              </w:rPr>
              <w:t>285</w:t>
            </w:r>
          </w:p>
        </w:tc>
        <w:tc>
          <w:tcPr>
            <w:tcW w:w="201" w:type="pct"/>
            <w:vAlign w:val="center"/>
          </w:tcPr>
          <w:p w14:paraId="2D547100">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2C6402E5">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56ED7D61">
            <w:pPr>
              <w:autoSpaceDE w:val="0"/>
              <w:autoSpaceDN w:val="0"/>
              <w:adjustRightInd w:val="0"/>
              <w:snapToGrid w:val="0"/>
              <w:jc w:val="center"/>
              <w:rPr>
                <w:rFonts w:ascii="Times New Roman"/>
                <w:sz w:val="21"/>
                <w:szCs w:val="21"/>
              </w:rPr>
            </w:pPr>
            <w:r>
              <w:rPr>
                <w:rFonts w:ascii="Times New Roman"/>
                <w:sz w:val="21"/>
                <w:szCs w:val="21"/>
              </w:rPr>
              <w:t>83.52</w:t>
            </w:r>
          </w:p>
        </w:tc>
        <w:tc>
          <w:tcPr>
            <w:tcW w:w="358" w:type="pct"/>
            <w:vAlign w:val="center"/>
          </w:tcPr>
          <w:p w14:paraId="71CFD421">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4AFCE6AA">
            <w:pPr>
              <w:autoSpaceDE w:val="0"/>
              <w:autoSpaceDN w:val="0"/>
              <w:adjustRightInd w:val="0"/>
              <w:snapToGrid w:val="0"/>
              <w:jc w:val="center"/>
              <w:rPr>
                <w:rFonts w:ascii="Times New Roman"/>
                <w:sz w:val="21"/>
                <w:szCs w:val="21"/>
              </w:rPr>
            </w:pPr>
          </w:p>
        </w:tc>
        <w:tc>
          <w:tcPr>
            <w:tcW w:w="551" w:type="pct"/>
            <w:vAlign w:val="center"/>
          </w:tcPr>
          <w:p w14:paraId="2886D52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08EC467">
            <w:pPr>
              <w:autoSpaceDE w:val="0"/>
              <w:autoSpaceDN w:val="0"/>
              <w:adjustRightInd w:val="0"/>
              <w:snapToGrid w:val="0"/>
              <w:jc w:val="center"/>
              <w:rPr>
                <w:rFonts w:ascii="Times New Roman"/>
                <w:sz w:val="21"/>
                <w:szCs w:val="21"/>
              </w:rPr>
            </w:pPr>
          </w:p>
        </w:tc>
        <w:tc>
          <w:tcPr>
            <w:tcW w:w="287" w:type="pct"/>
            <w:vMerge w:val="continue"/>
            <w:vAlign w:val="center"/>
          </w:tcPr>
          <w:p w14:paraId="4EF7594E">
            <w:pPr>
              <w:autoSpaceDE w:val="0"/>
              <w:autoSpaceDN w:val="0"/>
              <w:adjustRightInd w:val="0"/>
              <w:snapToGrid w:val="0"/>
              <w:jc w:val="center"/>
              <w:rPr>
                <w:rFonts w:ascii="Times New Roman"/>
                <w:sz w:val="21"/>
                <w:szCs w:val="21"/>
              </w:rPr>
            </w:pPr>
          </w:p>
        </w:tc>
        <w:tc>
          <w:tcPr>
            <w:tcW w:w="434" w:type="pct"/>
            <w:vMerge w:val="continue"/>
            <w:vAlign w:val="center"/>
          </w:tcPr>
          <w:p w14:paraId="45205BFD">
            <w:pPr>
              <w:autoSpaceDE w:val="0"/>
              <w:autoSpaceDN w:val="0"/>
              <w:adjustRightInd w:val="0"/>
              <w:snapToGrid w:val="0"/>
              <w:jc w:val="center"/>
              <w:rPr>
                <w:rFonts w:ascii="Times New Roman"/>
                <w:sz w:val="21"/>
                <w:szCs w:val="21"/>
              </w:rPr>
            </w:pPr>
          </w:p>
        </w:tc>
      </w:tr>
      <w:tr w14:paraId="62E7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3A492F2">
            <w:pPr>
              <w:autoSpaceDE w:val="0"/>
              <w:autoSpaceDN w:val="0"/>
              <w:adjustRightInd w:val="0"/>
              <w:snapToGrid w:val="0"/>
              <w:jc w:val="center"/>
              <w:rPr>
                <w:rFonts w:ascii="Times New Roman"/>
                <w:sz w:val="21"/>
                <w:szCs w:val="21"/>
              </w:rPr>
            </w:pPr>
          </w:p>
        </w:tc>
        <w:tc>
          <w:tcPr>
            <w:tcW w:w="697" w:type="pct"/>
            <w:vAlign w:val="center"/>
          </w:tcPr>
          <w:p w14:paraId="13AD10EF">
            <w:pPr>
              <w:autoSpaceDE w:val="0"/>
              <w:autoSpaceDN w:val="0"/>
              <w:adjustRightInd w:val="0"/>
              <w:snapToGrid w:val="0"/>
              <w:jc w:val="center"/>
              <w:rPr>
                <w:rFonts w:ascii="Times New Roman"/>
                <w:sz w:val="21"/>
                <w:szCs w:val="21"/>
              </w:rPr>
            </w:pPr>
            <w:r>
              <w:rPr>
                <w:rFonts w:ascii="Times New Roman"/>
                <w:sz w:val="21"/>
                <w:szCs w:val="21"/>
              </w:rPr>
              <w:t>数控镗床</w:t>
            </w:r>
          </w:p>
        </w:tc>
        <w:tc>
          <w:tcPr>
            <w:tcW w:w="346" w:type="pct"/>
            <w:vAlign w:val="center"/>
          </w:tcPr>
          <w:p w14:paraId="3DDEBE8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BA08A64">
            <w:pPr>
              <w:autoSpaceDE w:val="0"/>
              <w:autoSpaceDN w:val="0"/>
              <w:adjustRightInd w:val="0"/>
              <w:snapToGrid w:val="0"/>
              <w:jc w:val="center"/>
              <w:rPr>
                <w:rFonts w:ascii="Times New Roman"/>
                <w:sz w:val="21"/>
                <w:szCs w:val="21"/>
              </w:rPr>
            </w:pPr>
          </w:p>
        </w:tc>
        <w:tc>
          <w:tcPr>
            <w:tcW w:w="208" w:type="pct"/>
            <w:vAlign w:val="center"/>
          </w:tcPr>
          <w:p w14:paraId="0E0F0903">
            <w:pPr>
              <w:autoSpaceDE w:val="0"/>
              <w:autoSpaceDN w:val="0"/>
              <w:adjustRightInd w:val="0"/>
              <w:snapToGrid w:val="0"/>
              <w:jc w:val="center"/>
              <w:rPr>
                <w:rFonts w:ascii="Times New Roman"/>
                <w:sz w:val="21"/>
                <w:szCs w:val="21"/>
              </w:rPr>
            </w:pPr>
            <w:r>
              <w:rPr>
                <w:rFonts w:ascii="Times New Roman"/>
                <w:sz w:val="21"/>
                <w:szCs w:val="21"/>
              </w:rPr>
              <w:t>284</w:t>
            </w:r>
          </w:p>
        </w:tc>
        <w:tc>
          <w:tcPr>
            <w:tcW w:w="201" w:type="pct"/>
            <w:vAlign w:val="center"/>
          </w:tcPr>
          <w:p w14:paraId="13186446">
            <w:pPr>
              <w:autoSpaceDE w:val="0"/>
              <w:autoSpaceDN w:val="0"/>
              <w:adjustRightInd w:val="0"/>
              <w:snapToGrid w:val="0"/>
              <w:jc w:val="center"/>
              <w:rPr>
                <w:rFonts w:ascii="Times New Roman"/>
                <w:sz w:val="21"/>
                <w:szCs w:val="21"/>
              </w:rPr>
            </w:pPr>
            <w:r>
              <w:rPr>
                <w:rFonts w:ascii="Times New Roman"/>
                <w:sz w:val="21"/>
                <w:szCs w:val="21"/>
              </w:rPr>
              <w:t>250</w:t>
            </w:r>
          </w:p>
        </w:tc>
        <w:tc>
          <w:tcPr>
            <w:tcW w:w="240" w:type="pct"/>
            <w:vAlign w:val="center"/>
          </w:tcPr>
          <w:p w14:paraId="553618C4">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37FB9580">
            <w:pPr>
              <w:autoSpaceDE w:val="0"/>
              <w:autoSpaceDN w:val="0"/>
              <w:adjustRightInd w:val="0"/>
              <w:snapToGrid w:val="0"/>
              <w:jc w:val="center"/>
              <w:rPr>
                <w:rFonts w:ascii="Times New Roman"/>
                <w:sz w:val="21"/>
                <w:szCs w:val="21"/>
              </w:rPr>
            </w:pPr>
            <w:r>
              <w:rPr>
                <w:rFonts w:ascii="Times New Roman"/>
                <w:sz w:val="21"/>
                <w:szCs w:val="21"/>
              </w:rPr>
              <w:t>82.52</w:t>
            </w:r>
          </w:p>
        </w:tc>
        <w:tc>
          <w:tcPr>
            <w:tcW w:w="358" w:type="pct"/>
            <w:vAlign w:val="center"/>
          </w:tcPr>
          <w:p w14:paraId="4322FE84">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28BA9B40">
            <w:pPr>
              <w:autoSpaceDE w:val="0"/>
              <w:autoSpaceDN w:val="0"/>
              <w:adjustRightInd w:val="0"/>
              <w:snapToGrid w:val="0"/>
              <w:jc w:val="center"/>
              <w:rPr>
                <w:rFonts w:ascii="Times New Roman"/>
                <w:sz w:val="21"/>
                <w:szCs w:val="21"/>
              </w:rPr>
            </w:pPr>
          </w:p>
        </w:tc>
        <w:tc>
          <w:tcPr>
            <w:tcW w:w="551" w:type="pct"/>
            <w:vAlign w:val="center"/>
          </w:tcPr>
          <w:p w14:paraId="504CFAA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D3B56E9">
            <w:pPr>
              <w:autoSpaceDE w:val="0"/>
              <w:autoSpaceDN w:val="0"/>
              <w:adjustRightInd w:val="0"/>
              <w:snapToGrid w:val="0"/>
              <w:jc w:val="center"/>
              <w:rPr>
                <w:rFonts w:ascii="Times New Roman"/>
                <w:sz w:val="21"/>
                <w:szCs w:val="21"/>
              </w:rPr>
            </w:pPr>
          </w:p>
        </w:tc>
        <w:tc>
          <w:tcPr>
            <w:tcW w:w="287" w:type="pct"/>
            <w:vMerge w:val="continue"/>
            <w:vAlign w:val="center"/>
          </w:tcPr>
          <w:p w14:paraId="19DEFE75">
            <w:pPr>
              <w:autoSpaceDE w:val="0"/>
              <w:autoSpaceDN w:val="0"/>
              <w:adjustRightInd w:val="0"/>
              <w:snapToGrid w:val="0"/>
              <w:jc w:val="center"/>
              <w:rPr>
                <w:rFonts w:ascii="Times New Roman"/>
                <w:sz w:val="21"/>
                <w:szCs w:val="21"/>
              </w:rPr>
            </w:pPr>
          </w:p>
        </w:tc>
        <w:tc>
          <w:tcPr>
            <w:tcW w:w="434" w:type="pct"/>
            <w:vMerge w:val="continue"/>
            <w:vAlign w:val="center"/>
          </w:tcPr>
          <w:p w14:paraId="0DB4338F">
            <w:pPr>
              <w:autoSpaceDE w:val="0"/>
              <w:autoSpaceDN w:val="0"/>
              <w:adjustRightInd w:val="0"/>
              <w:snapToGrid w:val="0"/>
              <w:jc w:val="center"/>
              <w:rPr>
                <w:rFonts w:ascii="Times New Roman"/>
                <w:sz w:val="21"/>
                <w:szCs w:val="21"/>
              </w:rPr>
            </w:pPr>
          </w:p>
        </w:tc>
      </w:tr>
      <w:tr w14:paraId="50B7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9153C64">
            <w:pPr>
              <w:autoSpaceDE w:val="0"/>
              <w:autoSpaceDN w:val="0"/>
              <w:adjustRightInd w:val="0"/>
              <w:snapToGrid w:val="0"/>
              <w:jc w:val="center"/>
              <w:rPr>
                <w:rFonts w:ascii="Times New Roman"/>
                <w:sz w:val="21"/>
                <w:szCs w:val="21"/>
              </w:rPr>
            </w:pPr>
          </w:p>
        </w:tc>
        <w:tc>
          <w:tcPr>
            <w:tcW w:w="697" w:type="pct"/>
            <w:vAlign w:val="center"/>
          </w:tcPr>
          <w:p w14:paraId="7922F1CD">
            <w:pPr>
              <w:autoSpaceDE w:val="0"/>
              <w:autoSpaceDN w:val="0"/>
              <w:adjustRightInd w:val="0"/>
              <w:snapToGrid w:val="0"/>
              <w:jc w:val="center"/>
              <w:rPr>
                <w:rFonts w:ascii="Times New Roman"/>
                <w:sz w:val="21"/>
                <w:szCs w:val="21"/>
              </w:rPr>
            </w:pPr>
            <w:r>
              <w:rPr>
                <w:rFonts w:ascii="Times New Roman"/>
                <w:sz w:val="21"/>
                <w:szCs w:val="21"/>
              </w:rPr>
              <w:t>数控落地镗铣床</w:t>
            </w:r>
          </w:p>
        </w:tc>
        <w:tc>
          <w:tcPr>
            <w:tcW w:w="346" w:type="pct"/>
            <w:vAlign w:val="center"/>
          </w:tcPr>
          <w:p w14:paraId="6AED7D0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EDE5A12">
            <w:pPr>
              <w:autoSpaceDE w:val="0"/>
              <w:autoSpaceDN w:val="0"/>
              <w:adjustRightInd w:val="0"/>
              <w:snapToGrid w:val="0"/>
              <w:jc w:val="center"/>
              <w:rPr>
                <w:rFonts w:ascii="Times New Roman"/>
                <w:sz w:val="21"/>
                <w:szCs w:val="21"/>
              </w:rPr>
            </w:pPr>
          </w:p>
        </w:tc>
        <w:tc>
          <w:tcPr>
            <w:tcW w:w="208" w:type="pct"/>
            <w:vAlign w:val="center"/>
          </w:tcPr>
          <w:p w14:paraId="77B5E023">
            <w:pPr>
              <w:autoSpaceDE w:val="0"/>
              <w:autoSpaceDN w:val="0"/>
              <w:adjustRightInd w:val="0"/>
              <w:snapToGrid w:val="0"/>
              <w:jc w:val="center"/>
              <w:rPr>
                <w:rFonts w:ascii="Times New Roman"/>
                <w:sz w:val="21"/>
                <w:szCs w:val="21"/>
              </w:rPr>
            </w:pPr>
            <w:r>
              <w:rPr>
                <w:rFonts w:ascii="Times New Roman"/>
                <w:sz w:val="21"/>
                <w:szCs w:val="21"/>
              </w:rPr>
              <w:t>288</w:t>
            </w:r>
          </w:p>
        </w:tc>
        <w:tc>
          <w:tcPr>
            <w:tcW w:w="201" w:type="pct"/>
            <w:vAlign w:val="center"/>
          </w:tcPr>
          <w:p w14:paraId="6995C611">
            <w:pPr>
              <w:autoSpaceDE w:val="0"/>
              <w:autoSpaceDN w:val="0"/>
              <w:adjustRightInd w:val="0"/>
              <w:snapToGrid w:val="0"/>
              <w:jc w:val="center"/>
              <w:rPr>
                <w:rFonts w:ascii="Times New Roman"/>
                <w:sz w:val="21"/>
                <w:szCs w:val="21"/>
              </w:rPr>
            </w:pPr>
            <w:r>
              <w:rPr>
                <w:rFonts w:ascii="Times New Roman"/>
                <w:sz w:val="21"/>
                <w:szCs w:val="21"/>
              </w:rPr>
              <w:t>250</w:t>
            </w:r>
          </w:p>
        </w:tc>
        <w:tc>
          <w:tcPr>
            <w:tcW w:w="240" w:type="pct"/>
            <w:vAlign w:val="center"/>
          </w:tcPr>
          <w:p w14:paraId="3E55912B">
            <w:pPr>
              <w:autoSpaceDE w:val="0"/>
              <w:autoSpaceDN w:val="0"/>
              <w:adjustRightInd w:val="0"/>
              <w:snapToGrid w:val="0"/>
              <w:jc w:val="center"/>
              <w:rPr>
                <w:rFonts w:ascii="Times New Roman"/>
                <w:sz w:val="21"/>
                <w:szCs w:val="21"/>
              </w:rPr>
            </w:pPr>
            <w:r>
              <w:rPr>
                <w:rFonts w:ascii="Times New Roman"/>
                <w:sz w:val="21"/>
                <w:szCs w:val="21"/>
              </w:rPr>
              <w:t>1</w:t>
            </w:r>
          </w:p>
        </w:tc>
        <w:tc>
          <w:tcPr>
            <w:tcW w:w="346" w:type="pct"/>
            <w:vAlign w:val="center"/>
          </w:tcPr>
          <w:p w14:paraId="225AFABE">
            <w:pPr>
              <w:autoSpaceDE w:val="0"/>
              <w:autoSpaceDN w:val="0"/>
              <w:adjustRightInd w:val="0"/>
              <w:snapToGrid w:val="0"/>
              <w:jc w:val="center"/>
              <w:rPr>
                <w:rFonts w:ascii="Times New Roman"/>
                <w:sz w:val="21"/>
                <w:szCs w:val="21"/>
              </w:rPr>
            </w:pPr>
            <w:r>
              <w:rPr>
                <w:rFonts w:ascii="Times New Roman"/>
                <w:sz w:val="21"/>
                <w:szCs w:val="21"/>
              </w:rPr>
              <w:t>84.6</w:t>
            </w:r>
          </w:p>
        </w:tc>
        <w:tc>
          <w:tcPr>
            <w:tcW w:w="358" w:type="pct"/>
            <w:vAlign w:val="center"/>
          </w:tcPr>
          <w:p w14:paraId="52681629">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2DF0A719">
            <w:pPr>
              <w:autoSpaceDE w:val="0"/>
              <w:autoSpaceDN w:val="0"/>
              <w:adjustRightInd w:val="0"/>
              <w:snapToGrid w:val="0"/>
              <w:jc w:val="center"/>
              <w:rPr>
                <w:rFonts w:ascii="Times New Roman"/>
                <w:sz w:val="21"/>
                <w:szCs w:val="21"/>
              </w:rPr>
            </w:pPr>
          </w:p>
        </w:tc>
        <w:tc>
          <w:tcPr>
            <w:tcW w:w="551" w:type="pct"/>
            <w:vAlign w:val="center"/>
          </w:tcPr>
          <w:p w14:paraId="7B3363F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F26F9FD">
            <w:pPr>
              <w:autoSpaceDE w:val="0"/>
              <w:autoSpaceDN w:val="0"/>
              <w:adjustRightInd w:val="0"/>
              <w:snapToGrid w:val="0"/>
              <w:jc w:val="center"/>
              <w:rPr>
                <w:rFonts w:ascii="Times New Roman"/>
                <w:sz w:val="21"/>
                <w:szCs w:val="21"/>
              </w:rPr>
            </w:pPr>
          </w:p>
        </w:tc>
        <w:tc>
          <w:tcPr>
            <w:tcW w:w="287" w:type="pct"/>
            <w:vMerge w:val="continue"/>
            <w:vAlign w:val="center"/>
          </w:tcPr>
          <w:p w14:paraId="2BBE852E">
            <w:pPr>
              <w:autoSpaceDE w:val="0"/>
              <w:autoSpaceDN w:val="0"/>
              <w:adjustRightInd w:val="0"/>
              <w:snapToGrid w:val="0"/>
              <w:jc w:val="center"/>
              <w:rPr>
                <w:rFonts w:ascii="Times New Roman"/>
                <w:sz w:val="21"/>
                <w:szCs w:val="21"/>
              </w:rPr>
            </w:pPr>
          </w:p>
        </w:tc>
        <w:tc>
          <w:tcPr>
            <w:tcW w:w="434" w:type="pct"/>
            <w:vMerge w:val="continue"/>
            <w:vAlign w:val="center"/>
          </w:tcPr>
          <w:p w14:paraId="42B3CCD7">
            <w:pPr>
              <w:autoSpaceDE w:val="0"/>
              <w:autoSpaceDN w:val="0"/>
              <w:adjustRightInd w:val="0"/>
              <w:snapToGrid w:val="0"/>
              <w:jc w:val="center"/>
              <w:rPr>
                <w:rFonts w:ascii="Times New Roman"/>
                <w:sz w:val="21"/>
                <w:szCs w:val="21"/>
              </w:rPr>
            </w:pPr>
          </w:p>
        </w:tc>
      </w:tr>
      <w:tr w14:paraId="75CE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B309050">
            <w:pPr>
              <w:autoSpaceDE w:val="0"/>
              <w:autoSpaceDN w:val="0"/>
              <w:adjustRightInd w:val="0"/>
              <w:snapToGrid w:val="0"/>
              <w:jc w:val="center"/>
              <w:rPr>
                <w:rFonts w:ascii="Times New Roman"/>
                <w:sz w:val="21"/>
                <w:szCs w:val="21"/>
              </w:rPr>
            </w:pPr>
          </w:p>
        </w:tc>
        <w:tc>
          <w:tcPr>
            <w:tcW w:w="697" w:type="pct"/>
            <w:vAlign w:val="center"/>
          </w:tcPr>
          <w:p w14:paraId="5665690C">
            <w:pPr>
              <w:autoSpaceDE w:val="0"/>
              <w:autoSpaceDN w:val="0"/>
              <w:adjustRightInd w:val="0"/>
              <w:snapToGrid w:val="0"/>
              <w:jc w:val="center"/>
              <w:rPr>
                <w:rFonts w:ascii="Times New Roman"/>
                <w:sz w:val="21"/>
                <w:szCs w:val="21"/>
              </w:rPr>
            </w:pPr>
            <w:r>
              <w:rPr>
                <w:rFonts w:ascii="Times New Roman"/>
                <w:sz w:val="21"/>
                <w:szCs w:val="21"/>
              </w:rPr>
              <w:t>打中心孔设备</w:t>
            </w:r>
          </w:p>
        </w:tc>
        <w:tc>
          <w:tcPr>
            <w:tcW w:w="346" w:type="pct"/>
            <w:vAlign w:val="center"/>
          </w:tcPr>
          <w:p w14:paraId="5EFECBD0">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45CFDACA">
            <w:pPr>
              <w:autoSpaceDE w:val="0"/>
              <w:autoSpaceDN w:val="0"/>
              <w:adjustRightInd w:val="0"/>
              <w:snapToGrid w:val="0"/>
              <w:jc w:val="center"/>
              <w:rPr>
                <w:rFonts w:ascii="Times New Roman"/>
                <w:sz w:val="21"/>
                <w:szCs w:val="21"/>
              </w:rPr>
            </w:pPr>
          </w:p>
        </w:tc>
        <w:tc>
          <w:tcPr>
            <w:tcW w:w="208" w:type="pct"/>
            <w:vAlign w:val="center"/>
          </w:tcPr>
          <w:p w14:paraId="1DE8AD9B">
            <w:pPr>
              <w:autoSpaceDE w:val="0"/>
              <w:autoSpaceDN w:val="0"/>
              <w:adjustRightInd w:val="0"/>
              <w:snapToGrid w:val="0"/>
              <w:jc w:val="center"/>
              <w:rPr>
                <w:rFonts w:ascii="Times New Roman"/>
                <w:sz w:val="21"/>
                <w:szCs w:val="21"/>
              </w:rPr>
            </w:pPr>
            <w:r>
              <w:rPr>
                <w:rFonts w:ascii="Times New Roman"/>
                <w:sz w:val="21"/>
                <w:szCs w:val="21"/>
              </w:rPr>
              <w:t>270</w:t>
            </w:r>
          </w:p>
        </w:tc>
        <w:tc>
          <w:tcPr>
            <w:tcW w:w="201" w:type="pct"/>
            <w:vAlign w:val="center"/>
          </w:tcPr>
          <w:p w14:paraId="1ED68D1B">
            <w:pPr>
              <w:autoSpaceDE w:val="0"/>
              <w:autoSpaceDN w:val="0"/>
              <w:adjustRightInd w:val="0"/>
              <w:snapToGrid w:val="0"/>
              <w:jc w:val="center"/>
              <w:rPr>
                <w:rFonts w:ascii="Times New Roman"/>
                <w:sz w:val="21"/>
                <w:szCs w:val="21"/>
              </w:rPr>
            </w:pPr>
            <w:r>
              <w:rPr>
                <w:rFonts w:ascii="Times New Roman"/>
                <w:sz w:val="21"/>
                <w:szCs w:val="21"/>
              </w:rPr>
              <w:t>255</w:t>
            </w:r>
          </w:p>
        </w:tc>
        <w:tc>
          <w:tcPr>
            <w:tcW w:w="240" w:type="pct"/>
            <w:vAlign w:val="center"/>
          </w:tcPr>
          <w:p w14:paraId="1328765B">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2391199">
            <w:pPr>
              <w:autoSpaceDE w:val="0"/>
              <w:autoSpaceDN w:val="0"/>
              <w:adjustRightInd w:val="0"/>
              <w:snapToGrid w:val="0"/>
              <w:jc w:val="center"/>
              <w:rPr>
                <w:rFonts w:ascii="Times New Roman"/>
                <w:sz w:val="21"/>
                <w:szCs w:val="21"/>
              </w:rPr>
            </w:pPr>
            <w:r>
              <w:rPr>
                <w:rFonts w:ascii="Times New Roman"/>
                <w:sz w:val="21"/>
                <w:szCs w:val="21"/>
              </w:rPr>
              <w:t>68.52</w:t>
            </w:r>
          </w:p>
        </w:tc>
        <w:tc>
          <w:tcPr>
            <w:tcW w:w="358" w:type="pct"/>
            <w:vAlign w:val="center"/>
          </w:tcPr>
          <w:p w14:paraId="47501C58">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2BC614AF">
            <w:pPr>
              <w:autoSpaceDE w:val="0"/>
              <w:autoSpaceDN w:val="0"/>
              <w:adjustRightInd w:val="0"/>
              <w:snapToGrid w:val="0"/>
              <w:jc w:val="center"/>
              <w:rPr>
                <w:rFonts w:ascii="Times New Roman"/>
                <w:sz w:val="21"/>
                <w:szCs w:val="21"/>
              </w:rPr>
            </w:pPr>
          </w:p>
        </w:tc>
        <w:tc>
          <w:tcPr>
            <w:tcW w:w="551" w:type="pct"/>
            <w:vAlign w:val="center"/>
          </w:tcPr>
          <w:p w14:paraId="0037538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DB4C997">
            <w:pPr>
              <w:autoSpaceDE w:val="0"/>
              <w:autoSpaceDN w:val="0"/>
              <w:adjustRightInd w:val="0"/>
              <w:snapToGrid w:val="0"/>
              <w:jc w:val="center"/>
              <w:rPr>
                <w:rFonts w:ascii="Times New Roman"/>
                <w:sz w:val="21"/>
                <w:szCs w:val="21"/>
              </w:rPr>
            </w:pPr>
          </w:p>
        </w:tc>
        <w:tc>
          <w:tcPr>
            <w:tcW w:w="287" w:type="pct"/>
            <w:vMerge w:val="continue"/>
            <w:vAlign w:val="center"/>
          </w:tcPr>
          <w:p w14:paraId="0B66A39A">
            <w:pPr>
              <w:autoSpaceDE w:val="0"/>
              <w:autoSpaceDN w:val="0"/>
              <w:adjustRightInd w:val="0"/>
              <w:snapToGrid w:val="0"/>
              <w:jc w:val="center"/>
              <w:rPr>
                <w:rFonts w:ascii="Times New Roman"/>
                <w:sz w:val="21"/>
                <w:szCs w:val="21"/>
              </w:rPr>
            </w:pPr>
          </w:p>
        </w:tc>
        <w:tc>
          <w:tcPr>
            <w:tcW w:w="434" w:type="pct"/>
            <w:vMerge w:val="continue"/>
            <w:vAlign w:val="center"/>
          </w:tcPr>
          <w:p w14:paraId="264D8253">
            <w:pPr>
              <w:autoSpaceDE w:val="0"/>
              <w:autoSpaceDN w:val="0"/>
              <w:adjustRightInd w:val="0"/>
              <w:snapToGrid w:val="0"/>
              <w:jc w:val="center"/>
              <w:rPr>
                <w:rFonts w:ascii="Times New Roman"/>
                <w:sz w:val="21"/>
                <w:szCs w:val="21"/>
              </w:rPr>
            </w:pPr>
          </w:p>
        </w:tc>
      </w:tr>
      <w:tr w14:paraId="13B8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2AE9C6E">
            <w:pPr>
              <w:autoSpaceDE w:val="0"/>
              <w:autoSpaceDN w:val="0"/>
              <w:adjustRightInd w:val="0"/>
              <w:snapToGrid w:val="0"/>
              <w:jc w:val="center"/>
              <w:rPr>
                <w:rFonts w:ascii="Times New Roman"/>
                <w:sz w:val="21"/>
                <w:szCs w:val="21"/>
              </w:rPr>
            </w:pPr>
          </w:p>
        </w:tc>
        <w:tc>
          <w:tcPr>
            <w:tcW w:w="697" w:type="pct"/>
            <w:vAlign w:val="center"/>
          </w:tcPr>
          <w:p w14:paraId="1AE47F8F">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66E369A7">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6648FD7">
            <w:pPr>
              <w:autoSpaceDE w:val="0"/>
              <w:autoSpaceDN w:val="0"/>
              <w:adjustRightInd w:val="0"/>
              <w:snapToGrid w:val="0"/>
              <w:jc w:val="center"/>
              <w:rPr>
                <w:rFonts w:ascii="Times New Roman"/>
                <w:sz w:val="21"/>
                <w:szCs w:val="21"/>
              </w:rPr>
            </w:pPr>
          </w:p>
        </w:tc>
        <w:tc>
          <w:tcPr>
            <w:tcW w:w="208" w:type="pct"/>
            <w:vAlign w:val="center"/>
          </w:tcPr>
          <w:p w14:paraId="519AA03B">
            <w:pPr>
              <w:autoSpaceDE w:val="0"/>
              <w:autoSpaceDN w:val="0"/>
              <w:adjustRightInd w:val="0"/>
              <w:snapToGrid w:val="0"/>
              <w:jc w:val="center"/>
              <w:rPr>
                <w:rFonts w:ascii="Times New Roman"/>
                <w:sz w:val="21"/>
                <w:szCs w:val="21"/>
              </w:rPr>
            </w:pPr>
            <w:r>
              <w:rPr>
                <w:rFonts w:ascii="Times New Roman"/>
                <w:sz w:val="21"/>
                <w:szCs w:val="21"/>
              </w:rPr>
              <w:t>275</w:t>
            </w:r>
          </w:p>
        </w:tc>
        <w:tc>
          <w:tcPr>
            <w:tcW w:w="201" w:type="pct"/>
            <w:vAlign w:val="center"/>
          </w:tcPr>
          <w:p w14:paraId="7EE23C49">
            <w:pPr>
              <w:autoSpaceDE w:val="0"/>
              <w:autoSpaceDN w:val="0"/>
              <w:adjustRightInd w:val="0"/>
              <w:snapToGrid w:val="0"/>
              <w:jc w:val="center"/>
              <w:rPr>
                <w:rFonts w:ascii="Times New Roman"/>
                <w:sz w:val="21"/>
                <w:szCs w:val="21"/>
              </w:rPr>
            </w:pPr>
            <w:r>
              <w:rPr>
                <w:rFonts w:ascii="Times New Roman"/>
                <w:sz w:val="21"/>
                <w:szCs w:val="21"/>
              </w:rPr>
              <w:t>255</w:t>
            </w:r>
          </w:p>
        </w:tc>
        <w:tc>
          <w:tcPr>
            <w:tcW w:w="240" w:type="pct"/>
            <w:vAlign w:val="center"/>
          </w:tcPr>
          <w:p w14:paraId="6C463185">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33A149F">
            <w:pPr>
              <w:autoSpaceDE w:val="0"/>
              <w:autoSpaceDN w:val="0"/>
              <w:adjustRightInd w:val="0"/>
              <w:snapToGrid w:val="0"/>
              <w:jc w:val="center"/>
              <w:rPr>
                <w:rFonts w:ascii="Times New Roman"/>
                <w:sz w:val="21"/>
                <w:szCs w:val="21"/>
              </w:rPr>
            </w:pPr>
            <w:r>
              <w:rPr>
                <w:rFonts w:ascii="Times New Roman"/>
                <w:sz w:val="21"/>
                <w:szCs w:val="21"/>
              </w:rPr>
              <w:t>73.52</w:t>
            </w:r>
          </w:p>
        </w:tc>
        <w:tc>
          <w:tcPr>
            <w:tcW w:w="358" w:type="pct"/>
            <w:vAlign w:val="center"/>
          </w:tcPr>
          <w:p w14:paraId="28FC92D6">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171FE425">
            <w:pPr>
              <w:autoSpaceDE w:val="0"/>
              <w:autoSpaceDN w:val="0"/>
              <w:adjustRightInd w:val="0"/>
              <w:snapToGrid w:val="0"/>
              <w:jc w:val="center"/>
              <w:rPr>
                <w:rFonts w:ascii="Times New Roman"/>
                <w:sz w:val="21"/>
                <w:szCs w:val="21"/>
              </w:rPr>
            </w:pPr>
          </w:p>
        </w:tc>
        <w:tc>
          <w:tcPr>
            <w:tcW w:w="551" w:type="pct"/>
            <w:vAlign w:val="center"/>
          </w:tcPr>
          <w:p w14:paraId="7F1EB06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5496AB3">
            <w:pPr>
              <w:autoSpaceDE w:val="0"/>
              <w:autoSpaceDN w:val="0"/>
              <w:adjustRightInd w:val="0"/>
              <w:snapToGrid w:val="0"/>
              <w:jc w:val="center"/>
              <w:rPr>
                <w:rFonts w:ascii="Times New Roman"/>
                <w:sz w:val="21"/>
                <w:szCs w:val="21"/>
              </w:rPr>
            </w:pPr>
          </w:p>
        </w:tc>
        <w:tc>
          <w:tcPr>
            <w:tcW w:w="287" w:type="pct"/>
            <w:vMerge w:val="continue"/>
            <w:vAlign w:val="center"/>
          </w:tcPr>
          <w:p w14:paraId="5BE3B99D">
            <w:pPr>
              <w:autoSpaceDE w:val="0"/>
              <w:autoSpaceDN w:val="0"/>
              <w:adjustRightInd w:val="0"/>
              <w:snapToGrid w:val="0"/>
              <w:jc w:val="center"/>
              <w:rPr>
                <w:rFonts w:ascii="Times New Roman"/>
                <w:sz w:val="21"/>
                <w:szCs w:val="21"/>
              </w:rPr>
            </w:pPr>
          </w:p>
        </w:tc>
        <w:tc>
          <w:tcPr>
            <w:tcW w:w="434" w:type="pct"/>
            <w:vMerge w:val="continue"/>
            <w:vAlign w:val="center"/>
          </w:tcPr>
          <w:p w14:paraId="7ECFBE7E">
            <w:pPr>
              <w:autoSpaceDE w:val="0"/>
              <w:autoSpaceDN w:val="0"/>
              <w:adjustRightInd w:val="0"/>
              <w:snapToGrid w:val="0"/>
              <w:jc w:val="center"/>
              <w:rPr>
                <w:rFonts w:ascii="Times New Roman"/>
                <w:sz w:val="21"/>
                <w:szCs w:val="21"/>
              </w:rPr>
            </w:pPr>
          </w:p>
        </w:tc>
      </w:tr>
      <w:tr w14:paraId="1EDB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B121EDD">
            <w:pPr>
              <w:autoSpaceDE w:val="0"/>
              <w:autoSpaceDN w:val="0"/>
              <w:adjustRightInd w:val="0"/>
              <w:snapToGrid w:val="0"/>
              <w:jc w:val="center"/>
              <w:rPr>
                <w:rFonts w:ascii="Times New Roman"/>
                <w:sz w:val="21"/>
                <w:szCs w:val="21"/>
              </w:rPr>
            </w:pPr>
          </w:p>
        </w:tc>
        <w:tc>
          <w:tcPr>
            <w:tcW w:w="697" w:type="pct"/>
            <w:vAlign w:val="center"/>
          </w:tcPr>
          <w:p w14:paraId="5231C306">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3DC0EA77">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AF95694">
            <w:pPr>
              <w:autoSpaceDE w:val="0"/>
              <w:autoSpaceDN w:val="0"/>
              <w:adjustRightInd w:val="0"/>
              <w:snapToGrid w:val="0"/>
              <w:jc w:val="center"/>
              <w:rPr>
                <w:rFonts w:ascii="Times New Roman"/>
                <w:sz w:val="21"/>
                <w:szCs w:val="21"/>
              </w:rPr>
            </w:pPr>
          </w:p>
        </w:tc>
        <w:tc>
          <w:tcPr>
            <w:tcW w:w="208" w:type="pct"/>
            <w:vAlign w:val="center"/>
          </w:tcPr>
          <w:p w14:paraId="5BBC324B">
            <w:pPr>
              <w:autoSpaceDE w:val="0"/>
              <w:autoSpaceDN w:val="0"/>
              <w:adjustRightInd w:val="0"/>
              <w:snapToGrid w:val="0"/>
              <w:jc w:val="center"/>
              <w:rPr>
                <w:rFonts w:ascii="Times New Roman"/>
                <w:sz w:val="21"/>
                <w:szCs w:val="21"/>
              </w:rPr>
            </w:pPr>
            <w:r>
              <w:rPr>
                <w:rFonts w:ascii="Times New Roman"/>
                <w:sz w:val="21"/>
                <w:szCs w:val="21"/>
              </w:rPr>
              <w:t>275</w:t>
            </w:r>
          </w:p>
        </w:tc>
        <w:tc>
          <w:tcPr>
            <w:tcW w:w="201" w:type="pct"/>
            <w:vAlign w:val="center"/>
          </w:tcPr>
          <w:p w14:paraId="6CB540EC">
            <w:pPr>
              <w:autoSpaceDE w:val="0"/>
              <w:autoSpaceDN w:val="0"/>
              <w:adjustRightInd w:val="0"/>
              <w:snapToGrid w:val="0"/>
              <w:jc w:val="center"/>
              <w:rPr>
                <w:rFonts w:ascii="Times New Roman"/>
                <w:sz w:val="21"/>
                <w:szCs w:val="21"/>
              </w:rPr>
            </w:pPr>
            <w:r>
              <w:rPr>
                <w:rFonts w:ascii="Times New Roman"/>
                <w:sz w:val="21"/>
                <w:szCs w:val="21"/>
              </w:rPr>
              <w:t>258</w:t>
            </w:r>
          </w:p>
        </w:tc>
        <w:tc>
          <w:tcPr>
            <w:tcW w:w="240" w:type="pct"/>
            <w:vAlign w:val="center"/>
          </w:tcPr>
          <w:p w14:paraId="31430A12">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B59A512">
            <w:pPr>
              <w:autoSpaceDE w:val="0"/>
              <w:autoSpaceDN w:val="0"/>
              <w:adjustRightInd w:val="0"/>
              <w:snapToGrid w:val="0"/>
              <w:jc w:val="center"/>
              <w:rPr>
                <w:rFonts w:ascii="Times New Roman"/>
                <w:sz w:val="21"/>
                <w:szCs w:val="21"/>
              </w:rPr>
            </w:pPr>
            <w:r>
              <w:rPr>
                <w:rFonts w:ascii="Times New Roman"/>
                <w:sz w:val="21"/>
                <w:szCs w:val="21"/>
              </w:rPr>
              <w:t>73.52</w:t>
            </w:r>
          </w:p>
        </w:tc>
        <w:tc>
          <w:tcPr>
            <w:tcW w:w="358" w:type="pct"/>
            <w:vAlign w:val="center"/>
          </w:tcPr>
          <w:p w14:paraId="205DDD42">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281394A1">
            <w:pPr>
              <w:autoSpaceDE w:val="0"/>
              <w:autoSpaceDN w:val="0"/>
              <w:adjustRightInd w:val="0"/>
              <w:snapToGrid w:val="0"/>
              <w:jc w:val="center"/>
              <w:rPr>
                <w:rFonts w:ascii="Times New Roman"/>
                <w:sz w:val="21"/>
                <w:szCs w:val="21"/>
              </w:rPr>
            </w:pPr>
          </w:p>
        </w:tc>
        <w:tc>
          <w:tcPr>
            <w:tcW w:w="551" w:type="pct"/>
            <w:vAlign w:val="center"/>
          </w:tcPr>
          <w:p w14:paraId="04B811C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FFCB446">
            <w:pPr>
              <w:autoSpaceDE w:val="0"/>
              <w:autoSpaceDN w:val="0"/>
              <w:adjustRightInd w:val="0"/>
              <w:snapToGrid w:val="0"/>
              <w:jc w:val="center"/>
              <w:rPr>
                <w:rFonts w:ascii="Times New Roman"/>
                <w:sz w:val="21"/>
                <w:szCs w:val="21"/>
              </w:rPr>
            </w:pPr>
          </w:p>
        </w:tc>
        <w:tc>
          <w:tcPr>
            <w:tcW w:w="287" w:type="pct"/>
            <w:vMerge w:val="continue"/>
            <w:vAlign w:val="center"/>
          </w:tcPr>
          <w:p w14:paraId="2074C099">
            <w:pPr>
              <w:autoSpaceDE w:val="0"/>
              <w:autoSpaceDN w:val="0"/>
              <w:adjustRightInd w:val="0"/>
              <w:snapToGrid w:val="0"/>
              <w:jc w:val="center"/>
              <w:rPr>
                <w:rFonts w:ascii="Times New Roman"/>
                <w:sz w:val="21"/>
                <w:szCs w:val="21"/>
              </w:rPr>
            </w:pPr>
          </w:p>
        </w:tc>
        <w:tc>
          <w:tcPr>
            <w:tcW w:w="434" w:type="pct"/>
            <w:vMerge w:val="continue"/>
            <w:vAlign w:val="center"/>
          </w:tcPr>
          <w:p w14:paraId="657902A0">
            <w:pPr>
              <w:autoSpaceDE w:val="0"/>
              <w:autoSpaceDN w:val="0"/>
              <w:adjustRightInd w:val="0"/>
              <w:snapToGrid w:val="0"/>
              <w:jc w:val="center"/>
              <w:rPr>
                <w:rFonts w:ascii="Times New Roman"/>
                <w:sz w:val="21"/>
                <w:szCs w:val="21"/>
              </w:rPr>
            </w:pPr>
          </w:p>
        </w:tc>
      </w:tr>
      <w:tr w14:paraId="2E50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4A1A5DE">
            <w:pPr>
              <w:autoSpaceDE w:val="0"/>
              <w:autoSpaceDN w:val="0"/>
              <w:adjustRightInd w:val="0"/>
              <w:snapToGrid w:val="0"/>
              <w:jc w:val="center"/>
              <w:rPr>
                <w:rFonts w:ascii="Times New Roman"/>
                <w:sz w:val="21"/>
                <w:szCs w:val="21"/>
              </w:rPr>
            </w:pPr>
          </w:p>
        </w:tc>
        <w:tc>
          <w:tcPr>
            <w:tcW w:w="697" w:type="pct"/>
            <w:vAlign w:val="center"/>
          </w:tcPr>
          <w:p w14:paraId="42EDDD97">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47928F9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42AB490">
            <w:pPr>
              <w:autoSpaceDE w:val="0"/>
              <w:autoSpaceDN w:val="0"/>
              <w:adjustRightInd w:val="0"/>
              <w:snapToGrid w:val="0"/>
              <w:jc w:val="center"/>
              <w:rPr>
                <w:rFonts w:ascii="Times New Roman"/>
                <w:sz w:val="21"/>
                <w:szCs w:val="21"/>
              </w:rPr>
            </w:pPr>
          </w:p>
        </w:tc>
        <w:tc>
          <w:tcPr>
            <w:tcW w:w="208" w:type="pct"/>
            <w:vAlign w:val="center"/>
          </w:tcPr>
          <w:p w14:paraId="6341127C">
            <w:pPr>
              <w:autoSpaceDE w:val="0"/>
              <w:autoSpaceDN w:val="0"/>
              <w:adjustRightInd w:val="0"/>
              <w:snapToGrid w:val="0"/>
              <w:jc w:val="center"/>
              <w:rPr>
                <w:rFonts w:ascii="Times New Roman"/>
                <w:sz w:val="21"/>
                <w:szCs w:val="21"/>
              </w:rPr>
            </w:pPr>
            <w:r>
              <w:rPr>
                <w:rFonts w:ascii="Times New Roman"/>
                <w:sz w:val="21"/>
                <w:szCs w:val="21"/>
              </w:rPr>
              <w:t>275</w:t>
            </w:r>
          </w:p>
        </w:tc>
        <w:tc>
          <w:tcPr>
            <w:tcW w:w="201" w:type="pct"/>
            <w:vAlign w:val="center"/>
          </w:tcPr>
          <w:p w14:paraId="08EE50B2">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487F7BE6">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B618F58">
            <w:pPr>
              <w:autoSpaceDE w:val="0"/>
              <w:autoSpaceDN w:val="0"/>
              <w:adjustRightInd w:val="0"/>
              <w:snapToGrid w:val="0"/>
              <w:jc w:val="center"/>
              <w:rPr>
                <w:rFonts w:ascii="Times New Roman"/>
                <w:sz w:val="21"/>
                <w:szCs w:val="21"/>
              </w:rPr>
            </w:pPr>
            <w:r>
              <w:rPr>
                <w:rFonts w:ascii="Times New Roman"/>
                <w:sz w:val="21"/>
                <w:szCs w:val="21"/>
              </w:rPr>
              <w:t>73.52</w:t>
            </w:r>
          </w:p>
        </w:tc>
        <w:tc>
          <w:tcPr>
            <w:tcW w:w="358" w:type="pct"/>
            <w:vAlign w:val="center"/>
          </w:tcPr>
          <w:p w14:paraId="12239945">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21178533">
            <w:pPr>
              <w:autoSpaceDE w:val="0"/>
              <w:autoSpaceDN w:val="0"/>
              <w:adjustRightInd w:val="0"/>
              <w:snapToGrid w:val="0"/>
              <w:jc w:val="center"/>
              <w:rPr>
                <w:rFonts w:ascii="Times New Roman"/>
                <w:sz w:val="21"/>
                <w:szCs w:val="21"/>
              </w:rPr>
            </w:pPr>
          </w:p>
        </w:tc>
        <w:tc>
          <w:tcPr>
            <w:tcW w:w="551" w:type="pct"/>
            <w:vAlign w:val="center"/>
          </w:tcPr>
          <w:p w14:paraId="410E9EE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restart"/>
            <w:vAlign w:val="center"/>
          </w:tcPr>
          <w:p w14:paraId="291EFC63">
            <w:pPr>
              <w:autoSpaceDE w:val="0"/>
              <w:autoSpaceDN w:val="0"/>
              <w:adjustRightInd w:val="0"/>
              <w:snapToGrid w:val="0"/>
              <w:jc w:val="center"/>
              <w:rPr>
                <w:rFonts w:ascii="Times New Roman"/>
                <w:sz w:val="21"/>
                <w:szCs w:val="21"/>
              </w:rPr>
            </w:pPr>
            <w:r>
              <w:rPr>
                <w:rFonts w:ascii="Times New Roman"/>
                <w:sz w:val="21"/>
                <w:szCs w:val="21"/>
              </w:rPr>
              <w:t>南边界</w:t>
            </w:r>
          </w:p>
        </w:tc>
        <w:tc>
          <w:tcPr>
            <w:tcW w:w="287" w:type="pct"/>
            <w:vMerge w:val="restart"/>
            <w:vAlign w:val="center"/>
          </w:tcPr>
          <w:p w14:paraId="7C223031">
            <w:pPr>
              <w:autoSpaceDE w:val="0"/>
              <w:autoSpaceDN w:val="0"/>
              <w:adjustRightInd w:val="0"/>
              <w:snapToGrid w:val="0"/>
              <w:jc w:val="center"/>
              <w:rPr>
                <w:rFonts w:ascii="Times New Roman"/>
                <w:sz w:val="21"/>
                <w:szCs w:val="21"/>
              </w:rPr>
            </w:pPr>
            <w:r>
              <w:rPr>
                <w:rFonts w:ascii="Times New Roman"/>
                <w:sz w:val="21"/>
                <w:szCs w:val="21"/>
              </w:rPr>
              <w:t>40.8</w:t>
            </w:r>
          </w:p>
        </w:tc>
        <w:tc>
          <w:tcPr>
            <w:tcW w:w="434" w:type="pct"/>
            <w:vMerge w:val="continue"/>
            <w:vAlign w:val="center"/>
          </w:tcPr>
          <w:p w14:paraId="7BAEAAAD">
            <w:pPr>
              <w:autoSpaceDE w:val="0"/>
              <w:autoSpaceDN w:val="0"/>
              <w:adjustRightInd w:val="0"/>
              <w:snapToGrid w:val="0"/>
              <w:jc w:val="center"/>
              <w:rPr>
                <w:rFonts w:ascii="Times New Roman"/>
                <w:sz w:val="21"/>
                <w:szCs w:val="21"/>
              </w:rPr>
            </w:pPr>
          </w:p>
        </w:tc>
      </w:tr>
      <w:tr w14:paraId="2137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88B2667">
            <w:pPr>
              <w:autoSpaceDE w:val="0"/>
              <w:autoSpaceDN w:val="0"/>
              <w:adjustRightInd w:val="0"/>
              <w:snapToGrid w:val="0"/>
              <w:jc w:val="center"/>
              <w:rPr>
                <w:rFonts w:ascii="Times New Roman"/>
                <w:sz w:val="21"/>
                <w:szCs w:val="21"/>
              </w:rPr>
            </w:pPr>
          </w:p>
        </w:tc>
        <w:tc>
          <w:tcPr>
            <w:tcW w:w="697" w:type="pct"/>
            <w:vAlign w:val="center"/>
          </w:tcPr>
          <w:p w14:paraId="0560BA15">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6513AB6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1E5984A">
            <w:pPr>
              <w:autoSpaceDE w:val="0"/>
              <w:autoSpaceDN w:val="0"/>
              <w:adjustRightInd w:val="0"/>
              <w:snapToGrid w:val="0"/>
              <w:jc w:val="center"/>
              <w:rPr>
                <w:rFonts w:ascii="Times New Roman"/>
                <w:sz w:val="21"/>
                <w:szCs w:val="21"/>
              </w:rPr>
            </w:pPr>
          </w:p>
        </w:tc>
        <w:tc>
          <w:tcPr>
            <w:tcW w:w="208" w:type="pct"/>
            <w:vAlign w:val="center"/>
          </w:tcPr>
          <w:p w14:paraId="5963B3D2">
            <w:pPr>
              <w:autoSpaceDE w:val="0"/>
              <w:autoSpaceDN w:val="0"/>
              <w:adjustRightInd w:val="0"/>
              <w:snapToGrid w:val="0"/>
              <w:jc w:val="center"/>
              <w:rPr>
                <w:rFonts w:ascii="Times New Roman"/>
                <w:sz w:val="21"/>
                <w:szCs w:val="21"/>
              </w:rPr>
            </w:pPr>
            <w:r>
              <w:rPr>
                <w:rFonts w:ascii="Times New Roman"/>
                <w:sz w:val="21"/>
                <w:szCs w:val="21"/>
              </w:rPr>
              <w:t>275</w:t>
            </w:r>
          </w:p>
        </w:tc>
        <w:tc>
          <w:tcPr>
            <w:tcW w:w="201" w:type="pct"/>
            <w:vAlign w:val="center"/>
          </w:tcPr>
          <w:p w14:paraId="5EFA13E7">
            <w:pPr>
              <w:autoSpaceDE w:val="0"/>
              <w:autoSpaceDN w:val="0"/>
              <w:adjustRightInd w:val="0"/>
              <w:snapToGrid w:val="0"/>
              <w:jc w:val="center"/>
              <w:rPr>
                <w:rFonts w:ascii="Times New Roman"/>
                <w:sz w:val="21"/>
                <w:szCs w:val="21"/>
              </w:rPr>
            </w:pPr>
            <w:r>
              <w:rPr>
                <w:rFonts w:ascii="Times New Roman"/>
                <w:sz w:val="21"/>
                <w:szCs w:val="21"/>
              </w:rPr>
              <w:t>262</w:t>
            </w:r>
          </w:p>
        </w:tc>
        <w:tc>
          <w:tcPr>
            <w:tcW w:w="240" w:type="pct"/>
            <w:vAlign w:val="center"/>
          </w:tcPr>
          <w:p w14:paraId="106D5281">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1FDBE29">
            <w:pPr>
              <w:autoSpaceDE w:val="0"/>
              <w:autoSpaceDN w:val="0"/>
              <w:adjustRightInd w:val="0"/>
              <w:snapToGrid w:val="0"/>
              <w:jc w:val="center"/>
              <w:rPr>
                <w:rFonts w:ascii="Times New Roman"/>
                <w:sz w:val="21"/>
                <w:szCs w:val="21"/>
              </w:rPr>
            </w:pPr>
            <w:r>
              <w:rPr>
                <w:rFonts w:ascii="Times New Roman"/>
                <w:sz w:val="21"/>
                <w:szCs w:val="21"/>
              </w:rPr>
              <w:t>73.52</w:t>
            </w:r>
          </w:p>
        </w:tc>
        <w:tc>
          <w:tcPr>
            <w:tcW w:w="358" w:type="pct"/>
            <w:vAlign w:val="center"/>
          </w:tcPr>
          <w:p w14:paraId="713FAC12">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0A1070D9">
            <w:pPr>
              <w:autoSpaceDE w:val="0"/>
              <w:autoSpaceDN w:val="0"/>
              <w:adjustRightInd w:val="0"/>
              <w:snapToGrid w:val="0"/>
              <w:jc w:val="center"/>
              <w:rPr>
                <w:rFonts w:ascii="Times New Roman"/>
                <w:sz w:val="21"/>
                <w:szCs w:val="21"/>
              </w:rPr>
            </w:pPr>
          </w:p>
        </w:tc>
        <w:tc>
          <w:tcPr>
            <w:tcW w:w="551" w:type="pct"/>
            <w:vAlign w:val="center"/>
          </w:tcPr>
          <w:p w14:paraId="29C15CC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06D95EA">
            <w:pPr>
              <w:autoSpaceDE w:val="0"/>
              <w:autoSpaceDN w:val="0"/>
              <w:adjustRightInd w:val="0"/>
              <w:snapToGrid w:val="0"/>
              <w:jc w:val="center"/>
              <w:rPr>
                <w:rFonts w:ascii="Times New Roman"/>
                <w:sz w:val="21"/>
                <w:szCs w:val="21"/>
              </w:rPr>
            </w:pPr>
          </w:p>
        </w:tc>
        <w:tc>
          <w:tcPr>
            <w:tcW w:w="287" w:type="pct"/>
            <w:vMerge w:val="continue"/>
            <w:vAlign w:val="center"/>
          </w:tcPr>
          <w:p w14:paraId="58B3F165">
            <w:pPr>
              <w:autoSpaceDE w:val="0"/>
              <w:autoSpaceDN w:val="0"/>
              <w:adjustRightInd w:val="0"/>
              <w:snapToGrid w:val="0"/>
              <w:jc w:val="center"/>
              <w:rPr>
                <w:rFonts w:ascii="Times New Roman"/>
                <w:sz w:val="21"/>
                <w:szCs w:val="21"/>
              </w:rPr>
            </w:pPr>
          </w:p>
        </w:tc>
        <w:tc>
          <w:tcPr>
            <w:tcW w:w="434" w:type="pct"/>
            <w:vMerge w:val="continue"/>
            <w:vAlign w:val="center"/>
          </w:tcPr>
          <w:p w14:paraId="1DF9AD53">
            <w:pPr>
              <w:autoSpaceDE w:val="0"/>
              <w:autoSpaceDN w:val="0"/>
              <w:adjustRightInd w:val="0"/>
              <w:snapToGrid w:val="0"/>
              <w:jc w:val="center"/>
              <w:rPr>
                <w:rFonts w:ascii="Times New Roman"/>
                <w:sz w:val="21"/>
                <w:szCs w:val="21"/>
              </w:rPr>
            </w:pPr>
          </w:p>
        </w:tc>
      </w:tr>
      <w:tr w14:paraId="4A9B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AA26854">
            <w:pPr>
              <w:autoSpaceDE w:val="0"/>
              <w:autoSpaceDN w:val="0"/>
              <w:adjustRightInd w:val="0"/>
              <w:snapToGrid w:val="0"/>
              <w:jc w:val="center"/>
              <w:rPr>
                <w:rFonts w:ascii="Times New Roman"/>
                <w:sz w:val="21"/>
                <w:szCs w:val="21"/>
              </w:rPr>
            </w:pPr>
          </w:p>
        </w:tc>
        <w:tc>
          <w:tcPr>
            <w:tcW w:w="697" w:type="pct"/>
            <w:vAlign w:val="center"/>
          </w:tcPr>
          <w:p w14:paraId="6BAF5B3B">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63A00FF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FED7461">
            <w:pPr>
              <w:autoSpaceDE w:val="0"/>
              <w:autoSpaceDN w:val="0"/>
              <w:adjustRightInd w:val="0"/>
              <w:snapToGrid w:val="0"/>
              <w:jc w:val="center"/>
              <w:rPr>
                <w:rFonts w:ascii="Times New Roman"/>
                <w:sz w:val="21"/>
                <w:szCs w:val="21"/>
              </w:rPr>
            </w:pPr>
          </w:p>
        </w:tc>
        <w:tc>
          <w:tcPr>
            <w:tcW w:w="208" w:type="pct"/>
            <w:vAlign w:val="center"/>
          </w:tcPr>
          <w:p w14:paraId="37D744FF">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5E42F0C3">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4C183328">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3FFBB698">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30C0FB53">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7E65FBF2">
            <w:pPr>
              <w:autoSpaceDE w:val="0"/>
              <w:autoSpaceDN w:val="0"/>
              <w:adjustRightInd w:val="0"/>
              <w:snapToGrid w:val="0"/>
              <w:jc w:val="center"/>
              <w:rPr>
                <w:rFonts w:ascii="Times New Roman"/>
                <w:sz w:val="21"/>
                <w:szCs w:val="21"/>
              </w:rPr>
            </w:pPr>
          </w:p>
        </w:tc>
        <w:tc>
          <w:tcPr>
            <w:tcW w:w="551" w:type="pct"/>
            <w:vAlign w:val="center"/>
          </w:tcPr>
          <w:p w14:paraId="46D6FE0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518D1CB">
            <w:pPr>
              <w:autoSpaceDE w:val="0"/>
              <w:autoSpaceDN w:val="0"/>
              <w:adjustRightInd w:val="0"/>
              <w:snapToGrid w:val="0"/>
              <w:jc w:val="center"/>
              <w:rPr>
                <w:rFonts w:ascii="Times New Roman"/>
                <w:sz w:val="21"/>
                <w:szCs w:val="21"/>
              </w:rPr>
            </w:pPr>
          </w:p>
        </w:tc>
        <w:tc>
          <w:tcPr>
            <w:tcW w:w="287" w:type="pct"/>
            <w:vMerge w:val="continue"/>
            <w:vAlign w:val="center"/>
          </w:tcPr>
          <w:p w14:paraId="26F08123">
            <w:pPr>
              <w:autoSpaceDE w:val="0"/>
              <w:autoSpaceDN w:val="0"/>
              <w:adjustRightInd w:val="0"/>
              <w:snapToGrid w:val="0"/>
              <w:jc w:val="center"/>
              <w:rPr>
                <w:rFonts w:ascii="Times New Roman"/>
                <w:sz w:val="21"/>
                <w:szCs w:val="21"/>
              </w:rPr>
            </w:pPr>
          </w:p>
        </w:tc>
        <w:tc>
          <w:tcPr>
            <w:tcW w:w="434" w:type="pct"/>
            <w:vMerge w:val="continue"/>
            <w:vAlign w:val="center"/>
          </w:tcPr>
          <w:p w14:paraId="7457D710">
            <w:pPr>
              <w:autoSpaceDE w:val="0"/>
              <w:autoSpaceDN w:val="0"/>
              <w:adjustRightInd w:val="0"/>
              <w:snapToGrid w:val="0"/>
              <w:jc w:val="center"/>
              <w:rPr>
                <w:rFonts w:ascii="Times New Roman"/>
                <w:sz w:val="21"/>
                <w:szCs w:val="21"/>
              </w:rPr>
            </w:pPr>
          </w:p>
        </w:tc>
      </w:tr>
      <w:tr w14:paraId="6A06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70E043F">
            <w:pPr>
              <w:autoSpaceDE w:val="0"/>
              <w:autoSpaceDN w:val="0"/>
              <w:adjustRightInd w:val="0"/>
              <w:snapToGrid w:val="0"/>
              <w:jc w:val="center"/>
              <w:rPr>
                <w:rFonts w:ascii="Times New Roman"/>
                <w:sz w:val="21"/>
                <w:szCs w:val="21"/>
              </w:rPr>
            </w:pPr>
          </w:p>
        </w:tc>
        <w:tc>
          <w:tcPr>
            <w:tcW w:w="697" w:type="pct"/>
            <w:vAlign w:val="center"/>
          </w:tcPr>
          <w:p w14:paraId="330E7099">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10A164DF">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AA6A8F4">
            <w:pPr>
              <w:autoSpaceDE w:val="0"/>
              <w:autoSpaceDN w:val="0"/>
              <w:adjustRightInd w:val="0"/>
              <w:snapToGrid w:val="0"/>
              <w:jc w:val="center"/>
              <w:rPr>
                <w:rFonts w:ascii="Times New Roman"/>
                <w:sz w:val="21"/>
                <w:szCs w:val="21"/>
              </w:rPr>
            </w:pPr>
          </w:p>
        </w:tc>
        <w:tc>
          <w:tcPr>
            <w:tcW w:w="208" w:type="pct"/>
            <w:vAlign w:val="center"/>
          </w:tcPr>
          <w:p w14:paraId="74538427">
            <w:pPr>
              <w:autoSpaceDE w:val="0"/>
              <w:autoSpaceDN w:val="0"/>
              <w:adjustRightInd w:val="0"/>
              <w:snapToGrid w:val="0"/>
              <w:jc w:val="center"/>
              <w:rPr>
                <w:rFonts w:ascii="Times New Roman"/>
                <w:sz w:val="21"/>
                <w:szCs w:val="21"/>
              </w:rPr>
            </w:pPr>
            <w:r>
              <w:rPr>
                <w:rFonts w:ascii="Times New Roman"/>
                <w:sz w:val="21"/>
                <w:szCs w:val="21"/>
              </w:rPr>
              <w:t>257</w:t>
            </w:r>
          </w:p>
        </w:tc>
        <w:tc>
          <w:tcPr>
            <w:tcW w:w="201" w:type="pct"/>
            <w:vAlign w:val="center"/>
          </w:tcPr>
          <w:p w14:paraId="2FC5DC7A">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5BD0749D">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02991A25">
            <w:pPr>
              <w:autoSpaceDE w:val="0"/>
              <w:autoSpaceDN w:val="0"/>
              <w:adjustRightInd w:val="0"/>
              <w:snapToGrid w:val="0"/>
              <w:jc w:val="center"/>
              <w:rPr>
                <w:rFonts w:ascii="Times New Roman"/>
                <w:sz w:val="21"/>
                <w:szCs w:val="21"/>
              </w:rPr>
            </w:pPr>
            <w:r>
              <w:rPr>
                <w:rFonts w:ascii="Times New Roman"/>
                <w:sz w:val="21"/>
                <w:szCs w:val="21"/>
              </w:rPr>
              <w:t>55.52</w:t>
            </w:r>
          </w:p>
        </w:tc>
        <w:tc>
          <w:tcPr>
            <w:tcW w:w="358" w:type="pct"/>
            <w:vAlign w:val="center"/>
          </w:tcPr>
          <w:p w14:paraId="2C3834B9">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2C504026">
            <w:pPr>
              <w:autoSpaceDE w:val="0"/>
              <w:autoSpaceDN w:val="0"/>
              <w:adjustRightInd w:val="0"/>
              <w:snapToGrid w:val="0"/>
              <w:jc w:val="center"/>
              <w:rPr>
                <w:rFonts w:ascii="Times New Roman"/>
                <w:sz w:val="21"/>
                <w:szCs w:val="21"/>
              </w:rPr>
            </w:pPr>
          </w:p>
        </w:tc>
        <w:tc>
          <w:tcPr>
            <w:tcW w:w="551" w:type="pct"/>
            <w:vAlign w:val="center"/>
          </w:tcPr>
          <w:p w14:paraId="1FBE01F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7B4264B">
            <w:pPr>
              <w:autoSpaceDE w:val="0"/>
              <w:autoSpaceDN w:val="0"/>
              <w:adjustRightInd w:val="0"/>
              <w:snapToGrid w:val="0"/>
              <w:jc w:val="center"/>
              <w:rPr>
                <w:rFonts w:ascii="Times New Roman"/>
                <w:sz w:val="21"/>
                <w:szCs w:val="21"/>
              </w:rPr>
            </w:pPr>
          </w:p>
        </w:tc>
        <w:tc>
          <w:tcPr>
            <w:tcW w:w="287" w:type="pct"/>
            <w:vMerge w:val="continue"/>
            <w:vAlign w:val="center"/>
          </w:tcPr>
          <w:p w14:paraId="5D8D4F2A">
            <w:pPr>
              <w:autoSpaceDE w:val="0"/>
              <w:autoSpaceDN w:val="0"/>
              <w:adjustRightInd w:val="0"/>
              <w:snapToGrid w:val="0"/>
              <w:jc w:val="center"/>
              <w:rPr>
                <w:rFonts w:ascii="Times New Roman"/>
                <w:sz w:val="21"/>
                <w:szCs w:val="21"/>
              </w:rPr>
            </w:pPr>
          </w:p>
        </w:tc>
        <w:tc>
          <w:tcPr>
            <w:tcW w:w="434" w:type="pct"/>
            <w:vMerge w:val="continue"/>
            <w:vAlign w:val="center"/>
          </w:tcPr>
          <w:p w14:paraId="46A4F413">
            <w:pPr>
              <w:autoSpaceDE w:val="0"/>
              <w:autoSpaceDN w:val="0"/>
              <w:adjustRightInd w:val="0"/>
              <w:snapToGrid w:val="0"/>
              <w:jc w:val="center"/>
              <w:rPr>
                <w:rFonts w:ascii="Times New Roman"/>
                <w:sz w:val="21"/>
                <w:szCs w:val="21"/>
              </w:rPr>
            </w:pPr>
          </w:p>
        </w:tc>
      </w:tr>
      <w:tr w14:paraId="4370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C77CE13">
            <w:pPr>
              <w:autoSpaceDE w:val="0"/>
              <w:autoSpaceDN w:val="0"/>
              <w:adjustRightInd w:val="0"/>
              <w:snapToGrid w:val="0"/>
              <w:jc w:val="center"/>
              <w:rPr>
                <w:rFonts w:ascii="Times New Roman"/>
                <w:sz w:val="21"/>
                <w:szCs w:val="21"/>
              </w:rPr>
            </w:pPr>
          </w:p>
        </w:tc>
        <w:tc>
          <w:tcPr>
            <w:tcW w:w="697" w:type="pct"/>
            <w:vAlign w:val="center"/>
          </w:tcPr>
          <w:p w14:paraId="5F0DD47E">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7FF91B2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7120B5B">
            <w:pPr>
              <w:autoSpaceDE w:val="0"/>
              <w:autoSpaceDN w:val="0"/>
              <w:adjustRightInd w:val="0"/>
              <w:snapToGrid w:val="0"/>
              <w:jc w:val="center"/>
              <w:rPr>
                <w:rFonts w:ascii="Times New Roman"/>
                <w:sz w:val="21"/>
                <w:szCs w:val="21"/>
              </w:rPr>
            </w:pPr>
          </w:p>
        </w:tc>
        <w:tc>
          <w:tcPr>
            <w:tcW w:w="208" w:type="pct"/>
            <w:vAlign w:val="center"/>
          </w:tcPr>
          <w:p w14:paraId="67AD7188">
            <w:pPr>
              <w:autoSpaceDE w:val="0"/>
              <w:autoSpaceDN w:val="0"/>
              <w:adjustRightInd w:val="0"/>
              <w:snapToGrid w:val="0"/>
              <w:jc w:val="center"/>
              <w:rPr>
                <w:rFonts w:ascii="Times New Roman"/>
                <w:sz w:val="21"/>
                <w:szCs w:val="21"/>
              </w:rPr>
            </w:pPr>
            <w:r>
              <w:rPr>
                <w:rFonts w:ascii="Times New Roman"/>
                <w:sz w:val="21"/>
                <w:szCs w:val="21"/>
              </w:rPr>
              <w:t>259</w:t>
            </w:r>
          </w:p>
        </w:tc>
        <w:tc>
          <w:tcPr>
            <w:tcW w:w="201" w:type="pct"/>
            <w:vAlign w:val="center"/>
          </w:tcPr>
          <w:p w14:paraId="24FCF524">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7B8ACE8E">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D6D9BE0">
            <w:pPr>
              <w:autoSpaceDE w:val="0"/>
              <w:autoSpaceDN w:val="0"/>
              <w:adjustRightInd w:val="0"/>
              <w:snapToGrid w:val="0"/>
              <w:jc w:val="center"/>
              <w:rPr>
                <w:rFonts w:ascii="Times New Roman"/>
                <w:sz w:val="21"/>
                <w:szCs w:val="21"/>
              </w:rPr>
            </w:pPr>
            <w:r>
              <w:rPr>
                <w:rFonts w:ascii="Times New Roman"/>
                <w:sz w:val="21"/>
                <w:szCs w:val="21"/>
              </w:rPr>
              <w:t>57.52</w:t>
            </w:r>
          </w:p>
        </w:tc>
        <w:tc>
          <w:tcPr>
            <w:tcW w:w="358" w:type="pct"/>
            <w:vAlign w:val="center"/>
          </w:tcPr>
          <w:p w14:paraId="43F6730F">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6D3ED29E">
            <w:pPr>
              <w:autoSpaceDE w:val="0"/>
              <w:autoSpaceDN w:val="0"/>
              <w:adjustRightInd w:val="0"/>
              <w:snapToGrid w:val="0"/>
              <w:jc w:val="center"/>
              <w:rPr>
                <w:rFonts w:ascii="Times New Roman"/>
                <w:sz w:val="21"/>
                <w:szCs w:val="21"/>
              </w:rPr>
            </w:pPr>
          </w:p>
        </w:tc>
        <w:tc>
          <w:tcPr>
            <w:tcW w:w="551" w:type="pct"/>
            <w:vAlign w:val="center"/>
          </w:tcPr>
          <w:p w14:paraId="0693E57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981394B">
            <w:pPr>
              <w:autoSpaceDE w:val="0"/>
              <w:autoSpaceDN w:val="0"/>
              <w:adjustRightInd w:val="0"/>
              <w:snapToGrid w:val="0"/>
              <w:jc w:val="center"/>
              <w:rPr>
                <w:rFonts w:ascii="Times New Roman"/>
                <w:sz w:val="21"/>
                <w:szCs w:val="21"/>
              </w:rPr>
            </w:pPr>
          </w:p>
        </w:tc>
        <w:tc>
          <w:tcPr>
            <w:tcW w:w="287" w:type="pct"/>
            <w:vMerge w:val="continue"/>
            <w:vAlign w:val="center"/>
          </w:tcPr>
          <w:p w14:paraId="4D06AC9C">
            <w:pPr>
              <w:autoSpaceDE w:val="0"/>
              <w:autoSpaceDN w:val="0"/>
              <w:adjustRightInd w:val="0"/>
              <w:snapToGrid w:val="0"/>
              <w:jc w:val="center"/>
              <w:rPr>
                <w:rFonts w:ascii="Times New Roman"/>
                <w:sz w:val="21"/>
                <w:szCs w:val="21"/>
              </w:rPr>
            </w:pPr>
          </w:p>
        </w:tc>
        <w:tc>
          <w:tcPr>
            <w:tcW w:w="434" w:type="pct"/>
            <w:vMerge w:val="continue"/>
            <w:vAlign w:val="center"/>
          </w:tcPr>
          <w:p w14:paraId="26C1770F">
            <w:pPr>
              <w:autoSpaceDE w:val="0"/>
              <w:autoSpaceDN w:val="0"/>
              <w:adjustRightInd w:val="0"/>
              <w:snapToGrid w:val="0"/>
              <w:jc w:val="center"/>
              <w:rPr>
                <w:rFonts w:ascii="Times New Roman"/>
                <w:sz w:val="21"/>
                <w:szCs w:val="21"/>
              </w:rPr>
            </w:pPr>
          </w:p>
        </w:tc>
      </w:tr>
      <w:tr w14:paraId="68C1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E2CF70F">
            <w:pPr>
              <w:autoSpaceDE w:val="0"/>
              <w:autoSpaceDN w:val="0"/>
              <w:adjustRightInd w:val="0"/>
              <w:snapToGrid w:val="0"/>
              <w:jc w:val="center"/>
              <w:rPr>
                <w:rFonts w:ascii="Times New Roman"/>
                <w:sz w:val="21"/>
                <w:szCs w:val="21"/>
              </w:rPr>
            </w:pPr>
          </w:p>
        </w:tc>
        <w:tc>
          <w:tcPr>
            <w:tcW w:w="697" w:type="pct"/>
            <w:vAlign w:val="center"/>
          </w:tcPr>
          <w:p w14:paraId="6D918ABD">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6EC8772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9D7D7B1">
            <w:pPr>
              <w:autoSpaceDE w:val="0"/>
              <w:autoSpaceDN w:val="0"/>
              <w:adjustRightInd w:val="0"/>
              <w:snapToGrid w:val="0"/>
              <w:jc w:val="center"/>
              <w:rPr>
                <w:rFonts w:ascii="Times New Roman"/>
                <w:sz w:val="21"/>
                <w:szCs w:val="21"/>
              </w:rPr>
            </w:pPr>
          </w:p>
        </w:tc>
        <w:tc>
          <w:tcPr>
            <w:tcW w:w="208" w:type="pct"/>
            <w:vAlign w:val="center"/>
          </w:tcPr>
          <w:p w14:paraId="6615237C">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32AD8345">
            <w:pPr>
              <w:autoSpaceDE w:val="0"/>
              <w:autoSpaceDN w:val="0"/>
              <w:adjustRightInd w:val="0"/>
              <w:snapToGrid w:val="0"/>
              <w:jc w:val="center"/>
              <w:rPr>
                <w:rFonts w:ascii="Times New Roman"/>
                <w:sz w:val="21"/>
                <w:szCs w:val="21"/>
              </w:rPr>
            </w:pPr>
            <w:r>
              <w:rPr>
                <w:rFonts w:ascii="Times New Roman"/>
                <w:sz w:val="21"/>
                <w:szCs w:val="21"/>
              </w:rPr>
              <w:t>265</w:t>
            </w:r>
          </w:p>
        </w:tc>
        <w:tc>
          <w:tcPr>
            <w:tcW w:w="240" w:type="pct"/>
            <w:vAlign w:val="center"/>
          </w:tcPr>
          <w:p w14:paraId="4F2827A0">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39463F7">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73649899">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11FAE1E0">
            <w:pPr>
              <w:autoSpaceDE w:val="0"/>
              <w:autoSpaceDN w:val="0"/>
              <w:adjustRightInd w:val="0"/>
              <w:snapToGrid w:val="0"/>
              <w:jc w:val="center"/>
              <w:rPr>
                <w:rFonts w:ascii="Times New Roman"/>
                <w:sz w:val="21"/>
                <w:szCs w:val="21"/>
              </w:rPr>
            </w:pPr>
          </w:p>
        </w:tc>
        <w:tc>
          <w:tcPr>
            <w:tcW w:w="551" w:type="pct"/>
            <w:vAlign w:val="center"/>
          </w:tcPr>
          <w:p w14:paraId="2A196F2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E7E726B">
            <w:pPr>
              <w:autoSpaceDE w:val="0"/>
              <w:autoSpaceDN w:val="0"/>
              <w:adjustRightInd w:val="0"/>
              <w:snapToGrid w:val="0"/>
              <w:jc w:val="center"/>
              <w:rPr>
                <w:rFonts w:ascii="Times New Roman"/>
                <w:sz w:val="21"/>
                <w:szCs w:val="21"/>
              </w:rPr>
            </w:pPr>
          </w:p>
        </w:tc>
        <w:tc>
          <w:tcPr>
            <w:tcW w:w="287" w:type="pct"/>
            <w:vMerge w:val="continue"/>
            <w:vAlign w:val="center"/>
          </w:tcPr>
          <w:p w14:paraId="71846CEC">
            <w:pPr>
              <w:autoSpaceDE w:val="0"/>
              <w:autoSpaceDN w:val="0"/>
              <w:adjustRightInd w:val="0"/>
              <w:snapToGrid w:val="0"/>
              <w:jc w:val="center"/>
              <w:rPr>
                <w:rFonts w:ascii="Times New Roman"/>
                <w:sz w:val="21"/>
                <w:szCs w:val="21"/>
              </w:rPr>
            </w:pPr>
          </w:p>
        </w:tc>
        <w:tc>
          <w:tcPr>
            <w:tcW w:w="434" w:type="pct"/>
            <w:vMerge w:val="continue"/>
            <w:vAlign w:val="center"/>
          </w:tcPr>
          <w:p w14:paraId="62475906">
            <w:pPr>
              <w:autoSpaceDE w:val="0"/>
              <w:autoSpaceDN w:val="0"/>
              <w:adjustRightInd w:val="0"/>
              <w:snapToGrid w:val="0"/>
              <w:jc w:val="center"/>
              <w:rPr>
                <w:rFonts w:ascii="Times New Roman"/>
                <w:sz w:val="21"/>
                <w:szCs w:val="21"/>
              </w:rPr>
            </w:pPr>
          </w:p>
        </w:tc>
      </w:tr>
      <w:tr w14:paraId="7011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439" w:type="pct"/>
            <w:vMerge w:val="continue"/>
            <w:vAlign w:val="center"/>
          </w:tcPr>
          <w:p w14:paraId="30BE3AF4">
            <w:pPr>
              <w:autoSpaceDE w:val="0"/>
              <w:autoSpaceDN w:val="0"/>
              <w:adjustRightInd w:val="0"/>
              <w:snapToGrid w:val="0"/>
              <w:jc w:val="center"/>
              <w:rPr>
                <w:rFonts w:ascii="Times New Roman"/>
                <w:sz w:val="21"/>
                <w:szCs w:val="21"/>
              </w:rPr>
            </w:pPr>
          </w:p>
        </w:tc>
        <w:tc>
          <w:tcPr>
            <w:tcW w:w="697" w:type="pct"/>
            <w:vAlign w:val="center"/>
          </w:tcPr>
          <w:p w14:paraId="0A01FF43">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4F6140B0">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D8B7BC0">
            <w:pPr>
              <w:autoSpaceDE w:val="0"/>
              <w:autoSpaceDN w:val="0"/>
              <w:adjustRightInd w:val="0"/>
              <w:snapToGrid w:val="0"/>
              <w:jc w:val="center"/>
              <w:rPr>
                <w:rFonts w:ascii="Times New Roman"/>
                <w:sz w:val="21"/>
                <w:szCs w:val="21"/>
              </w:rPr>
            </w:pPr>
          </w:p>
        </w:tc>
        <w:tc>
          <w:tcPr>
            <w:tcW w:w="208" w:type="pct"/>
            <w:vAlign w:val="center"/>
          </w:tcPr>
          <w:p w14:paraId="2B62983B">
            <w:pPr>
              <w:autoSpaceDE w:val="0"/>
              <w:autoSpaceDN w:val="0"/>
              <w:adjustRightInd w:val="0"/>
              <w:snapToGrid w:val="0"/>
              <w:jc w:val="center"/>
              <w:rPr>
                <w:rFonts w:ascii="Times New Roman"/>
                <w:sz w:val="21"/>
                <w:szCs w:val="21"/>
              </w:rPr>
            </w:pPr>
            <w:r>
              <w:rPr>
                <w:rFonts w:ascii="Times New Roman"/>
                <w:sz w:val="21"/>
                <w:szCs w:val="21"/>
              </w:rPr>
              <w:t>257</w:t>
            </w:r>
          </w:p>
        </w:tc>
        <w:tc>
          <w:tcPr>
            <w:tcW w:w="201" w:type="pct"/>
            <w:vAlign w:val="center"/>
          </w:tcPr>
          <w:p w14:paraId="0BD719C3">
            <w:pPr>
              <w:autoSpaceDE w:val="0"/>
              <w:autoSpaceDN w:val="0"/>
              <w:adjustRightInd w:val="0"/>
              <w:snapToGrid w:val="0"/>
              <w:jc w:val="center"/>
              <w:rPr>
                <w:rFonts w:ascii="Times New Roman"/>
                <w:sz w:val="21"/>
                <w:szCs w:val="21"/>
              </w:rPr>
            </w:pPr>
            <w:r>
              <w:rPr>
                <w:rFonts w:ascii="Times New Roman"/>
                <w:sz w:val="21"/>
                <w:szCs w:val="21"/>
              </w:rPr>
              <w:t>265</w:t>
            </w:r>
          </w:p>
        </w:tc>
        <w:tc>
          <w:tcPr>
            <w:tcW w:w="240" w:type="pct"/>
            <w:vAlign w:val="center"/>
          </w:tcPr>
          <w:p w14:paraId="21382C16">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041AA614">
            <w:pPr>
              <w:autoSpaceDE w:val="0"/>
              <w:autoSpaceDN w:val="0"/>
              <w:adjustRightInd w:val="0"/>
              <w:snapToGrid w:val="0"/>
              <w:jc w:val="center"/>
              <w:rPr>
                <w:rFonts w:ascii="Times New Roman"/>
                <w:sz w:val="21"/>
                <w:szCs w:val="21"/>
              </w:rPr>
            </w:pPr>
            <w:r>
              <w:rPr>
                <w:rFonts w:ascii="Times New Roman"/>
                <w:sz w:val="21"/>
                <w:szCs w:val="21"/>
              </w:rPr>
              <w:t>55.52</w:t>
            </w:r>
          </w:p>
        </w:tc>
        <w:tc>
          <w:tcPr>
            <w:tcW w:w="358" w:type="pct"/>
            <w:vAlign w:val="center"/>
          </w:tcPr>
          <w:p w14:paraId="473A6D0D">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7B52DFD2">
            <w:pPr>
              <w:autoSpaceDE w:val="0"/>
              <w:autoSpaceDN w:val="0"/>
              <w:adjustRightInd w:val="0"/>
              <w:snapToGrid w:val="0"/>
              <w:jc w:val="center"/>
              <w:rPr>
                <w:rFonts w:ascii="Times New Roman"/>
                <w:sz w:val="21"/>
                <w:szCs w:val="21"/>
              </w:rPr>
            </w:pPr>
          </w:p>
        </w:tc>
        <w:tc>
          <w:tcPr>
            <w:tcW w:w="551" w:type="pct"/>
            <w:vAlign w:val="center"/>
          </w:tcPr>
          <w:p w14:paraId="3FC2B71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5DD47E7">
            <w:pPr>
              <w:autoSpaceDE w:val="0"/>
              <w:autoSpaceDN w:val="0"/>
              <w:adjustRightInd w:val="0"/>
              <w:snapToGrid w:val="0"/>
              <w:jc w:val="center"/>
              <w:rPr>
                <w:rFonts w:ascii="Times New Roman"/>
                <w:sz w:val="21"/>
                <w:szCs w:val="21"/>
              </w:rPr>
            </w:pPr>
          </w:p>
        </w:tc>
        <w:tc>
          <w:tcPr>
            <w:tcW w:w="287" w:type="pct"/>
            <w:vMerge w:val="continue"/>
            <w:vAlign w:val="center"/>
          </w:tcPr>
          <w:p w14:paraId="7B76E9F1">
            <w:pPr>
              <w:autoSpaceDE w:val="0"/>
              <w:autoSpaceDN w:val="0"/>
              <w:adjustRightInd w:val="0"/>
              <w:snapToGrid w:val="0"/>
              <w:jc w:val="center"/>
              <w:rPr>
                <w:rFonts w:ascii="Times New Roman"/>
                <w:sz w:val="21"/>
                <w:szCs w:val="21"/>
              </w:rPr>
            </w:pPr>
          </w:p>
        </w:tc>
        <w:tc>
          <w:tcPr>
            <w:tcW w:w="434" w:type="pct"/>
            <w:vMerge w:val="continue"/>
            <w:vAlign w:val="center"/>
          </w:tcPr>
          <w:p w14:paraId="5B08A684">
            <w:pPr>
              <w:autoSpaceDE w:val="0"/>
              <w:autoSpaceDN w:val="0"/>
              <w:adjustRightInd w:val="0"/>
              <w:snapToGrid w:val="0"/>
              <w:jc w:val="center"/>
              <w:rPr>
                <w:rFonts w:ascii="Times New Roman"/>
                <w:sz w:val="21"/>
                <w:szCs w:val="21"/>
              </w:rPr>
            </w:pPr>
          </w:p>
        </w:tc>
      </w:tr>
      <w:tr w14:paraId="1D42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A5793D">
            <w:pPr>
              <w:autoSpaceDE w:val="0"/>
              <w:autoSpaceDN w:val="0"/>
              <w:adjustRightInd w:val="0"/>
              <w:snapToGrid w:val="0"/>
              <w:jc w:val="center"/>
              <w:rPr>
                <w:rFonts w:ascii="Times New Roman"/>
                <w:sz w:val="21"/>
                <w:szCs w:val="21"/>
              </w:rPr>
            </w:pPr>
          </w:p>
        </w:tc>
        <w:tc>
          <w:tcPr>
            <w:tcW w:w="697" w:type="pct"/>
            <w:vAlign w:val="center"/>
          </w:tcPr>
          <w:p w14:paraId="04CDB6B1">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1142729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4C70029">
            <w:pPr>
              <w:autoSpaceDE w:val="0"/>
              <w:autoSpaceDN w:val="0"/>
              <w:adjustRightInd w:val="0"/>
              <w:snapToGrid w:val="0"/>
              <w:jc w:val="center"/>
              <w:rPr>
                <w:rFonts w:ascii="Times New Roman"/>
                <w:sz w:val="21"/>
                <w:szCs w:val="21"/>
              </w:rPr>
            </w:pPr>
          </w:p>
        </w:tc>
        <w:tc>
          <w:tcPr>
            <w:tcW w:w="208" w:type="pct"/>
            <w:vAlign w:val="center"/>
          </w:tcPr>
          <w:p w14:paraId="1ED9CF6A">
            <w:pPr>
              <w:autoSpaceDE w:val="0"/>
              <w:autoSpaceDN w:val="0"/>
              <w:adjustRightInd w:val="0"/>
              <w:snapToGrid w:val="0"/>
              <w:jc w:val="center"/>
              <w:rPr>
                <w:rFonts w:ascii="Times New Roman"/>
                <w:sz w:val="21"/>
                <w:szCs w:val="21"/>
              </w:rPr>
            </w:pPr>
            <w:r>
              <w:rPr>
                <w:rFonts w:ascii="Times New Roman"/>
                <w:sz w:val="21"/>
                <w:szCs w:val="21"/>
              </w:rPr>
              <w:t>259</w:t>
            </w:r>
          </w:p>
        </w:tc>
        <w:tc>
          <w:tcPr>
            <w:tcW w:w="201" w:type="pct"/>
            <w:vAlign w:val="center"/>
          </w:tcPr>
          <w:p w14:paraId="57739BF9">
            <w:pPr>
              <w:autoSpaceDE w:val="0"/>
              <w:autoSpaceDN w:val="0"/>
              <w:adjustRightInd w:val="0"/>
              <w:snapToGrid w:val="0"/>
              <w:jc w:val="center"/>
              <w:rPr>
                <w:rFonts w:ascii="Times New Roman"/>
                <w:sz w:val="21"/>
                <w:szCs w:val="21"/>
              </w:rPr>
            </w:pPr>
            <w:r>
              <w:rPr>
                <w:rFonts w:ascii="Times New Roman"/>
                <w:sz w:val="21"/>
                <w:szCs w:val="21"/>
              </w:rPr>
              <w:t>265</w:t>
            </w:r>
          </w:p>
        </w:tc>
        <w:tc>
          <w:tcPr>
            <w:tcW w:w="240" w:type="pct"/>
            <w:vAlign w:val="center"/>
          </w:tcPr>
          <w:p w14:paraId="38E2253E">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5CABF70">
            <w:pPr>
              <w:autoSpaceDE w:val="0"/>
              <w:autoSpaceDN w:val="0"/>
              <w:adjustRightInd w:val="0"/>
              <w:snapToGrid w:val="0"/>
              <w:jc w:val="center"/>
              <w:rPr>
                <w:rFonts w:ascii="Times New Roman"/>
                <w:sz w:val="21"/>
                <w:szCs w:val="21"/>
              </w:rPr>
            </w:pPr>
            <w:r>
              <w:rPr>
                <w:rFonts w:ascii="Times New Roman"/>
                <w:sz w:val="21"/>
                <w:szCs w:val="21"/>
              </w:rPr>
              <w:t>57.52</w:t>
            </w:r>
          </w:p>
        </w:tc>
        <w:tc>
          <w:tcPr>
            <w:tcW w:w="358" w:type="pct"/>
            <w:vAlign w:val="center"/>
          </w:tcPr>
          <w:p w14:paraId="5823B572">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6B7E3F11">
            <w:pPr>
              <w:autoSpaceDE w:val="0"/>
              <w:autoSpaceDN w:val="0"/>
              <w:adjustRightInd w:val="0"/>
              <w:snapToGrid w:val="0"/>
              <w:jc w:val="center"/>
              <w:rPr>
                <w:rFonts w:ascii="Times New Roman"/>
                <w:sz w:val="21"/>
                <w:szCs w:val="21"/>
              </w:rPr>
            </w:pPr>
          </w:p>
        </w:tc>
        <w:tc>
          <w:tcPr>
            <w:tcW w:w="551" w:type="pct"/>
            <w:vAlign w:val="center"/>
          </w:tcPr>
          <w:p w14:paraId="3DC57DC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BF5C856">
            <w:pPr>
              <w:autoSpaceDE w:val="0"/>
              <w:autoSpaceDN w:val="0"/>
              <w:adjustRightInd w:val="0"/>
              <w:snapToGrid w:val="0"/>
              <w:jc w:val="center"/>
              <w:rPr>
                <w:rFonts w:ascii="Times New Roman"/>
                <w:sz w:val="21"/>
                <w:szCs w:val="21"/>
              </w:rPr>
            </w:pPr>
          </w:p>
        </w:tc>
        <w:tc>
          <w:tcPr>
            <w:tcW w:w="287" w:type="pct"/>
            <w:vMerge w:val="continue"/>
            <w:vAlign w:val="center"/>
          </w:tcPr>
          <w:p w14:paraId="29DCEC20">
            <w:pPr>
              <w:autoSpaceDE w:val="0"/>
              <w:autoSpaceDN w:val="0"/>
              <w:adjustRightInd w:val="0"/>
              <w:snapToGrid w:val="0"/>
              <w:jc w:val="center"/>
              <w:rPr>
                <w:rFonts w:ascii="Times New Roman"/>
                <w:sz w:val="21"/>
                <w:szCs w:val="21"/>
              </w:rPr>
            </w:pPr>
          </w:p>
        </w:tc>
        <w:tc>
          <w:tcPr>
            <w:tcW w:w="434" w:type="pct"/>
            <w:vMerge w:val="continue"/>
            <w:vAlign w:val="center"/>
          </w:tcPr>
          <w:p w14:paraId="2A472D54">
            <w:pPr>
              <w:autoSpaceDE w:val="0"/>
              <w:autoSpaceDN w:val="0"/>
              <w:adjustRightInd w:val="0"/>
              <w:snapToGrid w:val="0"/>
              <w:jc w:val="center"/>
              <w:rPr>
                <w:rFonts w:ascii="Times New Roman"/>
                <w:sz w:val="21"/>
                <w:szCs w:val="21"/>
              </w:rPr>
            </w:pPr>
          </w:p>
        </w:tc>
      </w:tr>
      <w:tr w14:paraId="086B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0513DFA">
            <w:pPr>
              <w:autoSpaceDE w:val="0"/>
              <w:autoSpaceDN w:val="0"/>
              <w:adjustRightInd w:val="0"/>
              <w:snapToGrid w:val="0"/>
              <w:jc w:val="center"/>
              <w:rPr>
                <w:rFonts w:ascii="Times New Roman"/>
                <w:sz w:val="21"/>
                <w:szCs w:val="21"/>
              </w:rPr>
            </w:pPr>
          </w:p>
        </w:tc>
        <w:tc>
          <w:tcPr>
            <w:tcW w:w="697" w:type="pct"/>
            <w:vAlign w:val="center"/>
          </w:tcPr>
          <w:p w14:paraId="1470238B">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2E229AA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9456116">
            <w:pPr>
              <w:autoSpaceDE w:val="0"/>
              <w:autoSpaceDN w:val="0"/>
              <w:adjustRightInd w:val="0"/>
              <w:snapToGrid w:val="0"/>
              <w:jc w:val="center"/>
              <w:rPr>
                <w:rFonts w:ascii="Times New Roman"/>
                <w:sz w:val="21"/>
                <w:szCs w:val="21"/>
              </w:rPr>
            </w:pPr>
          </w:p>
        </w:tc>
        <w:tc>
          <w:tcPr>
            <w:tcW w:w="208" w:type="pct"/>
            <w:vAlign w:val="center"/>
          </w:tcPr>
          <w:p w14:paraId="0717358B">
            <w:pPr>
              <w:autoSpaceDE w:val="0"/>
              <w:autoSpaceDN w:val="0"/>
              <w:adjustRightInd w:val="0"/>
              <w:snapToGrid w:val="0"/>
              <w:jc w:val="center"/>
              <w:rPr>
                <w:rFonts w:ascii="Times New Roman"/>
                <w:sz w:val="21"/>
                <w:szCs w:val="21"/>
              </w:rPr>
            </w:pPr>
            <w:r>
              <w:rPr>
                <w:rFonts w:ascii="Times New Roman"/>
                <w:sz w:val="21"/>
                <w:szCs w:val="21"/>
              </w:rPr>
              <w:t>255</w:t>
            </w:r>
          </w:p>
        </w:tc>
        <w:tc>
          <w:tcPr>
            <w:tcW w:w="201" w:type="pct"/>
            <w:vAlign w:val="center"/>
          </w:tcPr>
          <w:p w14:paraId="0F856024">
            <w:pPr>
              <w:autoSpaceDE w:val="0"/>
              <w:autoSpaceDN w:val="0"/>
              <w:adjustRightInd w:val="0"/>
              <w:snapToGrid w:val="0"/>
              <w:jc w:val="center"/>
              <w:rPr>
                <w:rFonts w:ascii="Times New Roman"/>
                <w:sz w:val="21"/>
                <w:szCs w:val="21"/>
              </w:rPr>
            </w:pPr>
            <w:r>
              <w:rPr>
                <w:rFonts w:ascii="Times New Roman"/>
                <w:sz w:val="21"/>
                <w:szCs w:val="21"/>
              </w:rPr>
              <w:t>268</w:t>
            </w:r>
          </w:p>
        </w:tc>
        <w:tc>
          <w:tcPr>
            <w:tcW w:w="240" w:type="pct"/>
            <w:vAlign w:val="center"/>
          </w:tcPr>
          <w:p w14:paraId="5C090A50">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07842231">
            <w:pPr>
              <w:autoSpaceDE w:val="0"/>
              <w:autoSpaceDN w:val="0"/>
              <w:adjustRightInd w:val="0"/>
              <w:snapToGrid w:val="0"/>
              <w:jc w:val="center"/>
              <w:rPr>
                <w:rFonts w:ascii="Times New Roman"/>
                <w:sz w:val="21"/>
                <w:szCs w:val="21"/>
              </w:rPr>
            </w:pPr>
            <w:r>
              <w:rPr>
                <w:rFonts w:ascii="Times New Roman"/>
                <w:sz w:val="21"/>
                <w:szCs w:val="21"/>
              </w:rPr>
              <w:t>53.52</w:t>
            </w:r>
          </w:p>
        </w:tc>
        <w:tc>
          <w:tcPr>
            <w:tcW w:w="358" w:type="pct"/>
            <w:vAlign w:val="center"/>
          </w:tcPr>
          <w:p w14:paraId="270975B4">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582569D8">
            <w:pPr>
              <w:autoSpaceDE w:val="0"/>
              <w:autoSpaceDN w:val="0"/>
              <w:adjustRightInd w:val="0"/>
              <w:snapToGrid w:val="0"/>
              <w:jc w:val="center"/>
              <w:rPr>
                <w:rFonts w:ascii="Times New Roman"/>
                <w:sz w:val="21"/>
                <w:szCs w:val="21"/>
              </w:rPr>
            </w:pPr>
          </w:p>
        </w:tc>
        <w:tc>
          <w:tcPr>
            <w:tcW w:w="551" w:type="pct"/>
            <w:vAlign w:val="center"/>
          </w:tcPr>
          <w:p w14:paraId="34B1FA5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636AB89">
            <w:pPr>
              <w:autoSpaceDE w:val="0"/>
              <w:autoSpaceDN w:val="0"/>
              <w:adjustRightInd w:val="0"/>
              <w:snapToGrid w:val="0"/>
              <w:jc w:val="center"/>
              <w:rPr>
                <w:rFonts w:ascii="Times New Roman"/>
                <w:sz w:val="21"/>
                <w:szCs w:val="21"/>
              </w:rPr>
            </w:pPr>
          </w:p>
        </w:tc>
        <w:tc>
          <w:tcPr>
            <w:tcW w:w="287" w:type="pct"/>
            <w:vMerge w:val="continue"/>
            <w:vAlign w:val="center"/>
          </w:tcPr>
          <w:p w14:paraId="17B9AF9A">
            <w:pPr>
              <w:autoSpaceDE w:val="0"/>
              <w:autoSpaceDN w:val="0"/>
              <w:adjustRightInd w:val="0"/>
              <w:snapToGrid w:val="0"/>
              <w:jc w:val="center"/>
              <w:rPr>
                <w:rFonts w:ascii="Times New Roman"/>
                <w:sz w:val="21"/>
                <w:szCs w:val="21"/>
              </w:rPr>
            </w:pPr>
          </w:p>
        </w:tc>
        <w:tc>
          <w:tcPr>
            <w:tcW w:w="434" w:type="pct"/>
            <w:vMerge w:val="continue"/>
            <w:vAlign w:val="center"/>
          </w:tcPr>
          <w:p w14:paraId="408184A1">
            <w:pPr>
              <w:autoSpaceDE w:val="0"/>
              <w:autoSpaceDN w:val="0"/>
              <w:adjustRightInd w:val="0"/>
              <w:snapToGrid w:val="0"/>
              <w:jc w:val="center"/>
              <w:rPr>
                <w:rFonts w:ascii="Times New Roman"/>
                <w:sz w:val="21"/>
                <w:szCs w:val="21"/>
              </w:rPr>
            </w:pPr>
          </w:p>
        </w:tc>
      </w:tr>
      <w:tr w14:paraId="43E6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2D6548A">
            <w:pPr>
              <w:autoSpaceDE w:val="0"/>
              <w:autoSpaceDN w:val="0"/>
              <w:adjustRightInd w:val="0"/>
              <w:snapToGrid w:val="0"/>
              <w:jc w:val="center"/>
              <w:rPr>
                <w:rFonts w:ascii="Times New Roman"/>
                <w:sz w:val="21"/>
                <w:szCs w:val="21"/>
              </w:rPr>
            </w:pPr>
          </w:p>
        </w:tc>
        <w:tc>
          <w:tcPr>
            <w:tcW w:w="697" w:type="pct"/>
            <w:vAlign w:val="center"/>
          </w:tcPr>
          <w:p w14:paraId="29A38F08">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6CCC8042">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C94A604">
            <w:pPr>
              <w:autoSpaceDE w:val="0"/>
              <w:autoSpaceDN w:val="0"/>
              <w:adjustRightInd w:val="0"/>
              <w:snapToGrid w:val="0"/>
              <w:jc w:val="center"/>
              <w:rPr>
                <w:rFonts w:ascii="Times New Roman"/>
                <w:sz w:val="21"/>
                <w:szCs w:val="21"/>
              </w:rPr>
            </w:pPr>
          </w:p>
        </w:tc>
        <w:tc>
          <w:tcPr>
            <w:tcW w:w="208" w:type="pct"/>
            <w:vAlign w:val="center"/>
          </w:tcPr>
          <w:p w14:paraId="1D0C9365">
            <w:pPr>
              <w:autoSpaceDE w:val="0"/>
              <w:autoSpaceDN w:val="0"/>
              <w:adjustRightInd w:val="0"/>
              <w:snapToGrid w:val="0"/>
              <w:jc w:val="center"/>
              <w:rPr>
                <w:rFonts w:ascii="Times New Roman"/>
                <w:sz w:val="21"/>
                <w:szCs w:val="21"/>
              </w:rPr>
            </w:pPr>
            <w:r>
              <w:rPr>
                <w:rFonts w:ascii="Times New Roman"/>
                <w:sz w:val="21"/>
                <w:szCs w:val="21"/>
              </w:rPr>
              <w:t>257</w:t>
            </w:r>
          </w:p>
        </w:tc>
        <w:tc>
          <w:tcPr>
            <w:tcW w:w="201" w:type="pct"/>
            <w:vAlign w:val="center"/>
          </w:tcPr>
          <w:p w14:paraId="0B357593">
            <w:pPr>
              <w:autoSpaceDE w:val="0"/>
              <w:autoSpaceDN w:val="0"/>
              <w:adjustRightInd w:val="0"/>
              <w:snapToGrid w:val="0"/>
              <w:jc w:val="center"/>
              <w:rPr>
                <w:rFonts w:ascii="Times New Roman"/>
                <w:sz w:val="21"/>
                <w:szCs w:val="21"/>
              </w:rPr>
            </w:pPr>
            <w:r>
              <w:rPr>
                <w:rFonts w:ascii="Times New Roman"/>
                <w:sz w:val="21"/>
                <w:szCs w:val="21"/>
              </w:rPr>
              <w:t>268</w:t>
            </w:r>
          </w:p>
        </w:tc>
        <w:tc>
          <w:tcPr>
            <w:tcW w:w="240" w:type="pct"/>
            <w:vAlign w:val="center"/>
          </w:tcPr>
          <w:p w14:paraId="15AC5CFE">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F8A2D00">
            <w:pPr>
              <w:autoSpaceDE w:val="0"/>
              <w:autoSpaceDN w:val="0"/>
              <w:adjustRightInd w:val="0"/>
              <w:snapToGrid w:val="0"/>
              <w:jc w:val="center"/>
              <w:rPr>
                <w:rFonts w:ascii="Times New Roman"/>
                <w:sz w:val="21"/>
                <w:szCs w:val="21"/>
              </w:rPr>
            </w:pPr>
            <w:r>
              <w:rPr>
                <w:rFonts w:ascii="Times New Roman"/>
                <w:sz w:val="21"/>
                <w:szCs w:val="21"/>
              </w:rPr>
              <w:t>55.52</w:t>
            </w:r>
          </w:p>
        </w:tc>
        <w:tc>
          <w:tcPr>
            <w:tcW w:w="358" w:type="pct"/>
            <w:vAlign w:val="center"/>
          </w:tcPr>
          <w:p w14:paraId="578DF4AD">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123D77CA">
            <w:pPr>
              <w:autoSpaceDE w:val="0"/>
              <w:autoSpaceDN w:val="0"/>
              <w:adjustRightInd w:val="0"/>
              <w:snapToGrid w:val="0"/>
              <w:jc w:val="center"/>
              <w:rPr>
                <w:rFonts w:ascii="Times New Roman"/>
                <w:sz w:val="21"/>
                <w:szCs w:val="21"/>
              </w:rPr>
            </w:pPr>
          </w:p>
        </w:tc>
        <w:tc>
          <w:tcPr>
            <w:tcW w:w="551" w:type="pct"/>
            <w:vAlign w:val="center"/>
          </w:tcPr>
          <w:p w14:paraId="6295DFF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05E131E">
            <w:pPr>
              <w:autoSpaceDE w:val="0"/>
              <w:autoSpaceDN w:val="0"/>
              <w:adjustRightInd w:val="0"/>
              <w:snapToGrid w:val="0"/>
              <w:jc w:val="center"/>
              <w:rPr>
                <w:rFonts w:ascii="Times New Roman"/>
                <w:sz w:val="21"/>
                <w:szCs w:val="21"/>
              </w:rPr>
            </w:pPr>
          </w:p>
        </w:tc>
        <w:tc>
          <w:tcPr>
            <w:tcW w:w="287" w:type="pct"/>
            <w:vMerge w:val="continue"/>
            <w:vAlign w:val="center"/>
          </w:tcPr>
          <w:p w14:paraId="6AE192B1">
            <w:pPr>
              <w:autoSpaceDE w:val="0"/>
              <w:autoSpaceDN w:val="0"/>
              <w:adjustRightInd w:val="0"/>
              <w:snapToGrid w:val="0"/>
              <w:jc w:val="center"/>
              <w:rPr>
                <w:rFonts w:ascii="Times New Roman"/>
                <w:sz w:val="21"/>
                <w:szCs w:val="21"/>
              </w:rPr>
            </w:pPr>
          </w:p>
        </w:tc>
        <w:tc>
          <w:tcPr>
            <w:tcW w:w="434" w:type="pct"/>
            <w:vMerge w:val="continue"/>
            <w:vAlign w:val="center"/>
          </w:tcPr>
          <w:p w14:paraId="63601364">
            <w:pPr>
              <w:autoSpaceDE w:val="0"/>
              <w:autoSpaceDN w:val="0"/>
              <w:adjustRightInd w:val="0"/>
              <w:snapToGrid w:val="0"/>
              <w:jc w:val="center"/>
              <w:rPr>
                <w:rFonts w:ascii="Times New Roman"/>
                <w:sz w:val="21"/>
                <w:szCs w:val="21"/>
              </w:rPr>
            </w:pPr>
          </w:p>
        </w:tc>
      </w:tr>
      <w:tr w14:paraId="275C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47261D4">
            <w:pPr>
              <w:autoSpaceDE w:val="0"/>
              <w:autoSpaceDN w:val="0"/>
              <w:adjustRightInd w:val="0"/>
              <w:snapToGrid w:val="0"/>
              <w:jc w:val="center"/>
              <w:rPr>
                <w:rFonts w:ascii="Times New Roman"/>
                <w:sz w:val="21"/>
                <w:szCs w:val="21"/>
              </w:rPr>
            </w:pPr>
          </w:p>
        </w:tc>
        <w:tc>
          <w:tcPr>
            <w:tcW w:w="697" w:type="pct"/>
            <w:vAlign w:val="center"/>
          </w:tcPr>
          <w:p w14:paraId="5FE46C95">
            <w:pPr>
              <w:autoSpaceDE w:val="0"/>
              <w:autoSpaceDN w:val="0"/>
              <w:adjustRightInd w:val="0"/>
              <w:snapToGrid w:val="0"/>
              <w:jc w:val="center"/>
              <w:rPr>
                <w:rFonts w:ascii="Times New Roman"/>
                <w:sz w:val="21"/>
                <w:szCs w:val="21"/>
              </w:rPr>
            </w:pPr>
            <w:r>
              <w:rPr>
                <w:rFonts w:ascii="Times New Roman"/>
                <w:sz w:val="21"/>
                <w:szCs w:val="21"/>
              </w:rPr>
              <w:t>简易数控车床</w:t>
            </w:r>
          </w:p>
        </w:tc>
        <w:tc>
          <w:tcPr>
            <w:tcW w:w="346" w:type="pct"/>
            <w:vAlign w:val="center"/>
          </w:tcPr>
          <w:p w14:paraId="73C9184B">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60FCE71">
            <w:pPr>
              <w:autoSpaceDE w:val="0"/>
              <w:autoSpaceDN w:val="0"/>
              <w:adjustRightInd w:val="0"/>
              <w:snapToGrid w:val="0"/>
              <w:jc w:val="center"/>
              <w:rPr>
                <w:rFonts w:ascii="Times New Roman"/>
                <w:sz w:val="21"/>
                <w:szCs w:val="21"/>
              </w:rPr>
            </w:pPr>
          </w:p>
        </w:tc>
        <w:tc>
          <w:tcPr>
            <w:tcW w:w="208" w:type="pct"/>
            <w:vAlign w:val="center"/>
          </w:tcPr>
          <w:p w14:paraId="010205EF">
            <w:pPr>
              <w:autoSpaceDE w:val="0"/>
              <w:autoSpaceDN w:val="0"/>
              <w:adjustRightInd w:val="0"/>
              <w:snapToGrid w:val="0"/>
              <w:jc w:val="center"/>
              <w:rPr>
                <w:rFonts w:ascii="Times New Roman"/>
                <w:sz w:val="21"/>
                <w:szCs w:val="21"/>
              </w:rPr>
            </w:pPr>
            <w:r>
              <w:rPr>
                <w:rFonts w:ascii="Times New Roman"/>
                <w:sz w:val="21"/>
                <w:szCs w:val="21"/>
              </w:rPr>
              <w:t>259</w:t>
            </w:r>
          </w:p>
        </w:tc>
        <w:tc>
          <w:tcPr>
            <w:tcW w:w="201" w:type="pct"/>
            <w:vAlign w:val="center"/>
          </w:tcPr>
          <w:p w14:paraId="4D6BDF47">
            <w:pPr>
              <w:autoSpaceDE w:val="0"/>
              <w:autoSpaceDN w:val="0"/>
              <w:adjustRightInd w:val="0"/>
              <w:snapToGrid w:val="0"/>
              <w:jc w:val="center"/>
              <w:rPr>
                <w:rFonts w:ascii="Times New Roman"/>
                <w:sz w:val="21"/>
                <w:szCs w:val="21"/>
              </w:rPr>
            </w:pPr>
            <w:r>
              <w:rPr>
                <w:rFonts w:ascii="Times New Roman"/>
                <w:sz w:val="21"/>
                <w:szCs w:val="21"/>
              </w:rPr>
              <w:t>268</w:t>
            </w:r>
          </w:p>
        </w:tc>
        <w:tc>
          <w:tcPr>
            <w:tcW w:w="240" w:type="pct"/>
            <w:vAlign w:val="center"/>
          </w:tcPr>
          <w:p w14:paraId="36DEC757">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B129999">
            <w:pPr>
              <w:autoSpaceDE w:val="0"/>
              <w:autoSpaceDN w:val="0"/>
              <w:adjustRightInd w:val="0"/>
              <w:snapToGrid w:val="0"/>
              <w:jc w:val="center"/>
              <w:rPr>
                <w:rFonts w:ascii="Times New Roman"/>
                <w:sz w:val="21"/>
                <w:szCs w:val="21"/>
              </w:rPr>
            </w:pPr>
            <w:r>
              <w:rPr>
                <w:rFonts w:ascii="Times New Roman"/>
                <w:sz w:val="21"/>
                <w:szCs w:val="21"/>
              </w:rPr>
              <w:t>57.52</w:t>
            </w:r>
          </w:p>
        </w:tc>
        <w:tc>
          <w:tcPr>
            <w:tcW w:w="358" w:type="pct"/>
            <w:vAlign w:val="center"/>
          </w:tcPr>
          <w:p w14:paraId="779977CB">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6D19B5E5">
            <w:pPr>
              <w:autoSpaceDE w:val="0"/>
              <w:autoSpaceDN w:val="0"/>
              <w:adjustRightInd w:val="0"/>
              <w:snapToGrid w:val="0"/>
              <w:jc w:val="center"/>
              <w:rPr>
                <w:rFonts w:ascii="Times New Roman"/>
                <w:sz w:val="21"/>
                <w:szCs w:val="21"/>
              </w:rPr>
            </w:pPr>
          </w:p>
        </w:tc>
        <w:tc>
          <w:tcPr>
            <w:tcW w:w="551" w:type="pct"/>
            <w:vAlign w:val="center"/>
          </w:tcPr>
          <w:p w14:paraId="2AC685A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51DF02A">
            <w:pPr>
              <w:autoSpaceDE w:val="0"/>
              <w:autoSpaceDN w:val="0"/>
              <w:adjustRightInd w:val="0"/>
              <w:snapToGrid w:val="0"/>
              <w:jc w:val="center"/>
              <w:rPr>
                <w:rFonts w:ascii="Times New Roman"/>
                <w:sz w:val="21"/>
                <w:szCs w:val="21"/>
              </w:rPr>
            </w:pPr>
          </w:p>
        </w:tc>
        <w:tc>
          <w:tcPr>
            <w:tcW w:w="287" w:type="pct"/>
            <w:vMerge w:val="continue"/>
            <w:vAlign w:val="center"/>
          </w:tcPr>
          <w:p w14:paraId="6D0DA3B2">
            <w:pPr>
              <w:autoSpaceDE w:val="0"/>
              <w:autoSpaceDN w:val="0"/>
              <w:adjustRightInd w:val="0"/>
              <w:snapToGrid w:val="0"/>
              <w:jc w:val="center"/>
              <w:rPr>
                <w:rFonts w:ascii="Times New Roman"/>
                <w:sz w:val="21"/>
                <w:szCs w:val="21"/>
              </w:rPr>
            </w:pPr>
          </w:p>
        </w:tc>
        <w:tc>
          <w:tcPr>
            <w:tcW w:w="434" w:type="pct"/>
            <w:vMerge w:val="continue"/>
            <w:vAlign w:val="center"/>
          </w:tcPr>
          <w:p w14:paraId="50306394">
            <w:pPr>
              <w:autoSpaceDE w:val="0"/>
              <w:autoSpaceDN w:val="0"/>
              <w:adjustRightInd w:val="0"/>
              <w:snapToGrid w:val="0"/>
              <w:jc w:val="center"/>
              <w:rPr>
                <w:rFonts w:ascii="Times New Roman"/>
                <w:sz w:val="21"/>
                <w:szCs w:val="21"/>
              </w:rPr>
            </w:pPr>
          </w:p>
        </w:tc>
      </w:tr>
      <w:tr w14:paraId="5EF3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64BBA51">
            <w:pPr>
              <w:autoSpaceDE w:val="0"/>
              <w:autoSpaceDN w:val="0"/>
              <w:adjustRightInd w:val="0"/>
              <w:snapToGrid w:val="0"/>
              <w:jc w:val="center"/>
              <w:rPr>
                <w:rFonts w:ascii="Times New Roman"/>
                <w:sz w:val="21"/>
                <w:szCs w:val="21"/>
              </w:rPr>
            </w:pPr>
          </w:p>
        </w:tc>
        <w:tc>
          <w:tcPr>
            <w:tcW w:w="697" w:type="pct"/>
            <w:vAlign w:val="center"/>
          </w:tcPr>
          <w:p w14:paraId="35126650">
            <w:pPr>
              <w:autoSpaceDE w:val="0"/>
              <w:autoSpaceDN w:val="0"/>
              <w:adjustRightInd w:val="0"/>
              <w:snapToGrid w:val="0"/>
              <w:jc w:val="center"/>
              <w:rPr>
                <w:rFonts w:ascii="Times New Roman"/>
                <w:sz w:val="21"/>
                <w:szCs w:val="21"/>
              </w:rPr>
            </w:pPr>
            <w:r>
              <w:rPr>
                <w:rFonts w:ascii="Times New Roman"/>
                <w:sz w:val="21"/>
                <w:szCs w:val="21"/>
              </w:rPr>
              <w:t>数控外圆磨床</w:t>
            </w:r>
          </w:p>
        </w:tc>
        <w:tc>
          <w:tcPr>
            <w:tcW w:w="346" w:type="pct"/>
            <w:vAlign w:val="center"/>
          </w:tcPr>
          <w:p w14:paraId="6DE978E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17C4D5D">
            <w:pPr>
              <w:autoSpaceDE w:val="0"/>
              <w:autoSpaceDN w:val="0"/>
              <w:adjustRightInd w:val="0"/>
              <w:snapToGrid w:val="0"/>
              <w:jc w:val="center"/>
              <w:rPr>
                <w:rFonts w:ascii="Times New Roman"/>
                <w:sz w:val="21"/>
                <w:szCs w:val="21"/>
              </w:rPr>
            </w:pPr>
          </w:p>
        </w:tc>
        <w:tc>
          <w:tcPr>
            <w:tcW w:w="208" w:type="pct"/>
            <w:vAlign w:val="center"/>
          </w:tcPr>
          <w:p w14:paraId="7640031E">
            <w:pPr>
              <w:autoSpaceDE w:val="0"/>
              <w:autoSpaceDN w:val="0"/>
              <w:adjustRightInd w:val="0"/>
              <w:snapToGrid w:val="0"/>
              <w:jc w:val="center"/>
              <w:rPr>
                <w:rFonts w:ascii="Times New Roman"/>
                <w:sz w:val="21"/>
                <w:szCs w:val="21"/>
              </w:rPr>
            </w:pPr>
            <w:r>
              <w:rPr>
                <w:rFonts w:ascii="Times New Roman"/>
                <w:sz w:val="21"/>
                <w:szCs w:val="21"/>
              </w:rPr>
              <w:t>260</w:t>
            </w:r>
          </w:p>
        </w:tc>
        <w:tc>
          <w:tcPr>
            <w:tcW w:w="201" w:type="pct"/>
            <w:vAlign w:val="center"/>
          </w:tcPr>
          <w:p w14:paraId="3FE0C611">
            <w:pPr>
              <w:autoSpaceDE w:val="0"/>
              <w:autoSpaceDN w:val="0"/>
              <w:adjustRightInd w:val="0"/>
              <w:snapToGrid w:val="0"/>
              <w:jc w:val="center"/>
              <w:rPr>
                <w:rFonts w:ascii="Times New Roman"/>
                <w:sz w:val="21"/>
                <w:szCs w:val="21"/>
              </w:rPr>
            </w:pPr>
            <w:r>
              <w:rPr>
                <w:rFonts w:ascii="Times New Roman"/>
                <w:sz w:val="21"/>
                <w:szCs w:val="21"/>
              </w:rPr>
              <w:t>270</w:t>
            </w:r>
          </w:p>
        </w:tc>
        <w:tc>
          <w:tcPr>
            <w:tcW w:w="240" w:type="pct"/>
            <w:vAlign w:val="center"/>
          </w:tcPr>
          <w:p w14:paraId="26B35F98">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59B5387C">
            <w:pPr>
              <w:autoSpaceDE w:val="0"/>
              <w:autoSpaceDN w:val="0"/>
              <w:adjustRightInd w:val="0"/>
              <w:snapToGrid w:val="0"/>
              <w:jc w:val="center"/>
              <w:rPr>
                <w:rFonts w:ascii="Times New Roman"/>
                <w:sz w:val="21"/>
                <w:szCs w:val="21"/>
              </w:rPr>
            </w:pPr>
            <w:r>
              <w:rPr>
                <w:rFonts w:ascii="Times New Roman"/>
                <w:sz w:val="21"/>
                <w:szCs w:val="21"/>
              </w:rPr>
              <w:t>58.52</w:t>
            </w:r>
          </w:p>
        </w:tc>
        <w:tc>
          <w:tcPr>
            <w:tcW w:w="358" w:type="pct"/>
            <w:vAlign w:val="center"/>
          </w:tcPr>
          <w:p w14:paraId="434E5EE7">
            <w:pPr>
              <w:autoSpaceDE w:val="0"/>
              <w:autoSpaceDN w:val="0"/>
              <w:adjustRightInd w:val="0"/>
              <w:snapToGrid w:val="0"/>
              <w:jc w:val="center"/>
              <w:rPr>
                <w:rFonts w:ascii="Times New Roman"/>
                <w:sz w:val="21"/>
                <w:szCs w:val="21"/>
              </w:rPr>
            </w:pPr>
            <w:r>
              <w:rPr>
                <w:rFonts w:ascii="Times New Roman"/>
                <w:sz w:val="21"/>
                <w:szCs w:val="21"/>
              </w:rPr>
              <w:t>45</w:t>
            </w:r>
          </w:p>
        </w:tc>
        <w:tc>
          <w:tcPr>
            <w:tcW w:w="316" w:type="pct"/>
            <w:vMerge w:val="continue"/>
            <w:vAlign w:val="center"/>
          </w:tcPr>
          <w:p w14:paraId="32083EFA">
            <w:pPr>
              <w:autoSpaceDE w:val="0"/>
              <w:autoSpaceDN w:val="0"/>
              <w:adjustRightInd w:val="0"/>
              <w:snapToGrid w:val="0"/>
              <w:jc w:val="center"/>
              <w:rPr>
                <w:rFonts w:ascii="Times New Roman"/>
                <w:sz w:val="21"/>
                <w:szCs w:val="21"/>
              </w:rPr>
            </w:pPr>
          </w:p>
        </w:tc>
        <w:tc>
          <w:tcPr>
            <w:tcW w:w="551" w:type="pct"/>
            <w:vAlign w:val="center"/>
          </w:tcPr>
          <w:p w14:paraId="3B5BD92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AE2FE91">
            <w:pPr>
              <w:autoSpaceDE w:val="0"/>
              <w:autoSpaceDN w:val="0"/>
              <w:adjustRightInd w:val="0"/>
              <w:snapToGrid w:val="0"/>
              <w:jc w:val="center"/>
              <w:rPr>
                <w:rFonts w:ascii="Times New Roman"/>
                <w:sz w:val="21"/>
                <w:szCs w:val="21"/>
              </w:rPr>
            </w:pPr>
          </w:p>
        </w:tc>
        <w:tc>
          <w:tcPr>
            <w:tcW w:w="287" w:type="pct"/>
            <w:vMerge w:val="continue"/>
            <w:vAlign w:val="center"/>
          </w:tcPr>
          <w:p w14:paraId="7AF407C1">
            <w:pPr>
              <w:autoSpaceDE w:val="0"/>
              <w:autoSpaceDN w:val="0"/>
              <w:adjustRightInd w:val="0"/>
              <w:snapToGrid w:val="0"/>
              <w:jc w:val="center"/>
              <w:rPr>
                <w:rFonts w:ascii="Times New Roman"/>
                <w:sz w:val="21"/>
                <w:szCs w:val="21"/>
              </w:rPr>
            </w:pPr>
          </w:p>
        </w:tc>
        <w:tc>
          <w:tcPr>
            <w:tcW w:w="434" w:type="pct"/>
            <w:vMerge w:val="continue"/>
            <w:vAlign w:val="center"/>
          </w:tcPr>
          <w:p w14:paraId="2A9EB5F0">
            <w:pPr>
              <w:autoSpaceDE w:val="0"/>
              <w:autoSpaceDN w:val="0"/>
              <w:adjustRightInd w:val="0"/>
              <w:snapToGrid w:val="0"/>
              <w:jc w:val="center"/>
              <w:rPr>
                <w:rFonts w:ascii="Times New Roman"/>
                <w:sz w:val="21"/>
                <w:szCs w:val="21"/>
              </w:rPr>
            </w:pPr>
          </w:p>
        </w:tc>
      </w:tr>
      <w:tr w14:paraId="2D6A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A95BA74">
            <w:pPr>
              <w:autoSpaceDE w:val="0"/>
              <w:autoSpaceDN w:val="0"/>
              <w:adjustRightInd w:val="0"/>
              <w:snapToGrid w:val="0"/>
              <w:jc w:val="center"/>
              <w:rPr>
                <w:rFonts w:ascii="Times New Roman"/>
                <w:sz w:val="21"/>
                <w:szCs w:val="21"/>
              </w:rPr>
            </w:pPr>
          </w:p>
        </w:tc>
        <w:tc>
          <w:tcPr>
            <w:tcW w:w="697" w:type="pct"/>
            <w:vAlign w:val="center"/>
          </w:tcPr>
          <w:p w14:paraId="60BBAC59">
            <w:pPr>
              <w:autoSpaceDE w:val="0"/>
              <w:autoSpaceDN w:val="0"/>
              <w:adjustRightInd w:val="0"/>
              <w:snapToGrid w:val="0"/>
              <w:jc w:val="center"/>
              <w:rPr>
                <w:rFonts w:ascii="Times New Roman"/>
                <w:sz w:val="21"/>
                <w:szCs w:val="21"/>
              </w:rPr>
            </w:pPr>
            <w:r>
              <w:rPr>
                <w:rFonts w:ascii="Times New Roman"/>
                <w:sz w:val="21"/>
                <w:szCs w:val="21"/>
              </w:rPr>
              <w:t>龙门加工中心</w:t>
            </w:r>
          </w:p>
        </w:tc>
        <w:tc>
          <w:tcPr>
            <w:tcW w:w="346" w:type="pct"/>
            <w:vAlign w:val="center"/>
          </w:tcPr>
          <w:p w14:paraId="617C32F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7D1C005">
            <w:pPr>
              <w:autoSpaceDE w:val="0"/>
              <w:autoSpaceDN w:val="0"/>
              <w:adjustRightInd w:val="0"/>
              <w:snapToGrid w:val="0"/>
              <w:jc w:val="center"/>
              <w:rPr>
                <w:rFonts w:ascii="Times New Roman"/>
                <w:sz w:val="21"/>
                <w:szCs w:val="21"/>
              </w:rPr>
            </w:pPr>
          </w:p>
        </w:tc>
        <w:tc>
          <w:tcPr>
            <w:tcW w:w="208" w:type="pct"/>
            <w:vAlign w:val="center"/>
          </w:tcPr>
          <w:p w14:paraId="1970ECF1">
            <w:pPr>
              <w:autoSpaceDE w:val="0"/>
              <w:autoSpaceDN w:val="0"/>
              <w:adjustRightInd w:val="0"/>
              <w:snapToGrid w:val="0"/>
              <w:jc w:val="center"/>
              <w:rPr>
                <w:rFonts w:ascii="Times New Roman"/>
                <w:sz w:val="21"/>
                <w:szCs w:val="21"/>
              </w:rPr>
            </w:pPr>
            <w:r>
              <w:rPr>
                <w:rFonts w:ascii="Times New Roman"/>
                <w:sz w:val="21"/>
                <w:szCs w:val="21"/>
              </w:rPr>
              <w:t>210</w:t>
            </w:r>
          </w:p>
        </w:tc>
        <w:tc>
          <w:tcPr>
            <w:tcW w:w="201" w:type="pct"/>
            <w:vAlign w:val="center"/>
          </w:tcPr>
          <w:p w14:paraId="300DC013">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73DCC9C1">
            <w:pPr>
              <w:autoSpaceDE w:val="0"/>
              <w:autoSpaceDN w:val="0"/>
              <w:adjustRightInd w:val="0"/>
              <w:snapToGrid w:val="0"/>
              <w:jc w:val="center"/>
              <w:rPr>
                <w:rFonts w:ascii="Times New Roman"/>
                <w:sz w:val="21"/>
                <w:szCs w:val="21"/>
              </w:rPr>
            </w:pPr>
            <w:r>
              <w:rPr>
                <w:rFonts w:ascii="Times New Roman"/>
                <w:sz w:val="21"/>
                <w:szCs w:val="21"/>
              </w:rPr>
              <w:t>1.0</w:t>
            </w:r>
          </w:p>
        </w:tc>
        <w:tc>
          <w:tcPr>
            <w:tcW w:w="346" w:type="pct"/>
            <w:vAlign w:val="center"/>
          </w:tcPr>
          <w:p w14:paraId="5D253E70">
            <w:pPr>
              <w:autoSpaceDE w:val="0"/>
              <w:autoSpaceDN w:val="0"/>
              <w:adjustRightInd w:val="0"/>
              <w:snapToGrid w:val="0"/>
              <w:jc w:val="center"/>
              <w:rPr>
                <w:rFonts w:ascii="Times New Roman"/>
                <w:sz w:val="21"/>
                <w:szCs w:val="21"/>
              </w:rPr>
            </w:pPr>
            <w:r>
              <w:rPr>
                <w:rFonts w:ascii="Times New Roman"/>
                <w:sz w:val="21"/>
                <w:szCs w:val="21"/>
              </w:rPr>
              <w:t>8.52</w:t>
            </w:r>
          </w:p>
        </w:tc>
        <w:tc>
          <w:tcPr>
            <w:tcW w:w="358" w:type="pct"/>
            <w:vAlign w:val="center"/>
          </w:tcPr>
          <w:p w14:paraId="4C9367D4">
            <w:pPr>
              <w:autoSpaceDE w:val="0"/>
              <w:autoSpaceDN w:val="0"/>
              <w:adjustRightInd w:val="0"/>
              <w:snapToGrid w:val="0"/>
              <w:jc w:val="center"/>
              <w:rPr>
                <w:rFonts w:ascii="Times New Roman"/>
                <w:sz w:val="21"/>
                <w:szCs w:val="21"/>
              </w:rPr>
            </w:pPr>
            <w:r>
              <w:rPr>
                <w:rFonts w:ascii="Times New Roman"/>
                <w:sz w:val="21"/>
                <w:szCs w:val="21"/>
              </w:rPr>
              <w:t>61</w:t>
            </w:r>
          </w:p>
        </w:tc>
        <w:tc>
          <w:tcPr>
            <w:tcW w:w="316" w:type="pct"/>
            <w:vMerge w:val="continue"/>
            <w:vAlign w:val="center"/>
          </w:tcPr>
          <w:p w14:paraId="479CB632">
            <w:pPr>
              <w:autoSpaceDE w:val="0"/>
              <w:autoSpaceDN w:val="0"/>
              <w:adjustRightInd w:val="0"/>
              <w:snapToGrid w:val="0"/>
              <w:jc w:val="center"/>
              <w:rPr>
                <w:rFonts w:ascii="Times New Roman"/>
                <w:sz w:val="21"/>
                <w:szCs w:val="21"/>
              </w:rPr>
            </w:pPr>
          </w:p>
        </w:tc>
        <w:tc>
          <w:tcPr>
            <w:tcW w:w="551" w:type="pct"/>
            <w:vAlign w:val="center"/>
          </w:tcPr>
          <w:p w14:paraId="6A0D5EF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0615866">
            <w:pPr>
              <w:autoSpaceDE w:val="0"/>
              <w:autoSpaceDN w:val="0"/>
              <w:adjustRightInd w:val="0"/>
              <w:snapToGrid w:val="0"/>
              <w:jc w:val="center"/>
              <w:rPr>
                <w:rFonts w:ascii="Times New Roman"/>
                <w:sz w:val="21"/>
                <w:szCs w:val="21"/>
              </w:rPr>
            </w:pPr>
          </w:p>
        </w:tc>
        <w:tc>
          <w:tcPr>
            <w:tcW w:w="287" w:type="pct"/>
            <w:vMerge w:val="continue"/>
            <w:vAlign w:val="center"/>
          </w:tcPr>
          <w:p w14:paraId="05507317">
            <w:pPr>
              <w:autoSpaceDE w:val="0"/>
              <w:autoSpaceDN w:val="0"/>
              <w:adjustRightInd w:val="0"/>
              <w:snapToGrid w:val="0"/>
              <w:jc w:val="center"/>
              <w:rPr>
                <w:rFonts w:ascii="Times New Roman"/>
                <w:sz w:val="21"/>
                <w:szCs w:val="21"/>
              </w:rPr>
            </w:pPr>
          </w:p>
        </w:tc>
        <w:tc>
          <w:tcPr>
            <w:tcW w:w="434" w:type="pct"/>
            <w:vMerge w:val="continue"/>
            <w:vAlign w:val="center"/>
          </w:tcPr>
          <w:p w14:paraId="6ED5B987">
            <w:pPr>
              <w:autoSpaceDE w:val="0"/>
              <w:autoSpaceDN w:val="0"/>
              <w:adjustRightInd w:val="0"/>
              <w:snapToGrid w:val="0"/>
              <w:jc w:val="center"/>
              <w:rPr>
                <w:rFonts w:ascii="Times New Roman"/>
                <w:sz w:val="21"/>
                <w:szCs w:val="21"/>
              </w:rPr>
            </w:pPr>
          </w:p>
        </w:tc>
      </w:tr>
      <w:tr w14:paraId="73E2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058726F">
            <w:pPr>
              <w:autoSpaceDE w:val="0"/>
              <w:autoSpaceDN w:val="0"/>
              <w:adjustRightInd w:val="0"/>
              <w:snapToGrid w:val="0"/>
              <w:jc w:val="center"/>
              <w:rPr>
                <w:rFonts w:ascii="Times New Roman"/>
                <w:sz w:val="21"/>
                <w:szCs w:val="21"/>
              </w:rPr>
            </w:pPr>
          </w:p>
        </w:tc>
        <w:tc>
          <w:tcPr>
            <w:tcW w:w="697" w:type="pct"/>
            <w:vAlign w:val="center"/>
          </w:tcPr>
          <w:p w14:paraId="6CF4589F">
            <w:pPr>
              <w:autoSpaceDE w:val="0"/>
              <w:autoSpaceDN w:val="0"/>
              <w:adjustRightInd w:val="0"/>
              <w:snapToGrid w:val="0"/>
              <w:jc w:val="center"/>
              <w:rPr>
                <w:rFonts w:ascii="Times New Roman"/>
                <w:sz w:val="21"/>
                <w:szCs w:val="21"/>
              </w:rPr>
            </w:pPr>
            <w:r>
              <w:rPr>
                <w:rFonts w:ascii="Times New Roman"/>
                <w:sz w:val="21"/>
                <w:szCs w:val="21"/>
              </w:rPr>
              <w:t>大粹火炉</w:t>
            </w:r>
          </w:p>
        </w:tc>
        <w:tc>
          <w:tcPr>
            <w:tcW w:w="346" w:type="pct"/>
            <w:vAlign w:val="center"/>
          </w:tcPr>
          <w:p w14:paraId="305B369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A3AE816">
            <w:pPr>
              <w:autoSpaceDE w:val="0"/>
              <w:autoSpaceDN w:val="0"/>
              <w:adjustRightInd w:val="0"/>
              <w:snapToGrid w:val="0"/>
              <w:jc w:val="center"/>
              <w:rPr>
                <w:rFonts w:ascii="Times New Roman"/>
                <w:sz w:val="21"/>
                <w:szCs w:val="21"/>
              </w:rPr>
            </w:pPr>
          </w:p>
        </w:tc>
        <w:tc>
          <w:tcPr>
            <w:tcW w:w="208" w:type="pct"/>
            <w:vAlign w:val="center"/>
          </w:tcPr>
          <w:p w14:paraId="683539F2">
            <w:pPr>
              <w:autoSpaceDE w:val="0"/>
              <w:autoSpaceDN w:val="0"/>
              <w:adjustRightInd w:val="0"/>
              <w:snapToGrid w:val="0"/>
              <w:jc w:val="center"/>
              <w:rPr>
                <w:rFonts w:ascii="Times New Roman"/>
                <w:sz w:val="21"/>
                <w:szCs w:val="21"/>
              </w:rPr>
            </w:pPr>
            <w:r>
              <w:rPr>
                <w:rFonts w:ascii="Times New Roman"/>
                <w:sz w:val="21"/>
                <w:szCs w:val="21"/>
              </w:rPr>
              <w:t>286</w:t>
            </w:r>
          </w:p>
        </w:tc>
        <w:tc>
          <w:tcPr>
            <w:tcW w:w="201" w:type="pct"/>
            <w:vAlign w:val="center"/>
          </w:tcPr>
          <w:p w14:paraId="30BD66FC">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5564253B">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7AD4DE6E">
            <w:pPr>
              <w:autoSpaceDE w:val="0"/>
              <w:autoSpaceDN w:val="0"/>
              <w:adjustRightInd w:val="0"/>
              <w:snapToGrid w:val="0"/>
              <w:jc w:val="center"/>
              <w:rPr>
                <w:rFonts w:ascii="Times New Roman"/>
                <w:sz w:val="21"/>
                <w:szCs w:val="21"/>
              </w:rPr>
            </w:pPr>
            <w:r>
              <w:rPr>
                <w:rFonts w:ascii="Times New Roman"/>
                <w:sz w:val="21"/>
                <w:szCs w:val="21"/>
              </w:rPr>
              <w:t>84.52</w:t>
            </w:r>
          </w:p>
        </w:tc>
        <w:tc>
          <w:tcPr>
            <w:tcW w:w="358" w:type="pct"/>
            <w:vAlign w:val="center"/>
          </w:tcPr>
          <w:p w14:paraId="69523D9B">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5C223FBA">
            <w:pPr>
              <w:autoSpaceDE w:val="0"/>
              <w:autoSpaceDN w:val="0"/>
              <w:adjustRightInd w:val="0"/>
              <w:snapToGrid w:val="0"/>
              <w:jc w:val="center"/>
              <w:rPr>
                <w:rFonts w:ascii="Times New Roman"/>
                <w:sz w:val="21"/>
                <w:szCs w:val="21"/>
              </w:rPr>
            </w:pPr>
          </w:p>
        </w:tc>
        <w:tc>
          <w:tcPr>
            <w:tcW w:w="551" w:type="pct"/>
            <w:vAlign w:val="center"/>
          </w:tcPr>
          <w:p w14:paraId="4FB98F7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A8AF590">
            <w:pPr>
              <w:autoSpaceDE w:val="0"/>
              <w:autoSpaceDN w:val="0"/>
              <w:adjustRightInd w:val="0"/>
              <w:snapToGrid w:val="0"/>
              <w:jc w:val="center"/>
              <w:rPr>
                <w:rFonts w:ascii="Times New Roman"/>
                <w:sz w:val="21"/>
                <w:szCs w:val="21"/>
              </w:rPr>
            </w:pPr>
          </w:p>
        </w:tc>
        <w:tc>
          <w:tcPr>
            <w:tcW w:w="287" w:type="pct"/>
            <w:vMerge w:val="continue"/>
            <w:vAlign w:val="center"/>
          </w:tcPr>
          <w:p w14:paraId="3B132027">
            <w:pPr>
              <w:autoSpaceDE w:val="0"/>
              <w:autoSpaceDN w:val="0"/>
              <w:adjustRightInd w:val="0"/>
              <w:snapToGrid w:val="0"/>
              <w:jc w:val="center"/>
              <w:rPr>
                <w:rFonts w:ascii="Times New Roman"/>
                <w:sz w:val="21"/>
                <w:szCs w:val="21"/>
              </w:rPr>
            </w:pPr>
          </w:p>
        </w:tc>
        <w:tc>
          <w:tcPr>
            <w:tcW w:w="434" w:type="pct"/>
            <w:vMerge w:val="continue"/>
            <w:vAlign w:val="center"/>
          </w:tcPr>
          <w:p w14:paraId="07339542">
            <w:pPr>
              <w:autoSpaceDE w:val="0"/>
              <w:autoSpaceDN w:val="0"/>
              <w:adjustRightInd w:val="0"/>
              <w:snapToGrid w:val="0"/>
              <w:jc w:val="center"/>
              <w:rPr>
                <w:rFonts w:ascii="Times New Roman"/>
                <w:sz w:val="21"/>
                <w:szCs w:val="21"/>
              </w:rPr>
            </w:pPr>
          </w:p>
        </w:tc>
      </w:tr>
      <w:tr w14:paraId="7B11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C4F7247">
            <w:pPr>
              <w:autoSpaceDE w:val="0"/>
              <w:autoSpaceDN w:val="0"/>
              <w:adjustRightInd w:val="0"/>
              <w:snapToGrid w:val="0"/>
              <w:jc w:val="center"/>
              <w:rPr>
                <w:rFonts w:ascii="Times New Roman"/>
                <w:sz w:val="21"/>
                <w:szCs w:val="21"/>
              </w:rPr>
            </w:pPr>
          </w:p>
        </w:tc>
        <w:tc>
          <w:tcPr>
            <w:tcW w:w="697" w:type="pct"/>
            <w:vAlign w:val="center"/>
          </w:tcPr>
          <w:p w14:paraId="5F529B7D">
            <w:pPr>
              <w:autoSpaceDE w:val="0"/>
              <w:autoSpaceDN w:val="0"/>
              <w:adjustRightInd w:val="0"/>
              <w:snapToGrid w:val="0"/>
              <w:jc w:val="center"/>
              <w:rPr>
                <w:rFonts w:ascii="Times New Roman"/>
                <w:sz w:val="21"/>
                <w:szCs w:val="21"/>
              </w:rPr>
            </w:pPr>
            <w:r>
              <w:rPr>
                <w:rFonts w:ascii="Times New Roman"/>
                <w:sz w:val="21"/>
                <w:szCs w:val="21"/>
              </w:rPr>
              <w:t>小粹火炉</w:t>
            </w:r>
          </w:p>
        </w:tc>
        <w:tc>
          <w:tcPr>
            <w:tcW w:w="346" w:type="pct"/>
            <w:vAlign w:val="center"/>
          </w:tcPr>
          <w:p w14:paraId="5994ADC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71087B0">
            <w:pPr>
              <w:autoSpaceDE w:val="0"/>
              <w:autoSpaceDN w:val="0"/>
              <w:adjustRightInd w:val="0"/>
              <w:snapToGrid w:val="0"/>
              <w:jc w:val="center"/>
              <w:rPr>
                <w:rFonts w:ascii="Times New Roman"/>
                <w:sz w:val="21"/>
                <w:szCs w:val="21"/>
              </w:rPr>
            </w:pPr>
          </w:p>
        </w:tc>
        <w:tc>
          <w:tcPr>
            <w:tcW w:w="208" w:type="pct"/>
            <w:vAlign w:val="center"/>
          </w:tcPr>
          <w:p w14:paraId="37696DC6">
            <w:pPr>
              <w:autoSpaceDE w:val="0"/>
              <w:autoSpaceDN w:val="0"/>
              <w:adjustRightInd w:val="0"/>
              <w:snapToGrid w:val="0"/>
              <w:jc w:val="center"/>
              <w:rPr>
                <w:rFonts w:ascii="Times New Roman"/>
                <w:sz w:val="21"/>
                <w:szCs w:val="21"/>
              </w:rPr>
            </w:pPr>
            <w:r>
              <w:rPr>
                <w:rFonts w:ascii="Times New Roman"/>
                <w:sz w:val="21"/>
                <w:szCs w:val="21"/>
              </w:rPr>
              <w:t>288</w:t>
            </w:r>
          </w:p>
        </w:tc>
        <w:tc>
          <w:tcPr>
            <w:tcW w:w="201" w:type="pct"/>
            <w:vAlign w:val="center"/>
          </w:tcPr>
          <w:p w14:paraId="7404B544">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4C3680C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52AB790">
            <w:pPr>
              <w:autoSpaceDE w:val="0"/>
              <w:autoSpaceDN w:val="0"/>
              <w:adjustRightInd w:val="0"/>
              <w:snapToGrid w:val="0"/>
              <w:jc w:val="center"/>
              <w:rPr>
                <w:rFonts w:ascii="Times New Roman"/>
                <w:sz w:val="21"/>
                <w:szCs w:val="21"/>
              </w:rPr>
            </w:pPr>
            <w:r>
              <w:rPr>
                <w:rFonts w:ascii="Times New Roman"/>
                <w:sz w:val="21"/>
                <w:szCs w:val="21"/>
              </w:rPr>
              <w:t>86.52</w:t>
            </w:r>
          </w:p>
        </w:tc>
        <w:tc>
          <w:tcPr>
            <w:tcW w:w="358" w:type="pct"/>
            <w:vAlign w:val="center"/>
          </w:tcPr>
          <w:p w14:paraId="7EA012CF">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0FCD9A2E">
            <w:pPr>
              <w:autoSpaceDE w:val="0"/>
              <w:autoSpaceDN w:val="0"/>
              <w:adjustRightInd w:val="0"/>
              <w:snapToGrid w:val="0"/>
              <w:jc w:val="center"/>
              <w:rPr>
                <w:rFonts w:ascii="Times New Roman"/>
                <w:sz w:val="21"/>
                <w:szCs w:val="21"/>
              </w:rPr>
            </w:pPr>
          </w:p>
        </w:tc>
        <w:tc>
          <w:tcPr>
            <w:tcW w:w="551" w:type="pct"/>
            <w:vAlign w:val="center"/>
          </w:tcPr>
          <w:p w14:paraId="464297B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A1C985C">
            <w:pPr>
              <w:autoSpaceDE w:val="0"/>
              <w:autoSpaceDN w:val="0"/>
              <w:adjustRightInd w:val="0"/>
              <w:snapToGrid w:val="0"/>
              <w:jc w:val="center"/>
              <w:rPr>
                <w:rFonts w:ascii="Times New Roman"/>
                <w:sz w:val="21"/>
                <w:szCs w:val="21"/>
              </w:rPr>
            </w:pPr>
          </w:p>
        </w:tc>
        <w:tc>
          <w:tcPr>
            <w:tcW w:w="287" w:type="pct"/>
            <w:vMerge w:val="continue"/>
            <w:vAlign w:val="center"/>
          </w:tcPr>
          <w:p w14:paraId="232A7840">
            <w:pPr>
              <w:autoSpaceDE w:val="0"/>
              <w:autoSpaceDN w:val="0"/>
              <w:adjustRightInd w:val="0"/>
              <w:snapToGrid w:val="0"/>
              <w:jc w:val="center"/>
              <w:rPr>
                <w:rFonts w:ascii="Times New Roman"/>
                <w:sz w:val="21"/>
                <w:szCs w:val="21"/>
              </w:rPr>
            </w:pPr>
          </w:p>
        </w:tc>
        <w:tc>
          <w:tcPr>
            <w:tcW w:w="434" w:type="pct"/>
            <w:vMerge w:val="continue"/>
            <w:vAlign w:val="center"/>
          </w:tcPr>
          <w:p w14:paraId="786A9A24">
            <w:pPr>
              <w:autoSpaceDE w:val="0"/>
              <w:autoSpaceDN w:val="0"/>
              <w:adjustRightInd w:val="0"/>
              <w:snapToGrid w:val="0"/>
              <w:jc w:val="center"/>
              <w:rPr>
                <w:rFonts w:ascii="Times New Roman"/>
                <w:sz w:val="21"/>
                <w:szCs w:val="21"/>
              </w:rPr>
            </w:pPr>
          </w:p>
        </w:tc>
      </w:tr>
      <w:tr w14:paraId="76C5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A2052BA">
            <w:pPr>
              <w:autoSpaceDE w:val="0"/>
              <w:autoSpaceDN w:val="0"/>
              <w:adjustRightInd w:val="0"/>
              <w:snapToGrid w:val="0"/>
              <w:jc w:val="center"/>
              <w:rPr>
                <w:rFonts w:ascii="Times New Roman"/>
                <w:sz w:val="21"/>
                <w:szCs w:val="21"/>
              </w:rPr>
            </w:pPr>
          </w:p>
        </w:tc>
        <w:tc>
          <w:tcPr>
            <w:tcW w:w="697" w:type="pct"/>
            <w:vAlign w:val="center"/>
          </w:tcPr>
          <w:p w14:paraId="3A910E4B">
            <w:pPr>
              <w:autoSpaceDE w:val="0"/>
              <w:autoSpaceDN w:val="0"/>
              <w:adjustRightInd w:val="0"/>
              <w:snapToGrid w:val="0"/>
              <w:jc w:val="center"/>
              <w:rPr>
                <w:rFonts w:ascii="Times New Roman"/>
                <w:sz w:val="21"/>
                <w:szCs w:val="21"/>
              </w:rPr>
            </w:pPr>
            <w:r>
              <w:rPr>
                <w:rFonts w:ascii="Times New Roman"/>
                <w:sz w:val="21"/>
                <w:szCs w:val="21"/>
              </w:rPr>
              <w:t>小粹火炉</w:t>
            </w:r>
          </w:p>
        </w:tc>
        <w:tc>
          <w:tcPr>
            <w:tcW w:w="346" w:type="pct"/>
            <w:vAlign w:val="center"/>
          </w:tcPr>
          <w:p w14:paraId="65FF136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4BC8564">
            <w:pPr>
              <w:autoSpaceDE w:val="0"/>
              <w:autoSpaceDN w:val="0"/>
              <w:adjustRightInd w:val="0"/>
              <w:snapToGrid w:val="0"/>
              <w:jc w:val="center"/>
              <w:rPr>
                <w:rFonts w:ascii="Times New Roman"/>
                <w:sz w:val="21"/>
                <w:szCs w:val="21"/>
              </w:rPr>
            </w:pPr>
          </w:p>
        </w:tc>
        <w:tc>
          <w:tcPr>
            <w:tcW w:w="208" w:type="pct"/>
            <w:vAlign w:val="center"/>
          </w:tcPr>
          <w:p w14:paraId="5938DCED">
            <w:pPr>
              <w:autoSpaceDE w:val="0"/>
              <w:autoSpaceDN w:val="0"/>
              <w:adjustRightInd w:val="0"/>
              <w:snapToGrid w:val="0"/>
              <w:jc w:val="center"/>
              <w:rPr>
                <w:rFonts w:ascii="Times New Roman"/>
                <w:sz w:val="21"/>
                <w:szCs w:val="21"/>
              </w:rPr>
            </w:pPr>
            <w:r>
              <w:rPr>
                <w:rFonts w:ascii="Times New Roman"/>
                <w:sz w:val="21"/>
                <w:szCs w:val="21"/>
              </w:rPr>
              <w:t>290</w:t>
            </w:r>
          </w:p>
        </w:tc>
        <w:tc>
          <w:tcPr>
            <w:tcW w:w="201" w:type="pct"/>
            <w:vAlign w:val="center"/>
          </w:tcPr>
          <w:p w14:paraId="703F7DA2">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159E9C2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084A514">
            <w:pPr>
              <w:autoSpaceDE w:val="0"/>
              <w:autoSpaceDN w:val="0"/>
              <w:adjustRightInd w:val="0"/>
              <w:snapToGrid w:val="0"/>
              <w:jc w:val="center"/>
              <w:rPr>
                <w:rFonts w:ascii="Times New Roman"/>
                <w:sz w:val="21"/>
                <w:szCs w:val="21"/>
              </w:rPr>
            </w:pPr>
            <w:r>
              <w:rPr>
                <w:rFonts w:ascii="Times New Roman"/>
                <w:sz w:val="21"/>
                <w:szCs w:val="21"/>
              </w:rPr>
              <w:t>88.52</w:t>
            </w:r>
          </w:p>
        </w:tc>
        <w:tc>
          <w:tcPr>
            <w:tcW w:w="358" w:type="pct"/>
            <w:vAlign w:val="center"/>
          </w:tcPr>
          <w:p w14:paraId="623A3D77">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553A4F43">
            <w:pPr>
              <w:autoSpaceDE w:val="0"/>
              <w:autoSpaceDN w:val="0"/>
              <w:adjustRightInd w:val="0"/>
              <w:snapToGrid w:val="0"/>
              <w:jc w:val="center"/>
              <w:rPr>
                <w:rFonts w:ascii="Times New Roman"/>
                <w:sz w:val="21"/>
                <w:szCs w:val="21"/>
              </w:rPr>
            </w:pPr>
          </w:p>
        </w:tc>
        <w:tc>
          <w:tcPr>
            <w:tcW w:w="551" w:type="pct"/>
            <w:vAlign w:val="center"/>
          </w:tcPr>
          <w:p w14:paraId="6528B1D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D0275F5">
            <w:pPr>
              <w:autoSpaceDE w:val="0"/>
              <w:autoSpaceDN w:val="0"/>
              <w:adjustRightInd w:val="0"/>
              <w:snapToGrid w:val="0"/>
              <w:jc w:val="center"/>
              <w:rPr>
                <w:rFonts w:ascii="Times New Roman"/>
                <w:sz w:val="21"/>
                <w:szCs w:val="21"/>
              </w:rPr>
            </w:pPr>
          </w:p>
        </w:tc>
        <w:tc>
          <w:tcPr>
            <w:tcW w:w="287" w:type="pct"/>
            <w:vMerge w:val="continue"/>
            <w:vAlign w:val="center"/>
          </w:tcPr>
          <w:p w14:paraId="025DF972">
            <w:pPr>
              <w:autoSpaceDE w:val="0"/>
              <w:autoSpaceDN w:val="0"/>
              <w:adjustRightInd w:val="0"/>
              <w:snapToGrid w:val="0"/>
              <w:jc w:val="center"/>
              <w:rPr>
                <w:rFonts w:ascii="Times New Roman"/>
                <w:sz w:val="21"/>
                <w:szCs w:val="21"/>
              </w:rPr>
            </w:pPr>
          </w:p>
        </w:tc>
        <w:tc>
          <w:tcPr>
            <w:tcW w:w="434" w:type="pct"/>
            <w:vMerge w:val="continue"/>
            <w:vAlign w:val="center"/>
          </w:tcPr>
          <w:p w14:paraId="4AF8FF0F">
            <w:pPr>
              <w:autoSpaceDE w:val="0"/>
              <w:autoSpaceDN w:val="0"/>
              <w:adjustRightInd w:val="0"/>
              <w:snapToGrid w:val="0"/>
              <w:jc w:val="center"/>
              <w:rPr>
                <w:rFonts w:ascii="Times New Roman"/>
                <w:sz w:val="21"/>
                <w:szCs w:val="21"/>
              </w:rPr>
            </w:pPr>
          </w:p>
        </w:tc>
      </w:tr>
      <w:tr w14:paraId="58CD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398F6DA">
            <w:pPr>
              <w:autoSpaceDE w:val="0"/>
              <w:autoSpaceDN w:val="0"/>
              <w:adjustRightInd w:val="0"/>
              <w:snapToGrid w:val="0"/>
              <w:jc w:val="center"/>
              <w:rPr>
                <w:rFonts w:ascii="Times New Roman"/>
                <w:sz w:val="21"/>
                <w:szCs w:val="21"/>
              </w:rPr>
            </w:pPr>
          </w:p>
        </w:tc>
        <w:tc>
          <w:tcPr>
            <w:tcW w:w="697" w:type="pct"/>
            <w:vAlign w:val="center"/>
          </w:tcPr>
          <w:p w14:paraId="306B88C2">
            <w:pPr>
              <w:autoSpaceDE w:val="0"/>
              <w:autoSpaceDN w:val="0"/>
              <w:adjustRightInd w:val="0"/>
              <w:snapToGrid w:val="0"/>
              <w:jc w:val="center"/>
              <w:rPr>
                <w:rFonts w:ascii="Times New Roman"/>
                <w:sz w:val="21"/>
                <w:szCs w:val="21"/>
              </w:rPr>
            </w:pPr>
            <w:r>
              <w:rPr>
                <w:rFonts w:ascii="Times New Roman"/>
                <w:sz w:val="21"/>
                <w:szCs w:val="21"/>
              </w:rPr>
              <w:t>大回火炉</w:t>
            </w:r>
          </w:p>
        </w:tc>
        <w:tc>
          <w:tcPr>
            <w:tcW w:w="346" w:type="pct"/>
            <w:vAlign w:val="center"/>
          </w:tcPr>
          <w:p w14:paraId="003A09A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76BE53B">
            <w:pPr>
              <w:autoSpaceDE w:val="0"/>
              <w:autoSpaceDN w:val="0"/>
              <w:adjustRightInd w:val="0"/>
              <w:snapToGrid w:val="0"/>
              <w:jc w:val="center"/>
              <w:rPr>
                <w:rFonts w:ascii="Times New Roman"/>
                <w:sz w:val="21"/>
                <w:szCs w:val="21"/>
              </w:rPr>
            </w:pPr>
          </w:p>
        </w:tc>
        <w:tc>
          <w:tcPr>
            <w:tcW w:w="208" w:type="pct"/>
            <w:vAlign w:val="center"/>
          </w:tcPr>
          <w:p w14:paraId="13186D19">
            <w:pPr>
              <w:autoSpaceDE w:val="0"/>
              <w:autoSpaceDN w:val="0"/>
              <w:adjustRightInd w:val="0"/>
              <w:snapToGrid w:val="0"/>
              <w:jc w:val="center"/>
              <w:rPr>
                <w:rFonts w:ascii="Times New Roman"/>
                <w:sz w:val="21"/>
                <w:szCs w:val="21"/>
              </w:rPr>
            </w:pPr>
            <w:r>
              <w:rPr>
                <w:rFonts w:ascii="Times New Roman"/>
                <w:sz w:val="21"/>
                <w:szCs w:val="21"/>
              </w:rPr>
              <w:t>286</w:t>
            </w:r>
          </w:p>
        </w:tc>
        <w:tc>
          <w:tcPr>
            <w:tcW w:w="201" w:type="pct"/>
            <w:vAlign w:val="center"/>
          </w:tcPr>
          <w:p w14:paraId="2AB4F493">
            <w:pPr>
              <w:autoSpaceDE w:val="0"/>
              <w:autoSpaceDN w:val="0"/>
              <w:adjustRightInd w:val="0"/>
              <w:snapToGrid w:val="0"/>
              <w:jc w:val="center"/>
              <w:rPr>
                <w:rFonts w:ascii="Times New Roman"/>
                <w:sz w:val="21"/>
                <w:szCs w:val="21"/>
              </w:rPr>
            </w:pPr>
            <w:r>
              <w:rPr>
                <w:rFonts w:ascii="Times New Roman"/>
                <w:sz w:val="21"/>
                <w:szCs w:val="21"/>
              </w:rPr>
              <w:t>125</w:t>
            </w:r>
          </w:p>
        </w:tc>
        <w:tc>
          <w:tcPr>
            <w:tcW w:w="240" w:type="pct"/>
            <w:vAlign w:val="center"/>
          </w:tcPr>
          <w:p w14:paraId="19B1A921">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7C7DD384">
            <w:pPr>
              <w:autoSpaceDE w:val="0"/>
              <w:autoSpaceDN w:val="0"/>
              <w:adjustRightInd w:val="0"/>
              <w:snapToGrid w:val="0"/>
              <w:jc w:val="center"/>
              <w:rPr>
                <w:rFonts w:ascii="Times New Roman"/>
                <w:sz w:val="21"/>
                <w:szCs w:val="21"/>
              </w:rPr>
            </w:pPr>
            <w:r>
              <w:rPr>
                <w:rFonts w:ascii="Times New Roman"/>
                <w:sz w:val="21"/>
                <w:szCs w:val="21"/>
              </w:rPr>
              <w:t>84.52</w:t>
            </w:r>
          </w:p>
        </w:tc>
        <w:tc>
          <w:tcPr>
            <w:tcW w:w="358" w:type="pct"/>
            <w:vAlign w:val="center"/>
          </w:tcPr>
          <w:p w14:paraId="37179E55">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09981752">
            <w:pPr>
              <w:autoSpaceDE w:val="0"/>
              <w:autoSpaceDN w:val="0"/>
              <w:adjustRightInd w:val="0"/>
              <w:snapToGrid w:val="0"/>
              <w:jc w:val="center"/>
              <w:rPr>
                <w:rFonts w:ascii="Times New Roman"/>
                <w:sz w:val="21"/>
                <w:szCs w:val="21"/>
              </w:rPr>
            </w:pPr>
          </w:p>
        </w:tc>
        <w:tc>
          <w:tcPr>
            <w:tcW w:w="551" w:type="pct"/>
            <w:vAlign w:val="center"/>
          </w:tcPr>
          <w:p w14:paraId="34CE96A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83C1573">
            <w:pPr>
              <w:autoSpaceDE w:val="0"/>
              <w:autoSpaceDN w:val="0"/>
              <w:adjustRightInd w:val="0"/>
              <w:snapToGrid w:val="0"/>
              <w:jc w:val="center"/>
              <w:rPr>
                <w:rFonts w:ascii="Times New Roman"/>
                <w:sz w:val="21"/>
                <w:szCs w:val="21"/>
              </w:rPr>
            </w:pPr>
          </w:p>
        </w:tc>
        <w:tc>
          <w:tcPr>
            <w:tcW w:w="287" w:type="pct"/>
            <w:vMerge w:val="continue"/>
            <w:vAlign w:val="center"/>
          </w:tcPr>
          <w:p w14:paraId="6D314B66">
            <w:pPr>
              <w:autoSpaceDE w:val="0"/>
              <w:autoSpaceDN w:val="0"/>
              <w:adjustRightInd w:val="0"/>
              <w:snapToGrid w:val="0"/>
              <w:jc w:val="center"/>
              <w:rPr>
                <w:rFonts w:ascii="Times New Roman"/>
                <w:sz w:val="21"/>
                <w:szCs w:val="21"/>
              </w:rPr>
            </w:pPr>
          </w:p>
        </w:tc>
        <w:tc>
          <w:tcPr>
            <w:tcW w:w="434" w:type="pct"/>
            <w:vMerge w:val="continue"/>
            <w:vAlign w:val="center"/>
          </w:tcPr>
          <w:p w14:paraId="4D3F997C">
            <w:pPr>
              <w:autoSpaceDE w:val="0"/>
              <w:autoSpaceDN w:val="0"/>
              <w:adjustRightInd w:val="0"/>
              <w:snapToGrid w:val="0"/>
              <w:jc w:val="center"/>
              <w:rPr>
                <w:rFonts w:ascii="Times New Roman"/>
                <w:sz w:val="21"/>
                <w:szCs w:val="21"/>
              </w:rPr>
            </w:pPr>
          </w:p>
        </w:tc>
      </w:tr>
      <w:tr w14:paraId="5A89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D24FED2">
            <w:pPr>
              <w:autoSpaceDE w:val="0"/>
              <w:autoSpaceDN w:val="0"/>
              <w:adjustRightInd w:val="0"/>
              <w:snapToGrid w:val="0"/>
              <w:jc w:val="center"/>
              <w:rPr>
                <w:rFonts w:ascii="Times New Roman"/>
                <w:sz w:val="21"/>
                <w:szCs w:val="21"/>
              </w:rPr>
            </w:pPr>
          </w:p>
        </w:tc>
        <w:tc>
          <w:tcPr>
            <w:tcW w:w="697" w:type="pct"/>
            <w:vAlign w:val="center"/>
          </w:tcPr>
          <w:p w14:paraId="68025F45">
            <w:pPr>
              <w:autoSpaceDE w:val="0"/>
              <w:autoSpaceDN w:val="0"/>
              <w:adjustRightInd w:val="0"/>
              <w:snapToGrid w:val="0"/>
              <w:jc w:val="center"/>
              <w:rPr>
                <w:rFonts w:ascii="Times New Roman"/>
                <w:sz w:val="21"/>
                <w:szCs w:val="21"/>
              </w:rPr>
            </w:pPr>
            <w:r>
              <w:rPr>
                <w:rFonts w:ascii="Times New Roman"/>
                <w:sz w:val="21"/>
                <w:szCs w:val="21"/>
              </w:rPr>
              <w:t>小回火炉</w:t>
            </w:r>
          </w:p>
        </w:tc>
        <w:tc>
          <w:tcPr>
            <w:tcW w:w="346" w:type="pct"/>
            <w:vAlign w:val="center"/>
          </w:tcPr>
          <w:p w14:paraId="10A4D9C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4550196">
            <w:pPr>
              <w:autoSpaceDE w:val="0"/>
              <w:autoSpaceDN w:val="0"/>
              <w:adjustRightInd w:val="0"/>
              <w:snapToGrid w:val="0"/>
              <w:jc w:val="center"/>
              <w:rPr>
                <w:rFonts w:ascii="Times New Roman"/>
                <w:sz w:val="21"/>
                <w:szCs w:val="21"/>
              </w:rPr>
            </w:pPr>
          </w:p>
        </w:tc>
        <w:tc>
          <w:tcPr>
            <w:tcW w:w="208" w:type="pct"/>
            <w:vAlign w:val="center"/>
          </w:tcPr>
          <w:p w14:paraId="554F9BC7">
            <w:pPr>
              <w:autoSpaceDE w:val="0"/>
              <w:autoSpaceDN w:val="0"/>
              <w:adjustRightInd w:val="0"/>
              <w:snapToGrid w:val="0"/>
              <w:jc w:val="center"/>
              <w:rPr>
                <w:rFonts w:ascii="Times New Roman"/>
                <w:sz w:val="21"/>
                <w:szCs w:val="21"/>
              </w:rPr>
            </w:pPr>
            <w:r>
              <w:rPr>
                <w:rFonts w:ascii="Times New Roman"/>
                <w:sz w:val="21"/>
                <w:szCs w:val="21"/>
              </w:rPr>
              <w:t>290</w:t>
            </w:r>
          </w:p>
        </w:tc>
        <w:tc>
          <w:tcPr>
            <w:tcW w:w="201" w:type="pct"/>
            <w:vAlign w:val="center"/>
          </w:tcPr>
          <w:p w14:paraId="0B3E61A1">
            <w:pPr>
              <w:autoSpaceDE w:val="0"/>
              <w:autoSpaceDN w:val="0"/>
              <w:adjustRightInd w:val="0"/>
              <w:snapToGrid w:val="0"/>
              <w:jc w:val="center"/>
              <w:rPr>
                <w:rFonts w:ascii="Times New Roman"/>
                <w:sz w:val="21"/>
                <w:szCs w:val="21"/>
              </w:rPr>
            </w:pPr>
            <w:r>
              <w:rPr>
                <w:rFonts w:ascii="Times New Roman"/>
                <w:sz w:val="21"/>
                <w:szCs w:val="21"/>
              </w:rPr>
              <w:t>125</w:t>
            </w:r>
          </w:p>
        </w:tc>
        <w:tc>
          <w:tcPr>
            <w:tcW w:w="240" w:type="pct"/>
            <w:vAlign w:val="center"/>
          </w:tcPr>
          <w:p w14:paraId="785FB0D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69ACB25">
            <w:pPr>
              <w:autoSpaceDE w:val="0"/>
              <w:autoSpaceDN w:val="0"/>
              <w:adjustRightInd w:val="0"/>
              <w:snapToGrid w:val="0"/>
              <w:jc w:val="center"/>
              <w:rPr>
                <w:rFonts w:ascii="Times New Roman"/>
                <w:sz w:val="21"/>
                <w:szCs w:val="21"/>
              </w:rPr>
            </w:pPr>
            <w:r>
              <w:rPr>
                <w:rFonts w:ascii="Times New Roman"/>
                <w:sz w:val="21"/>
                <w:szCs w:val="21"/>
              </w:rPr>
              <w:t>88.52</w:t>
            </w:r>
          </w:p>
        </w:tc>
        <w:tc>
          <w:tcPr>
            <w:tcW w:w="358" w:type="pct"/>
            <w:vAlign w:val="center"/>
          </w:tcPr>
          <w:p w14:paraId="5492F73C">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0A7C2240">
            <w:pPr>
              <w:autoSpaceDE w:val="0"/>
              <w:autoSpaceDN w:val="0"/>
              <w:adjustRightInd w:val="0"/>
              <w:snapToGrid w:val="0"/>
              <w:jc w:val="center"/>
              <w:rPr>
                <w:rFonts w:ascii="Times New Roman"/>
                <w:sz w:val="21"/>
                <w:szCs w:val="21"/>
              </w:rPr>
            </w:pPr>
          </w:p>
        </w:tc>
        <w:tc>
          <w:tcPr>
            <w:tcW w:w="551" w:type="pct"/>
            <w:vAlign w:val="center"/>
          </w:tcPr>
          <w:p w14:paraId="76CC2D7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24F2D98">
            <w:pPr>
              <w:autoSpaceDE w:val="0"/>
              <w:autoSpaceDN w:val="0"/>
              <w:adjustRightInd w:val="0"/>
              <w:snapToGrid w:val="0"/>
              <w:jc w:val="center"/>
              <w:rPr>
                <w:rFonts w:ascii="Times New Roman"/>
                <w:sz w:val="21"/>
                <w:szCs w:val="21"/>
              </w:rPr>
            </w:pPr>
          </w:p>
        </w:tc>
        <w:tc>
          <w:tcPr>
            <w:tcW w:w="287" w:type="pct"/>
            <w:vMerge w:val="continue"/>
            <w:vAlign w:val="center"/>
          </w:tcPr>
          <w:p w14:paraId="50AC775F">
            <w:pPr>
              <w:autoSpaceDE w:val="0"/>
              <w:autoSpaceDN w:val="0"/>
              <w:adjustRightInd w:val="0"/>
              <w:snapToGrid w:val="0"/>
              <w:jc w:val="center"/>
              <w:rPr>
                <w:rFonts w:ascii="Times New Roman"/>
                <w:sz w:val="21"/>
                <w:szCs w:val="21"/>
              </w:rPr>
            </w:pPr>
          </w:p>
        </w:tc>
        <w:tc>
          <w:tcPr>
            <w:tcW w:w="434" w:type="pct"/>
            <w:vMerge w:val="continue"/>
            <w:vAlign w:val="center"/>
          </w:tcPr>
          <w:p w14:paraId="3DFE8257">
            <w:pPr>
              <w:autoSpaceDE w:val="0"/>
              <w:autoSpaceDN w:val="0"/>
              <w:adjustRightInd w:val="0"/>
              <w:snapToGrid w:val="0"/>
              <w:jc w:val="center"/>
              <w:rPr>
                <w:rFonts w:ascii="Times New Roman"/>
                <w:sz w:val="21"/>
                <w:szCs w:val="21"/>
              </w:rPr>
            </w:pPr>
          </w:p>
        </w:tc>
      </w:tr>
      <w:tr w14:paraId="085F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F4E8869">
            <w:pPr>
              <w:autoSpaceDE w:val="0"/>
              <w:autoSpaceDN w:val="0"/>
              <w:adjustRightInd w:val="0"/>
              <w:snapToGrid w:val="0"/>
              <w:jc w:val="center"/>
              <w:rPr>
                <w:rFonts w:ascii="Times New Roman"/>
                <w:sz w:val="21"/>
                <w:szCs w:val="21"/>
              </w:rPr>
            </w:pPr>
          </w:p>
        </w:tc>
        <w:tc>
          <w:tcPr>
            <w:tcW w:w="697" w:type="pct"/>
            <w:vAlign w:val="center"/>
          </w:tcPr>
          <w:p w14:paraId="50896C37">
            <w:pPr>
              <w:autoSpaceDE w:val="0"/>
              <w:autoSpaceDN w:val="0"/>
              <w:adjustRightInd w:val="0"/>
              <w:snapToGrid w:val="0"/>
              <w:jc w:val="center"/>
              <w:rPr>
                <w:rFonts w:ascii="Times New Roman"/>
                <w:sz w:val="21"/>
                <w:szCs w:val="21"/>
              </w:rPr>
            </w:pPr>
            <w:r>
              <w:rPr>
                <w:rFonts w:ascii="Times New Roman"/>
                <w:sz w:val="21"/>
                <w:szCs w:val="21"/>
              </w:rPr>
              <w:t>全自动龙门取料机</w:t>
            </w:r>
          </w:p>
        </w:tc>
        <w:tc>
          <w:tcPr>
            <w:tcW w:w="346" w:type="pct"/>
            <w:vAlign w:val="center"/>
          </w:tcPr>
          <w:p w14:paraId="3BFA955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D01DB4F">
            <w:pPr>
              <w:autoSpaceDE w:val="0"/>
              <w:autoSpaceDN w:val="0"/>
              <w:adjustRightInd w:val="0"/>
              <w:snapToGrid w:val="0"/>
              <w:jc w:val="center"/>
              <w:rPr>
                <w:rFonts w:ascii="Times New Roman"/>
                <w:sz w:val="21"/>
                <w:szCs w:val="21"/>
              </w:rPr>
            </w:pPr>
          </w:p>
        </w:tc>
        <w:tc>
          <w:tcPr>
            <w:tcW w:w="208" w:type="pct"/>
            <w:vAlign w:val="center"/>
          </w:tcPr>
          <w:p w14:paraId="7A7624BC">
            <w:pPr>
              <w:autoSpaceDE w:val="0"/>
              <w:autoSpaceDN w:val="0"/>
              <w:adjustRightInd w:val="0"/>
              <w:snapToGrid w:val="0"/>
              <w:jc w:val="center"/>
              <w:rPr>
                <w:rFonts w:ascii="Times New Roman"/>
                <w:sz w:val="21"/>
                <w:szCs w:val="21"/>
              </w:rPr>
            </w:pPr>
            <w:r>
              <w:rPr>
                <w:rFonts w:ascii="Times New Roman"/>
                <w:sz w:val="21"/>
                <w:szCs w:val="21"/>
              </w:rPr>
              <w:t>288</w:t>
            </w:r>
          </w:p>
        </w:tc>
        <w:tc>
          <w:tcPr>
            <w:tcW w:w="201" w:type="pct"/>
            <w:vAlign w:val="center"/>
          </w:tcPr>
          <w:p w14:paraId="54E82370">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0933C499">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AAF841C">
            <w:pPr>
              <w:autoSpaceDE w:val="0"/>
              <w:autoSpaceDN w:val="0"/>
              <w:adjustRightInd w:val="0"/>
              <w:snapToGrid w:val="0"/>
              <w:jc w:val="center"/>
              <w:rPr>
                <w:rFonts w:ascii="Times New Roman"/>
                <w:sz w:val="21"/>
                <w:szCs w:val="21"/>
              </w:rPr>
            </w:pPr>
            <w:r>
              <w:rPr>
                <w:rFonts w:ascii="Times New Roman"/>
                <w:sz w:val="21"/>
                <w:szCs w:val="21"/>
              </w:rPr>
              <w:t>86.52</w:t>
            </w:r>
          </w:p>
        </w:tc>
        <w:tc>
          <w:tcPr>
            <w:tcW w:w="358" w:type="pct"/>
            <w:vAlign w:val="center"/>
          </w:tcPr>
          <w:p w14:paraId="0193D857">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1CCD91BB">
            <w:pPr>
              <w:autoSpaceDE w:val="0"/>
              <w:autoSpaceDN w:val="0"/>
              <w:adjustRightInd w:val="0"/>
              <w:snapToGrid w:val="0"/>
              <w:jc w:val="center"/>
              <w:rPr>
                <w:rFonts w:ascii="Times New Roman"/>
                <w:sz w:val="21"/>
                <w:szCs w:val="21"/>
              </w:rPr>
            </w:pPr>
          </w:p>
        </w:tc>
        <w:tc>
          <w:tcPr>
            <w:tcW w:w="551" w:type="pct"/>
            <w:vAlign w:val="center"/>
          </w:tcPr>
          <w:p w14:paraId="53DBA2E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27210AC">
            <w:pPr>
              <w:autoSpaceDE w:val="0"/>
              <w:autoSpaceDN w:val="0"/>
              <w:adjustRightInd w:val="0"/>
              <w:snapToGrid w:val="0"/>
              <w:jc w:val="center"/>
              <w:rPr>
                <w:rFonts w:ascii="Times New Roman"/>
                <w:sz w:val="21"/>
                <w:szCs w:val="21"/>
              </w:rPr>
            </w:pPr>
          </w:p>
        </w:tc>
        <w:tc>
          <w:tcPr>
            <w:tcW w:w="287" w:type="pct"/>
            <w:vMerge w:val="continue"/>
            <w:vAlign w:val="center"/>
          </w:tcPr>
          <w:p w14:paraId="142E39AA">
            <w:pPr>
              <w:autoSpaceDE w:val="0"/>
              <w:autoSpaceDN w:val="0"/>
              <w:adjustRightInd w:val="0"/>
              <w:snapToGrid w:val="0"/>
              <w:jc w:val="center"/>
              <w:rPr>
                <w:rFonts w:ascii="Times New Roman"/>
                <w:sz w:val="21"/>
                <w:szCs w:val="21"/>
              </w:rPr>
            </w:pPr>
          </w:p>
        </w:tc>
        <w:tc>
          <w:tcPr>
            <w:tcW w:w="434" w:type="pct"/>
            <w:vMerge w:val="continue"/>
            <w:vAlign w:val="center"/>
          </w:tcPr>
          <w:p w14:paraId="1DFBA667">
            <w:pPr>
              <w:autoSpaceDE w:val="0"/>
              <w:autoSpaceDN w:val="0"/>
              <w:adjustRightInd w:val="0"/>
              <w:snapToGrid w:val="0"/>
              <w:jc w:val="center"/>
              <w:rPr>
                <w:rFonts w:ascii="Times New Roman"/>
                <w:sz w:val="21"/>
                <w:szCs w:val="21"/>
              </w:rPr>
            </w:pPr>
          </w:p>
        </w:tc>
      </w:tr>
      <w:tr w14:paraId="073E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2675E80">
            <w:pPr>
              <w:autoSpaceDE w:val="0"/>
              <w:autoSpaceDN w:val="0"/>
              <w:adjustRightInd w:val="0"/>
              <w:snapToGrid w:val="0"/>
              <w:jc w:val="center"/>
              <w:rPr>
                <w:rFonts w:ascii="Times New Roman"/>
                <w:sz w:val="21"/>
                <w:szCs w:val="21"/>
              </w:rPr>
            </w:pPr>
          </w:p>
        </w:tc>
        <w:tc>
          <w:tcPr>
            <w:tcW w:w="697" w:type="pct"/>
            <w:vAlign w:val="center"/>
          </w:tcPr>
          <w:p w14:paraId="2E2AC138">
            <w:pPr>
              <w:autoSpaceDE w:val="0"/>
              <w:autoSpaceDN w:val="0"/>
              <w:adjustRightInd w:val="0"/>
              <w:snapToGrid w:val="0"/>
              <w:jc w:val="center"/>
              <w:rPr>
                <w:rFonts w:ascii="Times New Roman"/>
                <w:sz w:val="21"/>
                <w:szCs w:val="21"/>
              </w:rPr>
            </w:pPr>
            <w:r>
              <w:rPr>
                <w:rFonts w:ascii="Times New Roman"/>
                <w:sz w:val="21"/>
                <w:szCs w:val="21"/>
              </w:rPr>
              <w:t>移动式翻转机构</w:t>
            </w:r>
          </w:p>
        </w:tc>
        <w:tc>
          <w:tcPr>
            <w:tcW w:w="346" w:type="pct"/>
            <w:vAlign w:val="center"/>
          </w:tcPr>
          <w:p w14:paraId="0A19A32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5D667B3">
            <w:pPr>
              <w:autoSpaceDE w:val="0"/>
              <w:autoSpaceDN w:val="0"/>
              <w:adjustRightInd w:val="0"/>
              <w:snapToGrid w:val="0"/>
              <w:jc w:val="center"/>
              <w:rPr>
                <w:rFonts w:ascii="Times New Roman"/>
                <w:sz w:val="21"/>
                <w:szCs w:val="21"/>
              </w:rPr>
            </w:pPr>
          </w:p>
        </w:tc>
        <w:tc>
          <w:tcPr>
            <w:tcW w:w="208" w:type="pct"/>
            <w:vAlign w:val="center"/>
          </w:tcPr>
          <w:p w14:paraId="1A62321F">
            <w:pPr>
              <w:autoSpaceDE w:val="0"/>
              <w:autoSpaceDN w:val="0"/>
              <w:adjustRightInd w:val="0"/>
              <w:snapToGrid w:val="0"/>
              <w:jc w:val="center"/>
              <w:rPr>
                <w:rFonts w:ascii="Times New Roman"/>
                <w:sz w:val="21"/>
                <w:szCs w:val="21"/>
              </w:rPr>
            </w:pPr>
            <w:r>
              <w:rPr>
                <w:rFonts w:ascii="Times New Roman"/>
                <w:sz w:val="21"/>
                <w:szCs w:val="21"/>
              </w:rPr>
              <w:t>290</w:t>
            </w:r>
          </w:p>
        </w:tc>
        <w:tc>
          <w:tcPr>
            <w:tcW w:w="201" w:type="pct"/>
            <w:vAlign w:val="center"/>
          </w:tcPr>
          <w:p w14:paraId="02CFB6C9">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43C33C2B">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3050AAC3">
            <w:pPr>
              <w:autoSpaceDE w:val="0"/>
              <w:autoSpaceDN w:val="0"/>
              <w:adjustRightInd w:val="0"/>
              <w:snapToGrid w:val="0"/>
              <w:jc w:val="center"/>
              <w:rPr>
                <w:rFonts w:ascii="Times New Roman"/>
                <w:sz w:val="21"/>
                <w:szCs w:val="21"/>
              </w:rPr>
            </w:pPr>
            <w:r>
              <w:rPr>
                <w:rFonts w:ascii="Times New Roman"/>
                <w:sz w:val="21"/>
                <w:szCs w:val="21"/>
              </w:rPr>
              <w:t>88.52</w:t>
            </w:r>
          </w:p>
        </w:tc>
        <w:tc>
          <w:tcPr>
            <w:tcW w:w="358" w:type="pct"/>
            <w:vAlign w:val="center"/>
          </w:tcPr>
          <w:p w14:paraId="63FE12C1">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71F32101">
            <w:pPr>
              <w:autoSpaceDE w:val="0"/>
              <w:autoSpaceDN w:val="0"/>
              <w:adjustRightInd w:val="0"/>
              <w:snapToGrid w:val="0"/>
              <w:jc w:val="center"/>
              <w:rPr>
                <w:rFonts w:ascii="Times New Roman"/>
                <w:sz w:val="21"/>
                <w:szCs w:val="21"/>
              </w:rPr>
            </w:pPr>
          </w:p>
        </w:tc>
        <w:tc>
          <w:tcPr>
            <w:tcW w:w="551" w:type="pct"/>
            <w:vAlign w:val="center"/>
          </w:tcPr>
          <w:p w14:paraId="6449CBC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B82977D">
            <w:pPr>
              <w:autoSpaceDE w:val="0"/>
              <w:autoSpaceDN w:val="0"/>
              <w:adjustRightInd w:val="0"/>
              <w:snapToGrid w:val="0"/>
              <w:jc w:val="center"/>
              <w:rPr>
                <w:rFonts w:ascii="Times New Roman"/>
                <w:sz w:val="21"/>
                <w:szCs w:val="21"/>
              </w:rPr>
            </w:pPr>
          </w:p>
        </w:tc>
        <w:tc>
          <w:tcPr>
            <w:tcW w:w="287" w:type="pct"/>
            <w:vMerge w:val="continue"/>
            <w:vAlign w:val="center"/>
          </w:tcPr>
          <w:p w14:paraId="17E4C9F1">
            <w:pPr>
              <w:autoSpaceDE w:val="0"/>
              <w:autoSpaceDN w:val="0"/>
              <w:adjustRightInd w:val="0"/>
              <w:snapToGrid w:val="0"/>
              <w:jc w:val="center"/>
              <w:rPr>
                <w:rFonts w:ascii="Times New Roman"/>
                <w:sz w:val="21"/>
                <w:szCs w:val="21"/>
              </w:rPr>
            </w:pPr>
          </w:p>
        </w:tc>
        <w:tc>
          <w:tcPr>
            <w:tcW w:w="434" w:type="pct"/>
            <w:vMerge w:val="continue"/>
            <w:vAlign w:val="center"/>
          </w:tcPr>
          <w:p w14:paraId="5DB4FED7">
            <w:pPr>
              <w:autoSpaceDE w:val="0"/>
              <w:autoSpaceDN w:val="0"/>
              <w:adjustRightInd w:val="0"/>
              <w:snapToGrid w:val="0"/>
              <w:jc w:val="center"/>
              <w:rPr>
                <w:rFonts w:ascii="Times New Roman"/>
                <w:sz w:val="21"/>
                <w:szCs w:val="21"/>
              </w:rPr>
            </w:pPr>
          </w:p>
        </w:tc>
      </w:tr>
      <w:tr w14:paraId="3AD1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BB237EA">
            <w:pPr>
              <w:autoSpaceDE w:val="0"/>
              <w:autoSpaceDN w:val="0"/>
              <w:adjustRightInd w:val="0"/>
              <w:snapToGrid w:val="0"/>
              <w:jc w:val="center"/>
              <w:rPr>
                <w:rFonts w:ascii="Times New Roman"/>
                <w:sz w:val="21"/>
                <w:szCs w:val="21"/>
              </w:rPr>
            </w:pPr>
          </w:p>
        </w:tc>
        <w:tc>
          <w:tcPr>
            <w:tcW w:w="697" w:type="pct"/>
            <w:vAlign w:val="center"/>
          </w:tcPr>
          <w:p w14:paraId="069C115D">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180173F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635258F">
            <w:pPr>
              <w:autoSpaceDE w:val="0"/>
              <w:autoSpaceDN w:val="0"/>
              <w:adjustRightInd w:val="0"/>
              <w:snapToGrid w:val="0"/>
              <w:jc w:val="center"/>
              <w:rPr>
                <w:rFonts w:ascii="Times New Roman"/>
                <w:sz w:val="21"/>
                <w:szCs w:val="21"/>
              </w:rPr>
            </w:pPr>
          </w:p>
        </w:tc>
        <w:tc>
          <w:tcPr>
            <w:tcW w:w="208" w:type="pct"/>
            <w:vAlign w:val="center"/>
          </w:tcPr>
          <w:p w14:paraId="7E6B6370">
            <w:pPr>
              <w:autoSpaceDE w:val="0"/>
              <w:autoSpaceDN w:val="0"/>
              <w:adjustRightInd w:val="0"/>
              <w:snapToGrid w:val="0"/>
              <w:jc w:val="center"/>
              <w:rPr>
                <w:rFonts w:ascii="Times New Roman"/>
                <w:sz w:val="21"/>
                <w:szCs w:val="21"/>
              </w:rPr>
            </w:pPr>
            <w:r>
              <w:rPr>
                <w:rFonts w:ascii="Times New Roman"/>
                <w:sz w:val="21"/>
                <w:szCs w:val="21"/>
              </w:rPr>
              <w:t>230</w:t>
            </w:r>
          </w:p>
        </w:tc>
        <w:tc>
          <w:tcPr>
            <w:tcW w:w="201" w:type="pct"/>
            <w:vAlign w:val="center"/>
          </w:tcPr>
          <w:p w14:paraId="3ABED61C">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6FB55FCA">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F46F043">
            <w:pPr>
              <w:autoSpaceDE w:val="0"/>
              <w:autoSpaceDN w:val="0"/>
              <w:adjustRightInd w:val="0"/>
              <w:snapToGrid w:val="0"/>
              <w:jc w:val="center"/>
              <w:rPr>
                <w:rFonts w:ascii="Times New Roman"/>
                <w:sz w:val="21"/>
                <w:szCs w:val="21"/>
              </w:rPr>
            </w:pPr>
            <w:r>
              <w:rPr>
                <w:rFonts w:ascii="Times New Roman"/>
                <w:sz w:val="21"/>
                <w:szCs w:val="21"/>
              </w:rPr>
              <w:t>28.52</w:t>
            </w:r>
          </w:p>
        </w:tc>
        <w:tc>
          <w:tcPr>
            <w:tcW w:w="358" w:type="pct"/>
            <w:vAlign w:val="center"/>
          </w:tcPr>
          <w:p w14:paraId="42C0EA46">
            <w:pPr>
              <w:autoSpaceDE w:val="0"/>
              <w:autoSpaceDN w:val="0"/>
              <w:adjustRightInd w:val="0"/>
              <w:snapToGrid w:val="0"/>
              <w:jc w:val="center"/>
              <w:rPr>
                <w:rFonts w:ascii="Times New Roman"/>
                <w:sz w:val="21"/>
                <w:szCs w:val="21"/>
              </w:rPr>
            </w:pPr>
            <w:r>
              <w:rPr>
                <w:rFonts w:ascii="Times New Roman"/>
                <w:sz w:val="21"/>
                <w:szCs w:val="21"/>
              </w:rPr>
              <w:t>51</w:t>
            </w:r>
          </w:p>
        </w:tc>
        <w:tc>
          <w:tcPr>
            <w:tcW w:w="316" w:type="pct"/>
            <w:vMerge w:val="continue"/>
            <w:vAlign w:val="center"/>
          </w:tcPr>
          <w:p w14:paraId="09B1A23F">
            <w:pPr>
              <w:autoSpaceDE w:val="0"/>
              <w:autoSpaceDN w:val="0"/>
              <w:adjustRightInd w:val="0"/>
              <w:snapToGrid w:val="0"/>
              <w:jc w:val="center"/>
              <w:rPr>
                <w:rFonts w:ascii="Times New Roman"/>
                <w:sz w:val="21"/>
                <w:szCs w:val="21"/>
              </w:rPr>
            </w:pPr>
          </w:p>
        </w:tc>
        <w:tc>
          <w:tcPr>
            <w:tcW w:w="551" w:type="pct"/>
            <w:vAlign w:val="center"/>
          </w:tcPr>
          <w:p w14:paraId="70BF5CD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8DF40EB">
            <w:pPr>
              <w:autoSpaceDE w:val="0"/>
              <w:autoSpaceDN w:val="0"/>
              <w:adjustRightInd w:val="0"/>
              <w:snapToGrid w:val="0"/>
              <w:jc w:val="center"/>
              <w:rPr>
                <w:rFonts w:ascii="Times New Roman"/>
                <w:sz w:val="21"/>
                <w:szCs w:val="21"/>
              </w:rPr>
            </w:pPr>
          </w:p>
        </w:tc>
        <w:tc>
          <w:tcPr>
            <w:tcW w:w="287" w:type="pct"/>
            <w:vMerge w:val="continue"/>
            <w:vAlign w:val="center"/>
          </w:tcPr>
          <w:p w14:paraId="23DD60A4">
            <w:pPr>
              <w:autoSpaceDE w:val="0"/>
              <w:autoSpaceDN w:val="0"/>
              <w:adjustRightInd w:val="0"/>
              <w:snapToGrid w:val="0"/>
              <w:jc w:val="center"/>
              <w:rPr>
                <w:rFonts w:ascii="Times New Roman"/>
                <w:sz w:val="21"/>
                <w:szCs w:val="21"/>
              </w:rPr>
            </w:pPr>
          </w:p>
        </w:tc>
        <w:tc>
          <w:tcPr>
            <w:tcW w:w="434" w:type="pct"/>
            <w:vMerge w:val="continue"/>
            <w:vAlign w:val="center"/>
          </w:tcPr>
          <w:p w14:paraId="5E8C0C20">
            <w:pPr>
              <w:autoSpaceDE w:val="0"/>
              <w:autoSpaceDN w:val="0"/>
              <w:adjustRightInd w:val="0"/>
              <w:snapToGrid w:val="0"/>
              <w:jc w:val="center"/>
              <w:rPr>
                <w:rFonts w:ascii="Times New Roman"/>
                <w:sz w:val="21"/>
                <w:szCs w:val="21"/>
              </w:rPr>
            </w:pPr>
          </w:p>
        </w:tc>
      </w:tr>
      <w:tr w14:paraId="19DE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9" w:type="pct"/>
            <w:vMerge w:val="continue"/>
            <w:vAlign w:val="center"/>
          </w:tcPr>
          <w:p w14:paraId="5D66CBC7">
            <w:pPr>
              <w:autoSpaceDE w:val="0"/>
              <w:autoSpaceDN w:val="0"/>
              <w:adjustRightInd w:val="0"/>
              <w:snapToGrid w:val="0"/>
              <w:jc w:val="center"/>
              <w:rPr>
                <w:rFonts w:ascii="Times New Roman"/>
                <w:sz w:val="21"/>
                <w:szCs w:val="21"/>
              </w:rPr>
            </w:pPr>
          </w:p>
        </w:tc>
        <w:tc>
          <w:tcPr>
            <w:tcW w:w="697" w:type="pct"/>
            <w:vAlign w:val="center"/>
          </w:tcPr>
          <w:p w14:paraId="1E2BE3A9">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783AADA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EDBB9A7">
            <w:pPr>
              <w:autoSpaceDE w:val="0"/>
              <w:autoSpaceDN w:val="0"/>
              <w:adjustRightInd w:val="0"/>
              <w:snapToGrid w:val="0"/>
              <w:jc w:val="center"/>
              <w:rPr>
                <w:rFonts w:ascii="Times New Roman"/>
                <w:sz w:val="21"/>
                <w:szCs w:val="21"/>
              </w:rPr>
            </w:pPr>
          </w:p>
        </w:tc>
        <w:tc>
          <w:tcPr>
            <w:tcW w:w="208" w:type="pct"/>
            <w:vAlign w:val="center"/>
          </w:tcPr>
          <w:p w14:paraId="3D35C03A">
            <w:pPr>
              <w:autoSpaceDE w:val="0"/>
              <w:autoSpaceDN w:val="0"/>
              <w:adjustRightInd w:val="0"/>
              <w:snapToGrid w:val="0"/>
              <w:jc w:val="center"/>
              <w:rPr>
                <w:rFonts w:ascii="Times New Roman"/>
                <w:sz w:val="21"/>
                <w:szCs w:val="21"/>
              </w:rPr>
            </w:pPr>
            <w:r>
              <w:rPr>
                <w:rFonts w:ascii="Times New Roman"/>
                <w:sz w:val="21"/>
                <w:szCs w:val="21"/>
              </w:rPr>
              <w:t>235</w:t>
            </w:r>
          </w:p>
        </w:tc>
        <w:tc>
          <w:tcPr>
            <w:tcW w:w="201" w:type="pct"/>
            <w:vAlign w:val="center"/>
          </w:tcPr>
          <w:p w14:paraId="57AFA503">
            <w:pPr>
              <w:autoSpaceDE w:val="0"/>
              <w:autoSpaceDN w:val="0"/>
              <w:adjustRightInd w:val="0"/>
              <w:snapToGrid w:val="0"/>
              <w:jc w:val="center"/>
              <w:rPr>
                <w:rFonts w:ascii="Times New Roman"/>
                <w:sz w:val="21"/>
                <w:szCs w:val="21"/>
              </w:rPr>
            </w:pPr>
            <w:r>
              <w:rPr>
                <w:rFonts w:ascii="Times New Roman"/>
                <w:sz w:val="21"/>
                <w:szCs w:val="21"/>
              </w:rPr>
              <w:t>265</w:t>
            </w:r>
          </w:p>
        </w:tc>
        <w:tc>
          <w:tcPr>
            <w:tcW w:w="240" w:type="pct"/>
            <w:vAlign w:val="center"/>
          </w:tcPr>
          <w:p w14:paraId="60764762">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60B433C">
            <w:pPr>
              <w:autoSpaceDE w:val="0"/>
              <w:autoSpaceDN w:val="0"/>
              <w:adjustRightInd w:val="0"/>
              <w:snapToGrid w:val="0"/>
              <w:jc w:val="center"/>
              <w:rPr>
                <w:rFonts w:ascii="Times New Roman"/>
                <w:sz w:val="21"/>
                <w:szCs w:val="21"/>
              </w:rPr>
            </w:pPr>
            <w:r>
              <w:rPr>
                <w:rFonts w:ascii="Times New Roman"/>
                <w:sz w:val="21"/>
                <w:szCs w:val="21"/>
              </w:rPr>
              <w:t>33.52</w:t>
            </w:r>
          </w:p>
        </w:tc>
        <w:tc>
          <w:tcPr>
            <w:tcW w:w="358" w:type="pct"/>
            <w:vAlign w:val="center"/>
          </w:tcPr>
          <w:p w14:paraId="18421A00">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7CFF9B7A">
            <w:pPr>
              <w:autoSpaceDE w:val="0"/>
              <w:autoSpaceDN w:val="0"/>
              <w:adjustRightInd w:val="0"/>
              <w:snapToGrid w:val="0"/>
              <w:jc w:val="center"/>
              <w:rPr>
                <w:rFonts w:ascii="Times New Roman"/>
                <w:sz w:val="21"/>
                <w:szCs w:val="21"/>
              </w:rPr>
            </w:pPr>
          </w:p>
        </w:tc>
        <w:tc>
          <w:tcPr>
            <w:tcW w:w="551" w:type="pct"/>
            <w:vAlign w:val="center"/>
          </w:tcPr>
          <w:p w14:paraId="3AC47EA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6684B70">
            <w:pPr>
              <w:autoSpaceDE w:val="0"/>
              <w:autoSpaceDN w:val="0"/>
              <w:adjustRightInd w:val="0"/>
              <w:snapToGrid w:val="0"/>
              <w:jc w:val="center"/>
              <w:rPr>
                <w:rFonts w:ascii="Times New Roman"/>
                <w:sz w:val="21"/>
                <w:szCs w:val="21"/>
              </w:rPr>
            </w:pPr>
          </w:p>
        </w:tc>
        <w:tc>
          <w:tcPr>
            <w:tcW w:w="287" w:type="pct"/>
            <w:vMerge w:val="continue"/>
            <w:vAlign w:val="center"/>
          </w:tcPr>
          <w:p w14:paraId="14B48FE5">
            <w:pPr>
              <w:autoSpaceDE w:val="0"/>
              <w:autoSpaceDN w:val="0"/>
              <w:adjustRightInd w:val="0"/>
              <w:snapToGrid w:val="0"/>
              <w:jc w:val="center"/>
              <w:rPr>
                <w:rFonts w:ascii="Times New Roman"/>
                <w:sz w:val="21"/>
                <w:szCs w:val="21"/>
              </w:rPr>
            </w:pPr>
          </w:p>
        </w:tc>
        <w:tc>
          <w:tcPr>
            <w:tcW w:w="434" w:type="pct"/>
            <w:vMerge w:val="continue"/>
            <w:vAlign w:val="center"/>
          </w:tcPr>
          <w:p w14:paraId="72BED870">
            <w:pPr>
              <w:autoSpaceDE w:val="0"/>
              <w:autoSpaceDN w:val="0"/>
              <w:adjustRightInd w:val="0"/>
              <w:snapToGrid w:val="0"/>
              <w:jc w:val="center"/>
              <w:rPr>
                <w:rFonts w:ascii="Times New Roman"/>
                <w:sz w:val="21"/>
                <w:szCs w:val="21"/>
              </w:rPr>
            </w:pPr>
          </w:p>
        </w:tc>
      </w:tr>
      <w:tr w14:paraId="2CB1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21D6335">
            <w:pPr>
              <w:autoSpaceDE w:val="0"/>
              <w:autoSpaceDN w:val="0"/>
              <w:adjustRightInd w:val="0"/>
              <w:snapToGrid w:val="0"/>
              <w:jc w:val="center"/>
              <w:rPr>
                <w:rFonts w:ascii="Times New Roman"/>
                <w:sz w:val="21"/>
                <w:szCs w:val="21"/>
              </w:rPr>
            </w:pPr>
          </w:p>
        </w:tc>
        <w:tc>
          <w:tcPr>
            <w:tcW w:w="697" w:type="pct"/>
            <w:vAlign w:val="center"/>
          </w:tcPr>
          <w:p w14:paraId="20F22F7B">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5585CABB">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A8D735C">
            <w:pPr>
              <w:autoSpaceDE w:val="0"/>
              <w:autoSpaceDN w:val="0"/>
              <w:adjustRightInd w:val="0"/>
              <w:snapToGrid w:val="0"/>
              <w:jc w:val="center"/>
              <w:rPr>
                <w:rFonts w:ascii="Times New Roman"/>
                <w:sz w:val="21"/>
                <w:szCs w:val="21"/>
              </w:rPr>
            </w:pPr>
          </w:p>
        </w:tc>
        <w:tc>
          <w:tcPr>
            <w:tcW w:w="208" w:type="pct"/>
            <w:vAlign w:val="center"/>
          </w:tcPr>
          <w:p w14:paraId="27396A0A">
            <w:pPr>
              <w:autoSpaceDE w:val="0"/>
              <w:autoSpaceDN w:val="0"/>
              <w:adjustRightInd w:val="0"/>
              <w:snapToGrid w:val="0"/>
              <w:jc w:val="center"/>
              <w:rPr>
                <w:rFonts w:ascii="Times New Roman"/>
                <w:sz w:val="21"/>
                <w:szCs w:val="21"/>
              </w:rPr>
            </w:pPr>
            <w:r>
              <w:rPr>
                <w:rFonts w:ascii="Times New Roman"/>
                <w:sz w:val="21"/>
                <w:szCs w:val="21"/>
              </w:rPr>
              <w:t>240</w:t>
            </w:r>
          </w:p>
        </w:tc>
        <w:tc>
          <w:tcPr>
            <w:tcW w:w="201" w:type="pct"/>
            <w:vAlign w:val="center"/>
          </w:tcPr>
          <w:p w14:paraId="4601CA48">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31D0047F">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401A6EA">
            <w:pPr>
              <w:autoSpaceDE w:val="0"/>
              <w:autoSpaceDN w:val="0"/>
              <w:adjustRightInd w:val="0"/>
              <w:snapToGrid w:val="0"/>
              <w:jc w:val="center"/>
              <w:rPr>
                <w:rFonts w:ascii="Times New Roman"/>
                <w:sz w:val="21"/>
                <w:szCs w:val="21"/>
              </w:rPr>
            </w:pPr>
            <w:r>
              <w:rPr>
                <w:rFonts w:ascii="Times New Roman"/>
                <w:sz w:val="21"/>
                <w:szCs w:val="21"/>
              </w:rPr>
              <w:t>38.52</w:t>
            </w:r>
          </w:p>
        </w:tc>
        <w:tc>
          <w:tcPr>
            <w:tcW w:w="358" w:type="pct"/>
            <w:vAlign w:val="center"/>
          </w:tcPr>
          <w:p w14:paraId="7041766F">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7B361E47">
            <w:pPr>
              <w:autoSpaceDE w:val="0"/>
              <w:autoSpaceDN w:val="0"/>
              <w:adjustRightInd w:val="0"/>
              <w:snapToGrid w:val="0"/>
              <w:jc w:val="center"/>
              <w:rPr>
                <w:rFonts w:ascii="Times New Roman"/>
                <w:sz w:val="21"/>
                <w:szCs w:val="21"/>
              </w:rPr>
            </w:pPr>
          </w:p>
        </w:tc>
        <w:tc>
          <w:tcPr>
            <w:tcW w:w="551" w:type="pct"/>
            <w:vAlign w:val="center"/>
          </w:tcPr>
          <w:p w14:paraId="5B34B2F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267774C">
            <w:pPr>
              <w:autoSpaceDE w:val="0"/>
              <w:autoSpaceDN w:val="0"/>
              <w:adjustRightInd w:val="0"/>
              <w:snapToGrid w:val="0"/>
              <w:jc w:val="center"/>
              <w:rPr>
                <w:rFonts w:ascii="Times New Roman"/>
                <w:sz w:val="21"/>
                <w:szCs w:val="21"/>
              </w:rPr>
            </w:pPr>
          </w:p>
        </w:tc>
        <w:tc>
          <w:tcPr>
            <w:tcW w:w="287" w:type="pct"/>
            <w:vMerge w:val="continue"/>
            <w:vAlign w:val="center"/>
          </w:tcPr>
          <w:p w14:paraId="1F2FA570">
            <w:pPr>
              <w:autoSpaceDE w:val="0"/>
              <w:autoSpaceDN w:val="0"/>
              <w:adjustRightInd w:val="0"/>
              <w:snapToGrid w:val="0"/>
              <w:jc w:val="center"/>
              <w:rPr>
                <w:rFonts w:ascii="Times New Roman"/>
                <w:sz w:val="21"/>
                <w:szCs w:val="21"/>
              </w:rPr>
            </w:pPr>
          </w:p>
        </w:tc>
        <w:tc>
          <w:tcPr>
            <w:tcW w:w="434" w:type="pct"/>
            <w:vMerge w:val="continue"/>
            <w:vAlign w:val="center"/>
          </w:tcPr>
          <w:p w14:paraId="34B61AF2">
            <w:pPr>
              <w:autoSpaceDE w:val="0"/>
              <w:autoSpaceDN w:val="0"/>
              <w:adjustRightInd w:val="0"/>
              <w:snapToGrid w:val="0"/>
              <w:jc w:val="center"/>
              <w:rPr>
                <w:rFonts w:ascii="Times New Roman"/>
                <w:sz w:val="21"/>
                <w:szCs w:val="21"/>
              </w:rPr>
            </w:pPr>
          </w:p>
        </w:tc>
      </w:tr>
      <w:tr w14:paraId="0254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9569B17">
            <w:pPr>
              <w:autoSpaceDE w:val="0"/>
              <w:autoSpaceDN w:val="0"/>
              <w:adjustRightInd w:val="0"/>
              <w:snapToGrid w:val="0"/>
              <w:jc w:val="center"/>
              <w:rPr>
                <w:rFonts w:ascii="Times New Roman"/>
                <w:sz w:val="21"/>
                <w:szCs w:val="21"/>
              </w:rPr>
            </w:pPr>
          </w:p>
        </w:tc>
        <w:tc>
          <w:tcPr>
            <w:tcW w:w="697" w:type="pct"/>
            <w:vAlign w:val="center"/>
          </w:tcPr>
          <w:p w14:paraId="3E0028A3">
            <w:pPr>
              <w:autoSpaceDE w:val="0"/>
              <w:autoSpaceDN w:val="0"/>
              <w:adjustRightInd w:val="0"/>
              <w:snapToGrid w:val="0"/>
              <w:jc w:val="center"/>
              <w:rPr>
                <w:rFonts w:ascii="Times New Roman"/>
                <w:sz w:val="21"/>
                <w:szCs w:val="21"/>
              </w:rPr>
            </w:pPr>
            <w:r>
              <w:rPr>
                <w:rFonts w:ascii="Times New Roman"/>
                <w:sz w:val="21"/>
                <w:szCs w:val="21"/>
              </w:rPr>
              <w:t>数控车床</w:t>
            </w:r>
          </w:p>
        </w:tc>
        <w:tc>
          <w:tcPr>
            <w:tcW w:w="346" w:type="pct"/>
            <w:vAlign w:val="center"/>
          </w:tcPr>
          <w:p w14:paraId="19587968">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C779927">
            <w:pPr>
              <w:autoSpaceDE w:val="0"/>
              <w:autoSpaceDN w:val="0"/>
              <w:adjustRightInd w:val="0"/>
              <w:snapToGrid w:val="0"/>
              <w:jc w:val="center"/>
              <w:rPr>
                <w:rFonts w:ascii="Times New Roman"/>
                <w:sz w:val="21"/>
                <w:szCs w:val="21"/>
              </w:rPr>
            </w:pPr>
          </w:p>
        </w:tc>
        <w:tc>
          <w:tcPr>
            <w:tcW w:w="208" w:type="pct"/>
            <w:vAlign w:val="center"/>
          </w:tcPr>
          <w:p w14:paraId="03D1E87D">
            <w:pPr>
              <w:autoSpaceDE w:val="0"/>
              <w:autoSpaceDN w:val="0"/>
              <w:adjustRightInd w:val="0"/>
              <w:snapToGrid w:val="0"/>
              <w:jc w:val="center"/>
              <w:rPr>
                <w:rFonts w:ascii="Times New Roman"/>
                <w:sz w:val="21"/>
                <w:szCs w:val="21"/>
              </w:rPr>
            </w:pPr>
            <w:r>
              <w:rPr>
                <w:rFonts w:ascii="Times New Roman"/>
                <w:sz w:val="21"/>
                <w:szCs w:val="21"/>
              </w:rPr>
              <w:t>245</w:t>
            </w:r>
          </w:p>
        </w:tc>
        <w:tc>
          <w:tcPr>
            <w:tcW w:w="201" w:type="pct"/>
            <w:vAlign w:val="center"/>
          </w:tcPr>
          <w:p w14:paraId="3195F3E2">
            <w:pPr>
              <w:autoSpaceDE w:val="0"/>
              <w:autoSpaceDN w:val="0"/>
              <w:adjustRightInd w:val="0"/>
              <w:snapToGrid w:val="0"/>
              <w:jc w:val="center"/>
              <w:rPr>
                <w:rFonts w:ascii="Times New Roman"/>
                <w:sz w:val="21"/>
                <w:szCs w:val="21"/>
              </w:rPr>
            </w:pPr>
            <w:r>
              <w:rPr>
                <w:rFonts w:ascii="Times New Roman"/>
                <w:sz w:val="21"/>
                <w:szCs w:val="21"/>
              </w:rPr>
              <w:t>265</w:t>
            </w:r>
          </w:p>
        </w:tc>
        <w:tc>
          <w:tcPr>
            <w:tcW w:w="240" w:type="pct"/>
            <w:vAlign w:val="center"/>
          </w:tcPr>
          <w:p w14:paraId="5009CD80">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1AB6920">
            <w:pPr>
              <w:autoSpaceDE w:val="0"/>
              <w:autoSpaceDN w:val="0"/>
              <w:adjustRightInd w:val="0"/>
              <w:snapToGrid w:val="0"/>
              <w:jc w:val="center"/>
              <w:rPr>
                <w:rFonts w:ascii="Times New Roman"/>
                <w:sz w:val="21"/>
                <w:szCs w:val="21"/>
              </w:rPr>
            </w:pPr>
            <w:r>
              <w:rPr>
                <w:rFonts w:ascii="Times New Roman"/>
                <w:sz w:val="21"/>
                <w:szCs w:val="21"/>
              </w:rPr>
              <w:t>43.52</w:t>
            </w:r>
          </w:p>
        </w:tc>
        <w:tc>
          <w:tcPr>
            <w:tcW w:w="358" w:type="pct"/>
            <w:vAlign w:val="center"/>
          </w:tcPr>
          <w:p w14:paraId="77A2C9B0">
            <w:pPr>
              <w:autoSpaceDE w:val="0"/>
              <w:autoSpaceDN w:val="0"/>
              <w:adjustRightInd w:val="0"/>
              <w:snapToGrid w:val="0"/>
              <w:jc w:val="center"/>
              <w:rPr>
                <w:rFonts w:ascii="Times New Roman"/>
                <w:sz w:val="21"/>
                <w:szCs w:val="21"/>
              </w:rPr>
            </w:pPr>
            <w:r>
              <w:rPr>
                <w:rFonts w:ascii="Times New Roman"/>
                <w:sz w:val="21"/>
                <w:szCs w:val="21"/>
              </w:rPr>
              <w:t>47</w:t>
            </w:r>
          </w:p>
        </w:tc>
        <w:tc>
          <w:tcPr>
            <w:tcW w:w="316" w:type="pct"/>
            <w:vMerge w:val="continue"/>
            <w:vAlign w:val="center"/>
          </w:tcPr>
          <w:p w14:paraId="61194B82">
            <w:pPr>
              <w:autoSpaceDE w:val="0"/>
              <w:autoSpaceDN w:val="0"/>
              <w:adjustRightInd w:val="0"/>
              <w:snapToGrid w:val="0"/>
              <w:jc w:val="center"/>
              <w:rPr>
                <w:rFonts w:ascii="Times New Roman"/>
                <w:sz w:val="21"/>
                <w:szCs w:val="21"/>
              </w:rPr>
            </w:pPr>
          </w:p>
        </w:tc>
        <w:tc>
          <w:tcPr>
            <w:tcW w:w="551" w:type="pct"/>
            <w:vAlign w:val="center"/>
          </w:tcPr>
          <w:p w14:paraId="5C00E32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03B5574">
            <w:pPr>
              <w:autoSpaceDE w:val="0"/>
              <w:autoSpaceDN w:val="0"/>
              <w:adjustRightInd w:val="0"/>
              <w:snapToGrid w:val="0"/>
              <w:jc w:val="center"/>
              <w:rPr>
                <w:rFonts w:ascii="Times New Roman"/>
                <w:sz w:val="21"/>
                <w:szCs w:val="21"/>
              </w:rPr>
            </w:pPr>
          </w:p>
        </w:tc>
        <w:tc>
          <w:tcPr>
            <w:tcW w:w="287" w:type="pct"/>
            <w:vMerge w:val="continue"/>
            <w:vAlign w:val="center"/>
          </w:tcPr>
          <w:p w14:paraId="62B4C637">
            <w:pPr>
              <w:autoSpaceDE w:val="0"/>
              <w:autoSpaceDN w:val="0"/>
              <w:adjustRightInd w:val="0"/>
              <w:snapToGrid w:val="0"/>
              <w:jc w:val="center"/>
              <w:rPr>
                <w:rFonts w:ascii="Times New Roman"/>
                <w:sz w:val="21"/>
                <w:szCs w:val="21"/>
              </w:rPr>
            </w:pPr>
          </w:p>
        </w:tc>
        <w:tc>
          <w:tcPr>
            <w:tcW w:w="434" w:type="pct"/>
            <w:vMerge w:val="continue"/>
            <w:vAlign w:val="center"/>
          </w:tcPr>
          <w:p w14:paraId="6E18FA39">
            <w:pPr>
              <w:autoSpaceDE w:val="0"/>
              <w:autoSpaceDN w:val="0"/>
              <w:adjustRightInd w:val="0"/>
              <w:snapToGrid w:val="0"/>
              <w:jc w:val="center"/>
              <w:rPr>
                <w:rFonts w:ascii="Times New Roman"/>
                <w:sz w:val="21"/>
                <w:szCs w:val="21"/>
              </w:rPr>
            </w:pPr>
          </w:p>
        </w:tc>
      </w:tr>
      <w:tr w14:paraId="749B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EFE754">
            <w:pPr>
              <w:autoSpaceDE w:val="0"/>
              <w:autoSpaceDN w:val="0"/>
              <w:adjustRightInd w:val="0"/>
              <w:snapToGrid w:val="0"/>
              <w:jc w:val="center"/>
              <w:rPr>
                <w:rFonts w:ascii="Times New Roman"/>
                <w:sz w:val="21"/>
                <w:szCs w:val="21"/>
              </w:rPr>
            </w:pPr>
          </w:p>
        </w:tc>
        <w:tc>
          <w:tcPr>
            <w:tcW w:w="697" w:type="pct"/>
            <w:vAlign w:val="center"/>
          </w:tcPr>
          <w:p w14:paraId="5684DEFA">
            <w:pPr>
              <w:autoSpaceDE w:val="0"/>
              <w:autoSpaceDN w:val="0"/>
              <w:adjustRightInd w:val="0"/>
              <w:snapToGrid w:val="0"/>
              <w:jc w:val="center"/>
              <w:rPr>
                <w:rFonts w:ascii="Times New Roman"/>
                <w:sz w:val="21"/>
                <w:szCs w:val="21"/>
              </w:rPr>
            </w:pPr>
            <w:r>
              <w:rPr>
                <w:rFonts w:ascii="Times New Roman"/>
                <w:sz w:val="21"/>
                <w:szCs w:val="21"/>
              </w:rPr>
              <w:t>三面冲剪机</w:t>
            </w:r>
          </w:p>
        </w:tc>
        <w:tc>
          <w:tcPr>
            <w:tcW w:w="346" w:type="pct"/>
            <w:vAlign w:val="center"/>
          </w:tcPr>
          <w:p w14:paraId="0BE07FAB">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02366BA4">
            <w:pPr>
              <w:autoSpaceDE w:val="0"/>
              <w:autoSpaceDN w:val="0"/>
              <w:adjustRightInd w:val="0"/>
              <w:snapToGrid w:val="0"/>
              <w:jc w:val="center"/>
              <w:rPr>
                <w:rFonts w:ascii="Times New Roman"/>
                <w:sz w:val="21"/>
                <w:szCs w:val="21"/>
              </w:rPr>
            </w:pPr>
          </w:p>
        </w:tc>
        <w:tc>
          <w:tcPr>
            <w:tcW w:w="208" w:type="pct"/>
            <w:vAlign w:val="center"/>
          </w:tcPr>
          <w:p w14:paraId="26C72F4E">
            <w:pPr>
              <w:autoSpaceDE w:val="0"/>
              <w:autoSpaceDN w:val="0"/>
              <w:adjustRightInd w:val="0"/>
              <w:snapToGrid w:val="0"/>
              <w:jc w:val="center"/>
              <w:rPr>
                <w:rFonts w:ascii="Times New Roman"/>
                <w:sz w:val="21"/>
                <w:szCs w:val="21"/>
              </w:rPr>
            </w:pPr>
            <w:r>
              <w:rPr>
                <w:rFonts w:ascii="Times New Roman"/>
                <w:sz w:val="21"/>
                <w:szCs w:val="21"/>
              </w:rPr>
              <w:t>520</w:t>
            </w:r>
          </w:p>
        </w:tc>
        <w:tc>
          <w:tcPr>
            <w:tcW w:w="201" w:type="pct"/>
            <w:vAlign w:val="center"/>
          </w:tcPr>
          <w:p w14:paraId="4481798B">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069BA90A">
            <w:pPr>
              <w:autoSpaceDE w:val="0"/>
              <w:autoSpaceDN w:val="0"/>
              <w:adjustRightInd w:val="0"/>
              <w:snapToGrid w:val="0"/>
              <w:jc w:val="center"/>
              <w:rPr>
                <w:rFonts w:ascii="Times New Roman"/>
                <w:sz w:val="21"/>
                <w:szCs w:val="21"/>
              </w:rPr>
            </w:pPr>
            <w:r>
              <w:rPr>
                <w:rFonts w:ascii="Times New Roman"/>
                <w:sz w:val="21"/>
                <w:szCs w:val="21"/>
              </w:rPr>
              <w:t>0.9</w:t>
            </w:r>
          </w:p>
        </w:tc>
        <w:tc>
          <w:tcPr>
            <w:tcW w:w="346" w:type="pct"/>
            <w:vAlign w:val="center"/>
          </w:tcPr>
          <w:p w14:paraId="4EA34630">
            <w:pPr>
              <w:autoSpaceDE w:val="0"/>
              <w:autoSpaceDN w:val="0"/>
              <w:adjustRightInd w:val="0"/>
              <w:snapToGrid w:val="0"/>
              <w:jc w:val="center"/>
              <w:rPr>
                <w:rFonts w:ascii="Times New Roman"/>
                <w:sz w:val="21"/>
                <w:szCs w:val="21"/>
              </w:rPr>
            </w:pPr>
            <w:r>
              <w:rPr>
                <w:rFonts w:ascii="Times New Roman"/>
                <w:sz w:val="21"/>
                <w:szCs w:val="21"/>
              </w:rPr>
              <w:t>19.98</w:t>
            </w:r>
          </w:p>
        </w:tc>
        <w:tc>
          <w:tcPr>
            <w:tcW w:w="358" w:type="pct"/>
            <w:vAlign w:val="center"/>
          </w:tcPr>
          <w:p w14:paraId="6211D6A0">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0FCDA849">
            <w:pPr>
              <w:autoSpaceDE w:val="0"/>
              <w:autoSpaceDN w:val="0"/>
              <w:adjustRightInd w:val="0"/>
              <w:snapToGrid w:val="0"/>
              <w:jc w:val="center"/>
              <w:rPr>
                <w:rFonts w:ascii="Times New Roman"/>
                <w:sz w:val="21"/>
                <w:szCs w:val="21"/>
              </w:rPr>
            </w:pPr>
          </w:p>
        </w:tc>
        <w:tc>
          <w:tcPr>
            <w:tcW w:w="551" w:type="pct"/>
            <w:vAlign w:val="center"/>
          </w:tcPr>
          <w:p w14:paraId="068C4AD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6EC5321">
            <w:pPr>
              <w:autoSpaceDE w:val="0"/>
              <w:autoSpaceDN w:val="0"/>
              <w:adjustRightInd w:val="0"/>
              <w:snapToGrid w:val="0"/>
              <w:jc w:val="center"/>
              <w:rPr>
                <w:rFonts w:ascii="Times New Roman"/>
                <w:sz w:val="21"/>
                <w:szCs w:val="21"/>
              </w:rPr>
            </w:pPr>
          </w:p>
        </w:tc>
        <w:tc>
          <w:tcPr>
            <w:tcW w:w="287" w:type="pct"/>
            <w:vMerge w:val="continue"/>
            <w:vAlign w:val="center"/>
          </w:tcPr>
          <w:p w14:paraId="782FC5ED">
            <w:pPr>
              <w:autoSpaceDE w:val="0"/>
              <w:autoSpaceDN w:val="0"/>
              <w:adjustRightInd w:val="0"/>
              <w:snapToGrid w:val="0"/>
              <w:jc w:val="center"/>
              <w:rPr>
                <w:rFonts w:ascii="Times New Roman"/>
                <w:sz w:val="21"/>
                <w:szCs w:val="21"/>
              </w:rPr>
            </w:pPr>
          </w:p>
        </w:tc>
        <w:tc>
          <w:tcPr>
            <w:tcW w:w="434" w:type="pct"/>
            <w:vMerge w:val="continue"/>
            <w:vAlign w:val="center"/>
          </w:tcPr>
          <w:p w14:paraId="46A3DC29">
            <w:pPr>
              <w:autoSpaceDE w:val="0"/>
              <w:autoSpaceDN w:val="0"/>
              <w:adjustRightInd w:val="0"/>
              <w:snapToGrid w:val="0"/>
              <w:jc w:val="center"/>
              <w:rPr>
                <w:rFonts w:ascii="Times New Roman"/>
                <w:sz w:val="21"/>
                <w:szCs w:val="21"/>
              </w:rPr>
            </w:pPr>
          </w:p>
        </w:tc>
      </w:tr>
      <w:tr w14:paraId="082E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472CF4C">
            <w:pPr>
              <w:autoSpaceDE w:val="0"/>
              <w:autoSpaceDN w:val="0"/>
              <w:adjustRightInd w:val="0"/>
              <w:snapToGrid w:val="0"/>
              <w:jc w:val="center"/>
              <w:rPr>
                <w:rFonts w:ascii="Times New Roman"/>
                <w:sz w:val="21"/>
                <w:szCs w:val="21"/>
              </w:rPr>
            </w:pPr>
          </w:p>
        </w:tc>
        <w:tc>
          <w:tcPr>
            <w:tcW w:w="697" w:type="pct"/>
            <w:vAlign w:val="center"/>
          </w:tcPr>
          <w:p w14:paraId="2361AE75">
            <w:pPr>
              <w:autoSpaceDE w:val="0"/>
              <w:autoSpaceDN w:val="0"/>
              <w:adjustRightInd w:val="0"/>
              <w:snapToGrid w:val="0"/>
              <w:jc w:val="center"/>
              <w:rPr>
                <w:rFonts w:ascii="Times New Roman"/>
                <w:sz w:val="21"/>
                <w:szCs w:val="21"/>
              </w:rPr>
            </w:pPr>
            <w:r>
              <w:rPr>
                <w:rFonts w:ascii="Times New Roman"/>
                <w:sz w:val="21"/>
                <w:szCs w:val="21"/>
              </w:rPr>
              <w:t>制弧机</w:t>
            </w:r>
          </w:p>
        </w:tc>
        <w:tc>
          <w:tcPr>
            <w:tcW w:w="346" w:type="pct"/>
            <w:vAlign w:val="center"/>
          </w:tcPr>
          <w:p w14:paraId="2076D63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727CDCD">
            <w:pPr>
              <w:autoSpaceDE w:val="0"/>
              <w:autoSpaceDN w:val="0"/>
              <w:adjustRightInd w:val="0"/>
              <w:snapToGrid w:val="0"/>
              <w:jc w:val="center"/>
              <w:rPr>
                <w:rFonts w:ascii="Times New Roman"/>
                <w:sz w:val="21"/>
                <w:szCs w:val="21"/>
              </w:rPr>
            </w:pPr>
          </w:p>
        </w:tc>
        <w:tc>
          <w:tcPr>
            <w:tcW w:w="208" w:type="pct"/>
            <w:vAlign w:val="center"/>
          </w:tcPr>
          <w:p w14:paraId="70705800">
            <w:pPr>
              <w:autoSpaceDE w:val="0"/>
              <w:autoSpaceDN w:val="0"/>
              <w:adjustRightInd w:val="0"/>
              <w:snapToGrid w:val="0"/>
              <w:jc w:val="center"/>
              <w:rPr>
                <w:rFonts w:ascii="Times New Roman"/>
                <w:sz w:val="21"/>
                <w:szCs w:val="21"/>
              </w:rPr>
            </w:pPr>
            <w:r>
              <w:rPr>
                <w:rFonts w:ascii="Times New Roman"/>
                <w:sz w:val="21"/>
                <w:szCs w:val="21"/>
              </w:rPr>
              <w:t>525</w:t>
            </w:r>
          </w:p>
        </w:tc>
        <w:tc>
          <w:tcPr>
            <w:tcW w:w="201" w:type="pct"/>
            <w:vAlign w:val="center"/>
          </w:tcPr>
          <w:p w14:paraId="14D608DA">
            <w:pPr>
              <w:autoSpaceDE w:val="0"/>
              <w:autoSpaceDN w:val="0"/>
              <w:adjustRightInd w:val="0"/>
              <w:snapToGrid w:val="0"/>
              <w:jc w:val="center"/>
              <w:rPr>
                <w:rFonts w:ascii="Times New Roman"/>
                <w:sz w:val="21"/>
                <w:szCs w:val="21"/>
              </w:rPr>
            </w:pPr>
            <w:r>
              <w:rPr>
                <w:rFonts w:ascii="Times New Roman"/>
                <w:sz w:val="21"/>
                <w:szCs w:val="21"/>
              </w:rPr>
              <w:t>195</w:t>
            </w:r>
          </w:p>
        </w:tc>
        <w:tc>
          <w:tcPr>
            <w:tcW w:w="240" w:type="pct"/>
            <w:vAlign w:val="center"/>
          </w:tcPr>
          <w:p w14:paraId="56261716">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1A28BC0">
            <w:pPr>
              <w:autoSpaceDE w:val="0"/>
              <w:autoSpaceDN w:val="0"/>
              <w:adjustRightInd w:val="0"/>
              <w:snapToGrid w:val="0"/>
              <w:jc w:val="center"/>
              <w:rPr>
                <w:rFonts w:ascii="Times New Roman"/>
                <w:sz w:val="21"/>
                <w:szCs w:val="21"/>
              </w:rPr>
            </w:pPr>
            <w:r>
              <w:rPr>
                <w:rFonts w:ascii="Times New Roman"/>
                <w:sz w:val="21"/>
                <w:szCs w:val="21"/>
              </w:rPr>
              <w:t>14.98</w:t>
            </w:r>
          </w:p>
        </w:tc>
        <w:tc>
          <w:tcPr>
            <w:tcW w:w="358" w:type="pct"/>
            <w:vAlign w:val="center"/>
          </w:tcPr>
          <w:p w14:paraId="0ADF3683">
            <w:pPr>
              <w:autoSpaceDE w:val="0"/>
              <w:autoSpaceDN w:val="0"/>
              <w:adjustRightInd w:val="0"/>
              <w:snapToGrid w:val="0"/>
              <w:jc w:val="center"/>
              <w:rPr>
                <w:rFonts w:ascii="Times New Roman"/>
                <w:sz w:val="21"/>
                <w:szCs w:val="21"/>
              </w:rPr>
            </w:pPr>
            <w:r>
              <w:rPr>
                <w:rFonts w:ascii="Times New Roman"/>
                <w:sz w:val="21"/>
                <w:szCs w:val="21"/>
              </w:rPr>
              <w:t>56</w:t>
            </w:r>
          </w:p>
        </w:tc>
        <w:tc>
          <w:tcPr>
            <w:tcW w:w="316" w:type="pct"/>
            <w:vMerge w:val="continue"/>
            <w:vAlign w:val="center"/>
          </w:tcPr>
          <w:p w14:paraId="2D022959">
            <w:pPr>
              <w:autoSpaceDE w:val="0"/>
              <w:autoSpaceDN w:val="0"/>
              <w:adjustRightInd w:val="0"/>
              <w:snapToGrid w:val="0"/>
              <w:jc w:val="center"/>
              <w:rPr>
                <w:rFonts w:ascii="Times New Roman"/>
                <w:sz w:val="21"/>
                <w:szCs w:val="21"/>
              </w:rPr>
            </w:pPr>
          </w:p>
        </w:tc>
        <w:tc>
          <w:tcPr>
            <w:tcW w:w="551" w:type="pct"/>
            <w:vAlign w:val="center"/>
          </w:tcPr>
          <w:p w14:paraId="4D36BAA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DE8A9DD">
            <w:pPr>
              <w:autoSpaceDE w:val="0"/>
              <w:autoSpaceDN w:val="0"/>
              <w:adjustRightInd w:val="0"/>
              <w:snapToGrid w:val="0"/>
              <w:jc w:val="center"/>
              <w:rPr>
                <w:rFonts w:ascii="Times New Roman"/>
                <w:sz w:val="21"/>
                <w:szCs w:val="21"/>
              </w:rPr>
            </w:pPr>
          </w:p>
        </w:tc>
        <w:tc>
          <w:tcPr>
            <w:tcW w:w="287" w:type="pct"/>
            <w:vMerge w:val="continue"/>
            <w:vAlign w:val="center"/>
          </w:tcPr>
          <w:p w14:paraId="308695BD">
            <w:pPr>
              <w:autoSpaceDE w:val="0"/>
              <w:autoSpaceDN w:val="0"/>
              <w:adjustRightInd w:val="0"/>
              <w:snapToGrid w:val="0"/>
              <w:jc w:val="center"/>
              <w:rPr>
                <w:rFonts w:ascii="Times New Roman"/>
                <w:sz w:val="21"/>
                <w:szCs w:val="21"/>
              </w:rPr>
            </w:pPr>
          </w:p>
        </w:tc>
        <w:tc>
          <w:tcPr>
            <w:tcW w:w="434" w:type="pct"/>
            <w:vMerge w:val="continue"/>
            <w:vAlign w:val="center"/>
          </w:tcPr>
          <w:p w14:paraId="14C20FF0">
            <w:pPr>
              <w:autoSpaceDE w:val="0"/>
              <w:autoSpaceDN w:val="0"/>
              <w:adjustRightInd w:val="0"/>
              <w:snapToGrid w:val="0"/>
              <w:jc w:val="center"/>
              <w:rPr>
                <w:rFonts w:ascii="Times New Roman"/>
                <w:sz w:val="21"/>
                <w:szCs w:val="21"/>
              </w:rPr>
            </w:pPr>
          </w:p>
        </w:tc>
      </w:tr>
      <w:tr w14:paraId="0B3E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54D77E6">
            <w:pPr>
              <w:autoSpaceDE w:val="0"/>
              <w:autoSpaceDN w:val="0"/>
              <w:adjustRightInd w:val="0"/>
              <w:snapToGrid w:val="0"/>
              <w:jc w:val="center"/>
              <w:rPr>
                <w:rFonts w:ascii="Times New Roman"/>
                <w:sz w:val="21"/>
                <w:szCs w:val="21"/>
              </w:rPr>
            </w:pPr>
          </w:p>
        </w:tc>
        <w:tc>
          <w:tcPr>
            <w:tcW w:w="697" w:type="pct"/>
            <w:vAlign w:val="center"/>
          </w:tcPr>
          <w:p w14:paraId="36A70287">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166FDDA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30A39EE">
            <w:pPr>
              <w:autoSpaceDE w:val="0"/>
              <w:autoSpaceDN w:val="0"/>
              <w:adjustRightInd w:val="0"/>
              <w:snapToGrid w:val="0"/>
              <w:jc w:val="center"/>
              <w:rPr>
                <w:rFonts w:ascii="Times New Roman"/>
                <w:sz w:val="21"/>
                <w:szCs w:val="21"/>
              </w:rPr>
            </w:pPr>
          </w:p>
        </w:tc>
        <w:tc>
          <w:tcPr>
            <w:tcW w:w="208" w:type="pct"/>
            <w:vAlign w:val="center"/>
          </w:tcPr>
          <w:p w14:paraId="572D291A">
            <w:pPr>
              <w:autoSpaceDE w:val="0"/>
              <w:autoSpaceDN w:val="0"/>
              <w:adjustRightInd w:val="0"/>
              <w:snapToGrid w:val="0"/>
              <w:jc w:val="center"/>
              <w:rPr>
                <w:rFonts w:ascii="Times New Roman"/>
                <w:sz w:val="21"/>
                <w:szCs w:val="21"/>
              </w:rPr>
            </w:pPr>
            <w:r>
              <w:rPr>
                <w:rFonts w:ascii="Times New Roman"/>
                <w:sz w:val="21"/>
                <w:szCs w:val="21"/>
              </w:rPr>
              <w:t>525</w:t>
            </w:r>
          </w:p>
        </w:tc>
        <w:tc>
          <w:tcPr>
            <w:tcW w:w="201" w:type="pct"/>
            <w:vAlign w:val="center"/>
          </w:tcPr>
          <w:p w14:paraId="11C4AE49">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799E80C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36FF08D0">
            <w:pPr>
              <w:autoSpaceDE w:val="0"/>
              <w:autoSpaceDN w:val="0"/>
              <w:adjustRightInd w:val="0"/>
              <w:snapToGrid w:val="0"/>
              <w:jc w:val="center"/>
              <w:rPr>
                <w:rFonts w:ascii="Times New Roman"/>
                <w:sz w:val="21"/>
                <w:szCs w:val="21"/>
              </w:rPr>
            </w:pPr>
            <w:r>
              <w:rPr>
                <w:rFonts w:ascii="Times New Roman"/>
                <w:sz w:val="21"/>
                <w:szCs w:val="21"/>
              </w:rPr>
              <w:t>14.98</w:t>
            </w:r>
          </w:p>
        </w:tc>
        <w:tc>
          <w:tcPr>
            <w:tcW w:w="358" w:type="pct"/>
            <w:vAlign w:val="center"/>
          </w:tcPr>
          <w:p w14:paraId="4539D2B2">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1F8A7FF5">
            <w:pPr>
              <w:autoSpaceDE w:val="0"/>
              <w:autoSpaceDN w:val="0"/>
              <w:adjustRightInd w:val="0"/>
              <w:snapToGrid w:val="0"/>
              <w:jc w:val="center"/>
              <w:rPr>
                <w:rFonts w:ascii="Times New Roman"/>
                <w:sz w:val="21"/>
                <w:szCs w:val="21"/>
              </w:rPr>
            </w:pPr>
          </w:p>
        </w:tc>
        <w:tc>
          <w:tcPr>
            <w:tcW w:w="551" w:type="pct"/>
            <w:vAlign w:val="center"/>
          </w:tcPr>
          <w:p w14:paraId="201FFFC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44F3935">
            <w:pPr>
              <w:autoSpaceDE w:val="0"/>
              <w:autoSpaceDN w:val="0"/>
              <w:adjustRightInd w:val="0"/>
              <w:snapToGrid w:val="0"/>
              <w:jc w:val="center"/>
              <w:rPr>
                <w:rFonts w:ascii="Times New Roman"/>
                <w:sz w:val="21"/>
                <w:szCs w:val="21"/>
              </w:rPr>
            </w:pPr>
          </w:p>
        </w:tc>
        <w:tc>
          <w:tcPr>
            <w:tcW w:w="287" w:type="pct"/>
            <w:vMerge w:val="continue"/>
            <w:vAlign w:val="center"/>
          </w:tcPr>
          <w:p w14:paraId="78A89746">
            <w:pPr>
              <w:autoSpaceDE w:val="0"/>
              <w:autoSpaceDN w:val="0"/>
              <w:adjustRightInd w:val="0"/>
              <w:snapToGrid w:val="0"/>
              <w:jc w:val="center"/>
              <w:rPr>
                <w:rFonts w:ascii="Times New Roman"/>
                <w:sz w:val="21"/>
                <w:szCs w:val="21"/>
              </w:rPr>
            </w:pPr>
          </w:p>
        </w:tc>
        <w:tc>
          <w:tcPr>
            <w:tcW w:w="434" w:type="pct"/>
            <w:vMerge w:val="continue"/>
            <w:vAlign w:val="center"/>
          </w:tcPr>
          <w:p w14:paraId="75E39722">
            <w:pPr>
              <w:autoSpaceDE w:val="0"/>
              <w:autoSpaceDN w:val="0"/>
              <w:adjustRightInd w:val="0"/>
              <w:snapToGrid w:val="0"/>
              <w:jc w:val="center"/>
              <w:rPr>
                <w:rFonts w:ascii="Times New Roman"/>
                <w:sz w:val="21"/>
                <w:szCs w:val="21"/>
              </w:rPr>
            </w:pPr>
          </w:p>
        </w:tc>
      </w:tr>
      <w:tr w14:paraId="0E38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1433F55">
            <w:pPr>
              <w:autoSpaceDE w:val="0"/>
              <w:autoSpaceDN w:val="0"/>
              <w:adjustRightInd w:val="0"/>
              <w:snapToGrid w:val="0"/>
              <w:jc w:val="center"/>
              <w:rPr>
                <w:rFonts w:ascii="Times New Roman"/>
                <w:sz w:val="21"/>
                <w:szCs w:val="21"/>
              </w:rPr>
            </w:pPr>
          </w:p>
        </w:tc>
        <w:tc>
          <w:tcPr>
            <w:tcW w:w="697" w:type="pct"/>
            <w:vAlign w:val="center"/>
          </w:tcPr>
          <w:p w14:paraId="2F10E804">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0D752D9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8A8414B">
            <w:pPr>
              <w:autoSpaceDE w:val="0"/>
              <w:autoSpaceDN w:val="0"/>
              <w:adjustRightInd w:val="0"/>
              <w:snapToGrid w:val="0"/>
              <w:jc w:val="center"/>
              <w:rPr>
                <w:rFonts w:ascii="Times New Roman"/>
                <w:sz w:val="21"/>
                <w:szCs w:val="21"/>
              </w:rPr>
            </w:pPr>
          </w:p>
        </w:tc>
        <w:tc>
          <w:tcPr>
            <w:tcW w:w="208" w:type="pct"/>
            <w:vAlign w:val="center"/>
          </w:tcPr>
          <w:p w14:paraId="3BF71BDC">
            <w:pPr>
              <w:autoSpaceDE w:val="0"/>
              <w:autoSpaceDN w:val="0"/>
              <w:adjustRightInd w:val="0"/>
              <w:snapToGrid w:val="0"/>
              <w:jc w:val="center"/>
              <w:rPr>
                <w:rFonts w:ascii="Times New Roman"/>
                <w:sz w:val="21"/>
                <w:szCs w:val="21"/>
              </w:rPr>
            </w:pPr>
            <w:r>
              <w:rPr>
                <w:rFonts w:ascii="Times New Roman"/>
                <w:sz w:val="21"/>
                <w:szCs w:val="21"/>
              </w:rPr>
              <w:t>530</w:t>
            </w:r>
          </w:p>
        </w:tc>
        <w:tc>
          <w:tcPr>
            <w:tcW w:w="201" w:type="pct"/>
            <w:vAlign w:val="center"/>
          </w:tcPr>
          <w:p w14:paraId="748F92A7">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00B2084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D3EB179">
            <w:pPr>
              <w:autoSpaceDE w:val="0"/>
              <w:autoSpaceDN w:val="0"/>
              <w:adjustRightInd w:val="0"/>
              <w:snapToGrid w:val="0"/>
              <w:jc w:val="center"/>
              <w:rPr>
                <w:rFonts w:ascii="Times New Roman"/>
                <w:sz w:val="21"/>
                <w:szCs w:val="21"/>
              </w:rPr>
            </w:pPr>
            <w:r>
              <w:rPr>
                <w:rFonts w:ascii="Times New Roman"/>
                <w:sz w:val="21"/>
                <w:szCs w:val="21"/>
              </w:rPr>
              <w:t>9.98</w:t>
            </w:r>
          </w:p>
        </w:tc>
        <w:tc>
          <w:tcPr>
            <w:tcW w:w="358" w:type="pct"/>
            <w:vAlign w:val="center"/>
          </w:tcPr>
          <w:p w14:paraId="5B5BA94E">
            <w:pPr>
              <w:autoSpaceDE w:val="0"/>
              <w:autoSpaceDN w:val="0"/>
              <w:adjustRightInd w:val="0"/>
              <w:snapToGrid w:val="0"/>
              <w:jc w:val="center"/>
              <w:rPr>
                <w:rFonts w:ascii="Times New Roman"/>
                <w:sz w:val="21"/>
                <w:szCs w:val="21"/>
              </w:rPr>
            </w:pPr>
            <w:r>
              <w:rPr>
                <w:rFonts w:ascii="Times New Roman"/>
                <w:sz w:val="21"/>
                <w:szCs w:val="21"/>
              </w:rPr>
              <w:t>50</w:t>
            </w:r>
          </w:p>
        </w:tc>
        <w:tc>
          <w:tcPr>
            <w:tcW w:w="316" w:type="pct"/>
            <w:vMerge w:val="continue"/>
            <w:vAlign w:val="center"/>
          </w:tcPr>
          <w:p w14:paraId="09B6B866">
            <w:pPr>
              <w:autoSpaceDE w:val="0"/>
              <w:autoSpaceDN w:val="0"/>
              <w:adjustRightInd w:val="0"/>
              <w:snapToGrid w:val="0"/>
              <w:jc w:val="center"/>
              <w:rPr>
                <w:rFonts w:ascii="Times New Roman"/>
                <w:sz w:val="21"/>
                <w:szCs w:val="21"/>
              </w:rPr>
            </w:pPr>
          </w:p>
        </w:tc>
        <w:tc>
          <w:tcPr>
            <w:tcW w:w="551" w:type="pct"/>
            <w:vAlign w:val="center"/>
          </w:tcPr>
          <w:p w14:paraId="6A65781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655C31A">
            <w:pPr>
              <w:autoSpaceDE w:val="0"/>
              <w:autoSpaceDN w:val="0"/>
              <w:adjustRightInd w:val="0"/>
              <w:snapToGrid w:val="0"/>
              <w:jc w:val="center"/>
              <w:rPr>
                <w:rFonts w:ascii="Times New Roman"/>
                <w:sz w:val="21"/>
                <w:szCs w:val="21"/>
              </w:rPr>
            </w:pPr>
          </w:p>
        </w:tc>
        <w:tc>
          <w:tcPr>
            <w:tcW w:w="287" w:type="pct"/>
            <w:vMerge w:val="continue"/>
            <w:vAlign w:val="center"/>
          </w:tcPr>
          <w:p w14:paraId="759E65D4">
            <w:pPr>
              <w:autoSpaceDE w:val="0"/>
              <w:autoSpaceDN w:val="0"/>
              <w:adjustRightInd w:val="0"/>
              <w:snapToGrid w:val="0"/>
              <w:jc w:val="center"/>
              <w:rPr>
                <w:rFonts w:ascii="Times New Roman"/>
                <w:sz w:val="21"/>
                <w:szCs w:val="21"/>
              </w:rPr>
            </w:pPr>
          </w:p>
        </w:tc>
        <w:tc>
          <w:tcPr>
            <w:tcW w:w="434" w:type="pct"/>
            <w:vMerge w:val="continue"/>
            <w:vAlign w:val="center"/>
          </w:tcPr>
          <w:p w14:paraId="5E380B93">
            <w:pPr>
              <w:autoSpaceDE w:val="0"/>
              <w:autoSpaceDN w:val="0"/>
              <w:adjustRightInd w:val="0"/>
              <w:snapToGrid w:val="0"/>
              <w:jc w:val="center"/>
              <w:rPr>
                <w:rFonts w:ascii="Times New Roman"/>
                <w:sz w:val="21"/>
                <w:szCs w:val="21"/>
              </w:rPr>
            </w:pPr>
          </w:p>
        </w:tc>
      </w:tr>
      <w:tr w14:paraId="4917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3361DF8">
            <w:pPr>
              <w:autoSpaceDE w:val="0"/>
              <w:autoSpaceDN w:val="0"/>
              <w:adjustRightInd w:val="0"/>
              <w:snapToGrid w:val="0"/>
              <w:jc w:val="center"/>
              <w:rPr>
                <w:rFonts w:ascii="Times New Roman"/>
                <w:sz w:val="21"/>
                <w:szCs w:val="21"/>
              </w:rPr>
            </w:pPr>
          </w:p>
        </w:tc>
        <w:tc>
          <w:tcPr>
            <w:tcW w:w="697" w:type="pct"/>
            <w:vAlign w:val="center"/>
          </w:tcPr>
          <w:p w14:paraId="01A820DA">
            <w:pPr>
              <w:autoSpaceDE w:val="0"/>
              <w:autoSpaceDN w:val="0"/>
              <w:adjustRightInd w:val="0"/>
              <w:snapToGrid w:val="0"/>
              <w:jc w:val="center"/>
              <w:rPr>
                <w:rFonts w:ascii="Times New Roman"/>
                <w:sz w:val="21"/>
                <w:szCs w:val="21"/>
              </w:rPr>
            </w:pPr>
            <w:r>
              <w:rPr>
                <w:rFonts w:ascii="Times New Roman"/>
                <w:sz w:val="21"/>
                <w:szCs w:val="21"/>
              </w:rPr>
              <w:t>圆盘锯</w:t>
            </w:r>
          </w:p>
        </w:tc>
        <w:tc>
          <w:tcPr>
            <w:tcW w:w="346" w:type="pct"/>
            <w:vAlign w:val="center"/>
          </w:tcPr>
          <w:p w14:paraId="0130A9F0">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64030AE6">
            <w:pPr>
              <w:autoSpaceDE w:val="0"/>
              <w:autoSpaceDN w:val="0"/>
              <w:adjustRightInd w:val="0"/>
              <w:snapToGrid w:val="0"/>
              <w:jc w:val="center"/>
              <w:rPr>
                <w:rFonts w:ascii="Times New Roman"/>
                <w:sz w:val="21"/>
                <w:szCs w:val="21"/>
              </w:rPr>
            </w:pPr>
          </w:p>
        </w:tc>
        <w:tc>
          <w:tcPr>
            <w:tcW w:w="208" w:type="pct"/>
            <w:vAlign w:val="center"/>
          </w:tcPr>
          <w:p w14:paraId="5C21AB91">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1B03AEFC">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358EDEA6">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52D025D0">
            <w:pPr>
              <w:autoSpaceDE w:val="0"/>
              <w:autoSpaceDN w:val="0"/>
              <w:adjustRightInd w:val="0"/>
              <w:snapToGrid w:val="0"/>
              <w:jc w:val="center"/>
              <w:rPr>
                <w:rFonts w:ascii="Times New Roman"/>
                <w:sz w:val="21"/>
                <w:szCs w:val="21"/>
              </w:rPr>
            </w:pPr>
            <w:r>
              <w:rPr>
                <w:rFonts w:ascii="Times New Roman"/>
                <w:sz w:val="21"/>
                <w:szCs w:val="21"/>
              </w:rPr>
              <w:t>104.15</w:t>
            </w:r>
          </w:p>
        </w:tc>
        <w:tc>
          <w:tcPr>
            <w:tcW w:w="358" w:type="pct"/>
            <w:vAlign w:val="center"/>
          </w:tcPr>
          <w:p w14:paraId="4D6401EA">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1C462DE4">
            <w:pPr>
              <w:autoSpaceDE w:val="0"/>
              <w:autoSpaceDN w:val="0"/>
              <w:adjustRightInd w:val="0"/>
              <w:snapToGrid w:val="0"/>
              <w:jc w:val="center"/>
              <w:rPr>
                <w:rFonts w:ascii="Times New Roman"/>
                <w:sz w:val="21"/>
                <w:szCs w:val="21"/>
              </w:rPr>
            </w:pPr>
          </w:p>
        </w:tc>
        <w:tc>
          <w:tcPr>
            <w:tcW w:w="551" w:type="pct"/>
            <w:vAlign w:val="center"/>
          </w:tcPr>
          <w:p w14:paraId="1D44ED9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FF1EC74">
            <w:pPr>
              <w:autoSpaceDE w:val="0"/>
              <w:autoSpaceDN w:val="0"/>
              <w:adjustRightInd w:val="0"/>
              <w:snapToGrid w:val="0"/>
              <w:jc w:val="center"/>
              <w:rPr>
                <w:rFonts w:ascii="Times New Roman"/>
                <w:sz w:val="21"/>
                <w:szCs w:val="21"/>
              </w:rPr>
            </w:pPr>
          </w:p>
        </w:tc>
        <w:tc>
          <w:tcPr>
            <w:tcW w:w="287" w:type="pct"/>
            <w:vMerge w:val="continue"/>
            <w:vAlign w:val="center"/>
          </w:tcPr>
          <w:p w14:paraId="45CC5E8F">
            <w:pPr>
              <w:autoSpaceDE w:val="0"/>
              <w:autoSpaceDN w:val="0"/>
              <w:adjustRightInd w:val="0"/>
              <w:snapToGrid w:val="0"/>
              <w:jc w:val="center"/>
              <w:rPr>
                <w:rFonts w:ascii="Times New Roman"/>
                <w:sz w:val="21"/>
                <w:szCs w:val="21"/>
              </w:rPr>
            </w:pPr>
          </w:p>
        </w:tc>
        <w:tc>
          <w:tcPr>
            <w:tcW w:w="434" w:type="pct"/>
            <w:vMerge w:val="continue"/>
            <w:vAlign w:val="center"/>
          </w:tcPr>
          <w:p w14:paraId="53103B52">
            <w:pPr>
              <w:autoSpaceDE w:val="0"/>
              <w:autoSpaceDN w:val="0"/>
              <w:adjustRightInd w:val="0"/>
              <w:snapToGrid w:val="0"/>
              <w:jc w:val="center"/>
              <w:rPr>
                <w:rFonts w:ascii="Times New Roman"/>
                <w:sz w:val="21"/>
                <w:szCs w:val="21"/>
              </w:rPr>
            </w:pPr>
          </w:p>
        </w:tc>
      </w:tr>
      <w:tr w14:paraId="0A56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60E572D">
            <w:pPr>
              <w:autoSpaceDE w:val="0"/>
              <w:autoSpaceDN w:val="0"/>
              <w:adjustRightInd w:val="0"/>
              <w:snapToGrid w:val="0"/>
              <w:jc w:val="center"/>
              <w:rPr>
                <w:rFonts w:ascii="Times New Roman"/>
                <w:sz w:val="21"/>
                <w:szCs w:val="21"/>
              </w:rPr>
            </w:pPr>
          </w:p>
        </w:tc>
        <w:tc>
          <w:tcPr>
            <w:tcW w:w="697" w:type="pct"/>
            <w:vAlign w:val="center"/>
          </w:tcPr>
          <w:p w14:paraId="4440BBB3">
            <w:pPr>
              <w:autoSpaceDE w:val="0"/>
              <w:autoSpaceDN w:val="0"/>
              <w:adjustRightInd w:val="0"/>
              <w:snapToGrid w:val="0"/>
              <w:jc w:val="center"/>
              <w:rPr>
                <w:rFonts w:ascii="Times New Roman"/>
                <w:sz w:val="21"/>
                <w:szCs w:val="21"/>
              </w:rPr>
            </w:pPr>
            <w:r>
              <w:rPr>
                <w:rFonts w:ascii="Times New Roman"/>
                <w:sz w:val="21"/>
                <w:szCs w:val="21"/>
              </w:rPr>
              <w:t>圆盘锯</w:t>
            </w:r>
          </w:p>
        </w:tc>
        <w:tc>
          <w:tcPr>
            <w:tcW w:w="346" w:type="pct"/>
            <w:vAlign w:val="center"/>
          </w:tcPr>
          <w:p w14:paraId="62BB7411">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6A10F591">
            <w:pPr>
              <w:autoSpaceDE w:val="0"/>
              <w:autoSpaceDN w:val="0"/>
              <w:adjustRightInd w:val="0"/>
              <w:snapToGrid w:val="0"/>
              <w:jc w:val="center"/>
              <w:rPr>
                <w:rFonts w:ascii="Times New Roman"/>
                <w:sz w:val="21"/>
                <w:szCs w:val="21"/>
              </w:rPr>
            </w:pPr>
          </w:p>
        </w:tc>
        <w:tc>
          <w:tcPr>
            <w:tcW w:w="208" w:type="pct"/>
            <w:vAlign w:val="center"/>
          </w:tcPr>
          <w:p w14:paraId="3FE4C67D">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656B9D07">
            <w:pPr>
              <w:autoSpaceDE w:val="0"/>
              <w:autoSpaceDN w:val="0"/>
              <w:adjustRightInd w:val="0"/>
              <w:snapToGrid w:val="0"/>
              <w:jc w:val="center"/>
              <w:rPr>
                <w:rFonts w:ascii="Times New Roman"/>
                <w:sz w:val="21"/>
                <w:szCs w:val="21"/>
              </w:rPr>
            </w:pPr>
            <w:r>
              <w:rPr>
                <w:rFonts w:ascii="Times New Roman"/>
                <w:sz w:val="21"/>
                <w:szCs w:val="21"/>
              </w:rPr>
              <w:t>120</w:t>
            </w:r>
          </w:p>
        </w:tc>
        <w:tc>
          <w:tcPr>
            <w:tcW w:w="240" w:type="pct"/>
            <w:vAlign w:val="center"/>
          </w:tcPr>
          <w:p w14:paraId="5E51893A">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AAA3D37">
            <w:pPr>
              <w:autoSpaceDE w:val="0"/>
              <w:autoSpaceDN w:val="0"/>
              <w:adjustRightInd w:val="0"/>
              <w:snapToGrid w:val="0"/>
              <w:jc w:val="center"/>
              <w:rPr>
                <w:rFonts w:ascii="Times New Roman"/>
                <w:sz w:val="21"/>
                <w:szCs w:val="21"/>
              </w:rPr>
            </w:pPr>
            <w:r>
              <w:rPr>
                <w:rFonts w:ascii="Times New Roman"/>
                <w:sz w:val="21"/>
                <w:szCs w:val="21"/>
              </w:rPr>
              <w:t>104.15</w:t>
            </w:r>
          </w:p>
        </w:tc>
        <w:tc>
          <w:tcPr>
            <w:tcW w:w="358" w:type="pct"/>
            <w:vAlign w:val="center"/>
          </w:tcPr>
          <w:p w14:paraId="729E44D9">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35520412">
            <w:pPr>
              <w:autoSpaceDE w:val="0"/>
              <w:autoSpaceDN w:val="0"/>
              <w:adjustRightInd w:val="0"/>
              <w:snapToGrid w:val="0"/>
              <w:jc w:val="center"/>
              <w:rPr>
                <w:rFonts w:ascii="Times New Roman"/>
                <w:sz w:val="21"/>
                <w:szCs w:val="21"/>
              </w:rPr>
            </w:pPr>
          </w:p>
        </w:tc>
        <w:tc>
          <w:tcPr>
            <w:tcW w:w="551" w:type="pct"/>
            <w:vAlign w:val="center"/>
          </w:tcPr>
          <w:p w14:paraId="3FFFDF6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EDF035E">
            <w:pPr>
              <w:autoSpaceDE w:val="0"/>
              <w:autoSpaceDN w:val="0"/>
              <w:adjustRightInd w:val="0"/>
              <w:snapToGrid w:val="0"/>
              <w:jc w:val="center"/>
              <w:rPr>
                <w:rFonts w:ascii="Times New Roman"/>
                <w:sz w:val="21"/>
                <w:szCs w:val="21"/>
              </w:rPr>
            </w:pPr>
          </w:p>
        </w:tc>
        <w:tc>
          <w:tcPr>
            <w:tcW w:w="287" w:type="pct"/>
            <w:vMerge w:val="continue"/>
            <w:vAlign w:val="center"/>
          </w:tcPr>
          <w:p w14:paraId="7696E1CB">
            <w:pPr>
              <w:autoSpaceDE w:val="0"/>
              <w:autoSpaceDN w:val="0"/>
              <w:adjustRightInd w:val="0"/>
              <w:snapToGrid w:val="0"/>
              <w:jc w:val="center"/>
              <w:rPr>
                <w:rFonts w:ascii="Times New Roman"/>
                <w:sz w:val="21"/>
                <w:szCs w:val="21"/>
              </w:rPr>
            </w:pPr>
          </w:p>
        </w:tc>
        <w:tc>
          <w:tcPr>
            <w:tcW w:w="434" w:type="pct"/>
            <w:vMerge w:val="continue"/>
            <w:vAlign w:val="center"/>
          </w:tcPr>
          <w:p w14:paraId="39F7EE5C">
            <w:pPr>
              <w:autoSpaceDE w:val="0"/>
              <w:autoSpaceDN w:val="0"/>
              <w:adjustRightInd w:val="0"/>
              <w:snapToGrid w:val="0"/>
              <w:jc w:val="center"/>
              <w:rPr>
                <w:rFonts w:ascii="Times New Roman"/>
                <w:sz w:val="21"/>
                <w:szCs w:val="21"/>
              </w:rPr>
            </w:pPr>
          </w:p>
        </w:tc>
      </w:tr>
      <w:tr w14:paraId="7CAA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B0FF487">
            <w:pPr>
              <w:autoSpaceDE w:val="0"/>
              <w:autoSpaceDN w:val="0"/>
              <w:adjustRightInd w:val="0"/>
              <w:snapToGrid w:val="0"/>
              <w:jc w:val="center"/>
              <w:rPr>
                <w:rFonts w:ascii="Times New Roman"/>
                <w:sz w:val="21"/>
                <w:szCs w:val="21"/>
              </w:rPr>
            </w:pPr>
          </w:p>
        </w:tc>
        <w:tc>
          <w:tcPr>
            <w:tcW w:w="697" w:type="pct"/>
            <w:vAlign w:val="center"/>
          </w:tcPr>
          <w:p w14:paraId="5F2D4F46">
            <w:pPr>
              <w:autoSpaceDE w:val="0"/>
              <w:autoSpaceDN w:val="0"/>
              <w:adjustRightInd w:val="0"/>
              <w:snapToGrid w:val="0"/>
              <w:jc w:val="center"/>
              <w:rPr>
                <w:rFonts w:ascii="Times New Roman"/>
                <w:sz w:val="21"/>
                <w:szCs w:val="21"/>
              </w:rPr>
            </w:pPr>
            <w:r>
              <w:rPr>
                <w:rFonts w:ascii="Times New Roman"/>
                <w:sz w:val="21"/>
                <w:szCs w:val="21"/>
              </w:rPr>
              <w:t>数控弯管机</w:t>
            </w:r>
          </w:p>
        </w:tc>
        <w:tc>
          <w:tcPr>
            <w:tcW w:w="346" w:type="pct"/>
            <w:vAlign w:val="center"/>
          </w:tcPr>
          <w:p w14:paraId="14F91F9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05712B7">
            <w:pPr>
              <w:autoSpaceDE w:val="0"/>
              <w:autoSpaceDN w:val="0"/>
              <w:adjustRightInd w:val="0"/>
              <w:snapToGrid w:val="0"/>
              <w:jc w:val="center"/>
              <w:rPr>
                <w:rFonts w:ascii="Times New Roman"/>
                <w:sz w:val="21"/>
                <w:szCs w:val="21"/>
              </w:rPr>
            </w:pPr>
          </w:p>
        </w:tc>
        <w:tc>
          <w:tcPr>
            <w:tcW w:w="208" w:type="pct"/>
            <w:vAlign w:val="center"/>
          </w:tcPr>
          <w:p w14:paraId="4C9DAD02">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63E49A95">
            <w:pPr>
              <w:autoSpaceDE w:val="0"/>
              <w:autoSpaceDN w:val="0"/>
              <w:adjustRightInd w:val="0"/>
              <w:snapToGrid w:val="0"/>
              <w:jc w:val="center"/>
              <w:rPr>
                <w:rFonts w:ascii="Times New Roman"/>
                <w:sz w:val="21"/>
                <w:szCs w:val="21"/>
              </w:rPr>
            </w:pPr>
            <w:r>
              <w:rPr>
                <w:rFonts w:ascii="Times New Roman"/>
                <w:sz w:val="21"/>
                <w:szCs w:val="21"/>
              </w:rPr>
              <w:t>125</w:t>
            </w:r>
          </w:p>
        </w:tc>
        <w:tc>
          <w:tcPr>
            <w:tcW w:w="240" w:type="pct"/>
            <w:vAlign w:val="center"/>
          </w:tcPr>
          <w:p w14:paraId="5EED7351">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272CFB50">
            <w:pPr>
              <w:autoSpaceDE w:val="0"/>
              <w:autoSpaceDN w:val="0"/>
              <w:adjustRightInd w:val="0"/>
              <w:snapToGrid w:val="0"/>
              <w:jc w:val="center"/>
              <w:rPr>
                <w:rFonts w:ascii="Times New Roman"/>
                <w:sz w:val="21"/>
                <w:szCs w:val="21"/>
              </w:rPr>
            </w:pPr>
            <w:r>
              <w:rPr>
                <w:rFonts w:ascii="Times New Roman"/>
                <w:sz w:val="21"/>
                <w:szCs w:val="21"/>
              </w:rPr>
              <w:t>109.15</w:t>
            </w:r>
          </w:p>
        </w:tc>
        <w:tc>
          <w:tcPr>
            <w:tcW w:w="358" w:type="pct"/>
            <w:vAlign w:val="center"/>
          </w:tcPr>
          <w:p w14:paraId="52F078EB">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16C924EA">
            <w:pPr>
              <w:autoSpaceDE w:val="0"/>
              <w:autoSpaceDN w:val="0"/>
              <w:adjustRightInd w:val="0"/>
              <w:snapToGrid w:val="0"/>
              <w:jc w:val="center"/>
              <w:rPr>
                <w:rFonts w:ascii="Times New Roman"/>
                <w:sz w:val="21"/>
                <w:szCs w:val="21"/>
              </w:rPr>
            </w:pPr>
          </w:p>
        </w:tc>
        <w:tc>
          <w:tcPr>
            <w:tcW w:w="551" w:type="pct"/>
            <w:vAlign w:val="center"/>
          </w:tcPr>
          <w:p w14:paraId="22BDD74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204FF5D">
            <w:pPr>
              <w:autoSpaceDE w:val="0"/>
              <w:autoSpaceDN w:val="0"/>
              <w:adjustRightInd w:val="0"/>
              <w:snapToGrid w:val="0"/>
              <w:jc w:val="center"/>
              <w:rPr>
                <w:rFonts w:ascii="Times New Roman"/>
                <w:sz w:val="21"/>
                <w:szCs w:val="21"/>
              </w:rPr>
            </w:pPr>
          </w:p>
        </w:tc>
        <w:tc>
          <w:tcPr>
            <w:tcW w:w="287" w:type="pct"/>
            <w:vMerge w:val="continue"/>
            <w:vAlign w:val="center"/>
          </w:tcPr>
          <w:p w14:paraId="0ADCFA54">
            <w:pPr>
              <w:autoSpaceDE w:val="0"/>
              <w:autoSpaceDN w:val="0"/>
              <w:adjustRightInd w:val="0"/>
              <w:snapToGrid w:val="0"/>
              <w:jc w:val="center"/>
              <w:rPr>
                <w:rFonts w:ascii="Times New Roman"/>
                <w:sz w:val="21"/>
                <w:szCs w:val="21"/>
              </w:rPr>
            </w:pPr>
          </w:p>
        </w:tc>
        <w:tc>
          <w:tcPr>
            <w:tcW w:w="434" w:type="pct"/>
            <w:vMerge w:val="continue"/>
            <w:vAlign w:val="center"/>
          </w:tcPr>
          <w:p w14:paraId="46E8A173">
            <w:pPr>
              <w:autoSpaceDE w:val="0"/>
              <w:autoSpaceDN w:val="0"/>
              <w:adjustRightInd w:val="0"/>
              <w:snapToGrid w:val="0"/>
              <w:jc w:val="center"/>
              <w:rPr>
                <w:rFonts w:ascii="Times New Roman"/>
                <w:sz w:val="21"/>
                <w:szCs w:val="21"/>
              </w:rPr>
            </w:pPr>
          </w:p>
        </w:tc>
      </w:tr>
      <w:tr w14:paraId="5EAF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277C425">
            <w:pPr>
              <w:autoSpaceDE w:val="0"/>
              <w:autoSpaceDN w:val="0"/>
              <w:adjustRightInd w:val="0"/>
              <w:snapToGrid w:val="0"/>
              <w:jc w:val="center"/>
              <w:rPr>
                <w:rFonts w:ascii="Times New Roman"/>
                <w:sz w:val="21"/>
                <w:szCs w:val="21"/>
              </w:rPr>
            </w:pPr>
          </w:p>
        </w:tc>
        <w:tc>
          <w:tcPr>
            <w:tcW w:w="697" w:type="pct"/>
            <w:vAlign w:val="center"/>
          </w:tcPr>
          <w:p w14:paraId="3964F914">
            <w:pPr>
              <w:autoSpaceDE w:val="0"/>
              <w:autoSpaceDN w:val="0"/>
              <w:adjustRightInd w:val="0"/>
              <w:snapToGrid w:val="0"/>
              <w:jc w:val="center"/>
              <w:rPr>
                <w:rFonts w:ascii="Times New Roman"/>
                <w:sz w:val="21"/>
                <w:szCs w:val="21"/>
              </w:rPr>
            </w:pPr>
            <w:r>
              <w:rPr>
                <w:rFonts w:ascii="Times New Roman"/>
                <w:sz w:val="21"/>
                <w:szCs w:val="21"/>
              </w:rPr>
              <w:t>数控弯管机</w:t>
            </w:r>
          </w:p>
        </w:tc>
        <w:tc>
          <w:tcPr>
            <w:tcW w:w="346" w:type="pct"/>
            <w:vAlign w:val="center"/>
          </w:tcPr>
          <w:p w14:paraId="58494522">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FBDFE00">
            <w:pPr>
              <w:autoSpaceDE w:val="0"/>
              <w:autoSpaceDN w:val="0"/>
              <w:adjustRightInd w:val="0"/>
              <w:snapToGrid w:val="0"/>
              <w:jc w:val="center"/>
              <w:rPr>
                <w:rFonts w:ascii="Times New Roman"/>
                <w:sz w:val="21"/>
                <w:szCs w:val="21"/>
              </w:rPr>
            </w:pPr>
          </w:p>
        </w:tc>
        <w:tc>
          <w:tcPr>
            <w:tcW w:w="208" w:type="pct"/>
            <w:vAlign w:val="center"/>
          </w:tcPr>
          <w:p w14:paraId="353BD23C">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682E2B10">
            <w:pPr>
              <w:autoSpaceDE w:val="0"/>
              <w:autoSpaceDN w:val="0"/>
              <w:adjustRightInd w:val="0"/>
              <w:snapToGrid w:val="0"/>
              <w:jc w:val="center"/>
              <w:rPr>
                <w:rFonts w:ascii="Times New Roman"/>
                <w:sz w:val="21"/>
                <w:szCs w:val="21"/>
              </w:rPr>
            </w:pPr>
            <w:r>
              <w:rPr>
                <w:rFonts w:ascii="Times New Roman"/>
                <w:sz w:val="21"/>
                <w:szCs w:val="21"/>
              </w:rPr>
              <w:t>125</w:t>
            </w:r>
          </w:p>
        </w:tc>
        <w:tc>
          <w:tcPr>
            <w:tcW w:w="240" w:type="pct"/>
            <w:vAlign w:val="center"/>
          </w:tcPr>
          <w:p w14:paraId="1DEB0D92">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181BE3D9">
            <w:pPr>
              <w:autoSpaceDE w:val="0"/>
              <w:autoSpaceDN w:val="0"/>
              <w:adjustRightInd w:val="0"/>
              <w:snapToGrid w:val="0"/>
              <w:jc w:val="center"/>
              <w:rPr>
                <w:rFonts w:ascii="Times New Roman"/>
                <w:sz w:val="21"/>
                <w:szCs w:val="21"/>
              </w:rPr>
            </w:pPr>
            <w:r>
              <w:rPr>
                <w:rFonts w:ascii="Times New Roman"/>
                <w:sz w:val="21"/>
                <w:szCs w:val="21"/>
              </w:rPr>
              <w:t>109.15</w:t>
            </w:r>
          </w:p>
        </w:tc>
        <w:tc>
          <w:tcPr>
            <w:tcW w:w="358" w:type="pct"/>
            <w:vAlign w:val="center"/>
          </w:tcPr>
          <w:p w14:paraId="66246A88">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5CCCEABB">
            <w:pPr>
              <w:autoSpaceDE w:val="0"/>
              <w:autoSpaceDN w:val="0"/>
              <w:adjustRightInd w:val="0"/>
              <w:snapToGrid w:val="0"/>
              <w:jc w:val="center"/>
              <w:rPr>
                <w:rFonts w:ascii="Times New Roman"/>
                <w:sz w:val="21"/>
                <w:szCs w:val="21"/>
              </w:rPr>
            </w:pPr>
          </w:p>
        </w:tc>
        <w:tc>
          <w:tcPr>
            <w:tcW w:w="551" w:type="pct"/>
            <w:vAlign w:val="center"/>
          </w:tcPr>
          <w:p w14:paraId="1D618EE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ACE669B">
            <w:pPr>
              <w:autoSpaceDE w:val="0"/>
              <w:autoSpaceDN w:val="0"/>
              <w:adjustRightInd w:val="0"/>
              <w:snapToGrid w:val="0"/>
              <w:jc w:val="center"/>
              <w:rPr>
                <w:rFonts w:ascii="Times New Roman"/>
                <w:sz w:val="21"/>
                <w:szCs w:val="21"/>
              </w:rPr>
            </w:pPr>
          </w:p>
        </w:tc>
        <w:tc>
          <w:tcPr>
            <w:tcW w:w="287" w:type="pct"/>
            <w:vMerge w:val="continue"/>
            <w:vAlign w:val="center"/>
          </w:tcPr>
          <w:p w14:paraId="5550BF47">
            <w:pPr>
              <w:autoSpaceDE w:val="0"/>
              <w:autoSpaceDN w:val="0"/>
              <w:adjustRightInd w:val="0"/>
              <w:snapToGrid w:val="0"/>
              <w:jc w:val="center"/>
              <w:rPr>
                <w:rFonts w:ascii="Times New Roman"/>
                <w:sz w:val="21"/>
                <w:szCs w:val="21"/>
              </w:rPr>
            </w:pPr>
          </w:p>
        </w:tc>
        <w:tc>
          <w:tcPr>
            <w:tcW w:w="434" w:type="pct"/>
            <w:vMerge w:val="continue"/>
            <w:vAlign w:val="center"/>
          </w:tcPr>
          <w:p w14:paraId="507B78EC">
            <w:pPr>
              <w:autoSpaceDE w:val="0"/>
              <w:autoSpaceDN w:val="0"/>
              <w:adjustRightInd w:val="0"/>
              <w:snapToGrid w:val="0"/>
              <w:jc w:val="center"/>
              <w:rPr>
                <w:rFonts w:ascii="Times New Roman"/>
                <w:sz w:val="21"/>
                <w:szCs w:val="21"/>
              </w:rPr>
            </w:pPr>
          </w:p>
        </w:tc>
      </w:tr>
      <w:tr w14:paraId="74B3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A448486">
            <w:pPr>
              <w:autoSpaceDE w:val="0"/>
              <w:autoSpaceDN w:val="0"/>
              <w:adjustRightInd w:val="0"/>
              <w:snapToGrid w:val="0"/>
              <w:jc w:val="center"/>
              <w:rPr>
                <w:rFonts w:ascii="Times New Roman"/>
                <w:sz w:val="21"/>
                <w:szCs w:val="21"/>
              </w:rPr>
            </w:pPr>
          </w:p>
        </w:tc>
        <w:tc>
          <w:tcPr>
            <w:tcW w:w="697" w:type="pct"/>
            <w:vAlign w:val="center"/>
          </w:tcPr>
          <w:p w14:paraId="052A67A2">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1BD625E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8B930C2">
            <w:pPr>
              <w:autoSpaceDE w:val="0"/>
              <w:autoSpaceDN w:val="0"/>
              <w:adjustRightInd w:val="0"/>
              <w:snapToGrid w:val="0"/>
              <w:jc w:val="center"/>
              <w:rPr>
                <w:rFonts w:ascii="Times New Roman"/>
                <w:sz w:val="21"/>
                <w:szCs w:val="21"/>
              </w:rPr>
            </w:pPr>
          </w:p>
        </w:tc>
        <w:tc>
          <w:tcPr>
            <w:tcW w:w="208" w:type="pct"/>
            <w:vAlign w:val="center"/>
          </w:tcPr>
          <w:p w14:paraId="7721EBE7">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79C113D4">
            <w:pPr>
              <w:autoSpaceDE w:val="0"/>
              <w:autoSpaceDN w:val="0"/>
              <w:adjustRightInd w:val="0"/>
              <w:snapToGrid w:val="0"/>
              <w:jc w:val="center"/>
              <w:rPr>
                <w:rFonts w:ascii="Times New Roman"/>
                <w:sz w:val="21"/>
                <w:szCs w:val="21"/>
              </w:rPr>
            </w:pPr>
            <w:r>
              <w:rPr>
                <w:rFonts w:ascii="Times New Roman"/>
                <w:sz w:val="21"/>
                <w:szCs w:val="21"/>
              </w:rPr>
              <w:t>130</w:t>
            </w:r>
          </w:p>
        </w:tc>
        <w:tc>
          <w:tcPr>
            <w:tcW w:w="240" w:type="pct"/>
            <w:vAlign w:val="center"/>
          </w:tcPr>
          <w:p w14:paraId="6005432F">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ACDFF9F">
            <w:pPr>
              <w:autoSpaceDE w:val="0"/>
              <w:autoSpaceDN w:val="0"/>
              <w:adjustRightInd w:val="0"/>
              <w:snapToGrid w:val="0"/>
              <w:jc w:val="center"/>
              <w:rPr>
                <w:rFonts w:ascii="Times New Roman"/>
                <w:sz w:val="21"/>
                <w:szCs w:val="21"/>
              </w:rPr>
            </w:pPr>
            <w:r>
              <w:rPr>
                <w:rFonts w:ascii="Times New Roman"/>
                <w:sz w:val="21"/>
                <w:szCs w:val="21"/>
              </w:rPr>
              <w:t>114.15</w:t>
            </w:r>
          </w:p>
        </w:tc>
        <w:tc>
          <w:tcPr>
            <w:tcW w:w="358" w:type="pct"/>
            <w:vAlign w:val="center"/>
          </w:tcPr>
          <w:p w14:paraId="2B81031F">
            <w:pPr>
              <w:autoSpaceDE w:val="0"/>
              <w:autoSpaceDN w:val="0"/>
              <w:adjustRightInd w:val="0"/>
              <w:snapToGrid w:val="0"/>
              <w:jc w:val="center"/>
              <w:rPr>
                <w:rFonts w:ascii="Times New Roman"/>
                <w:sz w:val="21"/>
                <w:szCs w:val="21"/>
              </w:rPr>
            </w:pPr>
            <w:r>
              <w:rPr>
                <w:rFonts w:ascii="Times New Roman"/>
                <w:sz w:val="21"/>
                <w:szCs w:val="21"/>
              </w:rPr>
              <w:t>29</w:t>
            </w:r>
          </w:p>
        </w:tc>
        <w:tc>
          <w:tcPr>
            <w:tcW w:w="316" w:type="pct"/>
            <w:vMerge w:val="continue"/>
            <w:vAlign w:val="center"/>
          </w:tcPr>
          <w:p w14:paraId="2246C598">
            <w:pPr>
              <w:autoSpaceDE w:val="0"/>
              <w:autoSpaceDN w:val="0"/>
              <w:adjustRightInd w:val="0"/>
              <w:snapToGrid w:val="0"/>
              <w:jc w:val="center"/>
              <w:rPr>
                <w:rFonts w:ascii="Times New Roman"/>
                <w:sz w:val="21"/>
                <w:szCs w:val="21"/>
              </w:rPr>
            </w:pPr>
          </w:p>
        </w:tc>
        <w:tc>
          <w:tcPr>
            <w:tcW w:w="551" w:type="pct"/>
            <w:vAlign w:val="center"/>
          </w:tcPr>
          <w:p w14:paraId="7082F13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87BE8A9">
            <w:pPr>
              <w:autoSpaceDE w:val="0"/>
              <w:autoSpaceDN w:val="0"/>
              <w:adjustRightInd w:val="0"/>
              <w:snapToGrid w:val="0"/>
              <w:jc w:val="center"/>
              <w:rPr>
                <w:rFonts w:ascii="Times New Roman"/>
                <w:sz w:val="21"/>
                <w:szCs w:val="21"/>
              </w:rPr>
            </w:pPr>
          </w:p>
        </w:tc>
        <w:tc>
          <w:tcPr>
            <w:tcW w:w="287" w:type="pct"/>
            <w:vMerge w:val="continue"/>
            <w:vAlign w:val="center"/>
          </w:tcPr>
          <w:p w14:paraId="56129D4D">
            <w:pPr>
              <w:autoSpaceDE w:val="0"/>
              <w:autoSpaceDN w:val="0"/>
              <w:adjustRightInd w:val="0"/>
              <w:snapToGrid w:val="0"/>
              <w:jc w:val="center"/>
              <w:rPr>
                <w:rFonts w:ascii="Times New Roman"/>
                <w:sz w:val="21"/>
                <w:szCs w:val="21"/>
              </w:rPr>
            </w:pPr>
          </w:p>
        </w:tc>
        <w:tc>
          <w:tcPr>
            <w:tcW w:w="434" w:type="pct"/>
            <w:vMerge w:val="continue"/>
            <w:vAlign w:val="center"/>
          </w:tcPr>
          <w:p w14:paraId="1544ED5C">
            <w:pPr>
              <w:autoSpaceDE w:val="0"/>
              <w:autoSpaceDN w:val="0"/>
              <w:adjustRightInd w:val="0"/>
              <w:snapToGrid w:val="0"/>
              <w:jc w:val="center"/>
              <w:rPr>
                <w:rFonts w:ascii="Times New Roman"/>
                <w:sz w:val="21"/>
                <w:szCs w:val="21"/>
              </w:rPr>
            </w:pPr>
          </w:p>
        </w:tc>
      </w:tr>
      <w:tr w14:paraId="752D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D140DAD">
            <w:pPr>
              <w:autoSpaceDE w:val="0"/>
              <w:autoSpaceDN w:val="0"/>
              <w:adjustRightInd w:val="0"/>
              <w:snapToGrid w:val="0"/>
              <w:jc w:val="center"/>
              <w:rPr>
                <w:rFonts w:ascii="Times New Roman"/>
                <w:sz w:val="21"/>
                <w:szCs w:val="21"/>
              </w:rPr>
            </w:pPr>
          </w:p>
        </w:tc>
        <w:tc>
          <w:tcPr>
            <w:tcW w:w="697" w:type="pct"/>
            <w:vAlign w:val="center"/>
          </w:tcPr>
          <w:p w14:paraId="65AE9E34">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5D5FB83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C678349">
            <w:pPr>
              <w:autoSpaceDE w:val="0"/>
              <w:autoSpaceDN w:val="0"/>
              <w:adjustRightInd w:val="0"/>
              <w:snapToGrid w:val="0"/>
              <w:jc w:val="center"/>
              <w:rPr>
                <w:rFonts w:ascii="Times New Roman"/>
                <w:sz w:val="21"/>
                <w:szCs w:val="21"/>
              </w:rPr>
            </w:pPr>
          </w:p>
        </w:tc>
        <w:tc>
          <w:tcPr>
            <w:tcW w:w="208" w:type="pct"/>
            <w:vAlign w:val="center"/>
          </w:tcPr>
          <w:p w14:paraId="053C53F5">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5377660A">
            <w:pPr>
              <w:autoSpaceDE w:val="0"/>
              <w:autoSpaceDN w:val="0"/>
              <w:adjustRightInd w:val="0"/>
              <w:snapToGrid w:val="0"/>
              <w:jc w:val="center"/>
              <w:rPr>
                <w:rFonts w:ascii="Times New Roman"/>
                <w:sz w:val="21"/>
                <w:szCs w:val="21"/>
              </w:rPr>
            </w:pPr>
            <w:r>
              <w:rPr>
                <w:rFonts w:ascii="Times New Roman"/>
                <w:sz w:val="21"/>
                <w:szCs w:val="21"/>
              </w:rPr>
              <w:t>130</w:t>
            </w:r>
          </w:p>
        </w:tc>
        <w:tc>
          <w:tcPr>
            <w:tcW w:w="240" w:type="pct"/>
            <w:vAlign w:val="center"/>
          </w:tcPr>
          <w:p w14:paraId="4F313E0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0A2FB01">
            <w:pPr>
              <w:autoSpaceDE w:val="0"/>
              <w:autoSpaceDN w:val="0"/>
              <w:adjustRightInd w:val="0"/>
              <w:snapToGrid w:val="0"/>
              <w:jc w:val="center"/>
              <w:rPr>
                <w:rFonts w:ascii="Times New Roman"/>
                <w:sz w:val="21"/>
                <w:szCs w:val="21"/>
              </w:rPr>
            </w:pPr>
            <w:r>
              <w:rPr>
                <w:rFonts w:ascii="Times New Roman"/>
                <w:sz w:val="21"/>
                <w:szCs w:val="21"/>
              </w:rPr>
              <w:t>114.15</w:t>
            </w:r>
          </w:p>
        </w:tc>
        <w:tc>
          <w:tcPr>
            <w:tcW w:w="358" w:type="pct"/>
            <w:vAlign w:val="center"/>
          </w:tcPr>
          <w:p w14:paraId="44340D05">
            <w:pPr>
              <w:autoSpaceDE w:val="0"/>
              <w:autoSpaceDN w:val="0"/>
              <w:adjustRightInd w:val="0"/>
              <w:snapToGrid w:val="0"/>
              <w:jc w:val="center"/>
              <w:rPr>
                <w:rFonts w:ascii="Times New Roman"/>
                <w:sz w:val="21"/>
                <w:szCs w:val="21"/>
              </w:rPr>
            </w:pPr>
            <w:r>
              <w:rPr>
                <w:rFonts w:ascii="Times New Roman"/>
                <w:sz w:val="21"/>
                <w:szCs w:val="21"/>
              </w:rPr>
              <w:t>29</w:t>
            </w:r>
          </w:p>
        </w:tc>
        <w:tc>
          <w:tcPr>
            <w:tcW w:w="316" w:type="pct"/>
            <w:vMerge w:val="continue"/>
            <w:vAlign w:val="center"/>
          </w:tcPr>
          <w:p w14:paraId="77FB90BB">
            <w:pPr>
              <w:autoSpaceDE w:val="0"/>
              <w:autoSpaceDN w:val="0"/>
              <w:adjustRightInd w:val="0"/>
              <w:snapToGrid w:val="0"/>
              <w:jc w:val="center"/>
              <w:rPr>
                <w:rFonts w:ascii="Times New Roman"/>
                <w:sz w:val="21"/>
                <w:szCs w:val="21"/>
              </w:rPr>
            </w:pPr>
          </w:p>
        </w:tc>
        <w:tc>
          <w:tcPr>
            <w:tcW w:w="551" w:type="pct"/>
            <w:vAlign w:val="center"/>
          </w:tcPr>
          <w:p w14:paraId="45FD51B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F20FDE5">
            <w:pPr>
              <w:autoSpaceDE w:val="0"/>
              <w:autoSpaceDN w:val="0"/>
              <w:adjustRightInd w:val="0"/>
              <w:snapToGrid w:val="0"/>
              <w:jc w:val="center"/>
              <w:rPr>
                <w:rFonts w:ascii="Times New Roman"/>
                <w:sz w:val="21"/>
                <w:szCs w:val="21"/>
              </w:rPr>
            </w:pPr>
          </w:p>
        </w:tc>
        <w:tc>
          <w:tcPr>
            <w:tcW w:w="287" w:type="pct"/>
            <w:vMerge w:val="continue"/>
            <w:vAlign w:val="center"/>
          </w:tcPr>
          <w:p w14:paraId="43B25A85">
            <w:pPr>
              <w:autoSpaceDE w:val="0"/>
              <w:autoSpaceDN w:val="0"/>
              <w:adjustRightInd w:val="0"/>
              <w:snapToGrid w:val="0"/>
              <w:jc w:val="center"/>
              <w:rPr>
                <w:rFonts w:ascii="Times New Roman"/>
                <w:sz w:val="21"/>
                <w:szCs w:val="21"/>
              </w:rPr>
            </w:pPr>
          </w:p>
        </w:tc>
        <w:tc>
          <w:tcPr>
            <w:tcW w:w="434" w:type="pct"/>
            <w:vMerge w:val="continue"/>
            <w:vAlign w:val="center"/>
          </w:tcPr>
          <w:p w14:paraId="69735FE8">
            <w:pPr>
              <w:autoSpaceDE w:val="0"/>
              <w:autoSpaceDN w:val="0"/>
              <w:adjustRightInd w:val="0"/>
              <w:snapToGrid w:val="0"/>
              <w:jc w:val="center"/>
              <w:rPr>
                <w:rFonts w:ascii="Times New Roman"/>
                <w:sz w:val="21"/>
                <w:szCs w:val="21"/>
              </w:rPr>
            </w:pPr>
          </w:p>
        </w:tc>
      </w:tr>
      <w:tr w14:paraId="5C82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8BC5485">
            <w:pPr>
              <w:autoSpaceDE w:val="0"/>
              <w:autoSpaceDN w:val="0"/>
              <w:adjustRightInd w:val="0"/>
              <w:snapToGrid w:val="0"/>
              <w:jc w:val="center"/>
              <w:rPr>
                <w:rFonts w:ascii="Times New Roman"/>
                <w:sz w:val="21"/>
                <w:szCs w:val="21"/>
              </w:rPr>
            </w:pPr>
          </w:p>
        </w:tc>
        <w:tc>
          <w:tcPr>
            <w:tcW w:w="697" w:type="pct"/>
            <w:vAlign w:val="center"/>
          </w:tcPr>
          <w:p w14:paraId="686C5B0D">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0236847">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1F8B6E5">
            <w:pPr>
              <w:autoSpaceDE w:val="0"/>
              <w:autoSpaceDN w:val="0"/>
              <w:adjustRightInd w:val="0"/>
              <w:snapToGrid w:val="0"/>
              <w:jc w:val="center"/>
              <w:rPr>
                <w:rFonts w:ascii="Times New Roman"/>
                <w:sz w:val="21"/>
                <w:szCs w:val="21"/>
              </w:rPr>
            </w:pPr>
          </w:p>
        </w:tc>
        <w:tc>
          <w:tcPr>
            <w:tcW w:w="208" w:type="pct"/>
            <w:vAlign w:val="center"/>
          </w:tcPr>
          <w:p w14:paraId="386A66D1">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1194B84A">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1CD9B41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7068320">
            <w:pPr>
              <w:autoSpaceDE w:val="0"/>
              <w:autoSpaceDN w:val="0"/>
              <w:adjustRightInd w:val="0"/>
              <w:snapToGrid w:val="0"/>
              <w:jc w:val="center"/>
              <w:rPr>
                <w:rFonts w:ascii="Times New Roman"/>
                <w:sz w:val="21"/>
                <w:szCs w:val="21"/>
              </w:rPr>
            </w:pPr>
            <w:r>
              <w:rPr>
                <w:rFonts w:ascii="Times New Roman"/>
                <w:sz w:val="21"/>
                <w:szCs w:val="21"/>
              </w:rPr>
              <w:t>194.6</w:t>
            </w:r>
          </w:p>
        </w:tc>
        <w:tc>
          <w:tcPr>
            <w:tcW w:w="358" w:type="pct"/>
            <w:vAlign w:val="center"/>
          </w:tcPr>
          <w:p w14:paraId="25AC750A">
            <w:pPr>
              <w:autoSpaceDE w:val="0"/>
              <w:autoSpaceDN w:val="0"/>
              <w:adjustRightInd w:val="0"/>
              <w:snapToGrid w:val="0"/>
              <w:jc w:val="center"/>
              <w:rPr>
                <w:rFonts w:ascii="Times New Roman"/>
                <w:sz w:val="21"/>
                <w:szCs w:val="21"/>
              </w:rPr>
            </w:pPr>
            <w:r>
              <w:rPr>
                <w:rFonts w:ascii="Times New Roman"/>
                <w:sz w:val="21"/>
                <w:szCs w:val="21"/>
              </w:rPr>
              <w:t>24</w:t>
            </w:r>
          </w:p>
        </w:tc>
        <w:tc>
          <w:tcPr>
            <w:tcW w:w="316" w:type="pct"/>
            <w:vMerge w:val="continue"/>
            <w:vAlign w:val="center"/>
          </w:tcPr>
          <w:p w14:paraId="713F4DBE">
            <w:pPr>
              <w:autoSpaceDE w:val="0"/>
              <w:autoSpaceDN w:val="0"/>
              <w:adjustRightInd w:val="0"/>
              <w:snapToGrid w:val="0"/>
              <w:jc w:val="center"/>
              <w:rPr>
                <w:rFonts w:ascii="Times New Roman"/>
                <w:sz w:val="21"/>
                <w:szCs w:val="21"/>
              </w:rPr>
            </w:pPr>
          </w:p>
        </w:tc>
        <w:tc>
          <w:tcPr>
            <w:tcW w:w="551" w:type="pct"/>
            <w:vAlign w:val="center"/>
          </w:tcPr>
          <w:p w14:paraId="1675A39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B76CB7F">
            <w:pPr>
              <w:autoSpaceDE w:val="0"/>
              <w:autoSpaceDN w:val="0"/>
              <w:adjustRightInd w:val="0"/>
              <w:snapToGrid w:val="0"/>
              <w:jc w:val="center"/>
              <w:rPr>
                <w:rFonts w:ascii="Times New Roman"/>
                <w:sz w:val="21"/>
                <w:szCs w:val="21"/>
              </w:rPr>
            </w:pPr>
          </w:p>
        </w:tc>
        <w:tc>
          <w:tcPr>
            <w:tcW w:w="287" w:type="pct"/>
            <w:vMerge w:val="continue"/>
            <w:vAlign w:val="center"/>
          </w:tcPr>
          <w:p w14:paraId="6BBCE06C">
            <w:pPr>
              <w:autoSpaceDE w:val="0"/>
              <w:autoSpaceDN w:val="0"/>
              <w:adjustRightInd w:val="0"/>
              <w:snapToGrid w:val="0"/>
              <w:jc w:val="center"/>
              <w:rPr>
                <w:rFonts w:ascii="Times New Roman"/>
                <w:sz w:val="21"/>
                <w:szCs w:val="21"/>
              </w:rPr>
            </w:pPr>
          </w:p>
        </w:tc>
        <w:tc>
          <w:tcPr>
            <w:tcW w:w="434" w:type="pct"/>
            <w:vMerge w:val="continue"/>
            <w:vAlign w:val="center"/>
          </w:tcPr>
          <w:p w14:paraId="4331C89D">
            <w:pPr>
              <w:autoSpaceDE w:val="0"/>
              <w:autoSpaceDN w:val="0"/>
              <w:adjustRightInd w:val="0"/>
              <w:snapToGrid w:val="0"/>
              <w:jc w:val="center"/>
              <w:rPr>
                <w:rFonts w:ascii="Times New Roman"/>
                <w:sz w:val="21"/>
                <w:szCs w:val="21"/>
              </w:rPr>
            </w:pPr>
          </w:p>
        </w:tc>
      </w:tr>
      <w:tr w14:paraId="5EF7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2132383">
            <w:pPr>
              <w:autoSpaceDE w:val="0"/>
              <w:autoSpaceDN w:val="0"/>
              <w:adjustRightInd w:val="0"/>
              <w:snapToGrid w:val="0"/>
              <w:jc w:val="center"/>
              <w:rPr>
                <w:rFonts w:ascii="Times New Roman"/>
                <w:sz w:val="21"/>
                <w:szCs w:val="21"/>
              </w:rPr>
            </w:pPr>
          </w:p>
        </w:tc>
        <w:tc>
          <w:tcPr>
            <w:tcW w:w="697" w:type="pct"/>
            <w:vAlign w:val="center"/>
          </w:tcPr>
          <w:p w14:paraId="65E78D7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25E34A0">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20ED093">
            <w:pPr>
              <w:autoSpaceDE w:val="0"/>
              <w:autoSpaceDN w:val="0"/>
              <w:adjustRightInd w:val="0"/>
              <w:snapToGrid w:val="0"/>
              <w:jc w:val="center"/>
              <w:rPr>
                <w:rFonts w:ascii="Times New Roman"/>
                <w:sz w:val="21"/>
                <w:szCs w:val="21"/>
              </w:rPr>
            </w:pPr>
          </w:p>
        </w:tc>
        <w:tc>
          <w:tcPr>
            <w:tcW w:w="208" w:type="pct"/>
            <w:vAlign w:val="center"/>
          </w:tcPr>
          <w:p w14:paraId="6D601E61">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71D6D9EF">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066BB2BB">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D8D3581">
            <w:pPr>
              <w:autoSpaceDE w:val="0"/>
              <w:autoSpaceDN w:val="0"/>
              <w:adjustRightInd w:val="0"/>
              <w:snapToGrid w:val="0"/>
              <w:jc w:val="center"/>
              <w:rPr>
                <w:rFonts w:ascii="Times New Roman"/>
                <w:sz w:val="21"/>
                <w:szCs w:val="21"/>
              </w:rPr>
            </w:pPr>
            <w:r>
              <w:rPr>
                <w:rFonts w:ascii="Times New Roman"/>
                <w:sz w:val="21"/>
                <w:szCs w:val="21"/>
              </w:rPr>
              <w:t>124.15</w:t>
            </w:r>
          </w:p>
        </w:tc>
        <w:tc>
          <w:tcPr>
            <w:tcW w:w="358" w:type="pct"/>
            <w:vAlign w:val="center"/>
          </w:tcPr>
          <w:p w14:paraId="670F94BB">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1618B81D">
            <w:pPr>
              <w:autoSpaceDE w:val="0"/>
              <w:autoSpaceDN w:val="0"/>
              <w:adjustRightInd w:val="0"/>
              <w:snapToGrid w:val="0"/>
              <w:jc w:val="center"/>
              <w:rPr>
                <w:rFonts w:ascii="Times New Roman"/>
                <w:sz w:val="21"/>
                <w:szCs w:val="21"/>
              </w:rPr>
            </w:pPr>
          </w:p>
        </w:tc>
        <w:tc>
          <w:tcPr>
            <w:tcW w:w="551" w:type="pct"/>
            <w:vAlign w:val="center"/>
          </w:tcPr>
          <w:p w14:paraId="531A70E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05057CF">
            <w:pPr>
              <w:autoSpaceDE w:val="0"/>
              <w:autoSpaceDN w:val="0"/>
              <w:adjustRightInd w:val="0"/>
              <w:snapToGrid w:val="0"/>
              <w:jc w:val="center"/>
              <w:rPr>
                <w:rFonts w:ascii="Times New Roman"/>
                <w:sz w:val="21"/>
                <w:szCs w:val="21"/>
              </w:rPr>
            </w:pPr>
          </w:p>
        </w:tc>
        <w:tc>
          <w:tcPr>
            <w:tcW w:w="287" w:type="pct"/>
            <w:vMerge w:val="continue"/>
            <w:vAlign w:val="center"/>
          </w:tcPr>
          <w:p w14:paraId="6D717CF3">
            <w:pPr>
              <w:autoSpaceDE w:val="0"/>
              <w:autoSpaceDN w:val="0"/>
              <w:adjustRightInd w:val="0"/>
              <w:snapToGrid w:val="0"/>
              <w:jc w:val="center"/>
              <w:rPr>
                <w:rFonts w:ascii="Times New Roman"/>
                <w:sz w:val="21"/>
                <w:szCs w:val="21"/>
              </w:rPr>
            </w:pPr>
          </w:p>
        </w:tc>
        <w:tc>
          <w:tcPr>
            <w:tcW w:w="434" w:type="pct"/>
            <w:vMerge w:val="continue"/>
            <w:vAlign w:val="center"/>
          </w:tcPr>
          <w:p w14:paraId="3DBB092B">
            <w:pPr>
              <w:autoSpaceDE w:val="0"/>
              <w:autoSpaceDN w:val="0"/>
              <w:adjustRightInd w:val="0"/>
              <w:snapToGrid w:val="0"/>
              <w:jc w:val="center"/>
              <w:rPr>
                <w:rFonts w:ascii="Times New Roman"/>
                <w:sz w:val="21"/>
                <w:szCs w:val="21"/>
              </w:rPr>
            </w:pPr>
          </w:p>
        </w:tc>
      </w:tr>
      <w:tr w14:paraId="2747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8E923A2">
            <w:pPr>
              <w:autoSpaceDE w:val="0"/>
              <w:autoSpaceDN w:val="0"/>
              <w:adjustRightInd w:val="0"/>
              <w:snapToGrid w:val="0"/>
              <w:jc w:val="center"/>
              <w:rPr>
                <w:rFonts w:ascii="Times New Roman"/>
                <w:sz w:val="21"/>
                <w:szCs w:val="21"/>
              </w:rPr>
            </w:pPr>
          </w:p>
        </w:tc>
        <w:tc>
          <w:tcPr>
            <w:tcW w:w="697" w:type="pct"/>
            <w:vAlign w:val="center"/>
          </w:tcPr>
          <w:p w14:paraId="20204C5A">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0A402E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C4E74D6">
            <w:pPr>
              <w:autoSpaceDE w:val="0"/>
              <w:autoSpaceDN w:val="0"/>
              <w:adjustRightInd w:val="0"/>
              <w:snapToGrid w:val="0"/>
              <w:jc w:val="center"/>
              <w:rPr>
                <w:rFonts w:ascii="Times New Roman"/>
                <w:sz w:val="21"/>
                <w:szCs w:val="21"/>
              </w:rPr>
            </w:pPr>
          </w:p>
        </w:tc>
        <w:tc>
          <w:tcPr>
            <w:tcW w:w="208" w:type="pct"/>
            <w:vAlign w:val="center"/>
          </w:tcPr>
          <w:p w14:paraId="4187E365">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664A66C9">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7A1DB7AB">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31398FBA">
            <w:pPr>
              <w:autoSpaceDE w:val="0"/>
              <w:autoSpaceDN w:val="0"/>
              <w:adjustRightInd w:val="0"/>
              <w:snapToGrid w:val="0"/>
              <w:jc w:val="center"/>
              <w:rPr>
                <w:rFonts w:ascii="Times New Roman"/>
                <w:sz w:val="21"/>
                <w:szCs w:val="21"/>
              </w:rPr>
            </w:pPr>
            <w:r>
              <w:rPr>
                <w:rFonts w:ascii="Times New Roman"/>
                <w:sz w:val="21"/>
                <w:szCs w:val="21"/>
              </w:rPr>
              <w:t>124.15</w:t>
            </w:r>
          </w:p>
        </w:tc>
        <w:tc>
          <w:tcPr>
            <w:tcW w:w="358" w:type="pct"/>
            <w:vAlign w:val="center"/>
          </w:tcPr>
          <w:p w14:paraId="70BD51BE">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3EA2C3B1">
            <w:pPr>
              <w:autoSpaceDE w:val="0"/>
              <w:autoSpaceDN w:val="0"/>
              <w:adjustRightInd w:val="0"/>
              <w:snapToGrid w:val="0"/>
              <w:jc w:val="center"/>
              <w:rPr>
                <w:rFonts w:ascii="Times New Roman"/>
                <w:sz w:val="21"/>
                <w:szCs w:val="21"/>
              </w:rPr>
            </w:pPr>
          </w:p>
        </w:tc>
        <w:tc>
          <w:tcPr>
            <w:tcW w:w="551" w:type="pct"/>
            <w:vAlign w:val="center"/>
          </w:tcPr>
          <w:p w14:paraId="577A128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BBF166D">
            <w:pPr>
              <w:autoSpaceDE w:val="0"/>
              <w:autoSpaceDN w:val="0"/>
              <w:adjustRightInd w:val="0"/>
              <w:snapToGrid w:val="0"/>
              <w:jc w:val="center"/>
              <w:rPr>
                <w:rFonts w:ascii="Times New Roman"/>
                <w:sz w:val="21"/>
                <w:szCs w:val="21"/>
              </w:rPr>
            </w:pPr>
          </w:p>
        </w:tc>
        <w:tc>
          <w:tcPr>
            <w:tcW w:w="287" w:type="pct"/>
            <w:vMerge w:val="continue"/>
            <w:vAlign w:val="center"/>
          </w:tcPr>
          <w:p w14:paraId="2A58F809">
            <w:pPr>
              <w:autoSpaceDE w:val="0"/>
              <w:autoSpaceDN w:val="0"/>
              <w:adjustRightInd w:val="0"/>
              <w:snapToGrid w:val="0"/>
              <w:jc w:val="center"/>
              <w:rPr>
                <w:rFonts w:ascii="Times New Roman"/>
                <w:sz w:val="21"/>
                <w:szCs w:val="21"/>
              </w:rPr>
            </w:pPr>
          </w:p>
        </w:tc>
        <w:tc>
          <w:tcPr>
            <w:tcW w:w="434" w:type="pct"/>
            <w:vMerge w:val="continue"/>
            <w:vAlign w:val="center"/>
          </w:tcPr>
          <w:p w14:paraId="6CF12305">
            <w:pPr>
              <w:autoSpaceDE w:val="0"/>
              <w:autoSpaceDN w:val="0"/>
              <w:adjustRightInd w:val="0"/>
              <w:snapToGrid w:val="0"/>
              <w:jc w:val="center"/>
              <w:rPr>
                <w:rFonts w:ascii="Times New Roman"/>
                <w:sz w:val="21"/>
                <w:szCs w:val="21"/>
              </w:rPr>
            </w:pPr>
          </w:p>
        </w:tc>
      </w:tr>
      <w:tr w14:paraId="15B0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BD48D14">
            <w:pPr>
              <w:autoSpaceDE w:val="0"/>
              <w:autoSpaceDN w:val="0"/>
              <w:adjustRightInd w:val="0"/>
              <w:snapToGrid w:val="0"/>
              <w:jc w:val="center"/>
              <w:rPr>
                <w:rFonts w:ascii="Times New Roman"/>
                <w:sz w:val="21"/>
                <w:szCs w:val="21"/>
              </w:rPr>
            </w:pPr>
          </w:p>
        </w:tc>
        <w:tc>
          <w:tcPr>
            <w:tcW w:w="697" w:type="pct"/>
            <w:vAlign w:val="center"/>
          </w:tcPr>
          <w:p w14:paraId="68D89E60">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06AE1C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DBFBDBD">
            <w:pPr>
              <w:autoSpaceDE w:val="0"/>
              <w:autoSpaceDN w:val="0"/>
              <w:adjustRightInd w:val="0"/>
              <w:snapToGrid w:val="0"/>
              <w:jc w:val="center"/>
              <w:rPr>
                <w:rFonts w:ascii="Times New Roman"/>
                <w:sz w:val="21"/>
                <w:szCs w:val="21"/>
              </w:rPr>
            </w:pPr>
          </w:p>
        </w:tc>
        <w:tc>
          <w:tcPr>
            <w:tcW w:w="208" w:type="pct"/>
            <w:vAlign w:val="center"/>
          </w:tcPr>
          <w:p w14:paraId="632A3B3F">
            <w:pPr>
              <w:autoSpaceDE w:val="0"/>
              <w:autoSpaceDN w:val="0"/>
              <w:adjustRightInd w:val="0"/>
              <w:snapToGrid w:val="0"/>
              <w:jc w:val="center"/>
              <w:rPr>
                <w:rFonts w:ascii="Times New Roman"/>
                <w:sz w:val="21"/>
                <w:szCs w:val="21"/>
              </w:rPr>
            </w:pPr>
            <w:r>
              <w:rPr>
                <w:rFonts w:ascii="Times New Roman"/>
                <w:sz w:val="21"/>
                <w:szCs w:val="21"/>
              </w:rPr>
              <w:t>340</w:t>
            </w:r>
          </w:p>
        </w:tc>
        <w:tc>
          <w:tcPr>
            <w:tcW w:w="201" w:type="pct"/>
            <w:vAlign w:val="center"/>
          </w:tcPr>
          <w:p w14:paraId="004E0E38">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123670F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1D159E6">
            <w:pPr>
              <w:autoSpaceDE w:val="0"/>
              <w:autoSpaceDN w:val="0"/>
              <w:adjustRightInd w:val="0"/>
              <w:snapToGrid w:val="0"/>
              <w:jc w:val="center"/>
              <w:rPr>
                <w:rFonts w:ascii="Times New Roman"/>
                <w:sz w:val="21"/>
                <w:szCs w:val="21"/>
              </w:rPr>
            </w:pPr>
            <w:r>
              <w:rPr>
                <w:rFonts w:ascii="Times New Roman"/>
                <w:sz w:val="21"/>
                <w:szCs w:val="21"/>
              </w:rPr>
              <w:t>124.15</w:t>
            </w:r>
          </w:p>
        </w:tc>
        <w:tc>
          <w:tcPr>
            <w:tcW w:w="358" w:type="pct"/>
            <w:vAlign w:val="center"/>
          </w:tcPr>
          <w:p w14:paraId="36C06748">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57581D19">
            <w:pPr>
              <w:autoSpaceDE w:val="0"/>
              <w:autoSpaceDN w:val="0"/>
              <w:adjustRightInd w:val="0"/>
              <w:snapToGrid w:val="0"/>
              <w:jc w:val="center"/>
              <w:rPr>
                <w:rFonts w:ascii="Times New Roman"/>
                <w:sz w:val="21"/>
                <w:szCs w:val="21"/>
              </w:rPr>
            </w:pPr>
          </w:p>
        </w:tc>
        <w:tc>
          <w:tcPr>
            <w:tcW w:w="551" w:type="pct"/>
            <w:vAlign w:val="center"/>
          </w:tcPr>
          <w:p w14:paraId="2F0B2B8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5226493">
            <w:pPr>
              <w:autoSpaceDE w:val="0"/>
              <w:autoSpaceDN w:val="0"/>
              <w:adjustRightInd w:val="0"/>
              <w:snapToGrid w:val="0"/>
              <w:jc w:val="center"/>
              <w:rPr>
                <w:rFonts w:ascii="Times New Roman"/>
                <w:sz w:val="21"/>
                <w:szCs w:val="21"/>
              </w:rPr>
            </w:pPr>
          </w:p>
        </w:tc>
        <w:tc>
          <w:tcPr>
            <w:tcW w:w="287" w:type="pct"/>
            <w:vMerge w:val="continue"/>
            <w:vAlign w:val="center"/>
          </w:tcPr>
          <w:p w14:paraId="31DE6F4D">
            <w:pPr>
              <w:autoSpaceDE w:val="0"/>
              <w:autoSpaceDN w:val="0"/>
              <w:adjustRightInd w:val="0"/>
              <w:snapToGrid w:val="0"/>
              <w:jc w:val="center"/>
              <w:rPr>
                <w:rFonts w:ascii="Times New Roman"/>
                <w:sz w:val="21"/>
                <w:szCs w:val="21"/>
              </w:rPr>
            </w:pPr>
          </w:p>
        </w:tc>
        <w:tc>
          <w:tcPr>
            <w:tcW w:w="434" w:type="pct"/>
            <w:vMerge w:val="continue"/>
            <w:vAlign w:val="center"/>
          </w:tcPr>
          <w:p w14:paraId="3179BE70">
            <w:pPr>
              <w:autoSpaceDE w:val="0"/>
              <w:autoSpaceDN w:val="0"/>
              <w:adjustRightInd w:val="0"/>
              <w:snapToGrid w:val="0"/>
              <w:jc w:val="center"/>
              <w:rPr>
                <w:rFonts w:ascii="Times New Roman"/>
                <w:sz w:val="21"/>
                <w:szCs w:val="21"/>
              </w:rPr>
            </w:pPr>
          </w:p>
        </w:tc>
      </w:tr>
      <w:tr w14:paraId="20B6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5B15208">
            <w:pPr>
              <w:autoSpaceDE w:val="0"/>
              <w:autoSpaceDN w:val="0"/>
              <w:adjustRightInd w:val="0"/>
              <w:snapToGrid w:val="0"/>
              <w:jc w:val="center"/>
              <w:rPr>
                <w:rFonts w:ascii="Times New Roman"/>
                <w:sz w:val="21"/>
                <w:szCs w:val="21"/>
              </w:rPr>
            </w:pPr>
          </w:p>
        </w:tc>
        <w:tc>
          <w:tcPr>
            <w:tcW w:w="697" w:type="pct"/>
            <w:vAlign w:val="center"/>
          </w:tcPr>
          <w:p w14:paraId="28F340A4">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F0280B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37F9DC5">
            <w:pPr>
              <w:autoSpaceDE w:val="0"/>
              <w:autoSpaceDN w:val="0"/>
              <w:adjustRightInd w:val="0"/>
              <w:snapToGrid w:val="0"/>
              <w:jc w:val="center"/>
              <w:rPr>
                <w:rFonts w:ascii="Times New Roman"/>
                <w:sz w:val="21"/>
                <w:szCs w:val="21"/>
              </w:rPr>
            </w:pPr>
          </w:p>
        </w:tc>
        <w:tc>
          <w:tcPr>
            <w:tcW w:w="208" w:type="pct"/>
            <w:vAlign w:val="center"/>
          </w:tcPr>
          <w:p w14:paraId="57671FEE">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619E400B">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6010CFE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F9CC54E">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2A3931CE">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4C8281F0">
            <w:pPr>
              <w:autoSpaceDE w:val="0"/>
              <w:autoSpaceDN w:val="0"/>
              <w:adjustRightInd w:val="0"/>
              <w:snapToGrid w:val="0"/>
              <w:jc w:val="center"/>
              <w:rPr>
                <w:rFonts w:ascii="Times New Roman"/>
                <w:sz w:val="21"/>
                <w:szCs w:val="21"/>
              </w:rPr>
            </w:pPr>
          </w:p>
        </w:tc>
        <w:tc>
          <w:tcPr>
            <w:tcW w:w="551" w:type="pct"/>
            <w:vAlign w:val="center"/>
          </w:tcPr>
          <w:p w14:paraId="02146F5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70D63A2">
            <w:pPr>
              <w:autoSpaceDE w:val="0"/>
              <w:autoSpaceDN w:val="0"/>
              <w:adjustRightInd w:val="0"/>
              <w:snapToGrid w:val="0"/>
              <w:jc w:val="center"/>
              <w:rPr>
                <w:rFonts w:ascii="Times New Roman"/>
                <w:sz w:val="21"/>
                <w:szCs w:val="21"/>
              </w:rPr>
            </w:pPr>
          </w:p>
        </w:tc>
        <w:tc>
          <w:tcPr>
            <w:tcW w:w="287" w:type="pct"/>
            <w:vMerge w:val="continue"/>
            <w:vAlign w:val="center"/>
          </w:tcPr>
          <w:p w14:paraId="2D55F599">
            <w:pPr>
              <w:autoSpaceDE w:val="0"/>
              <w:autoSpaceDN w:val="0"/>
              <w:adjustRightInd w:val="0"/>
              <w:snapToGrid w:val="0"/>
              <w:jc w:val="center"/>
              <w:rPr>
                <w:rFonts w:ascii="Times New Roman"/>
                <w:sz w:val="21"/>
                <w:szCs w:val="21"/>
              </w:rPr>
            </w:pPr>
          </w:p>
        </w:tc>
        <w:tc>
          <w:tcPr>
            <w:tcW w:w="434" w:type="pct"/>
            <w:vMerge w:val="continue"/>
            <w:vAlign w:val="center"/>
          </w:tcPr>
          <w:p w14:paraId="195E72C5">
            <w:pPr>
              <w:autoSpaceDE w:val="0"/>
              <w:autoSpaceDN w:val="0"/>
              <w:adjustRightInd w:val="0"/>
              <w:snapToGrid w:val="0"/>
              <w:jc w:val="center"/>
              <w:rPr>
                <w:rFonts w:ascii="Times New Roman"/>
                <w:sz w:val="21"/>
                <w:szCs w:val="21"/>
              </w:rPr>
            </w:pPr>
          </w:p>
        </w:tc>
      </w:tr>
      <w:tr w14:paraId="697A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C5B28B8">
            <w:pPr>
              <w:autoSpaceDE w:val="0"/>
              <w:autoSpaceDN w:val="0"/>
              <w:adjustRightInd w:val="0"/>
              <w:snapToGrid w:val="0"/>
              <w:jc w:val="center"/>
              <w:rPr>
                <w:rFonts w:ascii="Times New Roman"/>
                <w:sz w:val="21"/>
                <w:szCs w:val="21"/>
              </w:rPr>
            </w:pPr>
          </w:p>
        </w:tc>
        <w:tc>
          <w:tcPr>
            <w:tcW w:w="697" w:type="pct"/>
            <w:vAlign w:val="center"/>
          </w:tcPr>
          <w:p w14:paraId="50A4366D">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2CB1F0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14C965D">
            <w:pPr>
              <w:autoSpaceDE w:val="0"/>
              <w:autoSpaceDN w:val="0"/>
              <w:adjustRightInd w:val="0"/>
              <w:snapToGrid w:val="0"/>
              <w:jc w:val="center"/>
              <w:rPr>
                <w:rFonts w:ascii="Times New Roman"/>
                <w:sz w:val="21"/>
                <w:szCs w:val="21"/>
              </w:rPr>
            </w:pPr>
          </w:p>
        </w:tc>
        <w:tc>
          <w:tcPr>
            <w:tcW w:w="208" w:type="pct"/>
            <w:vAlign w:val="center"/>
          </w:tcPr>
          <w:p w14:paraId="3FCD59C3">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78353CFE">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112D5DE9">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543C8C3">
            <w:pPr>
              <w:autoSpaceDE w:val="0"/>
              <w:autoSpaceDN w:val="0"/>
              <w:adjustRightInd w:val="0"/>
              <w:snapToGrid w:val="0"/>
              <w:jc w:val="center"/>
              <w:rPr>
                <w:rFonts w:ascii="Times New Roman"/>
                <w:sz w:val="21"/>
                <w:szCs w:val="21"/>
              </w:rPr>
            </w:pPr>
            <w:r>
              <w:rPr>
                <w:rFonts w:ascii="Times New Roman"/>
                <w:sz w:val="21"/>
                <w:szCs w:val="21"/>
              </w:rPr>
              <w:t>133.52</w:t>
            </w:r>
          </w:p>
        </w:tc>
        <w:tc>
          <w:tcPr>
            <w:tcW w:w="358" w:type="pct"/>
            <w:vAlign w:val="center"/>
          </w:tcPr>
          <w:p w14:paraId="6ACDFE3E">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BD0B5F8">
            <w:pPr>
              <w:autoSpaceDE w:val="0"/>
              <w:autoSpaceDN w:val="0"/>
              <w:adjustRightInd w:val="0"/>
              <w:snapToGrid w:val="0"/>
              <w:jc w:val="center"/>
              <w:rPr>
                <w:rFonts w:ascii="Times New Roman"/>
                <w:sz w:val="21"/>
                <w:szCs w:val="21"/>
              </w:rPr>
            </w:pPr>
          </w:p>
        </w:tc>
        <w:tc>
          <w:tcPr>
            <w:tcW w:w="551" w:type="pct"/>
            <w:vAlign w:val="center"/>
          </w:tcPr>
          <w:p w14:paraId="22955EE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36793CF">
            <w:pPr>
              <w:autoSpaceDE w:val="0"/>
              <w:autoSpaceDN w:val="0"/>
              <w:adjustRightInd w:val="0"/>
              <w:snapToGrid w:val="0"/>
              <w:jc w:val="center"/>
              <w:rPr>
                <w:rFonts w:ascii="Times New Roman"/>
                <w:sz w:val="21"/>
                <w:szCs w:val="21"/>
              </w:rPr>
            </w:pPr>
          </w:p>
        </w:tc>
        <w:tc>
          <w:tcPr>
            <w:tcW w:w="287" w:type="pct"/>
            <w:vMerge w:val="continue"/>
            <w:vAlign w:val="center"/>
          </w:tcPr>
          <w:p w14:paraId="322D3066">
            <w:pPr>
              <w:autoSpaceDE w:val="0"/>
              <w:autoSpaceDN w:val="0"/>
              <w:adjustRightInd w:val="0"/>
              <w:snapToGrid w:val="0"/>
              <w:jc w:val="center"/>
              <w:rPr>
                <w:rFonts w:ascii="Times New Roman"/>
                <w:sz w:val="21"/>
                <w:szCs w:val="21"/>
              </w:rPr>
            </w:pPr>
          </w:p>
        </w:tc>
        <w:tc>
          <w:tcPr>
            <w:tcW w:w="434" w:type="pct"/>
            <w:vMerge w:val="continue"/>
            <w:vAlign w:val="center"/>
          </w:tcPr>
          <w:p w14:paraId="6C220151">
            <w:pPr>
              <w:autoSpaceDE w:val="0"/>
              <w:autoSpaceDN w:val="0"/>
              <w:adjustRightInd w:val="0"/>
              <w:snapToGrid w:val="0"/>
              <w:jc w:val="center"/>
              <w:rPr>
                <w:rFonts w:ascii="Times New Roman"/>
                <w:sz w:val="21"/>
                <w:szCs w:val="21"/>
              </w:rPr>
            </w:pPr>
          </w:p>
        </w:tc>
      </w:tr>
      <w:tr w14:paraId="6C84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56C1359">
            <w:pPr>
              <w:autoSpaceDE w:val="0"/>
              <w:autoSpaceDN w:val="0"/>
              <w:adjustRightInd w:val="0"/>
              <w:snapToGrid w:val="0"/>
              <w:jc w:val="center"/>
              <w:rPr>
                <w:rFonts w:ascii="Times New Roman"/>
                <w:sz w:val="21"/>
                <w:szCs w:val="21"/>
              </w:rPr>
            </w:pPr>
          </w:p>
        </w:tc>
        <w:tc>
          <w:tcPr>
            <w:tcW w:w="697" w:type="pct"/>
            <w:vAlign w:val="center"/>
          </w:tcPr>
          <w:p w14:paraId="13F60253">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2331355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FBF8A90">
            <w:pPr>
              <w:autoSpaceDE w:val="0"/>
              <w:autoSpaceDN w:val="0"/>
              <w:adjustRightInd w:val="0"/>
              <w:snapToGrid w:val="0"/>
              <w:jc w:val="center"/>
              <w:rPr>
                <w:rFonts w:ascii="Times New Roman"/>
                <w:sz w:val="21"/>
                <w:szCs w:val="21"/>
              </w:rPr>
            </w:pPr>
          </w:p>
        </w:tc>
        <w:tc>
          <w:tcPr>
            <w:tcW w:w="208" w:type="pct"/>
            <w:vAlign w:val="center"/>
          </w:tcPr>
          <w:p w14:paraId="37321232">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148AEACA">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5DD88AAF">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395B3A14">
            <w:pPr>
              <w:autoSpaceDE w:val="0"/>
              <w:autoSpaceDN w:val="0"/>
              <w:adjustRightInd w:val="0"/>
              <w:snapToGrid w:val="0"/>
              <w:jc w:val="center"/>
              <w:rPr>
                <w:rFonts w:ascii="Times New Roman"/>
                <w:sz w:val="21"/>
                <w:szCs w:val="21"/>
              </w:rPr>
            </w:pPr>
            <w:r>
              <w:rPr>
                <w:rFonts w:ascii="Times New Roman"/>
                <w:sz w:val="21"/>
                <w:szCs w:val="21"/>
              </w:rPr>
              <w:t>133.52</w:t>
            </w:r>
          </w:p>
        </w:tc>
        <w:tc>
          <w:tcPr>
            <w:tcW w:w="358" w:type="pct"/>
            <w:vAlign w:val="center"/>
          </w:tcPr>
          <w:p w14:paraId="4C6785A3">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5E1F69A6">
            <w:pPr>
              <w:autoSpaceDE w:val="0"/>
              <w:autoSpaceDN w:val="0"/>
              <w:adjustRightInd w:val="0"/>
              <w:snapToGrid w:val="0"/>
              <w:jc w:val="center"/>
              <w:rPr>
                <w:rFonts w:ascii="Times New Roman"/>
                <w:sz w:val="21"/>
                <w:szCs w:val="21"/>
              </w:rPr>
            </w:pPr>
          </w:p>
        </w:tc>
        <w:tc>
          <w:tcPr>
            <w:tcW w:w="551" w:type="pct"/>
            <w:vAlign w:val="center"/>
          </w:tcPr>
          <w:p w14:paraId="7794616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AEC4678">
            <w:pPr>
              <w:autoSpaceDE w:val="0"/>
              <w:autoSpaceDN w:val="0"/>
              <w:adjustRightInd w:val="0"/>
              <w:snapToGrid w:val="0"/>
              <w:jc w:val="center"/>
              <w:rPr>
                <w:rFonts w:ascii="Times New Roman"/>
                <w:sz w:val="21"/>
                <w:szCs w:val="21"/>
              </w:rPr>
            </w:pPr>
          </w:p>
        </w:tc>
        <w:tc>
          <w:tcPr>
            <w:tcW w:w="287" w:type="pct"/>
            <w:vMerge w:val="continue"/>
            <w:vAlign w:val="center"/>
          </w:tcPr>
          <w:p w14:paraId="7B242D24">
            <w:pPr>
              <w:autoSpaceDE w:val="0"/>
              <w:autoSpaceDN w:val="0"/>
              <w:adjustRightInd w:val="0"/>
              <w:snapToGrid w:val="0"/>
              <w:jc w:val="center"/>
              <w:rPr>
                <w:rFonts w:ascii="Times New Roman"/>
                <w:sz w:val="21"/>
                <w:szCs w:val="21"/>
              </w:rPr>
            </w:pPr>
          </w:p>
        </w:tc>
        <w:tc>
          <w:tcPr>
            <w:tcW w:w="434" w:type="pct"/>
            <w:vMerge w:val="continue"/>
            <w:vAlign w:val="center"/>
          </w:tcPr>
          <w:p w14:paraId="049B438A">
            <w:pPr>
              <w:autoSpaceDE w:val="0"/>
              <w:autoSpaceDN w:val="0"/>
              <w:adjustRightInd w:val="0"/>
              <w:snapToGrid w:val="0"/>
              <w:jc w:val="center"/>
              <w:rPr>
                <w:rFonts w:ascii="Times New Roman"/>
                <w:sz w:val="21"/>
                <w:szCs w:val="21"/>
              </w:rPr>
            </w:pPr>
          </w:p>
        </w:tc>
      </w:tr>
      <w:tr w14:paraId="7534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700065D">
            <w:pPr>
              <w:autoSpaceDE w:val="0"/>
              <w:autoSpaceDN w:val="0"/>
              <w:adjustRightInd w:val="0"/>
              <w:snapToGrid w:val="0"/>
              <w:jc w:val="center"/>
              <w:rPr>
                <w:rFonts w:ascii="Times New Roman"/>
                <w:sz w:val="21"/>
                <w:szCs w:val="21"/>
              </w:rPr>
            </w:pPr>
          </w:p>
        </w:tc>
        <w:tc>
          <w:tcPr>
            <w:tcW w:w="697" w:type="pct"/>
            <w:vAlign w:val="center"/>
          </w:tcPr>
          <w:p w14:paraId="3537B174">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99D8FD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2D89D8B">
            <w:pPr>
              <w:autoSpaceDE w:val="0"/>
              <w:autoSpaceDN w:val="0"/>
              <w:adjustRightInd w:val="0"/>
              <w:snapToGrid w:val="0"/>
              <w:jc w:val="center"/>
              <w:rPr>
                <w:rFonts w:ascii="Times New Roman"/>
                <w:sz w:val="21"/>
                <w:szCs w:val="21"/>
              </w:rPr>
            </w:pPr>
          </w:p>
        </w:tc>
        <w:tc>
          <w:tcPr>
            <w:tcW w:w="208" w:type="pct"/>
            <w:vAlign w:val="center"/>
          </w:tcPr>
          <w:p w14:paraId="55673AA8">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3D1C3412">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22496FC3">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E872919">
            <w:pPr>
              <w:autoSpaceDE w:val="0"/>
              <w:autoSpaceDN w:val="0"/>
              <w:adjustRightInd w:val="0"/>
              <w:snapToGrid w:val="0"/>
              <w:jc w:val="center"/>
              <w:rPr>
                <w:rFonts w:ascii="Times New Roman"/>
                <w:sz w:val="21"/>
                <w:szCs w:val="21"/>
              </w:rPr>
            </w:pPr>
            <w:r>
              <w:rPr>
                <w:rFonts w:ascii="Times New Roman"/>
                <w:sz w:val="21"/>
                <w:szCs w:val="21"/>
              </w:rPr>
              <w:t>128.52</w:t>
            </w:r>
          </w:p>
        </w:tc>
        <w:tc>
          <w:tcPr>
            <w:tcW w:w="358" w:type="pct"/>
            <w:vAlign w:val="center"/>
          </w:tcPr>
          <w:p w14:paraId="10F7A336">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7B2A03BB">
            <w:pPr>
              <w:autoSpaceDE w:val="0"/>
              <w:autoSpaceDN w:val="0"/>
              <w:adjustRightInd w:val="0"/>
              <w:snapToGrid w:val="0"/>
              <w:jc w:val="center"/>
              <w:rPr>
                <w:rFonts w:ascii="Times New Roman"/>
                <w:sz w:val="21"/>
                <w:szCs w:val="21"/>
              </w:rPr>
            </w:pPr>
          </w:p>
        </w:tc>
        <w:tc>
          <w:tcPr>
            <w:tcW w:w="551" w:type="pct"/>
            <w:vAlign w:val="center"/>
          </w:tcPr>
          <w:p w14:paraId="188B61B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62237B0">
            <w:pPr>
              <w:autoSpaceDE w:val="0"/>
              <w:autoSpaceDN w:val="0"/>
              <w:adjustRightInd w:val="0"/>
              <w:snapToGrid w:val="0"/>
              <w:jc w:val="center"/>
              <w:rPr>
                <w:rFonts w:ascii="Times New Roman"/>
                <w:sz w:val="21"/>
                <w:szCs w:val="21"/>
              </w:rPr>
            </w:pPr>
          </w:p>
        </w:tc>
        <w:tc>
          <w:tcPr>
            <w:tcW w:w="287" w:type="pct"/>
            <w:vMerge w:val="continue"/>
            <w:vAlign w:val="center"/>
          </w:tcPr>
          <w:p w14:paraId="18E3543C">
            <w:pPr>
              <w:autoSpaceDE w:val="0"/>
              <w:autoSpaceDN w:val="0"/>
              <w:adjustRightInd w:val="0"/>
              <w:snapToGrid w:val="0"/>
              <w:jc w:val="center"/>
              <w:rPr>
                <w:rFonts w:ascii="Times New Roman"/>
                <w:sz w:val="21"/>
                <w:szCs w:val="21"/>
              </w:rPr>
            </w:pPr>
          </w:p>
        </w:tc>
        <w:tc>
          <w:tcPr>
            <w:tcW w:w="434" w:type="pct"/>
            <w:vMerge w:val="continue"/>
            <w:vAlign w:val="center"/>
          </w:tcPr>
          <w:p w14:paraId="444A16B3">
            <w:pPr>
              <w:autoSpaceDE w:val="0"/>
              <w:autoSpaceDN w:val="0"/>
              <w:adjustRightInd w:val="0"/>
              <w:snapToGrid w:val="0"/>
              <w:jc w:val="center"/>
              <w:rPr>
                <w:rFonts w:ascii="Times New Roman"/>
                <w:sz w:val="21"/>
                <w:szCs w:val="21"/>
              </w:rPr>
            </w:pPr>
          </w:p>
        </w:tc>
      </w:tr>
      <w:tr w14:paraId="33AF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9E220B1">
            <w:pPr>
              <w:autoSpaceDE w:val="0"/>
              <w:autoSpaceDN w:val="0"/>
              <w:adjustRightInd w:val="0"/>
              <w:snapToGrid w:val="0"/>
              <w:jc w:val="center"/>
              <w:rPr>
                <w:rFonts w:ascii="Times New Roman"/>
                <w:sz w:val="21"/>
                <w:szCs w:val="21"/>
              </w:rPr>
            </w:pPr>
          </w:p>
        </w:tc>
        <w:tc>
          <w:tcPr>
            <w:tcW w:w="697" w:type="pct"/>
            <w:vAlign w:val="center"/>
          </w:tcPr>
          <w:p w14:paraId="42432C11">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4303B34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7832688">
            <w:pPr>
              <w:autoSpaceDE w:val="0"/>
              <w:autoSpaceDN w:val="0"/>
              <w:adjustRightInd w:val="0"/>
              <w:snapToGrid w:val="0"/>
              <w:jc w:val="center"/>
              <w:rPr>
                <w:rFonts w:ascii="Times New Roman"/>
                <w:sz w:val="21"/>
                <w:szCs w:val="21"/>
              </w:rPr>
            </w:pPr>
          </w:p>
        </w:tc>
        <w:tc>
          <w:tcPr>
            <w:tcW w:w="208" w:type="pct"/>
            <w:vAlign w:val="center"/>
          </w:tcPr>
          <w:p w14:paraId="19FB3547">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73DD0A0D">
            <w:pPr>
              <w:autoSpaceDE w:val="0"/>
              <w:autoSpaceDN w:val="0"/>
              <w:adjustRightInd w:val="0"/>
              <w:snapToGrid w:val="0"/>
              <w:jc w:val="center"/>
              <w:rPr>
                <w:rFonts w:ascii="Times New Roman"/>
                <w:sz w:val="21"/>
                <w:szCs w:val="21"/>
              </w:rPr>
            </w:pPr>
            <w:r>
              <w:rPr>
                <w:rFonts w:ascii="Times New Roman"/>
                <w:sz w:val="21"/>
                <w:szCs w:val="21"/>
              </w:rPr>
              <w:t>160</w:t>
            </w:r>
          </w:p>
        </w:tc>
        <w:tc>
          <w:tcPr>
            <w:tcW w:w="240" w:type="pct"/>
            <w:vAlign w:val="center"/>
          </w:tcPr>
          <w:p w14:paraId="4B6498D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0C1E060">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2ABEED23">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1863DCEF">
            <w:pPr>
              <w:autoSpaceDE w:val="0"/>
              <w:autoSpaceDN w:val="0"/>
              <w:adjustRightInd w:val="0"/>
              <w:snapToGrid w:val="0"/>
              <w:jc w:val="center"/>
              <w:rPr>
                <w:rFonts w:ascii="Times New Roman"/>
                <w:sz w:val="21"/>
                <w:szCs w:val="21"/>
              </w:rPr>
            </w:pPr>
          </w:p>
        </w:tc>
        <w:tc>
          <w:tcPr>
            <w:tcW w:w="551" w:type="pct"/>
            <w:vAlign w:val="center"/>
          </w:tcPr>
          <w:p w14:paraId="0279707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FF3CD46">
            <w:pPr>
              <w:autoSpaceDE w:val="0"/>
              <w:autoSpaceDN w:val="0"/>
              <w:adjustRightInd w:val="0"/>
              <w:snapToGrid w:val="0"/>
              <w:jc w:val="center"/>
              <w:rPr>
                <w:rFonts w:ascii="Times New Roman"/>
                <w:sz w:val="21"/>
                <w:szCs w:val="21"/>
              </w:rPr>
            </w:pPr>
          </w:p>
        </w:tc>
        <w:tc>
          <w:tcPr>
            <w:tcW w:w="287" w:type="pct"/>
            <w:vMerge w:val="continue"/>
            <w:vAlign w:val="center"/>
          </w:tcPr>
          <w:p w14:paraId="7535231C">
            <w:pPr>
              <w:autoSpaceDE w:val="0"/>
              <w:autoSpaceDN w:val="0"/>
              <w:adjustRightInd w:val="0"/>
              <w:snapToGrid w:val="0"/>
              <w:jc w:val="center"/>
              <w:rPr>
                <w:rFonts w:ascii="Times New Roman"/>
                <w:sz w:val="21"/>
                <w:szCs w:val="21"/>
              </w:rPr>
            </w:pPr>
          </w:p>
        </w:tc>
        <w:tc>
          <w:tcPr>
            <w:tcW w:w="434" w:type="pct"/>
            <w:vMerge w:val="continue"/>
            <w:vAlign w:val="center"/>
          </w:tcPr>
          <w:p w14:paraId="2095D5A6">
            <w:pPr>
              <w:autoSpaceDE w:val="0"/>
              <w:autoSpaceDN w:val="0"/>
              <w:adjustRightInd w:val="0"/>
              <w:snapToGrid w:val="0"/>
              <w:jc w:val="center"/>
              <w:rPr>
                <w:rFonts w:ascii="Times New Roman"/>
                <w:sz w:val="21"/>
                <w:szCs w:val="21"/>
              </w:rPr>
            </w:pPr>
          </w:p>
        </w:tc>
      </w:tr>
      <w:tr w14:paraId="1AC1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4E3E594">
            <w:pPr>
              <w:autoSpaceDE w:val="0"/>
              <w:autoSpaceDN w:val="0"/>
              <w:adjustRightInd w:val="0"/>
              <w:snapToGrid w:val="0"/>
              <w:jc w:val="center"/>
              <w:rPr>
                <w:rFonts w:ascii="Times New Roman"/>
                <w:sz w:val="21"/>
                <w:szCs w:val="21"/>
              </w:rPr>
            </w:pPr>
          </w:p>
        </w:tc>
        <w:tc>
          <w:tcPr>
            <w:tcW w:w="697" w:type="pct"/>
            <w:vAlign w:val="center"/>
          </w:tcPr>
          <w:p w14:paraId="5DC721D2">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D553E1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699F610">
            <w:pPr>
              <w:autoSpaceDE w:val="0"/>
              <w:autoSpaceDN w:val="0"/>
              <w:adjustRightInd w:val="0"/>
              <w:snapToGrid w:val="0"/>
              <w:jc w:val="center"/>
              <w:rPr>
                <w:rFonts w:ascii="Times New Roman"/>
                <w:sz w:val="21"/>
                <w:szCs w:val="21"/>
              </w:rPr>
            </w:pPr>
          </w:p>
        </w:tc>
        <w:tc>
          <w:tcPr>
            <w:tcW w:w="208" w:type="pct"/>
            <w:vAlign w:val="center"/>
          </w:tcPr>
          <w:p w14:paraId="0C2F508B">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370D81BC">
            <w:pPr>
              <w:autoSpaceDE w:val="0"/>
              <w:autoSpaceDN w:val="0"/>
              <w:adjustRightInd w:val="0"/>
              <w:snapToGrid w:val="0"/>
              <w:jc w:val="center"/>
              <w:rPr>
                <w:rFonts w:ascii="Times New Roman"/>
                <w:sz w:val="21"/>
                <w:szCs w:val="21"/>
              </w:rPr>
            </w:pPr>
            <w:r>
              <w:rPr>
                <w:rFonts w:ascii="Times New Roman"/>
                <w:sz w:val="21"/>
                <w:szCs w:val="21"/>
              </w:rPr>
              <w:t>160</w:t>
            </w:r>
          </w:p>
        </w:tc>
        <w:tc>
          <w:tcPr>
            <w:tcW w:w="240" w:type="pct"/>
            <w:vAlign w:val="center"/>
          </w:tcPr>
          <w:p w14:paraId="3D37AFD7">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34166CA1">
            <w:pPr>
              <w:autoSpaceDE w:val="0"/>
              <w:autoSpaceDN w:val="0"/>
              <w:adjustRightInd w:val="0"/>
              <w:snapToGrid w:val="0"/>
              <w:jc w:val="center"/>
              <w:rPr>
                <w:rFonts w:ascii="Times New Roman"/>
                <w:sz w:val="21"/>
                <w:szCs w:val="21"/>
              </w:rPr>
            </w:pPr>
            <w:r>
              <w:rPr>
                <w:rFonts w:ascii="Times New Roman"/>
                <w:sz w:val="21"/>
                <w:szCs w:val="21"/>
              </w:rPr>
              <w:t>128.52</w:t>
            </w:r>
          </w:p>
        </w:tc>
        <w:tc>
          <w:tcPr>
            <w:tcW w:w="358" w:type="pct"/>
            <w:vAlign w:val="center"/>
          </w:tcPr>
          <w:p w14:paraId="3136E147">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7B5E4182">
            <w:pPr>
              <w:autoSpaceDE w:val="0"/>
              <w:autoSpaceDN w:val="0"/>
              <w:adjustRightInd w:val="0"/>
              <w:snapToGrid w:val="0"/>
              <w:jc w:val="center"/>
              <w:rPr>
                <w:rFonts w:ascii="Times New Roman"/>
                <w:sz w:val="21"/>
                <w:szCs w:val="21"/>
              </w:rPr>
            </w:pPr>
          </w:p>
        </w:tc>
        <w:tc>
          <w:tcPr>
            <w:tcW w:w="551" w:type="pct"/>
            <w:vAlign w:val="center"/>
          </w:tcPr>
          <w:p w14:paraId="2831AEB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14FABAD">
            <w:pPr>
              <w:autoSpaceDE w:val="0"/>
              <w:autoSpaceDN w:val="0"/>
              <w:adjustRightInd w:val="0"/>
              <w:snapToGrid w:val="0"/>
              <w:jc w:val="center"/>
              <w:rPr>
                <w:rFonts w:ascii="Times New Roman"/>
                <w:sz w:val="21"/>
                <w:szCs w:val="21"/>
              </w:rPr>
            </w:pPr>
          </w:p>
        </w:tc>
        <w:tc>
          <w:tcPr>
            <w:tcW w:w="287" w:type="pct"/>
            <w:vMerge w:val="continue"/>
            <w:vAlign w:val="center"/>
          </w:tcPr>
          <w:p w14:paraId="607026FA">
            <w:pPr>
              <w:autoSpaceDE w:val="0"/>
              <w:autoSpaceDN w:val="0"/>
              <w:adjustRightInd w:val="0"/>
              <w:snapToGrid w:val="0"/>
              <w:jc w:val="center"/>
              <w:rPr>
                <w:rFonts w:ascii="Times New Roman"/>
                <w:sz w:val="21"/>
                <w:szCs w:val="21"/>
              </w:rPr>
            </w:pPr>
          </w:p>
        </w:tc>
        <w:tc>
          <w:tcPr>
            <w:tcW w:w="434" w:type="pct"/>
            <w:vMerge w:val="continue"/>
            <w:vAlign w:val="center"/>
          </w:tcPr>
          <w:p w14:paraId="7FBC8E26">
            <w:pPr>
              <w:autoSpaceDE w:val="0"/>
              <w:autoSpaceDN w:val="0"/>
              <w:adjustRightInd w:val="0"/>
              <w:snapToGrid w:val="0"/>
              <w:jc w:val="center"/>
              <w:rPr>
                <w:rFonts w:ascii="Times New Roman"/>
                <w:sz w:val="21"/>
                <w:szCs w:val="21"/>
              </w:rPr>
            </w:pPr>
          </w:p>
        </w:tc>
      </w:tr>
      <w:tr w14:paraId="1283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A5B718A">
            <w:pPr>
              <w:autoSpaceDE w:val="0"/>
              <w:autoSpaceDN w:val="0"/>
              <w:adjustRightInd w:val="0"/>
              <w:snapToGrid w:val="0"/>
              <w:jc w:val="center"/>
              <w:rPr>
                <w:rFonts w:ascii="Times New Roman"/>
                <w:sz w:val="21"/>
                <w:szCs w:val="21"/>
              </w:rPr>
            </w:pPr>
          </w:p>
        </w:tc>
        <w:tc>
          <w:tcPr>
            <w:tcW w:w="697" w:type="pct"/>
            <w:vAlign w:val="center"/>
          </w:tcPr>
          <w:p w14:paraId="2F4524F2">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F63F5B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5E766EF">
            <w:pPr>
              <w:autoSpaceDE w:val="0"/>
              <w:autoSpaceDN w:val="0"/>
              <w:adjustRightInd w:val="0"/>
              <w:snapToGrid w:val="0"/>
              <w:jc w:val="center"/>
              <w:rPr>
                <w:rFonts w:ascii="Times New Roman"/>
                <w:sz w:val="21"/>
                <w:szCs w:val="21"/>
              </w:rPr>
            </w:pPr>
          </w:p>
        </w:tc>
        <w:tc>
          <w:tcPr>
            <w:tcW w:w="208" w:type="pct"/>
            <w:vAlign w:val="center"/>
          </w:tcPr>
          <w:p w14:paraId="10399363">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7AD935DD">
            <w:pPr>
              <w:autoSpaceDE w:val="0"/>
              <w:autoSpaceDN w:val="0"/>
              <w:adjustRightInd w:val="0"/>
              <w:snapToGrid w:val="0"/>
              <w:jc w:val="center"/>
              <w:rPr>
                <w:rFonts w:ascii="Times New Roman"/>
                <w:sz w:val="21"/>
                <w:szCs w:val="21"/>
              </w:rPr>
            </w:pPr>
            <w:r>
              <w:rPr>
                <w:rFonts w:ascii="Times New Roman"/>
                <w:sz w:val="21"/>
                <w:szCs w:val="21"/>
              </w:rPr>
              <w:t>160</w:t>
            </w:r>
          </w:p>
        </w:tc>
        <w:tc>
          <w:tcPr>
            <w:tcW w:w="240" w:type="pct"/>
            <w:vAlign w:val="center"/>
          </w:tcPr>
          <w:p w14:paraId="6D92976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40FFFF9">
            <w:pPr>
              <w:autoSpaceDE w:val="0"/>
              <w:autoSpaceDN w:val="0"/>
              <w:adjustRightInd w:val="0"/>
              <w:snapToGrid w:val="0"/>
              <w:jc w:val="center"/>
              <w:rPr>
                <w:rFonts w:ascii="Times New Roman"/>
                <w:sz w:val="21"/>
                <w:szCs w:val="21"/>
              </w:rPr>
            </w:pPr>
            <w:r>
              <w:rPr>
                <w:rFonts w:ascii="Times New Roman"/>
                <w:sz w:val="21"/>
                <w:szCs w:val="21"/>
              </w:rPr>
              <w:t>133.52</w:t>
            </w:r>
          </w:p>
        </w:tc>
        <w:tc>
          <w:tcPr>
            <w:tcW w:w="358" w:type="pct"/>
            <w:vAlign w:val="center"/>
          </w:tcPr>
          <w:p w14:paraId="405AE70C">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4480C43E">
            <w:pPr>
              <w:autoSpaceDE w:val="0"/>
              <w:autoSpaceDN w:val="0"/>
              <w:adjustRightInd w:val="0"/>
              <w:snapToGrid w:val="0"/>
              <w:jc w:val="center"/>
              <w:rPr>
                <w:rFonts w:ascii="Times New Roman"/>
                <w:sz w:val="21"/>
                <w:szCs w:val="21"/>
              </w:rPr>
            </w:pPr>
          </w:p>
        </w:tc>
        <w:tc>
          <w:tcPr>
            <w:tcW w:w="551" w:type="pct"/>
            <w:vAlign w:val="center"/>
          </w:tcPr>
          <w:p w14:paraId="5C50C93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D2E03B3">
            <w:pPr>
              <w:autoSpaceDE w:val="0"/>
              <w:autoSpaceDN w:val="0"/>
              <w:adjustRightInd w:val="0"/>
              <w:snapToGrid w:val="0"/>
              <w:jc w:val="center"/>
              <w:rPr>
                <w:rFonts w:ascii="Times New Roman"/>
                <w:sz w:val="21"/>
                <w:szCs w:val="21"/>
              </w:rPr>
            </w:pPr>
          </w:p>
        </w:tc>
        <w:tc>
          <w:tcPr>
            <w:tcW w:w="287" w:type="pct"/>
            <w:vMerge w:val="continue"/>
            <w:vAlign w:val="center"/>
          </w:tcPr>
          <w:p w14:paraId="60E9DAE9">
            <w:pPr>
              <w:autoSpaceDE w:val="0"/>
              <w:autoSpaceDN w:val="0"/>
              <w:adjustRightInd w:val="0"/>
              <w:snapToGrid w:val="0"/>
              <w:jc w:val="center"/>
              <w:rPr>
                <w:rFonts w:ascii="Times New Roman"/>
                <w:sz w:val="21"/>
                <w:szCs w:val="21"/>
              </w:rPr>
            </w:pPr>
          </w:p>
        </w:tc>
        <w:tc>
          <w:tcPr>
            <w:tcW w:w="434" w:type="pct"/>
            <w:vMerge w:val="continue"/>
            <w:vAlign w:val="center"/>
          </w:tcPr>
          <w:p w14:paraId="5E186382">
            <w:pPr>
              <w:autoSpaceDE w:val="0"/>
              <w:autoSpaceDN w:val="0"/>
              <w:adjustRightInd w:val="0"/>
              <w:snapToGrid w:val="0"/>
              <w:jc w:val="center"/>
              <w:rPr>
                <w:rFonts w:ascii="Times New Roman"/>
                <w:sz w:val="21"/>
                <w:szCs w:val="21"/>
              </w:rPr>
            </w:pPr>
          </w:p>
        </w:tc>
      </w:tr>
      <w:tr w14:paraId="77E4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8793139">
            <w:pPr>
              <w:autoSpaceDE w:val="0"/>
              <w:autoSpaceDN w:val="0"/>
              <w:adjustRightInd w:val="0"/>
              <w:snapToGrid w:val="0"/>
              <w:jc w:val="center"/>
              <w:rPr>
                <w:rFonts w:ascii="Times New Roman"/>
                <w:sz w:val="21"/>
                <w:szCs w:val="21"/>
              </w:rPr>
            </w:pPr>
          </w:p>
        </w:tc>
        <w:tc>
          <w:tcPr>
            <w:tcW w:w="697" w:type="pct"/>
            <w:vAlign w:val="center"/>
          </w:tcPr>
          <w:p w14:paraId="3519F26F">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C78B1E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A3BB0C8">
            <w:pPr>
              <w:autoSpaceDE w:val="0"/>
              <w:autoSpaceDN w:val="0"/>
              <w:adjustRightInd w:val="0"/>
              <w:snapToGrid w:val="0"/>
              <w:jc w:val="center"/>
              <w:rPr>
                <w:rFonts w:ascii="Times New Roman"/>
                <w:sz w:val="21"/>
                <w:szCs w:val="21"/>
              </w:rPr>
            </w:pPr>
          </w:p>
        </w:tc>
        <w:tc>
          <w:tcPr>
            <w:tcW w:w="208" w:type="pct"/>
            <w:vAlign w:val="center"/>
          </w:tcPr>
          <w:p w14:paraId="0EE94A14">
            <w:pPr>
              <w:autoSpaceDE w:val="0"/>
              <w:autoSpaceDN w:val="0"/>
              <w:adjustRightInd w:val="0"/>
              <w:snapToGrid w:val="0"/>
              <w:jc w:val="center"/>
              <w:rPr>
                <w:rFonts w:ascii="Times New Roman"/>
                <w:sz w:val="21"/>
                <w:szCs w:val="21"/>
              </w:rPr>
            </w:pPr>
            <w:r>
              <w:rPr>
                <w:rFonts w:ascii="Times New Roman"/>
                <w:sz w:val="21"/>
                <w:szCs w:val="21"/>
              </w:rPr>
              <w:t>340</w:t>
            </w:r>
          </w:p>
        </w:tc>
        <w:tc>
          <w:tcPr>
            <w:tcW w:w="201" w:type="pct"/>
            <w:vAlign w:val="center"/>
          </w:tcPr>
          <w:p w14:paraId="4F50D121">
            <w:pPr>
              <w:autoSpaceDE w:val="0"/>
              <w:autoSpaceDN w:val="0"/>
              <w:adjustRightInd w:val="0"/>
              <w:snapToGrid w:val="0"/>
              <w:jc w:val="center"/>
              <w:rPr>
                <w:rFonts w:ascii="Times New Roman"/>
                <w:sz w:val="21"/>
                <w:szCs w:val="21"/>
              </w:rPr>
            </w:pPr>
            <w:r>
              <w:rPr>
                <w:rFonts w:ascii="Times New Roman"/>
                <w:sz w:val="21"/>
                <w:szCs w:val="21"/>
              </w:rPr>
              <w:t>160</w:t>
            </w:r>
          </w:p>
        </w:tc>
        <w:tc>
          <w:tcPr>
            <w:tcW w:w="240" w:type="pct"/>
            <w:vAlign w:val="center"/>
          </w:tcPr>
          <w:p w14:paraId="219145A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219CA4E">
            <w:pPr>
              <w:autoSpaceDE w:val="0"/>
              <w:autoSpaceDN w:val="0"/>
              <w:adjustRightInd w:val="0"/>
              <w:snapToGrid w:val="0"/>
              <w:jc w:val="center"/>
              <w:rPr>
                <w:rFonts w:ascii="Times New Roman"/>
                <w:sz w:val="21"/>
                <w:szCs w:val="21"/>
              </w:rPr>
            </w:pPr>
            <w:r>
              <w:rPr>
                <w:rFonts w:ascii="Times New Roman"/>
                <w:sz w:val="21"/>
                <w:szCs w:val="21"/>
              </w:rPr>
              <w:t>138.52</w:t>
            </w:r>
          </w:p>
        </w:tc>
        <w:tc>
          <w:tcPr>
            <w:tcW w:w="358" w:type="pct"/>
            <w:vAlign w:val="center"/>
          </w:tcPr>
          <w:p w14:paraId="67137A13">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7398341">
            <w:pPr>
              <w:autoSpaceDE w:val="0"/>
              <w:autoSpaceDN w:val="0"/>
              <w:adjustRightInd w:val="0"/>
              <w:snapToGrid w:val="0"/>
              <w:jc w:val="center"/>
              <w:rPr>
                <w:rFonts w:ascii="Times New Roman"/>
                <w:sz w:val="21"/>
                <w:szCs w:val="21"/>
              </w:rPr>
            </w:pPr>
          </w:p>
        </w:tc>
        <w:tc>
          <w:tcPr>
            <w:tcW w:w="551" w:type="pct"/>
            <w:vAlign w:val="center"/>
          </w:tcPr>
          <w:p w14:paraId="3F48B89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9E7A3F0">
            <w:pPr>
              <w:autoSpaceDE w:val="0"/>
              <w:autoSpaceDN w:val="0"/>
              <w:adjustRightInd w:val="0"/>
              <w:snapToGrid w:val="0"/>
              <w:jc w:val="center"/>
              <w:rPr>
                <w:rFonts w:ascii="Times New Roman"/>
                <w:sz w:val="21"/>
                <w:szCs w:val="21"/>
              </w:rPr>
            </w:pPr>
          </w:p>
        </w:tc>
        <w:tc>
          <w:tcPr>
            <w:tcW w:w="287" w:type="pct"/>
            <w:vMerge w:val="continue"/>
            <w:vAlign w:val="center"/>
          </w:tcPr>
          <w:p w14:paraId="39283827">
            <w:pPr>
              <w:autoSpaceDE w:val="0"/>
              <w:autoSpaceDN w:val="0"/>
              <w:adjustRightInd w:val="0"/>
              <w:snapToGrid w:val="0"/>
              <w:jc w:val="center"/>
              <w:rPr>
                <w:rFonts w:ascii="Times New Roman"/>
                <w:sz w:val="21"/>
                <w:szCs w:val="21"/>
              </w:rPr>
            </w:pPr>
          </w:p>
        </w:tc>
        <w:tc>
          <w:tcPr>
            <w:tcW w:w="434" w:type="pct"/>
            <w:vMerge w:val="continue"/>
            <w:vAlign w:val="center"/>
          </w:tcPr>
          <w:p w14:paraId="6516D48C">
            <w:pPr>
              <w:autoSpaceDE w:val="0"/>
              <w:autoSpaceDN w:val="0"/>
              <w:adjustRightInd w:val="0"/>
              <w:snapToGrid w:val="0"/>
              <w:jc w:val="center"/>
              <w:rPr>
                <w:rFonts w:ascii="Times New Roman"/>
                <w:sz w:val="21"/>
                <w:szCs w:val="21"/>
              </w:rPr>
            </w:pPr>
          </w:p>
        </w:tc>
      </w:tr>
      <w:tr w14:paraId="47B7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08575BA">
            <w:pPr>
              <w:autoSpaceDE w:val="0"/>
              <w:autoSpaceDN w:val="0"/>
              <w:adjustRightInd w:val="0"/>
              <w:snapToGrid w:val="0"/>
              <w:jc w:val="center"/>
              <w:rPr>
                <w:rFonts w:ascii="Times New Roman"/>
                <w:sz w:val="21"/>
                <w:szCs w:val="21"/>
              </w:rPr>
            </w:pPr>
          </w:p>
        </w:tc>
        <w:tc>
          <w:tcPr>
            <w:tcW w:w="697" w:type="pct"/>
            <w:vAlign w:val="center"/>
          </w:tcPr>
          <w:p w14:paraId="24100195">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0ABA74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0FA7A6D">
            <w:pPr>
              <w:autoSpaceDE w:val="0"/>
              <w:autoSpaceDN w:val="0"/>
              <w:adjustRightInd w:val="0"/>
              <w:snapToGrid w:val="0"/>
              <w:jc w:val="center"/>
              <w:rPr>
                <w:rFonts w:ascii="Times New Roman"/>
                <w:sz w:val="21"/>
                <w:szCs w:val="21"/>
              </w:rPr>
            </w:pPr>
          </w:p>
        </w:tc>
        <w:tc>
          <w:tcPr>
            <w:tcW w:w="208" w:type="pct"/>
            <w:vAlign w:val="center"/>
          </w:tcPr>
          <w:p w14:paraId="6EA5FCE5">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34F19E85">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43F25026">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CF1F707">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7D1EC55C">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355E6E40">
            <w:pPr>
              <w:autoSpaceDE w:val="0"/>
              <w:autoSpaceDN w:val="0"/>
              <w:adjustRightInd w:val="0"/>
              <w:snapToGrid w:val="0"/>
              <w:jc w:val="center"/>
              <w:rPr>
                <w:rFonts w:ascii="Times New Roman"/>
                <w:sz w:val="21"/>
                <w:szCs w:val="21"/>
              </w:rPr>
            </w:pPr>
          </w:p>
        </w:tc>
        <w:tc>
          <w:tcPr>
            <w:tcW w:w="551" w:type="pct"/>
            <w:vAlign w:val="center"/>
          </w:tcPr>
          <w:p w14:paraId="429F313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9A22DE7">
            <w:pPr>
              <w:autoSpaceDE w:val="0"/>
              <w:autoSpaceDN w:val="0"/>
              <w:adjustRightInd w:val="0"/>
              <w:snapToGrid w:val="0"/>
              <w:jc w:val="center"/>
              <w:rPr>
                <w:rFonts w:ascii="Times New Roman"/>
                <w:sz w:val="21"/>
                <w:szCs w:val="21"/>
              </w:rPr>
            </w:pPr>
          </w:p>
        </w:tc>
        <w:tc>
          <w:tcPr>
            <w:tcW w:w="287" w:type="pct"/>
            <w:vMerge w:val="continue"/>
            <w:vAlign w:val="center"/>
          </w:tcPr>
          <w:p w14:paraId="42C661E8">
            <w:pPr>
              <w:autoSpaceDE w:val="0"/>
              <w:autoSpaceDN w:val="0"/>
              <w:adjustRightInd w:val="0"/>
              <w:snapToGrid w:val="0"/>
              <w:jc w:val="center"/>
              <w:rPr>
                <w:rFonts w:ascii="Times New Roman"/>
                <w:sz w:val="21"/>
                <w:szCs w:val="21"/>
              </w:rPr>
            </w:pPr>
          </w:p>
        </w:tc>
        <w:tc>
          <w:tcPr>
            <w:tcW w:w="434" w:type="pct"/>
            <w:vMerge w:val="continue"/>
            <w:vAlign w:val="center"/>
          </w:tcPr>
          <w:p w14:paraId="65C1C7B0">
            <w:pPr>
              <w:autoSpaceDE w:val="0"/>
              <w:autoSpaceDN w:val="0"/>
              <w:adjustRightInd w:val="0"/>
              <w:snapToGrid w:val="0"/>
              <w:jc w:val="center"/>
              <w:rPr>
                <w:rFonts w:ascii="Times New Roman"/>
                <w:sz w:val="21"/>
                <w:szCs w:val="21"/>
              </w:rPr>
            </w:pPr>
          </w:p>
        </w:tc>
      </w:tr>
      <w:tr w14:paraId="6C95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FE1C064">
            <w:pPr>
              <w:autoSpaceDE w:val="0"/>
              <w:autoSpaceDN w:val="0"/>
              <w:adjustRightInd w:val="0"/>
              <w:snapToGrid w:val="0"/>
              <w:jc w:val="center"/>
              <w:rPr>
                <w:rFonts w:ascii="Times New Roman"/>
                <w:sz w:val="21"/>
                <w:szCs w:val="21"/>
              </w:rPr>
            </w:pPr>
          </w:p>
        </w:tc>
        <w:tc>
          <w:tcPr>
            <w:tcW w:w="697" w:type="pct"/>
            <w:vAlign w:val="center"/>
          </w:tcPr>
          <w:p w14:paraId="0C89F285">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63B9AC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0229742">
            <w:pPr>
              <w:autoSpaceDE w:val="0"/>
              <w:autoSpaceDN w:val="0"/>
              <w:adjustRightInd w:val="0"/>
              <w:snapToGrid w:val="0"/>
              <w:jc w:val="center"/>
              <w:rPr>
                <w:rFonts w:ascii="Times New Roman"/>
                <w:sz w:val="21"/>
                <w:szCs w:val="21"/>
              </w:rPr>
            </w:pPr>
          </w:p>
        </w:tc>
        <w:tc>
          <w:tcPr>
            <w:tcW w:w="208" w:type="pct"/>
            <w:vAlign w:val="center"/>
          </w:tcPr>
          <w:p w14:paraId="4A421F61">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3388EBA4">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3315B53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9019D96">
            <w:pPr>
              <w:autoSpaceDE w:val="0"/>
              <w:autoSpaceDN w:val="0"/>
              <w:adjustRightInd w:val="0"/>
              <w:snapToGrid w:val="0"/>
              <w:jc w:val="center"/>
              <w:rPr>
                <w:rFonts w:ascii="Times New Roman"/>
                <w:sz w:val="21"/>
                <w:szCs w:val="21"/>
              </w:rPr>
            </w:pPr>
            <w:r>
              <w:rPr>
                <w:rFonts w:ascii="Times New Roman"/>
                <w:sz w:val="21"/>
                <w:szCs w:val="21"/>
              </w:rPr>
              <w:t>128.52</w:t>
            </w:r>
          </w:p>
        </w:tc>
        <w:tc>
          <w:tcPr>
            <w:tcW w:w="358" w:type="pct"/>
            <w:vAlign w:val="center"/>
          </w:tcPr>
          <w:p w14:paraId="0213CB86">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234E5E3A">
            <w:pPr>
              <w:autoSpaceDE w:val="0"/>
              <w:autoSpaceDN w:val="0"/>
              <w:adjustRightInd w:val="0"/>
              <w:snapToGrid w:val="0"/>
              <w:jc w:val="center"/>
              <w:rPr>
                <w:rFonts w:ascii="Times New Roman"/>
                <w:sz w:val="21"/>
                <w:szCs w:val="21"/>
              </w:rPr>
            </w:pPr>
          </w:p>
        </w:tc>
        <w:tc>
          <w:tcPr>
            <w:tcW w:w="551" w:type="pct"/>
            <w:vAlign w:val="center"/>
          </w:tcPr>
          <w:p w14:paraId="46FA945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9491961">
            <w:pPr>
              <w:autoSpaceDE w:val="0"/>
              <w:autoSpaceDN w:val="0"/>
              <w:adjustRightInd w:val="0"/>
              <w:snapToGrid w:val="0"/>
              <w:jc w:val="center"/>
              <w:rPr>
                <w:rFonts w:ascii="Times New Roman"/>
                <w:sz w:val="21"/>
                <w:szCs w:val="21"/>
              </w:rPr>
            </w:pPr>
          </w:p>
        </w:tc>
        <w:tc>
          <w:tcPr>
            <w:tcW w:w="287" w:type="pct"/>
            <w:vMerge w:val="continue"/>
            <w:vAlign w:val="center"/>
          </w:tcPr>
          <w:p w14:paraId="3B5644B3">
            <w:pPr>
              <w:autoSpaceDE w:val="0"/>
              <w:autoSpaceDN w:val="0"/>
              <w:adjustRightInd w:val="0"/>
              <w:snapToGrid w:val="0"/>
              <w:jc w:val="center"/>
              <w:rPr>
                <w:rFonts w:ascii="Times New Roman"/>
                <w:sz w:val="21"/>
                <w:szCs w:val="21"/>
              </w:rPr>
            </w:pPr>
          </w:p>
        </w:tc>
        <w:tc>
          <w:tcPr>
            <w:tcW w:w="434" w:type="pct"/>
            <w:vMerge w:val="continue"/>
            <w:vAlign w:val="center"/>
          </w:tcPr>
          <w:p w14:paraId="0FA429D7">
            <w:pPr>
              <w:autoSpaceDE w:val="0"/>
              <w:autoSpaceDN w:val="0"/>
              <w:adjustRightInd w:val="0"/>
              <w:snapToGrid w:val="0"/>
              <w:jc w:val="center"/>
              <w:rPr>
                <w:rFonts w:ascii="Times New Roman"/>
                <w:sz w:val="21"/>
                <w:szCs w:val="21"/>
              </w:rPr>
            </w:pPr>
          </w:p>
        </w:tc>
      </w:tr>
      <w:tr w14:paraId="531A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781ECE0">
            <w:pPr>
              <w:autoSpaceDE w:val="0"/>
              <w:autoSpaceDN w:val="0"/>
              <w:adjustRightInd w:val="0"/>
              <w:snapToGrid w:val="0"/>
              <w:jc w:val="center"/>
              <w:rPr>
                <w:rFonts w:ascii="Times New Roman"/>
                <w:sz w:val="21"/>
                <w:szCs w:val="21"/>
              </w:rPr>
            </w:pPr>
          </w:p>
        </w:tc>
        <w:tc>
          <w:tcPr>
            <w:tcW w:w="697" w:type="pct"/>
            <w:vAlign w:val="center"/>
          </w:tcPr>
          <w:p w14:paraId="59EA14A9">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56D08C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B1927D7">
            <w:pPr>
              <w:autoSpaceDE w:val="0"/>
              <w:autoSpaceDN w:val="0"/>
              <w:adjustRightInd w:val="0"/>
              <w:snapToGrid w:val="0"/>
              <w:jc w:val="center"/>
              <w:rPr>
                <w:rFonts w:ascii="Times New Roman"/>
                <w:sz w:val="21"/>
                <w:szCs w:val="21"/>
              </w:rPr>
            </w:pPr>
          </w:p>
        </w:tc>
        <w:tc>
          <w:tcPr>
            <w:tcW w:w="208" w:type="pct"/>
            <w:vAlign w:val="center"/>
          </w:tcPr>
          <w:p w14:paraId="4F6B6B91">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47EBCED8">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4CA65BB0">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2B9D578">
            <w:pPr>
              <w:autoSpaceDE w:val="0"/>
              <w:autoSpaceDN w:val="0"/>
              <w:adjustRightInd w:val="0"/>
              <w:snapToGrid w:val="0"/>
              <w:jc w:val="center"/>
              <w:rPr>
                <w:rFonts w:ascii="Times New Roman"/>
                <w:sz w:val="21"/>
                <w:szCs w:val="21"/>
              </w:rPr>
            </w:pPr>
            <w:r>
              <w:rPr>
                <w:rFonts w:ascii="Times New Roman"/>
                <w:sz w:val="21"/>
                <w:szCs w:val="21"/>
              </w:rPr>
              <w:t>133.52</w:t>
            </w:r>
          </w:p>
        </w:tc>
        <w:tc>
          <w:tcPr>
            <w:tcW w:w="358" w:type="pct"/>
            <w:vAlign w:val="center"/>
          </w:tcPr>
          <w:p w14:paraId="0B9400DA">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2D165E87">
            <w:pPr>
              <w:autoSpaceDE w:val="0"/>
              <w:autoSpaceDN w:val="0"/>
              <w:adjustRightInd w:val="0"/>
              <w:snapToGrid w:val="0"/>
              <w:jc w:val="center"/>
              <w:rPr>
                <w:rFonts w:ascii="Times New Roman"/>
                <w:sz w:val="21"/>
                <w:szCs w:val="21"/>
              </w:rPr>
            </w:pPr>
          </w:p>
        </w:tc>
        <w:tc>
          <w:tcPr>
            <w:tcW w:w="551" w:type="pct"/>
            <w:vAlign w:val="center"/>
          </w:tcPr>
          <w:p w14:paraId="39234CB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02FD856">
            <w:pPr>
              <w:autoSpaceDE w:val="0"/>
              <w:autoSpaceDN w:val="0"/>
              <w:adjustRightInd w:val="0"/>
              <w:snapToGrid w:val="0"/>
              <w:jc w:val="center"/>
              <w:rPr>
                <w:rFonts w:ascii="Times New Roman"/>
                <w:sz w:val="21"/>
                <w:szCs w:val="21"/>
              </w:rPr>
            </w:pPr>
          </w:p>
        </w:tc>
        <w:tc>
          <w:tcPr>
            <w:tcW w:w="287" w:type="pct"/>
            <w:vMerge w:val="continue"/>
            <w:vAlign w:val="center"/>
          </w:tcPr>
          <w:p w14:paraId="2BAC00B7">
            <w:pPr>
              <w:autoSpaceDE w:val="0"/>
              <w:autoSpaceDN w:val="0"/>
              <w:adjustRightInd w:val="0"/>
              <w:snapToGrid w:val="0"/>
              <w:jc w:val="center"/>
              <w:rPr>
                <w:rFonts w:ascii="Times New Roman"/>
                <w:sz w:val="21"/>
                <w:szCs w:val="21"/>
              </w:rPr>
            </w:pPr>
          </w:p>
        </w:tc>
        <w:tc>
          <w:tcPr>
            <w:tcW w:w="434" w:type="pct"/>
            <w:vMerge w:val="continue"/>
            <w:vAlign w:val="center"/>
          </w:tcPr>
          <w:p w14:paraId="0AD59970">
            <w:pPr>
              <w:autoSpaceDE w:val="0"/>
              <w:autoSpaceDN w:val="0"/>
              <w:adjustRightInd w:val="0"/>
              <w:snapToGrid w:val="0"/>
              <w:jc w:val="center"/>
              <w:rPr>
                <w:rFonts w:ascii="Times New Roman"/>
                <w:sz w:val="21"/>
                <w:szCs w:val="21"/>
              </w:rPr>
            </w:pPr>
          </w:p>
        </w:tc>
      </w:tr>
      <w:tr w14:paraId="0CDB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697C832">
            <w:pPr>
              <w:autoSpaceDE w:val="0"/>
              <w:autoSpaceDN w:val="0"/>
              <w:adjustRightInd w:val="0"/>
              <w:snapToGrid w:val="0"/>
              <w:jc w:val="center"/>
              <w:rPr>
                <w:rFonts w:ascii="Times New Roman"/>
                <w:sz w:val="21"/>
                <w:szCs w:val="21"/>
              </w:rPr>
            </w:pPr>
          </w:p>
        </w:tc>
        <w:tc>
          <w:tcPr>
            <w:tcW w:w="697" w:type="pct"/>
            <w:vAlign w:val="center"/>
          </w:tcPr>
          <w:p w14:paraId="24E720F1">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60CC5D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E1E48DC">
            <w:pPr>
              <w:autoSpaceDE w:val="0"/>
              <w:autoSpaceDN w:val="0"/>
              <w:adjustRightInd w:val="0"/>
              <w:snapToGrid w:val="0"/>
              <w:jc w:val="center"/>
              <w:rPr>
                <w:rFonts w:ascii="Times New Roman"/>
                <w:sz w:val="21"/>
                <w:szCs w:val="21"/>
              </w:rPr>
            </w:pPr>
          </w:p>
        </w:tc>
        <w:tc>
          <w:tcPr>
            <w:tcW w:w="208" w:type="pct"/>
            <w:vAlign w:val="center"/>
          </w:tcPr>
          <w:p w14:paraId="655CD91B">
            <w:pPr>
              <w:autoSpaceDE w:val="0"/>
              <w:autoSpaceDN w:val="0"/>
              <w:adjustRightInd w:val="0"/>
              <w:snapToGrid w:val="0"/>
              <w:jc w:val="center"/>
              <w:rPr>
                <w:rFonts w:ascii="Times New Roman"/>
                <w:sz w:val="21"/>
                <w:szCs w:val="21"/>
              </w:rPr>
            </w:pPr>
            <w:r>
              <w:rPr>
                <w:rFonts w:ascii="Times New Roman"/>
                <w:sz w:val="21"/>
                <w:szCs w:val="21"/>
              </w:rPr>
              <w:t>340</w:t>
            </w:r>
          </w:p>
        </w:tc>
        <w:tc>
          <w:tcPr>
            <w:tcW w:w="201" w:type="pct"/>
            <w:vAlign w:val="center"/>
          </w:tcPr>
          <w:p w14:paraId="341A0D4E">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082D7A61">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693A0B5">
            <w:pPr>
              <w:autoSpaceDE w:val="0"/>
              <w:autoSpaceDN w:val="0"/>
              <w:adjustRightInd w:val="0"/>
              <w:snapToGrid w:val="0"/>
              <w:jc w:val="center"/>
              <w:rPr>
                <w:rFonts w:ascii="Times New Roman"/>
                <w:sz w:val="21"/>
                <w:szCs w:val="21"/>
              </w:rPr>
            </w:pPr>
            <w:r>
              <w:rPr>
                <w:rFonts w:ascii="Times New Roman"/>
                <w:sz w:val="21"/>
                <w:szCs w:val="21"/>
              </w:rPr>
              <w:t>138.52</w:t>
            </w:r>
          </w:p>
        </w:tc>
        <w:tc>
          <w:tcPr>
            <w:tcW w:w="358" w:type="pct"/>
            <w:vAlign w:val="center"/>
          </w:tcPr>
          <w:p w14:paraId="240DB7A8">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873DAAC">
            <w:pPr>
              <w:autoSpaceDE w:val="0"/>
              <w:autoSpaceDN w:val="0"/>
              <w:adjustRightInd w:val="0"/>
              <w:snapToGrid w:val="0"/>
              <w:jc w:val="center"/>
              <w:rPr>
                <w:rFonts w:ascii="Times New Roman"/>
                <w:sz w:val="21"/>
                <w:szCs w:val="21"/>
              </w:rPr>
            </w:pPr>
          </w:p>
        </w:tc>
        <w:tc>
          <w:tcPr>
            <w:tcW w:w="551" w:type="pct"/>
            <w:vAlign w:val="center"/>
          </w:tcPr>
          <w:p w14:paraId="1B962C2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84E8D42">
            <w:pPr>
              <w:autoSpaceDE w:val="0"/>
              <w:autoSpaceDN w:val="0"/>
              <w:adjustRightInd w:val="0"/>
              <w:snapToGrid w:val="0"/>
              <w:jc w:val="center"/>
              <w:rPr>
                <w:rFonts w:ascii="Times New Roman"/>
                <w:sz w:val="21"/>
                <w:szCs w:val="21"/>
              </w:rPr>
            </w:pPr>
          </w:p>
        </w:tc>
        <w:tc>
          <w:tcPr>
            <w:tcW w:w="287" w:type="pct"/>
            <w:vMerge w:val="continue"/>
            <w:vAlign w:val="center"/>
          </w:tcPr>
          <w:p w14:paraId="57810886">
            <w:pPr>
              <w:autoSpaceDE w:val="0"/>
              <w:autoSpaceDN w:val="0"/>
              <w:adjustRightInd w:val="0"/>
              <w:snapToGrid w:val="0"/>
              <w:jc w:val="center"/>
              <w:rPr>
                <w:rFonts w:ascii="Times New Roman"/>
                <w:sz w:val="21"/>
                <w:szCs w:val="21"/>
              </w:rPr>
            </w:pPr>
          </w:p>
        </w:tc>
        <w:tc>
          <w:tcPr>
            <w:tcW w:w="434" w:type="pct"/>
            <w:vMerge w:val="continue"/>
            <w:vAlign w:val="center"/>
          </w:tcPr>
          <w:p w14:paraId="086DEF96">
            <w:pPr>
              <w:autoSpaceDE w:val="0"/>
              <w:autoSpaceDN w:val="0"/>
              <w:adjustRightInd w:val="0"/>
              <w:snapToGrid w:val="0"/>
              <w:jc w:val="center"/>
              <w:rPr>
                <w:rFonts w:ascii="Times New Roman"/>
                <w:sz w:val="21"/>
                <w:szCs w:val="21"/>
              </w:rPr>
            </w:pPr>
          </w:p>
        </w:tc>
      </w:tr>
      <w:tr w14:paraId="2CAD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A8950A8">
            <w:pPr>
              <w:autoSpaceDE w:val="0"/>
              <w:autoSpaceDN w:val="0"/>
              <w:adjustRightInd w:val="0"/>
              <w:snapToGrid w:val="0"/>
              <w:jc w:val="center"/>
              <w:rPr>
                <w:rFonts w:ascii="Times New Roman"/>
                <w:sz w:val="21"/>
                <w:szCs w:val="21"/>
              </w:rPr>
            </w:pPr>
          </w:p>
        </w:tc>
        <w:tc>
          <w:tcPr>
            <w:tcW w:w="697" w:type="pct"/>
            <w:vAlign w:val="center"/>
          </w:tcPr>
          <w:p w14:paraId="239AB11A">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D20EEB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D6A39E6">
            <w:pPr>
              <w:autoSpaceDE w:val="0"/>
              <w:autoSpaceDN w:val="0"/>
              <w:adjustRightInd w:val="0"/>
              <w:snapToGrid w:val="0"/>
              <w:jc w:val="center"/>
              <w:rPr>
                <w:rFonts w:ascii="Times New Roman"/>
                <w:sz w:val="21"/>
                <w:szCs w:val="21"/>
              </w:rPr>
            </w:pPr>
          </w:p>
        </w:tc>
        <w:tc>
          <w:tcPr>
            <w:tcW w:w="208" w:type="pct"/>
            <w:vAlign w:val="center"/>
          </w:tcPr>
          <w:p w14:paraId="024E3E6B">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0C2EB9A2">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3486146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54C99FD">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14FDA792">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2125AD27">
            <w:pPr>
              <w:autoSpaceDE w:val="0"/>
              <w:autoSpaceDN w:val="0"/>
              <w:adjustRightInd w:val="0"/>
              <w:snapToGrid w:val="0"/>
              <w:jc w:val="center"/>
              <w:rPr>
                <w:rFonts w:ascii="Times New Roman"/>
                <w:sz w:val="21"/>
                <w:szCs w:val="21"/>
              </w:rPr>
            </w:pPr>
          </w:p>
        </w:tc>
        <w:tc>
          <w:tcPr>
            <w:tcW w:w="551" w:type="pct"/>
            <w:vAlign w:val="center"/>
          </w:tcPr>
          <w:p w14:paraId="23CBB8B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2954119">
            <w:pPr>
              <w:autoSpaceDE w:val="0"/>
              <w:autoSpaceDN w:val="0"/>
              <w:adjustRightInd w:val="0"/>
              <w:snapToGrid w:val="0"/>
              <w:jc w:val="center"/>
              <w:rPr>
                <w:rFonts w:ascii="Times New Roman"/>
                <w:sz w:val="21"/>
                <w:szCs w:val="21"/>
              </w:rPr>
            </w:pPr>
          </w:p>
        </w:tc>
        <w:tc>
          <w:tcPr>
            <w:tcW w:w="287" w:type="pct"/>
            <w:vMerge w:val="continue"/>
            <w:vAlign w:val="center"/>
          </w:tcPr>
          <w:p w14:paraId="258AC59C">
            <w:pPr>
              <w:autoSpaceDE w:val="0"/>
              <w:autoSpaceDN w:val="0"/>
              <w:adjustRightInd w:val="0"/>
              <w:snapToGrid w:val="0"/>
              <w:jc w:val="center"/>
              <w:rPr>
                <w:rFonts w:ascii="Times New Roman"/>
                <w:sz w:val="21"/>
                <w:szCs w:val="21"/>
              </w:rPr>
            </w:pPr>
          </w:p>
        </w:tc>
        <w:tc>
          <w:tcPr>
            <w:tcW w:w="434" w:type="pct"/>
            <w:vMerge w:val="continue"/>
            <w:vAlign w:val="center"/>
          </w:tcPr>
          <w:p w14:paraId="3656B100">
            <w:pPr>
              <w:autoSpaceDE w:val="0"/>
              <w:autoSpaceDN w:val="0"/>
              <w:adjustRightInd w:val="0"/>
              <w:snapToGrid w:val="0"/>
              <w:jc w:val="center"/>
              <w:rPr>
                <w:rFonts w:ascii="Times New Roman"/>
                <w:sz w:val="21"/>
                <w:szCs w:val="21"/>
              </w:rPr>
            </w:pPr>
          </w:p>
        </w:tc>
      </w:tr>
      <w:tr w14:paraId="2E88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4A1DEC4">
            <w:pPr>
              <w:autoSpaceDE w:val="0"/>
              <w:autoSpaceDN w:val="0"/>
              <w:adjustRightInd w:val="0"/>
              <w:snapToGrid w:val="0"/>
              <w:jc w:val="center"/>
              <w:rPr>
                <w:rFonts w:ascii="Times New Roman"/>
                <w:sz w:val="21"/>
                <w:szCs w:val="21"/>
              </w:rPr>
            </w:pPr>
          </w:p>
        </w:tc>
        <w:tc>
          <w:tcPr>
            <w:tcW w:w="697" w:type="pct"/>
            <w:vAlign w:val="center"/>
          </w:tcPr>
          <w:p w14:paraId="1587D0ED">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E7DC0B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4C632EC">
            <w:pPr>
              <w:autoSpaceDE w:val="0"/>
              <w:autoSpaceDN w:val="0"/>
              <w:adjustRightInd w:val="0"/>
              <w:snapToGrid w:val="0"/>
              <w:jc w:val="center"/>
              <w:rPr>
                <w:rFonts w:ascii="Times New Roman"/>
                <w:sz w:val="21"/>
                <w:szCs w:val="21"/>
              </w:rPr>
            </w:pPr>
          </w:p>
        </w:tc>
        <w:tc>
          <w:tcPr>
            <w:tcW w:w="208" w:type="pct"/>
            <w:vAlign w:val="center"/>
          </w:tcPr>
          <w:p w14:paraId="44B0475D">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38D0179E">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4DDA362F">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D7824B4">
            <w:pPr>
              <w:autoSpaceDE w:val="0"/>
              <w:autoSpaceDN w:val="0"/>
              <w:adjustRightInd w:val="0"/>
              <w:snapToGrid w:val="0"/>
              <w:jc w:val="center"/>
              <w:rPr>
                <w:rFonts w:ascii="Times New Roman"/>
                <w:sz w:val="21"/>
                <w:szCs w:val="21"/>
              </w:rPr>
            </w:pPr>
            <w:r>
              <w:rPr>
                <w:rFonts w:ascii="Times New Roman"/>
                <w:sz w:val="21"/>
                <w:szCs w:val="21"/>
              </w:rPr>
              <w:t>128.52</w:t>
            </w:r>
          </w:p>
        </w:tc>
        <w:tc>
          <w:tcPr>
            <w:tcW w:w="358" w:type="pct"/>
            <w:vAlign w:val="center"/>
          </w:tcPr>
          <w:p w14:paraId="62A3EEA4">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7C454BDE">
            <w:pPr>
              <w:autoSpaceDE w:val="0"/>
              <w:autoSpaceDN w:val="0"/>
              <w:adjustRightInd w:val="0"/>
              <w:snapToGrid w:val="0"/>
              <w:jc w:val="center"/>
              <w:rPr>
                <w:rFonts w:ascii="Times New Roman"/>
                <w:sz w:val="21"/>
                <w:szCs w:val="21"/>
              </w:rPr>
            </w:pPr>
          </w:p>
        </w:tc>
        <w:tc>
          <w:tcPr>
            <w:tcW w:w="551" w:type="pct"/>
            <w:vAlign w:val="center"/>
          </w:tcPr>
          <w:p w14:paraId="15566F2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2CC3D7D">
            <w:pPr>
              <w:autoSpaceDE w:val="0"/>
              <w:autoSpaceDN w:val="0"/>
              <w:adjustRightInd w:val="0"/>
              <w:snapToGrid w:val="0"/>
              <w:jc w:val="center"/>
              <w:rPr>
                <w:rFonts w:ascii="Times New Roman"/>
                <w:sz w:val="21"/>
                <w:szCs w:val="21"/>
              </w:rPr>
            </w:pPr>
          </w:p>
        </w:tc>
        <w:tc>
          <w:tcPr>
            <w:tcW w:w="287" w:type="pct"/>
            <w:vMerge w:val="continue"/>
            <w:vAlign w:val="center"/>
          </w:tcPr>
          <w:p w14:paraId="627A8221">
            <w:pPr>
              <w:autoSpaceDE w:val="0"/>
              <w:autoSpaceDN w:val="0"/>
              <w:adjustRightInd w:val="0"/>
              <w:snapToGrid w:val="0"/>
              <w:jc w:val="center"/>
              <w:rPr>
                <w:rFonts w:ascii="Times New Roman"/>
                <w:sz w:val="21"/>
                <w:szCs w:val="21"/>
              </w:rPr>
            </w:pPr>
          </w:p>
        </w:tc>
        <w:tc>
          <w:tcPr>
            <w:tcW w:w="434" w:type="pct"/>
            <w:vMerge w:val="continue"/>
            <w:vAlign w:val="center"/>
          </w:tcPr>
          <w:p w14:paraId="47492458">
            <w:pPr>
              <w:autoSpaceDE w:val="0"/>
              <w:autoSpaceDN w:val="0"/>
              <w:adjustRightInd w:val="0"/>
              <w:snapToGrid w:val="0"/>
              <w:jc w:val="center"/>
              <w:rPr>
                <w:rFonts w:ascii="Times New Roman"/>
                <w:sz w:val="21"/>
                <w:szCs w:val="21"/>
              </w:rPr>
            </w:pPr>
          </w:p>
        </w:tc>
      </w:tr>
      <w:tr w14:paraId="09E1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9" w:type="pct"/>
            <w:vMerge w:val="continue"/>
            <w:vAlign w:val="center"/>
          </w:tcPr>
          <w:p w14:paraId="36562215">
            <w:pPr>
              <w:autoSpaceDE w:val="0"/>
              <w:autoSpaceDN w:val="0"/>
              <w:adjustRightInd w:val="0"/>
              <w:snapToGrid w:val="0"/>
              <w:jc w:val="center"/>
              <w:rPr>
                <w:rFonts w:ascii="Times New Roman"/>
                <w:sz w:val="21"/>
                <w:szCs w:val="21"/>
              </w:rPr>
            </w:pPr>
          </w:p>
        </w:tc>
        <w:tc>
          <w:tcPr>
            <w:tcW w:w="697" w:type="pct"/>
            <w:vAlign w:val="center"/>
          </w:tcPr>
          <w:p w14:paraId="7B5258E3">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B7AFBE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693FD6A">
            <w:pPr>
              <w:autoSpaceDE w:val="0"/>
              <w:autoSpaceDN w:val="0"/>
              <w:adjustRightInd w:val="0"/>
              <w:snapToGrid w:val="0"/>
              <w:jc w:val="center"/>
              <w:rPr>
                <w:rFonts w:ascii="Times New Roman"/>
                <w:sz w:val="21"/>
                <w:szCs w:val="21"/>
              </w:rPr>
            </w:pPr>
          </w:p>
        </w:tc>
        <w:tc>
          <w:tcPr>
            <w:tcW w:w="208" w:type="pct"/>
            <w:vAlign w:val="center"/>
          </w:tcPr>
          <w:p w14:paraId="15908C45">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4A8F8A4C">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1AE381B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A59FC3A">
            <w:pPr>
              <w:autoSpaceDE w:val="0"/>
              <w:autoSpaceDN w:val="0"/>
              <w:adjustRightInd w:val="0"/>
              <w:snapToGrid w:val="0"/>
              <w:jc w:val="center"/>
              <w:rPr>
                <w:rFonts w:ascii="Times New Roman"/>
                <w:sz w:val="21"/>
                <w:szCs w:val="21"/>
              </w:rPr>
            </w:pPr>
            <w:r>
              <w:rPr>
                <w:rFonts w:ascii="Times New Roman"/>
                <w:sz w:val="21"/>
                <w:szCs w:val="21"/>
              </w:rPr>
              <w:t>133.52</w:t>
            </w:r>
          </w:p>
        </w:tc>
        <w:tc>
          <w:tcPr>
            <w:tcW w:w="358" w:type="pct"/>
            <w:vAlign w:val="center"/>
          </w:tcPr>
          <w:p w14:paraId="0605629B">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4E612143">
            <w:pPr>
              <w:autoSpaceDE w:val="0"/>
              <w:autoSpaceDN w:val="0"/>
              <w:adjustRightInd w:val="0"/>
              <w:snapToGrid w:val="0"/>
              <w:jc w:val="center"/>
              <w:rPr>
                <w:rFonts w:ascii="Times New Roman"/>
                <w:sz w:val="21"/>
                <w:szCs w:val="21"/>
              </w:rPr>
            </w:pPr>
          </w:p>
        </w:tc>
        <w:tc>
          <w:tcPr>
            <w:tcW w:w="551" w:type="pct"/>
            <w:vAlign w:val="center"/>
          </w:tcPr>
          <w:p w14:paraId="5D6293D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6EE3FB">
            <w:pPr>
              <w:autoSpaceDE w:val="0"/>
              <w:autoSpaceDN w:val="0"/>
              <w:adjustRightInd w:val="0"/>
              <w:snapToGrid w:val="0"/>
              <w:jc w:val="center"/>
              <w:rPr>
                <w:rFonts w:ascii="Times New Roman"/>
                <w:sz w:val="21"/>
                <w:szCs w:val="21"/>
              </w:rPr>
            </w:pPr>
          </w:p>
        </w:tc>
        <w:tc>
          <w:tcPr>
            <w:tcW w:w="287" w:type="pct"/>
            <w:vMerge w:val="continue"/>
            <w:vAlign w:val="center"/>
          </w:tcPr>
          <w:p w14:paraId="48BE78E7">
            <w:pPr>
              <w:autoSpaceDE w:val="0"/>
              <w:autoSpaceDN w:val="0"/>
              <w:adjustRightInd w:val="0"/>
              <w:snapToGrid w:val="0"/>
              <w:jc w:val="center"/>
              <w:rPr>
                <w:rFonts w:ascii="Times New Roman"/>
                <w:sz w:val="21"/>
                <w:szCs w:val="21"/>
              </w:rPr>
            </w:pPr>
          </w:p>
        </w:tc>
        <w:tc>
          <w:tcPr>
            <w:tcW w:w="434" w:type="pct"/>
            <w:vMerge w:val="continue"/>
            <w:vAlign w:val="center"/>
          </w:tcPr>
          <w:p w14:paraId="593428B2">
            <w:pPr>
              <w:autoSpaceDE w:val="0"/>
              <w:autoSpaceDN w:val="0"/>
              <w:adjustRightInd w:val="0"/>
              <w:snapToGrid w:val="0"/>
              <w:jc w:val="center"/>
              <w:rPr>
                <w:rFonts w:ascii="Times New Roman"/>
                <w:sz w:val="21"/>
                <w:szCs w:val="21"/>
              </w:rPr>
            </w:pPr>
          </w:p>
        </w:tc>
      </w:tr>
      <w:tr w14:paraId="7947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09A0F9F">
            <w:pPr>
              <w:autoSpaceDE w:val="0"/>
              <w:autoSpaceDN w:val="0"/>
              <w:adjustRightInd w:val="0"/>
              <w:snapToGrid w:val="0"/>
              <w:jc w:val="center"/>
              <w:rPr>
                <w:rFonts w:ascii="Times New Roman"/>
                <w:sz w:val="21"/>
                <w:szCs w:val="21"/>
              </w:rPr>
            </w:pPr>
          </w:p>
        </w:tc>
        <w:tc>
          <w:tcPr>
            <w:tcW w:w="697" w:type="pct"/>
            <w:vAlign w:val="center"/>
          </w:tcPr>
          <w:p w14:paraId="6EBC2D8E">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5D0E95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4100BF7">
            <w:pPr>
              <w:autoSpaceDE w:val="0"/>
              <w:autoSpaceDN w:val="0"/>
              <w:adjustRightInd w:val="0"/>
              <w:snapToGrid w:val="0"/>
              <w:jc w:val="center"/>
              <w:rPr>
                <w:rFonts w:ascii="Times New Roman"/>
                <w:sz w:val="21"/>
                <w:szCs w:val="21"/>
              </w:rPr>
            </w:pPr>
          </w:p>
        </w:tc>
        <w:tc>
          <w:tcPr>
            <w:tcW w:w="208" w:type="pct"/>
            <w:vAlign w:val="center"/>
          </w:tcPr>
          <w:p w14:paraId="64AD277A">
            <w:pPr>
              <w:autoSpaceDE w:val="0"/>
              <w:autoSpaceDN w:val="0"/>
              <w:adjustRightInd w:val="0"/>
              <w:snapToGrid w:val="0"/>
              <w:jc w:val="center"/>
              <w:rPr>
                <w:rFonts w:ascii="Times New Roman"/>
                <w:sz w:val="21"/>
                <w:szCs w:val="21"/>
              </w:rPr>
            </w:pPr>
            <w:r>
              <w:rPr>
                <w:rFonts w:ascii="Times New Roman"/>
                <w:sz w:val="21"/>
                <w:szCs w:val="21"/>
              </w:rPr>
              <w:t>340</w:t>
            </w:r>
          </w:p>
        </w:tc>
        <w:tc>
          <w:tcPr>
            <w:tcW w:w="201" w:type="pct"/>
            <w:vAlign w:val="center"/>
          </w:tcPr>
          <w:p w14:paraId="07D6A302">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455BE39F">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4A24E5D">
            <w:pPr>
              <w:autoSpaceDE w:val="0"/>
              <w:autoSpaceDN w:val="0"/>
              <w:adjustRightInd w:val="0"/>
              <w:snapToGrid w:val="0"/>
              <w:jc w:val="center"/>
              <w:rPr>
                <w:rFonts w:ascii="Times New Roman"/>
                <w:sz w:val="21"/>
                <w:szCs w:val="21"/>
              </w:rPr>
            </w:pPr>
            <w:r>
              <w:rPr>
                <w:rFonts w:ascii="Times New Roman"/>
                <w:sz w:val="21"/>
                <w:szCs w:val="21"/>
              </w:rPr>
              <w:t>138.52</w:t>
            </w:r>
          </w:p>
        </w:tc>
        <w:tc>
          <w:tcPr>
            <w:tcW w:w="358" w:type="pct"/>
            <w:vAlign w:val="center"/>
          </w:tcPr>
          <w:p w14:paraId="645CA67A">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7E6C3375">
            <w:pPr>
              <w:autoSpaceDE w:val="0"/>
              <w:autoSpaceDN w:val="0"/>
              <w:adjustRightInd w:val="0"/>
              <w:snapToGrid w:val="0"/>
              <w:jc w:val="center"/>
              <w:rPr>
                <w:rFonts w:ascii="Times New Roman"/>
                <w:sz w:val="21"/>
                <w:szCs w:val="21"/>
              </w:rPr>
            </w:pPr>
          </w:p>
        </w:tc>
        <w:tc>
          <w:tcPr>
            <w:tcW w:w="551" w:type="pct"/>
            <w:vAlign w:val="center"/>
          </w:tcPr>
          <w:p w14:paraId="07D8D4B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19704ED">
            <w:pPr>
              <w:autoSpaceDE w:val="0"/>
              <w:autoSpaceDN w:val="0"/>
              <w:adjustRightInd w:val="0"/>
              <w:snapToGrid w:val="0"/>
              <w:jc w:val="center"/>
              <w:rPr>
                <w:rFonts w:ascii="Times New Roman"/>
                <w:sz w:val="21"/>
                <w:szCs w:val="21"/>
              </w:rPr>
            </w:pPr>
          </w:p>
        </w:tc>
        <w:tc>
          <w:tcPr>
            <w:tcW w:w="287" w:type="pct"/>
            <w:vMerge w:val="continue"/>
            <w:vAlign w:val="center"/>
          </w:tcPr>
          <w:p w14:paraId="6006AF6E">
            <w:pPr>
              <w:autoSpaceDE w:val="0"/>
              <w:autoSpaceDN w:val="0"/>
              <w:adjustRightInd w:val="0"/>
              <w:snapToGrid w:val="0"/>
              <w:jc w:val="center"/>
              <w:rPr>
                <w:rFonts w:ascii="Times New Roman"/>
                <w:sz w:val="21"/>
                <w:szCs w:val="21"/>
              </w:rPr>
            </w:pPr>
          </w:p>
        </w:tc>
        <w:tc>
          <w:tcPr>
            <w:tcW w:w="434" w:type="pct"/>
            <w:vMerge w:val="continue"/>
            <w:vAlign w:val="center"/>
          </w:tcPr>
          <w:p w14:paraId="14B2D36A">
            <w:pPr>
              <w:autoSpaceDE w:val="0"/>
              <w:autoSpaceDN w:val="0"/>
              <w:adjustRightInd w:val="0"/>
              <w:snapToGrid w:val="0"/>
              <w:jc w:val="center"/>
              <w:rPr>
                <w:rFonts w:ascii="Times New Roman"/>
                <w:sz w:val="21"/>
                <w:szCs w:val="21"/>
              </w:rPr>
            </w:pPr>
          </w:p>
        </w:tc>
      </w:tr>
      <w:tr w14:paraId="4476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042097B">
            <w:pPr>
              <w:autoSpaceDE w:val="0"/>
              <w:autoSpaceDN w:val="0"/>
              <w:adjustRightInd w:val="0"/>
              <w:snapToGrid w:val="0"/>
              <w:jc w:val="center"/>
              <w:rPr>
                <w:rFonts w:ascii="Times New Roman"/>
                <w:sz w:val="21"/>
                <w:szCs w:val="21"/>
              </w:rPr>
            </w:pPr>
          </w:p>
        </w:tc>
        <w:tc>
          <w:tcPr>
            <w:tcW w:w="697" w:type="pct"/>
            <w:vAlign w:val="center"/>
          </w:tcPr>
          <w:p w14:paraId="3761818D">
            <w:pPr>
              <w:autoSpaceDE w:val="0"/>
              <w:autoSpaceDN w:val="0"/>
              <w:adjustRightInd w:val="0"/>
              <w:snapToGrid w:val="0"/>
              <w:jc w:val="center"/>
              <w:rPr>
                <w:rFonts w:ascii="Times New Roman"/>
                <w:sz w:val="21"/>
                <w:szCs w:val="21"/>
              </w:rPr>
            </w:pPr>
            <w:r>
              <w:rPr>
                <w:rFonts w:ascii="Times New Roman"/>
                <w:sz w:val="21"/>
                <w:szCs w:val="21"/>
              </w:rPr>
              <w:t>安装板组焊焊机</w:t>
            </w:r>
          </w:p>
        </w:tc>
        <w:tc>
          <w:tcPr>
            <w:tcW w:w="346" w:type="pct"/>
            <w:vAlign w:val="center"/>
          </w:tcPr>
          <w:p w14:paraId="2D54961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5C9628A">
            <w:pPr>
              <w:autoSpaceDE w:val="0"/>
              <w:autoSpaceDN w:val="0"/>
              <w:adjustRightInd w:val="0"/>
              <w:snapToGrid w:val="0"/>
              <w:jc w:val="center"/>
              <w:rPr>
                <w:rFonts w:ascii="Times New Roman"/>
                <w:sz w:val="21"/>
                <w:szCs w:val="21"/>
              </w:rPr>
            </w:pPr>
          </w:p>
        </w:tc>
        <w:tc>
          <w:tcPr>
            <w:tcW w:w="208" w:type="pct"/>
            <w:vAlign w:val="center"/>
          </w:tcPr>
          <w:p w14:paraId="33FF468B">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327F734A">
            <w:pPr>
              <w:autoSpaceDE w:val="0"/>
              <w:autoSpaceDN w:val="0"/>
              <w:adjustRightInd w:val="0"/>
              <w:snapToGrid w:val="0"/>
              <w:jc w:val="center"/>
              <w:rPr>
                <w:rFonts w:ascii="Times New Roman"/>
                <w:sz w:val="21"/>
                <w:szCs w:val="21"/>
              </w:rPr>
            </w:pPr>
            <w:r>
              <w:rPr>
                <w:rFonts w:ascii="Times New Roman"/>
                <w:sz w:val="21"/>
                <w:szCs w:val="21"/>
              </w:rPr>
              <w:t>100</w:t>
            </w:r>
          </w:p>
        </w:tc>
        <w:tc>
          <w:tcPr>
            <w:tcW w:w="240" w:type="pct"/>
            <w:vAlign w:val="center"/>
          </w:tcPr>
          <w:p w14:paraId="17D1D724">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463409A">
            <w:pPr>
              <w:autoSpaceDE w:val="0"/>
              <w:autoSpaceDN w:val="0"/>
              <w:adjustRightInd w:val="0"/>
              <w:snapToGrid w:val="0"/>
              <w:jc w:val="center"/>
              <w:rPr>
                <w:rFonts w:ascii="Times New Roman"/>
                <w:sz w:val="21"/>
                <w:szCs w:val="21"/>
              </w:rPr>
            </w:pPr>
            <w:r>
              <w:rPr>
                <w:rFonts w:ascii="Times New Roman"/>
                <w:sz w:val="21"/>
                <w:szCs w:val="21"/>
              </w:rPr>
              <w:t>84.15</w:t>
            </w:r>
          </w:p>
        </w:tc>
        <w:tc>
          <w:tcPr>
            <w:tcW w:w="358" w:type="pct"/>
            <w:vAlign w:val="center"/>
          </w:tcPr>
          <w:p w14:paraId="6FEB5AEC">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083D80DC">
            <w:pPr>
              <w:autoSpaceDE w:val="0"/>
              <w:autoSpaceDN w:val="0"/>
              <w:adjustRightInd w:val="0"/>
              <w:snapToGrid w:val="0"/>
              <w:jc w:val="center"/>
              <w:rPr>
                <w:rFonts w:ascii="Times New Roman"/>
                <w:sz w:val="21"/>
                <w:szCs w:val="21"/>
              </w:rPr>
            </w:pPr>
          </w:p>
        </w:tc>
        <w:tc>
          <w:tcPr>
            <w:tcW w:w="551" w:type="pct"/>
            <w:vAlign w:val="center"/>
          </w:tcPr>
          <w:p w14:paraId="56E900D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6E013AA">
            <w:pPr>
              <w:autoSpaceDE w:val="0"/>
              <w:autoSpaceDN w:val="0"/>
              <w:adjustRightInd w:val="0"/>
              <w:snapToGrid w:val="0"/>
              <w:jc w:val="center"/>
              <w:rPr>
                <w:rFonts w:ascii="Times New Roman"/>
                <w:sz w:val="21"/>
                <w:szCs w:val="21"/>
              </w:rPr>
            </w:pPr>
          </w:p>
        </w:tc>
        <w:tc>
          <w:tcPr>
            <w:tcW w:w="287" w:type="pct"/>
            <w:vMerge w:val="continue"/>
            <w:vAlign w:val="center"/>
          </w:tcPr>
          <w:p w14:paraId="19AF7EFC">
            <w:pPr>
              <w:autoSpaceDE w:val="0"/>
              <w:autoSpaceDN w:val="0"/>
              <w:adjustRightInd w:val="0"/>
              <w:snapToGrid w:val="0"/>
              <w:jc w:val="center"/>
              <w:rPr>
                <w:rFonts w:ascii="Times New Roman"/>
                <w:sz w:val="21"/>
                <w:szCs w:val="21"/>
              </w:rPr>
            </w:pPr>
          </w:p>
        </w:tc>
        <w:tc>
          <w:tcPr>
            <w:tcW w:w="434" w:type="pct"/>
            <w:vMerge w:val="continue"/>
            <w:vAlign w:val="center"/>
          </w:tcPr>
          <w:p w14:paraId="3E5C7E6F">
            <w:pPr>
              <w:autoSpaceDE w:val="0"/>
              <w:autoSpaceDN w:val="0"/>
              <w:adjustRightInd w:val="0"/>
              <w:snapToGrid w:val="0"/>
              <w:jc w:val="center"/>
              <w:rPr>
                <w:rFonts w:ascii="Times New Roman"/>
                <w:sz w:val="21"/>
                <w:szCs w:val="21"/>
              </w:rPr>
            </w:pPr>
          </w:p>
        </w:tc>
      </w:tr>
      <w:tr w14:paraId="105C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ABE1C1F">
            <w:pPr>
              <w:autoSpaceDE w:val="0"/>
              <w:autoSpaceDN w:val="0"/>
              <w:adjustRightInd w:val="0"/>
              <w:snapToGrid w:val="0"/>
              <w:jc w:val="center"/>
              <w:rPr>
                <w:rFonts w:ascii="Times New Roman"/>
                <w:sz w:val="21"/>
                <w:szCs w:val="21"/>
              </w:rPr>
            </w:pPr>
          </w:p>
        </w:tc>
        <w:tc>
          <w:tcPr>
            <w:tcW w:w="697" w:type="pct"/>
            <w:vAlign w:val="center"/>
          </w:tcPr>
          <w:p w14:paraId="2D514A3E">
            <w:pPr>
              <w:autoSpaceDE w:val="0"/>
              <w:autoSpaceDN w:val="0"/>
              <w:adjustRightInd w:val="0"/>
              <w:snapToGrid w:val="0"/>
              <w:jc w:val="center"/>
              <w:rPr>
                <w:rFonts w:ascii="Times New Roman"/>
                <w:sz w:val="21"/>
                <w:szCs w:val="21"/>
              </w:rPr>
            </w:pPr>
            <w:r>
              <w:rPr>
                <w:rFonts w:ascii="Times New Roman"/>
                <w:sz w:val="21"/>
                <w:szCs w:val="21"/>
              </w:rPr>
              <w:t>安装板组焊焊机</w:t>
            </w:r>
          </w:p>
        </w:tc>
        <w:tc>
          <w:tcPr>
            <w:tcW w:w="346" w:type="pct"/>
            <w:vAlign w:val="center"/>
          </w:tcPr>
          <w:p w14:paraId="494458B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9EE40D1">
            <w:pPr>
              <w:autoSpaceDE w:val="0"/>
              <w:autoSpaceDN w:val="0"/>
              <w:adjustRightInd w:val="0"/>
              <w:snapToGrid w:val="0"/>
              <w:jc w:val="center"/>
              <w:rPr>
                <w:rFonts w:ascii="Times New Roman"/>
                <w:sz w:val="21"/>
                <w:szCs w:val="21"/>
              </w:rPr>
            </w:pPr>
          </w:p>
        </w:tc>
        <w:tc>
          <w:tcPr>
            <w:tcW w:w="208" w:type="pct"/>
            <w:vAlign w:val="center"/>
          </w:tcPr>
          <w:p w14:paraId="261A43AC">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07B71DE1">
            <w:pPr>
              <w:autoSpaceDE w:val="0"/>
              <w:autoSpaceDN w:val="0"/>
              <w:adjustRightInd w:val="0"/>
              <w:snapToGrid w:val="0"/>
              <w:jc w:val="center"/>
              <w:rPr>
                <w:rFonts w:ascii="Times New Roman"/>
                <w:sz w:val="21"/>
                <w:szCs w:val="21"/>
              </w:rPr>
            </w:pPr>
            <w:r>
              <w:rPr>
                <w:rFonts w:ascii="Times New Roman"/>
                <w:sz w:val="21"/>
                <w:szCs w:val="21"/>
              </w:rPr>
              <w:t>102</w:t>
            </w:r>
          </w:p>
        </w:tc>
        <w:tc>
          <w:tcPr>
            <w:tcW w:w="240" w:type="pct"/>
            <w:vAlign w:val="center"/>
          </w:tcPr>
          <w:p w14:paraId="4511EC24">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FC24573">
            <w:pPr>
              <w:autoSpaceDE w:val="0"/>
              <w:autoSpaceDN w:val="0"/>
              <w:adjustRightInd w:val="0"/>
              <w:snapToGrid w:val="0"/>
              <w:jc w:val="center"/>
              <w:rPr>
                <w:rFonts w:ascii="Times New Roman"/>
                <w:sz w:val="21"/>
                <w:szCs w:val="21"/>
              </w:rPr>
            </w:pPr>
            <w:r>
              <w:rPr>
                <w:rFonts w:ascii="Times New Roman"/>
                <w:sz w:val="21"/>
                <w:szCs w:val="21"/>
              </w:rPr>
              <w:t>86.15</w:t>
            </w:r>
          </w:p>
        </w:tc>
        <w:tc>
          <w:tcPr>
            <w:tcW w:w="358" w:type="pct"/>
            <w:vAlign w:val="center"/>
          </w:tcPr>
          <w:p w14:paraId="21100749">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7F300AA2">
            <w:pPr>
              <w:autoSpaceDE w:val="0"/>
              <w:autoSpaceDN w:val="0"/>
              <w:adjustRightInd w:val="0"/>
              <w:snapToGrid w:val="0"/>
              <w:jc w:val="center"/>
              <w:rPr>
                <w:rFonts w:ascii="Times New Roman"/>
                <w:sz w:val="21"/>
                <w:szCs w:val="21"/>
              </w:rPr>
            </w:pPr>
          </w:p>
        </w:tc>
        <w:tc>
          <w:tcPr>
            <w:tcW w:w="551" w:type="pct"/>
            <w:vAlign w:val="center"/>
          </w:tcPr>
          <w:p w14:paraId="4E61D53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07FCCDF">
            <w:pPr>
              <w:autoSpaceDE w:val="0"/>
              <w:autoSpaceDN w:val="0"/>
              <w:adjustRightInd w:val="0"/>
              <w:snapToGrid w:val="0"/>
              <w:jc w:val="center"/>
              <w:rPr>
                <w:rFonts w:ascii="Times New Roman"/>
                <w:sz w:val="21"/>
                <w:szCs w:val="21"/>
              </w:rPr>
            </w:pPr>
          </w:p>
        </w:tc>
        <w:tc>
          <w:tcPr>
            <w:tcW w:w="287" w:type="pct"/>
            <w:vMerge w:val="continue"/>
            <w:vAlign w:val="center"/>
          </w:tcPr>
          <w:p w14:paraId="118190C2">
            <w:pPr>
              <w:autoSpaceDE w:val="0"/>
              <w:autoSpaceDN w:val="0"/>
              <w:adjustRightInd w:val="0"/>
              <w:snapToGrid w:val="0"/>
              <w:jc w:val="center"/>
              <w:rPr>
                <w:rFonts w:ascii="Times New Roman"/>
                <w:sz w:val="21"/>
                <w:szCs w:val="21"/>
              </w:rPr>
            </w:pPr>
          </w:p>
        </w:tc>
        <w:tc>
          <w:tcPr>
            <w:tcW w:w="434" w:type="pct"/>
            <w:vMerge w:val="continue"/>
            <w:vAlign w:val="center"/>
          </w:tcPr>
          <w:p w14:paraId="30D13DC5">
            <w:pPr>
              <w:autoSpaceDE w:val="0"/>
              <w:autoSpaceDN w:val="0"/>
              <w:adjustRightInd w:val="0"/>
              <w:snapToGrid w:val="0"/>
              <w:jc w:val="center"/>
              <w:rPr>
                <w:rFonts w:ascii="Times New Roman"/>
                <w:sz w:val="21"/>
                <w:szCs w:val="21"/>
              </w:rPr>
            </w:pPr>
          </w:p>
        </w:tc>
      </w:tr>
      <w:tr w14:paraId="791C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A350646">
            <w:pPr>
              <w:autoSpaceDE w:val="0"/>
              <w:autoSpaceDN w:val="0"/>
              <w:adjustRightInd w:val="0"/>
              <w:snapToGrid w:val="0"/>
              <w:jc w:val="center"/>
              <w:rPr>
                <w:rFonts w:ascii="Times New Roman"/>
                <w:sz w:val="21"/>
                <w:szCs w:val="21"/>
              </w:rPr>
            </w:pPr>
          </w:p>
        </w:tc>
        <w:tc>
          <w:tcPr>
            <w:tcW w:w="697" w:type="pct"/>
            <w:vAlign w:val="center"/>
          </w:tcPr>
          <w:p w14:paraId="0B21C667">
            <w:pPr>
              <w:autoSpaceDE w:val="0"/>
              <w:autoSpaceDN w:val="0"/>
              <w:adjustRightInd w:val="0"/>
              <w:snapToGrid w:val="0"/>
              <w:jc w:val="center"/>
              <w:rPr>
                <w:rFonts w:ascii="Times New Roman"/>
                <w:sz w:val="21"/>
                <w:szCs w:val="21"/>
              </w:rPr>
            </w:pPr>
            <w:r>
              <w:rPr>
                <w:rFonts w:ascii="Times New Roman"/>
                <w:sz w:val="21"/>
                <w:szCs w:val="21"/>
              </w:rPr>
              <w:t>安装板组焊焊机</w:t>
            </w:r>
          </w:p>
        </w:tc>
        <w:tc>
          <w:tcPr>
            <w:tcW w:w="346" w:type="pct"/>
            <w:vAlign w:val="center"/>
          </w:tcPr>
          <w:p w14:paraId="2CDF59D0">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FC44BFA">
            <w:pPr>
              <w:autoSpaceDE w:val="0"/>
              <w:autoSpaceDN w:val="0"/>
              <w:adjustRightInd w:val="0"/>
              <w:snapToGrid w:val="0"/>
              <w:jc w:val="center"/>
              <w:rPr>
                <w:rFonts w:ascii="Times New Roman"/>
                <w:sz w:val="21"/>
                <w:szCs w:val="21"/>
              </w:rPr>
            </w:pPr>
          </w:p>
        </w:tc>
        <w:tc>
          <w:tcPr>
            <w:tcW w:w="208" w:type="pct"/>
            <w:vAlign w:val="center"/>
          </w:tcPr>
          <w:p w14:paraId="6A718219">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4E75B7B6">
            <w:pPr>
              <w:autoSpaceDE w:val="0"/>
              <w:autoSpaceDN w:val="0"/>
              <w:adjustRightInd w:val="0"/>
              <w:snapToGrid w:val="0"/>
              <w:jc w:val="center"/>
              <w:rPr>
                <w:rFonts w:ascii="Times New Roman"/>
                <w:sz w:val="21"/>
                <w:szCs w:val="21"/>
              </w:rPr>
            </w:pPr>
            <w:r>
              <w:rPr>
                <w:rFonts w:ascii="Times New Roman"/>
                <w:sz w:val="21"/>
                <w:szCs w:val="21"/>
              </w:rPr>
              <w:t>104</w:t>
            </w:r>
          </w:p>
        </w:tc>
        <w:tc>
          <w:tcPr>
            <w:tcW w:w="240" w:type="pct"/>
            <w:vAlign w:val="center"/>
          </w:tcPr>
          <w:p w14:paraId="00B162A7">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A522B31">
            <w:pPr>
              <w:autoSpaceDE w:val="0"/>
              <w:autoSpaceDN w:val="0"/>
              <w:adjustRightInd w:val="0"/>
              <w:snapToGrid w:val="0"/>
              <w:jc w:val="center"/>
              <w:rPr>
                <w:rFonts w:ascii="Times New Roman"/>
                <w:sz w:val="21"/>
                <w:szCs w:val="21"/>
              </w:rPr>
            </w:pPr>
            <w:r>
              <w:rPr>
                <w:rFonts w:ascii="Times New Roman"/>
                <w:sz w:val="21"/>
                <w:szCs w:val="21"/>
              </w:rPr>
              <w:t>88.15</w:t>
            </w:r>
          </w:p>
        </w:tc>
        <w:tc>
          <w:tcPr>
            <w:tcW w:w="358" w:type="pct"/>
            <w:vAlign w:val="center"/>
          </w:tcPr>
          <w:p w14:paraId="0B080B15">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74E50128">
            <w:pPr>
              <w:autoSpaceDE w:val="0"/>
              <w:autoSpaceDN w:val="0"/>
              <w:adjustRightInd w:val="0"/>
              <w:snapToGrid w:val="0"/>
              <w:jc w:val="center"/>
              <w:rPr>
                <w:rFonts w:ascii="Times New Roman"/>
                <w:sz w:val="21"/>
                <w:szCs w:val="21"/>
              </w:rPr>
            </w:pPr>
          </w:p>
        </w:tc>
        <w:tc>
          <w:tcPr>
            <w:tcW w:w="551" w:type="pct"/>
            <w:vAlign w:val="center"/>
          </w:tcPr>
          <w:p w14:paraId="506855D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20A7041">
            <w:pPr>
              <w:autoSpaceDE w:val="0"/>
              <w:autoSpaceDN w:val="0"/>
              <w:adjustRightInd w:val="0"/>
              <w:snapToGrid w:val="0"/>
              <w:jc w:val="center"/>
              <w:rPr>
                <w:rFonts w:ascii="Times New Roman"/>
                <w:sz w:val="21"/>
                <w:szCs w:val="21"/>
              </w:rPr>
            </w:pPr>
          </w:p>
        </w:tc>
        <w:tc>
          <w:tcPr>
            <w:tcW w:w="287" w:type="pct"/>
            <w:vMerge w:val="continue"/>
            <w:vAlign w:val="center"/>
          </w:tcPr>
          <w:p w14:paraId="26D33AD0">
            <w:pPr>
              <w:autoSpaceDE w:val="0"/>
              <w:autoSpaceDN w:val="0"/>
              <w:adjustRightInd w:val="0"/>
              <w:snapToGrid w:val="0"/>
              <w:jc w:val="center"/>
              <w:rPr>
                <w:rFonts w:ascii="Times New Roman"/>
                <w:sz w:val="21"/>
                <w:szCs w:val="21"/>
              </w:rPr>
            </w:pPr>
          </w:p>
        </w:tc>
        <w:tc>
          <w:tcPr>
            <w:tcW w:w="434" w:type="pct"/>
            <w:vMerge w:val="continue"/>
            <w:vAlign w:val="center"/>
          </w:tcPr>
          <w:p w14:paraId="7D736C26">
            <w:pPr>
              <w:autoSpaceDE w:val="0"/>
              <w:autoSpaceDN w:val="0"/>
              <w:adjustRightInd w:val="0"/>
              <w:snapToGrid w:val="0"/>
              <w:jc w:val="center"/>
              <w:rPr>
                <w:rFonts w:ascii="Times New Roman"/>
                <w:sz w:val="21"/>
                <w:szCs w:val="21"/>
              </w:rPr>
            </w:pPr>
          </w:p>
        </w:tc>
      </w:tr>
      <w:tr w14:paraId="412B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DD1D28E">
            <w:pPr>
              <w:autoSpaceDE w:val="0"/>
              <w:autoSpaceDN w:val="0"/>
              <w:adjustRightInd w:val="0"/>
              <w:snapToGrid w:val="0"/>
              <w:jc w:val="center"/>
              <w:rPr>
                <w:rFonts w:ascii="Times New Roman"/>
                <w:sz w:val="21"/>
                <w:szCs w:val="21"/>
              </w:rPr>
            </w:pPr>
          </w:p>
        </w:tc>
        <w:tc>
          <w:tcPr>
            <w:tcW w:w="697" w:type="pct"/>
            <w:vAlign w:val="center"/>
          </w:tcPr>
          <w:p w14:paraId="0251DE38">
            <w:pPr>
              <w:autoSpaceDE w:val="0"/>
              <w:autoSpaceDN w:val="0"/>
              <w:adjustRightInd w:val="0"/>
              <w:snapToGrid w:val="0"/>
              <w:jc w:val="center"/>
              <w:rPr>
                <w:rFonts w:ascii="Times New Roman"/>
                <w:sz w:val="21"/>
                <w:szCs w:val="21"/>
              </w:rPr>
            </w:pPr>
            <w:r>
              <w:rPr>
                <w:rFonts w:ascii="Times New Roman"/>
                <w:sz w:val="21"/>
                <w:szCs w:val="21"/>
              </w:rPr>
              <w:t>安装板组焊焊机</w:t>
            </w:r>
          </w:p>
        </w:tc>
        <w:tc>
          <w:tcPr>
            <w:tcW w:w="346" w:type="pct"/>
            <w:vAlign w:val="center"/>
          </w:tcPr>
          <w:p w14:paraId="65043D9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451D7A6">
            <w:pPr>
              <w:autoSpaceDE w:val="0"/>
              <w:autoSpaceDN w:val="0"/>
              <w:adjustRightInd w:val="0"/>
              <w:snapToGrid w:val="0"/>
              <w:jc w:val="center"/>
              <w:rPr>
                <w:rFonts w:ascii="Times New Roman"/>
                <w:sz w:val="21"/>
                <w:szCs w:val="21"/>
              </w:rPr>
            </w:pPr>
          </w:p>
        </w:tc>
        <w:tc>
          <w:tcPr>
            <w:tcW w:w="208" w:type="pct"/>
            <w:vAlign w:val="center"/>
          </w:tcPr>
          <w:p w14:paraId="72C6AA3B">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3689221A">
            <w:pPr>
              <w:autoSpaceDE w:val="0"/>
              <w:autoSpaceDN w:val="0"/>
              <w:adjustRightInd w:val="0"/>
              <w:snapToGrid w:val="0"/>
              <w:jc w:val="center"/>
              <w:rPr>
                <w:rFonts w:ascii="Times New Roman"/>
                <w:sz w:val="21"/>
                <w:szCs w:val="21"/>
              </w:rPr>
            </w:pPr>
            <w:r>
              <w:rPr>
                <w:rFonts w:ascii="Times New Roman"/>
                <w:sz w:val="21"/>
                <w:szCs w:val="21"/>
              </w:rPr>
              <w:t>106</w:t>
            </w:r>
          </w:p>
        </w:tc>
        <w:tc>
          <w:tcPr>
            <w:tcW w:w="240" w:type="pct"/>
            <w:vAlign w:val="center"/>
          </w:tcPr>
          <w:p w14:paraId="6EBBCB2B">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3695EA2">
            <w:pPr>
              <w:autoSpaceDE w:val="0"/>
              <w:autoSpaceDN w:val="0"/>
              <w:adjustRightInd w:val="0"/>
              <w:snapToGrid w:val="0"/>
              <w:jc w:val="center"/>
              <w:rPr>
                <w:rFonts w:ascii="Times New Roman"/>
                <w:sz w:val="21"/>
                <w:szCs w:val="21"/>
              </w:rPr>
            </w:pPr>
            <w:r>
              <w:rPr>
                <w:rFonts w:ascii="Times New Roman"/>
                <w:sz w:val="21"/>
                <w:szCs w:val="21"/>
              </w:rPr>
              <w:t>90.15</w:t>
            </w:r>
          </w:p>
        </w:tc>
        <w:tc>
          <w:tcPr>
            <w:tcW w:w="358" w:type="pct"/>
            <w:vAlign w:val="center"/>
          </w:tcPr>
          <w:p w14:paraId="1A3EE5C5">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3A77A67A">
            <w:pPr>
              <w:autoSpaceDE w:val="0"/>
              <w:autoSpaceDN w:val="0"/>
              <w:adjustRightInd w:val="0"/>
              <w:snapToGrid w:val="0"/>
              <w:jc w:val="center"/>
              <w:rPr>
                <w:rFonts w:ascii="Times New Roman"/>
                <w:sz w:val="21"/>
                <w:szCs w:val="21"/>
              </w:rPr>
            </w:pPr>
          </w:p>
        </w:tc>
        <w:tc>
          <w:tcPr>
            <w:tcW w:w="551" w:type="pct"/>
            <w:vAlign w:val="center"/>
          </w:tcPr>
          <w:p w14:paraId="5515526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9BF157A">
            <w:pPr>
              <w:autoSpaceDE w:val="0"/>
              <w:autoSpaceDN w:val="0"/>
              <w:adjustRightInd w:val="0"/>
              <w:snapToGrid w:val="0"/>
              <w:jc w:val="center"/>
              <w:rPr>
                <w:rFonts w:ascii="Times New Roman"/>
                <w:sz w:val="21"/>
                <w:szCs w:val="21"/>
              </w:rPr>
            </w:pPr>
          </w:p>
        </w:tc>
        <w:tc>
          <w:tcPr>
            <w:tcW w:w="287" w:type="pct"/>
            <w:vMerge w:val="continue"/>
            <w:vAlign w:val="center"/>
          </w:tcPr>
          <w:p w14:paraId="2753E630">
            <w:pPr>
              <w:autoSpaceDE w:val="0"/>
              <w:autoSpaceDN w:val="0"/>
              <w:adjustRightInd w:val="0"/>
              <w:snapToGrid w:val="0"/>
              <w:jc w:val="center"/>
              <w:rPr>
                <w:rFonts w:ascii="Times New Roman"/>
                <w:sz w:val="21"/>
                <w:szCs w:val="21"/>
              </w:rPr>
            </w:pPr>
          </w:p>
        </w:tc>
        <w:tc>
          <w:tcPr>
            <w:tcW w:w="434" w:type="pct"/>
            <w:vMerge w:val="continue"/>
            <w:vAlign w:val="center"/>
          </w:tcPr>
          <w:p w14:paraId="52EB6EB4">
            <w:pPr>
              <w:autoSpaceDE w:val="0"/>
              <w:autoSpaceDN w:val="0"/>
              <w:adjustRightInd w:val="0"/>
              <w:snapToGrid w:val="0"/>
              <w:jc w:val="center"/>
              <w:rPr>
                <w:rFonts w:ascii="Times New Roman"/>
                <w:sz w:val="21"/>
                <w:szCs w:val="21"/>
              </w:rPr>
            </w:pPr>
          </w:p>
        </w:tc>
      </w:tr>
      <w:tr w14:paraId="1D0F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30CA0D2">
            <w:pPr>
              <w:autoSpaceDE w:val="0"/>
              <w:autoSpaceDN w:val="0"/>
              <w:adjustRightInd w:val="0"/>
              <w:snapToGrid w:val="0"/>
              <w:jc w:val="center"/>
              <w:rPr>
                <w:rFonts w:ascii="Times New Roman"/>
                <w:sz w:val="21"/>
                <w:szCs w:val="21"/>
              </w:rPr>
            </w:pPr>
          </w:p>
        </w:tc>
        <w:tc>
          <w:tcPr>
            <w:tcW w:w="697" w:type="pct"/>
            <w:vAlign w:val="center"/>
          </w:tcPr>
          <w:p w14:paraId="542C3577">
            <w:pPr>
              <w:autoSpaceDE w:val="0"/>
              <w:autoSpaceDN w:val="0"/>
              <w:adjustRightInd w:val="0"/>
              <w:snapToGrid w:val="0"/>
              <w:jc w:val="center"/>
              <w:rPr>
                <w:rFonts w:ascii="Times New Roman"/>
                <w:sz w:val="21"/>
                <w:szCs w:val="21"/>
              </w:rPr>
            </w:pPr>
            <w:r>
              <w:rPr>
                <w:rFonts w:ascii="Times New Roman"/>
                <w:sz w:val="21"/>
                <w:szCs w:val="21"/>
              </w:rPr>
              <w:t>安装板组焊焊机</w:t>
            </w:r>
          </w:p>
        </w:tc>
        <w:tc>
          <w:tcPr>
            <w:tcW w:w="346" w:type="pct"/>
            <w:vAlign w:val="center"/>
          </w:tcPr>
          <w:p w14:paraId="63E308D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50D29B6">
            <w:pPr>
              <w:autoSpaceDE w:val="0"/>
              <w:autoSpaceDN w:val="0"/>
              <w:adjustRightInd w:val="0"/>
              <w:snapToGrid w:val="0"/>
              <w:jc w:val="center"/>
              <w:rPr>
                <w:rFonts w:ascii="Times New Roman"/>
                <w:sz w:val="21"/>
                <w:szCs w:val="21"/>
              </w:rPr>
            </w:pPr>
          </w:p>
        </w:tc>
        <w:tc>
          <w:tcPr>
            <w:tcW w:w="208" w:type="pct"/>
            <w:vAlign w:val="center"/>
          </w:tcPr>
          <w:p w14:paraId="24F51E5F">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34C4736A">
            <w:pPr>
              <w:autoSpaceDE w:val="0"/>
              <w:autoSpaceDN w:val="0"/>
              <w:adjustRightInd w:val="0"/>
              <w:snapToGrid w:val="0"/>
              <w:jc w:val="center"/>
              <w:rPr>
                <w:rFonts w:ascii="Times New Roman"/>
                <w:sz w:val="21"/>
                <w:szCs w:val="21"/>
              </w:rPr>
            </w:pPr>
            <w:r>
              <w:rPr>
                <w:rFonts w:ascii="Times New Roman"/>
                <w:sz w:val="21"/>
                <w:szCs w:val="21"/>
              </w:rPr>
              <w:t>108</w:t>
            </w:r>
          </w:p>
        </w:tc>
        <w:tc>
          <w:tcPr>
            <w:tcW w:w="240" w:type="pct"/>
            <w:vAlign w:val="center"/>
          </w:tcPr>
          <w:p w14:paraId="67308576">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2074FD5C">
            <w:pPr>
              <w:autoSpaceDE w:val="0"/>
              <w:autoSpaceDN w:val="0"/>
              <w:adjustRightInd w:val="0"/>
              <w:snapToGrid w:val="0"/>
              <w:jc w:val="center"/>
              <w:rPr>
                <w:rFonts w:ascii="Times New Roman"/>
                <w:sz w:val="21"/>
                <w:szCs w:val="21"/>
              </w:rPr>
            </w:pPr>
            <w:r>
              <w:rPr>
                <w:rFonts w:ascii="Times New Roman"/>
                <w:sz w:val="21"/>
                <w:szCs w:val="21"/>
              </w:rPr>
              <w:t>92.15</w:t>
            </w:r>
          </w:p>
        </w:tc>
        <w:tc>
          <w:tcPr>
            <w:tcW w:w="358" w:type="pct"/>
            <w:vAlign w:val="center"/>
          </w:tcPr>
          <w:p w14:paraId="0DAD20F4">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13D01CE7">
            <w:pPr>
              <w:autoSpaceDE w:val="0"/>
              <w:autoSpaceDN w:val="0"/>
              <w:adjustRightInd w:val="0"/>
              <w:snapToGrid w:val="0"/>
              <w:jc w:val="center"/>
              <w:rPr>
                <w:rFonts w:ascii="Times New Roman"/>
                <w:sz w:val="21"/>
                <w:szCs w:val="21"/>
              </w:rPr>
            </w:pPr>
          </w:p>
        </w:tc>
        <w:tc>
          <w:tcPr>
            <w:tcW w:w="551" w:type="pct"/>
            <w:vAlign w:val="center"/>
          </w:tcPr>
          <w:p w14:paraId="31D5992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3EF53B9">
            <w:pPr>
              <w:autoSpaceDE w:val="0"/>
              <w:autoSpaceDN w:val="0"/>
              <w:adjustRightInd w:val="0"/>
              <w:snapToGrid w:val="0"/>
              <w:jc w:val="center"/>
              <w:rPr>
                <w:rFonts w:ascii="Times New Roman"/>
                <w:sz w:val="21"/>
                <w:szCs w:val="21"/>
              </w:rPr>
            </w:pPr>
          </w:p>
        </w:tc>
        <w:tc>
          <w:tcPr>
            <w:tcW w:w="287" w:type="pct"/>
            <w:vMerge w:val="continue"/>
            <w:vAlign w:val="center"/>
          </w:tcPr>
          <w:p w14:paraId="716B7805">
            <w:pPr>
              <w:autoSpaceDE w:val="0"/>
              <w:autoSpaceDN w:val="0"/>
              <w:adjustRightInd w:val="0"/>
              <w:snapToGrid w:val="0"/>
              <w:jc w:val="center"/>
              <w:rPr>
                <w:rFonts w:ascii="Times New Roman"/>
                <w:sz w:val="21"/>
                <w:szCs w:val="21"/>
              </w:rPr>
            </w:pPr>
          </w:p>
        </w:tc>
        <w:tc>
          <w:tcPr>
            <w:tcW w:w="434" w:type="pct"/>
            <w:vMerge w:val="continue"/>
            <w:vAlign w:val="center"/>
          </w:tcPr>
          <w:p w14:paraId="59D9EB7B">
            <w:pPr>
              <w:autoSpaceDE w:val="0"/>
              <w:autoSpaceDN w:val="0"/>
              <w:adjustRightInd w:val="0"/>
              <w:snapToGrid w:val="0"/>
              <w:jc w:val="center"/>
              <w:rPr>
                <w:rFonts w:ascii="Times New Roman"/>
                <w:sz w:val="21"/>
                <w:szCs w:val="21"/>
              </w:rPr>
            </w:pPr>
          </w:p>
        </w:tc>
      </w:tr>
      <w:tr w14:paraId="2F59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4F63FAF">
            <w:pPr>
              <w:autoSpaceDE w:val="0"/>
              <w:autoSpaceDN w:val="0"/>
              <w:adjustRightInd w:val="0"/>
              <w:snapToGrid w:val="0"/>
              <w:jc w:val="center"/>
              <w:rPr>
                <w:rFonts w:ascii="Times New Roman"/>
                <w:sz w:val="21"/>
                <w:szCs w:val="21"/>
              </w:rPr>
            </w:pPr>
          </w:p>
        </w:tc>
        <w:tc>
          <w:tcPr>
            <w:tcW w:w="697" w:type="pct"/>
            <w:vAlign w:val="center"/>
          </w:tcPr>
          <w:p w14:paraId="01CBAAB0">
            <w:pPr>
              <w:autoSpaceDE w:val="0"/>
              <w:autoSpaceDN w:val="0"/>
              <w:adjustRightInd w:val="0"/>
              <w:snapToGrid w:val="0"/>
              <w:jc w:val="center"/>
              <w:rPr>
                <w:rFonts w:ascii="Times New Roman"/>
                <w:sz w:val="21"/>
                <w:szCs w:val="21"/>
              </w:rPr>
            </w:pPr>
            <w:r>
              <w:rPr>
                <w:rFonts w:ascii="Times New Roman"/>
                <w:sz w:val="21"/>
                <w:szCs w:val="21"/>
              </w:rPr>
              <w:t>组对焊机</w:t>
            </w:r>
          </w:p>
        </w:tc>
        <w:tc>
          <w:tcPr>
            <w:tcW w:w="346" w:type="pct"/>
            <w:vAlign w:val="center"/>
          </w:tcPr>
          <w:p w14:paraId="4966769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C2A6562">
            <w:pPr>
              <w:autoSpaceDE w:val="0"/>
              <w:autoSpaceDN w:val="0"/>
              <w:adjustRightInd w:val="0"/>
              <w:snapToGrid w:val="0"/>
              <w:jc w:val="center"/>
              <w:rPr>
                <w:rFonts w:ascii="Times New Roman"/>
                <w:sz w:val="21"/>
                <w:szCs w:val="21"/>
              </w:rPr>
            </w:pPr>
          </w:p>
        </w:tc>
        <w:tc>
          <w:tcPr>
            <w:tcW w:w="208" w:type="pct"/>
            <w:vAlign w:val="center"/>
          </w:tcPr>
          <w:p w14:paraId="53E2AD58">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0F6DA1E5">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0B02B9B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2286474">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75EFF5CD">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3C51535E">
            <w:pPr>
              <w:autoSpaceDE w:val="0"/>
              <w:autoSpaceDN w:val="0"/>
              <w:adjustRightInd w:val="0"/>
              <w:snapToGrid w:val="0"/>
              <w:jc w:val="center"/>
              <w:rPr>
                <w:rFonts w:ascii="Times New Roman"/>
                <w:sz w:val="21"/>
                <w:szCs w:val="21"/>
              </w:rPr>
            </w:pPr>
          </w:p>
        </w:tc>
        <w:tc>
          <w:tcPr>
            <w:tcW w:w="551" w:type="pct"/>
            <w:vAlign w:val="center"/>
          </w:tcPr>
          <w:p w14:paraId="0CE5177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BCD9516">
            <w:pPr>
              <w:autoSpaceDE w:val="0"/>
              <w:autoSpaceDN w:val="0"/>
              <w:adjustRightInd w:val="0"/>
              <w:snapToGrid w:val="0"/>
              <w:jc w:val="center"/>
              <w:rPr>
                <w:rFonts w:ascii="Times New Roman"/>
                <w:sz w:val="21"/>
                <w:szCs w:val="21"/>
              </w:rPr>
            </w:pPr>
          </w:p>
        </w:tc>
        <w:tc>
          <w:tcPr>
            <w:tcW w:w="287" w:type="pct"/>
            <w:vMerge w:val="continue"/>
            <w:vAlign w:val="center"/>
          </w:tcPr>
          <w:p w14:paraId="78E119F2">
            <w:pPr>
              <w:autoSpaceDE w:val="0"/>
              <w:autoSpaceDN w:val="0"/>
              <w:adjustRightInd w:val="0"/>
              <w:snapToGrid w:val="0"/>
              <w:jc w:val="center"/>
              <w:rPr>
                <w:rFonts w:ascii="Times New Roman"/>
                <w:sz w:val="21"/>
                <w:szCs w:val="21"/>
              </w:rPr>
            </w:pPr>
          </w:p>
        </w:tc>
        <w:tc>
          <w:tcPr>
            <w:tcW w:w="434" w:type="pct"/>
            <w:vMerge w:val="continue"/>
            <w:vAlign w:val="center"/>
          </w:tcPr>
          <w:p w14:paraId="741614C2">
            <w:pPr>
              <w:autoSpaceDE w:val="0"/>
              <w:autoSpaceDN w:val="0"/>
              <w:adjustRightInd w:val="0"/>
              <w:snapToGrid w:val="0"/>
              <w:jc w:val="center"/>
              <w:rPr>
                <w:rFonts w:ascii="Times New Roman"/>
                <w:sz w:val="21"/>
                <w:szCs w:val="21"/>
              </w:rPr>
            </w:pPr>
          </w:p>
        </w:tc>
      </w:tr>
      <w:tr w14:paraId="16AF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5B076E7">
            <w:pPr>
              <w:autoSpaceDE w:val="0"/>
              <w:autoSpaceDN w:val="0"/>
              <w:adjustRightInd w:val="0"/>
              <w:snapToGrid w:val="0"/>
              <w:jc w:val="center"/>
              <w:rPr>
                <w:rFonts w:ascii="Times New Roman"/>
                <w:sz w:val="21"/>
                <w:szCs w:val="21"/>
              </w:rPr>
            </w:pPr>
          </w:p>
        </w:tc>
        <w:tc>
          <w:tcPr>
            <w:tcW w:w="697" w:type="pct"/>
            <w:vAlign w:val="center"/>
          </w:tcPr>
          <w:p w14:paraId="0CC82EEE">
            <w:pPr>
              <w:autoSpaceDE w:val="0"/>
              <w:autoSpaceDN w:val="0"/>
              <w:adjustRightInd w:val="0"/>
              <w:snapToGrid w:val="0"/>
              <w:jc w:val="center"/>
              <w:rPr>
                <w:rFonts w:ascii="Times New Roman"/>
                <w:sz w:val="21"/>
                <w:szCs w:val="21"/>
              </w:rPr>
            </w:pPr>
            <w:r>
              <w:rPr>
                <w:rFonts w:ascii="Times New Roman"/>
                <w:sz w:val="21"/>
                <w:szCs w:val="21"/>
              </w:rPr>
              <w:t>组对焊机</w:t>
            </w:r>
          </w:p>
        </w:tc>
        <w:tc>
          <w:tcPr>
            <w:tcW w:w="346" w:type="pct"/>
            <w:vAlign w:val="center"/>
          </w:tcPr>
          <w:p w14:paraId="412E8BA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77DF453">
            <w:pPr>
              <w:autoSpaceDE w:val="0"/>
              <w:autoSpaceDN w:val="0"/>
              <w:adjustRightInd w:val="0"/>
              <w:snapToGrid w:val="0"/>
              <w:jc w:val="center"/>
              <w:rPr>
                <w:rFonts w:ascii="Times New Roman"/>
                <w:sz w:val="21"/>
                <w:szCs w:val="21"/>
              </w:rPr>
            </w:pPr>
          </w:p>
        </w:tc>
        <w:tc>
          <w:tcPr>
            <w:tcW w:w="208" w:type="pct"/>
            <w:vAlign w:val="center"/>
          </w:tcPr>
          <w:p w14:paraId="7BA843C3">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28F3CDE6">
            <w:pPr>
              <w:autoSpaceDE w:val="0"/>
              <w:autoSpaceDN w:val="0"/>
              <w:adjustRightInd w:val="0"/>
              <w:snapToGrid w:val="0"/>
              <w:jc w:val="center"/>
              <w:rPr>
                <w:rFonts w:ascii="Times New Roman"/>
                <w:sz w:val="21"/>
                <w:szCs w:val="21"/>
              </w:rPr>
            </w:pPr>
            <w:r>
              <w:rPr>
                <w:rFonts w:ascii="Times New Roman"/>
                <w:sz w:val="21"/>
                <w:szCs w:val="21"/>
              </w:rPr>
              <w:t>202</w:t>
            </w:r>
          </w:p>
        </w:tc>
        <w:tc>
          <w:tcPr>
            <w:tcW w:w="240" w:type="pct"/>
            <w:vAlign w:val="center"/>
          </w:tcPr>
          <w:p w14:paraId="3BF2219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63E5078">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57DC8EE2">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6E7084E3">
            <w:pPr>
              <w:autoSpaceDE w:val="0"/>
              <w:autoSpaceDN w:val="0"/>
              <w:adjustRightInd w:val="0"/>
              <w:snapToGrid w:val="0"/>
              <w:jc w:val="center"/>
              <w:rPr>
                <w:rFonts w:ascii="Times New Roman"/>
                <w:sz w:val="21"/>
                <w:szCs w:val="21"/>
              </w:rPr>
            </w:pPr>
          </w:p>
        </w:tc>
        <w:tc>
          <w:tcPr>
            <w:tcW w:w="551" w:type="pct"/>
            <w:vAlign w:val="center"/>
          </w:tcPr>
          <w:p w14:paraId="2BAEBC0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4F1B140">
            <w:pPr>
              <w:autoSpaceDE w:val="0"/>
              <w:autoSpaceDN w:val="0"/>
              <w:adjustRightInd w:val="0"/>
              <w:snapToGrid w:val="0"/>
              <w:jc w:val="center"/>
              <w:rPr>
                <w:rFonts w:ascii="Times New Roman"/>
                <w:sz w:val="21"/>
                <w:szCs w:val="21"/>
              </w:rPr>
            </w:pPr>
          </w:p>
        </w:tc>
        <w:tc>
          <w:tcPr>
            <w:tcW w:w="287" w:type="pct"/>
            <w:vMerge w:val="continue"/>
            <w:vAlign w:val="center"/>
          </w:tcPr>
          <w:p w14:paraId="2734EC92">
            <w:pPr>
              <w:autoSpaceDE w:val="0"/>
              <w:autoSpaceDN w:val="0"/>
              <w:adjustRightInd w:val="0"/>
              <w:snapToGrid w:val="0"/>
              <w:jc w:val="center"/>
              <w:rPr>
                <w:rFonts w:ascii="Times New Roman"/>
                <w:sz w:val="21"/>
                <w:szCs w:val="21"/>
              </w:rPr>
            </w:pPr>
          </w:p>
        </w:tc>
        <w:tc>
          <w:tcPr>
            <w:tcW w:w="434" w:type="pct"/>
            <w:vMerge w:val="continue"/>
            <w:vAlign w:val="center"/>
          </w:tcPr>
          <w:p w14:paraId="188D71B6">
            <w:pPr>
              <w:autoSpaceDE w:val="0"/>
              <w:autoSpaceDN w:val="0"/>
              <w:adjustRightInd w:val="0"/>
              <w:snapToGrid w:val="0"/>
              <w:jc w:val="center"/>
              <w:rPr>
                <w:rFonts w:ascii="Times New Roman"/>
                <w:sz w:val="21"/>
                <w:szCs w:val="21"/>
              </w:rPr>
            </w:pPr>
          </w:p>
        </w:tc>
      </w:tr>
      <w:tr w14:paraId="224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4A122D9">
            <w:pPr>
              <w:autoSpaceDE w:val="0"/>
              <w:autoSpaceDN w:val="0"/>
              <w:adjustRightInd w:val="0"/>
              <w:snapToGrid w:val="0"/>
              <w:jc w:val="center"/>
              <w:rPr>
                <w:rFonts w:ascii="Times New Roman"/>
                <w:sz w:val="21"/>
                <w:szCs w:val="21"/>
              </w:rPr>
            </w:pPr>
          </w:p>
        </w:tc>
        <w:tc>
          <w:tcPr>
            <w:tcW w:w="697" w:type="pct"/>
            <w:vAlign w:val="center"/>
          </w:tcPr>
          <w:p w14:paraId="01E1BDA0">
            <w:pPr>
              <w:autoSpaceDE w:val="0"/>
              <w:autoSpaceDN w:val="0"/>
              <w:adjustRightInd w:val="0"/>
              <w:snapToGrid w:val="0"/>
              <w:jc w:val="center"/>
              <w:rPr>
                <w:rFonts w:ascii="Times New Roman"/>
                <w:sz w:val="21"/>
                <w:szCs w:val="21"/>
              </w:rPr>
            </w:pPr>
            <w:r>
              <w:rPr>
                <w:rFonts w:ascii="Times New Roman"/>
                <w:sz w:val="21"/>
                <w:szCs w:val="21"/>
              </w:rPr>
              <w:t>双枪焊机</w:t>
            </w:r>
          </w:p>
        </w:tc>
        <w:tc>
          <w:tcPr>
            <w:tcW w:w="346" w:type="pct"/>
            <w:vAlign w:val="center"/>
          </w:tcPr>
          <w:p w14:paraId="0DA0A94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37225B8">
            <w:pPr>
              <w:autoSpaceDE w:val="0"/>
              <w:autoSpaceDN w:val="0"/>
              <w:adjustRightInd w:val="0"/>
              <w:snapToGrid w:val="0"/>
              <w:jc w:val="center"/>
              <w:rPr>
                <w:rFonts w:ascii="Times New Roman"/>
                <w:sz w:val="21"/>
                <w:szCs w:val="21"/>
              </w:rPr>
            </w:pPr>
          </w:p>
        </w:tc>
        <w:tc>
          <w:tcPr>
            <w:tcW w:w="208" w:type="pct"/>
            <w:vAlign w:val="center"/>
          </w:tcPr>
          <w:p w14:paraId="3F0128AC">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471C389D">
            <w:pPr>
              <w:autoSpaceDE w:val="0"/>
              <w:autoSpaceDN w:val="0"/>
              <w:adjustRightInd w:val="0"/>
              <w:snapToGrid w:val="0"/>
              <w:jc w:val="center"/>
              <w:rPr>
                <w:rFonts w:ascii="Times New Roman"/>
                <w:sz w:val="21"/>
                <w:szCs w:val="21"/>
              </w:rPr>
            </w:pPr>
            <w:r>
              <w:rPr>
                <w:rFonts w:ascii="Times New Roman"/>
                <w:sz w:val="21"/>
                <w:szCs w:val="21"/>
              </w:rPr>
              <w:t>204</w:t>
            </w:r>
          </w:p>
        </w:tc>
        <w:tc>
          <w:tcPr>
            <w:tcW w:w="240" w:type="pct"/>
            <w:vAlign w:val="center"/>
          </w:tcPr>
          <w:p w14:paraId="1F50A00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9F3999F">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1CB8ADAB">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4E6E1DF0">
            <w:pPr>
              <w:autoSpaceDE w:val="0"/>
              <w:autoSpaceDN w:val="0"/>
              <w:adjustRightInd w:val="0"/>
              <w:snapToGrid w:val="0"/>
              <w:jc w:val="center"/>
              <w:rPr>
                <w:rFonts w:ascii="Times New Roman"/>
                <w:sz w:val="21"/>
                <w:szCs w:val="21"/>
              </w:rPr>
            </w:pPr>
          </w:p>
        </w:tc>
        <w:tc>
          <w:tcPr>
            <w:tcW w:w="551" w:type="pct"/>
            <w:vAlign w:val="center"/>
          </w:tcPr>
          <w:p w14:paraId="6215C23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61694FC">
            <w:pPr>
              <w:autoSpaceDE w:val="0"/>
              <w:autoSpaceDN w:val="0"/>
              <w:adjustRightInd w:val="0"/>
              <w:snapToGrid w:val="0"/>
              <w:jc w:val="center"/>
              <w:rPr>
                <w:rFonts w:ascii="Times New Roman"/>
                <w:sz w:val="21"/>
                <w:szCs w:val="21"/>
              </w:rPr>
            </w:pPr>
          </w:p>
        </w:tc>
        <w:tc>
          <w:tcPr>
            <w:tcW w:w="287" w:type="pct"/>
            <w:vMerge w:val="continue"/>
            <w:vAlign w:val="center"/>
          </w:tcPr>
          <w:p w14:paraId="6099BBBF">
            <w:pPr>
              <w:autoSpaceDE w:val="0"/>
              <w:autoSpaceDN w:val="0"/>
              <w:adjustRightInd w:val="0"/>
              <w:snapToGrid w:val="0"/>
              <w:jc w:val="center"/>
              <w:rPr>
                <w:rFonts w:ascii="Times New Roman"/>
                <w:sz w:val="21"/>
                <w:szCs w:val="21"/>
              </w:rPr>
            </w:pPr>
          </w:p>
        </w:tc>
        <w:tc>
          <w:tcPr>
            <w:tcW w:w="434" w:type="pct"/>
            <w:vMerge w:val="continue"/>
            <w:vAlign w:val="center"/>
          </w:tcPr>
          <w:p w14:paraId="13A5E393">
            <w:pPr>
              <w:autoSpaceDE w:val="0"/>
              <w:autoSpaceDN w:val="0"/>
              <w:adjustRightInd w:val="0"/>
              <w:snapToGrid w:val="0"/>
              <w:jc w:val="center"/>
              <w:rPr>
                <w:rFonts w:ascii="Times New Roman"/>
                <w:sz w:val="21"/>
                <w:szCs w:val="21"/>
              </w:rPr>
            </w:pPr>
          </w:p>
        </w:tc>
      </w:tr>
      <w:tr w14:paraId="38C3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12158B3">
            <w:pPr>
              <w:autoSpaceDE w:val="0"/>
              <w:autoSpaceDN w:val="0"/>
              <w:adjustRightInd w:val="0"/>
              <w:snapToGrid w:val="0"/>
              <w:jc w:val="center"/>
              <w:rPr>
                <w:rFonts w:ascii="Times New Roman"/>
                <w:sz w:val="21"/>
                <w:szCs w:val="21"/>
              </w:rPr>
            </w:pPr>
          </w:p>
        </w:tc>
        <w:tc>
          <w:tcPr>
            <w:tcW w:w="697" w:type="pct"/>
            <w:vAlign w:val="center"/>
          </w:tcPr>
          <w:p w14:paraId="5A4026AA">
            <w:pPr>
              <w:autoSpaceDE w:val="0"/>
              <w:autoSpaceDN w:val="0"/>
              <w:adjustRightInd w:val="0"/>
              <w:snapToGrid w:val="0"/>
              <w:jc w:val="center"/>
              <w:rPr>
                <w:rFonts w:ascii="Times New Roman"/>
                <w:sz w:val="21"/>
                <w:szCs w:val="21"/>
              </w:rPr>
            </w:pPr>
            <w:r>
              <w:rPr>
                <w:rFonts w:ascii="Times New Roman"/>
                <w:sz w:val="21"/>
                <w:szCs w:val="21"/>
              </w:rPr>
              <w:t>双枪焊机</w:t>
            </w:r>
          </w:p>
        </w:tc>
        <w:tc>
          <w:tcPr>
            <w:tcW w:w="346" w:type="pct"/>
            <w:vAlign w:val="center"/>
          </w:tcPr>
          <w:p w14:paraId="620C31B0">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F1E1961">
            <w:pPr>
              <w:autoSpaceDE w:val="0"/>
              <w:autoSpaceDN w:val="0"/>
              <w:adjustRightInd w:val="0"/>
              <w:snapToGrid w:val="0"/>
              <w:jc w:val="center"/>
              <w:rPr>
                <w:rFonts w:ascii="Times New Roman"/>
                <w:sz w:val="21"/>
                <w:szCs w:val="21"/>
              </w:rPr>
            </w:pPr>
          </w:p>
        </w:tc>
        <w:tc>
          <w:tcPr>
            <w:tcW w:w="208" w:type="pct"/>
            <w:vAlign w:val="center"/>
          </w:tcPr>
          <w:p w14:paraId="415EBD2C">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43BCD833">
            <w:pPr>
              <w:autoSpaceDE w:val="0"/>
              <w:autoSpaceDN w:val="0"/>
              <w:adjustRightInd w:val="0"/>
              <w:snapToGrid w:val="0"/>
              <w:jc w:val="center"/>
              <w:rPr>
                <w:rFonts w:ascii="Times New Roman"/>
                <w:sz w:val="21"/>
                <w:szCs w:val="21"/>
              </w:rPr>
            </w:pPr>
            <w:r>
              <w:rPr>
                <w:rFonts w:ascii="Times New Roman"/>
                <w:sz w:val="21"/>
                <w:szCs w:val="21"/>
              </w:rPr>
              <w:t>206</w:t>
            </w:r>
          </w:p>
        </w:tc>
        <w:tc>
          <w:tcPr>
            <w:tcW w:w="240" w:type="pct"/>
            <w:vAlign w:val="center"/>
          </w:tcPr>
          <w:p w14:paraId="23E4DE6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B9683D8">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65E79C02">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3310361F">
            <w:pPr>
              <w:autoSpaceDE w:val="0"/>
              <w:autoSpaceDN w:val="0"/>
              <w:adjustRightInd w:val="0"/>
              <w:snapToGrid w:val="0"/>
              <w:jc w:val="center"/>
              <w:rPr>
                <w:rFonts w:ascii="Times New Roman"/>
                <w:sz w:val="21"/>
                <w:szCs w:val="21"/>
              </w:rPr>
            </w:pPr>
          </w:p>
        </w:tc>
        <w:tc>
          <w:tcPr>
            <w:tcW w:w="551" w:type="pct"/>
            <w:vAlign w:val="center"/>
          </w:tcPr>
          <w:p w14:paraId="3AEC157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83D2C78">
            <w:pPr>
              <w:autoSpaceDE w:val="0"/>
              <w:autoSpaceDN w:val="0"/>
              <w:adjustRightInd w:val="0"/>
              <w:snapToGrid w:val="0"/>
              <w:jc w:val="center"/>
              <w:rPr>
                <w:rFonts w:ascii="Times New Roman"/>
                <w:sz w:val="21"/>
                <w:szCs w:val="21"/>
              </w:rPr>
            </w:pPr>
          </w:p>
        </w:tc>
        <w:tc>
          <w:tcPr>
            <w:tcW w:w="287" w:type="pct"/>
            <w:vMerge w:val="continue"/>
            <w:vAlign w:val="center"/>
          </w:tcPr>
          <w:p w14:paraId="01D7D1B6">
            <w:pPr>
              <w:autoSpaceDE w:val="0"/>
              <w:autoSpaceDN w:val="0"/>
              <w:adjustRightInd w:val="0"/>
              <w:snapToGrid w:val="0"/>
              <w:jc w:val="center"/>
              <w:rPr>
                <w:rFonts w:ascii="Times New Roman"/>
                <w:sz w:val="21"/>
                <w:szCs w:val="21"/>
              </w:rPr>
            </w:pPr>
          </w:p>
        </w:tc>
        <w:tc>
          <w:tcPr>
            <w:tcW w:w="434" w:type="pct"/>
            <w:vMerge w:val="continue"/>
            <w:vAlign w:val="center"/>
          </w:tcPr>
          <w:p w14:paraId="2F6F61B2">
            <w:pPr>
              <w:autoSpaceDE w:val="0"/>
              <w:autoSpaceDN w:val="0"/>
              <w:adjustRightInd w:val="0"/>
              <w:snapToGrid w:val="0"/>
              <w:jc w:val="center"/>
              <w:rPr>
                <w:rFonts w:ascii="Times New Roman"/>
                <w:sz w:val="21"/>
                <w:szCs w:val="21"/>
              </w:rPr>
            </w:pPr>
          </w:p>
        </w:tc>
      </w:tr>
      <w:tr w14:paraId="7B45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01FFFCF">
            <w:pPr>
              <w:autoSpaceDE w:val="0"/>
              <w:autoSpaceDN w:val="0"/>
              <w:adjustRightInd w:val="0"/>
              <w:snapToGrid w:val="0"/>
              <w:jc w:val="center"/>
              <w:rPr>
                <w:rFonts w:ascii="Times New Roman"/>
                <w:sz w:val="21"/>
                <w:szCs w:val="21"/>
              </w:rPr>
            </w:pPr>
          </w:p>
        </w:tc>
        <w:tc>
          <w:tcPr>
            <w:tcW w:w="697" w:type="pct"/>
            <w:vAlign w:val="center"/>
          </w:tcPr>
          <w:p w14:paraId="6775DC5B">
            <w:pPr>
              <w:autoSpaceDE w:val="0"/>
              <w:autoSpaceDN w:val="0"/>
              <w:adjustRightInd w:val="0"/>
              <w:snapToGrid w:val="0"/>
              <w:jc w:val="center"/>
              <w:rPr>
                <w:rFonts w:ascii="Times New Roman"/>
                <w:sz w:val="21"/>
                <w:szCs w:val="21"/>
              </w:rPr>
            </w:pPr>
            <w:r>
              <w:rPr>
                <w:rFonts w:ascii="Times New Roman"/>
                <w:sz w:val="21"/>
                <w:szCs w:val="21"/>
              </w:rPr>
              <w:t>双枪焊机</w:t>
            </w:r>
          </w:p>
        </w:tc>
        <w:tc>
          <w:tcPr>
            <w:tcW w:w="346" w:type="pct"/>
            <w:vAlign w:val="center"/>
          </w:tcPr>
          <w:p w14:paraId="7BFCCA8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F479D71">
            <w:pPr>
              <w:autoSpaceDE w:val="0"/>
              <w:autoSpaceDN w:val="0"/>
              <w:adjustRightInd w:val="0"/>
              <w:snapToGrid w:val="0"/>
              <w:jc w:val="center"/>
              <w:rPr>
                <w:rFonts w:ascii="Times New Roman"/>
                <w:sz w:val="21"/>
                <w:szCs w:val="21"/>
              </w:rPr>
            </w:pPr>
          </w:p>
        </w:tc>
        <w:tc>
          <w:tcPr>
            <w:tcW w:w="208" w:type="pct"/>
            <w:vAlign w:val="center"/>
          </w:tcPr>
          <w:p w14:paraId="3E4A938C">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72EBA4D7">
            <w:pPr>
              <w:autoSpaceDE w:val="0"/>
              <w:autoSpaceDN w:val="0"/>
              <w:adjustRightInd w:val="0"/>
              <w:snapToGrid w:val="0"/>
              <w:jc w:val="center"/>
              <w:rPr>
                <w:rFonts w:ascii="Times New Roman"/>
                <w:sz w:val="21"/>
                <w:szCs w:val="21"/>
              </w:rPr>
            </w:pPr>
            <w:r>
              <w:rPr>
                <w:rFonts w:ascii="Times New Roman"/>
                <w:sz w:val="21"/>
                <w:szCs w:val="21"/>
              </w:rPr>
              <w:t>208</w:t>
            </w:r>
          </w:p>
        </w:tc>
        <w:tc>
          <w:tcPr>
            <w:tcW w:w="240" w:type="pct"/>
            <w:vAlign w:val="center"/>
          </w:tcPr>
          <w:p w14:paraId="701268A5">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BBFC934">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5DC49EA4">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763DFB7A">
            <w:pPr>
              <w:autoSpaceDE w:val="0"/>
              <w:autoSpaceDN w:val="0"/>
              <w:adjustRightInd w:val="0"/>
              <w:snapToGrid w:val="0"/>
              <w:jc w:val="center"/>
              <w:rPr>
                <w:rFonts w:ascii="Times New Roman"/>
                <w:sz w:val="21"/>
                <w:szCs w:val="21"/>
              </w:rPr>
            </w:pPr>
          </w:p>
        </w:tc>
        <w:tc>
          <w:tcPr>
            <w:tcW w:w="551" w:type="pct"/>
            <w:vAlign w:val="center"/>
          </w:tcPr>
          <w:p w14:paraId="30BE3BF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F7CFCD7">
            <w:pPr>
              <w:autoSpaceDE w:val="0"/>
              <w:autoSpaceDN w:val="0"/>
              <w:adjustRightInd w:val="0"/>
              <w:snapToGrid w:val="0"/>
              <w:jc w:val="center"/>
              <w:rPr>
                <w:rFonts w:ascii="Times New Roman"/>
                <w:sz w:val="21"/>
                <w:szCs w:val="21"/>
              </w:rPr>
            </w:pPr>
          </w:p>
        </w:tc>
        <w:tc>
          <w:tcPr>
            <w:tcW w:w="287" w:type="pct"/>
            <w:vMerge w:val="continue"/>
            <w:vAlign w:val="center"/>
          </w:tcPr>
          <w:p w14:paraId="147B8183">
            <w:pPr>
              <w:autoSpaceDE w:val="0"/>
              <w:autoSpaceDN w:val="0"/>
              <w:adjustRightInd w:val="0"/>
              <w:snapToGrid w:val="0"/>
              <w:jc w:val="center"/>
              <w:rPr>
                <w:rFonts w:ascii="Times New Roman"/>
                <w:sz w:val="21"/>
                <w:szCs w:val="21"/>
              </w:rPr>
            </w:pPr>
          </w:p>
        </w:tc>
        <w:tc>
          <w:tcPr>
            <w:tcW w:w="434" w:type="pct"/>
            <w:vMerge w:val="continue"/>
            <w:vAlign w:val="center"/>
          </w:tcPr>
          <w:p w14:paraId="48765A79">
            <w:pPr>
              <w:autoSpaceDE w:val="0"/>
              <w:autoSpaceDN w:val="0"/>
              <w:adjustRightInd w:val="0"/>
              <w:snapToGrid w:val="0"/>
              <w:jc w:val="center"/>
              <w:rPr>
                <w:rFonts w:ascii="Times New Roman"/>
                <w:sz w:val="21"/>
                <w:szCs w:val="21"/>
              </w:rPr>
            </w:pPr>
          </w:p>
        </w:tc>
      </w:tr>
      <w:tr w14:paraId="2895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A4F175E">
            <w:pPr>
              <w:autoSpaceDE w:val="0"/>
              <w:autoSpaceDN w:val="0"/>
              <w:adjustRightInd w:val="0"/>
              <w:snapToGrid w:val="0"/>
              <w:jc w:val="center"/>
              <w:rPr>
                <w:rFonts w:ascii="Times New Roman"/>
                <w:sz w:val="21"/>
                <w:szCs w:val="21"/>
              </w:rPr>
            </w:pPr>
          </w:p>
        </w:tc>
        <w:tc>
          <w:tcPr>
            <w:tcW w:w="697" w:type="pct"/>
            <w:vAlign w:val="center"/>
          </w:tcPr>
          <w:p w14:paraId="1179197E">
            <w:pPr>
              <w:autoSpaceDE w:val="0"/>
              <w:autoSpaceDN w:val="0"/>
              <w:adjustRightInd w:val="0"/>
              <w:snapToGrid w:val="0"/>
              <w:jc w:val="center"/>
              <w:rPr>
                <w:rFonts w:ascii="Times New Roman"/>
                <w:sz w:val="21"/>
                <w:szCs w:val="21"/>
              </w:rPr>
            </w:pPr>
            <w:r>
              <w:rPr>
                <w:rFonts w:ascii="Times New Roman"/>
                <w:sz w:val="21"/>
                <w:szCs w:val="21"/>
              </w:rPr>
              <w:t>双枪焊机</w:t>
            </w:r>
          </w:p>
        </w:tc>
        <w:tc>
          <w:tcPr>
            <w:tcW w:w="346" w:type="pct"/>
            <w:vAlign w:val="center"/>
          </w:tcPr>
          <w:p w14:paraId="348694A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DA785B4">
            <w:pPr>
              <w:autoSpaceDE w:val="0"/>
              <w:autoSpaceDN w:val="0"/>
              <w:adjustRightInd w:val="0"/>
              <w:snapToGrid w:val="0"/>
              <w:jc w:val="center"/>
              <w:rPr>
                <w:rFonts w:ascii="Times New Roman"/>
                <w:sz w:val="21"/>
                <w:szCs w:val="21"/>
              </w:rPr>
            </w:pPr>
          </w:p>
        </w:tc>
        <w:tc>
          <w:tcPr>
            <w:tcW w:w="208" w:type="pct"/>
            <w:vAlign w:val="center"/>
          </w:tcPr>
          <w:p w14:paraId="077A434B">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7B2C999A">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338DE1BF">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D926127">
            <w:pPr>
              <w:autoSpaceDE w:val="0"/>
              <w:autoSpaceDN w:val="0"/>
              <w:adjustRightInd w:val="0"/>
              <w:snapToGrid w:val="0"/>
              <w:jc w:val="center"/>
              <w:rPr>
                <w:rFonts w:ascii="Times New Roman"/>
                <w:sz w:val="21"/>
                <w:szCs w:val="21"/>
              </w:rPr>
            </w:pPr>
            <w:r>
              <w:rPr>
                <w:rFonts w:ascii="Times New Roman"/>
                <w:sz w:val="21"/>
                <w:szCs w:val="21"/>
              </w:rPr>
              <w:t>123.52</w:t>
            </w:r>
          </w:p>
        </w:tc>
        <w:tc>
          <w:tcPr>
            <w:tcW w:w="358" w:type="pct"/>
            <w:vAlign w:val="center"/>
          </w:tcPr>
          <w:p w14:paraId="003092CF">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0A857EC7">
            <w:pPr>
              <w:autoSpaceDE w:val="0"/>
              <w:autoSpaceDN w:val="0"/>
              <w:adjustRightInd w:val="0"/>
              <w:snapToGrid w:val="0"/>
              <w:jc w:val="center"/>
              <w:rPr>
                <w:rFonts w:ascii="Times New Roman"/>
                <w:sz w:val="21"/>
                <w:szCs w:val="21"/>
              </w:rPr>
            </w:pPr>
          </w:p>
        </w:tc>
        <w:tc>
          <w:tcPr>
            <w:tcW w:w="551" w:type="pct"/>
            <w:vAlign w:val="center"/>
          </w:tcPr>
          <w:p w14:paraId="30328FE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0BB57E2">
            <w:pPr>
              <w:autoSpaceDE w:val="0"/>
              <w:autoSpaceDN w:val="0"/>
              <w:adjustRightInd w:val="0"/>
              <w:snapToGrid w:val="0"/>
              <w:jc w:val="center"/>
              <w:rPr>
                <w:rFonts w:ascii="Times New Roman"/>
                <w:sz w:val="21"/>
                <w:szCs w:val="21"/>
              </w:rPr>
            </w:pPr>
          </w:p>
        </w:tc>
        <w:tc>
          <w:tcPr>
            <w:tcW w:w="287" w:type="pct"/>
            <w:vMerge w:val="continue"/>
            <w:vAlign w:val="center"/>
          </w:tcPr>
          <w:p w14:paraId="06ACB824">
            <w:pPr>
              <w:autoSpaceDE w:val="0"/>
              <w:autoSpaceDN w:val="0"/>
              <w:adjustRightInd w:val="0"/>
              <w:snapToGrid w:val="0"/>
              <w:jc w:val="center"/>
              <w:rPr>
                <w:rFonts w:ascii="Times New Roman"/>
                <w:sz w:val="21"/>
                <w:szCs w:val="21"/>
              </w:rPr>
            </w:pPr>
          </w:p>
        </w:tc>
        <w:tc>
          <w:tcPr>
            <w:tcW w:w="434" w:type="pct"/>
            <w:vMerge w:val="continue"/>
            <w:vAlign w:val="center"/>
          </w:tcPr>
          <w:p w14:paraId="48EC7F84">
            <w:pPr>
              <w:autoSpaceDE w:val="0"/>
              <w:autoSpaceDN w:val="0"/>
              <w:adjustRightInd w:val="0"/>
              <w:snapToGrid w:val="0"/>
              <w:jc w:val="center"/>
              <w:rPr>
                <w:rFonts w:ascii="Times New Roman"/>
                <w:sz w:val="21"/>
                <w:szCs w:val="21"/>
              </w:rPr>
            </w:pPr>
          </w:p>
        </w:tc>
      </w:tr>
      <w:tr w14:paraId="4123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4CDF418">
            <w:pPr>
              <w:autoSpaceDE w:val="0"/>
              <w:autoSpaceDN w:val="0"/>
              <w:adjustRightInd w:val="0"/>
              <w:snapToGrid w:val="0"/>
              <w:jc w:val="center"/>
              <w:rPr>
                <w:rFonts w:ascii="Times New Roman"/>
                <w:sz w:val="21"/>
                <w:szCs w:val="21"/>
              </w:rPr>
            </w:pPr>
          </w:p>
        </w:tc>
        <w:tc>
          <w:tcPr>
            <w:tcW w:w="697" w:type="pct"/>
            <w:vAlign w:val="center"/>
          </w:tcPr>
          <w:p w14:paraId="53C8BEAF">
            <w:pPr>
              <w:autoSpaceDE w:val="0"/>
              <w:autoSpaceDN w:val="0"/>
              <w:adjustRightInd w:val="0"/>
              <w:snapToGrid w:val="0"/>
              <w:jc w:val="center"/>
              <w:rPr>
                <w:rFonts w:ascii="Times New Roman"/>
                <w:sz w:val="21"/>
                <w:szCs w:val="21"/>
              </w:rPr>
            </w:pPr>
            <w:r>
              <w:rPr>
                <w:rFonts w:ascii="Times New Roman"/>
                <w:sz w:val="21"/>
                <w:szCs w:val="21"/>
              </w:rPr>
              <w:t>双枪焊机</w:t>
            </w:r>
          </w:p>
        </w:tc>
        <w:tc>
          <w:tcPr>
            <w:tcW w:w="346" w:type="pct"/>
            <w:vAlign w:val="center"/>
          </w:tcPr>
          <w:p w14:paraId="16BE7C0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0F66FC7">
            <w:pPr>
              <w:autoSpaceDE w:val="0"/>
              <w:autoSpaceDN w:val="0"/>
              <w:adjustRightInd w:val="0"/>
              <w:snapToGrid w:val="0"/>
              <w:jc w:val="center"/>
              <w:rPr>
                <w:rFonts w:ascii="Times New Roman"/>
                <w:sz w:val="21"/>
                <w:szCs w:val="21"/>
              </w:rPr>
            </w:pPr>
          </w:p>
        </w:tc>
        <w:tc>
          <w:tcPr>
            <w:tcW w:w="208" w:type="pct"/>
            <w:vAlign w:val="center"/>
          </w:tcPr>
          <w:p w14:paraId="3F398C83">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24AE1446">
            <w:pPr>
              <w:autoSpaceDE w:val="0"/>
              <w:autoSpaceDN w:val="0"/>
              <w:adjustRightInd w:val="0"/>
              <w:snapToGrid w:val="0"/>
              <w:jc w:val="center"/>
              <w:rPr>
                <w:rFonts w:ascii="Times New Roman"/>
                <w:sz w:val="21"/>
                <w:szCs w:val="21"/>
              </w:rPr>
            </w:pPr>
            <w:r>
              <w:rPr>
                <w:rFonts w:ascii="Times New Roman"/>
                <w:sz w:val="21"/>
                <w:szCs w:val="21"/>
              </w:rPr>
              <w:t>212</w:t>
            </w:r>
          </w:p>
        </w:tc>
        <w:tc>
          <w:tcPr>
            <w:tcW w:w="240" w:type="pct"/>
            <w:vAlign w:val="center"/>
          </w:tcPr>
          <w:p w14:paraId="1114108A">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93F1A75">
            <w:pPr>
              <w:autoSpaceDE w:val="0"/>
              <w:autoSpaceDN w:val="0"/>
              <w:adjustRightInd w:val="0"/>
              <w:snapToGrid w:val="0"/>
              <w:jc w:val="center"/>
              <w:rPr>
                <w:rFonts w:ascii="Times New Roman"/>
                <w:sz w:val="21"/>
                <w:szCs w:val="21"/>
              </w:rPr>
            </w:pPr>
            <w:r>
              <w:rPr>
                <w:rFonts w:ascii="Times New Roman"/>
                <w:sz w:val="21"/>
                <w:szCs w:val="21"/>
              </w:rPr>
              <w:t>122.6</w:t>
            </w:r>
          </w:p>
        </w:tc>
        <w:tc>
          <w:tcPr>
            <w:tcW w:w="358" w:type="pct"/>
            <w:vAlign w:val="center"/>
          </w:tcPr>
          <w:p w14:paraId="56F619E1">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56F3CF0E">
            <w:pPr>
              <w:autoSpaceDE w:val="0"/>
              <w:autoSpaceDN w:val="0"/>
              <w:adjustRightInd w:val="0"/>
              <w:snapToGrid w:val="0"/>
              <w:jc w:val="center"/>
              <w:rPr>
                <w:rFonts w:ascii="Times New Roman"/>
                <w:sz w:val="21"/>
                <w:szCs w:val="21"/>
              </w:rPr>
            </w:pPr>
          </w:p>
        </w:tc>
        <w:tc>
          <w:tcPr>
            <w:tcW w:w="551" w:type="pct"/>
            <w:vAlign w:val="center"/>
          </w:tcPr>
          <w:p w14:paraId="467830F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61861EF">
            <w:pPr>
              <w:autoSpaceDE w:val="0"/>
              <w:autoSpaceDN w:val="0"/>
              <w:adjustRightInd w:val="0"/>
              <w:snapToGrid w:val="0"/>
              <w:jc w:val="center"/>
              <w:rPr>
                <w:rFonts w:ascii="Times New Roman"/>
                <w:sz w:val="21"/>
                <w:szCs w:val="21"/>
              </w:rPr>
            </w:pPr>
          </w:p>
        </w:tc>
        <w:tc>
          <w:tcPr>
            <w:tcW w:w="287" w:type="pct"/>
            <w:vMerge w:val="continue"/>
            <w:vAlign w:val="center"/>
          </w:tcPr>
          <w:p w14:paraId="09DF1B87">
            <w:pPr>
              <w:autoSpaceDE w:val="0"/>
              <w:autoSpaceDN w:val="0"/>
              <w:adjustRightInd w:val="0"/>
              <w:snapToGrid w:val="0"/>
              <w:jc w:val="center"/>
              <w:rPr>
                <w:rFonts w:ascii="Times New Roman"/>
                <w:sz w:val="21"/>
                <w:szCs w:val="21"/>
              </w:rPr>
            </w:pPr>
          </w:p>
        </w:tc>
        <w:tc>
          <w:tcPr>
            <w:tcW w:w="434" w:type="pct"/>
            <w:vMerge w:val="continue"/>
            <w:vAlign w:val="center"/>
          </w:tcPr>
          <w:p w14:paraId="2F1331EF">
            <w:pPr>
              <w:autoSpaceDE w:val="0"/>
              <w:autoSpaceDN w:val="0"/>
              <w:adjustRightInd w:val="0"/>
              <w:snapToGrid w:val="0"/>
              <w:jc w:val="center"/>
              <w:rPr>
                <w:rFonts w:ascii="Times New Roman"/>
                <w:sz w:val="21"/>
                <w:szCs w:val="21"/>
              </w:rPr>
            </w:pPr>
          </w:p>
        </w:tc>
      </w:tr>
      <w:tr w14:paraId="7EC6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42BFD38">
            <w:pPr>
              <w:autoSpaceDE w:val="0"/>
              <w:autoSpaceDN w:val="0"/>
              <w:adjustRightInd w:val="0"/>
              <w:snapToGrid w:val="0"/>
              <w:jc w:val="center"/>
              <w:rPr>
                <w:rFonts w:ascii="Times New Roman"/>
                <w:sz w:val="21"/>
                <w:szCs w:val="21"/>
              </w:rPr>
            </w:pPr>
          </w:p>
        </w:tc>
        <w:tc>
          <w:tcPr>
            <w:tcW w:w="697" w:type="pct"/>
            <w:vAlign w:val="center"/>
          </w:tcPr>
          <w:p w14:paraId="78D2E418">
            <w:pPr>
              <w:autoSpaceDE w:val="0"/>
              <w:autoSpaceDN w:val="0"/>
              <w:adjustRightInd w:val="0"/>
              <w:snapToGrid w:val="0"/>
              <w:jc w:val="center"/>
              <w:rPr>
                <w:rFonts w:ascii="Times New Roman"/>
                <w:sz w:val="21"/>
                <w:szCs w:val="21"/>
              </w:rPr>
            </w:pPr>
            <w:r>
              <w:rPr>
                <w:rFonts w:ascii="Times New Roman"/>
                <w:sz w:val="21"/>
                <w:szCs w:val="21"/>
              </w:rPr>
              <w:t>双枪焊机</w:t>
            </w:r>
          </w:p>
        </w:tc>
        <w:tc>
          <w:tcPr>
            <w:tcW w:w="346" w:type="pct"/>
            <w:vAlign w:val="center"/>
          </w:tcPr>
          <w:p w14:paraId="53F8B99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383C416">
            <w:pPr>
              <w:autoSpaceDE w:val="0"/>
              <w:autoSpaceDN w:val="0"/>
              <w:adjustRightInd w:val="0"/>
              <w:snapToGrid w:val="0"/>
              <w:jc w:val="center"/>
              <w:rPr>
                <w:rFonts w:ascii="Times New Roman"/>
                <w:sz w:val="21"/>
                <w:szCs w:val="21"/>
              </w:rPr>
            </w:pPr>
          </w:p>
        </w:tc>
        <w:tc>
          <w:tcPr>
            <w:tcW w:w="208" w:type="pct"/>
            <w:vAlign w:val="center"/>
          </w:tcPr>
          <w:p w14:paraId="73E1AE17">
            <w:pPr>
              <w:autoSpaceDE w:val="0"/>
              <w:autoSpaceDN w:val="0"/>
              <w:adjustRightInd w:val="0"/>
              <w:snapToGrid w:val="0"/>
              <w:jc w:val="center"/>
              <w:rPr>
                <w:rFonts w:ascii="Times New Roman"/>
                <w:sz w:val="21"/>
                <w:szCs w:val="21"/>
              </w:rPr>
            </w:pPr>
            <w:r>
              <w:rPr>
                <w:rFonts w:ascii="Times New Roman"/>
                <w:sz w:val="21"/>
                <w:szCs w:val="21"/>
              </w:rPr>
              <w:t>325</w:t>
            </w:r>
          </w:p>
        </w:tc>
        <w:tc>
          <w:tcPr>
            <w:tcW w:w="201" w:type="pct"/>
            <w:vAlign w:val="center"/>
          </w:tcPr>
          <w:p w14:paraId="33B7CF74">
            <w:pPr>
              <w:autoSpaceDE w:val="0"/>
              <w:autoSpaceDN w:val="0"/>
              <w:adjustRightInd w:val="0"/>
              <w:snapToGrid w:val="0"/>
              <w:jc w:val="center"/>
              <w:rPr>
                <w:rFonts w:ascii="Times New Roman"/>
                <w:sz w:val="21"/>
                <w:szCs w:val="21"/>
              </w:rPr>
            </w:pPr>
            <w:r>
              <w:rPr>
                <w:rFonts w:ascii="Times New Roman"/>
                <w:sz w:val="21"/>
                <w:szCs w:val="21"/>
              </w:rPr>
              <w:t>214</w:t>
            </w:r>
          </w:p>
        </w:tc>
        <w:tc>
          <w:tcPr>
            <w:tcW w:w="240" w:type="pct"/>
            <w:vAlign w:val="center"/>
          </w:tcPr>
          <w:p w14:paraId="588D1A5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D7AD883">
            <w:pPr>
              <w:autoSpaceDE w:val="0"/>
              <w:autoSpaceDN w:val="0"/>
              <w:adjustRightInd w:val="0"/>
              <w:snapToGrid w:val="0"/>
              <w:jc w:val="center"/>
              <w:rPr>
                <w:rFonts w:ascii="Times New Roman"/>
                <w:sz w:val="21"/>
                <w:szCs w:val="21"/>
              </w:rPr>
            </w:pPr>
            <w:r>
              <w:rPr>
                <w:rFonts w:ascii="Times New Roman"/>
                <w:sz w:val="21"/>
                <w:szCs w:val="21"/>
              </w:rPr>
              <w:t>120.6</w:t>
            </w:r>
          </w:p>
        </w:tc>
        <w:tc>
          <w:tcPr>
            <w:tcW w:w="358" w:type="pct"/>
            <w:vAlign w:val="center"/>
          </w:tcPr>
          <w:p w14:paraId="529E662B">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7F84F2F4">
            <w:pPr>
              <w:autoSpaceDE w:val="0"/>
              <w:autoSpaceDN w:val="0"/>
              <w:adjustRightInd w:val="0"/>
              <w:snapToGrid w:val="0"/>
              <w:jc w:val="center"/>
              <w:rPr>
                <w:rFonts w:ascii="Times New Roman"/>
                <w:sz w:val="21"/>
                <w:szCs w:val="21"/>
              </w:rPr>
            </w:pPr>
          </w:p>
        </w:tc>
        <w:tc>
          <w:tcPr>
            <w:tcW w:w="551" w:type="pct"/>
            <w:vAlign w:val="center"/>
          </w:tcPr>
          <w:p w14:paraId="5FC7F35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D83A5AF">
            <w:pPr>
              <w:autoSpaceDE w:val="0"/>
              <w:autoSpaceDN w:val="0"/>
              <w:adjustRightInd w:val="0"/>
              <w:snapToGrid w:val="0"/>
              <w:jc w:val="center"/>
              <w:rPr>
                <w:rFonts w:ascii="Times New Roman"/>
                <w:sz w:val="21"/>
                <w:szCs w:val="21"/>
              </w:rPr>
            </w:pPr>
          </w:p>
        </w:tc>
        <w:tc>
          <w:tcPr>
            <w:tcW w:w="287" w:type="pct"/>
            <w:vMerge w:val="continue"/>
            <w:vAlign w:val="center"/>
          </w:tcPr>
          <w:p w14:paraId="4B6D0D16">
            <w:pPr>
              <w:autoSpaceDE w:val="0"/>
              <w:autoSpaceDN w:val="0"/>
              <w:adjustRightInd w:val="0"/>
              <w:snapToGrid w:val="0"/>
              <w:jc w:val="center"/>
              <w:rPr>
                <w:rFonts w:ascii="Times New Roman"/>
                <w:sz w:val="21"/>
                <w:szCs w:val="21"/>
              </w:rPr>
            </w:pPr>
          </w:p>
        </w:tc>
        <w:tc>
          <w:tcPr>
            <w:tcW w:w="434" w:type="pct"/>
            <w:vMerge w:val="continue"/>
            <w:vAlign w:val="center"/>
          </w:tcPr>
          <w:p w14:paraId="3813F39C">
            <w:pPr>
              <w:autoSpaceDE w:val="0"/>
              <w:autoSpaceDN w:val="0"/>
              <w:adjustRightInd w:val="0"/>
              <w:snapToGrid w:val="0"/>
              <w:jc w:val="center"/>
              <w:rPr>
                <w:rFonts w:ascii="Times New Roman"/>
                <w:sz w:val="21"/>
                <w:szCs w:val="21"/>
              </w:rPr>
            </w:pPr>
          </w:p>
        </w:tc>
      </w:tr>
      <w:tr w14:paraId="5341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D7BA230">
            <w:pPr>
              <w:autoSpaceDE w:val="0"/>
              <w:autoSpaceDN w:val="0"/>
              <w:adjustRightInd w:val="0"/>
              <w:snapToGrid w:val="0"/>
              <w:jc w:val="center"/>
              <w:rPr>
                <w:rFonts w:ascii="Times New Roman"/>
                <w:sz w:val="21"/>
                <w:szCs w:val="21"/>
              </w:rPr>
            </w:pPr>
          </w:p>
        </w:tc>
        <w:tc>
          <w:tcPr>
            <w:tcW w:w="697" w:type="pct"/>
            <w:vAlign w:val="center"/>
          </w:tcPr>
          <w:p w14:paraId="430DCA1D">
            <w:pPr>
              <w:autoSpaceDE w:val="0"/>
              <w:autoSpaceDN w:val="0"/>
              <w:adjustRightInd w:val="0"/>
              <w:snapToGrid w:val="0"/>
              <w:jc w:val="center"/>
              <w:rPr>
                <w:rFonts w:ascii="Times New Roman"/>
                <w:sz w:val="21"/>
                <w:szCs w:val="21"/>
              </w:rPr>
            </w:pPr>
            <w:r>
              <w:rPr>
                <w:rFonts w:ascii="Times New Roman"/>
                <w:sz w:val="21"/>
                <w:szCs w:val="21"/>
              </w:rPr>
              <w:t>油压机</w:t>
            </w:r>
          </w:p>
        </w:tc>
        <w:tc>
          <w:tcPr>
            <w:tcW w:w="346" w:type="pct"/>
            <w:vAlign w:val="center"/>
          </w:tcPr>
          <w:p w14:paraId="3CEEB18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BF4BE6F">
            <w:pPr>
              <w:autoSpaceDE w:val="0"/>
              <w:autoSpaceDN w:val="0"/>
              <w:adjustRightInd w:val="0"/>
              <w:snapToGrid w:val="0"/>
              <w:jc w:val="center"/>
              <w:rPr>
                <w:rFonts w:ascii="Times New Roman"/>
                <w:sz w:val="21"/>
                <w:szCs w:val="21"/>
              </w:rPr>
            </w:pPr>
          </w:p>
        </w:tc>
        <w:tc>
          <w:tcPr>
            <w:tcW w:w="208" w:type="pct"/>
            <w:vAlign w:val="center"/>
          </w:tcPr>
          <w:p w14:paraId="53C0789B">
            <w:pPr>
              <w:autoSpaceDE w:val="0"/>
              <w:autoSpaceDN w:val="0"/>
              <w:adjustRightInd w:val="0"/>
              <w:snapToGrid w:val="0"/>
              <w:jc w:val="center"/>
              <w:rPr>
                <w:rFonts w:ascii="Times New Roman"/>
                <w:sz w:val="21"/>
                <w:szCs w:val="21"/>
              </w:rPr>
            </w:pPr>
            <w:r>
              <w:rPr>
                <w:rFonts w:ascii="Times New Roman"/>
                <w:sz w:val="21"/>
                <w:szCs w:val="21"/>
              </w:rPr>
              <w:t>375</w:t>
            </w:r>
          </w:p>
        </w:tc>
        <w:tc>
          <w:tcPr>
            <w:tcW w:w="201" w:type="pct"/>
            <w:vAlign w:val="center"/>
          </w:tcPr>
          <w:p w14:paraId="66C2C279">
            <w:pPr>
              <w:autoSpaceDE w:val="0"/>
              <w:autoSpaceDN w:val="0"/>
              <w:adjustRightInd w:val="0"/>
              <w:snapToGrid w:val="0"/>
              <w:jc w:val="center"/>
              <w:rPr>
                <w:rFonts w:ascii="Times New Roman"/>
                <w:sz w:val="21"/>
                <w:szCs w:val="21"/>
              </w:rPr>
            </w:pPr>
            <w:r>
              <w:rPr>
                <w:rFonts w:ascii="Times New Roman"/>
                <w:sz w:val="21"/>
                <w:szCs w:val="21"/>
              </w:rPr>
              <w:t>105</w:t>
            </w:r>
          </w:p>
        </w:tc>
        <w:tc>
          <w:tcPr>
            <w:tcW w:w="240" w:type="pct"/>
            <w:vAlign w:val="center"/>
          </w:tcPr>
          <w:p w14:paraId="613BBA1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2E228F2">
            <w:pPr>
              <w:autoSpaceDE w:val="0"/>
              <w:autoSpaceDN w:val="0"/>
              <w:adjustRightInd w:val="0"/>
              <w:snapToGrid w:val="0"/>
              <w:jc w:val="center"/>
              <w:rPr>
                <w:rFonts w:ascii="Times New Roman"/>
                <w:sz w:val="21"/>
                <w:szCs w:val="21"/>
              </w:rPr>
            </w:pPr>
            <w:r>
              <w:rPr>
                <w:rFonts w:ascii="Times New Roman"/>
                <w:sz w:val="21"/>
                <w:szCs w:val="21"/>
              </w:rPr>
              <w:t>89.15</w:t>
            </w:r>
          </w:p>
        </w:tc>
        <w:tc>
          <w:tcPr>
            <w:tcW w:w="358" w:type="pct"/>
            <w:vAlign w:val="center"/>
          </w:tcPr>
          <w:p w14:paraId="3B67350D">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2D54B32D">
            <w:pPr>
              <w:autoSpaceDE w:val="0"/>
              <w:autoSpaceDN w:val="0"/>
              <w:adjustRightInd w:val="0"/>
              <w:snapToGrid w:val="0"/>
              <w:jc w:val="center"/>
              <w:rPr>
                <w:rFonts w:ascii="Times New Roman"/>
                <w:sz w:val="21"/>
                <w:szCs w:val="21"/>
              </w:rPr>
            </w:pPr>
          </w:p>
        </w:tc>
        <w:tc>
          <w:tcPr>
            <w:tcW w:w="551" w:type="pct"/>
            <w:vAlign w:val="center"/>
          </w:tcPr>
          <w:p w14:paraId="54F74A1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ACFE7D0">
            <w:pPr>
              <w:autoSpaceDE w:val="0"/>
              <w:autoSpaceDN w:val="0"/>
              <w:adjustRightInd w:val="0"/>
              <w:snapToGrid w:val="0"/>
              <w:jc w:val="center"/>
              <w:rPr>
                <w:rFonts w:ascii="Times New Roman"/>
                <w:sz w:val="21"/>
                <w:szCs w:val="21"/>
              </w:rPr>
            </w:pPr>
          </w:p>
        </w:tc>
        <w:tc>
          <w:tcPr>
            <w:tcW w:w="287" w:type="pct"/>
            <w:vMerge w:val="continue"/>
            <w:vAlign w:val="center"/>
          </w:tcPr>
          <w:p w14:paraId="6CCB6ECA">
            <w:pPr>
              <w:autoSpaceDE w:val="0"/>
              <w:autoSpaceDN w:val="0"/>
              <w:adjustRightInd w:val="0"/>
              <w:snapToGrid w:val="0"/>
              <w:jc w:val="center"/>
              <w:rPr>
                <w:rFonts w:ascii="Times New Roman"/>
                <w:sz w:val="21"/>
                <w:szCs w:val="21"/>
              </w:rPr>
            </w:pPr>
          </w:p>
        </w:tc>
        <w:tc>
          <w:tcPr>
            <w:tcW w:w="434" w:type="pct"/>
            <w:vMerge w:val="continue"/>
            <w:vAlign w:val="center"/>
          </w:tcPr>
          <w:p w14:paraId="30DBB0D3">
            <w:pPr>
              <w:autoSpaceDE w:val="0"/>
              <w:autoSpaceDN w:val="0"/>
              <w:adjustRightInd w:val="0"/>
              <w:snapToGrid w:val="0"/>
              <w:jc w:val="center"/>
              <w:rPr>
                <w:rFonts w:ascii="Times New Roman"/>
                <w:sz w:val="21"/>
                <w:szCs w:val="21"/>
              </w:rPr>
            </w:pPr>
          </w:p>
        </w:tc>
      </w:tr>
      <w:tr w14:paraId="17E3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D59A021">
            <w:pPr>
              <w:autoSpaceDE w:val="0"/>
              <w:autoSpaceDN w:val="0"/>
              <w:adjustRightInd w:val="0"/>
              <w:snapToGrid w:val="0"/>
              <w:jc w:val="center"/>
              <w:rPr>
                <w:rFonts w:ascii="Times New Roman"/>
                <w:sz w:val="21"/>
                <w:szCs w:val="21"/>
              </w:rPr>
            </w:pPr>
          </w:p>
        </w:tc>
        <w:tc>
          <w:tcPr>
            <w:tcW w:w="697" w:type="pct"/>
            <w:vAlign w:val="center"/>
          </w:tcPr>
          <w:p w14:paraId="5DBDA30A">
            <w:pPr>
              <w:autoSpaceDE w:val="0"/>
              <w:autoSpaceDN w:val="0"/>
              <w:adjustRightInd w:val="0"/>
              <w:snapToGrid w:val="0"/>
              <w:jc w:val="center"/>
              <w:rPr>
                <w:rFonts w:ascii="Times New Roman"/>
                <w:sz w:val="21"/>
                <w:szCs w:val="21"/>
              </w:rPr>
            </w:pPr>
            <w:r>
              <w:rPr>
                <w:rFonts w:ascii="Times New Roman"/>
                <w:sz w:val="21"/>
                <w:szCs w:val="21"/>
              </w:rPr>
              <w:t>油压机</w:t>
            </w:r>
          </w:p>
        </w:tc>
        <w:tc>
          <w:tcPr>
            <w:tcW w:w="346" w:type="pct"/>
            <w:vAlign w:val="center"/>
          </w:tcPr>
          <w:p w14:paraId="563570E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7FFB1D1">
            <w:pPr>
              <w:autoSpaceDE w:val="0"/>
              <w:autoSpaceDN w:val="0"/>
              <w:adjustRightInd w:val="0"/>
              <w:snapToGrid w:val="0"/>
              <w:jc w:val="center"/>
              <w:rPr>
                <w:rFonts w:ascii="Times New Roman"/>
                <w:sz w:val="21"/>
                <w:szCs w:val="21"/>
              </w:rPr>
            </w:pPr>
          </w:p>
        </w:tc>
        <w:tc>
          <w:tcPr>
            <w:tcW w:w="208" w:type="pct"/>
            <w:vAlign w:val="center"/>
          </w:tcPr>
          <w:p w14:paraId="1CF50F42">
            <w:pPr>
              <w:autoSpaceDE w:val="0"/>
              <w:autoSpaceDN w:val="0"/>
              <w:adjustRightInd w:val="0"/>
              <w:snapToGrid w:val="0"/>
              <w:jc w:val="center"/>
              <w:rPr>
                <w:rFonts w:ascii="Times New Roman"/>
                <w:sz w:val="21"/>
                <w:szCs w:val="21"/>
              </w:rPr>
            </w:pPr>
            <w:r>
              <w:rPr>
                <w:rFonts w:ascii="Times New Roman"/>
                <w:sz w:val="21"/>
                <w:szCs w:val="21"/>
              </w:rPr>
              <w:t>380</w:t>
            </w:r>
          </w:p>
        </w:tc>
        <w:tc>
          <w:tcPr>
            <w:tcW w:w="201" w:type="pct"/>
            <w:vAlign w:val="center"/>
          </w:tcPr>
          <w:p w14:paraId="618CD08B">
            <w:pPr>
              <w:autoSpaceDE w:val="0"/>
              <w:autoSpaceDN w:val="0"/>
              <w:adjustRightInd w:val="0"/>
              <w:snapToGrid w:val="0"/>
              <w:jc w:val="center"/>
              <w:rPr>
                <w:rFonts w:ascii="Times New Roman"/>
                <w:sz w:val="21"/>
                <w:szCs w:val="21"/>
              </w:rPr>
            </w:pPr>
            <w:r>
              <w:rPr>
                <w:rFonts w:ascii="Times New Roman"/>
                <w:sz w:val="21"/>
                <w:szCs w:val="21"/>
              </w:rPr>
              <w:t>110</w:t>
            </w:r>
          </w:p>
        </w:tc>
        <w:tc>
          <w:tcPr>
            <w:tcW w:w="240" w:type="pct"/>
            <w:vAlign w:val="center"/>
          </w:tcPr>
          <w:p w14:paraId="0C1BC2B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19720D2">
            <w:pPr>
              <w:autoSpaceDE w:val="0"/>
              <w:autoSpaceDN w:val="0"/>
              <w:adjustRightInd w:val="0"/>
              <w:snapToGrid w:val="0"/>
              <w:jc w:val="center"/>
              <w:rPr>
                <w:rFonts w:ascii="Times New Roman"/>
                <w:sz w:val="21"/>
                <w:szCs w:val="21"/>
              </w:rPr>
            </w:pPr>
            <w:r>
              <w:rPr>
                <w:rFonts w:ascii="Times New Roman"/>
                <w:sz w:val="21"/>
                <w:szCs w:val="21"/>
              </w:rPr>
              <w:t>94.15</w:t>
            </w:r>
          </w:p>
        </w:tc>
        <w:tc>
          <w:tcPr>
            <w:tcW w:w="358" w:type="pct"/>
            <w:vAlign w:val="center"/>
          </w:tcPr>
          <w:p w14:paraId="616F9FB6">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4334F710">
            <w:pPr>
              <w:autoSpaceDE w:val="0"/>
              <w:autoSpaceDN w:val="0"/>
              <w:adjustRightInd w:val="0"/>
              <w:snapToGrid w:val="0"/>
              <w:jc w:val="center"/>
              <w:rPr>
                <w:rFonts w:ascii="Times New Roman"/>
                <w:sz w:val="21"/>
                <w:szCs w:val="21"/>
              </w:rPr>
            </w:pPr>
          </w:p>
        </w:tc>
        <w:tc>
          <w:tcPr>
            <w:tcW w:w="551" w:type="pct"/>
            <w:vAlign w:val="center"/>
          </w:tcPr>
          <w:p w14:paraId="4CB8C58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1FC1EC2">
            <w:pPr>
              <w:autoSpaceDE w:val="0"/>
              <w:autoSpaceDN w:val="0"/>
              <w:adjustRightInd w:val="0"/>
              <w:snapToGrid w:val="0"/>
              <w:jc w:val="center"/>
              <w:rPr>
                <w:rFonts w:ascii="Times New Roman"/>
                <w:sz w:val="21"/>
                <w:szCs w:val="21"/>
              </w:rPr>
            </w:pPr>
          </w:p>
        </w:tc>
        <w:tc>
          <w:tcPr>
            <w:tcW w:w="287" w:type="pct"/>
            <w:vMerge w:val="continue"/>
            <w:vAlign w:val="center"/>
          </w:tcPr>
          <w:p w14:paraId="6BB3F6EC">
            <w:pPr>
              <w:autoSpaceDE w:val="0"/>
              <w:autoSpaceDN w:val="0"/>
              <w:adjustRightInd w:val="0"/>
              <w:snapToGrid w:val="0"/>
              <w:jc w:val="center"/>
              <w:rPr>
                <w:rFonts w:ascii="Times New Roman"/>
                <w:sz w:val="21"/>
                <w:szCs w:val="21"/>
              </w:rPr>
            </w:pPr>
          </w:p>
        </w:tc>
        <w:tc>
          <w:tcPr>
            <w:tcW w:w="434" w:type="pct"/>
            <w:vMerge w:val="continue"/>
            <w:vAlign w:val="center"/>
          </w:tcPr>
          <w:p w14:paraId="017C30AA">
            <w:pPr>
              <w:autoSpaceDE w:val="0"/>
              <w:autoSpaceDN w:val="0"/>
              <w:adjustRightInd w:val="0"/>
              <w:snapToGrid w:val="0"/>
              <w:jc w:val="center"/>
              <w:rPr>
                <w:rFonts w:ascii="Times New Roman"/>
                <w:sz w:val="21"/>
                <w:szCs w:val="21"/>
              </w:rPr>
            </w:pPr>
          </w:p>
        </w:tc>
      </w:tr>
      <w:tr w14:paraId="21BB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D18BA48">
            <w:pPr>
              <w:autoSpaceDE w:val="0"/>
              <w:autoSpaceDN w:val="0"/>
              <w:adjustRightInd w:val="0"/>
              <w:snapToGrid w:val="0"/>
              <w:jc w:val="center"/>
              <w:rPr>
                <w:rFonts w:ascii="Times New Roman"/>
                <w:sz w:val="21"/>
                <w:szCs w:val="21"/>
              </w:rPr>
            </w:pPr>
          </w:p>
        </w:tc>
        <w:tc>
          <w:tcPr>
            <w:tcW w:w="697" w:type="pct"/>
            <w:vAlign w:val="center"/>
          </w:tcPr>
          <w:p w14:paraId="52A6FAA4">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7794EA02">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42874DA">
            <w:pPr>
              <w:autoSpaceDE w:val="0"/>
              <w:autoSpaceDN w:val="0"/>
              <w:adjustRightInd w:val="0"/>
              <w:snapToGrid w:val="0"/>
              <w:jc w:val="center"/>
              <w:rPr>
                <w:rFonts w:ascii="Times New Roman"/>
                <w:sz w:val="21"/>
                <w:szCs w:val="21"/>
              </w:rPr>
            </w:pPr>
          </w:p>
        </w:tc>
        <w:tc>
          <w:tcPr>
            <w:tcW w:w="208" w:type="pct"/>
            <w:vAlign w:val="center"/>
          </w:tcPr>
          <w:p w14:paraId="005EED71">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062F541E">
            <w:pPr>
              <w:autoSpaceDE w:val="0"/>
              <w:autoSpaceDN w:val="0"/>
              <w:adjustRightInd w:val="0"/>
              <w:snapToGrid w:val="0"/>
              <w:jc w:val="center"/>
              <w:rPr>
                <w:rFonts w:ascii="Times New Roman"/>
                <w:sz w:val="21"/>
                <w:szCs w:val="21"/>
              </w:rPr>
            </w:pPr>
            <w:r>
              <w:rPr>
                <w:rFonts w:ascii="Times New Roman"/>
                <w:sz w:val="21"/>
                <w:szCs w:val="21"/>
              </w:rPr>
              <w:t>115</w:t>
            </w:r>
          </w:p>
        </w:tc>
        <w:tc>
          <w:tcPr>
            <w:tcW w:w="240" w:type="pct"/>
            <w:vAlign w:val="center"/>
          </w:tcPr>
          <w:p w14:paraId="52C6F5DC">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0591A84">
            <w:pPr>
              <w:autoSpaceDE w:val="0"/>
              <w:autoSpaceDN w:val="0"/>
              <w:adjustRightInd w:val="0"/>
              <w:snapToGrid w:val="0"/>
              <w:jc w:val="center"/>
              <w:rPr>
                <w:rFonts w:ascii="Times New Roman"/>
                <w:sz w:val="21"/>
                <w:szCs w:val="21"/>
              </w:rPr>
            </w:pPr>
            <w:r>
              <w:rPr>
                <w:rFonts w:ascii="Times New Roman"/>
                <w:sz w:val="21"/>
                <w:szCs w:val="21"/>
              </w:rPr>
              <w:t>99.15</w:t>
            </w:r>
          </w:p>
        </w:tc>
        <w:tc>
          <w:tcPr>
            <w:tcW w:w="358" w:type="pct"/>
            <w:vAlign w:val="center"/>
          </w:tcPr>
          <w:p w14:paraId="48F59413">
            <w:pPr>
              <w:autoSpaceDE w:val="0"/>
              <w:autoSpaceDN w:val="0"/>
              <w:adjustRightInd w:val="0"/>
              <w:snapToGrid w:val="0"/>
              <w:jc w:val="center"/>
              <w:rPr>
                <w:rFonts w:ascii="Times New Roman"/>
                <w:sz w:val="21"/>
                <w:szCs w:val="21"/>
              </w:rPr>
            </w:pPr>
            <w:r>
              <w:rPr>
                <w:rFonts w:ascii="Times New Roman"/>
                <w:sz w:val="21"/>
                <w:szCs w:val="21"/>
              </w:rPr>
              <w:t>40</w:t>
            </w:r>
          </w:p>
        </w:tc>
        <w:tc>
          <w:tcPr>
            <w:tcW w:w="316" w:type="pct"/>
            <w:vMerge w:val="continue"/>
            <w:vAlign w:val="center"/>
          </w:tcPr>
          <w:p w14:paraId="725A10E0">
            <w:pPr>
              <w:autoSpaceDE w:val="0"/>
              <w:autoSpaceDN w:val="0"/>
              <w:adjustRightInd w:val="0"/>
              <w:snapToGrid w:val="0"/>
              <w:jc w:val="center"/>
              <w:rPr>
                <w:rFonts w:ascii="Times New Roman"/>
                <w:sz w:val="21"/>
                <w:szCs w:val="21"/>
              </w:rPr>
            </w:pPr>
          </w:p>
        </w:tc>
        <w:tc>
          <w:tcPr>
            <w:tcW w:w="551" w:type="pct"/>
            <w:vAlign w:val="center"/>
          </w:tcPr>
          <w:p w14:paraId="503FE62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2A14326">
            <w:pPr>
              <w:autoSpaceDE w:val="0"/>
              <w:autoSpaceDN w:val="0"/>
              <w:adjustRightInd w:val="0"/>
              <w:snapToGrid w:val="0"/>
              <w:jc w:val="center"/>
              <w:rPr>
                <w:rFonts w:ascii="Times New Roman"/>
                <w:sz w:val="21"/>
                <w:szCs w:val="21"/>
              </w:rPr>
            </w:pPr>
          </w:p>
        </w:tc>
        <w:tc>
          <w:tcPr>
            <w:tcW w:w="287" w:type="pct"/>
            <w:vMerge w:val="continue"/>
            <w:vAlign w:val="center"/>
          </w:tcPr>
          <w:p w14:paraId="78D072A2">
            <w:pPr>
              <w:autoSpaceDE w:val="0"/>
              <w:autoSpaceDN w:val="0"/>
              <w:adjustRightInd w:val="0"/>
              <w:snapToGrid w:val="0"/>
              <w:jc w:val="center"/>
              <w:rPr>
                <w:rFonts w:ascii="Times New Roman"/>
                <w:sz w:val="21"/>
                <w:szCs w:val="21"/>
              </w:rPr>
            </w:pPr>
          </w:p>
        </w:tc>
        <w:tc>
          <w:tcPr>
            <w:tcW w:w="434" w:type="pct"/>
            <w:vMerge w:val="continue"/>
            <w:vAlign w:val="center"/>
          </w:tcPr>
          <w:p w14:paraId="1E1C99E7">
            <w:pPr>
              <w:autoSpaceDE w:val="0"/>
              <w:autoSpaceDN w:val="0"/>
              <w:adjustRightInd w:val="0"/>
              <w:snapToGrid w:val="0"/>
              <w:jc w:val="center"/>
              <w:rPr>
                <w:rFonts w:ascii="Times New Roman"/>
                <w:sz w:val="21"/>
                <w:szCs w:val="21"/>
              </w:rPr>
            </w:pPr>
          </w:p>
        </w:tc>
      </w:tr>
      <w:tr w14:paraId="25A4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5F9F9D1">
            <w:pPr>
              <w:autoSpaceDE w:val="0"/>
              <w:autoSpaceDN w:val="0"/>
              <w:adjustRightInd w:val="0"/>
              <w:snapToGrid w:val="0"/>
              <w:jc w:val="center"/>
              <w:rPr>
                <w:rFonts w:ascii="Times New Roman"/>
                <w:sz w:val="21"/>
                <w:szCs w:val="21"/>
              </w:rPr>
            </w:pPr>
          </w:p>
        </w:tc>
        <w:tc>
          <w:tcPr>
            <w:tcW w:w="697" w:type="pct"/>
            <w:vAlign w:val="center"/>
          </w:tcPr>
          <w:p w14:paraId="0200070B">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40C38D6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8765275">
            <w:pPr>
              <w:autoSpaceDE w:val="0"/>
              <w:autoSpaceDN w:val="0"/>
              <w:adjustRightInd w:val="0"/>
              <w:snapToGrid w:val="0"/>
              <w:jc w:val="center"/>
              <w:rPr>
                <w:rFonts w:ascii="Times New Roman"/>
                <w:sz w:val="21"/>
                <w:szCs w:val="21"/>
              </w:rPr>
            </w:pPr>
          </w:p>
        </w:tc>
        <w:tc>
          <w:tcPr>
            <w:tcW w:w="208" w:type="pct"/>
            <w:vAlign w:val="center"/>
          </w:tcPr>
          <w:p w14:paraId="2F7DE634">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2D368670">
            <w:pPr>
              <w:autoSpaceDE w:val="0"/>
              <w:autoSpaceDN w:val="0"/>
              <w:adjustRightInd w:val="0"/>
              <w:snapToGrid w:val="0"/>
              <w:jc w:val="center"/>
              <w:rPr>
                <w:rFonts w:ascii="Times New Roman"/>
                <w:sz w:val="21"/>
                <w:szCs w:val="21"/>
              </w:rPr>
            </w:pPr>
            <w:r>
              <w:rPr>
                <w:rFonts w:ascii="Times New Roman"/>
                <w:sz w:val="21"/>
                <w:szCs w:val="21"/>
              </w:rPr>
              <w:t>110</w:t>
            </w:r>
          </w:p>
        </w:tc>
        <w:tc>
          <w:tcPr>
            <w:tcW w:w="240" w:type="pct"/>
            <w:vAlign w:val="center"/>
          </w:tcPr>
          <w:p w14:paraId="6084B01B">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9B9392F">
            <w:pPr>
              <w:autoSpaceDE w:val="0"/>
              <w:autoSpaceDN w:val="0"/>
              <w:adjustRightInd w:val="0"/>
              <w:snapToGrid w:val="0"/>
              <w:jc w:val="center"/>
              <w:rPr>
                <w:rFonts w:ascii="Times New Roman"/>
                <w:sz w:val="21"/>
                <w:szCs w:val="21"/>
              </w:rPr>
            </w:pPr>
            <w:r>
              <w:rPr>
                <w:rFonts w:ascii="Times New Roman"/>
                <w:sz w:val="21"/>
                <w:szCs w:val="21"/>
              </w:rPr>
              <w:t>94.15</w:t>
            </w:r>
          </w:p>
        </w:tc>
        <w:tc>
          <w:tcPr>
            <w:tcW w:w="358" w:type="pct"/>
            <w:vAlign w:val="center"/>
          </w:tcPr>
          <w:p w14:paraId="3EC916E4">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46FFEEB7">
            <w:pPr>
              <w:autoSpaceDE w:val="0"/>
              <w:autoSpaceDN w:val="0"/>
              <w:adjustRightInd w:val="0"/>
              <w:snapToGrid w:val="0"/>
              <w:jc w:val="center"/>
              <w:rPr>
                <w:rFonts w:ascii="Times New Roman"/>
                <w:sz w:val="21"/>
                <w:szCs w:val="21"/>
              </w:rPr>
            </w:pPr>
          </w:p>
        </w:tc>
        <w:tc>
          <w:tcPr>
            <w:tcW w:w="551" w:type="pct"/>
            <w:vAlign w:val="center"/>
          </w:tcPr>
          <w:p w14:paraId="70113CA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FC1E1C1">
            <w:pPr>
              <w:autoSpaceDE w:val="0"/>
              <w:autoSpaceDN w:val="0"/>
              <w:adjustRightInd w:val="0"/>
              <w:snapToGrid w:val="0"/>
              <w:jc w:val="center"/>
              <w:rPr>
                <w:rFonts w:ascii="Times New Roman"/>
                <w:sz w:val="21"/>
                <w:szCs w:val="21"/>
              </w:rPr>
            </w:pPr>
          </w:p>
        </w:tc>
        <w:tc>
          <w:tcPr>
            <w:tcW w:w="287" w:type="pct"/>
            <w:vMerge w:val="continue"/>
            <w:vAlign w:val="center"/>
          </w:tcPr>
          <w:p w14:paraId="69BF6D01">
            <w:pPr>
              <w:autoSpaceDE w:val="0"/>
              <w:autoSpaceDN w:val="0"/>
              <w:adjustRightInd w:val="0"/>
              <w:snapToGrid w:val="0"/>
              <w:jc w:val="center"/>
              <w:rPr>
                <w:rFonts w:ascii="Times New Roman"/>
                <w:sz w:val="21"/>
                <w:szCs w:val="21"/>
              </w:rPr>
            </w:pPr>
          </w:p>
        </w:tc>
        <w:tc>
          <w:tcPr>
            <w:tcW w:w="434" w:type="pct"/>
            <w:vMerge w:val="continue"/>
            <w:vAlign w:val="center"/>
          </w:tcPr>
          <w:p w14:paraId="02434113">
            <w:pPr>
              <w:autoSpaceDE w:val="0"/>
              <w:autoSpaceDN w:val="0"/>
              <w:adjustRightInd w:val="0"/>
              <w:snapToGrid w:val="0"/>
              <w:jc w:val="center"/>
              <w:rPr>
                <w:rFonts w:ascii="Times New Roman"/>
                <w:sz w:val="21"/>
                <w:szCs w:val="21"/>
              </w:rPr>
            </w:pPr>
          </w:p>
        </w:tc>
      </w:tr>
      <w:tr w14:paraId="5551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0772AD2">
            <w:pPr>
              <w:autoSpaceDE w:val="0"/>
              <w:autoSpaceDN w:val="0"/>
              <w:adjustRightInd w:val="0"/>
              <w:snapToGrid w:val="0"/>
              <w:jc w:val="center"/>
              <w:rPr>
                <w:rFonts w:ascii="Times New Roman"/>
                <w:sz w:val="21"/>
                <w:szCs w:val="21"/>
              </w:rPr>
            </w:pPr>
          </w:p>
        </w:tc>
        <w:tc>
          <w:tcPr>
            <w:tcW w:w="697" w:type="pct"/>
            <w:vAlign w:val="center"/>
          </w:tcPr>
          <w:p w14:paraId="3F4F0D74">
            <w:pPr>
              <w:autoSpaceDE w:val="0"/>
              <w:autoSpaceDN w:val="0"/>
              <w:adjustRightInd w:val="0"/>
              <w:snapToGrid w:val="0"/>
              <w:jc w:val="center"/>
              <w:rPr>
                <w:rFonts w:ascii="Times New Roman"/>
                <w:sz w:val="21"/>
                <w:szCs w:val="21"/>
              </w:rPr>
            </w:pPr>
            <w:r>
              <w:rPr>
                <w:rFonts w:ascii="Times New Roman"/>
                <w:sz w:val="21"/>
                <w:szCs w:val="21"/>
              </w:rPr>
              <w:t>折弯机</w:t>
            </w:r>
          </w:p>
        </w:tc>
        <w:tc>
          <w:tcPr>
            <w:tcW w:w="346" w:type="pct"/>
            <w:vAlign w:val="center"/>
          </w:tcPr>
          <w:p w14:paraId="4A7EF84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98B562B">
            <w:pPr>
              <w:autoSpaceDE w:val="0"/>
              <w:autoSpaceDN w:val="0"/>
              <w:adjustRightInd w:val="0"/>
              <w:snapToGrid w:val="0"/>
              <w:jc w:val="center"/>
              <w:rPr>
                <w:rFonts w:ascii="Times New Roman"/>
                <w:sz w:val="21"/>
                <w:szCs w:val="21"/>
              </w:rPr>
            </w:pPr>
          </w:p>
        </w:tc>
        <w:tc>
          <w:tcPr>
            <w:tcW w:w="208" w:type="pct"/>
            <w:vAlign w:val="center"/>
          </w:tcPr>
          <w:p w14:paraId="016D566B">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4DEC39B3">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5EE0BCA8">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37A480C1">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33B2EA80">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2F6D08C1">
            <w:pPr>
              <w:autoSpaceDE w:val="0"/>
              <w:autoSpaceDN w:val="0"/>
              <w:adjustRightInd w:val="0"/>
              <w:snapToGrid w:val="0"/>
              <w:jc w:val="center"/>
              <w:rPr>
                <w:rFonts w:ascii="Times New Roman"/>
                <w:sz w:val="21"/>
                <w:szCs w:val="21"/>
              </w:rPr>
            </w:pPr>
          </w:p>
        </w:tc>
        <w:tc>
          <w:tcPr>
            <w:tcW w:w="551" w:type="pct"/>
            <w:vAlign w:val="center"/>
          </w:tcPr>
          <w:p w14:paraId="43AD316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FBF733C">
            <w:pPr>
              <w:autoSpaceDE w:val="0"/>
              <w:autoSpaceDN w:val="0"/>
              <w:adjustRightInd w:val="0"/>
              <w:snapToGrid w:val="0"/>
              <w:jc w:val="center"/>
              <w:rPr>
                <w:rFonts w:ascii="Times New Roman"/>
                <w:sz w:val="21"/>
                <w:szCs w:val="21"/>
              </w:rPr>
            </w:pPr>
          </w:p>
        </w:tc>
        <w:tc>
          <w:tcPr>
            <w:tcW w:w="287" w:type="pct"/>
            <w:vMerge w:val="continue"/>
            <w:vAlign w:val="center"/>
          </w:tcPr>
          <w:p w14:paraId="215598BB">
            <w:pPr>
              <w:autoSpaceDE w:val="0"/>
              <w:autoSpaceDN w:val="0"/>
              <w:adjustRightInd w:val="0"/>
              <w:snapToGrid w:val="0"/>
              <w:jc w:val="center"/>
              <w:rPr>
                <w:rFonts w:ascii="Times New Roman"/>
                <w:sz w:val="21"/>
                <w:szCs w:val="21"/>
              </w:rPr>
            </w:pPr>
          </w:p>
        </w:tc>
        <w:tc>
          <w:tcPr>
            <w:tcW w:w="434" w:type="pct"/>
            <w:vMerge w:val="continue"/>
            <w:vAlign w:val="center"/>
          </w:tcPr>
          <w:p w14:paraId="3140DA6E">
            <w:pPr>
              <w:autoSpaceDE w:val="0"/>
              <w:autoSpaceDN w:val="0"/>
              <w:adjustRightInd w:val="0"/>
              <w:snapToGrid w:val="0"/>
              <w:jc w:val="center"/>
              <w:rPr>
                <w:rFonts w:ascii="Times New Roman"/>
                <w:sz w:val="21"/>
                <w:szCs w:val="21"/>
              </w:rPr>
            </w:pPr>
          </w:p>
        </w:tc>
      </w:tr>
      <w:tr w14:paraId="1BD0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18B54F5">
            <w:pPr>
              <w:autoSpaceDE w:val="0"/>
              <w:autoSpaceDN w:val="0"/>
              <w:adjustRightInd w:val="0"/>
              <w:snapToGrid w:val="0"/>
              <w:jc w:val="center"/>
              <w:rPr>
                <w:rFonts w:ascii="Times New Roman"/>
                <w:sz w:val="21"/>
                <w:szCs w:val="21"/>
              </w:rPr>
            </w:pPr>
          </w:p>
        </w:tc>
        <w:tc>
          <w:tcPr>
            <w:tcW w:w="697" w:type="pct"/>
            <w:vAlign w:val="center"/>
          </w:tcPr>
          <w:p w14:paraId="7A5309B5">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7493BD9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024AC11">
            <w:pPr>
              <w:autoSpaceDE w:val="0"/>
              <w:autoSpaceDN w:val="0"/>
              <w:adjustRightInd w:val="0"/>
              <w:snapToGrid w:val="0"/>
              <w:jc w:val="center"/>
              <w:rPr>
                <w:rFonts w:ascii="Times New Roman"/>
                <w:sz w:val="21"/>
                <w:szCs w:val="21"/>
              </w:rPr>
            </w:pPr>
          </w:p>
        </w:tc>
        <w:tc>
          <w:tcPr>
            <w:tcW w:w="208" w:type="pct"/>
            <w:vAlign w:val="center"/>
          </w:tcPr>
          <w:p w14:paraId="563B8327">
            <w:pPr>
              <w:autoSpaceDE w:val="0"/>
              <w:autoSpaceDN w:val="0"/>
              <w:adjustRightInd w:val="0"/>
              <w:snapToGrid w:val="0"/>
              <w:jc w:val="center"/>
              <w:rPr>
                <w:rFonts w:ascii="Times New Roman"/>
                <w:sz w:val="21"/>
                <w:szCs w:val="21"/>
              </w:rPr>
            </w:pPr>
            <w:r>
              <w:rPr>
                <w:rFonts w:ascii="Times New Roman"/>
                <w:sz w:val="21"/>
                <w:szCs w:val="21"/>
              </w:rPr>
              <w:t>455</w:t>
            </w:r>
          </w:p>
        </w:tc>
        <w:tc>
          <w:tcPr>
            <w:tcW w:w="201" w:type="pct"/>
            <w:vAlign w:val="center"/>
          </w:tcPr>
          <w:p w14:paraId="5420AD64">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797668B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607D464">
            <w:pPr>
              <w:autoSpaceDE w:val="0"/>
              <w:autoSpaceDN w:val="0"/>
              <w:adjustRightInd w:val="0"/>
              <w:snapToGrid w:val="0"/>
              <w:jc w:val="center"/>
              <w:rPr>
                <w:rFonts w:ascii="Times New Roman"/>
                <w:sz w:val="21"/>
                <w:szCs w:val="21"/>
              </w:rPr>
            </w:pPr>
            <w:r>
              <w:rPr>
                <w:rFonts w:ascii="Times New Roman"/>
                <w:sz w:val="21"/>
                <w:szCs w:val="21"/>
              </w:rPr>
              <w:t>84.98</w:t>
            </w:r>
          </w:p>
        </w:tc>
        <w:tc>
          <w:tcPr>
            <w:tcW w:w="358" w:type="pct"/>
            <w:vAlign w:val="center"/>
          </w:tcPr>
          <w:p w14:paraId="7B8B3BE1">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5205266C">
            <w:pPr>
              <w:autoSpaceDE w:val="0"/>
              <w:autoSpaceDN w:val="0"/>
              <w:adjustRightInd w:val="0"/>
              <w:snapToGrid w:val="0"/>
              <w:jc w:val="center"/>
              <w:rPr>
                <w:rFonts w:ascii="Times New Roman"/>
                <w:sz w:val="21"/>
                <w:szCs w:val="21"/>
              </w:rPr>
            </w:pPr>
          </w:p>
        </w:tc>
        <w:tc>
          <w:tcPr>
            <w:tcW w:w="551" w:type="pct"/>
            <w:vAlign w:val="center"/>
          </w:tcPr>
          <w:p w14:paraId="1DDC0ED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0F17456">
            <w:pPr>
              <w:autoSpaceDE w:val="0"/>
              <w:autoSpaceDN w:val="0"/>
              <w:adjustRightInd w:val="0"/>
              <w:snapToGrid w:val="0"/>
              <w:jc w:val="center"/>
              <w:rPr>
                <w:rFonts w:ascii="Times New Roman"/>
                <w:sz w:val="21"/>
                <w:szCs w:val="21"/>
              </w:rPr>
            </w:pPr>
          </w:p>
        </w:tc>
        <w:tc>
          <w:tcPr>
            <w:tcW w:w="287" w:type="pct"/>
            <w:vMerge w:val="continue"/>
            <w:vAlign w:val="center"/>
          </w:tcPr>
          <w:p w14:paraId="7E57400A">
            <w:pPr>
              <w:autoSpaceDE w:val="0"/>
              <w:autoSpaceDN w:val="0"/>
              <w:adjustRightInd w:val="0"/>
              <w:snapToGrid w:val="0"/>
              <w:jc w:val="center"/>
              <w:rPr>
                <w:rFonts w:ascii="Times New Roman"/>
                <w:sz w:val="21"/>
                <w:szCs w:val="21"/>
              </w:rPr>
            </w:pPr>
          </w:p>
        </w:tc>
        <w:tc>
          <w:tcPr>
            <w:tcW w:w="434" w:type="pct"/>
            <w:vMerge w:val="continue"/>
            <w:vAlign w:val="center"/>
          </w:tcPr>
          <w:p w14:paraId="0976D24C">
            <w:pPr>
              <w:autoSpaceDE w:val="0"/>
              <w:autoSpaceDN w:val="0"/>
              <w:adjustRightInd w:val="0"/>
              <w:snapToGrid w:val="0"/>
              <w:jc w:val="center"/>
              <w:rPr>
                <w:rFonts w:ascii="Times New Roman"/>
                <w:sz w:val="21"/>
                <w:szCs w:val="21"/>
              </w:rPr>
            </w:pPr>
          </w:p>
        </w:tc>
      </w:tr>
      <w:tr w14:paraId="003E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8CF9B0A">
            <w:pPr>
              <w:autoSpaceDE w:val="0"/>
              <w:autoSpaceDN w:val="0"/>
              <w:adjustRightInd w:val="0"/>
              <w:snapToGrid w:val="0"/>
              <w:jc w:val="center"/>
              <w:rPr>
                <w:rFonts w:ascii="Times New Roman"/>
                <w:sz w:val="21"/>
                <w:szCs w:val="21"/>
              </w:rPr>
            </w:pPr>
          </w:p>
        </w:tc>
        <w:tc>
          <w:tcPr>
            <w:tcW w:w="697" w:type="pct"/>
            <w:vAlign w:val="center"/>
          </w:tcPr>
          <w:p w14:paraId="40DE542A">
            <w:pPr>
              <w:autoSpaceDE w:val="0"/>
              <w:autoSpaceDN w:val="0"/>
              <w:adjustRightInd w:val="0"/>
              <w:snapToGrid w:val="0"/>
              <w:jc w:val="center"/>
              <w:rPr>
                <w:rFonts w:ascii="Times New Roman"/>
                <w:sz w:val="21"/>
                <w:szCs w:val="21"/>
              </w:rPr>
            </w:pPr>
            <w:r>
              <w:rPr>
                <w:rFonts w:ascii="Times New Roman"/>
                <w:sz w:val="21"/>
                <w:szCs w:val="21"/>
              </w:rPr>
              <w:t>自动焊接焊机</w:t>
            </w:r>
          </w:p>
        </w:tc>
        <w:tc>
          <w:tcPr>
            <w:tcW w:w="346" w:type="pct"/>
            <w:vAlign w:val="center"/>
          </w:tcPr>
          <w:p w14:paraId="6F5926E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7AC2805">
            <w:pPr>
              <w:autoSpaceDE w:val="0"/>
              <w:autoSpaceDN w:val="0"/>
              <w:adjustRightInd w:val="0"/>
              <w:snapToGrid w:val="0"/>
              <w:jc w:val="center"/>
              <w:rPr>
                <w:rFonts w:ascii="Times New Roman"/>
                <w:sz w:val="21"/>
                <w:szCs w:val="21"/>
              </w:rPr>
            </w:pPr>
          </w:p>
        </w:tc>
        <w:tc>
          <w:tcPr>
            <w:tcW w:w="208" w:type="pct"/>
            <w:vAlign w:val="center"/>
          </w:tcPr>
          <w:p w14:paraId="6C6AB9B7">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65EEA4A8">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58A3B8ED">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AECB6EF">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59123DA9">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764772E9">
            <w:pPr>
              <w:autoSpaceDE w:val="0"/>
              <w:autoSpaceDN w:val="0"/>
              <w:adjustRightInd w:val="0"/>
              <w:snapToGrid w:val="0"/>
              <w:jc w:val="center"/>
              <w:rPr>
                <w:rFonts w:ascii="Times New Roman"/>
                <w:sz w:val="21"/>
                <w:szCs w:val="21"/>
              </w:rPr>
            </w:pPr>
          </w:p>
        </w:tc>
        <w:tc>
          <w:tcPr>
            <w:tcW w:w="551" w:type="pct"/>
            <w:vAlign w:val="center"/>
          </w:tcPr>
          <w:p w14:paraId="72EAE27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55A3500">
            <w:pPr>
              <w:autoSpaceDE w:val="0"/>
              <w:autoSpaceDN w:val="0"/>
              <w:adjustRightInd w:val="0"/>
              <w:snapToGrid w:val="0"/>
              <w:jc w:val="center"/>
              <w:rPr>
                <w:rFonts w:ascii="Times New Roman"/>
                <w:sz w:val="21"/>
                <w:szCs w:val="21"/>
              </w:rPr>
            </w:pPr>
          </w:p>
        </w:tc>
        <w:tc>
          <w:tcPr>
            <w:tcW w:w="287" w:type="pct"/>
            <w:vMerge w:val="continue"/>
            <w:vAlign w:val="center"/>
          </w:tcPr>
          <w:p w14:paraId="33269B62">
            <w:pPr>
              <w:autoSpaceDE w:val="0"/>
              <w:autoSpaceDN w:val="0"/>
              <w:adjustRightInd w:val="0"/>
              <w:snapToGrid w:val="0"/>
              <w:jc w:val="center"/>
              <w:rPr>
                <w:rFonts w:ascii="Times New Roman"/>
                <w:sz w:val="21"/>
                <w:szCs w:val="21"/>
              </w:rPr>
            </w:pPr>
          </w:p>
        </w:tc>
        <w:tc>
          <w:tcPr>
            <w:tcW w:w="434" w:type="pct"/>
            <w:vMerge w:val="continue"/>
            <w:vAlign w:val="center"/>
          </w:tcPr>
          <w:p w14:paraId="5A74776F">
            <w:pPr>
              <w:autoSpaceDE w:val="0"/>
              <w:autoSpaceDN w:val="0"/>
              <w:adjustRightInd w:val="0"/>
              <w:snapToGrid w:val="0"/>
              <w:jc w:val="center"/>
              <w:rPr>
                <w:rFonts w:ascii="Times New Roman"/>
                <w:sz w:val="21"/>
                <w:szCs w:val="21"/>
              </w:rPr>
            </w:pPr>
          </w:p>
        </w:tc>
      </w:tr>
      <w:tr w14:paraId="5AC1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10468B7">
            <w:pPr>
              <w:autoSpaceDE w:val="0"/>
              <w:autoSpaceDN w:val="0"/>
              <w:adjustRightInd w:val="0"/>
              <w:snapToGrid w:val="0"/>
              <w:jc w:val="center"/>
              <w:rPr>
                <w:rFonts w:ascii="Times New Roman"/>
                <w:sz w:val="21"/>
                <w:szCs w:val="21"/>
              </w:rPr>
            </w:pPr>
          </w:p>
        </w:tc>
        <w:tc>
          <w:tcPr>
            <w:tcW w:w="697" w:type="pct"/>
            <w:vAlign w:val="center"/>
          </w:tcPr>
          <w:p w14:paraId="4B98CF98">
            <w:pPr>
              <w:autoSpaceDE w:val="0"/>
              <w:autoSpaceDN w:val="0"/>
              <w:adjustRightInd w:val="0"/>
              <w:snapToGrid w:val="0"/>
              <w:jc w:val="center"/>
              <w:rPr>
                <w:rFonts w:ascii="Times New Roman"/>
                <w:sz w:val="21"/>
                <w:szCs w:val="21"/>
              </w:rPr>
            </w:pPr>
            <w:r>
              <w:rPr>
                <w:rFonts w:ascii="Times New Roman"/>
                <w:sz w:val="21"/>
                <w:szCs w:val="21"/>
              </w:rPr>
              <w:t>自动焊接焊机</w:t>
            </w:r>
          </w:p>
        </w:tc>
        <w:tc>
          <w:tcPr>
            <w:tcW w:w="346" w:type="pct"/>
            <w:vAlign w:val="center"/>
          </w:tcPr>
          <w:p w14:paraId="07795FD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9BB2830">
            <w:pPr>
              <w:autoSpaceDE w:val="0"/>
              <w:autoSpaceDN w:val="0"/>
              <w:adjustRightInd w:val="0"/>
              <w:snapToGrid w:val="0"/>
              <w:jc w:val="center"/>
              <w:rPr>
                <w:rFonts w:ascii="Times New Roman"/>
                <w:sz w:val="21"/>
                <w:szCs w:val="21"/>
              </w:rPr>
            </w:pPr>
          </w:p>
        </w:tc>
        <w:tc>
          <w:tcPr>
            <w:tcW w:w="208" w:type="pct"/>
            <w:vAlign w:val="center"/>
          </w:tcPr>
          <w:p w14:paraId="7D89F521">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49288764">
            <w:pPr>
              <w:autoSpaceDE w:val="0"/>
              <w:autoSpaceDN w:val="0"/>
              <w:adjustRightInd w:val="0"/>
              <w:snapToGrid w:val="0"/>
              <w:jc w:val="center"/>
              <w:rPr>
                <w:rFonts w:ascii="Times New Roman"/>
                <w:sz w:val="21"/>
                <w:szCs w:val="21"/>
              </w:rPr>
            </w:pPr>
            <w:r>
              <w:rPr>
                <w:rFonts w:ascii="Times New Roman"/>
                <w:sz w:val="21"/>
                <w:szCs w:val="21"/>
              </w:rPr>
              <w:t>150</w:t>
            </w:r>
          </w:p>
        </w:tc>
        <w:tc>
          <w:tcPr>
            <w:tcW w:w="240" w:type="pct"/>
            <w:vAlign w:val="center"/>
          </w:tcPr>
          <w:p w14:paraId="2ECDF62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AB5AA7E">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082C856A">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64FDC799">
            <w:pPr>
              <w:autoSpaceDE w:val="0"/>
              <w:autoSpaceDN w:val="0"/>
              <w:adjustRightInd w:val="0"/>
              <w:snapToGrid w:val="0"/>
              <w:jc w:val="center"/>
              <w:rPr>
                <w:rFonts w:ascii="Times New Roman"/>
                <w:sz w:val="21"/>
                <w:szCs w:val="21"/>
              </w:rPr>
            </w:pPr>
          </w:p>
        </w:tc>
        <w:tc>
          <w:tcPr>
            <w:tcW w:w="551" w:type="pct"/>
            <w:vAlign w:val="center"/>
          </w:tcPr>
          <w:p w14:paraId="600CE9F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869E8C9">
            <w:pPr>
              <w:autoSpaceDE w:val="0"/>
              <w:autoSpaceDN w:val="0"/>
              <w:adjustRightInd w:val="0"/>
              <w:snapToGrid w:val="0"/>
              <w:jc w:val="center"/>
              <w:rPr>
                <w:rFonts w:ascii="Times New Roman"/>
                <w:sz w:val="21"/>
                <w:szCs w:val="21"/>
              </w:rPr>
            </w:pPr>
          </w:p>
        </w:tc>
        <w:tc>
          <w:tcPr>
            <w:tcW w:w="287" w:type="pct"/>
            <w:vMerge w:val="continue"/>
            <w:vAlign w:val="center"/>
          </w:tcPr>
          <w:p w14:paraId="57DEA5B2">
            <w:pPr>
              <w:autoSpaceDE w:val="0"/>
              <w:autoSpaceDN w:val="0"/>
              <w:adjustRightInd w:val="0"/>
              <w:snapToGrid w:val="0"/>
              <w:jc w:val="center"/>
              <w:rPr>
                <w:rFonts w:ascii="Times New Roman"/>
                <w:sz w:val="21"/>
                <w:szCs w:val="21"/>
              </w:rPr>
            </w:pPr>
          </w:p>
        </w:tc>
        <w:tc>
          <w:tcPr>
            <w:tcW w:w="434" w:type="pct"/>
            <w:vMerge w:val="continue"/>
            <w:vAlign w:val="center"/>
          </w:tcPr>
          <w:p w14:paraId="5FFD768C">
            <w:pPr>
              <w:autoSpaceDE w:val="0"/>
              <w:autoSpaceDN w:val="0"/>
              <w:adjustRightInd w:val="0"/>
              <w:snapToGrid w:val="0"/>
              <w:jc w:val="center"/>
              <w:rPr>
                <w:rFonts w:ascii="Times New Roman"/>
                <w:sz w:val="21"/>
                <w:szCs w:val="21"/>
              </w:rPr>
            </w:pPr>
          </w:p>
        </w:tc>
      </w:tr>
      <w:tr w14:paraId="6E9F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1C1AB01">
            <w:pPr>
              <w:autoSpaceDE w:val="0"/>
              <w:autoSpaceDN w:val="0"/>
              <w:adjustRightInd w:val="0"/>
              <w:snapToGrid w:val="0"/>
              <w:jc w:val="center"/>
              <w:rPr>
                <w:rFonts w:ascii="Times New Roman"/>
                <w:sz w:val="21"/>
                <w:szCs w:val="21"/>
              </w:rPr>
            </w:pPr>
          </w:p>
        </w:tc>
        <w:tc>
          <w:tcPr>
            <w:tcW w:w="697" w:type="pct"/>
            <w:vAlign w:val="center"/>
          </w:tcPr>
          <w:p w14:paraId="5C237A94">
            <w:pPr>
              <w:autoSpaceDE w:val="0"/>
              <w:autoSpaceDN w:val="0"/>
              <w:adjustRightInd w:val="0"/>
              <w:snapToGrid w:val="0"/>
              <w:jc w:val="center"/>
              <w:rPr>
                <w:rFonts w:ascii="Times New Roman"/>
                <w:sz w:val="21"/>
                <w:szCs w:val="21"/>
              </w:rPr>
            </w:pPr>
            <w:r>
              <w:rPr>
                <w:rFonts w:ascii="Times New Roman"/>
                <w:sz w:val="21"/>
                <w:szCs w:val="21"/>
              </w:rPr>
              <w:t>自动焊接焊机</w:t>
            </w:r>
          </w:p>
        </w:tc>
        <w:tc>
          <w:tcPr>
            <w:tcW w:w="346" w:type="pct"/>
            <w:vAlign w:val="center"/>
          </w:tcPr>
          <w:p w14:paraId="0BD36CC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08FCC83">
            <w:pPr>
              <w:autoSpaceDE w:val="0"/>
              <w:autoSpaceDN w:val="0"/>
              <w:adjustRightInd w:val="0"/>
              <w:snapToGrid w:val="0"/>
              <w:jc w:val="center"/>
              <w:rPr>
                <w:rFonts w:ascii="Times New Roman"/>
                <w:sz w:val="21"/>
                <w:szCs w:val="21"/>
              </w:rPr>
            </w:pPr>
          </w:p>
        </w:tc>
        <w:tc>
          <w:tcPr>
            <w:tcW w:w="208" w:type="pct"/>
            <w:vAlign w:val="center"/>
          </w:tcPr>
          <w:p w14:paraId="31718DFA">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02AA9BAB">
            <w:pPr>
              <w:autoSpaceDE w:val="0"/>
              <w:autoSpaceDN w:val="0"/>
              <w:adjustRightInd w:val="0"/>
              <w:snapToGrid w:val="0"/>
              <w:jc w:val="center"/>
              <w:rPr>
                <w:rFonts w:ascii="Times New Roman"/>
                <w:sz w:val="21"/>
                <w:szCs w:val="21"/>
              </w:rPr>
            </w:pPr>
            <w:r>
              <w:rPr>
                <w:rFonts w:ascii="Times New Roman"/>
                <w:sz w:val="21"/>
                <w:szCs w:val="21"/>
              </w:rPr>
              <w:t>160</w:t>
            </w:r>
          </w:p>
        </w:tc>
        <w:tc>
          <w:tcPr>
            <w:tcW w:w="240" w:type="pct"/>
            <w:vAlign w:val="center"/>
          </w:tcPr>
          <w:p w14:paraId="03C305E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0DAEA81">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627CA21B">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37C423F2">
            <w:pPr>
              <w:autoSpaceDE w:val="0"/>
              <w:autoSpaceDN w:val="0"/>
              <w:adjustRightInd w:val="0"/>
              <w:snapToGrid w:val="0"/>
              <w:jc w:val="center"/>
              <w:rPr>
                <w:rFonts w:ascii="Times New Roman"/>
                <w:sz w:val="21"/>
                <w:szCs w:val="21"/>
              </w:rPr>
            </w:pPr>
          </w:p>
        </w:tc>
        <w:tc>
          <w:tcPr>
            <w:tcW w:w="551" w:type="pct"/>
            <w:vAlign w:val="center"/>
          </w:tcPr>
          <w:p w14:paraId="2A06F9C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restart"/>
            <w:vAlign w:val="center"/>
          </w:tcPr>
          <w:p w14:paraId="4FB4CC76">
            <w:pPr>
              <w:autoSpaceDE w:val="0"/>
              <w:autoSpaceDN w:val="0"/>
              <w:adjustRightInd w:val="0"/>
              <w:snapToGrid w:val="0"/>
              <w:jc w:val="center"/>
              <w:rPr>
                <w:rFonts w:ascii="Times New Roman"/>
                <w:sz w:val="21"/>
                <w:szCs w:val="21"/>
              </w:rPr>
            </w:pPr>
            <w:r>
              <w:rPr>
                <w:rFonts w:ascii="Times New Roman"/>
                <w:sz w:val="21"/>
                <w:szCs w:val="21"/>
              </w:rPr>
              <w:t>西边界</w:t>
            </w:r>
          </w:p>
        </w:tc>
        <w:tc>
          <w:tcPr>
            <w:tcW w:w="287" w:type="pct"/>
            <w:vMerge w:val="restart"/>
            <w:vAlign w:val="center"/>
          </w:tcPr>
          <w:p w14:paraId="5608BF91">
            <w:pPr>
              <w:autoSpaceDE w:val="0"/>
              <w:autoSpaceDN w:val="0"/>
              <w:adjustRightInd w:val="0"/>
              <w:snapToGrid w:val="0"/>
              <w:jc w:val="center"/>
              <w:rPr>
                <w:rFonts w:ascii="Times New Roman"/>
                <w:sz w:val="21"/>
                <w:szCs w:val="21"/>
              </w:rPr>
            </w:pPr>
            <w:r>
              <w:rPr>
                <w:rFonts w:ascii="Times New Roman"/>
                <w:sz w:val="21"/>
                <w:szCs w:val="21"/>
              </w:rPr>
              <w:t>41.1</w:t>
            </w:r>
          </w:p>
        </w:tc>
        <w:tc>
          <w:tcPr>
            <w:tcW w:w="434" w:type="pct"/>
            <w:vMerge w:val="continue"/>
            <w:vAlign w:val="center"/>
          </w:tcPr>
          <w:p w14:paraId="1EA7C5A2">
            <w:pPr>
              <w:autoSpaceDE w:val="0"/>
              <w:autoSpaceDN w:val="0"/>
              <w:adjustRightInd w:val="0"/>
              <w:snapToGrid w:val="0"/>
              <w:jc w:val="center"/>
              <w:rPr>
                <w:rFonts w:ascii="Times New Roman"/>
                <w:sz w:val="21"/>
                <w:szCs w:val="21"/>
              </w:rPr>
            </w:pPr>
          </w:p>
        </w:tc>
      </w:tr>
      <w:tr w14:paraId="48EF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9026A92">
            <w:pPr>
              <w:autoSpaceDE w:val="0"/>
              <w:autoSpaceDN w:val="0"/>
              <w:adjustRightInd w:val="0"/>
              <w:snapToGrid w:val="0"/>
              <w:jc w:val="center"/>
              <w:rPr>
                <w:rFonts w:ascii="Times New Roman"/>
                <w:sz w:val="21"/>
                <w:szCs w:val="21"/>
              </w:rPr>
            </w:pPr>
          </w:p>
        </w:tc>
        <w:tc>
          <w:tcPr>
            <w:tcW w:w="697" w:type="pct"/>
            <w:vAlign w:val="center"/>
          </w:tcPr>
          <w:p w14:paraId="0DD5F581">
            <w:pPr>
              <w:autoSpaceDE w:val="0"/>
              <w:autoSpaceDN w:val="0"/>
              <w:adjustRightInd w:val="0"/>
              <w:snapToGrid w:val="0"/>
              <w:jc w:val="center"/>
              <w:rPr>
                <w:rFonts w:ascii="Times New Roman"/>
                <w:sz w:val="21"/>
                <w:szCs w:val="21"/>
              </w:rPr>
            </w:pPr>
            <w:r>
              <w:rPr>
                <w:rFonts w:ascii="Times New Roman"/>
                <w:sz w:val="21"/>
                <w:szCs w:val="21"/>
              </w:rPr>
              <w:t>自动焊接焊机</w:t>
            </w:r>
          </w:p>
        </w:tc>
        <w:tc>
          <w:tcPr>
            <w:tcW w:w="346" w:type="pct"/>
            <w:vAlign w:val="center"/>
          </w:tcPr>
          <w:p w14:paraId="3B7E049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373AC7D">
            <w:pPr>
              <w:autoSpaceDE w:val="0"/>
              <w:autoSpaceDN w:val="0"/>
              <w:adjustRightInd w:val="0"/>
              <w:snapToGrid w:val="0"/>
              <w:jc w:val="center"/>
              <w:rPr>
                <w:rFonts w:ascii="Times New Roman"/>
                <w:sz w:val="21"/>
                <w:szCs w:val="21"/>
              </w:rPr>
            </w:pPr>
          </w:p>
        </w:tc>
        <w:tc>
          <w:tcPr>
            <w:tcW w:w="208" w:type="pct"/>
            <w:vAlign w:val="center"/>
          </w:tcPr>
          <w:p w14:paraId="12FDC9E4">
            <w:pPr>
              <w:autoSpaceDE w:val="0"/>
              <w:autoSpaceDN w:val="0"/>
              <w:adjustRightInd w:val="0"/>
              <w:snapToGrid w:val="0"/>
              <w:jc w:val="center"/>
              <w:rPr>
                <w:rFonts w:ascii="Times New Roman"/>
                <w:sz w:val="21"/>
                <w:szCs w:val="21"/>
              </w:rPr>
            </w:pPr>
            <w:r>
              <w:rPr>
                <w:rFonts w:ascii="Times New Roman"/>
                <w:sz w:val="21"/>
                <w:szCs w:val="21"/>
              </w:rPr>
              <w:t>455</w:t>
            </w:r>
          </w:p>
        </w:tc>
        <w:tc>
          <w:tcPr>
            <w:tcW w:w="201" w:type="pct"/>
            <w:vAlign w:val="center"/>
          </w:tcPr>
          <w:p w14:paraId="1D4182F2">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465239C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CA5D8EB">
            <w:pPr>
              <w:autoSpaceDE w:val="0"/>
              <w:autoSpaceDN w:val="0"/>
              <w:adjustRightInd w:val="0"/>
              <w:snapToGrid w:val="0"/>
              <w:jc w:val="center"/>
              <w:rPr>
                <w:rFonts w:ascii="Times New Roman"/>
                <w:sz w:val="21"/>
                <w:szCs w:val="21"/>
              </w:rPr>
            </w:pPr>
            <w:r>
              <w:rPr>
                <w:rFonts w:ascii="Times New Roman"/>
                <w:sz w:val="21"/>
                <w:szCs w:val="21"/>
              </w:rPr>
              <w:t>84.968</w:t>
            </w:r>
          </w:p>
        </w:tc>
        <w:tc>
          <w:tcPr>
            <w:tcW w:w="358" w:type="pct"/>
            <w:vAlign w:val="center"/>
          </w:tcPr>
          <w:p w14:paraId="55D3FC0A">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366EE966">
            <w:pPr>
              <w:autoSpaceDE w:val="0"/>
              <w:autoSpaceDN w:val="0"/>
              <w:adjustRightInd w:val="0"/>
              <w:snapToGrid w:val="0"/>
              <w:jc w:val="center"/>
              <w:rPr>
                <w:rFonts w:ascii="Times New Roman"/>
                <w:sz w:val="21"/>
                <w:szCs w:val="21"/>
              </w:rPr>
            </w:pPr>
          </w:p>
        </w:tc>
        <w:tc>
          <w:tcPr>
            <w:tcW w:w="551" w:type="pct"/>
            <w:vAlign w:val="center"/>
          </w:tcPr>
          <w:p w14:paraId="70A395B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35BF6B2">
            <w:pPr>
              <w:autoSpaceDE w:val="0"/>
              <w:autoSpaceDN w:val="0"/>
              <w:adjustRightInd w:val="0"/>
              <w:snapToGrid w:val="0"/>
              <w:jc w:val="center"/>
              <w:rPr>
                <w:rFonts w:ascii="Times New Roman"/>
                <w:sz w:val="21"/>
                <w:szCs w:val="21"/>
              </w:rPr>
            </w:pPr>
          </w:p>
        </w:tc>
        <w:tc>
          <w:tcPr>
            <w:tcW w:w="287" w:type="pct"/>
            <w:vMerge w:val="continue"/>
            <w:vAlign w:val="center"/>
          </w:tcPr>
          <w:p w14:paraId="43F55622">
            <w:pPr>
              <w:autoSpaceDE w:val="0"/>
              <w:autoSpaceDN w:val="0"/>
              <w:adjustRightInd w:val="0"/>
              <w:snapToGrid w:val="0"/>
              <w:jc w:val="center"/>
              <w:rPr>
                <w:rFonts w:ascii="Times New Roman"/>
                <w:sz w:val="21"/>
                <w:szCs w:val="21"/>
              </w:rPr>
            </w:pPr>
          </w:p>
        </w:tc>
        <w:tc>
          <w:tcPr>
            <w:tcW w:w="434" w:type="pct"/>
            <w:vMerge w:val="continue"/>
            <w:vAlign w:val="center"/>
          </w:tcPr>
          <w:p w14:paraId="5A3145F4">
            <w:pPr>
              <w:autoSpaceDE w:val="0"/>
              <w:autoSpaceDN w:val="0"/>
              <w:adjustRightInd w:val="0"/>
              <w:snapToGrid w:val="0"/>
              <w:jc w:val="center"/>
              <w:rPr>
                <w:rFonts w:ascii="Times New Roman"/>
                <w:sz w:val="21"/>
                <w:szCs w:val="21"/>
              </w:rPr>
            </w:pPr>
          </w:p>
        </w:tc>
      </w:tr>
      <w:tr w14:paraId="5BFD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413CDF6">
            <w:pPr>
              <w:autoSpaceDE w:val="0"/>
              <w:autoSpaceDN w:val="0"/>
              <w:adjustRightInd w:val="0"/>
              <w:snapToGrid w:val="0"/>
              <w:jc w:val="center"/>
              <w:rPr>
                <w:rFonts w:ascii="Times New Roman"/>
                <w:sz w:val="21"/>
                <w:szCs w:val="21"/>
              </w:rPr>
            </w:pPr>
          </w:p>
        </w:tc>
        <w:tc>
          <w:tcPr>
            <w:tcW w:w="697" w:type="pct"/>
            <w:vAlign w:val="center"/>
          </w:tcPr>
          <w:p w14:paraId="06881BAE">
            <w:pPr>
              <w:autoSpaceDE w:val="0"/>
              <w:autoSpaceDN w:val="0"/>
              <w:adjustRightInd w:val="0"/>
              <w:snapToGrid w:val="0"/>
              <w:jc w:val="center"/>
              <w:rPr>
                <w:rFonts w:ascii="Times New Roman"/>
                <w:sz w:val="21"/>
                <w:szCs w:val="21"/>
              </w:rPr>
            </w:pPr>
            <w:r>
              <w:rPr>
                <w:rFonts w:ascii="Times New Roman"/>
                <w:sz w:val="21"/>
                <w:szCs w:val="21"/>
              </w:rPr>
              <w:t>自动焊接焊机</w:t>
            </w:r>
          </w:p>
        </w:tc>
        <w:tc>
          <w:tcPr>
            <w:tcW w:w="346" w:type="pct"/>
            <w:vAlign w:val="center"/>
          </w:tcPr>
          <w:p w14:paraId="31AB8C20">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2F4ABC5">
            <w:pPr>
              <w:autoSpaceDE w:val="0"/>
              <w:autoSpaceDN w:val="0"/>
              <w:adjustRightInd w:val="0"/>
              <w:snapToGrid w:val="0"/>
              <w:jc w:val="center"/>
              <w:rPr>
                <w:rFonts w:ascii="Times New Roman"/>
                <w:sz w:val="21"/>
                <w:szCs w:val="21"/>
              </w:rPr>
            </w:pPr>
          </w:p>
        </w:tc>
        <w:tc>
          <w:tcPr>
            <w:tcW w:w="208" w:type="pct"/>
            <w:vAlign w:val="center"/>
          </w:tcPr>
          <w:p w14:paraId="460D1251">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7B9961A2">
            <w:pPr>
              <w:autoSpaceDE w:val="0"/>
              <w:autoSpaceDN w:val="0"/>
              <w:adjustRightInd w:val="0"/>
              <w:snapToGrid w:val="0"/>
              <w:jc w:val="center"/>
              <w:rPr>
                <w:rFonts w:ascii="Times New Roman"/>
                <w:sz w:val="21"/>
                <w:szCs w:val="21"/>
              </w:rPr>
            </w:pPr>
            <w:r>
              <w:rPr>
                <w:rFonts w:ascii="Times New Roman"/>
                <w:sz w:val="21"/>
                <w:szCs w:val="21"/>
              </w:rPr>
              <w:t>160</w:t>
            </w:r>
          </w:p>
        </w:tc>
        <w:tc>
          <w:tcPr>
            <w:tcW w:w="240" w:type="pct"/>
            <w:vAlign w:val="center"/>
          </w:tcPr>
          <w:p w14:paraId="57CFA67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1C48424">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2F841010">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51A22D7E">
            <w:pPr>
              <w:autoSpaceDE w:val="0"/>
              <w:autoSpaceDN w:val="0"/>
              <w:adjustRightInd w:val="0"/>
              <w:snapToGrid w:val="0"/>
              <w:jc w:val="center"/>
              <w:rPr>
                <w:rFonts w:ascii="Times New Roman"/>
                <w:sz w:val="21"/>
                <w:szCs w:val="21"/>
              </w:rPr>
            </w:pPr>
          </w:p>
        </w:tc>
        <w:tc>
          <w:tcPr>
            <w:tcW w:w="551" w:type="pct"/>
            <w:vAlign w:val="center"/>
          </w:tcPr>
          <w:p w14:paraId="459EA21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44BACF8">
            <w:pPr>
              <w:autoSpaceDE w:val="0"/>
              <w:autoSpaceDN w:val="0"/>
              <w:adjustRightInd w:val="0"/>
              <w:snapToGrid w:val="0"/>
              <w:jc w:val="center"/>
              <w:rPr>
                <w:rFonts w:ascii="Times New Roman"/>
                <w:sz w:val="21"/>
                <w:szCs w:val="21"/>
              </w:rPr>
            </w:pPr>
          </w:p>
        </w:tc>
        <w:tc>
          <w:tcPr>
            <w:tcW w:w="287" w:type="pct"/>
            <w:vMerge w:val="continue"/>
            <w:vAlign w:val="center"/>
          </w:tcPr>
          <w:p w14:paraId="07CDF908">
            <w:pPr>
              <w:autoSpaceDE w:val="0"/>
              <w:autoSpaceDN w:val="0"/>
              <w:adjustRightInd w:val="0"/>
              <w:snapToGrid w:val="0"/>
              <w:jc w:val="center"/>
              <w:rPr>
                <w:rFonts w:ascii="Times New Roman"/>
                <w:sz w:val="21"/>
                <w:szCs w:val="21"/>
              </w:rPr>
            </w:pPr>
          </w:p>
        </w:tc>
        <w:tc>
          <w:tcPr>
            <w:tcW w:w="434" w:type="pct"/>
            <w:vMerge w:val="continue"/>
            <w:vAlign w:val="center"/>
          </w:tcPr>
          <w:p w14:paraId="145351AD">
            <w:pPr>
              <w:autoSpaceDE w:val="0"/>
              <w:autoSpaceDN w:val="0"/>
              <w:adjustRightInd w:val="0"/>
              <w:snapToGrid w:val="0"/>
              <w:jc w:val="center"/>
              <w:rPr>
                <w:rFonts w:ascii="Times New Roman"/>
                <w:sz w:val="21"/>
                <w:szCs w:val="21"/>
              </w:rPr>
            </w:pPr>
          </w:p>
        </w:tc>
      </w:tr>
      <w:tr w14:paraId="3032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DC00D09">
            <w:pPr>
              <w:autoSpaceDE w:val="0"/>
              <w:autoSpaceDN w:val="0"/>
              <w:adjustRightInd w:val="0"/>
              <w:snapToGrid w:val="0"/>
              <w:jc w:val="center"/>
              <w:rPr>
                <w:rFonts w:ascii="Times New Roman"/>
                <w:sz w:val="21"/>
                <w:szCs w:val="21"/>
              </w:rPr>
            </w:pPr>
          </w:p>
        </w:tc>
        <w:tc>
          <w:tcPr>
            <w:tcW w:w="697" w:type="pct"/>
            <w:vAlign w:val="center"/>
          </w:tcPr>
          <w:p w14:paraId="2458B320">
            <w:pPr>
              <w:autoSpaceDE w:val="0"/>
              <w:autoSpaceDN w:val="0"/>
              <w:adjustRightInd w:val="0"/>
              <w:snapToGrid w:val="0"/>
              <w:jc w:val="center"/>
              <w:rPr>
                <w:rFonts w:ascii="Times New Roman"/>
                <w:sz w:val="21"/>
                <w:szCs w:val="21"/>
              </w:rPr>
            </w:pPr>
            <w:r>
              <w:rPr>
                <w:rFonts w:ascii="Times New Roman"/>
                <w:sz w:val="21"/>
                <w:szCs w:val="21"/>
              </w:rPr>
              <w:t>自动焊接焊机</w:t>
            </w:r>
          </w:p>
        </w:tc>
        <w:tc>
          <w:tcPr>
            <w:tcW w:w="346" w:type="pct"/>
            <w:vAlign w:val="center"/>
          </w:tcPr>
          <w:p w14:paraId="3A5B9F5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269C6ED">
            <w:pPr>
              <w:autoSpaceDE w:val="0"/>
              <w:autoSpaceDN w:val="0"/>
              <w:adjustRightInd w:val="0"/>
              <w:snapToGrid w:val="0"/>
              <w:jc w:val="center"/>
              <w:rPr>
                <w:rFonts w:ascii="Times New Roman"/>
                <w:sz w:val="21"/>
                <w:szCs w:val="21"/>
              </w:rPr>
            </w:pPr>
          </w:p>
        </w:tc>
        <w:tc>
          <w:tcPr>
            <w:tcW w:w="208" w:type="pct"/>
            <w:vAlign w:val="center"/>
          </w:tcPr>
          <w:p w14:paraId="04EC8AD0">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50A02519">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7F9B50E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1A792A1">
            <w:pPr>
              <w:autoSpaceDE w:val="0"/>
              <w:autoSpaceDN w:val="0"/>
              <w:adjustRightInd w:val="0"/>
              <w:snapToGrid w:val="0"/>
              <w:jc w:val="center"/>
              <w:rPr>
                <w:rFonts w:ascii="Times New Roman"/>
                <w:sz w:val="21"/>
                <w:szCs w:val="21"/>
              </w:rPr>
            </w:pPr>
            <w:r>
              <w:rPr>
                <w:rFonts w:ascii="Times New Roman"/>
                <w:sz w:val="21"/>
                <w:szCs w:val="21"/>
              </w:rPr>
              <w:t>74.98</w:t>
            </w:r>
          </w:p>
        </w:tc>
        <w:tc>
          <w:tcPr>
            <w:tcW w:w="358" w:type="pct"/>
            <w:vAlign w:val="center"/>
          </w:tcPr>
          <w:p w14:paraId="4DE930FF">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5DE6B640">
            <w:pPr>
              <w:autoSpaceDE w:val="0"/>
              <w:autoSpaceDN w:val="0"/>
              <w:adjustRightInd w:val="0"/>
              <w:snapToGrid w:val="0"/>
              <w:jc w:val="center"/>
              <w:rPr>
                <w:rFonts w:ascii="Times New Roman"/>
                <w:sz w:val="21"/>
                <w:szCs w:val="21"/>
              </w:rPr>
            </w:pPr>
          </w:p>
        </w:tc>
        <w:tc>
          <w:tcPr>
            <w:tcW w:w="551" w:type="pct"/>
            <w:vAlign w:val="center"/>
          </w:tcPr>
          <w:p w14:paraId="175D300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8013F6B">
            <w:pPr>
              <w:autoSpaceDE w:val="0"/>
              <w:autoSpaceDN w:val="0"/>
              <w:adjustRightInd w:val="0"/>
              <w:snapToGrid w:val="0"/>
              <w:jc w:val="center"/>
              <w:rPr>
                <w:rFonts w:ascii="Times New Roman"/>
                <w:sz w:val="21"/>
                <w:szCs w:val="21"/>
              </w:rPr>
            </w:pPr>
          </w:p>
        </w:tc>
        <w:tc>
          <w:tcPr>
            <w:tcW w:w="287" w:type="pct"/>
            <w:vMerge w:val="continue"/>
            <w:vAlign w:val="center"/>
          </w:tcPr>
          <w:p w14:paraId="50CDFA5A">
            <w:pPr>
              <w:autoSpaceDE w:val="0"/>
              <w:autoSpaceDN w:val="0"/>
              <w:adjustRightInd w:val="0"/>
              <w:snapToGrid w:val="0"/>
              <w:jc w:val="center"/>
              <w:rPr>
                <w:rFonts w:ascii="Times New Roman"/>
                <w:sz w:val="21"/>
                <w:szCs w:val="21"/>
              </w:rPr>
            </w:pPr>
          </w:p>
        </w:tc>
        <w:tc>
          <w:tcPr>
            <w:tcW w:w="434" w:type="pct"/>
            <w:vMerge w:val="continue"/>
            <w:vAlign w:val="center"/>
          </w:tcPr>
          <w:p w14:paraId="3BBAA275">
            <w:pPr>
              <w:autoSpaceDE w:val="0"/>
              <w:autoSpaceDN w:val="0"/>
              <w:adjustRightInd w:val="0"/>
              <w:snapToGrid w:val="0"/>
              <w:jc w:val="center"/>
              <w:rPr>
                <w:rFonts w:ascii="Times New Roman"/>
                <w:sz w:val="21"/>
                <w:szCs w:val="21"/>
              </w:rPr>
            </w:pPr>
          </w:p>
        </w:tc>
      </w:tr>
      <w:tr w14:paraId="21E9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97B395C">
            <w:pPr>
              <w:autoSpaceDE w:val="0"/>
              <w:autoSpaceDN w:val="0"/>
              <w:adjustRightInd w:val="0"/>
              <w:snapToGrid w:val="0"/>
              <w:jc w:val="center"/>
              <w:rPr>
                <w:rFonts w:ascii="Times New Roman"/>
                <w:sz w:val="21"/>
                <w:szCs w:val="21"/>
              </w:rPr>
            </w:pPr>
          </w:p>
        </w:tc>
        <w:tc>
          <w:tcPr>
            <w:tcW w:w="697" w:type="pct"/>
            <w:vAlign w:val="center"/>
          </w:tcPr>
          <w:p w14:paraId="3CA7C406">
            <w:pPr>
              <w:autoSpaceDE w:val="0"/>
              <w:autoSpaceDN w:val="0"/>
              <w:adjustRightInd w:val="0"/>
              <w:snapToGrid w:val="0"/>
              <w:jc w:val="center"/>
              <w:rPr>
                <w:rFonts w:ascii="Times New Roman"/>
                <w:sz w:val="21"/>
                <w:szCs w:val="21"/>
              </w:rPr>
            </w:pPr>
            <w:r>
              <w:rPr>
                <w:rFonts w:ascii="Times New Roman"/>
                <w:sz w:val="21"/>
                <w:szCs w:val="21"/>
              </w:rPr>
              <w:t>油压机</w:t>
            </w:r>
          </w:p>
        </w:tc>
        <w:tc>
          <w:tcPr>
            <w:tcW w:w="346" w:type="pct"/>
            <w:vAlign w:val="center"/>
          </w:tcPr>
          <w:p w14:paraId="5A03912F">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35466CB">
            <w:pPr>
              <w:autoSpaceDE w:val="0"/>
              <w:autoSpaceDN w:val="0"/>
              <w:adjustRightInd w:val="0"/>
              <w:snapToGrid w:val="0"/>
              <w:jc w:val="center"/>
              <w:rPr>
                <w:rFonts w:ascii="Times New Roman"/>
                <w:sz w:val="21"/>
                <w:szCs w:val="21"/>
              </w:rPr>
            </w:pPr>
          </w:p>
        </w:tc>
        <w:tc>
          <w:tcPr>
            <w:tcW w:w="208" w:type="pct"/>
            <w:vAlign w:val="center"/>
          </w:tcPr>
          <w:p w14:paraId="20BE4142">
            <w:pPr>
              <w:autoSpaceDE w:val="0"/>
              <w:autoSpaceDN w:val="0"/>
              <w:adjustRightInd w:val="0"/>
              <w:snapToGrid w:val="0"/>
              <w:jc w:val="center"/>
              <w:rPr>
                <w:rFonts w:ascii="Times New Roman"/>
                <w:sz w:val="21"/>
                <w:szCs w:val="21"/>
              </w:rPr>
            </w:pPr>
            <w:r>
              <w:rPr>
                <w:rFonts w:ascii="Times New Roman"/>
                <w:sz w:val="21"/>
                <w:szCs w:val="21"/>
              </w:rPr>
              <w:t>455</w:t>
            </w:r>
          </w:p>
        </w:tc>
        <w:tc>
          <w:tcPr>
            <w:tcW w:w="201" w:type="pct"/>
            <w:vAlign w:val="center"/>
          </w:tcPr>
          <w:p w14:paraId="15D05B9E">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353C2F2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57EC4DD">
            <w:pPr>
              <w:autoSpaceDE w:val="0"/>
              <w:autoSpaceDN w:val="0"/>
              <w:adjustRightInd w:val="0"/>
              <w:snapToGrid w:val="0"/>
              <w:jc w:val="center"/>
              <w:rPr>
                <w:rFonts w:ascii="Times New Roman"/>
                <w:sz w:val="21"/>
                <w:szCs w:val="21"/>
              </w:rPr>
            </w:pPr>
            <w:r>
              <w:rPr>
                <w:rFonts w:ascii="Times New Roman"/>
                <w:sz w:val="21"/>
                <w:szCs w:val="21"/>
              </w:rPr>
              <w:t>84.98</w:t>
            </w:r>
          </w:p>
        </w:tc>
        <w:tc>
          <w:tcPr>
            <w:tcW w:w="358" w:type="pct"/>
            <w:vAlign w:val="center"/>
          </w:tcPr>
          <w:p w14:paraId="4C23A201">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05C7EE4E">
            <w:pPr>
              <w:autoSpaceDE w:val="0"/>
              <w:autoSpaceDN w:val="0"/>
              <w:adjustRightInd w:val="0"/>
              <w:snapToGrid w:val="0"/>
              <w:jc w:val="center"/>
              <w:rPr>
                <w:rFonts w:ascii="Times New Roman"/>
                <w:sz w:val="21"/>
                <w:szCs w:val="21"/>
              </w:rPr>
            </w:pPr>
          </w:p>
        </w:tc>
        <w:tc>
          <w:tcPr>
            <w:tcW w:w="551" w:type="pct"/>
            <w:vAlign w:val="center"/>
          </w:tcPr>
          <w:p w14:paraId="3BAD339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F7B90F0">
            <w:pPr>
              <w:autoSpaceDE w:val="0"/>
              <w:autoSpaceDN w:val="0"/>
              <w:adjustRightInd w:val="0"/>
              <w:snapToGrid w:val="0"/>
              <w:jc w:val="center"/>
              <w:rPr>
                <w:rFonts w:ascii="Times New Roman"/>
                <w:sz w:val="21"/>
                <w:szCs w:val="21"/>
              </w:rPr>
            </w:pPr>
          </w:p>
        </w:tc>
        <w:tc>
          <w:tcPr>
            <w:tcW w:w="287" w:type="pct"/>
            <w:vMerge w:val="continue"/>
            <w:vAlign w:val="center"/>
          </w:tcPr>
          <w:p w14:paraId="78FDB743">
            <w:pPr>
              <w:autoSpaceDE w:val="0"/>
              <w:autoSpaceDN w:val="0"/>
              <w:adjustRightInd w:val="0"/>
              <w:snapToGrid w:val="0"/>
              <w:jc w:val="center"/>
              <w:rPr>
                <w:rFonts w:ascii="Times New Roman"/>
                <w:sz w:val="21"/>
                <w:szCs w:val="21"/>
              </w:rPr>
            </w:pPr>
          </w:p>
        </w:tc>
        <w:tc>
          <w:tcPr>
            <w:tcW w:w="434" w:type="pct"/>
            <w:vMerge w:val="continue"/>
            <w:vAlign w:val="center"/>
          </w:tcPr>
          <w:p w14:paraId="6BD36A3F">
            <w:pPr>
              <w:autoSpaceDE w:val="0"/>
              <w:autoSpaceDN w:val="0"/>
              <w:adjustRightInd w:val="0"/>
              <w:snapToGrid w:val="0"/>
              <w:jc w:val="center"/>
              <w:rPr>
                <w:rFonts w:ascii="Times New Roman"/>
                <w:sz w:val="21"/>
                <w:szCs w:val="21"/>
              </w:rPr>
            </w:pPr>
          </w:p>
        </w:tc>
      </w:tr>
      <w:tr w14:paraId="28EB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552C44B">
            <w:pPr>
              <w:autoSpaceDE w:val="0"/>
              <w:autoSpaceDN w:val="0"/>
              <w:adjustRightInd w:val="0"/>
              <w:snapToGrid w:val="0"/>
              <w:jc w:val="center"/>
              <w:rPr>
                <w:rFonts w:ascii="Times New Roman"/>
                <w:sz w:val="21"/>
                <w:szCs w:val="21"/>
              </w:rPr>
            </w:pPr>
          </w:p>
        </w:tc>
        <w:tc>
          <w:tcPr>
            <w:tcW w:w="697" w:type="pct"/>
            <w:vAlign w:val="center"/>
          </w:tcPr>
          <w:p w14:paraId="5A1CE200">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63ADA53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15863E6">
            <w:pPr>
              <w:autoSpaceDE w:val="0"/>
              <w:autoSpaceDN w:val="0"/>
              <w:adjustRightInd w:val="0"/>
              <w:snapToGrid w:val="0"/>
              <w:jc w:val="center"/>
              <w:rPr>
                <w:rFonts w:ascii="Times New Roman"/>
                <w:sz w:val="21"/>
                <w:szCs w:val="21"/>
              </w:rPr>
            </w:pPr>
          </w:p>
        </w:tc>
        <w:tc>
          <w:tcPr>
            <w:tcW w:w="208" w:type="pct"/>
            <w:vAlign w:val="center"/>
          </w:tcPr>
          <w:p w14:paraId="481BBB90">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009C17C1">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74BC09A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ED0F32C">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4EB9F643">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752D8C92">
            <w:pPr>
              <w:autoSpaceDE w:val="0"/>
              <w:autoSpaceDN w:val="0"/>
              <w:adjustRightInd w:val="0"/>
              <w:snapToGrid w:val="0"/>
              <w:jc w:val="center"/>
              <w:rPr>
                <w:rFonts w:ascii="Times New Roman"/>
                <w:sz w:val="21"/>
                <w:szCs w:val="21"/>
              </w:rPr>
            </w:pPr>
          </w:p>
        </w:tc>
        <w:tc>
          <w:tcPr>
            <w:tcW w:w="551" w:type="pct"/>
            <w:vAlign w:val="center"/>
          </w:tcPr>
          <w:p w14:paraId="7A80E2B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2ED6119">
            <w:pPr>
              <w:autoSpaceDE w:val="0"/>
              <w:autoSpaceDN w:val="0"/>
              <w:adjustRightInd w:val="0"/>
              <w:snapToGrid w:val="0"/>
              <w:jc w:val="center"/>
              <w:rPr>
                <w:rFonts w:ascii="Times New Roman"/>
                <w:sz w:val="21"/>
                <w:szCs w:val="21"/>
              </w:rPr>
            </w:pPr>
          </w:p>
        </w:tc>
        <w:tc>
          <w:tcPr>
            <w:tcW w:w="287" w:type="pct"/>
            <w:vMerge w:val="continue"/>
            <w:vAlign w:val="center"/>
          </w:tcPr>
          <w:p w14:paraId="7C51C464">
            <w:pPr>
              <w:autoSpaceDE w:val="0"/>
              <w:autoSpaceDN w:val="0"/>
              <w:adjustRightInd w:val="0"/>
              <w:snapToGrid w:val="0"/>
              <w:jc w:val="center"/>
              <w:rPr>
                <w:rFonts w:ascii="Times New Roman"/>
                <w:sz w:val="21"/>
                <w:szCs w:val="21"/>
              </w:rPr>
            </w:pPr>
          </w:p>
        </w:tc>
        <w:tc>
          <w:tcPr>
            <w:tcW w:w="434" w:type="pct"/>
            <w:vMerge w:val="continue"/>
            <w:vAlign w:val="center"/>
          </w:tcPr>
          <w:p w14:paraId="0507EEA7">
            <w:pPr>
              <w:autoSpaceDE w:val="0"/>
              <w:autoSpaceDN w:val="0"/>
              <w:adjustRightInd w:val="0"/>
              <w:snapToGrid w:val="0"/>
              <w:jc w:val="center"/>
              <w:rPr>
                <w:rFonts w:ascii="Times New Roman"/>
                <w:sz w:val="21"/>
                <w:szCs w:val="21"/>
              </w:rPr>
            </w:pPr>
          </w:p>
        </w:tc>
      </w:tr>
      <w:tr w14:paraId="036C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FB0ED09">
            <w:pPr>
              <w:autoSpaceDE w:val="0"/>
              <w:autoSpaceDN w:val="0"/>
              <w:adjustRightInd w:val="0"/>
              <w:snapToGrid w:val="0"/>
              <w:jc w:val="center"/>
              <w:rPr>
                <w:rFonts w:ascii="Times New Roman"/>
                <w:sz w:val="21"/>
                <w:szCs w:val="21"/>
              </w:rPr>
            </w:pPr>
          </w:p>
        </w:tc>
        <w:tc>
          <w:tcPr>
            <w:tcW w:w="697" w:type="pct"/>
            <w:vAlign w:val="center"/>
          </w:tcPr>
          <w:p w14:paraId="6EFCD714">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04D4690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E5BECE5">
            <w:pPr>
              <w:autoSpaceDE w:val="0"/>
              <w:autoSpaceDN w:val="0"/>
              <w:adjustRightInd w:val="0"/>
              <w:snapToGrid w:val="0"/>
              <w:jc w:val="center"/>
              <w:rPr>
                <w:rFonts w:ascii="Times New Roman"/>
                <w:sz w:val="21"/>
                <w:szCs w:val="21"/>
              </w:rPr>
            </w:pPr>
          </w:p>
        </w:tc>
        <w:tc>
          <w:tcPr>
            <w:tcW w:w="208" w:type="pct"/>
            <w:vAlign w:val="center"/>
          </w:tcPr>
          <w:p w14:paraId="3AB598C1">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0ED9F523">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302017C5">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15C79CE">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0D9F084E">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3B41447B">
            <w:pPr>
              <w:autoSpaceDE w:val="0"/>
              <w:autoSpaceDN w:val="0"/>
              <w:adjustRightInd w:val="0"/>
              <w:snapToGrid w:val="0"/>
              <w:jc w:val="center"/>
              <w:rPr>
                <w:rFonts w:ascii="Times New Roman"/>
                <w:sz w:val="21"/>
                <w:szCs w:val="21"/>
              </w:rPr>
            </w:pPr>
          </w:p>
        </w:tc>
        <w:tc>
          <w:tcPr>
            <w:tcW w:w="551" w:type="pct"/>
            <w:vAlign w:val="center"/>
          </w:tcPr>
          <w:p w14:paraId="5D59D74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6749EBF">
            <w:pPr>
              <w:autoSpaceDE w:val="0"/>
              <w:autoSpaceDN w:val="0"/>
              <w:adjustRightInd w:val="0"/>
              <w:snapToGrid w:val="0"/>
              <w:jc w:val="center"/>
              <w:rPr>
                <w:rFonts w:ascii="Times New Roman"/>
                <w:sz w:val="21"/>
                <w:szCs w:val="21"/>
              </w:rPr>
            </w:pPr>
          </w:p>
        </w:tc>
        <w:tc>
          <w:tcPr>
            <w:tcW w:w="287" w:type="pct"/>
            <w:vMerge w:val="continue"/>
            <w:vAlign w:val="center"/>
          </w:tcPr>
          <w:p w14:paraId="258A6E2C">
            <w:pPr>
              <w:autoSpaceDE w:val="0"/>
              <w:autoSpaceDN w:val="0"/>
              <w:adjustRightInd w:val="0"/>
              <w:snapToGrid w:val="0"/>
              <w:jc w:val="center"/>
              <w:rPr>
                <w:rFonts w:ascii="Times New Roman"/>
                <w:sz w:val="21"/>
                <w:szCs w:val="21"/>
              </w:rPr>
            </w:pPr>
          </w:p>
        </w:tc>
        <w:tc>
          <w:tcPr>
            <w:tcW w:w="434" w:type="pct"/>
            <w:vMerge w:val="continue"/>
            <w:vAlign w:val="center"/>
          </w:tcPr>
          <w:p w14:paraId="6E4C2A9F">
            <w:pPr>
              <w:autoSpaceDE w:val="0"/>
              <w:autoSpaceDN w:val="0"/>
              <w:adjustRightInd w:val="0"/>
              <w:snapToGrid w:val="0"/>
              <w:jc w:val="center"/>
              <w:rPr>
                <w:rFonts w:ascii="Times New Roman"/>
                <w:sz w:val="21"/>
                <w:szCs w:val="21"/>
              </w:rPr>
            </w:pPr>
          </w:p>
        </w:tc>
      </w:tr>
      <w:tr w14:paraId="6F5A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3311C82">
            <w:pPr>
              <w:autoSpaceDE w:val="0"/>
              <w:autoSpaceDN w:val="0"/>
              <w:adjustRightInd w:val="0"/>
              <w:snapToGrid w:val="0"/>
              <w:jc w:val="center"/>
              <w:rPr>
                <w:rFonts w:ascii="Times New Roman"/>
                <w:sz w:val="21"/>
                <w:szCs w:val="21"/>
              </w:rPr>
            </w:pPr>
          </w:p>
        </w:tc>
        <w:tc>
          <w:tcPr>
            <w:tcW w:w="697" w:type="pct"/>
            <w:vAlign w:val="center"/>
          </w:tcPr>
          <w:p w14:paraId="4DFFF0EF">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617A530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9E41608">
            <w:pPr>
              <w:autoSpaceDE w:val="0"/>
              <w:autoSpaceDN w:val="0"/>
              <w:adjustRightInd w:val="0"/>
              <w:snapToGrid w:val="0"/>
              <w:jc w:val="center"/>
              <w:rPr>
                <w:rFonts w:ascii="Times New Roman"/>
                <w:sz w:val="21"/>
                <w:szCs w:val="21"/>
              </w:rPr>
            </w:pPr>
          </w:p>
        </w:tc>
        <w:tc>
          <w:tcPr>
            <w:tcW w:w="208" w:type="pct"/>
            <w:vAlign w:val="center"/>
          </w:tcPr>
          <w:p w14:paraId="5B5AA5B9">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4A65E8D9">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1AB00896">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3AEC78E5">
            <w:pPr>
              <w:autoSpaceDE w:val="0"/>
              <w:autoSpaceDN w:val="0"/>
              <w:adjustRightInd w:val="0"/>
              <w:snapToGrid w:val="0"/>
              <w:jc w:val="center"/>
              <w:rPr>
                <w:rFonts w:ascii="Times New Roman"/>
                <w:sz w:val="21"/>
                <w:szCs w:val="21"/>
              </w:rPr>
            </w:pPr>
            <w:r>
              <w:rPr>
                <w:rFonts w:ascii="Times New Roman"/>
                <w:sz w:val="21"/>
                <w:szCs w:val="21"/>
              </w:rPr>
              <w:t>74.98</w:t>
            </w:r>
          </w:p>
        </w:tc>
        <w:tc>
          <w:tcPr>
            <w:tcW w:w="358" w:type="pct"/>
            <w:vAlign w:val="center"/>
          </w:tcPr>
          <w:p w14:paraId="5BA3865E">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0AA0A68E">
            <w:pPr>
              <w:autoSpaceDE w:val="0"/>
              <w:autoSpaceDN w:val="0"/>
              <w:adjustRightInd w:val="0"/>
              <w:snapToGrid w:val="0"/>
              <w:jc w:val="center"/>
              <w:rPr>
                <w:rFonts w:ascii="Times New Roman"/>
                <w:sz w:val="21"/>
                <w:szCs w:val="21"/>
              </w:rPr>
            </w:pPr>
          </w:p>
        </w:tc>
        <w:tc>
          <w:tcPr>
            <w:tcW w:w="551" w:type="pct"/>
            <w:vAlign w:val="center"/>
          </w:tcPr>
          <w:p w14:paraId="54EDE7C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1817300">
            <w:pPr>
              <w:autoSpaceDE w:val="0"/>
              <w:autoSpaceDN w:val="0"/>
              <w:adjustRightInd w:val="0"/>
              <w:snapToGrid w:val="0"/>
              <w:jc w:val="center"/>
              <w:rPr>
                <w:rFonts w:ascii="Times New Roman"/>
                <w:sz w:val="21"/>
                <w:szCs w:val="21"/>
              </w:rPr>
            </w:pPr>
          </w:p>
        </w:tc>
        <w:tc>
          <w:tcPr>
            <w:tcW w:w="287" w:type="pct"/>
            <w:vMerge w:val="continue"/>
            <w:vAlign w:val="center"/>
          </w:tcPr>
          <w:p w14:paraId="2649E23E">
            <w:pPr>
              <w:autoSpaceDE w:val="0"/>
              <w:autoSpaceDN w:val="0"/>
              <w:adjustRightInd w:val="0"/>
              <w:snapToGrid w:val="0"/>
              <w:jc w:val="center"/>
              <w:rPr>
                <w:rFonts w:ascii="Times New Roman"/>
                <w:sz w:val="21"/>
                <w:szCs w:val="21"/>
              </w:rPr>
            </w:pPr>
          </w:p>
        </w:tc>
        <w:tc>
          <w:tcPr>
            <w:tcW w:w="434" w:type="pct"/>
            <w:vMerge w:val="continue"/>
            <w:vAlign w:val="center"/>
          </w:tcPr>
          <w:p w14:paraId="266C3D21">
            <w:pPr>
              <w:autoSpaceDE w:val="0"/>
              <w:autoSpaceDN w:val="0"/>
              <w:adjustRightInd w:val="0"/>
              <w:snapToGrid w:val="0"/>
              <w:jc w:val="center"/>
              <w:rPr>
                <w:rFonts w:ascii="Times New Roman"/>
                <w:sz w:val="21"/>
                <w:szCs w:val="21"/>
              </w:rPr>
            </w:pPr>
          </w:p>
        </w:tc>
      </w:tr>
      <w:tr w14:paraId="1710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DFBC7A7">
            <w:pPr>
              <w:autoSpaceDE w:val="0"/>
              <w:autoSpaceDN w:val="0"/>
              <w:adjustRightInd w:val="0"/>
              <w:snapToGrid w:val="0"/>
              <w:jc w:val="center"/>
              <w:rPr>
                <w:rFonts w:ascii="Times New Roman"/>
                <w:sz w:val="21"/>
                <w:szCs w:val="21"/>
              </w:rPr>
            </w:pPr>
          </w:p>
        </w:tc>
        <w:tc>
          <w:tcPr>
            <w:tcW w:w="697" w:type="pct"/>
            <w:vAlign w:val="center"/>
          </w:tcPr>
          <w:p w14:paraId="1EE59ED7">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56994EE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93CD83E">
            <w:pPr>
              <w:autoSpaceDE w:val="0"/>
              <w:autoSpaceDN w:val="0"/>
              <w:adjustRightInd w:val="0"/>
              <w:snapToGrid w:val="0"/>
              <w:jc w:val="center"/>
              <w:rPr>
                <w:rFonts w:ascii="Times New Roman"/>
                <w:sz w:val="21"/>
                <w:szCs w:val="21"/>
              </w:rPr>
            </w:pPr>
          </w:p>
        </w:tc>
        <w:tc>
          <w:tcPr>
            <w:tcW w:w="208" w:type="pct"/>
            <w:vAlign w:val="center"/>
          </w:tcPr>
          <w:p w14:paraId="21B82731">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28912862">
            <w:pPr>
              <w:autoSpaceDE w:val="0"/>
              <w:autoSpaceDN w:val="0"/>
              <w:adjustRightInd w:val="0"/>
              <w:snapToGrid w:val="0"/>
              <w:jc w:val="center"/>
              <w:rPr>
                <w:rFonts w:ascii="Times New Roman"/>
                <w:sz w:val="21"/>
                <w:szCs w:val="21"/>
              </w:rPr>
            </w:pPr>
            <w:r>
              <w:rPr>
                <w:rFonts w:ascii="Times New Roman"/>
                <w:sz w:val="21"/>
                <w:szCs w:val="21"/>
              </w:rPr>
              <w:t>230</w:t>
            </w:r>
          </w:p>
        </w:tc>
        <w:tc>
          <w:tcPr>
            <w:tcW w:w="240" w:type="pct"/>
            <w:vAlign w:val="center"/>
          </w:tcPr>
          <w:p w14:paraId="75C85AF9">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8B139F0">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60699CA5">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61BD8401">
            <w:pPr>
              <w:autoSpaceDE w:val="0"/>
              <w:autoSpaceDN w:val="0"/>
              <w:adjustRightInd w:val="0"/>
              <w:snapToGrid w:val="0"/>
              <w:jc w:val="center"/>
              <w:rPr>
                <w:rFonts w:ascii="Times New Roman"/>
                <w:sz w:val="21"/>
                <w:szCs w:val="21"/>
              </w:rPr>
            </w:pPr>
          </w:p>
        </w:tc>
        <w:tc>
          <w:tcPr>
            <w:tcW w:w="551" w:type="pct"/>
            <w:vAlign w:val="center"/>
          </w:tcPr>
          <w:p w14:paraId="381B3FE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5F53A54">
            <w:pPr>
              <w:autoSpaceDE w:val="0"/>
              <w:autoSpaceDN w:val="0"/>
              <w:adjustRightInd w:val="0"/>
              <w:snapToGrid w:val="0"/>
              <w:jc w:val="center"/>
              <w:rPr>
                <w:rFonts w:ascii="Times New Roman"/>
                <w:sz w:val="21"/>
                <w:szCs w:val="21"/>
              </w:rPr>
            </w:pPr>
          </w:p>
        </w:tc>
        <w:tc>
          <w:tcPr>
            <w:tcW w:w="287" w:type="pct"/>
            <w:vMerge w:val="continue"/>
            <w:vAlign w:val="center"/>
          </w:tcPr>
          <w:p w14:paraId="7D9F3CBA">
            <w:pPr>
              <w:autoSpaceDE w:val="0"/>
              <w:autoSpaceDN w:val="0"/>
              <w:adjustRightInd w:val="0"/>
              <w:snapToGrid w:val="0"/>
              <w:jc w:val="center"/>
              <w:rPr>
                <w:rFonts w:ascii="Times New Roman"/>
                <w:sz w:val="21"/>
                <w:szCs w:val="21"/>
              </w:rPr>
            </w:pPr>
          </w:p>
        </w:tc>
        <w:tc>
          <w:tcPr>
            <w:tcW w:w="434" w:type="pct"/>
            <w:vMerge w:val="continue"/>
            <w:vAlign w:val="center"/>
          </w:tcPr>
          <w:p w14:paraId="4D41387F">
            <w:pPr>
              <w:autoSpaceDE w:val="0"/>
              <w:autoSpaceDN w:val="0"/>
              <w:adjustRightInd w:val="0"/>
              <w:snapToGrid w:val="0"/>
              <w:jc w:val="center"/>
              <w:rPr>
                <w:rFonts w:ascii="Times New Roman"/>
                <w:sz w:val="21"/>
                <w:szCs w:val="21"/>
              </w:rPr>
            </w:pPr>
          </w:p>
        </w:tc>
      </w:tr>
      <w:tr w14:paraId="337D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59A94ED">
            <w:pPr>
              <w:autoSpaceDE w:val="0"/>
              <w:autoSpaceDN w:val="0"/>
              <w:adjustRightInd w:val="0"/>
              <w:snapToGrid w:val="0"/>
              <w:jc w:val="center"/>
              <w:rPr>
                <w:rFonts w:ascii="Times New Roman"/>
                <w:sz w:val="21"/>
                <w:szCs w:val="21"/>
              </w:rPr>
            </w:pPr>
          </w:p>
        </w:tc>
        <w:tc>
          <w:tcPr>
            <w:tcW w:w="697" w:type="pct"/>
            <w:vAlign w:val="center"/>
          </w:tcPr>
          <w:p w14:paraId="62FE58AD">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241BDC1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174DF18">
            <w:pPr>
              <w:autoSpaceDE w:val="0"/>
              <w:autoSpaceDN w:val="0"/>
              <w:adjustRightInd w:val="0"/>
              <w:snapToGrid w:val="0"/>
              <w:jc w:val="center"/>
              <w:rPr>
                <w:rFonts w:ascii="Times New Roman"/>
                <w:sz w:val="21"/>
                <w:szCs w:val="21"/>
              </w:rPr>
            </w:pPr>
          </w:p>
        </w:tc>
        <w:tc>
          <w:tcPr>
            <w:tcW w:w="208" w:type="pct"/>
            <w:vAlign w:val="center"/>
          </w:tcPr>
          <w:p w14:paraId="4F5BBE70">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0EAD6238">
            <w:pPr>
              <w:autoSpaceDE w:val="0"/>
              <w:autoSpaceDN w:val="0"/>
              <w:adjustRightInd w:val="0"/>
              <w:snapToGrid w:val="0"/>
              <w:jc w:val="center"/>
              <w:rPr>
                <w:rFonts w:ascii="Times New Roman"/>
                <w:sz w:val="21"/>
                <w:szCs w:val="21"/>
              </w:rPr>
            </w:pPr>
            <w:r>
              <w:rPr>
                <w:rFonts w:ascii="Times New Roman"/>
                <w:sz w:val="21"/>
                <w:szCs w:val="21"/>
              </w:rPr>
              <w:t>230</w:t>
            </w:r>
          </w:p>
        </w:tc>
        <w:tc>
          <w:tcPr>
            <w:tcW w:w="240" w:type="pct"/>
            <w:vAlign w:val="center"/>
          </w:tcPr>
          <w:p w14:paraId="39116265">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D1D17DF">
            <w:pPr>
              <w:autoSpaceDE w:val="0"/>
              <w:autoSpaceDN w:val="0"/>
              <w:adjustRightInd w:val="0"/>
              <w:snapToGrid w:val="0"/>
              <w:jc w:val="center"/>
              <w:rPr>
                <w:rFonts w:ascii="Times New Roman"/>
                <w:sz w:val="21"/>
                <w:szCs w:val="21"/>
              </w:rPr>
            </w:pPr>
            <w:r>
              <w:rPr>
                <w:rFonts w:ascii="Times New Roman"/>
                <w:sz w:val="21"/>
                <w:szCs w:val="21"/>
              </w:rPr>
              <w:t>74.98</w:t>
            </w:r>
          </w:p>
        </w:tc>
        <w:tc>
          <w:tcPr>
            <w:tcW w:w="358" w:type="pct"/>
            <w:vAlign w:val="center"/>
          </w:tcPr>
          <w:p w14:paraId="2AFCA473">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01C1FC04">
            <w:pPr>
              <w:autoSpaceDE w:val="0"/>
              <w:autoSpaceDN w:val="0"/>
              <w:adjustRightInd w:val="0"/>
              <w:snapToGrid w:val="0"/>
              <w:jc w:val="center"/>
              <w:rPr>
                <w:rFonts w:ascii="Times New Roman"/>
                <w:sz w:val="21"/>
                <w:szCs w:val="21"/>
              </w:rPr>
            </w:pPr>
          </w:p>
        </w:tc>
        <w:tc>
          <w:tcPr>
            <w:tcW w:w="551" w:type="pct"/>
            <w:vAlign w:val="center"/>
          </w:tcPr>
          <w:p w14:paraId="5E20A61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37C1160">
            <w:pPr>
              <w:autoSpaceDE w:val="0"/>
              <w:autoSpaceDN w:val="0"/>
              <w:adjustRightInd w:val="0"/>
              <w:snapToGrid w:val="0"/>
              <w:jc w:val="center"/>
              <w:rPr>
                <w:rFonts w:ascii="Times New Roman"/>
                <w:sz w:val="21"/>
                <w:szCs w:val="21"/>
              </w:rPr>
            </w:pPr>
          </w:p>
        </w:tc>
        <w:tc>
          <w:tcPr>
            <w:tcW w:w="287" w:type="pct"/>
            <w:vMerge w:val="continue"/>
            <w:vAlign w:val="center"/>
          </w:tcPr>
          <w:p w14:paraId="7D113652">
            <w:pPr>
              <w:autoSpaceDE w:val="0"/>
              <w:autoSpaceDN w:val="0"/>
              <w:adjustRightInd w:val="0"/>
              <w:snapToGrid w:val="0"/>
              <w:jc w:val="center"/>
              <w:rPr>
                <w:rFonts w:ascii="Times New Roman"/>
                <w:sz w:val="21"/>
                <w:szCs w:val="21"/>
              </w:rPr>
            </w:pPr>
          </w:p>
        </w:tc>
        <w:tc>
          <w:tcPr>
            <w:tcW w:w="434" w:type="pct"/>
            <w:vMerge w:val="continue"/>
            <w:vAlign w:val="center"/>
          </w:tcPr>
          <w:p w14:paraId="27356396">
            <w:pPr>
              <w:autoSpaceDE w:val="0"/>
              <w:autoSpaceDN w:val="0"/>
              <w:adjustRightInd w:val="0"/>
              <w:snapToGrid w:val="0"/>
              <w:jc w:val="center"/>
              <w:rPr>
                <w:rFonts w:ascii="Times New Roman"/>
                <w:sz w:val="21"/>
                <w:szCs w:val="21"/>
              </w:rPr>
            </w:pPr>
          </w:p>
        </w:tc>
      </w:tr>
      <w:tr w14:paraId="1865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F84E3B7">
            <w:pPr>
              <w:autoSpaceDE w:val="0"/>
              <w:autoSpaceDN w:val="0"/>
              <w:adjustRightInd w:val="0"/>
              <w:snapToGrid w:val="0"/>
              <w:jc w:val="center"/>
              <w:rPr>
                <w:rFonts w:ascii="Times New Roman"/>
                <w:sz w:val="21"/>
                <w:szCs w:val="21"/>
              </w:rPr>
            </w:pPr>
          </w:p>
        </w:tc>
        <w:tc>
          <w:tcPr>
            <w:tcW w:w="697" w:type="pct"/>
            <w:vAlign w:val="center"/>
          </w:tcPr>
          <w:p w14:paraId="20F462F3">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2A319B2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32213E1">
            <w:pPr>
              <w:autoSpaceDE w:val="0"/>
              <w:autoSpaceDN w:val="0"/>
              <w:adjustRightInd w:val="0"/>
              <w:snapToGrid w:val="0"/>
              <w:jc w:val="center"/>
              <w:rPr>
                <w:rFonts w:ascii="Times New Roman"/>
                <w:sz w:val="21"/>
                <w:szCs w:val="21"/>
              </w:rPr>
            </w:pPr>
          </w:p>
        </w:tc>
        <w:tc>
          <w:tcPr>
            <w:tcW w:w="208" w:type="pct"/>
            <w:vAlign w:val="center"/>
          </w:tcPr>
          <w:p w14:paraId="3410016B">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3866864C">
            <w:pPr>
              <w:autoSpaceDE w:val="0"/>
              <w:autoSpaceDN w:val="0"/>
              <w:adjustRightInd w:val="0"/>
              <w:snapToGrid w:val="0"/>
              <w:jc w:val="center"/>
              <w:rPr>
                <w:rFonts w:ascii="Times New Roman"/>
                <w:sz w:val="21"/>
                <w:szCs w:val="21"/>
              </w:rPr>
            </w:pPr>
            <w:r>
              <w:rPr>
                <w:rFonts w:ascii="Times New Roman"/>
                <w:sz w:val="21"/>
                <w:szCs w:val="21"/>
              </w:rPr>
              <w:t>240</w:t>
            </w:r>
          </w:p>
        </w:tc>
        <w:tc>
          <w:tcPr>
            <w:tcW w:w="240" w:type="pct"/>
            <w:vAlign w:val="center"/>
          </w:tcPr>
          <w:p w14:paraId="158A97D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BFDC704">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4A65CC1E">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755F6A10">
            <w:pPr>
              <w:autoSpaceDE w:val="0"/>
              <w:autoSpaceDN w:val="0"/>
              <w:adjustRightInd w:val="0"/>
              <w:snapToGrid w:val="0"/>
              <w:jc w:val="center"/>
              <w:rPr>
                <w:rFonts w:ascii="Times New Roman"/>
                <w:sz w:val="21"/>
                <w:szCs w:val="21"/>
              </w:rPr>
            </w:pPr>
          </w:p>
        </w:tc>
        <w:tc>
          <w:tcPr>
            <w:tcW w:w="551" w:type="pct"/>
            <w:vAlign w:val="center"/>
          </w:tcPr>
          <w:p w14:paraId="4BA38A4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F58E252">
            <w:pPr>
              <w:autoSpaceDE w:val="0"/>
              <w:autoSpaceDN w:val="0"/>
              <w:adjustRightInd w:val="0"/>
              <w:snapToGrid w:val="0"/>
              <w:jc w:val="center"/>
              <w:rPr>
                <w:rFonts w:ascii="Times New Roman"/>
                <w:sz w:val="21"/>
                <w:szCs w:val="21"/>
              </w:rPr>
            </w:pPr>
          </w:p>
        </w:tc>
        <w:tc>
          <w:tcPr>
            <w:tcW w:w="287" w:type="pct"/>
            <w:vMerge w:val="continue"/>
            <w:vAlign w:val="center"/>
          </w:tcPr>
          <w:p w14:paraId="751AF9C8">
            <w:pPr>
              <w:autoSpaceDE w:val="0"/>
              <w:autoSpaceDN w:val="0"/>
              <w:adjustRightInd w:val="0"/>
              <w:snapToGrid w:val="0"/>
              <w:jc w:val="center"/>
              <w:rPr>
                <w:rFonts w:ascii="Times New Roman"/>
                <w:sz w:val="21"/>
                <w:szCs w:val="21"/>
              </w:rPr>
            </w:pPr>
          </w:p>
        </w:tc>
        <w:tc>
          <w:tcPr>
            <w:tcW w:w="434" w:type="pct"/>
            <w:vMerge w:val="continue"/>
            <w:vAlign w:val="center"/>
          </w:tcPr>
          <w:p w14:paraId="0D3C11D6">
            <w:pPr>
              <w:autoSpaceDE w:val="0"/>
              <w:autoSpaceDN w:val="0"/>
              <w:adjustRightInd w:val="0"/>
              <w:snapToGrid w:val="0"/>
              <w:jc w:val="center"/>
              <w:rPr>
                <w:rFonts w:ascii="Times New Roman"/>
                <w:sz w:val="21"/>
                <w:szCs w:val="21"/>
              </w:rPr>
            </w:pPr>
          </w:p>
        </w:tc>
      </w:tr>
      <w:tr w14:paraId="124B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3CD1D19">
            <w:pPr>
              <w:autoSpaceDE w:val="0"/>
              <w:autoSpaceDN w:val="0"/>
              <w:adjustRightInd w:val="0"/>
              <w:snapToGrid w:val="0"/>
              <w:jc w:val="center"/>
              <w:rPr>
                <w:rFonts w:ascii="Times New Roman"/>
                <w:sz w:val="21"/>
                <w:szCs w:val="21"/>
              </w:rPr>
            </w:pPr>
          </w:p>
        </w:tc>
        <w:tc>
          <w:tcPr>
            <w:tcW w:w="697" w:type="pct"/>
            <w:vAlign w:val="center"/>
          </w:tcPr>
          <w:p w14:paraId="3E2ABFB3">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78CE05E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66BB6A4">
            <w:pPr>
              <w:autoSpaceDE w:val="0"/>
              <w:autoSpaceDN w:val="0"/>
              <w:adjustRightInd w:val="0"/>
              <w:snapToGrid w:val="0"/>
              <w:jc w:val="center"/>
              <w:rPr>
                <w:rFonts w:ascii="Times New Roman"/>
                <w:sz w:val="21"/>
                <w:szCs w:val="21"/>
              </w:rPr>
            </w:pPr>
          </w:p>
        </w:tc>
        <w:tc>
          <w:tcPr>
            <w:tcW w:w="208" w:type="pct"/>
            <w:vAlign w:val="center"/>
          </w:tcPr>
          <w:p w14:paraId="36BD9A35">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57541C76">
            <w:pPr>
              <w:autoSpaceDE w:val="0"/>
              <w:autoSpaceDN w:val="0"/>
              <w:adjustRightInd w:val="0"/>
              <w:snapToGrid w:val="0"/>
              <w:jc w:val="center"/>
              <w:rPr>
                <w:rFonts w:ascii="Times New Roman"/>
                <w:sz w:val="21"/>
                <w:szCs w:val="21"/>
              </w:rPr>
            </w:pPr>
            <w:r>
              <w:rPr>
                <w:rFonts w:ascii="Times New Roman"/>
                <w:sz w:val="21"/>
                <w:szCs w:val="21"/>
              </w:rPr>
              <w:t>240</w:t>
            </w:r>
          </w:p>
        </w:tc>
        <w:tc>
          <w:tcPr>
            <w:tcW w:w="240" w:type="pct"/>
            <w:vAlign w:val="center"/>
          </w:tcPr>
          <w:p w14:paraId="042A3B84">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69FFF2B">
            <w:pPr>
              <w:autoSpaceDE w:val="0"/>
              <w:autoSpaceDN w:val="0"/>
              <w:adjustRightInd w:val="0"/>
              <w:snapToGrid w:val="0"/>
              <w:jc w:val="center"/>
              <w:rPr>
                <w:rFonts w:ascii="Times New Roman"/>
                <w:sz w:val="21"/>
                <w:szCs w:val="21"/>
              </w:rPr>
            </w:pPr>
            <w:r>
              <w:rPr>
                <w:rFonts w:ascii="Times New Roman"/>
                <w:sz w:val="21"/>
                <w:szCs w:val="21"/>
              </w:rPr>
              <w:t>74.98</w:t>
            </w:r>
          </w:p>
        </w:tc>
        <w:tc>
          <w:tcPr>
            <w:tcW w:w="358" w:type="pct"/>
            <w:vAlign w:val="center"/>
          </w:tcPr>
          <w:p w14:paraId="6CB185D0">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197901D3">
            <w:pPr>
              <w:autoSpaceDE w:val="0"/>
              <w:autoSpaceDN w:val="0"/>
              <w:adjustRightInd w:val="0"/>
              <w:snapToGrid w:val="0"/>
              <w:jc w:val="center"/>
              <w:rPr>
                <w:rFonts w:ascii="Times New Roman"/>
                <w:sz w:val="21"/>
                <w:szCs w:val="21"/>
              </w:rPr>
            </w:pPr>
          </w:p>
        </w:tc>
        <w:tc>
          <w:tcPr>
            <w:tcW w:w="551" w:type="pct"/>
            <w:vAlign w:val="center"/>
          </w:tcPr>
          <w:p w14:paraId="04454AC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66091FE">
            <w:pPr>
              <w:autoSpaceDE w:val="0"/>
              <w:autoSpaceDN w:val="0"/>
              <w:adjustRightInd w:val="0"/>
              <w:snapToGrid w:val="0"/>
              <w:jc w:val="center"/>
              <w:rPr>
                <w:rFonts w:ascii="Times New Roman"/>
                <w:sz w:val="21"/>
                <w:szCs w:val="21"/>
              </w:rPr>
            </w:pPr>
          </w:p>
        </w:tc>
        <w:tc>
          <w:tcPr>
            <w:tcW w:w="287" w:type="pct"/>
            <w:vMerge w:val="continue"/>
            <w:vAlign w:val="center"/>
          </w:tcPr>
          <w:p w14:paraId="5A1EF75F">
            <w:pPr>
              <w:autoSpaceDE w:val="0"/>
              <w:autoSpaceDN w:val="0"/>
              <w:adjustRightInd w:val="0"/>
              <w:snapToGrid w:val="0"/>
              <w:jc w:val="center"/>
              <w:rPr>
                <w:rFonts w:ascii="Times New Roman"/>
                <w:sz w:val="21"/>
                <w:szCs w:val="21"/>
              </w:rPr>
            </w:pPr>
          </w:p>
        </w:tc>
        <w:tc>
          <w:tcPr>
            <w:tcW w:w="434" w:type="pct"/>
            <w:vMerge w:val="continue"/>
            <w:vAlign w:val="center"/>
          </w:tcPr>
          <w:p w14:paraId="2BF9FABF">
            <w:pPr>
              <w:autoSpaceDE w:val="0"/>
              <w:autoSpaceDN w:val="0"/>
              <w:adjustRightInd w:val="0"/>
              <w:snapToGrid w:val="0"/>
              <w:jc w:val="center"/>
              <w:rPr>
                <w:rFonts w:ascii="Times New Roman"/>
                <w:sz w:val="21"/>
                <w:szCs w:val="21"/>
              </w:rPr>
            </w:pPr>
          </w:p>
        </w:tc>
      </w:tr>
      <w:tr w14:paraId="1FF2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D54D955">
            <w:pPr>
              <w:autoSpaceDE w:val="0"/>
              <w:autoSpaceDN w:val="0"/>
              <w:adjustRightInd w:val="0"/>
              <w:snapToGrid w:val="0"/>
              <w:jc w:val="center"/>
              <w:rPr>
                <w:rFonts w:ascii="Times New Roman"/>
                <w:sz w:val="21"/>
                <w:szCs w:val="21"/>
              </w:rPr>
            </w:pPr>
          </w:p>
        </w:tc>
        <w:tc>
          <w:tcPr>
            <w:tcW w:w="697" w:type="pct"/>
            <w:vAlign w:val="center"/>
          </w:tcPr>
          <w:p w14:paraId="398D6611">
            <w:pPr>
              <w:autoSpaceDE w:val="0"/>
              <w:autoSpaceDN w:val="0"/>
              <w:adjustRightInd w:val="0"/>
              <w:snapToGrid w:val="0"/>
              <w:jc w:val="center"/>
              <w:rPr>
                <w:rFonts w:ascii="Times New Roman"/>
                <w:sz w:val="21"/>
                <w:szCs w:val="21"/>
              </w:rPr>
            </w:pPr>
            <w:r>
              <w:rPr>
                <w:rFonts w:ascii="Times New Roman"/>
                <w:sz w:val="21"/>
                <w:szCs w:val="21"/>
              </w:rPr>
              <w:t>免示教焊机</w:t>
            </w:r>
          </w:p>
        </w:tc>
        <w:tc>
          <w:tcPr>
            <w:tcW w:w="346" w:type="pct"/>
            <w:vAlign w:val="center"/>
          </w:tcPr>
          <w:p w14:paraId="380E239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5A138F1">
            <w:pPr>
              <w:autoSpaceDE w:val="0"/>
              <w:autoSpaceDN w:val="0"/>
              <w:adjustRightInd w:val="0"/>
              <w:snapToGrid w:val="0"/>
              <w:jc w:val="center"/>
              <w:rPr>
                <w:rFonts w:ascii="Times New Roman"/>
                <w:sz w:val="21"/>
                <w:szCs w:val="21"/>
              </w:rPr>
            </w:pPr>
          </w:p>
        </w:tc>
        <w:tc>
          <w:tcPr>
            <w:tcW w:w="208" w:type="pct"/>
            <w:vAlign w:val="center"/>
          </w:tcPr>
          <w:p w14:paraId="47CE37DE">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0C87565F">
            <w:pPr>
              <w:autoSpaceDE w:val="0"/>
              <w:autoSpaceDN w:val="0"/>
              <w:adjustRightInd w:val="0"/>
              <w:snapToGrid w:val="0"/>
              <w:jc w:val="center"/>
              <w:rPr>
                <w:rFonts w:ascii="Times New Roman"/>
                <w:sz w:val="21"/>
                <w:szCs w:val="21"/>
              </w:rPr>
            </w:pPr>
            <w:r>
              <w:rPr>
                <w:rFonts w:ascii="Times New Roman"/>
                <w:sz w:val="21"/>
                <w:szCs w:val="21"/>
              </w:rPr>
              <w:t>250</w:t>
            </w:r>
          </w:p>
        </w:tc>
        <w:tc>
          <w:tcPr>
            <w:tcW w:w="240" w:type="pct"/>
            <w:vAlign w:val="center"/>
          </w:tcPr>
          <w:p w14:paraId="6E0176A0">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02AD2A30">
            <w:pPr>
              <w:autoSpaceDE w:val="0"/>
              <w:autoSpaceDN w:val="0"/>
              <w:adjustRightInd w:val="0"/>
              <w:snapToGrid w:val="0"/>
              <w:jc w:val="center"/>
              <w:rPr>
                <w:rFonts w:ascii="Times New Roman"/>
                <w:sz w:val="21"/>
                <w:szCs w:val="21"/>
              </w:rPr>
            </w:pPr>
            <w:r>
              <w:rPr>
                <w:rFonts w:ascii="Times New Roman"/>
                <w:sz w:val="21"/>
                <w:szCs w:val="21"/>
              </w:rPr>
              <w:t>74.98</w:t>
            </w:r>
          </w:p>
        </w:tc>
        <w:tc>
          <w:tcPr>
            <w:tcW w:w="358" w:type="pct"/>
            <w:vAlign w:val="center"/>
          </w:tcPr>
          <w:p w14:paraId="43F6C4E2">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38AE53F0">
            <w:pPr>
              <w:autoSpaceDE w:val="0"/>
              <w:autoSpaceDN w:val="0"/>
              <w:adjustRightInd w:val="0"/>
              <w:snapToGrid w:val="0"/>
              <w:jc w:val="center"/>
              <w:rPr>
                <w:rFonts w:ascii="Times New Roman"/>
                <w:sz w:val="21"/>
                <w:szCs w:val="21"/>
              </w:rPr>
            </w:pPr>
          </w:p>
        </w:tc>
        <w:tc>
          <w:tcPr>
            <w:tcW w:w="551" w:type="pct"/>
            <w:vAlign w:val="center"/>
          </w:tcPr>
          <w:p w14:paraId="55624A9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F8B1040">
            <w:pPr>
              <w:autoSpaceDE w:val="0"/>
              <w:autoSpaceDN w:val="0"/>
              <w:adjustRightInd w:val="0"/>
              <w:snapToGrid w:val="0"/>
              <w:jc w:val="center"/>
              <w:rPr>
                <w:rFonts w:ascii="Times New Roman"/>
                <w:sz w:val="21"/>
                <w:szCs w:val="21"/>
              </w:rPr>
            </w:pPr>
          </w:p>
        </w:tc>
        <w:tc>
          <w:tcPr>
            <w:tcW w:w="287" w:type="pct"/>
            <w:vMerge w:val="continue"/>
            <w:vAlign w:val="center"/>
          </w:tcPr>
          <w:p w14:paraId="56B77965">
            <w:pPr>
              <w:autoSpaceDE w:val="0"/>
              <w:autoSpaceDN w:val="0"/>
              <w:adjustRightInd w:val="0"/>
              <w:snapToGrid w:val="0"/>
              <w:jc w:val="center"/>
              <w:rPr>
                <w:rFonts w:ascii="Times New Roman"/>
                <w:sz w:val="21"/>
                <w:szCs w:val="21"/>
              </w:rPr>
            </w:pPr>
          </w:p>
        </w:tc>
        <w:tc>
          <w:tcPr>
            <w:tcW w:w="434" w:type="pct"/>
            <w:vMerge w:val="continue"/>
            <w:vAlign w:val="center"/>
          </w:tcPr>
          <w:p w14:paraId="4CB96FF0">
            <w:pPr>
              <w:autoSpaceDE w:val="0"/>
              <w:autoSpaceDN w:val="0"/>
              <w:adjustRightInd w:val="0"/>
              <w:snapToGrid w:val="0"/>
              <w:jc w:val="center"/>
              <w:rPr>
                <w:rFonts w:ascii="Times New Roman"/>
                <w:sz w:val="21"/>
                <w:szCs w:val="21"/>
              </w:rPr>
            </w:pPr>
          </w:p>
        </w:tc>
      </w:tr>
      <w:tr w14:paraId="346B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9B37B99">
            <w:pPr>
              <w:autoSpaceDE w:val="0"/>
              <w:autoSpaceDN w:val="0"/>
              <w:adjustRightInd w:val="0"/>
              <w:snapToGrid w:val="0"/>
              <w:jc w:val="center"/>
              <w:rPr>
                <w:rFonts w:ascii="Times New Roman"/>
                <w:sz w:val="21"/>
                <w:szCs w:val="21"/>
              </w:rPr>
            </w:pPr>
          </w:p>
        </w:tc>
        <w:tc>
          <w:tcPr>
            <w:tcW w:w="697" w:type="pct"/>
            <w:vAlign w:val="center"/>
          </w:tcPr>
          <w:p w14:paraId="20B196E9">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0AA62C9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E128A7F">
            <w:pPr>
              <w:autoSpaceDE w:val="0"/>
              <w:autoSpaceDN w:val="0"/>
              <w:adjustRightInd w:val="0"/>
              <w:snapToGrid w:val="0"/>
              <w:jc w:val="center"/>
              <w:rPr>
                <w:rFonts w:ascii="Times New Roman"/>
                <w:sz w:val="21"/>
                <w:szCs w:val="21"/>
              </w:rPr>
            </w:pPr>
          </w:p>
        </w:tc>
        <w:tc>
          <w:tcPr>
            <w:tcW w:w="208" w:type="pct"/>
            <w:vAlign w:val="center"/>
          </w:tcPr>
          <w:p w14:paraId="133C410B">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23F94425">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7698283B">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06AFABA">
            <w:pPr>
              <w:autoSpaceDE w:val="0"/>
              <w:autoSpaceDN w:val="0"/>
              <w:adjustRightInd w:val="0"/>
              <w:snapToGrid w:val="0"/>
              <w:jc w:val="center"/>
              <w:rPr>
                <w:rFonts w:ascii="Times New Roman"/>
                <w:sz w:val="21"/>
                <w:szCs w:val="21"/>
              </w:rPr>
            </w:pPr>
            <w:r>
              <w:rPr>
                <w:rFonts w:ascii="Times New Roman"/>
                <w:sz w:val="21"/>
                <w:szCs w:val="21"/>
              </w:rPr>
              <w:t>74.6</w:t>
            </w:r>
          </w:p>
        </w:tc>
        <w:tc>
          <w:tcPr>
            <w:tcW w:w="358" w:type="pct"/>
            <w:vAlign w:val="center"/>
          </w:tcPr>
          <w:p w14:paraId="4CF7963A">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0619D2D1">
            <w:pPr>
              <w:autoSpaceDE w:val="0"/>
              <w:autoSpaceDN w:val="0"/>
              <w:adjustRightInd w:val="0"/>
              <w:snapToGrid w:val="0"/>
              <w:jc w:val="center"/>
              <w:rPr>
                <w:rFonts w:ascii="Times New Roman"/>
                <w:sz w:val="21"/>
                <w:szCs w:val="21"/>
              </w:rPr>
            </w:pPr>
          </w:p>
        </w:tc>
        <w:tc>
          <w:tcPr>
            <w:tcW w:w="551" w:type="pct"/>
            <w:vAlign w:val="center"/>
          </w:tcPr>
          <w:p w14:paraId="74BE5BE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33DC10">
            <w:pPr>
              <w:autoSpaceDE w:val="0"/>
              <w:autoSpaceDN w:val="0"/>
              <w:adjustRightInd w:val="0"/>
              <w:snapToGrid w:val="0"/>
              <w:jc w:val="center"/>
              <w:rPr>
                <w:rFonts w:ascii="Times New Roman"/>
                <w:sz w:val="21"/>
                <w:szCs w:val="21"/>
              </w:rPr>
            </w:pPr>
          </w:p>
        </w:tc>
        <w:tc>
          <w:tcPr>
            <w:tcW w:w="287" w:type="pct"/>
            <w:vMerge w:val="continue"/>
            <w:vAlign w:val="center"/>
          </w:tcPr>
          <w:p w14:paraId="04180E6D">
            <w:pPr>
              <w:autoSpaceDE w:val="0"/>
              <w:autoSpaceDN w:val="0"/>
              <w:adjustRightInd w:val="0"/>
              <w:snapToGrid w:val="0"/>
              <w:jc w:val="center"/>
              <w:rPr>
                <w:rFonts w:ascii="Times New Roman"/>
                <w:sz w:val="21"/>
                <w:szCs w:val="21"/>
              </w:rPr>
            </w:pPr>
          </w:p>
        </w:tc>
        <w:tc>
          <w:tcPr>
            <w:tcW w:w="434" w:type="pct"/>
            <w:vMerge w:val="continue"/>
            <w:vAlign w:val="center"/>
          </w:tcPr>
          <w:p w14:paraId="33ED9C7B">
            <w:pPr>
              <w:autoSpaceDE w:val="0"/>
              <w:autoSpaceDN w:val="0"/>
              <w:adjustRightInd w:val="0"/>
              <w:snapToGrid w:val="0"/>
              <w:jc w:val="center"/>
              <w:rPr>
                <w:rFonts w:ascii="Times New Roman"/>
                <w:sz w:val="21"/>
                <w:szCs w:val="21"/>
              </w:rPr>
            </w:pPr>
          </w:p>
        </w:tc>
      </w:tr>
      <w:tr w14:paraId="4E35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292F593">
            <w:pPr>
              <w:autoSpaceDE w:val="0"/>
              <w:autoSpaceDN w:val="0"/>
              <w:adjustRightInd w:val="0"/>
              <w:snapToGrid w:val="0"/>
              <w:jc w:val="center"/>
              <w:rPr>
                <w:rFonts w:ascii="Times New Roman"/>
                <w:sz w:val="21"/>
                <w:szCs w:val="21"/>
              </w:rPr>
            </w:pPr>
          </w:p>
        </w:tc>
        <w:tc>
          <w:tcPr>
            <w:tcW w:w="697" w:type="pct"/>
            <w:vAlign w:val="center"/>
          </w:tcPr>
          <w:p w14:paraId="09B262A7">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5671B578">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D21A6B5">
            <w:pPr>
              <w:autoSpaceDE w:val="0"/>
              <w:autoSpaceDN w:val="0"/>
              <w:adjustRightInd w:val="0"/>
              <w:snapToGrid w:val="0"/>
              <w:jc w:val="center"/>
              <w:rPr>
                <w:rFonts w:ascii="Times New Roman"/>
                <w:sz w:val="21"/>
                <w:szCs w:val="21"/>
              </w:rPr>
            </w:pPr>
          </w:p>
        </w:tc>
        <w:tc>
          <w:tcPr>
            <w:tcW w:w="208" w:type="pct"/>
            <w:vAlign w:val="center"/>
          </w:tcPr>
          <w:p w14:paraId="5FADEE60">
            <w:pPr>
              <w:autoSpaceDE w:val="0"/>
              <w:autoSpaceDN w:val="0"/>
              <w:adjustRightInd w:val="0"/>
              <w:snapToGrid w:val="0"/>
              <w:jc w:val="center"/>
              <w:rPr>
                <w:rFonts w:ascii="Times New Roman"/>
                <w:sz w:val="21"/>
                <w:szCs w:val="21"/>
              </w:rPr>
            </w:pPr>
            <w:r>
              <w:rPr>
                <w:rFonts w:ascii="Times New Roman"/>
                <w:sz w:val="21"/>
                <w:szCs w:val="21"/>
              </w:rPr>
              <w:t>465</w:t>
            </w:r>
          </w:p>
        </w:tc>
        <w:tc>
          <w:tcPr>
            <w:tcW w:w="201" w:type="pct"/>
            <w:vAlign w:val="center"/>
          </w:tcPr>
          <w:p w14:paraId="394A9781">
            <w:pPr>
              <w:autoSpaceDE w:val="0"/>
              <w:autoSpaceDN w:val="0"/>
              <w:adjustRightInd w:val="0"/>
              <w:snapToGrid w:val="0"/>
              <w:jc w:val="center"/>
              <w:rPr>
                <w:rFonts w:ascii="Times New Roman"/>
                <w:sz w:val="21"/>
                <w:szCs w:val="21"/>
              </w:rPr>
            </w:pPr>
            <w:r>
              <w:rPr>
                <w:rFonts w:ascii="Times New Roman"/>
                <w:sz w:val="21"/>
                <w:szCs w:val="21"/>
              </w:rPr>
              <w:t>260</w:t>
            </w:r>
          </w:p>
        </w:tc>
        <w:tc>
          <w:tcPr>
            <w:tcW w:w="240" w:type="pct"/>
            <w:vAlign w:val="center"/>
          </w:tcPr>
          <w:p w14:paraId="2D189A82">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8BC708E">
            <w:pPr>
              <w:autoSpaceDE w:val="0"/>
              <w:autoSpaceDN w:val="0"/>
              <w:adjustRightInd w:val="0"/>
              <w:snapToGrid w:val="0"/>
              <w:jc w:val="center"/>
              <w:rPr>
                <w:rFonts w:ascii="Times New Roman"/>
                <w:sz w:val="21"/>
                <w:szCs w:val="21"/>
              </w:rPr>
            </w:pPr>
            <w:r>
              <w:rPr>
                <w:rFonts w:ascii="Times New Roman"/>
                <w:sz w:val="21"/>
                <w:szCs w:val="21"/>
              </w:rPr>
              <w:t>74.6</w:t>
            </w:r>
          </w:p>
        </w:tc>
        <w:tc>
          <w:tcPr>
            <w:tcW w:w="358" w:type="pct"/>
            <w:vAlign w:val="center"/>
          </w:tcPr>
          <w:p w14:paraId="1042738F">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31AB6D7A">
            <w:pPr>
              <w:autoSpaceDE w:val="0"/>
              <w:autoSpaceDN w:val="0"/>
              <w:adjustRightInd w:val="0"/>
              <w:snapToGrid w:val="0"/>
              <w:jc w:val="center"/>
              <w:rPr>
                <w:rFonts w:ascii="Times New Roman"/>
                <w:sz w:val="21"/>
                <w:szCs w:val="21"/>
              </w:rPr>
            </w:pPr>
          </w:p>
        </w:tc>
        <w:tc>
          <w:tcPr>
            <w:tcW w:w="551" w:type="pct"/>
            <w:vAlign w:val="center"/>
          </w:tcPr>
          <w:p w14:paraId="27F5B09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30F88C4">
            <w:pPr>
              <w:autoSpaceDE w:val="0"/>
              <w:autoSpaceDN w:val="0"/>
              <w:adjustRightInd w:val="0"/>
              <w:snapToGrid w:val="0"/>
              <w:jc w:val="center"/>
              <w:rPr>
                <w:rFonts w:ascii="Times New Roman"/>
                <w:sz w:val="21"/>
                <w:szCs w:val="21"/>
              </w:rPr>
            </w:pPr>
          </w:p>
        </w:tc>
        <w:tc>
          <w:tcPr>
            <w:tcW w:w="287" w:type="pct"/>
            <w:vMerge w:val="continue"/>
            <w:vAlign w:val="center"/>
          </w:tcPr>
          <w:p w14:paraId="3DF646D2">
            <w:pPr>
              <w:autoSpaceDE w:val="0"/>
              <w:autoSpaceDN w:val="0"/>
              <w:adjustRightInd w:val="0"/>
              <w:snapToGrid w:val="0"/>
              <w:jc w:val="center"/>
              <w:rPr>
                <w:rFonts w:ascii="Times New Roman"/>
                <w:sz w:val="21"/>
                <w:szCs w:val="21"/>
              </w:rPr>
            </w:pPr>
          </w:p>
        </w:tc>
        <w:tc>
          <w:tcPr>
            <w:tcW w:w="434" w:type="pct"/>
            <w:vMerge w:val="continue"/>
            <w:vAlign w:val="center"/>
          </w:tcPr>
          <w:p w14:paraId="383DACD4">
            <w:pPr>
              <w:autoSpaceDE w:val="0"/>
              <w:autoSpaceDN w:val="0"/>
              <w:adjustRightInd w:val="0"/>
              <w:snapToGrid w:val="0"/>
              <w:jc w:val="center"/>
              <w:rPr>
                <w:rFonts w:ascii="Times New Roman"/>
                <w:sz w:val="21"/>
                <w:szCs w:val="21"/>
              </w:rPr>
            </w:pPr>
          </w:p>
        </w:tc>
      </w:tr>
      <w:tr w14:paraId="66B9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D28D2A3">
            <w:pPr>
              <w:autoSpaceDE w:val="0"/>
              <w:autoSpaceDN w:val="0"/>
              <w:adjustRightInd w:val="0"/>
              <w:snapToGrid w:val="0"/>
              <w:jc w:val="center"/>
              <w:rPr>
                <w:rFonts w:ascii="Times New Roman"/>
                <w:sz w:val="21"/>
                <w:szCs w:val="21"/>
              </w:rPr>
            </w:pPr>
          </w:p>
        </w:tc>
        <w:tc>
          <w:tcPr>
            <w:tcW w:w="697" w:type="pct"/>
            <w:vAlign w:val="center"/>
          </w:tcPr>
          <w:p w14:paraId="0A382F25">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101D123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84D2D5C">
            <w:pPr>
              <w:autoSpaceDE w:val="0"/>
              <w:autoSpaceDN w:val="0"/>
              <w:adjustRightInd w:val="0"/>
              <w:snapToGrid w:val="0"/>
              <w:jc w:val="center"/>
              <w:rPr>
                <w:rFonts w:ascii="Times New Roman"/>
                <w:sz w:val="21"/>
                <w:szCs w:val="21"/>
              </w:rPr>
            </w:pPr>
          </w:p>
        </w:tc>
        <w:tc>
          <w:tcPr>
            <w:tcW w:w="208" w:type="pct"/>
            <w:vAlign w:val="center"/>
          </w:tcPr>
          <w:p w14:paraId="6AE1E07E">
            <w:pPr>
              <w:autoSpaceDE w:val="0"/>
              <w:autoSpaceDN w:val="0"/>
              <w:adjustRightInd w:val="0"/>
              <w:snapToGrid w:val="0"/>
              <w:jc w:val="center"/>
              <w:rPr>
                <w:rFonts w:ascii="Times New Roman"/>
                <w:sz w:val="21"/>
                <w:szCs w:val="21"/>
              </w:rPr>
            </w:pPr>
            <w:r>
              <w:rPr>
                <w:rFonts w:ascii="Times New Roman"/>
                <w:sz w:val="21"/>
                <w:szCs w:val="21"/>
              </w:rPr>
              <w:t>495</w:t>
            </w:r>
          </w:p>
        </w:tc>
        <w:tc>
          <w:tcPr>
            <w:tcW w:w="201" w:type="pct"/>
            <w:vAlign w:val="center"/>
          </w:tcPr>
          <w:p w14:paraId="29ED522E">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29DC5575">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454C26D2">
            <w:pPr>
              <w:autoSpaceDE w:val="0"/>
              <w:autoSpaceDN w:val="0"/>
              <w:adjustRightInd w:val="0"/>
              <w:snapToGrid w:val="0"/>
              <w:jc w:val="center"/>
              <w:rPr>
                <w:rFonts w:ascii="Times New Roman"/>
                <w:sz w:val="21"/>
                <w:szCs w:val="21"/>
              </w:rPr>
            </w:pPr>
            <w:r>
              <w:rPr>
                <w:rFonts w:ascii="Times New Roman"/>
                <w:sz w:val="21"/>
                <w:szCs w:val="21"/>
              </w:rPr>
              <w:t>44.98</w:t>
            </w:r>
          </w:p>
        </w:tc>
        <w:tc>
          <w:tcPr>
            <w:tcW w:w="358" w:type="pct"/>
            <w:vAlign w:val="center"/>
          </w:tcPr>
          <w:p w14:paraId="6A198399">
            <w:pPr>
              <w:autoSpaceDE w:val="0"/>
              <w:autoSpaceDN w:val="0"/>
              <w:adjustRightInd w:val="0"/>
              <w:snapToGrid w:val="0"/>
              <w:jc w:val="center"/>
              <w:rPr>
                <w:rFonts w:ascii="Times New Roman"/>
                <w:sz w:val="21"/>
                <w:szCs w:val="21"/>
              </w:rPr>
            </w:pPr>
            <w:r>
              <w:rPr>
                <w:rFonts w:ascii="Times New Roman"/>
                <w:sz w:val="21"/>
                <w:szCs w:val="21"/>
              </w:rPr>
              <w:t>47</w:t>
            </w:r>
          </w:p>
        </w:tc>
        <w:tc>
          <w:tcPr>
            <w:tcW w:w="316" w:type="pct"/>
            <w:vMerge w:val="continue"/>
            <w:vAlign w:val="center"/>
          </w:tcPr>
          <w:p w14:paraId="5437F62A">
            <w:pPr>
              <w:autoSpaceDE w:val="0"/>
              <w:autoSpaceDN w:val="0"/>
              <w:adjustRightInd w:val="0"/>
              <w:snapToGrid w:val="0"/>
              <w:jc w:val="center"/>
              <w:rPr>
                <w:rFonts w:ascii="Times New Roman"/>
                <w:sz w:val="21"/>
                <w:szCs w:val="21"/>
              </w:rPr>
            </w:pPr>
          </w:p>
        </w:tc>
        <w:tc>
          <w:tcPr>
            <w:tcW w:w="551" w:type="pct"/>
            <w:vAlign w:val="center"/>
          </w:tcPr>
          <w:p w14:paraId="03722BB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D699B8D">
            <w:pPr>
              <w:autoSpaceDE w:val="0"/>
              <w:autoSpaceDN w:val="0"/>
              <w:adjustRightInd w:val="0"/>
              <w:snapToGrid w:val="0"/>
              <w:jc w:val="center"/>
              <w:rPr>
                <w:rFonts w:ascii="Times New Roman"/>
                <w:sz w:val="21"/>
                <w:szCs w:val="21"/>
              </w:rPr>
            </w:pPr>
          </w:p>
        </w:tc>
        <w:tc>
          <w:tcPr>
            <w:tcW w:w="287" w:type="pct"/>
            <w:vMerge w:val="continue"/>
            <w:vAlign w:val="center"/>
          </w:tcPr>
          <w:p w14:paraId="20261269">
            <w:pPr>
              <w:autoSpaceDE w:val="0"/>
              <w:autoSpaceDN w:val="0"/>
              <w:adjustRightInd w:val="0"/>
              <w:snapToGrid w:val="0"/>
              <w:jc w:val="center"/>
              <w:rPr>
                <w:rFonts w:ascii="Times New Roman"/>
                <w:sz w:val="21"/>
                <w:szCs w:val="21"/>
              </w:rPr>
            </w:pPr>
          </w:p>
        </w:tc>
        <w:tc>
          <w:tcPr>
            <w:tcW w:w="434" w:type="pct"/>
            <w:vMerge w:val="continue"/>
            <w:vAlign w:val="center"/>
          </w:tcPr>
          <w:p w14:paraId="4F318965">
            <w:pPr>
              <w:autoSpaceDE w:val="0"/>
              <w:autoSpaceDN w:val="0"/>
              <w:adjustRightInd w:val="0"/>
              <w:snapToGrid w:val="0"/>
              <w:jc w:val="center"/>
              <w:rPr>
                <w:rFonts w:ascii="Times New Roman"/>
                <w:sz w:val="21"/>
                <w:szCs w:val="21"/>
              </w:rPr>
            </w:pPr>
          </w:p>
        </w:tc>
      </w:tr>
      <w:tr w14:paraId="7B8B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29D26B4">
            <w:pPr>
              <w:autoSpaceDE w:val="0"/>
              <w:autoSpaceDN w:val="0"/>
              <w:adjustRightInd w:val="0"/>
              <w:snapToGrid w:val="0"/>
              <w:jc w:val="center"/>
              <w:rPr>
                <w:rFonts w:ascii="Times New Roman"/>
                <w:sz w:val="21"/>
                <w:szCs w:val="21"/>
              </w:rPr>
            </w:pPr>
          </w:p>
        </w:tc>
        <w:tc>
          <w:tcPr>
            <w:tcW w:w="697" w:type="pct"/>
            <w:vAlign w:val="center"/>
          </w:tcPr>
          <w:p w14:paraId="7FDF1C21">
            <w:pPr>
              <w:autoSpaceDE w:val="0"/>
              <w:autoSpaceDN w:val="0"/>
              <w:adjustRightInd w:val="0"/>
              <w:snapToGrid w:val="0"/>
              <w:jc w:val="center"/>
              <w:rPr>
                <w:rFonts w:ascii="Times New Roman"/>
                <w:sz w:val="21"/>
                <w:szCs w:val="21"/>
              </w:rPr>
            </w:pPr>
            <w:r>
              <w:rPr>
                <w:rFonts w:ascii="Times New Roman"/>
                <w:sz w:val="21"/>
                <w:szCs w:val="21"/>
              </w:rPr>
              <w:t>人工焊机</w:t>
            </w:r>
          </w:p>
        </w:tc>
        <w:tc>
          <w:tcPr>
            <w:tcW w:w="346" w:type="pct"/>
            <w:vAlign w:val="center"/>
          </w:tcPr>
          <w:p w14:paraId="736EACF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7AF340C">
            <w:pPr>
              <w:autoSpaceDE w:val="0"/>
              <w:autoSpaceDN w:val="0"/>
              <w:adjustRightInd w:val="0"/>
              <w:snapToGrid w:val="0"/>
              <w:jc w:val="center"/>
              <w:rPr>
                <w:rFonts w:ascii="Times New Roman"/>
                <w:sz w:val="21"/>
                <w:szCs w:val="21"/>
              </w:rPr>
            </w:pPr>
          </w:p>
        </w:tc>
        <w:tc>
          <w:tcPr>
            <w:tcW w:w="208" w:type="pct"/>
            <w:vAlign w:val="center"/>
          </w:tcPr>
          <w:p w14:paraId="41FAAA16">
            <w:pPr>
              <w:autoSpaceDE w:val="0"/>
              <w:autoSpaceDN w:val="0"/>
              <w:adjustRightInd w:val="0"/>
              <w:snapToGrid w:val="0"/>
              <w:jc w:val="center"/>
              <w:rPr>
                <w:rFonts w:ascii="Times New Roman"/>
                <w:sz w:val="21"/>
                <w:szCs w:val="21"/>
              </w:rPr>
            </w:pPr>
            <w:r>
              <w:rPr>
                <w:rFonts w:ascii="Times New Roman"/>
                <w:sz w:val="21"/>
                <w:szCs w:val="21"/>
              </w:rPr>
              <w:t>500</w:t>
            </w:r>
          </w:p>
        </w:tc>
        <w:tc>
          <w:tcPr>
            <w:tcW w:w="201" w:type="pct"/>
            <w:vAlign w:val="center"/>
          </w:tcPr>
          <w:p w14:paraId="6B35CA87">
            <w:pPr>
              <w:autoSpaceDE w:val="0"/>
              <w:autoSpaceDN w:val="0"/>
              <w:adjustRightInd w:val="0"/>
              <w:snapToGrid w:val="0"/>
              <w:jc w:val="center"/>
              <w:rPr>
                <w:rFonts w:ascii="Times New Roman"/>
                <w:sz w:val="21"/>
                <w:szCs w:val="21"/>
              </w:rPr>
            </w:pPr>
            <w:r>
              <w:rPr>
                <w:rFonts w:ascii="Times New Roman"/>
                <w:sz w:val="21"/>
                <w:szCs w:val="21"/>
              </w:rPr>
              <w:t>230</w:t>
            </w:r>
          </w:p>
        </w:tc>
        <w:tc>
          <w:tcPr>
            <w:tcW w:w="240" w:type="pct"/>
            <w:vAlign w:val="center"/>
          </w:tcPr>
          <w:p w14:paraId="542D88D0">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1C62F227">
            <w:pPr>
              <w:autoSpaceDE w:val="0"/>
              <w:autoSpaceDN w:val="0"/>
              <w:adjustRightInd w:val="0"/>
              <w:snapToGrid w:val="0"/>
              <w:jc w:val="center"/>
              <w:rPr>
                <w:rFonts w:ascii="Times New Roman"/>
                <w:sz w:val="21"/>
                <w:szCs w:val="21"/>
              </w:rPr>
            </w:pPr>
            <w:r>
              <w:rPr>
                <w:rFonts w:ascii="Times New Roman"/>
                <w:sz w:val="21"/>
                <w:szCs w:val="21"/>
              </w:rPr>
              <w:t>39.98</w:t>
            </w:r>
          </w:p>
        </w:tc>
        <w:tc>
          <w:tcPr>
            <w:tcW w:w="358" w:type="pct"/>
            <w:vAlign w:val="center"/>
          </w:tcPr>
          <w:p w14:paraId="38023850">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4F53002F">
            <w:pPr>
              <w:autoSpaceDE w:val="0"/>
              <w:autoSpaceDN w:val="0"/>
              <w:adjustRightInd w:val="0"/>
              <w:snapToGrid w:val="0"/>
              <w:jc w:val="center"/>
              <w:rPr>
                <w:rFonts w:ascii="Times New Roman"/>
                <w:sz w:val="21"/>
                <w:szCs w:val="21"/>
              </w:rPr>
            </w:pPr>
          </w:p>
        </w:tc>
        <w:tc>
          <w:tcPr>
            <w:tcW w:w="551" w:type="pct"/>
            <w:vAlign w:val="center"/>
          </w:tcPr>
          <w:p w14:paraId="636D9CA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1B94B5C">
            <w:pPr>
              <w:autoSpaceDE w:val="0"/>
              <w:autoSpaceDN w:val="0"/>
              <w:adjustRightInd w:val="0"/>
              <w:snapToGrid w:val="0"/>
              <w:jc w:val="center"/>
              <w:rPr>
                <w:rFonts w:ascii="Times New Roman"/>
                <w:sz w:val="21"/>
                <w:szCs w:val="21"/>
              </w:rPr>
            </w:pPr>
          </w:p>
        </w:tc>
        <w:tc>
          <w:tcPr>
            <w:tcW w:w="287" w:type="pct"/>
            <w:vMerge w:val="continue"/>
            <w:vAlign w:val="center"/>
          </w:tcPr>
          <w:p w14:paraId="4B223D45">
            <w:pPr>
              <w:autoSpaceDE w:val="0"/>
              <w:autoSpaceDN w:val="0"/>
              <w:adjustRightInd w:val="0"/>
              <w:snapToGrid w:val="0"/>
              <w:jc w:val="center"/>
              <w:rPr>
                <w:rFonts w:ascii="Times New Roman"/>
                <w:sz w:val="21"/>
                <w:szCs w:val="21"/>
              </w:rPr>
            </w:pPr>
          </w:p>
        </w:tc>
        <w:tc>
          <w:tcPr>
            <w:tcW w:w="434" w:type="pct"/>
            <w:vMerge w:val="continue"/>
            <w:vAlign w:val="center"/>
          </w:tcPr>
          <w:p w14:paraId="25468C02">
            <w:pPr>
              <w:autoSpaceDE w:val="0"/>
              <w:autoSpaceDN w:val="0"/>
              <w:adjustRightInd w:val="0"/>
              <w:snapToGrid w:val="0"/>
              <w:jc w:val="center"/>
              <w:rPr>
                <w:rFonts w:ascii="Times New Roman"/>
                <w:sz w:val="21"/>
                <w:szCs w:val="21"/>
              </w:rPr>
            </w:pPr>
          </w:p>
        </w:tc>
      </w:tr>
      <w:tr w14:paraId="781D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1115134">
            <w:pPr>
              <w:autoSpaceDE w:val="0"/>
              <w:autoSpaceDN w:val="0"/>
              <w:adjustRightInd w:val="0"/>
              <w:snapToGrid w:val="0"/>
              <w:jc w:val="center"/>
              <w:rPr>
                <w:rFonts w:ascii="Times New Roman"/>
                <w:sz w:val="21"/>
                <w:szCs w:val="21"/>
              </w:rPr>
            </w:pPr>
          </w:p>
        </w:tc>
        <w:tc>
          <w:tcPr>
            <w:tcW w:w="697" w:type="pct"/>
            <w:vAlign w:val="center"/>
          </w:tcPr>
          <w:p w14:paraId="62473FC5">
            <w:pPr>
              <w:autoSpaceDE w:val="0"/>
              <w:autoSpaceDN w:val="0"/>
              <w:adjustRightInd w:val="0"/>
              <w:snapToGrid w:val="0"/>
              <w:jc w:val="center"/>
              <w:rPr>
                <w:rFonts w:ascii="Times New Roman"/>
                <w:sz w:val="21"/>
                <w:szCs w:val="21"/>
              </w:rPr>
            </w:pPr>
            <w:r>
              <w:rPr>
                <w:rFonts w:ascii="Times New Roman"/>
                <w:sz w:val="21"/>
                <w:szCs w:val="21"/>
              </w:rPr>
              <w:t>免示教焊机</w:t>
            </w:r>
          </w:p>
        </w:tc>
        <w:tc>
          <w:tcPr>
            <w:tcW w:w="346" w:type="pct"/>
            <w:vAlign w:val="center"/>
          </w:tcPr>
          <w:p w14:paraId="14F4D02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0A6B3EF">
            <w:pPr>
              <w:autoSpaceDE w:val="0"/>
              <w:autoSpaceDN w:val="0"/>
              <w:adjustRightInd w:val="0"/>
              <w:snapToGrid w:val="0"/>
              <w:jc w:val="center"/>
              <w:rPr>
                <w:rFonts w:ascii="Times New Roman"/>
                <w:sz w:val="21"/>
                <w:szCs w:val="21"/>
              </w:rPr>
            </w:pPr>
          </w:p>
        </w:tc>
        <w:tc>
          <w:tcPr>
            <w:tcW w:w="208" w:type="pct"/>
            <w:vAlign w:val="center"/>
          </w:tcPr>
          <w:p w14:paraId="60BF6F26">
            <w:pPr>
              <w:autoSpaceDE w:val="0"/>
              <w:autoSpaceDN w:val="0"/>
              <w:adjustRightInd w:val="0"/>
              <w:snapToGrid w:val="0"/>
              <w:jc w:val="center"/>
              <w:rPr>
                <w:rFonts w:ascii="Times New Roman"/>
                <w:sz w:val="21"/>
                <w:szCs w:val="21"/>
              </w:rPr>
            </w:pPr>
            <w:r>
              <w:rPr>
                <w:rFonts w:ascii="Times New Roman"/>
                <w:sz w:val="21"/>
                <w:szCs w:val="21"/>
              </w:rPr>
              <w:t>497</w:t>
            </w:r>
          </w:p>
        </w:tc>
        <w:tc>
          <w:tcPr>
            <w:tcW w:w="201" w:type="pct"/>
            <w:vAlign w:val="center"/>
          </w:tcPr>
          <w:p w14:paraId="76B818A2">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61C2A6B4">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DED2681">
            <w:pPr>
              <w:autoSpaceDE w:val="0"/>
              <w:autoSpaceDN w:val="0"/>
              <w:adjustRightInd w:val="0"/>
              <w:snapToGrid w:val="0"/>
              <w:jc w:val="center"/>
              <w:rPr>
                <w:rFonts w:ascii="Times New Roman"/>
                <w:sz w:val="21"/>
                <w:szCs w:val="21"/>
              </w:rPr>
            </w:pPr>
            <w:r>
              <w:rPr>
                <w:rFonts w:ascii="Times New Roman"/>
                <w:sz w:val="21"/>
                <w:szCs w:val="21"/>
              </w:rPr>
              <w:t>42.98</w:t>
            </w:r>
          </w:p>
        </w:tc>
        <w:tc>
          <w:tcPr>
            <w:tcW w:w="358" w:type="pct"/>
            <w:vAlign w:val="center"/>
          </w:tcPr>
          <w:p w14:paraId="76E62BBB">
            <w:pPr>
              <w:autoSpaceDE w:val="0"/>
              <w:autoSpaceDN w:val="0"/>
              <w:adjustRightInd w:val="0"/>
              <w:snapToGrid w:val="0"/>
              <w:jc w:val="center"/>
              <w:rPr>
                <w:rFonts w:ascii="Times New Roman"/>
                <w:sz w:val="21"/>
                <w:szCs w:val="21"/>
              </w:rPr>
            </w:pPr>
            <w:r>
              <w:rPr>
                <w:rFonts w:ascii="Times New Roman"/>
                <w:sz w:val="21"/>
                <w:szCs w:val="21"/>
              </w:rPr>
              <w:t>47</w:t>
            </w:r>
          </w:p>
        </w:tc>
        <w:tc>
          <w:tcPr>
            <w:tcW w:w="316" w:type="pct"/>
            <w:vMerge w:val="continue"/>
            <w:vAlign w:val="center"/>
          </w:tcPr>
          <w:p w14:paraId="508C60C1">
            <w:pPr>
              <w:autoSpaceDE w:val="0"/>
              <w:autoSpaceDN w:val="0"/>
              <w:adjustRightInd w:val="0"/>
              <w:snapToGrid w:val="0"/>
              <w:jc w:val="center"/>
              <w:rPr>
                <w:rFonts w:ascii="Times New Roman"/>
                <w:sz w:val="21"/>
                <w:szCs w:val="21"/>
              </w:rPr>
            </w:pPr>
          </w:p>
        </w:tc>
        <w:tc>
          <w:tcPr>
            <w:tcW w:w="551" w:type="pct"/>
            <w:vAlign w:val="center"/>
          </w:tcPr>
          <w:p w14:paraId="7FE77B1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253D935">
            <w:pPr>
              <w:autoSpaceDE w:val="0"/>
              <w:autoSpaceDN w:val="0"/>
              <w:adjustRightInd w:val="0"/>
              <w:snapToGrid w:val="0"/>
              <w:jc w:val="center"/>
              <w:rPr>
                <w:rFonts w:ascii="Times New Roman"/>
                <w:sz w:val="21"/>
                <w:szCs w:val="21"/>
              </w:rPr>
            </w:pPr>
          </w:p>
        </w:tc>
        <w:tc>
          <w:tcPr>
            <w:tcW w:w="287" w:type="pct"/>
            <w:vMerge w:val="continue"/>
            <w:vAlign w:val="center"/>
          </w:tcPr>
          <w:p w14:paraId="0F7AD182">
            <w:pPr>
              <w:autoSpaceDE w:val="0"/>
              <w:autoSpaceDN w:val="0"/>
              <w:adjustRightInd w:val="0"/>
              <w:snapToGrid w:val="0"/>
              <w:jc w:val="center"/>
              <w:rPr>
                <w:rFonts w:ascii="Times New Roman"/>
                <w:sz w:val="21"/>
                <w:szCs w:val="21"/>
              </w:rPr>
            </w:pPr>
          </w:p>
        </w:tc>
        <w:tc>
          <w:tcPr>
            <w:tcW w:w="434" w:type="pct"/>
            <w:vMerge w:val="continue"/>
            <w:vAlign w:val="center"/>
          </w:tcPr>
          <w:p w14:paraId="6CE17F95">
            <w:pPr>
              <w:autoSpaceDE w:val="0"/>
              <w:autoSpaceDN w:val="0"/>
              <w:adjustRightInd w:val="0"/>
              <w:snapToGrid w:val="0"/>
              <w:jc w:val="center"/>
              <w:rPr>
                <w:rFonts w:ascii="Times New Roman"/>
                <w:sz w:val="21"/>
                <w:szCs w:val="21"/>
              </w:rPr>
            </w:pPr>
          </w:p>
        </w:tc>
      </w:tr>
      <w:tr w14:paraId="510C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6CDDF73">
            <w:pPr>
              <w:autoSpaceDE w:val="0"/>
              <w:autoSpaceDN w:val="0"/>
              <w:adjustRightInd w:val="0"/>
              <w:snapToGrid w:val="0"/>
              <w:jc w:val="center"/>
              <w:rPr>
                <w:rFonts w:ascii="Times New Roman"/>
                <w:sz w:val="21"/>
                <w:szCs w:val="21"/>
              </w:rPr>
            </w:pPr>
          </w:p>
        </w:tc>
        <w:tc>
          <w:tcPr>
            <w:tcW w:w="697" w:type="pct"/>
            <w:vAlign w:val="center"/>
          </w:tcPr>
          <w:p w14:paraId="0014D651">
            <w:pPr>
              <w:autoSpaceDE w:val="0"/>
              <w:autoSpaceDN w:val="0"/>
              <w:adjustRightInd w:val="0"/>
              <w:snapToGrid w:val="0"/>
              <w:jc w:val="center"/>
              <w:rPr>
                <w:rFonts w:ascii="Times New Roman"/>
                <w:sz w:val="21"/>
                <w:szCs w:val="21"/>
              </w:rPr>
            </w:pPr>
            <w:r>
              <w:rPr>
                <w:rFonts w:ascii="Times New Roman"/>
                <w:sz w:val="21"/>
                <w:szCs w:val="21"/>
              </w:rPr>
              <w:t>龙门铣</w:t>
            </w:r>
          </w:p>
        </w:tc>
        <w:tc>
          <w:tcPr>
            <w:tcW w:w="346" w:type="pct"/>
            <w:vAlign w:val="center"/>
          </w:tcPr>
          <w:p w14:paraId="39FD395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D7FB70D">
            <w:pPr>
              <w:autoSpaceDE w:val="0"/>
              <w:autoSpaceDN w:val="0"/>
              <w:adjustRightInd w:val="0"/>
              <w:snapToGrid w:val="0"/>
              <w:jc w:val="center"/>
              <w:rPr>
                <w:rFonts w:ascii="Times New Roman"/>
                <w:sz w:val="21"/>
                <w:szCs w:val="21"/>
              </w:rPr>
            </w:pPr>
          </w:p>
        </w:tc>
        <w:tc>
          <w:tcPr>
            <w:tcW w:w="208" w:type="pct"/>
            <w:vAlign w:val="center"/>
          </w:tcPr>
          <w:p w14:paraId="58BEA500">
            <w:pPr>
              <w:autoSpaceDE w:val="0"/>
              <w:autoSpaceDN w:val="0"/>
              <w:adjustRightInd w:val="0"/>
              <w:snapToGrid w:val="0"/>
              <w:jc w:val="center"/>
              <w:rPr>
                <w:rFonts w:ascii="Times New Roman"/>
                <w:sz w:val="21"/>
                <w:szCs w:val="21"/>
              </w:rPr>
            </w:pPr>
            <w:r>
              <w:rPr>
                <w:rFonts w:ascii="Times New Roman"/>
                <w:sz w:val="21"/>
                <w:szCs w:val="21"/>
              </w:rPr>
              <w:t>502</w:t>
            </w:r>
          </w:p>
        </w:tc>
        <w:tc>
          <w:tcPr>
            <w:tcW w:w="201" w:type="pct"/>
            <w:vAlign w:val="center"/>
          </w:tcPr>
          <w:p w14:paraId="73D09ADE">
            <w:pPr>
              <w:autoSpaceDE w:val="0"/>
              <w:autoSpaceDN w:val="0"/>
              <w:adjustRightInd w:val="0"/>
              <w:snapToGrid w:val="0"/>
              <w:jc w:val="center"/>
              <w:rPr>
                <w:rFonts w:ascii="Times New Roman"/>
                <w:sz w:val="21"/>
                <w:szCs w:val="21"/>
              </w:rPr>
            </w:pPr>
            <w:r>
              <w:rPr>
                <w:rFonts w:ascii="Times New Roman"/>
                <w:sz w:val="21"/>
                <w:szCs w:val="21"/>
              </w:rPr>
              <w:t>230</w:t>
            </w:r>
          </w:p>
        </w:tc>
        <w:tc>
          <w:tcPr>
            <w:tcW w:w="240" w:type="pct"/>
            <w:vAlign w:val="center"/>
          </w:tcPr>
          <w:p w14:paraId="3B368558">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02601386">
            <w:pPr>
              <w:autoSpaceDE w:val="0"/>
              <w:autoSpaceDN w:val="0"/>
              <w:adjustRightInd w:val="0"/>
              <w:snapToGrid w:val="0"/>
              <w:jc w:val="center"/>
              <w:rPr>
                <w:rFonts w:ascii="Times New Roman"/>
                <w:sz w:val="21"/>
                <w:szCs w:val="21"/>
              </w:rPr>
            </w:pPr>
            <w:r>
              <w:rPr>
                <w:rFonts w:ascii="Times New Roman"/>
                <w:sz w:val="21"/>
                <w:szCs w:val="21"/>
              </w:rPr>
              <w:t>37.98</w:t>
            </w:r>
          </w:p>
        </w:tc>
        <w:tc>
          <w:tcPr>
            <w:tcW w:w="358" w:type="pct"/>
            <w:vAlign w:val="center"/>
          </w:tcPr>
          <w:p w14:paraId="643048B9">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7B81C755">
            <w:pPr>
              <w:autoSpaceDE w:val="0"/>
              <w:autoSpaceDN w:val="0"/>
              <w:adjustRightInd w:val="0"/>
              <w:snapToGrid w:val="0"/>
              <w:jc w:val="center"/>
              <w:rPr>
                <w:rFonts w:ascii="Times New Roman"/>
                <w:sz w:val="21"/>
                <w:szCs w:val="21"/>
              </w:rPr>
            </w:pPr>
          </w:p>
        </w:tc>
        <w:tc>
          <w:tcPr>
            <w:tcW w:w="551" w:type="pct"/>
            <w:vAlign w:val="center"/>
          </w:tcPr>
          <w:p w14:paraId="2D9A45A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DBEAB1E">
            <w:pPr>
              <w:autoSpaceDE w:val="0"/>
              <w:autoSpaceDN w:val="0"/>
              <w:adjustRightInd w:val="0"/>
              <w:snapToGrid w:val="0"/>
              <w:jc w:val="center"/>
              <w:rPr>
                <w:rFonts w:ascii="Times New Roman"/>
                <w:sz w:val="21"/>
                <w:szCs w:val="21"/>
              </w:rPr>
            </w:pPr>
          </w:p>
        </w:tc>
        <w:tc>
          <w:tcPr>
            <w:tcW w:w="287" w:type="pct"/>
            <w:vMerge w:val="continue"/>
            <w:vAlign w:val="center"/>
          </w:tcPr>
          <w:p w14:paraId="35CAA6D5">
            <w:pPr>
              <w:autoSpaceDE w:val="0"/>
              <w:autoSpaceDN w:val="0"/>
              <w:adjustRightInd w:val="0"/>
              <w:snapToGrid w:val="0"/>
              <w:jc w:val="center"/>
              <w:rPr>
                <w:rFonts w:ascii="Times New Roman"/>
                <w:sz w:val="21"/>
                <w:szCs w:val="21"/>
              </w:rPr>
            </w:pPr>
          </w:p>
        </w:tc>
        <w:tc>
          <w:tcPr>
            <w:tcW w:w="434" w:type="pct"/>
            <w:vMerge w:val="continue"/>
            <w:vAlign w:val="center"/>
          </w:tcPr>
          <w:p w14:paraId="12834E05">
            <w:pPr>
              <w:autoSpaceDE w:val="0"/>
              <w:autoSpaceDN w:val="0"/>
              <w:adjustRightInd w:val="0"/>
              <w:snapToGrid w:val="0"/>
              <w:jc w:val="center"/>
              <w:rPr>
                <w:rFonts w:ascii="Times New Roman"/>
                <w:sz w:val="21"/>
                <w:szCs w:val="21"/>
              </w:rPr>
            </w:pPr>
          </w:p>
        </w:tc>
      </w:tr>
      <w:tr w14:paraId="51FB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7DED6E9">
            <w:pPr>
              <w:autoSpaceDE w:val="0"/>
              <w:autoSpaceDN w:val="0"/>
              <w:adjustRightInd w:val="0"/>
              <w:snapToGrid w:val="0"/>
              <w:jc w:val="center"/>
              <w:rPr>
                <w:rFonts w:ascii="Times New Roman"/>
                <w:sz w:val="21"/>
                <w:szCs w:val="21"/>
              </w:rPr>
            </w:pPr>
          </w:p>
        </w:tc>
        <w:tc>
          <w:tcPr>
            <w:tcW w:w="697" w:type="pct"/>
            <w:vAlign w:val="center"/>
          </w:tcPr>
          <w:p w14:paraId="4C96DD14">
            <w:pPr>
              <w:autoSpaceDE w:val="0"/>
              <w:autoSpaceDN w:val="0"/>
              <w:adjustRightInd w:val="0"/>
              <w:snapToGrid w:val="0"/>
              <w:jc w:val="center"/>
              <w:rPr>
                <w:rFonts w:ascii="Times New Roman"/>
                <w:sz w:val="21"/>
                <w:szCs w:val="21"/>
              </w:rPr>
            </w:pPr>
            <w:r>
              <w:rPr>
                <w:rFonts w:ascii="Times New Roman"/>
                <w:sz w:val="21"/>
                <w:szCs w:val="21"/>
              </w:rPr>
              <w:t>数控龙门加工中心</w:t>
            </w:r>
          </w:p>
        </w:tc>
        <w:tc>
          <w:tcPr>
            <w:tcW w:w="346" w:type="pct"/>
            <w:vAlign w:val="center"/>
          </w:tcPr>
          <w:p w14:paraId="254DB541">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2C26E629">
            <w:pPr>
              <w:autoSpaceDE w:val="0"/>
              <w:autoSpaceDN w:val="0"/>
              <w:adjustRightInd w:val="0"/>
              <w:snapToGrid w:val="0"/>
              <w:jc w:val="center"/>
              <w:rPr>
                <w:rFonts w:ascii="Times New Roman"/>
                <w:sz w:val="21"/>
                <w:szCs w:val="21"/>
              </w:rPr>
            </w:pPr>
          </w:p>
        </w:tc>
        <w:tc>
          <w:tcPr>
            <w:tcW w:w="208" w:type="pct"/>
            <w:vAlign w:val="center"/>
          </w:tcPr>
          <w:p w14:paraId="041A2049">
            <w:pPr>
              <w:autoSpaceDE w:val="0"/>
              <w:autoSpaceDN w:val="0"/>
              <w:adjustRightInd w:val="0"/>
              <w:snapToGrid w:val="0"/>
              <w:jc w:val="center"/>
              <w:rPr>
                <w:rFonts w:ascii="Times New Roman"/>
                <w:sz w:val="21"/>
                <w:szCs w:val="21"/>
              </w:rPr>
            </w:pPr>
            <w:r>
              <w:rPr>
                <w:rFonts w:ascii="Times New Roman"/>
                <w:sz w:val="21"/>
                <w:szCs w:val="21"/>
              </w:rPr>
              <w:t>500</w:t>
            </w:r>
          </w:p>
        </w:tc>
        <w:tc>
          <w:tcPr>
            <w:tcW w:w="201" w:type="pct"/>
            <w:vAlign w:val="center"/>
          </w:tcPr>
          <w:p w14:paraId="6692D545">
            <w:pPr>
              <w:autoSpaceDE w:val="0"/>
              <w:autoSpaceDN w:val="0"/>
              <w:adjustRightInd w:val="0"/>
              <w:snapToGrid w:val="0"/>
              <w:jc w:val="center"/>
              <w:rPr>
                <w:rFonts w:ascii="Times New Roman"/>
                <w:sz w:val="21"/>
                <w:szCs w:val="21"/>
              </w:rPr>
            </w:pPr>
            <w:r>
              <w:rPr>
                <w:rFonts w:ascii="Times New Roman"/>
                <w:sz w:val="21"/>
                <w:szCs w:val="21"/>
              </w:rPr>
              <w:t>130</w:t>
            </w:r>
          </w:p>
        </w:tc>
        <w:tc>
          <w:tcPr>
            <w:tcW w:w="240" w:type="pct"/>
            <w:vAlign w:val="center"/>
          </w:tcPr>
          <w:p w14:paraId="787B2E5F">
            <w:pPr>
              <w:autoSpaceDE w:val="0"/>
              <w:autoSpaceDN w:val="0"/>
              <w:adjustRightInd w:val="0"/>
              <w:snapToGrid w:val="0"/>
              <w:jc w:val="center"/>
              <w:rPr>
                <w:rFonts w:ascii="Times New Roman"/>
                <w:sz w:val="21"/>
                <w:szCs w:val="21"/>
              </w:rPr>
            </w:pPr>
            <w:r>
              <w:rPr>
                <w:rFonts w:ascii="Times New Roman"/>
                <w:sz w:val="21"/>
                <w:szCs w:val="21"/>
              </w:rPr>
              <w:t>1.2</w:t>
            </w:r>
          </w:p>
        </w:tc>
        <w:tc>
          <w:tcPr>
            <w:tcW w:w="346" w:type="pct"/>
            <w:vAlign w:val="center"/>
          </w:tcPr>
          <w:p w14:paraId="742C666E">
            <w:pPr>
              <w:autoSpaceDE w:val="0"/>
              <w:autoSpaceDN w:val="0"/>
              <w:adjustRightInd w:val="0"/>
              <w:snapToGrid w:val="0"/>
              <w:jc w:val="center"/>
              <w:rPr>
                <w:rFonts w:ascii="Times New Roman"/>
                <w:sz w:val="21"/>
                <w:szCs w:val="21"/>
              </w:rPr>
            </w:pPr>
            <w:r>
              <w:rPr>
                <w:rFonts w:ascii="Times New Roman"/>
                <w:sz w:val="21"/>
                <w:szCs w:val="21"/>
              </w:rPr>
              <w:t>39.98</w:t>
            </w:r>
          </w:p>
        </w:tc>
        <w:tc>
          <w:tcPr>
            <w:tcW w:w="358" w:type="pct"/>
            <w:vAlign w:val="center"/>
          </w:tcPr>
          <w:p w14:paraId="14D3E99F">
            <w:pPr>
              <w:autoSpaceDE w:val="0"/>
              <w:autoSpaceDN w:val="0"/>
              <w:adjustRightInd w:val="0"/>
              <w:snapToGrid w:val="0"/>
              <w:jc w:val="center"/>
              <w:rPr>
                <w:rFonts w:ascii="Times New Roman"/>
                <w:sz w:val="21"/>
                <w:szCs w:val="21"/>
              </w:rPr>
            </w:pPr>
            <w:r>
              <w:rPr>
                <w:rFonts w:ascii="Times New Roman"/>
                <w:sz w:val="21"/>
                <w:szCs w:val="21"/>
              </w:rPr>
              <w:t>53</w:t>
            </w:r>
          </w:p>
        </w:tc>
        <w:tc>
          <w:tcPr>
            <w:tcW w:w="316" w:type="pct"/>
            <w:vMerge w:val="continue"/>
            <w:vAlign w:val="center"/>
          </w:tcPr>
          <w:p w14:paraId="29B6F30E">
            <w:pPr>
              <w:autoSpaceDE w:val="0"/>
              <w:autoSpaceDN w:val="0"/>
              <w:adjustRightInd w:val="0"/>
              <w:snapToGrid w:val="0"/>
              <w:jc w:val="center"/>
              <w:rPr>
                <w:rFonts w:ascii="Times New Roman"/>
                <w:sz w:val="21"/>
                <w:szCs w:val="21"/>
              </w:rPr>
            </w:pPr>
          </w:p>
        </w:tc>
        <w:tc>
          <w:tcPr>
            <w:tcW w:w="551" w:type="pct"/>
            <w:vAlign w:val="center"/>
          </w:tcPr>
          <w:p w14:paraId="6BD7BFB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C9EC296">
            <w:pPr>
              <w:autoSpaceDE w:val="0"/>
              <w:autoSpaceDN w:val="0"/>
              <w:adjustRightInd w:val="0"/>
              <w:snapToGrid w:val="0"/>
              <w:jc w:val="center"/>
              <w:rPr>
                <w:rFonts w:ascii="Times New Roman"/>
                <w:sz w:val="21"/>
                <w:szCs w:val="21"/>
              </w:rPr>
            </w:pPr>
          </w:p>
        </w:tc>
        <w:tc>
          <w:tcPr>
            <w:tcW w:w="287" w:type="pct"/>
            <w:vMerge w:val="continue"/>
            <w:vAlign w:val="center"/>
          </w:tcPr>
          <w:p w14:paraId="675716FB">
            <w:pPr>
              <w:autoSpaceDE w:val="0"/>
              <w:autoSpaceDN w:val="0"/>
              <w:adjustRightInd w:val="0"/>
              <w:snapToGrid w:val="0"/>
              <w:jc w:val="center"/>
              <w:rPr>
                <w:rFonts w:ascii="Times New Roman"/>
                <w:sz w:val="21"/>
                <w:szCs w:val="21"/>
              </w:rPr>
            </w:pPr>
          </w:p>
        </w:tc>
        <w:tc>
          <w:tcPr>
            <w:tcW w:w="434" w:type="pct"/>
            <w:vMerge w:val="continue"/>
            <w:vAlign w:val="center"/>
          </w:tcPr>
          <w:p w14:paraId="4AC5AE16">
            <w:pPr>
              <w:autoSpaceDE w:val="0"/>
              <w:autoSpaceDN w:val="0"/>
              <w:adjustRightInd w:val="0"/>
              <w:snapToGrid w:val="0"/>
              <w:jc w:val="center"/>
              <w:rPr>
                <w:rFonts w:ascii="Times New Roman"/>
                <w:sz w:val="21"/>
                <w:szCs w:val="21"/>
              </w:rPr>
            </w:pPr>
          </w:p>
        </w:tc>
      </w:tr>
      <w:tr w14:paraId="7A2F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6981473">
            <w:pPr>
              <w:autoSpaceDE w:val="0"/>
              <w:autoSpaceDN w:val="0"/>
              <w:adjustRightInd w:val="0"/>
              <w:snapToGrid w:val="0"/>
              <w:jc w:val="center"/>
              <w:rPr>
                <w:rFonts w:ascii="Times New Roman"/>
                <w:sz w:val="21"/>
                <w:szCs w:val="21"/>
              </w:rPr>
            </w:pPr>
          </w:p>
        </w:tc>
        <w:tc>
          <w:tcPr>
            <w:tcW w:w="697" w:type="pct"/>
            <w:vAlign w:val="center"/>
          </w:tcPr>
          <w:p w14:paraId="035AB4DD">
            <w:pPr>
              <w:autoSpaceDE w:val="0"/>
              <w:autoSpaceDN w:val="0"/>
              <w:adjustRightInd w:val="0"/>
              <w:snapToGrid w:val="0"/>
              <w:jc w:val="center"/>
              <w:rPr>
                <w:rFonts w:ascii="Times New Roman"/>
                <w:sz w:val="21"/>
                <w:szCs w:val="21"/>
              </w:rPr>
            </w:pPr>
            <w:r>
              <w:rPr>
                <w:rFonts w:ascii="Times New Roman"/>
                <w:sz w:val="21"/>
                <w:szCs w:val="21"/>
              </w:rPr>
              <w:t>折弯机</w:t>
            </w:r>
          </w:p>
        </w:tc>
        <w:tc>
          <w:tcPr>
            <w:tcW w:w="346" w:type="pct"/>
            <w:vAlign w:val="center"/>
          </w:tcPr>
          <w:p w14:paraId="637AD69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7A74683">
            <w:pPr>
              <w:autoSpaceDE w:val="0"/>
              <w:autoSpaceDN w:val="0"/>
              <w:adjustRightInd w:val="0"/>
              <w:snapToGrid w:val="0"/>
              <w:jc w:val="center"/>
              <w:rPr>
                <w:rFonts w:ascii="Times New Roman"/>
                <w:sz w:val="21"/>
                <w:szCs w:val="21"/>
              </w:rPr>
            </w:pPr>
          </w:p>
        </w:tc>
        <w:tc>
          <w:tcPr>
            <w:tcW w:w="208" w:type="pct"/>
            <w:vAlign w:val="center"/>
          </w:tcPr>
          <w:p w14:paraId="4B594579">
            <w:pPr>
              <w:autoSpaceDE w:val="0"/>
              <w:autoSpaceDN w:val="0"/>
              <w:adjustRightInd w:val="0"/>
              <w:snapToGrid w:val="0"/>
              <w:jc w:val="center"/>
              <w:rPr>
                <w:rFonts w:ascii="Times New Roman"/>
                <w:sz w:val="21"/>
                <w:szCs w:val="21"/>
              </w:rPr>
            </w:pPr>
            <w:r>
              <w:rPr>
                <w:rFonts w:ascii="Times New Roman"/>
                <w:sz w:val="21"/>
                <w:szCs w:val="21"/>
              </w:rPr>
              <w:t>505</w:t>
            </w:r>
          </w:p>
        </w:tc>
        <w:tc>
          <w:tcPr>
            <w:tcW w:w="201" w:type="pct"/>
            <w:vAlign w:val="center"/>
          </w:tcPr>
          <w:p w14:paraId="556DC083">
            <w:pPr>
              <w:autoSpaceDE w:val="0"/>
              <w:autoSpaceDN w:val="0"/>
              <w:adjustRightInd w:val="0"/>
              <w:snapToGrid w:val="0"/>
              <w:jc w:val="center"/>
              <w:rPr>
                <w:rFonts w:ascii="Times New Roman"/>
                <w:sz w:val="21"/>
                <w:szCs w:val="21"/>
              </w:rPr>
            </w:pPr>
            <w:r>
              <w:rPr>
                <w:rFonts w:ascii="Times New Roman"/>
                <w:sz w:val="21"/>
                <w:szCs w:val="21"/>
              </w:rPr>
              <w:t>130</w:t>
            </w:r>
          </w:p>
        </w:tc>
        <w:tc>
          <w:tcPr>
            <w:tcW w:w="240" w:type="pct"/>
            <w:vAlign w:val="center"/>
          </w:tcPr>
          <w:p w14:paraId="717D1DA0">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BEE2F1D">
            <w:pPr>
              <w:autoSpaceDE w:val="0"/>
              <w:autoSpaceDN w:val="0"/>
              <w:adjustRightInd w:val="0"/>
              <w:snapToGrid w:val="0"/>
              <w:jc w:val="center"/>
              <w:rPr>
                <w:rFonts w:ascii="Times New Roman"/>
                <w:sz w:val="21"/>
                <w:szCs w:val="21"/>
              </w:rPr>
            </w:pPr>
            <w:r>
              <w:rPr>
                <w:rFonts w:ascii="Times New Roman"/>
                <w:sz w:val="21"/>
                <w:szCs w:val="21"/>
              </w:rPr>
              <w:t>34.98</w:t>
            </w:r>
          </w:p>
        </w:tc>
        <w:tc>
          <w:tcPr>
            <w:tcW w:w="358" w:type="pct"/>
            <w:vAlign w:val="center"/>
          </w:tcPr>
          <w:p w14:paraId="11646664">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2FC3334D">
            <w:pPr>
              <w:autoSpaceDE w:val="0"/>
              <w:autoSpaceDN w:val="0"/>
              <w:adjustRightInd w:val="0"/>
              <w:snapToGrid w:val="0"/>
              <w:jc w:val="center"/>
              <w:rPr>
                <w:rFonts w:ascii="Times New Roman"/>
                <w:sz w:val="21"/>
                <w:szCs w:val="21"/>
              </w:rPr>
            </w:pPr>
          </w:p>
        </w:tc>
        <w:tc>
          <w:tcPr>
            <w:tcW w:w="551" w:type="pct"/>
            <w:vAlign w:val="center"/>
          </w:tcPr>
          <w:p w14:paraId="2CC7707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926CE75">
            <w:pPr>
              <w:autoSpaceDE w:val="0"/>
              <w:autoSpaceDN w:val="0"/>
              <w:adjustRightInd w:val="0"/>
              <w:snapToGrid w:val="0"/>
              <w:jc w:val="center"/>
              <w:rPr>
                <w:rFonts w:ascii="Times New Roman"/>
                <w:sz w:val="21"/>
                <w:szCs w:val="21"/>
              </w:rPr>
            </w:pPr>
          </w:p>
        </w:tc>
        <w:tc>
          <w:tcPr>
            <w:tcW w:w="287" w:type="pct"/>
            <w:vMerge w:val="continue"/>
            <w:vAlign w:val="center"/>
          </w:tcPr>
          <w:p w14:paraId="4EBE1DAE">
            <w:pPr>
              <w:autoSpaceDE w:val="0"/>
              <w:autoSpaceDN w:val="0"/>
              <w:adjustRightInd w:val="0"/>
              <w:snapToGrid w:val="0"/>
              <w:jc w:val="center"/>
              <w:rPr>
                <w:rFonts w:ascii="Times New Roman"/>
                <w:sz w:val="21"/>
                <w:szCs w:val="21"/>
              </w:rPr>
            </w:pPr>
          </w:p>
        </w:tc>
        <w:tc>
          <w:tcPr>
            <w:tcW w:w="434" w:type="pct"/>
            <w:vMerge w:val="continue"/>
            <w:vAlign w:val="center"/>
          </w:tcPr>
          <w:p w14:paraId="14C39FCC">
            <w:pPr>
              <w:autoSpaceDE w:val="0"/>
              <w:autoSpaceDN w:val="0"/>
              <w:adjustRightInd w:val="0"/>
              <w:snapToGrid w:val="0"/>
              <w:jc w:val="center"/>
              <w:rPr>
                <w:rFonts w:ascii="Times New Roman"/>
                <w:sz w:val="21"/>
                <w:szCs w:val="21"/>
              </w:rPr>
            </w:pPr>
          </w:p>
        </w:tc>
      </w:tr>
      <w:tr w14:paraId="73AE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B2CD531">
            <w:pPr>
              <w:autoSpaceDE w:val="0"/>
              <w:autoSpaceDN w:val="0"/>
              <w:adjustRightInd w:val="0"/>
              <w:snapToGrid w:val="0"/>
              <w:jc w:val="center"/>
              <w:rPr>
                <w:rFonts w:ascii="Times New Roman"/>
                <w:sz w:val="21"/>
                <w:szCs w:val="21"/>
              </w:rPr>
            </w:pPr>
          </w:p>
        </w:tc>
        <w:tc>
          <w:tcPr>
            <w:tcW w:w="697" w:type="pct"/>
            <w:vAlign w:val="center"/>
          </w:tcPr>
          <w:p w14:paraId="5E7AA7F1">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273F31F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A6BBB63">
            <w:pPr>
              <w:autoSpaceDE w:val="0"/>
              <w:autoSpaceDN w:val="0"/>
              <w:adjustRightInd w:val="0"/>
              <w:snapToGrid w:val="0"/>
              <w:jc w:val="center"/>
              <w:rPr>
                <w:rFonts w:ascii="Times New Roman"/>
                <w:sz w:val="21"/>
                <w:szCs w:val="21"/>
              </w:rPr>
            </w:pPr>
          </w:p>
        </w:tc>
        <w:tc>
          <w:tcPr>
            <w:tcW w:w="208" w:type="pct"/>
            <w:vAlign w:val="center"/>
          </w:tcPr>
          <w:p w14:paraId="75397B4D">
            <w:pPr>
              <w:autoSpaceDE w:val="0"/>
              <w:autoSpaceDN w:val="0"/>
              <w:adjustRightInd w:val="0"/>
              <w:snapToGrid w:val="0"/>
              <w:jc w:val="center"/>
              <w:rPr>
                <w:rFonts w:ascii="Times New Roman"/>
                <w:sz w:val="21"/>
                <w:szCs w:val="21"/>
              </w:rPr>
            </w:pPr>
            <w:r>
              <w:rPr>
                <w:rFonts w:ascii="Times New Roman"/>
                <w:sz w:val="21"/>
                <w:szCs w:val="21"/>
              </w:rPr>
              <w:t>500</w:t>
            </w:r>
          </w:p>
        </w:tc>
        <w:tc>
          <w:tcPr>
            <w:tcW w:w="201" w:type="pct"/>
            <w:vAlign w:val="center"/>
          </w:tcPr>
          <w:p w14:paraId="2EBDD90E">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1F08021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F5B5AE6">
            <w:pPr>
              <w:autoSpaceDE w:val="0"/>
              <w:autoSpaceDN w:val="0"/>
              <w:adjustRightInd w:val="0"/>
              <w:snapToGrid w:val="0"/>
              <w:jc w:val="center"/>
              <w:rPr>
                <w:rFonts w:ascii="Times New Roman"/>
                <w:sz w:val="21"/>
                <w:szCs w:val="21"/>
              </w:rPr>
            </w:pPr>
            <w:r>
              <w:rPr>
                <w:rFonts w:ascii="Times New Roman"/>
                <w:sz w:val="21"/>
                <w:szCs w:val="21"/>
              </w:rPr>
              <w:t>39.98</w:t>
            </w:r>
          </w:p>
        </w:tc>
        <w:tc>
          <w:tcPr>
            <w:tcW w:w="358" w:type="pct"/>
            <w:vAlign w:val="center"/>
          </w:tcPr>
          <w:p w14:paraId="57E7C458">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78A70B7A">
            <w:pPr>
              <w:autoSpaceDE w:val="0"/>
              <w:autoSpaceDN w:val="0"/>
              <w:adjustRightInd w:val="0"/>
              <w:snapToGrid w:val="0"/>
              <w:jc w:val="center"/>
              <w:rPr>
                <w:rFonts w:ascii="Times New Roman"/>
                <w:sz w:val="21"/>
                <w:szCs w:val="21"/>
              </w:rPr>
            </w:pPr>
          </w:p>
        </w:tc>
        <w:tc>
          <w:tcPr>
            <w:tcW w:w="551" w:type="pct"/>
            <w:vAlign w:val="center"/>
          </w:tcPr>
          <w:p w14:paraId="1DF742F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A420E9E">
            <w:pPr>
              <w:autoSpaceDE w:val="0"/>
              <w:autoSpaceDN w:val="0"/>
              <w:adjustRightInd w:val="0"/>
              <w:snapToGrid w:val="0"/>
              <w:jc w:val="center"/>
              <w:rPr>
                <w:rFonts w:ascii="Times New Roman"/>
                <w:sz w:val="21"/>
                <w:szCs w:val="21"/>
              </w:rPr>
            </w:pPr>
          </w:p>
        </w:tc>
        <w:tc>
          <w:tcPr>
            <w:tcW w:w="287" w:type="pct"/>
            <w:vMerge w:val="continue"/>
            <w:vAlign w:val="center"/>
          </w:tcPr>
          <w:p w14:paraId="279C9E16">
            <w:pPr>
              <w:autoSpaceDE w:val="0"/>
              <w:autoSpaceDN w:val="0"/>
              <w:adjustRightInd w:val="0"/>
              <w:snapToGrid w:val="0"/>
              <w:jc w:val="center"/>
              <w:rPr>
                <w:rFonts w:ascii="Times New Roman"/>
                <w:sz w:val="21"/>
                <w:szCs w:val="21"/>
              </w:rPr>
            </w:pPr>
          </w:p>
        </w:tc>
        <w:tc>
          <w:tcPr>
            <w:tcW w:w="434" w:type="pct"/>
            <w:vMerge w:val="continue"/>
            <w:vAlign w:val="center"/>
          </w:tcPr>
          <w:p w14:paraId="29B5D4EB">
            <w:pPr>
              <w:autoSpaceDE w:val="0"/>
              <w:autoSpaceDN w:val="0"/>
              <w:adjustRightInd w:val="0"/>
              <w:snapToGrid w:val="0"/>
              <w:jc w:val="center"/>
              <w:rPr>
                <w:rFonts w:ascii="Times New Roman"/>
                <w:sz w:val="21"/>
                <w:szCs w:val="21"/>
              </w:rPr>
            </w:pPr>
          </w:p>
        </w:tc>
      </w:tr>
      <w:tr w14:paraId="32FE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22E3695">
            <w:pPr>
              <w:autoSpaceDE w:val="0"/>
              <w:autoSpaceDN w:val="0"/>
              <w:adjustRightInd w:val="0"/>
              <w:snapToGrid w:val="0"/>
              <w:jc w:val="center"/>
              <w:rPr>
                <w:rFonts w:ascii="Times New Roman"/>
                <w:sz w:val="21"/>
                <w:szCs w:val="21"/>
              </w:rPr>
            </w:pPr>
          </w:p>
        </w:tc>
        <w:tc>
          <w:tcPr>
            <w:tcW w:w="697" w:type="pct"/>
            <w:vAlign w:val="center"/>
          </w:tcPr>
          <w:p w14:paraId="376951CD">
            <w:pPr>
              <w:autoSpaceDE w:val="0"/>
              <w:autoSpaceDN w:val="0"/>
              <w:adjustRightInd w:val="0"/>
              <w:snapToGrid w:val="0"/>
              <w:jc w:val="center"/>
              <w:rPr>
                <w:rFonts w:ascii="Times New Roman"/>
                <w:sz w:val="21"/>
                <w:szCs w:val="21"/>
              </w:rPr>
            </w:pPr>
            <w:r>
              <w:rPr>
                <w:rFonts w:ascii="Times New Roman"/>
                <w:sz w:val="21"/>
                <w:szCs w:val="21"/>
              </w:rPr>
              <w:t>摩擦压力机</w:t>
            </w:r>
          </w:p>
        </w:tc>
        <w:tc>
          <w:tcPr>
            <w:tcW w:w="346" w:type="pct"/>
            <w:vAlign w:val="center"/>
          </w:tcPr>
          <w:p w14:paraId="3AC23248">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54AC084">
            <w:pPr>
              <w:autoSpaceDE w:val="0"/>
              <w:autoSpaceDN w:val="0"/>
              <w:adjustRightInd w:val="0"/>
              <w:snapToGrid w:val="0"/>
              <w:jc w:val="center"/>
              <w:rPr>
                <w:rFonts w:ascii="Times New Roman"/>
                <w:sz w:val="21"/>
                <w:szCs w:val="21"/>
              </w:rPr>
            </w:pPr>
          </w:p>
        </w:tc>
        <w:tc>
          <w:tcPr>
            <w:tcW w:w="208" w:type="pct"/>
            <w:vAlign w:val="center"/>
          </w:tcPr>
          <w:p w14:paraId="73F26514">
            <w:pPr>
              <w:autoSpaceDE w:val="0"/>
              <w:autoSpaceDN w:val="0"/>
              <w:adjustRightInd w:val="0"/>
              <w:snapToGrid w:val="0"/>
              <w:jc w:val="center"/>
              <w:rPr>
                <w:rFonts w:ascii="Times New Roman"/>
                <w:sz w:val="21"/>
                <w:szCs w:val="21"/>
              </w:rPr>
            </w:pPr>
            <w:r>
              <w:rPr>
                <w:rFonts w:ascii="Times New Roman"/>
                <w:sz w:val="21"/>
                <w:szCs w:val="21"/>
              </w:rPr>
              <w:t>505</w:t>
            </w:r>
          </w:p>
        </w:tc>
        <w:tc>
          <w:tcPr>
            <w:tcW w:w="201" w:type="pct"/>
            <w:vAlign w:val="center"/>
          </w:tcPr>
          <w:p w14:paraId="342A3CC6">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27AA74EF">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37B955D6">
            <w:pPr>
              <w:autoSpaceDE w:val="0"/>
              <w:autoSpaceDN w:val="0"/>
              <w:adjustRightInd w:val="0"/>
              <w:snapToGrid w:val="0"/>
              <w:jc w:val="center"/>
              <w:rPr>
                <w:rFonts w:ascii="Times New Roman"/>
                <w:sz w:val="21"/>
                <w:szCs w:val="21"/>
              </w:rPr>
            </w:pPr>
            <w:r>
              <w:rPr>
                <w:rFonts w:ascii="Times New Roman"/>
                <w:sz w:val="21"/>
                <w:szCs w:val="21"/>
              </w:rPr>
              <w:t>34.98</w:t>
            </w:r>
          </w:p>
        </w:tc>
        <w:tc>
          <w:tcPr>
            <w:tcW w:w="358" w:type="pct"/>
            <w:vAlign w:val="center"/>
          </w:tcPr>
          <w:p w14:paraId="7560C3D3">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5606EEC4">
            <w:pPr>
              <w:autoSpaceDE w:val="0"/>
              <w:autoSpaceDN w:val="0"/>
              <w:adjustRightInd w:val="0"/>
              <w:snapToGrid w:val="0"/>
              <w:jc w:val="center"/>
              <w:rPr>
                <w:rFonts w:ascii="Times New Roman"/>
                <w:sz w:val="21"/>
                <w:szCs w:val="21"/>
              </w:rPr>
            </w:pPr>
          </w:p>
        </w:tc>
        <w:tc>
          <w:tcPr>
            <w:tcW w:w="551" w:type="pct"/>
            <w:vAlign w:val="center"/>
          </w:tcPr>
          <w:p w14:paraId="6C8C01E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5B52CF6">
            <w:pPr>
              <w:autoSpaceDE w:val="0"/>
              <w:autoSpaceDN w:val="0"/>
              <w:adjustRightInd w:val="0"/>
              <w:snapToGrid w:val="0"/>
              <w:jc w:val="center"/>
              <w:rPr>
                <w:rFonts w:ascii="Times New Roman"/>
                <w:sz w:val="21"/>
                <w:szCs w:val="21"/>
              </w:rPr>
            </w:pPr>
          </w:p>
        </w:tc>
        <w:tc>
          <w:tcPr>
            <w:tcW w:w="287" w:type="pct"/>
            <w:vMerge w:val="continue"/>
            <w:vAlign w:val="center"/>
          </w:tcPr>
          <w:p w14:paraId="5738E939">
            <w:pPr>
              <w:autoSpaceDE w:val="0"/>
              <w:autoSpaceDN w:val="0"/>
              <w:adjustRightInd w:val="0"/>
              <w:snapToGrid w:val="0"/>
              <w:jc w:val="center"/>
              <w:rPr>
                <w:rFonts w:ascii="Times New Roman"/>
                <w:sz w:val="21"/>
                <w:szCs w:val="21"/>
              </w:rPr>
            </w:pPr>
          </w:p>
        </w:tc>
        <w:tc>
          <w:tcPr>
            <w:tcW w:w="434" w:type="pct"/>
            <w:vMerge w:val="continue"/>
            <w:vAlign w:val="center"/>
          </w:tcPr>
          <w:p w14:paraId="2755A4AD">
            <w:pPr>
              <w:autoSpaceDE w:val="0"/>
              <w:autoSpaceDN w:val="0"/>
              <w:adjustRightInd w:val="0"/>
              <w:snapToGrid w:val="0"/>
              <w:jc w:val="center"/>
              <w:rPr>
                <w:rFonts w:ascii="Times New Roman"/>
                <w:sz w:val="21"/>
                <w:szCs w:val="21"/>
              </w:rPr>
            </w:pPr>
          </w:p>
        </w:tc>
      </w:tr>
      <w:tr w14:paraId="157A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F7D2545">
            <w:pPr>
              <w:autoSpaceDE w:val="0"/>
              <w:autoSpaceDN w:val="0"/>
              <w:adjustRightInd w:val="0"/>
              <w:snapToGrid w:val="0"/>
              <w:jc w:val="center"/>
              <w:rPr>
                <w:rFonts w:ascii="Times New Roman"/>
                <w:sz w:val="21"/>
                <w:szCs w:val="21"/>
              </w:rPr>
            </w:pPr>
          </w:p>
        </w:tc>
        <w:tc>
          <w:tcPr>
            <w:tcW w:w="697" w:type="pct"/>
            <w:vAlign w:val="center"/>
          </w:tcPr>
          <w:p w14:paraId="7A70E6F5">
            <w:pPr>
              <w:autoSpaceDE w:val="0"/>
              <w:autoSpaceDN w:val="0"/>
              <w:adjustRightInd w:val="0"/>
              <w:snapToGrid w:val="0"/>
              <w:jc w:val="center"/>
              <w:rPr>
                <w:rFonts w:ascii="Times New Roman"/>
                <w:sz w:val="21"/>
                <w:szCs w:val="21"/>
              </w:rPr>
            </w:pPr>
            <w:r>
              <w:rPr>
                <w:rFonts w:ascii="Times New Roman"/>
                <w:sz w:val="21"/>
                <w:szCs w:val="21"/>
              </w:rPr>
              <w:t>摩擦压力机</w:t>
            </w:r>
          </w:p>
        </w:tc>
        <w:tc>
          <w:tcPr>
            <w:tcW w:w="346" w:type="pct"/>
            <w:vAlign w:val="center"/>
          </w:tcPr>
          <w:p w14:paraId="1AE25C1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42232AC">
            <w:pPr>
              <w:autoSpaceDE w:val="0"/>
              <w:autoSpaceDN w:val="0"/>
              <w:adjustRightInd w:val="0"/>
              <w:snapToGrid w:val="0"/>
              <w:jc w:val="center"/>
              <w:rPr>
                <w:rFonts w:ascii="Times New Roman"/>
                <w:sz w:val="21"/>
                <w:szCs w:val="21"/>
              </w:rPr>
            </w:pPr>
          </w:p>
        </w:tc>
        <w:tc>
          <w:tcPr>
            <w:tcW w:w="208" w:type="pct"/>
            <w:vAlign w:val="center"/>
          </w:tcPr>
          <w:p w14:paraId="0564D453">
            <w:pPr>
              <w:autoSpaceDE w:val="0"/>
              <w:autoSpaceDN w:val="0"/>
              <w:adjustRightInd w:val="0"/>
              <w:snapToGrid w:val="0"/>
              <w:jc w:val="center"/>
              <w:rPr>
                <w:rFonts w:ascii="Times New Roman"/>
                <w:sz w:val="21"/>
                <w:szCs w:val="21"/>
              </w:rPr>
            </w:pPr>
            <w:r>
              <w:rPr>
                <w:rFonts w:ascii="Times New Roman"/>
                <w:sz w:val="21"/>
                <w:szCs w:val="21"/>
              </w:rPr>
              <w:t>500</w:t>
            </w:r>
          </w:p>
        </w:tc>
        <w:tc>
          <w:tcPr>
            <w:tcW w:w="201" w:type="pct"/>
            <w:vAlign w:val="center"/>
          </w:tcPr>
          <w:p w14:paraId="1613DF0C">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6919492C">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495733A3">
            <w:pPr>
              <w:autoSpaceDE w:val="0"/>
              <w:autoSpaceDN w:val="0"/>
              <w:adjustRightInd w:val="0"/>
              <w:snapToGrid w:val="0"/>
              <w:jc w:val="center"/>
              <w:rPr>
                <w:rFonts w:ascii="Times New Roman"/>
                <w:sz w:val="21"/>
                <w:szCs w:val="21"/>
              </w:rPr>
            </w:pPr>
            <w:r>
              <w:rPr>
                <w:rFonts w:ascii="Times New Roman"/>
                <w:sz w:val="21"/>
                <w:szCs w:val="21"/>
              </w:rPr>
              <w:t>39.98</w:t>
            </w:r>
          </w:p>
        </w:tc>
        <w:tc>
          <w:tcPr>
            <w:tcW w:w="358" w:type="pct"/>
            <w:vAlign w:val="center"/>
          </w:tcPr>
          <w:p w14:paraId="41D3386A">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58271BE0">
            <w:pPr>
              <w:autoSpaceDE w:val="0"/>
              <w:autoSpaceDN w:val="0"/>
              <w:adjustRightInd w:val="0"/>
              <w:snapToGrid w:val="0"/>
              <w:jc w:val="center"/>
              <w:rPr>
                <w:rFonts w:ascii="Times New Roman"/>
                <w:sz w:val="21"/>
                <w:szCs w:val="21"/>
              </w:rPr>
            </w:pPr>
          </w:p>
        </w:tc>
        <w:tc>
          <w:tcPr>
            <w:tcW w:w="551" w:type="pct"/>
            <w:vAlign w:val="center"/>
          </w:tcPr>
          <w:p w14:paraId="17379EC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6F0E5E6">
            <w:pPr>
              <w:autoSpaceDE w:val="0"/>
              <w:autoSpaceDN w:val="0"/>
              <w:adjustRightInd w:val="0"/>
              <w:snapToGrid w:val="0"/>
              <w:jc w:val="center"/>
              <w:rPr>
                <w:rFonts w:ascii="Times New Roman"/>
                <w:sz w:val="21"/>
                <w:szCs w:val="21"/>
              </w:rPr>
            </w:pPr>
          </w:p>
        </w:tc>
        <w:tc>
          <w:tcPr>
            <w:tcW w:w="287" w:type="pct"/>
            <w:vMerge w:val="continue"/>
            <w:vAlign w:val="center"/>
          </w:tcPr>
          <w:p w14:paraId="3D3870B2">
            <w:pPr>
              <w:autoSpaceDE w:val="0"/>
              <w:autoSpaceDN w:val="0"/>
              <w:adjustRightInd w:val="0"/>
              <w:snapToGrid w:val="0"/>
              <w:jc w:val="center"/>
              <w:rPr>
                <w:rFonts w:ascii="Times New Roman"/>
                <w:sz w:val="21"/>
                <w:szCs w:val="21"/>
              </w:rPr>
            </w:pPr>
          </w:p>
        </w:tc>
        <w:tc>
          <w:tcPr>
            <w:tcW w:w="434" w:type="pct"/>
            <w:vMerge w:val="continue"/>
            <w:vAlign w:val="center"/>
          </w:tcPr>
          <w:p w14:paraId="47E8D958">
            <w:pPr>
              <w:autoSpaceDE w:val="0"/>
              <w:autoSpaceDN w:val="0"/>
              <w:adjustRightInd w:val="0"/>
              <w:snapToGrid w:val="0"/>
              <w:jc w:val="center"/>
              <w:rPr>
                <w:rFonts w:ascii="Times New Roman"/>
                <w:sz w:val="21"/>
                <w:szCs w:val="21"/>
              </w:rPr>
            </w:pPr>
          </w:p>
        </w:tc>
      </w:tr>
      <w:tr w14:paraId="4330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508C420">
            <w:pPr>
              <w:autoSpaceDE w:val="0"/>
              <w:autoSpaceDN w:val="0"/>
              <w:adjustRightInd w:val="0"/>
              <w:snapToGrid w:val="0"/>
              <w:jc w:val="center"/>
              <w:rPr>
                <w:rFonts w:ascii="Times New Roman"/>
                <w:sz w:val="21"/>
                <w:szCs w:val="21"/>
              </w:rPr>
            </w:pPr>
          </w:p>
        </w:tc>
        <w:tc>
          <w:tcPr>
            <w:tcW w:w="697" w:type="pct"/>
            <w:vAlign w:val="center"/>
          </w:tcPr>
          <w:p w14:paraId="599BA678">
            <w:pPr>
              <w:autoSpaceDE w:val="0"/>
              <w:autoSpaceDN w:val="0"/>
              <w:adjustRightInd w:val="0"/>
              <w:snapToGrid w:val="0"/>
              <w:jc w:val="center"/>
              <w:rPr>
                <w:rFonts w:ascii="Times New Roman"/>
                <w:sz w:val="21"/>
                <w:szCs w:val="21"/>
              </w:rPr>
            </w:pPr>
            <w:r>
              <w:rPr>
                <w:rFonts w:ascii="Times New Roman"/>
                <w:sz w:val="21"/>
                <w:szCs w:val="21"/>
              </w:rPr>
              <w:t>摩擦压力机</w:t>
            </w:r>
          </w:p>
        </w:tc>
        <w:tc>
          <w:tcPr>
            <w:tcW w:w="346" w:type="pct"/>
            <w:vAlign w:val="center"/>
          </w:tcPr>
          <w:p w14:paraId="4EED8B3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6F4E5A2">
            <w:pPr>
              <w:autoSpaceDE w:val="0"/>
              <w:autoSpaceDN w:val="0"/>
              <w:adjustRightInd w:val="0"/>
              <w:snapToGrid w:val="0"/>
              <w:jc w:val="center"/>
              <w:rPr>
                <w:rFonts w:ascii="Times New Roman"/>
                <w:sz w:val="21"/>
                <w:szCs w:val="21"/>
              </w:rPr>
            </w:pPr>
          </w:p>
        </w:tc>
        <w:tc>
          <w:tcPr>
            <w:tcW w:w="208" w:type="pct"/>
            <w:vAlign w:val="center"/>
          </w:tcPr>
          <w:p w14:paraId="24248724">
            <w:pPr>
              <w:autoSpaceDE w:val="0"/>
              <w:autoSpaceDN w:val="0"/>
              <w:adjustRightInd w:val="0"/>
              <w:snapToGrid w:val="0"/>
              <w:jc w:val="center"/>
              <w:rPr>
                <w:rFonts w:ascii="Times New Roman"/>
                <w:sz w:val="21"/>
                <w:szCs w:val="21"/>
              </w:rPr>
            </w:pPr>
            <w:r>
              <w:rPr>
                <w:rFonts w:ascii="Times New Roman"/>
                <w:sz w:val="21"/>
                <w:szCs w:val="21"/>
              </w:rPr>
              <w:t>505</w:t>
            </w:r>
          </w:p>
        </w:tc>
        <w:tc>
          <w:tcPr>
            <w:tcW w:w="201" w:type="pct"/>
            <w:vAlign w:val="center"/>
          </w:tcPr>
          <w:p w14:paraId="7F982973">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6495FB00">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6D040021">
            <w:pPr>
              <w:autoSpaceDE w:val="0"/>
              <w:autoSpaceDN w:val="0"/>
              <w:adjustRightInd w:val="0"/>
              <w:snapToGrid w:val="0"/>
              <w:jc w:val="center"/>
              <w:rPr>
                <w:rFonts w:ascii="Times New Roman"/>
                <w:sz w:val="21"/>
                <w:szCs w:val="21"/>
              </w:rPr>
            </w:pPr>
            <w:r>
              <w:rPr>
                <w:rFonts w:ascii="Times New Roman"/>
                <w:sz w:val="21"/>
                <w:szCs w:val="21"/>
              </w:rPr>
              <w:t>34.98</w:t>
            </w:r>
          </w:p>
        </w:tc>
        <w:tc>
          <w:tcPr>
            <w:tcW w:w="358" w:type="pct"/>
            <w:vAlign w:val="center"/>
          </w:tcPr>
          <w:p w14:paraId="3CB49959">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7F8E462C">
            <w:pPr>
              <w:autoSpaceDE w:val="0"/>
              <w:autoSpaceDN w:val="0"/>
              <w:adjustRightInd w:val="0"/>
              <w:snapToGrid w:val="0"/>
              <w:jc w:val="center"/>
              <w:rPr>
                <w:rFonts w:ascii="Times New Roman"/>
                <w:sz w:val="21"/>
                <w:szCs w:val="21"/>
              </w:rPr>
            </w:pPr>
          </w:p>
        </w:tc>
        <w:tc>
          <w:tcPr>
            <w:tcW w:w="551" w:type="pct"/>
            <w:vAlign w:val="center"/>
          </w:tcPr>
          <w:p w14:paraId="4805699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4F886FE">
            <w:pPr>
              <w:autoSpaceDE w:val="0"/>
              <w:autoSpaceDN w:val="0"/>
              <w:adjustRightInd w:val="0"/>
              <w:snapToGrid w:val="0"/>
              <w:jc w:val="center"/>
              <w:rPr>
                <w:rFonts w:ascii="Times New Roman"/>
                <w:sz w:val="21"/>
                <w:szCs w:val="21"/>
              </w:rPr>
            </w:pPr>
          </w:p>
        </w:tc>
        <w:tc>
          <w:tcPr>
            <w:tcW w:w="287" w:type="pct"/>
            <w:vMerge w:val="continue"/>
            <w:vAlign w:val="center"/>
          </w:tcPr>
          <w:p w14:paraId="2F28426E">
            <w:pPr>
              <w:autoSpaceDE w:val="0"/>
              <w:autoSpaceDN w:val="0"/>
              <w:adjustRightInd w:val="0"/>
              <w:snapToGrid w:val="0"/>
              <w:jc w:val="center"/>
              <w:rPr>
                <w:rFonts w:ascii="Times New Roman"/>
                <w:sz w:val="21"/>
                <w:szCs w:val="21"/>
              </w:rPr>
            </w:pPr>
          </w:p>
        </w:tc>
        <w:tc>
          <w:tcPr>
            <w:tcW w:w="434" w:type="pct"/>
            <w:vMerge w:val="continue"/>
            <w:vAlign w:val="center"/>
          </w:tcPr>
          <w:p w14:paraId="3B99148B">
            <w:pPr>
              <w:autoSpaceDE w:val="0"/>
              <w:autoSpaceDN w:val="0"/>
              <w:adjustRightInd w:val="0"/>
              <w:snapToGrid w:val="0"/>
              <w:jc w:val="center"/>
              <w:rPr>
                <w:rFonts w:ascii="Times New Roman"/>
                <w:sz w:val="21"/>
                <w:szCs w:val="21"/>
              </w:rPr>
            </w:pPr>
          </w:p>
        </w:tc>
      </w:tr>
      <w:tr w14:paraId="3CB8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074D839">
            <w:pPr>
              <w:autoSpaceDE w:val="0"/>
              <w:autoSpaceDN w:val="0"/>
              <w:adjustRightInd w:val="0"/>
              <w:snapToGrid w:val="0"/>
              <w:jc w:val="center"/>
              <w:rPr>
                <w:rFonts w:ascii="Times New Roman"/>
                <w:sz w:val="21"/>
                <w:szCs w:val="21"/>
              </w:rPr>
            </w:pPr>
          </w:p>
        </w:tc>
        <w:tc>
          <w:tcPr>
            <w:tcW w:w="697" w:type="pct"/>
            <w:vAlign w:val="center"/>
          </w:tcPr>
          <w:p w14:paraId="51CBE4F4">
            <w:pPr>
              <w:autoSpaceDE w:val="0"/>
              <w:autoSpaceDN w:val="0"/>
              <w:adjustRightInd w:val="0"/>
              <w:snapToGrid w:val="0"/>
              <w:jc w:val="center"/>
              <w:rPr>
                <w:rFonts w:ascii="Times New Roman"/>
                <w:sz w:val="21"/>
                <w:szCs w:val="21"/>
              </w:rPr>
            </w:pPr>
            <w:r>
              <w:rPr>
                <w:rFonts w:ascii="Times New Roman"/>
                <w:sz w:val="21"/>
                <w:szCs w:val="21"/>
              </w:rPr>
              <w:t>卷板机</w:t>
            </w:r>
          </w:p>
        </w:tc>
        <w:tc>
          <w:tcPr>
            <w:tcW w:w="346" w:type="pct"/>
            <w:vAlign w:val="center"/>
          </w:tcPr>
          <w:p w14:paraId="0A5E155B">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3861597">
            <w:pPr>
              <w:autoSpaceDE w:val="0"/>
              <w:autoSpaceDN w:val="0"/>
              <w:adjustRightInd w:val="0"/>
              <w:snapToGrid w:val="0"/>
              <w:jc w:val="center"/>
              <w:rPr>
                <w:rFonts w:ascii="Times New Roman"/>
                <w:sz w:val="21"/>
                <w:szCs w:val="21"/>
              </w:rPr>
            </w:pPr>
          </w:p>
        </w:tc>
        <w:tc>
          <w:tcPr>
            <w:tcW w:w="208" w:type="pct"/>
            <w:vAlign w:val="center"/>
          </w:tcPr>
          <w:p w14:paraId="25822269">
            <w:pPr>
              <w:autoSpaceDE w:val="0"/>
              <w:autoSpaceDN w:val="0"/>
              <w:adjustRightInd w:val="0"/>
              <w:snapToGrid w:val="0"/>
              <w:jc w:val="center"/>
              <w:rPr>
                <w:rFonts w:ascii="Times New Roman"/>
                <w:sz w:val="21"/>
                <w:szCs w:val="21"/>
              </w:rPr>
            </w:pPr>
            <w:r>
              <w:rPr>
                <w:rFonts w:ascii="Times New Roman"/>
                <w:sz w:val="21"/>
                <w:szCs w:val="21"/>
              </w:rPr>
              <w:t>500</w:t>
            </w:r>
          </w:p>
        </w:tc>
        <w:tc>
          <w:tcPr>
            <w:tcW w:w="201" w:type="pct"/>
            <w:vAlign w:val="center"/>
          </w:tcPr>
          <w:p w14:paraId="247795B1">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0A26AC6C">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76CD7CC6">
            <w:pPr>
              <w:autoSpaceDE w:val="0"/>
              <w:autoSpaceDN w:val="0"/>
              <w:adjustRightInd w:val="0"/>
              <w:snapToGrid w:val="0"/>
              <w:jc w:val="center"/>
              <w:rPr>
                <w:rFonts w:ascii="Times New Roman"/>
                <w:sz w:val="21"/>
                <w:szCs w:val="21"/>
              </w:rPr>
            </w:pPr>
            <w:r>
              <w:rPr>
                <w:rFonts w:ascii="Times New Roman"/>
                <w:sz w:val="21"/>
                <w:szCs w:val="21"/>
              </w:rPr>
              <w:t>39.98</w:t>
            </w:r>
          </w:p>
        </w:tc>
        <w:tc>
          <w:tcPr>
            <w:tcW w:w="358" w:type="pct"/>
            <w:vAlign w:val="center"/>
          </w:tcPr>
          <w:p w14:paraId="7C6D6C11">
            <w:pPr>
              <w:autoSpaceDE w:val="0"/>
              <w:autoSpaceDN w:val="0"/>
              <w:adjustRightInd w:val="0"/>
              <w:snapToGrid w:val="0"/>
              <w:jc w:val="center"/>
              <w:rPr>
                <w:rFonts w:ascii="Times New Roman"/>
                <w:sz w:val="21"/>
                <w:szCs w:val="21"/>
              </w:rPr>
            </w:pPr>
            <w:r>
              <w:rPr>
                <w:rFonts w:ascii="Times New Roman"/>
                <w:sz w:val="21"/>
                <w:szCs w:val="21"/>
              </w:rPr>
              <w:t>48</w:t>
            </w:r>
          </w:p>
        </w:tc>
        <w:tc>
          <w:tcPr>
            <w:tcW w:w="316" w:type="pct"/>
            <w:vMerge w:val="continue"/>
            <w:vAlign w:val="center"/>
          </w:tcPr>
          <w:p w14:paraId="7D68779D">
            <w:pPr>
              <w:autoSpaceDE w:val="0"/>
              <w:autoSpaceDN w:val="0"/>
              <w:adjustRightInd w:val="0"/>
              <w:snapToGrid w:val="0"/>
              <w:jc w:val="center"/>
              <w:rPr>
                <w:rFonts w:ascii="Times New Roman"/>
                <w:sz w:val="21"/>
                <w:szCs w:val="21"/>
              </w:rPr>
            </w:pPr>
          </w:p>
        </w:tc>
        <w:tc>
          <w:tcPr>
            <w:tcW w:w="551" w:type="pct"/>
            <w:vAlign w:val="center"/>
          </w:tcPr>
          <w:p w14:paraId="3134712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926DA07">
            <w:pPr>
              <w:autoSpaceDE w:val="0"/>
              <w:autoSpaceDN w:val="0"/>
              <w:adjustRightInd w:val="0"/>
              <w:snapToGrid w:val="0"/>
              <w:jc w:val="center"/>
              <w:rPr>
                <w:rFonts w:ascii="Times New Roman"/>
                <w:sz w:val="21"/>
                <w:szCs w:val="21"/>
              </w:rPr>
            </w:pPr>
          </w:p>
        </w:tc>
        <w:tc>
          <w:tcPr>
            <w:tcW w:w="287" w:type="pct"/>
            <w:vMerge w:val="continue"/>
            <w:vAlign w:val="center"/>
          </w:tcPr>
          <w:p w14:paraId="2EE8CF69">
            <w:pPr>
              <w:autoSpaceDE w:val="0"/>
              <w:autoSpaceDN w:val="0"/>
              <w:adjustRightInd w:val="0"/>
              <w:snapToGrid w:val="0"/>
              <w:jc w:val="center"/>
              <w:rPr>
                <w:rFonts w:ascii="Times New Roman"/>
                <w:sz w:val="21"/>
                <w:szCs w:val="21"/>
              </w:rPr>
            </w:pPr>
          </w:p>
        </w:tc>
        <w:tc>
          <w:tcPr>
            <w:tcW w:w="434" w:type="pct"/>
            <w:vMerge w:val="continue"/>
            <w:vAlign w:val="center"/>
          </w:tcPr>
          <w:p w14:paraId="3CEFB607">
            <w:pPr>
              <w:autoSpaceDE w:val="0"/>
              <w:autoSpaceDN w:val="0"/>
              <w:adjustRightInd w:val="0"/>
              <w:snapToGrid w:val="0"/>
              <w:jc w:val="center"/>
              <w:rPr>
                <w:rFonts w:ascii="Times New Roman"/>
                <w:sz w:val="21"/>
                <w:szCs w:val="21"/>
              </w:rPr>
            </w:pPr>
          </w:p>
        </w:tc>
      </w:tr>
      <w:tr w14:paraId="3C68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576592F">
            <w:pPr>
              <w:autoSpaceDE w:val="0"/>
              <w:autoSpaceDN w:val="0"/>
              <w:adjustRightInd w:val="0"/>
              <w:snapToGrid w:val="0"/>
              <w:jc w:val="center"/>
              <w:rPr>
                <w:rFonts w:ascii="Times New Roman"/>
                <w:sz w:val="21"/>
                <w:szCs w:val="21"/>
              </w:rPr>
            </w:pPr>
          </w:p>
        </w:tc>
        <w:tc>
          <w:tcPr>
            <w:tcW w:w="697" w:type="pct"/>
            <w:vAlign w:val="center"/>
          </w:tcPr>
          <w:p w14:paraId="2C24074D">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1A6D3B5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DB896BE">
            <w:pPr>
              <w:autoSpaceDE w:val="0"/>
              <w:autoSpaceDN w:val="0"/>
              <w:adjustRightInd w:val="0"/>
              <w:snapToGrid w:val="0"/>
              <w:jc w:val="center"/>
              <w:rPr>
                <w:rFonts w:ascii="Times New Roman"/>
                <w:sz w:val="21"/>
                <w:szCs w:val="21"/>
              </w:rPr>
            </w:pPr>
          </w:p>
        </w:tc>
        <w:tc>
          <w:tcPr>
            <w:tcW w:w="208" w:type="pct"/>
            <w:vAlign w:val="center"/>
          </w:tcPr>
          <w:p w14:paraId="5140179E">
            <w:pPr>
              <w:autoSpaceDE w:val="0"/>
              <w:autoSpaceDN w:val="0"/>
              <w:adjustRightInd w:val="0"/>
              <w:snapToGrid w:val="0"/>
              <w:jc w:val="center"/>
              <w:rPr>
                <w:rFonts w:ascii="Times New Roman"/>
                <w:sz w:val="21"/>
                <w:szCs w:val="21"/>
              </w:rPr>
            </w:pPr>
            <w:r>
              <w:rPr>
                <w:rFonts w:ascii="Times New Roman"/>
                <w:sz w:val="21"/>
                <w:szCs w:val="21"/>
              </w:rPr>
              <w:t>475</w:t>
            </w:r>
          </w:p>
        </w:tc>
        <w:tc>
          <w:tcPr>
            <w:tcW w:w="201" w:type="pct"/>
            <w:vAlign w:val="center"/>
          </w:tcPr>
          <w:p w14:paraId="4DA9089D">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24C7F3E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B852F4D">
            <w:pPr>
              <w:autoSpaceDE w:val="0"/>
              <w:autoSpaceDN w:val="0"/>
              <w:adjustRightInd w:val="0"/>
              <w:snapToGrid w:val="0"/>
              <w:jc w:val="center"/>
              <w:rPr>
                <w:rFonts w:ascii="Times New Roman"/>
                <w:sz w:val="21"/>
                <w:szCs w:val="21"/>
              </w:rPr>
            </w:pPr>
            <w:r>
              <w:rPr>
                <w:rFonts w:ascii="Times New Roman"/>
                <w:sz w:val="21"/>
                <w:szCs w:val="21"/>
              </w:rPr>
              <w:t>64.98</w:t>
            </w:r>
          </w:p>
        </w:tc>
        <w:tc>
          <w:tcPr>
            <w:tcW w:w="358" w:type="pct"/>
            <w:vAlign w:val="center"/>
          </w:tcPr>
          <w:p w14:paraId="46E21D72">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35E6BCF6">
            <w:pPr>
              <w:autoSpaceDE w:val="0"/>
              <w:autoSpaceDN w:val="0"/>
              <w:adjustRightInd w:val="0"/>
              <w:snapToGrid w:val="0"/>
              <w:jc w:val="center"/>
              <w:rPr>
                <w:rFonts w:ascii="Times New Roman"/>
                <w:sz w:val="21"/>
                <w:szCs w:val="21"/>
              </w:rPr>
            </w:pPr>
          </w:p>
        </w:tc>
        <w:tc>
          <w:tcPr>
            <w:tcW w:w="551" w:type="pct"/>
            <w:vAlign w:val="center"/>
          </w:tcPr>
          <w:p w14:paraId="3380C4C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6188DE0">
            <w:pPr>
              <w:autoSpaceDE w:val="0"/>
              <w:autoSpaceDN w:val="0"/>
              <w:adjustRightInd w:val="0"/>
              <w:snapToGrid w:val="0"/>
              <w:jc w:val="center"/>
              <w:rPr>
                <w:rFonts w:ascii="Times New Roman"/>
                <w:sz w:val="21"/>
                <w:szCs w:val="21"/>
              </w:rPr>
            </w:pPr>
          </w:p>
        </w:tc>
        <w:tc>
          <w:tcPr>
            <w:tcW w:w="287" w:type="pct"/>
            <w:vMerge w:val="continue"/>
            <w:vAlign w:val="center"/>
          </w:tcPr>
          <w:p w14:paraId="0CE42A8F">
            <w:pPr>
              <w:autoSpaceDE w:val="0"/>
              <w:autoSpaceDN w:val="0"/>
              <w:adjustRightInd w:val="0"/>
              <w:snapToGrid w:val="0"/>
              <w:jc w:val="center"/>
              <w:rPr>
                <w:rFonts w:ascii="Times New Roman"/>
                <w:sz w:val="21"/>
                <w:szCs w:val="21"/>
              </w:rPr>
            </w:pPr>
          </w:p>
        </w:tc>
        <w:tc>
          <w:tcPr>
            <w:tcW w:w="434" w:type="pct"/>
            <w:vMerge w:val="continue"/>
            <w:vAlign w:val="center"/>
          </w:tcPr>
          <w:p w14:paraId="5776DEBD">
            <w:pPr>
              <w:autoSpaceDE w:val="0"/>
              <w:autoSpaceDN w:val="0"/>
              <w:adjustRightInd w:val="0"/>
              <w:snapToGrid w:val="0"/>
              <w:jc w:val="center"/>
              <w:rPr>
                <w:rFonts w:ascii="Times New Roman"/>
                <w:sz w:val="21"/>
                <w:szCs w:val="21"/>
              </w:rPr>
            </w:pPr>
          </w:p>
        </w:tc>
      </w:tr>
      <w:tr w14:paraId="491B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7CE61B6">
            <w:pPr>
              <w:autoSpaceDE w:val="0"/>
              <w:autoSpaceDN w:val="0"/>
              <w:adjustRightInd w:val="0"/>
              <w:snapToGrid w:val="0"/>
              <w:jc w:val="center"/>
              <w:rPr>
                <w:rFonts w:ascii="Times New Roman"/>
                <w:sz w:val="21"/>
                <w:szCs w:val="21"/>
              </w:rPr>
            </w:pPr>
          </w:p>
        </w:tc>
        <w:tc>
          <w:tcPr>
            <w:tcW w:w="697" w:type="pct"/>
            <w:vAlign w:val="center"/>
          </w:tcPr>
          <w:p w14:paraId="3E644ABB">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678271E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E6A2A1A">
            <w:pPr>
              <w:autoSpaceDE w:val="0"/>
              <w:autoSpaceDN w:val="0"/>
              <w:adjustRightInd w:val="0"/>
              <w:snapToGrid w:val="0"/>
              <w:jc w:val="center"/>
              <w:rPr>
                <w:rFonts w:ascii="Times New Roman"/>
                <w:sz w:val="21"/>
                <w:szCs w:val="21"/>
              </w:rPr>
            </w:pPr>
          </w:p>
        </w:tc>
        <w:tc>
          <w:tcPr>
            <w:tcW w:w="208" w:type="pct"/>
            <w:vAlign w:val="center"/>
          </w:tcPr>
          <w:p w14:paraId="5FE2CF5F">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41417D80">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4E4C3550">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D88639F">
            <w:pPr>
              <w:autoSpaceDE w:val="0"/>
              <w:autoSpaceDN w:val="0"/>
              <w:adjustRightInd w:val="0"/>
              <w:snapToGrid w:val="0"/>
              <w:jc w:val="center"/>
              <w:rPr>
                <w:rFonts w:ascii="Times New Roman"/>
                <w:sz w:val="21"/>
                <w:szCs w:val="21"/>
              </w:rPr>
            </w:pPr>
            <w:r>
              <w:rPr>
                <w:rFonts w:ascii="Times New Roman"/>
                <w:sz w:val="21"/>
                <w:szCs w:val="21"/>
              </w:rPr>
              <w:t>59.98</w:t>
            </w:r>
          </w:p>
        </w:tc>
        <w:tc>
          <w:tcPr>
            <w:tcW w:w="358" w:type="pct"/>
            <w:vAlign w:val="center"/>
          </w:tcPr>
          <w:p w14:paraId="04D4C949">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54B73A5B">
            <w:pPr>
              <w:autoSpaceDE w:val="0"/>
              <w:autoSpaceDN w:val="0"/>
              <w:adjustRightInd w:val="0"/>
              <w:snapToGrid w:val="0"/>
              <w:jc w:val="center"/>
              <w:rPr>
                <w:rFonts w:ascii="Times New Roman"/>
                <w:sz w:val="21"/>
                <w:szCs w:val="21"/>
              </w:rPr>
            </w:pPr>
          </w:p>
        </w:tc>
        <w:tc>
          <w:tcPr>
            <w:tcW w:w="551" w:type="pct"/>
            <w:vAlign w:val="center"/>
          </w:tcPr>
          <w:p w14:paraId="059468E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15D2B29">
            <w:pPr>
              <w:autoSpaceDE w:val="0"/>
              <w:autoSpaceDN w:val="0"/>
              <w:adjustRightInd w:val="0"/>
              <w:snapToGrid w:val="0"/>
              <w:jc w:val="center"/>
              <w:rPr>
                <w:rFonts w:ascii="Times New Roman"/>
                <w:sz w:val="21"/>
                <w:szCs w:val="21"/>
              </w:rPr>
            </w:pPr>
          </w:p>
        </w:tc>
        <w:tc>
          <w:tcPr>
            <w:tcW w:w="287" w:type="pct"/>
            <w:vMerge w:val="continue"/>
            <w:vAlign w:val="center"/>
          </w:tcPr>
          <w:p w14:paraId="0BB23A96">
            <w:pPr>
              <w:autoSpaceDE w:val="0"/>
              <w:autoSpaceDN w:val="0"/>
              <w:adjustRightInd w:val="0"/>
              <w:snapToGrid w:val="0"/>
              <w:jc w:val="center"/>
              <w:rPr>
                <w:rFonts w:ascii="Times New Roman"/>
                <w:sz w:val="21"/>
                <w:szCs w:val="21"/>
              </w:rPr>
            </w:pPr>
          </w:p>
        </w:tc>
        <w:tc>
          <w:tcPr>
            <w:tcW w:w="434" w:type="pct"/>
            <w:vMerge w:val="continue"/>
            <w:vAlign w:val="center"/>
          </w:tcPr>
          <w:p w14:paraId="192CBFBE">
            <w:pPr>
              <w:autoSpaceDE w:val="0"/>
              <w:autoSpaceDN w:val="0"/>
              <w:adjustRightInd w:val="0"/>
              <w:snapToGrid w:val="0"/>
              <w:jc w:val="center"/>
              <w:rPr>
                <w:rFonts w:ascii="Times New Roman"/>
                <w:sz w:val="21"/>
                <w:szCs w:val="21"/>
              </w:rPr>
            </w:pPr>
          </w:p>
        </w:tc>
      </w:tr>
      <w:tr w14:paraId="44E7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EED0E9">
            <w:pPr>
              <w:autoSpaceDE w:val="0"/>
              <w:autoSpaceDN w:val="0"/>
              <w:adjustRightInd w:val="0"/>
              <w:snapToGrid w:val="0"/>
              <w:jc w:val="center"/>
              <w:rPr>
                <w:rFonts w:ascii="Times New Roman"/>
                <w:sz w:val="21"/>
                <w:szCs w:val="21"/>
              </w:rPr>
            </w:pPr>
          </w:p>
        </w:tc>
        <w:tc>
          <w:tcPr>
            <w:tcW w:w="697" w:type="pct"/>
            <w:vAlign w:val="center"/>
          </w:tcPr>
          <w:p w14:paraId="11848126">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2F57F857">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4ED6C7A">
            <w:pPr>
              <w:autoSpaceDE w:val="0"/>
              <w:autoSpaceDN w:val="0"/>
              <w:adjustRightInd w:val="0"/>
              <w:snapToGrid w:val="0"/>
              <w:jc w:val="center"/>
              <w:rPr>
                <w:rFonts w:ascii="Times New Roman"/>
                <w:sz w:val="21"/>
                <w:szCs w:val="21"/>
              </w:rPr>
            </w:pPr>
          </w:p>
        </w:tc>
        <w:tc>
          <w:tcPr>
            <w:tcW w:w="208" w:type="pct"/>
            <w:vAlign w:val="center"/>
          </w:tcPr>
          <w:p w14:paraId="247972C3">
            <w:pPr>
              <w:autoSpaceDE w:val="0"/>
              <w:autoSpaceDN w:val="0"/>
              <w:adjustRightInd w:val="0"/>
              <w:snapToGrid w:val="0"/>
              <w:jc w:val="center"/>
              <w:rPr>
                <w:rFonts w:ascii="Times New Roman"/>
                <w:sz w:val="21"/>
                <w:szCs w:val="21"/>
              </w:rPr>
            </w:pPr>
            <w:r>
              <w:rPr>
                <w:rFonts w:ascii="Times New Roman"/>
                <w:sz w:val="21"/>
                <w:szCs w:val="21"/>
              </w:rPr>
              <w:t>485</w:t>
            </w:r>
          </w:p>
        </w:tc>
        <w:tc>
          <w:tcPr>
            <w:tcW w:w="201" w:type="pct"/>
            <w:vAlign w:val="center"/>
          </w:tcPr>
          <w:p w14:paraId="01EAD2C6">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4DF052D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2DB0099">
            <w:pPr>
              <w:autoSpaceDE w:val="0"/>
              <w:autoSpaceDN w:val="0"/>
              <w:adjustRightInd w:val="0"/>
              <w:snapToGrid w:val="0"/>
              <w:jc w:val="center"/>
              <w:rPr>
                <w:rFonts w:ascii="Times New Roman"/>
                <w:sz w:val="21"/>
                <w:szCs w:val="21"/>
              </w:rPr>
            </w:pPr>
            <w:r>
              <w:rPr>
                <w:rFonts w:ascii="Times New Roman"/>
                <w:sz w:val="21"/>
                <w:szCs w:val="21"/>
              </w:rPr>
              <w:t>54.98</w:t>
            </w:r>
          </w:p>
        </w:tc>
        <w:tc>
          <w:tcPr>
            <w:tcW w:w="358" w:type="pct"/>
            <w:vAlign w:val="center"/>
          </w:tcPr>
          <w:p w14:paraId="5B79003E">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6047F2EF">
            <w:pPr>
              <w:autoSpaceDE w:val="0"/>
              <w:autoSpaceDN w:val="0"/>
              <w:adjustRightInd w:val="0"/>
              <w:snapToGrid w:val="0"/>
              <w:jc w:val="center"/>
              <w:rPr>
                <w:rFonts w:ascii="Times New Roman"/>
                <w:sz w:val="21"/>
                <w:szCs w:val="21"/>
              </w:rPr>
            </w:pPr>
          </w:p>
        </w:tc>
        <w:tc>
          <w:tcPr>
            <w:tcW w:w="551" w:type="pct"/>
            <w:vAlign w:val="center"/>
          </w:tcPr>
          <w:p w14:paraId="16C8F8A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99D125A">
            <w:pPr>
              <w:autoSpaceDE w:val="0"/>
              <w:autoSpaceDN w:val="0"/>
              <w:adjustRightInd w:val="0"/>
              <w:snapToGrid w:val="0"/>
              <w:jc w:val="center"/>
              <w:rPr>
                <w:rFonts w:ascii="Times New Roman"/>
                <w:sz w:val="21"/>
                <w:szCs w:val="21"/>
              </w:rPr>
            </w:pPr>
          </w:p>
        </w:tc>
        <w:tc>
          <w:tcPr>
            <w:tcW w:w="287" w:type="pct"/>
            <w:vMerge w:val="continue"/>
            <w:vAlign w:val="center"/>
          </w:tcPr>
          <w:p w14:paraId="0C0C723F">
            <w:pPr>
              <w:autoSpaceDE w:val="0"/>
              <w:autoSpaceDN w:val="0"/>
              <w:adjustRightInd w:val="0"/>
              <w:snapToGrid w:val="0"/>
              <w:jc w:val="center"/>
              <w:rPr>
                <w:rFonts w:ascii="Times New Roman"/>
                <w:sz w:val="21"/>
                <w:szCs w:val="21"/>
              </w:rPr>
            </w:pPr>
          </w:p>
        </w:tc>
        <w:tc>
          <w:tcPr>
            <w:tcW w:w="434" w:type="pct"/>
            <w:vMerge w:val="continue"/>
            <w:vAlign w:val="center"/>
          </w:tcPr>
          <w:p w14:paraId="48977A3E">
            <w:pPr>
              <w:autoSpaceDE w:val="0"/>
              <w:autoSpaceDN w:val="0"/>
              <w:adjustRightInd w:val="0"/>
              <w:snapToGrid w:val="0"/>
              <w:jc w:val="center"/>
              <w:rPr>
                <w:rFonts w:ascii="Times New Roman"/>
                <w:sz w:val="21"/>
                <w:szCs w:val="21"/>
              </w:rPr>
            </w:pPr>
          </w:p>
        </w:tc>
      </w:tr>
      <w:tr w14:paraId="0DBD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D653D06">
            <w:pPr>
              <w:autoSpaceDE w:val="0"/>
              <w:autoSpaceDN w:val="0"/>
              <w:adjustRightInd w:val="0"/>
              <w:snapToGrid w:val="0"/>
              <w:jc w:val="center"/>
              <w:rPr>
                <w:rFonts w:ascii="Times New Roman"/>
                <w:sz w:val="21"/>
                <w:szCs w:val="21"/>
              </w:rPr>
            </w:pPr>
          </w:p>
        </w:tc>
        <w:tc>
          <w:tcPr>
            <w:tcW w:w="697" w:type="pct"/>
            <w:vAlign w:val="center"/>
          </w:tcPr>
          <w:p w14:paraId="35D700FF">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6D14E08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C82AE59">
            <w:pPr>
              <w:autoSpaceDE w:val="0"/>
              <w:autoSpaceDN w:val="0"/>
              <w:adjustRightInd w:val="0"/>
              <w:snapToGrid w:val="0"/>
              <w:jc w:val="center"/>
              <w:rPr>
                <w:rFonts w:ascii="Times New Roman"/>
                <w:sz w:val="21"/>
                <w:szCs w:val="21"/>
              </w:rPr>
            </w:pPr>
          </w:p>
        </w:tc>
        <w:tc>
          <w:tcPr>
            <w:tcW w:w="208" w:type="pct"/>
            <w:vAlign w:val="center"/>
          </w:tcPr>
          <w:p w14:paraId="69FD1907">
            <w:pPr>
              <w:autoSpaceDE w:val="0"/>
              <w:autoSpaceDN w:val="0"/>
              <w:adjustRightInd w:val="0"/>
              <w:snapToGrid w:val="0"/>
              <w:jc w:val="center"/>
              <w:rPr>
                <w:rFonts w:ascii="Times New Roman"/>
                <w:sz w:val="21"/>
                <w:szCs w:val="21"/>
              </w:rPr>
            </w:pPr>
            <w:r>
              <w:rPr>
                <w:rFonts w:ascii="Times New Roman"/>
                <w:sz w:val="21"/>
                <w:szCs w:val="21"/>
              </w:rPr>
              <w:t>475</w:t>
            </w:r>
          </w:p>
        </w:tc>
        <w:tc>
          <w:tcPr>
            <w:tcW w:w="201" w:type="pct"/>
            <w:vAlign w:val="center"/>
          </w:tcPr>
          <w:p w14:paraId="685ECD6B">
            <w:pPr>
              <w:autoSpaceDE w:val="0"/>
              <w:autoSpaceDN w:val="0"/>
              <w:adjustRightInd w:val="0"/>
              <w:snapToGrid w:val="0"/>
              <w:jc w:val="center"/>
              <w:rPr>
                <w:rFonts w:ascii="Times New Roman"/>
                <w:sz w:val="21"/>
                <w:szCs w:val="21"/>
              </w:rPr>
            </w:pPr>
            <w:r>
              <w:rPr>
                <w:rFonts w:ascii="Times New Roman"/>
                <w:sz w:val="21"/>
                <w:szCs w:val="21"/>
              </w:rPr>
              <w:t>183</w:t>
            </w:r>
          </w:p>
        </w:tc>
        <w:tc>
          <w:tcPr>
            <w:tcW w:w="240" w:type="pct"/>
            <w:vAlign w:val="center"/>
          </w:tcPr>
          <w:p w14:paraId="2909AB3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C1343FA">
            <w:pPr>
              <w:autoSpaceDE w:val="0"/>
              <w:autoSpaceDN w:val="0"/>
              <w:adjustRightInd w:val="0"/>
              <w:snapToGrid w:val="0"/>
              <w:jc w:val="center"/>
              <w:rPr>
                <w:rFonts w:ascii="Times New Roman"/>
                <w:sz w:val="21"/>
                <w:szCs w:val="21"/>
              </w:rPr>
            </w:pPr>
            <w:r>
              <w:rPr>
                <w:rFonts w:ascii="Times New Roman"/>
                <w:sz w:val="21"/>
                <w:szCs w:val="21"/>
              </w:rPr>
              <w:t>64.98</w:t>
            </w:r>
          </w:p>
        </w:tc>
        <w:tc>
          <w:tcPr>
            <w:tcW w:w="358" w:type="pct"/>
            <w:vAlign w:val="center"/>
          </w:tcPr>
          <w:p w14:paraId="6C8B1EF9">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6D920F4E">
            <w:pPr>
              <w:autoSpaceDE w:val="0"/>
              <w:autoSpaceDN w:val="0"/>
              <w:adjustRightInd w:val="0"/>
              <w:snapToGrid w:val="0"/>
              <w:jc w:val="center"/>
              <w:rPr>
                <w:rFonts w:ascii="Times New Roman"/>
                <w:sz w:val="21"/>
                <w:szCs w:val="21"/>
              </w:rPr>
            </w:pPr>
          </w:p>
        </w:tc>
        <w:tc>
          <w:tcPr>
            <w:tcW w:w="551" w:type="pct"/>
            <w:vAlign w:val="center"/>
          </w:tcPr>
          <w:p w14:paraId="7BC7C00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CB89C6C">
            <w:pPr>
              <w:autoSpaceDE w:val="0"/>
              <w:autoSpaceDN w:val="0"/>
              <w:adjustRightInd w:val="0"/>
              <w:snapToGrid w:val="0"/>
              <w:jc w:val="center"/>
              <w:rPr>
                <w:rFonts w:ascii="Times New Roman"/>
                <w:sz w:val="21"/>
                <w:szCs w:val="21"/>
              </w:rPr>
            </w:pPr>
          </w:p>
        </w:tc>
        <w:tc>
          <w:tcPr>
            <w:tcW w:w="287" w:type="pct"/>
            <w:vMerge w:val="continue"/>
            <w:vAlign w:val="center"/>
          </w:tcPr>
          <w:p w14:paraId="2D9260E7">
            <w:pPr>
              <w:autoSpaceDE w:val="0"/>
              <w:autoSpaceDN w:val="0"/>
              <w:adjustRightInd w:val="0"/>
              <w:snapToGrid w:val="0"/>
              <w:jc w:val="center"/>
              <w:rPr>
                <w:rFonts w:ascii="Times New Roman"/>
                <w:sz w:val="21"/>
                <w:szCs w:val="21"/>
              </w:rPr>
            </w:pPr>
          </w:p>
        </w:tc>
        <w:tc>
          <w:tcPr>
            <w:tcW w:w="434" w:type="pct"/>
            <w:vMerge w:val="continue"/>
            <w:vAlign w:val="center"/>
          </w:tcPr>
          <w:p w14:paraId="4C6C8B19">
            <w:pPr>
              <w:autoSpaceDE w:val="0"/>
              <w:autoSpaceDN w:val="0"/>
              <w:adjustRightInd w:val="0"/>
              <w:snapToGrid w:val="0"/>
              <w:jc w:val="center"/>
              <w:rPr>
                <w:rFonts w:ascii="Times New Roman"/>
                <w:sz w:val="21"/>
                <w:szCs w:val="21"/>
              </w:rPr>
            </w:pPr>
          </w:p>
        </w:tc>
      </w:tr>
      <w:tr w14:paraId="17D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6153931">
            <w:pPr>
              <w:autoSpaceDE w:val="0"/>
              <w:autoSpaceDN w:val="0"/>
              <w:adjustRightInd w:val="0"/>
              <w:snapToGrid w:val="0"/>
              <w:jc w:val="center"/>
              <w:rPr>
                <w:rFonts w:ascii="Times New Roman"/>
                <w:sz w:val="21"/>
                <w:szCs w:val="21"/>
              </w:rPr>
            </w:pPr>
          </w:p>
        </w:tc>
        <w:tc>
          <w:tcPr>
            <w:tcW w:w="697" w:type="pct"/>
            <w:vAlign w:val="center"/>
          </w:tcPr>
          <w:p w14:paraId="327B653C">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63C5B3B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07CF65A">
            <w:pPr>
              <w:autoSpaceDE w:val="0"/>
              <w:autoSpaceDN w:val="0"/>
              <w:adjustRightInd w:val="0"/>
              <w:snapToGrid w:val="0"/>
              <w:jc w:val="center"/>
              <w:rPr>
                <w:rFonts w:ascii="Times New Roman"/>
                <w:sz w:val="21"/>
                <w:szCs w:val="21"/>
              </w:rPr>
            </w:pPr>
          </w:p>
        </w:tc>
        <w:tc>
          <w:tcPr>
            <w:tcW w:w="208" w:type="pct"/>
            <w:vAlign w:val="center"/>
          </w:tcPr>
          <w:p w14:paraId="34BE0F69">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27BA7841">
            <w:pPr>
              <w:autoSpaceDE w:val="0"/>
              <w:autoSpaceDN w:val="0"/>
              <w:adjustRightInd w:val="0"/>
              <w:snapToGrid w:val="0"/>
              <w:jc w:val="center"/>
              <w:rPr>
                <w:rFonts w:ascii="Times New Roman"/>
                <w:sz w:val="21"/>
                <w:szCs w:val="21"/>
              </w:rPr>
            </w:pPr>
            <w:r>
              <w:rPr>
                <w:rFonts w:ascii="Times New Roman"/>
                <w:sz w:val="21"/>
                <w:szCs w:val="21"/>
              </w:rPr>
              <w:t>183</w:t>
            </w:r>
          </w:p>
        </w:tc>
        <w:tc>
          <w:tcPr>
            <w:tcW w:w="240" w:type="pct"/>
            <w:vAlign w:val="center"/>
          </w:tcPr>
          <w:p w14:paraId="42BDC4AD">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B16C427">
            <w:pPr>
              <w:autoSpaceDE w:val="0"/>
              <w:autoSpaceDN w:val="0"/>
              <w:adjustRightInd w:val="0"/>
              <w:snapToGrid w:val="0"/>
              <w:jc w:val="center"/>
              <w:rPr>
                <w:rFonts w:ascii="Times New Roman"/>
                <w:sz w:val="21"/>
                <w:szCs w:val="21"/>
              </w:rPr>
            </w:pPr>
            <w:r>
              <w:rPr>
                <w:rFonts w:ascii="Times New Roman"/>
                <w:sz w:val="21"/>
                <w:szCs w:val="21"/>
              </w:rPr>
              <w:t>59.98</w:t>
            </w:r>
          </w:p>
        </w:tc>
        <w:tc>
          <w:tcPr>
            <w:tcW w:w="358" w:type="pct"/>
            <w:vAlign w:val="center"/>
          </w:tcPr>
          <w:p w14:paraId="03299164">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47F50547">
            <w:pPr>
              <w:autoSpaceDE w:val="0"/>
              <w:autoSpaceDN w:val="0"/>
              <w:adjustRightInd w:val="0"/>
              <w:snapToGrid w:val="0"/>
              <w:jc w:val="center"/>
              <w:rPr>
                <w:rFonts w:ascii="Times New Roman"/>
                <w:sz w:val="21"/>
                <w:szCs w:val="21"/>
              </w:rPr>
            </w:pPr>
          </w:p>
        </w:tc>
        <w:tc>
          <w:tcPr>
            <w:tcW w:w="551" w:type="pct"/>
            <w:vAlign w:val="center"/>
          </w:tcPr>
          <w:p w14:paraId="5F3135A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FDF3649">
            <w:pPr>
              <w:autoSpaceDE w:val="0"/>
              <w:autoSpaceDN w:val="0"/>
              <w:adjustRightInd w:val="0"/>
              <w:snapToGrid w:val="0"/>
              <w:jc w:val="center"/>
              <w:rPr>
                <w:rFonts w:ascii="Times New Roman"/>
                <w:sz w:val="21"/>
                <w:szCs w:val="21"/>
              </w:rPr>
            </w:pPr>
          </w:p>
        </w:tc>
        <w:tc>
          <w:tcPr>
            <w:tcW w:w="287" w:type="pct"/>
            <w:vMerge w:val="continue"/>
            <w:vAlign w:val="center"/>
          </w:tcPr>
          <w:p w14:paraId="7DD91274">
            <w:pPr>
              <w:autoSpaceDE w:val="0"/>
              <w:autoSpaceDN w:val="0"/>
              <w:adjustRightInd w:val="0"/>
              <w:snapToGrid w:val="0"/>
              <w:jc w:val="center"/>
              <w:rPr>
                <w:rFonts w:ascii="Times New Roman"/>
                <w:sz w:val="21"/>
                <w:szCs w:val="21"/>
              </w:rPr>
            </w:pPr>
          </w:p>
        </w:tc>
        <w:tc>
          <w:tcPr>
            <w:tcW w:w="434" w:type="pct"/>
            <w:vMerge w:val="continue"/>
            <w:vAlign w:val="center"/>
          </w:tcPr>
          <w:p w14:paraId="4D3697E9">
            <w:pPr>
              <w:autoSpaceDE w:val="0"/>
              <w:autoSpaceDN w:val="0"/>
              <w:adjustRightInd w:val="0"/>
              <w:snapToGrid w:val="0"/>
              <w:jc w:val="center"/>
              <w:rPr>
                <w:rFonts w:ascii="Times New Roman"/>
                <w:sz w:val="21"/>
                <w:szCs w:val="21"/>
              </w:rPr>
            </w:pPr>
          </w:p>
        </w:tc>
      </w:tr>
      <w:tr w14:paraId="1409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50B5E19">
            <w:pPr>
              <w:autoSpaceDE w:val="0"/>
              <w:autoSpaceDN w:val="0"/>
              <w:adjustRightInd w:val="0"/>
              <w:snapToGrid w:val="0"/>
              <w:jc w:val="center"/>
              <w:rPr>
                <w:rFonts w:ascii="Times New Roman"/>
                <w:sz w:val="21"/>
                <w:szCs w:val="21"/>
              </w:rPr>
            </w:pPr>
          </w:p>
        </w:tc>
        <w:tc>
          <w:tcPr>
            <w:tcW w:w="697" w:type="pct"/>
            <w:vAlign w:val="center"/>
          </w:tcPr>
          <w:p w14:paraId="40176E82">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5D97ADB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9E901CA">
            <w:pPr>
              <w:autoSpaceDE w:val="0"/>
              <w:autoSpaceDN w:val="0"/>
              <w:adjustRightInd w:val="0"/>
              <w:snapToGrid w:val="0"/>
              <w:jc w:val="center"/>
              <w:rPr>
                <w:rFonts w:ascii="Times New Roman"/>
                <w:sz w:val="21"/>
                <w:szCs w:val="21"/>
              </w:rPr>
            </w:pPr>
          </w:p>
        </w:tc>
        <w:tc>
          <w:tcPr>
            <w:tcW w:w="208" w:type="pct"/>
            <w:vAlign w:val="center"/>
          </w:tcPr>
          <w:p w14:paraId="0ACABF3E">
            <w:pPr>
              <w:autoSpaceDE w:val="0"/>
              <w:autoSpaceDN w:val="0"/>
              <w:adjustRightInd w:val="0"/>
              <w:snapToGrid w:val="0"/>
              <w:jc w:val="center"/>
              <w:rPr>
                <w:rFonts w:ascii="Times New Roman"/>
                <w:sz w:val="21"/>
                <w:szCs w:val="21"/>
              </w:rPr>
            </w:pPr>
            <w:r>
              <w:rPr>
                <w:rFonts w:ascii="Times New Roman"/>
                <w:sz w:val="21"/>
                <w:szCs w:val="21"/>
              </w:rPr>
              <w:t>485</w:t>
            </w:r>
          </w:p>
        </w:tc>
        <w:tc>
          <w:tcPr>
            <w:tcW w:w="201" w:type="pct"/>
            <w:vAlign w:val="center"/>
          </w:tcPr>
          <w:p w14:paraId="334FA463">
            <w:pPr>
              <w:autoSpaceDE w:val="0"/>
              <w:autoSpaceDN w:val="0"/>
              <w:adjustRightInd w:val="0"/>
              <w:snapToGrid w:val="0"/>
              <w:jc w:val="center"/>
              <w:rPr>
                <w:rFonts w:ascii="Times New Roman"/>
                <w:sz w:val="21"/>
                <w:szCs w:val="21"/>
              </w:rPr>
            </w:pPr>
            <w:r>
              <w:rPr>
                <w:rFonts w:ascii="Times New Roman"/>
                <w:sz w:val="21"/>
                <w:szCs w:val="21"/>
              </w:rPr>
              <w:t>183</w:t>
            </w:r>
          </w:p>
        </w:tc>
        <w:tc>
          <w:tcPr>
            <w:tcW w:w="240" w:type="pct"/>
            <w:vAlign w:val="center"/>
          </w:tcPr>
          <w:p w14:paraId="0F2FA41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9CCB16E">
            <w:pPr>
              <w:autoSpaceDE w:val="0"/>
              <w:autoSpaceDN w:val="0"/>
              <w:adjustRightInd w:val="0"/>
              <w:snapToGrid w:val="0"/>
              <w:jc w:val="center"/>
              <w:rPr>
                <w:rFonts w:ascii="Times New Roman"/>
                <w:sz w:val="21"/>
                <w:szCs w:val="21"/>
              </w:rPr>
            </w:pPr>
            <w:r>
              <w:rPr>
                <w:rFonts w:ascii="Times New Roman"/>
                <w:sz w:val="21"/>
                <w:szCs w:val="21"/>
              </w:rPr>
              <w:t>54.98</w:t>
            </w:r>
          </w:p>
        </w:tc>
        <w:tc>
          <w:tcPr>
            <w:tcW w:w="358" w:type="pct"/>
            <w:vAlign w:val="center"/>
          </w:tcPr>
          <w:p w14:paraId="3A61980C">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29A037AA">
            <w:pPr>
              <w:autoSpaceDE w:val="0"/>
              <w:autoSpaceDN w:val="0"/>
              <w:adjustRightInd w:val="0"/>
              <w:snapToGrid w:val="0"/>
              <w:jc w:val="center"/>
              <w:rPr>
                <w:rFonts w:ascii="Times New Roman"/>
                <w:sz w:val="21"/>
                <w:szCs w:val="21"/>
              </w:rPr>
            </w:pPr>
          </w:p>
        </w:tc>
        <w:tc>
          <w:tcPr>
            <w:tcW w:w="551" w:type="pct"/>
            <w:vAlign w:val="center"/>
          </w:tcPr>
          <w:p w14:paraId="2CDD9E9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583D35B">
            <w:pPr>
              <w:autoSpaceDE w:val="0"/>
              <w:autoSpaceDN w:val="0"/>
              <w:adjustRightInd w:val="0"/>
              <w:snapToGrid w:val="0"/>
              <w:jc w:val="center"/>
              <w:rPr>
                <w:rFonts w:ascii="Times New Roman"/>
                <w:sz w:val="21"/>
                <w:szCs w:val="21"/>
              </w:rPr>
            </w:pPr>
          </w:p>
        </w:tc>
        <w:tc>
          <w:tcPr>
            <w:tcW w:w="287" w:type="pct"/>
            <w:vMerge w:val="continue"/>
            <w:vAlign w:val="center"/>
          </w:tcPr>
          <w:p w14:paraId="7D08B174">
            <w:pPr>
              <w:autoSpaceDE w:val="0"/>
              <w:autoSpaceDN w:val="0"/>
              <w:adjustRightInd w:val="0"/>
              <w:snapToGrid w:val="0"/>
              <w:jc w:val="center"/>
              <w:rPr>
                <w:rFonts w:ascii="Times New Roman"/>
                <w:sz w:val="21"/>
                <w:szCs w:val="21"/>
              </w:rPr>
            </w:pPr>
          </w:p>
        </w:tc>
        <w:tc>
          <w:tcPr>
            <w:tcW w:w="434" w:type="pct"/>
            <w:vMerge w:val="continue"/>
            <w:vAlign w:val="center"/>
          </w:tcPr>
          <w:p w14:paraId="08B88F0D">
            <w:pPr>
              <w:autoSpaceDE w:val="0"/>
              <w:autoSpaceDN w:val="0"/>
              <w:adjustRightInd w:val="0"/>
              <w:snapToGrid w:val="0"/>
              <w:jc w:val="center"/>
              <w:rPr>
                <w:rFonts w:ascii="Times New Roman"/>
                <w:sz w:val="21"/>
                <w:szCs w:val="21"/>
              </w:rPr>
            </w:pPr>
          </w:p>
        </w:tc>
      </w:tr>
      <w:tr w14:paraId="5BA5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391AACD">
            <w:pPr>
              <w:autoSpaceDE w:val="0"/>
              <w:autoSpaceDN w:val="0"/>
              <w:adjustRightInd w:val="0"/>
              <w:snapToGrid w:val="0"/>
              <w:jc w:val="center"/>
              <w:rPr>
                <w:rFonts w:ascii="Times New Roman"/>
                <w:sz w:val="21"/>
                <w:szCs w:val="21"/>
              </w:rPr>
            </w:pPr>
          </w:p>
        </w:tc>
        <w:tc>
          <w:tcPr>
            <w:tcW w:w="697" w:type="pct"/>
            <w:vAlign w:val="center"/>
          </w:tcPr>
          <w:p w14:paraId="2C35CCA5">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1D75CA3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55EEE2C">
            <w:pPr>
              <w:autoSpaceDE w:val="0"/>
              <w:autoSpaceDN w:val="0"/>
              <w:adjustRightInd w:val="0"/>
              <w:snapToGrid w:val="0"/>
              <w:jc w:val="center"/>
              <w:rPr>
                <w:rFonts w:ascii="Times New Roman"/>
                <w:sz w:val="21"/>
                <w:szCs w:val="21"/>
              </w:rPr>
            </w:pPr>
          </w:p>
        </w:tc>
        <w:tc>
          <w:tcPr>
            <w:tcW w:w="208" w:type="pct"/>
            <w:vAlign w:val="center"/>
          </w:tcPr>
          <w:p w14:paraId="5B71DD0A">
            <w:pPr>
              <w:autoSpaceDE w:val="0"/>
              <w:autoSpaceDN w:val="0"/>
              <w:adjustRightInd w:val="0"/>
              <w:snapToGrid w:val="0"/>
              <w:jc w:val="center"/>
              <w:rPr>
                <w:rFonts w:ascii="Times New Roman"/>
                <w:sz w:val="21"/>
                <w:szCs w:val="21"/>
              </w:rPr>
            </w:pPr>
            <w:r>
              <w:rPr>
                <w:rFonts w:ascii="Times New Roman"/>
                <w:sz w:val="21"/>
                <w:szCs w:val="21"/>
              </w:rPr>
              <w:t>475</w:t>
            </w:r>
          </w:p>
        </w:tc>
        <w:tc>
          <w:tcPr>
            <w:tcW w:w="201" w:type="pct"/>
            <w:vAlign w:val="center"/>
          </w:tcPr>
          <w:p w14:paraId="1C18AA6B">
            <w:pPr>
              <w:autoSpaceDE w:val="0"/>
              <w:autoSpaceDN w:val="0"/>
              <w:adjustRightInd w:val="0"/>
              <w:snapToGrid w:val="0"/>
              <w:jc w:val="center"/>
              <w:rPr>
                <w:rFonts w:ascii="Times New Roman"/>
                <w:sz w:val="21"/>
                <w:szCs w:val="21"/>
              </w:rPr>
            </w:pPr>
            <w:r>
              <w:rPr>
                <w:rFonts w:ascii="Times New Roman"/>
                <w:sz w:val="21"/>
                <w:szCs w:val="21"/>
              </w:rPr>
              <w:t>186</w:t>
            </w:r>
          </w:p>
        </w:tc>
        <w:tc>
          <w:tcPr>
            <w:tcW w:w="240" w:type="pct"/>
            <w:vAlign w:val="center"/>
          </w:tcPr>
          <w:p w14:paraId="114F5C9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5C75D1C">
            <w:pPr>
              <w:autoSpaceDE w:val="0"/>
              <w:autoSpaceDN w:val="0"/>
              <w:adjustRightInd w:val="0"/>
              <w:snapToGrid w:val="0"/>
              <w:jc w:val="center"/>
              <w:rPr>
                <w:rFonts w:ascii="Times New Roman"/>
                <w:sz w:val="21"/>
                <w:szCs w:val="21"/>
              </w:rPr>
            </w:pPr>
            <w:r>
              <w:rPr>
                <w:rFonts w:ascii="Times New Roman"/>
                <w:sz w:val="21"/>
                <w:szCs w:val="21"/>
              </w:rPr>
              <w:t>64.98</w:t>
            </w:r>
          </w:p>
        </w:tc>
        <w:tc>
          <w:tcPr>
            <w:tcW w:w="358" w:type="pct"/>
            <w:vAlign w:val="center"/>
          </w:tcPr>
          <w:p w14:paraId="0C239CE2">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1ED88F40">
            <w:pPr>
              <w:autoSpaceDE w:val="0"/>
              <w:autoSpaceDN w:val="0"/>
              <w:adjustRightInd w:val="0"/>
              <w:snapToGrid w:val="0"/>
              <w:jc w:val="center"/>
              <w:rPr>
                <w:rFonts w:ascii="Times New Roman"/>
                <w:sz w:val="21"/>
                <w:szCs w:val="21"/>
              </w:rPr>
            </w:pPr>
          </w:p>
        </w:tc>
        <w:tc>
          <w:tcPr>
            <w:tcW w:w="551" w:type="pct"/>
            <w:vAlign w:val="center"/>
          </w:tcPr>
          <w:p w14:paraId="004356F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DB9A683">
            <w:pPr>
              <w:autoSpaceDE w:val="0"/>
              <w:autoSpaceDN w:val="0"/>
              <w:adjustRightInd w:val="0"/>
              <w:snapToGrid w:val="0"/>
              <w:jc w:val="center"/>
              <w:rPr>
                <w:rFonts w:ascii="Times New Roman"/>
                <w:sz w:val="21"/>
                <w:szCs w:val="21"/>
              </w:rPr>
            </w:pPr>
          </w:p>
        </w:tc>
        <w:tc>
          <w:tcPr>
            <w:tcW w:w="287" w:type="pct"/>
            <w:vMerge w:val="continue"/>
            <w:vAlign w:val="center"/>
          </w:tcPr>
          <w:p w14:paraId="768CB82A">
            <w:pPr>
              <w:autoSpaceDE w:val="0"/>
              <w:autoSpaceDN w:val="0"/>
              <w:adjustRightInd w:val="0"/>
              <w:snapToGrid w:val="0"/>
              <w:jc w:val="center"/>
              <w:rPr>
                <w:rFonts w:ascii="Times New Roman"/>
                <w:sz w:val="21"/>
                <w:szCs w:val="21"/>
              </w:rPr>
            </w:pPr>
          </w:p>
        </w:tc>
        <w:tc>
          <w:tcPr>
            <w:tcW w:w="434" w:type="pct"/>
            <w:vMerge w:val="continue"/>
            <w:vAlign w:val="center"/>
          </w:tcPr>
          <w:p w14:paraId="5A13CEA4">
            <w:pPr>
              <w:autoSpaceDE w:val="0"/>
              <w:autoSpaceDN w:val="0"/>
              <w:adjustRightInd w:val="0"/>
              <w:snapToGrid w:val="0"/>
              <w:jc w:val="center"/>
              <w:rPr>
                <w:rFonts w:ascii="Times New Roman"/>
                <w:sz w:val="21"/>
                <w:szCs w:val="21"/>
              </w:rPr>
            </w:pPr>
          </w:p>
        </w:tc>
      </w:tr>
      <w:tr w14:paraId="77CD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4B1ACBD">
            <w:pPr>
              <w:autoSpaceDE w:val="0"/>
              <w:autoSpaceDN w:val="0"/>
              <w:adjustRightInd w:val="0"/>
              <w:snapToGrid w:val="0"/>
              <w:jc w:val="center"/>
              <w:rPr>
                <w:rFonts w:ascii="Times New Roman"/>
                <w:sz w:val="21"/>
                <w:szCs w:val="21"/>
              </w:rPr>
            </w:pPr>
          </w:p>
        </w:tc>
        <w:tc>
          <w:tcPr>
            <w:tcW w:w="697" w:type="pct"/>
            <w:vAlign w:val="center"/>
          </w:tcPr>
          <w:p w14:paraId="02B3A009">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0537DBF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CD1F6BC">
            <w:pPr>
              <w:autoSpaceDE w:val="0"/>
              <w:autoSpaceDN w:val="0"/>
              <w:adjustRightInd w:val="0"/>
              <w:snapToGrid w:val="0"/>
              <w:jc w:val="center"/>
              <w:rPr>
                <w:rFonts w:ascii="Times New Roman"/>
                <w:sz w:val="21"/>
                <w:szCs w:val="21"/>
              </w:rPr>
            </w:pPr>
          </w:p>
        </w:tc>
        <w:tc>
          <w:tcPr>
            <w:tcW w:w="208" w:type="pct"/>
            <w:vAlign w:val="center"/>
          </w:tcPr>
          <w:p w14:paraId="37B92C32">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1CCAF0C7">
            <w:pPr>
              <w:autoSpaceDE w:val="0"/>
              <w:autoSpaceDN w:val="0"/>
              <w:adjustRightInd w:val="0"/>
              <w:snapToGrid w:val="0"/>
              <w:jc w:val="center"/>
              <w:rPr>
                <w:rFonts w:ascii="Times New Roman"/>
                <w:sz w:val="21"/>
                <w:szCs w:val="21"/>
              </w:rPr>
            </w:pPr>
            <w:r>
              <w:rPr>
                <w:rFonts w:ascii="Times New Roman"/>
                <w:sz w:val="21"/>
                <w:szCs w:val="21"/>
              </w:rPr>
              <w:t>186</w:t>
            </w:r>
          </w:p>
        </w:tc>
        <w:tc>
          <w:tcPr>
            <w:tcW w:w="240" w:type="pct"/>
            <w:vAlign w:val="center"/>
          </w:tcPr>
          <w:p w14:paraId="3AE0A025">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A919760">
            <w:pPr>
              <w:autoSpaceDE w:val="0"/>
              <w:autoSpaceDN w:val="0"/>
              <w:adjustRightInd w:val="0"/>
              <w:snapToGrid w:val="0"/>
              <w:jc w:val="center"/>
              <w:rPr>
                <w:rFonts w:ascii="Times New Roman"/>
                <w:sz w:val="21"/>
                <w:szCs w:val="21"/>
              </w:rPr>
            </w:pPr>
            <w:r>
              <w:rPr>
                <w:rFonts w:ascii="Times New Roman"/>
                <w:sz w:val="21"/>
                <w:szCs w:val="21"/>
              </w:rPr>
              <w:t>59.98</w:t>
            </w:r>
          </w:p>
        </w:tc>
        <w:tc>
          <w:tcPr>
            <w:tcW w:w="358" w:type="pct"/>
            <w:vAlign w:val="center"/>
          </w:tcPr>
          <w:p w14:paraId="0A34BE61">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4F93C49E">
            <w:pPr>
              <w:autoSpaceDE w:val="0"/>
              <w:autoSpaceDN w:val="0"/>
              <w:adjustRightInd w:val="0"/>
              <w:snapToGrid w:val="0"/>
              <w:jc w:val="center"/>
              <w:rPr>
                <w:rFonts w:ascii="Times New Roman"/>
                <w:sz w:val="21"/>
                <w:szCs w:val="21"/>
              </w:rPr>
            </w:pPr>
          </w:p>
        </w:tc>
        <w:tc>
          <w:tcPr>
            <w:tcW w:w="551" w:type="pct"/>
            <w:vAlign w:val="center"/>
          </w:tcPr>
          <w:p w14:paraId="6F192B6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8114390">
            <w:pPr>
              <w:autoSpaceDE w:val="0"/>
              <w:autoSpaceDN w:val="0"/>
              <w:adjustRightInd w:val="0"/>
              <w:snapToGrid w:val="0"/>
              <w:jc w:val="center"/>
              <w:rPr>
                <w:rFonts w:ascii="Times New Roman"/>
                <w:sz w:val="21"/>
                <w:szCs w:val="21"/>
              </w:rPr>
            </w:pPr>
          </w:p>
        </w:tc>
        <w:tc>
          <w:tcPr>
            <w:tcW w:w="287" w:type="pct"/>
            <w:vMerge w:val="continue"/>
            <w:vAlign w:val="center"/>
          </w:tcPr>
          <w:p w14:paraId="4FCC873F">
            <w:pPr>
              <w:autoSpaceDE w:val="0"/>
              <w:autoSpaceDN w:val="0"/>
              <w:adjustRightInd w:val="0"/>
              <w:snapToGrid w:val="0"/>
              <w:jc w:val="center"/>
              <w:rPr>
                <w:rFonts w:ascii="Times New Roman"/>
                <w:sz w:val="21"/>
                <w:szCs w:val="21"/>
              </w:rPr>
            </w:pPr>
          </w:p>
        </w:tc>
        <w:tc>
          <w:tcPr>
            <w:tcW w:w="434" w:type="pct"/>
            <w:vMerge w:val="continue"/>
            <w:vAlign w:val="center"/>
          </w:tcPr>
          <w:p w14:paraId="7B189E4F">
            <w:pPr>
              <w:autoSpaceDE w:val="0"/>
              <w:autoSpaceDN w:val="0"/>
              <w:adjustRightInd w:val="0"/>
              <w:snapToGrid w:val="0"/>
              <w:jc w:val="center"/>
              <w:rPr>
                <w:rFonts w:ascii="Times New Roman"/>
                <w:sz w:val="21"/>
                <w:szCs w:val="21"/>
              </w:rPr>
            </w:pPr>
          </w:p>
        </w:tc>
      </w:tr>
      <w:tr w14:paraId="6C8F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252B875">
            <w:pPr>
              <w:autoSpaceDE w:val="0"/>
              <w:autoSpaceDN w:val="0"/>
              <w:adjustRightInd w:val="0"/>
              <w:snapToGrid w:val="0"/>
              <w:jc w:val="center"/>
              <w:rPr>
                <w:rFonts w:ascii="Times New Roman"/>
                <w:sz w:val="21"/>
                <w:szCs w:val="21"/>
              </w:rPr>
            </w:pPr>
          </w:p>
        </w:tc>
        <w:tc>
          <w:tcPr>
            <w:tcW w:w="697" w:type="pct"/>
            <w:vAlign w:val="center"/>
          </w:tcPr>
          <w:p w14:paraId="07530714">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34775D5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BACA0AE">
            <w:pPr>
              <w:autoSpaceDE w:val="0"/>
              <w:autoSpaceDN w:val="0"/>
              <w:adjustRightInd w:val="0"/>
              <w:snapToGrid w:val="0"/>
              <w:jc w:val="center"/>
              <w:rPr>
                <w:rFonts w:ascii="Times New Roman"/>
                <w:sz w:val="21"/>
                <w:szCs w:val="21"/>
              </w:rPr>
            </w:pPr>
          </w:p>
        </w:tc>
        <w:tc>
          <w:tcPr>
            <w:tcW w:w="208" w:type="pct"/>
            <w:vAlign w:val="center"/>
          </w:tcPr>
          <w:p w14:paraId="7634084B">
            <w:pPr>
              <w:autoSpaceDE w:val="0"/>
              <w:autoSpaceDN w:val="0"/>
              <w:adjustRightInd w:val="0"/>
              <w:snapToGrid w:val="0"/>
              <w:jc w:val="center"/>
              <w:rPr>
                <w:rFonts w:ascii="Times New Roman"/>
                <w:sz w:val="21"/>
                <w:szCs w:val="21"/>
              </w:rPr>
            </w:pPr>
            <w:r>
              <w:rPr>
                <w:rFonts w:ascii="Times New Roman"/>
                <w:sz w:val="21"/>
                <w:szCs w:val="21"/>
              </w:rPr>
              <w:t>485</w:t>
            </w:r>
          </w:p>
        </w:tc>
        <w:tc>
          <w:tcPr>
            <w:tcW w:w="201" w:type="pct"/>
            <w:vAlign w:val="center"/>
          </w:tcPr>
          <w:p w14:paraId="0272D175">
            <w:pPr>
              <w:autoSpaceDE w:val="0"/>
              <w:autoSpaceDN w:val="0"/>
              <w:adjustRightInd w:val="0"/>
              <w:snapToGrid w:val="0"/>
              <w:jc w:val="center"/>
              <w:rPr>
                <w:rFonts w:ascii="Times New Roman"/>
                <w:sz w:val="21"/>
                <w:szCs w:val="21"/>
              </w:rPr>
            </w:pPr>
            <w:r>
              <w:rPr>
                <w:rFonts w:ascii="Times New Roman"/>
                <w:sz w:val="21"/>
                <w:szCs w:val="21"/>
              </w:rPr>
              <w:t>186</w:t>
            </w:r>
          </w:p>
        </w:tc>
        <w:tc>
          <w:tcPr>
            <w:tcW w:w="240" w:type="pct"/>
            <w:vAlign w:val="center"/>
          </w:tcPr>
          <w:p w14:paraId="6008429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F8D6B8D">
            <w:pPr>
              <w:autoSpaceDE w:val="0"/>
              <w:autoSpaceDN w:val="0"/>
              <w:adjustRightInd w:val="0"/>
              <w:snapToGrid w:val="0"/>
              <w:jc w:val="center"/>
              <w:rPr>
                <w:rFonts w:ascii="Times New Roman"/>
                <w:sz w:val="21"/>
                <w:szCs w:val="21"/>
              </w:rPr>
            </w:pPr>
            <w:r>
              <w:rPr>
                <w:rFonts w:ascii="Times New Roman"/>
                <w:sz w:val="21"/>
                <w:szCs w:val="21"/>
              </w:rPr>
              <w:t>54.98</w:t>
            </w:r>
          </w:p>
        </w:tc>
        <w:tc>
          <w:tcPr>
            <w:tcW w:w="358" w:type="pct"/>
            <w:vAlign w:val="center"/>
          </w:tcPr>
          <w:p w14:paraId="6478EA69">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1ACCE108">
            <w:pPr>
              <w:autoSpaceDE w:val="0"/>
              <w:autoSpaceDN w:val="0"/>
              <w:adjustRightInd w:val="0"/>
              <w:snapToGrid w:val="0"/>
              <w:jc w:val="center"/>
              <w:rPr>
                <w:rFonts w:ascii="Times New Roman"/>
                <w:sz w:val="21"/>
                <w:szCs w:val="21"/>
              </w:rPr>
            </w:pPr>
          </w:p>
        </w:tc>
        <w:tc>
          <w:tcPr>
            <w:tcW w:w="551" w:type="pct"/>
            <w:vAlign w:val="center"/>
          </w:tcPr>
          <w:p w14:paraId="6A2C2EF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6F24868">
            <w:pPr>
              <w:autoSpaceDE w:val="0"/>
              <w:autoSpaceDN w:val="0"/>
              <w:adjustRightInd w:val="0"/>
              <w:snapToGrid w:val="0"/>
              <w:jc w:val="center"/>
              <w:rPr>
                <w:rFonts w:ascii="Times New Roman"/>
                <w:sz w:val="21"/>
                <w:szCs w:val="21"/>
              </w:rPr>
            </w:pPr>
          </w:p>
        </w:tc>
        <w:tc>
          <w:tcPr>
            <w:tcW w:w="287" w:type="pct"/>
            <w:vMerge w:val="continue"/>
            <w:vAlign w:val="center"/>
          </w:tcPr>
          <w:p w14:paraId="7ACF8F25">
            <w:pPr>
              <w:autoSpaceDE w:val="0"/>
              <w:autoSpaceDN w:val="0"/>
              <w:adjustRightInd w:val="0"/>
              <w:snapToGrid w:val="0"/>
              <w:jc w:val="center"/>
              <w:rPr>
                <w:rFonts w:ascii="Times New Roman"/>
                <w:sz w:val="21"/>
                <w:szCs w:val="21"/>
              </w:rPr>
            </w:pPr>
          </w:p>
        </w:tc>
        <w:tc>
          <w:tcPr>
            <w:tcW w:w="434" w:type="pct"/>
            <w:vMerge w:val="continue"/>
            <w:vAlign w:val="center"/>
          </w:tcPr>
          <w:p w14:paraId="636E98A2">
            <w:pPr>
              <w:autoSpaceDE w:val="0"/>
              <w:autoSpaceDN w:val="0"/>
              <w:adjustRightInd w:val="0"/>
              <w:snapToGrid w:val="0"/>
              <w:jc w:val="center"/>
              <w:rPr>
                <w:rFonts w:ascii="Times New Roman"/>
                <w:sz w:val="21"/>
                <w:szCs w:val="21"/>
              </w:rPr>
            </w:pPr>
          </w:p>
        </w:tc>
      </w:tr>
      <w:tr w14:paraId="4286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C17A9FF">
            <w:pPr>
              <w:autoSpaceDE w:val="0"/>
              <w:autoSpaceDN w:val="0"/>
              <w:adjustRightInd w:val="0"/>
              <w:snapToGrid w:val="0"/>
              <w:jc w:val="center"/>
              <w:rPr>
                <w:rFonts w:ascii="Times New Roman"/>
                <w:sz w:val="21"/>
                <w:szCs w:val="21"/>
              </w:rPr>
            </w:pPr>
          </w:p>
        </w:tc>
        <w:tc>
          <w:tcPr>
            <w:tcW w:w="697" w:type="pct"/>
            <w:vAlign w:val="center"/>
          </w:tcPr>
          <w:p w14:paraId="63F68AFC">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44C10E6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81A037A">
            <w:pPr>
              <w:autoSpaceDE w:val="0"/>
              <w:autoSpaceDN w:val="0"/>
              <w:adjustRightInd w:val="0"/>
              <w:snapToGrid w:val="0"/>
              <w:jc w:val="center"/>
              <w:rPr>
                <w:rFonts w:ascii="Times New Roman"/>
                <w:sz w:val="21"/>
                <w:szCs w:val="21"/>
              </w:rPr>
            </w:pPr>
          </w:p>
        </w:tc>
        <w:tc>
          <w:tcPr>
            <w:tcW w:w="208" w:type="pct"/>
            <w:vAlign w:val="center"/>
          </w:tcPr>
          <w:p w14:paraId="3B4E15FD">
            <w:pPr>
              <w:autoSpaceDE w:val="0"/>
              <w:autoSpaceDN w:val="0"/>
              <w:adjustRightInd w:val="0"/>
              <w:snapToGrid w:val="0"/>
              <w:jc w:val="center"/>
              <w:rPr>
                <w:rFonts w:ascii="Times New Roman"/>
                <w:sz w:val="21"/>
                <w:szCs w:val="21"/>
              </w:rPr>
            </w:pPr>
            <w:r>
              <w:rPr>
                <w:rFonts w:ascii="Times New Roman"/>
                <w:sz w:val="21"/>
                <w:szCs w:val="21"/>
              </w:rPr>
              <w:t>475</w:t>
            </w:r>
          </w:p>
        </w:tc>
        <w:tc>
          <w:tcPr>
            <w:tcW w:w="201" w:type="pct"/>
            <w:vAlign w:val="center"/>
          </w:tcPr>
          <w:p w14:paraId="5F37A035">
            <w:pPr>
              <w:autoSpaceDE w:val="0"/>
              <w:autoSpaceDN w:val="0"/>
              <w:adjustRightInd w:val="0"/>
              <w:snapToGrid w:val="0"/>
              <w:jc w:val="center"/>
              <w:rPr>
                <w:rFonts w:ascii="Times New Roman"/>
                <w:sz w:val="21"/>
                <w:szCs w:val="21"/>
              </w:rPr>
            </w:pPr>
            <w:r>
              <w:rPr>
                <w:rFonts w:ascii="Times New Roman"/>
                <w:sz w:val="21"/>
                <w:szCs w:val="21"/>
              </w:rPr>
              <w:t>189</w:t>
            </w:r>
          </w:p>
        </w:tc>
        <w:tc>
          <w:tcPr>
            <w:tcW w:w="240" w:type="pct"/>
            <w:vAlign w:val="center"/>
          </w:tcPr>
          <w:p w14:paraId="08BA091B">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FA6F8F7">
            <w:pPr>
              <w:autoSpaceDE w:val="0"/>
              <w:autoSpaceDN w:val="0"/>
              <w:adjustRightInd w:val="0"/>
              <w:snapToGrid w:val="0"/>
              <w:jc w:val="center"/>
              <w:rPr>
                <w:rFonts w:ascii="Times New Roman"/>
                <w:sz w:val="21"/>
                <w:szCs w:val="21"/>
              </w:rPr>
            </w:pPr>
            <w:r>
              <w:rPr>
                <w:rFonts w:ascii="Times New Roman"/>
                <w:sz w:val="21"/>
                <w:szCs w:val="21"/>
              </w:rPr>
              <w:t>64.98</w:t>
            </w:r>
          </w:p>
        </w:tc>
        <w:tc>
          <w:tcPr>
            <w:tcW w:w="358" w:type="pct"/>
            <w:vAlign w:val="center"/>
          </w:tcPr>
          <w:p w14:paraId="2DCB11E6">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2420BA49">
            <w:pPr>
              <w:autoSpaceDE w:val="0"/>
              <w:autoSpaceDN w:val="0"/>
              <w:adjustRightInd w:val="0"/>
              <w:snapToGrid w:val="0"/>
              <w:jc w:val="center"/>
              <w:rPr>
                <w:rFonts w:ascii="Times New Roman"/>
                <w:sz w:val="21"/>
                <w:szCs w:val="21"/>
              </w:rPr>
            </w:pPr>
          </w:p>
        </w:tc>
        <w:tc>
          <w:tcPr>
            <w:tcW w:w="551" w:type="pct"/>
            <w:vAlign w:val="center"/>
          </w:tcPr>
          <w:p w14:paraId="7A2D554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DF69628">
            <w:pPr>
              <w:autoSpaceDE w:val="0"/>
              <w:autoSpaceDN w:val="0"/>
              <w:adjustRightInd w:val="0"/>
              <w:snapToGrid w:val="0"/>
              <w:jc w:val="center"/>
              <w:rPr>
                <w:rFonts w:ascii="Times New Roman"/>
                <w:sz w:val="21"/>
                <w:szCs w:val="21"/>
              </w:rPr>
            </w:pPr>
          </w:p>
        </w:tc>
        <w:tc>
          <w:tcPr>
            <w:tcW w:w="287" w:type="pct"/>
            <w:vMerge w:val="continue"/>
            <w:vAlign w:val="center"/>
          </w:tcPr>
          <w:p w14:paraId="2108EADE">
            <w:pPr>
              <w:autoSpaceDE w:val="0"/>
              <w:autoSpaceDN w:val="0"/>
              <w:adjustRightInd w:val="0"/>
              <w:snapToGrid w:val="0"/>
              <w:jc w:val="center"/>
              <w:rPr>
                <w:rFonts w:ascii="Times New Roman"/>
                <w:sz w:val="21"/>
                <w:szCs w:val="21"/>
              </w:rPr>
            </w:pPr>
          </w:p>
        </w:tc>
        <w:tc>
          <w:tcPr>
            <w:tcW w:w="434" w:type="pct"/>
            <w:vMerge w:val="continue"/>
            <w:vAlign w:val="center"/>
          </w:tcPr>
          <w:p w14:paraId="1F7C16E4">
            <w:pPr>
              <w:autoSpaceDE w:val="0"/>
              <w:autoSpaceDN w:val="0"/>
              <w:adjustRightInd w:val="0"/>
              <w:snapToGrid w:val="0"/>
              <w:jc w:val="center"/>
              <w:rPr>
                <w:rFonts w:ascii="Times New Roman"/>
                <w:sz w:val="21"/>
                <w:szCs w:val="21"/>
              </w:rPr>
            </w:pPr>
          </w:p>
        </w:tc>
      </w:tr>
      <w:tr w14:paraId="6E32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2BC32FE">
            <w:pPr>
              <w:autoSpaceDE w:val="0"/>
              <w:autoSpaceDN w:val="0"/>
              <w:adjustRightInd w:val="0"/>
              <w:snapToGrid w:val="0"/>
              <w:jc w:val="center"/>
              <w:rPr>
                <w:rFonts w:ascii="Times New Roman"/>
                <w:sz w:val="21"/>
                <w:szCs w:val="21"/>
              </w:rPr>
            </w:pPr>
          </w:p>
        </w:tc>
        <w:tc>
          <w:tcPr>
            <w:tcW w:w="697" w:type="pct"/>
            <w:vAlign w:val="center"/>
          </w:tcPr>
          <w:p w14:paraId="17CEC7BF">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2845240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CD57C78">
            <w:pPr>
              <w:autoSpaceDE w:val="0"/>
              <w:autoSpaceDN w:val="0"/>
              <w:adjustRightInd w:val="0"/>
              <w:snapToGrid w:val="0"/>
              <w:jc w:val="center"/>
              <w:rPr>
                <w:rFonts w:ascii="Times New Roman"/>
                <w:sz w:val="21"/>
                <w:szCs w:val="21"/>
              </w:rPr>
            </w:pPr>
          </w:p>
        </w:tc>
        <w:tc>
          <w:tcPr>
            <w:tcW w:w="208" w:type="pct"/>
            <w:vAlign w:val="center"/>
          </w:tcPr>
          <w:p w14:paraId="567EEC88">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61A9474A">
            <w:pPr>
              <w:autoSpaceDE w:val="0"/>
              <w:autoSpaceDN w:val="0"/>
              <w:adjustRightInd w:val="0"/>
              <w:snapToGrid w:val="0"/>
              <w:jc w:val="center"/>
              <w:rPr>
                <w:rFonts w:ascii="Times New Roman"/>
                <w:sz w:val="21"/>
                <w:szCs w:val="21"/>
              </w:rPr>
            </w:pPr>
            <w:r>
              <w:rPr>
                <w:rFonts w:ascii="Times New Roman"/>
                <w:sz w:val="21"/>
                <w:szCs w:val="21"/>
              </w:rPr>
              <w:t>189</w:t>
            </w:r>
          </w:p>
        </w:tc>
        <w:tc>
          <w:tcPr>
            <w:tcW w:w="240" w:type="pct"/>
            <w:vAlign w:val="center"/>
          </w:tcPr>
          <w:p w14:paraId="6132F17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FC8BE26">
            <w:pPr>
              <w:autoSpaceDE w:val="0"/>
              <w:autoSpaceDN w:val="0"/>
              <w:adjustRightInd w:val="0"/>
              <w:snapToGrid w:val="0"/>
              <w:jc w:val="center"/>
              <w:rPr>
                <w:rFonts w:ascii="Times New Roman"/>
                <w:sz w:val="21"/>
                <w:szCs w:val="21"/>
              </w:rPr>
            </w:pPr>
            <w:r>
              <w:rPr>
                <w:rFonts w:ascii="Times New Roman"/>
                <w:sz w:val="21"/>
                <w:szCs w:val="21"/>
              </w:rPr>
              <w:t>59.98</w:t>
            </w:r>
          </w:p>
        </w:tc>
        <w:tc>
          <w:tcPr>
            <w:tcW w:w="358" w:type="pct"/>
            <w:vAlign w:val="center"/>
          </w:tcPr>
          <w:p w14:paraId="231BFB16">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1A7905B9">
            <w:pPr>
              <w:autoSpaceDE w:val="0"/>
              <w:autoSpaceDN w:val="0"/>
              <w:adjustRightInd w:val="0"/>
              <w:snapToGrid w:val="0"/>
              <w:jc w:val="center"/>
              <w:rPr>
                <w:rFonts w:ascii="Times New Roman"/>
                <w:sz w:val="21"/>
                <w:szCs w:val="21"/>
              </w:rPr>
            </w:pPr>
          </w:p>
        </w:tc>
        <w:tc>
          <w:tcPr>
            <w:tcW w:w="551" w:type="pct"/>
            <w:vAlign w:val="center"/>
          </w:tcPr>
          <w:p w14:paraId="1DE94B4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D4D6058">
            <w:pPr>
              <w:autoSpaceDE w:val="0"/>
              <w:autoSpaceDN w:val="0"/>
              <w:adjustRightInd w:val="0"/>
              <w:snapToGrid w:val="0"/>
              <w:jc w:val="center"/>
              <w:rPr>
                <w:rFonts w:ascii="Times New Roman"/>
                <w:sz w:val="21"/>
                <w:szCs w:val="21"/>
              </w:rPr>
            </w:pPr>
          </w:p>
        </w:tc>
        <w:tc>
          <w:tcPr>
            <w:tcW w:w="287" w:type="pct"/>
            <w:vMerge w:val="continue"/>
            <w:vAlign w:val="center"/>
          </w:tcPr>
          <w:p w14:paraId="5E41F2D8">
            <w:pPr>
              <w:autoSpaceDE w:val="0"/>
              <w:autoSpaceDN w:val="0"/>
              <w:adjustRightInd w:val="0"/>
              <w:snapToGrid w:val="0"/>
              <w:jc w:val="center"/>
              <w:rPr>
                <w:rFonts w:ascii="Times New Roman"/>
                <w:sz w:val="21"/>
                <w:szCs w:val="21"/>
              </w:rPr>
            </w:pPr>
          </w:p>
        </w:tc>
        <w:tc>
          <w:tcPr>
            <w:tcW w:w="434" w:type="pct"/>
            <w:vMerge w:val="continue"/>
            <w:vAlign w:val="center"/>
          </w:tcPr>
          <w:p w14:paraId="7354CD6F">
            <w:pPr>
              <w:autoSpaceDE w:val="0"/>
              <w:autoSpaceDN w:val="0"/>
              <w:adjustRightInd w:val="0"/>
              <w:snapToGrid w:val="0"/>
              <w:jc w:val="center"/>
              <w:rPr>
                <w:rFonts w:ascii="Times New Roman"/>
                <w:sz w:val="21"/>
                <w:szCs w:val="21"/>
              </w:rPr>
            </w:pPr>
          </w:p>
        </w:tc>
      </w:tr>
      <w:tr w14:paraId="12A7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9E360B7">
            <w:pPr>
              <w:autoSpaceDE w:val="0"/>
              <w:autoSpaceDN w:val="0"/>
              <w:adjustRightInd w:val="0"/>
              <w:snapToGrid w:val="0"/>
              <w:jc w:val="center"/>
              <w:rPr>
                <w:rFonts w:ascii="Times New Roman"/>
                <w:sz w:val="21"/>
                <w:szCs w:val="21"/>
              </w:rPr>
            </w:pPr>
          </w:p>
        </w:tc>
        <w:tc>
          <w:tcPr>
            <w:tcW w:w="697" w:type="pct"/>
            <w:vAlign w:val="center"/>
          </w:tcPr>
          <w:p w14:paraId="35FCC1BB">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246F5E6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6650C9F">
            <w:pPr>
              <w:autoSpaceDE w:val="0"/>
              <w:autoSpaceDN w:val="0"/>
              <w:adjustRightInd w:val="0"/>
              <w:snapToGrid w:val="0"/>
              <w:jc w:val="center"/>
              <w:rPr>
                <w:rFonts w:ascii="Times New Roman"/>
                <w:sz w:val="21"/>
                <w:szCs w:val="21"/>
              </w:rPr>
            </w:pPr>
          </w:p>
        </w:tc>
        <w:tc>
          <w:tcPr>
            <w:tcW w:w="208" w:type="pct"/>
            <w:vAlign w:val="center"/>
          </w:tcPr>
          <w:p w14:paraId="1AB533C5">
            <w:pPr>
              <w:autoSpaceDE w:val="0"/>
              <w:autoSpaceDN w:val="0"/>
              <w:adjustRightInd w:val="0"/>
              <w:snapToGrid w:val="0"/>
              <w:jc w:val="center"/>
              <w:rPr>
                <w:rFonts w:ascii="Times New Roman"/>
                <w:sz w:val="21"/>
                <w:szCs w:val="21"/>
              </w:rPr>
            </w:pPr>
            <w:r>
              <w:rPr>
                <w:rFonts w:ascii="Times New Roman"/>
                <w:sz w:val="21"/>
                <w:szCs w:val="21"/>
              </w:rPr>
              <w:t>485</w:t>
            </w:r>
          </w:p>
        </w:tc>
        <w:tc>
          <w:tcPr>
            <w:tcW w:w="201" w:type="pct"/>
            <w:vAlign w:val="center"/>
          </w:tcPr>
          <w:p w14:paraId="7ECFB054">
            <w:pPr>
              <w:autoSpaceDE w:val="0"/>
              <w:autoSpaceDN w:val="0"/>
              <w:adjustRightInd w:val="0"/>
              <w:snapToGrid w:val="0"/>
              <w:jc w:val="center"/>
              <w:rPr>
                <w:rFonts w:ascii="Times New Roman"/>
                <w:sz w:val="21"/>
                <w:szCs w:val="21"/>
              </w:rPr>
            </w:pPr>
            <w:r>
              <w:rPr>
                <w:rFonts w:ascii="Times New Roman"/>
                <w:sz w:val="21"/>
                <w:szCs w:val="21"/>
              </w:rPr>
              <w:t>189</w:t>
            </w:r>
          </w:p>
        </w:tc>
        <w:tc>
          <w:tcPr>
            <w:tcW w:w="240" w:type="pct"/>
            <w:vAlign w:val="center"/>
          </w:tcPr>
          <w:p w14:paraId="0B96E71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AC22EB5">
            <w:pPr>
              <w:autoSpaceDE w:val="0"/>
              <w:autoSpaceDN w:val="0"/>
              <w:adjustRightInd w:val="0"/>
              <w:snapToGrid w:val="0"/>
              <w:jc w:val="center"/>
              <w:rPr>
                <w:rFonts w:ascii="Times New Roman"/>
                <w:sz w:val="21"/>
                <w:szCs w:val="21"/>
              </w:rPr>
            </w:pPr>
            <w:r>
              <w:rPr>
                <w:rFonts w:ascii="Times New Roman"/>
                <w:sz w:val="21"/>
                <w:szCs w:val="21"/>
              </w:rPr>
              <w:t>54.98</w:t>
            </w:r>
          </w:p>
        </w:tc>
        <w:tc>
          <w:tcPr>
            <w:tcW w:w="358" w:type="pct"/>
            <w:vAlign w:val="center"/>
          </w:tcPr>
          <w:p w14:paraId="57EC93E7">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1AE45D6E">
            <w:pPr>
              <w:autoSpaceDE w:val="0"/>
              <w:autoSpaceDN w:val="0"/>
              <w:adjustRightInd w:val="0"/>
              <w:snapToGrid w:val="0"/>
              <w:jc w:val="center"/>
              <w:rPr>
                <w:rFonts w:ascii="Times New Roman"/>
                <w:sz w:val="21"/>
                <w:szCs w:val="21"/>
              </w:rPr>
            </w:pPr>
          </w:p>
        </w:tc>
        <w:tc>
          <w:tcPr>
            <w:tcW w:w="551" w:type="pct"/>
            <w:vAlign w:val="center"/>
          </w:tcPr>
          <w:p w14:paraId="57064E4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471781">
            <w:pPr>
              <w:autoSpaceDE w:val="0"/>
              <w:autoSpaceDN w:val="0"/>
              <w:adjustRightInd w:val="0"/>
              <w:snapToGrid w:val="0"/>
              <w:jc w:val="center"/>
              <w:rPr>
                <w:rFonts w:ascii="Times New Roman"/>
                <w:sz w:val="21"/>
                <w:szCs w:val="21"/>
              </w:rPr>
            </w:pPr>
          </w:p>
        </w:tc>
        <w:tc>
          <w:tcPr>
            <w:tcW w:w="287" w:type="pct"/>
            <w:vMerge w:val="continue"/>
            <w:vAlign w:val="center"/>
          </w:tcPr>
          <w:p w14:paraId="4813C9CB">
            <w:pPr>
              <w:autoSpaceDE w:val="0"/>
              <w:autoSpaceDN w:val="0"/>
              <w:adjustRightInd w:val="0"/>
              <w:snapToGrid w:val="0"/>
              <w:jc w:val="center"/>
              <w:rPr>
                <w:rFonts w:ascii="Times New Roman"/>
                <w:sz w:val="21"/>
                <w:szCs w:val="21"/>
              </w:rPr>
            </w:pPr>
          </w:p>
        </w:tc>
        <w:tc>
          <w:tcPr>
            <w:tcW w:w="434" w:type="pct"/>
            <w:vMerge w:val="continue"/>
            <w:vAlign w:val="center"/>
          </w:tcPr>
          <w:p w14:paraId="557F111F">
            <w:pPr>
              <w:autoSpaceDE w:val="0"/>
              <w:autoSpaceDN w:val="0"/>
              <w:adjustRightInd w:val="0"/>
              <w:snapToGrid w:val="0"/>
              <w:jc w:val="center"/>
              <w:rPr>
                <w:rFonts w:ascii="Times New Roman"/>
                <w:sz w:val="21"/>
                <w:szCs w:val="21"/>
              </w:rPr>
            </w:pPr>
          </w:p>
        </w:tc>
      </w:tr>
      <w:tr w14:paraId="32E0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5234029">
            <w:pPr>
              <w:autoSpaceDE w:val="0"/>
              <w:autoSpaceDN w:val="0"/>
              <w:adjustRightInd w:val="0"/>
              <w:snapToGrid w:val="0"/>
              <w:jc w:val="center"/>
              <w:rPr>
                <w:rFonts w:ascii="Times New Roman"/>
                <w:sz w:val="21"/>
                <w:szCs w:val="21"/>
              </w:rPr>
            </w:pPr>
          </w:p>
        </w:tc>
        <w:tc>
          <w:tcPr>
            <w:tcW w:w="697" w:type="pct"/>
            <w:vAlign w:val="center"/>
          </w:tcPr>
          <w:p w14:paraId="1E922415">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6E40101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F383E1E">
            <w:pPr>
              <w:autoSpaceDE w:val="0"/>
              <w:autoSpaceDN w:val="0"/>
              <w:adjustRightInd w:val="0"/>
              <w:snapToGrid w:val="0"/>
              <w:jc w:val="center"/>
              <w:rPr>
                <w:rFonts w:ascii="Times New Roman"/>
                <w:sz w:val="21"/>
                <w:szCs w:val="21"/>
              </w:rPr>
            </w:pPr>
          </w:p>
        </w:tc>
        <w:tc>
          <w:tcPr>
            <w:tcW w:w="208" w:type="pct"/>
            <w:vAlign w:val="center"/>
          </w:tcPr>
          <w:p w14:paraId="4FB4275B">
            <w:pPr>
              <w:autoSpaceDE w:val="0"/>
              <w:autoSpaceDN w:val="0"/>
              <w:adjustRightInd w:val="0"/>
              <w:snapToGrid w:val="0"/>
              <w:jc w:val="center"/>
              <w:rPr>
                <w:rFonts w:ascii="Times New Roman"/>
                <w:sz w:val="21"/>
                <w:szCs w:val="21"/>
              </w:rPr>
            </w:pPr>
            <w:r>
              <w:rPr>
                <w:rFonts w:ascii="Times New Roman"/>
                <w:sz w:val="21"/>
                <w:szCs w:val="21"/>
              </w:rPr>
              <w:t>475</w:t>
            </w:r>
          </w:p>
        </w:tc>
        <w:tc>
          <w:tcPr>
            <w:tcW w:w="201" w:type="pct"/>
            <w:vAlign w:val="center"/>
          </w:tcPr>
          <w:p w14:paraId="01CA70EC">
            <w:pPr>
              <w:autoSpaceDE w:val="0"/>
              <w:autoSpaceDN w:val="0"/>
              <w:adjustRightInd w:val="0"/>
              <w:snapToGrid w:val="0"/>
              <w:jc w:val="center"/>
              <w:rPr>
                <w:rFonts w:ascii="Times New Roman"/>
                <w:sz w:val="21"/>
                <w:szCs w:val="21"/>
              </w:rPr>
            </w:pPr>
            <w:r>
              <w:rPr>
                <w:rFonts w:ascii="Times New Roman"/>
                <w:sz w:val="21"/>
                <w:szCs w:val="21"/>
              </w:rPr>
              <w:t>202</w:t>
            </w:r>
          </w:p>
        </w:tc>
        <w:tc>
          <w:tcPr>
            <w:tcW w:w="240" w:type="pct"/>
            <w:vAlign w:val="center"/>
          </w:tcPr>
          <w:p w14:paraId="7F4258A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AF5A623">
            <w:pPr>
              <w:autoSpaceDE w:val="0"/>
              <w:autoSpaceDN w:val="0"/>
              <w:adjustRightInd w:val="0"/>
              <w:snapToGrid w:val="0"/>
              <w:jc w:val="center"/>
              <w:rPr>
                <w:rFonts w:ascii="Times New Roman"/>
                <w:sz w:val="21"/>
                <w:szCs w:val="21"/>
              </w:rPr>
            </w:pPr>
            <w:r>
              <w:rPr>
                <w:rFonts w:ascii="Times New Roman"/>
                <w:sz w:val="21"/>
                <w:szCs w:val="21"/>
              </w:rPr>
              <w:t>64.98</w:t>
            </w:r>
          </w:p>
        </w:tc>
        <w:tc>
          <w:tcPr>
            <w:tcW w:w="358" w:type="pct"/>
            <w:vAlign w:val="center"/>
          </w:tcPr>
          <w:p w14:paraId="3068F51F">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18DB9FA8">
            <w:pPr>
              <w:autoSpaceDE w:val="0"/>
              <w:autoSpaceDN w:val="0"/>
              <w:adjustRightInd w:val="0"/>
              <w:snapToGrid w:val="0"/>
              <w:jc w:val="center"/>
              <w:rPr>
                <w:rFonts w:ascii="Times New Roman"/>
                <w:sz w:val="21"/>
                <w:szCs w:val="21"/>
              </w:rPr>
            </w:pPr>
          </w:p>
        </w:tc>
        <w:tc>
          <w:tcPr>
            <w:tcW w:w="551" w:type="pct"/>
            <w:vAlign w:val="center"/>
          </w:tcPr>
          <w:p w14:paraId="05B3993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0C3334E">
            <w:pPr>
              <w:autoSpaceDE w:val="0"/>
              <w:autoSpaceDN w:val="0"/>
              <w:adjustRightInd w:val="0"/>
              <w:snapToGrid w:val="0"/>
              <w:jc w:val="center"/>
              <w:rPr>
                <w:rFonts w:ascii="Times New Roman"/>
                <w:sz w:val="21"/>
                <w:szCs w:val="21"/>
              </w:rPr>
            </w:pPr>
          </w:p>
        </w:tc>
        <w:tc>
          <w:tcPr>
            <w:tcW w:w="287" w:type="pct"/>
            <w:vMerge w:val="continue"/>
            <w:vAlign w:val="center"/>
          </w:tcPr>
          <w:p w14:paraId="42CFB360">
            <w:pPr>
              <w:autoSpaceDE w:val="0"/>
              <w:autoSpaceDN w:val="0"/>
              <w:adjustRightInd w:val="0"/>
              <w:snapToGrid w:val="0"/>
              <w:jc w:val="center"/>
              <w:rPr>
                <w:rFonts w:ascii="Times New Roman"/>
                <w:sz w:val="21"/>
                <w:szCs w:val="21"/>
              </w:rPr>
            </w:pPr>
          </w:p>
        </w:tc>
        <w:tc>
          <w:tcPr>
            <w:tcW w:w="434" w:type="pct"/>
            <w:vMerge w:val="continue"/>
            <w:vAlign w:val="center"/>
          </w:tcPr>
          <w:p w14:paraId="233E2242">
            <w:pPr>
              <w:autoSpaceDE w:val="0"/>
              <w:autoSpaceDN w:val="0"/>
              <w:adjustRightInd w:val="0"/>
              <w:snapToGrid w:val="0"/>
              <w:jc w:val="center"/>
              <w:rPr>
                <w:rFonts w:ascii="Times New Roman"/>
                <w:sz w:val="21"/>
                <w:szCs w:val="21"/>
              </w:rPr>
            </w:pPr>
          </w:p>
        </w:tc>
      </w:tr>
      <w:tr w14:paraId="30CA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2B2D65E">
            <w:pPr>
              <w:autoSpaceDE w:val="0"/>
              <w:autoSpaceDN w:val="0"/>
              <w:adjustRightInd w:val="0"/>
              <w:snapToGrid w:val="0"/>
              <w:jc w:val="center"/>
              <w:rPr>
                <w:rFonts w:ascii="Times New Roman"/>
                <w:sz w:val="21"/>
                <w:szCs w:val="21"/>
              </w:rPr>
            </w:pPr>
          </w:p>
        </w:tc>
        <w:tc>
          <w:tcPr>
            <w:tcW w:w="697" w:type="pct"/>
            <w:vAlign w:val="center"/>
          </w:tcPr>
          <w:p w14:paraId="5B49D619">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5FE7B70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5D15E88">
            <w:pPr>
              <w:autoSpaceDE w:val="0"/>
              <w:autoSpaceDN w:val="0"/>
              <w:adjustRightInd w:val="0"/>
              <w:snapToGrid w:val="0"/>
              <w:jc w:val="center"/>
              <w:rPr>
                <w:rFonts w:ascii="Times New Roman"/>
                <w:sz w:val="21"/>
                <w:szCs w:val="21"/>
              </w:rPr>
            </w:pPr>
          </w:p>
        </w:tc>
        <w:tc>
          <w:tcPr>
            <w:tcW w:w="208" w:type="pct"/>
            <w:vAlign w:val="center"/>
          </w:tcPr>
          <w:p w14:paraId="35D1E1A8">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0CA3BCC8">
            <w:pPr>
              <w:autoSpaceDE w:val="0"/>
              <w:autoSpaceDN w:val="0"/>
              <w:adjustRightInd w:val="0"/>
              <w:snapToGrid w:val="0"/>
              <w:jc w:val="center"/>
              <w:rPr>
                <w:rFonts w:ascii="Times New Roman"/>
                <w:sz w:val="21"/>
                <w:szCs w:val="21"/>
              </w:rPr>
            </w:pPr>
            <w:r>
              <w:rPr>
                <w:rFonts w:ascii="Times New Roman"/>
                <w:sz w:val="21"/>
                <w:szCs w:val="21"/>
              </w:rPr>
              <w:t>202</w:t>
            </w:r>
          </w:p>
        </w:tc>
        <w:tc>
          <w:tcPr>
            <w:tcW w:w="240" w:type="pct"/>
            <w:vAlign w:val="center"/>
          </w:tcPr>
          <w:p w14:paraId="0C448C4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729D595">
            <w:pPr>
              <w:autoSpaceDE w:val="0"/>
              <w:autoSpaceDN w:val="0"/>
              <w:adjustRightInd w:val="0"/>
              <w:snapToGrid w:val="0"/>
              <w:jc w:val="center"/>
              <w:rPr>
                <w:rFonts w:ascii="Times New Roman"/>
                <w:sz w:val="21"/>
                <w:szCs w:val="21"/>
              </w:rPr>
            </w:pPr>
            <w:r>
              <w:rPr>
                <w:rFonts w:ascii="Times New Roman"/>
                <w:sz w:val="21"/>
                <w:szCs w:val="21"/>
              </w:rPr>
              <w:t>59.98</w:t>
            </w:r>
          </w:p>
        </w:tc>
        <w:tc>
          <w:tcPr>
            <w:tcW w:w="358" w:type="pct"/>
            <w:vAlign w:val="center"/>
          </w:tcPr>
          <w:p w14:paraId="50FF3A67">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3EFCD213">
            <w:pPr>
              <w:autoSpaceDE w:val="0"/>
              <w:autoSpaceDN w:val="0"/>
              <w:adjustRightInd w:val="0"/>
              <w:snapToGrid w:val="0"/>
              <w:jc w:val="center"/>
              <w:rPr>
                <w:rFonts w:ascii="Times New Roman"/>
                <w:sz w:val="21"/>
                <w:szCs w:val="21"/>
              </w:rPr>
            </w:pPr>
          </w:p>
        </w:tc>
        <w:tc>
          <w:tcPr>
            <w:tcW w:w="551" w:type="pct"/>
            <w:vAlign w:val="center"/>
          </w:tcPr>
          <w:p w14:paraId="44954FA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0D91F60">
            <w:pPr>
              <w:autoSpaceDE w:val="0"/>
              <w:autoSpaceDN w:val="0"/>
              <w:adjustRightInd w:val="0"/>
              <w:snapToGrid w:val="0"/>
              <w:jc w:val="center"/>
              <w:rPr>
                <w:rFonts w:ascii="Times New Roman"/>
                <w:sz w:val="21"/>
                <w:szCs w:val="21"/>
              </w:rPr>
            </w:pPr>
          </w:p>
        </w:tc>
        <w:tc>
          <w:tcPr>
            <w:tcW w:w="287" w:type="pct"/>
            <w:vMerge w:val="continue"/>
            <w:vAlign w:val="center"/>
          </w:tcPr>
          <w:p w14:paraId="2BEBD4C2">
            <w:pPr>
              <w:autoSpaceDE w:val="0"/>
              <w:autoSpaceDN w:val="0"/>
              <w:adjustRightInd w:val="0"/>
              <w:snapToGrid w:val="0"/>
              <w:jc w:val="center"/>
              <w:rPr>
                <w:rFonts w:ascii="Times New Roman"/>
                <w:sz w:val="21"/>
                <w:szCs w:val="21"/>
              </w:rPr>
            </w:pPr>
          </w:p>
        </w:tc>
        <w:tc>
          <w:tcPr>
            <w:tcW w:w="434" w:type="pct"/>
            <w:vMerge w:val="continue"/>
            <w:vAlign w:val="center"/>
          </w:tcPr>
          <w:p w14:paraId="412CC26B">
            <w:pPr>
              <w:autoSpaceDE w:val="0"/>
              <w:autoSpaceDN w:val="0"/>
              <w:adjustRightInd w:val="0"/>
              <w:snapToGrid w:val="0"/>
              <w:jc w:val="center"/>
              <w:rPr>
                <w:rFonts w:ascii="Times New Roman"/>
                <w:sz w:val="21"/>
                <w:szCs w:val="21"/>
              </w:rPr>
            </w:pPr>
          </w:p>
        </w:tc>
      </w:tr>
      <w:tr w14:paraId="779E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B10D515">
            <w:pPr>
              <w:autoSpaceDE w:val="0"/>
              <w:autoSpaceDN w:val="0"/>
              <w:adjustRightInd w:val="0"/>
              <w:snapToGrid w:val="0"/>
              <w:jc w:val="center"/>
              <w:rPr>
                <w:rFonts w:ascii="Times New Roman"/>
                <w:sz w:val="21"/>
                <w:szCs w:val="21"/>
              </w:rPr>
            </w:pPr>
          </w:p>
        </w:tc>
        <w:tc>
          <w:tcPr>
            <w:tcW w:w="697" w:type="pct"/>
            <w:vAlign w:val="center"/>
          </w:tcPr>
          <w:p w14:paraId="24D851A8">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25B1B04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3BD1E47">
            <w:pPr>
              <w:autoSpaceDE w:val="0"/>
              <w:autoSpaceDN w:val="0"/>
              <w:adjustRightInd w:val="0"/>
              <w:snapToGrid w:val="0"/>
              <w:jc w:val="center"/>
              <w:rPr>
                <w:rFonts w:ascii="Times New Roman"/>
                <w:sz w:val="21"/>
                <w:szCs w:val="21"/>
              </w:rPr>
            </w:pPr>
          </w:p>
        </w:tc>
        <w:tc>
          <w:tcPr>
            <w:tcW w:w="208" w:type="pct"/>
            <w:vAlign w:val="center"/>
          </w:tcPr>
          <w:p w14:paraId="0CCD77CA">
            <w:pPr>
              <w:autoSpaceDE w:val="0"/>
              <w:autoSpaceDN w:val="0"/>
              <w:adjustRightInd w:val="0"/>
              <w:snapToGrid w:val="0"/>
              <w:jc w:val="center"/>
              <w:rPr>
                <w:rFonts w:ascii="Times New Roman"/>
                <w:sz w:val="21"/>
                <w:szCs w:val="21"/>
              </w:rPr>
            </w:pPr>
            <w:r>
              <w:rPr>
                <w:rFonts w:ascii="Times New Roman"/>
                <w:sz w:val="21"/>
                <w:szCs w:val="21"/>
              </w:rPr>
              <w:t>485</w:t>
            </w:r>
          </w:p>
        </w:tc>
        <w:tc>
          <w:tcPr>
            <w:tcW w:w="201" w:type="pct"/>
            <w:vAlign w:val="center"/>
          </w:tcPr>
          <w:p w14:paraId="6F6AF980">
            <w:pPr>
              <w:autoSpaceDE w:val="0"/>
              <w:autoSpaceDN w:val="0"/>
              <w:adjustRightInd w:val="0"/>
              <w:snapToGrid w:val="0"/>
              <w:jc w:val="center"/>
              <w:rPr>
                <w:rFonts w:ascii="Times New Roman"/>
                <w:sz w:val="21"/>
                <w:szCs w:val="21"/>
              </w:rPr>
            </w:pPr>
            <w:r>
              <w:rPr>
                <w:rFonts w:ascii="Times New Roman"/>
                <w:sz w:val="21"/>
                <w:szCs w:val="21"/>
              </w:rPr>
              <w:t>202</w:t>
            </w:r>
          </w:p>
        </w:tc>
        <w:tc>
          <w:tcPr>
            <w:tcW w:w="240" w:type="pct"/>
            <w:vAlign w:val="center"/>
          </w:tcPr>
          <w:p w14:paraId="0786371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37CDB20">
            <w:pPr>
              <w:autoSpaceDE w:val="0"/>
              <w:autoSpaceDN w:val="0"/>
              <w:adjustRightInd w:val="0"/>
              <w:snapToGrid w:val="0"/>
              <w:jc w:val="center"/>
              <w:rPr>
                <w:rFonts w:ascii="Times New Roman"/>
                <w:sz w:val="21"/>
                <w:szCs w:val="21"/>
              </w:rPr>
            </w:pPr>
            <w:r>
              <w:rPr>
                <w:rFonts w:ascii="Times New Roman"/>
                <w:sz w:val="21"/>
                <w:szCs w:val="21"/>
              </w:rPr>
              <w:t>54.98</w:t>
            </w:r>
          </w:p>
        </w:tc>
        <w:tc>
          <w:tcPr>
            <w:tcW w:w="358" w:type="pct"/>
            <w:vAlign w:val="center"/>
          </w:tcPr>
          <w:p w14:paraId="166EA8FB">
            <w:pPr>
              <w:autoSpaceDE w:val="0"/>
              <w:autoSpaceDN w:val="0"/>
              <w:adjustRightInd w:val="0"/>
              <w:snapToGrid w:val="0"/>
              <w:jc w:val="center"/>
              <w:rPr>
                <w:rFonts w:ascii="Times New Roman"/>
                <w:sz w:val="21"/>
                <w:szCs w:val="21"/>
              </w:rPr>
            </w:pPr>
            <w:r>
              <w:rPr>
                <w:rFonts w:ascii="Times New Roman"/>
                <w:sz w:val="21"/>
                <w:szCs w:val="21"/>
              </w:rPr>
              <w:t>35</w:t>
            </w:r>
          </w:p>
        </w:tc>
        <w:tc>
          <w:tcPr>
            <w:tcW w:w="316" w:type="pct"/>
            <w:vMerge w:val="continue"/>
            <w:vAlign w:val="center"/>
          </w:tcPr>
          <w:p w14:paraId="6B891547">
            <w:pPr>
              <w:autoSpaceDE w:val="0"/>
              <w:autoSpaceDN w:val="0"/>
              <w:adjustRightInd w:val="0"/>
              <w:snapToGrid w:val="0"/>
              <w:jc w:val="center"/>
              <w:rPr>
                <w:rFonts w:ascii="Times New Roman"/>
                <w:sz w:val="21"/>
                <w:szCs w:val="21"/>
              </w:rPr>
            </w:pPr>
          </w:p>
        </w:tc>
        <w:tc>
          <w:tcPr>
            <w:tcW w:w="551" w:type="pct"/>
            <w:vAlign w:val="center"/>
          </w:tcPr>
          <w:p w14:paraId="1C6AC94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CE4B2FC">
            <w:pPr>
              <w:autoSpaceDE w:val="0"/>
              <w:autoSpaceDN w:val="0"/>
              <w:adjustRightInd w:val="0"/>
              <w:snapToGrid w:val="0"/>
              <w:jc w:val="center"/>
              <w:rPr>
                <w:rFonts w:ascii="Times New Roman"/>
                <w:sz w:val="21"/>
                <w:szCs w:val="21"/>
              </w:rPr>
            </w:pPr>
          </w:p>
        </w:tc>
        <w:tc>
          <w:tcPr>
            <w:tcW w:w="287" w:type="pct"/>
            <w:vMerge w:val="continue"/>
            <w:vAlign w:val="center"/>
          </w:tcPr>
          <w:p w14:paraId="29901C06">
            <w:pPr>
              <w:autoSpaceDE w:val="0"/>
              <w:autoSpaceDN w:val="0"/>
              <w:adjustRightInd w:val="0"/>
              <w:snapToGrid w:val="0"/>
              <w:jc w:val="center"/>
              <w:rPr>
                <w:rFonts w:ascii="Times New Roman"/>
                <w:sz w:val="21"/>
                <w:szCs w:val="21"/>
              </w:rPr>
            </w:pPr>
          </w:p>
        </w:tc>
        <w:tc>
          <w:tcPr>
            <w:tcW w:w="434" w:type="pct"/>
            <w:vMerge w:val="continue"/>
            <w:vAlign w:val="center"/>
          </w:tcPr>
          <w:p w14:paraId="7160ACBA">
            <w:pPr>
              <w:autoSpaceDE w:val="0"/>
              <w:autoSpaceDN w:val="0"/>
              <w:adjustRightInd w:val="0"/>
              <w:snapToGrid w:val="0"/>
              <w:jc w:val="center"/>
              <w:rPr>
                <w:rFonts w:ascii="Times New Roman"/>
                <w:sz w:val="21"/>
                <w:szCs w:val="21"/>
              </w:rPr>
            </w:pPr>
          </w:p>
        </w:tc>
      </w:tr>
      <w:tr w14:paraId="7693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FC304A3">
            <w:pPr>
              <w:autoSpaceDE w:val="0"/>
              <w:autoSpaceDN w:val="0"/>
              <w:adjustRightInd w:val="0"/>
              <w:snapToGrid w:val="0"/>
              <w:jc w:val="center"/>
              <w:rPr>
                <w:rFonts w:ascii="Times New Roman"/>
                <w:sz w:val="21"/>
                <w:szCs w:val="21"/>
              </w:rPr>
            </w:pPr>
          </w:p>
        </w:tc>
        <w:tc>
          <w:tcPr>
            <w:tcW w:w="697" w:type="pct"/>
            <w:vAlign w:val="center"/>
          </w:tcPr>
          <w:p w14:paraId="0D59E65D">
            <w:pPr>
              <w:autoSpaceDE w:val="0"/>
              <w:autoSpaceDN w:val="0"/>
              <w:adjustRightInd w:val="0"/>
              <w:snapToGrid w:val="0"/>
              <w:jc w:val="center"/>
              <w:rPr>
                <w:rFonts w:ascii="Times New Roman"/>
                <w:sz w:val="21"/>
                <w:szCs w:val="21"/>
              </w:rPr>
            </w:pPr>
            <w:r>
              <w:rPr>
                <w:rFonts w:ascii="Times New Roman"/>
                <w:sz w:val="21"/>
                <w:szCs w:val="21"/>
              </w:rPr>
              <w:t>焊机</w:t>
            </w:r>
          </w:p>
        </w:tc>
        <w:tc>
          <w:tcPr>
            <w:tcW w:w="346" w:type="pct"/>
            <w:vAlign w:val="center"/>
          </w:tcPr>
          <w:p w14:paraId="5C5EF13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B8B8049">
            <w:pPr>
              <w:autoSpaceDE w:val="0"/>
              <w:autoSpaceDN w:val="0"/>
              <w:adjustRightInd w:val="0"/>
              <w:snapToGrid w:val="0"/>
              <w:jc w:val="center"/>
              <w:rPr>
                <w:rFonts w:ascii="Times New Roman"/>
                <w:sz w:val="21"/>
                <w:szCs w:val="21"/>
              </w:rPr>
            </w:pPr>
          </w:p>
        </w:tc>
        <w:tc>
          <w:tcPr>
            <w:tcW w:w="208" w:type="pct"/>
            <w:vAlign w:val="center"/>
          </w:tcPr>
          <w:p w14:paraId="5219E9C1">
            <w:pPr>
              <w:autoSpaceDE w:val="0"/>
              <w:autoSpaceDN w:val="0"/>
              <w:adjustRightInd w:val="0"/>
              <w:snapToGrid w:val="0"/>
              <w:jc w:val="center"/>
              <w:rPr>
                <w:rFonts w:ascii="Times New Roman"/>
                <w:sz w:val="21"/>
                <w:szCs w:val="21"/>
              </w:rPr>
            </w:pPr>
            <w:r>
              <w:rPr>
                <w:rFonts w:ascii="Times New Roman"/>
                <w:sz w:val="21"/>
                <w:szCs w:val="21"/>
              </w:rPr>
              <w:t>475</w:t>
            </w:r>
          </w:p>
        </w:tc>
        <w:tc>
          <w:tcPr>
            <w:tcW w:w="201" w:type="pct"/>
            <w:vAlign w:val="center"/>
          </w:tcPr>
          <w:p w14:paraId="3E7C3ECC">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25805F7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CC34B37">
            <w:pPr>
              <w:autoSpaceDE w:val="0"/>
              <w:autoSpaceDN w:val="0"/>
              <w:adjustRightInd w:val="0"/>
              <w:snapToGrid w:val="0"/>
              <w:jc w:val="center"/>
              <w:rPr>
                <w:rFonts w:ascii="Times New Roman"/>
                <w:sz w:val="21"/>
                <w:szCs w:val="21"/>
              </w:rPr>
            </w:pPr>
            <w:r>
              <w:rPr>
                <w:rFonts w:ascii="Times New Roman"/>
                <w:sz w:val="21"/>
                <w:szCs w:val="21"/>
              </w:rPr>
              <w:t>64.98</w:t>
            </w:r>
          </w:p>
        </w:tc>
        <w:tc>
          <w:tcPr>
            <w:tcW w:w="358" w:type="pct"/>
            <w:vAlign w:val="center"/>
          </w:tcPr>
          <w:p w14:paraId="2DC08DD4">
            <w:pPr>
              <w:autoSpaceDE w:val="0"/>
              <w:autoSpaceDN w:val="0"/>
              <w:adjustRightInd w:val="0"/>
              <w:snapToGrid w:val="0"/>
              <w:jc w:val="center"/>
              <w:rPr>
                <w:rFonts w:ascii="Times New Roman"/>
                <w:sz w:val="21"/>
                <w:szCs w:val="21"/>
              </w:rPr>
            </w:pPr>
            <w:r>
              <w:rPr>
                <w:rFonts w:ascii="Times New Roman"/>
                <w:sz w:val="21"/>
                <w:szCs w:val="21"/>
              </w:rPr>
              <w:t>34</w:t>
            </w:r>
          </w:p>
        </w:tc>
        <w:tc>
          <w:tcPr>
            <w:tcW w:w="316" w:type="pct"/>
            <w:vMerge w:val="continue"/>
            <w:vAlign w:val="center"/>
          </w:tcPr>
          <w:p w14:paraId="31B375F8">
            <w:pPr>
              <w:autoSpaceDE w:val="0"/>
              <w:autoSpaceDN w:val="0"/>
              <w:adjustRightInd w:val="0"/>
              <w:snapToGrid w:val="0"/>
              <w:jc w:val="center"/>
              <w:rPr>
                <w:rFonts w:ascii="Times New Roman"/>
                <w:sz w:val="21"/>
                <w:szCs w:val="21"/>
              </w:rPr>
            </w:pPr>
          </w:p>
        </w:tc>
        <w:tc>
          <w:tcPr>
            <w:tcW w:w="551" w:type="pct"/>
            <w:vAlign w:val="center"/>
          </w:tcPr>
          <w:p w14:paraId="0748149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4143375">
            <w:pPr>
              <w:autoSpaceDE w:val="0"/>
              <w:autoSpaceDN w:val="0"/>
              <w:adjustRightInd w:val="0"/>
              <w:snapToGrid w:val="0"/>
              <w:jc w:val="center"/>
              <w:rPr>
                <w:rFonts w:ascii="Times New Roman"/>
                <w:sz w:val="21"/>
                <w:szCs w:val="21"/>
              </w:rPr>
            </w:pPr>
          </w:p>
        </w:tc>
        <w:tc>
          <w:tcPr>
            <w:tcW w:w="287" w:type="pct"/>
            <w:vMerge w:val="continue"/>
            <w:vAlign w:val="center"/>
          </w:tcPr>
          <w:p w14:paraId="20E2396E">
            <w:pPr>
              <w:autoSpaceDE w:val="0"/>
              <w:autoSpaceDN w:val="0"/>
              <w:adjustRightInd w:val="0"/>
              <w:snapToGrid w:val="0"/>
              <w:jc w:val="center"/>
              <w:rPr>
                <w:rFonts w:ascii="Times New Roman"/>
                <w:sz w:val="21"/>
                <w:szCs w:val="21"/>
              </w:rPr>
            </w:pPr>
          </w:p>
        </w:tc>
        <w:tc>
          <w:tcPr>
            <w:tcW w:w="434" w:type="pct"/>
            <w:vMerge w:val="continue"/>
            <w:vAlign w:val="center"/>
          </w:tcPr>
          <w:p w14:paraId="0BEF178E">
            <w:pPr>
              <w:autoSpaceDE w:val="0"/>
              <w:autoSpaceDN w:val="0"/>
              <w:adjustRightInd w:val="0"/>
              <w:snapToGrid w:val="0"/>
              <w:jc w:val="center"/>
              <w:rPr>
                <w:rFonts w:ascii="Times New Roman"/>
                <w:sz w:val="21"/>
                <w:szCs w:val="21"/>
              </w:rPr>
            </w:pPr>
          </w:p>
        </w:tc>
      </w:tr>
      <w:tr w14:paraId="1235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BEB90AE">
            <w:pPr>
              <w:autoSpaceDE w:val="0"/>
              <w:autoSpaceDN w:val="0"/>
              <w:adjustRightInd w:val="0"/>
              <w:snapToGrid w:val="0"/>
              <w:jc w:val="center"/>
              <w:rPr>
                <w:rFonts w:ascii="Times New Roman"/>
                <w:sz w:val="21"/>
                <w:szCs w:val="21"/>
              </w:rPr>
            </w:pPr>
          </w:p>
        </w:tc>
        <w:tc>
          <w:tcPr>
            <w:tcW w:w="697" w:type="pct"/>
            <w:vAlign w:val="center"/>
          </w:tcPr>
          <w:p w14:paraId="2FD4705C">
            <w:pPr>
              <w:autoSpaceDE w:val="0"/>
              <w:autoSpaceDN w:val="0"/>
              <w:adjustRightInd w:val="0"/>
              <w:snapToGrid w:val="0"/>
              <w:jc w:val="center"/>
              <w:rPr>
                <w:rFonts w:ascii="Times New Roman"/>
                <w:sz w:val="21"/>
                <w:szCs w:val="21"/>
              </w:rPr>
            </w:pPr>
            <w:r>
              <w:rPr>
                <w:rFonts w:ascii="Times New Roman"/>
                <w:sz w:val="21"/>
                <w:szCs w:val="21"/>
              </w:rPr>
              <w:t>抛丸设备</w:t>
            </w:r>
          </w:p>
        </w:tc>
        <w:tc>
          <w:tcPr>
            <w:tcW w:w="346" w:type="pct"/>
            <w:vAlign w:val="center"/>
          </w:tcPr>
          <w:p w14:paraId="7C8900B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5592CB5">
            <w:pPr>
              <w:autoSpaceDE w:val="0"/>
              <w:autoSpaceDN w:val="0"/>
              <w:adjustRightInd w:val="0"/>
              <w:snapToGrid w:val="0"/>
              <w:jc w:val="center"/>
              <w:rPr>
                <w:rFonts w:ascii="Times New Roman"/>
                <w:sz w:val="21"/>
                <w:szCs w:val="21"/>
              </w:rPr>
            </w:pPr>
          </w:p>
        </w:tc>
        <w:tc>
          <w:tcPr>
            <w:tcW w:w="208" w:type="pct"/>
            <w:vAlign w:val="center"/>
          </w:tcPr>
          <w:p w14:paraId="2C438252">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77565ABF">
            <w:pPr>
              <w:autoSpaceDE w:val="0"/>
              <w:autoSpaceDN w:val="0"/>
              <w:adjustRightInd w:val="0"/>
              <w:snapToGrid w:val="0"/>
              <w:jc w:val="center"/>
              <w:rPr>
                <w:rFonts w:ascii="Times New Roman"/>
                <w:sz w:val="21"/>
                <w:szCs w:val="21"/>
              </w:rPr>
            </w:pPr>
            <w:r>
              <w:rPr>
                <w:rFonts w:ascii="Times New Roman"/>
                <w:sz w:val="21"/>
                <w:szCs w:val="21"/>
              </w:rPr>
              <w:t>320</w:t>
            </w:r>
          </w:p>
        </w:tc>
        <w:tc>
          <w:tcPr>
            <w:tcW w:w="240" w:type="pct"/>
            <w:vAlign w:val="center"/>
          </w:tcPr>
          <w:p w14:paraId="1E788CA8">
            <w:pPr>
              <w:autoSpaceDE w:val="0"/>
              <w:autoSpaceDN w:val="0"/>
              <w:adjustRightInd w:val="0"/>
              <w:snapToGrid w:val="0"/>
              <w:jc w:val="center"/>
              <w:rPr>
                <w:rFonts w:ascii="Times New Roman"/>
                <w:sz w:val="21"/>
                <w:szCs w:val="21"/>
              </w:rPr>
            </w:pPr>
            <w:r>
              <w:rPr>
                <w:rFonts w:ascii="Times New Roman"/>
                <w:sz w:val="21"/>
                <w:szCs w:val="21"/>
              </w:rPr>
              <w:t>0.9</w:t>
            </w:r>
          </w:p>
        </w:tc>
        <w:tc>
          <w:tcPr>
            <w:tcW w:w="346" w:type="pct"/>
            <w:vAlign w:val="center"/>
          </w:tcPr>
          <w:p w14:paraId="0588E4D8">
            <w:pPr>
              <w:autoSpaceDE w:val="0"/>
              <w:autoSpaceDN w:val="0"/>
              <w:adjustRightInd w:val="0"/>
              <w:snapToGrid w:val="0"/>
              <w:jc w:val="center"/>
              <w:rPr>
                <w:rFonts w:ascii="Times New Roman"/>
                <w:sz w:val="21"/>
                <w:szCs w:val="21"/>
              </w:rPr>
            </w:pPr>
            <w:r>
              <w:rPr>
                <w:rFonts w:ascii="Times New Roman"/>
                <w:sz w:val="21"/>
                <w:szCs w:val="21"/>
              </w:rPr>
              <w:t>14.6</w:t>
            </w:r>
          </w:p>
        </w:tc>
        <w:tc>
          <w:tcPr>
            <w:tcW w:w="358" w:type="pct"/>
            <w:vAlign w:val="center"/>
          </w:tcPr>
          <w:p w14:paraId="71BC0E46">
            <w:pPr>
              <w:autoSpaceDE w:val="0"/>
              <w:autoSpaceDN w:val="0"/>
              <w:adjustRightInd w:val="0"/>
              <w:snapToGrid w:val="0"/>
              <w:jc w:val="center"/>
              <w:rPr>
                <w:rFonts w:ascii="Times New Roman"/>
                <w:sz w:val="21"/>
                <w:szCs w:val="21"/>
              </w:rPr>
            </w:pPr>
            <w:r>
              <w:rPr>
                <w:rFonts w:ascii="Times New Roman"/>
                <w:sz w:val="21"/>
                <w:szCs w:val="21"/>
              </w:rPr>
              <w:t>57</w:t>
            </w:r>
          </w:p>
        </w:tc>
        <w:tc>
          <w:tcPr>
            <w:tcW w:w="316" w:type="pct"/>
            <w:vMerge w:val="continue"/>
            <w:vAlign w:val="center"/>
          </w:tcPr>
          <w:p w14:paraId="2251DD9A">
            <w:pPr>
              <w:autoSpaceDE w:val="0"/>
              <w:autoSpaceDN w:val="0"/>
              <w:adjustRightInd w:val="0"/>
              <w:snapToGrid w:val="0"/>
              <w:jc w:val="center"/>
              <w:rPr>
                <w:rFonts w:ascii="Times New Roman"/>
                <w:sz w:val="21"/>
                <w:szCs w:val="21"/>
              </w:rPr>
            </w:pPr>
          </w:p>
        </w:tc>
        <w:tc>
          <w:tcPr>
            <w:tcW w:w="551" w:type="pct"/>
            <w:vAlign w:val="center"/>
          </w:tcPr>
          <w:p w14:paraId="56E75F4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419C919">
            <w:pPr>
              <w:autoSpaceDE w:val="0"/>
              <w:autoSpaceDN w:val="0"/>
              <w:adjustRightInd w:val="0"/>
              <w:snapToGrid w:val="0"/>
              <w:jc w:val="center"/>
              <w:rPr>
                <w:rFonts w:ascii="Times New Roman"/>
                <w:sz w:val="21"/>
                <w:szCs w:val="21"/>
              </w:rPr>
            </w:pPr>
          </w:p>
        </w:tc>
        <w:tc>
          <w:tcPr>
            <w:tcW w:w="287" w:type="pct"/>
            <w:vMerge w:val="continue"/>
            <w:vAlign w:val="center"/>
          </w:tcPr>
          <w:p w14:paraId="71157A31">
            <w:pPr>
              <w:autoSpaceDE w:val="0"/>
              <w:autoSpaceDN w:val="0"/>
              <w:adjustRightInd w:val="0"/>
              <w:snapToGrid w:val="0"/>
              <w:jc w:val="center"/>
              <w:rPr>
                <w:rFonts w:ascii="Times New Roman"/>
                <w:sz w:val="21"/>
                <w:szCs w:val="21"/>
              </w:rPr>
            </w:pPr>
          </w:p>
        </w:tc>
        <w:tc>
          <w:tcPr>
            <w:tcW w:w="434" w:type="pct"/>
            <w:vMerge w:val="continue"/>
            <w:vAlign w:val="center"/>
          </w:tcPr>
          <w:p w14:paraId="10095A7D">
            <w:pPr>
              <w:autoSpaceDE w:val="0"/>
              <w:autoSpaceDN w:val="0"/>
              <w:adjustRightInd w:val="0"/>
              <w:snapToGrid w:val="0"/>
              <w:jc w:val="center"/>
              <w:rPr>
                <w:rFonts w:ascii="Times New Roman"/>
                <w:sz w:val="21"/>
                <w:szCs w:val="21"/>
              </w:rPr>
            </w:pPr>
          </w:p>
        </w:tc>
      </w:tr>
      <w:tr w14:paraId="3A27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0CF0EE8">
            <w:pPr>
              <w:autoSpaceDE w:val="0"/>
              <w:autoSpaceDN w:val="0"/>
              <w:adjustRightInd w:val="0"/>
              <w:snapToGrid w:val="0"/>
              <w:jc w:val="center"/>
              <w:rPr>
                <w:rFonts w:ascii="Times New Roman"/>
                <w:sz w:val="21"/>
                <w:szCs w:val="21"/>
              </w:rPr>
            </w:pPr>
          </w:p>
        </w:tc>
        <w:tc>
          <w:tcPr>
            <w:tcW w:w="697" w:type="pct"/>
            <w:vAlign w:val="center"/>
          </w:tcPr>
          <w:p w14:paraId="1DAAEFA8">
            <w:pPr>
              <w:autoSpaceDE w:val="0"/>
              <w:autoSpaceDN w:val="0"/>
              <w:adjustRightInd w:val="0"/>
              <w:snapToGrid w:val="0"/>
              <w:jc w:val="center"/>
              <w:rPr>
                <w:rFonts w:ascii="Times New Roman"/>
                <w:sz w:val="21"/>
                <w:szCs w:val="21"/>
              </w:rPr>
            </w:pPr>
            <w:r>
              <w:rPr>
                <w:rFonts w:ascii="Times New Roman"/>
                <w:sz w:val="21"/>
                <w:szCs w:val="21"/>
              </w:rPr>
              <w:t>电泳固化炉</w:t>
            </w:r>
          </w:p>
        </w:tc>
        <w:tc>
          <w:tcPr>
            <w:tcW w:w="346" w:type="pct"/>
            <w:vAlign w:val="center"/>
          </w:tcPr>
          <w:p w14:paraId="1A225F37">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3A647D1B">
            <w:pPr>
              <w:autoSpaceDE w:val="0"/>
              <w:autoSpaceDN w:val="0"/>
              <w:adjustRightInd w:val="0"/>
              <w:snapToGrid w:val="0"/>
              <w:jc w:val="center"/>
              <w:rPr>
                <w:rFonts w:ascii="Times New Roman"/>
                <w:sz w:val="21"/>
                <w:szCs w:val="21"/>
              </w:rPr>
            </w:pPr>
          </w:p>
        </w:tc>
        <w:tc>
          <w:tcPr>
            <w:tcW w:w="208" w:type="pct"/>
            <w:vAlign w:val="center"/>
          </w:tcPr>
          <w:p w14:paraId="0E869575">
            <w:pPr>
              <w:autoSpaceDE w:val="0"/>
              <w:autoSpaceDN w:val="0"/>
              <w:adjustRightInd w:val="0"/>
              <w:snapToGrid w:val="0"/>
              <w:jc w:val="center"/>
              <w:rPr>
                <w:rFonts w:ascii="Times New Roman"/>
                <w:sz w:val="21"/>
                <w:szCs w:val="21"/>
              </w:rPr>
            </w:pPr>
            <w:r>
              <w:rPr>
                <w:rFonts w:ascii="Times New Roman"/>
                <w:sz w:val="21"/>
                <w:szCs w:val="21"/>
              </w:rPr>
              <w:t>480</w:t>
            </w:r>
          </w:p>
        </w:tc>
        <w:tc>
          <w:tcPr>
            <w:tcW w:w="201" w:type="pct"/>
            <w:vAlign w:val="center"/>
          </w:tcPr>
          <w:p w14:paraId="3A994719">
            <w:pPr>
              <w:autoSpaceDE w:val="0"/>
              <w:autoSpaceDN w:val="0"/>
              <w:adjustRightInd w:val="0"/>
              <w:snapToGrid w:val="0"/>
              <w:jc w:val="center"/>
              <w:rPr>
                <w:rFonts w:ascii="Times New Roman"/>
                <w:sz w:val="21"/>
                <w:szCs w:val="21"/>
              </w:rPr>
            </w:pPr>
            <w:r>
              <w:rPr>
                <w:rFonts w:ascii="Times New Roman"/>
                <w:sz w:val="21"/>
                <w:szCs w:val="21"/>
              </w:rPr>
              <w:t>305</w:t>
            </w:r>
          </w:p>
        </w:tc>
        <w:tc>
          <w:tcPr>
            <w:tcW w:w="240" w:type="pct"/>
            <w:vAlign w:val="center"/>
          </w:tcPr>
          <w:p w14:paraId="1A443A34">
            <w:pPr>
              <w:autoSpaceDE w:val="0"/>
              <w:autoSpaceDN w:val="0"/>
              <w:adjustRightInd w:val="0"/>
              <w:snapToGrid w:val="0"/>
              <w:jc w:val="center"/>
              <w:rPr>
                <w:rFonts w:ascii="Times New Roman"/>
                <w:sz w:val="21"/>
                <w:szCs w:val="21"/>
              </w:rPr>
            </w:pPr>
            <w:r>
              <w:rPr>
                <w:rFonts w:ascii="Times New Roman"/>
                <w:sz w:val="21"/>
                <w:szCs w:val="21"/>
              </w:rPr>
              <w:t>1.0</w:t>
            </w:r>
          </w:p>
        </w:tc>
        <w:tc>
          <w:tcPr>
            <w:tcW w:w="346" w:type="pct"/>
            <w:vAlign w:val="center"/>
          </w:tcPr>
          <w:p w14:paraId="6F27BCD7">
            <w:pPr>
              <w:autoSpaceDE w:val="0"/>
              <w:autoSpaceDN w:val="0"/>
              <w:adjustRightInd w:val="0"/>
              <w:snapToGrid w:val="0"/>
              <w:jc w:val="center"/>
              <w:rPr>
                <w:rFonts w:ascii="Times New Roman"/>
                <w:sz w:val="21"/>
                <w:szCs w:val="21"/>
              </w:rPr>
            </w:pPr>
            <w:r>
              <w:rPr>
                <w:rFonts w:ascii="Times New Roman"/>
                <w:sz w:val="21"/>
                <w:szCs w:val="21"/>
              </w:rPr>
              <w:t>29.6</w:t>
            </w:r>
          </w:p>
        </w:tc>
        <w:tc>
          <w:tcPr>
            <w:tcW w:w="358" w:type="pct"/>
            <w:vAlign w:val="center"/>
          </w:tcPr>
          <w:p w14:paraId="69F236A1">
            <w:pPr>
              <w:autoSpaceDE w:val="0"/>
              <w:autoSpaceDN w:val="0"/>
              <w:adjustRightInd w:val="0"/>
              <w:snapToGrid w:val="0"/>
              <w:jc w:val="center"/>
              <w:rPr>
                <w:rFonts w:ascii="Times New Roman"/>
                <w:sz w:val="21"/>
                <w:szCs w:val="21"/>
              </w:rPr>
            </w:pPr>
            <w:r>
              <w:rPr>
                <w:rFonts w:ascii="Times New Roman"/>
                <w:sz w:val="21"/>
                <w:szCs w:val="21"/>
              </w:rPr>
              <w:t>46</w:t>
            </w:r>
          </w:p>
        </w:tc>
        <w:tc>
          <w:tcPr>
            <w:tcW w:w="316" w:type="pct"/>
            <w:vMerge w:val="continue"/>
            <w:vAlign w:val="center"/>
          </w:tcPr>
          <w:p w14:paraId="18AED41E">
            <w:pPr>
              <w:autoSpaceDE w:val="0"/>
              <w:autoSpaceDN w:val="0"/>
              <w:adjustRightInd w:val="0"/>
              <w:snapToGrid w:val="0"/>
              <w:jc w:val="center"/>
              <w:rPr>
                <w:rFonts w:ascii="Times New Roman"/>
                <w:sz w:val="21"/>
                <w:szCs w:val="21"/>
              </w:rPr>
            </w:pPr>
          </w:p>
        </w:tc>
        <w:tc>
          <w:tcPr>
            <w:tcW w:w="551" w:type="pct"/>
            <w:vAlign w:val="center"/>
          </w:tcPr>
          <w:p w14:paraId="51B4D0C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D56078A">
            <w:pPr>
              <w:autoSpaceDE w:val="0"/>
              <w:autoSpaceDN w:val="0"/>
              <w:adjustRightInd w:val="0"/>
              <w:snapToGrid w:val="0"/>
              <w:jc w:val="center"/>
              <w:rPr>
                <w:rFonts w:ascii="Times New Roman"/>
                <w:sz w:val="21"/>
                <w:szCs w:val="21"/>
              </w:rPr>
            </w:pPr>
          </w:p>
        </w:tc>
        <w:tc>
          <w:tcPr>
            <w:tcW w:w="287" w:type="pct"/>
            <w:vMerge w:val="continue"/>
            <w:vAlign w:val="center"/>
          </w:tcPr>
          <w:p w14:paraId="5E519D68">
            <w:pPr>
              <w:autoSpaceDE w:val="0"/>
              <w:autoSpaceDN w:val="0"/>
              <w:adjustRightInd w:val="0"/>
              <w:snapToGrid w:val="0"/>
              <w:jc w:val="center"/>
              <w:rPr>
                <w:rFonts w:ascii="Times New Roman"/>
                <w:sz w:val="21"/>
                <w:szCs w:val="21"/>
              </w:rPr>
            </w:pPr>
          </w:p>
        </w:tc>
        <w:tc>
          <w:tcPr>
            <w:tcW w:w="434" w:type="pct"/>
            <w:vMerge w:val="continue"/>
            <w:vAlign w:val="center"/>
          </w:tcPr>
          <w:p w14:paraId="1A6C39C0">
            <w:pPr>
              <w:autoSpaceDE w:val="0"/>
              <w:autoSpaceDN w:val="0"/>
              <w:adjustRightInd w:val="0"/>
              <w:snapToGrid w:val="0"/>
              <w:jc w:val="center"/>
              <w:rPr>
                <w:rFonts w:ascii="Times New Roman"/>
                <w:sz w:val="21"/>
                <w:szCs w:val="21"/>
              </w:rPr>
            </w:pPr>
          </w:p>
        </w:tc>
      </w:tr>
      <w:tr w14:paraId="104A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B085DE8">
            <w:pPr>
              <w:autoSpaceDE w:val="0"/>
              <w:autoSpaceDN w:val="0"/>
              <w:adjustRightInd w:val="0"/>
              <w:snapToGrid w:val="0"/>
              <w:jc w:val="center"/>
              <w:rPr>
                <w:rFonts w:ascii="Times New Roman"/>
                <w:sz w:val="21"/>
                <w:szCs w:val="21"/>
              </w:rPr>
            </w:pPr>
          </w:p>
        </w:tc>
        <w:tc>
          <w:tcPr>
            <w:tcW w:w="697" w:type="pct"/>
            <w:vAlign w:val="center"/>
          </w:tcPr>
          <w:p w14:paraId="5E607F9D">
            <w:pPr>
              <w:autoSpaceDE w:val="0"/>
              <w:autoSpaceDN w:val="0"/>
              <w:adjustRightInd w:val="0"/>
              <w:snapToGrid w:val="0"/>
              <w:jc w:val="center"/>
              <w:rPr>
                <w:rFonts w:ascii="Times New Roman"/>
                <w:sz w:val="21"/>
                <w:szCs w:val="21"/>
              </w:rPr>
            </w:pPr>
            <w:r>
              <w:rPr>
                <w:rFonts w:ascii="Times New Roman"/>
                <w:sz w:val="21"/>
                <w:szCs w:val="21"/>
              </w:rPr>
              <w:t>油漆烘干炉</w:t>
            </w:r>
          </w:p>
        </w:tc>
        <w:tc>
          <w:tcPr>
            <w:tcW w:w="346" w:type="pct"/>
            <w:vAlign w:val="center"/>
          </w:tcPr>
          <w:p w14:paraId="11E412DD">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4ED4C785">
            <w:pPr>
              <w:autoSpaceDE w:val="0"/>
              <w:autoSpaceDN w:val="0"/>
              <w:adjustRightInd w:val="0"/>
              <w:snapToGrid w:val="0"/>
              <w:jc w:val="center"/>
              <w:rPr>
                <w:rFonts w:ascii="Times New Roman"/>
                <w:sz w:val="21"/>
                <w:szCs w:val="21"/>
              </w:rPr>
            </w:pPr>
          </w:p>
        </w:tc>
        <w:tc>
          <w:tcPr>
            <w:tcW w:w="208" w:type="pct"/>
            <w:vAlign w:val="center"/>
          </w:tcPr>
          <w:p w14:paraId="6A08B4AB">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5F2B08FE">
            <w:pPr>
              <w:autoSpaceDE w:val="0"/>
              <w:autoSpaceDN w:val="0"/>
              <w:adjustRightInd w:val="0"/>
              <w:snapToGrid w:val="0"/>
              <w:jc w:val="center"/>
              <w:rPr>
                <w:rFonts w:ascii="Times New Roman"/>
                <w:sz w:val="21"/>
                <w:szCs w:val="21"/>
              </w:rPr>
            </w:pPr>
            <w:r>
              <w:rPr>
                <w:rFonts w:ascii="Times New Roman"/>
                <w:sz w:val="21"/>
                <w:szCs w:val="21"/>
              </w:rPr>
              <w:t>315</w:t>
            </w:r>
          </w:p>
        </w:tc>
        <w:tc>
          <w:tcPr>
            <w:tcW w:w="240" w:type="pct"/>
            <w:vAlign w:val="center"/>
          </w:tcPr>
          <w:p w14:paraId="7B9AE15E">
            <w:pPr>
              <w:autoSpaceDE w:val="0"/>
              <w:autoSpaceDN w:val="0"/>
              <w:adjustRightInd w:val="0"/>
              <w:snapToGrid w:val="0"/>
              <w:jc w:val="center"/>
              <w:rPr>
                <w:rFonts w:ascii="Times New Roman"/>
                <w:sz w:val="21"/>
                <w:szCs w:val="21"/>
              </w:rPr>
            </w:pPr>
            <w:r>
              <w:rPr>
                <w:rFonts w:ascii="Times New Roman"/>
                <w:sz w:val="21"/>
                <w:szCs w:val="21"/>
              </w:rPr>
              <w:t>1.0</w:t>
            </w:r>
          </w:p>
        </w:tc>
        <w:tc>
          <w:tcPr>
            <w:tcW w:w="346" w:type="pct"/>
            <w:vAlign w:val="center"/>
          </w:tcPr>
          <w:p w14:paraId="13D681F5">
            <w:pPr>
              <w:autoSpaceDE w:val="0"/>
              <w:autoSpaceDN w:val="0"/>
              <w:adjustRightInd w:val="0"/>
              <w:snapToGrid w:val="0"/>
              <w:jc w:val="center"/>
              <w:rPr>
                <w:rFonts w:ascii="Times New Roman"/>
                <w:sz w:val="21"/>
                <w:szCs w:val="21"/>
              </w:rPr>
            </w:pPr>
            <w:r>
              <w:rPr>
                <w:rFonts w:ascii="Times New Roman"/>
                <w:sz w:val="21"/>
                <w:szCs w:val="21"/>
              </w:rPr>
              <w:t>19.6</w:t>
            </w:r>
          </w:p>
        </w:tc>
        <w:tc>
          <w:tcPr>
            <w:tcW w:w="358" w:type="pct"/>
            <w:vAlign w:val="center"/>
          </w:tcPr>
          <w:p w14:paraId="094C7BEF">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5FA8ED3C">
            <w:pPr>
              <w:autoSpaceDE w:val="0"/>
              <w:autoSpaceDN w:val="0"/>
              <w:adjustRightInd w:val="0"/>
              <w:snapToGrid w:val="0"/>
              <w:jc w:val="center"/>
              <w:rPr>
                <w:rFonts w:ascii="Times New Roman"/>
                <w:sz w:val="21"/>
                <w:szCs w:val="21"/>
              </w:rPr>
            </w:pPr>
          </w:p>
        </w:tc>
        <w:tc>
          <w:tcPr>
            <w:tcW w:w="551" w:type="pct"/>
            <w:vAlign w:val="center"/>
          </w:tcPr>
          <w:p w14:paraId="0850560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8CC40EC">
            <w:pPr>
              <w:autoSpaceDE w:val="0"/>
              <w:autoSpaceDN w:val="0"/>
              <w:adjustRightInd w:val="0"/>
              <w:snapToGrid w:val="0"/>
              <w:jc w:val="center"/>
              <w:rPr>
                <w:rFonts w:ascii="Times New Roman"/>
                <w:sz w:val="21"/>
                <w:szCs w:val="21"/>
              </w:rPr>
            </w:pPr>
          </w:p>
        </w:tc>
        <w:tc>
          <w:tcPr>
            <w:tcW w:w="287" w:type="pct"/>
            <w:vMerge w:val="continue"/>
            <w:vAlign w:val="center"/>
          </w:tcPr>
          <w:p w14:paraId="6AE7DA25">
            <w:pPr>
              <w:autoSpaceDE w:val="0"/>
              <w:autoSpaceDN w:val="0"/>
              <w:adjustRightInd w:val="0"/>
              <w:snapToGrid w:val="0"/>
              <w:jc w:val="center"/>
              <w:rPr>
                <w:rFonts w:ascii="Times New Roman"/>
                <w:sz w:val="21"/>
                <w:szCs w:val="21"/>
              </w:rPr>
            </w:pPr>
          </w:p>
        </w:tc>
        <w:tc>
          <w:tcPr>
            <w:tcW w:w="434" w:type="pct"/>
            <w:vMerge w:val="continue"/>
            <w:vAlign w:val="center"/>
          </w:tcPr>
          <w:p w14:paraId="741C8CA1">
            <w:pPr>
              <w:autoSpaceDE w:val="0"/>
              <w:autoSpaceDN w:val="0"/>
              <w:adjustRightInd w:val="0"/>
              <w:snapToGrid w:val="0"/>
              <w:jc w:val="center"/>
              <w:rPr>
                <w:rFonts w:ascii="Times New Roman"/>
                <w:sz w:val="21"/>
                <w:szCs w:val="21"/>
              </w:rPr>
            </w:pPr>
          </w:p>
        </w:tc>
      </w:tr>
      <w:tr w14:paraId="537F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BEF78B0">
            <w:pPr>
              <w:autoSpaceDE w:val="0"/>
              <w:autoSpaceDN w:val="0"/>
              <w:adjustRightInd w:val="0"/>
              <w:snapToGrid w:val="0"/>
              <w:jc w:val="center"/>
              <w:rPr>
                <w:rFonts w:ascii="Times New Roman"/>
                <w:sz w:val="21"/>
                <w:szCs w:val="21"/>
              </w:rPr>
            </w:pPr>
          </w:p>
        </w:tc>
        <w:tc>
          <w:tcPr>
            <w:tcW w:w="697" w:type="pct"/>
            <w:vAlign w:val="center"/>
          </w:tcPr>
          <w:p w14:paraId="4D425D51">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04165D7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8CC23DE">
            <w:pPr>
              <w:autoSpaceDE w:val="0"/>
              <w:autoSpaceDN w:val="0"/>
              <w:adjustRightInd w:val="0"/>
              <w:snapToGrid w:val="0"/>
              <w:jc w:val="center"/>
              <w:rPr>
                <w:rFonts w:ascii="Times New Roman"/>
                <w:sz w:val="21"/>
                <w:szCs w:val="21"/>
              </w:rPr>
            </w:pPr>
          </w:p>
        </w:tc>
        <w:tc>
          <w:tcPr>
            <w:tcW w:w="208" w:type="pct"/>
            <w:vAlign w:val="center"/>
          </w:tcPr>
          <w:p w14:paraId="561A5215">
            <w:pPr>
              <w:autoSpaceDE w:val="0"/>
              <w:autoSpaceDN w:val="0"/>
              <w:adjustRightInd w:val="0"/>
              <w:snapToGrid w:val="0"/>
              <w:jc w:val="center"/>
              <w:rPr>
                <w:rFonts w:ascii="Times New Roman"/>
                <w:sz w:val="21"/>
                <w:szCs w:val="21"/>
              </w:rPr>
            </w:pPr>
            <w:r>
              <w:rPr>
                <w:rFonts w:ascii="Times New Roman"/>
                <w:sz w:val="21"/>
                <w:szCs w:val="21"/>
              </w:rPr>
              <w:t>360</w:t>
            </w:r>
          </w:p>
        </w:tc>
        <w:tc>
          <w:tcPr>
            <w:tcW w:w="201" w:type="pct"/>
            <w:vAlign w:val="center"/>
          </w:tcPr>
          <w:p w14:paraId="4537A013">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637BED5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BFA33C7">
            <w:pPr>
              <w:autoSpaceDE w:val="0"/>
              <w:autoSpaceDN w:val="0"/>
              <w:adjustRightInd w:val="0"/>
              <w:snapToGrid w:val="0"/>
              <w:jc w:val="center"/>
              <w:rPr>
                <w:rFonts w:ascii="Times New Roman"/>
                <w:sz w:val="21"/>
                <w:szCs w:val="21"/>
              </w:rPr>
            </w:pPr>
            <w:r>
              <w:rPr>
                <w:rFonts w:ascii="Times New Roman"/>
                <w:sz w:val="21"/>
                <w:szCs w:val="21"/>
              </w:rPr>
              <w:t>119.15</w:t>
            </w:r>
          </w:p>
        </w:tc>
        <w:tc>
          <w:tcPr>
            <w:tcW w:w="358" w:type="pct"/>
            <w:vAlign w:val="center"/>
          </w:tcPr>
          <w:p w14:paraId="224E7904">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1DAE80B4">
            <w:pPr>
              <w:autoSpaceDE w:val="0"/>
              <w:autoSpaceDN w:val="0"/>
              <w:adjustRightInd w:val="0"/>
              <w:snapToGrid w:val="0"/>
              <w:jc w:val="center"/>
              <w:rPr>
                <w:rFonts w:ascii="Times New Roman"/>
                <w:sz w:val="21"/>
                <w:szCs w:val="21"/>
              </w:rPr>
            </w:pPr>
          </w:p>
        </w:tc>
        <w:tc>
          <w:tcPr>
            <w:tcW w:w="551" w:type="pct"/>
            <w:vAlign w:val="center"/>
          </w:tcPr>
          <w:p w14:paraId="77B48D0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62DE9E5">
            <w:pPr>
              <w:autoSpaceDE w:val="0"/>
              <w:autoSpaceDN w:val="0"/>
              <w:adjustRightInd w:val="0"/>
              <w:snapToGrid w:val="0"/>
              <w:jc w:val="center"/>
              <w:rPr>
                <w:rFonts w:ascii="Times New Roman"/>
                <w:sz w:val="21"/>
                <w:szCs w:val="21"/>
              </w:rPr>
            </w:pPr>
          </w:p>
        </w:tc>
        <w:tc>
          <w:tcPr>
            <w:tcW w:w="287" w:type="pct"/>
            <w:vMerge w:val="continue"/>
            <w:vAlign w:val="center"/>
          </w:tcPr>
          <w:p w14:paraId="735DA23D">
            <w:pPr>
              <w:autoSpaceDE w:val="0"/>
              <w:autoSpaceDN w:val="0"/>
              <w:adjustRightInd w:val="0"/>
              <w:snapToGrid w:val="0"/>
              <w:jc w:val="center"/>
              <w:rPr>
                <w:rFonts w:ascii="Times New Roman"/>
                <w:sz w:val="21"/>
                <w:szCs w:val="21"/>
              </w:rPr>
            </w:pPr>
          </w:p>
        </w:tc>
        <w:tc>
          <w:tcPr>
            <w:tcW w:w="434" w:type="pct"/>
            <w:vMerge w:val="continue"/>
            <w:vAlign w:val="center"/>
          </w:tcPr>
          <w:p w14:paraId="1B510C8E">
            <w:pPr>
              <w:autoSpaceDE w:val="0"/>
              <w:autoSpaceDN w:val="0"/>
              <w:adjustRightInd w:val="0"/>
              <w:snapToGrid w:val="0"/>
              <w:jc w:val="center"/>
              <w:rPr>
                <w:rFonts w:ascii="Times New Roman"/>
                <w:sz w:val="21"/>
                <w:szCs w:val="21"/>
              </w:rPr>
            </w:pPr>
          </w:p>
        </w:tc>
      </w:tr>
      <w:tr w14:paraId="2F09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D4B7EEC">
            <w:pPr>
              <w:autoSpaceDE w:val="0"/>
              <w:autoSpaceDN w:val="0"/>
              <w:adjustRightInd w:val="0"/>
              <w:snapToGrid w:val="0"/>
              <w:jc w:val="center"/>
              <w:rPr>
                <w:rFonts w:ascii="Times New Roman"/>
                <w:sz w:val="21"/>
                <w:szCs w:val="21"/>
              </w:rPr>
            </w:pPr>
          </w:p>
        </w:tc>
        <w:tc>
          <w:tcPr>
            <w:tcW w:w="697" w:type="pct"/>
            <w:vAlign w:val="center"/>
          </w:tcPr>
          <w:p w14:paraId="43DF62EF">
            <w:pPr>
              <w:autoSpaceDE w:val="0"/>
              <w:autoSpaceDN w:val="0"/>
              <w:adjustRightInd w:val="0"/>
              <w:snapToGrid w:val="0"/>
              <w:jc w:val="center"/>
              <w:rPr>
                <w:rFonts w:ascii="Times New Roman"/>
                <w:sz w:val="21"/>
                <w:szCs w:val="21"/>
              </w:rPr>
            </w:pPr>
            <w:r>
              <w:rPr>
                <w:rFonts w:ascii="Times New Roman"/>
                <w:sz w:val="21"/>
                <w:szCs w:val="21"/>
              </w:rPr>
              <w:t>摇臂钻</w:t>
            </w:r>
          </w:p>
        </w:tc>
        <w:tc>
          <w:tcPr>
            <w:tcW w:w="346" w:type="pct"/>
            <w:vAlign w:val="center"/>
          </w:tcPr>
          <w:p w14:paraId="4C58E34F">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8C6395C">
            <w:pPr>
              <w:autoSpaceDE w:val="0"/>
              <w:autoSpaceDN w:val="0"/>
              <w:adjustRightInd w:val="0"/>
              <w:snapToGrid w:val="0"/>
              <w:jc w:val="center"/>
              <w:rPr>
                <w:rFonts w:ascii="Times New Roman"/>
                <w:sz w:val="21"/>
                <w:szCs w:val="21"/>
              </w:rPr>
            </w:pPr>
          </w:p>
        </w:tc>
        <w:tc>
          <w:tcPr>
            <w:tcW w:w="208" w:type="pct"/>
            <w:vAlign w:val="center"/>
          </w:tcPr>
          <w:p w14:paraId="4991B2A7">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14098EDB">
            <w:pPr>
              <w:autoSpaceDE w:val="0"/>
              <w:autoSpaceDN w:val="0"/>
              <w:adjustRightInd w:val="0"/>
              <w:snapToGrid w:val="0"/>
              <w:jc w:val="center"/>
              <w:rPr>
                <w:rFonts w:ascii="Times New Roman"/>
                <w:sz w:val="21"/>
                <w:szCs w:val="21"/>
              </w:rPr>
            </w:pPr>
            <w:r>
              <w:rPr>
                <w:rFonts w:ascii="Times New Roman"/>
                <w:sz w:val="21"/>
                <w:szCs w:val="21"/>
              </w:rPr>
              <w:t>135</w:t>
            </w:r>
          </w:p>
        </w:tc>
        <w:tc>
          <w:tcPr>
            <w:tcW w:w="240" w:type="pct"/>
            <w:vAlign w:val="center"/>
          </w:tcPr>
          <w:p w14:paraId="35AFD38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893708E">
            <w:pPr>
              <w:autoSpaceDE w:val="0"/>
              <w:autoSpaceDN w:val="0"/>
              <w:adjustRightInd w:val="0"/>
              <w:snapToGrid w:val="0"/>
              <w:jc w:val="center"/>
              <w:rPr>
                <w:rFonts w:ascii="Times New Roman"/>
                <w:sz w:val="21"/>
                <w:szCs w:val="21"/>
              </w:rPr>
            </w:pPr>
            <w:r>
              <w:rPr>
                <w:rFonts w:ascii="Times New Roman"/>
                <w:sz w:val="21"/>
                <w:szCs w:val="21"/>
              </w:rPr>
              <w:t>119.15</w:t>
            </w:r>
          </w:p>
        </w:tc>
        <w:tc>
          <w:tcPr>
            <w:tcW w:w="358" w:type="pct"/>
            <w:vAlign w:val="center"/>
          </w:tcPr>
          <w:p w14:paraId="2A5CCBCF">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1E1917D7">
            <w:pPr>
              <w:autoSpaceDE w:val="0"/>
              <w:autoSpaceDN w:val="0"/>
              <w:adjustRightInd w:val="0"/>
              <w:snapToGrid w:val="0"/>
              <w:jc w:val="center"/>
              <w:rPr>
                <w:rFonts w:ascii="Times New Roman"/>
                <w:sz w:val="21"/>
                <w:szCs w:val="21"/>
              </w:rPr>
            </w:pPr>
          </w:p>
        </w:tc>
        <w:tc>
          <w:tcPr>
            <w:tcW w:w="551" w:type="pct"/>
            <w:vAlign w:val="center"/>
          </w:tcPr>
          <w:p w14:paraId="44614C2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BC70AB3">
            <w:pPr>
              <w:autoSpaceDE w:val="0"/>
              <w:autoSpaceDN w:val="0"/>
              <w:adjustRightInd w:val="0"/>
              <w:snapToGrid w:val="0"/>
              <w:jc w:val="center"/>
              <w:rPr>
                <w:rFonts w:ascii="Times New Roman"/>
                <w:sz w:val="21"/>
                <w:szCs w:val="21"/>
              </w:rPr>
            </w:pPr>
          </w:p>
        </w:tc>
        <w:tc>
          <w:tcPr>
            <w:tcW w:w="287" w:type="pct"/>
            <w:vMerge w:val="continue"/>
            <w:vAlign w:val="center"/>
          </w:tcPr>
          <w:p w14:paraId="7D96D3E2">
            <w:pPr>
              <w:autoSpaceDE w:val="0"/>
              <w:autoSpaceDN w:val="0"/>
              <w:adjustRightInd w:val="0"/>
              <w:snapToGrid w:val="0"/>
              <w:jc w:val="center"/>
              <w:rPr>
                <w:rFonts w:ascii="Times New Roman"/>
                <w:sz w:val="21"/>
                <w:szCs w:val="21"/>
              </w:rPr>
            </w:pPr>
          </w:p>
        </w:tc>
        <w:tc>
          <w:tcPr>
            <w:tcW w:w="434" w:type="pct"/>
            <w:vMerge w:val="continue"/>
            <w:vAlign w:val="center"/>
          </w:tcPr>
          <w:p w14:paraId="60B92838">
            <w:pPr>
              <w:autoSpaceDE w:val="0"/>
              <w:autoSpaceDN w:val="0"/>
              <w:adjustRightInd w:val="0"/>
              <w:snapToGrid w:val="0"/>
              <w:jc w:val="center"/>
              <w:rPr>
                <w:rFonts w:ascii="Times New Roman"/>
                <w:sz w:val="21"/>
                <w:szCs w:val="21"/>
              </w:rPr>
            </w:pPr>
          </w:p>
        </w:tc>
      </w:tr>
      <w:tr w14:paraId="2B70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1502ECE">
            <w:pPr>
              <w:autoSpaceDE w:val="0"/>
              <w:autoSpaceDN w:val="0"/>
              <w:adjustRightInd w:val="0"/>
              <w:snapToGrid w:val="0"/>
              <w:jc w:val="center"/>
              <w:rPr>
                <w:rFonts w:ascii="Times New Roman"/>
                <w:sz w:val="21"/>
                <w:szCs w:val="21"/>
              </w:rPr>
            </w:pPr>
          </w:p>
        </w:tc>
        <w:tc>
          <w:tcPr>
            <w:tcW w:w="697" w:type="pct"/>
            <w:vAlign w:val="center"/>
          </w:tcPr>
          <w:p w14:paraId="45BC61D4">
            <w:pPr>
              <w:autoSpaceDE w:val="0"/>
              <w:autoSpaceDN w:val="0"/>
              <w:adjustRightInd w:val="0"/>
              <w:snapToGrid w:val="0"/>
              <w:jc w:val="center"/>
              <w:rPr>
                <w:rFonts w:ascii="Times New Roman"/>
                <w:sz w:val="21"/>
                <w:szCs w:val="21"/>
              </w:rPr>
            </w:pPr>
            <w:r>
              <w:rPr>
                <w:rFonts w:ascii="Times New Roman"/>
                <w:sz w:val="21"/>
                <w:szCs w:val="21"/>
              </w:rPr>
              <w:t>油压机</w:t>
            </w:r>
          </w:p>
        </w:tc>
        <w:tc>
          <w:tcPr>
            <w:tcW w:w="346" w:type="pct"/>
            <w:vAlign w:val="center"/>
          </w:tcPr>
          <w:p w14:paraId="5D6CC0E7">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58AAA856">
            <w:pPr>
              <w:autoSpaceDE w:val="0"/>
              <w:autoSpaceDN w:val="0"/>
              <w:adjustRightInd w:val="0"/>
              <w:snapToGrid w:val="0"/>
              <w:jc w:val="center"/>
              <w:rPr>
                <w:rFonts w:ascii="Times New Roman"/>
                <w:sz w:val="21"/>
                <w:szCs w:val="21"/>
              </w:rPr>
            </w:pPr>
          </w:p>
        </w:tc>
        <w:tc>
          <w:tcPr>
            <w:tcW w:w="208" w:type="pct"/>
            <w:vAlign w:val="center"/>
          </w:tcPr>
          <w:p w14:paraId="0A8A1803">
            <w:pPr>
              <w:autoSpaceDE w:val="0"/>
              <w:autoSpaceDN w:val="0"/>
              <w:adjustRightInd w:val="0"/>
              <w:snapToGrid w:val="0"/>
              <w:jc w:val="center"/>
              <w:rPr>
                <w:rFonts w:ascii="Times New Roman"/>
                <w:sz w:val="21"/>
                <w:szCs w:val="21"/>
              </w:rPr>
            </w:pPr>
            <w:r>
              <w:rPr>
                <w:rFonts w:ascii="Times New Roman"/>
                <w:sz w:val="21"/>
                <w:szCs w:val="21"/>
              </w:rPr>
              <w:t>380</w:t>
            </w:r>
          </w:p>
        </w:tc>
        <w:tc>
          <w:tcPr>
            <w:tcW w:w="201" w:type="pct"/>
            <w:vAlign w:val="center"/>
          </w:tcPr>
          <w:p w14:paraId="64AA5ABC">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0BF4730D">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35A06515">
            <w:pPr>
              <w:autoSpaceDE w:val="0"/>
              <w:autoSpaceDN w:val="0"/>
              <w:adjustRightInd w:val="0"/>
              <w:snapToGrid w:val="0"/>
              <w:jc w:val="center"/>
              <w:rPr>
                <w:rFonts w:ascii="Times New Roman"/>
                <w:sz w:val="21"/>
                <w:szCs w:val="21"/>
              </w:rPr>
            </w:pPr>
            <w:r>
              <w:rPr>
                <w:rFonts w:ascii="Times New Roman"/>
                <w:sz w:val="21"/>
                <w:szCs w:val="21"/>
              </w:rPr>
              <w:t>124.15</w:t>
            </w:r>
          </w:p>
        </w:tc>
        <w:tc>
          <w:tcPr>
            <w:tcW w:w="358" w:type="pct"/>
            <w:vAlign w:val="center"/>
          </w:tcPr>
          <w:p w14:paraId="437F4E97">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4749E931">
            <w:pPr>
              <w:autoSpaceDE w:val="0"/>
              <w:autoSpaceDN w:val="0"/>
              <w:adjustRightInd w:val="0"/>
              <w:snapToGrid w:val="0"/>
              <w:jc w:val="center"/>
              <w:rPr>
                <w:rFonts w:ascii="Times New Roman"/>
                <w:sz w:val="21"/>
                <w:szCs w:val="21"/>
              </w:rPr>
            </w:pPr>
          </w:p>
        </w:tc>
        <w:tc>
          <w:tcPr>
            <w:tcW w:w="551" w:type="pct"/>
            <w:vAlign w:val="center"/>
          </w:tcPr>
          <w:p w14:paraId="17DF4D4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FBA96F1">
            <w:pPr>
              <w:autoSpaceDE w:val="0"/>
              <w:autoSpaceDN w:val="0"/>
              <w:adjustRightInd w:val="0"/>
              <w:snapToGrid w:val="0"/>
              <w:jc w:val="center"/>
              <w:rPr>
                <w:rFonts w:ascii="Times New Roman"/>
                <w:sz w:val="21"/>
                <w:szCs w:val="21"/>
              </w:rPr>
            </w:pPr>
          </w:p>
        </w:tc>
        <w:tc>
          <w:tcPr>
            <w:tcW w:w="287" w:type="pct"/>
            <w:vMerge w:val="continue"/>
            <w:vAlign w:val="center"/>
          </w:tcPr>
          <w:p w14:paraId="6CE245A4">
            <w:pPr>
              <w:autoSpaceDE w:val="0"/>
              <w:autoSpaceDN w:val="0"/>
              <w:adjustRightInd w:val="0"/>
              <w:snapToGrid w:val="0"/>
              <w:jc w:val="center"/>
              <w:rPr>
                <w:rFonts w:ascii="Times New Roman"/>
                <w:sz w:val="21"/>
                <w:szCs w:val="21"/>
              </w:rPr>
            </w:pPr>
          </w:p>
        </w:tc>
        <w:tc>
          <w:tcPr>
            <w:tcW w:w="434" w:type="pct"/>
            <w:vMerge w:val="continue"/>
            <w:vAlign w:val="center"/>
          </w:tcPr>
          <w:p w14:paraId="72433F2E">
            <w:pPr>
              <w:autoSpaceDE w:val="0"/>
              <w:autoSpaceDN w:val="0"/>
              <w:adjustRightInd w:val="0"/>
              <w:snapToGrid w:val="0"/>
              <w:jc w:val="center"/>
              <w:rPr>
                <w:rFonts w:ascii="Times New Roman"/>
                <w:sz w:val="21"/>
                <w:szCs w:val="21"/>
              </w:rPr>
            </w:pPr>
          </w:p>
        </w:tc>
      </w:tr>
      <w:tr w14:paraId="5142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D682C64">
            <w:pPr>
              <w:autoSpaceDE w:val="0"/>
              <w:autoSpaceDN w:val="0"/>
              <w:adjustRightInd w:val="0"/>
              <w:snapToGrid w:val="0"/>
              <w:jc w:val="center"/>
              <w:rPr>
                <w:rFonts w:ascii="Times New Roman"/>
                <w:sz w:val="21"/>
                <w:szCs w:val="21"/>
              </w:rPr>
            </w:pPr>
          </w:p>
        </w:tc>
        <w:tc>
          <w:tcPr>
            <w:tcW w:w="697" w:type="pct"/>
            <w:vAlign w:val="center"/>
          </w:tcPr>
          <w:p w14:paraId="6A4F376B">
            <w:pPr>
              <w:autoSpaceDE w:val="0"/>
              <w:autoSpaceDN w:val="0"/>
              <w:adjustRightInd w:val="0"/>
              <w:snapToGrid w:val="0"/>
              <w:jc w:val="center"/>
              <w:rPr>
                <w:rFonts w:ascii="Times New Roman"/>
                <w:sz w:val="21"/>
                <w:szCs w:val="21"/>
              </w:rPr>
            </w:pPr>
            <w:r>
              <w:rPr>
                <w:rFonts w:ascii="Times New Roman"/>
                <w:sz w:val="21"/>
                <w:szCs w:val="21"/>
              </w:rPr>
              <w:t>油压机</w:t>
            </w:r>
          </w:p>
        </w:tc>
        <w:tc>
          <w:tcPr>
            <w:tcW w:w="346" w:type="pct"/>
            <w:vAlign w:val="center"/>
          </w:tcPr>
          <w:p w14:paraId="2FD3F2F8">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18CC55DC">
            <w:pPr>
              <w:autoSpaceDE w:val="0"/>
              <w:autoSpaceDN w:val="0"/>
              <w:adjustRightInd w:val="0"/>
              <w:snapToGrid w:val="0"/>
              <w:jc w:val="center"/>
              <w:rPr>
                <w:rFonts w:ascii="Times New Roman"/>
                <w:sz w:val="21"/>
                <w:szCs w:val="21"/>
              </w:rPr>
            </w:pPr>
          </w:p>
        </w:tc>
        <w:tc>
          <w:tcPr>
            <w:tcW w:w="208" w:type="pct"/>
            <w:vAlign w:val="center"/>
          </w:tcPr>
          <w:p w14:paraId="2C2456A4">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7992AA82">
            <w:pPr>
              <w:autoSpaceDE w:val="0"/>
              <w:autoSpaceDN w:val="0"/>
              <w:adjustRightInd w:val="0"/>
              <w:snapToGrid w:val="0"/>
              <w:jc w:val="center"/>
              <w:rPr>
                <w:rFonts w:ascii="Times New Roman"/>
                <w:sz w:val="21"/>
                <w:szCs w:val="21"/>
              </w:rPr>
            </w:pPr>
            <w:r>
              <w:rPr>
                <w:rFonts w:ascii="Times New Roman"/>
                <w:sz w:val="21"/>
                <w:szCs w:val="21"/>
              </w:rPr>
              <w:t>140</w:t>
            </w:r>
          </w:p>
        </w:tc>
        <w:tc>
          <w:tcPr>
            <w:tcW w:w="240" w:type="pct"/>
            <w:vAlign w:val="center"/>
          </w:tcPr>
          <w:p w14:paraId="6F6A3A54">
            <w:pPr>
              <w:autoSpaceDE w:val="0"/>
              <w:autoSpaceDN w:val="0"/>
              <w:adjustRightInd w:val="0"/>
              <w:snapToGrid w:val="0"/>
              <w:jc w:val="center"/>
              <w:rPr>
                <w:rFonts w:ascii="Times New Roman"/>
                <w:sz w:val="21"/>
                <w:szCs w:val="21"/>
              </w:rPr>
            </w:pPr>
            <w:r>
              <w:rPr>
                <w:rFonts w:ascii="Times New Roman"/>
                <w:sz w:val="21"/>
                <w:szCs w:val="21"/>
              </w:rPr>
              <w:t>0.7</w:t>
            </w:r>
          </w:p>
        </w:tc>
        <w:tc>
          <w:tcPr>
            <w:tcW w:w="346" w:type="pct"/>
            <w:vAlign w:val="center"/>
          </w:tcPr>
          <w:p w14:paraId="27C9CCE3">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74B232B4">
            <w:pPr>
              <w:autoSpaceDE w:val="0"/>
              <w:autoSpaceDN w:val="0"/>
              <w:adjustRightInd w:val="0"/>
              <w:snapToGrid w:val="0"/>
              <w:jc w:val="center"/>
              <w:rPr>
                <w:rFonts w:ascii="Times New Roman"/>
                <w:sz w:val="21"/>
                <w:szCs w:val="21"/>
              </w:rPr>
            </w:pPr>
            <w:r>
              <w:rPr>
                <w:rFonts w:ascii="Times New Roman"/>
                <w:sz w:val="21"/>
                <w:szCs w:val="21"/>
              </w:rPr>
              <w:t>33</w:t>
            </w:r>
          </w:p>
        </w:tc>
        <w:tc>
          <w:tcPr>
            <w:tcW w:w="316" w:type="pct"/>
            <w:vMerge w:val="continue"/>
            <w:vAlign w:val="center"/>
          </w:tcPr>
          <w:p w14:paraId="229B7E59">
            <w:pPr>
              <w:autoSpaceDE w:val="0"/>
              <w:autoSpaceDN w:val="0"/>
              <w:adjustRightInd w:val="0"/>
              <w:snapToGrid w:val="0"/>
              <w:jc w:val="center"/>
              <w:rPr>
                <w:rFonts w:ascii="Times New Roman"/>
                <w:sz w:val="21"/>
                <w:szCs w:val="21"/>
              </w:rPr>
            </w:pPr>
          </w:p>
        </w:tc>
        <w:tc>
          <w:tcPr>
            <w:tcW w:w="551" w:type="pct"/>
            <w:vAlign w:val="center"/>
          </w:tcPr>
          <w:p w14:paraId="151A343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F7CB234">
            <w:pPr>
              <w:autoSpaceDE w:val="0"/>
              <w:autoSpaceDN w:val="0"/>
              <w:adjustRightInd w:val="0"/>
              <w:snapToGrid w:val="0"/>
              <w:jc w:val="center"/>
              <w:rPr>
                <w:rFonts w:ascii="Times New Roman"/>
                <w:sz w:val="21"/>
                <w:szCs w:val="21"/>
              </w:rPr>
            </w:pPr>
          </w:p>
        </w:tc>
        <w:tc>
          <w:tcPr>
            <w:tcW w:w="287" w:type="pct"/>
            <w:vMerge w:val="continue"/>
            <w:vAlign w:val="center"/>
          </w:tcPr>
          <w:p w14:paraId="1F6FE374">
            <w:pPr>
              <w:autoSpaceDE w:val="0"/>
              <w:autoSpaceDN w:val="0"/>
              <w:adjustRightInd w:val="0"/>
              <w:snapToGrid w:val="0"/>
              <w:jc w:val="center"/>
              <w:rPr>
                <w:rFonts w:ascii="Times New Roman"/>
                <w:sz w:val="21"/>
                <w:szCs w:val="21"/>
              </w:rPr>
            </w:pPr>
          </w:p>
        </w:tc>
        <w:tc>
          <w:tcPr>
            <w:tcW w:w="434" w:type="pct"/>
            <w:vMerge w:val="continue"/>
            <w:vAlign w:val="center"/>
          </w:tcPr>
          <w:p w14:paraId="010108B6">
            <w:pPr>
              <w:autoSpaceDE w:val="0"/>
              <w:autoSpaceDN w:val="0"/>
              <w:adjustRightInd w:val="0"/>
              <w:snapToGrid w:val="0"/>
              <w:jc w:val="center"/>
              <w:rPr>
                <w:rFonts w:ascii="Times New Roman"/>
                <w:sz w:val="21"/>
                <w:szCs w:val="21"/>
              </w:rPr>
            </w:pPr>
          </w:p>
        </w:tc>
      </w:tr>
      <w:tr w14:paraId="159E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620ACD2">
            <w:pPr>
              <w:autoSpaceDE w:val="0"/>
              <w:autoSpaceDN w:val="0"/>
              <w:adjustRightInd w:val="0"/>
              <w:snapToGrid w:val="0"/>
              <w:jc w:val="center"/>
              <w:rPr>
                <w:rFonts w:ascii="Times New Roman"/>
                <w:sz w:val="21"/>
                <w:szCs w:val="21"/>
              </w:rPr>
            </w:pPr>
          </w:p>
        </w:tc>
        <w:tc>
          <w:tcPr>
            <w:tcW w:w="697" w:type="pct"/>
            <w:vAlign w:val="center"/>
          </w:tcPr>
          <w:p w14:paraId="720D2F76">
            <w:pPr>
              <w:autoSpaceDE w:val="0"/>
              <w:autoSpaceDN w:val="0"/>
              <w:adjustRightInd w:val="0"/>
              <w:snapToGrid w:val="0"/>
              <w:jc w:val="center"/>
              <w:rPr>
                <w:rFonts w:ascii="Times New Roman"/>
                <w:sz w:val="21"/>
                <w:szCs w:val="21"/>
              </w:rPr>
            </w:pPr>
            <w:r>
              <w:rPr>
                <w:rFonts w:ascii="Times New Roman"/>
                <w:sz w:val="21"/>
                <w:szCs w:val="21"/>
              </w:rPr>
              <w:t>数控钻</w:t>
            </w:r>
          </w:p>
        </w:tc>
        <w:tc>
          <w:tcPr>
            <w:tcW w:w="346" w:type="pct"/>
            <w:vAlign w:val="center"/>
          </w:tcPr>
          <w:p w14:paraId="3B6496A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23A2AD7">
            <w:pPr>
              <w:autoSpaceDE w:val="0"/>
              <w:autoSpaceDN w:val="0"/>
              <w:adjustRightInd w:val="0"/>
              <w:snapToGrid w:val="0"/>
              <w:jc w:val="center"/>
              <w:rPr>
                <w:rFonts w:ascii="Times New Roman"/>
                <w:sz w:val="21"/>
                <w:szCs w:val="21"/>
              </w:rPr>
            </w:pPr>
          </w:p>
        </w:tc>
        <w:tc>
          <w:tcPr>
            <w:tcW w:w="208" w:type="pct"/>
            <w:vAlign w:val="center"/>
          </w:tcPr>
          <w:p w14:paraId="31D52CF6">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60AEB808">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2959F3F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B9BD9A6">
            <w:pPr>
              <w:autoSpaceDE w:val="0"/>
              <w:autoSpaceDN w:val="0"/>
              <w:adjustRightInd w:val="0"/>
              <w:snapToGrid w:val="0"/>
              <w:jc w:val="center"/>
              <w:rPr>
                <w:rFonts w:ascii="Times New Roman"/>
                <w:sz w:val="21"/>
                <w:szCs w:val="21"/>
              </w:rPr>
            </w:pPr>
            <w:r>
              <w:rPr>
                <w:rFonts w:ascii="Times New Roman"/>
                <w:sz w:val="21"/>
                <w:szCs w:val="21"/>
              </w:rPr>
              <w:t>129.15</w:t>
            </w:r>
          </w:p>
        </w:tc>
        <w:tc>
          <w:tcPr>
            <w:tcW w:w="358" w:type="pct"/>
            <w:vAlign w:val="center"/>
          </w:tcPr>
          <w:p w14:paraId="4CF63369">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320CFCEE">
            <w:pPr>
              <w:autoSpaceDE w:val="0"/>
              <w:autoSpaceDN w:val="0"/>
              <w:adjustRightInd w:val="0"/>
              <w:snapToGrid w:val="0"/>
              <w:jc w:val="center"/>
              <w:rPr>
                <w:rFonts w:ascii="Times New Roman"/>
                <w:sz w:val="21"/>
                <w:szCs w:val="21"/>
              </w:rPr>
            </w:pPr>
          </w:p>
        </w:tc>
        <w:tc>
          <w:tcPr>
            <w:tcW w:w="551" w:type="pct"/>
            <w:vAlign w:val="center"/>
          </w:tcPr>
          <w:p w14:paraId="09AEBF8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8933D47">
            <w:pPr>
              <w:autoSpaceDE w:val="0"/>
              <w:autoSpaceDN w:val="0"/>
              <w:adjustRightInd w:val="0"/>
              <w:snapToGrid w:val="0"/>
              <w:jc w:val="center"/>
              <w:rPr>
                <w:rFonts w:ascii="Times New Roman"/>
                <w:sz w:val="21"/>
                <w:szCs w:val="21"/>
              </w:rPr>
            </w:pPr>
          </w:p>
        </w:tc>
        <w:tc>
          <w:tcPr>
            <w:tcW w:w="287" w:type="pct"/>
            <w:vMerge w:val="continue"/>
            <w:vAlign w:val="center"/>
          </w:tcPr>
          <w:p w14:paraId="7D5D90AC">
            <w:pPr>
              <w:autoSpaceDE w:val="0"/>
              <w:autoSpaceDN w:val="0"/>
              <w:adjustRightInd w:val="0"/>
              <w:snapToGrid w:val="0"/>
              <w:jc w:val="center"/>
              <w:rPr>
                <w:rFonts w:ascii="Times New Roman"/>
                <w:sz w:val="21"/>
                <w:szCs w:val="21"/>
              </w:rPr>
            </w:pPr>
          </w:p>
        </w:tc>
        <w:tc>
          <w:tcPr>
            <w:tcW w:w="434" w:type="pct"/>
            <w:vMerge w:val="continue"/>
            <w:vAlign w:val="center"/>
          </w:tcPr>
          <w:p w14:paraId="20ECA3FF">
            <w:pPr>
              <w:autoSpaceDE w:val="0"/>
              <w:autoSpaceDN w:val="0"/>
              <w:adjustRightInd w:val="0"/>
              <w:snapToGrid w:val="0"/>
              <w:jc w:val="center"/>
              <w:rPr>
                <w:rFonts w:ascii="Times New Roman"/>
                <w:sz w:val="21"/>
                <w:szCs w:val="21"/>
              </w:rPr>
            </w:pPr>
          </w:p>
        </w:tc>
      </w:tr>
      <w:tr w14:paraId="59B9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D2AE2F4">
            <w:pPr>
              <w:autoSpaceDE w:val="0"/>
              <w:autoSpaceDN w:val="0"/>
              <w:adjustRightInd w:val="0"/>
              <w:snapToGrid w:val="0"/>
              <w:jc w:val="center"/>
              <w:rPr>
                <w:rFonts w:ascii="Times New Roman"/>
                <w:sz w:val="21"/>
                <w:szCs w:val="21"/>
              </w:rPr>
            </w:pPr>
          </w:p>
        </w:tc>
        <w:tc>
          <w:tcPr>
            <w:tcW w:w="697" w:type="pct"/>
            <w:vAlign w:val="center"/>
          </w:tcPr>
          <w:p w14:paraId="2DC814BC">
            <w:pPr>
              <w:autoSpaceDE w:val="0"/>
              <w:autoSpaceDN w:val="0"/>
              <w:adjustRightInd w:val="0"/>
              <w:snapToGrid w:val="0"/>
              <w:jc w:val="center"/>
              <w:rPr>
                <w:rFonts w:ascii="Times New Roman"/>
                <w:sz w:val="21"/>
                <w:szCs w:val="21"/>
              </w:rPr>
            </w:pPr>
            <w:r>
              <w:rPr>
                <w:rFonts w:ascii="Times New Roman"/>
                <w:sz w:val="21"/>
                <w:szCs w:val="21"/>
              </w:rPr>
              <w:t>数控钻</w:t>
            </w:r>
          </w:p>
        </w:tc>
        <w:tc>
          <w:tcPr>
            <w:tcW w:w="346" w:type="pct"/>
            <w:vAlign w:val="center"/>
          </w:tcPr>
          <w:p w14:paraId="42CFBFA7">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68F5E39">
            <w:pPr>
              <w:autoSpaceDE w:val="0"/>
              <w:autoSpaceDN w:val="0"/>
              <w:adjustRightInd w:val="0"/>
              <w:snapToGrid w:val="0"/>
              <w:jc w:val="center"/>
              <w:rPr>
                <w:rFonts w:ascii="Times New Roman"/>
                <w:sz w:val="21"/>
                <w:szCs w:val="21"/>
              </w:rPr>
            </w:pPr>
          </w:p>
        </w:tc>
        <w:tc>
          <w:tcPr>
            <w:tcW w:w="208" w:type="pct"/>
            <w:vAlign w:val="center"/>
          </w:tcPr>
          <w:p w14:paraId="309FAC80">
            <w:pPr>
              <w:autoSpaceDE w:val="0"/>
              <w:autoSpaceDN w:val="0"/>
              <w:adjustRightInd w:val="0"/>
              <w:snapToGrid w:val="0"/>
              <w:jc w:val="center"/>
              <w:rPr>
                <w:rFonts w:ascii="Times New Roman"/>
                <w:sz w:val="21"/>
                <w:szCs w:val="21"/>
              </w:rPr>
            </w:pPr>
            <w:r>
              <w:rPr>
                <w:rFonts w:ascii="Times New Roman"/>
                <w:sz w:val="21"/>
                <w:szCs w:val="21"/>
              </w:rPr>
              <w:t>380</w:t>
            </w:r>
          </w:p>
        </w:tc>
        <w:tc>
          <w:tcPr>
            <w:tcW w:w="201" w:type="pct"/>
            <w:vAlign w:val="center"/>
          </w:tcPr>
          <w:p w14:paraId="289B71B0">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56495BD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AF22373">
            <w:pPr>
              <w:autoSpaceDE w:val="0"/>
              <w:autoSpaceDN w:val="0"/>
              <w:adjustRightInd w:val="0"/>
              <w:snapToGrid w:val="0"/>
              <w:jc w:val="center"/>
              <w:rPr>
                <w:rFonts w:ascii="Times New Roman"/>
                <w:sz w:val="21"/>
                <w:szCs w:val="21"/>
              </w:rPr>
            </w:pPr>
            <w:r>
              <w:rPr>
                <w:rFonts w:ascii="Times New Roman"/>
                <w:sz w:val="21"/>
                <w:szCs w:val="21"/>
              </w:rPr>
              <w:t>129.15</w:t>
            </w:r>
          </w:p>
        </w:tc>
        <w:tc>
          <w:tcPr>
            <w:tcW w:w="358" w:type="pct"/>
            <w:vAlign w:val="center"/>
          </w:tcPr>
          <w:p w14:paraId="349A7C90">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682E397E">
            <w:pPr>
              <w:autoSpaceDE w:val="0"/>
              <w:autoSpaceDN w:val="0"/>
              <w:adjustRightInd w:val="0"/>
              <w:snapToGrid w:val="0"/>
              <w:jc w:val="center"/>
              <w:rPr>
                <w:rFonts w:ascii="Times New Roman"/>
                <w:sz w:val="21"/>
                <w:szCs w:val="21"/>
              </w:rPr>
            </w:pPr>
          </w:p>
        </w:tc>
        <w:tc>
          <w:tcPr>
            <w:tcW w:w="551" w:type="pct"/>
            <w:vAlign w:val="center"/>
          </w:tcPr>
          <w:p w14:paraId="08F34A2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47ED7D6">
            <w:pPr>
              <w:autoSpaceDE w:val="0"/>
              <w:autoSpaceDN w:val="0"/>
              <w:adjustRightInd w:val="0"/>
              <w:snapToGrid w:val="0"/>
              <w:jc w:val="center"/>
              <w:rPr>
                <w:rFonts w:ascii="Times New Roman"/>
                <w:sz w:val="21"/>
                <w:szCs w:val="21"/>
              </w:rPr>
            </w:pPr>
          </w:p>
        </w:tc>
        <w:tc>
          <w:tcPr>
            <w:tcW w:w="287" w:type="pct"/>
            <w:vMerge w:val="continue"/>
            <w:vAlign w:val="center"/>
          </w:tcPr>
          <w:p w14:paraId="4B1FECFD">
            <w:pPr>
              <w:autoSpaceDE w:val="0"/>
              <w:autoSpaceDN w:val="0"/>
              <w:adjustRightInd w:val="0"/>
              <w:snapToGrid w:val="0"/>
              <w:jc w:val="center"/>
              <w:rPr>
                <w:rFonts w:ascii="Times New Roman"/>
                <w:sz w:val="21"/>
                <w:szCs w:val="21"/>
              </w:rPr>
            </w:pPr>
          </w:p>
        </w:tc>
        <w:tc>
          <w:tcPr>
            <w:tcW w:w="434" w:type="pct"/>
            <w:vMerge w:val="continue"/>
            <w:vAlign w:val="center"/>
          </w:tcPr>
          <w:p w14:paraId="19466AF4">
            <w:pPr>
              <w:autoSpaceDE w:val="0"/>
              <w:autoSpaceDN w:val="0"/>
              <w:adjustRightInd w:val="0"/>
              <w:snapToGrid w:val="0"/>
              <w:jc w:val="center"/>
              <w:rPr>
                <w:rFonts w:ascii="Times New Roman"/>
                <w:sz w:val="21"/>
                <w:szCs w:val="21"/>
              </w:rPr>
            </w:pPr>
          </w:p>
        </w:tc>
      </w:tr>
      <w:tr w14:paraId="1FC8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30DB6A">
            <w:pPr>
              <w:autoSpaceDE w:val="0"/>
              <w:autoSpaceDN w:val="0"/>
              <w:adjustRightInd w:val="0"/>
              <w:snapToGrid w:val="0"/>
              <w:jc w:val="center"/>
              <w:rPr>
                <w:rFonts w:ascii="Times New Roman"/>
                <w:sz w:val="21"/>
                <w:szCs w:val="21"/>
              </w:rPr>
            </w:pPr>
          </w:p>
        </w:tc>
        <w:tc>
          <w:tcPr>
            <w:tcW w:w="697" w:type="pct"/>
            <w:vAlign w:val="center"/>
          </w:tcPr>
          <w:p w14:paraId="498E3E39">
            <w:pPr>
              <w:autoSpaceDE w:val="0"/>
              <w:autoSpaceDN w:val="0"/>
              <w:adjustRightInd w:val="0"/>
              <w:snapToGrid w:val="0"/>
              <w:jc w:val="center"/>
              <w:rPr>
                <w:rFonts w:ascii="Times New Roman"/>
                <w:sz w:val="21"/>
                <w:szCs w:val="21"/>
              </w:rPr>
            </w:pPr>
            <w:r>
              <w:rPr>
                <w:rFonts w:ascii="Times New Roman"/>
                <w:sz w:val="21"/>
                <w:szCs w:val="21"/>
              </w:rPr>
              <w:t>数控钻</w:t>
            </w:r>
          </w:p>
        </w:tc>
        <w:tc>
          <w:tcPr>
            <w:tcW w:w="346" w:type="pct"/>
            <w:vAlign w:val="center"/>
          </w:tcPr>
          <w:p w14:paraId="1286569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0903412">
            <w:pPr>
              <w:autoSpaceDE w:val="0"/>
              <w:autoSpaceDN w:val="0"/>
              <w:adjustRightInd w:val="0"/>
              <w:snapToGrid w:val="0"/>
              <w:jc w:val="center"/>
              <w:rPr>
                <w:rFonts w:ascii="Times New Roman"/>
                <w:sz w:val="21"/>
                <w:szCs w:val="21"/>
              </w:rPr>
            </w:pPr>
          </w:p>
        </w:tc>
        <w:tc>
          <w:tcPr>
            <w:tcW w:w="208" w:type="pct"/>
            <w:vAlign w:val="center"/>
          </w:tcPr>
          <w:p w14:paraId="452CF37D">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6F5116B3">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2CDEE04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CA48E7A">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54547E0E">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23963E80">
            <w:pPr>
              <w:autoSpaceDE w:val="0"/>
              <w:autoSpaceDN w:val="0"/>
              <w:adjustRightInd w:val="0"/>
              <w:snapToGrid w:val="0"/>
              <w:jc w:val="center"/>
              <w:rPr>
                <w:rFonts w:ascii="Times New Roman"/>
                <w:sz w:val="21"/>
                <w:szCs w:val="21"/>
              </w:rPr>
            </w:pPr>
          </w:p>
        </w:tc>
        <w:tc>
          <w:tcPr>
            <w:tcW w:w="551" w:type="pct"/>
            <w:vAlign w:val="center"/>
          </w:tcPr>
          <w:p w14:paraId="32C9D66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3082E76">
            <w:pPr>
              <w:autoSpaceDE w:val="0"/>
              <w:autoSpaceDN w:val="0"/>
              <w:adjustRightInd w:val="0"/>
              <w:snapToGrid w:val="0"/>
              <w:jc w:val="center"/>
              <w:rPr>
                <w:rFonts w:ascii="Times New Roman"/>
                <w:sz w:val="21"/>
                <w:szCs w:val="21"/>
              </w:rPr>
            </w:pPr>
          </w:p>
        </w:tc>
        <w:tc>
          <w:tcPr>
            <w:tcW w:w="287" w:type="pct"/>
            <w:vMerge w:val="continue"/>
            <w:vAlign w:val="center"/>
          </w:tcPr>
          <w:p w14:paraId="104D6353">
            <w:pPr>
              <w:autoSpaceDE w:val="0"/>
              <w:autoSpaceDN w:val="0"/>
              <w:adjustRightInd w:val="0"/>
              <w:snapToGrid w:val="0"/>
              <w:jc w:val="center"/>
              <w:rPr>
                <w:rFonts w:ascii="Times New Roman"/>
                <w:sz w:val="21"/>
                <w:szCs w:val="21"/>
              </w:rPr>
            </w:pPr>
          </w:p>
        </w:tc>
        <w:tc>
          <w:tcPr>
            <w:tcW w:w="434" w:type="pct"/>
            <w:vMerge w:val="continue"/>
            <w:vAlign w:val="center"/>
          </w:tcPr>
          <w:p w14:paraId="4A6A2D13">
            <w:pPr>
              <w:autoSpaceDE w:val="0"/>
              <w:autoSpaceDN w:val="0"/>
              <w:adjustRightInd w:val="0"/>
              <w:snapToGrid w:val="0"/>
              <w:jc w:val="center"/>
              <w:rPr>
                <w:rFonts w:ascii="Times New Roman"/>
                <w:sz w:val="21"/>
                <w:szCs w:val="21"/>
              </w:rPr>
            </w:pPr>
          </w:p>
        </w:tc>
      </w:tr>
      <w:tr w14:paraId="0651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1070B53">
            <w:pPr>
              <w:autoSpaceDE w:val="0"/>
              <w:autoSpaceDN w:val="0"/>
              <w:adjustRightInd w:val="0"/>
              <w:snapToGrid w:val="0"/>
              <w:jc w:val="center"/>
              <w:rPr>
                <w:rFonts w:ascii="Times New Roman"/>
                <w:sz w:val="21"/>
                <w:szCs w:val="21"/>
              </w:rPr>
            </w:pPr>
          </w:p>
        </w:tc>
        <w:tc>
          <w:tcPr>
            <w:tcW w:w="697" w:type="pct"/>
            <w:vAlign w:val="center"/>
          </w:tcPr>
          <w:p w14:paraId="3A82FFEE">
            <w:pPr>
              <w:autoSpaceDE w:val="0"/>
              <w:autoSpaceDN w:val="0"/>
              <w:adjustRightInd w:val="0"/>
              <w:snapToGrid w:val="0"/>
              <w:jc w:val="center"/>
              <w:rPr>
                <w:rFonts w:ascii="Times New Roman"/>
                <w:sz w:val="21"/>
                <w:szCs w:val="21"/>
              </w:rPr>
            </w:pPr>
            <w:r>
              <w:rPr>
                <w:rFonts w:ascii="Times New Roman"/>
                <w:sz w:val="21"/>
                <w:szCs w:val="21"/>
              </w:rPr>
              <w:t>数控钻</w:t>
            </w:r>
          </w:p>
        </w:tc>
        <w:tc>
          <w:tcPr>
            <w:tcW w:w="346" w:type="pct"/>
            <w:vAlign w:val="center"/>
          </w:tcPr>
          <w:p w14:paraId="7DB8CB6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AAF5EB2">
            <w:pPr>
              <w:autoSpaceDE w:val="0"/>
              <w:autoSpaceDN w:val="0"/>
              <w:adjustRightInd w:val="0"/>
              <w:snapToGrid w:val="0"/>
              <w:jc w:val="center"/>
              <w:rPr>
                <w:rFonts w:ascii="Times New Roman"/>
                <w:sz w:val="21"/>
                <w:szCs w:val="21"/>
              </w:rPr>
            </w:pPr>
          </w:p>
        </w:tc>
        <w:tc>
          <w:tcPr>
            <w:tcW w:w="208" w:type="pct"/>
            <w:vAlign w:val="center"/>
          </w:tcPr>
          <w:p w14:paraId="36A27C15">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33E53839">
            <w:pPr>
              <w:autoSpaceDE w:val="0"/>
              <w:autoSpaceDN w:val="0"/>
              <w:adjustRightInd w:val="0"/>
              <w:snapToGrid w:val="0"/>
              <w:jc w:val="center"/>
              <w:rPr>
                <w:rFonts w:ascii="Times New Roman"/>
                <w:sz w:val="21"/>
                <w:szCs w:val="21"/>
              </w:rPr>
            </w:pPr>
            <w:r>
              <w:rPr>
                <w:rFonts w:ascii="Times New Roman"/>
                <w:sz w:val="21"/>
                <w:szCs w:val="21"/>
              </w:rPr>
              <w:t>145</w:t>
            </w:r>
          </w:p>
        </w:tc>
        <w:tc>
          <w:tcPr>
            <w:tcW w:w="240" w:type="pct"/>
            <w:vAlign w:val="center"/>
          </w:tcPr>
          <w:p w14:paraId="1E283F8D">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66302BB">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75B9CC45">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796FD47D">
            <w:pPr>
              <w:autoSpaceDE w:val="0"/>
              <w:autoSpaceDN w:val="0"/>
              <w:adjustRightInd w:val="0"/>
              <w:snapToGrid w:val="0"/>
              <w:jc w:val="center"/>
              <w:rPr>
                <w:rFonts w:ascii="Times New Roman"/>
                <w:sz w:val="21"/>
                <w:szCs w:val="21"/>
              </w:rPr>
            </w:pPr>
          </w:p>
        </w:tc>
        <w:tc>
          <w:tcPr>
            <w:tcW w:w="551" w:type="pct"/>
            <w:vAlign w:val="center"/>
          </w:tcPr>
          <w:p w14:paraId="66AD5E8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F70454E">
            <w:pPr>
              <w:autoSpaceDE w:val="0"/>
              <w:autoSpaceDN w:val="0"/>
              <w:adjustRightInd w:val="0"/>
              <w:snapToGrid w:val="0"/>
              <w:jc w:val="center"/>
              <w:rPr>
                <w:rFonts w:ascii="Times New Roman"/>
                <w:sz w:val="21"/>
                <w:szCs w:val="21"/>
              </w:rPr>
            </w:pPr>
          </w:p>
        </w:tc>
        <w:tc>
          <w:tcPr>
            <w:tcW w:w="287" w:type="pct"/>
            <w:vMerge w:val="continue"/>
            <w:vAlign w:val="center"/>
          </w:tcPr>
          <w:p w14:paraId="52AFE0DB">
            <w:pPr>
              <w:autoSpaceDE w:val="0"/>
              <w:autoSpaceDN w:val="0"/>
              <w:adjustRightInd w:val="0"/>
              <w:snapToGrid w:val="0"/>
              <w:jc w:val="center"/>
              <w:rPr>
                <w:rFonts w:ascii="Times New Roman"/>
                <w:sz w:val="21"/>
                <w:szCs w:val="21"/>
              </w:rPr>
            </w:pPr>
          </w:p>
        </w:tc>
        <w:tc>
          <w:tcPr>
            <w:tcW w:w="434" w:type="pct"/>
            <w:vMerge w:val="continue"/>
            <w:vAlign w:val="center"/>
          </w:tcPr>
          <w:p w14:paraId="2A9B91DC">
            <w:pPr>
              <w:autoSpaceDE w:val="0"/>
              <w:autoSpaceDN w:val="0"/>
              <w:adjustRightInd w:val="0"/>
              <w:snapToGrid w:val="0"/>
              <w:jc w:val="center"/>
              <w:rPr>
                <w:rFonts w:ascii="Times New Roman"/>
                <w:sz w:val="21"/>
                <w:szCs w:val="21"/>
              </w:rPr>
            </w:pPr>
          </w:p>
        </w:tc>
      </w:tr>
      <w:tr w14:paraId="03A3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94F395F">
            <w:pPr>
              <w:autoSpaceDE w:val="0"/>
              <w:autoSpaceDN w:val="0"/>
              <w:adjustRightInd w:val="0"/>
              <w:snapToGrid w:val="0"/>
              <w:jc w:val="center"/>
              <w:rPr>
                <w:rFonts w:ascii="Times New Roman"/>
                <w:sz w:val="21"/>
                <w:szCs w:val="21"/>
              </w:rPr>
            </w:pPr>
          </w:p>
        </w:tc>
        <w:tc>
          <w:tcPr>
            <w:tcW w:w="697" w:type="pct"/>
            <w:vAlign w:val="center"/>
          </w:tcPr>
          <w:p w14:paraId="03B2D82C">
            <w:pPr>
              <w:autoSpaceDE w:val="0"/>
              <w:autoSpaceDN w:val="0"/>
              <w:adjustRightInd w:val="0"/>
              <w:snapToGrid w:val="0"/>
              <w:jc w:val="center"/>
              <w:rPr>
                <w:rFonts w:ascii="Times New Roman"/>
                <w:sz w:val="21"/>
                <w:szCs w:val="21"/>
              </w:rPr>
            </w:pPr>
            <w:r>
              <w:rPr>
                <w:rFonts w:ascii="Times New Roman"/>
                <w:sz w:val="21"/>
                <w:szCs w:val="21"/>
              </w:rPr>
              <w:t>数控卷弯机</w:t>
            </w:r>
          </w:p>
        </w:tc>
        <w:tc>
          <w:tcPr>
            <w:tcW w:w="346" w:type="pct"/>
            <w:vAlign w:val="center"/>
          </w:tcPr>
          <w:p w14:paraId="4EBB416B">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5BD514C">
            <w:pPr>
              <w:autoSpaceDE w:val="0"/>
              <w:autoSpaceDN w:val="0"/>
              <w:adjustRightInd w:val="0"/>
              <w:snapToGrid w:val="0"/>
              <w:jc w:val="center"/>
              <w:rPr>
                <w:rFonts w:ascii="Times New Roman"/>
                <w:sz w:val="21"/>
                <w:szCs w:val="21"/>
              </w:rPr>
            </w:pPr>
          </w:p>
        </w:tc>
        <w:tc>
          <w:tcPr>
            <w:tcW w:w="208" w:type="pct"/>
            <w:vAlign w:val="center"/>
          </w:tcPr>
          <w:p w14:paraId="124AAF18">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332D38FB">
            <w:pPr>
              <w:autoSpaceDE w:val="0"/>
              <w:autoSpaceDN w:val="0"/>
              <w:adjustRightInd w:val="0"/>
              <w:snapToGrid w:val="0"/>
              <w:jc w:val="center"/>
              <w:rPr>
                <w:rFonts w:ascii="Times New Roman"/>
                <w:sz w:val="21"/>
                <w:szCs w:val="21"/>
              </w:rPr>
            </w:pPr>
            <w:r>
              <w:rPr>
                <w:rFonts w:ascii="Times New Roman"/>
                <w:sz w:val="21"/>
                <w:szCs w:val="21"/>
              </w:rPr>
              <w:t>148</w:t>
            </w:r>
          </w:p>
        </w:tc>
        <w:tc>
          <w:tcPr>
            <w:tcW w:w="240" w:type="pct"/>
            <w:vAlign w:val="center"/>
          </w:tcPr>
          <w:p w14:paraId="3BDB946A">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38AB5D74">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1B286221">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613B1CDD">
            <w:pPr>
              <w:autoSpaceDE w:val="0"/>
              <w:autoSpaceDN w:val="0"/>
              <w:adjustRightInd w:val="0"/>
              <w:snapToGrid w:val="0"/>
              <w:jc w:val="center"/>
              <w:rPr>
                <w:rFonts w:ascii="Times New Roman"/>
                <w:sz w:val="21"/>
                <w:szCs w:val="21"/>
              </w:rPr>
            </w:pPr>
          </w:p>
        </w:tc>
        <w:tc>
          <w:tcPr>
            <w:tcW w:w="551" w:type="pct"/>
            <w:vAlign w:val="center"/>
          </w:tcPr>
          <w:p w14:paraId="2D77C62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D6A9A76">
            <w:pPr>
              <w:autoSpaceDE w:val="0"/>
              <w:autoSpaceDN w:val="0"/>
              <w:adjustRightInd w:val="0"/>
              <w:snapToGrid w:val="0"/>
              <w:jc w:val="center"/>
              <w:rPr>
                <w:rFonts w:ascii="Times New Roman"/>
                <w:sz w:val="21"/>
                <w:szCs w:val="21"/>
              </w:rPr>
            </w:pPr>
          </w:p>
        </w:tc>
        <w:tc>
          <w:tcPr>
            <w:tcW w:w="287" w:type="pct"/>
            <w:vMerge w:val="continue"/>
            <w:vAlign w:val="center"/>
          </w:tcPr>
          <w:p w14:paraId="4503D555">
            <w:pPr>
              <w:autoSpaceDE w:val="0"/>
              <w:autoSpaceDN w:val="0"/>
              <w:adjustRightInd w:val="0"/>
              <w:snapToGrid w:val="0"/>
              <w:jc w:val="center"/>
              <w:rPr>
                <w:rFonts w:ascii="Times New Roman"/>
                <w:sz w:val="21"/>
                <w:szCs w:val="21"/>
              </w:rPr>
            </w:pPr>
          </w:p>
        </w:tc>
        <w:tc>
          <w:tcPr>
            <w:tcW w:w="434" w:type="pct"/>
            <w:vMerge w:val="continue"/>
            <w:vAlign w:val="center"/>
          </w:tcPr>
          <w:p w14:paraId="2029DEA2">
            <w:pPr>
              <w:autoSpaceDE w:val="0"/>
              <w:autoSpaceDN w:val="0"/>
              <w:adjustRightInd w:val="0"/>
              <w:snapToGrid w:val="0"/>
              <w:jc w:val="center"/>
              <w:rPr>
                <w:rFonts w:ascii="Times New Roman"/>
                <w:sz w:val="21"/>
                <w:szCs w:val="21"/>
              </w:rPr>
            </w:pPr>
          </w:p>
        </w:tc>
      </w:tr>
      <w:tr w14:paraId="3EE3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D9B7048">
            <w:pPr>
              <w:autoSpaceDE w:val="0"/>
              <w:autoSpaceDN w:val="0"/>
              <w:adjustRightInd w:val="0"/>
              <w:snapToGrid w:val="0"/>
              <w:jc w:val="center"/>
              <w:rPr>
                <w:rFonts w:ascii="Times New Roman"/>
                <w:sz w:val="21"/>
                <w:szCs w:val="21"/>
              </w:rPr>
            </w:pPr>
          </w:p>
        </w:tc>
        <w:tc>
          <w:tcPr>
            <w:tcW w:w="697" w:type="pct"/>
            <w:vAlign w:val="center"/>
          </w:tcPr>
          <w:p w14:paraId="613A47BF">
            <w:pPr>
              <w:autoSpaceDE w:val="0"/>
              <w:autoSpaceDN w:val="0"/>
              <w:adjustRightInd w:val="0"/>
              <w:snapToGrid w:val="0"/>
              <w:jc w:val="center"/>
              <w:rPr>
                <w:rFonts w:ascii="Times New Roman"/>
                <w:sz w:val="21"/>
                <w:szCs w:val="21"/>
              </w:rPr>
            </w:pPr>
            <w:r>
              <w:rPr>
                <w:rFonts w:ascii="Times New Roman"/>
                <w:sz w:val="21"/>
                <w:szCs w:val="21"/>
              </w:rPr>
              <w:t>数控卷弯机</w:t>
            </w:r>
          </w:p>
        </w:tc>
        <w:tc>
          <w:tcPr>
            <w:tcW w:w="346" w:type="pct"/>
            <w:vAlign w:val="center"/>
          </w:tcPr>
          <w:p w14:paraId="2468343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C219CD5">
            <w:pPr>
              <w:autoSpaceDE w:val="0"/>
              <w:autoSpaceDN w:val="0"/>
              <w:adjustRightInd w:val="0"/>
              <w:snapToGrid w:val="0"/>
              <w:jc w:val="center"/>
              <w:rPr>
                <w:rFonts w:ascii="Times New Roman"/>
                <w:sz w:val="21"/>
                <w:szCs w:val="21"/>
              </w:rPr>
            </w:pPr>
          </w:p>
        </w:tc>
        <w:tc>
          <w:tcPr>
            <w:tcW w:w="208" w:type="pct"/>
            <w:vAlign w:val="center"/>
          </w:tcPr>
          <w:p w14:paraId="546E836C">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0E6EBA53">
            <w:pPr>
              <w:autoSpaceDE w:val="0"/>
              <w:autoSpaceDN w:val="0"/>
              <w:adjustRightInd w:val="0"/>
              <w:snapToGrid w:val="0"/>
              <w:jc w:val="center"/>
              <w:rPr>
                <w:rFonts w:ascii="Times New Roman"/>
                <w:sz w:val="21"/>
                <w:szCs w:val="21"/>
              </w:rPr>
            </w:pPr>
            <w:r>
              <w:rPr>
                <w:rFonts w:ascii="Times New Roman"/>
                <w:sz w:val="21"/>
                <w:szCs w:val="21"/>
              </w:rPr>
              <w:t>148</w:t>
            </w:r>
          </w:p>
        </w:tc>
        <w:tc>
          <w:tcPr>
            <w:tcW w:w="240" w:type="pct"/>
            <w:vAlign w:val="center"/>
          </w:tcPr>
          <w:p w14:paraId="4EF92396">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CD7CD7B">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15B8B36F">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0D8A5232">
            <w:pPr>
              <w:autoSpaceDE w:val="0"/>
              <w:autoSpaceDN w:val="0"/>
              <w:adjustRightInd w:val="0"/>
              <w:snapToGrid w:val="0"/>
              <w:jc w:val="center"/>
              <w:rPr>
                <w:rFonts w:ascii="Times New Roman"/>
                <w:sz w:val="21"/>
                <w:szCs w:val="21"/>
              </w:rPr>
            </w:pPr>
          </w:p>
        </w:tc>
        <w:tc>
          <w:tcPr>
            <w:tcW w:w="551" w:type="pct"/>
            <w:vAlign w:val="center"/>
          </w:tcPr>
          <w:p w14:paraId="0C9B135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6D33E6C">
            <w:pPr>
              <w:autoSpaceDE w:val="0"/>
              <w:autoSpaceDN w:val="0"/>
              <w:adjustRightInd w:val="0"/>
              <w:snapToGrid w:val="0"/>
              <w:jc w:val="center"/>
              <w:rPr>
                <w:rFonts w:ascii="Times New Roman"/>
                <w:sz w:val="21"/>
                <w:szCs w:val="21"/>
              </w:rPr>
            </w:pPr>
          </w:p>
        </w:tc>
        <w:tc>
          <w:tcPr>
            <w:tcW w:w="287" w:type="pct"/>
            <w:vMerge w:val="continue"/>
            <w:vAlign w:val="center"/>
          </w:tcPr>
          <w:p w14:paraId="55676E21">
            <w:pPr>
              <w:autoSpaceDE w:val="0"/>
              <w:autoSpaceDN w:val="0"/>
              <w:adjustRightInd w:val="0"/>
              <w:snapToGrid w:val="0"/>
              <w:jc w:val="center"/>
              <w:rPr>
                <w:rFonts w:ascii="Times New Roman"/>
                <w:sz w:val="21"/>
                <w:szCs w:val="21"/>
              </w:rPr>
            </w:pPr>
          </w:p>
        </w:tc>
        <w:tc>
          <w:tcPr>
            <w:tcW w:w="434" w:type="pct"/>
            <w:vMerge w:val="continue"/>
            <w:vAlign w:val="center"/>
          </w:tcPr>
          <w:p w14:paraId="41ED989C">
            <w:pPr>
              <w:autoSpaceDE w:val="0"/>
              <w:autoSpaceDN w:val="0"/>
              <w:adjustRightInd w:val="0"/>
              <w:snapToGrid w:val="0"/>
              <w:jc w:val="center"/>
              <w:rPr>
                <w:rFonts w:ascii="Times New Roman"/>
                <w:sz w:val="21"/>
                <w:szCs w:val="21"/>
              </w:rPr>
            </w:pPr>
          </w:p>
        </w:tc>
      </w:tr>
      <w:tr w14:paraId="69A9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E6BBAF5">
            <w:pPr>
              <w:autoSpaceDE w:val="0"/>
              <w:autoSpaceDN w:val="0"/>
              <w:adjustRightInd w:val="0"/>
              <w:snapToGrid w:val="0"/>
              <w:jc w:val="center"/>
              <w:rPr>
                <w:rFonts w:ascii="Times New Roman"/>
                <w:sz w:val="21"/>
                <w:szCs w:val="21"/>
              </w:rPr>
            </w:pPr>
          </w:p>
        </w:tc>
        <w:tc>
          <w:tcPr>
            <w:tcW w:w="697" w:type="pct"/>
            <w:vAlign w:val="center"/>
          </w:tcPr>
          <w:p w14:paraId="302A15C6">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2A27FBA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A6E6B4D">
            <w:pPr>
              <w:autoSpaceDE w:val="0"/>
              <w:autoSpaceDN w:val="0"/>
              <w:adjustRightInd w:val="0"/>
              <w:snapToGrid w:val="0"/>
              <w:jc w:val="center"/>
              <w:rPr>
                <w:rFonts w:ascii="Times New Roman"/>
                <w:sz w:val="21"/>
                <w:szCs w:val="21"/>
              </w:rPr>
            </w:pPr>
          </w:p>
        </w:tc>
        <w:tc>
          <w:tcPr>
            <w:tcW w:w="208" w:type="pct"/>
            <w:vAlign w:val="center"/>
          </w:tcPr>
          <w:p w14:paraId="66BA301C">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13C2859E">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5861C55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F3FFB34">
            <w:pPr>
              <w:autoSpaceDE w:val="0"/>
              <w:autoSpaceDN w:val="0"/>
              <w:adjustRightInd w:val="0"/>
              <w:snapToGrid w:val="0"/>
              <w:jc w:val="center"/>
              <w:rPr>
                <w:rFonts w:ascii="Times New Roman"/>
                <w:sz w:val="21"/>
                <w:szCs w:val="21"/>
              </w:rPr>
            </w:pPr>
            <w:r>
              <w:rPr>
                <w:rFonts w:ascii="Times New Roman"/>
                <w:sz w:val="21"/>
                <w:szCs w:val="21"/>
              </w:rPr>
              <w:t>139.15</w:t>
            </w:r>
          </w:p>
        </w:tc>
        <w:tc>
          <w:tcPr>
            <w:tcW w:w="358" w:type="pct"/>
            <w:vAlign w:val="center"/>
          </w:tcPr>
          <w:p w14:paraId="6E3C46DC">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1F3E220">
            <w:pPr>
              <w:autoSpaceDE w:val="0"/>
              <w:autoSpaceDN w:val="0"/>
              <w:adjustRightInd w:val="0"/>
              <w:snapToGrid w:val="0"/>
              <w:jc w:val="center"/>
              <w:rPr>
                <w:rFonts w:ascii="Times New Roman"/>
                <w:sz w:val="21"/>
                <w:szCs w:val="21"/>
              </w:rPr>
            </w:pPr>
          </w:p>
        </w:tc>
        <w:tc>
          <w:tcPr>
            <w:tcW w:w="551" w:type="pct"/>
            <w:vAlign w:val="center"/>
          </w:tcPr>
          <w:p w14:paraId="453E42D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1AF93F7">
            <w:pPr>
              <w:autoSpaceDE w:val="0"/>
              <w:autoSpaceDN w:val="0"/>
              <w:adjustRightInd w:val="0"/>
              <w:snapToGrid w:val="0"/>
              <w:jc w:val="center"/>
              <w:rPr>
                <w:rFonts w:ascii="Times New Roman"/>
                <w:sz w:val="21"/>
                <w:szCs w:val="21"/>
              </w:rPr>
            </w:pPr>
          </w:p>
        </w:tc>
        <w:tc>
          <w:tcPr>
            <w:tcW w:w="287" w:type="pct"/>
            <w:vMerge w:val="continue"/>
            <w:vAlign w:val="center"/>
          </w:tcPr>
          <w:p w14:paraId="6AD6928E">
            <w:pPr>
              <w:autoSpaceDE w:val="0"/>
              <w:autoSpaceDN w:val="0"/>
              <w:adjustRightInd w:val="0"/>
              <w:snapToGrid w:val="0"/>
              <w:jc w:val="center"/>
              <w:rPr>
                <w:rFonts w:ascii="Times New Roman"/>
                <w:sz w:val="21"/>
                <w:szCs w:val="21"/>
              </w:rPr>
            </w:pPr>
          </w:p>
        </w:tc>
        <w:tc>
          <w:tcPr>
            <w:tcW w:w="434" w:type="pct"/>
            <w:vMerge w:val="continue"/>
            <w:vAlign w:val="center"/>
          </w:tcPr>
          <w:p w14:paraId="50F61749">
            <w:pPr>
              <w:autoSpaceDE w:val="0"/>
              <w:autoSpaceDN w:val="0"/>
              <w:adjustRightInd w:val="0"/>
              <w:snapToGrid w:val="0"/>
              <w:jc w:val="center"/>
              <w:rPr>
                <w:rFonts w:ascii="Times New Roman"/>
                <w:sz w:val="21"/>
                <w:szCs w:val="21"/>
              </w:rPr>
            </w:pPr>
          </w:p>
        </w:tc>
      </w:tr>
      <w:tr w14:paraId="0C91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41C25E7">
            <w:pPr>
              <w:autoSpaceDE w:val="0"/>
              <w:autoSpaceDN w:val="0"/>
              <w:adjustRightInd w:val="0"/>
              <w:snapToGrid w:val="0"/>
              <w:jc w:val="center"/>
              <w:rPr>
                <w:rFonts w:ascii="Times New Roman"/>
                <w:sz w:val="21"/>
                <w:szCs w:val="21"/>
              </w:rPr>
            </w:pPr>
          </w:p>
        </w:tc>
        <w:tc>
          <w:tcPr>
            <w:tcW w:w="697" w:type="pct"/>
            <w:vAlign w:val="center"/>
          </w:tcPr>
          <w:p w14:paraId="6F944A9D">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2B3C7AE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EB79069">
            <w:pPr>
              <w:autoSpaceDE w:val="0"/>
              <w:autoSpaceDN w:val="0"/>
              <w:adjustRightInd w:val="0"/>
              <w:snapToGrid w:val="0"/>
              <w:jc w:val="center"/>
              <w:rPr>
                <w:rFonts w:ascii="Times New Roman"/>
                <w:sz w:val="21"/>
                <w:szCs w:val="21"/>
              </w:rPr>
            </w:pPr>
          </w:p>
        </w:tc>
        <w:tc>
          <w:tcPr>
            <w:tcW w:w="208" w:type="pct"/>
            <w:vAlign w:val="center"/>
          </w:tcPr>
          <w:p w14:paraId="261F23D2">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65A6FA01">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4B549BD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C18D74B">
            <w:pPr>
              <w:autoSpaceDE w:val="0"/>
              <w:autoSpaceDN w:val="0"/>
              <w:adjustRightInd w:val="0"/>
              <w:snapToGrid w:val="0"/>
              <w:jc w:val="center"/>
              <w:rPr>
                <w:rFonts w:ascii="Times New Roman"/>
                <w:sz w:val="21"/>
                <w:szCs w:val="21"/>
              </w:rPr>
            </w:pPr>
            <w:r>
              <w:rPr>
                <w:rFonts w:ascii="Times New Roman"/>
                <w:sz w:val="21"/>
                <w:szCs w:val="21"/>
              </w:rPr>
              <w:t>139.15</w:t>
            </w:r>
          </w:p>
        </w:tc>
        <w:tc>
          <w:tcPr>
            <w:tcW w:w="358" w:type="pct"/>
            <w:vAlign w:val="center"/>
          </w:tcPr>
          <w:p w14:paraId="60F9BE47">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252C9927">
            <w:pPr>
              <w:autoSpaceDE w:val="0"/>
              <w:autoSpaceDN w:val="0"/>
              <w:adjustRightInd w:val="0"/>
              <w:snapToGrid w:val="0"/>
              <w:jc w:val="center"/>
              <w:rPr>
                <w:rFonts w:ascii="Times New Roman"/>
                <w:sz w:val="21"/>
                <w:szCs w:val="21"/>
              </w:rPr>
            </w:pPr>
          </w:p>
        </w:tc>
        <w:tc>
          <w:tcPr>
            <w:tcW w:w="551" w:type="pct"/>
            <w:vAlign w:val="center"/>
          </w:tcPr>
          <w:p w14:paraId="3C018EE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20A91D7">
            <w:pPr>
              <w:autoSpaceDE w:val="0"/>
              <w:autoSpaceDN w:val="0"/>
              <w:adjustRightInd w:val="0"/>
              <w:snapToGrid w:val="0"/>
              <w:jc w:val="center"/>
              <w:rPr>
                <w:rFonts w:ascii="Times New Roman"/>
                <w:sz w:val="21"/>
                <w:szCs w:val="21"/>
              </w:rPr>
            </w:pPr>
          </w:p>
        </w:tc>
        <w:tc>
          <w:tcPr>
            <w:tcW w:w="287" w:type="pct"/>
            <w:vMerge w:val="continue"/>
            <w:vAlign w:val="center"/>
          </w:tcPr>
          <w:p w14:paraId="111F2C99">
            <w:pPr>
              <w:autoSpaceDE w:val="0"/>
              <w:autoSpaceDN w:val="0"/>
              <w:adjustRightInd w:val="0"/>
              <w:snapToGrid w:val="0"/>
              <w:jc w:val="center"/>
              <w:rPr>
                <w:rFonts w:ascii="Times New Roman"/>
                <w:sz w:val="21"/>
                <w:szCs w:val="21"/>
              </w:rPr>
            </w:pPr>
          </w:p>
        </w:tc>
        <w:tc>
          <w:tcPr>
            <w:tcW w:w="434" w:type="pct"/>
            <w:vMerge w:val="continue"/>
            <w:vAlign w:val="center"/>
          </w:tcPr>
          <w:p w14:paraId="527F7B76">
            <w:pPr>
              <w:autoSpaceDE w:val="0"/>
              <w:autoSpaceDN w:val="0"/>
              <w:adjustRightInd w:val="0"/>
              <w:snapToGrid w:val="0"/>
              <w:jc w:val="center"/>
              <w:rPr>
                <w:rFonts w:ascii="Times New Roman"/>
                <w:sz w:val="21"/>
                <w:szCs w:val="21"/>
              </w:rPr>
            </w:pPr>
          </w:p>
        </w:tc>
      </w:tr>
      <w:tr w14:paraId="785D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40B1764">
            <w:pPr>
              <w:autoSpaceDE w:val="0"/>
              <w:autoSpaceDN w:val="0"/>
              <w:adjustRightInd w:val="0"/>
              <w:snapToGrid w:val="0"/>
              <w:jc w:val="center"/>
              <w:rPr>
                <w:rFonts w:ascii="Times New Roman"/>
                <w:sz w:val="21"/>
                <w:szCs w:val="21"/>
              </w:rPr>
            </w:pPr>
          </w:p>
        </w:tc>
        <w:tc>
          <w:tcPr>
            <w:tcW w:w="697" w:type="pct"/>
            <w:vAlign w:val="center"/>
          </w:tcPr>
          <w:p w14:paraId="5DFA73D9">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013479F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C298DAF">
            <w:pPr>
              <w:autoSpaceDE w:val="0"/>
              <w:autoSpaceDN w:val="0"/>
              <w:adjustRightInd w:val="0"/>
              <w:snapToGrid w:val="0"/>
              <w:jc w:val="center"/>
              <w:rPr>
                <w:rFonts w:ascii="Times New Roman"/>
                <w:sz w:val="21"/>
                <w:szCs w:val="21"/>
              </w:rPr>
            </w:pPr>
          </w:p>
        </w:tc>
        <w:tc>
          <w:tcPr>
            <w:tcW w:w="208" w:type="pct"/>
            <w:vAlign w:val="center"/>
          </w:tcPr>
          <w:p w14:paraId="4121190A">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2F4E829A">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15DBD56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458F4B0">
            <w:pPr>
              <w:autoSpaceDE w:val="0"/>
              <w:autoSpaceDN w:val="0"/>
              <w:adjustRightInd w:val="0"/>
              <w:snapToGrid w:val="0"/>
              <w:jc w:val="center"/>
              <w:rPr>
                <w:rFonts w:ascii="Times New Roman"/>
                <w:sz w:val="21"/>
                <w:szCs w:val="21"/>
              </w:rPr>
            </w:pPr>
            <w:r>
              <w:rPr>
                <w:rFonts w:ascii="Times New Roman"/>
                <w:sz w:val="21"/>
                <w:szCs w:val="21"/>
              </w:rPr>
              <w:t>139.15</w:t>
            </w:r>
          </w:p>
        </w:tc>
        <w:tc>
          <w:tcPr>
            <w:tcW w:w="358" w:type="pct"/>
            <w:vAlign w:val="center"/>
          </w:tcPr>
          <w:p w14:paraId="610678DA">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3FF966D9">
            <w:pPr>
              <w:autoSpaceDE w:val="0"/>
              <w:autoSpaceDN w:val="0"/>
              <w:adjustRightInd w:val="0"/>
              <w:snapToGrid w:val="0"/>
              <w:jc w:val="center"/>
              <w:rPr>
                <w:rFonts w:ascii="Times New Roman"/>
                <w:sz w:val="21"/>
                <w:szCs w:val="21"/>
              </w:rPr>
            </w:pPr>
          </w:p>
        </w:tc>
        <w:tc>
          <w:tcPr>
            <w:tcW w:w="551" w:type="pct"/>
            <w:vAlign w:val="center"/>
          </w:tcPr>
          <w:p w14:paraId="5F28428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40105CF">
            <w:pPr>
              <w:autoSpaceDE w:val="0"/>
              <w:autoSpaceDN w:val="0"/>
              <w:adjustRightInd w:val="0"/>
              <w:snapToGrid w:val="0"/>
              <w:jc w:val="center"/>
              <w:rPr>
                <w:rFonts w:ascii="Times New Roman"/>
                <w:sz w:val="21"/>
                <w:szCs w:val="21"/>
              </w:rPr>
            </w:pPr>
          </w:p>
        </w:tc>
        <w:tc>
          <w:tcPr>
            <w:tcW w:w="287" w:type="pct"/>
            <w:vMerge w:val="continue"/>
            <w:vAlign w:val="center"/>
          </w:tcPr>
          <w:p w14:paraId="60E65ED4">
            <w:pPr>
              <w:autoSpaceDE w:val="0"/>
              <w:autoSpaceDN w:val="0"/>
              <w:adjustRightInd w:val="0"/>
              <w:snapToGrid w:val="0"/>
              <w:jc w:val="center"/>
              <w:rPr>
                <w:rFonts w:ascii="Times New Roman"/>
                <w:sz w:val="21"/>
                <w:szCs w:val="21"/>
              </w:rPr>
            </w:pPr>
          </w:p>
        </w:tc>
        <w:tc>
          <w:tcPr>
            <w:tcW w:w="434" w:type="pct"/>
            <w:vMerge w:val="continue"/>
            <w:vAlign w:val="center"/>
          </w:tcPr>
          <w:p w14:paraId="48738BD1">
            <w:pPr>
              <w:autoSpaceDE w:val="0"/>
              <w:autoSpaceDN w:val="0"/>
              <w:adjustRightInd w:val="0"/>
              <w:snapToGrid w:val="0"/>
              <w:jc w:val="center"/>
              <w:rPr>
                <w:rFonts w:ascii="Times New Roman"/>
                <w:sz w:val="21"/>
                <w:szCs w:val="21"/>
              </w:rPr>
            </w:pPr>
          </w:p>
        </w:tc>
      </w:tr>
      <w:tr w14:paraId="6AC1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D4A47C7">
            <w:pPr>
              <w:autoSpaceDE w:val="0"/>
              <w:autoSpaceDN w:val="0"/>
              <w:adjustRightInd w:val="0"/>
              <w:snapToGrid w:val="0"/>
              <w:jc w:val="center"/>
              <w:rPr>
                <w:rFonts w:ascii="Times New Roman"/>
                <w:sz w:val="21"/>
                <w:szCs w:val="21"/>
              </w:rPr>
            </w:pPr>
          </w:p>
        </w:tc>
        <w:tc>
          <w:tcPr>
            <w:tcW w:w="697" w:type="pct"/>
            <w:vAlign w:val="center"/>
          </w:tcPr>
          <w:p w14:paraId="77BEA709">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029768A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6EE9109">
            <w:pPr>
              <w:autoSpaceDE w:val="0"/>
              <w:autoSpaceDN w:val="0"/>
              <w:adjustRightInd w:val="0"/>
              <w:snapToGrid w:val="0"/>
              <w:jc w:val="center"/>
              <w:rPr>
                <w:rFonts w:ascii="Times New Roman"/>
                <w:sz w:val="21"/>
                <w:szCs w:val="21"/>
              </w:rPr>
            </w:pPr>
          </w:p>
        </w:tc>
        <w:tc>
          <w:tcPr>
            <w:tcW w:w="208" w:type="pct"/>
            <w:vAlign w:val="center"/>
          </w:tcPr>
          <w:p w14:paraId="3656224A">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209697CE">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0F656D9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02AC25B">
            <w:pPr>
              <w:autoSpaceDE w:val="0"/>
              <w:autoSpaceDN w:val="0"/>
              <w:adjustRightInd w:val="0"/>
              <w:snapToGrid w:val="0"/>
              <w:jc w:val="center"/>
              <w:rPr>
                <w:rFonts w:ascii="Times New Roman"/>
                <w:sz w:val="21"/>
                <w:szCs w:val="21"/>
              </w:rPr>
            </w:pPr>
            <w:r>
              <w:rPr>
                <w:rFonts w:ascii="Times New Roman"/>
                <w:sz w:val="21"/>
                <w:szCs w:val="21"/>
              </w:rPr>
              <w:t>139.15</w:t>
            </w:r>
          </w:p>
        </w:tc>
        <w:tc>
          <w:tcPr>
            <w:tcW w:w="358" w:type="pct"/>
            <w:vAlign w:val="center"/>
          </w:tcPr>
          <w:p w14:paraId="0B2F689A">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1E4CEB4">
            <w:pPr>
              <w:autoSpaceDE w:val="0"/>
              <w:autoSpaceDN w:val="0"/>
              <w:adjustRightInd w:val="0"/>
              <w:snapToGrid w:val="0"/>
              <w:jc w:val="center"/>
              <w:rPr>
                <w:rFonts w:ascii="Times New Roman"/>
                <w:sz w:val="21"/>
                <w:szCs w:val="21"/>
              </w:rPr>
            </w:pPr>
          </w:p>
        </w:tc>
        <w:tc>
          <w:tcPr>
            <w:tcW w:w="551" w:type="pct"/>
            <w:vAlign w:val="center"/>
          </w:tcPr>
          <w:p w14:paraId="5477BB5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CD0014B">
            <w:pPr>
              <w:autoSpaceDE w:val="0"/>
              <w:autoSpaceDN w:val="0"/>
              <w:adjustRightInd w:val="0"/>
              <w:snapToGrid w:val="0"/>
              <w:jc w:val="center"/>
              <w:rPr>
                <w:rFonts w:ascii="Times New Roman"/>
                <w:sz w:val="21"/>
                <w:szCs w:val="21"/>
              </w:rPr>
            </w:pPr>
          </w:p>
        </w:tc>
        <w:tc>
          <w:tcPr>
            <w:tcW w:w="287" w:type="pct"/>
            <w:vMerge w:val="continue"/>
            <w:vAlign w:val="center"/>
          </w:tcPr>
          <w:p w14:paraId="6AADDF59">
            <w:pPr>
              <w:autoSpaceDE w:val="0"/>
              <w:autoSpaceDN w:val="0"/>
              <w:adjustRightInd w:val="0"/>
              <w:snapToGrid w:val="0"/>
              <w:jc w:val="center"/>
              <w:rPr>
                <w:rFonts w:ascii="Times New Roman"/>
                <w:sz w:val="21"/>
                <w:szCs w:val="21"/>
              </w:rPr>
            </w:pPr>
          </w:p>
        </w:tc>
        <w:tc>
          <w:tcPr>
            <w:tcW w:w="434" w:type="pct"/>
            <w:vMerge w:val="continue"/>
            <w:vAlign w:val="center"/>
          </w:tcPr>
          <w:p w14:paraId="2B9EE491">
            <w:pPr>
              <w:autoSpaceDE w:val="0"/>
              <w:autoSpaceDN w:val="0"/>
              <w:adjustRightInd w:val="0"/>
              <w:snapToGrid w:val="0"/>
              <w:jc w:val="center"/>
              <w:rPr>
                <w:rFonts w:ascii="Times New Roman"/>
                <w:sz w:val="21"/>
                <w:szCs w:val="21"/>
              </w:rPr>
            </w:pPr>
          </w:p>
        </w:tc>
      </w:tr>
      <w:tr w14:paraId="5AD4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A761487">
            <w:pPr>
              <w:autoSpaceDE w:val="0"/>
              <w:autoSpaceDN w:val="0"/>
              <w:adjustRightInd w:val="0"/>
              <w:snapToGrid w:val="0"/>
              <w:jc w:val="center"/>
              <w:rPr>
                <w:rFonts w:ascii="Times New Roman"/>
                <w:sz w:val="21"/>
                <w:szCs w:val="21"/>
              </w:rPr>
            </w:pPr>
          </w:p>
        </w:tc>
        <w:tc>
          <w:tcPr>
            <w:tcW w:w="697" w:type="pct"/>
            <w:vAlign w:val="center"/>
          </w:tcPr>
          <w:p w14:paraId="42148EBC">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4F0C4CB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DCAD8E9">
            <w:pPr>
              <w:autoSpaceDE w:val="0"/>
              <w:autoSpaceDN w:val="0"/>
              <w:adjustRightInd w:val="0"/>
              <w:snapToGrid w:val="0"/>
              <w:jc w:val="center"/>
              <w:rPr>
                <w:rFonts w:ascii="Times New Roman"/>
                <w:sz w:val="21"/>
                <w:szCs w:val="21"/>
              </w:rPr>
            </w:pPr>
          </w:p>
        </w:tc>
        <w:tc>
          <w:tcPr>
            <w:tcW w:w="208" w:type="pct"/>
            <w:vAlign w:val="center"/>
          </w:tcPr>
          <w:p w14:paraId="4AF8A692">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02890FD5">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317589E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76BF337">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5A74CAFD">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0E578BE0">
            <w:pPr>
              <w:autoSpaceDE w:val="0"/>
              <w:autoSpaceDN w:val="0"/>
              <w:adjustRightInd w:val="0"/>
              <w:snapToGrid w:val="0"/>
              <w:jc w:val="center"/>
              <w:rPr>
                <w:rFonts w:ascii="Times New Roman"/>
                <w:sz w:val="21"/>
                <w:szCs w:val="21"/>
              </w:rPr>
            </w:pPr>
          </w:p>
        </w:tc>
        <w:tc>
          <w:tcPr>
            <w:tcW w:w="551" w:type="pct"/>
            <w:vAlign w:val="center"/>
          </w:tcPr>
          <w:p w14:paraId="6BFCB2E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DACEA15">
            <w:pPr>
              <w:autoSpaceDE w:val="0"/>
              <w:autoSpaceDN w:val="0"/>
              <w:adjustRightInd w:val="0"/>
              <w:snapToGrid w:val="0"/>
              <w:jc w:val="center"/>
              <w:rPr>
                <w:rFonts w:ascii="Times New Roman"/>
                <w:sz w:val="21"/>
                <w:szCs w:val="21"/>
              </w:rPr>
            </w:pPr>
          </w:p>
        </w:tc>
        <w:tc>
          <w:tcPr>
            <w:tcW w:w="287" w:type="pct"/>
            <w:vMerge w:val="continue"/>
            <w:vAlign w:val="center"/>
          </w:tcPr>
          <w:p w14:paraId="3C4A2350">
            <w:pPr>
              <w:autoSpaceDE w:val="0"/>
              <w:autoSpaceDN w:val="0"/>
              <w:adjustRightInd w:val="0"/>
              <w:snapToGrid w:val="0"/>
              <w:jc w:val="center"/>
              <w:rPr>
                <w:rFonts w:ascii="Times New Roman"/>
                <w:sz w:val="21"/>
                <w:szCs w:val="21"/>
              </w:rPr>
            </w:pPr>
          </w:p>
        </w:tc>
        <w:tc>
          <w:tcPr>
            <w:tcW w:w="434" w:type="pct"/>
            <w:vMerge w:val="continue"/>
            <w:vAlign w:val="center"/>
          </w:tcPr>
          <w:p w14:paraId="2520CE6F">
            <w:pPr>
              <w:autoSpaceDE w:val="0"/>
              <w:autoSpaceDN w:val="0"/>
              <w:adjustRightInd w:val="0"/>
              <w:snapToGrid w:val="0"/>
              <w:jc w:val="center"/>
              <w:rPr>
                <w:rFonts w:ascii="Times New Roman"/>
                <w:sz w:val="21"/>
                <w:szCs w:val="21"/>
              </w:rPr>
            </w:pPr>
          </w:p>
        </w:tc>
      </w:tr>
      <w:tr w14:paraId="123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D3D7D6B">
            <w:pPr>
              <w:autoSpaceDE w:val="0"/>
              <w:autoSpaceDN w:val="0"/>
              <w:adjustRightInd w:val="0"/>
              <w:snapToGrid w:val="0"/>
              <w:jc w:val="center"/>
              <w:rPr>
                <w:rFonts w:ascii="Times New Roman"/>
                <w:sz w:val="21"/>
                <w:szCs w:val="21"/>
              </w:rPr>
            </w:pPr>
          </w:p>
        </w:tc>
        <w:tc>
          <w:tcPr>
            <w:tcW w:w="697" w:type="pct"/>
            <w:vAlign w:val="center"/>
          </w:tcPr>
          <w:p w14:paraId="25917BC2">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7E7031C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B069A76">
            <w:pPr>
              <w:autoSpaceDE w:val="0"/>
              <w:autoSpaceDN w:val="0"/>
              <w:adjustRightInd w:val="0"/>
              <w:snapToGrid w:val="0"/>
              <w:jc w:val="center"/>
              <w:rPr>
                <w:rFonts w:ascii="Times New Roman"/>
                <w:sz w:val="21"/>
                <w:szCs w:val="21"/>
              </w:rPr>
            </w:pPr>
          </w:p>
        </w:tc>
        <w:tc>
          <w:tcPr>
            <w:tcW w:w="208" w:type="pct"/>
            <w:vAlign w:val="center"/>
          </w:tcPr>
          <w:p w14:paraId="4FBC8847">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083F83B2">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6B660F6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C3F5AD1">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72DAE679">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545231BC">
            <w:pPr>
              <w:autoSpaceDE w:val="0"/>
              <w:autoSpaceDN w:val="0"/>
              <w:adjustRightInd w:val="0"/>
              <w:snapToGrid w:val="0"/>
              <w:jc w:val="center"/>
              <w:rPr>
                <w:rFonts w:ascii="Times New Roman"/>
                <w:sz w:val="21"/>
                <w:szCs w:val="21"/>
              </w:rPr>
            </w:pPr>
          </w:p>
        </w:tc>
        <w:tc>
          <w:tcPr>
            <w:tcW w:w="551" w:type="pct"/>
            <w:vAlign w:val="center"/>
          </w:tcPr>
          <w:p w14:paraId="2666705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80217CF">
            <w:pPr>
              <w:autoSpaceDE w:val="0"/>
              <w:autoSpaceDN w:val="0"/>
              <w:adjustRightInd w:val="0"/>
              <w:snapToGrid w:val="0"/>
              <w:jc w:val="center"/>
              <w:rPr>
                <w:rFonts w:ascii="Times New Roman"/>
                <w:sz w:val="21"/>
                <w:szCs w:val="21"/>
              </w:rPr>
            </w:pPr>
          </w:p>
        </w:tc>
        <w:tc>
          <w:tcPr>
            <w:tcW w:w="287" w:type="pct"/>
            <w:vMerge w:val="continue"/>
            <w:vAlign w:val="center"/>
          </w:tcPr>
          <w:p w14:paraId="730EAA6C">
            <w:pPr>
              <w:autoSpaceDE w:val="0"/>
              <w:autoSpaceDN w:val="0"/>
              <w:adjustRightInd w:val="0"/>
              <w:snapToGrid w:val="0"/>
              <w:jc w:val="center"/>
              <w:rPr>
                <w:rFonts w:ascii="Times New Roman"/>
                <w:sz w:val="21"/>
                <w:szCs w:val="21"/>
              </w:rPr>
            </w:pPr>
          </w:p>
        </w:tc>
        <w:tc>
          <w:tcPr>
            <w:tcW w:w="434" w:type="pct"/>
            <w:vMerge w:val="continue"/>
            <w:vAlign w:val="center"/>
          </w:tcPr>
          <w:p w14:paraId="5C7977D9">
            <w:pPr>
              <w:autoSpaceDE w:val="0"/>
              <w:autoSpaceDN w:val="0"/>
              <w:adjustRightInd w:val="0"/>
              <w:snapToGrid w:val="0"/>
              <w:jc w:val="center"/>
              <w:rPr>
                <w:rFonts w:ascii="Times New Roman"/>
                <w:sz w:val="21"/>
                <w:szCs w:val="21"/>
              </w:rPr>
            </w:pPr>
          </w:p>
        </w:tc>
      </w:tr>
      <w:tr w14:paraId="49DA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19ECFEE">
            <w:pPr>
              <w:autoSpaceDE w:val="0"/>
              <w:autoSpaceDN w:val="0"/>
              <w:adjustRightInd w:val="0"/>
              <w:snapToGrid w:val="0"/>
              <w:jc w:val="center"/>
              <w:rPr>
                <w:rFonts w:ascii="Times New Roman"/>
                <w:sz w:val="21"/>
                <w:szCs w:val="21"/>
              </w:rPr>
            </w:pPr>
          </w:p>
        </w:tc>
        <w:tc>
          <w:tcPr>
            <w:tcW w:w="697" w:type="pct"/>
            <w:vAlign w:val="center"/>
          </w:tcPr>
          <w:p w14:paraId="577FEDF1">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1DBF722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B3FBB7F">
            <w:pPr>
              <w:autoSpaceDE w:val="0"/>
              <w:autoSpaceDN w:val="0"/>
              <w:adjustRightInd w:val="0"/>
              <w:snapToGrid w:val="0"/>
              <w:jc w:val="center"/>
              <w:rPr>
                <w:rFonts w:ascii="Times New Roman"/>
                <w:sz w:val="21"/>
                <w:szCs w:val="21"/>
              </w:rPr>
            </w:pPr>
          </w:p>
        </w:tc>
        <w:tc>
          <w:tcPr>
            <w:tcW w:w="208" w:type="pct"/>
            <w:vAlign w:val="center"/>
          </w:tcPr>
          <w:p w14:paraId="3477955F">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6B2E6D3A">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0C4D768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AF22004">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169D181E">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649A3BDF">
            <w:pPr>
              <w:autoSpaceDE w:val="0"/>
              <w:autoSpaceDN w:val="0"/>
              <w:adjustRightInd w:val="0"/>
              <w:snapToGrid w:val="0"/>
              <w:jc w:val="center"/>
              <w:rPr>
                <w:rFonts w:ascii="Times New Roman"/>
                <w:sz w:val="21"/>
                <w:szCs w:val="21"/>
              </w:rPr>
            </w:pPr>
          </w:p>
        </w:tc>
        <w:tc>
          <w:tcPr>
            <w:tcW w:w="551" w:type="pct"/>
            <w:vAlign w:val="center"/>
          </w:tcPr>
          <w:p w14:paraId="761B5D9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725D544">
            <w:pPr>
              <w:autoSpaceDE w:val="0"/>
              <w:autoSpaceDN w:val="0"/>
              <w:adjustRightInd w:val="0"/>
              <w:snapToGrid w:val="0"/>
              <w:jc w:val="center"/>
              <w:rPr>
                <w:rFonts w:ascii="Times New Roman"/>
                <w:sz w:val="21"/>
                <w:szCs w:val="21"/>
              </w:rPr>
            </w:pPr>
          </w:p>
        </w:tc>
        <w:tc>
          <w:tcPr>
            <w:tcW w:w="287" w:type="pct"/>
            <w:vMerge w:val="continue"/>
            <w:vAlign w:val="center"/>
          </w:tcPr>
          <w:p w14:paraId="3A347E32">
            <w:pPr>
              <w:autoSpaceDE w:val="0"/>
              <w:autoSpaceDN w:val="0"/>
              <w:adjustRightInd w:val="0"/>
              <w:snapToGrid w:val="0"/>
              <w:jc w:val="center"/>
              <w:rPr>
                <w:rFonts w:ascii="Times New Roman"/>
                <w:sz w:val="21"/>
                <w:szCs w:val="21"/>
              </w:rPr>
            </w:pPr>
          </w:p>
        </w:tc>
        <w:tc>
          <w:tcPr>
            <w:tcW w:w="434" w:type="pct"/>
            <w:vMerge w:val="continue"/>
            <w:vAlign w:val="center"/>
          </w:tcPr>
          <w:p w14:paraId="1ACB44CF">
            <w:pPr>
              <w:autoSpaceDE w:val="0"/>
              <w:autoSpaceDN w:val="0"/>
              <w:adjustRightInd w:val="0"/>
              <w:snapToGrid w:val="0"/>
              <w:jc w:val="center"/>
              <w:rPr>
                <w:rFonts w:ascii="Times New Roman"/>
                <w:sz w:val="21"/>
                <w:szCs w:val="21"/>
              </w:rPr>
            </w:pPr>
          </w:p>
        </w:tc>
      </w:tr>
      <w:tr w14:paraId="4B4B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5048521">
            <w:pPr>
              <w:autoSpaceDE w:val="0"/>
              <w:autoSpaceDN w:val="0"/>
              <w:adjustRightInd w:val="0"/>
              <w:snapToGrid w:val="0"/>
              <w:jc w:val="center"/>
              <w:rPr>
                <w:rFonts w:ascii="Times New Roman"/>
                <w:sz w:val="21"/>
                <w:szCs w:val="21"/>
              </w:rPr>
            </w:pPr>
          </w:p>
        </w:tc>
        <w:tc>
          <w:tcPr>
            <w:tcW w:w="697" w:type="pct"/>
            <w:vAlign w:val="center"/>
          </w:tcPr>
          <w:p w14:paraId="37D7F48F">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1FDF495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56D6123">
            <w:pPr>
              <w:autoSpaceDE w:val="0"/>
              <w:autoSpaceDN w:val="0"/>
              <w:adjustRightInd w:val="0"/>
              <w:snapToGrid w:val="0"/>
              <w:jc w:val="center"/>
              <w:rPr>
                <w:rFonts w:ascii="Times New Roman"/>
                <w:sz w:val="21"/>
                <w:szCs w:val="21"/>
              </w:rPr>
            </w:pPr>
          </w:p>
        </w:tc>
        <w:tc>
          <w:tcPr>
            <w:tcW w:w="208" w:type="pct"/>
            <w:vAlign w:val="center"/>
          </w:tcPr>
          <w:p w14:paraId="3BB66702">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11BA3F21">
            <w:pPr>
              <w:autoSpaceDE w:val="0"/>
              <w:autoSpaceDN w:val="0"/>
              <w:adjustRightInd w:val="0"/>
              <w:snapToGrid w:val="0"/>
              <w:jc w:val="center"/>
              <w:rPr>
                <w:rFonts w:ascii="Times New Roman"/>
                <w:sz w:val="21"/>
                <w:szCs w:val="21"/>
              </w:rPr>
            </w:pPr>
            <w:r>
              <w:rPr>
                <w:rFonts w:ascii="Times New Roman"/>
                <w:sz w:val="21"/>
                <w:szCs w:val="21"/>
              </w:rPr>
              <w:t>155</w:t>
            </w:r>
          </w:p>
        </w:tc>
        <w:tc>
          <w:tcPr>
            <w:tcW w:w="240" w:type="pct"/>
            <w:vAlign w:val="center"/>
          </w:tcPr>
          <w:p w14:paraId="596E847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F0920A9">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67623321">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60509ADC">
            <w:pPr>
              <w:autoSpaceDE w:val="0"/>
              <w:autoSpaceDN w:val="0"/>
              <w:adjustRightInd w:val="0"/>
              <w:snapToGrid w:val="0"/>
              <w:jc w:val="center"/>
              <w:rPr>
                <w:rFonts w:ascii="Times New Roman"/>
                <w:sz w:val="21"/>
                <w:szCs w:val="21"/>
              </w:rPr>
            </w:pPr>
          </w:p>
        </w:tc>
        <w:tc>
          <w:tcPr>
            <w:tcW w:w="551" w:type="pct"/>
            <w:vAlign w:val="center"/>
          </w:tcPr>
          <w:p w14:paraId="41D64E5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B0AB84F">
            <w:pPr>
              <w:autoSpaceDE w:val="0"/>
              <w:autoSpaceDN w:val="0"/>
              <w:adjustRightInd w:val="0"/>
              <w:snapToGrid w:val="0"/>
              <w:jc w:val="center"/>
              <w:rPr>
                <w:rFonts w:ascii="Times New Roman"/>
                <w:sz w:val="21"/>
                <w:szCs w:val="21"/>
              </w:rPr>
            </w:pPr>
          </w:p>
        </w:tc>
        <w:tc>
          <w:tcPr>
            <w:tcW w:w="287" w:type="pct"/>
            <w:vMerge w:val="continue"/>
            <w:vAlign w:val="center"/>
          </w:tcPr>
          <w:p w14:paraId="488F728C">
            <w:pPr>
              <w:autoSpaceDE w:val="0"/>
              <w:autoSpaceDN w:val="0"/>
              <w:adjustRightInd w:val="0"/>
              <w:snapToGrid w:val="0"/>
              <w:jc w:val="center"/>
              <w:rPr>
                <w:rFonts w:ascii="Times New Roman"/>
                <w:sz w:val="21"/>
                <w:szCs w:val="21"/>
              </w:rPr>
            </w:pPr>
          </w:p>
        </w:tc>
        <w:tc>
          <w:tcPr>
            <w:tcW w:w="434" w:type="pct"/>
            <w:vMerge w:val="continue"/>
            <w:vAlign w:val="center"/>
          </w:tcPr>
          <w:p w14:paraId="56E6B53F">
            <w:pPr>
              <w:autoSpaceDE w:val="0"/>
              <w:autoSpaceDN w:val="0"/>
              <w:adjustRightInd w:val="0"/>
              <w:snapToGrid w:val="0"/>
              <w:jc w:val="center"/>
              <w:rPr>
                <w:rFonts w:ascii="Times New Roman"/>
                <w:sz w:val="21"/>
                <w:szCs w:val="21"/>
              </w:rPr>
            </w:pPr>
          </w:p>
        </w:tc>
      </w:tr>
      <w:tr w14:paraId="6353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9" w:type="pct"/>
            <w:vMerge w:val="continue"/>
            <w:vAlign w:val="center"/>
          </w:tcPr>
          <w:p w14:paraId="00B0E25D">
            <w:pPr>
              <w:autoSpaceDE w:val="0"/>
              <w:autoSpaceDN w:val="0"/>
              <w:adjustRightInd w:val="0"/>
              <w:snapToGrid w:val="0"/>
              <w:jc w:val="center"/>
              <w:rPr>
                <w:rFonts w:ascii="Times New Roman"/>
                <w:sz w:val="21"/>
                <w:szCs w:val="21"/>
              </w:rPr>
            </w:pPr>
          </w:p>
        </w:tc>
        <w:tc>
          <w:tcPr>
            <w:tcW w:w="697" w:type="pct"/>
            <w:vAlign w:val="center"/>
          </w:tcPr>
          <w:p w14:paraId="32C56FEE">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16BC758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7F876D5">
            <w:pPr>
              <w:autoSpaceDE w:val="0"/>
              <w:autoSpaceDN w:val="0"/>
              <w:adjustRightInd w:val="0"/>
              <w:snapToGrid w:val="0"/>
              <w:jc w:val="center"/>
              <w:rPr>
                <w:rFonts w:ascii="Times New Roman"/>
                <w:sz w:val="21"/>
                <w:szCs w:val="21"/>
              </w:rPr>
            </w:pPr>
          </w:p>
        </w:tc>
        <w:tc>
          <w:tcPr>
            <w:tcW w:w="208" w:type="pct"/>
            <w:vAlign w:val="center"/>
          </w:tcPr>
          <w:p w14:paraId="0C792B6F">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263726F9">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108197E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A173CB9">
            <w:pPr>
              <w:autoSpaceDE w:val="0"/>
              <w:autoSpaceDN w:val="0"/>
              <w:adjustRightInd w:val="0"/>
              <w:snapToGrid w:val="0"/>
              <w:jc w:val="center"/>
              <w:rPr>
                <w:rFonts w:ascii="Times New Roman"/>
                <w:sz w:val="21"/>
                <w:szCs w:val="21"/>
              </w:rPr>
            </w:pPr>
            <w:r>
              <w:rPr>
                <w:rFonts w:ascii="Times New Roman"/>
                <w:sz w:val="21"/>
                <w:szCs w:val="21"/>
              </w:rPr>
              <w:t>142.15</w:t>
            </w:r>
          </w:p>
        </w:tc>
        <w:tc>
          <w:tcPr>
            <w:tcW w:w="358" w:type="pct"/>
            <w:vAlign w:val="center"/>
          </w:tcPr>
          <w:p w14:paraId="5800F115">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460408BC">
            <w:pPr>
              <w:autoSpaceDE w:val="0"/>
              <w:autoSpaceDN w:val="0"/>
              <w:adjustRightInd w:val="0"/>
              <w:snapToGrid w:val="0"/>
              <w:jc w:val="center"/>
              <w:rPr>
                <w:rFonts w:ascii="Times New Roman"/>
                <w:sz w:val="21"/>
                <w:szCs w:val="21"/>
              </w:rPr>
            </w:pPr>
          </w:p>
        </w:tc>
        <w:tc>
          <w:tcPr>
            <w:tcW w:w="551" w:type="pct"/>
            <w:vAlign w:val="center"/>
          </w:tcPr>
          <w:p w14:paraId="60064B5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C71FC3A">
            <w:pPr>
              <w:autoSpaceDE w:val="0"/>
              <w:autoSpaceDN w:val="0"/>
              <w:adjustRightInd w:val="0"/>
              <w:snapToGrid w:val="0"/>
              <w:jc w:val="center"/>
              <w:rPr>
                <w:rFonts w:ascii="Times New Roman"/>
                <w:sz w:val="21"/>
                <w:szCs w:val="21"/>
              </w:rPr>
            </w:pPr>
          </w:p>
        </w:tc>
        <w:tc>
          <w:tcPr>
            <w:tcW w:w="287" w:type="pct"/>
            <w:vMerge w:val="continue"/>
            <w:vAlign w:val="center"/>
          </w:tcPr>
          <w:p w14:paraId="686198C2">
            <w:pPr>
              <w:autoSpaceDE w:val="0"/>
              <w:autoSpaceDN w:val="0"/>
              <w:adjustRightInd w:val="0"/>
              <w:snapToGrid w:val="0"/>
              <w:jc w:val="center"/>
              <w:rPr>
                <w:rFonts w:ascii="Times New Roman"/>
                <w:sz w:val="21"/>
                <w:szCs w:val="21"/>
              </w:rPr>
            </w:pPr>
          </w:p>
        </w:tc>
        <w:tc>
          <w:tcPr>
            <w:tcW w:w="434" w:type="pct"/>
            <w:vMerge w:val="continue"/>
            <w:vAlign w:val="center"/>
          </w:tcPr>
          <w:p w14:paraId="527D1491">
            <w:pPr>
              <w:autoSpaceDE w:val="0"/>
              <w:autoSpaceDN w:val="0"/>
              <w:adjustRightInd w:val="0"/>
              <w:snapToGrid w:val="0"/>
              <w:jc w:val="center"/>
              <w:rPr>
                <w:rFonts w:ascii="Times New Roman"/>
                <w:sz w:val="21"/>
                <w:szCs w:val="21"/>
              </w:rPr>
            </w:pPr>
          </w:p>
        </w:tc>
      </w:tr>
      <w:tr w14:paraId="2AC6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558A2F8">
            <w:pPr>
              <w:autoSpaceDE w:val="0"/>
              <w:autoSpaceDN w:val="0"/>
              <w:adjustRightInd w:val="0"/>
              <w:snapToGrid w:val="0"/>
              <w:jc w:val="center"/>
              <w:rPr>
                <w:rFonts w:ascii="Times New Roman"/>
                <w:sz w:val="21"/>
                <w:szCs w:val="21"/>
              </w:rPr>
            </w:pPr>
          </w:p>
        </w:tc>
        <w:tc>
          <w:tcPr>
            <w:tcW w:w="697" w:type="pct"/>
            <w:vAlign w:val="center"/>
          </w:tcPr>
          <w:p w14:paraId="423BA551">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70EB6D2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34E93C7">
            <w:pPr>
              <w:autoSpaceDE w:val="0"/>
              <w:autoSpaceDN w:val="0"/>
              <w:adjustRightInd w:val="0"/>
              <w:snapToGrid w:val="0"/>
              <w:jc w:val="center"/>
              <w:rPr>
                <w:rFonts w:ascii="Times New Roman"/>
                <w:sz w:val="21"/>
                <w:szCs w:val="21"/>
              </w:rPr>
            </w:pPr>
          </w:p>
        </w:tc>
        <w:tc>
          <w:tcPr>
            <w:tcW w:w="208" w:type="pct"/>
            <w:vAlign w:val="center"/>
          </w:tcPr>
          <w:p w14:paraId="189E247D">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129116B3">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0693F66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8A49296">
            <w:pPr>
              <w:autoSpaceDE w:val="0"/>
              <w:autoSpaceDN w:val="0"/>
              <w:adjustRightInd w:val="0"/>
              <w:snapToGrid w:val="0"/>
              <w:jc w:val="center"/>
              <w:rPr>
                <w:rFonts w:ascii="Times New Roman"/>
                <w:sz w:val="21"/>
                <w:szCs w:val="21"/>
              </w:rPr>
            </w:pPr>
            <w:r>
              <w:rPr>
                <w:rFonts w:ascii="Times New Roman"/>
                <w:sz w:val="21"/>
                <w:szCs w:val="21"/>
              </w:rPr>
              <w:t>142.15</w:t>
            </w:r>
          </w:p>
        </w:tc>
        <w:tc>
          <w:tcPr>
            <w:tcW w:w="358" w:type="pct"/>
            <w:vAlign w:val="center"/>
          </w:tcPr>
          <w:p w14:paraId="6972FF48">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1E1AC3AA">
            <w:pPr>
              <w:autoSpaceDE w:val="0"/>
              <w:autoSpaceDN w:val="0"/>
              <w:adjustRightInd w:val="0"/>
              <w:snapToGrid w:val="0"/>
              <w:jc w:val="center"/>
              <w:rPr>
                <w:rFonts w:ascii="Times New Roman"/>
                <w:sz w:val="21"/>
                <w:szCs w:val="21"/>
              </w:rPr>
            </w:pPr>
          </w:p>
        </w:tc>
        <w:tc>
          <w:tcPr>
            <w:tcW w:w="551" w:type="pct"/>
            <w:vAlign w:val="center"/>
          </w:tcPr>
          <w:p w14:paraId="6F101E1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C599FE2">
            <w:pPr>
              <w:autoSpaceDE w:val="0"/>
              <w:autoSpaceDN w:val="0"/>
              <w:adjustRightInd w:val="0"/>
              <w:snapToGrid w:val="0"/>
              <w:jc w:val="center"/>
              <w:rPr>
                <w:rFonts w:ascii="Times New Roman"/>
                <w:sz w:val="21"/>
                <w:szCs w:val="21"/>
              </w:rPr>
            </w:pPr>
          </w:p>
        </w:tc>
        <w:tc>
          <w:tcPr>
            <w:tcW w:w="287" w:type="pct"/>
            <w:vMerge w:val="continue"/>
            <w:vAlign w:val="center"/>
          </w:tcPr>
          <w:p w14:paraId="5E7ACAD0">
            <w:pPr>
              <w:autoSpaceDE w:val="0"/>
              <w:autoSpaceDN w:val="0"/>
              <w:adjustRightInd w:val="0"/>
              <w:snapToGrid w:val="0"/>
              <w:jc w:val="center"/>
              <w:rPr>
                <w:rFonts w:ascii="Times New Roman"/>
                <w:sz w:val="21"/>
                <w:szCs w:val="21"/>
              </w:rPr>
            </w:pPr>
          </w:p>
        </w:tc>
        <w:tc>
          <w:tcPr>
            <w:tcW w:w="434" w:type="pct"/>
            <w:vMerge w:val="continue"/>
            <w:vAlign w:val="center"/>
          </w:tcPr>
          <w:p w14:paraId="1E078BA6">
            <w:pPr>
              <w:autoSpaceDE w:val="0"/>
              <w:autoSpaceDN w:val="0"/>
              <w:adjustRightInd w:val="0"/>
              <w:snapToGrid w:val="0"/>
              <w:jc w:val="center"/>
              <w:rPr>
                <w:rFonts w:ascii="Times New Roman"/>
                <w:sz w:val="21"/>
                <w:szCs w:val="21"/>
              </w:rPr>
            </w:pPr>
          </w:p>
        </w:tc>
      </w:tr>
      <w:tr w14:paraId="64B9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95E48AC">
            <w:pPr>
              <w:autoSpaceDE w:val="0"/>
              <w:autoSpaceDN w:val="0"/>
              <w:adjustRightInd w:val="0"/>
              <w:snapToGrid w:val="0"/>
              <w:jc w:val="center"/>
              <w:rPr>
                <w:rFonts w:ascii="Times New Roman"/>
                <w:sz w:val="21"/>
                <w:szCs w:val="21"/>
              </w:rPr>
            </w:pPr>
          </w:p>
        </w:tc>
        <w:tc>
          <w:tcPr>
            <w:tcW w:w="697" w:type="pct"/>
            <w:vAlign w:val="center"/>
          </w:tcPr>
          <w:p w14:paraId="5C973471">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567D7C2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5DB9826">
            <w:pPr>
              <w:autoSpaceDE w:val="0"/>
              <w:autoSpaceDN w:val="0"/>
              <w:adjustRightInd w:val="0"/>
              <w:snapToGrid w:val="0"/>
              <w:jc w:val="center"/>
              <w:rPr>
                <w:rFonts w:ascii="Times New Roman"/>
                <w:sz w:val="21"/>
                <w:szCs w:val="21"/>
              </w:rPr>
            </w:pPr>
          </w:p>
        </w:tc>
        <w:tc>
          <w:tcPr>
            <w:tcW w:w="208" w:type="pct"/>
            <w:vAlign w:val="center"/>
          </w:tcPr>
          <w:p w14:paraId="68749D25">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7A0B2253">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7F43BAF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5D6F568">
            <w:pPr>
              <w:autoSpaceDE w:val="0"/>
              <w:autoSpaceDN w:val="0"/>
              <w:adjustRightInd w:val="0"/>
              <w:snapToGrid w:val="0"/>
              <w:jc w:val="center"/>
              <w:rPr>
                <w:rFonts w:ascii="Times New Roman"/>
                <w:sz w:val="21"/>
                <w:szCs w:val="21"/>
              </w:rPr>
            </w:pPr>
            <w:r>
              <w:rPr>
                <w:rFonts w:ascii="Times New Roman"/>
                <w:sz w:val="21"/>
                <w:szCs w:val="21"/>
              </w:rPr>
              <w:t>142.15</w:t>
            </w:r>
          </w:p>
        </w:tc>
        <w:tc>
          <w:tcPr>
            <w:tcW w:w="358" w:type="pct"/>
            <w:vAlign w:val="center"/>
          </w:tcPr>
          <w:p w14:paraId="03DC59F4">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113B74C0">
            <w:pPr>
              <w:autoSpaceDE w:val="0"/>
              <w:autoSpaceDN w:val="0"/>
              <w:adjustRightInd w:val="0"/>
              <w:snapToGrid w:val="0"/>
              <w:jc w:val="center"/>
              <w:rPr>
                <w:rFonts w:ascii="Times New Roman"/>
                <w:sz w:val="21"/>
                <w:szCs w:val="21"/>
              </w:rPr>
            </w:pPr>
          </w:p>
        </w:tc>
        <w:tc>
          <w:tcPr>
            <w:tcW w:w="551" w:type="pct"/>
            <w:vAlign w:val="center"/>
          </w:tcPr>
          <w:p w14:paraId="6B15268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C9A1C62">
            <w:pPr>
              <w:autoSpaceDE w:val="0"/>
              <w:autoSpaceDN w:val="0"/>
              <w:adjustRightInd w:val="0"/>
              <w:snapToGrid w:val="0"/>
              <w:jc w:val="center"/>
              <w:rPr>
                <w:rFonts w:ascii="Times New Roman"/>
                <w:sz w:val="21"/>
                <w:szCs w:val="21"/>
              </w:rPr>
            </w:pPr>
          </w:p>
        </w:tc>
        <w:tc>
          <w:tcPr>
            <w:tcW w:w="287" w:type="pct"/>
            <w:vMerge w:val="continue"/>
            <w:vAlign w:val="center"/>
          </w:tcPr>
          <w:p w14:paraId="3D75C2FB">
            <w:pPr>
              <w:autoSpaceDE w:val="0"/>
              <w:autoSpaceDN w:val="0"/>
              <w:adjustRightInd w:val="0"/>
              <w:snapToGrid w:val="0"/>
              <w:jc w:val="center"/>
              <w:rPr>
                <w:rFonts w:ascii="Times New Roman"/>
                <w:sz w:val="21"/>
                <w:szCs w:val="21"/>
              </w:rPr>
            </w:pPr>
          </w:p>
        </w:tc>
        <w:tc>
          <w:tcPr>
            <w:tcW w:w="434" w:type="pct"/>
            <w:vMerge w:val="continue"/>
            <w:vAlign w:val="center"/>
          </w:tcPr>
          <w:p w14:paraId="1601912E">
            <w:pPr>
              <w:autoSpaceDE w:val="0"/>
              <w:autoSpaceDN w:val="0"/>
              <w:adjustRightInd w:val="0"/>
              <w:snapToGrid w:val="0"/>
              <w:jc w:val="center"/>
              <w:rPr>
                <w:rFonts w:ascii="Times New Roman"/>
                <w:sz w:val="21"/>
                <w:szCs w:val="21"/>
              </w:rPr>
            </w:pPr>
          </w:p>
        </w:tc>
      </w:tr>
      <w:tr w14:paraId="24FD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FE6EEBF">
            <w:pPr>
              <w:autoSpaceDE w:val="0"/>
              <w:autoSpaceDN w:val="0"/>
              <w:adjustRightInd w:val="0"/>
              <w:snapToGrid w:val="0"/>
              <w:jc w:val="center"/>
              <w:rPr>
                <w:rFonts w:ascii="Times New Roman"/>
                <w:sz w:val="21"/>
                <w:szCs w:val="21"/>
              </w:rPr>
            </w:pPr>
          </w:p>
        </w:tc>
        <w:tc>
          <w:tcPr>
            <w:tcW w:w="697" w:type="pct"/>
            <w:vAlign w:val="center"/>
          </w:tcPr>
          <w:p w14:paraId="1709E010">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5642148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8675420">
            <w:pPr>
              <w:autoSpaceDE w:val="0"/>
              <w:autoSpaceDN w:val="0"/>
              <w:adjustRightInd w:val="0"/>
              <w:snapToGrid w:val="0"/>
              <w:jc w:val="center"/>
              <w:rPr>
                <w:rFonts w:ascii="Times New Roman"/>
                <w:sz w:val="21"/>
                <w:szCs w:val="21"/>
              </w:rPr>
            </w:pPr>
          </w:p>
        </w:tc>
        <w:tc>
          <w:tcPr>
            <w:tcW w:w="208" w:type="pct"/>
            <w:vAlign w:val="center"/>
          </w:tcPr>
          <w:p w14:paraId="435D3873">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5DE3FEFD">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14292DB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F3B6579">
            <w:pPr>
              <w:autoSpaceDE w:val="0"/>
              <w:autoSpaceDN w:val="0"/>
              <w:adjustRightInd w:val="0"/>
              <w:snapToGrid w:val="0"/>
              <w:jc w:val="center"/>
              <w:rPr>
                <w:rFonts w:ascii="Times New Roman"/>
                <w:sz w:val="21"/>
                <w:szCs w:val="21"/>
              </w:rPr>
            </w:pPr>
            <w:r>
              <w:rPr>
                <w:rFonts w:ascii="Times New Roman"/>
                <w:sz w:val="21"/>
                <w:szCs w:val="21"/>
              </w:rPr>
              <w:t>142.15</w:t>
            </w:r>
          </w:p>
        </w:tc>
        <w:tc>
          <w:tcPr>
            <w:tcW w:w="358" w:type="pct"/>
            <w:vAlign w:val="center"/>
          </w:tcPr>
          <w:p w14:paraId="7604374C">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4B279C14">
            <w:pPr>
              <w:autoSpaceDE w:val="0"/>
              <w:autoSpaceDN w:val="0"/>
              <w:adjustRightInd w:val="0"/>
              <w:snapToGrid w:val="0"/>
              <w:jc w:val="center"/>
              <w:rPr>
                <w:rFonts w:ascii="Times New Roman"/>
                <w:sz w:val="21"/>
                <w:szCs w:val="21"/>
              </w:rPr>
            </w:pPr>
          </w:p>
        </w:tc>
        <w:tc>
          <w:tcPr>
            <w:tcW w:w="551" w:type="pct"/>
            <w:vAlign w:val="center"/>
          </w:tcPr>
          <w:p w14:paraId="12F57C3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17A09ED">
            <w:pPr>
              <w:autoSpaceDE w:val="0"/>
              <w:autoSpaceDN w:val="0"/>
              <w:adjustRightInd w:val="0"/>
              <w:snapToGrid w:val="0"/>
              <w:jc w:val="center"/>
              <w:rPr>
                <w:rFonts w:ascii="Times New Roman"/>
                <w:sz w:val="21"/>
                <w:szCs w:val="21"/>
              </w:rPr>
            </w:pPr>
          </w:p>
        </w:tc>
        <w:tc>
          <w:tcPr>
            <w:tcW w:w="287" w:type="pct"/>
            <w:vMerge w:val="continue"/>
            <w:vAlign w:val="center"/>
          </w:tcPr>
          <w:p w14:paraId="6BF00A26">
            <w:pPr>
              <w:autoSpaceDE w:val="0"/>
              <w:autoSpaceDN w:val="0"/>
              <w:adjustRightInd w:val="0"/>
              <w:snapToGrid w:val="0"/>
              <w:jc w:val="center"/>
              <w:rPr>
                <w:rFonts w:ascii="Times New Roman"/>
                <w:sz w:val="21"/>
                <w:szCs w:val="21"/>
              </w:rPr>
            </w:pPr>
          </w:p>
        </w:tc>
        <w:tc>
          <w:tcPr>
            <w:tcW w:w="434" w:type="pct"/>
            <w:vMerge w:val="continue"/>
            <w:vAlign w:val="center"/>
          </w:tcPr>
          <w:p w14:paraId="48520DD6">
            <w:pPr>
              <w:autoSpaceDE w:val="0"/>
              <w:autoSpaceDN w:val="0"/>
              <w:adjustRightInd w:val="0"/>
              <w:snapToGrid w:val="0"/>
              <w:jc w:val="center"/>
              <w:rPr>
                <w:rFonts w:ascii="Times New Roman"/>
                <w:sz w:val="21"/>
                <w:szCs w:val="21"/>
              </w:rPr>
            </w:pPr>
          </w:p>
        </w:tc>
      </w:tr>
      <w:tr w14:paraId="16B3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3C18B35">
            <w:pPr>
              <w:autoSpaceDE w:val="0"/>
              <w:autoSpaceDN w:val="0"/>
              <w:adjustRightInd w:val="0"/>
              <w:snapToGrid w:val="0"/>
              <w:jc w:val="center"/>
              <w:rPr>
                <w:rFonts w:ascii="Times New Roman"/>
                <w:sz w:val="21"/>
                <w:szCs w:val="21"/>
              </w:rPr>
            </w:pPr>
          </w:p>
        </w:tc>
        <w:tc>
          <w:tcPr>
            <w:tcW w:w="697" w:type="pct"/>
            <w:vAlign w:val="center"/>
          </w:tcPr>
          <w:p w14:paraId="63B2AE86">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21EB72C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7711F79">
            <w:pPr>
              <w:autoSpaceDE w:val="0"/>
              <w:autoSpaceDN w:val="0"/>
              <w:adjustRightInd w:val="0"/>
              <w:snapToGrid w:val="0"/>
              <w:jc w:val="center"/>
              <w:rPr>
                <w:rFonts w:ascii="Times New Roman"/>
                <w:sz w:val="21"/>
                <w:szCs w:val="21"/>
              </w:rPr>
            </w:pPr>
          </w:p>
        </w:tc>
        <w:tc>
          <w:tcPr>
            <w:tcW w:w="208" w:type="pct"/>
            <w:vAlign w:val="center"/>
          </w:tcPr>
          <w:p w14:paraId="71B27A85">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00BC709A">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405885B5">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DE3C64D">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4266D98D">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65B9E99C">
            <w:pPr>
              <w:autoSpaceDE w:val="0"/>
              <w:autoSpaceDN w:val="0"/>
              <w:adjustRightInd w:val="0"/>
              <w:snapToGrid w:val="0"/>
              <w:jc w:val="center"/>
              <w:rPr>
                <w:rFonts w:ascii="Times New Roman"/>
                <w:sz w:val="21"/>
                <w:szCs w:val="21"/>
              </w:rPr>
            </w:pPr>
          </w:p>
        </w:tc>
        <w:tc>
          <w:tcPr>
            <w:tcW w:w="551" w:type="pct"/>
            <w:vAlign w:val="center"/>
          </w:tcPr>
          <w:p w14:paraId="737E816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00AD91F">
            <w:pPr>
              <w:autoSpaceDE w:val="0"/>
              <w:autoSpaceDN w:val="0"/>
              <w:adjustRightInd w:val="0"/>
              <w:snapToGrid w:val="0"/>
              <w:jc w:val="center"/>
              <w:rPr>
                <w:rFonts w:ascii="Times New Roman"/>
                <w:sz w:val="21"/>
                <w:szCs w:val="21"/>
              </w:rPr>
            </w:pPr>
          </w:p>
        </w:tc>
        <w:tc>
          <w:tcPr>
            <w:tcW w:w="287" w:type="pct"/>
            <w:vMerge w:val="continue"/>
            <w:vAlign w:val="center"/>
          </w:tcPr>
          <w:p w14:paraId="78B24911">
            <w:pPr>
              <w:autoSpaceDE w:val="0"/>
              <w:autoSpaceDN w:val="0"/>
              <w:adjustRightInd w:val="0"/>
              <w:snapToGrid w:val="0"/>
              <w:jc w:val="center"/>
              <w:rPr>
                <w:rFonts w:ascii="Times New Roman"/>
                <w:sz w:val="21"/>
                <w:szCs w:val="21"/>
              </w:rPr>
            </w:pPr>
          </w:p>
        </w:tc>
        <w:tc>
          <w:tcPr>
            <w:tcW w:w="434" w:type="pct"/>
            <w:vMerge w:val="continue"/>
            <w:vAlign w:val="center"/>
          </w:tcPr>
          <w:p w14:paraId="4C0D2598">
            <w:pPr>
              <w:autoSpaceDE w:val="0"/>
              <w:autoSpaceDN w:val="0"/>
              <w:adjustRightInd w:val="0"/>
              <w:snapToGrid w:val="0"/>
              <w:jc w:val="center"/>
              <w:rPr>
                <w:rFonts w:ascii="Times New Roman"/>
                <w:sz w:val="21"/>
                <w:szCs w:val="21"/>
              </w:rPr>
            </w:pPr>
          </w:p>
        </w:tc>
      </w:tr>
      <w:tr w14:paraId="08FB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B28532F">
            <w:pPr>
              <w:autoSpaceDE w:val="0"/>
              <w:autoSpaceDN w:val="0"/>
              <w:adjustRightInd w:val="0"/>
              <w:snapToGrid w:val="0"/>
              <w:jc w:val="center"/>
              <w:rPr>
                <w:rFonts w:ascii="Times New Roman"/>
                <w:sz w:val="21"/>
                <w:szCs w:val="21"/>
              </w:rPr>
            </w:pPr>
          </w:p>
        </w:tc>
        <w:tc>
          <w:tcPr>
            <w:tcW w:w="697" w:type="pct"/>
            <w:vAlign w:val="center"/>
          </w:tcPr>
          <w:p w14:paraId="4FFCADC2">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7B493F9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C1AA5D4">
            <w:pPr>
              <w:autoSpaceDE w:val="0"/>
              <w:autoSpaceDN w:val="0"/>
              <w:adjustRightInd w:val="0"/>
              <w:snapToGrid w:val="0"/>
              <w:jc w:val="center"/>
              <w:rPr>
                <w:rFonts w:ascii="Times New Roman"/>
                <w:sz w:val="21"/>
                <w:szCs w:val="21"/>
              </w:rPr>
            </w:pPr>
          </w:p>
        </w:tc>
        <w:tc>
          <w:tcPr>
            <w:tcW w:w="208" w:type="pct"/>
            <w:vAlign w:val="center"/>
          </w:tcPr>
          <w:p w14:paraId="5F946F6A">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1377D7CC">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6F4088D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5A4CFC3">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344A0CE1">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187650E7">
            <w:pPr>
              <w:autoSpaceDE w:val="0"/>
              <w:autoSpaceDN w:val="0"/>
              <w:adjustRightInd w:val="0"/>
              <w:snapToGrid w:val="0"/>
              <w:jc w:val="center"/>
              <w:rPr>
                <w:rFonts w:ascii="Times New Roman"/>
                <w:sz w:val="21"/>
                <w:szCs w:val="21"/>
              </w:rPr>
            </w:pPr>
          </w:p>
        </w:tc>
        <w:tc>
          <w:tcPr>
            <w:tcW w:w="551" w:type="pct"/>
            <w:vAlign w:val="center"/>
          </w:tcPr>
          <w:p w14:paraId="5D2C9D8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3037A3F">
            <w:pPr>
              <w:autoSpaceDE w:val="0"/>
              <w:autoSpaceDN w:val="0"/>
              <w:adjustRightInd w:val="0"/>
              <w:snapToGrid w:val="0"/>
              <w:jc w:val="center"/>
              <w:rPr>
                <w:rFonts w:ascii="Times New Roman"/>
                <w:sz w:val="21"/>
                <w:szCs w:val="21"/>
              </w:rPr>
            </w:pPr>
          </w:p>
        </w:tc>
        <w:tc>
          <w:tcPr>
            <w:tcW w:w="287" w:type="pct"/>
            <w:vMerge w:val="continue"/>
            <w:vAlign w:val="center"/>
          </w:tcPr>
          <w:p w14:paraId="2678BC29">
            <w:pPr>
              <w:autoSpaceDE w:val="0"/>
              <w:autoSpaceDN w:val="0"/>
              <w:adjustRightInd w:val="0"/>
              <w:snapToGrid w:val="0"/>
              <w:jc w:val="center"/>
              <w:rPr>
                <w:rFonts w:ascii="Times New Roman"/>
                <w:sz w:val="21"/>
                <w:szCs w:val="21"/>
              </w:rPr>
            </w:pPr>
          </w:p>
        </w:tc>
        <w:tc>
          <w:tcPr>
            <w:tcW w:w="434" w:type="pct"/>
            <w:vMerge w:val="continue"/>
            <w:vAlign w:val="center"/>
          </w:tcPr>
          <w:p w14:paraId="7EC015C5">
            <w:pPr>
              <w:autoSpaceDE w:val="0"/>
              <w:autoSpaceDN w:val="0"/>
              <w:adjustRightInd w:val="0"/>
              <w:snapToGrid w:val="0"/>
              <w:jc w:val="center"/>
              <w:rPr>
                <w:rFonts w:ascii="Times New Roman"/>
                <w:sz w:val="21"/>
                <w:szCs w:val="21"/>
              </w:rPr>
            </w:pPr>
          </w:p>
        </w:tc>
      </w:tr>
      <w:tr w14:paraId="5FCD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7D7789F">
            <w:pPr>
              <w:autoSpaceDE w:val="0"/>
              <w:autoSpaceDN w:val="0"/>
              <w:adjustRightInd w:val="0"/>
              <w:snapToGrid w:val="0"/>
              <w:jc w:val="center"/>
              <w:rPr>
                <w:rFonts w:ascii="Times New Roman"/>
                <w:sz w:val="21"/>
                <w:szCs w:val="21"/>
              </w:rPr>
            </w:pPr>
          </w:p>
        </w:tc>
        <w:tc>
          <w:tcPr>
            <w:tcW w:w="697" w:type="pct"/>
            <w:vAlign w:val="center"/>
          </w:tcPr>
          <w:p w14:paraId="6FC557DB">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25BC24D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DA47E7C">
            <w:pPr>
              <w:autoSpaceDE w:val="0"/>
              <w:autoSpaceDN w:val="0"/>
              <w:adjustRightInd w:val="0"/>
              <w:snapToGrid w:val="0"/>
              <w:jc w:val="center"/>
              <w:rPr>
                <w:rFonts w:ascii="Times New Roman"/>
                <w:sz w:val="21"/>
                <w:szCs w:val="21"/>
              </w:rPr>
            </w:pPr>
          </w:p>
        </w:tc>
        <w:tc>
          <w:tcPr>
            <w:tcW w:w="208" w:type="pct"/>
            <w:vAlign w:val="center"/>
          </w:tcPr>
          <w:p w14:paraId="4808FDFB">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1CEA5C1F">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6A96E93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CB463E2">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7954A9C3">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580853D1">
            <w:pPr>
              <w:autoSpaceDE w:val="0"/>
              <w:autoSpaceDN w:val="0"/>
              <w:adjustRightInd w:val="0"/>
              <w:snapToGrid w:val="0"/>
              <w:jc w:val="center"/>
              <w:rPr>
                <w:rFonts w:ascii="Times New Roman"/>
                <w:sz w:val="21"/>
                <w:szCs w:val="21"/>
              </w:rPr>
            </w:pPr>
          </w:p>
        </w:tc>
        <w:tc>
          <w:tcPr>
            <w:tcW w:w="551" w:type="pct"/>
            <w:vAlign w:val="center"/>
          </w:tcPr>
          <w:p w14:paraId="315B94F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4A40930">
            <w:pPr>
              <w:autoSpaceDE w:val="0"/>
              <w:autoSpaceDN w:val="0"/>
              <w:adjustRightInd w:val="0"/>
              <w:snapToGrid w:val="0"/>
              <w:jc w:val="center"/>
              <w:rPr>
                <w:rFonts w:ascii="Times New Roman"/>
                <w:sz w:val="21"/>
                <w:szCs w:val="21"/>
              </w:rPr>
            </w:pPr>
          </w:p>
        </w:tc>
        <w:tc>
          <w:tcPr>
            <w:tcW w:w="287" w:type="pct"/>
            <w:vMerge w:val="continue"/>
            <w:vAlign w:val="center"/>
          </w:tcPr>
          <w:p w14:paraId="40195B4F">
            <w:pPr>
              <w:autoSpaceDE w:val="0"/>
              <w:autoSpaceDN w:val="0"/>
              <w:adjustRightInd w:val="0"/>
              <w:snapToGrid w:val="0"/>
              <w:jc w:val="center"/>
              <w:rPr>
                <w:rFonts w:ascii="Times New Roman"/>
                <w:sz w:val="21"/>
                <w:szCs w:val="21"/>
              </w:rPr>
            </w:pPr>
          </w:p>
        </w:tc>
        <w:tc>
          <w:tcPr>
            <w:tcW w:w="434" w:type="pct"/>
            <w:vMerge w:val="continue"/>
            <w:vAlign w:val="center"/>
          </w:tcPr>
          <w:p w14:paraId="77B59E8B">
            <w:pPr>
              <w:autoSpaceDE w:val="0"/>
              <w:autoSpaceDN w:val="0"/>
              <w:adjustRightInd w:val="0"/>
              <w:snapToGrid w:val="0"/>
              <w:jc w:val="center"/>
              <w:rPr>
                <w:rFonts w:ascii="Times New Roman"/>
                <w:sz w:val="21"/>
                <w:szCs w:val="21"/>
              </w:rPr>
            </w:pPr>
          </w:p>
        </w:tc>
      </w:tr>
      <w:tr w14:paraId="7CAA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E57B580">
            <w:pPr>
              <w:autoSpaceDE w:val="0"/>
              <w:autoSpaceDN w:val="0"/>
              <w:adjustRightInd w:val="0"/>
              <w:snapToGrid w:val="0"/>
              <w:jc w:val="center"/>
              <w:rPr>
                <w:rFonts w:ascii="Times New Roman"/>
                <w:sz w:val="21"/>
                <w:szCs w:val="21"/>
              </w:rPr>
            </w:pPr>
          </w:p>
        </w:tc>
        <w:tc>
          <w:tcPr>
            <w:tcW w:w="697" w:type="pct"/>
            <w:vAlign w:val="center"/>
          </w:tcPr>
          <w:p w14:paraId="3039B684">
            <w:pPr>
              <w:autoSpaceDE w:val="0"/>
              <w:autoSpaceDN w:val="0"/>
              <w:adjustRightInd w:val="0"/>
              <w:snapToGrid w:val="0"/>
              <w:jc w:val="center"/>
              <w:rPr>
                <w:rFonts w:ascii="Times New Roman"/>
                <w:sz w:val="21"/>
                <w:szCs w:val="21"/>
              </w:rPr>
            </w:pPr>
            <w:r>
              <w:rPr>
                <w:rFonts w:ascii="Times New Roman"/>
                <w:sz w:val="21"/>
                <w:szCs w:val="21"/>
              </w:rPr>
              <w:t>组焊焊机</w:t>
            </w:r>
          </w:p>
        </w:tc>
        <w:tc>
          <w:tcPr>
            <w:tcW w:w="346" w:type="pct"/>
            <w:vAlign w:val="center"/>
          </w:tcPr>
          <w:p w14:paraId="49F791E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C841F4A">
            <w:pPr>
              <w:autoSpaceDE w:val="0"/>
              <w:autoSpaceDN w:val="0"/>
              <w:adjustRightInd w:val="0"/>
              <w:snapToGrid w:val="0"/>
              <w:jc w:val="center"/>
              <w:rPr>
                <w:rFonts w:ascii="Times New Roman"/>
                <w:sz w:val="21"/>
                <w:szCs w:val="21"/>
              </w:rPr>
            </w:pPr>
          </w:p>
        </w:tc>
        <w:tc>
          <w:tcPr>
            <w:tcW w:w="208" w:type="pct"/>
            <w:vAlign w:val="center"/>
          </w:tcPr>
          <w:p w14:paraId="7B47C342">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36712598">
            <w:pPr>
              <w:autoSpaceDE w:val="0"/>
              <w:autoSpaceDN w:val="0"/>
              <w:adjustRightInd w:val="0"/>
              <w:snapToGrid w:val="0"/>
              <w:jc w:val="center"/>
              <w:rPr>
                <w:rFonts w:ascii="Times New Roman"/>
                <w:sz w:val="21"/>
                <w:szCs w:val="21"/>
              </w:rPr>
            </w:pPr>
            <w:r>
              <w:rPr>
                <w:rFonts w:ascii="Times New Roman"/>
                <w:sz w:val="21"/>
                <w:szCs w:val="21"/>
              </w:rPr>
              <w:t>158</w:t>
            </w:r>
          </w:p>
        </w:tc>
        <w:tc>
          <w:tcPr>
            <w:tcW w:w="240" w:type="pct"/>
            <w:vAlign w:val="center"/>
          </w:tcPr>
          <w:p w14:paraId="438EA62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7EE120B">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2C9A6828">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6D3059F3">
            <w:pPr>
              <w:autoSpaceDE w:val="0"/>
              <w:autoSpaceDN w:val="0"/>
              <w:adjustRightInd w:val="0"/>
              <w:snapToGrid w:val="0"/>
              <w:jc w:val="center"/>
              <w:rPr>
                <w:rFonts w:ascii="Times New Roman"/>
                <w:sz w:val="21"/>
                <w:szCs w:val="21"/>
              </w:rPr>
            </w:pPr>
          </w:p>
        </w:tc>
        <w:tc>
          <w:tcPr>
            <w:tcW w:w="551" w:type="pct"/>
            <w:vAlign w:val="center"/>
          </w:tcPr>
          <w:p w14:paraId="2E1FB56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76B9182">
            <w:pPr>
              <w:autoSpaceDE w:val="0"/>
              <w:autoSpaceDN w:val="0"/>
              <w:adjustRightInd w:val="0"/>
              <w:snapToGrid w:val="0"/>
              <w:jc w:val="center"/>
              <w:rPr>
                <w:rFonts w:ascii="Times New Roman"/>
                <w:sz w:val="21"/>
                <w:szCs w:val="21"/>
              </w:rPr>
            </w:pPr>
          </w:p>
        </w:tc>
        <w:tc>
          <w:tcPr>
            <w:tcW w:w="287" w:type="pct"/>
            <w:vMerge w:val="continue"/>
            <w:vAlign w:val="center"/>
          </w:tcPr>
          <w:p w14:paraId="1B5B75D7">
            <w:pPr>
              <w:autoSpaceDE w:val="0"/>
              <w:autoSpaceDN w:val="0"/>
              <w:adjustRightInd w:val="0"/>
              <w:snapToGrid w:val="0"/>
              <w:jc w:val="center"/>
              <w:rPr>
                <w:rFonts w:ascii="Times New Roman"/>
                <w:sz w:val="21"/>
                <w:szCs w:val="21"/>
              </w:rPr>
            </w:pPr>
          </w:p>
        </w:tc>
        <w:tc>
          <w:tcPr>
            <w:tcW w:w="434" w:type="pct"/>
            <w:vMerge w:val="continue"/>
            <w:vAlign w:val="center"/>
          </w:tcPr>
          <w:p w14:paraId="0D29AF80">
            <w:pPr>
              <w:autoSpaceDE w:val="0"/>
              <w:autoSpaceDN w:val="0"/>
              <w:adjustRightInd w:val="0"/>
              <w:snapToGrid w:val="0"/>
              <w:jc w:val="center"/>
              <w:rPr>
                <w:rFonts w:ascii="Times New Roman"/>
                <w:sz w:val="21"/>
                <w:szCs w:val="21"/>
              </w:rPr>
            </w:pPr>
          </w:p>
        </w:tc>
      </w:tr>
      <w:tr w14:paraId="47C2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9B07232">
            <w:pPr>
              <w:autoSpaceDE w:val="0"/>
              <w:autoSpaceDN w:val="0"/>
              <w:adjustRightInd w:val="0"/>
              <w:snapToGrid w:val="0"/>
              <w:jc w:val="center"/>
              <w:rPr>
                <w:rFonts w:ascii="Times New Roman"/>
                <w:sz w:val="21"/>
                <w:szCs w:val="21"/>
              </w:rPr>
            </w:pPr>
          </w:p>
        </w:tc>
        <w:tc>
          <w:tcPr>
            <w:tcW w:w="697" w:type="pct"/>
            <w:vAlign w:val="center"/>
          </w:tcPr>
          <w:p w14:paraId="2B1647F5">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B094B4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4DA1CEF">
            <w:pPr>
              <w:autoSpaceDE w:val="0"/>
              <w:autoSpaceDN w:val="0"/>
              <w:adjustRightInd w:val="0"/>
              <w:snapToGrid w:val="0"/>
              <w:jc w:val="center"/>
              <w:rPr>
                <w:rFonts w:ascii="Times New Roman"/>
                <w:sz w:val="21"/>
                <w:szCs w:val="21"/>
              </w:rPr>
            </w:pPr>
          </w:p>
        </w:tc>
        <w:tc>
          <w:tcPr>
            <w:tcW w:w="208" w:type="pct"/>
            <w:vAlign w:val="center"/>
          </w:tcPr>
          <w:p w14:paraId="084F4DF9">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6CA8F0B4">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309194E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3008AD1">
            <w:pPr>
              <w:autoSpaceDE w:val="0"/>
              <w:autoSpaceDN w:val="0"/>
              <w:adjustRightInd w:val="0"/>
              <w:snapToGrid w:val="0"/>
              <w:jc w:val="center"/>
              <w:rPr>
                <w:rFonts w:ascii="Times New Roman"/>
                <w:sz w:val="21"/>
                <w:szCs w:val="21"/>
              </w:rPr>
            </w:pPr>
            <w:r>
              <w:rPr>
                <w:rFonts w:ascii="Times New Roman"/>
                <w:sz w:val="21"/>
                <w:szCs w:val="21"/>
              </w:rPr>
              <w:t>149.15</w:t>
            </w:r>
          </w:p>
        </w:tc>
        <w:tc>
          <w:tcPr>
            <w:tcW w:w="358" w:type="pct"/>
            <w:vAlign w:val="center"/>
          </w:tcPr>
          <w:p w14:paraId="5870D721">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70672652">
            <w:pPr>
              <w:autoSpaceDE w:val="0"/>
              <w:autoSpaceDN w:val="0"/>
              <w:adjustRightInd w:val="0"/>
              <w:snapToGrid w:val="0"/>
              <w:jc w:val="center"/>
              <w:rPr>
                <w:rFonts w:ascii="Times New Roman"/>
                <w:sz w:val="21"/>
                <w:szCs w:val="21"/>
              </w:rPr>
            </w:pPr>
          </w:p>
        </w:tc>
        <w:tc>
          <w:tcPr>
            <w:tcW w:w="551" w:type="pct"/>
            <w:vAlign w:val="center"/>
          </w:tcPr>
          <w:p w14:paraId="637AC83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E77C333">
            <w:pPr>
              <w:autoSpaceDE w:val="0"/>
              <w:autoSpaceDN w:val="0"/>
              <w:adjustRightInd w:val="0"/>
              <w:snapToGrid w:val="0"/>
              <w:jc w:val="center"/>
              <w:rPr>
                <w:rFonts w:ascii="Times New Roman"/>
                <w:sz w:val="21"/>
                <w:szCs w:val="21"/>
              </w:rPr>
            </w:pPr>
          </w:p>
        </w:tc>
        <w:tc>
          <w:tcPr>
            <w:tcW w:w="287" w:type="pct"/>
            <w:vMerge w:val="continue"/>
            <w:vAlign w:val="center"/>
          </w:tcPr>
          <w:p w14:paraId="0036E2FC">
            <w:pPr>
              <w:autoSpaceDE w:val="0"/>
              <w:autoSpaceDN w:val="0"/>
              <w:adjustRightInd w:val="0"/>
              <w:snapToGrid w:val="0"/>
              <w:jc w:val="center"/>
              <w:rPr>
                <w:rFonts w:ascii="Times New Roman"/>
                <w:sz w:val="21"/>
                <w:szCs w:val="21"/>
              </w:rPr>
            </w:pPr>
          </w:p>
        </w:tc>
        <w:tc>
          <w:tcPr>
            <w:tcW w:w="434" w:type="pct"/>
            <w:vMerge w:val="continue"/>
            <w:vAlign w:val="center"/>
          </w:tcPr>
          <w:p w14:paraId="26D27355">
            <w:pPr>
              <w:autoSpaceDE w:val="0"/>
              <w:autoSpaceDN w:val="0"/>
              <w:adjustRightInd w:val="0"/>
              <w:snapToGrid w:val="0"/>
              <w:jc w:val="center"/>
              <w:rPr>
                <w:rFonts w:ascii="Times New Roman"/>
                <w:sz w:val="21"/>
                <w:szCs w:val="21"/>
              </w:rPr>
            </w:pPr>
          </w:p>
        </w:tc>
      </w:tr>
      <w:tr w14:paraId="3FB5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867B740">
            <w:pPr>
              <w:autoSpaceDE w:val="0"/>
              <w:autoSpaceDN w:val="0"/>
              <w:adjustRightInd w:val="0"/>
              <w:snapToGrid w:val="0"/>
              <w:jc w:val="center"/>
              <w:rPr>
                <w:rFonts w:ascii="Times New Roman"/>
                <w:sz w:val="21"/>
                <w:szCs w:val="21"/>
              </w:rPr>
            </w:pPr>
          </w:p>
        </w:tc>
        <w:tc>
          <w:tcPr>
            <w:tcW w:w="697" w:type="pct"/>
            <w:vAlign w:val="center"/>
          </w:tcPr>
          <w:p w14:paraId="4516AF0B">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ACB691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1D09763">
            <w:pPr>
              <w:autoSpaceDE w:val="0"/>
              <w:autoSpaceDN w:val="0"/>
              <w:adjustRightInd w:val="0"/>
              <w:snapToGrid w:val="0"/>
              <w:jc w:val="center"/>
              <w:rPr>
                <w:rFonts w:ascii="Times New Roman"/>
                <w:sz w:val="21"/>
                <w:szCs w:val="21"/>
              </w:rPr>
            </w:pPr>
          </w:p>
        </w:tc>
        <w:tc>
          <w:tcPr>
            <w:tcW w:w="208" w:type="pct"/>
            <w:vAlign w:val="center"/>
          </w:tcPr>
          <w:p w14:paraId="45509EA0">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6E552A1C">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545D51E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D21F3AF">
            <w:pPr>
              <w:autoSpaceDE w:val="0"/>
              <w:autoSpaceDN w:val="0"/>
              <w:adjustRightInd w:val="0"/>
              <w:snapToGrid w:val="0"/>
              <w:jc w:val="center"/>
              <w:rPr>
                <w:rFonts w:ascii="Times New Roman"/>
                <w:sz w:val="21"/>
                <w:szCs w:val="21"/>
              </w:rPr>
            </w:pPr>
            <w:r>
              <w:rPr>
                <w:rFonts w:ascii="Times New Roman"/>
                <w:sz w:val="21"/>
                <w:szCs w:val="21"/>
              </w:rPr>
              <w:t>149.15</w:t>
            </w:r>
          </w:p>
        </w:tc>
        <w:tc>
          <w:tcPr>
            <w:tcW w:w="358" w:type="pct"/>
            <w:vAlign w:val="center"/>
          </w:tcPr>
          <w:p w14:paraId="4684934E">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217CAEA">
            <w:pPr>
              <w:autoSpaceDE w:val="0"/>
              <w:autoSpaceDN w:val="0"/>
              <w:adjustRightInd w:val="0"/>
              <w:snapToGrid w:val="0"/>
              <w:jc w:val="center"/>
              <w:rPr>
                <w:rFonts w:ascii="Times New Roman"/>
                <w:sz w:val="21"/>
                <w:szCs w:val="21"/>
              </w:rPr>
            </w:pPr>
          </w:p>
        </w:tc>
        <w:tc>
          <w:tcPr>
            <w:tcW w:w="551" w:type="pct"/>
            <w:vAlign w:val="center"/>
          </w:tcPr>
          <w:p w14:paraId="4867D23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12411F4">
            <w:pPr>
              <w:autoSpaceDE w:val="0"/>
              <w:autoSpaceDN w:val="0"/>
              <w:adjustRightInd w:val="0"/>
              <w:snapToGrid w:val="0"/>
              <w:jc w:val="center"/>
              <w:rPr>
                <w:rFonts w:ascii="Times New Roman"/>
                <w:sz w:val="21"/>
                <w:szCs w:val="21"/>
              </w:rPr>
            </w:pPr>
          </w:p>
        </w:tc>
        <w:tc>
          <w:tcPr>
            <w:tcW w:w="287" w:type="pct"/>
            <w:vMerge w:val="continue"/>
            <w:vAlign w:val="center"/>
          </w:tcPr>
          <w:p w14:paraId="2D28A49A">
            <w:pPr>
              <w:autoSpaceDE w:val="0"/>
              <w:autoSpaceDN w:val="0"/>
              <w:adjustRightInd w:val="0"/>
              <w:snapToGrid w:val="0"/>
              <w:jc w:val="center"/>
              <w:rPr>
                <w:rFonts w:ascii="Times New Roman"/>
                <w:sz w:val="21"/>
                <w:szCs w:val="21"/>
              </w:rPr>
            </w:pPr>
          </w:p>
        </w:tc>
        <w:tc>
          <w:tcPr>
            <w:tcW w:w="434" w:type="pct"/>
            <w:vMerge w:val="continue"/>
            <w:vAlign w:val="center"/>
          </w:tcPr>
          <w:p w14:paraId="7870B2B5">
            <w:pPr>
              <w:autoSpaceDE w:val="0"/>
              <w:autoSpaceDN w:val="0"/>
              <w:adjustRightInd w:val="0"/>
              <w:snapToGrid w:val="0"/>
              <w:jc w:val="center"/>
              <w:rPr>
                <w:rFonts w:ascii="Times New Roman"/>
                <w:sz w:val="21"/>
                <w:szCs w:val="21"/>
              </w:rPr>
            </w:pPr>
          </w:p>
        </w:tc>
      </w:tr>
      <w:tr w14:paraId="0914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FA40E31">
            <w:pPr>
              <w:autoSpaceDE w:val="0"/>
              <w:autoSpaceDN w:val="0"/>
              <w:adjustRightInd w:val="0"/>
              <w:snapToGrid w:val="0"/>
              <w:jc w:val="center"/>
              <w:rPr>
                <w:rFonts w:ascii="Times New Roman"/>
                <w:sz w:val="21"/>
                <w:szCs w:val="21"/>
              </w:rPr>
            </w:pPr>
          </w:p>
        </w:tc>
        <w:tc>
          <w:tcPr>
            <w:tcW w:w="697" w:type="pct"/>
            <w:vAlign w:val="center"/>
          </w:tcPr>
          <w:p w14:paraId="1DCE373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493991D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DF323DA">
            <w:pPr>
              <w:autoSpaceDE w:val="0"/>
              <w:autoSpaceDN w:val="0"/>
              <w:adjustRightInd w:val="0"/>
              <w:snapToGrid w:val="0"/>
              <w:jc w:val="center"/>
              <w:rPr>
                <w:rFonts w:ascii="Times New Roman"/>
                <w:sz w:val="21"/>
                <w:szCs w:val="21"/>
              </w:rPr>
            </w:pPr>
          </w:p>
        </w:tc>
        <w:tc>
          <w:tcPr>
            <w:tcW w:w="208" w:type="pct"/>
            <w:vAlign w:val="center"/>
          </w:tcPr>
          <w:p w14:paraId="4EC065F3">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225B7B51">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43FEB99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0C7FC73">
            <w:pPr>
              <w:autoSpaceDE w:val="0"/>
              <w:autoSpaceDN w:val="0"/>
              <w:adjustRightInd w:val="0"/>
              <w:snapToGrid w:val="0"/>
              <w:jc w:val="center"/>
              <w:rPr>
                <w:rFonts w:ascii="Times New Roman"/>
                <w:sz w:val="21"/>
                <w:szCs w:val="21"/>
              </w:rPr>
            </w:pPr>
            <w:r>
              <w:rPr>
                <w:rFonts w:ascii="Times New Roman"/>
                <w:sz w:val="21"/>
                <w:szCs w:val="21"/>
              </w:rPr>
              <w:t>149.15</w:t>
            </w:r>
          </w:p>
        </w:tc>
        <w:tc>
          <w:tcPr>
            <w:tcW w:w="358" w:type="pct"/>
            <w:vAlign w:val="center"/>
          </w:tcPr>
          <w:p w14:paraId="7A53D42F">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28F2DD04">
            <w:pPr>
              <w:autoSpaceDE w:val="0"/>
              <w:autoSpaceDN w:val="0"/>
              <w:adjustRightInd w:val="0"/>
              <w:snapToGrid w:val="0"/>
              <w:jc w:val="center"/>
              <w:rPr>
                <w:rFonts w:ascii="Times New Roman"/>
                <w:sz w:val="21"/>
                <w:szCs w:val="21"/>
              </w:rPr>
            </w:pPr>
          </w:p>
        </w:tc>
        <w:tc>
          <w:tcPr>
            <w:tcW w:w="551" w:type="pct"/>
            <w:vAlign w:val="center"/>
          </w:tcPr>
          <w:p w14:paraId="28A5FC7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DE6E09A">
            <w:pPr>
              <w:autoSpaceDE w:val="0"/>
              <w:autoSpaceDN w:val="0"/>
              <w:adjustRightInd w:val="0"/>
              <w:snapToGrid w:val="0"/>
              <w:jc w:val="center"/>
              <w:rPr>
                <w:rFonts w:ascii="Times New Roman"/>
                <w:sz w:val="21"/>
                <w:szCs w:val="21"/>
              </w:rPr>
            </w:pPr>
          </w:p>
        </w:tc>
        <w:tc>
          <w:tcPr>
            <w:tcW w:w="287" w:type="pct"/>
            <w:vMerge w:val="continue"/>
            <w:vAlign w:val="center"/>
          </w:tcPr>
          <w:p w14:paraId="05774509">
            <w:pPr>
              <w:autoSpaceDE w:val="0"/>
              <w:autoSpaceDN w:val="0"/>
              <w:adjustRightInd w:val="0"/>
              <w:snapToGrid w:val="0"/>
              <w:jc w:val="center"/>
              <w:rPr>
                <w:rFonts w:ascii="Times New Roman"/>
                <w:sz w:val="21"/>
                <w:szCs w:val="21"/>
              </w:rPr>
            </w:pPr>
          </w:p>
        </w:tc>
        <w:tc>
          <w:tcPr>
            <w:tcW w:w="434" w:type="pct"/>
            <w:vMerge w:val="continue"/>
            <w:vAlign w:val="center"/>
          </w:tcPr>
          <w:p w14:paraId="28E2A694">
            <w:pPr>
              <w:autoSpaceDE w:val="0"/>
              <w:autoSpaceDN w:val="0"/>
              <w:adjustRightInd w:val="0"/>
              <w:snapToGrid w:val="0"/>
              <w:jc w:val="center"/>
              <w:rPr>
                <w:rFonts w:ascii="Times New Roman"/>
                <w:sz w:val="21"/>
                <w:szCs w:val="21"/>
              </w:rPr>
            </w:pPr>
          </w:p>
        </w:tc>
      </w:tr>
      <w:tr w14:paraId="2E52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399A211">
            <w:pPr>
              <w:autoSpaceDE w:val="0"/>
              <w:autoSpaceDN w:val="0"/>
              <w:adjustRightInd w:val="0"/>
              <w:snapToGrid w:val="0"/>
              <w:jc w:val="center"/>
              <w:rPr>
                <w:rFonts w:ascii="Times New Roman"/>
                <w:sz w:val="21"/>
                <w:szCs w:val="21"/>
              </w:rPr>
            </w:pPr>
          </w:p>
        </w:tc>
        <w:tc>
          <w:tcPr>
            <w:tcW w:w="697" w:type="pct"/>
            <w:vAlign w:val="center"/>
          </w:tcPr>
          <w:p w14:paraId="6A47E2B6">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CB1FE1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B6D67FA">
            <w:pPr>
              <w:autoSpaceDE w:val="0"/>
              <w:autoSpaceDN w:val="0"/>
              <w:adjustRightInd w:val="0"/>
              <w:snapToGrid w:val="0"/>
              <w:jc w:val="center"/>
              <w:rPr>
                <w:rFonts w:ascii="Times New Roman"/>
                <w:sz w:val="21"/>
                <w:szCs w:val="21"/>
              </w:rPr>
            </w:pPr>
          </w:p>
        </w:tc>
        <w:tc>
          <w:tcPr>
            <w:tcW w:w="208" w:type="pct"/>
            <w:vAlign w:val="center"/>
          </w:tcPr>
          <w:p w14:paraId="1277EBA2">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31D4D368">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167E64F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69F3A7B">
            <w:pPr>
              <w:autoSpaceDE w:val="0"/>
              <w:autoSpaceDN w:val="0"/>
              <w:adjustRightInd w:val="0"/>
              <w:snapToGrid w:val="0"/>
              <w:jc w:val="center"/>
              <w:rPr>
                <w:rFonts w:ascii="Times New Roman"/>
                <w:sz w:val="21"/>
                <w:szCs w:val="21"/>
              </w:rPr>
            </w:pPr>
            <w:r>
              <w:rPr>
                <w:rFonts w:ascii="Times New Roman"/>
                <w:sz w:val="21"/>
                <w:szCs w:val="21"/>
              </w:rPr>
              <w:t>149.15</w:t>
            </w:r>
          </w:p>
        </w:tc>
        <w:tc>
          <w:tcPr>
            <w:tcW w:w="358" w:type="pct"/>
            <w:vAlign w:val="center"/>
          </w:tcPr>
          <w:p w14:paraId="3AC5259E">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5EF04C2B">
            <w:pPr>
              <w:autoSpaceDE w:val="0"/>
              <w:autoSpaceDN w:val="0"/>
              <w:adjustRightInd w:val="0"/>
              <w:snapToGrid w:val="0"/>
              <w:jc w:val="center"/>
              <w:rPr>
                <w:rFonts w:ascii="Times New Roman"/>
                <w:sz w:val="21"/>
                <w:szCs w:val="21"/>
              </w:rPr>
            </w:pPr>
          </w:p>
        </w:tc>
        <w:tc>
          <w:tcPr>
            <w:tcW w:w="551" w:type="pct"/>
            <w:vAlign w:val="center"/>
          </w:tcPr>
          <w:p w14:paraId="6F1DCF6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D91946D">
            <w:pPr>
              <w:autoSpaceDE w:val="0"/>
              <w:autoSpaceDN w:val="0"/>
              <w:adjustRightInd w:val="0"/>
              <w:snapToGrid w:val="0"/>
              <w:jc w:val="center"/>
              <w:rPr>
                <w:rFonts w:ascii="Times New Roman"/>
                <w:sz w:val="21"/>
                <w:szCs w:val="21"/>
              </w:rPr>
            </w:pPr>
          </w:p>
        </w:tc>
        <w:tc>
          <w:tcPr>
            <w:tcW w:w="287" w:type="pct"/>
            <w:vMerge w:val="continue"/>
            <w:vAlign w:val="center"/>
          </w:tcPr>
          <w:p w14:paraId="2100A654">
            <w:pPr>
              <w:autoSpaceDE w:val="0"/>
              <w:autoSpaceDN w:val="0"/>
              <w:adjustRightInd w:val="0"/>
              <w:snapToGrid w:val="0"/>
              <w:jc w:val="center"/>
              <w:rPr>
                <w:rFonts w:ascii="Times New Roman"/>
                <w:sz w:val="21"/>
                <w:szCs w:val="21"/>
              </w:rPr>
            </w:pPr>
          </w:p>
        </w:tc>
        <w:tc>
          <w:tcPr>
            <w:tcW w:w="434" w:type="pct"/>
            <w:vMerge w:val="continue"/>
            <w:vAlign w:val="center"/>
          </w:tcPr>
          <w:p w14:paraId="55188434">
            <w:pPr>
              <w:autoSpaceDE w:val="0"/>
              <w:autoSpaceDN w:val="0"/>
              <w:adjustRightInd w:val="0"/>
              <w:snapToGrid w:val="0"/>
              <w:jc w:val="center"/>
              <w:rPr>
                <w:rFonts w:ascii="Times New Roman"/>
                <w:sz w:val="21"/>
                <w:szCs w:val="21"/>
              </w:rPr>
            </w:pPr>
          </w:p>
        </w:tc>
      </w:tr>
      <w:tr w14:paraId="6EF5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D3A7FB2">
            <w:pPr>
              <w:autoSpaceDE w:val="0"/>
              <w:autoSpaceDN w:val="0"/>
              <w:adjustRightInd w:val="0"/>
              <w:snapToGrid w:val="0"/>
              <w:jc w:val="center"/>
              <w:rPr>
                <w:rFonts w:ascii="Times New Roman"/>
                <w:sz w:val="21"/>
                <w:szCs w:val="21"/>
              </w:rPr>
            </w:pPr>
          </w:p>
        </w:tc>
        <w:tc>
          <w:tcPr>
            <w:tcW w:w="697" w:type="pct"/>
            <w:vAlign w:val="center"/>
          </w:tcPr>
          <w:p w14:paraId="109BBCB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3F365B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EF577AE">
            <w:pPr>
              <w:autoSpaceDE w:val="0"/>
              <w:autoSpaceDN w:val="0"/>
              <w:adjustRightInd w:val="0"/>
              <w:snapToGrid w:val="0"/>
              <w:jc w:val="center"/>
              <w:rPr>
                <w:rFonts w:ascii="Times New Roman"/>
                <w:sz w:val="21"/>
                <w:szCs w:val="21"/>
              </w:rPr>
            </w:pPr>
          </w:p>
        </w:tc>
        <w:tc>
          <w:tcPr>
            <w:tcW w:w="208" w:type="pct"/>
            <w:vAlign w:val="center"/>
          </w:tcPr>
          <w:p w14:paraId="5074AE48">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15D58B06">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2BF7B41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E7AC237">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6750F16F">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730C2788">
            <w:pPr>
              <w:autoSpaceDE w:val="0"/>
              <w:autoSpaceDN w:val="0"/>
              <w:adjustRightInd w:val="0"/>
              <w:snapToGrid w:val="0"/>
              <w:jc w:val="center"/>
              <w:rPr>
                <w:rFonts w:ascii="Times New Roman"/>
                <w:sz w:val="21"/>
                <w:szCs w:val="21"/>
              </w:rPr>
            </w:pPr>
          </w:p>
        </w:tc>
        <w:tc>
          <w:tcPr>
            <w:tcW w:w="551" w:type="pct"/>
            <w:vAlign w:val="center"/>
          </w:tcPr>
          <w:p w14:paraId="3E06D7D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restart"/>
            <w:vAlign w:val="center"/>
          </w:tcPr>
          <w:p w14:paraId="094A535C">
            <w:pPr>
              <w:autoSpaceDE w:val="0"/>
              <w:autoSpaceDN w:val="0"/>
              <w:adjustRightInd w:val="0"/>
              <w:snapToGrid w:val="0"/>
              <w:jc w:val="center"/>
              <w:rPr>
                <w:rFonts w:ascii="Times New Roman"/>
                <w:sz w:val="21"/>
                <w:szCs w:val="21"/>
              </w:rPr>
            </w:pPr>
            <w:r>
              <w:rPr>
                <w:rFonts w:ascii="Times New Roman"/>
                <w:sz w:val="21"/>
                <w:szCs w:val="21"/>
              </w:rPr>
              <w:t>北边界</w:t>
            </w:r>
          </w:p>
        </w:tc>
        <w:tc>
          <w:tcPr>
            <w:tcW w:w="287" w:type="pct"/>
            <w:vMerge w:val="restart"/>
            <w:vAlign w:val="center"/>
          </w:tcPr>
          <w:p w14:paraId="43F5FFD8">
            <w:pPr>
              <w:autoSpaceDE w:val="0"/>
              <w:autoSpaceDN w:val="0"/>
              <w:adjustRightInd w:val="0"/>
              <w:snapToGrid w:val="0"/>
              <w:jc w:val="center"/>
              <w:rPr>
                <w:rFonts w:ascii="Times New Roman"/>
                <w:sz w:val="21"/>
                <w:szCs w:val="21"/>
              </w:rPr>
            </w:pPr>
            <w:r>
              <w:rPr>
                <w:rFonts w:ascii="Times New Roman"/>
                <w:sz w:val="21"/>
                <w:szCs w:val="21"/>
              </w:rPr>
              <w:t>37.4</w:t>
            </w:r>
          </w:p>
        </w:tc>
        <w:tc>
          <w:tcPr>
            <w:tcW w:w="434" w:type="pct"/>
            <w:vMerge w:val="continue"/>
            <w:vAlign w:val="center"/>
          </w:tcPr>
          <w:p w14:paraId="1DE469CC">
            <w:pPr>
              <w:autoSpaceDE w:val="0"/>
              <w:autoSpaceDN w:val="0"/>
              <w:adjustRightInd w:val="0"/>
              <w:snapToGrid w:val="0"/>
              <w:jc w:val="center"/>
              <w:rPr>
                <w:rFonts w:ascii="Times New Roman"/>
                <w:sz w:val="21"/>
                <w:szCs w:val="21"/>
              </w:rPr>
            </w:pPr>
          </w:p>
        </w:tc>
      </w:tr>
      <w:tr w14:paraId="6392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7C8DDDD">
            <w:pPr>
              <w:autoSpaceDE w:val="0"/>
              <w:autoSpaceDN w:val="0"/>
              <w:adjustRightInd w:val="0"/>
              <w:snapToGrid w:val="0"/>
              <w:jc w:val="center"/>
              <w:rPr>
                <w:rFonts w:ascii="Times New Roman"/>
                <w:sz w:val="21"/>
                <w:szCs w:val="21"/>
              </w:rPr>
            </w:pPr>
          </w:p>
        </w:tc>
        <w:tc>
          <w:tcPr>
            <w:tcW w:w="697" w:type="pct"/>
            <w:vAlign w:val="center"/>
          </w:tcPr>
          <w:p w14:paraId="591B5068">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7F5985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280E1C9">
            <w:pPr>
              <w:autoSpaceDE w:val="0"/>
              <w:autoSpaceDN w:val="0"/>
              <w:adjustRightInd w:val="0"/>
              <w:snapToGrid w:val="0"/>
              <w:jc w:val="center"/>
              <w:rPr>
                <w:rFonts w:ascii="Times New Roman"/>
                <w:sz w:val="21"/>
                <w:szCs w:val="21"/>
              </w:rPr>
            </w:pPr>
          </w:p>
        </w:tc>
        <w:tc>
          <w:tcPr>
            <w:tcW w:w="208" w:type="pct"/>
            <w:vAlign w:val="center"/>
          </w:tcPr>
          <w:p w14:paraId="58D7984B">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78CDB6E1">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7CCDD5B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E573F5B">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29AE72EC">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5A1D5CD3">
            <w:pPr>
              <w:autoSpaceDE w:val="0"/>
              <w:autoSpaceDN w:val="0"/>
              <w:adjustRightInd w:val="0"/>
              <w:snapToGrid w:val="0"/>
              <w:jc w:val="center"/>
              <w:rPr>
                <w:rFonts w:ascii="Times New Roman"/>
                <w:sz w:val="21"/>
                <w:szCs w:val="21"/>
              </w:rPr>
            </w:pPr>
          </w:p>
        </w:tc>
        <w:tc>
          <w:tcPr>
            <w:tcW w:w="551" w:type="pct"/>
            <w:vAlign w:val="center"/>
          </w:tcPr>
          <w:p w14:paraId="325DD4A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4DC112A">
            <w:pPr>
              <w:autoSpaceDE w:val="0"/>
              <w:autoSpaceDN w:val="0"/>
              <w:adjustRightInd w:val="0"/>
              <w:snapToGrid w:val="0"/>
              <w:jc w:val="center"/>
              <w:rPr>
                <w:rFonts w:ascii="Times New Roman"/>
                <w:sz w:val="21"/>
                <w:szCs w:val="21"/>
              </w:rPr>
            </w:pPr>
          </w:p>
        </w:tc>
        <w:tc>
          <w:tcPr>
            <w:tcW w:w="287" w:type="pct"/>
            <w:vMerge w:val="continue"/>
            <w:vAlign w:val="center"/>
          </w:tcPr>
          <w:p w14:paraId="709408D7">
            <w:pPr>
              <w:autoSpaceDE w:val="0"/>
              <w:autoSpaceDN w:val="0"/>
              <w:adjustRightInd w:val="0"/>
              <w:snapToGrid w:val="0"/>
              <w:jc w:val="center"/>
              <w:rPr>
                <w:rFonts w:ascii="Times New Roman"/>
                <w:sz w:val="21"/>
                <w:szCs w:val="21"/>
              </w:rPr>
            </w:pPr>
          </w:p>
        </w:tc>
        <w:tc>
          <w:tcPr>
            <w:tcW w:w="434" w:type="pct"/>
            <w:vMerge w:val="continue"/>
            <w:vAlign w:val="center"/>
          </w:tcPr>
          <w:p w14:paraId="71CD43DB">
            <w:pPr>
              <w:autoSpaceDE w:val="0"/>
              <w:autoSpaceDN w:val="0"/>
              <w:adjustRightInd w:val="0"/>
              <w:snapToGrid w:val="0"/>
              <w:jc w:val="center"/>
              <w:rPr>
                <w:rFonts w:ascii="Times New Roman"/>
                <w:sz w:val="21"/>
                <w:szCs w:val="21"/>
              </w:rPr>
            </w:pPr>
          </w:p>
        </w:tc>
      </w:tr>
      <w:tr w14:paraId="1F36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45C9E77">
            <w:pPr>
              <w:autoSpaceDE w:val="0"/>
              <w:autoSpaceDN w:val="0"/>
              <w:adjustRightInd w:val="0"/>
              <w:snapToGrid w:val="0"/>
              <w:jc w:val="center"/>
              <w:rPr>
                <w:rFonts w:ascii="Times New Roman"/>
                <w:sz w:val="21"/>
                <w:szCs w:val="21"/>
              </w:rPr>
            </w:pPr>
          </w:p>
        </w:tc>
        <w:tc>
          <w:tcPr>
            <w:tcW w:w="697" w:type="pct"/>
            <w:vAlign w:val="center"/>
          </w:tcPr>
          <w:p w14:paraId="656782B0">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FEF454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4CEB0C0">
            <w:pPr>
              <w:autoSpaceDE w:val="0"/>
              <w:autoSpaceDN w:val="0"/>
              <w:adjustRightInd w:val="0"/>
              <w:snapToGrid w:val="0"/>
              <w:jc w:val="center"/>
              <w:rPr>
                <w:rFonts w:ascii="Times New Roman"/>
                <w:sz w:val="21"/>
                <w:szCs w:val="21"/>
              </w:rPr>
            </w:pPr>
          </w:p>
        </w:tc>
        <w:tc>
          <w:tcPr>
            <w:tcW w:w="208" w:type="pct"/>
            <w:vAlign w:val="center"/>
          </w:tcPr>
          <w:p w14:paraId="0C60CD5E">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03711C34">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40AABA3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FE46B64">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0FBFC42F">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7FF8D189">
            <w:pPr>
              <w:autoSpaceDE w:val="0"/>
              <w:autoSpaceDN w:val="0"/>
              <w:adjustRightInd w:val="0"/>
              <w:snapToGrid w:val="0"/>
              <w:jc w:val="center"/>
              <w:rPr>
                <w:rFonts w:ascii="Times New Roman"/>
                <w:sz w:val="21"/>
                <w:szCs w:val="21"/>
              </w:rPr>
            </w:pPr>
          </w:p>
        </w:tc>
        <w:tc>
          <w:tcPr>
            <w:tcW w:w="551" w:type="pct"/>
            <w:vAlign w:val="center"/>
          </w:tcPr>
          <w:p w14:paraId="1C9AA0C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2170DD6">
            <w:pPr>
              <w:autoSpaceDE w:val="0"/>
              <w:autoSpaceDN w:val="0"/>
              <w:adjustRightInd w:val="0"/>
              <w:snapToGrid w:val="0"/>
              <w:jc w:val="center"/>
              <w:rPr>
                <w:rFonts w:ascii="Times New Roman"/>
                <w:sz w:val="21"/>
                <w:szCs w:val="21"/>
              </w:rPr>
            </w:pPr>
          </w:p>
        </w:tc>
        <w:tc>
          <w:tcPr>
            <w:tcW w:w="287" w:type="pct"/>
            <w:vMerge w:val="continue"/>
            <w:vAlign w:val="center"/>
          </w:tcPr>
          <w:p w14:paraId="33B0C3F9">
            <w:pPr>
              <w:autoSpaceDE w:val="0"/>
              <w:autoSpaceDN w:val="0"/>
              <w:adjustRightInd w:val="0"/>
              <w:snapToGrid w:val="0"/>
              <w:jc w:val="center"/>
              <w:rPr>
                <w:rFonts w:ascii="Times New Roman"/>
                <w:sz w:val="21"/>
                <w:szCs w:val="21"/>
              </w:rPr>
            </w:pPr>
          </w:p>
        </w:tc>
        <w:tc>
          <w:tcPr>
            <w:tcW w:w="434" w:type="pct"/>
            <w:vMerge w:val="continue"/>
            <w:vAlign w:val="center"/>
          </w:tcPr>
          <w:p w14:paraId="29A4FFAB">
            <w:pPr>
              <w:autoSpaceDE w:val="0"/>
              <w:autoSpaceDN w:val="0"/>
              <w:adjustRightInd w:val="0"/>
              <w:snapToGrid w:val="0"/>
              <w:jc w:val="center"/>
              <w:rPr>
                <w:rFonts w:ascii="Times New Roman"/>
                <w:sz w:val="21"/>
                <w:szCs w:val="21"/>
              </w:rPr>
            </w:pPr>
          </w:p>
        </w:tc>
      </w:tr>
      <w:tr w14:paraId="3D00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47FE3EA">
            <w:pPr>
              <w:autoSpaceDE w:val="0"/>
              <w:autoSpaceDN w:val="0"/>
              <w:adjustRightInd w:val="0"/>
              <w:snapToGrid w:val="0"/>
              <w:jc w:val="center"/>
              <w:rPr>
                <w:rFonts w:ascii="Times New Roman"/>
                <w:sz w:val="21"/>
                <w:szCs w:val="21"/>
              </w:rPr>
            </w:pPr>
          </w:p>
        </w:tc>
        <w:tc>
          <w:tcPr>
            <w:tcW w:w="697" w:type="pct"/>
            <w:vAlign w:val="center"/>
          </w:tcPr>
          <w:p w14:paraId="06D44763">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462A5DD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349157F">
            <w:pPr>
              <w:autoSpaceDE w:val="0"/>
              <w:autoSpaceDN w:val="0"/>
              <w:adjustRightInd w:val="0"/>
              <w:snapToGrid w:val="0"/>
              <w:jc w:val="center"/>
              <w:rPr>
                <w:rFonts w:ascii="Times New Roman"/>
                <w:sz w:val="21"/>
                <w:szCs w:val="21"/>
              </w:rPr>
            </w:pPr>
          </w:p>
        </w:tc>
        <w:tc>
          <w:tcPr>
            <w:tcW w:w="208" w:type="pct"/>
            <w:vAlign w:val="center"/>
          </w:tcPr>
          <w:p w14:paraId="5152820B">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18BBF9A6">
            <w:pPr>
              <w:autoSpaceDE w:val="0"/>
              <w:autoSpaceDN w:val="0"/>
              <w:adjustRightInd w:val="0"/>
              <w:snapToGrid w:val="0"/>
              <w:jc w:val="center"/>
              <w:rPr>
                <w:rFonts w:ascii="Times New Roman"/>
                <w:sz w:val="21"/>
                <w:szCs w:val="21"/>
              </w:rPr>
            </w:pPr>
            <w:r>
              <w:rPr>
                <w:rFonts w:ascii="Times New Roman"/>
                <w:sz w:val="21"/>
                <w:szCs w:val="21"/>
              </w:rPr>
              <w:t>165</w:t>
            </w:r>
          </w:p>
        </w:tc>
        <w:tc>
          <w:tcPr>
            <w:tcW w:w="240" w:type="pct"/>
            <w:vAlign w:val="center"/>
          </w:tcPr>
          <w:p w14:paraId="5B91A840">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F85C065">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0B7E14D7">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2066D782">
            <w:pPr>
              <w:autoSpaceDE w:val="0"/>
              <w:autoSpaceDN w:val="0"/>
              <w:adjustRightInd w:val="0"/>
              <w:snapToGrid w:val="0"/>
              <w:jc w:val="center"/>
              <w:rPr>
                <w:rFonts w:ascii="Times New Roman"/>
                <w:sz w:val="21"/>
                <w:szCs w:val="21"/>
              </w:rPr>
            </w:pPr>
          </w:p>
        </w:tc>
        <w:tc>
          <w:tcPr>
            <w:tcW w:w="551" w:type="pct"/>
            <w:vAlign w:val="center"/>
          </w:tcPr>
          <w:p w14:paraId="0F82E5A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C48CACE">
            <w:pPr>
              <w:autoSpaceDE w:val="0"/>
              <w:autoSpaceDN w:val="0"/>
              <w:adjustRightInd w:val="0"/>
              <w:snapToGrid w:val="0"/>
              <w:jc w:val="center"/>
              <w:rPr>
                <w:rFonts w:ascii="Times New Roman"/>
                <w:sz w:val="21"/>
                <w:szCs w:val="21"/>
              </w:rPr>
            </w:pPr>
          </w:p>
        </w:tc>
        <w:tc>
          <w:tcPr>
            <w:tcW w:w="287" w:type="pct"/>
            <w:vMerge w:val="continue"/>
            <w:vAlign w:val="center"/>
          </w:tcPr>
          <w:p w14:paraId="3B10C81C">
            <w:pPr>
              <w:autoSpaceDE w:val="0"/>
              <w:autoSpaceDN w:val="0"/>
              <w:adjustRightInd w:val="0"/>
              <w:snapToGrid w:val="0"/>
              <w:jc w:val="center"/>
              <w:rPr>
                <w:rFonts w:ascii="Times New Roman"/>
                <w:sz w:val="21"/>
                <w:szCs w:val="21"/>
              </w:rPr>
            </w:pPr>
          </w:p>
        </w:tc>
        <w:tc>
          <w:tcPr>
            <w:tcW w:w="434" w:type="pct"/>
            <w:vMerge w:val="continue"/>
            <w:vAlign w:val="center"/>
          </w:tcPr>
          <w:p w14:paraId="0DA1F0B2">
            <w:pPr>
              <w:autoSpaceDE w:val="0"/>
              <w:autoSpaceDN w:val="0"/>
              <w:adjustRightInd w:val="0"/>
              <w:snapToGrid w:val="0"/>
              <w:jc w:val="center"/>
              <w:rPr>
                <w:rFonts w:ascii="Times New Roman"/>
                <w:sz w:val="21"/>
                <w:szCs w:val="21"/>
              </w:rPr>
            </w:pPr>
          </w:p>
        </w:tc>
      </w:tr>
      <w:tr w14:paraId="1A6B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47BB6B5">
            <w:pPr>
              <w:autoSpaceDE w:val="0"/>
              <w:autoSpaceDN w:val="0"/>
              <w:adjustRightInd w:val="0"/>
              <w:snapToGrid w:val="0"/>
              <w:jc w:val="center"/>
              <w:rPr>
                <w:rFonts w:ascii="Times New Roman"/>
                <w:sz w:val="21"/>
                <w:szCs w:val="21"/>
              </w:rPr>
            </w:pPr>
          </w:p>
        </w:tc>
        <w:tc>
          <w:tcPr>
            <w:tcW w:w="697" w:type="pct"/>
            <w:vAlign w:val="center"/>
          </w:tcPr>
          <w:p w14:paraId="1CF7F9B6">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2A9BCE6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C663297">
            <w:pPr>
              <w:autoSpaceDE w:val="0"/>
              <w:autoSpaceDN w:val="0"/>
              <w:adjustRightInd w:val="0"/>
              <w:snapToGrid w:val="0"/>
              <w:jc w:val="center"/>
              <w:rPr>
                <w:rFonts w:ascii="Times New Roman"/>
                <w:sz w:val="21"/>
                <w:szCs w:val="21"/>
              </w:rPr>
            </w:pPr>
          </w:p>
        </w:tc>
        <w:tc>
          <w:tcPr>
            <w:tcW w:w="208" w:type="pct"/>
            <w:vAlign w:val="center"/>
          </w:tcPr>
          <w:p w14:paraId="4972C6F4">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6F6E9530">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2B9F274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24C7922">
            <w:pPr>
              <w:autoSpaceDE w:val="0"/>
              <w:autoSpaceDN w:val="0"/>
              <w:adjustRightInd w:val="0"/>
              <w:snapToGrid w:val="0"/>
              <w:jc w:val="center"/>
              <w:rPr>
                <w:rFonts w:ascii="Times New Roman"/>
                <w:sz w:val="21"/>
                <w:szCs w:val="21"/>
              </w:rPr>
            </w:pPr>
            <w:r>
              <w:rPr>
                <w:rFonts w:ascii="Times New Roman"/>
                <w:sz w:val="21"/>
                <w:szCs w:val="21"/>
              </w:rPr>
              <w:t>153.52</w:t>
            </w:r>
          </w:p>
        </w:tc>
        <w:tc>
          <w:tcPr>
            <w:tcW w:w="358" w:type="pct"/>
            <w:vAlign w:val="center"/>
          </w:tcPr>
          <w:p w14:paraId="594C62C6">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7C473094">
            <w:pPr>
              <w:autoSpaceDE w:val="0"/>
              <w:autoSpaceDN w:val="0"/>
              <w:adjustRightInd w:val="0"/>
              <w:snapToGrid w:val="0"/>
              <w:jc w:val="center"/>
              <w:rPr>
                <w:rFonts w:ascii="Times New Roman"/>
                <w:sz w:val="21"/>
                <w:szCs w:val="21"/>
              </w:rPr>
            </w:pPr>
          </w:p>
        </w:tc>
        <w:tc>
          <w:tcPr>
            <w:tcW w:w="551" w:type="pct"/>
            <w:vAlign w:val="center"/>
          </w:tcPr>
          <w:p w14:paraId="44EAD7A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B014C77">
            <w:pPr>
              <w:autoSpaceDE w:val="0"/>
              <w:autoSpaceDN w:val="0"/>
              <w:adjustRightInd w:val="0"/>
              <w:snapToGrid w:val="0"/>
              <w:jc w:val="center"/>
              <w:rPr>
                <w:rFonts w:ascii="Times New Roman"/>
                <w:sz w:val="21"/>
                <w:szCs w:val="21"/>
              </w:rPr>
            </w:pPr>
          </w:p>
        </w:tc>
        <w:tc>
          <w:tcPr>
            <w:tcW w:w="287" w:type="pct"/>
            <w:vMerge w:val="continue"/>
            <w:vAlign w:val="center"/>
          </w:tcPr>
          <w:p w14:paraId="4CA62E7B">
            <w:pPr>
              <w:autoSpaceDE w:val="0"/>
              <w:autoSpaceDN w:val="0"/>
              <w:adjustRightInd w:val="0"/>
              <w:snapToGrid w:val="0"/>
              <w:jc w:val="center"/>
              <w:rPr>
                <w:rFonts w:ascii="Times New Roman"/>
                <w:sz w:val="21"/>
                <w:szCs w:val="21"/>
              </w:rPr>
            </w:pPr>
          </w:p>
        </w:tc>
        <w:tc>
          <w:tcPr>
            <w:tcW w:w="434" w:type="pct"/>
            <w:vMerge w:val="continue"/>
            <w:vAlign w:val="center"/>
          </w:tcPr>
          <w:p w14:paraId="12C09DDE">
            <w:pPr>
              <w:autoSpaceDE w:val="0"/>
              <w:autoSpaceDN w:val="0"/>
              <w:adjustRightInd w:val="0"/>
              <w:snapToGrid w:val="0"/>
              <w:jc w:val="center"/>
              <w:rPr>
                <w:rFonts w:ascii="Times New Roman"/>
                <w:sz w:val="21"/>
                <w:szCs w:val="21"/>
              </w:rPr>
            </w:pPr>
          </w:p>
        </w:tc>
      </w:tr>
      <w:tr w14:paraId="497A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55956AF">
            <w:pPr>
              <w:autoSpaceDE w:val="0"/>
              <w:autoSpaceDN w:val="0"/>
              <w:adjustRightInd w:val="0"/>
              <w:snapToGrid w:val="0"/>
              <w:jc w:val="center"/>
              <w:rPr>
                <w:rFonts w:ascii="Times New Roman"/>
                <w:sz w:val="21"/>
                <w:szCs w:val="21"/>
              </w:rPr>
            </w:pPr>
          </w:p>
        </w:tc>
        <w:tc>
          <w:tcPr>
            <w:tcW w:w="697" w:type="pct"/>
            <w:vAlign w:val="center"/>
          </w:tcPr>
          <w:p w14:paraId="6B4DEF15">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2D81335">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178DDF8">
            <w:pPr>
              <w:autoSpaceDE w:val="0"/>
              <w:autoSpaceDN w:val="0"/>
              <w:adjustRightInd w:val="0"/>
              <w:snapToGrid w:val="0"/>
              <w:jc w:val="center"/>
              <w:rPr>
                <w:rFonts w:ascii="Times New Roman"/>
                <w:sz w:val="21"/>
                <w:szCs w:val="21"/>
              </w:rPr>
            </w:pPr>
          </w:p>
        </w:tc>
        <w:tc>
          <w:tcPr>
            <w:tcW w:w="208" w:type="pct"/>
            <w:vAlign w:val="center"/>
          </w:tcPr>
          <w:p w14:paraId="4AA60CA8">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2A9546E2">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25532E1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16A6219">
            <w:pPr>
              <w:autoSpaceDE w:val="0"/>
              <w:autoSpaceDN w:val="0"/>
              <w:adjustRightInd w:val="0"/>
              <w:snapToGrid w:val="0"/>
              <w:jc w:val="center"/>
              <w:rPr>
                <w:rFonts w:ascii="Times New Roman"/>
                <w:sz w:val="21"/>
                <w:szCs w:val="21"/>
              </w:rPr>
            </w:pPr>
            <w:r>
              <w:rPr>
                <w:rFonts w:ascii="Times New Roman"/>
                <w:sz w:val="21"/>
                <w:szCs w:val="21"/>
              </w:rPr>
              <w:t>154.15</w:t>
            </w:r>
          </w:p>
        </w:tc>
        <w:tc>
          <w:tcPr>
            <w:tcW w:w="358" w:type="pct"/>
            <w:vAlign w:val="center"/>
          </w:tcPr>
          <w:p w14:paraId="46358FC0">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1A1FED48">
            <w:pPr>
              <w:autoSpaceDE w:val="0"/>
              <w:autoSpaceDN w:val="0"/>
              <w:adjustRightInd w:val="0"/>
              <w:snapToGrid w:val="0"/>
              <w:jc w:val="center"/>
              <w:rPr>
                <w:rFonts w:ascii="Times New Roman"/>
                <w:sz w:val="21"/>
                <w:szCs w:val="21"/>
              </w:rPr>
            </w:pPr>
          </w:p>
        </w:tc>
        <w:tc>
          <w:tcPr>
            <w:tcW w:w="551" w:type="pct"/>
            <w:vAlign w:val="center"/>
          </w:tcPr>
          <w:p w14:paraId="6BF5AC1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642FC69">
            <w:pPr>
              <w:autoSpaceDE w:val="0"/>
              <w:autoSpaceDN w:val="0"/>
              <w:adjustRightInd w:val="0"/>
              <w:snapToGrid w:val="0"/>
              <w:jc w:val="center"/>
              <w:rPr>
                <w:rFonts w:ascii="Times New Roman"/>
                <w:sz w:val="21"/>
                <w:szCs w:val="21"/>
              </w:rPr>
            </w:pPr>
          </w:p>
        </w:tc>
        <w:tc>
          <w:tcPr>
            <w:tcW w:w="287" w:type="pct"/>
            <w:vMerge w:val="continue"/>
            <w:vAlign w:val="center"/>
          </w:tcPr>
          <w:p w14:paraId="18EA9581">
            <w:pPr>
              <w:autoSpaceDE w:val="0"/>
              <w:autoSpaceDN w:val="0"/>
              <w:adjustRightInd w:val="0"/>
              <w:snapToGrid w:val="0"/>
              <w:jc w:val="center"/>
              <w:rPr>
                <w:rFonts w:ascii="Times New Roman"/>
                <w:sz w:val="21"/>
                <w:szCs w:val="21"/>
              </w:rPr>
            </w:pPr>
          </w:p>
        </w:tc>
        <w:tc>
          <w:tcPr>
            <w:tcW w:w="434" w:type="pct"/>
            <w:vMerge w:val="continue"/>
            <w:vAlign w:val="center"/>
          </w:tcPr>
          <w:p w14:paraId="452EE640">
            <w:pPr>
              <w:autoSpaceDE w:val="0"/>
              <w:autoSpaceDN w:val="0"/>
              <w:adjustRightInd w:val="0"/>
              <w:snapToGrid w:val="0"/>
              <w:jc w:val="center"/>
              <w:rPr>
                <w:rFonts w:ascii="Times New Roman"/>
                <w:sz w:val="21"/>
                <w:szCs w:val="21"/>
              </w:rPr>
            </w:pPr>
          </w:p>
        </w:tc>
      </w:tr>
      <w:tr w14:paraId="47EA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A3AEAEC">
            <w:pPr>
              <w:autoSpaceDE w:val="0"/>
              <w:autoSpaceDN w:val="0"/>
              <w:adjustRightInd w:val="0"/>
              <w:snapToGrid w:val="0"/>
              <w:jc w:val="center"/>
              <w:rPr>
                <w:rFonts w:ascii="Times New Roman"/>
                <w:sz w:val="21"/>
                <w:szCs w:val="21"/>
              </w:rPr>
            </w:pPr>
          </w:p>
        </w:tc>
        <w:tc>
          <w:tcPr>
            <w:tcW w:w="697" w:type="pct"/>
            <w:vAlign w:val="center"/>
          </w:tcPr>
          <w:p w14:paraId="3DD86893">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4D31500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071021F">
            <w:pPr>
              <w:autoSpaceDE w:val="0"/>
              <w:autoSpaceDN w:val="0"/>
              <w:adjustRightInd w:val="0"/>
              <w:snapToGrid w:val="0"/>
              <w:jc w:val="center"/>
              <w:rPr>
                <w:rFonts w:ascii="Times New Roman"/>
                <w:sz w:val="21"/>
                <w:szCs w:val="21"/>
              </w:rPr>
            </w:pPr>
          </w:p>
        </w:tc>
        <w:tc>
          <w:tcPr>
            <w:tcW w:w="208" w:type="pct"/>
            <w:vAlign w:val="center"/>
          </w:tcPr>
          <w:p w14:paraId="687357DA">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3A1EC242">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65B4E91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067E760">
            <w:pPr>
              <w:autoSpaceDE w:val="0"/>
              <w:autoSpaceDN w:val="0"/>
              <w:adjustRightInd w:val="0"/>
              <w:snapToGrid w:val="0"/>
              <w:jc w:val="center"/>
              <w:rPr>
                <w:rFonts w:ascii="Times New Roman"/>
                <w:sz w:val="21"/>
                <w:szCs w:val="21"/>
              </w:rPr>
            </w:pPr>
            <w:r>
              <w:rPr>
                <w:rFonts w:ascii="Times New Roman"/>
                <w:sz w:val="21"/>
                <w:szCs w:val="21"/>
              </w:rPr>
              <w:t>154.15</w:t>
            </w:r>
          </w:p>
        </w:tc>
        <w:tc>
          <w:tcPr>
            <w:tcW w:w="358" w:type="pct"/>
            <w:vAlign w:val="center"/>
          </w:tcPr>
          <w:p w14:paraId="7F4DFE2D">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76C6C997">
            <w:pPr>
              <w:autoSpaceDE w:val="0"/>
              <w:autoSpaceDN w:val="0"/>
              <w:adjustRightInd w:val="0"/>
              <w:snapToGrid w:val="0"/>
              <w:jc w:val="center"/>
              <w:rPr>
                <w:rFonts w:ascii="Times New Roman"/>
                <w:sz w:val="21"/>
                <w:szCs w:val="21"/>
              </w:rPr>
            </w:pPr>
          </w:p>
        </w:tc>
        <w:tc>
          <w:tcPr>
            <w:tcW w:w="551" w:type="pct"/>
            <w:vAlign w:val="center"/>
          </w:tcPr>
          <w:p w14:paraId="1D6D136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7319D6D">
            <w:pPr>
              <w:autoSpaceDE w:val="0"/>
              <w:autoSpaceDN w:val="0"/>
              <w:adjustRightInd w:val="0"/>
              <w:snapToGrid w:val="0"/>
              <w:jc w:val="center"/>
              <w:rPr>
                <w:rFonts w:ascii="Times New Roman"/>
                <w:sz w:val="21"/>
                <w:szCs w:val="21"/>
              </w:rPr>
            </w:pPr>
          </w:p>
        </w:tc>
        <w:tc>
          <w:tcPr>
            <w:tcW w:w="287" w:type="pct"/>
            <w:vMerge w:val="continue"/>
            <w:vAlign w:val="center"/>
          </w:tcPr>
          <w:p w14:paraId="59E51330">
            <w:pPr>
              <w:autoSpaceDE w:val="0"/>
              <w:autoSpaceDN w:val="0"/>
              <w:adjustRightInd w:val="0"/>
              <w:snapToGrid w:val="0"/>
              <w:jc w:val="center"/>
              <w:rPr>
                <w:rFonts w:ascii="Times New Roman"/>
                <w:sz w:val="21"/>
                <w:szCs w:val="21"/>
              </w:rPr>
            </w:pPr>
          </w:p>
        </w:tc>
        <w:tc>
          <w:tcPr>
            <w:tcW w:w="434" w:type="pct"/>
            <w:vMerge w:val="continue"/>
            <w:vAlign w:val="center"/>
          </w:tcPr>
          <w:p w14:paraId="26B70816">
            <w:pPr>
              <w:autoSpaceDE w:val="0"/>
              <w:autoSpaceDN w:val="0"/>
              <w:adjustRightInd w:val="0"/>
              <w:snapToGrid w:val="0"/>
              <w:jc w:val="center"/>
              <w:rPr>
                <w:rFonts w:ascii="Times New Roman"/>
                <w:sz w:val="21"/>
                <w:szCs w:val="21"/>
              </w:rPr>
            </w:pPr>
          </w:p>
        </w:tc>
      </w:tr>
      <w:tr w14:paraId="58D1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9D06DA8">
            <w:pPr>
              <w:autoSpaceDE w:val="0"/>
              <w:autoSpaceDN w:val="0"/>
              <w:adjustRightInd w:val="0"/>
              <w:snapToGrid w:val="0"/>
              <w:jc w:val="center"/>
              <w:rPr>
                <w:rFonts w:ascii="Times New Roman"/>
                <w:sz w:val="21"/>
                <w:szCs w:val="21"/>
              </w:rPr>
            </w:pPr>
          </w:p>
        </w:tc>
        <w:tc>
          <w:tcPr>
            <w:tcW w:w="697" w:type="pct"/>
            <w:vAlign w:val="center"/>
          </w:tcPr>
          <w:p w14:paraId="226E513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8E95D47">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CA8E6B0">
            <w:pPr>
              <w:autoSpaceDE w:val="0"/>
              <w:autoSpaceDN w:val="0"/>
              <w:adjustRightInd w:val="0"/>
              <w:snapToGrid w:val="0"/>
              <w:jc w:val="center"/>
              <w:rPr>
                <w:rFonts w:ascii="Times New Roman"/>
                <w:sz w:val="21"/>
                <w:szCs w:val="21"/>
              </w:rPr>
            </w:pPr>
          </w:p>
        </w:tc>
        <w:tc>
          <w:tcPr>
            <w:tcW w:w="208" w:type="pct"/>
            <w:vAlign w:val="center"/>
          </w:tcPr>
          <w:p w14:paraId="25C37E56">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51B939EF">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4EC20EB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26E6F2B">
            <w:pPr>
              <w:autoSpaceDE w:val="0"/>
              <w:autoSpaceDN w:val="0"/>
              <w:adjustRightInd w:val="0"/>
              <w:snapToGrid w:val="0"/>
              <w:jc w:val="center"/>
              <w:rPr>
                <w:rFonts w:ascii="Times New Roman"/>
                <w:sz w:val="21"/>
                <w:szCs w:val="21"/>
              </w:rPr>
            </w:pPr>
            <w:r>
              <w:rPr>
                <w:rFonts w:ascii="Times New Roman"/>
                <w:sz w:val="21"/>
                <w:szCs w:val="21"/>
              </w:rPr>
              <w:t>154.15</w:t>
            </w:r>
          </w:p>
        </w:tc>
        <w:tc>
          <w:tcPr>
            <w:tcW w:w="358" w:type="pct"/>
            <w:vAlign w:val="center"/>
          </w:tcPr>
          <w:p w14:paraId="6754A7CA">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738E2661">
            <w:pPr>
              <w:autoSpaceDE w:val="0"/>
              <w:autoSpaceDN w:val="0"/>
              <w:adjustRightInd w:val="0"/>
              <w:snapToGrid w:val="0"/>
              <w:jc w:val="center"/>
              <w:rPr>
                <w:rFonts w:ascii="Times New Roman"/>
                <w:sz w:val="21"/>
                <w:szCs w:val="21"/>
              </w:rPr>
            </w:pPr>
          </w:p>
        </w:tc>
        <w:tc>
          <w:tcPr>
            <w:tcW w:w="551" w:type="pct"/>
            <w:vAlign w:val="center"/>
          </w:tcPr>
          <w:p w14:paraId="098303E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35CF35B">
            <w:pPr>
              <w:autoSpaceDE w:val="0"/>
              <w:autoSpaceDN w:val="0"/>
              <w:adjustRightInd w:val="0"/>
              <w:snapToGrid w:val="0"/>
              <w:jc w:val="center"/>
              <w:rPr>
                <w:rFonts w:ascii="Times New Roman"/>
                <w:sz w:val="21"/>
                <w:szCs w:val="21"/>
              </w:rPr>
            </w:pPr>
          </w:p>
        </w:tc>
        <w:tc>
          <w:tcPr>
            <w:tcW w:w="287" w:type="pct"/>
            <w:vMerge w:val="continue"/>
            <w:vAlign w:val="center"/>
          </w:tcPr>
          <w:p w14:paraId="3E4A54EC">
            <w:pPr>
              <w:autoSpaceDE w:val="0"/>
              <w:autoSpaceDN w:val="0"/>
              <w:adjustRightInd w:val="0"/>
              <w:snapToGrid w:val="0"/>
              <w:jc w:val="center"/>
              <w:rPr>
                <w:rFonts w:ascii="Times New Roman"/>
                <w:sz w:val="21"/>
                <w:szCs w:val="21"/>
              </w:rPr>
            </w:pPr>
          </w:p>
        </w:tc>
        <w:tc>
          <w:tcPr>
            <w:tcW w:w="434" w:type="pct"/>
            <w:vMerge w:val="continue"/>
            <w:vAlign w:val="center"/>
          </w:tcPr>
          <w:p w14:paraId="55E9272C">
            <w:pPr>
              <w:autoSpaceDE w:val="0"/>
              <w:autoSpaceDN w:val="0"/>
              <w:adjustRightInd w:val="0"/>
              <w:snapToGrid w:val="0"/>
              <w:jc w:val="center"/>
              <w:rPr>
                <w:rFonts w:ascii="Times New Roman"/>
                <w:sz w:val="21"/>
                <w:szCs w:val="21"/>
              </w:rPr>
            </w:pPr>
          </w:p>
        </w:tc>
      </w:tr>
      <w:tr w14:paraId="0454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1967A7A">
            <w:pPr>
              <w:autoSpaceDE w:val="0"/>
              <w:autoSpaceDN w:val="0"/>
              <w:adjustRightInd w:val="0"/>
              <w:snapToGrid w:val="0"/>
              <w:jc w:val="center"/>
              <w:rPr>
                <w:rFonts w:ascii="Times New Roman"/>
                <w:sz w:val="21"/>
                <w:szCs w:val="21"/>
              </w:rPr>
            </w:pPr>
          </w:p>
        </w:tc>
        <w:tc>
          <w:tcPr>
            <w:tcW w:w="697" w:type="pct"/>
            <w:vAlign w:val="center"/>
          </w:tcPr>
          <w:p w14:paraId="751C6712">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4333627">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A9984DE">
            <w:pPr>
              <w:autoSpaceDE w:val="0"/>
              <w:autoSpaceDN w:val="0"/>
              <w:adjustRightInd w:val="0"/>
              <w:snapToGrid w:val="0"/>
              <w:jc w:val="center"/>
              <w:rPr>
                <w:rFonts w:ascii="Times New Roman"/>
                <w:sz w:val="21"/>
                <w:szCs w:val="21"/>
              </w:rPr>
            </w:pPr>
          </w:p>
        </w:tc>
        <w:tc>
          <w:tcPr>
            <w:tcW w:w="208" w:type="pct"/>
            <w:vAlign w:val="center"/>
          </w:tcPr>
          <w:p w14:paraId="41BC3546">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325029C5">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34C6980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C492DB4">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486D4487">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686FCAC5">
            <w:pPr>
              <w:autoSpaceDE w:val="0"/>
              <w:autoSpaceDN w:val="0"/>
              <w:adjustRightInd w:val="0"/>
              <w:snapToGrid w:val="0"/>
              <w:jc w:val="center"/>
              <w:rPr>
                <w:rFonts w:ascii="Times New Roman"/>
                <w:sz w:val="21"/>
                <w:szCs w:val="21"/>
              </w:rPr>
            </w:pPr>
          </w:p>
        </w:tc>
        <w:tc>
          <w:tcPr>
            <w:tcW w:w="551" w:type="pct"/>
            <w:vAlign w:val="center"/>
          </w:tcPr>
          <w:p w14:paraId="74AC7C3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B3BDCBF">
            <w:pPr>
              <w:autoSpaceDE w:val="0"/>
              <w:autoSpaceDN w:val="0"/>
              <w:adjustRightInd w:val="0"/>
              <w:snapToGrid w:val="0"/>
              <w:jc w:val="center"/>
              <w:rPr>
                <w:rFonts w:ascii="Times New Roman"/>
                <w:sz w:val="21"/>
                <w:szCs w:val="21"/>
              </w:rPr>
            </w:pPr>
          </w:p>
        </w:tc>
        <w:tc>
          <w:tcPr>
            <w:tcW w:w="287" w:type="pct"/>
            <w:vMerge w:val="continue"/>
            <w:vAlign w:val="center"/>
          </w:tcPr>
          <w:p w14:paraId="40BEAACD">
            <w:pPr>
              <w:autoSpaceDE w:val="0"/>
              <w:autoSpaceDN w:val="0"/>
              <w:adjustRightInd w:val="0"/>
              <w:snapToGrid w:val="0"/>
              <w:jc w:val="center"/>
              <w:rPr>
                <w:rFonts w:ascii="Times New Roman"/>
                <w:sz w:val="21"/>
                <w:szCs w:val="21"/>
              </w:rPr>
            </w:pPr>
          </w:p>
        </w:tc>
        <w:tc>
          <w:tcPr>
            <w:tcW w:w="434" w:type="pct"/>
            <w:vMerge w:val="continue"/>
            <w:vAlign w:val="center"/>
          </w:tcPr>
          <w:p w14:paraId="554C6124">
            <w:pPr>
              <w:autoSpaceDE w:val="0"/>
              <w:autoSpaceDN w:val="0"/>
              <w:adjustRightInd w:val="0"/>
              <w:snapToGrid w:val="0"/>
              <w:jc w:val="center"/>
              <w:rPr>
                <w:rFonts w:ascii="Times New Roman"/>
                <w:sz w:val="21"/>
                <w:szCs w:val="21"/>
              </w:rPr>
            </w:pPr>
          </w:p>
        </w:tc>
      </w:tr>
      <w:tr w14:paraId="2D8D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B707A87">
            <w:pPr>
              <w:autoSpaceDE w:val="0"/>
              <w:autoSpaceDN w:val="0"/>
              <w:adjustRightInd w:val="0"/>
              <w:snapToGrid w:val="0"/>
              <w:jc w:val="center"/>
              <w:rPr>
                <w:rFonts w:ascii="Times New Roman"/>
                <w:sz w:val="21"/>
                <w:szCs w:val="21"/>
              </w:rPr>
            </w:pPr>
          </w:p>
        </w:tc>
        <w:tc>
          <w:tcPr>
            <w:tcW w:w="697" w:type="pct"/>
            <w:vAlign w:val="center"/>
          </w:tcPr>
          <w:p w14:paraId="4C0A05BF">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CDBC0D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46990C6">
            <w:pPr>
              <w:autoSpaceDE w:val="0"/>
              <w:autoSpaceDN w:val="0"/>
              <w:adjustRightInd w:val="0"/>
              <w:snapToGrid w:val="0"/>
              <w:jc w:val="center"/>
              <w:rPr>
                <w:rFonts w:ascii="Times New Roman"/>
                <w:sz w:val="21"/>
                <w:szCs w:val="21"/>
              </w:rPr>
            </w:pPr>
          </w:p>
        </w:tc>
        <w:tc>
          <w:tcPr>
            <w:tcW w:w="208" w:type="pct"/>
            <w:vAlign w:val="center"/>
          </w:tcPr>
          <w:p w14:paraId="0C2AFA8D">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2FE6AE51">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50CE1EE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64E8EB3">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7B859781">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34B4750C">
            <w:pPr>
              <w:autoSpaceDE w:val="0"/>
              <w:autoSpaceDN w:val="0"/>
              <w:adjustRightInd w:val="0"/>
              <w:snapToGrid w:val="0"/>
              <w:jc w:val="center"/>
              <w:rPr>
                <w:rFonts w:ascii="Times New Roman"/>
                <w:sz w:val="21"/>
                <w:szCs w:val="21"/>
              </w:rPr>
            </w:pPr>
          </w:p>
        </w:tc>
        <w:tc>
          <w:tcPr>
            <w:tcW w:w="551" w:type="pct"/>
            <w:vAlign w:val="center"/>
          </w:tcPr>
          <w:p w14:paraId="6F2B483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2999D47">
            <w:pPr>
              <w:autoSpaceDE w:val="0"/>
              <w:autoSpaceDN w:val="0"/>
              <w:adjustRightInd w:val="0"/>
              <w:snapToGrid w:val="0"/>
              <w:jc w:val="center"/>
              <w:rPr>
                <w:rFonts w:ascii="Times New Roman"/>
                <w:sz w:val="21"/>
                <w:szCs w:val="21"/>
              </w:rPr>
            </w:pPr>
          </w:p>
        </w:tc>
        <w:tc>
          <w:tcPr>
            <w:tcW w:w="287" w:type="pct"/>
            <w:vMerge w:val="continue"/>
            <w:vAlign w:val="center"/>
          </w:tcPr>
          <w:p w14:paraId="3DADDDC4">
            <w:pPr>
              <w:autoSpaceDE w:val="0"/>
              <w:autoSpaceDN w:val="0"/>
              <w:adjustRightInd w:val="0"/>
              <w:snapToGrid w:val="0"/>
              <w:jc w:val="center"/>
              <w:rPr>
                <w:rFonts w:ascii="Times New Roman"/>
                <w:sz w:val="21"/>
                <w:szCs w:val="21"/>
              </w:rPr>
            </w:pPr>
          </w:p>
        </w:tc>
        <w:tc>
          <w:tcPr>
            <w:tcW w:w="434" w:type="pct"/>
            <w:vMerge w:val="continue"/>
            <w:vAlign w:val="center"/>
          </w:tcPr>
          <w:p w14:paraId="1A124F62">
            <w:pPr>
              <w:autoSpaceDE w:val="0"/>
              <w:autoSpaceDN w:val="0"/>
              <w:adjustRightInd w:val="0"/>
              <w:snapToGrid w:val="0"/>
              <w:jc w:val="center"/>
              <w:rPr>
                <w:rFonts w:ascii="Times New Roman"/>
                <w:sz w:val="21"/>
                <w:szCs w:val="21"/>
              </w:rPr>
            </w:pPr>
          </w:p>
        </w:tc>
      </w:tr>
      <w:tr w14:paraId="5133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649FF45">
            <w:pPr>
              <w:autoSpaceDE w:val="0"/>
              <w:autoSpaceDN w:val="0"/>
              <w:adjustRightInd w:val="0"/>
              <w:snapToGrid w:val="0"/>
              <w:jc w:val="center"/>
              <w:rPr>
                <w:rFonts w:ascii="Times New Roman"/>
                <w:sz w:val="21"/>
                <w:szCs w:val="21"/>
              </w:rPr>
            </w:pPr>
          </w:p>
        </w:tc>
        <w:tc>
          <w:tcPr>
            <w:tcW w:w="697" w:type="pct"/>
            <w:vAlign w:val="center"/>
          </w:tcPr>
          <w:p w14:paraId="7E91B01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248261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7952D9D">
            <w:pPr>
              <w:autoSpaceDE w:val="0"/>
              <w:autoSpaceDN w:val="0"/>
              <w:adjustRightInd w:val="0"/>
              <w:snapToGrid w:val="0"/>
              <w:jc w:val="center"/>
              <w:rPr>
                <w:rFonts w:ascii="Times New Roman"/>
                <w:sz w:val="21"/>
                <w:szCs w:val="21"/>
              </w:rPr>
            </w:pPr>
          </w:p>
        </w:tc>
        <w:tc>
          <w:tcPr>
            <w:tcW w:w="208" w:type="pct"/>
            <w:vAlign w:val="center"/>
          </w:tcPr>
          <w:p w14:paraId="24792F77">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533A6738">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1F9043E5">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7015DAE">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0EF3E5DF">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1754A970">
            <w:pPr>
              <w:autoSpaceDE w:val="0"/>
              <w:autoSpaceDN w:val="0"/>
              <w:adjustRightInd w:val="0"/>
              <w:snapToGrid w:val="0"/>
              <w:jc w:val="center"/>
              <w:rPr>
                <w:rFonts w:ascii="Times New Roman"/>
                <w:sz w:val="21"/>
                <w:szCs w:val="21"/>
              </w:rPr>
            </w:pPr>
          </w:p>
        </w:tc>
        <w:tc>
          <w:tcPr>
            <w:tcW w:w="551" w:type="pct"/>
            <w:vAlign w:val="center"/>
          </w:tcPr>
          <w:p w14:paraId="38512E2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2668595">
            <w:pPr>
              <w:autoSpaceDE w:val="0"/>
              <w:autoSpaceDN w:val="0"/>
              <w:adjustRightInd w:val="0"/>
              <w:snapToGrid w:val="0"/>
              <w:jc w:val="center"/>
              <w:rPr>
                <w:rFonts w:ascii="Times New Roman"/>
                <w:sz w:val="21"/>
                <w:szCs w:val="21"/>
              </w:rPr>
            </w:pPr>
          </w:p>
        </w:tc>
        <w:tc>
          <w:tcPr>
            <w:tcW w:w="287" w:type="pct"/>
            <w:vMerge w:val="continue"/>
            <w:vAlign w:val="center"/>
          </w:tcPr>
          <w:p w14:paraId="5302B8E8">
            <w:pPr>
              <w:autoSpaceDE w:val="0"/>
              <w:autoSpaceDN w:val="0"/>
              <w:adjustRightInd w:val="0"/>
              <w:snapToGrid w:val="0"/>
              <w:jc w:val="center"/>
              <w:rPr>
                <w:rFonts w:ascii="Times New Roman"/>
                <w:sz w:val="21"/>
                <w:szCs w:val="21"/>
              </w:rPr>
            </w:pPr>
          </w:p>
        </w:tc>
        <w:tc>
          <w:tcPr>
            <w:tcW w:w="434" w:type="pct"/>
            <w:vMerge w:val="continue"/>
            <w:vAlign w:val="center"/>
          </w:tcPr>
          <w:p w14:paraId="32B95A96">
            <w:pPr>
              <w:autoSpaceDE w:val="0"/>
              <w:autoSpaceDN w:val="0"/>
              <w:adjustRightInd w:val="0"/>
              <w:snapToGrid w:val="0"/>
              <w:jc w:val="center"/>
              <w:rPr>
                <w:rFonts w:ascii="Times New Roman"/>
                <w:sz w:val="21"/>
                <w:szCs w:val="21"/>
              </w:rPr>
            </w:pPr>
          </w:p>
        </w:tc>
      </w:tr>
      <w:tr w14:paraId="64E5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B3A9080">
            <w:pPr>
              <w:autoSpaceDE w:val="0"/>
              <w:autoSpaceDN w:val="0"/>
              <w:adjustRightInd w:val="0"/>
              <w:snapToGrid w:val="0"/>
              <w:jc w:val="center"/>
              <w:rPr>
                <w:rFonts w:ascii="Times New Roman"/>
                <w:sz w:val="21"/>
                <w:szCs w:val="21"/>
              </w:rPr>
            </w:pPr>
          </w:p>
        </w:tc>
        <w:tc>
          <w:tcPr>
            <w:tcW w:w="697" w:type="pct"/>
            <w:vAlign w:val="center"/>
          </w:tcPr>
          <w:p w14:paraId="23DD018D">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580E36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E75EDB0">
            <w:pPr>
              <w:autoSpaceDE w:val="0"/>
              <w:autoSpaceDN w:val="0"/>
              <w:adjustRightInd w:val="0"/>
              <w:snapToGrid w:val="0"/>
              <w:jc w:val="center"/>
              <w:rPr>
                <w:rFonts w:ascii="Times New Roman"/>
                <w:sz w:val="21"/>
                <w:szCs w:val="21"/>
              </w:rPr>
            </w:pPr>
          </w:p>
        </w:tc>
        <w:tc>
          <w:tcPr>
            <w:tcW w:w="208" w:type="pct"/>
            <w:vAlign w:val="center"/>
          </w:tcPr>
          <w:p w14:paraId="52A718FF">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7D30894E">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238730D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1E82AA0">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1123D00F">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7B61A284">
            <w:pPr>
              <w:autoSpaceDE w:val="0"/>
              <w:autoSpaceDN w:val="0"/>
              <w:adjustRightInd w:val="0"/>
              <w:snapToGrid w:val="0"/>
              <w:jc w:val="center"/>
              <w:rPr>
                <w:rFonts w:ascii="Times New Roman"/>
                <w:sz w:val="21"/>
                <w:szCs w:val="21"/>
              </w:rPr>
            </w:pPr>
          </w:p>
        </w:tc>
        <w:tc>
          <w:tcPr>
            <w:tcW w:w="551" w:type="pct"/>
            <w:vAlign w:val="center"/>
          </w:tcPr>
          <w:p w14:paraId="460267A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AEDE4AB">
            <w:pPr>
              <w:autoSpaceDE w:val="0"/>
              <w:autoSpaceDN w:val="0"/>
              <w:adjustRightInd w:val="0"/>
              <w:snapToGrid w:val="0"/>
              <w:jc w:val="center"/>
              <w:rPr>
                <w:rFonts w:ascii="Times New Roman"/>
                <w:sz w:val="21"/>
                <w:szCs w:val="21"/>
              </w:rPr>
            </w:pPr>
          </w:p>
        </w:tc>
        <w:tc>
          <w:tcPr>
            <w:tcW w:w="287" w:type="pct"/>
            <w:vMerge w:val="continue"/>
            <w:vAlign w:val="center"/>
          </w:tcPr>
          <w:p w14:paraId="42696535">
            <w:pPr>
              <w:autoSpaceDE w:val="0"/>
              <w:autoSpaceDN w:val="0"/>
              <w:adjustRightInd w:val="0"/>
              <w:snapToGrid w:val="0"/>
              <w:jc w:val="center"/>
              <w:rPr>
                <w:rFonts w:ascii="Times New Roman"/>
                <w:sz w:val="21"/>
                <w:szCs w:val="21"/>
              </w:rPr>
            </w:pPr>
          </w:p>
        </w:tc>
        <w:tc>
          <w:tcPr>
            <w:tcW w:w="434" w:type="pct"/>
            <w:vMerge w:val="continue"/>
            <w:vAlign w:val="center"/>
          </w:tcPr>
          <w:p w14:paraId="546EA995">
            <w:pPr>
              <w:autoSpaceDE w:val="0"/>
              <w:autoSpaceDN w:val="0"/>
              <w:adjustRightInd w:val="0"/>
              <w:snapToGrid w:val="0"/>
              <w:jc w:val="center"/>
              <w:rPr>
                <w:rFonts w:ascii="Times New Roman"/>
                <w:sz w:val="21"/>
                <w:szCs w:val="21"/>
              </w:rPr>
            </w:pPr>
          </w:p>
        </w:tc>
      </w:tr>
      <w:tr w14:paraId="7C46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3F1AA73">
            <w:pPr>
              <w:autoSpaceDE w:val="0"/>
              <w:autoSpaceDN w:val="0"/>
              <w:adjustRightInd w:val="0"/>
              <w:snapToGrid w:val="0"/>
              <w:jc w:val="center"/>
              <w:rPr>
                <w:rFonts w:ascii="Times New Roman"/>
                <w:sz w:val="21"/>
                <w:szCs w:val="21"/>
              </w:rPr>
            </w:pPr>
          </w:p>
        </w:tc>
        <w:tc>
          <w:tcPr>
            <w:tcW w:w="697" w:type="pct"/>
            <w:vAlign w:val="center"/>
          </w:tcPr>
          <w:p w14:paraId="704176F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234BCE3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1199C28">
            <w:pPr>
              <w:autoSpaceDE w:val="0"/>
              <w:autoSpaceDN w:val="0"/>
              <w:adjustRightInd w:val="0"/>
              <w:snapToGrid w:val="0"/>
              <w:jc w:val="center"/>
              <w:rPr>
                <w:rFonts w:ascii="Times New Roman"/>
                <w:sz w:val="21"/>
                <w:szCs w:val="21"/>
              </w:rPr>
            </w:pPr>
          </w:p>
        </w:tc>
        <w:tc>
          <w:tcPr>
            <w:tcW w:w="208" w:type="pct"/>
            <w:vAlign w:val="center"/>
          </w:tcPr>
          <w:p w14:paraId="23CB9C15">
            <w:pPr>
              <w:autoSpaceDE w:val="0"/>
              <w:autoSpaceDN w:val="0"/>
              <w:adjustRightInd w:val="0"/>
              <w:snapToGrid w:val="0"/>
              <w:jc w:val="center"/>
              <w:rPr>
                <w:rFonts w:ascii="Times New Roman"/>
                <w:sz w:val="21"/>
                <w:szCs w:val="21"/>
              </w:rPr>
            </w:pPr>
            <w:r>
              <w:rPr>
                <w:rFonts w:ascii="Times New Roman"/>
                <w:sz w:val="21"/>
                <w:szCs w:val="21"/>
              </w:rPr>
              <w:t>335</w:t>
            </w:r>
          </w:p>
        </w:tc>
        <w:tc>
          <w:tcPr>
            <w:tcW w:w="201" w:type="pct"/>
            <w:vAlign w:val="center"/>
          </w:tcPr>
          <w:p w14:paraId="792F347E">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6D43E8B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E11E39F">
            <w:pPr>
              <w:autoSpaceDE w:val="0"/>
              <w:autoSpaceDN w:val="0"/>
              <w:adjustRightInd w:val="0"/>
              <w:snapToGrid w:val="0"/>
              <w:jc w:val="center"/>
              <w:rPr>
                <w:rFonts w:ascii="Times New Roman"/>
                <w:sz w:val="21"/>
                <w:szCs w:val="21"/>
              </w:rPr>
            </w:pPr>
            <w:r>
              <w:rPr>
                <w:rFonts w:ascii="Times New Roman"/>
                <w:sz w:val="21"/>
                <w:szCs w:val="21"/>
              </w:rPr>
              <w:t>153.52</w:t>
            </w:r>
          </w:p>
        </w:tc>
        <w:tc>
          <w:tcPr>
            <w:tcW w:w="358" w:type="pct"/>
            <w:vAlign w:val="center"/>
          </w:tcPr>
          <w:p w14:paraId="40DCC55F">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747E7BC2">
            <w:pPr>
              <w:autoSpaceDE w:val="0"/>
              <w:autoSpaceDN w:val="0"/>
              <w:adjustRightInd w:val="0"/>
              <w:snapToGrid w:val="0"/>
              <w:jc w:val="center"/>
              <w:rPr>
                <w:rFonts w:ascii="Times New Roman"/>
                <w:sz w:val="21"/>
                <w:szCs w:val="21"/>
              </w:rPr>
            </w:pPr>
          </w:p>
        </w:tc>
        <w:tc>
          <w:tcPr>
            <w:tcW w:w="551" w:type="pct"/>
            <w:vAlign w:val="center"/>
          </w:tcPr>
          <w:p w14:paraId="146A53F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55A8E1E">
            <w:pPr>
              <w:autoSpaceDE w:val="0"/>
              <w:autoSpaceDN w:val="0"/>
              <w:adjustRightInd w:val="0"/>
              <w:snapToGrid w:val="0"/>
              <w:jc w:val="center"/>
              <w:rPr>
                <w:rFonts w:ascii="Times New Roman"/>
                <w:sz w:val="21"/>
                <w:szCs w:val="21"/>
              </w:rPr>
            </w:pPr>
          </w:p>
        </w:tc>
        <w:tc>
          <w:tcPr>
            <w:tcW w:w="287" w:type="pct"/>
            <w:vMerge w:val="continue"/>
            <w:vAlign w:val="center"/>
          </w:tcPr>
          <w:p w14:paraId="45169100">
            <w:pPr>
              <w:autoSpaceDE w:val="0"/>
              <w:autoSpaceDN w:val="0"/>
              <w:adjustRightInd w:val="0"/>
              <w:snapToGrid w:val="0"/>
              <w:jc w:val="center"/>
              <w:rPr>
                <w:rFonts w:ascii="Times New Roman"/>
                <w:sz w:val="21"/>
                <w:szCs w:val="21"/>
              </w:rPr>
            </w:pPr>
          </w:p>
        </w:tc>
        <w:tc>
          <w:tcPr>
            <w:tcW w:w="434" w:type="pct"/>
            <w:vMerge w:val="continue"/>
            <w:vAlign w:val="center"/>
          </w:tcPr>
          <w:p w14:paraId="3D04686F">
            <w:pPr>
              <w:autoSpaceDE w:val="0"/>
              <w:autoSpaceDN w:val="0"/>
              <w:adjustRightInd w:val="0"/>
              <w:snapToGrid w:val="0"/>
              <w:jc w:val="center"/>
              <w:rPr>
                <w:rFonts w:ascii="Times New Roman"/>
                <w:sz w:val="21"/>
                <w:szCs w:val="21"/>
              </w:rPr>
            </w:pPr>
          </w:p>
        </w:tc>
      </w:tr>
      <w:tr w14:paraId="0DE0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F436BCD">
            <w:pPr>
              <w:autoSpaceDE w:val="0"/>
              <w:autoSpaceDN w:val="0"/>
              <w:adjustRightInd w:val="0"/>
              <w:snapToGrid w:val="0"/>
              <w:jc w:val="center"/>
              <w:rPr>
                <w:rFonts w:ascii="Times New Roman"/>
                <w:sz w:val="21"/>
                <w:szCs w:val="21"/>
              </w:rPr>
            </w:pPr>
          </w:p>
        </w:tc>
        <w:tc>
          <w:tcPr>
            <w:tcW w:w="697" w:type="pct"/>
            <w:vAlign w:val="center"/>
          </w:tcPr>
          <w:p w14:paraId="5A4366AE">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1FE2E2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DA77093">
            <w:pPr>
              <w:autoSpaceDE w:val="0"/>
              <w:autoSpaceDN w:val="0"/>
              <w:adjustRightInd w:val="0"/>
              <w:snapToGrid w:val="0"/>
              <w:jc w:val="center"/>
              <w:rPr>
                <w:rFonts w:ascii="Times New Roman"/>
                <w:sz w:val="21"/>
                <w:szCs w:val="21"/>
              </w:rPr>
            </w:pPr>
          </w:p>
        </w:tc>
        <w:tc>
          <w:tcPr>
            <w:tcW w:w="208" w:type="pct"/>
            <w:vAlign w:val="center"/>
          </w:tcPr>
          <w:p w14:paraId="5B4EA611">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7CA87874">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05C4A45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E5D75E9">
            <w:pPr>
              <w:autoSpaceDE w:val="0"/>
              <w:autoSpaceDN w:val="0"/>
              <w:adjustRightInd w:val="0"/>
              <w:snapToGrid w:val="0"/>
              <w:jc w:val="center"/>
              <w:rPr>
                <w:rFonts w:ascii="Times New Roman"/>
                <w:sz w:val="21"/>
                <w:szCs w:val="21"/>
              </w:rPr>
            </w:pPr>
            <w:r>
              <w:rPr>
                <w:rFonts w:ascii="Times New Roman"/>
                <w:sz w:val="21"/>
                <w:szCs w:val="21"/>
              </w:rPr>
              <w:t>159.15</w:t>
            </w:r>
          </w:p>
        </w:tc>
        <w:tc>
          <w:tcPr>
            <w:tcW w:w="358" w:type="pct"/>
            <w:vAlign w:val="center"/>
          </w:tcPr>
          <w:p w14:paraId="378612E4">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331DB2FD">
            <w:pPr>
              <w:autoSpaceDE w:val="0"/>
              <w:autoSpaceDN w:val="0"/>
              <w:adjustRightInd w:val="0"/>
              <w:snapToGrid w:val="0"/>
              <w:jc w:val="center"/>
              <w:rPr>
                <w:rFonts w:ascii="Times New Roman"/>
                <w:sz w:val="21"/>
                <w:szCs w:val="21"/>
              </w:rPr>
            </w:pPr>
          </w:p>
        </w:tc>
        <w:tc>
          <w:tcPr>
            <w:tcW w:w="551" w:type="pct"/>
            <w:vAlign w:val="center"/>
          </w:tcPr>
          <w:p w14:paraId="5BA5A1C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6F78BF1">
            <w:pPr>
              <w:autoSpaceDE w:val="0"/>
              <w:autoSpaceDN w:val="0"/>
              <w:adjustRightInd w:val="0"/>
              <w:snapToGrid w:val="0"/>
              <w:jc w:val="center"/>
              <w:rPr>
                <w:rFonts w:ascii="Times New Roman"/>
                <w:sz w:val="21"/>
                <w:szCs w:val="21"/>
              </w:rPr>
            </w:pPr>
          </w:p>
        </w:tc>
        <w:tc>
          <w:tcPr>
            <w:tcW w:w="287" w:type="pct"/>
            <w:vMerge w:val="continue"/>
            <w:vAlign w:val="center"/>
          </w:tcPr>
          <w:p w14:paraId="5EF68445">
            <w:pPr>
              <w:autoSpaceDE w:val="0"/>
              <w:autoSpaceDN w:val="0"/>
              <w:adjustRightInd w:val="0"/>
              <w:snapToGrid w:val="0"/>
              <w:jc w:val="center"/>
              <w:rPr>
                <w:rFonts w:ascii="Times New Roman"/>
                <w:sz w:val="21"/>
                <w:szCs w:val="21"/>
              </w:rPr>
            </w:pPr>
          </w:p>
        </w:tc>
        <w:tc>
          <w:tcPr>
            <w:tcW w:w="434" w:type="pct"/>
            <w:vMerge w:val="continue"/>
            <w:vAlign w:val="center"/>
          </w:tcPr>
          <w:p w14:paraId="5100E85F">
            <w:pPr>
              <w:autoSpaceDE w:val="0"/>
              <w:autoSpaceDN w:val="0"/>
              <w:adjustRightInd w:val="0"/>
              <w:snapToGrid w:val="0"/>
              <w:jc w:val="center"/>
              <w:rPr>
                <w:rFonts w:ascii="Times New Roman"/>
                <w:sz w:val="21"/>
                <w:szCs w:val="21"/>
              </w:rPr>
            </w:pPr>
          </w:p>
        </w:tc>
      </w:tr>
      <w:tr w14:paraId="0482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6E49B2B">
            <w:pPr>
              <w:autoSpaceDE w:val="0"/>
              <w:autoSpaceDN w:val="0"/>
              <w:adjustRightInd w:val="0"/>
              <w:snapToGrid w:val="0"/>
              <w:jc w:val="center"/>
              <w:rPr>
                <w:rFonts w:ascii="Times New Roman"/>
                <w:sz w:val="21"/>
                <w:szCs w:val="21"/>
              </w:rPr>
            </w:pPr>
          </w:p>
        </w:tc>
        <w:tc>
          <w:tcPr>
            <w:tcW w:w="697" w:type="pct"/>
            <w:vAlign w:val="center"/>
          </w:tcPr>
          <w:p w14:paraId="40C5CB1B">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2DE6A59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665F29E">
            <w:pPr>
              <w:autoSpaceDE w:val="0"/>
              <w:autoSpaceDN w:val="0"/>
              <w:adjustRightInd w:val="0"/>
              <w:snapToGrid w:val="0"/>
              <w:jc w:val="center"/>
              <w:rPr>
                <w:rFonts w:ascii="Times New Roman"/>
                <w:sz w:val="21"/>
                <w:szCs w:val="21"/>
              </w:rPr>
            </w:pPr>
          </w:p>
        </w:tc>
        <w:tc>
          <w:tcPr>
            <w:tcW w:w="208" w:type="pct"/>
            <w:vAlign w:val="center"/>
          </w:tcPr>
          <w:p w14:paraId="48379316">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4A40CBB2">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12128BC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7058FA4">
            <w:pPr>
              <w:autoSpaceDE w:val="0"/>
              <w:autoSpaceDN w:val="0"/>
              <w:adjustRightInd w:val="0"/>
              <w:snapToGrid w:val="0"/>
              <w:jc w:val="center"/>
              <w:rPr>
                <w:rFonts w:ascii="Times New Roman"/>
                <w:sz w:val="21"/>
                <w:szCs w:val="21"/>
              </w:rPr>
            </w:pPr>
            <w:r>
              <w:rPr>
                <w:rFonts w:ascii="Times New Roman"/>
                <w:sz w:val="21"/>
                <w:szCs w:val="21"/>
              </w:rPr>
              <w:t>154.98</w:t>
            </w:r>
          </w:p>
        </w:tc>
        <w:tc>
          <w:tcPr>
            <w:tcW w:w="358" w:type="pct"/>
            <w:vAlign w:val="center"/>
          </w:tcPr>
          <w:p w14:paraId="2CA8712E">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0ABEAE35">
            <w:pPr>
              <w:autoSpaceDE w:val="0"/>
              <w:autoSpaceDN w:val="0"/>
              <w:adjustRightInd w:val="0"/>
              <w:snapToGrid w:val="0"/>
              <w:jc w:val="center"/>
              <w:rPr>
                <w:rFonts w:ascii="Times New Roman"/>
                <w:sz w:val="21"/>
                <w:szCs w:val="21"/>
              </w:rPr>
            </w:pPr>
          </w:p>
        </w:tc>
        <w:tc>
          <w:tcPr>
            <w:tcW w:w="551" w:type="pct"/>
            <w:vAlign w:val="center"/>
          </w:tcPr>
          <w:p w14:paraId="312EE86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8590964">
            <w:pPr>
              <w:autoSpaceDE w:val="0"/>
              <w:autoSpaceDN w:val="0"/>
              <w:adjustRightInd w:val="0"/>
              <w:snapToGrid w:val="0"/>
              <w:jc w:val="center"/>
              <w:rPr>
                <w:rFonts w:ascii="Times New Roman"/>
                <w:sz w:val="21"/>
                <w:szCs w:val="21"/>
              </w:rPr>
            </w:pPr>
          </w:p>
        </w:tc>
        <w:tc>
          <w:tcPr>
            <w:tcW w:w="287" w:type="pct"/>
            <w:vMerge w:val="continue"/>
            <w:vAlign w:val="center"/>
          </w:tcPr>
          <w:p w14:paraId="55ACCA62">
            <w:pPr>
              <w:autoSpaceDE w:val="0"/>
              <w:autoSpaceDN w:val="0"/>
              <w:adjustRightInd w:val="0"/>
              <w:snapToGrid w:val="0"/>
              <w:jc w:val="center"/>
              <w:rPr>
                <w:rFonts w:ascii="Times New Roman"/>
                <w:sz w:val="21"/>
                <w:szCs w:val="21"/>
              </w:rPr>
            </w:pPr>
          </w:p>
        </w:tc>
        <w:tc>
          <w:tcPr>
            <w:tcW w:w="434" w:type="pct"/>
            <w:vMerge w:val="continue"/>
            <w:vAlign w:val="center"/>
          </w:tcPr>
          <w:p w14:paraId="4F8A00E6">
            <w:pPr>
              <w:autoSpaceDE w:val="0"/>
              <w:autoSpaceDN w:val="0"/>
              <w:adjustRightInd w:val="0"/>
              <w:snapToGrid w:val="0"/>
              <w:jc w:val="center"/>
              <w:rPr>
                <w:rFonts w:ascii="Times New Roman"/>
                <w:sz w:val="21"/>
                <w:szCs w:val="21"/>
              </w:rPr>
            </w:pPr>
          </w:p>
        </w:tc>
      </w:tr>
      <w:tr w14:paraId="25BA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44FB4AF">
            <w:pPr>
              <w:autoSpaceDE w:val="0"/>
              <w:autoSpaceDN w:val="0"/>
              <w:adjustRightInd w:val="0"/>
              <w:snapToGrid w:val="0"/>
              <w:jc w:val="center"/>
              <w:rPr>
                <w:rFonts w:ascii="Times New Roman"/>
                <w:sz w:val="21"/>
                <w:szCs w:val="21"/>
              </w:rPr>
            </w:pPr>
          </w:p>
        </w:tc>
        <w:tc>
          <w:tcPr>
            <w:tcW w:w="697" w:type="pct"/>
            <w:vAlign w:val="center"/>
          </w:tcPr>
          <w:p w14:paraId="1B303E62">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8F6B2E2">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3F7479E">
            <w:pPr>
              <w:autoSpaceDE w:val="0"/>
              <w:autoSpaceDN w:val="0"/>
              <w:adjustRightInd w:val="0"/>
              <w:snapToGrid w:val="0"/>
              <w:jc w:val="center"/>
              <w:rPr>
                <w:rFonts w:ascii="Times New Roman"/>
                <w:sz w:val="21"/>
                <w:szCs w:val="21"/>
              </w:rPr>
            </w:pPr>
          </w:p>
        </w:tc>
        <w:tc>
          <w:tcPr>
            <w:tcW w:w="208" w:type="pct"/>
            <w:vAlign w:val="center"/>
          </w:tcPr>
          <w:p w14:paraId="3E7A679B">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2E864CCA">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2502D145">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4081521">
            <w:pPr>
              <w:autoSpaceDE w:val="0"/>
              <w:autoSpaceDN w:val="0"/>
              <w:adjustRightInd w:val="0"/>
              <w:snapToGrid w:val="0"/>
              <w:jc w:val="center"/>
              <w:rPr>
                <w:rFonts w:ascii="Times New Roman"/>
                <w:sz w:val="21"/>
                <w:szCs w:val="21"/>
              </w:rPr>
            </w:pPr>
            <w:r>
              <w:rPr>
                <w:rFonts w:ascii="Times New Roman"/>
                <w:sz w:val="21"/>
                <w:szCs w:val="21"/>
              </w:rPr>
              <w:t>149.98</w:t>
            </w:r>
          </w:p>
        </w:tc>
        <w:tc>
          <w:tcPr>
            <w:tcW w:w="358" w:type="pct"/>
            <w:vAlign w:val="center"/>
          </w:tcPr>
          <w:p w14:paraId="4EF8347E">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17B6E23B">
            <w:pPr>
              <w:autoSpaceDE w:val="0"/>
              <w:autoSpaceDN w:val="0"/>
              <w:adjustRightInd w:val="0"/>
              <w:snapToGrid w:val="0"/>
              <w:jc w:val="center"/>
              <w:rPr>
                <w:rFonts w:ascii="Times New Roman"/>
                <w:sz w:val="21"/>
                <w:szCs w:val="21"/>
              </w:rPr>
            </w:pPr>
          </w:p>
        </w:tc>
        <w:tc>
          <w:tcPr>
            <w:tcW w:w="551" w:type="pct"/>
            <w:vAlign w:val="center"/>
          </w:tcPr>
          <w:p w14:paraId="08B5496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470C2D3">
            <w:pPr>
              <w:autoSpaceDE w:val="0"/>
              <w:autoSpaceDN w:val="0"/>
              <w:adjustRightInd w:val="0"/>
              <w:snapToGrid w:val="0"/>
              <w:jc w:val="center"/>
              <w:rPr>
                <w:rFonts w:ascii="Times New Roman"/>
                <w:sz w:val="21"/>
                <w:szCs w:val="21"/>
              </w:rPr>
            </w:pPr>
          </w:p>
        </w:tc>
        <w:tc>
          <w:tcPr>
            <w:tcW w:w="287" w:type="pct"/>
            <w:vMerge w:val="continue"/>
            <w:vAlign w:val="center"/>
          </w:tcPr>
          <w:p w14:paraId="1B707B43">
            <w:pPr>
              <w:autoSpaceDE w:val="0"/>
              <w:autoSpaceDN w:val="0"/>
              <w:adjustRightInd w:val="0"/>
              <w:snapToGrid w:val="0"/>
              <w:jc w:val="center"/>
              <w:rPr>
                <w:rFonts w:ascii="Times New Roman"/>
                <w:sz w:val="21"/>
                <w:szCs w:val="21"/>
              </w:rPr>
            </w:pPr>
          </w:p>
        </w:tc>
        <w:tc>
          <w:tcPr>
            <w:tcW w:w="434" w:type="pct"/>
            <w:vMerge w:val="continue"/>
            <w:vAlign w:val="center"/>
          </w:tcPr>
          <w:p w14:paraId="04CFB25B">
            <w:pPr>
              <w:autoSpaceDE w:val="0"/>
              <w:autoSpaceDN w:val="0"/>
              <w:adjustRightInd w:val="0"/>
              <w:snapToGrid w:val="0"/>
              <w:jc w:val="center"/>
              <w:rPr>
                <w:rFonts w:ascii="Times New Roman"/>
                <w:sz w:val="21"/>
                <w:szCs w:val="21"/>
              </w:rPr>
            </w:pPr>
          </w:p>
        </w:tc>
      </w:tr>
      <w:tr w14:paraId="51BF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0362604">
            <w:pPr>
              <w:autoSpaceDE w:val="0"/>
              <w:autoSpaceDN w:val="0"/>
              <w:adjustRightInd w:val="0"/>
              <w:snapToGrid w:val="0"/>
              <w:jc w:val="center"/>
              <w:rPr>
                <w:rFonts w:ascii="Times New Roman"/>
                <w:sz w:val="21"/>
                <w:szCs w:val="21"/>
              </w:rPr>
            </w:pPr>
          </w:p>
        </w:tc>
        <w:tc>
          <w:tcPr>
            <w:tcW w:w="697" w:type="pct"/>
            <w:vAlign w:val="center"/>
          </w:tcPr>
          <w:p w14:paraId="6B6B3EB9">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F9543E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A05EBB9">
            <w:pPr>
              <w:autoSpaceDE w:val="0"/>
              <w:autoSpaceDN w:val="0"/>
              <w:adjustRightInd w:val="0"/>
              <w:snapToGrid w:val="0"/>
              <w:jc w:val="center"/>
              <w:rPr>
                <w:rFonts w:ascii="Times New Roman"/>
                <w:sz w:val="21"/>
                <w:szCs w:val="21"/>
              </w:rPr>
            </w:pPr>
          </w:p>
        </w:tc>
        <w:tc>
          <w:tcPr>
            <w:tcW w:w="208" w:type="pct"/>
            <w:vAlign w:val="center"/>
          </w:tcPr>
          <w:p w14:paraId="1E2488CA">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350D1290">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1973D9F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2F3D0E8">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265ABCA5">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60D0D0AE">
            <w:pPr>
              <w:autoSpaceDE w:val="0"/>
              <w:autoSpaceDN w:val="0"/>
              <w:adjustRightInd w:val="0"/>
              <w:snapToGrid w:val="0"/>
              <w:jc w:val="center"/>
              <w:rPr>
                <w:rFonts w:ascii="Times New Roman"/>
                <w:sz w:val="21"/>
                <w:szCs w:val="21"/>
              </w:rPr>
            </w:pPr>
          </w:p>
        </w:tc>
        <w:tc>
          <w:tcPr>
            <w:tcW w:w="551" w:type="pct"/>
            <w:vAlign w:val="center"/>
          </w:tcPr>
          <w:p w14:paraId="57A2AA8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DD9E780">
            <w:pPr>
              <w:autoSpaceDE w:val="0"/>
              <w:autoSpaceDN w:val="0"/>
              <w:adjustRightInd w:val="0"/>
              <w:snapToGrid w:val="0"/>
              <w:jc w:val="center"/>
              <w:rPr>
                <w:rFonts w:ascii="Times New Roman"/>
                <w:sz w:val="21"/>
                <w:szCs w:val="21"/>
              </w:rPr>
            </w:pPr>
          </w:p>
        </w:tc>
        <w:tc>
          <w:tcPr>
            <w:tcW w:w="287" w:type="pct"/>
            <w:vMerge w:val="continue"/>
            <w:vAlign w:val="center"/>
          </w:tcPr>
          <w:p w14:paraId="145C9343">
            <w:pPr>
              <w:autoSpaceDE w:val="0"/>
              <w:autoSpaceDN w:val="0"/>
              <w:adjustRightInd w:val="0"/>
              <w:snapToGrid w:val="0"/>
              <w:jc w:val="center"/>
              <w:rPr>
                <w:rFonts w:ascii="Times New Roman"/>
                <w:sz w:val="21"/>
                <w:szCs w:val="21"/>
              </w:rPr>
            </w:pPr>
          </w:p>
        </w:tc>
        <w:tc>
          <w:tcPr>
            <w:tcW w:w="434" w:type="pct"/>
            <w:vMerge w:val="continue"/>
            <w:vAlign w:val="center"/>
          </w:tcPr>
          <w:p w14:paraId="5ED7A9B6">
            <w:pPr>
              <w:autoSpaceDE w:val="0"/>
              <w:autoSpaceDN w:val="0"/>
              <w:adjustRightInd w:val="0"/>
              <w:snapToGrid w:val="0"/>
              <w:jc w:val="center"/>
              <w:rPr>
                <w:rFonts w:ascii="Times New Roman"/>
                <w:sz w:val="21"/>
                <w:szCs w:val="21"/>
              </w:rPr>
            </w:pPr>
          </w:p>
        </w:tc>
      </w:tr>
      <w:tr w14:paraId="0830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4E135D7">
            <w:pPr>
              <w:autoSpaceDE w:val="0"/>
              <w:autoSpaceDN w:val="0"/>
              <w:adjustRightInd w:val="0"/>
              <w:snapToGrid w:val="0"/>
              <w:jc w:val="center"/>
              <w:rPr>
                <w:rFonts w:ascii="Times New Roman"/>
                <w:sz w:val="21"/>
                <w:szCs w:val="21"/>
              </w:rPr>
            </w:pPr>
          </w:p>
        </w:tc>
        <w:tc>
          <w:tcPr>
            <w:tcW w:w="697" w:type="pct"/>
            <w:vAlign w:val="center"/>
          </w:tcPr>
          <w:p w14:paraId="4336DABD">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627B9F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F1D2E5C">
            <w:pPr>
              <w:autoSpaceDE w:val="0"/>
              <w:autoSpaceDN w:val="0"/>
              <w:adjustRightInd w:val="0"/>
              <w:snapToGrid w:val="0"/>
              <w:jc w:val="center"/>
              <w:rPr>
                <w:rFonts w:ascii="Times New Roman"/>
                <w:sz w:val="21"/>
                <w:szCs w:val="21"/>
              </w:rPr>
            </w:pPr>
          </w:p>
        </w:tc>
        <w:tc>
          <w:tcPr>
            <w:tcW w:w="208" w:type="pct"/>
            <w:vAlign w:val="center"/>
          </w:tcPr>
          <w:p w14:paraId="384C5003">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25FC508D">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0088EAA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9BC1714">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6ABD5571">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0B7F7118">
            <w:pPr>
              <w:autoSpaceDE w:val="0"/>
              <w:autoSpaceDN w:val="0"/>
              <w:adjustRightInd w:val="0"/>
              <w:snapToGrid w:val="0"/>
              <w:jc w:val="center"/>
              <w:rPr>
                <w:rFonts w:ascii="Times New Roman"/>
                <w:sz w:val="21"/>
                <w:szCs w:val="21"/>
              </w:rPr>
            </w:pPr>
          </w:p>
        </w:tc>
        <w:tc>
          <w:tcPr>
            <w:tcW w:w="551" w:type="pct"/>
            <w:vAlign w:val="center"/>
          </w:tcPr>
          <w:p w14:paraId="6E3E246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4282F9B">
            <w:pPr>
              <w:autoSpaceDE w:val="0"/>
              <w:autoSpaceDN w:val="0"/>
              <w:adjustRightInd w:val="0"/>
              <w:snapToGrid w:val="0"/>
              <w:jc w:val="center"/>
              <w:rPr>
                <w:rFonts w:ascii="Times New Roman"/>
                <w:sz w:val="21"/>
                <w:szCs w:val="21"/>
              </w:rPr>
            </w:pPr>
          </w:p>
        </w:tc>
        <w:tc>
          <w:tcPr>
            <w:tcW w:w="287" w:type="pct"/>
            <w:vMerge w:val="continue"/>
            <w:vAlign w:val="center"/>
          </w:tcPr>
          <w:p w14:paraId="3A7252B5">
            <w:pPr>
              <w:autoSpaceDE w:val="0"/>
              <w:autoSpaceDN w:val="0"/>
              <w:adjustRightInd w:val="0"/>
              <w:snapToGrid w:val="0"/>
              <w:jc w:val="center"/>
              <w:rPr>
                <w:rFonts w:ascii="Times New Roman"/>
                <w:sz w:val="21"/>
                <w:szCs w:val="21"/>
              </w:rPr>
            </w:pPr>
          </w:p>
        </w:tc>
        <w:tc>
          <w:tcPr>
            <w:tcW w:w="434" w:type="pct"/>
            <w:vMerge w:val="continue"/>
            <w:vAlign w:val="center"/>
          </w:tcPr>
          <w:p w14:paraId="59FEA1E2">
            <w:pPr>
              <w:autoSpaceDE w:val="0"/>
              <w:autoSpaceDN w:val="0"/>
              <w:adjustRightInd w:val="0"/>
              <w:snapToGrid w:val="0"/>
              <w:jc w:val="center"/>
              <w:rPr>
                <w:rFonts w:ascii="Times New Roman"/>
                <w:sz w:val="21"/>
                <w:szCs w:val="21"/>
              </w:rPr>
            </w:pPr>
          </w:p>
        </w:tc>
      </w:tr>
      <w:tr w14:paraId="6F69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EEDBEE">
            <w:pPr>
              <w:autoSpaceDE w:val="0"/>
              <w:autoSpaceDN w:val="0"/>
              <w:adjustRightInd w:val="0"/>
              <w:snapToGrid w:val="0"/>
              <w:jc w:val="center"/>
              <w:rPr>
                <w:rFonts w:ascii="Times New Roman"/>
                <w:sz w:val="21"/>
                <w:szCs w:val="21"/>
              </w:rPr>
            </w:pPr>
          </w:p>
        </w:tc>
        <w:tc>
          <w:tcPr>
            <w:tcW w:w="697" w:type="pct"/>
            <w:vAlign w:val="center"/>
          </w:tcPr>
          <w:p w14:paraId="4E2379BD">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AB6C80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17FEFC3">
            <w:pPr>
              <w:autoSpaceDE w:val="0"/>
              <w:autoSpaceDN w:val="0"/>
              <w:adjustRightInd w:val="0"/>
              <w:snapToGrid w:val="0"/>
              <w:jc w:val="center"/>
              <w:rPr>
                <w:rFonts w:ascii="Times New Roman"/>
                <w:sz w:val="21"/>
                <w:szCs w:val="21"/>
              </w:rPr>
            </w:pPr>
          </w:p>
        </w:tc>
        <w:tc>
          <w:tcPr>
            <w:tcW w:w="208" w:type="pct"/>
            <w:vAlign w:val="center"/>
          </w:tcPr>
          <w:p w14:paraId="73D4E0D0">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723D7F3D">
            <w:pPr>
              <w:autoSpaceDE w:val="0"/>
              <w:autoSpaceDN w:val="0"/>
              <w:adjustRightInd w:val="0"/>
              <w:snapToGrid w:val="0"/>
              <w:jc w:val="center"/>
              <w:rPr>
                <w:rFonts w:ascii="Times New Roman"/>
                <w:sz w:val="21"/>
                <w:szCs w:val="21"/>
              </w:rPr>
            </w:pPr>
            <w:r>
              <w:rPr>
                <w:rFonts w:ascii="Times New Roman"/>
                <w:sz w:val="21"/>
                <w:szCs w:val="21"/>
              </w:rPr>
              <w:t>175</w:t>
            </w:r>
          </w:p>
        </w:tc>
        <w:tc>
          <w:tcPr>
            <w:tcW w:w="240" w:type="pct"/>
            <w:vAlign w:val="center"/>
          </w:tcPr>
          <w:p w14:paraId="305A3C6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70B7B78">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3FFA9DE3">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761BD30D">
            <w:pPr>
              <w:autoSpaceDE w:val="0"/>
              <w:autoSpaceDN w:val="0"/>
              <w:adjustRightInd w:val="0"/>
              <w:snapToGrid w:val="0"/>
              <w:jc w:val="center"/>
              <w:rPr>
                <w:rFonts w:ascii="Times New Roman"/>
                <w:sz w:val="21"/>
                <w:szCs w:val="21"/>
              </w:rPr>
            </w:pPr>
          </w:p>
        </w:tc>
        <w:tc>
          <w:tcPr>
            <w:tcW w:w="551" w:type="pct"/>
            <w:vAlign w:val="center"/>
          </w:tcPr>
          <w:p w14:paraId="62A73B1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41D45CC">
            <w:pPr>
              <w:autoSpaceDE w:val="0"/>
              <w:autoSpaceDN w:val="0"/>
              <w:adjustRightInd w:val="0"/>
              <w:snapToGrid w:val="0"/>
              <w:jc w:val="center"/>
              <w:rPr>
                <w:rFonts w:ascii="Times New Roman"/>
                <w:sz w:val="21"/>
                <w:szCs w:val="21"/>
              </w:rPr>
            </w:pPr>
          </w:p>
        </w:tc>
        <w:tc>
          <w:tcPr>
            <w:tcW w:w="287" w:type="pct"/>
            <w:vMerge w:val="continue"/>
            <w:vAlign w:val="center"/>
          </w:tcPr>
          <w:p w14:paraId="3B59C9AD">
            <w:pPr>
              <w:autoSpaceDE w:val="0"/>
              <w:autoSpaceDN w:val="0"/>
              <w:adjustRightInd w:val="0"/>
              <w:snapToGrid w:val="0"/>
              <w:jc w:val="center"/>
              <w:rPr>
                <w:rFonts w:ascii="Times New Roman"/>
                <w:sz w:val="21"/>
                <w:szCs w:val="21"/>
              </w:rPr>
            </w:pPr>
          </w:p>
        </w:tc>
        <w:tc>
          <w:tcPr>
            <w:tcW w:w="434" w:type="pct"/>
            <w:vMerge w:val="continue"/>
            <w:vAlign w:val="center"/>
          </w:tcPr>
          <w:p w14:paraId="408F1AD3">
            <w:pPr>
              <w:autoSpaceDE w:val="0"/>
              <w:autoSpaceDN w:val="0"/>
              <w:adjustRightInd w:val="0"/>
              <w:snapToGrid w:val="0"/>
              <w:jc w:val="center"/>
              <w:rPr>
                <w:rFonts w:ascii="Times New Roman"/>
                <w:sz w:val="21"/>
                <w:szCs w:val="21"/>
              </w:rPr>
            </w:pPr>
          </w:p>
        </w:tc>
      </w:tr>
      <w:tr w14:paraId="463F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C9D5446">
            <w:pPr>
              <w:autoSpaceDE w:val="0"/>
              <w:autoSpaceDN w:val="0"/>
              <w:adjustRightInd w:val="0"/>
              <w:snapToGrid w:val="0"/>
              <w:jc w:val="center"/>
              <w:rPr>
                <w:rFonts w:ascii="Times New Roman"/>
                <w:sz w:val="21"/>
                <w:szCs w:val="21"/>
              </w:rPr>
            </w:pPr>
          </w:p>
        </w:tc>
        <w:tc>
          <w:tcPr>
            <w:tcW w:w="697" w:type="pct"/>
            <w:vAlign w:val="center"/>
          </w:tcPr>
          <w:p w14:paraId="2DEBCDF6">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08E34D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A3004D4">
            <w:pPr>
              <w:autoSpaceDE w:val="0"/>
              <w:autoSpaceDN w:val="0"/>
              <w:adjustRightInd w:val="0"/>
              <w:snapToGrid w:val="0"/>
              <w:jc w:val="center"/>
              <w:rPr>
                <w:rFonts w:ascii="Times New Roman"/>
                <w:sz w:val="21"/>
                <w:szCs w:val="21"/>
              </w:rPr>
            </w:pPr>
          </w:p>
        </w:tc>
        <w:tc>
          <w:tcPr>
            <w:tcW w:w="208" w:type="pct"/>
            <w:vAlign w:val="center"/>
          </w:tcPr>
          <w:p w14:paraId="53D5DADE">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1E7A4E38">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75DCFB4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A2868FA">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2604A4DD">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1BAD17C7">
            <w:pPr>
              <w:autoSpaceDE w:val="0"/>
              <w:autoSpaceDN w:val="0"/>
              <w:adjustRightInd w:val="0"/>
              <w:snapToGrid w:val="0"/>
              <w:jc w:val="center"/>
              <w:rPr>
                <w:rFonts w:ascii="Times New Roman"/>
                <w:sz w:val="21"/>
                <w:szCs w:val="21"/>
              </w:rPr>
            </w:pPr>
          </w:p>
        </w:tc>
        <w:tc>
          <w:tcPr>
            <w:tcW w:w="551" w:type="pct"/>
            <w:vAlign w:val="center"/>
          </w:tcPr>
          <w:p w14:paraId="4D083F7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0C988B3">
            <w:pPr>
              <w:autoSpaceDE w:val="0"/>
              <w:autoSpaceDN w:val="0"/>
              <w:adjustRightInd w:val="0"/>
              <w:snapToGrid w:val="0"/>
              <w:jc w:val="center"/>
              <w:rPr>
                <w:rFonts w:ascii="Times New Roman"/>
                <w:sz w:val="21"/>
                <w:szCs w:val="21"/>
              </w:rPr>
            </w:pPr>
          </w:p>
        </w:tc>
        <w:tc>
          <w:tcPr>
            <w:tcW w:w="287" w:type="pct"/>
            <w:vMerge w:val="continue"/>
            <w:vAlign w:val="center"/>
          </w:tcPr>
          <w:p w14:paraId="362133EE">
            <w:pPr>
              <w:autoSpaceDE w:val="0"/>
              <w:autoSpaceDN w:val="0"/>
              <w:adjustRightInd w:val="0"/>
              <w:snapToGrid w:val="0"/>
              <w:jc w:val="center"/>
              <w:rPr>
                <w:rFonts w:ascii="Times New Roman"/>
                <w:sz w:val="21"/>
                <w:szCs w:val="21"/>
              </w:rPr>
            </w:pPr>
          </w:p>
        </w:tc>
        <w:tc>
          <w:tcPr>
            <w:tcW w:w="434" w:type="pct"/>
            <w:vMerge w:val="continue"/>
            <w:vAlign w:val="center"/>
          </w:tcPr>
          <w:p w14:paraId="25F5A2B1">
            <w:pPr>
              <w:autoSpaceDE w:val="0"/>
              <w:autoSpaceDN w:val="0"/>
              <w:adjustRightInd w:val="0"/>
              <w:snapToGrid w:val="0"/>
              <w:jc w:val="center"/>
              <w:rPr>
                <w:rFonts w:ascii="Times New Roman"/>
                <w:sz w:val="21"/>
                <w:szCs w:val="21"/>
              </w:rPr>
            </w:pPr>
          </w:p>
        </w:tc>
      </w:tr>
      <w:tr w14:paraId="0C74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0D3C491">
            <w:pPr>
              <w:autoSpaceDE w:val="0"/>
              <w:autoSpaceDN w:val="0"/>
              <w:adjustRightInd w:val="0"/>
              <w:snapToGrid w:val="0"/>
              <w:jc w:val="center"/>
              <w:rPr>
                <w:rFonts w:ascii="Times New Roman"/>
                <w:sz w:val="21"/>
                <w:szCs w:val="21"/>
              </w:rPr>
            </w:pPr>
          </w:p>
        </w:tc>
        <w:tc>
          <w:tcPr>
            <w:tcW w:w="697" w:type="pct"/>
            <w:vAlign w:val="center"/>
          </w:tcPr>
          <w:p w14:paraId="76EF85B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D2B8DE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1C44900">
            <w:pPr>
              <w:autoSpaceDE w:val="0"/>
              <w:autoSpaceDN w:val="0"/>
              <w:adjustRightInd w:val="0"/>
              <w:snapToGrid w:val="0"/>
              <w:jc w:val="center"/>
              <w:rPr>
                <w:rFonts w:ascii="Times New Roman"/>
                <w:sz w:val="21"/>
                <w:szCs w:val="21"/>
              </w:rPr>
            </w:pPr>
          </w:p>
        </w:tc>
        <w:tc>
          <w:tcPr>
            <w:tcW w:w="208" w:type="pct"/>
            <w:vAlign w:val="center"/>
          </w:tcPr>
          <w:p w14:paraId="6FC60959">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24722E0A">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4950AB5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27B0760">
            <w:pPr>
              <w:autoSpaceDE w:val="0"/>
              <w:autoSpaceDN w:val="0"/>
              <w:adjustRightInd w:val="0"/>
              <w:snapToGrid w:val="0"/>
              <w:jc w:val="center"/>
              <w:rPr>
                <w:rFonts w:ascii="Times New Roman"/>
                <w:sz w:val="21"/>
                <w:szCs w:val="21"/>
              </w:rPr>
            </w:pPr>
            <w:r>
              <w:rPr>
                <w:rFonts w:ascii="Times New Roman"/>
                <w:sz w:val="21"/>
                <w:szCs w:val="21"/>
              </w:rPr>
              <w:t>153.52</w:t>
            </w:r>
          </w:p>
        </w:tc>
        <w:tc>
          <w:tcPr>
            <w:tcW w:w="358" w:type="pct"/>
            <w:vAlign w:val="center"/>
          </w:tcPr>
          <w:p w14:paraId="39E00FE8">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15136663">
            <w:pPr>
              <w:autoSpaceDE w:val="0"/>
              <w:autoSpaceDN w:val="0"/>
              <w:adjustRightInd w:val="0"/>
              <w:snapToGrid w:val="0"/>
              <w:jc w:val="center"/>
              <w:rPr>
                <w:rFonts w:ascii="Times New Roman"/>
                <w:sz w:val="21"/>
                <w:szCs w:val="21"/>
              </w:rPr>
            </w:pPr>
          </w:p>
        </w:tc>
        <w:tc>
          <w:tcPr>
            <w:tcW w:w="551" w:type="pct"/>
            <w:vAlign w:val="center"/>
          </w:tcPr>
          <w:p w14:paraId="6DA6488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0DD007E">
            <w:pPr>
              <w:autoSpaceDE w:val="0"/>
              <w:autoSpaceDN w:val="0"/>
              <w:adjustRightInd w:val="0"/>
              <w:snapToGrid w:val="0"/>
              <w:jc w:val="center"/>
              <w:rPr>
                <w:rFonts w:ascii="Times New Roman"/>
                <w:sz w:val="21"/>
                <w:szCs w:val="21"/>
              </w:rPr>
            </w:pPr>
          </w:p>
        </w:tc>
        <w:tc>
          <w:tcPr>
            <w:tcW w:w="287" w:type="pct"/>
            <w:vMerge w:val="continue"/>
            <w:vAlign w:val="center"/>
          </w:tcPr>
          <w:p w14:paraId="104141B9">
            <w:pPr>
              <w:autoSpaceDE w:val="0"/>
              <w:autoSpaceDN w:val="0"/>
              <w:adjustRightInd w:val="0"/>
              <w:snapToGrid w:val="0"/>
              <w:jc w:val="center"/>
              <w:rPr>
                <w:rFonts w:ascii="Times New Roman"/>
                <w:sz w:val="21"/>
                <w:szCs w:val="21"/>
              </w:rPr>
            </w:pPr>
          </w:p>
        </w:tc>
        <w:tc>
          <w:tcPr>
            <w:tcW w:w="434" w:type="pct"/>
            <w:vMerge w:val="continue"/>
            <w:vAlign w:val="center"/>
          </w:tcPr>
          <w:p w14:paraId="00DCCE58">
            <w:pPr>
              <w:autoSpaceDE w:val="0"/>
              <w:autoSpaceDN w:val="0"/>
              <w:adjustRightInd w:val="0"/>
              <w:snapToGrid w:val="0"/>
              <w:jc w:val="center"/>
              <w:rPr>
                <w:rFonts w:ascii="Times New Roman"/>
                <w:sz w:val="21"/>
                <w:szCs w:val="21"/>
              </w:rPr>
            </w:pPr>
          </w:p>
        </w:tc>
      </w:tr>
      <w:tr w14:paraId="32BC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3EEA510">
            <w:pPr>
              <w:autoSpaceDE w:val="0"/>
              <w:autoSpaceDN w:val="0"/>
              <w:adjustRightInd w:val="0"/>
              <w:snapToGrid w:val="0"/>
              <w:jc w:val="center"/>
              <w:rPr>
                <w:rFonts w:ascii="Times New Roman"/>
                <w:sz w:val="21"/>
                <w:szCs w:val="21"/>
              </w:rPr>
            </w:pPr>
          </w:p>
        </w:tc>
        <w:tc>
          <w:tcPr>
            <w:tcW w:w="697" w:type="pct"/>
            <w:vAlign w:val="center"/>
          </w:tcPr>
          <w:p w14:paraId="0B8A389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27BE146">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D86E418">
            <w:pPr>
              <w:autoSpaceDE w:val="0"/>
              <w:autoSpaceDN w:val="0"/>
              <w:adjustRightInd w:val="0"/>
              <w:snapToGrid w:val="0"/>
              <w:jc w:val="center"/>
              <w:rPr>
                <w:rFonts w:ascii="Times New Roman"/>
                <w:sz w:val="21"/>
                <w:szCs w:val="21"/>
              </w:rPr>
            </w:pPr>
          </w:p>
        </w:tc>
        <w:tc>
          <w:tcPr>
            <w:tcW w:w="208" w:type="pct"/>
            <w:vAlign w:val="center"/>
          </w:tcPr>
          <w:p w14:paraId="6C327FE9">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54C3189F">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2C4574E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BE21388">
            <w:pPr>
              <w:autoSpaceDE w:val="0"/>
              <w:autoSpaceDN w:val="0"/>
              <w:adjustRightInd w:val="0"/>
              <w:snapToGrid w:val="0"/>
              <w:jc w:val="center"/>
              <w:rPr>
                <w:rFonts w:ascii="Times New Roman"/>
                <w:sz w:val="21"/>
                <w:szCs w:val="21"/>
              </w:rPr>
            </w:pPr>
            <w:r>
              <w:rPr>
                <w:rFonts w:ascii="Times New Roman"/>
                <w:sz w:val="21"/>
                <w:szCs w:val="21"/>
              </w:rPr>
              <w:t>154.6</w:t>
            </w:r>
          </w:p>
        </w:tc>
        <w:tc>
          <w:tcPr>
            <w:tcW w:w="358" w:type="pct"/>
            <w:vAlign w:val="center"/>
          </w:tcPr>
          <w:p w14:paraId="65537F73">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3F5BBB15">
            <w:pPr>
              <w:autoSpaceDE w:val="0"/>
              <w:autoSpaceDN w:val="0"/>
              <w:adjustRightInd w:val="0"/>
              <w:snapToGrid w:val="0"/>
              <w:jc w:val="center"/>
              <w:rPr>
                <w:rFonts w:ascii="Times New Roman"/>
                <w:sz w:val="21"/>
                <w:szCs w:val="21"/>
              </w:rPr>
            </w:pPr>
          </w:p>
        </w:tc>
        <w:tc>
          <w:tcPr>
            <w:tcW w:w="551" w:type="pct"/>
            <w:vAlign w:val="center"/>
          </w:tcPr>
          <w:p w14:paraId="68C6389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B6E0C6F">
            <w:pPr>
              <w:autoSpaceDE w:val="0"/>
              <w:autoSpaceDN w:val="0"/>
              <w:adjustRightInd w:val="0"/>
              <w:snapToGrid w:val="0"/>
              <w:jc w:val="center"/>
              <w:rPr>
                <w:rFonts w:ascii="Times New Roman"/>
                <w:sz w:val="21"/>
                <w:szCs w:val="21"/>
              </w:rPr>
            </w:pPr>
          </w:p>
        </w:tc>
        <w:tc>
          <w:tcPr>
            <w:tcW w:w="287" w:type="pct"/>
            <w:vMerge w:val="continue"/>
            <w:vAlign w:val="center"/>
          </w:tcPr>
          <w:p w14:paraId="2C00B8CE">
            <w:pPr>
              <w:autoSpaceDE w:val="0"/>
              <w:autoSpaceDN w:val="0"/>
              <w:adjustRightInd w:val="0"/>
              <w:snapToGrid w:val="0"/>
              <w:jc w:val="center"/>
              <w:rPr>
                <w:rFonts w:ascii="Times New Roman"/>
                <w:sz w:val="21"/>
                <w:szCs w:val="21"/>
              </w:rPr>
            </w:pPr>
          </w:p>
        </w:tc>
        <w:tc>
          <w:tcPr>
            <w:tcW w:w="434" w:type="pct"/>
            <w:vMerge w:val="continue"/>
            <w:vAlign w:val="center"/>
          </w:tcPr>
          <w:p w14:paraId="14934A64">
            <w:pPr>
              <w:autoSpaceDE w:val="0"/>
              <w:autoSpaceDN w:val="0"/>
              <w:adjustRightInd w:val="0"/>
              <w:snapToGrid w:val="0"/>
              <w:jc w:val="center"/>
              <w:rPr>
                <w:rFonts w:ascii="Times New Roman"/>
                <w:sz w:val="21"/>
                <w:szCs w:val="21"/>
              </w:rPr>
            </w:pPr>
          </w:p>
        </w:tc>
      </w:tr>
      <w:tr w14:paraId="6C6B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DD39BD1">
            <w:pPr>
              <w:autoSpaceDE w:val="0"/>
              <w:autoSpaceDN w:val="0"/>
              <w:adjustRightInd w:val="0"/>
              <w:snapToGrid w:val="0"/>
              <w:jc w:val="center"/>
              <w:rPr>
                <w:rFonts w:ascii="Times New Roman"/>
                <w:sz w:val="21"/>
                <w:szCs w:val="21"/>
              </w:rPr>
            </w:pPr>
          </w:p>
        </w:tc>
        <w:tc>
          <w:tcPr>
            <w:tcW w:w="697" w:type="pct"/>
            <w:vAlign w:val="center"/>
          </w:tcPr>
          <w:p w14:paraId="3CD52EA1">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33612A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4E15028">
            <w:pPr>
              <w:autoSpaceDE w:val="0"/>
              <w:autoSpaceDN w:val="0"/>
              <w:adjustRightInd w:val="0"/>
              <w:snapToGrid w:val="0"/>
              <w:jc w:val="center"/>
              <w:rPr>
                <w:rFonts w:ascii="Times New Roman"/>
                <w:sz w:val="21"/>
                <w:szCs w:val="21"/>
              </w:rPr>
            </w:pPr>
          </w:p>
        </w:tc>
        <w:tc>
          <w:tcPr>
            <w:tcW w:w="208" w:type="pct"/>
            <w:vAlign w:val="center"/>
          </w:tcPr>
          <w:p w14:paraId="044118D8">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49503516">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08DB1A8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1E4215A">
            <w:pPr>
              <w:autoSpaceDE w:val="0"/>
              <w:autoSpaceDN w:val="0"/>
              <w:adjustRightInd w:val="0"/>
              <w:snapToGrid w:val="0"/>
              <w:jc w:val="center"/>
              <w:rPr>
                <w:rFonts w:ascii="Times New Roman"/>
                <w:sz w:val="21"/>
                <w:szCs w:val="21"/>
              </w:rPr>
            </w:pPr>
            <w:r>
              <w:rPr>
                <w:rFonts w:ascii="Times New Roman"/>
                <w:sz w:val="21"/>
                <w:szCs w:val="21"/>
              </w:rPr>
              <w:t>154.6</w:t>
            </w:r>
          </w:p>
        </w:tc>
        <w:tc>
          <w:tcPr>
            <w:tcW w:w="358" w:type="pct"/>
            <w:vAlign w:val="center"/>
          </w:tcPr>
          <w:p w14:paraId="1F37367A">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72E828AD">
            <w:pPr>
              <w:autoSpaceDE w:val="0"/>
              <w:autoSpaceDN w:val="0"/>
              <w:adjustRightInd w:val="0"/>
              <w:snapToGrid w:val="0"/>
              <w:jc w:val="center"/>
              <w:rPr>
                <w:rFonts w:ascii="Times New Roman"/>
                <w:sz w:val="21"/>
                <w:szCs w:val="21"/>
              </w:rPr>
            </w:pPr>
          </w:p>
        </w:tc>
        <w:tc>
          <w:tcPr>
            <w:tcW w:w="551" w:type="pct"/>
            <w:vAlign w:val="center"/>
          </w:tcPr>
          <w:p w14:paraId="46FD704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C877B01">
            <w:pPr>
              <w:autoSpaceDE w:val="0"/>
              <w:autoSpaceDN w:val="0"/>
              <w:adjustRightInd w:val="0"/>
              <w:snapToGrid w:val="0"/>
              <w:jc w:val="center"/>
              <w:rPr>
                <w:rFonts w:ascii="Times New Roman"/>
                <w:sz w:val="21"/>
                <w:szCs w:val="21"/>
              </w:rPr>
            </w:pPr>
          </w:p>
        </w:tc>
        <w:tc>
          <w:tcPr>
            <w:tcW w:w="287" w:type="pct"/>
            <w:vMerge w:val="continue"/>
            <w:vAlign w:val="center"/>
          </w:tcPr>
          <w:p w14:paraId="52BC268C">
            <w:pPr>
              <w:autoSpaceDE w:val="0"/>
              <w:autoSpaceDN w:val="0"/>
              <w:adjustRightInd w:val="0"/>
              <w:snapToGrid w:val="0"/>
              <w:jc w:val="center"/>
              <w:rPr>
                <w:rFonts w:ascii="Times New Roman"/>
                <w:sz w:val="21"/>
                <w:szCs w:val="21"/>
              </w:rPr>
            </w:pPr>
          </w:p>
        </w:tc>
        <w:tc>
          <w:tcPr>
            <w:tcW w:w="434" w:type="pct"/>
            <w:vMerge w:val="continue"/>
            <w:vAlign w:val="center"/>
          </w:tcPr>
          <w:p w14:paraId="24E2D7DD">
            <w:pPr>
              <w:autoSpaceDE w:val="0"/>
              <w:autoSpaceDN w:val="0"/>
              <w:adjustRightInd w:val="0"/>
              <w:snapToGrid w:val="0"/>
              <w:jc w:val="center"/>
              <w:rPr>
                <w:rFonts w:ascii="Times New Roman"/>
                <w:sz w:val="21"/>
                <w:szCs w:val="21"/>
              </w:rPr>
            </w:pPr>
          </w:p>
        </w:tc>
      </w:tr>
      <w:tr w14:paraId="0622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E1A2C58">
            <w:pPr>
              <w:autoSpaceDE w:val="0"/>
              <w:autoSpaceDN w:val="0"/>
              <w:adjustRightInd w:val="0"/>
              <w:snapToGrid w:val="0"/>
              <w:jc w:val="center"/>
              <w:rPr>
                <w:rFonts w:ascii="Times New Roman"/>
                <w:sz w:val="21"/>
                <w:szCs w:val="21"/>
              </w:rPr>
            </w:pPr>
          </w:p>
        </w:tc>
        <w:tc>
          <w:tcPr>
            <w:tcW w:w="697" w:type="pct"/>
            <w:vAlign w:val="center"/>
          </w:tcPr>
          <w:p w14:paraId="1E29286E">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28F322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0A86FC0">
            <w:pPr>
              <w:autoSpaceDE w:val="0"/>
              <w:autoSpaceDN w:val="0"/>
              <w:adjustRightInd w:val="0"/>
              <w:snapToGrid w:val="0"/>
              <w:jc w:val="center"/>
              <w:rPr>
                <w:rFonts w:ascii="Times New Roman"/>
                <w:sz w:val="21"/>
                <w:szCs w:val="21"/>
              </w:rPr>
            </w:pPr>
          </w:p>
        </w:tc>
        <w:tc>
          <w:tcPr>
            <w:tcW w:w="208" w:type="pct"/>
            <w:vAlign w:val="center"/>
          </w:tcPr>
          <w:p w14:paraId="1A709DE7">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3A1F78A3">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279024B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AECF1B1">
            <w:pPr>
              <w:autoSpaceDE w:val="0"/>
              <w:autoSpaceDN w:val="0"/>
              <w:adjustRightInd w:val="0"/>
              <w:snapToGrid w:val="0"/>
              <w:jc w:val="center"/>
              <w:rPr>
                <w:rFonts w:ascii="Times New Roman"/>
                <w:sz w:val="21"/>
                <w:szCs w:val="21"/>
              </w:rPr>
            </w:pPr>
            <w:r>
              <w:rPr>
                <w:rFonts w:ascii="Times New Roman"/>
                <w:sz w:val="21"/>
                <w:szCs w:val="21"/>
              </w:rPr>
              <w:t>154.6</w:t>
            </w:r>
          </w:p>
        </w:tc>
        <w:tc>
          <w:tcPr>
            <w:tcW w:w="358" w:type="pct"/>
            <w:vAlign w:val="center"/>
          </w:tcPr>
          <w:p w14:paraId="1A29D74A">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55ED77F5">
            <w:pPr>
              <w:autoSpaceDE w:val="0"/>
              <w:autoSpaceDN w:val="0"/>
              <w:adjustRightInd w:val="0"/>
              <w:snapToGrid w:val="0"/>
              <w:jc w:val="center"/>
              <w:rPr>
                <w:rFonts w:ascii="Times New Roman"/>
                <w:sz w:val="21"/>
                <w:szCs w:val="21"/>
              </w:rPr>
            </w:pPr>
          </w:p>
        </w:tc>
        <w:tc>
          <w:tcPr>
            <w:tcW w:w="551" w:type="pct"/>
            <w:vAlign w:val="center"/>
          </w:tcPr>
          <w:p w14:paraId="44151FC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AAF1411">
            <w:pPr>
              <w:autoSpaceDE w:val="0"/>
              <w:autoSpaceDN w:val="0"/>
              <w:adjustRightInd w:val="0"/>
              <w:snapToGrid w:val="0"/>
              <w:jc w:val="center"/>
              <w:rPr>
                <w:rFonts w:ascii="Times New Roman"/>
                <w:sz w:val="21"/>
                <w:szCs w:val="21"/>
              </w:rPr>
            </w:pPr>
          </w:p>
        </w:tc>
        <w:tc>
          <w:tcPr>
            <w:tcW w:w="287" w:type="pct"/>
            <w:vMerge w:val="continue"/>
            <w:vAlign w:val="center"/>
          </w:tcPr>
          <w:p w14:paraId="0CBC390F">
            <w:pPr>
              <w:autoSpaceDE w:val="0"/>
              <w:autoSpaceDN w:val="0"/>
              <w:adjustRightInd w:val="0"/>
              <w:snapToGrid w:val="0"/>
              <w:jc w:val="center"/>
              <w:rPr>
                <w:rFonts w:ascii="Times New Roman"/>
                <w:sz w:val="21"/>
                <w:szCs w:val="21"/>
              </w:rPr>
            </w:pPr>
          </w:p>
        </w:tc>
        <w:tc>
          <w:tcPr>
            <w:tcW w:w="434" w:type="pct"/>
            <w:vMerge w:val="continue"/>
            <w:vAlign w:val="center"/>
          </w:tcPr>
          <w:p w14:paraId="445D290A">
            <w:pPr>
              <w:autoSpaceDE w:val="0"/>
              <w:autoSpaceDN w:val="0"/>
              <w:adjustRightInd w:val="0"/>
              <w:snapToGrid w:val="0"/>
              <w:jc w:val="center"/>
              <w:rPr>
                <w:rFonts w:ascii="Times New Roman"/>
                <w:sz w:val="21"/>
                <w:szCs w:val="21"/>
              </w:rPr>
            </w:pPr>
          </w:p>
        </w:tc>
      </w:tr>
      <w:tr w14:paraId="371F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D76C086">
            <w:pPr>
              <w:autoSpaceDE w:val="0"/>
              <w:autoSpaceDN w:val="0"/>
              <w:adjustRightInd w:val="0"/>
              <w:snapToGrid w:val="0"/>
              <w:jc w:val="center"/>
              <w:rPr>
                <w:rFonts w:ascii="Times New Roman"/>
                <w:sz w:val="21"/>
                <w:szCs w:val="21"/>
              </w:rPr>
            </w:pPr>
          </w:p>
        </w:tc>
        <w:tc>
          <w:tcPr>
            <w:tcW w:w="697" w:type="pct"/>
            <w:vAlign w:val="center"/>
          </w:tcPr>
          <w:p w14:paraId="35631ECA">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4AEA02E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D8E3EA2">
            <w:pPr>
              <w:autoSpaceDE w:val="0"/>
              <w:autoSpaceDN w:val="0"/>
              <w:adjustRightInd w:val="0"/>
              <w:snapToGrid w:val="0"/>
              <w:jc w:val="center"/>
              <w:rPr>
                <w:rFonts w:ascii="Times New Roman"/>
                <w:sz w:val="21"/>
                <w:szCs w:val="21"/>
              </w:rPr>
            </w:pPr>
          </w:p>
        </w:tc>
        <w:tc>
          <w:tcPr>
            <w:tcW w:w="208" w:type="pct"/>
            <w:vAlign w:val="center"/>
          </w:tcPr>
          <w:p w14:paraId="02021A9F">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26D607EE">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095DA7C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EAC416F">
            <w:pPr>
              <w:autoSpaceDE w:val="0"/>
              <w:autoSpaceDN w:val="0"/>
              <w:adjustRightInd w:val="0"/>
              <w:snapToGrid w:val="0"/>
              <w:jc w:val="center"/>
              <w:rPr>
                <w:rFonts w:ascii="Times New Roman"/>
                <w:sz w:val="21"/>
                <w:szCs w:val="21"/>
              </w:rPr>
            </w:pPr>
            <w:r>
              <w:rPr>
                <w:rFonts w:ascii="Times New Roman"/>
                <w:sz w:val="21"/>
                <w:szCs w:val="21"/>
              </w:rPr>
              <w:t>154.6</w:t>
            </w:r>
          </w:p>
        </w:tc>
        <w:tc>
          <w:tcPr>
            <w:tcW w:w="358" w:type="pct"/>
            <w:vAlign w:val="center"/>
          </w:tcPr>
          <w:p w14:paraId="5F260C24">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01E5B562">
            <w:pPr>
              <w:autoSpaceDE w:val="0"/>
              <w:autoSpaceDN w:val="0"/>
              <w:adjustRightInd w:val="0"/>
              <w:snapToGrid w:val="0"/>
              <w:jc w:val="center"/>
              <w:rPr>
                <w:rFonts w:ascii="Times New Roman"/>
                <w:sz w:val="21"/>
                <w:szCs w:val="21"/>
              </w:rPr>
            </w:pPr>
          </w:p>
        </w:tc>
        <w:tc>
          <w:tcPr>
            <w:tcW w:w="551" w:type="pct"/>
            <w:vAlign w:val="center"/>
          </w:tcPr>
          <w:p w14:paraId="6B4DC4E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75DDB54">
            <w:pPr>
              <w:autoSpaceDE w:val="0"/>
              <w:autoSpaceDN w:val="0"/>
              <w:adjustRightInd w:val="0"/>
              <w:snapToGrid w:val="0"/>
              <w:jc w:val="center"/>
              <w:rPr>
                <w:rFonts w:ascii="Times New Roman"/>
                <w:sz w:val="21"/>
                <w:szCs w:val="21"/>
              </w:rPr>
            </w:pPr>
          </w:p>
        </w:tc>
        <w:tc>
          <w:tcPr>
            <w:tcW w:w="287" w:type="pct"/>
            <w:vMerge w:val="continue"/>
            <w:vAlign w:val="center"/>
          </w:tcPr>
          <w:p w14:paraId="1EFF1284">
            <w:pPr>
              <w:autoSpaceDE w:val="0"/>
              <w:autoSpaceDN w:val="0"/>
              <w:adjustRightInd w:val="0"/>
              <w:snapToGrid w:val="0"/>
              <w:jc w:val="center"/>
              <w:rPr>
                <w:rFonts w:ascii="Times New Roman"/>
                <w:sz w:val="21"/>
                <w:szCs w:val="21"/>
              </w:rPr>
            </w:pPr>
          </w:p>
        </w:tc>
        <w:tc>
          <w:tcPr>
            <w:tcW w:w="434" w:type="pct"/>
            <w:vMerge w:val="continue"/>
            <w:vAlign w:val="center"/>
          </w:tcPr>
          <w:p w14:paraId="7129FFB9">
            <w:pPr>
              <w:autoSpaceDE w:val="0"/>
              <w:autoSpaceDN w:val="0"/>
              <w:adjustRightInd w:val="0"/>
              <w:snapToGrid w:val="0"/>
              <w:jc w:val="center"/>
              <w:rPr>
                <w:rFonts w:ascii="Times New Roman"/>
                <w:sz w:val="21"/>
                <w:szCs w:val="21"/>
              </w:rPr>
            </w:pPr>
          </w:p>
        </w:tc>
      </w:tr>
      <w:tr w14:paraId="1B40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E3559F0">
            <w:pPr>
              <w:autoSpaceDE w:val="0"/>
              <w:autoSpaceDN w:val="0"/>
              <w:adjustRightInd w:val="0"/>
              <w:snapToGrid w:val="0"/>
              <w:jc w:val="center"/>
              <w:rPr>
                <w:rFonts w:ascii="Times New Roman"/>
                <w:sz w:val="21"/>
                <w:szCs w:val="21"/>
              </w:rPr>
            </w:pPr>
          </w:p>
        </w:tc>
        <w:tc>
          <w:tcPr>
            <w:tcW w:w="697" w:type="pct"/>
            <w:vAlign w:val="center"/>
          </w:tcPr>
          <w:p w14:paraId="446D23FE">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F575BB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2590925">
            <w:pPr>
              <w:autoSpaceDE w:val="0"/>
              <w:autoSpaceDN w:val="0"/>
              <w:adjustRightInd w:val="0"/>
              <w:snapToGrid w:val="0"/>
              <w:jc w:val="center"/>
              <w:rPr>
                <w:rFonts w:ascii="Times New Roman"/>
                <w:sz w:val="21"/>
                <w:szCs w:val="21"/>
              </w:rPr>
            </w:pPr>
          </w:p>
        </w:tc>
        <w:tc>
          <w:tcPr>
            <w:tcW w:w="208" w:type="pct"/>
            <w:vAlign w:val="center"/>
          </w:tcPr>
          <w:p w14:paraId="711FBFC5">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7AE2AC12">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1A19B25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12BEB09">
            <w:pPr>
              <w:autoSpaceDE w:val="0"/>
              <w:autoSpaceDN w:val="0"/>
              <w:adjustRightInd w:val="0"/>
              <w:snapToGrid w:val="0"/>
              <w:jc w:val="center"/>
              <w:rPr>
                <w:rFonts w:ascii="Times New Roman"/>
                <w:sz w:val="21"/>
                <w:szCs w:val="21"/>
              </w:rPr>
            </w:pPr>
            <w:r>
              <w:rPr>
                <w:rFonts w:ascii="Times New Roman"/>
                <w:sz w:val="21"/>
                <w:szCs w:val="21"/>
              </w:rPr>
              <w:t>154.6</w:t>
            </w:r>
          </w:p>
        </w:tc>
        <w:tc>
          <w:tcPr>
            <w:tcW w:w="358" w:type="pct"/>
            <w:vAlign w:val="center"/>
          </w:tcPr>
          <w:p w14:paraId="57F3B29F">
            <w:pPr>
              <w:autoSpaceDE w:val="0"/>
              <w:autoSpaceDN w:val="0"/>
              <w:adjustRightInd w:val="0"/>
              <w:snapToGrid w:val="0"/>
              <w:jc w:val="center"/>
              <w:rPr>
                <w:rFonts w:ascii="Times New Roman"/>
                <w:sz w:val="21"/>
                <w:szCs w:val="21"/>
              </w:rPr>
            </w:pPr>
            <w:r>
              <w:rPr>
                <w:rFonts w:ascii="Times New Roman"/>
                <w:sz w:val="21"/>
                <w:szCs w:val="21"/>
              </w:rPr>
              <w:t>26</w:t>
            </w:r>
          </w:p>
        </w:tc>
        <w:tc>
          <w:tcPr>
            <w:tcW w:w="316" w:type="pct"/>
            <w:vMerge w:val="continue"/>
            <w:vAlign w:val="center"/>
          </w:tcPr>
          <w:p w14:paraId="3F7A532E">
            <w:pPr>
              <w:autoSpaceDE w:val="0"/>
              <w:autoSpaceDN w:val="0"/>
              <w:adjustRightInd w:val="0"/>
              <w:snapToGrid w:val="0"/>
              <w:jc w:val="center"/>
              <w:rPr>
                <w:rFonts w:ascii="Times New Roman"/>
                <w:sz w:val="21"/>
                <w:szCs w:val="21"/>
              </w:rPr>
            </w:pPr>
          </w:p>
        </w:tc>
        <w:tc>
          <w:tcPr>
            <w:tcW w:w="551" w:type="pct"/>
            <w:vAlign w:val="center"/>
          </w:tcPr>
          <w:p w14:paraId="4030EFA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72FD1EA">
            <w:pPr>
              <w:autoSpaceDE w:val="0"/>
              <w:autoSpaceDN w:val="0"/>
              <w:adjustRightInd w:val="0"/>
              <w:snapToGrid w:val="0"/>
              <w:jc w:val="center"/>
              <w:rPr>
                <w:rFonts w:ascii="Times New Roman"/>
                <w:sz w:val="21"/>
                <w:szCs w:val="21"/>
              </w:rPr>
            </w:pPr>
          </w:p>
        </w:tc>
        <w:tc>
          <w:tcPr>
            <w:tcW w:w="287" w:type="pct"/>
            <w:vMerge w:val="continue"/>
            <w:vAlign w:val="center"/>
          </w:tcPr>
          <w:p w14:paraId="59FC3E84">
            <w:pPr>
              <w:autoSpaceDE w:val="0"/>
              <w:autoSpaceDN w:val="0"/>
              <w:adjustRightInd w:val="0"/>
              <w:snapToGrid w:val="0"/>
              <w:jc w:val="center"/>
              <w:rPr>
                <w:rFonts w:ascii="Times New Roman"/>
                <w:sz w:val="21"/>
                <w:szCs w:val="21"/>
              </w:rPr>
            </w:pPr>
          </w:p>
        </w:tc>
        <w:tc>
          <w:tcPr>
            <w:tcW w:w="434" w:type="pct"/>
            <w:vMerge w:val="continue"/>
            <w:vAlign w:val="center"/>
          </w:tcPr>
          <w:p w14:paraId="21365FC7">
            <w:pPr>
              <w:autoSpaceDE w:val="0"/>
              <w:autoSpaceDN w:val="0"/>
              <w:adjustRightInd w:val="0"/>
              <w:snapToGrid w:val="0"/>
              <w:jc w:val="center"/>
              <w:rPr>
                <w:rFonts w:ascii="Times New Roman"/>
                <w:sz w:val="21"/>
                <w:szCs w:val="21"/>
              </w:rPr>
            </w:pPr>
          </w:p>
        </w:tc>
      </w:tr>
      <w:tr w14:paraId="6A69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52A6368">
            <w:pPr>
              <w:autoSpaceDE w:val="0"/>
              <w:autoSpaceDN w:val="0"/>
              <w:adjustRightInd w:val="0"/>
              <w:snapToGrid w:val="0"/>
              <w:jc w:val="center"/>
              <w:rPr>
                <w:rFonts w:ascii="Times New Roman"/>
                <w:sz w:val="21"/>
                <w:szCs w:val="21"/>
              </w:rPr>
            </w:pPr>
          </w:p>
        </w:tc>
        <w:tc>
          <w:tcPr>
            <w:tcW w:w="697" w:type="pct"/>
            <w:vAlign w:val="center"/>
          </w:tcPr>
          <w:p w14:paraId="7D294EF3">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80B568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04DC56A">
            <w:pPr>
              <w:autoSpaceDE w:val="0"/>
              <w:autoSpaceDN w:val="0"/>
              <w:adjustRightInd w:val="0"/>
              <w:snapToGrid w:val="0"/>
              <w:jc w:val="center"/>
              <w:rPr>
                <w:rFonts w:ascii="Times New Roman"/>
                <w:sz w:val="21"/>
                <w:szCs w:val="21"/>
              </w:rPr>
            </w:pPr>
          </w:p>
        </w:tc>
        <w:tc>
          <w:tcPr>
            <w:tcW w:w="208" w:type="pct"/>
            <w:vAlign w:val="center"/>
          </w:tcPr>
          <w:p w14:paraId="04BBE621">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40572962">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1D149C3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11AA360">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5E4A622C">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18AE59DA">
            <w:pPr>
              <w:autoSpaceDE w:val="0"/>
              <w:autoSpaceDN w:val="0"/>
              <w:adjustRightInd w:val="0"/>
              <w:snapToGrid w:val="0"/>
              <w:jc w:val="center"/>
              <w:rPr>
                <w:rFonts w:ascii="Times New Roman"/>
                <w:sz w:val="21"/>
                <w:szCs w:val="21"/>
              </w:rPr>
            </w:pPr>
          </w:p>
        </w:tc>
        <w:tc>
          <w:tcPr>
            <w:tcW w:w="551" w:type="pct"/>
            <w:vAlign w:val="center"/>
          </w:tcPr>
          <w:p w14:paraId="09F46E2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FEB3F34">
            <w:pPr>
              <w:autoSpaceDE w:val="0"/>
              <w:autoSpaceDN w:val="0"/>
              <w:adjustRightInd w:val="0"/>
              <w:snapToGrid w:val="0"/>
              <w:jc w:val="center"/>
              <w:rPr>
                <w:rFonts w:ascii="Times New Roman"/>
                <w:sz w:val="21"/>
                <w:szCs w:val="21"/>
              </w:rPr>
            </w:pPr>
          </w:p>
        </w:tc>
        <w:tc>
          <w:tcPr>
            <w:tcW w:w="287" w:type="pct"/>
            <w:vMerge w:val="continue"/>
            <w:vAlign w:val="center"/>
          </w:tcPr>
          <w:p w14:paraId="3D10887C">
            <w:pPr>
              <w:autoSpaceDE w:val="0"/>
              <w:autoSpaceDN w:val="0"/>
              <w:adjustRightInd w:val="0"/>
              <w:snapToGrid w:val="0"/>
              <w:jc w:val="center"/>
              <w:rPr>
                <w:rFonts w:ascii="Times New Roman"/>
                <w:sz w:val="21"/>
                <w:szCs w:val="21"/>
              </w:rPr>
            </w:pPr>
          </w:p>
        </w:tc>
        <w:tc>
          <w:tcPr>
            <w:tcW w:w="434" w:type="pct"/>
            <w:vMerge w:val="continue"/>
            <w:vAlign w:val="center"/>
          </w:tcPr>
          <w:p w14:paraId="0BBE3A21">
            <w:pPr>
              <w:autoSpaceDE w:val="0"/>
              <w:autoSpaceDN w:val="0"/>
              <w:adjustRightInd w:val="0"/>
              <w:snapToGrid w:val="0"/>
              <w:jc w:val="center"/>
              <w:rPr>
                <w:rFonts w:ascii="Times New Roman"/>
                <w:sz w:val="21"/>
                <w:szCs w:val="21"/>
              </w:rPr>
            </w:pPr>
          </w:p>
        </w:tc>
      </w:tr>
      <w:tr w14:paraId="5265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56E815A">
            <w:pPr>
              <w:autoSpaceDE w:val="0"/>
              <w:autoSpaceDN w:val="0"/>
              <w:adjustRightInd w:val="0"/>
              <w:snapToGrid w:val="0"/>
              <w:jc w:val="center"/>
              <w:rPr>
                <w:rFonts w:ascii="Times New Roman"/>
                <w:sz w:val="21"/>
                <w:szCs w:val="21"/>
              </w:rPr>
            </w:pPr>
          </w:p>
        </w:tc>
        <w:tc>
          <w:tcPr>
            <w:tcW w:w="697" w:type="pct"/>
            <w:vAlign w:val="center"/>
          </w:tcPr>
          <w:p w14:paraId="3F27589E">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3B5423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50E1669">
            <w:pPr>
              <w:autoSpaceDE w:val="0"/>
              <w:autoSpaceDN w:val="0"/>
              <w:adjustRightInd w:val="0"/>
              <w:snapToGrid w:val="0"/>
              <w:jc w:val="center"/>
              <w:rPr>
                <w:rFonts w:ascii="Times New Roman"/>
                <w:sz w:val="21"/>
                <w:szCs w:val="21"/>
              </w:rPr>
            </w:pPr>
          </w:p>
        </w:tc>
        <w:tc>
          <w:tcPr>
            <w:tcW w:w="208" w:type="pct"/>
            <w:vAlign w:val="center"/>
          </w:tcPr>
          <w:p w14:paraId="558F2502">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7CD5BD01">
            <w:pPr>
              <w:autoSpaceDE w:val="0"/>
              <w:autoSpaceDN w:val="0"/>
              <w:adjustRightInd w:val="0"/>
              <w:snapToGrid w:val="0"/>
              <w:jc w:val="center"/>
              <w:rPr>
                <w:rFonts w:ascii="Times New Roman"/>
                <w:sz w:val="21"/>
                <w:szCs w:val="21"/>
              </w:rPr>
            </w:pPr>
            <w:r>
              <w:rPr>
                <w:rFonts w:ascii="Times New Roman"/>
                <w:sz w:val="21"/>
                <w:szCs w:val="21"/>
              </w:rPr>
              <w:t>180</w:t>
            </w:r>
          </w:p>
        </w:tc>
        <w:tc>
          <w:tcPr>
            <w:tcW w:w="240" w:type="pct"/>
            <w:vAlign w:val="center"/>
          </w:tcPr>
          <w:p w14:paraId="2E31A09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CBE4A05">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7FA0C54C">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3397546E">
            <w:pPr>
              <w:autoSpaceDE w:val="0"/>
              <w:autoSpaceDN w:val="0"/>
              <w:adjustRightInd w:val="0"/>
              <w:snapToGrid w:val="0"/>
              <w:jc w:val="center"/>
              <w:rPr>
                <w:rFonts w:ascii="Times New Roman"/>
                <w:sz w:val="21"/>
                <w:szCs w:val="21"/>
              </w:rPr>
            </w:pPr>
          </w:p>
        </w:tc>
        <w:tc>
          <w:tcPr>
            <w:tcW w:w="551" w:type="pct"/>
            <w:vAlign w:val="center"/>
          </w:tcPr>
          <w:p w14:paraId="5D06008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13A99D7">
            <w:pPr>
              <w:autoSpaceDE w:val="0"/>
              <w:autoSpaceDN w:val="0"/>
              <w:adjustRightInd w:val="0"/>
              <w:snapToGrid w:val="0"/>
              <w:jc w:val="center"/>
              <w:rPr>
                <w:rFonts w:ascii="Times New Roman"/>
                <w:sz w:val="21"/>
                <w:szCs w:val="21"/>
              </w:rPr>
            </w:pPr>
          </w:p>
        </w:tc>
        <w:tc>
          <w:tcPr>
            <w:tcW w:w="287" w:type="pct"/>
            <w:vMerge w:val="continue"/>
            <w:vAlign w:val="center"/>
          </w:tcPr>
          <w:p w14:paraId="790EC3FD">
            <w:pPr>
              <w:autoSpaceDE w:val="0"/>
              <w:autoSpaceDN w:val="0"/>
              <w:adjustRightInd w:val="0"/>
              <w:snapToGrid w:val="0"/>
              <w:jc w:val="center"/>
              <w:rPr>
                <w:rFonts w:ascii="Times New Roman"/>
                <w:sz w:val="21"/>
                <w:szCs w:val="21"/>
              </w:rPr>
            </w:pPr>
          </w:p>
        </w:tc>
        <w:tc>
          <w:tcPr>
            <w:tcW w:w="434" w:type="pct"/>
            <w:vMerge w:val="continue"/>
            <w:vAlign w:val="center"/>
          </w:tcPr>
          <w:p w14:paraId="4539E1E8">
            <w:pPr>
              <w:autoSpaceDE w:val="0"/>
              <w:autoSpaceDN w:val="0"/>
              <w:adjustRightInd w:val="0"/>
              <w:snapToGrid w:val="0"/>
              <w:jc w:val="center"/>
              <w:rPr>
                <w:rFonts w:ascii="Times New Roman"/>
                <w:sz w:val="21"/>
                <w:szCs w:val="21"/>
              </w:rPr>
            </w:pPr>
          </w:p>
        </w:tc>
      </w:tr>
      <w:tr w14:paraId="3A47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C772232">
            <w:pPr>
              <w:autoSpaceDE w:val="0"/>
              <w:autoSpaceDN w:val="0"/>
              <w:adjustRightInd w:val="0"/>
              <w:snapToGrid w:val="0"/>
              <w:jc w:val="center"/>
              <w:rPr>
                <w:rFonts w:ascii="Times New Roman"/>
                <w:sz w:val="21"/>
                <w:szCs w:val="21"/>
              </w:rPr>
            </w:pPr>
          </w:p>
        </w:tc>
        <w:tc>
          <w:tcPr>
            <w:tcW w:w="697" w:type="pct"/>
            <w:vAlign w:val="center"/>
          </w:tcPr>
          <w:p w14:paraId="6B242FB4">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3F0A2C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4FE8AD1D">
            <w:pPr>
              <w:autoSpaceDE w:val="0"/>
              <w:autoSpaceDN w:val="0"/>
              <w:adjustRightInd w:val="0"/>
              <w:snapToGrid w:val="0"/>
              <w:jc w:val="center"/>
              <w:rPr>
                <w:rFonts w:ascii="Times New Roman"/>
                <w:sz w:val="21"/>
                <w:szCs w:val="21"/>
              </w:rPr>
            </w:pPr>
          </w:p>
        </w:tc>
        <w:tc>
          <w:tcPr>
            <w:tcW w:w="208" w:type="pct"/>
            <w:vAlign w:val="center"/>
          </w:tcPr>
          <w:p w14:paraId="3D1A525B">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453C4C8B">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1E53107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4D90E61">
            <w:pPr>
              <w:autoSpaceDE w:val="0"/>
              <w:autoSpaceDN w:val="0"/>
              <w:adjustRightInd w:val="0"/>
              <w:snapToGrid w:val="0"/>
              <w:jc w:val="center"/>
              <w:rPr>
                <w:rFonts w:ascii="Times New Roman"/>
                <w:sz w:val="21"/>
                <w:szCs w:val="21"/>
              </w:rPr>
            </w:pPr>
            <w:r>
              <w:rPr>
                <w:rFonts w:ascii="Times New Roman"/>
                <w:sz w:val="21"/>
                <w:szCs w:val="21"/>
              </w:rPr>
              <w:t>149.6</w:t>
            </w:r>
          </w:p>
        </w:tc>
        <w:tc>
          <w:tcPr>
            <w:tcW w:w="358" w:type="pct"/>
            <w:vAlign w:val="center"/>
          </w:tcPr>
          <w:p w14:paraId="054923DB">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7F254684">
            <w:pPr>
              <w:autoSpaceDE w:val="0"/>
              <w:autoSpaceDN w:val="0"/>
              <w:adjustRightInd w:val="0"/>
              <w:snapToGrid w:val="0"/>
              <w:jc w:val="center"/>
              <w:rPr>
                <w:rFonts w:ascii="Times New Roman"/>
                <w:sz w:val="21"/>
                <w:szCs w:val="21"/>
              </w:rPr>
            </w:pPr>
          </w:p>
        </w:tc>
        <w:tc>
          <w:tcPr>
            <w:tcW w:w="551" w:type="pct"/>
            <w:vAlign w:val="center"/>
          </w:tcPr>
          <w:p w14:paraId="2933F1A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FC75AC4">
            <w:pPr>
              <w:autoSpaceDE w:val="0"/>
              <w:autoSpaceDN w:val="0"/>
              <w:adjustRightInd w:val="0"/>
              <w:snapToGrid w:val="0"/>
              <w:jc w:val="center"/>
              <w:rPr>
                <w:rFonts w:ascii="Times New Roman"/>
                <w:sz w:val="21"/>
                <w:szCs w:val="21"/>
              </w:rPr>
            </w:pPr>
          </w:p>
        </w:tc>
        <w:tc>
          <w:tcPr>
            <w:tcW w:w="287" w:type="pct"/>
            <w:vMerge w:val="continue"/>
            <w:vAlign w:val="center"/>
          </w:tcPr>
          <w:p w14:paraId="5C244EA2">
            <w:pPr>
              <w:autoSpaceDE w:val="0"/>
              <w:autoSpaceDN w:val="0"/>
              <w:adjustRightInd w:val="0"/>
              <w:snapToGrid w:val="0"/>
              <w:jc w:val="center"/>
              <w:rPr>
                <w:rFonts w:ascii="Times New Roman"/>
                <w:sz w:val="21"/>
                <w:szCs w:val="21"/>
              </w:rPr>
            </w:pPr>
          </w:p>
        </w:tc>
        <w:tc>
          <w:tcPr>
            <w:tcW w:w="434" w:type="pct"/>
            <w:vMerge w:val="continue"/>
            <w:vAlign w:val="center"/>
          </w:tcPr>
          <w:p w14:paraId="078929D8">
            <w:pPr>
              <w:autoSpaceDE w:val="0"/>
              <w:autoSpaceDN w:val="0"/>
              <w:adjustRightInd w:val="0"/>
              <w:snapToGrid w:val="0"/>
              <w:jc w:val="center"/>
              <w:rPr>
                <w:rFonts w:ascii="Times New Roman"/>
                <w:sz w:val="21"/>
                <w:szCs w:val="21"/>
              </w:rPr>
            </w:pPr>
          </w:p>
        </w:tc>
      </w:tr>
      <w:tr w14:paraId="2E51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E77A9F8">
            <w:pPr>
              <w:autoSpaceDE w:val="0"/>
              <w:autoSpaceDN w:val="0"/>
              <w:adjustRightInd w:val="0"/>
              <w:snapToGrid w:val="0"/>
              <w:jc w:val="center"/>
              <w:rPr>
                <w:rFonts w:ascii="Times New Roman"/>
                <w:sz w:val="21"/>
                <w:szCs w:val="21"/>
              </w:rPr>
            </w:pPr>
          </w:p>
        </w:tc>
        <w:tc>
          <w:tcPr>
            <w:tcW w:w="697" w:type="pct"/>
            <w:vAlign w:val="center"/>
          </w:tcPr>
          <w:p w14:paraId="61C88AE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4EB936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BAB8C86">
            <w:pPr>
              <w:autoSpaceDE w:val="0"/>
              <w:autoSpaceDN w:val="0"/>
              <w:adjustRightInd w:val="0"/>
              <w:snapToGrid w:val="0"/>
              <w:jc w:val="center"/>
              <w:rPr>
                <w:rFonts w:ascii="Times New Roman"/>
                <w:sz w:val="21"/>
                <w:szCs w:val="21"/>
              </w:rPr>
            </w:pPr>
          </w:p>
        </w:tc>
        <w:tc>
          <w:tcPr>
            <w:tcW w:w="208" w:type="pct"/>
            <w:vAlign w:val="center"/>
          </w:tcPr>
          <w:p w14:paraId="3DA9F830">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041143B3">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0988F7B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A220986">
            <w:pPr>
              <w:autoSpaceDE w:val="0"/>
              <w:autoSpaceDN w:val="0"/>
              <w:adjustRightInd w:val="0"/>
              <w:snapToGrid w:val="0"/>
              <w:jc w:val="center"/>
              <w:rPr>
                <w:rFonts w:ascii="Times New Roman"/>
                <w:sz w:val="21"/>
                <w:szCs w:val="21"/>
              </w:rPr>
            </w:pPr>
            <w:r>
              <w:rPr>
                <w:rFonts w:ascii="Times New Roman"/>
                <w:sz w:val="21"/>
                <w:szCs w:val="21"/>
              </w:rPr>
              <w:t>149.6</w:t>
            </w:r>
          </w:p>
        </w:tc>
        <w:tc>
          <w:tcPr>
            <w:tcW w:w="358" w:type="pct"/>
            <w:vAlign w:val="center"/>
          </w:tcPr>
          <w:p w14:paraId="498EA491">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1698EB39">
            <w:pPr>
              <w:autoSpaceDE w:val="0"/>
              <w:autoSpaceDN w:val="0"/>
              <w:adjustRightInd w:val="0"/>
              <w:snapToGrid w:val="0"/>
              <w:jc w:val="center"/>
              <w:rPr>
                <w:rFonts w:ascii="Times New Roman"/>
                <w:sz w:val="21"/>
                <w:szCs w:val="21"/>
              </w:rPr>
            </w:pPr>
          </w:p>
        </w:tc>
        <w:tc>
          <w:tcPr>
            <w:tcW w:w="551" w:type="pct"/>
            <w:vAlign w:val="center"/>
          </w:tcPr>
          <w:p w14:paraId="5A9C4AC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16BF6CC">
            <w:pPr>
              <w:autoSpaceDE w:val="0"/>
              <w:autoSpaceDN w:val="0"/>
              <w:adjustRightInd w:val="0"/>
              <w:snapToGrid w:val="0"/>
              <w:jc w:val="center"/>
              <w:rPr>
                <w:rFonts w:ascii="Times New Roman"/>
                <w:sz w:val="21"/>
                <w:szCs w:val="21"/>
              </w:rPr>
            </w:pPr>
          </w:p>
        </w:tc>
        <w:tc>
          <w:tcPr>
            <w:tcW w:w="287" w:type="pct"/>
            <w:vMerge w:val="continue"/>
            <w:vAlign w:val="center"/>
          </w:tcPr>
          <w:p w14:paraId="5064C32F">
            <w:pPr>
              <w:autoSpaceDE w:val="0"/>
              <w:autoSpaceDN w:val="0"/>
              <w:adjustRightInd w:val="0"/>
              <w:snapToGrid w:val="0"/>
              <w:jc w:val="center"/>
              <w:rPr>
                <w:rFonts w:ascii="Times New Roman"/>
                <w:sz w:val="21"/>
                <w:szCs w:val="21"/>
              </w:rPr>
            </w:pPr>
          </w:p>
        </w:tc>
        <w:tc>
          <w:tcPr>
            <w:tcW w:w="434" w:type="pct"/>
            <w:vMerge w:val="continue"/>
            <w:vAlign w:val="center"/>
          </w:tcPr>
          <w:p w14:paraId="20E3A2AB">
            <w:pPr>
              <w:autoSpaceDE w:val="0"/>
              <w:autoSpaceDN w:val="0"/>
              <w:adjustRightInd w:val="0"/>
              <w:snapToGrid w:val="0"/>
              <w:jc w:val="center"/>
              <w:rPr>
                <w:rFonts w:ascii="Times New Roman"/>
                <w:sz w:val="21"/>
                <w:szCs w:val="21"/>
              </w:rPr>
            </w:pPr>
          </w:p>
        </w:tc>
      </w:tr>
      <w:tr w14:paraId="3751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E34FF2B">
            <w:pPr>
              <w:autoSpaceDE w:val="0"/>
              <w:autoSpaceDN w:val="0"/>
              <w:adjustRightInd w:val="0"/>
              <w:snapToGrid w:val="0"/>
              <w:jc w:val="center"/>
              <w:rPr>
                <w:rFonts w:ascii="Times New Roman"/>
                <w:sz w:val="21"/>
                <w:szCs w:val="21"/>
              </w:rPr>
            </w:pPr>
          </w:p>
        </w:tc>
        <w:tc>
          <w:tcPr>
            <w:tcW w:w="697" w:type="pct"/>
            <w:vAlign w:val="center"/>
          </w:tcPr>
          <w:p w14:paraId="05E24E38">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E4B152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1F74F7D">
            <w:pPr>
              <w:autoSpaceDE w:val="0"/>
              <w:autoSpaceDN w:val="0"/>
              <w:adjustRightInd w:val="0"/>
              <w:snapToGrid w:val="0"/>
              <w:jc w:val="center"/>
              <w:rPr>
                <w:rFonts w:ascii="Times New Roman"/>
                <w:sz w:val="21"/>
                <w:szCs w:val="21"/>
              </w:rPr>
            </w:pPr>
          </w:p>
        </w:tc>
        <w:tc>
          <w:tcPr>
            <w:tcW w:w="208" w:type="pct"/>
            <w:vAlign w:val="center"/>
          </w:tcPr>
          <w:p w14:paraId="6ED08C49">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33E7A99E">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7EC58FD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3B41FC6">
            <w:pPr>
              <w:autoSpaceDE w:val="0"/>
              <w:autoSpaceDN w:val="0"/>
              <w:adjustRightInd w:val="0"/>
              <w:snapToGrid w:val="0"/>
              <w:jc w:val="center"/>
              <w:rPr>
                <w:rFonts w:ascii="Times New Roman"/>
                <w:sz w:val="21"/>
                <w:szCs w:val="21"/>
              </w:rPr>
            </w:pPr>
            <w:r>
              <w:rPr>
                <w:rFonts w:ascii="Times New Roman"/>
                <w:sz w:val="21"/>
                <w:szCs w:val="21"/>
              </w:rPr>
              <w:t>149.6</w:t>
            </w:r>
          </w:p>
        </w:tc>
        <w:tc>
          <w:tcPr>
            <w:tcW w:w="358" w:type="pct"/>
            <w:vAlign w:val="center"/>
          </w:tcPr>
          <w:p w14:paraId="6D2ED5FF">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0AD71750">
            <w:pPr>
              <w:autoSpaceDE w:val="0"/>
              <w:autoSpaceDN w:val="0"/>
              <w:adjustRightInd w:val="0"/>
              <w:snapToGrid w:val="0"/>
              <w:jc w:val="center"/>
              <w:rPr>
                <w:rFonts w:ascii="Times New Roman"/>
                <w:sz w:val="21"/>
                <w:szCs w:val="21"/>
              </w:rPr>
            </w:pPr>
          </w:p>
        </w:tc>
        <w:tc>
          <w:tcPr>
            <w:tcW w:w="551" w:type="pct"/>
            <w:vAlign w:val="center"/>
          </w:tcPr>
          <w:p w14:paraId="5FB0D89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C1498F9">
            <w:pPr>
              <w:autoSpaceDE w:val="0"/>
              <w:autoSpaceDN w:val="0"/>
              <w:adjustRightInd w:val="0"/>
              <w:snapToGrid w:val="0"/>
              <w:jc w:val="center"/>
              <w:rPr>
                <w:rFonts w:ascii="Times New Roman"/>
                <w:sz w:val="21"/>
                <w:szCs w:val="21"/>
              </w:rPr>
            </w:pPr>
          </w:p>
        </w:tc>
        <w:tc>
          <w:tcPr>
            <w:tcW w:w="287" w:type="pct"/>
            <w:vMerge w:val="continue"/>
            <w:vAlign w:val="center"/>
          </w:tcPr>
          <w:p w14:paraId="275D6008">
            <w:pPr>
              <w:autoSpaceDE w:val="0"/>
              <w:autoSpaceDN w:val="0"/>
              <w:adjustRightInd w:val="0"/>
              <w:snapToGrid w:val="0"/>
              <w:jc w:val="center"/>
              <w:rPr>
                <w:rFonts w:ascii="Times New Roman"/>
                <w:sz w:val="21"/>
                <w:szCs w:val="21"/>
              </w:rPr>
            </w:pPr>
          </w:p>
        </w:tc>
        <w:tc>
          <w:tcPr>
            <w:tcW w:w="434" w:type="pct"/>
            <w:vMerge w:val="continue"/>
            <w:vAlign w:val="center"/>
          </w:tcPr>
          <w:p w14:paraId="6FE6CD4C">
            <w:pPr>
              <w:autoSpaceDE w:val="0"/>
              <w:autoSpaceDN w:val="0"/>
              <w:adjustRightInd w:val="0"/>
              <w:snapToGrid w:val="0"/>
              <w:jc w:val="center"/>
              <w:rPr>
                <w:rFonts w:ascii="Times New Roman"/>
                <w:sz w:val="21"/>
                <w:szCs w:val="21"/>
              </w:rPr>
            </w:pPr>
          </w:p>
        </w:tc>
      </w:tr>
      <w:tr w14:paraId="7B1F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883FF7D">
            <w:pPr>
              <w:autoSpaceDE w:val="0"/>
              <w:autoSpaceDN w:val="0"/>
              <w:adjustRightInd w:val="0"/>
              <w:snapToGrid w:val="0"/>
              <w:jc w:val="center"/>
              <w:rPr>
                <w:rFonts w:ascii="Times New Roman"/>
                <w:sz w:val="21"/>
                <w:szCs w:val="21"/>
              </w:rPr>
            </w:pPr>
          </w:p>
        </w:tc>
        <w:tc>
          <w:tcPr>
            <w:tcW w:w="697" w:type="pct"/>
            <w:vAlign w:val="center"/>
          </w:tcPr>
          <w:p w14:paraId="684E218F">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5921ACB">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6DA88849">
            <w:pPr>
              <w:autoSpaceDE w:val="0"/>
              <w:autoSpaceDN w:val="0"/>
              <w:adjustRightInd w:val="0"/>
              <w:snapToGrid w:val="0"/>
              <w:jc w:val="center"/>
              <w:rPr>
                <w:rFonts w:ascii="Times New Roman"/>
                <w:sz w:val="21"/>
                <w:szCs w:val="21"/>
              </w:rPr>
            </w:pPr>
          </w:p>
        </w:tc>
        <w:tc>
          <w:tcPr>
            <w:tcW w:w="208" w:type="pct"/>
            <w:vAlign w:val="center"/>
          </w:tcPr>
          <w:p w14:paraId="4E8ED1FD">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497CA204">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2032A0F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4E80D17">
            <w:pPr>
              <w:autoSpaceDE w:val="0"/>
              <w:autoSpaceDN w:val="0"/>
              <w:adjustRightInd w:val="0"/>
              <w:snapToGrid w:val="0"/>
              <w:jc w:val="center"/>
              <w:rPr>
                <w:rFonts w:ascii="Times New Roman"/>
                <w:sz w:val="21"/>
                <w:szCs w:val="21"/>
              </w:rPr>
            </w:pPr>
            <w:r>
              <w:rPr>
                <w:rFonts w:ascii="Times New Roman"/>
                <w:sz w:val="21"/>
                <w:szCs w:val="21"/>
              </w:rPr>
              <w:t>149.6</w:t>
            </w:r>
          </w:p>
        </w:tc>
        <w:tc>
          <w:tcPr>
            <w:tcW w:w="358" w:type="pct"/>
            <w:vAlign w:val="center"/>
          </w:tcPr>
          <w:p w14:paraId="62D64CB8">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3B82BAD7">
            <w:pPr>
              <w:autoSpaceDE w:val="0"/>
              <w:autoSpaceDN w:val="0"/>
              <w:adjustRightInd w:val="0"/>
              <w:snapToGrid w:val="0"/>
              <w:jc w:val="center"/>
              <w:rPr>
                <w:rFonts w:ascii="Times New Roman"/>
                <w:sz w:val="21"/>
                <w:szCs w:val="21"/>
              </w:rPr>
            </w:pPr>
          </w:p>
        </w:tc>
        <w:tc>
          <w:tcPr>
            <w:tcW w:w="551" w:type="pct"/>
            <w:vAlign w:val="center"/>
          </w:tcPr>
          <w:p w14:paraId="0C5E1E3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19FCFDB">
            <w:pPr>
              <w:autoSpaceDE w:val="0"/>
              <w:autoSpaceDN w:val="0"/>
              <w:adjustRightInd w:val="0"/>
              <w:snapToGrid w:val="0"/>
              <w:jc w:val="center"/>
              <w:rPr>
                <w:rFonts w:ascii="Times New Roman"/>
                <w:sz w:val="21"/>
                <w:szCs w:val="21"/>
              </w:rPr>
            </w:pPr>
          </w:p>
        </w:tc>
        <w:tc>
          <w:tcPr>
            <w:tcW w:w="287" w:type="pct"/>
            <w:vMerge w:val="continue"/>
            <w:vAlign w:val="center"/>
          </w:tcPr>
          <w:p w14:paraId="290749ED">
            <w:pPr>
              <w:autoSpaceDE w:val="0"/>
              <w:autoSpaceDN w:val="0"/>
              <w:adjustRightInd w:val="0"/>
              <w:snapToGrid w:val="0"/>
              <w:jc w:val="center"/>
              <w:rPr>
                <w:rFonts w:ascii="Times New Roman"/>
                <w:sz w:val="21"/>
                <w:szCs w:val="21"/>
              </w:rPr>
            </w:pPr>
          </w:p>
        </w:tc>
        <w:tc>
          <w:tcPr>
            <w:tcW w:w="434" w:type="pct"/>
            <w:vMerge w:val="continue"/>
            <w:vAlign w:val="center"/>
          </w:tcPr>
          <w:p w14:paraId="4E3FB441">
            <w:pPr>
              <w:autoSpaceDE w:val="0"/>
              <w:autoSpaceDN w:val="0"/>
              <w:adjustRightInd w:val="0"/>
              <w:snapToGrid w:val="0"/>
              <w:jc w:val="center"/>
              <w:rPr>
                <w:rFonts w:ascii="Times New Roman"/>
                <w:sz w:val="21"/>
                <w:szCs w:val="21"/>
              </w:rPr>
            </w:pPr>
          </w:p>
        </w:tc>
      </w:tr>
      <w:tr w14:paraId="390C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16CB034">
            <w:pPr>
              <w:autoSpaceDE w:val="0"/>
              <w:autoSpaceDN w:val="0"/>
              <w:adjustRightInd w:val="0"/>
              <w:snapToGrid w:val="0"/>
              <w:jc w:val="center"/>
              <w:rPr>
                <w:rFonts w:ascii="Times New Roman"/>
                <w:sz w:val="21"/>
                <w:szCs w:val="21"/>
              </w:rPr>
            </w:pPr>
          </w:p>
        </w:tc>
        <w:tc>
          <w:tcPr>
            <w:tcW w:w="697" w:type="pct"/>
            <w:vAlign w:val="center"/>
          </w:tcPr>
          <w:p w14:paraId="1E3D4AF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7DB2750">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896D9AD">
            <w:pPr>
              <w:autoSpaceDE w:val="0"/>
              <w:autoSpaceDN w:val="0"/>
              <w:adjustRightInd w:val="0"/>
              <w:snapToGrid w:val="0"/>
              <w:jc w:val="center"/>
              <w:rPr>
                <w:rFonts w:ascii="Times New Roman"/>
                <w:sz w:val="21"/>
                <w:szCs w:val="21"/>
              </w:rPr>
            </w:pPr>
          </w:p>
        </w:tc>
        <w:tc>
          <w:tcPr>
            <w:tcW w:w="208" w:type="pct"/>
            <w:vAlign w:val="center"/>
          </w:tcPr>
          <w:p w14:paraId="3770A6BD">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57DF662D">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783855C0">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C1A14E2">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5C1318B1">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114FDE00">
            <w:pPr>
              <w:autoSpaceDE w:val="0"/>
              <w:autoSpaceDN w:val="0"/>
              <w:adjustRightInd w:val="0"/>
              <w:snapToGrid w:val="0"/>
              <w:jc w:val="center"/>
              <w:rPr>
                <w:rFonts w:ascii="Times New Roman"/>
                <w:sz w:val="21"/>
                <w:szCs w:val="21"/>
              </w:rPr>
            </w:pPr>
          </w:p>
        </w:tc>
        <w:tc>
          <w:tcPr>
            <w:tcW w:w="551" w:type="pct"/>
            <w:vAlign w:val="center"/>
          </w:tcPr>
          <w:p w14:paraId="393E372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7377122">
            <w:pPr>
              <w:autoSpaceDE w:val="0"/>
              <w:autoSpaceDN w:val="0"/>
              <w:adjustRightInd w:val="0"/>
              <w:snapToGrid w:val="0"/>
              <w:jc w:val="center"/>
              <w:rPr>
                <w:rFonts w:ascii="Times New Roman"/>
                <w:sz w:val="21"/>
                <w:szCs w:val="21"/>
              </w:rPr>
            </w:pPr>
          </w:p>
        </w:tc>
        <w:tc>
          <w:tcPr>
            <w:tcW w:w="287" w:type="pct"/>
            <w:vMerge w:val="continue"/>
            <w:vAlign w:val="center"/>
          </w:tcPr>
          <w:p w14:paraId="611D1467">
            <w:pPr>
              <w:autoSpaceDE w:val="0"/>
              <w:autoSpaceDN w:val="0"/>
              <w:adjustRightInd w:val="0"/>
              <w:snapToGrid w:val="0"/>
              <w:jc w:val="center"/>
              <w:rPr>
                <w:rFonts w:ascii="Times New Roman"/>
                <w:sz w:val="21"/>
                <w:szCs w:val="21"/>
              </w:rPr>
            </w:pPr>
          </w:p>
        </w:tc>
        <w:tc>
          <w:tcPr>
            <w:tcW w:w="434" w:type="pct"/>
            <w:vMerge w:val="continue"/>
            <w:vAlign w:val="center"/>
          </w:tcPr>
          <w:p w14:paraId="374F0DFE">
            <w:pPr>
              <w:autoSpaceDE w:val="0"/>
              <w:autoSpaceDN w:val="0"/>
              <w:adjustRightInd w:val="0"/>
              <w:snapToGrid w:val="0"/>
              <w:jc w:val="center"/>
              <w:rPr>
                <w:rFonts w:ascii="Times New Roman"/>
                <w:sz w:val="21"/>
                <w:szCs w:val="21"/>
              </w:rPr>
            </w:pPr>
          </w:p>
        </w:tc>
      </w:tr>
      <w:tr w14:paraId="7B7F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F46785C">
            <w:pPr>
              <w:autoSpaceDE w:val="0"/>
              <w:autoSpaceDN w:val="0"/>
              <w:adjustRightInd w:val="0"/>
              <w:snapToGrid w:val="0"/>
              <w:jc w:val="center"/>
              <w:rPr>
                <w:rFonts w:ascii="Times New Roman"/>
                <w:sz w:val="21"/>
                <w:szCs w:val="21"/>
              </w:rPr>
            </w:pPr>
          </w:p>
        </w:tc>
        <w:tc>
          <w:tcPr>
            <w:tcW w:w="697" w:type="pct"/>
            <w:vAlign w:val="center"/>
          </w:tcPr>
          <w:p w14:paraId="1D044258">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003933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33C6C03">
            <w:pPr>
              <w:autoSpaceDE w:val="0"/>
              <w:autoSpaceDN w:val="0"/>
              <w:adjustRightInd w:val="0"/>
              <w:snapToGrid w:val="0"/>
              <w:jc w:val="center"/>
              <w:rPr>
                <w:rFonts w:ascii="Times New Roman"/>
                <w:sz w:val="21"/>
                <w:szCs w:val="21"/>
              </w:rPr>
            </w:pPr>
          </w:p>
        </w:tc>
        <w:tc>
          <w:tcPr>
            <w:tcW w:w="208" w:type="pct"/>
            <w:vAlign w:val="center"/>
          </w:tcPr>
          <w:p w14:paraId="2E6456D9">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009CBF7B">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4429774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D5361CF">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1CB13205">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5CD6545E">
            <w:pPr>
              <w:autoSpaceDE w:val="0"/>
              <w:autoSpaceDN w:val="0"/>
              <w:adjustRightInd w:val="0"/>
              <w:snapToGrid w:val="0"/>
              <w:jc w:val="center"/>
              <w:rPr>
                <w:rFonts w:ascii="Times New Roman"/>
                <w:sz w:val="21"/>
                <w:szCs w:val="21"/>
              </w:rPr>
            </w:pPr>
          </w:p>
        </w:tc>
        <w:tc>
          <w:tcPr>
            <w:tcW w:w="551" w:type="pct"/>
            <w:vAlign w:val="center"/>
          </w:tcPr>
          <w:p w14:paraId="2A2AFFE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8D11042">
            <w:pPr>
              <w:autoSpaceDE w:val="0"/>
              <w:autoSpaceDN w:val="0"/>
              <w:adjustRightInd w:val="0"/>
              <w:snapToGrid w:val="0"/>
              <w:jc w:val="center"/>
              <w:rPr>
                <w:rFonts w:ascii="Times New Roman"/>
                <w:sz w:val="21"/>
                <w:szCs w:val="21"/>
              </w:rPr>
            </w:pPr>
          </w:p>
        </w:tc>
        <w:tc>
          <w:tcPr>
            <w:tcW w:w="287" w:type="pct"/>
            <w:vMerge w:val="continue"/>
            <w:vAlign w:val="center"/>
          </w:tcPr>
          <w:p w14:paraId="3D1897A1">
            <w:pPr>
              <w:autoSpaceDE w:val="0"/>
              <w:autoSpaceDN w:val="0"/>
              <w:adjustRightInd w:val="0"/>
              <w:snapToGrid w:val="0"/>
              <w:jc w:val="center"/>
              <w:rPr>
                <w:rFonts w:ascii="Times New Roman"/>
                <w:sz w:val="21"/>
                <w:szCs w:val="21"/>
              </w:rPr>
            </w:pPr>
          </w:p>
        </w:tc>
        <w:tc>
          <w:tcPr>
            <w:tcW w:w="434" w:type="pct"/>
            <w:vMerge w:val="continue"/>
            <w:vAlign w:val="center"/>
          </w:tcPr>
          <w:p w14:paraId="4AA8C083">
            <w:pPr>
              <w:autoSpaceDE w:val="0"/>
              <w:autoSpaceDN w:val="0"/>
              <w:adjustRightInd w:val="0"/>
              <w:snapToGrid w:val="0"/>
              <w:jc w:val="center"/>
              <w:rPr>
                <w:rFonts w:ascii="Times New Roman"/>
                <w:sz w:val="21"/>
                <w:szCs w:val="21"/>
              </w:rPr>
            </w:pPr>
          </w:p>
        </w:tc>
      </w:tr>
      <w:tr w14:paraId="17CC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602B413">
            <w:pPr>
              <w:autoSpaceDE w:val="0"/>
              <w:autoSpaceDN w:val="0"/>
              <w:adjustRightInd w:val="0"/>
              <w:snapToGrid w:val="0"/>
              <w:jc w:val="center"/>
              <w:rPr>
                <w:rFonts w:ascii="Times New Roman"/>
                <w:sz w:val="21"/>
                <w:szCs w:val="21"/>
              </w:rPr>
            </w:pPr>
          </w:p>
        </w:tc>
        <w:tc>
          <w:tcPr>
            <w:tcW w:w="697" w:type="pct"/>
            <w:vAlign w:val="center"/>
          </w:tcPr>
          <w:p w14:paraId="15DF3305">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D978C6F">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53FC64E">
            <w:pPr>
              <w:autoSpaceDE w:val="0"/>
              <w:autoSpaceDN w:val="0"/>
              <w:adjustRightInd w:val="0"/>
              <w:snapToGrid w:val="0"/>
              <w:jc w:val="center"/>
              <w:rPr>
                <w:rFonts w:ascii="Times New Roman"/>
                <w:sz w:val="21"/>
                <w:szCs w:val="21"/>
              </w:rPr>
            </w:pPr>
          </w:p>
        </w:tc>
        <w:tc>
          <w:tcPr>
            <w:tcW w:w="208" w:type="pct"/>
            <w:vAlign w:val="center"/>
          </w:tcPr>
          <w:p w14:paraId="7B71119B">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557193E7">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7196A20B">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B6037DA">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654B0CF3">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2E470F96">
            <w:pPr>
              <w:autoSpaceDE w:val="0"/>
              <w:autoSpaceDN w:val="0"/>
              <w:adjustRightInd w:val="0"/>
              <w:snapToGrid w:val="0"/>
              <w:jc w:val="center"/>
              <w:rPr>
                <w:rFonts w:ascii="Times New Roman"/>
                <w:sz w:val="21"/>
                <w:szCs w:val="21"/>
              </w:rPr>
            </w:pPr>
          </w:p>
        </w:tc>
        <w:tc>
          <w:tcPr>
            <w:tcW w:w="551" w:type="pct"/>
            <w:vAlign w:val="center"/>
          </w:tcPr>
          <w:p w14:paraId="5C12716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A5531D9">
            <w:pPr>
              <w:autoSpaceDE w:val="0"/>
              <w:autoSpaceDN w:val="0"/>
              <w:adjustRightInd w:val="0"/>
              <w:snapToGrid w:val="0"/>
              <w:jc w:val="center"/>
              <w:rPr>
                <w:rFonts w:ascii="Times New Roman"/>
                <w:sz w:val="21"/>
                <w:szCs w:val="21"/>
              </w:rPr>
            </w:pPr>
          </w:p>
        </w:tc>
        <w:tc>
          <w:tcPr>
            <w:tcW w:w="287" w:type="pct"/>
            <w:vMerge w:val="continue"/>
            <w:vAlign w:val="center"/>
          </w:tcPr>
          <w:p w14:paraId="2D2BE16B">
            <w:pPr>
              <w:autoSpaceDE w:val="0"/>
              <w:autoSpaceDN w:val="0"/>
              <w:adjustRightInd w:val="0"/>
              <w:snapToGrid w:val="0"/>
              <w:jc w:val="center"/>
              <w:rPr>
                <w:rFonts w:ascii="Times New Roman"/>
                <w:sz w:val="21"/>
                <w:szCs w:val="21"/>
              </w:rPr>
            </w:pPr>
          </w:p>
        </w:tc>
        <w:tc>
          <w:tcPr>
            <w:tcW w:w="434" w:type="pct"/>
            <w:vMerge w:val="continue"/>
            <w:vAlign w:val="center"/>
          </w:tcPr>
          <w:p w14:paraId="7819DBC7">
            <w:pPr>
              <w:autoSpaceDE w:val="0"/>
              <w:autoSpaceDN w:val="0"/>
              <w:adjustRightInd w:val="0"/>
              <w:snapToGrid w:val="0"/>
              <w:jc w:val="center"/>
              <w:rPr>
                <w:rFonts w:ascii="Times New Roman"/>
                <w:sz w:val="21"/>
                <w:szCs w:val="21"/>
              </w:rPr>
            </w:pPr>
          </w:p>
        </w:tc>
      </w:tr>
      <w:tr w14:paraId="3D2E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DC90647">
            <w:pPr>
              <w:autoSpaceDE w:val="0"/>
              <w:autoSpaceDN w:val="0"/>
              <w:adjustRightInd w:val="0"/>
              <w:snapToGrid w:val="0"/>
              <w:jc w:val="center"/>
              <w:rPr>
                <w:rFonts w:ascii="Times New Roman"/>
                <w:sz w:val="21"/>
                <w:szCs w:val="21"/>
              </w:rPr>
            </w:pPr>
          </w:p>
        </w:tc>
        <w:tc>
          <w:tcPr>
            <w:tcW w:w="697" w:type="pct"/>
            <w:vAlign w:val="center"/>
          </w:tcPr>
          <w:p w14:paraId="5D421D4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A479481">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D6C9099">
            <w:pPr>
              <w:autoSpaceDE w:val="0"/>
              <w:autoSpaceDN w:val="0"/>
              <w:adjustRightInd w:val="0"/>
              <w:snapToGrid w:val="0"/>
              <w:jc w:val="center"/>
              <w:rPr>
                <w:rFonts w:ascii="Times New Roman"/>
                <w:sz w:val="21"/>
                <w:szCs w:val="21"/>
              </w:rPr>
            </w:pPr>
          </w:p>
        </w:tc>
        <w:tc>
          <w:tcPr>
            <w:tcW w:w="208" w:type="pct"/>
            <w:vAlign w:val="center"/>
          </w:tcPr>
          <w:p w14:paraId="3E973683">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3DF553D3">
            <w:pPr>
              <w:autoSpaceDE w:val="0"/>
              <w:autoSpaceDN w:val="0"/>
              <w:adjustRightInd w:val="0"/>
              <w:snapToGrid w:val="0"/>
              <w:jc w:val="center"/>
              <w:rPr>
                <w:rFonts w:ascii="Times New Roman"/>
                <w:sz w:val="21"/>
                <w:szCs w:val="21"/>
              </w:rPr>
            </w:pPr>
            <w:r>
              <w:rPr>
                <w:rFonts w:ascii="Times New Roman"/>
                <w:sz w:val="21"/>
                <w:szCs w:val="21"/>
              </w:rPr>
              <w:t>185</w:t>
            </w:r>
          </w:p>
        </w:tc>
        <w:tc>
          <w:tcPr>
            <w:tcW w:w="240" w:type="pct"/>
            <w:vAlign w:val="center"/>
          </w:tcPr>
          <w:p w14:paraId="4E39F4F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10C956A">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46A837E1">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5455A847">
            <w:pPr>
              <w:autoSpaceDE w:val="0"/>
              <w:autoSpaceDN w:val="0"/>
              <w:adjustRightInd w:val="0"/>
              <w:snapToGrid w:val="0"/>
              <w:jc w:val="center"/>
              <w:rPr>
                <w:rFonts w:ascii="Times New Roman"/>
                <w:sz w:val="21"/>
                <w:szCs w:val="21"/>
              </w:rPr>
            </w:pPr>
          </w:p>
        </w:tc>
        <w:tc>
          <w:tcPr>
            <w:tcW w:w="551" w:type="pct"/>
            <w:vAlign w:val="center"/>
          </w:tcPr>
          <w:p w14:paraId="64DCDDC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6FCEC24">
            <w:pPr>
              <w:autoSpaceDE w:val="0"/>
              <w:autoSpaceDN w:val="0"/>
              <w:adjustRightInd w:val="0"/>
              <w:snapToGrid w:val="0"/>
              <w:jc w:val="center"/>
              <w:rPr>
                <w:rFonts w:ascii="Times New Roman"/>
                <w:sz w:val="21"/>
                <w:szCs w:val="21"/>
              </w:rPr>
            </w:pPr>
          </w:p>
        </w:tc>
        <w:tc>
          <w:tcPr>
            <w:tcW w:w="287" w:type="pct"/>
            <w:vMerge w:val="continue"/>
            <w:vAlign w:val="center"/>
          </w:tcPr>
          <w:p w14:paraId="5CABFB0B">
            <w:pPr>
              <w:autoSpaceDE w:val="0"/>
              <w:autoSpaceDN w:val="0"/>
              <w:adjustRightInd w:val="0"/>
              <w:snapToGrid w:val="0"/>
              <w:jc w:val="center"/>
              <w:rPr>
                <w:rFonts w:ascii="Times New Roman"/>
                <w:sz w:val="21"/>
                <w:szCs w:val="21"/>
              </w:rPr>
            </w:pPr>
          </w:p>
        </w:tc>
        <w:tc>
          <w:tcPr>
            <w:tcW w:w="434" w:type="pct"/>
            <w:vMerge w:val="continue"/>
            <w:vAlign w:val="center"/>
          </w:tcPr>
          <w:p w14:paraId="46F70630">
            <w:pPr>
              <w:autoSpaceDE w:val="0"/>
              <w:autoSpaceDN w:val="0"/>
              <w:adjustRightInd w:val="0"/>
              <w:snapToGrid w:val="0"/>
              <w:jc w:val="center"/>
              <w:rPr>
                <w:rFonts w:ascii="Times New Roman"/>
                <w:sz w:val="21"/>
                <w:szCs w:val="21"/>
              </w:rPr>
            </w:pPr>
          </w:p>
        </w:tc>
      </w:tr>
      <w:tr w14:paraId="08CD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4BB62BD">
            <w:pPr>
              <w:autoSpaceDE w:val="0"/>
              <w:autoSpaceDN w:val="0"/>
              <w:adjustRightInd w:val="0"/>
              <w:snapToGrid w:val="0"/>
              <w:jc w:val="center"/>
              <w:rPr>
                <w:rFonts w:ascii="Times New Roman"/>
                <w:sz w:val="21"/>
                <w:szCs w:val="21"/>
              </w:rPr>
            </w:pPr>
          </w:p>
        </w:tc>
        <w:tc>
          <w:tcPr>
            <w:tcW w:w="697" w:type="pct"/>
            <w:vAlign w:val="center"/>
          </w:tcPr>
          <w:p w14:paraId="396DB33B">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7A447AB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043EC135">
            <w:pPr>
              <w:autoSpaceDE w:val="0"/>
              <w:autoSpaceDN w:val="0"/>
              <w:adjustRightInd w:val="0"/>
              <w:snapToGrid w:val="0"/>
              <w:jc w:val="center"/>
              <w:rPr>
                <w:rFonts w:ascii="Times New Roman"/>
                <w:sz w:val="21"/>
                <w:szCs w:val="21"/>
              </w:rPr>
            </w:pPr>
          </w:p>
        </w:tc>
        <w:tc>
          <w:tcPr>
            <w:tcW w:w="208" w:type="pct"/>
            <w:vAlign w:val="center"/>
          </w:tcPr>
          <w:p w14:paraId="01DD4AC9">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1C611E9E">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2481590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23AACC1">
            <w:pPr>
              <w:autoSpaceDE w:val="0"/>
              <w:autoSpaceDN w:val="0"/>
              <w:adjustRightInd w:val="0"/>
              <w:snapToGrid w:val="0"/>
              <w:jc w:val="center"/>
              <w:rPr>
                <w:rFonts w:ascii="Times New Roman"/>
                <w:sz w:val="21"/>
                <w:szCs w:val="21"/>
              </w:rPr>
            </w:pPr>
            <w:r>
              <w:rPr>
                <w:rFonts w:ascii="Times New Roman"/>
                <w:sz w:val="21"/>
                <w:szCs w:val="21"/>
              </w:rPr>
              <w:t>144.6</w:t>
            </w:r>
          </w:p>
        </w:tc>
        <w:tc>
          <w:tcPr>
            <w:tcW w:w="358" w:type="pct"/>
            <w:vAlign w:val="center"/>
          </w:tcPr>
          <w:p w14:paraId="734D5F49">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0F1C9309">
            <w:pPr>
              <w:autoSpaceDE w:val="0"/>
              <w:autoSpaceDN w:val="0"/>
              <w:adjustRightInd w:val="0"/>
              <w:snapToGrid w:val="0"/>
              <w:jc w:val="center"/>
              <w:rPr>
                <w:rFonts w:ascii="Times New Roman"/>
                <w:sz w:val="21"/>
                <w:szCs w:val="21"/>
              </w:rPr>
            </w:pPr>
          </w:p>
        </w:tc>
        <w:tc>
          <w:tcPr>
            <w:tcW w:w="551" w:type="pct"/>
            <w:vAlign w:val="center"/>
          </w:tcPr>
          <w:p w14:paraId="26A6011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EA952CB">
            <w:pPr>
              <w:autoSpaceDE w:val="0"/>
              <w:autoSpaceDN w:val="0"/>
              <w:adjustRightInd w:val="0"/>
              <w:snapToGrid w:val="0"/>
              <w:jc w:val="center"/>
              <w:rPr>
                <w:rFonts w:ascii="Times New Roman"/>
                <w:sz w:val="21"/>
                <w:szCs w:val="21"/>
              </w:rPr>
            </w:pPr>
          </w:p>
        </w:tc>
        <w:tc>
          <w:tcPr>
            <w:tcW w:w="287" w:type="pct"/>
            <w:vMerge w:val="continue"/>
            <w:vAlign w:val="center"/>
          </w:tcPr>
          <w:p w14:paraId="69A65452">
            <w:pPr>
              <w:autoSpaceDE w:val="0"/>
              <w:autoSpaceDN w:val="0"/>
              <w:adjustRightInd w:val="0"/>
              <w:snapToGrid w:val="0"/>
              <w:jc w:val="center"/>
              <w:rPr>
                <w:rFonts w:ascii="Times New Roman"/>
                <w:sz w:val="21"/>
                <w:szCs w:val="21"/>
              </w:rPr>
            </w:pPr>
          </w:p>
        </w:tc>
        <w:tc>
          <w:tcPr>
            <w:tcW w:w="434" w:type="pct"/>
            <w:vMerge w:val="continue"/>
            <w:vAlign w:val="center"/>
          </w:tcPr>
          <w:p w14:paraId="7F2B5BCA">
            <w:pPr>
              <w:autoSpaceDE w:val="0"/>
              <w:autoSpaceDN w:val="0"/>
              <w:adjustRightInd w:val="0"/>
              <w:snapToGrid w:val="0"/>
              <w:jc w:val="center"/>
              <w:rPr>
                <w:rFonts w:ascii="Times New Roman"/>
                <w:sz w:val="21"/>
                <w:szCs w:val="21"/>
              </w:rPr>
            </w:pPr>
          </w:p>
        </w:tc>
      </w:tr>
      <w:tr w14:paraId="3BA5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59EF3CE">
            <w:pPr>
              <w:autoSpaceDE w:val="0"/>
              <w:autoSpaceDN w:val="0"/>
              <w:adjustRightInd w:val="0"/>
              <w:snapToGrid w:val="0"/>
              <w:jc w:val="center"/>
              <w:rPr>
                <w:rFonts w:ascii="Times New Roman"/>
                <w:sz w:val="21"/>
                <w:szCs w:val="21"/>
              </w:rPr>
            </w:pPr>
          </w:p>
        </w:tc>
        <w:tc>
          <w:tcPr>
            <w:tcW w:w="697" w:type="pct"/>
            <w:vAlign w:val="center"/>
          </w:tcPr>
          <w:p w14:paraId="07DD2E0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C46AB9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7675165">
            <w:pPr>
              <w:autoSpaceDE w:val="0"/>
              <w:autoSpaceDN w:val="0"/>
              <w:adjustRightInd w:val="0"/>
              <w:snapToGrid w:val="0"/>
              <w:jc w:val="center"/>
              <w:rPr>
                <w:rFonts w:ascii="Times New Roman"/>
                <w:sz w:val="21"/>
                <w:szCs w:val="21"/>
              </w:rPr>
            </w:pPr>
          </w:p>
        </w:tc>
        <w:tc>
          <w:tcPr>
            <w:tcW w:w="208" w:type="pct"/>
            <w:vAlign w:val="center"/>
          </w:tcPr>
          <w:p w14:paraId="34F241D2">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37135D78">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4118D90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CB06B7E">
            <w:pPr>
              <w:autoSpaceDE w:val="0"/>
              <w:autoSpaceDN w:val="0"/>
              <w:adjustRightInd w:val="0"/>
              <w:snapToGrid w:val="0"/>
              <w:jc w:val="center"/>
              <w:rPr>
                <w:rFonts w:ascii="Times New Roman"/>
                <w:sz w:val="21"/>
                <w:szCs w:val="21"/>
              </w:rPr>
            </w:pPr>
            <w:r>
              <w:rPr>
                <w:rFonts w:ascii="Times New Roman"/>
                <w:sz w:val="21"/>
                <w:szCs w:val="21"/>
              </w:rPr>
              <w:t>144.6</w:t>
            </w:r>
          </w:p>
        </w:tc>
        <w:tc>
          <w:tcPr>
            <w:tcW w:w="358" w:type="pct"/>
            <w:vAlign w:val="center"/>
          </w:tcPr>
          <w:p w14:paraId="7E404803">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FE268A7">
            <w:pPr>
              <w:autoSpaceDE w:val="0"/>
              <w:autoSpaceDN w:val="0"/>
              <w:adjustRightInd w:val="0"/>
              <w:snapToGrid w:val="0"/>
              <w:jc w:val="center"/>
              <w:rPr>
                <w:rFonts w:ascii="Times New Roman"/>
                <w:sz w:val="21"/>
                <w:szCs w:val="21"/>
              </w:rPr>
            </w:pPr>
          </w:p>
        </w:tc>
        <w:tc>
          <w:tcPr>
            <w:tcW w:w="551" w:type="pct"/>
            <w:vAlign w:val="center"/>
          </w:tcPr>
          <w:p w14:paraId="5E18E52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C9140F9">
            <w:pPr>
              <w:autoSpaceDE w:val="0"/>
              <w:autoSpaceDN w:val="0"/>
              <w:adjustRightInd w:val="0"/>
              <w:snapToGrid w:val="0"/>
              <w:jc w:val="center"/>
              <w:rPr>
                <w:rFonts w:ascii="Times New Roman"/>
                <w:sz w:val="21"/>
                <w:szCs w:val="21"/>
              </w:rPr>
            </w:pPr>
          </w:p>
        </w:tc>
        <w:tc>
          <w:tcPr>
            <w:tcW w:w="287" w:type="pct"/>
            <w:vMerge w:val="continue"/>
            <w:vAlign w:val="center"/>
          </w:tcPr>
          <w:p w14:paraId="5A1C0A0D">
            <w:pPr>
              <w:autoSpaceDE w:val="0"/>
              <w:autoSpaceDN w:val="0"/>
              <w:adjustRightInd w:val="0"/>
              <w:snapToGrid w:val="0"/>
              <w:jc w:val="center"/>
              <w:rPr>
                <w:rFonts w:ascii="Times New Roman"/>
                <w:sz w:val="21"/>
                <w:szCs w:val="21"/>
              </w:rPr>
            </w:pPr>
          </w:p>
        </w:tc>
        <w:tc>
          <w:tcPr>
            <w:tcW w:w="434" w:type="pct"/>
            <w:vMerge w:val="continue"/>
            <w:vAlign w:val="center"/>
          </w:tcPr>
          <w:p w14:paraId="34DB0BEA">
            <w:pPr>
              <w:autoSpaceDE w:val="0"/>
              <w:autoSpaceDN w:val="0"/>
              <w:adjustRightInd w:val="0"/>
              <w:snapToGrid w:val="0"/>
              <w:jc w:val="center"/>
              <w:rPr>
                <w:rFonts w:ascii="Times New Roman"/>
                <w:sz w:val="21"/>
                <w:szCs w:val="21"/>
              </w:rPr>
            </w:pPr>
          </w:p>
        </w:tc>
      </w:tr>
      <w:tr w14:paraId="3F81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A319D5F">
            <w:pPr>
              <w:autoSpaceDE w:val="0"/>
              <w:autoSpaceDN w:val="0"/>
              <w:adjustRightInd w:val="0"/>
              <w:snapToGrid w:val="0"/>
              <w:jc w:val="center"/>
              <w:rPr>
                <w:rFonts w:ascii="Times New Roman"/>
                <w:sz w:val="21"/>
                <w:szCs w:val="21"/>
              </w:rPr>
            </w:pPr>
          </w:p>
        </w:tc>
        <w:tc>
          <w:tcPr>
            <w:tcW w:w="697" w:type="pct"/>
            <w:vAlign w:val="center"/>
          </w:tcPr>
          <w:p w14:paraId="0E3FB3A0">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22409009">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684E501">
            <w:pPr>
              <w:autoSpaceDE w:val="0"/>
              <w:autoSpaceDN w:val="0"/>
              <w:adjustRightInd w:val="0"/>
              <w:snapToGrid w:val="0"/>
              <w:jc w:val="center"/>
              <w:rPr>
                <w:rFonts w:ascii="Times New Roman"/>
                <w:sz w:val="21"/>
                <w:szCs w:val="21"/>
              </w:rPr>
            </w:pPr>
          </w:p>
        </w:tc>
        <w:tc>
          <w:tcPr>
            <w:tcW w:w="208" w:type="pct"/>
            <w:vAlign w:val="center"/>
          </w:tcPr>
          <w:p w14:paraId="3C54F819">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32E7F5D2">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1EA236EA">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AFB53E8">
            <w:pPr>
              <w:autoSpaceDE w:val="0"/>
              <w:autoSpaceDN w:val="0"/>
              <w:adjustRightInd w:val="0"/>
              <w:snapToGrid w:val="0"/>
              <w:jc w:val="center"/>
              <w:rPr>
                <w:rFonts w:ascii="Times New Roman"/>
                <w:sz w:val="21"/>
                <w:szCs w:val="21"/>
              </w:rPr>
            </w:pPr>
            <w:r>
              <w:rPr>
                <w:rFonts w:ascii="Times New Roman"/>
                <w:sz w:val="21"/>
                <w:szCs w:val="21"/>
              </w:rPr>
              <w:t>144.6</w:t>
            </w:r>
          </w:p>
        </w:tc>
        <w:tc>
          <w:tcPr>
            <w:tcW w:w="358" w:type="pct"/>
            <w:vAlign w:val="center"/>
          </w:tcPr>
          <w:p w14:paraId="22C3D4B9">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29C50220">
            <w:pPr>
              <w:autoSpaceDE w:val="0"/>
              <w:autoSpaceDN w:val="0"/>
              <w:adjustRightInd w:val="0"/>
              <w:snapToGrid w:val="0"/>
              <w:jc w:val="center"/>
              <w:rPr>
                <w:rFonts w:ascii="Times New Roman"/>
                <w:sz w:val="21"/>
                <w:szCs w:val="21"/>
              </w:rPr>
            </w:pPr>
          </w:p>
        </w:tc>
        <w:tc>
          <w:tcPr>
            <w:tcW w:w="551" w:type="pct"/>
            <w:vAlign w:val="center"/>
          </w:tcPr>
          <w:p w14:paraId="3FB8D5D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265AE92">
            <w:pPr>
              <w:autoSpaceDE w:val="0"/>
              <w:autoSpaceDN w:val="0"/>
              <w:adjustRightInd w:val="0"/>
              <w:snapToGrid w:val="0"/>
              <w:jc w:val="center"/>
              <w:rPr>
                <w:rFonts w:ascii="Times New Roman"/>
                <w:sz w:val="21"/>
                <w:szCs w:val="21"/>
              </w:rPr>
            </w:pPr>
          </w:p>
        </w:tc>
        <w:tc>
          <w:tcPr>
            <w:tcW w:w="287" w:type="pct"/>
            <w:vMerge w:val="continue"/>
            <w:vAlign w:val="center"/>
          </w:tcPr>
          <w:p w14:paraId="060D596E">
            <w:pPr>
              <w:autoSpaceDE w:val="0"/>
              <w:autoSpaceDN w:val="0"/>
              <w:adjustRightInd w:val="0"/>
              <w:snapToGrid w:val="0"/>
              <w:jc w:val="center"/>
              <w:rPr>
                <w:rFonts w:ascii="Times New Roman"/>
                <w:sz w:val="21"/>
                <w:szCs w:val="21"/>
              </w:rPr>
            </w:pPr>
          </w:p>
        </w:tc>
        <w:tc>
          <w:tcPr>
            <w:tcW w:w="434" w:type="pct"/>
            <w:vMerge w:val="continue"/>
            <w:vAlign w:val="center"/>
          </w:tcPr>
          <w:p w14:paraId="048F7B33">
            <w:pPr>
              <w:autoSpaceDE w:val="0"/>
              <w:autoSpaceDN w:val="0"/>
              <w:adjustRightInd w:val="0"/>
              <w:snapToGrid w:val="0"/>
              <w:jc w:val="center"/>
              <w:rPr>
                <w:rFonts w:ascii="Times New Roman"/>
                <w:sz w:val="21"/>
                <w:szCs w:val="21"/>
              </w:rPr>
            </w:pPr>
          </w:p>
        </w:tc>
      </w:tr>
      <w:tr w14:paraId="167E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A80FC84">
            <w:pPr>
              <w:autoSpaceDE w:val="0"/>
              <w:autoSpaceDN w:val="0"/>
              <w:adjustRightInd w:val="0"/>
              <w:snapToGrid w:val="0"/>
              <w:jc w:val="center"/>
              <w:rPr>
                <w:rFonts w:ascii="Times New Roman"/>
                <w:sz w:val="21"/>
                <w:szCs w:val="21"/>
              </w:rPr>
            </w:pPr>
          </w:p>
        </w:tc>
        <w:tc>
          <w:tcPr>
            <w:tcW w:w="697" w:type="pct"/>
            <w:vAlign w:val="center"/>
          </w:tcPr>
          <w:p w14:paraId="64C64B23">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7589BF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21A84D3F">
            <w:pPr>
              <w:autoSpaceDE w:val="0"/>
              <w:autoSpaceDN w:val="0"/>
              <w:adjustRightInd w:val="0"/>
              <w:snapToGrid w:val="0"/>
              <w:jc w:val="center"/>
              <w:rPr>
                <w:rFonts w:ascii="Times New Roman"/>
                <w:sz w:val="21"/>
                <w:szCs w:val="21"/>
              </w:rPr>
            </w:pPr>
          </w:p>
        </w:tc>
        <w:tc>
          <w:tcPr>
            <w:tcW w:w="208" w:type="pct"/>
            <w:vAlign w:val="center"/>
          </w:tcPr>
          <w:p w14:paraId="7D4EFA27">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5244321D">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69E6176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F3E67F0">
            <w:pPr>
              <w:autoSpaceDE w:val="0"/>
              <w:autoSpaceDN w:val="0"/>
              <w:adjustRightInd w:val="0"/>
              <w:snapToGrid w:val="0"/>
              <w:jc w:val="center"/>
              <w:rPr>
                <w:rFonts w:ascii="Times New Roman"/>
                <w:sz w:val="21"/>
                <w:szCs w:val="21"/>
              </w:rPr>
            </w:pPr>
            <w:r>
              <w:rPr>
                <w:rFonts w:ascii="Times New Roman"/>
                <w:sz w:val="21"/>
                <w:szCs w:val="21"/>
              </w:rPr>
              <w:t>144.6</w:t>
            </w:r>
          </w:p>
        </w:tc>
        <w:tc>
          <w:tcPr>
            <w:tcW w:w="358" w:type="pct"/>
            <w:vAlign w:val="center"/>
          </w:tcPr>
          <w:p w14:paraId="0DD2F665">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16F9F22D">
            <w:pPr>
              <w:autoSpaceDE w:val="0"/>
              <w:autoSpaceDN w:val="0"/>
              <w:adjustRightInd w:val="0"/>
              <w:snapToGrid w:val="0"/>
              <w:jc w:val="center"/>
              <w:rPr>
                <w:rFonts w:ascii="Times New Roman"/>
                <w:sz w:val="21"/>
                <w:szCs w:val="21"/>
              </w:rPr>
            </w:pPr>
          </w:p>
        </w:tc>
        <w:tc>
          <w:tcPr>
            <w:tcW w:w="551" w:type="pct"/>
            <w:vAlign w:val="center"/>
          </w:tcPr>
          <w:p w14:paraId="5F8111F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45D60B6">
            <w:pPr>
              <w:autoSpaceDE w:val="0"/>
              <w:autoSpaceDN w:val="0"/>
              <w:adjustRightInd w:val="0"/>
              <w:snapToGrid w:val="0"/>
              <w:jc w:val="center"/>
              <w:rPr>
                <w:rFonts w:ascii="Times New Roman"/>
                <w:sz w:val="21"/>
                <w:szCs w:val="21"/>
              </w:rPr>
            </w:pPr>
          </w:p>
        </w:tc>
        <w:tc>
          <w:tcPr>
            <w:tcW w:w="287" w:type="pct"/>
            <w:vMerge w:val="continue"/>
            <w:vAlign w:val="center"/>
          </w:tcPr>
          <w:p w14:paraId="21FE84CD">
            <w:pPr>
              <w:autoSpaceDE w:val="0"/>
              <w:autoSpaceDN w:val="0"/>
              <w:adjustRightInd w:val="0"/>
              <w:snapToGrid w:val="0"/>
              <w:jc w:val="center"/>
              <w:rPr>
                <w:rFonts w:ascii="Times New Roman"/>
                <w:sz w:val="21"/>
                <w:szCs w:val="21"/>
              </w:rPr>
            </w:pPr>
          </w:p>
        </w:tc>
        <w:tc>
          <w:tcPr>
            <w:tcW w:w="434" w:type="pct"/>
            <w:vMerge w:val="continue"/>
            <w:vAlign w:val="center"/>
          </w:tcPr>
          <w:p w14:paraId="02F0BB44">
            <w:pPr>
              <w:autoSpaceDE w:val="0"/>
              <w:autoSpaceDN w:val="0"/>
              <w:adjustRightInd w:val="0"/>
              <w:snapToGrid w:val="0"/>
              <w:jc w:val="center"/>
              <w:rPr>
                <w:rFonts w:ascii="Times New Roman"/>
                <w:sz w:val="21"/>
                <w:szCs w:val="21"/>
              </w:rPr>
            </w:pPr>
          </w:p>
        </w:tc>
      </w:tr>
      <w:tr w14:paraId="59EA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17EA78C">
            <w:pPr>
              <w:autoSpaceDE w:val="0"/>
              <w:autoSpaceDN w:val="0"/>
              <w:adjustRightInd w:val="0"/>
              <w:snapToGrid w:val="0"/>
              <w:jc w:val="center"/>
              <w:rPr>
                <w:rFonts w:ascii="Times New Roman"/>
                <w:sz w:val="21"/>
                <w:szCs w:val="21"/>
              </w:rPr>
            </w:pPr>
          </w:p>
        </w:tc>
        <w:tc>
          <w:tcPr>
            <w:tcW w:w="697" w:type="pct"/>
            <w:vAlign w:val="center"/>
          </w:tcPr>
          <w:p w14:paraId="6F0B0E24">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53E78343">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5C546F8D">
            <w:pPr>
              <w:autoSpaceDE w:val="0"/>
              <w:autoSpaceDN w:val="0"/>
              <w:adjustRightInd w:val="0"/>
              <w:snapToGrid w:val="0"/>
              <w:jc w:val="center"/>
              <w:rPr>
                <w:rFonts w:ascii="Times New Roman"/>
                <w:sz w:val="21"/>
                <w:szCs w:val="21"/>
              </w:rPr>
            </w:pPr>
          </w:p>
        </w:tc>
        <w:tc>
          <w:tcPr>
            <w:tcW w:w="208" w:type="pct"/>
            <w:vAlign w:val="center"/>
          </w:tcPr>
          <w:p w14:paraId="623C91DB">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3B5C2E46">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4A38E7D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9A2C42A">
            <w:pPr>
              <w:autoSpaceDE w:val="0"/>
              <w:autoSpaceDN w:val="0"/>
              <w:adjustRightInd w:val="0"/>
              <w:snapToGrid w:val="0"/>
              <w:jc w:val="center"/>
              <w:rPr>
                <w:rFonts w:ascii="Times New Roman"/>
                <w:sz w:val="21"/>
                <w:szCs w:val="21"/>
              </w:rPr>
            </w:pPr>
            <w:r>
              <w:rPr>
                <w:rFonts w:ascii="Times New Roman"/>
                <w:sz w:val="21"/>
                <w:szCs w:val="21"/>
              </w:rPr>
              <w:t>144.6</w:t>
            </w:r>
          </w:p>
        </w:tc>
        <w:tc>
          <w:tcPr>
            <w:tcW w:w="358" w:type="pct"/>
            <w:vAlign w:val="center"/>
          </w:tcPr>
          <w:p w14:paraId="007A5876">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1AC74BCD">
            <w:pPr>
              <w:autoSpaceDE w:val="0"/>
              <w:autoSpaceDN w:val="0"/>
              <w:adjustRightInd w:val="0"/>
              <w:snapToGrid w:val="0"/>
              <w:jc w:val="center"/>
              <w:rPr>
                <w:rFonts w:ascii="Times New Roman"/>
                <w:sz w:val="21"/>
                <w:szCs w:val="21"/>
              </w:rPr>
            </w:pPr>
          </w:p>
        </w:tc>
        <w:tc>
          <w:tcPr>
            <w:tcW w:w="551" w:type="pct"/>
            <w:vAlign w:val="center"/>
          </w:tcPr>
          <w:p w14:paraId="2A4E3DA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735E072">
            <w:pPr>
              <w:autoSpaceDE w:val="0"/>
              <w:autoSpaceDN w:val="0"/>
              <w:adjustRightInd w:val="0"/>
              <w:snapToGrid w:val="0"/>
              <w:jc w:val="center"/>
              <w:rPr>
                <w:rFonts w:ascii="Times New Roman"/>
                <w:sz w:val="21"/>
                <w:szCs w:val="21"/>
              </w:rPr>
            </w:pPr>
          </w:p>
        </w:tc>
        <w:tc>
          <w:tcPr>
            <w:tcW w:w="287" w:type="pct"/>
            <w:vMerge w:val="continue"/>
            <w:vAlign w:val="center"/>
          </w:tcPr>
          <w:p w14:paraId="61D08605">
            <w:pPr>
              <w:autoSpaceDE w:val="0"/>
              <w:autoSpaceDN w:val="0"/>
              <w:adjustRightInd w:val="0"/>
              <w:snapToGrid w:val="0"/>
              <w:jc w:val="center"/>
              <w:rPr>
                <w:rFonts w:ascii="Times New Roman"/>
                <w:sz w:val="21"/>
                <w:szCs w:val="21"/>
              </w:rPr>
            </w:pPr>
          </w:p>
        </w:tc>
        <w:tc>
          <w:tcPr>
            <w:tcW w:w="434" w:type="pct"/>
            <w:vMerge w:val="continue"/>
            <w:vAlign w:val="center"/>
          </w:tcPr>
          <w:p w14:paraId="63DEF4F8">
            <w:pPr>
              <w:autoSpaceDE w:val="0"/>
              <w:autoSpaceDN w:val="0"/>
              <w:adjustRightInd w:val="0"/>
              <w:snapToGrid w:val="0"/>
              <w:jc w:val="center"/>
              <w:rPr>
                <w:rFonts w:ascii="Times New Roman"/>
                <w:sz w:val="21"/>
                <w:szCs w:val="21"/>
              </w:rPr>
            </w:pPr>
          </w:p>
        </w:tc>
      </w:tr>
      <w:tr w14:paraId="5F1D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B615849">
            <w:pPr>
              <w:autoSpaceDE w:val="0"/>
              <w:autoSpaceDN w:val="0"/>
              <w:adjustRightInd w:val="0"/>
              <w:snapToGrid w:val="0"/>
              <w:jc w:val="center"/>
              <w:rPr>
                <w:rFonts w:ascii="Times New Roman"/>
                <w:sz w:val="21"/>
                <w:szCs w:val="21"/>
              </w:rPr>
            </w:pPr>
          </w:p>
        </w:tc>
        <w:tc>
          <w:tcPr>
            <w:tcW w:w="697" w:type="pct"/>
            <w:vAlign w:val="center"/>
          </w:tcPr>
          <w:p w14:paraId="2B05744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BE6B04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2C9535E">
            <w:pPr>
              <w:autoSpaceDE w:val="0"/>
              <w:autoSpaceDN w:val="0"/>
              <w:adjustRightInd w:val="0"/>
              <w:snapToGrid w:val="0"/>
              <w:jc w:val="center"/>
              <w:rPr>
                <w:rFonts w:ascii="Times New Roman"/>
                <w:sz w:val="21"/>
                <w:szCs w:val="21"/>
              </w:rPr>
            </w:pPr>
          </w:p>
        </w:tc>
        <w:tc>
          <w:tcPr>
            <w:tcW w:w="208" w:type="pct"/>
            <w:vAlign w:val="center"/>
          </w:tcPr>
          <w:p w14:paraId="11F3A227">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4BE7807A">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66631B8E">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706E2A9">
            <w:pPr>
              <w:autoSpaceDE w:val="0"/>
              <w:autoSpaceDN w:val="0"/>
              <w:adjustRightInd w:val="0"/>
              <w:snapToGrid w:val="0"/>
              <w:jc w:val="center"/>
              <w:rPr>
                <w:rFonts w:ascii="Times New Roman"/>
                <w:sz w:val="21"/>
                <w:szCs w:val="21"/>
              </w:rPr>
            </w:pPr>
            <w:r>
              <w:rPr>
                <w:rFonts w:ascii="Times New Roman"/>
                <w:sz w:val="21"/>
                <w:szCs w:val="21"/>
              </w:rPr>
              <w:t>129.98</w:t>
            </w:r>
          </w:p>
        </w:tc>
        <w:tc>
          <w:tcPr>
            <w:tcW w:w="358" w:type="pct"/>
            <w:vAlign w:val="center"/>
          </w:tcPr>
          <w:p w14:paraId="5DACE942">
            <w:pPr>
              <w:autoSpaceDE w:val="0"/>
              <w:autoSpaceDN w:val="0"/>
              <w:adjustRightInd w:val="0"/>
              <w:snapToGrid w:val="0"/>
              <w:jc w:val="center"/>
              <w:rPr>
                <w:rFonts w:ascii="Times New Roman"/>
                <w:sz w:val="21"/>
                <w:szCs w:val="21"/>
              </w:rPr>
            </w:pPr>
            <w:r>
              <w:rPr>
                <w:rFonts w:ascii="Times New Roman"/>
                <w:sz w:val="21"/>
                <w:szCs w:val="21"/>
              </w:rPr>
              <w:t>28</w:t>
            </w:r>
          </w:p>
        </w:tc>
        <w:tc>
          <w:tcPr>
            <w:tcW w:w="316" w:type="pct"/>
            <w:vMerge w:val="continue"/>
            <w:vAlign w:val="center"/>
          </w:tcPr>
          <w:p w14:paraId="58B2C39E">
            <w:pPr>
              <w:autoSpaceDE w:val="0"/>
              <w:autoSpaceDN w:val="0"/>
              <w:adjustRightInd w:val="0"/>
              <w:snapToGrid w:val="0"/>
              <w:jc w:val="center"/>
              <w:rPr>
                <w:rFonts w:ascii="Times New Roman"/>
                <w:sz w:val="21"/>
                <w:szCs w:val="21"/>
              </w:rPr>
            </w:pPr>
          </w:p>
        </w:tc>
        <w:tc>
          <w:tcPr>
            <w:tcW w:w="551" w:type="pct"/>
            <w:vAlign w:val="center"/>
          </w:tcPr>
          <w:p w14:paraId="3B6C39B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C517519">
            <w:pPr>
              <w:autoSpaceDE w:val="0"/>
              <w:autoSpaceDN w:val="0"/>
              <w:adjustRightInd w:val="0"/>
              <w:snapToGrid w:val="0"/>
              <w:jc w:val="center"/>
              <w:rPr>
                <w:rFonts w:ascii="Times New Roman"/>
                <w:sz w:val="21"/>
                <w:szCs w:val="21"/>
              </w:rPr>
            </w:pPr>
          </w:p>
        </w:tc>
        <w:tc>
          <w:tcPr>
            <w:tcW w:w="287" w:type="pct"/>
            <w:vMerge w:val="continue"/>
            <w:vAlign w:val="center"/>
          </w:tcPr>
          <w:p w14:paraId="06127767">
            <w:pPr>
              <w:autoSpaceDE w:val="0"/>
              <w:autoSpaceDN w:val="0"/>
              <w:adjustRightInd w:val="0"/>
              <w:snapToGrid w:val="0"/>
              <w:jc w:val="center"/>
              <w:rPr>
                <w:rFonts w:ascii="Times New Roman"/>
                <w:sz w:val="21"/>
                <w:szCs w:val="21"/>
              </w:rPr>
            </w:pPr>
          </w:p>
        </w:tc>
        <w:tc>
          <w:tcPr>
            <w:tcW w:w="434" w:type="pct"/>
            <w:vMerge w:val="continue"/>
            <w:vAlign w:val="center"/>
          </w:tcPr>
          <w:p w14:paraId="2CF22482">
            <w:pPr>
              <w:autoSpaceDE w:val="0"/>
              <w:autoSpaceDN w:val="0"/>
              <w:adjustRightInd w:val="0"/>
              <w:snapToGrid w:val="0"/>
              <w:jc w:val="center"/>
              <w:rPr>
                <w:rFonts w:ascii="Times New Roman"/>
                <w:sz w:val="21"/>
                <w:szCs w:val="21"/>
              </w:rPr>
            </w:pPr>
          </w:p>
        </w:tc>
      </w:tr>
      <w:tr w14:paraId="5EE4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2B2D2FA">
            <w:pPr>
              <w:autoSpaceDE w:val="0"/>
              <w:autoSpaceDN w:val="0"/>
              <w:adjustRightInd w:val="0"/>
              <w:snapToGrid w:val="0"/>
              <w:jc w:val="center"/>
              <w:rPr>
                <w:rFonts w:ascii="Times New Roman"/>
                <w:sz w:val="21"/>
                <w:szCs w:val="21"/>
              </w:rPr>
            </w:pPr>
          </w:p>
        </w:tc>
        <w:tc>
          <w:tcPr>
            <w:tcW w:w="697" w:type="pct"/>
            <w:vAlign w:val="center"/>
          </w:tcPr>
          <w:p w14:paraId="32B1410E">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6805DBDA">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9504196">
            <w:pPr>
              <w:autoSpaceDE w:val="0"/>
              <w:autoSpaceDN w:val="0"/>
              <w:adjustRightInd w:val="0"/>
              <w:snapToGrid w:val="0"/>
              <w:jc w:val="center"/>
              <w:rPr>
                <w:rFonts w:ascii="Times New Roman"/>
                <w:sz w:val="21"/>
                <w:szCs w:val="21"/>
              </w:rPr>
            </w:pPr>
          </w:p>
        </w:tc>
        <w:tc>
          <w:tcPr>
            <w:tcW w:w="208" w:type="pct"/>
            <w:vAlign w:val="center"/>
          </w:tcPr>
          <w:p w14:paraId="22E43ACD">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3B496EBF">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097862E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72C6E24">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52296792">
            <w:pPr>
              <w:autoSpaceDE w:val="0"/>
              <w:autoSpaceDN w:val="0"/>
              <w:adjustRightInd w:val="0"/>
              <w:snapToGrid w:val="0"/>
              <w:jc w:val="center"/>
              <w:rPr>
                <w:rFonts w:ascii="Times New Roman"/>
                <w:sz w:val="21"/>
                <w:szCs w:val="21"/>
              </w:rPr>
            </w:pPr>
            <w:r>
              <w:rPr>
                <w:rFonts w:ascii="Times New Roman"/>
                <w:sz w:val="21"/>
                <w:szCs w:val="21"/>
              </w:rPr>
              <w:t>31</w:t>
            </w:r>
          </w:p>
        </w:tc>
        <w:tc>
          <w:tcPr>
            <w:tcW w:w="316" w:type="pct"/>
            <w:vMerge w:val="continue"/>
            <w:vAlign w:val="center"/>
          </w:tcPr>
          <w:p w14:paraId="5698626D">
            <w:pPr>
              <w:autoSpaceDE w:val="0"/>
              <w:autoSpaceDN w:val="0"/>
              <w:adjustRightInd w:val="0"/>
              <w:snapToGrid w:val="0"/>
              <w:jc w:val="center"/>
              <w:rPr>
                <w:rFonts w:ascii="Times New Roman"/>
                <w:sz w:val="21"/>
                <w:szCs w:val="21"/>
              </w:rPr>
            </w:pPr>
          </w:p>
        </w:tc>
        <w:tc>
          <w:tcPr>
            <w:tcW w:w="551" w:type="pct"/>
            <w:vAlign w:val="center"/>
          </w:tcPr>
          <w:p w14:paraId="6B66939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FDCCFC7">
            <w:pPr>
              <w:autoSpaceDE w:val="0"/>
              <w:autoSpaceDN w:val="0"/>
              <w:adjustRightInd w:val="0"/>
              <w:snapToGrid w:val="0"/>
              <w:jc w:val="center"/>
              <w:rPr>
                <w:rFonts w:ascii="Times New Roman"/>
                <w:sz w:val="21"/>
                <w:szCs w:val="21"/>
              </w:rPr>
            </w:pPr>
          </w:p>
        </w:tc>
        <w:tc>
          <w:tcPr>
            <w:tcW w:w="287" w:type="pct"/>
            <w:vMerge w:val="continue"/>
            <w:vAlign w:val="center"/>
          </w:tcPr>
          <w:p w14:paraId="5F603AD1">
            <w:pPr>
              <w:autoSpaceDE w:val="0"/>
              <w:autoSpaceDN w:val="0"/>
              <w:adjustRightInd w:val="0"/>
              <w:snapToGrid w:val="0"/>
              <w:jc w:val="center"/>
              <w:rPr>
                <w:rFonts w:ascii="Times New Roman"/>
                <w:sz w:val="21"/>
                <w:szCs w:val="21"/>
              </w:rPr>
            </w:pPr>
          </w:p>
        </w:tc>
        <w:tc>
          <w:tcPr>
            <w:tcW w:w="434" w:type="pct"/>
            <w:vMerge w:val="continue"/>
            <w:vAlign w:val="center"/>
          </w:tcPr>
          <w:p w14:paraId="3C60DD97">
            <w:pPr>
              <w:autoSpaceDE w:val="0"/>
              <w:autoSpaceDN w:val="0"/>
              <w:adjustRightInd w:val="0"/>
              <w:snapToGrid w:val="0"/>
              <w:jc w:val="center"/>
              <w:rPr>
                <w:rFonts w:ascii="Times New Roman"/>
                <w:sz w:val="21"/>
                <w:szCs w:val="21"/>
              </w:rPr>
            </w:pPr>
          </w:p>
        </w:tc>
      </w:tr>
      <w:tr w14:paraId="0297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B7EA674">
            <w:pPr>
              <w:autoSpaceDE w:val="0"/>
              <w:autoSpaceDN w:val="0"/>
              <w:adjustRightInd w:val="0"/>
              <w:snapToGrid w:val="0"/>
              <w:jc w:val="center"/>
              <w:rPr>
                <w:rFonts w:ascii="Times New Roman"/>
                <w:sz w:val="21"/>
                <w:szCs w:val="21"/>
              </w:rPr>
            </w:pPr>
          </w:p>
        </w:tc>
        <w:tc>
          <w:tcPr>
            <w:tcW w:w="697" w:type="pct"/>
            <w:vAlign w:val="center"/>
          </w:tcPr>
          <w:p w14:paraId="62DE1C06">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1928339E">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A2D62AC">
            <w:pPr>
              <w:autoSpaceDE w:val="0"/>
              <w:autoSpaceDN w:val="0"/>
              <w:adjustRightInd w:val="0"/>
              <w:snapToGrid w:val="0"/>
              <w:jc w:val="center"/>
              <w:rPr>
                <w:rFonts w:ascii="Times New Roman"/>
                <w:sz w:val="21"/>
                <w:szCs w:val="21"/>
              </w:rPr>
            </w:pPr>
          </w:p>
        </w:tc>
        <w:tc>
          <w:tcPr>
            <w:tcW w:w="208" w:type="pct"/>
            <w:vAlign w:val="center"/>
          </w:tcPr>
          <w:p w14:paraId="28D1991B">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4F4D09EA">
            <w:pPr>
              <w:autoSpaceDE w:val="0"/>
              <w:autoSpaceDN w:val="0"/>
              <w:adjustRightInd w:val="0"/>
              <w:snapToGrid w:val="0"/>
              <w:jc w:val="center"/>
              <w:rPr>
                <w:rFonts w:ascii="Times New Roman"/>
                <w:sz w:val="21"/>
                <w:szCs w:val="21"/>
              </w:rPr>
            </w:pPr>
            <w:r>
              <w:rPr>
                <w:rFonts w:ascii="Times New Roman"/>
                <w:sz w:val="21"/>
                <w:szCs w:val="21"/>
              </w:rPr>
              <w:t>190</w:t>
            </w:r>
          </w:p>
        </w:tc>
        <w:tc>
          <w:tcPr>
            <w:tcW w:w="240" w:type="pct"/>
            <w:vAlign w:val="center"/>
          </w:tcPr>
          <w:p w14:paraId="1A74D60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ACF3D12">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0C454F35">
            <w:pPr>
              <w:autoSpaceDE w:val="0"/>
              <w:autoSpaceDN w:val="0"/>
              <w:adjustRightInd w:val="0"/>
              <w:snapToGrid w:val="0"/>
              <w:jc w:val="center"/>
              <w:rPr>
                <w:rFonts w:ascii="Times New Roman"/>
                <w:sz w:val="21"/>
                <w:szCs w:val="21"/>
              </w:rPr>
            </w:pPr>
            <w:r>
              <w:rPr>
                <w:rFonts w:ascii="Times New Roman"/>
                <w:sz w:val="21"/>
                <w:szCs w:val="21"/>
              </w:rPr>
              <w:t>32</w:t>
            </w:r>
          </w:p>
        </w:tc>
        <w:tc>
          <w:tcPr>
            <w:tcW w:w="316" w:type="pct"/>
            <w:vMerge w:val="continue"/>
            <w:vAlign w:val="center"/>
          </w:tcPr>
          <w:p w14:paraId="2E217DE8">
            <w:pPr>
              <w:autoSpaceDE w:val="0"/>
              <w:autoSpaceDN w:val="0"/>
              <w:adjustRightInd w:val="0"/>
              <w:snapToGrid w:val="0"/>
              <w:jc w:val="center"/>
              <w:rPr>
                <w:rFonts w:ascii="Times New Roman"/>
                <w:sz w:val="21"/>
                <w:szCs w:val="21"/>
              </w:rPr>
            </w:pPr>
          </w:p>
        </w:tc>
        <w:tc>
          <w:tcPr>
            <w:tcW w:w="551" w:type="pct"/>
            <w:vAlign w:val="center"/>
          </w:tcPr>
          <w:p w14:paraId="188C779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8D15921">
            <w:pPr>
              <w:autoSpaceDE w:val="0"/>
              <w:autoSpaceDN w:val="0"/>
              <w:adjustRightInd w:val="0"/>
              <w:snapToGrid w:val="0"/>
              <w:jc w:val="center"/>
              <w:rPr>
                <w:rFonts w:ascii="Times New Roman"/>
                <w:sz w:val="21"/>
                <w:szCs w:val="21"/>
              </w:rPr>
            </w:pPr>
          </w:p>
        </w:tc>
        <w:tc>
          <w:tcPr>
            <w:tcW w:w="287" w:type="pct"/>
            <w:vMerge w:val="continue"/>
            <w:vAlign w:val="center"/>
          </w:tcPr>
          <w:p w14:paraId="6D6E407A">
            <w:pPr>
              <w:autoSpaceDE w:val="0"/>
              <w:autoSpaceDN w:val="0"/>
              <w:adjustRightInd w:val="0"/>
              <w:snapToGrid w:val="0"/>
              <w:jc w:val="center"/>
              <w:rPr>
                <w:rFonts w:ascii="Times New Roman"/>
                <w:sz w:val="21"/>
                <w:szCs w:val="21"/>
              </w:rPr>
            </w:pPr>
          </w:p>
        </w:tc>
        <w:tc>
          <w:tcPr>
            <w:tcW w:w="434" w:type="pct"/>
            <w:vMerge w:val="continue"/>
            <w:vAlign w:val="center"/>
          </w:tcPr>
          <w:p w14:paraId="1A775726">
            <w:pPr>
              <w:autoSpaceDE w:val="0"/>
              <w:autoSpaceDN w:val="0"/>
              <w:adjustRightInd w:val="0"/>
              <w:snapToGrid w:val="0"/>
              <w:jc w:val="center"/>
              <w:rPr>
                <w:rFonts w:ascii="Times New Roman"/>
                <w:sz w:val="21"/>
                <w:szCs w:val="21"/>
              </w:rPr>
            </w:pPr>
          </w:p>
        </w:tc>
      </w:tr>
      <w:tr w14:paraId="6A6E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D206BD0">
            <w:pPr>
              <w:autoSpaceDE w:val="0"/>
              <w:autoSpaceDN w:val="0"/>
              <w:adjustRightInd w:val="0"/>
              <w:snapToGrid w:val="0"/>
              <w:jc w:val="center"/>
              <w:rPr>
                <w:rFonts w:ascii="Times New Roman"/>
                <w:sz w:val="21"/>
                <w:szCs w:val="21"/>
              </w:rPr>
            </w:pPr>
          </w:p>
        </w:tc>
        <w:tc>
          <w:tcPr>
            <w:tcW w:w="697" w:type="pct"/>
            <w:vAlign w:val="center"/>
          </w:tcPr>
          <w:p w14:paraId="2EE9AF3C">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08628EC8">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7C39F72C">
            <w:pPr>
              <w:autoSpaceDE w:val="0"/>
              <w:autoSpaceDN w:val="0"/>
              <w:adjustRightInd w:val="0"/>
              <w:snapToGrid w:val="0"/>
              <w:jc w:val="center"/>
              <w:rPr>
                <w:rFonts w:ascii="Times New Roman"/>
                <w:sz w:val="21"/>
                <w:szCs w:val="21"/>
              </w:rPr>
            </w:pPr>
          </w:p>
        </w:tc>
        <w:tc>
          <w:tcPr>
            <w:tcW w:w="208" w:type="pct"/>
            <w:vAlign w:val="center"/>
          </w:tcPr>
          <w:p w14:paraId="2844A914">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056E3755">
            <w:pPr>
              <w:autoSpaceDE w:val="0"/>
              <w:autoSpaceDN w:val="0"/>
              <w:adjustRightInd w:val="0"/>
              <w:snapToGrid w:val="0"/>
              <w:jc w:val="center"/>
              <w:rPr>
                <w:rFonts w:ascii="Times New Roman"/>
                <w:sz w:val="21"/>
                <w:szCs w:val="21"/>
              </w:rPr>
            </w:pPr>
            <w:r>
              <w:rPr>
                <w:rFonts w:ascii="Times New Roman"/>
                <w:sz w:val="21"/>
                <w:szCs w:val="21"/>
              </w:rPr>
              <w:t>195</w:t>
            </w:r>
          </w:p>
        </w:tc>
        <w:tc>
          <w:tcPr>
            <w:tcW w:w="240" w:type="pct"/>
            <w:vAlign w:val="center"/>
          </w:tcPr>
          <w:p w14:paraId="0D609F4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DBD2B09">
            <w:pPr>
              <w:autoSpaceDE w:val="0"/>
              <w:autoSpaceDN w:val="0"/>
              <w:adjustRightInd w:val="0"/>
              <w:snapToGrid w:val="0"/>
              <w:jc w:val="center"/>
              <w:rPr>
                <w:rFonts w:ascii="Times New Roman"/>
                <w:sz w:val="21"/>
                <w:szCs w:val="21"/>
              </w:rPr>
            </w:pPr>
            <w:r>
              <w:rPr>
                <w:rFonts w:ascii="Times New Roman"/>
                <w:sz w:val="21"/>
                <w:szCs w:val="21"/>
              </w:rPr>
              <w:t>139.6</w:t>
            </w:r>
          </w:p>
        </w:tc>
        <w:tc>
          <w:tcPr>
            <w:tcW w:w="358" w:type="pct"/>
            <w:vAlign w:val="center"/>
          </w:tcPr>
          <w:p w14:paraId="1439B909">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610F8B11">
            <w:pPr>
              <w:autoSpaceDE w:val="0"/>
              <w:autoSpaceDN w:val="0"/>
              <w:adjustRightInd w:val="0"/>
              <w:snapToGrid w:val="0"/>
              <w:jc w:val="center"/>
              <w:rPr>
                <w:rFonts w:ascii="Times New Roman"/>
                <w:sz w:val="21"/>
                <w:szCs w:val="21"/>
              </w:rPr>
            </w:pPr>
          </w:p>
        </w:tc>
        <w:tc>
          <w:tcPr>
            <w:tcW w:w="551" w:type="pct"/>
            <w:vAlign w:val="center"/>
          </w:tcPr>
          <w:p w14:paraId="49C0048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3F4DD88">
            <w:pPr>
              <w:autoSpaceDE w:val="0"/>
              <w:autoSpaceDN w:val="0"/>
              <w:adjustRightInd w:val="0"/>
              <w:snapToGrid w:val="0"/>
              <w:jc w:val="center"/>
              <w:rPr>
                <w:rFonts w:ascii="Times New Roman"/>
                <w:sz w:val="21"/>
                <w:szCs w:val="21"/>
              </w:rPr>
            </w:pPr>
          </w:p>
        </w:tc>
        <w:tc>
          <w:tcPr>
            <w:tcW w:w="287" w:type="pct"/>
            <w:vMerge w:val="continue"/>
            <w:vAlign w:val="center"/>
          </w:tcPr>
          <w:p w14:paraId="3EAE31CA">
            <w:pPr>
              <w:autoSpaceDE w:val="0"/>
              <w:autoSpaceDN w:val="0"/>
              <w:adjustRightInd w:val="0"/>
              <w:snapToGrid w:val="0"/>
              <w:jc w:val="center"/>
              <w:rPr>
                <w:rFonts w:ascii="Times New Roman"/>
                <w:sz w:val="21"/>
                <w:szCs w:val="21"/>
              </w:rPr>
            </w:pPr>
          </w:p>
        </w:tc>
        <w:tc>
          <w:tcPr>
            <w:tcW w:w="434" w:type="pct"/>
            <w:vMerge w:val="continue"/>
            <w:vAlign w:val="center"/>
          </w:tcPr>
          <w:p w14:paraId="504B3192">
            <w:pPr>
              <w:autoSpaceDE w:val="0"/>
              <w:autoSpaceDN w:val="0"/>
              <w:adjustRightInd w:val="0"/>
              <w:snapToGrid w:val="0"/>
              <w:jc w:val="center"/>
              <w:rPr>
                <w:rFonts w:ascii="Times New Roman"/>
                <w:sz w:val="21"/>
                <w:szCs w:val="21"/>
              </w:rPr>
            </w:pPr>
          </w:p>
        </w:tc>
      </w:tr>
      <w:tr w14:paraId="057E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EB490E8">
            <w:pPr>
              <w:autoSpaceDE w:val="0"/>
              <w:autoSpaceDN w:val="0"/>
              <w:adjustRightInd w:val="0"/>
              <w:snapToGrid w:val="0"/>
              <w:jc w:val="center"/>
              <w:rPr>
                <w:rFonts w:ascii="Times New Roman"/>
                <w:sz w:val="21"/>
                <w:szCs w:val="21"/>
              </w:rPr>
            </w:pPr>
          </w:p>
        </w:tc>
        <w:tc>
          <w:tcPr>
            <w:tcW w:w="697" w:type="pct"/>
            <w:vAlign w:val="center"/>
          </w:tcPr>
          <w:p w14:paraId="06A8C537">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3D9320E4">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309E9630">
            <w:pPr>
              <w:autoSpaceDE w:val="0"/>
              <w:autoSpaceDN w:val="0"/>
              <w:adjustRightInd w:val="0"/>
              <w:snapToGrid w:val="0"/>
              <w:jc w:val="center"/>
              <w:rPr>
                <w:rFonts w:ascii="Times New Roman"/>
                <w:sz w:val="21"/>
                <w:szCs w:val="21"/>
              </w:rPr>
            </w:pPr>
          </w:p>
        </w:tc>
        <w:tc>
          <w:tcPr>
            <w:tcW w:w="208" w:type="pct"/>
            <w:vAlign w:val="center"/>
          </w:tcPr>
          <w:p w14:paraId="675588F8">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149B5D55">
            <w:pPr>
              <w:autoSpaceDE w:val="0"/>
              <w:autoSpaceDN w:val="0"/>
              <w:adjustRightInd w:val="0"/>
              <w:snapToGrid w:val="0"/>
              <w:jc w:val="center"/>
              <w:rPr>
                <w:rFonts w:ascii="Times New Roman"/>
                <w:sz w:val="21"/>
                <w:szCs w:val="21"/>
              </w:rPr>
            </w:pPr>
            <w:r>
              <w:rPr>
                <w:rFonts w:ascii="Times New Roman"/>
                <w:sz w:val="21"/>
                <w:szCs w:val="21"/>
              </w:rPr>
              <w:t>195</w:t>
            </w:r>
          </w:p>
        </w:tc>
        <w:tc>
          <w:tcPr>
            <w:tcW w:w="240" w:type="pct"/>
            <w:vAlign w:val="center"/>
          </w:tcPr>
          <w:p w14:paraId="78CEC54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068D06D">
            <w:pPr>
              <w:autoSpaceDE w:val="0"/>
              <w:autoSpaceDN w:val="0"/>
              <w:adjustRightInd w:val="0"/>
              <w:snapToGrid w:val="0"/>
              <w:jc w:val="center"/>
              <w:rPr>
                <w:rFonts w:ascii="Times New Roman"/>
                <w:sz w:val="21"/>
                <w:szCs w:val="21"/>
              </w:rPr>
            </w:pPr>
            <w:r>
              <w:rPr>
                <w:rFonts w:ascii="Times New Roman"/>
                <w:sz w:val="21"/>
                <w:szCs w:val="21"/>
              </w:rPr>
              <w:t>139.6</w:t>
            </w:r>
          </w:p>
        </w:tc>
        <w:tc>
          <w:tcPr>
            <w:tcW w:w="358" w:type="pct"/>
            <w:vAlign w:val="center"/>
          </w:tcPr>
          <w:p w14:paraId="31A5CAB1">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392A3DF8">
            <w:pPr>
              <w:autoSpaceDE w:val="0"/>
              <w:autoSpaceDN w:val="0"/>
              <w:adjustRightInd w:val="0"/>
              <w:snapToGrid w:val="0"/>
              <w:jc w:val="center"/>
              <w:rPr>
                <w:rFonts w:ascii="Times New Roman"/>
                <w:sz w:val="21"/>
                <w:szCs w:val="21"/>
              </w:rPr>
            </w:pPr>
          </w:p>
        </w:tc>
        <w:tc>
          <w:tcPr>
            <w:tcW w:w="551" w:type="pct"/>
            <w:vAlign w:val="center"/>
          </w:tcPr>
          <w:p w14:paraId="241E683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41D411E">
            <w:pPr>
              <w:autoSpaceDE w:val="0"/>
              <w:autoSpaceDN w:val="0"/>
              <w:adjustRightInd w:val="0"/>
              <w:snapToGrid w:val="0"/>
              <w:jc w:val="center"/>
              <w:rPr>
                <w:rFonts w:ascii="Times New Roman"/>
                <w:sz w:val="21"/>
                <w:szCs w:val="21"/>
              </w:rPr>
            </w:pPr>
          </w:p>
        </w:tc>
        <w:tc>
          <w:tcPr>
            <w:tcW w:w="287" w:type="pct"/>
            <w:vMerge w:val="continue"/>
            <w:vAlign w:val="center"/>
          </w:tcPr>
          <w:p w14:paraId="62ABC14A">
            <w:pPr>
              <w:autoSpaceDE w:val="0"/>
              <w:autoSpaceDN w:val="0"/>
              <w:adjustRightInd w:val="0"/>
              <w:snapToGrid w:val="0"/>
              <w:jc w:val="center"/>
              <w:rPr>
                <w:rFonts w:ascii="Times New Roman"/>
                <w:sz w:val="21"/>
                <w:szCs w:val="21"/>
              </w:rPr>
            </w:pPr>
          </w:p>
        </w:tc>
        <w:tc>
          <w:tcPr>
            <w:tcW w:w="434" w:type="pct"/>
            <w:vMerge w:val="continue"/>
            <w:vAlign w:val="center"/>
          </w:tcPr>
          <w:p w14:paraId="0B6232B7">
            <w:pPr>
              <w:autoSpaceDE w:val="0"/>
              <w:autoSpaceDN w:val="0"/>
              <w:adjustRightInd w:val="0"/>
              <w:snapToGrid w:val="0"/>
              <w:jc w:val="center"/>
              <w:rPr>
                <w:rFonts w:ascii="Times New Roman"/>
                <w:sz w:val="21"/>
                <w:szCs w:val="21"/>
              </w:rPr>
            </w:pPr>
          </w:p>
        </w:tc>
      </w:tr>
      <w:tr w14:paraId="3ECA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74704C5">
            <w:pPr>
              <w:autoSpaceDE w:val="0"/>
              <w:autoSpaceDN w:val="0"/>
              <w:adjustRightInd w:val="0"/>
              <w:snapToGrid w:val="0"/>
              <w:jc w:val="center"/>
              <w:rPr>
                <w:rFonts w:ascii="Times New Roman"/>
                <w:sz w:val="21"/>
                <w:szCs w:val="21"/>
              </w:rPr>
            </w:pPr>
          </w:p>
        </w:tc>
        <w:tc>
          <w:tcPr>
            <w:tcW w:w="697" w:type="pct"/>
            <w:vAlign w:val="center"/>
          </w:tcPr>
          <w:p w14:paraId="19E61920">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44A58A3C">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6223042">
            <w:pPr>
              <w:autoSpaceDE w:val="0"/>
              <w:autoSpaceDN w:val="0"/>
              <w:adjustRightInd w:val="0"/>
              <w:snapToGrid w:val="0"/>
              <w:jc w:val="center"/>
              <w:rPr>
                <w:rFonts w:ascii="Times New Roman"/>
                <w:sz w:val="21"/>
                <w:szCs w:val="21"/>
              </w:rPr>
            </w:pPr>
          </w:p>
        </w:tc>
        <w:tc>
          <w:tcPr>
            <w:tcW w:w="208" w:type="pct"/>
            <w:vAlign w:val="center"/>
          </w:tcPr>
          <w:p w14:paraId="41708F91">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12B34002">
            <w:pPr>
              <w:autoSpaceDE w:val="0"/>
              <w:autoSpaceDN w:val="0"/>
              <w:adjustRightInd w:val="0"/>
              <w:snapToGrid w:val="0"/>
              <w:jc w:val="center"/>
              <w:rPr>
                <w:rFonts w:ascii="Times New Roman"/>
                <w:sz w:val="21"/>
                <w:szCs w:val="21"/>
              </w:rPr>
            </w:pPr>
            <w:r>
              <w:rPr>
                <w:rFonts w:ascii="Times New Roman"/>
                <w:sz w:val="21"/>
                <w:szCs w:val="21"/>
              </w:rPr>
              <w:t>195</w:t>
            </w:r>
          </w:p>
        </w:tc>
        <w:tc>
          <w:tcPr>
            <w:tcW w:w="240" w:type="pct"/>
            <w:vAlign w:val="center"/>
          </w:tcPr>
          <w:p w14:paraId="46B48DF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FE9D030">
            <w:pPr>
              <w:autoSpaceDE w:val="0"/>
              <w:autoSpaceDN w:val="0"/>
              <w:adjustRightInd w:val="0"/>
              <w:snapToGrid w:val="0"/>
              <w:jc w:val="center"/>
              <w:rPr>
                <w:rFonts w:ascii="Times New Roman"/>
                <w:sz w:val="21"/>
                <w:szCs w:val="21"/>
              </w:rPr>
            </w:pPr>
            <w:r>
              <w:rPr>
                <w:rFonts w:ascii="Times New Roman"/>
                <w:sz w:val="21"/>
                <w:szCs w:val="21"/>
              </w:rPr>
              <w:t>139.6</w:t>
            </w:r>
          </w:p>
        </w:tc>
        <w:tc>
          <w:tcPr>
            <w:tcW w:w="358" w:type="pct"/>
            <w:vAlign w:val="center"/>
          </w:tcPr>
          <w:p w14:paraId="21B6863E">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3078769F">
            <w:pPr>
              <w:autoSpaceDE w:val="0"/>
              <w:autoSpaceDN w:val="0"/>
              <w:adjustRightInd w:val="0"/>
              <w:snapToGrid w:val="0"/>
              <w:jc w:val="center"/>
              <w:rPr>
                <w:rFonts w:ascii="Times New Roman"/>
                <w:sz w:val="21"/>
                <w:szCs w:val="21"/>
              </w:rPr>
            </w:pPr>
          </w:p>
        </w:tc>
        <w:tc>
          <w:tcPr>
            <w:tcW w:w="551" w:type="pct"/>
            <w:vAlign w:val="center"/>
          </w:tcPr>
          <w:p w14:paraId="1571C14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205DE6D">
            <w:pPr>
              <w:autoSpaceDE w:val="0"/>
              <w:autoSpaceDN w:val="0"/>
              <w:adjustRightInd w:val="0"/>
              <w:snapToGrid w:val="0"/>
              <w:jc w:val="center"/>
              <w:rPr>
                <w:rFonts w:ascii="Times New Roman"/>
                <w:sz w:val="21"/>
                <w:szCs w:val="21"/>
              </w:rPr>
            </w:pPr>
          </w:p>
        </w:tc>
        <w:tc>
          <w:tcPr>
            <w:tcW w:w="287" w:type="pct"/>
            <w:vMerge w:val="continue"/>
            <w:vAlign w:val="center"/>
          </w:tcPr>
          <w:p w14:paraId="36DC08EB">
            <w:pPr>
              <w:autoSpaceDE w:val="0"/>
              <w:autoSpaceDN w:val="0"/>
              <w:adjustRightInd w:val="0"/>
              <w:snapToGrid w:val="0"/>
              <w:jc w:val="center"/>
              <w:rPr>
                <w:rFonts w:ascii="Times New Roman"/>
                <w:sz w:val="21"/>
                <w:szCs w:val="21"/>
              </w:rPr>
            </w:pPr>
          </w:p>
        </w:tc>
        <w:tc>
          <w:tcPr>
            <w:tcW w:w="434" w:type="pct"/>
            <w:vMerge w:val="continue"/>
            <w:vAlign w:val="center"/>
          </w:tcPr>
          <w:p w14:paraId="3BEC0E7A">
            <w:pPr>
              <w:autoSpaceDE w:val="0"/>
              <w:autoSpaceDN w:val="0"/>
              <w:adjustRightInd w:val="0"/>
              <w:snapToGrid w:val="0"/>
              <w:jc w:val="center"/>
              <w:rPr>
                <w:rFonts w:ascii="Times New Roman"/>
                <w:sz w:val="21"/>
                <w:szCs w:val="21"/>
              </w:rPr>
            </w:pPr>
          </w:p>
        </w:tc>
      </w:tr>
      <w:tr w14:paraId="473D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67D1681">
            <w:pPr>
              <w:autoSpaceDE w:val="0"/>
              <w:autoSpaceDN w:val="0"/>
              <w:adjustRightInd w:val="0"/>
              <w:snapToGrid w:val="0"/>
              <w:jc w:val="center"/>
              <w:rPr>
                <w:rFonts w:ascii="Times New Roman"/>
                <w:sz w:val="21"/>
                <w:szCs w:val="21"/>
              </w:rPr>
            </w:pPr>
          </w:p>
        </w:tc>
        <w:tc>
          <w:tcPr>
            <w:tcW w:w="697" w:type="pct"/>
            <w:vAlign w:val="center"/>
          </w:tcPr>
          <w:p w14:paraId="62D4A309">
            <w:pPr>
              <w:autoSpaceDE w:val="0"/>
              <w:autoSpaceDN w:val="0"/>
              <w:adjustRightInd w:val="0"/>
              <w:snapToGrid w:val="0"/>
              <w:jc w:val="center"/>
              <w:rPr>
                <w:rFonts w:ascii="Times New Roman"/>
                <w:sz w:val="21"/>
                <w:szCs w:val="21"/>
              </w:rPr>
            </w:pPr>
            <w:r>
              <w:rPr>
                <w:rFonts w:ascii="Times New Roman"/>
                <w:sz w:val="21"/>
                <w:szCs w:val="21"/>
              </w:rPr>
              <w:t>焊接焊机</w:t>
            </w:r>
          </w:p>
        </w:tc>
        <w:tc>
          <w:tcPr>
            <w:tcW w:w="346" w:type="pct"/>
            <w:vAlign w:val="center"/>
          </w:tcPr>
          <w:p w14:paraId="2816784D">
            <w:pPr>
              <w:autoSpaceDE w:val="0"/>
              <w:autoSpaceDN w:val="0"/>
              <w:adjustRightInd w:val="0"/>
              <w:snapToGrid w:val="0"/>
              <w:jc w:val="center"/>
              <w:rPr>
                <w:rFonts w:ascii="Times New Roman"/>
                <w:sz w:val="21"/>
                <w:szCs w:val="21"/>
              </w:rPr>
            </w:pPr>
            <w:r>
              <w:rPr>
                <w:rFonts w:ascii="Times New Roman"/>
                <w:sz w:val="21"/>
                <w:szCs w:val="21"/>
              </w:rPr>
              <w:t>70</w:t>
            </w:r>
          </w:p>
        </w:tc>
        <w:tc>
          <w:tcPr>
            <w:tcW w:w="307" w:type="pct"/>
            <w:vMerge w:val="continue"/>
            <w:vAlign w:val="center"/>
          </w:tcPr>
          <w:p w14:paraId="1A8AEEE2">
            <w:pPr>
              <w:autoSpaceDE w:val="0"/>
              <w:autoSpaceDN w:val="0"/>
              <w:adjustRightInd w:val="0"/>
              <w:snapToGrid w:val="0"/>
              <w:jc w:val="center"/>
              <w:rPr>
                <w:rFonts w:ascii="Times New Roman"/>
                <w:sz w:val="21"/>
                <w:szCs w:val="21"/>
              </w:rPr>
            </w:pPr>
          </w:p>
        </w:tc>
        <w:tc>
          <w:tcPr>
            <w:tcW w:w="208" w:type="pct"/>
            <w:vAlign w:val="center"/>
          </w:tcPr>
          <w:p w14:paraId="4B935D50">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1FFEC732">
            <w:pPr>
              <w:autoSpaceDE w:val="0"/>
              <w:autoSpaceDN w:val="0"/>
              <w:adjustRightInd w:val="0"/>
              <w:snapToGrid w:val="0"/>
              <w:jc w:val="center"/>
              <w:rPr>
                <w:rFonts w:ascii="Times New Roman"/>
                <w:sz w:val="21"/>
                <w:szCs w:val="21"/>
              </w:rPr>
            </w:pPr>
            <w:r>
              <w:rPr>
                <w:rFonts w:ascii="Times New Roman"/>
                <w:sz w:val="21"/>
                <w:szCs w:val="21"/>
              </w:rPr>
              <w:t>195</w:t>
            </w:r>
          </w:p>
        </w:tc>
        <w:tc>
          <w:tcPr>
            <w:tcW w:w="240" w:type="pct"/>
            <w:vAlign w:val="center"/>
          </w:tcPr>
          <w:p w14:paraId="19E40D5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965B483">
            <w:pPr>
              <w:autoSpaceDE w:val="0"/>
              <w:autoSpaceDN w:val="0"/>
              <w:adjustRightInd w:val="0"/>
              <w:snapToGrid w:val="0"/>
              <w:jc w:val="center"/>
              <w:rPr>
                <w:rFonts w:ascii="Times New Roman"/>
                <w:sz w:val="21"/>
                <w:szCs w:val="21"/>
              </w:rPr>
            </w:pPr>
            <w:r>
              <w:rPr>
                <w:rFonts w:ascii="Times New Roman"/>
                <w:sz w:val="21"/>
                <w:szCs w:val="21"/>
              </w:rPr>
              <w:t>139.6</w:t>
            </w:r>
          </w:p>
        </w:tc>
        <w:tc>
          <w:tcPr>
            <w:tcW w:w="358" w:type="pct"/>
            <w:vAlign w:val="center"/>
          </w:tcPr>
          <w:p w14:paraId="76CFD8F9">
            <w:pPr>
              <w:autoSpaceDE w:val="0"/>
              <w:autoSpaceDN w:val="0"/>
              <w:adjustRightInd w:val="0"/>
              <w:snapToGrid w:val="0"/>
              <w:jc w:val="center"/>
              <w:rPr>
                <w:rFonts w:ascii="Times New Roman"/>
                <w:sz w:val="21"/>
                <w:szCs w:val="21"/>
              </w:rPr>
            </w:pPr>
            <w:r>
              <w:rPr>
                <w:rFonts w:ascii="Times New Roman"/>
                <w:sz w:val="21"/>
                <w:szCs w:val="21"/>
              </w:rPr>
              <w:t>27</w:t>
            </w:r>
          </w:p>
        </w:tc>
        <w:tc>
          <w:tcPr>
            <w:tcW w:w="316" w:type="pct"/>
            <w:vMerge w:val="continue"/>
            <w:vAlign w:val="center"/>
          </w:tcPr>
          <w:p w14:paraId="3D5C1454">
            <w:pPr>
              <w:autoSpaceDE w:val="0"/>
              <w:autoSpaceDN w:val="0"/>
              <w:adjustRightInd w:val="0"/>
              <w:snapToGrid w:val="0"/>
              <w:jc w:val="center"/>
              <w:rPr>
                <w:rFonts w:ascii="Times New Roman"/>
                <w:sz w:val="21"/>
                <w:szCs w:val="21"/>
              </w:rPr>
            </w:pPr>
          </w:p>
        </w:tc>
        <w:tc>
          <w:tcPr>
            <w:tcW w:w="551" w:type="pct"/>
            <w:vAlign w:val="center"/>
          </w:tcPr>
          <w:p w14:paraId="53BB52B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1593278">
            <w:pPr>
              <w:autoSpaceDE w:val="0"/>
              <w:autoSpaceDN w:val="0"/>
              <w:adjustRightInd w:val="0"/>
              <w:snapToGrid w:val="0"/>
              <w:jc w:val="center"/>
              <w:rPr>
                <w:rFonts w:ascii="Times New Roman"/>
                <w:sz w:val="21"/>
                <w:szCs w:val="21"/>
              </w:rPr>
            </w:pPr>
          </w:p>
        </w:tc>
        <w:tc>
          <w:tcPr>
            <w:tcW w:w="287" w:type="pct"/>
            <w:vMerge w:val="continue"/>
            <w:vAlign w:val="center"/>
          </w:tcPr>
          <w:p w14:paraId="35EDD233">
            <w:pPr>
              <w:autoSpaceDE w:val="0"/>
              <w:autoSpaceDN w:val="0"/>
              <w:adjustRightInd w:val="0"/>
              <w:snapToGrid w:val="0"/>
              <w:jc w:val="center"/>
              <w:rPr>
                <w:rFonts w:ascii="Times New Roman"/>
                <w:sz w:val="21"/>
                <w:szCs w:val="21"/>
              </w:rPr>
            </w:pPr>
          </w:p>
        </w:tc>
        <w:tc>
          <w:tcPr>
            <w:tcW w:w="434" w:type="pct"/>
            <w:vMerge w:val="continue"/>
            <w:vAlign w:val="center"/>
          </w:tcPr>
          <w:p w14:paraId="48E4F789">
            <w:pPr>
              <w:autoSpaceDE w:val="0"/>
              <w:autoSpaceDN w:val="0"/>
              <w:adjustRightInd w:val="0"/>
              <w:snapToGrid w:val="0"/>
              <w:jc w:val="center"/>
              <w:rPr>
                <w:rFonts w:ascii="Times New Roman"/>
                <w:sz w:val="21"/>
                <w:szCs w:val="21"/>
              </w:rPr>
            </w:pPr>
          </w:p>
        </w:tc>
      </w:tr>
      <w:tr w14:paraId="31C6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4C00D10">
            <w:pPr>
              <w:autoSpaceDE w:val="0"/>
              <w:autoSpaceDN w:val="0"/>
              <w:adjustRightInd w:val="0"/>
              <w:snapToGrid w:val="0"/>
              <w:jc w:val="center"/>
              <w:rPr>
                <w:rFonts w:ascii="Times New Roman"/>
                <w:sz w:val="21"/>
                <w:szCs w:val="21"/>
              </w:rPr>
            </w:pPr>
          </w:p>
        </w:tc>
        <w:tc>
          <w:tcPr>
            <w:tcW w:w="697" w:type="pct"/>
            <w:vAlign w:val="center"/>
          </w:tcPr>
          <w:p w14:paraId="08D9A091">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66FB736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EFAFF93">
            <w:pPr>
              <w:autoSpaceDE w:val="0"/>
              <w:autoSpaceDN w:val="0"/>
              <w:adjustRightInd w:val="0"/>
              <w:snapToGrid w:val="0"/>
              <w:jc w:val="center"/>
              <w:rPr>
                <w:rFonts w:ascii="Times New Roman"/>
                <w:sz w:val="21"/>
                <w:szCs w:val="21"/>
              </w:rPr>
            </w:pPr>
          </w:p>
        </w:tc>
        <w:tc>
          <w:tcPr>
            <w:tcW w:w="208" w:type="pct"/>
            <w:vAlign w:val="center"/>
          </w:tcPr>
          <w:p w14:paraId="42B0D8A1">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6B2372DB">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1865E0E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B2922CE">
            <w:pPr>
              <w:autoSpaceDE w:val="0"/>
              <w:autoSpaceDN w:val="0"/>
              <w:adjustRightInd w:val="0"/>
              <w:snapToGrid w:val="0"/>
              <w:jc w:val="center"/>
              <w:rPr>
                <w:rFonts w:ascii="Times New Roman"/>
                <w:sz w:val="21"/>
                <w:szCs w:val="21"/>
              </w:rPr>
            </w:pPr>
            <w:r>
              <w:rPr>
                <w:rFonts w:ascii="Times New Roman"/>
                <w:sz w:val="21"/>
                <w:szCs w:val="21"/>
              </w:rPr>
              <w:t>134.6</w:t>
            </w:r>
          </w:p>
        </w:tc>
        <w:tc>
          <w:tcPr>
            <w:tcW w:w="358" w:type="pct"/>
            <w:vAlign w:val="center"/>
          </w:tcPr>
          <w:p w14:paraId="50D5AB11">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583BBFC5">
            <w:pPr>
              <w:autoSpaceDE w:val="0"/>
              <w:autoSpaceDN w:val="0"/>
              <w:adjustRightInd w:val="0"/>
              <w:snapToGrid w:val="0"/>
              <w:jc w:val="center"/>
              <w:rPr>
                <w:rFonts w:ascii="Times New Roman"/>
                <w:sz w:val="21"/>
                <w:szCs w:val="21"/>
              </w:rPr>
            </w:pPr>
          </w:p>
        </w:tc>
        <w:tc>
          <w:tcPr>
            <w:tcW w:w="551" w:type="pct"/>
            <w:vAlign w:val="center"/>
          </w:tcPr>
          <w:p w14:paraId="6DDEDCE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FC3C915">
            <w:pPr>
              <w:autoSpaceDE w:val="0"/>
              <w:autoSpaceDN w:val="0"/>
              <w:adjustRightInd w:val="0"/>
              <w:snapToGrid w:val="0"/>
              <w:jc w:val="center"/>
              <w:rPr>
                <w:rFonts w:ascii="Times New Roman"/>
                <w:sz w:val="21"/>
                <w:szCs w:val="21"/>
              </w:rPr>
            </w:pPr>
          </w:p>
        </w:tc>
        <w:tc>
          <w:tcPr>
            <w:tcW w:w="287" w:type="pct"/>
            <w:vMerge w:val="continue"/>
            <w:vAlign w:val="center"/>
          </w:tcPr>
          <w:p w14:paraId="7536D71B">
            <w:pPr>
              <w:autoSpaceDE w:val="0"/>
              <w:autoSpaceDN w:val="0"/>
              <w:adjustRightInd w:val="0"/>
              <w:snapToGrid w:val="0"/>
              <w:jc w:val="center"/>
              <w:rPr>
                <w:rFonts w:ascii="Times New Roman"/>
                <w:sz w:val="21"/>
                <w:szCs w:val="21"/>
              </w:rPr>
            </w:pPr>
          </w:p>
        </w:tc>
        <w:tc>
          <w:tcPr>
            <w:tcW w:w="434" w:type="pct"/>
            <w:vMerge w:val="continue"/>
            <w:vAlign w:val="center"/>
          </w:tcPr>
          <w:p w14:paraId="1E8EF026">
            <w:pPr>
              <w:autoSpaceDE w:val="0"/>
              <w:autoSpaceDN w:val="0"/>
              <w:adjustRightInd w:val="0"/>
              <w:snapToGrid w:val="0"/>
              <w:jc w:val="center"/>
              <w:rPr>
                <w:rFonts w:ascii="Times New Roman"/>
                <w:sz w:val="21"/>
                <w:szCs w:val="21"/>
              </w:rPr>
            </w:pPr>
          </w:p>
        </w:tc>
      </w:tr>
      <w:tr w14:paraId="2ED9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206CA05">
            <w:pPr>
              <w:autoSpaceDE w:val="0"/>
              <w:autoSpaceDN w:val="0"/>
              <w:adjustRightInd w:val="0"/>
              <w:snapToGrid w:val="0"/>
              <w:jc w:val="center"/>
              <w:rPr>
                <w:rFonts w:ascii="Times New Roman"/>
                <w:sz w:val="21"/>
                <w:szCs w:val="21"/>
              </w:rPr>
            </w:pPr>
          </w:p>
        </w:tc>
        <w:tc>
          <w:tcPr>
            <w:tcW w:w="697" w:type="pct"/>
            <w:vAlign w:val="center"/>
          </w:tcPr>
          <w:p w14:paraId="5B8830EC">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672D948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42281E2">
            <w:pPr>
              <w:autoSpaceDE w:val="0"/>
              <w:autoSpaceDN w:val="0"/>
              <w:adjustRightInd w:val="0"/>
              <w:snapToGrid w:val="0"/>
              <w:jc w:val="center"/>
              <w:rPr>
                <w:rFonts w:ascii="Times New Roman"/>
                <w:sz w:val="21"/>
                <w:szCs w:val="21"/>
              </w:rPr>
            </w:pPr>
          </w:p>
        </w:tc>
        <w:tc>
          <w:tcPr>
            <w:tcW w:w="208" w:type="pct"/>
            <w:vAlign w:val="center"/>
          </w:tcPr>
          <w:p w14:paraId="1069C8AA">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40B9E12D">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2299705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FE5BAD2">
            <w:pPr>
              <w:autoSpaceDE w:val="0"/>
              <w:autoSpaceDN w:val="0"/>
              <w:adjustRightInd w:val="0"/>
              <w:snapToGrid w:val="0"/>
              <w:jc w:val="center"/>
              <w:rPr>
                <w:rFonts w:ascii="Times New Roman"/>
                <w:sz w:val="21"/>
                <w:szCs w:val="21"/>
              </w:rPr>
            </w:pPr>
            <w:r>
              <w:rPr>
                <w:rFonts w:ascii="Times New Roman"/>
                <w:sz w:val="21"/>
                <w:szCs w:val="21"/>
              </w:rPr>
              <w:t>134.6</w:t>
            </w:r>
          </w:p>
        </w:tc>
        <w:tc>
          <w:tcPr>
            <w:tcW w:w="358" w:type="pct"/>
            <w:vAlign w:val="center"/>
          </w:tcPr>
          <w:p w14:paraId="7941039B">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1E5AC411">
            <w:pPr>
              <w:autoSpaceDE w:val="0"/>
              <w:autoSpaceDN w:val="0"/>
              <w:adjustRightInd w:val="0"/>
              <w:snapToGrid w:val="0"/>
              <w:jc w:val="center"/>
              <w:rPr>
                <w:rFonts w:ascii="Times New Roman"/>
                <w:sz w:val="21"/>
                <w:szCs w:val="21"/>
              </w:rPr>
            </w:pPr>
          </w:p>
        </w:tc>
        <w:tc>
          <w:tcPr>
            <w:tcW w:w="551" w:type="pct"/>
            <w:vAlign w:val="center"/>
          </w:tcPr>
          <w:p w14:paraId="6CF9CDD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CD3BC69">
            <w:pPr>
              <w:autoSpaceDE w:val="0"/>
              <w:autoSpaceDN w:val="0"/>
              <w:adjustRightInd w:val="0"/>
              <w:snapToGrid w:val="0"/>
              <w:jc w:val="center"/>
              <w:rPr>
                <w:rFonts w:ascii="Times New Roman"/>
                <w:sz w:val="21"/>
                <w:szCs w:val="21"/>
              </w:rPr>
            </w:pPr>
          </w:p>
        </w:tc>
        <w:tc>
          <w:tcPr>
            <w:tcW w:w="287" w:type="pct"/>
            <w:vMerge w:val="continue"/>
            <w:vAlign w:val="center"/>
          </w:tcPr>
          <w:p w14:paraId="5853F2D8">
            <w:pPr>
              <w:autoSpaceDE w:val="0"/>
              <w:autoSpaceDN w:val="0"/>
              <w:adjustRightInd w:val="0"/>
              <w:snapToGrid w:val="0"/>
              <w:jc w:val="center"/>
              <w:rPr>
                <w:rFonts w:ascii="Times New Roman"/>
                <w:sz w:val="21"/>
                <w:szCs w:val="21"/>
              </w:rPr>
            </w:pPr>
          </w:p>
        </w:tc>
        <w:tc>
          <w:tcPr>
            <w:tcW w:w="434" w:type="pct"/>
            <w:vMerge w:val="continue"/>
            <w:vAlign w:val="center"/>
          </w:tcPr>
          <w:p w14:paraId="0A32CE59">
            <w:pPr>
              <w:autoSpaceDE w:val="0"/>
              <w:autoSpaceDN w:val="0"/>
              <w:adjustRightInd w:val="0"/>
              <w:snapToGrid w:val="0"/>
              <w:jc w:val="center"/>
              <w:rPr>
                <w:rFonts w:ascii="Times New Roman"/>
                <w:sz w:val="21"/>
                <w:szCs w:val="21"/>
              </w:rPr>
            </w:pPr>
          </w:p>
        </w:tc>
      </w:tr>
      <w:tr w14:paraId="4231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C33D1ED">
            <w:pPr>
              <w:autoSpaceDE w:val="0"/>
              <w:autoSpaceDN w:val="0"/>
              <w:adjustRightInd w:val="0"/>
              <w:snapToGrid w:val="0"/>
              <w:jc w:val="center"/>
              <w:rPr>
                <w:rFonts w:ascii="Times New Roman"/>
                <w:sz w:val="21"/>
                <w:szCs w:val="21"/>
              </w:rPr>
            </w:pPr>
          </w:p>
        </w:tc>
        <w:tc>
          <w:tcPr>
            <w:tcW w:w="697" w:type="pct"/>
            <w:vAlign w:val="center"/>
          </w:tcPr>
          <w:p w14:paraId="1FA39AA3">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6EC5F1B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C0D884A">
            <w:pPr>
              <w:autoSpaceDE w:val="0"/>
              <w:autoSpaceDN w:val="0"/>
              <w:adjustRightInd w:val="0"/>
              <w:snapToGrid w:val="0"/>
              <w:jc w:val="center"/>
              <w:rPr>
                <w:rFonts w:ascii="Times New Roman"/>
                <w:sz w:val="21"/>
                <w:szCs w:val="21"/>
              </w:rPr>
            </w:pPr>
          </w:p>
        </w:tc>
        <w:tc>
          <w:tcPr>
            <w:tcW w:w="208" w:type="pct"/>
            <w:vAlign w:val="center"/>
          </w:tcPr>
          <w:p w14:paraId="0926DCE8">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3C83C80B">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29422E11">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02C95F8">
            <w:pPr>
              <w:autoSpaceDE w:val="0"/>
              <w:autoSpaceDN w:val="0"/>
              <w:adjustRightInd w:val="0"/>
              <w:snapToGrid w:val="0"/>
              <w:jc w:val="center"/>
              <w:rPr>
                <w:rFonts w:ascii="Times New Roman"/>
                <w:sz w:val="21"/>
                <w:szCs w:val="21"/>
              </w:rPr>
            </w:pPr>
            <w:r>
              <w:rPr>
                <w:rFonts w:ascii="Times New Roman"/>
                <w:sz w:val="21"/>
                <w:szCs w:val="21"/>
              </w:rPr>
              <w:t>134.6</w:t>
            </w:r>
          </w:p>
        </w:tc>
        <w:tc>
          <w:tcPr>
            <w:tcW w:w="358" w:type="pct"/>
            <w:vAlign w:val="center"/>
          </w:tcPr>
          <w:p w14:paraId="2A642BF6">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20FA1E7D">
            <w:pPr>
              <w:autoSpaceDE w:val="0"/>
              <w:autoSpaceDN w:val="0"/>
              <w:adjustRightInd w:val="0"/>
              <w:snapToGrid w:val="0"/>
              <w:jc w:val="center"/>
              <w:rPr>
                <w:rFonts w:ascii="Times New Roman"/>
                <w:sz w:val="21"/>
                <w:szCs w:val="21"/>
              </w:rPr>
            </w:pPr>
          </w:p>
        </w:tc>
        <w:tc>
          <w:tcPr>
            <w:tcW w:w="551" w:type="pct"/>
            <w:vAlign w:val="center"/>
          </w:tcPr>
          <w:p w14:paraId="34DFFD6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55C7DDF">
            <w:pPr>
              <w:autoSpaceDE w:val="0"/>
              <w:autoSpaceDN w:val="0"/>
              <w:adjustRightInd w:val="0"/>
              <w:snapToGrid w:val="0"/>
              <w:jc w:val="center"/>
              <w:rPr>
                <w:rFonts w:ascii="Times New Roman"/>
                <w:sz w:val="21"/>
                <w:szCs w:val="21"/>
              </w:rPr>
            </w:pPr>
          </w:p>
        </w:tc>
        <w:tc>
          <w:tcPr>
            <w:tcW w:w="287" w:type="pct"/>
            <w:vMerge w:val="continue"/>
            <w:vAlign w:val="center"/>
          </w:tcPr>
          <w:p w14:paraId="6D8DFDA9">
            <w:pPr>
              <w:autoSpaceDE w:val="0"/>
              <w:autoSpaceDN w:val="0"/>
              <w:adjustRightInd w:val="0"/>
              <w:snapToGrid w:val="0"/>
              <w:jc w:val="center"/>
              <w:rPr>
                <w:rFonts w:ascii="Times New Roman"/>
                <w:sz w:val="21"/>
                <w:szCs w:val="21"/>
              </w:rPr>
            </w:pPr>
          </w:p>
        </w:tc>
        <w:tc>
          <w:tcPr>
            <w:tcW w:w="434" w:type="pct"/>
            <w:vMerge w:val="continue"/>
            <w:vAlign w:val="center"/>
          </w:tcPr>
          <w:p w14:paraId="6174415F">
            <w:pPr>
              <w:autoSpaceDE w:val="0"/>
              <w:autoSpaceDN w:val="0"/>
              <w:adjustRightInd w:val="0"/>
              <w:snapToGrid w:val="0"/>
              <w:jc w:val="center"/>
              <w:rPr>
                <w:rFonts w:ascii="Times New Roman"/>
                <w:sz w:val="21"/>
                <w:szCs w:val="21"/>
              </w:rPr>
            </w:pPr>
          </w:p>
        </w:tc>
      </w:tr>
      <w:tr w14:paraId="6A85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2C5C1AF">
            <w:pPr>
              <w:autoSpaceDE w:val="0"/>
              <w:autoSpaceDN w:val="0"/>
              <w:adjustRightInd w:val="0"/>
              <w:snapToGrid w:val="0"/>
              <w:jc w:val="center"/>
              <w:rPr>
                <w:rFonts w:ascii="Times New Roman"/>
                <w:sz w:val="21"/>
                <w:szCs w:val="21"/>
              </w:rPr>
            </w:pPr>
          </w:p>
        </w:tc>
        <w:tc>
          <w:tcPr>
            <w:tcW w:w="697" w:type="pct"/>
            <w:vAlign w:val="center"/>
          </w:tcPr>
          <w:p w14:paraId="0DEA5F21">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66C8BDD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68C8649">
            <w:pPr>
              <w:autoSpaceDE w:val="0"/>
              <w:autoSpaceDN w:val="0"/>
              <w:adjustRightInd w:val="0"/>
              <w:snapToGrid w:val="0"/>
              <w:jc w:val="center"/>
              <w:rPr>
                <w:rFonts w:ascii="Times New Roman"/>
                <w:sz w:val="21"/>
                <w:szCs w:val="21"/>
              </w:rPr>
            </w:pPr>
          </w:p>
        </w:tc>
        <w:tc>
          <w:tcPr>
            <w:tcW w:w="208" w:type="pct"/>
            <w:vAlign w:val="center"/>
          </w:tcPr>
          <w:p w14:paraId="7FD8EB96">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085FFA35">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1A380E3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8D9A6F1">
            <w:pPr>
              <w:autoSpaceDE w:val="0"/>
              <w:autoSpaceDN w:val="0"/>
              <w:adjustRightInd w:val="0"/>
              <w:snapToGrid w:val="0"/>
              <w:jc w:val="center"/>
              <w:rPr>
                <w:rFonts w:ascii="Times New Roman"/>
                <w:sz w:val="21"/>
                <w:szCs w:val="21"/>
              </w:rPr>
            </w:pPr>
            <w:r>
              <w:rPr>
                <w:rFonts w:ascii="Times New Roman"/>
                <w:sz w:val="21"/>
                <w:szCs w:val="21"/>
              </w:rPr>
              <w:t>134.6</w:t>
            </w:r>
          </w:p>
        </w:tc>
        <w:tc>
          <w:tcPr>
            <w:tcW w:w="358" w:type="pct"/>
            <w:vAlign w:val="center"/>
          </w:tcPr>
          <w:p w14:paraId="3A55F250">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2F9413D3">
            <w:pPr>
              <w:autoSpaceDE w:val="0"/>
              <w:autoSpaceDN w:val="0"/>
              <w:adjustRightInd w:val="0"/>
              <w:snapToGrid w:val="0"/>
              <w:jc w:val="center"/>
              <w:rPr>
                <w:rFonts w:ascii="Times New Roman"/>
                <w:sz w:val="21"/>
                <w:szCs w:val="21"/>
              </w:rPr>
            </w:pPr>
          </w:p>
        </w:tc>
        <w:tc>
          <w:tcPr>
            <w:tcW w:w="551" w:type="pct"/>
            <w:vAlign w:val="center"/>
          </w:tcPr>
          <w:p w14:paraId="4A16896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92C3E2B">
            <w:pPr>
              <w:autoSpaceDE w:val="0"/>
              <w:autoSpaceDN w:val="0"/>
              <w:adjustRightInd w:val="0"/>
              <w:snapToGrid w:val="0"/>
              <w:jc w:val="center"/>
              <w:rPr>
                <w:rFonts w:ascii="Times New Roman"/>
                <w:sz w:val="21"/>
                <w:szCs w:val="21"/>
              </w:rPr>
            </w:pPr>
          </w:p>
        </w:tc>
        <w:tc>
          <w:tcPr>
            <w:tcW w:w="287" w:type="pct"/>
            <w:vMerge w:val="continue"/>
            <w:vAlign w:val="center"/>
          </w:tcPr>
          <w:p w14:paraId="04E3A52C">
            <w:pPr>
              <w:autoSpaceDE w:val="0"/>
              <w:autoSpaceDN w:val="0"/>
              <w:adjustRightInd w:val="0"/>
              <w:snapToGrid w:val="0"/>
              <w:jc w:val="center"/>
              <w:rPr>
                <w:rFonts w:ascii="Times New Roman"/>
                <w:sz w:val="21"/>
                <w:szCs w:val="21"/>
              </w:rPr>
            </w:pPr>
          </w:p>
        </w:tc>
        <w:tc>
          <w:tcPr>
            <w:tcW w:w="434" w:type="pct"/>
            <w:vMerge w:val="continue"/>
            <w:vAlign w:val="center"/>
          </w:tcPr>
          <w:p w14:paraId="0B68A7EC">
            <w:pPr>
              <w:autoSpaceDE w:val="0"/>
              <w:autoSpaceDN w:val="0"/>
              <w:adjustRightInd w:val="0"/>
              <w:snapToGrid w:val="0"/>
              <w:jc w:val="center"/>
              <w:rPr>
                <w:rFonts w:ascii="Times New Roman"/>
                <w:sz w:val="21"/>
                <w:szCs w:val="21"/>
              </w:rPr>
            </w:pPr>
          </w:p>
        </w:tc>
      </w:tr>
      <w:tr w14:paraId="4454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2E16532">
            <w:pPr>
              <w:autoSpaceDE w:val="0"/>
              <w:autoSpaceDN w:val="0"/>
              <w:adjustRightInd w:val="0"/>
              <w:snapToGrid w:val="0"/>
              <w:jc w:val="center"/>
              <w:rPr>
                <w:rFonts w:ascii="Times New Roman"/>
                <w:sz w:val="21"/>
                <w:szCs w:val="21"/>
              </w:rPr>
            </w:pPr>
          </w:p>
        </w:tc>
        <w:tc>
          <w:tcPr>
            <w:tcW w:w="697" w:type="pct"/>
            <w:vAlign w:val="center"/>
          </w:tcPr>
          <w:p w14:paraId="0464F7D9">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25B8B02F">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25B40B7">
            <w:pPr>
              <w:autoSpaceDE w:val="0"/>
              <w:autoSpaceDN w:val="0"/>
              <w:adjustRightInd w:val="0"/>
              <w:snapToGrid w:val="0"/>
              <w:jc w:val="center"/>
              <w:rPr>
                <w:rFonts w:ascii="Times New Roman"/>
                <w:sz w:val="21"/>
                <w:szCs w:val="21"/>
              </w:rPr>
            </w:pPr>
          </w:p>
        </w:tc>
        <w:tc>
          <w:tcPr>
            <w:tcW w:w="208" w:type="pct"/>
            <w:vAlign w:val="center"/>
          </w:tcPr>
          <w:p w14:paraId="322E6491">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02E2DF45">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6EF9D49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516FEFC">
            <w:pPr>
              <w:autoSpaceDE w:val="0"/>
              <w:autoSpaceDN w:val="0"/>
              <w:adjustRightInd w:val="0"/>
              <w:snapToGrid w:val="0"/>
              <w:jc w:val="center"/>
              <w:rPr>
                <w:rFonts w:ascii="Times New Roman"/>
                <w:sz w:val="21"/>
                <w:szCs w:val="21"/>
              </w:rPr>
            </w:pPr>
            <w:r>
              <w:rPr>
                <w:rFonts w:ascii="Times New Roman"/>
                <w:sz w:val="21"/>
                <w:szCs w:val="21"/>
              </w:rPr>
              <w:t>134.6</w:t>
            </w:r>
          </w:p>
        </w:tc>
        <w:tc>
          <w:tcPr>
            <w:tcW w:w="358" w:type="pct"/>
            <w:vAlign w:val="center"/>
          </w:tcPr>
          <w:p w14:paraId="2493ADB6">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6E3789B3">
            <w:pPr>
              <w:autoSpaceDE w:val="0"/>
              <w:autoSpaceDN w:val="0"/>
              <w:adjustRightInd w:val="0"/>
              <w:snapToGrid w:val="0"/>
              <w:jc w:val="center"/>
              <w:rPr>
                <w:rFonts w:ascii="Times New Roman"/>
                <w:sz w:val="21"/>
                <w:szCs w:val="21"/>
              </w:rPr>
            </w:pPr>
          </w:p>
        </w:tc>
        <w:tc>
          <w:tcPr>
            <w:tcW w:w="551" w:type="pct"/>
            <w:vAlign w:val="center"/>
          </w:tcPr>
          <w:p w14:paraId="6EA3782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DD3E89C">
            <w:pPr>
              <w:autoSpaceDE w:val="0"/>
              <w:autoSpaceDN w:val="0"/>
              <w:adjustRightInd w:val="0"/>
              <w:snapToGrid w:val="0"/>
              <w:jc w:val="center"/>
              <w:rPr>
                <w:rFonts w:ascii="Times New Roman"/>
                <w:sz w:val="21"/>
                <w:szCs w:val="21"/>
              </w:rPr>
            </w:pPr>
          </w:p>
        </w:tc>
        <w:tc>
          <w:tcPr>
            <w:tcW w:w="287" w:type="pct"/>
            <w:vMerge w:val="continue"/>
            <w:vAlign w:val="center"/>
          </w:tcPr>
          <w:p w14:paraId="24A0D00C">
            <w:pPr>
              <w:autoSpaceDE w:val="0"/>
              <w:autoSpaceDN w:val="0"/>
              <w:adjustRightInd w:val="0"/>
              <w:snapToGrid w:val="0"/>
              <w:jc w:val="center"/>
              <w:rPr>
                <w:rFonts w:ascii="Times New Roman"/>
                <w:sz w:val="21"/>
                <w:szCs w:val="21"/>
              </w:rPr>
            </w:pPr>
          </w:p>
        </w:tc>
        <w:tc>
          <w:tcPr>
            <w:tcW w:w="434" w:type="pct"/>
            <w:vMerge w:val="continue"/>
            <w:vAlign w:val="center"/>
          </w:tcPr>
          <w:p w14:paraId="591C2D1F">
            <w:pPr>
              <w:autoSpaceDE w:val="0"/>
              <w:autoSpaceDN w:val="0"/>
              <w:adjustRightInd w:val="0"/>
              <w:snapToGrid w:val="0"/>
              <w:jc w:val="center"/>
              <w:rPr>
                <w:rFonts w:ascii="Times New Roman"/>
                <w:sz w:val="21"/>
                <w:szCs w:val="21"/>
              </w:rPr>
            </w:pPr>
          </w:p>
        </w:tc>
      </w:tr>
      <w:tr w14:paraId="71F6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F148220">
            <w:pPr>
              <w:autoSpaceDE w:val="0"/>
              <w:autoSpaceDN w:val="0"/>
              <w:adjustRightInd w:val="0"/>
              <w:snapToGrid w:val="0"/>
              <w:jc w:val="center"/>
              <w:rPr>
                <w:rFonts w:ascii="Times New Roman"/>
                <w:sz w:val="21"/>
                <w:szCs w:val="21"/>
              </w:rPr>
            </w:pPr>
          </w:p>
        </w:tc>
        <w:tc>
          <w:tcPr>
            <w:tcW w:w="697" w:type="pct"/>
            <w:vAlign w:val="center"/>
          </w:tcPr>
          <w:p w14:paraId="123AC077">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61969F5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FC70179">
            <w:pPr>
              <w:autoSpaceDE w:val="0"/>
              <w:autoSpaceDN w:val="0"/>
              <w:adjustRightInd w:val="0"/>
              <w:snapToGrid w:val="0"/>
              <w:jc w:val="center"/>
              <w:rPr>
                <w:rFonts w:ascii="Times New Roman"/>
                <w:sz w:val="21"/>
                <w:szCs w:val="21"/>
              </w:rPr>
            </w:pPr>
          </w:p>
        </w:tc>
        <w:tc>
          <w:tcPr>
            <w:tcW w:w="208" w:type="pct"/>
            <w:vAlign w:val="center"/>
          </w:tcPr>
          <w:p w14:paraId="0D38779A">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39FF0067">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2D1938D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CFD1BF8">
            <w:pPr>
              <w:autoSpaceDE w:val="0"/>
              <w:autoSpaceDN w:val="0"/>
              <w:adjustRightInd w:val="0"/>
              <w:snapToGrid w:val="0"/>
              <w:jc w:val="center"/>
              <w:rPr>
                <w:rFonts w:ascii="Times New Roman"/>
                <w:sz w:val="21"/>
                <w:szCs w:val="21"/>
              </w:rPr>
            </w:pPr>
            <w:r>
              <w:rPr>
                <w:rFonts w:ascii="Times New Roman"/>
                <w:sz w:val="21"/>
                <w:szCs w:val="21"/>
              </w:rPr>
              <w:t>134.6</w:t>
            </w:r>
          </w:p>
        </w:tc>
        <w:tc>
          <w:tcPr>
            <w:tcW w:w="358" w:type="pct"/>
            <w:vAlign w:val="center"/>
          </w:tcPr>
          <w:p w14:paraId="5DC2AF70">
            <w:pPr>
              <w:autoSpaceDE w:val="0"/>
              <w:autoSpaceDN w:val="0"/>
              <w:adjustRightInd w:val="0"/>
              <w:snapToGrid w:val="0"/>
              <w:jc w:val="center"/>
              <w:rPr>
                <w:rFonts w:ascii="Times New Roman"/>
                <w:sz w:val="21"/>
                <w:szCs w:val="21"/>
              </w:rPr>
            </w:pPr>
            <w:r>
              <w:rPr>
                <w:rFonts w:ascii="Times New Roman"/>
                <w:sz w:val="21"/>
                <w:szCs w:val="21"/>
              </w:rPr>
              <w:t>37</w:t>
            </w:r>
          </w:p>
        </w:tc>
        <w:tc>
          <w:tcPr>
            <w:tcW w:w="316" w:type="pct"/>
            <w:vMerge w:val="continue"/>
            <w:vAlign w:val="center"/>
          </w:tcPr>
          <w:p w14:paraId="7E7E5A8F">
            <w:pPr>
              <w:autoSpaceDE w:val="0"/>
              <w:autoSpaceDN w:val="0"/>
              <w:adjustRightInd w:val="0"/>
              <w:snapToGrid w:val="0"/>
              <w:jc w:val="center"/>
              <w:rPr>
                <w:rFonts w:ascii="Times New Roman"/>
                <w:sz w:val="21"/>
                <w:szCs w:val="21"/>
              </w:rPr>
            </w:pPr>
          </w:p>
        </w:tc>
        <w:tc>
          <w:tcPr>
            <w:tcW w:w="551" w:type="pct"/>
            <w:vAlign w:val="center"/>
          </w:tcPr>
          <w:p w14:paraId="07C096E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610C69F">
            <w:pPr>
              <w:autoSpaceDE w:val="0"/>
              <w:autoSpaceDN w:val="0"/>
              <w:adjustRightInd w:val="0"/>
              <w:snapToGrid w:val="0"/>
              <w:jc w:val="center"/>
              <w:rPr>
                <w:rFonts w:ascii="Times New Roman"/>
                <w:sz w:val="21"/>
                <w:szCs w:val="21"/>
              </w:rPr>
            </w:pPr>
          </w:p>
        </w:tc>
        <w:tc>
          <w:tcPr>
            <w:tcW w:w="287" w:type="pct"/>
            <w:vMerge w:val="continue"/>
            <w:vAlign w:val="center"/>
          </w:tcPr>
          <w:p w14:paraId="4D4F085B">
            <w:pPr>
              <w:autoSpaceDE w:val="0"/>
              <w:autoSpaceDN w:val="0"/>
              <w:adjustRightInd w:val="0"/>
              <w:snapToGrid w:val="0"/>
              <w:jc w:val="center"/>
              <w:rPr>
                <w:rFonts w:ascii="Times New Roman"/>
                <w:sz w:val="21"/>
                <w:szCs w:val="21"/>
              </w:rPr>
            </w:pPr>
          </w:p>
        </w:tc>
        <w:tc>
          <w:tcPr>
            <w:tcW w:w="434" w:type="pct"/>
            <w:vMerge w:val="continue"/>
            <w:vAlign w:val="center"/>
          </w:tcPr>
          <w:p w14:paraId="77FDBCC1">
            <w:pPr>
              <w:autoSpaceDE w:val="0"/>
              <w:autoSpaceDN w:val="0"/>
              <w:adjustRightInd w:val="0"/>
              <w:snapToGrid w:val="0"/>
              <w:jc w:val="center"/>
              <w:rPr>
                <w:rFonts w:ascii="Times New Roman"/>
                <w:sz w:val="21"/>
                <w:szCs w:val="21"/>
              </w:rPr>
            </w:pPr>
          </w:p>
        </w:tc>
      </w:tr>
      <w:tr w14:paraId="1A5E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2828347">
            <w:pPr>
              <w:autoSpaceDE w:val="0"/>
              <w:autoSpaceDN w:val="0"/>
              <w:adjustRightInd w:val="0"/>
              <w:snapToGrid w:val="0"/>
              <w:jc w:val="center"/>
              <w:rPr>
                <w:rFonts w:ascii="Times New Roman"/>
                <w:sz w:val="21"/>
                <w:szCs w:val="21"/>
              </w:rPr>
            </w:pPr>
          </w:p>
        </w:tc>
        <w:tc>
          <w:tcPr>
            <w:tcW w:w="697" w:type="pct"/>
            <w:vAlign w:val="center"/>
          </w:tcPr>
          <w:p w14:paraId="770C3CE2">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721DE69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D967C89">
            <w:pPr>
              <w:autoSpaceDE w:val="0"/>
              <w:autoSpaceDN w:val="0"/>
              <w:adjustRightInd w:val="0"/>
              <w:snapToGrid w:val="0"/>
              <w:jc w:val="center"/>
              <w:rPr>
                <w:rFonts w:ascii="Times New Roman"/>
                <w:sz w:val="21"/>
                <w:szCs w:val="21"/>
              </w:rPr>
            </w:pPr>
          </w:p>
        </w:tc>
        <w:tc>
          <w:tcPr>
            <w:tcW w:w="208" w:type="pct"/>
            <w:vAlign w:val="center"/>
          </w:tcPr>
          <w:p w14:paraId="22F08173">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0023CDFC">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517CFAAD">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D483638">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0B62C4D6">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65E7FCF4">
            <w:pPr>
              <w:autoSpaceDE w:val="0"/>
              <w:autoSpaceDN w:val="0"/>
              <w:adjustRightInd w:val="0"/>
              <w:snapToGrid w:val="0"/>
              <w:jc w:val="center"/>
              <w:rPr>
                <w:rFonts w:ascii="Times New Roman"/>
                <w:sz w:val="21"/>
                <w:szCs w:val="21"/>
              </w:rPr>
            </w:pPr>
          </w:p>
        </w:tc>
        <w:tc>
          <w:tcPr>
            <w:tcW w:w="551" w:type="pct"/>
            <w:vAlign w:val="center"/>
          </w:tcPr>
          <w:p w14:paraId="1780909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233A4AB">
            <w:pPr>
              <w:autoSpaceDE w:val="0"/>
              <w:autoSpaceDN w:val="0"/>
              <w:adjustRightInd w:val="0"/>
              <w:snapToGrid w:val="0"/>
              <w:jc w:val="center"/>
              <w:rPr>
                <w:rFonts w:ascii="Times New Roman"/>
                <w:sz w:val="21"/>
                <w:szCs w:val="21"/>
              </w:rPr>
            </w:pPr>
          </w:p>
        </w:tc>
        <w:tc>
          <w:tcPr>
            <w:tcW w:w="287" w:type="pct"/>
            <w:vMerge w:val="continue"/>
            <w:vAlign w:val="center"/>
          </w:tcPr>
          <w:p w14:paraId="123C41E5">
            <w:pPr>
              <w:autoSpaceDE w:val="0"/>
              <w:autoSpaceDN w:val="0"/>
              <w:adjustRightInd w:val="0"/>
              <w:snapToGrid w:val="0"/>
              <w:jc w:val="center"/>
              <w:rPr>
                <w:rFonts w:ascii="Times New Roman"/>
                <w:sz w:val="21"/>
                <w:szCs w:val="21"/>
              </w:rPr>
            </w:pPr>
          </w:p>
        </w:tc>
        <w:tc>
          <w:tcPr>
            <w:tcW w:w="434" w:type="pct"/>
            <w:vMerge w:val="continue"/>
            <w:vAlign w:val="center"/>
          </w:tcPr>
          <w:p w14:paraId="559B6B77">
            <w:pPr>
              <w:autoSpaceDE w:val="0"/>
              <w:autoSpaceDN w:val="0"/>
              <w:adjustRightInd w:val="0"/>
              <w:snapToGrid w:val="0"/>
              <w:jc w:val="center"/>
              <w:rPr>
                <w:rFonts w:ascii="Times New Roman"/>
                <w:sz w:val="21"/>
                <w:szCs w:val="21"/>
              </w:rPr>
            </w:pPr>
          </w:p>
        </w:tc>
      </w:tr>
      <w:tr w14:paraId="21C5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8C959C">
            <w:pPr>
              <w:autoSpaceDE w:val="0"/>
              <w:autoSpaceDN w:val="0"/>
              <w:adjustRightInd w:val="0"/>
              <w:snapToGrid w:val="0"/>
              <w:jc w:val="center"/>
              <w:rPr>
                <w:rFonts w:ascii="Times New Roman"/>
                <w:sz w:val="21"/>
                <w:szCs w:val="21"/>
              </w:rPr>
            </w:pPr>
          </w:p>
        </w:tc>
        <w:tc>
          <w:tcPr>
            <w:tcW w:w="697" w:type="pct"/>
            <w:vAlign w:val="center"/>
          </w:tcPr>
          <w:p w14:paraId="14F319C8">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0189ABBB">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9722274">
            <w:pPr>
              <w:autoSpaceDE w:val="0"/>
              <w:autoSpaceDN w:val="0"/>
              <w:adjustRightInd w:val="0"/>
              <w:snapToGrid w:val="0"/>
              <w:jc w:val="center"/>
              <w:rPr>
                <w:rFonts w:ascii="Times New Roman"/>
                <w:sz w:val="21"/>
                <w:szCs w:val="21"/>
              </w:rPr>
            </w:pPr>
          </w:p>
        </w:tc>
        <w:tc>
          <w:tcPr>
            <w:tcW w:w="208" w:type="pct"/>
            <w:vAlign w:val="center"/>
          </w:tcPr>
          <w:p w14:paraId="1FBD20E0">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7FFDB68F">
            <w:pPr>
              <w:autoSpaceDE w:val="0"/>
              <w:autoSpaceDN w:val="0"/>
              <w:adjustRightInd w:val="0"/>
              <w:snapToGrid w:val="0"/>
              <w:jc w:val="center"/>
              <w:rPr>
                <w:rFonts w:ascii="Times New Roman"/>
                <w:sz w:val="21"/>
                <w:szCs w:val="21"/>
              </w:rPr>
            </w:pPr>
            <w:r>
              <w:rPr>
                <w:rFonts w:ascii="Times New Roman"/>
                <w:sz w:val="21"/>
                <w:szCs w:val="21"/>
              </w:rPr>
              <w:t>200</w:t>
            </w:r>
          </w:p>
        </w:tc>
        <w:tc>
          <w:tcPr>
            <w:tcW w:w="240" w:type="pct"/>
            <w:vAlign w:val="center"/>
          </w:tcPr>
          <w:p w14:paraId="62AA1E9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933B6D5">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7358B7AE">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595D6D52">
            <w:pPr>
              <w:autoSpaceDE w:val="0"/>
              <w:autoSpaceDN w:val="0"/>
              <w:adjustRightInd w:val="0"/>
              <w:snapToGrid w:val="0"/>
              <w:jc w:val="center"/>
              <w:rPr>
                <w:rFonts w:ascii="Times New Roman"/>
                <w:sz w:val="21"/>
                <w:szCs w:val="21"/>
              </w:rPr>
            </w:pPr>
          </w:p>
        </w:tc>
        <w:tc>
          <w:tcPr>
            <w:tcW w:w="551" w:type="pct"/>
            <w:vAlign w:val="center"/>
          </w:tcPr>
          <w:p w14:paraId="223F214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51B11DA">
            <w:pPr>
              <w:autoSpaceDE w:val="0"/>
              <w:autoSpaceDN w:val="0"/>
              <w:adjustRightInd w:val="0"/>
              <w:snapToGrid w:val="0"/>
              <w:jc w:val="center"/>
              <w:rPr>
                <w:rFonts w:ascii="Times New Roman"/>
                <w:sz w:val="21"/>
                <w:szCs w:val="21"/>
              </w:rPr>
            </w:pPr>
          </w:p>
        </w:tc>
        <w:tc>
          <w:tcPr>
            <w:tcW w:w="287" w:type="pct"/>
            <w:vMerge w:val="continue"/>
            <w:vAlign w:val="center"/>
          </w:tcPr>
          <w:p w14:paraId="673BF1BE">
            <w:pPr>
              <w:autoSpaceDE w:val="0"/>
              <w:autoSpaceDN w:val="0"/>
              <w:adjustRightInd w:val="0"/>
              <w:snapToGrid w:val="0"/>
              <w:jc w:val="center"/>
              <w:rPr>
                <w:rFonts w:ascii="Times New Roman"/>
                <w:sz w:val="21"/>
                <w:szCs w:val="21"/>
              </w:rPr>
            </w:pPr>
          </w:p>
        </w:tc>
        <w:tc>
          <w:tcPr>
            <w:tcW w:w="434" w:type="pct"/>
            <w:vMerge w:val="continue"/>
            <w:vAlign w:val="center"/>
          </w:tcPr>
          <w:p w14:paraId="382D0DFB">
            <w:pPr>
              <w:autoSpaceDE w:val="0"/>
              <w:autoSpaceDN w:val="0"/>
              <w:adjustRightInd w:val="0"/>
              <w:snapToGrid w:val="0"/>
              <w:jc w:val="center"/>
              <w:rPr>
                <w:rFonts w:ascii="Times New Roman"/>
                <w:sz w:val="21"/>
                <w:szCs w:val="21"/>
              </w:rPr>
            </w:pPr>
          </w:p>
        </w:tc>
      </w:tr>
      <w:tr w14:paraId="759F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D2CEA61">
            <w:pPr>
              <w:autoSpaceDE w:val="0"/>
              <w:autoSpaceDN w:val="0"/>
              <w:adjustRightInd w:val="0"/>
              <w:snapToGrid w:val="0"/>
              <w:jc w:val="center"/>
              <w:rPr>
                <w:rFonts w:ascii="Times New Roman"/>
                <w:sz w:val="21"/>
                <w:szCs w:val="21"/>
              </w:rPr>
            </w:pPr>
          </w:p>
        </w:tc>
        <w:tc>
          <w:tcPr>
            <w:tcW w:w="697" w:type="pct"/>
            <w:vAlign w:val="center"/>
          </w:tcPr>
          <w:p w14:paraId="31F39B00">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2A2DE90">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EF10A42">
            <w:pPr>
              <w:autoSpaceDE w:val="0"/>
              <w:autoSpaceDN w:val="0"/>
              <w:adjustRightInd w:val="0"/>
              <w:snapToGrid w:val="0"/>
              <w:jc w:val="center"/>
              <w:rPr>
                <w:rFonts w:ascii="Times New Roman"/>
                <w:sz w:val="21"/>
                <w:szCs w:val="21"/>
              </w:rPr>
            </w:pPr>
          </w:p>
        </w:tc>
        <w:tc>
          <w:tcPr>
            <w:tcW w:w="208" w:type="pct"/>
            <w:vAlign w:val="center"/>
          </w:tcPr>
          <w:p w14:paraId="368BFA0F">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30E290C0">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1775818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8B5D5D3">
            <w:pPr>
              <w:autoSpaceDE w:val="0"/>
              <w:autoSpaceDN w:val="0"/>
              <w:adjustRightInd w:val="0"/>
              <w:snapToGrid w:val="0"/>
              <w:jc w:val="center"/>
              <w:rPr>
                <w:rFonts w:ascii="Times New Roman"/>
                <w:sz w:val="21"/>
                <w:szCs w:val="21"/>
              </w:rPr>
            </w:pPr>
            <w:r>
              <w:rPr>
                <w:rFonts w:ascii="Times New Roman"/>
                <w:sz w:val="21"/>
                <w:szCs w:val="21"/>
              </w:rPr>
              <w:t>129.6</w:t>
            </w:r>
          </w:p>
        </w:tc>
        <w:tc>
          <w:tcPr>
            <w:tcW w:w="358" w:type="pct"/>
            <w:vAlign w:val="center"/>
          </w:tcPr>
          <w:p w14:paraId="0F2825F0">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49A56174">
            <w:pPr>
              <w:autoSpaceDE w:val="0"/>
              <w:autoSpaceDN w:val="0"/>
              <w:adjustRightInd w:val="0"/>
              <w:snapToGrid w:val="0"/>
              <w:jc w:val="center"/>
              <w:rPr>
                <w:rFonts w:ascii="Times New Roman"/>
                <w:sz w:val="21"/>
                <w:szCs w:val="21"/>
              </w:rPr>
            </w:pPr>
          </w:p>
        </w:tc>
        <w:tc>
          <w:tcPr>
            <w:tcW w:w="551" w:type="pct"/>
            <w:vAlign w:val="center"/>
          </w:tcPr>
          <w:p w14:paraId="3287D7A7">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1181EC0">
            <w:pPr>
              <w:autoSpaceDE w:val="0"/>
              <w:autoSpaceDN w:val="0"/>
              <w:adjustRightInd w:val="0"/>
              <w:snapToGrid w:val="0"/>
              <w:jc w:val="center"/>
              <w:rPr>
                <w:rFonts w:ascii="Times New Roman"/>
                <w:sz w:val="21"/>
                <w:szCs w:val="21"/>
              </w:rPr>
            </w:pPr>
          </w:p>
        </w:tc>
        <w:tc>
          <w:tcPr>
            <w:tcW w:w="287" w:type="pct"/>
            <w:vMerge w:val="continue"/>
            <w:vAlign w:val="center"/>
          </w:tcPr>
          <w:p w14:paraId="7B097C0E">
            <w:pPr>
              <w:autoSpaceDE w:val="0"/>
              <w:autoSpaceDN w:val="0"/>
              <w:adjustRightInd w:val="0"/>
              <w:snapToGrid w:val="0"/>
              <w:jc w:val="center"/>
              <w:rPr>
                <w:rFonts w:ascii="Times New Roman"/>
                <w:sz w:val="21"/>
                <w:szCs w:val="21"/>
              </w:rPr>
            </w:pPr>
          </w:p>
        </w:tc>
        <w:tc>
          <w:tcPr>
            <w:tcW w:w="434" w:type="pct"/>
            <w:vMerge w:val="continue"/>
            <w:vAlign w:val="center"/>
          </w:tcPr>
          <w:p w14:paraId="2EE33FC3">
            <w:pPr>
              <w:autoSpaceDE w:val="0"/>
              <w:autoSpaceDN w:val="0"/>
              <w:adjustRightInd w:val="0"/>
              <w:snapToGrid w:val="0"/>
              <w:jc w:val="center"/>
              <w:rPr>
                <w:rFonts w:ascii="Times New Roman"/>
                <w:sz w:val="21"/>
                <w:szCs w:val="21"/>
              </w:rPr>
            </w:pPr>
          </w:p>
        </w:tc>
      </w:tr>
      <w:tr w14:paraId="7756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39" w:type="pct"/>
            <w:vMerge w:val="continue"/>
            <w:vAlign w:val="center"/>
          </w:tcPr>
          <w:p w14:paraId="719585EB">
            <w:pPr>
              <w:autoSpaceDE w:val="0"/>
              <w:autoSpaceDN w:val="0"/>
              <w:adjustRightInd w:val="0"/>
              <w:snapToGrid w:val="0"/>
              <w:jc w:val="center"/>
              <w:rPr>
                <w:rFonts w:ascii="Times New Roman"/>
                <w:sz w:val="21"/>
                <w:szCs w:val="21"/>
              </w:rPr>
            </w:pPr>
          </w:p>
        </w:tc>
        <w:tc>
          <w:tcPr>
            <w:tcW w:w="697" w:type="pct"/>
            <w:vAlign w:val="center"/>
          </w:tcPr>
          <w:p w14:paraId="1EB48DDB">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3B2FFF1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2EEBED8">
            <w:pPr>
              <w:autoSpaceDE w:val="0"/>
              <w:autoSpaceDN w:val="0"/>
              <w:adjustRightInd w:val="0"/>
              <w:snapToGrid w:val="0"/>
              <w:jc w:val="center"/>
              <w:rPr>
                <w:rFonts w:ascii="Times New Roman"/>
                <w:sz w:val="21"/>
                <w:szCs w:val="21"/>
              </w:rPr>
            </w:pPr>
          </w:p>
        </w:tc>
        <w:tc>
          <w:tcPr>
            <w:tcW w:w="208" w:type="pct"/>
            <w:vAlign w:val="center"/>
          </w:tcPr>
          <w:p w14:paraId="2C164098">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7B8FFEF0">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27DEE260">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A97EC35">
            <w:pPr>
              <w:autoSpaceDE w:val="0"/>
              <w:autoSpaceDN w:val="0"/>
              <w:adjustRightInd w:val="0"/>
              <w:snapToGrid w:val="0"/>
              <w:jc w:val="center"/>
              <w:rPr>
                <w:rFonts w:ascii="Times New Roman"/>
                <w:sz w:val="21"/>
                <w:szCs w:val="21"/>
              </w:rPr>
            </w:pPr>
            <w:r>
              <w:rPr>
                <w:rFonts w:ascii="Times New Roman"/>
                <w:sz w:val="21"/>
                <w:szCs w:val="21"/>
              </w:rPr>
              <w:t>129.6</w:t>
            </w:r>
          </w:p>
        </w:tc>
        <w:tc>
          <w:tcPr>
            <w:tcW w:w="358" w:type="pct"/>
            <w:vAlign w:val="center"/>
          </w:tcPr>
          <w:p w14:paraId="7CE79E15">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3FC8DAAF">
            <w:pPr>
              <w:autoSpaceDE w:val="0"/>
              <w:autoSpaceDN w:val="0"/>
              <w:adjustRightInd w:val="0"/>
              <w:snapToGrid w:val="0"/>
              <w:jc w:val="center"/>
              <w:rPr>
                <w:rFonts w:ascii="Times New Roman"/>
                <w:sz w:val="21"/>
                <w:szCs w:val="21"/>
              </w:rPr>
            </w:pPr>
          </w:p>
        </w:tc>
        <w:tc>
          <w:tcPr>
            <w:tcW w:w="551" w:type="pct"/>
            <w:vAlign w:val="center"/>
          </w:tcPr>
          <w:p w14:paraId="67AE7E7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AFD3F3A">
            <w:pPr>
              <w:autoSpaceDE w:val="0"/>
              <w:autoSpaceDN w:val="0"/>
              <w:adjustRightInd w:val="0"/>
              <w:snapToGrid w:val="0"/>
              <w:jc w:val="center"/>
              <w:rPr>
                <w:rFonts w:ascii="Times New Roman"/>
                <w:sz w:val="21"/>
                <w:szCs w:val="21"/>
              </w:rPr>
            </w:pPr>
          </w:p>
        </w:tc>
        <w:tc>
          <w:tcPr>
            <w:tcW w:w="287" w:type="pct"/>
            <w:vMerge w:val="continue"/>
            <w:vAlign w:val="center"/>
          </w:tcPr>
          <w:p w14:paraId="1CFB3DB7">
            <w:pPr>
              <w:autoSpaceDE w:val="0"/>
              <w:autoSpaceDN w:val="0"/>
              <w:adjustRightInd w:val="0"/>
              <w:snapToGrid w:val="0"/>
              <w:jc w:val="center"/>
              <w:rPr>
                <w:rFonts w:ascii="Times New Roman"/>
                <w:sz w:val="21"/>
                <w:szCs w:val="21"/>
              </w:rPr>
            </w:pPr>
          </w:p>
        </w:tc>
        <w:tc>
          <w:tcPr>
            <w:tcW w:w="434" w:type="pct"/>
            <w:vMerge w:val="continue"/>
            <w:vAlign w:val="center"/>
          </w:tcPr>
          <w:p w14:paraId="12D9008C">
            <w:pPr>
              <w:autoSpaceDE w:val="0"/>
              <w:autoSpaceDN w:val="0"/>
              <w:adjustRightInd w:val="0"/>
              <w:snapToGrid w:val="0"/>
              <w:jc w:val="center"/>
              <w:rPr>
                <w:rFonts w:ascii="Times New Roman"/>
                <w:sz w:val="21"/>
                <w:szCs w:val="21"/>
              </w:rPr>
            </w:pPr>
          </w:p>
        </w:tc>
      </w:tr>
      <w:tr w14:paraId="737E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6E8E6BE">
            <w:pPr>
              <w:autoSpaceDE w:val="0"/>
              <w:autoSpaceDN w:val="0"/>
              <w:adjustRightInd w:val="0"/>
              <w:snapToGrid w:val="0"/>
              <w:jc w:val="center"/>
              <w:rPr>
                <w:rFonts w:ascii="Times New Roman"/>
                <w:sz w:val="21"/>
                <w:szCs w:val="21"/>
              </w:rPr>
            </w:pPr>
          </w:p>
        </w:tc>
        <w:tc>
          <w:tcPr>
            <w:tcW w:w="697" w:type="pct"/>
            <w:vAlign w:val="center"/>
          </w:tcPr>
          <w:p w14:paraId="2D469FB7">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143381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11ABF7F">
            <w:pPr>
              <w:autoSpaceDE w:val="0"/>
              <w:autoSpaceDN w:val="0"/>
              <w:adjustRightInd w:val="0"/>
              <w:snapToGrid w:val="0"/>
              <w:jc w:val="center"/>
              <w:rPr>
                <w:rFonts w:ascii="Times New Roman"/>
                <w:sz w:val="21"/>
                <w:szCs w:val="21"/>
              </w:rPr>
            </w:pPr>
          </w:p>
        </w:tc>
        <w:tc>
          <w:tcPr>
            <w:tcW w:w="208" w:type="pct"/>
            <w:vAlign w:val="center"/>
          </w:tcPr>
          <w:p w14:paraId="590DC47D">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105C32A6">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073F3645">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A6EE2B3">
            <w:pPr>
              <w:autoSpaceDE w:val="0"/>
              <w:autoSpaceDN w:val="0"/>
              <w:adjustRightInd w:val="0"/>
              <w:snapToGrid w:val="0"/>
              <w:jc w:val="center"/>
              <w:rPr>
                <w:rFonts w:ascii="Times New Roman"/>
                <w:sz w:val="21"/>
                <w:szCs w:val="21"/>
              </w:rPr>
            </w:pPr>
            <w:r>
              <w:rPr>
                <w:rFonts w:ascii="Times New Roman"/>
                <w:sz w:val="21"/>
                <w:szCs w:val="21"/>
              </w:rPr>
              <w:t>129.6</w:t>
            </w:r>
          </w:p>
        </w:tc>
        <w:tc>
          <w:tcPr>
            <w:tcW w:w="358" w:type="pct"/>
            <w:vAlign w:val="center"/>
          </w:tcPr>
          <w:p w14:paraId="6257AEDC">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43226F73">
            <w:pPr>
              <w:autoSpaceDE w:val="0"/>
              <w:autoSpaceDN w:val="0"/>
              <w:adjustRightInd w:val="0"/>
              <w:snapToGrid w:val="0"/>
              <w:jc w:val="center"/>
              <w:rPr>
                <w:rFonts w:ascii="Times New Roman"/>
                <w:sz w:val="21"/>
                <w:szCs w:val="21"/>
              </w:rPr>
            </w:pPr>
          </w:p>
        </w:tc>
        <w:tc>
          <w:tcPr>
            <w:tcW w:w="551" w:type="pct"/>
            <w:vAlign w:val="center"/>
          </w:tcPr>
          <w:p w14:paraId="5538267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984AEEF">
            <w:pPr>
              <w:autoSpaceDE w:val="0"/>
              <w:autoSpaceDN w:val="0"/>
              <w:adjustRightInd w:val="0"/>
              <w:snapToGrid w:val="0"/>
              <w:jc w:val="center"/>
              <w:rPr>
                <w:rFonts w:ascii="Times New Roman"/>
                <w:sz w:val="21"/>
                <w:szCs w:val="21"/>
              </w:rPr>
            </w:pPr>
          </w:p>
        </w:tc>
        <w:tc>
          <w:tcPr>
            <w:tcW w:w="287" w:type="pct"/>
            <w:vMerge w:val="continue"/>
            <w:vAlign w:val="center"/>
          </w:tcPr>
          <w:p w14:paraId="2A47F128">
            <w:pPr>
              <w:autoSpaceDE w:val="0"/>
              <w:autoSpaceDN w:val="0"/>
              <w:adjustRightInd w:val="0"/>
              <w:snapToGrid w:val="0"/>
              <w:jc w:val="center"/>
              <w:rPr>
                <w:rFonts w:ascii="Times New Roman"/>
                <w:sz w:val="21"/>
                <w:szCs w:val="21"/>
              </w:rPr>
            </w:pPr>
          </w:p>
        </w:tc>
        <w:tc>
          <w:tcPr>
            <w:tcW w:w="434" w:type="pct"/>
            <w:vMerge w:val="continue"/>
            <w:vAlign w:val="center"/>
          </w:tcPr>
          <w:p w14:paraId="2EC25163">
            <w:pPr>
              <w:autoSpaceDE w:val="0"/>
              <w:autoSpaceDN w:val="0"/>
              <w:adjustRightInd w:val="0"/>
              <w:snapToGrid w:val="0"/>
              <w:jc w:val="center"/>
              <w:rPr>
                <w:rFonts w:ascii="Times New Roman"/>
                <w:sz w:val="21"/>
                <w:szCs w:val="21"/>
              </w:rPr>
            </w:pPr>
          </w:p>
        </w:tc>
      </w:tr>
      <w:tr w14:paraId="3DD7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02C34D2">
            <w:pPr>
              <w:autoSpaceDE w:val="0"/>
              <w:autoSpaceDN w:val="0"/>
              <w:adjustRightInd w:val="0"/>
              <w:snapToGrid w:val="0"/>
              <w:jc w:val="center"/>
              <w:rPr>
                <w:rFonts w:ascii="Times New Roman"/>
                <w:sz w:val="21"/>
                <w:szCs w:val="21"/>
              </w:rPr>
            </w:pPr>
          </w:p>
        </w:tc>
        <w:tc>
          <w:tcPr>
            <w:tcW w:w="697" w:type="pct"/>
            <w:vAlign w:val="center"/>
          </w:tcPr>
          <w:p w14:paraId="57DC2C42">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7B4C777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E85CE89">
            <w:pPr>
              <w:autoSpaceDE w:val="0"/>
              <w:autoSpaceDN w:val="0"/>
              <w:adjustRightInd w:val="0"/>
              <w:snapToGrid w:val="0"/>
              <w:jc w:val="center"/>
              <w:rPr>
                <w:rFonts w:ascii="Times New Roman"/>
                <w:sz w:val="21"/>
                <w:szCs w:val="21"/>
              </w:rPr>
            </w:pPr>
          </w:p>
        </w:tc>
        <w:tc>
          <w:tcPr>
            <w:tcW w:w="208" w:type="pct"/>
            <w:vAlign w:val="center"/>
          </w:tcPr>
          <w:p w14:paraId="3A3C032C">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77803D03">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5E4FA7D7">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BBA2C61">
            <w:pPr>
              <w:autoSpaceDE w:val="0"/>
              <w:autoSpaceDN w:val="0"/>
              <w:adjustRightInd w:val="0"/>
              <w:snapToGrid w:val="0"/>
              <w:jc w:val="center"/>
              <w:rPr>
                <w:rFonts w:ascii="Times New Roman"/>
                <w:sz w:val="21"/>
                <w:szCs w:val="21"/>
              </w:rPr>
            </w:pPr>
            <w:r>
              <w:rPr>
                <w:rFonts w:ascii="Times New Roman"/>
                <w:sz w:val="21"/>
                <w:szCs w:val="21"/>
              </w:rPr>
              <w:t>129.6</w:t>
            </w:r>
          </w:p>
        </w:tc>
        <w:tc>
          <w:tcPr>
            <w:tcW w:w="358" w:type="pct"/>
            <w:vAlign w:val="center"/>
          </w:tcPr>
          <w:p w14:paraId="080CBDB2">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5A0B0416">
            <w:pPr>
              <w:autoSpaceDE w:val="0"/>
              <w:autoSpaceDN w:val="0"/>
              <w:adjustRightInd w:val="0"/>
              <w:snapToGrid w:val="0"/>
              <w:jc w:val="center"/>
              <w:rPr>
                <w:rFonts w:ascii="Times New Roman"/>
                <w:sz w:val="21"/>
                <w:szCs w:val="21"/>
              </w:rPr>
            </w:pPr>
          </w:p>
        </w:tc>
        <w:tc>
          <w:tcPr>
            <w:tcW w:w="551" w:type="pct"/>
            <w:vAlign w:val="center"/>
          </w:tcPr>
          <w:p w14:paraId="59A457B8">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0BC92E3">
            <w:pPr>
              <w:autoSpaceDE w:val="0"/>
              <w:autoSpaceDN w:val="0"/>
              <w:adjustRightInd w:val="0"/>
              <w:snapToGrid w:val="0"/>
              <w:jc w:val="center"/>
              <w:rPr>
                <w:rFonts w:ascii="Times New Roman"/>
                <w:sz w:val="21"/>
                <w:szCs w:val="21"/>
              </w:rPr>
            </w:pPr>
          </w:p>
        </w:tc>
        <w:tc>
          <w:tcPr>
            <w:tcW w:w="287" w:type="pct"/>
            <w:vMerge w:val="continue"/>
            <w:vAlign w:val="center"/>
          </w:tcPr>
          <w:p w14:paraId="2B5A0BC5">
            <w:pPr>
              <w:autoSpaceDE w:val="0"/>
              <w:autoSpaceDN w:val="0"/>
              <w:adjustRightInd w:val="0"/>
              <w:snapToGrid w:val="0"/>
              <w:jc w:val="center"/>
              <w:rPr>
                <w:rFonts w:ascii="Times New Roman"/>
                <w:sz w:val="21"/>
                <w:szCs w:val="21"/>
              </w:rPr>
            </w:pPr>
          </w:p>
        </w:tc>
        <w:tc>
          <w:tcPr>
            <w:tcW w:w="434" w:type="pct"/>
            <w:vMerge w:val="continue"/>
            <w:vAlign w:val="center"/>
          </w:tcPr>
          <w:p w14:paraId="1D0CE508">
            <w:pPr>
              <w:autoSpaceDE w:val="0"/>
              <w:autoSpaceDN w:val="0"/>
              <w:adjustRightInd w:val="0"/>
              <w:snapToGrid w:val="0"/>
              <w:jc w:val="center"/>
              <w:rPr>
                <w:rFonts w:ascii="Times New Roman"/>
                <w:sz w:val="21"/>
                <w:szCs w:val="21"/>
              </w:rPr>
            </w:pPr>
          </w:p>
        </w:tc>
      </w:tr>
      <w:tr w14:paraId="5F5C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A09B38D">
            <w:pPr>
              <w:autoSpaceDE w:val="0"/>
              <w:autoSpaceDN w:val="0"/>
              <w:adjustRightInd w:val="0"/>
              <w:snapToGrid w:val="0"/>
              <w:jc w:val="center"/>
              <w:rPr>
                <w:rFonts w:ascii="Times New Roman"/>
                <w:sz w:val="21"/>
                <w:szCs w:val="21"/>
              </w:rPr>
            </w:pPr>
          </w:p>
        </w:tc>
        <w:tc>
          <w:tcPr>
            <w:tcW w:w="697" w:type="pct"/>
            <w:vAlign w:val="center"/>
          </w:tcPr>
          <w:p w14:paraId="1D613883">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264EFB8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36EFF60">
            <w:pPr>
              <w:autoSpaceDE w:val="0"/>
              <w:autoSpaceDN w:val="0"/>
              <w:adjustRightInd w:val="0"/>
              <w:snapToGrid w:val="0"/>
              <w:jc w:val="center"/>
              <w:rPr>
                <w:rFonts w:ascii="Times New Roman"/>
                <w:sz w:val="21"/>
                <w:szCs w:val="21"/>
              </w:rPr>
            </w:pPr>
          </w:p>
        </w:tc>
        <w:tc>
          <w:tcPr>
            <w:tcW w:w="208" w:type="pct"/>
            <w:vAlign w:val="center"/>
          </w:tcPr>
          <w:p w14:paraId="26153354">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6C6CFBC7">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0F9AD7AB">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E575F7D">
            <w:pPr>
              <w:autoSpaceDE w:val="0"/>
              <w:autoSpaceDN w:val="0"/>
              <w:adjustRightInd w:val="0"/>
              <w:snapToGrid w:val="0"/>
              <w:jc w:val="center"/>
              <w:rPr>
                <w:rFonts w:ascii="Times New Roman"/>
                <w:sz w:val="21"/>
                <w:szCs w:val="21"/>
              </w:rPr>
            </w:pPr>
            <w:r>
              <w:rPr>
                <w:rFonts w:ascii="Times New Roman"/>
                <w:sz w:val="21"/>
                <w:szCs w:val="21"/>
              </w:rPr>
              <w:t>129.6</w:t>
            </w:r>
          </w:p>
        </w:tc>
        <w:tc>
          <w:tcPr>
            <w:tcW w:w="358" w:type="pct"/>
            <w:vAlign w:val="center"/>
          </w:tcPr>
          <w:p w14:paraId="003AA7E9">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12BBE53C">
            <w:pPr>
              <w:autoSpaceDE w:val="0"/>
              <w:autoSpaceDN w:val="0"/>
              <w:adjustRightInd w:val="0"/>
              <w:snapToGrid w:val="0"/>
              <w:jc w:val="center"/>
              <w:rPr>
                <w:rFonts w:ascii="Times New Roman"/>
                <w:sz w:val="21"/>
                <w:szCs w:val="21"/>
              </w:rPr>
            </w:pPr>
          </w:p>
        </w:tc>
        <w:tc>
          <w:tcPr>
            <w:tcW w:w="551" w:type="pct"/>
            <w:vAlign w:val="center"/>
          </w:tcPr>
          <w:p w14:paraId="5DC3245C">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F824D36">
            <w:pPr>
              <w:autoSpaceDE w:val="0"/>
              <w:autoSpaceDN w:val="0"/>
              <w:adjustRightInd w:val="0"/>
              <w:snapToGrid w:val="0"/>
              <w:jc w:val="center"/>
              <w:rPr>
                <w:rFonts w:ascii="Times New Roman"/>
                <w:sz w:val="21"/>
                <w:szCs w:val="21"/>
              </w:rPr>
            </w:pPr>
          </w:p>
        </w:tc>
        <w:tc>
          <w:tcPr>
            <w:tcW w:w="287" w:type="pct"/>
            <w:vMerge w:val="continue"/>
            <w:vAlign w:val="center"/>
          </w:tcPr>
          <w:p w14:paraId="3A51547C">
            <w:pPr>
              <w:autoSpaceDE w:val="0"/>
              <w:autoSpaceDN w:val="0"/>
              <w:adjustRightInd w:val="0"/>
              <w:snapToGrid w:val="0"/>
              <w:jc w:val="center"/>
              <w:rPr>
                <w:rFonts w:ascii="Times New Roman"/>
                <w:sz w:val="21"/>
                <w:szCs w:val="21"/>
              </w:rPr>
            </w:pPr>
          </w:p>
        </w:tc>
        <w:tc>
          <w:tcPr>
            <w:tcW w:w="434" w:type="pct"/>
            <w:vMerge w:val="continue"/>
            <w:vAlign w:val="center"/>
          </w:tcPr>
          <w:p w14:paraId="79E8BC56">
            <w:pPr>
              <w:autoSpaceDE w:val="0"/>
              <w:autoSpaceDN w:val="0"/>
              <w:adjustRightInd w:val="0"/>
              <w:snapToGrid w:val="0"/>
              <w:jc w:val="center"/>
              <w:rPr>
                <w:rFonts w:ascii="Times New Roman"/>
                <w:sz w:val="21"/>
                <w:szCs w:val="21"/>
              </w:rPr>
            </w:pPr>
          </w:p>
        </w:tc>
      </w:tr>
      <w:tr w14:paraId="0CCF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C28D948">
            <w:pPr>
              <w:autoSpaceDE w:val="0"/>
              <w:autoSpaceDN w:val="0"/>
              <w:adjustRightInd w:val="0"/>
              <w:snapToGrid w:val="0"/>
              <w:jc w:val="center"/>
              <w:rPr>
                <w:rFonts w:ascii="Times New Roman"/>
                <w:sz w:val="21"/>
                <w:szCs w:val="21"/>
              </w:rPr>
            </w:pPr>
          </w:p>
        </w:tc>
        <w:tc>
          <w:tcPr>
            <w:tcW w:w="697" w:type="pct"/>
            <w:vAlign w:val="center"/>
          </w:tcPr>
          <w:p w14:paraId="69B62C7A">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D7BD71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103051F">
            <w:pPr>
              <w:autoSpaceDE w:val="0"/>
              <w:autoSpaceDN w:val="0"/>
              <w:adjustRightInd w:val="0"/>
              <w:snapToGrid w:val="0"/>
              <w:jc w:val="center"/>
              <w:rPr>
                <w:rFonts w:ascii="Times New Roman"/>
                <w:sz w:val="21"/>
                <w:szCs w:val="21"/>
              </w:rPr>
            </w:pPr>
          </w:p>
        </w:tc>
        <w:tc>
          <w:tcPr>
            <w:tcW w:w="208" w:type="pct"/>
            <w:vAlign w:val="center"/>
          </w:tcPr>
          <w:p w14:paraId="31A82EEE">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49DE3A2E">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34CC0C6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68B5FFB">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2D273AA9">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66D85863">
            <w:pPr>
              <w:autoSpaceDE w:val="0"/>
              <w:autoSpaceDN w:val="0"/>
              <w:adjustRightInd w:val="0"/>
              <w:snapToGrid w:val="0"/>
              <w:jc w:val="center"/>
              <w:rPr>
                <w:rFonts w:ascii="Times New Roman"/>
                <w:sz w:val="21"/>
                <w:szCs w:val="21"/>
              </w:rPr>
            </w:pPr>
          </w:p>
        </w:tc>
        <w:tc>
          <w:tcPr>
            <w:tcW w:w="551" w:type="pct"/>
            <w:vAlign w:val="center"/>
          </w:tcPr>
          <w:p w14:paraId="64C24E9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D442B36">
            <w:pPr>
              <w:autoSpaceDE w:val="0"/>
              <w:autoSpaceDN w:val="0"/>
              <w:adjustRightInd w:val="0"/>
              <w:snapToGrid w:val="0"/>
              <w:jc w:val="center"/>
              <w:rPr>
                <w:rFonts w:ascii="Times New Roman"/>
                <w:sz w:val="21"/>
                <w:szCs w:val="21"/>
              </w:rPr>
            </w:pPr>
          </w:p>
        </w:tc>
        <w:tc>
          <w:tcPr>
            <w:tcW w:w="287" w:type="pct"/>
            <w:vMerge w:val="continue"/>
            <w:vAlign w:val="center"/>
          </w:tcPr>
          <w:p w14:paraId="66C2D6EC">
            <w:pPr>
              <w:autoSpaceDE w:val="0"/>
              <w:autoSpaceDN w:val="0"/>
              <w:adjustRightInd w:val="0"/>
              <w:snapToGrid w:val="0"/>
              <w:jc w:val="center"/>
              <w:rPr>
                <w:rFonts w:ascii="Times New Roman"/>
                <w:sz w:val="21"/>
                <w:szCs w:val="21"/>
              </w:rPr>
            </w:pPr>
          </w:p>
        </w:tc>
        <w:tc>
          <w:tcPr>
            <w:tcW w:w="434" w:type="pct"/>
            <w:vMerge w:val="continue"/>
            <w:vAlign w:val="center"/>
          </w:tcPr>
          <w:p w14:paraId="0C5BD9B9">
            <w:pPr>
              <w:autoSpaceDE w:val="0"/>
              <w:autoSpaceDN w:val="0"/>
              <w:adjustRightInd w:val="0"/>
              <w:snapToGrid w:val="0"/>
              <w:jc w:val="center"/>
              <w:rPr>
                <w:rFonts w:ascii="Times New Roman"/>
                <w:sz w:val="21"/>
                <w:szCs w:val="21"/>
              </w:rPr>
            </w:pPr>
          </w:p>
        </w:tc>
      </w:tr>
      <w:tr w14:paraId="6569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120088F">
            <w:pPr>
              <w:autoSpaceDE w:val="0"/>
              <w:autoSpaceDN w:val="0"/>
              <w:adjustRightInd w:val="0"/>
              <w:snapToGrid w:val="0"/>
              <w:jc w:val="center"/>
              <w:rPr>
                <w:rFonts w:ascii="Times New Roman"/>
                <w:sz w:val="21"/>
                <w:szCs w:val="21"/>
              </w:rPr>
            </w:pPr>
          </w:p>
        </w:tc>
        <w:tc>
          <w:tcPr>
            <w:tcW w:w="697" w:type="pct"/>
            <w:vAlign w:val="center"/>
          </w:tcPr>
          <w:p w14:paraId="590B2A85">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4F93A8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AFD3600">
            <w:pPr>
              <w:autoSpaceDE w:val="0"/>
              <w:autoSpaceDN w:val="0"/>
              <w:adjustRightInd w:val="0"/>
              <w:snapToGrid w:val="0"/>
              <w:jc w:val="center"/>
              <w:rPr>
                <w:rFonts w:ascii="Times New Roman"/>
                <w:sz w:val="21"/>
                <w:szCs w:val="21"/>
              </w:rPr>
            </w:pPr>
          </w:p>
        </w:tc>
        <w:tc>
          <w:tcPr>
            <w:tcW w:w="208" w:type="pct"/>
            <w:vAlign w:val="center"/>
          </w:tcPr>
          <w:p w14:paraId="7034344E">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4C6AD842">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4546457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2AF9917">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53AFDF73">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0D2242E2">
            <w:pPr>
              <w:autoSpaceDE w:val="0"/>
              <w:autoSpaceDN w:val="0"/>
              <w:adjustRightInd w:val="0"/>
              <w:snapToGrid w:val="0"/>
              <w:jc w:val="center"/>
              <w:rPr>
                <w:rFonts w:ascii="Times New Roman"/>
                <w:sz w:val="21"/>
                <w:szCs w:val="21"/>
              </w:rPr>
            </w:pPr>
          </w:p>
        </w:tc>
        <w:tc>
          <w:tcPr>
            <w:tcW w:w="551" w:type="pct"/>
            <w:vAlign w:val="center"/>
          </w:tcPr>
          <w:p w14:paraId="5CA7658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E22940D">
            <w:pPr>
              <w:autoSpaceDE w:val="0"/>
              <w:autoSpaceDN w:val="0"/>
              <w:adjustRightInd w:val="0"/>
              <w:snapToGrid w:val="0"/>
              <w:jc w:val="center"/>
              <w:rPr>
                <w:rFonts w:ascii="Times New Roman"/>
                <w:sz w:val="21"/>
                <w:szCs w:val="21"/>
              </w:rPr>
            </w:pPr>
          </w:p>
        </w:tc>
        <w:tc>
          <w:tcPr>
            <w:tcW w:w="287" w:type="pct"/>
            <w:vMerge w:val="continue"/>
            <w:vAlign w:val="center"/>
          </w:tcPr>
          <w:p w14:paraId="7259B1E8">
            <w:pPr>
              <w:autoSpaceDE w:val="0"/>
              <w:autoSpaceDN w:val="0"/>
              <w:adjustRightInd w:val="0"/>
              <w:snapToGrid w:val="0"/>
              <w:jc w:val="center"/>
              <w:rPr>
                <w:rFonts w:ascii="Times New Roman"/>
                <w:sz w:val="21"/>
                <w:szCs w:val="21"/>
              </w:rPr>
            </w:pPr>
          </w:p>
        </w:tc>
        <w:tc>
          <w:tcPr>
            <w:tcW w:w="434" w:type="pct"/>
            <w:vMerge w:val="continue"/>
            <w:vAlign w:val="center"/>
          </w:tcPr>
          <w:p w14:paraId="180DE2C2">
            <w:pPr>
              <w:autoSpaceDE w:val="0"/>
              <w:autoSpaceDN w:val="0"/>
              <w:adjustRightInd w:val="0"/>
              <w:snapToGrid w:val="0"/>
              <w:jc w:val="center"/>
              <w:rPr>
                <w:rFonts w:ascii="Times New Roman"/>
                <w:sz w:val="21"/>
                <w:szCs w:val="21"/>
              </w:rPr>
            </w:pPr>
          </w:p>
        </w:tc>
      </w:tr>
      <w:tr w14:paraId="746E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83DE807">
            <w:pPr>
              <w:autoSpaceDE w:val="0"/>
              <w:autoSpaceDN w:val="0"/>
              <w:adjustRightInd w:val="0"/>
              <w:snapToGrid w:val="0"/>
              <w:jc w:val="center"/>
              <w:rPr>
                <w:rFonts w:ascii="Times New Roman"/>
                <w:sz w:val="21"/>
                <w:szCs w:val="21"/>
              </w:rPr>
            </w:pPr>
          </w:p>
        </w:tc>
        <w:tc>
          <w:tcPr>
            <w:tcW w:w="697" w:type="pct"/>
            <w:vAlign w:val="center"/>
          </w:tcPr>
          <w:p w14:paraId="2F01727C">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BD26EA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920E385">
            <w:pPr>
              <w:autoSpaceDE w:val="0"/>
              <w:autoSpaceDN w:val="0"/>
              <w:adjustRightInd w:val="0"/>
              <w:snapToGrid w:val="0"/>
              <w:jc w:val="center"/>
              <w:rPr>
                <w:rFonts w:ascii="Times New Roman"/>
                <w:sz w:val="21"/>
                <w:szCs w:val="21"/>
              </w:rPr>
            </w:pPr>
          </w:p>
        </w:tc>
        <w:tc>
          <w:tcPr>
            <w:tcW w:w="208" w:type="pct"/>
            <w:vAlign w:val="center"/>
          </w:tcPr>
          <w:p w14:paraId="22396752">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718770C7">
            <w:pPr>
              <w:autoSpaceDE w:val="0"/>
              <w:autoSpaceDN w:val="0"/>
              <w:adjustRightInd w:val="0"/>
              <w:snapToGrid w:val="0"/>
              <w:jc w:val="center"/>
              <w:rPr>
                <w:rFonts w:ascii="Times New Roman"/>
                <w:sz w:val="21"/>
                <w:szCs w:val="21"/>
              </w:rPr>
            </w:pPr>
            <w:r>
              <w:rPr>
                <w:rFonts w:ascii="Times New Roman"/>
                <w:sz w:val="21"/>
                <w:szCs w:val="21"/>
              </w:rPr>
              <w:t>205</w:t>
            </w:r>
          </w:p>
        </w:tc>
        <w:tc>
          <w:tcPr>
            <w:tcW w:w="240" w:type="pct"/>
            <w:vAlign w:val="center"/>
          </w:tcPr>
          <w:p w14:paraId="5623AB2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58620EE">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5B012695">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7BA4A765">
            <w:pPr>
              <w:autoSpaceDE w:val="0"/>
              <w:autoSpaceDN w:val="0"/>
              <w:adjustRightInd w:val="0"/>
              <w:snapToGrid w:val="0"/>
              <w:jc w:val="center"/>
              <w:rPr>
                <w:rFonts w:ascii="Times New Roman"/>
                <w:sz w:val="21"/>
                <w:szCs w:val="21"/>
              </w:rPr>
            </w:pPr>
          </w:p>
        </w:tc>
        <w:tc>
          <w:tcPr>
            <w:tcW w:w="551" w:type="pct"/>
            <w:vAlign w:val="center"/>
          </w:tcPr>
          <w:p w14:paraId="3A09568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462D91">
            <w:pPr>
              <w:autoSpaceDE w:val="0"/>
              <w:autoSpaceDN w:val="0"/>
              <w:adjustRightInd w:val="0"/>
              <w:snapToGrid w:val="0"/>
              <w:jc w:val="center"/>
              <w:rPr>
                <w:rFonts w:ascii="Times New Roman"/>
                <w:sz w:val="21"/>
                <w:szCs w:val="21"/>
              </w:rPr>
            </w:pPr>
          </w:p>
        </w:tc>
        <w:tc>
          <w:tcPr>
            <w:tcW w:w="287" w:type="pct"/>
            <w:vMerge w:val="continue"/>
            <w:vAlign w:val="center"/>
          </w:tcPr>
          <w:p w14:paraId="14AB6A30">
            <w:pPr>
              <w:autoSpaceDE w:val="0"/>
              <w:autoSpaceDN w:val="0"/>
              <w:adjustRightInd w:val="0"/>
              <w:snapToGrid w:val="0"/>
              <w:jc w:val="center"/>
              <w:rPr>
                <w:rFonts w:ascii="Times New Roman"/>
                <w:sz w:val="21"/>
                <w:szCs w:val="21"/>
              </w:rPr>
            </w:pPr>
          </w:p>
        </w:tc>
        <w:tc>
          <w:tcPr>
            <w:tcW w:w="434" w:type="pct"/>
            <w:vMerge w:val="continue"/>
            <w:vAlign w:val="center"/>
          </w:tcPr>
          <w:p w14:paraId="05B96EBE">
            <w:pPr>
              <w:autoSpaceDE w:val="0"/>
              <w:autoSpaceDN w:val="0"/>
              <w:adjustRightInd w:val="0"/>
              <w:snapToGrid w:val="0"/>
              <w:jc w:val="center"/>
              <w:rPr>
                <w:rFonts w:ascii="Times New Roman"/>
                <w:sz w:val="21"/>
                <w:szCs w:val="21"/>
              </w:rPr>
            </w:pPr>
          </w:p>
        </w:tc>
      </w:tr>
      <w:tr w14:paraId="0C36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06F769A">
            <w:pPr>
              <w:autoSpaceDE w:val="0"/>
              <w:autoSpaceDN w:val="0"/>
              <w:adjustRightInd w:val="0"/>
              <w:snapToGrid w:val="0"/>
              <w:jc w:val="center"/>
              <w:rPr>
                <w:rFonts w:ascii="Times New Roman"/>
                <w:sz w:val="21"/>
                <w:szCs w:val="21"/>
              </w:rPr>
            </w:pPr>
          </w:p>
        </w:tc>
        <w:tc>
          <w:tcPr>
            <w:tcW w:w="697" w:type="pct"/>
            <w:vAlign w:val="center"/>
          </w:tcPr>
          <w:p w14:paraId="233B9155">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32ED58FF">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0279F98">
            <w:pPr>
              <w:autoSpaceDE w:val="0"/>
              <w:autoSpaceDN w:val="0"/>
              <w:adjustRightInd w:val="0"/>
              <w:snapToGrid w:val="0"/>
              <w:jc w:val="center"/>
              <w:rPr>
                <w:rFonts w:ascii="Times New Roman"/>
                <w:sz w:val="21"/>
                <w:szCs w:val="21"/>
              </w:rPr>
            </w:pPr>
          </w:p>
        </w:tc>
        <w:tc>
          <w:tcPr>
            <w:tcW w:w="208" w:type="pct"/>
            <w:vAlign w:val="center"/>
          </w:tcPr>
          <w:p w14:paraId="3F17CB55">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2914FCE7">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4643656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5E5EB6C">
            <w:pPr>
              <w:autoSpaceDE w:val="0"/>
              <w:autoSpaceDN w:val="0"/>
              <w:adjustRightInd w:val="0"/>
              <w:snapToGrid w:val="0"/>
              <w:jc w:val="center"/>
              <w:rPr>
                <w:rFonts w:ascii="Times New Roman"/>
                <w:sz w:val="21"/>
                <w:szCs w:val="21"/>
              </w:rPr>
            </w:pPr>
            <w:r>
              <w:rPr>
                <w:rFonts w:ascii="Times New Roman"/>
                <w:sz w:val="21"/>
                <w:szCs w:val="21"/>
              </w:rPr>
              <w:t>124.6</w:t>
            </w:r>
          </w:p>
        </w:tc>
        <w:tc>
          <w:tcPr>
            <w:tcW w:w="358" w:type="pct"/>
            <w:vAlign w:val="center"/>
          </w:tcPr>
          <w:p w14:paraId="7B083635">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34CB537D">
            <w:pPr>
              <w:autoSpaceDE w:val="0"/>
              <w:autoSpaceDN w:val="0"/>
              <w:adjustRightInd w:val="0"/>
              <w:snapToGrid w:val="0"/>
              <w:jc w:val="center"/>
              <w:rPr>
                <w:rFonts w:ascii="Times New Roman"/>
                <w:sz w:val="21"/>
                <w:szCs w:val="21"/>
              </w:rPr>
            </w:pPr>
          </w:p>
        </w:tc>
        <w:tc>
          <w:tcPr>
            <w:tcW w:w="551" w:type="pct"/>
            <w:vAlign w:val="center"/>
          </w:tcPr>
          <w:p w14:paraId="128492B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670C0BB">
            <w:pPr>
              <w:autoSpaceDE w:val="0"/>
              <w:autoSpaceDN w:val="0"/>
              <w:adjustRightInd w:val="0"/>
              <w:snapToGrid w:val="0"/>
              <w:jc w:val="center"/>
              <w:rPr>
                <w:rFonts w:ascii="Times New Roman"/>
                <w:sz w:val="21"/>
                <w:szCs w:val="21"/>
              </w:rPr>
            </w:pPr>
          </w:p>
        </w:tc>
        <w:tc>
          <w:tcPr>
            <w:tcW w:w="287" w:type="pct"/>
            <w:vMerge w:val="continue"/>
            <w:vAlign w:val="center"/>
          </w:tcPr>
          <w:p w14:paraId="14E97842">
            <w:pPr>
              <w:autoSpaceDE w:val="0"/>
              <w:autoSpaceDN w:val="0"/>
              <w:adjustRightInd w:val="0"/>
              <w:snapToGrid w:val="0"/>
              <w:jc w:val="center"/>
              <w:rPr>
                <w:rFonts w:ascii="Times New Roman"/>
                <w:sz w:val="21"/>
                <w:szCs w:val="21"/>
              </w:rPr>
            </w:pPr>
          </w:p>
        </w:tc>
        <w:tc>
          <w:tcPr>
            <w:tcW w:w="434" w:type="pct"/>
            <w:vMerge w:val="continue"/>
            <w:vAlign w:val="center"/>
          </w:tcPr>
          <w:p w14:paraId="13F1D104">
            <w:pPr>
              <w:autoSpaceDE w:val="0"/>
              <w:autoSpaceDN w:val="0"/>
              <w:adjustRightInd w:val="0"/>
              <w:snapToGrid w:val="0"/>
              <w:jc w:val="center"/>
              <w:rPr>
                <w:rFonts w:ascii="Times New Roman"/>
                <w:sz w:val="21"/>
                <w:szCs w:val="21"/>
              </w:rPr>
            </w:pPr>
          </w:p>
        </w:tc>
      </w:tr>
      <w:tr w14:paraId="7D3E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439" w:type="pct"/>
            <w:vMerge w:val="continue"/>
            <w:vAlign w:val="center"/>
          </w:tcPr>
          <w:p w14:paraId="057E54AA">
            <w:pPr>
              <w:autoSpaceDE w:val="0"/>
              <w:autoSpaceDN w:val="0"/>
              <w:adjustRightInd w:val="0"/>
              <w:snapToGrid w:val="0"/>
              <w:jc w:val="center"/>
              <w:rPr>
                <w:rFonts w:ascii="Times New Roman"/>
                <w:sz w:val="21"/>
                <w:szCs w:val="21"/>
              </w:rPr>
            </w:pPr>
          </w:p>
        </w:tc>
        <w:tc>
          <w:tcPr>
            <w:tcW w:w="697" w:type="pct"/>
            <w:vAlign w:val="center"/>
          </w:tcPr>
          <w:p w14:paraId="5496A44A">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347EEE6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DEDF294">
            <w:pPr>
              <w:autoSpaceDE w:val="0"/>
              <w:autoSpaceDN w:val="0"/>
              <w:adjustRightInd w:val="0"/>
              <w:snapToGrid w:val="0"/>
              <w:jc w:val="center"/>
              <w:rPr>
                <w:rFonts w:ascii="Times New Roman"/>
                <w:sz w:val="21"/>
                <w:szCs w:val="21"/>
              </w:rPr>
            </w:pPr>
          </w:p>
        </w:tc>
        <w:tc>
          <w:tcPr>
            <w:tcW w:w="208" w:type="pct"/>
            <w:vAlign w:val="center"/>
          </w:tcPr>
          <w:p w14:paraId="596FAA12">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3054B2B3">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6B3D360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8014A3B">
            <w:pPr>
              <w:autoSpaceDE w:val="0"/>
              <w:autoSpaceDN w:val="0"/>
              <w:adjustRightInd w:val="0"/>
              <w:snapToGrid w:val="0"/>
              <w:jc w:val="center"/>
              <w:rPr>
                <w:rFonts w:ascii="Times New Roman"/>
                <w:sz w:val="21"/>
                <w:szCs w:val="21"/>
              </w:rPr>
            </w:pPr>
            <w:r>
              <w:rPr>
                <w:rFonts w:ascii="Times New Roman"/>
                <w:sz w:val="21"/>
                <w:szCs w:val="21"/>
              </w:rPr>
              <w:t>124.6</w:t>
            </w:r>
          </w:p>
        </w:tc>
        <w:tc>
          <w:tcPr>
            <w:tcW w:w="358" w:type="pct"/>
            <w:vAlign w:val="center"/>
          </w:tcPr>
          <w:p w14:paraId="5A1CB63E">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35980DD5">
            <w:pPr>
              <w:autoSpaceDE w:val="0"/>
              <w:autoSpaceDN w:val="0"/>
              <w:adjustRightInd w:val="0"/>
              <w:snapToGrid w:val="0"/>
              <w:jc w:val="center"/>
              <w:rPr>
                <w:rFonts w:ascii="Times New Roman"/>
                <w:sz w:val="21"/>
                <w:szCs w:val="21"/>
              </w:rPr>
            </w:pPr>
          </w:p>
        </w:tc>
        <w:tc>
          <w:tcPr>
            <w:tcW w:w="551" w:type="pct"/>
            <w:vAlign w:val="center"/>
          </w:tcPr>
          <w:p w14:paraId="2BF4C51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E8DCADD">
            <w:pPr>
              <w:autoSpaceDE w:val="0"/>
              <w:autoSpaceDN w:val="0"/>
              <w:adjustRightInd w:val="0"/>
              <w:snapToGrid w:val="0"/>
              <w:jc w:val="center"/>
              <w:rPr>
                <w:rFonts w:ascii="Times New Roman"/>
                <w:sz w:val="21"/>
                <w:szCs w:val="21"/>
              </w:rPr>
            </w:pPr>
          </w:p>
        </w:tc>
        <w:tc>
          <w:tcPr>
            <w:tcW w:w="287" w:type="pct"/>
            <w:vMerge w:val="continue"/>
            <w:vAlign w:val="center"/>
          </w:tcPr>
          <w:p w14:paraId="1A1C8AFF">
            <w:pPr>
              <w:autoSpaceDE w:val="0"/>
              <w:autoSpaceDN w:val="0"/>
              <w:adjustRightInd w:val="0"/>
              <w:snapToGrid w:val="0"/>
              <w:jc w:val="center"/>
              <w:rPr>
                <w:rFonts w:ascii="Times New Roman"/>
                <w:sz w:val="21"/>
                <w:szCs w:val="21"/>
              </w:rPr>
            </w:pPr>
          </w:p>
        </w:tc>
        <w:tc>
          <w:tcPr>
            <w:tcW w:w="434" w:type="pct"/>
            <w:vMerge w:val="continue"/>
            <w:vAlign w:val="center"/>
          </w:tcPr>
          <w:p w14:paraId="105E3D28">
            <w:pPr>
              <w:autoSpaceDE w:val="0"/>
              <w:autoSpaceDN w:val="0"/>
              <w:adjustRightInd w:val="0"/>
              <w:snapToGrid w:val="0"/>
              <w:jc w:val="center"/>
              <w:rPr>
                <w:rFonts w:ascii="Times New Roman"/>
                <w:sz w:val="21"/>
                <w:szCs w:val="21"/>
              </w:rPr>
            </w:pPr>
          </w:p>
        </w:tc>
      </w:tr>
      <w:tr w14:paraId="5BA7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3B0A99C">
            <w:pPr>
              <w:autoSpaceDE w:val="0"/>
              <w:autoSpaceDN w:val="0"/>
              <w:adjustRightInd w:val="0"/>
              <w:snapToGrid w:val="0"/>
              <w:jc w:val="center"/>
              <w:rPr>
                <w:rFonts w:ascii="Times New Roman"/>
                <w:sz w:val="21"/>
                <w:szCs w:val="21"/>
              </w:rPr>
            </w:pPr>
          </w:p>
        </w:tc>
        <w:tc>
          <w:tcPr>
            <w:tcW w:w="697" w:type="pct"/>
            <w:vAlign w:val="center"/>
          </w:tcPr>
          <w:p w14:paraId="50D0B560">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0718EAD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BFF4B13">
            <w:pPr>
              <w:autoSpaceDE w:val="0"/>
              <w:autoSpaceDN w:val="0"/>
              <w:adjustRightInd w:val="0"/>
              <w:snapToGrid w:val="0"/>
              <w:jc w:val="center"/>
              <w:rPr>
                <w:rFonts w:ascii="Times New Roman"/>
                <w:sz w:val="21"/>
                <w:szCs w:val="21"/>
              </w:rPr>
            </w:pPr>
          </w:p>
        </w:tc>
        <w:tc>
          <w:tcPr>
            <w:tcW w:w="208" w:type="pct"/>
            <w:vAlign w:val="center"/>
          </w:tcPr>
          <w:p w14:paraId="3686D210">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1D9FD17F">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25BB80E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F0F3D72">
            <w:pPr>
              <w:autoSpaceDE w:val="0"/>
              <w:autoSpaceDN w:val="0"/>
              <w:adjustRightInd w:val="0"/>
              <w:snapToGrid w:val="0"/>
              <w:jc w:val="center"/>
              <w:rPr>
                <w:rFonts w:ascii="Times New Roman"/>
                <w:sz w:val="21"/>
                <w:szCs w:val="21"/>
              </w:rPr>
            </w:pPr>
            <w:r>
              <w:rPr>
                <w:rFonts w:ascii="Times New Roman"/>
                <w:sz w:val="21"/>
                <w:szCs w:val="21"/>
              </w:rPr>
              <w:t>124.6</w:t>
            </w:r>
          </w:p>
        </w:tc>
        <w:tc>
          <w:tcPr>
            <w:tcW w:w="358" w:type="pct"/>
            <w:vAlign w:val="center"/>
          </w:tcPr>
          <w:p w14:paraId="7A7DB880">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224E9D88">
            <w:pPr>
              <w:autoSpaceDE w:val="0"/>
              <w:autoSpaceDN w:val="0"/>
              <w:adjustRightInd w:val="0"/>
              <w:snapToGrid w:val="0"/>
              <w:jc w:val="center"/>
              <w:rPr>
                <w:rFonts w:ascii="Times New Roman"/>
                <w:sz w:val="21"/>
                <w:szCs w:val="21"/>
              </w:rPr>
            </w:pPr>
          </w:p>
        </w:tc>
        <w:tc>
          <w:tcPr>
            <w:tcW w:w="551" w:type="pct"/>
            <w:vAlign w:val="center"/>
          </w:tcPr>
          <w:p w14:paraId="2DB8256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8E10F38">
            <w:pPr>
              <w:autoSpaceDE w:val="0"/>
              <w:autoSpaceDN w:val="0"/>
              <w:adjustRightInd w:val="0"/>
              <w:snapToGrid w:val="0"/>
              <w:jc w:val="center"/>
              <w:rPr>
                <w:rFonts w:ascii="Times New Roman"/>
                <w:sz w:val="21"/>
                <w:szCs w:val="21"/>
              </w:rPr>
            </w:pPr>
          </w:p>
        </w:tc>
        <w:tc>
          <w:tcPr>
            <w:tcW w:w="287" w:type="pct"/>
            <w:vMerge w:val="continue"/>
            <w:vAlign w:val="center"/>
          </w:tcPr>
          <w:p w14:paraId="2E96136A">
            <w:pPr>
              <w:autoSpaceDE w:val="0"/>
              <w:autoSpaceDN w:val="0"/>
              <w:adjustRightInd w:val="0"/>
              <w:snapToGrid w:val="0"/>
              <w:jc w:val="center"/>
              <w:rPr>
                <w:rFonts w:ascii="Times New Roman"/>
                <w:sz w:val="21"/>
                <w:szCs w:val="21"/>
              </w:rPr>
            </w:pPr>
          </w:p>
        </w:tc>
        <w:tc>
          <w:tcPr>
            <w:tcW w:w="434" w:type="pct"/>
            <w:vMerge w:val="continue"/>
            <w:vAlign w:val="center"/>
          </w:tcPr>
          <w:p w14:paraId="0878CC92">
            <w:pPr>
              <w:autoSpaceDE w:val="0"/>
              <w:autoSpaceDN w:val="0"/>
              <w:adjustRightInd w:val="0"/>
              <w:snapToGrid w:val="0"/>
              <w:jc w:val="center"/>
              <w:rPr>
                <w:rFonts w:ascii="Times New Roman"/>
                <w:sz w:val="21"/>
                <w:szCs w:val="21"/>
              </w:rPr>
            </w:pPr>
          </w:p>
        </w:tc>
      </w:tr>
      <w:tr w14:paraId="2EE0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DB2BEF0">
            <w:pPr>
              <w:autoSpaceDE w:val="0"/>
              <w:autoSpaceDN w:val="0"/>
              <w:adjustRightInd w:val="0"/>
              <w:snapToGrid w:val="0"/>
              <w:jc w:val="center"/>
              <w:rPr>
                <w:rFonts w:ascii="Times New Roman"/>
                <w:sz w:val="21"/>
                <w:szCs w:val="21"/>
              </w:rPr>
            </w:pPr>
          </w:p>
        </w:tc>
        <w:tc>
          <w:tcPr>
            <w:tcW w:w="697" w:type="pct"/>
            <w:vAlign w:val="center"/>
          </w:tcPr>
          <w:p w14:paraId="57D49CF4">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006AD81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4A1E581">
            <w:pPr>
              <w:autoSpaceDE w:val="0"/>
              <w:autoSpaceDN w:val="0"/>
              <w:adjustRightInd w:val="0"/>
              <w:snapToGrid w:val="0"/>
              <w:jc w:val="center"/>
              <w:rPr>
                <w:rFonts w:ascii="Times New Roman"/>
                <w:sz w:val="21"/>
                <w:szCs w:val="21"/>
              </w:rPr>
            </w:pPr>
          </w:p>
        </w:tc>
        <w:tc>
          <w:tcPr>
            <w:tcW w:w="208" w:type="pct"/>
            <w:vAlign w:val="center"/>
          </w:tcPr>
          <w:p w14:paraId="6E242F57">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78F517FE">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7A76035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6BF5133">
            <w:pPr>
              <w:autoSpaceDE w:val="0"/>
              <w:autoSpaceDN w:val="0"/>
              <w:adjustRightInd w:val="0"/>
              <w:snapToGrid w:val="0"/>
              <w:jc w:val="center"/>
              <w:rPr>
                <w:rFonts w:ascii="Times New Roman"/>
                <w:sz w:val="21"/>
                <w:szCs w:val="21"/>
              </w:rPr>
            </w:pPr>
            <w:r>
              <w:rPr>
                <w:rFonts w:ascii="Times New Roman"/>
                <w:sz w:val="21"/>
                <w:szCs w:val="21"/>
              </w:rPr>
              <w:t>124.6</w:t>
            </w:r>
          </w:p>
        </w:tc>
        <w:tc>
          <w:tcPr>
            <w:tcW w:w="358" w:type="pct"/>
            <w:vAlign w:val="center"/>
          </w:tcPr>
          <w:p w14:paraId="5E558756">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670CA035">
            <w:pPr>
              <w:autoSpaceDE w:val="0"/>
              <w:autoSpaceDN w:val="0"/>
              <w:adjustRightInd w:val="0"/>
              <w:snapToGrid w:val="0"/>
              <w:jc w:val="center"/>
              <w:rPr>
                <w:rFonts w:ascii="Times New Roman"/>
                <w:sz w:val="21"/>
                <w:szCs w:val="21"/>
              </w:rPr>
            </w:pPr>
          </w:p>
        </w:tc>
        <w:tc>
          <w:tcPr>
            <w:tcW w:w="551" w:type="pct"/>
            <w:vAlign w:val="center"/>
          </w:tcPr>
          <w:p w14:paraId="6A03D87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7A7DD5A">
            <w:pPr>
              <w:autoSpaceDE w:val="0"/>
              <w:autoSpaceDN w:val="0"/>
              <w:adjustRightInd w:val="0"/>
              <w:snapToGrid w:val="0"/>
              <w:jc w:val="center"/>
              <w:rPr>
                <w:rFonts w:ascii="Times New Roman"/>
                <w:sz w:val="21"/>
                <w:szCs w:val="21"/>
              </w:rPr>
            </w:pPr>
          </w:p>
        </w:tc>
        <w:tc>
          <w:tcPr>
            <w:tcW w:w="287" w:type="pct"/>
            <w:vMerge w:val="continue"/>
            <w:vAlign w:val="center"/>
          </w:tcPr>
          <w:p w14:paraId="6DF3AD6F">
            <w:pPr>
              <w:autoSpaceDE w:val="0"/>
              <w:autoSpaceDN w:val="0"/>
              <w:adjustRightInd w:val="0"/>
              <w:snapToGrid w:val="0"/>
              <w:jc w:val="center"/>
              <w:rPr>
                <w:rFonts w:ascii="Times New Roman"/>
                <w:sz w:val="21"/>
                <w:szCs w:val="21"/>
              </w:rPr>
            </w:pPr>
          </w:p>
        </w:tc>
        <w:tc>
          <w:tcPr>
            <w:tcW w:w="434" w:type="pct"/>
            <w:vMerge w:val="continue"/>
            <w:vAlign w:val="center"/>
          </w:tcPr>
          <w:p w14:paraId="668270E2">
            <w:pPr>
              <w:autoSpaceDE w:val="0"/>
              <w:autoSpaceDN w:val="0"/>
              <w:adjustRightInd w:val="0"/>
              <w:snapToGrid w:val="0"/>
              <w:jc w:val="center"/>
              <w:rPr>
                <w:rFonts w:ascii="Times New Roman"/>
                <w:sz w:val="21"/>
                <w:szCs w:val="21"/>
              </w:rPr>
            </w:pPr>
          </w:p>
        </w:tc>
      </w:tr>
      <w:tr w14:paraId="6790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425B3566">
            <w:pPr>
              <w:autoSpaceDE w:val="0"/>
              <w:autoSpaceDN w:val="0"/>
              <w:adjustRightInd w:val="0"/>
              <w:snapToGrid w:val="0"/>
              <w:jc w:val="center"/>
              <w:rPr>
                <w:rFonts w:ascii="Times New Roman"/>
                <w:sz w:val="21"/>
                <w:szCs w:val="21"/>
              </w:rPr>
            </w:pPr>
          </w:p>
        </w:tc>
        <w:tc>
          <w:tcPr>
            <w:tcW w:w="697" w:type="pct"/>
            <w:vAlign w:val="center"/>
          </w:tcPr>
          <w:p w14:paraId="05BB457A">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5A00C1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CC1E0F4">
            <w:pPr>
              <w:autoSpaceDE w:val="0"/>
              <w:autoSpaceDN w:val="0"/>
              <w:adjustRightInd w:val="0"/>
              <w:snapToGrid w:val="0"/>
              <w:jc w:val="center"/>
              <w:rPr>
                <w:rFonts w:ascii="Times New Roman"/>
                <w:sz w:val="21"/>
                <w:szCs w:val="21"/>
              </w:rPr>
            </w:pPr>
          </w:p>
        </w:tc>
        <w:tc>
          <w:tcPr>
            <w:tcW w:w="208" w:type="pct"/>
            <w:vAlign w:val="center"/>
          </w:tcPr>
          <w:p w14:paraId="6A1ACF61">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439E5B69">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14805480">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911463B">
            <w:pPr>
              <w:autoSpaceDE w:val="0"/>
              <w:autoSpaceDN w:val="0"/>
              <w:adjustRightInd w:val="0"/>
              <w:snapToGrid w:val="0"/>
              <w:jc w:val="center"/>
              <w:rPr>
                <w:rFonts w:ascii="Times New Roman"/>
                <w:sz w:val="21"/>
                <w:szCs w:val="21"/>
              </w:rPr>
            </w:pPr>
            <w:r>
              <w:rPr>
                <w:rFonts w:ascii="Times New Roman"/>
                <w:sz w:val="21"/>
                <w:szCs w:val="21"/>
              </w:rPr>
              <w:t>124.6</w:t>
            </w:r>
          </w:p>
        </w:tc>
        <w:tc>
          <w:tcPr>
            <w:tcW w:w="358" w:type="pct"/>
            <w:vAlign w:val="center"/>
          </w:tcPr>
          <w:p w14:paraId="565DDB8A">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06DD684B">
            <w:pPr>
              <w:autoSpaceDE w:val="0"/>
              <w:autoSpaceDN w:val="0"/>
              <w:adjustRightInd w:val="0"/>
              <w:snapToGrid w:val="0"/>
              <w:jc w:val="center"/>
              <w:rPr>
                <w:rFonts w:ascii="Times New Roman"/>
                <w:sz w:val="21"/>
                <w:szCs w:val="21"/>
              </w:rPr>
            </w:pPr>
          </w:p>
        </w:tc>
        <w:tc>
          <w:tcPr>
            <w:tcW w:w="551" w:type="pct"/>
            <w:vAlign w:val="center"/>
          </w:tcPr>
          <w:p w14:paraId="5924183A">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AC6254B">
            <w:pPr>
              <w:autoSpaceDE w:val="0"/>
              <w:autoSpaceDN w:val="0"/>
              <w:adjustRightInd w:val="0"/>
              <w:snapToGrid w:val="0"/>
              <w:jc w:val="center"/>
              <w:rPr>
                <w:rFonts w:ascii="Times New Roman"/>
                <w:sz w:val="21"/>
                <w:szCs w:val="21"/>
              </w:rPr>
            </w:pPr>
          </w:p>
        </w:tc>
        <w:tc>
          <w:tcPr>
            <w:tcW w:w="287" w:type="pct"/>
            <w:vMerge w:val="continue"/>
            <w:vAlign w:val="center"/>
          </w:tcPr>
          <w:p w14:paraId="0DB1F724">
            <w:pPr>
              <w:autoSpaceDE w:val="0"/>
              <w:autoSpaceDN w:val="0"/>
              <w:adjustRightInd w:val="0"/>
              <w:snapToGrid w:val="0"/>
              <w:jc w:val="center"/>
              <w:rPr>
                <w:rFonts w:ascii="Times New Roman"/>
                <w:sz w:val="21"/>
                <w:szCs w:val="21"/>
              </w:rPr>
            </w:pPr>
          </w:p>
        </w:tc>
        <w:tc>
          <w:tcPr>
            <w:tcW w:w="434" w:type="pct"/>
            <w:vMerge w:val="continue"/>
            <w:vAlign w:val="center"/>
          </w:tcPr>
          <w:p w14:paraId="7C842E76">
            <w:pPr>
              <w:autoSpaceDE w:val="0"/>
              <w:autoSpaceDN w:val="0"/>
              <w:adjustRightInd w:val="0"/>
              <w:snapToGrid w:val="0"/>
              <w:jc w:val="center"/>
              <w:rPr>
                <w:rFonts w:ascii="Times New Roman"/>
                <w:sz w:val="21"/>
                <w:szCs w:val="21"/>
              </w:rPr>
            </w:pPr>
          </w:p>
        </w:tc>
      </w:tr>
      <w:tr w14:paraId="2334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B6D83C7">
            <w:pPr>
              <w:autoSpaceDE w:val="0"/>
              <w:autoSpaceDN w:val="0"/>
              <w:adjustRightInd w:val="0"/>
              <w:snapToGrid w:val="0"/>
              <w:jc w:val="center"/>
              <w:rPr>
                <w:rFonts w:ascii="Times New Roman"/>
                <w:sz w:val="21"/>
                <w:szCs w:val="21"/>
              </w:rPr>
            </w:pPr>
          </w:p>
        </w:tc>
        <w:tc>
          <w:tcPr>
            <w:tcW w:w="697" w:type="pct"/>
            <w:vAlign w:val="center"/>
          </w:tcPr>
          <w:p w14:paraId="56CE487F">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2A681ECB">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B96EA81">
            <w:pPr>
              <w:autoSpaceDE w:val="0"/>
              <w:autoSpaceDN w:val="0"/>
              <w:adjustRightInd w:val="0"/>
              <w:snapToGrid w:val="0"/>
              <w:jc w:val="center"/>
              <w:rPr>
                <w:rFonts w:ascii="Times New Roman"/>
                <w:sz w:val="21"/>
                <w:szCs w:val="21"/>
              </w:rPr>
            </w:pPr>
          </w:p>
        </w:tc>
        <w:tc>
          <w:tcPr>
            <w:tcW w:w="208" w:type="pct"/>
            <w:vAlign w:val="center"/>
          </w:tcPr>
          <w:p w14:paraId="4840B062">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7C72FED9">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373E3704">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06A2B2F">
            <w:pPr>
              <w:autoSpaceDE w:val="0"/>
              <w:autoSpaceDN w:val="0"/>
              <w:adjustRightInd w:val="0"/>
              <w:snapToGrid w:val="0"/>
              <w:jc w:val="center"/>
              <w:rPr>
                <w:rFonts w:ascii="Times New Roman"/>
                <w:sz w:val="21"/>
                <w:szCs w:val="21"/>
              </w:rPr>
            </w:pPr>
            <w:r>
              <w:rPr>
                <w:rFonts w:ascii="Times New Roman"/>
                <w:sz w:val="21"/>
                <w:szCs w:val="21"/>
              </w:rPr>
              <w:t>119.98</w:t>
            </w:r>
          </w:p>
        </w:tc>
        <w:tc>
          <w:tcPr>
            <w:tcW w:w="358" w:type="pct"/>
            <w:vAlign w:val="center"/>
          </w:tcPr>
          <w:p w14:paraId="6E38722F">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2F5F42FB">
            <w:pPr>
              <w:autoSpaceDE w:val="0"/>
              <w:autoSpaceDN w:val="0"/>
              <w:adjustRightInd w:val="0"/>
              <w:snapToGrid w:val="0"/>
              <w:jc w:val="center"/>
              <w:rPr>
                <w:rFonts w:ascii="Times New Roman"/>
                <w:sz w:val="21"/>
                <w:szCs w:val="21"/>
              </w:rPr>
            </w:pPr>
          </w:p>
        </w:tc>
        <w:tc>
          <w:tcPr>
            <w:tcW w:w="551" w:type="pct"/>
            <w:vAlign w:val="center"/>
          </w:tcPr>
          <w:p w14:paraId="76C4941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52844A0C">
            <w:pPr>
              <w:autoSpaceDE w:val="0"/>
              <w:autoSpaceDN w:val="0"/>
              <w:adjustRightInd w:val="0"/>
              <w:snapToGrid w:val="0"/>
              <w:jc w:val="center"/>
              <w:rPr>
                <w:rFonts w:ascii="Times New Roman"/>
                <w:sz w:val="21"/>
                <w:szCs w:val="21"/>
              </w:rPr>
            </w:pPr>
          </w:p>
        </w:tc>
        <w:tc>
          <w:tcPr>
            <w:tcW w:w="287" w:type="pct"/>
            <w:vMerge w:val="continue"/>
            <w:vAlign w:val="center"/>
          </w:tcPr>
          <w:p w14:paraId="08E6C042">
            <w:pPr>
              <w:autoSpaceDE w:val="0"/>
              <w:autoSpaceDN w:val="0"/>
              <w:adjustRightInd w:val="0"/>
              <w:snapToGrid w:val="0"/>
              <w:jc w:val="center"/>
              <w:rPr>
                <w:rFonts w:ascii="Times New Roman"/>
                <w:sz w:val="21"/>
                <w:szCs w:val="21"/>
              </w:rPr>
            </w:pPr>
          </w:p>
        </w:tc>
        <w:tc>
          <w:tcPr>
            <w:tcW w:w="434" w:type="pct"/>
            <w:vMerge w:val="continue"/>
            <w:vAlign w:val="center"/>
          </w:tcPr>
          <w:p w14:paraId="15235B49">
            <w:pPr>
              <w:autoSpaceDE w:val="0"/>
              <w:autoSpaceDN w:val="0"/>
              <w:adjustRightInd w:val="0"/>
              <w:snapToGrid w:val="0"/>
              <w:jc w:val="center"/>
              <w:rPr>
                <w:rFonts w:ascii="Times New Roman"/>
                <w:sz w:val="21"/>
                <w:szCs w:val="21"/>
              </w:rPr>
            </w:pPr>
          </w:p>
        </w:tc>
      </w:tr>
      <w:tr w14:paraId="349B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35EB605">
            <w:pPr>
              <w:autoSpaceDE w:val="0"/>
              <w:autoSpaceDN w:val="0"/>
              <w:adjustRightInd w:val="0"/>
              <w:snapToGrid w:val="0"/>
              <w:jc w:val="center"/>
              <w:rPr>
                <w:rFonts w:ascii="Times New Roman"/>
                <w:sz w:val="21"/>
                <w:szCs w:val="21"/>
              </w:rPr>
            </w:pPr>
          </w:p>
        </w:tc>
        <w:tc>
          <w:tcPr>
            <w:tcW w:w="697" w:type="pct"/>
            <w:vAlign w:val="center"/>
          </w:tcPr>
          <w:p w14:paraId="07B080F9">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B32B9D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9AC44B9">
            <w:pPr>
              <w:autoSpaceDE w:val="0"/>
              <w:autoSpaceDN w:val="0"/>
              <w:adjustRightInd w:val="0"/>
              <w:snapToGrid w:val="0"/>
              <w:jc w:val="center"/>
              <w:rPr>
                <w:rFonts w:ascii="Times New Roman"/>
                <w:sz w:val="21"/>
                <w:szCs w:val="21"/>
              </w:rPr>
            </w:pPr>
          </w:p>
        </w:tc>
        <w:tc>
          <w:tcPr>
            <w:tcW w:w="208" w:type="pct"/>
            <w:vAlign w:val="center"/>
          </w:tcPr>
          <w:p w14:paraId="03169455">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7A7134CE">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7E39C1E8">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B59A0B8">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39A1CEA8">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4AE0F4A1">
            <w:pPr>
              <w:autoSpaceDE w:val="0"/>
              <w:autoSpaceDN w:val="0"/>
              <w:adjustRightInd w:val="0"/>
              <w:snapToGrid w:val="0"/>
              <w:jc w:val="center"/>
              <w:rPr>
                <w:rFonts w:ascii="Times New Roman"/>
                <w:sz w:val="21"/>
                <w:szCs w:val="21"/>
              </w:rPr>
            </w:pPr>
          </w:p>
        </w:tc>
        <w:tc>
          <w:tcPr>
            <w:tcW w:w="551" w:type="pct"/>
            <w:vAlign w:val="center"/>
          </w:tcPr>
          <w:p w14:paraId="49DA418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0EFCB6A">
            <w:pPr>
              <w:autoSpaceDE w:val="0"/>
              <w:autoSpaceDN w:val="0"/>
              <w:adjustRightInd w:val="0"/>
              <w:snapToGrid w:val="0"/>
              <w:jc w:val="center"/>
              <w:rPr>
                <w:rFonts w:ascii="Times New Roman"/>
                <w:sz w:val="21"/>
                <w:szCs w:val="21"/>
              </w:rPr>
            </w:pPr>
          </w:p>
        </w:tc>
        <w:tc>
          <w:tcPr>
            <w:tcW w:w="287" w:type="pct"/>
            <w:vMerge w:val="continue"/>
            <w:vAlign w:val="center"/>
          </w:tcPr>
          <w:p w14:paraId="6B6F74EC">
            <w:pPr>
              <w:autoSpaceDE w:val="0"/>
              <w:autoSpaceDN w:val="0"/>
              <w:adjustRightInd w:val="0"/>
              <w:snapToGrid w:val="0"/>
              <w:jc w:val="center"/>
              <w:rPr>
                <w:rFonts w:ascii="Times New Roman"/>
                <w:sz w:val="21"/>
                <w:szCs w:val="21"/>
              </w:rPr>
            </w:pPr>
          </w:p>
        </w:tc>
        <w:tc>
          <w:tcPr>
            <w:tcW w:w="434" w:type="pct"/>
            <w:vMerge w:val="continue"/>
            <w:vAlign w:val="center"/>
          </w:tcPr>
          <w:p w14:paraId="5FE098C8">
            <w:pPr>
              <w:autoSpaceDE w:val="0"/>
              <w:autoSpaceDN w:val="0"/>
              <w:adjustRightInd w:val="0"/>
              <w:snapToGrid w:val="0"/>
              <w:jc w:val="center"/>
              <w:rPr>
                <w:rFonts w:ascii="Times New Roman"/>
                <w:sz w:val="21"/>
                <w:szCs w:val="21"/>
              </w:rPr>
            </w:pPr>
          </w:p>
        </w:tc>
      </w:tr>
      <w:tr w14:paraId="79FC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4F8F7F5">
            <w:pPr>
              <w:autoSpaceDE w:val="0"/>
              <w:autoSpaceDN w:val="0"/>
              <w:adjustRightInd w:val="0"/>
              <w:snapToGrid w:val="0"/>
              <w:jc w:val="center"/>
              <w:rPr>
                <w:rFonts w:ascii="Times New Roman"/>
                <w:sz w:val="21"/>
                <w:szCs w:val="21"/>
              </w:rPr>
            </w:pPr>
          </w:p>
        </w:tc>
        <w:tc>
          <w:tcPr>
            <w:tcW w:w="697" w:type="pct"/>
            <w:vAlign w:val="center"/>
          </w:tcPr>
          <w:p w14:paraId="55A8A93B">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0D5A0E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13E4DEA">
            <w:pPr>
              <w:autoSpaceDE w:val="0"/>
              <w:autoSpaceDN w:val="0"/>
              <w:adjustRightInd w:val="0"/>
              <w:snapToGrid w:val="0"/>
              <w:jc w:val="center"/>
              <w:rPr>
                <w:rFonts w:ascii="Times New Roman"/>
                <w:sz w:val="21"/>
                <w:szCs w:val="21"/>
              </w:rPr>
            </w:pPr>
          </w:p>
        </w:tc>
        <w:tc>
          <w:tcPr>
            <w:tcW w:w="208" w:type="pct"/>
            <w:vAlign w:val="center"/>
          </w:tcPr>
          <w:p w14:paraId="2897E090">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4636F525">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3EC532E3">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775F4328">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35F87C51">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2ADC9D44">
            <w:pPr>
              <w:autoSpaceDE w:val="0"/>
              <w:autoSpaceDN w:val="0"/>
              <w:adjustRightInd w:val="0"/>
              <w:snapToGrid w:val="0"/>
              <w:jc w:val="center"/>
              <w:rPr>
                <w:rFonts w:ascii="Times New Roman"/>
                <w:sz w:val="21"/>
                <w:szCs w:val="21"/>
              </w:rPr>
            </w:pPr>
          </w:p>
        </w:tc>
        <w:tc>
          <w:tcPr>
            <w:tcW w:w="551" w:type="pct"/>
            <w:vAlign w:val="center"/>
          </w:tcPr>
          <w:p w14:paraId="7C4746A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80520B7">
            <w:pPr>
              <w:autoSpaceDE w:val="0"/>
              <w:autoSpaceDN w:val="0"/>
              <w:adjustRightInd w:val="0"/>
              <w:snapToGrid w:val="0"/>
              <w:jc w:val="center"/>
              <w:rPr>
                <w:rFonts w:ascii="Times New Roman"/>
                <w:sz w:val="21"/>
                <w:szCs w:val="21"/>
              </w:rPr>
            </w:pPr>
          </w:p>
        </w:tc>
        <w:tc>
          <w:tcPr>
            <w:tcW w:w="287" w:type="pct"/>
            <w:vMerge w:val="continue"/>
            <w:vAlign w:val="center"/>
          </w:tcPr>
          <w:p w14:paraId="33770C63">
            <w:pPr>
              <w:autoSpaceDE w:val="0"/>
              <w:autoSpaceDN w:val="0"/>
              <w:adjustRightInd w:val="0"/>
              <w:snapToGrid w:val="0"/>
              <w:jc w:val="center"/>
              <w:rPr>
                <w:rFonts w:ascii="Times New Roman"/>
                <w:sz w:val="21"/>
                <w:szCs w:val="21"/>
              </w:rPr>
            </w:pPr>
          </w:p>
        </w:tc>
        <w:tc>
          <w:tcPr>
            <w:tcW w:w="434" w:type="pct"/>
            <w:vMerge w:val="continue"/>
            <w:vAlign w:val="center"/>
          </w:tcPr>
          <w:p w14:paraId="5C4F64E6">
            <w:pPr>
              <w:autoSpaceDE w:val="0"/>
              <w:autoSpaceDN w:val="0"/>
              <w:adjustRightInd w:val="0"/>
              <w:snapToGrid w:val="0"/>
              <w:jc w:val="center"/>
              <w:rPr>
                <w:rFonts w:ascii="Times New Roman"/>
                <w:sz w:val="21"/>
                <w:szCs w:val="21"/>
              </w:rPr>
            </w:pPr>
          </w:p>
        </w:tc>
      </w:tr>
      <w:tr w14:paraId="2B18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BEC0BD5">
            <w:pPr>
              <w:autoSpaceDE w:val="0"/>
              <w:autoSpaceDN w:val="0"/>
              <w:adjustRightInd w:val="0"/>
              <w:snapToGrid w:val="0"/>
              <w:jc w:val="center"/>
              <w:rPr>
                <w:rFonts w:ascii="Times New Roman"/>
                <w:sz w:val="21"/>
                <w:szCs w:val="21"/>
              </w:rPr>
            </w:pPr>
          </w:p>
        </w:tc>
        <w:tc>
          <w:tcPr>
            <w:tcW w:w="697" w:type="pct"/>
            <w:vAlign w:val="center"/>
          </w:tcPr>
          <w:p w14:paraId="0870D840">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57ABB4A6">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5276E27">
            <w:pPr>
              <w:autoSpaceDE w:val="0"/>
              <w:autoSpaceDN w:val="0"/>
              <w:adjustRightInd w:val="0"/>
              <w:snapToGrid w:val="0"/>
              <w:jc w:val="center"/>
              <w:rPr>
                <w:rFonts w:ascii="Times New Roman"/>
                <w:sz w:val="21"/>
                <w:szCs w:val="21"/>
              </w:rPr>
            </w:pPr>
          </w:p>
        </w:tc>
        <w:tc>
          <w:tcPr>
            <w:tcW w:w="208" w:type="pct"/>
            <w:vAlign w:val="center"/>
          </w:tcPr>
          <w:p w14:paraId="372246D6">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089E999C">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6B1BA70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F9175EC">
            <w:pPr>
              <w:autoSpaceDE w:val="0"/>
              <w:autoSpaceDN w:val="0"/>
              <w:adjustRightInd w:val="0"/>
              <w:snapToGrid w:val="0"/>
              <w:jc w:val="center"/>
              <w:rPr>
                <w:rFonts w:ascii="Times New Roman"/>
                <w:sz w:val="21"/>
                <w:szCs w:val="21"/>
              </w:rPr>
            </w:pPr>
            <w:r>
              <w:rPr>
                <w:rFonts w:ascii="Times New Roman"/>
                <w:sz w:val="21"/>
                <w:szCs w:val="21"/>
              </w:rPr>
              <w:t>119.6</w:t>
            </w:r>
          </w:p>
        </w:tc>
        <w:tc>
          <w:tcPr>
            <w:tcW w:w="358" w:type="pct"/>
            <w:vAlign w:val="center"/>
          </w:tcPr>
          <w:p w14:paraId="09EA4A6B">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1269935E">
            <w:pPr>
              <w:autoSpaceDE w:val="0"/>
              <w:autoSpaceDN w:val="0"/>
              <w:adjustRightInd w:val="0"/>
              <w:snapToGrid w:val="0"/>
              <w:jc w:val="center"/>
              <w:rPr>
                <w:rFonts w:ascii="Times New Roman"/>
                <w:sz w:val="21"/>
                <w:szCs w:val="21"/>
              </w:rPr>
            </w:pPr>
          </w:p>
        </w:tc>
        <w:tc>
          <w:tcPr>
            <w:tcW w:w="551" w:type="pct"/>
            <w:vAlign w:val="center"/>
          </w:tcPr>
          <w:p w14:paraId="334635C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EBDD06D">
            <w:pPr>
              <w:autoSpaceDE w:val="0"/>
              <w:autoSpaceDN w:val="0"/>
              <w:adjustRightInd w:val="0"/>
              <w:snapToGrid w:val="0"/>
              <w:jc w:val="center"/>
              <w:rPr>
                <w:rFonts w:ascii="Times New Roman"/>
                <w:sz w:val="21"/>
                <w:szCs w:val="21"/>
              </w:rPr>
            </w:pPr>
          </w:p>
        </w:tc>
        <w:tc>
          <w:tcPr>
            <w:tcW w:w="287" w:type="pct"/>
            <w:vMerge w:val="continue"/>
            <w:vAlign w:val="center"/>
          </w:tcPr>
          <w:p w14:paraId="2B3B90D5">
            <w:pPr>
              <w:autoSpaceDE w:val="0"/>
              <w:autoSpaceDN w:val="0"/>
              <w:adjustRightInd w:val="0"/>
              <w:snapToGrid w:val="0"/>
              <w:jc w:val="center"/>
              <w:rPr>
                <w:rFonts w:ascii="Times New Roman"/>
                <w:sz w:val="21"/>
                <w:szCs w:val="21"/>
              </w:rPr>
            </w:pPr>
          </w:p>
        </w:tc>
        <w:tc>
          <w:tcPr>
            <w:tcW w:w="434" w:type="pct"/>
            <w:vMerge w:val="continue"/>
            <w:vAlign w:val="center"/>
          </w:tcPr>
          <w:p w14:paraId="32752CB1">
            <w:pPr>
              <w:autoSpaceDE w:val="0"/>
              <w:autoSpaceDN w:val="0"/>
              <w:adjustRightInd w:val="0"/>
              <w:snapToGrid w:val="0"/>
              <w:jc w:val="center"/>
              <w:rPr>
                <w:rFonts w:ascii="Times New Roman"/>
                <w:sz w:val="21"/>
                <w:szCs w:val="21"/>
              </w:rPr>
            </w:pPr>
          </w:p>
        </w:tc>
      </w:tr>
      <w:tr w14:paraId="4F9C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1D9CCA">
            <w:pPr>
              <w:autoSpaceDE w:val="0"/>
              <w:autoSpaceDN w:val="0"/>
              <w:adjustRightInd w:val="0"/>
              <w:snapToGrid w:val="0"/>
              <w:jc w:val="center"/>
              <w:rPr>
                <w:rFonts w:ascii="Times New Roman"/>
                <w:sz w:val="21"/>
                <w:szCs w:val="21"/>
              </w:rPr>
            </w:pPr>
          </w:p>
        </w:tc>
        <w:tc>
          <w:tcPr>
            <w:tcW w:w="697" w:type="pct"/>
            <w:vAlign w:val="center"/>
          </w:tcPr>
          <w:p w14:paraId="460FE5B7">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0B11B441">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A3F96A9">
            <w:pPr>
              <w:autoSpaceDE w:val="0"/>
              <w:autoSpaceDN w:val="0"/>
              <w:adjustRightInd w:val="0"/>
              <w:snapToGrid w:val="0"/>
              <w:jc w:val="center"/>
              <w:rPr>
                <w:rFonts w:ascii="Times New Roman"/>
                <w:sz w:val="21"/>
                <w:szCs w:val="21"/>
              </w:rPr>
            </w:pPr>
          </w:p>
        </w:tc>
        <w:tc>
          <w:tcPr>
            <w:tcW w:w="208" w:type="pct"/>
            <w:vAlign w:val="center"/>
          </w:tcPr>
          <w:p w14:paraId="2E93E270">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198C7AF2">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1C94297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F6AB5FB">
            <w:pPr>
              <w:autoSpaceDE w:val="0"/>
              <w:autoSpaceDN w:val="0"/>
              <w:adjustRightInd w:val="0"/>
              <w:snapToGrid w:val="0"/>
              <w:jc w:val="center"/>
              <w:rPr>
                <w:rFonts w:ascii="Times New Roman"/>
                <w:sz w:val="21"/>
                <w:szCs w:val="21"/>
              </w:rPr>
            </w:pPr>
            <w:r>
              <w:rPr>
                <w:rFonts w:ascii="Times New Roman"/>
                <w:sz w:val="21"/>
                <w:szCs w:val="21"/>
              </w:rPr>
              <w:t>119.6</w:t>
            </w:r>
          </w:p>
        </w:tc>
        <w:tc>
          <w:tcPr>
            <w:tcW w:w="358" w:type="pct"/>
            <w:vAlign w:val="center"/>
          </w:tcPr>
          <w:p w14:paraId="4F3977D5">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5875BB18">
            <w:pPr>
              <w:autoSpaceDE w:val="0"/>
              <w:autoSpaceDN w:val="0"/>
              <w:adjustRightInd w:val="0"/>
              <w:snapToGrid w:val="0"/>
              <w:jc w:val="center"/>
              <w:rPr>
                <w:rFonts w:ascii="Times New Roman"/>
                <w:sz w:val="21"/>
                <w:szCs w:val="21"/>
              </w:rPr>
            </w:pPr>
          </w:p>
        </w:tc>
        <w:tc>
          <w:tcPr>
            <w:tcW w:w="551" w:type="pct"/>
            <w:vAlign w:val="center"/>
          </w:tcPr>
          <w:p w14:paraId="5039759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F1CC27E">
            <w:pPr>
              <w:autoSpaceDE w:val="0"/>
              <w:autoSpaceDN w:val="0"/>
              <w:adjustRightInd w:val="0"/>
              <w:snapToGrid w:val="0"/>
              <w:jc w:val="center"/>
              <w:rPr>
                <w:rFonts w:ascii="Times New Roman"/>
                <w:sz w:val="21"/>
                <w:szCs w:val="21"/>
              </w:rPr>
            </w:pPr>
          </w:p>
        </w:tc>
        <w:tc>
          <w:tcPr>
            <w:tcW w:w="287" w:type="pct"/>
            <w:vMerge w:val="continue"/>
            <w:vAlign w:val="center"/>
          </w:tcPr>
          <w:p w14:paraId="6DEDF96A">
            <w:pPr>
              <w:autoSpaceDE w:val="0"/>
              <w:autoSpaceDN w:val="0"/>
              <w:adjustRightInd w:val="0"/>
              <w:snapToGrid w:val="0"/>
              <w:jc w:val="center"/>
              <w:rPr>
                <w:rFonts w:ascii="Times New Roman"/>
                <w:sz w:val="21"/>
                <w:szCs w:val="21"/>
              </w:rPr>
            </w:pPr>
          </w:p>
        </w:tc>
        <w:tc>
          <w:tcPr>
            <w:tcW w:w="434" w:type="pct"/>
            <w:vMerge w:val="continue"/>
            <w:vAlign w:val="center"/>
          </w:tcPr>
          <w:p w14:paraId="7D66A06D">
            <w:pPr>
              <w:autoSpaceDE w:val="0"/>
              <w:autoSpaceDN w:val="0"/>
              <w:adjustRightInd w:val="0"/>
              <w:snapToGrid w:val="0"/>
              <w:jc w:val="center"/>
              <w:rPr>
                <w:rFonts w:ascii="Times New Roman"/>
                <w:sz w:val="21"/>
                <w:szCs w:val="21"/>
              </w:rPr>
            </w:pPr>
          </w:p>
        </w:tc>
      </w:tr>
      <w:tr w14:paraId="51E1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6C68AF6">
            <w:pPr>
              <w:autoSpaceDE w:val="0"/>
              <w:autoSpaceDN w:val="0"/>
              <w:adjustRightInd w:val="0"/>
              <w:snapToGrid w:val="0"/>
              <w:jc w:val="center"/>
              <w:rPr>
                <w:rFonts w:ascii="Times New Roman"/>
                <w:sz w:val="21"/>
                <w:szCs w:val="21"/>
              </w:rPr>
            </w:pPr>
          </w:p>
        </w:tc>
        <w:tc>
          <w:tcPr>
            <w:tcW w:w="697" w:type="pct"/>
            <w:vAlign w:val="center"/>
          </w:tcPr>
          <w:p w14:paraId="20B45BE9">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75C4F8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7C5C604">
            <w:pPr>
              <w:autoSpaceDE w:val="0"/>
              <w:autoSpaceDN w:val="0"/>
              <w:adjustRightInd w:val="0"/>
              <w:snapToGrid w:val="0"/>
              <w:jc w:val="center"/>
              <w:rPr>
                <w:rFonts w:ascii="Times New Roman"/>
                <w:sz w:val="21"/>
                <w:szCs w:val="21"/>
              </w:rPr>
            </w:pPr>
          </w:p>
        </w:tc>
        <w:tc>
          <w:tcPr>
            <w:tcW w:w="208" w:type="pct"/>
            <w:vAlign w:val="center"/>
          </w:tcPr>
          <w:p w14:paraId="0237540C">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55E97AC3">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318E1C7D">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F368A7D">
            <w:pPr>
              <w:autoSpaceDE w:val="0"/>
              <w:autoSpaceDN w:val="0"/>
              <w:adjustRightInd w:val="0"/>
              <w:snapToGrid w:val="0"/>
              <w:jc w:val="center"/>
              <w:rPr>
                <w:rFonts w:ascii="Times New Roman"/>
                <w:sz w:val="21"/>
                <w:szCs w:val="21"/>
              </w:rPr>
            </w:pPr>
            <w:r>
              <w:rPr>
                <w:rFonts w:ascii="Times New Roman"/>
                <w:sz w:val="21"/>
                <w:szCs w:val="21"/>
              </w:rPr>
              <w:t>119.6</w:t>
            </w:r>
          </w:p>
        </w:tc>
        <w:tc>
          <w:tcPr>
            <w:tcW w:w="358" w:type="pct"/>
            <w:vAlign w:val="center"/>
          </w:tcPr>
          <w:p w14:paraId="3E232C20">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01DDB45C">
            <w:pPr>
              <w:autoSpaceDE w:val="0"/>
              <w:autoSpaceDN w:val="0"/>
              <w:adjustRightInd w:val="0"/>
              <w:snapToGrid w:val="0"/>
              <w:jc w:val="center"/>
              <w:rPr>
                <w:rFonts w:ascii="Times New Roman"/>
                <w:sz w:val="21"/>
                <w:szCs w:val="21"/>
              </w:rPr>
            </w:pPr>
          </w:p>
        </w:tc>
        <w:tc>
          <w:tcPr>
            <w:tcW w:w="551" w:type="pct"/>
            <w:vAlign w:val="center"/>
          </w:tcPr>
          <w:p w14:paraId="4C27A230">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84F9B4C">
            <w:pPr>
              <w:autoSpaceDE w:val="0"/>
              <w:autoSpaceDN w:val="0"/>
              <w:adjustRightInd w:val="0"/>
              <w:snapToGrid w:val="0"/>
              <w:jc w:val="center"/>
              <w:rPr>
                <w:rFonts w:ascii="Times New Roman"/>
                <w:sz w:val="21"/>
                <w:szCs w:val="21"/>
              </w:rPr>
            </w:pPr>
          </w:p>
        </w:tc>
        <w:tc>
          <w:tcPr>
            <w:tcW w:w="287" w:type="pct"/>
            <w:vMerge w:val="continue"/>
            <w:vAlign w:val="center"/>
          </w:tcPr>
          <w:p w14:paraId="3BC50589">
            <w:pPr>
              <w:autoSpaceDE w:val="0"/>
              <w:autoSpaceDN w:val="0"/>
              <w:adjustRightInd w:val="0"/>
              <w:snapToGrid w:val="0"/>
              <w:jc w:val="center"/>
              <w:rPr>
                <w:rFonts w:ascii="Times New Roman"/>
                <w:sz w:val="21"/>
                <w:szCs w:val="21"/>
              </w:rPr>
            </w:pPr>
          </w:p>
        </w:tc>
        <w:tc>
          <w:tcPr>
            <w:tcW w:w="434" w:type="pct"/>
            <w:vMerge w:val="continue"/>
            <w:vAlign w:val="center"/>
          </w:tcPr>
          <w:p w14:paraId="065DF257">
            <w:pPr>
              <w:autoSpaceDE w:val="0"/>
              <w:autoSpaceDN w:val="0"/>
              <w:adjustRightInd w:val="0"/>
              <w:snapToGrid w:val="0"/>
              <w:jc w:val="center"/>
              <w:rPr>
                <w:rFonts w:ascii="Times New Roman"/>
                <w:sz w:val="21"/>
                <w:szCs w:val="21"/>
              </w:rPr>
            </w:pPr>
          </w:p>
        </w:tc>
      </w:tr>
      <w:tr w14:paraId="411D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0670E816">
            <w:pPr>
              <w:autoSpaceDE w:val="0"/>
              <w:autoSpaceDN w:val="0"/>
              <w:adjustRightInd w:val="0"/>
              <w:snapToGrid w:val="0"/>
              <w:jc w:val="center"/>
              <w:rPr>
                <w:rFonts w:ascii="Times New Roman"/>
                <w:sz w:val="21"/>
                <w:szCs w:val="21"/>
              </w:rPr>
            </w:pPr>
          </w:p>
        </w:tc>
        <w:tc>
          <w:tcPr>
            <w:tcW w:w="697" w:type="pct"/>
            <w:vAlign w:val="center"/>
          </w:tcPr>
          <w:p w14:paraId="6F29A6A3">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06FA3865">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22C64903">
            <w:pPr>
              <w:autoSpaceDE w:val="0"/>
              <w:autoSpaceDN w:val="0"/>
              <w:adjustRightInd w:val="0"/>
              <w:snapToGrid w:val="0"/>
              <w:jc w:val="center"/>
              <w:rPr>
                <w:rFonts w:ascii="Times New Roman"/>
                <w:sz w:val="21"/>
                <w:szCs w:val="21"/>
              </w:rPr>
            </w:pPr>
          </w:p>
        </w:tc>
        <w:tc>
          <w:tcPr>
            <w:tcW w:w="208" w:type="pct"/>
            <w:vAlign w:val="center"/>
          </w:tcPr>
          <w:p w14:paraId="35BDA85C">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48C571C1">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2249FC9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BA5B6A6">
            <w:pPr>
              <w:autoSpaceDE w:val="0"/>
              <w:autoSpaceDN w:val="0"/>
              <w:adjustRightInd w:val="0"/>
              <w:snapToGrid w:val="0"/>
              <w:jc w:val="center"/>
              <w:rPr>
                <w:rFonts w:ascii="Times New Roman"/>
                <w:sz w:val="21"/>
                <w:szCs w:val="21"/>
              </w:rPr>
            </w:pPr>
            <w:r>
              <w:rPr>
                <w:rFonts w:ascii="Times New Roman"/>
                <w:sz w:val="21"/>
                <w:szCs w:val="21"/>
              </w:rPr>
              <w:t>119.6</w:t>
            </w:r>
          </w:p>
        </w:tc>
        <w:tc>
          <w:tcPr>
            <w:tcW w:w="358" w:type="pct"/>
            <w:vAlign w:val="center"/>
          </w:tcPr>
          <w:p w14:paraId="2F7A5B14">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6697DCF9">
            <w:pPr>
              <w:autoSpaceDE w:val="0"/>
              <w:autoSpaceDN w:val="0"/>
              <w:adjustRightInd w:val="0"/>
              <w:snapToGrid w:val="0"/>
              <w:jc w:val="center"/>
              <w:rPr>
                <w:rFonts w:ascii="Times New Roman"/>
                <w:sz w:val="21"/>
                <w:szCs w:val="21"/>
              </w:rPr>
            </w:pPr>
          </w:p>
        </w:tc>
        <w:tc>
          <w:tcPr>
            <w:tcW w:w="551" w:type="pct"/>
            <w:vAlign w:val="center"/>
          </w:tcPr>
          <w:p w14:paraId="5328FE7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73F0354">
            <w:pPr>
              <w:autoSpaceDE w:val="0"/>
              <w:autoSpaceDN w:val="0"/>
              <w:adjustRightInd w:val="0"/>
              <w:snapToGrid w:val="0"/>
              <w:jc w:val="center"/>
              <w:rPr>
                <w:rFonts w:ascii="Times New Roman"/>
                <w:sz w:val="21"/>
                <w:szCs w:val="21"/>
              </w:rPr>
            </w:pPr>
          </w:p>
        </w:tc>
        <w:tc>
          <w:tcPr>
            <w:tcW w:w="287" w:type="pct"/>
            <w:vMerge w:val="continue"/>
            <w:vAlign w:val="center"/>
          </w:tcPr>
          <w:p w14:paraId="3E9664E1">
            <w:pPr>
              <w:autoSpaceDE w:val="0"/>
              <w:autoSpaceDN w:val="0"/>
              <w:adjustRightInd w:val="0"/>
              <w:snapToGrid w:val="0"/>
              <w:jc w:val="center"/>
              <w:rPr>
                <w:rFonts w:ascii="Times New Roman"/>
                <w:sz w:val="21"/>
                <w:szCs w:val="21"/>
              </w:rPr>
            </w:pPr>
          </w:p>
        </w:tc>
        <w:tc>
          <w:tcPr>
            <w:tcW w:w="434" w:type="pct"/>
            <w:vMerge w:val="continue"/>
            <w:vAlign w:val="center"/>
          </w:tcPr>
          <w:p w14:paraId="0EE3B48A">
            <w:pPr>
              <w:autoSpaceDE w:val="0"/>
              <w:autoSpaceDN w:val="0"/>
              <w:adjustRightInd w:val="0"/>
              <w:snapToGrid w:val="0"/>
              <w:jc w:val="center"/>
              <w:rPr>
                <w:rFonts w:ascii="Times New Roman"/>
                <w:sz w:val="21"/>
                <w:szCs w:val="21"/>
              </w:rPr>
            </w:pPr>
          </w:p>
        </w:tc>
      </w:tr>
      <w:tr w14:paraId="100B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6B28D59">
            <w:pPr>
              <w:autoSpaceDE w:val="0"/>
              <w:autoSpaceDN w:val="0"/>
              <w:adjustRightInd w:val="0"/>
              <w:snapToGrid w:val="0"/>
              <w:jc w:val="center"/>
              <w:rPr>
                <w:rFonts w:ascii="Times New Roman"/>
                <w:sz w:val="21"/>
                <w:szCs w:val="21"/>
              </w:rPr>
            </w:pPr>
          </w:p>
        </w:tc>
        <w:tc>
          <w:tcPr>
            <w:tcW w:w="697" w:type="pct"/>
            <w:vAlign w:val="center"/>
          </w:tcPr>
          <w:p w14:paraId="33BDFDE7">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327457B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5EA3334D">
            <w:pPr>
              <w:autoSpaceDE w:val="0"/>
              <w:autoSpaceDN w:val="0"/>
              <w:adjustRightInd w:val="0"/>
              <w:snapToGrid w:val="0"/>
              <w:jc w:val="center"/>
              <w:rPr>
                <w:rFonts w:ascii="Times New Roman"/>
                <w:sz w:val="21"/>
                <w:szCs w:val="21"/>
              </w:rPr>
            </w:pPr>
          </w:p>
        </w:tc>
        <w:tc>
          <w:tcPr>
            <w:tcW w:w="208" w:type="pct"/>
            <w:vAlign w:val="center"/>
          </w:tcPr>
          <w:p w14:paraId="3DFA83DA">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41A74800">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6F36724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A871B66">
            <w:pPr>
              <w:autoSpaceDE w:val="0"/>
              <w:autoSpaceDN w:val="0"/>
              <w:adjustRightInd w:val="0"/>
              <w:snapToGrid w:val="0"/>
              <w:jc w:val="center"/>
              <w:rPr>
                <w:rFonts w:ascii="Times New Roman"/>
                <w:sz w:val="21"/>
                <w:szCs w:val="21"/>
              </w:rPr>
            </w:pPr>
            <w:r>
              <w:rPr>
                <w:rFonts w:ascii="Times New Roman"/>
                <w:sz w:val="21"/>
                <w:szCs w:val="21"/>
              </w:rPr>
              <w:t>119.6</w:t>
            </w:r>
          </w:p>
        </w:tc>
        <w:tc>
          <w:tcPr>
            <w:tcW w:w="358" w:type="pct"/>
            <w:vAlign w:val="center"/>
          </w:tcPr>
          <w:p w14:paraId="1D3DDED5">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073B4E39">
            <w:pPr>
              <w:autoSpaceDE w:val="0"/>
              <w:autoSpaceDN w:val="0"/>
              <w:adjustRightInd w:val="0"/>
              <w:snapToGrid w:val="0"/>
              <w:jc w:val="center"/>
              <w:rPr>
                <w:rFonts w:ascii="Times New Roman"/>
                <w:sz w:val="21"/>
                <w:szCs w:val="21"/>
              </w:rPr>
            </w:pPr>
          </w:p>
        </w:tc>
        <w:tc>
          <w:tcPr>
            <w:tcW w:w="551" w:type="pct"/>
            <w:vAlign w:val="center"/>
          </w:tcPr>
          <w:p w14:paraId="7E42D74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AF1114B">
            <w:pPr>
              <w:autoSpaceDE w:val="0"/>
              <w:autoSpaceDN w:val="0"/>
              <w:adjustRightInd w:val="0"/>
              <w:snapToGrid w:val="0"/>
              <w:jc w:val="center"/>
              <w:rPr>
                <w:rFonts w:ascii="Times New Roman"/>
                <w:sz w:val="21"/>
                <w:szCs w:val="21"/>
              </w:rPr>
            </w:pPr>
          </w:p>
        </w:tc>
        <w:tc>
          <w:tcPr>
            <w:tcW w:w="287" w:type="pct"/>
            <w:vMerge w:val="continue"/>
            <w:vAlign w:val="center"/>
          </w:tcPr>
          <w:p w14:paraId="6BFA2627">
            <w:pPr>
              <w:autoSpaceDE w:val="0"/>
              <w:autoSpaceDN w:val="0"/>
              <w:adjustRightInd w:val="0"/>
              <w:snapToGrid w:val="0"/>
              <w:jc w:val="center"/>
              <w:rPr>
                <w:rFonts w:ascii="Times New Roman"/>
                <w:sz w:val="21"/>
                <w:szCs w:val="21"/>
              </w:rPr>
            </w:pPr>
          </w:p>
        </w:tc>
        <w:tc>
          <w:tcPr>
            <w:tcW w:w="434" w:type="pct"/>
            <w:vMerge w:val="continue"/>
            <w:vAlign w:val="center"/>
          </w:tcPr>
          <w:p w14:paraId="40A94F85">
            <w:pPr>
              <w:autoSpaceDE w:val="0"/>
              <w:autoSpaceDN w:val="0"/>
              <w:adjustRightInd w:val="0"/>
              <w:snapToGrid w:val="0"/>
              <w:jc w:val="center"/>
              <w:rPr>
                <w:rFonts w:ascii="Times New Roman"/>
                <w:sz w:val="21"/>
                <w:szCs w:val="21"/>
              </w:rPr>
            </w:pPr>
          </w:p>
        </w:tc>
      </w:tr>
      <w:tr w14:paraId="4F93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vMerge w:val="continue"/>
            <w:vAlign w:val="center"/>
          </w:tcPr>
          <w:p w14:paraId="65C0676D">
            <w:pPr>
              <w:autoSpaceDE w:val="0"/>
              <w:autoSpaceDN w:val="0"/>
              <w:adjustRightInd w:val="0"/>
              <w:snapToGrid w:val="0"/>
              <w:jc w:val="center"/>
              <w:rPr>
                <w:rFonts w:ascii="Times New Roman"/>
                <w:sz w:val="21"/>
                <w:szCs w:val="21"/>
              </w:rPr>
            </w:pPr>
          </w:p>
        </w:tc>
        <w:tc>
          <w:tcPr>
            <w:tcW w:w="697" w:type="pct"/>
            <w:vAlign w:val="center"/>
          </w:tcPr>
          <w:p w14:paraId="377DA872">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66273BFC">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18599B35">
            <w:pPr>
              <w:autoSpaceDE w:val="0"/>
              <w:autoSpaceDN w:val="0"/>
              <w:adjustRightInd w:val="0"/>
              <w:snapToGrid w:val="0"/>
              <w:jc w:val="center"/>
              <w:rPr>
                <w:rFonts w:ascii="Times New Roman"/>
                <w:sz w:val="21"/>
                <w:szCs w:val="21"/>
              </w:rPr>
            </w:pPr>
          </w:p>
        </w:tc>
        <w:tc>
          <w:tcPr>
            <w:tcW w:w="208" w:type="pct"/>
            <w:vAlign w:val="center"/>
          </w:tcPr>
          <w:p w14:paraId="5E8E4A5A">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54936725">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33F7045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C0D8A62">
            <w:pPr>
              <w:autoSpaceDE w:val="0"/>
              <w:autoSpaceDN w:val="0"/>
              <w:adjustRightInd w:val="0"/>
              <w:snapToGrid w:val="0"/>
              <w:jc w:val="center"/>
              <w:rPr>
                <w:rFonts w:ascii="Times New Roman"/>
                <w:sz w:val="21"/>
                <w:szCs w:val="21"/>
              </w:rPr>
            </w:pPr>
            <w:r>
              <w:rPr>
                <w:rFonts w:ascii="Times New Roman"/>
                <w:sz w:val="21"/>
                <w:szCs w:val="21"/>
              </w:rPr>
              <w:t>119.6</w:t>
            </w:r>
          </w:p>
        </w:tc>
        <w:tc>
          <w:tcPr>
            <w:tcW w:w="358" w:type="pct"/>
            <w:vAlign w:val="center"/>
          </w:tcPr>
          <w:p w14:paraId="6F20A5D6">
            <w:pPr>
              <w:autoSpaceDE w:val="0"/>
              <w:autoSpaceDN w:val="0"/>
              <w:adjustRightInd w:val="0"/>
              <w:snapToGrid w:val="0"/>
              <w:jc w:val="center"/>
              <w:rPr>
                <w:rFonts w:ascii="Times New Roman"/>
                <w:sz w:val="21"/>
                <w:szCs w:val="21"/>
              </w:rPr>
            </w:pPr>
            <w:r>
              <w:rPr>
                <w:rFonts w:ascii="Times New Roman"/>
                <w:sz w:val="21"/>
                <w:szCs w:val="21"/>
              </w:rPr>
              <w:t>38</w:t>
            </w:r>
          </w:p>
        </w:tc>
        <w:tc>
          <w:tcPr>
            <w:tcW w:w="316" w:type="pct"/>
            <w:vMerge w:val="continue"/>
            <w:vAlign w:val="center"/>
          </w:tcPr>
          <w:p w14:paraId="275020CD">
            <w:pPr>
              <w:autoSpaceDE w:val="0"/>
              <w:autoSpaceDN w:val="0"/>
              <w:adjustRightInd w:val="0"/>
              <w:snapToGrid w:val="0"/>
              <w:jc w:val="center"/>
              <w:rPr>
                <w:rFonts w:ascii="Times New Roman"/>
                <w:sz w:val="21"/>
                <w:szCs w:val="21"/>
              </w:rPr>
            </w:pPr>
          </w:p>
        </w:tc>
        <w:tc>
          <w:tcPr>
            <w:tcW w:w="551" w:type="pct"/>
            <w:vAlign w:val="center"/>
          </w:tcPr>
          <w:p w14:paraId="3A149FC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189A696">
            <w:pPr>
              <w:autoSpaceDE w:val="0"/>
              <w:autoSpaceDN w:val="0"/>
              <w:adjustRightInd w:val="0"/>
              <w:snapToGrid w:val="0"/>
              <w:jc w:val="center"/>
              <w:rPr>
                <w:rFonts w:ascii="Times New Roman"/>
                <w:sz w:val="21"/>
                <w:szCs w:val="21"/>
              </w:rPr>
            </w:pPr>
          </w:p>
        </w:tc>
        <w:tc>
          <w:tcPr>
            <w:tcW w:w="287" w:type="pct"/>
            <w:vMerge w:val="continue"/>
            <w:vAlign w:val="center"/>
          </w:tcPr>
          <w:p w14:paraId="49A2EE4A">
            <w:pPr>
              <w:autoSpaceDE w:val="0"/>
              <w:autoSpaceDN w:val="0"/>
              <w:adjustRightInd w:val="0"/>
              <w:snapToGrid w:val="0"/>
              <w:jc w:val="center"/>
              <w:rPr>
                <w:rFonts w:ascii="Times New Roman"/>
                <w:sz w:val="21"/>
                <w:szCs w:val="21"/>
              </w:rPr>
            </w:pPr>
          </w:p>
        </w:tc>
        <w:tc>
          <w:tcPr>
            <w:tcW w:w="434" w:type="pct"/>
            <w:vMerge w:val="continue"/>
            <w:vAlign w:val="center"/>
          </w:tcPr>
          <w:p w14:paraId="47CB4F3A">
            <w:pPr>
              <w:autoSpaceDE w:val="0"/>
              <w:autoSpaceDN w:val="0"/>
              <w:adjustRightInd w:val="0"/>
              <w:snapToGrid w:val="0"/>
              <w:jc w:val="center"/>
              <w:rPr>
                <w:rFonts w:ascii="Times New Roman"/>
                <w:sz w:val="21"/>
                <w:szCs w:val="21"/>
              </w:rPr>
            </w:pPr>
          </w:p>
        </w:tc>
      </w:tr>
      <w:tr w14:paraId="17C7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D50A639">
            <w:pPr>
              <w:autoSpaceDE w:val="0"/>
              <w:autoSpaceDN w:val="0"/>
              <w:adjustRightInd w:val="0"/>
              <w:snapToGrid w:val="0"/>
              <w:jc w:val="center"/>
              <w:rPr>
                <w:rFonts w:ascii="Times New Roman"/>
                <w:sz w:val="21"/>
                <w:szCs w:val="21"/>
              </w:rPr>
            </w:pPr>
          </w:p>
        </w:tc>
        <w:tc>
          <w:tcPr>
            <w:tcW w:w="697" w:type="pct"/>
            <w:vAlign w:val="center"/>
          </w:tcPr>
          <w:p w14:paraId="661C1C35">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14781EE">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20449A3">
            <w:pPr>
              <w:autoSpaceDE w:val="0"/>
              <w:autoSpaceDN w:val="0"/>
              <w:adjustRightInd w:val="0"/>
              <w:snapToGrid w:val="0"/>
              <w:jc w:val="center"/>
              <w:rPr>
                <w:rFonts w:ascii="Times New Roman"/>
                <w:sz w:val="21"/>
                <w:szCs w:val="21"/>
              </w:rPr>
            </w:pPr>
          </w:p>
        </w:tc>
        <w:tc>
          <w:tcPr>
            <w:tcW w:w="208" w:type="pct"/>
            <w:vAlign w:val="center"/>
          </w:tcPr>
          <w:p w14:paraId="4E836261">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1ACEE922">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19BCB36D">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09C9A9CF">
            <w:pPr>
              <w:autoSpaceDE w:val="0"/>
              <w:autoSpaceDN w:val="0"/>
              <w:adjustRightInd w:val="0"/>
              <w:snapToGrid w:val="0"/>
              <w:jc w:val="center"/>
              <w:rPr>
                <w:rFonts w:ascii="Times New Roman"/>
                <w:sz w:val="21"/>
                <w:szCs w:val="21"/>
              </w:rPr>
            </w:pPr>
            <w:r>
              <w:rPr>
                <w:rFonts w:ascii="Times New Roman"/>
                <w:sz w:val="21"/>
                <w:szCs w:val="21"/>
              </w:rPr>
              <w:t>89.98</w:t>
            </w:r>
          </w:p>
        </w:tc>
        <w:tc>
          <w:tcPr>
            <w:tcW w:w="358" w:type="pct"/>
            <w:vAlign w:val="center"/>
          </w:tcPr>
          <w:p w14:paraId="06CC7CF5">
            <w:pPr>
              <w:autoSpaceDE w:val="0"/>
              <w:autoSpaceDN w:val="0"/>
              <w:adjustRightInd w:val="0"/>
              <w:snapToGrid w:val="0"/>
              <w:jc w:val="center"/>
              <w:rPr>
                <w:rFonts w:ascii="Times New Roman"/>
                <w:sz w:val="21"/>
                <w:szCs w:val="21"/>
              </w:rPr>
            </w:pPr>
            <w:r>
              <w:rPr>
                <w:rFonts w:ascii="Times New Roman"/>
                <w:sz w:val="21"/>
                <w:szCs w:val="21"/>
              </w:rPr>
              <w:t>41</w:t>
            </w:r>
          </w:p>
        </w:tc>
        <w:tc>
          <w:tcPr>
            <w:tcW w:w="316" w:type="pct"/>
            <w:vMerge w:val="continue"/>
            <w:vAlign w:val="center"/>
          </w:tcPr>
          <w:p w14:paraId="1196DBC5">
            <w:pPr>
              <w:autoSpaceDE w:val="0"/>
              <w:autoSpaceDN w:val="0"/>
              <w:adjustRightInd w:val="0"/>
              <w:snapToGrid w:val="0"/>
              <w:jc w:val="center"/>
              <w:rPr>
                <w:rFonts w:ascii="Times New Roman"/>
                <w:sz w:val="21"/>
                <w:szCs w:val="21"/>
              </w:rPr>
            </w:pPr>
          </w:p>
        </w:tc>
        <w:tc>
          <w:tcPr>
            <w:tcW w:w="551" w:type="pct"/>
            <w:vAlign w:val="center"/>
          </w:tcPr>
          <w:p w14:paraId="474554CE">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F20EE9C">
            <w:pPr>
              <w:autoSpaceDE w:val="0"/>
              <w:autoSpaceDN w:val="0"/>
              <w:adjustRightInd w:val="0"/>
              <w:snapToGrid w:val="0"/>
              <w:jc w:val="center"/>
              <w:rPr>
                <w:rFonts w:ascii="Times New Roman"/>
                <w:sz w:val="21"/>
                <w:szCs w:val="21"/>
              </w:rPr>
            </w:pPr>
          </w:p>
        </w:tc>
        <w:tc>
          <w:tcPr>
            <w:tcW w:w="287" w:type="pct"/>
            <w:vMerge w:val="continue"/>
            <w:vAlign w:val="center"/>
          </w:tcPr>
          <w:p w14:paraId="5B46D213">
            <w:pPr>
              <w:autoSpaceDE w:val="0"/>
              <w:autoSpaceDN w:val="0"/>
              <w:adjustRightInd w:val="0"/>
              <w:snapToGrid w:val="0"/>
              <w:jc w:val="center"/>
              <w:rPr>
                <w:rFonts w:ascii="Times New Roman"/>
                <w:sz w:val="21"/>
                <w:szCs w:val="21"/>
              </w:rPr>
            </w:pPr>
          </w:p>
        </w:tc>
        <w:tc>
          <w:tcPr>
            <w:tcW w:w="434" w:type="pct"/>
            <w:vMerge w:val="continue"/>
            <w:vAlign w:val="center"/>
          </w:tcPr>
          <w:p w14:paraId="7A89878B">
            <w:pPr>
              <w:autoSpaceDE w:val="0"/>
              <w:autoSpaceDN w:val="0"/>
              <w:adjustRightInd w:val="0"/>
              <w:snapToGrid w:val="0"/>
              <w:jc w:val="center"/>
              <w:rPr>
                <w:rFonts w:ascii="Times New Roman"/>
                <w:sz w:val="21"/>
                <w:szCs w:val="21"/>
              </w:rPr>
            </w:pPr>
          </w:p>
        </w:tc>
      </w:tr>
      <w:tr w14:paraId="3A23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1616BA7">
            <w:pPr>
              <w:autoSpaceDE w:val="0"/>
              <w:autoSpaceDN w:val="0"/>
              <w:adjustRightInd w:val="0"/>
              <w:snapToGrid w:val="0"/>
              <w:jc w:val="center"/>
              <w:rPr>
                <w:rFonts w:ascii="Times New Roman"/>
                <w:sz w:val="21"/>
                <w:szCs w:val="21"/>
              </w:rPr>
            </w:pPr>
          </w:p>
        </w:tc>
        <w:tc>
          <w:tcPr>
            <w:tcW w:w="697" w:type="pct"/>
            <w:vAlign w:val="center"/>
          </w:tcPr>
          <w:p w14:paraId="7F299190">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5E0B1CFD">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718BC86E">
            <w:pPr>
              <w:autoSpaceDE w:val="0"/>
              <w:autoSpaceDN w:val="0"/>
              <w:adjustRightInd w:val="0"/>
              <w:snapToGrid w:val="0"/>
              <w:jc w:val="center"/>
              <w:rPr>
                <w:rFonts w:ascii="Times New Roman"/>
                <w:sz w:val="21"/>
                <w:szCs w:val="21"/>
              </w:rPr>
            </w:pPr>
          </w:p>
        </w:tc>
        <w:tc>
          <w:tcPr>
            <w:tcW w:w="208" w:type="pct"/>
            <w:vAlign w:val="center"/>
          </w:tcPr>
          <w:p w14:paraId="44C60EC1">
            <w:pPr>
              <w:autoSpaceDE w:val="0"/>
              <w:autoSpaceDN w:val="0"/>
              <w:adjustRightInd w:val="0"/>
              <w:snapToGrid w:val="0"/>
              <w:jc w:val="center"/>
              <w:rPr>
                <w:rFonts w:ascii="Times New Roman"/>
                <w:sz w:val="21"/>
                <w:szCs w:val="21"/>
              </w:rPr>
            </w:pPr>
            <w:r>
              <w:rPr>
                <w:rFonts w:ascii="Times New Roman"/>
                <w:sz w:val="21"/>
                <w:szCs w:val="21"/>
              </w:rPr>
              <w:t>460</w:t>
            </w:r>
          </w:p>
        </w:tc>
        <w:tc>
          <w:tcPr>
            <w:tcW w:w="201" w:type="pct"/>
            <w:vAlign w:val="center"/>
          </w:tcPr>
          <w:p w14:paraId="13A36E5B">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3F045CAB">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68EFA20">
            <w:pPr>
              <w:autoSpaceDE w:val="0"/>
              <w:autoSpaceDN w:val="0"/>
              <w:adjustRightInd w:val="0"/>
              <w:snapToGrid w:val="0"/>
              <w:jc w:val="center"/>
              <w:rPr>
                <w:rFonts w:ascii="Times New Roman"/>
                <w:sz w:val="21"/>
                <w:szCs w:val="21"/>
              </w:rPr>
            </w:pPr>
            <w:r>
              <w:rPr>
                <w:rFonts w:ascii="Times New Roman"/>
                <w:sz w:val="21"/>
                <w:szCs w:val="21"/>
              </w:rPr>
              <w:t>79.98</w:t>
            </w:r>
          </w:p>
        </w:tc>
        <w:tc>
          <w:tcPr>
            <w:tcW w:w="358" w:type="pct"/>
            <w:vAlign w:val="center"/>
          </w:tcPr>
          <w:p w14:paraId="6AFE057B">
            <w:pPr>
              <w:autoSpaceDE w:val="0"/>
              <w:autoSpaceDN w:val="0"/>
              <w:adjustRightInd w:val="0"/>
              <w:snapToGrid w:val="0"/>
              <w:jc w:val="center"/>
              <w:rPr>
                <w:rFonts w:ascii="Times New Roman"/>
                <w:sz w:val="21"/>
                <w:szCs w:val="21"/>
              </w:rPr>
            </w:pPr>
            <w:r>
              <w:rPr>
                <w:rFonts w:ascii="Times New Roman"/>
                <w:sz w:val="21"/>
                <w:szCs w:val="21"/>
              </w:rPr>
              <w:t>42</w:t>
            </w:r>
          </w:p>
        </w:tc>
        <w:tc>
          <w:tcPr>
            <w:tcW w:w="316" w:type="pct"/>
            <w:vMerge w:val="continue"/>
            <w:vAlign w:val="center"/>
          </w:tcPr>
          <w:p w14:paraId="1BEC4F5F">
            <w:pPr>
              <w:autoSpaceDE w:val="0"/>
              <w:autoSpaceDN w:val="0"/>
              <w:adjustRightInd w:val="0"/>
              <w:snapToGrid w:val="0"/>
              <w:jc w:val="center"/>
              <w:rPr>
                <w:rFonts w:ascii="Times New Roman"/>
                <w:sz w:val="21"/>
                <w:szCs w:val="21"/>
              </w:rPr>
            </w:pPr>
          </w:p>
        </w:tc>
        <w:tc>
          <w:tcPr>
            <w:tcW w:w="551" w:type="pct"/>
            <w:vAlign w:val="center"/>
          </w:tcPr>
          <w:p w14:paraId="3A4553E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3726723">
            <w:pPr>
              <w:autoSpaceDE w:val="0"/>
              <w:autoSpaceDN w:val="0"/>
              <w:adjustRightInd w:val="0"/>
              <w:snapToGrid w:val="0"/>
              <w:jc w:val="center"/>
              <w:rPr>
                <w:rFonts w:ascii="Times New Roman"/>
                <w:sz w:val="21"/>
                <w:szCs w:val="21"/>
              </w:rPr>
            </w:pPr>
          </w:p>
        </w:tc>
        <w:tc>
          <w:tcPr>
            <w:tcW w:w="287" w:type="pct"/>
            <w:vMerge w:val="continue"/>
            <w:vAlign w:val="center"/>
          </w:tcPr>
          <w:p w14:paraId="5C950613">
            <w:pPr>
              <w:autoSpaceDE w:val="0"/>
              <w:autoSpaceDN w:val="0"/>
              <w:adjustRightInd w:val="0"/>
              <w:snapToGrid w:val="0"/>
              <w:jc w:val="center"/>
              <w:rPr>
                <w:rFonts w:ascii="Times New Roman"/>
                <w:sz w:val="21"/>
                <w:szCs w:val="21"/>
              </w:rPr>
            </w:pPr>
          </w:p>
        </w:tc>
        <w:tc>
          <w:tcPr>
            <w:tcW w:w="434" w:type="pct"/>
            <w:vMerge w:val="continue"/>
            <w:vAlign w:val="center"/>
          </w:tcPr>
          <w:p w14:paraId="6AB7C348">
            <w:pPr>
              <w:autoSpaceDE w:val="0"/>
              <w:autoSpaceDN w:val="0"/>
              <w:adjustRightInd w:val="0"/>
              <w:snapToGrid w:val="0"/>
              <w:jc w:val="center"/>
              <w:rPr>
                <w:rFonts w:ascii="Times New Roman"/>
                <w:sz w:val="21"/>
                <w:szCs w:val="21"/>
              </w:rPr>
            </w:pPr>
          </w:p>
        </w:tc>
      </w:tr>
      <w:tr w14:paraId="0404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2C6E713C">
            <w:pPr>
              <w:autoSpaceDE w:val="0"/>
              <w:autoSpaceDN w:val="0"/>
              <w:adjustRightInd w:val="0"/>
              <w:snapToGrid w:val="0"/>
              <w:jc w:val="center"/>
              <w:rPr>
                <w:rFonts w:ascii="Times New Roman"/>
                <w:sz w:val="21"/>
                <w:szCs w:val="21"/>
              </w:rPr>
            </w:pPr>
          </w:p>
        </w:tc>
        <w:tc>
          <w:tcPr>
            <w:tcW w:w="697" w:type="pct"/>
            <w:vAlign w:val="center"/>
          </w:tcPr>
          <w:p w14:paraId="6CC6CD1D">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4C7F08F2">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8997E15">
            <w:pPr>
              <w:autoSpaceDE w:val="0"/>
              <w:autoSpaceDN w:val="0"/>
              <w:adjustRightInd w:val="0"/>
              <w:snapToGrid w:val="0"/>
              <w:jc w:val="center"/>
              <w:rPr>
                <w:rFonts w:ascii="Times New Roman"/>
                <w:sz w:val="21"/>
                <w:szCs w:val="21"/>
              </w:rPr>
            </w:pPr>
          </w:p>
        </w:tc>
        <w:tc>
          <w:tcPr>
            <w:tcW w:w="208" w:type="pct"/>
            <w:vAlign w:val="center"/>
          </w:tcPr>
          <w:p w14:paraId="7C909BEA">
            <w:pPr>
              <w:autoSpaceDE w:val="0"/>
              <w:autoSpaceDN w:val="0"/>
              <w:adjustRightInd w:val="0"/>
              <w:snapToGrid w:val="0"/>
              <w:jc w:val="center"/>
              <w:rPr>
                <w:rFonts w:ascii="Times New Roman"/>
                <w:sz w:val="21"/>
                <w:szCs w:val="21"/>
              </w:rPr>
            </w:pPr>
            <w:r>
              <w:rPr>
                <w:rFonts w:ascii="Times New Roman"/>
                <w:sz w:val="21"/>
                <w:szCs w:val="21"/>
              </w:rPr>
              <w:t>355</w:t>
            </w:r>
          </w:p>
        </w:tc>
        <w:tc>
          <w:tcPr>
            <w:tcW w:w="201" w:type="pct"/>
            <w:vAlign w:val="center"/>
          </w:tcPr>
          <w:p w14:paraId="00E49AE8">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1F7C92F9">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10F8E2CE">
            <w:pPr>
              <w:autoSpaceDE w:val="0"/>
              <w:autoSpaceDN w:val="0"/>
              <w:adjustRightInd w:val="0"/>
              <w:snapToGrid w:val="0"/>
              <w:jc w:val="center"/>
              <w:rPr>
                <w:rFonts w:ascii="Times New Roman"/>
                <w:sz w:val="21"/>
                <w:szCs w:val="21"/>
              </w:rPr>
            </w:pPr>
            <w:r>
              <w:rPr>
                <w:rFonts w:ascii="Times New Roman"/>
                <w:sz w:val="21"/>
                <w:szCs w:val="21"/>
              </w:rPr>
              <w:t>114.6</w:t>
            </w:r>
          </w:p>
        </w:tc>
        <w:tc>
          <w:tcPr>
            <w:tcW w:w="358" w:type="pct"/>
            <w:vAlign w:val="center"/>
          </w:tcPr>
          <w:p w14:paraId="6F5E7E5B">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54B80B53">
            <w:pPr>
              <w:autoSpaceDE w:val="0"/>
              <w:autoSpaceDN w:val="0"/>
              <w:adjustRightInd w:val="0"/>
              <w:snapToGrid w:val="0"/>
              <w:jc w:val="center"/>
              <w:rPr>
                <w:rFonts w:ascii="Times New Roman"/>
                <w:sz w:val="21"/>
                <w:szCs w:val="21"/>
              </w:rPr>
            </w:pPr>
          </w:p>
        </w:tc>
        <w:tc>
          <w:tcPr>
            <w:tcW w:w="551" w:type="pct"/>
            <w:vAlign w:val="center"/>
          </w:tcPr>
          <w:p w14:paraId="05A63ED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F569BA6">
            <w:pPr>
              <w:autoSpaceDE w:val="0"/>
              <w:autoSpaceDN w:val="0"/>
              <w:adjustRightInd w:val="0"/>
              <w:snapToGrid w:val="0"/>
              <w:jc w:val="center"/>
              <w:rPr>
                <w:rFonts w:ascii="Times New Roman"/>
                <w:sz w:val="21"/>
                <w:szCs w:val="21"/>
              </w:rPr>
            </w:pPr>
          </w:p>
        </w:tc>
        <w:tc>
          <w:tcPr>
            <w:tcW w:w="287" w:type="pct"/>
            <w:vMerge w:val="continue"/>
            <w:vAlign w:val="center"/>
          </w:tcPr>
          <w:p w14:paraId="1061E3F2">
            <w:pPr>
              <w:autoSpaceDE w:val="0"/>
              <w:autoSpaceDN w:val="0"/>
              <w:adjustRightInd w:val="0"/>
              <w:snapToGrid w:val="0"/>
              <w:jc w:val="center"/>
              <w:rPr>
                <w:rFonts w:ascii="Times New Roman"/>
                <w:sz w:val="21"/>
                <w:szCs w:val="21"/>
              </w:rPr>
            </w:pPr>
          </w:p>
        </w:tc>
        <w:tc>
          <w:tcPr>
            <w:tcW w:w="434" w:type="pct"/>
            <w:vMerge w:val="continue"/>
            <w:vAlign w:val="center"/>
          </w:tcPr>
          <w:p w14:paraId="67F581CB">
            <w:pPr>
              <w:autoSpaceDE w:val="0"/>
              <w:autoSpaceDN w:val="0"/>
              <w:adjustRightInd w:val="0"/>
              <w:snapToGrid w:val="0"/>
              <w:jc w:val="center"/>
              <w:rPr>
                <w:rFonts w:ascii="Times New Roman"/>
                <w:sz w:val="21"/>
                <w:szCs w:val="21"/>
              </w:rPr>
            </w:pPr>
          </w:p>
        </w:tc>
      </w:tr>
      <w:tr w14:paraId="21C3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02235B4">
            <w:pPr>
              <w:autoSpaceDE w:val="0"/>
              <w:autoSpaceDN w:val="0"/>
              <w:adjustRightInd w:val="0"/>
              <w:snapToGrid w:val="0"/>
              <w:jc w:val="center"/>
              <w:rPr>
                <w:rFonts w:ascii="Times New Roman"/>
                <w:sz w:val="21"/>
                <w:szCs w:val="21"/>
              </w:rPr>
            </w:pPr>
          </w:p>
        </w:tc>
        <w:tc>
          <w:tcPr>
            <w:tcW w:w="697" w:type="pct"/>
            <w:vAlign w:val="center"/>
          </w:tcPr>
          <w:p w14:paraId="417B854E">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759027A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8AD9B5D">
            <w:pPr>
              <w:autoSpaceDE w:val="0"/>
              <w:autoSpaceDN w:val="0"/>
              <w:adjustRightInd w:val="0"/>
              <w:snapToGrid w:val="0"/>
              <w:jc w:val="center"/>
              <w:rPr>
                <w:rFonts w:ascii="Times New Roman"/>
                <w:sz w:val="21"/>
                <w:szCs w:val="21"/>
              </w:rPr>
            </w:pPr>
          </w:p>
        </w:tc>
        <w:tc>
          <w:tcPr>
            <w:tcW w:w="208" w:type="pct"/>
            <w:vAlign w:val="center"/>
          </w:tcPr>
          <w:p w14:paraId="4D1718E1">
            <w:pPr>
              <w:autoSpaceDE w:val="0"/>
              <w:autoSpaceDN w:val="0"/>
              <w:adjustRightInd w:val="0"/>
              <w:snapToGrid w:val="0"/>
              <w:jc w:val="center"/>
              <w:rPr>
                <w:rFonts w:ascii="Times New Roman"/>
                <w:sz w:val="21"/>
                <w:szCs w:val="21"/>
              </w:rPr>
            </w:pPr>
            <w:r>
              <w:rPr>
                <w:rFonts w:ascii="Times New Roman"/>
                <w:sz w:val="21"/>
                <w:szCs w:val="21"/>
              </w:rPr>
              <w:t>365</w:t>
            </w:r>
          </w:p>
        </w:tc>
        <w:tc>
          <w:tcPr>
            <w:tcW w:w="201" w:type="pct"/>
            <w:vAlign w:val="center"/>
          </w:tcPr>
          <w:p w14:paraId="34CCB2FD">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2E2AF57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4ED26D96">
            <w:pPr>
              <w:autoSpaceDE w:val="0"/>
              <w:autoSpaceDN w:val="0"/>
              <w:adjustRightInd w:val="0"/>
              <w:snapToGrid w:val="0"/>
              <w:jc w:val="center"/>
              <w:rPr>
                <w:rFonts w:ascii="Times New Roman"/>
                <w:sz w:val="21"/>
                <w:szCs w:val="21"/>
              </w:rPr>
            </w:pPr>
            <w:r>
              <w:rPr>
                <w:rFonts w:ascii="Times New Roman"/>
                <w:sz w:val="21"/>
                <w:szCs w:val="21"/>
              </w:rPr>
              <w:t>114.6</w:t>
            </w:r>
          </w:p>
        </w:tc>
        <w:tc>
          <w:tcPr>
            <w:tcW w:w="358" w:type="pct"/>
            <w:vAlign w:val="center"/>
          </w:tcPr>
          <w:p w14:paraId="58FBADC6">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7CCEA224">
            <w:pPr>
              <w:autoSpaceDE w:val="0"/>
              <w:autoSpaceDN w:val="0"/>
              <w:adjustRightInd w:val="0"/>
              <w:snapToGrid w:val="0"/>
              <w:jc w:val="center"/>
              <w:rPr>
                <w:rFonts w:ascii="Times New Roman"/>
                <w:sz w:val="21"/>
                <w:szCs w:val="21"/>
              </w:rPr>
            </w:pPr>
          </w:p>
        </w:tc>
        <w:tc>
          <w:tcPr>
            <w:tcW w:w="551" w:type="pct"/>
            <w:vAlign w:val="center"/>
          </w:tcPr>
          <w:p w14:paraId="1FEFC51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CD340CF">
            <w:pPr>
              <w:autoSpaceDE w:val="0"/>
              <w:autoSpaceDN w:val="0"/>
              <w:adjustRightInd w:val="0"/>
              <w:snapToGrid w:val="0"/>
              <w:jc w:val="center"/>
              <w:rPr>
                <w:rFonts w:ascii="Times New Roman"/>
                <w:sz w:val="21"/>
                <w:szCs w:val="21"/>
              </w:rPr>
            </w:pPr>
          </w:p>
        </w:tc>
        <w:tc>
          <w:tcPr>
            <w:tcW w:w="287" w:type="pct"/>
            <w:vMerge w:val="continue"/>
            <w:vAlign w:val="center"/>
          </w:tcPr>
          <w:p w14:paraId="5B9EB021">
            <w:pPr>
              <w:autoSpaceDE w:val="0"/>
              <w:autoSpaceDN w:val="0"/>
              <w:adjustRightInd w:val="0"/>
              <w:snapToGrid w:val="0"/>
              <w:jc w:val="center"/>
              <w:rPr>
                <w:rFonts w:ascii="Times New Roman"/>
                <w:sz w:val="21"/>
                <w:szCs w:val="21"/>
              </w:rPr>
            </w:pPr>
          </w:p>
        </w:tc>
        <w:tc>
          <w:tcPr>
            <w:tcW w:w="434" w:type="pct"/>
            <w:vMerge w:val="continue"/>
            <w:vAlign w:val="center"/>
          </w:tcPr>
          <w:p w14:paraId="74A635DE">
            <w:pPr>
              <w:autoSpaceDE w:val="0"/>
              <w:autoSpaceDN w:val="0"/>
              <w:adjustRightInd w:val="0"/>
              <w:snapToGrid w:val="0"/>
              <w:jc w:val="center"/>
              <w:rPr>
                <w:rFonts w:ascii="Times New Roman"/>
                <w:sz w:val="21"/>
                <w:szCs w:val="21"/>
              </w:rPr>
            </w:pPr>
          </w:p>
        </w:tc>
      </w:tr>
      <w:tr w14:paraId="1F3F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06C94AC">
            <w:pPr>
              <w:autoSpaceDE w:val="0"/>
              <w:autoSpaceDN w:val="0"/>
              <w:adjustRightInd w:val="0"/>
              <w:snapToGrid w:val="0"/>
              <w:jc w:val="center"/>
              <w:rPr>
                <w:rFonts w:ascii="Times New Roman"/>
                <w:sz w:val="21"/>
                <w:szCs w:val="21"/>
              </w:rPr>
            </w:pPr>
          </w:p>
        </w:tc>
        <w:tc>
          <w:tcPr>
            <w:tcW w:w="697" w:type="pct"/>
            <w:vAlign w:val="center"/>
          </w:tcPr>
          <w:p w14:paraId="4BEED65B">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CB86153">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61C4CC12">
            <w:pPr>
              <w:autoSpaceDE w:val="0"/>
              <w:autoSpaceDN w:val="0"/>
              <w:adjustRightInd w:val="0"/>
              <w:snapToGrid w:val="0"/>
              <w:jc w:val="center"/>
              <w:rPr>
                <w:rFonts w:ascii="Times New Roman"/>
                <w:sz w:val="21"/>
                <w:szCs w:val="21"/>
              </w:rPr>
            </w:pPr>
          </w:p>
        </w:tc>
        <w:tc>
          <w:tcPr>
            <w:tcW w:w="208" w:type="pct"/>
            <w:vAlign w:val="center"/>
          </w:tcPr>
          <w:p w14:paraId="1576C7EF">
            <w:pPr>
              <w:autoSpaceDE w:val="0"/>
              <w:autoSpaceDN w:val="0"/>
              <w:adjustRightInd w:val="0"/>
              <w:snapToGrid w:val="0"/>
              <w:jc w:val="center"/>
              <w:rPr>
                <w:rFonts w:ascii="Times New Roman"/>
                <w:sz w:val="21"/>
                <w:szCs w:val="21"/>
              </w:rPr>
            </w:pPr>
            <w:r>
              <w:rPr>
                <w:rFonts w:ascii="Times New Roman"/>
                <w:sz w:val="21"/>
                <w:szCs w:val="21"/>
              </w:rPr>
              <w:t>385</w:t>
            </w:r>
          </w:p>
        </w:tc>
        <w:tc>
          <w:tcPr>
            <w:tcW w:w="201" w:type="pct"/>
            <w:vAlign w:val="center"/>
          </w:tcPr>
          <w:p w14:paraId="4D2D7B6D">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7961C57C">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6FD21607">
            <w:pPr>
              <w:autoSpaceDE w:val="0"/>
              <w:autoSpaceDN w:val="0"/>
              <w:adjustRightInd w:val="0"/>
              <w:snapToGrid w:val="0"/>
              <w:jc w:val="center"/>
              <w:rPr>
                <w:rFonts w:ascii="Times New Roman"/>
                <w:sz w:val="21"/>
                <w:szCs w:val="21"/>
              </w:rPr>
            </w:pPr>
            <w:r>
              <w:rPr>
                <w:rFonts w:ascii="Times New Roman"/>
                <w:sz w:val="21"/>
                <w:szCs w:val="21"/>
              </w:rPr>
              <w:t>114.6</w:t>
            </w:r>
          </w:p>
        </w:tc>
        <w:tc>
          <w:tcPr>
            <w:tcW w:w="358" w:type="pct"/>
            <w:vAlign w:val="center"/>
          </w:tcPr>
          <w:p w14:paraId="27651134">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3149704C">
            <w:pPr>
              <w:autoSpaceDE w:val="0"/>
              <w:autoSpaceDN w:val="0"/>
              <w:adjustRightInd w:val="0"/>
              <w:snapToGrid w:val="0"/>
              <w:jc w:val="center"/>
              <w:rPr>
                <w:rFonts w:ascii="Times New Roman"/>
                <w:sz w:val="21"/>
                <w:szCs w:val="21"/>
              </w:rPr>
            </w:pPr>
          </w:p>
        </w:tc>
        <w:tc>
          <w:tcPr>
            <w:tcW w:w="551" w:type="pct"/>
            <w:vAlign w:val="center"/>
          </w:tcPr>
          <w:p w14:paraId="614BB4F3">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06330B3F">
            <w:pPr>
              <w:autoSpaceDE w:val="0"/>
              <w:autoSpaceDN w:val="0"/>
              <w:adjustRightInd w:val="0"/>
              <w:snapToGrid w:val="0"/>
              <w:jc w:val="center"/>
              <w:rPr>
                <w:rFonts w:ascii="Times New Roman"/>
                <w:sz w:val="21"/>
                <w:szCs w:val="21"/>
              </w:rPr>
            </w:pPr>
          </w:p>
        </w:tc>
        <w:tc>
          <w:tcPr>
            <w:tcW w:w="287" w:type="pct"/>
            <w:vMerge w:val="continue"/>
            <w:vAlign w:val="center"/>
          </w:tcPr>
          <w:p w14:paraId="634DCE7F">
            <w:pPr>
              <w:autoSpaceDE w:val="0"/>
              <w:autoSpaceDN w:val="0"/>
              <w:adjustRightInd w:val="0"/>
              <w:snapToGrid w:val="0"/>
              <w:jc w:val="center"/>
              <w:rPr>
                <w:rFonts w:ascii="Times New Roman"/>
                <w:sz w:val="21"/>
                <w:szCs w:val="21"/>
              </w:rPr>
            </w:pPr>
          </w:p>
        </w:tc>
        <w:tc>
          <w:tcPr>
            <w:tcW w:w="434" w:type="pct"/>
            <w:vMerge w:val="continue"/>
            <w:vAlign w:val="center"/>
          </w:tcPr>
          <w:p w14:paraId="12BA027C">
            <w:pPr>
              <w:autoSpaceDE w:val="0"/>
              <w:autoSpaceDN w:val="0"/>
              <w:adjustRightInd w:val="0"/>
              <w:snapToGrid w:val="0"/>
              <w:jc w:val="center"/>
              <w:rPr>
                <w:rFonts w:ascii="Times New Roman"/>
                <w:sz w:val="21"/>
                <w:szCs w:val="21"/>
              </w:rPr>
            </w:pPr>
          </w:p>
        </w:tc>
      </w:tr>
      <w:tr w14:paraId="7784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341FF1E">
            <w:pPr>
              <w:autoSpaceDE w:val="0"/>
              <w:autoSpaceDN w:val="0"/>
              <w:adjustRightInd w:val="0"/>
              <w:snapToGrid w:val="0"/>
              <w:jc w:val="center"/>
              <w:rPr>
                <w:rFonts w:ascii="Times New Roman"/>
                <w:sz w:val="21"/>
                <w:szCs w:val="21"/>
              </w:rPr>
            </w:pPr>
          </w:p>
        </w:tc>
        <w:tc>
          <w:tcPr>
            <w:tcW w:w="697" w:type="pct"/>
            <w:vAlign w:val="center"/>
          </w:tcPr>
          <w:p w14:paraId="41B9BE28">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B343B84">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3177E61A">
            <w:pPr>
              <w:autoSpaceDE w:val="0"/>
              <w:autoSpaceDN w:val="0"/>
              <w:adjustRightInd w:val="0"/>
              <w:snapToGrid w:val="0"/>
              <w:jc w:val="center"/>
              <w:rPr>
                <w:rFonts w:ascii="Times New Roman"/>
                <w:sz w:val="21"/>
                <w:szCs w:val="21"/>
              </w:rPr>
            </w:pPr>
          </w:p>
        </w:tc>
        <w:tc>
          <w:tcPr>
            <w:tcW w:w="208" w:type="pct"/>
            <w:vAlign w:val="center"/>
          </w:tcPr>
          <w:p w14:paraId="097191F5">
            <w:pPr>
              <w:autoSpaceDE w:val="0"/>
              <w:autoSpaceDN w:val="0"/>
              <w:adjustRightInd w:val="0"/>
              <w:snapToGrid w:val="0"/>
              <w:jc w:val="center"/>
              <w:rPr>
                <w:rFonts w:ascii="Times New Roman"/>
                <w:sz w:val="21"/>
                <w:szCs w:val="21"/>
              </w:rPr>
            </w:pPr>
            <w:r>
              <w:rPr>
                <w:rFonts w:ascii="Times New Roman"/>
                <w:sz w:val="21"/>
                <w:szCs w:val="21"/>
              </w:rPr>
              <w:t>390</w:t>
            </w:r>
          </w:p>
        </w:tc>
        <w:tc>
          <w:tcPr>
            <w:tcW w:w="201" w:type="pct"/>
            <w:vAlign w:val="center"/>
          </w:tcPr>
          <w:p w14:paraId="76BDD54A">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3BA93B02">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581E5371">
            <w:pPr>
              <w:autoSpaceDE w:val="0"/>
              <w:autoSpaceDN w:val="0"/>
              <w:adjustRightInd w:val="0"/>
              <w:snapToGrid w:val="0"/>
              <w:jc w:val="center"/>
              <w:rPr>
                <w:rFonts w:ascii="Times New Roman"/>
                <w:sz w:val="21"/>
                <w:szCs w:val="21"/>
              </w:rPr>
            </w:pPr>
            <w:r>
              <w:rPr>
                <w:rFonts w:ascii="Times New Roman"/>
                <w:sz w:val="21"/>
                <w:szCs w:val="21"/>
              </w:rPr>
              <w:t>114.6</w:t>
            </w:r>
          </w:p>
        </w:tc>
        <w:tc>
          <w:tcPr>
            <w:tcW w:w="358" w:type="pct"/>
            <w:vAlign w:val="center"/>
          </w:tcPr>
          <w:p w14:paraId="1FE985C7">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512A5C89">
            <w:pPr>
              <w:autoSpaceDE w:val="0"/>
              <w:autoSpaceDN w:val="0"/>
              <w:adjustRightInd w:val="0"/>
              <w:snapToGrid w:val="0"/>
              <w:jc w:val="center"/>
              <w:rPr>
                <w:rFonts w:ascii="Times New Roman"/>
                <w:sz w:val="21"/>
                <w:szCs w:val="21"/>
              </w:rPr>
            </w:pPr>
          </w:p>
        </w:tc>
        <w:tc>
          <w:tcPr>
            <w:tcW w:w="551" w:type="pct"/>
            <w:vAlign w:val="center"/>
          </w:tcPr>
          <w:p w14:paraId="1CB3CEC4">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7944D69D">
            <w:pPr>
              <w:autoSpaceDE w:val="0"/>
              <w:autoSpaceDN w:val="0"/>
              <w:adjustRightInd w:val="0"/>
              <w:snapToGrid w:val="0"/>
              <w:jc w:val="center"/>
              <w:rPr>
                <w:rFonts w:ascii="Times New Roman"/>
                <w:sz w:val="21"/>
                <w:szCs w:val="21"/>
              </w:rPr>
            </w:pPr>
          </w:p>
        </w:tc>
        <w:tc>
          <w:tcPr>
            <w:tcW w:w="287" w:type="pct"/>
            <w:vMerge w:val="continue"/>
            <w:vAlign w:val="center"/>
          </w:tcPr>
          <w:p w14:paraId="7D13EAFB">
            <w:pPr>
              <w:autoSpaceDE w:val="0"/>
              <w:autoSpaceDN w:val="0"/>
              <w:adjustRightInd w:val="0"/>
              <w:snapToGrid w:val="0"/>
              <w:jc w:val="center"/>
              <w:rPr>
                <w:rFonts w:ascii="Times New Roman"/>
                <w:sz w:val="21"/>
                <w:szCs w:val="21"/>
              </w:rPr>
            </w:pPr>
          </w:p>
        </w:tc>
        <w:tc>
          <w:tcPr>
            <w:tcW w:w="434" w:type="pct"/>
            <w:vMerge w:val="continue"/>
            <w:vAlign w:val="center"/>
          </w:tcPr>
          <w:p w14:paraId="44CB9372">
            <w:pPr>
              <w:autoSpaceDE w:val="0"/>
              <w:autoSpaceDN w:val="0"/>
              <w:adjustRightInd w:val="0"/>
              <w:snapToGrid w:val="0"/>
              <w:jc w:val="center"/>
              <w:rPr>
                <w:rFonts w:ascii="Times New Roman"/>
                <w:sz w:val="21"/>
                <w:szCs w:val="21"/>
              </w:rPr>
            </w:pPr>
          </w:p>
        </w:tc>
      </w:tr>
      <w:tr w14:paraId="39E1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8FA75EF">
            <w:pPr>
              <w:autoSpaceDE w:val="0"/>
              <w:autoSpaceDN w:val="0"/>
              <w:adjustRightInd w:val="0"/>
              <w:snapToGrid w:val="0"/>
              <w:jc w:val="center"/>
              <w:rPr>
                <w:rFonts w:ascii="Times New Roman"/>
                <w:sz w:val="21"/>
                <w:szCs w:val="21"/>
              </w:rPr>
            </w:pPr>
          </w:p>
        </w:tc>
        <w:tc>
          <w:tcPr>
            <w:tcW w:w="697" w:type="pct"/>
            <w:vAlign w:val="center"/>
          </w:tcPr>
          <w:p w14:paraId="67573A6D">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1B6CFE79">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49ABE66B">
            <w:pPr>
              <w:autoSpaceDE w:val="0"/>
              <w:autoSpaceDN w:val="0"/>
              <w:adjustRightInd w:val="0"/>
              <w:snapToGrid w:val="0"/>
              <w:jc w:val="center"/>
              <w:rPr>
                <w:rFonts w:ascii="Times New Roman"/>
                <w:sz w:val="21"/>
                <w:szCs w:val="21"/>
              </w:rPr>
            </w:pPr>
          </w:p>
        </w:tc>
        <w:tc>
          <w:tcPr>
            <w:tcW w:w="208" w:type="pct"/>
            <w:vAlign w:val="center"/>
          </w:tcPr>
          <w:p w14:paraId="721F2280">
            <w:pPr>
              <w:autoSpaceDE w:val="0"/>
              <w:autoSpaceDN w:val="0"/>
              <w:adjustRightInd w:val="0"/>
              <w:snapToGrid w:val="0"/>
              <w:jc w:val="center"/>
              <w:rPr>
                <w:rFonts w:ascii="Times New Roman"/>
                <w:sz w:val="21"/>
                <w:szCs w:val="21"/>
              </w:rPr>
            </w:pPr>
            <w:r>
              <w:rPr>
                <w:rFonts w:ascii="Times New Roman"/>
                <w:sz w:val="21"/>
                <w:szCs w:val="21"/>
              </w:rPr>
              <w:t>410</w:t>
            </w:r>
          </w:p>
        </w:tc>
        <w:tc>
          <w:tcPr>
            <w:tcW w:w="201" w:type="pct"/>
            <w:vAlign w:val="center"/>
          </w:tcPr>
          <w:p w14:paraId="142FC535">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1852744F">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37C1ADD1">
            <w:pPr>
              <w:autoSpaceDE w:val="0"/>
              <w:autoSpaceDN w:val="0"/>
              <w:adjustRightInd w:val="0"/>
              <w:snapToGrid w:val="0"/>
              <w:jc w:val="center"/>
              <w:rPr>
                <w:rFonts w:ascii="Times New Roman"/>
                <w:sz w:val="21"/>
                <w:szCs w:val="21"/>
              </w:rPr>
            </w:pPr>
            <w:r>
              <w:rPr>
                <w:rFonts w:ascii="Times New Roman"/>
                <w:sz w:val="21"/>
                <w:szCs w:val="21"/>
              </w:rPr>
              <w:t>114.6</w:t>
            </w:r>
          </w:p>
        </w:tc>
        <w:tc>
          <w:tcPr>
            <w:tcW w:w="358" w:type="pct"/>
            <w:vAlign w:val="center"/>
          </w:tcPr>
          <w:p w14:paraId="7EBE6AC8">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42A7C0C8">
            <w:pPr>
              <w:autoSpaceDE w:val="0"/>
              <w:autoSpaceDN w:val="0"/>
              <w:adjustRightInd w:val="0"/>
              <w:snapToGrid w:val="0"/>
              <w:jc w:val="center"/>
              <w:rPr>
                <w:rFonts w:ascii="Times New Roman"/>
                <w:sz w:val="21"/>
                <w:szCs w:val="21"/>
              </w:rPr>
            </w:pPr>
          </w:p>
        </w:tc>
        <w:tc>
          <w:tcPr>
            <w:tcW w:w="551" w:type="pct"/>
            <w:vAlign w:val="center"/>
          </w:tcPr>
          <w:p w14:paraId="14423BDF">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AE21505">
            <w:pPr>
              <w:autoSpaceDE w:val="0"/>
              <w:autoSpaceDN w:val="0"/>
              <w:adjustRightInd w:val="0"/>
              <w:snapToGrid w:val="0"/>
              <w:jc w:val="center"/>
              <w:rPr>
                <w:rFonts w:ascii="Times New Roman"/>
                <w:sz w:val="21"/>
                <w:szCs w:val="21"/>
              </w:rPr>
            </w:pPr>
          </w:p>
        </w:tc>
        <w:tc>
          <w:tcPr>
            <w:tcW w:w="287" w:type="pct"/>
            <w:vMerge w:val="continue"/>
            <w:vAlign w:val="center"/>
          </w:tcPr>
          <w:p w14:paraId="39A3C14C">
            <w:pPr>
              <w:autoSpaceDE w:val="0"/>
              <w:autoSpaceDN w:val="0"/>
              <w:adjustRightInd w:val="0"/>
              <w:snapToGrid w:val="0"/>
              <w:jc w:val="center"/>
              <w:rPr>
                <w:rFonts w:ascii="Times New Roman"/>
                <w:sz w:val="21"/>
                <w:szCs w:val="21"/>
              </w:rPr>
            </w:pPr>
          </w:p>
        </w:tc>
        <w:tc>
          <w:tcPr>
            <w:tcW w:w="434" w:type="pct"/>
            <w:vMerge w:val="continue"/>
            <w:vAlign w:val="center"/>
          </w:tcPr>
          <w:p w14:paraId="1D20BD70">
            <w:pPr>
              <w:autoSpaceDE w:val="0"/>
              <w:autoSpaceDN w:val="0"/>
              <w:adjustRightInd w:val="0"/>
              <w:snapToGrid w:val="0"/>
              <w:jc w:val="center"/>
              <w:rPr>
                <w:rFonts w:ascii="Times New Roman"/>
                <w:sz w:val="21"/>
                <w:szCs w:val="21"/>
              </w:rPr>
            </w:pPr>
          </w:p>
        </w:tc>
      </w:tr>
      <w:tr w14:paraId="3D4F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2158BB2">
            <w:pPr>
              <w:autoSpaceDE w:val="0"/>
              <w:autoSpaceDN w:val="0"/>
              <w:adjustRightInd w:val="0"/>
              <w:snapToGrid w:val="0"/>
              <w:jc w:val="center"/>
              <w:rPr>
                <w:rFonts w:ascii="Times New Roman"/>
                <w:sz w:val="21"/>
                <w:szCs w:val="21"/>
              </w:rPr>
            </w:pPr>
          </w:p>
        </w:tc>
        <w:tc>
          <w:tcPr>
            <w:tcW w:w="697" w:type="pct"/>
            <w:vAlign w:val="center"/>
          </w:tcPr>
          <w:p w14:paraId="2DA557AB">
            <w:pPr>
              <w:autoSpaceDE w:val="0"/>
              <w:autoSpaceDN w:val="0"/>
              <w:adjustRightInd w:val="0"/>
              <w:snapToGrid w:val="0"/>
              <w:jc w:val="center"/>
              <w:rPr>
                <w:rFonts w:ascii="Times New Roman"/>
                <w:sz w:val="21"/>
                <w:szCs w:val="21"/>
              </w:rPr>
            </w:pPr>
            <w:r>
              <w:rPr>
                <w:rFonts w:ascii="Times New Roman"/>
                <w:sz w:val="21"/>
                <w:szCs w:val="21"/>
              </w:rPr>
              <w:t>磁力钻</w:t>
            </w:r>
          </w:p>
        </w:tc>
        <w:tc>
          <w:tcPr>
            <w:tcW w:w="346" w:type="pct"/>
            <w:vAlign w:val="center"/>
          </w:tcPr>
          <w:p w14:paraId="0C46E54A">
            <w:pPr>
              <w:autoSpaceDE w:val="0"/>
              <w:autoSpaceDN w:val="0"/>
              <w:adjustRightInd w:val="0"/>
              <w:snapToGrid w:val="0"/>
              <w:jc w:val="center"/>
              <w:rPr>
                <w:rFonts w:ascii="Times New Roman"/>
                <w:sz w:val="21"/>
                <w:szCs w:val="21"/>
              </w:rPr>
            </w:pPr>
            <w:r>
              <w:rPr>
                <w:rFonts w:ascii="Times New Roman"/>
                <w:sz w:val="21"/>
                <w:szCs w:val="21"/>
              </w:rPr>
              <w:t>80</w:t>
            </w:r>
          </w:p>
        </w:tc>
        <w:tc>
          <w:tcPr>
            <w:tcW w:w="307" w:type="pct"/>
            <w:vMerge w:val="continue"/>
            <w:vAlign w:val="center"/>
          </w:tcPr>
          <w:p w14:paraId="0F27FCD4">
            <w:pPr>
              <w:autoSpaceDE w:val="0"/>
              <w:autoSpaceDN w:val="0"/>
              <w:adjustRightInd w:val="0"/>
              <w:snapToGrid w:val="0"/>
              <w:jc w:val="center"/>
              <w:rPr>
                <w:rFonts w:ascii="Times New Roman"/>
                <w:sz w:val="21"/>
                <w:szCs w:val="21"/>
              </w:rPr>
            </w:pPr>
          </w:p>
        </w:tc>
        <w:tc>
          <w:tcPr>
            <w:tcW w:w="208" w:type="pct"/>
            <w:vAlign w:val="center"/>
          </w:tcPr>
          <w:p w14:paraId="7389EA37">
            <w:pPr>
              <w:autoSpaceDE w:val="0"/>
              <w:autoSpaceDN w:val="0"/>
              <w:adjustRightInd w:val="0"/>
              <w:snapToGrid w:val="0"/>
              <w:jc w:val="center"/>
              <w:rPr>
                <w:rFonts w:ascii="Times New Roman"/>
                <w:sz w:val="21"/>
                <w:szCs w:val="21"/>
              </w:rPr>
            </w:pPr>
            <w:r>
              <w:rPr>
                <w:rFonts w:ascii="Times New Roman"/>
                <w:sz w:val="21"/>
                <w:szCs w:val="21"/>
              </w:rPr>
              <w:t>420</w:t>
            </w:r>
          </w:p>
        </w:tc>
        <w:tc>
          <w:tcPr>
            <w:tcW w:w="201" w:type="pct"/>
            <w:vAlign w:val="center"/>
          </w:tcPr>
          <w:p w14:paraId="73C963D5">
            <w:pPr>
              <w:autoSpaceDE w:val="0"/>
              <w:autoSpaceDN w:val="0"/>
              <w:adjustRightInd w:val="0"/>
              <w:snapToGrid w:val="0"/>
              <w:jc w:val="center"/>
              <w:rPr>
                <w:rFonts w:ascii="Times New Roman"/>
                <w:sz w:val="21"/>
                <w:szCs w:val="21"/>
              </w:rPr>
            </w:pPr>
            <w:r>
              <w:rPr>
                <w:rFonts w:ascii="Times New Roman"/>
                <w:sz w:val="21"/>
                <w:szCs w:val="21"/>
              </w:rPr>
              <w:t>220</w:t>
            </w:r>
          </w:p>
        </w:tc>
        <w:tc>
          <w:tcPr>
            <w:tcW w:w="240" w:type="pct"/>
            <w:vAlign w:val="center"/>
          </w:tcPr>
          <w:p w14:paraId="7410EB86">
            <w:pPr>
              <w:autoSpaceDE w:val="0"/>
              <w:autoSpaceDN w:val="0"/>
              <w:adjustRightInd w:val="0"/>
              <w:snapToGrid w:val="0"/>
              <w:jc w:val="center"/>
              <w:rPr>
                <w:rFonts w:ascii="Times New Roman"/>
                <w:sz w:val="21"/>
                <w:szCs w:val="21"/>
              </w:rPr>
            </w:pPr>
            <w:r>
              <w:rPr>
                <w:rFonts w:ascii="Times New Roman"/>
                <w:sz w:val="21"/>
                <w:szCs w:val="21"/>
              </w:rPr>
              <w:t>0.6</w:t>
            </w:r>
          </w:p>
        </w:tc>
        <w:tc>
          <w:tcPr>
            <w:tcW w:w="346" w:type="pct"/>
            <w:vAlign w:val="center"/>
          </w:tcPr>
          <w:p w14:paraId="2DC5F3B8">
            <w:pPr>
              <w:autoSpaceDE w:val="0"/>
              <w:autoSpaceDN w:val="0"/>
              <w:adjustRightInd w:val="0"/>
              <w:snapToGrid w:val="0"/>
              <w:jc w:val="center"/>
              <w:rPr>
                <w:rFonts w:ascii="Times New Roman"/>
                <w:sz w:val="21"/>
                <w:szCs w:val="21"/>
              </w:rPr>
            </w:pPr>
            <w:r>
              <w:rPr>
                <w:rFonts w:ascii="Times New Roman"/>
                <w:sz w:val="21"/>
                <w:szCs w:val="21"/>
              </w:rPr>
              <w:t>114.6</w:t>
            </w:r>
          </w:p>
        </w:tc>
        <w:tc>
          <w:tcPr>
            <w:tcW w:w="358" w:type="pct"/>
            <w:vAlign w:val="center"/>
          </w:tcPr>
          <w:p w14:paraId="460E89C0">
            <w:pPr>
              <w:autoSpaceDE w:val="0"/>
              <w:autoSpaceDN w:val="0"/>
              <w:adjustRightInd w:val="0"/>
              <w:snapToGrid w:val="0"/>
              <w:jc w:val="center"/>
              <w:rPr>
                <w:rFonts w:ascii="Times New Roman"/>
                <w:sz w:val="21"/>
                <w:szCs w:val="21"/>
              </w:rPr>
            </w:pPr>
            <w:r>
              <w:rPr>
                <w:rFonts w:ascii="Times New Roman"/>
                <w:sz w:val="21"/>
                <w:szCs w:val="21"/>
              </w:rPr>
              <w:t>39</w:t>
            </w:r>
          </w:p>
        </w:tc>
        <w:tc>
          <w:tcPr>
            <w:tcW w:w="316" w:type="pct"/>
            <w:vMerge w:val="continue"/>
            <w:vAlign w:val="center"/>
          </w:tcPr>
          <w:p w14:paraId="0D6E521F">
            <w:pPr>
              <w:autoSpaceDE w:val="0"/>
              <w:autoSpaceDN w:val="0"/>
              <w:adjustRightInd w:val="0"/>
              <w:snapToGrid w:val="0"/>
              <w:jc w:val="center"/>
              <w:rPr>
                <w:rFonts w:ascii="Times New Roman"/>
                <w:sz w:val="21"/>
                <w:szCs w:val="21"/>
              </w:rPr>
            </w:pPr>
          </w:p>
        </w:tc>
        <w:tc>
          <w:tcPr>
            <w:tcW w:w="551" w:type="pct"/>
            <w:vAlign w:val="center"/>
          </w:tcPr>
          <w:p w14:paraId="54B38D69">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1BCC3F2E">
            <w:pPr>
              <w:autoSpaceDE w:val="0"/>
              <w:autoSpaceDN w:val="0"/>
              <w:adjustRightInd w:val="0"/>
              <w:snapToGrid w:val="0"/>
              <w:jc w:val="center"/>
              <w:rPr>
                <w:rFonts w:ascii="Times New Roman"/>
                <w:sz w:val="21"/>
                <w:szCs w:val="21"/>
              </w:rPr>
            </w:pPr>
          </w:p>
        </w:tc>
        <w:tc>
          <w:tcPr>
            <w:tcW w:w="287" w:type="pct"/>
            <w:vMerge w:val="continue"/>
            <w:vAlign w:val="center"/>
          </w:tcPr>
          <w:p w14:paraId="0B4E713D">
            <w:pPr>
              <w:autoSpaceDE w:val="0"/>
              <w:autoSpaceDN w:val="0"/>
              <w:adjustRightInd w:val="0"/>
              <w:snapToGrid w:val="0"/>
              <w:jc w:val="center"/>
              <w:rPr>
                <w:rFonts w:ascii="Times New Roman"/>
                <w:sz w:val="21"/>
                <w:szCs w:val="21"/>
              </w:rPr>
            </w:pPr>
          </w:p>
        </w:tc>
        <w:tc>
          <w:tcPr>
            <w:tcW w:w="434" w:type="pct"/>
            <w:vMerge w:val="continue"/>
            <w:vAlign w:val="center"/>
          </w:tcPr>
          <w:p w14:paraId="52B4430F">
            <w:pPr>
              <w:autoSpaceDE w:val="0"/>
              <w:autoSpaceDN w:val="0"/>
              <w:adjustRightInd w:val="0"/>
              <w:snapToGrid w:val="0"/>
              <w:jc w:val="center"/>
              <w:rPr>
                <w:rFonts w:ascii="Times New Roman"/>
                <w:sz w:val="21"/>
                <w:szCs w:val="21"/>
              </w:rPr>
            </w:pPr>
          </w:p>
        </w:tc>
      </w:tr>
      <w:tr w14:paraId="24FF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3B064179">
            <w:pPr>
              <w:autoSpaceDE w:val="0"/>
              <w:autoSpaceDN w:val="0"/>
              <w:adjustRightInd w:val="0"/>
              <w:snapToGrid w:val="0"/>
              <w:jc w:val="center"/>
              <w:rPr>
                <w:rFonts w:ascii="Times New Roman"/>
                <w:sz w:val="21"/>
                <w:szCs w:val="21"/>
              </w:rPr>
            </w:pPr>
          </w:p>
        </w:tc>
        <w:tc>
          <w:tcPr>
            <w:tcW w:w="697" w:type="pct"/>
            <w:vAlign w:val="center"/>
          </w:tcPr>
          <w:p w14:paraId="11C9F0DF">
            <w:pPr>
              <w:autoSpaceDE w:val="0"/>
              <w:autoSpaceDN w:val="0"/>
              <w:adjustRightInd w:val="0"/>
              <w:snapToGrid w:val="0"/>
              <w:jc w:val="center"/>
              <w:rPr>
                <w:rFonts w:ascii="Times New Roman"/>
                <w:sz w:val="21"/>
                <w:szCs w:val="21"/>
              </w:rPr>
            </w:pPr>
            <w:r>
              <w:rPr>
                <w:rFonts w:ascii="Times New Roman"/>
                <w:sz w:val="21"/>
                <w:szCs w:val="21"/>
              </w:rPr>
              <w:t>DA002风机</w:t>
            </w:r>
          </w:p>
        </w:tc>
        <w:tc>
          <w:tcPr>
            <w:tcW w:w="346" w:type="pct"/>
            <w:vAlign w:val="center"/>
          </w:tcPr>
          <w:p w14:paraId="1C6D32BC">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14E155CF">
            <w:pPr>
              <w:autoSpaceDE w:val="0"/>
              <w:autoSpaceDN w:val="0"/>
              <w:adjustRightInd w:val="0"/>
              <w:snapToGrid w:val="0"/>
              <w:jc w:val="center"/>
              <w:rPr>
                <w:rFonts w:ascii="Times New Roman"/>
                <w:sz w:val="21"/>
                <w:szCs w:val="21"/>
              </w:rPr>
            </w:pPr>
          </w:p>
        </w:tc>
        <w:tc>
          <w:tcPr>
            <w:tcW w:w="208" w:type="pct"/>
            <w:vAlign w:val="center"/>
          </w:tcPr>
          <w:p w14:paraId="5AB08A16">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5F678718">
            <w:pPr>
              <w:autoSpaceDE w:val="0"/>
              <w:autoSpaceDN w:val="0"/>
              <w:adjustRightInd w:val="0"/>
              <w:snapToGrid w:val="0"/>
              <w:jc w:val="center"/>
              <w:rPr>
                <w:rFonts w:ascii="Times New Roman"/>
                <w:sz w:val="21"/>
                <w:szCs w:val="21"/>
              </w:rPr>
            </w:pPr>
            <w:r>
              <w:rPr>
                <w:rFonts w:ascii="Times New Roman"/>
                <w:sz w:val="21"/>
                <w:szCs w:val="21"/>
              </w:rPr>
              <w:t>96</w:t>
            </w:r>
          </w:p>
        </w:tc>
        <w:tc>
          <w:tcPr>
            <w:tcW w:w="240" w:type="pct"/>
            <w:vAlign w:val="center"/>
          </w:tcPr>
          <w:p w14:paraId="159D946D">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593442CE">
            <w:pPr>
              <w:autoSpaceDE w:val="0"/>
              <w:autoSpaceDN w:val="0"/>
              <w:adjustRightInd w:val="0"/>
              <w:snapToGrid w:val="0"/>
              <w:jc w:val="center"/>
              <w:rPr>
                <w:rFonts w:ascii="Times New Roman"/>
                <w:sz w:val="21"/>
                <w:szCs w:val="21"/>
              </w:rPr>
            </w:pPr>
            <w:r>
              <w:rPr>
                <w:rFonts w:ascii="Times New Roman"/>
                <w:sz w:val="21"/>
                <w:szCs w:val="21"/>
              </w:rPr>
              <w:t>80.15</w:t>
            </w:r>
          </w:p>
        </w:tc>
        <w:tc>
          <w:tcPr>
            <w:tcW w:w="358" w:type="pct"/>
            <w:vAlign w:val="center"/>
          </w:tcPr>
          <w:p w14:paraId="746C5DB6">
            <w:pPr>
              <w:autoSpaceDE w:val="0"/>
              <w:autoSpaceDN w:val="0"/>
              <w:adjustRightInd w:val="0"/>
              <w:snapToGrid w:val="0"/>
              <w:jc w:val="center"/>
              <w:rPr>
                <w:rFonts w:ascii="Times New Roman"/>
                <w:sz w:val="21"/>
                <w:szCs w:val="21"/>
              </w:rPr>
            </w:pPr>
            <w:r>
              <w:rPr>
                <w:rFonts w:ascii="Times New Roman"/>
                <w:sz w:val="21"/>
                <w:szCs w:val="21"/>
              </w:rPr>
              <w:t>47</w:t>
            </w:r>
          </w:p>
        </w:tc>
        <w:tc>
          <w:tcPr>
            <w:tcW w:w="316" w:type="pct"/>
            <w:vMerge w:val="continue"/>
            <w:vAlign w:val="center"/>
          </w:tcPr>
          <w:p w14:paraId="276A36C9">
            <w:pPr>
              <w:autoSpaceDE w:val="0"/>
              <w:autoSpaceDN w:val="0"/>
              <w:adjustRightInd w:val="0"/>
              <w:snapToGrid w:val="0"/>
              <w:jc w:val="center"/>
              <w:rPr>
                <w:rFonts w:ascii="Times New Roman"/>
                <w:sz w:val="21"/>
                <w:szCs w:val="21"/>
              </w:rPr>
            </w:pPr>
          </w:p>
        </w:tc>
        <w:tc>
          <w:tcPr>
            <w:tcW w:w="551" w:type="pct"/>
            <w:vAlign w:val="center"/>
          </w:tcPr>
          <w:p w14:paraId="5384DCA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42F96A15">
            <w:pPr>
              <w:autoSpaceDE w:val="0"/>
              <w:autoSpaceDN w:val="0"/>
              <w:adjustRightInd w:val="0"/>
              <w:snapToGrid w:val="0"/>
              <w:jc w:val="center"/>
              <w:rPr>
                <w:rFonts w:ascii="Times New Roman"/>
                <w:sz w:val="21"/>
                <w:szCs w:val="21"/>
              </w:rPr>
            </w:pPr>
          </w:p>
        </w:tc>
        <w:tc>
          <w:tcPr>
            <w:tcW w:w="287" w:type="pct"/>
            <w:vMerge w:val="continue"/>
            <w:vAlign w:val="center"/>
          </w:tcPr>
          <w:p w14:paraId="33CD347C">
            <w:pPr>
              <w:autoSpaceDE w:val="0"/>
              <w:autoSpaceDN w:val="0"/>
              <w:adjustRightInd w:val="0"/>
              <w:snapToGrid w:val="0"/>
              <w:jc w:val="center"/>
              <w:rPr>
                <w:rFonts w:ascii="Times New Roman"/>
                <w:sz w:val="21"/>
                <w:szCs w:val="21"/>
              </w:rPr>
            </w:pPr>
          </w:p>
        </w:tc>
        <w:tc>
          <w:tcPr>
            <w:tcW w:w="434" w:type="pct"/>
            <w:vMerge w:val="continue"/>
            <w:vAlign w:val="center"/>
          </w:tcPr>
          <w:p w14:paraId="41D72CC8">
            <w:pPr>
              <w:autoSpaceDE w:val="0"/>
              <w:autoSpaceDN w:val="0"/>
              <w:adjustRightInd w:val="0"/>
              <w:snapToGrid w:val="0"/>
              <w:jc w:val="center"/>
              <w:rPr>
                <w:rFonts w:ascii="Times New Roman"/>
                <w:sz w:val="21"/>
                <w:szCs w:val="21"/>
              </w:rPr>
            </w:pPr>
          </w:p>
        </w:tc>
      </w:tr>
      <w:tr w14:paraId="49A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753D78AA">
            <w:pPr>
              <w:autoSpaceDE w:val="0"/>
              <w:autoSpaceDN w:val="0"/>
              <w:adjustRightInd w:val="0"/>
              <w:snapToGrid w:val="0"/>
              <w:jc w:val="center"/>
              <w:rPr>
                <w:rFonts w:ascii="Times New Roman"/>
                <w:sz w:val="21"/>
                <w:szCs w:val="21"/>
              </w:rPr>
            </w:pPr>
          </w:p>
        </w:tc>
        <w:tc>
          <w:tcPr>
            <w:tcW w:w="697" w:type="pct"/>
            <w:vAlign w:val="center"/>
          </w:tcPr>
          <w:p w14:paraId="44B8F7F3">
            <w:pPr>
              <w:autoSpaceDE w:val="0"/>
              <w:autoSpaceDN w:val="0"/>
              <w:adjustRightInd w:val="0"/>
              <w:snapToGrid w:val="0"/>
              <w:jc w:val="center"/>
              <w:rPr>
                <w:rFonts w:ascii="Times New Roman"/>
                <w:sz w:val="21"/>
                <w:szCs w:val="21"/>
              </w:rPr>
            </w:pPr>
            <w:r>
              <w:rPr>
                <w:rFonts w:ascii="Times New Roman"/>
                <w:sz w:val="21"/>
                <w:szCs w:val="21"/>
              </w:rPr>
              <w:t>DA003风机</w:t>
            </w:r>
          </w:p>
        </w:tc>
        <w:tc>
          <w:tcPr>
            <w:tcW w:w="346" w:type="pct"/>
            <w:vAlign w:val="center"/>
          </w:tcPr>
          <w:p w14:paraId="0D3AAC4E">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3085FC66">
            <w:pPr>
              <w:autoSpaceDE w:val="0"/>
              <w:autoSpaceDN w:val="0"/>
              <w:adjustRightInd w:val="0"/>
              <w:snapToGrid w:val="0"/>
              <w:jc w:val="center"/>
              <w:rPr>
                <w:rFonts w:ascii="Times New Roman"/>
                <w:sz w:val="21"/>
                <w:szCs w:val="21"/>
              </w:rPr>
            </w:pPr>
          </w:p>
        </w:tc>
        <w:tc>
          <w:tcPr>
            <w:tcW w:w="208" w:type="pct"/>
            <w:vAlign w:val="center"/>
          </w:tcPr>
          <w:p w14:paraId="66D0F9AB">
            <w:pPr>
              <w:autoSpaceDE w:val="0"/>
              <w:autoSpaceDN w:val="0"/>
              <w:adjustRightInd w:val="0"/>
              <w:snapToGrid w:val="0"/>
              <w:jc w:val="center"/>
              <w:rPr>
                <w:rFonts w:ascii="Times New Roman"/>
                <w:sz w:val="21"/>
                <w:szCs w:val="21"/>
              </w:rPr>
            </w:pPr>
            <w:r>
              <w:rPr>
                <w:rFonts w:ascii="Times New Roman"/>
                <w:sz w:val="21"/>
                <w:szCs w:val="21"/>
              </w:rPr>
              <w:t>330</w:t>
            </w:r>
          </w:p>
        </w:tc>
        <w:tc>
          <w:tcPr>
            <w:tcW w:w="201" w:type="pct"/>
            <w:vAlign w:val="center"/>
          </w:tcPr>
          <w:p w14:paraId="61223F43">
            <w:pPr>
              <w:autoSpaceDE w:val="0"/>
              <w:autoSpaceDN w:val="0"/>
              <w:adjustRightInd w:val="0"/>
              <w:snapToGrid w:val="0"/>
              <w:jc w:val="center"/>
              <w:rPr>
                <w:rFonts w:ascii="Times New Roman"/>
                <w:sz w:val="21"/>
                <w:szCs w:val="21"/>
              </w:rPr>
            </w:pPr>
            <w:r>
              <w:rPr>
                <w:rFonts w:ascii="Times New Roman"/>
                <w:sz w:val="21"/>
                <w:szCs w:val="21"/>
              </w:rPr>
              <w:t>270</w:t>
            </w:r>
          </w:p>
        </w:tc>
        <w:tc>
          <w:tcPr>
            <w:tcW w:w="240" w:type="pct"/>
            <w:vAlign w:val="center"/>
          </w:tcPr>
          <w:p w14:paraId="5E87DF5B">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61C9C051">
            <w:pPr>
              <w:autoSpaceDE w:val="0"/>
              <w:autoSpaceDN w:val="0"/>
              <w:adjustRightInd w:val="0"/>
              <w:snapToGrid w:val="0"/>
              <w:jc w:val="center"/>
              <w:rPr>
                <w:rFonts w:ascii="Times New Roman"/>
                <w:sz w:val="21"/>
                <w:szCs w:val="21"/>
              </w:rPr>
            </w:pPr>
            <w:r>
              <w:rPr>
                <w:rFonts w:ascii="Times New Roman"/>
                <w:sz w:val="21"/>
                <w:szCs w:val="21"/>
              </w:rPr>
              <w:t>64.6</w:t>
            </w:r>
          </w:p>
        </w:tc>
        <w:tc>
          <w:tcPr>
            <w:tcW w:w="358" w:type="pct"/>
            <w:vAlign w:val="center"/>
          </w:tcPr>
          <w:p w14:paraId="73011D4C">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7516FCA4">
            <w:pPr>
              <w:autoSpaceDE w:val="0"/>
              <w:autoSpaceDN w:val="0"/>
              <w:adjustRightInd w:val="0"/>
              <w:snapToGrid w:val="0"/>
              <w:jc w:val="center"/>
              <w:rPr>
                <w:rFonts w:ascii="Times New Roman"/>
                <w:sz w:val="21"/>
                <w:szCs w:val="21"/>
              </w:rPr>
            </w:pPr>
          </w:p>
        </w:tc>
        <w:tc>
          <w:tcPr>
            <w:tcW w:w="551" w:type="pct"/>
            <w:vAlign w:val="center"/>
          </w:tcPr>
          <w:p w14:paraId="0BDECF25">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6B6C4447">
            <w:pPr>
              <w:autoSpaceDE w:val="0"/>
              <w:autoSpaceDN w:val="0"/>
              <w:adjustRightInd w:val="0"/>
              <w:snapToGrid w:val="0"/>
              <w:jc w:val="center"/>
              <w:rPr>
                <w:rFonts w:ascii="Times New Roman"/>
                <w:sz w:val="21"/>
                <w:szCs w:val="21"/>
              </w:rPr>
            </w:pPr>
          </w:p>
        </w:tc>
        <w:tc>
          <w:tcPr>
            <w:tcW w:w="287" w:type="pct"/>
            <w:vMerge w:val="continue"/>
            <w:vAlign w:val="center"/>
          </w:tcPr>
          <w:p w14:paraId="2F348115">
            <w:pPr>
              <w:autoSpaceDE w:val="0"/>
              <w:autoSpaceDN w:val="0"/>
              <w:adjustRightInd w:val="0"/>
              <w:snapToGrid w:val="0"/>
              <w:jc w:val="center"/>
              <w:rPr>
                <w:rFonts w:ascii="Times New Roman"/>
                <w:sz w:val="21"/>
                <w:szCs w:val="21"/>
              </w:rPr>
            </w:pPr>
          </w:p>
        </w:tc>
        <w:tc>
          <w:tcPr>
            <w:tcW w:w="434" w:type="pct"/>
            <w:vMerge w:val="continue"/>
            <w:vAlign w:val="center"/>
          </w:tcPr>
          <w:p w14:paraId="58E6F7EE">
            <w:pPr>
              <w:autoSpaceDE w:val="0"/>
              <w:autoSpaceDN w:val="0"/>
              <w:adjustRightInd w:val="0"/>
              <w:snapToGrid w:val="0"/>
              <w:jc w:val="center"/>
              <w:rPr>
                <w:rFonts w:ascii="Times New Roman"/>
                <w:sz w:val="21"/>
                <w:szCs w:val="21"/>
              </w:rPr>
            </w:pPr>
          </w:p>
        </w:tc>
      </w:tr>
      <w:tr w14:paraId="135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5888FA69">
            <w:pPr>
              <w:autoSpaceDE w:val="0"/>
              <w:autoSpaceDN w:val="0"/>
              <w:adjustRightInd w:val="0"/>
              <w:snapToGrid w:val="0"/>
              <w:jc w:val="center"/>
              <w:rPr>
                <w:rFonts w:ascii="Times New Roman"/>
                <w:sz w:val="21"/>
                <w:szCs w:val="21"/>
              </w:rPr>
            </w:pPr>
          </w:p>
        </w:tc>
        <w:tc>
          <w:tcPr>
            <w:tcW w:w="697" w:type="pct"/>
            <w:vAlign w:val="center"/>
          </w:tcPr>
          <w:p w14:paraId="61284C09">
            <w:pPr>
              <w:autoSpaceDE w:val="0"/>
              <w:autoSpaceDN w:val="0"/>
              <w:adjustRightInd w:val="0"/>
              <w:snapToGrid w:val="0"/>
              <w:jc w:val="center"/>
              <w:rPr>
                <w:rFonts w:ascii="Times New Roman"/>
                <w:sz w:val="21"/>
                <w:szCs w:val="21"/>
              </w:rPr>
            </w:pPr>
            <w:r>
              <w:rPr>
                <w:rFonts w:ascii="Times New Roman"/>
                <w:sz w:val="21"/>
                <w:szCs w:val="21"/>
              </w:rPr>
              <w:t>DA004风机</w:t>
            </w:r>
          </w:p>
        </w:tc>
        <w:tc>
          <w:tcPr>
            <w:tcW w:w="346" w:type="pct"/>
            <w:vAlign w:val="center"/>
          </w:tcPr>
          <w:p w14:paraId="77BD981F">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29A36C7A">
            <w:pPr>
              <w:autoSpaceDE w:val="0"/>
              <w:autoSpaceDN w:val="0"/>
              <w:adjustRightInd w:val="0"/>
              <w:snapToGrid w:val="0"/>
              <w:jc w:val="center"/>
              <w:rPr>
                <w:rFonts w:ascii="Times New Roman"/>
                <w:sz w:val="21"/>
                <w:szCs w:val="21"/>
              </w:rPr>
            </w:pPr>
          </w:p>
        </w:tc>
        <w:tc>
          <w:tcPr>
            <w:tcW w:w="208" w:type="pct"/>
            <w:vAlign w:val="center"/>
          </w:tcPr>
          <w:p w14:paraId="72EFA0AB">
            <w:pPr>
              <w:autoSpaceDE w:val="0"/>
              <w:autoSpaceDN w:val="0"/>
              <w:adjustRightInd w:val="0"/>
              <w:snapToGrid w:val="0"/>
              <w:jc w:val="center"/>
              <w:rPr>
                <w:rFonts w:ascii="Times New Roman"/>
                <w:sz w:val="21"/>
                <w:szCs w:val="21"/>
              </w:rPr>
            </w:pPr>
            <w:r>
              <w:rPr>
                <w:rFonts w:ascii="Times New Roman"/>
                <w:sz w:val="21"/>
                <w:szCs w:val="21"/>
              </w:rPr>
              <w:t>450</w:t>
            </w:r>
          </w:p>
        </w:tc>
        <w:tc>
          <w:tcPr>
            <w:tcW w:w="201" w:type="pct"/>
            <w:vAlign w:val="center"/>
          </w:tcPr>
          <w:p w14:paraId="3FFA5E47">
            <w:pPr>
              <w:autoSpaceDE w:val="0"/>
              <w:autoSpaceDN w:val="0"/>
              <w:adjustRightInd w:val="0"/>
              <w:snapToGrid w:val="0"/>
              <w:jc w:val="center"/>
              <w:rPr>
                <w:rFonts w:ascii="Times New Roman"/>
                <w:sz w:val="21"/>
                <w:szCs w:val="21"/>
              </w:rPr>
            </w:pPr>
            <w:r>
              <w:rPr>
                <w:rFonts w:ascii="Times New Roman"/>
                <w:sz w:val="21"/>
                <w:szCs w:val="21"/>
              </w:rPr>
              <w:t>270</w:t>
            </w:r>
          </w:p>
        </w:tc>
        <w:tc>
          <w:tcPr>
            <w:tcW w:w="240" w:type="pct"/>
            <w:vAlign w:val="center"/>
          </w:tcPr>
          <w:p w14:paraId="14FFA2F5">
            <w:pPr>
              <w:autoSpaceDE w:val="0"/>
              <w:autoSpaceDN w:val="0"/>
              <w:adjustRightInd w:val="0"/>
              <w:snapToGrid w:val="0"/>
              <w:jc w:val="center"/>
              <w:rPr>
                <w:rFonts w:ascii="Times New Roman"/>
                <w:sz w:val="21"/>
                <w:szCs w:val="21"/>
              </w:rPr>
            </w:pPr>
            <w:r>
              <w:rPr>
                <w:rFonts w:ascii="Times New Roman"/>
                <w:sz w:val="21"/>
                <w:szCs w:val="21"/>
              </w:rPr>
              <w:t>0.5</w:t>
            </w:r>
          </w:p>
        </w:tc>
        <w:tc>
          <w:tcPr>
            <w:tcW w:w="346" w:type="pct"/>
            <w:vAlign w:val="center"/>
          </w:tcPr>
          <w:p w14:paraId="7005B317">
            <w:pPr>
              <w:autoSpaceDE w:val="0"/>
              <w:autoSpaceDN w:val="0"/>
              <w:adjustRightInd w:val="0"/>
              <w:snapToGrid w:val="0"/>
              <w:jc w:val="center"/>
              <w:rPr>
                <w:rFonts w:ascii="Times New Roman"/>
                <w:sz w:val="21"/>
                <w:szCs w:val="21"/>
              </w:rPr>
            </w:pPr>
            <w:r>
              <w:rPr>
                <w:rFonts w:ascii="Times New Roman"/>
                <w:sz w:val="21"/>
                <w:szCs w:val="21"/>
              </w:rPr>
              <w:t>64.6</w:t>
            </w:r>
          </w:p>
        </w:tc>
        <w:tc>
          <w:tcPr>
            <w:tcW w:w="358" w:type="pct"/>
            <w:vAlign w:val="center"/>
          </w:tcPr>
          <w:p w14:paraId="3948D059">
            <w:pPr>
              <w:autoSpaceDE w:val="0"/>
              <w:autoSpaceDN w:val="0"/>
              <w:adjustRightInd w:val="0"/>
              <w:snapToGrid w:val="0"/>
              <w:jc w:val="center"/>
              <w:rPr>
                <w:rFonts w:ascii="Times New Roman"/>
                <w:sz w:val="21"/>
                <w:szCs w:val="21"/>
              </w:rPr>
            </w:pPr>
            <w:r>
              <w:rPr>
                <w:rFonts w:ascii="Times New Roman"/>
                <w:sz w:val="21"/>
                <w:szCs w:val="21"/>
              </w:rPr>
              <w:t>49</w:t>
            </w:r>
          </w:p>
        </w:tc>
        <w:tc>
          <w:tcPr>
            <w:tcW w:w="316" w:type="pct"/>
            <w:vMerge w:val="continue"/>
            <w:vAlign w:val="center"/>
          </w:tcPr>
          <w:p w14:paraId="51502796">
            <w:pPr>
              <w:autoSpaceDE w:val="0"/>
              <w:autoSpaceDN w:val="0"/>
              <w:adjustRightInd w:val="0"/>
              <w:snapToGrid w:val="0"/>
              <w:jc w:val="center"/>
              <w:rPr>
                <w:rFonts w:ascii="Times New Roman"/>
                <w:sz w:val="21"/>
                <w:szCs w:val="21"/>
              </w:rPr>
            </w:pPr>
          </w:p>
        </w:tc>
        <w:tc>
          <w:tcPr>
            <w:tcW w:w="551" w:type="pct"/>
            <w:vAlign w:val="center"/>
          </w:tcPr>
          <w:p w14:paraId="02D8BC61">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32935CB7">
            <w:pPr>
              <w:autoSpaceDE w:val="0"/>
              <w:autoSpaceDN w:val="0"/>
              <w:adjustRightInd w:val="0"/>
              <w:snapToGrid w:val="0"/>
              <w:jc w:val="center"/>
              <w:rPr>
                <w:rFonts w:ascii="Times New Roman"/>
                <w:sz w:val="21"/>
                <w:szCs w:val="21"/>
              </w:rPr>
            </w:pPr>
          </w:p>
        </w:tc>
        <w:tc>
          <w:tcPr>
            <w:tcW w:w="287" w:type="pct"/>
            <w:vMerge w:val="continue"/>
            <w:vAlign w:val="center"/>
          </w:tcPr>
          <w:p w14:paraId="7883529D">
            <w:pPr>
              <w:autoSpaceDE w:val="0"/>
              <w:autoSpaceDN w:val="0"/>
              <w:adjustRightInd w:val="0"/>
              <w:snapToGrid w:val="0"/>
              <w:jc w:val="center"/>
              <w:rPr>
                <w:rFonts w:ascii="Times New Roman"/>
                <w:sz w:val="21"/>
                <w:szCs w:val="21"/>
              </w:rPr>
            </w:pPr>
          </w:p>
        </w:tc>
        <w:tc>
          <w:tcPr>
            <w:tcW w:w="434" w:type="pct"/>
            <w:vMerge w:val="continue"/>
            <w:vAlign w:val="center"/>
          </w:tcPr>
          <w:p w14:paraId="76BEA057">
            <w:pPr>
              <w:autoSpaceDE w:val="0"/>
              <w:autoSpaceDN w:val="0"/>
              <w:adjustRightInd w:val="0"/>
              <w:snapToGrid w:val="0"/>
              <w:jc w:val="center"/>
              <w:rPr>
                <w:rFonts w:ascii="Times New Roman"/>
                <w:sz w:val="21"/>
                <w:szCs w:val="21"/>
              </w:rPr>
            </w:pPr>
          </w:p>
        </w:tc>
      </w:tr>
      <w:tr w14:paraId="20C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restart"/>
            <w:vAlign w:val="center"/>
          </w:tcPr>
          <w:p w14:paraId="181B3340">
            <w:pPr>
              <w:autoSpaceDE w:val="0"/>
              <w:autoSpaceDN w:val="0"/>
              <w:adjustRightInd w:val="0"/>
              <w:snapToGrid w:val="0"/>
              <w:jc w:val="center"/>
              <w:rPr>
                <w:rFonts w:ascii="Times New Roman"/>
                <w:sz w:val="21"/>
                <w:szCs w:val="21"/>
              </w:rPr>
            </w:pPr>
            <w:r>
              <w:rPr>
                <w:rFonts w:ascii="Times New Roman"/>
                <w:sz w:val="21"/>
                <w:szCs w:val="21"/>
              </w:rPr>
              <w:t>托辊及装配厂房</w:t>
            </w:r>
          </w:p>
        </w:tc>
        <w:tc>
          <w:tcPr>
            <w:tcW w:w="697" w:type="pct"/>
            <w:vAlign w:val="center"/>
          </w:tcPr>
          <w:p w14:paraId="2A5901C0">
            <w:pPr>
              <w:autoSpaceDE w:val="0"/>
              <w:autoSpaceDN w:val="0"/>
              <w:adjustRightInd w:val="0"/>
              <w:snapToGrid w:val="0"/>
              <w:jc w:val="center"/>
              <w:rPr>
                <w:rFonts w:ascii="Times New Roman"/>
                <w:sz w:val="21"/>
                <w:szCs w:val="21"/>
              </w:rPr>
            </w:pPr>
            <w:r>
              <w:rPr>
                <w:rFonts w:ascii="Times New Roman"/>
                <w:sz w:val="21"/>
                <w:szCs w:val="21"/>
              </w:rPr>
              <w:t>托盘堆垛机</w:t>
            </w:r>
          </w:p>
        </w:tc>
        <w:tc>
          <w:tcPr>
            <w:tcW w:w="346" w:type="pct"/>
            <w:vAlign w:val="center"/>
          </w:tcPr>
          <w:p w14:paraId="7ED32EAD">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168679D7">
            <w:pPr>
              <w:autoSpaceDE w:val="0"/>
              <w:autoSpaceDN w:val="0"/>
              <w:adjustRightInd w:val="0"/>
              <w:snapToGrid w:val="0"/>
              <w:jc w:val="center"/>
              <w:rPr>
                <w:rFonts w:ascii="Times New Roman"/>
                <w:sz w:val="21"/>
                <w:szCs w:val="21"/>
              </w:rPr>
            </w:pPr>
          </w:p>
        </w:tc>
        <w:tc>
          <w:tcPr>
            <w:tcW w:w="208" w:type="pct"/>
            <w:vAlign w:val="center"/>
          </w:tcPr>
          <w:p w14:paraId="5447A135">
            <w:pPr>
              <w:autoSpaceDE w:val="0"/>
              <w:autoSpaceDN w:val="0"/>
              <w:adjustRightInd w:val="0"/>
              <w:snapToGrid w:val="0"/>
              <w:jc w:val="center"/>
              <w:rPr>
                <w:rFonts w:ascii="Times New Roman"/>
                <w:sz w:val="21"/>
                <w:szCs w:val="21"/>
              </w:rPr>
            </w:pPr>
            <w:r>
              <w:rPr>
                <w:rFonts w:ascii="Times New Roman"/>
                <w:sz w:val="21"/>
                <w:szCs w:val="21"/>
              </w:rPr>
              <w:t>100</w:t>
            </w:r>
          </w:p>
        </w:tc>
        <w:tc>
          <w:tcPr>
            <w:tcW w:w="201" w:type="pct"/>
            <w:vAlign w:val="center"/>
          </w:tcPr>
          <w:p w14:paraId="4643F5E1">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6D7CFA8C">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180F25E7">
            <w:pPr>
              <w:autoSpaceDE w:val="0"/>
              <w:autoSpaceDN w:val="0"/>
              <w:adjustRightInd w:val="0"/>
              <w:snapToGrid w:val="0"/>
              <w:jc w:val="center"/>
              <w:rPr>
                <w:rFonts w:ascii="Times New Roman"/>
                <w:sz w:val="21"/>
                <w:szCs w:val="21"/>
              </w:rPr>
            </w:pPr>
            <w:r>
              <w:rPr>
                <w:rFonts w:ascii="Times New Roman"/>
                <w:sz w:val="21"/>
                <w:szCs w:val="21"/>
              </w:rPr>
              <w:t>38.66</w:t>
            </w:r>
          </w:p>
        </w:tc>
        <w:tc>
          <w:tcPr>
            <w:tcW w:w="358" w:type="pct"/>
            <w:vAlign w:val="center"/>
          </w:tcPr>
          <w:p w14:paraId="33E53177">
            <w:pPr>
              <w:autoSpaceDE w:val="0"/>
              <w:autoSpaceDN w:val="0"/>
              <w:adjustRightInd w:val="0"/>
              <w:snapToGrid w:val="0"/>
              <w:jc w:val="center"/>
              <w:rPr>
                <w:rFonts w:ascii="Times New Roman"/>
                <w:sz w:val="21"/>
                <w:szCs w:val="21"/>
              </w:rPr>
            </w:pPr>
            <w:r>
              <w:rPr>
                <w:rFonts w:ascii="Times New Roman"/>
                <w:sz w:val="21"/>
                <w:szCs w:val="21"/>
              </w:rPr>
              <w:t>43</w:t>
            </w:r>
          </w:p>
        </w:tc>
        <w:tc>
          <w:tcPr>
            <w:tcW w:w="316" w:type="pct"/>
            <w:vMerge w:val="continue"/>
            <w:vAlign w:val="center"/>
          </w:tcPr>
          <w:p w14:paraId="3809EFFD">
            <w:pPr>
              <w:autoSpaceDE w:val="0"/>
              <w:autoSpaceDN w:val="0"/>
              <w:adjustRightInd w:val="0"/>
              <w:snapToGrid w:val="0"/>
              <w:jc w:val="center"/>
              <w:rPr>
                <w:rFonts w:ascii="Times New Roman"/>
                <w:sz w:val="21"/>
                <w:szCs w:val="21"/>
              </w:rPr>
            </w:pPr>
          </w:p>
        </w:tc>
        <w:tc>
          <w:tcPr>
            <w:tcW w:w="551" w:type="pct"/>
            <w:vAlign w:val="center"/>
          </w:tcPr>
          <w:p w14:paraId="5DB7410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restart"/>
            <w:vAlign w:val="center"/>
          </w:tcPr>
          <w:p w14:paraId="3A0B9F00">
            <w:pPr>
              <w:autoSpaceDE w:val="0"/>
              <w:autoSpaceDN w:val="0"/>
              <w:adjustRightInd w:val="0"/>
              <w:snapToGrid w:val="0"/>
              <w:jc w:val="center"/>
              <w:rPr>
                <w:rFonts w:ascii="Times New Roman"/>
                <w:sz w:val="21"/>
                <w:szCs w:val="21"/>
              </w:rPr>
            </w:pPr>
            <w:r>
              <w:rPr>
                <w:rFonts w:ascii="Times New Roman"/>
                <w:sz w:val="21"/>
                <w:szCs w:val="21"/>
              </w:rPr>
              <w:t>东边界</w:t>
            </w:r>
          </w:p>
        </w:tc>
        <w:tc>
          <w:tcPr>
            <w:tcW w:w="287" w:type="pct"/>
            <w:vMerge w:val="restart"/>
            <w:vAlign w:val="center"/>
          </w:tcPr>
          <w:p w14:paraId="412CED2A">
            <w:pPr>
              <w:autoSpaceDE w:val="0"/>
              <w:autoSpaceDN w:val="0"/>
              <w:adjustRightInd w:val="0"/>
              <w:snapToGrid w:val="0"/>
              <w:jc w:val="center"/>
              <w:rPr>
                <w:rFonts w:ascii="Times New Roman"/>
                <w:sz w:val="21"/>
                <w:szCs w:val="21"/>
              </w:rPr>
            </w:pPr>
            <w:r>
              <w:rPr>
                <w:rFonts w:ascii="Times New Roman"/>
                <w:sz w:val="21"/>
                <w:szCs w:val="21"/>
              </w:rPr>
              <w:t>24.6</w:t>
            </w:r>
          </w:p>
        </w:tc>
        <w:tc>
          <w:tcPr>
            <w:tcW w:w="434" w:type="pct"/>
            <w:vMerge w:val="continue"/>
            <w:vAlign w:val="center"/>
          </w:tcPr>
          <w:p w14:paraId="66886AC5">
            <w:pPr>
              <w:autoSpaceDE w:val="0"/>
              <w:autoSpaceDN w:val="0"/>
              <w:adjustRightInd w:val="0"/>
              <w:snapToGrid w:val="0"/>
              <w:jc w:val="center"/>
              <w:rPr>
                <w:rFonts w:ascii="Times New Roman"/>
                <w:sz w:val="21"/>
                <w:szCs w:val="21"/>
              </w:rPr>
            </w:pPr>
          </w:p>
        </w:tc>
      </w:tr>
      <w:tr w14:paraId="56D6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1388AC32">
            <w:pPr>
              <w:autoSpaceDE w:val="0"/>
              <w:autoSpaceDN w:val="0"/>
              <w:adjustRightInd w:val="0"/>
              <w:snapToGrid w:val="0"/>
              <w:jc w:val="center"/>
              <w:rPr>
                <w:rFonts w:ascii="Times New Roman"/>
                <w:sz w:val="21"/>
                <w:szCs w:val="21"/>
              </w:rPr>
            </w:pPr>
          </w:p>
        </w:tc>
        <w:tc>
          <w:tcPr>
            <w:tcW w:w="697" w:type="pct"/>
            <w:vAlign w:val="center"/>
          </w:tcPr>
          <w:p w14:paraId="1FD91C4E">
            <w:pPr>
              <w:autoSpaceDE w:val="0"/>
              <w:autoSpaceDN w:val="0"/>
              <w:adjustRightInd w:val="0"/>
              <w:snapToGrid w:val="0"/>
              <w:jc w:val="center"/>
              <w:rPr>
                <w:rFonts w:ascii="Times New Roman"/>
                <w:sz w:val="21"/>
                <w:szCs w:val="21"/>
              </w:rPr>
            </w:pPr>
            <w:r>
              <w:rPr>
                <w:rFonts w:ascii="Times New Roman"/>
                <w:sz w:val="21"/>
                <w:szCs w:val="21"/>
              </w:rPr>
              <w:t>托盘堆垛机</w:t>
            </w:r>
          </w:p>
        </w:tc>
        <w:tc>
          <w:tcPr>
            <w:tcW w:w="346" w:type="pct"/>
            <w:vAlign w:val="center"/>
          </w:tcPr>
          <w:p w14:paraId="78B23C74">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7B18DF89">
            <w:pPr>
              <w:autoSpaceDE w:val="0"/>
              <w:autoSpaceDN w:val="0"/>
              <w:adjustRightInd w:val="0"/>
              <w:snapToGrid w:val="0"/>
              <w:jc w:val="center"/>
              <w:rPr>
                <w:rFonts w:ascii="Times New Roman"/>
                <w:sz w:val="21"/>
                <w:szCs w:val="21"/>
              </w:rPr>
            </w:pPr>
          </w:p>
        </w:tc>
        <w:tc>
          <w:tcPr>
            <w:tcW w:w="208" w:type="pct"/>
            <w:vAlign w:val="center"/>
          </w:tcPr>
          <w:p w14:paraId="183EFDF2">
            <w:pPr>
              <w:autoSpaceDE w:val="0"/>
              <w:autoSpaceDN w:val="0"/>
              <w:adjustRightInd w:val="0"/>
              <w:snapToGrid w:val="0"/>
              <w:jc w:val="center"/>
              <w:rPr>
                <w:rFonts w:ascii="Times New Roman"/>
                <w:sz w:val="21"/>
                <w:szCs w:val="21"/>
              </w:rPr>
            </w:pPr>
            <w:r>
              <w:rPr>
                <w:rFonts w:ascii="Times New Roman"/>
                <w:sz w:val="21"/>
                <w:szCs w:val="21"/>
              </w:rPr>
              <w:t>120</w:t>
            </w:r>
          </w:p>
        </w:tc>
        <w:tc>
          <w:tcPr>
            <w:tcW w:w="201" w:type="pct"/>
            <w:vAlign w:val="center"/>
          </w:tcPr>
          <w:p w14:paraId="38B65497">
            <w:pPr>
              <w:autoSpaceDE w:val="0"/>
              <w:autoSpaceDN w:val="0"/>
              <w:adjustRightInd w:val="0"/>
              <w:snapToGrid w:val="0"/>
              <w:jc w:val="center"/>
              <w:rPr>
                <w:rFonts w:ascii="Times New Roman"/>
                <w:sz w:val="21"/>
                <w:szCs w:val="21"/>
              </w:rPr>
            </w:pPr>
            <w:r>
              <w:rPr>
                <w:rFonts w:ascii="Times New Roman"/>
                <w:sz w:val="21"/>
                <w:szCs w:val="21"/>
              </w:rPr>
              <w:t>210</w:t>
            </w:r>
          </w:p>
        </w:tc>
        <w:tc>
          <w:tcPr>
            <w:tcW w:w="240" w:type="pct"/>
            <w:vAlign w:val="center"/>
          </w:tcPr>
          <w:p w14:paraId="0A020C22">
            <w:pPr>
              <w:autoSpaceDE w:val="0"/>
              <w:autoSpaceDN w:val="0"/>
              <w:adjustRightInd w:val="0"/>
              <w:snapToGrid w:val="0"/>
              <w:jc w:val="center"/>
              <w:rPr>
                <w:rFonts w:ascii="Times New Roman"/>
                <w:sz w:val="21"/>
                <w:szCs w:val="21"/>
              </w:rPr>
            </w:pPr>
            <w:r>
              <w:rPr>
                <w:rFonts w:ascii="Times New Roman"/>
                <w:sz w:val="21"/>
                <w:szCs w:val="21"/>
              </w:rPr>
              <w:t>0.8</w:t>
            </w:r>
          </w:p>
        </w:tc>
        <w:tc>
          <w:tcPr>
            <w:tcW w:w="346" w:type="pct"/>
            <w:vAlign w:val="center"/>
          </w:tcPr>
          <w:p w14:paraId="25E255DA">
            <w:pPr>
              <w:autoSpaceDE w:val="0"/>
              <w:autoSpaceDN w:val="0"/>
              <w:adjustRightInd w:val="0"/>
              <w:snapToGrid w:val="0"/>
              <w:jc w:val="center"/>
              <w:rPr>
                <w:rFonts w:ascii="Times New Roman"/>
                <w:sz w:val="21"/>
                <w:szCs w:val="21"/>
              </w:rPr>
            </w:pPr>
            <w:r>
              <w:rPr>
                <w:rFonts w:ascii="Times New Roman"/>
                <w:sz w:val="21"/>
                <w:szCs w:val="21"/>
              </w:rPr>
              <w:t>33.66</w:t>
            </w:r>
          </w:p>
        </w:tc>
        <w:tc>
          <w:tcPr>
            <w:tcW w:w="358" w:type="pct"/>
            <w:vAlign w:val="center"/>
          </w:tcPr>
          <w:p w14:paraId="13D93C2C">
            <w:pPr>
              <w:autoSpaceDE w:val="0"/>
              <w:autoSpaceDN w:val="0"/>
              <w:adjustRightInd w:val="0"/>
              <w:snapToGrid w:val="0"/>
              <w:jc w:val="center"/>
              <w:rPr>
                <w:rFonts w:ascii="Times New Roman"/>
                <w:sz w:val="21"/>
                <w:szCs w:val="21"/>
              </w:rPr>
            </w:pPr>
            <w:r>
              <w:rPr>
                <w:rFonts w:ascii="Times New Roman"/>
                <w:sz w:val="21"/>
                <w:szCs w:val="21"/>
              </w:rPr>
              <w:t>44</w:t>
            </w:r>
          </w:p>
        </w:tc>
        <w:tc>
          <w:tcPr>
            <w:tcW w:w="316" w:type="pct"/>
            <w:vMerge w:val="continue"/>
            <w:vAlign w:val="center"/>
          </w:tcPr>
          <w:p w14:paraId="6A2E7888">
            <w:pPr>
              <w:autoSpaceDE w:val="0"/>
              <w:autoSpaceDN w:val="0"/>
              <w:adjustRightInd w:val="0"/>
              <w:snapToGrid w:val="0"/>
              <w:jc w:val="center"/>
              <w:rPr>
                <w:rFonts w:ascii="Times New Roman"/>
                <w:sz w:val="21"/>
                <w:szCs w:val="21"/>
              </w:rPr>
            </w:pPr>
          </w:p>
        </w:tc>
        <w:tc>
          <w:tcPr>
            <w:tcW w:w="551" w:type="pct"/>
            <w:vAlign w:val="center"/>
          </w:tcPr>
          <w:p w14:paraId="214F9ABD">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Merge w:val="continue"/>
            <w:vAlign w:val="center"/>
          </w:tcPr>
          <w:p w14:paraId="21FF7D23">
            <w:pPr>
              <w:autoSpaceDE w:val="0"/>
              <w:autoSpaceDN w:val="0"/>
              <w:adjustRightInd w:val="0"/>
              <w:snapToGrid w:val="0"/>
              <w:jc w:val="center"/>
              <w:rPr>
                <w:rFonts w:ascii="Times New Roman"/>
                <w:sz w:val="21"/>
                <w:szCs w:val="21"/>
              </w:rPr>
            </w:pPr>
          </w:p>
        </w:tc>
        <w:tc>
          <w:tcPr>
            <w:tcW w:w="287" w:type="pct"/>
            <w:vMerge w:val="continue"/>
            <w:vAlign w:val="center"/>
          </w:tcPr>
          <w:p w14:paraId="6E25B421">
            <w:pPr>
              <w:autoSpaceDE w:val="0"/>
              <w:autoSpaceDN w:val="0"/>
              <w:adjustRightInd w:val="0"/>
              <w:snapToGrid w:val="0"/>
              <w:jc w:val="center"/>
              <w:rPr>
                <w:rFonts w:ascii="Times New Roman"/>
                <w:sz w:val="21"/>
                <w:szCs w:val="21"/>
              </w:rPr>
            </w:pPr>
          </w:p>
        </w:tc>
        <w:tc>
          <w:tcPr>
            <w:tcW w:w="434" w:type="pct"/>
            <w:vMerge w:val="continue"/>
            <w:vAlign w:val="center"/>
          </w:tcPr>
          <w:p w14:paraId="5C8CC1B1">
            <w:pPr>
              <w:autoSpaceDE w:val="0"/>
              <w:autoSpaceDN w:val="0"/>
              <w:adjustRightInd w:val="0"/>
              <w:snapToGrid w:val="0"/>
              <w:jc w:val="center"/>
              <w:rPr>
                <w:rFonts w:ascii="Times New Roman"/>
                <w:sz w:val="21"/>
                <w:szCs w:val="21"/>
              </w:rPr>
            </w:pPr>
          </w:p>
        </w:tc>
      </w:tr>
      <w:tr w14:paraId="4CB0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439" w:type="pct"/>
            <w:vMerge w:val="continue"/>
            <w:vAlign w:val="center"/>
          </w:tcPr>
          <w:p w14:paraId="6B0EADEA">
            <w:pPr>
              <w:autoSpaceDE w:val="0"/>
              <w:autoSpaceDN w:val="0"/>
              <w:adjustRightInd w:val="0"/>
              <w:snapToGrid w:val="0"/>
              <w:jc w:val="center"/>
              <w:rPr>
                <w:rFonts w:ascii="Times New Roman"/>
                <w:sz w:val="21"/>
                <w:szCs w:val="21"/>
              </w:rPr>
            </w:pPr>
          </w:p>
        </w:tc>
        <w:tc>
          <w:tcPr>
            <w:tcW w:w="697" w:type="pct"/>
            <w:vAlign w:val="center"/>
          </w:tcPr>
          <w:p w14:paraId="46A1046E">
            <w:pPr>
              <w:autoSpaceDE w:val="0"/>
              <w:autoSpaceDN w:val="0"/>
              <w:adjustRightInd w:val="0"/>
              <w:snapToGrid w:val="0"/>
              <w:jc w:val="center"/>
              <w:rPr>
                <w:rFonts w:ascii="Times New Roman"/>
                <w:sz w:val="21"/>
                <w:szCs w:val="21"/>
              </w:rPr>
            </w:pPr>
            <w:r>
              <w:rPr>
                <w:rFonts w:ascii="Times New Roman"/>
                <w:sz w:val="21"/>
                <w:szCs w:val="21"/>
              </w:rPr>
              <w:t>料箱堆垛机</w:t>
            </w:r>
          </w:p>
        </w:tc>
        <w:tc>
          <w:tcPr>
            <w:tcW w:w="346" w:type="pct"/>
            <w:vAlign w:val="center"/>
          </w:tcPr>
          <w:p w14:paraId="7961273D">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2362FB08">
            <w:pPr>
              <w:autoSpaceDE w:val="0"/>
              <w:autoSpaceDN w:val="0"/>
              <w:adjustRightInd w:val="0"/>
              <w:snapToGrid w:val="0"/>
              <w:jc w:val="center"/>
              <w:rPr>
                <w:rFonts w:ascii="Times New Roman"/>
                <w:sz w:val="21"/>
                <w:szCs w:val="21"/>
              </w:rPr>
            </w:pPr>
          </w:p>
        </w:tc>
        <w:tc>
          <w:tcPr>
            <w:tcW w:w="208" w:type="pct"/>
            <w:vAlign w:val="center"/>
          </w:tcPr>
          <w:p w14:paraId="60E595FE">
            <w:pPr>
              <w:autoSpaceDE w:val="0"/>
              <w:autoSpaceDN w:val="0"/>
              <w:adjustRightInd w:val="0"/>
              <w:snapToGrid w:val="0"/>
              <w:jc w:val="center"/>
              <w:rPr>
                <w:rFonts w:ascii="Times New Roman"/>
                <w:sz w:val="21"/>
                <w:szCs w:val="21"/>
              </w:rPr>
            </w:pPr>
            <w:r>
              <w:rPr>
                <w:rFonts w:ascii="Times New Roman"/>
                <w:sz w:val="21"/>
                <w:szCs w:val="21"/>
              </w:rPr>
              <w:t>100</w:t>
            </w:r>
          </w:p>
        </w:tc>
        <w:tc>
          <w:tcPr>
            <w:tcW w:w="201" w:type="pct"/>
            <w:vAlign w:val="center"/>
          </w:tcPr>
          <w:p w14:paraId="05277CD6">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29D7B259">
            <w:pPr>
              <w:autoSpaceDE w:val="0"/>
              <w:autoSpaceDN w:val="0"/>
              <w:adjustRightInd w:val="0"/>
              <w:snapToGrid w:val="0"/>
              <w:jc w:val="center"/>
              <w:rPr>
                <w:rFonts w:ascii="Times New Roman"/>
                <w:sz w:val="21"/>
                <w:szCs w:val="21"/>
              </w:rPr>
            </w:pPr>
            <w:r>
              <w:rPr>
                <w:rFonts w:ascii="Times New Roman"/>
                <w:sz w:val="21"/>
                <w:szCs w:val="21"/>
              </w:rPr>
              <w:t>0.9</w:t>
            </w:r>
          </w:p>
        </w:tc>
        <w:tc>
          <w:tcPr>
            <w:tcW w:w="346" w:type="pct"/>
            <w:vAlign w:val="center"/>
          </w:tcPr>
          <w:p w14:paraId="3D7A5640">
            <w:pPr>
              <w:autoSpaceDE w:val="0"/>
              <w:autoSpaceDN w:val="0"/>
              <w:adjustRightInd w:val="0"/>
              <w:snapToGrid w:val="0"/>
              <w:jc w:val="center"/>
              <w:rPr>
                <w:rFonts w:ascii="Times New Roman"/>
                <w:sz w:val="21"/>
                <w:szCs w:val="21"/>
              </w:rPr>
            </w:pPr>
            <w:r>
              <w:rPr>
                <w:rFonts w:ascii="Times New Roman"/>
                <w:sz w:val="21"/>
                <w:szCs w:val="21"/>
              </w:rPr>
              <w:t>33.66</w:t>
            </w:r>
          </w:p>
        </w:tc>
        <w:tc>
          <w:tcPr>
            <w:tcW w:w="358" w:type="pct"/>
            <w:vAlign w:val="center"/>
          </w:tcPr>
          <w:p w14:paraId="682A095F">
            <w:pPr>
              <w:autoSpaceDE w:val="0"/>
              <w:autoSpaceDN w:val="0"/>
              <w:adjustRightInd w:val="0"/>
              <w:snapToGrid w:val="0"/>
              <w:jc w:val="center"/>
              <w:rPr>
                <w:rFonts w:ascii="Times New Roman"/>
                <w:sz w:val="21"/>
                <w:szCs w:val="21"/>
              </w:rPr>
            </w:pPr>
            <w:r>
              <w:rPr>
                <w:rFonts w:ascii="Times New Roman"/>
                <w:sz w:val="21"/>
                <w:szCs w:val="21"/>
              </w:rPr>
              <w:t>44</w:t>
            </w:r>
          </w:p>
        </w:tc>
        <w:tc>
          <w:tcPr>
            <w:tcW w:w="316" w:type="pct"/>
            <w:vMerge w:val="continue"/>
            <w:vAlign w:val="center"/>
          </w:tcPr>
          <w:p w14:paraId="7A9C6FD0">
            <w:pPr>
              <w:autoSpaceDE w:val="0"/>
              <w:autoSpaceDN w:val="0"/>
              <w:adjustRightInd w:val="0"/>
              <w:snapToGrid w:val="0"/>
              <w:jc w:val="center"/>
              <w:rPr>
                <w:rFonts w:ascii="Times New Roman"/>
                <w:sz w:val="21"/>
                <w:szCs w:val="21"/>
              </w:rPr>
            </w:pPr>
          </w:p>
        </w:tc>
        <w:tc>
          <w:tcPr>
            <w:tcW w:w="551" w:type="pct"/>
            <w:vAlign w:val="center"/>
          </w:tcPr>
          <w:p w14:paraId="0359C396">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Align w:val="center"/>
          </w:tcPr>
          <w:p w14:paraId="7F1D04D9">
            <w:pPr>
              <w:autoSpaceDE w:val="0"/>
              <w:autoSpaceDN w:val="0"/>
              <w:adjustRightInd w:val="0"/>
              <w:snapToGrid w:val="0"/>
              <w:jc w:val="center"/>
              <w:rPr>
                <w:rFonts w:ascii="Times New Roman"/>
                <w:sz w:val="21"/>
                <w:szCs w:val="21"/>
              </w:rPr>
            </w:pPr>
            <w:r>
              <w:rPr>
                <w:rFonts w:ascii="Times New Roman"/>
                <w:sz w:val="21"/>
                <w:szCs w:val="21"/>
              </w:rPr>
              <w:t>南边界</w:t>
            </w:r>
          </w:p>
        </w:tc>
        <w:tc>
          <w:tcPr>
            <w:tcW w:w="287" w:type="pct"/>
            <w:vAlign w:val="center"/>
          </w:tcPr>
          <w:p w14:paraId="358EAC0B">
            <w:pPr>
              <w:autoSpaceDE w:val="0"/>
              <w:autoSpaceDN w:val="0"/>
              <w:adjustRightInd w:val="0"/>
              <w:snapToGrid w:val="0"/>
              <w:jc w:val="center"/>
              <w:rPr>
                <w:rFonts w:ascii="Times New Roman"/>
                <w:sz w:val="21"/>
                <w:szCs w:val="21"/>
              </w:rPr>
            </w:pPr>
            <w:r>
              <w:rPr>
                <w:rFonts w:ascii="Times New Roman"/>
                <w:sz w:val="21"/>
                <w:szCs w:val="21"/>
              </w:rPr>
              <w:t>30.5</w:t>
            </w:r>
          </w:p>
        </w:tc>
        <w:tc>
          <w:tcPr>
            <w:tcW w:w="434" w:type="pct"/>
            <w:vMerge w:val="continue"/>
            <w:vAlign w:val="center"/>
          </w:tcPr>
          <w:p w14:paraId="1323D593">
            <w:pPr>
              <w:autoSpaceDE w:val="0"/>
              <w:autoSpaceDN w:val="0"/>
              <w:adjustRightInd w:val="0"/>
              <w:snapToGrid w:val="0"/>
              <w:jc w:val="center"/>
              <w:rPr>
                <w:rFonts w:ascii="Times New Roman"/>
                <w:sz w:val="21"/>
                <w:szCs w:val="21"/>
              </w:rPr>
            </w:pPr>
          </w:p>
        </w:tc>
      </w:tr>
      <w:tr w14:paraId="165A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439" w:type="pct"/>
            <w:vMerge w:val="continue"/>
            <w:vAlign w:val="center"/>
          </w:tcPr>
          <w:p w14:paraId="1B492E48">
            <w:pPr>
              <w:autoSpaceDE w:val="0"/>
              <w:autoSpaceDN w:val="0"/>
              <w:adjustRightInd w:val="0"/>
              <w:snapToGrid w:val="0"/>
              <w:jc w:val="center"/>
              <w:rPr>
                <w:rFonts w:ascii="Times New Roman"/>
                <w:sz w:val="21"/>
                <w:szCs w:val="21"/>
              </w:rPr>
            </w:pPr>
          </w:p>
        </w:tc>
        <w:tc>
          <w:tcPr>
            <w:tcW w:w="697" w:type="pct"/>
            <w:vAlign w:val="center"/>
          </w:tcPr>
          <w:p w14:paraId="1186CFC9">
            <w:pPr>
              <w:autoSpaceDE w:val="0"/>
              <w:autoSpaceDN w:val="0"/>
              <w:adjustRightInd w:val="0"/>
              <w:snapToGrid w:val="0"/>
              <w:jc w:val="center"/>
              <w:rPr>
                <w:rFonts w:ascii="Times New Roman"/>
                <w:sz w:val="21"/>
                <w:szCs w:val="21"/>
              </w:rPr>
            </w:pPr>
            <w:r>
              <w:rPr>
                <w:rFonts w:ascii="Times New Roman"/>
                <w:sz w:val="21"/>
                <w:szCs w:val="21"/>
              </w:rPr>
              <w:t>料箱堆垛机</w:t>
            </w:r>
          </w:p>
        </w:tc>
        <w:tc>
          <w:tcPr>
            <w:tcW w:w="346" w:type="pct"/>
            <w:vAlign w:val="center"/>
          </w:tcPr>
          <w:p w14:paraId="7C75A7C3">
            <w:pPr>
              <w:autoSpaceDE w:val="0"/>
              <w:autoSpaceDN w:val="0"/>
              <w:adjustRightInd w:val="0"/>
              <w:snapToGrid w:val="0"/>
              <w:jc w:val="center"/>
              <w:rPr>
                <w:rFonts w:ascii="Times New Roman"/>
                <w:sz w:val="21"/>
                <w:szCs w:val="21"/>
              </w:rPr>
            </w:pPr>
            <w:r>
              <w:rPr>
                <w:rFonts w:ascii="Times New Roman"/>
                <w:sz w:val="21"/>
                <w:szCs w:val="21"/>
              </w:rPr>
              <w:t>75</w:t>
            </w:r>
          </w:p>
        </w:tc>
        <w:tc>
          <w:tcPr>
            <w:tcW w:w="307" w:type="pct"/>
            <w:vMerge w:val="continue"/>
            <w:vAlign w:val="center"/>
          </w:tcPr>
          <w:p w14:paraId="39D52577">
            <w:pPr>
              <w:autoSpaceDE w:val="0"/>
              <w:autoSpaceDN w:val="0"/>
              <w:adjustRightInd w:val="0"/>
              <w:snapToGrid w:val="0"/>
              <w:jc w:val="center"/>
              <w:rPr>
                <w:rFonts w:ascii="Times New Roman"/>
                <w:sz w:val="21"/>
                <w:szCs w:val="21"/>
              </w:rPr>
            </w:pPr>
          </w:p>
        </w:tc>
        <w:tc>
          <w:tcPr>
            <w:tcW w:w="208" w:type="pct"/>
            <w:vAlign w:val="center"/>
          </w:tcPr>
          <w:p w14:paraId="705C38CA">
            <w:pPr>
              <w:autoSpaceDE w:val="0"/>
              <w:autoSpaceDN w:val="0"/>
              <w:adjustRightInd w:val="0"/>
              <w:snapToGrid w:val="0"/>
              <w:jc w:val="center"/>
              <w:rPr>
                <w:rFonts w:ascii="Times New Roman"/>
                <w:sz w:val="21"/>
                <w:szCs w:val="21"/>
              </w:rPr>
            </w:pPr>
            <w:r>
              <w:rPr>
                <w:rFonts w:ascii="Times New Roman"/>
                <w:sz w:val="21"/>
                <w:szCs w:val="21"/>
              </w:rPr>
              <w:t>120</w:t>
            </w:r>
          </w:p>
        </w:tc>
        <w:tc>
          <w:tcPr>
            <w:tcW w:w="201" w:type="pct"/>
            <w:vAlign w:val="center"/>
          </w:tcPr>
          <w:p w14:paraId="4FC49C82">
            <w:pPr>
              <w:autoSpaceDE w:val="0"/>
              <w:autoSpaceDN w:val="0"/>
              <w:adjustRightInd w:val="0"/>
              <w:snapToGrid w:val="0"/>
              <w:jc w:val="center"/>
              <w:rPr>
                <w:rFonts w:ascii="Times New Roman"/>
                <w:sz w:val="21"/>
                <w:szCs w:val="21"/>
              </w:rPr>
            </w:pPr>
            <w:r>
              <w:rPr>
                <w:rFonts w:ascii="Times New Roman"/>
                <w:sz w:val="21"/>
                <w:szCs w:val="21"/>
              </w:rPr>
              <w:t>215</w:t>
            </w:r>
          </w:p>
        </w:tc>
        <w:tc>
          <w:tcPr>
            <w:tcW w:w="240" w:type="pct"/>
            <w:vAlign w:val="center"/>
          </w:tcPr>
          <w:p w14:paraId="4DB24A7B">
            <w:pPr>
              <w:autoSpaceDE w:val="0"/>
              <w:autoSpaceDN w:val="0"/>
              <w:adjustRightInd w:val="0"/>
              <w:snapToGrid w:val="0"/>
              <w:jc w:val="center"/>
              <w:rPr>
                <w:rFonts w:ascii="Times New Roman"/>
                <w:sz w:val="21"/>
                <w:szCs w:val="21"/>
              </w:rPr>
            </w:pPr>
            <w:r>
              <w:rPr>
                <w:rFonts w:ascii="Times New Roman"/>
                <w:sz w:val="21"/>
                <w:szCs w:val="21"/>
              </w:rPr>
              <w:t>0.9</w:t>
            </w:r>
          </w:p>
        </w:tc>
        <w:tc>
          <w:tcPr>
            <w:tcW w:w="346" w:type="pct"/>
            <w:vAlign w:val="center"/>
          </w:tcPr>
          <w:p w14:paraId="4B031E42">
            <w:pPr>
              <w:autoSpaceDE w:val="0"/>
              <w:autoSpaceDN w:val="0"/>
              <w:adjustRightInd w:val="0"/>
              <w:snapToGrid w:val="0"/>
              <w:jc w:val="center"/>
              <w:rPr>
                <w:rFonts w:ascii="Times New Roman"/>
                <w:sz w:val="21"/>
                <w:szCs w:val="21"/>
              </w:rPr>
            </w:pPr>
            <w:r>
              <w:rPr>
                <w:rFonts w:ascii="Times New Roman"/>
                <w:sz w:val="21"/>
                <w:szCs w:val="21"/>
              </w:rPr>
              <w:t>33.66</w:t>
            </w:r>
          </w:p>
        </w:tc>
        <w:tc>
          <w:tcPr>
            <w:tcW w:w="358" w:type="pct"/>
            <w:vAlign w:val="center"/>
          </w:tcPr>
          <w:p w14:paraId="6FF84DFB">
            <w:pPr>
              <w:autoSpaceDE w:val="0"/>
              <w:autoSpaceDN w:val="0"/>
              <w:adjustRightInd w:val="0"/>
              <w:snapToGrid w:val="0"/>
              <w:jc w:val="center"/>
              <w:rPr>
                <w:rFonts w:ascii="Times New Roman"/>
                <w:sz w:val="21"/>
                <w:szCs w:val="21"/>
              </w:rPr>
            </w:pPr>
            <w:r>
              <w:rPr>
                <w:rFonts w:ascii="Times New Roman"/>
                <w:sz w:val="21"/>
                <w:szCs w:val="21"/>
              </w:rPr>
              <w:t>44</w:t>
            </w:r>
          </w:p>
        </w:tc>
        <w:tc>
          <w:tcPr>
            <w:tcW w:w="316" w:type="pct"/>
            <w:vMerge w:val="continue"/>
            <w:vAlign w:val="center"/>
          </w:tcPr>
          <w:p w14:paraId="2F9E1E59">
            <w:pPr>
              <w:autoSpaceDE w:val="0"/>
              <w:autoSpaceDN w:val="0"/>
              <w:adjustRightInd w:val="0"/>
              <w:snapToGrid w:val="0"/>
              <w:jc w:val="center"/>
              <w:rPr>
                <w:rFonts w:ascii="Times New Roman"/>
                <w:sz w:val="21"/>
                <w:szCs w:val="21"/>
              </w:rPr>
            </w:pPr>
          </w:p>
        </w:tc>
        <w:tc>
          <w:tcPr>
            <w:tcW w:w="551" w:type="pct"/>
            <w:vAlign w:val="center"/>
          </w:tcPr>
          <w:p w14:paraId="57F54872">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Align w:val="center"/>
          </w:tcPr>
          <w:p w14:paraId="5A0F106C">
            <w:pPr>
              <w:autoSpaceDE w:val="0"/>
              <w:autoSpaceDN w:val="0"/>
              <w:adjustRightInd w:val="0"/>
              <w:snapToGrid w:val="0"/>
              <w:jc w:val="center"/>
              <w:rPr>
                <w:rFonts w:ascii="Times New Roman"/>
                <w:sz w:val="21"/>
                <w:szCs w:val="21"/>
              </w:rPr>
            </w:pPr>
            <w:r>
              <w:rPr>
                <w:rFonts w:ascii="Times New Roman"/>
                <w:sz w:val="21"/>
                <w:szCs w:val="21"/>
              </w:rPr>
              <w:t>西边界</w:t>
            </w:r>
          </w:p>
        </w:tc>
        <w:tc>
          <w:tcPr>
            <w:tcW w:w="287" w:type="pct"/>
            <w:vAlign w:val="center"/>
          </w:tcPr>
          <w:p w14:paraId="53BB28E8">
            <w:pPr>
              <w:autoSpaceDE w:val="0"/>
              <w:autoSpaceDN w:val="0"/>
              <w:adjustRightInd w:val="0"/>
              <w:snapToGrid w:val="0"/>
              <w:jc w:val="center"/>
              <w:rPr>
                <w:rFonts w:ascii="Times New Roman"/>
                <w:sz w:val="21"/>
                <w:szCs w:val="21"/>
              </w:rPr>
            </w:pPr>
            <w:r>
              <w:rPr>
                <w:rFonts w:ascii="Times New Roman"/>
                <w:sz w:val="21"/>
                <w:szCs w:val="21"/>
              </w:rPr>
              <w:t>23.3</w:t>
            </w:r>
          </w:p>
        </w:tc>
        <w:tc>
          <w:tcPr>
            <w:tcW w:w="434" w:type="pct"/>
            <w:vMerge w:val="continue"/>
            <w:vAlign w:val="center"/>
          </w:tcPr>
          <w:p w14:paraId="2CAD2012">
            <w:pPr>
              <w:autoSpaceDE w:val="0"/>
              <w:autoSpaceDN w:val="0"/>
              <w:adjustRightInd w:val="0"/>
              <w:snapToGrid w:val="0"/>
              <w:jc w:val="center"/>
              <w:rPr>
                <w:rFonts w:ascii="Times New Roman"/>
                <w:sz w:val="21"/>
                <w:szCs w:val="21"/>
              </w:rPr>
            </w:pPr>
          </w:p>
        </w:tc>
      </w:tr>
      <w:tr w14:paraId="3ACE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39" w:type="pct"/>
            <w:vMerge w:val="continue"/>
            <w:vAlign w:val="center"/>
          </w:tcPr>
          <w:p w14:paraId="65E802DA">
            <w:pPr>
              <w:autoSpaceDE w:val="0"/>
              <w:autoSpaceDN w:val="0"/>
              <w:adjustRightInd w:val="0"/>
              <w:snapToGrid w:val="0"/>
              <w:jc w:val="center"/>
              <w:rPr>
                <w:rFonts w:ascii="Times New Roman"/>
                <w:sz w:val="21"/>
                <w:szCs w:val="21"/>
              </w:rPr>
            </w:pPr>
          </w:p>
        </w:tc>
        <w:tc>
          <w:tcPr>
            <w:tcW w:w="697" w:type="pct"/>
            <w:vAlign w:val="center"/>
          </w:tcPr>
          <w:p w14:paraId="02A5A4EB">
            <w:pPr>
              <w:autoSpaceDE w:val="0"/>
              <w:autoSpaceDN w:val="0"/>
              <w:adjustRightInd w:val="0"/>
              <w:snapToGrid w:val="0"/>
              <w:jc w:val="center"/>
              <w:rPr>
                <w:rFonts w:ascii="Times New Roman"/>
                <w:sz w:val="21"/>
                <w:szCs w:val="21"/>
              </w:rPr>
            </w:pPr>
            <w:r>
              <w:rPr>
                <w:rFonts w:ascii="Times New Roman"/>
                <w:sz w:val="21"/>
                <w:szCs w:val="21"/>
              </w:rPr>
              <w:t>托辊生产线</w:t>
            </w:r>
          </w:p>
        </w:tc>
        <w:tc>
          <w:tcPr>
            <w:tcW w:w="346" w:type="pct"/>
            <w:vAlign w:val="center"/>
          </w:tcPr>
          <w:p w14:paraId="2B896A9F">
            <w:pPr>
              <w:autoSpaceDE w:val="0"/>
              <w:autoSpaceDN w:val="0"/>
              <w:adjustRightInd w:val="0"/>
              <w:snapToGrid w:val="0"/>
              <w:jc w:val="center"/>
              <w:rPr>
                <w:rFonts w:ascii="Times New Roman"/>
                <w:sz w:val="21"/>
                <w:szCs w:val="21"/>
              </w:rPr>
            </w:pPr>
            <w:r>
              <w:rPr>
                <w:rFonts w:ascii="Times New Roman"/>
                <w:sz w:val="21"/>
                <w:szCs w:val="21"/>
              </w:rPr>
              <w:t>85</w:t>
            </w:r>
          </w:p>
        </w:tc>
        <w:tc>
          <w:tcPr>
            <w:tcW w:w="307" w:type="pct"/>
            <w:vMerge w:val="continue"/>
            <w:vAlign w:val="center"/>
          </w:tcPr>
          <w:p w14:paraId="3E319939">
            <w:pPr>
              <w:autoSpaceDE w:val="0"/>
              <w:autoSpaceDN w:val="0"/>
              <w:adjustRightInd w:val="0"/>
              <w:snapToGrid w:val="0"/>
              <w:jc w:val="center"/>
              <w:rPr>
                <w:rFonts w:ascii="Times New Roman"/>
                <w:sz w:val="21"/>
                <w:szCs w:val="21"/>
              </w:rPr>
            </w:pPr>
          </w:p>
        </w:tc>
        <w:tc>
          <w:tcPr>
            <w:tcW w:w="208" w:type="pct"/>
            <w:vAlign w:val="center"/>
          </w:tcPr>
          <w:p w14:paraId="1C3B67BA">
            <w:pPr>
              <w:autoSpaceDE w:val="0"/>
              <w:autoSpaceDN w:val="0"/>
              <w:adjustRightInd w:val="0"/>
              <w:snapToGrid w:val="0"/>
              <w:jc w:val="center"/>
              <w:rPr>
                <w:rFonts w:ascii="Times New Roman"/>
                <w:sz w:val="21"/>
                <w:szCs w:val="21"/>
              </w:rPr>
            </w:pPr>
            <w:r>
              <w:rPr>
                <w:rFonts w:ascii="Times New Roman"/>
                <w:sz w:val="21"/>
                <w:szCs w:val="21"/>
              </w:rPr>
              <w:t>100</w:t>
            </w:r>
          </w:p>
        </w:tc>
        <w:tc>
          <w:tcPr>
            <w:tcW w:w="201" w:type="pct"/>
            <w:vAlign w:val="center"/>
          </w:tcPr>
          <w:p w14:paraId="1B48B3CE">
            <w:pPr>
              <w:autoSpaceDE w:val="0"/>
              <w:autoSpaceDN w:val="0"/>
              <w:adjustRightInd w:val="0"/>
              <w:snapToGrid w:val="0"/>
              <w:jc w:val="center"/>
              <w:rPr>
                <w:rFonts w:ascii="Times New Roman"/>
                <w:sz w:val="21"/>
                <w:szCs w:val="21"/>
              </w:rPr>
            </w:pPr>
            <w:r>
              <w:rPr>
                <w:rFonts w:ascii="Times New Roman"/>
                <w:sz w:val="21"/>
                <w:szCs w:val="21"/>
              </w:rPr>
              <w:t>170</w:t>
            </w:r>
          </w:p>
        </w:tc>
        <w:tc>
          <w:tcPr>
            <w:tcW w:w="240" w:type="pct"/>
            <w:vAlign w:val="center"/>
          </w:tcPr>
          <w:p w14:paraId="6F574BC8">
            <w:pPr>
              <w:autoSpaceDE w:val="0"/>
              <w:autoSpaceDN w:val="0"/>
              <w:adjustRightInd w:val="0"/>
              <w:snapToGrid w:val="0"/>
              <w:jc w:val="center"/>
              <w:rPr>
                <w:rFonts w:ascii="Times New Roman"/>
                <w:sz w:val="21"/>
                <w:szCs w:val="21"/>
              </w:rPr>
            </w:pPr>
            <w:r>
              <w:rPr>
                <w:rFonts w:ascii="Times New Roman"/>
                <w:sz w:val="21"/>
                <w:szCs w:val="21"/>
              </w:rPr>
              <w:t>12.5</w:t>
            </w:r>
          </w:p>
        </w:tc>
        <w:tc>
          <w:tcPr>
            <w:tcW w:w="346" w:type="pct"/>
            <w:vAlign w:val="center"/>
          </w:tcPr>
          <w:p w14:paraId="53927D0B">
            <w:pPr>
              <w:autoSpaceDE w:val="0"/>
              <w:autoSpaceDN w:val="0"/>
              <w:adjustRightInd w:val="0"/>
              <w:snapToGrid w:val="0"/>
              <w:jc w:val="center"/>
              <w:rPr>
                <w:rFonts w:ascii="Times New Roman"/>
                <w:sz w:val="21"/>
                <w:szCs w:val="21"/>
              </w:rPr>
            </w:pPr>
            <w:r>
              <w:rPr>
                <w:rFonts w:ascii="Times New Roman"/>
                <w:sz w:val="21"/>
                <w:szCs w:val="21"/>
              </w:rPr>
              <w:t>30.89</w:t>
            </w:r>
          </w:p>
        </w:tc>
        <w:tc>
          <w:tcPr>
            <w:tcW w:w="358" w:type="pct"/>
            <w:vAlign w:val="center"/>
          </w:tcPr>
          <w:p w14:paraId="50ED54B7">
            <w:pPr>
              <w:autoSpaceDE w:val="0"/>
              <w:autoSpaceDN w:val="0"/>
              <w:adjustRightInd w:val="0"/>
              <w:snapToGrid w:val="0"/>
              <w:jc w:val="center"/>
              <w:rPr>
                <w:rFonts w:ascii="Times New Roman"/>
                <w:sz w:val="21"/>
                <w:szCs w:val="21"/>
              </w:rPr>
            </w:pPr>
            <w:r>
              <w:rPr>
                <w:rFonts w:ascii="Times New Roman"/>
                <w:sz w:val="21"/>
                <w:szCs w:val="21"/>
              </w:rPr>
              <w:t>55</w:t>
            </w:r>
          </w:p>
        </w:tc>
        <w:tc>
          <w:tcPr>
            <w:tcW w:w="316" w:type="pct"/>
            <w:vMerge w:val="continue"/>
            <w:vAlign w:val="center"/>
          </w:tcPr>
          <w:p w14:paraId="73FFC6FF">
            <w:pPr>
              <w:autoSpaceDE w:val="0"/>
              <w:autoSpaceDN w:val="0"/>
              <w:adjustRightInd w:val="0"/>
              <w:snapToGrid w:val="0"/>
              <w:jc w:val="center"/>
              <w:rPr>
                <w:rFonts w:ascii="Times New Roman"/>
                <w:sz w:val="21"/>
                <w:szCs w:val="21"/>
              </w:rPr>
            </w:pPr>
          </w:p>
        </w:tc>
        <w:tc>
          <w:tcPr>
            <w:tcW w:w="551" w:type="pct"/>
            <w:vAlign w:val="center"/>
          </w:tcPr>
          <w:p w14:paraId="173C719B">
            <w:pPr>
              <w:autoSpaceDE w:val="0"/>
              <w:autoSpaceDN w:val="0"/>
              <w:adjustRightInd w:val="0"/>
              <w:snapToGrid w:val="0"/>
              <w:jc w:val="center"/>
              <w:rPr>
                <w:rFonts w:ascii="Times New Roman"/>
                <w:sz w:val="21"/>
                <w:szCs w:val="21"/>
              </w:rPr>
            </w:pPr>
            <w:r>
              <w:rPr>
                <w:rFonts w:ascii="Times New Roman"/>
                <w:sz w:val="21"/>
                <w:szCs w:val="21"/>
              </w:rPr>
              <w:t>25</w:t>
            </w:r>
          </w:p>
        </w:tc>
        <w:tc>
          <w:tcPr>
            <w:tcW w:w="262" w:type="pct"/>
            <w:vAlign w:val="center"/>
          </w:tcPr>
          <w:p w14:paraId="40AF56B3">
            <w:pPr>
              <w:autoSpaceDE w:val="0"/>
              <w:autoSpaceDN w:val="0"/>
              <w:adjustRightInd w:val="0"/>
              <w:snapToGrid w:val="0"/>
              <w:jc w:val="center"/>
              <w:rPr>
                <w:rFonts w:ascii="Times New Roman"/>
                <w:sz w:val="21"/>
                <w:szCs w:val="21"/>
              </w:rPr>
            </w:pPr>
            <w:r>
              <w:rPr>
                <w:rFonts w:ascii="Times New Roman"/>
                <w:sz w:val="21"/>
                <w:szCs w:val="21"/>
              </w:rPr>
              <w:t>北边界</w:t>
            </w:r>
          </w:p>
        </w:tc>
        <w:tc>
          <w:tcPr>
            <w:tcW w:w="287" w:type="pct"/>
            <w:vAlign w:val="center"/>
          </w:tcPr>
          <w:p w14:paraId="1C1C1005">
            <w:pPr>
              <w:autoSpaceDE w:val="0"/>
              <w:autoSpaceDN w:val="0"/>
              <w:adjustRightInd w:val="0"/>
              <w:snapToGrid w:val="0"/>
              <w:jc w:val="center"/>
              <w:rPr>
                <w:rFonts w:ascii="Times New Roman"/>
                <w:sz w:val="21"/>
                <w:szCs w:val="21"/>
              </w:rPr>
            </w:pPr>
            <w:r>
              <w:rPr>
                <w:rFonts w:ascii="Times New Roman"/>
                <w:sz w:val="21"/>
                <w:szCs w:val="21"/>
              </w:rPr>
              <w:t>26.7</w:t>
            </w:r>
          </w:p>
        </w:tc>
        <w:tc>
          <w:tcPr>
            <w:tcW w:w="434" w:type="pct"/>
            <w:vMerge w:val="continue"/>
            <w:vAlign w:val="center"/>
          </w:tcPr>
          <w:p w14:paraId="314B612F">
            <w:pPr>
              <w:autoSpaceDE w:val="0"/>
              <w:autoSpaceDN w:val="0"/>
              <w:adjustRightInd w:val="0"/>
              <w:snapToGrid w:val="0"/>
              <w:jc w:val="center"/>
              <w:rPr>
                <w:rFonts w:ascii="Times New Roman"/>
                <w:sz w:val="21"/>
                <w:szCs w:val="21"/>
              </w:rPr>
            </w:pPr>
          </w:p>
        </w:tc>
      </w:tr>
      <w:tr w14:paraId="2DAC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14"/>
            <w:vAlign w:val="center"/>
          </w:tcPr>
          <w:p w14:paraId="1C981E54">
            <w:pPr>
              <w:autoSpaceDE w:val="0"/>
              <w:autoSpaceDN w:val="0"/>
              <w:adjustRightInd w:val="0"/>
              <w:snapToGrid w:val="0"/>
              <w:jc w:val="left"/>
              <w:rPr>
                <w:rFonts w:ascii="Times New Roman"/>
                <w:sz w:val="21"/>
                <w:szCs w:val="21"/>
              </w:rPr>
            </w:pPr>
            <w:r>
              <w:rPr>
                <w:rFonts w:ascii="Times New Roman"/>
                <w:sz w:val="21"/>
                <w:szCs w:val="21"/>
              </w:rPr>
              <w:t>备注：项目以厂区西南角为原点。</w:t>
            </w:r>
          </w:p>
        </w:tc>
      </w:tr>
    </w:tbl>
    <w:p w14:paraId="05BB12F7">
      <w:pPr>
        <w:pStyle w:val="151"/>
        <w:ind w:left="500"/>
      </w:pPr>
    </w:p>
    <w:p w14:paraId="49C73DCD">
      <w:pPr>
        <w:rPr>
          <w:rFonts w:ascii="Times New Roman"/>
        </w:rPr>
        <w:sectPr>
          <w:pgSz w:w="16838" w:h="11906" w:orient="landscape"/>
          <w:pgMar w:top="1800" w:right="1440" w:bottom="1800" w:left="1440" w:header="1134" w:footer="1134" w:gutter="0"/>
          <w:cols w:space="720" w:num="1"/>
          <w:docGrid w:type="lines" w:linePitch="340" w:charSpace="0"/>
        </w:sectPr>
      </w:pPr>
    </w:p>
    <w:p w14:paraId="5D49060F">
      <w:pPr>
        <w:spacing w:before="78" w:line="220" w:lineRule="auto"/>
        <w:jc w:val="center"/>
        <w:rPr>
          <w:rFonts w:ascii="Times New Roman"/>
          <w:b/>
          <w:sz w:val="24"/>
          <w:szCs w:val="24"/>
        </w:rPr>
      </w:pPr>
      <w:r>
        <w:rPr>
          <w:rFonts w:ascii="Times New Roman"/>
          <w:b/>
          <w:sz w:val="24"/>
          <w:szCs w:val="24"/>
        </w:rPr>
        <w:t>表3.7-1</w:t>
      </w:r>
      <w:r>
        <w:rPr>
          <w:rFonts w:hint="eastAsia" w:ascii="Times New Roman"/>
          <w:b/>
          <w:sz w:val="24"/>
          <w:szCs w:val="24"/>
        </w:rPr>
        <w:t>4</w:t>
      </w:r>
      <w:r>
        <w:rPr>
          <w:rFonts w:ascii="Times New Roman"/>
          <w:b/>
          <w:sz w:val="24"/>
          <w:szCs w:val="24"/>
        </w:rPr>
        <w:t xml:space="preserve">  项目主要噪声源强表(室外)</w:t>
      </w:r>
    </w:p>
    <w:tbl>
      <w:tblPr>
        <w:tblStyle w:val="8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394"/>
        <w:gridCol w:w="1095"/>
        <w:gridCol w:w="646"/>
        <w:gridCol w:w="612"/>
        <w:gridCol w:w="600"/>
        <w:gridCol w:w="1557"/>
        <w:gridCol w:w="1157"/>
        <w:gridCol w:w="738"/>
      </w:tblGrid>
      <w:tr w14:paraId="1D53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jc w:val="center"/>
        </w:trPr>
        <w:tc>
          <w:tcPr>
            <w:tcW w:w="422" w:type="pct"/>
            <w:vMerge w:val="restart"/>
            <w:vAlign w:val="center"/>
          </w:tcPr>
          <w:p w14:paraId="5EE61BB6">
            <w:pPr>
              <w:jc w:val="center"/>
              <w:rPr>
                <w:rFonts w:ascii="Times New Roman"/>
                <w:b/>
                <w:spacing w:val="4"/>
                <w:kern w:val="0"/>
                <w:sz w:val="21"/>
                <w:szCs w:val="21"/>
              </w:rPr>
            </w:pPr>
            <w:r>
              <w:rPr>
                <w:rFonts w:ascii="Times New Roman"/>
                <w:b/>
                <w:spacing w:val="4"/>
                <w:kern w:val="0"/>
                <w:sz w:val="21"/>
                <w:szCs w:val="21"/>
              </w:rPr>
              <w:t>序号</w:t>
            </w:r>
          </w:p>
        </w:tc>
        <w:tc>
          <w:tcPr>
            <w:tcW w:w="819" w:type="pct"/>
            <w:vMerge w:val="restart"/>
            <w:vAlign w:val="center"/>
          </w:tcPr>
          <w:p w14:paraId="1136844E">
            <w:pPr>
              <w:jc w:val="center"/>
              <w:rPr>
                <w:rFonts w:ascii="Times New Roman"/>
                <w:b/>
                <w:spacing w:val="4"/>
                <w:kern w:val="0"/>
                <w:sz w:val="21"/>
                <w:szCs w:val="21"/>
              </w:rPr>
            </w:pPr>
            <w:r>
              <w:rPr>
                <w:rFonts w:ascii="Times New Roman"/>
                <w:b/>
                <w:spacing w:val="4"/>
                <w:kern w:val="0"/>
                <w:sz w:val="21"/>
                <w:szCs w:val="21"/>
              </w:rPr>
              <w:t>声源名称</w:t>
            </w:r>
          </w:p>
        </w:tc>
        <w:tc>
          <w:tcPr>
            <w:tcW w:w="643" w:type="pct"/>
            <w:vMerge w:val="restart"/>
            <w:vAlign w:val="center"/>
          </w:tcPr>
          <w:p w14:paraId="529F0E45">
            <w:pPr>
              <w:jc w:val="center"/>
              <w:rPr>
                <w:rFonts w:ascii="Times New Roman"/>
                <w:b/>
                <w:spacing w:val="4"/>
                <w:kern w:val="0"/>
                <w:sz w:val="21"/>
                <w:szCs w:val="21"/>
              </w:rPr>
            </w:pPr>
            <w:r>
              <w:rPr>
                <w:rFonts w:ascii="Times New Roman"/>
                <w:b/>
                <w:spacing w:val="4"/>
                <w:kern w:val="0"/>
                <w:sz w:val="21"/>
                <w:szCs w:val="21"/>
              </w:rPr>
              <w:t>型号</w:t>
            </w:r>
          </w:p>
        </w:tc>
        <w:tc>
          <w:tcPr>
            <w:tcW w:w="1090" w:type="pct"/>
            <w:gridSpan w:val="3"/>
            <w:vAlign w:val="center"/>
          </w:tcPr>
          <w:p w14:paraId="1E689A81">
            <w:pPr>
              <w:jc w:val="center"/>
              <w:rPr>
                <w:rFonts w:ascii="Times New Roman"/>
                <w:b/>
                <w:spacing w:val="4"/>
                <w:kern w:val="0"/>
                <w:sz w:val="21"/>
                <w:szCs w:val="21"/>
              </w:rPr>
            </w:pPr>
            <w:r>
              <w:rPr>
                <w:rFonts w:ascii="Times New Roman"/>
                <w:b/>
                <w:spacing w:val="4"/>
                <w:kern w:val="0"/>
                <w:sz w:val="21"/>
                <w:szCs w:val="21"/>
              </w:rPr>
              <w:t>空间相对位置</w:t>
            </w:r>
          </w:p>
        </w:tc>
        <w:tc>
          <w:tcPr>
            <w:tcW w:w="914" w:type="pct"/>
            <w:vMerge w:val="restart"/>
            <w:vAlign w:val="center"/>
          </w:tcPr>
          <w:p w14:paraId="235F2049">
            <w:pPr>
              <w:jc w:val="center"/>
              <w:rPr>
                <w:rFonts w:ascii="Times New Roman"/>
                <w:b/>
                <w:spacing w:val="4"/>
                <w:kern w:val="0"/>
                <w:sz w:val="21"/>
                <w:szCs w:val="21"/>
              </w:rPr>
            </w:pPr>
            <w:r>
              <w:rPr>
                <w:rFonts w:ascii="Times New Roman"/>
                <w:b/>
                <w:spacing w:val="4"/>
                <w:kern w:val="0"/>
                <w:sz w:val="21"/>
                <w:szCs w:val="21"/>
              </w:rPr>
              <w:t>声源源强声压级/距声源距离dB（A）</w:t>
            </w:r>
            <w:r>
              <w:rPr>
                <w:rFonts w:ascii="Times New Roman"/>
                <w:sz w:val="21"/>
                <w:szCs w:val="21"/>
              </w:rPr>
              <w:t>/m</w:t>
            </w:r>
          </w:p>
        </w:tc>
        <w:tc>
          <w:tcPr>
            <w:tcW w:w="679" w:type="pct"/>
            <w:vMerge w:val="restart"/>
            <w:vAlign w:val="center"/>
          </w:tcPr>
          <w:p w14:paraId="6F23AD83">
            <w:pPr>
              <w:jc w:val="center"/>
              <w:rPr>
                <w:rFonts w:ascii="Times New Roman"/>
                <w:b/>
                <w:spacing w:val="4"/>
                <w:kern w:val="0"/>
                <w:sz w:val="21"/>
                <w:szCs w:val="21"/>
              </w:rPr>
            </w:pPr>
            <w:r>
              <w:rPr>
                <w:rFonts w:ascii="Times New Roman"/>
                <w:b/>
                <w:spacing w:val="4"/>
                <w:kern w:val="0"/>
                <w:sz w:val="21"/>
                <w:szCs w:val="21"/>
              </w:rPr>
              <w:t>声源控制</w:t>
            </w:r>
          </w:p>
          <w:p w14:paraId="4D98C9F9">
            <w:pPr>
              <w:jc w:val="center"/>
              <w:rPr>
                <w:rFonts w:ascii="Times New Roman"/>
                <w:b/>
                <w:spacing w:val="4"/>
                <w:kern w:val="0"/>
                <w:sz w:val="21"/>
                <w:szCs w:val="21"/>
              </w:rPr>
            </w:pPr>
            <w:r>
              <w:rPr>
                <w:rFonts w:ascii="Times New Roman"/>
                <w:b/>
                <w:spacing w:val="4"/>
                <w:kern w:val="0"/>
                <w:sz w:val="21"/>
                <w:szCs w:val="21"/>
              </w:rPr>
              <w:t>措施</w:t>
            </w:r>
          </w:p>
        </w:tc>
        <w:tc>
          <w:tcPr>
            <w:tcW w:w="430" w:type="pct"/>
            <w:vMerge w:val="restart"/>
            <w:vAlign w:val="center"/>
          </w:tcPr>
          <w:p w14:paraId="2DB15775">
            <w:pPr>
              <w:jc w:val="center"/>
              <w:rPr>
                <w:rFonts w:ascii="Times New Roman"/>
                <w:b/>
                <w:spacing w:val="4"/>
                <w:kern w:val="0"/>
                <w:sz w:val="21"/>
                <w:szCs w:val="21"/>
              </w:rPr>
            </w:pPr>
            <w:r>
              <w:rPr>
                <w:rFonts w:ascii="Times New Roman"/>
                <w:b/>
                <w:spacing w:val="4"/>
                <w:kern w:val="0"/>
                <w:sz w:val="21"/>
                <w:szCs w:val="21"/>
              </w:rPr>
              <w:t>运行时段</w:t>
            </w:r>
          </w:p>
        </w:tc>
      </w:tr>
      <w:tr w14:paraId="4D22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jc w:val="center"/>
        </w:trPr>
        <w:tc>
          <w:tcPr>
            <w:tcW w:w="422" w:type="pct"/>
            <w:vMerge w:val="continue"/>
            <w:vAlign w:val="center"/>
          </w:tcPr>
          <w:p w14:paraId="215FB2E4">
            <w:pPr>
              <w:jc w:val="center"/>
              <w:rPr>
                <w:rFonts w:ascii="Times New Roman"/>
                <w:sz w:val="21"/>
                <w:szCs w:val="21"/>
              </w:rPr>
            </w:pPr>
          </w:p>
        </w:tc>
        <w:tc>
          <w:tcPr>
            <w:tcW w:w="819" w:type="pct"/>
            <w:vMerge w:val="continue"/>
            <w:vAlign w:val="center"/>
          </w:tcPr>
          <w:p w14:paraId="12A21498">
            <w:pPr>
              <w:jc w:val="center"/>
              <w:rPr>
                <w:rFonts w:ascii="Times New Roman"/>
                <w:sz w:val="21"/>
                <w:szCs w:val="21"/>
              </w:rPr>
            </w:pPr>
          </w:p>
        </w:tc>
        <w:tc>
          <w:tcPr>
            <w:tcW w:w="643" w:type="pct"/>
            <w:vMerge w:val="continue"/>
            <w:vAlign w:val="center"/>
          </w:tcPr>
          <w:p w14:paraId="5F187D86">
            <w:pPr>
              <w:jc w:val="center"/>
              <w:rPr>
                <w:rFonts w:ascii="Times New Roman"/>
                <w:sz w:val="21"/>
                <w:szCs w:val="21"/>
              </w:rPr>
            </w:pPr>
          </w:p>
        </w:tc>
        <w:tc>
          <w:tcPr>
            <w:tcW w:w="379" w:type="pct"/>
            <w:vAlign w:val="center"/>
          </w:tcPr>
          <w:p w14:paraId="3EA74F6C">
            <w:pPr>
              <w:jc w:val="center"/>
              <w:rPr>
                <w:rFonts w:ascii="Times New Roman"/>
                <w:b/>
                <w:spacing w:val="4"/>
                <w:kern w:val="0"/>
                <w:sz w:val="21"/>
                <w:szCs w:val="21"/>
              </w:rPr>
            </w:pPr>
            <w:r>
              <w:rPr>
                <w:rFonts w:ascii="Times New Roman"/>
                <w:b/>
                <w:spacing w:val="4"/>
                <w:kern w:val="0"/>
                <w:sz w:val="21"/>
                <w:szCs w:val="21"/>
              </w:rPr>
              <w:t>X</w:t>
            </w:r>
          </w:p>
        </w:tc>
        <w:tc>
          <w:tcPr>
            <w:tcW w:w="359" w:type="pct"/>
            <w:vAlign w:val="center"/>
          </w:tcPr>
          <w:p w14:paraId="183BA43B">
            <w:pPr>
              <w:jc w:val="center"/>
              <w:rPr>
                <w:rFonts w:ascii="Times New Roman"/>
                <w:b/>
                <w:spacing w:val="4"/>
                <w:kern w:val="0"/>
                <w:sz w:val="21"/>
                <w:szCs w:val="21"/>
              </w:rPr>
            </w:pPr>
            <w:r>
              <w:rPr>
                <w:rFonts w:ascii="Times New Roman"/>
                <w:b/>
                <w:spacing w:val="4"/>
                <w:kern w:val="0"/>
                <w:sz w:val="21"/>
                <w:szCs w:val="21"/>
              </w:rPr>
              <w:t>Y</w:t>
            </w:r>
          </w:p>
        </w:tc>
        <w:tc>
          <w:tcPr>
            <w:tcW w:w="352" w:type="pct"/>
            <w:vAlign w:val="center"/>
          </w:tcPr>
          <w:p w14:paraId="01E38277">
            <w:pPr>
              <w:jc w:val="center"/>
              <w:rPr>
                <w:rFonts w:ascii="Times New Roman"/>
                <w:b/>
                <w:spacing w:val="4"/>
                <w:kern w:val="0"/>
                <w:sz w:val="21"/>
                <w:szCs w:val="21"/>
              </w:rPr>
            </w:pPr>
            <w:r>
              <w:rPr>
                <w:rFonts w:ascii="Times New Roman"/>
                <w:b/>
                <w:spacing w:val="4"/>
                <w:kern w:val="0"/>
                <w:sz w:val="21"/>
                <w:szCs w:val="21"/>
              </w:rPr>
              <w:t>Z</w:t>
            </w:r>
          </w:p>
        </w:tc>
        <w:tc>
          <w:tcPr>
            <w:tcW w:w="914" w:type="pct"/>
            <w:vMerge w:val="continue"/>
            <w:vAlign w:val="center"/>
          </w:tcPr>
          <w:p w14:paraId="5C9B0241">
            <w:pPr>
              <w:jc w:val="center"/>
              <w:rPr>
                <w:rFonts w:ascii="Times New Roman"/>
                <w:b/>
                <w:spacing w:val="4"/>
                <w:kern w:val="0"/>
                <w:sz w:val="21"/>
                <w:szCs w:val="21"/>
              </w:rPr>
            </w:pPr>
          </w:p>
        </w:tc>
        <w:tc>
          <w:tcPr>
            <w:tcW w:w="679" w:type="pct"/>
            <w:vMerge w:val="continue"/>
            <w:vAlign w:val="center"/>
          </w:tcPr>
          <w:p w14:paraId="148263F7">
            <w:pPr>
              <w:jc w:val="center"/>
              <w:rPr>
                <w:rFonts w:ascii="Times New Roman"/>
                <w:b/>
                <w:spacing w:val="4"/>
                <w:kern w:val="0"/>
                <w:sz w:val="21"/>
                <w:szCs w:val="21"/>
              </w:rPr>
            </w:pPr>
          </w:p>
        </w:tc>
        <w:tc>
          <w:tcPr>
            <w:tcW w:w="430" w:type="pct"/>
            <w:vMerge w:val="continue"/>
            <w:vAlign w:val="center"/>
          </w:tcPr>
          <w:p w14:paraId="4DCB1395">
            <w:pPr>
              <w:jc w:val="center"/>
              <w:rPr>
                <w:rFonts w:ascii="Times New Roman"/>
                <w:b/>
                <w:spacing w:val="4"/>
                <w:kern w:val="0"/>
                <w:sz w:val="21"/>
                <w:szCs w:val="21"/>
              </w:rPr>
            </w:pPr>
          </w:p>
        </w:tc>
      </w:tr>
      <w:tr w14:paraId="5485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22" w:type="pct"/>
            <w:vAlign w:val="center"/>
          </w:tcPr>
          <w:p w14:paraId="674E1155">
            <w:pPr>
              <w:jc w:val="center"/>
              <w:rPr>
                <w:rFonts w:ascii="Times New Roman"/>
                <w:spacing w:val="4"/>
                <w:kern w:val="0"/>
                <w:sz w:val="21"/>
                <w:szCs w:val="21"/>
              </w:rPr>
            </w:pPr>
            <w:r>
              <w:rPr>
                <w:rFonts w:ascii="Times New Roman"/>
                <w:spacing w:val="4"/>
                <w:kern w:val="0"/>
                <w:sz w:val="21"/>
                <w:szCs w:val="21"/>
              </w:rPr>
              <w:t>1</w:t>
            </w:r>
          </w:p>
        </w:tc>
        <w:tc>
          <w:tcPr>
            <w:tcW w:w="819" w:type="pct"/>
            <w:vAlign w:val="center"/>
          </w:tcPr>
          <w:p w14:paraId="293AF6A1">
            <w:pPr>
              <w:jc w:val="center"/>
              <w:rPr>
                <w:rFonts w:ascii="Times New Roman"/>
                <w:sz w:val="21"/>
                <w:szCs w:val="21"/>
              </w:rPr>
            </w:pPr>
            <w:r>
              <w:rPr>
                <w:rFonts w:ascii="Times New Roman"/>
                <w:sz w:val="21"/>
                <w:szCs w:val="21"/>
              </w:rPr>
              <w:t>DA001风机</w:t>
            </w:r>
          </w:p>
        </w:tc>
        <w:tc>
          <w:tcPr>
            <w:tcW w:w="643" w:type="pct"/>
            <w:vAlign w:val="center"/>
          </w:tcPr>
          <w:p w14:paraId="0653D5AC">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16A89657">
            <w:pPr>
              <w:jc w:val="center"/>
              <w:rPr>
                <w:rFonts w:ascii="Times New Roman"/>
                <w:spacing w:val="4"/>
                <w:kern w:val="0"/>
                <w:sz w:val="21"/>
                <w:szCs w:val="21"/>
              </w:rPr>
            </w:pPr>
            <w:r>
              <w:rPr>
                <w:rFonts w:ascii="Times New Roman"/>
                <w:spacing w:val="4"/>
                <w:kern w:val="0"/>
                <w:sz w:val="21"/>
                <w:szCs w:val="21"/>
              </w:rPr>
              <w:t>542</w:t>
            </w:r>
          </w:p>
        </w:tc>
        <w:tc>
          <w:tcPr>
            <w:tcW w:w="359" w:type="pct"/>
            <w:vAlign w:val="center"/>
          </w:tcPr>
          <w:p w14:paraId="10D174C9">
            <w:pPr>
              <w:jc w:val="center"/>
              <w:rPr>
                <w:rFonts w:ascii="Times New Roman"/>
                <w:spacing w:val="4"/>
                <w:kern w:val="0"/>
                <w:sz w:val="21"/>
                <w:szCs w:val="21"/>
              </w:rPr>
            </w:pPr>
            <w:r>
              <w:rPr>
                <w:rFonts w:ascii="Times New Roman"/>
                <w:spacing w:val="4"/>
                <w:kern w:val="0"/>
                <w:sz w:val="21"/>
                <w:szCs w:val="21"/>
              </w:rPr>
              <w:t>74</w:t>
            </w:r>
          </w:p>
        </w:tc>
        <w:tc>
          <w:tcPr>
            <w:tcW w:w="352" w:type="pct"/>
            <w:vAlign w:val="center"/>
          </w:tcPr>
          <w:p w14:paraId="3B4E45F5">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08A43185">
            <w:pPr>
              <w:jc w:val="center"/>
              <w:rPr>
                <w:rFonts w:ascii="Times New Roman"/>
                <w:spacing w:val="4"/>
                <w:kern w:val="0"/>
                <w:sz w:val="21"/>
                <w:szCs w:val="21"/>
              </w:rPr>
            </w:pPr>
            <w:r>
              <w:rPr>
                <w:rFonts w:ascii="Times New Roman"/>
                <w:spacing w:val="4"/>
                <w:kern w:val="0"/>
                <w:sz w:val="21"/>
                <w:szCs w:val="21"/>
              </w:rPr>
              <w:t>85/1</w:t>
            </w:r>
          </w:p>
        </w:tc>
        <w:tc>
          <w:tcPr>
            <w:tcW w:w="679" w:type="pct"/>
            <w:vMerge w:val="restart"/>
            <w:vAlign w:val="center"/>
          </w:tcPr>
          <w:p w14:paraId="43CEF0F7">
            <w:pPr>
              <w:jc w:val="center"/>
              <w:rPr>
                <w:rFonts w:ascii="Times New Roman"/>
                <w:sz w:val="21"/>
                <w:szCs w:val="21"/>
              </w:rPr>
            </w:pPr>
            <w:r>
              <w:rPr>
                <w:rFonts w:ascii="Times New Roman"/>
                <w:sz w:val="21"/>
                <w:szCs w:val="21"/>
              </w:rPr>
              <w:t>选用低噪声设备、加装基础减振、风机加消声器等</w:t>
            </w:r>
          </w:p>
        </w:tc>
        <w:tc>
          <w:tcPr>
            <w:tcW w:w="430" w:type="pct"/>
            <w:vMerge w:val="restart"/>
            <w:vAlign w:val="center"/>
          </w:tcPr>
          <w:p w14:paraId="4A49C661">
            <w:pPr>
              <w:jc w:val="center"/>
              <w:rPr>
                <w:rFonts w:ascii="Times New Roman"/>
                <w:spacing w:val="4"/>
                <w:kern w:val="0"/>
                <w:sz w:val="21"/>
                <w:szCs w:val="21"/>
              </w:rPr>
            </w:pPr>
            <w:r>
              <w:rPr>
                <w:rFonts w:ascii="Times New Roman"/>
                <w:spacing w:val="4"/>
                <w:kern w:val="0"/>
                <w:sz w:val="21"/>
                <w:szCs w:val="21"/>
              </w:rPr>
              <w:t>生产期间</w:t>
            </w:r>
          </w:p>
        </w:tc>
      </w:tr>
      <w:tr w14:paraId="2C7F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7EBE3078">
            <w:pPr>
              <w:jc w:val="center"/>
              <w:rPr>
                <w:rFonts w:ascii="Times New Roman"/>
                <w:spacing w:val="4"/>
                <w:kern w:val="0"/>
                <w:sz w:val="21"/>
                <w:szCs w:val="21"/>
              </w:rPr>
            </w:pPr>
            <w:r>
              <w:rPr>
                <w:rFonts w:ascii="Times New Roman"/>
                <w:spacing w:val="4"/>
                <w:kern w:val="0"/>
                <w:sz w:val="21"/>
                <w:szCs w:val="21"/>
              </w:rPr>
              <w:t>2</w:t>
            </w:r>
          </w:p>
        </w:tc>
        <w:tc>
          <w:tcPr>
            <w:tcW w:w="819" w:type="pct"/>
            <w:vAlign w:val="center"/>
          </w:tcPr>
          <w:p w14:paraId="4724DD41">
            <w:pPr>
              <w:jc w:val="center"/>
              <w:rPr>
                <w:rFonts w:ascii="Times New Roman"/>
                <w:spacing w:val="4"/>
                <w:kern w:val="0"/>
                <w:sz w:val="21"/>
                <w:szCs w:val="21"/>
              </w:rPr>
            </w:pPr>
            <w:r>
              <w:rPr>
                <w:rFonts w:ascii="Times New Roman"/>
                <w:sz w:val="21"/>
                <w:szCs w:val="21"/>
              </w:rPr>
              <w:t>DA005风机</w:t>
            </w:r>
          </w:p>
        </w:tc>
        <w:tc>
          <w:tcPr>
            <w:tcW w:w="643" w:type="pct"/>
            <w:vAlign w:val="center"/>
          </w:tcPr>
          <w:p w14:paraId="7B3A2B99">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24B443F5">
            <w:pPr>
              <w:jc w:val="center"/>
              <w:rPr>
                <w:rFonts w:ascii="Times New Roman"/>
                <w:spacing w:val="4"/>
                <w:kern w:val="0"/>
                <w:sz w:val="21"/>
                <w:szCs w:val="21"/>
              </w:rPr>
            </w:pPr>
            <w:r>
              <w:rPr>
                <w:rFonts w:ascii="Times New Roman"/>
                <w:spacing w:val="4"/>
                <w:kern w:val="0"/>
                <w:sz w:val="21"/>
                <w:szCs w:val="21"/>
              </w:rPr>
              <w:t>200</w:t>
            </w:r>
          </w:p>
        </w:tc>
        <w:tc>
          <w:tcPr>
            <w:tcW w:w="359" w:type="pct"/>
            <w:vAlign w:val="center"/>
          </w:tcPr>
          <w:p w14:paraId="426A21AC">
            <w:pPr>
              <w:jc w:val="center"/>
              <w:rPr>
                <w:rFonts w:ascii="Times New Roman"/>
                <w:spacing w:val="4"/>
                <w:kern w:val="0"/>
                <w:sz w:val="21"/>
                <w:szCs w:val="21"/>
              </w:rPr>
            </w:pPr>
            <w:r>
              <w:rPr>
                <w:rFonts w:ascii="Times New Roman"/>
                <w:spacing w:val="4"/>
                <w:kern w:val="0"/>
                <w:sz w:val="21"/>
                <w:szCs w:val="21"/>
              </w:rPr>
              <w:t>160</w:t>
            </w:r>
          </w:p>
        </w:tc>
        <w:tc>
          <w:tcPr>
            <w:tcW w:w="352" w:type="pct"/>
            <w:vAlign w:val="center"/>
          </w:tcPr>
          <w:p w14:paraId="36C6C634">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7CA3E238">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77E8C844">
            <w:pPr>
              <w:jc w:val="center"/>
              <w:rPr>
                <w:rFonts w:ascii="Times New Roman"/>
                <w:sz w:val="21"/>
                <w:szCs w:val="21"/>
              </w:rPr>
            </w:pPr>
          </w:p>
        </w:tc>
        <w:tc>
          <w:tcPr>
            <w:tcW w:w="430" w:type="pct"/>
            <w:vMerge w:val="continue"/>
            <w:vAlign w:val="center"/>
          </w:tcPr>
          <w:p w14:paraId="40FDE131">
            <w:pPr>
              <w:jc w:val="center"/>
              <w:rPr>
                <w:rFonts w:ascii="Times New Roman"/>
                <w:spacing w:val="4"/>
                <w:kern w:val="0"/>
                <w:sz w:val="21"/>
                <w:szCs w:val="21"/>
              </w:rPr>
            </w:pPr>
          </w:p>
        </w:tc>
      </w:tr>
      <w:tr w14:paraId="5E1C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14110A16">
            <w:pPr>
              <w:jc w:val="center"/>
              <w:rPr>
                <w:rFonts w:ascii="Times New Roman"/>
                <w:spacing w:val="4"/>
                <w:kern w:val="0"/>
                <w:sz w:val="21"/>
                <w:szCs w:val="21"/>
              </w:rPr>
            </w:pPr>
            <w:r>
              <w:rPr>
                <w:rFonts w:ascii="Times New Roman"/>
                <w:spacing w:val="4"/>
                <w:kern w:val="0"/>
                <w:sz w:val="21"/>
                <w:szCs w:val="21"/>
              </w:rPr>
              <w:t>3</w:t>
            </w:r>
          </w:p>
        </w:tc>
        <w:tc>
          <w:tcPr>
            <w:tcW w:w="819" w:type="pct"/>
            <w:vAlign w:val="center"/>
          </w:tcPr>
          <w:p w14:paraId="150442F9">
            <w:pPr>
              <w:jc w:val="center"/>
              <w:rPr>
                <w:rFonts w:ascii="Times New Roman"/>
                <w:sz w:val="21"/>
                <w:szCs w:val="21"/>
              </w:rPr>
            </w:pPr>
            <w:r>
              <w:rPr>
                <w:rFonts w:ascii="Times New Roman"/>
                <w:sz w:val="21"/>
                <w:szCs w:val="21"/>
              </w:rPr>
              <w:t>DA006风机</w:t>
            </w:r>
          </w:p>
        </w:tc>
        <w:tc>
          <w:tcPr>
            <w:tcW w:w="643" w:type="pct"/>
            <w:vAlign w:val="center"/>
          </w:tcPr>
          <w:p w14:paraId="2FEB8A42">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49746DC4">
            <w:pPr>
              <w:jc w:val="center"/>
              <w:rPr>
                <w:rFonts w:ascii="Times New Roman"/>
                <w:spacing w:val="4"/>
                <w:kern w:val="0"/>
                <w:sz w:val="21"/>
                <w:szCs w:val="21"/>
              </w:rPr>
            </w:pPr>
            <w:r>
              <w:rPr>
                <w:rFonts w:ascii="Times New Roman"/>
                <w:spacing w:val="4"/>
                <w:kern w:val="0"/>
                <w:sz w:val="21"/>
                <w:szCs w:val="21"/>
              </w:rPr>
              <w:t>200</w:t>
            </w:r>
          </w:p>
        </w:tc>
        <w:tc>
          <w:tcPr>
            <w:tcW w:w="359" w:type="pct"/>
            <w:vAlign w:val="center"/>
          </w:tcPr>
          <w:p w14:paraId="39FDD02E">
            <w:pPr>
              <w:jc w:val="center"/>
              <w:rPr>
                <w:rFonts w:ascii="Times New Roman"/>
                <w:spacing w:val="4"/>
                <w:kern w:val="0"/>
                <w:sz w:val="21"/>
                <w:szCs w:val="21"/>
              </w:rPr>
            </w:pPr>
            <w:r>
              <w:rPr>
                <w:rFonts w:ascii="Times New Roman"/>
                <w:spacing w:val="4"/>
                <w:kern w:val="0"/>
                <w:sz w:val="21"/>
                <w:szCs w:val="21"/>
              </w:rPr>
              <w:t>205</w:t>
            </w:r>
          </w:p>
        </w:tc>
        <w:tc>
          <w:tcPr>
            <w:tcW w:w="352" w:type="pct"/>
            <w:vAlign w:val="center"/>
          </w:tcPr>
          <w:p w14:paraId="6C125154">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42D4B8B7">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0C87399C">
            <w:pPr>
              <w:jc w:val="center"/>
              <w:rPr>
                <w:rFonts w:ascii="Times New Roman"/>
                <w:sz w:val="21"/>
                <w:szCs w:val="21"/>
              </w:rPr>
            </w:pPr>
          </w:p>
        </w:tc>
        <w:tc>
          <w:tcPr>
            <w:tcW w:w="430" w:type="pct"/>
            <w:vMerge w:val="continue"/>
            <w:vAlign w:val="center"/>
          </w:tcPr>
          <w:p w14:paraId="26EBD784">
            <w:pPr>
              <w:jc w:val="center"/>
              <w:rPr>
                <w:rFonts w:ascii="Times New Roman"/>
                <w:spacing w:val="4"/>
                <w:kern w:val="0"/>
                <w:sz w:val="21"/>
                <w:szCs w:val="21"/>
              </w:rPr>
            </w:pPr>
          </w:p>
        </w:tc>
      </w:tr>
      <w:tr w14:paraId="5D0F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7E4207F7">
            <w:pPr>
              <w:jc w:val="center"/>
              <w:rPr>
                <w:rFonts w:ascii="Times New Roman"/>
                <w:spacing w:val="4"/>
                <w:kern w:val="0"/>
                <w:sz w:val="21"/>
                <w:szCs w:val="21"/>
              </w:rPr>
            </w:pPr>
            <w:r>
              <w:rPr>
                <w:rFonts w:ascii="Times New Roman"/>
                <w:spacing w:val="4"/>
                <w:kern w:val="0"/>
                <w:sz w:val="21"/>
                <w:szCs w:val="21"/>
              </w:rPr>
              <w:t>4</w:t>
            </w:r>
          </w:p>
        </w:tc>
        <w:tc>
          <w:tcPr>
            <w:tcW w:w="819" w:type="pct"/>
            <w:vAlign w:val="center"/>
          </w:tcPr>
          <w:p w14:paraId="5C10D4B2">
            <w:pPr>
              <w:jc w:val="center"/>
              <w:rPr>
                <w:rFonts w:ascii="Times New Roman"/>
                <w:sz w:val="21"/>
                <w:szCs w:val="21"/>
              </w:rPr>
            </w:pPr>
            <w:r>
              <w:rPr>
                <w:rFonts w:ascii="Times New Roman"/>
                <w:sz w:val="21"/>
                <w:szCs w:val="21"/>
              </w:rPr>
              <w:t>DA007风机</w:t>
            </w:r>
          </w:p>
        </w:tc>
        <w:tc>
          <w:tcPr>
            <w:tcW w:w="643" w:type="pct"/>
            <w:vAlign w:val="center"/>
          </w:tcPr>
          <w:p w14:paraId="48A9EEEF">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4D5FB3E8">
            <w:pPr>
              <w:jc w:val="center"/>
              <w:rPr>
                <w:rFonts w:ascii="Times New Roman"/>
                <w:spacing w:val="4"/>
                <w:kern w:val="0"/>
                <w:sz w:val="21"/>
                <w:szCs w:val="21"/>
              </w:rPr>
            </w:pPr>
            <w:r>
              <w:rPr>
                <w:rFonts w:ascii="Times New Roman"/>
                <w:spacing w:val="4"/>
                <w:kern w:val="0"/>
                <w:sz w:val="21"/>
                <w:szCs w:val="21"/>
              </w:rPr>
              <w:t>325</w:t>
            </w:r>
          </w:p>
        </w:tc>
        <w:tc>
          <w:tcPr>
            <w:tcW w:w="359" w:type="pct"/>
            <w:vAlign w:val="center"/>
          </w:tcPr>
          <w:p w14:paraId="2298F1B8">
            <w:pPr>
              <w:jc w:val="center"/>
              <w:rPr>
                <w:rFonts w:ascii="Times New Roman"/>
                <w:spacing w:val="4"/>
                <w:kern w:val="0"/>
                <w:sz w:val="21"/>
                <w:szCs w:val="21"/>
              </w:rPr>
            </w:pPr>
            <w:r>
              <w:rPr>
                <w:rFonts w:ascii="Times New Roman"/>
                <w:spacing w:val="4"/>
                <w:kern w:val="0"/>
                <w:sz w:val="21"/>
                <w:szCs w:val="21"/>
              </w:rPr>
              <w:t>335</w:t>
            </w:r>
          </w:p>
        </w:tc>
        <w:tc>
          <w:tcPr>
            <w:tcW w:w="352" w:type="pct"/>
            <w:vAlign w:val="center"/>
          </w:tcPr>
          <w:p w14:paraId="0354F677">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14F3BBE0">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1F36C046">
            <w:pPr>
              <w:jc w:val="center"/>
              <w:rPr>
                <w:rFonts w:ascii="Times New Roman"/>
                <w:sz w:val="21"/>
                <w:szCs w:val="21"/>
              </w:rPr>
            </w:pPr>
          </w:p>
        </w:tc>
        <w:tc>
          <w:tcPr>
            <w:tcW w:w="430" w:type="pct"/>
            <w:vMerge w:val="continue"/>
            <w:vAlign w:val="center"/>
          </w:tcPr>
          <w:p w14:paraId="2FBD8A60">
            <w:pPr>
              <w:jc w:val="center"/>
              <w:rPr>
                <w:rFonts w:ascii="Times New Roman"/>
                <w:spacing w:val="4"/>
                <w:kern w:val="0"/>
                <w:sz w:val="21"/>
                <w:szCs w:val="21"/>
              </w:rPr>
            </w:pPr>
          </w:p>
        </w:tc>
      </w:tr>
      <w:tr w14:paraId="31DB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21ACBA78">
            <w:pPr>
              <w:jc w:val="center"/>
              <w:rPr>
                <w:rFonts w:ascii="Times New Roman"/>
                <w:spacing w:val="4"/>
                <w:kern w:val="0"/>
                <w:sz w:val="21"/>
                <w:szCs w:val="21"/>
              </w:rPr>
            </w:pPr>
            <w:r>
              <w:rPr>
                <w:rFonts w:ascii="Times New Roman"/>
                <w:spacing w:val="4"/>
                <w:kern w:val="0"/>
                <w:sz w:val="21"/>
                <w:szCs w:val="21"/>
              </w:rPr>
              <w:t>5</w:t>
            </w:r>
          </w:p>
        </w:tc>
        <w:tc>
          <w:tcPr>
            <w:tcW w:w="819" w:type="pct"/>
            <w:vAlign w:val="center"/>
          </w:tcPr>
          <w:p w14:paraId="624A4DBA">
            <w:pPr>
              <w:jc w:val="center"/>
              <w:rPr>
                <w:rFonts w:ascii="Times New Roman"/>
                <w:sz w:val="21"/>
                <w:szCs w:val="21"/>
              </w:rPr>
            </w:pPr>
            <w:r>
              <w:rPr>
                <w:rFonts w:ascii="Times New Roman"/>
                <w:sz w:val="21"/>
                <w:szCs w:val="21"/>
              </w:rPr>
              <w:t>DA008风机</w:t>
            </w:r>
          </w:p>
        </w:tc>
        <w:tc>
          <w:tcPr>
            <w:tcW w:w="643" w:type="pct"/>
            <w:vAlign w:val="center"/>
          </w:tcPr>
          <w:p w14:paraId="559CEFF5">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5E43E0D8">
            <w:pPr>
              <w:jc w:val="center"/>
              <w:rPr>
                <w:rFonts w:ascii="Times New Roman"/>
                <w:spacing w:val="4"/>
                <w:kern w:val="0"/>
                <w:sz w:val="21"/>
                <w:szCs w:val="21"/>
              </w:rPr>
            </w:pPr>
            <w:r>
              <w:rPr>
                <w:rFonts w:ascii="Times New Roman"/>
                <w:spacing w:val="4"/>
                <w:kern w:val="0"/>
                <w:sz w:val="21"/>
                <w:szCs w:val="21"/>
              </w:rPr>
              <w:t>370</w:t>
            </w:r>
          </w:p>
        </w:tc>
        <w:tc>
          <w:tcPr>
            <w:tcW w:w="359" w:type="pct"/>
            <w:vAlign w:val="center"/>
          </w:tcPr>
          <w:p w14:paraId="0FF2525A">
            <w:pPr>
              <w:jc w:val="center"/>
              <w:rPr>
                <w:rFonts w:ascii="Times New Roman"/>
                <w:spacing w:val="4"/>
                <w:kern w:val="0"/>
                <w:sz w:val="21"/>
                <w:szCs w:val="21"/>
              </w:rPr>
            </w:pPr>
            <w:r>
              <w:rPr>
                <w:rFonts w:ascii="Times New Roman"/>
                <w:spacing w:val="4"/>
                <w:kern w:val="0"/>
                <w:sz w:val="21"/>
                <w:szCs w:val="21"/>
              </w:rPr>
              <w:t>335</w:t>
            </w:r>
          </w:p>
        </w:tc>
        <w:tc>
          <w:tcPr>
            <w:tcW w:w="352" w:type="pct"/>
            <w:vAlign w:val="center"/>
          </w:tcPr>
          <w:p w14:paraId="0211042F">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2DE85AC4">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57A8D748">
            <w:pPr>
              <w:jc w:val="center"/>
              <w:rPr>
                <w:rFonts w:ascii="Times New Roman"/>
                <w:sz w:val="21"/>
                <w:szCs w:val="21"/>
              </w:rPr>
            </w:pPr>
          </w:p>
        </w:tc>
        <w:tc>
          <w:tcPr>
            <w:tcW w:w="430" w:type="pct"/>
            <w:vMerge w:val="continue"/>
            <w:vAlign w:val="center"/>
          </w:tcPr>
          <w:p w14:paraId="5CE932CB">
            <w:pPr>
              <w:jc w:val="center"/>
              <w:rPr>
                <w:rFonts w:ascii="Times New Roman"/>
                <w:spacing w:val="4"/>
                <w:kern w:val="0"/>
                <w:sz w:val="21"/>
                <w:szCs w:val="21"/>
              </w:rPr>
            </w:pPr>
          </w:p>
        </w:tc>
      </w:tr>
      <w:tr w14:paraId="4D42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3E61FF23">
            <w:pPr>
              <w:jc w:val="center"/>
              <w:rPr>
                <w:rFonts w:ascii="Times New Roman"/>
                <w:spacing w:val="4"/>
                <w:kern w:val="0"/>
                <w:sz w:val="21"/>
                <w:szCs w:val="21"/>
              </w:rPr>
            </w:pPr>
            <w:r>
              <w:rPr>
                <w:rFonts w:ascii="Times New Roman"/>
                <w:spacing w:val="4"/>
                <w:kern w:val="0"/>
                <w:sz w:val="21"/>
                <w:szCs w:val="21"/>
              </w:rPr>
              <w:t>6</w:t>
            </w:r>
          </w:p>
        </w:tc>
        <w:tc>
          <w:tcPr>
            <w:tcW w:w="819" w:type="pct"/>
            <w:vAlign w:val="center"/>
          </w:tcPr>
          <w:p w14:paraId="297F5197">
            <w:pPr>
              <w:jc w:val="center"/>
              <w:rPr>
                <w:rFonts w:ascii="Times New Roman"/>
                <w:sz w:val="21"/>
                <w:szCs w:val="21"/>
              </w:rPr>
            </w:pPr>
            <w:r>
              <w:rPr>
                <w:rFonts w:ascii="Times New Roman"/>
                <w:sz w:val="21"/>
                <w:szCs w:val="21"/>
              </w:rPr>
              <w:t>DA009风机</w:t>
            </w:r>
          </w:p>
        </w:tc>
        <w:tc>
          <w:tcPr>
            <w:tcW w:w="643" w:type="pct"/>
            <w:vAlign w:val="center"/>
          </w:tcPr>
          <w:p w14:paraId="1923FE0B">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1443DE0A">
            <w:pPr>
              <w:jc w:val="center"/>
              <w:rPr>
                <w:rFonts w:ascii="Times New Roman"/>
                <w:spacing w:val="4"/>
                <w:kern w:val="0"/>
                <w:sz w:val="21"/>
                <w:szCs w:val="21"/>
              </w:rPr>
            </w:pPr>
            <w:r>
              <w:rPr>
                <w:rFonts w:ascii="Times New Roman"/>
                <w:spacing w:val="4"/>
                <w:kern w:val="0"/>
                <w:sz w:val="21"/>
                <w:szCs w:val="21"/>
              </w:rPr>
              <w:t>420</w:t>
            </w:r>
          </w:p>
        </w:tc>
        <w:tc>
          <w:tcPr>
            <w:tcW w:w="359" w:type="pct"/>
            <w:vAlign w:val="center"/>
          </w:tcPr>
          <w:p w14:paraId="191434F8">
            <w:pPr>
              <w:jc w:val="center"/>
              <w:rPr>
                <w:rFonts w:ascii="Times New Roman"/>
                <w:spacing w:val="4"/>
                <w:kern w:val="0"/>
                <w:sz w:val="21"/>
                <w:szCs w:val="21"/>
              </w:rPr>
            </w:pPr>
            <w:r>
              <w:rPr>
                <w:rFonts w:ascii="Times New Roman"/>
                <w:spacing w:val="4"/>
                <w:kern w:val="0"/>
                <w:sz w:val="21"/>
                <w:szCs w:val="21"/>
              </w:rPr>
              <w:t>335</w:t>
            </w:r>
          </w:p>
        </w:tc>
        <w:tc>
          <w:tcPr>
            <w:tcW w:w="352" w:type="pct"/>
            <w:vAlign w:val="center"/>
          </w:tcPr>
          <w:p w14:paraId="4ACA7311">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45E8CD58">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5E85ADB0">
            <w:pPr>
              <w:jc w:val="center"/>
              <w:rPr>
                <w:rFonts w:ascii="Times New Roman"/>
                <w:sz w:val="21"/>
                <w:szCs w:val="21"/>
              </w:rPr>
            </w:pPr>
          </w:p>
        </w:tc>
        <w:tc>
          <w:tcPr>
            <w:tcW w:w="430" w:type="pct"/>
            <w:vMerge w:val="continue"/>
            <w:vAlign w:val="center"/>
          </w:tcPr>
          <w:p w14:paraId="492AF561">
            <w:pPr>
              <w:jc w:val="center"/>
              <w:rPr>
                <w:rFonts w:ascii="Times New Roman"/>
                <w:spacing w:val="4"/>
                <w:kern w:val="0"/>
                <w:sz w:val="21"/>
                <w:szCs w:val="21"/>
              </w:rPr>
            </w:pPr>
          </w:p>
        </w:tc>
      </w:tr>
      <w:tr w14:paraId="5DCB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06227080">
            <w:pPr>
              <w:jc w:val="center"/>
              <w:rPr>
                <w:rFonts w:ascii="Times New Roman"/>
                <w:spacing w:val="4"/>
                <w:kern w:val="0"/>
                <w:sz w:val="21"/>
                <w:szCs w:val="21"/>
              </w:rPr>
            </w:pPr>
            <w:r>
              <w:rPr>
                <w:rFonts w:ascii="Times New Roman"/>
                <w:spacing w:val="4"/>
                <w:kern w:val="0"/>
                <w:sz w:val="21"/>
                <w:szCs w:val="21"/>
              </w:rPr>
              <w:t>7</w:t>
            </w:r>
          </w:p>
        </w:tc>
        <w:tc>
          <w:tcPr>
            <w:tcW w:w="819" w:type="pct"/>
            <w:vAlign w:val="center"/>
          </w:tcPr>
          <w:p w14:paraId="23703876">
            <w:pPr>
              <w:jc w:val="center"/>
              <w:rPr>
                <w:rFonts w:ascii="Times New Roman"/>
                <w:sz w:val="21"/>
                <w:szCs w:val="21"/>
              </w:rPr>
            </w:pPr>
            <w:r>
              <w:rPr>
                <w:rFonts w:ascii="Times New Roman"/>
                <w:sz w:val="21"/>
                <w:szCs w:val="21"/>
              </w:rPr>
              <w:t>DA010风机</w:t>
            </w:r>
          </w:p>
        </w:tc>
        <w:tc>
          <w:tcPr>
            <w:tcW w:w="643" w:type="pct"/>
            <w:vAlign w:val="center"/>
          </w:tcPr>
          <w:p w14:paraId="1A13D54E">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296D4EA8">
            <w:pPr>
              <w:jc w:val="center"/>
              <w:rPr>
                <w:rFonts w:ascii="Times New Roman"/>
                <w:spacing w:val="4"/>
                <w:kern w:val="0"/>
                <w:sz w:val="21"/>
                <w:szCs w:val="21"/>
              </w:rPr>
            </w:pPr>
            <w:r>
              <w:rPr>
                <w:rFonts w:ascii="Times New Roman"/>
                <w:spacing w:val="4"/>
                <w:kern w:val="0"/>
                <w:sz w:val="21"/>
                <w:szCs w:val="21"/>
              </w:rPr>
              <w:t>100</w:t>
            </w:r>
          </w:p>
        </w:tc>
        <w:tc>
          <w:tcPr>
            <w:tcW w:w="359" w:type="pct"/>
            <w:vAlign w:val="center"/>
          </w:tcPr>
          <w:p w14:paraId="207B43DE">
            <w:pPr>
              <w:jc w:val="center"/>
              <w:rPr>
                <w:rFonts w:ascii="Times New Roman"/>
                <w:spacing w:val="4"/>
                <w:kern w:val="0"/>
                <w:sz w:val="21"/>
                <w:szCs w:val="21"/>
              </w:rPr>
            </w:pPr>
            <w:r>
              <w:rPr>
                <w:rFonts w:ascii="Times New Roman"/>
                <w:spacing w:val="4"/>
                <w:kern w:val="0"/>
                <w:sz w:val="21"/>
                <w:szCs w:val="21"/>
              </w:rPr>
              <w:t>138</w:t>
            </w:r>
          </w:p>
        </w:tc>
        <w:tc>
          <w:tcPr>
            <w:tcW w:w="352" w:type="pct"/>
            <w:vAlign w:val="center"/>
          </w:tcPr>
          <w:p w14:paraId="676643C4">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6EE74AAE">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7FCC4BB8">
            <w:pPr>
              <w:jc w:val="center"/>
              <w:rPr>
                <w:rFonts w:ascii="Times New Roman"/>
                <w:sz w:val="21"/>
                <w:szCs w:val="21"/>
              </w:rPr>
            </w:pPr>
          </w:p>
        </w:tc>
        <w:tc>
          <w:tcPr>
            <w:tcW w:w="430" w:type="pct"/>
            <w:vMerge w:val="continue"/>
            <w:vAlign w:val="center"/>
          </w:tcPr>
          <w:p w14:paraId="6DB26204">
            <w:pPr>
              <w:jc w:val="center"/>
              <w:rPr>
                <w:rFonts w:ascii="Times New Roman"/>
                <w:spacing w:val="4"/>
                <w:kern w:val="0"/>
                <w:sz w:val="21"/>
                <w:szCs w:val="21"/>
              </w:rPr>
            </w:pPr>
          </w:p>
        </w:tc>
      </w:tr>
      <w:tr w14:paraId="6CB4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3D8EC22E">
            <w:pPr>
              <w:jc w:val="center"/>
              <w:rPr>
                <w:rFonts w:ascii="Times New Roman"/>
                <w:spacing w:val="4"/>
                <w:kern w:val="0"/>
                <w:sz w:val="21"/>
                <w:szCs w:val="21"/>
              </w:rPr>
            </w:pPr>
            <w:r>
              <w:rPr>
                <w:rFonts w:ascii="Times New Roman"/>
                <w:spacing w:val="4"/>
                <w:kern w:val="0"/>
                <w:sz w:val="21"/>
                <w:szCs w:val="21"/>
              </w:rPr>
              <w:t>8</w:t>
            </w:r>
          </w:p>
        </w:tc>
        <w:tc>
          <w:tcPr>
            <w:tcW w:w="819" w:type="pct"/>
            <w:vAlign w:val="center"/>
          </w:tcPr>
          <w:p w14:paraId="3D15836D">
            <w:pPr>
              <w:jc w:val="center"/>
              <w:rPr>
                <w:rFonts w:ascii="Times New Roman"/>
                <w:sz w:val="21"/>
                <w:szCs w:val="21"/>
              </w:rPr>
            </w:pPr>
            <w:r>
              <w:rPr>
                <w:rFonts w:ascii="Times New Roman"/>
                <w:sz w:val="21"/>
                <w:szCs w:val="21"/>
              </w:rPr>
              <w:t>DA011风机</w:t>
            </w:r>
          </w:p>
        </w:tc>
        <w:tc>
          <w:tcPr>
            <w:tcW w:w="643" w:type="pct"/>
            <w:vAlign w:val="center"/>
          </w:tcPr>
          <w:p w14:paraId="439DBD70">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127E7C30">
            <w:pPr>
              <w:jc w:val="center"/>
              <w:rPr>
                <w:rFonts w:ascii="Times New Roman"/>
                <w:spacing w:val="4"/>
                <w:kern w:val="0"/>
                <w:sz w:val="21"/>
                <w:szCs w:val="21"/>
              </w:rPr>
            </w:pPr>
            <w:r>
              <w:rPr>
                <w:rFonts w:ascii="Times New Roman"/>
                <w:spacing w:val="4"/>
                <w:kern w:val="0"/>
                <w:sz w:val="21"/>
                <w:szCs w:val="21"/>
              </w:rPr>
              <w:t>80</w:t>
            </w:r>
          </w:p>
        </w:tc>
        <w:tc>
          <w:tcPr>
            <w:tcW w:w="359" w:type="pct"/>
            <w:vAlign w:val="center"/>
          </w:tcPr>
          <w:p w14:paraId="447982DE">
            <w:pPr>
              <w:jc w:val="center"/>
              <w:rPr>
                <w:rFonts w:ascii="Times New Roman"/>
                <w:spacing w:val="4"/>
                <w:kern w:val="0"/>
                <w:sz w:val="21"/>
                <w:szCs w:val="21"/>
              </w:rPr>
            </w:pPr>
            <w:r>
              <w:rPr>
                <w:rFonts w:ascii="Times New Roman"/>
                <w:spacing w:val="4"/>
                <w:kern w:val="0"/>
                <w:sz w:val="21"/>
                <w:szCs w:val="21"/>
              </w:rPr>
              <w:t>138</w:t>
            </w:r>
          </w:p>
        </w:tc>
        <w:tc>
          <w:tcPr>
            <w:tcW w:w="352" w:type="pct"/>
            <w:vAlign w:val="center"/>
          </w:tcPr>
          <w:p w14:paraId="09EA214F">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30A5056D">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05D6EABC">
            <w:pPr>
              <w:jc w:val="center"/>
              <w:rPr>
                <w:rFonts w:ascii="Times New Roman"/>
                <w:sz w:val="21"/>
                <w:szCs w:val="21"/>
              </w:rPr>
            </w:pPr>
          </w:p>
        </w:tc>
        <w:tc>
          <w:tcPr>
            <w:tcW w:w="430" w:type="pct"/>
            <w:vMerge w:val="continue"/>
            <w:vAlign w:val="center"/>
          </w:tcPr>
          <w:p w14:paraId="4C7BFBC3">
            <w:pPr>
              <w:jc w:val="center"/>
              <w:rPr>
                <w:rFonts w:ascii="Times New Roman"/>
                <w:spacing w:val="4"/>
                <w:kern w:val="0"/>
                <w:sz w:val="21"/>
                <w:szCs w:val="21"/>
              </w:rPr>
            </w:pPr>
          </w:p>
        </w:tc>
      </w:tr>
      <w:tr w14:paraId="4C89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22" w:type="pct"/>
            <w:vAlign w:val="center"/>
          </w:tcPr>
          <w:p w14:paraId="01CEF9C4">
            <w:pPr>
              <w:jc w:val="center"/>
              <w:rPr>
                <w:rFonts w:ascii="Times New Roman"/>
                <w:spacing w:val="4"/>
                <w:kern w:val="0"/>
                <w:sz w:val="21"/>
                <w:szCs w:val="21"/>
              </w:rPr>
            </w:pPr>
            <w:r>
              <w:rPr>
                <w:rFonts w:ascii="Times New Roman"/>
                <w:spacing w:val="4"/>
                <w:kern w:val="0"/>
                <w:sz w:val="21"/>
                <w:szCs w:val="21"/>
              </w:rPr>
              <w:t>9</w:t>
            </w:r>
          </w:p>
        </w:tc>
        <w:tc>
          <w:tcPr>
            <w:tcW w:w="819" w:type="pct"/>
            <w:vAlign w:val="center"/>
          </w:tcPr>
          <w:p w14:paraId="060BDADD">
            <w:pPr>
              <w:jc w:val="center"/>
              <w:rPr>
                <w:rFonts w:ascii="Times New Roman"/>
                <w:sz w:val="21"/>
                <w:szCs w:val="21"/>
              </w:rPr>
            </w:pPr>
            <w:r>
              <w:rPr>
                <w:rFonts w:ascii="Times New Roman"/>
                <w:sz w:val="21"/>
                <w:szCs w:val="21"/>
              </w:rPr>
              <w:t>DA012风机</w:t>
            </w:r>
          </w:p>
        </w:tc>
        <w:tc>
          <w:tcPr>
            <w:tcW w:w="643" w:type="pct"/>
            <w:vAlign w:val="center"/>
          </w:tcPr>
          <w:p w14:paraId="6DD46A64">
            <w:pPr>
              <w:jc w:val="center"/>
              <w:rPr>
                <w:rFonts w:ascii="Times New Roman"/>
                <w:spacing w:val="4"/>
                <w:kern w:val="0"/>
                <w:sz w:val="21"/>
                <w:szCs w:val="21"/>
              </w:rPr>
            </w:pPr>
            <w:r>
              <w:rPr>
                <w:rFonts w:ascii="Times New Roman"/>
                <w:spacing w:val="4"/>
                <w:kern w:val="0"/>
                <w:sz w:val="21"/>
                <w:szCs w:val="21"/>
              </w:rPr>
              <w:t>m</w:t>
            </w:r>
            <w:r>
              <w:rPr>
                <w:rFonts w:ascii="Times New Roman"/>
                <w:spacing w:val="4"/>
                <w:kern w:val="0"/>
                <w:sz w:val="21"/>
                <w:szCs w:val="21"/>
                <w:vertAlign w:val="superscript"/>
              </w:rPr>
              <w:t>3</w:t>
            </w:r>
            <w:r>
              <w:rPr>
                <w:rFonts w:ascii="Times New Roman"/>
                <w:spacing w:val="4"/>
                <w:kern w:val="0"/>
                <w:sz w:val="21"/>
                <w:szCs w:val="21"/>
              </w:rPr>
              <w:t>/h</w:t>
            </w:r>
          </w:p>
        </w:tc>
        <w:tc>
          <w:tcPr>
            <w:tcW w:w="379" w:type="pct"/>
            <w:vAlign w:val="center"/>
          </w:tcPr>
          <w:p w14:paraId="3A65B376">
            <w:pPr>
              <w:jc w:val="center"/>
              <w:rPr>
                <w:rFonts w:ascii="Times New Roman"/>
                <w:spacing w:val="4"/>
                <w:kern w:val="0"/>
                <w:sz w:val="21"/>
                <w:szCs w:val="21"/>
              </w:rPr>
            </w:pPr>
            <w:r>
              <w:rPr>
                <w:rFonts w:ascii="Times New Roman"/>
                <w:spacing w:val="4"/>
                <w:kern w:val="0"/>
                <w:sz w:val="21"/>
                <w:szCs w:val="21"/>
              </w:rPr>
              <w:t>170</w:t>
            </w:r>
          </w:p>
        </w:tc>
        <w:tc>
          <w:tcPr>
            <w:tcW w:w="359" w:type="pct"/>
            <w:vAlign w:val="center"/>
          </w:tcPr>
          <w:p w14:paraId="07FC2EEB">
            <w:pPr>
              <w:jc w:val="center"/>
              <w:rPr>
                <w:rFonts w:ascii="Times New Roman"/>
                <w:spacing w:val="4"/>
                <w:kern w:val="0"/>
                <w:sz w:val="21"/>
                <w:szCs w:val="21"/>
              </w:rPr>
            </w:pPr>
            <w:r>
              <w:rPr>
                <w:rFonts w:ascii="Times New Roman"/>
                <w:spacing w:val="4"/>
                <w:kern w:val="0"/>
                <w:sz w:val="21"/>
                <w:szCs w:val="21"/>
              </w:rPr>
              <w:t>100</w:t>
            </w:r>
          </w:p>
        </w:tc>
        <w:tc>
          <w:tcPr>
            <w:tcW w:w="352" w:type="pct"/>
            <w:vAlign w:val="center"/>
          </w:tcPr>
          <w:p w14:paraId="50E19083">
            <w:pPr>
              <w:jc w:val="center"/>
              <w:rPr>
                <w:rFonts w:ascii="Times New Roman"/>
                <w:spacing w:val="4"/>
                <w:kern w:val="0"/>
                <w:sz w:val="21"/>
                <w:szCs w:val="21"/>
              </w:rPr>
            </w:pPr>
            <w:r>
              <w:rPr>
                <w:rFonts w:ascii="Times New Roman"/>
                <w:spacing w:val="4"/>
                <w:kern w:val="0"/>
                <w:sz w:val="21"/>
                <w:szCs w:val="21"/>
              </w:rPr>
              <w:t>0.5</w:t>
            </w:r>
          </w:p>
        </w:tc>
        <w:tc>
          <w:tcPr>
            <w:tcW w:w="914" w:type="pct"/>
            <w:vAlign w:val="center"/>
          </w:tcPr>
          <w:p w14:paraId="6029D952">
            <w:pPr>
              <w:jc w:val="center"/>
              <w:rPr>
                <w:rFonts w:ascii="Times New Roman"/>
                <w:spacing w:val="4"/>
                <w:kern w:val="0"/>
                <w:sz w:val="21"/>
                <w:szCs w:val="21"/>
              </w:rPr>
            </w:pPr>
            <w:r>
              <w:rPr>
                <w:rFonts w:ascii="Times New Roman"/>
                <w:spacing w:val="4"/>
                <w:kern w:val="0"/>
                <w:sz w:val="21"/>
                <w:szCs w:val="21"/>
              </w:rPr>
              <w:t>85/1</w:t>
            </w:r>
          </w:p>
        </w:tc>
        <w:tc>
          <w:tcPr>
            <w:tcW w:w="679" w:type="pct"/>
            <w:vMerge w:val="continue"/>
            <w:vAlign w:val="center"/>
          </w:tcPr>
          <w:p w14:paraId="6CEDAF9D">
            <w:pPr>
              <w:jc w:val="center"/>
              <w:rPr>
                <w:rFonts w:ascii="Times New Roman"/>
                <w:sz w:val="21"/>
                <w:szCs w:val="21"/>
              </w:rPr>
            </w:pPr>
          </w:p>
        </w:tc>
        <w:tc>
          <w:tcPr>
            <w:tcW w:w="430" w:type="pct"/>
            <w:vMerge w:val="continue"/>
            <w:vAlign w:val="center"/>
          </w:tcPr>
          <w:p w14:paraId="2A4E7517">
            <w:pPr>
              <w:jc w:val="center"/>
              <w:rPr>
                <w:rFonts w:ascii="Times New Roman"/>
                <w:spacing w:val="4"/>
                <w:kern w:val="0"/>
                <w:sz w:val="21"/>
                <w:szCs w:val="21"/>
              </w:rPr>
            </w:pPr>
          </w:p>
        </w:tc>
      </w:tr>
      <w:tr w14:paraId="5F38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000" w:type="pct"/>
            <w:gridSpan w:val="9"/>
            <w:vAlign w:val="center"/>
          </w:tcPr>
          <w:p w14:paraId="04887F4A">
            <w:pPr>
              <w:jc w:val="left"/>
              <w:rPr>
                <w:rFonts w:ascii="Times New Roman"/>
                <w:spacing w:val="4"/>
                <w:kern w:val="0"/>
                <w:sz w:val="21"/>
                <w:szCs w:val="21"/>
              </w:rPr>
            </w:pPr>
            <w:r>
              <w:rPr>
                <w:rFonts w:ascii="Times New Roman"/>
                <w:spacing w:val="4"/>
                <w:kern w:val="0"/>
                <w:sz w:val="21"/>
                <w:szCs w:val="21"/>
              </w:rPr>
              <w:t>备注：以厂区西南角为坐标原点，风机加消声器，降噪量为15dB(A)。</w:t>
            </w:r>
          </w:p>
        </w:tc>
      </w:tr>
    </w:tbl>
    <w:p w14:paraId="4CC59BA4">
      <w:pPr>
        <w:spacing w:line="520" w:lineRule="exact"/>
        <w:outlineLvl w:val="2"/>
        <w:rPr>
          <w:rFonts w:ascii="Times New Roman"/>
          <w:b/>
          <w:sz w:val="28"/>
          <w:szCs w:val="28"/>
        </w:rPr>
      </w:pPr>
      <w:r>
        <w:rPr>
          <w:rFonts w:ascii="Times New Roman"/>
          <w:b/>
          <w:sz w:val="28"/>
          <w:szCs w:val="28"/>
        </w:rPr>
        <w:t>3.7.4固体废物</w:t>
      </w:r>
      <w:bookmarkEnd w:id="160"/>
    </w:p>
    <w:p w14:paraId="0C172BC6">
      <w:pPr>
        <w:spacing w:line="480" w:lineRule="exact"/>
        <w:ind w:firstLine="480" w:firstLineChars="200"/>
        <w:rPr>
          <w:rFonts w:ascii="Times New Roman"/>
          <w:sz w:val="24"/>
          <w:szCs w:val="24"/>
        </w:rPr>
      </w:pPr>
      <w:r>
        <w:rPr>
          <w:rFonts w:ascii="Times New Roman"/>
          <w:sz w:val="24"/>
          <w:szCs w:val="24"/>
        </w:rPr>
        <w:t>项目固体废物主要包括：</w:t>
      </w:r>
      <w:r>
        <w:rPr>
          <w:rFonts w:hint="eastAsia" w:ascii="Times New Roman"/>
          <w:sz w:val="24"/>
          <w:szCs w:val="24"/>
        </w:rPr>
        <w:t>废</w:t>
      </w:r>
      <w:r>
        <w:rPr>
          <w:rFonts w:ascii="Times New Roman"/>
          <w:sz w:val="24"/>
          <w:szCs w:val="24"/>
        </w:rPr>
        <w:t>边角料、废焊材、金属碎屑、</w:t>
      </w:r>
      <w:r>
        <w:rPr>
          <w:rFonts w:hint="eastAsia" w:ascii="Times New Roman"/>
          <w:sz w:val="24"/>
          <w:szCs w:val="24"/>
        </w:rPr>
        <w:t>槽渣、</w:t>
      </w:r>
      <w:r>
        <w:rPr>
          <w:rFonts w:ascii="Times New Roman"/>
          <w:sz w:val="24"/>
          <w:szCs w:val="24"/>
        </w:rPr>
        <w:t>废钢丸、废钢砂、除尘灰、废布袋、废包装材料、收尘灰</w:t>
      </w:r>
      <w:r>
        <w:rPr>
          <w:rFonts w:hint="eastAsia" w:ascii="Times New Roman"/>
          <w:sz w:val="24"/>
          <w:szCs w:val="24"/>
        </w:rPr>
        <w:t>、废反渗透膜、废超滤膜</w:t>
      </w:r>
      <w:r>
        <w:rPr>
          <w:rFonts w:ascii="Times New Roman"/>
          <w:sz w:val="24"/>
          <w:szCs w:val="24"/>
        </w:rPr>
        <w:t>，</w:t>
      </w:r>
      <w:r>
        <w:rPr>
          <w:rFonts w:hint="eastAsia" w:ascii="Times New Roman"/>
          <w:sz w:val="24"/>
          <w:szCs w:val="24"/>
        </w:rPr>
        <w:t>电泳、</w:t>
      </w:r>
      <w:r>
        <w:rPr>
          <w:rFonts w:ascii="Times New Roman"/>
          <w:sz w:val="24"/>
          <w:szCs w:val="24"/>
        </w:rPr>
        <w:t>喷漆产生的漆渣、废油漆桶、废稀释剂桶，</w:t>
      </w:r>
      <w:r>
        <w:rPr>
          <w:rFonts w:hint="eastAsia" w:ascii="Times New Roman"/>
          <w:sz w:val="24"/>
          <w:szCs w:val="24"/>
        </w:rPr>
        <w:t>脱脂工序产生的浮油，脱脂、硅烷化工序产生的废滤芯、杂质；</w:t>
      </w:r>
      <w:r>
        <w:rPr>
          <w:rFonts w:ascii="Times New Roman"/>
          <w:sz w:val="24"/>
          <w:szCs w:val="24"/>
        </w:rPr>
        <w:t>机械设备产生的废液压油和废切削液、废润滑油、废油桶、</w:t>
      </w:r>
      <w:r>
        <w:rPr>
          <w:rFonts w:hint="eastAsia" w:ascii="Times New Roman"/>
          <w:sz w:val="24"/>
          <w:szCs w:val="24"/>
        </w:rPr>
        <w:t>废切削液桶、</w:t>
      </w:r>
      <w:r>
        <w:rPr>
          <w:rFonts w:ascii="Times New Roman"/>
          <w:sz w:val="24"/>
          <w:szCs w:val="24"/>
        </w:rPr>
        <w:t>含油金属屑，</w:t>
      </w:r>
      <w:r>
        <w:rPr>
          <w:rFonts w:hint="eastAsia" w:ascii="Times New Roman"/>
          <w:sz w:val="24"/>
          <w:szCs w:val="24"/>
        </w:rPr>
        <w:t>污水处理站产生的污泥，</w:t>
      </w:r>
      <w:r>
        <w:rPr>
          <w:rFonts w:ascii="Times New Roman"/>
          <w:sz w:val="24"/>
          <w:szCs w:val="24"/>
        </w:rPr>
        <w:t>有机废气净化装置产生的废活性炭、</w:t>
      </w:r>
      <w:r>
        <w:rPr>
          <w:rFonts w:hAnsi="宋体" w:cs="宋体"/>
          <w:sz w:val="24"/>
          <w:szCs w:val="24"/>
        </w:rPr>
        <w:t>废沸石分子筛</w:t>
      </w:r>
      <w:r>
        <w:rPr>
          <w:rFonts w:hint="eastAsia" w:ascii="Times New Roman"/>
          <w:sz w:val="24"/>
          <w:szCs w:val="24"/>
        </w:rPr>
        <w:t>、</w:t>
      </w:r>
      <w:r>
        <w:rPr>
          <w:rFonts w:ascii="Times New Roman"/>
          <w:sz w:val="24"/>
          <w:szCs w:val="24"/>
        </w:rPr>
        <w:t>废过滤棉以及职工生活产生的生活垃圾。</w:t>
      </w:r>
    </w:p>
    <w:p w14:paraId="766DEB85">
      <w:pPr>
        <w:spacing w:line="480" w:lineRule="exact"/>
        <w:ind w:firstLine="480" w:firstLineChars="200"/>
        <w:rPr>
          <w:rFonts w:ascii="Times New Roman"/>
          <w:sz w:val="24"/>
          <w:szCs w:val="24"/>
        </w:rPr>
      </w:pPr>
      <w:r>
        <w:rPr>
          <w:rFonts w:ascii="Times New Roman"/>
          <w:sz w:val="24"/>
          <w:szCs w:val="24"/>
        </w:rPr>
        <w:t>（1）一般工业固体废物</w:t>
      </w:r>
    </w:p>
    <w:p w14:paraId="4B84D64F">
      <w:pPr>
        <w:spacing w:line="480" w:lineRule="exact"/>
        <w:ind w:firstLine="480" w:firstLineChars="200"/>
        <w:rPr>
          <w:rFonts w:ascii="Times New Roman"/>
          <w:caps/>
          <w:sz w:val="24"/>
          <w:szCs w:val="24"/>
        </w:rPr>
      </w:pPr>
      <w:r>
        <w:rPr>
          <w:rFonts w:hint="eastAsia" w:ascii="Times New Roman"/>
          <w:sz w:val="24"/>
          <w:szCs w:val="24"/>
        </w:rPr>
        <w:t>废</w:t>
      </w:r>
      <w:r>
        <w:rPr>
          <w:rFonts w:ascii="Times New Roman"/>
          <w:sz w:val="24"/>
          <w:szCs w:val="24"/>
        </w:rPr>
        <w:t>边角料、废焊材、金属碎屑、</w:t>
      </w:r>
      <w:r>
        <w:rPr>
          <w:rFonts w:hint="eastAsia" w:ascii="Times New Roman"/>
          <w:sz w:val="24"/>
          <w:szCs w:val="24"/>
        </w:rPr>
        <w:t>槽渣、</w:t>
      </w:r>
      <w:r>
        <w:rPr>
          <w:rFonts w:ascii="Times New Roman"/>
          <w:sz w:val="24"/>
          <w:szCs w:val="24"/>
        </w:rPr>
        <w:t>废钢丸、废钢砂、除尘灰、废布袋、废包装材料等分类收集后外售综合利用；收尘灰回用于喷塑工序</w:t>
      </w:r>
      <w:r>
        <w:rPr>
          <w:rFonts w:hint="eastAsia" w:ascii="Times New Roman"/>
          <w:sz w:val="24"/>
          <w:szCs w:val="24"/>
        </w:rPr>
        <w:t>，废反渗透膜、废超滤膜由厂家回收再生处理</w:t>
      </w:r>
      <w:r>
        <w:rPr>
          <w:rFonts w:ascii="Times New Roman"/>
          <w:caps/>
          <w:sz w:val="24"/>
          <w:szCs w:val="24"/>
        </w:rPr>
        <w:t>。</w:t>
      </w:r>
    </w:p>
    <w:p w14:paraId="300131E2">
      <w:pPr>
        <w:spacing w:line="480" w:lineRule="exact"/>
        <w:ind w:firstLine="480" w:firstLineChars="200"/>
        <w:rPr>
          <w:rFonts w:ascii="Times New Roman"/>
          <w:sz w:val="24"/>
          <w:szCs w:val="24"/>
        </w:rPr>
      </w:pPr>
      <w:r>
        <w:rPr>
          <w:rFonts w:ascii="Times New Roman"/>
          <w:sz w:val="24"/>
          <w:szCs w:val="24"/>
        </w:rPr>
        <w:t>本项目建设1座垃圾回收房，用于一般固体废物的暂存，设置在厂区西北侧，建筑面积为390.30m</w:t>
      </w:r>
      <w:r>
        <w:rPr>
          <w:rFonts w:ascii="Times New Roman"/>
          <w:sz w:val="24"/>
          <w:szCs w:val="24"/>
          <w:vertAlign w:val="superscript"/>
        </w:rPr>
        <w:t>2</w:t>
      </w:r>
      <w:r>
        <w:rPr>
          <w:rFonts w:ascii="Times New Roman"/>
          <w:sz w:val="24"/>
          <w:szCs w:val="24"/>
        </w:rPr>
        <w:t>。</w:t>
      </w:r>
    </w:p>
    <w:p w14:paraId="058E5659">
      <w:pPr>
        <w:numPr>
          <w:ilvl w:val="0"/>
          <w:numId w:val="16"/>
        </w:numPr>
        <w:spacing w:line="480" w:lineRule="exact"/>
        <w:ind w:firstLine="480" w:firstLineChars="200"/>
        <w:rPr>
          <w:rFonts w:ascii="Times New Roman"/>
          <w:sz w:val="24"/>
          <w:szCs w:val="24"/>
        </w:rPr>
      </w:pPr>
      <w:r>
        <w:rPr>
          <w:rFonts w:ascii="Times New Roman"/>
          <w:sz w:val="24"/>
          <w:szCs w:val="24"/>
        </w:rPr>
        <w:t>生活垃圾：</w:t>
      </w:r>
    </w:p>
    <w:p w14:paraId="24A34438">
      <w:pPr>
        <w:spacing w:line="360" w:lineRule="auto"/>
        <w:ind w:firstLine="480" w:firstLineChars="200"/>
        <w:rPr>
          <w:rFonts w:ascii="Times New Roman"/>
          <w:sz w:val="24"/>
          <w:szCs w:val="24"/>
        </w:rPr>
      </w:pPr>
      <w:r>
        <w:rPr>
          <w:rFonts w:ascii="Times New Roman"/>
          <w:sz w:val="24"/>
          <w:szCs w:val="24"/>
        </w:rPr>
        <w:t>本项目拟定员600人，本项目按0.5kg/人·d计，年工作300天，则产生的员工生活垃圾约为90t/a。职工生活垃圾集中收集，定期交由环卫部门统一处置。</w:t>
      </w:r>
    </w:p>
    <w:p w14:paraId="7D7236AE">
      <w:pPr>
        <w:numPr>
          <w:ilvl w:val="0"/>
          <w:numId w:val="16"/>
        </w:numPr>
        <w:spacing w:line="480" w:lineRule="exact"/>
        <w:ind w:firstLine="480" w:firstLineChars="200"/>
        <w:rPr>
          <w:rFonts w:ascii="Times New Roman"/>
          <w:sz w:val="24"/>
          <w:szCs w:val="24"/>
        </w:rPr>
      </w:pPr>
      <w:r>
        <w:rPr>
          <w:rFonts w:ascii="Times New Roman"/>
          <w:sz w:val="24"/>
          <w:szCs w:val="24"/>
        </w:rPr>
        <w:t>危险废物</w:t>
      </w:r>
    </w:p>
    <w:p w14:paraId="20E1FFBC">
      <w:pPr>
        <w:spacing w:line="480" w:lineRule="exact"/>
        <w:ind w:firstLine="480" w:firstLineChars="200"/>
        <w:rPr>
          <w:rFonts w:ascii="Times New Roman"/>
          <w:sz w:val="24"/>
          <w:szCs w:val="24"/>
        </w:rPr>
      </w:pPr>
      <w:r>
        <w:rPr>
          <w:rFonts w:hint="eastAsia" w:ascii="Times New Roman"/>
          <w:sz w:val="24"/>
          <w:szCs w:val="24"/>
        </w:rPr>
        <w:t>根据废气源强计算及企业提供资料</w:t>
      </w:r>
      <w:r>
        <w:rPr>
          <w:rFonts w:ascii="Times New Roman"/>
          <w:sz w:val="24"/>
          <w:szCs w:val="24"/>
        </w:rPr>
        <w:t>，</w:t>
      </w:r>
      <w:r>
        <w:rPr>
          <w:rFonts w:hint="eastAsia" w:ascii="Times New Roman"/>
          <w:sz w:val="24"/>
          <w:szCs w:val="24"/>
        </w:rPr>
        <w:t>电泳、</w:t>
      </w:r>
      <w:r>
        <w:rPr>
          <w:rFonts w:ascii="Times New Roman"/>
          <w:sz w:val="24"/>
          <w:szCs w:val="24"/>
        </w:rPr>
        <w:t>喷漆产生的漆渣</w:t>
      </w:r>
      <w:r>
        <w:rPr>
          <w:rFonts w:hint="eastAsia" w:ascii="Times New Roman"/>
          <w:sz w:val="24"/>
          <w:szCs w:val="24"/>
        </w:rPr>
        <w:t>181.703</w:t>
      </w:r>
      <w:r>
        <w:rPr>
          <w:rFonts w:ascii="Times New Roman"/>
          <w:sz w:val="24"/>
          <w:szCs w:val="24"/>
        </w:rPr>
        <w:t>t/a、废油漆桶、废稀释剂桶</w:t>
      </w:r>
      <w:r>
        <w:rPr>
          <w:rFonts w:hint="eastAsia" w:ascii="Times New Roman"/>
          <w:sz w:val="24"/>
          <w:szCs w:val="24"/>
        </w:rPr>
        <w:t>7</w:t>
      </w:r>
      <w:r>
        <w:rPr>
          <w:rFonts w:ascii="Times New Roman"/>
          <w:sz w:val="24"/>
          <w:szCs w:val="24"/>
        </w:rPr>
        <w:t>t/a，</w:t>
      </w:r>
      <w:r>
        <w:rPr>
          <w:rFonts w:hint="eastAsia" w:ascii="Times New Roman"/>
          <w:sz w:val="24"/>
          <w:szCs w:val="24"/>
        </w:rPr>
        <w:t>脱脂工序产生的浮油5</w:t>
      </w:r>
      <w:r>
        <w:rPr>
          <w:rFonts w:ascii="Times New Roman"/>
          <w:sz w:val="24"/>
          <w:szCs w:val="24"/>
        </w:rPr>
        <w:t>t/a</w:t>
      </w:r>
      <w:r>
        <w:rPr>
          <w:rFonts w:hint="eastAsia" w:ascii="Times New Roman"/>
          <w:sz w:val="24"/>
          <w:szCs w:val="24"/>
        </w:rPr>
        <w:t>，脱脂、硅烷化工序产生的废滤芯、杂质2.8</w:t>
      </w:r>
      <w:r>
        <w:rPr>
          <w:rFonts w:ascii="Times New Roman"/>
          <w:sz w:val="24"/>
          <w:szCs w:val="24"/>
        </w:rPr>
        <w:t>t/a</w:t>
      </w:r>
      <w:r>
        <w:rPr>
          <w:rFonts w:hint="eastAsia" w:ascii="Times New Roman"/>
          <w:sz w:val="24"/>
          <w:szCs w:val="24"/>
        </w:rPr>
        <w:t>，</w:t>
      </w:r>
      <w:r>
        <w:rPr>
          <w:rFonts w:ascii="Times New Roman"/>
          <w:sz w:val="24"/>
          <w:szCs w:val="24"/>
        </w:rPr>
        <w:t>机械设备产生的废液压油</w:t>
      </w:r>
      <w:r>
        <w:rPr>
          <w:rFonts w:hint="eastAsia" w:ascii="Times New Roman"/>
          <w:sz w:val="24"/>
          <w:szCs w:val="24"/>
        </w:rPr>
        <w:t>1.2</w:t>
      </w:r>
      <w:r>
        <w:rPr>
          <w:rFonts w:ascii="Times New Roman"/>
          <w:sz w:val="24"/>
          <w:szCs w:val="24"/>
        </w:rPr>
        <w:t>t/a和废切削液</w:t>
      </w:r>
      <w:r>
        <w:rPr>
          <w:rFonts w:hint="eastAsia" w:ascii="Times New Roman"/>
          <w:sz w:val="24"/>
          <w:szCs w:val="24"/>
        </w:rPr>
        <w:t>7.5</w:t>
      </w:r>
      <w:r>
        <w:rPr>
          <w:rFonts w:ascii="Times New Roman"/>
          <w:sz w:val="24"/>
          <w:szCs w:val="24"/>
        </w:rPr>
        <w:t>t/a、废润滑油</w:t>
      </w:r>
      <w:r>
        <w:rPr>
          <w:rFonts w:hint="eastAsia" w:ascii="Times New Roman"/>
          <w:sz w:val="24"/>
          <w:szCs w:val="24"/>
        </w:rPr>
        <w:t>2</w:t>
      </w:r>
      <w:r>
        <w:rPr>
          <w:rFonts w:ascii="Times New Roman"/>
          <w:sz w:val="24"/>
          <w:szCs w:val="24"/>
        </w:rPr>
        <w:t>t/a、废油桶</w:t>
      </w:r>
      <w:r>
        <w:rPr>
          <w:rFonts w:hint="eastAsia" w:ascii="Times New Roman"/>
          <w:sz w:val="24"/>
          <w:szCs w:val="24"/>
        </w:rPr>
        <w:t>0.4</w:t>
      </w:r>
      <w:r>
        <w:rPr>
          <w:rFonts w:ascii="Times New Roman"/>
          <w:sz w:val="24"/>
          <w:szCs w:val="24"/>
        </w:rPr>
        <w:t>t/a、</w:t>
      </w:r>
      <w:r>
        <w:rPr>
          <w:rFonts w:hint="eastAsia" w:ascii="Times New Roman"/>
          <w:sz w:val="24"/>
          <w:szCs w:val="24"/>
        </w:rPr>
        <w:t>废切削液桶0.8</w:t>
      </w:r>
      <w:r>
        <w:rPr>
          <w:rFonts w:ascii="Times New Roman"/>
          <w:sz w:val="24"/>
          <w:szCs w:val="24"/>
        </w:rPr>
        <w:t>t/a</w:t>
      </w:r>
      <w:r>
        <w:rPr>
          <w:rFonts w:hint="eastAsia" w:ascii="Times New Roman"/>
          <w:sz w:val="24"/>
          <w:szCs w:val="24"/>
        </w:rPr>
        <w:t>、</w:t>
      </w:r>
      <w:r>
        <w:rPr>
          <w:rFonts w:ascii="Times New Roman"/>
          <w:sz w:val="24"/>
          <w:szCs w:val="24"/>
        </w:rPr>
        <w:t>含油金属屑</w:t>
      </w:r>
      <w:r>
        <w:rPr>
          <w:rFonts w:hint="eastAsia" w:ascii="Times New Roman"/>
          <w:sz w:val="24"/>
          <w:szCs w:val="24"/>
        </w:rPr>
        <w:t>2</w:t>
      </w:r>
      <w:r>
        <w:rPr>
          <w:rFonts w:ascii="Times New Roman"/>
          <w:sz w:val="24"/>
          <w:szCs w:val="24"/>
        </w:rPr>
        <w:t>t/a，</w:t>
      </w:r>
      <w:r>
        <w:rPr>
          <w:rFonts w:hint="eastAsia" w:ascii="Times New Roman"/>
          <w:sz w:val="24"/>
          <w:szCs w:val="24"/>
        </w:rPr>
        <w:t>污水处理站产生的污泥25.931</w:t>
      </w:r>
      <w:r>
        <w:rPr>
          <w:rFonts w:ascii="Times New Roman"/>
          <w:sz w:val="24"/>
          <w:szCs w:val="24"/>
        </w:rPr>
        <w:t>t/a</w:t>
      </w:r>
      <w:r>
        <w:rPr>
          <w:rFonts w:hint="eastAsia" w:ascii="Times New Roman"/>
          <w:sz w:val="24"/>
          <w:szCs w:val="24"/>
        </w:rPr>
        <w:t>，</w:t>
      </w:r>
      <w:r>
        <w:rPr>
          <w:rFonts w:ascii="Times New Roman"/>
          <w:sz w:val="24"/>
          <w:szCs w:val="24"/>
        </w:rPr>
        <w:t>有机废气净化装置产生的废过滤棉</w:t>
      </w:r>
      <w:r>
        <w:rPr>
          <w:rFonts w:hint="eastAsia" w:ascii="Times New Roman"/>
          <w:sz w:val="24"/>
          <w:szCs w:val="24"/>
        </w:rPr>
        <w:t>3</w:t>
      </w:r>
      <w:r>
        <w:rPr>
          <w:rFonts w:ascii="Times New Roman"/>
          <w:sz w:val="24"/>
          <w:szCs w:val="24"/>
        </w:rPr>
        <w:t>t/a</w:t>
      </w:r>
      <w:r>
        <w:rPr>
          <w:rFonts w:hint="eastAsia" w:ascii="Times New Roman"/>
          <w:sz w:val="24"/>
          <w:szCs w:val="24"/>
        </w:rPr>
        <w:t>、废沸石分子筛17.168</w:t>
      </w:r>
      <w:r>
        <w:rPr>
          <w:rFonts w:ascii="Times New Roman"/>
          <w:sz w:val="24"/>
          <w:szCs w:val="24"/>
        </w:rPr>
        <w:t>t/</w:t>
      </w:r>
      <w:r>
        <w:rPr>
          <w:rFonts w:hint="eastAsia" w:ascii="Times New Roman"/>
          <w:sz w:val="24"/>
          <w:szCs w:val="24"/>
        </w:rPr>
        <w:t>3</w:t>
      </w:r>
      <w:r>
        <w:rPr>
          <w:rFonts w:ascii="Times New Roman"/>
          <w:sz w:val="24"/>
          <w:szCs w:val="24"/>
        </w:rPr>
        <w:t>a</w:t>
      </w:r>
      <w:r>
        <w:rPr>
          <w:rFonts w:hint="eastAsia" w:ascii="Times New Roman"/>
          <w:sz w:val="24"/>
          <w:szCs w:val="24"/>
        </w:rPr>
        <w:t>。</w:t>
      </w:r>
    </w:p>
    <w:p w14:paraId="728134A4">
      <w:pPr>
        <w:spacing w:line="480" w:lineRule="exact"/>
        <w:ind w:firstLine="480" w:firstLineChars="200"/>
        <w:rPr>
          <w:rFonts w:ascii="Times New Roman"/>
          <w:sz w:val="24"/>
          <w:szCs w:val="24"/>
        </w:rPr>
      </w:pPr>
      <w:r>
        <w:rPr>
          <w:rFonts w:hint="eastAsia" w:ascii="Times New Roman"/>
          <w:sz w:val="24"/>
          <w:szCs w:val="24"/>
        </w:rPr>
        <w:t>废活性炭：根据《石家庄市涉VOCs企业活性炭吸附脱附技术指南》可知，活性炭填充量与每小时处理废气量体积比应不小于1:5000，每1万Nm</w:t>
      </w:r>
      <w:r>
        <w:rPr>
          <w:rFonts w:hint="eastAsia" w:ascii="Times New Roman"/>
          <w:sz w:val="24"/>
          <w:szCs w:val="24"/>
          <w:vertAlign w:val="superscript"/>
        </w:rPr>
        <w:t>3</w:t>
      </w:r>
      <w:r>
        <w:rPr>
          <w:rFonts w:hint="eastAsia" w:ascii="Times New Roman"/>
          <w:sz w:val="24"/>
          <w:szCs w:val="24"/>
        </w:rPr>
        <w:t>/h废气处理蜂窝活性炭吸附截面积不小于2.3m</w:t>
      </w:r>
      <w:r>
        <w:rPr>
          <w:rFonts w:hint="eastAsia" w:ascii="Times New Roman"/>
          <w:sz w:val="24"/>
          <w:szCs w:val="24"/>
          <w:vertAlign w:val="superscript"/>
        </w:rPr>
        <w:t>2</w:t>
      </w:r>
      <w:r>
        <w:rPr>
          <w:rFonts w:hint="eastAsia" w:ascii="Times New Roman"/>
          <w:sz w:val="24"/>
          <w:szCs w:val="24"/>
        </w:rPr>
        <w:t>，本项目DA009喷塑固化、强冷废气风机风量为12000m</w:t>
      </w:r>
      <w:r>
        <w:rPr>
          <w:rFonts w:hint="eastAsia" w:ascii="Times New Roman"/>
          <w:sz w:val="24"/>
          <w:szCs w:val="24"/>
          <w:vertAlign w:val="superscript"/>
        </w:rPr>
        <w:t>3</w:t>
      </w:r>
      <w:r>
        <w:rPr>
          <w:rFonts w:hint="eastAsia" w:ascii="Times New Roman"/>
          <w:sz w:val="24"/>
          <w:szCs w:val="24"/>
        </w:rPr>
        <w:t>/h，</w:t>
      </w:r>
      <w:r>
        <w:rPr>
          <w:rFonts w:ascii="Times New Roman"/>
          <w:sz w:val="24"/>
          <w:szCs w:val="24"/>
        </w:rPr>
        <w:t>则需要至少活性炭</w:t>
      </w:r>
      <w:r>
        <w:rPr>
          <w:rFonts w:hint="eastAsia" w:ascii="Times New Roman"/>
          <w:sz w:val="24"/>
          <w:szCs w:val="24"/>
        </w:rPr>
        <w:t>2.4</w:t>
      </w:r>
      <w:r>
        <w:rPr>
          <w:rFonts w:ascii="Times New Roman"/>
          <w:sz w:val="24"/>
          <w:szCs w:val="24"/>
        </w:rPr>
        <w:t>m</w:t>
      </w:r>
      <w:r>
        <w:rPr>
          <w:rFonts w:ascii="Times New Roman"/>
          <w:sz w:val="24"/>
          <w:szCs w:val="24"/>
          <w:vertAlign w:val="superscript"/>
        </w:rPr>
        <w:t>3</w:t>
      </w:r>
      <w:r>
        <w:rPr>
          <w:rFonts w:ascii="Times New Roman"/>
          <w:sz w:val="24"/>
          <w:szCs w:val="24"/>
        </w:rPr>
        <w:t>，活性炭密度为0.5g/cm</w:t>
      </w:r>
      <w:r>
        <w:rPr>
          <w:rFonts w:ascii="Times New Roman"/>
          <w:sz w:val="24"/>
          <w:szCs w:val="24"/>
          <w:vertAlign w:val="superscript"/>
        </w:rPr>
        <w:t>3</w:t>
      </w:r>
      <w:r>
        <w:rPr>
          <w:rFonts w:ascii="Times New Roman"/>
          <w:sz w:val="24"/>
          <w:szCs w:val="24"/>
        </w:rPr>
        <w:t>，折合活性炭</w:t>
      </w:r>
      <w:r>
        <w:rPr>
          <w:rFonts w:hint="eastAsia" w:ascii="Times New Roman"/>
          <w:sz w:val="24"/>
          <w:szCs w:val="24"/>
        </w:rPr>
        <w:t>1.2</w:t>
      </w:r>
      <w:r>
        <w:rPr>
          <w:rFonts w:ascii="Times New Roman"/>
          <w:sz w:val="24"/>
          <w:szCs w:val="24"/>
        </w:rPr>
        <w:t>t</w:t>
      </w:r>
      <w:r>
        <w:rPr>
          <w:rFonts w:hint="eastAsia" w:ascii="Times New Roman"/>
          <w:sz w:val="24"/>
          <w:szCs w:val="24"/>
        </w:rPr>
        <w:t>。DA011托辊生产喷塑固化、强冷废气风机风量为8000m</w:t>
      </w:r>
      <w:r>
        <w:rPr>
          <w:rFonts w:hint="eastAsia" w:ascii="Times New Roman"/>
          <w:sz w:val="24"/>
          <w:szCs w:val="24"/>
          <w:vertAlign w:val="superscript"/>
        </w:rPr>
        <w:t>3</w:t>
      </w:r>
      <w:r>
        <w:rPr>
          <w:rFonts w:hint="eastAsia" w:ascii="Times New Roman"/>
          <w:sz w:val="24"/>
          <w:szCs w:val="24"/>
        </w:rPr>
        <w:t>/h，</w:t>
      </w:r>
      <w:r>
        <w:rPr>
          <w:rFonts w:ascii="Times New Roman"/>
          <w:sz w:val="24"/>
          <w:szCs w:val="24"/>
        </w:rPr>
        <w:t>则需要至少活性炭</w:t>
      </w:r>
      <w:r>
        <w:rPr>
          <w:rFonts w:hint="eastAsia" w:ascii="Times New Roman"/>
          <w:sz w:val="24"/>
          <w:szCs w:val="24"/>
        </w:rPr>
        <w:t>1.6</w:t>
      </w:r>
      <w:r>
        <w:rPr>
          <w:rFonts w:ascii="Times New Roman"/>
          <w:sz w:val="24"/>
          <w:szCs w:val="24"/>
        </w:rPr>
        <w:t>m</w:t>
      </w:r>
      <w:r>
        <w:rPr>
          <w:rFonts w:ascii="Times New Roman"/>
          <w:sz w:val="24"/>
          <w:szCs w:val="24"/>
          <w:vertAlign w:val="superscript"/>
        </w:rPr>
        <w:t>3</w:t>
      </w:r>
      <w:r>
        <w:rPr>
          <w:rFonts w:ascii="Times New Roman"/>
          <w:sz w:val="24"/>
          <w:szCs w:val="24"/>
        </w:rPr>
        <w:t>，活性炭密度为0.5g/cm</w:t>
      </w:r>
      <w:r>
        <w:rPr>
          <w:rFonts w:ascii="Times New Roman"/>
          <w:sz w:val="24"/>
          <w:szCs w:val="24"/>
          <w:vertAlign w:val="superscript"/>
        </w:rPr>
        <w:t>3</w:t>
      </w:r>
      <w:r>
        <w:rPr>
          <w:rFonts w:ascii="Times New Roman"/>
          <w:sz w:val="24"/>
          <w:szCs w:val="24"/>
        </w:rPr>
        <w:t>，折合活性炭</w:t>
      </w:r>
      <w:r>
        <w:rPr>
          <w:rFonts w:hint="eastAsia" w:ascii="Times New Roman"/>
          <w:sz w:val="24"/>
          <w:szCs w:val="24"/>
        </w:rPr>
        <w:t>0.8</w:t>
      </w:r>
      <w:r>
        <w:rPr>
          <w:rFonts w:ascii="Times New Roman"/>
          <w:sz w:val="24"/>
          <w:szCs w:val="24"/>
        </w:rPr>
        <w:t>t</w:t>
      </w:r>
      <w:r>
        <w:rPr>
          <w:rFonts w:hint="eastAsia" w:ascii="Times New Roman"/>
          <w:sz w:val="24"/>
          <w:szCs w:val="24"/>
        </w:rPr>
        <w:t>。</w:t>
      </w:r>
    </w:p>
    <w:p w14:paraId="56E00715">
      <w:pPr>
        <w:spacing w:line="480" w:lineRule="exact"/>
        <w:ind w:firstLine="480" w:firstLineChars="200"/>
        <w:rPr>
          <w:rFonts w:ascii="Times New Roman"/>
          <w:sz w:val="24"/>
          <w:szCs w:val="24"/>
        </w:rPr>
      </w:pPr>
      <w:r>
        <w:rPr>
          <w:rFonts w:hint="eastAsia" w:ascii="Times New Roman"/>
          <w:sz w:val="24"/>
          <w:szCs w:val="24"/>
        </w:rPr>
        <w:t>根据《河北省十一个行业重污染天气应急减排措施制定技术指南（试行）》要求，达到最大吸附量90%时需要更换，一般活性炭可吸附能力为0.1t废气/t活性炭，项目建成后，（DA009、DA011）非甲烷总烃总去除量为0.239t/a、0.056t/a。因此更换周期分别为：（DA009）1.2×0.1×90%÷0.239≈0.45年、（DA011）0.8×0.1×90%÷0.056≈1.28年。</w:t>
      </w:r>
    </w:p>
    <w:p w14:paraId="2F7CADCB">
      <w:pPr>
        <w:spacing w:line="480" w:lineRule="exact"/>
        <w:ind w:firstLine="480" w:firstLineChars="200"/>
        <w:rPr>
          <w:rFonts w:ascii="Times New Roman"/>
          <w:sz w:val="24"/>
          <w:szCs w:val="24"/>
        </w:rPr>
      </w:pPr>
      <w:r>
        <w:rPr>
          <w:rFonts w:hint="eastAsia" w:ascii="Times New Roman"/>
          <w:sz w:val="24"/>
          <w:szCs w:val="24"/>
        </w:rPr>
        <w:t>因此本项目建成后，DA009两级活性炭装置活性炭更换周期为四个月一次，DA011活性炭更换周期为一年一次，废活性炭产生量为4.695t/a。</w:t>
      </w:r>
    </w:p>
    <w:p w14:paraId="6E646B95">
      <w:pPr>
        <w:spacing w:line="480" w:lineRule="exact"/>
        <w:ind w:firstLine="480" w:firstLineChars="200"/>
        <w:rPr>
          <w:rFonts w:ascii="Times New Roman"/>
          <w:sz w:val="24"/>
          <w:szCs w:val="24"/>
        </w:rPr>
      </w:pPr>
      <w:r>
        <w:rPr>
          <w:rFonts w:ascii="Times New Roman"/>
          <w:sz w:val="24"/>
          <w:szCs w:val="24"/>
        </w:rPr>
        <w:t>本项目建设1座危废库，设置在厂区西北侧，建筑面积为223.98m</w:t>
      </w:r>
      <w:r>
        <w:rPr>
          <w:rFonts w:ascii="Times New Roman"/>
          <w:sz w:val="24"/>
          <w:szCs w:val="24"/>
          <w:vertAlign w:val="superscript"/>
        </w:rPr>
        <w:t>2</w:t>
      </w:r>
      <w:r>
        <w:rPr>
          <w:rFonts w:ascii="Times New Roman"/>
          <w:sz w:val="24"/>
          <w:szCs w:val="24"/>
        </w:rPr>
        <w:t>。根据《危险废物贮存污染控制标准》（GB18597-2023）设计建设防风、防晒、防雨、防渗等措施。</w:t>
      </w:r>
    </w:p>
    <w:p w14:paraId="068F10A9">
      <w:pPr>
        <w:spacing w:line="480" w:lineRule="exact"/>
        <w:ind w:firstLine="480" w:firstLineChars="200"/>
        <w:rPr>
          <w:rFonts w:ascii="Times New Roman"/>
          <w:sz w:val="24"/>
          <w:szCs w:val="24"/>
        </w:rPr>
      </w:pPr>
      <w:r>
        <w:rPr>
          <w:rFonts w:ascii="Times New Roman"/>
          <w:sz w:val="24"/>
          <w:szCs w:val="24"/>
        </w:rPr>
        <w:t>项目固体废物全部得到合理处置，固体废物产生及处理处置情况见下表。</w:t>
      </w:r>
    </w:p>
    <w:p w14:paraId="393C307C">
      <w:pPr>
        <w:spacing w:line="480" w:lineRule="exact"/>
        <w:jc w:val="center"/>
        <w:rPr>
          <w:rFonts w:ascii="Times New Roman"/>
          <w:b/>
          <w:sz w:val="24"/>
          <w:szCs w:val="24"/>
        </w:rPr>
      </w:pPr>
      <w:r>
        <w:rPr>
          <w:rFonts w:ascii="Times New Roman"/>
          <w:b/>
          <w:sz w:val="24"/>
          <w:szCs w:val="24"/>
        </w:rPr>
        <w:t>表3.7-1</w:t>
      </w:r>
      <w:r>
        <w:rPr>
          <w:rFonts w:hint="eastAsia" w:ascii="Times New Roman"/>
          <w:b/>
          <w:sz w:val="24"/>
          <w:szCs w:val="24"/>
        </w:rPr>
        <w:t>5</w:t>
      </w:r>
      <w:r>
        <w:rPr>
          <w:rFonts w:ascii="Times New Roman"/>
          <w:b/>
          <w:sz w:val="24"/>
          <w:szCs w:val="24"/>
        </w:rPr>
        <w:t xml:space="preserve">  项目固废产生及处置情况</w:t>
      </w:r>
    </w:p>
    <w:tbl>
      <w:tblPr>
        <w:tblStyle w:val="84"/>
        <w:tblW w:w="5099"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1275"/>
        <w:gridCol w:w="1385"/>
        <w:gridCol w:w="735"/>
        <w:gridCol w:w="1225"/>
        <w:gridCol w:w="1427"/>
        <w:gridCol w:w="1200"/>
        <w:gridCol w:w="1234"/>
      </w:tblGrid>
      <w:tr w14:paraId="5DF2A8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Align w:val="center"/>
          </w:tcPr>
          <w:p w14:paraId="0622A5B9">
            <w:pPr>
              <w:adjustRightInd w:val="0"/>
              <w:snapToGrid w:val="0"/>
              <w:spacing w:line="320" w:lineRule="exact"/>
              <w:jc w:val="center"/>
              <w:rPr>
                <w:rFonts w:ascii="Times New Roman"/>
                <w:sz w:val="21"/>
                <w:szCs w:val="21"/>
              </w:rPr>
            </w:pPr>
            <w:r>
              <w:rPr>
                <w:rFonts w:ascii="Times New Roman"/>
                <w:sz w:val="21"/>
                <w:szCs w:val="21"/>
              </w:rPr>
              <w:t>固废来源及名称</w:t>
            </w:r>
          </w:p>
        </w:tc>
        <w:tc>
          <w:tcPr>
            <w:tcW w:w="816" w:type="pct"/>
            <w:vAlign w:val="center"/>
          </w:tcPr>
          <w:p w14:paraId="14A1B1F7">
            <w:pPr>
              <w:adjustRightInd w:val="0"/>
              <w:snapToGrid w:val="0"/>
              <w:spacing w:line="320" w:lineRule="exact"/>
              <w:jc w:val="center"/>
              <w:rPr>
                <w:rFonts w:ascii="Times New Roman"/>
                <w:sz w:val="21"/>
                <w:szCs w:val="21"/>
              </w:rPr>
            </w:pPr>
            <w:r>
              <w:rPr>
                <w:rFonts w:ascii="Times New Roman"/>
                <w:sz w:val="21"/>
                <w:szCs w:val="21"/>
              </w:rPr>
              <w:t>主要成分</w:t>
            </w:r>
          </w:p>
        </w:tc>
        <w:tc>
          <w:tcPr>
            <w:tcW w:w="433" w:type="pct"/>
            <w:tcBorders>
              <w:bottom w:val="single" w:color="auto" w:sz="4" w:space="0"/>
              <w:right w:val="single" w:color="auto" w:sz="4" w:space="0"/>
            </w:tcBorders>
            <w:vAlign w:val="center"/>
          </w:tcPr>
          <w:p w14:paraId="6DF1FCD6">
            <w:pPr>
              <w:adjustRightInd w:val="0"/>
              <w:snapToGrid w:val="0"/>
              <w:spacing w:line="320" w:lineRule="exact"/>
              <w:jc w:val="center"/>
              <w:rPr>
                <w:rFonts w:ascii="Times New Roman"/>
                <w:sz w:val="21"/>
                <w:szCs w:val="21"/>
              </w:rPr>
            </w:pPr>
            <w:r>
              <w:rPr>
                <w:rFonts w:ascii="Times New Roman"/>
                <w:sz w:val="21"/>
                <w:szCs w:val="21"/>
              </w:rPr>
              <w:t>产生量t/a</w:t>
            </w:r>
          </w:p>
        </w:tc>
        <w:tc>
          <w:tcPr>
            <w:tcW w:w="722" w:type="pct"/>
            <w:vAlign w:val="center"/>
          </w:tcPr>
          <w:p w14:paraId="5672FF70">
            <w:pPr>
              <w:adjustRightInd w:val="0"/>
              <w:snapToGrid w:val="0"/>
              <w:spacing w:line="320" w:lineRule="exact"/>
              <w:jc w:val="center"/>
              <w:rPr>
                <w:rFonts w:ascii="Times New Roman"/>
                <w:sz w:val="21"/>
                <w:szCs w:val="21"/>
              </w:rPr>
            </w:pPr>
            <w:r>
              <w:rPr>
                <w:rFonts w:ascii="Times New Roman"/>
                <w:sz w:val="21"/>
                <w:szCs w:val="21"/>
              </w:rPr>
              <w:t>废物类别</w:t>
            </w:r>
          </w:p>
        </w:tc>
        <w:tc>
          <w:tcPr>
            <w:tcW w:w="841" w:type="pct"/>
            <w:vAlign w:val="center"/>
          </w:tcPr>
          <w:p w14:paraId="38303DCF">
            <w:pPr>
              <w:adjustRightInd w:val="0"/>
              <w:snapToGrid w:val="0"/>
              <w:spacing w:line="320" w:lineRule="exact"/>
              <w:jc w:val="center"/>
              <w:rPr>
                <w:rFonts w:ascii="Times New Roman"/>
                <w:sz w:val="21"/>
                <w:szCs w:val="21"/>
              </w:rPr>
            </w:pPr>
            <w:r>
              <w:rPr>
                <w:rFonts w:ascii="Times New Roman"/>
                <w:sz w:val="21"/>
                <w:szCs w:val="21"/>
              </w:rPr>
              <w:t>废物代码</w:t>
            </w:r>
          </w:p>
        </w:tc>
        <w:tc>
          <w:tcPr>
            <w:tcW w:w="707" w:type="pct"/>
            <w:tcBorders>
              <w:right w:val="single" w:color="auto" w:sz="4" w:space="0"/>
            </w:tcBorders>
            <w:vAlign w:val="center"/>
          </w:tcPr>
          <w:p w14:paraId="4BFB4C4C">
            <w:pPr>
              <w:adjustRightInd w:val="0"/>
              <w:snapToGrid w:val="0"/>
              <w:spacing w:line="320" w:lineRule="exact"/>
              <w:jc w:val="center"/>
              <w:rPr>
                <w:rFonts w:ascii="Times New Roman"/>
                <w:sz w:val="21"/>
                <w:szCs w:val="21"/>
              </w:rPr>
            </w:pPr>
            <w:r>
              <w:rPr>
                <w:rFonts w:ascii="Times New Roman"/>
                <w:sz w:val="21"/>
                <w:szCs w:val="21"/>
              </w:rPr>
              <w:t>储存方式</w:t>
            </w:r>
          </w:p>
        </w:tc>
        <w:tc>
          <w:tcPr>
            <w:tcW w:w="727" w:type="pct"/>
            <w:tcBorders>
              <w:left w:val="single" w:color="auto" w:sz="4" w:space="0"/>
            </w:tcBorders>
            <w:vAlign w:val="center"/>
          </w:tcPr>
          <w:p w14:paraId="2DAB3752">
            <w:pPr>
              <w:adjustRightInd w:val="0"/>
              <w:snapToGrid w:val="0"/>
              <w:spacing w:line="320" w:lineRule="exact"/>
              <w:jc w:val="center"/>
              <w:rPr>
                <w:rFonts w:ascii="Times New Roman"/>
                <w:sz w:val="21"/>
                <w:szCs w:val="21"/>
              </w:rPr>
            </w:pPr>
            <w:r>
              <w:rPr>
                <w:rFonts w:ascii="Times New Roman"/>
                <w:sz w:val="21"/>
                <w:szCs w:val="21"/>
              </w:rPr>
              <w:t>处置方式</w:t>
            </w:r>
          </w:p>
        </w:tc>
      </w:tr>
      <w:tr w14:paraId="14E93E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restart"/>
            <w:tcBorders>
              <w:top w:val="single" w:color="auto" w:sz="4" w:space="0"/>
            </w:tcBorders>
            <w:vAlign w:val="center"/>
          </w:tcPr>
          <w:p w14:paraId="4700EAE6">
            <w:pPr>
              <w:adjustRightInd w:val="0"/>
              <w:snapToGrid w:val="0"/>
              <w:spacing w:line="320" w:lineRule="exact"/>
              <w:jc w:val="center"/>
              <w:rPr>
                <w:rFonts w:ascii="Times New Roman"/>
                <w:kern w:val="0"/>
                <w:sz w:val="21"/>
                <w:szCs w:val="21"/>
              </w:rPr>
            </w:pPr>
            <w:r>
              <w:rPr>
                <w:rFonts w:ascii="Times New Roman"/>
                <w:sz w:val="21"/>
                <w:szCs w:val="21"/>
              </w:rPr>
              <w:t>喷漆</w:t>
            </w:r>
          </w:p>
        </w:tc>
        <w:tc>
          <w:tcPr>
            <w:tcW w:w="816" w:type="pct"/>
            <w:tcBorders>
              <w:top w:val="single" w:color="auto" w:sz="4" w:space="0"/>
              <w:bottom w:val="single" w:color="auto" w:sz="4" w:space="0"/>
            </w:tcBorders>
            <w:shd w:val="clear" w:color="auto" w:fill="auto"/>
            <w:vAlign w:val="center"/>
          </w:tcPr>
          <w:p w14:paraId="7FE2039D">
            <w:pPr>
              <w:adjustRightInd w:val="0"/>
              <w:snapToGrid w:val="0"/>
              <w:spacing w:line="320" w:lineRule="exact"/>
              <w:jc w:val="center"/>
              <w:rPr>
                <w:rFonts w:ascii="Times New Roman"/>
                <w:sz w:val="21"/>
                <w:szCs w:val="21"/>
              </w:rPr>
            </w:pPr>
            <w:r>
              <w:rPr>
                <w:rFonts w:ascii="Times New Roman"/>
                <w:sz w:val="21"/>
                <w:szCs w:val="21"/>
              </w:rPr>
              <w:t>漆渣</w:t>
            </w:r>
          </w:p>
        </w:tc>
        <w:tc>
          <w:tcPr>
            <w:tcW w:w="433" w:type="pct"/>
            <w:tcBorders>
              <w:top w:val="single" w:color="auto" w:sz="4" w:space="0"/>
              <w:bottom w:val="single" w:color="auto" w:sz="4" w:space="0"/>
              <w:right w:val="single" w:color="auto" w:sz="4" w:space="0"/>
            </w:tcBorders>
            <w:shd w:val="clear" w:color="auto" w:fill="auto"/>
            <w:vAlign w:val="center"/>
          </w:tcPr>
          <w:p w14:paraId="103E8A24">
            <w:pPr>
              <w:adjustRightInd w:val="0"/>
              <w:snapToGrid w:val="0"/>
              <w:spacing w:line="320" w:lineRule="exact"/>
              <w:jc w:val="center"/>
              <w:rPr>
                <w:rFonts w:ascii="Times New Roman"/>
                <w:sz w:val="21"/>
                <w:szCs w:val="21"/>
              </w:rPr>
            </w:pPr>
            <w:r>
              <w:rPr>
                <w:rFonts w:ascii="Times New Roman"/>
                <w:sz w:val="21"/>
                <w:szCs w:val="21"/>
              </w:rPr>
              <w:t>181.703</w:t>
            </w:r>
          </w:p>
        </w:tc>
        <w:tc>
          <w:tcPr>
            <w:tcW w:w="722" w:type="pct"/>
            <w:tcBorders>
              <w:top w:val="single" w:color="auto" w:sz="4" w:space="0"/>
              <w:bottom w:val="single" w:color="auto" w:sz="4" w:space="0"/>
            </w:tcBorders>
            <w:shd w:val="clear" w:color="auto" w:fill="auto"/>
            <w:vAlign w:val="center"/>
          </w:tcPr>
          <w:p w14:paraId="51C2DC06">
            <w:pPr>
              <w:adjustRightInd w:val="0"/>
              <w:snapToGrid w:val="0"/>
              <w:spacing w:line="320" w:lineRule="exact"/>
              <w:jc w:val="center"/>
              <w:rPr>
                <w:rFonts w:ascii="Times New Roman"/>
                <w:sz w:val="21"/>
                <w:szCs w:val="21"/>
              </w:rPr>
            </w:pPr>
            <w:r>
              <w:rPr>
                <w:rFonts w:ascii="Times New Roman"/>
                <w:sz w:val="21"/>
                <w:szCs w:val="21"/>
              </w:rPr>
              <w:t>HW12</w:t>
            </w:r>
          </w:p>
        </w:tc>
        <w:tc>
          <w:tcPr>
            <w:tcW w:w="841" w:type="pct"/>
            <w:tcBorders>
              <w:top w:val="single" w:color="auto" w:sz="4" w:space="0"/>
              <w:bottom w:val="single" w:color="auto" w:sz="4" w:space="0"/>
            </w:tcBorders>
            <w:shd w:val="clear" w:color="auto" w:fill="auto"/>
            <w:vAlign w:val="center"/>
          </w:tcPr>
          <w:p w14:paraId="55626E4E">
            <w:pPr>
              <w:adjustRightInd w:val="0"/>
              <w:snapToGrid w:val="0"/>
              <w:spacing w:line="320" w:lineRule="exact"/>
              <w:jc w:val="center"/>
              <w:rPr>
                <w:rFonts w:ascii="Times New Roman"/>
                <w:sz w:val="21"/>
                <w:szCs w:val="21"/>
              </w:rPr>
            </w:pPr>
            <w:r>
              <w:rPr>
                <w:rFonts w:ascii="Times New Roman"/>
                <w:sz w:val="21"/>
                <w:szCs w:val="21"/>
              </w:rPr>
              <w:t>900-252-12</w:t>
            </w:r>
          </w:p>
        </w:tc>
        <w:tc>
          <w:tcPr>
            <w:tcW w:w="707" w:type="pct"/>
            <w:tcBorders>
              <w:top w:val="single" w:color="auto" w:sz="4" w:space="0"/>
              <w:bottom w:val="single" w:color="auto" w:sz="4" w:space="0"/>
              <w:right w:val="single" w:color="auto" w:sz="4" w:space="0"/>
            </w:tcBorders>
            <w:shd w:val="clear" w:color="auto" w:fill="auto"/>
            <w:vAlign w:val="center"/>
          </w:tcPr>
          <w:p w14:paraId="7B18702B">
            <w:pPr>
              <w:adjustRightInd w:val="0"/>
              <w:snapToGrid w:val="0"/>
              <w:spacing w:line="320" w:lineRule="exact"/>
              <w:jc w:val="center"/>
              <w:rPr>
                <w:rFonts w:ascii="Times New Roman"/>
                <w:sz w:val="21"/>
                <w:szCs w:val="21"/>
              </w:rPr>
            </w:pPr>
            <w:r>
              <w:rPr>
                <w:rFonts w:ascii="Times New Roman"/>
                <w:sz w:val="21"/>
                <w:szCs w:val="21"/>
              </w:rPr>
              <w:t>桶装密闭</w:t>
            </w:r>
          </w:p>
        </w:tc>
        <w:tc>
          <w:tcPr>
            <w:tcW w:w="727" w:type="pct"/>
            <w:vMerge w:val="restart"/>
            <w:tcBorders>
              <w:top w:val="single" w:color="auto" w:sz="4" w:space="0"/>
              <w:left w:val="single" w:color="auto" w:sz="4" w:space="0"/>
            </w:tcBorders>
            <w:vAlign w:val="center"/>
          </w:tcPr>
          <w:p w14:paraId="700A76A3">
            <w:pPr>
              <w:adjustRightInd w:val="0"/>
              <w:snapToGrid w:val="0"/>
              <w:spacing w:line="320" w:lineRule="exact"/>
              <w:jc w:val="center"/>
              <w:rPr>
                <w:rFonts w:ascii="Times New Roman"/>
                <w:sz w:val="21"/>
                <w:szCs w:val="21"/>
              </w:rPr>
            </w:pPr>
            <w:r>
              <w:rPr>
                <w:rFonts w:ascii="Times New Roman"/>
                <w:sz w:val="21"/>
                <w:szCs w:val="21"/>
              </w:rPr>
              <w:t>暂存于危废间，定期交有资质单位处理</w:t>
            </w:r>
          </w:p>
        </w:tc>
      </w:tr>
      <w:tr w14:paraId="40CB16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799FCA6E">
            <w:pPr>
              <w:adjustRightInd w:val="0"/>
              <w:snapToGrid w:val="0"/>
              <w:spacing w:line="320" w:lineRule="exact"/>
              <w:jc w:val="center"/>
              <w:rPr>
                <w:rFonts w:ascii="Times New Roman"/>
                <w:kern w:val="0"/>
                <w:sz w:val="21"/>
                <w:szCs w:val="21"/>
              </w:rPr>
            </w:pPr>
          </w:p>
        </w:tc>
        <w:tc>
          <w:tcPr>
            <w:tcW w:w="816" w:type="pct"/>
            <w:tcBorders>
              <w:top w:val="single" w:color="auto" w:sz="4" w:space="0"/>
              <w:bottom w:val="single" w:color="auto" w:sz="4" w:space="0"/>
            </w:tcBorders>
            <w:shd w:val="clear" w:color="auto" w:fill="auto"/>
            <w:vAlign w:val="center"/>
          </w:tcPr>
          <w:p w14:paraId="71B53606">
            <w:pPr>
              <w:adjustRightInd w:val="0"/>
              <w:snapToGrid w:val="0"/>
              <w:spacing w:line="320" w:lineRule="exact"/>
              <w:jc w:val="center"/>
              <w:rPr>
                <w:rFonts w:ascii="Times New Roman"/>
                <w:sz w:val="21"/>
                <w:szCs w:val="21"/>
              </w:rPr>
            </w:pPr>
            <w:r>
              <w:rPr>
                <w:rFonts w:ascii="Times New Roman"/>
                <w:sz w:val="21"/>
                <w:szCs w:val="21"/>
              </w:rPr>
              <w:t>废油漆桶、废稀释剂桶</w:t>
            </w:r>
          </w:p>
        </w:tc>
        <w:tc>
          <w:tcPr>
            <w:tcW w:w="433" w:type="pct"/>
            <w:tcBorders>
              <w:top w:val="single" w:color="auto" w:sz="4" w:space="0"/>
              <w:bottom w:val="single" w:color="auto" w:sz="4" w:space="0"/>
              <w:right w:val="single" w:color="auto" w:sz="4" w:space="0"/>
            </w:tcBorders>
            <w:shd w:val="clear" w:color="auto" w:fill="auto"/>
            <w:vAlign w:val="center"/>
          </w:tcPr>
          <w:p w14:paraId="5900A31B">
            <w:pPr>
              <w:adjustRightInd w:val="0"/>
              <w:snapToGrid w:val="0"/>
              <w:spacing w:line="320" w:lineRule="exact"/>
              <w:jc w:val="center"/>
              <w:rPr>
                <w:rFonts w:ascii="Times New Roman"/>
                <w:sz w:val="21"/>
                <w:szCs w:val="21"/>
              </w:rPr>
            </w:pPr>
            <w:r>
              <w:rPr>
                <w:rFonts w:hint="eastAsia" w:ascii="Times New Roman"/>
                <w:sz w:val="21"/>
                <w:szCs w:val="21"/>
              </w:rPr>
              <w:t>7</w:t>
            </w:r>
          </w:p>
        </w:tc>
        <w:tc>
          <w:tcPr>
            <w:tcW w:w="722" w:type="pct"/>
            <w:tcBorders>
              <w:top w:val="single" w:color="auto" w:sz="4" w:space="0"/>
              <w:bottom w:val="single" w:color="auto" w:sz="4" w:space="0"/>
            </w:tcBorders>
            <w:shd w:val="clear" w:color="auto" w:fill="auto"/>
            <w:vAlign w:val="center"/>
          </w:tcPr>
          <w:p w14:paraId="6680863F">
            <w:pPr>
              <w:adjustRightInd w:val="0"/>
              <w:snapToGrid w:val="0"/>
              <w:spacing w:line="320" w:lineRule="exact"/>
              <w:jc w:val="center"/>
              <w:rPr>
                <w:rFonts w:ascii="Times New Roman"/>
                <w:sz w:val="21"/>
                <w:szCs w:val="21"/>
              </w:rPr>
            </w:pPr>
            <w:r>
              <w:rPr>
                <w:rFonts w:ascii="Times New Roman"/>
                <w:sz w:val="21"/>
                <w:szCs w:val="21"/>
              </w:rPr>
              <w:t>HW12</w:t>
            </w:r>
          </w:p>
        </w:tc>
        <w:tc>
          <w:tcPr>
            <w:tcW w:w="841" w:type="pct"/>
            <w:tcBorders>
              <w:top w:val="single" w:color="auto" w:sz="4" w:space="0"/>
              <w:bottom w:val="single" w:color="auto" w:sz="4" w:space="0"/>
            </w:tcBorders>
            <w:shd w:val="clear" w:color="auto" w:fill="auto"/>
            <w:vAlign w:val="center"/>
          </w:tcPr>
          <w:p w14:paraId="056FEED7">
            <w:pPr>
              <w:adjustRightInd w:val="0"/>
              <w:snapToGrid w:val="0"/>
              <w:spacing w:line="320" w:lineRule="exact"/>
              <w:jc w:val="center"/>
              <w:rPr>
                <w:rFonts w:ascii="Times New Roman"/>
                <w:sz w:val="21"/>
                <w:szCs w:val="21"/>
              </w:rPr>
            </w:pPr>
            <w:r>
              <w:rPr>
                <w:rFonts w:ascii="Times New Roman"/>
                <w:sz w:val="21"/>
                <w:szCs w:val="21"/>
              </w:rPr>
              <w:t>900-252-12</w:t>
            </w:r>
          </w:p>
        </w:tc>
        <w:tc>
          <w:tcPr>
            <w:tcW w:w="707" w:type="pct"/>
            <w:tcBorders>
              <w:top w:val="single" w:color="auto" w:sz="4" w:space="0"/>
              <w:bottom w:val="single" w:color="auto" w:sz="4" w:space="0"/>
              <w:right w:val="single" w:color="auto" w:sz="4" w:space="0"/>
            </w:tcBorders>
            <w:shd w:val="clear" w:color="auto" w:fill="auto"/>
            <w:vAlign w:val="center"/>
          </w:tcPr>
          <w:p w14:paraId="4A707BCC">
            <w:pPr>
              <w:adjustRightInd w:val="0"/>
              <w:snapToGrid w:val="0"/>
              <w:spacing w:line="320" w:lineRule="exact"/>
              <w:jc w:val="center"/>
              <w:rPr>
                <w:rFonts w:ascii="Times New Roman"/>
                <w:sz w:val="21"/>
                <w:szCs w:val="21"/>
              </w:rPr>
            </w:pPr>
            <w:r>
              <w:rPr>
                <w:rFonts w:ascii="Times New Roman"/>
                <w:sz w:val="21"/>
                <w:szCs w:val="21"/>
              </w:rPr>
              <w:t>盖盖密闭</w:t>
            </w:r>
          </w:p>
        </w:tc>
        <w:tc>
          <w:tcPr>
            <w:tcW w:w="727" w:type="pct"/>
            <w:vMerge w:val="continue"/>
            <w:tcBorders>
              <w:left w:val="single" w:color="auto" w:sz="4" w:space="0"/>
            </w:tcBorders>
            <w:vAlign w:val="center"/>
          </w:tcPr>
          <w:p w14:paraId="3244AA3F">
            <w:pPr>
              <w:adjustRightInd w:val="0"/>
              <w:snapToGrid w:val="0"/>
              <w:spacing w:line="320" w:lineRule="exact"/>
              <w:jc w:val="center"/>
              <w:rPr>
                <w:rFonts w:ascii="Times New Roman"/>
                <w:sz w:val="21"/>
                <w:szCs w:val="21"/>
              </w:rPr>
            </w:pPr>
          </w:p>
        </w:tc>
      </w:tr>
      <w:tr w14:paraId="216302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Align w:val="center"/>
          </w:tcPr>
          <w:p w14:paraId="50FD19F7">
            <w:pPr>
              <w:adjustRightInd w:val="0"/>
              <w:snapToGrid w:val="0"/>
              <w:spacing w:line="320" w:lineRule="exact"/>
              <w:jc w:val="center"/>
              <w:rPr>
                <w:rFonts w:ascii="Times New Roman"/>
                <w:kern w:val="0"/>
                <w:sz w:val="21"/>
                <w:szCs w:val="21"/>
              </w:rPr>
            </w:pPr>
            <w:r>
              <w:rPr>
                <w:rFonts w:hint="eastAsia" w:ascii="Times New Roman"/>
                <w:kern w:val="0"/>
                <w:sz w:val="21"/>
                <w:szCs w:val="21"/>
              </w:rPr>
              <w:t>脱脂</w:t>
            </w:r>
          </w:p>
        </w:tc>
        <w:tc>
          <w:tcPr>
            <w:tcW w:w="816" w:type="pct"/>
            <w:tcBorders>
              <w:top w:val="single" w:color="auto" w:sz="4" w:space="0"/>
              <w:bottom w:val="single" w:color="auto" w:sz="4" w:space="0"/>
            </w:tcBorders>
            <w:shd w:val="clear" w:color="auto" w:fill="auto"/>
            <w:vAlign w:val="center"/>
          </w:tcPr>
          <w:p w14:paraId="6AEB7D64">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433" w:type="pct"/>
            <w:tcBorders>
              <w:top w:val="single" w:color="auto" w:sz="4" w:space="0"/>
              <w:bottom w:val="single" w:color="auto" w:sz="4" w:space="0"/>
              <w:right w:val="single" w:color="auto" w:sz="4" w:space="0"/>
            </w:tcBorders>
            <w:shd w:val="clear" w:color="auto" w:fill="auto"/>
            <w:vAlign w:val="center"/>
          </w:tcPr>
          <w:p w14:paraId="377CE830">
            <w:pPr>
              <w:adjustRightInd w:val="0"/>
              <w:snapToGrid w:val="0"/>
              <w:spacing w:line="320" w:lineRule="exact"/>
              <w:jc w:val="center"/>
              <w:rPr>
                <w:rFonts w:ascii="Times New Roman"/>
                <w:sz w:val="21"/>
                <w:szCs w:val="21"/>
              </w:rPr>
            </w:pPr>
            <w:r>
              <w:rPr>
                <w:rFonts w:hint="eastAsia" w:ascii="Times New Roman"/>
                <w:sz w:val="21"/>
                <w:szCs w:val="21"/>
              </w:rPr>
              <w:t>5</w:t>
            </w:r>
          </w:p>
        </w:tc>
        <w:tc>
          <w:tcPr>
            <w:tcW w:w="722" w:type="pct"/>
            <w:tcBorders>
              <w:top w:val="single" w:color="auto" w:sz="4" w:space="0"/>
              <w:bottom w:val="single" w:color="auto" w:sz="4" w:space="0"/>
            </w:tcBorders>
            <w:shd w:val="clear" w:color="auto" w:fill="auto"/>
            <w:vAlign w:val="center"/>
          </w:tcPr>
          <w:p w14:paraId="58AEB3F8">
            <w:pPr>
              <w:adjustRightInd w:val="0"/>
              <w:snapToGrid w:val="0"/>
              <w:spacing w:line="320" w:lineRule="exact"/>
              <w:jc w:val="center"/>
              <w:rPr>
                <w:rFonts w:ascii="Times New Roman"/>
                <w:sz w:val="21"/>
                <w:szCs w:val="21"/>
              </w:rPr>
            </w:pPr>
            <w:r>
              <w:rPr>
                <w:rFonts w:ascii="Times New Roman"/>
                <w:sz w:val="21"/>
                <w:szCs w:val="21"/>
              </w:rPr>
              <w:t>HW09</w:t>
            </w:r>
          </w:p>
        </w:tc>
        <w:tc>
          <w:tcPr>
            <w:tcW w:w="841" w:type="pct"/>
            <w:tcBorders>
              <w:top w:val="single" w:color="auto" w:sz="4" w:space="0"/>
              <w:bottom w:val="single" w:color="auto" w:sz="4" w:space="0"/>
            </w:tcBorders>
            <w:shd w:val="clear" w:color="auto" w:fill="auto"/>
            <w:vAlign w:val="center"/>
          </w:tcPr>
          <w:p w14:paraId="378BE5F7">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7</w:t>
            </w:r>
            <w:r>
              <w:rPr>
                <w:rFonts w:ascii="Times New Roman"/>
                <w:sz w:val="21"/>
                <w:szCs w:val="21"/>
              </w:rPr>
              <w:t>-09</w:t>
            </w:r>
          </w:p>
        </w:tc>
        <w:tc>
          <w:tcPr>
            <w:tcW w:w="707" w:type="pct"/>
            <w:tcBorders>
              <w:top w:val="single" w:color="auto" w:sz="4" w:space="0"/>
              <w:bottom w:val="single" w:color="auto" w:sz="4" w:space="0"/>
              <w:right w:val="single" w:color="auto" w:sz="4" w:space="0"/>
            </w:tcBorders>
            <w:shd w:val="clear" w:color="auto" w:fill="auto"/>
            <w:vAlign w:val="center"/>
          </w:tcPr>
          <w:p w14:paraId="0C9336E6">
            <w:pPr>
              <w:adjustRightInd w:val="0"/>
              <w:snapToGrid w:val="0"/>
              <w:spacing w:line="320" w:lineRule="exact"/>
              <w:jc w:val="center"/>
              <w:rPr>
                <w:rFonts w:ascii="Times New Roman"/>
                <w:sz w:val="21"/>
                <w:szCs w:val="21"/>
              </w:rPr>
            </w:pPr>
            <w:r>
              <w:rPr>
                <w:rFonts w:hint="eastAsia" w:ascii="Times New Roman"/>
                <w:sz w:val="21"/>
                <w:szCs w:val="21"/>
              </w:rPr>
              <w:t>桶装</w:t>
            </w:r>
            <w:r>
              <w:rPr>
                <w:rFonts w:ascii="Times New Roman"/>
                <w:sz w:val="21"/>
                <w:szCs w:val="21"/>
              </w:rPr>
              <w:t>密闭</w:t>
            </w:r>
          </w:p>
        </w:tc>
        <w:tc>
          <w:tcPr>
            <w:tcW w:w="727" w:type="pct"/>
            <w:vMerge w:val="continue"/>
            <w:tcBorders>
              <w:left w:val="single" w:color="auto" w:sz="4" w:space="0"/>
            </w:tcBorders>
            <w:vAlign w:val="center"/>
          </w:tcPr>
          <w:p w14:paraId="1A168C84">
            <w:pPr>
              <w:adjustRightInd w:val="0"/>
              <w:snapToGrid w:val="0"/>
              <w:spacing w:line="320" w:lineRule="exact"/>
              <w:jc w:val="center"/>
              <w:rPr>
                <w:rFonts w:ascii="Times New Roman"/>
                <w:sz w:val="21"/>
                <w:szCs w:val="21"/>
              </w:rPr>
            </w:pPr>
          </w:p>
        </w:tc>
      </w:tr>
      <w:tr w14:paraId="178311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Align w:val="center"/>
          </w:tcPr>
          <w:p w14:paraId="2EB278BE">
            <w:pPr>
              <w:adjustRightInd w:val="0"/>
              <w:snapToGrid w:val="0"/>
              <w:spacing w:line="320" w:lineRule="exact"/>
              <w:jc w:val="center"/>
              <w:rPr>
                <w:rFonts w:ascii="Times New Roman"/>
                <w:kern w:val="0"/>
                <w:sz w:val="21"/>
                <w:szCs w:val="21"/>
              </w:rPr>
            </w:pPr>
            <w:r>
              <w:rPr>
                <w:rFonts w:hint="eastAsia" w:ascii="Times New Roman"/>
                <w:kern w:val="0"/>
                <w:sz w:val="21"/>
                <w:szCs w:val="21"/>
              </w:rPr>
              <w:t>脱脂、硅烷化</w:t>
            </w:r>
          </w:p>
        </w:tc>
        <w:tc>
          <w:tcPr>
            <w:tcW w:w="816" w:type="pct"/>
            <w:tcBorders>
              <w:top w:val="single" w:color="auto" w:sz="4" w:space="0"/>
              <w:bottom w:val="single" w:color="auto" w:sz="4" w:space="0"/>
            </w:tcBorders>
            <w:shd w:val="clear" w:color="auto" w:fill="auto"/>
            <w:vAlign w:val="center"/>
          </w:tcPr>
          <w:p w14:paraId="64D9103B">
            <w:pPr>
              <w:adjustRightInd w:val="0"/>
              <w:snapToGrid w:val="0"/>
              <w:spacing w:line="320" w:lineRule="exact"/>
              <w:jc w:val="center"/>
              <w:rPr>
                <w:rFonts w:ascii="Times New Roman"/>
                <w:sz w:val="21"/>
                <w:szCs w:val="21"/>
              </w:rPr>
            </w:pPr>
            <w:r>
              <w:rPr>
                <w:rFonts w:ascii="Times New Roman"/>
                <w:sz w:val="21"/>
                <w:szCs w:val="21"/>
              </w:rPr>
              <w:t>废滤芯、杂质</w:t>
            </w:r>
          </w:p>
        </w:tc>
        <w:tc>
          <w:tcPr>
            <w:tcW w:w="433" w:type="pct"/>
            <w:tcBorders>
              <w:top w:val="single" w:color="auto" w:sz="4" w:space="0"/>
              <w:bottom w:val="single" w:color="auto" w:sz="4" w:space="0"/>
              <w:right w:val="single" w:color="auto" w:sz="4" w:space="0"/>
            </w:tcBorders>
            <w:shd w:val="clear" w:color="auto" w:fill="auto"/>
            <w:vAlign w:val="center"/>
          </w:tcPr>
          <w:p w14:paraId="438AAA66">
            <w:pPr>
              <w:adjustRightInd w:val="0"/>
              <w:snapToGrid w:val="0"/>
              <w:spacing w:line="320" w:lineRule="exact"/>
              <w:jc w:val="center"/>
              <w:rPr>
                <w:rFonts w:ascii="Times New Roman"/>
                <w:sz w:val="21"/>
                <w:szCs w:val="21"/>
              </w:rPr>
            </w:pPr>
            <w:r>
              <w:rPr>
                <w:rFonts w:hint="eastAsia" w:ascii="Times New Roman"/>
                <w:sz w:val="21"/>
                <w:szCs w:val="21"/>
              </w:rPr>
              <w:t>2.8</w:t>
            </w:r>
          </w:p>
        </w:tc>
        <w:tc>
          <w:tcPr>
            <w:tcW w:w="722" w:type="pct"/>
            <w:tcBorders>
              <w:top w:val="single" w:color="auto" w:sz="4" w:space="0"/>
              <w:bottom w:val="single" w:color="auto" w:sz="4" w:space="0"/>
            </w:tcBorders>
            <w:shd w:val="clear" w:color="auto" w:fill="auto"/>
            <w:vAlign w:val="center"/>
          </w:tcPr>
          <w:p w14:paraId="17C034B4">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841" w:type="pct"/>
            <w:tcBorders>
              <w:top w:val="single" w:color="auto" w:sz="4" w:space="0"/>
              <w:bottom w:val="single" w:color="auto" w:sz="4" w:space="0"/>
            </w:tcBorders>
            <w:shd w:val="clear" w:color="auto" w:fill="auto"/>
            <w:vAlign w:val="center"/>
          </w:tcPr>
          <w:p w14:paraId="0C7AE264">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707" w:type="pct"/>
            <w:tcBorders>
              <w:top w:val="single" w:color="auto" w:sz="4" w:space="0"/>
              <w:bottom w:val="single" w:color="auto" w:sz="4" w:space="0"/>
              <w:right w:val="single" w:color="auto" w:sz="4" w:space="0"/>
            </w:tcBorders>
            <w:shd w:val="clear" w:color="auto" w:fill="auto"/>
            <w:vAlign w:val="center"/>
          </w:tcPr>
          <w:p w14:paraId="4594611E">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3EC7274C">
            <w:pPr>
              <w:adjustRightInd w:val="0"/>
              <w:snapToGrid w:val="0"/>
              <w:spacing w:line="320" w:lineRule="exact"/>
              <w:jc w:val="center"/>
              <w:rPr>
                <w:rFonts w:ascii="Times New Roman"/>
                <w:sz w:val="21"/>
                <w:szCs w:val="21"/>
              </w:rPr>
            </w:pPr>
          </w:p>
        </w:tc>
      </w:tr>
      <w:tr w14:paraId="6666B6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restart"/>
            <w:tcBorders>
              <w:top w:val="single" w:color="auto" w:sz="4" w:space="0"/>
            </w:tcBorders>
            <w:vAlign w:val="center"/>
          </w:tcPr>
          <w:p w14:paraId="7AB619B6">
            <w:pPr>
              <w:adjustRightInd w:val="0"/>
              <w:snapToGrid w:val="0"/>
              <w:spacing w:line="320" w:lineRule="exact"/>
              <w:jc w:val="center"/>
              <w:rPr>
                <w:rFonts w:ascii="Times New Roman"/>
                <w:kern w:val="0"/>
                <w:sz w:val="21"/>
                <w:szCs w:val="21"/>
              </w:rPr>
            </w:pPr>
            <w:r>
              <w:rPr>
                <w:rFonts w:ascii="Times New Roman"/>
                <w:sz w:val="21"/>
                <w:szCs w:val="21"/>
              </w:rPr>
              <w:t>机械设备使用和维护</w:t>
            </w:r>
          </w:p>
        </w:tc>
        <w:tc>
          <w:tcPr>
            <w:tcW w:w="816" w:type="pct"/>
            <w:tcBorders>
              <w:top w:val="single" w:color="auto" w:sz="4" w:space="0"/>
            </w:tcBorders>
            <w:vAlign w:val="center"/>
          </w:tcPr>
          <w:p w14:paraId="3E5BB401">
            <w:pPr>
              <w:adjustRightInd w:val="0"/>
              <w:snapToGrid w:val="0"/>
              <w:spacing w:line="320" w:lineRule="exact"/>
              <w:jc w:val="center"/>
              <w:rPr>
                <w:rFonts w:ascii="Times New Roman"/>
                <w:sz w:val="21"/>
                <w:szCs w:val="21"/>
              </w:rPr>
            </w:pPr>
            <w:r>
              <w:rPr>
                <w:rFonts w:ascii="Times New Roman"/>
                <w:sz w:val="21"/>
                <w:szCs w:val="21"/>
              </w:rPr>
              <w:t>废液压油</w:t>
            </w:r>
          </w:p>
        </w:tc>
        <w:tc>
          <w:tcPr>
            <w:tcW w:w="433" w:type="pct"/>
            <w:tcBorders>
              <w:top w:val="single" w:color="auto" w:sz="4" w:space="0"/>
              <w:right w:val="single" w:color="auto" w:sz="4" w:space="0"/>
            </w:tcBorders>
            <w:vAlign w:val="center"/>
          </w:tcPr>
          <w:p w14:paraId="2074A06F">
            <w:pPr>
              <w:adjustRightInd w:val="0"/>
              <w:snapToGrid w:val="0"/>
              <w:spacing w:line="320" w:lineRule="exact"/>
              <w:jc w:val="center"/>
              <w:rPr>
                <w:rFonts w:ascii="Times New Roman"/>
                <w:sz w:val="21"/>
                <w:szCs w:val="21"/>
              </w:rPr>
            </w:pPr>
            <w:r>
              <w:rPr>
                <w:rFonts w:ascii="Times New Roman"/>
                <w:sz w:val="21"/>
                <w:szCs w:val="21"/>
              </w:rPr>
              <w:t>1.2</w:t>
            </w:r>
          </w:p>
        </w:tc>
        <w:tc>
          <w:tcPr>
            <w:tcW w:w="722" w:type="pct"/>
            <w:tcBorders>
              <w:top w:val="single" w:color="auto" w:sz="4" w:space="0"/>
            </w:tcBorders>
            <w:vAlign w:val="center"/>
          </w:tcPr>
          <w:p w14:paraId="64B96CBA">
            <w:pPr>
              <w:adjustRightInd w:val="0"/>
              <w:snapToGrid w:val="0"/>
              <w:spacing w:line="320" w:lineRule="exact"/>
              <w:jc w:val="center"/>
              <w:rPr>
                <w:rFonts w:ascii="Times New Roman"/>
                <w:sz w:val="21"/>
                <w:szCs w:val="21"/>
              </w:rPr>
            </w:pPr>
            <w:r>
              <w:rPr>
                <w:rFonts w:ascii="Times New Roman"/>
                <w:sz w:val="21"/>
                <w:szCs w:val="21"/>
              </w:rPr>
              <w:t>HW08</w:t>
            </w:r>
          </w:p>
        </w:tc>
        <w:tc>
          <w:tcPr>
            <w:tcW w:w="841" w:type="pct"/>
            <w:tcBorders>
              <w:top w:val="single" w:color="auto" w:sz="4" w:space="0"/>
            </w:tcBorders>
            <w:vAlign w:val="center"/>
          </w:tcPr>
          <w:p w14:paraId="652B14DD">
            <w:pPr>
              <w:adjustRightInd w:val="0"/>
              <w:snapToGrid w:val="0"/>
              <w:spacing w:line="320" w:lineRule="exact"/>
              <w:jc w:val="center"/>
              <w:rPr>
                <w:rFonts w:ascii="Times New Roman"/>
                <w:sz w:val="21"/>
                <w:szCs w:val="21"/>
              </w:rPr>
            </w:pPr>
            <w:r>
              <w:rPr>
                <w:rFonts w:ascii="Times New Roman"/>
                <w:sz w:val="21"/>
                <w:szCs w:val="21"/>
              </w:rPr>
              <w:t>900-218-08</w:t>
            </w:r>
          </w:p>
        </w:tc>
        <w:tc>
          <w:tcPr>
            <w:tcW w:w="707" w:type="pct"/>
            <w:tcBorders>
              <w:top w:val="single" w:color="auto" w:sz="4" w:space="0"/>
              <w:right w:val="single" w:color="auto" w:sz="4" w:space="0"/>
            </w:tcBorders>
            <w:vAlign w:val="center"/>
          </w:tcPr>
          <w:p w14:paraId="2C6185E4">
            <w:pPr>
              <w:adjustRightInd w:val="0"/>
              <w:snapToGrid w:val="0"/>
              <w:spacing w:line="320" w:lineRule="exact"/>
              <w:jc w:val="center"/>
              <w:rPr>
                <w:rFonts w:ascii="Times New Roman"/>
                <w:sz w:val="21"/>
                <w:szCs w:val="21"/>
              </w:rPr>
            </w:pPr>
            <w:r>
              <w:rPr>
                <w:rFonts w:ascii="Times New Roman"/>
                <w:sz w:val="21"/>
                <w:szCs w:val="21"/>
              </w:rPr>
              <w:t>桶装密闭</w:t>
            </w:r>
          </w:p>
        </w:tc>
        <w:tc>
          <w:tcPr>
            <w:tcW w:w="727" w:type="pct"/>
            <w:vMerge w:val="continue"/>
            <w:tcBorders>
              <w:left w:val="single" w:color="auto" w:sz="4" w:space="0"/>
            </w:tcBorders>
            <w:vAlign w:val="center"/>
          </w:tcPr>
          <w:p w14:paraId="017B33B4">
            <w:pPr>
              <w:adjustRightInd w:val="0"/>
              <w:snapToGrid w:val="0"/>
              <w:spacing w:line="320" w:lineRule="exact"/>
              <w:jc w:val="center"/>
              <w:rPr>
                <w:rFonts w:ascii="Times New Roman"/>
                <w:kern w:val="0"/>
                <w:sz w:val="21"/>
                <w:szCs w:val="21"/>
              </w:rPr>
            </w:pPr>
          </w:p>
        </w:tc>
      </w:tr>
      <w:tr w14:paraId="741D94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5E53D97E">
            <w:pPr>
              <w:adjustRightInd w:val="0"/>
              <w:snapToGrid w:val="0"/>
              <w:spacing w:line="320" w:lineRule="exact"/>
              <w:jc w:val="center"/>
              <w:rPr>
                <w:rFonts w:ascii="Times New Roman"/>
                <w:sz w:val="21"/>
                <w:szCs w:val="21"/>
              </w:rPr>
            </w:pPr>
          </w:p>
        </w:tc>
        <w:tc>
          <w:tcPr>
            <w:tcW w:w="816" w:type="pct"/>
            <w:tcBorders>
              <w:top w:val="single" w:color="auto" w:sz="4" w:space="0"/>
            </w:tcBorders>
            <w:vAlign w:val="center"/>
          </w:tcPr>
          <w:p w14:paraId="40CCE6AA">
            <w:pPr>
              <w:adjustRightInd w:val="0"/>
              <w:snapToGrid w:val="0"/>
              <w:spacing w:line="320" w:lineRule="exact"/>
              <w:jc w:val="center"/>
              <w:rPr>
                <w:rFonts w:ascii="Times New Roman"/>
                <w:sz w:val="21"/>
                <w:szCs w:val="21"/>
              </w:rPr>
            </w:pPr>
            <w:r>
              <w:rPr>
                <w:rFonts w:ascii="Times New Roman"/>
                <w:sz w:val="21"/>
                <w:szCs w:val="21"/>
              </w:rPr>
              <w:t>废润滑油</w:t>
            </w:r>
          </w:p>
        </w:tc>
        <w:tc>
          <w:tcPr>
            <w:tcW w:w="433" w:type="pct"/>
            <w:tcBorders>
              <w:top w:val="single" w:color="auto" w:sz="4" w:space="0"/>
              <w:right w:val="single" w:color="auto" w:sz="4" w:space="0"/>
            </w:tcBorders>
            <w:vAlign w:val="center"/>
          </w:tcPr>
          <w:p w14:paraId="124F2B09">
            <w:pPr>
              <w:adjustRightInd w:val="0"/>
              <w:snapToGrid w:val="0"/>
              <w:spacing w:line="320" w:lineRule="exact"/>
              <w:jc w:val="center"/>
              <w:rPr>
                <w:rFonts w:ascii="Times New Roman"/>
                <w:sz w:val="21"/>
                <w:szCs w:val="21"/>
              </w:rPr>
            </w:pPr>
            <w:r>
              <w:rPr>
                <w:rFonts w:ascii="Times New Roman"/>
                <w:sz w:val="21"/>
                <w:szCs w:val="21"/>
              </w:rPr>
              <w:t>2</w:t>
            </w:r>
          </w:p>
        </w:tc>
        <w:tc>
          <w:tcPr>
            <w:tcW w:w="722" w:type="pct"/>
            <w:tcBorders>
              <w:top w:val="single" w:color="auto" w:sz="4" w:space="0"/>
            </w:tcBorders>
            <w:vAlign w:val="center"/>
          </w:tcPr>
          <w:p w14:paraId="1D0CA0BD">
            <w:pPr>
              <w:adjustRightInd w:val="0"/>
              <w:snapToGrid w:val="0"/>
              <w:spacing w:line="320" w:lineRule="exact"/>
              <w:jc w:val="center"/>
              <w:rPr>
                <w:rFonts w:ascii="Times New Roman"/>
                <w:sz w:val="21"/>
                <w:szCs w:val="21"/>
              </w:rPr>
            </w:pPr>
            <w:r>
              <w:rPr>
                <w:rFonts w:ascii="Times New Roman"/>
                <w:sz w:val="21"/>
                <w:szCs w:val="21"/>
              </w:rPr>
              <w:t>HW08</w:t>
            </w:r>
          </w:p>
        </w:tc>
        <w:tc>
          <w:tcPr>
            <w:tcW w:w="841" w:type="pct"/>
            <w:tcBorders>
              <w:top w:val="single" w:color="auto" w:sz="4" w:space="0"/>
            </w:tcBorders>
            <w:vAlign w:val="center"/>
          </w:tcPr>
          <w:p w14:paraId="176C8C9A">
            <w:pPr>
              <w:adjustRightInd w:val="0"/>
              <w:snapToGrid w:val="0"/>
              <w:spacing w:line="320" w:lineRule="exact"/>
              <w:jc w:val="center"/>
              <w:rPr>
                <w:rFonts w:ascii="Times New Roman"/>
                <w:sz w:val="21"/>
                <w:szCs w:val="21"/>
              </w:rPr>
            </w:pPr>
            <w:r>
              <w:rPr>
                <w:rFonts w:ascii="Times New Roman"/>
                <w:sz w:val="21"/>
                <w:szCs w:val="21"/>
              </w:rPr>
              <w:t>900-217-08</w:t>
            </w:r>
          </w:p>
        </w:tc>
        <w:tc>
          <w:tcPr>
            <w:tcW w:w="707" w:type="pct"/>
            <w:tcBorders>
              <w:top w:val="single" w:color="auto" w:sz="4" w:space="0"/>
              <w:right w:val="single" w:color="auto" w:sz="4" w:space="0"/>
            </w:tcBorders>
            <w:vAlign w:val="center"/>
          </w:tcPr>
          <w:p w14:paraId="4FD3F1D9">
            <w:pPr>
              <w:adjustRightInd w:val="0"/>
              <w:snapToGrid w:val="0"/>
              <w:spacing w:line="320" w:lineRule="exact"/>
              <w:jc w:val="center"/>
              <w:rPr>
                <w:rFonts w:ascii="Times New Roman"/>
                <w:sz w:val="21"/>
                <w:szCs w:val="21"/>
              </w:rPr>
            </w:pPr>
            <w:r>
              <w:rPr>
                <w:rFonts w:ascii="Times New Roman"/>
                <w:sz w:val="21"/>
                <w:szCs w:val="21"/>
              </w:rPr>
              <w:t>桶装密闭</w:t>
            </w:r>
          </w:p>
        </w:tc>
        <w:tc>
          <w:tcPr>
            <w:tcW w:w="727" w:type="pct"/>
            <w:vMerge w:val="continue"/>
            <w:tcBorders>
              <w:left w:val="single" w:color="auto" w:sz="4" w:space="0"/>
            </w:tcBorders>
            <w:vAlign w:val="center"/>
          </w:tcPr>
          <w:p w14:paraId="3446E7B7">
            <w:pPr>
              <w:adjustRightInd w:val="0"/>
              <w:snapToGrid w:val="0"/>
              <w:spacing w:line="320" w:lineRule="exact"/>
              <w:jc w:val="center"/>
              <w:rPr>
                <w:rFonts w:ascii="Times New Roman"/>
                <w:kern w:val="0"/>
                <w:sz w:val="21"/>
                <w:szCs w:val="21"/>
              </w:rPr>
            </w:pPr>
          </w:p>
        </w:tc>
      </w:tr>
      <w:tr w14:paraId="744CA0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0D83FAF3">
            <w:pPr>
              <w:adjustRightInd w:val="0"/>
              <w:snapToGrid w:val="0"/>
              <w:spacing w:line="320" w:lineRule="exact"/>
              <w:jc w:val="center"/>
              <w:rPr>
                <w:rFonts w:ascii="Times New Roman"/>
                <w:sz w:val="21"/>
                <w:szCs w:val="21"/>
              </w:rPr>
            </w:pPr>
          </w:p>
        </w:tc>
        <w:tc>
          <w:tcPr>
            <w:tcW w:w="816" w:type="pct"/>
            <w:tcBorders>
              <w:top w:val="single" w:color="auto" w:sz="4" w:space="0"/>
            </w:tcBorders>
            <w:vAlign w:val="center"/>
          </w:tcPr>
          <w:p w14:paraId="69BE3B9A">
            <w:pPr>
              <w:adjustRightInd w:val="0"/>
              <w:snapToGrid w:val="0"/>
              <w:spacing w:line="320" w:lineRule="exact"/>
              <w:jc w:val="center"/>
              <w:rPr>
                <w:rFonts w:ascii="Times New Roman"/>
                <w:sz w:val="21"/>
                <w:szCs w:val="21"/>
              </w:rPr>
            </w:pPr>
            <w:r>
              <w:rPr>
                <w:rFonts w:ascii="Times New Roman"/>
                <w:sz w:val="21"/>
                <w:szCs w:val="21"/>
              </w:rPr>
              <w:t>废油桶</w:t>
            </w:r>
          </w:p>
        </w:tc>
        <w:tc>
          <w:tcPr>
            <w:tcW w:w="433" w:type="pct"/>
            <w:tcBorders>
              <w:top w:val="single" w:color="auto" w:sz="4" w:space="0"/>
              <w:right w:val="single" w:color="auto" w:sz="4" w:space="0"/>
            </w:tcBorders>
            <w:vAlign w:val="center"/>
          </w:tcPr>
          <w:p w14:paraId="7F36CB69">
            <w:pPr>
              <w:adjustRightInd w:val="0"/>
              <w:snapToGrid w:val="0"/>
              <w:spacing w:line="320" w:lineRule="exact"/>
              <w:jc w:val="center"/>
              <w:rPr>
                <w:rFonts w:ascii="Times New Roman"/>
                <w:sz w:val="21"/>
                <w:szCs w:val="21"/>
              </w:rPr>
            </w:pPr>
            <w:r>
              <w:rPr>
                <w:rFonts w:ascii="Times New Roman"/>
                <w:sz w:val="21"/>
                <w:szCs w:val="21"/>
              </w:rPr>
              <w:t>0.4</w:t>
            </w:r>
          </w:p>
        </w:tc>
        <w:tc>
          <w:tcPr>
            <w:tcW w:w="722" w:type="pct"/>
            <w:tcBorders>
              <w:top w:val="single" w:color="auto" w:sz="4" w:space="0"/>
            </w:tcBorders>
            <w:vAlign w:val="center"/>
          </w:tcPr>
          <w:p w14:paraId="5B9A4E60">
            <w:pPr>
              <w:adjustRightInd w:val="0"/>
              <w:snapToGrid w:val="0"/>
              <w:spacing w:line="320" w:lineRule="exact"/>
              <w:jc w:val="center"/>
              <w:rPr>
                <w:rFonts w:ascii="Times New Roman"/>
                <w:sz w:val="21"/>
                <w:szCs w:val="21"/>
              </w:rPr>
            </w:pPr>
            <w:r>
              <w:rPr>
                <w:rFonts w:ascii="Times New Roman"/>
                <w:sz w:val="21"/>
                <w:szCs w:val="21"/>
              </w:rPr>
              <w:t>HW08</w:t>
            </w:r>
          </w:p>
        </w:tc>
        <w:tc>
          <w:tcPr>
            <w:tcW w:w="841" w:type="pct"/>
            <w:tcBorders>
              <w:top w:val="single" w:color="auto" w:sz="4" w:space="0"/>
            </w:tcBorders>
            <w:vAlign w:val="center"/>
          </w:tcPr>
          <w:p w14:paraId="5A2BFEA6">
            <w:pPr>
              <w:adjustRightInd w:val="0"/>
              <w:snapToGrid w:val="0"/>
              <w:spacing w:line="320" w:lineRule="exact"/>
              <w:jc w:val="center"/>
              <w:rPr>
                <w:rFonts w:ascii="Times New Roman"/>
                <w:sz w:val="21"/>
                <w:szCs w:val="21"/>
              </w:rPr>
            </w:pPr>
            <w:r>
              <w:rPr>
                <w:rFonts w:ascii="Times New Roman"/>
                <w:sz w:val="21"/>
                <w:szCs w:val="21"/>
              </w:rPr>
              <w:t>900-249-08</w:t>
            </w:r>
          </w:p>
        </w:tc>
        <w:tc>
          <w:tcPr>
            <w:tcW w:w="707" w:type="pct"/>
            <w:tcBorders>
              <w:top w:val="single" w:color="auto" w:sz="4" w:space="0"/>
              <w:right w:val="single" w:color="auto" w:sz="4" w:space="0"/>
            </w:tcBorders>
            <w:vAlign w:val="center"/>
          </w:tcPr>
          <w:p w14:paraId="065087CD">
            <w:pPr>
              <w:adjustRightInd w:val="0"/>
              <w:snapToGrid w:val="0"/>
              <w:spacing w:line="320" w:lineRule="exact"/>
              <w:jc w:val="center"/>
              <w:rPr>
                <w:rFonts w:ascii="Times New Roman"/>
                <w:sz w:val="21"/>
                <w:szCs w:val="21"/>
              </w:rPr>
            </w:pPr>
            <w:r>
              <w:rPr>
                <w:rFonts w:ascii="Times New Roman"/>
                <w:sz w:val="21"/>
                <w:szCs w:val="21"/>
              </w:rPr>
              <w:t>盖盖密闭</w:t>
            </w:r>
          </w:p>
        </w:tc>
        <w:tc>
          <w:tcPr>
            <w:tcW w:w="727" w:type="pct"/>
            <w:vMerge w:val="continue"/>
            <w:tcBorders>
              <w:left w:val="single" w:color="auto" w:sz="4" w:space="0"/>
            </w:tcBorders>
            <w:vAlign w:val="center"/>
          </w:tcPr>
          <w:p w14:paraId="4223BF4C">
            <w:pPr>
              <w:adjustRightInd w:val="0"/>
              <w:snapToGrid w:val="0"/>
              <w:spacing w:line="320" w:lineRule="exact"/>
              <w:jc w:val="center"/>
              <w:rPr>
                <w:rFonts w:ascii="Times New Roman"/>
                <w:kern w:val="0"/>
                <w:sz w:val="21"/>
                <w:szCs w:val="21"/>
              </w:rPr>
            </w:pPr>
          </w:p>
        </w:tc>
      </w:tr>
      <w:tr w14:paraId="11FA74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36FF160C">
            <w:pPr>
              <w:adjustRightInd w:val="0"/>
              <w:snapToGrid w:val="0"/>
              <w:spacing w:line="320" w:lineRule="exact"/>
              <w:jc w:val="center"/>
              <w:rPr>
                <w:rFonts w:ascii="Times New Roman"/>
                <w:kern w:val="0"/>
                <w:sz w:val="21"/>
                <w:szCs w:val="21"/>
              </w:rPr>
            </w:pPr>
          </w:p>
        </w:tc>
        <w:tc>
          <w:tcPr>
            <w:tcW w:w="816" w:type="pct"/>
            <w:tcBorders>
              <w:top w:val="single" w:color="auto" w:sz="4" w:space="0"/>
            </w:tcBorders>
            <w:vAlign w:val="center"/>
          </w:tcPr>
          <w:p w14:paraId="55774FD0">
            <w:pPr>
              <w:adjustRightInd w:val="0"/>
              <w:snapToGrid w:val="0"/>
              <w:spacing w:line="320" w:lineRule="exact"/>
              <w:jc w:val="center"/>
              <w:rPr>
                <w:rFonts w:ascii="Times New Roman"/>
                <w:sz w:val="21"/>
                <w:szCs w:val="21"/>
              </w:rPr>
            </w:pPr>
            <w:r>
              <w:rPr>
                <w:rFonts w:ascii="Times New Roman"/>
                <w:sz w:val="21"/>
                <w:szCs w:val="21"/>
              </w:rPr>
              <w:t>废切削液</w:t>
            </w:r>
          </w:p>
        </w:tc>
        <w:tc>
          <w:tcPr>
            <w:tcW w:w="433" w:type="pct"/>
            <w:tcBorders>
              <w:top w:val="single" w:color="auto" w:sz="4" w:space="0"/>
              <w:right w:val="single" w:color="auto" w:sz="4" w:space="0"/>
            </w:tcBorders>
            <w:vAlign w:val="center"/>
          </w:tcPr>
          <w:p w14:paraId="48009A64">
            <w:pPr>
              <w:adjustRightInd w:val="0"/>
              <w:snapToGrid w:val="0"/>
              <w:spacing w:line="320" w:lineRule="exact"/>
              <w:jc w:val="center"/>
              <w:rPr>
                <w:rFonts w:ascii="Times New Roman"/>
                <w:sz w:val="21"/>
                <w:szCs w:val="21"/>
              </w:rPr>
            </w:pPr>
            <w:r>
              <w:rPr>
                <w:rFonts w:ascii="Times New Roman"/>
                <w:sz w:val="21"/>
                <w:szCs w:val="21"/>
              </w:rPr>
              <w:t>7.5</w:t>
            </w:r>
          </w:p>
        </w:tc>
        <w:tc>
          <w:tcPr>
            <w:tcW w:w="722" w:type="pct"/>
            <w:tcBorders>
              <w:top w:val="single" w:color="auto" w:sz="4" w:space="0"/>
            </w:tcBorders>
            <w:vAlign w:val="center"/>
          </w:tcPr>
          <w:p w14:paraId="0954D8E3">
            <w:pPr>
              <w:adjustRightInd w:val="0"/>
              <w:snapToGrid w:val="0"/>
              <w:spacing w:line="320" w:lineRule="exact"/>
              <w:jc w:val="center"/>
              <w:rPr>
                <w:rFonts w:ascii="Times New Roman"/>
                <w:sz w:val="21"/>
                <w:szCs w:val="21"/>
              </w:rPr>
            </w:pPr>
            <w:r>
              <w:rPr>
                <w:rFonts w:ascii="Times New Roman"/>
                <w:sz w:val="21"/>
                <w:szCs w:val="21"/>
              </w:rPr>
              <w:t>HW09</w:t>
            </w:r>
          </w:p>
        </w:tc>
        <w:tc>
          <w:tcPr>
            <w:tcW w:w="841" w:type="pct"/>
            <w:tcBorders>
              <w:top w:val="single" w:color="auto" w:sz="4" w:space="0"/>
            </w:tcBorders>
            <w:vAlign w:val="center"/>
          </w:tcPr>
          <w:p w14:paraId="58136210">
            <w:pPr>
              <w:adjustRightInd w:val="0"/>
              <w:snapToGrid w:val="0"/>
              <w:spacing w:line="320" w:lineRule="exact"/>
              <w:jc w:val="center"/>
              <w:rPr>
                <w:rFonts w:ascii="Times New Roman"/>
                <w:sz w:val="21"/>
                <w:szCs w:val="21"/>
              </w:rPr>
            </w:pPr>
            <w:r>
              <w:rPr>
                <w:rFonts w:ascii="Times New Roman"/>
                <w:sz w:val="21"/>
                <w:szCs w:val="21"/>
              </w:rPr>
              <w:t>900-006-09</w:t>
            </w:r>
          </w:p>
        </w:tc>
        <w:tc>
          <w:tcPr>
            <w:tcW w:w="707" w:type="pct"/>
            <w:tcBorders>
              <w:top w:val="single" w:color="auto" w:sz="4" w:space="0"/>
              <w:right w:val="single" w:color="auto" w:sz="4" w:space="0"/>
            </w:tcBorders>
            <w:vAlign w:val="center"/>
          </w:tcPr>
          <w:p w14:paraId="707CEB06">
            <w:pPr>
              <w:adjustRightInd w:val="0"/>
              <w:snapToGrid w:val="0"/>
              <w:spacing w:line="320" w:lineRule="exact"/>
              <w:jc w:val="center"/>
              <w:rPr>
                <w:rFonts w:ascii="Times New Roman"/>
                <w:sz w:val="21"/>
                <w:szCs w:val="21"/>
              </w:rPr>
            </w:pPr>
            <w:r>
              <w:rPr>
                <w:rFonts w:ascii="Times New Roman"/>
                <w:sz w:val="21"/>
                <w:szCs w:val="21"/>
              </w:rPr>
              <w:t>桶装密闭</w:t>
            </w:r>
          </w:p>
        </w:tc>
        <w:tc>
          <w:tcPr>
            <w:tcW w:w="727" w:type="pct"/>
            <w:vMerge w:val="continue"/>
            <w:tcBorders>
              <w:left w:val="single" w:color="auto" w:sz="4" w:space="0"/>
            </w:tcBorders>
            <w:vAlign w:val="center"/>
          </w:tcPr>
          <w:p w14:paraId="027E2B24">
            <w:pPr>
              <w:adjustRightInd w:val="0"/>
              <w:snapToGrid w:val="0"/>
              <w:spacing w:line="320" w:lineRule="exact"/>
              <w:jc w:val="center"/>
              <w:rPr>
                <w:rFonts w:ascii="Times New Roman"/>
                <w:kern w:val="0"/>
                <w:sz w:val="21"/>
                <w:szCs w:val="21"/>
              </w:rPr>
            </w:pPr>
          </w:p>
        </w:tc>
      </w:tr>
      <w:tr w14:paraId="492AB2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3E246093">
            <w:pPr>
              <w:adjustRightInd w:val="0"/>
              <w:snapToGrid w:val="0"/>
              <w:spacing w:line="320" w:lineRule="exact"/>
              <w:jc w:val="center"/>
              <w:rPr>
                <w:rFonts w:ascii="Times New Roman"/>
                <w:kern w:val="0"/>
                <w:sz w:val="21"/>
                <w:szCs w:val="21"/>
              </w:rPr>
            </w:pPr>
          </w:p>
        </w:tc>
        <w:tc>
          <w:tcPr>
            <w:tcW w:w="816" w:type="pct"/>
            <w:tcBorders>
              <w:top w:val="single" w:color="auto" w:sz="4" w:space="0"/>
            </w:tcBorders>
            <w:vAlign w:val="center"/>
          </w:tcPr>
          <w:p w14:paraId="4856AF26">
            <w:pPr>
              <w:adjustRightInd w:val="0"/>
              <w:snapToGrid w:val="0"/>
              <w:spacing w:line="320" w:lineRule="exact"/>
              <w:jc w:val="center"/>
              <w:rPr>
                <w:rFonts w:ascii="Times New Roman"/>
                <w:sz w:val="21"/>
                <w:szCs w:val="21"/>
              </w:rPr>
            </w:pPr>
            <w:r>
              <w:rPr>
                <w:rFonts w:ascii="Times New Roman"/>
                <w:sz w:val="21"/>
                <w:szCs w:val="21"/>
              </w:rPr>
              <w:t>废切削液桶</w:t>
            </w:r>
          </w:p>
        </w:tc>
        <w:tc>
          <w:tcPr>
            <w:tcW w:w="433" w:type="pct"/>
            <w:tcBorders>
              <w:top w:val="single" w:color="auto" w:sz="4" w:space="0"/>
              <w:right w:val="single" w:color="auto" w:sz="4" w:space="0"/>
            </w:tcBorders>
            <w:vAlign w:val="center"/>
          </w:tcPr>
          <w:p w14:paraId="15B3B4E4">
            <w:pPr>
              <w:adjustRightInd w:val="0"/>
              <w:snapToGrid w:val="0"/>
              <w:spacing w:line="320" w:lineRule="exact"/>
              <w:jc w:val="center"/>
              <w:rPr>
                <w:rFonts w:ascii="Times New Roman"/>
                <w:sz w:val="21"/>
                <w:szCs w:val="21"/>
              </w:rPr>
            </w:pPr>
            <w:r>
              <w:rPr>
                <w:rFonts w:hint="eastAsia" w:ascii="Times New Roman"/>
                <w:sz w:val="21"/>
                <w:szCs w:val="21"/>
              </w:rPr>
              <w:t>0.8</w:t>
            </w:r>
          </w:p>
        </w:tc>
        <w:tc>
          <w:tcPr>
            <w:tcW w:w="722" w:type="pct"/>
            <w:tcBorders>
              <w:top w:val="single" w:color="auto" w:sz="4" w:space="0"/>
            </w:tcBorders>
            <w:vAlign w:val="center"/>
          </w:tcPr>
          <w:p w14:paraId="2D64EAAF">
            <w:pPr>
              <w:adjustRightInd w:val="0"/>
              <w:snapToGrid w:val="0"/>
              <w:spacing w:line="320" w:lineRule="exact"/>
              <w:jc w:val="center"/>
              <w:rPr>
                <w:rFonts w:ascii="Times New Roman"/>
                <w:sz w:val="21"/>
                <w:szCs w:val="21"/>
              </w:rPr>
            </w:pPr>
            <w:r>
              <w:rPr>
                <w:rFonts w:ascii="Times New Roman"/>
                <w:sz w:val="21"/>
                <w:szCs w:val="21"/>
              </w:rPr>
              <w:t>HW08</w:t>
            </w:r>
          </w:p>
        </w:tc>
        <w:tc>
          <w:tcPr>
            <w:tcW w:w="841" w:type="pct"/>
            <w:tcBorders>
              <w:top w:val="single" w:color="auto" w:sz="4" w:space="0"/>
            </w:tcBorders>
            <w:vAlign w:val="center"/>
          </w:tcPr>
          <w:p w14:paraId="7897A243">
            <w:pPr>
              <w:adjustRightInd w:val="0"/>
              <w:snapToGrid w:val="0"/>
              <w:spacing w:line="320" w:lineRule="exact"/>
              <w:jc w:val="center"/>
              <w:rPr>
                <w:rFonts w:ascii="Times New Roman"/>
                <w:sz w:val="21"/>
                <w:szCs w:val="21"/>
              </w:rPr>
            </w:pPr>
            <w:r>
              <w:rPr>
                <w:rFonts w:ascii="Times New Roman"/>
                <w:sz w:val="21"/>
                <w:szCs w:val="21"/>
              </w:rPr>
              <w:t>900-249-08</w:t>
            </w:r>
          </w:p>
        </w:tc>
        <w:tc>
          <w:tcPr>
            <w:tcW w:w="707" w:type="pct"/>
            <w:tcBorders>
              <w:top w:val="single" w:color="auto" w:sz="4" w:space="0"/>
              <w:right w:val="single" w:color="auto" w:sz="4" w:space="0"/>
            </w:tcBorders>
            <w:vAlign w:val="center"/>
          </w:tcPr>
          <w:p w14:paraId="64BDF9B1">
            <w:pPr>
              <w:adjustRightInd w:val="0"/>
              <w:snapToGrid w:val="0"/>
              <w:spacing w:line="320" w:lineRule="exact"/>
              <w:jc w:val="center"/>
              <w:rPr>
                <w:rFonts w:ascii="Times New Roman"/>
                <w:sz w:val="21"/>
                <w:szCs w:val="21"/>
              </w:rPr>
            </w:pPr>
            <w:r>
              <w:rPr>
                <w:rFonts w:ascii="Times New Roman"/>
                <w:sz w:val="21"/>
                <w:szCs w:val="21"/>
              </w:rPr>
              <w:t>盖盖密闭</w:t>
            </w:r>
          </w:p>
        </w:tc>
        <w:tc>
          <w:tcPr>
            <w:tcW w:w="727" w:type="pct"/>
            <w:vMerge w:val="continue"/>
            <w:tcBorders>
              <w:left w:val="single" w:color="auto" w:sz="4" w:space="0"/>
            </w:tcBorders>
            <w:vAlign w:val="center"/>
          </w:tcPr>
          <w:p w14:paraId="2AA118E7">
            <w:pPr>
              <w:adjustRightInd w:val="0"/>
              <w:snapToGrid w:val="0"/>
              <w:spacing w:line="320" w:lineRule="exact"/>
              <w:jc w:val="center"/>
              <w:rPr>
                <w:rFonts w:ascii="Times New Roman"/>
                <w:kern w:val="0"/>
                <w:sz w:val="21"/>
                <w:szCs w:val="21"/>
              </w:rPr>
            </w:pPr>
          </w:p>
        </w:tc>
      </w:tr>
      <w:tr w14:paraId="42ADF1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486B4D81">
            <w:pPr>
              <w:adjustRightInd w:val="0"/>
              <w:snapToGrid w:val="0"/>
              <w:spacing w:line="320" w:lineRule="exact"/>
              <w:jc w:val="center"/>
              <w:rPr>
                <w:rFonts w:ascii="Times New Roman"/>
                <w:kern w:val="0"/>
                <w:sz w:val="21"/>
                <w:szCs w:val="21"/>
              </w:rPr>
            </w:pPr>
          </w:p>
        </w:tc>
        <w:tc>
          <w:tcPr>
            <w:tcW w:w="816" w:type="pct"/>
            <w:tcBorders>
              <w:top w:val="single" w:color="auto" w:sz="4" w:space="0"/>
            </w:tcBorders>
            <w:vAlign w:val="center"/>
          </w:tcPr>
          <w:p w14:paraId="2479B065">
            <w:pPr>
              <w:adjustRightInd w:val="0"/>
              <w:snapToGrid w:val="0"/>
              <w:spacing w:line="320" w:lineRule="exact"/>
              <w:jc w:val="center"/>
              <w:rPr>
                <w:rFonts w:ascii="Times New Roman"/>
                <w:sz w:val="21"/>
                <w:szCs w:val="21"/>
              </w:rPr>
            </w:pPr>
            <w:r>
              <w:rPr>
                <w:rFonts w:ascii="Times New Roman"/>
                <w:sz w:val="21"/>
                <w:szCs w:val="21"/>
              </w:rPr>
              <w:t>含油金属屑</w:t>
            </w:r>
          </w:p>
        </w:tc>
        <w:tc>
          <w:tcPr>
            <w:tcW w:w="433" w:type="pct"/>
            <w:tcBorders>
              <w:top w:val="single" w:color="auto" w:sz="4" w:space="0"/>
              <w:right w:val="single" w:color="auto" w:sz="4" w:space="0"/>
            </w:tcBorders>
            <w:vAlign w:val="center"/>
          </w:tcPr>
          <w:p w14:paraId="45405B92">
            <w:pPr>
              <w:adjustRightInd w:val="0"/>
              <w:snapToGrid w:val="0"/>
              <w:spacing w:line="320" w:lineRule="exact"/>
              <w:jc w:val="center"/>
              <w:rPr>
                <w:rFonts w:ascii="Times New Roman"/>
                <w:sz w:val="21"/>
                <w:szCs w:val="21"/>
              </w:rPr>
            </w:pPr>
            <w:r>
              <w:rPr>
                <w:rFonts w:ascii="Times New Roman"/>
                <w:sz w:val="21"/>
                <w:szCs w:val="21"/>
              </w:rPr>
              <w:t>2</w:t>
            </w:r>
          </w:p>
        </w:tc>
        <w:tc>
          <w:tcPr>
            <w:tcW w:w="722" w:type="pct"/>
            <w:tcBorders>
              <w:top w:val="single" w:color="auto" w:sz="4" w:space="0"/>
            </w:tcBorders>
            <w:vAlign w:val="center"/>
          </w:tcPr>
          <w:p w14:paraId="340D5CFE">
            <w:pPr>
              <w:adjustRightInd w:val="0"/>
              <w:snapToGrid w:val="0"/>
              <w:spacing w:line="320" w:lineRule="exact"/>
              <w:jc w:val="center"/>
              <w:rPr>
                <w:rFonts w:ascii="Times New Roman"/>
                <w:sz w:val="21"/>
                <w:szCs w:val="21"/>
              </w:rPr>
            </w:pPr>
            <w:r>
              <w:rPr>
                <w:rFonts w:ascii="Times New Roman"/>
                <w:sz w:val="21"/>
                <w:szCs w:val="21"/>
              </w:rPr>
              <w:t>HW09</w:t>
            </w:r>
          </w:p>
        </w:tc>
        <w:tc>
          <w:tcPr>
            <w:tcW w:w="841" w:type="pct"/>
            <w:tcBorders>
              <w:top w:val="single" w:color="auto" w:sz="4" w:space="0"/>
            </w:tcBorders>
            <w:vAlign w:val="center"/>
          </w:tcPr>
          <w:p w14:paraId="6AAE89BD">
            <w:pPr>
              <w:adjustRightInd w:val="0"/>
              <w:snapToGrid w:val="0"/>
              <w:spacing w:line="320" w:lineRule="exact"/>
              <w:jc w:val="center"/>
              <w:rPr>
                <w:rFonts w:ascii="Times New Roman"/>
                <w:sz w:val="21"/>
                <w:szCs w:val="21"/>
              </w:rPr>
            </w:pPr>
            <w:r>
              <w:rPr>
                <w:rFonts w:ascii="Times New Roman"/>
                <w:sz w:val="21"/>
                <w:szCs w:val="21"/>
              </w:rPr>
              <w:t>900-006-09</w:t>
            </w:r>
          </w:p>
        </w:tc>
        <w:tc>
          <w:tcPr>
            <w:tcW w:w="707" w:type="pct"/>
            <w:tcBorders>
              <w:top w:val="single" w:color="auto" w:sz="4" w:space="0"/>
              <w:right w:val="single" w:color="auto" w:sz="4" w:space="0"/>
            </w:tcBorders>
            <w:vAlign w:val="center"/>
          </w:tcPr>
          <w:p w14:paraId="1B3C4281">
            <w:pPr>
              <w:adjustRightInd w:val="0"/>
              <w:snapToGrid w:val="0"/>
              <w:spacing w:line="320" w:lineRule="exact"/>
              <w:jc w:val="center"/>
              <w:rPr>
                <w:rFonts w:ascii="Times New Roman"/>
                <w:sz w:val="21"/>
                <w:szCs w:val="21"/>
              </w:rPr>
            </w:pPr>
            <w:r>
              <w:rPr>
                <w:rFonts w:ascii="Times New Roman"/>
                <w:sz w:val="21"/>
                <w:szCs w:val="21"/>
              </w:rPr>
              <w:t>桶装密闭</w:t>
            </w:r>
          </w:p>
        </w:tc>
        <w:tc>
          <w:tcPr>
            <w:tcW w:w="727" w:type="pct"/>
            <w:vMerge w:val="continue"/>
            <w:tcBorders>
              <w:left w:val="single" w:color="auto" w:sz="4" w:space="0"/>
            </w:tcBorders>
            <w:vAlign w:val="center"/>
          </w:tcPr>
          <w:p w14:paraId="3D689613">
            <w:pPr>
              <w:adjustRightInd w:val="0"/>
              <w:snapToGrid w:val="0"/>
              <w:spacing w:line="320" w:lineRule="exact"/>
              <w:jc w:val="center"/>
              <w:rPr>
                <w:rFonts w:ascii="Times New Roman"/>
                <w:kern w:val="0"/>
                <w:sz w:val="21"/>
                <w:szCs w:val="21"/>
              </w:rPr>
            </w:pPr>
          </w:p>
        </w:tc>
      </w:tr>
      <w:tr w14:paraId="64EAFB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vAlign w:val="center"/>
          </w:tcPr>
          <w:p w14:paraId="74DFC509">
            <w:pPr>
              <w:adjustRightInd w:val="0"/>
              <w:snapToGrid w:val="0"/>
              <w:spacing w:line="320" w:lineRule="exact"/>
              <w:jc w:val="center"/>
              <w:rPr>
                <w:rFonts w:ascii="Times New Roman"/>
                <w:sz w:val="21"/>
                <w:szCs w:val="21"/>
              </w:rPr>
            </w:pPr>
            <w:r>
              <w:rPr>
                <w:rFonts w:hint="eastAsia" w:ascii="Times New Roman"/>
                <w:sz w:val="21"/>
                <w:szCs w:val="21"/>
              </w:rPr>
              <w:t>污水处理</w:t>
            </w:r>
          </w:p>
        </w:tc>
        <w:tc>
          <w:tcPr>
            <w:tcW w:w="816" w:type="pct"/>
            <w:tcBorders>
              <w:top w:val="single" w:color="auto" w:sz="4" w:space="0"/>
              <w:bottom w:val="single" w:color="auto" w:sz="4" w:space="0"/>
            </w:tcBorders>
            <w:vAlign w:val="center"/>
          </w:tcPr>
          <w:p w14:paraId="0F7C0A55">
            <w:pPr>
              <w:adjustRightInd w:val="0"/>
              <w:snapToGrid w:val="0"/>
              <w:spacing w:line="320" w:lineRule="exact"/>
              <w:jc w:val="center"/>
              <w:rPr>
                <w:rFonts w:ascii="Times New Roman"/>
                <w:sz w:val="21"/>
                <w:szCs w:val="21"/>
              </w:rPr>
            </w:pPr>
            <w:r>
              <w:rPr>
                <w:rFonts w:hint="eastAsia" w:ascii="Times New Roman"/>
                <w:sz w:val="21"/>
                <w:szCs w:val="21"/>
              </w:rPr>
              <w:t>污泥</w:t>
            </w:r>
          </w:p>
        </w:tc>
        <w:tc>
          <w:tcPr>
            <w:tcW w:w="433" w:type="pct"/>
            <w:tcBorders>
              <w:top w:val="single" w:color="auto" w:sz="4" w:space="0"/>
              <w:right w:val="single" w:color="auto" w:sz="4" w:space="0"/>
            </w:tcBorders>
            <w:vAlign w:val="center"/>
          </w:tcPr>
          <w:p w14:paraId="146C6972">
            <w:pPr>
              <w:adjustRightInd w:val="0"/>
              <w:snapToGrid w:val="0"/>
              <w:spacing w:line="320" w:lineRule="exact"/>
              <w:jc w:val="center"/>
              <w:rPr>
                <w:rFonts w:ascii="Times New Roman"/>
                <w:sz w:val="21"/>
                <w:szCs w:val="21"/>
              </w:rPr>
            </w:pPr>
            <w:r>
              <w:rPr>
                <w:rFonts w:hint="eastAsia" w:ascii="Times New Roman"/>
                <w:sz w:val="21"/>
                <w:szCs w:val="21"/>
              </w:rPr>
              <w:t>25.931</w:t>
            </w:r>
          </w:p>
        </w:tc>
        <w:tc>
          <w:tcPr>
            <w:tcW w:w="722" w:type="pct"/>
            <w:tcBorders>
              <w:top w:val="single" w:color="auto" w:sz="4" w:space="0"/>
            </w:tcBorders>
            <w:vAlign w:val="center"/>
          </w:tcPr>
          <w:p w14:paraId="57C15608">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841" w:type="pct"/>
            <w:tcBorders>
              <w:top w:val="single" w:color="auto" w:sz="4" w:space="0"/>
            </w:tcBorders>
            <w:vAlign w:val="center"/>
          </w:tcPr>
          <w:p w14:paraId="22045C50">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707" w:type="pct"/>
            <w:tcBorders>
              <w:top w:val="single" w:color="auto" w:sz="4" w:space="0"/>
              <w:right w:val="single" w:color="auto" w:sz="4" w:space="0"/>
            </w:tcBorders>
            <w:vAlign w:val="center"/>
          </w:tcPr>
          <w:p w14:paraId="59F24779">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6AF37C38">
            <w:pPr>
              <w:adjustRightInd w:val="0"/>
              <w:snapToGrid w:val="0"/>
              <w:spacing w:line="320" w:lineRule="exact"/>
              <w:jc w:val="center"/>
              <w:rPr>
                <w:rFonts w:ascii="Times New Roman"/>
                <w:kern w:val="0"/>
                <w:sz w:val="21"/>
                <w:szCs w:val="21"/>
              </w:rPr>
            </w:pPr>
          </w:p>
        </w:tc>
      </w:tr>
      <w:tr w14:paraId="301998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restart"/>
            <w:tcBorders>
              <w:top w:val="single" w:color="auto" w:sz="4" w:space="0"/>
            </w:tcBorders>
            <w:vAlign w:val="center"/>
          </w:tcPr>
          <w:p w14:paraId="10110025">
            <w:pPr>
              <w:adjustRightInd w:val="0"/>
              <w:snapToGrid w:val="0"/>
              <w:spacing w:line="320" w:lineRule="exact"/>
              <w:jc w:val="center"/>
              <w:rPr>
                <w:rFonts w:ascii="Times New Roman"/>
                <w:sz w:val="21"/>
                <w:szCs w:val="21"/>
              </w:rPr>
            </w:pPr>
            <w:r>
              <w:rPr>
                <w:rFonts w:ascii="Times New Roman"/>
                <w:sz w:val="21"/>
                <w:szCs w:val="21"/>
              </w:rPr>
              <w:t>有机废气净化装置</w:t>
            </w:r>
          </w:p>
        </w:tc>
        <w:tc>
          <w:tcPr>
            <w:tcW w:w="816" w:type="pct"/>
            <w:tcBorders>
              <w:top w:val="single" w:color="auto" w:sz="4" w:space="0"/>
            </w:tcBorders>
            <w:vAlign w:val="center"/>
          </w:tcPr>
          <w:p w14:paraId="21A6BDF0">
            <w:pPr>
              <w:adjustRightInd w:val="0"/>
              <w:snapToGrid w:val="0"/>
              <w:spacing w:line="320" w:lineRule="exact"/>
              <w:jc w:val="center"/>
              <w:rPr>
                <w:rFonts w:ascii="Times New Roman"/>
                <w:sz w:val="21"/>
                <w:szCs w:val="21"/>
              </w:rPr>
            </w:pPr>
            <w:r>
              <w:rPr>
                <w:rFonts w:ascii="Times New Roman"/>
                <w:sz w:val="21"/>
                <w:szCs w:val="21"/>
              </w:rPr>
              <w:t>废过滤棉</w:t>
            </w:r>
          </w:p>
        </w:tc>
        <w:tc>
          <w:tcPr>
            <w:tcW w:w="433" w:type="pct"/>
            <w:tcBorders>
              <w:top w:val="single" w:color="auto" w:sz="4" w:space="0"/>
              <w:right w:val="single" w:color="auto" w:sz="4" w:space="0"/>
            </w:tcBorders>
            <w:vAlign w:val="center"/>
          </w:tcPr>
          <w:p w14:paraId="288C20E1">
            <w:pPr>
              <w:adjustRightInd w:val="0"/>
              <w:snapToGrid w:val="0"/>
              <w:spacing w:line="320" w:lineRule="exact"/>
              <w:jc w:val="center"/>
              <w:rPr>
                <w:rFonts w:ascii="Times New Roman"/>
                <w:sz w:val="21"/>
                <w:szCs w:val="21"/>
              </w:rPr>
            </w:pPr>
            <w:r>
              <w:rPr>
                <w:rFonts w:ascii="Times New Roman"/>
                <w:sz w:val="21"/>
                <w:szCs w:val="21"/>
              </w:rPr>
              <w:t>3</w:t>
            </w:r>
          </w:p>
        </w:tc>
        <w:tc>
          <w:tcPr>
            <w:tcW w:w="722" w:type="pct"/>
            <w:tcBorders>
              <w:top w:val="single" w:color="auto" w:sz="4" w:space="0"/>
            </w:tcBorders>
            <w:vAlign w:val="center"/>
          </w:tcPr>
          <w:p w14:paraId="57496CF8">
            <w:pPr>
              <w:adjustRightInd w:val="0"/>
              <w:snapToGrid w:val="0"/>
              <w:spacing w:line="320" w:lineRule="exact"/>
              <w:jc w:val="center"/>
              <w:rPr>
                <w:rFonts w:ascii="Times New Roman"/>
                <w:sz w:val="21"/>
                <w:szCs w:val="21"/>
              </w:rPr>
            </w:pPr>
            <w:r>
              <w:rPr>
                <w:rFonts w:ascii="Times New Roman"/>
                <w:sz w:val="21"/>
                <w:szCs w:val="21"/>
              </w:rPr>
              <w:t>HW49</w:t>
            </w:r>
          </w:p>
        </w:tc>
        <w:tc>
          <w:tcPr>
            <w:tcW w:w="841" w:type="pct"/>
            <w:tcBorders>
              <w:top w:val="single" w:color="auto" w:sz="4" w:space="0"/>
            </w:tcBorders>
            <w:vAlign w:val="center"/>
          </w:tcPr>
          <w:p w14:paraId="4BE6B4EE">
            <w:pPr>
              <w:adjustRightInd w:val="0"/>
              <w:snapToGrid w:val="0"/>
              <w:spacing w:line="320" w:lineRule="exact"/>
              <w:jc w:val="center"/>
              <w:rPr>
                <w:rFonts w:ascii="Times New Roman"/>
                <w:sz w:val="21"/>
                <w:szCs w:val="21"/>
              </w:rPr>
            </w:pPr>
            <w:r>
              <w:rPr>
                <w:rFonts w:ascii="Times New Roman"/>
                <w:sz w:val="21"/>
                <w:szCs w:val="21"/>
              </w:rPr>
              <w:t>900-041-49</w:t>
            </w:r>
          </w:p>
        </w:tc>
        <w:tc>
          <w:tcPr>
            <w:tcW w:w="707" w:type="pct"/>
            <w:tcBorders>
              <w:top w:val="single" w:color="auto" w:sz="4" w:space="0"/>
              <w:right w:val="single" w:color="auto" w:sz="4" w:space="0"/>
            </w:tcBorders>
            <w:vAlign w:val="center"/>
          </w:tcPr>
          <w:p w14:paraId="682880C7">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44DE1CB6">
            <w:pPr>
              <w:adjustRightInd w:val="0"/>
              <w:snapToGrid w:val="0"/>
              <w:spacing w:line="320" w:lineRule="exact"/>
              <w:jc w:val="center"/>
              <w:rPr>
                <w:rFonts w:ascii="Times New Roman"/>
                <w:kern w:val="0"/>
                <w:sz w:val="21"/>
                <w:szCs w:val="21"/>
              </w:rPr>
            </w:pPr>
          </w:p>
        </w:tc>
      </w:tr>
      <w:tr w14:paraId="17F4A4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0E74DEEE">
            <w:pPr>
              <w:adjustRightInd w:val="0"/>
              <w:snapToGrid w:val="0"/>
              <w:spacing w:line="320" w:lineRule="exact"/>
              <w:jc w:val="center"/>
              <w:rPr>
                <w:rFonts w:ascii="Times New Roman"/>
                <w:kern w:val="0"/>
                <w:sz w:val="21"/>
                <w:szCs w:val="21"/>
              </w:rPr>
            </w:pPr>
          </w:p>
        </w:tc>
        <w:tc>
          <w:tcPr>
            <w:tcW w:w="816" w:type="pct"/>
            <w:tcBorders>
              <w:top w:val="single" w:color="auto" w:sz="4" w:space="0"/>
            </w:tcBorders>
            <w:vAlign w:val="center"/>
          </w:tcPr>
          <w:p w14:paraId="3CCBECFB">
            <w:pPr>
              <w:adjustRightInd w:val="0"/>
              <w:snapToGrid w:val="0"/>
              <w:spacing w:line="320" w:lineRule="exact"/>
              <w:jc w:val="center"/>
              <w:rPr>
                <w:rFonts w:ascii="Times New Roman"/>
                <w:sz w:val="21"/>
                <w:szCs w:val="21"/>
              </w:rPr>
            </w:pPr>
            <w:r>
              <w:rPr>
                <w:rFonts w:ascii="Times New Roman"/>
                <w:sz w:val="21"/>
                <w:szCs w:val="21"/>
              </w:rPr>
              <w:t>废沸石分子筛</w:t>
            </w:r>
          </w:p>
        </w:tc>
        <w:tc>
          <w:tcPr>
            <w:tcW w:w="433" w:type="pct"/>
            <w:tcBorders>
              <w:top w:val="single" w:color="auto" w:sz="4" w:space="0"/>
              <w:right w:val="single" w:color="auto" w:sz="4" w:space="0"/>
            </w:tcBorders>
            <w:vAlign w:val="center"/>
          </w:tcPr>
          <w:p w14:paraId="5C86AABD">
            <w:pPr>
              <w:adjustRightInd w:val="0"/>
              <w:snapToGrid w:val="0"/>
              <w:spacing w:line="320" w:lineRule="exact"/>
              <w:jc w:val="center"/>
              <w:rPr>
                <w:rFonts w:ascii="Times New Roman"/>
                <w:sz w:val="21"/>
                <w:szCs w:val="21"/>
              </w:rPr>
            </w:pPr>
            <w:r>
              <w:rPr>
                <w:rFonts w:hint="eastAsia" w:ascii="Times New Roman"/>
                <w:sz w:val="21"/>
                <w:szCs w:val="21"/>
              </w:rPr>
              <w:t>17.168</w:t>
            </w:r>
          </w:p>
        </w:tc>
        <w:tc>
          <w:tcPr>
            <w:tcW w:w="722" w:type="pct"/>
            <w:tcBorders>
              <w:top w:val="single" w:color="auto" w:sz="4" w:space="0"/>
            </w:tcBorders>
            <w:shd w:val="clear" w:color="auto" w:fill="auto"/>
            <w:vAlign w:val="center"/>
          </w:tcPr>
          <w:p w14:paraId="7C7020DA">
            <w:pPr>
              <w:adjustRightInd w:val="0"/>
              <w:snapToGrid w:val="0"/>
              <w:spacing w:line="320" w:lineRule="exact"/>
              <w:jc w:val="center"/>
              <w:rPr>
                <w:rFonts w:ascii="Times New Roman"/>
                <w:sz w:val="21"/>
                <w:szCs w:val="21"/>
              </w:rPr>
            </w:pPr>
            <w:r>
              <w:rPr>
                <w:rFonts w:ascii="Times New Roman"/>
                <w:sz w:val="21"/>
                <w:szCs w:val="21"/>
              </w:rPr>
              <w:t>HW49</w:t>
            </w:r>
          </w:p>
        </w:tc>
        <w:tc>
          <w:tcPr>
            <w:tcW w:w="841" w:type="pct"/>
            <w:tcBorders>
              <w:top w:val="single" w:color="auto" w:sz="4" w:space="0"/>
            </w:tcBorders>
            <w:shd w:val="clear" w:color="auto" w:fill="auto"/>
            <w:vAlign w:val="center"/>
          </w:tcPr>
          <w:p w14:paraId="619CDDFD">
            <w:pPr>
              <w:adjustRightInd w:val="0"/>
              <w:snapToGrid w:val="0"/>
              <w:spacing w:line="320" w:lineRule="exact"/>
              <w:jc w:val="center"/>
              <w:rPr>
                <w:rFonts w:ascii="Times New Roman"/>
                <w:sz w:val="21"/>
                <w:szCs w:val="21"/>
              </w:rPr>
            </w:pPr>
            <w:r>
              <w:rPr>
                <w:rFonts w:ascii="Times New Roman"/>
                <w:sz w:val="21"/>
                <w:szCs w:val="21"/>
              </w:rPr>
              <w:t>900-041-49</w:t>
            </w:r>
          </w:p>
        </w:tc>
        <w:tc>
          <w:tcPr>
            <w:tcW w:w="707" w:type="pct"/>
            <w:tcBorders>
              <w:top w:val="single" w:color="auto" w:sz="4" w:space="0"/>
              <w:right w:val="single" w:color="auto" w:sz="4" w:space="0"/>
            </w:tcBorders>
            <w:vAlign w:val="center"/>
          </w:tcPr>
          <w:p w14:paraId="39E7BCBE">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52F2A1E6">
            <w:pPr>
              <w:adjustRightInd w:val="0"/>
              <w:snapToGrid w:val="0"/>
              <w:spacing w:line="320" w:lineRule="exact"/>
              <w:jc w:val="center"/>
              <w:rPr>
                <w:rFonts w:ascii="Times New Roman"/>
                <w:kern w:val="0"/>
                <w:sz w:val="21"/>
                <w:szCs w:val="21"/>
              </w:rPr>
            </w:pPr>
          </w:p>
        </w:tc>
      </w:tr>
      <w:tr w14:paraId="153B9E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vAlign w:val="center"/>
          </w:tcPr>
          <w:p w14:paraId="512782D5">
            <w:pPr>
              <w:adjustRightInd w:val="0"/>
              <w:snapToGrid w:val="0"/>
              <w:spacing w:line="320" w:lineRule="exact"/>
              <w:jc w:val="center"/>
              <w:rPr>
                <w:rFonts w:ascii="Times New Roman"/>
                <w:kern w:val="0"/>
                <w:sz w:val="21"/>
                <w:szCs w:val="21"/>
              </w:rPr>
            </w:pPr>
          </w:p>
        </w:tc>
        <w:tc>
          <w:tcPr>
            <w:tcW w:w="816" w:type="pct"/>
            <w:tcBorders>
              <w:top w:val="single" w:color="auto" w:sz="4" w:space="0"/>
            </w:tcBorders>
            <w:vAlign w:val="center"/>
          </w:tcPr>
          <w:p w14:paraId="2F4A3E6A">
            <w:pPr>
              <w:adjustRightInd w:val="0"/>
              <w:snapToGrid w:val="0"/>
              <w:spacing w:line="320" w:lineRule="exact"/>
              <w:jc w:val="center"/>
              <w:rPr>
                <w:rFonts w:ascii="Times New Roman"/>
                <w:sz w:val="21"/>
                <w:szCs w:val="21"/>
              </w:rPr>
            </w:pPr>
            <w:r>
              <w:rPr>
                <w:rFonts w:ascii="Times New Roman"/>
                <w:sz w:val="21"/>
                <w:szCs w:val="21"/>
              </w:rPr>
              <w:t>废活性炭</w:t>
            </w:r>
          </w:p>
        </w:tc>
        <w:tc>
          <w:tcPr>
            <w:tcW w:w="433" w:type="pct"/>
            <w:tcBorders>
              <w:top w:val="single" w:color="auto" w:sz="4" w:space="0"/>
              <w:right w:val="single" w:color="auto" w:sz="4" w:space="0"/>
            </w:tcBorders>
            <w:vAlign w:val="center"/>
          </w:tcPr>
          <w:p w14:paraId="578E33A9">
            <w:pPr>
              <w:adjustRightInd w:val="0"/>
              <w:snapToGrid w:val="0"/>
              <w:spacing w:line="320" w:lineRule="exact"/>
              <w:jc w:val="center"/>
              <w:rPr>
                <w:rFonts w:ascii="Times New Roman"/>
                <w:sz w:val="21"/>
                <w:szCs w:val="21"/>
              </w:rPr>
            </w:pPr>
            <w:r>
              <w:rPr>
                <w:rFonts w:hint="eastAsia" w:ascii="Times New Roman"/>
                <w:sz w:val="21"/>
                <w:szCs w:val="21"/>
              </w:rPr>
              <w:t>4.695</w:t>
            </w:r>
          </w:p>
        </w:tc>
        <w:tc>
          <w:tcPr>
            <w:tcW w:w="722" w:type="pct"/>
            <w:tcBorders>
              <w:top w:val="single" w:color="auto" w:sz="4" w:space="0"/>
            </w:tcBorders>
            <w:vAlign w:val="center"/>
          </w:tcPr>
          <w:p w14:paraId="6E5777E7">
            <w:pPr>
              <w:adjustRightInd w:val="0"/>
              <w:snapToGrid w:val="0"/>
              <w:spacing w:line="320" w:lineRule="exact"/>
              <w:jc w:val="center"/>
              <w:rPr>
                <w:rFonts w:ascii="Times New Roman"/>
                <w:sz w:val="21"/>
                <w:szCs w:val="21"/>
              </w:rPr>
            </w:pPr>
            <w:r>
              <w:rPr>
                <w:rFonts w:ascii="Times New Roman"/>
                <w:sz w:val="21"/>
                <w:szCs w:val="21"/>
              </w:rPr>
              <w:t>HW49</w:t>
            </w:r>
          </w:p>
        </w:tc>
        <w:tc>
          <w:tcPr>
            <w:tcW w:w="841" w:type="pct"/>
            <w:tcBorders>
              <w:top w:val="single" w:color="auto" w:sz="4" w:space="0"/>
            </w:tcBorders>
            <w:vAlign w:val="center"/>
          </w:tcPr>
          <w:p w14:paraId="3935EC81">
            <w:pPr>
              <w:adjustRightInd w:val="0"/>
              <w:snapToGrid w:val="0"/>
              <w:spacing w:line="320" w:lineRule="exact"/>
              <w:jc w:val="center"/>
              <w:rPr>
                <w:rFonts w:ascii="Times New Roman"/>
                <w:sz w:val="21"/>
                <w:szCs w:val="21"/>
              </w:rPr>
            </w:pPr>
            <w:r>
              <w:rPr>
                <w:rFonts w:ascii="Times New Roman"/>
                <w:sz w:val="21"/>
                <w:szCs w:val="21"/>
              </w:rPr>
              <w:t>900-039-49</w:t>
            </w:r>
          </w:p>
        </w:tc>
        <w:tc>
          <w:tcPr>
            <w:tcW w:w="707" w:type="pct"/>
            <w:tcBorders>
              <w:top w:val="single" w:color="auto" w:sz="4" w:space="0"/>
              <w:right w:val="single" w:color="auto" w:sz="4" w:space="0"/>
            </w:tcBorders>
            <w:vAlign w:val="center"/>
          </w:tcPr>
          <w:p w14:paraId="344BC488">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53855DCC">
            <w:pPr>
              <w:adjustRightInd w:val="0"/>
              <w:snapToGrid w:val="0"/>
              <w:spacing w:line="320" w:lineRule="exact"/>
              <w:jc w:val="center"/>
              <w:rPr>
                <w:rFonts w:ascii="Times New Roman"/>
                <w:kern w:val="0"/>
                <w:sz w:val="21"/>
                <w:szCs w:val="21"/>
              </w:rPr>
            </w:pPr>
          </w:p>
        </w:tc>
      </w:tr>
      <w:tr w14:paraId="70F455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vAlign w:val="center"/>
          </w:tcPr>
          <w:p w14:paraId="4A7A21BA">
            <w:pPr>
              <w:adjustRightInd w:val="0"/>
              <w:snapToGrid w:val="0"/>
              <w:spacing w:line="320" w:lineRule="exact"/>
              <w:jc w:val="center"/>
              <w:rPr>
                <w:rFonts w:ascii="Times New Roman"/>
                <w:sz w:val="21"/>
                <w:szCs w:val="21"/>
              </w:rPr>
            </w:pPr>
            <w:r>
              <w:rPr>
                <w:rFonts w:hint="eastAsia" w:ascii="Times New Roman"/>
                <w:sz w:val="21"/>
                <w:szCs w:val="21"/>
              </w:rPr>
              <w:t>下料、机加工</w:t>
            </w:r>
          </w:p>
        </w:tc>
        <w:tc>
          <w:tcPr>
            <w:tcW w:w="816" w:type="pct"/>
            <w:tcBorders>
              <w:top w:val="single" w:color="auto" w:sz="4" w:space="0"/>
              <w:bottom w:val="single" w:color="auto" w:sz="4" w:space="0"/>
            </w:tcBorders>
            <w:vAlign w:val="center"/>
          </w:tcPr>
          <w:p w14:paraId="1D6A878D">
            <w:pPr>
              <w:adjustRightInd w:val="0"/>
              <w:snapToGrid w:val="0"/>
              <w:spacing w:line="320" w:lineRule="exact"/>
              <w:jc w:val="center"/>
              <w:rPr>
                <w:rFonts w:ascii="Times New Roman"/>
                <w:sz w:val="21"/>
                <w:szCs w:val="21"/>
              </w:rPr>
            </w:pPr>
            <w:r>
              <w:rPr>
                <w:rFonts w:hint="eastAsia" w:ascii="Times New Roman"/>
                <w:sz w:val="21"/>
                <w:szCs w:val="21"/>
              </w:rPr>
              <w:t>废边</w:t>
            </w:r>
            <w:r>
              <w:rPr>
                <w:rFonts w:ascii="Times New Roman"/>
                <w:sz w:val="21"/>
                <w:szCs w:val="21"/>
              </w:rPr>
              <w:t>脚料</w:t>
            </w:r>
          </w:p>
        </w:tc>
        <w:tc>
          <w:tcPr>
            <w:tcW w:w="433" w:type="pct"/>
            <w:tcBorders>
              <w:top w:val="single" w:color="auto" w:sz="4" w:space="0"/>
              <w:bottom w:val="single" w:color="auto" w:sz="4" w:space="0"/>
              <w:right w:val="single" w:color="auto" w:sz="4" w:space="0"/>
            </w:tcBorders>
            <w:vAlign w:val="center"/>
          </w:tcPr>
          <w:p w14:paraId="2B714C2C">
            <w:pPr>
              <w:adjustRightInd w:val="0"/>
              <w:snapToGrid w:val="0"/>
              <w:spacing w:line="320" w:lineRule="exact"/>
              <w:jc w:val="center"/>
              <w:rPr>
                <w:rFonts w:ascii="Times New Roman"/>
                <w:sz w:val="21"/>
                <w:szCs w:val="21"/>
              </w:rPr>
            </w:pPr>
            <w:r>
              <w:rPr>
                <w:rFonts w:ascii="Times New Roman"/>
                <w:sz w:val="21"/>
                <w:szCs w:val="21"/>
              </w:rPr>
              <w:t>1</w:t>
            </w:r>
            <w:r>
              <w:rPr>
                <w:rFonts w:hint="eastAsia" w:ascii="Times New Roman"/>
                <w:sz w:val="21"/>
                <w:szCs w:val="21"/>
              </w:rPr>
              <w:t>4</w:t>
            </w:r>
            <w:r>
              <w:rPr>
                <w:rFonts w:ascii="Times New Roman"/>
                <w:sz w:val="21"/>
                <w:szCs w:val="21"/>
              </w:rPr>
              <w:t>00</w:t>
            </w:r>
          </w:p>
        </w:tc>
        <w:tc>
          <w:tcPr>
            <w:tcW w:w="722" w:type="pct"/>
            <w:tcBorders>
              <w:top w:val="single" w:color="auto" w:sz="4" w:space="0"/>
              <w:bottom w:val="single" w:color="auto" w:sz="4" w:space="0"/>
            </w:tcBorders>
            <w:vAlign w:val="center"/>
          </w:tcPr>
          <w:p w14:paraId="70DD8AA4">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vAlign w:val="center"/>
          </w:tcPr>
          <w:p w14:paraId="159610D6">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1</w:t>
            </w:r>
            <w:r>
              <w:rPr>
                <w:rFonts w:ascii="Times New Roman"/>
                <w:sz w:val="21"/>
                <w:szCs w:val="21"/>
              </w:rPr>
              <w:t>-S17</w:t>
            </w:r>
          </w:p>
        </w:tc>
        <w:tc>
          <w:tcPr>
            <w:tcW w:w="707" w:type="pct"/>
            <w:tcBorders>
              <w:top w:val="single" w:color="auto" w:sz="4" w:space="0"/>
              <w:bottom w:val="single" w:color="auto" w:sz="4" w:space="0"/>
              <w:right w:val="single" w:color="auto" w:sz="4" w:space="0"/>
            </w:tcBorders>
            <w:vAlign w:val="center"/>
          </w:tcPr>
          <w:p w14:paraId="2669A908">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restart"/>
            <w:tcBorders>
              <w:top w:val="single" w:color="auto" w:sz="4" w:space="0"/>
              <w:left w:val="single" w:color="auto" w:sz="4" w:space="0"/>
            </w:tcBorders>
            <w:vAlign w:val="center"/>
          </w:tcPr>
          <w:p w14:paraId="768E6CB3">
            <w:pPr>
              <w:adjustRightInd w:val="0"/>
              <w:snapToGrid w:val="0"/>
              <w:spacing w:line="320" w:lineRule="exact"/>
              <w:jc w:val="center"/>
              <w:rPr>
                <w:rFonts w:ascii="Times New Roman"/>
                <w:kern w:val="0"/>
                <w:sz w:val="21"/>
                <w:szCs w:val="21"/>
              </w:rPr>
            </w:pPr>
            <w:r>
              <w:rPr>
                <w:rFonts w:ascii="Times New Roman"/>
                <w:sz w:val="21"/>
                <w:szCs w:val="21"/>
              </w:rPr>
              <w:t>收集后外售</w:t>
            </w:r>
          </w:p>
        </w:tc>
      </w:tr>
      <w:tr w14:paraId="038F31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3C5EE765">
            <w:pPr>
              <w:adjustRightInd w:val="0"/>
              <w:snapToGrid w:val="0"/>
              <w:spacing w:line="320" w:lineRule="exact"/>
              <w:jc w:val="center"/>
              <w:rPr>
                <w:rFonts w:ascii="Times New Roman"/>
                <w:sz w:val="21"/>
                <w:szCs w:val="21"/>
              </w:rPr>
            </w:pPr>
            <w:r>
              <w:rPr>
                <w:rFonts w:ascii="Times New Roman"/>
                <w:sz w:val="21"/>
                <w:szCs w:val="21"/>
              </w:rPr>
              <w:t>焊接</w:t>
            </w:r>
          </w:p>
        </w:tc>
        <w:tc>
          <w:tcPr>
            <w:tcW w:w="816" w:type="pct"/>
            <w:tcBorders>
              <w:top w:val="single" w:color="auto" w:sz="4" w:space="0"/>
              <w:bottom w:val="single" w:color="auto" w:sz="4" w:space="0"/>
            </w:tcBorders>
            <w:shd w:val="clear" w:color="auto" w:fill="auto"/>
            <w:vAlign w:val="center"/>
          </w:tcPr>
          <w:p w14:paraId="5E09508D">
            <w:pPr>
              <w:adjustRightInd w:val="0"/>
              <w:snapToGrid w:val="0"/>
              <w:spacing w:line="320" w:lineRule="exact"/>
              <w:jc w:val="center"/>
              <w:rPr>
                <w:rFonts w:ascii="Times New Roman"/>
                <w:kern w:val="0"/>
                <w:sz w:val="21"/>
                <w:szCs w:val="21"/>
              </w:rPr>
            </w:pPr>
            <w:r>
              <w:rPr>
                <w:rFonts w:ascii="Times New Roman"/>
                <w:sz w:val="21"/>
                <w:szCs w:val="21"/>
              </w:rPr>
              <w:t>废焊材</w:t>
            </w:r>
          </w:p>
        </w:tc>
        <w:tc>
          <w:tcPr>
            <w:tcW w:w="433" w:type="pct"/>
            <w:tcBorders>
              <w:top w:val="single" w:color="auto" w:sz="4" w:space="0"/>
              <w:bottom w:val="single" w:color="auto" w:sz="4" w:space="0"/>
              <w:right w:val="single" w:color="auto" w:sz="4" w:space="0"/>
            </w:tcBorders>
            <w:shd w:val="clear" w:color="auto" w:fill="auto"/>
            <w:vAlign w:val="center"/>
          </w:tcPr>
          <w:p w14:paraId="1D8624BC">
            <w:pPr>
              <w:adjustRightInd w:val="0"/>
              <w:snapToGrid w:val="0"/>
              <w:spacing w:line="320" w:lineRule="exact"/>
              <w:jc w:val="center"/>
              <w:rPr>
                <w:rFonts w:ascii="Times New Roman"/>
                <w:sz w:val="21"/>
                <w:szCs w:val="21"/>
              </w:rPr>
            </w:pPr>
            <w:r>
              <w:rPr>
                <w:rFonts w:hint="eastAsia" w:ascii="Times New Roman"/>
                <w:sz w:val="21"/>
                <w:szCs w:val="21"/>
              </w:rPr>
              <w:t>12</w:t>
            </w:r>
          </w:p>
        </w:tc>
        <w:tc>
          <w:tcPr>
            <w:tcW w:w="722" w:type="pct"/>
            <w:tcBorders>
              <w:top w:val="single" w:color="auto" w:sz="4" w:space="0"/>
              <w:bottom w:val="single" w:color="auto" w:sz="4" w:space="0"/>
            </w:tcBorders>
            <w:shd w:val="clear" w:color="auto" w:fill="auto"/>
            <w:vAlign w:val="center"/>
          </w:tcPr>
          <w:p w14:paraId="6BDD495E">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shd w:val="clear" w:color="auto" w:fill="auto"/>
            <w:vAlign w:val="center"/>
          </w:tcPr>
          <w:p w14:paraId="00B80AFF">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1</w:t>
            </w:r>
            <w:r>
              <w:rPr>
                <w:rFonts w:ascii="Times New Roman"/>
                <w:sz w:val="21"/>
                <w:szCs w:val="21"/>
              </w:rPr>
              <w:t>-S17</w:t>
            </w:r>
          </w:p>
        </w:tc>
        <w:tc>
          <w:tcPr>
            <w:tcW w:w="707" w:type="pct"/>
            <w:tcBorders>
              <w:top w:val="single" w:color="auto" w:sz="4" w:space="0"/>
              <w:bottom w:val="single" w:color="auto" w:sz="4" w:space="0"/>
              <w:right w:val="single" w:color="auto" w:sz="4" w:space="0"/>
            </w:tcBorders>
            <w:shd w:val="clear" w:color="auto" w:fill="auto"/>
            <w:vAlign w:val="center"/>
          </w:tcPr>
          <w:p w14:paraId="4A38E118">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08A8BF01">
            <w:pPr>
              <w:adjustRightInd w:val="0"/>
              <w:snapToGrid w:val="0"/>
              <w:spacing w:line="320" w:lineRule="exact"/>
              <w:jc w:val="center"/>
              <w:rPr>
                <w:rFonts w:ascii="Times New Roman"/>
                <w:sz w:val="21"/>
                <w:szCs w:val="21"/>
              </w:rPr>
            </w:pPr>
          </w:p>
        </w:tc>
      </w:tr>
      <w:tr w14:paraId="2B6695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191C5F3D">
            <w:pPr>
              <w:spacing w:line="320" w:lineRule="exact"/>
              <w:jc w:val="center"/>
              <w:rPr>
                <w:rFonts w:ascii="Times New Roman"/>
                <w:sz w:val="21"/>
                <w:szCs w:val="21"/>
              </w:rPr>
            </w:pPr>
            <w:r>
              <w:rPr>
                <w:rFonts w:ascii="Times New Roman"/>
                <w:sz w:val="21"/>
                <w:szCs w:val="21"/>
              </w:rPr>
              <w:t>坡口加工、清理打磨工序</w:t>
            </w:r>
          </w:p>
        </w:tc>
        <w:tc>
          <w:tcPr>
            <w:tcW w:w="816" w:type="pct"/>
            <w:tcBorders>
              <w:top w:val="single" w:color="auto" w:sz="4" w:space="0"/>
              <w:bottom w:val="single" w:color="auto" w:sz="4" w:space="0"/>
            </w:tcBorders>
            <w:shd w:val="clear" w:color="auto" w:fill="auto"/>
            <w:vAlign w:val="center"/>
          </w:tcPr>
          <w:p w14:paraId="0A41A9DF">
            <w:pPr>
              <w:spacing w:line="320" w:lineRule="exact"/>
              <w:jc w:val="center"/>
              <w:rPr>
                <w:rFonts w:ascii="Times New Roman"/>
                <w:sz w:val="21"/>
                <w:szCs w:val="21"/>
              </w:rPr>
            </w:pPr>
            <w:r>
              <w:rPr>
                <w:rFonts w:ascii="Times New Roman"/>
                <w:sz w:val="21"/>
                <w:szCs w:val="21"/>
              </w:rPr>
              <w:t>金属碎屑</w:t>
            </w:r>
          </w:p>
        </w:tc>
        <w:tc>
          <w:tcPr>
            <w:tcW w:w="433" w:type="pct"/>
            <w:tcBorders>
              <w:top w:val="single" w:color="auto" w:sz="4" w:space="0"/>
              <w:bottom w:val="single" w:color="auto" w:sz="4" w:space="0"/>
              <w:right w:val="single" w:color="auto" w:sz="4" w:space="0"/>
            </w:tcBorders>
            <w:vAlign w:val="center"/>
          </w:tcPr>
          <w:p w14:paraId="7A42CA77">
            <w:pPr>
              <w:adjustRightInd w:val="0"/>
              <w:snapToGrid w:val="0"/>
              <w:spacing w:line="320" w:lineRule="exact"/>
              <w:jc w:val="center"/>
              <w:rPr>
                <w:rFonts w:ascii="Times New Roman"/>
                <w:sz w:val="21"/>
                <w:szCs w:val="21"/>
              </w:rPr>
            </w:pPr>
            <w:r>
              <w:rPr>
                <w:rFonts w:hint="eastAsia" w:ascii="Times New Roman"/>
                <w:sz w:val="21"/>
                <w:szCs w:val="21"/>
              </w:rPr>
              <w:t>100</w:t>
            </w:r>
          </w:p>
        </w:tc>
        <w:tc>
          <w:tcPr>
            <w:tcW w:w="722" w:type="pct"/>
            <w:tcBorders>
              <w:top w:val="single" w:color="auto" w:sz="4" w:space="0"/>
              <w:bottom w:val="single" w:color="auto" w:sz="4" w:space="0"/>
            </w:tcBorders>
            <w:shd w:val="clear" w:color="auto" w:fill="auto"/>
            <w:vAlign w:val="center"/>
          </w:tcPr>
          <w:p w14:paraId="0EDBBD64">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shd w:val="clear" w:color="auto" w:fill="auto"/>
            <w:vAlign w:val="center"/>
          </w:tcPr>
          <w:p w14:paraId="6245AFD6">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1</w:t>
            </w:r>
            <w:r>
              <w:rPr>
                <w:rFonts w:ascii="Times New Roman"/>
                <w:sz w:val="21"/>
                <w:szCs w:val="21"/>
              </w:rPr>
              <w:t>-S17</w:t>
            </w:r>
          </w:p>
        </w:tc>
        <w:tc>
          <w:tcPr>
            <w:tcW w:w="707" w:type="pct"/>
            <w:tcBorders>
              <w:top w:val="single" w:color="auto" w:sz="4" w:space="0"/>
              <w:bottom w:val="single" w:color="auto" w:sz="4" w:space="0"/>
              <w:right w:val="single" w:color="auto" w:sz="4" w:space="0"/>
            </w:tcBorders>
            <w:vAlign w:val="center"/>
          </w:tcPr>
          <w:p w14:paraId="53F1A798">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366FC102">
            <w:pPr>
              <w:adjustRightInd w:val="0"/>
              <w:snapToGrid w:val="0"/>
              <w:spacing w:line="320" w:lineRule="exact"/>
              <w:jc w:val="center"/>
              <w:rPr>
                <w:rFonts w:ascii="Times New Roman"/>
                <w:sz w:val="21"/>
                <w:szCs w:val="21"/>
              </w:rPr>
            </w:pPr>
          </w:p>
        </w:tc>
      </w:tr>
      <w:tr w14:paraId="439D82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2D5E3AF6">
            <w:pPr>
              <w:spacing w:line="320" w:lineRule="exact"/>
              <w:jc w:val="center"/>
              <w:rPr>
                <w:rFonts w:ascii="Times New Roman"/>
                <w:sz w:val="21"/>
                <w:szCs w:val="21"/>
              </w:rPr>
            </w:pPr>
            <w:r>
              <w:rPr>
                <w:rFonts w:hint="eastAsia" w:ascii="Times New Roman"/>
                <w:sz w:val="21"/>
                <w:szCs w:val="21"/>
              </w:rPr>
              <w:t>淬火、回火</w:t>
            </w:r>
          </w:p>
        </w:tc>
        <w:tc>
          <w:tcPr>
            <w:tcW w:w="816" w:type="pct"/>
            <w:tcBorders>
              <w:top w:val="single" w:color="auto" w:sz="4" w:space="0"/>
              <w:bottom w:val="single" w:color="auto" w:sz="4" w:space="0"/>
            </w:tcBorders>
            <w:shd w:val="clear" w:color="auto" w:fill="auto"/>
            <w:vAlign w:val="center"/>
          </w:tcPr>
          <w:p w14:paraId="712A9F6A">
            <w:pPr>
              <w:spacing w:line="320" w:lineRule="exact"/>
              <w:jc w:val="center"/>
              <w:rPr>
                <w:rFonts w:ascii="Times New Roman"/>
                <w:sz w:val="21"/>
                <w:szCs w:val="21"/>
              </w:rPr>
            </w:pPr>
            <w:r>
              <w:rPr>
                <w:rFonts w:hint="eastAsia" w:ascii="Times New Roman"/>
                <w:sz w:val="21"/>
                <w:szCs w:val="21"/>
              </w:rPr>
              <w:t>槽渣</w:t>
            </w:r>
          </w:p>
        </w:tc>
        <w:tc>
          <w:tcPr>
            <w:tcW w:w="433" w:type="pct"/>
            <w:tcBorders>
              <w:top w:val="single" w:color="auto" w:sz="4" w:space="0"/>
              <w:bottom w:val="single" w:color="auto" w:sz="4" w:space="0"/>
              <w:right w:val="single" w:color="auto" w:sz="4" w:space="0"/>
            </w:tcBorders>
            <w:vAlign w:val="center"/>
          </w:tcPr>
          <w:p w14:paraId="0C937AFB">
            <w:pPr>
              <w:adjustRightInd w:val="0"/>
              <w:snapToGrid w:val="0"/>
              <w:spacing w:line="320" w:lineRule="exact"/>
              <w:jc w:val="center"/>
              <w:rPr>
                <w:rFonts w:ascii="Times New Roman"/>
                <w:sz w:val="21"/>
                <w:szCs w:val="21"/>
              </w:rPr>
            </w:pPr>
            <w:r>
              <w:rPr>
                <w:rFonts w:hint="eastAsia" w:ascii="Times New Roman"/>
                <w:sz w:val="21"/>
                <w:szCs w:val="21"/>
              </w:rPr>
              <w:t>1.5</w:t>
            </w:r>
          </w:p>
        </w:tc>
        <w:tc>
          <w:tcPr>
            <w:tcW w:w="722" w:type="pct"/>
            <w:tcBorders>
              <w:top w:val="single" w:color="auto" w:sz="4" w:space="0"/>
              <w:bottom w:val="single" w:color="auto" w:sz="4" w:space="0"/>
            </w:tcBorders>
            <w:shd w:val="clear" w:color="auto" w:fill="auto"/>
            <w:vAlign w:val="center"/>
          </w:tcPr>
          <w:p w14:paraId="0B018178">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shd w:val="clear" w:color="auto" w:fill="auto"/>
            <w:vAlign w:val="center"/>
          </w:tcPr>
          <w:p w14:paraId="2E2F1BC1">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1</w:t>
            </w:r>
            <w:r>
              <w:rPr>
                <w:rFonts w:ascii="Times New Roman"/>
                <w:sz w:val="21"/>
                <w:szCs w:val="21"/>
              </w:rPr>
              <w:t>-S17</w:t>
            </w:r>
          </w:p>
        </w:tc>
        <w:tc>
          <w:tcPr>
            <w:tcW w:w="707" w:type="pct"/>
            <w:tcBorders>
              <w:top w:val="single" w:color="auto" w:sz="4" w:space="0"/>
              <w:bottom w:val="single" w:color="auto" w:sz="4" w:space="0"/>
              <w:right w:val="single" w:color="auto" w:sz="4" w:space="0"/>
            </w:tcBorders>
            <w:vAlign w:val="center"/>
          </w:tcPr>
          <w:p w14:paraId="69AC817C">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308C5BB1">
            <w:pPr>
              <w:adjustRightInd w:val="0"/>
              <w:snapToGrid w:val="0"/>
              <w:spacing w:line="320" w:lineRule="exact"/>
              <w:jc w:val="center"/>
              <w:rPr>
                <w:rFonts w:ascii="Times New Roman"/>
                <w:sz w:val="21"/>
                <w:szCs w:val="21"/>
              </w:rPr>
            </w:pPr>
          </w:p>
        </w:tc>
      </w:tr>
      <w:tr w14:paraId="4BEED5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vAlign w:val="center"/>
          </w:tcPr>
          <w:p w14:paraId="5F31B9FD">
            <w:pPr>
              <w:adjustRightInd w:val="0"/>
              <w:snapToGrid w:val="0"/>
              <w:spacing w:line="320" w:lineRule="exact"/>
              <w:jc w:val="center"/>
              <w:rPr>
                <w:rFonts w:ascii="Times New Roman"/>
                <w:sz w:val="21"/>
                <w:szCs w:val="21"/>
              </w:rPr>
            </w:pPr>
            <w:r>
              <w:rPr>
                <w:rFonts w:ascii="Times New Roman"/>
                <w:sz w:val="21"/>
                <w:szCs w:val="21"/>
              </w:rPr>
              <w:t>抛丸</w:t>
            </w:r>
          </w:p>
        </w:tc>
        <w:tc>
          <w:tcPr>
            <w:tcW w:w="816" w:type="pct"/>
            <w:tcBorders>
              <w:top w:val="single" w:color="auto" w:sz="4" w:space="0"/>
              <w:bottom w:val="single" w:color="auto" w:sz="4" w:space="0"/>
            </w:tcBorders>
            <w:vAlign w:val="center"/>
          </w:tcPr>
          <w:p w14:paraId="5419FA1E">
            <w:pPr>
              <w:adjustRightInd w:val="0"/>
              <w:snapToGrid w:val="0"/>
              <w:spacing w:line="320" w:lineRule="exact"/>
              <w:jc w:val="center"/>
              <w:rPr>
                <w:rFonts w:ascii="Times New Roman"/>
                <w:sz w:val="21"/>
                <w:szCs w:val="21"/>
              </w:rPr>
            </w:pPr>
            <w:r>
              <w:rPr>
                <w:rFonts w:ascii="Times New Roman"/>
                <w:sz w:val="21"/>
                <w:szCs w:val="21"/>
              </w:rPr>
              <w:t>废钢丸</w:t>
            </w:r>
          </w:p>
        </w:tc>
        <w:tc>
          <w:tcPr>
            <w:tcW w:w="433" w:type="pct"/>
            <w:tcBorders>
              <w:top w:val="single" w:color="auto" w:sz="4" w:space="0"/>
              <w:bottom w:val="single" w:color="auto" w:sz="4" w:space="0"/>
              <w:right w:val="single" w:color="auto" w:sz="4" w:space="0"/>
            </w:tcBorders>
            <w:vAlign w:val="center"/>
          </w:tcPr>
          <w:p w14:paraId="59F2BA86">
            <w:pPr>
              <w:adjustRightInd w:val="0"/>
              <w:snapToGrid w:val="0"/>
              <w:spacing w:line="320" w:lineRule="exact"/>
              <w:jc w:val="center"/>
              <w:rPr>
                <w:rFonts w:ascii="Times New Roman"/>
                <w:sz w:val="21"/>
                <w:szCs w:val="21"/>
              </w:rPr>
            </w:pPr>
            <w:r>
              <w:rPr>
                <w:rFonts w:hint="eastAsia" w:ascii="Times New Roman"/>
                <w:sz w:val="21"/>
                <w:szCs w:val="21"/>
              </w:rPr>
              <w:t>10</w:t>
            </w:r>
          </w:p>
        </w:tc>
        <w:tc>
          <w:tcPr>
            <w:tcW w:w="722" w:type="pct"/>
            <w:tcBorders>
              <w:top w:val="single" w:color="auto" w:sz="4" w:space="0"/>
              <w:bottom w:val="single" w:color="auto" w:sz="4" w:space="0"/>
            </w:tcBorders>
            <w:shd w:val="clear" w:color="auto" w:fill="auto"/>
            <w:vAlign w:val="center"/>
          </w:tcPr>
          <w:p w14:paraId="23478D8B">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shd w:val="clear" w:color="auto" w:fill="auto"/>
            <w:vAlign w:val="center"/>
          </w:tcPr>
          <w:p w14:paraId="16AED867">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1</w:t>
            </w:r>
            <w:r>
              <w:rPr>
                <w:rFonts w:ascii="Times New Roman"/>
                <w:sz w:val="21"/>
                <w:szCs w:val="21"/>
              </w:rPr>
              <w:t>-S17</w:t>
            </w:r>
          </w:p>
        </w:tc>
        <w:tc>
          <w:tcPr>
            <w:tcW w:w="707" w:type="pct"/>
            <w:tcBorders>
              <w:top w:val="single" w:color="auto" w:sz="4" w:space="0"/>
              <w:bottom w:val="single" w:color="auto" w:sz="4" w:space="0"/>
              <w:right w:val="single" w:color="auto" w:sz="4" w:space="0"/>
            </w:tcBorders>
            <w:vAlign w:val="center"/>
          </w:tcPr>
          <w:p w14:paraId="3965ED7D">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659D6102">
            <w:pPr>
              <w:adjustRightInd w:val="0"/>
              <w:snapToGrid w:val="0"/>
              <w:spacing w:line="320" w:lineRule="exact"/>
              <w:jc w:val="center"/>
              <w:rPr>
                <w:rFonts w:ascii="Times New Roman"/>
                <w:sz w:val="21"/>
                <w:szCs w:val="21"/>
              </w:rPr>
            </w:pPr>
          </w:p>
        </w:tc>
      </w:tr>
      <w:tr w14:paraId="0D2DAC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539832F4">
            <w:pPr>
              <w:spacing w:line="320" w:lineRule="exact"/>
              <w:jc w:val="center"/>
              <w:rPr>
                <w:rFonts w:ascii="Times New Roman"/>
                <w:sz w:val="21"/>
                <w:szCs w:val="21"/>
              </w:rPr>
            </w:pPr>
            <w:r>
              <w:rPr>
                <w:rFonts w:ascii="Times New Roman"/>
                <w:sz w:val="21"/>
                <w:szCs w:val="21"/>
              </w:rPr>
              <w:t>喷砂工序</w:t>
            </w:r>
          </w:p>
        </w:tc>
        <w:tc>
          <w:tcPr>
            <w:tcW w:w="816" w:type="pct"/>
            <w:tcBorders>
              <w:top w:val="single" w:color="auto" w:sz="4" w:space="0"/>
              <w:bottom w:val="single" w:color="auto" w:sz="4" w:space="0"/>
            </w:tcBorders>
            <w:shd w:val="clear" w:color="auto" w:fill="auto"/>
            <w:vAlign w:val="center"/>
          </w:tcPr>
          <w:p w14:paraId="3CD3D13F">
            <w:pPr>
              <w:spacing w:line="320" w:lineRule="exact"/>
              <w:jc w:val="center"/>
              <w:rPr>
                <w:rFonts w:ascii="Times New Roman"/>
                <w:sz w:val="21"/>
                <w:szCs w:val="21"/>
              </w:rPr>
            </w:pPr>
            <w:r>
              <w:rPr>
                <w:rFonts w:ascii="Times New Roman"/>
                <w:sz w:val="21"/>
                <w:szCs w:val="21"/>
              </w:rPr>
              <w:t>废钢砂</w:t>
            </w:r>
          </w:p>
        </w:tc>
        <w:tc>
          <w:tcPr>
            <w:tcW w:w="433" w:type="pct"/>
            <w:tcBorders>
              <w:top w:val="single" w:color="auto" w:sz="4" w:space="0"/>
              <w:bottom w:val="single" w:color="auto" w:sz="4" w:space="0"/>
              <w:right w:val="single" w:color="auto" w:sz="4" w:space="0"/>
            </w:tcBorders>
            <w:vAlign w:val="center"/>
          </w:tcPr>
          <w:p w14:paraId="2358D8A3">
            <w:pPr>
              <w:adjustRightInd w:val="0"/>
              <w:snapToGrid w:val="0"/>
              <w:spacing w:line="320" w:lineRule="exact"/>
              <w:jc w:val="center"/>
              <w:rPr>
                <w:rFonts w:ascii="Times New Roman"/>
                <w:sz w:val="21"/>
                <w:szCs w:val="21"/>
              </w:rPr>
            </w:pPr>
            <w:r>
              <w:rPr>
                <w:rFonts w:hint="eastAsia" w:ascii="Times New Roman"/>
                <w:sz w:val="21"/>
                <w:szCs w:val="21"/>
              </w:rPr>
              <w:t>10</w:t>
            </w:r>
          </w:p>
        </w:tc>
        <w:tc>
          <w:tcPr>
            <w:tcW w:w="722" w:type="pct"/>
            <w:tcBorders>
              <w:top w:val="single" w:color="auto" w:sz="4" w:space="0"/>
              <w:bottom w:val="single" w:color="auto" w:sz="4" w:space="0"/>
            </w:tcBorders>
            <w:shd w:val="clear" w:color="auto" w:fill="auto"/>
            <w:vAlign w:val="center"/>
          </w:tcPr>
          <w:p w14:paraId="1587BB53">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shd w:val="clear" w:color="auto" w:fill="auto"/>
            <w:vAlign w:val="center"/>
          </w:tcPr>
          <w:p w14:paraId="2090B6AB">
            <w:pPr>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1</w:t>
            </w:r>
            <w:r>
              <w:rPr>
                <w:rFonts w:ascii="Times New Roman"/>
                <w:sz w:val="21"/>
                <w:szCs w:val="21"/>
              </w:rPr>
              <w:t>-S17</w:t>
            </w:r>
          </w:p>
        </w:tc>
        <w:tc>
          <w:tcPr>
            <w:tcW w:w="707" w:type="pct"/>
            <w:tcBorders>
              <w:top w:val="single" w:color="auto" w:sz="4" w:space="0"/>
              <w:bottom w:val="single" w:color="auto" w:sz="4" w:space="0"/>
              <w:right w:val="single" w:color="auto" w:sz="4" w:space="0"/>
            </w:tcBorders>
            <w:vAlign w:val="center"/>
          </w:tcPr>
          <w:p w14:paraId="64AA8481">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07632421">
            <w:pPr>
              <w:adjustRightInd w:val="0"/>
              <w:snapToGrid w:val="0"/>
              <w:spacing w:line="320" w:lineRule="exact"/>
              <w:jc w:val="center"/>
              <w:rPr>
                <w:rFonts w:ascii="Times New Roman"/>
                <w:sz w:val="21"/>
                <w:szCs w:val="21"/>
              </w:rPr>
            </w:pPr>
          </w:p>
        </w:tc>
      </w:tr>
      <w:tr w14:paraId="5D32A1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26D211C0">
            <w:pPr>
              <w:spacing w:line="320" w:lineRule="exact"/>
              <w:jc w:val="center"/>
              <w:rPr>
                <w:rFonts w:ascii="Times New Roman"/>
                <w:sz w:val="21"/>
                <w:szCs w:val="21"/>
              </w:rPr>
            </w:pPr>
            <w:r>
              <w:rPr>
                <w:rFonts w:ascii="Times New Roman"/>
                <w:sz w:val="21"/>
                <w:szCs w:val="21"/>
              </w:rPr>
              <w:t>原料包装</w:t>
            </w:r>
          </w:p>
        </w:tc>
        <w:tc>
          <w:tcPr>
            <w:tcW w:w="816" w:type="pct"/>
            <w:tcBorders>
              <w:top w:val="single" w:color="auto" w:sz="4" w:space="0"/>
              <w:bottom w:val="single" w:color="auto" w:sz="4" w:space="0"/>
            </w:tcBorders>
            <w:shd w:val="clear" w:color="auto" w:fill="auto"/>
            <w:vAlign w:val="center"/>
          </w:tcPr>
          <w:p w14:paraId="41EDAAC1">
            <w:pPr>
              <w:spacing w:line="320" w:lineRule="exact"/>
              <w:jc w:val="center"/>
              <w:rPr>
                <w:rFonts w:ascii="Times New Roman"/>
                <w:sz w:val="21"/>
                <w:szCs w:val="21"/>
              </w:rPr>
            </w:pPr>
            <w:r>
              <w:rPr>
                <w:rFonts w:ascii="Times New Roman"/>
                <w:sz w:val="21"/>
                <w:szCs w:val="21"/>
              </w:rPr>
              <w:t>废包装材料</w:t>
            </w:r>
          </w:p>
        </w:tc>
        <w:tc>
          <w:tcPr>
            <w:tcW w:w="433" w:type="pct"/>
            <w:tcBorders>
              <w:top w:val="single" w:color="auto" w:sz="4" w:space="0"/>
              <w:bottom w:val="single" w:color="auto" w:sz="4" w:space="0"/>
              <w:right w:val="single" w:color="auto" w:sz="4" w:space="0"/>
            </w:tcBorders>
            <w:vAlign w:val="center"/>
          </w:tcPr>
          <w:p w14:paraId="5EC0C0C1">
            <w:pPr>
              <w:adjustRightInd w:val="0"/>
              <w:snapToGrid w:val="0"/>
              <w:spacing w:line="320" w:lineRule="exact"/>
              <w:jc w:val="center"/>
              <w:rPr>
                <w:rFonts w:ascii="Times New Roman"/>
                <w:sz w:val="21"/>
                <w:szCs w:val="21"/>
              </w:rPr>
            </w:pPr>
            <w:r>
              <w:rPr>
                <w:rFonts w:hint="eastAsia" w:ascii="Times New Roman"/>
                <w:sz w:val="21"/>
                <w:szCs w:val="21"/>
              </w:rPr>
              <w:t>50</w:t>
            </w:r>
          </w:p>
        </w:tc>
        <w:tc>
          <w:tcPr>
            <w:tcW w:w="722" w:type="pct"/>
            <w:tcBorders>
              <w:top w:val="single" w:color="auto" w:sz="4" w:space="0"/>
              <w:bottom w:val="single" w:color="auto" w:sz="4" w:space="0"/>
            </w:tcBorders>
            <w:shd w:val="clear" w:color="auto" w:fill="auto"/>
            <w:vAlign w:val="center"/>
          </w:tcPr>
          <w:p w14:paraId="5733A2FB">
            <w:pPr>
              <w:adjustRightInd w:val="0"/>
              <w:snapToGrid w:val="0"/>
              <w:spacing w:line="320" w:lineRule="exact"/>
              <w:jc w:val="center"/>
              <w:rPr>
                <w:rFonts w:ascii="Times New Roman"/>
                <w:sz w:val="21"/>
                <w:szCs w:val="21"/>
              </w:rPr>
            </w:pPr>
            <w:r>
              <w:rPr>
                <w:rFonts w:ascii="Times New Roman"/>
                <w:sz w:val="21"/>
                <w:szCs w:val="21"/>
              </w:rPr>
              <w:t>SW17</w:t>
            </w:r>
          </w:p>
        </w:tc>
        <w:tc>
          <w:tcPr>
            <w:tcW w:w="841" w:type="pct"/>
            <w:tcBorders>
              <w:top w:val="single" w:color="auto" w:sz="4" w:space="0"/>
              <w:bottom w:val="single" w:color="auto" w:sz="4" w:space="0"/>
            </w:tcBorders>
            <w:shd w:val="clear" w:color="auto" w:fill="auto"/>
            <w:vAlign w:val="center"/>
          </w:tcPr>
          <w:p w14:paraId="47E42E5E">
            <w:pPr>
              <w:adjustRightInd w:val="0"/>
              <w:snapToGrid w:val="0"/>
              <w:spacing w:line="320" w:lineRule="exact"/>
              <w:jc w:val="center"/>
              <w:rPr>
                <w:rFonts w:ascii="Times New Roman"/>
                <w:sz w:val="21"/>
                <w:szCs w:val="21"/>
              </w:rPr>
            </w:pPr>
            <w:r>
              <w:rPr>
                <w:rFonts w:ascii="Times New Roman"/>
                <w:sz w:val="21"/>
                <w:szCs w:val="21"/>
              </w:rPr>
              <w:t>900-003-S17</w:t>
            </w:r>
          </w:p>
        </w:tc>
        <w:tc>
          <w:tcPr>
            <w:tcW w:w="707" w:type="pct"/>
            <w:tcBorders>
              <w:top w:val="single" w:color="auto" w:sz="4" w:space="0"/>
              <w:bottom w:val="single" w:color="auto" w:sz="4" w:space="0"/>
              <w:right w:val="single" w:color="auto" w:sz="4" w:space="0"/>
            </w:tcBorders>
            <w:vAlign w:val="center"/>
          </w:tcPr>
          <w:p w14:paraId="4CDF4FEC">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512808EB">
            <w:pPr>
              <w:adjustRightInd w:val="0"/>
              <w:snapToGrid w:val="0"/>
              <w:spacing w:line="320" w:lineRule="exact"/>
              <w:jc w:val="center"/>
              <w:rPr>
                <w:rFonts w:ascii="Times New Roman"/>
                <w:sz w:val="21"/>
                <w:szCs w:val="21"/>
              </w:rPr>
            </w:pPr>
          </w:p>
        </w:tc>
      </w:tr>
      <w:tr w14:paraId="0603B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restart"/>
            <w:tcBorders>
              <w:top w:val="single" w:color="auto" w:sz="4" w:space="0"/>
            </w:tcBorders>
            <w:vAlign w:val="center"/>
          </w:tcPr>
          <w:p w14:paraId="0AF7530F">
            <w:pPr>
              <w:adjustRightInd w:val="0"/>
              <w:snapToGrid w:val="0"/>
              <w:spacing w:line="320" w:lineRule="exact"/>
              <w:jc w:val="center"/>
              <w:rPr>
                <w:rFonts w:ascii="Times New Roman"/>
                <w:sz w:val="21"/>
                <w:szCs w:val="21"/>
              </w:rPr>
            </w:pPr>
            <w:r>
              <w:rPr>
                <w:rFonts w:ascii="Times New Roman"/>
                <w:sz w:val="21"/>
                <w:szCs w:val="21"/>
              </w:rPr>
              <w:t>除尘器</w:t>
            </w:r>
          </w:p>
        </w:tc>
        <w:tc>
          <w:tcPr>
            <w:tcW w:w="816" w:type="pct"/>
            <w:tcBorders>
              <w:top w:val="single" w:color="auto" w:sz="4" w:space="0"/>
              <w:bottom w:val="single" w:color="auto" w:sz="4" w:space="0"/>
            </w:tcBorders>
            <w:vAlign w:val="center"/>
          </w:tcPr>
          <w:p w14:paraId="4EF1B161">
            <w:pPr>
              <w:adjustRightInd w:val="0"/>
              <w:snapToGrid w:val="0"/>
              <w:spacing w:line="320" w:lineRule="exact"/>
              <w:jc w:val="center"/>
              <w:rPr>
                <w:rFonts w:ascii="Times New Roman"/>
                <w:kern w:val="0"/>
                <w:sz w:val="21"/>
                <w:szCs w:val="21"/>
              </w:rPr>
            </w:pPr>
            <w:r>
              <w:rPr>
                <w:rFonts w:ascii="Times New Roman"/>
                <w:sz w:val="21"/>
                <w:szCs w:val="21"/>
              </w:rPr>
              <w:t>除尘灰</w:t>
            </w:r>
          </w:p>
        </w:tc>
        <w:tc>
          <w:tcPr>
            <w:tcW w:w="433" w:type="pct"/>
            <w:tcBorders>
              <w:top w:val="single" w:color="auto" w:sz="4" w:space="0"/>
              <w:bottom w:val="single" w:color="auto" w:sz="4" w:space="0"/>
              <w:right w:val="single" w:color="auto" w:sz="4" w:space="0"/>
            </w:tcBorders>
            <w:vAlign w:val="center"/>
          </w:tcPr>
          <w:p w14:paraId="49A352C9">
            <w:pPr>
              <w:adjustRightInd w:val="0"/>
              <w:snapToGrid w:val="0"/>
              <w:spacing w:line="320" w:lineRule="exact"/>
              <w:jc w:val="center"/>
              <w:rPr>
                <w:rFonts w:ascii="Times New Roman"/>
                <w:sz w:val="21"/>
                <w:szCs w:val="21"/>
              </w:rPr>
            </w:pPr>
            <w:r>
              <w:rPr>
                <w:rFonts w:hint="eastAsia" w:ascii="Times New Roman"/>
                <w:sz w:val="21"/>
                <w:szCs w:val="21"/>
              </w:rPr>
              <w:t>251.342</w:t>
            </w:r>
          </w:p>
        </w:tc>
        <w:tc>
          <w:tcPr>
            <w:tcW w:w="722" w:type="pct"/>
            <w:tcBorders>
              <w:top w:val="single" w:color="auto" w:sz="4" w:space="0"/>
              <w:bottom w:val="single" w:color="auto" w:sz="4" w:space="0"/>
            </w:tcBorders>
            <w:shd w:val="clear" w:color="auto" w:fill="auto"/>
            <w:vAlign w:val="center"/>
          </w:tcPr>
          <w:p w14:paraId="0E4F58CB">
            <w:pPr>
              <w:adjustRightInd w:val="0"/>
              <w:snapToGrid w:val="0"/>
              <w:spacing w:line="320" w:lineRule="exact"/>
              <w:jc w:val="center"/>
              <w:rPr>
                <w:rFonts w:ascii="Times New Roman"/>
                <w:sz w:val="21"/>
                <w:szCs w:val="21"/>
              </w:rPr>
            </w:pPr>
            <w:r>
              <w:rPr>
                <w:rFonts w:ascii="Times New Roman"/>
                <w:sz w:val="21"/>
                <w:szCs w:val="21"/>
              </w:rPr>
              <w:t>SW59</w:t>
            </w:r>
          </w:p>
        </w:tc>
        <w:tc>
          <w:tcPr>
            <w:tcW w:w="841" w:type="pct"/>
            <w:tcBorders>
              <w:top w:val="single" w:color="auto" w:sz="4" w:space="0"/>
              <w:bottom w:val="single" w:color="auto" w:sz="4" w:space="0"/>
            </w:tcBorders>
            <w:shd w:val="clear" w:color="auto" w:fill="auto"/>
            <w:vAlign w:val="center"/>
          </w:tcPr>
          <w:p w14:paraId="217637B7">
            <w:pPr>
              <w:adjustRightInd w:val="0"/>
              <w:snapToGrid w:val="0"/>
              <w:spacing w:line="320" w:lineRule="exact"/>
              <w:jc w:val="center"/>
              <w:rPr>
                <w:rFonts w:ascii="Times New Roman"/>
                <w:sz w:val="21"/>
                <w:szCs w:val="21"/>
              </w:rPr>
            </w:pPr>
            <w:r>
              <w:rPr>
                <w:rFonts w:ascii="Times New Roman"/>
                <w:sz w:val="21"/>
                <w:szCs w:val="21"/>
              </w:rPr>
              <w:t>900-0</w:t>
            </w:r>
            <w:r>
              <w:rPr>
                <w:rFonts w:hint="eastAsia" w:ascii="Times New Roman"/>
                <w:sz w:val="21"/>
                <w:szCs w:val="21"/>
              </w:rPr>
              <w:t>9</w:t>
            </w:r>
            <w:r>
              <w:rPr>
                <w:rFonts w:ascii="Times New Roman"/>
                <w:sz w:val="21"/>
                <w:szCs w:val="21"/>
              </w:rPr>
              <w:t>9-S59</w:t>
            </w:r>
          </w:p>
        </w:tc>
        <w:tc>
          <w:tcPr>
            <w:tcW w:w="707" w:type="pct"/>
            <w:tcBorders>
              <w:top w:val="single" w:color="auto" w:sz="4" w:space="0"/>
              <w:bottom w:val="single" w:color="auto" w:sz="4" w:space="0"/>
              <w:right w:val="single" w:color="auto" w:sz="4" w:space="0"/>
            </w:tcBorders>
            <w:vAlign w:val="center"/>
          </w:tcPr>
          <w:p w14:paraId="6E7941B4">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24CE71D1">
            <w:pPr>
              <w:adjustRightInd w:val="0"/>
              <w:snapToGrid w:val="0"/>
              <w:spacing w:line="320" w:lineRule="exact"/>
              <w:jc w:val="center"/>
              <w:rPr>
                <w:rFonts w:ascii="Times New Roman"/>
                <w:kern w:val="0"/>
                <w:sz w:val="21"/>
                <w:szCs w:val="21"/>
              </w:rPr>
            </w:pPr>
          </w:p>
        </w:tc>
      </w:tr>
      <w:tr w14:paraId="26EF0E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vMerge w:val="continue"/>
            <w:tcBorders>
              <w:bottom w:val="single" w:color="auto" w:sz="4" w:space="0"/>
            </w:tcBorders>
            <w:vAlign w:val="center"/>
          </w:tcPr>
          <w:p w14:paraId="7C80A9D9">
            <w:pPr>
              <w:adjustRightInd w:val="0"/>
              <w:snapToGrid w:val="0"/>
              <w:spacing w:line="320" w:lineRule="exact"/>
              <w:jc w:val="center"/>
              <w:rPr>
                <w:rFonts w:ascii="Times New Roman"/>
                <w:sz w:val="21"/>
                <w:szCs w:val="21"/>
              </w:rPr>
            </w:pPr>
          </w:p>
        </w:tc>
        <w:tc>
          <w:tcPr>
            <w:tcW w:w="816" w:type="pct"/>
            <w:tcBorders>
              <w:top w:val="single" w:color="auto" w:sz="4" w:space="0"/>
              <w:bottom w:val="single" w:color="auto" w:sz="4" w:space="0"/>
            </w:tcBorders>
            <w:vAlign w:val="center"/>
          </w:tcPr>
          <w:p w14:paraId="07541AA5">
            <w:pPr>
              <w:adjustRightInd w:val="0"/>
              <w:snapToGrid w:val="0"/>
              <w:spacing w:line="320" w:lineRule="exact"/>
              <w:jc w:val="center"/>
              <w:rPr>
                <w:rFonts w:ascii="Times New Roman"/>
                <w:sz w:val="21"/>
                <w:szCs w:val="21"/>
              </w:rPr>
            </w:pPr>
            <w:r>
              <w:rPr>
                <w:rFonts w:hint="eastAsia" w:ascii="Times New Roman"/>
                <w:sz w:val="21"/>
                <w:szCs w:val="21"/>
              </w:rPr>
              <w:t>废布袋</w:t>
            </w:r>
          </w:p>
        </w:tc>
        <w:tc>
          <w:tcPr>
            <w:tcW w:w="433" w:type="pct"/>
            <w:tcBorders>
              <w:top w:val="single" w:color="auto" w:sz="4" w:space="0"/>
              <w:bottom w:val="single" w:color="auto" w:sz="4" w:space="0"/>
              <w:right w:val="single" w:color="auto" w:sz="4" w:space="0"/>
            </w:tcBorders>
            <w:vAlign w:val="center"/>
          </w:tcPr>
          <w:p w14:paraId="03ADE9A8">
            <w:pPr>
              <w:adjustRightInd w:val="0"/>
              <w:snapToGrid w:val="0"/>
              <w:spacing w:line="320" w:lineRule="exact"/>
              <w:jc w:val="center"/>
              <w:rPr>
                <w:rFonts w:ascii="Times New Roman"/>
                <w:sz w:val="21"/>
                <w:szCs w:val="21"/>
              </w:rPr>
            </w:pPr>
            <w:r>
              <w:rPr>
                <w:rFonts w:hint="eastAsia" w:ascii="Times New Roman"/>
                <w:sz w:val="21"/>
                <w:szCs w:val="21"/>
              </w:rPr>
              <w:t>0.5</w:t>
            </w:r>
          </w:p>
        </w:tc>
        <w:tc>
          <w:tcPr>
            <w:tcW w:w="722" w:type="pct"/>
            <w:tcBorders>
              <w:top w:val="single" w:color="auto" w:sz="4" w:space="0"/>
              <w:bottom w:val="single" w:color="auto" w:sz="4" w:space="0"/>
            </w:tcBorders>
            <w:shd w:val="clear" w:color="auto" w:fill="auto"/>
            <w:vAlign w:val="center"/>
          </w:tcPr>
          <w:p w14:paraId="2C3945CD">
            <w:pPr>
              <w:adjustRightInd w:val="0"/>
              <w:snapToGrid w:val="0"/>
              <w:spacing w:line="320" w:lineRule="exact"/>
              <w:jc w:val="center"/>
              <w:rPr>
                <w:rFonts w:ascii="Times New Roman"/>
                <w:sz w:val="21"/>
                <w:szCs w:val="21"/>
              </w:rPr>
            </w:pPr>
            <w:r>
              <w:rPr>
                <w:rFonts w:ascii="Times New Roman"/>
                <w:sz w:val="21"/>
                <w:szCs w:val="21"/>
              </w:rPr>
              <w:t>SW59</w:t>
            </w:r>
          </w:p>
        </w:tc>
        <w:tc>
          <w:tcPr>
            <w:tcW w:w="841" w:type="pct"/>
            <w:tcBorders>
              <w:top w:val="single" w:color="auto" w:sz="4" w:space="0"/>
              <w:bottom w:val="single" w:color="auto" w:sz="4" w:space="0"/>
            </w:tcBorders>
            <w:shd w:val="clear" w:color="auto" w:fill="auto"/>
            <w:vAlign w:val="center"/>
          </w:tcPr>
          <w:p w14:paraId="3D6ADE7A">
            <w:pPr>
              <w:adjustRightInd w:val="0"/>
              <w:snapToGrid w:val="0"/>
              <w:spacing w:line="320" w:lineRule="exact"/>
              <w:jc w:val="center"/>
              <w:rPr>
                <w:rFonts w:ascii="Times New Roman"/>
                <w:sz w:val="21"/>
                <w:szCs w:val="21"/>
              </w:rPr>
            </w:pPr>
            <w:r>
              <w:rPr>
                <w:rFonts w:ascii="Times New Roman"/>
                <w:sz w:val="21"/>
                <w:szCs w:val="21"/>
              </w:rPr>
              <w:t>900-009-S59</w:t>
            </w:r>
          </w:p>
        </w:tc>
        <w:tc>
          <w:tcPr>
            <w:tcW w:w="707" w:type="pct"/>
            <w:tcBorders>
              <w:top w:val="single" w:color="auto" w:sz="4" w:space="0"/>
              <w:bottom w:val="single" w:color="auto" w:sz="4" w:space="0"/>
              <w:right w:val="single" w:color="auto" w:sz="4" w:space="0"/>
            </w:tcBorders>
            <w:vAlign w:val="center"/>
          </w:tcPr>
          <w:p w14:paraId="79D0B256">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tcBorders>
            <w:vAlign w:val="center"/>
          </w:tcPr>
          <w:p w14:paraId="6B1F9E25">
            <w:pPr>
              <w:adjustRightInd w:val="0"/>
              <w:snapToGrid w:val="0"/>
              <w:spacing w:line="320" w:lineRule="exact"/>
              <w:jc w:val="center"/>
              <w:rPr>
                <w:rFonts w:ascii="Times New Roman"/>
                <w:sz w:val="21"/>
                <w:szCs w:val="21"/>
              </w:rPr>
            </w:pPr>
          </w:p>
        </w:tc>
      </w:tr>
      <w:tr w14:paraId="7210F6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vAlign w:val="center"/>
          </w:tcPr>
          <w:p w14:paraId="3D7DAB0D">
            <w:pPr>
              <w:adjustRightInd w:val="0"/>
              <w:snapToGrid w:val="0"/>
              <w:spacing w:line="320" w:lineRule="exact"/>
              <w:jc w:val="center"/>
              <w:rPr>
                <w:rFonts w:ascii="Times New Roman"/>
                <w:sz w:val="21"/>
                <w:szCs w:val="21"/>
              </w:rPr>
            </w:pPr>
            <w:r>
              <w:rPr>
                <w:rFonts w:hint="eastAsia" w:ascii="Times New Roman"/>
                <w:sz w:val="21"/>
                <w:szCs w:val="21"/>
              </w:rPr>
              <w:t>滤筒除尘器</w:t>
            </w:r>
          </w:p>
        </w:tc>
        <w:tc>
          <w:tcPr>
            <w:tcW w:w="816" w:type="pct"/>
            <w:tcBorders>
              <w:top w:val="single" w:color="auto" w:sz="4" w:space="0"/>
              <w:bottom w:val="single" w:color="auto" w:sz="4" w:space="0"/>
            </w:tcBorders>
            <w:vAlign w:val="center"/>
          </w:tcPr>
          <w:p w14:paraId="1E28DC07">
            <w:pPr>
              <w:adjustRightInd w:val="0"/>
              <w:snapToGrid w:val="0"/>
              <w:spacing w:line="320" w:lineRule="exact"/>
              <w:jc w:val="center"/>
              <w:rPr>
                <w:rFonts w:ascii="Times New Roman"/>
                <w:kern w:val="0"/>
                <w:sz w:val="21"/>
                <w:szCs w:val="21"/>
              </w:rPr>
            </w:pPr>
            <w:r>
              <w:rPr>
                <w:rFonts w:hint="eastAsia" w:ascii="Times New Roman"/>
                <w:kern w:val="0"/>
                <w:sz w:val="21"/>
                <w:szCs w:val="21"/>
              </w:rPr>
              <w:t>收尘灰</w:t>
            </w:r>
          </w:p>
        </w:tc>
        <w:tc>
          <w:tcPr>
            <w:tcW w:w="433" w:type="pct"/>
            <w:tcBorders>
              <w:top w:val="single" w:color="auto" w:sz="4" w:space="0"/>
              <w:bottom w:val="single" w:color="auto" w:sz="4" w:space="0"/>
              <w:right w:val="single" w:color="auto" w:sz="4" w:space="0"/>
            </w:tcBorders>
            <w:vAlign w:val="center"/>
          </w:tcPr>
          <w:p w14:paraId="1BFDCDE5">
            <w:pPr>
              <w:adjustRightInd w:val="0"/>
              <w:snapToGrid w:val="0"/>
              <w:spacing w:line="320" w:lineRule="exact"/>
              <w:jc w:val="center"/>
              <w:rPr>
                <w:rFonts w:ascii="Times New Roman"/>
                <w:sz w:val="21"/>
                <w:szCs w:val="21"/>
              </w:rPr>
            </w:pPr>
            <w:r>
              <w:rPr>
                <w:rFonts w:hint="eastAsia" w:ascii="Times New Roman"/>
                <w:sz w:val="21"/>
                <w:szCs w:val="21"/>
              </w:rPr>
              <w:t>104.475</w:t>
            </w:r>
          </w:p>
        </w:tc>
        <w:tc>
          <w:tcPr>
            <w:tcW w:w="722" w:type="pct"/>
            <w:tcBorders>
              <w:top w:val="single" w:color="auto" w:sz="4" w:space="0"/>
              <w:bottom w:val="single" w:color="auto" w:sz="4" w:space="0"/>
            </w:tcBorders>
            <w:shd w:val="clear" w:color="auto" w:fill="auto"/>
            <w:vAlign w:val="center"/>
          </w:tcPr>
          <w:p w14:paraId="6B7751CC">
            <w:pPr>
              <w:adjustRightInd w:val="0"/>
              <w:snapToGrid w:val="0"/>
              <w:spacing w:line="320" w:lineRule="exact"/>
              <w:jc w:val="center"/>
              <w:rPr>
                <w:rFonts w:ascii="Times New Roman"/>
                <w:sz w:val="21"/>
                <w:szCs w:val="21"/>
              </w:rPr>
            </w:pPr>
            <w:r>
              <w:rPr>
                <w:rFonts w:ascii="Times New Roman"/>
                <w:sz w:val="21"/>
                <w:szCs w:val="21"/>
              </w:rPr>
              <w:t>SW59</w:t>
            </w:r>
          </w:p>
        </w:tc>
        <w:tc>
          <w:tcPr>
            <w:tcW w:w="841" w:type="pct"/>
            <w:tcBorders>
              <w:top w:val="single" w:color="auto" w:sz="4" w:space="0"/>
              <w:bottom w:val="single" w:color="auto" w:sz="4" w:space="0"/>
            </w:tcBorders>
            <w:shd w:val="clear" w:color="auto" w:fill="auto"/>
            <w:vAlign w:val="center"/>
          </w:tcPr>
          <w:p w14:paraId="6A79EEAA">
            <w:pPr>
              <w:adjustRightInd w:val="0"/>
              <w:snapToGrid w:val="0"/>
              <w:spacing w:line="320" w:lineRule="exact"/>
              <w:jc w:val="center"/>
              <w:rPr>
                <w:rFonts w:ascii="Times New Roman"/>
                <w:sz w:val="21"/>
                <w:szCs w:val="21"/>
              </w:rPr>
            </w:pPr>
            <w:r>
              <w:rPr>
                <w:rFonts w:ascii="Times New Roman"/>
                <w:sz w:val="21"/>
                <w:szCs w:val="21"/>
              </w:rPr>
              <w:t>900-0</w:t>
            </w:r>
            <w:r>
              <w:rPr>
                <w:rFonts w:hint="eastAsia" w:ascii="Times New Roman"/>
                <w:sz w:val="21"/>
                <w:szCs w:val="21"/>
              </w:rPr>
              <w:t>9</w:t>
            </w:r>
            <w:r>
              <w:rPr>
                <w:rFonts w:ascii="Times New Roman"/>
                <w:sz w:val="21"/>
                <w:szCs w:val="21"/>
              </w:rPr>
              <w:t>9-S59</w:t>
            </w:r>
          </w:p>
        </w:tc>
        <w:tc>
          <w:tcPr>
            <w:tcW w:w="707" w:type="pct"/>
            <w:tcBorders>
              <w:top w:val="single" w:color="auto" w:sz="4" w:space="0"/>
              <w:bottom w:val="single" w:color="auto" w:sz="4" w:space="0"/>
              <w:right w:val="single" w:color="auto" w:sz="4" w:space="0"/>
            </w:tcBorders>
            <w:vAlign w:val="center"/>
          </w:tcPr>
          <w:p w14:paraId="17A0B2AA">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bottom w:val="single" w:color="auto" w:sz="4" w:space="0"/>
            </w:tcBorders>
            <w:vAlign w:val="center"/>
          </w:tcPr>
          <w:p w14:paraId="1ADCFB7A">
            <w:pPr>
              <w:adjustRightInd w:val="0"/>
              <w:snapToGrid w:val="0"/>
              <w:spacing w:line="320" w:lineRule="exact"/>
              <w:jc w:val="center"/>
              <w:rPr>
                <w:rFonts w:ascii="Times New Roman"/>
                <w:kern w:val="0"/>
                <w:sz w:val="21"/>
                <w:szCs w:val="21"/>
              </w:rPr>
            </w:pPr>
          </w:p>
        </w:tc>
      </w:tr>
      <w:tr w14:paraId="10E830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0D75AE53">
            <w:pPr>
              <w:spacing w:line="320" w:lineRule="exact"/>
              <w:jc w:val="center"/>
              <w:rPr>
                <w:rFonts w:ascii="Times New Roman"/>
                <w:sz w:val="21"/>
                <w:szCs w:val="21"/>
              </w:rPr>
            </w:pPr>
            <w:r>
              <w:rPr>
                <w:rFonts w:hint="eastAsia" w:ascii="Times New Roman"/>
                <w:sz w:val="21"/>
                <w:szCs w:val="21"/>
              </w:rPr>
              <w:t>UF1、UF2</w:t>
            </w:r>
          </w:p>
        </w:tc>
        <w:tc>
          <w:tcPr>
            <w:tcW w:w="816" w:type="pct"/>
            <w:tcBorders>
              <w:top w:val="single" w:color="auto" w:sz="4" w:space="0"/>
              <w:bottom w:val="single" w:color="auto" w:sz="4" w:space="0"/>
            </w:tcBorders>
            <w:shd w:val="clear" w:color="auto" w:fill="auto"/>
            <w:vAlign w:val="center"/>
          </w:tcPr>
          <w:p w14:paraId="4AEFC85E">
            <w:pPr>
              <w:spacing w:line="320" w:lineRule="exact"/>
              <w:jc w:val="center"/>
              <w:rPr>
                <w:rFonts w:ascii="Times New Roman"/>
                <w:sz w:val="21"/>
                <w:szCs w:val="21"/>
              </w:rPr>
            </w:pPr>
            <w:r>
              <w:rPr>
                <w:rFonts w:hint="eastAsia" w:ascii="Times New Roman"/>
                <w:sz w:val="21"/>
                <w:szCs w:val="21"/>
              </w:rPr>
              <w:t>废超滤膜</w:t>
            </w:r>
          </w:p>
        </w:tc>
        <w:tc>
          <w:tcPr>
            <w:tcW w:w="433" w:type="pct"/>
            <w:tcBorders>
              <w:top w:val="single" w:color="auto" w:sz="4" w:space="0"/>
              <w:bottom w:val="single" w:color="auto" w:sz="4" w:space="0"/>
              <w:right w:val="single" w:color="auto" w:sz="4" w:space="0"/>
            </w:tcBorders>
            <w:vAlign w:val="center"/>
          </w:tcPr>
          <w:p w14:paraId="4682C14A">
            <w:pPr>
              <w:adjustRightInd w:val="0"/>
              <w:snapToGrid w:val="0"/>
              <w:spacing w:line="320" w:lineRule="exact"/>
              <w:jc w:val="center"/>
              <w:rPr>
                <w:rFonts w:ascii="Times New Roman"/>
                <w:sz w:val="21"/>
                <w:szCs w:val="21"/>
              </w:rPr>
            </w:pPr>
            <w:r>
              <w:rPr>
                <w:rFonts w:hint="eastAsia" w:ascii="Times New Roman"/>
                <w:sz w:val="21"/>
                <w:szCs w:val="21"/>
              </w:rPr>
              <w:t>0.5</w:t>
            </w:r>
          </w:p>
        </w:tc>
        <w:tc>
          <w:tcPr>
            <w:tcW w:w="722" w:type="pct"/>
            <w:tcBorders>
              <w:top w:val="single" w:color="auto" w:sz="4" w:space="0"/>
              <w:bottom w:val="single" w:color="auto" w:sz="4" w:space="0"/>
            </w:tcBorders>
            <w:shd w:val="clear" w:color="auto" w:fill="auto"/>
            <w:vAlign w:val="center"/>
          </w:tcPr>
          <w:p w14:paraId="300EE41E">
            <w:pPr>
              <w:adjustRightInd w:val="0"/>
              <w:snapToGrid w:val="0"/>
              <w:spacing w:line="320" w:lineRule="exact"/>
              <w:jc w:val="center"/>
              <w:rPr>
                <w:rFonts w:ascii="Times New Roman"/>
                <w:sz w:val="21"/>
                <w:szCs w:val="21"/>
              </w:rPr>
            </w:pPr>
            <w:r>
              <w:rPr>
                <w:rFonts w:ascii="Times New Roman"/>
                <w:sz w:val="21"/>
                <w:szCs w:val="21"/>
              </w:rPr>
              <w:t>SW59</w:t>
            </w:r>
          </w:p>
        </w:tc>
        <w:tc>
          <w:tcPr>
            <w:tcW w:w="841" w:type="pct"/>
            <w:tcBorders>
              <w:top w:val="single" w:color="auto" w:sz="4" w:space="0"/>
              <w:bottom w:val="single" w:color="auto" w:sz="4" w:space="0"/>
            </w:tcBorders>
            <w:shd w:val="clear" w:color="auto" w:fill="auto"/>
            <w:vAlign w:val="center"/>
          </w:tcPr>
          <w:p w14:paraId="397186AE">
            <w:pPr>
              <w:adjustRightInd w:val="0"/>
              <w:snapToGrid w:val="0"/>
              <w:spacing w:line="320" w:lineRule="exact"/>
              <w:jc w:val="center"/>
              <w:rPr>
                <w:rFonts w:ascii="Times New Roman"/>
                <w:sz w:val="21"/>
                <w:szCs w:val="21"/>
              </w:rPr>
            </w:pPr>
            <w:r>
              <w:rPr>
                <w:rFonts w:ascii="Times New Roman"/>
                <w:sz w:val="21"/>
                <w:szCs w:val="21"/>
              </w:rPr>
              <w:t>900-0</w:t>
            </w:r>
            <w:r>
              <w:rPr>
                <w:rFonts w:hint="eastAsia" w:ascii="Times New Roman"/>
                <w:sz w:val="21"/>
                <w:szCs w:val="21"/>
              </w:rPr>
              <w:t>9</w:t>
            </w:r>
            <w:r>
              <w:rPr>
                <w:rFonts w:ascii="Times New Roman"/>
                <w:sz w:val="21"/>
                <w:szCs w:val="21"/>
              </w:rPr>
              <w:t>9-S59</w:t>
            </w:r>
          </w:p>
        </w:tc>
        <w:tc>
          <w:tcPr>
            <w:tcW w:w="707" w:type="pct"/>
            <w:tcBorders>
              <w:top w:val="single" w:color="auto" w:sz="4" w:space="0"/>
              <w:bottom w:val="single" w:color="auto" w:sz="4" w:space="0"/>
              <w:right w:val="single" w:color="auto" w:sz="4" w:space="0"/>
            </w:tcBorders>
            <w:shd w:val="clear" w:color="auto" w:fill="auto"/>
            <w:vAlign w:val="center"/>
          </w:tcPr>
          <w:p w14:paraId="07EA4B80">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restart"/>
            <w:tcBorders>
              <w:top w:val="single" w:color="auto" w:sz="4" w:space="0"/>
              <w:left w:val="single" w:color="auto" w:sz="4" w:space="0"/>
            </w:tcBorders>
            <w:vAlign w:val="center"/>
          </w:tcPr>
          <w:p w14:paraId="78BCA13A">
            <w:pPr>
              <w:adjustRightInd w:val="0"/>
              <w:snapToGrid w:val="0"/>
              <w:spacing w:line="320" w:lineRule="exact"/>
              <w:jc w:val="center"/>
              <w:rPr>
                <w:rFonts w:ascii="Times New Roman"/>
                <w:kern w:val="0"/>
                <w:sz w:val="21"/>
                <w:szCs w:val="21"/>
              </w:rPr>
            </w:pPr>
            <w:r>
              <w:rPr>
                <w:rFonts w:ascii="Times New Roman"/>
                <w:sz w:val="21"/>
                <w:szCs w:val="21"/>
              </w:rPr>
              <w:t>由厂家回收再生处理</w:t>
            </w:r>
          </w:p>
        </w:tc>
      </w:tr>
      <w:tr w14:paraId="15B8BE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shd w:val="clear" w:color="auto" w:fill="auto"/>
            <w:vAlign w:val="center"/>
          </w:tcPr>
          <w:p w14:paraId="49EB1F83">
            <w:pPr>
              <w:spacing w:line="320" w:lineRule="exact"/>
              <w:jc w:val="center"/>
              <w:rPr>
                <w:rFonts w:ascii="Times New Roman"/>
                <w:sz w:val="21"/>
                <w:szCs w:val="21"/>
              </w:rPr>
            </w:pPr>
            <w:r>
              <w:rPr>
                <w:rFonts w:hint="eastAsia" w:ascii="Times New Roman"/>
                <w:sz w:val="21"/>
                <w:szCs w:val="21"/>
              </w:rPr>
              <w:t>纯</w:t>
            </w:r>
            <w:r>
              <w:rPr>
                <w:rFonts w:ascii="Times New Roman"/>
                <w:sz w:val="21"/>
                <w:szCs w:val="21"/>
              </w:rPr>
              <w:t>水制备</w:t>
            </w:r>
          </w:p>
        </w:tc>
        <w:tc>
          <w:tcPr>
            <w:tcW w:w="816" w:type="pct"/>
            <w:tcBorders>
              <w:top w:val="single" w:color="auto" w:sz="4" w:space="0"/>
              <w:bottom w:val="single" w:color="auto" w:sz="4" w:space="0"/>
            </w:tcBorders>
            <w:shd w:val="clear" w:color="auto" w:fill="auto"/>
            <w:vAlign w:val="center"/>
          </w:tcPr>
          <w:p w14:paraId="0BFEBF21">
            <w:pPr>
              <w:spacing w:line="320" w:lineRule="exact"/>
              <w:jc w:val="center"/>
              <w:rPr>
                <w:rFonts w:ascii="Times New Roman"/>
                <w:sz w:val="21"/>
                <w:szCs w:val="21"/>
              </w:rPr>
            </w:pPr>
            <w:r>
              <w:rPr>
                <w:rFonts w:ascii="Times New Roman"/>
                <w:sz w:val="21"/>
                <w:szCs w:val="21"/>
              </w:rPr>
              <w:t>废反渗透膜</w:t>
            </w:r>
          </w:p>
        </w:tc>
        <w:tc>
          <w:tcPr>
            <w:tcW w:w="433" w:type="pct"/>
            <w:tcBorders>
              <w:top w:val="single" w:color="auto" w:sz="4" w:space="0"/>
              <w:bottom w:val="single" w:color="auto" w:sz="4" w:space="0"/>
              <w:right w:val="single" w:color="auto" w:sz="4" w:space="0"/>
            </w:tcBorders>
            <w:vAlign w:val="center"/>
          </w:tcPr>
          <w:p w14:paraId="3611BE9E">
            <w:pPr>
              <w:adjustRightInd w:val="0"/>
              <w:snapToGrid w:val="0"/>
              <w:spacing w:line="320" w:lineRule="exact"/>
              <w:jc w:val="center"/>
              <w:rPr>
                <w:rFonts w:ascii="Times New Roman"/>
                <w:sz w:val="21"/>
                <w:szCs w:val="21"/>
              </w:rPr>
            </w:pPr>
            <w:r>
              <w:rPr>
                <w:rFonts w:hint="eastAsia" w:ascii="Times New Roman"/>
                <w:sz w:val="21"/>
                <w:szCs w:val="21"/>
              </w:rPr>
              <w:t>5</w:t>
            </w:r>
          </w:p>
        </w:tc>
        <w:tc>
          <w:tcPr>
            <w:tcW w:w="722" w:type="pct"/>
            <w:tcBorders>
              <w:top w:val="single" w:color="auto" w:sz="4" w:space="0"/>
              <w:bottom w:val="single" w:color="auto" w:sz="4" w:space="0"/>
            </w:tcBorders>
            <w:vAlign w:val="center"/>
          </w:tcPr>
          <w:p w14:paraId="7D23BBDF">
            <w:pPr>
              <w:adjustRightInd w:val="0"/>
              <w:snapToGrid w:val="0"/>
              <w:spacing w:line="320" w:lineRule="exact"/>
              <w:jc w:val="center"/>
              <w:rPr>
                <w:rFonts w:ascii="Times New Roman"/>
                <w:sz w:val="21"/>
                <w:szCs w:val="21"/>
              </w:rPr>
            </w:pPr>
            <w:r>
              <w:rPr>
                <w:rFonts w:ascii="Times New Roman"/>
                <w:sz w:val="21"/>
                <w:szCs w:val="21"/>
              </w:rPr>
              <w:t>SW59</w:t>
            </w:r>
          </w:p>
        </w:tc>
        <w:tc>
          <w:tcPr>
            <w:tcW w:w="841" w:type="pct"/>
            <w:tcBorders>
              <w:top w:val="single" w:color="auto" w:sz="4" w:space="0"/>
              <w:bottom w:val="single" w:color="auto" w:sz="4" w:space="0"/>
            </w:tcBorders>
            <w:vAlign w:val="center"/>
          </w:tcPr>
          <w:p w14:paraId="1B4D144E">
            <w:pPr>
              <w:adjustRightInd w:val="0"/>
              <w:snapToGrid w:val="0"/>
              <w:spacing w:line="320" w:lineRule="exact"/>
              <w:jc w:val="center"/>
              <w:rPr>
                <w:rFonts w:ascii="Times New Roman"/>
                <w:sz w:val="21"/>
                <w:szCs w:val="21"/>
              </w:rPr>
            </w:pPr>
            <w:r>
              <w:rPr>
                <w:rFonts w:ascii="Times New Roman"/>
                <w:sz w:val="21"/>
                <w:szCs w:val="21"/>
              </w:rPr>
              <w:t>900-009-S59</w:t>
            </w:r>
          </w:p>
        </w:tc>
        <w:tc>
          <w:tcPr>
            <w:tcW w:w="707" w:type="pct"/>
            <w:tcBorders>
              <w:top w:val="single" w:color="auto" w:sz="4" w:space="0"/>
              <w:bottom w:val="single" w:color="auto" w:sz="4" w:space="0"/>
              <w:right w:val="single" w:color="auto" w:sz="4" w:space="0"/>
            </w:tcBorders>
            <w:vAlign w:val="center"/>
          </w:tcPr>
          <w:p w14:paraId="6520E571">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vMerge w:val="continue"/>
            <w:tcBorders>
              <w:left w:val="single" w:color="auto" w:sz="4" w:space="0"/>
              <w:bottom w:val="single" w:color="auto" w:sz="4" w:space="0"/>
            </w:tcBorders>
            <w:vAlign w:val="center"/>
          </w:tcPr>
          <w:p w14:paraId="4993C99A">
            <w:pPr>
              <w:adjustRightInd w:val="0"/>
              <w:snapToGrid w:val="0"/>
              <w:spacing w:line="320" w:lineRule="exact"/>
              <w:jc w:val="center"/>
              <w:rPr>
                <w:rFonts w:ascii="Times New Roman"/>
                <w:kern w:val="0"/>
                <w:sz w:val="21"/>
                <w:szCs w:val="21"/>
              </w:rPr>
            </w:pPr>
          </w:p>
        </w:tc>
      </w:tr>
      <w:tr w14:paraId="00E410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751" w:type="pct"/>
            <w:tcBorders>
              <w:top w:val="single" w:color="auto" w:sz="4" w:space="0"/>
              <w:bottom w:val="single" w:color="auto" w:sz="4" w:space="0"/>
            </w:tcBorders>
            <w:vAlign w:val="center"/>
          </w:tcPr>
          <w:p w14:paraId="201C4E7E">
            <w:pPr>
              <w:adjustRightInd w:val="0"/>
              <w:snapToGrid w:val="0"/>
              <w:spacing w:line="320" w:lineRule="exact"/>
              <w:jc w:val="center"/>
              <w:rPr>
                <w:rFonts w:ascii="Times New Roman"/>
                <w:sz w:val="21"/>
                <w:szCs w:val="21"/>
              </w:rPr>
            </w:pPr>
            <w:r>
              <w:rPr>
                <w:rFonts w:ascii="Times New Roman"/>
                <w:sz w:val="21"/>
                <w:szCs w:val="21"/>
              </w:rPr>
              <w:t>职工生活</w:t>
            </w:r>
          </w:p>
        </w:tc>
        <w:tc>
          <w:tcPr>
            <w:tcW w:w="816" w:type="pct"/>
            <w:tcBorders>
              <w:top w:val="single" w:color="auto" w:sz="4" w:space="0"/>
              <w:bottom w:val="single" w:color="auto" w:sz="4" w:space="0"/>
            </w:tcBorders>
            <w:vAlign w:val="center"/>
          </w:tcPr>
          <w:p w14:paraId="6B0982F4">
            <w:pPr>
              <w:adjustRightInd w:val="0"/>
              <w:snapToGrid w:val="0"/>
              <w:spacing w:line="320" w:lineRule="exact"/>
              <w:jc w:val="center"/>
              <w:rPr>
                <w:rFonts w:ascii="Times New Roman"/>
                <w:sz w:val="21"/>
                <w:szCs w:val="21"/>
              </w:rPr>
            </w:pPr>
            <w:r>
              <w:rPr>
                <w:rFonts w:ascii="Times New Roman"/>
                <w:sz w:val="21"/>
                <w:szCs w:val="21"/>
              </w:rPr>
              <w:t>生活垃圾</w:t>
            </w:r>
          </w:p>
        </w:tc>
        <w:tc>
          <w:tcPr>
            <w:tcW w:w="433" w:type="pct"/>
            <w:tcBorders>
              <w:top w:val="single" w:color="auto" w:sz="4" w:space="0"/>
              <w:bottom w:val="single" w:color="auto" w:sz="4" w:space="0"/>
              <w:right w:val="single" w:color="auto" w:sz="4" w:space="0"/>
            </w:tcBorders>
            <w:vAlign w:val="center"/>
          </w:tcPr>
          <w:p w14:paraId="026EBD6B">
            <w:pPr>
              <w:adjustRightInd w:val="0"/>
              <w:snapToGrid w:val="0"/>
              <w:spacing w:line="320" w:lineRule="exact"/>
              <w:jc w:val="center"/>
              <w:rPr>
                <w:rFonts w:ascii="Times New Roman"/>
                <w:sz w:val="21"/>
                <w:szCs w:val="21"/>
              </w:rPr>
            </w:pPr>
            <w:r>
              <w:rPr>
                <w:rFonts w:ascii="Times New Roman"/>
                <w:sz w:val="21"/>
                <w:szCs w:val="21"/>
              </w:rPr>
              <w:t>90</w:t>
            </w:r>
          </w:p>
        </w:tc>
        <w:tc>
          <w:tcPr>
            <w:tcW w:w="722" w:type="pct"/>
            <w:tcBorders>
              <w:top w:val="single" w:color="auto" w:sz="4" w:space="0"/>
              <w:bottom w:val="single" w:color="auto" w:sz="4" w:space="0"/>
            </w:tcBorders>
            <w:vAlign w:val="center"/>
          </w:tcPr>
          <w:p w14:paraId="4F8C962E">
            <w:pPr>
              <w:adjustRightInd w:val="0"/>
              <w:snapToGrid w:val="0"/>
              <w:spacing w:line="320" w:lineRule="exact"/>
              <w:jc w:val="center"/>
              <w:rPr>
                <w:rFonts w:ascii="Times New Roman"/>
                <w:sz w:val="21"/>
                <w:szCs w:val="21"/>
              </w:rPr>
            </w:pPr>
            <w:r>
              <w:rPr>
                <w:rFonts w:ascii="Times New Roman"/>
                <w:sz w:val="21"/>
                <w:szCs w:val="21"/>
              </w:rPr>
              <w:t>SW64</w:t>
            </w:r>
          </w:p>
        </w:tc>
        <w:tc>
          <w:tcPr>
            <w:tcW w:w="841" w:type="pct"/>
            <w:tcBorders>
              <w:top w:val="single" w:color="auto" w:sz="4" w:space="0"/>
              <w:bottom w:val="single" w:color="auto" w:sz="4" w:space="0"/>
            </w:tcBorders>
            <w:vAlign w:val="center"/>
          </w:tcPr>
          <w:p w14:paraId="5829A48D">
            <w:pPr>
              <w:adjustRightInd w:val="0"/>
              <w:snapToGrid w:val="0"/>
              <w:spacing w:line="320" w:lineRule="exact"/>
              <w:jc w:val="center"/>
              <w:rPr>
                <w:rFonts w:ascii="Times New Roman"/>
                <w:sz w:val="21"/>
                <w:szCs w:val="21"/>
              </w:rPr>
            </w:pPr>
            <w:r>
              <w:rPr>
                <w:rFonts w:ascii="Times New Roman"/>
                <w:sz w:val="21"/>
                <w:szCs w:val="21"/>
              </w:rPr>
              <w:t>900-099-S64</w:t>
            </w:r>
          </w:p>
        </w:tc>
        <w:tc>
          <w:tcPr>
            <w:tcW w:w="707" w:type="pct"/>
            <w:tcBorders>
              <w:top w:val="single" w:color="auto" w:sz="4" w:space="0"/>
              <w:bottom w:val="single" w:color="auto" w:sz="4" w:space="0"/>
              <w:right w:val="single" w:color="auto" w:sz="4" w:space="0"/>
            </w:tcBorders>
            <w:vAlign w:val="center"/>
          </w:tcPr>
          <w:p w14:paraId="127026B1">
            <w:pPr>
              <w:adjustRightInd w:val="0"/>
              <w:snapToGrid w:val="0"/>
              <w:spacing w:line="320" w:lineRule="exact"/>
              <w:jc w:val="center"/>
              <w:rPr>
                <w:rFonts w:ascii="Times New Roman"/>
                <w:sz w:val="21"/>
                <w:szCs w:val="21"/>
              </w:rPr>
            </w:pPr>
            <w:r>
              <w:rPr>
                <w:rFonts w:ascii="Times New Roman"/>
                <w:sz w:val="21"/>
                <w:szCs w:val="21"/>
              </w:rPr>
              <w:t>袋装</w:t>
            </w:r>
          </w:p>
        </w:tc>
        <w:tc>
          <w:tcPr>
            <w:tcW w:w="727" w:type="pct"/>
            <w:tcBorders>
              <w:top w:val="single" w:color="auto" w:sz="4" w:space="0"/>
              <w:left w:val="single" w:color="auto" w:sz="4" w:space="0"/>
              <w:bottom w:val="single" w:color="auto" w:sz="4" w:space="0"/>
            </w:tcBorders>
            <w:vAlign w:val="center"/>
          </w:tcPr>
          <w:p w14:paraId="67BEE7E3">
            <w:pPr>
              <w:adjustRightInd w:val="0"/>
              <w:snapToGrid w:val="0"/>
              <w:spacing w:line="320" w:lineRule="exact"/>
              <w:jc w:val="center"/>
              <w:rPr>
                <w:rFonts w:ascii="Times New Roman"/>
                <w:kern w:val="0"/>
                <w:sz w:val="21"/>
                <w:szCs w:val="21"/>
              </w:rPr>
            </w:pPr>
            <w:r>
              <w:rPr>
                <w:rFonts w:ascii="Times New Roman"/>
                <w:sz w:val="21"/>
                <w:szCs w:val="21"/>
              </w:rPr>
              <w:t>交由环卫部门处置</w:t>
            </w:r>
          </w:p>
        </w:tc>
      </w:tr>
    </w:tbl>
    <w:p w14:paraId="166C867F">
      <w:pPr>
        <w:spacing w:line="480" w:lineRule="exact"/>
        <w:ind w:firstLine="480" w:firstLineChars="200"/>
        <w:rPr>
          <w:rFonts w:ascii="Times New Roman"/>
          <w:sz w:val="24"/>
          <w:szCs w:val="24"/>
        </w:rPr>
      </w:pPr>
      <w:r>
        <w:rPr>
          <w:rFonts w:ascii="Times New Roman"/>
          <w:sz w:val="24"/>
          <w:szCs w:val="24"/>
        </w:rPr>
        <w:t>项目危险废物详细信息表见下表。</w:t>
      </w:r>
    </w:p>
    <w:p w14:paraId="5BB60D9D">
      <w:pPr>
        <w:spacing w:line="480" w:lineRule="exact"/>
        <w:jc w:val="center"/>
        <w:rPr>
          <w:rFonts w:ascii="Times New Roman"/>
          <w:b/>
          <w:sz w:val="24"/>
          <w:szCs w:val="24"/>
        </w:rPr>
      </w:pPr>
      <w:r>
        <w:rPr>
          <w:rFonts w:ascii="Times New Roman"/>
          <w:b/>
          <w:sz w:val="24"/>
          <w:szCs w:val="24"/>
        </w:rPr>
        <w:t>表3.7-1</w:t>
      </w:r>
      <w:r>
        <w:rPr>
          <w:rFonts w:hint="eastAsia" w:ascii="Times New Roman"/>
          <w:b/>
          <w:sz w:val="24"/>
          <w:szCs w:val="24"/>
        </w:rPr>
        <w:t>6</w:t>
      </w:r>
      <w:r>
        <w:rPr>
          <w:rFonts w:ascii="Times New Roman"/>
          <w:b/>
          <w:sz w:val="24"/>
          <w:szCs w:val="24"/>
        </w:rPr>
        <w:t xml:space="preserve">  项目危险废物详细信息表</w:t>
      </w:r>
    </w:p>
    <w:tbl>
      <w:tblPr>
        <w:tblStyle w:val="84"/>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3"/>
        <w:gridCol w:w="798"/>
        <w:gridCol w:w="1201"/>
        <w:gridCol w:w="752"/>
        <w:gridCol w:w="1241"/>
        <w:gridCol w:w="540"/>
        <w:gridCol w:w="749"/>
        <w:gridCol w:w="545"/>
        <w:gridCol w:w="473"/>
        <w:gridCol w:w="774"/>
      </w:tblGrid>
      <w:tr w14:paraId="1811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56" w:type="pct"/>
            <w:vAlign w:val="center"/>
          </w:tcPr>
          <w:p w14:paraId="0DF3E4D1">
            <w:pPr>
              <w:adjustRightInd w:val="0"/>
              <w:snapToGrid w:val="0"/>
              <w:spacing w:line="320" w:lineRule="exact"/>
              <w:jc w:val="center"/>
              <w:rPr>
                <w:rFonts w:ascii="Times New Roman"/>
                <w:sz w:val="21"/>
                <w:szCs w:val="21"/>
              </w:rPr>
            </w:pPr>
            <w:r>
              <w:rPr>
                <w:rFonts w:ascii="Times New Roman"/>
                <w:sz w:val="21"/>
                <w:szCs w:val="21"/>
              </w:rPr>
              <w:t>危险废物名称</w:t>
            </w:r>
          </w:p>
        </w:tc>
        <w:tc>
          <w:tcPr>
            <w:tcW w:w="467" w:type="pct"/>
            <w:vAlign w:val="center"/>
          </w:tcPr>
          <w:p w14:paraId="0DAB311A">
            <w:pPr>
              <w:adjustRightInd w:val="0"/>
              <w:snapToGrid w:val="0"/>
              <w:spacing w:line="320" w:lineRule="exact"/>
              <w:jc w:val="center"/>
              <w:rPr>
                <w:rFonts w:ascii="Times New Roman"/>
                <w:sz w:val="21"/>
                <w:szCs w:val="21"/>
              </w:rPr>
            </w:pPr>
            <w:r>
              <w:rPr>
                <w:rFonts w:ascii="Times New Roman"/>
                <w:sz w:val="21"/>
                <w:szCs w:val="21"/>
              </w:rPr>
              <w:t>危险废物类别</w:t>
            </w:r>
          </w:p>
        </w:tc>
        <w:tc>
          <w:tcPr>
            <w:tcW w:w="703" w:type="pct"/>
            <w:vAlign w:val="center"/>
          </w:tcPr>
          <w:p w14:paraId="31518093">
            <w:pPr>
              <w:adjustRightInd w:val="0"/>
              <w:snapToGrid w:val="0"/>
              <w:spacing w:line="320" w:lineRule="exact"/>
              <w:jc w:val="center"/>
              <w:rPr>
                <w:rFonts w:ascii="Times New Roman"/>
                <w:sz w:val="21"/>
                <w:szCs w:val="21"/>
              </w:rPr>
            </w:pPr>
            <w:r>
              <w:rPr>
                <w:rFonts w:ascii="Times New Roman"/>
                <w:sz w:val="21"/>
                <w:szCs w:val="21"/>
              </w:rPr>
              <w:t>危险废物代码</w:t>
            </w:r>
          </w:p>
        </w:tc>
        <w:tc>
          <w:tcPr>
            <w:tcW w:w="440" w:type="pct"/>
            <w:vAlign w:val="center"/>
          </w:tcPr>
          <w:p w14:paraId="030D9645">
            <w:pPr>
              <w:adjustRightInd w:val="0"/>
              <w:snapToGrid w:val="0"/>
              <w:spacing w:line="320" w:lineRule="exact"/>
              <w:jc w:val="center"/>
              <w:rPr>
                <w:rFonts w:ascii="Times New Roman"/>
                <w:sz w:val="21"/>
                <w:szCs w:val="21"/>
              </w:rPr>
            </w:pPr>
            <w:r>
              <w:rPr>
                <w:rFonts w:ascii="Times New Roman"/>
                <w:sz w:val="21"/>
                <w:szCs w:val="21"/>
              </w:rPr>
              <w:t>产生量t/a</w:t>
            </w:r>
          </w:p>
        </w:tc>
        <w:tc>
          <w:tcPr>
            <w:tcW w:w="726" w:type="pct"/>
            <w:vAlign w:val="center"/>
          </w:tcPr>
          <w:p w14:paraId="5F0AD99B">
            <w:pPr>
              <w:adjustRightInd w:val="0"/>
              <w:snapToGrid w:val="0"/>
              <w:spacing w:line="320" w:lineRule="exact"/>
              <w:jc w:val="center"/>
              <w:rPr>
                <w:rFonts w:ascii="Times New Roman"/>
                <w:sz w:val="21"/>
                <w:szCs w:val="21"/>
              </w:rPr>
            </w:pPr>
            <w:r>
              <w:rPr>
                <w:rFonts w:ascii="Times New Roman"/>
                <w:sz w:val="21"/>
                <w:szCs w:val="21"/>
              </w:rPr>
              <w:t>工序</w:t>
            </w:r>
          </w:p>
        </w:tc>
        <w:tc>
          <w:tcPr>
            <w:tcW w:w="316" w:type="pct"/>
            <w:vAlign w:val="center"/>
          </w:tcPr>
          <w:p w14:paraId="6E6E4C5F">
            <w:pPr>
              <w:adjustRightInd w:val="0"/>
              <w:snapToGrid w:val="0"/>
              <w:spacing w:line="320" w:lineRule="exact"/>
              <w:jc w:val="center"/>
              <w:rPr>
                <w:rFonts w:ascii="Times New Roman"/>
                <w:sz w:val="21"/>
                <w:szCs w:val="21"/>
              </w:rPr>
            </w:pPr>
            <w:r>
              <w:rPr>
                <w:rFonts w:ascii="Times New Roman"/>
                <w:sz w:val="21"/>
                <w:szCs w:val="21"/>
              </w:rPr>
              <w:t>形态</w:t>
            </w:r>
          </w:p>
        </w:tc>
        <w:tc>
          <w:tcPr>
            <w:tcW w:w="438" w:type="pct"/>
            <w:vAlign w:val="center"/>
          </w:tcPr>
          <w:p w14:paraId="72BE5674">
            <w:pPr>
              <w:adjustRightInd w:val="0"/>
              <w:snapToGrid w:val="0"/>
              <w:spacing w:line="320" w:lineRule="exact"/>
              <w:jc w:val="center"/>
              <w:rPr>
                <w:rFonts w:ascii="Times New Roman"/>
                <w:sz w:val="21"/>
                <w:szCs w:val="21"/>
              </w:rPr>
            </w:pPr>
            <w:r>
              <w:rPr>
                <w:rFonts w:ascii="Times New Roman"/>
                <w:sz w:val="21"/>
                <w:szCs w:val="21"/>
              </w:rPr>
              <w:t>有害</w:t>
            </w:r>
          </w:p>
          <w:p w14:paraId="349F11C1">
            <w:pPr>
              <w:adjustRightInd w:val="0"/>
              <w:snapToGrid w:val="0"/>
              <w:spacing w:line="320" w:lineRule="exact"/>
              <w:jc w:val="center"/>
              <w:rPr>
                <w:rFonts w:ascii="Times New Roman"/>
                <w:sz w:val="21"/>
                <w:szCs w:val="21"/>
              </w:rPr>
            </w:pPr>
            <w:r>
              <w:rPr>
                <w:rFonts w:ascii="Times New Roman"/>
                <w:sz w:val="21"/>
                <w:szCs w:val="21"/>
              </w:rPr>
              <w:t>成分</w:t>
            </w:r>
          </w:p>
        </w:tc>
        <w:tc>
          <w:tcPr>
            <w:tcW w:w="319" w:type="pct"/>
            <w:vAlign w:val="center"/>
          </w:tcPr>
          <w:p w14:paraId="545C8036">
            <w:pPr>
              <w:adjustRightInd w:val="0"/>
              <w:snapToGrid w:val="0"/>
              <w:spacing w:line="320" w:lineRule="exact"/>
              <w:jc w:val="center"/>
              <w:rPr>
                <w:rFonts w:ascii="Times New Roman"/>
                <w:sz w:val="21"/>
                <w:szCs w:val="21"/>
              </w:rPr>
            </w:pPr>
            <w:r>
              <w:rPr>
                <w:rFonts w:ascii="Times New Roman"/>
                <w:sz w:val="21"/>
                <w:szCs w:val="21"/>
              </w:rPr>
              <w:t>产废</w:t>
            </w:r>
          </w:p>
          <w:p w14:paraId="58441CF0">
            <w:pPr>
              <w:adjustRightInd w:val="0"/>
              <w:snapToGrid w:val="0"/>
              <w:spacing w:line="320" w:lineRule="exact"/>
              <w:jc w:val="center"/>
              <w:rPr>
                <w:rFonts w:ascii="Times New Roman"/>
                <w:sz w:val="21"/>
                <w:szCs w:val="21"/>
              </w:rPr>
            </w:pPr>
            <w:r>
              <w:rPr>
                <w:rFonts w:ascii="Times New Roman"/>
                <w:sz w:val="21"/>
                <w:szCs w:val="21"/>
              </w:rPr>
              <w:t>周期</w:t>
            </w:r>
          </w:p>
        </w:tc>
        <w:tc>
          <w:tcPr>
            <w:tcW w:w="277" w:type="pct"/>
            <w:vAlign w:val="center"/>
          </w:tcPr>
          <w:p w14:paraId="626ED1DA">
            <w:pPr>
              <w:adjustRightInd w:val="0"/>
              <w:snapToGrid w:val="0"/>
              <w:spacing w:line="320" w:lineRule="exact"/>
              <w:jc w:val="center"/>
              <w:rPr>
                <w:rFonts w:ascii="Times New Roman"/>
                <w:sz w:val="21"/>
                <w:szCs w:val="21"/>
              </w:rPr>
            </w:pPr>
            <w:r>
              <w:rPr>
                <w:rFonts w:ascii="Times New Roman"/>
                <w:sz w:val="21"/>
                <w:szCs w:val="21"/>
              </w:rPr>
              <w:t>危险</w:t>
            </w:r>
          </w:p>
          <w:p w14:paraId="0D31B412">
            <w:pPr>
              <w:adjustRightInd w:val="0"/>
              <w:snapToGrid w:val="0"/>
              <w:spacing w:line="320" w:lineRule="exact"/>
              <w:jc w:val="center"/>
              <w:rPr>
                <w:rFonts w:ascii="Times New Roman"/>
                <w:sz w:val="21"/>
                <w:szCs w:val="21"/>
              </w:rPr>
            </w:pPr>
            <w:r>
              <w:rPr>
                <w:rFonts w:ascii="Times New Roman"/>
                <w:sz w:val="21"/>
                <w:szCs w:val="21"/>
              </w:rPr>
              <w:t>特性</w:t>
            </w:r>
          </w:p>
        </w:tc>
        <w:tc>
          <w:tcPr>
            <w:tcW w:w="453" w:type="pct"/>
            <w:vAlign w:val="center"/>
          </w:tcPr>
          <w:p w14:paraId="3D4AD4F4">
            <w:pPr>
              <w:adjustRightInd w:val="0"/>
              <w:snapToGrid w:val="0"/>
              <w:spacing w:line="320" w:lineRule="exact"/>
              <w:jc w:val="center"/>
              <w:rPr>
                <w:rFonts w:ascii="Times New Roman"/>
                <w:sz w:val="21"/>
                <w:szCs w:val="21"/>
              </w:rPr>
            </w:pPr>
            <w:r>
              <w:rPr>
                <w:rFonts w:ascii="Times New Roman"/>
                <w:sz w:val="21"/>
                <w:szCs w:val="21"/>
              </w:rPr>
              <w:t>污染防治措施</w:t>
            </w:r>
          </w:p>
        </w:tc>
      </w:tr>
      <w:tr w14:paraId="637E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4D3D9596">
            <w:pPr>
              <w:adjustRightInd w:val="0"/>
              <w:snapToGrid w:val="0"/>
              <w:spacing w:line="320" w:lineRule="exact"/>
              <w:jc w:val="center"/>
              <w:rPr>
                <w:rFonts w:ascii="Times New Roman"/>
                <w:sz w:val="21"/>
                <w:szCs w:val="21"/>
              </w:rPr>
            </w:pPr>
            <w:r>
              <w:rPr>
                <w:rFonts w:ascii="Times New Roman"/>
                <w:sz w:val="21"/>
                <w:szCs w:val="21"/>
              </w:rPr>
              <w:t>漆渣</w:t>
            </w:r>
          </w:p>
        </w:tc>
        <w:tc>
          <w:tcPr>
            <w:tcW w:w="467" w:type="pct"/>
            <w:vAlign w:val="center"/>
          </w:tcPr>
          <w:p w14:paraId="7406C08F">
            <w:pPr>
              <w:adjustRightInd w:val="0"/>
              <w:snapToGrid w:val="0"/>
              <w:spacing w:line="320" w:lineRule="exact"/>
              <w:jc w:val="center"/>
              <w:rPr>
                <w:rFonts w:ascii="Times New Roman"/>
                <w:sz w:val="21"/>
                <w:szCs w:val="21"/>
              </w:rPr>
            </w:pPr>
            <w:r>
              <w:rPr>
                <w:rFonts w:ascii="Times New Roman"/>
                <w:sz w:val="21"/>
                <w:szCs w:val="21"/>
              </w:rPr>
              <w:t>HW12</w:t>
            </w:r>
          </w:p>
        </w:tc>
        <w:tc>
          <w:tcPr>
            <w:tcW w:w="703" w:type="pct"/>
            <w:vAlign w:val="center"/>
          </w:tcPr>
          <w:p w14:paraId="7046CBFB">
            <w:pPr>
              <w:topLinePunct/>
              <w:adjustRightInd w:val="0"/>
              <w:snapToGrid w:val="0"/>
              <w:spacing w:line="320" w:lineRule="exact"/>
              <w:jc w:val="center"/>
              <w:rPr>
                <w:rFonts w:ascii="Times New Roman"/>
                <w:sz w:val="21"/>
                <w:szCs w:val="21"/>
              </w:rPr>
            </w:pPr>
            <w:r>
              <w:rPr>
                <w:rFonts w:ascii="Times New Roman"/>
                <w:sz w:val="21"/>
                <w:szCs w:val="21"/>
              </w:rPr>
              <w:t>900-252-12</w:t>
            </w:r>
          </w:p>
        </w:tc>
        <w:tc>
          <w:tcPr>
            <w:tcW w:w="440" w:type="pct"/>
            <w:shd w:val="clear" w:color="auto" w:fill="auto"/>
            <w:vAlign w:val="center"/>
          </w:tcPr>
          <w:p w14:paraId="7BFAA961">
            <w:pPr>
              <w:adjustRightInd w:val="0"/>
              <w:snapToGrid w:val="0"/>
              <w:spacing w:line="320" w:lineRule="exact"/>
              <w:jc w:val="center"/>
              <w:rPr>
                <w:rFonts w:ascii="Times New Roman"/>
                <w:sz w:val="21"/>
                <w:szCs w:val="21"/>
              </w:rPr>
            </w:pPr>
            <w:r>
              <w:rPr>
                <w:rFonts w:hint="eastAsia" w:ascii="Times New Roman"/>
                <w:sz w:val="21"/>
                <w:szCs w:val="21"/>
              </w:rPr>
              <w:t>181.703</w:t>
            </w:r>
          </w:p>
        </w:tc>
        <w:tc>
          <w:tcPr>
            <w:tcW w:w="726" w:type="pct"/>
            <w:vMerge w:val="restart"/>
            <w:vAlign w:val="center"/>
          </w:tcPr>
          <w:p w14:paraId="6BED5940">
            <w:pPr>
              <w:adjustRightInd w:val="0"/>
              <w:snapToGrid w:val="0"/>
              <w:spacing w:line="320" w:lineRule="exact"/>
              <w:jc w:val="center"/>
              <w:rPr>
                <w:rFonts w:ascii="Times New Roman"/>
                <w:sz w:val="21"/>
                <w:szCs w:val="21"/>
              </w:rPr>
            </w:pPr>
            <w:r>
              <w:rPr>
                <w:rFonts w:hint="eastAsia" w:ascii="Times New Roman"/>
                <w:sz w:val="21"/>
                <w:szCs w:val="21"/>
              </w:rPr>
              <w:t>电泳、</w:t>
            </w:r>
            <w:r>
              <w:rPr>
                <w:rFonts w:ascii="Times New Roman"/>
                <w:sz w:val="21"/>
                <w:szCs w:val="21"/>
              </w:rPr>
              <w:t>喷漆</w:t>
            </w:r>
          </w:p>
        </w:tc>
        <w:tc>
          <w:tcPr>
            <w:tcW w:w="316" w:type="pct"/>
            <w:vAlign w:val="center"/>
          </w:tcPr>
          <w:p w14:paraId="7AD1946C">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1CE82850">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7926799D">
            <w:pPr>
              <w:topLinePunct/>
              <w:adjustRightInd w:val="0"/>
              <w:snapToGrid w:val="0"/>
              <w:spacing w:line="320" w:lineRule="exact"/>
              <w:jc w:val="center"/>
              <w:rPr>
                <w:rFonts w:ascii="Times New Roman"/>
                <w:sz w:val="21"/>
                <w:szCs w:val="21"/>
              </w:rPr>
            </w:pPr>
            <w:r>
              <w:rPr>
                <w:rFonts w:hint="eastAsia" w:ascii="Times New Roman"/>
                <w:sz w:val="21"/>
                <w:szCs w:val="21"/>
              </w:rPr>
              <w:t>m</w:t>
            </w:r>
          </w:p>
        </w:tc>
        <w:tc>
          <w:tcPr>
            <w:tcW w:w="277" w:type="pct"/>
            <w:vAlign w:val="center"/>
          </w:tcPr>
          <w:p w14:paraId="6D78E3F5">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restart"/>
            <w:vAlign w:val="center"/>
          </w:tcPr>
          <w:p w14:paraId="3552F9D4">
            <w:pPr>
              <w:adjustRightInd w:val="0"/>
              <w:snapToGrid w:val="0"/>
              <w:spacing w:line="320" w:lineRule="exact"/>
              <w:jc w:val="center"/>
              <w:rPr>
                <w:rFonts w:ascii="Times New Roman"/>
                <w:sz w:val="21"/>
                <w:szCs w:val="21"/>
              </w:rPr>
            </w:pPr>
            <w:r>
              <w:rPr>
                <w:rFonts w:ascii="Times New Roman"/>
                <w:sz w:val="21"/>
                <w:szCs w:val="21"/>
              </w:rPr>
              <w:t>暂存于危废间，定期交有资质单位处理</w:t>
            </w:r>
          </w:p>
        </w:tc>
      </w:tr>
      <w:tr w14:paraId="218D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856" w:type="pct"/>
            <w:vAlign w:val="center"/>
          </w:tcPr>
          <w:p w14:paraId="31BFF76D">
            <w:pPr>
              <w:adjustRightInd w:val="0"/>
              <w:snapToGrid w:val="0"/>
              <w:spacing w:line="320" w:lineRule="exact"/>
              <w:jc w:val="center"/>
              <w:rPr>
                <w:rFonts w:ascii="Times New Roman"/>
                <w:sz w:val="21"/>
                <w:szCs w:val="21"/>
              </w:rPr>
            </w:pPr>
            <w:r>
              <w:rPr>
                <w:rFonts w:ascii="Times New Roman"/>
                <w:sz w:val="21"/>
                <w:szCs w:val="21"/>
              </w:rPr>
              <w:t>废油漆桶、废稀释剂桶</w:t>
            </w:r>
          </w:p>
        </w:tc>
        <w:tc>
          <w:tcPr>
            <w:tcW w:w="467" w:type="pct"/>
            <w:vAlign w:val="center"/>
          </w:tcPr>
          <w:p w14:paraId="0F1D3A66">
            <w:pPr>
              <w:adjustRightInd w:val="0"/>
              <w:snapToGrid w:val="0"/>
              <w:spacing w:line="320" w:lineRule="exact"/>
              <w:jc w:val="center"/>
              <w:rPr>
                <w:rFonts w:ascii="Times New Roman"/>
                <w:sz w:val="21"/>
                <w:szCs w:val="21"/>
              </w:rPr>
            </w:pPr>
            <w:r>
              <w:rPr>
                <w:rFonts w:ascii="Times New Roman"/>
                <w:sz w:val="21"/>
                <w:szCs w:val="21"/>
              </w:rPr>
              <w:t>HW12</w:t>
            </w:r>
          </w:p>
        </w:tc>
        <w:tc>
          <w:tcPr>
            <w:tcW w:w="703" w:type="pct"/>
            <w:vAlign w:val="center"/>
          </w:tcPr>
          <w:p w14:paraId="57B49C96">
            <w:pPr>
              <w:topLinePunct/>
              <w:adjustRightInd w:val="0"/>
              <w:snapToGrid w:val="0"/>
              <w:spacing w:line="320" w:lineRule="exact"/>
              <w:jc w:val="center"/>
              <w:rPr>
                <w:rFonts w:ascii="Times New Roman"/>
                <w:sz w:val="21"/>
                <w:szCs w:val="21"/>
              </w:rPr>
            </w:pPr>
            <w:r>
              <w:rPr>
                <w:rFonts w:ascii="Times New Roman"/>
                <w:sz w:val="21"/>
                <w:szCs w:val="21"/>
              </w:rPr>
              <w:t>900-252-12</w:t>
            </w:r>
          </w:p>
        </w:tc>
        <w:tc>
          <w:tcPr>
            <w:tcW w:w="440" w:type="pct"/>
            <w:shd w:val="clear" w:color="auto" w:fill="auto"/>
            <w:vAlign w:val="center"/>
          </w:tcPr>
          <w:p w14:paraId="5C4A7B8A">
            <w:pPr>
              <w:adjustRightInd w:val="0"/>
              <w:snapToGrid w:val="0"/>
              <w:spacing w:line="320" w:lineRule="exact"/>
              <w:jc w:val="center"/>
              <w:rPr>
                <w:rFonts w:ascii="Times New Roman"/>
                <w:sz w:val="21"/>
                <w:szCs w:val="21"/>
              </w:rPr>
            </w:pPr>
            <w:r>
              <w:rPr>
                <w:rFonts w:hint="eastAsia" w:ascii="Times New Roman"/>
                <w:sz w:val="21"/>
                <w:szCs w:val="21"/>
              </w:rPr>
              <w:t>7</w:t>
            </w:r>
          </w:p>
        </w:tc>
        <w:tc>
          <w:tcPr>
            <w:tcW w:w="726" w:type="pct"/>
            <w:vMerge w:val="continue"/>
            <w:vAlign w:val="center"/>
          </w:tcPr>
          <w:p w14:paraId="39BA6AF5">
            <w:pPr>
              <w:adjustRightInd w:val="0"/>
              <w:snapToGrid w:val="0"/>
              <w:spacing w:line="320" w:lineRule="exact"/>
              <w:jc w:val="center"/>
              <w:rPr>
                <w:rFonts w:ascii="Times New Roman"/>
                <w:sz w:val="21"/>
                <w:szCs w:val="21"/>
              </w:rPr>
            </w:pPr>
          </w:p>
        </w:tc>
        <w:tc>
          <w:tcPr>
            <w:tcW w:w="316" w:type="pct"/>
            <w:vAlign w:val="center"/>
          </w:tcPr>
          <w:p w14:paraId="34DA60AD">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1360BB43">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2B049758">
            <w:pPr>
              <w:topLinePunct/>
              <w:adjustRightInd w:val="0"/>
              <w:snapToGrid w:val="0"/>
              <w:spacing w:line="320" w:lineRule="exact"/>
              <w:jc w:val="center"/>
              <w:rPr>
                <w:rFonts w:ascii="Times New Roman"/>
                <w:sz w:val="21"/>
                <w:szCs w:val="21"/>
              </w:rPr>
            </w:pPr>
            <w:r>
              <w:rPr>
                <w:rFonts w:hint="eastAsia" w:ascii="Times New Roman"/>
                <w:sz w:val="21"/>
                <w:szCs w:val="21"/>
              </w:rPr>
              <w:t>d</w:t>
            </w:r>
          </w:p>
        </w:tc>
        <w:tc>
          <w:tcPr>
            <w:tcW w:w="277" w:type="pct"/>
            <w:vAlign w:val="center"/>
          </w:tcPr>
          <w:p w14:paraId="1C41695F">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2D5C7D22">
            <w:pPr>
              <w:adjustRightInd w:val="0"/>
              <w:snapToGrid w:val="0"/>
              <w:spacing w:line="320" w:lineRule="exact"/>
              <w:jc w:val="center"/>
              <w:rPr>
                <w:rFonts w:ascii="Times New Roman"/>
                <w:sz w:val="21"/>
                <w:szCs w:val="21"/>
              </w:rPr>
            </w:pPr>
          </w:p>
        </w:tc>
      </w:tr>
      <w:tr w14:paraId="2E09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721CA698">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467" w:type="pct"/>
            <w:shd w:val="clear" w:color="auto" w:fill="auto"/>
            <w:vAlign w:val="center"/>
          </w:tcPr>
          <w:p w14:paraId="6E3C639D">
            <w:pPr>
              <w:adjustRightInd w:val="0"/>
              <w:snapToGrid w:val="0"/>
              <w:spacing w:line="320" w:lineRule="exact"/>
              <w:jc w:val="center"/>
              <w:rPr>
                <w:rFonts w:ascii="Times New Roman"/>
                <w:sz w:val="21"/>
                <w:szCs w:val="21"/>
              </w:rPr>
            </w:pPr>
            <w:r>
              <w:rPr>
                <w:rFonts w:ascii="Times New Roman"/>
                <w:sz w:val="21"/>
                <w:szCs w:val="21"/>
              </w:rPr>
              <w:t>HW09</w:t>
            </w:r>
          </w:p>
        </w:tc>
        <w:tc>
          <w:tcPr>
            <w:tcW w:w="703" w:type="pct"/>
            <w:shd w:val="clear" w:color="auto" w:fill="auto"/>
            <w:vAlign w:val="center"/>
          </w:tcPr>
          <w:p w14:paraId="71951BE7">
            <w:pPr>
              <w:topLinePunct/>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7</w:t>
            </w:r>
            <w:r>
              <w:rPr>
                <w:rFonts w:ascii="Times New Roman"/>
                <w:sz w:val="21"/>
                <w:szCs w:val="21"/>
              </w:rPr>
              <w:t>-09</w:t>
            </w:r>
          </w:p>
        </w:tc>
        <w:tc>
          <w:tcPr>
            <w:tcW w:w="440" w:type="pct"/>
            <w:shd w:val="clear" w:color="auto" w:fill="auto"/>
            <w:vAlign w:val="center"/>
          </w:tcPr>
          <w:p w14:paraId="4124CD50">
            <w:pPr>
              <w:adjustRightInd w:val="0"/>
              <w:snapToGrid w:val="0"/>
              <w:spacing w:line="320" w:lineRule="exact"/>
              <w:jc w:val="center"/>
              <w:rPr>
                <w:rFonts w:ascii="Times New Roman"/>
                <w:sz w:val="21"/>
                <w:szCs w:val="21"/>
              </w:rPr>
            </w:pPr>
            <w:r>
              <w:rPr>
                <w:rFonts w:hint="eastAsia" w:ascii="Times New Roman"/>
                <w:sz w:val="21"/>
                <w:szCs w:val="21"/>
              </w:rPr>
              <w:t>5</w:t>
            </w:r>
          </w:p>
        </w:tc>
        <w:tc>
          <w:tcPr>
            <w:tcW w:w="726" w:type="pct"/>
            <w:vAlign w:val="center"/>
          </w:tcPr>
          <w:p w14:paraId="6B45DEAE">
            <w:pPr>
              <w:adjustRightInd w:val="0"/>
              <w:snapToGrid w:val="0"/>
              <w:spacing w:line="320" w:lineRule="exact"/>
              <w:jc w:val="center"/>
              <w:rPr>
                <w:rFonts w:ascii="Times New Roman"/>
                <w:sz w:val="21"/>
                <w:szCs w:val="21"/>
              </w:rPr>
            </w:pPr>
            <w:r>
              <w:rPr>
                <w:rFonts w:hint="eastAsia" w:ascii="Times New Roman"/>
                <w:sz w:val="21"/>
                <w:szCs w:val="21"/>
              </w:rPr>
              <w:t>脱脂</w:t>
            </w:r>
          </w:p>
        </w:tc>
        <w:tc>
          <w:tcPr>
            <w:tcW w:w="316" w:type="pct"/>
            <w:shd w:val="clear" w:color="auto" w:fill="auto"/>
            <w:vAlign w:val="center"/>
          </w:tcPr>
          <w:p w14:paraId="0493D67E">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shd w:val="clear" w:color="auto" w:fill="auto"/>
            <w:vAlign w:val="center"/>
          </w:tcPr>
          <w:p w14:paraId="6A3B2767">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shd w:val="clear" w:color="auto" w:fill="auto"/>
            <w:vAlign w:val="center"/>
          </w:tcPr>
          <w:p w14:paraId="4401C45D">
            <w:pPr>
              <w:topLinePunct/>
              <w:adjustRightInd w:val="0"/>
              <w:snapToGrid w:val="0"/>
              <w:spacing w:line="320" w:lineRule="exact"/>
              <w:jc w:val="center"/>
              <w:rPr>
                <w:rFonts w:ascii="Times New Roman"/>
                <w:sz w:val="21"/>
                <w:szCs w:val="21"/>
              </w:rPr>
            </w:pPr>
            <w:r>
              <w:rPr>
                <w:rFonts w:hint="eastAsia" w:ascii="Times New Roman"/>
                <w:sz w:val="21"/>
                <w:szCs w:val="21"/>
              </w:rPr>
              <w:t>d</w:t>
            </w:r>
          </w:p>
        </w:tc>
        <w:tc>
          <w:tcPr>
            <w:tcW w:w="277" w:type="pct"/>
            <w:shd w:val="clear" w:color="auto" w:fill="auto"/>
            <w:vAlign w:val="center"/>
          </w:tcPr>
          <w:p w14:paraId="294CF235">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789087AE">
            <w:pPr>
              <w:adjustRightInd w:val="0"/>
              <w:snapToGrid w:val="0"/>
              <w:spacing w:line="320" w:lineRule="exact"/>
              <w:jc w:val="center"/>
              <w:rPr>
                <w:rFonts w:ascii="Times New Roman"/>
                <w:sz w:val="21"/>
                <w:szCs w:val="21"/>
              </w:rPr>
            </w:pPr>
          </w:p>
        </w:tc>
      </w:tr>
      <w:tr w14:paraId="451C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60DB6CB2">
            <w:pPr>
              <w:adjustRightInd w:val="0"/>
              <w:snapToGrid w:val="0"/>
              <w:spacing w:line="320" w:lineRule="exact"/>
              <w:jc w:val="center"/>
              <w:rPr>
                <w:rFonts w:ascii="Times New Roman"/>
                <w:sz w:val="21"/>
                <w:szCs w:val="21"/>
              </w:rPr>
            </w:pPr>
            <w:r>
              <w:rPr>
                <w:rFonts w:ascii="Times New Roman"/>
                <w:sz w:val="21"/>
                <w:szCs w:val="21"/>
              </w:rPr>
              <w:t>废滤芯、杂质</w:t>
            </w:r>
          </w:p>
        </w:tc>
        <w:tc>
          <w:tcPr>
            <w:tcW w:w="467" w:type="pct"/>
            <w:shd w:val="clear" w:color="auto" w:fill="auto"/>
            <w:vAlign w:val="center"/>
          </w:tcPr>
          <w:p w14:paraId="496419F0">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703" w:type="pct"/>
            <w:shd w:val="clear" w:color="auto" w:fill="auto"/>
            <w:vAlign w:val="center"/>
          </w:tcPr>
          <w:p w14:paraId="0DB1B8C1">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440" w:type="pct"/>
            <w:shd w:val="clear" w:color="auto" w:fill="auto"/>
            <w:vAlign w:val="center"/>
          </w:tcPr>
          <w:p w14:paraId="1C3047D2">
            <w:pPr>
              <w:adjustRightInd w:val="0"/>
              <w:snapToGrid w:val="0"/>
              <w:spacing w:line="320" w:lineRule="exact"/>
              <w:jc w:val="center"/>
              <w:rPr>
                <w:rFonts w:ascii="Times New Roman"/>
                <w:sz w:val="21"/>
                <w:szCs w:val="21"/>
              </w:rPr>
            </w:pPr>
            <w:r>
              <w:rPr>
                <w:rFonts w:hint="eastAsia" w:ascii="Times New Roman"/>
                <w:sz w:val="21"/>
                <w:szCs w:val="21"/>
              </w:rPr>
              <w:t>2.8</w:t>
            </w:r>
          </w:p>
        </w:tc>
        <w:tc>
          <w:tcPr>
            <w:tcW w:w="726" w:type="pct"/>
            <w:vAlign w:val="center"/>
          </w:tcPr>
          <w:p w14:paraId="13441DF8">
            <w:pPr>
              <w:adjustRightInd w:val="0"/>
              <w:snapToGrid w:val="0"/>
              <w:spacing w:line="320" w:lineRule="exact"/>
              <w:jc w:val="center"/>
              <w:rPr>
                <w:rFonts w:ascii="Times New Roman"/>
                <w:sz w:val="21"/>
                <w:szCs w:val="21"/>
              </w:rPr>
            </w:pPr>
            <w:r>
              <w:rPr>
                <w:rFonts w:hint="eastAsia" w:ascii="Times New Roman"/>
                <w:kern w:val="0"/>
                <w:sz w:val="21"/>
                <w:szCs w:val="21"/>
              </w:rPr>
              <w:t>脱脂、硅烷化</w:t>
            </w:r>
          </w:p>
        </w:tc>
        <w:tc>
          <w:tcPr>
            <w:tcW w:w="316" w:type="pct"/>
            <w:shd w:val="clear" w:color="auto" w:fill="auto"/>
            <w:vAlign w:val="center"/>
          </w:tcPr>
          <w:p w14:paraId="49F80102">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shd w:val="clear" w:color="auto" w:fill="auto"/>
            <w:vAlign w:val="center"/>
          </w:tcPr>
          <w:p w14:paraId="4DFD23FE">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shd w:val="clear" w:color="auto" w:fill="auto"/>
            <w:vAlign w:val="center"/>
          </w:tcPr>
          <w:p w14:paraId="23169BC8">
            <w:pPr>
              <w:topLinePunct/>
              <w:adjustRightInd w:val="0"/>
              <w:snapToGrid w:val="0"/>
              <w:spacing w:line="320" w:lineRule="exact"/>
              <w:jc w:val="center"/>
              <w:rPr>
                <w:rFonts w:ascii="Times New Roman"/>
                <w:sz w:val="21"/>
                <w:szCs w:val="21"/>
              </w:rPr>
            </w:pPr>
            <w:r>
              <w:rPr>
                <w:rFonts w:hint="eastAsia" w:ascii="Times New Roman"/>
                <w:sz w:val="21"/>
                <w:szCs w:val="21"/>
              </w:rPr>
              <w:t>0.5</w:t>
            </w:r>
            <w:r>
              <w:rPr>
                <w:rFonts w:ascii="Times New Roman"/>
                <w:sz w:val="21"/>
                <w:szCs w:val="21"/>
              </w:rPr>
              <w:t>a</w:t>
            </w:r>
          </w:p>
        </w:tc>
        <w:tc>
          <w:tcPr>
            <w:tcW w:w="277" w:type="pct"/>
            <w:shd w:val="clear" w:color="auto" w:fill="auto"/>
            <w:vAlign w:val="center"/>
          </w:tcPr>
          <w:p w14:paraId="3A613BE6">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7D8DAE69">
            <w:pPr>
              <w:adjustRightInd w:val="0"/>
              <w:snapToGrid w:val="0"/>
              <w:spacing w:line="320" w:lineRule="exact"/>
              <w:jc w:val="center"/>
              <w:rPr>
                <w:rFonts w:ascii="Times New Roman"/>
                <w:sz w:val="21"/>
                <w:szCs w:val="21"/>
              </w:rPr>
            </w:pPr>
          </w:p>
        </w:tc>
      </w:tr>
      <w:tr w14:paraId="0FC4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4D0AF7AC">
            <w:pPr>
              <w:adjustRightInd w:val="0"/>
              <w:snapToGrid w:val="0"/>
              <w:spacing w:line="320" w:lineRule="exact"/>
              <w:jc w:val="center"/>
              <w:rPr>
                <w:rFonts w:ascii="Times New Roman"/>
                <w:sz w:val="21"/>
                <w:szCs w:val="21"/>
              </w:rPr>
            </w:pPr>
            <w:r>
              <w:rPr>
                <w:rFonts w:ascii="Times New Roman"/>
                <w:sz w:val="21"/>
                <w:szCs w:val="21"/>
              </w:rPr>
              <w:t>废液压油</w:t>
            </w:r>
          </w:p>
        </w:tc>
        <w:tc>
          <w:tcPr>
            <w:tcW w:w="467" w:type="pct"/>
            <w:vAlign w:val="center"/>
          </w:tcPr>
          <w:p w14:paraId="571E4AAF">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vAlign w:val="center"/>
          </w:tcPr>
          <w:p w14:paraId="15C97BAB">
            <w:pPr>
              <w:topLinePunct/>
              <w:adjustRightInd w:val="0"/>
              <w:snapToGrid w:val="0"/>
              <w:spacing w:line="320" w:lineRule="exact"/>
              <w:jc w:val="center"/>
              <w:rPr>
                <w:rFonts w:ascii="Times New Roman"/>
                <w:sz w:val="21"/>
                <w:szCs w:val="21"/>
              </w:rPr>
            </w:pPr>
            <w:r>
              <w:rPr>
                <w:rFonts w:ascii="Times New Roman"/>
                <w:sz w:val="21"/>
                <w:szCs w:val="21"/>
              </w:rPr>
              <w:t>900-218-08</w:t>
            </w:r>
          </w:p>
        </w:tc>
        <w:tc>
          <w:tcPr>
            <w:tcW w:w="440" w:type="pct"/>
            <w:shd w:val="clear" w:color="auto" w:fill="auto"/>
            <w:vAlign w:val="center"/>
          </w:tcPr>
          <w:p w14:paraId="1088D5A8">
            <w:pPr>
              <w:adjustRightInd w:val="0"/>
              <w:snapToGrid w:val="0"/>
              <w:spacing w:line="320" w:lineRule="exact"/>
              <w:jc w:val="center"/>
              <w:rPr>
                <w:rFonts w:ascii="Times New Roman"/>
                <w:sz w:val="21"/>
                <w:szCs w:val="21"/>
              </w:rPr>
            </w:pPr>
            <w:r>
              <w:rPr>
                <w:rFonts w:ascii="Times New Roman"/>
                <w:sz w:val="21"/>
                <w:szCs w:val="21"/>
              </w:rPr>
              <w:t>1.2</w:t>
            </w:r>
          </w:p>
        </w:tc>
        <w:tc>
          <w:tcPr>
            <w:tcW w:w="726" w:type="pct"/>
            <w:vAlign w:val="center"/>
          </w:tcPr>
          <w:p w14:paraId="019C7B8D">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55ABAE89">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vAlign w:val="center"/>
          </w:tcPr>
          <w:p w14:paraId="55E923BE">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29F11724">
            <w:pPr>
              <w:topLinePunct/>
              <w:adjustRightInd w:val="0"/>
              <w:snapToGrid w:val="0"/>
              <w:spacing w:line="320" w:lineRule="exact"/>
              <w:jc w:val="center"/>
              <w:rPr>
                <w:rFonts w:ascii="Times New Roman"/>
                <w:sz w:val="21"/>
                <w:szCs w:val="21"/>
              </w:rPr>
            </w:pPr>
            <w:r>
              <w:rPr>
                <w:rFonts w:ascii="Times New Roman"/>
                <w:sz w:val="21"/>
                <w:szCs w:val="21"/>
              </w:rPr>
              <w:t>2a</w:t>
            </w:r>
          </w:p>
        </w:tc>
        <w:tc>
          <w:tcPr>
            <w:tcW w:w="277" w:type="pct"/>
            <w:vAlign w:val="center"/>
          </w:tcPr>
          <w:p w14:paraId="0EAF179F">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0F167738">
            <w:pPr>
              <w:adjustRightInd w:val="0"/>
              <w:snapToGrid w:val="0"/>
              <w:spacing w:line="320" w:lineRule="exact"/>
              <w:jc w:val="center"/>
              <w:rPr>
                <w:rFonts w:ascii="Times New Roman"/>
                <w:sz w:val="21"/>
                <w:szCs w:val="21"/>
              </w:rPr>
            </w:pPr>
          </w:p>
        </w:tc>
      </w:tr>
      <w:tr w14:paraId="3E16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40E91EF1">
            <w:pPr>
              <w:adjustRightInd w:val="0"/>
              <w:snapToGrid w:val="0"/>
              <w:spacing w:line="320" w:lineRule="exact"/>
              <w:jc w:val="center"/>
              <w:rPr>
                <w:rFonts w:ascii="Times New Roman"/>
                <w:sz w:val="21"/>
                <w:szCs w:val="21"/>
              </w:rPr>
            </w:pPr>
            <w:r>
              <w:rPr>
                <w:rFonts w:ascii="Times New Roman"/>
                <w:sz w:val="21"/>
                <w:szCs w:val="21"/>
              </w:rPr>
              <w:t>废润滑油</w:t>
            </w:r>
          </w:p>
        </w:tc>
        <w:tc>
          <w:tcPr>
            <w:tcW w:w="467" w:type="pct"/>
            <w:vAlign w:val="center"/>
          </w:tcPr>
          <w:p w14:paraId="3D730D18">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vAlign w:val="center"/>
          </w:tcPr>
          <w:p w14:paraId="7838839C">
            <w:pPr>
              <w:adjustRightInd w:val="0"/>
              <w:snapToGrid w:val="0"/>
              <w:spacing w:line="320" w:lineRule="exact"/>
              <w:jc w:val="center"/>
              <w:rPr>
                <w:rFonts w:ascii="Times New Roman"/>
                <w:sz w:val="21"/>
                <w:szCs w:val="21"/>
              </w:rPr>
            </w:pPr>
            <w:r>
              <w:rPr>
                <w:rFonts w:ascii="Times New Roman"/>
                <w:sz w:val="21"/>
                <w:szCs w:val="21"/>
              </w:rPr>
              <w:t>900-217-08</w:t>
            </w:r>
          </w:p>
        </w:tc>
        <w:tc>
          <w:tcPr>
            <w:tcW w:w="440" w:type="pct"/>
            <w:shd w:val="clear" w:color="auto" w:fill="auto"/>
            <w:vAlign w:val="center"/>
          </w:tcPr>
          <w:p w14:paraId="1D220E06">
            <w:pPr>
              <w:adjustRightInd w:val="0"/>
              <w:snapToGrid w:val="0"/>
              <w:spacing w:line="320" w:lineRule="exact"/>
              <w:jc w:val="center"/>
              <w:rPr>
                <w:rFonts w:ascii="Times New Roman"/>
                <w:sz w:val="21"/>
                <w:szCs w:val="21"/>
              </w:rPr>
            </w:pPr>
            <w:r>
              <w:rPr>
                <w:rFonts w:ascii="Times New Roman"/>
                <w:sz w:val="21"/>
                <w:szCs w:val="21"/>
              </w:rPr>
              <w:t>2</w:t>
            </w:r>
          </w:p>
        </w:tc>
        <w:tc>
          <w:tcPr>
            <w:tcW w:w="726" w:type="pct"/>
            <w:vAlign w:val="center"/>
          </w:tcPr>
          <w:p w14:paraId="785E9911">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0475536A">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vAlign w:val="center"/>
          </w:tcPr>
          <w:p w14:paraId="632BD0F0">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78D6DA55">
            <w:pPr>
              <w:topLinePunct/>
              <w:adjustRightInd w:val="0"/>
              <w:snapToGrid w:val="0"/>
              <w:spacing w:line="320" w:lineRule="exact"/>
              <w:jc w:val="center"/>
              <w:rPr>
                <w:rFonts w:ascii="Times New Roman"/>
                <w:sz w:val="21"/>
                <w:szCs w:val="21"/>
              </w:rPr>
            </w:pPr>
            <w:r>
              <w:rPr>
                <w:rFonts w:ascii="Times New Roman"/>
                <w:sz w:val="21"/>
                <w:szCs w:val="21"/>
              </w:rPr>
              <w:t>a</w:t>
            </w:r>
          </w:p>
        </w:tc>
        <w:tc>
          <w:tcPr>
            <w:tcW w:w="277" w:type="pct"/>
            <w:vAlign w:val="center"/>
          </w:tcPr>
          <w:p w14:paraId="05ED7DCF">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6B5BD52E">
            <w:pPr>
              <w:adjustRightInd w:val="0"/>
              <w:snapToGrid w:val="0"/>
              <w:spacing w:line="320" w:lineRule="exact"/>
              <w:jc w:val="center"/>
              <w:rPr>
                <w:rFonts w:ascii="Times New Roman"/>
                <w:sz w:val="21"/>
                <w:szCs w:val="21"/>
              </w:rPr>
            </w:pPr>
          </w:p>
        </w:tc>
      </w:tr>
      <w:tr w14:paraId="0956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19E804F9">
            <w:pPr>
              <w:adjustRightInd w:val="0"/>
              <w:snapToGrid w:val="0"/>
              <w:spacing w:line="320" w:lineRule="exact"/>
              <w:jc w:val="center"/>
              <w:rPr>
                <w:rFonts w:ascii="Times New Roman"/>
                <w:sz w:val="21"/>
                <w:szCs w:val="21"/>
              </w:rPr>
            </w:pPr>
            <w:r>
              <w:rPr>
                <w:rFonts w:ascii="Times New Roman"/>
                <w:sz w:val="21"/>
                <w:szCs w:val="21"/>
              </w:rPr>
              <w:t>废油桶</w:t>
            </w:r>
          </w:p>
        </w:tc>
        <w:tc>
          <w:tcPr>
            <w:tcW w:w="467" w:type="pct"/>
            <w:vAlign w:val="center"/>
          </w:tcPr>
          <w:p w14:paraId="6E19D3A8">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vAlign w:val="center"/>
          </w:tcPr>
          <w:p w14:paraId="2A288668">
            <w:pPr>
              <w:topLinePunct/>
              <w:adjustRightInd w:val="0"/>
              <w:snapToGrid w:val="0"/>
              <w:spacing w:line="320" w:lineRule="exact"/>
              <w:jc w:val="center"/>
              <w:rPr>
                <w:rFonts w:ascii="Times New Roman"/>
                <w:sz w:val="21"/>
                <w:szCs w:val="21"/>
              </w:rPr>
            </w:pPr>
            <w:r>
              <w:rPr>
                <w:rFonts w:ascii="Times New Roman"/>
                <w:sz w:val="21"/>
                <w:szCs w:val="21"/>
              </w:rPr>
              <w:t>900-249-08</w:t>
            </w:r>
          </w:p>
        </w:tc>
        <w:tc>
          <w:tcPr>
            <w:tcW w:w="440" w:type="pct"/>
            <w:shd w:val="clear" w:color="auto" w:fill="auto"/>
            <w:vAlign w:val="center"/>
          </w:tcPr>
          <w:p w14:paraId="64BB014E">
            <w:pPr>
              <w:adjustRightInd w:val="0"/>
              <w:snapToGrid w:val="0"/>
              <w:spacing w:line="320" w:lineRule="exact"/>
              <w:jc w:val="center"/>
              <w:rPr>
                <w:rFonts w:ascii="Times New Roman"/>
                <w:sz w:val="21"/>
                <w:szCs w:val="21"/>
              </w:rPr>
            </w:pPr>
            <w:r>
              <w:rPr>
                <w:rFonts w:ascii="Times New Roman"/>
                <w:sz w:val="21"/>
                <w:szCs w:val="21"/>
              </w:rPr>
              <w:t>0.4</w:t>
            </w:r>
          </w:p>
        </w:tc>
        <w:tc>
          <w:tcPr>
            <w:tcW w:w="726" w:type="pct"/>
            <w:vAlign w:val="center"/>
          </w:tcPr>
          <w:p w14:paraId="45A37BAF">
            <w:pPr>
              <w:adjustRightInd w:val="0"/>
              <w:snapToGrid w:val="0"/>
              <w:spacing w:line="320" w:lineRule="exact"/>
              <w:jc w:val="center"/>
              <w:rPr>
                <w:rFonts w:ascii="Times New Roman"/>
                <w:sz w:val="21"/>
                <w:szCs w:val="21"/>
              </w:rPr>
            </w:pPr>
            <w:r>
              <w:rPr>
                <w:rFonts w:ascii="Times New Roman"/>
                <w:sz w:val="21"/>
                <w:szCs w:val="21"/>
              </w:rPr>
              <w:t>原料包装</w:t>
            </w:r>
          </w:p>
        </w:tc>
        <w:tc>
          <w:tcPr>
            <w:tcW w:w="316" w:type="pct"/>
            <w:vAlign w:val="center"/>
          </w:tcPr>
          <w:p w14:paraId="3C33A84E">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36003FB6">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1DA4F108">
            <w:pPr>
              <w:topLinePunct/>
              <w:adjustRightInd w:val="0"/>
              <w:snapToGrid w:val="0"/>
              <w:spacing w:line="320" w:lineRule="exact"/>
              <w:jc w:val="center"/>
              <w:rPr>
                <w:rFonts w:ascii="Times New Roman"/>
                <w:sz w:val="21"/>
                <w:szCs w:val="21"/>
              </w:rPr>
            </w:pPr>
            <w:r>
              <w:rPr>
                <w:rFonts w:ascii="Times New Roman"/>
                <w:sz w:val="21"/>
                <w:szCs w:val="21"/>
              </w:rPr>
              <w:t>a</w:t>
            </w:r>
          </w:p>
        </w:tc>
        <w:tc>
          <w:tcPr>
            <w:tcW w:w="277" w:type="pct"/>
            <w:vAlign w:val="center"/>
          </w:tcPr>
          <w:p w14:paraId="2BD7F16F">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71A4C261">
            <w:pPr>
              <w:adjustRightInd w:val="0"/>
              <w:snapToGrid w:val="0"/>
              <w:spacing w:line="320" w:lineRule="exact"/>
              <w:jc w:val="center"/>
              <w:rPr>
                <w:rFonts w:ascii="Times New Roman"/>
                <w:sz w:val="21"/>
                <w:szCs w:val="21"/>
              </w:rPr>
            </w:pPr>
          </w:p>
        </w:tc>
      </w:tr>
      <w:tr w14:paraId="41B1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799B2DF3">
            <w:pPr>
              <w:adjustRightInd w:val="0"/>
              <w:snapToGrid w:val="0"/>
              <w:spacing w:line="320" w:lineRule="exact"/>
              <w:jc w:val="center"/>
              <w:rPr>
                <w:rFonts w:ascii="Times New Roman"/>
                <w:sz w:val="21"/>
                <w:szCs w:val="21"/>
              </w:rPr>
            </w:pPr>
            <w:r>
              <w:rPr>
                <w:rFonts w:ascii="Times New Roman"/>
                <w:sz w:val="21"/>
                <w:szCs w:val="21"/>
              </w:rPr>
              <w:t>废切削液</w:t>
            </w:r>
          </w:p>
        </w:tc>
        <w:tc>
          <w:tcPr>
            <w:tcW w:w="467" w:type="pct"/>
            <w:vAlign w:val="center"/>
          </w:tcPr>
          <w:p w14:paraId="66D54EA2">
            <w:pPr>
              <w:adjustRightInd w:val="0"/>
              <w:snapToGrid w:val="0"/>
              <w:spacing w:line="320" w:lineRule="exact"/>
              <w:jc w:val="center"/>
              <w:rPr>
                <w:rFonts w:ascii="Times New Roman"/>
                <w:sz w:val="21"/>
                <w:szCs w:val="21"/>
              </w:rPr>
            </w:pPr>
            <w:r>
              <w:rPr>
                <w:rFonts w:ascii="Times New Roman"/>
                <w:sz w:val="21"/>
                <w:szCs w:val="21"/>
              </w:rPr>
              <w:t>HW09</w:t>
            </w:r>
          </w:p>
        </w:tc>
        <w:tc>
          <w:tcPr>
            <w:tcW w:w="703" w:type="pct"/>
            <w:vAlign w:val="center"/>
          </w:tcPr>
          <w:p w14:paraId="057CB538">
            <w:pPr>
              <w:topLinePunct/>
              <w:adjustRightInd w:val="0"/>
              <w:snapToGrid w:val="0"/>
              <w:spacing w:line="320" w:lineRule="exact"/>
              <w:jc w:val="center"/>
              <w:rPr>
                <w:rFonts w:ascii="Times New Roman"/>
                <w:sz w:val="21"/>
                <w:szCs w:val="21"/>
              </w:rPr>
            </w:pPr>
            <w:r>
              <w:rPr>
                <w:rFonts w:ascii="Times New Roman"/>
                <w:sz w:val="21"/>
                <w:szCs w:val="21"/>
              </w:rPr>
              <w:t>900-006-09</w:t>
            </w:r>
          </w:p>
        </w:tc>
        <w:tc>
          <w:tcPr>
            <w:tcW w:w="440" w:type="pct"/>
            <w:shd w:val="clear" w:color="auto" w:fill="auto"/>
            <w:vAlign w:val="center"/>
          </w:tcPr>
          <w:p w14:paraId="6FF6B2F3">
            <w:pPr>
              <w:adjustRightInd w:val="0"/>
              <w:snapToGrid w:val="0"/>
              <w:spacing w:line="320" w:lineRule="exact"/>
              <w:jc w:val="center"/>
              <w:rPr>
                <w:rFonts w:ascii="Times New Roman"/>
                <w:sz w:val="21"/>
                <w:szCs w:val="21"/>
              </w:rPr>
            </w:pPr>
            <w:r>
              <w:rPr>
                <w:rFonts w:ascii="Times New Roman"/>
                <w:sz w:val="21"/>
                <w:szCs w:val="21"/>
              </w:rPr>
              <w:t>7.5</w:t>
            </w:r>
          </w:p>
        </w:tc>
        <w:tc>
          <w:tcPr>
            <w:tcW w:w="726" w:type="pct"/>
            <w:shd w:val="clear" w:color="auto" w:fill="auto"/>
            <w:vAlign w:val="center"/>
          </w:tcPr>
          <w:p w14:paraId="0444AC64">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7154936C">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vAlign w:val="center"/>
          </w:tcPr>
          <w:p w14:paraId="1313CC24">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3FA432FF">
            <w:pPr>
              <w:topLinePunct/>
              <w:adjustRightInd w:val="0"/>
              <w:snapToGrid w:val="0"/>
              <w:spacing w:line="320" w:lineRule="exact"/>
              <w:jc w:val="center"/>
              <w:rPr>
                <w:rFonts w:ascii="Times New Roman"/>
                <w:sz w:val="21"/>
                <w:szCs w:val="21"/>
              </w:rPr>
            </w:pPr>
            <w:r>
              <w:rPr>
                <w:rFonts w:ascii="Times New Roman"/>
                <w:sz w:val="21"/>
                <w:szCs w:val="21"/>
              </w:rPr>
              <w:t>0.5a</w:t>
            </w:r>
          </w:p>
        </w:tc>
        <w:tc>
          <w:tcPr>
            <w:tcW w:w="277" w:type="pct"/>
            <w:vAlign w:val="center"/>
          </w:tcPr>
          <w:p w14:paraId="27B8594D">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067C336C">
            <w:pPr>
              <w:adjustRightInd w:val="0"/>
              <w:snapToGrid w:val="0"/>
              <w:spacing w:line="320" w:lineRule="exact"/>
              <w:jc w:val="center"/>
              <w:rPr>
                <w:rFonts w:ascii="Times New Roman"/>
                <w:sz w:val="21"/>
                <w:szCs w:val="21"/>
              </w:rPr>
            </w:pPr>
          </w:p>
        </w:tc>
      </w:tr>
      <w:tr w14:paraId="6E8A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5C373084">
            <w:pPr>
              <w:adjustRightInd w:val="0"/>
              <w:snapToGrid w:val="0"/>
              <w:spacing w:line="320" w:lineRule="exact"/>
              <w:jc w:val="center"/>
              <w:rPr>
                <w:rFonts w:ascii="Times New Roman"/>
                <w:sz w:val="21"/>
                <w:szCs w:val="21"/>
              </w:rPr>
            </w:pPr>
            <w:r>
              <w:rPr>
                <w:rFonts w:ascii="Times New Roman"/>
                <w:sz w:val="21"/>
                <w:szCs w:val="21"/>
              </w:rPr>
              <w:t>废切削液桶</w:t>
            </w:r>
          </w:p>
        </w:tc>
        <w:tc>
          <w:tcPr>
            <w:tcW w:w="467" w:type="pct"/>
            <w:shd w:val="clear" w:color="auto" w:fill="auto"/>
            <w:vAlign w:val="center"/>
          </w:tcPr>
          <w:p w14:paraId="78CD8F31">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shd w:val="clear" w:color="auto" w:fill="auto"/>
            <w:vAlign w:val="center"/>
          </w:tcPr>
          <w:p w14:paraId="31BB27E7">
            <w:pPr>
              <w:topLinePunct/>
              <w:adjustRightInd w:val="0"/>
              <w:snapToGrid w:val="0"/>
              <w:spacing w:line="320" w:lineRule="exact"/>
              <w:jc w:val="center"/>
              <w:rPr>
                <w:rFonts w:ascii="Times New Roman"/>
                <w:sz w:val="21"/>
                <w:szCs w:val="21"/>
              </w:rPr>
            </w:pPr>
            <w:r>
              <w:rPr>
                <w:rFonts w:ascii="Times New Roman"/>
                <w:sz w:val="21"/>
                <w:szCs w:val="21"/>
              </w:rPr>
              <w:t>900-249-08</w:t>
            </w:r>
          </w:p>
        </w:tc>
        <w:tc>
          <w:tcPr>
            <w:tcW w:w="440" w:type="pct"/>
            <w:shd w:val="clear" w:color="auto" w:fill="auto"/>
            <w:vAlign w:val="center"/>
          </w:tcPr>
          <w:p w14:paraId="42B8916B">
            <w:pPr>
              <w:adjustRightInd w:val="0"/>
              <w:snapToGrid w:val="0"/>
              <w:spacing w:line="320" w:lineRule="exact"/>
              <w:jc w:val="center"/>
              <w:rPr>
                <w:rFonts w:ascii="Times New Roman"/>
                <w:sz w:val="21"/>
                <w:szCs w:val="21"/>
              </w:rPr>
            </w:pPr>
            <w:r>
              <w:rPr>
                <w:rFonts w:hint="eastAsia" w:ascii="Times New Roman"/>
                <w:sz w:val="21"/>
                <w:szCs w:val="21"/>
              </w:rPr>
              <w:t>0.8</w:t>
            </w:r>
          </w:p>
        </w:tc>
        <w:tc>
          <w:tcPr>
            <w:tcW w:w="726" w:type="pct"/>
            <w:shd w:val="clear" w:color="auto" w:fill="auto"/>
            <w:vAlign w:val="center"/>
          </w:tcPr>
          <w:p w14:paraId="4E427813">
            <w:pPr>
              <w:adjustRightInd w:val="0"/>
              <w:snapToGrid w:val="0"/>
              <w:spacing w:line="320" w:lineRule="exact"/>
              <w:jc w:val="center"/>
              <w:rPr>
                <w:rFonts w:ascii="Times New Roman"/>
                <w:sz w:val="21"/>
                <w:szCs w:val="21"/>
              </w:rPr>
            </w:pPr>
            <w:r>
              <w:rPr>
                <w:rFonts w:ascii="Times New Roman"/>
                <w:sz w:val="21"/>
                <w:szCs w:val="21"/>
              </w:rPr>
              <w:t>原料包装</w:t>
            </w:r>
          </w:p>
        </w:tc>
        <w:tc>
          <w:tcPr>
            <w:tcW w:w="316" w:type="pct"/>
            <w:shd w:val="clear" w:color="auto" w:fill="auto"/>
            <w:vAlign w:val="center"/>
          </w:tcPr>
          <w:p w14:paraId="1C3D05CA">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shd w:val="clear" w:color="auto" w:fill="auto"/>
            <w:vAlign w:val="center"/>
          </w:tcPr>
          <w:p w14:paraId="66C7A433">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shd w:val="clear" w:color="auto" w:fill="auto"/>
            <w:vAlign w:val="center"/>
          </w:tcPr>
          <w:p w14:paraId="6E23C69F">
            <w:pPr>
              <w:topLinePunct/>
              <w:adjustRightInd w:val="0"/>
              <w:snapToGrid w:val="0"/>
              <w:spacing w:line="320" w:lineRule="exact"/>
              <w:jc w:val="center"/>
              <w:rPr>
                <w:rFonts w:ascii="Times New Roman"/>
                <w:sz w:val="21"/>
                <w:szCs w:val="21"/>
              </w:rPr>
            </w:pPr>
            <w:r>
              <w:rPr>
                <w:rFonts w:ascii="Times New Roman"/>
                <w:sz w:val="21"/>
                <w:szCs w:val="21"/>
              </w:rPr>
              <w:t>0.5a</w:t>
            </w:r>
          </w:p>
        </w:tc>
        <w:tc>
          <w:tcPr>
            <w:tcW w:w="277" w:type="pct"/>
            <w:shd w:val="clear" w:color="auto" w:fill="auto"/>
            <w:vAlign w:val="center"/>
          </w:tcPr>
          <w:p w14:paraId="7633D84F">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6B682296">
            <w:pPr>
              <w:adjustRightInd w:val="0"/>
              <w:snapToGrid w:val="0"/>
              <w:spacing w:line="320" w:lineRule="exact"/>
              <w:jc w:val="center"/>
              <w:rPr>
                <w:rFonts w:ascii="Times New Roman"/>
                <w:sz w:val="21"/>
                <w:szCs w:val="21"/>
              </w:rPr>
            </w:pPr>
          </w:p>
        </w:tc>
      </w:tr>
      <w:tr w14:paraId="5265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3B0C71F6">
            <w:pPr>
              <w:adjustRightInd w:val="0"/>
              <w:snapToGrid w:val="0"/>
              <w:spacing w:line="320" w:lineRule="exact"/>
              <w:jc w:val="center"/>
              <w:rPr>
                <w:rFonts w:ascii="Times New Roman"/>
                <w:sz w:val="21"/>
                <w:szCs w:val="21"/>
              </w:rPr>
            </w:pPr>
            <w:r>
              <w:rPr>
                <w:rFonts w:ascii="Times New Roman"/>
                <w:sz w:val="21"/>
                <w:szCs w:val="21"/>
              </w:rPr>
              <w:t>含油金属屑</w:t>
            </w:r>
          </w:p>
        </w:tc>
        <w:tc>
          <w:tcPr>
            <w:tcW w:w="467" w:type="pct"/>
            <w:vAlign w:val="center"/>
          </w:tcPr>
          <w:p w14:paraId="52C3B8DD">
            <w:pPr>
              <w:adjustRightInd w:val="0"/>
              <w:snapToGrid w:val="0"/>
              <w:spacing w:line="320" w:lineRule="exact"/>
              <w:jc w:val="center"/>
              <w:rPr>
                <w:rFonts w:ascii="Times New Roman"/>
                <w:sz w:val="21"/>
                <w:szCs w:val="21"/>
              </w:rPr>
            </w:pPr>
            <w:r>
              <w:rPr>
                <w:rFonts w:ascii="Times New Roman"/>
                <w:sz w:val="21"/>
                <w:szCs w:val="21"/>
              </w:rPr>
              <w:t>HW09</w:t>
            </w:r>
          </w:p>
        </w:tc>
        <w:tc>
          <w:tcPr>
            <w:tcW w:w="703" w:type="pct"/>
            <w:vAlign w:val="center"/>
          </w:tcPr>
          <w:p w14:paraId="3CDF60C9">
            <w:pPr>
              <w:adjustRightInd w:val="0"/>
              <w:snapToGrid w:val="0"/>
              <w:spacing w:line="320" w:lineRule="exact"/>
              <w:jc w:val="center"/>
              <w:rPr>
                <w:rFonts w:ascii="Times New Roman"/>
                <w:sz w:val="21"/>
                <w:szCs w:val="21"/>
              </w:rPr>
            </w:pPr>
            <w:r>
              <w:rPr>
                <w:rFonts w:ascii="Times New Roman"/>
                <w:sz w:val="21"/>
                <w:szCs w:val="21"/>
              </w:rPr>
              <w:t>900-006-09</w:t>
            </w:r>
          </w:p>
        </w:tc>
        <w:tc>
          <w:tcPr>
            <w:tcW w:w="440" w:type="pct"/>
            <w:shd w:val="clear" w:color="auto" w:fill="auto"/>
            <w:vAlign w:val="center"/>
          </w:tcPr>
          <w:p w14:paraId="15C5DA41">
            <w:pPr>
              <w:adjustRightInd w:val="0"/>
              <w:snapToGrid w:val="0"/>
              <w:spacing w:line="320" w:lineRule="exact"/>
              <w:jc w:val="center"/>
              <w:rPr>
                <w:rFonts w:ascii="Times New Roman"/>
                <w:sz w:val="21"/>
                <w:szCs w:val="21"/>
              </w:rPr>
            </w:pPr>
            <w:r>
              <w:rPr>
                <w:rFonts w:ascii="Times New Roman"/>
                <w:sz w:val="21"/>
                <w:szCs w:val="21"/>
              </w:rPr>
              <w:t>2</w:t>
            </w:r>
          </w:p>
        </w:tc>
        <w:tc>
          <w:tcPr>
            <w:tcW w:w="726" w:type="pct"/>
            <w:shd w:val="clear" w:color="auto" w:fill="auto"/>
            <w:vAlign w:val="center"/>
          </w:tcPr>
          <w:p w14:paraId="76E9AD3C">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78552E46">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23A6550D">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6C3792EF">
            <w:pPr>
              <w:topLinePunct/>
              <w:adjustRightInd w:val="0"/>
              <w:snapToGrid w:val="0"/>
              <w:spacing w:line="320" w:lineRule="exact"/>
              <w:jc w:val="center"/>
              <w:rPr>
                <w:rFonts w:ascii="Times New Roman"/>
                <w:sz w:val="21"/>
                <w:szCs w:val="21"/>
              </w:rPr>
            </w:pPr>
            <w:r>
              <w:rPr>
                <w:rFonts w:hint="eastAsia" w:ascii="Times New Roman"/>
                <w:sz w:val="21"/>
                <w:szCs w:val="21"/>
              </w:rPr>
              <w:t>d</w:t>
            </w:r>
          </w:p>
        </w:tc>
        <w:tc>
          <w:tcPr>
            <w:tcW w:w="277" w:type="pct"/>
            <w:vAlign w:val="center"/>
          </w:tcPr>
          <w:p w14:paraId="0BAA6E26">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2C995D35">
            <w:pPr>
              <w:adjustRightInd w:val="0"/>
              <w:snapToGrid w:val="0"/>
              <w:spacing w:line="320" w:lineRule="exact"/>
              <w:jc w:val="center"/>
              <w:rPr>
                <w:rFonts w:ascii="Times New Roman"/>
                <w:sz w:val="21"/>
                <w:szCs w:val="21"/>
              </w:rPr>
            </w:pPr>
          </w:p>
        </w:tc>
      </w:tr>
      <w:tr w14:paraId="4A3A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5012BBF5">
            <w:pPr>
              <w:adjustRightInd w:val="0"/>
              <w:snapToGrid w:val="0"/>
              <w:spacing w:line="320" w:lineRule="exact"/>
              <w:jc w:val="center"/>
              <w:rPr>
                <w:rFonts w:ascii="Times New Roman"/>
                <w:sz w:val="21"/>
                <w:szCs w:val="21"/>
              </w:rPr>
            </w:pPr>
            <w:r>
              <w:rPr>
                <w:rFonts w:hint="eastAsia" w:ascii="Times New Roman"/>
                <w:sz w:val="21"/>
                <w:szCs w:val="21"/>
              </w:rPr>
              <w:t>污泥</w:t>
            </w:r>
          </w:p>
        </w:tc>
        <w:tc>
          <w:tcPr>
            <w:tcW w:w="467" w:type="pct"/>
            <w:shd w:val="clear" w:color="auto" w:fill="auto"/>
            <w:vAlign w:val="center"/>
          </w:tcPr>
          <w:p w14:paraId="110C14D8">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703" w:type="pct"/>
            <w:shd w:val="clear" w:color="auto" w:fill="auto"/>
            <w:vAlign w:val="center"/>
          </w:tcPr>
          <w:p w14:paraId="45F45173">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440" w:type="pct"/>
            <w:shd w:val="clear" w:color="auto" w:fill="auto"/>
            <w:vAlign w:val="center"/>
          </w:tcPr>
          <w:p w14:paraId="50FBE1A2">
            <w:pPr>
              <w:adjustRightInd w:val="0"/>
              <w:snapToGrid w:val="0"/>
              <w:spacing w:line="320" w:lineRule="exact"/>
              <w:jc w:val="center"/>
              <w:rPr>
                <w:rFonts w:ascii="Times New Roman"/>
                <w:sz w:val="21"/>
                <w:szCs w:val="21"/>
              </w:rPr>
            </w:pPr>
            <w:r>
              <w:rPr>
                <w:rFonts w:hint="eastAsia" w:ascii="Times New Roman"/>
                <w:sz w:val="21"/>
                <w:szCs w:val="21"/>
              </w:rPr>
              <w:t>25.931</w:t>
            </w:r>
          </w:p>
        </w:tc>
        <w:tc>
          <w:tcPr>
            <w:tcW w:w="726" w:type="pct"/>
            <w:vAlign w:val="center"/>
          </w:tcPr>
          <w:p w14:paraId="1F5DCF98">
            <w:pPr>
              <w:adjustRightInd w:val="0"/>
              <w:snapToGrid w:val="0"/>
              <w:spacing w:line="320" w:lineRule="exact"/>
              <w:jc w:val="center"/>
              <w:rPr>
                <w:rFonts w:ascii="Times New Roman"/>
                <w:sz w:val="21"/>
                <w:szCs w:val="21"/>
              </w:rPr>
            </w:pPr>
            <w:r>
              <w:rPr>
                <w:rFonts w:hint="eastAsia" w:ascii="Times New Roman"/>
                <w:sz w:val="21"/>
                <w:szCs w:val="21"/>
              </w:rPr>
              <w:t>污水处理</w:t>
            </w:r>
          </w:p>
        </w:tc>
        <w:tc>
          <w:tcPr>
            <w:tcW w:w="316" w:type="pct"/>
            <w:vAlign w:val="center"/>
          </w:tcPr>
          <w:p w14:paraId="6565F700">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443FDA4D">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16851179">
            <w:pPr>
              <w:topLinePunct/>
              <w:adjustRightInd w:val="0"/>
              <w:snapToGrid w:val="0"/>
              <w:spacing w:line="320" w:lineRule="exact"/>
              <w:jc w:val="center"/>
              <w:rPr>
                <w:rFonts w:ascii="Times New Roman"/>
                <w:sz w:val="21"/>
                <w:szCs w:val="21"/>
              </w:rPr>
            </w:pPr>
            <w:r>
              <w:rPr>
                <w:rFonts w:ascii="Times New Roman"/>
                <w:sz w:val="21"/>
                <w:szCs w:val="21"/>
              </w:rPr>
              <w:t>0.5a</w:t>
            </w:r>
          </w:p>
        </w:tc>
        <w:tc>
          <w:tcPr>
            <w:tcW w:w="277" w:type="pct"/>
            <w:vAlign w:val="center"/>
          </w:tcPr>
          <w:p w14:paraId="1F72EAB2">
            <w:pPr>
              <w:topLinePunct/>
              <w:adjustRightInd w:val="0"/>
              <w:snapToGrid w:val="0"/>
              <w:spacing w:line="320" w:lineRule="exact"/>
              <w:jc w:val="center"/>
              <w:rPr>
                <w:rFonts w:ascii="Times New Roman"/>
                <w:sz w:val="21"/>
                <w:szCs w:val="21"/>
              </w:rPr>
            </w:pPr>
            <w:r>
              <w:rPr>
                <w:rFonts w:ascii="Times New Roman"/>
                <w:sz w:val="21"/>
                <w:szCs w:val="21"/>
              </w:rPr>
              <w:t>T/In</w:t>
            </w:r>
          </w:p>
        </w:tc>
        <w:tc>
          <w:tcPr>
            <w:tcW w:w="453" w:type="pct"/>
            <w:vMerge w:val="continue"/>
            <w:vAlign w:val="center"/>
          </w:tcPr>
          <w:p w14:paraId="2143CF8D">
            <w:pPr>
              <w:adjustRightInd w:val="0"/>
              <w:snapToGrid w:val="0"/>
              <w:spacing w:line="320" w:lineRule="exact"/>
              <w:jc w:val="center"/>
              <w:rPr>
                <w:rFonts w:ascii="Times New Roman"/>
                <w:sz w:val="21"/>
                <w:szCs w:val="21"/>
              </w:rPr>
            </w:pPr>
          </w:p>
        </w:tc>
      </w:tr>
      <w:tr w14:paraId="4536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593E4B9B">
            <w:pPr>
              <w:adjustRightInd w:val="0"/>
              <w:snapToGrid w:val="0"/>
              <w:spacing w:line="320" w:lineRule="exact"/>
              <w:jc w:val="center"/>
              <w:rPr>
                <w:rFonts w:ascii="Times New Roman"/>
                <w:sz w:val="21"/>
                <w:szCs w:val="21"/>
              </w:rPr>
            </w:pPr>
            <w:r>
              <w:rPr>
                <w:rFonts w:ascii="Times New Roman"/>
                <w:sz w:val="21"/>
                <w:szCs w:val="21"/>
              </w:rPr>
              <w:t>废过滤棉</w:t>
            </w:r>
          </w:p>
        </w:tc>
        <w:tc>
          <w:tcPr>
            <w:tcW w:w="467" w:type="pct"/>
            <w:vAlign w:val="center"/>
          </w:tcPr>
          <w:p w14:paraId="1576207E">
            <w:pPr>
              <w:adjustRightInd w:val="0"/>
              <w:snapToGrid w:val="0"/>
              <w:spacing w:line="320" w:lineRule="exact"/>
              <w:jc w:val="center"/>
              <w:rPr>
                <w:rFonts w:ascii="Times New Roman"/>
                <w:sz w:val="21"/>
                <w:szCs w:val="21"/>
              </w:rPr>
            </w:pPr>
            <w:r>
              <w:rPr>
                <w:rFonts w:ascii="Times New Roman"/>
                <w:sz w:val="21"/>
                <w:szCs w:val="21"/>
              </w:rPr>
              <w:t>HW49</w:t>
            </w:r>
          </w:p>
        </w:tc>
        <w:tc>
          <w:tcPr>
            <w:tcW w:w="703" w:type="pct"/>
            <w:vAlign w:val="center"/>
          </w:tcPr>
          <w:p w14:paraId="7C61DC16">
            <w:pPr>
              <w:topLinePunct/>
              <w:adjustRightInd w:val="0"/>
              <w:snapToGrid w:val="0"/>
              <w:spacing w:line="320" w:lineRule="exact"/>
              <w:jc w:val="center"/>
              <w:rPr>
                <w:rFonts w:ascii="Times New Roman"/>
                <w:sz w:val="21"/>
                <w:szCs w:val="21"/>
              </w:rPr>
            </w:pPr>
            <w:r>
              <w:rPr>
                <w:rFonts w:ascii="Times New Roman"/>
                <w:sz w:val="21"/>
                <w:szCs w:val="21"/>
              </w:rPr>
              <w:t>900-041-49</w:t>
            </w:r>
          </w:p>
        </w:tc>
        <w:tc>
          <w:tcPr>
            <w:tcW w:w="440" w:type="pct"/>
            <w:shd w:val="clear" w:color="auto" w:fill="auto"/>
            <w:vAlign w:val="center"/>
          </w:tcPr>
          <w:p w14:paraId="6DDBDFAB">
            <w:pPr>
              <w:adjustRightInd w:val="0"/>
              <w:snapToGrid w:val="0"/>
              <w:spacing w:line="320" w:lineRule="exact"/>
              <w:jc w:val="center"/>
              <w:rPr>
                <w:rFonts w:ascii="Times New Roman"/>
                <w:sz w:val="21"/>
                <w:szCs w:val="21"/>
              </w:rPr>
            </w:pPr>
            <w:r>
              <w:rPr>
                <w:rFonts w:ascii="Times New Roman"/>
                <w:sz w:val="21"/>
                <w:szCs w:val="21"/>
              </w:rPr>
              <w:t>3</w:t>
            </w:r>
          </w:p>
        </w:tc>
        <w:tc>
          <w:tcPr>
            <w:tcW w:w="726" w:type="pct"/>
            <w:vMerge w:val="restart"/>
            <w:vAlign w:val="center"/>
          </w:tcPr>
          <w:p w14:paraId="6F77EAB2">
            <w:pPr>
              <w:adjustRightInd w:val="0"/>
              <w:snapToGrid w:val="0"/>
              <w:spacing w:line="320" w:lineRule="exact"/>
              <w:jc w:val="center"/>
              <w:rPr>
                <w:rFonts w:ascii="Times New Roman"/>
                <w:sz w:val="21"/>
                <w:szCs w:val="21"/>
              </w:rPr>
            </w:pPr>
            <w:r>
              <w:rPr>
                <w:rFonts w:hint="eastAsia" w:ascii="Times New Roman"/>
                <w:sz w:val="21"/>
                <w:szCs w:val="21"/>
              </w:rPr>
              <w:t>废气治理</w:t>
            </w:r>
          </w:p>
        </w:tc>
        <w:tc>
          <w:tcPr>
            <w:tcW w:w="316" w:type="pct"/>
            <w:vAlign w:val="center"/>
          </w:tcPr>
          <w:p w14:paraId="35B4607B">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5341F9D6">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117F5D01">
            <w:pPr>
              <w:topLinePunct/>
              <w:adjustRightInd w:val="0"/>
              <w:snapToGrid w:val="0"/>
              <w:spacing w:line="320" w:lineRule="exact"/>
              <w:jc w:val="center"/>
              <w:rPr>
                <w:rFonts w:ascii="Times New Roman"/>
                <w:sz w:val="21"/>
                <w:szCs w:val="21"/>
              </w:rPr>
            </w:pPr>
            <w:r>
              <w:rPr>
                <w:rFonts w:hint="eastAsia" w:ascii="Times New Roman"/>
                <w:sz w:val="21"/>
                <w:szCs w:val="21"/>
              </w:rPr>
              <w:t>m</w:t>
            </w:r>
          </w:p>
        </w:tc>
        <w:tc>
          <w:tcPr>
            <w:tcW w:w="277" w:type="pct"/>
            <w:vAlign w:val="center"/>
          </w:tcPr>
          <w:p w14:paraId="77D8677C">
            <w:pPr>
              <w:topLinePunct/>
              <w:adjustRightInd w:val="0"/>
              <w:snapToGrid w:val="0"/>
              <w:spacing w:line="320" w:lineRule="exact"/>
              <w:jc w:val="center"/>
              <w:rPr>
                <w:rFonts w:ascii="Times New Roman"/>
                <w:sz w:val="21"/>
                <w:szCs w:val="21"/>
              </w:rPr>
            </w:pPr>
            <w:r>
              <w:rPr>
                <w:rFonts w:ascii="Times New Roman"/>
                <w:sz w:val="21"/>
                <w:szCs w:val="21"/>
              </w:rPr>
              <w:t>T/In</w:t>
            </w:r>
          </w:p>
        </w:tc>
        <w:tc>
          <w:tcPr>
            <w:tcW w:w="453" w:type="pct"/>
            <w:vMerge w:val="continue"/>
            <w:vAlign w:val="center"/>
          </w:tcPr>
          <w:p w14:paraId="56B3995F">
            <w:pPr>
              <w:adjustRightInd w:val="0"/>
              <w:snapToGrid w:val="0"/>
              <w:spacing w:line="320" w:lineRule="exact"/>
              <w:jc w:val="center"/>
              <w:rPr>
                <w:rFonts w:ascii="Times New Roman"/>
                <w:sz w:val="21"/>
                <w:szCs w:val="21"/>
              </w:rPr>
            </w:pPr>
          </w:p>
        </w:tc>
      </w:tr>
      <w:tr w14:paraId="05AC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58C581B1">
            <w:pPr>
              <w:adjustRightInd w:val="0"/>
              <w:snapToGrid w:val="0"/>
              <w:spacing w:line="320" w:lineRule="exact"/>
              <w:jc w:val="center"/>
              <w:rPr>
                <w:rFonts w:ascii="Times New Roman"/>
                <w:sz w:val="21"/>
                <w:szCs w:val="21"/>
              </w:rPr>
            </w:pPr>
            <w:r>
              <w:rPr>
                <w:rFonts w:ascii="Times New Roman"/>
                <w:sz w:val="21"/>
                <w:szCs w:val="21"/>
              </w:rPr>
              <w:t>废沸石分子筛</w:t>
            </w:r>
          </w:p>
        </w:tc>
        <w:tc>
          <w:tcPr>
            <w:tcW w:w="467" w:type="pct"/>
            <w:shd w:val="clear" w:color="auto" w:fill="auto"/>
            <w:vAlign w:val="center"/>
          </w:tcPr>
          <w:p w14:paraId="13115E27">
            <w:pPr>
              <w:adjustRightInd w:val="0"/>
              <w:snapToGrid w:val="0"/>
              <w:spacing w:line="320" w:lineRule="exact"/>
              <w:jc w:val="center"/>
              <w:rPr>
                <w:rFonts w:ascii="Times New Roman"/>
                <w:sz w:val="21"/>
                <w:szCs w:val="21"/>
              </w:rPr>
            </w:pPr>
            <w:r>
              <w:rPr>
                <w:rFonts w:ascii="Times New Roman"/>
                <w:sz w:val="21"/>
                <w:szCs w:val="21"/>
              </w:rPr>
              <w:t>HW49</w:t>
            </w:r>
          </w:p>
        </w:tc>
        <w:tc>
          <w:tcPr>
            <w:tcW w:w="703" w:type="pct"/>
            <w:shd w:val="clear" w:color="auto" w:fill="auto"/>
            <w:vAlign w:val="center"/>
          </w:tcPr>
          <w:p w14:paraId="719C1ED8">
            <w:pPr>
              <w:topLinePunct/>
              <w:adjustRightInd w:val="0"/>
              <w:snapToGrid w:val="0"/>
              <w:spacing w:line="320" w:lineRule="exact"/>
              <w:jc w:val="center"/>
              <w:rPr>
                <w:rFonts w:ascii="Times New Roman"/>
                <w:sz w:val="21"/>
                <w:szCs w:val="21"/>
              </w:rPr>
            </w:pPr>
            <w:r>
              <w:rPr>
                <w:rFonts w:ascii="Times New Roman"/>
                <w:sz w:val="21"/>
                <w:szCs w:val="21"/>
              </w:rPr>
              <w:t>900-041-49</w:t>
            </w:r>
          </w:p>
        </w:tc>
        <w:tc>
          <w:tcPr>
            <w:tcW w:w="440" w:type="pct"/>
            <w:shd w:val="clear" w:color="auto" w:fill="auto"/>
            <w:vAlign w:val="center"/>
          </w:tcPr>
          <w:p w14:paraId="365609E5">
            <w:pPr>
              <w:adjustRightInd w:val="0"/>
              <w:snapToGrid w:val="0"/>
              <w:spacing w:line="320" w:lineRule="exact"/>
              <w:jc w:val="center"/>
              <w:rPr>
                <w:rFonts w:ascii="Times New Roman"/>
                <w:sz w:val="21"/>
                <w:szCs w:val="21"/>
              </w:rPr>
            </w:pPr>
            <w:r>
              <w:rPr>
                <w:rFonts w:hint="eastAsia" w:ascii="Times New Roman"/>
                <w:sz w:val="21"/>
                <w:szCs w:val="21"/>
              </w:rPr>
              <w:t>17.168</w:t>
            </w:r>
          </w:p>
        </w:tc>
        <w:tc>
          <w:tcPr>
            <w:tcW w:w="726" w:type="pct"/>
            <w:vMerge w:val="continue"/>
            <w:vAlign w:val="center"/>
          </w:tcPr>
          <w:p w14:paraId="1A207CC0">
            <w:pPr>
              <w:adjustRightInd w:val="0"/>
              <w:snapToGrid w:val="0"/>
              <w:spacing w:line="320" w:lineRule="exact"/>
              <w:jc w:val="center"/>
              <w:rPr>
                <w:rFonts w:ascii="Times New Roman"/>
                <w:sz w:val="21"/>
                <w:szCs w:val="21"/>
              </w:rPr>
            </w:pPr>
          </w:p>
        </w:tc>
        <w:tc>
          <w:tcPr>
            <w:tcW w:w="316" w:type="pct"/>
            <w:shd w:val="clear" w:color="auto" w:fill="auto"/>
            <w:vAlign w:val="center"/>
          </w:tcPr>
          <w:p w14:paraId="6EB28B16">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shd w:val="clear" w:color="auto" w:fill="auto"/>
            <w:vAlign w:val="center"/>
          </w:tcPr>
          <w:p w14:paraId="71725C7D">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39D10C7A">
            <w:pPr>
              <w:topLinePunct/>
              <w:adjustRightInd w:val="0"/>
              <w:snapToGrid w:val="0"/>
              <w:spacing w:line="320" w:lineRule="exact"/>
              <w:jc w:val="center"/>
              <w:rPr>
                <w:rFonts w:ascii="Times New Roman"/>
                <w:sz w:val="21"/>
                <w:szCs w:val="21"/>
              </w:rPr>
            </w:pPr>
            <w:r>
              <w:rPr>
                <w:rFonts w:hint="eastAsia" w:ascii="Times New Roman"/>
                <w:sz w:val="21"/>
                <w:szCs w:val="21"/>
              </w:rPr>
              <w:t>3a</w:t>
            </w:r>
          </w:p>
        </w:tc>
        <w:tc>
          <w:tcPr>
            <w:tcW w:w="277" w:type="pct"/>
            <w:vAlign w:val="center"/>
          </w:tcPr>
          <w:p w14:paraId="1265F1AD">
            <w:pPr>
              <w:topLinePunct/>
              <w:adjustRightInd w:val="0"/>
              <w:snapToGrid w:val="0"/>
              <w:spacing w:line="320" w:lineRule="exact"/>
              <w:jc w:val="center"/>
              <w:rPr>
                <w:rFonts w:ascii="Times New Roman"/>
                <w:sz w:val="21"/>
                <w:szCs w:val="21"/>
              </w:rPr>
            </w:pPr>
            <w:r>
              <w:rPr>
                <w:rFonts w:ascii="Times New Roman"/>
                <w:sz w:val="21"/>
                <w:szCs w:val="21"/>
              </w:rPr>
              <w:t>T/In</w:t>
            </w:r>
          </w:p>
        </w:tc>
        <w:tc>
          <w:tcPr>
            <w:tcW w:w="453" w:type="pct"/>
            <w:vMerge w:val="continue"/>
            <w:vAlign w:val="center"/>
          </w:tcPr>
          <w:p w14:paraId="49542424">
            <w:pPr>
              <w:adjustRightInd w:val="0"/>
              <w:snapToGrid w:val="0"/>
              <w:spacing w:line="320" w:lineRule="exact"/>
              <w:jc w:val="center"/>
              <w:rPr>
                <w:rFonts w:ascii="Times New Roman"/>
                <w:sz w:val="21"/>
                <w:szCs w:val="21"/>
              </w:rPr>
            </w:pPr>
          </w:p>
        </w:tc>
      </w:tr>
      <w:tr w14:paraId="21C2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2D612E23">
            <w:pPr>
              <w:adjustRightInd w:val="0"/>
              <w:snapToGrid w:val="0"/>
              <w:spacing w:line="320" w:lineRule="exact"/>
              <w:jc w:val="center"/>
              <w:rPr>
                <w:rFonts w:ascii="Times New Roman"/>
                <w:sz w:val="21"/>
                <w:szCs w:val="21"/>
              </w:rPr>
            </w:pPr>
            <w:r>
              <w:rPr>
                <w:rFonts w:ascii="Times New Roman"/>
                <w:sz w:val="21"/>
                <w:szCs w:val="21"/>
              </w:rPr>
              <w:t>废活性炭</w:t>
            </w:r>
          </w:p>
        </w:tc>
        <w:tc>
          <w:tcPr>
            <w:tcW w:w="467" w:type="pct"/>
            <w:vAlign w:val="center"/>
          </w:tcPr>
          <w:p w14:paraId="63844875">
            <w:pPr>
              <w:adjustRightInd w:val="0"/>
              <w:snapToGrid w:val="0"/>
              <w:spacing w:line="320" w:lineRule="exact"/>
              <w:jc w:val="center"/>
              <w:rPr>
                <w:rFonts w:ascii="Times New Roman"/>
                <w:sz w:val="21"/>
                <w:szCs w:val="21"/>
              </w:rPr>
            </w:pPr>
            <w:r>
              <w:rPr>
                <w:rFonts w:ascii="Times New Roman"/>
                <w:sz w:val="21"/>
                <w:szCs w:val="21"/>
              </w:rPr>
              <w:t>HW49</w:t>
            </w:r>
          </w:p>
        </w:tc>
        <w:tc>
          <w:tcPr>
            <w:tcW w:w="703" w:type="pct"/>
            <w:vAlign w:val="center"/>
          </w:tcPr>
          <w:p w14:paraId="49A1A3F2">
            <w:pPr>
              <w:topLinePunct/>
              <w:adjustRightInd w:val="0"/>
              <w:snapToGrid w:val="0"/>
              <w:spacing w:line="320" w:lineRule="exact"/>
              <w:jc w:val="center"/>
              <w:rPr>
                <w:rFonts w:ascii="Times New Roman"/>
                <w:sz w:val="21"/>
                <w:szCs w:val="21"/>
              </w:rPr>
            </w:pPr>
            <w:r>
              <w:rPr>
                <w:rFonts w:ascii="Times New Roman"/>
                <w:sz w:val="21"/>
                <w:szCs w:val="21"/>
              </w:rPr>
              <w:t>900-039-49</w:t>
            </w:r>
          </w:p>
        </w:tc>
        <w:tc>
          <w:tcPr>
            <w:tcW w:w="440" w:type="pct"/>
            <w:shd w:val="clear" w:color="auto" w:fill="auto"/>
            <w:vAlign w:val="center"/>
          </w:tcPr>
          <w:p w14:paraId="7182B23B">
            <w:pPr>
              <w:adjustRightInd w:val="0"/>
              <w:snapToGrid w:val="0"/>
              <w:spacing w:line="320" w:lineRule="exact"/>
              <w:jc w:val="center"/>
              <w:rPr>
                <w:rFonts w:ascii="Times New Roman"/>
                <w:sz w:val="21"/>
                <w:szCs w:val="21"/>
              </w:rPr>
            </w:pPr>
            <w:r>
              <w:rPr>
                <w:rFonts w:hint="eastAsia" w:ascii="Times New Roman"/>
                <w:sz w:val="21"/>
                <w:szCs w:val="21"/>
              </w:rPr>
              <w:t>4.695</w:t>
            </w:r>
          </w:p>
        </w:tc>
        <w:tc>
          <w:tcPr>
            <w:tcW w:w="726" w:type="pct"/>
            <w:vMerge w:val="continue"/>
            <w:vAlign w:val="center"/>
          </w:tcPr>
          <w:p w14:paraId="748083FB">
            <w:pPr>
              <w:adjustRightInd w:val="0"/>
              <w:snapToGrid w:val="0"/>
              <w:spacing w:line="320" w:lineRule="exact"/>
              <w:jc w:val="center"/>
              <w:rPr>
                <w:rFonts w:ascii="Times New Roman"/>
                <w:sz w:val="21"/>
                <w:szCs w:val="21"/>
              </w:rPr>
            </w:pPr>
          </w:p>
        </w:tc>
        <w:tc>
          <w:tcPr>
            <w:tcW w:w="316" w:type="pct"/>
            <w:vAlign w:val="center"/>
          </w:tcPr>
          <w:p w14:paraId="39999855">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1934E240">
            <w:pPr>
              <w:topLinePunct/>
              <w:adjustRightInd w:val="0"/>
              <w:snapToGrid w:val="0"/>
              <w:spacing w:line="320" w:lineRule="exact"/>
              <w:jc w:val="center"/>
              <w:rPr>
                <w:rFonts w:ascii="Times New Roman"/>
                <w:sz w:val="21"/>
                <w:szCs w:val="21"/>
              </w:rPr>
            </w:pPr>
            <w:r>
              <w:rPr>
                <w:rFonts w:ascii="Times New Roman"/>
                <w:sz w:val="21"/>
                <w:szCs w:val="21"/>
              </w:rPr>
              <w:t>有机物</w:t>
            </w:r>
          </w:p>
        </w:tc>
        <w:tc>
          <w:tcPr>
            <w:tcW w:w="319" w:type="pct"/>
            <w:vAlign w:val="center"/>
          </w:tcPr>
          <w:p w14:paraId="1C72D781">
            <w:pPr>
              <w:topLinePunct/>
              <w:adjustRightInd w:val="0"/>
              <w:snapToGrid w:val="0"/>
              <w:spacing w:line="320" w:lineRule="exact"/>
              <w:jc w:val="center"/>
              <w:rPr>
                <w:rFonts w:ascii="Times New Roman"/>
                <w:sz w:val="21"/>
                <w:szCs w:val="21"/>
              </w:rPr>
            </w:pPr>
            <w:r>
              <w:rPr>
                <w:rFonts w:hint="eastAsia" w:ascii="Times New Roman"/>
                <w:sz w:val="21"/>
                <w:szCs w:val="21"/>
              </w:rPr>
              <w:t>4月/</w:t>
            </w:r>
            <w:r>
              <w:rPr>
                <w:rFonts w:ascii="Times New Roman"/>
                <w:sz w:val="21"/>
                <w:szCs w:val="21"/>
              </w:rPr>
              <w:t>1a</w:t>
            </w:r>
          </w:p>
        </w:tc>
        <w:tc>
          <w:tcPr>
            <w:tcW w:w="277" w:type="pct"/>
            <w:vAlign w:val="center"/>
          </w:tcPr>
          <w:p w14:paraId="2CFFE653">
            <w:pPr>
              <w:topLinePunct/>
              <w:adjustRightInd w:val="0"/>
              <w:snapToGrid w:val="0"/>
              <w:spacing w:line="320" w:lineRule="exact"/>
              <w:jc w:val="center"/>
              <w:rPr>
                <w:rFonts w:ascii="Times New Roman"/>
                <w:sz w:val="21"/>
                <w:szCs w:val="21"/>
              </w:rPr>
            </w:pPr>
            <w:r>
              <w:rPr>
                <w:rFonts w:ascii="Times New Roman"/>
                <w:sz w:val="21"/>
                <w:szCs w:val="21"/>
              </w:rPr>
              <w:t>T</w:t>
            </w:r>
          </w:p>
        </w:tc>
        <w:tc>
          <w:tcPr>
            <w:tcW w:w="453" w:type="pct"/>
            <w:vMerge w:val="continue"/>
            <w:vAlign w:val="center"/>
          </w:tcPr>
          <w:p w14:paraId="1A6FEC39">
            <w:pPr>
              <w:adjustRightInd w:val="0"/>
              <w:snapToGrid w:val="0"/>
              <w:spacing w:line="320" w:lineRule="exact"/>
              <w:jc w:val="center"/>
              <w:rPr>
                <w:rFonts w:ascii="Times New Roman"/>
                <w:sz w:val="21"/>
                <w:szCs w:val="21"/>
              </w:rPr>
            </w:pPr>
          </w:p>
        </w:tc>
      </w:tr>
    </w:tbl>
    <w:p w14:paraId="74D6DCB5">
      <w:pPr>
        <w:spacing w:line="480" w:lineRule="exact"/>
        <w:jc w:val="center"/>
        <w:rPr>
          <w:rFonts w:ascii="Times New Roman"/>
          <w:b/>
          <w:sz w:val="24"/>
          <w:szCs w:val="24"/>
        </w:rPr>
      </w:pPr>
      <w:r>
        <w:rPr>
          <w:rFonts w:ascii="Times New Roman"/>
          <w:b/>
          <w:sz w:val="24"/>
          <w:szCs w:val="24"/>
        </w:rPr>
        <w:t>表3.7-</w:t>
      </w:r>
      <w:r>
        <w:rPr>
          <w:rFonts w:hint="eastAsia" w:ascii="Times New Roman"/>
          <w:b/>
          <w:sz w:val="24"/>
          <w:szCs w:val="24"/>
        </w:rPr>
        <w:t>17</w:t>
      </w:r>
      <w:r>
        <w:rPr>
          <w:rFonts w:ascii="Times New Roman"/>
          <w:b/>
          <w:sz w:val="24"/>
          <w:szCs w:val="24"/>
        </w:rPr>
        <w:t xml:space="preserve">  建设项目危险废物贮存场所（设施）基本情况表</w:t>
      </w:r>
    </w:p>
    <w:tbl>
      <w:tblPr>
        <w:tblStyle w:val="84"/>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6"/>
        <w:gridCol w:w="647"/>
        <w:gridCol w:w="1725"/>
        <w:gridCol w:w="1247"/>
        <w:gridCol w:w="1247"/>
        <w:gridCol w:w="552"/>
        <w:gridCol w:w="807"/>
        <w:gridCol w:w="493"/>
        <w:gridCol w:w="649"/>
        <w:gridCol w:w="598"/>
      </w:tblGrid>
      <w:tr w14:paraId="3D26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231" w:type="pct"/>
            <w:vAlign w:val="center"/>
          </w:tcPr>
          <w:p w14:paraId="003D8CB5">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序号</w:t>
            </w:r>
          </w:p>
        </w:tc>
        <w:tc>
          <w:tcPr>
            <w:tcW w:w="387" w:type="pct"/>
            <w:vAlign w:val="center"/>
          </w:tcPr>
          <w:p w14:paraId="62B9E396">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贮存场所</w:t>
            </w:r>
          </w:p>
        </w:tc>
        <w:tc>
          <w:tcPr>
            <w:tcW w:w="1032" w:type="pct"/>
            <w:vAlign w:val="center"/>
          </w:tcPr>
          <w:p w14:paraId="192E85B1">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危险废物名称</w:t>
            </w:r>
          </w:p>
        </w:tc>
        <w:tc>
          <w:tcPr>
            <w:tcW w:w="746" w:type="pct"/>
            <w:vAlign w:val="center"/>
          </w:tcPr>
          <w:p w14:paraId="5CBCCDEF">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危险废物类别</w:t>
            </w:r>
          </w:p>
        </w:tc>
        <w:tc>
          <w:tcPr>
            <w:tcW w:w="746" w:type="pct"/>
            <w:vAlign w:val="center"/>
          </w:tcPr>
          <w:p w14:paraId="18B8441E">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危险废物代码</w:t>
            </w:r>
          </w:p>
        </w:tc>
        <w:tc>
          <w:tcPr>
            <w:tcW w:w="330" w:type="pct"/>
            <w:vAlign w:val="center"/>
          </w:tcPr>
          <w:p w14:paraId="6B0E920B">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位置</w:t>
            </w:r>
          </w:p>
        </w:tc>
        <w:tc>
          <w:tcPr>
            <w:tcW w:w="483" w:type="pct"/>
            <w:vAlign w:val="center"/>
          </w:tcPr>
          <w:p w14:paraId="218F6C91">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占地面积</w:t>
            </w:r>
          </w:p>
        </w:tc>
        <w:tc>
          <w:tcPr>
            <w:tcW w:w="295" w:type="pct"/>
            <w:vAlign w:val="center"/>
          </w:tcPr>
          <w:p w14:paraId="6A7BD779">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贮存方式</w:t>
            </w:r>
          </w:p>
        </w:tc>
        <w:tc>
          <w:tcPr>
            <w:tcW w:w="388" w:type="pct"/>
            <w:vAlign w:val="center"/>
          </w:tcPr>
          <w:p w14:paraId="36B6F69A">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贮存能力t/a</w:t>
            </w:r>
          </w:p>
        </w:tc>
        <w:tc>
          <w:tcPr>
            <w:tcW w:w="357" w:type="pct"/>
            <w:vAlign w:val="center"/>
          </w:tcPr>
          <w:p w14:paraId="216C7469">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贮存周期</w:t>
            </w:r>
          </w:p>
        </w:tc>
      </w:tr>
      <w:tr w14:paraId="035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vAlign w:val="center"/>
          </w:tcPr>
          <w:p w14:paraId="073551D0">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1</w:t>
            </w:r>
          </w:p>
        </w:tc>
        <w:tc>
          <w:tcPr>
            <w:tcW w:w="387" w:type="pct"/>
            <w:vMerge w:val="restart"/>
            <w:vAlign w:val="center"/>
          </w:tcPr>
          <w:p w14:paraId="7B745051">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危废间</w:t>
            </w:r>
          </w:p>
        </w:tc>
        <w:tc>
          <w:tcPr>
            <w:tcW w:w="1032" w:type="pct"/>
            <w:shd w:val="clear" w:color="auto" w:fill="auto"/>
            <w:vAlign w:val="center"/>
          </w:tcPr>
          <w:p w14:paraId="26577303">
            <w:pPr>
              <w:adjustRightInd w:val="0"/>
              <w:snapToGrid w:val="0"/>
              <w:spacing w:line="320" w:lineRule="exact"/>
              <w:jc w:val="center"/>
              <w:rPr>
                <w:rFonts w:ascii="Times New Roman"/>
                <w:sz w:val="21"/>
                <w:szCs w:val="21"/>
              </w:rPr>
            </w:pPr>
            <w:r>
              <w:rPr>
                <w:rFonts w:ascii="Times New Roman"/>
                <w:sz w:val="21"/>
                <w:szCs w:val="21"/>
              </w:rPr>
              <w:t>漆渣</w:t>
            </w:r>
          </w:p>
        </w:tc>
        <w:tc>
          <w:tcPr>
            <w:tcW w:w="746" w:type="pct"/>
            <w:shd w:val="clear" w:color="auto" w:fill="auto"/>
            <w:vAlign w:val="center"/>
          </w:tcPr>
          <w:p w14:paraId="22B84A09">
            <w:pPr>
              <w:adjustRightInd w:val="0"/>
              <w:snapToGrid w:val="0"/>
              <w:spacing w:line="320" w:lineRule="exact"/>
              <w:jc w:val="center"/>
              <w:rPr>
                <w:rFonts w:ascii="Times New Roman"/>
                <w:sz w:val="21"/>
                <w:szCs w:val="21"/>
              </w:rPr>
            </w:pPr>
            <w:r>
              <w:rPr>
                <w:rFonts w:ascii="Times New Roman"/>
                <w:sz w:val="21"/>
                <w:szCs w:val="21"/>
              </w:rPr>
              <w:t>HW12</w:t>
            </w:r>
          </w:p>
        </w:tc>
        <w:tc>
          <w:tcPr>
            <w:tcW w:w="746" w:type="pct"/>
            <w:shd w:val="clear" w:color="auto" w:fill="auto"/>
            <w:vAlign w:val="center"/>
          </w:tcPr>
          <w:p w14:paraId="26D2D9E0">
            <w:pPr>
              <w:topLinePunct/>
              <w:adjustRightInd w:val="0"/>
              <w:snapToGrid w:val="0"/>
              <w:spacing w:line="320" w:lineRule="exact"/>
              <w:jc w:val="center"/>
              <w:rPr>
                <w:rFonts w:ascii="Times New Roman"/>
                <w:sz w:val="21"/>
                <w:szCs w:val="21"/>
              </w:rPr>
            </w:pPr>
            <w:r>
              <w:rPr>
                <w:rFonts w:ascii="Times New Roman"/>
                <w:sz w:val="21"/>
                <w:szCs w:val="21"/>
              </w:rPr>
              <w:t>900-252-12</w:t>
            </w:r>
          </w:p>
        </w:tc>
        <w:tc>
          <w:tcPr>
            <w:tcW w:w="330" w:type="pct"/>
            <w:vMerge w:val="restart"/>
            <w:vAlign w:val="center"/>
          </w:tcPr>
          <w:p w14:paraId="3992F603">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厂区西北侧</w:t>
            </w:r>
          </w:p>
        </w:tc>
        <w:tc>
          <w:tcPr>
            <w:tcW w:w="483" w:type="pct"/>
            <w:vMerge w:val="restart"/>
            <w:vAlign w:val="center"/>
          </w:tcPr>
          <w:p w14:paraId="3DA23A58">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223.98m</w:t>
            </w:r>
            <w:r>
              <w:rPr>
                <w:rFonts w:ascii="Times New Roman"/>
                <w:spacing w:val="-2"/>
                <w:sz w:val="21"/>
                <w:szCs w:val="21"/>
                <w:vertAlign w:val="superscript"/>
              </w:rPr>
              <w:t>2</w:t>
            </w:r>
          </w:p>
        </w:tc>
        <w:tc>
          <w:tcPr>
            <w:tcW w:w="295" w:type="pct"/>
            <w:vMerge w:val="restart"/>
            <w:vAlign w:val="center"/>
          </w:tcPr>
          <w:p w14:paraId="1EA060BA">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专用容器</w:t>
            </w:r>
          </w:p>
        </w:tc>
        <w:tc>
          <w:tcPr>
            <w:tcW w:w="388" w:type="pct"/>
            <w:vAlign w:val="center"/>
          </w:tcPr>
          <w:p w14:paraId="34B6628B">
            <w:pPr>
              <w:topLinePunct/>
              <w:adjustRightInd w:val="0"/>
              <w:snapToGrid w:val="0"/>
              <w:spacing w:line="320" w:lineRule="exact"/>
              <w:jc w:val="center"/>
              <w:rPr>
                <w:rFonts w:ascii="Times New Roman"/>
                <w:sz w:val="21"/>
                <w:szCs w:val="21"/>
              </w:rPr>
            </w:pPr>
            <w:r>
              <w:rPr>
                <w:rFonts w:hint="eastAsia" w:ascii="Times New Roman"/>
                <w:sz w:val="21"/>
                <w:szCs w:val="21"/>
              </w:rPr>
              <w:t>100</w:t>
            </w:r>
          </w:p>
        </w:tc>
        <w:tc>
          <w:tcPr>
            <w:tcW w:w="357" w:type="pct"/>
            <w:vMerge w:val="restart"/>
            <w:vAlign w:val="center"/>
          </w:tcPr>
          <w:p w14:paraId="55A744BA">
            <w:pPr>
              <w:spacing w:line="320" w:lineRule="exact"/>
              <w:jc w:val="center"/>
              <w:textAlignment w:val="baseline"/>
              <w:rPr>
                <w:rFonts w:ascii="Times New Roman"/>
                <w:spacing w:val="-20"/>
                <w:sz w:val="21"/>
                <w:szCs w:val="21"/>
              </w:rPr>
            </w:pPr>
            <w:r>
              <w:rPr>
                <w:rFonts w:hint="eastAsia" w:ascii="Times New Roman"/>
                <w:spacing w:val="-20"/>
                <w:sz w:val="21"/>
                <w:szCs w:val="21"/>
              </w:rPr>
              <w:t>0.5a</w:t>
            </w:r>
          </w:p>
        </w:tc>
      </w:tr>
      <w:tr w14:paraId="1647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vAlign w:val="center"/>
          </w:tcPr>
          <w:p w14:paraId="6FF59446">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2</w:t>
            </w:r>
          </w:p>
        </w:tc>
        <w:tc>
          <w:tcPr>
            <w:tcW w:w="387" w:type="pct"/>
            <w:vMerge w:val="continue"/>
            <w:vAlign w:val="center"/>
          </w:tcPr>
          <w:p w14:paraId="7C5EC0B1">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0CCB6C68">
            <w:pPr>
              <w:adjustRightInd w:val="0"/>
              <w:snapToGrid w:val="0"/>
              <w:spacing w:line="320" w:lineRule="exact"/>
              <w:jc w:val="center"/>
              <w:rPr>
                <w:rFonts w:ascii="Times New Roman"/>
                <w:sz w:val="21"/>
                <w:szCs w:val="21"/>
              </w:rPr>
            </w:pPr>
            <w:r>
              <w:rPr>
                <w:rFonts w:ascii="Times New Roman"/>
                <w:sz w:val="21"/>
                <w:szCs w:val="21"/>
              </w:rPr>
              <w:t>废油漆桶、废稀释剂桶</w:t>
            </w:r>
          </w:p>
        </w:tc>
        <w:tc>
          <w:tcPr>
            <w:tcW w:w="746" w:type="pct"/>
            <w:shd w:val="clear" w:color="auto" w:fill="auto"/>
            <w:vAlign w:val="center"/>
          </w:tcPr>
          <w:p w14:paraId="52E8ECD8">
            <w:pPr>
              <w:adjustRightInd w:val="0"/>
              <w:snapToGrid w:val="0"/>
              <w:spacing w:line="320" w:lineRule="exact"/>
              <w:jc w:val="center"/>
              <w:rPr>
                <w:rFonts w:ascii="Times New Roman"/>
                <w:sz w:val="21"/>
                <w:szCs w:val="21"/>
              </w:rPr>
            </w:pPr>
            <w:r>
              <w:rPr>
                <w:rFonts w:ascii="Times New Roman"/>
                <w:sz w:val="21"/>
                <w:szCs w:val="21"/>
              </w:rPr>
              <w:t>HW12</w:t>
            </w:r>
          </w:p>
        </w:tc>
        <w:tc>
          <w:tcPr>
            <w:tcW w:w="746" w:type="pct"/>
            <w:shd w:val="clear" w:color="auto" w:fill="auto"/>
            <w:vAlign w:val="center"/>
          </w:tcPr>
          <w:p w14:paraId="4B9DBE8A">
            <w:pPr>
              <w:topLinePunct/>
              <w:adjustRightInd w:val="0"/>
              <w:snapToGrid w:val="0"/>
              <w:spacing w:line="320" w:lineRule="exact"/>
              <w:jc w:val="center"/>
              <w:rPr>
                <w:rFonts w:ascii="Times New Roman"/>
                <w:sz w:val="21"/>
                <w:szCs w:val="21"/>
              </w:rPr>
            </w:pPr>
            <w:r>
              <w:rPr>
                <w:rFonts w:ascii="Times New Roman"/>
                <w:sz w:val="21"/>
                <w:szCs w:val="21"/>
              </w:rPr>
              <w:t>900-252-12</w:t>
            </w:r>
          </w:p>
        </w:tc>
        <w:tc>
          <w:tcPr>
            <w:tcW w:w="330" w:type="pct"/>
            <w:vMerge w:val="continue"/>
            <w:vAlign w:val="center"/>
          </w:tcPr>
          <w:p w14:paraId="06B81B2E">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40C1C079">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78D3F4F9">
            <w:pPr>
              <w:tabs>
                <w:tab w:val="left" w:pos="3045"/>
              </w:tabs>
              <w:spacing w:line="320" w:lineRule="exact"/>
              <w:jc w:val="center"/>
              <w:textAlignment w:val="baseline"/>
              <w:rPr>
                <w:rFonts w:ascii="Times New Roman"/>
                <w:spacing w:val="-2"/>
                <w:sz w:val="21"/>
                <w:szCs w:val="21"/>
              </w:rPr>
            </w:pPr>
          </w:p>
        </w:tc>
        <w:tc>
          <w:tcPr>
            <w:tcW w:w="388" w:type="pct"/>
            <w:vAlign w:val="center"/>
          </w:tcPr>
          <w:p w14:paraId="5B6EDFB2">
            <w:pPr>
              <w:topLinePunct/>
              <w:adjustRightInd w:val="0"/>
              <w:snapToGrid w:val="0"/>
              <w:spacing w:line="320" w:lineRule="exact"/>
              <w:jc w:val="center"/>
              <w:rPr>
                <w:rFonts w:ascii="Times New Roman"/>
                <w:sz w:val="21"/>
                <w:szCs w:val="21"/>
              </w:rPr>
            </w:pPr>
            <w:r>
              <w:rPr>
                <w:rFonts w:hint="eastAsia" w:ascii="Times New Roman"/>
                <w:sz w:val="21"/>
                <w:szCs w:val="21"/>
              </w:rPr>
              <w:t>3</w:t>
            </w:r>
          </w:p>
        </w:tc>
        <w:tc>
          <w:tcPr>
            <w:tcW w:w="357" w:type="pct"/>
            <w:vMerge w:val="continue"/>
            <w:vAlign w:val="center"/>
          </w:tcPr>
          <w:p w14:paraId="6DCDDE2F">
            <w:pPr>
              <w:spacing w:line="320" w:lineRule="exact"/>
              <w:jc w:val="center"/>
              <w:textAlignment w:val="baseline"/>
              <w:rPr>
                <w:rFonts w:ascii="Times New Roman"/>
                <w:spacing w:val="-20"/>
                <w:sz w:val="21"/>
                <w:szCs w:val="21"/>
              </w:rPr>
            </w:pPr>
          </w:p>
        </w:tc>
      </w:tr>
      <w:tr w14:paraId="1DF4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3D641D5B">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3</w:t>
            </w:r>
          </w:p>
        </w:tc>
        <w:tc>
          <w:tcPr>
            <w:tcW w:w="387" w:type="pct"/>
            <w:vMerge w:val="continue"/>
            <w:vAlign w:val="center"/>
          </w:tcPr>
          <w:p w14:paraId="16B3CE1C">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3A5932AB">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746" w:type="pct"/>
            <w:shd w:val="clear" w:color="auto" w:fill="auto"/>
            <w:vAlign w:val="center"/>
          </w:tcPr>
          <w:p w14:paraId="0F99EDCA">
            <w:pPr>
              <w:adjustRightInd w:val="0"/>
              <w:snapToGrid w:val="0"/>
              <w:spacing w:line="320" w:lineRule="exact"/>
              <w:jc w:val="center"/>
              <w:rPr>
                <w:rFonts w:ascii="Times New Roman"/>
                <w:sz w:val="21"/>
                <w:szCs w:val="21"/>
              </w:rPr>
            </w:pPr>
            <w:r>
              <w:rPr>
                <w:rFonts w:ascii="Times New Roman"/>
                <w:sz w:val="21"/>
                <w:szCs w:val="21"/>
              </w:rPr>
              <w:t>HW09</w:t>
            </w:r>
          </w:p>
        </w:tc>
        <w:tc>
          <w:tcPr>
            <w:tcW w:w="746" w:type="pct"/>
            <w:shd w:val="clear" w:color="auto" w:fill="auto"/>
            <w:vAlign w:val="center"/>
          </w:tcPr>
          <w:p w14:paraId="0D2EB9E3">
            <w:pPr>
              <w:topLinePunct/>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7</w:t>
            </w:r>
            <w:r>
              <w:rPr>
                <w:rFonts w:ascii="Times New Roman"/>
                <w:sz w:val="21"/>
                <w:szCs w:val="21"/>
              </w:rPr>
              <w:t>-09</w:t>
            </w:r>
          </w:p>
        </w:tc>
        <w:tc>
          <w:tcPr>
            <w:tcW w:w="330" w:type="pct"/>
            <w:vMerge w:val="continue"/>
            <w:vAlign w:val="center"/>
          </w:tcPr>
          <w:p w14:paraId="321FA5D5">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5DA68844">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4034BBFF">
            <w:pPr>
              <w:tabs>
                <w:tab w:val="left" w:pos="3045"/>
              </w:tabs>
              <w:spacing w:line="320" w:lineRule="exact"/>
              <w:jc w:val="center"/>
              <w:textAlignment w:val="baseline"/>
              <w:rPr>
                <w:rFonts w:ascii="Times New Roman"/>
                <w:spacing w:val="-2"/>
                <w:sz w:val="21"/>
                <w:szCs w:val="21"/>
              </w:rPr>
            </w:pPr>
          </w:p>
        </w:tc>
        <w:tc>
          <w:tcPr>
            <w:tcW w:w="388" w:type="pct"/>
            <w:vAlign w:val="center"/>
          </w:tcPr>
          <w:p w14:paraId="64FD0EEC">
            <w:pPr>
              <w:topLinePunct/>
              <w:adjustRightInd w:val="0"/>
              <w:snapToGrid w:val="0"/>
              <w:spacing w:line="320" w:lineRule="exact"/>
              <w:jc w:val="center"/>
              <w:rPr>
                <w:rFonts w:ascii="Times New Roman"/>
                <w:sz w:val="21"/>
                <w:szCs w:val="21"/>
              </w:rPr>
            </w:pPr>
            <w:r>
              <w:rPr>
                <w:rFonts w:hint="eastAsia" w:ascii="Times New Roman"/>
                <w:sz w:val="21"/>
                <w:szCs w:val="21"/>
              </w:rPr>
              <w:t>6</w:t>
            </w:r>
          </w:p>
        </w:tc>
        <w:tc>
          <w:tcPr>
            <w:tcW w:w="357" w:type="pct"/>
            <w:vMerge w:val="continue"/>
            <w:vAlign w:val="center"/>
          </w:tcPr>
          <w:p w14:paraId="4909641B">
            <w:pPr>
              <w:spacing w:line="320" w:lineRule="exact"/>
              <w:jc w:val="center"/>
              <w:textAlignment w:val="baseline"/>
              <w:rPr>
                <w:rFonts w:ascii="Times New Roman"/>
                <w:spacing w:val="-20"/>
                <w:sz w:val="21"/>
                <w:szCs w:val="21"/>
              </w:rPr>
            </w:pPr>
          </w:p>
        </w:tc>
      </w:tr>
      <w:tr w14:paraId="372A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09E4AF40">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4</w:t>
            </w:r>
          </w:p>
        </w:tc>
        <w:tc>
          <w:tcPr>
            <w:tcW w:w="387" w:type="pct"/>
            <w:vMerge w:val="continue"/>
            <w:vAlign w:val="center"/>
          </w:tcPr>
          <w:p w14:paraId="210B0482">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70F27573">
            <w:pPr>
              <w:adjustRightInd w:val="0"/>
              <w:snapToGrid w:val="0"/>
              <w:spacing w:line="320" w:lineRule="exact"/>
              <w:jc w:val="center"/>
              <w:rPr>
                <w:rFonts w:ascii="Times New Roman"/>
                <w:sz w:val="21"/>
                <w:szCs w:val="21"/>
              </w:rPr>
            </w:pPr>
            <w:r>
              <w:rPr>
                <w:rFonts w:ascii="Times New Roman"/>
                <w:sz w:val="21"/>
                <w:szCs w:val="21"/>
              </w:rPr>
              <w:t>废滤芯、杂质</w:t>
            </w:r>
          </w:p>
        </w:tc>
        <w:tc>
          <w:tcPr>
            <w:tcW w:w="746" w:type="pct"/>
            <w:shd w:val="clear" w:color="auto" w:fill="auto"/>
            <w:vAlign w:val="center"/>
          </w:tcPr>
          <w:p w14:paraId="389F6F66">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746" w:type="pct"/>
            <w:shd w:val="clear" w:color="auto" w:fill="auto"/>
            <w:vAlign w:val="center"/>
          </w:tcPr>
          <w:p w14:paraId="0389CC55">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330" w:type="pct"/>
            <w:vMerge w:val="continue"/>
            <w:vAlign w:val="center"/>
          </w:tcPr>
          <w:p w14:paraId="3BB74930">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2FE0090E">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7917F313">
            <w:pPr>
              <w:tabs>
                <w:tab w:val="left" w:pos="3045"/>
              </w:tabs>
              <w:spacing w:line="320" w:lineRule="exact"/>
              <w:jc w:val="center"/>
              <w:textAlignment w:val="baseline"/>
              <w:rPr>
                <w:rFonts w:ascii="Times New Roman"/>
                <w:spacing w:val="-2"/>
                <w:sz w:val="21"/>
                <w:szCs w:val="21"/>
              </w:rPr>
            </w:pPr>
          </w:p>
        </w:tc>
        <w:tc>
          <w:tcPr>
            <w:tcW w:w="388" w:type="pct"/>
            <w:vAlign w:val="center"/>
          </w:tcPr>
          <w:p w14:paraId="16F49357">
            <w:pPr>
              <w:topLinePunct/>
              <w:adjustRightInd w:val="0"/>
              <w:snapToGrid w:val="0"/>
              <w:spacing w:line="320" w:lineRule="exact"/>
              <w:jc w:val="center"/>
              <w:rPr>
                <w:rFonts w:ascii="Times New Roman"/>
                <w:sz w:val="21"/>
                <w:szCs w:val="21"/>
              </w:rPr>
            </w:pPr>
            <w:r>
              <w:rPr>
                <w:rFonts w:hint="eastAsia" w:ascii="Times New Roman"/>
                <w:sz w:val="21"/>
                <w:szCs w:val="21"/>
              </w:rPr>
              <w:t>3</w:t>
            </w:r>
          </w:p>
        </w:tc>
        <w:tc>
          <w:tcPr>
            <w:tcW w:w="357" w:type="pct"/>
            <w:vMerge w:val="continue"/>
            <w:vAlign w:val="center"/>
          </w:tcPr>
          <w:p w14:paraId="676AEEBE">
            <w:pPr>
              <w:spacing w:line="320" w:lineRule="exact"/>
              <w:jc w:val="center"/>
              <w:textAlignment w:val="baseline"/>
              <w:rPr>
                <w:rFonts w:ascii="Times New Roman"/>
                <w:spacing w:val="-20"/>
                <w:sz w:val="21"/>
                <w:szCs w:val="21"/>
              </w:rPr>
            </w:pPr>
          </w:p>
        </w:tc>
      </w:tr>
      <w:tr w14:paraId="48F2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31" w:type="pct"/>
            <w:shd w:val="clear" w:color="auto" w:fill="auto"/>
            <w:vAlign w:val="center"/>
          </w:tcPr>
          <w:p w14:paraId="3B131BB1">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5</w:t>
            </w:r>
          </w:p>
        </w:tc>
        <w:tc>
          <w:tcPr>
            <w:tcW w:w="387" w:type="pct"/>
            <w:vMerge w:val="continue"/>
            <w:vAlign w:val="center"/>
          </w:tcPr>
          <w:p w14:paraId="3075ABAB">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44209DF5">
            <w:pPr>
              <w:adjustRightInd w:val="0"/>
              <w:snapToGrid w:val="0"/>
              <w:spacing w:line="320" w:lineRule="exact"/>
              <w:jc w:val="center"/>
              <w:rPr>
                <w:rFonts w:ascii="Times New Roman"/>
                <w:sz w:val="21"/>
                <w:szCs w:val="21"/>
              </w:rPr>
            </w:pPr>
            <w:r>
              <w:rPr>
                <w:rFonts w:ascii="Times New Roman"/>
                <w:sz w:val="21"/>
                <w:szCs w:val="21"/>
              </w:rPr>
              <w:t>废液压油</w:t>
            </w:r>
          </w:p>
        </w:tc>
        <w:tc>
          <w:tcPr>
            <w:tcW w:w="746" w:type="pct"/>
            <w:shd w:val="clear" w:color="auto" w:fill="auto"/>
            <w:vAlign w:val="center"/>
          </w:tcPr>
          <w:p w14:paraId="5A281E5F">
            <w:pPr>
              <w:adjustRightInd w:val="0"/>
              <w:snapToGrid w:val="0"/>
              <w:spacing w:line="320" w:lineRule="exact"/>
              <w:jc w:val="center"/>
              <w:rPr>
                <w:rFonts w:ascii="Times New Roman"/>
                <w:sz w:val="21"/>
                <w:szCs w:val="21"/>
              </w:rPr>
            </w:pPr>
            <w:r>
              <w:rPr>
                <w:rFonts w:ascii="Times New Roman"/>
                <w:sz w:val="21"/>
                <w:szCs w:val="21"/>
              </w:rPr>
              <w:t>HW08</w:t>
            </w:r>
          </w:p>
        </w:tc>
        <w:tc>
          <w:tcPr>
            <w:tcW w:w="746" w:type="pct"/>
            <w:shd w:val="clear" w:color="auto" w:fill="auto"/>
            <w:vAlign w:val="center"/>
          </w:tcPr>
          <w:p w14:paraId="3644E7A1">
            <w:pPr>
              <w:topLinePunct/>
              <w:adjustRightInd w:val="0"/>
              <w:snapToGrid w:val="0"/>
              <w:spacing w:line="320" w:lineRule="exact"/>
              <w:jc w:val="center"/>
              <w:rPr>
                <w:rFonts w:ascii="Times New Roman"/>
                <w:sz w:val="21"/>
                <w:szCs w:val="21"/>
              </w:rPr>
            </w:pPr>
            <w:r>
              <w:rPr>
                <w:rFonts w:ascii="Times New Roman"/>
                <w:sz w:val="21"/>
                <w:szCs w:val="21"/>
              </w:rPr>
              <w:t>900-218-08</w:t>
            </w:r>
          </w:p>
        </w:tc>
        <w:tc>
          <w:tcPr>
            <w:tcW w:w="330" w:type="pct"/>
            <w:vMerge w:val="continue"/>
            <w:vAlign w:val="center"/>
          </w:tcPr>
          <w:p w14:paraId="1DE8C506">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204D214A">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6E993141">
            <w:pPr>
              <w:tabs>
                <w:tab w:val="left" w:pos="3045"/>
              </w:tabs>
              <w:spacing w:line="320" w:lineRule="exact"/>
              <w:jc w:val="center"/>
              <w:textAlignment w:val="baseline"/>
              <w:rPr>
                <w:rFonts w:ascii="Times New Roman"/>
                <w:spacing w:val="-2"/>
                <w:sz w:val="21"/>
                <w:szCs w:val="21"/>
              </w:rPr>
            </w:pPr>
          </w:p>
        </w:tc>
        <w:tc>
          <w:tcPr>
            <w:tcW w:w="388" w:type="pct"/>
            <w:vAlign w:val="center"/>
          </w:tcPr>
          <w:p w14:paraId="3D2E4438">
            <w:pPr>
              <w:adjustRightInd w:val="0"/>
              <w:snapToGrid w:val="0"/>
              <w:spacing w:line="320" w:lineRule="exact"/>
              <w:jc w:val="center"/>
              <w:rPr>
                <w:rFonts w:ascii="Times New Roman"/>
                <w:sz w:val="21"/>
                <w:szCs w:val="21"/>
              </w:rPr>
            </w:pPr>
            <w:r>
              <w:rPr>
                <w:rFonts w:hint="eastAsia" w:ascii="Times New Roman"/>
                <w:sz w:val="21"/>
                <w:szCs w:val="21"/>
              </w:rPr>
              <w:t>3</w:t>
            </w:r>
          </w:p>
        </w:tc>
        <w:tc>
          <w:tcPr>
            <w:tcW w:w="357" w:type="pct"/>
            <w:vMerge w:val="continue"/>
            <w:vAlign w:val="center"/>
          </w:tcPr>
          <w:p w14:paraId="53F4DA09">
            <w:pPr>
              <w:spacing w:line="320" w:lineRule="exact"/>
              <w:jc w:val="center"/>
              <w:textAlignment w:val="baseline"/>
              <w:rPr>
                <w:rFonts w:ascii="Times New Roman"/>
                <w:spacing w:val="-20"/>
                <w:sz w:val="21"/>
                <w:szCs w:val="21"/>
              </w:rPr>
            </w:pPr>
          </w:p>
        </w:tc>
      </w:tr>
      <w:tr w14:paraId="697F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62B0B10B">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6</w:t>
            </w:r>
          </w:p>
        </w:tc>
        <w:tc>
          <w:tcPr>
            <w:tcW w:w="387" w:type="pct"/>
            <w:vMerge w:val="continue"/>
            <w:vAlign w:val="center"/>
          </w:tcPr>
          <w:p w14:paraId="215E781E">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27F9DBE1">
            <w:pPr>
              <w:adjustRightInd w:val="0"/>
              <w:snapToGrid w:val="0"/>
              <w:spacing w:line="320" w:lineRule="exact"/>
              <w:jc w:val="center"/>
              <w:rPr>
                <w:rFonts w:ascii="Times New Roman"/>
                <w:sz w:val="21"/>
                <w:szCs w:val="21"/>
              </w:rPr>
            </w:pPr>
            <w:r>
              <w:rPr>
                <w:rFonts w:ascii="Times New Roman"/>
                <w:sz w:val="21"/>
                <w:szCs w:val="21"/>
              </w:rPr>
              <w:t>废润滑油</w:t>
            </w:r>
          </w:p>
        </w:tc>
        <w:tc>
          <w:tcPr>
            <w:tcW w:w="746" w:type="pct"/>
            <w:shd w:val="clear" w:color="auto" w:fill="auto"/>
            <w:vAlign w:val="center"/>
          </w:tcPr>
          <w:p w14:paraId="5F25827F">
            <w:pPr>
              <w:adjustRightInd w:val="0"/>
              <w:snapToGrid w:val="0"/>
              <w:spacing w:line="320" w:lineRule="exact"/>
              <w:jc w:val="center"/>
              <w:rPr>
                <w:rFonts w:ascii="Times New Roman"/>
                <w:sz w:val="21"/>
                <w:szCs w:val="21"/>
              </w:rPr>
            </w:pPr>
            <w:r>
              <w:rPr>
                <w:rFonts w:ascii="Times New Roman"/>
                <w:sz w:val="21"/>
                <w:szCs w:val="21"/>
              </w:rPr>
              <w:t>HW08</w:t>
            </w:r>
          </w:p>
        </w:tc>
        <w:tc>
          <w:tcPr>
            <w:tcW w:w="746" w:type="pct"/>
            <w:shd w:val="clear" w:color="auto" w:fill="auto"/>
            <w:vAlign w:val="center"/>
          </w:tcPr>
          <w:p w14:paraId="1BB8DEE8">
            <w:pPr>
              <w:adjustRightInd w:val="0"/>
              <w:snapToGrid w:val="0"/>
              <w:spacing w:line="320" w:lineRule="exact"/>
              <w:jc w:val="center"/>
              <w:rPr>
                <w:rFonts w:ascii="Times New Roman"/>
                <w:sz w:val="21"/>
                <w:szCs w:val="21"/>
              </w:rPr>
            </w:pPr>
            <w:r>
              <w:rPr>
                <w:rFonts w:ascii="Times New Roman"/>
                <w:sz w:val="21"/>
                <w:szCs w:val="21"/>
              </w:rPr>
              <w:t>900-217-08</w:t>
            </w:r>
          </w:p>
        </w:tc>
        <w:tc>
          <w:tcPr>
            <w:tcW w:w="330" w:type="pct"/>
            <w:vMerge w:val="continue"/>
            <w:vAlign w:val="center"/>
          </w:tcPr>
          <w:p w14:paraId="69A5D4C0">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30E4BEB8">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4E89BDDC">
            <w:pPr>
              <w:tabs>
                <w:tab w:val="left" w:pos="3045"/>
              </w:tabs>
              <w:spacing w:line="320" w:lineRule="exact"/>
              <w:jc w:val="center"/>
              <w:textAlignment w:val="baseline"/>
              <w:rPr>
                <w:rFonts w:ascii="Times New Roman"/>
                <w:spacing w:val="-2"/>
                <w:sz w:val="21"/>
                <w:szCs w:val="21"/>
              </w:rPr>
            </w:pPr>
          </w:p>
        </w:tc>
        <w:tc>
          <w:tcPr>
            <w:tcW w:w="388" w:type="pct"/>
            <w:vAlign w:val="center"/>
          </w:tcPr>
          <w:p w14:paraId="43159557">
            <w:pPr>
              <w:adjustRightInd w:val="0"/>
              <w:snapToGrid w:val="0"/>
              <w:spacing w:line="320" w:lineRule="exact"/>
              <w:jc w:val="center"/>
              <w:rPr>
                <w:rFonts w:ascii="Times New Roman"/>
                <w:sz w:val="21"/>
                <w:szCs w:val="21"/>
              </w:rPr>
            </w:pPr>
            <w:r>
              <w:rPr>
                <w:rFonts w:hint="eastAsia" w:ascii="Times New Roman"/>
                <w:sz w:val="21"/>
                <w:szCs w:val="21"/>
              </w:rPr>
              <w:t>2</w:t>
            </w:r>
          </w:p>
        </w:tc>
        <w:tc>
          <w:tcPr>
            <w:tcW w:w="357" w:type="pct"/>
            <w:vMerge w:val="continue"/>
            <w:vAlign w:val="center"/>
          </w:tcPr>
          <w:p w14:paraId="2CF90763">
            <w:pPr>
              <w:spacing w:line="320" w:lineRule="exact"/>
              <w:jc w:val="center"/>
              <w:textAlignment w:val="baseline"/>
              <w:rPr>
                <w:rFonts w:ascii="Times New Roman"/>
                <w:spacing w:val="-20"/>
                <w:sz w:val="21"/>
                <w:szCs w:val="21"/>
              </w:rPr>
            </w:pPr>
          </w:p>
        </w:tc>
      </w:tr>
      <w:tr w14:paraId="7F14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35FDE2E1">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7</w:t>
            </w:r>
          </w:p>
        </w:tc>
        <w:tc>
          <w:tcPr>
            <w:tcW w:w="387" w:type="pct"/>
            <w:vMerge w:val="continue"/>
            <w:vAlign w:val="center"/>
          </w:tcPr>
          <w:p w14:paraId="345319E6">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1C4A7502">
            <w:pPr>
              <w:adjustRightInd w:val="0"/>
              <w:snapToGrid w:val="0"/>
              <w:spacing w:line="320" w:lineRule="exact"/>
              <w:jc w:val="center"/>
              <w:rPr>
                <w:rFonts w:ascii="Times New Roman"/>
                <w:sz w:val="21"/>
                <w:szCs w:val="21"/>
              </w:rPr>
            </w:pPr>
            <w:r>
              <w:rPr>
                <w:rFonts w:ascii="Times New Roman"/>
                <w:sz w:val="21"/>
                <w:szCs w:val="21"/>
              </w:rPr>
              <w:t>废油桶</w:t>
            </w:r>
          </w:p>
        </w:tc>
        <w:tc>
          <w:tcPr>
            <w:tcW w:w="746" w:type="pct"/>
            <w:shd w:val="clear" w:color="auto" w:fill="auto"/>
            <w:vAlign w:val="center"/>
          </w:tcPr>
          <w:p w14:paraId="10F82A5A">
            <w:pPr>
              <w:adjustRightInd w:val="0"/>
              <w:snapToGrid w:val="0"/>
              <w:spacing w:line="320" w:lineRule="exact"/>
              <w:jc w:val="center"/>
              <w:rPr>
                <w:rFonts w:ascii="Times New Roman"/>
                <w:sz w:val="21"/>
                <w:szCs w:val="21"/>
              </w:rPr>
            </w:pPr>
            <w:r>
              <w:rPr>
                <w:rFonts w:ascii="Times New Roman"/>
                <w:sz w:val="21"/>
                <w:szCs w:val="21"/>
              </w:rPr>
              <w:t>HW08</w:t>
            </w:r>
          </w:p>
        </w:tc>
        <w:tc>
          <w:tcPr>
            <w:tcW w:w="746" w:type="pct"/>
            <w:shd w:val="clear" w:color="auto" w:fill="auto"/>
            <w:vAlign w:val="center"/>
          </w:tcPr>
          <w:p w14:paraId="03C1EE5F">
            <w:pPr>
              <w:topLinePunct/>
              <w:adjustRightInd w:val="0"/>
              <w:snapToGrid w:val="0"/>
              <w:spacing w:line="320" w:lineRule="exact"/>
              <w:jc w:val="center"/>
              <w:rPr>
                <w:rFonts w:ascii="Times New Roman"/>
                <w:sz w:val="21"/>
                <w:szCs w:val="21"/>
              </w:rPr>
            </w:pPr>
            <w:r>
              <w:rPr>
                <w:rFonts w:ascii="Times New Roman"/>
                <w:sz w:val="21"/>
                <w:szCs w:val="21"/>
              </w:rPr>
              <w:t>900-249-08</w:t>
            </w:r>
          </w:p>
        </w:tc>
        <w:tc>
          <w:tcPr>
            <w:tcW w:w="330" w:type="pct"/>
            <w:vMerge w:val="continue"/>
            <w:vAlign w:val="center"/>
          </w:tcPr>
          <w:p w14:paraId="435B02A4">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6E8DF276">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19219C93">
            <w:pPr>
              <w:tabs>
                <w:tab w:val="left" w:pos="3045"/>
              </w:tabs>
              <w:spacing w:line="320" w:lineRule="exact"/>
              <w:jc w:val="center"/>
              <w:textAlignment w:val="baseline"/>
              <w:rPr>
                <w:rFonts w:ascii="Times New Roman"/>
                <w:spacing w:val="-2"/>
                <w:sz w:val="21"/>
                <w:szCs w:val="21"/>
              </w:rPr>
            </w:pPr>
          </w:p>
        </w:tc>
        <w:tc>
          <w:tcPr>
            <w:tcW w:w="388" w:type="pct"/>
            <w:vAlign w:val="center"/>
          </w:tcPr>
          <w:p w14:paraId="149BED23">
            <w:pPr>
              <w:adjustRightInd w:val="0"/>
              <w:snapToGrid w:val="0"/>
              <w:spacing w:line="320" w:lineRule="exact"/>
              <w:jc w:val="center"/>
              <w:rPr>
                <w:rFonts w:ascii="Times New Roman"/>
                <w:sz w:val="21"/>
                <w:szCs w:val="21"/>
              </w:rPr>
            </w:pPr>
            <w:r>
              <w:rPr>
                <w:rFonts w:ascii="Times New Roman"/>
                <w:sz w:val="21"/>
                <w:szCs w:val="21"/>
              </w:rPr>
              <w:t>1</w:t>
            </w:r>
          </w:p>
        </w:tc>
        <w:tc>
          <w:tcPr>
            <w:tcW w:w="357" w:type="pct"/>
            <w:vMerge w:val="continue"/>
            <w:vAlign w:val="center"/>
          </w:tcPr>
          <w:p w14:paraId="6ABED9E5">
            <w:pPr>
              <w:spacing w:line="320" w:lineRule="exact"/>
              <w:jc w:val="center"/>
              <w:textAlignment w:val="baseline"/>
              <w:rPr>
                <w:rFonts w:ascii="Times New Roman"/>
                <w:spacing w:val="-20"/>
                <w:sz w:val="21"/>
                <w:szCs w:val="21"/>
              </w:rPr>
            </w:pPr>
          </w:p>
        </w:tc>
      </w:tr>
      <w:tr w14:paraId="47BE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4FFAA581">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8</w:t>
            </w:r>
          </w:p>
        </w:tc>
        <w:tc>
          <w:tcPr>
            <w:tcW w:w="387" w:type="pct"/>
            <w:vMerge w:val="continue"/>
            <w:vAlign w:val="center"/>
          </w:tcPr>
          <w:p w14:paraId="1019966C">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27FBE4B4">
            <w:pPr>
              <w:adjustRightInd w:val="0"/>
              <w:snapToGrid w:val="0"/>
              <w:spacing w:line="320" w:lineRule="exact"/>
              <w:jc w:val="center"/>
              <w:rPr>
                <w:rFonts w:ascii="Times New Roman"/>
                <w:sz w:val="21"/>
                <w:szCs w:val="21"/>
              </w:rPr>
            </w:pPr>
            <w:r>
              <w:rPr>
                <w:rFonts w:ascii="Times New Roman"/>
                <w:sz w:val="21"/>
                <w:szCs w:val="21"/>
              </w:rPr>
              <w:t>废切削液</w:t>
            </w:r>
          </w:p>
        </w:tc>
        <w:tc>
          <w:tcPr>
            <w:tcW w:w="746" w:type="pct"/>
            <w:shd w:val="clear" w:color="auto" w:fill="auto"/>
            <w:vAlign w:val="center"/>
          </w:tcPr>
          <w:p w14:paraId="7E12A778">
            <w:pPr>
              <w:adjustRightInd w:val="0"/>
              <w:snapToGrid w:val="0"/>
              <w:spacing w:line="320" w:lineRule="exact"/>
              <w:jc w:val="center"/>
              <w:rPr>
                <w:rFonts w:ascii="Times New Roman"/>
                <w:sz w:val="21"/>
                <w:szCs w:val="21"/>
              </w:rPr>
            </w:pPr>
            <w:r>
              <w:rPr>
                <w:rFonts w:ascii="Times New Roman"/>
                <w:sz w:val="21"/>
                <w:szCs w:val="21"/>
              </w:rPr>
              <w:t>HW09</w:t>
            </w:r>
          </w:p>
        </w:tc>
        <w:tc>
          <w:tcPr>
            <w:tcW w:w="746" w:type="pct"/>
            <w:shd w:val="clear" w:color="auto" w:fill="auto"/>
            <w:vAlign w:val="center"/>
          </w:tcPr>
          <w:p w14:paraId="7294E7AE">
            <w:pPr>
              <w:topLinePunct/>
              <w:adjustRightInd w:val="0"/>
              <w:snapToGrid w:val="0"/>
              <w:spacing w:line="320" w:lineRule="exact"/>
              <w:jc w:val="center"/>
              <w:rPr>
                <w:rFonts w:ascii="Times New Roman"/>
                <w:sz w:val="21"/>
                <w:szCs w:val="21"/>
              </w:rPr>
            </w:pPr>
            <w:r>
              <w:rPr>
                <w:rFonts w:ascii="Times New Roman"/>
                <w:sz w:val="21"/>
                <w:szCs w:val="21"/>
              </w:rPr>
              <w:t>900-006-09</w:t>
            </w:r>
          </w:p>
        </w:tc>
        <w:tc>
          <w:tcPr>
            <w:tcW w:w="330" w:type="pct"/>
            <w:vMerge w:val="continue"/>
            <w:vAlign w:val="center"/>
          </w:tcPr>
          <w:p w14:paraId="2F986003">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3BCBE29C">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31E4CFAD">
            <w:pPr>
              <w:tabs>
                <w:tab w:val="left" w:pos="3045"/>
              </w:tabs>
              <w:spacing w:line="320" w:lineRule="exact"/>
              <w:jc w:val="center"/>
              <w:textAlignment w:val="baseline"/>
              <w:rPr>
                <w:rFonts w:ascii="Times New Roman"/>
                <w:spacing w:val="-2"/>
                <w:sz w:val="21"/>
                <w:szCs w:val="21"/>
              </w:rPr>
            </w:pPr>
          </w:p>
        </w:tc>
        <w:tc>
          <w:tcPr>
            <w:tcW w:w="388" w:type="pct"/>
            <w:vAlign w:val="center"/>
          </w:tcPr>
          <w:p w14:paraId="38A86757">
            <w:pPr>
              <w:adjustRightInd w:val="0"/>
              <w:snapToGrid w:val="0"/>
              <w:spacing w:line="320" w:lineRule="exact"/>
              <w:jc w:val="center"/>
              <w:rPr>
                <w:rFonts w:ascii="Times New Roman"/>
                <w:sz w:val="21"/>
                <w:szCs w:val="21"/>
              </w:rPr>
            </w:pPr>
            <w:r>
              <w:rPr>
                <w:rFonts w:hint="eastAsia" w:ascii="Times New Roman"/>
                <w:sz w:val="21"/>
                <w:szCs w:val="21"/>
              </w:rPr>
              <w:t>10</w:t>
            </w:r>
          </w:p>
        </w:tc>
        <w:tc>
          <w:tcPr>
            <w:tcW w:w="357" w:type="pct"/>
            <w:vMerge w:val="continue"/>
            <w:vAlign w:val="center"/>
          </w:tcPr>
          <w:p w14:paraId="3ED1D507">
            <w:pPr>
              <w:spacing w:line="320" w:lineRule="exact"/>
              <w:jc w:val="center"/>
              <w:textAlignment w:val="baseline"/>
              <w:rPr>
                <w:rFonts w:ascii="Times New Roman"/>
                <w:spacing w:val="-20"/>
                <w:sz w:val="21"/>
                <w:szCs w:val="21"/>
              </w:rPr>
            </w:pPr>
          </w:p>
        </w:tc>
      </w:tr>
      <w:tr w14:paraId="3A25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5CF19F9D">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9</w:t>
            </w:r>
          </w:p>
        </w:tc>
        <w:tc>
          <w:tcPr>
            <w:tcW w:w="387" w:type="pct"/>
            <w:vMerge w:val="continue"/>
            <w:vAlign w:val="center"/>
          </w:tcPr>
          <w:p w14:paraId="4CEA1DA6">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4DF5C537">
            <w:pPr>
              <w:adjustRightInd w:val="0"/>
              <w:snapToGrid w:val="0"/>
              <w:spacing w:line="320" w:lineRule="exact"/>
              <w:jc w:val="center"/>
              <w:rPr>
                <w:rFonts w:ascii="Times New Roman"/>
                <w:sz w:val="21"/>
                <w:szCs w:val="21"/>
              </w:rPr>
            </w:pPr>
            <w:r>
              <w:rPr>
                <w:rFonts w:ascii="Times New Roman"/>
                <w:sz w:val="21"/>
                <w:szCs w:val="21"/>
              </w:rPr>
              <w:t>废切削液桶</w:t>
            </w:r>
          </w:p>
        </w:tc>
        <w:tc>
          <w:tcPr>
            <w:tcW w:w="746" w:type="pct"/>
            <w:shd w:val="clear" w:color="auto" w:fill="auto"/>
            <w:vAlign w:val="center"/>
          </w:tcPr>
          <w:p w14:paraId="4F0F3A51">
            <w:pPr>
              <w:adjustRightInd w:val="0"/>
              <w:snapToGrid w:val="0"/>
              <w:spacing w:line="320" w:lineRule="exact"/>
              <w:jc w:val="center"/>
              <w:rPr>
                <w:rFonts w:ascii="Times New Roman"/>
                <w:sz w:val="21"/>
                <w:szCs w:val="21"/>
              </w:rPr>
            </w:pPr>
            <w:r>
              <w:rPr>
                <w:rFonts w:ascii="Times New Roman"/>
                <w:sz w:val="21"/>
                <w:szCs w:val="21"/>
              </w:rPr>
              <w:t>HW08</w:t>
            </w:r>
          </w:p>
        </w:tc>
        <w:tc>
          <w:tcPr>
            <w:tcW w:w="746" w:type="pct"/>
            <w:shd w:val="clear" w:color="auto" w:fill="auto"/>
            <w:vAlign w:val="center"/>
          </w:tcPr>
          <w:p w14:paraId="55F715E2">
            <w:pPr>
              <w:topLinePunct/>
              <w:adjustRightInd w:val="0"/>
              <w:snapToGrid w:val="0"/>
              <w:spacing w:line="320" w:lineRule="exact"/>
              <w:jc w:val="center"/>
              <w:rPr>
                <w:rFonts w:ascii="Times New Roman"/>
                <w:sz w:val="21"/>
                <w:szCs w:val="21"/>
              </w:rPr>
            </w:pPr>
            <w:r>
              <w:rPr>
                <w:rFonts w:ascii="Times New Roman"/>
                <w:sz w:val="21"/>
                <w:szCs w:val="21"/>
              </w:rPr>
              <w:t>900-249-08</w:t>
            </w:r>
          </w:p>
        </w:tc>
        <w:tc>
          <w:tcPr>
            <w:tcW w:w="330" w:type="pct"/>
            <w:vMerge w:val="continue"/>
            <w:vAlign w:val="center"/>
          </w:tcPr>
          <w:p w14:paraId="550A33A9">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0D7326A7">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185B0395">
            <w:pPr>
              <w:tabs>
                <w:tab w:val="left" w:pos="3045"/>
              </w:tabs>
              <w:spacing w:line="320" w:lineRule="exact"/>
              <w:jc w:val="center"/>
              <w:textAlignment w:val="baseline"/>
              <w:rPr>
                <w:rFonts w:ascii="Times New Roman"/>
                <w:spacing w:val="-2"/>
                <w:sz w:val="21"/>
                <w:szCs w:val="21"/>
              </w:rPr>
            </w:pPr>
          </w:p>
        </w:tc>
        <w:tc>
          <w:tcPr>
            <w:tcW w:w="388" w:type="pct"/>
            <w:vAlign w:val="center"/>
          </w:tcPr>
          <w:p w14:paraId="51C8B1A0">
            <w:pPr>
              <w:adjustRightInd w:val="0"/>
              <w:snapToGrid w:val="0"/>
              <w:spacing w:line="320" w:lineRule="exact"/>
              <w:jc w:val="center"/>
              <w:rPr>
                <w:rFonts w:ascii="Times New Roman"/>
                <w:sz w:val="21"/>
                <w:szCs w:val="21"/>
              </w:rPr>
            </w:pPr>
            <w:r>
              <w:rPr>
                <w:rFonts w:hint="eastAsia" w:ascii="Times New Roman"/>
                <w:sz w:val="21"/>
                <w:szCs w:val="21"/>
              </w:rPr>
              <w:t>1</w:t>
            </w:r>
          </w:p>
        </w:tc>
        <w:tc>
          <w:tcPr>
            <w:tcW w:w="357" w:type="pct"/>
            <w:vMerge w:val="continue"/>
            <w:vAlign w:val="center"/>
          </w:tcPr>
          <w:p w14:paraId="6F355A6D">
            <w:pPr>
              <w:spacing w:line="320" w:lineRule="exact"/>
              <w:jc w:val="center"/>
              <w:textAlignment w:val="baseline"/>
              <w:rPr>
                <w:rFonts w:ascii="Times New Roman"/>
                <w:spacing w:val="-20"/>
                <w:sz w:val="21"/>
                <w:szCs w:val="21"/>
              </w:rPr>
            </w:pPr>
          </w:p>
        </w:tc>
      </w:tr>
      <w:tr w14:paraId="33EA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2CFAD9A6">
            <w:pPr>
              <w:tabs>
                <w:tab w:val="left" w:pos="3045"/>
              </w:tabs>
              <w:spacing w:line="320" w:lineRule="exact"/>
              <w:jc w:val="center"/>
              <w:textAlignment w:val="baseline"/>
              <w:rPr>
                <w:rFonts w:ascii="Times New Roman"/>
                <w:spacing w:val="-2"/>
                <w:sz w:val="21"/>
                <w:szCs w:val="21"/>
              </w:rPr>
            </w:pPr>
            <w:r>
              <w:rPr>
                <w:rFonts w:ascii="Times New Roman"/>
                <w:spacing w:val="-2"/>
                <w:sz w:val="21"/>
                <w:szCs w:val="21"/>
              </w:rPr>
              <w:t>10</w:t>
            </w:r>
          </w:p>
        </w:tc>
        <w:tc>
          <w:tcPr>
            <w:tcW w:w="387" w:type="pct"/>
            <w:vMerge w:val="continue"/>
            <w:vAlign w:val="center"/>
          </w:tcPr>
          <w:p w14:paraId="0A22A3E9">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30F02ADD">
            <w:pPr>
              <w:adjustRightInd w:val="0"/>
              <w:snapToGrid w:val="0"/>
              <w:spacing w:line="320" w:lineRule="exact"/>
              <w:jc w:val="center"/>
              <w:rPr>
                <w:rFonts w:ascii="Times New Roman"/>
                <w:sz w:val="21"/>
                <w:szCs w:val="21"/>
              </w:rPr>
            </w:pPr>
            <w:r>
              <w:rPr>
                <w:rFonts w:ascii="Times New Roman"/>
                <w:sz w:val="21"/>
                <w:szCs w:val="21"/>
              </w:rPr>
              <w:t>含油金属屑</w:t>
            </w:r>
          </w:p>
        </w:tc>
        <w:tc>
          <w:tcPr>
            <w:tcW w:w="746" w:type="pct"/>
            <w:shd w:val="clear" w:color="auto" w:fill="auto"/>
            <w:vAlign w:val="center"/>
          </w:tcPr>
          <w:p w14:paraId="37CC4D7E">
            <w:pPr>
              <w:adjustRightInd w:val="0"/>
              <w:snapToGrid w:val="0"/>
              <w:spacing w:line="320" w:lineRule="exact"/>
              <w:jc w:val="center"/>
              <w:rPr>
                <w:rFonts w:ascii="Times New Roman"/>
                <w:sz w:val="21"/>
                <w:szCs w:val="21"/>
              </w:rPr>
            </w:pPr>
            <w:r>
              <w:rPr>
                <w:rFonts w:ascii="Times New Roman"/>
                <w:sz w:val="21"/>
                <w:szCs w:val="21"/>
              </w:rPr>
              <w:t>HW09</w:t>
            </w:r>
          </w:p>
        </w:tc>
        <w:tc>
          <w:tcPr>
            <w:tcW w:w="746" w:type="pct"/>
            <w:shd w:val="clear" w:color="auto" w:fill="auto"/>
            <w:vAlign w:val="center"/>
          </w:tcPr>
          <w:p w14:paraId="1191BC9E">
            <w:pPr>
              <w:adjustRightInd w:val="0"/>
              <w:snapToGrid w:val="0"/>
              <w:spacing w:line="320" w:lineRule="exact"/>
              <w:jc w:val="center"/>
              <w:rPr>
                <w:rFonts w:ascii="Times New Roman"/>
                <w:sz w:val="21"/>
                <w:szCs w:val="21"/>
              </w:rPr>
            </w:pPr>
            <w:r>
              <w:rPr>
                <w:rFonts w:ascii="Times New Roman"/>
                <w:sz w:val="21"/>
                <w:szCs w:val="21"/>
              </w:rPr>
              <w:t>900-006-09</w:t>
            </w:r>
          </w:p>
        </w:tc>
        <w:tc>
          <w:tcPr>
            <w:tcW w:w="330" w:type="pct"/>
            <w:vMerge w:val="continue"/>
            <w:vAlign w:val="center"/>
          </w:tcPr>
          <w:p w14:paraId="3FB4F975">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6BEBB57E">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4799FBBE">
            <w:pPr>
              <w:tabs>
                <w:tab w:val="left" w:pos="3045"/>
              </w:tabs>
              <w:spacing w:line="320" w:lineRule="exact"/>
              <w:jc w:val="center"/>
              <w:textAlignment w:val="baseline"/>
              <w:rPr>
                <w:rFonts w:ascii="Times New Roman"/>
                <w:spacing w:val="-2"/>
                <w:sz w:val="21"/>
                <w:szCs w:val="21"/>
              </w:rPr>
            </w:pPr>
          </w:p>
        </w:tc>
        <w:tc>
          <w:tcPr>
            <w:tcW w:w="388" w:type="pct"/>
            <w:vAlign w:val="center"/>
          </w:tcPr>
          <w:p w14:paraId="2636D585">
            <w:pPr>
              <w:adjustRightInd w:val="0"/>
              <w:snapToGrid w:val="0"/>
              <w:spacing w:line="320" w:lineRule="exact"/>
              <w:jc w:val="center"/>
              <w:rPr>
                <w:rFonts w:ascii="Times New Roman"/>
                <w:sz w:val="21"/>
                <w:szCs w:val="21"/>
              </w:rPr>
            </w:pPr>
            <w:r>
              <w:rPr>
                <w:rFonts w:hint="eastAsia" w:ascii="Times New Roman"/>
                <w:sz w:val="21"/>
                <w:szCs w:val="21"/>
              </w:rPr>
              <w:t>2</w:t>
            </w:r>
          </w:p>
        </w:tc>
        <w:tc>
          <w:tcPr>
            <w:tcW w:w="357" w:type="pct"/>
            <w:vMerge w:val="continue"/>
            <w:vAlign w:val="center"/>
          </w:tcPr>
          <w:p w14:paraId="246E33CF">
            <w:pPr>
              <w:spacing w:line="320" w:lineRule="exact"/>
              <w:jc w:val="center"/>
              <w:textAlignment w:val="baseline"/>
              <w:rPr>
                <w:rFonts w:ascii="Times New Roman"/>
                <w:spacing w:val="-20"/>
                <w:sz w:val="21"/>
                <w:szCs w:val="21"/>
              </w:rPr>
            </w:pPr>
          </w:p>
        </w:tc>
      </w:tr>
      <w:tr w14:paraId="699F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6778B98F">
            <w:pPr>
              <w:tabs>
                <w:tab w:val="left" w:pos="3045"/>
              </w:tabs>
              <w:spacing w:line="320" w:lineRule="exact"/>
              <w:jc w:val="center"/>
              <w:textAlignment w:val="baseline"/>
              <w:rPr>
                <w:rFonts w:ascii="Times New Roman"/>
                <w:spacing w:val="-2"/>
                <w:sz w:val="21"/>
                <w:szCs w:val="21"/>
              </w:rPr>
            </w:pPr>
            <w:r>
              <w:rPr>
                <w:rFonts w:hint="eastAsia" w:ascii="Times New Roman"/>
                <w:spacing w:val="-2"/>
                <w:sz w:val="21"/>
                <w:szCs w:val="21"/>
              </w:rPr>
              <w:t>11</w:t>
            </w:r>
          </w:p>
        </w:tc>
        <w:tc>
          <w:tcPr>
            <w:tcW w:w="387" w:type="pct"/>
            <w:vMerge w:val="continue"/>
            <w:vAlign w:val="center"/>
          </w:tcPr>
          <w:p w14:paraId="499A04E8">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2D5F8498">
            <w:pPr>
              <w:adjustRightInd w:val="0"/>
              <w:snapToGrid w:val="0"/>
              <w:spacing w:line="320" w:lineRule="exact"/>
              <w:jc w:val="center"/>
              <w:rPr>
                <w:rFonts w:ascii="Times New Roman"/>
                <w:sz w:val="21"/>
                <w:szCs w:val="21"/>
              </w:rPr>
            </w:pPr>
            <w:r>
              <w:rPr>
                <w:rFonts w:hint="eastAsia" w:ascii="Times New Roman"/>
                <w:sz w:val="21"/>
                <w:szCs w:val="21"/>
              </w:rPr>
              <w:t>污泥</w:t>
            </w:r>
          </w:p>
        </w:tc>
        <w:tc>
          <w:tcPr>
            <w:tcW w:w="746" w:type="pct"/>
            <w:shd w:val="clear" w:color="auto" w:fill="auto"/>
            <w:vAlign w:val="center"/>
          </w:tcPr>
          <w:p w14:paraId="5CC2A197">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746" w:type="pct"/>
            <w:shd w:val="clear" w:color="auto" w:fill="auto"/>
            <w:vAlign w:val="center"/>
          </w:tcPr>
          <w:p w14:paraId="107CCB2A">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330" w:type="pct"/>
            <w:vMerge w:val="continue"/>
            <w:vAlign w:val="center"/>
          </w:tcPr>
          <w:p w14:paraId="0401FA8A">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23FFAD0F">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6F205D53">
            <w:pPr>
              <w:tabs>
                <w:tab w:val="left" w:pos="3045"/>
              </w:tabs>
              <w:spacing w:line="320" w:lineRule="exact"/>
              <w:jc w:val="center"/>
              <w:textAlignment w:val="baseline"/>
              <w:rPr>
                <w:rFonts w:ascii="Times New Roman"/>
                <w:spacing w:val="-2"/>
                <w:sz w:val="21"/>
                <w:szCs w:val="21"/>
              </w:rPr>
            </w:pPr>
          </w:p>
        </w:tc>
        <w:tc>
          <w:tcPr>
            <w:tcW w:w="388" w:type="pct"/>
            <w:vAlign w:val="center"/>
          </w:tcPr>
          <w:p w14:paraId="58993C3F">
            <w:pPr>
              <w:adjustRightInd w:val="0"/>
              <w:snapToGrid w:val="0"/>
              <w:spacing w:line="320" w:lineRule="exact"/>
              <w:jc w:val="center"/>
              <w:rPr>
                <w:rFonts w:ascii="Times New Roman"/>
                <w:sz w:val="21"/>
                <w:szCs w:val="21"/>
              </w:rPr>
            </w:pPr>
            <w:r>
              <w:rPr>
                <w:rFonts w:hint="eastAsia" w:ascii="Times New Roman"/>
                <w:sz w:val="21"/>
                <w:szCs w:val="21"/>
              </w:rPr>
              <w:t>30</w:t>
            </w:r>
          </w:p>
        </w:tc>
        <w:tc>
          <w:tcPr>
            <w:tcW w:w="357" w:type="pct"/>
            <w:vMerge w:val="continue"/>
            <w:vAlign w:val="center"/>
          </w:tcPr>
          <w:p w14:paraId="7B82C277">
            <w:pPr>
              <w:spacing w:line="320" w:lineRule="exact"/>
              <w:jc w:val="center"/>
              <w:textAlignment w:val="baseline"/>
              <w:rPr>
                <w:rFonts w:ascii="Times New Roman"/>
                <w:spacing w:val="-20"/>
                <w:sz w:val="21"/>
                <w:szCs w:val="21"/>
              </w:rPr>
            </w:pPr>
          </w:p>
        </w:tc>
      </w:tr>
      <w:tr w14:paraId="5F1E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6723301C">
            <w:pPr>
              <w:tabs>
                <w:tab w:val="left" w:pos="3045"/>
              </w:tabs>
              <w:spacing w:line="320" w:lineRule="exact"/>
              <w:jc w:val="center"/>
              <w:textAlignment w:val="baseline"/>
              <w:rPr>
                <w:rFonts w:ascii="Times New Roman"/>
                <w:spacing w:val="-2"/>
                <w:sz w:val="21"/>
                <w:szCs w:val="21"/>
              </w:rPr>
            </w:pPr>
            <w:r>
              <w:rPr>
                <w:rFonts w:hint="eastAsia" w:ascii="Times New Roman"/>
                <w:spacing w:val="-2"/>
                <w:sz w:val="21"/>
                <w:szCs w:val="21"/>
              </w:rPr>
              <w:t>12</w:t>
            </w:r>
          </w:p>
        </w:tc>
        <w:tc>
          <w:tcPr>
            <w:tcW w:w="387" w:type="pct"/>
            <w:vMerge w:val="continue"/>
            <w:vAlign w:val="center"/>
          </w:tcPr>
          <w:p w14:paraId="3753C1EC">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64776B3B">
            <w:pPr>
              <w:adjustRightInd w:val="0"/>
              <w:snapToGrid w:val="0"/>
              <w:spacing w:line="320" w:lineRule="exact"/>
              <w:jc w:val="center"/>
              <w:rPr>
                <w:rFonts w:ascii="Times New Roman"/>
                <w:sz w:val="21"/>
                <w:szCs w:val="21"/>
              </w:rPr>
            </w:pPr>
            <w:r>
              <w:rPr>
                <w:rFonts w:ascii="Times New Roman"/>
                <w:sz w:val="21"/>
                <w:szCs w:val="21"/>
              </w:rPr>
              <w:t>废过滤棉</w:t>
            </w:r>
          </w:p>
        </w:tc>
        <w:tc>
          <w:tcPr>
            <w:tcW w:w="746" w:type="pct"/>
            <w:shd w:val="clear" w:color="auto" w:fill="auto"/>
            <w:vAlign w:val="center"/>
          </w:tcPr>
          <w:p w14:paraId="0CAAA050">
            <w:pPr>
              <w:adjustRightInd w:val="0"/>
              <w:snapToGrid w:val="0"/>
              <w:spacing w:line="320" w:lineRule="exact"/>
              <w:jc w:val="center"/>
              <w:rPr>
                <w:rFonts w:ascii="Times New Roman"/>
                <w:sz w:val="21"/>
                <w:szCs w:val="21"/>
              </w:rPr>
            </w:pPr>
            <w:r>
              <w:rPr>
                <w:rFonts w:ascii="Times New Roman"/>
                <w:sz w:val="21"/>
                <w:szCs w:val="21"/>
              </w:rPr>
              <w:t>HW49</w:t>
            </w:r>
          </w:p>
        </w:tc>
        <w:tc>
          <w:tcPr>
            <w:tcW w:w="746" w:type="pct"/>
            <w:shd w:val="clear" w:color="auto" w:fill="auto"/>
            <w:vAlign w:val="center"/>
          </w:tcPr>
          <w:p w14:paraId="26591545">
            <w:pPr>
              <w:topLinePunct/>
              <w:adjustRightInd w:val="0"/>
              <w:snapToGrid w:val="0"/>
              <w:spacing w:line="320" w:lineRule="exact"/>
              <w:jc w:val="center"/>
              <w:rPr>
                <w:rFonts w:ascii="Times New Roman"/>
                <w:sz w:val="21"/>
                <w:szCs w:val="21"/>
              </w:rPr>
            </w:pPr>
            <w:r>
              <w:rPr>
                <w:rFonts w:ascii="Times New Roman"/>
                <w:sz w:val="21"/>
                <w:szCs w:val="21"/>
              </w:rPr>
              <w:t>900-041-49</w:t>
            </w:r>
          </w:p>
        </w:tc>
        <w:tc>
          <w:tcPr>
            <w:tcW w:w="330" w:type="pct"/>
            <w:vMerge w:val="continue"/>
            <w:vAlign w:val="center"/>
          </w:tcPr>
          <w:p w14:paraId="74585F90">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3AB6C979">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60236CE6">
            <w:pPr>
              <w:tabs>
                <w:tab w:val="left" w:pos="3045"/>
              </w:tabs>
              <w:spacing w:line="320" w:lineRule="exact"/>
              <w:jc w:val="center"/>
              <w:textAlignment w:val="baseline"/>
              <w:rPr>
                <w:rFonts w:ascii="Times New Roman"/>
                <w:spacing w:val="-2"/>
                <w:sz w:val="21"/>
                <w:szCs w:val="21"/>
              </w:rPr>
            </w:pPr>
          </w:p>
        </w:tc>
        <w:tc>
          <w:tcPr>
            <w:tcW w:w="388" w:type="pct"/>
            <w:vAlign w:val="center"/>
          </w:tcPr>
          <w:p w14:paraId="237DD0D4">
            <w:pPr>
              <w:adjustRightInd w:val="0"/>
              <w:snapToGrid w:val="0"/>
              <w:spacing w:line="320" w:lineRule="exact"/>
              <w:jc w:val="center"/>
              <w:rPr>
                <w:rFonts w:ascii="Times New Roman"/>
                <w:sz w:val="21"/>
                <w:szCs w:val="21"/>
              </w:rPr>
            </w:pPr>
            <w:r>
              <w:rPr>
                <w:rFonts w:hint="eastAsia" w:ascii="Times New Roman"/>
                <w:sz w:val="21"/>
                <w:szCs w:val="21"/>
              </w:rPr>
              <w:t>3</w:t>
            </w:r>
          </w:p>
        </w:tc>
        <w:tc>
          <w:tcPr>
            <w:tcW w:w="357" w:type="pct"/>
            <w:vMerge w:val="continue"/>
            <w:vAlign w:val="center"/>
          </w:tcPr>
          <w:p w14:paraId="57BDA25E">
            <w:pPr>
              <w:spacing w:line="320" w:lineRule="exact"/>
              <w:jc w:val="center"/>
              <w:textAlignment w:val="baseline"/>
              <w:rPr>
                <w:rFonts w:ascii="Times New Roman"/>
                <w:spacing w:val="-20"/>
                <w:sz w:val="21"/>
                <w:szCs w:val="21"/>
              </w:rPr>
            </w:pPr>
          </w:p>
        </w:tc>
      </w:tr>
      <w:tr w14:paraId="6526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shd w:val="clear" w:color="auto" w:fill="auto"/>
            <w:vAlign w:val="center"/>
          </w:tcPr>
          <w:p w14:paraId="0D58B447">
            <w:pPr>
              <w:tabs>
                <w:tab w:val="left" w:pos="3045"/>
              </w:tabs>
              <w:spacing w:line="320" w:lineRule="exact"/>
              <w:jc w:val="center"/>
              <w:textAlignment w:val="baseline"/>
              <w:rPr>
                <w:rFonts w:ascii="Times New Roman"/>
                <w:spacing w:val="-2"/>
                <w:sz w:val="21"/>
                <w:szCs w:val="21"/>
              </w:rPr>
            </w:pPr>
            <w:r>
              <w:rPr>
                <w:rFonts w:hint="eastAsia" w:ascii="Times New Roman"/>
                <w:spacing w:val="-2"/>
                <w:sz w:val="21"/>
                <w:szCs w:val="21"/>
              </w:rPr>
              <w:t>13</w:t>
            </w:r>
          </w:p>
        </w:tc>
        <w:tc>
          <w:tcPr>
            <w:tcW w:w="387" w:type="pct"/>
            <w:vMerge w:val="continue"/>
            <w:vAlign w:val="center"/>
          </w:tcPr>
          <w:p w14:paraId="448031ED">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4B4720B7">
            <w:pPr>
              <w:adjustRightInd w:val="0"/>
              <w:snapToGrid w:val="0"/>
              <w:spacing w:line="320" w:lineRule="exact"/>
              <w:jc w:val="center"/>
              <w:rPr>
                <w:rFonts w:ascii="Times New Roman"/>
                <w:sz w:val="21"/>
                <w:szCs w:val="21"/>
              </w:rPr>
            </w:pPr>
            <w:r>
              <w:rPr>
                <w:rFonts w:ascii="Times New Roman"/>
                <w:sz w:val="21"/>
                <w:szCs w:val="21"/>
              </w:rPr>
              <w:t>废沸石分子筛</w:t>
            </w:r>
          </w:p>
        </w:tc>
        <w:tc>
          <w:tcPr>
            <w:tcW w:w="746" w:type="pct"/>
            <w:shd w:val="clear" w:color="auto" w:fill="auto"/>
            <w:vAlign w:val="center"/>
          </w:tcPr>
          <w:p w14:paraId="635B1CF7">
            <w:pPr>
              <w:adjustRightInd w:val="0"/>
              <w:snapToGrid w:val="0"/>
              <w:spacing w:line="320" w:lineRule="exact"/>
              <w:jc w:val="center"/>
              <w:rPr>
                <w:rFonts w:ascii="Times New Roman"/>
                <w:sz w:val="21"/>
                <w:szCs w:val="21"/>
              </w:rPr>
            </w:pPr>
            <w:r>
              <w:rPr>
                <w:rFonts w:ascii="Times New Roman"/>
                <w:sz w:val="21"/>
                <w:szCs w:val="21"/>
              </w:rPr>
              <w:t>HW49</w:t>
            </w:r>
          </w:p>
        </w:tc>
        <w:tc>
          <w:tcPr>
            <w:tcW w:w="746" w:type="pct"/>
            <w:shd w:val="clear" w:color="auto" w:fill="auto"/>
            <w:vAlign w:val="center"/>
          </w:tcPr>
          <w:p w14:paraId="4775974E">
            <w:pPr>
              <w:topLinePunct/>
              <w:adjustRightInd w:val="0"/>
              <w:snapToGrid w:val="0"/>
              <w:spacing w:line="320" w:lineRule="exact"/>
              <w:jc w:val="center"/>
              <w:rPr>
                <w:rFonts w:ascii="Times New Roman"/>
                <w:sz w:val="21"/>
                <w:szCs w:val="21"/>
              </w:rPr>
            </w:pPr>
            <w:r>
              <w:rPr>
                <w:rFonts w:ascii="Times New Roman"/>
                <w:sz w:val="21"/>
                <w:szCs w:val="21"/>
              </w:rPr>
              <w:t>900-041-49</w:t>
            </w:r>
          </w:p>
        </w:tc>
        <w:tc>
          <w:tcPr>
            <w:tcW w:w="330" w:type="pct"/>
            <w:vMerge w:val="continue"/>
            <w:vAlign w:val="center"/>
          </w:tcPr>
          <w:p w14:paraId="05B12BFD">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2C76174F">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3B74D584">
            <w:pPr>
              <w:tabs>
                <w:tab w:val="left" w:pos="3045"/>
              </w:tabs>
              <w:spacing w:line="320" w:lineRule="exact"/>
              <w:jc w:val="center"/>
              <w:textAlignment w:val="baseline"/>
              <w:rPr>
                <w:rFonts w:ascii="Times New Roman"/>
                <w:spacing w:val="-2"/>
                <w:sz w:val="21"/>
                <w:szCs w:val="21"/>
              </w:rPr>
            </w:pPr>
          </w:p>
        </w:tc>
        <w:tc>
          <w:tcPr>
            <w:tcW w:w="388" w:type="pct"/>
            <w:vAlign w:val="center"/>
          </w:tcPr>
          <w:p w14:paraId="3E751902">
            <w:pPr>
              <w:adjustRightInd w:val="0"/>
              <w:snapToGrid w:val="0"/>
              <w:spacing w:line="320" w:lineRule="exact"/>
              <w:jc w:val="center"/>
              <w:rPr>
                <w:rFonts w:ascii="Times New Roman"/>
                <w:sz w:val="21"/>
                <w:szCs w:val="21"/>
              </w:rPr>
            </w:pPr>
            <w:r>
              <w:rPr>
                <w:rFonts w:hint="eastAsia" w:ascii="Times New Roman"/>
                <w:sz w:val="21"/>
                <w:szCs w:val="21"/>
              </w:rPr>
              <w:t>20</w:t>
            </w:r>
          </w:p>
        </w:tc>
        <w:tc>
          <w:tcPr>
            <w:tcW w:w="357" w:type="pct"/>
            <w:vMerge w:val="continue"/>
            <w:vAlign w:val="center"/>
          </w:tcPr>
          <w:p w14:paraId="19EC95A6">
            <w:pPr>
              <w:spacing w:line="320" w:lineRule="exact"/>
              <w:jc w:val="center"/>
              <w:textAlignment w:val="baseline"/>
              <w:rPr>
                <w:rFonts w:ascii="Times New Roman"/>
                <w:spacing w:val="-20"/>
                <w:sz w:val="21"/>
                <w:szCs w:val="21"/>
              </w:rPr>
            </w:pPr>
          </w:p>
        </w:tc>
      </w:tr>
      <w:tr w14:paraId="03D4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31" w:type="pct"/>
            <w:vAlign w:val="center"/>
          </w:tcPr>
          <w:p w14:paraId="67F776EB">
            <w:pPr>
              <w:tabs>
                <w:tab w:val="left" w:pos="3045"/>
              </w:tabs>
              <w:spacing w:line="320" w:lineRule="exact"/>
              <w:jc w:val="center"/>
              <w:textAlignment w:val="baseline"/>
              <w:rPr>
                <w:rFonts w:ascii="Times New Roman"/>
                <w:spacing w:val="-2"/>
                <w:sz w:val="21"/>
                <w:szCs w:val="21"/>
              </w:rPr>
            </w:pPr>
            <w:r>
              <w:rPr>
                <w:rFonts w:hint="eastAsia" w:ascii="Times New Roman"/>
                <w:spacing w:val="-2"/>
                <w:sz w:val="21"/>
                <w:szCs w:val="21"/>
              </w:rPr>
              <w:t>14</w:t>
            </w:r>
          </w:p>
        </w:tc>
        <w:tc>
          <w:tcPr>
            <w:tcW w:w="387" w:type="pct"/>
            <w:vMerge w:val="continue"/>
            <w:vAlign w:val="center"/>
          </w:tcPr>
          <w:p w14:paraId="4557977B">
            <w:pPr>
              <w:tabs>
                <w:tab w:val="left" w:pos="3045"/>
              </w:tabs>
              <w:spacing w:line="320" w:lineRule="exact"/>
              <w:jc w:val="center"/>
              <w:textAlignment w:val="baseline"/>
              <w:rPr>
                <w:rFonts w:ascii="Times New Roman"/>
                <w:spacing w:val="-2"/>
                <w:sz w:val="21"/>
                <w:szCs w:val="21"/>
              </w:rPr>
            </w:pPr>
          </w:p>
        </w:tc>
        <w:tc>
          <w:tcPr>
            <w:tcW w:w="1032" w:type="pct"/>
            <w:shd w:val="clear" w:color="auto" w:fill="auto"/>
            <w:vAlign w:val="center"/>
          </w:tcPr>
          <w:p w14:paraId="78061ABA">
            <w:pPr>
              <w:adjustRightInd w:val="0"/>
              <w:snapToGrid w:val="0"/>
              <w:spacing w:line="320" w:lineRule="exact"/>
              <w:jc w:val="center"/>
              <w:rPr>
                <w:rFonts w:ascii="Times New Roman"/>
                <w:sz w:val="21"/>
                <w:szCs w:val="21"/>
              </w:rPr>
            </w:pPr>
            <w:r>
              <w:rPr>
                <w:rFonts w:ascii="Times New Roman"/>
                <w:sz w:val="21"/>
                <w:szCs w:val="21"/>
              </w:rPr>
              <w:t>废活性炭</w:t>
            </w:r>
          </w:p>
        </w:tc>
        <w:tc>
          <w:tcPr>
            <w:tcW w:w="746" w:type="pct"/>
            <w:shd w:val="clear" w:color="auto" w:fill="auto"/>
            <w:vAlign w:val="center"/>
          </w:tcPr>
          <w:p w14:paraId="52358C5E">
            <w:pPr>
              <w:adjustRightInd w:val="0"/>
              <w:snapToGrid w:val="0"/>
              <w:spacing w:line="320" w:lineRule="exact"/>
              <w:jc w:val="center"/>
              <w:rPr>
                <w:rFonts w:ascii="Times New Roman"/>
                <w:sz w:val="21"/>
                <w:szCs w:val="21"/>
              </w:rPr>
            </w:pPr>
            <w:r>
              <w:rPr>
                <w:rFonts w:ascii="Times New Roman"/>
                <w:sz w:val="21"/>
                <w:szCs w:val="21"/>
              </w:rPr>
              <w:t>HW49</w:t>
            </w:r>
          </w:p>
        </w:tc>
        <w:tc>
          <w:tcPr>
            <w:tcW w:w="746" w:type="pct"/>
            <w:shd w:val="clear" w:color="auto" w:fill="auto"/>
            <w:vAlign w:val="center"/>
          </w:tcPr>
          <w:p w14:paraId="4511B436">
            <w:pPr>
              <w:topLinePunct/>
              <w:adjustRightInd w:val="0"/>
              <w:snapToGrid w:val="0"/>
              <w:spacing w:line="320" w:lineRule="exact"/>
              <w:jc w:val="center"/>
              <w:rPr>
                <w:rFonts w:ascii="Times New Roman"/>
                <w:sz w:val="21"/>
                <w:szCs w:val="21"/>
              </w:rPr>
            </w:pPr>
            <w:r>
              <w:rPr>
                <w:rFonts w:ascii="Times New Roman"/>
                <w:sz w:val="21"/>
                <w:szCs w:val="21"/>
              </w:rPr>
              <w:t>900-039-49</w:t>
            </w:r>
          </w:p>
        </w:tc>
        <w:tc>
          <w:tcPr>
            <w:tcW w:w="330" w:type="pct"/>
            <w:vMerge w:val="continue"/>
            <w:vAlign w:val="center"/>
          </w:tcPr>
          <w:p w14:paraId="563882A4">
            <w:pPr>
              <w:tabs>
                <w:tab w:val="left" w:pos="3045"/>
              </w:tabs>
              <w:spacing w:line="320" w:lineRule="exact"/>
              <w:jc w:val="center"/>
              <w:textAlignment w:val="baseline"/>
              <w:rPr>
                <w:rFonts w:ascii="Times New Roman"/>
                <w:spacing w:val="-2"/>
                <w:sz w:val="21"/>
                <w:szCs w:val="21"/>
              </w:rPr>
            </w:pPr>
          </w:p>
        </w:tc>
        <w:tc>
          <w:tcPr>
            <w:tcW w:w="483" w:type="pct"/>
            <w:vMerge w:val="continue"/>
            <w:vAlign w:val="center"/>
          </w:tcPr>
          <w:p w14:paraId="7025EFE3">
            <w:pPr>
              <w:tabs>
                <w:tab w:val="left" w:pos="3045"/>
              </w:tabs>
              <w:spacing w:line="320" w:lineRule="exact"/>
              <w:jc w:val="center"/>
              <w:textAlignment w:val="baseline"/>
              <w:rPr>
                <w:rFonts w:ascii="Times New Roman"/>
                <w:spacing w:val="-2"/>
                <w:sz w:val="21"/>
                <w:szCs w:val="21"/>
              </w:rPr>
            </w:pPr>
          </w:p>
        </w:tc>
        <w:tc>
          <w:tcPr>
            <w:tcW w:w="295" w:type="pct"/>
            <w:vMerge w:val="continue"/>
            <w:vAlign w:val="center"/>
          </w:tcPr>
          <w:p w14:paraId="4F524F9C">
            <w:pPr>
              <w:tabs>
                <w:tab w:val="left" w:pos="3045"/>
              </w:tabs>
              <w:spacing w:line="320" w:lineRule="exact"/>
              <w:jc w:val="center"/>
              <w:textAlignment w:val="baseline"/>
              <w:rPr>
                <w:rFonts w:ascii="Times New Roman"/>
                <w:spacing w:val="-2"/>
                <w:sz w:val="21"/>
                <w:szCs w:val="21"/>
              </w:rPr>
            </w:pPr>
          </w:p>
        </w:tc>
        <w:tc>
          <w:tcPr>
            <w:tcW w:w="388" w:type="pct"/>
            <w:vAlign w:val="center"/>
          </w:tcPr>
          <w:p w14:paraId="72B8FEAC">
            <w:pPr>
              <w:adjustRightInd w:val="0"/>
              <w:snapToGrid w:val="0"/>
              <w:spacing w:line="320" w:lineRule="exact"/>
              <w:jc w:val="center"/>
              <w:rPr>
                <w:rFonts w:ascii="Times New Roman"/>
                <w:sz w:val="21"/>
                <w:szCs w:val="21"/>
              </w:rPr>
            </w:pPr>
            <w:r>
              <w:rPr>
                <w:rFonts w:hint="eastAsia" w:ascii="Times New Roman"/>
                <w:sz w:val="21"/>
                <w:szCs w:val="21"/>
              </w:rPr>
              <w:t>5</w:t>
            </w:r>
          </w:p>
        </w:tc>
        <w:tc>
          <w:tcPr>
            <w:tcW w:w="357" w:type="pct"/>
            <w:vMerge w:val="continue"/>
            <w:vAlign w:val="center"/>
          </w:tcPr>
          <w:p w14:paraId="5BD34643">
            <w:pPr>
              <w:spacing w:line="320" w:lineRule="exact"/>
              <w:jc w:val="center"/>
              <w:textAlignment w:val="baseline"/>
              <w:rPr>
                <w:rFonts w:ascii="Times New Roman"/>
                <w:spacing w:val="-20"/>
                <w:sz w:val="21"/>
                <w:szCs w:val="21"/>
              </w:rPr>
            </w:pPr>
          </w:p>
        </w:tc>
      </w:tr>
    </w:tbl>
    <w:p w14:paraId="2064A1BD">
      <w:pPr>
        <w:rPr>
          <w:rFonts w:ascii="Times New Roman"/>
          <w:b/>
          <w:sz w:val="28"/>
          <w:szCs w:val="28"/>
        </w:rPr>
      </w:pPr>
      <w:r>
        <w:rPr>
          <w:rFonts w:ascii="Times New Roman"/>
          <w:b/>
          <w:sz w:val="28"/>
          <w:szCs w:val="28"/>
        </w:rPr>
        <w:br w:type="page"/>
      </w:r>
    </w:p>
    <w:p w14:paraId="617D03D6">
      <w:pPr>
        <w:spacing w:line="520" w:lineRule="exact"/>
        <w:outlineLvl w:val="2"/>
        <w:rPr>
          <w:rFonts w:ascii="Times New Roman"/>
          <w:b/>
          <w:sz w:val="28"/>
          <w:szCs w:val="28"/>
        </w:rPr>
      </w:pPr>
      <w:r>
        <w:rPr>
          <w:rFonts w:ascii="Times New Roman"/>
          <w:b/>
          <w:sz w:val="28"/>
          <w:szCs w:val="28"/>
        </w:rPr>
        <w:t>3.7.5防渗措施</w:t>
      </w:r>
    </w:p>
    <w:p w14:paraId="1AE726CF">
      <w:pPr>
        <w:widowControl/>
        <w:spacing w:line="480" w:lineRule="exact"/>
        <w:ind w:firstLine="480" w:firstLineChars="200"/>
        <w:rPr>
          <w:rFonts w:ascii="Times New Roman"/>
          <w:sz w:val="24"/>
          <w:szCs w:val="20"/>
        </w:rPr>
      </w:pPr>
      <w:r>
        <w:rPr>
          <w:rFonts w:ascii="Times New Roman"/>
          <w:sz w:val="24"/>
          <w:szCs w:val="20"/>
        </w:rPr>
        <w:t>为防止对地下水的污染，按照重点防治污染区、一般污染防治区、非污染区进行防渗处理，对污染防治区应分别采取不同等级的防渗方案，防腐、防渗措施具体做法参考</w:t>
      </w:r>
      <w:r>
        <w:rPr>
          <w:rFonts w:ascii="Times New Roman"/>
          <w:sz w:val="24"/>
          <w:szCs w:val="24"/>
        </w:rPr>
        <w:t>《环境影响评级技术导则 地下水环境》（HJ 610-2016）、</w:t>
      </w:r>
      <w:r>
        <w:rPr>
          <w:rFonts w:ascii="Times New Roman"/>
          <w:sz w:val="24"/>
          <w:szCs w:val="20"/>
        </w:rPr>
        <w:t>《石油化工防渗工程技术规范》（GB/T50934-2013）、</w:t>
      </w:r>
      <w:r>
        <w:rPr>
          <w:rFonts w:ascii="Times New Roman"/>
          <w:bCs/>
          <w:kern w:val="0"/>
          <w:sz w:val="24"/>
          <w:szCs w:val="24"/>
        </w:rPr>
        <w:t>《危险废物贮存污染控制标准》（GB18597-2001）</w:t>
      </w:r>
      <w:r>
        <w:rPr>
          <w:rFonts w:ascii="Times New Roman"/>
          <w:sz w:val="24"/>
          <w:szCs w:val="20"/>
        </w:rPr>
        <w:t>，采取必要的防渗措施。采取的措施如下：</w:t>
      </w:r>
    </w:p>
    <w:p w14:paraId="625FC964">
      <w:pPr>
        <w:widowControl/>
        <w:spacing w:line="480" w:lineRule="exact"/>
        <w:ind w:firstLine="480" w:firstLineChars="200"/>
        <w:rPr>
          <w:rFonts w:ascii="Times New Roman"/>
          <w:sz w:val="24"/>
          <w:szCs w:val="20"/>
        </w:rPr>
      </w:pPr>
      <w:r>
        <w:rPr>
          <w:rFonts w:ascii="Times New Roman"/>
          <w:sz w:val="24"/>
          <w:szCs w:val="20"/>
        </w:rPr>
        <w:t>本次将表面涂装区（喷漆线、电泳线）、污水处理站、危化库、危废库</w:t>
      </w:r>
      <w:r>
        <w:rPr>
          <w:rFonts w:ascii="Times New Roman"/>
          <w:sz w:val="24"/>
          <w:szCs w:val="24"/>
        </w:rPr>
        <w:t>设置为</w:t>
      </w:r>
      <w:r>
        <w:rPr>
          <w:rFonts w:ascii="Times New Roman"/>
          <w:sz w:val="24"/>
          <w:szCs w:val="20"/>
        </w:rPr>
        <w:t>重点防渗区，车间其他区域、消防水池、垃圾回收房等</w:t>
      </w:r>
      <w:r>
        <w:rPr>
          <w:rFonts w:hint="eastAsia" w:ascii="Times New Roman"/>
          <w:sz w:val="24"/>
          <w:szCs w:val="20"/>
        </w:rPr>
        <w:t>，</w:t>
      </w:r>
      <w:r>
        <w:rPr>
          <w:rFonts w:ascii="Times New Roman"/>
          <w:sz w:val="24"/>
          <w:szCs w:val="20"/>
        </w:rPr>
        <w:t>一般防渗，除绿化外其他全部区域设置为简单防渗。防腐防渗区技术要求见下表。</w:t>
      </w:r>
    </w:p>
    <w:p w14:paraId="39FB36FB">
      <w:pPr>
        <w:widowControl/>
        <w:spacing w:line="480" w:lineRule="exact"/>
        <w:jc w:val="center"/>
        <w:rPr>
          <w:rFonts w:ascii="Times New Roman"/>
          <w:b/>
          <w:sz w:val="24"/>
          <w:szCs w:val="20"/>
        </w:rPr>
      </w:pPr>
      <w:r>
        <w:rPr>
          <w:rFonts w:ascii="Times New Roman"/>
          <w:b/>
          <w:sz w:val="24"/>
          <w:szCs w:val="20"/>
        </w:rPr>
        <w:t>表3.8-</w:t>
      </w:r>
      <w:r>
        <w:rPr>
          <w:rFonts w:hint="eastAsia" w:ascii="Times New Roman"/>
          <w:b/>
          <w:sz w:val="24"/>
          <w:szCs w:val="20"/>
        </w:rPr>
        <w:t>18</w:t>
      </w:r>
      <w:r>
        <w:rPr>
          <w:rFonts w:ascii="Times New Roman"/>
          <w:b/>
          <w:sz w:val="24"/>
          <w:szCs w:val="20"/>
        </w:rPr>
        <w:t xml:space="preserve">  拟建工程地面防腐防渗措施一览表</w:t>
      </w:r>
    </w:p>
    <w:tbl>
      <w:tblPr>
        <w:tblStyle w:val="8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80"/>
        <w:gridCol w:w="4582"/>
        <w:gridCol w:w="2233"/>
      </w:tblGrid>
      <w:tr w14:paraId="0FCD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892" w:type="pct"/>
            <w:vAlign w:val="center"/>
          </w:tcPr>
          <w:p w14:paraId="76CDEEAB">
            <w:pPr>
              <w:adjustRightInd w:val="0"/>
              <w:snapToGrid w:val="0"/>
              <w:spacing w:line="320" w:lineRule="exact"/>
              <w:jc w:val="center"/>
              <w:rPr>
                <w:rFonts w:ascii="Times New Roman"/>
                <w:bCs/>
                <w:sz w:val="21"/>
                <w:szCs w:val="21"/>
              </w:rPr>
            </w:pPr>
            <w:r>
              <w:rPr>
                <w:rFonts w:ascii="Times New Roman"/>
                <w:bCs/>
                <w:sz w:val="21"/>
                <w:szCs w:val="21"/>
              </w:rPr>
              <w:t>分级</w:t>
            </w:r>
          </w:p>
        </w:tc>
        <w:tc>
          <w:tcPr>
            <w:tcW w:w="2761" w:type="pct"/>
            <w:vAlign w:val="center"/>
          </w:tcPr>
          <w:p w14:paraId="7B725284">
            <w:pPr>
              <w:adjustRightInd w:val="0"/>
              <w:snapToGrid w:val="0"/>
              <w:spacing w:line="320" w:lineRule="exact"/>
              <w:jc w:val="center"/>
              <w:rPr>
                <w:rFonts w:ascii="Times New Roman"/>
                <w:bCs/>
                <w:sz w:val="21"/>
                <w:szCs w:val="21"/>
              </w:rPr>
            </w:pPr>
            <w:r>
              <w:rPr>
                <w:rFonts w:ascii="Times New Roman"/>
                <w:bCs/>
                <w:sz w:val="21"/>
                <w:szCs w:val="21"/>
              </w:rPr>
              <w:t>项目</w:t>
            </w:r>
          </w:p>
        </w:tc>
        <w:tc>
          <w:tcPr>
            <w:tcW w:w="1345" w:type="pct"/>
            <w:vAlign w:val="center"/>
          </w:tcPr>
          <w:p w14:paraId="4671CD7E">
            <w:pPr>
              <w:widowControl/>
              <w:spacing w:line="320" w:lineRule="exact"/>
              <w:jc w:val="center"/>
              <w:rPr>
                <w:rFonts w:ascii="Times New Roman"/>
                <w:bCs/>
                <w:sz w:val="21"/>
                <w:szCs w:val="21"/>
              </w:rPr>
            </w:pPr>
            <w:r>
              <w:rPr>
                <w:rFonts w:ascii="Times New Roman"/>
                <w:snapToGrid w:val="0"/>
                <w:kern w:val="0"/>
                <w:sz w:val="21"/>
                <w:szCs w:val="21"/>
              </w:rPr>
              <w:t>渗透系数</w:t>
            </w:r>
          </w:p>
        </w:tc>
      </w:tr>
      <w:tr w14:paraId="3865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892" w:type="pct"/>
            <w:vAlign w:val="center"/>
          </w:tcPr>
          <w:p w14:paraId="3F05BAAE">
            <w:pPr>
              <w:adjustRightInd w:val="0"/>
              <w:snapToGrid w:val="0"/>
              <w:spacing w:line="320" w:lineRule="exact"/>
              <w:jc w:val="center"/>
              <w:rPr>
                <w:rFonts w:ascii="Times New Roman"/>
                <w:bCs/>
                <w:sz w:val="21"/>
                <w:szCs w:val="21"/>
              </w:rPr>
            </w:pPr>
            <w:r>
              <w:rPr>
                <w:rFonts w:ascii="Times New Roman"/>
                <w:bCs/>
                <w:sz w:val="21"/>
                <w:szCs w:val="21"/>
              </w:rPr>
              <w:t>重点防渗区</w:t>
            </w:r>
          </w:p>
        </w:tc>
        <w:tc>
          <w:tcPr>
            <w:tcW w:w="2761" w:type="pct"/>
            <w:vAlign w:val="center"/>
          </w:tcPr>
          <w:p w14:paraId="11BC1B11">
            <w:pPr>
              <w:spacing w:line="320" w:lineRule="exact"/>
              <w:jc w:val="center"/>
              <w:rPr>
                <w:rFonts w:ascii="Times New Roman"/>
                <w:bCs/>
                <w:spacing w:val="-6"/>
                <w:sz w:val="21"/>
                <w:szCs w:val="21"/>
              </w:rPr>
            </w:pPr>
            <w:r>
              <w:rPr>
                <w:rFonts w:ascii="Times New Roman"/>
                <w:kern w:val="0"/>
                <w:sz w:val="21"/>
                <w:szCs w:val="21"/>
              </w:rPr>
              <w:t>表面涂装区</w:t>
            </w:r>
            <w:r>
              <w:rPr>
                <w:rFonts w:hint="eastAsia" w:ascii="Times New Roman"/>
                <w:kern w:val="0"/>
                <w:sz w:val="21"/>
                <w:szCs w:val="21"/>
              </w:rPr>
              <w:t>（喷漆线、电泳线）</w:t>
            </w:r>
            <w:r>
              <w:rPr>
                <w:rFonts w:ascii="Times New Roman"/>
                <w:bCs/>
                <w:sz w:val="21"/>
                <w:szCs w:val="21"/>
              </w:rPr>
              <w:t>、</w:t>
            </w:r>
            <w:r>
              <w:rPr>
                <w:rFonts w:hint="eastAsia" w:ascii="Times New Roman"/>
                <w:bCs/>
                <w:sz w:val="21"/>
                <w:szCs w:val="21"/>
              </w:rPr>
              <w:t>污水处理站</w:t>
            </w:r>
            <w:r>
              <w:rPr>
                <w:rFonts w:ascii="Times New Roman"/>
                <w:bCs/>
                <w:sz w:val="21"/>
                <w:szCs w:val="21"/>
              </w:rPr>
              <w:t>、</w:t>
            </w:r>
            <w:r>
              <w:rPr>
                <w:rFonts w:hint="eastAsia" w:ascii="Times New Roman"/>
                <w:bCs/>
                <w:sz w:val="21"/>
                <w:szCs w:val="21"/>
              </w:rPr>
              <w:t>危化库</w:t>
            </w:r>
            <w:r>
              <w:rPr>
                <w:rFonts w:ascii="Times New Roman"/>
                <w:bCs/>
                <w:sz w:val="21"/>
                <w:szCs w:val="21"/>
              </w:rPr>
              <w:t>、危废</w:t>
            </w:r>
            <w:r>
              <w:rPr>
                <w:rFonts w:hint="eastAsia" w:ascii="Times New Roman"/>
                <w:bCs/>
                <w:sz w:val="21"/>
                <w:szCs w:val="21"/>
              </w:rPr>
              <w:t>库</w:t>
            </w:r>
          </w:p>
        </w:tc>
        <w:tc>
          <w:tcPr>
            <w:tcW w:w="1345" w:type="pct"/>
            <w:vAlign w:val="center"/>
          </w:tcPr>
          <w:p w14:paraId="3F39493C">
            <w:pPr>
              <w:widowControl/>
              <w:spacing w:line="320" w:lineRule="exact"/>
              <w:jc w:val="center"/>
              <w:rPr>
                <w:rFonts w:ascii="Times New Roman"/>
                <w:bCs/>
                <w:sz w:val="21"/>
                <w:szCs w:val="21"/>
              </w:rPr>
            </w:pPr>
            <w:r>
              <w:rPr>
                <w:rFonts w:ascii="Times New Roman"/>
                <w:bCs/>
                <w:sz w:val="21"/>
                <w:szCs w:val="21"/>
              </w:rPr>
              <w:t>≤1×10</w:t>
            </w:r>
            <w:r>
              <w:rPr>
                <w:rFonts w:ascii="Times New Roman"/>
                <w:bCs/>
                <w:sz w:val="21"/>
                <w:szCs w:val="21"/>
                <w:vertAlign w:val="superscript"/>
              </w:rPr>
              <w:t>-10</w:t>
            </w:r>
            <w:r>
              <w:rPr>
                <w:rFonts w:ascii="Times New Roman"/>
                <w:bCs/>
                <w:sz w:val="21"/>
                <w:szCs w:val="21"/>
              </w:rPr>
              <w:t>cm/s</w:t>
            </w:r>
          </w:p>
        </w:tc>
      </w:tr>
      <w:tr w14:paraId="660A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892" w:type="pct"/>
            <w:vAlign w:val="center"/>
          </w:tcPr>
          <w:p w14:paraId="2FB71D45">
            <w:pPr>
              <w:adjustRightInd w:val="0"/>
              <w:snapToGrid w:val="0"/>
              <w:spacing w:line="320" w:lineRule="exact"/>
              <w:jc w:val="center"/>
              <w:rPr>
                <w:rFonts w:ascii="Times New Roman"/>
                <w:bCs/>
                <w:sz w:val="21"/>
                <w:szCs w:val="21"/>
              </w:rPr>
            </w:pPr>
            <w:r>
              <w:rPr>
                <w:rFonts w:ascii="Times New Roman"/>
                <w:bCs/>
                <w:sz w:val="21"/>
                <w:szCs w:val="21"/>
              </w:rPr>
              <w:t>一般防渗区</w:t>
            </w:r>
          </w:p>
        </w:tc>
        <w:tc>
          <w:tcPr>
            <w:tcW w:w="2761" w:type="pct"/>
            <w:vAlign w:val="center"/>
          </w:tcPr>
          <w:p w14:paraId="774B415A">
            <w:pPr>
              <w:spacing w:line="320" w:lineRule="exact"/>
              <w:jc w:val="center"/>
              <w:rPr>
                <w:rFonts w:ascii="Times New Roman"/>
                <w:bCs/>
                <w:spacing w:val="-6"/>
                <w:sz w:val="21"/>
                <w:szCs w:val="21"/>
              </w:rPr>
            </w:pPr>
            <w:r>
              <w:rPr>
                <w:rFonts w:ascii="Times New Roman"/>
                <w:bCs/>
                <w:sz w:val="21"/>
                <w:szCs w:val="21"/>
              </w:rPr>
              <w:t>车间其他区域</w:t>
            </w:r>
            <w:r>
              <w:rPr>
                <w:rFonts w:hint="eastAsia" w:ascii="Times New Roman"/>
                <w:bCs/>
                <w:sz w:val="21"/>
                <w:szCs w:val="21"/>
              </w:rPr>
              <w:t>、消防水池、</w:t>
            </w:r>
            <w:r>
              <w:rPr>
                <w:rFonts w:ascii="Times New Roman"/>
                <w:sz w:val="21"/>
                <w:szCs w:val="21"/>
              </w:rPr>
              <w:t>垃圾回收房</w:t>
            </w:r>
            <w:r>
              <w:rPr>
                <w:rFonts w:hint="eastAsia" w:ascii="Times New Roman"/>
                <w:sz w:val="21"/>
                <w:szCs w:val="21"/>
              </w:rPr>
              <w:t>等</w:t>
            </w:r>
          </w:p>
        </w:tc>
        <w:tc>
          <w:tcPr>
            <w:tcW w:w="1345" w:type="pct"/>
            <w:vAlign w:val="center"/>
          </w:tcPr>
          <w:p w14:paraId="78CAEFCA">
            <w:pPr>
              <w:widowControl/>
              <w:spacing w:line="320" w:lineRule="exact"/>
              <w:jc w:val="center"/>
              <w:rPr>
                <w:rFonts w:ascii="Times New Roman"/>
                <w:bCs/>
                <w:sz w:val="21"/>
                <w:szCs w:val="21"/>
              </w:rPr>
            </w:pPr>
            <w:r>
              <w:rPr>
                <w:rFonts w:ascii="Times New Roman"/>
                <w:sz w:val="21"/>
                <w:szCs w:val="21"/>
              </w:rPr>
              <w:t>≤1×10</w:t>
            </w:r>
            <w:r>
              <w:rPr>
                <w:rFonts w:ascii="Times New Roman"/>
                <w:sz w:val="21"/>
                <w:szCs w:val="21"/>
                <w:vertAlign w:val="superscript"/>
              </w:rPr>
              <w:t>-7</w:t>
            </w:r>
            <w:r>
              <w:rPr>
                <w:rFonts w:ascii="Times New Roman"/>
                <w:sz w:val="21"/>
                <w:szCs w:val="21"/>
              </w:rPr>
              <w:t>cm/s</w:t>
            </w:r>
          </w:p>
        </w:tc>
      </w:tr>
      <w:tr w14:paraId="58CA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892" w:type="pct"/>
            <w:vAlign w:val="center"/>
          </w:tcPr>
          <w:p w14:paraId="7BF3101B">
            <w:pPr>
              <w:adjustRightInd w:val="0"/>
              <w:snapToGrid w:val="0"/>
              <w:spacing w:line="320" w:lineRule="exact"/>
              <w:jc w:val="center"/>
              <w:rPr>
                <w:rFonts w:ascii="Times New Roman"/>
                <w:bCs/>
                <w:sz w:val="21"/>
                <w:szCs w:val="21"/>
              </w:rPr>
            </w:pPr>
            <w:r>
              <w:rPr>
                <w:rFonts w:ascii="Times New Roman"/>
                <w:bCs/>
                <w:sz w:val="21"/>
                <w:szCs w:val="21"/>
              </w:rPr>
              <w:t>简单防渗区</w:t>
            </w:r>
          </w:p>
        </w:tc>
        <w:tc>
          <w:tcPr>
            <w:tcW w:w="2761" w:type="pct"/>
            <w:vAlign w:val="center"/>
          </w:tcPr>
          <w:p w14:paraId="3F616B9E">
            <w:pPr>
              <w:spacing w:line="320" w:lineRule="exact"/>
              <w:jc w:val="center"/>
              <w:rPr>
                <w:rFonts w:ascii="Times New Roman"/>
                <w:bCs/>
                <w:spacing w:val="-6"/>
                <w:sz w:val="21"/>
                <w:szCs w:val="21"/>
              </w:rPr>
            </w:pPr>
            <w:r>
              <w:rPr>
                <w:rFonts w:ascii="Times New Roman"/>
                <w:bCs/>
                <w:spacing w:val="-6"/>
                <w:sz w:val="21"/>
                <w:szCs w:val="21"/>
              </w:rPr>
              <w:t>除绿化外其他全部区域</w:t>
            </w:r>
          </w:p>
        </w:tc>
        <w:tc>
          <w:tcPr>
            <w:tcW w:w="1345" w:type="pct"/>
            <w:vAlign w:val="center"/>
          </w:tcPr>
          <w:p w14:paraId="7128D1AE">
            <w:pPr>
              <w:widowControl/>
              <w:spacing w:line="320" w:lineRule="exact"/>
              <w:jc w:val="center"/>
              <w:rPr>
                <w:rFonts w:ascii="Times New Roman"/>
                <w:sz w:val="21"/>
                <w:szCs w:val="21"/>
              </w:rPr>
            </w:pPr>
            <w:r>
              <w:rPr>
                <w:rFonts w:ascii="Times New Roman"/>
                <w:sz w:val="21"/>
                <w:szCs w:val="21"/>
              </w:rPr>
              <w:t>抗渗混凝土浇筑硬化</w:t>
            </w:r>
          </w:p>
        </w:tc>
      </w:tr>
    </w:tbl>
    <w:p w14:paraId="658B205B">
      <w:pPr>
        <w:adjustRightInd w:val="0"/>
        <w:snapToGrid w:val="0"/>
        <w:spacing w:line="480" w:lineRule="exact"/>
        <w:ind w:firstLine="480" w:firstLineChars="200"/>
        <w:rPr>
          <w:rFonts w:ascii="Times New Roman"/>
          <w:kern w:val="0"/>
          <w:sz w:val="24"/>
        </w:rPr>
      </w:pPr>
      <w:r>
        <w:rPr>
          <w:rFonts w:ascii="Times New Roman"/>
          <w:kern w:val="0"/>
          <w:sz w:val="24"/>
        </w:rPr>
        <w:t>为防止对地下水的污染，按照重点防渗区、</w:t>
      </w:r>
      <w:r>
        <w:rPr>
          <w:rFonts w:ascii="Times New Roman"/>
          <w:sz w:val="24"/>
        </w:rPr>
        <w:t>一般防渗区</w:t>
      </w:r>
      <w:r>
        <w:rPr>
          <w:rFonts w:ascii="Times New Roman"/>
          <w:kern w:val="0"/>
          <w:sz w:val="24"/>
        </w:rPr>
        <w:t>、</w:t>
      </w:r>
      <w:r>
        <w:rPr>
          <w:rFonts w:ascii="Times New Roman"/>
          <w:sz w:val="24"/>
        </w:rPr>
        <w:t>简单防渗区</w:t>
      </w:r>
      <w:r>
        <w:rPr>
          <w:rFonts w:ascii="Times New Roman"/>
          <w:kern w:val="0"/>
          <w:sz w:val="24"/>
        </w:rPr>
        <w:t>进行防渗处理，对污染防治区应分别采取不同等级的防渗方案。</w:t>
      </w:r>
    </w:p>
    <w:p w14:paraId="0D04FAEF">
      <w:pPr>
        <w:widowControl/>
        <w:spacing w:line="480" w:lineRule="exact"/>
        <w:ind w:firstLine="480" w:firstLineChars="200"/>
        <w:rPr>
          <w:rFonts w:ascii="Times New Roman"/>
          <w:kern w:val="0"/>
          <w:sz w:val="24"/>
          <w:szCs w:val="20"/>
        </w:rPr>
      </w:pPr>
      <w:r>
        <w:rPr>
          <w:rFonts w:ascii="Times New Roman"/>
          <w:kern w:val="0"/>
          <w:sz w:val="24"/>
          <w:szCs w:val="20"/>
        </w:rPr>
        <w:t>施工过程中各建设单位应加强施工期的管理，严格按防渗设计要求进行施工，并加强防渗措施的日常维护，使防渗措施达到应有的防渗效果。同时应加强生产设施的环保设施的管理，避免废水跑冒滴漏。</w:t>
      </w:r>
    </w:p>
    <w:p w14:paraId="6028DAEF">
      <w:pPr>
        <w:widowControl/>
        <w:spacing w:line="520" w:lineRule="exact"/>
        <w:jc w:val="left"/>
        <w:outlineLvl w:val="1"/>
        <w:rPr>
          <w:rFonts w:ascii="Times New Roman"/>
          <w:b/>
          <w:sz w:val="30"/>
          <w:szCs w:val="30"/>
        </w:rPr>
      </w:pPr>
      <w:bookmarkStart w:id="161" w:name="_Toc11467"/>
      <w:r>
        <w:rPr>
          <w:rFonts w:ascii="Times New Roman"/>
          <w:b/>
          <w:sz w:val="30"/>
          <w:szCs w:val="30"/>
        </w:rPr>
        <w:t>3.8非正常工况污染物排放分析</w:t>
      </w:r>
      <w:bookmarkEnd w:id="161"/>
    </w:p>
    <w:p w14:paraId="7A04A44D">
      <w:pPr>
        <w:tabs>
          <w:tab w:val="left" w:pos="915"/>
        </w:tabs>
        <w:spacing w:line="480" w:lineRule="exact"/>
        <w:ind w:firstLine="480" w:firstLineChars="200"/>
        <w:rPr>
          <w:rFonts w:ascii="Times New Roman"/>
          <w:sz w:val="24"/>
          <w:szCs w:val="24"/>
        </w:rPr>
      </w:pPr>
      <w:r>
        <w:rPr>
          <w:rFonts w:ascii="Times New Roman"/>
          <w:sz w:val="24"/>
          <w:szCs w:val="24"/>
        </w:rPr>
        <w:t>非正常生产情况是指系统开停车、停电、设备检修、系统出现异常以及管道泄漏、密封环损坏等情况。项目采用的生产工艺和治理设施较为先进、成熟可靠，因此在正常条件下，只要严格科学管理、精心操作，可避免污染事故的发生。</w:t>
      </w:r>
    </w:p>
    <w:p w14:paraId="344B864B">
      <w:pPr>
        <w:spacing w:line="480" w:lineRule="exact"/>
        <w:ind w:firstLine="480" w:firstLineChars="200"/>
        <w:rPr>
          <w:rFonts w:ascii="Times New Roman"/>
          <w:sz w:val="24"/>
          <w:szCs w:val="24"/>
        </w:rPr>
      </w:pPr>
      <w:r>
        <w:rPr>
          <w:rFonts w:ascii="Times New Roman"/>
          <w:sz w:val="24"/>
          <w:szCs w:val="24"/>
        </w:rPr>
        <w:t>（1）工艺装置开、停车、检修时废气污染物排放分析</w:t>
      </w:r>
    </w:p>
    <w:p w14:paraId="01F8BDF0">
      <w:pPr>
        <w:spacing w:line="480" w:lineRule="exact"/>
        <w:ind w:firstLine="480" w:firstLineChars="200"/>
        <w:rPr>
          <w:rFonts w:ascii="Times New Roman"/>
          <w:sz w:val="24"/>
          <w:szCs w:val="24"/>
        </w:rPr>
      </w:pPr>
      <w:r>
        <w:rPr>
          <w:rFonts w:ascii="Times New Roman"/>
          <w:sz w:val="24"/>
          <w:szCs w:val="24"/>
        </w:rPr>
        <w:t>各工艺装置进行有计划检修开停车及临时性故障停车时，各工艺及环保设施均处于正常运行状态，开车时物料投料量逐渐加大、停车时物料停止投料，装置内物料量均较正常生产时小的多，污染物的排放量小于正常生产时的排放量，且开停车系统置换气均能按正常操作进入各工艺及环保设施，进行有效处理，废气污染物均可实现达标排放，不会对环境造成影响。</w:t>
      </w:r>
    </w:p>
    <w:p w14:paraId="725E3ED6">
      <w:pPr>
        <w:spacing w:line="480" w:lineRule="exact"/>
        <w:ind w:firstLine="480" w:firstLineChars="200"/>
        <w:rPr>
          <w:rFonts w:ascii="Times New Roman"/>
          <w:sz w:val="24"/>
          <w:szCs w:val="24"/>
        </w:rPr>
      </w:pPr>
      <w:r>
        <w:rPr>
          <w:rFonts w:ascii="Times New Roman"/>
          <w:sz w:val="24"/>
          <w:szCs w:val="24"/>
        </w:rPr>
        <w:t>（2）环保设备运行故障</w:t>
      </w:r>
    </w:p>
    <w:p w14:paraId="4716DE43">
      <w:pPr>
        <w:spacing w:line="480" w:lineRule="exact"/>
        <w:ind w:firstLine="480" w:firstLineChars="200"/>
        <w:rPr>
          <w:rFonts w:ascii="Times New Roman"/>
          <w:sz w:val="24"/>
          <w:szCs w:val="24"/>
        </w:rPr>
      </w:pPr>
      <w:r>
        <w:rPr>
          <w:rFonts w:ascii="Times New Roman"/>
          <w:sz w:val="24"/>
          <w:szCs w:val="24"/>
        </w:rPr>
        <w:t>①除尘器故障</w:t>
      </w:r>
    </w:p>
    <w:p w14:paraId="33E661C8">
      <w:pPr>
        <w:spacing w:line="480" w:lineRule="exact"/>
        <w:ind w:firstLine="480" w:firstLineChars="200"/>
        <w:rPr>
          <w:rFonts w:ascii="Times New Roman"/>
          <w:sz w:val="24"/>
          <w:szCs w:val="24"/>
        </w:rPr>
      </w:pPr>
      <w:r>
        <w:rPr>
          <w:rFonts w:ascii="Times New Roman"/>
          <w:sz w:val="24"/>
          <w:szCs w:val="24"/>
        </w:rPr>
        <w:t>除尘器运行异常是指滤筒除尘器滤筒损坏</w:t>
      </w:r>
      <w:r>
        <w:rPr>
          <w:rFonts w:hint="eastAsia" w:ascii="Times New Roman"/>
          <w:sz w:val="24"/>
          <w:szCs w:val="24"/>
        </w:rPr>
        <w:t>、布袋除尘器布袋</w:t>
      </w:r>
      <w:r>
        <w:rPr>
          <w:rFonts w:ascii="Times New Roman"/>
          <w:sz w:val="24"/>
          <w:szCs w:val="24"/>
        </w:rPr>
        <w:t>损坏等情况引起除尘效率下降，从而造成污染物的非正常工况排放，颗粒物去除效率取50%。</w:t>
      </w:r>
    </w:p>
    <w:p w14:paraId="45C1A59A">
      <w:pPr>
        <w:spacing w:line="480" w:lineRule="exact"/>
        <w:ind w:firstLine="480" w:firstLineChars="200"/>
        <w:rPr>
          <w:rFonts w:ascii="Times New Roman"/>
          <w:sz w:val="24"/>
          <w:szCs w:val="24"/>
        </w:rPr>
      </w:pPr>
      <w:r>
        <w:rPr>
          <w:rFonts w:ascii="Times New Roman"/>
          <w:sz w:val="24"/>
          <w:szCs w:val="24"/>
        </w:rPr>
        <w:t>②有机废气处理设施故障</w:t>
      </w:r>
    </w:p>
    <w:p w14:paraId="4DD88611">
      <w:pPr>
        <w:spacing w:line="480" w:lineRule="exact"/>
        <w:ind w:firstLine="480" w:firstLineChars="200"/>
        <w:rPr>
          <w:rFonts w:ascii="Times New Roman"/>
          <w:sz w:val="24"/>
          <w:szCs w:val="24"/>
        </w:rPr>
      </w:pPr>
      <w:r>
        <w:rPr>
          <w:rFonts w:ascii="Times New Roman"/>
          <w:sz w:val="24"/>
          <w:szCs w:val="24"/>
        </w:rPr>
        <w:t>项目有机废气处理设施运行异常是指活性炭达到饱和、催化燃烧装置故障等引起的有机废气</w:t>
      </w:r>
      <w:r>
        <w:rPr>
          <w:rFonts w:hint="eastAsia" w:ascii="Times New Roman"/>
          <w:sz w:val="24"/>
          <w:szCs w:val="24"/>
        </w:rPr>
        <w:t>未经处理直接排放</w:t>
      </w:r>
      <w:r>
        <w:rPr>
          <w:rFonts w:ascii="Times New Roman"/>
          <w:sz w:val="24"/>
          <w:szCs w:val="24"/>
        </w:rPr>
        <w:t>，从而造成污染物的非正常工况排放。</w:t>
      </w:r>
    </w:p>
    <w:p w14:paraId="4D00D8CC">
      <w:pPr>
        <w:spacing w:line="480" w:lineRule="exact"/>
        <w:ind w:firstLine="480" w:firstLineChars="200"/>
        <w:rPr>
          <w:rFonts w:ascii="Times New Roman"/>
          <w:sz w:val="24"/>
          <w:szCs w:val="24"/>
        </w:rPr>
      </w:pPr>
      <w:r>
        <w:rPr>
          <w:rFonts w:hint="eastAsia" w:ascii="Times New Roman"/>
          <w:sz w:val="24"/>
          <w:szCs w:val="24"/>
        </w:rPr>
        <w:t>③天然气燃烧废气</w:t>
      </w:r>
    </w:p>
    <w:p w14:paraId="0EE3E52F">
      <w:pPr>
        <w:spacing w:line="480" w:lineRule="exact"/>
        <w:ind w:firstLine="480" w:firstLineChars="200"/>
        <w:rPr>
          <w:rFonts w:ascii="Times New Roman"/>
          <w:sz w:val="24"/>
          <w:szCs w:val="24"/>
        </w:rPr>
      </w:pPr>
      <w:r>
        <w:rPr>
          <w:rFonts w:ascii="Times New Roman"/>
          <w:sz w:val="24"/>
          <w:szCs w:val="24"/>
        </w:rPr>
        <w:t>低氮燃烧器损坏，NOx</w:t>
      </w:r>
      <w:r>
        <w:rPr>
          <w:rFonts w:hint="eastAsia" w:ascii="Times New Roman"/>
          <w:sz w:val="24"/>
          <w:szCs w:val="24"/>
        </w:rPr>
        <w:t>未经处理直接排放。</w:t>
      </w:r>
    </w:p>
    <w:p w14:paraId="3B851724">
      <w:pPr>
        <w:spacing w:line="480" w:lineRule="exact"/>
        <w:ind w:firstLine="480" w:firstLineChars="200"/>
        <w:rPr>
          <w:rFonts w:ascii="Times New Roman"/>
          <w:sz w:val="24"/>
          <w:szCs w:val="24"/>
        </w:rPr>
      </w:pPr>
      <w:r>
        <w:rPr>
          <w:rFonts w:ascii="Times New Roman"/>
          <w:sz w:val="24"/>
          <w:szCs w:val="24"/>
        </w:rPr>
        <w:t>针对企业配备双回路电源，因此建设项目不会因偶发停电而造成事故性排放及生产事故。对于不可避免的区域大面积的计划性停电可事先调整生产计划，避免非正常工况出现。</w:t>
      </w:r>
    </w:p>
    <w:p w14:paraId="2F907BC4">
      <w:pPr>
        <w:spacing w:line="480" w:lineRule="exact"/>
        <w:ind w:firstLine="480" w:firstLineChars="200"/>
        <w:rPr>
          <w:rFonts w:ascii="Times New Roman"/>
          <w:sz w:val="24"/>
          <w:szCs w:val="24"/>
        </w:rPr>
      </w:pPr>
      <w:r>
        <w:rPr>
          <w:rFonts w:ascii="Times New Roman"/>
          <w:sz w:val="24"/>
          <w:szCs w:val="24"/>
        </w:rPr>
        <w:t>设备故障引起的废气非正常排放的控制措施：①及时检修设备，严格按操作规程操作，对于机电设备皆采用一开一备；②定期更换活性炭、</w:t>
      </w:r>
      <w:r>
        <w:rPr>
          <w:rFonts w:hint="eastAsia" w:ascii="Times New Roman"/>
          <w:sz w:val="24"/>
          <w:szCs w:val="24"/>
        </w:rPr>
        <w:t>布袋除尘器</w:t>
      </w:r>
      <w:r>
        <w:rPr>
          <w:rFonts w:ascii="Times New Roman"/>
          <w:sz w:val="24"/>
          <w:szCs w:val="24"/>
        </w:rPr>
        <w:t>的滤袋；③定期巡视、检修，一旦设备出现故障，立刻启动备用设备，有效避免事故发生。公司制定有定期巡检制度，非值班人员将及时通知操作人员，非正常工况持续时间最长不超过1h。</w:t>
      </w:r>
    </w:p>
    <w:p w14:paraId="6A7170EB">
      <w:pPr>
        <w:spacing w:line="480" w:lineRule="exact"/>
        <w:ind w:firstLine="480" w:firstLineChars="200"/>
        <w:rPr>
          <w:rFonts w:ascii="Times New Roman"/>
          <w:sz w:val="24"/>
          <w:szCs w:val="24"/>
        </w:rPr>
        <w:sectPr>
          <w:pgSz w:w="11906" w:h="16838"/>
          <w:pgMar w:top="1440" w:right="1800" w:bottom="1440" w:left="1800" w:header="1134" w:footer="1134" w:gutter="0"/>
          <w:cols w:space="720" w:num="1"/>
          <w:docGrid w:type="lines" w:linePitch="340" w:charSpace="0"/>
        </w:sectPr>
      </w:pPr>
      <w:r>
        <w:rPr>
          <w:rFonts w:ascii="Times New Roman"/>
          <w:sz w:val="24"/>
          <w:szCs w:val="24"/>
        </w:rPr>
        <w:t>非正常工况大气污染物排放情况汇总见下表。</w:t>
      </w:r>
    </w:p>
    <w:p w14:paraId="5C95EA22">
      <w:pPr>
        <w:spacing w:line="360" w:lineRule="auto"/>
        <w:jc w:val="center"/>
        <w:rPr>
          <w:rFonts w:ascii="Times New Roman"/>
          <w:b/>
          <w:sz w:val="24"/>
          <w:szCs w:val="24"/>
        </w:rPr>
      </w:pPr>
      <w:r>
        <w:rPr>
          <w:rFonts w:ascii="Times New Roman"/>
          <w:b/>
          <w:sz w:val="24"/>
          <w:szCs w:val="24"/>
        </w:rPr>
        <w:t>表3.8-1  非正常工况项目废气产生及排放情况一览表</w:t>
      </w:r>
    </w:p>
    <w:tbl>
      <w:tblPr>
        <w:tblStyle w:val="84"/>
        <w:tblW w:w="507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47"/>
        <w:gridCol w:w="1258"/>
        <w:gridCol w:w="1238"/>
        <w:gridCol w:w="1148"/>
        <w:gridCol w:w="1048"/>
        <w:gridCol w:w="1150"/>
        <w:gridCol w:w="844"/>
        <w:gridCol w:w="1014"/>
        <w:gridCol w:w="850"/>
        <w:gridCol w:w="1094"/>
        <w:gridCol w:w="1068"/>
        <w:gridCol w:w="1105"/>
        <w:gridCol w:w="1095"/>
      </w:tblGrid>
      <w:tr w14:paraId="43F40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blHeader/>
          <w:jc w:val="center"/>
        </w:trPr>
        <w:tc>
          <w:tcPr>
            <w:tcW w:w="440" w:type="pct"/>
            <w:vMerge w:val="restart"/>
            <w:vAlign w:val="center"/>
          </w:tcPr>
          <w:p w14:paraId="0A21CBDB">
            <w:pPr>
              <w:jc w:val="center"/>
              <w:rPr>
                <w:rFonts w:ascii="Times New Roman"/>
                <w:sz w:val="21"/>
                <w:szCs w:val="21"/>
              </w:rPr>
            </w:pPr>
            <w:r>
              <w:rPr>
                <w:rFonts w:ascii="Times New Roman"/>
                <w:sz w:val="21"/>
                <w:szCs w:val="21"/>
              </w:rPr>
              <w:t>排放源</w:t>
            </w:r>
          </w:p>
        </w:tc>
        <w:tc>
          <w:tcPr>
            <w:tcW w:w="444" w:type="pct"/>
            <w:vMerge w:val="restart"/>
            <w:vAlign w:val="center"/>
          </w:tcPr>
          <w:p w14:paraId="3052EA3A">
            <w:pPr>
              <w:jc w:val="center"/>
              <w:rPr>
                <w:rFonts w:ascii="Times New Roman"/>
                <w:sz w:val="21"/>
                <w:szCs w:val="21"/>
              </w:rPr>
            </w:pPr>
            <w:r>
              <w:rPr>
                <w:rFonts w:ascii="Times New Roman"/>
                <w:sz w:val="21"/>
                <w:szCs w:val="21"/>
              </w:rPr>
              <w:t>污染物</w:t>
            </w:r>
          </w:p>
        </w:tc>
        <w:tc>
          <w:tcPr>
            <w:tcW w:w="1618" w:type="pct"/>
            <w:gridSpan w:val="4"/>
            <w:vAlign w:val="center"/>
          </w:tcPr>
          <w:p w14:paraId="76FE2B88">
            <w:pPr>
              <w:jc w:val="center"/>
              <w:rPr>
                <w:rFonts w:ascii="Times New Roman"/>
                <w:sz w:val="21"/>
                <w:szCs w:val="21"/>
              </w:rPr>
            </w:pPr>
            <w:r>
              <w:rPr>
                <w:rFonts w:ascii="Times New Roman"/>
                <w:sz w:val="21"/>
                <w:szCs w:val="21"/>
              </w:rPr>
              <w:t>产生状况</w:t>
            </w:r>
          </w:p>
        </w:tc>
        <w:tc>
          <w:tcPr>
            <w:tcW w:w="298" w:type="pct"/>
            <w:vMerge w:val="restart"/>
            <w:vAlign w:val="center"/>
          </w:tcPr>
          <w:p w14:paraId="40AE80D8">
            <w:pPr>
              <w:jc w:val="center"/>
              <w:rPr>
                <w:rFonts w:ascii="Times New Roman"/>
                <w:sz w:val="21"/>
                <w:szCs w:val="21"/>
              </w:rPr>
            </w:pPr>
            <w:r>
              <w:rPr>
                <w:rFonts w:ascii="Times New Roman"/>
                <w:sz w:val="21"/>
                <w:szCs w:val="21"/>
              </w:rPr>
              <w:t>收集</w:t>
            </w:r>
          </w:p>
          <w:p w14:paraId="0ABFCE61">
            <w:pPr>
              <w:jc w:val="center"/>
              <w:rPr>
                <w:rFonts w:ascii="Times New Roman"/>
                <w:sz w:val="21"/>
                <w:szCs w:val="21"/>
              </w:rPr>
            </w:pPr>
            <w:r>
              <w:rPr>
                <w:rFonts w:ascii="Times New Roman"/>
                <w:sz w:val="21"/>
                <w:szCs w:val="21"/>
              </w:rPr>
              <w:t>效率</w:t>
            </w:r>
          </w:p>
          <w:p w14:paraId="1ACFFD50">
            <w:pPr>
              <w:jc w:val="center"/>
              <w:rPr>
                <w:rFonts w:ascii="Times New Roman"/>
                <w:sz w:val="21"/>
                <w:szCs w:val="21"/>
              </w:rPr>
            </w:pPr>
            <w:r>
              <w:rPr>
                <w:rFonts w:ascii="Times New Roman"/>
                <w:sz w:val="21"/>
                <w:szCs w:val="21"/>
              </w:rPr>
              <w:t>(％)</w:t>
            </w:r>
          </w:p>
        </w:tc>
        <w:tc>
          <w:tcPr>
            <w:tcW w:w="358" w:type="pct"/>
            <w:vMerge w:val="restart"/>
            <w:vAlign w:val="center"/>
          </w:tcPr>
          <w:p w14:paraId="3FD40D5E">
            <w:pPr>
              <w:jc w:val="center"/>
              <w:rPr>
                <w:rFonts w:ascii="Times New Roman"/>
                <w:sz w:val="21"/>
                <w:szCs w:val="21"/>
              </w:rPr>
            </w:pPr>
            <w:r>
              <w:rPr>
                <w:rFonts w:ascii="Times New Roman"/>
                <w:sz w:val="21"/>
                <w:szCs w:val="21"/>
              </w:rPr>
              <w:t>治理</w:t>
            </w:r>
          </w:p>
          <w:p w14:paraId="02B85C5D">
            <w:pPr>
              <w:jc w:val="center"/>
              <w:rPr>
                <w:rFonts w:ascii="Times New Roman"/>
                <w:sz w:val="21"/>
                <w:szCs w:val="21"/>
              </w:rPr>
            </w:pPr>
            <w:r>
              <w:rPr>
                <w:rFonts w:ascii="Times New Roman"/>
                <w:sz w:val="21"/>
                <w:szCs w:val="21"/>
              </w:rPr>
              <w:t>措施</w:t>
            </w:r>
          </w:p>
        </w:tc>
        <w:tc>
          <w:tcPr>
            <w:tcW w:w="300" w:type="pct"/>
            <w:vMerge w:val="restart"/>
            <w:vAlign w:val="center"/>
          </w:tcPr>
          <w:p w14:paraId="5ADE1444">
            <w:pPr>
              <w:jc w:val="center"/>
              <w:rPr>
                <w:rFonts w:ascii="Times New Roman"/>
                <w:sz w:val="21"/>
                <w:szCs w:val="21"/>
              </w:rPr>
            </w:pPr>
            <w:r>
              <w:rPr>
                <w:rFonts w:ascii="Times New Roman"/>
                <w:sz w:val="21"/>
                <w:szCs w:val="21"/>
              </w:rPr>
              <w:t>非正常</w:t>
            </w:r>
          </w:p>
          <w:p w14:paraId="3DF863CB">
            <w:pPr>
              <w:jc w:val="center"/>
              <w:rPr>
                <w:rFonts w:ascii="Times New Roman"/>
                <w:sz w:val="21"/>
                <w:szCs w:val="21"/>
              </w:rPr>
            </w:pPr>
            <w:r>
              <w:rPr>
                <w:rFonts w:ascii="Times New Roman"/>
                <w:sz w:val="21"/>
                <w:szCs w:val="21"/>
              </w:rPr>
              <w:t>去除率(％)</w:t>
            </w:r>
          </w:p>
        </w:tc>
        <w:tc>
          <w:tcPr>
            <w:tcW w:w="1153" w:type="pct"/>
            <w:gridSpan w:val="3"/>
            <w:vAlign w:val="center"/>
          </w:tcPr>
          <w:p w14:paraId="452FA7F7">
            <w:pPr>
              <w:jc w:val="center"/>
              <w:rPr>
                <w:rFonts w:ascii="Times New Roman"/>
                <w:sz w:val="21"/>
                <w:szCs w:val="21"/>
              </w:rPr>
            </w:pPr>
            <w:r>
              <w:rPr>
                <w:rFonts w:ascii="Times New Roman"/>
                <w:sz w:val="21"/>
                <w:szCs w:val="21"/>
              </w:rPr>
              <w:t>排放状况</w:t>
            </w:r>
          </w:p>
        </w:tc>
        <w:tc>
          <w:tcPr>
            <w:tcW w:w="386" w:type="pct"/>
            <w:vMerge w:val="restart"/>
            <w:vAlign w:val="center"/>
          </w:tcPr>
          <w:p w14:paraId="7188BA85">
            <w:pPr>
              <w:jc w:val="center"/>
              <w:rPr>
                <w:rFonts w:ascii="Times New Roman"/>
                <w:sz w:val="21"/>
                <w:szCs w:val="21"/>
              </w:rPr>
            </w:pPr>
            <w:r>
              <w:rPr>
                <w:rFonts w:ascii="Times New Roman"/>
                <w:sz w:val="21"/>
                <w:szCs w:val="21"/>
              </w:rPr>
              <w:t>排放</w:t>
            </w:r>
          </w:p>
          <w:p w14:paraId="69916FC7">
            <w:pPr>
              <w:jc w:val="center"/>
              <w:rPr>
                <w:rFonts w:ascii="Times New Roman"/>
                <w:sz w:val="21"/>
                <w:szCs w:val="21"/>
              </w:rPr>
            </w:pPr>
            <w:r>
              <w:rPr>
                <w:rFonts w:ascii="Times New Roman"/>
                <w:sz w:val="21"/>
                <w:szCs w:val="21"/>
              </w:rPr>
              <w:t>标准</w:t>
            </w:r>
          </w:p>
          <w:p w14:paraId="043AE190">
            <w:pPr>
              <w:jc w:val="center"/>
              <w:rPr>
                <w:rFonts w:ascii="Times New Roman"/>
                <w:sz w:val="21"/>
                <w:szCs w:val="21"/>
              </w:rPr>
            </w:pPr>
            <w:r>
              <w:rPr>
                <w:rFonts w:ascii="Times New Roman"/>
                <w:b/>
                <w:bCs/>
                <w:sz w:val="21"/>
                <w:szCs w:val="21"/>
              </w:rPr>
              <w:t>(mg/m</w:t>
            </w:r>
            <w:r>
              <w:rPr>
                <w:rFonts w:ascii="Times New Roman"/>
                <w:b/>
                <w:bCs/>
                <w:sz w:val="21"/>
                <w:szCs w:val="21"/>
                <w:vertAlign w:val="superscript"/>
              </w:rPr>
              <w:t>3</w:t>
            </w:r>
            <w:r>
              <w:rPr>
                <w:rFonts w:ascii="Times New Roman"/>
                <w:b/>
                <w:bCs/>
                <w:sz w:val="21"/>
                <w:szCs w:val="21"/>
              </w:rPr>
              <w:t>)</w:t>
            </w:r>
          </w:p>
        </w:tc>
      </w:tr>
      <w:tr w14:paraId="7F7FF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blHeader/>
          <w:jc w:val="center"/>
        </w:trPr>
        <w:tc>
          <w:tcPr>
            <w:tcW w:w="440" w:type="pct"/>
            <w:vMerge w:val="continue"/>
            <w:vAlign w:val="center"/>
          </w:tcPr>
          <w:p w14:paraId="6F89B861">
            <w:pPr>
              <w:jc w:val="center"/>
              <w:rPr>
                <w:rFonts w:ascii="Times New Roman"/>
                <w:sz w:val="21"/>
                <w:szCs w:val="21"/>
              </w:rPr>
            </w:pPr>
          </w:p>
        </w:tc>
        <w:tc>
          <w:tcPr>
            <w:tcW w:w="444" w:type="pct"/>
            <w:vMerge w:val="continue"/>
            <w:vAlign w:val="center"/>
          </w:tcPr>
          <w:p w14:paraId="7BF8B050">
            <w:pPr>
              <w:jc w:val="center"/>
              <w:rPr>
                <w:rFonts w:ascii="Times New Roman"/>
                <w:sz w:val="21"/>
                <w:szCs w:val="21"/>
              </w:rPr>
            </w:pPr>
          </w:p>
        </w:tc>
        <w:tc>
          <w:tcPr>
            <w:tcW w:w="437" w:type="pct"/>
            <w:vAlign w:val="center"/>
          </w:tcPr>
          <w:p w14:paraId="0934E94C">
            <w:pPr>
              <w:jc w:val="center"/>
              <w:rPr>
                <w:rFonts w:ascii="Times New Roman"/>
                <w:sz w:val="21"/>
                <w:szCs w:val="21"/>
              </w:rPr>
            </w:pPr>
            <w:r>
              <w:rPr>
                <w:rFonts w:ascii="Times New Roman"/>
                <w:sz w:val="21"/>
                <w:szCs w:val="21"/>
              </w:rPr>
              <w:t>废气量</w:t>
            </w:r>
          </w:p>
        </w:tc>
        <w:tc>
          <w:tcPr>
            <w:tcW w:w="405" w:type="pct"/>
            <w:vMerge w:val="restart"/>
            <w:vAlign w:val="center"/>
          </w:tcPr>
          <w:p w14:paraId="57607D1E">
            <w:pPr>
              <w:jc w:val="center"/>
              <w:rPr>
                <w:rFonts w:ascii="Times New Roman"/>
                <w:sz w:val="21"/>
                <w:szCs w:val="21"/>
              </w:rPr>
            </w:pPr>
            <w:r>
              <w:rPr>
                <w:rFonts w:ascii="Times New Roman"/>
                <w:sz w:val="21"/>
                <w:szCs w:val="21"/>
              </w:rPr>
              <w:t>浓度</w:t>
            </w:r>
            <w:r>
              <w:rPr>
                <w:rFonts w:ascii="Times New Roman"/>
                <w:b/>
                <w:bCs/>
                <w:sz w:val="21"/>
                <w:szCs w:val="21"/>
              </w:rPr>
              <w:t>(mg/m</w:t>
            </w:r>
            <w:r>
              <w:rPr>
                <w:rFonts w:ascii="Times New Roman"/>
                <w:b/>
                <w:bCs/>
                <w:sz w:val="21"/>
                <w:szCs w:val="21"/>
                <w:vertAlign w:val="superscript"/>
              </w:rPr>
              <w:t>3</w:t>
            </w:r>
            <w:r>
              <w:rPr>
                <w:rFonts w:ascii="Times New Roman"/>
                <w:b/>
                <w:bCs/>
                <w:sz w:val="21"/>
                <w:szCs w:val="21"/>
              </w:rPr>
              <w:t>)</w:t>
            </w:r>
          </w:p>
        </w:tc>
        <w:tc>
          <w:tcPr>
            <w:tcW w:w="776" w:type="pct"/>
            <w:gridSpan w:val="2"/>
            <w:vAlign w:val="center"/>
          </w:tcPr>
          <w:p w14:paraId="23D4F0FD">
            <w:pPr>
              <w:jc w:val="center"/>
              <w:rPr>
                <w:rFonts w:ascii="Times New Roman"/>
                <w:sz w:val="21"/>
                <w:szCs w:val="21"/>
              </w:rPr>
            </w:pPr>
            <w:r>
              <w:rPr>
                <w:rFonts w:ascii="Times New Roman"/>
                <w:sz w:val="21"/>
                <w:szCs w:val="21"/>
              </w:rPr>
              <w:t>产生量</w:t>
            </w:r>
          </w:p>
        </w:tc>
        <w:tc>
          <w:tcPr>
            <w:tcW w:w="298" w:type="pct"/>
            <w:vMerge w:val="continue"/>
            <w:vAlign w:val="center"/>
          </w:tcPr>
          <w:p w14:paraId="242DE9DE">
            <w:pPr>
              <w:jc w:val="center"/>
              <w:rPr>
                <w:rFonts w:ascii="Times New Roman"/>
                <w:sz w:val="21"/>
                <w:szCs w:val="21"/>
              </w:rPr>
            </w:pPr>
          </w:p>
        </w:tc>
        <w:tc>
          <w:tcPr>
            <w:tcW w:w="358" w:type="pct"/>
            <w:vMerge w:val="continue"/>
            <w:vAlign w:val="center"/>
          </w:tcPr>
          <w:p w14:paraId="739ABFEA">
            <w:pPr>
              <w:jc w:val="center"/>
              <w:rPr>
                <w:rFonts w:ascii="Times New Roman"/>
                <w:sz w:val="21"/>
                <w:szCs w:val="21"/>
              </w:rPr>
            </w:pPr>
          </w:p>
        </w:tc>
        <w:tc>
          <w:tcPr>
            <w:tcW w:w="300" w:type="pct"/>
            <w:vMerge w:val="continue"/>
            <w:vAlign w:val="center"/>
          </w:tcPr>
          <w:p w14:paraId="33DDF483">
            <w:pPr>
              <w:jc w:val="center"/>
              <w:rPr>
                <w:rFonts w:ascii="Times New Roman"/>
                <w:sz w:val="21"/>
                <w:szCs w:val="21"/>
              </w:rPr>
            </w:pPr>
          </w:p>
        </w:tc>
        <w:tc>
          <w:tcPr>
            <w:tcW w:w="386" w:type="pct"/>
            <w:vMerge w:val="restart"/>
            <w:vAlign w:val="center"/>
          </w:tcPr>
          <w:p w14:paraId="4EDAE223">
            <w:pPr>
              <w:jc w:val="center"/>
              <w:rPr>
                <w:rFonts w:ascii="Times New Roman"/>
                <w:sz w:val="21"/>
                <w:szCs w:val="21"/>
              </w:rPr>
            </w:pPr>
            <w:r>
              <w:rPr>
                <w:rFonts w:ascii="Times New Roman"/>
                <w:sz w:val="21"/>
                <w:szCs w:val="21"/>
              </w:rPr>
              <w:t>浓度</w:t>
            </w:r>
            <w:r>
              <w:rPr>
                <w:rFonts w:ascii="Times New Roman"/>
                <w:b/>
                <w:bCs/>
                <w:sz w:val="21"/>
                <w:szCs w:val="21"/>
              </w:rPr>
              <w:t>(mg/m</w:t>
            </w:r>
            <w:r>
              <w:rPr>
                <w:rFonts w:ascii="Times New Roman"/>
                <w:b/>
                <w:bCs/>
                <w:sz w:val="21"/>
                <w:szCs w:val="21"/>
                <w:vertAlign w:val="superscript"/>
              </w:rPr>
              <w:t>3</w:t>
            </w:r>
            <w:r>
              <w:rPr>
                <w:rFonts w:ascii="Times New Roman"/>
                <w:b/>
                <w:bCs/>
                <w:sz w:val="21"/>
                <w:szCs w:val="21"/>
              </w:rPr>
              <w:t>)</w:t>
            </w:r>
          </w:p>
        </w:tc>
        <w:tc>
          <w:tcPr>
            <w:tcW w:w="767" w:type="pct"/>
            <w:gridSpan w:val="2"/>
            <w:vAlign w:val="center"/>
          </w:tcPr>
          <w:p w14:paraId="1848A55D">
            <w:pPr>
              <w:jc w:val="center"/>
              <w:rPr>
                <w:rFonts w:ascii="Times New Roman"/>
                <w:sz w:val="21"/>
                <w:szCs w:val="21"/>
              </w:rPr>
            </w:pPr>
            <w:r>
              <w:rPr>
                <w:rFonts w:ascii="Times New Roman"/>
                <w:sz w:val="21"/>
                <w:szCs w:val="21"/>
              </w:rPr>
              <w:t>排放量</w:t>
            </w:r>
          </w:p>
        </w:tc>
        <w:tc>
          <w:tcPr>
            <w:tcW w:w="386" w:type="pct"/>
            <w:vMerge w:val="continue"/>
            <w:vAlign w:val="center"/>
          </w:tcPr>
          <w:p w14:paraId="17B83385">
            <w:pPr>
              <w:jc w:val="center"/>
              <w:rPr>
                <w:rFonts w:ascii="Times New Roman"/>
                <w:sz w:val="21"/>
                <w:szCs w:val="21"/>
              </w:rPr>
            </w:pPr>
          </w:p>
        </w:tc>
      </w:tr>
      <w:tr w14:paraId="0E46B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blHeader/>
          <w:jc w:val="center"/>
        </w:trPr>
        <w:tc>
          <w:tcPr>
            <w:tcW w:w="440" w:type="pct"/>
            <w:vMerge w:val="continue"/>
            <w:vAlign w:val="center"/>
          </w:tcPr>
          <w:p w14:paraId="3BDDEA94">
            <w:pPr>
              <w:jc w:val="center"/>
              <w:rPr>
                <w:rFonts w:ascii="Times New Roman"/>
                <w:sz w:val="21"/>
                <w:szCs w:val="21"/>
              </w:rPr>
            </w:pPr>
          </w:p>
        </w:tc>
        <w:tc>
          <w:tcPr>
            <w:tcW w:w="444" w:type="pct"/>
            <w:vMerge w:val="continue"/>
            <w:vAlign w:val="center"/>
          </w:tcPr>
          <w:p w14:paraId="09D88077">
            <w:pPr>
              <w:jc w:val="center"/>
              <w:rPr>
                <w:rFonts w:ascii="Times New Roman"/>
                <w:sz w:val="21"/>
                <w:szCs w:val="21"/>
              </w:rPr>
            </w:pPr>
          </w:p>
        </w:tc>
        <w:tc>
          <w:tcPr>
            <w:tcW w:w="437" w:type="pct"/>
            <w:vAlign w:val="center"/>
          </w:tcPr>
          <w:p w14:paraId="16A667AD">
            <w:pPr>
              <w:jc w:val="center"/>
              <w:rPr>
                <w:rFonts w:ascii="Times New Roman"/>
                <w:sz w:val="21"/>
                <w:szCs w:val="21"/>
              </w:rPr>
            </w:pPr>
            <w:r>
              <w:rPr>
                <w:rFonts w:ascii="Times New Roman"/>
                <w:b/>
                <w:bCs/>
                <w:sz w:val="21"/>
                <w:szCs w:val="21"/>
              </w:rPr>
              <w:t>(m</w:t>
            </w:r>
            <w:r>
              <w:rPr>
                <w:rFonts w:ascii="Times New Roman"/>
                <w:b/>
                <w:bCs/>
                <w:sz w:val="21"/>
                <w:szCs w:val="21"/>
                <w:vertAlign w:val="superscript"/>
              </w:rPr>
              <w:t>3</w:t>
            </w:r>
            <w:r>
              <w:rPr>
                <w:rFonts w:ascii="Times New Roman"/>
                <w:b/>
                <w:bCs/>
                <w:sz w:val="21"/>
                <w:szCs w:val="21"/>
              </w:rPr>
              <w:t>/h)</w:t>
            </w:r>
          </w:p>
        </w:tc>
        <w:tc>
          <w:tcPr>
            <w:tcW w:w="405" w:type="pct"/>
            <w:vMerge w:val="continue"/>
            <w:vAlign w:val="center"/>
          </w:tcPr>
          <w:p w14:paraId="047B64DF">
            <w:pPr>
              <w:jc w:val="center"/>
              <w:rPr>
                <w:rFonts w:ascii="Times New Roman"/>
                <w:sz w:val="21"/>
                <w:szCs w:val="21"/>
              </w:rPr>
            </w:pPr>
          </w:p>
        </w:tc>
        <w:tc>
          <w:tcPr>
            <w:tcW w:w="370" w:type="pct"/>
            <w:vAlign w:val="center"/>
          </w:tcPr>
          <w:p w14:paraId="76E985EF">
            <w:pPr>
              <w:jc w:val="center"/>
              <w:rPr>
                <w:rFonts w:ascii="Times New Roman"/>
                <w:sz w:val="21"/>
                <w:szCs w:val="21"/>
              </w:rPr>
            </w:pPr>
            <w:r>
              <w:rPr>
                <w:rFonts w:ascii="Times New Roman"/>
                <w:b/>
                <w:bCs/>
                <w:sz w:val="21"/>
                <w:szCs w:val="21"/>
              </w:rPr>
              <w:t>(kg/h)</w:t>
            </w:r>
          </w:p>
        </w:tc>
        <w:tc>
          <w:tcPr>
            <w:tcW w:w="406" w:type="pct"/>
            <w:vAlign w:val="center"/>
          </w:tcPr>
          <w:p w14:paraId="279A102E">
            <w:pPr>
              <w:jc w:val="center"/>
              <w:rPr>
                <w:rFonts w:ascii="Times New Roman"/>
                <w:sz w:val="21"/>
                <w:szCs w:val="21"/>
              </w:rPr>
            </w:pPr>
            <w:r>
              <w:rPr>
                <w:rFonts w:ascii="Times New Roman"/>
                <w:b/>
                <w:bCs/>
                <w:sz w:val="21"/>
                <w:szCs w:val="21"/>
              </w:rPr>
              <w:t>(t/a)</w:t>
            </w:r>
          </w:p>
        </w:tc>
        <w:tc>
          <w:tcPr>
            <w:tcW w:w="298" w:type="pct"/>
            <w:vMerge w:val="continue"/>
            <w:vAlign w:val="center"/>
          </w:tcPr>
          <w:p w14:paraId="0C9BFC82">
            <w:pPr>
              <w:jc w:val="center"/>
              <w:rPr>
                <w:rFonts w:ascii="Times New Roman"/>
                <w:sz w:val="21"/>
                <w:szCs w:val="21"/>
              </w:rPr>
            </w:pPr>
          </w:p>
        </w:tc>
        <w:tc>
          <w:tcPr>
            <w:tcW w:w="358" w:type="pct"/>
            <w:vMerge w:val="continue"/>
            <w:vAlign w:val="center"/>
          </w:tcPr>
          <w:p w14:paraId="4B697CDA">
            <w:pPr>
              <w:jc w:val="center"/>
              <w:rPr>
                <w:rFonts w:ascii="Times New Roman"/>
                <w:sz w:val="21"/>
                <w:szCs w:val="21"/>
              </w:rPr>
            </w:pPr>
          </w:p>
        </w:tc>
        <w:tc>
          <w:tcPr>
            <w:tcW w:w="300" w:type="pct"/>
            <w:vMerge w:val="continue"/>
            <w:vAlign w:val="center"/>
          </w:tcPr>
          <w:p w14:paraId="292C98F3">
            <w:pPr>
              <w:jc w:val="center"/>
              <w:rPr>
                <w:rFonts w:ascii="Times New Roman"/>
                <w:sz w:val="21"/>
                <w:szCs w:val="21"/>
              </w:rPr>
            </w:pPr>
          </w:p>
        </w:tc>
        <w:tc>
          <w:tcPr>
            <w:tcW w:w="386" w:type="pct"/>
            <w:vMerge w:val="continue"/>
            <w:vAlign w:val="center"/>
          </w:tcPr>
          <w:p w14:paraId="41B724CF">
            <w:pPr>
              <w:jc w:val="center"/>
              <w:rPr>
                <w:rFonts w:ascii="Times New Roman"/>
                <w:sz w:val="21"/>
                <w:szCs w:val="21"/>
              </w:rPr>
            </w:pPr>
          </w:p>
        </w:tc>
        <w:tc>
          <w:tcPr>
            <w:tcW w:w="377" w:type="pct"/>
            <w:vAlign w:val="center"/>
          </w:tcPr>
          <w:p w14:paraId="1342223E">
            <w:pPr>
              <w:jc w:val="center"/>
              <w:rPr>
                <w:rFonts w:ascii="Times New Roman"/>
                <w:sz w:val="21"/>
                <w:szCs w:val="21"/>
              </w:rPr>
            </w:pPr>
            <w:r>
              <w:rPr>
                <w:rFonts w:ascii="Times New Roman"/>
                <w:b/>
                <w:bCs/>
                <w:sz w:val="21"/>
                <w:szCs w:val="21"/>
              </w:rPr>
              <w:t>(kg/h)</w:t>
            </w:r>
          </w:p>
        </w:tc>
        <w:tc>
          <w:tcPr>
            <w:tcW w:w="389" w:type="pct"/>
            <w:vAlign w:val="center"/>
          </w:tcPr>
          <w:p w14:paraId="3964C7F1">
            <w:pPr>
              <w:jc w:val="center"/>
              <w:rPr>
                <w:rFonts w:ascii="Times New Roman"/>
                <w:sz w:val="21"/>
                <w:szCs w:val="21"/>
              </w:rPr>
            </w:pPr>
            <w:r>
              <w:rPr>
                <w:rFonts w:ascii="Times New Roman"/>
                <w:b/>
                <w:bCs/>
                <w:sz w:val="21"/>
                <w:szCs w:val="21"/>
              </w:rPr>
              <w:t>(t/a)</w:t>
            </w:r>
          </w:p>
        </w:tc>
        <w:tc>
          <w:tcPr>
            <w:tcW w:w="386" w:type="pct"/>
            <w:vMerge w:val="continue"/>
            <w:vAlign w:val="center"/>
          </w:tcPr>
          <w:p w14:paraId="5F425C10">
            <w:pPr>
              <w:jc w:val="center"/>
              <w:rPr>
                <w:rFonts w:ascii="Times New Roman"/>
                <w:sz w:val="21"/>
                <w:szCs w:val="21"/>
              </w:rPr>
            </w:pPr>
          </w:p>
        </w:tc>
      </w:tr>
      <w:tr w14:paraId="209E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Align w:val="center"/>
          </w:tcPr>
          <w:p w14:paraId="5ACCBC12">
            <w:pPr>
              <w:jc w:val="center"/>
              <w:rPr>
                <w:rFonts w:ascii="Times New Roman"/>
                <w:sz w:val="21"/>
                <w:szCs w:val="21"/>
              </w:rPr>
            </w:pPr>
            <w:r>
              <w:rPr>
                <w:rFonts w:ascii="Times New Roman"/>
                <w:sz w:val="21"/>
                <w:szCs w:val="21"/>
              </w:rPr>
              <w:t>下料废气(DA001)</w:t>
            </w:r>
          </w:p>
        </w:tc>
        <w:tc>
          <w:tcPr>
            <w:tcW w:w="444" w:type="pct"/>
            <w:vAlign w:val="center"/>
          </w:tcPr>
          <w:p w14:paraId="01C2F82C">
            <w:pPr>
              <w:jc w:val="center"/>
              <w:rPr>
                <w:rFonts w:ascii="Times New Roman"/>
                <w:sz w:val="21"/>
                <w:szCs w:val="21"/>
              </w:rPr>
            </w:pPr>
            <w:r>
              <w:rPr>
                <w:rFonts w:ascii="Times New Roman"/>
                <w:sz w:val="21"/>
                <w:szCs w:val="21"/>
              </w:rPr>
              <w:t>颗粒物</w:t>
            </w:r>
          </w:p>
        </w:tc>
        <w:tc>
          <w:tcPr>
            <w:tcW w:w="437" w:type="pct"/>
            <w:vAlign w:val="center"/>
          </w:tcPr>
          <w:p w14:paraId="2BCB3061">
            <w:pPr>
              <w:jc w:val="center"/>
              <w:rPr>
                <w:rFonts w:ascii="Times New Roman"/>
                <w:sz w:val="21"/>
                <w:szCs w:val="21"/>
              </w:rPr>
            </w:pPr>
            <w:r>
              <w:rPr>
                <w:rFonts w:ascii="Times New Roman"/>
                <w:sz w:val="21"/>
                <w:szCs w:val="21"/>
              </w:rPr>
              <w:t>20000</w:t>
            </w:r>
          </w:p>
        </w:tc>
        <w:tc>
          <w:tcPr>
            <w:tcW w:w="405" w:type="pct"/>
            <w:shd w:val="clear" w:color="auto" w:fill="auto"/>
            <w:vAlign w:val="center"/>
          </w:tcPr>
          <w:p w14:paraId="5F9104A4">
            <w:pPr>
              <w:jc w:val="center"/>
              <w:rPr>
                <w:rFonts w:ascii="Times New Roman"/>
                <w:sz w:val="21"/>
                <w:szCs w:val="21"/>
              </w:rPr>
            </w:pPr>
            <w:r>
              <w:rPr>
                <w:rFonts w:hint="eastAsia" w:ascii="Times New Roman"/>
                <w:sz w:val="21"/>
                <w:szCs w:val="21"/>
              </w:rPr>
              <w:t>875.000</w:t>
            </w:r>
          </w:p>
        </w:tc>
        <w:tc>
          <w:tcPr>
            <w:tcW w:w="370" w:type="pct"/>
            <w:shd w:val="clear" w:color="auto" w:fill="auto"/>
            <w:vAlign w:val="center"/>
          </w:tcPr>
          <w:p w14:paraId="52CBF713">
            <w:pPr>
              <w:jc w:val="center"/>
              <w:rPr>
                <w:rFonts w:ascii="Times New Roman"/>
                <w:sz w:val="21"/>
                <w:szCs w:val="21"/>
                <w:lang w:bidi="zh-TW"/>
              </w:rPr>
            </w:pPr>
            <w:r>
              <w:rPr>
                <w:rFonts w:ascii="Times New Roman"/>
                <w:sz w:val="21"/>
                <w:szCs w:val="21"/>
              </w:rPr>
              <w:t>1</w:t>
            </w:r>
            <w:r>
              <w:rPr>
                <w:rFonts w:hint="eastAsia" w:ascii="Times New Roman"/>
                <w:sz w:val="21"/>
                <w:szCs w:val="21"/>
              </w:rPr>
              <w:t>4.583</w:t>
            </w:r>
          </w:p>
        </w:tc>
        <w:tc>
          <w:tcPr>
            <w:tcW w:w="406" w:type="pct"/>
            <w:shd w:val="clear" w:color="auto" w:fill="auto"/>
            <w:vAlign w:val="center"/>
          </w:tcPr>
          <w:p w14:paraId="04A8CCD5">
            <w:pPr>
              <w:jc w:val="center"/>
              <w:rPr>
                <w:rFonts w:ascii="Times New Roman"/>
                <w:sz w:val="21"/>
                <w:szCs w:val="21"/>
                <w:lang w:bidi="zh-TW"/>
              </w:rPr>
            </w:pPr>
            <w:r>
              <w:rPr>
                <w:rFonts w:hint="eastAsia" w:ascii="Times New Roman"/>
                <w:sz w:val="21"/>
                <w:szCs w:val="21"/>
              </w:rPr>
              <w:t>105</w:t>
            </w:r>
          </w:p>
        </w:tc>
        <w:tc>
          <w:tcPr>
            <w:tcW w:w="298" w:type="pct"/>
            <w:vAlign w:val="center"/>
          </w:tcPr>
          <w:p w14:paraId="037CC777">
            <w:pPr>
              <w:jc w:val="center"/>
              <w:rPr>
                <w:rFonts w:ascii="Times New Roman"/>
                <w:sz w:val="21"/>
                <w:szCs w:val="21"/>
              </w:rPr>
            </w:pPr>
            <w:r>
              <w:rPr>
                <w:rFonts w:ascii="Times New Roman"/>
                <w:sz w:val="21"/>
                <w:szCs w:val="21"/>
              </w:rPr>
              <w:t>90</w:t>
            </w:r>
          </w:p>
        </w:tc>
        <w:tc>
          <w:tcPr>
            <w:tcW w:w="358" w:type="pct"/>
            <w:vAlign w:val="center"/>
          </w:tcPr>
          <w:p w14:paraId="6CE5BDAE">
            <w:pPr>
              <w:jc w:val="center"/>
              <w:rPr>
                <w:rFonts w:ascii="Times New Roman"/>
                <w:sz w:val="21"/>
                <w:szCs w:val="21"/>
              </w:rPr>
            </w:pPr>
            <w:r>
              <w:rPr>
                <w:rFonts w:ascii="Times New Roman"/>
                <w:sz w:val="21"/>
                <w:szCs w:val="21"/>
              </w:rPr>
              <w:t>布袋除尘器</w:t>
            </w:r>
          </w:p>
        </w:tc>
        <w:tc>
          <w:tcPr>
            <w:tcW w:w="300" w:type="pct"/>
            <w:vAlign w:val="center"/>
          </w:tcPr>
          <w:p w14:paraId="04C1B568">
            <w:pPr>
              <w:jc w:val="center"/>
              <w:rPr>
                <w:rFonts w:ascii="Times New Roman"/>
                <w:sz w:val="21"/>
                <w:szCs w:val="21"/>
              </w:rPr>
            </w:pPr>
            <w:r>
              <w:rPr>
                <w:rFonts w:ascii="Times New Roman"/>
                <w:sz w:val="21"/>
                <w:szCs w:val="21"/>
              </w:rPr>
              <w:t>50</w:t>
            </w:r>
          </w:p>
        </w:tc>
        <w:tc>
          <w:tcPr>
            <w:tcW w:w="386" w:type="pct"/>
            <w:shd w:val="clear" w:color="auto" w:fill="auto"/>
            <w:vAlign w:val="center"/>
          </w:tcPr>
          <w:p w14:paraId="36A392DA">
            <w:pPr>
              <w:jc w:val="center"/>
              <w:rPr>
                <w:rFonts w:ascii="Times New Roman"/>
                <w:sz w:val="21"/>
                <w:szCs w:val="21"/>
                <w:lang w:bidi="zh-TW"/>
              </w:rPr>
            </w:pPr>
            <w:r>
              <w:rPr>
                <w:rFonts w:hint="eastAsia" w:ascii="Times New Roman"/>
                <w:sz w:val="21"/>
                <w:szCs w:val="21"/>
                <w:lang w:bidi="zh-TW"/>
              </w:rPr>
              <w:t>415.625</w:t>
            </w:r>
          </w:p>
        </w:tc>
        <w:tc>
          <w:tcPr>
            <w:tcW w:w="377" w:type="pct"/>
            <w:shd w:val="clear" w:color="auto" w:fill="auto"/>
            <w:vAlign w:val="center"/>
          </w:tcPr>
          <w:p w14:paraId="7625C940">
            <w:pPr>
              <w:jc w:val="center"/>
              <w:rPr>
                <w:rFonts w:ascii="Times New Roman"/>
                <w:sz w:val="21"/>
                <w:szCs w:val="21"/>
                <w:lang w:bidi="zh-TW"/>
              </w:rPr>
            </w:pPr>
            <w:r>
              <w:rPr>
                <w:rFonts w:hint="eastAsia" w:ascii="Times New Roman"/>
                <w:sz w:val="21"/>
                <w:szCs w:val="21"/>
              </w:rPr>
              <w:t>4.156</w:t>
            </w:r>
          </w:p>
        </w:tc>
        <w:tc>
          <w:tcPr>
            <w:tcW w:w="389" w:type="pct"/>
            <w:shd w:val="clear" w:color="auto" w:fill="auto"/>
            <w:vAlign w:val="center"/>
          </w:tcPr>
          <w:p w14:paraId="3815BFDC">
            <w:pPr>
              <w:jc w:val="center"/>
              <w:rPr>
                <w:rFonts w:ascii="Times New Roman"/>
                <w:sz w:val="21"/>
                <w:szCs w:val="21"/>
                <w:lang w:bidi="zh-TW"/>
              </w:rPr>
            </w:pPr>
            <w:r>
              <w:rPr>
                <w:rFonts w:hint="eastAsia" w:ascii="Times New Roman"/>
                <w:sz w:val="21"/>
                <w:szCs w:val="21"/>
                <w:lang w:bidi="zh-TW"/>
              </w:rPr>
              <w:t>9.975</w:t>
            </w:r>
          </w:p>
        </w:tc>
        <w:tc>
          <w:tcPr>
            <w:tcW w:w="386" w:type="pct"/>
            <w:shd w:val="clear" w:color="auto" w:fill="auto"/>
            <w:vAlign w:val="center"/>
          </w:tcPr>
          <w:p w14:paraId="63FB99FA">
            <w:pPr>
              <w:jc w:val="center"/>
              <w:rPr>
                <w:rFonts w:ascii="Times New Roman"/>
                <w:sz w:val="21"/>
                <w:szCs w:val="21"/>
              </w:rPr>
            </w:pPr>
            <w:r>
              <w:rPr>
                <w:rFonts w:ascii="Times New Roman"/>
                <w:sz w:val="21"/>
                <w:szCs w:val="21"/>
              </w:rPr>
              <w:t>10</w:t>
            </w:r>
          </w:p>
        </w:tc>
      </w:tr>
      <w:tr w14:paraId="0DB01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Align w:val="center"/>
          </w:tcPr>
          <w:p w14:paraId="153C090C">
            <w:pPr>
              <w:jc w:val="center"/>
              <w:rPr>
                <w:rFonts w:ascii="Times New Roman"/>
                <w:sz w:val="21"/>
                <w:szCs w:val="21"/>
              </w:rPr>
            </w:pPr>
            <w:r>
              <w:rPr>
                <w:rFonts w:ascii="Times New Roman"/>
                <w:sz w:val="21"/>
                <w:szCs w:val="21"/>
              </w:rPr>
              <w:t>焊接废气(DA002)</w:t>
            </w:r>
          </w:p>
        </w:tc>
        <w:tc>
          <w:tcPr>
            <w:tcW w:w="444" w:type="pct"/>
            <w:vAlign w:val="center"/>
          </w:tcPr>
          <w:p w14:paraId="781AB08B">
            <w:pPr>
              <w:jc w:val="center"/>
              <w:rPr>
                <w:rFonts w:ascii="Times New Roman"/>
                <w:sz w:val="21"/>
                <w:szCs w:val="21"/>
              </w:rPr>
            </w:pPr>
            <w:r>
              <w:rPr>
                <w:rFonts w:ascii="Times New Roman"/>
                <w:sz w:val="21"/>
                <w:szCs w:val="21"/>
              </w:rPr>
              <w:t>颗粒物</w:t>
            </w:r>
          </w:p>
        </w:tc>
        <w:tc>
          <w:tcPr>
            <w:tcW w:w="437" w:type="pct"/>
            <w:vAlign w:val="center"/>
          </w:tcPr>
          <w:p w14:paraId="29BE8FC5">
            <w:pPr>
              <w:jc w:val="center"/>
              <w:rPr>
                <w:rFonts w:ascii="Times New Roman"/>
                <w:sz w:val="21"/>
                <w:szCs w:val="21"/>
              </w:rPr>
            </w:pPr>
            <w:r>
              <w:rPr>
                <w:rFonts w:ascii="Times New Roman"/>
                <w:sz w:val="21"/>
                <w:szCs w:val="21"/>
              </w:rPr>
              <w:t>15000</w:t>
            </w:r>
          </w:p>
        </w:tc>
        <w:tc>
          <w:tcPr>
            <w:tcW w:w="405" w:type="pct"/>
            <w:vAlign w:val="center"/>
          </w:tcPr>
          <w:p w14:paraId="6E51F17A">
            <w:pPr>
              <w:jc w:val="center"/>
              <w:rPr>
                <w:rFonts w:ascii="Times New Roman"/>
                <w:sz w:val="21"/>
                <w:szCs w:val="21"/>
              </w:rPr>
            </w:pPr>
            <w:r>
              <w:rPr>
                <w:rFonts w:ascii="Times New Roman"/>
                <w:sz w:val="21"/>
                <w:szCs w:val="21"/>
              </w:rPr>
              <w:t>14.463</w:t>
            </w:r>
          </w:p>
        </w:tc>
        <w:tc>
          <w:tcPr>
            <w:tcW w:w="370" w:type="pct"/>
            <w:shd w:val="clear" w:color="auto" w:fill="auto"/>
            <w:vAlign w:val="center"/>
          </w:tcPr>
          <w:p w14:paraId="41666C50">
            <w:pPr>
              <w:jc w:val="center"/>
              <w:rPr>
                <w:rFonts w:ascii="Times New Roman"/>
                <w:sz w:val="21"/>
                <w:szCs w:val="21"/>
              </w:rPr>
            </w:pPr>
            <w:r>
              <w:rPr>
                <w:rFonts w:ascii="Times New Roman"/>
                <w:sz w:val="21"/>
                <w:szCs w:val="21"/>
              </w:rPr>
              <w:t>0.211</w:t>
            </w:r>
          </w:p>
        </w:tc>
        <w:tc>
          <w:tcPr>
            <w:tcW w:w="406" w:type="pct"/>
            <w:vAlign w:val="center"/>
          </w:tcPr>
          <w:p w14:paraId="6EEA6DCC">
            <w:pPr>
              <w:jc w:val="center"/>
              <w:rPr>
                <w:rFonts w:ascii="Times New Roman"/>
                <w:sz w:val="21"/>
                <w:szCs w:val="21"/>
              </w:rPr>
            </w:pPr>
            <w:r>
              <w:rPr>
                <w:rFonts w:ascii="Times New Roman"/>
                <w:sz w:val="21"/>
                <w:szCs w:val="21"/>
              </w:rPr>
              <w:t>1.516</w:t>
            </w:r>
          </w:p>
        </w:tc>
        <w:tc>
          <w:tcPr>
            <w:tcW w:w="298" w:type="pct"/>
            <w:shd w:val="clear" w:color="auto" w:fill="auto"/>
            <w:vAlign w:val="center"/>
          </w:tcPr>
          <w:p w14:paraId="2B35BBF2">
            <w:pPr>
              <w:jc w:val="center"/>
              <w:rPr>
                <w:rFonts w:ascii="Times New Roman"/>
                <w:sz w:val="21"/>
                <w:szCs w:val="21"/>
              </w:rPr>
            </w:pPr>
            <w:r>
              <w:rPr>
                <w:rFonts w:ascii="Times New Roman"/>
                <w:sz w:val="21"/>
                <w:szCs w:val="21"/>
              </w:rPr>
              <w:t>90</w:t>
            </w:r>
          </w:p>
        </w:tc>
        <w:tc>
          <w:tcPr>
            <w:tcW w:w="358" w:type="pct"/>
            <w:shd w:val="clear" w:color="auto" w:fill="auto"/>
            <w:vAlign w:val="center"/>
          </w:tcPr>
          <w:p w14:paraId="16E2C34A">
            <w:pPr>
              <w:jc w:val="center"/>
              <w:rPr>
                <w:rFonts w:ascii="Times New Roman"/>
                <w:sz w:val="21"/>
                <w:szCs w:val="21"/>
              </w:rPr>
            </w:pPr>
            <w:r>
              <w:rPr>
                <w:rFonts w:hint="eastAsia" w:ascii="Times New Roman"/>
                <w:sz w:val="21"/>
                <w:szCs w:val="21"/>
              </w:rPr>
              <w:t>滤筒</w:t>
            </w:r>
            <w:r>
              <w:rPr>
                <w:rFonts w:ascii="Times New Roman"/>
                <w:sz w:val="21"/>
                <w:szCs w:val="21"/>
              </w:rPr>
              <w:t>除尘器</w:t>
            </w:r>
          </w:p>
        </w:tc>
        <w:tc>
          <w:tcPr>
            <w:tcW w:w="300" w:type="pct"/>
            <w:shd w:val="clear" w:color="auto" w:fill="auto"/>
            <w:vAlign w:val="center"/>
          </w:tcPr>
          <w:p w14:paraId="3418D60D">
            <w:pPr>
              <w:jc w:val="center"/>
              <w:rPr>
                <w:rFonts w:ascii="Times New Roman"/>
                <w:sz w:val="21"/>
                <w:szCs w:val="21"/>
              </w:rPr>
            </w:pPr>
            <w:r>
              <w:rPr>
                <w:rFonts w:ascii="Times New Roman"/>
                <w:sz w:val="21"/>
                <w:szCs w:val="21"/>
              </w:rPr>
              <w:t>50</w:t>
            </w:r>
          </w:p>
        </w:tc>
        <w:tc>
          <w:tcPr>
            <w:tcW w:w="386" w:type="pct"/>
            <w:vAlign w:val="center"/>
          </w:tcPr>
          <w:p w14:paraId="16604145">
            <w:pPr>
              <w:jc w:val="center"/>
              <w:rPr>
                <w:rFonts w:ascii="Times New Roman"/>
                <w:sz w:val="21"/>
                <w:szCs w:val="21"/>
              </w:rPr>
            </w:pPr>
            <w:r>
              <w:rPr>
                <w:rFonts w:hint="eastAsia" w:ascii="Times New Roman"/>
                <w:sz w:val="21"/>
                <w:szCs w:val="21"/>
              </w:rPr>
              <w:t>6.317</w:t>
            </w:r>
          </w:p>
        </w:tc>
        <w:tc>
          <w:tcPr>
            <w:tcW w:w="377" w:type="pct"/>
            <w:vAlign w:val="center"/>
          </w:tcPr>
          <w:p w14:paraId="04183DE9">
            <w:pPr>
              <w:jc w:val="center"/>
              <w:rPr>
                <w:rFonts w:ascii="Times New Roman"/>
                <w:sz w:val="21"/>
                <w:szCs w:val="21"/>
                <w:lang w:bidi="zh-TW"/>
              </w:rPr>
            </w:pPr>
            <w:r>
              <w:rPr>
                <w:rFonts w:ascii="Times New Roman"/>
                <w:sz w:val="21"/>
                <w:szCs w:val="21"/>
                <w:lang w:bidi="zh-TW"/>
              </w:rPr>
              <w:t>0.</w:t>
            </w:r>
            <w:r>
              <w:rPr>
                <w:rFonts w:hint="eastAsia" w:ascii="Times New Roman"/>
                <w:sz w:val="21"/>
                <w:szCs w:val="21"/>
                <w:lang w:bidi="zh-TW"/>
              </w:rPr>
              <w:t>095</w:t>
            </w:r>
          </w:p>
        </w:tc>
        <w:tc>
          <w:tcPr>
            <w:tcW w:w="389" w:type="pct"/>
            <w:vAlign w:val="center"/>
          </w:tcPr>
          <w:p w14:paraId="7C134215">
            <w:pPr>
              <w:jc w:val="center"/>
              <w:rPr>
                <w:rFonts w:ascii="Times New Roman"/>
                <w:sz w:val="21"/>
                <w:szCs w:val="21"/>
              </w:rPr>
            </w:pPr>
            <w:r>
              <w:rPr>
                <w:rFonts w:ascii="Times New Roman"/>
                <w:sz w:val="21"/>
                <w:szCs w:val="21"/>
              </w:rPr>
              <w:t>0.</w:t>
            </w:r>
            <w:r>
              <w:rPr>
                <w:rFonts w:hint="eastAsia" w:ascii="Times New Roman"/>
                <w:sz w:val="21"/>
                <w:szCs w:val="21"/>
              </w:rPr>
              <w:t>682</w:t>
            </w:r>
          </w:p>
        </w:tc>
        <w:tc>
          <w:tcPr>
            <w:tcW w:w="386" w:type="pct"/>
            <w:shd w:val="clear" w:color="auto" w:fill="auto"/>
            <w:vAlign w:val="center"/>
          </w:tcPr>
          <w:p w14:paraId="52AC2798">
            <w:pPr>
              <w:jc w:val="center"/>
              <w:rPr>
                <w:rFonts w:ascii="Times New Roman"/>
                <w:sz w:val="21"/>
                <w:szCs w:val="21"/>
              </w:rPr>
            </w:pPr>
            <w:r>
              <w:rPr>
                <w:rFonts w:hint="eastAsia" w:ascii="Times New Roman"/>
                <w:sz w:val="21"/>
                <w:szCs w:val="21"/>
              </w:rPr>
              <w:t>10</w:t>
            </w:r>
          </w:p>
        </w:tc>
      </w:tr>
      <w:tr w14:paraId="51F83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Align w:val="center"/>
          </w:tcPr>
          <w:p w14:paraId="7B989BDF">
            <w:pPr>
              <w:jc w:val="center"/>
              <w:rPr>
                <w:rFonts w:ascii="Times New Roman"/>
                <w:sz w:val="21"/>
                <w:szCs w:val="21"/>
              </w:rPr>
            </w:pPr>
            <w:r>
              <w:rPr>
                <w:rFonts w:ascii="Times New Roman"/>
                <w:sz w:val="21"/>
                <w:szCs w:val="21"/>
              </w:rPr>
              <w:t>焊接废气(DA003)</w:t>
            </w:r>
          </w:p>
        </w:tc>
        <w:tc>
          <w:tcPr>
            <w:tcW w:w="444" w:type="pct"/>
            <w:vAlign w:val="center"/>
          </w:tcPr>
          <w:p w14:paraId="13C5E157">
            <w:pPr>
              <w:jc w:val="center"/>
              <w:rPr>
                <w:rFonts w:ascii="Times New Roman"/>
                <w:sz w:val="21"/>
                <w:szCs w:val="21"/>
              </w:rPr>
            </w:pPr>
            <w:r>
              <w:rPr>
                <w:rFonts w:ascii="Times New Roman"/>
                <w:sz w:val="21"/>
                <w:szCs w:val="21"/>
              </w:rPr>
              <w:t>颗粒物</w:t>
            </w:r>
          </w:p>
        </w:tc>
        <w:tc>
          <w:tcPr>
            <w:tcW w:w="437" w:type="pct"/>
            <w:vAlign w:val="center"/>
          </w:tcPr>
          <w:p w14:paraId="005FB1C0">
            <w:pPr>
              <w:jc w:val="center"/>
              <w:rPr>
                <w:rFonts w:ascii="Times New Roman"/>
                <w:sz w:val="21"/>
                <w:szCs w:val="21"/>
              </w:rPr>
            </w:pPr>
            <w:r>
              <w:rPr>
                <w:rFonts w:ascii="Times New Roman"/>
                <w:sz w:val="21"/>
                <w:szCs w:val="21"/>
              </w:rPr>
              <w:t>15000</w:t>
            </w:r>
          </w:p>
        </w:tc>
        <w:tc>
          <w:tcPr>
            <w:tcW w:w="405" w:type="pct"/>
            <w:vAlign w:val="center"/>
          </w:tcPr>
          <w:p w14:paraId="04938DDD">
            <w:pPr>
              <w:jc w:val="center"/>
              <w:rPr>
                <w:rFonts w:ascii="Times New Roman"/>
                <w:sz w:val="21"/>
                <w:szCs w:val="21"/>
              </w:rPr>
            </w:pPr>
            <w:r>
              <w:rPr>
                <w:rFonts w:ascii="Times New Roman"/>
                <w:sz w:val="21"/>
                <w:szCs w:val="21"/>
              </w:rPr>
              <w:t>17.018</w:t>
            </w:r>
          </w:p>
        </w:tc>
        <w:tc>
          <w:tcPr>
            <w:tcW w:w="370" w:type="pct"/>
            <w:shd w:val="clear" w:color="auto" w:fill="auto"/>
            <w:vAlign w:val="center"/>
          </w:tcPr>
          <w:p w14:paraId="4ED070D5">
            <w:pPr>
              <w:jc w:val="center"/>
              <w:rPr>
                <w:rFonts w:ascii="Times New Roman"/>
                <w:sz w:val="21"/>
                <w:szCs w:val="21"/>
              </w:rPr>
            </w:pPr>
            <w:r>
              <w:rPr>
                <w:rFonts w:ascii="Times New Roman"/>
                <w:sz w:val="21"/>
                <w:szCs w:val="21"/>
              </w:rPr>
              <w:t>0.255</w:t>
            </w:r>
          </w:p>
        </w:tc>
        <w:tc>
          <w:tcPr>
            <w:tcW w:w="406" w:type="pct"/>
            <w:shd w:val="clear" w:color="auto" w:fill="auto"/>
            <w:vAlign w:val="center"/>
          </w:tcPr>
          <w:p w14:paraId="7C1D15E5">
            <w:pPr>
              <w:jc w:val="center"/>
              <w:rPr>
                <w:rFonts w:ascii="Times New Roman"/>
                <w:sz w:val="21"/>
                <w:szCs w:val="21"/>
              </w:rPr>
            </w:pPr>
            <w:r>
              <w:rPr>
                <w:rFonts w:ascii="Times New Roman"/>
                <w:sz w:val="21"/>
                <w:szCs w:val="21"/>
              </w:rPr>
              <w:t>1.838</w:t>
            </w:r>
          </w:p>
        </w:tc>
        <w:tc>
          <w:tcPr>
            <w:tcW w:w="298" w:type="pct"/>
            <w:shd w:val="clear" w:color="auto" w:fill="auto"/>
            <w:vAlign w:val="center"/>
          </w:tcPr>
          <w:p w14:paraId="592548CF">
            <w:pPr>
              <w:jc w:val="center"/>
              <w:rPr>
                <w:rFonts w:ascii="Times New Roman"/>
                <w:sz w:val="21"/>
                <w:szCs w:val="21"/>
              </w:rPr>
            </w:pPr>
            <w:r>
              <w:rPr>
                <w:rFonts w:ascii="Times New Roman"/>
                <w:sz w:val="21"/>
                <w:szCs w:val="21"/>
              </w:rPr>
              <w:t>90</w:t>
            </w:r>
          </w:p>
        </w:tc>
        <w:tc>
          <w:tcPr>
            <w:tcW w:w="358" w:type="pct"/>
            <w:shd w:val="clear" w:color="auto" w:fill="auto"/>
            <w:vAlign w:val="center"/>
          </w:tcPr>
          <w:p w14:paraId="3B918BC3">
            <w:pPr>
              <w:jc w:val="center"/>
              <w:rPr>
                <w:rFonts w:ascii="Times New Roman"/>
                <w:sz w:val="21"/>
                <w:szCs w:val="21"/>
              </w:rPr>
            </w:pPr>
            <w:r>
              <w:rPr>
                <w:rFonts w:hint="eastAsia" w:ascii="Times New Roman"/>
                <w:sz w:val="21"/>
                <w:szCs w:val="21"/>
              </w:rPr>
              <w:t>滤筒</w:t>
            </w:r>
            <w:r>
              <w:rPr>
                <w:rFonts w:ascii="Times New Roman"/>
                <w:sz w:val="21"/>
                <w:szCs w:val="21"/>
              </w:rPr>
              <w:t>除尘器</w:t>
            </w:r>
          </w:p>
        </w:tc>
        <w:tc>
          <w:tcPr>
            <w:tcW w:w="300" w:type="pct"/>
            <w:shd w:val="clear" w:color="auto" w:fill="auto"/>
            <w:vAlign w:val="center"/>
          </w:tcPr>
          <w:p w14:paraId="43815D20">
            <w:pPr>
              <w:jc w:val="center"/>
              <w:rPr>
                <w:rFonts w:ascii="Times New Roman"/>
                <w:sz w:val="21"/>
                <w:szCs w:val="21"/>
              </w:rPr>
            </w:pPr>
            <w:r>
              <w:rPr>
                <w:rFonts w:ascii="Times New Roman"/>
                <w:sz w:val="21"/>
                <w:szCs w:val="21"/>
              </w:rPr>
              <w:t>50</w:t>
            </w:r>
          </w:p>
        </w:tc>
        <w:tc>
          <w:tcPr>
            <w:tcW w:w="386" w:type="pct"/>
            <w:vAlign w:val="center"/>
          </w:tcPr>
          <w:p w14:paraId="38DA984D">
            <w:pPr>
              <w:jc w:val="center"/>
              <w:rPr>
                <w:rFonts w:ascii="Times New Roman"/>
                <w:sz w:val="21"/>
                <w:szCs w:val="21"/>
              </w:rPr>
            </w:pPr>
            <w:r>
              <w:rPr>
                <w:rFonts w:hint="eastAsia" w:ascii="Times New Roman"/>
                <w:sz w:val="21"/>
                <w:szCs w:val="21"/>
              </w:rPr>
              <w:t>7.658</w:t>
            </w:r>
          </w:p>
        </w:tc>
        <w:tc>
          <w:tcPr>
            <w:tcW w:w="377" w:type="pct"/>
            <w:vAlign w:val="center"/>
          </w:tcPr>
          <w:p w14:paraId="307B6615">
            <w:pPr>
              <w:jc w:val="center"/>
              <w:rPr>
                <w:rFonts w:ascii="Times New Roman"/>
                <w:sz w:val="21"/>
                <w:szCs w:val="21"/>
                <w:lang w:bidi="zh-TW"/>
              </w:rPr>
            </w:pPr>
            <w:r>
              <w:rPr>
                <w:rFonts w:ascii="Times New Roman"/>
                <w:sz w:val="21"/>
                <w:szCs w:val="21"/>
                <w:lang w:bidi="zh-TW"/>
              </w:rPr>
              <w:t>0.</w:t>
            </w:r>
            <w:r>
              <w:rPr>
                <w:rFonts w:hint="eastAsia" w:ascii="Times New Roman"/>
                <w:sz w:val="21"/>
                <w:szCs w:val="21"/>
                <w:lang w:bidi="zh-TW"/>
              </w:rPr>
              <w:t>115</w:t>
            </w:r>
          </w:p>
        </w:tc>
        <w:tc>
          <w:tcPr>
            <w:tcW w:w="389" w:type="pct"/>
            <w:vAlign w:val="center"/>
          </w:tcPr>
          <w:p w14:paraId="0D475065">
            <w:pPr>
              <w:jc w:val="center"/>
              <w:rPr>
                <w:rFonts w:ascii="Times New Roman"/>
                <w:sz w:val="21"/>
                <w:szCs w:val="21"/>
              </w:rPr>
            </w:pPr>
            <w:r>
              <w:rPr>
                <w:rFonts w:hint="eastAsia" w:ascii="Times New Roman"/>
                <w:sz w:val="21"/>
                <w:szCs w:val="21"/>
              </w:rPr>
              <w:t>0.827</w:t>
            </w:r>
          </w:p>
        </w:tc>
        <w:tc>
          <w:tcPr>
            <w:tcW w:w="386" w:type="pct"/>
            <w:shd w:val="clear" w:color="auto" w:fill="auto"/>
            <w:vAlign w:val="center"/>
          </w:tcPr>
          <w:p w14:paraId="238122C8">
            <w:pPr>
              <w:jc w:val="center"/>
              <w:rPr>
                <w:rFonts w:ascii="Times New Roman"/>
                <w:sz w:val="21"/>
                <w:szCs w:val="21"/>
              </w:rPr>
            </w:pPr>
            <w:r>
              <w:rPr>
                <w:rFonts w:ascii="Times New Roman"/>
                <w:sz w:val="21"/>
                <w:szCs w:val="21"/>
              </w:rPr>
              <w:t>10</w:t>
            </w:r>
          </w:p>
        </w:tc>
      </w:tr>
      <w:tr w14:paraId="07C54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Align w:val="center"/>
          </w:tcPr>
          <w:p w14:paraId="5EF44248">
            <w:pPr>
              <w:jc w:val="center"/>
              <w:rPr>
                <w:rFonts w:ascii="Times New Roman"/>
                <w:sz w:val="21"/>
                <w:szCs w:val="21"/>
              </w:rPr>
            </w:pPr>
            <w:r>
              <w:rPr>
                <w:rFonts w:ascii="Times New Roman"/>
                <w:sz w:val="21"/>
                <w:szCs w:val="21"/>
              </w:rPr>
              <w:t>焊接废气(DA004)</w:t>
            </w:r>
          </w:p>
        </w:tc>
        <w:tc>
          <w:tcPr>
            <w:tcW w:w="444" w:type="pct"/>
            <w:vAlign w:val="center"/>
          </w:tcPr>
          <w:p w14:paraId="10368697">
            <w:pPr>
              <w:jc w:val="center"/>
              <w:rPr>
                <w:rFonts w:ascii="Times New Roman"/>
                <w:sz w:val="21"/>
                <w:szCs w:val="21"/>
              </w:rPr>
            </w:pPr>
            <w:r>
              <w:rPr>
                <w:rFonts w:ascii="Times New Roman"/>
                <w:sz w:val="21"/>
                <w:szCs w:val="21"/>
              </w:rPr>
              <w:t>颗粒物</w:t>
            </w:r>
          </w:p>
        </w:tc>
        <w:tc>
          <w:tcPr>
            <w:tcW w:w="437" w:type="pct"/>
            <w:vAlign w:val="center"/>
          </w:tcPr>
          <w:p w14:paraId="2469B767">
            <w:pPr>
              <w:jc w:val="center"/>
              <w:rPr>
                <w:rFonts w:ascii="Times New Roman"/>
                <w:sz w:val="21"/>
                <w:szCs w:val="21"/>
              </w:rPr>
            </w:pPr>
            <w:r>
              <w:rPr>
                <w:rFonts w:ascii="Times New Roman"/>
                <w:sz w:val="21"/>
                <w:szCs w:val="21"/>
              </w:rPr>
              <w:t>15000</w:t>
            </w:r>
          </w:p>
        </w:tc>
        <w:tc>
          <w:tcPr>
            <w:tcW w:w="405" w:type="pct"/>
            <w:vAlign w:val="center"/>
          </w:tcPr>
          <w:p w14:paraId="329A52FD">
            <w:pPr>
              <w:jc w:val="center"/>
              <w:rPr>
                <w:rFonts w:ascii="Times New Roman"/>
                <w:sz w:val="21"/>
                <w:szCs w:val="21"/>
              </w:rPr>
            </w:pPr>
            <w:r>
              <w:rPr>
                <w:rFonts w:ascii="Times New Roman"/>
                <w:sz w:val="21"/>
                <w:szCs w:val="21"/>
              </w:rPr>
              <w:t>14.462</w:t>
            </w:r>
          </w:p>
        </w:tc>
        <w:tc>
          <w:tcPr>
            <w:tcW w:w="370" w:type="pct"/>
            <w:shd w:val="clear" w:color="auto" w:fill="auto"/>
            <w:vAlign w:val="center"/>
          </w:tcPr>
          <w:p w14:paraId="0915E3BD">
            <w:pPr>
              <w:jc w:val="center"/>
              <w:rPr>
                <w:rFonts w:ascii="Times New Roman"/>
                <w:sz w:val="21"/>
                <w:szCs w:val="21"/>
              </w:rPr>
            </w:pPr>
            <w:r>
              <w:rPr>
                <w:rFonts w:ascii="Times New Roman"/>
                <w:sz w:val="21"/>
                <w:szCs w:val="21"/>
              </w:rPr>
              <w:t>0.217</w:t>
            </w:r>
          </w:p>
        </w:tc>
        <w:tc>
          <w:tcPr>
            <w:tcW w:w="406" w:type="pct"/>
            <w:shd w:val="clear" w:color="auto" w:fill="auto"/>
            <w:vAlign w:val="center"/>
          </w:tcPr>
          <w:p w14:paraId="31E96D5F">
            <w:pPr>
              <w:jc w:val="center"/>
              <w:rPr>
                <w:rFonts w:ascii="Times New Roman"/>
                <w:sz w:val="21"/>
                <w:szCs w:val="21"/>
              </w:rPr>
            </w:pPr>
            <w:r>
              <w:rPr>
                <w:rFonts w:ascii="Times New Roman"/>
                <w:sz w:val="21"/>
                <w:szCs w:val="21"/>
              </w:rPr>
              <w:t>1.562</w:t>
            </w:r>
          </w:p>
        </w:tc>
        <w:tc>
          <w:tcPr>
            <w:tcW w:w="298" w:type="pct"/>
            <w:shd w:val="clear" w:color="auto" w:fill="auto"/>
            <w:vAlign w:val="center"/>
          </w:tcPr>
          <w:p w14:paraId="15DCB1FC">
            <w:pPr>
              <w:jc w:val="center"/>
              <w:rPr>
                <w:rFonts w:ascii="Times New Roman"/>
                <w:sz w:val="21"/>
                <w:szCs w:val="21"/>
              </w:rPr>
            </w:pPr>
            <w:r>
              <w:rPr>
                <w:rFonts w:ascii="Times New Roman"/>
                <w:sz w:val="21"/>
                <w:szCs w:val="21"/>
              </w:rPr>
              <w:t>90</w:t>
            </w:r>
          </w:p>
        </w:tc>
        <w:tc>
          <w:tcPr>
            <w:tcW w:w="358" w:type="pct"/>
            <w:shd w:val="clear" w:color="auto" w:fill="auto"/>
            <w:vAlign w:val="center"/>
          </w:tcPr>
          <w:p w14:paraId="33C3DA72">
            <w:pPr>
              <w:jc w:val="center"/>
              <w:rPr>
                <w:rFonts w:ascii="Times New Roman"/>
                <w:sz w:val="21"/>
                <w:szCs w:val="21"/>
              </w:rPr>
            </w:pPr>
            <w:r>
              <w:rPr>
                <w:rFonts w:hint="eastAsia" w:ascii="Times New Roman"/>
                <w:sz w:val="21"/>
                <w:szCs w:val="21"/>
              </w:rPr>
              <w:t>滤筒</w:t>
            </w:r>
            <w:r>
              <w:rPr>
                <w:rFonts w:ascii="Times New Roman"/>
                <w:sz w:val="21"/>
                <w:szCs w:val="21"/>
              </w:rPr>
              <w:t>除尘器</w:t>
            </w:r>
          </w:p>
        </w:tc>
        <w:tc>
          <w:tcPr>
            <w:tcW w:w="300" w:type="pct"/>
            <w:shd w:val="clear" w:color="auto" w:fill="auto"/>
            <w:vAlign w:val="center"/>
          </w:tcPr>
          <w:p w14:paraId="4D06EAA5">
            <w:pPr>
              <w:jc w:val="center"/>
              <w:rPr>
                <w:rFonts w:ascii="Times New Roman"/>
                <w:sz w:val="21"/>
                <w:szCs w:val="21"/>
              </w:rPr>
            </w:pPr>
            <w:r>
              <w:rPr>
                <w:rFonts w:ascii="Times New Roman"/>
                <w:sz w:val="21"/>
                <w:szCs w:val="21"/>
              </w:rPr>
              <w:t>50</w:t>
            </w:r>
          </w:p>
        </w:tc>
        <w:tc>
          <w:tcPr>
            <w:tcW w:w="386" w:type="pct"/>
            <w:vAlign w:val="center"/>
          </w:tcPr>
          <w:p w14:paraId="4C3386F9">
            <w:pPr>
              <w:jc w:val="center"/>
              <w:rPr>
                <w:rFonts w:ascii="Times New Roman"/>
                <w:sz w:val="21"/>
                <w:szCs w:val="21"/>
              </w:rPr>
            </w:pPr>
            <w:r>
              <w:rPr>
                <w:rFonts w:hint="eastAsia" w:ascii="Times New Roman"/>
                <w:sz w:val="21"/>
                <w:szCs w:val="21"/>
              </w:rPr>
              <w:t>6.508</w:t>
            </w:r>
          </w:p>
        </w:tc>
        <w:tc>
          <w:tcPr>
            <w:tcW w:w="377" w:type="pct"/>
            <w:vAlign w:val="center"/>
          </w:tcPr>
          <w:p w14:paraId="1CBE57F4">
            <w:pPr>
              <w:jc w:val="center"/>
              <w:rPr>
                <w:rFonts w:ascii="Times New Roman"/>
                <w:sz w:val="21"/>
                <w:szCs w:val="21"/>
                <w:lang w:bidi="zh-TW"/>
              </w:rPr>
            </w:pPr>
            <w:r>
              <w:rPr>
                <w:rFonts w:ascii="Times New Roman"/>
                <w:sz w:val="21"/>
                <w:szCs w:val="21"/>
                <w:lang w:bidi="zh-TW"/>
              </w:rPr>
              <w:t>0.</w:t>
            </w:r>
            <w:r>
              <w:rPr>
                <w:rFonts w:hint="eastAsia" w:ascii="Times New Roman"/>
                <w:sz w:val="21"/>
                <w:szCs w:val="21"/>
                <w:lang w:bidi="zh-TW"/>
              </w:rPr>
              <w:t>098</w:t>
            </w:r>
          </w:p>
        </w:tc>
        <w:tc>
          <w:tcPr>
            <w:tcW w:w="389" w:type="pct"/>
            <w:vAlign w:val="center"/>
          </w:tcPr>
          <w:p w14:paraId="602D06AA">
            <w:pPr>
              <w:jc w:val="center"/>
              <w:rPr>
                <w:rFonts w:ascii="Times New Roman"/>
                <w:sz w:val="21"/>
                <w:szCs w:val="21"/>
              </w:rPr>
            </w:pPr>
            <w:r>
              <w:rPr>
                <w:rFonts w:ascii="Times New Roman"/>
                <w:sz w:val="21"/>
                <w:szCs w:val="21"/>
              </w:rPr>
              <w:t>0.7</w:t>
            </w:r>
            <w:r>
              <w:rPr>
                <w:rFonts w:hint="eastAsia" w:ascii="Times New Roman"/>
                <w:sz w:val="21"/>
                <w:szCs w:val="21"/>
              </w:rPr>
              <w:t>03</w:t>
            </w:r>
          </w:p>
        </w:tc>
        <w:tc>
          <w:tcPr>
            <w:tcW w:w="386" w:type="pct"/>
            <w:shd w:val="clear" w:color="auto" w:fill="auto"/>
            <w:vAlign w:val="center"/>
          </w:tcPr>
          <w:p w14:paraId="2C0F0994">
            <w:pPr>
              <w:jc w:val="center"/>
              <w:rPr>
                <w:rFonts w:ascii="Times New Roman"/>
                <w:sz w:val="21"/>
                <w:szCs w:val="21"/>
              </w:rPr>
            </w:pPr>
            <w:r>
              <w:rPr>
                <w:rFonts w:ascii="Times New Roman"/>
                <w:sz w:val="21"/>
                <w:szCs w:val="21"/>
              </w:rPr>
              <w:t>10</w:t>
            </w:r>
          </w:p>
        </w:tc>
      </w:tr>
      <w:tr w14:paraId="72016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restart"/>
            <w:vAlign w:val="center"/>
          </w:tcPr>
          <w:p w14:paraId="6946E0BA">
            <w:pPr>
              <w:jc w:val="center"/>
              <w:rPr>
                <w:rFonts w:ascii="Times New Roman"/>
                <w:sz w:val="21"/>
                <w:szCs w:val="21"/>
              </w:rPr>
            </w:pPr>
            <w:r>
              <w:rPr>
                <w:rFonts w:ascii="Times New Roman"/>
                <w:sz w:val="21"/>
                <w:szCs w:val="21"/>
              </w:rPr>
              <w:t>热处理车炉加热废气</w:t>
            </w:r>
          </w:p>
          <w:p w14:paraId="11C40423">
            <w:pPr>
              <w:jc w:val="center"/>
              <w:rPr>
                <w:rFonts w:ascii="Times New Roman"/>
                <w:sz w:val="21"/>
                <w:szCs w:val="21"/>
              </w:rPr>
            </w:pPr>
            <w:r>
              <w:rPr>
                <w:rFonts w:ascii="Times New Roman"/>
                <w:sz w:val="21"/>
                <w:szCs w:val="21"/>
              </w:rPr>
              <w:t>(DA005)</w:t>
            </w:r>
          </w:p>
        </w:tc>
        <w:tc>
          <w:tcPr>
            <w:tcW w:w="444" w:type="pct"/>
            <w:vAlign w:val="center"/>
          </w:tcPr>
          <w:p w14:paraId="001975DB">
            <w:pPr>
              <w:jc w:val="center"/>
              <w:rPr>
                <w:rFonts w:ascii="Times New Roman"/>
                <w:sz w:val="21"/>
                <w:szCs w:val="21"/>
              </w:rPr>
            </w:pPr>
            <w:r>
              <w:rPr>
                <w:rFonts w:ascii="Times New Roman"/>
                <w:sz w:val="21"/>
                <w:szCs w:val="21"/>
              </w:rPr>
              <w:t>颗粒物</w:t>
            </w:r>
          </w:p>
        </w:tc>
        <w:tc>
          <w:tcPr>
            <w:tcW w:w="437" w:type="pct"/>
            <w:vMerge w:val="restart"/>
            <w:vAlign w:val="center"/>
          </w:tcPr>
          <w:p w14:paraId="38578A83">
            <w:pPr>
              <w:jc w:val="center"/>
              <w:rPr>
                <w:rFonts w:ascii="Times New Roman"/>
                <w:sz w:val="21"/>
                <w:szCs w:val="21"/>
              </w:rPr>
            </w:pPr>
            <w:r>
              <w:rPr>
                <w:rFonts w:hint="eastAsia" w:ascii="Times New Roman"/>
                <w:sz w:val="21"/>
                <w:szCs w:val="21"/>
              </w:rPr>
              <w:t>5059.2</w:t>
            </w:r>
          </w:p>
        </w:tc>
        <w:tc>
          <w:tcPr>
            <w:tcW w:w="405" w:type="pct"/>
            <w:shd w:val="clear" w:color="auto" w:fill="auto"/>
            <w:vAlign w:val="center"/>
          </w:tcPr>
          <w:p w14:paraId="217912FF">
            <w:pPr>
              <w:jc w:val="center"/>
              <w:rPr>
                <w:rFonts w:ascii="Times New Roman"/>
                <w:sz w:val="21"/>
                <w:szCs w:val="21"/>
                <w:lang w:bidi="zh-TW"/>
              </w:rPr>
            </w:pPr>
            <w:r>
              <w:rPr>
                <w:rFonts w:ascii="Times New Roman"/>
                <w:sz w:val="21"/>
                <w:szCs w:val="21"/>
              </w:rPr>
              <w:t>21.036</w:t>
            </w:r>
          </w:p>
        </w:tc>
        <w:tc>
          <w:tcPr>
            <w:tcW w:w="370" w:type="pct"/>
            <w:shd w:val="clear" w:color="auto" w:fill="auto"/>
            <w:vAlign w:val="center"/>
          </w:tcPr>
          <w:p w14:paraId="13F730FF">
            <w:pPr>
              <w:jc w:val="center"/>
              <w:rPr>
                <w:rFonts w:ascii="Times New Roman"/>
                <w:sz w:val="21"/>
                <w:szCs w:val="21"/>
                <w:lang w:bidi="zh-TW"/>
              </w:rPr>
            </w:pPr>
            <w:r>
              <w:rPr>
                <w:rFonts w:ascii="Times New Roman"/>
                <w:sz w:val="21"/>
                <w:szCs w:val="21"/>
                <w:lang w:bidi="zh-TW"/>
              </w:rPr>
              <w:t>0.035</w:t>
            </w:r>
          </w:p>
        </w:tc>
        <w:tc>
          <w:tcPr>
            <w:tcW w:w="406" w:type="pct"/>
            <w:shd w:val="clear" w:color="auto" w:fill="auto"/>
            <w:vAlign w:val="center"/>
          </w:tcPr>
          <w:p w14:paraId="593E7C4A">
            <w:pPr>
              <w:jc w:val="center"/>
              <w:rPr>
                <w:rFonts w:ascii="Times New Roman"/>
                <w:sz w:val="21"/>
                <w:szCs w:val="21"/>
                <w:lang w:bidi="zh-TW"/>
              </w:rPr>
            </w:pPr>
            <w:r>
              <w:rPr>
                <w:rFonts w:ascii="Times New Roman"/>
                <w:sz w:val="21"/>
                <w:szCs w:val="21"/>
              </w:rPr>
              <w:t>0.254</w:t>
            </w:r>
          </w:p>
        </w:tc>
        <w:tc>
          <w:tcPr>
            <w:tcW w:w="298" w:type="pct"/>
            <w:vMerge w:val="restart"/>
            <w:vAlign w:val="center"/>
          </w:tcPr>
          <w:p w14:paraId="43DAC35B">
            <w:pPr>
              <w:jc w:val="center"/>
              <w:rPr>
                <w:rFonts w:ascii="Times New Roman"/>
                <w:sz w:val="21"/>
                <w:szCs w:val="21"/>
              </w:rPr>
            </w:pPr>
            <w:r>
              <w:rPr>
                <w:rFonts w:ascii="Times New Roman"/>
                <w:sz w:val="21"/>
                <w:szCs w:val="21"/>
              </w:rPr>
              <w:t>100</w:t>
            </w:r>
          </w:p>
        </w:tc>
        <w:tc>
          <w:tcPr>
            <w:tcW w:w="358" w:type="pct"/>
            <w:vMerge w:val="restart"/>
            <w:vAlign w:val="center"/>
          </w:tcPr>
          <w:p w14:paraId="12E0BD19">
            <w:pPr>
              <w:jc w:val="center"/>
              <w:rPr>
                <w:rFonts w:ascii="Times New Roman"/>
                <w:sz w:val="21"/>
                <w:szCs w:val="21"/>
              </w:rPr>
            </w:pPr>
            <w:r>
              <w:rPr>
                <w:rFonts w:ascii="Times New Roman"/>
                <w:sz w:val="21"/>
                <w:szCs w:val="21"/>
              </w:rPr>
              <w:t>低氮燃烧器</w:t>
            </w:r>
          </w:p>
        </w:tc>
        <w:tc>
          <w:tcPr>
            <w:tcW w:w="300" w:type="pct"/>
            <w:vAlign w:val="center"/>
          </w:tcPr>
          <w:p w14:paraId="7885AAE1">
            <w:pPr>
              <w:jc w:val="center"/>
              <w:rPr>
                <w:rFonts w:ascii="Times New Roman"/>
                <w:sz w:val="21"/>
                <w:szCs w:val="21"/>
              </w:rPr>
            </w:pPr>
            <w:r>
              <w:rPr>
                <w:rFonts w:ascii="Times New Roman"/>
                <w:sz w:val="21"/>
                <w:szCs w:val="21"/>
              </w:rPr>
              <w:t>0</w:t>
            </w:r>
          </w:p>
        </w:tc>
        <w:tc>
          <w:tcPr>
            <w:tcW w:w="386" w:type="pct"/>
            <w:shd w:val="clear" w:color="auto" w:fill="auto"/>
            <w:vAlign w:val="center"/>
          </w:tcPr>
          <w:p w14:paraId="0E6F3B94">
            <w:pPr>
              <w:jc w:val="center"/>
              <w:rPr>
                <w:rFonts w:ascii="Times New Roman"/>
                <w:sz w:val="21"/>
                <w:szCs w:val="21"/>
                <w:lang w:bidi="zh-TW"/>
              </w:rPr>
            </w:pPr>
            <w:r>
              <w:rPr>
                <w:rFonts w:ascii="Times New Roman"/>
                <w:sz w:val="21"/>
                <w:szCs w:val="21"/>
              </w:rPr>
              <w:t>21.036</w:t>
            </w:r>
          </w:p>
        </w:tc>
        <w:tc>
          <w:tcPr>
            <w:tcW w:w="377" w:type="pct"/>
            <w:shd w:val="clear" w:color="auto" w:fill="auto"/>
            <w:vAlign w:val="center"/>
          </w:tcPr>
          <w:p w14:paraId="25A0EABF">
            <w:pPr>
              <w:jc w:val="center"/>
              <w:rPr>
                <w:rFonts w:ascii="Times New Roman"/>
                <w:sz w:val="21"/>
                <w:szCs w:val="21"/>
                <w:lang w:bidi="zh-TW"/>
              </w:rPr>
            </w:pPr>
            <w:r>
              <w:rPr>
                <w:rFonts w:ascii="Times New Roman"/>
                <w:sz w:val="21"/>
                <w:szCs w:val="21"/>
                <w:lang w:bidi="zh-TW"/>
              </w:rPr>
              <w:t>0.035</w:t>
            </w:r>
          </w:p>
        </w:tc>
        <w:tc>
          <w:tcPr>
            <w:tcW w:w="389" w:type="pct"/>
            <w:shd w:val="clear" w:color="auto" w:fill="auto"/>
            <w:vAlign w:val="center"/>
          </w:tcPr>
          <w:p w14:paraId="00165B2A">
            <w:pPr>
              <w:jc w:val="center"/>
              <w:rPr>
                <w:rFonts w:ascii="Times New Roman"/>
                <w:sz w:val="21"/>
                <w:szCs w:val="21"/>
                <w:lang w:bidi="zh-TW"/>
              </w:rPr>
            </w:pPr>
            <w:r>
              <w:rPr>
                <w:rFonts w:ascii="Times New Roman"/>
                <w:sz w:val="21"/>
                <w:szCs w:val="21"/>
              </w:rPr>
              <w:t>0.254</w:t>
            </w:r>
          </w:p>
        </w:tc>
        <w:tc>
          <w:tcPr>
            <w:tcW w:w="386" w:type="pct"/>
            <w:shd w:val="clear" w:color="auto" w:fill="auto"/>
            <w:vAlign w:val="center"/>
          </w:tcPr>
          <w:p w14:paraId="72F53D15">
            <w:pPr>
              <w:jc w:val="center"/>
              <w:rPr>
                <w:rFonts w:ascii="Times New Roman"/>
                <w:sz w:val="21"/>
                <w:szCs w:val="21"/>
              </w:rPr>
            </w:pPr>
            <w:r>
              <w:rPr>
                <w:rFonts w:hint="eastAsia" w:ascii="Times New Roman"/>
                <w:sz w:val="21"/>
                <w:szCs w:val="21"/>
              </w:rPr>
              <w:t>30</w:t>
            </w:r>
          </w:p>
        </w:tc>
      </w:tr>
      <w:tr w14:paraId="1AB76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067D1FA1">
            <w:pPr>
              <w:jc w:val="center"/>
              <w:rPr>
                <w:rFonts w:ascii="Times New Roman"/>
                <w:sz w:val="21"/>
                <w:szCs w:val="21"/>
              </w:rPr>
            </w:pPr>
          </w:p>
        </w:tc>
        <w:tc>
          <w:tcPr>
            <w:tcW w:w="444" w:type="pct"/>
            <w:vAlign w:val="center"/>
          </w:tcPr>
          <w:p w14:paraId="1B13B7DD">
            <w:pPr>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437" w:type="pct"/>
            <w:vMerge w:val="continue"/>
            <w:vAlign w:val="center"/>
          </w:tcPr>
          <w:p w14:paraId="3475DF59">
            <w:pPr>
              <w:jc w:val="center"/>
              <w:rPr>
                <w:rFonts w:ascii="Times New Roman"/>
                <w:sz w:val="21"/>
                <w:szCs w:val="21"/>
              </w:rPr>
            </w:pPr>
          </w:p>
        </w:tc>
        <w:tc>
          <w:tcPr>
            <w:tcW w:w="405" w:type="pct"/>
            <w:shd w:val="clear" w:color="auto" w:fill="auto"/>
            <w:vAlign w:val="center"/>
          </w:tcPr>
          <w:p w14:paraId="67BD83AB">
            <w:pPr>
              <w:jc w:val="center"/>
              <w:rPr>
                <w:rFonts w:ascii="Times New Roman"/>
                <w:sz w:val="21"/>
                <w:szCs w:val="21"/>
                <w:lang w:bidi="zh-TW"/>
              </w:rPr>
            </w:pPr>
            <w:r>
              <w:rPr>
                <w:rFonts w:ascii="Times New Roman"/>
                <w:sz w:val="21"/>
                <w:szCs w:val="21"/>
              </w:rPr>
              <w:t>2.982</w:t>
            </w:r>
          </w:p>
        </w:tc>
        <w:tc>
          <w:tcPr>
            <w:tcW w:w="370" w:type="pct"/>
            <w:shd w:val="clear" w:color="auto" w:fill="auto"/>
            <w:vAlign w:val="center"/>
          </w:tcPr>
          <w:p w14:paraId="00A2D7C9">
            <w:pPr>
              <w:jc w:val="center"/>
              <w:rPr>
                <w:rFonts w:ascii="Times New Roman"/>
                <w:sz w:val="21"/>
                <w:szCs w:val="21"/>
                <w:lang w:bidi="zh-TW"/>
              </w:rPr>
            </w:pPr>
            <w:r>
              <w:rPr>
                <w:rFonts w:ascii="Times New Roman"/>
                <w:sz w:val="21"/>
                <w:szCs w:val="21"/>
                <w:lang w:bidi="zh-TW"/>
              </w:rPr>
              <w:t>0.001</w:t>
            </w:r>
          </w:p>
        </w:tc>
        <w:tc>
          <w:tcPr>
            <w:tcW w:w="406" w:type="pct"/>
            <w:shd w:val="clear" w:color="auto" w:fill="auto"/>
            <w:vAlign w:val="center"/>
          </w:tcPr>
          <w:p w14:paraId="1C99C492">
            <w:pPr>
              <w:jc w:val="center"/>
              <w:rPr>
                <w:rFonts w:ascii="Times New Roman"/>
                <w:sz w:val="21"/>
                <w:szCs w:val="21"/>
                <w:lang w:bidi="zh-TW"/>
              </w:rPr>
            </w:pPr>
            <w:r>
              <w:rPr>
                <w:rFonts w:ascii="Times New Roman"/>
                <w:sz w:val="21"/>
                <w:szCs w:val="21"/>
              </w:rPr>
              <w:t>0.036</w:t>
            </w:r>
          </w:p>
        </w:tc>
        <w:tc>
          <w:tcPr>
            <w:tcW w:w="298" w:type="pct"/>
            <w:vMerge w:val="continue"/>
            <w:vAlign w:val="center"/>
          </w:tcPr>
          <w:p w14:paraId="418B22B5">
            <w:pPr>
              <w:jc w:val="center"/>
              <w:rPr>
                <w:rFonts w:ascii="Times New Roman"/>
                <w:sz w:val="21"/>
                <w:szCs w:val="21"/>
              </w:rPr>
            </w:pPr>
          </w:p>
        </w:tc>
        <w:tc>
          <w:tcPr>
            <w:tcW w:w="358" w:type="pct"/>
            <w:vMerge w:val="continue"/>
            <w:vAlign w:val="center"/>
          </w:tcPr>
          <w:p w14:paraId="40EB0559">
            <w:pPr>
              <w:jc w:val="center"/>
              <w:rPr>
                <w:rFonts w:ascii="Times New Roman"/>
                <w:sz w:val="21"/>
                <w:szCs w:val="21"/>
              </w:rPr>
            </w:pPr>
          </w:p>
        </w:tc>
        <w:tc>
          <w:tcPr>
            <w:tcW w:w="300" w:type="pct"/>
            <w:vAlign w:val="center"/>
          </w:tcPr>
          <w:p w14:paraId="230568EB">
            <w:pPr>
              <w:jc w:val="center"/>
              <w:rPr>
                <w:rFonts w:ascii="Times New Roman"/>
                <w:sz w:val="21"/>
                <w:szCs w:val="21"/>
              </w:rPr>
            </w:pPr>
            <w:r>
              <w:rPr>
                <w:rFonts w:ascii="Times New Roman"/>
                <w:sz w:val="21"/>
                <w:szCs w:val="21"/>
              </w:rPr>
              <w:t>0</w:t>
            </w:r>
          </w:p>
        </w:tc>
        <w:tc>
          <w:tcPr>
            <w:tcW w:w="386" w:type="pct"/>
            <w:shd w:val="clear" w:color="auto" w:fill="auto"/>
            <w:vAlign w:val="center"/>
          </w:tcPr>
          <w:p w14:paraId="72703ED6">
            <w:pPr>
              <w:jc w:val="center"/>
              <w:rPr>
                <w:rFonts w:ascii="Times New Roman"/>
                <w:sz w:val="21"/>
                <w:szCs w:val="21"/>
                <w:lang w:bidi="zh-TW"/>
              </w:rPr>
            </w:pPr>
            <w:r>
              <w:rPr>
                <w:rFonts w:ascii="Times New Roman"/>
                <w:sz w:val="21"/>
                <w:szCs w:val="21"/>
              </w:rPr>
              <w:t>2.982</w:t>
            </w:r>
          </w:p>
        </w:tc>
        <w:tc>
          <w:tcPr>
            <w:tcW w:w="377" w:type="pct"/>
            <w:shd w:val="clear" w:color="auto" w:fill="auto"/>
            <w:vAlign w:val="center"/>
          </w:tcPr>
          <w:p w14:paraId="4BA33F69">
            <w:pPr>
              <w:jc w:val="center"/>
              <w:rPr>
                <w:rFonts w:ascii="Times New Roman"/>
                <w:sz w:val="21"/>
                <w:szCs w:val="21"/>
                <w:lang w:bidi="zh-TW"/>
              </w:rPr>
            </w:pPr>
            <w:r>
              <w:rPr>
                <w:rFonts w:ascii="Times New Roman"/>
                <w:sz w:val="21"/>
                <w:szCs w:val="21"/>
                <w:lang w:bidi="zh-TW"/>
              </w:rPr>
              <w:t>0.001</w:t>
            </w:r>
          </w:p>
        </w:tc>
        <w:tc>
          <w:tcPr>
            <w:tcW w:w="389" w:type="pct"/>
            <w:shd w:val="clear" w:color="auto" w:fill="auto"/>
            <w:vAlign w:val="center"/>
          </w:tcPr>
          <w:p w14:paraId="6DC6DD7C">
            <w:pPr>
              <w:jc w:val="center"/>
              <w:rPr>
                <w:rFonts w:ascii="Times New Roman"/>
                <w:sz w:val="21"/>
                <w:szCs w:val="21"/>
                <w:lang w:bidi="zh-TW"/>
              </w:rPr>
            </w:pPr>
            <w:r>
              <w:rPr>
                <w:rFonts w:ascii="Times New Roman"/>
                <w:sz w:val="21"/>
                <w:szCs w:val="21"/>
              </w:rPr>
              <w:t>0.036</w:t>
            </w:r>
          </w:p>
        </w:tc>
        <w:tc>
          <w:tcPr>
            <w:tcW w:w="386" w:type="pct"/>
            <w:shd w:val="clear" w:color="auto" w:fill="auto"/>
            <w:vAlign w:val="center"/>
          </w:tcPr>
          <w:p w14:paraId="2CF5F5BA">
            <w:pPr>
              <w:jc w:val="center"/>
              <w:rPr>
                <w:rFonts w:ascii="Times New Roman"/>
                <w:sz w:val="21"/>
                <w:szCs w:val="21"/>
              </w:rPr>
            </w:pPr>
            <w:r>
              <w:rPr>
                <w:rFonts w:hint="eastAsia" w:ascii="Times New Roman"/>
                <w:sz w:val="21"/>
                <w:szCs w:val="21"/>
              </w:rPr>
              <w:t>200</w:t>
            </w:r>
          </w:p>
        </w:tc>
      </w:tr>
      <w:tr w14:paraId="47829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362B1352">
            <w:pPr>
              <w:jc w:val="center"/>
              <w:rPr>
                <w:rFonts w:ascii="Times New Roman"/>
                <w:sz w:val="21"/>
                <w:szCs w:val="21"/>
              </w:rPr>
            </w:pPr>
          </w:p>
        </w:tc>
        <w:tc>
          <w:tcPr>
            <w:tcW w:w="444" w:type="pct"/>
            <w:shd w:val="clear" w:color="auto" w:fill="auto"/>
            <w:vAlign w:val="center"/>
          </w:tcPr>
          <w:p w14:paraId="115D4D30">
            <w:pPr>
              <w:jc w:val="center"/>
              <w:rPr>
                <w:rFonts w:ascii="Times New Roman"/>
                <w:sz w:val="21"/>
                <w:szCs w:val="21"/>
              </w:rPr>
            </w:pPr>
            <w:r>
              <w:rPr>
                <w:rFonts w:ascii="Times New Roman"/>
                <w:sz w:val="21"/>
                <w:szCs w:val="21"/>
              </w:rPr>
              <w:t>NO</w:t>
            </w:r>
            <w:r>
              <w:rPr>
                <w:rFonts w:ascii="Times New Roman"/>
                <w:sz w:val="21"/>
                <w:szCs w:val="21"/>
                <w:vertAlign w:val="subscript"/>
              </w:rPr>
              <w:t>X</w:t>
            </w:r>
          </w:p>
        </w:tc>
        <w:tc>
          <w:tcPr>
            <w:tcW w:w="437" w:type="pct"/>
            <w:vMerge w:val="continue"/>
            <w:shd w:val="clear" w:color="auto" w:fill="auto"/>
            <w:vAlign w:val="center"/>
          </w:tcPr>
          <w:p w14:paraId="63560A13">
            <w:pPr>
              <w:jc w:val="center"/>
              <w:rPr>
                <w:rFonts w:ascii="Times New Roman"/>
                <w:sz w:val="21"/>
                <w:szCs w:val="21"/>
              </w:rPr>
            </w:pPr>
          </w:p>
        </w:tc>
        <w:tc>
          <w:tcPr>
            <w:tcW w:w="405" w:type="pct"/>
            <w:shd w:val="clear" w:color="auto" w:fill="auto"/>
            <w:vAlign w:val="center"/>
          </w:tcPr>
          <w:p w14:paraId="21264AB5">
            <w:pPr>
              <w:jc w:val="center"/>
              <w:rPr>
                <w:rFonts w:ascii="Times New Roman"/>
                <w:sz w:val="21"/>
                <w:szCs w:val="21"/>
                <w:lang w:bidi="zh-TW"/>
              </w:rPr>
            </w:pPr>
            <w:r>
              <w:rPr>
                <w:rFonts w:ascii="Times New Roman"/>
                <w:sz w:val="21"/>
                <w:szCs w:val="21"/>
              </w:rPr>
              <w:t>28.1</w:t>
            </w:r>
          </w:p>
        </w:tc>
        <w:tc>
          <w:tcPr>
            <w:tcW w:w="370" w:type="pct"/>
            <w:shd w:val="clear" w:color="auto" w:fill="auto"/>
            <w:vAlign w:val="center"/>
          </w:tcPr>
          <w:p w14:paraId="1D0B6F03">
            <w:pPr>
              <w:jc w:val="center"/>
              <w:rPr>
                <w:rFonts w:ascii="Times New Roman"/>
                <w:sz w:val="21"/>
                <w:szCs w:val="21"/>
                <w:lang w:bidi="zh-TW"/>
              </w:rPr>
            </w:pPr>
            <w:r>
              <w:rPr>
                <w:rFonts w:ascii="Times New Roman"/>
                <w:sz w:val="21"/>
                <w:szCs w:val="21"/>
                <w:lang w:bidi="zh-TW"/>
              </w:rPr>
              <w:t>0.231</w:t>
            </w:r>
          </w:p>
        </w:tc>
        <w:tc>
          <w:tcPr>
            <w:tcW w:w="406" w:type="pct"/>
            <w:shd w:val="clear" w:color="auto" w:fill="auto"/>
            <w:vAlign w:val="center"/>
          </w:tcPr>
          <w:p w14:paraId="2E98DD65">
            <w:pPr>
              <w:jc w:val="center"/>
              <w:rPr>
                <w:rFonts w:ascii="Times New Roman"/>
                <w:sz w:val="21"/>
                <w:szCs w:val="21"/>
                <w:lang w:bidi="zh-TW"/>
              </w:rPr>
            </w:pPr>
            <w:r>
              <w:rPr>
                <w:rFonts w:ascii="Times New Roman"/>
                <w:sz w:val="21"/>
                <w:szCs w:val="21"/>
              </w:rPr>
              <w:t>1.661</w:t>
            </w:r>
          </w:p>
        </w:tc>
        <w:tc>
          <w:tcPr>
            <w:tcW w:w="298" w:type="pct"/>
            <w:vMerge w:val="continue"/>
            <w:shd w:val="clear" w:color="auto" w:fill="auto"/>
            <w:vAlign w:val="center"/>
          </w:tcPr>
          <w:p w14:paraId="062B6F3C">
            <w:pPr>
              <w:jc w:val="center"/>
              <w:rPr>
                <w:rFonts w:ascii="Times New Roman"/>
                <w:sz w:val="21"/>
                <w:szCs w:val="21"/>
              </w:rPr>
            </w:pPr>
          </w:p>
        </w:tc>
        <w:tc>
          <w:tcPr>
            <w:tcW w:w="358" w:type="pct"/>
            <w:vMerge w:val="continue"/>
            <w:shd w:val="clear" w:color="auto" w:fill="auto"/>
            <w:vAlign w:val="center"/>
          </w:tcPr>
          <w:p w14:paraId="1C609C53">
            <w:pPr>
              <w:jc w:val="center"/>
              <w:rPr>
                <w:rFonts w:ascii="Times New Roman"/>
                <w:sz w:val="21"/>
                <w:szCs w:val="21"/>
              </w:rPr>
            </w:pPr>
          </w:p>
        </w:tc>
        <w:tc>
          <w:tcPr>
            <w:tcW w:w="300" w:type="pct"/>
            <w:shd w:val="clear" w:color="auto" w:fill="auto"/>
            <w:vAlign w:val="center"/>
          </w:tcPr>
          <w:p w14:paraId="211A6463">
            <w:pPr>
              <w:jc w:val="center"/>
              <w:rPr>
                <w:rFonts w:ascii="Times New Roman"/>
                <w:sz w:val="21"/>
                <w:szCs w:val="21"/>
              </w:rPr>
            </w:pPr>
            <w:r>
              <w:rPr>
                <w:rFonts w:ascii="Times New Roman"/>
                <w:sz w:val="21"/>
                <w:szCs w:val="21"/>
              </w:rPr>
              <w:t>0</w:t>
            </w:r>
          </w:p>
        </w:tc>
        <w:tc>
          <w:tcPr>
            <w:tcW w:w="386" w:type="pct"/>
            <w:shd w:val="clear" w:color="auto" w:fill="auto"/>
            <w:vAlign w:val="center"/>
          </w:tcPr>
          <w:p w14:paraId="5CD3CCBC">
            <w:pPr>
              <w:jc w:val="center"/>
              <w:rPr>
                <w:rFonts w:ascii="Times New Roman"/>
                <w:sz w:val="21"/>
                <w:szCs w:val="21"/>
                <w:lang w:bidi="zh-TW"/>
              </w:rPr>
            </w:pPr>
            <w:r>
              <w:rPr>
                <w:rFonts w:ascii="Times New Roman"/>
                <w:sz w:val="21"/>
                <w:szCs w:val="21"/>
              </w:rPr>
              <w:t>28.1</w:t>
            </w:r>
          </w:p>
        </w:tc>
        <w:tc>
          <w:tcPr>
            <w:tcW w:w="377" w:type="pct"/>
            <w:shd w:val="clear" w:color="auto" w:fill="auto"/>
            <w:vAlign w:val="center"/>
          </w:tcPr>
          <w:p w14:paraId="00665D72">
            <w:pPr>
              <w:jc w:val="center"/>
              <w:rPr>
                <w:rFonts w:ascii="Times New Roman"/>
                <w:sz w:val="21"/>
                <w:szCs w:val="21"/>
                <w:lang w:bidi="zh-TW"/>
              </w:rPr>
            </w:pPr>
            <w:r>
              <w:rPr>
                <w:rFonts w:ascii="Times New Roman"/>
                <w:sz w:val="21"/>
                <w:szCs w:val="21"/>
                <w:lang w:bidi="zh-TW"/>
              </w:rPr>
              <w:t>0.231</w:t>
            </w:r>
          </w:p>
        </w:tc>
        <w:tc>
          <w:tcPr>
            <w:tcW w:w="389" w:type="pct"/>
            <w:shd w:val="clear" w:color="auto" w:fill="auto"/>
            <w:vAlign w:val="center"/>
          </w:tcPr>
          <w:p w14:paraId="5AC661EC">
            <w:pPr>
              <w:jc w:val="center"/>
              <w:rPr>
                <w:rFonts w:ascii="Times New Roman"/>
                <w:sz w:val="21"/>
                <w:szCs w:val="21"/>
                <w:lang w:bidi="zh-TW"/>
              </w:rPr>
            </w:pPr>
            <w:r>
              <w:rPr>
                <w:rFonts w:ascii="Times New Roman"/>
                <w:sz w:val="21"/>
                <w:szCs w:val="21"/>
              </w:rPr>
              <w:t>1.661</w:t>
            </w:r>
          </w:p>
        </w:tc>
        <w:tc>
          <w:tcPr>
            <w:tcW w:w="386" w:type="pct"/>
            <w:shd w:val="clear" w:color="auto" w:fill="auto"/>
            <w:vAlign w:val="center"/>
          </w:tcPr>
          <w:p w14:paraId="067A8411">
            <w:pPr>
              <w:jc w:val="center"/>
              <w:rPr>
                <w:rFonts w:ascii="Times New Roman"/>
                <w:sz w:val="21"/>
                <w:szCs w:val="21"/>
              </w:rPr>
            </w:pPr>
            <w:r>
              <w:rPr>
                <w:rFonts w:ascii="Times New Roman"/>
                <w:sz w:val="21"/>
                <w:szCs w:val="21"/>
              </w:rPr>
              <w:t>30</w:t>
            </w:r>
            <w:r>
              <w:rPr>
                <w:rFonts w:hint="eastAsia" w:ascii="Times New Roman"/>
                <w:sz w:val="21"/>
                <w:szCs w:val="21"/>
              </w:rPr>
              <w:t>0</w:t>
            </w:r>
          </w:p>
        </w:tc>
      </w:tr>
      <w:tr w14:paraId="70758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43BA57FA">
            <w:pPr>
              <w:jc w:val="center"/>
              <w:rPr>
                <w:rFonts w:ascii="Times New Roman"/>
                <w:sz w:val="21"/>
                <w:szCs w:val="21"/>
              </w:rPr>
            </w:pPr>
          </w:p>
        </w:tc>
        <w:tc>
          <w:tcPr>
            <w:tcW w:w="444" w:type="pct"/>
            <w:vAlign w:val="center"/>
          </w:tcPr>
          <w:p w14:paraId="11A2BA05">
            <w:pPr>
              <w:jc w:val="center"/>
              <w:rPr>
                <w:rFonts w:ascii="Times New Roman"/>
                <w:sz w:val="21"/>
                <w:szCs w:val="21"/>
              </w:rPr>
            </w:pPr>
            <w:r>
              <w:rPr>
                <w:rFonts w:ascii="Times New Roman"/>
                <w:sz w:val="21"/>
                <w:szCs w:val="21"/>
              </w:rPr>
              <w:t>烟气黑度</w:t>
            </w:r>
          </w:p>
        </w:tc>
        <w:tc>
          <w:tcPr>
            <w:tcW w:w="437" w:type="pct"/>
            <w:vMerge w:val="continue"/>
            <w:vAlign w:val="center"/>
          </w:tcPr>
          <w:p w14:paraId="264B7734">
            <w:pPr>
              <w:jc w:val="center"/>
              <w:rPr>
                <w:rFonts w:ascii="Times New Roman"/>
                <w:sz w:val="21"/>
                <w:szCs w:val="21"/>
              </w:rPr>
            </w:pPr>
          </w:p>
        </w:tc>
        <w:tc>
          <w:tcPr>
            <w:tcW w:w="405" w:type="pct"/>
            <w:shd w:val="clear" w:color="auto" w:fill="auto"/>
            <w:vAlign w:val="center"/>
          </w:tcPr>
          <w:p w14:paraId="45243C68">
            <w:pPr>
              <w:jc w:val="center"/>
              <w:rPr>
                <w:rFonts w:ascii="Times New Roman"/>
                <w:sz w:val="21"/>
                <w:szCs w:val="21"/>
                <w:lang w:bidi="zh-TW"/>
              </w:rPr>
            </w:pPr>
            <w:r>
              <w:rPr>
                <w:rFonts w:ascii="Times New Roman"/>
                <w:sz w:val="21"/>
                <w:szCs w:val="21"/>
                <w:lang w:bidi="zh-TW"/>
              </w:rPr>
              <w:t>≤</w:t>
            </w:r>
            <w:r>
              <w:rPr>
                <w:rFonts w:ascii="Times New Roman"/>
                <w:sz w:val="21"/>
                <w:szCs w:val="21"/>
              </w:rPr>
              <w:t>1级</w:t>
            </w:r>
          </w:p>
        </w:tc>
        <w:tc>
          <w:tcPr>
            <w:tcW w:w="370" w:type="pct"/>
            <w:vAlign w:val="center"/>
          </w:tcPr>
          <w:p w14:paraId="3ED6B37F">
            <w:pPr>
              <w:jc w:val="center"/>
              <w:rPr>
                <w:rFonts w:ascii="Times New Roman"/>
                <w:sz w:val="21"/>
                <w:szCs w:val="21"/>
                <w:lang w:bidi="zh-TW"/>
              </w:rPr>
            </w:pPr>
            <w:r>
              <w:rPr>
                <w:rFonts w:ascii="Times New Roman"/>
                <w:sz w:val="21"/>
                <w:szCs w:val="21"/>
                <w:lang w:bidi="zh-TW"/>
              </w:rPr>
              <w:t>/</w:t>
            </w:r>
          </w:p>
        </w:tc>
        <w:tc>
          <w:tcPr>
            <w:tcW w:w="406" w:type="pct"/>
            <w:vAlign w:val="center"/>
          </w:tcPr>
          <w:p w14:paraId="69B7E122">
            <w:pPr>
              <w:jc w:val="center"/>
              <w:rPr>
                <w:rFonts w:ascii="Times New Roman"/>
                <w:sz w:val="21"/>
                <w:szCs w:val="21"/>
                <w:lang w:bidi="zh-TW"/>
              </w:rPr>
            </w:pPr>
            <w:r>
              <w:rPr>
                <w:rFonts w:ascii="Times New Roman"/>
                <w:sz w:val="21"/>
                <w:szCs w:val="21"/>
                <w:lang w:bidi="zh-TW"/>
              </w:rPr>
              <w:t>/</w:t>
            </w:r>
          </w:p>
        </w:tc>
        <w:tc>
          <w:tcPr>
            <w:tcW w:w="298" w:type="pct"/>
            <w:vMerge w:val="continue"/>
            <w:vAlign w:val="center"/>
          </w:tcPr>
          <w:p w14:paraId="373E8B73">
            <w:pPr>
              <w:jc w:val="center"/>
              <w:rPr>
                <w:rFonts w:ascii="Times New Roman"/>
                <w:sz w:val="21"/>
                <w:szCs w:val="21"/>
              </w:rPr>
            </w:pPr>
          </w:p>
        </w:tc>
        <w:tc>
          <w:tcPr>
            <w:tcW w:w="358" w:type="pct"/>
            <w:vMerge w:val="continue"/>
            <w:vAlign w:val="center"/>
          </w:tcPr>
          <w:p w14:paraId="740E75EC">
            <w:pPr>
              <w:jc w:val="center"/>
              <w:rPr>
                <w:rFonts w:ascii="Times New Roman"/>
                <w:sz w:val="21"/>
                <w:szCs w:val="21"/>
              </w:rPr>
            </w:pPr>
          </w:p>
        </w:tc>
        <w:tc>
          <w:tcPr>
            <w:tcW w:w="300" w:type="pct"/>
            <w:vAlign w:val="center"/>
          </w:tcPr>
          <w:p w14:paraId="1028F487">
            <w:pPr>
              <w:jc w:val="center"/>
              <w:rPr>
                <w:rFonts w:ascii="Times New Roman"/>
                <w:sz w:val="21"/>
                <w:szCs w:val="21"/>
              </w:rPr>
            </w:pPr>
            <w:r>
              <w:rPr>
                <w:rFonts w:ascii="Times New Roman"/>
                <w:sz w:val="21"/>
                <w:szCs w:val="21"/>
              </w:rPr>
              <w:t>/</w:t>
            </w:r>
          </w:p>
        </w:tc>
        <w:tc>
          <w:tcPr>
            <w:tcW w:w="386" w:type="pct"/>
            <w:shd w:val="clear" w:color="auto" w:fill="auto"/>
            <w:vAlign w:val="center"/>
          </w:tcPr>
          <w:p w14:paraId="50F265D3">
            <w:pPr>
              <w:jc w:val="center"/>
              <w:rPr>
                <w:rFonts w:ascii="Times New Roman"/>
                <w:sz w:val="21"/>
                <w:szCs w:val="21"/>
                <w:lang w:bidi="zh-TW"/>
              </w:rPr>
            </w:pPr>
            <w:r>
              <w:rPr>
                <w:rFonts w:ascii="Times New Roman"/>
                <w:sz w:val="21"/>
                <w:szCs w:val="21"/>
                <w:lang w:bidi="zh-TW"/>
              </w:rPr>
              <w:t>≤</w:t>
            </w:r>
            <w:r>
              <w:rPr>
                <w:rFonts w:ascii="Times New Roman"/>
                <w:sz w:val="21"/>
                <w:szCs w:val="21"/>
              </w:rPr>
              <w:t>1级</w:t>
            </w:r>
          </w:p>
        </w:tc>
        <w:tc>
          <w:tcPr>
            <w:tcW w:w="377" w:type="pct"/>
            <w:vAlign w:val="center"/>
          </w:tcPr>
          <w:p w14:paraId="30149423">
            <w:pPr>
              <w:jc w:val="center"/>
              <w:rPr>
                <w:rFonts w:ascii="Times New Roman"/>
                <w:sz w:val="21"/>
                <w:szCs w:val="21"/>
                <w:lang w:bidi="zh-TW"/>
              </w:rPr>
            </w:pPr>
            <w:r>
              <w:rPr>
                <w:rFonts w:ascii="Times New Roman"/>
                <w:sz w:val="21"/>
                <w:szCs w:val="21"/>
                <w:lang w:bidi="zh-TW"/>
              </w:rPr>
              <w:t>/</w:t>
            </w:r>
          </w:p>
        </w:tc>
        <w:tc>
          <w:tcPr>
            <w:tcW w:w="389" w:type="pct"/>
            <w:vAlign w:val="center"/>
          </w:tcPr>
          <w:p w14:paraId="430125BA">
            <w:pPr>
              <w:jc w:val="center"/>
              <w:rPr>
                <w:rFonts w:ascii="Times New Roman"/>
                <w:sz w:val="21"/>
                <w:szCs w:val="21"/>
                <w:lang w:bidi="zh-TW"/>
              </w:rPr>
            </w:pPr>
            <w:r>
              <w:rPr>
                <w:rFonts w:ascii="Times New Roman"/>
                <w:sz w:val="21"/>
                <w:szCs w:val="21"/>
                <w:lang w:bidi="zh-TW"/>
              </w:rPr>
              <w:t>/</w:t>
            </w:r>
          </w:p>
        </w:tc>
        <w:tc>
          <w:tcPr>
            <w:tcW w:w="386" w:type="pct"/>
            <w:shd w:val="clear" w:color="auto" w:fill="auto"/>
            <w:vAlign w:val="center"/>
          </w:tcPr>
          <w:p w14:paraId="6DC148AD">
            <w:pPr>
              <w:jc w:val="center"/>
              <w:rPr>
                <w:rFonts w:ascii="Times New Roman"/>
                <w:sz w:val="21"/>
                <w:szCs w:val="21"/>
              </w:rPr>
            </w:pPr>
            <w:r>
              <w:rPr>
                <w:rFonts w:ascii="Times New Roman"/>
                <w:sz w:val="21"/>
                <w:szCs w:val="21"/>
                <w:lang w:bidi="zh-TW"/>
              </w:rPr>
              <w:t>≤</w:t>
            </w:r>
            <w:r>
              <w:rPr>
                <w:rFonts w:ascii="Times New Roman"/>
                <w:sz w:val="21"/>
                <w:szCs w:val="21"/>
              </w:rPr>
              <w:t>1级</w:t>
            </w:r>
          </w:p>
        </w:tc>
      </w:tr>
      <w:tr w14:paraId="63434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440" w:type="pct"/>
            <w:vMerge w:val="restart"/>
            <w:vAlign w:val="center"/>
          </w:tcPr>
          <w:p w14:paraId="5E921978">
            <w:pPr>
              <w:jc w:val="center"/>
              <w:rPr>
                <w:rFonts w:ascii="Times New Roman"/>
                <w:sz w:val="21"/>
                <w:szCs w:val="21"/>
              </w:rPr>
            </w:pPr>
            <w:r>
              <w:rPr>
                <w:rFonts w:ascii="Times New Roman"/>
                <w:sz w:val="21"/>
                <w:szCs w:val="21"/>
              </w:rPr>
              <w:t>淬火、回火废气(DA006)</w:t>
            </w:r>
          </w:p>
        </w:tc>
        <w:tc>
          <w:tcPr>
            <w:tcW w:w="444" w:type="pct"/>
            <w:vAlign w:val="center"/>
          </w:tcPr>
          <w:p w14:paraId="0ECE3526">
            <w:pPr>
              <w:jc w:val="center"/>
              <w:rPr>
                <w:rFonts w:ascii="Times New Roman"/>
                <w:sz w:val="21"/>
                <w:szCs w:val="21"/>
              </w:rPr>
            </w:pPr>
            <w:r>
              <w:rPr>
                <w:rFonts w:ascii="Times New Roman"/>
                <w:sz w:val="21"/>
                <w:szCs w:val="21"/>
              </w:rPr>
              <w:t>颗粒物</w:t>
            </w:r>
          </w:p>
        </w:tc>
        <w:tc>
          <w:tcPr>
            <w:tcW w:w="437" w:type="pct"/>
            <w:vMerge w:val="restart"/>
            <w:vAlign w:val="center"/>
          </w:tcPr>
          <w:p w14:paraId="57745DDF">
            <w:pPr>
              <w:jc w:val="center"/>
              <w:rPr>
                <w:rFonts w:ascii="Times New Roman"/>
                <w:sz w:val="21"/>
                <w:szCs w:val="21"/>
              </w:rPr>
            </w:pPr>
            <w:r>
              <w:rPr>
                <w:rFonts w:ascii="Times New Roman"/>
                <w:sz w:val="21"/>
                <w:szCs w:val="21"/>
              </w:rPr>
              <w:t>50000</w:t>
            </w:r>
          </w:p>
        </w:tc>
        <w:tc>
          <w:tcPr>
            <w:tcW w:w="405" w:type="pct"/>
            <w:shd w:val="clear" w:color="auto" w:fill="auto"/>
            <w:vAlign w:val="center"/>
          </w:tcPr>
          <w:p w14:paraId="42C88BFD">
            <w:pPr>
              <w:jc w:val="center"/>
              <w:rPr>
                <w:rFonts w:ascii="Times New Roman"/>
                <w:sz w:val="21"/>
                <w:szCs w:val="21"/>
              </w:rPr>
            </w:pPr>
            <w:r>
              <w:rPr>
                <w:rFonts w:ascii="Times New Roman"/>
                <w:sz w:val="21"/>
                <w:szCs w:val="21"/>
              </w:rPr>
              <w:t>133.333</w:t>
            </w:r>
          </w:p>
        </w:tc>
        <w:tc>
          <w:tcPr>
            <w:tcW w:w="370" w:type="pct"/>
            <w:shd w:val="clear" w:color="auto" w:fill="auto"/>
            <w:vAlign w:val="center"/>
          </w:tcPr>
          <w:p w14:paraId="35859EF4">
            <w:pPr>
              <w:jc w:val="center"/>
              <w:rPr>
                <w:rFonts w:ascii="Times New Roman"/>
                <w:sz w:val="21"/>
                <w:szCs w:val="21"/>
              </w:rPr>
            </w:pPr>
            <w:r>
              <w:rPr>
                <w:rFonts w:ascii="Times New Roman"/>
                <w:sz w:val="21"/>
                <w:szCs w:val="21"/>
              </w:rPr>
              <w:t>6.667</w:t>
            </w:r>
          </w:p>
        </w:tc>
        <w:tc>
          <w:tcPr>
            <w:tcW w:w="406" w:type="pct"/>
            <w:shd w:val="clear" w:color="auto" w:fill="auto"/>
            <w:vAlign w:val="center"/>
          </w:tcPr>
          <w:p w14:paraId="4DEDBE0B">
            <w:pPr>
              <w:jc w:val="center"/>
              <w:rPr>
                <w:rFonts w:ascii="Times New Roman"/>
                <w:sz w:val="21"/>
                <w:szCs w:val="21"/>
              </w:rPr>
            </w:pPr>
            <w:r>
              <w:rPr>
                <w:rFonts w:ascii="Times New Roman"/>
                <w:sz w:val="21"/>
                <w:szCs w:val="21"/>
              </w:rPr>
              <w:t>16</w:t>
            </w:r>
          </w:p>
        </w:tc>
        <w:tc>
          <w:tcPr>
            <w:tcW w:w="298" w:type="pct"/>
            <w:vMerge w:val="restart"/>
            <w:vAlign w:val="center"/>
          </w:tcPr>
          <w:p w14:paraId="522B056F">
            <w:pPr>
              <w:jc w:val="center"/>
              <w:rPr>
                <w:rFonts w:ascii="Times New Roman"/>
                <w:sz w:val="21"/>
                <w:szCs w:val="21"/>
              </w:rPr>
            </w:pPr>
            <w:r>
              <w:rPr>
                <w:rFonts w:ascii="Times New Roman"/>
                <w:sz w:val="21"/>
                <w:szCs w:val="21"/>
              </w:rPr>
              <w:t>95</w:t>
            </w:r>
          </w:p>
        </w:tc>
        <w:tc>
          <w:tcPr>
            <w:tcW w:w="358" w:type="pct"/>
            <w:vMerge w:val="restart"/>
            <w:vAlign w:val="center"/>
          </w:tcPr>
          <w:p w14:paraId="316087F9">
            <w:pPr>
              <w:jc w:val="center"/>
              <w:rPr>
                <w:rFonts w:ascii="Times New Roman"/>
                <w:sz w:val="21"/>
                <w:szCs w:val="21"/>
              </w:rPr>
            </w:pPr>
            <w:r>
              <w:rPr>
                <w:rFonts w:ascii="Times New Roman"/>
                <w:sz w:val="21"/>
                <w:szCs w:val="21"/>
              </w:rPr>
              <w:t>油雾净化器+二级活性炭吸附装置</w:t>
            </w:r>
          </w:p>
        </w:tc>
        <w:tc>
          <w:tcPr>
            <w:tcW w:w="300" w:type="pct"/>
            <w:vAlign w:val="center"/>
          </w:tcPr>
          <w:p w14:paraId="6D4A6A79">
            <w:pPr>
              <w:jc w:val="center"/>
              <w:rPr>
                <w:rFonts w:ascii="Times New Roman"/>
                <w:sz w:val="21"/>
                <w:szCs w:val="21"/>
              </w:rPr>
            </w:pPr>
            <w:r>
              <w:rPr>
                <w:rFonts w:hint="eastAsia" w:ascii="Times New Roman"/>
                <w:sz w:val="21"/>
                <w:szCs w:val="21"/>
              </w:rPr>
              <w:t>0</w:t>
            </w:r>
          </w:p>
        </w:tc>
        <w:tc>
          <w:tcPr>
            <w:tcW w:w="386" w:type="pct"/>
            <w:shd w:val="clear" w:color="auto" w:fill="auto"/>
            <w:vAlign w:val="center"/>
          </w:tcPr>
          <w:p w14:paraId="08D47253">
            <w:pPr>
              <w:jc w:val="center"/>
              <w:rPr>
                <w:rFonts w:ascii="Times New Roman"/>
                <w:sz w:val="21"/>
                <w:szCs w:val="21"/>
              </w:rPr>
            </w:pPr>
            <w:r>
              <w:rPr>
                <w:rFonts w:ascii="Times New Roman"/>
                <w:sz w:val="21"/>
                <w:szCs w:val="21"/>
              </w:rPr>
              <w:t>133.333</w:t>
            </w:r>
          </w:p>
        </w:tc>
        <w:tc>
          <w:tcPr>
            <w:tcW w:w="377" w:type="pct"/>
            <w:shd w:val="clear" w:color="auto" w:fill="auto"/>
            <w:vAlign w:val="center"/>
          </w:tcPr>
          <w:p w14:paraId="6F217625">
            <w:pPr>
              <w:jc w:val="center"/>
              <w:rPr>
                <w:rFonts w:ascii="Times New Roman"/>
                <w:sz w:val="21"/>
                <w:szCs w:val="21"/>
              </w:rPr>
            </w:pPr>
            <w:r>
              <w:rPr>
                <w:rFonts w:ascii="Times New Roman"/>
                <w:sz w:val="21"/>
                <w:szCs w:val="21"/>
              </w:rPr>
              <w:t>6.667</w:t>
            </w:r>
          </w:p>
        </w:tc>
        <w:tc>
          <w:tcPr>
            <w:tcW w:w="389" w:type="pct"/>
            <w:shd w:val="clear" w:color="auto" w:fill="auto"/>
            <w:vAlign w:val="center"/>
          </w:tcPr>
          <w:p w14:paraId="66F09BBE">
            <w:pPr>
              <w:jc w:val="center"/>
              <w:rPr>
                <w:rFonts w:ascii="Times New Roman"/>
                <w:sz w:val="21"/>
                <w:szCs w:val="21"/>
              </w:rPr>
            </w:pPr>
            <w:r>
              <w:rPr>
                <w:rFonts w:ascii="Times New Roman"/>
                <w:sz w:val="21"/>
                <w:szCs w:val="21"/>
              </w:rPr>
              <w:t>16</w:t>
            </w:r>
          </w:p>
        </w:tc>
        <w:tc>
          <w:tcPr>
            <w:tcW w:w="386" w:type="pct"/>
            <w:tcBorders>
              <w:bottom w:val="single" w:color="auto" w:sz="4" w:space="0"/>
            </w:tcBorders>
            <w:shd w:val="clear" w:color="auto" w:fill="auto"/>
            <w:vAlign w:val="center"/>
          </w:tcPr>
          <w:p w14:paraId="79B7B813">
            <w:pPr>
              <w:jc w:val="center"/>
              <w:rPr>
                <w:rFonts w:ascii="Times New Roman"/>
                <w:sz w:val="21"/>
                <w:szCs w:val="21"/>
              </w:rPr>
            </w:pPr>
            <w:r>
              <w:rPr>
                <w:rFonts w:hint="eastAsia" w:ascii="Times New Roman"/>
                <w:sz w:val="21"/>
                <w:szCs w:val="21"/>
              </w:rPr>
              <w:t>20</w:t>
            </w:r>
          </w:p>
        </w:tc>
      </w:tr>
      <w:tr w14:paraId="35EDC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6D1A8A0F">
            <w:pPr>
              <w:jc w:val="center"/>
              <w:rPr>
                <w:rFonts w:ascii="Times New Roman"/>
                <w:sz w:val="21"/>
                <w:szCs w:val="21"/>
              </w:rPr>
            </w:pPr>
          </w:p>
        </w:tc>
        <w:tc>
          <w:tcPr>
            <w:tcW w:w="444" w:type="pct"/>
            <w:vAlign w:val="center"/>
          </w:tcPr>
          <w:p w14:paraId="25A4C506">
            <w:pPr>
              <w:jc w:val="center"/>
              <w:rPr>
                <w:rFonts w:ascii="Times New Roman"/>
                <w:sz w:val="21"/>
                <w:szCs w:val="21"/>
              </w:rPr>
            </w:pPr>
            <w:r>
              <w:rPr>
                <w:rFonts w:ascii="Times New Roman"/>
                <w:sz w:val="21"/>
                <w:szCs w:val="21"/>
              </w:rPr>
              <w:t>NMHC</w:t>
            </w:r>
          </w:p>
        </w:tc>
        <w:tc>
          <w:tcPr>
            <w:tcW w:w="437" w:type="pct"/>
            <w:vMerge w:val="continue"/>
            <w:vAlign w:val="center"/>
          </w:tcPr>
          <w:p w14:paraId="2C71E8DA">
            <w:pPr>
              <w:jc w:val="center"/>
              <w:rPr>
                <w:rFonts w:ascii="Times New Roman"/>
                <w:sz w:val="21"/>
                <w:szCs w:val="21"/>
              </w:rPr>
            </w:pPr>
          </w:p>
        </w:tc>
        <w:tc>
          <w:tcPr>
            <w:tcW w:w="405" w:type="pct"/>
            <w:shd w:val="clear" w:color="auto" w:fill="auto"/>
            <w:vAlign w:val="center"/>
          </w:tcPr>
          <w:p w14:paraId="5B606A28">
            <w:pPr>
              <w:jc w:val="center"/>
              <w:rPr>
                <w:rFonts w:ascii="Times New Roman"/>
                <w:sz w:val="21"/>
                <w:szCs w:val="21"/>
              </w:rPr>
            </w:pPr>
            <w:r>
              <w:rPr>
                <w:rFonts w:ascii="Times New Roman"/>
                <w:sz w:val="21"/>
                <w:szCs w:val="21"/>
              </w:rPr>
              <w:t>0.007</w:t>
            </w:r>
          </w:p>
        </w:tc>
        <w:tc>
          <w:tcPr>
            <w:tcW w:w="370" w:type="pct"/>
            <w:shd w:val="clear" w:color="auto" w:fill="auto"/>
            <w:vAlign w:val="center"/>
          </w:tcPr>
          <w:p w14:paraId="6480182A">
            <w:pPr>
              <w:jc w:val="center"/>
              <w:rPr>
                <w:rFonts w:ascii="Times New Roman"/>
                <w:sz w:val="21"/>
                <w:szCs w:val="21"/>
              </w:rPr>
            </w:pPr>
            <w:r>
              <w:rPr>
                <w:rFonts w:ascii="Times New Roman"/>
                <w:sz w:val="21"/>
                <w:szCs w:val="21"/>
              </w:rPr>
              <w:t>0.0003</w:t>
            </w:r>
          </w:p>
        </w:tc>
        <w:tc>
          <w:tcPr>
            <w:tcW w:w="406" w:type="pct"/>
            <w:shd w:val="clear" w:color="auto" w:fill="auto"/>
            <w:vAlign w:val="center"/>
          </w:tcPr>
          <w:p w14:paraId="2F5B6A8C">
            <w:pPr>
              <w:jc w:val="center"/>
              <w:rPr>
                <w:rFonts w:ascii="Times New Roman"/>
                <w:sz w:val="21"/>
                <w:szCs w:val="21"/>
              </w:rPr>
            </w:pPr>
            <w:r>
              <w:rPr>
                <w:rFonts w:ascii="Times New Roman"/>
                <w:sz w:val="21"/>
                <w:szCs w:val="21"/>
              </w:rPr>
              <w:t>0.0008</w:t>
            </w:r>
          </w:p>
        </w:tc>
        <w:tc>
          <w:tcPr>
            <w:tcW w:w="298" w:type="pct"/>
            <w:vMerge w:val="continue"/>
            <w:vAlign w:val="center"/>
          </w:tcPr>
          <w:p w14:paraId="2DC6F823">
            <w:pPr>
              <w:jc w:val="center"/>
              <w:rPr>
                <w:rFonts w:ascii="Times New Roman"/>
                <w:sz w:val="21"/>
                <w:szCs w:val="21"/>
              </w:rPr>
            </w:pPr>
          </w:p>
        </w:tc>
        <w:tc>
          <w:tcPr>
            <w:tcW w:w="358" w:type="pct"/>
            <w:vMerge w:val="continue"/>
            <w:vAlign w:val="center"/>
          </w:tcPr>
          <w:p w14:paraId="4011DC1F">
            <w:pPr>
              <w:jc w:val="center"/>
              <w:rPr>
                <w:rFonts w:ascii="Times New Roman"/>
                <w:sz w:val="21"/>
                <w:szCs w:val="21"/>
              </w:rPr>
            </w:pPr>
          </w:p>
        </w:tc>
        <w:tc>
          <w:tcPr>
            <w:tcW w:w="300" w:type="pct"/>
            <w:vAlign w:val="center"/>
          </w:tcPr>
          <w:p w14:paraId="2ADA8ACB">
            <w:pPr>
              <w:jc w:val="center"/>
              <w:rPr>
                <w:rFonts w:ascii="Times New Roman"/>
                <w:sz w:val="21"/>
                <w:szCs w:val="21"/>
              </w:rPr>
            </w:pPr>
            <w:r>
              <w:rPr>
                <w:rFonts w:hint="eastAsia" w:ascii="Times New Roman"/>
                <w:sz w:val="21"/>
                <w:szCs w:val="21"/>
              </w:rPr>
              <w:t>0</w:t>
            </w:r>
          </w:p>
        </w:tc>
        <w:tc>
          <w:tcPr>
            <w:tcW w:w="386" w:type="pct"/>
            <w:shd w:val="clear" w:color="auto" w:fill="auto"/>
            <w:vAlign w:val="center"/>
          </w:tcPr>
          <w:p w14:paraId="2841EEBB">
            <w:pPr>
              <w:jc w:val="center"/>
              <w:rPr>
                <w:rFonts w:ascii="Times New Roman"/>
                <w:sz w:val="21"/>
                <w:szCs w:val="21"/>
              </w:rPr>
            </w:pPr>
            <w:r>
              <w:rPr>
                <w:rFonts w:ascii="Times New Roman"/>
                <w:sz w:val="21"/>
                <w:szCs w:val="21"/>
              </w:rPr>
              <w:t>0.007</w:t>
            </w:r>
          </w:p>
        </w:tc>
        <w:tc>
          <w:tcPr>
            <w:tcW w:w="377" w:type="pct"/>
            <w:shd w:val="clear" w:color="auto" w:fill="auto"/>
            <w:vAlign w:val="center"/>
          </w:tcPr>
          <w:p w14:paraId="77A969DF">
            <w:pPr>
              <w:jc w:val="center"/>
              <w:rPr>
                <w:rFonts w:ascii="Times New Roman"/>
                <w:sz w:val="21"/>
                <w:szCs w:val="21"/>
              </w:rPr>
            </w:pPr>
            <w:r>
              <w:rPr>
                <w:rFonts w:ascii="Times New Roman"/>
                <w:sz w:val="21"/>
                <w:szCs w:val="21"/>
              </w:rPr>
              <w:t>0.0003</w:t>
            </w:r>
          </w:p>
        </w:tc>
        <w:tc>
          <w:tcPr>
            <w:tcW w:w="389" w:type="pct"/>
            <w:shd w:val="clear" w:color="auto" w:fill="auto"/>
            <w:vAlign w:val="center"/>
          </w:tcPr>
          <w:p w14:paraId="58828712">
            <w:pPr>
              <w:jc w:val="center"/>
              <w:rPr>
                <w:rFonts w:ascii="Times New Roman"/>
                <w:sz w:val="21"/>
                <w:szCs w:val="21"/>
              </w:rPr>
            </w:pPr>
            <w:r>
              <w:rPr>
                <w:rFonts w:ascii="Times New Roman"/>
                <w:sz w:val="21"/>
                <w:szCs w:val="21"/>
              </w:rPr>
              <w:t>0.0008</w:t>
            </w:r>
          </w:p>
        </w:tc>
        <w:tc>
          <w:tcPr>
            <w:tcW w:w="386" w:type="pct"/>
            <w:tcBorders>
              <w:top w:val="single" w:color="auto" w:sz="4" w:space="0"/>
            </w:tcBorders>
            <w:shd w:val="clear" w:color="auto" w:fill="auto"/>
            <w:vAlign w:val="center"/>
          </w:tcPr>
          <w:p w14:paraId="19B525CD">
            <w:pPr>
              <w:jc w:val="center"/>
              <w:rPr>
                <w:rFonts w:ascii="Times New Roman"/>
                <w:sz w:val="21"/>
                <w:szCs w:val="21"/>
              </w:rPr>
            </w:pPr>
            <w:r>
              <w:rPr>
                <w:rFonts w:hint="eastAsia" w:ascii="Times New Roman"/>
                <w:sz w:val="21"/>
                <w:szCs w:val="21"/>
              </w:rPr>
              <w:t>8</w:t>
            </w:r>
            <w:r>
              <w:rPr>
                <w:rFonts w:ascii="Times New Roman"/>
                <w:sz w:val="21"/>
                <w:szCs w:val="21"/>
              </w:rPr>
              <w:t>0</w:t>
            </w:r>
          </w:p>
        </w:tc>
      </w:tr>
      <w:tr w14:paraId="5628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Align w:val="center"/>
          </w:tcPr>
          <w:p w14:paraId="5C60C46A">
            <w:pPr>
              <w:jc w:val="center"/>
              <w:rPr>
                <w:rFonts w:ascii="Times New Roman"/>
                <w:sz w:val="21"/>
                <w:szCs w:val="21"/>
              </w:rPr>
            </w:pPr>
            <w:r>
              <w:rPr>
                <w:rFonts w:ascii="Times New Roman"/>
                <w:sz w:val="21"/>
                <w:szCs w:val="21"/>
              </w:rPr>
              <w:t>抛丸、喷砂废气(DA007)</w:t>
            </w:r>
          </w:p>
        </w:tc>
        <w:tc>
          <w:tcPr>
            <w:tcW w:w="444" w:type="pct"/>
            <w:vAlign w:val="center"/>
          </w:tcPr>
          <w:p w14:paraId="4E3CC67B">
            <w:pPr>
              <w:jc w:val="center"/>
              <w:rPr>
                <w:rFonts w:ascii="Times New Roman"/>
                <w:sz w:val="21"/>
                <w:szCs w:val="21"/>
              </w:rPr>
            </w:pPr>
            <w:r>
              <w:rPr>
                <w:rFonts w:ascii="Times New Roman"/>
                <w:sz w:val="21"/>
                <w:szCs w:val="21"/>
              </w:rPr>
              <w:t>颗粒物</w:t>
            </w:r>
          </w:p>
        </w:tc>
        <w:tc>
          <w:tcPr>
            <w:tcW w:w="437" w:type="pct"/>
            <w:vAlign w:val="center"/>
          </w:tcPr>
          <w:p w14:paraId="41A57E44">
            <w:pPr>
              <w:jc w:val="center"/>
              <w:rPr>
                <w:rFonts w:ascii="Times New Roman"/>
                <w:sz w:val="21"/>
                <w:szCs w:val="21"/>
              </w:rPr>
            </w:pPr>
            <w:r>
              <w:rPr>
                <w:rFonts w:ascii="Times New Roman"/>
                <w:sz w:val="21"/>
                <w:szCs w:val="21"/>
              </w:rPr>
              <w:t>20000</w:t>
            </w:r>
          </w:p>
        </w:tc>
        <w:tc>
          <w:tcPr>
            <w:tcW w:w="405" w:type="pct"/>
            <w:vAlign w:val="center"/>
          </w:tcPr>
          <w:p w14:paraId="3C51F888">
            <w:pPr>
              <w:jc w:val="center"/>
              <w:rPr>
                <w:rFonts w:ascii="Times New Roman"/>
                <w:sz w:val="21"/>
                <w:szCs w:val="21"/>
              </w:rPr>
            </w:pPr>
            <w:r>
              <w:rPr>
                <w:rFonts w:ascii="Times New Roman"/>
                <w:sz w:val="21"/>
                <w:szCs w:val="21"/>
              </w:rPr>
              <w:t>3193.75</w:t>
            </w:r>
          </w:p>
        </w:tc>
        <w:tc>
          <w:tcPr>
            <w:tcW w:w="370" w:type="pct"/>
            <w:vAlign w:val="center"/>
          </w:tcPr>
          <w:p w14:paraId="3E96FF9E">
            <w:pPr>
              <w:jc w:val="center"/>
              <w:rPr>
                <w:rFonts w:ascii="Times New Roman"/>
                <w:sz w:val="21"/>
                <w:szCs w:val="21"/>
              </w:rPr>
            </w:pPr>
            <w:r>
              <w:rPr>
                <w:rFonts w:ascii="Times New Roman"/>
                <w:sz w:val="21"/>
                <w:szCs w:val="21"/>
              </w:rPr>
              <w:t>63.875</w:t>
            </w:r>
          </w:p>
        </w:tc>
        <w:tc>
          <w:tcPr>
            <w:tcW w:w="406" w:type="pct"/>
            <w:vAlign w:val="center"/>
          </w:tcPr>
          <w:p w14:paraId="37D85742">
            <w:pPr>
              <w:jc w:val="center"/>
              <w:rPr>
                <w:rFonts w:ascii="Times New Roman"/>
                <w:sz w:val="21"/>
                <w:szCs w:val="21"/>
              </w:rPr>
            </w:pPr>
            <w:r>
              <w:rPr>
                <w:rFonts w:ascii="Times New Roman"/>
                <w:sz w:val="21"/>
                <w:szCs w:val="21"/>
              </w:rPr>
              <w:t>153.3</w:t>
            </w:r>
          </w:p>
        </w:tc>
        <w:tc>
          <w:tcPr>
            <w:tcW w:w="298" w:type="pct"/>
            <w:vAlign w:val="center"/>
          </w:tcPr>
          <w:p w14:paraId="614A4EA5">
            <w:pPr>
              <w:jc w:val="center"/>
              <w:rPr>
                <w:rFonts w:ascii="Times New Roman"/>
                <w:sz w:val="21"/>
                <w:szCs w:val="21"/>
              </w:rPr>
            </w:pPr>
            <w:r>
              <w:rPr>
                <w:rFonts w:ascii="Times New Roman"/>
                <w:sz w:val="21"/>
                <w:szCs w:val="21"/>
              </w:rPr>
              <w:t>100</w:t>
            </w:r>
          </w:p>
        </w:tc>
        <w:tc>
          <w:tcPr>
            <w:tcW w:w="358" w:type="pct"/>
            <w:vAlign w:val="center"/>
          </w:tcPr>
          <w:p w14:paraId="1CB2D220">
            <w:pPr>
              <w:jc w:val="center"/>
              <w:rPr>
                <w:rFonts w:ascii="Times New Roman"/>
                <w:sz w:val="21"/>
                <w:szCs w:val="21"/>
              </w:rPr>
            </w:pPr>
            <w:r>
              <w:rPr>
                <w:rFonts w:hint="eastAsia" w:ascii="Times New Roman"/>
                <w:sz w:val="21"/>
                <w:szCs w:val="21"/>
              </w:rPr>
              <w:t>旋风+滤筒</w:t>
            </w:r>
            <w:r>
              <w:rPr>
                <w:rFonts w:ascii="Times New Roman"/>
                <w:sz w:val="21"/>
                <w:szCs w:val="21"/>
              </w:rPr>
              <w:t>除尘器</w:t>
            </w:r>
          </w:p>
        </w:tc>
        <w:tc>
          <w:tcPr>
            <w:tcW w:w="300" w:type="pct"/>
            <w:vAlign w:val="center"/>
          </w:tcPr>
          <w:p w14:paraId="7AB525C8">
            <w:pPr>
              <w:jc w:val="center"/>
              <w:rPr>
                <w:rFonts w:ascii="Times New Roman"/>
                <w:sz w:val="21"/>
                <w:szCs w:val="21"/>
              </w:rPr>
            </w:pPr>
            <w:r>
              <w:rPr>
                <w:rFonts w:ascii="Times New Roman"/>
                <w:sz w:val="21"/>
                <w:szCs w:val="21"/>
              </w:rPr>
              <w:t>50</w:t>
            </w:r>
          </w:p>
        </w:tc>
        <w:tc>
          <w:tcPr>
            <w:tcW w:w="386" w:type="pct"/>
            <w:vAlign w:val="center"/>
          </w:tcPr>
          <w:p w14:paraId="3058CD1D">
            <w:pPr>
              <w:jc w:val="center"/>
              <w:rPr>
                <w:rFonts w:ascii="Times New Roman"/>
                <w:sz w:val="21"/>
                <w:szCs w:val="21"/>
              </w:rPr>
            </w:pPr>
            <w:r>
              <w:rPr>
                <w:rFonts w:hint="eastAsia" w:ascii="Times New Roman"/>
                <w:sz w:val="21"/>
                <w:szCs w:val="21"/>
              </w:rPr>
              <w:t>1596.875</w:t>
            </w:r>
          </w:p>
        </w:tc>
        <w:tc>
          <w:tcPr>
            <w:tcW w:w="377" w:type="pct"/>
            <w:vAlign w:val="center"/>
          </w:tcPr>
          <w:p w14:paraId="630A624D">
            <w:pPr>
              <w:jc w:val="center"/>
              <w:rPr>
                <w:rFonts w:ascii="Times New Roman"/>
                <w:sz w:val="21"/>
                <w:szCs w:val="21"/>
              </w:rPr>
            </w:pPr>
            <w:r>
              <w:rPr>
                <w:rFonts w:hint="eastAsia" w:ascii="Times New Roman"/>
                <w:sz w:val="21"/>
                <w:szCs w:val="21"/>
              </w:rPr>
              <w:t>31.938</w:t>
            </w:r>
          </w:p>
        </w:tc>
        <w:tc>
          <w:tcPr>
            <w:tcW w:w="389" w:type="pct"/>
            <w:vAlign w:val="center"/>
          </w:tcPr>
          <w:p w14:paraId="20881497">
            <w:pPr>
              <w:jc w:val="center"/>
              <w:rPr>
                <w:rFonts w:ascii="Times New Roman"/>
                <w:sz w:val="21"/>
                <w:szCs w:val="21"/>
              </w:rPr>
            </w:pPr>
            <w:r>
              <w:rPr>
                <w:rFonts w:hint="eastAsia" w:ascii="Times New Roman"/>
                <w:sz w:val="21"/>
                <w:szCs w:val="21"/>
              </w:rPr>
              <w:t>76.650</w:t>
            </w:r>
          </w:p>
        </w:tc>
        <w:tc>
          <w:tcPr>
            <w:tcW w:w="386" w:type="pct"/>
            <w:shd w:val="clear" w:color="auto" w:fill="auto"/>
            <w:vAlign w:val="center"/>
          </w:tcPr>
          <w:p w14:paraId="5295C4F9">
            <w:pPr>
              <w:jc w:val="center"/>
              <w:rPr>
                <w:rFonts w:ascii="Times New Roman" w:eastAsia="Times New Roman"/>
                <w:sz w:val="21"/>
                <w:szCs w:val="21"/>
              </w:rPr>
            </w:pPr>
            <w:r>
              <w:rPr>
                <w:rFonts w:hint="eastAsia" w:ascii="Times New Roman" w:eastAsia="Times New Roman"/>
                <w:sz w:val="21"/>
                <w:szCs w:val="21"/>
              </w:rPr>
              <w:t>10</w:t>
            </w:r>
          </w:p>
        </w:tc>
      </w:tr>
      <w:tr w14:paraId="18E27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jc w:val="center"/>
        </w:trPr>
        <w:tc>
          <w:tcPr>
            <w:tcW w:w="440" w:type="pct"/>
            <w:vMerge w:val="restart"/>
            <w:shd w:val="clear" w:color="auto" w:fill="auto"/>
            <w:vAlign w:val="center"/>
          </w:tcPr>
          <w:p w14:paraId="5D6EDB1D">
            <w:pPr>
              <w:rPr>
                <w:rFonts w:ascii="Times New Roman"/>
                <w:sz w:val="21"/>
                <w:szCs w:val="21"/>
              </w:rPr>
            </w:pPr>
            <w:r>
              <w:rPr>
                <w:rFonts w:hint="eastAsia" w:ascii="Times New Roman"/>
                <w:sz w:val="21"/>
                <w:szCs w:val="21"/>
              </w:rPr>
              <w:t>热水炉燃烧</w:t>
            </w:r>
            <w:r>
              <w:rPr>
                <w:rFonts w:ascii="Times New Roman"/>
                <w:sz w:val="21"/>
                <w:szCs w:val="21"/>
              </w:rPr>
              <w:t>废气</w:t>
            </w:r>
            <w:r>
              <w:rPr>
                <w:rFonts w:ascii="Times New Roman" w:eastAsia="Times New Roman"/>
                <w:sz w:val="21"/>
                <w:szCs w:val="21"/>
              </w:rPr>
              <w:t>(</w:t>
            </w:r>
            <w:r>
              <w:rPr>
                <w:rFonts w:ascii="Times New Roman"/>
                <w:sz w:val="21"/>
                <w:szCs w:val="21"/>
              </w:rPr>
              <w:t>DA00</w:t>
            </w:r>
            <w:r>
              <w:rPr>
                <w:rFonts w:hint="eastAsia" w:ascii="Times New Roman"/>
                <w:sz w:val="21"/>
                <w:szCs w:val="21"/>
              </w:rPr>
              <w:t>8</w:t>
            </w:r>
            <w:r>
              <w:rPr>
                <w:rFonts w:ascii="Times New Roman" w:eastAsia="Times New Roman"/>
                <w:sz w:val="21"/>
                <w:szCs w:val="21"/>
              </w:rPr>
              <w:t>)</w:t>
            </w:r>
          </w:p>
        </w:tc>
        <w:tc>
          <w:tcPr>
            <w:tcW w:w="444" w:type="pct"/>
            <w:tcBorders>
              <w:bottom w:val="single" w:color="auto" w:sz="4" w:space="0"/>
            </w:tcBorders>
            <w:shd w:val="clear" w:color="auto" w:fill="auto"/>
            <w:vAlign w:val="center"/>
          </w:tcPr>
          <w:p w14:paraId="0FF0AAF3">
            <w:pPr>
              <w:jc w:val="center"/>
              <w:rPr>
                <w:rFonts w:ascii="Times New Roman"/>
                <w:sz w:val="21"/>
                <w:szCs w:val="21"/>
              </w:rPr>
            </w:pPr>
            <w:r>
              <w:rPr>
                <w:rFonts w:ascii="Times New Roman"/>
                <w:sz w:val="21"/>
                <w:szCs w:val="21"/>
              </w:rPr>
              <w:t>颗粒物</w:t>
            </w:r>
          </w:p>
        </w:tc>
        <w:tc>
          <w:tcPr>
            <w:tcW w:w="437" w:type="pct"/>
            <w:vMerge w:val="restart"/>
            <w:vAlign w:val="center"/>
          </w:tcPr>
          <w:p w14:paraId="1F1068BA">
            <w:pPr>
              <w:jc w:val="center"/>
              <w:rPr>
                <w:rFonts w:ascii="Times New Roman"/>
                <w:sz w:val="21"/>
                <w:szCs w:val="21"/>
              </w:rPr>
            </w:pPr>
            <w:r>
              <w:rPr>
                <w:rFonts w:hint="eastAsia" w:ascii="Times New Roman"/>
                <w:sz w:val="21"/>
                <w:szCs w:val="21"/>
              </w:rPr>
              <w:t>2586.072</w:t>
            </w:r>
          </w:p>
        </w:tc>
        <w:tc>
          <w:tcPr>
            <w:tcW w:w="405" w:type="pct"/>
            <w:tcBorders>
              <w:bottom w:val="single" w:color="auto" w:sz="4" w:space="0"/>
            </w:tcBorders>
            <w:shd w:val="clear" w:color="auto" w:fill="auto"/>
            <w:vAlign w:val="center"/>
          </w:tcPr>
          <w:p w14:paraId="6659E8CC">
            <w:pPr>
              <w:snapToGrid w:val="0"/>
              <w:jc w:val="center"/>
              <w:rPr>
                <w:rFonts w:ascii="Times New Roman"/>
                <w:sz w:val="21"/>
                <w:szCs w:val="21"/>
              </w:rPr>
            </w:pPr>
            <w:r>
              <w:rPr>
                <w:rFonts w:ascii="Times New Roman"/>
                <w:sz w:val="21"/>
                <w:szCs w:val="21"/>
              </w:rPr>
              <w:t>4.176</w:t>
            </w:r>
          </w:p>
        </w:tc>
        <w:tc>
          <w:tcPr>
            <w:tcW w:w="370" w:type="pct"/>
            <w:tcBorders>
              <w:bottom w:val="single" w:color="auto" w:sz="4" w:space="0"/>
            </w:tcBorders>
            <w:shd w:val="clear" w:color="auto" w:fill="auto"/>
            <w:vAlign w:val="center"/>
          </w:tcPr>
          <w:p w14:paraId="6ED0CB28">
            <w:pPr>
              <w:snapToGrid w:val="0"/>
              <w:jc w:val="center"/>
              <w:rPr>
                <w:rFonts w:ascii="Times New Roman"/>
                <w:sz w:val="21"/>
                <w:szCs w:val="21"/>
              </w:rPr>
            </w:pPr>
            <w:r>
              <w:rPr>
                <w:rFonts w:ascii="Times New Roman"/>
                <w:sz w:val="21"/>
                <w:szCs w:val="21"/>
              </w:rPr>
              <w:t>0.</w:t>
            </w:r>
            <w:r>
              <w:rPr>
                <w:rFonts w:hint="eastAsia" w:ascii="Times New Roman"/>
                <w:sz w:val="21"/>
                <w:szCs w:val="21"/>
              </w:rPr>
              <w:t>011</w:t>
            </w:r>
          </w:p>
        </w:tc>
        <w:tc>
          <w:tcPr>
            <w:tcW w:w="406" w:type="pct"/>
            <w:tcBorders>
              <w:bottom w:val="single" w:color="auto" w:sz="4" w:space="0"/>
            </w:tcBorders>
            <w:shd w:val="clear" w:color="auto" w:fill="auto"/>
            <w:vAlign w:val="center"/>
          </w:tcPr>
          <w:p w14:paraId="48D1B77C">
            <w:pPr>
              <w:snapToGrid w:val="0"/>
              <w:jc w:val="center"/>
              <w:rPr>
                <w:rFonts w:ascii="Times New Roman"/>
                <w:sz w:val="21"/>
                <w:szCs w:val="21"/>
              </w:rPr>
            </w:pPr>
            <w:r>
              <w:rPr>
                <w:rFonts w:hint="eastAsia" w:ascii="Times New Roman"/>
                <w:sz w:val="21"/>
                <w:szCs w:val="21"/>
              </w:rPr>
              <w:t>0.016</w:t>
            </w:r>
          </w:p>
        </w:tc>
        <w:tc>
          <w:tcPr>
            <w:tcW w:w="298" w:type="pct"/>
            <w:vMerge w:val="restart"/>
            <w:shd w:val="clear" w:color="auto" w:fill="auto"/>
            <w:vAlign w:val="center"/>
          </w:tcPr>
          <w:p w14:paraId="3EC0B4C6">
            <w:pPr>
              <w:jc w:val="center"/>
              <w:rPr>
                <w:rFonts w:ascii="Times New Roman"/>
                <w:sz w:val="21"/>
                <w:szCs w:val="21"/>
              </w:rPr>
            </w:pPr>
            <w:r>
              <w:rPr>
                <w:rFonts w:hint="eastAsia" w:ascii="Times New Roman"/>
                <w:sz w:val="21"/>
                <w:szCs w:val="21"/>
              </w:rPr>
              <w:t>100</w:t>
            </w:r>
          </w:p>
        </w:tc>
        <w:tc>
          <w:tcPr>
            <w:tcW w:w="358" w:type="pct"/>
            <w:vMerge w:val="restart"/>
            <w:shd w:val="clear" w:color="auto" w:fill="auto"/>
            <w:vAlign w:val="center"/>
          </w:tcPr>
          <w:p w14:paraId="032B8B68">
            <w:pPr>
              <w:jc w:val="center"/>
              <w:rPr>
                <w:rFonts w:ascii="Times New Roman"/>
                <w:sz w:val="21"/>
                <w:szCs w:val="21"/>
              </w:rPr>
            </w:pPr>
            <w:r>
              <w:rPr>
                <w:rFonts w:ascii="Times New Roman"/>
                <w:sz w:val="21"/>
                <w:szCs w:val="21"/>
              </w:rPr>
              <w:t>低氮燃烧器</w:t>
            </w:r>
          </w:p>
        </w:tc>
        <w:tc>
          <w:tcPr>
            <w:tcW w:w="300" w:type="pct"/>
            <w:tcBorders>
              <w:bottom w:val="single" w:color="auto" w:sz="4" w:space="0"/>
            </w:tcBorders>
            <w:shd w:val="clear" w:color="auto" w:fill="auto"/>
            <w:vAlign w:val="center"/>
          </w:tcPr>
          <w:p w14:paraId="13328ED8">
            <w:pPr>
              <w:jc w:val="center"/>
              <w:rPr>
                <w:rFonts w:ascii="Times New Roman"/>
                <w:sz w:val="21"/>
                <w:szCs w:val="21"/>
              </w:rPr>
            </w:pPr>
            <w:r>
              <w:rPr>
                <w:rFonts w:hint="eastAsia" w:ascii="Times New Roman"/>
                <w:sz w:val="21"/>
                <w:szCs w:val="21"/>
              </w:rPr>
              <w:t>/</w:t>
            </w:r>
          </w:p>
        </w:tc>
        <w:tc>
          <w:tcPr>
            <w:tcW w:w="386" w:type="pct"/>
            <w:tcBorders>
              <w:bottom w:val="single" w:color="auto" w:sz="4" w:space="0"/>
            </w:tcBorders>
            <w:shd w:val="clear" w:color="auto" w:fill="auto"/>
            <w:vAlign w:val="center"/>
          </w:tcPr>
          <w:p w14:paraId="29C85622">
            <w:pPr>
              <w:snapToGrid w:val="0"/>
              <w:jc w:val="center"/>
              <w:rPr>
                <w:rFonts w:ascii="Times New Roman"/>
                <w:sz w:val="21"/>
                <w:szCs w:val="21"/>
              </w:rPr>
            </w:pPr>
            <w:r>
              <w:rPr>
                <w:rFonts w:ascii="Times New Roman"/>
                <w:sz w:val="21"/>
                <w:szCs w:val="21"/>
              </w:rPr>
              <w:t>4.176</w:t>
            </w:r>
          </w:p>
        </w:tc>
        <w:tc>
          <w:tcPr>
            <w:tcW w:w="377" w:type="pct"/>
            <w:tcBorders>
              <w:bottom w:val="single" w:color="auto" w:sz="4" w:space="0"/>
            </w:tcBorders>
            <w:shd w:val="clear" w:color="auto" w:fill="auto"/>
            <w:vAlign w:val="center"/>
          </w:tcPr>
          <w:p w14:paraId="0C474EA3">
            <w:pPr>
              <w:snapToGrid w:val="0"/>
              <w:jc w:val="center"/>
              <w:rPr>
                <w:rFonts w:ascii="Times New Roman"/>
                <w:sz w:val="21"/>
                <w:szCs w:val="21"/>
              </w:rPr>
            </w:pPr>
            <w:r>
              <w:rPr>
                <w:rFonts w:ascii="Times New Roman"/>
                <w:sz w:val="21"/>
                <w:szCs w:val="21"/>
              </w:rPr>
              <w:t>0.</w:t>
            </w:r>
            <w:r>
              <w:rPr>
                <w:rFonts w:hint="eastAsia" w:ascii="Times New Roman"/>
                <w:sz w:val="21"/>
                <w:szCs w:val="21"/>
              </w:rPr>
              <w:t>011</w:t>
            </w:r>
          </w:p>
        </w:tc>
        <w:tc>
          <w:tcPr>
            <w:tcW w:w="389" w:type="pct"/>
            <w:tcBorders>
              <w:bottom w:val="single" w:color="auto" w:sz="4" w:space="0"/>
            </w:tcBorders>
            <w:shd w:val="clear" w:color="auto" w:fill="auto"/>
            <w:vAlign w:val="center"/>
          </w:tcPr>
          <w:p w14:paraId="3A184F6C">
            <w:pPr>
              <w:snapToGrid w:val="0"/>
              <w:jc w:val="center"/>
              <w:rPr>
                <w:rFonts w:ascii="Times New Roman"/>
                <w:sz w:val="21"/>
                <w:szCs w:val="21"/>
              </w:rPr>
            </w:pPr>
            <w:r>
              <w:rPr>
                <w:rFonts w:hint="eastAsia" w:ascii="Times New Roman"/>
                <w:sz w:val="21"/>
                <w:szCs w:val="21"/>
              </w:rPr>
              <w:t>0.016</w:t>
            </w:r>
          </w:p>
        </w:tc>
        <w:tc>
          <w:tcPr>
            <w:tcW w:w="386" w:type="pct"/>
            <w:tcBorders>
              <w:bottom w:val="single" w:color="auto" w:sz="4" w:space="0"/>
            </w:tcBorders>
            <w:shd w:val="clear" w:color="auto" w:fill="auto"/>
            <w:vAlign w:val="center"/>
          </w:tcPr>
          <w:p w14:paraId="17C7A63D">
            <w:pPr>
              <w:jc w:val="center"/>
              <w:rPr>
                <w:rFonts w:ascii="Times New Roman" w:eastAsia="Times New Roman"/>
                <w:sz w:val="21"/>
                <w:szCs w:val="21"/>
              </w:rPr>
            </w:pPr>
            <w:r>
              <w:rPr>
                <w:rFonts w:hint="eastAsia" w:ascii="Times New Roman" w:eastAsia="Times New Roman"/>
                <w:sz w:val="21"/>
                <w:szCs w:val="21"/>
              </w:rPr>
              <w:t>5</w:t>
            </w:r>
          </w:p>
        </w:tc>
      </w:tr>
      <w:tr w14:paraId="5874C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 w:hRule="atLeast"/>
          <w:jc w:val="center"/>
        </w:trPr>
        <w:tc>
          <w:tcPr>
            <w:tcW w:w="440" w:type="pct"/>
            <w:vMerge w:val="continue"/>
            <w:vAlign w:val="center"/>
          </w:tcPr>
          <w:p w14:paraId="1EBA7319">
            <w:pPr>
              <w:jc w:val="center"/>
              <w:rPr>
                <w:rFonts w:ascii="Times New Roman"/>
                <w:sz w:val="21"/>
                <w:szCs w:val="21"/>
              </w:rPr>
            </w:pPr>
          </w:p>
        </w:tc>
        <w:tc>
          <w:tcPr>
            <w:tcW w:w="444" w:type="pct"/>
            <w:tcBorders>
              <w:top w:val="single" w:color="auto" w:sz="4" w:space="0"/>
              <w:bottom w:val="single" w:color="auto" w:sz="4" w:space="0"/>
            </w:tcBorders>
            <w:shd w:val="clear" w:color="auto" w:fill="auto"/>
            <w:vAlign w:val="center"/>
          </w:tcPr>
          <w:p w14:paraId="6DDA9B67">
            <w:pPr>
              <w:jc w:val="center"/>
              <w:rPr>
                <w:rFonts w:ascii="Times New Roman" w:eastAsia="Times New Roman"/>
                <w:sz w:val="21"/>
                <w:szCs w:val="21"/>
              </w:rPr>
            </w:pPr>
            <w:r>
              <w:rPr>
                <w:rFonts w:ascii="Times New Roman" w:eastAsia="Times New Roman"/>
                <w:sz w:val="21"/>
                <w:szCs w:val="21"/>
              </w:rPr>
              <w:t>SO</w:t>
            </w:r>
            <w:r>
              <w:rPr>
                <w:rFonts w:ascii="Times New Roman" w:eastAsia="Times New Roman"/>
                <w:sz w:val="21"/>
                <w:szCs w:val="21"/>
                <w:vertAlign w:val="subscript"/>
              </w:rPr>
              <w:t>2</w:t>
            </w:r>
          </w:p>
        </w:tc>
        <w:tc>
          <w:tcPr>
            <w:tcW w:w="437" w:type="pct"/>
            <w:vMerge w:val="continue"/>
            <w:vAlign w:val="center"/>
          </w:tcPr>
          <w:p w14:paraId="21F78EA2">
            <w:pPr>
              <w:jc w:val="center"/>
              <w:rPr>
                <w:rFonts w:ascii="Times New Roman"/>
                <w:sz w:val="21"/>
                <w:szCs w:val="21"/>
              </w:rPr>
            </w:pPr>
          </w:p>
        </w:tc>
        <w:tc>
          <w:tcPr>
            <w:tcW w:w="405" w:type="pct"/>
            <w:tcBorders>
              <w:top w:val="single" w:color="auto" w:sz="4" w:space="0"/>
              <w:bottom w:val="single" w:color="auto" w:sz="4" w:space="0"/>
            </w:tcBorders>
            <w:shd w:val="clear" w:color="auto" w:fill="auto"/>
            <w:vAlign w:val="center"/>
          </w:tcPr>
          <w:p w14:paraId="7087D5B2">
            <w:pPr>
              <w:snapToGrid w:val="0"/>
              <w:jc w:val="center"/>
              <w:rPr>
                <w:rFonts w:ascii="Times New Roman"/>
                <w:sz w:val="21"/>
                <w:szCs w:val="21"/>
              </w:rPr>
            </w:pPr>
            <w:r>
              <w:rPr>
                <w:rFonts w:ascii="Times New Roman"/>
                <w:sz w:val="21"/>
                <w:szCs w:val="21"/>
              </w:rPr>
              <w:t>9.280</w:t>
            </w:r>
          </w:p>
        </w:tc>
        <w:tc>
          <w:tcPr>
            <w:tcW w:w="370" w:type="pct"/>
            <w:tcBorders>
              <w:top w:val="single" w:color="auto" w:sz="4" w:space="0"/>
              <w:bottom w:val="single" w:color="auto" w:sz="4" w:space="0"/>
            </w:tcBorders>
            <w:shd w:val="clear" w:color="auto" w:fill="auto"/>
            <w:vAlign w:val="center"/>
          </w:tcPr>
          <w:p w14:paraId="484015FA">
            <w:pPr>
              <w:snapToGrid w:val="0"/>
              <w:jc w:val="center"/>
              <w:rPr>
                <w:rFonts w:ascii="Times New Roman"/>
                <w:sz w:val="21"/>
                <w:szCs w:val="21"/>
              </w:rPr>
            </w:pPr>
            <w:r>
              <w:rPr>
                <w:rFonts w:ascii="Times New Roman"/>
                <w:sz w:val="21"/>
                <w:szCs w:val="21"/>
              </w:rPr>
              <w:t>0.</w:t>
            </w:r>
            <w:r>
              <w:rPr>
                <w:rFonts w:hint="eastAsia" w:ascii="Times New Roman"/>
                <w:sz w:val="21"/>
                <w:szCs w:val="21"/>
              </w:rPr>
              <w:t>009</w:t>
            </w:r>
          </w:p>
        </w:tc>
        <w:tc>
          <w:tcPr>
            <w:tcW w:w="406" w:type="pct"/>
            <w:tcBorders>
              <w:top w:val="single" w:color="auto" w:sz="4" w:space="0"/>
              <w:bottom w:val="single" w:color="auto" w:sz="4" w:space="0"/>
            </w:tcBorders>
            <w:shd w:val="clear" w:color="auto" w:fill="auto"/>
            <w:vAlign w:val="center"/>
          </w:tcPr>
          <w:p w14:paraId="283D482C">
            <w:pPr>
              <w:snapToGrid w:val="0"/>
              <w:jc w:val="center"/>
              <w:rPr>
                <w:rFonts w:ascii="Times New Roman"/>
                <w:sz w:val="21"/>
                <w:szCs w:val="21"/>
              </w:rPr>
            </w:pPr>
            <w:r>
              <w:rPr>
                <w:rFonts w:hint="eastAsia" w:ascii="Times New Roman"/>
                <w:sz w:val="21"/>
                <w:szCs w:val="21"/>
              </w:rPr>
              <w:t>0.014</w:t>
            </w:r>
          </w:p>
        </w:tc>
        <w:tc>
          <w:tcPr>
            <w:tcW w:w="298" w:type="pct"/>
            <w:vMerge w:val="continue"/>
            <w:vAlign w:val="center"/>
          </w:tcPr>
          <w:p w14:paraId="486CBCF6">
            <w:pPr>
              <w:jc w:val="center"/>
              <w:rPr>
                <w:rFonts w:ascii="Times New Roman"/>
                <w:sz w:val="21"/>
                <w:szCs w:val="21"/>
              </w:rPr>
            </w:pPr>
          </w:p>
        </w:tc>
        <w:tc>
          <w:tcPr>
            <w:tcW w:w="358" w:type="pct"/>
            <w:vMerge w:val="continue"/>
            <w:vAlign w:val="center"/>
          </w:tcPr>
          <w:p w14:paraId="1B266818">
            <w:pPr>
              <w:jc w:val="center"/>
              <w:rPr>
                <w:rFonts w:ascii="Times New Roman"/>
                <w:sz w:val="21"/>
                <w:szCs w:val="21"/>
              </w:rPr>
            </w:pPr>
          </w:p>
        </w:tc>
        <w:tc>
          <w:tcPr>
            <w:tcW w:w="300" w:type="pct"/>
            <w:tcBorders>
              <w:top w:val="single" w:color="auto" w:sz="4" w:space="0"/>
              <w:bottom w:val="single" w:color="auto" w:sz="4" w:space="0"/>
            </w:tcBorders>
            <w:shd w:val="clear" w:color="auto" w:fill="auto"/>
            <w:vAlign w:val="center"/>
          </w:tcPr>
          <w:p w14:paraId="48C8EFDE">
            <w:pPr>
              <w:jc w:val="center"/>
              <w:rPr>
                <w:rFonts w:ascii="Times New Roman"/>
                <w:sz w:val="21"/>
                <w:szCs w:val="21"/>
              </w:rPr>
            </w:pPr>
            <w:r>
              <w:rPr>
                <w:rFonts w:hint="eastAsia" w:ascii="Times New Roman"/>
                <w:sz w:val="21"/>
                <w:szCs w:val="21"/>
              </w:rPr>
              <w:t>/</w:t>
            </w:r>
          </w:p>
        </w:tc>
        <w:tc>
          <w:tcPr>
            <w:tcW w:w="386" w:type="pct"/>
            <w:tcBorders>
              <w:top w:val="single" w:color="auto" w:sz="4" w:space="0"/>
              <w:bottom w:val="single" w:color="auto" w:sz="4" w:space="0"/>
            </w:tcBorders>
            <w:shd w:val="clear" w:color="auto" w:fill="auto"/>
            <w:vAlign w:val="center"/>
          </w:tcPr>
          <w:p w14:paraId="5E389CB3">
            <w:pPr>
              <w:snapToGrid w:val="0"/>
              <w:jc w:val="center"/>
              <w:rPr>
                <w:rFonts w:ascii="Times New Roman"/>
                <w:sz w:val="21"/>
                <w:szCs w:val="21"/>
              </w:rPr>
            </w:pPr>
            <w:r>
              <w:rPr>
                <w:rFonts w:ascii="Times New Roman"/>
                <w:sz w:val="21"/>
                <w:szCs w:val="21"/>
              </w:rPr>
              <w:t>9.280</w:t>
            </w:r>
          </w:p>
        </w:tc>
        <w:tc>
          <w:tcPr>
            <w:tcW w:w="377" w:type="pct"/>
            <w:tcBorders>
              <w:top w:val="single" w:color="auto" w:sz="4" w:space="0"/>
              <w:bottom w:val="single" w:color="auto" w:sz="4" w:space="0"/>
            </w:tcBorders>
            <w:shd w:val="clear" w:color="auto" w:fill="auto"/>
            <w:vAlign w:val="center"/>
          </w:tcPr>
          <w:p w14:paraId="5340EDDB">
            <w:pPr>
              <w:snapToGrid w:val="0"/>
              <w:jc w:val="center"/>
              <w:rPr>
                <w:rFonts w:ascii="Times New Roman"/>
                <w:sz w:val="21"/>
                <w:szCs w:val="21"/>
              </w:rPr>
            </w:pPr>
            <w:r>
              <w:rPr>
                <w:rFonts w:ascii="Times New Roman"/>
                <w:sz w:val="21"/>
                <w:szCs w:val="21"/>
              </w:rPr>
              <w:t>0.</w:t>
            </w:r>
            <w:r>
              <w:rPr>
                <w:rFonts w:hint="eastAsia" w:ascii="Times New Roman"/>
                <w:sz w:val="21"/>
                <w:szCs w:val="21"/>
              </w:rPr>
              <w:t>009</w:t>
            </w:r>
          </w:p>
        </w:tc>
        <w:tc>
          <w:tcPr>
            <w:tcW w:w="389" w:type="pct"/>
            <w:tcBorders>
              <w:top w:val="single" w:color="auto" w:sz="4" w:space="0"/>
              <w:bottom w:val="single" w:color="auto" w:sz="4" w:space="0"/>
            </w:tcBorders>
            <w:shd w:val="clear" w:color="auto" w:fill="auto"/>
            <w:vAlign w:val="center"/>
          </w:tcPr>
          <w:p w14:paraId="1896979C">
            <w:pPr>
              <w:snapToGrid w:val="0"/>
              <w:jc w:val="center"/>
              <w:rPr>
                <w:rFonts w:ascii="Times New Roman"/>
                <w:sz w:val="21"/>
                <w:szCs w:val="21"/>
              </w:rPr>
            </w:pPr>
            <w:r>
              <w:rPr>
                <w:rFonts w:hint="eastAsia" w:ascii="Times New Roman"/>
                <w:sz w:val="21"/>
                <w:szCs w:val="21"/>
              </w:rPr>
              <w:t>0.014</w:t>
            </w:r>
          </w:p>
        </w:tc>
        <w:tc>
          <w:tcPr>
            <w:tcW w:w="386" w:type="pct"/>
            <w:tcBorders>
              <w:top w:val="single" w:color="auto" w:sz="4" w:space="0"/>
              <w:bottom w:val="single" w:color="auto" w:sz="4" w:space="0"/>
            </w:tcBorders>
            <w:shd w:val="clear" w:color="auto" w:fill="auto"/>
            <w:vAlign w:val="center"/>
          </w:tcPr>
          <w:p w14:paraId="0412D62B">
            <w:pPr>
              <w:jc w:val="center"/>
              <w:rPr>
                <w:rFonts w:ascii="Times New Roman" w:eastAsia="Times New Roman"/>
                <w:sz w:val="21"/>
                <w:szCs w:val="21"/>
              </w:rPr>
            </w:pPr>
            <w:r>
              <w:rPr>
                <w:rFonts w:hint="eastAsia" w:ascii="Times New Roman" w:eastAsia="Times New Roman"/>
                <w:sz w:val="21"/>
                <w:szCs w:val="21"/>
              </w:rPr>
              <w:t>10</w:t>
            </w:r>
          </w:p>
        </w:tc>
      </w:tr>
      <w:tr w14:paraId="63758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 w:hRule="atLeast"/>
          <w:jc w:val="center"/>
        </w:trPr>
        <w:tc>
          <w:tcPr>
            <w:tcW w:w="440" w:type="pct"/>
            <w:vMerge w:val="continue"/>
            <w:vAlign w:val="center"/>
          </w:tcPr>
          <w:p w14:paraId="08BB2051">
            <w:pPr>
              <w:jc w:val="center"/>
              <w:rPr>
                <w:rFonts w:ascii="Times New Roman"/>
                <w:sz w:val="21"/>
                <w:szCs w:val="21"/>
              </w:rPr>
            </w:pPr>
          </w:p>
        </w:tc>
        <w:tc>
          <w:tcPr>
            <w:tcW w:w="444" w:type="pct"/>
            <w:tcBorders>
              <w:top w:val="single" w:color="auto" w:sz="4" w:space="0"/>
              <w:bottom w:val="single" w:color="auto" w:sz="4" w:space="0"/>
            </w:tcBorders>
            <w:shd w:val="clear" w:color="auto" w:fill="auto"/>
            <w:vAlign w:val="center"/>
          </w:tcPr>
          <w:p w14:paraId="63A4A697">
            <w:pPr>
              <w:jc w:val="center"/>
              <w:rPr>
                <w:rFonts w:ascii="Times New Roman" w:eastAsia="Times New Roman"/>
                <w:sz w:val="21"/>
                <w:szCs w:val="21"/>
              </w:rPr>
            </w:pPr>
            <w:r>
              <w:rPr>
                <w:rFonts w:ascii="Times New Roman" w:eastAsia="Times New Roman"/>
                <w:sz w:val="21"/>
                <w:szCs w:val="21"/>
              </w:rPr>
              <w:t>NO</w:t>
            </w:r>
            <w:r>
              <w:rPr>
                <w:rFonts w:ascii="Times New Roman" w:eastAsia="Times New Roman"/>
                <w:sz w:val="21"/>
                <w:szCs w:val="21"/>
                <w:vertAlign w:val="subscript"/>
              </w:rPr>
              <w:t>X</w:t>
            </w:r>
          </w:p>
        </w:tc>
        <w:tc>
          <w:tcPr>
            <w:tcW w:w="437" w:type="pct"/>
            <w:vMerge w:val="continue"/>
            <w:vAlign w:val="center"/>
          </w:tcPr>
          <w:p w14:paraId="05DBE9CF">
            <w:pPr>
              <w:jc w:val="center"/>
              <w:rPr>
                <w:rFonts w:ascii="Times New Roman"/>
                <w:sz w:val="21"/>
                <w:szCs w:val="21"/>
              </w:rPr>
            </w:pPr>
          </w:p>
        </w:tc>
        <w:tc>
          <w:tcPr>
            <w:tcW w:w="405" w:type="pct"/>
            <w:tcBorders>
              <w:top w:val="single" w:color="auto" w:sz="4" w:space="0"/>
              <w:bottom w:val="single" w:color="auto" w:sz="4" w:space="0"/>
            </w:tcBorders>
            <w:shd w:val="clear" w:color="auto" w:fill="auto"/>
            <w:vAlign w:val="center"/>
          </w:tcPr>
          <w:p w14:paraId="32DD7D79">
            <w:pPr>
              <w:snapToGrid w:val="0"/>
              <w:jc w:val="center"/>
              <w:rPr>
                <w:rFonts w:ascii="Times New Roman"/>
                <w:sz w:val="21"/>
                <w:szCs w:val="21"/>
              </w:rPr>
            </w:pPr>
            <w:r>
              <w:rPr>
                <w:rFonts w:ascii="Times New Roman"/>
                <w:sz w:val="21"/>
                <w:szCs w:val="21"/>
              </w:rPr>
              <w:t>28.120</w:t>
            </w:r>
          </w:p>
        </w:tc>
        <w:tc>
          <w:tcPr>
            <w:tcW w:w="370" w:type="pct"/>
            <w:tcBorders>
              <w:top w:val="single" w:color="auto" w:sz="4" w:space="0"/>
              <w:bottom w:val="single" w:color="auto" w:sz="4" w:space="0"/>
            </w:tcBorders>
            <w:shd w:val="clear" w:color="auto" w:fill="auto"/>
            <w:vAlign w:val="center"/>
          </w:tcPr>
          <w:p w14:paraId="458990AB">
            <w:pPr>
              <w:snapToGrid w:val="0"/>
              <w:jc w:val="center"/>
              <w:rPr>
                <w:rFonts w:ascii="Times New Roman"/>
                <w:sz w:val="21"/>
                <w:szCs w:val="21"/>
              </w:rPr>
            </w:pPr>
            <w:r>
              <w:rPr>
                <w:rFonts w:hint="eastAsia" w:ascii="Times New Roman"/>
                <w:sz w:val="21"/>
                <w:szCs w:val="21"/>
              </w:rPr>
              <w:t>0.072</w:t>
            </w:r>
          </w:p>
        </w:tc>
        <w:tc>
          <w:tcPr>
            <w:tcW w:w="406" w:type="pct"/>
            <w:tcBorders>
              <w:top w:val="single" w:color="auto" w:sz="4" w:space="0"/>
              <w:bottom w:val="single" w:color="auto" w:sz="4" w:space="0"/>
            </w:tcBorders>
            <w:shd w:val="clear" w:color="auto" w:fill="auto"/>
            <w:vAlign w:val="center"/>
          </w:tcPr>
          <w:p w14:paraId="11F9FCE1">
            <w:pPr>
              <w:snapToGrid w:val="0"/>
              <w:jc w:val="center"/>
              <w:rPr>
                <w:rFonts w:ascii="Times New Roman"/>
                <w:sz w:val="21"/>
                <w:szCs w:val="21"/>
              </w:rPr>
            </w:pPr>
            <w:r>
              <w:rPr>
                <w:rFonts w:hint="eastAsia" w:ascii="Times New Roman"/>
                <w:sz w:val="21"/>
                <w:szCs w:val="21"/>
              </w:rPr>
              <w:t>0.108</w:t>
            </w:r>
          </w:p>
        </w:tc>
        <w:tc>
          <w:tcPr>
            <w:tcW w:w="298" w:type="pct"/>
            <w:vMerge w:val="continue"/>
            <w:vAlign w:val="center"/>
          </w:tcPr>
          <w:p w14:paraId="21C066C9">
            <w:pPr>
              <w:jc w:val="center"/>
              <w:rPr>
                <w:rFonts w:ascii="Times New Roman"/>
                <w:sz w:val="21"/>
                <w:szCs w:val="21"/>
              </w:rPr>
            </w:pPr>
          </w:p>
        </w:tc>
        <w:tc>
          <w:tcPr>
            <w:tcW w:w="358" w:type="pct"/>
            <w:vMerge w:val="continue"/>
            <w:vAlign w:val="center"/>
          </w:tcPr>
          <w:p w14:paraId="2ABFAD45">
            <w:pPr>
              <w:jc w:val="center"/>
              <w:rPr>
                <w:rFonts w:ascii="Times New Roman"/>
                <w:sz w:val="21"/>
                <w:szCs w:val="21"/>
              </w:rPr>
            </w:pPr>
          </w:p>
        </w:tc>
        <w:tc>
          <w:tcPr>
            <w:tcW w:w="300" w:type="pct"/>
            <w:tcBorders>
              <w:top w:val="single" w:color="auto" w:sz="4" w:space="0"/>
              <w:bottom w:val="single" w:color="auto" w:sz="4" w:space="0"/>
            </w:tcBorders>
            <w:shd w:val="clear" w:color="auto" w:fill="auto"/>
            <w:vAlign w:val="center"/>
          </w:tcPr>
          <w:p w14:paraId="4E27F126">
            <w:pPr>
              <w:jc w:val="center"/>
              <w:rPr>
                <w:rFonts w:ascii="Times New Roman"/>
                <w:sz w:val="21"/>
                <w:szCs w:val="21"/>
              </w:rPr>
            </w:pPr>
            <w:r>
              <w:rPr>
                <w:rFonts w:hint="eastAsia" w:ascii="Times New Roman"/>
                <w:sz w:val="21"/>
                <w:szCs w:val="21"/>
              </w:rPr>
              <w:t>/</w:t>
            </w:r>
          </w:p>
        </w:tc>
        <w:tc>
          <w:tcPr>
            <w:tcW w:w="386" w:type="pct"/>
            <w:tcBorders>
              <w:top w:val="single" w:color="auto" w:sz="4" w:space="0"/>
              <w:bottom w:val="single" w:color="auto" w:sz="4" w:space="0"/>
            </w:tcBorders>
            <w:shd w:val="clear" w:color="auto" w:fill="auto"/>
            <w:vAlign w:val="center"/>
          </w:tcPr>
          <w:p w14:paraId="616CE1D9">
            <w:pPr>
              <w:snapToGrid w:val="0"/>
              <w:jc w:val="center"/>
              <w:rPr>
                <w:rFonts w:ascii="Times New Roman"/>
                <w:sz w:val="21"/>
                <w:szCs w:val="21"/>
              </w:rPr>
            </w:pPr>
            <w:r>
              <w:rPr>
                <w:rFonts w:ascii="Times New Roman"/>
                <w:sz w:val="21"/>
                <w:szCs w:val="21"/>
              </w:rPr>
              <w:t>28.120</w:t>
            </w:r>
          </w:p>
        </w:tc>
        <w:tc>
          <w:tcPr>
            <w:tcW w:w="377" w:type="pct"/>
            <w:tcBorders>
              <w:top w:val="single" w:color="auto" w:sz="4" w:space="0"/>
              <w:bottom w:val="single" w:color="auto" w:sz="4" w:space="0"/>
            </w:tcBorders>
            <w:shd w:val="clear" w:color="auto" w:fill="auto"/>
            <w:vAlign w:val="center"/>
          </w:tcPr>
          <w:p w14:paraId="0830FBBC">
            <w:pPr>
              <w:snapToGrid w:val="0"/>
              <w:jc w:val="center"/>
              <w:rPr>
                <w:rFonts w:ascii="Times New Roman"/>
                <w:sz w:val="21"/>
                <w:szCs w:val="21"/>
              </w:rPr>
            </w:pPr>
            <w:r>
              <w:rPr>
                <w:rFonts w:hint="eastAsia" w:ascii="Times New Roman"/>
                <w:sz w:val="21"/>
                <w:szCs w:val="21"/>
              </w:rPr>
              <w:t>0.072</w:t>
            </w:r>
          </w:p>
        </w:tc>
        <w:tc>
          <w:tcPr>
            <w:tcW w:w="389" w:type="pct"/>
            <w:tcBorders>
              <w:top w:val="single" w:color="auto" w:sz="4" w:space="0"/>
              <w:bottom w:val="single" w:color="auto" w:sz="4" w:space="0"/>
            </w:tcBorders>
            <w:shd w:val="clear" w:color="auto" w:fill="auto"/>
            <w:vAlign w:val="center"/>
          </w:tcPr>
          <w:p w14:paraId="087623CB">
            <w:pPr>
              <w:snapToGrid w:val="0"/>
              <w:jc w:val="center"/>
              <w:rPr>
                <w:rFonts w:ascii="Times New Roman"/>
                <w:sz w:val="21"/>
                <w:szCs w:val="21"/>
              </w:rPr>
            </w:pPr>
            <w:r>
              <w:rPr>
                <w:rFonts w:hint="eastAsia" w:ascii="Times New Roman"/>
                <w:sz w:val="21"/>
                <w:szCs w:val="21"/>
              </w:rPr>
              <w:t>0.108</w:t>
            </w:r>
          </w:p>
        </w:tc>
        <w:tc>
          <w:tcPr>
            <w:tcW w:w="386" w:type="pct"/>
            <w:tcBorders>
              <w:top w:val="single" w:color="auto" w:sz="4" w:space="0"/>
              <w:bottom w:val="single" w:color="auto" w:sz="4" w:space="0"/>
            </w:tcBorders>
            <w:shd w:val="clear" w:color="auto" w:fill="auto"/>
            <w:vAlign w:val="center"/>
          </w:tcPr>
          <w:p w14:paraId="48619962">
            <w:pPr>
              <w:jc w:val="center"/>
              <w:rPr>
                <w:rFonts w:ascii="Times New Roman" w:eastAsia="Times New Roman"/>
                <w:sz w:val="21"/>
                <w:szCs w:val="21"/>
              </w:rPr>
            </w:pPr>
            <w:r>
              <w:rPr>
                <w:rFonts w:hint="eastAsia" w:ascii="Times New Roman" w:eastAsia="Times New Roman"/>
                <w:sz w:val="21"/>
                <w:szCs w:val="21"/>
              </w:rPr>
              <w:t>50</w:t>
            </w:r>
          </w:p>
        </w:tc>
      </w:tr>
      <w:tr w14:paraId="78DD7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440" w:type="pct"/>
            <w:vMerge w:val="continue"/>
            <w:vAlign w:val="center"/>
          </w:tcPr>
          <w:p w14:paraId="13CBE8C8">
            <w:pPr>
              <w:jc w:val="center"/>
              <w:rPr>
                <w:rFonts w:ascii="Times New Roman"/>
                <w:sz w:val="21"/>
                <w:szCs w:val="21"/>
              </w:rPr>
            </w:pPr>
          </w:p>
        </w:tc>
        <w:tc>
          <w:tcPr>
            <w:tcW w:w="444" w:type="pct"/>
            <w:tcBorders>
              <w:top w:val="single" w:color="auto" w:sz="4" w:space="0"/>
            </w:tcBorders>
            <w:shd w:val="clear" w:color="auto" w:fill="auto"/>
            <w:vAlign w:val="center"/>
          </w:tcPr>
          <w:p w14:paraId="5E2BF2CE">
            <w:pPr>
              <w:jc w:val="center"/>
              <w:rPr>
                <w:rFonts w:ascii="Times New Roman"/>
                <w:sz w:val="21"/>
                <w:szCs w:val="21"/>
              </w:rPr>
            </w:pPr>
            <w:r>
              <w:rPr>
                <w:rFonts w:hint="eastAsia" w:ascii="Times New Roman"/>
                <w:sz w:val="21"/>
                <w:szCs w:val="21"/>
              </w:rPr>
              <w:t>烟气黑度</w:t>
            </w:r>
          </w:p>
        </w:tc>
        <w:tc>
          <w:tcPr>
            <w:tcW w:w="437" w:type="pct"/>
            <w:vMerge w:val="continue"/>
            <w:vAlign w:val="center"/>
          </w:tcPr>
          <w:p w14:paraId="7560669D">
            <w:pPr>
              <w:jc w:val="center"/>
              <w:rPr>
                <w:rFonts w:ascii="Times New Roman"/>
                <w:sz w:val="21"/>
                <w:szCs w:val="21"/>
              </w:rPr>
            </w:pPr>
          </w:p>
        </w:tc>
        <w:tc>
          <w:tcPr>
            <w:tcW w:w="405" w:type="pct"/>
            <w:tcBorders>
              <w:top w:val="single" w:color="auto" w:sz="4" w:space="0"/>
            </w:tcBorders>
            <w:shd w:val="clear" w:color="auto" w:fill="auto"/>
            <w:vAlign w:val="center"/>
          </w:tcPr>
          <w:p w14:paraId="0BA0CBA5">
            <w:pPr>
              <w:jc w:val="center"/>
              <w:rPr>
                <w:rFonts w:ascii="Times New Roman"/>
                <w:sz w:val="21"/>
                <w:szCs w:val="21"/>
                <w:lang w:bidi="zh-TW"/>
              </w:rPr>
            </w:pPr>
            <w:r>
              <w:rPr>
                <w:rFonts w:hint="eastAsia" w:ascii="Times New Roman"/>
                <w:sz w:val="21"/>
                <w:szCs w:val="21"/>
                <w:lang w:bidi="zh-TW"/>
              </w:rPr>
              <w:t>＜</w:t>
            </w:r>
            <w:r>
              <w:rPr>
                <w:rFonts w:ascii="Times New Roman"/>
                <w:sz w:val="21"/>
                <w:szCs w:val="21"/>
              </w:rPr>
              <w:t>1级</w:t>
            </w:r>
          </w:p>
        </w:tc>
        <w:tc>
          <w:tcPr>
            <w:tcW w:w="370" w:type="pct"/>
            <w:tcBorders>
              <w:top w:val="single" w:color="auto" w:sz="4" w:space="0"/>
            </w:tcBorders>
            <w:shd w:val="clear" w:color="auto" w:fill="auto"/>
            <w:vAlign w:val="center"/>
          </w:tcPr>
          <w:p w14:paraId="789BFD5E">
            <w:pPr>
              <w:jc w:val="center"/>
              <w:rPr>
                <w:rFonts w:ascii="Times New Roman"/>
                <w:sz w:val="21"/>
                <w:szCs w:val="21"/>
                <w:lang w:bidi="zh-TW"/>
              </w:rPr>
            </w:pPr>
            <w:r>
              <w:rPr>
                <w:rFonts w:ascii="Times New Roman"/>
                <w:sz w:val="21"/>
                <w:szCs w:val="21"/>
                <w:lang w:bidi="zh-TW"/>
              </w:rPr>
              <w:t>/</w:t>
            </w:r>
          </w:p>
        </w:tc>
        <w:tc>
          <w:tcPr>
            <w:tcW w:w="406" w:type="pct"/>
            <w:tcBorders>
              <w:top w:val="single" w:color="auto" w:sz="4" w:space="0"/>
            </w:tcBorders>
            <w:shd w:val="clear" w:color="auto" w:fill="auto"/>
            <w:vAlign w:val="center"/>
          </w:tcPr>
          <w:p w14:paraId="70D7344D">
            <w:pPr>
              <w:jc w:val="center"/>
              <w:rPr>
                <w:rFonts w:ascii="Times New Roman"/>
                <w:sz w:val="21"/>
                <w:szCs w:val="21"/>
                <w:lang w:bidi="zh-TW"/>
              </w:rPr>
            </w:pPr>
            <w:r>
              <w:rPr>
                <w:rFonts w:ascii="Times New Roman"/>
                <w:sz w:val="21"/>
                <w:szCs w:val="21"/>
                <w:lang w:bidi="zh-TW"/>
              </w:rPr>
              <w:t>/</w:t>
            </w:r>
          </w:p>
        </w:tc>
        <w:tc>
          <w:tcPr>
            <w:tcW w:w="298" w:type="pct"/>
            <w:vMerge w:val="continue"/>
            <w:vAlign w:val="center"/>
          </w:tcPr>
          <w:p w14:paraId="0C6FB43D">
            <w:pPr>
              <w:jc w:val="center"/>
              <w:rPr>
                <w:rFonts w:ascii="Times New Roman"/>
                <w:sz w:val="21"/>
                <w:szCs w:val="21"/>
              </w:rPr>
            </w:pPr>
          </w:p>
        </w:tc>
        <w:tc>
          <w:tcPr>
            <w:tcW w:w="358" w:type="pct"/>
            <w:vMerge w:val="continue"/>
            <w:vAlign w:val="center"/>
          </w:tcPr>
          <w:p w14:paraId="4926CAB9">
            <w:pPr>
              <w:jc w:val="center"/>
              <w:rPr>
                <w:rFonts w:ascii="Times New Roman"/>
                <w:sz w:val="21"/>
                <w:szCs w:val="21"/>
              </w:rPr>
            </w:pPr>
          </w:p>
        </w:tc>
        <w:tc>
          <w:tcPr>
            <w:tcW w:w="300" w:type="pct"/>
            <w:tcBorders>
              <w:top w:val="single" w:color="auto" w:sz="4" w:space="0"/>
            </w:tcBorders>
            <w:shd w:val="clear" w:color="auto" w:fill="auto"/>
            <w:vAlign w:val="center"/>
          </w:tcPr>
          <w:p w14:paraId="5E6FF495">
            <w:pPr>
              <w:jc w:val="center"/>
              <w:rPr>
                <w:rFonts w:ascii="Times New Roman"/>
                <w:sz w:val="21"/>
                <w:szCs w:val="21"/>
              </w:rPr>
            </w:pPr>
            <w:r>
              <w:rPr>
                <w:rFonts w:ascii="Times New Roman"/>
                <w:sz w:val="21"/>
                <w:szCs w:val="21"/>
              </w:rPr>
              <w:t>/</w:t>
            </w:r>
          </w:p>
        </w:tc>
        <w:tc>
          <w:tcPr>
            <w:tcW w:w="386" w:type="pct"/>
            <w:tcBorders>
              <w:top w:val="single" w:color="auto" w:sz="4" w:space="0"/>
            </w:tcBorders>
            <w:shd w:val="clear" w:color="auto" w:fill="auto"/>
            <w:vAlign w:val="center"/>
          </w:tcPr>
          <w:p w14:paraId="5A14DCCB">
            <w:pPr>
              <w:jc w:val="center"/>
              <w:rPr>
                <w:rFonts w:ascii="Times New Roman"/>
                <w:sz w:val="21"/>
                <w:szCs w:val="21"/>
                <w:lang w:bidi="zh-TW"/>
              </w:rPr>
            </w:pPr>
            <w:r>
              <w:rPr>
                <w:rFonts w:hint="eastAsia" w:ascii="Times New Roman"/>
                <w:sz w:val="21"/>
                <w:szCs w:val="21"/>
                <w:lang w:bidi="zh-TW"/>
              </w:rPr>
              <w:t>＜</w:t>
            </w:r>
            <w:r>
              <w:rPr>
                <w:rFonts w:ascii="Times New Roman"/>
                <w:sz w:val="21"/>
                <w:szCs w:val="21"/>
              </w:rPr>
              <w:t>1级</w:t>
            </w:r>
          </w:p>
        </w:tc>
        <w:tc>
          <w:tcPr>
            <w:tcW w:w="377" w:type="pct"/>
            <w:tcBorders>
              <w:top w:val="single" w:color="auto" w:sz="4" w:space="0"/>
            </w:tcBorders>
            <w:shd w:val="clear" w:color="auto" w:fill="auto"/>
            <w:vAlign w:val="center"/>
          </w:tcPr>
          <w:p w14:paraId="274E2F15">
            <w:pPr>
              <w:jc w:val="center"/>
              <w:rPr>
                <w:rFonts w:ascii="Times New Roman"/>
                <w:sz w:val="21"/>
                <w:szCs w:val="21"/>
                <w:lang w:bidi="zh-TW"/>
              </w:rPr>
            </w:pPr>
            <w:r>
              <w:rPr>
                <w:rFonts w:ascii="Times New Roman"/>
                <w:sz w:val="21"/>
                <w:szCs w:val="21"/>
                <w:lang w:bidi="zh-TW"/>
              </w:rPr>
              <w:t>/</w:t>
            </w:r>
          </w:p>
        </w:tc>
        <w:tc>
          <w:tcPr>
            <w:tcW w:w="389" w:type="pct"/>
            <w:tcBorders>
              <w:top w:val="single" w:color="auto" w:sz="4" w:space="0"/>
            </w:tcBorders>
            <w:shd w:val="clear" w:color="auto" w:fill="auto"/>
            <w:vAlign w:val="center"/>
          </w:tcPr>
          <w:p w14:paraId="522C4E01">
            <w:pPr>
              <w:jc w:val="center"/>
              <w:rPr>
                <w:rFonts w:ascii="Times New Roman"/>
                <w:sz w:val="21"/>
                <w:szCs w:val="21"/>
                <w:lang w:bidi="zh-TW"/>
              </w:rPr>
            </w:pPr>
            <w:r>
              <w:rPr>
                <w:rFonts w:ascii="Times New Roman"/>
                <w:sz w:val="21"/>
                <w:szCs w:val="21"/>
                <w:lang w:bidi="zh-TW"/>
              </w:rPr>
              <w:t>/</w:t>
            </w:r>
          </w:p>
        </w:tc>
        <w:tc>
          <w:tcPr>
            <w:tcW w:w="386" w:type="pct"/>
            <w:tcBorders>
              <w:top w:val="single" w:color="auto" w:sz="4" w:space="0"/>
            </w:tcBorders>
            <w:shd w:val="clear" w:color="auto" w:fill="auto"/>
            <w:vAlign w:val="center"/>
          </w:tcPr>
          <w:p w14:paraId="26A4739C">
            <w:pPr>
              <w:jc w:val="center"/>
              <w:rPr>
                <w:rFonts w:ascii="Times New Roman"/>
                <w:sz w:val="21"/>
                <w:szCs w:val="21"/>
              </w:rPr>
            </w:pPr>
            <w:r>
              <w:rPr>
                <w:rFonts w:hint="eastAsia" w:ascii="Times New Roman"/>
                <w:sz w:val="21"/>
                <w:szCs w:val="21"/>
                <w:lang w:bidi="zh-TW"/>
              </w:rPr>
              <w:t>＜</w:t>
            </w:r>
            <w:r>
              <w:rPr>
                <w:rFonts w:ascii="Times New Roman"/>
                <w:sz w:val="21"/>
                <w:szCs w:val="21"/>
              </w:rPr>
              <w:t>1级</w:t>
            </w:r>
          </w:p>
        </w:tc>
      </w:tr>
      <w:tr w14:paraId="2992E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Align w:val="center"/>
          </w:tcPr>
          <w:p w14:paraId="379F20C8">
            <w:pPr>
              <w:jc w:val="center"/>
              <w:rPr>
                <w:rFonts w:ascii="Times New Roman"/>
                <w:sz w:val="21"/>
                <w:szCs w:val="21"/>
              </w:rPr>
            </w:pPr>
            <w:r>
              <w:rPr>
                <w:rFonts w:ascii="Times New Roman"/>
                <w:sz w:val="21"/>
                <w:szCs w:val="21"/>
              </w:rPr>
              <w:t>喷塑废气(DA00</w:t>
            </w:r>
            <w:r>
              <w:rPr>
                <w:rFonts w:hint="eastAsia" w:ascii="Times New Roman"/>
                <w:sz w:val="21"/>
                <w:szCs w:val="21"/>
              </w:rPr>
              <w:t>9</w:t>
            </w:r>
            <w:r>
              <w:rPr>
                <w:rFonts w:ascii="Times New Roman"/>
                <w:sz w:val="21"/>
                <w:szCs w:val="21"/>
              </w:rPr>
              <w:t>)</w:t>
            </w:r>
          </w:p>
        </w:tc>
        <w:tc>
          <w:tcPr>
            <w:tcW w:w="444" w:type="pct"/>
            <w:vAlign w:val="center"/>
          </w:tcPr>
          <w:p w14:paraId="2C3AC650">
            <w:pPr>
              <w:jc w:val="center"/>
              <w:rPr>
                <w:rFonts w:ascii="Times New Roman"/>
                <w:sz w:val="21"/>
                <w:szCs w:val="21"/>
              </w:rPr>
            </w:pPr>
            <w:r>
              <w:rPr>
                <w:rFonts w:ascii="Times New Roman"/>
                <w:sz w:val="21"/>
                <w:szCs w:val="21"/>
              </w:rPr>
              <w:t>颗粒物</w:t>
            </w:r>
          </w:p>
        </w:tc>
        <w:tc>
          <w:tcPr>
            <w:tcW w:w="437" w:type="pct"/>
            <w:vAlign w:val="center"/>
          </w:tcPr>
          <w:p w14:paraId="1CAB1988">
            <w:pPr>
              <w:jc w:val="center"/>
              <w:rPr>
                <w:rFonts w:ascii="Times New Roman"/>
                <w:sz w:val="21"/>
                <w:szCs w:val="21"/>
              </w:rPr>
            </w:pPr>
            <w:r>
              <w:rPr>
                <w:rFonts w:ascii="Times New Roman"/>
                <w:sz w:val="21"/>
                <w:szCs w:val="21"/>
              </w:rPr>
              <w:t>15000</w:t>
            </w:r>
          </w:p>
        </w:tc>
        <w:tc>
          <w:tcPr>
            <w:tcW w:w="405" w:type="pct"/>
            <w:vAlign w:val="center"/>
          </w:tcPr>
          <w:p w14:paraId="4C50BC7C">
            <w:pPr>
              <w:jc w:val="center"/>
              <w:rPr>
                <w:rFonts w:ascii="Times New Roman"/>
                <w:sz w:val="21"/>
                <w:szCs w:val="21"/>
              </w:rPr>
            </w:pPr>
            <w:r>
              <w:rPr>
                <w:rFonts w:ascii="Times New Roman"/>
                <w:sz w:val="21"/>
                <w:szCs w:val="21"/>
              </w:rPr>
              <w:t>833.333</w:t>
            </w:r>
          </w:p>
        </w:tc>
        <w:tc>
          <w:tcPr>
            <w:tcW w:w="370" w:type="pct"/>
            <w:vAlign w:val="center"/>
          </w:tcPr>
          <w:p w14:paraId="666897E0">
            <w:pPr>
              <w:jc w:val="center"/>
              <w:rPr>
                <w:rFonts w:ascii="Times New Roman"/>
                <w:sz w:val="21"/>
                <w:szCs w:val="21"/>
              </w:rPr>
            </w:pPr>
            <w:r>
              <w:rPr>
                <w:rFonts w:ascii="Times New Roman"/>
                <w:sz w:val="21"/>
                <w:szCs w:val="21"/>
              </w:rPr>
              <w:t>12.5</w:t>
            </w:r>
          </w:p>
        </w:tc>
        <w:tc>
          <w:tcPr>
            <w:tcW w:w="406" w:type="pct"/>
            <w:vAlign w:val="center"/>
          </w:tcPr>
          <w:p w14:paraId="2A0D9FCD">
            <w:pPr>
              <w:jc w:val="center"/>
              <w:rPr>
                <w:rFonts w:ascii="Times New Roman"/>
                <w:sz w:val="21"/>
                <w:szCs w:val="21"/>
              </w:rPr>
            </w:pPr>
            <w:r>
              <w:rPr>
                <w:rFonts w:ascii="Times New Roman"/>
                <w:sz w:val="21"/>
                <w:szCs w:val="21"/>
              </w:rPr>
              <w:t>90</w:t>
            </w:r>
          </w:p>
        </w:tc>
        <w:tc>
          <w:tcPr>
            <w:tcW w:w="298" w:type="pct"/>
            <w:vAlign w:val="center"/>
          </w:tcPr>
          <w:p w14:paraId="2B751E5E">
            <w:pPr>
              <w:jc w:val="center"/>
              <w:rPr>
                <w:rFonts w:ascii="Times New Roman"/>
                <w:sz w:val="21"/>
                <w:szCs w:val="21"/>
              </w:rPr>
            </w:pPr>
            <w:r>
              <w:rPr>
                <w:rFonts w:ascii="Times New Roman"/>
                <w:sz w:val="21"/>
                <w:szCs w:val="21"/>
              </w:rPr>
              <w:t>95</w:t>
            </w:r>
          </w:p>
        </w:tc>
        <w:tc>
          <w:tcPr>
            <w:tcW w:w="358" w:type="pct"/>
            <w:vAlign w:val="center"/>
          </w:tcPr>
          <w:p w14:paraId="41385716">
            <w:pPr>
              <w:jc w:val="center"/>
              <w:rPr>
                <w:rFonts w:ascii="Times New Roman"/>
                <w:sz w:val="21"/>
                <w:szCs w:val="21"/>
              </w:rPr>
            </w:pPr>
            <w:r>
              <w:rPr>
                <w:rFonts w:ascii="Times New Roman"/>
                <w:sz w:val="21"/>
                <w:szCs w:val="21"/>
              </w:rPr>
              <w:t>滤筒除尘器</w:t>
            </w:r>
          </w:p>
        </w:tc>
        <w:tc>
          <w:tcPr>
            <w:tcW w:w="300" w:type="pct"/>
            <w:vAlign w:val="center"/>
          </w:tcPr>
          <w:p w14:paraId="785DA79F">
            <w:pPr>
              <w:jc w:val="center"/>
              <w:rPr>
                <w:rFonts w:ascii="Times New Roman"/>
                <w:sz w:val="21"/>
                <w:szCs w:val="21"/>
              </w:rPr>
            </w:pPr>
            <w:r>
              <w:rPr>
                <w:rFonts w:ascii="Times New Roman"/>
                <w:sz w:val="21"/>
                <w:szCs w:val="21"/>
              </w:rPr>
              <w:t>50</w:t>
            </w:r>
          </w:p>
        </w:tc>
        <w:tc>
          <w:tcPr>
            <w:tcW w:w="386" w:type="pct"/>
            <w:vAlign w:val="center"/>
          </w:tcPr>
          <w:p w14:paraId="71503426">
            <w:pPr>
              <w:jc w:val="center"/>
              <w:rPr>
                <w:rFonts w:ascii="Times New Roman"/>
                <w:sz w:val="21"/>
                <w:szCs w:val="21"/>
              </w:rPr>
            </w:pPr>
            <w:r>
              <w:rPr>
                <w:rFonts w:hint="eastAsia" w:ascii="Times New Roman"/>
                <w:sz w:val="21"/>
                <w:szCs w:val="21"/>
              </w:rPr>
              <w:t>395.833</w:t>
            </w:r>
          </w:p>
        </w:tc>
        <w:tc>
          <w:tcPr>
            <w:tcW w:w="377" w:type="pct"/>
            <w:vAlign w:val="center"/>
          </w:tcPr>
          <w:p w14:paraId="6CE4B4BB">
            <w:pPr>
              <w:jc w:val="center"/>
              <w:rPr>
                <w:rFonts w:ascii="Times New Roman"/>
                <w:sz w:val="21"/>
                <w:szCs w:val="21"/>
              </w:rPr>
            </w:pPr>
            <w:r>
              <w:rPr>
                <w:rFonts w:hint="eastAsia" w:ascii="Times New Roman"/>
                <w:sz w:val="21"/>
                <w:szCs w:val="21"/>
              </w:rPr>
              <w:t>5.938</w:t>
            </w:r>
          </w:p>
        </w:tc>
        <w:tc>
          <w:tcPr>
            <w:tcW w:w="389" w:type="pct"/>
            <w:vAlign w:val="center"/>
          </w:tcPr>
          <w:p w14:paraId="7FE6BD0D">
            <w:pPr>
              <w:jc w:val="center"/>
              <w:rPr>
                <w:rFonts w:ascii="Times New Roman"/>
                <w:sz w:val="21"/>
                <w:szCs w:val="21"/>
              </w:rPr>
            </w:pPr>
            <w:r>
              <w:rPr>
                <w:rFonts w:hint="eastAsia" w:ascii="Times New Roman"/>
                <w:sz w:val="21"/>
                <w:szCs w:val="21"/>
              </w:rPr>
              <w:t>42.750</w:t>
            </w:r>
          </w:p>
        </w:tc>
        <w:tc>
          <w:tcPr>
            <w:tcW w:w="386" w:type="pct"/>
            <w:shd w:val="clear" w:color="auto" w:fill="auto"/>
            <w:vAlign w:val="center"/>
          </w:tcPr>
          <w:p w14:paraId="1C509916">
            <w:pPr>
              <w:jc w:val="center"/>
              <w:rPr>
                <w:rFonts w:ascii="Times New Roman" w:eastAsia="Times New Roman"/>
                <w:sz w:val="21"/>
                <w:szCs w:val="21"/>
              </w:rPr>
            </w:pPr>
            <w:r>
              <w:rPr>
                <w:rFonts w:hint="eastAsia" w:ascii="Times New Roman" w:eastAsia="Times New Roman"/>
                <w:sz w:val="21"/>
                <w:szCs w:val="21"/>
              </w:rPr>
              <w:t>18</w:t>
            </w:r>
          </w:p>
        </w:tc>
      </w:tr>
      <w:tr w14:paraId="31587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restart"/>
            <w:vAlign w:val="center"/>
          </w:tcPr>
          <w:p w14:paraId="72F263DF">
            <w:pPr>
              <w:jc w:val="center"/>
              <w:rPr>
                <w:rFonts w:ascii="Times New Roman"/>
                <w:sz w:val="21"/>
                <w:szCs w:val="21"/>
              </w:rPr>
            </w:pPr>
            <w:r>
              <w:rPr>
                <w:rFonts w:ascii="Times New Roman"/>
                <w:kern w:val="0"/>
                <w:sz w:val="21"/>
                <w:szCs w:val="21"/>
              </w:rPr>
              <w:t>电泳、喷漆、流平、烘干固化、强冷</w:t>
            </w:r>
            <w:r>
              <w:rPr>
                <w:rFonts w:ascii="Times New Roman"/>
                <w:sz w:val="21"/>
                <w:szCs w:val="21"/>
              </w:rPr>
              <w:t>废气</w:t>
            </w:r>
          </w:p>
          <w:p w14:paraId="3650306A">
            <w:pPr>
              <w:jc w:val="center"/>
              <w:rPr>
                <w:rFonts w:ascii="Times New Roman"/>
                <w:sz w:val="21"/>
                <w:szCs w:val="21"/>
              </w:rPr>
            </w:pPr>
            <w:r>
              <w:rPr>
                <w:rFonts w:ascii="Times New Roman"/>
                <w:sz w:val="21"/>
                <w:szCs w:val="21"/>
              </w:rPr>
              <w:t>(DA0</w:t>
            </w:r>
            <w:r>
              <w:rPr>
                <w:rFonts w:hint="eastAsia" w:ascii="Times New Roman"/>
                <w:sz w:val="21"/>
                <w:szCs w:val="21"/>
              </w:rPr>
              <w:t>11</w:t>
            </w:r>
            <w:r>
              <w:rPr>
                <w:rFonts w:ascii="Times New Roman"/>
                <w:sz w:val="21"/>
                <w:szCs w:val="21"/>
              </w:rPr>
              <w:t>)</w:t>
            </w:r>
          </w:p>
        </w:tc>
        <w:tc>
          <w:tcPr>
            <w:tcW w:w="444" w:type="pct"/>
            <w:vAlign w:val="center"/>
          </w:tcPr>
          <w:p w14:paraId="39BA4061">
            <w:pPr>
              <w:jc w:val="center"/>
              <w:rPr>
                <w:rFonts w:ascii="Times New Roman"/>
                <w:sz w:val="21"/>
                <w:szCs w:val="21"/>
              </w:rPr>
            </w:pPr>
            <w:r>
              <w:rPr>
                <w:rFonts w:ascii="Times New Roman"/>
                <w:sz w:val="21"/>
                <w:szCs w:val="21"/>
              </w:rPr>
              <w:t>颗粒物</w:t>
            </w:r>
          </w:p>
        </w:tc>
        <w:tc>
          <w:tcPr>
            <w:tcW w:w="437" w:type="pct"/>
            <w:vMerge w:val="restart"/>
            <w:vAlign w:val="center"/>
          </w:tcPr>
          <w:p w14:paraId="2E1949E8">
            <w:pPr>
              <w:jc w:val="center"/>
              <w:rPr>
                <w:rFonts w:ascii="Times New Roman"/>
                <w:sz w:val="21"/>
                <w:szCs w:val="21"/>
              </w:rPr>
            </w:pPr>
            <w:r>
              <w:rPr>
                <w:rFonts w:ascii="Times New Roman"/>
                <w:sz w:val="21"/>
                <w:szCs w:val="21"/>
              </w:rPr>
              <w:t>232000</w:t>
            </w:r>
          </w:p>
        </w:tc>
        <w:tc>
          <w:tcPr>
            <w:tcW w:w="405" w:type="pct"/>
            <w:shd w:val="clear" w:color="auto" w:fill="auto"/>
            <w:vAlign w:val="center"/>
          </w:tcPr>
          <w:p w14:paraId="0DFBD706">
            <w:pPr>
              <w:jc w:val="center"/>
              <w:rPr>
                <w:rFonts w:ascii="Times New Roman"/>
                <w:sz w:val="21"/>
                <w:szCs w:val="21"/>
                <w:lang w:bidi="zh-TW"/>
              </w:rPr>
            </w:pPr>
            <w:r>
              <w:rPr>
                <w:rFonts w:ascii="Times New Roman"/>
                <w:sz w:val="21"/>
                <w:szCs w:val="21"/>
                <w:lang w:bidi="zh-TW"/>
              </w:rPr>
              <w:t>21.025</w:t>
            </w:r>
          </w:p>
        </w:tc>
        <w:tc>
          <w:tcPr>
            <w:tcW w:w="370" w:type="pct"/>
            <w:shd w:val="clear" w:color="auto" w:fill="auto"/>
            <w:vAlign w:val="center"/>
          </w:tcPr>
          <w:p w14:paraId="595FCFCD">
            <w:pPr>
              <w:jc w:val="center"/>
              <w:rPr>
                <w:rFonts w:ascii="Times New Roman"/>
                <w:sz w:val="21"/>
                <w:szCs w:val="21"/>
                <w:lang w:bidi="zh-TW"/>
              </w:rPr>
            </w:pPr>
            <w:r>
              <w:rPr>
                <w:rFonts w:ascii="Times New Roman"/>
                <w:sz w:val="21"/>
                <w:szCs w:val="21"/>
                <w:lang w:bidi="zh-TW"/>
              </w:rPr>
              <w:t>0.143</w:t>
            </w:r>
          </w:p>
        </w:tc>
        <w:tc>
          <w:tcPr>
            <w:tcW w:w="406" w:type="pct"/>
            <w:shd w:val="clear" w:color="auto" w:fill="auto"/>
            <w:vAlign w:val="center"/>
          </w:tcPr>
          <w:p w14:paraId="2E71E070">
            <w:pPr>
              <w:jc w:val="center"/>
              <w:rPr>
                <w:rFonts w:ascii="Times New Roman"/>
                <w:sz w:val="21"/>
                <w:szCs w:val="21"/>
                <w:lang w:bidi="zh-TW"/>
              </w:rPr>
            </w:pPr>
            <w:r>
              <w:rPr>
                <w:rFonts w:ascii="Times New Roman"/>
                <w:sz w:val="21"/>
                <w:szCs w:val="21"/>
              </w:rPr>
              <w:t>1.033</w:t>
            </w:r>
          </w:p>
        </w:tc>
        <w:tc>
          <w:tcPr>
            <w:tcW w:w="298" w:type="pct"/>
            <w:vAlign w:val="center"/>
          </w:tcPr>
          <w:p w14:paraId="020C3CB8">
            <w:pPr>
              <w:jc w:val="center"/>
              <w:rPr>
                <w:rFonts w:ascii="Times New Roman"/>
                <w:sz w:val="21"/>
                <w:szCs w:val="21"/>
              </w:rPr>
            </w:pPr>
            <w:r>
              <w:rPr>
                <w:rFonts w:ascii="Times New Roman"/>
                <w:sz w:val="21"/>
                <w:szCs w:val="21"/>
              </w:rPr>
              <w:t>95</w:t>
            </w:r>
          </w:p>
        </w:tc>
        <w:tc>
          <w:tcPr>
            <w:tcW w:w="358" w:type="pct"/>
            <w:vMerge w:val="restart"/>
            <w:vAlign w:val="center"/>
          </w:tcPr>
          <w:p w14:paraId="18DE766B">
            <w:pPr>
              <w:jc w:val="center"/>
              <w:rPr>
                <w:rFonts w:ascii="Times New Roman"/>
                <w:sz w:val="21"/>
                <w:szCs w:val="21"/>
              </w:rPr>
            </w:pPr>
            <w:r>
              <w:rPr>
                <w:rFonts w:ascii="Times New Roman"/>
                <w:kern w:val="0"/>
                <w:sz w:val="21"/>
                <w:szCs w:val="21"/>
              </w:rPr>
              <w:t>“4级干式过滤器+沸石轮转吸附+RTO焚烧装置”</w:t>
            </w:r>
          </w:p>
        </w:tc>
        <w:tc>
          <w:tcPr>
            <w:tcW w:w="300" w:type="pct"/>
            <w:vAlign w:val="center"/>
          </w:tcPr>
          <w:p w14:paraId="1EFC6302">
            <w:pPr>
              <w:jc w:val="center"/>
              <w:rPr>
                <w:rFonts w:ascii="Times New Roman"/>
                <w:sz w:val="21"/>
                <w:szCs w:val="21"/>
              </w:rPr>
            </w:pPr>
            <w:r>
              <w:rPr>
                <w:rFonts w:ascii="Times New Roman"/>
                <w:sz w:val="21"/>
                <w:szCs w:val="21"/>
              </w:rPr>
              <w:t>0</w:t>
            </w:r>
          </w:p>
        </w:tc>
        <w:tc>
          <w:tcPr>
            <w:tcW w:w="386" w:type="pct"/>
            <w:shd w:val="clear" w:color="auto" w:fill="auto"/>
            <w:vAlign w:val="center"/>
          </w:tcPr>
          <w:p w14:paraId="6E94BC97">
            <w:pPr>
              <w:jc w:val="center"/>
              <w:rPr>
                <w:rFonts w:ascii="Times New Roman"/>
                <w:sz w:val="21"/>
                <w:szCs w:val="21"/>
                <w:lang w:bidi="zh-TW"/>
              </w:rPr>
            </w:pPr>
            <w:r>
              <w:rPr>
                <w:rFonts w:ascii="Times New Roman"/>
                <w:sz w:val="21"/>
                <w:szCs w:val="21"/>
              </w:rPr>
              <w:t>27.405</w:t>
            </w:r>
          </w:p>
        </w:tc>
        <w:tc>
          <w:tcPr>
            <w:tcW w:w="377" w:type="pct"/>
            <w:shd w:val="clear" w:color="auto" w:fill="auto"/>
            <w:vAlign w:val="center"/>
          </w:tcPr>
          <w:p w14:paraId="2BB3DB1B">
            <w:pPr>
              <w:jc w:val="center"/>
              <w:rPr>
                <w:rFonts w:ascii="Times New Roman"/>
                <w:sz w:val="21"/>
                <w:szCs w:val="21"/>
                <w:lang w:bidi="zh-TW"/>
              </w:rPr>
            </w:pPr>
            <w:r>
              <w:rPr>
                <w:rFonts w:ascii="Times New Roman"/>
                <w:sz w:val="21"/>
                <w:szCs w:val="21"/>
              </w:rPr>
              <w:t>52.151</w:t>
            </w:r>
          </w:p>
        </w:tc>
        <w:tc>
          <w:tcPr>
            <w:tcW w:w="389" w:type="pct"/>
            <w:shd w:val="clear" w:color="auto" w:fill="auto"/>
            <w:vAlign w:val="center"/>
          </w:tcPr>
          <w:p w14:paraId="77CE6852">
            <w:pPr>
              <w:jc w:val="center"/>
              <w:rPr>
                <w:rFonts w:ascii="Times New Roman"/>
                <w:sz w:val="21"/>
                <w:szCs w:val="21"/>
                <w:lang w:bidi="zh-TW"/>
              </w:rPr>
            </w:pPr>
            <w:r>
              <w:rPr>
                <w:rFonts w:ascii="Times New Roman"/>
                <w:sz w:val="21"/>
                <w:szCs w:val="21"/>
              </w:rPr>
              <w:t>375.485</w:t>
            </w:r>
          </w:p>
        </w:tc>
        <w:tc>
          <w:tcPr>
            <w:tcW w:w="386" w:type="pct"/>
            <w:shd w:val="clear" w:color="auto" w:fill="auto"/>
            <w:vAlign w:val="center"/>
          </w:tcPr>
          <w:p w14:paraId="68E13F3D">
            <w:pPr>
              <w:jc w:val="center"/>
              <w:rPr>
                <w:rFonts w:ascii="Times New Roman" w:eastAsia="Times New Roman"/>
                <w:sz w:val="21"/>
                <w:szCs w:val="21"/>
              </w:rPr>
            </w:pPr>
            <w:r>
              <w:rPr>
                <w:rFonts w:ascii="Times New Roman" w:eastAsia="Times New Roman"/>
                <w:sz w:val="21"/>
                <w:szCs w:val="21"/>
              </w:rPr>
              <w:t>1</w:t>
            </w:r>
            <w:r>
              <w:rPr>
                <w:rFonts w:hint="eastAsia" w:ascii="Times New Roman" w:eastAsia="Times New Roman"/>
                <w:sz w:val="21"/>
                <w:szCs w:val="21"/>
              </w:rPr>
              <w:t>8</w:t>
            </w:r>
          </w:p>
        </w:tc>
      </w:tr>
      <w:tr w14:paraId="0B030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tcBorders>
              <w:bottom w:val="single" w:color="auto" w:sz="4" w:space="0"/>
            </w:tcBorders>
            <w:vAlign w:val="center"/>
          </w:tcPr>
          <w:p w14:paraId="57435D7D">
            <w:pPr>
              <w:jc w:val="center"/>
              <w:rPr>
                <w:rFonts w:ascii="Times New Roman"/>
                <w:sz w:val="21"/>
                <w:szCs w:val="21"/>
              </w:rPr>
            </w:pPr>
          </w:p>
        </w:tc>
        <w:tc>
          <w:tcPr>
            <w:tcW w:w="444" w:type="pct"/>
            <w:tcBorders>
              <w:bottom w:val="single" w:color="auto" w:sz="4" w:space="0"/>
            </w:tcBorders>
            <w:vAlign w:val="center"/>
          </w:tcPr>
          <w:p w14:paraId="38409BE2">
            <w:pPr>
              <w:jc w:val="center"/>
              <w:rPr>
                <w:rFonts w:ascii="Times New Roman"/>
                <w:sz w:val="21"/>
                <w:szCs w:val="21"/>
              </w:rPr>
            </w:pPr>
            <w:r>
              <w:rPr>
                <w:rFonts w:ascii="Times New Roman"/>
                <w:sz w:val="21"/>
                <w:szCs w:val="21"/>
              </w:rPr>
              <w:t>NMHC</w:t>
            </w:r>
          </w:p>
        </w:tc>
        <w:tc>
          <w:tcPr>
            <w:tcW w:w="437" w:type="pct"/>
            <w:vMerge w:val="continue"/>
            <w:tcBorders>
              <w:bottom w:val="single" w:color="auto" w:sz="4" w:space="0"/>
            </w:tcBorders>
            <w:vAlign w:val="center"/>
          </w:tcPr>
          <w:p w14:paraId="793F7DA9">
            <w:pPr>
              <w:jc w:val="center"/>
              <w:rPr>
                <w:rFonts w:ascii="Times New Roman"/>
                <w:sz w:val="21"/>
                <w:szCs w:val="21"/>
              </w:rPr>
            </w:pPr>
          </w:p>
        </w:tc>
        <w:tc>
          <w:tcPr>
            <w:tcW w:w="405" w:type="pct"/>
            <w:shd w:val="clear" w:color="auto" w:fill="auto"/>
            <w:vAlign w:val="center"/>
          </w:tcPr>
          <w:p w14:paraId="3917E1C7">
            <w:pPr>
              <w:jc w:val="center"/>
              <w:rPr>
                <w:rFonts w:ascii="Times New Roman"/>
                <w:sz w:val="21"/>
                <w:szCs w:val="21"/>
                <w:lang w:bidi="zh-TW"/>
              </w:rPr>
            </w:pPr>
            <w:r>
              <w:rPr>
                <w:rFonts w:ascii="Times New Roman"/>
                <w:sz w:val="21"/>
                <w:szCs w:val="21"/>
                <w:lang w:bidi="zh-TW"/>
              </w:rPr>
              <w:t>0.651</w:t>
            </w:r>
          </w:p>
        </w:tc>
        <w:tc>
          <w:tcPr>
            <w:tcW w:w="370" w:type="pct"/>
            <w:shd w:val="clear" w:color="auto" w:fill="auto"/>
            <w:vAlign w:val="center"/>
          </w:tcPr>
          <w:p w14:paraId="3E084C8D">
            <w:pPr>
              <w:jc w:val="center"/>
              <w:rPr>
                <w:rFonts w:ascii="Times New Roman"/>
                <w:sz w:val="21"/>
                <w:szCs w:val="21"/>
                <w:lang w:bidi="zh-TW"/>
              </w:rPr>
            </w:pPr>
            <w:r>
              <w:rPr>
                <w:rFonts w:ascii="Times New Roman"/>
                <w:sz w:val="21"/>
                <w:szCs w:val="21"/>
                <w:lang w:bidi="zh-TW"/>
              </w:rPr>
              <w:t>0.004</w:t>
            </w:r>
          </w:p>
        </w:tc>
        <w:tc>
          <w:tcPr>
            <w:tcW w:w="406" w:type="pct"/>
            <w:shd w:val="clear" w:color="auto" w:fill="auto"/>
            <w:vAlign w:val="center"/>
          </w:tcPr>
          <w:p w14:paraId="4B14BA1B">
            <w:pPr>
              <w:jc w:val="center"/>
              <w:rPr>
                <w:rFonts w:ascii="Times New Roman"/>
                <w:sz w:val="21"/>
                <w:szCs w:val="21"/>
                <w:lang w:bidi="zh-TW"/>
              </w:rPr>
            </w:pPr>
            <w:r>
              <w:rPr>
                <w:rFonts w:ascii="Times New Roman"/>
                <w:sz w:val="21"/>
                <w:szCs w:val="21"/>
              </w:rPr>
              <w:t>0.032</w:t>
            </w:r>
          </w:p>
        </w:tc>
        <w:tc>
          <w:tcPr>
            <w:tcW w:w="298" w:type="pct"/>
            <w:shd w:val="clear" w:color="auto" w:fill="auto"/>
            <w:vAlign w:val="center"/>
          </w:tcPr>
          <w:p w14:paraId="53901D91">
            <w:pPr>
              <w:jc w:val="center"/>
              <w:rPr>
                <w:rFonts w:ascii="Times New Roman"/>
                <w:sz w:val="21"/>
                <w:szCs w:val="21"/>
              </w:rPr>
            </w:pPr>
            <w:r>
              <w:rPr>
                <w:rFonts w:ascii="Times New Roman"/>
                <w:sz w:val="21"/>
                <w:szCs w:val="21"/>
              </w:rPr>
              <w:t>95</w:t>
            </w:r>
          </w:p>
        </w:tc>
        <w:tc>
          <w:tcPr>
            <w:tcW w:w="358" w:type="pct"/>
            <w:vMerge w:val="continue"/>
            <w:shd w:val="clear" w:color="auto" w:fill="auto"/>
            <w:vAlign w:val="center"/>
          </w:tcPr>
          <w:p w14:paraId="21EB58D4">
            <w:pPr>
              <w:jc w:val="center"/>
              <w:rPr>
                <w:rFonts w:ascii="Times New Roman"/>
                <w:sz w:val="21"/>
                <w:szCs w:val="21"/>
              </w:rPr>
            </w:pPr>
          </w:p>
        </w:tc>
        <w:tc>
          <w:tcPr>
            <w:tcW w:w="300" w:type="pct"/>
            <w:shd w:val="clear" w:color="auto" w:fill="auto"/>
            <w:vAlign w:val="center"/>
          </w:tcPr>
          <w:p w14:paraId="4F561F7C">
            <w:pPr>
              <w:jc w:val="center"/>
              <w:rPr>
                <w:rFonts w:ascii="Times New Roman"/>
                <w:sz w:val="21"/>
                <w:szCs w:val="21"/>
              </w:rPr>
            </w:pPr>
            <w:r>
              <w:rPr>
                <w:rFonts w:ascii="Times New Roman"/>
                <w:sz w:val="21"/>
                <w:szCs w:val="21"/>
              </w:rPr>
              <w:t>0</w:t>
            </w:r>
          </w:p>
        </w:tc>
        <w:tc>
          <w:tcPr>
            <w:tcW w:w="386" w:type="pct"/>
            <w:shd w:val="clear" w:color="auto" w:fill="auto"/>
            <w:vAlign w:val="center"/>
          </w:tcPr>
          <w:p w14:paraId="25928F26">
            <w:pPr>
              <w:jc w:val="center"/>
              <w:rPr>
                <w:rFonts w:ascii="Times New Roman"/>
                <w:sz w:val="21"/>
                <w:szCs w:val="21"/>
                <w:lang w:bidi="zh-TW"/>
              </w:rPr>
            </w:pPr>
            <w:r>
              <w:rPr>
                <w:rFonts w:ascii="Times New Roman"/>
                <w:sz w:val="21"/>
                <w:szCs w:val="21"/>
              </w:rPr>
              <w:t>466.436</w:t>
            </w:r>
          </w:p>
        </w:tc>
        <w:tc>
          <w:tcPr>
            <w:tcW w:w="377" w:type="pct"/>
            <w:shd w:val="clear" w:color="auto" w:fill="auto"/>
            <w:vAlign w:val="center"/>
          </w:tcPr>
          <w:p w14:paraId="33E1A8A0">
            <w:pPr>
              <w:jc w:val="center"/>
              <w:rPr>
                <w:rFonts w:ascii="Times New Roman"/>
                <w:sz w:val="21"/>
                <w:szCs w:val="21"/>
                <w:lang w:bidi="zh-TW"/>
              </w:rPr>
            </w:pPr>
            <w:r>
              <w:rPr>
                <w:rFonts w:ascii="Times New Roman"/>
                <w:sz w:val="21"/>
                <w:szCs w:val="21"/>
              </w:rPr>
              <w:t>108.213</w:t>
            </w:r>
          </w:p>
        </w:tc>
        <w:tc>
          <w:tcPr>
            <w:tcW w:w="389" w:type="pct"/>
            <w:shd w:val="clear" w:color="auto" w:fill="auto"/>
            <w:vAlign w:val="center"/>
          </w:tcPr>
          <w:p w14:paraId="4A813887">
            <w:pPr>
              <w:jc w:val="center"/>
              <w:rPr>
                <w:rFonts w:ascii="Times New Roman"/>
                <w:sz w:val="21"/>
                <w:szCs w:val="21"/>
                <w:lang w:bidi="zh-TW"/>
              </w:rPr>
            </w:pPr>
            <w:r>
              <w:rPr>
                <w:rFonts w:ascii="Times New Roman"/>
                <w:sz w:val="21"/>
                <w:szCs w:val="21"/>
              </w:rPr>
              <w:t>779.135</w:t>
            </w:r>
          </w:p>
        </w:tc>
        <w:tc>
          <w:tcPr>
            <w:tcW w:w="386" w:type="pct"/>
            <w:shd w:val="clear" w:color="auto" w:fill="auto"/>
            <w:vAlign w:val="center"/>
          </w:tcPr>
          <w:p w14:paraId="4B4E8155">
            <w:pPr>
              <w:jc w:val="center"/>
              <w:rPr>
                <w:rFonts w:ascii="Times New Roman" w:eastAsia="Times New Roman"/>
                <w:sz w:val="21"/>
                <w:szCs w:val="21"/>
              </w:rPr>
            </w:pPr>
            <w:r>
              <w:rPr>
                <w:rFonts w:hint="eastAsia" w:ascii="Times New Roman" w:eastAsia="Times New Roman"/>
                <w:sz w:val="21"/>
                <w:szCs w:val="21"/>
              </w:rPr>
              <w:t>60</w:t>
            </w:r>
          </w:p>
        </w:tc>
      </w:tr>
      <w:tr w14:paraId="3773A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tcBorders>
              <w:bottom w:val="single" w:color="auto" w:sz="4" w:space="0"/>
            </w:tcBorders>
            <w:vAlign w:val="center"/>
          </w:tcPr>
          <w:p w14:paraId="71976A53">
            <w:pPr>
              <w:jc w:val="center"/>
              <w:rPr>
                <w:rFonts w:ascii="Times New Roman"/>
                <w:sz w:val="21"/>
                <w:szCs w:val="21"/>
              </w:rPr>
            </w:pPr>
          </w:p>
        </w:tc>
        <w:tc>
          <w:tcPr>
            <w:tcW w:w="444" w:type="pct"/>
            <w:tcBorders>
              <w:bottom w:val="single" w:color="auto" w:sz="4" w:space="0"/>
            </w:tcBorders>
            <w:vAlign w:val="center"/>
          </w:tcPr>
          <w:p w14:paraId="7D494D19">
            <w:pPr>
              <w:jc w:val="center"/>
              <w:rPr>
                <w:rFonts w:ascii="Times New Roman"/>
                <w:sz w:val="21"/>
                <w:szCs w:val="21"/>
              </w:rPr>
            </w:pPr>
            <w:r>
              <w:rPr>
                <w:rFonts w:ascii="Times New Roman"/>
                <w:sz w:val="21"/>
                <w:szCs w:val="21"/>
              </w:rPr>
              <w:t>甲苯与二甲苯合计</w:t>
            </w:r>
          </w:p>
        </w:tc>
        <w:tc>
          <w:tcPr>
            <w:tcW w:w="437" w:type="pct"/>
            <w:vMerge w:val="continue"/>
            <w:tcBorders>
              <w:bottom w:val="single" w:color="auto" w:sz="4" w:space="0"/>
            </w:tcBorders>
            <w:vAlign w:val="center"/>
          </w:tcPr>
          <w:p w14:paraId="59F45037">
            <w:pPr>
              <w:jc w:val="center"/>
              <w:rPr>
                <w:rFonts w:ascii="Times New Roman"/>
                <w:sz w:val="21"/>
                <w:szCs w:val="21"/>
              </w:rPr>
            </w:pPr>
          </w:p>
        </w:tc>
        <w:tc>
          <w:tcPr>
            <w:tcW w:w="405" w:type="pct"/>
            <w:shd w:val="clear" w:color="auto" w:fill="auto"/>
            <w:vAlign w:val="center"/>
          </w:tcPr>
          <w:p w14:paraId="0F39008D">
            <w:pPr>
              <w:jc w:val="center"/>
              <w:rPr>
                <w:rFonts w:ascii="Times New Roman"/>
                <w:sz w:val="21"/>
                <w:szCs w:val="21"/>
                <w:lang w:bidi="zh-TW"/>
              </w:rPr>
            </w:pPr>
            <w:r>
              <w:rPr>
                <w:rFonts w:ascii="Times New Roman"/>
                <w:sz w:val="21"/>
                <w:szCs w:val="21"/>
              </w:rPr>
              <w:t>137.505</w:t>
            </w:r>
          </w:p>
        </w:tc>
        <w:tc>
          <w:tcPr>
            <w:tcW w:w="370" w:type="pct"/>
            <w:shd w:val="clear" w:color="auto" w:fill="auto"/>
            <w:vAlign w:val="center"/>
          </w:tcPr>
          <w:p w14:paraId="74D882C1">
            <w:pPr>
              <w:jc w:val="center"/>
              <w:rPr>
                <w:rFonts w:ascii="Times New Roman"/>
                <w:sz w:val="21"/>
                <w:szCs w:val="21"/>
                <w:lang w:bidi="zh-TW"/>
              </w:rPr>
            </w:pPr>
            <w:r>
              <w:rPr>
                <w:rFonts w:ascii="Times New Roman"/>
                <w:sz w:val="21"/>
                <w:szCs w:val="21"/>
                <w:lang w:bidi="zh-TW"/>
              </w:rPr>
              <w:t>0.938</w:t>
            </w:r>
          </w:p>
        </w:tc>
        <w:tc>
          <w:tcPr>
            <w:tcW w:w="406" w:type="pct"/>
            <w:shd w:val="clear" w:color="auto" w:fill="auto"/>
            <w:vAlign w:val="center"/>
          </w:tcPr>
          <w:p w14:paraId="4DCE52D9">
            <w:pPr>
              <w:jc w:val="center"/>
              <w:rPr>
                <w:rFonts w:ascii="Times New Roman"/>
                <w:sz w:val="21"/>
                <w:szCs w:val="21"/>
                <w:lang w:bidi="zh-TW"/>
              </w:rPr>
            </w:pPr>
            <w:r>
              <w:rPr>
                <w:rFonts w:ascii="Times New Roman"/>
                <w:sz w:val="21"/>
                <w:szCs w:val="21"/>
              </w:rPr>
              <w:t>6.756</w:t>
            </w:r>
          </w:p>
        </w:tc>
        <w:tc>
          <w:tcPr>
            <w:tcW w:w="298" w:type="pct"/>
            <w:shd w:val="clear" w:color="auto" w:fill="auto"/>
            <w:vAlign w:val="center"/>
          </w:tcPr>
          <w:p w14:paraId="12EE0C93">
            <w:pPr>
              <w:jc w:val="center"/>
              <w:rPr>
                <w:rFonts w:ascii="Times New Roman"/>
                <w:sz w:val="21"/>
                <w:szCs w:val="21"/>
              </w:rPr>
            </w:pPr>
            <w:r>
              <w:rPr>
                <w:rFonts w:ascii="Times New Roman"/>
                <w:sz w:val="21"/>
                <w:szCs w:val="21"/>
              </w:rPr>
              <w:t>95</w:t>
            </w:r>
          </w:p>
        </w:tc>
        <w:tc>
          <w:tcPr>
            <w:tcW w:w="358" w:type="pct"/>
            <w:vMerge w:val="continue"/>
            <w:shd w:val="clear" w:color="auto" w:fill="auto"/>
            <w:vAlign w:val="center"/>
          </w:tcPr>
          <w:p w14:paraId="4BA7A752">
            <w:pPr>
              <w:jc w:val="center"/>
              <w:rPr>
                <w:rFonts w:ascii="Times New Roman"/>
                <w:sz w:val="21"/>
                <w:szCs w:val="21"/>
              </w:rPr>
            </w:pPr>
          </w:p>
        </w:tc>
        <w:tc>
          <w:tcPr>
            <w:tcW w:w="300" w:type="pct"/>
            <w:shd w:val="clear" w:color="auto" w:fill="auto"/>
            <w:vAlign w:val="center"/>
          </w:tcPr>
          <w:p w14:paraId="06A74D0D">
            <w:pPr>
              <w:jc w:val="center"/>
              <w:rPr>
                <w:rFonts w:ascii="Times New Roman"/>
                <w:sz w:val="21"/>
                <w:szCs w:val="21"/>
              </w:rPr>
            </w:pPr>
            <w:r>
              <w:rPr>
                <w:rFonts w:ascii="Times New Roman"/>
                <w:sz w:val="21"/>
                <w:szCs w:val="21"/>
              </w:rPr>
              <w:t>0</w:t>
            </w:r>
          </w:p>
        </w:tc>
        <w:tc>
          <w:tcPr>
            <w:tcW w:w="386" w:type="pct"/>
            <w:shd w:val="clear" w:color="auto" w:fill="auto"/>
            <w:vAlign w:val="center"/>
          </w:tcPr>
          <w:p w14:paraId="61D46F11">
            <w:pPr>
              <w:jc w:val="center"/>
              <w:rPr>
                <w:rFonts w:ascii="Times New Roman"/>
                <w:sz w:val="21"/>
                <w:szCs w:val="21"/>
                <w:lang w:bidi="zh-TW"/>
              </w:rPr>
            </w:pPr>
            <w:r>
              <w:rPr>
                <w:rFonts w:ascii="Times New Roman"/>
                <w:sz w:val="21"/>
                <w:szCs w:val="21"/>
              </w:rPr>
              <w:t>69.924</w:t>
            </w:r>
          </w:p>
        </w:tc>
        <w:tc>
          <w:tcPr>
            <w:tcW w:w="377" w:type="pct"/>
            <w:shd w:val="clear" w:color="auto" w:fill="auto"/>
            <w:vAlign w:val="center"/>
          </w:tcPr>
          <w:p w14:paraId="26808972">
            <w:pPr>
              <w:jc w:val="center"/>
              <w:rPr>
                <w:rFonts w:ascii="Times New Roman"/>
                <w:sz w:val="21"/>
                <w:szCs w:val="21"/>
                <w:lang w:bidi="zh-TW"/>
              </w:rPr>
            </w:pPr>
            <w:r>
              <w:rPr>
                <w:rFonts w:ascii="Times New Roman"/>
                <w:sz w:val="21"/>
                <w:szCs w:val="21"/>
              </w:rPr>
              <w:t>16.222</w:t>
            </w:r>
          </w:p>
        </w:tc>
        <w:tc>
          <w:tcPr>
            <w:tcW w:w="389" w:type="pct"/>
            <w:shd w:val="clear" w:color="auto" w:fill="auto"/>
            <w:vAlign w:val="center"/>
          </w:tcPr>
          <w:p w14:paraId="657268F6">
            <w:pPr>
              <w:jc w:val="center"/>
              <w:rPr>
                <w:rFonts w:ascii="Times New Roman"/>
                <w:sz w:val="21"/>
                <w:szCs w:val="21"/>
                <w:lang w:bidi="zh-TW"/>
              </w:rPr>
            </w:pPr>
            <w:r>
              <w:rPr>
                <w:rFonts w:ascii="Times New Roman"/>
                <w:sz w:val="21"/>
                <w:szCs w:val="21"/>
              </w:rPr>
              <w:t>116.802</w:t>
            </w:r>
          </w:p>
        </w:tc>
        <w:tc>
          <w:tcPr>
            <w:tcW w:w="386" w:type="pct"/>
            <w:shd w:val="clear" w:color="auto" w:fill="auto"/>
            <w:vAlign w:val="center"/>
          </w:tcPr>
          <w:p w14:paraId="1B362109">
            <w:pPr>
              <w:jc w:val="center"/>
              <w:rPr>
                <w:rFonts w:ascii="Times New Roman" w:eastAsia="Times New Roman"/>
                <w:sz w:val="21"/>
                <w:szCs w:val="21"/>
              </w:rPr>
            </w:pPr>
            <w:r>
              <w:rPr>
                <w:rFonts w:hint="eastAsia" w:ascii="Times New Roman" w:eastAsia="Times New Roman"/>
                <w:sz w:val="21"/>
                <w:szCs w:val="21"/>
              </w:rPr>
              <w:t>2</w:t>
            </w:r>
            <w:r>
              <w:rPr>
                <w:rFonts w:ascii="Times New Roman" w:eastAsia="Times New Roman"/>
                <w:sz w:val="21"/>
                <w:szCs w:val="21"/>
              </w:rPr>
              <w:t>0</w:t>
            </w:r>
          </w:p>
        </w:tc>
      </w:tr>
      <w:tr w14:paraId="720AB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restart"/>
            <w:tcBorders>
              <w:top w:val="single" w:color="auto" w:sz="4" w:space="0"/>
            </w:tcBorders>
            <w:vAlign w:val="center"/>
          </w:tcPr>
          <w:p w14:paraId="3CB5203D">
            <w:pPr>
              <w:jc w:val="center"/>
              <w:rPr>
                <w:rFonts w:ascii="Times New Roman"/>
                <w:sz w:val="21"/>
                <w:szCs w:val="21"/>
              </w:rPr>
            </w:pPr>
            <w:r>
              <w:rPr>
                <w:rFonts w:ascii="Times New Roman"/>
                <w:sz w:val="21"/>
                <w:szCs w:val="21"/>
              </w:rPr>
              <w:t>天然气燃烧废气(DA0</w:t>
            </w:r>
            <w:r>
              <w:rPr>
                <w:rFonts w:hint="eastAsia" w:ascii="Times New Roman"/>
                <w:sz w:val="21"/>
                <w:szCs w:val="21"/>
              </w:rPr>
              <w:t>11</w:t>
            </w:r>
            <w:r>
              <w:rPr>
                <w:rFonts w:ascii="Times New Roman"/>
                <w:sz w:val="21"/>
                <w:szCs w:val="21"/>
              </w:rPr>
              <w:t>)</w:t>
            </w:r>
          </w:p>
        </w:tc>
        <w:tc>
          <w:tcPr>
            <w:tcW w:w="444" w:type="pct"/>
            <w:tcBorders>
              <w:top w:val="single" w:color="auto" w:sz="4" w:space="0"/>
            </w:tcBorders>
            <w:vAlign w:val="center"/>
          </w:tcPr>
          <w:p w14:paraId="560BC94F">
            <w:pPr>
              <w:jc w:val="center"/>
              <w:rPr>
                <w:rFonts w:ascii="Times New Roman"/>
                <w:sz w:val="21"/>
                <w:szCs w:val="21"/>
              </w:rPr>
            </w:pPr>
            <w:r>
              <w:rPr>
                <w:rFonts w:ascii="Times New Roman"/>
                <w:sz w:val="21"/>
                <w:szCs w:val="21"/>
              </w:rPr>
              <w:t>颗粒物</w:t>
            </w:r>
          </w:p>
        </w:tc>
        <w:tc>
          <w:tcPr>
            <w:tcW w:w="437" w:type="pct"/>
            <w:vMerge w:val="restart"/>
            <w:tcBorders>
              <w:top w:val="single" w:color="auto" w:sz="4" w:space="0"/>
            </w:tcBorders>
            <w:vAlign w:val="center"/>
          </w:tcPr>
          <w:p w14:paraId="63B16368">
            <w:pPr>
              <w:jc w:val="center"/>
              <w:rPr>
                <w:rFonts w:ascii="Times New Roman"/>
                <w:sz w:val="21"/>
                <w:szCs w:val="21"/>
              </w:rPr>
            </w:pPr>
            <w:r>
              <w:rPr>
                <w:rFonts w:ascii="Times New Roman"/>
                <w:sz w:val="21"/>
                <w:szCs w:val="21"/>
              </w:rPr>
              <w:t>6824</w:t>
            </w:r>
          </w:p>
        </w:tc>
        <w:tc>
          <w:tcPr>
            <w:tcW w:w="405" w:type="pct"/>
            <w:shd w:val="clear" w:color="auto" w:fill="auto"/>
            <w:vAlign w:val="center"/>
          </w:tcPr>
          <w:p w14:paraId="3760560B">
            <w:pPr>
              <w:jc w:val="center"/>
              <w:rPr>
                <w:rFonts w:ascii="Times New Roman"/>
                <w:sz w:val="21"/>
                <w:szCs w:val="21"/>
                <w:lang w:bidi="zh-TW"/>
              </w:rPr>
            </w:pPr>
            <w:r>
              <w:rPr>
                <w:rFonts w:ascii="Times New Roman"/>
                <w:sz w:val="21"/>
                <w:szCs w:val="21"/>
                <w:lang w:bidi="zh-TW"/>
              </w:rPr>
              <w:t>21.025</w:t>
            </w:r>
          </w:p>
        </w:tc>
        <w:tc>
          <w:tcPr>
            <w:tcW w:w="370" w:type="pct"/>
            <w:shd w:val="clear" w:color="auto" w:fill="auto"/>
            <w:vAlign w:val="center"/>
          </w:tcPr>
          <w:p w14:paraId="5A9B9673">
            <w:pPr>
              <w:jc w:val="center"/>
              <w:rPr>
                <w:rFonts w:ascii="Times New Roman"/>
                <w:sz w:val="21"/>
                <w:szCs w:val="21"/>
                <w:lang w:bidi="zh-TW"/>
              </w:rPr>
            </w:pPr>
            <w:r>
              <w:rPr>
                <w:rFonts w:ascii="Times New Roman"/>
                <w:sz w:val="21"/>
                <w:szCs w:val="21"/>
                <w:lang w:bidi="zh-TW"/>
              </w:rPr>
              <w:t>0.143</w:t>
            </w:r>
          </w:p>
        </w:tc>
        <w:tc>
          <w:tcPr>
            <w:tcW w:w="406" w:type="pct"/>
            <w:shd w:val="clear" w:color="auto" w:fill="auto"/>
            <w:vAlign w:val="center"/>
          </w:tcPr>
          <w:p w14:paraId="35D85AF0">
            <w:pPr>
              <w:jc w:val="center"/>
              <w:rPr>
                <w:rFonts w:ascii="Times New Roman"/>
                <w:sz w:val="21"/>
                <w:szCs w:val="21"/>
                <w:lang w:bidi="zh-TW"/>
              </w:rPr>
            </w:pPr>
            <w:r>
              <w:rPr>
                <w:rFonts w:ascii="Times New Roman"/>
                <w:sz w:val="21"/>
                <w:szCs w:val="21"/>
              </w:rPr>
              <w:t>1.033</w:t>
            </w:r>
          </w:p>
        </w:tc>
        <w:tc>
          <w:tcPr>
            <w:tcW w:w="298" w:type="pct"/>
            <w:vMerge w:val="restart"/>
            <w:vAlign w:val="center"/>
          </w:tcPr>
          <w:p w14:paraId="6594C11F">
            <w:pPr>
              <w:jc w:val="center"/>
              <w:rPr>
                <w:rFonts w:ascii="Times New Roman"/>
                <w:sz w:val="21"/>
                <w:szCs w:val="21"/>
              </w:rPr>
            </w:pPr>
            <w:r>
              <w:rPr>
                <w:rFonts w:ascii="Times New Roman"/>
                <w:sz w:val="21"/>
                <w:szCs w:val="21"/>
              </w:rPr>
              <w:t>100</w:t>
            </w:r>
          </w:p>
        </w:tc>
        <w:tc>
          <w:tcPr>
            <w:tcW w:w="358" w:type="pct"/>
            <w:vMerge w:val="continue"/>
            <w:vAlign w:val="center"/>
          </w:tcPr>
          <w:p w14:paraId="6F60FA87">
            <w:pPr>
              <w:jc w:val="center"/>
              <w:rPr>
                <w:rFonts w:ascii="Times New Roman"/>
                <w:sz w:val="21"/>
                <w:szCs w:val="21"/>
              </w:rPr>
            </w:pPr>
          </w:p>
        </w:tc>
        <w:tc>
          <w:tcPr>
            <w:tcW w:w="300" w:type="pct"/>
            <w:vAlign w:val="center"/>
          </w:tcPr>
          <w:p w14:paraId="329DF17A">
            <w:pPr>
              <w:jc w:val="center"/>
              <w:rPr>
                <w:rFonts w:ascii="Times New Roman"/>
                <w:sz w:val="21"/>
                <w:szCs w:val="21"/>
              </w:rPr>
            </w:pPr>
            <w:r>
              <w:rPr>
                <w:rFonts w:ascii="Times New Roman"/>
                <w:sz w:val="21"/>
                <w:szCs w:val="21"/>
              </w:rPr>
              <w:t>0</w:t>
            </w:r>
          </w:p>
        </w:tc>
        <w:tc>
          <w:tcPr>
            <w:tcW w:w="386" w:type="pct"/>
            <w:vAlign w:val="center"/>
          </w:tcPr>
          <w:p w14:paraId="4F91CC54">
            <w:pPr>
              <w:jc w:val="center"/>
              <w:rPr>
                <w:rFonts w:ascii="Times New Roman"/>
                <w:sz w:val="21"/>
                <w:szCs w:val="21"/>
                <w:lang w:bidi="zh-TW"/>
              </w:rPr>
            </w:pPr>
            <w:r>
              <w:rPr>
                <w:rFonts w:ascii="Times New Roman"/>
                <w:sz w:val="21"/>
                <w:szCs w:val="21"/>
                <w:lang w:bidi="zh-TW"/>
              </w:rPr>
              <w:t>21.025</w:t>
            </w:r>
          </w:p>
        </w:tc>
        <w:tc>
          <w:tcPr>
            <w:tcW w:w="377" w:type="pct"/>
            <w:vAlign w:val="center"/>
          </w:tcPr>
          <w:p w14:paraId="6F933A6B">
            <w:pPr>
              <w:jc w:val="center"/>
              <w:rPr>
                <w:rFonts w:ascii="Times New Roman"/>
                <w:sz w:val="21"/>
                <w:szCs w:val="21"/>
                <w:lang w:bidi="zh-TW"/>
              </w:rPr>
            </w:pPr>
            <w:r>
              <w:rPr>
                <w:rFonts w:ascii="Times New Roman"/>
                <w:sz w:val="21"/>
                <w:szCs w:val="21"/>
                <w:lang w:bidi="zh-TW"/>
              </w:rPr>
              <w:t>0.143</w:t>
            </w:r>
          </w:p>
        </w:tc>
        <w:tc>
          <w:tcPr>
            <w:tcW w:w="389" w:type="pct"/>
            <w:vAlign w:val="center"/>
          </w:tcPr>
          <w:p w14:paraId="057C1FDD">
            <w:pPr>
              <w:jc w:val="center"/>
              <w:rPr>
                <w:rFonts w:ascii="Times New Roman"/>
                <w:sz w:val="21"/>
                <w:szCs w:val="21"/>
                <w:lang w:bidi="zh-TW"/>
              </w:rPr>
            </w:pPr>
            <w:r>
              <w:rPr>
                <w:rFonts w:ascii="Times New Roman"/>
                <w:sz w:val="21"/>
                <w:szCs w:val="21"/>
              </w:rPr>
              <w:t>1.033</w:t>
            </w:r>
          </w:p>
        </w:tc>
        <w:tc>
          <w:tcPr>
            <w:tcW w:w="386" w:type="pct"/>
            <w:shd w:val="clear" w:color="auto" w:fill="auto"/>
            <w:vAlign w:val="center"/>
          </w:tcPr>
          <w:p w14:paraId="2B41BE02">
            <w:pPr>
              <w:jc w:val="center"/>
              <w:rPr>
                <w:rFonts w:ascii="Times New Roman"/>
                <w:sz w:val="21"/>
                <w:szCs w:val="21"/>
              </w:rPr>
            </w:pPr>
            <w:r>
              <w:rPr>
                <w:rFonts w:hint="eastAsia" w:ascii="Times New Roman"/>
                <w:sz w:val="21"/>
                <w:szCs w:val="21"/>
              </w:rPr>
              <w:t>30</w:t>
            </w:r>
          </w:p>
        </w:tc>
      </w:tr>
      <w:tr w14:paraId="6F4EB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73EBC0E4">
            <w:pPr>
              <w:jc w:val="center"/>
              <w:rPr>
                <w:rFonts w:ascii="Times New Roman"/>
                <w:sz w:val="21"/>
                <w:szCs w:val="21"/>
              </w:rPr>
            </w:pPr>
          </w:p>
        </w:tc>
        <w:tc>
          <w:tcPr>
            <w:tcW w:w="444" w:type="pct"/>
            <w:vAlign w:val="center"/>
          </w:tcPr>
          <w:p w14:paraId="2674D151">
            <w:pPr>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437" w:type="pct"/>
            <w:vMerge w:val="continue"/>
            <w:tcBorders>
              <w:top w:val="single" w:color="auto" w:sz="4" w:space="0"/>
              <w:bottom w:val="single" w:color="auto" w:sz="4" w:space="0"/>
            </w:tcBorders>
            <w:vAlign w:val="center"/>
          </w:tcPr>
          <w:p w14:paraId="3087E53D">
            <w:pPr>
              <w:jc w:val="center"/>
              <w:rPr>
                <w:rFonts w:ascii="Times New Roman"/>
                <w:sz w:val="21"/>
                <w:szCs w:val="21"/>
              </w:rPr>
            </w:pPr>
          </w:p>
        </w:tc>
        <w:tc>
          <w:tcPr>
            <w:tcW w:w="405" w:type="pct"/>
            <w:shd w:val="clear" w:color="auto" w:fill="auto"/>
            <w:vAlign w:val="center"/>
          </w:tcPr>
          <w:p w14:paraId="18D0F2D8">
            <w:pPr>
              <w:jc w:val="center"/>
              <w:rPr>
                <w:rFonts w:ascii="Times New Roman"/>
                <w:sz w:val="21"/>
                <w:szCs w:val="21"/>
                <w:lang w:bidi="zh-TW"/>
              </w:rPr>
            </w:pPr>
            <w:r>
              <w:rPr>
                <w:rFonts w:ascii="Times New Roman"/>
                <w:sz w:val="21"/>
                <w:szCs w:val="21"/>
                <w:lang w:bidi="zh-TW"/>
              </w:rPr>
              <w:t>0.651</w:t>
            </w:r>
          </w:p>
        </w:tc>
        <w:tc>
          <w:tcPr>
            <w:tcW w:w="370" w:type="pct"/>
            <w:shd w:val="clear" w:color="auto" w:fill="auto"/>
            <w:vAlign w:val="center"/>
          </w:tcPr>
          <w:p w14:paraId="21755918">
            <w:pPr>
              <w:jc w:val="center"/>
              <w:rPr>
                <w:rFonts w:ascii="Times New Roman"/>
                <w:sz w:val="21"/>
                <w:szCs w:val="21"/>
                <w:lang w:bidi="zh-TW"/>
              </w:rPr>
            </w:pPr>
            <w:r>
              <w:rPr>
                <w:rFonts w:ascii="Times New Roman"/>
                <w:sz w:val="21"/>
                <w:szCs w:val="21"/>
                <w:lang w:bidi="zh-TW"/>
              </w:rPr>
              <w:t>0.004</w:t>
            </w:r>
          </w:p>
        </w:tc>
        <w:tc>
          <w:tcPr>
            <w:tcW w:w="406" w:type="pct"/>
            <w:shd w:val="clear" w:color="auto" w:fill="auto"/>
            <w:vAlign w:val="center"/>
          </w:tcPr>
          <w:p w14:paraId="07370890">
            <w:pPr>
              <w:jc w:val="center"/>
              <w:rPr>
                <w:rFonts w:ascii="Times New Roman"/>
                <w:sz w:val="21"/>
                <w:szCs w:val="21"/>
                <w:lang w:bidi="zh-TW"/>
              </w:rPr>
            </w:pPr>
            <w:r>
              <w:rPr>
                <w:rFonts w:ascii="Times New Roman"/>
                <w:sz w:val="21"/>
                <w:szCs w:val="21"/>
              </w:rPr>
              <w:t>0.032</w:t>
            </w:r>
          </w:p>
        </w:tc>
        <w:tc>
          <w:tcPr>
            <w:tcW w:w="298" w:type="pct"/>
            <w:vMerge w:val="continue"/>
            <w:vAlign w:val="center"/>
          </w:tcPr>
          <w:p w14:paraId="2D1EE181">
            <w:pPr>
              <w:jc w:val="center"/>
              <w:rPr>
                <w:rFonts w:ascii="Times New Roman"/>
                <w:sz w:val="21"/>
                <w:szCs w:val="21"/>
              </w:rPr>
            </w:pPr>
          </w:p>
        </w:tc>
        <w:tc>
          <w:tcPr>
            <w:tcW w:w="358" w:type="pct"/>
            <w:vMerge w:val="continue"/>
            <w:vAlign w:val="center"/>
          </w:tcPr>
          <w:p w14:paraId="718BAECD">
            <w:pPr>
              <w:jc w:val="center"/>
              <w:rPr>
                <w:rFonts w:ascii="Times New Roman"/>
                <w:sz w:val="21"/>
                <w:szCs w:val="21"/>
              </w:rPr>
            </w:pPr>
          </w:p>
        </w:tc>
        <w:tc>
          <w:tcPr>
            <w:tcW w:w="300" w:type="pct"/>
            <w:vAlign w:val="center"/>
          </w:tcPr>
          <w:p w14:paraId="18190B1B">
            <w:pPr>
              <w:jc w:val="center"/>
              <w:rPr>
                <w:rFonts w:ascii="Times New Roman"/>
                <w:sz w:val="21"/>
                <w:szCs w:val="21"/>
              </w:rPr>
            </w:pPr>
            <w:r>
              <w:rPr>
                <w:rFonts w:ascii="Times New Roman"/>
                <w:sz w:val="21"/>
                <w:szCs w:val="21"/>
              </w:rPr>
              <w:t>0</w:t>
            </w:r>
          </w:p>
        </w:tc>
        <w:tc>
          <w:tcPr>
            <w:tcW w:w="386" w:type="pct"/>
            <w:vAlign w:val="center"/>
          </w:tcPr>
          <w:p w14:paraId="5D5E1042">
            <w:pPr>
              <w:jc w:val="center"/>
              <w:rPr>
                <w:rFonts w:ascii="Times New Roman"/>
                <w:sz w:val="21"/>
                <w:szCs w:val="21"/>
                <w:lang w:bidi="zh-TW"/>
              </w:rPr>
            </w:pPr>
            <w:r>
              <w:rPr>
                <w:rFonts w:ascii="Times New Roman"/>
                <w:sz w:val="21"/>
                <w:szCs w:val="21"/>
                <w:lang w:bidi="zh-TW"/>
              </w:rPr>
              <w:t>0.651</w:t>
            </w:r>
          </w:p>
        </w:tc>
        <w:tc>
          <w:tcPr>
            <w:tcW w:w="377" w:type="pct"/>
            <w:vAlign w:val="center"/>
          </w:tcPr>
          <w:p w14:paraId="4DB6536C">
            <w:pPr>
              <w:jc w:val="center"/>
              <w:rPr>
                <w:rFonts w:ascii="Times New Roman"/>
                <w:sz w:val="21"/>
                <w:szCs w:val="21"/>
                <w:lang w:bidi="zh-TW"/>
              </w:rPr>
            </w:pPr>
            <w:r>
              <w:rPr>
                <w:rFonts w:ascii="Times New Roman"/>
                <w:sz w:val="21"/>
                <w:szCs w:val="21"/>
                <w:lang w:bidi="zh-TW"/>
              </w:rPr>
              <w:t>0.004</w:t>
            </w:r>
          </w:p>
        </w:tc>
        <w:tc>
          <w:tcPr>
            <w:tcW w:w="389" w:type="pct"/>
            <w:vAlign w:val="center"/>
          </w:tcPr>
          <w:p w14:paraId="5A5FB33B">
            <w:pPr>
              <w:jc w:val="center"/>
              <w:rPr>
                <w:rFonts w:ascii="Times New Roman"/>
                <w:sz w:val="21"/>
                <w:szCs w:val="21"/>
                <w:lang w:bidi="zh-TW"/>
              </w:rPr>
            </w:pPr>
            <w:r>
              <w:rPr>
                <w:rFonts w:ascii="Times New Roman"/>
                <w:sz w:val="21"/>
                <w:szCs w:val="21"/>
              </w:rPr>
              <w:t>0.032</w:t>
            </w:r>
          </w:p>
        </w:tc>
        <w:tc>
          <w:tcPr>
            <w:tcW w:w="386" w:type="pct"/>
            <w:shd w:val="clear" w:color="auto" w:fill="auto"/>
            <w:vAlign w:val="center"/>
          </w:tcPr>
          <w:p w14:paraId="3D038A06">
            <w:pPr>
              <w:jc w:val="center"/>
              <w:rPr>
                <w:rFonts w:ascii="Times New Roman"/>
                <w:sz w:val="21"/>
                <w:szCs w:val="21"/>
              </w:rPr>
            </w:pPr>
            <w:r>
              <w:rPr>
                <w:rFonts w:hint="eastAsia" w:ascii="Times New Roman"/>
                <w:sz w:val="21"/>
                <w:szCs w:val="21"/>
              </w:rPr>
              <w:t>200</w:t>
            </w:r>
          </w:p>
        </w:tc>
      </w:tr>
      <w:tr w14:paraId="216C1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250A5AD8">
            <w:pPr>
              <w:jc w:val="center"/>
              <w:rPr>
                <w:rFonts w:ascii="Times New Roman"/>
                <w:sz w:val="21"/>
                <w:szCs w:val="21"/>
              </w:rPr>
            </w:pPr>
          </w:p>
        </w:tc>
        <w:tc>
          <w:tcPr>
            <w:tcW w:w="444" w:type="pct"/>
            <w:shd w:val="clear" w:color="auto" w:fill="auto"/>
            <w:vAlign w:val="center"/>
          </w:tcPr>
          <w:p w14:paraId="7F8E370F">
            <w:pPr>
              <w:jc w:val="center"/>
              <w:rPr>
                <w:rFonts w:ascii="Times New Roman"/>
                <w:sz w:val="21"/>
                <w:szCs w:val="21"/>
              </w:rPr>
            </w:pPr>
            <w:r>
              <w:rPr>
                <w:rFonts w:ascii="Times New Roman"/>
                <w:sz w:val="21"/>
                <w:szCs w:val="21"/>
              </w:rPr>
              <w:t>NO</w:t>
            </w:r>
            <w:r>
              <w:rPr>
                <w:rFonts w:ascii="Times New Roman"/>
                <w:sz w:val="21"/>
                <w:szCs w:val="21"/>
                <w:vertAlign w:val="subscript"/>
              </w:rPr>
              <w:t>X</w:t>
            </w:r>
          </w:p>
        </w:tc>
        <w:tc>
          <w:tcPr>
            <w:tcW w:w="437" w:type="pct"/>
            <w:vMerge w:val="continue"/>
            <w:tcBorders>
              <w:top w:val="single" w:color="auto" w:sz="4" w:space="0"/>
              <w:bottom w:val="single" w:color="auto" w:sz="4" w:space="0"/>
            </w:tcBorders>
            <w:shd w:val="clear" w:color="auto" w:fill="auto"/>
            <w:vAlign w:val="center"/>
          </w:tcPr>
          <w:p w14:paraId="429C0031">
            <w:pPr>
              <w:jc w:val="center"/>
              <w:rPr>
                <w:rFonts w:ascii="Times New Roman"/>
                <w:sz w:val="21"/>
                <w:szCs w:val="21"/>
              </w:rPr>
            </w:pPr>
          </w:p>
        </w:tc>
        <w:tc>
          <w:tcPr>
            <w:tcW w:w="405" w:type="pct"/>
            <w:shd w:val="clear" w:color="auto" w:fill="auto"/>
            <w:vAlign w:val="center"/>
          </w:tcPr>
          <w:p w14:paraId="4546ED12">
            <w:pPr>
              <w:jc w:val="center"/>
              <w:rPr>
                <w:rFonts w:ascii="Times New Roman"/>
                <w:sz w:val="21"/>
                <w:szCs w:val="21"/>
                <w:lang w:bidi="zh-TW"/>
              </w:rPr>
            </w:pPr>
            <w:r>
              <w:rPr>
                <w:rFonts w:ascii="Times New Roman"/>
                <w:sz w:val="21"/>
                <w:szCs w:val="21"/>
              </w:rPr>
              <w:t>137.505</w:t>
            </w:r>
          </w:p>
        </w:tc>
        <w:tc>
          <w:tcPr>
            <w:tcW w:w="370" w:type="pct"/>
            <w:shd w:val="clear" w:color="auto" w:fill="auto"/>
            <w:vAlign w:val="center"/>
          </w:tcPr>
          <w:p w14:paraId="3D78A288">
            <w:pPr>
              <w:jc w:val="center"/>
              <w:rPr>
                <w:rFonts w:ascii="Times New Roman"/>
                <w:sz w:val="21"/>
                <w:szCs w:val="21"/>
                <w:lang w:bidi="zh-TW"/>
              </w:rPr>
            </w:pPr>
            <w:r>
              <w:rPr>
                <w:rFonts w:ascii="Times New Roman"/>
                <w:sz w:val="21"/>
                <w:szCs w:val="21"/>
                <w:lang w:bidi="zh-TW"/>
              </w:rPr>
              <w:t>0.938</w:t>
            </w:r>
          </w:p>
        </w:tc>
        <w:tc>
          <w:tcPr>
            <w:tcW w:w="406" w:type="pct"/>
            <w:shd w:val="clear" w:color="auto" w:fill="auto"/>
            <w:vAlign w:val="center"/>
          </w:tcPr>
          <w:p w14:paraId="21201399">
            <w:pPr>
              <w:jc w:val="center"/>
              <w:rPr>
                <w:rFonts w:ascii="Times New Roman"/>
                <w:sz w:val="21"/>
                <w:szCs w:val="21"/>
                <w:lang w:bidi="zh-TW"/>
              </w:rPr>
            </w:pPr>
            <w:r>
              <w:rPr>
                <w:rFonts w:ascii="Times New Roman"/>
                <w:sz w:val="21"/>
                <w:szCs w:val="21"/>
              </w:rPr>
              <w:t>6.756</w:t>
            </w:r>
          </w:p>
        </w:tc>
        <w:tc>
          <w:tcPr>
            <w:tcW w:w="298" w:type="pct"/>
            <w:vMerge w:val="continue"/>
            <w:shd w:val="clear" w:color="auto" w:fill="auto"/>
            <w:vAlign w:val="center"/>
          </w:tcPr>
          <w:p w14:paraId="03E09C5E">
            <w:pPr>
              <w:jc w:val="center"/>
              <w:rPr>
                <w:rFonts w:ascii="Times New Roman"/>
                <w:sz w:val="21"/>
                <w:szCs w:val="21"/>
              </w:rPr>
            </w:pPr>
          </w:p>
        </w:tc>
        <w:tc>
          <w:tcPr>
            <w:tcW w:w="358" w:type="pct"/>
            <w:vMerge w:val="continue"/>
            <w:shd w:val="clear" w:color="auto" w:fill="auto"/>
            <w:vAlign w:val="center"/>
          </w:tcPr>
          <w:p w14:paraId="45C54243">
            <w:pPr>
              <w:jc w:val="center"/>
              <w:rPr>
                <w:rFonts w:ascii="Times New Roman"/>
                <w:sz w:val="21"/>
                <w:szCs w:val="21"/>
              </w:rPr>
            </w:pPr>
          </w:p>
        </w:tc>
        <w:tc>
          <w:tcPr>
            <w:tcW w:w="300" w:type="pct"/>
            <w:shd w:val="clear" w:color="auto" w:fill="auto"/>
            <w:vAlign w:val="center"/>
          </w:tcPr>
          <w:p w14:paraId="07833BF0">
            <w:pPr>
              <w:jc w:val="center"/>
              <w:rPr>
                <w:rFonts w:ascii="Times New Roman"/>
                <w:sz w:val="21"/>
                <w:szCs w:val="21"/>
              </w:rPr>
            </w:pPr>
            <w:r>
              <w:rPr>
                <w:rFonts w:ascii="Times New Roman"/>
                <w:sz w:val="21"/>
                <w:szCs w:val="21"/>
              </w:rPr>
              <w:t>0</w:t>
            </w:r>
          </w:p>
        </w:tc>
        <w:tc>
          <w:tcPr>
            <w:tcW w:w="386" w:type="pct"/>
            <w:shd w:val="clear" w:color="auto" w:fill="auto"/>
            <w:vAlign w:val="center"/>
          </w:tcPr>
          <w:p w14:paraId="2DAB8EFD">
            <w:pPr>
              <w:jc w:val="center"/>
              <w:rPr>
                <w:rFonts w:ascii="Times New Roman"/>
                <w:sz w:val="21"/>
                <w:szCs w:val="21"/>
                <w:lang w:bidi="zh-TW"/>
              </w:rPr>
            </w:pPr>
            <w:r>
              <w:rPr>
                <w:rFonts w:ascii="Times New Roman"/>
                <w:sz w:val="21"/>
                <w:szCs w:val="21"/>
              </w:rPr>
              <w:t>137.505</w:t>
            </w:r>
          </w:p>
        </w:tc>
        <w:tc>
          <w:tcPr>
            <w:tcW w:w="377" w:type="pct"/>
            <w:shd w:val="clear" w:color="auto" w:fill="auto"/>
            <w:vAlign w:val="center"/>
          </w:tcPr>
          <w:p w14:paraId="18B54C6C">
            <w:pPr>
              <w:jc w:val="center"/>
              <w:rPr>
                <w:rFonts w:ascii="Times New Roman"/>
                <w:sz w:val="21"/>
                <w:szCs w:val="21"/>
                <w:lang w:bidi="zh-TW"/>
              </w:rPr>
            </w:pPr>
            <w:r>
              <w:rPr>
                <w:rFonts w:ascii="Times New Roman"/>
                <w:sz w:val="21"/>
                <w:szCs w:val="21"/>
                <w:lang w:bidi="zh-TW"/>
              </w:rPr>
              <w:t>0.938</w:t>
            </w:r>
          </w:p>
        </w:tc>
        <w:tc>
          <w:tcPr>
            <w:tcW w:w="389" w:type="pct"/>
            <w:shd w:val="clear" w:color="auto" w:fill="auto"/>
            <w:vAlign w:val="center"/>
          </w:tcPr>
          <w:p w14:paraId="7D4E0C39">
            <w:pPr>
              <w:jc w:val="center"/>
              <w:rPr>
                <w:rFonts w:ascii="Times New Roman"/>
                <w:sz w:val="21"/>
                <w:szCs w:val="21"/>
                <w:lang w:bidi="zh-TW"/>
              </w:rPr>
            </w:pPr>
            <w:r>
              <w:rPr>
                <w:rFonts w:ascii="Times New Roman"/>
                <w:sz w:val="21"/>
                <w:szCs w:val="21"/>
              </w:rPr>
              <w:t>6.756</w:t>
            </w:r>
          </w:p>
        </w:tc>
        <w:tc>
          <w:tcPr>
            <w:tcW w:w="386" w:type="pct"/>
            <w:shd w:val="clear" w:color="auto" w:fill="auto"/>
            <w:vAlign w:val="center"/>
          </w:tcPr>
          <w:p w14:paraId="04B51C4F">
            <w:pPr>
              <w:jc w:val="center"/>
              <w:rPr>
                <w:rFonts w:ascii="Times New Roman"/>
                <w:sz w:val="21"/>
                <w:szCs w:val="21"/>
              </w:rPr>
            </w:pPr>
            <w:r>
              <w:rPr>
                <w:rFonts w:ascii="Times New Roman"/>
                <w:sz w:val="21"/>
                <w:szCs w:val="21"/>
              </w:rPr>
              <w:t>30</w:t>
            </w:r>
            <w:r>
              <w:rPr>
                <w:rFonts w:hint="eastAsia" w:ascii="Times New Roman"/>
                <w:sz w:val="21"/>
                <w:szCs w:val="21"/>
              </w:rPr>
              <w:t>0</w:t>
            </w:r>
          </w:p>
        </w:tc>
      </w:tr>
      <w:tr w14:paraId="24E88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52B28ECD">
            <w:pPr>
              <w:jc w:val="center"/>
              <w:rPr>
                <w:rFonts w:ascii="Times New Roman"/>
                <w:sz w:val="21"/>
                <w:szCs w:val="21"/>
              </w:rPr>
            </w:pPr>
          </w:p>
        </w:tc>
        <w:tc>
          <w:tcPr>
            <w:tcW w:w="444" w:type="pct"/>
            <w:vAlign w:val="center"/>
          </w:tcPr>
          <w:p w14:paraId="42585CB5">
            <w:pPr>
              <w:jc w:val="center"/>
              <w:rPr>
                <w:rFonts w:ascii="Times New Roman"/>
                <w:sz w:val="21"/>
                <w:szCs w:val="21"/>
              </w:rPr>
            </w:pPr>
            <w:r>
              <w:rPr>
                <w:rFonts w:ascii="Times New Roman"/>
                <w:sz w:val="21"/>
                <w:szCs w:val="21"/>
              </w:rPr>
              <w:t>烟气黑度</w:t>
            </w:r>
          </w:p>
        </w:tc>
        <w:tc>
          <w:tcPr>
            <w:tcW w:w="437" w:type="pct"/>
            <w:vMerge w:val="continue"/>
            <w:tcBorders>
              <w:top w:val="single" w:color="auto" w:sz="4" w:space="0"/>
              <w:bottom w:val="single" w:color="auto" w:sz="4" w:space="0"/>
            </w:tcBorders>
            <w:vAlign w:val="center"/>
          </w:tcPr>
          <w:p w14:paraId="1603ED91">
            <w:pPr>
              <w:jc w:val="center"/>
              <w:rPr>
                <w:rFonts w:ascii="Times New Roman"/>
                <w:sz w:val="21"/>
                <w:szCs w:val="21"/>
              </w:rPr>
            </w:pPr>
          </w:p>
        </w:tc>
        <w:tc>
          <w:tcPr>
            <w:tcW w:w="405" w:type="pct"/>
            <w:vAlign w:val="center"/>
          </w:tcPr>
          <w:p w14:paraId="2367BC98">
            <w:pPr>
              <w:jc w:val="center"/>
              <w:rPr>
                <w:rFonts w:ascii="Times New Roman"/>
                <w:sz w:val="21"/>
                <w:szCs w:val="21"/>
                <w:lang w:bidi="zh-TW"/>
              </w:rPr>
            </w:pPr>
            <w:r>
              <w:rPr>
                <w:rFonts w:ascii="Times New Roman"/>
                <w:sz w:val="21"/>
                <w:szCs w:val="21"/>
                <w:lang w:bidi="zh-TW"/>
              </w:rPr>
              <w:t>≤1级</w:t>
            </w:r>
          </w:p>
        </w:tc>
        <w:tc>
          <w:tcPr>
            <w:tcW w:w="370" w:type="pct"/>
            <w:vAlign w:val="center"/>
          </w:tcPr>
          <w:p w14:paraId="34687FB0">
            <w:pPr>
              <w:jc w:val="center"/>
              <w:rPr>
                <w:rFonts w:ascii="Times New Roman"/>
                <w:sz w:val="21"/>
                <w:szCs w:val="21"/>
                <w:lang w:bidi="zh-TW"/>
              </w:rPr>
            </w:pPr>
            <w:r>
              <w:rPr>
                <w:rFonts w:ascii="Times New Roman"/>
                <w:sz w:val="21"/>
                <w:szCs w:val="21"/>
                <w:lang w:bidi="zh-TW"/>
              </w:rPr>
              <w:t>/</w:t>
            </w:r>
          </w:p>
        </w:tc>
        <w:tc>
          <w:tcPr>
            <w:tcW w:w="406" w:type="pct"/>
            <w:vAlign w:val="center"/>
          </w:tcPr>
          <w:p w14:paraId="26A354E1">
            <w:pPr>
              <w:jc w:val="center"/>
              <w:rPr>
                <w:rFonts w:ascii="Times New Roman"/>
                <w:sz w:val="21"/>
                <w:szCs w:val="21"/>
                <w:lang w:bidi="zh-TW"/>
              </w:rPr>
            </w:pPr>
            <w:r>
              <w:rPr>
                <w:rFonts w:ascii="Times New Roman"/>
                <w:sz w:val="21"/>
                <w:szCs w:val="21"/>
                <w:lang w:bidi="zh-TW"/>
              </w:rPr>
              <w:t>/</w:t>
            </w:r>
          </w:p>
        </w:tc>
        <w:tc>
          <w:tcPr>
            <w:tcW w:w="298" w:type="pct"/>
            <w:vMerge w:val="continue"/>
            <w:vAlign w:val="center"/>
          </w:tcPr>
          <w:p w14:paraId="7D48B885">
            <w:pPr>
              <w:jc w:val="center"/>
              <w:rPr>
                <w:rFonts w:ascii="Times New Roman"/>
                <w:sz w:val="21"/>
                <w:szCs w:val="21"/>
              </w:rPr>
            </w:pPr>
          </w:p>
        </w:tc>
        <w:tc>
          <w:tcPr>
            <w:tcW w:w="358" w:type="pct"/>
            <w:vMerge w:val="continue"/>
            <w:vAlign w:val="center"/>
          </w:tcPr>
          <w:p w14:paraId="0A3C1F03">
            <w:pPr>
              <w:jc w:val="center"/>
              <w:rPr>
                <w:rFonts w:ascii="Times New Roman"/>
                <w:sz w:val="21"/>
                <w:szCs w:val="21"/>
              </w:rPr>
            </w:pPr>
          </w:p>
        </w:tc>
        <w:tc>
          <w:tcPr>
            <w:tcW w:w="300" w:type="pct"/>
            <w:vAlign w:val="center"/>
          </w:tcPr>
          <w:p w14:paraId="4C914A82">
            <w:pPr>
              <w:jc w:val="center"/>
              <w:rPr>
                <w:rFonts w:ascii="Times New Roman"/>
                <w:sz w:val="21"/>
                <w:szCs w:val="21"/>
              </w:rPr>
            </w:pPr>
            <w:r>
              <w:rPr>
                <w:rFonts w:ascii="Times New Roman"/>
                <w:sz w:val="21"/>
                <w:szCs w:val="21"/>
              </w:rPr>
              <w:t>/</w:t>
            </w:r>
          </w:p>
        </w:tc>
        <w:tc>
          <w:tcPr>
            <w:tcW w:w="386" w:type="pct"/>
            <w:vAlign w:val="center"/>
          </w:tcPr>
          <w:p w14:paraId="2D8098EF">
            <w:pPr>
              <w:jc w:val="center"/>
              <w:rPr>
                <w:rFonts w:ascii="Times New Roman"/>
                <w:sz w:val="21"/>
                <w:szCs w:val="21"/>
                <w:lang w:bidi="zh-TW"/>
              </w:rPr>
            </w:pPr>
            <w:r>
              <w:rPr>
                <w:rFonts w:ascii="Times New Roman"/>
                <w:sz w:val="21"/>
                <w:szCs w:val="21"/>
                <w:lang w:bidi="zh-TW"/>
              </w:rPr>
              <w:t>≤1级</w:t>
            </w:r>
          </w:p>
        </w:tc>
        <w:tc>
          <w:tcPr>
            <w:tcW w:w="377" w:type="pct"/>
            <w:vAlign w:val="center"/>
          </w:tcPr>
          <w:p w14:paraId="7D27DB94">
            <w:pPr>
              <w:jc w:val="center"/>
              <w:rPr>
                <w:rFonts w:ascii="Times New Roman"/>
                <w:sz w:val="21"/>
                <w:szCs w:val="21"/>
                <w:lang w:bidi="zh-TW"/>
              </w:rPr>
            </w:pPr>
            <w:r>
              <w:rPr>
                <w:rFonts w:ascii="Times New Roman"/>
                <w:sz w:val="21"/>
                <w:szCs w:val="21"/>
                <w:lang w:bidi="zh-TW"/>
              </w:rPr>
              <w:t>/</w:t>
            </w:r>
          </w:p>
        </w:tc>
        <w:tc>
          <w:tcPr>
            <w:tcW w:w="389" w:type="pct"/>
            <w:vAlign w:val="center"/>
          </w:tcPr>
          <w:p w14:paraId="246F4FC2">
            <w:pPr>
              <w:jc w:val="center"/>
              <w:rPr>
                <w:rFonts w:ascii="Times New Roman"/>
                <w:sz w:val="21"/>
                <w:szCs w:val="21"/>
                <w:lang w:bidi="zh-TW"/>
              </w:rPr>
            </w:pPr>
            <w:r>
              <w:rPr>
                <w:rFonts w:ascii="Times New Roman"/>
                <w:sz w:val="21"/>
                <w:szCs w:val="21"/>
                <w:lang w:bidi="zh-TW"/>
              </w:rPr>
              <w:t>/</w:t>
            </w:r>
          </w:p>
        </w:tc>
        <w:tc>
          <w:tcPr>
            <w:tcW w:w="386" w:type="pct"/>
            <w:shd w:val="clear" w:color="auto" w:fill="auto"/>
            <w:vAlign w:val="center"/>
          </w:tcPr>
          <w:p w14:paraId="076E31D1">
            <w:pPr>
              <w:jc w:val="center"/>
              <w:rPr>
                <w:rFonts w:ascii="Times New Roman"/>
                <w:sz w:val="21"/>
                <w:szCs w:val="21"/>
              </w:rPr>
            </w:pPr>
            <w:r>
              <w:rPr>
                <w:rFonts w:ascii="Times New Roman"/>
                <w:sz w:val="21"/>
                <w:szCs w:val="21"/>
                <w:lang w:bidi="zh-TW"/>
              </w:rPr>
              <w:t>≤1级</w:t>
            </w:r>
          </w:p>
        </w:tc>
      </w:tr>
      <w:tr w14:paraId="1EA08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440" w:type="pct"/>
            <w:vMerge w:val="restart"/>
            <w:shd w:val="clear" w:color="auto" w:fill="auto"/>
            <w:vAlign w:val="center"/>
          </w:tcPr>
          <w:p w14:paraId="6052E603">
            <w:pPr>
              <w:jc w:val="center"/>
              <w:rPr>
                <w:rFonts w:ascii="Times New Roman"/>
                <w:sz w:val="21"/>
                <w:szCs w:val="21"/>
              </w:rPr>
            </w:pPr>
            <w:r>
              <w:rPr>
                <w:rFonts w:ascii="Times New Roman"/>
                <w:sz w:val="21"/>
                <w:szCs w:val="21"/>
              </w:rPr>
              <w:t>喷塑固化、强冷废气(DA0</w:t>
            </w:r>
            <w:r>
              <w:rPr>
                <w:rFonts w:hint="eastAsia" w:ascii="Times New Roman"/>
                <w:sz w:val="21"/>
                <w:szCs w:val="21"/>
              </w:rPr>
              <w:t>10</w:t>
            </w:r>
            <w:r>
              <w:rPr>
                <w:rFonts w:ascii="Times New Roman"/>
                <w:sz w:val="21"/>
                <w:szCs w:val="21"/>
              </w:rPr>
              <w:t>)</w:t>
            </w:r>
          </w:p>
        </w:tc>
        <w:tc>
          <w:tcPr>
            <w:tcW w:w="444" w:type="pct"/>
            <w:tcBorders>
              <w:bottom w:val="single" w:color="auto" w:sz="4" w:space="0"/>
            </w:tcBorders>
            <w:shd w:val="clear" w:color="auto" w:fill="auto"/>
            <w:vAlign w:val="center"/>
          </w:tcPr>
          <w:p w14:paraId="163E8797">
            <w:pPr>
              <w:jc w:val="center"/>
              <w:rPr>
                <w:rFonts w:ascii="Times New Roman"/>
                <w:sz w:val="21"/>
                <w:szCs w:val="21"/>
              </w:rPr>
            </w:pPr>
            <w:r>
              <w:rPr>
                <w:rFonts w:ascii="Times New Roman"/>
                <w:sz w:val="21"/>
                <w:szCs w:val="21"/>
              </w:rPr>
              <w:t>NMHC</w:t>
            </w:r>
          </w:p>
        </w:tc>
        <w:tc>
          <w:tcPr>
            <w:tcW w:w="437" w:type="pct"/>
            <w:vMerge w:val="restart"/>
            <w:tcBorders>
              <w:top w:val="single" w:color="auto" w:sz="4" w:space="0"/>
            </w:tcBorders>
            <w:vAlign w:val="center"/>
          </w:tcPr>
          <w:p w14:paraId="003B08FD">
            <w:pPr>
              <w:jc w:val="center"/>
              <w:rPr>
                <w:rFonts w:ascii="Times New Roman"/>
                <w:sz w:val="21"/>
                <w:szCs w:val="21"/>
              </w:rPr>
            </w:pPr>
            <w:r>
              <w:rPr>
                <w:rFonts w:ascii="Times New Roman"/>
                <w:sz w:val="21"/>
                <w:szCs w:val="21"/>
              </w:rPr>
              <w:t>1</w:t>
            </w:r>
            <w:r>
              <w:rPr>
                <w:rFonts w:hint="eastAsia" w:ascii="Times New Roman"/>
                <w:sz w:val="21"/>
                <w:szCs w:val="21"/>
              </w:rPr>
              <w:t>8</w:t>
            </w:r>
            <w:r>
              <w:rPr>
                <w:rFonts w:ascii="Times New Roman"/>
                <w:sz w:val="21"/>
                <w:szCs w:val="21"/>
              </w:rPr>
              <w:t>000</w:t>
            </w:r>
          </w:p>
        </w:tc>
        <w:tc>
          <w:tcPr>
            <w:tcW w:w="405" w:type="pct"/>
            <w:tcBorders>
              <w:bottom w:val="single" w:color="auto" w:sz="4" w:space="0"/>
            </w:tcBorders>
            <w:vAlign w:val="center"/>
          </w:tcPr>
          <w:p w14:paraId="27C7693C">
            <w:pPr>
              <w:jc w:val="center"/>
              <w:rPr>
                <w:rFonts w:ascii="Times New Roman"/>
                <w:sz w:val="21"/>
                <w:szCs w:val="21"/>
                <w:lang w:bidi="zh-TW"/>
              </w:rPr>
            </w:pPr>
            <w:r>
              <w:rPr>
                <w:rFonts w:ascii="Times New Roman"/>
                <w:sz w:val="21"/>
                <w:szCs w:val="21"/>
                <w:lang w:bidi="zh-TW"/>
              </w:rPr>
              <w:t>4.167</w:t>
            </w:r>
          </w:p>
        </w:tc>
        <w:tc>
          <w:tcPr>
            <w:tcW w:w="370" w:type="pct"/>
            <w:tcBorders>
              <w:bottom w:val="single" w:color="auto" w:sz="4" w:space="0"/>
            </w:tcBorders>
            <w:vAlign w:val="center"/>
          </w:tcPr>
          <w:p w14:paraId="05818E6E">
            <w:pPr>
              <w:jc w:val="center"/>
              <w:rPr>
                <w:rFonts w:ascii="Times New Roman"/>
                <w:sz w:val="21"/>
                <w:szCs w:val="21"/>
                <w:lang w:bidi="zh-TW"/>
              </w:rPr>
            </w:pPr>
            <w:r>
              <w:rPr>
                <w:rFonts w:ascii="Times New Roman"/>
                <w:sz w:val="21"/>
                <w:szCs w:val="21"/>
                <w:lang w:bidi="zh-TW"/>
              </w:rPr>
              <w:t>0.05</w:t>
            </w:r>
          </w:p>
        </w:tc>
        <w:tc>
          <w:tcPr>
            <w:tcW w:w="406" w:type="pct"/>
            <w:tcBorders>
              <w:bottom w:val="single" w:color="auto" w:sz="4" w:space="0"/>
            </w:tcBorders>
            <w:vAlign w:val="center"/>
          </w:tcPr>
          <w:p w14:paraId="6589C28A">
            <w:pPr>
              <w:jc w:val="center"/>
              <w:rPr>
                <w:rFonts w:ascii="Times New Roman"/>
                <w:sz w:val="21"/>
                <w:szCs w:val="21"/>
                <w:lang w:bidi="zh-TW"/>
              </w:rPr>
            </w:pPr>
            <w:r>
              <w:rPr>
                <w:rFonts w:ascii="Times New Roman"/>
                <w:sz w:val="21"/>
                <w:szCs w:val="21"/>
                <w:lang w:bidi="zh-TW"/>
              </w:rPr>
              <w:t>0.360</w:t>
            </w:r>
          </w:p>
        </w:tc>
        <w:tc>
          <w:tcPr>
            <w:tcW w:w="298" w:type="pct"/>
            <w:tcBorders>
              <w:bottom w:val="single" w:color="auto" w:sz="4" w:space="0"/>
            </w:tcBorders>
            <w:vAlign w:val="center"/>
          </w:tcPr>
          <w:p w14:paraId="68FBA05B">
            <w:pPr>
              <w:jc w:val="center"/>
              <w:rPr>
                <w:rFonts w:ascii="Times New Roman"/>
                <w:sz w:val="21"/>
                <w:szCs w:val="21"/>
              </w:rPr>
            </w:pPr>
            <w:r>
              <w:rPr>
                <w:rFonts w:ascii="Times New Roman"/>
                <w:sz w:val="21"/>
                <w:szCs w:val="21"/>
              </w:rPr>
              <w:t>95</w:t>
            </w:r>
          </w:p>
        </w:tc>
        <w:tc>
          <w:tcPr>
            <w:tcW w:w="358" w:type="pct"/>
            <w:vMerge w:val="restart"/>
            <w:vAlign w:val="center"/>
          </w:tcPr>
          <w:p w14:paraId="41C5ED83">
            <w:pPr>
              <w:jc w:val="center"/>
              <w:rPr>
                <w:rFonts w:ascii="Times New Roman"/>
                <w:sz w:val="21"/>
                <w:szCs w:val="21"/>
              </w:rPr>
            </w:pPr>
            <w:r>
              <w:rPr>
                <w:rFonts w:hint="eastAsia" w:ascii="Times New Roman"/>
                <w:kern w:val="0"/>
                <w:sz w:val="21"/>
                <w:szCs w:val="21"/>
              </w:rPr>
              <w:t>水喷淋+</w:t>
            </w:r>
            <w:r>
              <w:rPr>
                <w:rFonts w:ascii="Times New Roman"/>
                <w:kern w:val="0"/>
                <w:sz w:val="21"/>
                <w:szCs w:val="21"/>
              </w:rPr>
              <w:t>二级活性炭吸附装置</w:t>
            </w:r>
          </w:p>
        </w:tc>
        <w:tc>
          <w:tcPr>
            <w:tcW w:w="300" w:type="pct"/>
            <w:tcBorders>
              <w:bottom w:val="single" w:color="auto" w:sz="4" w:space="0"/>
            </w:tcBorders>
            <w:vAlign w:val="center"/>
          </w:tcPr>
          <w:p w14:paraId="7BD9177B">
            <w:pPr>
              <w:jc w:val="center"/>
              <w:rPr>
                <w:rFonts w:ascii="Times New Roman"/>
                <w:sz w:val="21"/>
                <w:szCs w:val="21"/>
              </w:rPr>
            </w:pPr>
            <w:r>
              <w:rPr>
                <w:rFonts w:ascii="Times New Roman"/>
                <w:sz w:val="21"/>
                <w:szCs w:val="21"/>
              </w:rPr>
              <w:t>0</w:t>
            </w:r>
          </w:p>
        </w:tc>
        <w:tc>
          <w:tcPr>
            <w:tcW w:w="386" w:type="pct"/>
            <w:tcBorders>
              <w:bottom w:val="single" w:color="auto" w:sz="4" w:space="0"/>
            </w:tcBorders>
            <w:shd w:val="clear" w:color="auto" w:fill="auto"/>
            <w:vAlign w:val="center"/>
          </w:tcPr>
          <w:p w14:paraId="306454FB">
            <w:pPr>
              <w:jc w:val="center"/>
              <w:rPr>
                <w:rFonts w:ascii="Times New Roman"/>
                <w:sz w:val="21"/>
                <w:szCs w:val="21"/>
                <w:lang w:bidi="zh-TW"/>
              </w:rPr>
            </w:pPr>
            <w:r>
              <w:rPr>
                <w:rFonts w:ascii="Times New Roman"/>
                <w:sz w:val="21"/>
                <w:szCs w:val="21"/>
                <w:lang w:bidi="zh-TW"/>
              </w:rPr>
              <w:t>4.167</w:t>
            </w:r>
          </w:p>
        </w:tc>
        <w:tc>
          <w:tcPr>
            <w:tcW w:w="377" w:type="pct"/>
            <w:tcBorders>
              <w:bottom w:val="single" w:color="auto" w:sz="4" w:space="0"/>
            </w:tcBorders>
            <w:shd w:val="clear" w:color="auto" w:fill="auto"/>
            <w:vAlign w:val="center"/>
          </w:tcPr>
          <w:p w14:paraId="0D258393">
            <w:pPr>
              <w:jc w:val="center"/>
              <w:rPr>
                <w:rFonts w:ascii="Times New Roman"/>
                <w:sz w:val="21"/>
                <w:szCs w:val="21"/>
                <w:lang w:bidi="zh-TW"/>
              </w:rPr>
            </w:pPr>
            <w:r>
              <w:rPr>
                <w:rFonts w:ascii="Times New Roman"/>
                <w:sz w:val="21"/>
                <w:szCs w:val="21"/>
                <w:lang w:bidi="zh-TW"/>
              </w:rPr>
              <w:t>0.05</w:t>
            </w:r>
          </w:p>
        </w:tc>
        <w:tc>
          <w:tcPr>
            <w:tcW w:w="389" w:type="pct"/>
            <w:tcBorders>
              <w:bottom w:val="single" w:color="auto" w:sz="4" w:space="0"/>
            </w:tcBorders>
            <w:shd w:val="clear" w:color="auto" w:fill="auto"/>
            <w:vAlign w:val="center"/>
          </w:tcPr>
          <w:p w14:paraId="68F058B1">
            <w:pPr>
              <w:jc w:val="center"/>
              <w:rPr>
                <w:rFonts w:ascii="Times New Roman"/>
                <w:sz w:val="21"/>
                <w:szCs w:val="21"/>
                <w:lang w:bidi="zh-TW"/>
              </w:rPr>
            </w:pPr>
            <w:r>
              <w:rPr>
                <w:rFonts w:ascii="Times New Roman"/>
                <w:sz w:val="21"/>
                <w:szCs w:val="21"/>
                <w:lang w:bidi="zh-TW"/>
              </w:rPr>
              <w:t>0.360</w:t>
            </w:r>
          </w:p>
        </w:tc>
        <w:tc>
          <w:tcPr>
            <w:tcW w:w="386" w:type="pct"/>
            <w:tcBorders>
              <w:bottom w:val="single" w:color="auto" w:sz="4" w:space="0"/>
            </w:tcBorders>
            <w:shd w:val="clear" w:color="auto" w:fill="auto"/>
            <w:vAlign w:val="center"/>
          </w:tcPr>
          <w:p w14:paraId="67F523F0">
            <w:pPr>
              <w:jc w:val="center"/>
              <w:rPr>
                <w:rFonts w:ascii="Times New Roman"/>
                <w:sz w:val="21"/>
                <w:szCs w:val="21"/>
                <w:lang w:bidi="zh-TW"/>
              </w:rPr>
            </w:pPr>
            <w:r>
              <w:rPr>
                <w:rFonts w:hint="eastAsia" w:ascii="Times New Roman"/>
                <w:sz w:val="21"/>
                <w:szCs w:val="21"/>
                <w:lang w:bidi="zh-TW"/>
              </w:rPr>
              <w:t>30</w:t>
            </w:r>
          </w:p>
        </w:tc>
      </w:tr>
      <w:tr w14:paraId="33DAC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 w:hRule="atLeast"/>
          <w:jc w:val="center"/>
        </w:trPr>
        <w:tc>
          <w:tcPr>
            <w:tcW w:w="440" w:type="pct"/>
            <w:vMerge w:val="continue"/>
            <w:shd w:val="clear" w:color="auto" w:fill="auto"/>
            <w:vAlign w:val="center"/>
          </w:tcPr>
          <w:p w14:paraId="29050CFA">
            <w:pPr>
              <w:jc w:val="center"/>
              <w:rPr>
                <w:rFonts w:ascii="Times New Roman"/>
                <w:sz w:val="21"/>
                <w:szCs w:val="21"/>
              </w:rPr>
            </w:pPr>
          </w:p>
        </w:tc>
        <w:tc>
          <w:tcPr>
            <w:tcW w:w="444" w:type="pct"/>
            <w:tcBorders>
              <w:top w:val="single" w:color="auto" w:sz="4" w:space="0"/>
              <w:bottom w:val="single" w:color="auto" w:sz="4" w:space="0"/>
            </w:tcBorders>
            <w:shd w:val="clear" w:color="auto" w:fill="auto"/>
            <w:vAlign w:val="center"/>
          </w:tcPr>
          <w:p w14:paraId="2E3051D3">
            <w:pPr>
              <w:jc w:val="center"/>
              <w:rPr>
                <w:rFonts w:ascii="Times New Roman"/>
                <w:sz w:val="21"/>
                <w:szCs w:val="21"/>
              </w:rPr>
            </w:pPr>
            <w:r>
              <w:rPr>
                <w:rFonts w:ascii="Times New Roman"/>
                <w:sz w:val="21"/>
                <w:szCs w:val="21"/>
              </w:rPr>
              <w:t>颗粒物</w:t>
            </w:r>
          </w:p>
        </w:tc>
        <w:tc>
          <w:tcPr>
            <w:tcW w:w="437" w:type="pct"/>
            <w:vMerge w:val="continue"/>
            <w:vAlign w:val="center"/>
          </w:tcPr>
          <w:p w14:paraId="0E4FE199">
            <w:pPr>
              <w:jc w:val="center"/>
              <w:rPr>
                <w:rFonts w:ascii="Times New Roman"/>
                <w:sz w:val="21"/>
                <w:szCs w:val="21"/>
              </w:rPr>
            </w:pPr>
          </w:p>
        </w:tc>
        <w:tc>
          <w:tcPr>
            <w:tcW w:w="405" w:type="pct"/>
            <w:tcBorders>
              <w:top w:val="single" w:color="auto" w:sz="4" w:space="0"/>
              <w:bottom w:val="single" w:color="auto" w:sz="4" w:space="0"/>
            </w:tcBorders>
            <w:shd w:val="clear" w:color="auto" w:fill="auto"/>
            <w:vAlign w:val="center"/>
          </w:tcPr>
          <w:p w14:paraId="1A26311F">
            <w:pPr>
              <w:jc w:val="center"/>
              <w:rPr>
                <w:rFonts w:ascii="Times New Roman"/>
                <w:sz w:val="21"/>
                <w:szCs w:val="21"/>
                <w:lang w:bidi="zh-TW"/>
              </w:rPr>
            </w:pPr>
            <w:r>
              <w:rPr>
                <w:rFonts w:hint="eastAsia" w:ascii="Times New Roman"/>
                <w:sz w:val="21"/>
                <w:szCs w:val="21"/>
                <w:lang w:bidi="zh-TW"/>
              </w:rPr>
              <w:t>21.025</w:t>
            </w:r>
          </w:p>
        </w:tc>
        <w:tc>
          <w:tcPr>
            <w:tcW w:w="370" w:type="pct"/>
            <w:tcBorders>
              <w:top w:val="single" w:color="auto" w:sz="4" w:space="0"/>
              <w:bottom w:val="single" w:color="auto" w:sz="4" w:space="0"/>
            </w:tcBorders>
            <w:shd w:val="clear" w:color="auto" w:fill="auto"/>
            <w:vAlign w:val="center"/>
          </w:tcPr>
          <w:p w14:paraId="7BEB7BF9">
            <w:pPr>
              <w:jc w:val="center"/>
              <w:rPr>
                <w:rFonts w:ascii="Times New Roman"/>
                <w:sz w:val="21"/>
                <w:szCs w:val="21"/>
                <w:lang w:bidi="zh-TW"/>
              </w:rPr>
            </w:pPr>
            <w:r>
              <w:rPr>
                <w:rFonts w:hint="eastAsia" w:ascii="Times New Roman"/>
                <w:sz w:val="21"/>
                <w:szCs w:val="21"/>
                <w:lang w:bidi="zh-TW"/>
              </w:rPr>
              <w:t>0.143</w:t>
            </w:r>
          </w:p>
        </w:tc>
        <w:tc>
          <w:tcPr>
            <w:tcW w:w="406" w:type="pct"/>
            <w:tcBorders>
              <w:top w:val="single" w:color="auto" w:sz="4" w:space="0"/>
              <w:bottom w:val="single" w:color="auto" w:sz="4" w:space="0"/>
            </w:tcBorders>
            <w:shd w:val="clear" w:color="auto" w:fill="auto"/>
            <w:vAlign w:val="center"/>
          </w:tcPr>
          <w:p w14:paraId="4859C7E2">
            <w:pPr>
              <w:jc w:val="center"/>
              <w:rPr>
                <w:rFonts w:ascii="Times New Roman"/>
                <w:sz w:val="21"/>
                <w:szCs w:val="21"/>
                <w:lang w:bidi="zh-TW"/>
              </w:rPr>
            </w:pPr>
            <w:r>
              <w:rPr>
                <w:rFonts w:hint="eastAsia" w:ascii="Times New Roman"/>
                <w:sz w:val="21"/>
                <w:szCs w:val="21"/>
              </w:rPr>
              <w:t>1.033</w:t>
            </w:r>
          </w:p>
        </w:tc>
        <w:tc>
          <w:tcPr>
            <w:tcW w:w="298" w:type="pct"/>
            <w:vMerge w:val="restart"/>
            <w:tcBorders>
              <w:top w:val="single" w:color="auto" w:sz="4" w:space="0"/>
            </w:tcBorders>
            <w:vAlign w:val="center"/>
          </w:tcPr>
          <w:p w14:paraId="78989FFB">
            <w:pPr>
              <w:jc w:val="center"/>
              <w:rPr>
                <w:rFonts w:ascii="Times New Roman"/>
                <w:sz w:val="21"/>
                <w:szCs w:val="21"/>
              </w:rPr>
            </w:pPr>
            <w:r>
              <w:rPr>
                <w:rFonts w:hint="eastAsia" w:ascii="Times New Roman"/>
                <w:sz w:val="21"/>
                <w:szCs w:val="21"/>
              </w:rPr>
              <w:t>100</w:t>
            </w:r>
          </w:p>
        </w:tc>
        <w:tc>
          <w:tcPr>
            <w:tcW w:w="358" w:type="pct"/>
            <w:vMerge w:val="continue"/>
            <w:vAlign w:val="center"/>
          </w:tcPr>
          <w:p w14:paraId="1E2F8CBE">
            <w:pPr>
              <w:jc w:val="center"/>
              <w:rPr>
                <w:rFonts w:ascii="Times New Roman"/>
                <w:kern w:val="0"/>
                <w:sz w:val="21"/>
                <w:szCs w:val="21"/>
              </w:rPr>
            </w:pPr>
          </w:p>
        </w:tc>
        <w:tc>
          <w:tcPr>
            <w:tcW w:w="300" w:type="pct"/>
            <w:tcBorders>
              <w:top w:val="single" w:color="auto" w:sz="4" w:space="0"/>
              <w:bottom w:val="single" w:color="auto" w:sz="4" w:space="0"/>
            </w:tcBorders>
            <w:shd w:val="clear" w:color="auto" w:fill="auto"/>
            <w:vAlign w:val="center"/>
          </w:tcPr>
          <w:p w14:paraId="4669BEE4">
            <w:pPr>
              <w:jc w:val="center"/>
              <w:rPr>
                <w:rFonts w:ascii="Times New Roman"/>
                <w:sz w:val="21"/>
                <w:szCs w:val="21"/>
              </w:rPr>
            </w:pPr>
            <w:r>
              <w:rPr>
                <w:rFonts w:ascii="Times New Roman"/>
                <w:sz w:val="21"/>
                <w:szCs w:val="21"/>
              </w:rPr>
              <w:t>0</w:t>
            </w:r>
          </w:p>
        </w:tc>
        <w:tc>
          <w:tcPr>
            <w:tcW w:w="386" w:type="pct"/>
            <w:tcBorders>
              <w:top w:val="single" w:color="auto" w:sz="4" w:space="0"/>
              <w:bottom w:val="single" w:color="auto" w:sz="4" w:space="0"/>
            </w:tcBorders>
            <w:shd w:val="clear" w:color="auto" w:fill="auto"/>
            <w:vAlign w:val="center"/>
          </w:tcPr>
          <w:p w14:paraId="7FDC83BB">
            <w:pPr>
              <w:jc w:val="center"/>
              <w:rPr>
                <w:rFonts w:ascii="Times New Roman"/>
                <w:sz w:val="21"/>
                <w:szCs w:val="21"/>
                <w:lang w:bidi="zh-TW"/>
              </w:rPr>
            </w:pPr>
            <w:r>
              <w:rPr>
                <w:rFonts w:hint="eastAsia" w:ascii="Times New Roman"/>
                <w:sz w:val="21"/>
                <w:szCs w:val="21"/>
                <w:lang w:bidi="zh-TW"/>
              </w:rPr>
              <w:t>21.025</w:t>
            </w:r>
          </w:p>
        </w:tc>
        <w:tc>
          <w:tcPr>
            <w:tcW w:w="377" w:type="pct"/>
            <w:tcBorders>
              <w:top w:val="single" w:color="auto" w:sz="4" w:space="0"/>
              <w:bottom w:val="single" w:color="auto" w:sz="4" w:space="0"/>
            </w:tcBorders>
            <w:shd w:val="clear" w:color="auto" w:fill="auto"/>
            <w:vAlign w:val="center"/>
          </w:tcPr>
          <w:p w14:paraId="6F61E8D4">
            <w:pPr>
              <w:jc w:val="center"/>
              <w:rPr>
                <w:rFonts w:ascii="Times New Roman"/>
                <w:sz w:val="21"/>
                <w:szCs w:val="21"/>
                <w:lang w:bidi="zh-TW"/>
              </w:rPr>
            </w:pPr>
            <w:r>
              <w:rPr>
                <w:rFonts w:hint="eastAsia" w:ascii="Times New Roman"/>
                <w:sz w:val="21"/>
                <w:szCs w:val="21"/>
                <w:lang w:bidi="zh-TW"/>
              </w:rPr>
              <w:t>0.143</w:t>
            </w:r>
          </w:p>
        </w:tc>
        <w:tc>
          <w:tcPr>
            <w:tcW w:w="389" w:type="pct"/>
            <w:tcBorders>
              <w:top w:val="single" w:color="auto" w:sz="4" w:space="0"/>
              <w:bottom w:val="single" w:color="auto" w:sz="4" w:space="0"/>
            </w:tcBorders>
            <w:shd w:val="clear" w:color="auto" w:fill="auto"/>
            <w:vAlign w:val="center"/>
          </w:tcPr>
          <w:p w14:paraId="4A7CC45E">
            <w:pPr>
              <w:jc w:val="center"/>
              <w:rPr>
                <w:rFonts w:ascii="Times New Roman"/>
                <w:sz w:val="21"/>
                <w:szCs w:val="21"/>
                <w:lang w:bidi="zh-TW"/>
              </w:rPr>
            </w:pPr>
            <w:r>
              <w:rPr>
                <w:rFonts w:hint="eastAsia" w:ascii="Times New Roman"/>
                <w:sz w:val="21"/>
                <w:szCs w:val="21"/>
              </w:rPr>
              <w:t>1.033</w:t>
            </w:r>
          </w:p>
        </w:tc>
        <w:tc>
          <w:tcPr>
            <w:tcW w:w="386" w:type="pct"/>
            <w:tcBorders>
              <w:top w:val="single" w:color="auto" w:sz="4" w:space="0"/>
              <w:bottom w:val="single" w:color="auto" w:sz="4" w:space="0"/>
            </w:tcBorders>
            <w:shd w:val="clear" w:color="auto" w:fill="auto"/>
            <w:vAlign w:val="center"/>
          </w:tcPr>
          <w:p w14:paraId="04B49B1B">
            <w:pPr>
              <w:jc w:val="center"/>
              <w:rPr>
                <w:rFonts w:ascii="Times New Roman"/>
                <w:sz w:val="21"/>
                <w:szCs w:val="21"/>
              </w:rPr>
            </w:pPr>
            <w:r>
              <w:rPr>
                <w:rFonts w:hint="eastAsia" w:ascii="Times New Roman"/>
                <w:sz w:val="21"/>
                <w:szCs w:val="21"/>
              </w:rPr>
              <w:t>30</w:t>
            </w:r>
          </w:p>
        </w:tc>
      </w:tr>
      <w:tr w14:paraId="06776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440" w:type="pct"/>
            <w:vMerge w:val="continue"/>
            <w:shd w:val="clear" w:color="auto" w:fill="auto"/>
            <w:vAlign w:val="center"/>
          </w:tcPr>
          <w:p w14:paraId="3112148F">
            <w:pPr>
              <w:jc w:val="center"/>
              <w:rPr>
                <w:rFonts w:ascii="Times New Roman"/>
                <w:sz w:val="21"/>
                <w:szCs w:val="21"/>
              </w:rPr>
            </w:pPr>
          </w:p>
        </w:tc>
        <w:tc>
          <w:tcPr>
            <w:tcW w:w="444" w:type="pct"/>
            <w:tcBorders>
              <w:top w:val="single" w:color="auto" w:sz="4" w:space="0"/>
              <w:bottom w:val="single" w:color="auto" w:sz="4" w:space="0"/>
            </w:tcBorders>
            <w:shd w:val="clear" w:color="auto" w:fill="auto"/>
            <w:vAlign w:val="center"/>
          </w:tcPr>
          <w:p w14:paraId="02747338">
            <w:pPr>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437" w:type="pct"/>
            <w:vMerge w:val="continue"/>
            <w:vAlign w:val="center"/>
          </w:tcPr>
          <w:p w14:paraId="7D806D6B">
            <w:pPr>
              <w:jc w:val="center"/>
              <w:rPr>
                <w:rFonts w:ascii="Times New Roman"/>
                <w:sz w:val="21"/>
                <w:szCs w:val="21"/>
              </w:rPr>
            </w:pPr>
          </w:p>
        </w:tc>
        <w:tc>
          <w:tcPr>
            <w:tcW w:w="405" w:type="pct"/>
            <w:tcBorders>
              <w:top w:val="single" w:color="auto" w:sz="4" w:space="0"/>
              <w:bottom w:val="single" w:color="auto" w:sz="4" w:space="0"/>
            </w:tcBorders>
            <w:shd w:val="clear" w:color="auto" w:fill="auto"/>
            <w:vAlign w:val="center"/>
          </w:tcPr>
          <w:p w14:paraId="348A30F5">
            <w:pPr>
              <w:jc w:val="center"/>
              <w:rPr>
                <w:rFonts w:ascii="Times New Roman"/>
                <w:sz w:val="21"/>
                <w:szCs w:val="21"/>
                <w:lang w:bidi="zh-TW"/>
              </w:rPr>
            </w:pPr>
            <w:r>
              <w:rPr>
                <w:rFonts w:hint="eastAsia" w:ascii="Times New Roman"/>
                <w:sz w:val="21"/>
                <w:szCs w:val="21"/>
                <w:lang w:bidi="zh-TW"/>
              </w:rPr>
              <w:t>0.651</w:t>
            </w:r>
          </w:p>
        </w:tc>
        <w:tc>
          <w:tcPr>
            <w:tcW w:w="370" w:type="pct"/>
            <w:tcBorders>
              <w:top w:val="single" w:color="auto" w:sz="4" w:space="0"/>
              <w:bottom w:val="single" w:color="auto" w:sz="4" w:space="0"/>
            </w:tcBorders>
            <w:shd w:val="clear" w:color="auto" w:fill="auto"/>
            <w:vAlign w:val="center"/>
          </w:tcPr>
          <w:p w14:paraId="174C057E">
            <w:pPr>
              <w:jc w:val="center"/>
              <w:rPr>
                <w:rFonts w:ascii="Times New Roman"/>
                <w:sz w:val="21"/>
                <w:szCs w:val="21"/>
                <w:lang w:bidi="zh-TW"/>
              </w:rPr>
            </w:pPr>
            <w:r>
              <w:rPr>
                <w:rFonts w:hint="eastAsia" w:ascii="Times New Roman"/>
                <w:sz w:val="21"/>
                <w:szCs w:val="21"/>
                <w:lang w:bidi="zh-TW"/>
              </w:rPr>
              <w:t>0.004</w:t>
            </w:r>
          </w:p>
        </w:tc>
        <w:tc>
          <w:tcPr>
            <w:tcW w:w="406" w:type="pct"/>
            <w:tcBorders>
              <w:top w:val="single" w:color="auto" w:sz="4" w:space="0"/>
              <w:bottom w:val="single" w:color="auto" w:sz="4" w:space="0"/>
            </w:tcBorders>
            <w:shd w:val="clear" w:color="auto" w:fill="auto"/>
            <w:vAlign w:val="center"/>
          </w:tcPr>
          <w:p w14:paraId="618498AD">
            <w:pPr>
              <w:jc w:val="center"/>
              <w:rPr>
                <w:rFonts w:ascii="Times New Roman"/>
                <w:sz w:val="21"/>
                <w:szCs w:val="21"/>
                <w:lang w:bidi="zh-TW"/>
              </w:rPr>
            </w:pPr>
            <w:r>
              <w:rPr>
                <w:rFonts w:hint="eastAsia" w:ascii="Times New Roman"/>
                <w:sz w:val="21"/>
                <w:szCs w:val="21"/>
              </w:rPr>
              <w:t>0.032</w:t>
            </w:r>
          </w:p>
        </w:tc>
        <w:tc>
          <w:tcPr>
            <w:tcW w:w="298" w:type="pct"/>
            <w:vMerge w:val="continue"/>
            <w:vAlign w:val="center"/>
          </w:tcPr>
          <w:p w14:paraId="4A4A3244">
            <w:pPr>
              <w:jc w:val="center"/>
              <w:rPr>
                <w:rFonts w:ascii="Times New Roman"/>
                <w:sz w:val="21"/>
                <w:szCs w:val="21"/>
              </w:rPr>
            </w:pPr>
          </w:p>
        </w:tc>
        <w:tc>
          <w:tcPr>
            <w:tcW w:w="358" w:type="pct"/>
            <w:vMerge w:val="continue"/>
            <w:vAlign w:val="center"/>
          </w:tcPr>
          <w:p w14:paraId="6AD9D167">
            <w:pPr>
              <w:jc w:val="center"/>
              <w:rPr>
                <w:rFonts w:ascii="Times New Roman"/>
                <w:kern w:val="0"/>
                <w:sz w:val="21"/>
                <w:szCs w:val="21"/>
              </w:rPr>
            </w:pPr>
          </w:p>
        </w:tc>
        <w:tc>
          <w:tcPr>
            <w:tcW w:w="300" w:type="pct"/>
            <w:tcBorders>
              <w:top w:val="single" w:color="auto" w:sz="4" w:space="0"/>
              <w:bottom w:val="single" w:color="auto" w:sz="4" w:space="0"/>
            </w:tcBorders>
            <w:shd w:val="clear" w:color="auto" w:fill="auto"/>
            <w:vAlign w:val="center"/>
          </w:tcPr>
          <w:p w14:paraId="430F53F7">
            <w:pPr>
              <w:jc w:val="center"/>
              <w:rPr>
                <w:rFonts w:ascii="Times New Roman"/>
                <w:sz w:val="21"/>
                <w:szCs w:val="21"/>
              </w:rPr>
            </w:pPr>
            <w:r>
              <w:rPr>
                <w:rFonts w:ascii="Times New Roman"/>
                <w:sz w:val="21"/>
                <w:szCs w:val="21"/>
              </w:rPr>
              <w:t>0</w:t>
            </w:r>
          </w:p>
        </w:tc>
        <w:tc>
          <w:tcPr>
            <w:tcW w:w="386" w:type="pct"/>
            <w:tcBorders>
              <w:top w:val="single" w:color="auto" w:sz="4" w:space="0"/>
              <w:bottom w:val="single" w:color="auto" w:sz="4" w:space="0"/>
            </w:tcBorders>
            <w:shd w:val="clear" w:color="auto" w:fill="auto"/>
            <w:vAlign w:val="center"/>
          </w:tcPr>
          <w:p w14:paraId="53346C44">
            <w:pPr>
              <w:jc w:val="center"/>
              <w:rPr>
                <w:rFonts w:ascii="Times New Roman"/>
                <w:sz w:val="21"/>
                <w:szCs w:val="21"/>
                <w:lang w:bidi="zh-TW"/>
              </w:rPr>
            </w:pPr>
            <w:r>
              <w:rPr>
                <w:rFonts w:hint="eastAsia" w:ascii="Times New Roman"/>
                <w:sz w:val="21"/>
                <w:szCs w:val="21"/>
                <w:lang w:bidi="zh-TW"/>
              </w:rPr>
              <w:t>0.651</w:t>
            </w:r>
          </w:p>
        </w:tc>
        <w:tc>
          <w:tcPr>
            <w:tcW w:w="377" w:type="pct"/>
            <w:tcBorders>
              <w:top w:val="single" w:color="auto" w:sz="4" w:space="0"/>
              <w:bottom w:val="single" w:color="auto" w:sz="4" w:space="0"/>
            </w:tcBorders>
            <w:shd w:val="clear" w:color="auto" w:fill="auto"/>
            <w:vAlign w:val="center"/>
          </w:tcPr>
          <w:p w14:paraId="504AA9A8">
            <w:pPr>
              <w:jc w:val="center"/>
              <w:rPr>
                <w:rFonts w:ascii="Times New Roman"/>
                <w:sz w:val="21"/>
                <w:szCs w:val="21"/>
                <w:lang w:bidi="zh-TW"/>
              </w:rPr>
            </w:pPr>
            <w:r>
              <w:rPr>
                <w:rFonts w:hint="eastAsia" w:ascii="Times New Roman"/>
                <w:sz w:val="21"/>
                <w:szCs w:val="21"/>
                <w:lang w:bidi="zh-TW"/>
              </w:rPr>
              <w:t>0.004</w:t>
            </w:r>
          </w:p>
        </w:tc>
        <w:tc>
          <w:tcPr>
            <w:tcW w:w="389" w:type="pct"/>
            <w:tcBorders>
              <w:top w:val="single" w:color="auto" w:sz="4" w:space="0"/>
              <w:bottom w:val="single" w:color="auto" w:sz="4" w:space="0"/>
            </w:tcBorders>
            <w:shd w:val="clear" w:color="auto" w:fill="auto"/>
            <w:vAlign w:val="center"/>
          </w:tcPr>
          <w:p w14:paraId="39CB8280">
            <w:pPr>
              <w:jc w:val="center"/>
              <w:rPr>
                <w:rFonts w:ascii="Times New Roman"/>
                <w:sz w:val="21"/>
                <w:szCs w:val="21"/>
                <w:lang w:bidi="zh-TW"/>
              </w:rPr>
            </w:pPr>
            <w:r>
              <w:rPr>
                <w:rFonts w:hint="eastAsia" w:ascii="Times New Roman"/>
                <w:sz w:val="21"/>
                <w:szCs w:val="21"/>
              </w:rPr>
              <w:t>0.032</w:t>
            </w:r>
          </w:p>
        </w:tc>
        <w:tc>
          <w:tcPr>
            <w:tcW w:w="386" w:type="pct"/>
            <w:tcBorders>
              <w:top w:val="single" w:color="auto" w:sz="4" w:space="0"/>
              <w:bottom w:val="single" w:color="auto" w:sz="4" w:space="0"/>
            </w:tcBorders>
            <w:shd w:val="clear" w:color="auto" w:fill="auto"/>
            <w:vAlign w:val="center"/>
          </w:tcPr>
          <w:p w14:paraId="43734066">
            <w:pPr>
              <w:jc w:val="center"/>
              <w:rPr>
                <w:rFonts w:ascii="Times New Roman"/>
                <w:sz w:val="21"/>
                <w:szCs w:val="21"/>
              </w:rPr>
            </w:pPr>
            <w:r>
              <w:rPr>
                <w:rFonts w:hint="eastAsia" w:ascii="Times New Roman"/>
                <w:sz w:val="21"/>
                <w:szCs w:val="21"/>
              </w:rPr>
              <w:t>200</w:t>
            </w:r>
          </w:p>
        </w:tc>
      </w:tr>
      <w:tr w14:paraId="5183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 w:hRule="atLeast"/>
          <w:jc w:val="center"/>
        </w:trPr>
        <w:tc>
          <w:tcPr>
            <w:tcW w:w="440" w:type="pct"/>
            <w:vMerge w:val="continue"/>
            <w:shd w:val="clear" w:color="auto" w:fill="auto"/>
            <w:vAlign w:val="center"/>
          </w:tcPr>
          <w:p w14:paraId="6D1B2556">
            <w:pPr>
              <w:jc w:val="center"/>
              <w:rPr>
                <w:rFonts w:ascii="Times New Roman"/>
                <w:sz w:val="21"/>
                <w:szCs w:val="21"/>
              </w:rPr>
            </w:pPr>
          </w:p>
        </w:tc>
        <w:tc>
          <w:tcPr>
            <w:tcW w:w="444" w:type="pct"/>
            <w:tcBorders>
              <w:top w:val="single" w:color="auto" w:sz="4" w:space="0"/>
              <w:bottom w:val="single" w:color="auto" w:sz="4" w:space="0"/>
            </w:tcBorders>
            <w:shd w:val="clear" w:color="auto" w:fill="auto"/>
            <w:vAlign w:val="center"/>
          </w:tcPr>
          <w:p w14:paraId="26509622">
            <w:pPr>
              <w:jc w:val="center"/>
              <w:rPr>
                <w:rFonts w:ascii="Times New Roman"/>
                <w:sz w:val="21"/>
                <w:szCs w:val="21"/>
              </w:rPr>
            </w:pPr>
            <w:r>
              <w:rPr>
                <w:rFonts w:ascii="Times New Roman"/>
                <w:sz w:val="21"/>
                <w:szCs w:val="21"/>
              </w:rPr>
              <w:t>NO</w:t>
            </w:r>
            <w:r>
              <w:rPr>
                <w:rFonts w:ascii="Times New Roman"/>
                <w:sz w:val="21"/>
                <w:szCs w:val="21"/>
                <w:vertAlign w:val="subscript"/>
              </w:rPr>
              <w:t>X</w:t>
            </w:r>
          </w:p>
        </w:tc>
        <w:tc>
          <w:tcPr>
            <w:tcW w:w="437" w:type="pct"/>
            <w:vMerge w:val="continue"/>
            <w:vAlign w:val="center"/>
          </w:tcPr>
          <w:p w14:paraId="751407CA">
            <w:pPr>
              <w:jc w:val="center"/>
              <w:rPr>
                <w:rFonts w:ascii="Times New Roman"/>
                <w:sz w:val="21"/>
                <w:szCs w:val="21"/>
              </w:rPr>
            </w:pPr>
          </w:p>
        </w:tc>
        <w:tc>
          <w:tcPr>
            <w:tcW w:w="405" w:type="pct"/>
            <w:tcBorders>
              <w:top w:val="single" w:color="auto" w:sz="4" w:space="0"/>
              <w:bottom w:val="single" w:color="auto" w:sz="4" w:space="0"/>
            </w:tcBorders>
            <w:shd w:val="clear" w:color="auto" w:fill="auto"/>
            <w:vAlign w:val="center"/>
          </w:tcPr>
          <w:p w14:paraId="7A415F5F">
            <w:pPr>
              <w:jc w:val="center"/>
              <w:rPr>
                <w:rFonts w:ascii="Times New Roman"/>
                <w:sz w:val="21"/>
                <w:szCs w:val="21"/>
                <w:lang w:bidi="zh-TW"/>
              </w:rPr>
            </w:pPr>
            <w:r>
              <w:rPr>
                <w:rFonts w:hint="eastAsia" w:ascii="Times New Roman"/>
                <w:sz w:val="21"/>
                <w:szCs w:val="21"/>
              </w:rPr>
              <w:t>137.505</w:t>
            </w:r>
          </w:p>
        </w:tc>
        <w:tc>
          <w:tcPr>
            <w:tcW w:w="370" w:type="pct"/>
            <w:tcBorders>
              <w:top w:val="single" w:color="auto" w:sz="4" w:space="0"/>
              <w:bottom w:val="single" w:color="auto" w:sz="4" w:space="0"/>
            </w:tcBorders>
            <w:shd w:val="clear" w:color="auto" w:fill="auto"/>
            <w:vAlign w:val="center"/>
          </w:tcPr>
          <w:p w14:paraId="663C9308">
            <w:pPr>
              <w:jc w:val="center"/>
              <w:rPr>
                <w:rFonts w:ascii="Times New Roman"/>
                <w:sz w:val="21"/>
                <w:szCs w:val="21"/>
                <w:lang w:bidi="zh-TW"/>
              </w:rPr>
            </w:pPr>
            <w:r>
              <w:rPr>
                <w:rFonts w:hint="eastAsia" w:ascii="Times New Roman"/>
                <w:sz w:val="21"/>
                <w:szCs w:val="21"/>
                <w:lang w:bidi="zh-TW"/>
              </w:rPr>
              <w:t>0.938</w:t>
            </w:r>
          </w:p>
        </w:tc>
        <w:tc>
          <w:tcPr>
            <w:tcW w:w="406" w:type="pct"/>
            <w:tcBorders>
              <w:top w:val="single" w:color="auto" w:sz="4" w:space="0"/>
              <w:bottom w:val="single" w:color="auto" w:sz="4" w:space="0"/>
            </w:tcBorders>
            <w:shd w:val="clear" w:color="auto" w:fill="auto"/>
            <w:vAlign w:val="center"/>
          </w:tcPr>
          <w:p w14:paraId="539E0D9E">
            <w:pPr>
              <w:jc w:val="center"/>
              <w:rPr>
                <w:rFonts w:ascii="Times New Roman"/>
                <w:sz w:val="21"/>
                <w:szCs w:val="21"/>
                <w:lang w:bidi="zh-TW"/>
              </w:rPr>
            </w:pPr>
            <w:r>
              <w:rPr>
                <w:rFonts w:hint="eastAsia" w:ascii="Times New Roman"/>
                <w:sz w:val="21"/>
                <w:szCs w:val="21"/>
              </w:rPr>
              <w:t>6.756</w:t>
            </w:r>
          </w:p>
        </w:tc>
        <w:tc>
          <w:tcPr>
            <w:tcW w:w="298" w:type="pct"/>
            <w:vMerge w:val="continue"/>
            <w:vAlign w:val="center"/>
          </w:tcPr>
          <w:p w14:paraId="7FD3CC29">
            <w:pPr>
              <w:jc w:val="center"/>
              <w:rPr>
                <w:rFonts w:ascii="Times New Roman"/>
                <w:sz w:val="21"/>
                <w:szCs w:val="21"/>
              </w:rPr>
            </w:pPr>
          </w:p>
        </w:tc>
        <w:tc>
          <w:tcPr>
            <w:tcW w:w="358" w:type="pct"/>
            <w:vMerge w:val="continue"/>
            <w:vAlign w:val="center"/>
          </w:tcPr>
          <w:p w14:paraId="3BB1FCC0">
            <w:pPr>
              <w:jc w:val="center"/>
              <w:rPr>
                <w:rFonts w:ascii="Times New Roman"/>
                <w:kern w:val="0"/>
                <w:sz w:val="21"/>
                <w:szCs w:val="21"/>
              </w:rPr>
            </w:pPr>
          </w:p>
        </w:tc>
        <w:tc>
          <w:tcPr>
            <w:tcW w:w="300" w:type="pct"/>
            <w:tcBorders>
              <w:top w:val="single" w:color="auto" w:sz="4" w:space="0"/>
              <w:bottom w:val="single" w:color="auto" w:sz="4" w:space="0"/>
            </w:tcBorders>
            <w:shd w:val="clear" w:color="auto" w:fill="auto"/>
            <w:vAlign w:val="center"/>
          </w:tcPr>
          <w:p w14:paraId="42FEF40A">
            <w:pPr>
              <w:jc w:val="center"/>
              <w:rPr>
                <w:rFonts w:ascii="Times New Roman"/>
                <w:sz w:val="21"/>
                <w:szCs w:val="21"/>
              </w:rPr>
            </w:pPr>
            <w:r>
              <w:rPr>
                <w:rFonts w:ascii="Times New Roman"/>
                <w:sz w:val="21"/>
                <w:szCs w:val="21"/>
              </w:rPr>
              <w:t>0</w:t>
            </w:r>
          </w:p>
        </w:tc>
        <w:tc>
          <w:tcPr>
            <w:tcW w:w="386" w:type="pct"/>
            <w:tcBorders>
              <w:top w:val="single" w:color="auto" w:sz="4" w:space="0"/>
              <w:bottom w:val="single" w:color="auto" w:sz="4" w:space="0"/>
            </w:tcBorders>
            <w:shd w:val="clear" w:color="auto" w:fill="auto"/>
            <w:vAlign w:val="center"/>
          </w:tcPr>
          <w:p w14:paraId="7E2E6311">
            <w:pPr>
              <w:jc w:val="center"/>
              <w:rPr>
                <w:rFonts w:ascii="Times New Roman"/>
                <w:sz w:val="21"/>
                <w:szCs w:val="21"/>
                <w:lang w:bidi="zh-TW"/>
              </w:rPr>
            </w:pPr>
            <w:r>
              <w:rPr>
                <w:rFonts w:hint="eastAsia" w:ascii="Times New Roman"/>
                <w:sz w:val="21"/>
                <w:szCs w:val="21"/>
              </w:rPr>
              <w:t>137.505</w:t>
            </w:r>
          </w:p>
        </w:tc>
        <w:tc>
          <w:tcPr>
            <w:tcW w:w="377" w:type="pct"/>
            <w:tcBorders>
              <w:top w:val="single" w:color="auto" w:sz="4" w:space="0"/>
              <w:bottom w:val="single" w:color="auto" w:sz="4" w:space="0"/>
            </w:tcBorders>
            <w:shd w:val="clear" w:color="auto" w:fill="auto"/>
            <w:vAlign w:val="center"/>
          </w:tcPr>
          <w:p w14:paraId="315424E5">
            <w:pPr>
              <w:jc w:val="center"/>
              <w:rPr>
                <w:rFonts w:ascii="Times New Roman"/>
                <w:sz w:val="21"/>
                <w:szCs w:val="21"/>
                <w:lang w:bidi="zh-TW"/>
              </w:rPr>
            </w:pPr>
            <w:r>
              <w:rPr>
                <w:rFonts w:hint="eastAsia" w:ascii="Times New Roman"/>
                <w:sz w:val="21"/>
                <w:szCs w:val="21"/>
                <w:lang w:bidi="zh-TW"/>
              </w:rPr>
              <w:t>0.938</w:t>
            </w:r>
          </w:p>
        </w:tc>
        <w:tc>
          <w:tcPr>
            <w:tcW w:w="389" w:type="pct"/>
            <w:tcBorders>
              <w:top w:val="single" w:color="auto" w:sz="4" w:space="0"/>
              <w:bottom w:val="single" w:color="auto" w:sz="4" w:space="0"/>
            </w:tcBorders>
            <w:shd w:val="clear" w:color="auto" w:fill="auto"/>
            <w:vAlign w:val="center"/>
          </w:tcPr>
          <w:p w14:paraId="3156BE02">
            <w:pPr>
              <w:jc w:val="center"/>
              <w:rPr>
                <w:rFonts w:ascii="Times New Roman"/>
                <w:sz w:val="21"/>
                <w:szCs w:val="21"/>
                <w:lang w:bidi="zh-TW"/>
              </w:rPr>
            </w:pPr>
            <w:r>
              <w:rPr>
                <w:rFonts w:hint="eastAsia" w:ascii="Times New Roman"/>
                <w:sz w:val="21"/>
                <w:szCs w:val="21"/>
              </w:rPr>
              <w:t>6.756</w:t>
            </w:r>
          </w:p>
        </w:tc>
        <w:tc>
          <w:tcPr>
            <w:tcW w:w="386" w:type="pct"/>
            <w:tcBorders>
              <w:top w:val="single" w:color="auto" w:sz="4" w:space="0"/>
              <w:bottom w:val="single" w:color="auto" w:sz="4" w:space="0"/>
            </w:tcBorders>
            <w:shd w:val="clear" w:color="auto" w:fill="auto"/>
            <w:vAlign w:val="center"/>
          </w:tcPr>
          <w:p w14:paraId="75893EB9">
            <w:pPr>
              <w:jc w:val="center"/>
              <w:rPr>
                <w:rFonts w:ascii="Times New Roman"/>
                <w:sz w:val="21"/>
                <w:szCs w:val="21"/>
              </w:rPr>
            </w:pPr>
            <w:r>
              <w:rPr>
                <w:rFonts w:ascii="Times New Roman"/>
                <w:sz w:val="21"/>
                <w:szCs w:val="21"/>
              </w:rPr>
              <w:t>30</w:t>
            </w:r>
            <w:r>
              <w:rPr>
                <w:rFonts w:hint="eastAsia" w:ascii="Times New Roman"/>
                <w:sz w:val="21"/>
                <w:szCs w:val="21"/>
              </w:rPr>
              <w:t>0</w:t>
            </w:r>
          </w:p>
        </w:tc>
      </w:tr>
      <w:tr w14:paraId="2690E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440" w:type="pct"/>
            <w:vMerge w:val="continue"/>
            <w:shd w:val="clear" w:color="auto" w:fill="auto"/>
            <w:vAlign w:val="center"/>
          </w:tcPr>
          <w:p w14:paraId="7AEFBCFA">
            <w:pPr>
              <w:jc w:val="center"/>
              <w:rPr>
                <w:rFonts w:ascii="Times New Roman"/>
                <w:sz w:val="21"/>
                <w:szCs w:val="21"/>
              </w:rPr>
            </w:pPr>
          </w:p>
        </w:tc>
        <w:tc>
          <w:tcPr>
            <w:tcW w:w="444" w:type="pct"/>
            <w:tcBorders>
              <w:top w:val="single" w:color="auto" w:sz="4" w:space="0"/>
            </w:tcBorders>
            <w:shd w:val="clear" w:color="auto" w:fill="auto"/>
            <w:vAlign w:val="center"/>
          </w:tcPr>
          <w:p w14:paraId="2A064120">
            <w:pPr>
              <w:jc w:val="center"/>
              <w:rPr>
                <w:rFonts w:ascii="Times New Roman"/>
                <w:sz w:val="21"/>
                <w:szCs w:val="21"/>
              </w:rPr>
            </w:pPr>
            <w:r>
              <w:rPr>
                <w:rFonts w:ascii="Times New Roman"/>
                <w:sz w:val="21"/>
                <w:szCs w:val="21"/>
              </w:rPr>
              <w:t>烟气黑度</w:t>
            </w:r>
          </w:p>
        </w:tc>
        <w:tc>
          <w:tcPr>
            <w:tcW w:w="437" w:type="pct"/>
            <w:vMerge w:val="continue"/>
            <w:tcBorders>
              <w:bottom w:val="single" w:color="auto" w:sz="4" w:space="0"/>
            </w:tcBorders>
            <w:vAlign w:val="center"/>
          </w:tcPr>
          <w:p w14:paraId="4DCCC277">
            <w:pPr>
              <w:jc w:val="center"/>
              <w:rPr>
                <w:rFonts w:ascii="Times New Roman"/>
                <w:sz w:val="21"/>
                <w:szCs w:val="21"/>
              </w:rPr>
            </w:pPr>
          </w:p>
        </w:tc>
        <w:tc>
          <w:tcPr>
            <w:tcW w:w="405" w:type="pct"/>
            <w:tcBorders>
              <w:top w:val="single" w:color="auto" w:sz="4" w:space="0"/>
            </w:tcBorders>
            <w:shd w:val="clear" w:color="auto" w:fill="auto"/>
            <w:vAlign w:val="center"/>
          </w:tcPr>
          <w:p w14:paraId="48F4E810">
            <w:pPr>
              <w:jc w:val="center"/>
              <w:rPr>
                <w:rFonts w:ascii="Times New Roman"/>
                <w:sz w:val="21"/>
                <w:szCs w:val="21"/>
                <w:lang w:bidi="zh-TW"/>
              </w:rPr>
            </w:pPr>
            <w:r>
              <w:rPr>
                <w:rFonts w:ascii="Times New Roman"/>
                <w:sz w:val="21"/>
                <w:szCs w:val="21"/>
                <w:lang w:bidi="zh-TW"/>
              </w:rPr>
              <w:t>≤1级</w:t>
            </w:r>
          </w:p>
        </w:tc>
        <w:tc>
          <w:tcPr>
            <w:tcW w:w="370" w:type="pct"/>
            <w:tcBorders>
              <w:top w:val="single" w:color="auto" w:sz="4" w:space="0"/>
            </w:tcBorders>
            <w:shd w:val="clear" w:color="auto" w:fill="auto"/>
            <w:vAlign w:val="center"/>
          </w:tcPr>
          <w:p w14:paraId="7A92BB10">
            <w:pPr>
              <w:jc w:val="center"/>
              <w:rPr>
                <w:rFonts w:ascii="Times New Roman"/>
                <w:sz w:val="21"/>
                <w:szCs w:val="21"/>
                <w:lang w:bidi="zh-TW"/>
              </w:rPr>
            </w:pPr>
            <w:r>
              <w:rPr>
                <w:rFonts w:hint="eastAsia" w:ascii="Times New Roman"/>
                <w:sz w:val="21"/>
                <w:szCs w:val="21"/>
                <w:lang w:bidi="zh-TW"/>
              </w:rPr>
              <w:t>/</w:t>
            </w:r>
          </w:p>
        </w:tc>
        <w:tc>
          <w:tcPr>
            <w:tcW w:w="406" w:type="pct"/>
            <w:tcBorders>
              <w:top w:val="single" w:color="auto" w:sz="4" w:space="0"/>
            </w:tcBorders>
            <w:shd w:val="clear" w:color="auto" w:fill="auto"/>
            <w:vAlign w:val="center"/>
          </w:tcPr>
          <w:p w14:paraId="077BD4B1">
            <w:pPr>
              <w:jc w:val="center"/>
              <w:rPr>
                <w:rFonts w:ascii="Times New Roman"/>
                <w:sz w:val="21"/>
                <w:szCs w:val="21"/>
                <w:lang w:bidi="zh-TW"/>
              </w:rPr>
            </w:pPr>
            <w:r>
              <w:rPr>
                <w:rFonts w:hint="eastAsia" w:ascii="Times New Roman"/>
                <w:sz w:val="21"/>
                <w:szCs w:val="21"/>
                <w:lang w:bidi="zh-TW"/>
              </w:rPr>
              <w:t>/</w:t>
            </w:r>
          </w:p>
        </w:tc>
        <w:tc>
          <w:tcPr>
            <w:tcW w:w="298" w:type="pct"/>
            <w:vMerge w:val="continue"/>
            <w:vAlign w:val="center"/>
          </w:tcPr>
          <w:p w14:paraId="69D119DC">
            <w:pPr>
              <w:jc w:val="center"/>
              <w:rPr>
                <w:rFonts w:ascii="Times New Roman"/>
                <w:sz w:val="21"/>
                <w:szCs w:val="21"/>
              </w:rPr>
            </w:pPr>
          </w:p>
        </w:tc>
        <w:tc>
          <w:tcPr>
            <w:tcW w:w="358" w:type="pct"/>
            <w:vMerge w:val="continue"/>
            <w:vAlign w:val="center"/>
          </w:tcPr>
          <w:p w14:paraId="351B19D8">
            <w:pPr>
              <w:jc w:val="center"/>
              <w:rPr>
                <w:rFonts w:ascii="Times New Roman"/>
                <w:kern w:val="0"/>
                <w:sz w:val="21"/>
                <w:szCs w:val="21"/>
              </w:rPr>
            </w:pPr>
          </w:p>
        </w:tc>
        <w:tc>
          <w:tcPr>
            <w:tcW w:w="300" w:type="pct"/>
            <w:tcBorders>
              <w:top w:val="single" w:color="auto" w:sz="4" w:space="0"/>
            </w:tcBorders>
            <w:shd w:val="clear" w:color="auto" w:fill="auto"/>
            <w:vAlign w:val="center"/>
          </w:tcPr>
          <w:p w14:paraId="096FC327">
            <w:pPr>
              <w:jc w:val="center"/>
              <w:rPr>
                <w:rFonts w:ascii="Times New Roman"/>
                <w:sz w:val="21"/>
                <w:szCs w:val="21"/>
              </w:rPr>
            </w:pPr>
            <w:r>
              <w:rPr>
                <w:rFonts w:ascii="Times New Roman"/>
                <w:sz w:val="21"/>
                <w:szCs w:val="21"/>
              </w:rPr>
              <w:t>/</w:t>
            </w:r>
          </w:p>
        </w:tc>
        <w:tc>
          <w:tcPr>
            <w:tcW w:w="386" w:type="pct"/>
            <w:tcBorders>
              <w:top w:val="single" w:color="auto" w:sz="4" w:space="0"/>
            </w:tcBorders>
            <w:shd w:val="clear" w:color="auto" w:fill="auto"/>
            <w:vAlign w:val="center"/>
          </w:tcPr>
          <w:p w14:paraId="7DBB9304">
            <w:pPr>
              <w:jc w:val="center"/>
              <w:rPr>
                <w:rFonts w:ascii="Times New Roman"/>
                <w:sz w:val="21"/>
                <w:szCs w:val="21"/>
                <w:lang w:bidi="zh-TW"/>
              </w:rPr>
            </w:pPr>
            <w:r>
              <w:rPr>
                <w:rFonts w:ascii="Times New Roman"/>
                <w:sz w:val="21"/>
                <w:szCs w:val="21"/>
                <w:lang w:bidi="zh-TW"/>
              </w:rPr>
              <w:t>≤1级</w:t>
            </w:r>
          </w:p>
        </w:tc>
        <w:tc>
          <w:tcPr>
            <w:tcW w:w="377" w:type="pct"/>
            <w:tcBorders>
              <w:top w:val="single" w:color="auto" w:sz="4" w:space="0"/>
            </w:tcBorders>
            <w:shd w:val="clear" w:color="auto" w:fill="auto"/>
            <w:vAlign w:val="center"/>
          </w:tcPr>
          <w:p w14:paraId="575FD0E7">
            <w:pPr>
              <w:jc w:val="center"/>
              <w:rPr>
                <w:rFonts w:ascii="Times New Roman"/>
                <w:sz w:val="21"/>
                <w:szCs w:val="21"/>
                <w:lang w:bidi="zh-TW"/>
              </w:rPr>
            </w:pPr>
            <w:r>
              <w:rPr>
                <w:rFonts w:hint="eastAsia" w:ascii="Times New Roman"/>
                <w:sz w:val="21"/>
                <w:szCs w:val="21"/>
                <w:lang w:bidi="zh-TW"/>
              </w:rPr>
              <w:t>/</w:t>
            </w:r>
          </w:p>
        </w:tc>
        <w:tc>
          <w:tcPr>
            <w:tcW w:w="389" w:type="pct"/>
            <w:tcBorders>
              <w:top w:val="single" w:color="auto" w:sz="4" w:space="0"/>
            </w:tcBorders>
            <w:shd w:val="clear" w:color="auto" w:fill="auto"/>
            <w:vAlign w:val="center"/>
          </w:tcPr>
          <w:p w14:paraId="66365348">
            <w:pPr>
              <w:jc w:val="center"/>
              <w:rPr>
                <w:rFonts w:ascii="Times New Roman"/>
                <w:sz w:val="21"/>
                <w:szCs w:val="21"/>
                <w:lang w:bidi="zh-TW"/>
              </w:rPr>
            </w:pPr>
            <w:r>
              <w:rPr>
                <w:rFonts w:hint="eastAsia" w:ascii="Times New Roman"/>
                <w:sz w:val="21"/>
                <w:szCs w:val="21"/>
                <w:lang w:bidi="zh-TW"/>
              </w:rPr>
              <w:t>/</w:t>
            </w:r>
          </w:p>
        </w:tc>
        <w:tc>
          <w:tcPr>
            <w:tcW w:w="386" w:type="pct"/>
            <w:tcBorders>
              <w:top w:val="single" w:color="auto" w:sz="4" w:space="0"/>
            </w:tcBorders>
            <w:shd w:val="clear" w:color="auto" w:fill="auto"/>
            <w:vAlign w:val="center"/>
          </w:tcPr>
          <w:p w14:paraId="41D228C0">
            <w:pPr>
              <w:jc w:val="center"/>
              <w:rPr>
                <w:rFonts w:ascii="Times New Roman"/>
                <w:sz w:val="21"/>
                <w:szCs w:val="21"/>
              </w:rPr>
            </w:pPr>
            <w:r>
              <w:rPr>
                <w:rFonts w:ascii="Times New Roman"/>
                <w:sz w:val="21"/>
                <w:szCs w:val="21"/>
                <w:lang w:bidi="zh-TW"/>
              </w:rPr>
              <w:t>≤1级</w:t>
            </w:r>
          </w:p>
        </w:tc>
      </w:tr>
      <w:tr w14:paraId="05563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tcBorders>
              <w:bottom w:val="single" w:color="auto" w:sz="4" w:space="0"/>
            </w:tcBorders>
            <w:vAlign w:val="center"/>
          </w:tcPr>
          <w:p w14:paraId="15C3233A">
            <w:pPr>
              <w:jc w:val="center"/>
              <w:rPr>
                <w:rFonts w:ascii="Times New Roman"/>
                <w:sz w:val="21"/>
                <w:szCs w:val="21"/>
              </w:rPr>
            </w:pPr>
            <w:r>
              <w:rPr>
                <w:rFonts w:ascii="Times New Roman"/>
                <w:sz w:val="21"/>
                <w:szCs w:val="21"/>
              </w:rPr>
              <w:t>喷塑废气(DA010)</w:t>
            </w:r>
          </w:p>
        </w:tc>
        <w:tc>
          <w:tcPr>
            <w:tcW w:w="444" w:type="pct"/>
            <w:tcBorders>
              <w:bottom w:val="single" w:color="auto" w:sz="4" w:space="0"/>
            </w:tcBorders>
            <w:vAlign w:val="center"/>
          </w:tcPr>
          <w:p w14:paraId="0820FB33">
            <w:pPr>
              <w:jc w:val="center"/>
              <w:rPr>
                <w:rFonts w:ascii="Times New Roman"/>
                <w:sz w:val="21"/>
                <w:szCs w:val="21"/>
              </w:rPr>
            </w:pPr>
            <w:r>
              <w:rPr>
                <w:rFonts w:ascii="Times New Roman"/>
                <w:sz w:val="21"/>
                <w:szCs w:val="21"/>
              </w:rPr>
              <w:t>颗粒物</w:t>
            </w:r>
          </w:p>
        </w:tc>
        <w:tc>
          <w:tcPr>
            <w:tcW w:w="437" w:type="pct"/>
            <w:tcBorders>
              <w:top w:val="single" w:color="auto" w:sz="4" w:space="0"/>
              <w:bottom w:val="single" w:color="auto" w:sz="4" w:space="0"/>
            </w:tcBorders>
            <w:vAlign w:val="center"/>
          </w:tcPr>
          <w:p w14:paraId="6212D9E0">
            <w:pPr>
              <w:jc w:val="center"/>
              <w:rPr>
                <w:rFonts w:ascii="Times New Roman"/>
                <w:sz w:val="21"/>
                <w:szCs w:val="21"/>
              </w:rPr>
            </w:pPr>
            <w:r>
              <w:rPr>
                <w:rFonts w:ascii="Times New Roman"/>
                <w:sz w:val="21"/>
                <w:szCs w:val="21"/>
              </w:rPr>
              <w:t>10000</w:t>
            </w:r>
          </w:p>
        </w:tc>
        <w:tc>
          <w:tcPr>
            <w:tcW w:w="405" w:type="pct"/>
            <w:tcBorders>
              <w:bottom w:val="single" w:color="auto" w:sz="4" w:space="0"/>
            </w:tcBorders>
            <w:vAlign w:val="center"/>
          </w:tcPr>
          <w:p w14:paraId="128FBE94">
            <w:pPr>
              <w:jc w:val="center"/>
              <w:rPr>
                <w:rFonts w:ascii="Times New Roman"/>
                <w:sz w:val="21"/>
                <w:szCs w:val="21"/>
              </w:rPr>
            </w:pPr>
            <w:r>
              <w:rPr>
                <w:rFonts w:ascii="Times New Roman"/>
                <w:sz w:val="21"/>
                <w:szCs w:val="21"/>
              </w:rPr>
              <w:t>291.667</w:t>
            </w:r>
          </w:p>
        </w:tc>
        <w:tc>
          <w:tcPr>
            <w:tcW w:w="370" w:type="pct"/>
            <w:tcBorders>
              <w:bottom w:val="single" w:color="auto" w:sz="4" w:space="0"/>
            </w:tcBorders>
            <w:vAlign w:val="center"/>
          </w:tcPr>
          <w:p w14:paraId="4F0E6782">
            <w:pPr>
              <w:jc w:val="center"/>
              <w:rPr>
                <w:rFonts w:ascii="Times New Roman"/>
                <w:sz w:val="21"/>
                <w:szCs w:val="21"/>
              </w:rPr>
            </w:pPr>
            <w:r>
              <w:rPr>
                <w:rFonts w:ascii="Times New Roman"/>
                <w:sz w:val="21"/>
                <w:szCs w:val="21"/>
              </w:rPr>
              <w:t>2.917</w:t>
            </w:r>
          </w:p>
        </w:tc>
        <w:tc>
          <w:tcPr>
            <w:tcW w:w="406" w:type="pct"/>
            <w:tcBorders>
              <w:bottom w:val="single" w:color="auto" w:sz="4" w:space="0"/>
            </w:tcBorders>
            <w:vAlign w:val="center"/>
          </w:tcPr>
          <w:p w14:paraId="586BF205">
            <w:pPr>
              <w:jc w:val="center"/>
              <w:rPr>
                <w:rFonts w:ascii="Times New Roman"/>
                <w:sz w:val="21"/>
                <w:szCs w:val="21"/>
              </w:rPr>
            </w:pPr>
            <w:r>
              <w:rPr>
                <w:rFonts w:ascii="Times New Roman"/>
                <w:sz w:val="21"/>
                <w:szCs w:val="21"/>
              </w:rPr>
              <w:t>21</w:t>
            </w:r>
          </w:p>
        </w:tc>
        <w:tc>
          <w:tcPr>
            <w:tcW w:w="298" w:type="pct"/>
            <w:tcBorders>
              <w:bottom w:val="single" w:color="auto" w:sz="4" w:space="0"/>
            </w:tcBorders>
            <w:vAlign w:val="center"/>
          </w:tcPr>
          <w:p w14:paraId="4D3049E4">
            <w:pPr>
              <w:jc w:val="center"/>
              <w:rPr>
                <w:rFonts w:ascii="Times New Roman"/>
                <w:sz w:val="21"/>
                <w:szCs w:val="21"/>
              </w:rPr>
            </w:pPr>
            <w:r>
              <w:rPr>
                <w:rFonts w:ascii="Times New Roman"/>
                <w:sz w:val="21"/>
                <w:szCs w:val="21"/>
              </w:rPr>
              <w:t>95</w:t>
            </w:r>
          </w:p>
        </w:tc>
        <w:tc>
          <w:tcPr>
            <w:tcW w:w="358" w:type="pct"/>
            <w:tcBorders>
              <w:bottom w:val="single" w:color="auto" w:sz="4" w:space="0"/>
            </w:tcBorders>
            <w:vAlign w:val="center"/>
          </w:tcPr>
          <w:p w14:paraId="160B70B7">
            <w:pPr>
              <w:jc w:val="center"/>
              <w:rPr>
                <w:rFonts w:ascii="Times New Roman"/>
                <w:sz w:val="21"/>
                <w:szCs w:val="21"/>
              </w:rPr>
            </w:pPr>
            <w:r>
              <w:rPr>
                <w:rFonts w:ascii="Times New Roman"/>
                <w:kern w:val="0"/>
                <w:sz w:val="21"/>
                <w:szCs w:val="21"/>
              </w:rPr>
              <w:t>滤筒除尘器</w:t>
            </w:r>
          </w:p>
        </w:tc>
        <w:tc>
          <w:tcPr>
            <w:tcW w:w="300" w:type="pct"/>
            <w:vAlign w:val="center"/>
          </w:tcPr>
          <w:p w14:paraId="301A04FC">
            <w:pPr>
              <w:jc w:val="center"/>
              <w:rPr>
                <w:rFonts w:ascii="Times New Roman"/>
                <w:sz w:val="21"/>
                <w:szCs w:val="21"/>
              </w:rPr>
            </w:pPr>
            <w:r>
              <w:rPr>
                <w:rFonts w:ascii="Times New Roman"/>
                <w:sz w:val="21"/>
                <w:szCs w:val="21"/>
              </w:rPr>
              <w:t>50</w:t>
            </w:r>
          </w:p>
        </w:tc>
        <w:tc>
          <w:tcPr>
            <w:tcW w:w="386" w:type="pct"/>
            <w:vAlign w:val="center"/>
          </w:tcPr>
          <w:p w14:paraId="354E3E20">
            <w:pPr>
              <w:jc w:val="center"/>
              <w:rPr>
                <w:rFonts w:ascii="Times New Roman"/>
                <w:sz w:val="21"/>
                <w:szCs w:val="21"/>
              </w:rPr>
            </w:pPr>
            <w:r>
              <w:rPr>
                <w:rFonts w:hint="eastAsia" w:ascii="Times New Roman"/>
                <w:sz w:val="21"/>
                <w:szCs w:val="21"/>
              </w:rPr>
              <w:t>415.625</w:t>
            </w:r>
          </w:p>
        </w:tc>
        <w:tc>
          <w:tcPr>
            <w:tcW w:w="377" w:type="pct"/>
            <w:vAlign w:val="center"/>
          </w:tcPr>
          <w:p w14:paraId="4B852BDB">
            <w:pPr>
              <w:jc w:val="center"/>
              <w:rPr>
                <w:rFonts w:ascii="Times New Roman"/>
                <w:sz w:val="21"/>
                <w:szCs w:val="21"/>
              </w:rPr>
            </w:pPr>
            <w:r>
              <w:rPr>
                <w:rFonts w:hint="eastAsia" w:ascii="Times New Roman"/>
                <w:sz w:val="21"/>
                <w:szCs w:val="21"/>
              </w:rPr>
              <w:t>4.156</w:t>
            </w:r>
          </w:p>
        </w:tc>
        <w:tc>
          <w:tcPr>
            <w:tcW w:w="389" w:type="pct"/>
            <w:vAlign w:val="center"/>
          </w:tcPr>
          <w:p w14:paraId="5E1CBEC9">
            <w:pPr>
              <w:jc w:val="center"/>
              <w:rPr>
                <w:rFonts w:ascii="Times New Roman"/>
                <w:sz w:val="21"/>
                <w:szCs w:val="21"/>
              </w:rPr>
            </w:pPr>
            <w:r>
              <w:rPr>
                <w:rFonts w:ascii="Times New Roman"/>
                <w:sz w:val="21"/>
                <w:szCs w:val="21"/>
              </w:rPr>
              <w:t>9.975</w:t>
            </w:r>
          </w:p>
        </w:tc>
        <w:tc>
          <w:tcPr>
            <w:tcW w:w="386" w:type="pct"/>
            <w:tcBorders>
              <w:bottom w:val="single" w:color="auto" w:sz="4" w:space="0"/>
            </w:tcBorders>
            <w:shd w:val="clear" w:color="auto" w:fill="auto"/>
            <w:vAlign w:val="center"/>
          </w:tcPr>
          <w:p w14:paraId="5138E3A3">
            <w:pPr>
              <w:jc w:val="center"/>
              <w:rPr>
                <w:rFonts w:ascii="Times New Roman"/>
                <w:sz w:val="21"/>
                <w:szCs w:val="21"/>
              </w:rPr>
            </w:pPr>
            <w:r>
              <w:rPr>
                <w:rFonts w:hint="eastAsia" w:ascii="Times New Roman"/>
                <w:sz w:val="21"/>
                <w:szCs w:val="21"/>
              </w:rPr>
              <w:t>18</w:t>
            </w:r>
          </w:p>
        </w:tc>
      </w:tr>
      <w:tr w14:paraId="301D7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restart"/>
            <w:tcBorders>
              <w:top w:val="single" w:color="auto" w:sz="4" w:space="0"/>
            </w:tcBorders>
            <w:vAlign w:val="center"/>
          </w:tcPr>
          <w:p w14:paraId="213DD863">
            <w:pPr>
              <w:jc w:val="center"/>
              <w:rPr>
                <w:rFonts w:ascii="Times New Roman"/>
                <w:sz w:val="21"/>
                <w:szCs w:val="21"/>
              </w:rPr>
            </w:pPr>
            <w:r>
              <w:rPr>
                <w:rFonts w:ascii="Times New Roman"/>
                <w:sz w:val="21"/>
                <w:szCs w:val="21"/>
              </w:rPr>
              <w:t>喷塑后固化、强冷废气(DA011)</w:t>
            </w:r>
          </w:p>
        </w:tc>
        <w:tc>
          <w:tcPr>
            <w:tcW w:w="444" w:type="pct"/>
            <w:tcBorders>
              <w:top w:val="single" w:color="auto" w:sz="4" w:space="0"/>
            </w:tcBorders>
            <w:vAlign w:val="center"/>
          </w:tcPr>
          <w:p w14:paraId="6726662D">
            <w:pPr>
              <w:jc w:val="center"/>
              <w:rPr>
                <w:rFonts w:ascii="Times New Roman"/>
                <w:sz w:val="21"/>
                <w:szCs w:val="21"/>
              </w:rPr>
            </w:pPr>
            <w:r>
              <w:rPr>
                <w:rFonts w:ascii="Times New Roman"/>
                <w:sz w:val="21"/>
                <w:szCs w:val="21"/>
              </w:rPr>
              <w:t>非甲烷总烃</w:t>
            </w:r>
          </w:p>
        </w:tc>
        <w:tc>
          <w:tcPr>
            <w:tcW w:w="437" w:type="pct"/>
            <w:vMerge w:val="restart"/>
            <w:tcBorders>
              <w:top w:val="single" w:color="auto" w:sz="4" w:space="0"/>
            </w:tcBorders>
            <w:vAlign w:val="center"/>
          </w:tcPr>
          <w:p w14:paraId="769C3680">
            <w:pPr>
              <w:jc w:val="center"/>
              <w:rPr>
                <w:rFonts w:ascii="Times New Roman"/>
                <w:sz w:val="21"/>
                <w:szCs w:val="21"/>
              </w:rPr>
            </w:pPr>
            <w:r>
              <w:rPr>
                <w:rFonts w:ascii="Times New Roman"/>
                <w:sz w:val="21"/>
                <w:szCs w:val="21"/>
              </w:rPr>
              <w:t>8000</w:t>
            </w:r>
          </w:p>
        </w:tc>
        <w:tc>
          <w:tcPr>
            <w:tcW w:w="405" w:type="pct"/>
            <w:tcBorders>
              <w:top w:val="single" w:color="auto" w:sz="4" w:space="0"/>
            </w:tcBorders>
            <w:vAlign w:val="center"/>
          </w:tcPr>
          <w:p w14:paraId="77518F9C">
            <w:pPr>
              <w:jc w:val="center"/>
              <w:rPr>
                <w:rFonts w:ascii="Times New Roman"/>
                <w:sz w:val="21"/>
                <w:szCs w:val="21"/>
              </w:rPr>
            </w:pPr>
            <w:r>
              <w:rPr>
                <w:rFonts w:ascii="Times New Roman"/>
                <w:sz w:val="21"/>
                <w:szCs w:val="21"/>
              </w:rPr>
              <w:t>4.375</w:t>
            </w:r>
          </w:p>
        </w:tc>
        <w:tc>
          <w:tcPr>
            <w:tcW w:w="370" w:type="pct"/>
            <w:tcBorders>
              <w:top w:val="single" w:color="auto" w:sz="4" w:space="0"/>
            </w:tcBorders>
            <w:vAlign w:val="center"/>
          </w:tcPr>
          <w:p w14:paraId="0334B133">
            <w:pPr>
              <w:jc w:val="center"/>
              <w:rPr>
                <w:rFonts w:ascii="Times New Roman"/>
                <w:sz w:val="21"/>
                <w:szCs w:val="21"/>
              </w:rPr>
            </w:pPr>
            <w:r>
              <w:rPr>
                <w:rFonts w:ascii="Times New Roman"/>
                <w:sz w:val="21"/>
                <w:szCs w:val="21"/>
              </w:rPr>
              <w:t>0.035</w:t>
            </w:r>
          </w:p>
        </w:tc>
        <w:tc>
          <w:tcPr>
            <w:tcW w:w="406" w:type="pct"/>
            <w:tcBorders>
              <w:top w:val="single" w:color="auto" w:sz="4" w:space="0"/>
            </w:tcBorders>
            <w:vAlign w:val="center"/>
          </w:tcPr>
          <w:p w14:paraId="18C91ED4">
            <w:pPr>
              <w:jc w:val="center"/>
              <w:rPr>
                <w:rFonts w:ascii="Times New Roman"/>
                <w:sz w:val="21"/>
                <w:szCs w:val="21"/>
              </w:rPr>
            </w:pPr>
            <w:r>
              <w:rPr>
                <w:rFonts w:ascii="Times New Roman"/>
                <w:sz w:val="21"/>
                <w:szCs w:val="21"/>
              </w:rPr>
              <w:t>0.084</w:t>
            </w:r>
          </w:p>
        </w:tc>
        <w:tc>
          <w:tcPr>
            <w:tcW w:w="298" w:type="pct"/>
            <w:vMerge w:val="restart"/>
            <w:tcBorders>
              <w:top w:val="single" w:color="auto" w:sz="4" w:space="0"/>
            </w:tcBorders>
            <w:vAlign w:val="center"/>
          </w:tcPr>
          <w:p w14:paraId="558E8308">
            <w:pPr>
              <w:jc w:val="center"/>
              <w:rPr>
                <w:rFonts w:ascii="Times New Roman"/>
                <w:sz w:val="21"/>
                <w:szCs w:val="21"/>
              </w:rPr>
            </w:pPr>
            <w:r>
              <w:rPr>
                <w:rFonts w:ascii="Times New Roman"/>
                <w:sz w:val="21"/>
                <w:szCs w:val="21"/>
              </w:rPr>
              <w:t>95</w:t>
            </w:r>
          </w:p>
        </w:tc>
        <w:tc>
          <w:tcPr>
            <w:tcW w:w="358" w:type="pct"/>
            <w:vMerge w:val="restart"/>
            <w:tcBorders>
              <w:top w:val="single" w:color="auto" w:sz="4" w:space="0"/>
            </w:tcBorders>
            <w:vAlign w:val="center"/>
          </w:tcPr>
          <w:p w14:paraId="35B52BFA">
            <w:pPr>
              <w:jc w:val="center"/>
              <w:rPr>
                <w:rFonts w:ascii="Times New Roman"/>
                <w:sz w:val="21"/>
                <w:szCs w:val="21"/>
              </w:rPr>
            </w:pPr>
            <w:r>
              <w:rPr>
                <w:rFonts w:hint="eastAsia" w:ascii="Times New Roman"/>
                <w:kern w:val="0"/>
                <w:sz w:val="21"/>
                <w:szCs w:val="21"/>
              </w:rPr>
              <w:t>水喷淋+</w:t>
            </w:r>
            <w:r>
              <w:rPr>
                <w:rFonts w:ascii="Times New Roman"/>
                <w:kern w:val="0"/>
                <w:sz w:val="21"/>
                <w:szCs w:val="21"/>
              </w:rPr>
              <w:t>二级活性炭吸附装置</w:t>
            </w:r>
          </w:p>
        </w:tc>
        <w:tc>
          <w:tcPr>
            <w:tcW w:w="300" w:type="pct"/>
            <w:vAlign w:val="center"/>
          </w:tcPr>
          <w:p w14:paraId="0F837DBA">
            <w:pPr>
              <w:jc w:val="center"/>
              <w:rPr>
                <w:rFonts w:ascii="Times New Roman"/>
                <w:sz w:val="21"/>
                <w:szCs w:val="21"/>
              </w:rPr>
            </w:pPr>
            <w:r>
              <w:rPr>
                <w:rFonts w:ascii="Times New Roman"/>
                <w:sz w:val="21"/>
                <w:szCs w:val="21"/>
              </w:rPr>
              <w:t>0</w:t>
            </w:r>
          </w:p>
        </w:tc>
        <w:tc>
          <w:tcPr>
            <w:tcW w:w="386" w:type="pct"/>
            <w:shd w:val="clear" w:color="auto" w:fill="auto"/>
            <w:vAlign w:val="center"/>
          </w:tcPr>
          <w:p w14:paraId="137478AA">
            <w:pPr>
              <w:jc w:val="center"/>
              <w:rPr>
                <w:rFonts w:ascii="Times New Roman"/>
                <w:sz w:val="21"/>
                <w:szCs w:val="21"/>
              </w:rPr>
            </w:pPr>
            <w:r>
              <w:rPr>
                <w:rFonts w:ascii="Times New Roman"/>
                <w:sz w:val="21"/>
                <w:szCs w:val="21"/>
              </w:rPr>
              <w:t>4.375</w:t>
            </w:r>
          </w:p>
        </w:tc>
        <w:tc>
          <w:tcPr>
            <w:tcW w:w="377" w:type="pct"/>
            <w:shd w:val="clear" w:color="auto" w:fill="auto"/>
            <w:vAlign w:val="center"/>
          </w:tcPr>
          <w:p w14:paraId="137160CD">
            <w:pPr>
              <w:jc w:val="center"/>
              <w:rPr>
                <w:rFonts w:ascii="Times New Roman"/>
                <w:sz w:val="21"/>
                <w:szCs w:val="21"/>
              </w:rPr>
            </w:pPr>
            <w:r>
              <w:rPr>
                <w:rFonts w:ascii="Times New Roman"/>
                <w:sz w:val="21"/>
                <w:szCs w:val="21"/>
              </w:rPr>
              <w:t>0.035</w:t>
            </w:r>
          </w:p>
        </w:tc>
        <w:tc>
          <w:tcPr>
            <w:tcW w:w="389" w:type="pct"/>
            <w:shd w:val="clear" w:color="auto" w:fill="auto"/>
            <w:vAlign w:val="center"/>
          </w:tcPr>
          <w:p w14:paraId="7705F167">
            <w:pPr>
              <w:jc w:val="center"/>
              <w:rPr>
                <w:rFonts w:ascii="Times New Roman"/>
                <w:sz w:val="21"/>
                <w:szCs w:val="21"/>
              </w:rPr>
            </w:pPr>
            <w:r>
              <w:rPr>
                <w:rFonts w:ascii="Times New Roman"/>
                <w:sz w:val="21"/>
                <w:szCs w:val="21"/>
              </w:rPr>
              <w:t>0.084</w:t>
            </w:r>
          </w:p>
        </w:tc>
        <w:tc>
          <w:tcPr>
            <w:tcW w:w="386" w:type="pct"/>
            <w:tcBorders>
              <w:top w:val="single" w:color="auto" w:sz="4" w:space="0"/>
            </w:tcBorders>
            <w:shd w:val="clear" w:color="auto" w:fill="auto"/>
            <w:vAlign w:val="center"/>
          </w:tcPr>
          <w:p w14:paraId="26CF9DAA">
            <w:pPr>
              <w:jc w:val="center"/>
              <w:rPr>
                <w:rFonts w:ascii="Times New Roman"/>
                <w:sz w:val="21"/>
                <w:szCs w:val="21"/>
              </w:rPr>
            </w:pPr>
            <w:r>
              <w:rPr>
                <w:rFonts w:hint="eastAsia" w:ascii="Times New Roman"/>
                <w:sz w:val="21"/>
                <w:szCs w:val="21"/>
              </w:rPr>
              <w:t>6</w:t>
            </w:r>
            <w:r>
              <w:rPr>
                <w:rFonts w:ascii="Times New Roman"/>
                <w:sz w:val="21"/>
                <w:szCs w:val="21"/>
              </w:rPr>
              <w:t>0</w:t>
            </w:r>
          </w:p>
        </w:tc>
      </w:tr>
      <w:tr w14:paraId="56E6B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39299C65">
            <w:pPr>
              <w:jc w:val="center"/>
              <w:rPr>
                <w:rFonts w:ascii="Times New Roman"/>
                <w:sz w:val="21"/>
                <w:szCs w:val="21"/>
              </w:rPr>
            </w:pPr>
          </w:p>
        </w:tc>
        <w:tc>
          <w:tcPr>
            <w:tcW w:w="444" w:type="pct"/>
            <w:tcBorders>
              <w:top w:val="single" w:color="auto" w:sz="4" w:space="0"/>
            </w:tcBorders>
            <w:shd w:val="clear" w:color="auto" w:fill="auto"/>
            <w:vAlign w:val="center"/>
          </w:tcPr>
          <w:p w14:paraId="1C4C0467">
            <w:pPr>
              <w:jc w:val="center"/>
              <w:rPr>
                <w:rFonts w:ascii="Times New Roman"/>
                <w:sz w:val="21"/>
                <w:szCs w:val="21"/>
              </w:rPr>
            </w:pPr>
            <w:r>
              <w:rPr>
                <w:rFonts w:ascii="Times New Roman"/>
                <w:sz w:val="21"/>
                <w:szCs w:val="21"/>
              </w:rPr>
              <w:t>颗粒物</w:t>
            </w:r>
          </w:p>
        </w:tc>
        <w:tc>
          <w:tcPr>
            <w:tcW w:w="437" w:type="pct"/>
            <w:vMerge w:val="continue"/>
            <w:vAlign w:val="center"/>
          </w:tcPr>
          <w:p w14:paraId="1B1F31A2">
            <w:pPr>
              <w:jc w:val="center"/>
              <w:rPr>
                <w:rFonts w:ascii="Times New Roman"/>
                <w:sz w:val="21"/>
                <w:szCs w:val="21"/>
              </w:rPr>
            </w:pPr>
          </w:p>
        </w:tc>
        <w:tc>
          <w:tcPr>
            <w:tcW w:w="405" w:type="pct"/>
            <w:shd w:val="clear" w:color="auto" w:fill="auto"/>
            <w:vAlign w:val="center"/>
          </w:tcPr>
          <w:p w14:paraId="0D5E1F60">
            <w:pPr>
              <w:jc w:val="center"/>
              <w:rPr>
                <w:rFonts w:ascii="Times New Roman"/>
                <w:sz w:val="21"/>
                <w:szCs w:val="21"/>
                <w:lang w:bidi="zh-TW"/>
              </w:rPr>
            </w:pPr>
            <w:r>
              <w:rPr>
                <w:rFonts w:ascii="Times New Roman"/>
                <w:sz w:val="21"/>
                <w:szCs w:val="21"/>
                <w:lang w:bidi="zh-TW"/>
              </w:rPr>
              <w:t>1.662</w:t>
            </w:r>
          </w:p>
        </w:tc>
        <w:tc>
          <w:tcPr>
            <w:tcW w:w="370" w:type="pct"/>
            <w:shd w:val="clear" w:color="auto" w:fill="auto"/>
            <w:vAlign w:val="center"/>
          </w:tcPr>
          <w:p w14:paraId="45EB06F8">
            <w:pPr>
              <w:jc w:val="center"/>
              <w:rPr>
                <w:rFonts w:ascii="Times New Roman"/>
                <w:sz w:val="21"/>
                <w:szCs w:val="21"/>
                <w:lang w:bidi="zh-TW"/>
              </w:rPr>
            </w:pPr>
            <w:r>
              <w:rPr>
                <w:rFonts w:ascii="Times New Roman"/>
                <w:sz w:val="21"/>
                <w:szCs w:val="21"/>
                <w:lang w:bidi="zh-TW"/>
              </w:rPr>
              <w:t>0.013</w:t>
            </w:r>
          </w:p>
        </w:tc>
        <w:tc>
          <w:tcPr>
            <w:tcW w:w="406" w:type="pct"/>
            <w:shd w:val="clear" w:color="auto" w:fill="auto"/>
            <w:vAlign w:val="center"/>
          </w:tcPr>
          <w:p w14:paraId="537A6FA0">
            <w:pPr>
              <w:jc w:val="center"/>
              <w:rPr>
                <w:rFonts w:ascii="Times New Roman"/>
                <w:sz w:val="21"/>
                <w:szCs w:val="21"/>
                <w:lang w:bidi="zh-TW"/>
              </w:rPr>
            </w:pPr>
            <w:r>
              <w:rPr>
                <w:rFonts w:ascii="Times New Roman"/>
                <w:sz w:val="21"/>
                <w:szCs w:val="21"/>
                <w:lang w:bidi="zh-TW"/>
              </w:rPr>
              <w:t>0.032</w:t>
            </w:r>
          </w:p>
        </w:tc>
        <w:tc>
          <w:tcPr>
            <w:tcW w:w="298" w:type="pct"/>
            <w:vMerge w:val="continue"/>
            <w:vAlign w:val="center"/>
          </w:tcPr>
          <w:p w14:paraId="0A511A8F">
            <w:pPr>
              <w:jc w:val="center"/>
              <w:rPr>
                <w:rFonts w:ascii="Times New Roman"/>
                <w:sz w:val="21"/>
                <w:szCs w:val="21"/>
              </w:rPr>
            </w:pPr>
          </w:p>
        </w:tc>
        <w:tc>
          <w:tcPr>
            <w:tcW w:w="358" w:type="pct"/>
            <w:vMerge w:val="continue"/>
            <w:vAlign w:val="center"/>
          </w:tcPr>
          <w:p w14:paraId="46492FB7">
            <w:pPr>
              <w:jc w:val="center"/>
              <w:rPr>
                <w:rFonts w:ascii="Times New Roman"/>
                <w:sz w:val="21"/>
                <w:szCs w:val="21"/>
              </w:rPr>
            </w:pPr>
          </w:p>
        </w:tc>
        <w:tc>
          <w:tcPr>
            <w:tcW w:w="300" w:type="pct"/>
            <w:shd w:val="clear" w:color="auto" w:fill="auto"/>
            <w:vAlign w:val="center"/>
          </w:tcPr>
          <w:p w14:paraId="7B45AA60">
            <w:pPr>
              <w:jc w:val="center"/>
              <w:rPr>
                <w:rFonts w:ascii="Times New Roman"/>
                <w:sz w:val="21"/>
                <w:szCs w:val="21"/>
              </w:rPr>
            </w:pPr>
            <w:r>
              <w:rPr>
                <w:rFonts w:ascii="Times New Roman"/>
                <w:sz w:val="21"/>
                <w:szCs w:val="21"/>
              </w:rPr>
              <w:t>0</w:t>
            </w:r>
          </w:p>
        </w:tc>
        <w:tc>
          <w:tcPr>
            <w:tcW w:w="386" w:type="pct"/>
            <w:shd w:val="clear" w:color="auto" w:fill="auto"/>
            <w:vAlign w:val="center"/>
          </w:tcPr>
          <w:p w14:paraId="591ABA87">
            <w:pPr>
              <w:jc w:val="center"/>
              <w:rPr>
                <w:rFonts w:ascii="Times New Roman"/>
                <w:sz w:val="21"/>
                <w:szCs w:val="21"/>
                <w:lang w:bidi="zh-TW"/>
              </w:rPr>
            </w:pPr>
            <w:r>
              <w:rPr>
                <w:rFonts w:ascii="Times New Roman"/>
                <w:sz w:val="21"/>
                <w:szCs w:val="21"/>
                <w:lang w:bidi="zh-TW"/>
              </w:rPr>
              <w:t>1.662</w:t>
            </w:r>
          </w:p>
        </w:tc>
        <w:tc>
          <w:tcPr>
            <w:tcW w:w="377" w:type="pct"/>
            <w:shd w:val="clear" w:color="auto" w:fill="auto"/>
            <w:vAlign w:val="center"/>
          </w:tcPr>
          <w:p w14:paraId="3C53EFB6">
            <w:pPr>
              <w:jc w:val="center"/>
              <w:rPr>
                <w:rFonts w:ascii="Times New Roman"/>
                <w:sz w:val="21"/>
                <w:szCs w:val="21"/>
                <w:lang w:bidi="zh-TW"/>
              </w:rPr>
            </w:pPr>
            <w:r>
              <w:rPr>
                <w:rFonts w:ascii="Times New Roman"/>
                <w:sz w:val="21"/>
                <w:szCs w:val="21"/>
                <w:lang w:bidi="zh-TW"/>
              </w:rPr>
              <w:t>0.013</w:t>
            </w:r>
          </w:p>
        </w:tc>
        <w:tc>
          <w:tcPr>
            <w:tcW w:w="389" w:type="pct"/>
            <w:shd w:val="clear" w:color="auto" w:fill="auto"/>
            <w:vAlign w:val="center"/>
          </w:tcPr>
          <w:p w14:paraId="31C98900">
            <w:pPr>
              <w:jc w:val="center"/>
              <w:rPr>
                <w:rFonts w:ascii="Times New Roman"/>
                <w:sz w:val="21"/>
                <w:szCs w:val="21"/>
                <w:lang w:bidi="zh-TW"/>
              </w:rPr>
            </w:pPr>
            <w:r>
              <w:rPr>
                <w:rFonts w:ascii="Times New Roman"/>
                <w:sz w:val="21"/>
                <w:szCs w:val="21"/>
                <w:lang w:bidi="zh-TW"/>
              </w:rPr>
              <w:t>0.032</w:t>
            </w:r>
          </w:p>
        </w:tc>
        <w:tc>
          <w:tcPr>
            <w:tcW w:w="386" w:type="pct"/>
            <w:shd w:val="clear" w:color="auto" w:fill="auto"/>
            <w:vAlign w:val="center"/>
          </w:tcPr>
          <w:p w14:paraId="0BC1C36F">
            <w:pPr>
              <w:jc w:val="center"/>
              <w:rPr>
                <w:rFonts w:ascii="Times New Roman"/>
                <w:sz w:val="21"/>
                <w:szCs w:val="21"/>
              </w:rPr>
            </w:pPr>
            <w:r>
              <w:rPr>
                <w:rFonts w:hint="eastAsia" w:ascii="Times New Roman"/>
                <w:sz w:val="21"/>
                <w:szCs w:val="21"/>
              </w:rPr>
              <w:t>30</w:t>
            </w:r>
          </w:p>
        </w:tc>
      </w:tr>
      <w:tr w14:paraId="376B3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02E210BC">
            <w:pPr>
              <w:jc w:val="center"/>
              <w:rPr>
                <w:rFonts w:ascii="Times New Roman"/>
                <w:sz w:val="21"/>
                <w:szCs w:val="21"/>
              </w:rPr>
            </w:pPr>
          </w:p>
        </w:tc>
        <w:tc>
          <w:tcPr>
            <w:tcW w:w="444" w:type="pct"/>
            <w:tcBorders>
              <w:top w:val="single" w:color="auto" w:sz="4" w:space="0"/>
            </w:tcBorders>
            <w:shd w:val="clear" w:color="auto" w:fill="auto"/>
            <w:vAlign w:val="center"/>
          </w:tcPr>
          <w:p w14:paraId="0660412D">
            <w:pPr>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437" w:type="pct"/>
            <w:vMerge w:val="continue"/>
            <w:vAlign w:val="center"/>
          </w:tcPr>
          <w:p w14:paraId="722DE699">
            <w:pPr>
              <w:jc w:val="center"/>
              <w:rPr>
                <w:rFonts w:ascii="Times New Roman"/>
                <w:sz w:val="21"/>
                <w:szCs w:val="21"/>
              </w:rPr>
            </w:pPr>
          </w:p>
        </w:tc>
        <w:tc>
          <w:tcPr>
            <w:tcW w:w="405" w:type="pct"/>
            <w:shd w:val="clear" w:color="auto" w:fill="auto"/>
            <w:vAlign w:val="center"/>
          </w:tcPr>
          <w:p w14:paraId="2F099156">
            <w:pPr>
              <w:jc w:val="center"/>
              <w:rPr>
                <w:rFonts w:ascii="Times New Roman"/>
                <w:sz w:val="21"/>
                <w:szCs w:val="21"/>
                <w:lang w:bidi="zh-TW"/>
              </w:rPr>
            </w:pPr>
            <w:r>
              <w:rPr>
                <w:rFonts w:ascii="Times New Roman"/>
                <w:sz w:val="21"/>
                <w:szCs w:val="21"/>
                <w:lang w:bidi="zh-TW"/>
              </w:rPr>
              <w:t>0.283</w:t>
            </w:r>
          </w:p>
        </w:tc>
        <w:tc>
          <w:tcPr>
            <w:tcW w:w="370" w:type="pct"/>
            <w:shd w:val="clear" w:color="auto" w:fill="auto"/>
            <w:vAlign w:val="center"/>
          </w:tcPr>
          <w:p w14:paraId="4CA6DE4B">
            <w:pPr>
              <w:jc w:val="center"/>
              <w:rPr>
                <w:rFonts w:ascii="Times New Roman"/>
                <w:sz w:val="21"/>
                <w:szCs w:val="21"/>
                <w:lang w:bidi="zh-TW"/>
              </w:rPr>
            </w:pPr>
            <w:r>
              <w:rPr>
                <w:rFonts w:ascii="Times New Roman"/>
                <w:sz w:val="21"/>
                <w:szCs w:val="21"/>
                <w:lang w:bidi="zh-TW"/>
              </w:rPr>
              <w:t>0.002</w:t>
            </w:r>
          </w:p>
        </w:tc>
        <w:tc>
          <w:tcPr>
            <w:tcW w:w="406" w:type="pct"/>
            <w:shd w:val="clear" w:color="auto" w:fill="auto"/>
            <w:vAlign w:val="center"/>
          </w:tcPr>
          <w:p w14:paraId="61528F72">
            <w:pPr>
              <w:jc w:val="center"/>
              <w:rPr>
                <w:rFonts w:ascii="Times New Roman"/>
                <w:sz w:val="21"/>
                <w:szCs w:val="21"/>
                <w:lang w:bidi="zh-TW"/>
              </w:rPr>
            </w:pPr>
            <w:r>
              <w:rPr>
                <w:rFonts w:ascii="Times New Roman"/>
                <w:sz w:val="21"/>
                <w:szCs w:val="21"/>
                <w:lang w:bidi="zh-TW"/>
              </w:rPr>
              <w:t>0.004</w:t>
            </w:r>
          </w:p>
        </w:tc>
        <w:tc>
          <w:tcPr>
            <w:tcW w:w="298" w:type="pct"/>
            <w:vMerge w:val="continue"/>
            <w:vAlign w:val="center"/>
          </w:tcPr>
          <w:p w14:paraId="34A90E47">
            <w:pPr>
              <w:jc w:val="center"/>
              <w:rPr>
                <w:rFonts w:ascii="Times New Roman"/>
                <w:sz w:val="21"/>
                <w:szCs w:val="21"/>
              </w:rPr>
            </w:pPr>
          </w:p>
        </w:tc>
        <w:tc>
          <w:tcPr>
            <w:tcW w:w="358" w:type="pct"/>
            <w:vMerge w:val="continue"/>
            <w:vAlign w:val="center"/>
          </w:tcPr>
          <w:p w14:paraId="66F19001">
            <w:pPr>
              <w:jc w:val="center"/>
              <w:rPr>
                <w:rFonts w:ascii="Times New Roman"/>
                <w:sz w:val="21"/>
                <w:szCs w:val="21"/>
              </w:rPr>
            </w:pPr>
          </w:p>
        </w:tc>
        <w:tc>
          <w:tcPr>
            <w:tcW w:w="300" w:type="pct"/>
            <w:shd w:val="clear" w:color="auto" w:fill="auto"/>
            <w:vAlign w:val="center"/>
          </w:tcPr>
          <w:p w14:paraId="1E80A13B">
            <w:pPr>
              <w:jc w:val="center"/>
              <w:rPr>
                <w:rFonts w:ascii="Times New Roman"/>
                <w:sz w:val="21"/>
                <w:szCs w:val="21"/>
              </w:rPr>
            </w:pPr>
            <w:r>
              <w:rPr>
                <w:rFonts w:ascii="Times New Roman"/>
                <w:sz w:val="21"/>
                <w:szCs w:val="21"/>
              </w:rPr>
              <w:t>0</w:t>
            </w:r>
          </w:p>
        </w:tc>
        <w:tc>
          <w:tcPr>
            <w:tcW w:w="386" w:type="pct"/>
            <w:shd w:val="clear" w:color="auto" w:fill="auto"/>
            <w:vAlign w:val="center"/>
          </w:tcPr>
          <w:p w14:paraId="067B2318">
            <w:pPr>
              <w:jc w:val="center"/>
              <w:rPr>
                <w:rFonts w:ascii="Times New Roman"/>
                <w:sz w:val="21"/>
                <w:szCs w:val="21"/>
                <w:lang w:bidi="zh-TW"/>
              </w:rPr>
            </w:pPr>
            <w:r>
              <w:rPr>
                <w:rFonts w:ascii="Times New Roman"/>
                <w:sz w:val="21"/>
                <w:szCs w:val="21"/>
                <w:lang w:bidi="zh-TW"/>
              </w:rPr>
              <w:t>0.283</w:t>
            </w:r>
          </w:p>
        </w:tc>
        <w:tc>
          <w:tcPr>
            <w:tcW w:w="377" w:type="pct"/>
            <w:shd w:val="clear" w:color="auto" w:fill="auto"/>
            <w:vAlign w:val="center"/>
          </w:tcPr>
          <w:p w14:paraId="33BBF4F5">
            <w:pPr>
              <w:jc w:val="center"/>
              <w:rPr>
                <w:rFonts w:ascii="Times New Roman"/>
                <w:sz w:val="21"/>
                <w:szCs w:val="21"/>
                <w:lang w:bidi="zh-TW"/>
              </w:rPr>
            </w:pPr>
            <w:r>
              <w:rPr>
                <w:rFonts w:ascii="Times New Roman"/>
                <w:sz w:val="21"/>
                <w:szCs w:val="21"/>
                <w:lang w:bidi="zh-TW"/>
              </w:rPr>
              <w:t>0.002</w:t>
            </w:r>
          </w:p>
        </w:tc>
        <w:tc>
          <w:tcPr>
            <w:tcW w:w="389" w:type="pct"/>
            <w:shd w:val="clear" w:color="auto" w:fill="auto"/>
            <w:vAlign w:val="center"/>
          </w:tcPr>
          <w:p w14:paraId="6608D4D3">
            <w:pPr>
              <w:jc w:val="center"/>
              <w:rPr>
                <w:rFonts w:ascii="Times New Roman"/>
                <w:sz w:val="21"/>
                <w:szCs w:val="21"/>
                <w:lang w:bidi="zh-TW"/>
              </w:rPr>
            </w:pPr>
            <w:r>
              <w:rPr>
                <w:rFonts w:ascii="Times New Roman"/>
                <w:sz w:val="21"/>
                <w:szCs w:val="21"/>
                <w:lang w:bidi="zh-TW"/>
              </w:rPr>
              <w:t>0.004</w:t>
            </w:r>
          </w:p>
        </w:tc>
        <w:tc>
          <w:tcPr>
            <w:tcW w:w="386" w:type="pct"/>
            <w:shd w:val="clear" w:color="auto" w:fill="auto"/>
            <w:vAlign w:val="center"/>
          </w:tcPr>
          <w:p w14:paraId="4FF02600">
            <w:pPr>
              <w:jc w:val="center"/>
              <w:rPr>
                <w:rFonts w:ascii="Times New Roman"/>
                <w:sz w:val="21"/>
                <w:szCs w:val="21"/>
              </w:rPr>
            </w:pPr>
            <w:r>
              <w:rPr>
                <w:rFonts w:hint="eastAsia" w:ascii="Times New Roman"/>
                <w:sz w:val="21"/>
                <w:szCs w:val="21"/>
              </w:rPr>
              <w:t>200</w:t>
            </w:r>
          </w:p>
        </w:tc>
      </w:tr>
      <w:tr w14:paraId="562CC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5BE8B3A3">
            <w:pPr>
              <w:jc w:val="center"/>
              <w:rPr>
                <w:rFonts w:ascii="Times New Roman"/>
                <w:sz w:val="21"/>
                <w:szCs w:val="21"/>
              </w:rPr>
            </w:pPr>
          </w:p>
        </w:tc>
        <w:tc>
          <w:tcPr>
            <w:tcW w:w="444" w:type="pct"/>
            <w:tcBorders>
              <w:top w:val="single" w:color="auto" w:sz="4" w:space="0"/>
            </w:tcBorders>
            <w:shd w:val="clear" w:color="auto" w:fill="auto"/>
            <w:vAlign w:val="center"/>
          </w:tcPr>
          <w:p w14:paraId="5F7A6110">
            <w:pPr>
              <w:jc w:val="center"/>
              <w:rPr>
                <w:rFonts w:ascii="Times New Roman"/>
                <w:sz w:val="21"/>
                <w:szCs w:val="21"/>
              </w:rPr>
            </w:pPr>
            <w:r>
              <w:rPr>
                <w:rFonts w:ascii="Times New Roman"/>
                <w:sz w:val="21"/>
                <w:szCs w:val="21"/>
              </w:rPr>
              <w:t>NO</w:t>
            </w:r>
            <w:r>
              <w:rPr>
                <w:rFonts w:ascii="Times New Roman"/>
                <w:sz w:val="21"/>
                <w:szCs w:val="21"/>
                <w:vertAlign w:val="subscript"/>
              </w:rPr>
              <w:t>X</w:t>
            </w:r>
          </w:p>
        </w:tc>
        <w:tc>
          <w:tcPr>
            <w:tcW w:w="437" w:type="pct"/>
            <w:vMerge w:val="continue"/>
            <w:vAlign w:val="center"/>
          </w:tcPr>
          <w:p w14:paraId="791434E6">
            <w:pPr>
              <w:jc w:val="center"/>
              <w:rPr>
                <w:rFonts w:ascii="Times New Roman"/>
                <w:sz w:val="21"/>
                <w:szCs w:val="21"/>
              </w:rPr>
            </w:pPr>
          </w:p>
        </w:tc>
        <w:tc>
          <w:tcPr>
            <w:tcW w:w="405" w:type="pct"/>
            <w:shd w:val="clear" w:color="auto" w:fill="auto"/>
            <w:vAlign w:val="center"/>
          </w:tcPr>
          <w:p w14:paraId="37FAA98F">
            <w:pPr>
              <w:jc w:val="center"/>
              <w:rPr>
                <w:rFonts w:ascii="Times New Roman"/>
                <w:sz w:val="21"/>
                <w:szCs w:val="21"/>
                <w:lang w:bidi="zh-TW"/>
              </w:rPr>
            </w:pPr>
            <w:r>
              <w:rPr>
                <w:rFonts w:ascii="Times New Roman"/>
                <w:sz w:val="21"/>
                <w:szCs w:val="21"/>
                <w:lang w:bidi="zh-TW"/>
              </w:rPr>
              <w:t>10.833</w:t>
            </w:r>
          </w:p>
        </w:tc>
        <w:tc>
          <w:tcPr>
            <w:tcW w:w="370" w:type="pct"/>
            <w:shd w:val="clear" w:color="auto" w:fill="auto"/>
            <w:vAlign w:val="center"/>
          </w:tcPr>
          <w:p w14:paraId="1A615ED9">
            <w:pPr>
              <w:jc w:val="center"/>
              <w:rPr>
                <w:rFonts w:ascii="Times New Roman"/>
                <w:sz w:val="21"/>
                <w:szCs w:val="21"/>
                <w:lang w:bidi="zh-TW"/>
              </w:rPr>
            </w:pPr>
            <w:r>
              <w:rPr>
                <w:rFonts w:ascii="Times New Roman"/>
                <w:sz w:val="21"/>
                <w:szCs w:val="21"/>
                <w:lang w:bidi="zh-TW"/>
              </w:rPr>
              <w:t>0.087</w:t>
            </w:r>
          </w:p>
        </w:tc>
        <w:tc>
          <w:tcPr>
            <w:tcW w:w="406" w:type="pct"/>
            <w:shd w:val="clear" w:color="auto" w:fill="auto"/>
            <w:vAlign w:val="center"/>
          </w:tcPr>
          <w:p w14:paraId="2F019C45">
            <w:pPr>
              <w:jc w:val="center"/>
              <w:rPr>
                <w:rFonts w:ascii="Times New Roman"/>
                <w:sz w:val="21"/>
                <w:szCs w:val="21"/>
                <w:lang w:bidi="zh-TW"/>
              </w:rPr>
            </w:pPr>
            <w:r>
              <w:rPr>
                <w:rFonts w:ascii="Times New Roman"/>
                <w:sz w:val="21"/>
                <w:szCs w:val="21"/>
                <w:lang w:bidi="zh-TW"/>
              </w:rPr>
              <w:t>0.208</w:t>
            </w:r>
          </w:p>
        </w:tc>
        <w:tc>
          <w:tcPr>
            <w:tcW w:w="298" w:type="pct"/>
            <w:vMerge w:val="continue"/>
            <w:vAlign w:val="center"/>
          </w:tcPr>
          <w:p w14:paraId="1E1DC6F0">
            <w:pPr>
              <w:jc w:val="center"/>
              <w:rPr>
                <w:rFonts w:ascii="Times New Roman"/>
                <w:sz w:val="21"/>
                <w:szCs w:val="21"/>
              </w:rPr>
            </w:pPr>
          </w:p>
        </w:tc>
        <w:tc>
          <w:tcPr>
            <w:tcW w:w="358" w:type="pct"/>
            <w:vMerge w:val="continue"/>
            <w:vAlign w:val="center"/>
          </w:tcPr>
          <w:p w14:paraId="149780F4">
            <w:pPr>
              <w:jc w:val="center"/>
              <w:rPr>
                <w:rFonts w:ascii="Times New Roman"/>
                <w:sz w:val="21"/>
                <w:szCs w:val="21"/>
              </w:rPr>
            </w:pPr>
          </w:p>
        </w:tc>
        <w:tc>
          <w:tcPr>
            <w:tcW w:w="300" w:type="pct"/>
            <w:shd w:val="clear" w:color="auto" w:fill="auto"/>
            <w:vAlign w:val="center"/>
          </w:tcPr>
          <w:p w14:paraId="73590D4F">
            <w:pPr>
              <w:jc w:val="center"/>
              <w:rPr>
                <w:rFonts w:ascii="Times New Roman"/>
                <w:sz w:val="21"/>
                <w:szCs w:val="21"/>
              </w:rPr>
            </w:pPr>
            <w:r>
              <w:rPr>
                <w:rFonts w:ascii="Times New Roman"/>
                <w:sz w:val="21"/>
                <w:szCs w:val="21"/>
              </w:rPr>
              <w:t>0</w:t>
            </w:r>
          </w:p>
        </w:tc>
        <w:tc>
          <w:tcPr>
            <w:tcW w:w="386" w:type="pct"/>
            <w:shd w:val="clear" w:color="auto" w:fill="auto"/>
            <w:vAlign w:val="center"/>
          </w:tcPr>
          <w:p w14:paraId="4C22D2B6">
            <w:pPr>
              <w:jc w:val="center"/>
              <w:rPr>
                <w:rFonts w:ascii="Times New Roman"/>
                <w:sz w:val="21"/>
                <w:szCs w:val="21"/>
                <w:lang w:bidi="zh-TW"/>
              </w:rPr>
            </w:pPr>
            <w:r>
              <w:rPr>
                <w:rFonts w:ascii="Times New Roman"/>
                <w:sz w:val="21"/>
                <w:szCs w:val="21"/>
                <w:lang w:bidi="zh-TW"/>
              </w:rPr>
              <w:t>10.833</w:t>
            </w:r>
          </w:p>
        </w:tc>
        <w:tc>
          <w:tcPr>
            <w:tcW w:w="377" w:type="pct"/>
            <w:shd w:val="clear" w:color="auto" w:fill="auto"/>
            <w:vAlign w:val="center"/>
          </w:tcPr>
          <w:p w14:paraId="78CE1D98">
            <w:pPr>
              <w:jc w:val="center"/>
              <w:rPr>
                <w:rFonts w:ascii="Times New Roman"/>
                <w:sz w:val="21"/>
                <w:szCs w:val="21"/>
                <w:lang w:bidi="zh-TW"/>
              </w:rPr>
            </w:pPr>
            <w:r>
              <w:rPr>
                <w:rFonts w:ascii="Times New Roman"/>
                <w:sz w:val="21"/>
                <w:szCs w:val="21"/>
                <w:lang w:bidi="zh-TW"/>
              </w:rPr>
              <w:t>0.087</w:t>
            </w:r>
          </w:p>
        </w:tc>
        <w:tc>
          <w:tcPr>
            <w:tcW w:w="389" w:type="pct"/>
            <w:shd w:val="clear" w:color="auto" w:fill="auto"/>
            <w:vAlign w:val="center"/>
          </w:tcPr>
          <w:p w14:paraId="286C215F">
            <w:pPr>
              <w:jc w:val="center"/>
              <w:rPr>
                <w:rFonts w:ascii="Times New Roman"/>
                <w:sz w:val="21"/>
                <w:szCs w:val="21"/>
                <w:lang w:bidi="zh-TW"/>
              </w:rPr>
            </w:pPr>
            <w:r>
              <w:rPr>
                <w:rFonts w:ascii="Times New Roman"/>
                <w:sz w:val="21"/>
                <w:szCs w:val="21"/>
                <w:lang w:bidi="zh-TW"/>
              </w:rPr>
              <w:t>0.208</w:t>
            </w:r>
          </w:p>
        </w:tc>
        <w:tc>
          <w:tcPr>
            <w:tcW w:w="386" w:type="pct"/>
            <w:shd w:val="clear" w:color="auto" w:fill="auto"/>
            <w:vAlign w:val="center"/>
          </w:tcPr>
          <w:p w14:paraId="0F1C9E86">
            <w:pPr>
              <w:jc w:val="center"/>
              <w:rPr>
                <w:rFonts w:ascii="Times New Roman"/>
                <w:sz w:val="21"/>
                <w:szCs w:val="21"/>
              </w:rPr>
            </w:pPr>
            <w:r>
              <w:rPr>
                <w:rFonts w:hint="eastAsia" w:ascii="Times New Roman"/>
                <w:sz w:val="21"/>
                <w:szCs w:val="21"/>
              </w:rPr>
              <w:t>3</w:t>
            </w:r>
            <w:r>
              <w:rPr>
                <w:rFonts w:ascii="Times New Roman"/>
                <w:sz w:val="21"/>
                <w:szCs w:val="21"/>
              </w:rPr>
              <w:t>0</w:t>
            </w:r>
            <w:r>
              <w:rPr>
                <w:rFonts w:hint="eastAsia" w:ascii="Times New Roman"/>
                <w:sz w:val="21"/>
                <w:szCs w:val="21"/>
              </w:rPr>
              <w:t>0</w:t>
            </w:r>
          </w:p>
        </w:tc>
      </w:tr>
      <w:tr w14:paraId="57E5C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0160B813">
            <w:pPr>
              <w:jc w:val="center"/>
              <w:rPr>
                <w:rFonts w:ascii="Times New Roman"/>
                <w:sz w:val="21"/>
                <w:szCs w:val="21"/>
              </w:rPr>
            </w:pPr>
          </w:p>
        </w:tc>
        <w:tc>
          <w:tcPr>
            <w:tcW w:w="444" w:type="pct"/>
            <w:vAlign w:val="center"/>
          </w:tcPr>
          <w:p w14:paraId="6063D1BF">
            <w:pPr>
              <w:jc w:val="center"/>
              <w:rPr>
                <w:rFonts w:ascii="Times New Roman"/>
                <w:sz w:val="21"/>
                <w:szCs w:val="21"/>
              </w:rPr>
            </w:pPr>
            <w:r>
              <w:rPr>
                <w:rFonts w:ascii="Times New Roman"/>
                <w:sz w:val="21"/>
                <w:szCs w:val="21"/>
              </w:rPr>
              <w:t>烟气黑度</w:t>
            </w:r>
          </w:p>
        </w:tc>
        <w:tc>
          <w:tcPr>
            <w:tcW w:w="437" w:type="pct"/>
            <w:vMerge w:val="continue"/>
            <w:vAlign w:val="center"/>
          </w:tcPr>
          <w:p w14:paraId="4E3E3994">
            <w:pPr>
              <w:jc w:val="center"/>
              <w:rPr>
                <w:rFonts w:ascii="Times New Roman"/>
                <w:sz w:val="21"/>
                <w:szCs w:val="21"/>
              </w:rPr>
            </w:pPr>
          </w:p>
        </w:tc>
        <w:tc>
          <w:tcPr>
            <w:tcW w:w="405" w:type="pct"/>
            <w:shd w:val="clear" w:color="auto" w:fill="auto"/>
            <w:vAlign w:val="center"/>
          </w:tcPr>
          <w:p w14:paraId="7238BD3C">
            <w:pPr>
              <w:jc w:val="center"/>
              <w:rPr>
                <w:rFonts w:ascii="Times New Roman"/>
                <w:sz w:val="21"/>
                <w:szCs w:val="21"/>
                <w:lang w:bidi="zh-TW"/>
              </w:rPr>
            </w:pPr>
            <w:r>
              <w:rPr>
                <w:rFonts w:ascii="Times New Roman"/>
                <w:sz w:val="21"/>
                <w:szCs w:val="21"/>
                <w:lang w:bidi="zh-TW"/>
              </w:rPr>
              <w:t>≤1级</w:t>
            </w:r>
          </w:p>
        </w:tc>
        <w:tc>
          <w:tcPr>
            <w:tcW w:w="370" w:type="pct"/>
            <w:shd w:val="clear" w:color="auto" w:fill="auto"/>
            <w:vAlign w:val="center"/>
          </w:tcPr>
          <w:p w14:paraId="05DB98FE">
            <w:pPr>
              <w:jc w:val="center"/>
              <w:rPr>
                <w:rFonts w:ascii="Times New Roman"/>
                <w:sz w:val="21"/>
                <w:szCs w:val="21"/>
                <w:lang w:bidi="zh-TW"/>
              </w:rPr>
            </w:pPr>
            <w:r>
              <w:rPr>
                <w:rFonts w:ascii="Times New Roman"/>
                <w:sz w:val="21"/>
                <w:szCs w:val="21"/>
                <w:lang w:bidi="zh-TW"/>
              </w:rPr>
              <w:t>/</w:t>
            </w:r>
          </w:p>
        </w:tc>
        <w:tc>
          <w:tcPr>
            <w:tcW w:w="406" w:type="pct"/>
            <w:shd w:val="clear" w:color="auto" w:fill="auto"/>
            <w:vAlign w:val="center"/>
          </w:tcPr>
          <w:p w14:paraId="5AEBDE0F">
            <w:pPr>
              <w:jc w:val="center"/>
              <w:rPr>
                <w:rFonts w:ascii="Times New Roman"/>
                <w:sz w:val="21"/>
                <w:szCs w:val="21"/>
                <w:lang w:bidi="zh-TW"/>
              </w:rPr>
            </w:pPr>
            <w:r>
              <w:rPr>
                <w:rFonts w:ascii="Times New Roman"/>
                <w:sz w:val="21"/>
                <w:szCs w:val="21"/>
                <w:lang w:bidi="zh-TW"/>
              </w:rPr>
              <w:t>/</w:t>
            </w:r>
          </w:p>
        </w:tc>
        <w:tc>
          <w:tcPr>
            <w:tcW w:w="298" w:type="pct"/>
            <w:vMerge w:val="continue"/>
            <w:shd w:val="clear" w:color="auto" w:fill="auto"/>
            <w:vAlign w:val="center"/>
          </w:tcPr>
          <w:p w14:paraId="4104489B">
            <w:pPr>
              <w:jc w:val="center"/>
              <w:rPr>
                <w:rFonts w:ascii="Times New Roman"/>
                <w:sz w:val="21"/>
                <w:szCs w:val="21"/>
              </w:rPr>
            </w:pPr>
          </w:p>
        </w:tc>
        <w:tc>
          <w:tcPr>
            <w:tcW w:w="358" w:type="pct"/>
            <w:vMerge w:val="continue"/>
            <w:shd w:val="clear" w:color="auto" w:fill="auto"/>
            <w:vAlign w:val="center"/>
          </w:tcPr>
          <w:p w14:paraId="0C1B7A63">
            <w:pPr>
              <w:jc w:val="center"/>
              <w:rPr>
                <w:rFonts w:ascii="Times New Roman"/>
                <w:sz w:val="21"/>
                <w:szCs w:val="21"/>
              </w:rPr>
            </w:pPr>
          </w:p>
        </w:tc>
        <w:tc>
          <w:tcPr>
            <w:tcW w:w="300" w:type="pct"/>
            <w:shd w:val="clear" w:color="auto" w:fill="auto"/>
            <w:vAlign w:val="center"/>
          </w:tcPr>
          <w:p w14:paraId="116D1504">
            <w:pPr>
              <w:jc w:val="center"/>
              <w:rPr>
                <w:rFonts w:ascii="Times New Roman"/>
                <w:sz w:val="21"/>
                <w:szCs w:val="21"/>
              </w:rPr>
            </w:pPr>
            <w:r>
              <w:rPr>
                <w:rFonts w:ascii="Times New Roman"/>
                <w:sz w:val="21"/>
                <w:szCs w:val="21"/>
              </w:rPr>
              <w:t>/</w:t>
            </w:r>
          </w:p>
        </w:tc>
        <w:tc>
          <w:tcPr>
            <w:tcW w:w="386" w:type="pct"/>
            <w:shd w:val="clear" w:color="auto" w:fill="auto"/>
            <w:vAlign w:val="center"/>
          </w:tcPr>
          <w:p w14:paraId="7761AA5A">
            <w:pPr>
              <w:jc w:val="center"/>
              <w:rPr>
                <w:rFonts w:ascii="Times New Roman"/>
                <w:sz w:val="21"/>
                <w:szCs w:val="21"/>
                <w:lang w:bidi="zh-TW"/>
              </w:rPr>
            </w:pPr>
            <w:r>
              <w:rPr>
                <w:rFonts w:ascii="Times New Roman"/>
                <w:sz w:val="21"/>
                <w:szCs w:val="21"/>
                <w:lang w:bidi="zh-TW"/>
              </w:rPr>
              <w:t>≤1级</w:t>
            </w:r>
          </w:p>
        </w:tc>
        <w:tc>
          <w:tcPr>
            <w:tcW w:w="377" w:type="pct"/>
            <w:shd w:val="clear" w:color="auto" w:fill="auto"/>
            <w:vAlign w:val="center"/>
          </w:tcPr>
          <w:p w14:paraId="02379F58">
            <w:pPr>
              <w:jc w:val="center"/>
              <w:rPr>
                <w:rFonts w:ascii="Times New Roman"/>
                <w:sz w:val="21"/>
                <w:szCs w:val="21"/>
                <w:lang w:bidi="zh-TW"/>
              </w:rPr>
            </w:pPr>
            <w:r>
              <w:rPr>
                <w:rFonts w:ascii="Times New Roman"/>
                <w:sz w:val="21"/>
                <w:szCs w:val="21"/>
                <w:lang w:bidi="zh-TW"/>
              </w:rPr>
              <w:t>/</w:t>
            </w:r>
          </w:p>
        </w:tc>
        <w:tc>
          <w:tcPr>
            <w:tcW w:w="389" w:type="pct"/>
            <w:shd w:val="clear" w:color="auto" w:fill="auto"/>
            <w:vAlign w:val="center"/>
          </w:tcPr>
          <w:p w14:paraId="62C47285">
            <w:pPr>
              <w:jc w:val="center"/>
              <w:rPr>
                <w:rFonts w:ascii="Times New Roman"/>
                <w:sz w:val="21"/>
                <w:szCs w:val="21"/>
                <w:lang w:bidi="zh-TW"/>
              </w:rPr>
            </w:pPr>
            <w:r>
              <w:rPr>
                <w:rFonts w:ascii="Times New Roman"/>
                <w:sz w:val="21"/>
                <w:szCs w:val="21"/>
                <w:lang w:bidi="zh-TW"/>
              </w:rPr>
              <w:t>/</w:t>
            </w:r>
          </w:p>
        </w:tc>
        <w:tc>
          <w:tcPr>
            <w:tcW w:w="386" w:type="pct"/>
            <w:shd w:val="clear" w:color="auto" w:fill="auto"/>
            <w:vAlign w:val="center"/>
          </w:tcPr>
          <w:p w14:paraId="44657EF2">
            <w:pPr>
              <w:jc w:val="center"/>
              <w:rPr>
                <w:rFonts w:ascii="Times New Roman"/>
                <w:sz w:val="21"/>
                <w:szCs w:val="21"/>
              </w:rPr>
            </w:pPr>
            <w:r>
              <w:rPr>
                <w:rFonts w:ascii="Times New Roman"/>
                <w:sz w:val="21"/>
                <w:szCs w:val="21"/>
                <w:lang w:bidi="zh-TW"/>
              </w:rPr>
              <w:t>≤1级</w:t>
            </w:r>
          </w:p>
        </w:tc>
      </w:tr>
      <w:tr w14:paraId="446EC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restart"/>
            <w:vAlign w:val="center"/>
          </w:tcPr>
          <w:p w14:paraId="1383345A">
            <w:pPr>
              <w:jc w:val="center"/>
              <w:rPr>
                <w:rFonts w:ascii="Times New Roman"/>
                <w:sz w:val="21"/>
                <w:szCs w:val="21"/>
              </w:rPr>
            </w:pPr>
            <w:r>
              <w:rPr>
                <w:rFonts w:ascii="Times New Roman"/>
                <w:sz w:val="21"/>
                <w:szCs w:val="21"/>
              </w:rPr>
              <w:t>食堂油烟(DA012)</w:t>
            </w:r>
          </w:p>
        </w:tc>
        <w:tc>
          <w:tcPr>
            <w:tcW w:w="444" w:type="pct"/>
            <w:vAlign w:val="center"/>
          </w:tcPr>
          <w:p w14:paraId="3438CCED">
            <w:pPr>
              <w:jc w:val="center"/>
              <w:rPr>
                <w:rFonts w:ascii="Times New Roman"/>
                <w:sz w:val="21"/>
                <w:szCs w:val="21"/>
              </w:rPr>
            </w:pPr>
            <w:r>
              <w:rPr>
                <w:rFonts w:ascii="Times New Roman"/>
                <w:sz w:val="21"/>
                <w:szCs w:val="21"/>
              </w:rPr>
              <w:t>油烟</w:t>
            </w:r>
          </w:p>
        </w:tc>
        <w:tc>
          <w:tcPr>
            <w:tcW w:w="437" w:type="pct"/>
            <w:vMerge w:val="restart"/>
            <w:vAlign w:val="center"/>
          </w:tcPr>
          <w:p w14:paraId="31C35372">
            <w:pPr>
              <w:jc w:val="center"/>
              <w:rPr>
                <w:rFonts w:ascii="Times New Roman"/>
                <w:sz w:val="21"/>
                <w:szCs w:val="21"/>
              </w:rPr>
            </w:pPr>
            <w:r>
              <w:rPr>
                <w:rFonts w:hint="eastAsia" w:ascii="Times New Roman"/>
                <w:sz w:val="21"/>
                <w:szCs w:val="21"/>
              </w:rPr>
              <w:t>30</w:t>
            </w:r>
            <w:r>
              <w:rPr>
                <w:rFonts w:ascii="Times New Roman"/>
                <w:sz w:val="21"/>
                <w:szCs w:val="21"/>
              </w:rPr>
              <w:t>000</w:t>
            </w:r>
          </w:p>
        </w:tc>
        <w:tc>
          <w:tcPr>
            <w:tcW w:w="405" w:type="pct"/>
            <w:shd w:val="clear" w:color="auto" w:fill="auto"/>
            <w:vAlign w:val="center"/>
          </w:tcPr>
          <w:p w14:paraId="46CAB1DC">
            <w:pPr>
              <w:jc w:val="center"/>
              <w:rPr>
                <w:rFonts w:ascii="Times New Roman"/>
                <w:sz w:val="21"/>
                <w:szCs w:val="21"/>
              </w:rPr>
            </w:pPr>
            <w:r>
              <w:rPr>
                <w:rFonts w:hint="eastAsia" w:ascii="Times New Roman"/>
                <w:sz w:val="21"/>
                <w:szCs w:val="21"/>
              </w:rPr>
              <w:t>10.5</w:t>
            </w:r>
          </w:p>
        </w:tc>
        <w:tc>
          <w:tcPr>
            <w:tcW w:w="370" w:type="pct"/>
            <w:shd w:val="clear" w:color="auto" w:fill="auto"/>
            <w:vAlign w:val="center"/>
          </w:tcPr>
          <w:p w14:paraId="157D8ADE">
            <w:pPr>
              <w:jc w:val="center"/>
              <w:rPr>
                <w:rFonts w:ascii="Times New Roman"/>
                <w:sz w:val="21"/>
                <w:szCs w:val="21"/>
              </w:rPr>
            </w:pPr>
            <w:r>
              <w:rPr>
                <w:rFonts w:ascii="Times New Roman"/>
                <w:sz w:val="21"/>
                <w:szCs w:val="21"/>
              </w:rPr>
              <w:t>0.</w:t>
            </w:r>
            <w:r>
              <w:rPr>
                <w:rFonts w:hint="eastAsia" w:ascii="Times New Roman"/>
                <w:sz w:val="21"/>
                <w:szCs w:val="21"/>
              </w:rPr>
              <w:t>315</w:t>
            </w:r>
          </w:p>
        </w:tc>
        <w:tc>
          <w:tcPr>
            <w:tcW w:w="406" w:type="pct"/>
            <w:shd w:val="clear" w:color="auto" w:fill="auto"/>
            <w:vAlign w:val="center"/>
          </w:tcPr>
          <w:p w14:paraId="176F1FCE">
            <w:pPr>
              <w:jc w:val="center"/>
              <w:rPr>
                <w:rFonts w:ascii="Times New Roman"/>
                <w:sz w:val="21"/>
                <w:szCs w:val="21"/>
              </w:rPr>
            </w:pPr>
            <w:r>
              <w:rPr>
                <w:rFonts w:ascii="Times New Roman"/>
                <w:sz w:val="21"/>
                <w:szCs w:val="21"/>
              </w:rPr>
              <w:t>0.</w:t>
            </w:r>
            <w:r>
              <w:rPr>
                <w:rFonts w:hint="eastAsia" w:ascii="Times New Roman"/>
                <w:sz w:val="21"/>
                <w:szCs w:val="21"/>
              </w:rPr>
              <w:t>567</w:t>
            </w:r>
          </w:p>
        </w:tc>
        <w:tc>
          <w:tcPr>
            <w:tcW w:w="298" w:type="pct"/>
            <w:vMerge w:val="restart"/>
            <w:vAlign w:val="center"/>
          </w:tcPr>
          <w:p w14:paraId="3E7B6AEE">
            <w:pPr>
              <w:jc w:val="center"/>
              <w:rPr>
                <w:rFonts w:ascii="Times New Roman"/>
                <w:sz w:val="21"/>
                <w:szCs w:val="21"/>
              </w:rPr>
            </w:pPr>
            <w:r>
              <w:rPr>
                <w:rFonts w:ascii="Times New Roman"/>
                <w:sz w:val="21"/>
                <w:szCs w:val="21"/>
              </w:rPr>
              <w:t>/</w:t>
            </w:r>
          </w:p>
        </w:tc>
        <w:tc>
          <w:tcPr>
            <w:tcW w:w="358" w:type="pct"/>
            <w:vMerge w:val="restart"/>
            <w:vAlign w:val="center"/>
          </w:tcPr>
          <w:p w14:paraId="1A593753">
            <w:pPr>
              <w:jc w:val="center"/>
              <w:rPr>
                <w:rFonts w:ascii="Times New Roman"/>
                <w:sz w:val="21"/>
                <w:szCs w:val="21"/>
              </w:rPr>
            </w:pPr>
            <w:r>
              <w:rPr>
                <w:rFonts w:ascii="Times New Roman"/>
                <w:sz w:val="21"/>
                <w:szCs w:val="21"/>
              </w:rPr>
              <w:t>油烟净化器</w:t>
            </w:r>
          </w:p>
        </w:tc>
        <w:tc>
          <w:tcPr>
            <w:tcW w:w="300" w:type="pct"/>
            <w:vAlign w:val="center"/>
          </w:tcPr>
          <w:p w14:paraId="0FEF62E1">
            <w:pPr>
              <w:jc w:val="center"/>
              <w:rPr>
                <w:rFonts w:ascii="Times New Roman"/>
                <w:sz w:val="21"/>
                <w:szCs w:val="21"/>
              </w:rPr>
            </w:pPr>
            <w:r>
              <w:rPr>
                <w:rFonts w:ascii="Times New Roman"/>
                <w:sz w:val="21"/>
                <w:szCs w:val="21"/>
              </w:rPr>
              <w:t>0</w:t>
            </w:r>
          </w:p>
        </w:tc>
        <w:tc>
          <w:tcPr>
            <w:tcW w:w="386" w:type="pct"/>
            <w:shd w:val="clear" w:color="auto" w:fill="auto"/>
            <w:vAlign w:val="center"/>
          </w:tcPr>
          <w:p w14:paraId="05D7B81B">
            <w:pPr>
              <w:jc w:val="center"/>
              <w:rPr>
                <w:rFonts w:ascii="Times New Roman"/>
                <w:sz w:val="21"/>
                <w:szCs w:val="21"/>
              </w:rPr>
            </w:pPr>
            <w:r>
              <w:rPr>
                <w:rFonts w:hint="eastAsia" w:ascii="Times New Roman"/>
                <w:sz w:val="21"/>
                <w:szCs w:val="21"/>
              </w:rPr>
              <w:t>10.5</w:t>
            </w:r>
          </w:p>
        </w:tc>
        <w:tc>
          <w:tcPr>
            <w:tcW w:w="377" w:type="pct"/>
            <w:shd w:val="clear" w:color="auto" w:fill="auto"/>
            <w:vAlign w:val="center"/>
          </w:tcPr>
          <w:p w14:paraId="380AB84F">
            <w:pPr>
              <w:jc w:val="center"/>
              <w:rPr>
                <w:rFonts w:ascii="Times New Roman"/>
                <w:sz w:val="21"/>
                <w:szCs w:val="21"/>
              </w:rPr>
            </w:pPr>
            <w:r>
              <w:rPr>
                <w:rFonts w:ascii="Times New Roman"/>
                <w:sz w:val="21"/>
                <w:szCs w:val="21"/>
              </w:rPr>
              <w:t>0.</w:t>
            </w:r>
            <w:r>
              <w:rPr>
                <w:rFonts w:hint="eastAsia" w:ascii="Times New Roman"/>
                <w:sz w:val="21"/>
                <w:szCs w:val="21"/>
              </w:rPr>
              <w:t>315</w:t>
            </w:r>
          </w:p>
        </w:tc>
        <w:tc>
          <w:tcPr>
            <w:tcW w:w="389" w:type="pct"/>
            <w:shd w:val="clear" w:color="auto" w:fill="auto"/>
            <w:vAlign w:val="center"/>
          </w:tcPr>
          <w:p w14:paraId="295FEDC4">
            <w:pPr>
              <w:jc w:val="center"/>
              <w:rPr>
                <w:rFonts w:ascii="Times New Roman"/>
                <w:sz w:val="21"/>
                <w:szCs w:val="21"/>
              </w:rPr>
            </w:pPr>
            <w:r>
              <w:rPr>
                <w:rFonts w:ascii="Times New Roman"/>
                <w:sz w:val="21"/>
                <w:szCs w:val="21"/>
              </w:rPr>
              <w:t>0.</w:t>
            </w:r>
            <w:r>
              <w:rPr>
                <w:rFonts w:hint="eastAsia" w:ascii="Times New Roman"/>
                <w:sz w:val="21"/>
                <w:szCs w:val="21"/>
              </w:rPr>
              <w:t>567</w:t>
            </w:r>
          </w:p>
        </w:tc>
        <w:tc>
          <w:tcPr>
            <w:tcW w:w="386" w:type="pct"/>
            <w:vAlign w:val="center"/>
          </w:tcPr>
          <w:p w14:paraId="7B4BB2E1">
            <w:pPr>
              <w:jc w:val="center"/>
              <w:rPr>
                <w:rFonts w:ascii="Times New Roman"/>
                <w:sz w:val="21"/>
                <w:szCs w:val="21"/>
              </w:rPr>
            </w:pPr>
            <w:r>
              <w:rPr>
                <w:rFonts w:hint="eastAsia" w:ascii="Times New Roman"/>
                <w:sz w:val="21"/>
                <w:szCs w:val="21"/>
              </w:rPr>
              <w:t>1.2</w:t>
            </w:r>
          </w:p>
        </w:tc>
      </w:tr>
      <w:tr w14:paraId="70F78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40" w:type="pct"/>
            <w:vMerge w:val="continue"/>
            <w:vAlign w:val="center"/>
          </w:tcPr>
          <w:p w14:paraId="41650918">
            <w:pPr>
              <w:jc w:val="center"/>
              <w:rPr>
                <w:rFonts w:ascii="Times New Roman"/>
                <w:sz w:val="21"/>
                <w:szCs w:val="21"/>
              </w:rPr>
            </w:pPr>
          </w:p>
        </w:tc>
        <w:tc>
          <w:tcPr>
            <w:tcW w:w="444" w:type="pct"/>
            <w:vAlign w:val="center"/>
          </w:tcPr>
          <w:p w14:paraId="17C97E42">
            <w:pPr>
              <w:jc w:val="center"/>
              <w:rPr>
                <w:rFonts w:ascii="Times New Roman"/>
                <w:sz w:val="21"/>
                <w:szCs w:val="21"/>
              </w:rPr>
            </w:pPr>
            <w:r>
              <w:rPr>
                <w:rFonts w:ascii="Times New Roman"/>
                <w:sz w:val="21"/>
                <w:szCs w:val="21"/>
              </w:rPr>
              <w:t>非甲烷总烃</w:t>
            </w:r>
          </w:p>
        </w:tc>
        <w:tc>
          <w:tcPr>
            <w:tcW w:w="437" w:type="pct"/>
            <w:vMerge w:val="continue"/>
            <w:vAlign w:val="center"/>
          </w:tcPr>
          <w:p w14:paraId="5FF3F364">
            <w:pPr>
              <w:jc w:val="center"/>
              <w:rPr>
                <w:rFonts w:ascii="Times New Roman"/>
                <w:sz w:val="21"/>
                <w:szCs w:val="21"/>
              </w:rPr>
            </w:pPr>
          </w:p>
        </w:tc>
        <w:tc>
          <w:tcPr>
            <w:tcW w:w="405" w:type="pct"/>
            <w:shd w:val="clear" w:color="auto" w:fill="auto"/>
            <w:vAlign w:val="center"/>
          </w:tcPr>
          <w:p w14:paraId="2AA39467">
            <w:pPr>
              <w:jc w:val="center"/>
              <w:rPr>
                <w:rFonts w:ascii="Times New Roman"/>
                <w:sz w:val="21"/>
                <w:szCs w:val="21"/>
              </w:rPr>
            </w:pPr>
            <w:r>
              <w:rPr>
                <w:rFonts w:hint="eastAsia" w:ascii="Times New Roman"/>
                <w:sz w:val="21"/>
                <w:szCs w:val="21"/>
              </w:rPr>
              <w:t>40</w:t>
            </w:r>
          </w:p>
        </w:tc>
        <w:tc>
          <w:tcPr>
            <w:tcW w:w="370" w:type="pct"/>
            <w:shd w:val="clear" w:color="auto" w:fill="auto"/>
            <w:vAlign w:val="center"/>
          </w:tcPr>
          <w:p w14:paraId="06455036">
            <w:pPr>
              <w:jc w:val="center"/>
              <w:rPr>
                <w:rFonts w:ascii="Times New Roman"/>
                <w:sz w:val="21"/>
                <w:szCs w:val="21"/>
              </w:rPr>
            </w:pPr>
            <w:r>
              <w:rPr>
                <w:rFonts w:hint="eastAsia" w:ascii="Times New Roman"/>
                <w:sz w:val="21"/>
                <w:szCs w:val="21"/>
              </w:rPr>
              <w:t>1.200</w:t>
            </w:r>
          </w:p>
        </w:tc>
        <w:tc>
          <w:tcPr>
            <w:tcW w:w="406" w:type="pct"/>
            <w:shd w:val="clear" w:color="auto" w:fill="auto"/>
            <w:vAlign w:val="center"/>
          </w:tcPr>
          <w:p w14:paraId="00B0B7F1">
            <w:pPr>
              <w:jc w:val="center"/>
              <w:rPr>
                <w:rFonts w:ascii="Times New Roman"/>
                <w:sz w:val="21"/>
                <w:szCs w:val="21"/>
              </w:rPr>
            </w:pPr>
            <w:r>
              <w:rPr>
                <w:rFonts w:hint="eastAsia" w:ascii="Times New Roman"/>
                <w:sz w:val="21"/>
                <w:szCs w:val="21"/>
              </w:rPr>
              <w:t>2.160</w:t>
            </w:r>
          </w:p>
        </w:tc>
        <w:tc>
          <w:tcPr>
            <w:tcW w:w="298" w:type="pct"/>
            <w:vMerge w:val="continue"/>
            <w:vAlign w:val="center"/>
          </w:tcPr>
          <w:p w14:paraId="6ECEB023">
            <w:pPr>
              <w:jc w:val="center"/>
              <w:rPr>
                <w:rFonts w:ascii="Times New Roman"/>
                <w:sz w:val="21"/>
                <w:szCs w:val="21"/>
              </w:rPr>
            </w:pPr>
          </w:p>
        </w:tc>
        <w:tc>
          <w:tcPr>
            <w:tcW w:w="358" w:type="pct"/>
            <w:vMerge w:val="continue"/>
            <w:vAlign w:val="center"/>
          </w:tcPr>
          <w:p w14:paraId="43262679">
            <w:pPr>
              <w:jc w:val="center"/>
              <w:rPr>
                <w:rFonts w:ascii="Times New Roman"/>
                <w:sz w:val="21"/>
                <w:szCs w:val="21"/>
              </w:rPr>
            </w:pPr>
          </w:p>
        </w:tc>
        <w:tc>
          <w:tcPr>
            <w:tcW w:w="300" w:type="pct"/>
            <w:vAlign w:val="center"/>
          </w:tcPr>
          <w:p w14:paraId="448CBA7E">
            <w:pPr>
              <w:jc w:val="center"/>
              <w:rPr>
                <w:rFonts w:ascii="Times New Roman"/>
                <w:sz w:val="21"/>
                <w:szCs w:val="21"/>
              </w:rPr>
            </w:pPr>
            <w:r>
              <w:rPr>
                <w:rFonts w:hint="eastAsia" w:ascii="Times New Roman"/>
                <w:sz w:val="21"/>
                <w:szCs w:val="21"/>
              </w:rPr>
              <w:t>0</w:t>
            </w:r>
          </w:p>
        </w:tc>
        <w:tc>
          <w:tcPr>
            <w:tcW w:w="386" w:type="pct"/>
            <w:shd w:val="clear" w:color="auto" w:fill="auto"/>
            <w:vAlign w:val="center"/>
          </w:tcPr>
          <w:p w14:paraId="0B738C14">
            <w:pPr>
              <w:jc w:val="center"/>
              <w:rPr>
                <w:rFonts w:ascii="Times New Roman"/>
                <w:sz w:val="21"/>
                <w:szCs w:val="21"/>
              </w:rPr>
            </w:pPr>
            <w:r>
              <w:rPr>
                <w:rFonts w:hint="eastAsia" w:ascii="Times New Roman"/>
                <w:sz w:val="21"/>
                <w:szCs w:val="21"/>
              </w:rPr>
              <w:t>40</w:t>
            </w:r>
          </w:p>
        </w:tc>
        <w:tc>
          <w:tcPr>
            <w:tcW w:w="377" w:type="pct"/>
            <w:shd w:val="clear" w:color="auto" w:fill="auto"/>
            <w:vAlign w:val="center"/>
          </w:tcPr>
          <w:p w14:paraId="3A49A343">
            <w:pPr>
              <w:jc w:val="center"/>
              <w:rPr>
                <w:rFonts w:ascii="Times New Roman"/>
                <w:sz w:val="21"/>
                <w:szCs w:val="21"/>
              </w:rPr>
            </w:pPr>
            <w:r>
              <w:rPr>
                <w:rFonts w:hint="eastAsia" w:ascii="Times New Roman"/>
                <w:sz w:val="21"/>
                <w:szCs w:val="21"/>
              </w:rPr>
              <w:t>1.200</w:t>
            </w:r>
          </w:p>
        </w:tc>
        <w:tc>
          <w:tcPr>
            <w:tcW w:w="389" w:type="pct"/>
            <w:shd w:val="clear" w:color="auto" w:fill="auto"/>
            <w:vAlign w:val="center"/>
          </w:tcPr>
          <w:p w14:paraId="4C42E440">
            <w:pPr>
              <w:jc w:val="center"/>
              <w:rPr>
                <w:rFonts w:ascii="Times New Roman"/>
                <w:sz w:val="21"/>
                <w:szCs w:val="21"/>
              </w:rPr>
            </w:pPr>
            <w:r>
              <w:rPr>
                <w:rFonts w:hint="eastAsia" w:ascii="Times New Roman"/>
                <w:sz w:val="21"/>
                <w:szCs w:val="21"/>
              </w:rPr>
              <w:t>2.160</w:t>
            </w:r>
          </w:p>
        </w:tc>
        <w:tc>
          <w:tcPr>
            <w:tcW w:w="386" w:type="pct"/>
            <w:vAlign w:val="center"/>
          </w:tcPr>
          <w:p w14:paraId="67A2B895">
            <w:pPr>
              <w:jc w:val="center"/>
              <w:rPr>
                <w:rFonts w:ascii="Times New Roman"/>
                <w:sz w:val="21"/>
                <w:szCs w:val="21"/>
              </w:rPr>
            </w:pPr>
            <w:r>
              <w:rPr>
                <w:rFonts w:hint="eastAsia" w:ascii="Times New Roman"/>
                <w:sz w:val="21"/>
                <w:szCs w:val="21"/>
              </w:rPr>
              <w:t>10</w:t>
            </w:r>
          </w:p>
        </w:tc>
      </w:tr>
    </w:tbl>
    <w:p w14:paraId="6132C2F5">
      <w:pPr>
        <w:tabs>
          <w:tab w:val="left" w:pos="360"/>
          <w:tab w:val="left" w:pos="2207"/>
        </w:tabs>
        <w:rPr>
          <w:rFonts w:ascii="Times New Roman"/>
        </w:rPr>
      </w:pPr>
    </w:p>
    <w:p w14:paraId="7FBE18E9">
      <w:pPr>
        <w:spacing w:line="480" w:lineRule="exact"/>
        <w:jc w:val="center"/>
        <w:rPr>
          <w:rFonts w:ascii="Times New Roman"/>
          <w:b/>
          <w:sz w:val="24"/>
          <w:szCs w:val="20"/>
        </w:rPr>
        <w:sectPr>
          <w:pgSz w:w="16838" w:h="11906" w:orient="landscape"/>
          <w:pgMar w:top="1800" w:right="1440" w:bottom="1800" w:left="1440" w:header="1134" w:footer="1134" w:gutter="0"/>
          <w:cols w:space="720" w:num="1"/>
          <w:docGrid w:type="lines" w:linePitch="340" w:charSpace="0"/>
        </w:sectPr>
      </w:pPr>
    </w:p>
    <w:p w14:paraId="2B268AF9">
      <w:pPr>
        <w:widowControl/>
        <w:spacing w:line="520" w:lineRule="exact"/>
        <w:jc w:val="left"/>
        <w:outlineLvl w:val="1"/>
        <w:rPr>
          <w:rFonts w:ascii="Times New Roman"/>
          <w:b/>
          <w:sz w:val="30"/>
          <w:szCs w:val="30"/>
        </w:rPr>
      </w:pPr>
      <w:bookmarkStart w:id="162" w:name="_Toc10163"/>
      <w:r>
        <w:rPr>
          <w:rFonts w:ascii="Times New Roman"/>
          <w:b/>
          <w:sz w:val="30"/>
          <w:szCs w:val="30"/>
        </w:rPr>
        <w:t>3.9清洁生产分析</w:t>
      </w:r>
      <w:bookmarkEnd w:id="162"/>
    </w:p>
    <w:p w14:paraId="536B9CD5">
      <w:pPr>
        <w:autoSpaceDE w:val="0"/>
        <w:autoSpaceDN w:val="0"/>
        <w:adjustRightInd w:val="0"/>
        <w:spacing w:line="480" w:lineRule="exact"/>
        <w:ind w:firstLine="480" w:firstLineChars="200"/>
        <w:jc w:val="left"/>
        <w:rPr>
          <w:rFonts w:ascii="Times New Roman"/>
          <w:sz w:val="24"/>
          <w:szCs w:val="20"/>
        </w:rPr>
        <w:sectPr>
          <w:pgSz w:w="11906" w:h="16838"/>
          <w:pgMar w:top="1440" w:right="1797" w:bottom="1440" w:left="1797" w:header="1134" w:footer="1134" w:gutter="0"/>
          <w:cols w:space="720" w:num="1"/>
          <w:docGrid w:linePitch="340" w:charSpace="0"/>
        </w:sectPr>
      </w:pPr>
      <w:r>
        <w:rPr>
          <w:rFonts w:ascii="Times New Roman"/>
          <w:sz w:val="24"/>
          <w:szCs w:val="24"/>
        </w:rPr>
        <w:t>清洁生产是一种新的污染防治战略。它将整体预防的环境战略技术应用于生产的全过程、产品和服务中，以增加生态效率和减少人类及环境的风险。清洁生产对于生产过程，要求节约能源和原材料，淘汰有毒有害原材料，减降所有废弃物的数量和毒性；对产品，要求减少从原材料提炼到产品最终处置的全生命周期的不利影响；对服务要求将环境因素纳入设计和所提供的服务中。清洁生产就是使用更清洁的原料，采用更清洁的生产过程，生产更清洁的产品或提供更清洁的服务。《建设项目环境保护管理条例》、《中华人民共和国环境影响评价法》都</w:t>
      </w:r>
      <w:r>
        <w:rPr>
          <w:rFonts w:ascii="Times New Roman"/>
          <w:kern w:val="0"/>
          <w:sz w:val="24"/>
          <w:szCs w:val="24"/>
        </w:rPr>
        <w:t>明确规定工业建设项目应当采用清洁生产工艺，合理利用自然资源，防止环境污染和生态破坏。本次环评依据《涂装行业清洁生产评价指标体</w:t>
      </w:r>
      <w:r>
        <w:rPr>
          <w:rFonts w:ascii="Times New Roman"/>
          <w:sz w:val="24"/>
          <w:szCs w:val="20"/>
        </w:rPr>
        <w:t>系》中表3机械（物理）前处理评价指标项目、权重及基准值、表4喷漆（涂覆）评价指标项目、权重及基准值对本项目进行清洁生产定性与定量分析。</w:t>
      </w:r>
    </w:p>
    <w:p w14:paraId="228A7460">
      <w:pPr>
        <w:spacing w:line="480" w:lineRule="exact"/>
        <w:jc w:val="center"/>
        <w:rPr>
          <w:rFonts w:ascii="Times New Roman"/>
          <w:b/>
          <w:sz w:val="24"/>
          <w:szCs w:val="20"/>
        </w:rPr>
      </w:pPr>
      <w:r>
        <w:rPr>
          <w:rFonts w:ascii="Times New Roman"/>
          <w:b/>
          <w:sz w:val="24"/>
          <w:szCs w:val="20"/>
        </w:rPr>
        <w:t>表3.9-1  机械（物理）前处理评价指标项目、权重及基准值</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729"/>
        <w:gridCol w:w="706"/>
        <w:gridCol w:w="618"/>
        <w:gridCol w:w="609"/>
        <w:gridCol w:w="1313"/>
        <w:gridCol w:w="927"/>
        <w:gridCol w:w="2478"/>
        <w:gridCol w:w="2214"/>
        <w:gridCol w:w="1950"/>
        <w:gridCol w:w="2197"/>
      </w:tblGrid>
      <w:tr w14:paraId="2869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3" w:type="pct"/>
            <w:vAlign w:val="center"/>
          </w:tcPr>
          <w:p w14:paraId="6B5BD460">
            <w:pPr>
              <w:spacing w:line="280" w:lineRule="exact"/>
              <w:jc w:val="center"/>
              <w:rPr>
                <w:rFonts w:ascii="Times New Roman"/>
                <w:sz w:val="21"/>
                <w:szCs w:val="21"/>
              </w:rPr>
            </w:pPr>
            <w:r>
              <w:rPr>
                <w:rFonts w:ascii="Times New Roman"/>
                <w:sz w:val="21"/>
                <w:szCs w:val="21"/>
              </w:rPr>
              <w:t>序号</w:t>
            </w:r>
          </w:p>
        </w:tc>
        <w:tc>
          <w:tcPr>
            <w:tcW w:w="257" w:type="pct"/>
            <w:vAlign w:val="center"/>
          </w:tcPr>
          <w:p w14:paraId="6CB1CE96">
            <w:pPr>
              <w:spacing w:line="280" w:lineRule="exact"/>
              <w:jc w:val="center"/>
              <w:rPr>
                <w:rFonts w:ascii="Times New Roman"/>
                <w:sz w:val="21"/>
                <w:szCs w:val="21"/>
              </w:rPr>
            </w:pPr>
            <w:r>
              <w:rPr>
                <w:rFonts w:ascii="Times New Roman"/>
                <w:sz w:val="21"/>
                <w:szCs w:val="21"/>
              </w:rPr>
              <w:t>一级指标</w:t>
            </w:r>
          </w:p>
        </w:tc>
        <w:tc>
          <w:tcPr>
            <w:tcW w:w="249" w:type="pct"/>
            <w:vAlign w:val="center"/>
          </w:tcPr>
          <w:p w14:paraId="5490E029">
            <w:pPr>
              <w:spacing w:line="280" w:lineRule="exact"/>
              <w:jc w:val="center"/>
              <w:rPr>
                <w:rFonts w:ascii="Times New Roman"/>
                <w:sz w:val="21"/>
                <w:szCs w:val="21"/>
              </w:rPr>
            </w:pPr>
            <w:r>
              <w:rPr>
                <w:rFonts w:ascii="Times New Roman"/>
                <w:sz w:val="21"/>
                <w:szCs w:val="21"/>
              </w:rPr>
              <w:t>一级指标权重</w:t>
            </w:r>
          </w:p>
        </w:tc>
        <w:tc>
          <w:tcPr>
            <w:tcW w:w="433" w:type="pct"/>
            <w:gridSpan w:val="2"/>
            <w:vAlign w:val="center"/>
          </w:tcPr>
          <w:p w14:paraId="1DC5FF98">
            <w:pPr>
              <w:spacing w:line="280" w:lineRule="exact"/>
              <w:jc w:val="center"/>
              <w:rPr>
                <w:rFonts w:ascii="Times New Roman"/>
                <w:sz w:val="21"/>
                <w:szCs w:val="21"/>
              </w:rPr>
            </w:pPr>
            <w:r>
              <w:rPr>
                <w:rFonts w:ascii="Times New Roman"/>
                <w:sz w:val="21"/>
                <w:szCs w:val="21"/>
              </w:rPr>
              <w:t>二级指标</w:t>
            </w:r>
          </w:p>
        </w:tc>
        <w:tc>
          <w:tcPr>
            <w:tcW w:w="463" w:type="pct"/>
            <w:vAlign w:val="center"/>
          </w:tcPr>
          <w:p w14:paraId="22E4A6E5">
            <w:pPr>
              <w:spacing w:line="280" w:lineRule="exact"/>
              <w:jc w:val="center"/>
              <w:rPr>
                <w:rFonts w:ascii="Times New Roman"/>
                <w:sz w:val="21"/>
                <w:szCs w:val="21"/>
              </w:rPr>
            </w:pPr>
            <w:r>
              <w:rPr>
                <w:rFonts w:ascii="Times New Roman"/>
                <w:sz w:val="21"/>
                <w:szCs w:val="21"/>
              </w:rPr>
              <w:t>单位</w:t>
            </w:r>
          </w:p>
        </w:tc>
        <w:tc>
          <w:tcPr>
            <w:tcW w:w="327" w:type="pct"/>
            <w:vAlign w:val="center"/>
          </w:tcPr>
          <w:p w14:paraId="14DA08F2">
            <w:pPr>
              <w:spacing w:line="280" w:lineRule="exact"/>
              <w:jc w:val="center"/>
              <w:rPr>
                <w:rFonts w:ascii="Times New Roman"/>
                <w:sz w:val="21"/>
                <w:szCs w:val="21"/>
              </w:rPr>
            </w:pPr>
            <w:r>
              <w:rPr>
                <w:rFonts w:ascii="Times New Roman"/>
                <w:sz w:val="21"/>
                <w:szCs w:val="21"/>
              </w:rPr>
              <w:t>二级指标权重</w:t>
            </w:r>
          </w:p>
        </w:tc>
        <w:tc>
          <w:tcPr>
            <w:tcW w:w="874" w:type="pct"/>
            <w:vAlign w:val="center"/>
          </w:tcPr>
          <w:p w14:paraId="6D6D9E10">
            <w:pPr>
              <w:spacing w:line="280" w:lineRule="exact"/>
              <w:jc w:val="center"/>
              <w:rPr>
                <w:rFonts w:ascii="Times New Roman"/>
                <w:sz w:val="21"/>
                <w:szCs w:val="21"/>
              </w:rPr>
            </w:pPr>
            <w:r>
              <w:rPr>
                <w:rFonts w:ascii="Times New Roman"/>
                <w:sz w:val="21"/>
                <w:szCs w:val="21"/>
              </w:rPr>
              <w:t>I级基准值</w:t>
            </w:r>
          </w:p>
        </w:tc>
        <w:tc>
          <w:tcPr>
            <w:tcW w:w="781" w:type="pct"/>
            <w:vAlign w:val="center"/>
          </w:tcPr>
          <w:p w14:paraId="32828711">
            <w:pPr>
              <w:spacing w:line="280" w:lineRule="exact"/>
              <w:jc w:val="center"/>
              <w:rPr>
                <w:rFonts w:ascii="Times New Roman"/>
                <w:sz w:val="21"/>
                <w:szCs w:val="21"/>
              </w:rPr>
            </w:pPr>
            <w:r>
              <w:rPr>
                <w:rFonts w:ascii="Times New Roman"/>
                <w:sz w:val="21"/>
                <w:szCs w:val="21"/>
              </w:rPr>
              <w:t>II级基准值</w:t>
            </w:r>
          </w:p>
        </w:tc>
        <w:tc>
          <w:tcPr>
            <w:tcW w:w="688" w:type="pct"/>
            <w:vAlign w:val="center"/>
          </w:tcPr>
          <w:p w14:paraId="205E2D91">
            <w:pPr>
              <w:spacing w:line="280" w:lineRule="exact"/>
              <w:jc w:val="center"/>
              <w:rPr>
                <w:rFonts w:ascii="Times New Roman"/>
                <w:sz w:val="21"/>
                <w:szCs w:val="21"/>
              </w:rPr>
            </w:pPr>
            <w:r>
              <w:rPr>
                <w:rFonts w:ascii="Times New Roman"/>
                <w:sz w:val="21"/>
                <w:szCs w:val="21"/>
              </w:rPr>
              <w:t>III级基准值</w:t>
            </w:r>
          </w:p>
        </w:tc>
        <w:tc>
          <w:tcPr>
            <w:tcW w:w="771" w:type="pct"/>
            <w:vAlign w:val="center"/>
          </w:tcPr>
          <w:p w14:paraId="1CE6CEF6">
            <w:pPr>
              <w:spacing w:line="280" w:lineRule="exact"/>
              <w:jc w:val="center"/>
              <w:rPr>
                <w:rFonts w:ascii="Times New Roman"/>
                <w:sz w:val="21"/>
                <w:szCs w:val="21"/>
              </w:rPr>
            </w:pPr>
            <w:r>
              <w:rPr>
                <w:rFonts w:ascii="Times New Roman"/>
                <w:sz w:val="21"/>
                <w:szCs w:val="21"/>
              </w:rPr>
              <w:t>本项目情况</w:t>
            </w:r>
          </w:p>
        </w:tc>
      </w:tr>
      <w:tr w14:paraId="1154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3" w:type="pct"/>
            <w:vAlign w:val="center"/>
          </w:tcPr>
          <w:p w14:paraId="2E964317">
            <w:pPr>
              <w:spacing w:line="280" w:lineRule="exact"/>
              <w:jc w:val="center"/>
              <w:rPr>
                <w:rFonts w:ascii="Times New Roman"/>
                <w:sz w:val="21"/>
                <w:szCs w:val="21"/>
              </w:rPr>
            </w:pPr>
            <w:r>
              <w:rPr>
                <w:rFonts w:ascii="Times New Roman"/>
                <w:sz w:val="21"/>
                <w:szCs w:val="21"/>
              </w:rPr>
              <w:t>1</w:t>
            </w:r>
          </w:p>
        </w:tc>
        <w:tc>
          <w:tcPr>
            <w:tcW w:w="257" w:type="pct"/>
            <w:vMerge w:val="restart"/>
            <w:vAlign w:val="center"/>
          </w:tcPr>
          <w:p w14:paraId="6C4DACDB">
            <w:pPr>
              <w:spacing w:line="280" w:lineRule="exact"/>
              <w:jc w:val="center"/>
              <w:rPr>
                <w:rFonts w:ascii="Times New Roman"/>
                <w:sz w:val="21"/>
                <w:szCs w:val="21"/>
              </w:rPr>
            </w:pPr>
            <w:r>
              <w:rPr>
                <w:rFonts w:ascii="Times New Roman"/>
                <w:sz w:val="21"/>
                <w:szCs w:val="21"/>
              </w:rPr>
              <w:t>生产工艺及设备要求</w:t>
            </w:r>
          </w:p>
        </w:tc>
        <w:tc>
          <w:tcPr>
            <w:tcW w:w="249" w:type="pct"/>
            <w:vMerge w:val="restart"/>
            <w:vAlign w:val="center"/>
          </w:tcPr>
          <w:p w14:paraId="0078EEAF">
            <w:pPr>
              <w:spacing w:line="280" w:lineRule="exact"/>
              <w:jc w:val="center"/>
              <w:rPr>
                <w:rFonts w:ascii="Times New Roman"/>
                <w:sz w:val="21"/>
                <w:szCs w:val="21"/>
              </w:rPr>
            </w:pPr>
            <w:r>
              <w:rPr>
                <w:rFonts w:ascii="Times New Roman"/>
                <w:sz w:val="21"/>
                <w:szCs w:val="21"/>
              </w:rPr>
              <w:t>0.50</w:t>
            </w:r>
          </w:p>
        </w:tc>
        <w:tc>
          <w:tcPr>
            <w:tcW w:w="218" w:type="pct"/>
            <w:vMerge w:val="restart"/>
            <w:vAlign w:val="center"/>
          </w:tcPr>
          <w:p w14:paraId="352C506F">
            <w:pPr>
              <w:spacing w:line="280" w:lineRule="exact"/>
              <w:jc w:val="center"/>
              <w:rPr>
                <w:rFonts w:ascii="Times New Roman"/>
                <w:sz w:val="21"/>
                <w:szCs w:val="21"/>
              </w:rPr>
            </w:pPr>
            <w:r>
              <w:rPr>
                <w:rFonts w:ascii="Times New Roman"/>
                <w:sz w:val="21"/>
                <w:szCs w:val="21"/>
              </w:rPr>
              <w:t>涂装前处理</w:t>
            </w:r>
          </w:p>
        </w:tc>
        <w:tc>
          <w:tcPr>
            <w:tcW w:w="215" w:type="pct"/>
            <w:vMerge w:val="restart"/>
            <w:vAlign w:val="center"/>
          </w:tcPr>
          <w:p w14:paraId="4378D74B">
            <w:pPr>
              <w:spacing w:line="280" w:lineRule="exact"/>
              <w:jc w:val="center"/>
              <w:rPr>
                <w:rFonts w:ascii="Times New Roman"/>
                <w:sz w:val="21"/>
                <w:szCs w:val="21"/>
              </w:rPr>
            </w:pPr>
            <w:r>
              <w:rPr>
                <w:rFonts w:ascii="Times New Roman"/>
                <w:sz w:val="21"/>
                <w:szCs w:val="21"/>
              </w:rPr>
              <w:t>打磨</w:t>
            </w:r>
          </w:p>
        </w:tc>
        <w:tc>
          <w:tcPr>
            <w:tcW w:w="463" w:type="pct"/>
            <w:vMerge w:val="restart"/>
            <w:vAlign w:val="center"/>
          </w:tcPr>
          <w:p w14:paraId="60E3FCDE">
            <w:pPr>
              <w:spacing w:line="280" w:lineRule="exact"/>
              <w:jc w:val="center"/>
              <w:rPr>
                <w:rFonts w:ascii="Times New Roman"/>
                <w:sz w:val="21"/>
                <w:szCs w:val="21"/>
              </w:rPr>
            </w:pPr>
            <w:r>
              <w:rPr>
                <w:rFonts w:ascii="Times New Roman"/>
                <w:sz w:val="21"/>
                <w:szCs w:val="21"/>
              </w:rPr>
              <w:t>--</w:t>
            </w:r>
          </w:p>
        </w:tc>
        <w:tc>
          <w:tcPr>
            <w:tcW w:w="327" w:type="pct"/>
            <w:vAlign w:val="center"/>
          </w:tcPr>
          <w:p w14:paraId="2FA3AFA0">
            <w:pPr>
              <w:spacing w:line="280" w:lineRule="exact"/>
              <w:jc w:val="center"/>
              <w:rPr>
                <w:rFonts w:ascii="Times New Roman"/>
                <w:sz w:val="21"/>
                <w:szCs w:val="21"/>
              </w:rPr>
            </w:pPr>
            <w:r>
              <w:rPr>
                <w:rFonts w:ascii="Times New Roman"/>
                <w:sz w:val="21"/>
                <w:szCs w:val="21"/>
              </w:rPr>
              <w:t>0.14</w:t>
            </w:r>
          </w:p>
        </w:tc>
        <w:tc>
          <w:tcPr>
            <w:tcW w:w="874" w:type="pct"/>
            <w:vAlign w:val="center"/>
          </w:tcPr>
          <w:p w14:paraId="2F1E1911">
            <w:pPr>
              <w:spacing w:line="280" w:lineRule="exact"/>
              <w:jc w:val="center"/>
              <w:rPr>
                <w:rFonts w:ascii="Times New Roman"/>
                <w:sz w:val="21"/>
                <w:szCs w:val="21"/>
              </w:rPr>
            </w:pPr>
            <w:r>
              <w:rPr>
                <w:rFonts w:ascii="Times New Roman"/>
                <w:sz w:val="21"/>
                <w:szCs w:val="21"/>
              </w:rPr>
              <w:t>应满足以下条件之一：①湿式打磨；</w:t>
            </w:r>
          </w:p>
          <w:p w14:paraId="1F0760DA">
            <w:pPr>
              <w:spacing w:line="280" w:lineRule="exact"/>
              <w:jc w:val="center"/>
              <w:rPr>
                <w:rFonts w:ascii="Times New Roman"/>
                <w:sz w:val="21"/>
                <w:szCs w:val="21"/>
              </w:rPr>
            </w:pPr>
            <w:r>
              <w:rPr>
                <w:rFonts w:ascii="Times New Roman"/>
                <w:sz w:val="21"/>
                <w:szCs w:val="21"/>
              </w:rPr>
              <w:t>②干式打磨，有粉尘处理处理设备，粉尘处理效率≥99%</w:t>
            </w:r>
          </w:p>
        </w:tc>
        <w:tc>
          <w:tcPr>
            <w:tcW w:w="781" w:type="pct"/>
            <w:vAlign w:val="center"/>
          </w:tcPr>
          <w:p w14:paraId="34735054">
            <w:pPr>
              <w:spacing w:line="280" w:lineRule="exact"/>
              <w:jc w:val="center"/>
              <w:rPr>
                <w:rFonts w:ascii="Times New Roman"/>
                <w:sz w:val="21"/>
                <w:szCs w:val="21"/>
              </w:rPr>
            </w:pPr>
            <w:r>
              <w:rPr>
                <w:rFonts w:ascii="Times New Roman"/>
                <w:sz w:val="21"/>
                <w:szCs w:val="21"/>
              </w:rPr>
              <w:t>干式打磨，有粉尘处理设备，粉尘处理效率≥98%</w:t>
            </w:r>
          </w:p>
        </w:tc>
        <w:tc>
          <w:tcPr>
            <w:tcW w:w="688" w:type="pct"/>
            <w:vAlign w:val="center"/>
          </w:tcPr>
          <w:p w14:paraId="344A9484">
            <w:pPr>
              <w:spacing w:line="280" w:lineRule="exact"/>
              <w:jc w:val="center"/>
              <w:rPr>
                <w:rFonts w:ascii="Times New Roman"/>
                <w:sz w:val="21"/>
                <w:szCs w:val="21"/>
              </w:rPr>
            </w:pPr>
            <w:r>
              <w:rPr>
                <w:rFonts w:ascii="Times New Roman"/>
                <w:sz w:val="21"/>
                <w:szCs w:val="21"/>
              </w:rPr>
              <w:t>干式打磨，有粉尘处理设备，粉尘处理效率≥97%</w:t>
            </w:r>
          </w:p>
        </w:tc>
        <w:tc>
          <w:tcPr>
            <w:tcW w:w="771" w:type="pct"/>
            <w:vAlign w:val="center"/>
          </w:tcPr>
          <w:p w14:paraId="486001C6">
            <w:pPr>
              <w:spacing w:line="280" w:lineRule="exact"/>
              <w:jc w:val="center"/>
              <w:rPr>
                <w:rFonts w:ascii="Times New Roman"/>
                <w:sz w:val="21"/>
                <w:szCs w:val="21"/>
              </w:rPr>
            </w:pPr>
            <w:r>
              <w:rPr>
                <w:rFonts w:ascii="Times New Roman"/>
                <w:sz w:val="21"/>
                <w:szCs w:val="21"/>
              </w:rPr>
              <w:t>本项目抛丸、喷砂粉尘使用布袋除尘器处理，处理效率≥99%，属于I级基准值</w:t>
            </w:r>
          </w:p>
        </w:tc>
      </w:tr>
      <w:tr w14:paraId="218E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3" w:type="pct"/>
            <w:vAlign w:val="center"/>
          </w:tcPr>
          <w:p w14:paraId="5DAA870F">
            <w:pPr>
              <w:spacing w:line="280" w:lineRule="exact"/>
              <w:jc w:val="center"/>
              <w:rPr>
                <w:rFonts w:ascii="Times New Roman"/>
                <w:sz w:val="21"/>
                <w:szCs w:val="21"/>
              </w:rPr>
            </w:pPr>
            <w:r>
              <w:rPr>
                <w:rFonts w:ascii="Times New Roman"/>
                <w:sz w:val="21"/>
                <w:szCs w:val="21"/>
              </w:rPr>
              <w:t>2</w:t>
            </w:r>
          </w:p>
        </w:tc>
        <w:tc>
          <w:tcPr>
            <w:tcW w:w="257" w:type="pct"/>
            <w:vMerge w:val="continue"/>
            <w:vAlign w:val="center"/>
          </w:tcPr>
          <w:p w14:paraId="360BBF9A">
            <w:pPr>
              <w:spacing w:line="280" w:lineRule="exact"/>
              <w:jc w:val="center"/>
              <w:rPr>
                <w:rFonts w:ascii="Times New Roman"/>
                <w:sz w:val="21"/>
                <w:szCs w:val="21"/>
              </w:rPr>
            </w:pPr>
          </w:p>
        </w:tc>
        <w:tc>
          <w:tcPr>
            <w:tcW w:w="249" w:type="pct"/>
            <w:vMerge w:val="continue"/>
            <w:vAlign w:val="center"/>
          </w:tcPr>
          <w:p w14:paraId="0627EC5B">
            <w:pPr>
              <w:spacing w:line="280" w:lineRule="exact"/>
              <w:jc w:val="center"/>
              <w:rPr>
                <w:rFonts w:ascii="Times New Roman"/>
                <w:sz w:val="21"/>
                <w:szCs w:val="21"/>
              </w:rPr>
            </w:pPr>
          </w:p>
        </w:tc>
        <w:tc>
          <w:tcPr>
            <w:tcW w:w="218" w:type="pct"/>
            <w:vMerge w:val="continue"/>
            <w:vAlign w:val="center"/>
          </w:tcPr>
          <w:p w14:paraId="470DDB32">
            <w:pPr>
              <w:spacing w:line="280" w:lineRule="exact"/>
              <w:jc w:val="center"/>
              <w:rPr>
                <w:rFonts w:ascii="Times New Roman"/>
                <w:sz w:val="21"/>
                <w:szCs w:val="21"/>
              </w:rPr>
            </w:pPr>
          </w:p>
        </w:tc>
        <w:tc>
          <w:tcPr>
            <w:tcW w:w="215" w:type="pct"/>
            <w:vMerge w:val="continue"/>
            <w:vAlign w:val="center"/>
          </w:tcPr>
          <w:p w14:paraId="5C0FED6A">
            <w:pPr>
              <w:spacing w:line="280" w:lineRule="exact"/>
              <w:jc w:val="center"/>
              <w:rPr>
                <w:rFonts w:ascii="Times New Roman"/>
                <w:sz w:val="21"/>
                <w:szCs w:val="21"/>
              </w:rPr>
            </w:pPr>
          </w:p>
        </w:tc>
        <w:tc>
          <w:tcPr>
            <w:tcW w:w="463" w:type="pct"/>
            <w:vMerge w:val="continue"/>
            <w:vAlign w:val="center"/>
          </w:tcPr>
          <w:p w14:paraId="547F585B">
            <w:pPr>
              <w:spacing w:line="280" w:lineRule="exact"/>
              <w:jc w:val="center"/>
              <w:rPr>
                <w:rFonts w:ascii="Times New Roman"/>
                <w:sz w:val="21"/>
                <w:szCs w:val="21"/>
              </w:rPr>
            </w:pPr>
          </w:p>
        </w:tc>
        <w:tc>
          <w:tcPr>
            <w:tcW w:w="327" w:type="pct"/>
            <w:vAlign w:val="center"/>
          </w:tcPr>
          <w:p w14:paraId="321D900F">
            <w:pPr>
              <w:spacing w:line="280" w:lineRule="exact"/>
              <w:jc w:val="center"/>
              <w:rPr>
                <w:rFonts w:ascii="Times New Roman"/>
                <w:sz w:val="21"/>
                <w:szCs w:val="21"/>
              </w:rPr>
            </w:pPr>
            <w:r>
              <w:rPr>
                <w:rFonts w:ascii="Times New Roman"/>
                <w:sz w:val="21"/>
                <w:szCs w:val="21"/>
              </w:rPr>
              <w:t>0.05</w:t>
            </w:r>
          </w:p>
        </w:tc>
        <w:tc>
          <w:tcPr>
            <w:tcW w:w="874" w:type="pct"/>
            <w:vAlign w:val="center"/>
          </w:tcPr>
          <w:p w14:paraId="3D72C06E">
            <w:pPr>
              <w:spacing w:line="280" w:lineRule="exact"/>
              <w:jc w:val="center"/>
              <w:rPr>
                <w:rFonts w:ascii="Times New Roman"/>
                <w:sz w:val="21"/>
                <w:szCs w:val="21"/>
              </w:rPr>
            </w:pPr>
            <w:r>
              <w:rPr>
                <w:rFonts w:ascii="Times New Roman"/>
                <w:sz w:val="21"/>
                <w:szCs w:val="21"/>
              </w:rPr>
              <w:t>设备噪声≤85 dB(A)</w:t>
            </w:r>
          </w:p>
        </w:tc>
        <w:tc>
          <w:tcPr>
            <w:tcW w:w="781" w:type="pct"/>
            <w:vAlign w:val="center"/>
          </w:tcPr>
          <w:p w14:paraId="3B526347">
            <w:pPr>
              <w:spacing w:line="280" w:lineRule="exact"/>
              <w:jc w:val="center"/>
              <w:rPr>
                <w:rFonts w:ascii="Times New Roman"/>
                <w:sz w:val="21"/>
                <w:szCs w:val="21"/>
              </w:rPr>
            </w:pPr>
            <w:r>
              <w:rPr>
                <w:rFonts w:ascii="Times New Roman"/>
                <w:sz w:val="21"/>
                <w:szCs w:val="21"/>
              </w:rPr>
              <w:t>设备噪声≤87dB(A)</w:t>
            </w:r>
          </w:p>
        </w:tc>
        <w:tc>
          <w:tcPr>
            <w:tcW w:w="688" w:type="pct"/>
            <w:vAlign w:val="center"/>
          </w:tcPr>
          <w:p w14:paraId="6DB388CE">
            <w:pPr>
              <w:spacing w:line="280" w:lineRule="exact"/>
              <w:jc w:val="center"/>
              <w:rPr>
                <w:rFonts w:ascii="Times New Roman"/>
                <w:sz w:val="21"/>
                <w:szCs w:val="21"/>
              </w:rPr>
            </w:pPr>
            <w:r>
              <w:rPr>
                <w:rFonts w:ascii="Times New Roman"/>
                <w:sz w:val="21"/>
                <w:szCs w:val="21"/>
              </w:rPr>
              <w:t>设备噪声≤90 dB(A)</w:t>
            </w:r>
          </w:p>
        </w:tc>
        <w:tc>
          <w:tcPr>
            <w:tcW w:w="771" w:type="pct"/>
            <w:vAlign w:val="center"/>
          </w:tcPr>
          <w:p w14:paraId="18D8428D">
            <w:pPr>
              <w:spacing w:line="280" w:lineRule="exact"/>
              <w:jc w:val="center"/>
              <w:rPr>
                <w:rFonts w:ascii="Times New Roman"/>
                <w:sz w:val="21"/>
                <w:szCs w:val="21"/>
              </w:rPr>
            </w:pPr>
            <w:r>
              <w:rPr>
                <w:rFonts w:ascii="Times New Roman"/>
                <w:sz w:val="21"/>
                <w:szCs w:val="21"/>
              </w:rPr>
              <w:t>设备噪声≤90dB(A) 98%，III级基准值</w:t>
            </w:r>
          </w:p>
        </w:tc>
      </w:tr>
      <w:tr w14:paraId="089A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3" w:type="pct"/>
            <w:vAlign w:val="center"/>
          </w:tcPr>
          <w:p w14:paraId="3039FF54">
            <w:pPr>
              <w:spacing w:line="280" w:lineRule="exact"/>
              <w:jc w:val="center"/>
              <w:rPr>
                <w:rFonts w:ascii="Times New Roman"/>
                <w:sz w:val="21"/>
                <w:szCs w:val="21"/>
              </w:rPr>
            </w:pPr>
            <w:r>
              <w:rPr>
                <w:rFonts w:ascii="Times New Roman"/>
                <w:sz w:val="21"/>
                <w:szCs w:val="21"/>
              </w:rPr>
              <w:t>3</w:t>
            </w:r>
          </w:p>
        </w:tc>
        <w:tc>
          <w:tcPr>
            <w:tcW w:w="257" w:type="pct"/>
            <w:vAlign w:val="center"/>
          </w:tcPr>
          <w:p w14:paraId="0ADE254C">
            <w:pPr>
              <w:spacing w:line="280" w:lineRule="exact"/>
              <w:jc w:val="center"/>
              <w:rPr>
                <w:rFonts w:ascii="Times New Roman"/>
                <w:sz w:val="21"/>
                <w:szCs w:val="21"/>
              </w:rPr>
            </w:pPr>
            <w:r>
              <w:rPr>
                <w:rFonts w:ascii="Times New Roman"/>
                <w:sz w:val="21"/>
                <w:szCs w:val="21"/>
              </w:rPr>
              <w:t>资源和能源消耗指标</w:t>
            </w:r>
          </w:p>
        </w:tc>
        <w:tc>
          <w:tcPr>
            <w:tcW w:w="249" w:type="pct"/>
            <w:vAlign w:val="center"/>
          </w:tcPr>
          <w:p w14:paraId="431188A9">
            <w:pPr>
              <w:spacing w:line="280" w:lineRule="exact"/>
              <w:jc w:val="center"/>
              <w:rPr>
                <w:rFonts w:ascii="Times New Roman"/>
                <w:sz w:val="21"/>
                <w:szCs w:val="21"/>
              </w:rPr>
            </w:pPr>
            <w:r>
              <w:rPr>
                <w:rFonts w:ascii="Times New Roman"/>
                <w:sz w:val="21"/>
                <w:szCs w:val="21"/>
              </w:rPr>
              <w:t>0.15</w:t>
            </w:r>
          </w:p>
        </w:tc>
        <w:tc>
          <w:tcPr>
            <w:tcW w:w="433" w:type="pct"/>
            <w:gridSpan w:val="2"/>
            <w:vAlign w:val="center"/>
          </w:tcPr>
          <w:p w14:paraId="7DF2DFCB">
            <w:pPr>
              <w:spacing w:line="280" w:lineRule="exact"/>
              <w:jc w:val="center"/>
              <w:rPr>
                <w:rFonts w:ascii="Times New Roman"/>
                <w:sz w:val="21"/>
                <w:szCs w:val="21"/>
              </w:rPr>
            </w:pPr>
            <w:r>
              <w:rPr>
                <w:rFonts w:ascii="Times New Roman"/>
                <w:sz w:val="21"/>
                <w:szCs w:val="21"/>
              </w:rPr>
              <w:t>单位面积综合耗能*</w:t>
            </w:r>
          </w:p>
        </w:tc>
        <w:tc>
          <w:tcPr>
            <w:tcW w:w="463" w:type="pct"/>
            <w:vAlign w:val="center"/>
          </w:tcPr>
          <w:p w14:paraId="77F9E7E9">
            <w:pPr>
              <w:spacing w:line="280" w:lineRule="exact"/>
              <w:jc w:val="center"/>
              <w:rPr>
                <w:rFonts w:ascii="Times New Roman"/>
                <w:sz w:val="21"/>
                <w:szCs w:val="21"/>
              </w:rPr>
            </w:pPr>
            <w:r>
              <w:rPr>
                <w:rFonts w:ascii="Times New Roman"/>
                <w:sz w:val="21"/>
                <w:szCs w:val="21"/>
              </w:rPr>
              <w:t>kgce/m</w:t>
            </w:r>
            <w:r>
              <w:rPr>
                <w:rFonts w:ascii="Times New Roman"/>
                <w:sz w:val="21"/>
                <w:szCs w:val="21"/>
                <w:vertAlign w:val="superscript"/>
              </w:rPr>
              <w:t>2</w:t>
            </w:r>
          </w:p>
        </w:tc>
        <w:tc>
          <w:tcPr>
            <w:tcW w:w="327" w:type="pct"/>
            <w:vAlign w:val="center"/>
          </w:tcPr>
          <w:p w14:paraId="73DEB2C4">
            <w:pPr>
              <w:spacing w:line="280" w:lineRule="exact"/>
              <w:jc w:val="center"/>
              <w:rPr>
                <w:rFonts w:ascii="Times New Roman"/>
                <w:sz w:val="21"/>
                <w:szCs w:val="21"/>
              </w:rPr>
            </w:pPr>
            <w:r>
              <w:rPr>
                <w:rFonts w:ascii="Times New Roman"/>
                <w:sz w:val="21"/>
                <w:szCs w:val="21"/>
              </w:rPr>
              <w:t>1.00</w:t>
            </w:r>
          </w:p>
        </w:tc>
        <w:tc>
          <w:tcPr>
            <w:tcW w:w="874" w:type="pct"/>
            <w:vAlign w:val="center"/>
          </w:tcPr>
          <w:p w14:paraId="3B4C731A">
            <w:pPr>
              <w:spacing w:line="280" w:lineRule="exact"/>
              <w:jc w:val="center"/>
              <w:rPr>
                <w:rFonts w:ascii="Times New Roman"/>
                <w:sz w:val="21"/>
                <w:szCs w:val="21"/>
              </w:rPr>
            </w:pPr>
            <w:r>
              <w:rPr>
                <w:rFonts w:ascii="Times New Roman"/>
                <w:sz w:val="21"/>
                <w:szCs w:val="21"/>
              </w:rPr>
              <w:t>≤0.27</w:t>
            </w:r>
          </w:p>
        </w:tc>
        <w:tc>
          <w:tcPr>
            <w:tcW w:w="781" w:type="pct"/>
            <w:vAlign w:val="center"/>
          </w:tcPr>
          <w:p w14:paraId="7FE7A186">
            <w:pPr>
              <w:spacing w:line="280" w:lineRule="exact"/>
              <w:jc w:val="center"/>
              <w:rPr>
                <w:rFonts w:ascii="Times New Roman"/>
                <w:sz w:val="21"/>
                <w:szCs w:val="21"/>
              </w:rPr>
            </w:pPr>
            <w:r>
              <w:rPr>
                <w:rFonts w:ascii="Times New Roman"/>
                <w:sz w:val="21"/>
                <w:szCs w:val="21"/>
              </w:rPr>
              <w:t>≤0.33</w:t>
            </w:r>
          </w:p>
        </w:tc>
        <w:tc>
          <w:tcPr>
            <w:tcW w:w="688" w:type="pct"/>
            <w:vAlign w:val="center"/>
          </w:tcPr>
          <w:p w14:paraId="4D1F8D94">
            <w:pPr>
              <w:spacing w:line="280" w:lineRule="exact"/>
              <w:jc w:val="center"/>
              <w:rPr>
                <w:rFonts w:ascii="Times New Roman"/>
                <w:sz w:val="21"/>
                <w:szCs w:val="21"/>
              </w:rPr>
            </w:pPr>
            <w:r>
              <w:rPr>
                <w:rFonts w:ascii="Times New Roman"/>
                <w:sz w:val="21"/>
                <w:szCs w:val="21"/>
              </w:rPr>
              <w:t>≤0.38</w:t>
            </w:r>
          </w:p>
        </w:tc>
        <w:tc>
          <w:tcPr>
            <w:tcW w:w="771" w:type="pct"/>
            <w:vAlign w:val="center"/>
          </w:tcPr>
          <w:p w14:paraId="7E0D9568">
            <w:pPr>
              <w:spacing w:line="280" w:lineRule="exact"/>
              <w:jc w:val="center"/>
              <w:rPr>
                <w:rFonts w:ascii="Times New Roman"/>
                <w:sz w:val="21"/>
                <w:szCs w:val="21"/>
              </w:rPr>
            </w:pPr>
            <w:r>
              <w:rPr>
                <w:rFonts w:ascii="Times New Roman"/>
                <w:kern w:val="0"/>
                <w:sz w:val="21"/>
                <w:szCs w:val="21"/>
              </w:rPr>
              <w:t>本项目</w:t>
            </w:r>
            <w:r>
              <w:rPr>
                <w:rFonts w:ascii="Times New Roman"/>
                <w:sz w:val="21"/>
                <w:szCs w:val="21"/>
              </w:rPr>
              <w:t>单位面积综合耗能≤0.27kgce/m</w:t>
            </w:r>
            <w:r>
              <w:rPr>
                <w:rFonts w:ascii="Times New Roman"/>
                <w:sz w:val="21"/>
                <w:szCs w:val="21"/>
                <w:vertAlign w:val="superscript"/>
              </w:rPr>
              <w:t>2</w:t>
            </w:r>
            <w:r>
              <w:rPr>
                <w:rFonts w:ascii="Times New Roman"/>
                <w:sz w:val="21"/>
                <w:szCs w:val="21"/>
              </w:rPr>
              <w:t>，属于I级基准值</w:t>
            </w:r>
          </w:p>
        </w:tc>
      </w:tr>
      <w:tr w14:paraId="0EEC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3" w:type="pct"/>
            <w:vMerge w:val="restart"/>
            <w:vAlign w:val="center"/>
          </w:tcPr>
          <w:p w14:paraId="32030C65">
            <w:pPr>
              <w:spacing w:line="280" w:lineRule="exact"/>
              <w:jc w:val="center"/>
              <w:rPr>
                <w:rFonts w:ascii="Times New Roman"/>
                <w:sz w:val="21"/>
                <w:szCs w:val="21"/>
              </w:rPr>
            </w:pPr>
            <w:r>
              <w:rPr>
                <w:rFonts w:ascii="Times New Roman"/>
                <w:sz w:val="21"/>
                <w:szCs w:val="21"/>
              </w:rPr>
              <w:t>4</w:t>
            </w:r>
          </w:p>
        </w:tc>
        <w:tc>
          <w:tcPr>
            <w:tcW w:w="257" w:type="pct"/>
            <w:vMerge w:val="restart"/>
            <w:vAlign w:val="center"/>
          </w:tcPr>
          <w:p w14:paraId="04B8C742">
            <w:pPr>
              <w:spacing w:line="280" w:lineRule="exact"/>
              <w:jc w:val="center"/>
              <w:rPr>
                <w:rFonts w:ascii="Times New Roman"/>
                <w:sz w:val="21"/>
                <w:szCs w:val="21"/>
              </w:rPr>
            </w:pPr>
            <w:r>
              <w:rPr>
                <w:rFonts w:ascii="Times New Roman"/>
                <w:sz w:val="21"/>
                <w:szCs w:val="21"/>
              </w:rPr>
              <w:t>污染物产生指标</w:t>
            </w:r>
          </w:p>
        </w:tc>
        <w:tc>
          <w:tcPr>
            <w:tcW w:w="249" w:type="pct"/>
            <w:vMerge w:val="restart"/>
            <w:vAlign w:val="center"/>
          </w:tcPr>
          <w:p w14:paraId="63D361CC">
            <w:pPr>
              <w:spacing w:line="280" w:lineRule="exact"/>
              <w:jc w:val="center"/>
              <w:rPr>
                <w:rFonts w:ascii="Times New Roman"/>
                <w:sz w:val="21"/>
                <w:szCs w:val="21"/>
              </w:rPr>
            </w:pPr>
            <w:r>
              <w:rPr>
                <w:rFonts w:ascii="Times New Roman"/>
                <w:sz w:val="21"/>
                <w:szCs w:val="21"/>
              </w:rPr>
              <w:t>0.35</w:t>
            </w:r>
          </w:p>
        </w:tc>
        <w:tc>
          <w:tcPr>
            <w:tcW w:w="433" w:type="pct"/>
            <w:gridSpan w:val="2"/>
            <w:vAlign w:val="center"/>
          </w:tcPr>
          <w:p w14:paraId="22E62EE0">
            <w:pPr>
              <w:spacing w:line="280" w:lineRule="exact"/>
              <w:jc w:val="center"/>
              <w:rPr>
                <w:rFonts w:ascii="Times New Roman"/>
                <w:sz w:val="21"/>
                <w:szCs w:val="21"/>
              </w:rPr>
            </w:pPr>
            <w:r>
              <w:rPr>
                <w:rFonts w:ascii="Times New Roman"/>
                <w:sz w:val="21"/>
                <w:szCs w:val="21"/>
              </w:rPr>
              <w:t>单位面积VOCs产</w:t>
            </w:r>
          </w:p>
          <w:p w14:paraId="1A5794E4">
            <w:pPr>
              <w:spacing w:line="280" w:lineRule="exact"/>
              <w:jc w:val="center"/>
              <w:rPr>
                <w:rFonts w:ascii="Times New Roman"/>
                <w:sz w:val="21"/>
                <w:szCs w:val="21"/>
              </w:rPr>
            </w:pPr>
            <w:r>
              <w:rPr>
                <w:rFonts w:ascii="Times New Roman"/>
                <w:sz w:val="21"/>
                <w:szCs w:val="21"/>
              </w:rPr>
              <w:t>生量*</w:t>
            </w:r>
          </w:p>
        </w:tc>
        <w:tc>
          <w:tcPr>
            <w:tcW w:w="463" w:type="pct"/>
            <w:vAlign w:val="center"/>
          </w:tcPr>
          <w:p w14:paraId="3FF1D1E3">
            <w:pPr>
              <w:spacing w:line="280" w:lineRule="exact"/>
              <w:jc w:val="center"/>
              <w:rPr>
                <w:rFonts w:ascii="Times New Roman"/>
                <w:sz w:val="21"/>
                <w:szCs w:val="21"/>
              </w:rPr>
            </w:pPr>
            <w:r>
              <w:rPr>
                <w:rFonts w:ascii="Times New Roman"/>
                <w:sz w:val="21"/>
                <w:szCs w:val="21"/>
              </w:rPr>
              <w:t>g/m</w:t>
            </w:r>
            <w:r>
              <w:rPr>
                <w:rFonts w:ascii="Times New Roman"/>
                <w:sz w:val="21"/>
                <w:szCs w:val="21"/>
                <w:vertAlign w:val="superscript"/>
              </w:rPr>
              <w:t>2</w:t>
            </w:r>
          </w:p>
        </w:tc>
        <w:tc>
          <w:tcPr>
            <w:tcW w:w="327" w:type="pct"/>
            <w:vAlign w:val="center"/>
          </w:tcPr>
          <w:p w14:paraId="685FDD54">
            <w:pPr>
              <w:spacing w:line="280" w:lineRule="exact"/>
              <w:jc w:val="center"/>
              <w:rPr>
                <w:rFonts w:ascii="Times New Roman"/>
                <w:sz w:val="21"/>
                <w:szCs w:val="21"/>
              </w:rPr>
            </w:pPr>
            <w:r>
              <w:rPr>
                <w:rFonts w:ascii="Times New Roman"/>
                <w:sz w:val="21"/>
                <w:szCs w:val="21"/>
              </w:rPr>
              <w:t>0.65</w:t>
            </w:r>
          </w:p>
        </w:tc>
        <w:tc>
          <w:tcPr>
            <w:tcW w:w="874" w:type="pct"/>
            <w:vAlign w:val="center"/>
          </w:tcPr>
          <w:p w14:paraId="04AF13CB">
            <w:pPr>
              <w:spacing w:line="280" w:lineRule="exact"/>
              <w:jc w:val="center"/>
              <w:rPr>
                <w:rFonts w:ascii="Times New Roman"/>
                <w:sz w:val="21"/>
                <w:szCs w:val="21"/>
              </w:rPr>
            </w:pPr>
            <w:r>
              <w:rPr>
                <w:rFonts w:ascii="Times New Roman"/>
                <w:sz w:val="21"/>
                <w:szCs w:val="21"/>
              </w:rPr>
              <w:t>≤20</w:t>
            </w:r>
          </w:p>
        </w:tc>
        <w:tc>
          <w:tcPr>
            <w:tcW w:w="781" w:type="pct"/>
            <w:vAlign w:val="center"/>
          </w:tcPr>
          <w:p w14:paraId="4FC47282">
            <w:pPr>
              <w:spacing w:line="280" w:lineRule="exact"/>
              <w:jc w:val="center"/>
              <w:rPr>
                <w:rFonts w:ascii="Times New Roman"/>
                <w:sz w:val="21"/>
                <w:szCs w:val="21"/>
              </w:rPr>
            </w:pPr>
            <w:r>
              <w:rPr>
                <w:rFonts w:ascii="Times New Roman"/>
                <w:sz w:val="21"/>
                <w:szCs w:val="21"/>
              </w:rPr>
              <w:t>≤25</w:t>
            </w:r>
          </w:p>
        </w:tc>
        <w:tc>
          <w:tcPr>
            <w:tcW w:w="688" w:type="pct"/>
            <w:vAlign w:val="center"/>
          </w:tcPr>
          <w:p w14:paraId="5A6AD68B">
            <w:pPr>
              <w:spacing w:line="280" w:lineRule="exact"/>
              <w:jc w:val="center"/>
              <w:rPr>
                <w:rFonts w:ascii="Times New Roman"/>
                <w:sz w:val="21"/>
                <w:szCs w:val="21"/>
              </w:rPr>
            </w:pPr>
            <w:r>
              <w:rPr>
                <w:rFonts w:ascii="Times New Roman"/>
                <w:sz w:val="21"/>
                <w:szCs w:val="21"/>
              </w:rPr>
              <w:t>≤35</w:t>
            </w:r>
          </w:p>
        </w:tc>
        <w:tc>
          <w:tcPr>
            <w:tcW w:w="771" w:type="pct"/>
            <w:vAlign w:val="center"/>
          </w:tcPr>
          <w:p w14:paraId="1DA23638">
            <w:pPr>
              <w:spacing w:line="280" w:lineRule="exact"/>
              <w:jc w:val="center"/>
              <w:rPr>
                <w:rFonts w:ascii="Times New Roman"/>
                <w:sz w:val="21"/>
                <w:szCs w:val="21"/>
              </w:rPr>
            </w:pPr>
            <w:r>
              <w:rPr>
                <w:rFonts w:ascii="Times New Roman"/>
                <w:sz w:val="21"/>
                <w:szCs w:val="21"/>
              </w:rPr>
              <w:t>--</w:t>
            </w:r>
          </w:p>
        </w:tc>
      </w:tr>
      <w:tr w14:paraId="531F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3" w:type="pct"/>
            <w:vMerge w:val="continue"/>
            <w:vAlign w:val="center"/>
          </w:tcPr>
          <w:p w14:paraId="078D6C5B">
            <w:pPr>
              <w:spacing w:line="280" w:lineRule="exact"/>
              <w:jc w:val="center"/>
              <w:rPr>
                <w:rFonts w:ascii="Times New Roman"/>
                <w:sz w:val="21"/>
                <w:szCs w:val="21"/>
              </w:rPr>
            </w:pPr>
          </w:p>
        </w:tc>
        <w:tc>
          <w:tcPr>
            <w:tcW w:w="257" w:type="pct"/>
            <w:vMerge w:val="continue"/>
            <w:vAlign w:val="center"/>
          </w:tcPr>
          <w:p w14:paraId="4CA05708">
            <w:pPr>
              <w:spacing w:line="280" w:lineRule="exact"/>
              <w:jc w:val="center"/>
              <w:rPr>
                <w:rFonts w:ascii="Times New Roman"/>
                <w:sz w:val="21"/>
                <w:szCs w:val="21"/>
              </w:rPr>
            </w:pPr>
          </w:p>
        </w:tc>
        <w:tc>
          <w:tcPr>
            <w:tcW w:w="249" w:type="pct"/>
            <w:vMerge w:val="continue"/>
            <w:vAlign w:val="center"/>
          </w:tcPr>
          <w:p w14:paraId="5EDCF363">
            <w:pPr>
              <w:spacing w:line="280" w:lineRule="exact"/>
              <w:jc w:val="center"/>
              <w:rPr>
                <w:rFonts w:ascii="Times New Roman"/>
                <w:sz w:val="21"/>
                <w:szCs w:val="21"/>
              </w:rPr>
            </w:pPr>
          </w:p>
        </w:tc>
        <w:tc>
          <w:tcPr>
            <w:tcW w:w="433" w:type="pct"/>
            <w:gridSpan w:val="2"/>
            <w:vAlign w:val="center"/>
          </w:tcPr>
          <w:p w14:paraId="66A96C80">
            <w:pPr>
              <w:pStyle w:val="14"/>
              <w:spacing w:line="280" w:lineRule="exact"/>
              <w:ind w:left="0" w:firstLine="0"/>
              <w:jc w:val="center"/>
              <w:rPr>
                <w:rFonts w:cs="Times New Roman"/>
                <w:kern w:val="2"/>
                <w:sz w:val="21"/>
                <w:szCs w:val="21"/>
              </w:rPr>
            </w:pPr>
            <w:r>
              <w:rPr>
                <w:rFonts w:cs="Times New Roman"/>
                <w:kern w:val="2"/>
                <w:sz w:val="21"/>
                <w:szCs w:val="21"/>
              </w:rPr>
              <w:t>单位面积的危险废物产生量*</w:t>
            </w:r>
          </w:p>
        </w:tc>
        <w:tc>
          <w:tcPr>
            <w:tcW w:w="463" w:type="pct"/>
            <w:vAlign w:val="center"/>
          </w:tcPr>
          <w:p w14:paraId="2E87221B">
            <w:pPr>
              <w:pStyle w:val="14"/>
              <w:spacing w:before="100" w:line="280" w:lineRule="exact"/>
              <w:ind w:right="5"/>
              <w:jc w:val="center"/>
              <w:rPr>
                <w:rFonts w:cs="Times New Roman"/>
                <w:kern w:val="2"/>
                <w:sz w:val="21"/>
                <w:szCs w:val="21"/>
              </w:rPr>
            </w:pPr>
            <w:r>
              <w:rPr>
                <w:rFonts w:cs="Times New Roman"/>
                <w:kern w:val="2"/>
                <w:sz w:val="21"/>
                <w:szCs w:val="21"/>
              </w:rPr>
              <w:t>g/m</w:t>
            </w:r>
            <w:r>
              <w:rPr>
                <w:rFonts w:cs="Times New Roman"/>
                <w:kern w:val="2"/>
                <w:sz w:val="21"/>
                <w:szCs w:val="21"/>
                <w:vertAlign w:val="superscript"/>
              </w:rPr>
              <w:t>2</w:t>
            </w:r>
          </w:p>
        </w:tc>
        <w:tc>
          <w:tcPr>
            <w:tcW w:w="327" w:type="pct"/>
            <w:vAlign w:val="center"/>
          </w:tcPr>
          <w:p w14:paraId="6B38AF1C">
            <w:pPr>
              <w:pStyle w:val="14"/>
              <w:spacing w:before="124" w:line="280" w:lineRule="exact"/>
              <w:ind w:right="1"/>
              <w:jc w:val="center"/>
              <w:rPr>
                <w:rFonts w:cs="Times New Roman"/>
                <w:kern w:val="2"/>
                <w:sz w:val="21"/>
                <w:szCs w:val="21"/>
              </w:rPr>
            </w:pPr>
            <w:r>
              <w:rPr>
                <w:rFonts w:cs="Times New Roman"/>
                <w:kern w:val="2"/>
                <w:sz w:val="21"/>
                <w:szCs w:val="21"/>
              </w:rPr>
              <w:t>0.35</w:t>
            </w:r>
          </w:p>
        </w:tc>
        <w:tc>
          <w:tcPr>
            <w:tcW w:w="874" w:type="pct"/>
            <w:vAlign w:val="center"/>
          </w:tcPr>
          <w:p w14:paraId="4D6EF705">
            <w:pPr>
              <w:pStyle w:val="14"/>
              <w:spacing w:before="124" w:line="280" w:lineRule="exact"/>
              <w:ind w:right="1"/>
              <w:jc w:val="center"/>
              <w:rPr>
                <w:rFonts w:cs="Times New Roman"/>
                <w:kern w:val="2"/>
                <w:sz w:val="21"/>
                <w:szCs w:val="21"/>
              </w:rPr>
            </w:pPr>
            <w:r>
              <w:rPr>
                <w:rFonts w:cs="Times New Roman"/>
                <w:kern w:val="2"/>
                <w:sz w:val="21"/>
                <w:szCs w:val="21"/>
              </w:rPr>
              <w:t>≤20</w:t>
            </w:r>
          </w:p>
        </w:tc>
        <w:tc>
          <w:tcPr>
            <w:tcW w:w="781" w:type="pct"/>
            <w:vAlign w:val="center"/>
          </w:tcPr>
          <w:p w14:paraId="64978B77">
            <w:pPr>
              <w:pStyle w:val="14"/>
              <w:spacing w:before="124" w:line="280" w:lineRule="exact"/>
              <w:jc w:val="center"/>
              <w:rPr>
                <w:rFonts w:cs="Times New Roman"/>
                <w:kern w:val="2"/>
                <w:sz w:val="21"/>
                <w:szCs w:val="21"/>
              </w:rPr>
            </w:pPr>
            <w:r>
              <w:rPr>
                <w:rFonts w:cs="Times New Roman"/>
                <w:kern w:val="2"/>
                <w:sz w:val="21"/>
                <w:szCs w:val="21"/>
              </w:rPr>
              <w:t>≤25</w:t>
            </w:r>
          </w:p>
        </w:tc>
        <w:tc>
          <w:tcPr>
            <w:tcW w:w="688" w:type="pct"/>
            <w:vAlign w:val="center"/>
          </w:tcPr>
          <w:p w14:paraId="4586F48F">
            <w:pPr>
              <w:pStyle w:val="14"/>
              <w:spacing w:before="124" w:line="280" w:lineRule="exact"/>
              <w:jc w:val="center"/>
              <w:rPr>
                <w:rFonts w:cs="Times New Roman"/>
                <w:kern w:val="2"/>
                <w:sz w:val="21"/>
                <w:szCs w:val="21"/>
              </w:rPr>
            </w:pPr>
            <w:r>
              <w:rPr>
                <w:rFonts w:cs="Times New Roman"/>
                <w:kern w:val="2"/>
                <w:sz w:val="21"/>
                <w:szCs w:val="21"/>
              </w:rPr>
              <w:t>≤40</w:t>
            </w:r>
          </w:p>
        </w:tc>
        <w:tc>
          <w:tcPr>
            <w:tcW w:w="771" w:type="pct"/>
            <w:vAlign w:val="center"/>
          </w:tcPr>
          <w:p w14:paraId="6440E477">
            <w:pPr>
              <w:pStyle w:val="14"/>
              <w:spacing w:line="280" w:lineRule="exact"/>
              <w:ind w:left="0" w:firstLine="0"/>
              <w:jc w:val="center"/>
              <w:rPr>
                <w:rFonts w:cs="Times New Roman"/>
                <w:kern w:val="2"/>
                <w:sz w:val="21"/>
                <w:szCs w:val="21"/>
              </w:rPr>
            </w:pPr>
            <w:r>
              <w:rPr>
                <w:rFonts w:cs="Times New Roman"/>
                <w:kern w:val="2"/>
                <w:sz w:val="21"/>
                <w:szCs w:val="21"/>
              </w:rPr>
              <w:t>--</w:t>
            </w:r>
          </w:p>
        </w:tc>
      </w:tr>
      <w:tr w14:paraId="640C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1"/>
            <w:vAlign w:val="center"/>
          </w:tcPr>
          <w:p w14:paraId="5FC935B4">
            <w:pPr>
              <w:spacing w:line="280" w:lineRule="exact"/>
              <w:rPr>
                <w:rFonts w:ascii="Times New Roman"/>
                <w:sz w:val="21"/>
                <w:szCs w:val="21"/>
              </w:rPr>
            </w:pPr>
            <w:r>
              <w:rPr>
                <w:rFonts w:ascii="Times New Roman"/>
                <w:sz w:val="21"/>
                <w:szCs w:val="21"/>
              </w:rPr>
              <w:t>注 1：资源和能源消耗指标、污染物产生指标，按照实际处理面积进行计算。</w:t>
            </w:r>
          </w:p>
          <w:p w14:paraId="41546AEA">
            <w:pPr>
              <w:spacing w:line="280" w:lineRule="exact"/>
              <w:rPr>
                <w:rFonts w:ascii="Times New Roman"/>
                <w:sz w:val="21"/>
                <w:szCs w:val="21"/>
              </w:rPr>
            </w:pPr>
            <w:r>
              <w:rPr>
                <w:rFonts w:ascii="Times New Roman"/>
                <w:sz w:val="21"/>
                <w:szCs w:val="21"/>
              </w:rPr>
              <w:t>注 2：资源和能源消耗指标分为两种考核方式：单位面积综合能耗、单位重量综合能耗；当涂装产品壁厚≥3mm，可选用单位重量综合能耗作为考核指标。 注 3：单位面积 VOCs 产生量是指处理设施处理进口前的含量。</w:t>
            </w:r>
          </w:p>
        </w:tc>
      </w:tr>
      <w:tr w14:paraId="50DE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1"/>
            <w:vAlign w:val="center"/>
          </w:tcPr>
          <w:p w14:paraId="57C23E0E">
            <w:pPr>
              <w:spacing w:line="280" w:lineRule="exact"/>
              <w:rPr>
                <w:rFonts w:ascii="Times New Roman"/>
                <w:sz w:val="21"/>
                <w:szCs w:val="21"/>
              </w:rPr>
            </w:pPr>
            <w:r>
              <w:rPr>
                <w:rFonts w:ascii="Times New Roman"/>
                <w:sz w:val="21"/>
                <w:szCs w:val="21"/>
              </w:rPr>
              <w:t>*为限定性指标。</w:t>
            </w:r>
          </w:p>
        </w:tc>
      </w:tr>
    </w:tbl>
    <w:p w14:paraId="49C30E20">
      <w:pPr>
        <w:spacing w:line="480" w:lineRule="exact"/>
        <w:jc w:val="center"/>
        <w:rPr>
          <w:rFonts w:ascii="Times New Roman"/>
          <w:b/>
          <w:sz w:val="24"/>
          <w:szCs w:val="20"/>
        </w:rPr>
      </w:pPr>
    </w:p>
    <w:p w14:paraId="086A3530">
      <w:pPr>
        <w:spacing w:line="480" w:lineRule="exact"/>
        <w:jc w:val="center"/>
        <w:rPr>
          <w:rFonts w:ascii="Times New Roman"/>
          <w:b/>
          <w:sz w:val="24"/>
          <w:szCs w:val="20"/>
        </w:rPr>
      </w:pPr>
      <w:r>
        <w:rPr>
          <w:rFonts w:ascii="Times New Roman"/>
          <w:b/>
          <w:sz w:val="24"/>
          <w:szCs w:val="20"/>
        </w:rPr>
        <w:t>表3.9-2 喷漆（涂覆）评价指标项目、权重及基准值</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661"/>
        <w:gridCol w:w="1046"/>
        <w:gridCol w:w="1174"/>
        <w:gridCol w:w="1403"/>
        <w:gridCol w:w="918"/>
        <w:gridCol w:w="896"/>
        <w:gridCol w:w="2084"/>
        <w:gridCol w:w="1519"/>
        <w:gridCol w:w="1783"/>
        <w:gridCol w:w="1769"/>
      </w:tblGrid>
      <w:tr w14:paraId="0DE0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61EF4FFB">
            <w:pPr>
              <w:pStyle w:val="14"/>
              <w:spacing w:line="280" w:lineRule="exact"/>
              <w:ind w:left="0" w:firstLine="0"/>
              <w:jc w:val="center"/>
              <w:rPr>
                <w:rFonts w:cs="Times New Roman"/>
                <w:sz w:val="21"/>
                <w:szCs w:val="18"/>
              </w:rPr>
            </w:pPr>
            <w:r>
              <w:rPr>
                <w:rFonts w:cs="Times New Roman"/>
                <w:sz w:val="21"/>
                <w:szCs w:val="18"/>
              </w:rPr>
              <w:t>序 号</w:t>
            </w:r>
          </w:p>
        </w:tc>
        <w:tc>
          <w:tcPr>
            <w:tcW w:w="233" w:type="pct"/>
            <w:vAlign w:val="center"/>
          </w:tcPr>
          <w:p w14:paraId="113F695A">
            <w:pPr>
              <w:pStyle w:val="14"/>
              <w:spacing w:line="280" w:lineRule="exact"/>
              <w:ind w:left="0" w:firstLine="0"/>
              <w:jc w:val="center"/>
              <w:rPr>
                <w:rFonts w:cs="Times New Roman"/>
                <w:sz w:val="21"/>
                <w:szCs w:val="18"/>
              </w:rPr>
            </w:pPr>
            <w:r>
              <w:rPr>
                <w:rFonts w:cs="Times New Roman"/>
                <w:sz w:val="21"/>
                <w:szCs w:val="18"/>
              </w:rPr>
              <w:t>一级指标</w:t>
            </w:r>
          </w:p>
        </w:tc>
        <w:tc>
          <w:tcPr>
            <w:tcW w:w="369" w:type="pct"/>
            <w:vAlign w:val="center"/>
          </w:tcPr>
          <w:p w14:paraId="47756EDF">
            <w:pPr>
              <w:pStyle w:val="14"/>
              <w:spacing w:line="280" w:lineRule="exact"/>
              <w:ind w:left="0" w:firstLine="0"/>
              <w:jc w:val="center"/>
              <w:rPr>
                <w:rFonts w:cs="Times New Roman"/>
                <w:sz w:val="21"/>
                <w:szCs w:val="18"/>
              </w:rPr>
            </w:pPr>
            <w:r>
              <w:rPr>
                <w:rFonts w:cs="Times New Roman"/>
                <w:sz w:val="21"/>
                <w:szCs w:val="18"/>
              </w:rPr>
              <w:t>一级指标权重</w:t>
            </w:r>
          </w:p>
        </w:tc>
        <w:tc>
          <w:tcPr>
            <w:tcW w:w="909" w:type="pct"/>
            <w:gridSpan w:val="2"/>
            <w:vAlign w:val="center"/>
          </w:tcPr>
          <w:p w14:paraId="29636A67">
            <w:pPr>
              <w:pStyle w:val="14"/>
              <w:spacing w:line="280" w:lineRule="exact"/>
              <w:ind w:left="0" w:firstLine="0"/>
              <w:jc w:val="center"/>
              <w:rPr>
                <w:rFonts w:cs="Times New Roman"/>
                <w:sz w:val="21"/>
                <w:szCs w:val="18"/>
              </w:rPr>
            </w:pPr>
            <w:r>
              <w:rPr>
                <w:rFonts w:cs="Times New Roman"/>
                <w:sz w:val="21"/>
                <w:szCs w:val="18"/>
              </w:rPr>
              <w:t>二级指标</w:t>
            </w:r>
          </w:p>
        </w:tc>
        <w:tc>
          <w:tcPr>
            <w:tcW w:w="324" w:type="pct"/>
            <w:vAlign w:val="center"/>
          </w:tcPr>
          <w:p w14:paraId="1CF7DE9F">
            <w:pPr>
              <w:pStyle w:val="14"/>
              <w:spacing w:line="280" w:lineRule="exact"/>
              <w:ind w:left="0" w:firstLine="0"/>
              <w:jc w:val="center"/>
              <w:rPr>
                <w:rFonts w:cs="Times New Roman"/>
                <w:sz w:val="21"/>
                <w:szCs w:val="18"/>
              </w:rPr>
            </w:pPr>
            <w:r>
              <w:rPr>
                <w:rFonts w:cs="Times New Roman"/>
                <w:sz w:val="21"/>
                <w:szCs w:val="18"/>
              </w:rPr>
              <w:t>单位</w:t>
            </w:r>
          </w:p>
        </w:tc>
        <w:tc>
          <w:tcPr>
            <w:tcW w:w="316" w:type="pct"/>
            <w:vAlign w:val="center"/>
          </w:tcPr>
          <w:p w14:paraId="0A47D768">
            <w:pPr>
              <w:pStyle w:val="14"/>
              <w:spacing w:line="280" w:lineRule="exact"/>
              <w:ind w:left="0" w:firstLine="0"/>
              <w:jc w:val="center"/>
              <w:rPr>
                <w:rFonts w:cs="Times New Roman"/>
                <w:sz w:val="21"/>
                <w:szCs w:val="18"/>
              </w:rPr>
            </w:pPr>
            <w:r>
              <w:rPr>
                <w:rFonts w:cs="Times New Roman"/>
                <w:sz w:val="21"/>
                <w:szCs w:val="18"/>
              </w:rPr>
              <w:t>二级指标权重</w:t>
            </w:r>
          </w:p>
        </w:tc>
        <w:tc>
          <w:tcPr>
            <w:tcW w:w="735" w:type="pct"/>
            <w:vAlign w:val="center"/>
          </w:tcPr>
          <w:p w14:paraId="144658A5">
            <w:pPr>
              <w:pStyle w:val="14"/>
              <w:spacing w:line="280" w:lineRule="exact"/>
              <w:ind w:left="0" w:firstLine="0"/>
              <w:jc w:val="center"/>
              <w:rPr>
                <w:rFonts w:cs="Times New Roman"/>
                <w:sz w:val="21"/>
                <w:szCs w:val="18"/>
              </w:rPr>
            </w:pPr>
            <w:r>
              <w:rPr>
                <w:rFonts w:cs="Times New Roman"/>
                <w:sz w:val="21"/>
                <w:szCs w:val="18"/>
              </w:rPr>
              <w:t>I</w:t>
            </w:r>
            <w:r>
              <w:rPr>
                <w:rFonts w:cs="Times New Roman"/>
                <w:spacing w:val="-1"/>
                <w:sz w:val="21"/>
                <w:szCs w:val="18"/>
              </w:rPr>
              <w:t xml:space="preserve"> </w:t>
            </w:r>
            <w:r>
              <w:rPr>
                <w:rFonts w:cs="Times New Roman"/>
                <w:sz w:val="21"/>
                <w:szCs w:val="18"/>
              </w:rPr>
              <w:t>级基准值</w:t>
            </w:r>
          </w:p>
        </w:tc>
        <w:tc>
          <w:tcPr>
            <w:tcW w:w="536" w:type="pct"/>
            <w:vAlign w:val="center"/>
          </w:tcPr>
          <w:p w14:paraId="10F52ED1">
            <w:pPr>
              <w:pStyle w:val="14"/>
              <w:spacing w:line="280" w:lineRule="exact"/>
              <w:ind w:left="0" w:firstLine="0"/>
              <w:jc w:val="center"/>
              <w:rPr>
                <w:rFonts w:cs="Times New Roman"/>
                <w:sz w:val="21"/>
                <w:szCs w:val="18"/>
              </w:rPr>
            </w:pPr>
            <w:r>
              <w:rPr>
                <w:rFonts w:cs="Times New Roman"/>
                <w:sz w:val="21"/>
                <w:szCs w:val="18"/>
              </w:rPr>
              <w:t>II级基准值</w:t>
            </w:r>
          </w:p>
        </w:tc>
        <w:tc>
          <w:tcPr>
            <w:tcW w:w="629" w:type="pct"/>
            <w:vAlign w:val="center"/>
          </w:tcPr>
          <w:p w14:paraId="5DB6D8F2">
            <w:pPr>
              <w:pStyle w:val="14"/>
              <w:spacing w:line="280" w:lineRule="exact"/>
              <w:ind w:left="0" w:firstLine="0"/>
              <w:jc w:val="center"/>
              <w:rPr>
                <w:rFonts w:cs="Times New Roman"/>
                <w:sz w:val="21"/>
                <w:szCs w:val="18"/>
              </w:rPr>
            </w:pPr>
            <w:r>
              <w:rPr>
                <w:rFonts w:cs="Times New Roman"/>
                <w:sz w:val="21"/>
                <w:szCs w:val="18"/>
              </w:rPr>
              <w:t>III级基准值</w:t>
            </w:r>
          </w:p>
        </w:tc>
        <w:tc>
          <w:tcPr>
            <w:tcW w:w="624" w:type="pct"/>
            <w:vAlign w:val="center"/>
          </w:tcPr>
          <w:p w14:paraId="1BF78AAC">
            <w:pPr>
              <w:pStyle w:val="14"/>
              <w:spacing w:line="280" w:lineRule="exact"/>
              <w:ind w:left="0" w:firstLine="0"/>
              <w:jc w:val="center"/>
              <w:rPr>
                <w:rFonts w:cs="Times New Roman"/>
                <w:sz w:val="21"/>
                <w:szCs w:val="15"/>
              </w:rPr>
            </w:pPr>
            <w:r>
              <w:rPr>
                <w:rFonts w:cs="Times New Roman"/>
                <w:sz w:val="21"/>
                <w:szCs w:val="21"/>
              </w:rPr>
              <w:t>本项目情况</w:t>
            </w:r>
          </w:p>
        </w:tc>
      </w:tr>
      <w:tr w14:paraId="7725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4F71F860">
            <w:pPr>
              <w:pStyle w:val="14"/>
              <w:spacing w:line="280" w:lineRule="exact"/>
              <w:ind w:left="0" w:firstLine="0"/>
              <w:jc w:val="center"/>
              <w:rPr>
                <w:rFonts w:cs="Times New Roman"/>
                <w:sz w:val="21"/>
                <w:szCs w:val="18"/>
              </w:rPr>
            </w:pPr>
            <w:r>
              <w:rPr>
                <w:rFonts w:cs="Times New Roman"/>
                <w:sz w:val="21"/>
              </w:rPr>
              <w:t>1</w:t>
            </w:r>
          </w:p>
        </w:tc>
        <w:tc>
          <w:tcPr>
            <w:tcW w:w="233" w:type="pct"/>
            <w:vMerge w:val="restart"/>
            <w:vAlign w:val="center"/>
          </w:tcPr>
          <w:p w14:paraId="30E2BE9E">
            <w:pPr>
              <w:pStyle w:val="14"/>
              <w:spacing w:line="280" w:lineRule="exact"/>
              <w:ind w:left="0" w:firstLine="0"/>
              <w:jc w:val="center"/>
              <w:rPr>
                <w:rFonts w:cs="Times New Roman"/>
                <w:sz w:val="21"/>
                <w:szCs w:val="18"/>
              </w:rPr>
            </w:pPr>
            <w:r>
              <w:rPr>
                <w:rFonts w:cs="Times New Roman"/>
                <w:sz w:val="21"/>
                <w:szCs w:val="18"/>
              </w:rPr>
              <w:t>生产工艺及设备要求</w:t>
            </w:r>
          </w:p>
        </w:tc>
        <w:tc>
          <w:tcPr>
            <w:tcW w:w="369" w:type="pct"/>
            <w:vMerge w:val="restart"/>
            <w:vAlign w:val="center"/>
          </w:tcPr>
          <w:p w14:paraId="0D8A407A">
            <w:pPr>
              <w:pStyle w:val="14"/>
              <w:spacing w:line="280" w:lineRule="exact"/>
              <w:ind w:left="0" w:firstLine="0"/>
              <w:jc w:val="center"/>
              <w:rPr>
                <w:rFonts w:cs="Times New Roman"/>
                <w:sz w:val="21"/>
                <w:szCs w:val="18"/>
              </w:rPr>
            </w:pPr>
            <w:r>
              <w:rPr>
                <w:rFonts w:cs="Times New Roman"/>
                <w:sz w:val="21"/>
              </w:rPr>
              <w:t>0.6</w:t>
            </w:r>
          </w:p>
        </w:tc>
        <w:tc>
          <w:tcPr>
            <w:tcW w:w="414" w:type="pct"/>
            <w:vMerge w:val="restart"/>
            <w:vAlign w:val="center"/>
          </w:tcPr>
          <w:p w14:paraId="49F4178A">
            <w:pPr>
              <w:pStyle w:val="14"/>
              <w:spacing w:line="280" w:lineRule="exact"/>
              <w:ind w:left="0" w:firstLine="0"/>
              <w:jc w:val="center"/>
              <w:rPr>
                <w:rFonts w:cs="Times New Roman"/>
                <w:sz w:val="21"/>
                <w:szCs w:val="18"/>
              </w:rPr>
            </w:pPr>
            <w:r>
              <w:rPr>
                <w:rFonts w:cs="Times New Roman"/>
                <w:sz w:val="21"/>
                <w:szCs w:val="18"/>
              </w:rPr>
              <w:t>底漆</w:t>
            </w:r>
          </w:p>
        </w:tc>
        <w:tc>
          <w:tcPr>
            <w:tcW w:w="495" w:type="pct"/>
            <w:vAlign w:val="center"/>
          </w:tcPr>
          <w:p w14:paraId="5299EB56">
            <w:pPr>
              <w:pStyle w:val="14"/>
              <w:spacing w:line="280" w:lineRule="exact"/>
              <w:ind w:left="0" w:firstLine="0"/>
              <w:jc w:val="center"/>
              <w:rPr>
                <w:rFonts w:cs="Times New Roman"/>
                <w:sz w:val="21"/>
                <w:szCs w:val="18"/>
              </w:rPr>
            </w:pPr>
            <w:r>
              <w:rPr>
                <w:rFonts w:cs="Times New Roman"/>
                <w:sz w:val="21"/>
                <w:szCs w:val="18"/>
              </w:rPr>
              <w:t>电泳漆</w:t>
            </w:r>
          </w:p>
        </w:tc>
        <w:tc>
          <w:tcPr>
            <w:tcW w:w="324" w:type="pct"/>
            <w:vAlign w:val="center"/>
          </w:tcPr>
          <w:p w14:paraId="33E0382E">
            <w:pPr>
              <w:pStyle w:val="14"/>
              <w:spacing w:line="280" w:lineRule="exact"/>
              <w:ind w:left="0" w:firstLine="0"/>
              <w:jc w:val="center"/>
              <w:rPr>
                <w:rFonts w:cs="Times New Roman"/>
                <w:sz w:val="21"/>
                <w:szCs w:val="18"/>
              </w:rPr>
            </w:pPr>
            <w:r>
              <w:rPr>
                <w:rFonts w:cs="Times New Roman"/>
                <w:w w:val="99"/>
                <w:sz w:val="21"/>
              </w:rPr>
              <w:t>-</w:t>
            </w:r>
          </w:p>
        </w:tc>
        <w:tc>
          <w:tcPr>
            <w:tcW w:w="316" w:type="pct"/>
            <w:vAlign w:val="center"/>
          </w:tcPr>
          <w:p w14:paraId="339B762D">
            <w:pPr>
              <w:pStyle w:val="14"/>
              <w:spacing w:line="280" w:lineRule="exact"/>
              <w:ind w:left="0" w:firstLine="0"/>
              <w:jc w:val="center"/>
              <w:rPr>
                <w:rFonts w:cs="Times New Roman"/>
                <w:sz w:val="21"/>
                <w:szCs w:val="18"/>
              </w:rPr>
            </w:pPr>
            <w:r>
              <w:rPr>
                <w:rFonts w:cs="Times New Roman"/>
                <w:sz w:val="21"/>
              </w:rPr>
              <w:t>0.12</w:t>
            </w:r>
          </w:p>
        </w:tc>
        <w:tc>
          <w:tcPr>
            <w:tcW w:w="735" w:type="pct"/>
            <w:vAlign w:val="center"/>
          </w:tcPr>
          <w:p w14:paraId="7D29BFB9">
            <w:pPr>
              <w:pStyle w:val="14"/>
              <w:spacing w:line="280" w:lineRule="exact"/>
              <w:ind w:left="0" w:firstLine="0"/>
              <w:jc w:val="center"/>
              <w:rPr>
                <w:rFonts w:cs="Times New Roman"/>
                <w:sz w:val="21"/>
                <w:szCs w:val="18"/>
              </w:rPr>
            </w:pPr>
            <w:r>
              <w:rPr>
                <w:rFonts w:cs="Times New Roman"/>
                <w:sz w:val="21"/>
                <w:szCs w:val="18"/>
              </w:rPr>
              <w:t>应满足以下条件之一：①电泳漆工</w:t>
            </w:r>
          </w:p>
          <w:p w14:paraId="471B703F">
            <w:pPr>
              <w:pStyle w:val="14"/>
              <w:spacing w:line="280" w:lineRule="exact"/>
              <w:ind w:left="0" w:firstLine="0"/>
              <w:jc w:val="center"/>
              <w:rPr>
                <w:rFonts w:cs="Times New Roman"/>
                <w:sz w:val="21"/>
                <w:szCs w:val="18"/>
              </w:rPr>
            </w:pPr>
            <w:r>
              <w:rPr>
                <w:rFonts w:cs="Times New Roman"/>
                <w:spacing w:val="-2"/>
                <w:sz w:val="21"/>
                <w:szCs w:val="18"/>
              </w:rPr>
              <w:t>艺；②自泳漆工艺；③使用水性漆</w:t>
            </w:r>
            <w:r>
              <w:rPr>
                <w:rFonts w:cs="Times New Roman"/>
                <w:spacing w:val="-86"/>
                <w:sz w:val="21"/>
                <w:szCs w:val="18"/>
              </w:rPr>
              <w:t xml:space="preserve"> </w:t>
            </w:r>
            <w:r>
              <w:rPr>
                <w:rFonts w:cs="Times New Roman"/>
                <w:sz w:val="21"/>
                <w:szCs w:val="18"/>
              </w:rPr>
              <w:t>喷涂；④使用粉末涂料</w:t>
            </w:r>
          </w:p>
        </w:tc>
        <w:tc>
          <w:tcPr>
            <w:tcW w:w="1165" w:type="pct"/>
            <w:gridSpan w:val="2"/>
            <w:vAlign w:val="center"/>
          </w:tcPr>
          <w:p w14:paraId="7331F89B">
            <w:pPr>
              <w:pStyle w:val="14"/>
              <w:spacing w:line="280" w:lineRule="exact"/>
              <w:ind w:left="0" w:firstLine="0"/>
              <w:jc w:val="center"/>
              <w:rPr>
                <w:rFonts w:cs="Times New Roman"/>
                <w:sz w:val="21"/>
                <w:szCs w:val="18"/>
              </w:rPr>
            </w:pPr>
            <w:r>
              <w:rPr>
                <w:rFonts w:cs="Times New Roman"/>
                <w:sz w:val="21"/>
                <w:szCs w:val="18"/>
              </w:rPr>
              <w:t>节水</w:t>
            </w:r>
            <w:r>
              <w:rPr>
                <w:rFonts w:cs="Times New Roman"/>
                <w:spacing w:val="-48"/>
                <w:sz w:val="21"/>
                <w:szCs w:val="18"/>
              </w:rPr>
              <w:t xml:space="preserve"> </w:t>
            </w:r>
            <w:r>
              <w:rPr>
                <w:rFonts w:cs="Times New Roman"/>
                <w:position w:val="8"/>
                <w:sz w:val="21"/>
                <w:szCs w:val="12"/>
              </w:rPr>
              <w:t>b</w:t>
            </w:r>
            <w:r>
              <w:rPr>
                <w:rFonts w:cs="Times New Roman"/>
                <w:sz w:val="21"/>
                <w:szCs w:val="18"/>
              </w:rPr>
              <w:t>、技术应用</w:t>
            </w:r>
          </w:p>
        </w:tc>
        <w:tc>
          <w:tcPr>
            <w:tcW w:w="624" w:type="pct"/>
            <w:vAlign w:val="center"/>
          </w:tcPr>
          <w:p w14:paraId="2C3038D6">
            <w:pPr>
              <w:pStyle w:val="14"/>
              <w:spacing w:line="280" w:lineRule="exact"/>
              <w:ind w:left="0" w:firstLine="0"/>
              <w:jc w:val="center"/>
              <w:rPr>
                <w:rFonts w:cs="Times New Roman"/>
                <w:sz w:val="21"/>
                <w:szCs w:val="18"/>
              </w:rPr>
            </w:pPr>
            <w:r>
              <w:rPr>
                <w:rFonts w:cs="Times New Roman"/>
                <w:sz w:val="21"/>
                <w:szCs w:val="18"/>
              </w:rPr>
              <w:t>本项目</w:t>
            </w:r>
            <w:r>
              <w:rPr>
                <w:rFonts w:cs="Times New Roman"/>
                <w:sz w:val="21"/>
                <w:szCs w:val="15"/>
              </w:rPr>
              <w:t>电泳漆、塑粉</w:t>
            </w:r>
            <w:r>
              <w:rPr>
                <w:rFonts w:cs="Times New Roman"/>
                <w:sz w:val="21"/>
                <w:szCs w:val="18"/>
              </w:rPr>
              <w:t>和油漆</w:t>
            </w:r>
          </w:p>
        </w:tc>
      </w:tr>
      <w:tr w14:paraId="1D2E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2ACEABD6">
            <w:pPr>
              <w:pStyle w:val="14"/>
              <w:spacing w:line="280" w:lineRule="exact"/>
              <w:ind w:left="0" w:firstLine="0"/>
              <w:jc w:val="center"/>
              <w:rPr>
                <w:rFonts w:cs="Times New Roman"/>
                <w:sz w:val="21"/>
                <w:szCs w:val="18"/>
              </w:rPr>
            </w:pPr>
            <w:r>
              <w:rPr>
                <w:rFonts w:cs="Times New Roman"/>
                <w:sz w:val="21"/>
              </w:rPr>
              <w:t>2</w:t>
            </w:r>
          </w:p>
        </w:tc>
        <w:tc>
          <w:tcPr>
            <w:tcW w:w="233" w:type="pct"/>
            <w:vMerge w:val="continue"/>
            <w:vAlign w:val="center"/>
          </w:tcPr>
          <w:p w14:paraId="78FE9DA5">
            <w:pPr>
              <w:spacing w:line="280" w:lineRule="exact"/>
              <w:jc w:val="center"/>
              <w:rPr>
                <w:rFonts w:ascii="Times New Roman"/>
                <w:sz w:val="21"/>
              </w:rPr>
            </w:pPr>
          </w:p>
        </w:tc>
        <w:tc>
          <w:tcPr>
            <w:tcW w:w="369" w:type="pct"/>
            <w:vMerge w:val="continue"/>
            <w:vAlign w:val="center"/>
          </w:tcPr>
          <w:p w14:paraId="34826A50">
            <w:pPr>
              <w:spacing w:line="280" w:lineRule="exact"/>
              <w:jc w:val="center"/>
              <w:rPr>
                <w:rFonts w:ascii="Times New Roman"/>
                <w:sz w:val="21"/>
              </w:rPr>
            </w:pPr>
          </w:p>
        </w:tc>
        <w:tc>
          <w:tcPr>
            <w:tcW w:w="414" w:type="pct"/>
            <w:vMerge w:val="continue"/>
            <w:vAlign w:val="center"/>
          </w:tcPr>
          <w:p w14:paraId="42273EEC">
            <w:pPr>
              <w:spacing w:line="280" w:lineRule="exact"/>
              <w:jc w:val="center"/>
              <w:rPr>
                <w:rFonts w:ascii="Times New Roman"/>
                <w:sz w:val="21"/>
              </w:rPr>
            </w:pPr>
          </w:p>
        </w:tc>
        <w:tc>
          <w:tcPr>
            <w:tcW w:w="495" w:type="pct"/>
            <w:vAlign w:val="center"/>
          </w:tcPr>
          <w:p w14:paraId="59986041">
            <w:pPr>
              <w:pStyle w:val="14"/>
              <w:spacing w:line="280" w:lineRule="exact"/>
              <w:ind w:left="0" w:firstLine="0"/>
              <w:jc w:val="center"/>
              <w:rPr>
                <w:rFonts w:cs="Times New Roman"/>
                <w:sz w:val="21"/>
                <w:szCs w:val="18"/>
              </w:rPr>
            </w:pPr>
            <w:r>
              <w:rPr>
                <w:rFonts w:cs="Times New Roman"/>
                <w:sz w:val="21"/>
                <w:szCs w:val="18"/>
              </w:rPr>
              <w:t>烘干</w:t>
            </w:r>
          </w:p>
        </w:tc>
        <w:tc>
          <w:tcPr>
            <w:tcW w:w="324" w:type="pct"/>
            <w:vAlign w:val="center"/>
          </w:tcPr>
          <w:p w14:paraId="19974D28">
            <w:pPr>
              <w:pStyle w:val="14"/>
              <w:spacing w:line="280" w:lineRule="exact"/>
              <w:ind w:left="0" w:firstLine="0"/>
              <w:jc w:val="center"/>
              <w:rPr>
                <w:rFonts w:cs="Times New Roman"/>
                <w:sz w:val="21"/>
                <w:szCs w:val="18"/>
              </w:rPr>
            </w:pPr>
            <w:r>
              <w:rPr>
                <w:rFonts w:cs="Times New Roman"/>
                <w:w w:val="99"/>
                <w:sz w:val="21"/>
              </w:rPr>
              <w:t>-</w:t>
            </w:r>
          </w:p>
        </w:tc>
        <w:tc>
          <w:tcPr>
            <w:tcW w:w="316" w:type="pct"/>
            <w:vAlign w:val="center"/>
          </w:tcPr>
          <w:p w14:paraId="6385AA57">
            <w:pPr>
              <w:pStyle w:val="14"/>
              <w:spacing w:line="280" w:lineRule="exact"/>
              <w:ind w:left="0" w:firstLine="0"/>
              <w:jc w:val="center"/>
              <w:rPr>
                <w:rFonts w:cs="Times New Roman"/>
                <w:sz w:val="21"/>
                <w:szCs w:val="18"/>
              </w:rPr>
            </w:pPr>
            <w:r>
              <w:rPr>
                <w:rFonts w:cs="Times New Roman"/>
                <w:sz w:val="21"/>
              </w:rPr>
              <w:t>0.04</w:t>
            </w:r>
          </w:p>
        </w:tc>
        <w:tc>
          <w:tcPr>
            <w:tcW w:w="1271" w:type="pct"/>
            <w:gridSpan w:val="2"/>
            <w:vAlign w:val="center"/>
          </w:tcPr>
          <w:p w14:paraId="58B25D8B">
            <w:pPr>
              <w:pStyle w:val="14"/>
              <w:spacing w:line="280" w:lineRule="exact"/>
              <w:ind w:left="0" w:firstLine="0"/>
              <w:jc w:val="center"/>
              <w:rPr>
                <w:rFonts w:cs="Times New Roman"/>
                <w:sz w:val="21"/>
                <w:szCs w:val="18"/>
              </w:rPr>
            </w:pPr>
            <w:r>
              <w:rPr>
                <w:rFonts w:cs="Times New Roman"/>
                <w:sz w:val="21"/>
                <w:szCs w:val="18"/>
              </w:rPr>
              <w:t>节能技术应用</w:t>
            </w:r>
            <w:r>
              <w:rPr>
                <w:rFonts w:cs="Times New Roman"/>
                <w:spacing w:val="-47"/>
                <w:sz w:val="21"/>
                <w:szCs w:val="18"/>
              </w:rPr>
              <w:t xml:space="preserve"> </w:t>
            </w:r>
            <w:r>
              <w:rPr>
                <w:rFonts w:cs="Times New Roman"/>
                <w:position w:val="8"/>
                <w:sz w:val="21"/>
                <w:szCs w:val="12"/>
              </w:rPr>
              <w:t>c</w:t>
            </w:r>
            <w:r>
              <w:rPr>
                <w:rFonts w:cs="Times New Roman"/>
                <w:sz w:val="21"/>
                <w:szCs w:val="18"/>
              </w:rPr>
              <w:t>；加热装置多级调节</w:t>
            </w:r>
            <w:r>
              <w:rPr>
                <w:rFonts w:cs="Times New Roman"/>
                <w:spacing w:val="-46"/>
                <w:sz w:val="21"/>
                <w:szCs w:val="18"/>
              </w:rPr>
              <w:t xml:space="preserve"> </w:t>
            </w:r>
            <w:r>
              <w:rPr>
                <w:rFonts w:cs="Times New Roman"/>
                <w:position w:val="8"/>
                <w:sz w:val="21"/>
                <w:szCs w:val="12"/>
              </w:rPr>
              <w:t>j</w:t>
            </w:r>
            <w:r>
              <w:rPr>
                <w:rFonts w:cs="Times New Roman"/>
                <w:sz w:val="21"/>
                <w:szCs w:val="18"/>
              </w:rPr>
              <w:t>，使用清洁能源</w:t>
            </w:r>
          </w:p>
        </w:tc>
        <w:tc>
          <w:tcPr>
            <w:tcW w:w="629" w:type="pct"/>
            <w:vAlign w:val="center"/>
          </w:tcPr>
          <w:p w14:paraId="4D643011">
            <w:pPr>
              <w:pStyle w:val="14"/>
              <w:spacing w:line="280" w:lineRule="exact"/>
              <w:ind w:left="0" w:firstLine="0"/>
              <w:jc w:val="center"/>
              <w:rPr>
                <w:rFonts w:cs="Times New Roman"/>
                <w:sz w:val="21"/>
                <w:szCs w:val="18"/>
              </w:rPr>
            </w:pPr>
            <w:r>
              <w:rPr>
                <w:rFonts w:cs="Times New Roman"/>
                <w:sz w:val="21"/>
                <w:szCs w:val="18"/>
              </w:rPr>
              <w:t>加热装置多级调节</w:t>
            </w:r>
            <w:r>
              <w:rPr>
                <w:rFonts w:cs="Times New Roman"/>
                <w:spacing w:val="-47"/>
                <w:sz w:val="21"/>
                <w:szCs w:val="18"/>
              </w:rPr>
              <w:t xml:space="preserve"> </w:t>
            </w:r>
            <w:r>
              <w:rPr>
                <w:rFonts w:cs="Times New Roman"/>
                <w:position w:val="8"/>
                <w:sz w:val="21"/>
                <w:szCs w:val="12"/>
              </w:rPr>
              <w:t>j</w:t>
            </w:r>
            <w:r>
              <w:rPr>
                <w:rFonts w:cs="Times New Roman"/>
                <w:sz w:val="21"/>
                <w:szCs w:val="18"/>
              </w:rPr>
              <w:t>，使用清</w:t>
            </w:r>
          </w:p>
          <w:p w14:paraId="0C6AC8E9">
            <w:pPr>
              <w:pStyle w:val="14"/>
              <w:spacing w:line="280" w:lineRule="exact"/>
              <w:ind w:left="0" w:firstLine="0"/>
              <w:jc w:val="center"/>
              <w:rPr>
                <w:rFonts w:cs="Times New Roman"/>
                <w:sz w:val="21"/>
                <w:szCs w:val="18"/>
              </w:rPr>
            </w:pPr>
            <w:r>
              <w:rPr>
                <w:rFonts w:cs="Times New Roman"/>
                <w:sz w:val="21"/>
                <w:szCs w:val="18"/>
              </w:rPr>
              <w:t>洁能源</w:t>
            </w:r>
          </w:p>
        </w:tc>
        <w:tc>
          <w:tcPr>
            <w:tcW w:w="624" w:type="pct"/>
            <w:vAlign w:val="center"/>
          </w:tcPr>
          <w:p w14:paraId="163720B9">
            <w:pPr>
              <w:pStyle w:val="14"/>
              <w:spacing w:line="280" w:lineRule="exact"/>
              <w:ind w:left="0" w:firstLine="0"/>
              <w:jc w:val="center"/>
              <w:rPr>
                <w:rFonts w:cs="Times New Roman"/>
                <w:sz w:val="21"/>
                <w:szCs w:val="18"/>
              </w:rPr>
            </w:pPr>
            <w:r>
              <w:rPr>
                <w:rFonts w:cs="Times New Roman"/>
                <w:sz w:val="21"/>
                <w:szCs w:val="18"/>
              </w:rPr>
              <w:t>本项目烘干使用清洁能源（天然气），使用节能技术，</w:t>
            </w:r>
            <w:r>
              <w:rPr>
                <w:rFonts w:cs="Times New Roman"/>
                <w:kern w:val="2"/>
                <w:sz w:val="21"/>
                <w:szCs w:val="21"/>
              </w:rPr>
              <w:t>I级基准值</w:t>
            </w:r>
          </w:p>
        </w:tc>
      </w:tr>
      <w:tr w14:paraId="2974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6F5E2EE0">
            <w:pPr>
              <w:pStyle w:val="14"/>
              <w:spacing w:line="280" w:lineRule="exact"/>
              <w:ind w:left="0" w:firstLine="0"/>
              <w:jc w:val="center"/>
              <w:rPr>
                <w:rFonts w:cs="Times New Roman"/>
                <w:sz w:val="21"/>
                <w:szCs w:val="18"/>
              </w:rPr>
            </w:pPr>
            <w:r>
              <w:rPr>
                <w:rFonts w:cs="Times New Roman"/>
                <w:sz w:val="21"/>
              </w:rPr>
              <w:t>3</w:t>
            </w:r>
          </w:p>
        </w:tc>
        <w:tc>
          <w:tcPr>
            <w:tcW w:w="233" w:type="pct"/>
            <w:vMerge w:val="continue"/>
            <w:vAlign w:val="center"/>
          </w:tcPr>
          <w:p w14:paraId="114CBC8C">
            <w:pPr>
              <w:spacing w:line="280" w:lineRule="exact"/>
              <w:jc w:val="center"/>
              <w:rPr>
                <w:rFonts w:ascii="Times New Roman"/>
                <w:sz w:val="21"/>
              </w:rPr>
            </w:pPr>
          </w:p>
        </w:tc>
        <w:tc>
          <w:tcPr>
            <w:tcW w:w="369" w:type="pct"/>
            <w:vMerge w:val="continue"/>
            <w:vAlign w:val="center"/>
          </w:tcPr>
          <w:p w14:paraId="21F9F8F7">
            <w:pPr>
              <w:spacing w:line="280" w:lineRule="exact"/>
              <w:jc w:val="center"/>
              <w:rPr>
                <w:rFonts w:ascii="Times New Roman"/>
                <w:sz w:val="21"/>
              </w:rPr>
            </w:pPr>
          </w:p>
        </w:tc>
        <w:tc>
          <w:tcPr>
            <w:tcW w:w="414" w:type="pct"/>
            <w:vMerge w:val="restart"/>
            <w:vAlign w:val="center"/>
          </w:tcPr>
          <w:p w14:paraId="79407B05">
            <w:pPr>
              <w:pStyle w:val="14"/>
              <w:spacing w:line="280" w:lineRule="exact"/>
              <w:ind w:left="0" w:firstLine="0"/>
              <w:jc w:val="center"/>
              <w:rPr>
                <w:rFonts w:cs="Times New Roman"/>
                <w:sz w:val="21"/>
                <w:szCs w:val="18"/>
              </w:rPr>
            </w:pPr>
            <w:r>
              <w:rPr>
                <w:rFonts w:cs="Times New Roman"/>
                <w:sz w:val="21"/>
                <w:szCs w:val="18"/>
              </w:rPr>
              <w:t>中涂、面漆</w:t>
            </w:r>
          </w:p>
        </w:tc>
        <w:tc>
          <w:tcPr>
            <w:tcW w:w="495" w:type="pct"/>
            <w:vAlign w:val="center"/>
          </w:tcPr>
          <w:p w14:paraId="09EB8FF4">
            <w:pPr>
              <w:pStyle w:val="14"/>
              <w:spacing w:line="280" w:lineRule="exact"/>
              <w:ind w:left="0" w:firstLine="0"/>
              <w:jc w:val="center"/>
              <w:rPr>
                <w:rFonts w:cs="Times New Roman"/>
                <w:sz w:val="21"/>
                <w:szCs w:val="18"/>
              </w:rPr>
            </w:pPr>
            <w:r>
              <w:rPr>
                <w:rFonts w:cs="Times New Roman"/>
                <w:sz w:val="21"/>
                <w:szCs w:val="18"/>
              </w:rPr>
              <w:t>漆雾处理</w:t>
            </w:r>
          </w:p>
        </w:tc>
        <w:tc>
          <w:tcPr>
            <w:tcW w:w="324" w:type="pct"/>
            <w:vMerge w:val="restart"/>
            <w:vAlign w:val="center"/>
          </w:tcPr>
          <w:p w14:paraId="29019BD8">
            <w:pPr>
              <w:pStyle w:val="14"/>
              <w:spacing w:line="280" w:lineRule="exact"/>
              <w:ind w:left="0" w:firstLine="0"/>
              <w:jc w:val="center"/>
              <w:rPr>
                <w:rFonts w:cs="Times New Roman"/>
                <w:sz w:val="21"/>
                <w:szCs w:val="18"/>
              </w:rPr>
            </w:pPr>
            <w:r>
              <w:rPr>
                <w:rFonts w:cs="Times New Roman"/>
                <w:w w:val="99"/>
                <w:sz w:val="21"/>
              </w:rPr>
              <w:t>-</w:t>
            </w:r>
          </w:p>
        </w:tc>
        <w:tc>
          <w:tcPr>
            <w:tcW w:w="316" w:type="pct"/>
            <w:vAlign w:val="center"/>
          </w:tcPr>
          <w:p w14:paraId="054B431E">
            <w:pPr>
              <w:pStyle w:val="14"/>
              <w:spacing w:line="280" w:lineRule="exact"/>
              <w:ind w:left="0" w:firstLine="0"/>
              <w:jc w:val="center"/>
              <w:rPr>
                <w:rFonts w:cs="Times New Roman"/>
                <w:sz w:val="21"/>
                <w:szCs w:val="18"/>
              </w:rPr>
            </w:pPr>
            <w:r>
              <w:rPr>
                <w:rFonts w:cs="Times New Roman"/>
                <w:sz w:val="21"/>
              </w:rPr>
              <w:t>0.09</w:t>
            </w:r>
          </w:p>
        </w:tc>
        <w:tc>
          <w:tcPr>
            <w:tcW w:w="735" w:type="pct"/>
            <w:vAlign w:val="center"/>
          </w:tcPr>
          <w:p w14:paraId="53CF3B8D">
            <w:pPr>
              <w:pStyle w:val="14"/>
              <w:spacing w:line="280" w:lineRule="exact"/>
              <w:ind w:left="0" w:firstLine="0"/>
              <w:jc w:val="center"/>
              <w:rPr>
                <w:rFonts w:cs="Times New Roman"/>
                <w:sz w:val="21"/>
                <w:szCs w:val="18"/>
              </w:rPr>
            </w:pPr>
            <w:r>
              <w:rPr>
                <w:rFonts w:cs="Times New Roman"/>
                <w:sz w:val="21"/>
                <w:szCs w:val="18"/>
              </w:rPr>
              <w:t>有自动漆雾处理系统，漆雾处理效</w:t>
            </w:r>
          </w:p>
          <w:p w14:paraId="5BEBD98A">
            <w:pPr>
              <w:pStyle w:val="14"/>
              <w:spacing w:line="280" w:lineRule="exact"/>
              <w:ind w:left="0" w:firstLine="0"/>
              <w:jc w:val="center"/>
              <w:rPr>
                <w:rFonts w:cs="Times New Roman"/>
                <w:sz w:val="21"/>
                <w:szCs w:val="18"/>
              </w:rPr>
            </w:pPr>
            <w:r>
              <w:rPr>
                <w:rFonts w:cs="Times New Roman"/>
                <w:sz w:val="21"/>
                <w:szCs w:val="18"/>
              </w:rPr>
              <w:t>率≥95%</w:t>
            </w:r>
          </w:p>
        </w:tc>
        <w:tc>
          <w:tcPr>
            <w:tcW w:w="536" w:type="pct"/>
            <w:vAlign w:val="center"/>
          </w:tcPr>
          <w:p w14:paraId="5B467F40">
            <w:pPr>
              <w:pStyle w:val="14"/>
              <w:spacing w:line="280" w:lineRule="exact"/>
              <w:ind w:left="0" w:firstLine="0"/>
              <w:jc w:val="center"/>
              <w:rPr>
                <w:rFonts w:cs="Times New Roman"/>
                <w:sz w:val="21"/>
                <w:szCs w:val="18"/>
              </w:rPr>
            </w:pPr>
            <w:r>
              <w:rPr>
                <w:rFonts w:cs="Times New Roman"/>
                <w:spacing w:val="-5"/>
                <w:sz w:val="21"/>
                <w:szCs w:val="18"/>
              </w:rPr>
              <w:t>有自动漆雾处理系统，漆雾</w:t>
            </w:r>
          </w:p>
          <w:p w14:paraId="6B6491C2">
            <w:pPr>
              <w:pStyle w:val="14"/>
              <w:spacing w:line="280" w:lineRule="exact"/>
              <w:ind w:left="0" w:firstLine="0"/>
              <w:jc w:val="center"/>
              <w:rPr>
                <w:rFonts w:cs="Times New Roman"/>
                <w:sz w:val="21"/>
                <w:szCs w:val="18"/>
              </w:rPr>
            </w:pPr>
            <w:r>
              <w:rPr>
                <w:rFonts w:cs="Times New Roman"/>
                <w:sz w:val="21"/>
                <w:szCs w:val="18"/>
              </w:rPr>
              <w:t>处理效率≥85%</w:t>
            </w:r>
          </w:p>
        </w:tc>
        <w:tc>
          <w:tcPr>
            <w:tcW w:w="629" w:type="pct"/>
            <w:vAlign w:val="center"/>
          </w:tcPr>
          <w:p w14:paraId="4D85C912">
            <w:pPr>
              <w:pStyle w:val="14"/>
              <w:spacing w:line="280" w:lineRule="exact"/>
              <w:ind w:left="0" w:firstLine="0"/>
              <w:jc w:val="center"/>
              <w:rPr>
                <w:rFonts w:cs="Times New Roman"/>
                <w:sz w:val="21"/>
                <w:szCs w:val="18"/>
              </w:rPr>
            </w:pPr>
            <w:r>
              <w:rPr>
                <w:rFonts w:cs="Times New Roman"/>
                <w:spacing w:val="-6"/>
                <w:sz w:val="21"/>
                <w:szCs w:val="18"/>
              </w:rPr>
              <w:t>有自动漆雾处理系统，漆雾处</w:t>
            </w:r>
          </w:p>
          <w:p w14:paraId="58B4155B">
            <w:pPr>
              <w:pStyle w:val="14"/>
              <w:spacing w:line="280" w:lineRule="exact"/>
              <w:ind w:left="0" w:firstLine="0"/>
              <w:jc w:val="center"/>
              <w:rPr>
                <w:rFonts w:cs="Times New Roman"/>
                <w:sz w:val="21"/>
                <w:szCs w:val="18"/>
              </w:rPr>
            </w:pPr>
            <w:r>
              <w:rPr>
                <w:rFonts w:cs="Times New Roman"/>
                <w:sz w:val="21"/>
                <w:szCs w:val="18"/>
              </w:rPr>
              <w:t>理效率≥80%</w:t>
            </w:r>
          </w:p>
        </w:tc>
        <w:tc>
          <w:tcPr>
            <w:tcW w:w="624" w:type="pct"/>
            <w:vAlign w:val="center"/>
          </w:tcPr>
          <w:p w14:paraId="5F07604B">
            <w:pPr>
              <w:pStyle w:val="14"/>
              <w:spacing w:line="280" w:lineRule="exact"/>
              <w:ind w:left="0" w:firstLine="0"/>
              <w:jc w:val="center"/>
              <w:rPr>
                <w:rFonts w:cs="Times New Roman"/>
                <w:sz w:val="21"/>
                <w:szCs w:val="18"/>
              </w:rPr>
            </w:pPr>
            <w:r>
              <w:rPr>
                <w:rFonts w:cs="Times New Roman"/>
                <w:sz w:val="21"/>
                <w:szCs w:val="18"/>
              </w:rPr>
              <w:t>有自动漆雾处理系统，漆雾处理效率≥95%，</w:t>
            </w:r>
            <w:r>
              <w:rPr>
                <w:rFonts w:cs="Times New Roman"/>
                <w:kern w:val="2"/>
                <w:sz w:val="21"/>
                <w:szCs w:val="21"/>
              </w:rPr>
              <w:t>I级基准值</w:t>
            </w:r>
          </w:p>
        </w:tc>
      </w:tr>
      <w:tr w14:paraId="5B00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Merge w:val="restart"/>
            <w:vAlign w:val="center"/>
          </w:tcPr>
          <w:p w14:paraId="5B01EF27">
            <w:pPr>
              <w:pStyle w:val="14"/>
              <w:spacing w:line="280" w:lineRule="exact"/>
              <w:ind w:left="0" w:firstLine="0"/>
              <w:jc w:val="center"/>
              <w:rPr>
                <w:rFonts w:cs="Times New Roman"/>
                <w:sz w:val="21"/>
                <w:szCs w:val="18"/>
              </w:rPr>
            </w:pPr>
            <w:r>
              <w:rPr>
                <w:rFonts w:cs="Times New Roman"/>
                <w:sz w:val="21"/>
              </w:rPr>
              <w:t>4</w:t>
            </w:r>
          </w:p>
        </w:tc>
        <w:tc>
          <w:tcPr>
            <w:tcW w:w="233" w:type="pct"/>
            <w:vMerge w:val="continue"/>
            <w:vAlign w:val="center"/>
          </w:tcPr>
          <w:p w14:paraId="3571563A">
            <w:pPr>
              <w:spacing w:line="280" w:lineRule="exact"/>
              <w:jc w:val="center"/>
              <w:rPr>
                <w:rFonts w:ascii="Times New Roman"/>
                <w:sz w:val="21"/>
              </w:rPr>
            </w:pPr>
          </w:p>
        </w:tc>
        <w:tc>
          <w:tcPr>
            <w:tcW w:w="369" w:type="pct"/>
            <w:vMerge w:val="continue"/>
            <w:vAlign w:val="center"/>
          </w:tcPr>
          <w:p w14:paraId="262140CF">
            <w:pPr>
              <w:spacing w:line="280" w:lineRule="exact"/>
              <w:jc w:val="center"/>
              <w:rPr>
                <w:rFonts w:ascii="Times New Roman"/>
                <w:sz w:val="21"/>
              </w:rPr>
            </w:pPr>
          </w:p>
        </w:tc>
        <w:tc>
          <w:tcPr>
            <w:tcW w:w="414" w:type="pct"/>
            <w:vMerge w:val="continue"/>
            <w:vAlign w:val="center"/>
          </w:tcPr>
          <w:p w14:paraId="1B7D10E5">
            <w:pPr>
              <w:spacing w:line="280" w:lineRule="exact"/>
              <w:jc w:val="center"/>
              <w:rPr>
                <w:rFonts w:ascii="Times New Roman"/>
                <w:sz w:val="21"/>
              </w:rPr>
            </w:pPr>
          </w:p>
        </w:tc>
        <w:tc>
          <w:tcPr>
            <w:tcW w:w="495" w:type="pct"/>
            <w:vMerge w:val="restart"/>
            <w:vAlign w:val="center"/>
          </w:tcPr>
          <w:p w14:paraId="20480F31">
            <w:pPr>
              <w:pStyle w:val="14"/>
              <w:spacing w:line="280" w:lineRule="exact"/>
              <w:ind w:left="0" w:firstLine="0"/>
              <w:jc w:val="center"/>
              <w:rPr>
                <w:rFonts w:cs="Times New Roman"/>
                <w:sz w:val="21"/>
                <w:szCs w:val="18"/>
              </w:rPr>
            </w:pPr>
            <w:r>
              <w:rPr>
                <w:rFonts w:cs="Times New Roman"/>
                <w:spacing w:val="-9"/>
                <w:sz w:val="21"/>
                <w:szCs w:val="18"/>
              </w:rPr>
              <w:t>喷漆（涂覆）</w:t>
            </w:r>
          </w:p>
          <w:p w14:paraId="296F8AC0">
            <w:pPr>
              <w:pStyle w:val="14"/>
              <w:spacing w:line="280" w:lineRule="exact"/>
              <w:ind w:left="0" w:firstLine="0"/>
              <w:jc w:val="center"/>
              <w:rPr>
                <w:rFonts w:cs="Times New Roman"/>
                <w:sz w:val="21"/>
                <w:szCs w:val="18"/>
              </w:rPr>
            </w:pPr>
            <w:r>
              <w:rPr>
                <w:rFonts w:cs="Times New Roman"/>
                <w:sz w:val="21"/>
                <w:szCs w:val="18"/>
              </w:rPr>
              <w:t>（包括流平）</w:t>
            </w:r>
          </w:p>
        </w:tc>
        <w:tc>
          <w:tcPr>
            <w:tcW w:w="324" w:type="pct"/>
            <w:vMerge w:val="continue"/>
            <w:vAlign w:val="center"/>
          </w:tcPr>
          <w:p w14:paraId="291920C4">
            <w:pPr>
              <w:spacing w:line="280" w:lineRule="exact"/>
              <w:jc w:val="center"/>
              <w:rPr>
                <w:rFonts w:ascii="Times New Roman"/>
                <w:sz w:val="21"/>
              </w:rPr>
            </w:pPr>
          </w:p>
        </w:tc>
        <w:tc>
          <w:tcPr>
            <w:tcW w:w="316" w:type="pct"/>
            <w:vAlign w:val="center"/>
          </w:tcPr>
          <w:p w14:paraId="4F13E66B">
            <w:pPr>
              <w:pStyle w:val="14"/>
              <w:spacing w:line="280" w:lineRule="exact"/>
              <w:ind w:left="0" w:firstLine="0"/>
              <w:jc w:val="center"/>
              <w:rPr>
                <w:rFonts w:cs="Times New Roman"/>
                <w:sz w:val="21"/>
                <w:szCs w:val="18"/>
              </w:rPr>
            </w:pPr>
            <w:r>
              <w:rPr>
                <w:rFonts w:cs="Times New Roman"/>
                <w:sz w:val="21"/>
              </w:rPr>
              <w:t>0.15</w:t>
            </w:r>
          </w:p>
        </w:tc>
        <w:tc>
          <w:tcPr>
            <w:tcW w:w="735" w:type="pct"/>
            <w:vAlign w:val="center"/>
          </w:tcPr>
          <w:p w14:paraId="7750938C">
            <w:pPr>
              <w:pStyle w:val="14"/>
              <w:spacing w:line="280" w:lineRule="exact"/>
              <w:ind w:left="0" w:firstLine="0"/>
              <w:jc w:val="center"/>
              <w:rPr>
                <w:rFonts w:cs="Times New Roman"/>
                <w:sz w:val="21"/>
                <w:szCs w:val="18"/>
              </w:rPr>
            </w:pPr>
            <w:r>
              <w:rPr>
                <w:rFonts w:cs="Times New Roman"/>
                <w:sz w:val="21"/>
                <w:szCs w:val="18"/>
              </w:rPr>
              <w:t>应满足以下条件之一：①使用水性</w:t>
            </w:r>
          </w:p>
          <w:p w14:paraId="320679FE">
            <w:pPr>
              <w:pStyle w:val="14"/>
              <w:spacing w:line="280" w:lineRule="exact"/>
              <w:ind w:left="0" w:firstLine="0"/>
              <w:jc w:val="center"/>
              <w:rPr>
                <w:rFonts w:cs="Times New Roman"/>
                <w:sz w:val="21"/>
                <w:szCs w:val="18"/>
              </w:rPr>
            </w:pPr>
            <w:r>
              <w:rPr>
                <w:rFonts w:cs="Times New Roman"/>
                <w:sz w:val="21"/>
                <w:szCs w:val="18"/>
              </w:rPr>
              <w:t>漆；②使用光固化（UV）漆；③使用粉末涂料；④免中涂工艺</w:t>
            </w:r>
          </w:p>
        </w:tc>
        <w:tc>
          <w:tcPr>
            <w:tcW w:w="1165" w:type="pct"/>
            <w:gridSpan w:val="2"/>
            <w:vAlign w:val="center"/>
          </w:tcPr>
          <w:p w14:paraId="3DB11A89">
            <w:pPr>
              <w:pStyle w:val="14"/>
              <w:spacing w:line="280" w:lineRule="exact"/>
              <w:ind w:left="0" w:firstLine="0"/>
              <w:jc w:val="center"/>
              <w:rPr>
                <w:rFonts w:cs="Times New Roman"/>
                <w:sz w:val="21"/>
                <w:szCs w:val="18"/>
              </w:rPr>
            </w:pPr>
            <w:r>
              <w:rPr>
                <w:rFonts w:cs="Times New Roman"/>
                <w:sz w:val="21"/>
                <w:szCs w:val="18"/>
              </w:rPr>
              <w:t>节水</w:t>
            </w:r>
            <w:r>
              <w:rPr>
                <w:rFonts w:cs="Times New Roman"/>
                <w:spacing w:val="-47"/>
                <w:sz w:val="21"/>
                <w:szCs w:val="18"/>
              </w:rPr>
              <w:t xml:space="preserve"> </w:t>
            </w:r>
            <w:r>
              <w:rPr>
                <w:rFonts w:cs="Times New Roman"/>
                <w:position w:val="8"/>
                <w:sz w:val="21"/>
                <w:szCs w:val="12"/>
              </w:rPr>
              <w:t>b</w:t>
            </w:r>
            <w:r>
              <w:rPr>
                <w:rFonts w:cs="Times New Roman"/>
                <w:sz w:val="21"/>
                <w:szCs w:val="18"/>
              </w:rPr>
              <w:t>、节能</w:t>
            </w:r>
            <w:r>
              <w:rPr>
                <w:rFonts w:cs="Times New Roman"/>
                <w:spacing w:val="-47"/>
                <w:sz w:val="21"/>
                <w:szCs w:val="18"/>
              </w:rPr>
              <w:t xml:space="preserve"> </w:t>
            </w:r>
            <w:r>
              <w:rPr>
                <w:rFonts w:cs="Times New Roman"/>
                <w:position w:val="8"/>
                <w:sz w:val="21"/>
                <w:szCs w:val="12"/>
              </w:rPr>
              <w:t>c</w:t>
            </w:r>
            <w:r>
              <w:rPr>
                <w:rFonts w:cs="Times New Roman"/>
                <w:spacing w:val="-1"/>
                <w:position w:val="8"/>
                <w:sz w:val="21"/>
                <w:szCs w:val="12"/>
              </w:rPr>
              <w:t xml:space="preserve"> </w:t>
            </w:r>
            <w:r>
              <w:rPr>
                <w:rFonts w:cs="Times New Roman"/>
                <w:sz w:val="21"/>
                <w:szCs w:val="18"/>
              </w:rPr>
              <w:t>技术应用</w:t>
            </w:r>
          </w:p>
        </w:tc>
        <w:tc>
          <w:tcPr>
            <w:tcW w:w="624" w:type="pct"/>
            <w:vAlign w:val="center"/>
          </w:tcPr>
          <w:p w14:paraId="5A654613">
            <w:pPr>
              <w:pStyle w:val="14"/>
              <w:spacing w:line="280" w:lineRule="exact"/>
              <w:ind w:left="0" w:firstLine="0"/>
              <w:jc w:val="center"/>
              <w:rPr>
                <w:rFonts w:cs="Times New Roman"/>
                <w:sz w:val="21"/>
                <w:szCs w:val="15"/>
              </w:rPr>
            </w:pPr>
            <w:r>
              <w:rPr>
                <w:rFonts w:cs="Times New Roman"/>
                <w:sz w:val="21"/>
                <w:szCs w:val="15"/>
              </w:rPr>
              <w:t>采用电泳漆</w:t>
            </w:r>
            <w:r>
              <w:rPr>
                <w:rFonts w:cs="Times New Roman"/>
                <w:sz w:val="21"/>
                <w:szCs w:val="18"/>
              </w:rPr>
              <w:t>和油漆</w:t>
            </w:r>
            <w:r>
              <w:rPr>
                <w:rFonts w:cs="Times New Roman"/>
                <w:sz w:val="21"/>
                <w:szCs w:val="15"/>
              </w:rPr>
              <w:t>，均采用低挥发性涂料</w:t>
            </w:r>
          </w:p>
        </w:tc>
      </w:tr>
      <w:tr w14:paraId="1976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Merge w:val="continue"/>
            <w:vAlign w:val="center"/>
          </w:tcPr>
          <w:p w14:paraId="269517C1">
            <w:pPr>
              <w:spacing w:line="280" w:lineRule="exact"/>
              <w:jc w:val="center"/>
              <w:rPr>
                <w:rFonts w:ascii="Times New Roman"/>
                <w:sz w:val="21"/>
              </w:rPr>
            </w:pPr>
          </w:p>
        </w:tc>
        <w:tc>
          <w:tcPr>
            <w:tcW w:w="233" w:type="pct"/>
            <w:vMerge w:val="continue"/>
            <w:vAlign w:val="center"/>
          </w:tcPr>
          <w:p w14:paraId="11CC7A88">
            <w:pPr>
              <w:spacing w:line="280" w:lineRule="exact"/>
              <w:jc w:val="center"/>
              <w:rPr>
                <w:rFonts w:ascii="Times New Roman"/>
                <w:sz w:val="21"/>
              </w:rPr>
            </w:pPr>
          </w:p>
        </w:tc>
        <w:tc>
          <w:tcPr>
            <w:tcW w:w="369" w:type="pct"/>
            <w:vMerge w:val="continue"/>
            <w:vAlign w:val="center"/>
          </w:tcPr>
          <w:p w14:paraId="5940E5EA">
            <w:pPr>
              <w:spacing w:line="280" w:lineRule="exact"/>
              <w:jc w:val="center"/>
              <w:rPr>
                <w:rFonts w:ascii="Times New Roman"/>
                <w:sz w:val="21"/>
              </w:rPr>
            </w:pPr>
          </w:p>
        </w:tc>
        <w:tc>
          <w:tcPr>
            <w:tcW w:w="414" w:type="pct"/>
            <w:vMerge w:val="continue"/>
            <w:vAlign w:val="center"/>
          </w:tcPr>
          <w:p w14:paraId="5B80736D">
            <w:pPr>
              <w:spacing w:line="280" w:lineRule="exact"/>
              <w:jc w:val="center"/>
              <w:rPr>
                <w:rFonts w:ascii="Times New Roman"/>
                <w:sz w:val="21"/>
              </w:rPr>
            </w:pPr>
          </w:p>
        </w:tc>
        <w:tc>
          <w:tcPr>
            <w:tcW w:w="495" w:type="pct"/>
            <w:vMerge w:val="continue"/>
            <w:vAlign w:val="center"/>
          </w:tcPr>
          <w:p w14:paraId="11F820E2">
            <w:pPr>
              <w:spacing w:line="280" w:lineRule="exact"/>
              <w:jc w:val="center"/>
              <w:rPr>
                <w:rFonts w:ascii="Times New Roman"/>
                <w:sz w:val="21"/>
              </w:rPr>
            </w:pPr>
          </w:p>
        </w:tc>
        <w:tc>
          <w:tcPr>
            <w:tcW w:w="324" w:type="pct"/>
            <w:vMerge w:val="continue"/>
            <w:vAlign w:val="center"/>
          </w:tcPr>
          <w:p w14:paraId="6F50D5A8">
            <w:pPr>
              <w:spacing w:line="280" w:lineRule="exact"/>
              <w:jc w:val="center"/>
              <w:rPr>
                <w:rFonts w:ascii="Times New Roman"/>
                <w:sz w:val="21"/>
              </w:rPr>
            </w:pPr>
          </w:p>
        </w:tc>
        <w:tc>
          <w:tcPr>
            <w:tcW w:w="316" w:type="pct"/>
            <w:vAlign w:val="center"/>
          </w:tcPr>
          <w:p w14:paraId="378F8DB7">
            <w:pPr>
              <w:pStyle w:val="14"/>
              <w:spacing w:line="280" w:lineRule="exact"/>
              <w:ind w:left="0" w:firstLine="0"/>
              <w:jc w:val="center"/>
              <w:rPr>
                <w:rFonts w:cs="Times New Roman"/>
                <w:sz w:val="21"/>
                <w:szCs w:val="18"/>
              </w:rPr>
            </w:pPr>
            <w:r>
              <w:rPr>
                <w:rFonts w:cs="Times New Roman"/>
                <w:sz w:val="21"/>
              </w:rPr>
              <w:t>0.06</w:t>
            </w:r>
          </w:p>
        </w:tc>
        <w:tc>
          <w:tcPr>
            <w:tcW w:w="1900" w:type="pct"/>
            <w:gridSpan w:val="3"/>
            <w:vAlign w:val="center"/>
          </w:tcPr>
          <w:p w14:paraId="57E2894D">
            <w:pPr>
              <w:pStyle w:val="14"/>
              <w:spacing w:line="280" w:lineRule="exact"/>
              <w:ind w:left="0" w:firstLine="0"/>
              <w:jc w:val="center"/>
              <w:rPr>
                <w:rFonts w:cs="Times New Roman"/>
                <w:sz w:val="21"/>
                <w:szCs w:val="12"/>
              </w:rPr>
            </w:pPr>
            <w:r>
              <w:rPr>
                <w:rFonts w:cs="Times New Roman"/>
                <w:sz w:val="21"/>
                <w:szCs w:val="18"/>
              </w:rPr>
              <w:t>废溶剂收集、处理</w:t>
            </w:r>
            <w:r>
              <w:rPr>
                <w:rFonts w:cs="Times New Roman"/>
                <w:spacing w:val="-44"/>
                <w:sz w:val="21"/>
                <w:szCs w:val="18"/>
              </w:rPr>
              <w:t xml:space="preserve"> </w:t>
            </w:r>
            <w:r>
              <w:rPr>
                <w:rFonts w:cs="Times New Roman"/>
                <w:position w:val="8"/>
                <w:sz w:val="21"/>
                <w:szCs w:val="12"/>
              </w:rPr>
              <w:t>e</w:t>
            </w:r>
          </w:p>
        </w:tc>
        <w:tc>
          <w:tcPr>
            <w:tcW w:w="624" w:type="pct"/>
            <w:vAlign w:val="center"/>
          </w:tcPr>
          <w:p w14:paraId="1EF91917">
            <w:pPr>
              <w:pStyle w:val="14"/>
              <w:spacing w:line="280" w:lineRule="exact"/>
              <w:ind w:left="0" w:firstLine="0"/>
              <w:jc w:val="center"/>
              <w:rPr>
                <w:rFonts w:cs="Times New Roman"/>
                <w:sz w:val="21"/>
                <w:szCs w:val="18"/>
              </w:rPr>
            </w:pPr>
            <w:r>
              <w:rPr>
                <w:rFonts w:cs="Times New Roman"/>
                <w:sz w:val="21"/>
                <w:szCs w:val="18"/>
              </w:rPr>
              <w:t>不涉及</w:t>
            </w:r>
          </w:p>
        </w:tc>
      </w:tr>
      <w:tr w14:paraId="5374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6A1FCB0D">
            <w:pPr>
              <w:pStyle w:val="14"/>
              <w:spacing w:line="280" w:lineRule="exact"/>
              <w:ind w:left="0" w:firstLine="0"/>
              <w:jc w:val="center"/>
              <w:rPr>
                <w:rFonts w:cs="Times New Roman"/>
                <w:sz w:val="21"/>
                <w:szCs w:val="18"/>
              </w:rPr>
            </w:pPr>
            <w:r>
              <w:rPr>
                <w:rFonts w:cs="Times New Roman"/>
                <w:sz w:val="21"/>
              </w:rPr>
              <w:t>5</w:t>
            </w:r>
          </w:p>
        </w:tc>
        <w:tc>
          <w:tcPr>
            <w:tcW w:w="233" w:type="pct"/>
            <w:vMerge w:val="continue"/>
            <w:vAlign w:val="center"/>
          </w:tcPr>
          <w:p w14:paraId="72BE61E9">
            <w:pPr>
              <w:spacing w:line="280" w:lineRule="exact"/>
              <w:jc w:val="center"/>
              <w:rPr>
                <w:rFonts w:ascii="Times New Roman"/>
                <w:sz w:val="21"/>
              </w:rPr>
            </w:pPr>
          </w:p>
        </w:tc>
        <w:tc>
          <w:tcPr>
            <w:tcW w:w="369" w:type="pct"/>
            <w:vMerge w:val="continue"/>
            <w:vAlign w:val="center"/>
          </w:tcPr>
          <w:p w14:paraId="7E2E9561">
            <w:pPr>
              <w:spacing w:line="280" w:lineRule="exact"/>
              <w:jc w:val="center"/>
              <w:rPr>
                <w:rFonts w:ascii="Times New Roman"/>
                <w:sz w:val="21"/>
              </w:rPr>
            </w:pPr>
          </w:p>
        </w:tc>
        <w:tc>
          <w:tcPr>
            <w:tcW w:w="414" w:type="pct"/>
            <w:vMerge w:val="continue"/>
            <w:vAlign w:val="center"/>
          </w:tcPr>
          <w:p w14:paraId="031AC8E4">
            <w:pPr>
              <w:spacing w:line="280" w:lineRule="exact"/>
              <w:jc w:val="center"/>
              <w:rPr>
                <w:rFonts w:ascii="Times New Roman"/>
                <w:sz w:val="21"/>
              </w:rPr>
            </w:pPr>
          </w:p>
        </w:tc>
        <w:tc>
          <w:tcPr>
            <w:tcW w:w="495" w:type="pct"/>
            <w:vAlign w:val="center"/>
          </w:tcPr>
          <w:p w14:paraId="5DA85D3E">
            <w:pPr>
              <w:pStyle w:val="14"/>
              <w:spacing w:line="280" w:lineRule="exact"/>
              <w:ind w:left="0" w:firstLine="0"/>
              <w:jc w:val="center"/>
              <w:rPr>
                <w:rFonts w:cs="Times New Roman"/>
                <w:sz w:val="21"/>
                <w:szCs w:val="18"/>
              </w:rPr>
            </w:pPr>
            <w:r>
              <w:rPr>
                <w:rFonts w:cs="Times New Roman"/>
                <w:sz w:val="21"/>
                <w:szCs w:val="18"/>
              </w:rPr>
              <w:t>烘干室</w:t>
            </w:r>
          </w:p>
        </w:tc>
        <w:tc>
          <w:tcPr>
            <w:tcW w:w="324" w:type="pct"/>
            <w:vMerge w:val="continue"/>
            <w:vAlign w:val="center"/>
          </w:tcPr>
          <w:p w14:paraId="1EE7954A">
            <w:pPr>
              <w:spacing w:line="280" w:lineRule="exact"/>
              <w:jc w:val="center"/>
              <w:rPr>
                <w:rFonts w:ascii="Times New Roman"/>
                <w:sz w:val="21"/>
              </w:rPr>
            </w:pPr>
          </w:p>
        </w:tc>
        <w:tc>
          <w:tcPr>
            <w:tcW w:w="316" w:type="pct"/>
            <w:vAlign w:val="center"/>
          </w:tcPr>
          <w:p w14:paraId="67BF4A8B">
            <w:pPr>
              <w:pStyle w:val="14"/>
              <w:spacing w:line="280" w:lineRule="exact"/>
              <w:ind w:left="0" w:firstLine="0"/>
              <w:jc w:val="center"/>
              <w:rPr>
                <w:rFonts w:cs="Times New Roman"/>
                <w:sz w:val="21"/>
                <w:szCs w:val="18"/>
              </w:rPr>
            </w:pPr>
            <w:r>
              <w:rPr>
                <w:rFonts w:cs="Times New Roman"/>
                <w:sz w:val="21"/>
              </w:rPr>
              <w:t>0.04</w:t>
            </w:r>
          </w:p>
        </w:tc>
        <w:tc>
          <w:tcPr>
            <w:tcW w:w="1271" w:type="pct"/>
            <w:gridSpan w:val="2"/>
            <w:vAlign w:val="center"/>
          </w:tcPr>
          <w:p w14:paraId="64A9FD9D">
            <w:pPr>
              <w:pStyle w:val="14"/>
              <w:spacing w:line="280" w:lineRule="exact"/>
              <w:ind w:left="0" w:firstLine="0"/>
              <w:jc w:val="center"/>
              <w:rPr>
                <w:rFonts w:cs="Times New Roman"/>
                <w:sz w:val="21"/>
                <w:szCs w:val="18"/>
              </w:rPr>
            </w:pPr>
            <w:r>
              <w:rPr>
                <w:rFonts w:cs="Times New Roman"/>
                <w:sz w:val="21"/>
                <w:szCs w:val="18"/>
              </w:rPr>
              <w:t>节能技术应用</w:t>
            </w:r>
            <w:r>
              <w:rPr>
                <w:rFonts w:cs="Times New Roman"/>
                <w:spacing w:val="-47"/>
                <w:sz w:val="21"/>
                <w:szCs w:val="18"/>
              </w:rPr>
              <w:t xml:space="preserve"> </w:t>
            </w:r>
            <w:r>
              <w:rPr>
                <w:rFonts w:cs="Times New Roman"/>
                <w:position w:val="8"/>
                <w:sz w:val="21"/>
                <w:szCs w:val="12"/>
              </w:rPr>
              <w:t>c</w:t>
            </w:r>
            <w:r>
              <w:rPr>
                <w:rFonts w:cs="Times New Roman"/>
                <w:sz w:val="21"/>
                <w:szCs w:val="18"/>
              </w:rPr>
              <w:t>；加热装置多级调节</w:t>
            </w:r>
            <w:r>
              <w:rPr>
                <w:rFonts w:cs="Times New Roman"/>
                <w:spacing w:val="-46"/>
                <w:sz w:val="21"/>
                <w:szCs w:val="18"/>
              </w:rPr>
              <w:t xml:space="preserve"> </w:t>
            </w:r>
            <w:r>
              <w:rPr>
                <w:rFonts w:cs="Times New Roman"/>
                <w:position w:val="8"/>
                <w:sz w:val="21"/>
                <w:szCs w:val="12"/>
              </w:rPr>
              <w:t>j</w:t>
            </w:r>
            <w:r>
              <w:rPr>
                <w:rFonts w:cs="Times New Roman"/>
                <w:sz w:val="21"/>
                <w:szCs w:val="18"/>
              </w:rPr>
              <w:t>，使用清洁能源</w:t>
            </w:r>
          </w:p>
        </w:tc>
        <w:tc>
          <w:tcPr>
            <w:tcW w:w="629" w:type="pct"/>
            <w:vAlign w:val="center"/>
          </w:tcPr>
          <w:p w14:paraId="75C4191A">
            <w:pPr>
              <w:pStyle w:val="14"/>
              <w:spacing w:line="280" w:lineRule="exact"/>
              <w:ind w:left="0" w:firstLine="0"/>
              <w:jc w:val="center"/>
              <w:rPr>
                <w:rFonts w:cs="Times New Roman"/>
                <w:sz w:val="21"/>
                <w:szCs w:val="18"/>
              </w:rPr>
            </w:pPr>
            <w:r>
              <w:rPr>
                <w:rFonts w:cs="Times New Roman"/>
                <w:sz w:val="21"/>
                <w:szCs w:val="18"/>
              </w:rPr>
              <w:t>加热装置多级调节</w:t>
            </w:r>
            <w:r>
              <w:rPr>
                <w:rFonts w:cs="Times New Roman"/>
                <w:spacing w:val="-47"/>
                <w:sz w:val="21"/>
                <w:szCs w:val="18"/>
              </w:rPr>
              <w:t xml:space="preserve"> </w:t>
            </w:r>
            <w:r>
              <w:rPr>
                <w:rFonts w:cs="Times New Roman"/>
                <w:position w:val="8"/>
                <w:sz w:val="21"/>
                <w:szCs w:val="12"/>
              </w:rPr>
              <w:t>j</w:t>
            </w:r>
            <w:r>
              <w:rPr>
                <w:rFonts w:cs="Times New Roman"/>
                <w:sz w:val="21"/>
                <w:szCs w:val="18"/>
              </w:rPr>
              <w:t>，使用清</w:t>
            </w:r>
          </w:p>
          <w:p w14:paraId="7C39DAFF">
            <w:pPr>
              <w:pStyle w:val="14"/>
              <w:spacing w:line="280" w:lineRule="exact"/>
              <w:ind w:left="0" w:firstLine="0"/>
              <w:jc w:val="center"/>
              <w:rPr>
                <w:rFonts w:cs="Times New Roman"/>
                <w:sz w:val="21"/>
                <w:szCs w:val="18"/>
              </w:rPr>
            </w:pPr>
            <w:r>
              <w:rPr>
                <w:rFonts w:cs="Times New Roman"/>
                <w:sz w:val="21"/>
                <w:szCs w:val="18"/>
              </w:rPr>
              <w:t>洁能源</w:t>
            </w:r>
          </w:p>
        </w:tc>
        <w:tc>
          <w:tcPr>
            <w:tcW w:w="624" w:type="pct"/>
            <w:vAlign w:val="center"/>
          </w:tcPr>
          <w:p w14:paraId="62856354">
            <w:pPr>
              <w:pStyle w:val="14"/>
              <w:spacing w:line="280" w:lineRule="exact"/>
              <w:ind w:left="0" w:firstLine="0"/>
              <w:jc w:val="center"/>
              <w:rPr>
                <w:rFonts w:cs="Times New Roman"/>
                <w:sz w:val="21"/>
                <w:szCs w:val="18"/>
              </w:rPr>
            </w:pPr>
            <w:r>
              <w:rPr>
                <w:rFonts w:cs="Times New Roman"/>
                <w:sz w:val="21"/>
                <w:szCs w:val="18"/>
              </w:rPr>
              <w:t>本项目烘干使用清洁能源（天然气），使用节能技术应用，</w:t>
            </w:r>
            <w:r>
              <w:rPr>
                <w:rFonts w:cs="Times New Roman"/>
                <w:kern w:val="2"/>
                <w:sz w:val="21"/>
                <w:szCs w:val="21"/>
              </w:rPr>
              <w:t>I级基准值</w:t>
            </w:r>
          </w:p>
        </w:tc>
      </w:tr>
      <w:tr w14:paraId="34F1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1D8D81C7">
            <w:pPr>
              <w:pStyle w:val="14"/>
              <w:spacing w:line="280" w:lineRule="exact"/>
              <w:ind w:left="0" w:firstLine="0"/>
              <w:jc w:val="center"/>
              <w:rPr>
                <w:rFonts w:cs="Times New Roman"/>
                <w:sz w:val="21"/>
                <w:szCs w:val="18"/>
              </w:rPr>
            </w:pPr>
            <w:r>
              <w:rPr>
                <w:rFonts w:cs="Times New Roman"/>
                <w:sz w:val="21"/>
              </w:rPr>
              <w:t>6</w:t>
            </w:r>
          </w:p>
        </w:tc>
        <w:tc>
          <w:tcPr>
            <w:tcW w:w="233" w:type="pct"/>
            <w:vMerge w:val="continue"/>
            <w:vAlign w:val="center"/>
          </w:tcPr>
          <w:p w14:paraId="388E07B0">
            <w:pPr>
              <w:spacing w:line="280" w:lineRule="exact"/>
              <w:jc w:val="center"/>
              <w:rPr>
                <w:rFonts w:ascii="Times New Roman"/>
                <w:sz w:val="21"/>
              </w:rPr>
            </w:pPr>
          </w:p>
        </w:tc>
        <w:tc>
          <w:tcPr>
            <w:tcW w:w="369" w:type="pct"/>
            <w:vMerge w:val="continue"/>
            <w:vAlign w:val="center"/>
          </w:tcPr>
          <w:p w14:paraId="0625B815">
            <w:pPr>
              <w:spacing w:line="280" w:lineRule="exact"/>
              <w:jc w:val="center"/>
              <w:rPr>
                <w:rFonts w:ascii="Times New Roman"/>
                <w:sz w:val="21"/>
              </w:rPr>
            </w:pPr>
          </w:p>
        </w:tc>
        <w:tc>
          <w:tcPr>
            <w:tcW w:w="414" w:type="pct"/>
            <w:vMerge w:val="restart"/>
            <w:vAlign w:val="center"/>
          </w:tcPr>
          <w:p w14:paraId="1B92EE1A">
            <w:pPr>
              <w:pStyle w:val="14"/>
              <w:spacing w:line="280" w:lineRule="exact"/>
              <w:ind w:left="0" w:firstLine="0"/>
              <w:jc w:val="center"/>
              <w:rPr>
                <w:rFonts w:cs="Times New Roman"/>
                <w:sz w:val="21"/>
                <w:szCs w:val="18"/>
              </w:rPr>
            </w:pPr>
            <w:r>
              <w:rPr>
                <w:rFonts w:cs="Times New Roman"/>
                <w:sz w:val="21"/>
                <w:szCs w:val="18"/>
              </w:rPr>
              <w:t>废气处理设施</w:t>
            </w:r>
          </w:p>
        </w:tc>
        <w:tc>
          <w:tcPr>
            <w:tcW w:w="495" w:type="pct"/>
            <w:vAlign w:val="center"/>
          </w:tcPr>
          <w:p w14:paraId="7DC369BC">
            <w:pPr>
              <w:pStyle w:val="14"/>
              <w:spacing w:line="280" w:lineRule="exact"/>
              <w:ind w:left="0" w:firstLine="0"/>
              <w:rPr>
                <w:rFonts w:cs="Times New Roman"/>
                <w:sz w:val="21"/>
                <w:szCs w:val="18"/>
              </w:rPr>
            </w:pPr>
            <w:r>
              <w:rPr>
                <w:rFonts w:cs="Times New Roman"/>
                <w:sz w:val="21"/>
                <w:szCs w:val="18"/>
              </w:rPr>
              <w:t>喷漆废气</w:t>
            </w:r>
          </w:p>
        </w:tc>
        <w:tc>
          <w:tcPr>
            <w:tcW w:w="324" w:type="pct"/>
            <w:vMerge w:val="restart"/>
            <w:vAlign w:val="center"/>
          </w:tcPr>
          <w:p w14:paraId="58596952">
            <w:pPr>
              <w:pStyle w:val="14"/>
              <w:spacing w:line="280" w:lineRule="exact"/>
              <w:ind w:left="0" w:firstLine="0"/>
              <w:jc w:val="center"/>
              <w:rPr>
                <w:rFonts w:cs="Times New Roman"/>
                <w:sz w:val="21"/>
                <w:szCs w:val="18"/>
              </w:rPr>
            </w:pPr>
            <w:r>
              <w:rPr>
                <w:rFonts w:cs="Times New Roman"/>
                <w:w w:val="99"/>
                <w:sz w:val="21"/>
              </w:rPr>
              <w:t>-</w:t>
            </w:r>
          </w:p>
        </w:tc>
        <w:tc>
          <w:tcPr>
            <w:tcW w:w="316" w:type="pct"/>
            <w:vAlign w:val="center"/>
          </w:tcPr>
          <w:p w14:paraId="4C633B03">
            <w:pPr>
              <w:pStyle w:val="14"/>
              <w:spacing w:line="280" w:lineRule="exact"/>
              <w:ind w:left="0" w:firstLine="0"/>
              <w:jc w:val="center"/>
              <w:rPr>
                <w:rFonts w:cs="Times New Roman"/>
                <w:sz w:val="21"/>
                <w:szCs w:val="18"/>
              </w:rPr>
            </w:pPr>
            <w:r>
              <w:rPr>
                <w:rFonts w:cs="Times New Roman"/>
                <w:sz w:val="21"/>
              </w:rPr>
              <w:t>0.11</w:t>
            </w:r>
          </w:p>
        </w:tc>
        <w:tc>
          <w:tcPr>
            <w:tcW w:w="1271" w:type="pct"/>
            <w:gridSpan w:val="2"/>
            <w:vAlign w:val="center"/>
          </w:tcPr>
          <w:p w14:paraId="31E90CB7">
            <w:pPr>
              <w:pStyle w:val="14"/>
              <w:spacing w:line="280" w:lineRule="exact"/>
              <w:ind w:left="0" w:firstLine="0"/>
              <w:jc w:val="center"/>
              <w:rPr>
                <w:rFonts w:cs="Times New Roman"/>
                <w:sz w:val="21"/>
                <w:szCs w:val="18"/>
              </w:rPr>
            </w:pPr>
            <w:r>
              <w:rPr>
                <w:rFonts w:cs="Times New Roman"/>
                <w:sz w:val="21"/>
                <w:szCs w:val="18"/>
              </w:rPr>
              <w:t>溶剂工艺段有</w:t>
            </w:r>
            <w:r>
              <w:rPr>
                <w:rFonts w:cs="Times New Roman"/>
                <w:spacing w:val="-45"/>
                <w:sz w:val="21"/>
                <w:szCs w:val="18"/>
              </w:rPr>
              <w:t xml:space="preserve"> </w:t>
            </w:r>
            <w:r>
              <w:rPr>
                <w:rFonts w:cs="Times New Roman"/>
                <w:sz w:val="21"/>
                <w:szCs w:val="18"/>
              </w:rPr>
              <w:t>VOCs处理设施，处理效率≥85%；有</w:t>
            </w:r>
            <w:r>
              <w:rPr>
                <w:rFonts w:cs="Times New Roman"/>
                <w:spacing w:val="-46"/>
                <w:sz w:val="21"/>
                <w:szCs w:val="18"/>
              </w:rPr>
              <w:t xml:space="preserve"> </w:t>
            </w:r>
            <w:r>
              <w:rPr>
                <w:rFonts w:cs="Times New Roman"/>
                <w:sz w:val="21"/>
                <w:szCs w:val="18"/>
              </w:rPr>
              <w:t>VOCs</w:t>
            </w:r>
            <w:r>
              <w:rPr>
                <w:rFonts w:cs="Times New Roman"/>
                <w:spacing w:val="-1"/>
                <w:sz w:val="21"/>
                <w:szCs w:val="18"/>
              </w:rPr>
              <w:t xml:space="preserve"> </w:t>
            </w:r>
            <w:r>
              <w:rPr>
                <w:rFonts w:cs="Times New Roman"/>
                <w:spacing w:val="-3"/>
                <w:sz w:val="21"/>
                <w:szCs w:val="18"/>
              </w:rPr>
              <w:t xml:space="preserve">处理 </w:t>
            </w:r>
            <w:r>
              <w:rPr>
                <w:rFonts w:cs="Times New Roman"/>
                <w:sz w:val="21"/>
                <w:szCs w:val="18"/>
              </w:rPr>
              <w:t>设备运行监控装置</w:t>
            </w:r>
          </w:p>
        </w:tc>
        <w:tc>
          <w:tcPr>
            <w:tcW w:w="629" w:type="pct"/>
            <w:vAlign w:val="center"/>
          </w:tcPr>
          <w:p w14:paraId="4C0920BD">
            <w:pPr>
              <w:pStyle w:val="14"/>
              <w:spacing w:line="280" w:lineRule="exact"/>
              <w:ind w:left="0" w:firstLine="0"/>
              <w:jc w:val="center"/>
              <w:rPr>
                <w:rFonts w:cs="Times New Roman"/>
                <w:sz w:val="21"/>
                <w:szCs w:val="18"/>
              </w:rPr>
            </w:pPr>
            <w:r>
              <w:rPr>
                <w:rFonts w:cs="Times New Roman"/>
                <w:sz w:val="21"/>
                <w:szCs w:val="18"/>
              </w:rPr>
              <w:t>溶剂型喷漆有</w:t>
            </w:r>
            <w:r>
              <w:rPr>
                <w:rFonts w:cs="Times New Roman"/>
                <w:spacing w:val="-45"/>
                <w:sz w:val="21"/>
                <w:szCs w:val="18"/>
              </w:rPr>
              <w:t xml:space="preserve"> </w:t>
            </w:r>
            <w:r>
              <w:rPr>
                <w:rFonts w:cs="Times New Roman"/>
                <w:sz w:val="21"/>
                <w:szCs w:val="18"/>
              </w:rPr>
              <w:t>VOCs 处理设</w:t>
            </w:r>
          </w:p>
          <w:p w14:paraId="5EB6A851">
            <w:pPr>
              <w:pStyle w:val="14"/>
              <w:spacing w:line="280" w:lineRule="exact"/>
              <w:ind w:left="0" w:firstLine="0"/>
              <w:jc w:val="center"/>
              <w:rPr>
                <w:rFonts w:cs="Times New Roman"/>
                <w:sz w:val="21"/>
                <w:szCs w:val="18"/>
              </w:rPr>
            </w:pPr>
            <w:r>
              <w:rPr>
                <w:rFonts w:cs="Times New Roman"/>
                <w:spacing w:val="-8"/>
                <w:sz w:val="21"/>
                <w:szCs w:val="18"/>
              </w:rPr>
              <w:t>施，处理效率≥75%；有</w:t>
            </w:r>
            <w:r>
              <w:rPr>
                <w:rFonts w:cs="Times New Roman"/>
                <w:spacing w:val="-42"/>
                <w:sz w:val="21"/>
                <w:szCs w:val="18"/>
              </w:rPr>
              <w:t xml:space="preserve"> </w:t>
            </w:r>
            <w:r>
              <w:rPr>
                <w:rFonts w:cs="Times New Roman"/>
                <w:sz w:val="21"/>
                <w:szCs w:val="18"/>
              </w:rPr>
              <w:t>VOCs</w:t>
            </w:r>
          </w:p>
          <w:p w14:paraId="6706756A">
            <w:pPr>
              <w:pStyle w:val="14"/>
              <w:spacing w:line="280" w:lineRule="exact"/>
              <w:ind w:left="0" w:firstLine="0"/>
              <w:jc w:val="center"/>
              <w:rPr>
                <w:rFonts w:cs="Times New Roman"/>
                <w:sz w:val="21"/>
                <w:szCs w:val="18"/>
              </w:rPr>
            </w:pPr>
            <w:r>
              <w:rPr>
                <w:rFonts w:cs="Times New Roman"/>
                <w:sz w:val="21"/>
                <w:szCs w:val="18"/>
              </w:rPr>
              <w:t>处理设备运行监控装置</w:t>
            </w:r>
          </w:p>
        </w:tc>
        <w:tc>
          <w:tcPr>
            <w:tcW w:w="624" w:type="pct"/>
            <w:vAlign w:val="center"/>
          </w:tcPr>
          <w:p w14:paraId="63EC4CD7">
            <w:pPr>
              <w:pStyle w:val="14"/>
              <w:spacing w:line="280" w:lineRule="exact"/>
              <w:ind w:left="0" w:firstLine="0"/>
              <w:jc w:val="center"/>
              <w:rPr>
                <w:rFonts w:cs="Times New Roman"/>
                <w:sz w:val="21"/>
                <w:szCs w:val="18"/>
              </w:rPr>
            </w:pPr>
            <w:r>
              <w:rPr>
                <w:rFonts w:cs="Times New Roman"/>
                <w:sz w:val="21"/>
                <w:szCs w:val="18"/>
              </w:rPr>
              <w:t>有</w:t>
            </w:r>
            <w:r>
              <w:rPr>
                <w:rFonts w:cs="Times New Roman"/>
                <w:spacing w:val="-45"/>
                <w:sz w:val="21"/>
                <w:szCs w:val="18"/>
              </w:rPr>
              <w:t xml:space="preserve"> </w:t>
            </w:r>
            <w:r>
              <w:rPr>
                <w:rFonts w:cs="Times New Roman"/>
                <w:sz w:val="21"/>
                <w:szCs w:val="18"/>
              </w:rPr>
              <w:t>VOCs处理设施，处理效率≥85%，</w:t>
            </w:r>
            <w:r>
              <w:rPr>
                <w:rFonts w:cs="Times New Roman"/>
                <w:kern w:val="2"/>
                <w:sz w:val="21"/>
                <w:szCs w:val="21"/>
              </w:rPr>
              <w:t>I级基准值</w:t>
            </w:r>
          </w:p>
        </w:tc>
      </w:tr>
      <w:tr w14:paraId="72EC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77E90E6B">
            <w:pPr>
              <w:pStyle w:val="14"/>
              <w:spacing w:line="280" w:lineRule="exact"/>
              <w:ind w:left="0" w:firstLine="0"/>
              <w:jc w:val="center"/>
              <w:rPr>
                <w:rFonts w:cs="Times New Roman"/>
                <w:sz w:val="21"/>
                <w:szCs w:val="18"/>
              </w:rPr>
            </w:pPr>
            <w:r>
              <w:rPr>
                <w:rFonts w:cs="Times New Roman"/>
                <w:sz w:val="21"/>
              </w:rPr>
              <w:t>7</w:t>
            </w:r>
          </w:p>
        </w:tc>
        <w:tc>
          <w:tcPr>
            <w:tcW w:w="233" w:type="pct"/>
            <w:vMerge w:val="continue"/>
            <w:vAlign w:val="center"/>
          </w:tcPr>
          <w:p w14:paraId="67F5FA19">
            <w:pPr>
              <w:spacing w:line="280" w:lineRule="exact"/>
              <w:jc w:val="center"/>
              <w:rPr>
                <w:rFonts w:ascii="Times New Roman"/>
                <w:sz w:val="21"/>
              </w:rPr>
            </w:pPr>
          </w:p>
        </w:tc>
        <w:tc>
          <w:tcPr>
            <w:tcW w:w="369" w:type="pct"/>
            <w:vMerge w:val="continue"/>
            <w:vAlign w:val="center"/>
          </w:tcPr>
          <w:p w14:paraId="230DC270">
            <w:pPr>
              <w:spacing w:line="280" w:lineRule="exact"/>
              <w:jc w:val="center"/>
              <w:rPr>
                <w:rFonts w:ascii="Times New Roman"/>
                <w:sz w:val="21"/>
              </w:rPr>
            </w:pPr>
          </w:p>
        </w:tc>
        <w:tc>
          <w:tcPr>
            <w:tcW w:w="414" w:type="pct"/>
            <w:vMerge w:val="continue"/>
            <w:vAlign w:val="center"/>
          </w:tcPr>
          <w:p w14:paraId="346EBF13">
            <w:pPr>
              <w:spacing w:line="280" w:lineRule="exact"/>
              <w:jc w:val="center"/>
              <w:rPr>
                <w:rFonts w:ascii="Times New Roman"/>
                <w:sz w:val="21"/>
              </w:rPr>
            </w:pPr>
          </w:p>
        </w:tc>
        <w:tc>
          <w:tcPr>
            <w:tcW w:w="495" w:type="pct"/>
            <w:vAlign w:val="center"/>
          </w:tcPr>
          <w:p w14:paraId="0671AADE">
            <w:pPr>
              <w:pStyle w:val="14"/>
              <w:spacing w:line="280" w:lineRule="exact"/>
              <w:ind w:left="0" w:firstLine="0"/>
              <w:jc w:val="center"/>
              <w:rPr>
                <w:rFonts w:cs="Times New Roman"/>
                <w:sz w:val="21"/>
                <w:szCs w:val="18"/>
              </w:rPr>
            </w:pPr>
            <w:r>
              <w:rPr>
                <w:rFonts w:cs="Times New Roman"/>
                <w:sz w:val="21"/>
                <w:szCs w:val="18"/>
              </w:rPr>
              <w:t>涂层烘干废气</w:t>
            </w:r>
          </w:p>
        </w:tc>
        <w:tc>
          <w:tcPr>
            <w:tcW w:w="324" w:type="pct"/>
            <w:vMerge w:val="continue"/>
            <w:vAlign w:val="center"/>
          </w:tcPr>
          <w:p w14:paraId="756D2385">
            <w:pPr>
              <w:spacing w:line="280" w:lineRule="exact"/>
              <w:jc w:val="center"/>
              <w:rPr>
                <w:rFonts w:ascii="Times New Roman"/>
                <w:sz w:val="21"/>
              </w:rPr>
            </w:pPr>
          </w:p>
        </w:tc>
        <w:tc>
          <w:tcPr>
            <w:tcW w:w="316" w:type="pct"/>
            <w:vAlign w:val="center"/>
          </w:tcPr>
          <w:p w14:paraId="3BE72233">
            <w:pPr>
              <w:pStyle w:val="14"/>
              <w:spacing w:line="280" w:lineRule="exact"/>
              <w:ind w:left="0" w:firstLine="0"/>
              <w:jc w:val="center"/>
              <w:rPr>
                <w:rFonts w:cs="Times New Roman"/>
                <w:sz w:val="21"/>
                <w:szCs w:val="18"/>
              </w:rPr>
            </w:pPr>
            <w:r>
              <w:rPr>
                <w:rFonts w:cs="Times New Roman"/>
                <w:sz w:val="21"/>
              </w:rPr>
              <w:t>0.11</w:t>
            </w:r>
          </w:p>
        </w:tc>
        <w:tc>
          <w:tcPr>
            <w:tcW w:w="735" w:type="pct"/>
            <w:vAlign w:val="center"/>
          </w:tcPr>
          <w:p w14:paraId="21567ECA">
            <w:pPr>
              <w:pStyle w:val="14"/>
              <w:spacing w:line="280" w:lineRule="exact"/>
              <w:ind w:left="0" w:firstLine="0"/>
              <w:jc w:val="center"/>
              <w:rPr>
                <w:rFonts w:cs="Times New Roman"/>
                <w:sz w:val="21"/>
                <w:szCs w:val="18"/>
              </w:rPr>
            </w:pPr>
            <w:r>
              <w:rPr>
                <w:rFonts w:cs="Times New Roman"/>
                <w:sz w:val="21"/>
                <w:szCs w:val="18"/>
              </w:rPr>
              <w:t>有</w:t>
            </w:r>
            <w:r>
              <w:rPr>
                <w:rFonts w:cs="Times New Roman"/>
                <w:spacing w:val="-45"/>
                <w:sz w:val="21"/>
                <w:szCs w:val="18"/>
              </w:rPr>
              <w:t xml:space="preserve"> </w:t>
            </w:r>
            <w:r>
              <w:rPr>
                <w:rFonts w:cs="Times New Roman"/>
                <w:sz w:val="21"/>
                <w:szCs w:val="18"/>
              </w:rPr>
              <w:t>VOCs 处理设施，处理效率≥98%；有</w:t>
            </w:r>
            <w:r>
              <w:rPr>
                <w:rFonts w:cs="Times New Roman"/>
                <w:spacing w:val="-46"/>
                <w:sz w:val="21"/>
                <w:szCs w:val="18"/>
              </w:rPr>
              <w:t xml:space="preserve"> </w:t>
            </w:r>
            <w:r>
              <w:rPr>
                <w:rFonts w:cs="Times New Roman"/>
                <w:sz w:val="21"/>
                <w:szCs w:val="18"/>
              </w:rPr>
              <w:t>VOCs</w:t>
            </w:r>
            <w:r>
              <w:rPr>
                <w:rFonts w:cs="Times New Roman"/>
                <w:spacing w:val="-1"/>
                <w:sz w:val="21"/>
                <w:szCs w:val="18"/>
              </w:rPr>
              <w:t xml:space="preserve"> </w:t>
            </w:r>
            <w:r>
              <w:rPr>
                <w:rFonts w:cs="Times New Roman"/>
                <w:sz w:val="21"/>
                <w:szCs w:val="18"/>
              </w:rPr>
              <w:t>处理设备运行监 控装置</w:t>
            </w:r>
          </w:p>
        </w:tc>
        <w:tc>
          <w:tcPr>
            <w:tcW w:w="536" w:type="pct"/>
            <w:vAlign w:val="center"/>
          </w:tcPr>
          <w:p w14:paraId="244BF0F4">
            <w:pPr>
              <w:pStyle w:val="14"/>
              <w:spacing w:line="280" w:lineRule="exact"/>
              <w:ind w:left="0" w:firstLine="0"/>
              <w:jc w:val="center"/>
              <w:rPr>
                <w:rFonts w:cs="Times New Roman"/>
                <w:sz w:val="21"/>
                <w:szCs w:val="18"/>
              </w:rPr>
            </w:pPr>
            <w:r>
              <w:rPr>
                <w:rFonts w:cs="Times New Roman"/>
                <w:sz w:val="21"/>
                <w:szCs w:val="18"/>
              </w:rPr>
              <w:t>有</w:t>
            </w:r>
            <w:r>
              <w:rPr>
                <w:rFonts w:cs="Times New Roman"/>
                <w:spacing w:val="-42"/>
                <w:sz w:val="21"/>
                <w:szCs w:val="18"/>
              </w:rPr>
              <w:t xml:space="preserve"> </w:t>
            </w:r>
            <w:r>
              <w:rPr>
                <w:rFonts w:cs="Times New Roman"/>
                <w:sz w:val="21"/>
                <w:szCs w:val="18"/>
              </w:rPr>
              <w:t>VOCs</w:t>
            </w:r>
            <w:r>
              <w:rPr>
                <w:rFonts w:cs="Times New Roman"/>
                <w:spacing w:val="3"/>
                <w:sz w:val="21"/>
                <w:szCs w:val="18"/>
              </w:rPr>
              <w:t xml:space="preserve"> </w:t>
            </w:r>
            <w:r>
              <w:rPr>
                <w:rFonts w:cs="Times New Roman"/>
                <w:spacing w:val="-8"/>
                <w:sz w:val="21"/>
                <w:szCs w:val="18"/>
              </w:rPr>
              <w:t>处理设施，处理效</w:t>
            </w:r>
            <w:r>
              <w:rPr>
                <w:rFonts w:cs="Times New Roman"/>
                <w:sz w:val="21"/>
                <w:szCs w:val="18"/>
              </w:rPr>
              <w:t xml:space="preserve"> 率≥95% </w:t>
            </w:r>
            <w:r>
              <w:rPr>
                <w:rFonts w:cs="Times New Roman"/>
                <w:spacing w:val="-18"/>
                <w:sz w:val="21"/>
                <w:szCs w:val="18"/>
              </w:rPr>
              <w:t xml:space="preserve">；有 </w:t>
            </w:r>
            <w:r>
              <w:rPr>
                <w:rFonts w:cs="Times New Roman"/>
                <w:sz w:val="21"/>
                <w:szCs w:val="18"/>
              </w:rPr>
              <w:t>VOCs</w:t>
            </w:r>
            <w:r>
              <w:rPr>
                <w:rFonts w:cs="Times New Roman"/>
                <w:spacing w:val="-28"/>
                <w:sz w:val="21"/>
                <w:szCs w:val="18"/>
              </w:rPr>
              <w:t xml:space="preserve"> </w:t>
            </w:r>
            <w:r>
              <w:rPr>
                <w:rFonts w:cs="Times New Roman"/>
                <w:sz w:val="21"/>
                <w:szCs w:val="18"/>
              </w:rPr>
              <w:t>处理设 备运行监控装置</w:t>
            </w:r>
          </w:p>
        </w:tc>
        <w:tc>
          <w:tcPr>
            <w:tcW w:w="629" w:type="pct"/>
            <w:vAlign w:val="center"/>
          </w:tcPr>
          <w:p w14:paraId="350E5658">
            <w:pPr>
              <w:pStyle w:val="14"/>
              <w:spacing w:line="280" w:lineRule="exact"/>
              <w:ind w:left="0" w:firstLine="0"/>
              <w:jc w:val="center"/>
              <w:rPr>
                <w:rFonts w:cs="Times New Roman"/>
                <w:sz w:val="21"/>
                <w:szCs w:val="18"/>
              </w:rPr>
            </w:pPr>
            <w:r>
              <w:rPr>
                <w:rFonts w:cs="Times New Roman"/>
                <w:sz w:val="21"/>
                <w:szCs w:val="18"/>
              </w:rPr>
              <w:t>有</w:t>
            </w:r>
            <w:r>
              <w:rPr>
                <w:rFonts w:cs="Times New Roman"/>
                <w:spacing w:val="-43"/>
                <w:sz w:val="21"/>
                <w:szCs w:val="18"/>
              </w:rPr>
              <w:t xml:space="preserve"> </w:t>
            </w:r>
            <w:r>
              <w:rPr>
                <w:rFonts w:cs="Times New Roman"/>
                <w:sz w:val="21"/>
                <w:szCs w:val="18"/>
              </w:rPr>
              <w:t>VOCs</w:t>
            </w:r>
            <w:r>
              <w:rPr>
                <w:rFonts w:cs="Times New Roman"/>
                <w:spacing w:val="-8"/>
                <w:sz w:val="21"/>
                <w:szCs w:val="18"/>
              </w:rPr>
              <w:t>处理设施，处理效率</w:t>
            </w:r>
            <w:r>
              <w:rPr>
                <w:rFonts w:cs="Times New Roman"/>
                <w:sz w:val="21"/>
                <w:szCs w:val="18"/>
              </w:rPr>
              <w:t xml:space="preserve">≥90% </w:t>
            </w:r>
            <w:r>
              <w:rPr>
                <w:rFonts w:cs="Times New Roman"/>
                <w:spacing w:val="-23"/>
                <w:sz w:val="21"/>
                <w:szCs w:val="18"/>
              </w:rPr>
              <w:t>；有</w:t>
            </w:r>
            <w:r>
              <w:rPr>
                <w:rFonts w:cs="Times New Roman"/>
                <w:sz w:val="21"/>
                <w:szCs w:val="18"/>
              </w:rPr>
              <w:t>VOCs处理设备运行监控装置</w:t>
            </w:r>
          </w:p>
        </w:tc>
        <w:tc>
          <w:tcPr>
            <w:tcW w:w="624" w:type="pct"/>
            <w:vAlign w:val="center"/>
          </w:tcPr>
          <w:p w14:paraId="1251A9B5">
            <w:pPr>
              <w:pStyle w:val="14"/>
              <w:spacing w:line="280" w:lineRule="exact"/>
              <w:ind w:left="0" w:firstLine="0"/>
              <w:jc w:val="center"/>
              <w:rPr>
                <w:rFonts w:cs="Times New Roman"/>
                <w:sz w:val="21"/>
                <w:szCs w:val="18"/>
              </w:rPr>
            </w:pPr>
            <w:r>
              <w:rPr>
                <w:rFonts w:cs="Times New Roman"/>
                <w:sz w:val="21"/>
                <w:szCs w:val="18"/>
              </w:rPr>
              <w:t>有</w:t>
            </w:r>
            <w:r>
              <w:rPr>
                <w:rFonts w:cs="Times New Roman"/>
                <w:spacing w:val="-45"/>
                <w:sz w:val="21"/>
                <w:szCs w:val="18"/>
              </w:rPr>
              <w:t xml:space="preserve"> </w:t>
            </w:r>
            <w:r>
              <w:rPr>
                <w:rFonts w:cs="Times New Roman"/>
                <w:sz w:val="21"/>
                <w:szCs w:val="18"/>
              </w:rPr>
              <w:t>VOCs处理设施，处理效率≥90%，</w:t>
            </w:r>
            <w:r>
              <w:rPr>
                <w:rFonts w:cs="Times New Roman"/>
                <w:kern w:val="2"/>
                <w:sz w:val="21"/>
                <w:szCs w:val="21"/>
              </w:rPr>
              <w:t>Ⅲ级基准值</w:t>
            </w:r>
          </w:p>
        </w:tc>
      </w:tr>
      <w:tr w14:paraId="1CC1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20CDF56D">
            <w:pPr>
              <w:pStyle w:val="14"/>
              <w:spacing w:line="280" w:lineRule="exact"/>
              <w:ind w:left="0" w:firstLine="0"/>
              <w:jc w:val="center"/>
              <w:rPr>
                <w:rFonts w:cs="Times New Roman"/>
                <w:sz w:val="21"/>
                <w:szCs w:val="18"/>
              </w:rPr>
            </w:pPr>
            <w:r>
              <w:rPr>
                <w:rFonts w:cs="Times New Roman"/>
                <w:sz w:val="21"/>
              </w:rPr>
              <w:t>8</w:t>
            </w:r>
          </w:p>
        </w:tc>
        <w:tc>
          <w:tcPr>
            <w:tcW w:w="233" w:type="pct"/>
            <w:vMerge w:val="continue"/>
            <w:vAlign w:val="center"/>
          </w:tcPr>
          <w:p w14:paraId="3BF3B14C">
            <w:pPr>
              <w:spacing w:line="280" w:lineRule="exact"/>
              <w:jc w:val="center"/>
              <w:rPr>
                <w:rFonts w:ascii="Times New Roman"/>
                <w:sz w:val="21"/>
              </w:rPr>
            </w:pPr>
          </w:p>
        </w:tc>
        <w:tc>
          <w:tcPr>
            <w:tcW w:w="369" w:type="pct"/>
            <w:vMerge w:val="continue"/>
            <w:vAlign w:val="center"/>
          </w:tcPr>
          <w:p w14:paraId="3F594787">
            <w:pPr>
              <w:spacing w:line="280" w:lineRule="exact"/>
              <w:jc w:val="center"/>
              <w:rPr>
                <w:rFonts w:ascii="Times New Roman"/>
                <w:sz w:val="21"/>
              </w:rPr>
            </w:pPr>
          </w:p>
        </w:tc>
        <w:tc>
          <w:tcPr>
            <w:tcW w:w="414" w:type="pct"/>
            <w:vAlign w:val="center"/>
          </w:tcPr>
          <w:p w14:paraId="723D3976">
            <w:pPr>
              <w:pStyle w:val="14"/>
              <w:spacing w:line="280" w:lineRule="exact"/>
              <w:ind w:left="0" w:firstLine="0"/>
              <w:jc w:val="center"/>
              <w:rPr>
                <w:rFonts w:cs="Times New Roman"/>
                <w:sz w:val="21"/>
                <w:szCs w:val="18"/>
              </w:rPr>
            </w:pPr>
            <w:r>
              <w:rPr>
                <w:rFonts w:cs="Times New Roman"/>
                <w:sz w:val="21"/>
                <w:szCs w:val="18"/>
              </w:rPr>
              <w:t>原辅材料</w:t>
            </w:r>
          </w:p>
        </w:tc>
        <w:tc>
          <w:tcPr>
            <w:tcW w:w="495" w:type="pct"/>
            <w:vAlign w:val="center"/>
          </w:tcPr>
          <w:p w14:paraId="4FF275AC">
            <w:pPr>
              <w:pStyle w:val="14"/>
              <w:spacing w:line="280" w:lineRule="exact"/>
              <w:ind w:left="0" w:firstLine="0"/>
              <w:jc w:val="center"/>
              <w:rPr>
                <w:rFonts w:cs="Times New Roman"/>
                <w:sz w:val="21"/>
                <w:szCs w:val="18"/>
              </w:rPr>
            </w:pPr>
            <w:r>
              <w:rPr>
                <w:rFonts w:cs="Times New Roman"/>
                <w:sz w:val="21"/>
                <w:szCs w:val="18"/>
              </w:rPr>
              <w:t>面漆</w:t>
            </w:r>
          </w:p>
        </w:tc>
        <w:tc>
          <w:tcPr>
            <w:tcW w:w="324" w:type="pct"/>
            <w:vAlign w:val="center"/>
          </w:tcPr>
          <w:p w14:paraId="7E4065C1">
            <w:pPr>
              <w:pStyle w:val="14"/>
              <w:spacing w:line="280" w:lineRule="exact"/>
              <w:ind w:left="0" w:firstLine="0"/>
              <w:jc w:val="center"/>
              <w:rPr>
                <w:rFonts w:cs="Times New Roman"/>
                <w:sz w:val="21"/>
                <w:szCs w:val="18"/>
              </w:rPr>
            </w:pPr>
            <w:r>
              <w:rPr>
                <w:rFonts w:cs="Times New Roman"/>
                <w:w w:val="99"/>
                <w:sz w:val="21"/>
              </w:rPr>
              <w:t>-</w:t>
            </w:r>
          </w:p>
        </w:tc>
        <w:tc>
          <w:tcPr>
            <w:tcW w:w="316" w:type="pct"/>
            <w:vAlign w:val="center"/>
          </w:tcPr>
          <w:p w14:paraId="6744D299">
            <w:pPr>
              <w:pStyle w:val="14"/>
              <w:spacing w:line="280" w:lineRule="exact"/>
              <w:ind w:left="0" w:firstLine="0"/>
              <w:jc w:val="center"/>
              <w:rPr>
                <w:rFonts w:cs="Times New Roman"/>
                <w:sz w:val="21"/>
                <w:szCs w:val="18"/>
              </w:rPr>
            </w:pPr>
            <w:r>
              <w:rPr>
                <w:rFonts w:cs="Times New Roman"/>
                <w:sz w:val="21"/>
              </w:rPr>
              <w:t>0.05</w:t>
            </w:r>
          </w:p>
        </w:tc>
        <w:tc>
          <w:tcPr>
            <w:tcW w:w="735" w:type="pct"/>
            <w:vAlign w:val="center"/>
          </w:tcPr>
          <w:p w14:paraId="58F20803">
            <w:pPr>
              <w:pStyle w:val="14"/>
              <w:spacing w:line="280" w:lineRule="exact"/>
              <w:ind w:left="0" w:firstLine="0"/>
              <w:jc w:val="center"/>
              <w:rPr>
                <w:rFonts w:cs="Times New Roman"/>
                <w:sz w:val="21"/>
                <w:szCs w:val="18"/>
              </w:rPr>
            </w:pPr>
            <w:r>
              <w:rPr>
                <w:rFonts w:cs="Times New Roman"/>
                <w:sz w:val="21"/>
                <w:szCs w:val="18"/>
              </w:rPr>
              <w:t>VOCs≤50%</w:t>
            </w:r>
          </w:p>
        </w:tc>
        <w:tc>
          <w:tcPr>
            <w:tcW w:w="536" w:type="pct"/>
            <w:vAlign w:val="center"/>
          </w:tcPr>
          <w:p w14:paraId="7E684AB7">
            <w:pPr>
              <w:pStyle w:val="14"/>
              <w:spacing w:line="280" w:lineRule="exact"/>
              <w:ind w:left="0" w:firstLine="0"/>
              <w:jc w:val="center"/>
              <w:rPr>
                <w:rFonts w:cs="Times New Roman"/>
                <w:sz w:val="21"/>
                <w:szCs w:val="18"/>
              </w:rPr>
            </w:pPr>
            <w:r>
              <w:rPr>
                <w:rFonts w:cs="Times New Roman"/>
                <w:sz w:val="21"/>
                <w:szCs w:val="18"/>
              </w:rPr>
              <w:t>VOCs≤60%</w:t>
            </w:r>
          </w:p>
        </w:tc>
        <w:tc>
          <w:tcPr>
            <w:tcW w:w="629" w:type="pct"/>
            <w:vAlign w:val="center"/>
          </w:tcPr>
          <w:p w14:paraId="65C74706">
            <w:pPr>
              <w:pStyle w:val="14"/>
              <w:spacing w:line="280" w:lineRule="exact"/>
              <w:ind w:left="0" w:firstLine="0"/>
              <w:jc w:val="center"/>
              <w:rPr>
                <w:rFonts w:cs="Times New Roman"/>
                <w:sz w:val="21"/>
                <w:szCs w:val="18"/>
              </w:rPr>
            </w:pPr>
            <w:r>
              <w:rPr>
                <w:rFonts w:cs="Times New Roman"/>
                <w:sz w:val="21"/>
                <w:szCs w:val="18"/>
              </w:rPr>
              <w:t>VOCs≤70%</w:t>
            </w:r>
          </w:p>
        </w:tc>
        <w:tc>
          <w:tcPr>
            <w:tcW w:w="624" w:type="pct"/>
            <w:vAlign w:val="center"/>
          </w:tcPr>
          <w:p w14:paraId="709EC6AE">
            <w:pPr>
              <w:pStyle w:val="14"/>
              <w:spacing w:line="280" w:lineRule="exact"/>
              <w:ind w:left="0" w:firstLine="0"/>
              <w:jc w:val="center"/>
              <w:rPr>
                <w:rFonts w:cs="Times New Roman"/>
                <w:sz w:val="21"/>
                <w:szCs w:val="18"/>
              </w:rPr>
            </w:pPr>
            <w:r>
              <w:rPr>
                <w:rFonts w:cs="Times New Roman"/>
                <w:sz w:val="21"/>
                <w:szCs w:val="18"/>
              </w:rPr>
              <w:t>VOCs≤50%</w:t>
            </w:r>
            <w:r>
              <w:rPr>
                <w:rFonts w:cs="Times New Roman"/>
                <w:kern w:val="2"/>
                <w:sz w:val="21"/>
                <w:szCs w:val="21"/>
              </w:rPr>
              <w:t>I级基准值</w:t>
            </w:r>
          </w:p>
        </w:tc>
      </w:tr>
      <w:tr w14:paraId="3703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Merge w:val="restart"/>
            <w:vAlign w:val="center"/>
          </w:tcPr>
          <w:p w14:paraId="133D8713">
            <w:pPr>
              <w:pStyle w:val="14"/>
              <w:spacing w:line="280" w:lineRule="exact"/>
              <w:ind w:left="0" w:firstLine="0"/>
              <w:jc w:val="center"/>
              <w:rPr>
                <w:rFonts w:cs="Times New Roman"/>
                <w:sz w:val="21"/>
                <w:szCs w:val="18"/>
              </w:rPr>
            </w:pPr>
            <w:r>
              <w:rPr>
                <w:rFonts w:cs="Times New Roman"/>
                <w:sz w:val="21"/>
              </w:rPr>
              <w:t>9</w:t>
            </w:r>
          </w:p>
        </w:tc>
        <w:tc>
          <w:tcPr>
            <w:tcW w:w="233" w:type="pct"/>
            <w:vMerge w:val="restart"/>
            <w:vAlign w:val="center"/>
          </w:tcPr>
          <w:p w14:paraId="66162E1E">
            <w:pPr>
              <w:pStyle w:val="14"/>
              <w:spacing w:line="280" w:lineRule="exact"/>
              <w:ind w:left="0" w:firstLine="0"/>
              <w:jc w:val="center"/>
              <w:rPr>
                <w:rFonts w:cs="Times New Roman"/>
                <w:sz w:val="21"/>
                <w:szCs w:val="18"/>
              </w:rPr>
            </w:pPr>
            <w:r>
              <w:rPr>
                <w:rFonts w:cs="Times New Roman"/>
                <w:sz w:val="21"/>
                <w:szCs w:val="18"/>
              </w:rPr>
              <w:t>资源和能源消耗指标</w:t>
            </w:r>
          </w:p>
        </w:tc>
        <w:tc>
          <w:tcPr>
            <w:tcW w:w="369" w:type="pct"/>
            <w:vMerge w:val="restart"/>
            <w:vAlign w:val="center"/>
          </w:tcPr>
          <w:p w14:paraId="4F586E86">
            <w:pPr>
              <w:pStyle w:val="14"/>
              <w:spacing w:line="280" w:lineRule="exact"/>
              <w:ind w:left="0" w:firstLine="0"/>
              <w:jc w:val="center"/>
              <w:rPr>
                <w:rFonts w:cs="Times New Roman"/>
                <w:sz w:val="21"/>
                <w:szCs w:val="18"/>
              </w:rPr>
            </w:pPr>
            <w:r>
              <w:rPr>
                <w:rFonts w:cs="Times New Roman"/>
                <w:sz w:val="21"/>
              </w:rPr>
              <w:t>0.1</w:t>
            </w:r>
          </w:p>
        </w:tc>
        <w:tc>
          <w:tcPr>
            <w:tcW w:w="909" w:type="pct"/>
            <w:gridSpan w:val="2"/>
            <w:vAlign w:val="center"/>
          </w:tcPr>
          <w:p w14:paraId="7161BC7C">
            <w:pPr>
              <w:pStyle w:val="14"/>
              <w:spacing w:line="280" w:lineRule="exact"/>
              <w:ind w:left="0" w:firstLine="0"/>
              <w:jc w:val="center"/>
              <w:rPr>
                <w:rFonts w:cs="Times New Roman"/>
                <w:sz w:val="21"/>
                <w:szCs w:val="18"/>
              </w:rPr>
            </w:pPr>
            <w:r>
              <w:rPr>
                <w:rFonts w:cs="Times New Roman"/>
                <w:sz w:val="21"/>
                <w:szCs w:val="18"/>
              </w:rPr>
              <w:t>单位面积取水量*</w:t>
            </w:r>
          </w:p>
        </w:tc>
        <w:tc>
          <w:tcPr>
            <w:tcW w:w="324" w:type="pct"/>
            <w:vAlign w:val="center"/>
          </w:tcPr>
          <w:p w14:paraId="3FBA3130">
            <w:pPr>
              <w:pStyle w:val="14"/>
              <w:spacing w:line="280" w:lineRule="exact"/>
              <w:ind w:left="0" w:firstLine="0"/>
              <w:jc w:val="center"/>
              <w:rPr>
                <w:rFonts w:cs="Times New Roman"/>
                <w:sz w:val="21"/>
                <w:szCs w:val="12"/>
              </w:rPr>
            </w:pPr>
            <w:r>
              <w:rPr>
                <w:rFonts w:cs="Times New Roman"/>
                <w:sz w:val="21"/>
              </w:rPr>
              <w:t>l/m</w:t>
            </w:r>
            <w:r>
              <w:rPr>
                <w:rFonts w:cs="Times New Roman"/>
                <w:sz w:val="21"/>
                <w:vertAlign w:val="superscript"/>
              </w:rPr>
              <w:t>2</w:t>
            </w:r>
          </w:p>
        </w:tc>
        <w:tc>
          <w:tcPr>
            <w:tcW w:w="316" w:type="pct"/>
            <w:vAlign w:val="center"/>
          </w:tcPr>
          <w:p w14:paraId="63AAF5D0">
            <w:pPr>
              <w:pStyle w:val="14"/>
              <w:spacing w:line="280" w:lineRule="exact"/>
              <w:ind w:left="0" w:firstLine="0"/>
              <w:jc w:val="center"/>
              <w:rPr>
                <w:rFonts w:cs="Times New Roman"/>
                <w:sz w:val="21"/>
                <w:szCs w:val="18"/>
              </w:rPr>
            </w:pPr>
            <w:r>
              <w:rPr>
                <w:rFonts w:cs="Times New Roman"/>
                <w:sz w:val="21"/>
              </w:rPr>
              <w:t>0.3</w:t>
            </w:r>
          </w:p>
        </w:tc>
        <w:tc>
          <w:tcPr>
            <w:tcW w:w="735" w:type="pct"/>
            <w:vAlign w:val="center"/>
          </w:tcPr>
          <w:p w14:paraId="6BC34D4E">
            <w:pPr>
              <w:pStyle w:val="14"/>
              <w:spacing w:line="280" w:lineRule="exact"/>
              <w:ind w:left="0" w:firstLine="0"/>
              <w:jc w:val="center"/>
              <w:rPr>
                <w:rFonts w:cs="Times New Roman"/>
                <w:sz w:val="21"/>
                <w:szCs w:val="18"/>
              </w:rPr>
            </w:pPr>
            <w:r>
              <w:rPr>
                <w:rFonts w:cs="Times New Roman"/>
                <w:sz w:val="21"/>
                <w:szCs w:val="18"/>
              </w:rPr>
              <w:t>≤2.5</w:t>
            </w:r>
          </w:p>
        </w:tc>
        <w:tc>
          <w:tcPr>
            <w:tcW w:w="536" w:type="pct"/>
            <w:vAlign w:val="center"/>
          </w:tcPr>
          <w:p w14:paraId="41EA8687">
            <w:pPr>
              <w:pStyle w:val="14"/>
              <w:spacing w:line="280" w:lineRule="exact"/>
              <w:ind w:left="0" w:firstLine="0"/>
              <w:jc w:val="center"/>
              <w:rPr>
                <w:rFonts w:cs="Times New Roman"/>
                <w:sz w:val="21"/>
                <w:szCs w:val="18"/>
              </w:rPr>
            </w:pPr>
            <w:r>
              <w:rPr>
                <w:rFonts w:cs="Times New Roman"/>
                <w:sz w:val="21"/>
                <w:szCs w:val="18"/>
              </w:rPr>
              <w:t>≤3.2</w:t>
            </w:r>
          </w:p>
        </w:tc>
        <w:tc>
          <w:tcPr>
            <w:tcW w:w="629" w:type="pct"/>
            <w:vAlign w:val="center"/>
          </w:tcPr>
          <w:p w14:paraId="00F2DE63">
            <w:pPr>
              <w:pStyle w:val="14"/>
              <w:spacing w:line="280" w:lineRule="exact"/>
              <w:ind w:left="0" w:firstLine="0"/>
              <w:jc w:val="center"/>
              <w:rPr>
                <w:rFonts w:cs="Times New Roman"/>
                <w:sz w:val="21"/>
                <w:szCs w:val="18"/>
              </w:rPr>
            </w:pPr>
            <w:r>
              <w:rPr>
                <w:rFonts w:cs="Times New Roman"/>
                <w:sz w:val="21"/>
                <w:szCs w:val="18"/>
              </w:rPr>
              <w:t>≤5</w:t>
            </w:r>
          </w:p>
        </w:tc>
        <w:tc>
          <w:tcPr>
            <w:tcW w:w="624" w:type="pct"/>
            <w:vAlign w:val="center"/>
          </w:tcPr>
          <w:p w14:paraId="70801C62">
            <w:pPr>
              <w:pStyle w:val="14"/>
              <w:spacing w:line="280" w:lineRule="exact"/>
              <w:ind w:left="0" w:firstLine="0"/>
              <w:jc w:val="center"/>
              <w:rPr>
                <w:rFonts w:cs="Times New Roman"/>
                <w:sz w:val="21"/>
                <w:szCs w:val="18"/>
              </w:rPr>
            </w:pPr>
            <w:r>
              <w:rPr>
                <w:rFonts w:cs="Times New Roman"/>
                <w:sz w:val="21"/>
                <w:szCs w:val="18"/>
              </w:rPr>
              <w:t>单位面积取水量≤2.5</w:t>
            </w:r>
            <w:r>
              <w:rPr>
                <w:rFonts w:cs="Times New Roman"/>
                <w:sz w:val="21"/>
              </w:rPr>
              <w:t>m</w:t>
            </w:r>
            <w:r>
              <w:rPr>
                <w:rFonts w:cs="Times New Roman"/>
                <w:sz w:val="21"/>
                <w:vertAlign w:val="superscript"/>
              </w:rPr>
              <w:t>3</w:t>
            </w:r>
            <w:r>
              <w:rPr>
                <w:rFonts w:cs="Times New Roman"/>
                <w:sz w:val="21"/>
              </w:rPr>
              <w:t>/m</w:t>
            </w:r>
            <w:r>
              <w:rPr>
                <w:rFonts w:cs="Times New Roman"/>
                <w:sz w:val="21"/>
                <w:vertAlign w:val="superscript"/>
              </w:rPr>
              <w:t>2</w:t>
            </w:r>
            <w:r>
              <w:rPr>
                <w:rFonts w:cs="Times New Roman"/>
                <w:sz w:val="21"/>
                <w:szCs w:val="18"/>
              </w:rPr>
              <w:t>，</w:t>
            </w:r>
            <w:r>
              <w:rPr>
                <w:rFonts w:cs="Times New Roman"/>
                <w:kern w:val="2"/>
                <w:sz w:val="21"/>
                <w:szCs w:val="21"/>
              </w:rPr>
              <w:t>I级基准值</w:t>
            </w:r>
          </w:p>
        </w:tc>
      </w:tr>
      <w:tr w14:paraId="5456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Merge w:val="continue"/>
            <w:vAlign w:val="center"/>
          </w:tcPr>
          <w:p w14:paraId="318974E3">
            <w:pPr>
              <w:spacing w:line="280" w:lineRule="exact"/>
              <w:jc w:val="center"/>
              <w:rPr>
                <w:rFonts w:ascii="Times New Roman"/>
                <w:sz w:val="21"/>
              </w:rPr>
            </w:pPr>
          </w:p>
        </w:tc>
        <w:tc>
          <w:tcPr>
            <w:tcW w:w="233" w:type="pct"/>
            <w:vMerge w:val="continue"/>
            <w:vAlign w:val="center"/>
          </w:tcPr>
          <w:p w14:paraId="5FBF0F56">
            <w:pPr>
              <w:spacing w:line="280" w:lineRule="exact"/>
              <w:jc w:val="center"/>
              <w:rPr>
                <w:rFonts w:ascii="Times New Roman"/>
                <w:sz w:val="21"/>
              </w:rPr>
            </w:pPr>
          </w:p>
        </w:tc>
        <w:tc>
          <w:tcPr>
            <w:tcW w:w="369" w:type="pct"/>
            <w:vMerge w:val="continue"/>
            <w:vAlign w:val="center"/>
          </w:tcPr>
          <w:p w14:paraId="1537B958">
            <w:pPr>
              <w:spacing w:line="280" w:lineRule="exact"/>
              <w:jc w:val="center"/>
              <w:rPr>
                <w:rFonts w:ascii="Times New Roman"/>
                <w:sz w:val="21"/>
              </w:rPr>
            </w:pPr>
          </w:p>
        </w:tc>
        <w:tc>
          <w:tcPr>
            <w:tcW w:w="909" w:type="pct"/>
            <w:gridSpan w:val="2"/>
            <w:vAlign w:val="center"/>
          </w:tcPr>
          <w:p w14:paraId="7EBE0F66">
            <w:pPr>
              <w:pStyle w:val="14"/>
              <w:spacing w:line="280" w:lineRule="exact"/>
              <w:ind w:left="0" w:firstLine="0"/>
              <w:jc w:val="center"/>
              <w:rPr>
                <w:rFonts w:cs="Times New Roman"/>
                <w:sz w:val="21"/>
                <w:szCs w:val="18"/>
              </w:rPr>
            </w:pPr>
            <w:r>
              <w:rPr>
                <w:rFonts w:cs="Times New Roman"/>
                <w:sz w:val="21"/>
                <w:szCs w:val="18"/>
              </w:rPr>
              <w:t>单位面积综合耗能*</w:t>
            </w:r>
          </w:p>
        </w:tc>
        <w:tc>
          <w:tcPr>
            <w:tcW w:w="324" w:type="pct"/>
            <w:vAlign w:val="center"/>
          </w:tcPr>
          <w:p w14:paraId="34D0ABE1">
            <w:pPr>
              <w:pStyle w:val="14"/>
              <w:spacing w:line="280" w:lineRule="exact"/>
              <w:ind w:left="0" w:firstLine="0"/>
              <w:jc w:val="center"/>
              <w:rPr>
                <w:rFonts w:cs="Times New Roman"/>
                <w:sz w:val="21"/>
                <w:szCs w:val="12"/>
              </w:rPr>
            </w:pPr>
            <w:r>
              <w:rPr>
                <w:rFonts w:cs="Times New Roman"/>
                <w:sz w:val="21"/>
              </w:rPr>
              <w:t>kgce/m</w:t>
            </w:r>
            <w:r>
              <w:rPr>
                <w:rFonts w:cs="Times New Roman"/>
                <w:sz w:val="21"/>
                <w:vertAlign w:val="superscript"/>
              </w:rPr>
              <w:t>2</w:t>
            </w:r>
          </w:p>
        </w:tc>
        <w:tc>
          <w:tcPr>
            <w:tcW w:w="316" w:type="pct"/>
            <w:vAlign w:val="center"/>
          </w:tcPr>
          <w:p w14:paraId="3B5CFB3F">
            <w:pPr>
              <w:pStyle w:val="14"/>
              <w:spacing w:line="280" w:lineRule="exact"/>
              <w:ind w:left="0" w:firstLine="0"/>
              <w:jc w:val="center"/>
              <w:rPr>
                <w:rFonts w:cs="Times New Roman"/>
                <w:sz w:val="21"/>
                <w:szCs w:val="18"/>
              </w:rPr>
            </w:pPr>
            <w:r>
              <w:rPr>
                <w:rFonts w:cs="Times New Roman"/>
                <w:sz w:val="21"/>
              </w:rPr>
              <w:t>0.7</w:t>
            </w:r>
          </w:p>
        </w:tc>
        <w:tc>
          <w:tcPr>
            <w:tcW w:w="735" w:type="pct"/>
            <w:vAlign w:val="center"/>
          </w:tcPr>
          <w:p w14:paraId="07DBFF3B">
            <w:pPr>
              <w:pStyle w:val="14"/>
              <w:spacing w:line="280" w:lineRule="exact"/>
              <w:ind w:left="0" w:firstLine="0"/>
              <w:jc w:val="center"/>
              <w:rPr>
                <w:rFonts w:cs="Times New Roman"/>
                <w:sz w:val="21"/>
                <w:szCs w:val="18"/>
              </w:rPr>
            </w:pPr>
            <w:r>
              <w:rPr>
                <w:rFonts w:cs="Times New Roman"/>
                <w:sz w:val="21"/>
                <w:szCs w:val="18"/>
              </w:rPr>
              <w:t>≤1.26</w:t>
            </w:r>
          </w:p>
        </w:tc>
        <w:tc>
          <w:tcPr>
            <w:tcW w:w="536" w:type="pct"/>
            <w:vAlign w:val="center"/>
          </w:tcPr>
          <w:p w14:paraId="1F06C0E6">
            <w:pPr>
              <w:pStyle w:val="14"/>
              <w:spacing w:line="280" w:lineRule="exact"/>
              <w:ind w:left="0" w:firstLine="0"/>
              <w:jc w:val="center"/>
              <w:rPr>
                <w:rFonts w:cs="Times New Roman"/>
                <w:sz w:val="21"/>
                <w:szCs w:val="18"/>
              </w:rPr>
            </w:pPr>
            <w:r>
              <w:rPr>
                <w:rFonts w:cs="Times New Roman"/>
                <w:sz w:val="21"/>
                <w:szCs w:val="18"/>
              </w:rPr>
              <w:t>≤1.32</w:t>
            </w:r>
          </w:p>
        </w:tc>
        <w:tc>
          <w:tcPr>
            <w:tcW w:w="629" w:type="pct"/>
            <w:vAlign w:val="center"/>
          </w:tcPr>
          <w:p w14:paraId="07EC775B">
            <w:pPr>
              <w:pStyle w:val="14"/>
              <w:spacing w:line="280" w:lineRule="exact"/>
              <w:ind w:left="0" w:firstLine="0"/>
              <w:jc w:val="center"/>
              <w:rPr>
                <w:rFonts w:cs="Times New Roman"/>
                <w:sz w:val="21"/>
                <w:szCs w:val="18"/>
              </w:rPr>
            </w:pPr>
            <w:r>
              <w:rPr>
                <w:rFonts w:cs="Times New Roman"/>
                <w:sz w:val="21"/>
                <w:szCs w:val="18"/>
              </w:rPr>
              <w:t>≤1.43</w:t>
            </w:r>
          </w:p>
        </w:tc>
        <w:tc>
          <w:tcPr>
            <w:tcW w:w="624" w:type="pct"/>
            <w:vAlign w:val="center"/>
          </w:tcPr>
          <w:p w14:paraId="368A5B67">
            <w:pPr>
              <w:pStyle w:val="14"/>
              <w:spacing w:line="280" w:lineRule="exact"/>
              <w:ind w:left="0" w:firstLine="0"/>
              <w:jc w:val="center"/>
              <w:rPr>
                <w:rFonts w:cs="Times New Roman"/>
                <w:sz w:val="21"/>
                <w:szCs w:val="18"/>
              </w:rPr>
            </w:pPr>
            <w:r>
              <w:rPr>
                <w:rFonts w:cs="Times New Roman"/>
                <w:sz w:val="21"/>
                <w:szCs w:val="21"/>
              </w:rPr>
              <w:t>本项目单位面积综合耗能</w:t>
            </w:r>
            <w:r>
              <w:rPr>
                <w:rFonts w:cs="Times New Roman"/>
                <w:sz w:val="21"/>
                <w:szCs w:val="18"/>
              </w:rPr>
              <w:t>≤1.26</w:t>
            </w:r>
            <w:r>
              <w:rPr>
                <w:rFonts w:cs="Times New Roman"/>
                <w:sz w:val="21"/>
                <w:szCs w:val="21"/>
              </w:rPr>
              <w:t>kgce/m</w:t>
            </w:r>
            <w:r>
              <w:rPr>
                <w:rFonts w:cs="Times New Roman"/>
                <w:sz w:val="21"/>
                <w:szCs w:val="21"/>
                <w:vertAlign w:val="superscript"/>
              </w:rPr>
              <w:t>2</w:t>
            </w:r>
            <w:r>
              <w:rPr>
                <w:rFonts w:cs="Times New Roman"/>
                <w:sz w:val="21"/>
                <w:szCs w:val="21"/>
              </w:rPr>
              <w:t>，I级基准值</w:t>
            </w:r>
          </w:p>
        </w:tc>
      </w:tr>
      <w:tr w14:paraId="593B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271755E9">
            <w:pPr>
              <w:pStyle w:val="14"/>
              <w:spacing w:line="280" w:lineRule="exact"/>
              <w:ind w:left="0" w:firstLine="0"/>
              <w:jc w:val="center"/>
              <w:rPr>
                <w:rFonts w:cs="Times New Roman"/>
                <w:sz w:val="21"/>
                <w:szCs w:val="18"/>
              </w:rPr>
            </w:pPr>
            <w:r>
              <w:rPr>
                <w:rFonts w:cs="Times New Roman"/>
                <w:sz w:val="21"/>
                <w:szCs w:val="18"/>
              </w:rPr>
              <w:t>10</w:t>
            </w:r>
          </w:p>
        </w:tc>
        <w:tc>
          <w:tcPr>
            <w:tcW w:w="233" w:type="pct"/>
            <w:vMerge w:val="restart"/>
            <w:vAlign w:val="center"/>
          </w:tcPr>
          <w:p w14:paraId="369D5E8D">
            <w:pPr>
              <w:pStyle w:val="14"/>
              <w:spacing w:line="280" w:lineRule="exact"/>
              <w:ind w:left="0" w:firstLine="0"/>
              <w:jc w:val="center"/>
              <w:rPr>
                <w:rFonts w:cs="Times New Roman"/>
                <w:sz w:val="21"/>
                <w:szCs w:val="18"/>
              </w:rPr>
            </w:pPr>
            <w:r>
              <w:rPr>
                <w:rFonts w:cs="Times New Roman"/>
                <w:sz w:val="21"/>
                <w:szCs w:val="18"/>
              </w:rPr>
              <w:t>污染物产生指标</w:t>
            </w:r>
          </w:p>
        </w:tc>
        <w:tc>
          <w:tcPr>
            <w:tcW w:w="369" w:type="pct"/>
            <w:vMerge w:val="restart"/>
            <w:vAlign w:val="center"/>
          </w:tcPr>
          <w:p w14:paraId="67D3C2CE">
            <w:pPr>
              <w:pStyle w:val="14"/>
              <w:spacing w:line="280" w:lineRule="exact"/>
              <w:ind w:left="0" w:firstLine="0"/>
              <w:jc w:val="center"/>
              <w:rPr>
                <w:rFonts w:cs="Times New Roman"/>
                <w:sz w:val="21"/>
                <w:szCs w:val="18"/>
              </w:rPr>
            </w:pPr>
            <w:r>
              <w:rPr>
                <w:rFonts w:cs="Times New Roman"/>
                <w:sz w:val="21"/>
                <w:szCs w:val="18"/>
              </w:rPr>
              <w:t>0.3</w:t>
            </w:r>
          </w:p>
        </w:tc>
        <w:tc>
          <w:tcPr>
            <w:tcW w:w="909" w:type="pct"/>
            <w:gridSpan w:val="2"/>
            <w:vAlign w:val="center"/>
          </w:tcPr>
          <w:p w14:paraId="666E26E2">
            <w:pPr>
              <w:pStyle w:val="14"/>
              <w:spacing w:line="280" w:lineRule="exact"/>
              <w:ind w:left="0" w:firstLine="0"/>
              <w:jc w:val="center"/>
              <w:rPr>
                <w:rFonts w:cs="Times New Roman"/>
                <w:sz w:val="21"/>
                <w:szCs w:val="18"/>
              </w:rPr>
            </w:pPr>
            <w:r>
              <w:rPr>
                <w:rFonts w:cs="Times New Roman"/>
                <w:sz w:val="21"/>
                <w:szCs w:val="18"/>
              </w:rPr>
              <w:t>单位面积VOCs产生量*</w:t>
            </w:r>
          </w:p>
        </w:tc>
        <w:tc>
          <w:tcPr>
            <w:tcW w:w="324" w:type="pct"/>
            <w:vAlign w:val="center"/>
          </w:tcPr>
          <w:p w14:paraId="485E46F3">
            <w:pPr>
              <w:pStyle w:val="14"/>
              <w:spacing w:line="280" w:lineRule="exact"/>
              <w:ind w:left="0" w:firstLine="0"/>
              <w:jc w:val="center"/>
              <w:rPr>
                <w:rFonts w:cs="Times New Roman"/>
                <w:sz w:val="21"/>
                <w:szCs w:val="18"/>
              </w:rPr>
            </w:pPr>
            <w:r>
              <w:rPr>
                <w:rFonts w:cs="Times New Roman"/>
                <w:sz w:val="21"/>
                <w:szCs w:val="18"/>
              </w:rPr>
              <w:t>g/m</w:t>
            </w:r>
            <w:r>
              <w:rPr>
                <w:rFonts w:cs="Times New Roman"/>
                <w:sz w:val="21"/>
                <w:szCs w:val="18"/>
                <w:vertAlign w:val="superscript"/>
              </w:rPr>
              <w:t>2</w:t>
            </w:r>
          </w:p>
        </w:tc>
        <w:tc>
          <w:tcPr>
            <w:tcW w:w="316" w:type="pct"/>
            <w:vAlign w:val="center"/>
          </w:tcPr>
          <w:p w14:paraId="17148350">
            <w:pPr>
              <w:pStyle w:val="14"/>
              <w:spacing w:line="280" w:lineRule="exact"/>
              <w:ind w:left="0" w:firstLine="0"/>
              <w:jc w:val="center"/>
              <w:rPr>
                <w:rFonts w:cs="Times New Roman"/>
                <w:sz w:val="21"/>
                <w:szCs w:val="18"/>
              </w:rPr>
            </w:pPr>
            <w:r>
              <w:rPr>
                <w:rFonts w:cs="Times New Roman"/>
                <w:sz w:val="21"/>
                <w:szCs w:val="18"/>
              </w:rPr>
              <w:t>0.35</w:t>
            </w:r>
          </w:p>
        </w:tc>
        <w:tc>
          <w:tcPr>
            <w:tcW w:w="735" w:type="pct"/>
            <w:vAlign w:val="center"/>
          </w:tcPr>
          <w:p w14:paraId="54A837F4">
            <w:pPr>
              <w:pStyle w:val="14"/>
              <w:spacing w:line="280" w:lineRule="exact"/>
              <w:ind w:left="0" w:firstLine="0"/>
              <w:jc w:val="center"/>
              <w:rPr>
                <w:rFonts w:cs="Times New Roman"/>
                <w:sz w:val="21"/>
                <w:szCs w:val="18"/>
              </w:rPr>
            </w:pPr>
            <w:r>
              <w:rPr>
                <w:rFonts w:cs="Times New Roman"/>
                <w:sz w:val="21"/>
                <w:szCs w:val="18"/>
              </w:rPr>
              <w:t>≤60</w:t>
            </w:r>
          </w:p>
        </w:tc>
        <w:tc>
          <w:tcPr>
            <w:tcW w:w="536" w:type="pct"/>
            <w:vAlign w:val="center"/>
          </w:tcPr>
          <w:p w14:paraId="7FDCF533">
            <w:pPr>
              <w:pStyle w:val="14"/>
              <w:spacing w:line="280" w:lineRule="exact"/>
              <w:ind w:left="0" w:firstLine="0"/>
              <w:jc w:val="center"/>
              <w:rPr>
                <w:rFonts w:cs="Times New Roman"/>
                <w:sz w:val="21"/>
                <w:szCs w:val="18"/>
              </w:rPr>
            </w:pPr>
            <w:r>
              <w:rPr>
                <w:rFonts w:cs="Times New Roman"/>
                <w:sz w:val="21"/>
                <w:szCs w:val="18"/>
              </w:rPr>
              <w:t>≤80</w:t>
            </w:r>
          </w:p>
        </w:tc>
        <w:tc>
          <w:tcPr>
            <w:tcW w:w="629" w:type="pct"/>
            <w:vAlign w:val="center"/>
          </w:tcPr>
          <w:p w14:paraId="71A73A3C">
            <w:pPr>
              <w:pStyle w:val="14"/>
              <w:spacing w:line="280" w:lineRule="exact"/>
              <w:ind w:left="0" w:firstLine="0"/>
              <w:jc w:val="center"/>
              <w:rPr>
                <w:rFonts w:cs="Times New Roman"/>
                <w:sz w:val="21"/>
                <w:szCs w:val="18"/>
              </w:rPr>
            </w:pPr>
            <w:r>
              <w:rPr>
                <w:rFonts w:cs="Times New Roman"/>
                <w:sz w:val="21"/>
                <w:szCs w:val="18"/>
              </w:rPr>
              <w:t>≤100</w:t>
            </w:r>
          </w:p>
        </w:tc>
        <w:tc>
          <w:tcPr>
            <w:tcW w:w="624" w:type="pct"/>
            <w:vAlign w:val="center"/>
          </w:tcPr>
          <w:p w14:paraId="44B8443A">
            <w:pPr>
              <w:pStyle w:val="14"/>
              <w:spacing w:line="280" w:lineRule="exact"/>
              <w:ind w:left="0" w:firstLine="0"/>
              <w:jc w:val="center"/>
              <w:rPr>
                <w:rFonts w:cs="Times New Roman"/>
                <w:sz w:val="21"/>
                <w:szCs w:val="18"/>
              </w:rPr>
            </w:pPr>
            <w:r>
              <w:rPr>
                <w:rFonts w:cs="Times New Roman"/>
                <w:sz w:val="21"/>
                <w:szCs w:val="18"/>
              </w:rPr>
              <w:t>单位面积VOCs产生量≤60g/m</w:t>
            </w:r>
            <w:r>
              <w:rPr>
                <w:rFonts w:cs="Times New Roman"/>
                <w:sz w:val="21"/>
                <w:szCs w:val="18"/>
                <w:vertAlign w:val="superscript"/>
              </w:rPr>
              <w:t>2</w:t>
            </w:r>
            <w:r>
              <w:rPr>
                <w:rFonts w:cs="Times New Roman"/>
                <w:sz w:val="21"/>
                <w:szCs w:val="18"/>
              </w:rPr>
              <w:t>，I级</w:t>
            </w:r>
            <w:r>
              <w:rPr>
                <w:rFonts w:cs="Times New Roman"/>
                <w:kern w:val="2"/>
                <w:sz w:val="21"/>
                <w:szCs w:val="21"/>
              </w:rPr>
              <w:t>基准值</w:t>
            </w:r>
          </w:p>
        </w:tc>
      </w:tr>
      <w:tr w14:paraId="6F2F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7D7B9239">
            <w:pPr>
              <w:pStyle w:val="14"/>
              <w:spacing w:line="280" w:lineRule="exact"/>
              <w:ind w:left="0" w:firstLine="0"/>
              <w:jc w:val="center"/>
              <w:rPr>
                <w:rFonts w:cs="Times New Roman"/>
                <w:sz w:val="21"/>
                <w:szCs w:val="18"/>
              </w:rPr>
            </w:pPr>
            <w:r>
              <w:rPr>
                <w:rFonts w:cs="Times New Roman"/>
                <w:sz w:val="21"/>
                <w:szCs w:val="18"/>
              </w:rPr>
              <w:t>11</w:t>
            </w:r>
          </w:p>
        </w:tc>
        <w:tc>
          <w:tcPr>
            <w:tcW w:w="233" w:type="pct"/>
            <w:vMerge w:val="continue"/>
            <w:vAlign w:val="center"/>
          </w:tcPr>
          <w:p w14:paraId="427C14D4">
            <w:pPr>
              <w:pStyle w:val="14"/>
              <w:spacing w:line="280" w:lineRule="exact"/>
              <w:ind w:left="0" w:firstLine="0"/>
              <w:jc w:val="center"/>
              <w:rPr>
                <w:rFonts w:cs="Times New Roman"/>
                <w:sz w:val="21"/>
                <w:szCs w:val="18"/>
              </w:rPr>
            </w:pPr>
          </w:p>
        </w:tc>
        <w:tc>
          <w:tcPr>
            <w:tcW w:w="369" w:type="pct"/>
            <w:vMerge w:val="continue"/>
            <w:vAlign w:val="center"/>
          </w:tcPr>
          <w:p w14:paraId="0F22B578">
            <w:pPr>
              <w:pStyle w:val="14"/>
              <w:spacing w:line="280" w:lineRule="exact"/>
              <w:ind w:left="0" w:firstLine="0"/>
              <w:jc w:val="center"/>
              <w:rPr>
                <w:rFonts w:cs="Times New Roman"/>
                <w:sz w:val="21"/>
                <w:szCs w:val="18"/>
              </w:rPr>
            </w:pPr>
          </w:p>
        </w:tc>
        <w:tc>
          <w:tcPr>
            <w:tcW w:w="909" w:type="pct"/>
            <w:gridSpan w:val="2"/>
            <w:vAlign w:val="center"/>
          </w:tcPr>
          <w:p w14:paraId="192FC161">
            <w:pPr>
              <w:pStyle w:val="14"/>
              <w:spacing w:line="280" w:lineRule="exact"/>
              <w:ind w:left="0" w:firstLine="0"/>
              <w:jc w:val="center"/>
              <w:rPr>
                <w:rFonts w:cs="Times New Roman"/>
                <w:sz w:val="21"/>
                <w:szCs w:val="18"/>
              </w:rPr>
            </w:pPr>
            <w:r>
              <w:rPr>
                <w:rFonts w:cs="Times New Roman"/>
                <w:sz w:val="21"/>
                <w:szCs w:val="18"/>
              </w:rPr>
              <w:t>单位面积CODcr产生量*</w:t>
            </w:r>
          </w:p>
        </w:tc>
        <w:tc>
          <w:tcPr>
            <w:tcW w:w="324" w:type="pct"/>
            <w:vAlign w:val="center"/>
          </w:tcPr>
          <w:p w14:paraId="5332B1F3">
            <w:pPr>
              <w:pStyle w:val="14"/>
              <w:spacing w:line="280" w:lineRule="exact"/>
              <w:ind w:left="0" w:firstLine="0"/>
              <w:jc w:val="center"/>
              <w:rPr>
                <w:rFonts w:cs="Times New Roman"/>
                <w:sz w:val="21"/>
                <w:szCs w:val="18"/>
              </w:rPr>
            </w:pPr>
            <w:r>
              <w:rPr>
                <w:rFonts w:cs="Times New Roman"/>
                <w:sz w:val="21"/>
                <w:szCs w:val="18"/>
              </w:rPr>
              <w:t>g/m</w:t>
            </w:r>
            <w:r>
              <w:rPr>
                <w:rFonts w:cs="Times New Roman"/>
                <w:sz w:val="21"/>
                <w:szCs w:val="18"/>
                <w:vertAlign w:val="superscript"/>
              </w:rPr>
              <w:t>2</w:t>
            </w:r>
          </w:p>
        </w:tc>
        <w:tc>
          <w:tcPr>
            <w:tcW w:w="316" w:type="pct"/>
            <w:vAlign w:val="center"/>
          </w:tcPr>
          <w:p w14:paraId="43E8D424">
            <w:pPr>
              <w:pStyle w:val="14"/>
              <w:spacing w:line="280" w:lineRule="exact"/>
              <w:ind w:left="0" w:firstLine="0"/>
              <w:jc w:val="center"/>
              <w:rPr>
                <w:rFonts w:cs="Times New Roman"/>
                <w:sz w:val="21"/>
                <w:szCs w:val="18"/>
              </w:rPr>
            </w:pPr>
            <w:r>
              <w:rPr>
                <w:rFonts w:cs="Times New Roman"/>
                <w:sz w:val="21"/>
                <w:szCs w:val="18"/>
              </w:rPr>
              <w:t>0.35</w:t>
            </w:r>
          </w:p>
        </w:tc>
        <w:tc>
          <w:tcPr>
            <w:tcW w:w="735" w:type="pct"/>
            <w:vAlign w:val="center"/>
          </w:tcPr>
          <w:p w14:paraId="5101AFA3">
            <w:pPr>
              <w:pStyle w:val="14"/>
              <w:spacing w:line="280" w:lineRule="exact"/>
              <w:ind w:left="0" w:firstLine="0"/>
              <w:jc w:val="center"/>
              <w:rPr>
                <w:rFonts w:cs="Times New Roman"/>
                <w:sz w:val="21"/>
                <w:szCs w:val="18"/>
              </w:rPr>
            </w:pPr>
            <w:r>
              <w:rPr>
                <w:rFonts w:cs="Times New Roman"/>
                <w:sz w:val="21"/>
                <w:szCs w:val="18"/>
              </w:rPr>
              <w:t>≤2</w:t>
            </w:r>
          </w:p>
        </w:tc>
        <w:tc>
          <w:tcPr>
            <w:tcW w:w="536" w:type="pct"/>
            <w:vAlign w:val="center"/>
          </w:tcPr>
          <w:p w14:paraId="0084BD09">
            <w:pPr>
              <w:pStyle w:val="14"/>
              <w:spacing w:line="280" w:lineRule="exact"/>
              <w:ind w:left="0" w:firstLine="0"/>
              <w:jc w:val="center"/>
              <w:rPr>
                <w:rFonts w:cs="Times New Roman"/>
                <w:sz w:val="21"/>
                <w:szCs w:val="18"/>
              </w:rPr>
            </w:pPr>
            <w:r>
              <w:rPr>
                <w:rFonts w:cs="Times New Roman"/>
                <w:sz w:val="21"/>
                <w:szCs w:val="18"/>
              </w:rPr>
              <w:t>≤2.5</w:t>
            </w:r>
          </w:p>
        </w:tc>
        <w:tc>
          <w:tcPr>
            <w:tcW w:w="629" w:type="pct"/>
            <w:vAlign w:val="center"/>
          </w:tcPr>
          <w:p w14:paraId="5F190C89">
            <w:pPr>
              <w:pStyle w:val="14"/>
              <w:spacing w:line="280" w:lineRule="exact"/>
              <w:ind w:left="0" w:firstLine="0"/>
              <w:jc w:val="center"/>
              <w:rPr>
                <w:rFonts w:cs="Times New Roman"/>
                <w:sz w:val="21"/>
                <w:szCs w:val="18"/>
              </w:rPr>
            </w:pPr>
            <w:r>
              <w:rPr>
                <w:rFonts w:cs="Times New Roman"/>
                <w:sz w:val="21"/>
                <w:szCs w:val="18"/>
              </w:rPr>
              <w:t>≤3.5</w:t>
            </w:r>
          </w:p>
        </w:tc>
        <w:tc>
          <w:tcPr>
            <w:tcW w:w="624" w:type="pct"/>
            <w:vAlign w:val="center"/>
          </w:tcPr>
          <w:p w14:paraId="73DD6BBC">
            <w:pPr>
              <w:pStyle w:val="14"/>
              <w:spacing w:line="280" w:lineRule="exact"/>
              <w:ind w:left="0" w:firstLine="0"/>
              <w:jc w:val="center"/>
              <w:rPr>
                <w:rFonts w:cs="Times New Roman"/>
                <w:sz w:val="21"/>
                <w:szCs w:val="21"/>
              </w:rPr>
            </w:pPr>
            <w:r>
              <w:rPr>
                <w:rFonts w:cs="Times New Roman"/>
                <w:sz w:val="21"/>
                <w:szCs w:val="18"/>
              </w:rPr>
              <w:t>--</w:t>
            </w:r>
          </w:p>
        </w:tc>
      </w:tr>
      <w:tr w14:paraId="03CA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5" w:type="pct"/>
            <w:vAlign w:val="center"/>
          </w:tcPr>
          <w:p w14:paraId="54C08041">
            <w:pPr>
              <w:pStyle w:val="14"/>
              <w:spacing w:line="280" w:lineRule="exact"/>
              <w:ind w:left="0" w:firstLine="0"/>
              <w:jc w:val="center"/>
              <w:rPr>
                <w:rFonts w:cs="Times New Roman"/>
                <w:sz w:val="21"/>
                <w:szCs w:val="18"/>
              </w:rPr>
            </w:pPr>
            <w:r>
              <w:rPr>
                <w:rFonts w:cs="Times New Roman"/>
                <w:sz w:val="21"/>
                <w:szCs w:val="18"/>
              </w:rPr>
              <w:t>12</w:t>
            </w:r>
          </w:p>
        </w:tc>
        <w:tc>
          <w:tcPr>
            <w:tcW w:w="233" w:type="pct"/>
            <w:vMerge w:val="continue"/>
            <w:vAlign w:val="center"/>
          </w:tcPr>
          <w:p w14:paraId="0EB2F931">
            <w:pPr>
              <w:pStyle w:val="14"/>
              <w:spacing w:line="280" w:lineRule="exact"/>
              <w:ind w:left="0" w:firstLine="0"/>
              <w:jc w:val="center"/>
              <w:rPr>
                <w:rFonts w:cs="Times New Roman"/>
                <w:sz w:val="21"/>
                <w:szCs w:val="18"/>
              </w:rPr>
            </w:pPr>
          </w:p>
        </w:tc>
        <w:tc>
          <w:tcPr>
            <w:tcW w:w="369" w:type="pct"/>
            <w:vMerge w:val="continue"/>
            <w:vAlign w:val="center"/>
          </w:tcPr>
          <w:p w14:paraId="39F3735F">
            <w:pPr>
              <w:pStyle w:val="14"/>
              <w:spacing w:line="280" w:lineRule="exact"/>
              <w:ind w:left="0" w:firstLine="0"/>
              <w:jc w:val="center"/>
              <w:rPr>
                <w:rFonts w:cs="Times New Roman"/>
                <w:sz w:val="21"/>
                <w:szCs w:val="18"/>
              </w:rPr>
            </w:pPr>
          </w:p>
        </w:tc>
        <w:tc>
          <w:tcPr>
            <w:tcW w:w="909" w:type="pct"/>
            <w:gridSpan w:val="2"/>
            <w:vAlign w:val="center"/>
          </w:tcPr>
          <w:p w14:paraId="203EB39A">
            <w:pPr>
              <w:pStyle w:val="14"/>
              <w:spacing w:line="280" w:lineRule="exact"/>
              <w:ind w:left="0" w:firstLine="0"/>
              <w:jc w:val="center"/>
              <w:rPr>
                <w:rFonts w:cs="Times New Roman"/>
                <w:sz w:val="21"/>
                <w:szCs w:val="18"/>
              </w:rPr>
            </w:pPr>
            <w:r>
              <w:rPr>
                <w:rFonts w:cs="Times New Roman"/>
                <w:sz w:val="21"/>
                <w:szCs w:val="18"/>
              </w:rPr>
              <w:t>单位面积的危险废物</w:t>
            </w:r>
          </w:p>
          <w:p w14:paraId="72FC414C">
            <w:pPr>
              <w:pStyle w:val="14"/>
              <w:spacing w:line="280" w:lineRule="exact"/>
              <w:ind w:left="0" w:firstLine="0"/>
              <w:jc w:val="center"/>
              <w:rPr>
                <w:rFonts w:cs="Times New Roman"/>
                <w:sz w:val="21"/>
                <w:szCs w:val="18"/>
              </w:rPr>
            </w:pPr>
            <w:r>
              <w:rPr>
                <w:rFonts w:cs="Times New Roman"/>
                <w:sz w:val="21"/>
                <w:szCs w:val="18"/>
              </w:rPr>
              <w:t>产生量*</w:t>
            </w:r>
          </w:p>
        </w:tc>
        <w:tc>
          <w:tcPr>
            <w:tcW w:w="324" w:type="pct"/>
            <w:vAlign w:val="center"/>
          </w:tcPr>
          <w:p w14:paraId="22022195">
            <w:pPr>
              <w:pStyle w:val="14"/>
              <w:spacing w:line="280" w:lineRule="exact"/>
              <w:ind w:left="0" w:firstLine="0"/>
              <w:jc w:val="center"/>
              <w:rPr>
                <w:rFonts w:cs="Times New Roman"/>
                <w:sz w:val="21"/>
                <w:szCs w:val="18"/>
              </w:rPr>
            </w:pPr>
            <w:r>
              <w:rPr>
                <w:rFonts w:cs="Times New Roman"/>
                <w:sz w:val="21"/>
                <w:szCs w:val="18"/>
              </w:rPr>
              <w:t>g/m</w:t>
            </w:r>
            <w:r>
              <w:rPr>
                <w:rFonts w:cs="Times New Roman"/>
                <w:sz w:val="21"/>
                <w:szCs w:val="18"/>
                <w:vertAlign w:val="superscript"/>
              </w:rPr>
              <w:t>2</w:t>
            </w:r>
          </w:p>
        </w:tc>
        <w:tc>
          <w:tcPr>
            <w:tcW w:w="316" w:type="pct"/>
            <w:vAlign w:val="center"/>
          </w:tcPr>
          <w:p w14:paraId="1062632B">
            <w:pPr>
              <w:pStyle w:val="14"/>
              <w:spacing w:line="280" w:lineRule="exact"/>
              <w:ind w:left="0" w:firstLine="0"/>
              <w:jc w:val="center"/>
              <w:rPr>
                <w:rFonts w:cs="Times New Roman"/>
                <w:sz w:val="21"/>
                <w:szCs w:val="18"/>
              </w:rPr>
            </w:pPr>
            <w:r>
              <w:rPr>
                <w:rFonts w:cs="Times New Roman"/>
                <w:sz w:val="21"/>
                <w:szCs w:val="18"/>
              </w:rPr>
              <w:t>0.30</w:t>
            </w:r>
          </w:p>
        </w:tc>
        <w:tc>
          <w:tcPr>
            <w:tcW w:w="735" w:type="pct"/>
            <w:vAlign w:val="center"/>
          </w:tcPr>
          <w:p w14:paraId="443B405A">
            <w:pPr>
              <w:pStyle w:val="14"/>
              <w:spacing w:line="280" w:lineRule="exact"/>
              <w:ind w:left="0" w:firstLine="0"/>
              <w:jc w:val="center"/>
              <w:rPr>
                <w:rFonts w:cs="Times New Roman"/>
                <w:sz w:val="21"/>
                <w:szCs w:val="18"/>
              </w:rPr>
            </w:pPr>
            <w:r>
              <w:rPr>
                <w:rFonts w:cs="Times New Roman"/>
                <w:sz w:val="21"/>
                <w:szCs w:val="18"/>
              </w:rPr>
              <w:t>≤90</w:t>
            </w:r>
          </w:p>
        </w:tc>
        <w:tc>
          <w:tcPr>
            <w:tcW w:w="536" w:type="pct"/>
            <w:vAlign w:val="center"/>
          </w:tcPr>
          <w:p w14:paraId="5F4576EB">
            <w:pPr>
              <w:pStyle w:val="14"/>
              <w:spacing w:line="280" w:lineRule="exact"/>
              <w:ind w:left="0" w:firstLine="0"/>
              <w:jc w:val="center"/>
              <w:rPr>
                <w:rFonts w:cs="Times New Roman"/>
                <w:sz w:val="21"/>
                <w:szCs w:val="18"/>
              </w:rPr>
            </w:pPr>
            <w:r>
              <w:rPr>
                <w:rFonts w:cs="Times New Roman"/>
                <w:sz w:val="21"/>
                <w:szCs w:val="18"/>
              </w:rPr>
              <w:t>≤110</w:t>
            </w:r>
          </w:p>
        </w:tc>
        <w:tc>
          <w:tcPr>
            <w:tcW w:w="629" w:type="pct"/>
            <w:vAlign w:val="center"/>
          </w:tcPr>
          <w:p w14:paraId="0C6C7632">
            <w:pPr>
              <w:pStyle w:val="14"/>
              <w:spacing w:line="280" w:lineRule="exact"/>
              <w:ind w:left="0" w:firstLine="0"/>
              <w:jc w:val="center"/>
              <w:rPr>
                <w:rFonts w:cs="Times New Roman"/>
                <w:sz w:val="21"/>
                <w:szCs w:val="18"/>
              </w:rPr>
            </w:pPr>
            <w:r>
              <w:rPr>
                <w:rFonts w:cs="Times New Roman"/>
                <w:sz w:val="21"/>
                <w:szCs w:val="18"/>
              </w:rPr>
              <w:t>≤160</w:t>
            </w:r>
          </w:p>
        </w:tc>
        <w:tc>
          <w:tcPr>
            <w:tcW w:w="624" w:type="pct"/>
            <w:vAlign w:val="center"/>
          </w:tcPr>
          <w:p w14:paraId="0E87D119">
            <w:pPr>
              <w:pStyle w:val="14"/>
              <w:spacing w:line="280" w:lineRule="exact"/>
              <w:ind w:left="0" w:firstLine="0"/>
              <w:jc w:val="center"/>
              <w:rPr>
                <w:rFonts w:cs="Times New Roman"/>
                <w:sz w:val="21"/>
                <w:szCs w:val="18"/>
              </w:rPr>
            </w:pPr>
            <w:r>
              <w:rPr>
                <w:rFonts w:cs="Times New Roman"/>
                <w:sz w:val="21"/>
                <w:szCs w:val="18"/>
              </w:rPr>
              <w:t>单位面积的危险废物产生量≤90g/m</w:t>
            </w:r>
            <w:r>
              <w:rPr>
                <w:rFonts w:cs="Times New Roman"/>
                <w:sz w:val="21"/>
                <w:szCs w:val="18"/>
                <w:vertAlign w:val="superscript"/>
              </w:rPr>
              <w:t>2</w:t>
            </w:r>
            <w:r>
              <w:rPr>
                <w:rFonts w:cs="Times New Roman"/>
                <w:sz w:val="21"/>
                <w:szCs w:val="21"/>
              </w:rPr>
              <w:t>，I级基准值</w:t>
            </w:r>
          </w:p>
        </w:tc>
      </w:tr>
      <w:tr w14:paraId="2C97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1"/>
            <w:vAlign w:val="center"/>
          </w:tcPr>
          <w:p w14:paraId="03A8444D">
            <w:pPr>
              <w:spacing w:line="280" w:lineRule="exact"/>
              <w:rPr>
                <w:rFonts w:ascii="Times New Roman"/>
                <w:sz w:val="21"/>
                <w:szCs w:val="21"/>
              </w:rPr>
            </w:pPr>
            <w:r>
              <w:rPr>
                <w:rFonts w:ascii="Times New Roman"/>
                <w:sz w:val="21"/>
                <w:szCs w:val="21"/>
              </w:rPr>
              <w:t>注1：单位面积的污染物产生量按照实际喷涂面积计算，单位产品综合耗能按照实际总面积计算。</w:t>
            </w:r>
          </w:p>
          <w:p w14:paraId="0EFE2846">
            <w:pPr>
              <w:spacing w:line="280" w:lineRule="exact"/>
              <w:rPr>
                <w:rFonts w:ascii="Times New Roman"/>
                <w:sz w:val="21"/>
                <w:szCs w:val="21"/>
              </w:rPr>
            </w:pPr>
            <w:r>
              <w:rPr>
                <w:rFonts w:ascii="Times New Roman"/>
                <w:sz w:val="21"/>
                <w:szCs w:val="21"/>
              </w:rPr>
              <w:t>注2：VOCs处理设施是作为工艺设备之一，单位面积VOCs产生量是指处理设施处理后出口的含量。</w:t>
            </w:r>
          </w:p>
          <w:p w14:paraId="57FB3EC0">
            <w:pPr>
              <w:spacing w:line="280" w:lineRule="exact"/>
              <w:rPr>
                <w:rFonts w:ascii="Times New Roman"/>
                <w:sz w:val="21"/>
                <w:szCs w:val="21"/>
              </w:rPr>
            </w:pPr>
            <w:r>
              <w:rPr>
                <w:rFonts w:ascii="Times New Roman"/>
                <w:sz w:val="21"/>
                <w:szCs w:val="21"/>
              </w:rPr>
              <w:t>注3：底漆、中涂、面漆VOCs含量指的是涂料包装物的VOCs重量百分比，固体份含量指的是包装物的固体份重量百分比；喷枪清洗液VOCs含量指的是施工状态的喷枪清洗液VOCs含量。</w:t>
            </w:r>
          </w:p>
          <w:p w14:paraId="47DF15B7">
            <w:pPr>
              <w:spacing w:line="280" w:lineRule="exact"/>
              <w:rPr>
                <w:rFonts w:ascii="Times New Roman"/>
                <w:sz w:val="21"/>
                <w:szCs w:val="21"/>
              </w:rPr>
            </w:pPr>
            <w:r>
              <w:rPr>
                <w:rFonts w:ascii="Times New Roman"/>
                <w:sz w:val="21"/>
                <w:szCs w:val="21"/>
              </w:rPr>
              <w:t>注4：资源和能源消耗指标分为两种考核方式：单位面积综合能耗、单位重量综合能耗；当涂装产品壁厚≥3mm，可选用单位重量综合能耗作为考核指标。</w:t>
            </w:r>
          </w:p>
          <w:p w14:paraId="65C5D2E6">
            <w:pPr>
              <w:spacing w:line="280" w:lineRule="exact"/>
              <w:rPr>
                <w:rFonts w:ascii="Times New Roman"/>
                <w:sz w:val="21"/>
                <w:szCs w:val="21"/>
              </w:rPr>
            </w:pPr>
            <w:r>
              <w:rPr>
                <w:rFonts w:ascii="Times New Roman"/>
                <w:sz w:val="21"/>
                <w:szCs w:val="21"/>
              </w:rPr>
              <w:t>注5：漆雾捕集效率，新一代文丘里漆雾捕集装置，干式漆雾捕集装置（石灰石法、静电法）的漆雾捕集效率均≥95%，普通文丘里、水旋漆雾捕集装置的漆雾捕集效率≥90%，新一代水帘漆雾捕集装置的漆雾捕集效率≥85%。</w:t>
            </w:r>
          </w:p>
        </w:tc>
      </w:tr>
      <w:tr w14:paraId="50AE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11"/>
            <w:vAlign w:val="center"/>
          </w:tcPr>
          <w:p w14:paraId="2AE41DE4">
            <w:pPr>
              <w:spacing w:line="280" w:lineRule="exact"/>
              <w:rPr>
                <w:rFonts w:ascii="Times New Roman"/>
                <w:sz w:val="21"/>
                <w:szCs w:val="21"/>
              </w:rPr>
            </w:pPr>
            <w:r>
              <w:rPr>
                <w:rFonts w:ascii="Times New Roman"/>
                <w:sz w:val="21"/>
                <w:szCs w:val="21"/>
              </w:rPr>
              <w:t>b节水技术应用包括：湿式喷漆室有循环系统、除渣措施，干式喷漆室为节水型设备或其他节水的新技术应用（应用以上技术之一即可）。</w:t>
            </w:r>
          </w:p>
          <w:p w14:paraId="0A17CB07">
            <w:pPr>
              <w:spacing w:line="280" w:lineRule="exact"/>
              <w:rPr>
                <w:rFonts w:ascii="Times New Roman"/>
                <w:sz w:val="21"/>
                <w:szCs w:val="21"/>
              </w:rPr>
            </w:pPr>
            <w:r>
              <w:rPr>
                <w:rFonts w:ascii="Times New Roman"/>
                <w:sz w:val="21"/>
                <w:szCs w:val="21"/>
              </w:rPr>
              <w:t>c节能技术应用包括：余热利用；应用变频电机等节能措施，可按需调节水量、风量、能耗；喷漆室应用循环风技术；烘干室采用桥式、风幕等防止热气外溢的节能措施；厚壁产品、大型（重量大）产品涂层应用辐射等节能加热方式；排气能源回收利用；应用简洁、节能的工艺；应用中低温固化的涂料；具有良好的保温措施；或其他节约能耗的新技术应用（应用以上技术之一即可）。</w:t>
            </w:r>
          </w:p>
          <w:p w14:paraId="511CE8E2">
            <w:pPr>
              <w:spacing w:line="280" w:lineRule="exact"/>
              <w:rPr>
                <w:rFonts w:ascii="Times New Roman"/>
                <w:sz w:val="21"/>
                <w:szCs w:val="21"/>
              </w:rPr>
            </w:pPr>
            <w:r>
              <w:rPr>
                <w:rFonts w:ascii="Times New Roman"/>
                <w:sz w:val="21"/>
                <w:szCs w:val="21"/>
              </w:rPr>
              <w:t>e废溶剂收集、处理：换色、洗枪、管道清洗产生的废溶剂需要全部收集，废溶剂处理可委外处理，此废溶剂不计入单位面积的CODcr产生量。</w:t>
            </w:r>
          </w:p>
          <w:p w14:paraId="528D5485">
            <w:pPr>
              <w:spacing w:line="280" w:lineRule="exact"/>
              <w:rPr>
                <w:rFonts w:ascii="Times New Roman"/>
                <w:sz w:val="21"/>
                <w:szCs w:val="21"/>
              </w:rPr>
            </w:pPr>
            <w:r>
              <w:rPr>
                <w:rFonts w:ascii="Times New Roman"/>
                <w:sz w:val="21"/>
                <w:szCs w:val="21"/>
              </w:rPr>
              <w:t>j加热装置多级调节：燃油、燃气为比例调节；电加热为调功器调节；蒸气为流量、压力调节阀；包括温度可调。</w:t>
            </w:r>
          </w:p>
          <w:p w14:paraId="2FCA96DE">
            <w:pPr>
              <w:spacing w:line="280" w:lineRule="exact"/>
              <w:rPr>
                <w:rFonts w:ascii="Times New Roman"/>
                <w:sz w:val="21"/>
                <w:szCs w:val="21"/>
              </w:rPr>
            </w:pPr>
            <w:r>
              <w:rPr>
                <w:rFonts w:ascii="Times New Roman"/>
                <w:sz w:val="21"/>
                <w:szCs w:val="21"/>
              </w:rPr>
              <w:t>*为限定性指标。</w:t>
            </w:r>
          </w:p>
        </w:tc>
      </w:tr>
    </w:tbl>
    <w:p w14:paraId="2450AC97">
      <w:pPr>
        <w:autoSpaceDE w:val="0"/>
        <w:autoSpaceDN w:val="0"/>
        <w:adjustRightInd w:val="0"/>
        <w:spacing w:line="480" w:lineRule="exact"/>
        <w:ind w:firstLine="480" w:firstLineChars="200"/>
        <w:jc w:val="left"/>
        <w:rPr>
          <w:rFonts w:ascii="Times New Roman"/>
          <w:sz w:val="24"/>
          <w:szCs w:val="20"/>
        </w:rPr>
      </w:pPr>
      <w:r>
        <w:rPr>
          <w:rFonts w:ascii="Times New Roman"/>
          <w:sz w:val="24"/>
          <w:szCs w:val="20"/>
        </w:rPr>
        <w:t>综合上表分析可知，本项目大部分指标属于I级基准值，按照《涂装行业清洁生产评价指标体系》中的指标基准值及说明，该定量指标体系的评价基准值代表了行业清洁生产的先进水平。因此，本项目清洁生产水平属于国内先进水平。</w:t>
      </w:r>
    </w:p>
    <w:p w14:paraId="7DA22A6A">
      <w:pPr>
        <w:autoSpaceDE w:val="0"/>
        <w:autoSpaceDN w:val="0"/>
        <w:adjustRightInd w:val="0"/>
        <w:spacing w:line="480" w:lineRule="exact"/>
        <w:ind w:firstLine="480" w:firstLineChars="200"/>
        <w:jc w:val="left"/>
        <w:rPr>
          <w:rFonts w:ascii="Times New Roman"/>
          <w:sz w:val="24"/>
          <w:szCs w:val="20"/>
        </w:rPr>
      </w:pPr>
      <w:r>
        <w:rPr>
          <w:rFonts w:ascii="Times New Roman"/>
          <w:sz w:val="24"/>
          <w:szCs w:val="20"/>
        </w:rPr>
        <w:t>综上分析，项目利用国内先进的生产技术以及国内外先进生产设备，生产中严格控制能耗和物耗，可以有效的防止能源浪费和环境污染，符合国家相关政策，该项目在生产全过程控制中贯彻了预防为主的清洁生产思想，项目清洁生产属于国内先进水平。</w:t>
      </w:r>
    </w:p>
    <w:p w14:paraId="6DADEBD2">
      <w:pPr>
        <w:autoSpaceDE w:val="0"/>
        <w:autoSpaceDN w:val="0"/>
        <w:adjustRightInd w:val="0"/>
        <w:spacing w:line="480" w:lineRule="exact"/>
        <w:ind w:firstLine="480" w:firstLineChars="200"/>
        <w:jc w:val="left"/>
        <w:rPr>
          <w:rFonts w:ascii="Times New Roman"/>
          <w:sz w:val="24"/>
          <w:szCs w:val="20"/>
        </w:rPr>
      </w:pPr>
      <w:r>
        <w:rPr>
          <w:rFonts w:ascii="Times New Roman"/>
          <w:sz w:val="24"/>
          <w:szCs w:val="20"/>
        </w:rPr>
        <w:t>针对本项目工程特点，提出如下清洁生产方面的建议：</w:t>
      </w:r>
    </w:p>
    <w:p w14:paraId="779A119A">
      <w:pPr>
        <w:autoSpaceDE w:val="0"/>
        <w:autoSpaceDN w:val="0"/>
        <w:adjustRightInd w:val="0"/>
        <w:spacing w:line="480" w:lineRule="exact"/>
        <w:ind w:firstLine="480" w:firstLineChars="200"/>
        <w:jc w:val="left"/>
        <w:rPr>
          <w:rFonts w:ascii="Times New Roman"/>
          <w:sz w:val="24"/>
          <w:szCs w:val="20"/>
        </w:rPr>
      </w:pPr>
      <w:r>
        <w:rPr>
          <w:rFonts w:ascii="Times New Roman"/>
          <w:sz w:val="24"/>
          <w:szCs w:val="20"/>
        </w:rPr>
        <w:t>（1）建议项目建设完成后，建设单位尽快进行ISO14001认证，并委托专业清洁生产审计机构，根据实际生产情况和实测数据进行项目清洁生产审计与评价，挖掘企业清洁生产潜力，进一步提高企业清洁生产水平。</w:t>
      </w:r>
    </w:p>
    <w:p w14:paraId="054FCF93">
      <w:pPr>
        <w:autoSpaceDE w:val="0"/>
        <w:autoSpaceDN w:val="0"/>
        <w:adjustRightInd w:val="0"/>
        <w:spacing w:line="480" w:lineRule="exact"/>
        <w:ind w:firstLine="480" w:firstLineChars="200"/>
        <w:jc w:val="left"/>
        <w:rPr>
          <w:rFonts w:ascii="Times New Roman"/>
          <w:sz w:val="24"/>
          <w:szCs w:val="20"/>
        </w:rPr>
      </w:pPr>
      <w:r>
        <w:rPr>
          <w:rFonts w:ascii="Times New Roman"/>
          <w:sz w:val="24"/>
          <w:szCs w:val="20"/>
        </w:rPr>
        <w:t>（2）在生产厂房等产生高噪声的污染的工位单独封闭隔声，并且将产生的固体废物分类暂存，及时清运。</w:t>
      </w:r>
    </w:p>
    <w:p w14:paraId="7D2BC08F">
      <w:pPr>
        <w:autoSpaceDE w:val="0"/>
        <w:autoSpaceDN w:val="0"/>
        <w:adjustRightInd w:val="0"/>
        <w:spacing w:line="480" w:lineRule="exact"/>
        <w:ind w:firstLine="480" w:firstLineChars="200"/>
        <w:jc w:val="left"/>
        <w:rPr>
          <w:rFonts w:ascii="Times New Roman"/>
          <w:sz w:val="24"/>
          <w:szCs w:val="20"/>
        </w:rPr>
      </w:pPr>
      <w:r>
        <w:rPr>
          <w:rFonts w:ascii="Times New Roman"/>
          <w:sz w:val="24"/>
          <w:szCs w:val="20"/>
        </w:rPr>
        <w:t>（3）遵循“节能、降耗、减污、增效”的原则，加强对各生产工序的监控和管理，将清洁生产工作成果纳入日常管理，建立和完善清洁生产组织、制度，使全厂自觉形成不断改善清洁生产的有效制度体系</w:t>
      </w:r>
    </w:p>
    <w:p w14:paraId="1C22E016">
      <w:pPr>
        <w:autoSpaceDE w:val="0"/>
        <w:autoSpaceDN w:val="0"/>
        <w:adjustRightInd w:val="0"/>
        <w:spacing w:line="480" w:lineRule="exact"/>
        <w:ind w:firstLine="480" w:firstLineChars="200"/>
        <w:jc w:val="left"/>
        <w:rPr>
          <w:rFonts w:ascii="Times New Roman"/>
          <w:sz w:val="24"/>
          <w:szCs w:val="20"/>
        </w:rPr>
        <w:sectPr>
          <w:pgSz w:w="16838" w:h="11906" w:orient="landscape"/>
          <w:pgMar w:top="1797" w:right="1440" w:bottom="1797" w:left="1440" w:header="1474" w:footer="1474" w:gutter="0"/>
          <w:cols w:space="720" w:num="1"/>
          <w:docGrid w:linePitch="340" w:charSpace="0"/>
        </w:sectPr>
      </w:pPr>
      <w:r>
        <w:rPr>
          <w:rFonts w:ascii="Times New Roman"/>
          <w:sz w:val="24"/>
          <w:szCs w:val="20"/>
        </w:rPr>
        <w:t>（4）根据《重污染天气重点行业移动源应急管理技术指南》、《重污染天气应急减排措施技术指南工业涂装》等要求，厂内非道路移动机械使用新能源机械，物料公路运输使用达到国五及以上排放标准重型载货车辆（含燃气）或新能源车辆，同运输车辆建立门禁系统及电子台账。</w:t>
      </w:r>
    </w:p>
    <w:p w14:paraId="54D44160">
      <w:pPr>
        <w:widowControl/>
        <w:spacing w:line="520" w:lineRule="exact"/>
        <w:jc w:val="left"/>
        <w:outlineLvl w:val="1"/>
        <w:rPr>
          <w:rFonts w:ascii="Times New Roman"/>
          <w:b/>
          <w:sz w:val="30"/>
          <w:szCs w:val="30"/>
        </w:rPr>
      </w:pPr>
      <w:bookmarkStart w:id="163" w:name="_Toc12622"/>
      <w:r>
        <w:rPr>
          <w:rFonts w:ascii="Times New Roman"/>
          <w:b/>
          <w:sz w:val="30"/>
          <w:szCs w:val="30"/>
        </w:rPr>
        <w:t>3.10污染物排放汇总</w:t>
      </w:r>
      <w:bookmarkEnd w:id="163"/>
    </w:p>
    <w:p w14:paraId="43CF5D48">
      <w:pPr>
        <w:spacing w:line="520" w:lineRule="exact"/>
        <w:outlineLvl w:val="2"/>
        <w:rPr>
          <w:rFonts w:ascii="Times New Roman"/>
          <w:b/>
          <w:sz w:val="28"/>
          <w:szCs w:val="28"/>
        </w:rPr>
      </w:pPr>
      <w:r>
        <w:rPr>
          <w:rFonts w:ascii="Times New Roman"/>
          <w:b/>
          <w:sz w:val="28"/>
          <w:szCs w:val="28"/>
        </w:rPr>
        <w:t>3.10.1项目污染物排放情况汇总</w:t>
      </w:r>
    </w:p>
    <w:p w14:paraId="192DBBBF">
      <w:pPr>
        <w:spacing w:line="480" w:lineRule="exact"/>
        <w:ind w:firstLine="480" w:firstLineChars="200"/>
        <w:jc w:val="left"/>
        <w:rPr>
          <w:rFonts w:ascii="Times New Roman"/>
          <w:sz w:val="24"/>
          <w:szCs w:val="20"/>
        </w:rPr>
      </w:pPr>
      <w:r>
        <w:rPr>
          <w:rFonts w:ascii="Times New Roman"/>
          <w:sz w:val="24"/>
          <w:szCs w:val="20"/>
        </w:rPr>
        <w:t>项目主要污染物排放情况见下表：</w:t>
      </w:r>
    </w:p>
    <w:p w14:paraId="3A0ECE4F">
      <w:pPr>
        <w:spacing w:line="480" w:lineRule="exact"/>
        <w:jc w:val="center"/>
        <w:rPr>
          <w:rFonts w:ascii="Times New Roman"/>
          <w:b/>
          <w:bCs/>
          <w:sz w:val="24"/>
          <w:szCs w:val="20"/>
        </w:rPr>
      </w:pPr>
      <w:r>
        <w:rPr>
          <w:rFonts w:ascii="Times New Roman"/>
          <w:b/>
          <w:bCs/>
          <w:sz w:val="24"/>
          <w:szCs w:val="20"/>
        </w:rPr>
        <w:t>表3.10-1  项目主要污染物排放情况汇总表</w:t>
      </w:r>
    </w:p>
    <w:tbl>
      <w:tblPr>
        <w:tblStyle w:val="8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06"/>
        <w:gridCol w:w="1361"/>
        <w:gridCol w:w="2293"/>
        <w:gridCol w:w="1740"/>
        <w:gridCol w:w="1765"/>
      </w:tblGrid>
      <w:tr w14:paraId="50A8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73" w:type="dxa"/>
            <w:vAlign w:val="center"/>
          </w:tcPr>
          <w:p w14:paraId="69BC4424">
            <w:pPr>
              <w:jc w:val="center"/>
              <w:rPr>
                <w:rFonts w:ascii="Times New Roman"/>
                <w:sz w:val="21"/>
                <w:szCs w:val="21"/>
              </w:rPr>
            </w:pPr>
            <w:r>
              <w:rPr>
                <w:rFonts w:ascii="Times New Roman"/>
                <w:sz w:val="21"/>
                <w:szCs w:val="21"/>
              </w:rPr>
              <w:t>类别</w:t>
            </w:r>
          </w:p>
        </w:tc>
        <w:tc>
          <w:tcPr>
            <w:tcW w:w="4360" w:type="dxa"/>
            <w:gridSpan w:val="3"/>
            <w:vAlign w:val="center"/>
          </w:tcPr>
          <w:p w14:paraId="4079DAEC">
            <w:pPr>
              <w:jc w:val="center"/>
              <w:rPr>
                <w:rFonts w:ascii="Times New Roman"/>
                <w:sz w:val="21"/>
                <w:szCs w:val="21"/>
              </w:rPr>
            </w:pPr>
            <w:r>
              <w:rPr>
                <w:rFonts w:ascii="Times New Roman"/>
                <w:sz w:val="21"/>
                <w:szCs w:val="21"/>
              </w:rPr>
              <w:t>污染物</w:t>
            </w:r>
          </w:p>
        </w:tc>
        <w:tc>
          <w:tcPr>
            <w:tcW w:w="1740" w:type="dxa"/>
            <w:vAlign w:val="center"/>
          </w:tcPr>
          <w:p w14:paraId="4AB8C258">
            <w:pPr>
              <w:jc w:val="center"/>
              <w:rPr>
                <w:rFonts w:ascii="Times New Roman"/>
                <w:sz w:val="21"/>
                <w:szCs w:val="21"/>
              </w:rPr>
            </w:pPr>
            <w:r>
              <w:rPr>
                <w:rFonts w:ascii="Times New Roman"/>
                <w:sz w:val="21"/>
                <w:szCs w:val="21"/>
              </w:rPr>
              <w:t>产生量t/a</w:t>
            </w:r>
          </w:p>
        </w:tc>
        <w:tc>
          <w:tcPr>
            <w:tcW w:w="1765" w:type="dxa"/>
            <w:vAlign w:val="center"/>
          </w:tcPr>
          <w:p w14:paraId="4E94D361">
            <w:pPr>
              <w:jc w:val="center"/>
              <w:rPr>
                <w:rFonts w:ascii="Times New Roman"/>
                <w:sz w:val="21"/>
                <w:szCs w:val="21"/>
              </w:rPr>
            </w:pPr>
            <w:r>
              <w:rPr>
                <w:rFonts w:ascii="Times New Roman"/>
                <w:sz w:val="21"/>
                <w:szCs w:val="21"/>
              </w:rPr>
              <w:t>排放量t/a</w:t>
            </w:r>
          </w:p>
        </w:tc>
      </w:tr>
      <w:tr w14:paraId="02D8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restart"/>
            <w:vAlign w:val="center"/>
          </w:tcPr>
          <w:p w14:paraId="42B0C692">
            <w:pPr>
              <w:jc w:val="center"/>
              <w:rPr>
                <w:rFonts w:ascii="Times New Roman"/>
                <w:sz w:val="21"/>
                <w:szCs w:val="21"/>
              </w:rPr>
            </w:pPr>
            <w:r>
              <w:rPr>
                <w:rFonts w:ascii="Times New Roman"/>
                <w:sz w:val="21"/>
                <w:szCs w:val="21"/>
              </w:rPr>
              <w:t>废气</w:t>
            </w:r>
          </w:p>
        </w:tc>
        <w:tc>
          <w:tcPr>
            <w:tcW w:w="706" w:type="dxa"/>
            <w:vMerge w:val="restart"/>
            <w:vAlign w:val="center"/>
          </w:tcPr>
          <w:p w14:paraId="1E220C36">
            <w:pPr>
              <w:jc w:val="center"/>
              <w:rPr>
                <w:rFonts w:ascii="Times New Roman"/>
                <w:sz w:val="21"/>
                <w:szCs w:val="21"/>
              </w:rPr>
            </w:pPr>
            <w:r>
              <w:rPr>
                <w:rFonts w:ascii="Times New Roman"/>
                <w:sz w:val="21"/>
                <w:szCs w:val="21"/>
              </w:rPr>
              <w:t>有组织</w:t>
            </w:r>
          </w:p>
        </w:tc>
        <w:tc>
          <w:tcPr>
            <w:tcW w:w="1361" w:type="dxa"/>
            <w:vAlign w:val="center"/>
          </w:tcPr>
          <w:p w14:paraId="77F04F3C">
            <w:pPr>
              <w:jc w:val="center"/>
              <w:rPr>
                <w:rFonts w:ascii="Times New Roman"/>
                <w:sz w:val="21"/>
                <w:szCs w:val="21"/>
              </w:rPr>
            </w:pPr>
            <w:r>
              <w:rPr>
                <w:rFonts w:hint="eastAsia" w:ascii="Times New Roman"/>
                <w:sz w:val="21"/>
                <w:szCs w:val="21"/>
              </w:rPr>
              <w:t>DA001</w:t>
            </w:r>
          </w:p>
        </w:tc>
        <w:tc>
          <w:tcPr>
            <w:tcW w:w="2293" w:type="dxa"/>
            <w:vAlign w:val="center"/>
          </w:tcPr>
          <w:p w14:paraId="5E861059">
            <w:pPr>
              <w:jc w:val="center"/>
              <w:rPr>
                <w:rFonts w:ascii="Times New Roman"/>
                <w:sz w:val="21"/>
                <w:szCs w:val="21"/>
              </w:rPr>
            </w:pPr>
            <w:r>
              <w:rPr>
                <w:rFonts w:ascii="Times New Roman"/>
                <w:sz w:val="21"/>
                <w:szCs w:val="21"/>
              </w:rPr>
              <w:t>颗粒物</w:t>
            </w:r>
          </w:p>
        </w:tc>
        <w:tc>
          <w:tcPr>
            <w:tcW w:w="1740" w:type="dxa"/>
            <w:shd w:val="clear" w:color="auto" w:fill="auto"/>
            <w:vAlign w:val="center"/>
          </w:tcPr>
          <w:p w14:paraId="204E4DC3">
            <w:pPr>
              <w:jc w:val="center"/>
              <w:rPr>
                <w:rFonts w:ascii="Times New Roman"/>
                <w:sz w:val="21"/>
                <w:szCs w:val="21"/>
                <w:lang w:bidi="zh-TW"/>
              </w:rPr>
            </w:pPr>
            <w:r>
              <w:rPr>
                <w:rFonts w:ascii="Times New Roman"/>
                <w:sz w:val="21"/>
                <w:szCs w:val="21"/>
              </w:rPr>
              <w:t>99.75</w:t>
            </w:r>
          </w:p>
        </w:tc>
        <w:tc>
          <w:tcPr>
            <w:tcW w:w="1765" w:type="dxa"/>
            <w:shd w:val="clear" w:color="auto" w:fill="auto"/>
            <w:vAlign w:val="center"/>
          </w:tcPr>
          <w:p w14:paraId="6A0E43E2">
            <w:pPr>
              <w:jc w:val="center"/>
              <w:rPr>
                <w:rFonts w:ascii="Times New Roman"/>
                <w:sz w:val="21"/>
                <w:szCs w:val="21"/>
                <w:lang w:bidi="zh-TW"/>
              </w:rPr>
            </w:pPr>
            <w:r>
              <w:rPr>
                <w:rFonts w:ascii="Times New Roman"/>
                <w:sz w:val="21"/>
                <w:szCs w:val="21"/>
                <w:lang w:bidi="zh-TW"/>
              </w:rPr>
              <w:t>0.9</w:t>
            </w:r>
            <w:r>
              <w:rPr>
                <w:rFonts w:hint="eastAsia" w:ascii="Times New Roman"/>
                <w:sz w:val="21"/>
                <w:szCs w:val="21"/>
                <w:lang w:bidi="zh-TW"/>
              </w:rPr>
              <w:t>48</w:t>
            </w:r>
          </w:p>
        </w:tc>
      </w:tr>
      <w:tr w14:paraId="6D97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4F533BBB">
            <w:pPr>
              <w:jc w:val="center"/>
              <w:rPr>
                <w:rFonts w:ascii="Times New Roman"/>
                <w:sz w:val="21"/>
                <w:szCs w:val="21"/>
              </w:rPr>
            </w:pPr>
          </w:p>
        </w:tc>
        <w:tc>
          <w:tcPr>
            <w:tcW w:w="706" w:type="dxa"/>
            <w:vMerge w:val="continue"/>
            <w:vAlign w:val="center"/>
          </w:tcPr>
          <w:p w14:paraId="09D408D0">
            <w:pPr>
              <w:jc w:val="center"/>
              <w:rPr>
                <w:rFonts w:ascii="Times New Roman"/>
                <w:sz w:val="21"/>
                <w:szCs w:val="21"/>
              </w:rPr>
            </w:pPr>
          </w:p>
        </w:tc>
        <w:tc>
          <w:tcPr>
            <w:tcW w:w="1361" w:type="dxa"/>
            <w:vAlign w:val="center"/>
          </w:tcPr>
          <w:p w14:paraId="261570AE">
            <w:pPr>
              <w:jc w:val="center"/>
              <w:rPr>
                <w:rFonts w:ascii="Times New Roman"/>
                <w:sz w:val="21"/>
                <w:szCs w:val="21"/>
              </w:rPr>
            </w:pPr>
            <w:r>
              <w:rPr>
                <w:rFonts w:hint="eastAsia" w:ascii="Times New Roman"/>
                <w:sz w:val="21"/>
                <w:szCs w:val="21"/>
              </w:rPr>
              <w:t>DA002</w:t>
            </w:r>
          </w:p>
        </w:tc>
        <w:tc>
          <w:tcPr>
            <w:tcW w:w="2293" w:type="dxa"/>
            <w:vAlign w:val="center"/>
          </w:tcPr>
          <w:p w14:paraId="62B3776F">
            <w:pPr>
              <w:jc w:val="center"/>
              <w:rPr>
                <w:rFonts w:ascii="Times New Roman"/>
                <w:sz w:val="21"/>
                <w:szCs w:val="21"/>
              </w:rPr>
            </w:pPr>
            <w:r>
              <w:rPr>
                <w:rFonts w:ascii="Times New Roman"/>
                <w:snapToGrid w:val="0"/>
                <w:sz w:val="21"/>
                <w:szCs w:val="21"/>
              </w:rPr>
              <w:t>颗粒物</w:t>
            </w:r>
          </w:p>
        </w:tc>
        <w:tc>
          <w:tcPr>
            <w:tcW w:w="1740" w:type="dxa"/>
            <w:shd w:val="clear" w:color="auto" w:fill="auto"/>
            <w:vAlign w:val="center"/>
          </w:tcPr>
          <w:p w14:paraId="09F97B0E">
            <w:pPr>
              <w:jc w:val="center"/>
              <w:rPr>
                <w:rFonts w:ascii="Times New Roman"/>
                <w:sz w:val="21"/>
                <w:szCs w:val="21"/>
                <w:lang w:bidi="zh-TW"/>
              </w:rPr>
            </w:pPr>
            <w:r>
              <w:rPr>
                <w:rFonts w:hint="eastAsia" w:ascii="Times New Roman"/>
                <w:sz w:val="21"/>
                <w:szCs w:val="21"/>
              </w:rPr>
              <w:t>1.516</w:t>
            </w:r>
          </w:p>
        </w:tc>
        <w:tc>
          <w:tcPr>
            <w:tcW w:w="1765" w:type="dxa"/>
            <w:shd w:val="clear" w:color="auto" w:fill="auto"/>
            <w:vAlign w:val="center"/>
          </w:tcPr>
          <w:p w14:paraId="375C5C33">
            <w:pPr>
              <w:jc w:val="center"/>
              <w:rPr>
                <w:rFonts w:ascii="Times New Roman"/>
                <w:sz w:val="21"/>
                <w:szCs w:val="21"/>
                <w:lang w:bidi="zh-TW"/>
              </w:rPr>
            </w:pPr>
            <w:r>
              <w:rPr>
                <w:rFonts w:hint="eastAsia" w:ascii="Times New Roman"/>
                <w:sz w:val="21"/>
                <w:szCs w:val="21"/>
              </w:rPr>
              <w:t>0.014</w:t>
            </w:r>
          </w:p>
        </w:tc>
      </w:tr>
      <w:tr w14:paraId="62F0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0C921E4B">
            <w:pPr>
              <w:jc w:val="center"/>
              <w:rPr>
                <w:rFonts w:ascii="Times New Roman"/>
                <w:sz w:val="21"/>
                <w:szCs w:val="21"/>
              </w:rPr>
            </w:pPr>
          </w:p>
        </w:tc>
        <w:tc>
          <w:tcPr>
            <w:tcW w:w="706" w:type="dxa"/>
            <w:vMerge w:val="continue"/>
            <w:vAlign w:val="center"/>
          </w:tcPr>
          <w:p w14:paraId="79B85FD0">
            <w:pPr>
              <w:jc w:val="center"/>
              <w:rPr>
                <w:rFonts w:ascii="Times New Roman"/>
                <w:sz w:val="21"/>
                <w:szCs w:val="21"/>
              </w:rPr>
            </w:pPr>
          </w:p>
        </w:tc>
        <w:tc>
          <w:tcPr>
            <w:tcW w:w="1361" w:type="dxa"/>
            <w:vAlign w:val="center"/>
          </w:tcPr>
          <w:p w14:paraId="7ACCEA8C">
            <w:pPr>
              <w:jc w:val="center"/>
              <w:rPr>
                <w:rFonts w:ascii="Times New Roman"/>
                <w:sz w:val="21"/>
                <w:szCs w:val="21"/>
              </w:rPr>
            </w:pPr>
            <w:r>
              <w:rPr>
                <w:rFonts w:hint="eastAsia" w:ascii="Times New Roman"/>
                <w:sz w:val="21"/>
                <w:szCs w:val="21"/>
              </w:rPr>
              <w:t>DA003</w:t>
            </w:r>
          </w:p>
        </w:tc>
        <w:tc>
          <w:tcPr>
            <w:tcW w:w="2293" w:type="dxa"/>
            <w:shd w:val="clear" w:color="auto" w:fill="auto"/>
            <w:vAlign w:val="center"/>
          </w:tcPr>
          <w:p w14:paraId="57620A2C">
            <w:pPr>
              <w:jc w:val="center"/>
              <w:rPr>
                <w:rFonts w:ascii="Times New Roman"/>
                <w:sz w:val="21"/>
                <w:szCs w:val="21"/>
              </w:rPr>
            </w:pPr>
            <w:r>
              <w:rPr>
                <w:rFonts w:ascii="Times New Roman"/>
                <w:sz w:val="21"/>
                <w:szCs w:val="21"/>
              </w:rPr>
              <w:t>颗粒物</w:t>
            </w:r>
          </w:p>
        </w:tc>
        <w:tc>
          <w:tcPr>
            <w:tcW w:w="1740" w:type="dxa"/>
            <w:shd w:val="clear" w:color="auto" w:fill="auto"/>
            <w:vAlign w:val="center"/>
          </w:tcPr>
          <w:p w14:paraId="65ABDA5A">
            <w:pPr>
              <w:jc w:val="center"/>
              <w:rPr>
                <w:rFonts w:ascii="Times New Roman"/>
                <w:sz w:val="21"/>
                <w:szCs w:val="21"/>
              </w:rPr>
            </w:pPr>
            <w:r>
              <w:rPr>
                <w:rFonts w:ascii="Times New Roman"/>
                <w:sz w:val="21"/>
                <w:szCs w:val="21"/>
              </w:rPr>
              <w:t>1.838</w:t>
            </w:r>
          </w:p>
        </w:tc>
        <w:tc>
          <w:tcPr>
            <w:tcW w:w="1765" w:type="dxa"/>
            <w:shd w:val="clear" w:color="auto" w:fill="auto"/>
            <w:vAlign w:val="center"/>
          </w:tcPr>
          <w:p w14:paraId="2A0C5039">
            <w:pPr>
              <w:jc w:val="center"/>
              <w:rPr>
                <w:rFonts w:ascii="Times New Roman"/>
                <w:sz w:val="21"/>
                <w:szCs w:val="21"/>
                <w:lang w:bidi="zh-TW"/>
              </w:rPr>
            </w:pPr>
            <w:r>
              <w:rPr>
                <w:rFonts w:hint="eastAsia" w:ascii="Times New Roman"/>
                <w:sz w:val="21"/>
                <w:szCs w:val="21"/>
              </w:rPr>
              <w:t>0.016</w:t>
            </w:r>
          </w:p>
        </w:tc>
      </w:tr>
      <w:tr w14:paraId="01B4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4FE0EFD0">
            <w:pPr>
              <w:jc w:val="center"/>
              <w:rPr>
                <w:rFonts w:ascii="Times New Roman"/>
                <w:sz w:val="21"/>
                <w:szCs w:val="21"/>
              </w:rPr>
            </w:pPr>
          </w:p>
        </w:tc>
        <w:tc>
          <w:tcPr>
            <w:tcW w:w="706" w:type="dxa"/>
            <w:vMerge w:val="continue"/>
            <w:vAlign w:val="center"/>
          </w:tcPr>
          <w:p w14:paraId="7ECB9E99">
            <w:pPr>
              <w:jc w:val="center"/>
              <w:rPr>
                <w:rFonts w:ascii="Times New Roman"/>
                <w:sz w:val="21"/>
                <w:szCs w:val="21"/>
              </w:rPr>
            </w:pPr>
          </w:p>
        </w:tc>
        <w:tc>
          <w:tcPr>
            <w:tcW w:w="1361" w:type="dxa"/>
            <w:vAlign w:val="center"/>
          </w:tcPr>
          <w:p w14:paraId="0280CE70">
            <w:pPr>
              <w:jc w:val="center"/>
              <w:rPr>
                <w:rFonts w:ascii="Times New Roman"/>
                <w:sz w:val="21"/>
                <w:szCs w:val="21"/>
              </w:rPr>
            </w:pPr>
            <w:r>
              <w:rPr>
                <w:rFonts w:hint="eastAsia" w:ascii="Times New Roman"/>
                <w:sz w:val="21"/>
                <w:szCs w:val="21"/>
              </w:rPr>
              <w:t>DA004</w:t>
            </w:r>
          </w:p>
        </w:tc>
        <w:tc>
          <w:tcPr>
            <w:tcW w:w="2293" w:type="dxa"/>
            <w:shd w:val="clear" w:color="auto" w:fill="auto"/>
            <w:vAlign w:val="center"/>
          </w:tcPr>
          <w:p w14:paraId="23F5242D">
            <w:pPr>
              <w:jc w:val="center"/>
              <w:rPr>
                <w:rFonts w:ascii="Times New Roman"/>
                <w:sz w:val="21"/>
                <w:szCs w:val="21"/>
              </w:rPr>
            </w:pPr>
            <w:r>
              <w:rPr>
                <w:rFonts w:ascii="Times New Roman"/>
                <w:snapToGrid w:val="0"/>
                <w:sz w:val="21"/>
                <w:szCs w:val="21"/>
              </w:rPr>
              <w:t>颗粒物</w:t>
            </w:r>
          </w:p>
        </w:tc>
        <w:tc>
          <w:tcPr>
            <w:tcW w:w="1740" w:type="dxa"/>
            <w:shd w:val="clear" w:color="auto" w:fill="auto"/>
            <w:vAlign w:val="center"/>
          </w:tcPr>
          <w:p w14:paraId="0D7F911A">
            <w:pPr>
              <w:jc w:val="center"/>
              <w:rPr>
                <w:rFonts w:ascii="Times New Roman"/>
                <w:sz w:val="21"/>
                <w:szCs w:val="21"/>
              </w:rPr>
            </w:pPr>
            <w:r>
              <w:rPr>
                <w:rFonts w:ascii="Times New Roman"/>
                <w:sz w:val="21"/>
                <w:szCs w:val="21"/>
              </w:rPr>
              <w:t>1.562</w:t>
            </w:r>
          </w:p>
        </w:tc>
        <w:tc>
          <w:tcPr>
            <w:tcW w:w="1765" w:type="dxa"/>
            <w:shd w:val="clear" w:color="auto" w:fill="auto"/>
            <w:vAlign w:val="center"/>
          </w:tcPr>
          <w:p w14:paraId="1D532BC0">
            <w:pPr>
              <w:jc w:val="center"/>
              <w:rPr>
                <w:rFonts w:ascii="Times New Roman"/>
                <w:sz w:val="21"/>
                <w:szCs w:val="21"/>
                <w:lang w:bidi="zh-TW"/>
              </w:rPr>
            </w:pPr>
            <w:r>
              <w:rPr>
                <w:rFonts w:hint="eastAsia" w:ascii="Times New Roman"/>
                <w:sz w:val="21"/>
                <w:szCs w:val="21"/>
              </w:rPr>
              <w:t>0.014</w:t>
            </w:r>
          </w:p>
        </w:tc>
      </w:tr>
      <w:tr w14:paraId="1C8D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221806BB">
            <w:pPr>
              <w:jc w:val="center"/>
              <w:rPr>
                <w:rFonts w:ascii="Times New Roman"/>
                <w:sz w:val="21"/>
                <w:szCs w:val="21"/>
              </w:rPr>
            </w:pPr>
          </w:p>
        </w:tc>
        <w:tc>
          <w:tcPr>
            <w:tcW w:w="706" w:type="dxa"/>
            <w:vMerge w:val="continue"/>
            <w:vAlign w:val="center"/>
          </w:tcPr>
          <w:p w14:paraId="5A68C376">
            <w:pPr>
              <w:jc w:val="center"/>
              <w:rPr>
                <w:rFonts w:ascii="Times New Roman"/>
                <w:sz w:val="21"/>
                <w:szCs w:val="21"/>
              </w:rPr>
            </w:pPr>
          </w:p>
        </w:tc>
        <w:tc>
          <w:tcPr>
            <w:tcW w:w="1361" w:type="dxa"/>
            <w:vMerge w:val="restart"/>
            <w:vAlign w:val="center"/>
          </w:tcPr>
          <w:p w14:paraId="5D4BBFB4">
            <w:pPr>
              <w:jc w:val="center"/>
              <w:rPr>
                <w:rFonts w:ascii="Times New Roman"/>
                <w:sz w:val="21"/>
                <w:szCs w:val="21"/>
              </w:rPr>
            </w:pPr>
            <w:r>
              <w:rPr>
                <w:rFonts w:hint="eastAsia" w:ascii="Times New Roman"/>
                <w:sz w:val="21"/>
                <w:szCs w:val="21"/>
              </w:rPr>
              <w:t>DA005</w:t>
            </w:r>
          </w:p>
        </w:tc>
        <w:tc>
          <w:tcPr>
            <w:tcW w:w="2293" w:type="dxa"/>
            <w:vAlign w:val="center"/>
          </w:tcPr>
          <w:p w14:paraId="40D9E10B">
            <w:pPr>
              <w:jc w:val="center"/>
              <w:rPr>
                <w:rFonts w:ascii="Times New Roman"/>
                <w:sz w:val="21"/>
                <w:szCs w:val="21"/>
              </w:rPr>
            </w:pPr>
            <w:r>
              <w:rPr>
                <w:rFonts w:ascii="Times New Roman"/>
                <w:snapToGrid w:val="0"/>
                <w:sz w:val="21"/>
                <w:szCs w:val="21"/>
              </w:rPr>
              <w:t>颗粒物</w:t>
            </w:r>
          </w:p>
        </w:tc>
        <w:tc>
          <w:tcPr>
            <w:tcW w:w="1740" w:type="dxa"/>
            <w:shd w:val="clear" w:color="auto" w:fill="auto"/>
            <w:vAlign w:val="center"/>
          </w:tcPr>
          <w:p w14:paraId="51C6E4F1">
            <w:pPr>
              <w:jc w:val="center"/>
              <w:rPr>
                <w:rFonts w:ascii="Times New Roman"/>
                <w:sz w:val="21"/>
                <w:szCs w:val="21"/>
                <w:lang w:bidi="zh-TW"/>
              </w:rPr>
            </w:pPr>
            <w:r>
              <w:rPr>
                <w:rFonts w:ascii="Times New Roman"/>
                <w:sz w:val="21"/>
                <w:szCs w:val="21"/>
              </w:rPr>
              <w:t>0.254</w:t>
            </w:r>
          </w:p>
        </w:tc>
        <w:tc>
          <w:tcPr>
            <w:tcW w:w="1765" w:type="dxa"/>
            <w:shd w:val="clear" w:color="auto" w:fill="auto"/>
            <w:vAlign w:val="center"/>
          </w:tcPr>
          <w:p w14:paraId="20B723FE">
            <w:pPr>
              <w:jc w:val="center"/>
              <w:rPr>
                <w:rFonts w:ascii="Times New Roman"/>
                <w:sz w:val="21"/>
                <w:szCs w:val="21"/>
                <w:lang w:bidi="zh-TW"/>
              </w:rPr>
            </w:pPr>
            <w:r>
              <w:rPr>
                <w:rFonts w:ascii="Times New Roman"/>
                <w:sz w:val="21"/>
                <w:szCs w:val="21"/>
              </w:rPr>
              <w:t>0.254</w:t>
            </w:r>
          </w:p>
        </w:tc>
      </w:tr>
      <w:tr w14:paraId="2B18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36742DDD">
            <w:pPr>
              <w:jc w:val="center"/>
              <w:rPr>
                <w:rFonts w:ascii="Times New Roman"/>
                <w:sz w:val="21"/>
                <w:szCs w:val="21"/>
              </w:rPr>
            </w:pPr>
          </w:p>
        </w:tc>
        <w:tc>
          <w:tcPr>
            <w:tcW w:w="706" w:type="dxa"/>
            <w:vMerge w:val="continue"/>
            <w:vAlign w:val="center"/>
          </w:tcPr>
          <w:p w14:paraId="7D4A38FA">
            <w:pPr>
              <w:jc w:val="center"/>
              <w:rPr>
                <w:rFonts w:ascii="Times New Roman"/>
                <w:sz w:val="21"/>
                <w:szCs w:val="21"/>
              </w:rPr>
            </w:pPr>
          </w:p>
        </w:tc>
        <w:tc>
          <w:tcPr>
            <w:tcW w:w="1361" w:type="dxa"/>
            <w:vMerge w:val="continue"/>
            <w:vAlign w:val="center"/>
          </w:tcPr>
          <w:p w14:paraId="5F108A84">
            <w:pPr>
              <w:jc w:val="center"/>
              <w:rPr>
                <w:rFonts w:ascii="Times New Roman"/>
                <w:sz w:val="21"/>
                <w:szCs w:val="21"/>
              </w:rPr>
            </w:pPr>
          </w:p>
        </w:tc>
        <w:tc>
          <w:tcPr>
            <w:tcW w:w="2293" w:type="dxa"/>
            <w:shd w:val="clear" w:color="auto" w:fill="auto"/>
            <w:vAlign w:val="center"/>
          </w:tcPr>
          <w:p w14:paraId="3AA8C532">
            <w:pPr>
              <w:jc w:val="center"/>
              <w:rPr>
                <w:rFonts w:ascii="Times New Roman"/>
                <w:snapToGrid w:val="0"/>
                <w:sz w:val="21"/>
                <w:szCs w:val="21"/>
              </w:rPr>
            </w:pPr>
            <w:r>
              <w:rPr>
                <w:rFonts w:ascii="Times New Roman"/>
                <w:snapToGrid w:val="0"/>
                <w:sz w:val="21"/>
                <w:szCs w:val="21"/>
              </w:rPr>
              <w:t>二氧化硫</w:t>
            </w:r>
          </w:p>
        </w:tc>
        <w:tc>
          <w:tcPr>
            <w:tcW w:w="1740" w:type="dxa"/>
            <w:shd w:val="clear" w:color="auto" w:fill="auto"/>
            <w:vAlign w:val="center"/>
          </w:tcPr>
          <w:p w14:paraId="55746DCC">
            <w:pPr>
              <w:jc w:val="center"/>
              <w:rPr>
                <w:rFonts w:ascii="Times New Roman"/>
                <w:sz w:val="21"/>
                <w:szCs w:val="21"/>
                <w:lang w:bidi="zh-TW"/>
              </w:rPr>
            </w:pPr>
            <w:r>
              <w:rPr>
                <w:rFonts w:ascii="Times New Roman"/>
                <w:sz w:val="21"/>
                <w:szCs w:val="21"/>
              </w:rPr>
              <w:t>0.036</w:t>
            </w:r>
          </w:p>
        </w:tc>
        <w:tc>
          <w:tcPr>
            <w:tcW w:w="1765" w:type="dxa"/>
            <w:shd w:val="clear" w:color="auto" w:fill="auto"/>
            <w:vAlign w:val="center"/>
          </w:tcPr>
          <w:p w14:paraId="5F97CF1A">
            <w:pPr>
              <w:jc w:val="center"/>
              <w:rPr>
                <w:rFonts w:ascii="Times New Roman"/>
                <w:sz w:val="21"/>
                <w:szCs w:val="21"/>
                <w:lang w:bidi="zh-TW"/>
              </w:rPr>
            </w:pPr>
            <w:r>
              <w:rPr>
                <w:rFonts w:ascii="Times New Roman"/>
                <w:sz w:val="21"/>
                <w:szCs w:val="21"/>
              </w:rPr>
              <w:t>0.036</w:t>
            </w:r>
          </w:p>
        </w:tc>
      </w:tr>
      <w:tr w14:paraId="0377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7FE0C774">
            <w:pPr>
              <w:jc w:val="center"/>
              <w:rPr>
                <w:rFonts w:ascii="Times New Roman"/>
                <w:sz w:val="21"/>
                <w:szCs w:val="21"/>
              </w:rPr>
            </w:pPr>
          </w:p>
        </w:tc>
        <w:tc>
          <w:tcPr>
            <w:tcW w:w="706" w:type="dxa"/>
            <w:vMerge w:val="continue"/>
            <w:vAlign w:val="center"/>
          </w:tcPr>
          <w:p w14:paraId="5FE80EBE">
            <w:pPr>
              <w:jc w:val="center"/>
              <w:rPr>
                <w:rFonts w:ascii="Times New Roman"/>
                <w:sz w:val="21"/>
                <w:szCs w:val="21"/>
              </w:rPr>
            </w:pPr>
          </w:p>
        </w:tc>
        <w:tc>
          <w:tcPr>
            <w:tcW w:w="1361" w:type="dxa"/>
            <w:vMerge w:val="continue"/>
            <w:vAlign w:val="center"/>
          </w:tcPr>
          <w:p w14:paraId="395255F6">
            <w:pPr>
              <w:jc w:val="center"/>
              <w:rPr>
                <w:rFonts w:ascii="Times New Roman"/>
                <w:sz w:val="21"/>
                <w:szCs w:val="21"/>
              </w:rPr>
            </w:pPr>
          </w:p>
        </w:tc>
        <w:tc>
          <w:tcPr>
            <w:tcW w:w="2293" w:type="dxa"/>
            <w:shd w:val="clear" w:color="auto" w:fill="auto"/>
            <w:vAlign w:val="center"/>
          </w:tcPr>
          <w:p w14:paraId="0C6D5F09">
            <w:pPr>
              <w:jc w:val="center"/>
              <w:rPr>
                <w:rFonts w:ascii="Times New Roman"/>
                <w:sz w:val="21"/>
                <w:szCs w:val="21"/>
              </w:rPr>
            </w:pPr>
            <w:r>
              <w:rPr>
                <w:rFonts w:ascii="Times New Roman"/>
                <w:snapToGrid w:val="0"/>
                <w:sz w:val="21"/>
                <w:szCs w:val="21"/>
              </w:rPr>
              <w:t>氮氧化物</w:t>
            </w:r>
          </w:p>
        </w:tc>
        <w:tc>
          <w:tcPr>
            <w:tcW w:w="1740" w:type="dxa"/>
            <w:shd w:val="clear" w:color="auto" w:fill="auto"/>
            <w:vAlign w:val="center"/>
          </w:tcPr>
          <w:p w14:paraId="7F564894">
            <w:pPr>
              <w:jc w:val="center"/>
              <w:rPr>
                <w:rFonts w:ascii="Times New Roman"/>
                <w:sz w:val="21"/>
                <w:szCs w:val="21"/>
                <w:lang w:bidi="zh-TW"/>
              </w:rPr>
            </w:pPr>
            <w:r>
              <w:rPr>
                <w:rFonts w:ascii="Times New Roman"/>
                <w:sz w:val="21"/>
                <w:szCs w:val="21"/>
              </w:rPr>
              <w:t>1.661</w:t>
            </w:r>
          </w:p>
        </w:tc>
        <w:tc>
          <w:tcPr>
            <w:tcW w:w="1765" w:type="dxa"/>
            <w:shd w:val="clear" w:color="auto" w:fill="auto"/>
            <w:vAlign w:val="center"/>
          </w:tcPr>
          <w:p w14:paraId="40566FAE">
            <w:pPr>
              <w:jc w:val="center"/>
              <w:rPr>
                <w:rFonts w:ascii="Times New Roman"/>
                <w:sz w:val="21"/>
                <w:szCs w:val="21"/>
                <w:lang w:bidi="zh-TW"/>
              </w:rPr>
            </w:pPr>
            <w:r>
              <w:rPr>
                <w:rFonts w:hint="eastAsia" w:ascii="Times New Roman"/>
                <w:sz w:val="21"/>
                <w:szCs w:val="21"/>
              </w:rPr>
              <w:t>0.831</w:t>
            </w:r>
          </w:p>
        </w:tc>
      </w:tr>
      <w:tr w14:paraId="4D0B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09DF9DDE">
            <w:pPr>
              <w:jc w:val="center"/>
              <w:rPr>
                <w:rFonts w:ascii="Times New Roman"/>
                <w:sz w:val="21"/>
                <w:szCs w:val="21"/>
              </w:rPr>
            </w:pPr>
          </w:p>
        </w:tc>
        <w:tc>
          <w:tcPr>
            <w:tcW w:w="706" w:type="dxa"/>
            <w:vMerge w:val="continue"/>
            <w:vAlign w:val="center"/>
          </w:tcPr>
          <w:p w14:paraId="094C0E00">
            <w:pPr>
              <w:jc w:val="center"/>
              <w:rPr>
                <w:rFonts w:ascii="Times New Roman"/>
                <w:sz w:val="21"/>
                <w:szCs w:val="21"/>
              </w:rPr>
            </w:pPr>
          </w:p>
        </w:tc>
        <w:tc>
          <w:tcPr>
            <w:tcW w:w="1361" w:type="dxa"/>
            <w:vMerge w:val="restart"/>
            <w:vAlign w:val="center"/>
          </w:tcPr>
          <w:p w14:paraId="475235C7">
            <w:pPr>
              <w:jc w:val="center"/>
              <w:rPr>
                <w:rFonts w:ascii="Times New Roman"/>
                <w:sz w:val="21"/>
                <w:szCs w:val="21"/>
              </w:rPr>
            </w:pPr>
            <w:r>
              <w:rPr>
                <w:rFonts w:hint="eastAsia" w:ascii="Times New Roman"/>
                <w:sz w:val="21"/>
                <w:szCs w:val="21"/>
              </w:rPr>
              <w:t>DA006</w:t>
            </w:r>
          </w:p>
        </w:tc>
        <w:tc>
          <w:tcPr>
            <w:tcW w:w="2293" w:type="dxa"/>
            <w:vAlign w:val="center"/>
          </w:tcPr>
          <w:p w14:paraId="33C028D8">
            <w:pPr>
              <w:jc w:val="center"/>
              <w:rPr>
                <w:rFonts w:ascii="Times New Roman"/>
                <w:sz w:val="21"/>
                <w:szCs w:val="21"/>
              </w:rPr>
            </w:pPr>
            <w:r>
              <w:rPr>
                <w:rFonts w:ascii="Times New Roman"/>
                <w:sz w:val="21"/>
                <w:szCs w:val="21"/>
              </w:rPr>
              <w:t>颗粒物</w:t>
            </w:r>
          </w:p>
        </w:tc>
        <w:tc>
          <w:tcPr>
            <w:tcW w:w="1740" w:type="dxa"/>
            <w:shd w:val="clear" w:color="auto" w:fill="auto"/>
            <w:vAlign w:val="center"/>
          </w:tcPr>
          <w:p w14:paraId="0FC977DD">
            <w:pPr>
              <w:jc w:val="center"/>
              <w:rPr>
                <w:rFonts w:ascii="Times New Roman"/>
                <w:sz w:val="21"/>
                <w:szCs w:val="21"/>
              </w:rPr>
            </w:pPr>
            <w:r>
              <w:rPr>
                <w:rFonts w:hint="eastAsia" w:ascii="Times New Roman"/>
                <w:sz w:val="21"/>
                <w:szCs w:val="21"/>
              </w:rPr>
              <w:t>16</w:t>
            </w:r>
          </w:p>
        </w:tc>
        <w:tc>
          <w:tcPr>
            <w:tcW w:w="1765" w:type="dxa"/>
            <w:shd w:val="clear" w:color="auto" w:fill="auto"/>
            <w:vAlign w:val="center"/>
          </w:tcPr>
          <w:p w14:paraId="5C4FD422">
            <w:pPr>
              <w:jc w:val="center"/>
              <w:rPr>
                <w:rFonts w:ascii="Times New Roman"/>
                <w:sz w:val="21"/>
                <w:szCs w:val="21"/>
              </w:rPr>
            </w:pPr>
            <w:r>
              <w:rPr>
                <w:rFonts w:hint="eastAsia" w:ascii="Times New Roman"/>
                <w:sz w:val="21"/>
                <w:szCs w:val="21"/>
              </w:rPr>
              <w:t>1.520</w:t>
            </w:r>
          </w:p>
        </w:tc>
      </w:tr>
      <w:tr w14:paraId="342D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737E49EC">
            <w:pPr>
              <w:jc w:val="center"/>
              <w:rPr>
                <w:rFonts w:ascii="Times New Roman"/>
                <w:sz w:val="21"/>
                <w:szCs w:val="21"/>
              </w:rPr>
            </w:pPr>
          </w:p>
        </w:tc>
        <w:tc>
          <w:tcPr>
            <w:tcW w:w="706" w:type="dxa"/>
            <w:vMerge w:val="continue"/>
            <w:vAlign w:val="center"/>
          </w:tcPr>
          <w:p w14:paraId="24E76B0A">
            <w:pPr>
              <w:jc w:val="center"/>
              <w:rPr>
                <w:rFonts w:ascii="Times New Roman"/>
                <w:sz w:val="21"/>
                <w:szCs w:val="21"/>
              </w:rPr>
            </w:pPr>
          </w:p>
        </w:tc>
        <w:tc>
          <w:tcPr>
            <w:tcW w:w="1361" w:type="dxa"/>
            <w:vMerge w:val="continue"/>
            <w:vAlign w:val="center"/>
          </w:tcPr>
          <w:p w14:paraId="11D47F5A">
            <w:pPr>
              <w:jc w:val="center"/>
              <w:rPr>
                <w:rFonts w:ascii="Times New Roman"/>
                <w:sz w:val="21"/>
                <w:szCs w:val="21"/>
              </w:rPr>
            </w:pPr>
          </w:p>
        </w:tc>
        <w:tc>
          <w:tcPr>
            <w:tcW w:w="2293" w:type="dxa"/>
            <w:vAlign w:val="center"/>
          </w:tcPr>
          <w:p w14:paraId="36256B42">
            <w:pPr>
              <w:jc w:val="center"/>
              <w:rPr>
                <w:rFonts w:ascii="Times New Roman"/>
                <w:sz w:val="21"/>
                <w:szCs w:val="21"/>
              </w:rPr>
            </w:pPr>
            <w:r>
              <w:rPr>
                <w:rFonts w:ascii="Times New Roman"/>
                <w:sz w:val="21"/>
                <w:szCs w:val="21"/>
              </w:rPr>
              <w:t>非甲烷总烃</w:t>
            </w:r>
          </w:p>
        </w:tc>
        <w:tc>
          <w:tcPr>
            <w:tcW w:w="1740" w:type="dxa"/>
            <w:shd w:val="clear" w:color="auto" w:fill="auto"/>
            <w:vAlign w:val="center"/>
          </w:tcPr>
          <w:p w14:paraId="39FB2F93">
            <w:pPr>
              <w:jc w:val="center"/>
              <w:rPr>
                <w:rFonts w:ascii="Times New Roman"/>
                <w:sz w:val="21"/>
                <w:szCs w:val="21"/>
              </w:rPr>
            </w:pPr>
            <w:r>
              <w:rPr>
                <w:rFonts w:hint="eastAsia" w:ascii="Times New Roman"/>
                <w:sz w:val="21"/>
                <w:szCs w:val="21"/>
              </w:rPr>
              <w:t>0.0008</w:t>
            </w:r>
          </w:p>
        </w:tc>
        <w:tc>
          <w:tcPr>
            <w:tcW w:w="1765" w:type="dxa"/>
            <w:shd w:val="clear" w:color="auto" w:fill="auto"/>
            <w:vAlign w:val="center"/>
          </w:tcPr>
          <w:p w14:paraId="08722027">
            <w:pPr>
              <w:jc w:val="center"/>
              <w:rPr>
                <w:rFonts w:ascii="Times New Roman"/>
                <w:sz w:val="21"/>
                <w:szCs w:val="21"/>
              </w:rPr>
            </w:pPr>
            <w:r>
              <w:rPr>
                <w:rFonts w:hint="eastAsia" w:ascii="Times New Roman"/>
                <w:sz w:val="21"/>
                <w:szCs w:val="21"/>
              </w:rPr>
              <w:t>0.0003</w:t>
            </w:r>
          </w:p>
        </w:tc>
      </w:tr>
      <w:tr w14:paraId="5CD5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20F35882">
            <w:pPr>
              <w:jc w:val="center"/>
              <w:rPr>
                <w:rFonts w:ascii="Times New Roman"/>
                <w:sz w:val="21"/>
                <w:szCs w:val="21"/>
              </w:rPr>
            </w:pPr>
          </w:p>
        </w:tc>
        <w:tc>
          <w:tcPr>
            <w:tcW w:w="706" w:type="dxa"/>
            <w:vMerge w:val="continue"/>
            <w:vAlign w:val="center"/>
          </w:tcPr>
          <w:p w14:paraId="210573EF">
            <w:pPr>
              <w:jc w:val="center"/>
              <w:rPr>
                <w:rFonts w:ascii="Times New Roman"/>
                <w:sz w:val="21"/>
                <w:szCs w:val="21"/>
              </w:rPr>
            </w:pPr>
          </w:p>
        </w:tc>
        <w:tc>
          <w:tcPr>
            <w:tcW w:w="1361" w:type="dxa"/>
            <w:vAlign w:val="center"/>
          </w:tcPr>
          <w:p w14:paraId="1D6AD021">
            <w:pPr>
              <w:jc w:val="center"/>
              <w:rPr>
                <w:rFonts w:ascii="Times New Roman"/>
                <w:sz w:val="21"/>
                <w:szCs w:val="21"/>
              </w:rPr>
            </w:pPr>
            <w:r>
              <w:rPr>
                <w:rFonts w:hint="eastAsia" w:ascii="Times New Roman"/>
                <w:sz w:val="21"/>
                <w:szCs w:val="21"/>
              </w:rPr>
              <w:t>DA007</w:t>
            </w:r>
          </w:p>
        </w:tc>
        <w:tc>
          <w:tcPr>
            <w:tcW w:w="2293" w:type="dxa"/>
            <w:vAlign w:val="center"/>
          </w:tcPr>
          <w:p w14:paraId="356758DB">
            <w:pPr>
              <w:jc w:val="center"/>
              <w:rPr>
                <w:rFonts w:ascii="Times New Roman"/>
                <w:sz w:val="21"/>
                <w:szCs w:val="21"/>
              </w:rPr>
            </w:pPr>
            <w:r>
              <w:rPr>
                <w:rFonts w:ascii="Times New Roman"/>
                <w:sz w:val="21"/>
                <w:szCs w:val="21"/>
              </w:rPr>
              <w:t>颗粒物</w:t>
            </w:r>
          </w:p>
        </w:tc>
        <w:tc>
          <w:tcPr>
            <w:tcW w:w="1740" w:type="dxa"/>
            <w:vAlign w:val="center"/>
          </w:tcPr>
          <w:p w14:paraId="6905EAC3">
            <w:pPr>
              <w:jc w:val="center"/>
              <w:rPr>
                <w:rFonts w:ascii="Times New Roman" w:eastAsia="Times New Roman"/>
                <w:sz w:val="21"/>
                <w:szCs w:val="21"/>
              </w:rPr>
            </w:pPr>
            <w:r>
              <w:rPr>
                <w:rFonts w:hint="eastAsia" w:ascii="Times New Roman" w:eastAsia="Times New Roman"/>
                <w:sz w:val="21"/>
                <w:szCs w:val="21"/>
              </w:rPr>
              <w:t>153.3</w:t>
            </w:r>
          </w:p>
        </w:tc>
        <w:tc>
          <w:tcPr>
            <w:tcW w:w="1765" w:type="dxa"/>
            <w:vAlign w:val="center"/>
          </w:tcPr>
          <w:p w14:paraId="047D8F55">
            <w:pPr>
              <w:jc w:val="center"/>
              <w:rPr>
                <w:rFonts w:ascii="Times New Roman" w:eastAsia="Times New Roman"/>
                <w:sz w:val="21"/>
                <w:szCs w:val="21"/>
              </w:rPr>
            </w:pPr>
            <w:r>
              <w:rPr>
                <w:rFonts w:hint="eastAsia" w:ascii="Times New Roman" w:eastAsia="Times New Roman"/>
                <w:sz w:val="21"/>
                <w:szCs w:val="21"/>
              </w:rPr>
              <w:t>0.153</w:t>
            </w:r>
          </w:p>
        </w:tc>
      </w:tr>
      <w:tr w14:paraId="3F46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7FE3AF9B">
            <w:pPr>
              <w:jc w:val="center"/>
              <w:rPr>
                <w:rFonts w:ascii="Times New Roman"/>
                <w:sz w:val="21"/>
                <w:szCs w:val="21"/>
              </w:rPr>
            </w:pPr>
          </w:p>
        </w:tc>
        <w:tc>
          <w:tcPr>
            <w:tcW w:w="706" w:type="dxa"/>
            <w:vMerge w:val="continue"/>
            <w:vAlign w:val="center"/>
          </w:tcPr>
          <w:p w14:paraId="28301FCA">
            <w:pPr>
              <w:jc w:val="center"/>
              <w:rPr>
                <w:rFonts w:ascii="Times New Roman"/>
                <w:sz w:val="21"/>
                <w:szCs w:val="21"/>
              </w:rPr>
            </w:pPr>
          </w:p>
        </w:tc>
        <w:tc>
          <w:tcPr>
            <w:tcW w:w="1361" w:type="dxa"/>
            <w:vAlign w:val="center"/>
          </w:tcPr>
          <w:p w14:paraId="47B12FB8">
            <w:pPr>
              <w:jc w:val="center"/>
              <w:rPr>
                <w:rFonts w:ascii="Times New Roman"/>
                <w:sz w:val="21"/>
                <w:szCs w:val="21"/>
              </w:rPr>
            </w:pPr>
            <w:r>
              <w:rPr>
                <w:rFonts w:hint="eastAsia" w:ascii="Times New Roman"/>
                <w:sz w:val="21"/>
                <w:szCs w:val="21"/>
              </w:rPr>
              <w:t>DA008</w:t>
            </w:r>
          </w:p>
        </w:tc>
        <w:tc>
          <w:tcPr>
            <w:tcW w:w="2293" w:type="dxa"/>
            <w:vAlign w:val="center"/>
          </w:tcPr>
          <w:p w14:paraId="349DE71A">
            <w:pPr>
              <w:jc w:val="center"/>
              <w:rPr>
                <w:rFonts w:ascii="Times New Roman"/>
                <w:sz w:val="21"/>
                <w:szCs w:val="21"/>
              </w:rPr>
            </w:pPr>
            <w:r>
              <w:rPr>
                <w:rFonts w:ascii="Times New Roman"/>
                <w:sz w:val="21"/>
                <w:szCs w:val="21"/>
              </w:rPr>
              <w:t>颗粒物</w:t>
            </w:r>
          </w:p>
        </w:tc>
        <w:tc>
          <w:tcPr>
            <w:tcW w:w="1740" w:type="dxa"/>
            <w:vAlign w:val="center"/>
          </w:tcPr>
          <w:p w14:paraId="3B5809BE">
            <w:pPr>
              <w:jc w:val="center"/>
              <w:rPr>
                <w:rFonts w:ascii="Times New Roman" w:eastAsia="Times New Roman"/>
                <w:sz w:val="21"/>
                <w:szCs w:val="21"/>
              </w:rPr>
            </w:pPr>
            <w:r>
              <w:rPr>
                <w:rFonts w:hint="eastAsia" w:ascii="Times New Roman" w:eastAsia="Times New Roman"/>
                <w:sz w:val="21"/>
                <w:szCs w:val="21"/>
              </w:rPr>
              <w:t>90</w:t>
            </w:r>
          </w:p>
        </w:tc>
        <w:tc>
          <w:tcPr>
            <w:tcW w:w="1765" w:type="dxa"/>
            <w:vAlign w:val="center"/>
          </w:tcPr>
          <w:p w14:paraId="35BEF970">
            <w:pPr>
              <w:jc w:val="center"/>
              <w:rPr>
                <w:rFonts w:ascii="Times New Roman" w:eastAsia="Times New Roman"/>
                <w:sz w:val="21"/>
                <w:szCs w:val="21"/>
              </w:rPr>
            </w:pPr>
            <w:r>
              <w:rPr>
                <w:rFonts w:ascii="Times New Roman" w:eastAsia="Times New Roman"/>
                <w:sz w:val="21"/>
                <w:szCs w:val="21"/>
              </w:rPr>
              <w:t>0.</w:t>
            </w:r>
            <w:r>
              <w:rPr>
                <w:rFonts w:hint="eastAsia" w:ascii="Times New Roman" w:eastAsia="Times New Roman"/>
                <w:sz w:val="21"/>
                <w:szCs w:val="21"/>
              </w:rPr>
              <w:t>855</w:t>
            </w:r>
          </w:p>
        </w:tc>
      </w:tr>
      <w:tr w14:paraId="4C0F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5A12D021">
            <w:pPr>
              <w:pStyle w:val="20"/>
              <w:ind w:firstLine="0"/>
              <w:jc w:val="center"/>
              <w:rPr>
                <w:szCs w:val="21"/>
              </w:rPr>
            </w:pPr>
          </w:p>
        </w:tc>
        <w:tc>
          <w:tcPr>
            <w:tcW w:w="706" w:type="dxa"/>
            <w:vMerge w:val="continue"/>
            <w:vAlign w:val="center"/>
          </w:tcPr>
          <w:p w14:paraId="0A41CB52">
            <w:pPr>
              <w:jc w:val="center"/>
              <w:rPr>
                <w:rFonts w:ascii="Times New Roman"/>
                <w:sz w:val="21"/>
                <w:szCs w:val="21"/>
              </w:rPr>
            </w:pPr>
          </w:p>
        </w:tc>
        <w:tc>
          <w:tcPr>
            <w:tcW w:w="1361" w:type="dxa"/>
            <w:vMerge w:val="restart"/>
            <w:vAlign w:val="center"/>
          </w:tcPr>
          <w:p w14:paraId="39498649">
            <w:pPr>
              <w:jc w:val="center"/>
              <w:rPr>
                <w:rFonts w:ascii="Times New Roman"/>
                <w:sz w:val="21"/>
                <w:szCs w:val="21"/>
              </w:rPr>
            </w:pPr>
            <w:r>
              <w:rPr>
                <w:rFonts w:hint="eastAsia" w:ascii="Times New Roman"/>
                <w:sz w:val="21"/>
                <w:szCs w:val="21"/>
              </w:rPr>
              <w:t>DA009</w:t>
            </w:r>
          </w:p>
        </w:tc>
        <w:tc>
          <w:tcPr>
            <w:tcW w:w="2293" w:type="dxa"/>
            <w:shd w:val="clear" w:color="auto" w:fill="auto"/>
            <w:vAlign w:val="center"/>
          </w:tcPr>
          <w:p w14:paraId="6CEED83E">
            <w:pPr>
              <w:jc w:val="center"/>
              <w:rPr>
                <w:rFonts w:ascii="Times New Roman"/>
                <w:sz w:val="21"/>
                <w:szCs w:val="21"/>
              </w:rPr>
            </w:pPr>
            <w:r>
              <w:rPr>
                <w:rFonts w:ascii="Times New Roman"/>
                <w:sz w:val="21"/>
                <w:szCs w:val="21"/>
              </w:rPr>
              <w:t>非甲烷总烃</w:t>
            </w:r>
          </w:p>
        </w:tc>
        <w:tc>
          <w:tcPr>
            <w:tcW w:w="1740" w:type="dxa"/>
            <w:vAlign w:val="center"/>
          </w:tcPr>
          <w:p w14:paraId="5349E0DD">
            <w:pPr>
              <w:jc w:val="center"/>
              <w:rPr>
                <w:rFonts w:ascii="Times New Roman"/>
                <w:sz w:val="21"/>
                <w:szCs w:val="21"/>
              </w:rPr>
            </w:pPr>
            <w:r>
              <w:rPr>
                <w:rFonts w:hint="eastAsia" w:ascii="Times New Roman"/>
                <w:sz w:val="21"/>
                <w:szCs w:val="21"/>
              </w:rPr>
              <w:t>348.52</w:t>
            </w:r>
          </w:p>
        </w:tc>
        <w:tc>
          <w:tcPr>
            <w:tcW w:w="1765" w:type="dxa"/>
            <w:vAlign w:val="center"/>
          </w:tcPr>
          <w:p w14:paraId="36C6E0EF">
            <w:pPr>
              <w:jc w:val="center"/>
              <w:rPr>
                <w:rFonts w:ascii="Times New Roman"/>
                <w:sz w:val="21"/>
                <w:szCs w:val="21"/>
              </w:rPr>
            </w:pPr>
            <w:r>
              <w:rPr>
                <w:rFonts w:hint="eastAsia" w:ascii="Times New Roman"/>
                <w:sz w:val="21"/>
                <w:szCs w:val="21"/>
              </w:rPr>
              <w:t>16.641</w:t>
            </w:r>
          </w:p>
        </w:tc>
      </w:tr>
      <w:tr w14:paraId="6E12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3FABF9A5">
            <w:pPr>
              <w:pStyle w:val="20"/>
              <w:ind w:firstLine="0"/>
              <w:jc w:val="center"/>
              <w:rPr>
                <w:szCs w:val="21"/>
              </w:rPr>
            </w:pPr>
          </w:p>
        </w:tc>
        <w:tc>
          <w:tcPr>
            <w:tcW w:w="706" w:type="dxa"/>
            <w:vMerge w:val="continue"/>
            <w:vAlign w:val="center"/>
          </w:tcPr>
          <w:p w14:paraId="11E515CA">
            <w:pPr>
              <w:jc w:val="center"/>
              <w:rPr>
                <w:rFonts w:ascii="Times New Roman"/>
                <w:sz w:val="21"/>
                <w:szCs w:val="21"/>
              </w:rPr>
            </w:pPr>
          </w:p>
        </w:tc>
        <w:tc>
          <w:tcPr>
            <w:tcW w:w="1361" w:type="dxa"/>
            <w:vMerge w:val="continue"/>
            <w:vAlign w:val="center"/>
          </w:tcPr>
          <w:p w14:paraId="03D4C836">
            <w:pPr>
              <w:jc w:val="center"/>
              <w:rPr>
                <w:rFonts w:ascii="Times New Roman"/>
                <w:sz w:val="21"/>
                <w:szCs w:val="21"/>
              </w:rPr>
            </w:pPr>
          </w:p>
        </w:tc>
        <w:tc>
          <w:tcPr>
            <w:tcW w:w="2293" w:type="dxa"/>
            <w:shd w:val="clear" w:color="auto" w:fill="auto"/>
            <w:vAlign w:val="center"/>
          </w:tcPr>
          <w:p w14:paraId="091FA954">
            <w:pPr>
              <w:jc w:val="center"/>
              <w:rPr>
                <w:rFonts w:ascii="Times New Roman"/>
                <w:sz w:val="21"/>
                <w:szCs w:val="21"/>
              </w:rPr>
            </w:pPr>
            <w:r>
              <w:rPr>
                <w:rFonts w:ascii="Times New Roman"/>
                <w:sz w:val="21"/>
                <w:szCs w:val="21"/>
              </w:rPr>
              <w:t>甲苯与二甲苯合计</w:t>
            </w:r>
          </w:p>
        </w:tc>
        <w:tc>
          <w:tcPr>
            <w:tcW w:w="1740" w:type="dxa"/>
            <w:vAlign w:val="center"/>
          </w:tcPr>
          <w:p w14:paraId="63EAA03C">
            <w:pPr>
              <w:jc w:val="center"/>
              <w:rPr>
                <w:rFonts w:ascii="Times New Roman"/>
                <w:sz w:val="21"/>
                <w:szCs w:val="21"/>
                <w:lang w:bidi="zh-TW"/>
              </w:rPr>
            </w:pPr>
            <w:r>
              <w:rPr>
                <w:rFonts w:hint="eastAsia" w:ascii="Times New Roman"/>
                <w:sz w:val="21"/>
                <w:szCs w:val="21"/>
              </w:rPr>
              <w:t>96.56</w:t>
            </w:r>
          </w:p>
        </w:tc>
        <w:tc>
          <w:tcPr>
            <w:tcW w:w="1765" w:type="dxa"/>
            <w:vAlign w:val="center"/>
          </w:tcPr>
          <w:p w14:paraId="6947C09B">
            <w:pPr>
              <w:jc w:val="center"/>
              <w:rPr>
                <w:rFonts w:ascii="Times New Roman"/>
                <w:sz w:val="21"/>
                <w:szCs w:val="21"/>
                <w:lang w:bidi="zh-TW"/>
              </w:rPr>
            </w:pPr>
            <w:r>
              <w:rPr>
                <w:rFonts w:hint="eastAsia" w:ascii="Times New Roman"/>
                <w:sz w:val="21"/>
                <w:szCs w:val="21"/>
              </w:rPr>
              <w:t>4.587</w:t>
            </w:r>
          </w:p>
        </w:tc>
      </w:tr>
      <w:tr w14:paraId="1CE5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68F8309E">
            <w:pPr>
              <w:pStyle w:val="20"/>
              <w:ind w:firstLine="0"/>
              <w:jc w:val="center"/>
              <w:rPr>
                <w:szCs w:val="21"/>
              </w:rPr>
            </w:pPr>
          </w:p>
        </w:tc>
        <w:tc>
          <w:tcPr>
            <w:tcW w:w="706" w:type="dxa"/>
            <w:vMerge w:val="continue"/>
            <w:vAlign w:val="center"/>
          </w:tcPr>
          <w:p w14:paraId="1CD91E95">
            <w:pPr>
              <w:jc w:val="center"/>
              <w:rPr>
                <w:rFonts w:ascii="Times New Roman"/>
                <w:sz w:val="21"/>
                <w:szCs w:val="21"/>
              </w:rPr>
            </w:pPr>
          </w:p>
        </w:tc>
        <w:tc>
          <w:tcPr>
            <w:tcW w:w="1361" w:type="dxa"/>
            <w:vMerge w:val="continue"/>
            <w:vAlign w:val="center"/>
          </w:tcPr>
          <w:p w14:paraId="1055A142">
            <w:pPr>
              <w:jc w:val="center"/>
              <w:rPr>
                <w:rFonts w:ascii="Times New Roman"/>
                <w:sz w:val="21"/>
                <w:szCs w:val="21"/>
              </w:rPr>
            </w:pPr>
          </w:p>
        </w:tc>
        <w:tc>
          <w:tcPr>
            <w:tcW w:w="2293" w:type="dxa"/>
            <w:vAlign w:val="center"/>
          </w:tcPr>
          <w:p w14:paraId="12FF6A18">
            <w:pPr>
              <w:jc w:val="center"/>
              <w:rPr>
                <w:rFonts w:ascii="Times New Roman"/>
                <w:sz w:val="21"/>
                <w:szCs w:val="21"/>
              </w:rPr>
            </w:pPr>
            <w:r>
              <w:rPr>
                <w:rFonts w:ascii="Times New Roman"/>
                <w:snapToGrid w:val="0"/>
                <w:sz w:val="21"/>
                <w:szCs w:val="21"/>
              </w:rPr>
              <w:t>颗粒物</w:t>
            </w:r>
          </w:p>
        </w:tc>
        <w:tc>
          <w:tcPr>
            <w:tcW w:w="1740" w:type="dxa"/>
            <w:vAlign w:val="center"/>
          </w:tcPr>
          <w:p w14:paraId="69185AAB">
            <w:pPr>
              <w:jc w:val="center"/>
              <w:rPr>
                <w:rFonts w:ascii="Times New Roman"/>
                <w:sz w:val="21"/>
                <w:szCs w:val="21"/>
                <w:lang w:bidi="zh-TW"/>
              </w:rPr>
            </w:pPr>
            <w:r>
              <w:rPr>
                <w:rFonts w:hint="eastAsia" w:ascii="Times New Roman"/>
                <w:sz w:val="21"/>
                <w:szCs w:val="21"/>
              </w:rPr>
              <w:t>198.919</w:t>
            </w:r>
          </w:p>
        </w:tc>
        <w:tc>
          <w:tcPr>
            <w:tcW w:w="1765" w:type="dxa"/>
            <w:vAlign w:val="center"/>
          </w:tcPr>
          <w:p w14:paraId="7CDC1589">
            <w:pPr>
              <w:jc w:val="center"/>
              <w:rPr>
                <w:rFonts w:ascii="Times New Roman"/>
                <w:sz w:val="21"/>
                <w:szCs w:val="21"/>
                <w:lang w:bidi="zh-TW"/>
              </w:rPr>
            </w:pPr>
            <w:r>
              <w:rPr>
                <w:rFonts w:hint="eastAsia" w:ascii="Times New Roman"/>
                <w:sz w:val="21"/>
                <w:szCs w:val="21"/>
              </w:rPr>
              <w:t>10.433</w:t>
            </w:r>
          </w:p>
        </w:tc>
      </w:tr>
      <w:tr w14:paraId="1A3E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5ADF1302">
            <w:pPr>
              <w:pStyle w:val="20"/>
              <w:ind w:firstLine="0"/>
              <w:jc w:val="center"/>
              <w:rPr>
                <w:szCs w:val="21"/>
              </w:rPr>
            </w:pPr>
          </w:p>
        </w:tc>
        <w:tc>
          <w:tcPr>
            <w:tcW w:w="706" w:type="dxa"/>
            <w:vMerge w:val="continue"/>
            <w:vAlign w:val="center"/>
          </w:tcPr>
          <w:p w14:paraId="1A01793D">
            <w:pPr>
              <w:jc w:val="center"/>
              <w:rPr>
                <w:rFonts w:ascii="Times New Roman"/>
                <w:sz w:val="21"/>
                <w:szCs w:val="21"/>
              </w:rPr>
            </w:pPr>
          </w:p>
        </w:tc>
        <w:tc>
          <w:tcPr>
            <w:tcW w:w="1361" w:type="dxa"/>
            <w:vMerge w:val="continue"/>
            <w:vAlign w:val="center"/>
          </w:tcPr>
          <w:p w14:paraId="44BC0329">
            <w:pPr>
              <w:jc w:val="center"/>
              <w:rPr>
                <w:rFonts w:ascii="Times New Roman"/>
                <w:sz w:val="21"/>
                <w:szCs w:val="21"/>
              </w:rPr>
            </w:pPr>
          </w:p>
        </w:tc>
        <w:tc>
          <w:tcPr>
            <w:tcW w:w="2293" w:type="dxa"/>
            <w:vAlign w:val="center"/>
          </w:tcPr>
          <w:p w14:paraId="11AAA4DA">
            <w:pPr>
              <w:jc w:val="center"/>
              <w:rPr>
                <w:rFonts w:ascii="Times New Roman"/>
                <w:snapToGrid w:val="0"/>
                <w:sz w:val="21"/>
                <w:szCs w:val="21"/>
              </w:rPr>
            </w:pPr>
            <w:r>
              <w:rPr>
                <w:rFonts w:ascii="Times New Roman"/>
                <w:snapToGrid w:val="0"/>
                <w:sz w:val="21"/>
                <w:szCs w:val="21"/>
              </w:rPr>
              <w:t>二氧化硫</w:t>
            </w:r>
          </w:p>
        </w:tc>
        <w:tc>
          <w:tcPr>
            <w:tcW w:w="1740" w:type="dxa"/>
            <w:shd w:val="clear" w:color="auto" w:fill="auto"/>
            <w:vAlign w:val="center"/>
          </w:tcPr>
          <w:p w14:paraId="3774194B">
            <w:pPr>
              <w:jc w:val="center"/>
              <w:rPr>
                <w:rFonts w:ascii="Times New Roman"/>
                <w:sz w:val="21"/>
                <w:szCs w:val="21"/>
                <w:lang w:bidi="zh-TW"/>
              </w:rPr>
            </w:pPr>
            <w:r>
              <w:rPr>
                <w:rFonts w:hint="eastAsia" w:ascii="Times New Roman"/>
                <w:sz w:val="21"/>
                <w:szCs w:val="21"/>
              </w:rPr>
              <w:t>0.032</w:t>
            </w:r>
          </w:p>
        </w:tc>
        <w:tc>
          <w:tcPr>
            <w:tcW w:w="1765" w:type="dxa"/>
            <w:shd w:val="clear" w:color="auto" w:fill="auto"/>
            <w:vAlign w:val="center"/>
          </w:tcPr>
          <w:p w14:paraId="4FAAB087">
            <w:pPr>
              <w:jc w:val="center"/>
              <w:rPr>
                <w:rFonts w:ascii="Times New Roman"/>
                <w:sz w:val="21"/>
                <w:szCs w:val="21"/>
                <w:lang w:bidi="zh-TW"/>
              </w:rPr>
            </w:pPr>
            <w:r>
              <w:rPr>
                <w:rFonts w:hint="eastAsia" w:ascii="Times New Roman"/>
                <w:sz w:val="21"/>
                <w:szCs w:val="21"/>
              </w:rPr>
              <w:t>0.032</w:t>
            </w:r>
          </w:p>
        </w:tc>
      </w:tr>
      <w:tr w14:paraId="3260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7A98BB2F">
            <w:pPr>
              <w:pStyle w:val="20"/>
              <w:ind w:firstLine="0"/>
              <w:jc w:val="center"/>
              <w:rPr>
                <w:szCs w:val="21"/>
              </w:rPr>
            </w:pPr>
          </w:p>
        </w:tc>
        <w:tc>
          <w:tcPr>
            <w:tcW w:w="706" w:type="dxa"/>
            <w:vMerge w:val="continue"/>
            <w:vAlign w:val="center"/>
          </w:tcPr>
          <w:p w14:paraId="4CC0E987">
            <w:pPr>
              <w:jc w:val="center"/>
              <w:rPr>
                <w:rFonts w:ascii="Times New Roman"/>
                <w:sz w:val="21"/>
                <w:szCs w:val="21"/>
              </w:rPr>
            </w:pPr>
          </w:p>
        </w:tc>
        <w:tc>
          <w:tcPr>
            <w:tcW w:w="1361" w:type="dxa"/>
            <w:vMerge w:val="continue"/>
            <w:vAlign w:val="center"/>
          </w:tcPr>
          <w:p w14:paraId="4503455C">
            <w:pPr>
              <w:jc w:val="center"/>
              <w:rPr>
                <w:rFonts w:ascii="Times New Roman"/>
                <w:sz w:val="21"/>
                <w:szCs w:val="21"/>
              </w:rPr>
            </w:pPr>
          </w:p>
        </w:tc>
        <w:tc>
          <w:tcPr>
            <w:tcW w:w="2293" w:type="dxa"/>
            <w:vAlign w:val="center"/>
          </w:tcPr>
          <w:p w14:paraId="4CB3C470">
            <w:pPr>
              <w:jc w:val="center"/>
              <w:rPr>
                <w:rFonts w:ascii="Times New Roman"/>
                <w:sz w:val="21"/>
                <w:szCs w:val="21"/>
              </w:rPr>
            </w:pPr>
            <w:r>
              <w:rPr>
                <w:rFonts w:ascii="Times New Roman"/>
                <w:snapToGrid w:val="0"/>
                <w:sz w:val="21"/>
                <w:szCs w:val="21"/>
              </w:rPr>
              <w:t>氮氧化物</w:t>
            </w:r>
          </w:p>
        </w:tc>
        <w:tc>
          <w:tcPr>
            <w:tcW w:w="1740" w:type="dxa"/>
            <w:shd w:val="clear" w:color="auto" w:fill="auto"/>
            <w:vAlign w:val="center"/>
          </w:tcPr>
          <w:p w14:paraId="0E41AAAB">
            <w:pPr>
              <w:jc w:val="center"/>
              <w:rPr>
                <w:rFonts w:ascii="Times New Roman"/>
                <w:sz w:val="21"/>
                <w:szCs w:val="21"/>
                <w:lang w:bidi="zh-TW"/>
              </w:rPr>
            </w:pPr>
            <w:r>
              <w:rPr>
                <w:rFonts w:hint="eastAsia" w:ascii="Times New Roman"/>
                <w:sz w:val="21"/>
                <w:szCs w:val="21"/>
              </w:rPr>
              <w:t>6.756</w:t>
            </w:r>
          </w:p>
        </w:tc>
        <w:tc>
          <w:tcPr>
            <w:tcW w:w="1765" w:type="dxa"/>
            <w:shd w:val="clear" w:color="auto" w:fill="auto"/>
            <w:vAlign w:val="center"/>
          </w:tcPr>
          <w:p w14:paraId="5B7C3E86">
            <w:pPr>
              <w:jc w:val="center"/>
              <w:rPr>
                <w:rFonts w:ascii="Times New Roman"/>
                <w:sz w:val="21"/>
                <w:szCs w:val="21"/>
                <w:lang w:bidi="zh-TW"/>
              </w:rPr>
            </w:pPr>
            <w:r>
              <w:rPr>
                <w:rFonts w:hint="eastAsia" w:ascii="Times New Roman"/>
                <w:sz w:val="21"/>
                <w:szCs w:val="21"/>
                <w:lang w:bidi="zh-TW"/>
              </w:rPr>
              <w:t>3.378</w:t>
            </w:r>
          </w:p>
        </w:tc>
      </w:tr>
      <w:tr w14:paraId="29BC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4A707548">
            <w:pPr>
              <w:pStyle w:val="20"/>
              <w:ind w:firstLine="0"/>
              <w:jc w:val="center"/>
              <w:rPr>
                <w:szCs w:val="21"/>
              </w:rPr>
            </w:pPr>
          </w:p>
        </w:tc>
        <w:tc>
          <w:tcPr>
            <w:tcW w:w="706" w:type="dxa"/>
            <w:vMerge w:val="continue"/>
            <w:vAlign w:val="center"/>
          </w:tcPr>
          <w:p w14:paraId="7135003B">
            <w:pPr>
              <w:jc w:val="center"/>
              <w:rPr>
                <w:rFonts w:ascii="Times New Roman"/>
                <w:sz w:val="21"/>
                <w:szCs w:val="21"/>
              </w:rPr>
            </w:pPr>
          </w:p>
        </w:tc>
        <w:tc>
          <w:tcPr>
            <w:tcW w:w="1361" w:type="dxa"/>
            <w:vAlign w:val="center"/>
          </w:tcPr>
          <w:p w14:paraId="4FB727B1">
            <w:pPr>
              <w:jc w:val="center"/>
              <w:rPr>
                <w:rFonts w:ascii="Times New Roman"/>
                <w:sz w:val="21"/>
                <w:szCs w:val="21"/>
              </w:rPr>
            </w:pPr>
            <w:r>
              <w:rPr>
                <w:rFonts w:hint="eastAsia" w:ascii="Times New Roman"/>
                <w:sz w:val="21"/>
                <w:szCs w:val="21"/>
              </w:rPr>
              <w:t>DA010</w:t>
            </w:r>
          </w:p>
        </w:tc>
        <w:tc>
          <w:tcPr>
            <w:tcW w:w="2293" w:type="dxa"/>
            <w:vAlign w:val="center"/>
          </w:tcPr>
          <w:p w14:paraId="0AC1428D">
            <w:pPr>
              <w:jc w:val="center"/>
              <w:rPr>
                <w:rFonts w:ascii="Times New Roman"/>
                <w:sz w:val="21"/>
                <w:szCs w:val="21"/>
              </w:rPr>
            </w:pPr>
            <w:r>
              <w:rPr>
                <w:rFonts w:ascii="Times New Roman"/>
                <w:snapToGrid w:val="0"/>
                <w:sz w:val="21"/>
                <w:szCs w:val="21"/>
              </w:rPr>
              <w:t>颗粒物</w:t>
            </w:r>
          </w:p>
        </w:tc>
        <w:tc>
          <w:tcPr>
            <w:tcW w:w="1740" w:type="dxa"/>
            <w:vAlign w:val="center"/>
          </w:tcPr>
          <w:p w14:paraId="7701A30C">
            <w:pPr>
              <w:jc w:val="center"/>
              <w:rPr>
                <w:rFonts w:ascii="Times New Roman"/>
                <w:sz w:val="21"/>
                <w:szCs w:val="21"/>
              </w:rPr>
            </w:pPr>
            <w:r>
              <w:rPr>
                <w:rFonts w:hint="eastAsia" w:ascii="Times New Roman"/>
                <w:sz w:val="21"/>
                <w:szCs w:val="21"/>
              </w:rPr>
              <w:t>21</w:t>
            </w:r>
          </w:p>
        </w:tc>
        <w:tc>
          <w:tcPr>
            <w:tcW w:w="1765" w:type="dxa"/>
            <w:vAlign w:val="center"/>
          </w:tcPr>
          <w:p w14:paraId="63E87B1E">
            <w:pPr>
              <w:jc w:val="center"/>
              <w:rPr>
                <w:rFonts w:ascii="Times New Roman"/>
                <w:sz w:val="21"/>
                <w:szCs w:val="21"/>
              </w:rPr>
            </w:pPr>
            <w:r>
              <w:rPr>
                <w:rFonts w:ascii="Times New Roman"/>
                <w:sz w:val="21"/>
                <w:szCs w:val="21"/>
              </w:rPr>
              <w:t>0.</w:t>
            </w:r>
            <w:r>
              <w:rPr>
                <w:rFonts w:hint="eastAsia" w:ascii="Times New Roman"/>
                <w:sz w:val="21"/>
                <w:szCs w:val="21"/>
              </w:rPr>
              <w:t>200</w:t>
            </w:r>
          </w:p>
        </w:tc>
      </w:tr>
      <w:tr w14:paraId="61E8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6D7042FA">
            <w:pPr>
              <w:pStyle w:val="20"/>
              <w:ind w:firstLine="0"/>
              <w:jc w:val="center"/>
              <w:rPr>
                <w:szCs w:val="21"/>
              </w:rPr>
            </w:pPr>
          </w:p>
        </w:tc>
        <w:tc>
          <w:tcPr>
            <w:tcW w:w="706" w:type="dxa"/>
            <w:vMerge w:val="continue"/>
            <w:vAlign w:val="center"/>
          </w:tcPr>
          <w:p w14:paraId="3B192A7B">
            <w:pPr>
              <w:jc w:val="center"/>
              <w:rPr>
                <w:rFonts w:ascii="Times New Roman"/>
                <w:sz w:val="21"/>
                <w:szCs w:val="21"/>
              </w:rPr>
            </w:pPr>
          </w:p>
        </w:tc>
        <w:tc>
          <w:tcPr>
            <w:tcW w:w="1361" w:type="dxa"/>
            <w:vMerge w:val="restart"/>
            <w:vAlign w:val="center"/>
          </w:tcPr>
          <w:p w14:paraId="29B0F686">
            <w:pPr>
              <w:jc w:val="center"/>
              <w:rPr>
                <w:rFonts w:ascii="Times New Roman"/>
                <w:sz w:val="21"/>
                <w:szCs w:val="21"/>
              </w:rPr>
            </w:pPr>
            <w:r>
              <w:rPr>
                <w:rFonts w:hint="eastAsia" w:ascii="Times New Roman"/>
                <w:sz w:val="21"/>
                <w:szCs w:val="21"/>
              </w:rPr>
              <w:t>DA011</w:t>
            </w:r>
          </w:p>
        </w:tc>
        <w:tc>
          <w:tcPr>
            <w:tcW w:w="2293" w:type="dxa"/>
            <w:vAlign w:val="center"/>
          </w:tcPr>
          <w:p w14:paraId="436F5203">
            <w:pPr>
              <w:jc w:val="center"/>
              <w:rPr>
                <w:rFonts w:ascii="Times New Roman"/>
                <w:sz w:val="21"/>
                <w:szCs w:val="21"/>
              </w:rPr>
            </w:pPr>
            <w:r>
              <w:rPr>
                <w:rFonts w:ascii="Times New Roman"/>
                <w:sz w:val="21"/>
                <w:szCs w:val="21"/>
              </w:rPr>
              <w:t>非甲烷总烃</w:t>
            </w:r>
          </w:p>
        </w:tc>
        <w:tc>
          <w:tcPr>
            <w:tcW w:w="1740" w:type="dxa"/>
            <w:shd w:val="clear" w:color="auto" w:fill="auto"/>
            <w:vAlign w:val="center"/>
          </w:tcPr>
          <w:p w14:paraId="5F954AEB">
            <w:pPr>
              <w:jc w:val="center"/>
              <w:rPr>
                <w:rFonts w:ascii="Times New Roman"/>
                <w:sz w:val="21"/>
                <w:szCs w:val="21"/>
              </w:rPr>
            </w:pPr>
            <w:r>
              <w:rPr>
                <w:rFonts w:hint="eastAsia" w:ascii="Times New Roman"/>
                <w:sz w:val="21"/>
                <w:szCs w:val="21"/>
              </w:rPr>
              <w:t>0.084</w:t>
            </w:r>
          </w:p>
        </w:tc>
        <w:tc>
          <w:tcPr>
            <w:tcW w:w="1765" w:type="dxa"/>
            <w:shd w:val="clear" w:color="auto" w:fill="auto"/>
            <w:vAlign w:val="center"/>
          </w:tcPr>
          <w:p w14:paraId="3C317D43">
            <w:pPr>
              <w:jc w:val="center"/>
              <w:rPr>
                <w:rFonts w:ascii="Times New Roman"/>
                <w:sz w:val="21"/>
                <w:szCs w:val="21"/>
              </w:rPr>
            </w:pPr>
            <w:r>
              <w:rPr>
                <w:rFonts w:hint="eastAsia" w:ascii="Times New Roman"/>
                <w:sz w:val="21"/>
                <w:szCs w:val="21"/>
              </w:rPr>
              <w:t>0.024</w:t>
            </w:r>
          </w:p>
        </w:tc>
      </w:tr>
      <w:tr w14:paraId="1F67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0C529260">
            <w:pPr>
              <w:pStyle w:val="20"/>
              <w:ind w:firstLine="0"/>
              <w:jc w:val="center"/>
              <w:rPr>
                <w:szCs w:val="21"/>
              </w:rPr>
            </w:pPr>
          </w:p>
        </w:tc>
        <w:tc>
          <w:tcPr>
            <w:tcW w:w="706" w:type="dxa"/>
            <w:vMerge w:val="continue"/>
            <w:vAlign w:val="center"/>
          </w:tcPr>
          <w:p w14:paraId="0A9AC6F7">
            <w:pPr>
              <w:jc w:val="center"/>
              <w:rPr>
                <w:rFonts w:ascii="Times New Roman"/>
                <w:sz w:val="21"/>
                <w:szCs w:val="21"/>
              </w:rPr>
            </w:pPr>
          </w:p>
        </w:tc>
        <w:tc>
          <w:tcPr>
            <w:tcW w:w="1361" w:type="dxa"/>
            <w:vMerge w:val="continue"/>
            <w:vAlign w:val="center"/>
          </w:tcPr>
          <w:p w14:paraId="1EAB5F40">
            <w:pPr>
              <w:jc w:val="center"/>
              <w:rPr>
                <w:rFonts w:ascii="Times New Roman"/>
                <w:sz w:val="21"/>
                <w:szCs w:val="21"/>
              </w:rPr>
            </w:pPr>
          </w:p>
        </w:tc>
        <w:tc>
          <w:tcPr>
            <w:tcW w:w="2293" w:type="dxa"/>
            <w:shd w:val="clear" w:color="auto" w:fill="auto"/>
            <w:vAlign w:val="center"/>
          </w:tcPr>
          <w:p w14:paraId="366BBA53">
            <w:pPr>
              <w:jc w:val="center"/>
              <w:rPr>
                <w:rFonts w:ascii="Times New Roman"/>
                <w:sz w:val="21"/>
                <w:szCs w:val="21"/>
              </w:rPr>
            </w:pPr>
            <w:r>
              <w:rPr>
                <w:rFonts w:ascii="Times New Roman"/>
                <w:snapToGrid w:val="0"/>
                <w:sz w:val="21"/>
                <w:szCs w:val="21"/>
              </w:rPr>
              <w:t>颗粒物</w:t>
            </w:r>
          </w:p>
        </w:tc>
        <w:tc>
          <w:tcPr>
            <w:tcW w:w="1740" w:type="dxa"/>
            <w:shd w:val="clear" w:color="auto" w:fill="auto"/>
            <w:vAlign w:val="center"/>
          </w:tcPr>
          <w:p w14:paraId="1DED88A9">
            <w:pPr>
              <w:jc w:val="center"/>
              <w:rPr>
                <w:rFonts w:ascii="Times New Roman"/>
                <w:sz w:val="21"/>
                <w:szCs w:val="21"/>
                <w:lang w:bidi="zh-TW"/>
              </w:rPr>
            </w:pPr>
            <w:r>
              <w:rPr>
                <w:rFonts w:hint="eastAsia" w:ascii="Times New Roman"/>
                <w:sz w:val="21"/>
                <w:szCs w:val="21"/>
                <w:lang w:bidi="zh-TW"/>
              </w:rPr>
              <w:t>0.032</w:t>
            </w:r>
          </w:p>
        </w:tc>
        <w:tc>
          <w:tcPr>
            <w:tcW w:w="1765" w:type="dxa"/>
            <w:shd w:val="clear" w:color="auto" w:fill="auto"/>
            <w:vAlign w:val="center"/>
          </w:tcPr>
          <w:p w14:paraId="15E4CD78">
            <w:pPr>
              <w:jc w:val="center"/>
              <w:rPr>
                <w:rFonts w:ascii="Times New Roman"/>
                <w:sz w:val="21"/>
                <w:szCs w:val="21"/>
                <w:lang w:bidi="zh-TW"/>
              </w:rPr>
            </w:pPr>
            <w:r>
              <w:rPr>
                <w:rFonts w:hint="eastAsia" w:ascii="Times New Roman"/>
                <w:sz w:val="21"/>
                <w:szCs w:val="21"/>
                <w:lang w:bidi="zh-TW"/>
              </w:rPr>
              <w:t>0.032</w:t>
            </w:r>
          </w:p>
        </w:tc>
      </w:tr>
      <w:tr w14:paraId="68AD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3E09D9E2">
            <w:pPr>
              <w:pStyle w:val="20"/>
              <w:ind w:firstLine="0"/>
              <w:jc w:val="center"/>
              <w:rPr>
                <w:szCs w:val="21"/>
              </w:rPr>
            </w:pPr>
          </w:p>
        </w:tc>
        <w:tc>
          <w:tcPr>
            <w:tcW w:w="706" w:type="dxa"/>
            <w:vMerge w:val="continue"/>
            <w:vAlign w:val="center"/>
          </w:tcPr>
          <w:p w14:paraId="32082F26">
            <w:pPr>
              <w:jc w:val="center"/>
              <w:rPr>
                <w:rFonts w:ascii="Times New Roman"/>
                <w:sz w:val="21"/>
                <w:szCs w:val="21"/>
              </w:rPr>
            </w:pPr>
          </w:p>
        </w:tc>
        <w:tc>
          <w:tcPr>
            <w:tcW w:w="1361" w:type="dxa"/>
            <w:vMerge w:val="continue"/>
            <w:vAlign w:val="center"/>
          </w:tcPr>
          <w:p w14:paraId="6AE6FB16">
            <w:pPr>
              <w:jc w:val="center"/>
              <w:rPr>
                <w:rFonts w:ascii="Times New Roman"/>
                <w:sz w:val="21"/>
                <w:szCs w:val="21"/>
              </w:rPr>
            </w:pPr>
          </w:p>
        </w:tc>
        <w:tc>
          <w:tcPr>
            <w:tcW w:w="2293" w:type="dxa"/>
            <w:shd w:val="clear" w:color="auto" w:fill="auto"/>
            <w:vAlign w:val="center"/>
          </w:tcPr>
          <w:p w14:paraId="5161C74C">
            <w:pPr>
              <w:jc w:val="center"/>
              <w:rPr>
                <w:rFonts w:ascii="Times New Roman"/>
                <w:snapToGrid w:val="0"/>
                <w:sz w:val="21"/>
                <w:szCs w:val="21"/>
              </w:rPr>
            </w:pPr>
            <w:r>
              <w:rPr>
                <w:rFonts w:ascii="Times New Roman"/>
                <w:snapToGrid w:val="0"/>
                <w:sz w:val="21"/>
                <w:szCs w:val="21"/>
              </w:rPr>
              <w:t>二氧化硫</w:t>
            </w:r>
          </w:p>
        </w:tc>
        <w:tc>
          <w:tcPr>
            <w:tcW w:w="1740" w:type="dxa"/>
            <w:shd w:val="clear" w:color="auto" w:fill="auto"/>
            <w:vAlign w:val="center"/>
          </w:tcPr>
          <w:p w14:paraId="40FE9F39">
            <w:pPr>
              <w:jc w:val="center"/>
              <w:rPr>
                <w:rFonts w:ascii="Times New Roman"/>
                <w:sz w:val="21"/>
                <w:szCs w:val="21"/>
                <w:lang w:bidi="zh-TW"/>
              </w:rPr>
            </w:pPr>
            <w:r>
              <w:rPr>
                <w:rFonts w:hint="eastAsia" w:ascii="Times New Roman"/>
                <w:sz w:val="21"/>
                <w:szCs w:val="21"/>
                <w:lang w:bidi="zh-TW"/>
              </w:rPr>
              <w:t>0.004</w:t>
            </w:r>
          </w:p>
        </w:tc>
        <w:tc>
          <w:tcPr>
            <w:tcW w:w="1765" w:type="dxa"/>
            <w:shd w:val="clear" w:color="auto" w:fill="auto"/>
            <w:vAlign w:val="center"/>
          </w:tcPr>
          <w:p w14:paraId="54D92249">
            <w:pPr>
              <w:jc w:val="center"/>
              <w:rPr>
                <w:rFonts w:ascii="Times New Roman"/>
                <w:sz w:val="21"/>
                <w:szCs w:val="21"/>
                <w:lang w:bidi="zh-TW"/>
              </w:rPr>
            </w:pPr>
            <w:r>
              <w:rPr>
                <w:rFonts w:hint="eastAsia" w:ascii="Times New Roman"/>
                <w:sz w:val="21"/>
                <w:szCs w:val="21"/>
                <w:lang w:bidi="zh-TW"/>
              </w:rPr>
              <w:t>0.004</w:t>
            </w:r>
          </w:p>
        </w:tc>
      </w:tr>
      <w:tr w14:paraId="6A77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1BF3AB36">
            <w:pPr>
              <w:pStyle w:val="20"/>
              <w:ind w:firstLine="0"/>
              <w:jc w:val="center"/>
              <w:rPr>
                <w:szCs w:val="21"/>
              </w:rPr>
            </w:pPr>
          </w:p>
        </w:tc>
        <w:tc>
          <w:tcPr>
            <w:tcW w:w="706" w:type="dxa"/>
            <w:vMerge w:val="continue"/>
            <w:vAlign w:val="center"/>
          </w:tcPr>
          <w:p w14:paraId="3A3D3993">
            <w:pPr>
              <w:jc w:val="center"/>
              <w:rPr>
                <w:rFonts w:ascii="Times New Roman"/>
                <w:sz w:val="21"/>
                <w:szCs w:val="21"/>
              </w:rPr>
            </w:pPr>
          </w:p>
        </w:tc>
        <w:tc>
          <w:tcPr>
            <w:tcW w:w="1361" w:type="dxa"/>
            <w:vMerge w:val="continue"/>
            <w:vAlign w:val="center"/>
          </w:tcPr>
          <w:p w14:paraId="0ECAE45C">
            <w:pPr>
              <w:jc w:val="center"/>
              <w:rPr>
                <w:rFonts w:ascii="Times New Roman"/>
                <w:sz w:val="21"/>
                <w:szCs w:val="21"/>
              </w:rPr>
            </w:pPr>
          </w:p>
        </w:tc>
        <w:tc>
          <w:tcPr>
            <w:tcW w:w="2293" w:type="dxa"/>
            <w:shd w:val="clear" w:color="auto" w:fill="auto"/>
            <w:vAlign w:val="center"/>
          </w:tcPr>
          <w:p w14:paraId="77D34184">
            <w:pPr>
              <w:jc w:val="center"/>
              <w:rPr>
                <w:rFonts w:ascii="Times New Roman"/>
                <w:sz w:val="21"/>
                <w:szCs w:val="21"/>
              </w:rPr>
            </w:pPr>
            <w:r>
              <w:rPr>
                <w:rFonts w:ascii="Times New Roman"/>
                <w:snapToGrid w:val="0"/>
                <w:sz w:val="21"/>
                <w:szCs w:val="21"/>
              </w:rPr>
              <w:t>氮氧化物</w:t>
            </w:r>
          </w:p>
        </w:tc>
        <w:tc>
          <w:tcPr>
            <w:tcW w:w="1740" w:type="dxa"/>
            <w:shd w:val="clear" w:color="auto" w:fill="auto"/>
            <w:vAlign w:val="center"/>
          </w:tcPr>
          <w:p w14:paraId="478FC9EE">
            <w:pPr>
              <w:jc w:val="center"/>
              <w:rPr>
                <w:rFonts w:ascii="Times New Roman"/>
                <w:sz w:val="21"/>
                <w:szCs w:val="21"/>
                <w:lang w:bidi="zh-TW"/>
              </w:rPr>
            </w:pPr>
            <w:r>
              <w:rPr>
                <w:rFonts w:hint="eastAsia" w:ascii="Times New Roman"/>
                <w:sz w:val="21"/>
                <w:szCs w:val="21"/>
                <w:lang w:bidi="zh-TW"/>
              </w:rPr>
              <w:t>0.208</w:t>
            </w:r>
          </w:p>
        </w:tc>
        <w:tc>
          <w:tcPr>
            <w:tcW w:w="1765" w:type="dxa"/>
            <w:shd w:val="clear" w:color="auto" w:fill="auto"/>
            <w:vAlign w:val="center"/>
          </w:tcPr>
          <w:p w14:paraId="503085D0">
            <w:pPr>
              <w:jc w:val="center"/>
              <w:rPr>
                <w:rFonts w:ascii="Times New Roman"/>
                <w:sz w:val="21"/>
                <w:szCs w:val="21"/>
                <w:lang w:bidi="zh-TW"/>
              </w:rPr>
            </w:pPr>
            <w:r>
              <w:rPr>
                <w:rFonts w:hint="eastAsia" w:ascii="Times New Roman"/>
                <w:sz w:val="21"/>
                <w:szCs w:val="21"/>
                <w:lang w:bidi="zh-TW"/>
              </w:rPr>
              <w:t>0.104</w:t>
            </w:r>
          </w:p>
        </w:tc>
      </w:tr>
      <w:tr w14:paraId="31A9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15AC1F56">
            <w:pPr>
              <w:pStyle w:val="20"/>
              <w:ind w:firstLine="0"/>
              <w:jc w:val="center"/>
              <w:rPr>
                <w:szCs w:val="21"/>
              </w:rPr>
            </w:pPr>
          </w:p>
        </w:tc>
        <w:tc>
          <w:tcPr>
            <w:tcW w:w="706" w:type="dxa"/>
            <w:vMerge w:val="continue"/>
            <w:vAlign w:val="center"/>
          </w:tcPr>
          <w:p w14:paraId="3ACDB7E8">
            <w:pPr>
              <w:jc w:val="center"/>
              <w:rPr>
                <w:rFonts w:ascii="Times New Roman"/>
                <w:sz w:val="21"/>
                <w:szCs w:val="21"/>
              </w:rPr>
            </w:pPr>
          </w:p>
        </w:tc>
        <w:tc>
          <w:tcPr>
            <w:tcW w:w="1361" w:type="dxa"/>
            <w:vAlign w:val="center"/>
          </w:tcPr>
          <w:p w14:paraId="130A295A">
            <w:pPr>
              <w:jc w:val="center"/>
              <w:rPr>
                <w:rFonts w:ascii="Times New Roman"/>
                <w:sz w:val="21"/>
                <w:szCs w:val="21"/>
              </w:rPr>
            </w:pPr>
            <w:r>
              <w:rPr>
                <w:rFonts w:hint="eastAsia" w:ascii="Times New Roman"/>
                <w:sz w:val="21"/>
                <w:szCs w:val="21"/>
              </w:rPr>
              <w:t>DA012</w:t>
            </w:r>
          </w:p>
        </w:tc>
        <w:tc>
          <w:tcPr>
            <w:tcW w:w="2293" w:type="dxa"/>
            <w:vAlign w:val="center"/>
          </w:tcPr>
          <w:p w14:paraId="56AA1DBA">
            <w:pPr>
              <w:jc w:val="center"/>
              <w:rPr>
                <w:rFonts w:ascii="Times New Roman"/>
                <w:sz w:val="21"/>
                <w:szCs w:val="21"/>
              </w:rPr>
            </w:pPr>
            <w:r>
              <w:rPr>
                <w:rFonts w:ascii="Times New Roman"/>
                <w:sz w:val="21"/>
                <w:szCs w:val="21"/>
              </w:rPr>
              <w:t>油烟</w:t>
            </w:r>
          </w:p>
        </w:tc>
        <w:tc>
          <w:tcPr>
            <w:tcW w:w="1740" w:type="dxa"/>
            <w:vAlign w:val="center"/>
          </w:tcPr>
          <w:p w14:paraId="4C8DE491">
            <w:pPr>
              <w:jc w:val="center"/>
              <w:rPr>
                <w:rFonts w:ascii="Times New Roman"/>
                <w:sz w:val="21"/>
                <w:szCs w:val="21"/>
              </w:rPr>
            </w:pPr>
            <w:r>
              <w:rPr>
                <w:rFonts w:ascii="Times New Roman"/>
                <w:sz w:val="21"/>
                <w:szCs w:val="21"/>
              </w:rPr>
              <w:t>0.052</w:t>
            </w:r>
          </w:p>
        </w:tc>
        <w:tc>
          <w:tcPr>
            <w:tcW w:w="1765" w:type="dxa"/>
            <w:vAlign w:val="center"/>
          </w:tcPr>
          <w:p w14:paraId="17087431">
            <w:pPr>
              <w:jc w:val="center"/>
              <w:rPr>
                <w:rFonts w:ascii="Times New Roman"/>
                <w:sz w:val="21"/>
                <w:szCs w:val="21"/>
              </w:rPr>
            </w:pPr>
            <w:r>
              <w:rPr>
                <w:rFonts w:ascii="Times New Roman"/>
                <w:sz w:val="21"/>
                <w:szCs w:val="21"/>
              </w:rPr>
              <w:t>0.013</w:t>
            </w:r>
          </w:p>
        </w:tc>
      </w:tr>
      <w:tr w14:paraId="6A8C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0BB3AB50">
            <w:pPr>
              <w:jc w:val="center"/>
              <w:rPr>
                <w:rFonts w:ascii="Times New Roman"/>
                <w:sz w:val="21"/>
                <w:szCs w:val="21"/>
              </w:rPr>
            </w:pPr>
          </w:p>
        </w:tc>
        <w:tc>
          <w:tcPr>
            <w:tcW w:w="706" w:type="dxa"/>
            <w:vMerge w:val="restart"/>
            <w:vAlign w:val="center"/>
          </w:tcPr>
          <w:p w14:paraId="660F9265">
            <w:pPr>
              <w:jc w:val="center"/>
              <w:rPr>
                <w:rFonts w:ascii="Times New Roman"/>
                <w:sz w:val="21"/>
                <w:szCs w:val="21"/>
              </w:rPr>
            </w:pPr>
            <w:r>
              <w:rPr>
                <w:rFonts w:ascii="Times New Roman"/>
                <w:sz w:val="21"/>
                <w:szCs w:val="21"/>
              </w:rPr>
              <w:t>无组织废气</w:t>
            </w:r>
          </w:p>
        </w:tc>
        <w:tc>
          <w:tcPr>
            <w:tcW w:w="1361" w:type="dxa"/>
            <w:vMerge w:val="restart"/>
            <w:shd w:val="clear" w:color="auto" w:fill="auto"/>
            <w:vAlign w:val="center"/>
          </w:tcPr>
          <w:p w14:paraId="624BADD9">
            <w:pPr>
              <w:jc w:val="center"/>
              <w:rPr>
                <w:rFonts w:ascii="Times New Roman"/>
                <w:sz w:val="21"/>
                <w:szCs w:val="21"/>
              </w:rPr>
            </w:pPr>
            <w:r>
              <w:rPr>
                <w:rFonts w:ascii="Times New Roman"/>
                <w:kern w:val="0"/>
                <w:sz w:val="21"/>
                <w:szCs w:val="21"/>
              </w:rPr>
              <w:t>托辊及装配厂房</w:t>
            </w:r>
          </w:p>
        </w:tc>
        <w:tc>
          <w:tcPr>
            <w:tcW w:w="2293" w:type="dxa"/>
            <w:vAlign w:val="center"/>
          </w:tcPr>
          <w:p w14:paraId="00F83871">
            <w:pPr>
              <w:jc w:val="center"/>
              <w:rPr>
                <w:rFonts w:ascii="Times New Roman"/>
                <w:kern w:val="0"/>
                <w:sz w:val="21"/>
                <w:szCs w:val="21"/>
              </w:rPr>
            </w:pPr>
            <w:r>
              <w:rPr>
                <w:rFonts w:ascii="Times New Roman"/>
                <w:kern w:val="0"/>
                <w:sz w:val="21"/>
                <w:szCs w:val="21"/>
              </w:rPr>
              <w:t>颗粒物</w:t>
            </w:r>
          </w:p>
        </w:tc>
        <w:tc>
          <w:tcPr>
            <w:tcW w:w="1740" w:type="dxa"/>
            <w:shd w:val="clear" w:color="auto" w:fill="auto"/>
            <w:vAlign w:val="center"/>
          </w:tcPr>
          <w:p w14:paraId="7919BF8A">
            <w:pPr>
              <w:jc w:val="center"/>
              <w:rPr>
                <w:rFonts w:ascii="Times New Roman"/>
                <w:sz w:val="21"/>
                <w:szCs w:val="21"/>
              </w:rPr>
            </w:pPr>
            <w:r>
              <w:rPr>
                <w:rFonts w:hint="eastAsia" w:ascii="Times New Roman"/>
                <w:sz w:val="21"/>
                <w:szCs w:val="21"/>
              </w:rPr>
              <w:t>1.05</w:t>
            </w:r>
          </w:p>
        </w:tc>
        <w:tc>
          <w:tcPr>
            <w:tcW w:w="1765" w:type="dxa"/>
            <w:shd w:val="clear" w:color="auto" w:fill="auto"/>
            <w:vAlign w:val="center"/>
          </w:tcPr>
          <w:p w14:paraId="39BF4F15">
            <w:pPr>
              <w:jc w:val="center"/>
              <w:rPr>
                <w:rFonts w:ascii="Times New Roman"/>
                <w:sz w:val="21"/>
                <w:szCs w:val="21"/>
              </w:rPr>
            </w:pPr>
            <w:r>
              <w:rPr>
                <w:rFonts w:hint="eastAsia" w:ascii="Times New Roman"/>
                <w:sz w:val="21"/>
                <w:szCs w:val="21"/>
              </w:rPr>
              <w:t>1.05</w:t>
            </w:r>
          </w:p>
        </w:tc>
      </w:tr>
      <w:tr w14:paraId="5014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11670FD3">
            <w:pPr>
              <w:jc w:val="center"/>
              <w:rPr>
                <w:rFonts w:ascii="Times New Roman"/>
                <w:sz w:val="21"/>
                <w:szCs w:val="21"/>
              </w:rPr>
            </w:pPr>
          </w:p>
        </w:tc>
        <w:tc>
          <w:tcPr>
            <w:tcW w:w="706" w:type="dxa"/>
            <w:vMerge w:val="continue"/>
            <w:vAlign w:val="center"/>
          </w:tcPr>
          <w:p w14:paraId="3EAA91B5">
            <w:pPr>
              <w:jc w:val="center"/>
              <w:rPr>
                <w:rFonts w:ascii="Times New Roman"/>
                <w:sz w:val="21"/>
                <w:szCs w:val="21"/>
              </w:rPr>
            </w:pPr>
          </w:p>
        </w:tc>
        <w:tc>
          <w:tcPr>
            <w:tcW w:w="1361" w:type="dxa"/>
            <w:vMerge w:val="continue"/>
            <w:vAlign w:val="center"/>
          </w:tcPr>
          <w:p w14:paraId="4F29CCD7">
            <w:pPr>
              <w:jc w:val="center"/>
              <w:rPr>
                <w:rFonts w:ascii="Times New Roman"/>
                <w:sz w:val="21"/>
                <w:szCs w:val="21"/>
              </w:rPr>
            </w:pPr>
          </w:p>
        </w:tc>
        <w:tc>
          <w:tcPr>
            <w:tcW w:w="2293" w:type="dxa"/>
            <w:vAlign w:val="center"/>
          </w:tcPr>
          <w:p w14:paraId="1D0FD397">
            <w:pPr>
              <w:jc w:val="center"/>
              <w:rPr>
                <w:rFonts w:ascii="Times New Roman"/>
                <w:kern w:val="0"/>
                <w:sz w:val="21"/>
                <w:szCs w:val="21"/>
              </w:rPr>
            </w:pPr>
            <w:r>
              <w:rPr>
                <w:rFonts w:ascii="Times New Roman"/>
                <w:kern w:val="0"/>
                <w:sz w:val="21"/>
                <w:szCs w:val="21"/>
              </w:rPr>
              <w:t>非甲烷总烃</w:t>
            </w:r>
          </w:p>
        </w:tc>
        <w:tc>
          <w:tcPr>
            <w:tcW w:w="1740" w:type="dxa"/>
            <w:shd w:val="clear" w:color="auto" w:fill="auto"/>
            <w:vAlign w:val="center"/>
          </w:tcPr>
          <w:p w14:paraId="6BCB45CF">
            <w:pPr>
              <w:jc w:val="center"/>
              <w:rPr>
                <w:rFonts w:ascii="Times New Roman"/>
                <w:sz w:val="21"/>
                <w:szCs w:val="21"/>
              </w:rPr>
            </w:pPr>
            <w:r>
              <w:rPr>
                <w:rFonts w:hint="eastAsia" w:ascii="Times New Roman"/>
                <w:sz w:val="21"/>
                <w:szCs w:val="21"/>
              </w:rPr>
              <w:t>0.004</w:t>
            </w:r>
          </w:p>
        </w:tc>
        <w:tc>
          <w:tcPr>
            <w:tcW w:w="1765" w:type="dxa"/>
            <w:shd w:val="clear" w:color="auto" w:fill="auto"/>
            <w:vAlign w:val="center"/>
          </w:tcPr>
          <w:p w14:paraId="0923443A">
            <w:pPr>
              <w:jc w:val="center"/>
              <w:rPr>
                <w:rFonts w:ascii="Times New Roman"/>
                <w:sz w:val="21"/>
                <w:szCs w:val="21"/>
              </w:rPr>
            </w:pPr>
            <w:r>
              <w:rPr>
                <w:rFonts w:hint="eastAsia" w:ascii="Times New Roman"/>
                <w:sz w:val="21"/>
                <w:szCs w:val="21"/>
              </w:rPr>
              <w:t>0.004</w:t>
            </w:r>
          </w:p>
        </w:tc>
      </w:tr>
      <w:tr w14:paraId="786D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73" w:type="dxa"/>
            <w:vMerge w:val="continue"/>
            <w:vAlign w:val="center"/>
          </w:tcPr>
          <w:p w14:paraId="440DA15C">
            <w:pPr>
              <w:jc w:val="center"/>
              <w:rPr>
                <w:rFonts w:ascii="Times New Roman"/>
                <w:sz w:val="21"/>
                <w:szCs w:val="21"/>
              </w:rPr>
            </w:pPr>
          </w:p>
        </w:tc>
        <w:tc>
          <w:tcPr>
            <w:tcW w:w="706" w:type="dxa"/>
            <w:vMerge w:val="continue"/>
            <w:vAlign w:val="center"/>
          </w:tcPr>
          <w:p w14:paraId="4BBB40DE">
            <w:pPr>
              <w:jc w:val="center"/>
              <w:rPr>
                <w:rFonts w:ascii="Times New Roman"/>
                <w:sz w:val="21"/>
                <w:szCs w:val="21"/>
              </w:rPr>
            </w:pPr>
          </w:p>
        </w:tc>
        <w:tc>
          <w:tcPr>
            <w:tcW w:w="1361" w:type="dxa"/>
            <w:vMerge w:val="restart"/>
            <w:shd w:val="clear" w:color="auto" w:fill="auto"/>
            <w:vAlign w:val="center"/>
          </w:tcPr>
          <w:p w14:paraId="1292FF1C">
            <w:pPr>
              <w:jc w:val="center"/>
              <w:rPr>
                <w:rFonts w:ascii="Times New Roman"/>
                <w:sz w:val="21"/>
                <w:szCs w:val="21"/>
              </w:rPr>
            </w:pPr>
            <w:r>
              <w:rPr>
                <w:rFonts w:ascii="Times New Roman"/>
                <w:kern w:val="0"/>
                <w:sz w:val="21"/>
                <w:szCs w:val="21"/>
              </w:rPr>
              <w:t>联合厂房</w:t>
            </w:r>
          </w:p>
        </w:tc>
        <w:tc>
          <w:tcPr>
            <w:tcW w:w="2293" w:type="dxa"/>
            <w:vAlign w:val="center"/>
          </w:tcPr>
          <w:p w14:paraId="0305C52C">
            <w:pPr>
              <w:jc w:val="center"/>
              <w:rPr>
                <w:rFonts w:ascii="Times New Roman"/>
                <w:kern w:val="0"/>
                <w:sz w:val="21"/>
                <w:szCs w:val="21"/>
              </w:rPr>
            </w:pPr>
            <w:r>
              <w:rPr>
                <w:rFonts w:ascii="Times New Roman"/>
                <w:kern w:val="0"/>
                <w:sz w:val="21"/>
                <w:szCs w:val="21"/>
              </w:rPr>
              <w:t>颗粒物</w:t>
            </w:r>
          </w:p>
        </w:tc>
        <w:tc>
          <w:tcPr>
            <w:tcW w:w="1740" w:type="dxa"/>
            <w:shd w:val="clear" w:color="auto" w:fill="auto"/>
            <w:vAlign w:val="center"/>
          </w:tcPr>
          <w:p w14:paraId="2D7AC3DC">
            <w:pPr>
              <w:jc w:val="center"/>
              <w:rPr>
                <w:rFonts w:ascii="Times New Roman"/>
                <w:sz w:val="21"/>
                <w:szCs w:val="21"/>
              </w:rPr>
            </w:pPr>
            <w:r>
              <w:rPr>
                <w:rFonts w:hint="eastAsia" w:ascii="Times New Roman"/>
                <w:sz w:val="21"/>
                <w:szCs w:val="21"/>
              </w:rPr>
              <w:t>20.67</w:t>
            </w:r>
          </w:p>
        </w:tc>
        <w:tc>
          <w:tcPr>
            <w:tcW w:w="1765" w:type="dxa"/>
            <w:shd w:val="clear" w:color="auto" w:fill="auto"/>
            <w:vAlign w:val="center"/>
          </w:tcPr>
          <w:p w14:paraId="6090522F">
            <w:pPr>
              <w:jc w:val="center"/>
              <w:rPr>
                <w:rFonts w:ascii="Times New Roman"/>
                <w:sz w:val="21"/>
                <w:szCs w:val="21"/>
              </w:rPr>
            </w:pPr>
            <w:r>
              <w:rPr>
                <w:rFonts w:hint="eastAsia" w:ascii="Times New Roman"/>
                <w:sz w:val="21"/>
                <w:szCs w:val="21"/>
              </w:rPr>
              <w:t>20.67</w:t>
            </w:r>
          </w:p>
        </w:tc>
      </w:tr>
      <w:tr w14:paraId="646D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28293761">
            <w:pPr>
              <w:jc w:val="center"/>
              <w:rPr>
                <w:rFonts w:ascii="Times New Roman"/>
                <w:sz w:val="21"/>
                <w:szCs w:val="21"/>
              </w:rPr>
            </w:pPr>
          </w:p>
        </w:tc>
        <w:tc>
          <w:tcPr>
            <w:tcW w:w="706" w:type="dxa"/>
            <w:vMerge w:val="continue"/>
            <w:vAlign w:val="center"/>
          </w:tcPr>
          <w:p w14:paraId="0817DD61">
            <w:pPr>
              <w:jc w:val="center"/>
              <w:rPr>
                <w:rFonts w:ascii="Times New Roman"/>
                <w:sz w:val="21"/>
                <w:szCs w:val="21"/>
              </w:rPr>
            </w:pPr>
          </w:p>
        </w:tc>
        <w:tc>
          <w:tcPr>
            <w:tcW w:w="1361" w:type="dxa"/>
            <w:vMerge w:val="continue"/>
            <w:vAlign w:val="center"/>
          </w:tcPr>
          <w:p w14:paraId="4D608555">
            <w:pPr>
              <w:jc w:val="center"/>
              <w:rPr>
                <w:rFonts w:ascii="Times New Roman"/>
                <w:sz w:val="21"/>
                <w:szCs w:val="21"/>
              </w:rPr>
            </w:pPr>
          </w:p>
        </w:tc>
        <w:tc>
          <w:tcPr>
            <w:tcW w:w="2293" w:type="dxa"/>
            <w:vAlign w:val="center"/>
          </w:tcPr>
          <w:p w14:paraId="14F41722">
            <w:pPr>
              <w:jc w:val="center"/>
              <w:rPr>
                <w:rFonts w:ascii="Times New Roman"/>
                <w:kern w:val="0"/>
                <w:sz w:val="21"/>
                <w:szCs w:val="21"/>
              </w:rPr>
            </w:pPr>
            <w:r>
              <w:rPr>
                <w:rFonts w:ascii="Times New Roman"/>
                <w:kern w:val="0"/>
                <w:sz w:val="21"/>
                <w:szCs w:val="21"/>
              </w:rPr>
              <w:t>非甲烷总烃</w:t>
            </w:r>
          </w:p>
        </w:tc>
        <w:tc>
          <w:tcPr>
            <w:tcW w:w="1740" w:type="dxa"/>
            <w:shd w:val="clear" w:color="auto" w:fill="auto"/>
            <w:vAlign w:val="center"/>
          </w:tcPr>
          <w:p w14:paraId="11E4DEC8">
            <w:pPr>
              <w:jc w:val="center"/>
              <w:rPr>
                <w:rFonts w:ascii="Times New Roman"/>
                <w:sz w:val="21"/>
                <w:szCs w:val="21"/>
              </w:rPr>
            </w:pPr>
            <w:r>
              <w:rPr>
                <w:rFonts w:hint="eastAsia" w:ascii="Times New Roman"/>
                <w:sz w:val="21"/>
                <w:szCs w:val="21"/>
              </w:rPr>
              <w:t>17.426</w:t>
            </w:r>
          </w:p>
        </w:tc>
        <w:tc>
          <w:tcPr>
            <w:tcW w:w="1765" w:type="dxa"/>
            <w:shd w:val="clear" w:color="auto" w:fill="auto"/>
            <w:vAlign w:val="center"/>
          </w:tcPr>
          <w:p w14:paraId="469B95AF">
            <w:pPr>
              <w:jc w:val="center"/>
              <w:rPr>
                <w:rFonts w:ascii="Times New Roman"/>
                <w:sz w:val="21"/>
                <w:szCs w:val="21"/>
              </w:rPr>
            </w:pPr>
            <w:r>
              <w:rPr>
                <w:rFonts w:hint="eastAsia" w:ascii="Times New Roman"/>
                <w:sz w:val="21"/>
                <w:szCs w:val="21"/>
              </w:rPr>
              <w:t>17.426</w:t>
            </w:r>
          </w:p>
        </w:tc>
      </w:tr>
      <w:tr w14:paraId="0D81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73" w:type="dxa"/>
            <w:vMerge w:val="continue"/>
            <w:vAlign w:val="center"/>
          </w:tcPr>
          <w:p w14:paraId="79C566AE">
            <w:pPr>
              <w:jc w:val="center"/>
              <w:rPr>
                <w:rFonts w:ascii="Times New Roman"/>
                <w:sz w:val="21"/>
                <w:szCs w:val="21"/>
              </w:rPr>
            </w:pPr>
          </w:p>
        </w:tc>
        <w:tc>
          <w:tcPr>
            <w:tcW w:w="706" w:type="dxa"/>
            <w:vMerge w:val="continue"/>
            <w:vAlign w:val="center"/>
          </w:tcPr>
          <w:p w14:paraId="7E02450D">
            <w:pPr>
              <w:jc w:val="center"/>
              <w:rPr>
                <w:rFonts w:ascii="Times New Roman"/>
                <w:sz w:val="21"/>
                <w:szCs w:val="21"/>
              </w:rPr>
            </w:pPr>
          </w:p>
        </w:tc>
        <w:tc>
          <w:tcPr>
            <w:tcW w:w="1361" w:type="dxa"/>
            <w:vMerge w:val="continue"/>
            <w:vAlign w:val="center"/>
          </w:tcPr>
          <w:p w14:paraId="0DC96E45">
            <w:pPr>
              <w:jc w:val="center"/>
              <w:rPr>
                <w:rFonts w:ascii="Times New Roman"/>
                <w:sz w:val="21"/>
                <w:szCs w:val="21"/>
              </w:rPr>
            </w:pPr>
          </w:p>
        </w:tc>
        <w:tc>
          <w:tcPr>
            <w:tcW w:w="2293" w:type="dxa"/>
            <w:vAlign w:val="center"/>
          </w:tcPr>
          <w:p w14:paraId="0E059823">
            <w:pPr>
              <w:jc w:val="center"/>
              <w:rPr>
                <w:rFonts w:ascii="Times New Roman"/>
                <w:kern w:val="0"/>
                <w:sz w:val="21"/>
                <w:szCs w:val="21"/>
              </w:rPr>
            </w:pPr>
            <w:r>
              <w:rPr>
                <w:rFonts w:ascii="Times New Roman"/>
                <w:kern w:val="0"/>
                <w:sz w:val="21"/>
                <w:szCs w:val="21"/>
              </w:rPr>
              <w:t>二甲苯</w:t>
            </w:r>
          </w:p>
        </w:tc>
        <w:tc>
          <w:tcPr>
            <w:tcW w:w="1740" w:type="dxa"/>
            <w:shd w:val="clear" w:color="auto" w:fill="auto"/>
            <w:vAlign w:val="center"/>
          </w:tcPr>
          <w:p w14:paraId="3BE9C477">
            <w:pPr>
              <w:jc w:val="center"/>
              <w:rPr>
                <w:rFonts w:ascii="Times New Roman"/>
                <w:sz w:val="21"/>
                <w:szCs w:val="21"/>
              </w:rPr>
            </w:pPr>
            <w:r>
              <w:rPr>
                <w:rFonts w:hint="eastAsia" w:ascii="Times New Roman"/>
                <w:sz w:val="21"/>
                <w:szCs w:val="21"/>
              </w:rPr>
              <w:t>4.828</w:t>
            </w:r>
          </w:p>
        </w:tc>
        <w:tc>
          <w:tcPr>
            <w:tcW w:w="1765" w:type="dxa"/>
            <w:shd w:val="clear" w:color="auto" w:fill="auto"/>
            <w:vAlign w:val="center"/>
          </w:tcPr>
          <w:p w14:paraId="385633FC">
            <w:pPr>
              <w:jc w:val="center"/>
              <w:rPr>
                <w:rFonts w:ascii="Times New Roman"/>
                <w:sz w:val="21"/>
                <w:szCs w:val="21"/>
              </w:rPr>
            </w:pPr>
            <w:r>
              <w:rPr>
                <w:rFonts w:hint="eastAsia" w:ascii="Times New Roman"/>
                <w:sz w:val="21"/>
                <w:szCs w:val="21"/>
              </w:rPr>
              <w:t>4.828</w:t>
            </w:r>
          </w:p>
        </w:tc>
      </w:tr>
      <w:tr w14:paraId="5C73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restart"/>
            <w:vAlign w:val="center"/>
          </w:tcPr>
          <w:p w14:paraId="2D72987A">
            <w:pPr>
              <w:jc w:val="center"/>
              <w:rPr>
                <w:rFonts w:ascii="Times New Roman"/>
                <w:sz w:val="21"/>
                <w:szCs w:val="21"/>
              </w:rPr>
            </w:pPr>
            <w:r>
              <w:rPr>
                <w:rFonts w:ascii="Times New Roman"/>
                <w:sz w:val="21"/>
                <w:szCs w:val="21"/>
              </w:rPr>
              <w:t>废水</w:t>
            </w:r>
          </w:p>
        </w:tc>
        <w:tc>
          <w:tcPr>
            <w:tcW w:w="3654" w:type="dxa"/>
            <w:gridSpan w:val="2"/>
            <w:vAlign w:val="center"/>
          </w:tcPr>
          <w:p w14:paraId="1D878381">
            <w:pPr>
              <w:jc w:val="center"/>
              <w:rPr>
                <w:rFonts w:ascii="Times New Roman"/>
                <w:sz w:val="21"/>
                <w:szCs w:val="21"/>
              </w:rPr>
            </w:pPr>
            <w:r>
              <w:rPr>
                <w:rFonts w:ascii="Times New Roman"/>
                <w:sz w:val="21"/>
                <w:szCs w:val="21"/>
              </w:rPr>
              <w:t>COD</w:t>
            </w:r>
          </w:p>
        </w:tc>
        <w:tc>
          <w:tcPr>
            <w:tcW w:w="1740" w:type="dxa"/>
            <w:vAlign w:val="center"/>
          </w:tcPr>
          <w:p w14:paraId="0FA092FF">
            <w:pPr>
              <w:jc w:val="center"/>
              <w:rPr>
                <w:rFonts w:ascii="Times New Roman"/>
                <w:sz w:val="21"/>
                <w:szCs w:val="21"/>
              </w:rPr>
            </w:pPr>
            <w:r>
              <w:rPr>
                <w:rFonts w:hint="eastAsia" w:ascii="Times New Roman"/>
                <w:sz w:val="21"/>
                <w:szCs w:val="21"/>
              </w:rPr>
              <w:t>16.041</w:t>
            </w:r>
          </w:p>
        </w:tc>
        <w:tc>
          <w:tcPr>
            <w:tcW w:w="1765" w:type="dxa"/>
            <w:shd w:val="clear" w:color="auto" w:fill="auto"/>
            <w:vAlign w:val="center"/>
          </w:tcPr>
          <w:p w14:paraId="20FCD6CD">
            <w:pPr>
              <w:jc w:val="center"/>
              <w:rPr>
                <w:rFonts w:ascii="Times New Roman"/>
                <w:sz w:val="21"/>
                <w:szCs w:val="21"/>
              </w:rPr>
            </w:pPr>
            <w:r>
              <w:rPr>
                <w:rFonts w:hint="eastAsia" w:ascii="Times New Roman"/>
                <w:sz w:val="21"/>
                <w:szCs w:val="21"/>
              </w:rPr>
              <w:t>5.667</w:t>
            </w:r>
          </w:p>
        </w:tc>
      </w:tr>
      <w:tr w14:paraId="24A6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22EDD391">
            <w:pPr>
              <w:jc w:val="center"/>
              <w:rPr>
                <w:rFonts w:ascii="Times New Roman"/>
                <w:sz w:val="21"/>
                <w:szCs w:val="21"/>
              </w:rPr>
            </w:pPr>
          </w:p>
        </w:tc>
        <w:tc>
          <w:tcPr>
            <w:tcW w:w="3654" w:type="dxa"/>
            <w:gridSpan w:val="2"/>
            <w:vAlign w:val="center"/>
          </w:tcPr>
          <w:p w14:paraId="705A8395">
            <w:pPr>
              <w:jc w:val="center"/>
              <w:rPr>
                <w:rFonts w:ascii="Times New Roman"/>
                <w:sz w:val="21"/>
                <w:szCs w:val="21"/>
              </w:rPr>
            </w:pPr>
            <w:r>
              <w:rPr>
                <w:rFonts w:ascii="Times New Roman"/>
                <w:sz w:val="21"/>
                <w:szCs w:val="21"/>
              </w:rPr>
              <w:t>BOD</w:t>
            </w:r>
            <w:r>
              <w:rPr>
                <w:rFonts w:ascii="Times New Roman"/>
                <w:sz w:val="21"/>
                <w:szCs w:val="21"/>
                <w:vertAlign w:val="subscript"/>
              </w:rPr>
              <w:t>5</w:t>
            </w:r>
          </w:p>
        </w:tc>
        <w:tc>
          <w:tcPr>
            <w:tcW w:w="1740" w:type="dxa"/>
            <w:vAlign w:val="center"/>
          </w:tcPr>
          <w:p w14:paraId="77572F6B">
            <w:pPr>
              <w:jc w:val="center"/>
              <w:rPr>
                <w:rFonts w:ascii="Times New Roman"/>
                <w:sz w:val="21"/>
                <w:szCs w:val="21"/>
              </w:rPr>
            </w:pPr>
            <w:r>
              <w:rPr>
                <w:rFonts w:hint="eastAsia" w:ascii="Times New Roman"/>
                <w:sz w:val="21"/>
                <w:szCs w:val="21"/>
              </w:rPr>
              <w:t>1.920</w:t>
            </w:r>
          </w:p>
        </w:tc>
        <w:tc>
          <w:tcPr>
            <w:tcW w:w="1765" w:type="dxa"/>
            <w:shd w:val="clear" w:color="auto" w:fill="auto"/>
            <w:vAlign w:val="center"/>
          </w:tcPr>
          <w:p w14:paraId="61A9D1AB">
            <w:pPr>
              <w:jc w:val="center"/>
              <w:rPr>
                <w:rFonts w:ascii="Times New Roman"/>
                <w:sz w:val="21"/>
                <w:szCs w:val="21"/>
              </w:rPr>
            </w:pPr>
            <w:r>
              <w:rPr>
                <w:rFonts w:hint="eastAsia" w:ascii="Times New Roman"/>
                <w:sz w:val="21"/>
                <w:szCs w:val="21"/>
              </w:rPr>
              <w:t>1.536</w:t>
            </w:r>
          </w:p>
        </w:tc>
      </w:tr>
      <w:tr w14:paraId="4962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53195AC3">
            <w:pPr>
              <w:jc w:val="center"/>
              <w:rPr>
                <w:rFonts w:ascii="Times New Roman"/>
                <w:sz w:val="21"/>
                <w:szCs w:val="21"/>
              </w:rPr>
            </w:pPr>
          </w:p>
        </w:tc>
        <w:tc>
          <w:tcPr>
            <w:tcW w:w="3654" w:type="dxa"/>
            <w:gridSpan w:val="2"/>
            <w:vAlign w:val="center"/>
          </w:tcPr>
          <w:p w14:paraId="42D10E5A">
            <w:pPr>
              <w:jc w:val="center"/>
              <w:rPr>
                <w:rFonts w:ascii="Times New Roman"/>
                <w:sz w:val="21"/>
                <w:szCs w:val="21"/>
              </w:rPr>
            </w:pPr>
            <w:r>
              <w:rPr>
                <w:rFonts w:ascii="Times New Roman"/>
                <w:sz w:val="21"/>
                <w:szCs w:val="21"/>
              </w:rPr>
              <w:t>SS</w:t>
            </w:r>
          </w:p>
        </w:tc>
        <w:tc>
          <w:tcPr>
            <w:tcW w:w="1740" w:type="dxa"/>
            <w:vAlign w:val="center"/>
          </w:tcPr>
          <w:p w14:paraId="43591080">
            <w:pPr>
              <w:jc w:val="center"/>
              <w:rPr>
                <w:rFonts w:ascii="Times New Roman"/>
                <w:sz w:val="21"/>
                <w:szCs w:val="21"/>
              </w:rPr>
            </w:pPr>
            <w:r>
              <w:rPr>
                <w:rFonts w:hint="eastAsia" w:ascii="Times New Roman"/>
                <w:sz w:val="21"/>
                <w:szCs w:val="21"/>
              </w:rPr>
              <w:t>36.146</w:t>
            </w:r>
          </w:p>
        </w:tc>
        <w:tc>
          <w:tcPr>
            <w:tcW w:w="1765" w:type="dxa"/>
            <w:shd w:val="clear" w:color="auto" w:fill="auto"/>
            <w:vAlign w:val="center"/>
          </w:tcPr>
          <w:p w14:paraId="19F9DC41">
            <w:pPr>
              <w:jc w:val="center"/>
              <w:rPr>
                <w:rFonts w:ascii="Times New Roman"/>
                <w:sz w:val="21"/>
                <w:szCs w:val="21"/>
              </w:rPr>
            </w:pPr>
            <w:r>
              <w:rPr>
                <w:rFonts w:hint="eastAsia" w:ascii="Times New Roman"/>
                <w:sz w:val="21"/>
                <w:szCs w:val="21"/>
              </w:rPr>
              <w:t>3.783</w:t>
            </w:r>
          </w:p>
        </w:tc>
      </w:tr>
      <w:tr w14:paraId="2E0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16489F10">
            <w:pPr>
              <w:jc w:val="center"/>
              <w:rPr>
                <w:rFonts w:ascii="Times New Roman"/>
                <w:sz w:val="21"/>
                <w:szCs w:val="21"/>
              </w:rPr>
            </w:pPr>
          </w:p>
        </w:tc>
        <w:tc>
          <w:tcPr>
            <w:tcW w:w="3654" w:type="dxa"/>
            <w:gridSpan w:val="2"/>
            <w:vAlign w:val="center"/>
          </w:tcPr>
          <w:p w14:paraId="4FF19C77">
            <w:pPr>
              <w:jc w:val="center"/>
              <w:rPr>
                <w:rFonts w:ascii="Times New Roman"/>
                <w:sz w:val="21"/>
                <w:szCs w:val="21"/>
              </w:rPr>
            </w:pPr>
            <w:r>
              <w:rPr>
                <w:rFonts w:ascii="Times New Roman"/>
                <w:sz w:val="21"/>
                <w:szCs w:val="21"/>
              </w:rPr>
              <w:t>总氮</w:t>
            </w:r>
          </w:p>
        </w:tc>
        <w:tc>
          <w:tcPr>
            <w:tcW w:w="1740" w:type="dxa"/>
            <w:vAlign w:val="center"/>
          </w:tcPr>
          <w:p w14:paraId="4B471461">
            <w:pPr>
              <w:jc w:val="center"/>
              <w:rPr>
                <w:rFonts w:ascii="Times New Roman"/>
                <w:sz w:val="21"/>
                <w:szCs w:val="21"/>
              </w:rPr>
            </w:pPr>
            <w:r>
              <w:rPr>
                <w:rFonts w:hint="eastAsia" w:ascii="Times New Roman"/>
                <w:sz w:val="21"/>
                <w:szCs w:val="21"/>
              </w:rPr>
              <w:t>0.432</w:t>
            </w:r>
          </w:p>
        </w:tc>
        <w:tc>
          <w:tcPr>
            <w:tcW w:w="1765" w:type="dxa"/>
            <w:shd w:val="clear" w:color="auto" w:fill="auto"/>
            <w:vAlign w:val="center"/>
          </w:tcPr>
          <w:p w14:paraId="1AD28D12">
            <w:pPr>
              <w:jc w:val="center"/>
              <w:rPr>
                <w:rFonts w:ascii="Times New Roman"/>
                <w:sz w:val="21"/>
                <w:szCs w:val="21"/>
              </w:rPr>
            </w:pPr>
            <w:r>
              <w:rPr>
                <w:rFonts w:hint="eastAsia" w:ascii="Times New Roman"/>
                <w:sz w:val="21"/>
                <w:szCs w:val="21"/>
              </w:rPr>
              <w:t>0.240</w:t>
            </w:r>
          </w:p>
        </w:tc>
      </w:tr>
      <w:tr w14:paraId="217A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01B0A34C">
            <w:pPr>
              <w:jc w:val="center"/>
              <w:rPr>
                <w:rFonts w:ascii="Times New Roman"/>
                <w:sz w:val="21"/>
                <w:szCs w:val="21"/>
              </w:rPr>
            </w:pPr>
          </w:p>
        </w:tc>
        <w:tc>
          <w:tcPr>
            <w:tcW w:w="3654" w:type="dxa"/>
            <w:gridSpan w:val="2"/>
            <w:vAlign w:val="center"/>
          </w:tcPr>
          <w:p w14:paraId="7860EF66">
            <w:pPr>
              <w:jc w:val="center"/>
              <w:rPr>
                <w:rFonts w:ascii="Times New Roman"/>
                <w:sz w:val="21"/>
                <w:szCs w:val="21"/>
              </w:rPr>
            </w:pPr>
            <w:r>
              <w:rPr>
                <w:rFonts w:ascii="Times New Roman"/>
                <w:sz w:val="21"/>
                <w:szCs w:val="21"/>
              </w:rPr>
              <w:t>总磷</w:t>
            </w:r>
          </w:p>
        </w:tc>
        <w:tc>
          <w:tcPr>
            <w:tcW w:w="1740" w:type="dxa"/>
            <w:vAlign w:val="center"/>
          </w:tcPr>
          <w:p w14:paraId="1AE0781E">
            <w:pPr>
              <w:jc w:val="center"/>
              <w:rPr>
                <w:rFonts w:ascii="Times New Roman"/>
                <w:sz w:val="21"/>
                <w:szCs w:val="21"/>
              </w:rPr>
            </w:pPr>
            <w:r>
              <w:rPr>
                <w:rFonts w:hint="eastAsia" w:ascii="Times New Roman"/>
                <w:sz w:val="21"/>
                <w:szCs w:val="21"/>
              </w:rPr>
              <w:t>0.841</w:t>
            </w:r>
          </w:p>
        </w:tc>
        <w:tc>
          <w:tcPr>
            <w:tcW w:w="1765" w:type="dxa"/>
            <w:shd w:val="clear" w:color="auto" w:fill="auto"/>
            <w:vAlign w:val="center"/>
          </w:tcPr>
          <w:p w14:paraId="0CAA31B1">
            <w:pPr>
              <w:jc w:val="center"/>
              <w:rPr>
                <w:rFonts w:ascii="Times New Roman"/>
                <w:sz w:val="21"/>
                <w:szCs w:val="21"/>
              </w:rPr>
            </w:pPr>
            <w:r>
              <w:rPr>
                <w:rFonts w:hint="eastAsia" w:ascii="Times New Roman"/>
                <w:sz w:val="21"/>
                <w:szCs w:val="21"/>
              </w:rPr>
              <w:t>0.133</w:t>
            </w:r>
          </w:p>
        </w:tc>
      </w:tr>
      <w:tr w14:paraId="7C1A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2261E759">
            <w:pPr>
              <w:jc w:val="center"/>
              <w:rPr>
                <w:rFonts w:ascii="Times New Roman"/>
                <w:sz w:val="21"/>
                <w:szCs w:val="21"/>
              </w:rPr>
            </w:pPr>
          </w:p>
        </w:tc>
        <w:tc>
          <w:tcPr>
            <w:tcW w:w="3654" w:type="dxa"/>
            <w:gridSpan w:val="2"/>
            <w:vAlign w:val="center"/>
          </w:tcPr>
          <w:p w14:paraId="539C49E3">
            <w:pPr>
              <w:jc w:val="center"/>
              <w:rPr>
                <w:rFonts w:ascii="Times New Roman"/>
                <w:sz w:val="21"/>
                <w:szCs w:val="21"/>
              </w:rPr>
            </w:pPr>
            <w:r>
              <w:rPr>
                <w:rFonts w:ascii="Times New Roman"/>
                <w:sz w:val="21"/>
                <w:szCs w:val="21"/>
              </w:rPr>
              <w:t>氨氮</w:t>
            </w:r>
          </w:p>
        </w:tc>
        <w:tc>
          <w:tcPr>
            <w:tcW w:w="1740" w:type="dxa"/>
            <w:vAlign w:val="center"/>
          </w:tcPr>
          <w:p w14:paraId="19BFE174">
            <w:pPr>
              <w:jc w:val="center"/>
              <w:rPr>
                <w:rFonts w:ascii="Times New Roman"/>
                <w:sz w:val="21"/>
                <w:szCs w:val="21"/>
              </w:rPr>
            </w:pPr>
            <w:r>
              <w:rPr>
                <w:rFonts w:hint="eastAsia" w:ascii="Times New Roman"/>
                <w:sz w:val="21"/>
                <w:szCs w:val="21"/>
              </w:rPr>
              <w:t>0.288</w:t>
            </w:r>
          </w:p>
        </w:tc>
        <w:tc>
          <w:tcPr>
            <w:tcW w:w="1765" w:type="dxa"/>
            <w:shd w:val="clear" w:color="auto" w:fill="auto"/>
            <w:vAlign w:val="center"/>
          </w:tcPr>
          <w:p w14:paraId="4BCFFE65">
            <w:pPr>
              <w:jc w:val="center"/>
              <w:rPr>
                <w:rFonts w:ascii="Times New Roman"/>
                <w:sz w:val="21"/>
                <w:szCs w:val="21"/>
              </w:rPr>
            </w:pPr>
            <w:r>
              <w:rPr>
                <w:rFonts w:hint="eastAsia" w:ascii="Times New Roman"/>
                <w:sz w:val="21"/>
                <w:szCs w:val="21"/>
              </w:rPr>
              <w:t>0.336</w:t>
            </w:r>
          </w:p>
        </w:tc>
      </w:tr>
      <w:tr w14:paraId="185C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2CA6562C">
            <w:pPr>
              <w:jc w:val="center"/>
              <w:rPr>
                <w:rFonts w:ascii="Times New Roman"/>
                <w:sz w:val="21"/>
                <w:szCs w:val="21"/>
              </w:rPr>
            </w:pPr>
          </w:p>
        </w:tc>
        <w:tc>
          <w:tcPr>
            <w:tcW w:w="3654" w:type="dxa"/>
            <w:gridSpan w:val="2"/>
            <w:shd w:val="clear" w:color="auto" w:fill="auto"/>
            <w:vAlign w:val="center"/>
          </w:tcPr>
          <w:p w14:paraId="027394C3">
            <w:pPr>
              <w:jc w:val="center"/>
              <w:rPr>
                <w:rFonts w:ascii="Times New Roman"/>
                <w:sz w:val="21"/>
                <w:szCs w:val="21"/>
              </w:rPr>
            </w:pPr>
            <w:r>
              <w:rPr>
                <w:rFonts w:ascii="Times New Roman"/>
                <w:sz w:val="21"/>
                <w:szCs w:val="21"/>
              </w:rPr>
              <w:t>动植物油</w:t>
            </w:r>
          </w:p>
        </w:tc>
        <w:tc>
          <w:tcPr>
            <w:tcW w:w="1740" w:type="dxa"/>
            <w:shd w:val="clear" w:color="auto" w:fill="auto"/>
            <w:vAlign w:val="center"/>
          </w:tcPr>
          <w:p w14:paraId="554B1E7A">
            <w:pPr>
              <w:jc w:val="center"/>
              <w:rPr>
                <w:rFonts w:ascii="Times New Roman"/>
                <w:sz w:val="21"/>
                <w:szCs w:val="21"/>
              </w:rPr>
            </w:pPr>
            <w:r>
              <w:rPr>
                <w:rFonts w:hint="eastAsia" w:ascii="Times New Roman"/>
                <w:sz w:val="21"/>
                <w:szCs w:val="21"/>
              </w:rPr>
              <w:t>0.480</w:t>
            </w:r>
          </w:p>
        </w:tc>
        <w:tc>
          <w:tcPr>
            <w:tcW w:w="1765" w:type="dxa"/>
            <w:shd w:val="clear" w:color="auto" w:fill="auto"/>
            <w:vAlign w:val="center"/>
          </w:tcPr>
          <w:p w14:paraId="5F359C18">
            <w:pPr>
              <w:jc w:val="center"/>
              <w:rPr>
                <w:rFonts w:ascii="Times New Roman"/>
                <w:sz w:val="21"/>
                <w:szCs w:val="21"/>
              </w:rPr>
            </w:pPr>
            <w:r>
              <w:rPr>
                <w:rFonts w:hint="eastAsia" w:ascii="Times New Roman"/>
                <w:sz w:val="21"/>
                <w:szCs w:val="21"/>
              </w:rPr>
              <w:t>0.096</w:t>
            </w:r>
          </w:p>
        </w:tc>
      </w:tr>
      <w:tr w14:paraId="4454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gridSpan w:val="2"/>
            <w:vMerge w:val="continue"/>
            <w:vAlign w:val="center"/>
          </w:tcPr>
          <w:p w14:paraId="07B48265">
            <w:pPr>
              <w:jc w:val="center"/>
              <w:rPr>
                <w:rFonts w:ascii="Times New Roman"/>
                <w:sz w:val="21"/>
                <w:szCs w:val="21"/>
              </w:rPr>
            </w:pPr>
          </w:p>
        </w:tc>
        <w:tc>
          <w:tcPr>
            <w:tcW w:w="3654" w:type="dxa"/>
            <w:gridSpan w:val="2"/>
            <w:vAlign w:val="center"/>
          </w:tcPr>
          <w:p w14:paraId="078450A2">
            <w:pPr>
              <w:jc w:val="center"/>
              <w:rPr>
                <w:rFonts w:ascii="Times New Roman"/>
                <w:sz w:val="21"/>
                <w:szCs w:val="21"/>
              </w:rPr>
            </w:pPr>
            <w:r>
              <w:rPr>
                <w:rFonts w:hint="eastAsia" w:ascii="Times New Roman"/>
                <w:sz w:val="21"/>
                <w:szCs w:val="21"/>
              </w:rPr>
              <w:t>石油类</w:t>
            </w:r>
          </w:p>
        </w:tc>
        <w:tc>
          <w:tcPr>
            <w:tcW w:w="1740" w:type="dxa"/>
            <w:vAlign w:val="center"/>
          </w:tcPr>
          <w:p w14:paraId="7817CD0F">
            <w:pPr>
              <w:jc w:val="center"/>
              <w:rPr>
                <w:rFonts w:ascii="Times New Roman"/>
                <w:sz w:val="21"/>
                <w:szCs w:val="21"/>
              </w:rPr>
            </w:pPr>
            <w:r>
              <w:rPr>
                <w:rFonts w:hint="eastAsia" w:ascii="Times New Roman"/>
                <w:sz w:val="21"/>
                <w:szCs w:val="21"/>
              </w:rPr>
              <w:t>1.190</w:t>
            </w:r>
          </w:p>
        </w:tc>
        <w:tc>
          <w:tcPr>
            <w:tcW w:w="1765" w:type="dxa"/>
            <w:shd w:val="clear" w:color="auto" w:fill="auto"/>
            <w:vAlign w:val="center"/>
          </w:tcPr>
          <w:p w14:paraId="6D04BC1C">
            <w:pPr>
              <w:jc w:val="center"/>
              <w:rPr>
                <w:rFonts w:ascii="Times New Roman"/>
                <w:sz w:val="21"/>
                <w:szCs w:val="21"/>
              </w:rPr>
            </w:pPr>
            <w:r>
              <w:rPr>
                <w:rFonts w:hint="eastAsia" w:ascii="Times New Roman"/>
                <w:sz w:val="21"/>
                <w:szCs w:val="21"/>
              </w:rPr>
              <w:t>0.183</w:t>
            </w:r>
          </w:p>
        </w:tc>
      </w:tr>
      <w:tr w14:paraId="3F1A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restart"/>
            <w:vAlign w:val="center"/>
          </w:tcPr>
          <w:p w14:paraId="76F9ACD3">
            <w:pPr>
              <w:jc w:val="center"/>
              <w:rPr>
                <w:rFonts w:ascii="Times New Roman"/>
                <w:sz w:val="21"/>
                <w:szCs w:val="21"/>
              </w:rPr>
            </w:pPr>
            <w:r>
              <w:rPr>
                <w:rFonts w:ascii="Times New Roman"/>
                <w:sz w:val="21"/>
                <w:szCs w:val="21"/>
              </w:rPr>
              <w:t>固废</w:t>
            </w:r>
          </w:p>
          <w:p w14:paraId="72D3DCAB">
            <w:pPr>
              <w:jc w:val="center"/>
              <w:rPr>
                <w:rFonts w:ascii="Times New Roman"/>
                <w:sz w:val="21"/>
                <w:szCs w:val="21"/>
              </w:rPr>
            </w:pPr>
            <w:r>
              <w:rPr>
                <w:rFonts w:ascii="Times New Roman"/>
                <w:sz w:val="21"/>
                <w:szCs w:val="21"/>
              </w:rPr>
              <w:t>（产生量）</w:t>
            </w:r>
          </w:p>
        </w:tc>
        <w:tc>
          <w:tcPr>
            <w:tcW w:w="3654" w:type="dxa"/>
            <w:gridSpan w:val="2"/>
            <w:shd w:val="clear" w:color="auto" w:fill="auto"/>
            <w:vAlign w:val="center"/>
          </w:tcPr>
          <w:p w14:paraId="1B66C157">
            <w:pPr>
              <w:adjustRightInd w:val="0"/>
              <w:snapToGrid w:val="0"/>
              <w:spacing w:line="320" w:lineRule="exact"/>
              <w:jc w:val="center"/>
              <w:rPr>
                <w:rFonts w:ascii="Times New Roman"/>
                <w:sz w:val="21"/>
                <w:szCs w:val="21"/>
              </w:rPr>
            </w:pPr>
            <w:r>
              <w:rPr>
                <w:rFonts w:ascii="Times New Roman"/>
                <w:sz w:val="21"/>
                <w:szCs w:val="21"/>
              </w:rPr>
              <w:t>漆渣</w:t>
            </w:r>
          </w:p>
        </w:tc>
        <w:tc>
          <w:tcPr>
            <w:tcW w:w="1740" w:type="dxa"/>
            <w:shd w:val="clear" w:color="auto" w:fill="auto"/>
            <w:vAlign w:val="center"/>
          </w:tcPr>
          <w:p w14:paraId="34D7C558">
            <w:pPr>
              <w:adjustRightInd w:val="0"/>
              <w:snapToGrid w:val="0"/>
              <w:spacing w:line="320" w:lineRule="exact"/>
              <w:jc w:val="center"/>
              <w:rPr>
                <w:rFonts w:ascii="Times New Roman"/>
                <w:sz w:val="21"/>
                <w:szCs w:val="21"/>
              </w:rPr>
            </w:pPr>
            <w:r>
              <w:rPr>
                <w:rFonts w:hint="eastAsia" w:ascii="Times New Roman"/>
                <w:sz w:val="21"/>
                <w:szCs w:val="21"/>
              </w:rPr>
              <w:t>181.703</w:t>
            </w:r>
          </w:p>
        </w:tc>
        <w:tc>
          <w:tcPr>
            <w:tcW w:w="1765" w:type="dxa"/>
            <w:vAlign w:val="center"/>
          </w:tcPr>
          <w:p w14:paraId="01F455D0">
            <w:pPr>
              <w:jc w:val="center"/>
              <w:rPr>
                <w:rFonts w:ascii="Times New Roman"/>
                <w:sz w:val="21"/>
                <w:szCs w:val="21"/>
              </w:rPr>
            </w:pPr>
            <w:r>
              <w:rPr>
                <w:rFonts w:ascii="Times New Roman"/>
                <w:sz w:val="21"/>
                <w:szCs w:val="21"/>
              </w:rPr>
              <w:t>/</w:t>
            </w:r>
          </w:p>
        </w:tc>
      </w:tr>
      <w:tr w14:paraId="5B39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06092EB6">
            <w:pPr>
              <w:jc w:val="center"/>
              <w:rPr>
                <w:rFonts w:ascii="Times New Roman"/>
                <w:sz w:val="21"/>
                <w:szCs w:val="21"/>
              </w:rPr>
            </w:pPr>
          </w:p>
        </w:tc>
        <w:tc>
          <w:tcPr>
            <w:tcW w:w="3654" w:type="dxa"/>
            <w:gridSpan w:val="2"/>
            <w:shd w:val="clear" w:color="auto" w:fill="auto"/>
            <w:vAlign w:val="center"/>
          </w:tcPr>
          <w:p w14:paraId="3CB8DC24">
            <w:pPr>
              <w:adjustRightInd w:val="0"/>
              <w:snapToGrid w:val="0"/>
              <w:spacing w:line="320" w:lineRule="exact"/>
              <w:jc w:val="center"/>
              <w:rPr>
                <w:rFonts w:ascii="Times New Roman"/>
                <w:sz w:val="21"/>
                <w:szCs w:val="21"/>
              </w:rPr>
            </w:pPr>
            <w:r>
              <w:rPr>
                <w:rFonts w:ascii="Times New Roman"/>
                <w:sz w:val="21"/>
                <w:szCs w:val="21"/>
              </w:rPr>
              <w:t>废油漆桶、废稀释剂桶</w:t>
            </w:r>
          </w:p>
        </w:tc>
        <w:tc>
          <w:tcPr>
            <w:tcW w:w="1740" w:type="dxa"/>
            <w:shd w:val="clear" w:color="auto" w:fill="auto"/>
            <w:vAlign w:val="center"/>
          </w:tcPr>
          <w:p w14:paraId="24BDF05C">
            <w:pPr>
              <w:adjustRightInd w:val="0"/>
              <w:snapToGrid w:val="0"/>
              <w:spacing w:line="320" w:lineRule="exact"/>
              <w:jc w:val="center"/>
              <w:rPr>
                <w:rFonts w:ascii="Times New Roman"/>
                <w:sz w:val="21"/>
                <w:szCs w:val="21"/>
              </w:rPr>
            </w:pPr>
            <w:r>
              <w:rPr>
                <w:rFonts w:hint="eastAsia" w:ascii="Times New Roman"/>
                <w:sz w:val="21"/>
                <w:szCs w:val="21"/>
              </w:rPr>
              <w:t>7</w:t>
            </w:r>
          </w:p>
        </w:tc>
        <w:tc>
          <w:tcPr>
            <w:tcW w:w="1765" w:type="dxa"/>
            <w:vAlign w:val="center"/>
          </w:tcPr>
          <w:p w14:paraId="48A96E71">
            <w:pPr>
              <w:jc w:val="center"/>
              <w:rPr>
                <w:rFonts w:ascii="Times New Roman"/>
                <w:sz w:val="21"/>
                <w:szCs w:val="21"/>
              </w:rPr>
            </w:pPr>
            <w:r>
              <w:rPr>
                <w:rFonts w:ascii="Times New Roman"/>
                <w:sz w:val="21"/>
                <w:szCs w:val="21"/>
              </w:rPr>
              <w:t>/</w:t>
            </w:r>
          </w:p>
        </w:tc>
      </w:tr>
      <w:tr w14:paraId="0D63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1D49F53F">
            <w:pPr>
              <w:jc w:val="center"/>
              <w:rPr>
                <w:rFonts w:ascii="Times New Roman"/>
                <w:sz w:val="21"/>
                <w:szCs w:val="21"/>
              </w:rPr>
            </w:pPr>
          </w:p>
        </w:tc>
        <w:tc>
          <w:tcPr>
            <w:tcW w:w="3654" w:type="dxa"/>
            <w:gridSpan w:val="2"/>
            <w:shd w:val="clear" w:color="auto" w:fill="auto"/>
            <w:vAlign w:val="center"/>
          </w:tcPr>
          <w:p w14:paraId="7A41A350">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1740" w:type="dxa"/>
            <w:shd w:val="clear" w:color="auto" w:fill="auto"/>
            <w:vAlign w:val="center"/>
          </w:tcPr>
          <w:p w14:paraId="310E0308">
            <w:pPr>
              <w:adjustRightInd w:val="0"/>
              <w:snapToGrid w:val="0"/>
              <w:spacing w:line="320" w:lineRule="exact"/>
              <w:jc w:val="center"/>
              <w:rPr>
                <w:rFonts w:ascii="Times New Roman"/>
                <w:sz w:val="21"/>
                <w:szCs w:val="21"/>
              </w:rPr>
            </w:pPr>
            <w:r>
              <w:rPr>
                <w:rFonts w:hint="eastAsia" w:ascii="Times New Roman"/>
                <w:sz w:val="21"/>
                <w:szCs w:val="21"/>
              </w:rPr>
              <w:t>5</w:t>
            </w:r>
          </w:p>
        </w:tc>
        <w:tc>
          <w:tcPr>
            <w:tcW w:w="1765" w:type="dxa"/>
            <w:vAlign w:val="center"/>
          </w:tcPr>
          <w:p w14:paraId="1A35D818">
            <w:pPr>
              <w:jc w:val="center"/>
              <w:rPr>
                <w:rFonts w:ascii="Times New Roman"/>
                <w:sz w:val="21"/>
                <w:szCs w:val="21"/>
              </w:rPr>
            </w:pPr>
            <w:r>
              <w:rPr>
                <w:rFonts w:ascii="Times New Roman"/>
                <w:sz w:val="21"/>
                <w:szCs w:val="21"/>
              </w:rPr>
              <w:t>/</w:t>
            </w:r>
          </w:p>
        </w:tc>
      </w:tr>
      <w:tr w14:paraId="768A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1CD91559">
            <w:pPr>
              <w:jc w:val="center"/>
              <w:rPr>
                <w:rFonts w:ascii="Times New Roman"/>
                <w:sz w:val="21"/>
                <w:szCs w:val="21"/>
              </w:rPr>
            </w:pPr>
          </w:p>
        </w:tc>
        <w:tc>
          <w:tcPr>
            <w:tcW w:w="3654" w:type="dxa"/>
            <w:gridSpan w:val="2"/>
            <w:shd w:val="clear" w:color="auto" w:fill="auto"/>
            <w:vAlign w:val="center"/>
          </w:tcPr>
          <w:p w14:paraId="05678EDA">
            <w:pPr>
              <w:adjustRightInd w:val="0"/>
              <w:snapToGrid w:val="0"/>
              <w:spacing w:line="320" w:lineRule="exact"/>
              <w:jc w:val="center"/>
              <w:rPr>
                <w:rFonts w:ascii="Times New Roman"/>
                <w:sz w:val="21"/>
                <w:szCs w:val="21"/>
              </w:rPr>
            </w:pPr>
            <w:r>
              <w:rPr>
                <w:rFonts w:ascii="Times New Roman"/>
                <w:sz w:val="21"/>
                <w:szCs w:val="21"/>
              </w:rPr>
              <w:t>废滤芯、杂质</w:t>
            </w:r>
          </w:p>
        </w:tc>
        <w:tc>
          <w:tcPr>
            <w:tcW w:w="1740" w:type="dxa"/>
            <w:shd w:val="clear" w:color="auto" w:fill="auto"/>
            <w:vAlign w:val="center"/>
          </w:tcPr>
          <w:p w14:paraId="52783640">
            <w:pPr>
              <w:adjustRightInd w:val="0"/>
              <w:snapToGrid w:val="0"/>
              <w:spacing w:line="320" w:lineRule="exact"/>
              <w:jc w:val="center"/>
              <w:rPr>
                <w:rFonts w:ascii="Times New Roman"/>
                <w:sz w:val="21"/>
                <w:szCs w:val="21"/>
              </w:rPr>
            </w:pPr>
            <w:r>
              <w:rPr>
                <w:rFonts w:hint="eastAsia" w:ascii="Times New Roman"/>
                <w:sz w:val="21"/>
                <w:szCs w:val="21"/>
              </w:rPr>
              <w:t>2.8</w:t>
            </w:r>
          </w:p>
        </w:tc>
        <w:tc>
          <w:tcPr>
            <w:tcW w:w="1765" w:type="dxa"/>
            <w:vAlign w:val="center"/>
          </w:tcPr>
          <w:p w14:paraId="76968F78">
            <w:pPr>
              <w:jc w:val="center"/>
              <w:rPr>
                <w:rFonts w:ascii="Times New Roman"/>
                <w:sz w:val="21"/>
                <w:szCs w:val="21"/>
              </w:rPr>
            </w:pPr>
            <w:r>
              <w:rPr>
                <w:rFonts w:hint="eastAsia" w:ascii="Times New Roman"/>
                <w:sz w:val="21"/>
                <w:szCs w:val="21"/>
              </w:rPr>
              <w:t>/</w:t>
            </w:r>
          </w:p>
        </w:tc>
      </w:tr>
      <w:tr w14:paraId="61B8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5BCB10FA">
            <w:pPr>
              <w:jc w:val="center"/>
              <w:rPr>
                <w:rFonts w:ascii="Times New Roman"/>
                <w:sz w:val="21"/>
                <w:szCs w:val="21"/>
              </w:rPr>
            </w:pPr>
          </w:p>
        </w:tc>
        <w:tc>
          <w:tcPr>
            <w:tcW w:w="3654" w:type="dxa"/>
            <w:gridSpan w:val="2"/>
            <w:shd w:val="clear" w:color="auto" w:fill="auto"/>
            <w:vAlign w:val="center"/>
          </w:tcPr>
          <w:p w14:paraId="0DC5F407">
            <w:pPr>
              <w:adjustRightInd w:val="0"/>
              <w:snapToGrid w:val="0"/>
              <w:spacing w:line="320" w:lineRule="exact"/>
              <w:jc w:val="center"/>
              <w:rPr>
                <w:rFonts w:ascii="Times New Roman"/>
                <w:sz w:val="21"/>
                <w:szCs w:val="21"/>
              </w:rPr>
            </w:pPr>
            <w:r>
              <w:rPr>
                <w:rFonts w:ascii="Times New Roman"/>
                <w:sz w:val="21"/>
                <w:szCs w:val="21"/>
              </w:rPr>
              <w:t>废液压油</w:t>
            </w:r>
          </w:p>
        </w:tc>
        <w:tc>
          <w:tcPr>
            <w:tcW w:w="1740" w:type="dxa"/>
            <w:shd w:val="clear" w:color="auto" w:fill="auto"/>
            <w:vAlign w:val="center"/>
          </w:tcPr>
          <w:p w14:paraId="0D7E220C">
            <w:pPr>
              <w:adjustRightInd w:val="0"/>
              <w:snapToGrid w:val="0"/>
              <w:spacing w:line="320" w:lineRule="exact"/>
              <w:jc w:val="center"/>
              <w:rPr>
                <w:rFonts w:ascii="Times New Roman"/>
                <w:sz w:val="21"/>
                <w:szCs w:val="21"/>
              </w:rPr>
            </w:pPr>
            <w:r>
              <w:rPr>
                <w:rFonts w:ascii="Times New Roman"/>
                <w:sz w:val="21"/>
                <w:szCs w:val="21"/>
              </w:rPr>
              <w:t>1.2</w:t>
            </w:r>
          </w:p>
        </w:tc>
        <w:tc>
          <w:tcPr>
            <w:tcW w:w="1765" w:type="dxa"/>
            <w:vAlign w:val="center"/>
          </w:tcPr>
          <w:p w14:paraId="6A851FEA">
            <w:pPr>
              <w:jc w:val="center"/>
              <w:rPr>
                <w:rFonts w:ascii="Times New Roman"/>
                <w:sz w:val="21"/>
                <w:szCs w:val="21"/>
              </w:rPr>
            </w:pPr>
            <w:r>
              <w:rPr>
                <w:rFonts w:ascii="Times New Roman"/>
                <w:sz w:val="21"/>
                <w:szCs w:val="21"/>
              </w:rPr>
              <w:t>/</w:t>
            </w:r>
          </w:p>
        </w:tc>
      </w:tr>
      <w:tr w14:paraId="3964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733E856C">
            <w:pPr>
              <w:jc w:val="center"/>
              <w:rPr>
                <w:rFonts w:ascii="Times New Roman"/>
                <w:sz w:val="21"/>
                <w:szCs w:val="21"/>
              </w:rPr>
            </w:pPr>
          </w:p>
        </w:tc>
        <w:tc>
          <w:tcPr>
            <w:tcW w:w="3654" w:type="dxa"/>
            <w:gridSpan w:val="2"/>
            <w:shd w:val="clear" w:color="auto" w:fill="auto"/>
            <w:vAlign w:val="center"/>
          </w:tcPr>
          <w:p w14:paraId="01F0FA41">
            <w:pPr>
              <w:adjustRightInd w:val="0"/>
              <w:snapToGrid w:val="0"/>
              <w:spacing w:line="320" w:lineRule="exact"/>
              <w:jc w:val="center"/>
              <w:rPr>
                <w:rFonts w:ascii="Times New Roman"/>
                <w:sz w:val="21"/>
                <w:szCs w:val="21"/>
              </w:rPr>
            </w:pPr>
            <w:r>
              <w:rPr>
                <w:rFonts w:ascii="Times New Roman"/>
                <w:sz w:val="21"/>
                <w:szCs w:val="21"/>
              </w:rPr>
              <w:t>废润滑油</w:t>
            </w:r>
          </w:p>
        </w:tc>
        <w:tc>
          <w:tcPr>
            <w:tcW w:w="1740" w:type="dxa"/>
            <w:shd w:val="clear" w:color="auto" w:fill="auto"/>
            <w:vAlign w:val="center"/>
          </w:tcPr>
          <w:p w14:paraId="523F0453">
            <w:pPr>
              <w:adjustRightInd w:val="0"/>
              <w:snapToGrid w:val="0"/>
              <w:spacing w:line="320" w:lineRule="exact"/>
              <w:jc w:val="center"/>
              <w:rPr>
                <w:rFonts w:ascii="Times New Roman"/>
                <w:sz w:val="21"/>
                <w:szCs w:val="21"/>
              </w:rPr>
            </w:pPr>
            <w:r>
              <w:rPr>
                <w:rFonts w:ascii="Times New Roman"/>
                <w:sz w:val="21"/>
                <w:szCs w:val="21"/>
              </w:rPr>
              <w:t>2</w:t>
            </w:r>
          </w:p>
        </w:tc>
        <w:tc>
          <w:tcPr>
            <w:tcW w:w="1765" w:type="dxa"/>
            <w:vAlign w:val="center"/>
          </w:tcPr>
          <w:p w14:paraId="086A7B1C">
            <w:pPr>
              <w:jc w:val="center"/>
              <w:rPr>
                <w:rFonts w:ascii="Times New Roman"/>
                <w:sz w:val="21"/>
                <w:szCs w:val="21"/>
              </w:rPr>
            </w:pPr>
            <w:r>
              <w:rPr>
                <w:rFonts w:ascii="Times New Roman"/>
                <w:sz w:val="21"/>
                <w:szCs w:val="21"/>
              </w:rPr>
              <w:t>/</w:t>
            </w:r>
          </w:p>
        </w:tc>
      </w:tr>
      <w:tr w14:paraId="2EBF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1361F638">
            <w:pPr>
              <w:jc w:val="center"/>
              <w:rPr>
                <w:rFonts w:ascii="Times New Roman"/>
                <w:sz w:val="21"/>
                <w:szCs w:val="21"/>
              </w:rPr>
            </w:pPr>
          </w:p>
        </w:tc>
        <w:tc>
          <w:tcPr>
            <w:tcW w:w="3654" w:type="dxa"/>
            <w:gridSpan w:val="2"/>
            <w:shd w:val="clear" w:color="auto" w:fill="auto"/>
            <w:vAlign w:val="center"/>
          </w:tcPr>
          <w:p w14:paraId="3F9DF71F">
            <w:pPr>
              <w:adjustRightInd w:val="0"/>
              <w:snapToGrid w:val="0"/>
              <w:spacing w:line="320" w:lineRule="exact"/>
              <w:jc w:val="center"/>
              <w:rPr>
                <w:rFonts w:ascii="Times New Roman"/>
                <w:sz w:val="21"/>
                <w:szCs w:val="21"/>
              </w:rPr>
            </w:pPr>
            <w:r>
              <w:rPr>
                <w:rFonts w:ascii="Times New Roman"/>
                <w:sz w:val="21"/>
                <w:szCs w:val="21"/>
              </w:rPr>
              <w:t>废油桶</w:t>
            </w:r>
          </w:p>
        </w:tc>
        <w:tc>
          <w:tcPr>
            <w:tcW w:w="1740" w:type="dxa"/>
            <w:shd w:val="clear" w:color="auto" w:fill="auto"/>
            <w:vAlign w:val="center"/>
          </w:tcPr>
          <w:p w14:paraId="2084CB0C">
            <w:pPr>
              <w:adjustRightInd w:val="0"/>
              <w:snapToGrid w:val="0"/>
              <w:spacing w:line="320" w:lineRule="exact"/>
              <w:jc w:val="center"/>
              <w:rPr>
                <w:rFonts w:ascii="Times New Roman"/>
                <w:sz w:val="21"/>
                <w:szCs w:val="21"/>
              </w:rPr>
            </w:pPr>
            <w:r>
              <w:rPr>
                <w:rFonts w:ascii="Times New Roman"/>
                <w:sz w:val="21"/>
                <w:szCs w:val="21"/>
              </w:rPr>
              <w:t>0.4</w:t>
            </w:r>
          </w:p>
        </w:tc>
        <w:tc>
          <w:tcPr>
            <w:tcW w:w="1765" w:type="dxa"/>
            <w:vAlign w:val="center"/>
          </w:tcPr>
          <w:p w14:paraId="24D13D3A">
            <w:pPr>
              <w:jc w:val="center"/>
              <w:rPr>
                <w:rFonts w:ascii="Times New Roman"/>
                <w:sz w:val="21"/>
                <w:szCs w:val="21"/>
              </w:rPr>
            </w:pPr>
            <w:r>
              <w:rPr>
                <w:rFonts w:ascii="Times New Roman"/>
                <w:sz w:val="21"/>
                <w:szCs w:val="21"/>
              </w:rPr>
              <w:t>/</w:t>
            </w:r>
          </w:p>
        </w:tc>
      </w:tr>
      <w:tr w14:paraId="5A5A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1E59DC0E">
            <w:pPr>
              <w:jc w:val="center"/>
              <w:rPr>
                <w:rFonts w:ascii="Times New Roman"/>
                <w:sz w:val="21"/>
                <w:szCs w:val="21"/>
              </w:rPr>
            </w:pPr>
          </w:p>
        </w:tc>
        <w:tc>
          <w:tcPr>
            <w:tcW w:w="3654" w:type="dxa"/>
            <w:gridSpan w:val="2"/>
            <w:shd w:val="clear" w:color="auto" w:fill="auto"/>
            <w:vAlign w:val="center"/>
          </w:tcPr>
          <w:p w14:paraId="6A8BBFAD">
            <w:pPr>
              <w:adjustRightInd w:val="0"/>
              <w:snapToGrid w:val="0"/>
              <w:spacing w:line="320" w:lineRule="exact"/>
              <w:jc w:val="center"/>
              <w:rPr>
                <w:rFonts w:ascii="Times New Roman"/>
                <w:sz w:val="21"/>
                <w:szCs w:val="21"/>
              </w:rPr>
            </w:pPr>
            <w:r>
              <w:rPr>
                <w:rFonts w:ascii="Times New Roman"/>
                <w:sz w:val="21"/>
                <w:szCs w:val="21"/>
              </w:rPr>
              <w:t>废切削液</w:t>
            </w:r>
          </w:p>
        </w:tc>
        <w:tc>
          <w:tcPr>
            <w:tcW w:w="1740" w:type="dxa"/>
            <w:shd w:val="clear" w:color="auto" w:fill="auto"/>
            <w:vAlign w:val="center"/>
          </w:tcPr>
          <w:p w14:paraId="15A9AF4E">
            <w:pPr>
              <w:adjustRightInd w:val="0"/>
              <w:snapToGrid w:val="0"/>
              <w:spacing w:line="320" w:lineRule="exact"/>
              <w:jc w:val="center"/>
              <w:rPr>
                <w:rFonts w:ascii="Times New Roman"/>
                <w:sz w:val="21"/>
                <w:szCs w:val="21"/>
              </w:rPr>
            </w:pPr>
            <w:r>
              <w:rPr>
                <w:rFonts w:ascii="Times New Roman"/>
                <w:sz w:val="21"/>
                <w:szCs w:val="21"/>
              </w:rPr>
              <w:t>7.5</w:t>
            </w:r>
          </w:p>
        </w:tc>
        <w:tc>
          <w:tcPr>
            <w:tcW w:w="1765" w:type="dxa"/>
            <w:vAlign w:val="center"/>
          </w:tcPr>
          <w:p w14:paraId="664F9299">
            <w:pPr>
              <w:jc w:val="center"/>
              <w:rPr>
                <w:rFonts w:ascii="Times New Roman"/>
                <w:sz w:val="21"/>
                <w:szCs w:val="21"/>
              </w:rPr>
            </w:pPr>
            <w:r>
              <w:rPr>
                <w:rFonts w:ascii="Times New Roman"/>
                <w:sz w:val="21"/>
                <w:szCs w:val="21"/>
              </w:rPr>
              <w:t>/</w:t>
            </w:r>
          </w:p>
        </w:tc>
      </w:tr>
      <w:tr w14:paraId="4139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466FDFB0">
            <w:pPr>
              <w:jc w:val="center"/>
              <w:rPr>
                <w:rFonts w:ascii="Times New Roman"/>
                <w:sz w:val="21"/>
                <w:szCs w:val="21"/>
              </w:rPr>
            </w:pPr>
          </w:p>
        </w:tc>
        <w:tc>
          <w:tcPr>
            <w:tcW w:w="3654" w:type="dxa"/>
            <w:gridSpan w:val="2"/>
            <w:shd w:val="clear" w:color="auto" w:fill="auto"/>
            <w:vAlign w:val="center"/>
          </w:tcPr>
          <w:p w14:paraId="7A3189D9">
            <w:pPr>
              <w:adjustRightInd w:val="0"/>
              <w:snapToGrid w:val="0"/>
              <w:spacing w:line="320" w:lineRule="exact"/>
              <w:jc w:val="center"/>
              <w:rPr>
                <w:rFonts w:ascii="Times New Roman"/>
                <w:sz w:val="21"/>
                <w:szCs w:val="21"/>
              </w:rPr>
            </w:pPr>
            <w:r>
              <w:rPr>
                <w:rFonts w:ascii="Times New Roman"/>
                <w:sz w:val="21"/>
                <w:szCs w:val="21"/>
              </w:rPr>
              <w:t>废切削液</w:t>
            </w:r>
            <w:r>
              <w:rPr>
                <w:rFonts w:hint="eastAsia" w:ascii="Times New Roman"/>
                <w:sz w:val="21"/>
                <w:szCs w:val="21"/>
              </w:rPr>
              <w:t>桶</w:t>
            </w:r>
          </w:p>
        </w:tc>
        <w:tc>
          <w:tcPr>
            <w:tcW w:w="1740" w:type="dxa"/>
            <w:shd w:val="clear" w:color="auto" w:fill="auto"/>
            <w:vAlign w:val="center"/>
          </w:tcPr>
          <w:p w14:paraId="5F2626EE">
            <w:pPr>
              <w:adjustRightInd w:val="0"/>
              <w:snapToGrid w:val="0"/>
              <w:spacing w:line="320" w:lineRule="exact"/>
              <w:jc w:val="center"/>
              <w:rPr>
                <w:rFonts w:ascii="Times New Roman"/>
                <w:sz w:val="21"/>
                <w:szCs w:val="21"/>
              </w:rPr>
            </w:pPr>
            <w:r>
              <w:rPr>
                <w:rFonts w:hint="eastAsia" w:ascii="Times New Roman"/>
                <w:sz w:val="21"/>
                <w:szCs w:val="21"/>
              </w:rPr>
              <w:t>0.8</w:t>
            </w:r>
          </w:p>
        </w:tc>
        <w:tc>
          <w:tcPr>
            <w:tcW w:w="1765" w:type="dxa"/>
            <w:vAlign w:val="center"/>
          </w:tcPr>
          <w:p w14:paraId="53ADD64E">
            <w:pPr>
              <w:jc w:val="center"/>
              <w:rPr>
                <w:rFonts w:ascii="Times New Roman"/>
                <w:sz w:val="21"/>
                <w:szCs w:val="21"/>
              </w:rPr>
            </w:pPr>
            <w:r>
              <w:rPr>
                <w:rFonts w:hint="eastAsia" w:ascii="Times New Roman"/>
                <w:sz w:val="21"/>
                <w:szCs w:val="21"/>
              </w:rPr>
              <w:t>/</w:t>
            </w:r>
          </w:p>
        </w:tc>
      </w:tr>
      <w:tr w14:paraId="025C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6913CB93">
            <w:pPr>
              <w:jc w:val="center"/>
              <w:rPr>
                <w:rFonts w:ascii="Times New Roman"/>
                <w:sz w:val="21"/>
                <w:szCs w:val="21"/>
              </w:rPr>
            </w:pPr>
          </w:p>
        </w:tc>
        <w:tc>
          <w:tcPr>
            <w:tcW w:w="3654" w:type="dxa"/>
            <w:gridSpan w:val="2"/>
            <w:shd w:val="clear" w:color="auto" w:fill="auto"/>
            <w:vAlign w:val="center"/>
          </w:tcPr>
          <w:p w14:paraId="0F8605AE">
            <w:pPr>
              <w:adjustRightInd w:val="0"/>
              <w:snapToGrid w:val="0"/>
              <w:spacing w:line="320" w:lineRule="exact"/>
              <w:jc w:val="center"/>
              <w:rPr>
                <w:rFonts w:ascii="Times New Roman"/>
                <w:sz w:val="21"/>
                <w:szCs w:val="21"/>
              </w:rPr>
            </w:pPr>
            <w:r>
              <w:rPr>
                <w:rFonts w:ascii="Times New Roman"/>
                <w:sz w:val="21"/>
                <w:szCs w:val="21"/>
              </w:rPr>
              <w:t>含油金属屑</w:t>
            </w:r>
          </w:p>
        </w:tc>
        <w:tc>
          <w:tcPr>
            <w:tcW w:w="1740" w:type="dxa"/>
            <w:shd w:val="clear" w:color="auto" w:fill="auto"/>
            <w:vAlign w:val="center"/>
          </w:tcPr>
          <w:p w14:paraId="3BD41C68">
            <w:pPr>
              <w:adjustRightInd w:val="0"/>
              <w:snapToGrid w:val="0"/>
              <w:spacing w:line="320" w:lineRule="exact"/>
              <w:jc w:val="center"/>
              <w:rPr>
                <w:rFonts w:ascii="Times New Roman"/>
                <w:sz w:val="21"/>
                <w:szCs w:val="21"/>
              </w:rPr>
            </w:pPr>
            <w:r>
              <w:rPr>
                <w:rFonts w:ascii="Times New Roman"/>
                <w:sz w:val="21"/>
                <w:szCs w:val="21"/>
              </w:rPr>
              <w:t>2</w:t>
            </w:r>
          </w:p>
        </w:tc>
        <w:tc>
          <w:tcPr>
            <w:tcW w:w="1765" w:type="dxa"/>
            <w:vAlign w:val="center"/>
          </w:tcPr>
          <w:p w14:paraId="089FFA30">
            <w:pPr>
              <w:jc w:val="center"/>
              <w:rPr>
                <w:rFonts w:ascii="Times New Roman"/>
                <w:sz w:val="21"/>
                <w:szCs w:val="21"/>
              </w:rPr>
            </w:pPr>
            <w:r>
              <w:rPr>
                <w:rFonts w:ascii="Times New Roman"/>
                <w:sz w:val="21"/>
                <w:szCs w:val="21"/>
              </w:rPr>
              <w:t>/</w:t>
            </w:r>
          </w:p>
        </w:tc>
      </w:tr>
      <w:tr w14:paraId="779B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42433BEC">
            <w:pPr>
              <w:jc w:val="center"/>
              <w:rPr>
                <w:rFonts w:ascii="Times New Roman"/>
                <w:sz w:val="21"/>
                <w:szCs w:val="21"/>
              </w:rPr>
            </w:pPr>
          </w:p>
        </w:tc>
        <w:tc>
          <w:tcPr>
            <w:tcW w:w="3654" w:type="dxa"/>
            <w:gridSpan w:val="2"/>
            <w:shd w:val="clear" w:color="auto" w:fill="auto"/>
            <w:vAlign w:val="center"/>
          </w:tcPr>
          <w:p w14:paraId="41C6FDFD">
            <w:pPr>
              <w:adjustRightInd w:val="0"/>
              <w:snapToGrid w:val="0"/>
              <w:spacing w:line="320" w:lineRule="exact"/>
              <w:jc w:val="center"/>
              <w:rPr>
                <w:rFonts w:ascii="Times New Roman"/>
                <w:sz w:val="21"/>
                <w:szCs w:val="21"/>
              </w:rPr>
            </w:pPr>
            <w:r>
              <w:rPr>
                <w:rFonts w:hint="eastAsia" w:ascii="Times New Roman"/>
                <w:sz w:val="21"/>
                <w:szCs w:val="21"/>
              </w:rPr>
              <w:t>污泥</w:t>
            </w:r>
          </w:p>
        </w:tc>
        <w:tc>
          <w:tcPr>
            <w:tcW w:w="1740" w:type="dxa"/>
            <w:shd w:val="clear" w:color="auto" w:fill="auto"/>
            <w:vAlign w:val="center"/>
          </w:tcPr>
          <w:p w14:paraId="366B9CB6">
            <w:pPr>
              <w:adjustRightInd w:val="0"/>
              <w:snapToGrid w:val="0"/>
              <w:spacing w:line="320" w:lineRule="exact"/>
              <w:jc w:val="center"/>
              <w:rPr>
                <w:rFonts w:ascii="Times New Roman"/>
                <w:sz w:val="21"/>
                <w:szCs w:val="21"/>
              </w:rPr>
            </w:pPr>
            <w:r>
              <w:rPr>
                <w:rFonts w:hint="eastAsia" w:ascii="Times New Roman"/>
                <w:sz w:val="21"/>
                <w:szCs w:val="21"/>
              </w:rPr>
              <w:t>25.931</w:t>
            </w:r>
          </w:p>
        </w:tc>
        <w:tc>
          <w:tcPr>
            <w:tcW w:w="1765" w:type="dxa"/>
            <w:vAlign w:val="center"/>
          </w:tcPr>
          <w:p w14:paraId="0A6090F0">
            <w:pPr>
              <w:jc w:val="center"/>
              <w:rPr>
                <w:rFonts w:ascii="Times New Roman"/>
                <w:sz w:val="21"/>
                <w:szCs w:val="21"/>
              </w:rPr>
            </w:pPr>
            <w:r>
              <w:rPr>
                <w:rFonts w:ascii="Times New Roman"/>
                <w:sz w:val="21"/>
                <w:szCs w:val="21"/>
              </w:rPr>
              <w:t>/</w:t>
            </w:r>
          </w:p>
        </w:tc>
      </w:tr>
      <w:tr w14:paraId="0106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701D0AF5">
            <w:pPr>
              <w:jc w:val="center"/>
              <w:rPr>
                <w:rFonts w:ascii="Times New Roman"/>
                <w:sz w:val="21"/>
                <w:szCs w:val="21"/>
              </w:rPr>
            </w:pPr>
          </w:p>
        </w:tc>
        <w:tc>
          <w:tcPr>
            <w:tcW w:w="3654" w:type="dxa"/>
            <w:gridSpan w:val="2"/>
            <w:shd w:val="clear" w:color="auto" w:fill="auto"/>
            <w:vAlign w:val="center"/>
          </w:tcPr>
          <w:p w14:paraId="60B002B6">
            <w:pPr>
              <w:adjustRightInd w:val="0"/>
              <w:snapToGrid w:val="0"/>
              <w:spacing w:line="320" w:lineRule="exact"/>
              <w:jc w:val="center"/>
              <w:rPr>
                <w:rFonts w:ascii="Times New Roman"/>
                <w:sz w:val="21"/>
                <w:szCs w:val="21"/>
              </w:rPr>
            </w:pPr>
            <w:r>
              <w:rPr>
                <w:rFonts w:ascii="Times New Roman"/>
                <w:sz w:val="21"/>
                <w:szCs w:val="21"/>
              </w:rPr>
              <w:t>废过滤棉</w:t>
            </w:r>
          </w:p>
        </w:tc>
        <w:tc>
          <w:tcPr>
            <w:tcW w:w="1740" w:type="dxa"/>
            <w:shd w:val="clear" w:color="auto" w:fill="auto"/>
            <w:vAlign w:val="center"/>
          </w:tcPr>
          <w:p w14:paraId="34919A9B">
            <w:pPr>
              <w:adjustRightInd w:val="0"/>
              <w:snapToGrid w:val="0"/>
              <w:spacing w:line="320" w:lineRule="exact"/>
              <w:jc w:val="center"/>
              <w:rPr>
                <w:rFonts w:ascii="Times New Roman"/>
                <w:sz w:val="21"/>
                <w:szCs w:val="21"/>
              </w:rPr>
            </w:pPr>
            <w:r>
              <w:rPr>
                <w:rFonts w:ascii="Times New Roman"/>
                <w:sz w:val="21"/>
                <w:szCs w:val="21"/>
              </w:rPr>
              <w:t>3</w:t>
            </w:r>
          </w:p>
        </w:tc>
        <w:tc>
          <w:tcPr>
            <w:tcW w:w="1765" w:type="dxa"/>
            <w:vAlign w:val="center"/>
          </w:tcPr>
          <w:p w14:paraId="63335BCB">
            <w:pPr>
              <w:jc w:val="center"/>
              <w:rPr>
                <w:rFonts w:ascii="Times New Roman"/>
                <w:sz w:val="21"/>
                <w:szCs w:val="21"/>
              </w:rPr>
            </w:pPr>
            <w:r>
              <w:rPr>
                <w:rFonts w:ascii="Times New Roman"/>
                <w:sz w:val="21"/>
                <w:szCs w:val="21"/>
              </w:rPr>
              <w:t>/</w:t>
            </w:r>
          </w:p>
        </w:tc>
      </w:tr>
      <w:tr w14:paraId="6260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6B720112">
            <w:pPr>
              <w:jc w:val="center"/>
              <w:rPr>
                <w:rFonts w:ascii="Times New Roman"/>
                <w:sz w:val="21"/>
                <w:szCs w:val="21"/>
              </w:rPr>
            </w:pPr>
          </w:p>
        </w:tc>
        <w:tc>
          <w:tcPr>
            <w:tcW w:w="3654" w:type="dxa"/>
            <w:gridSpan w:val="2"/>
            <w:shd w:val="clear" w:color="auto" w:fill="auto"/>
            <w:vAlign w:val="center"/>
          </w:tcPr>
          <w:p w14:paraId="76ACFAE4">
            <w:pPr>
              <w:adjustRightInd w:val="0"/>
              <w:snapToGrid w:val="0"/>
              <w:spacing w:line="320" w:lineRule="exact"/>
              <w:jc w:val="center"/>
              <w:rPr>
                <w:rFonts w:ascii="Times New Roman"/>
                <w:sz w:val="21"/>
                <w:szCs w:val="21"/>
              </w:rPr>
            </w:pPr>
            <w:r>
              <w:rPr>
                <w:rFonts w:ascii="Times New Roman"/>
                <w:sz w:val="21"/>
                <w:szCs w:val="21"/>
              </w:rPr>
              <w:t>废沸石分子筛</w:t>
            </w:r>
          </w:p>
        </w:tc>
        <w:tc>
          <w:tcPr>
            <w:tcW w:w="1740" w:type="dxa"/>
            <w:shd w:val="clear" w:color="auto" w:fill="auto"/>
            <w:vAlign w:val="center"/>
          </w:tcPr>
          <w:p w14:paraId="3AC5858A">
            <w:pPr>
              <w:adjustRightInd w:val="0"/>
              <w:snapToGrid w:val="0"/>
              <w:spacing w:line="320" w:lineRule="exact"/>
              <w:jc w:val="center"/>
              <w:rPr>
                <w:rFonts w:ascii="Times New Roman"/>
                <w:sz w:val="21"/>
                <w:szCs w:val="21"/>
              </w:rPr>
            </w:pPr>
            <w:r>
              <w:rPr>
                <w:rFonts w:hint="eastAsia" w:ascii="Times New Roman"/>
                <w:sz w:val="21"/>
                <w:szCs w:val="21"/>
              </w:rPr>
              <w:t>17.168</w:t>
            </w:r>
          </w:p>
        </w:tc>
        <w:tc>
          <w:tcPr>
            <w:tcW w:w="1765" w:type="dxa"/>
            <w:vAlign w:val="center"/>
          </w:tcPr>
          <w:p w14:paraId="4FCBCE31">
            <w:pPr>
              <w:jc w:val="center"/>
              <w:rPr>
                <w:rFonts w:ascii="Times New Roman"/>
                <w:sz w:val="21"/>
                <w:szCs w:val="21"/>
              </w:rPr>
            </w:pPr>
            <w:r>
              <w:rPr>
                <w:rFonts w:hint="eastAsia" w:ascii="Times New Roman"/>
                <w:sz w:val="21"/>
                <w:szCs w:val="21"/>
              </w:rPr>
              <w:t>/</w:t>
            </w:r>
          </w:p>
        </w:tc>
      </w:tr>
      <w:tr w14:paraId="1403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6292D58B">
            <w:pPr>
              <w:jc w:val="center"/>
              <w:rPr>
                <w:rFonts w:ascii="Times New Roman"/>
                <w:sz w:val="21"/>
                <w:szCs w:val="21"/>
              </w:rPr>
            </w:pPr>
          </w:p>
        </w:tc>
        <w:tc>
          <w:tcPr>
            <w:tcW w:w="3654" w:type="dxa"/>
            <w:gridSpan w:val="2"/>
            <w:shd w:val="clear" w:color="auto" w:fill="auto"/>
            <w:vAlign w:val="center"/>
          </w:tcPr>
          <w:p w14:paraId="5CE52586">
            <w:pPr>
              <w:adjustRightInd w:val="0"/>
              <w:snapToGrid w:val="0"/>
              <w:spacing w:line="320" w:lineRule="exact"/>
              <w:jc w:val="center"/>
              <w:rPr>
                <w:rFonts w:ascii="Times New Roman"/>
                <w:sz w:val="21"/>
                <w:szCs w:val="21"/>
              </w:rPr>
            </w:pPr>
            <w:r>
              <w:rPr>
                <w:rFonts w:ascii="Times New Roman"/>
                <w:sz w:val="21"/>
                <w:szCs w:val="21"/>
              </w:rPr>
              <w:t>废活性炭</w:t>
            </w:r>
          </w:p>
        </w:tc>
        <w:tc>
          <w:tcPr>
            <w:tcW w:w="1740" w:type="dxa"/>
            <w:shd w:val="clear" w:color="auto" w:fill="auto"/>
            <w:vAlign w:val="center"/>
          </w:tcPr>
          <w:p w14:paraId="59FB8FEC">
            <w:pPr>
              <w:adjustRightInd w:val="0"/>
              <w:snapToGrid w:val="0"/>
              <w:spacing w:line="320" w:lineRule="exact"/>
              <w:jc w:val="center"/>
              <w:rPr>
                <w:rFonts w:ascii="Times New Roman"/>
                <w:sz w:val="21"/>
                <w:szCs w:val="21"/>
              </w:rPr>
            </w:pPr>
            <w:r>
              <w:rPr>
                <w:rFonts w:ascii="Times New Roman"/>
                <w:sz w:val="21"/>
                <w:szCs w:val="21"/>
              </w:rPr>
              <w:t>2</w:t>
            </w:r>
            <w:r>
              <w:rPr>
                <w:rFonts w:hint="eastAsia" w:ascii="Times New Roman"/>
                <w:sz w:val="21"/>
                <w:szCs w:val="21"/>
              </w:rPr>
              <w:t>7.895</w:t>
            </w:r>
          </w:p>
        </w:tc>
        <w:tc>
          <w:tcPr>
            <w:tcW w:w="1765" w:type="dxa"/>
            <w:vAlign w:val="center"/>
          </w:tcPr>
          <w:p w14:paraId="0AE93D5E">
            <w:pPr>
              <w:jc w:val="center"/>
              <w:rPr>
                <w:rFonts w:ascii="Times New Roman"/>
                <w:sz w:val="21"/>
                <w:szCs w:val="21"/>
              </w:rPr>
            </w:pPr>
            <w:r>
              <w:rPr>
                <w:rFonts w:ascii="Times New Roman"/>
                <w:sz w:val="21"/>
                <w:szCs w:val="21"/>
              </w:rPr>
              <w:t>/</w:t>
            </w:r>
          </w:p>
        </w:tc>
      </w:tr>
      <w:tr w14:paraId="5411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515A2A0F">
            <w:pPr>
              <w:jc w:val="center"/>
              <w:rPr>
                <w:rFonts w:ascii="Times New Roman"/>
                <w:sz w:val="21"/>
                <w:szCs w:val="21"/>
              </w:rPr>
            </w:pPr>
          </w:p>
        </w:tc>
        <w:tc>
          <w:tcPr>
            <w:tcW w:w="3654" w:type="dxa"/>
            <w:gridSpan w:val="2"/>
            <w:shd w:val="clear" w:color="auto" w:fill="auto"/>
            <w:vAlign w:val="center"/>
          </w:tcPr>
          <w:p w14:paraId="5CCDB3FE">
            <w:pPr>
              <w:adjustRightInd w:val="0"/>
              <w:snapToGrid w:val="0"/>
              <w:spacing w:line="320" w:lineRule="exact"/>
              <w:jc w:val="center"/>
              <w:rPr>
                <w:rFonts w:ascii="Times New Roman"/>
                <w:sz w:val="21"/>
                <w:szCs w:val="21"/>
              </w:rPr>
            </w:pPr>
            <w:r>
              <w:rPr>
                <w:rFonts w:hint="eastAsia" w:ascii="Times New Roman"/>
                <w:sz w:val="21"/>
                <w:szCs w:val="21"/>
              </w:rPr>
              <w:t>废边</w:t>
            </w:r>
            <w:r>
              <w:rPr>
                <w:rFonts w:ascii="Times New Roman"/>
                <w:sz w:val="21"/>
                <w:szCs w:val="21"/>
              </w:rPr>
              <w:t>脚料</w:t>
            </w:r>
          </w:p>
        </w:tc>
        <w:tc>
          <w:tcPr>
            <w:tcW w:w="1740" w:type="dxa"/>
            <w:shd w:val="clear" w:color="auto" w:fill="auto"/>
            <w:vAlign w:val="center"/>
          </w:tcPr>
          <w:p w14:paraId="5035F42B">
            <w:pPr>
              <w:adjustRightInd w:val="0"/>
              <w:snapToGrid w:val="0"/>
              <w:spacing w:line="320" w:lineRule="exact"/>
              <w:jc w:val="center"/>
              <w:rPr>
                <w:rFonts w:ascii="Times New Roman"/>
                <w:sz w:val="21"/>
                <w:szCs w:val="21"/>
              </w:rPr>
            </w:pPr>
            <w:r>
              <w:rPr>
                <w:rFonts w:ascii="Times New Roman"/>
                <w:sz w:val="21"/>
                <w:szCs w:val="21"/>
              </w:rPr>
              <w:t>1</w:t>
            </w:r>
            <w:r>
              <w:rPr>
                <w:rFonts w:hint="eastAsia" w:ascii="Times New Roman"/>
                <w:sz w:val="21"/>
                <w:szCs w:val="21"/>
              </w:rPr>
              <w:t>4</w:t>
            </w:r>
            <w:r>
              <w:rPr>
                <w:rFonts w:ascii="Times New Roman"/>
                <w:sz w:val="21"/>
                <w:szCs w:val="21"/>
              </w:rPr>
              <w:t>00</w:t>
            </w:r>
          </w:p>
        </w:tc>
        <w:tc>
          <w:tcPr>
            <w:tcW w:w="1765" w:type="dxa"/>
            <w:vAlign w:val="center"/>
          </w:tcPr>
          <w:p w14:paraId="6775010C">
            <w:pPr>
              <w:jc w:val="center"/>
              <w:rPr>
                <w:rFonts w:ascii="Times New Roman"/>
                <w:sz w:val="21"/>
                <w:szCs w:val="21"/>
              </w:rPr>
            </w:pPr>
            <w:r>
              <w:rPr>
                <w:rFonts w:ascii="Times New Roman"/>
                <w:sz w:val="21"/>
                <w:szCs w:val="21"/>
              </w:rPr>
              <w:t>/</w:t>
            </w:r>
          </w:p>
        </w:tc>
      </w:tr>
      <w:tr w14:paraId="2E37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5951C0D2">
            <w:pPr>
              <w:jc w:val="center"/>
              <w:rPr>
                <w:rFonts w:ascii="Times New Roman"/>
                <w:sz w:val="21"/>
                <w:szCs w:val="21"/>
              </w:rPr>
            </w:pPr>
          </w:p>
        </w:tc>
        <w:tc>
          <w:tcPr>
            <w:tcW w:w="3654" w:type="dxa"/>
            <w:gridSpan w:val="2"/>
            <w:shd w:val="clear" w:color="auto" w:fill="auto"/>
            <w:vAlign w:val="center"/>
          </w:tcPr>
          <w:p w14:paraId="2F4F7348">
            <w:pPr>
              <w:adjustRightInd w:val="0"/>
              <w:snapToGrid w:val="0"/>
              <w:spacing w:line="320" w:lineRule="exact"/>
              <w:jc w:val="center"/>
              <w:rPr>
                <w:rFonts w:ascii="Times New Roman"/>
                <w:kern w:val="0"/>
                <w:sz w:val="21"/>
                <w:szCs w:val="21"/>
              </w:rPr>
            </w:pPr>
            <w:r>
              <w:rPr>
                <w:rFonts w:ascii="Times New Roman"/>
                <w:sz w:val="21"/>
                <w:szCs w:val="21"/>
              </w:rPr>
              <w:t>废焊材</w:t>
            </w:r>
          </w:p>
        </w:tc>
        <w:tc>
          <w:tcPr>
            <w:tcW w:w="1740" w:type="dxa"/>
            <w:shd w:val="clear" w:color="auto" w:fill="auto"/>
            <w:vAlign w:val="center"/>
          </w:tcPr>
          <w:p w14:paraId="117FAB5E">
            <w:pPr>
              <w:adjustRightInd w:val="0"/>
              <w:snapToGrid w:val="0"/>
              <w:spacing w:line="320" w:lineRule="exact"/>
              <w:jc w:val="center"/>
              <w:rPr>
                <w:rFonts w:ascii="Times New Roman"/>
                <w:sz w:val="21"/>
                <w:szCs w:val="21"/>
              </w:rPr>
            </w:pPr>
            <w:r>
              <w:rPr>
                <w:rFonts w:hint="eastAsia" w:ascii="Times New Roman"/>
                <w:sz w:val="21"/>
                <w:szCs w:val="21"/>
              </w:rPr>
              <w:t>12</w:t>
            </w:r>
          </w:p>
        </w:tc>
        <w:tc>
          <w:tcPr>
            <w:tcW w:w="1765" w:type="dxa"/>
            <w:vAlign w:val="center"/>
          </w:tcPr>
          <w:p w14:paraId="18C96748">
            <w:pPr>
              <w:jc w:val="center"/>
              <w:rPr>
                <w:rFonts w:ascii="Times New Roman"/>
                <w:sz w:val="21"/>
                <w:szCs w:val="21"/>
              </w:rPr>
            </w:pPr>
            <w:r>
              <w:rPr>
                <w:rFonts w:ascii="Times New Roman"/>
                <w:sz w:val="21"/>
                <w:szCs w:val="21"/>
              </w:rPr>
              <w:t>/</w:t>
            </w:r>
          </w:p>
        </w:tc>
      </w:tr>
      <w:tr w14:paraId="10D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6A235F94">
            <w:pPr>
              <w:jc w:val="center"/>
              <w:rPr>
                <w:rFonts w:ascii="Times New Roman"/>
                <w:sz w:val="21"/>
                <w:szCs w:val="21"/>
              </w:rPr>
            </w:pPr>
          </w:p>
        </w:tc>
        <w:tc>
          <w:tcPr>
            <w:tcW w:w="3654" w:type="dxa"/>
            <w:gridSpan w:val="2"/>
            <w:shd w:val="clear" w:color="auto" w:fill="auto"/>
            <w:vAlign w:val="center"/>
          </w:tcPr>
          <w:p w14:paraId="3FA72539">
            <w:pPr>
              <w:spacing w:line="320" w:lineRule="exact"/>
              <w:jc w:val="center"/>
              <w:rPr>
                <w:rFonts w:ascii="Times New Roman"/>
                <w:sz w:val="21"/>
                <w:szCs w:val="21"/>
              </w:rPr>
            </w:pPr>
            <w:r>
              <w:rPr>
                <w:rFonts w:ascii="Times New Roman"/>
                <w:sz w:val="21"/>
                <w:szCs w:val="21"/>
              </w:rPr>
              <w:t>金属碎屑</w:t>
            </w:r>
          </w:p>
        </w:tc>
        <w:tc>
          <w:tcPr>
            <w:tcW w:w="1740" w:type="dxa"/>
            <w:shd w:val="clear" w:color="auto" w:fill="auto"/>
            <w:vAlign w:val="center"/>
          </w:tcPr>
          <w:p w14:paraId="4F8F204E">
            <w:pPr>
              <w:adjustRightInd w:val="0"/>
              <w:snapToGrid w:val="0"/>
              <w:spacing w:line="320" w:lineRule="exact"/>
              <w:jc w:val="center"/>
              <w:rPr>
                <w:rFonts w:ascii="Times New Roman"/>
                <w:sz w:val="21"/>
                <w:szCs w:val="21"/>
              </w:rPr>
            </w:pPr>
            <w:r>
              <w:rPr>
                <w:rFonts w:hint="eastAsia" w:ascii="Times New Roman"/>
                <w:sz w:val="21"/>
                <w:szCs w:val="21"/>
              </w:rPr>
              <w:t>100</w:t>
            </w:r>
          </w:p>
        </w:tc>
        <w:tc>
          <w:tcPr>
            <w:tcW w:w="1765" w:type="dxa"/>
            <w:vAlign w:val="center"/>
          </w:tcPr>
          <w:p w14:paraId="0FB8BC15">
            <w:pPr>
              <w:jc w:val="center"/>
              <w:rPr>
                <w:rFonts w:ascii="Times New Roman"/>
                <w:sz w:val="21"/>
                <w:szCs w:val="21"/>
              </w:rPr>
            </w:pPr>
            <w:r>
              <w:rPr>
                <w:rFonts w:hint="eastAsia" w:ascii="Times New Roman"/>
                <w:sz w:val="21"/>
                <w:szCs w:val="21"/>
              </w:rPr>
              <w:t>/</w:t>
            </w:r>
          </w:p>
        </w:tc>
      </w:tr>
      <w:tr w14:paraId="79CB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1081721C">
            <w:pPr>
              <w:jc w:val="center"/>
              <w:rPr>
                <w:rFonts w:ascii="Times New Roman"/>
                <w:sz w:val="21"/>
                <w:szCs w:val="21"/>
              </w:rPr>
            </w:pPr>
          </w:p>
        </w:tc>
        <w:tc>
          <w:tcPr>
            <w:tcW w:w="3654" w:type="dxa"/>
            <w:gridSpan w:val="2"/>
            <w:shd w:val="clear" w:color="auto" w:fill="auto"/>
            <w:vAlign w:val="center"/>
          </w:tcPr>
          <w:p w14:paraId="0545754E">
            <w:pPr>
              <w:spacing w:line="320" w:lineRule="exact"/>
              <w:jc w:val="center"/>
              <w:rPr>
                <w:rFonts w:ascii="Times New Roman"/>
                <w:sz w:val="21"/>
                <w:szCs w:val="21"/>
              </w:rPr>
            </w:pPr>
            <w:r>
              <w:rPr>
                <w:rFonts w:hint="eastAsia" w:ascii="Times New Roman"/>
                <w:sz w:val="21"/>
                <w:szCs w:val="21"/>
              </w:rPr>
              <w:t>槽渣</w:t>
            </w:r>
          </w:p>
        </w:tc>
        <w:tc>
          <w:tcPr>
            <w:tcW w:w="1740" w:type="dxa"/>
            <w:shd w:val="clear" w:color="auto" w:fill="auto"/>
            <w:vAlign w:val="center"/>
          </w:tcPr>
          <w:p w14:paraId="6A2F44C9">
            <w:pPr>
              <w:adjustRightInd w:val="0"/>
              <w:snapToGrid w:val="0"/>
              <w:spacing w:line="320" w:lineRule="exact"/>
              <w:jc w:val="center"/>
              <w:rPr>
                <w:rFonts w:ascii="Times New Roman"/>
                <w:sz w:val="21"/>
                <w:szCs w:val="21"/>
              </w:rPr>
            </w:pPr>
            <w:r>
              <w:rPr>
                <w:rFonts w:hint="eastAsia" w:ascii="Times New Roman"/>
                <w:sz w:val="21"/>
                <w:szCs w:val="21"/>
              </w:rPr>
              <w:t>1.5</w:t>
            </w:r>
          </w:p>
        </w:tc>
        <w:tc>
          <w:tcPr>
            <w:tcW w:w="1765" w:type="dxa"/>
            <w:vAlign w:val="center"/>
          </w:tcPr>
          <w:p w14:paraId="4B049350">
            <w:pPr>
              <w:jc w:val="center"/>
              <w:rPr>
                <w:rFonts w:ascii="Times New Roman"/>
                <w:sz w:val="21"/>
                <w:szCs w:val="21"/>
              </w:rPr>
            </w:pPr>
            <w:r>
              <w:rPr>
                <w:rFonts w:ascii="Times New Roman"/>
                <w:sz w:val="21"/>
                <w:szCs w:val="21"/>
              </w:rPr>
              <w:t>/</w:t>
            </w:r>
          </w:p>
        </w:tc>
      </w:tr>
      <w:tr w14:paraId="221A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6609EF71">
            <w:pPr>
              <w:jc w:val="center"/>
              <w:rPr>
                <w:rFonts w:ascii="Times New Roman"/>
                <w:sz w:val="21"/>
                <w:szCs w:val="21"/>
              </w:rPr>
            </w:pPr>
          </w:p>
        </w:tc>
        <w:tc>
          <w:tcPr>
            <w:tcW w:w="3654" w:type="dxa"/>
            <w:gridSpan w:val="2"/>
            <w:shd w:val="clear" w:color="auto" w:fill="auto"/>
            <w:vAlign w:val="center"/>
          </w:tcPr>
          <w:p w14:paraId="0F36C539">
            <w:pPr>
              <w:adjustRightInd w:val="0"/>
              <w:snapToGrid w:val="0"/>
              <w:spacing w:line="320" w:lineRule="exact"/>
              <w:jc w:val="center"/>
              <w:rPr>
                <w:rFonts w:ascii="Times New Roman"/>
                <w:sz w:val="21"/>
                <w:szCs w:val="21"/>
              </w:rPr>
            </w:pPr>
            <w:r>
              <w:rPr>
                <w:rFonts w:ascii="Times New Roman"/>
                <w:sz w:val="21"/>
                <w:szCs w:val="21"/>
              </w:rPr>
              <w:t>废钢丸</w:t>
            </w:r>
          </w:p>
        </w:tc>
        <w:tc>
          <w:tcPr>
            <w:tcW w:w="1740" w:type="dxa"/>
            <w:shd w:val="clear" w:color="auto" w:fill="auto"/>
            <w:vAlign w:val="center"/>
          </w:tcPr>
          <w:p w14:paraId="0CB840B6">
            <w:pPr>
              <w:adjustRightInd w:val="0"/>
              <w:snapToGrid w:val="0"/>
              <w:spacing w:line="320" w:lineRule="exact"/>
              <w:jc w:val="center"/>
              <w:rPr>
                <w:rFonts w:ascii="Times New Roman"/>
                <w:sz w:val="21"/>
                <w:szCs w:val="21"/>
              </w:rPr>
            </w:pPr>
            <w:r>
              <w:rPr>
                <w:rFonts w:hint="eastAsia" w:ascii="Times New Roman"/>
                <w:sz w:val="21"/>
                <w:szCs w:val="21"/>
              </w:rPr>
              <w:t>10</w:t>
            </w:r>
          </w:p>
        </w:tc>
        <w:tc>
          <w:tcPr>
            <w:tcW w:w="1765" w:type="dxa"/>
            <w:vAlign w:val="center"/>
          </w:tcPr>
          <w:p w14:paraId="251F2359">
            <w:pPr>
              <w:jc w:val="center"/>
              <w:rPr>
                <w:rFonts w:ascii="Times New Roman"/>
                <w:sz w:val="21"/>
                <w:szCs w:val="21"/>
              </w:rPr>
            </w:pPr>
            <w:r>
              <w:rPr>
                <w:rFonts w:ascii="Times New Roman"/>
                <w:sz w:val="21"/>
                <w:szCs w:val="21"/>
              </w:rPr>
              <w:t>/</w:t>
            </w:r>
          </w:p>
        </w:tc>
      </w:tr>
      <w:tr w14:paraId="0A60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2DAC1ECC">
            <w:pPr>
              <w:jc w:val="center"/>
              <w:rPr>
                <w:rFonts w:ascii="Times New Roman"/>
                <w:sz w:val="21"/>
                <w:szCs w:val="21"/>
              </w:rPr>
            </w:pPr>
          </w:p>
        </w:tc>
        <w:tc>
          <w:tcPr>
            <w:tcW w:w="3654" w:type="dxa"/>
            <w:gridSpan w:val="2"/>
            <w:shd w:val="clear" w:color="auto" w:fill="auto"/>
            <w:vAlign w:val="center"/>
          </w:tcPr>
          <w:p w14:paraId="25EF84C9">
            <w:pPr>
              <w:spacing w:line="320" w:lineRule="exact"/>
              <w:jc w:val="center"/>
              <w:rPr>
                <w:rFonts w:ascii="Times New Roman"/>
                <w:sz w:val="21"/>
                <w:szCs w:val="21"/>
              </w:rPr>
            </w:pPr>
            <w:r>
              <w:rPr>
                <w:rFonts w:ascii="Times New Roman"/>
                <w:sz w:val="21"/>
                <w:szCs w:val="21"/>
              </w:rPr>
              <w:t>废钢砂</w:t>
            </w:r>
          </w:p>
        </w:tc>
        <w:tc>
          <w:tcPr>
            <w:tcW w:w="1740" w:type="dxa"/>
            <w:shd w:val="clear" w:color="auto" w:fill="auto"/>
            <w:vAlign w:val="center"/>
          </w:tcPr>
          <w:p w14:paraId="0A44F46D">
            <w:pPr>
              <w:adjustRightInd w:val="0"/>
              <w:snapToGrid w:val="0"/>
              <w:spacing w:line="320" w:lineRule="exact"/>
              <w:jc w:val="center"/>
              <w:rPr>
                <w:rFonts w:ascii="Times New Roman"/>
                <w:sz w:val="21"/>
                <w:szCs w:val="21"/>
              </w:rPr>
            </w:pPr>
            <w:r>
              <w:rPr>
                <w:rFonts w:hint="eastAsia" w:ascii="Times New Roman"/>
                <w:sz w:val="21"/>
                <w:szCs w:val="21"/>
              </w:rPr>
              <w:t>10</w:t>
            </w:r>
          </w:p>
        </w:tc>
        <w:tc>
          <w:tcPr>
            <w:tcW w:w="1765" w:type="dxa"/>
            <w:vAlign w:val="center"/>
          </w:tcPr>
          <w:p w14:paraId="7569A74C">
            <w:pPr>
              <w:jc w:val="center"/>
              <w:rPr>
                <w:rFonts w:ascii="Times New Roman"/>
                <w:sz w:val="21"/>
                <w:szCs w:val="21"/>
              </w:rPr>
            </w:pPr>
            <w:r>
              <w:rPr>
                <w:rFonts w:ascii="Times New Roman"/>
                <w:sz w:val="21"/>
                <w:szCs w:val="21"/>
              </w:rPr>
              <w:t>/</w:t>
            </w:r>
          </w:p>
        </w:tc>
      </w:tr>
      <w:tr w14:paraId="2067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379680CE">
            <w:pPr>
              <w:jc w:val="center"/>
              <w:rPr>
                <w:rFonts w:ascii="Times New Roman"/>
                <w:sz w:val="21"/>
                <w:szCs w:val="21"/>
              </w:rPr>
            </w:pPr>
          </w:p>
        </w:tc>
        <w:tc>
          <w:tcPr>
            <w:tcW w:w="3654" w:type="dxa"/>
            <w:gridSpan w:val="2"/>
            <w:shd w:val="clear" w:color="auto" w:fill="auto"/>
            <w:vAlign w:val="center"/>
          </w:tcPr>
          <w:p w14:paraId="5720CAA5">
            <w:pPr>
              <w:spacing w:line="320" w:lineRule="exact"/>
              <w:jc w:val="center"/>
              <w:rPr>
                <w:rFonts w:ascii="Times New Roman"/>
                <w:sz w:val="21"/>
                <w:szCs w:val="21"/>
              </w:rPr>
            </w:pPr>
            <w:r>
              <w:rPr>
                <w:rFonts w:ascii="Times New Roman"/>
                <w:sz w:val="21"/>
                <w:szCs w:val="21"/>
              </w:rPr>
              <w:t>废包装材料</w:t>
            </w:r>
          </w:p>
        </w:tc>
        <w:tc>
          <w:tcPr>
            <w:tcW w:w="1740" w:type="dxa"/>
            <w:shd w:val="clear" w:color="auto" w:fill="auto"/>
            <w:vAlign w:val="center"/>
          </w:tcPr>
          <w:p w14:paraId="7144B4C3">
            <w:pPr>
              <w:adjustRightInd w:val="0"/>
              <w:snapToGrid w:val="0"/>
              <w:spacing w:line="320" w:lineRule="exact"/>
              <w:jc w:val="center"/>
              <w:rPr>
                <w:rFonts w:ascii="Times New Roman"/>
                <w:sz w:val="21"/>
                <w:szCs w:val="21"/>
              </w:rPr>
            </w:pPr>
            <w:r>
              <w:rPr>
                <w:rFonts w:hint="eastAsia" w:ascii="Times New Roman"/>
                <w:sz w:val="21"/>
                <w:szCs w:val="21"/>
              </w:rPr>
              <w:t>50</w:t>
            </w:r>
          </w:p>
        </w:tc>
        <w:tc>
          <w:tcPr>
            <w:tcW w:w="1765" w:type="dxa"/>
            <w:vAlign w:val="center"/>
          </w:tcPr>
          <w:p w14:paraId="718C5DD6">
            <w:pPr>
              <w:jc w:val="center"/>
              <w:rPr>
                <w:rFonts w:ascii="Times New Roman"/>
                <w:sz w:val="21"/>
                <w:szCs w:val="21"/>
              </w:rPr>
            </w:pPr>
            <w:r>
              <w:rPr>
                <w:rFonts w:ascii="Times New Roman"/>
                <w:sz w:val="21"/>
                <w:szCs w:val="21"/>
              </w:rPr>
              <w:t>/</w:t>
            </w:r>
          </w:p>
        </w:tc>
      </w:tr>
      <w:tr w14:paraId="63E2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79" w:type="dxa"/>
            <w:gridSpan w:val="2"/>
            <w:vMerge w:val="continue"/>
            <w:vAlign w:val="center"/>
          </w:tcPr>
          <w:p w14:paraId="2A709564">
            <w:pPr>
              <w:jc w:val="center"/>
              <w:rPr>
                <w:rFonts w:ascii="Times New Roman"/>
                <w:sz w:val="21"/>
                <w:szCs w:val="21"/>
              </w:rPr>
            </w:pPr>
          </w:p>
        </w:tc>
        <w:tc>
          <w:tcPr>
            <w:tcW w:w="3654" w:type="dxa"/>
            <w:gridSpan w:val="2"/>
            <w:shd w:val="clear" w:color="auto" w:fill="auto"/>
            <w:vAlign w:val="center"/>
          </w:tcPr>
          <w:p w14:paraId="4C6CF804">
            <w:pPr>
              <w:adjustRightInd w:val="0"/>
              <w:snapToGrid w:val="0"/>
              <w:spacing w:line="320" w:lineRule="exact"/>
              <w:jc w:val="center"/>
              <w:rPr>
                <w:rFonts w:ascii="Times New Roman"/>
                <w:kern w:val="0"/>
                <w:sz w:val="21"/>
                <w:szCs w:val="21"/>
              </w:rPr>
            </w:pPr>
            <w:r>
              <w:rPr>
                <w:rFonts w:ascii="Times New Roman"/>
                <w:sz w:val="21"/>
                <w:szCs w:val="21"/>
              </w:rPr>
              <w:t>除尘灰</w:t>
            </w:r>
          </w:p>
        </w:tc>
        <w:tc>
          <w:tcPr>
            <w:tcW w:w="1740" w:type="dxa"/>
            <w:shd w:val="clear" w:color="auto" w:fill="auto"/>
            <w:vAlign w:val="center"/>
          </w:tcPr>
          <w:p w14:paraId="4558523E">
            <w:pPr>
              <w:adjustRightInd w:val="0"/>
              <w:snapToGrid w:val="0"/>
              <w:spacing w:line="320" w:lineRule="exact"/>
              <w:jc w:val="center"/>
              <w:rPr>
                <w:rFonts w:ascii="Times New Roman"/>
                <w:sz w:val="21"/>
                <w:szCs w:val="21"/>
              </w:rPr>
            </w:pPr>
            <w:r>
              <w:rPr>
                <w:rFonts w:hint="eastAsia" w:ascii="Times New Roman"/>
                <w:sz w:val="21"/>
                <w:szCs w:val="21"/>
              </w:rPr>
              <w:t>251.342</w:t>
            </w:r>
          </w:p>
        </w:tc>
        <w:tc>
          <w:tcPr>
            <w:tcW w:w="1765" w:type="dxa"/>
            <w:vAlign w:val="center"/>
          </w:tcPr>
          <w:p w14:paraId="76AE9CCB">
            <w:pPr>
              <w:jc w:val="center"/>
              <w:rPr>
                <w:rFonts w:ascii="Times New Roman"/>
                <w:sz w:val="21"/>
                <w:szCs w:val="21"/>
              </w:rPr>
            </w:pPr>
            <w:r>
              <w:rPr>
                <w:rFonts w:ascii="Times New Roman"/>
                <w:sz w:val="21"/>
                <w:szCs w:val="21"/>
              </w:rPr>
              <w:t>/</w:t>
            </w:r>
          </w:p>
        </w:tc>
      </w:tr>
      <w:tr w14:paraId="7A2E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79" w:type="dxa"/>
            <w:gridSpan w:val="2"/>
            <w:vMerge w:val="continue"/>
            <w:vAlign w:val="center"/>
          </w:tcPr>
          <w:p w14:paraId="65AD6361">
            <w:pPr>
              <w:jc w:val="center"/>
              <w:rPr>
                <w:rFonts w:ascii="Times New Roman"/>
                <w:sz w:val="21"/>
                <w:szCs w:val="21"/>
              </w:rPr>
            </w:pPr>
          </w:p>
        </w:tc>
        <w:tc>
          <w:tcPr>
            <w:tcW w:w="3654" w:type="dxa"/>
            <w:gridSpan w:val="2"/>
            <w:shd w:val="clear" w:color="auto" w:fill="auto"/>
            <w:vAlign w:val="center"/>
          </w:tcPr>
          <w:p w14:paraId="0DAD58ED">
            <w:pPr>
              <w:adjustRightInd w:val="0"/>
              <w:snapToGrid w:val="0"/>
              <w:spacing w:line="320" w:lineRule="exact"/>
              <w:jc w:val="center"/>
              <w:rPr>
                <w:rFonts w:ascii="Times New Roman"/>
                <w:sz w:val="21"/>
                <w:szCs w:val="21"/>
              </w:rPr>
            </w:pPr>
            <w:r>
              <w:rPr>
                <w:rFonts w:hint="eastAsia" w:ascii="Times New Roman"/>
                <w:sz w:val="21"/>
                <w:szCs w:val="21"/>
              </w:rPr>
              <w:t>废布袋</w:t>
            </w:r>
          </w:p>
        </w:tc>
        <w:tc>
          <w:tcPr>
            <w:tcW w:w="1740" w:type="dxa"/>
            <w:shd w:val="clear" w:color="auto" w:fill="auto"/>
            <w:vAlign w:val="center"/>
          </w:tcPr>
          <w:p w14:paraId="5C412260">
            <w:pPr>
              <w:adjustRightInd w:val="0"/>
              <w:snapToGrid w:val="0"/>
              <w:spacing w:line="320" w:lineRule="exact"/>
              <w:jc w:val="center"/>
              <w:rPr>
                <w:rFonts w:ascii="Times New Roman"/>
                <w:sz w:val="21"/>
                <w:szCs w:val="21"/>
              </w:rPr>
            </w:pPr>
            <w:r>
              <w:rPr>
                <w:rFonts w:hint="eastAsia" w:ascii="Times New Roman"/>
                <w:sz w:val="21"/>
                <w:szCs w:val="21"/>
              </w:rPr>
              <w:t>0.5</w:t>
            </w:r>
          </w:p>
        </w:tc>
        <w:tc>
          <w:tcPr>
            <w:tcW w:w="1765" w:type="dxa"/>
            <w:vAlign w:val="center"/>
          </w:tcPr>
          <w:p w14:paraId="31F1BDF1">
            <w:pPr>
              <w:jc w:val="center"/>
              <w:rPr>
                <w:rFonts w:ascii="Times New Roman"/>
                <w:sz w:val="21"/>
                <w:szCs w:val="21"/>
              </w:rPr>
            </w:pPr>
            <w:r>
              <w:rPr>
                <w:rFonts w:ascii="Times New Roman"/>
                <w:sz w:val="21"/>
                <w:szCs w:val="21"/>
              </w:rPr>
              <w:t>/</w:t>
            </w:r>
          </w:p>
        </w:tc>
      </w:tr>
      <w:tr w14:paraId="2524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79" w:type="dxa"/>
            <w:gridSpan w:val="2"/>
            <w:vMerge w:val="continue"/>
          </w:tcPr>
          <w:p w14:paraId="4A44A8CD">
            <w:pPr>
              <w:jc w:val="center"/>
              <w:rPr>
                <w:rFonts w:ascii="Times New Roman"/>
                <w:sz w:val="21"/>
                <w:szCs w:val="21"/>
              </w:rPr>
            </w:pPr>
          </w:p>
        </w:tc>
        <w:tc>
          <w:tcPr>
            <w:tcW w:w="3654" w:type="dxa"/>
            <w:gridSpan w:val="2"/>
            <w:shd w:val="clear" w:color="auto" w:fill="auto"/>
            <w:vAlign w:val="center"/>
          </w:tcPr>
          <w:p w14:paraId="5D2B811E">
            <w:pPr>
              <w:adjustRightInd w:val="0"/>
              <w:snapToGrid w:val="0"/>
              <w:spacing w:line="320" w:lineRule="exact"/>
              <w:jc w:val="center"/>
              <w:rPr>
                <w:rFonts w:ascii="Times New Roman"/>
                <w:kern w:val="0"/>
                <w:sz w:val="21"/>
                <w:szCs w:val="21"/>
              </w:rPr>
            </w:pPr>
            <w:r>
              <w:rPr>
                <w:rFonts w:hint="eastAsia" w:ascii="Times New Roman"/>
                <w:kern w:val="0"/>
                <w:sz w:val="21"/>
                <w:szCs w:val="21"/>
              </w:rPr>
              <w:t>收尘灰</w:t>
            </w:r>
          </w:p>
        </w:tc>
        <w:tc>
          <w:tcPr>
            <w:tcW w:w="1740" w:type="dxa"/>
            <w:shd w:val="clear" w:color="auto" w:fill="auto"/>
            <w:vAlign w:val="center"/>
          </w:tcPr>
          <w:p w14:paraId="211BD3E2">
            <w:pPr>
              <w:adjustRightInd w:val="0"/>
              <w:snapToGrid w:val="0"/>
              <w:spacing w:line="320" w:lineRule="exact"/>
              <w:jc w:val="center"/>
              <w:rPr>
                <w:rFonts w:ascii="Times New Roman"/>
                <w:sz w:val="21"/>
                <w:szCs w:val="21"/>
              </w:rPr>
            </w:pPr>
            <w:r>
              <w:rPr>
                <w:rFonts w:hint="eastAsia" w:ascii="Times New Roman"/>
                <w:sz w:val="21"/>
                <w:szCs w:val="21"/>
              </w:rPr>
              <w:t>104.475</w:t>
            </w:r>
          </w:p>
        </w:tc>
        <w:tc>
          <w:tcPr>
            <w:tcW w:w="1765" w:type="dxa"/>
          </w:tcPr>
          <w:p w14:paraId="20F228C5">
            <w:pPr>
              <w:jc w:val="center"/>
              <w:rPr>
                <w:rFonts w:ascii="Times New Roman"/>
                <w:sz w:val="21"/>
                <w:szCs w:val="21"/>
              </w:rPr>
            </w:pPr>
            <w:r>
              <w:rPr>
                <w:rFonts w:hint="eastAsia" w:ascii="Times New Roman"/>
                <w:sz w:val="21"/>
                <w:szCs w:val="21"/>
              </w:rPr>
              <w:t>/</w:t>
            </w:r>
          </w:p>
        </w:tc>
      </w:tr>
      <w:tr w14:paraId="21B9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79" w:type="dxa"/>
            <w:gridSpan w:val="2"/>
            <w:vMerge w:val="continue"/>
          </w:tcPr>
          <w:p w14:paraId="6AEA53CB">
            <w:pPr>
              <w:jc w:val="center"/>
              <w:rPr>
                <w:rFonts w:ascii="Times New Roman"/>
                <w:sz w:val="21"/>
                <w:szCs w:val="21"/>
              </w:rPr>
            </w:pPr>
          </w:p>
        </w:tc>
        <w:tc>
          <w:tcPr>
            <w:tcW w:w="3654" w:type="dxa"/>
            <w:gridSpan w:val="2"/>
            <w:shd w:val="clear" w:color="auto" w:fill="auto"/>
            <w:vAlign w:val="center"/>
          </w:tcPr>
          <w:p w14:paraId="1300D85F">
            <w:pPr>
              <w:spacing w:line="320" w:lineRule="exact"/>
              <w:jc w:val="center"/>
              <w:rPr>
                <w:rFonts w:ascii="Times New Roman"/>
                <w:sz w:val="21"/>
                <w:szCs w:val="21"/>
              </w:rPr>
            </w:pPr>
            <w:r>
              <w:rPr>
                <w:rFonts w:hint="eastAsia" w:ascii="Times New Roman"/>
                <w:sz w:val="21"/>
                <w:szCs w:val="21"/>
              </w:rPr>
              <w:t>废超滤膜</w:t>
            </w:r>
          </w:p>
        </w:tc>
        <w:tc>
          <w:tcPr>
            <w:tcW w:w="1740" w:type="dxa"/>
            <w:shd w:val="clear" w:color="auto" w:fill="auto"/>
            <w:vAlign w:val="center"/>
          </w:tcPr>
          <w:p w14:paraId="1018C325">
            <w:pPr>
              <w:adjustRightInd w:val="0"/>
              <w:snapToGrid w:val="0"/>
              <w:spacing w:line="320" w:lineRule="exact"/>
              <w:jc w:val="center"/>
              <w:rPr>
                <w:rFonts w:ascii="Times New Roman"/>
                <w:sz w:val="21"/>
                <w:szCs w:val="21"/>
              </w:rPr>
            </w:pPr>
            <w:r>
              <w:rPr>
                <w:rFonts w:hint="eastAsia" w:ascii="Times New Roman"/>
                <w:sz w:val="21"/>
                <w:szCs w:val="21"/>
              </w:rPr>
              <w:t>0.5</w:t>
            </w:r>
          </w:p>
        </w:tc>
        <w:tc>
          <w:tcPr>
            <w:tcW w:w="1765" w:type="dxa"/>
          </w:tcPr>
          <w:p w14:paraId="60CFFE30">
            <w:pPr>
              <w:jc w:val="center"/>
              <w:rPr>
                <w:rFonts w:ascii="Times New Roman"/>
                <w:sz w:val="21"/>
                <w:szCs w:val="21"/>
              </w:rPr>
            </w:pPr>
            <w:r>
              <w:rPr>
                <w:rFonts w:hint="eastAsia" w:ascii="Times New Roman"/>
                <w:sz w:val="21"/>
                <w:szCs w:val="21"/>
              </w:rPr>
              <w:t>/</w:t>
            </w:r>
          </w:p>
        </w:tc>
      </w:tr>
      <w:tr w14:paraId="7CED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79" w:type="dxa"/>
            <w:gridSpan w:val="2"/>
            <w:vMerge w:val="continue"/>
          </w:tcPr>
          <w:p w14:paraId="7A18D04C">
            <w:pPr>
              <w:jc w:val="center"/>
              <w:rPr>
                <w:rFonts w:ascii="Times New Roman"/>
                <w:sz w:val="21"/>
                <w:szCs w:val="21"/>
              </w:rPr>
            </w:pPr>
          </w:p>
        </w:tc>
        <w:tc>
          <w:tcPr>
            <w:tcW w:w="3654" w:type="dxa"/>
            <w:gridSpan w:val="2"/>
            <w:shd w:val="clear" w:color="auto" w:fill="auto"/>
            <w:vAlign w:val="center"/>
          </w:tcPr>
          <w:p w14:paraId="5559827A">
            <w:pPr>
              <w:spacing w:line="320" w:lineRule="exact"/>
              <w:jc w:val="center"/>
              <w:rPr>
                <w:rFonts w:ascii="Times New Roman"/>
                <w:sz w:val="21"/>
                <w:szCs w:val="21"/>
              </w:rPr>
            </w:pPr>
            <w:r>
              <w:rPr>
                <w:rFonts w:ascii="Times New Roman"/>
                <w:sz w:val="21"/>
                <w:szCs w:val="21"/>
              </w:rPr>
              <w:t>废反渗透膜</w:t>
            </w:r>
          </w:p>
        </w:tc>
        <w:tc>
          <w:tcPr>
            <w:tcW w:w="1740" w:type="dxa"/>
            <w:shd w:val="clear" w:color="auto" w:fill="auto"/>
            <w:vAlign w:val="center"/>
          </w:tcPr>
          <w:p w14:paraId="03261A41">
            <w:pPr>
              <w:adjustRightInd w:val="0"/>
              <w:snapToGrid w:val="0"/>
              <w:spacing w:line="320" w:lineRule="exact"/>
              <w:jc w:val="center"/>
              <w:rPr>
                <w:rFonts w:ascii="Times New Roman"/>
                <w:sz w:val="21"/>
                <w:szCs w:val="21"/>
              </w:rPr>
            </w:pPr>
            <w:r>
              <w:rPr>
                <w:rFonts w:hint="eastAsia" w:ascii="Times New Roman"/>
                <w:sz w:val="21"/>
                <w:szCs w:val="21"/>
              </w:rPr>
              <w:t>5</w:t>
            </w:r>
          </w:p>
        </w:tc>
        <w:tc>
          <w:tcPr>
            <w:tcW w:w="1765" w:type="dxa"/>
          </w:tcPr>
          <w:p w14:paraId="702AA823">
            <w:pPr>
              <w:jc w:val="center"/>
              <w:rPr>
                <w:rFonts w:ascii="Times New Roman"/>
                <w:sz w:val="21"/>
                <w:szCs w:val="21"/>
              </w:rPr>
            </w:pPr>
            <w:r>
              <w:rPr>
                <w:rFonts w:hint="eastAsia" w:ascii="Times New Roman"/>
                <w:sz w:val="21"/>
                <w:szCs w:val="21"/>
              </w:rPr>
              <w:t>/</w:t>
            </w:r>
          </w:p>
        </w:tc>
      </w:tr>
      <w:tr w14:paraId="20CA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79" w:type="dxa"/>
            <w:gridSpan w:val="2"/>
            <w:vMerge w:val="continue"/>
          </w:tcPr>
          <w:p w14:paraId="7E21CCA7">
            <w:pPr>
              <w:jc w:val="center"/>
              <w:rPr>
                <w:rFonts w:ascii="Times New Roman"/>
                <w:sz w:val="21"/>
                <w:szCs w:val="21"/>
              </w:rPr>
            </w:pPr>
          </w:p>
        </w:tc>
        <w:tc>
          <w:tcPr>
            <w:tcW w:w="3654" w:type="dxa"/>
            <w:gridSpan w:val="2"/>
            <w:shd w:val="clear" w:color="auto" w:fill="auto"/>
            <w:vAlign w:val="center"/>
          </w:tcPr>
          <w:p w14:paraId="298E5A4E">
            <w:pPr>
              <w:adjustRightInd w:val="0"/>
              <w:snapToGrid w:val="0"/>
              <w:spacing w:line="320" w:lineRule="exact"/>
              <w:jc w:val="center"/>
              <w:rPr>
                <w:rFonts w:ascii="Times New Roman"/>
                <w:sz w:val="21"/>
                <w:szCs w:val="21"/>
              </w:rPr>
            </w:pPr>
            <w:r>
              <w:rPr>
                <w:rFonts w:ascii="Times New Roman"/>
                <w:sz w:val="21"/>
                <w:szCs w:val="21"/>
              </w:rPr>
              <w:t>生活垃圾</w:t>
            </w:r>
          </w:p>
        </w:tc>
        <w:tc>
          <w:tcPr>
            <w:tcW w:w="1740" w:type="dxa"/>
            <w:shd w:val="clear" w:color="auto" w:fill="auto"/>
            <w:vAlign w:val="center"/>
          </w:tcPr>
          <w:p w14:paraId="61EF8202">
            <w:pPr>
              <w:adjustRightInd w:val="0"/>
              <w:snapToGrid w:val="0"/>
              <w:spacing w:line="320" w:lineRule="exact"/>
              <w:jc w:val="center"/>
              <w:rPr>
                <w:rFonts w:ascii="Times New Roman"/>
                <w:sz w:val="21"/>
                <w:szCs w:val="21"/>
              </w:rPr>
            </w:pPr>
            <w:r>
              <w:rPr>
                <w:rFonts w:ascii="Times New Roman"/>
                <w:sz w:val="21"/>
                <w:szCs w:val="21"/>
              </w:rPr>
              <w:t>90</w:t>
            </w:r>
          </w:p>
        </w:tc>
        <w:tc>
          <w:tcPr>
            <w:tcW w:w="1765" w:type="dxa"/>
          </w:tcPr>
          <w:p w14:paraId="6B89C626">
            <w:pPr>
              <w:jc w:val="center"/>
              <w:rPr>
                <w:rFonts w:ascii="Times New Roman"/>
                <w:sz w:val="21"/>
                <w:szCs w:val="21"/>
              </w:rPr>
            </w:pPr>
            <w:r>
              <w:rPr>
                <w:rFonts w:hint="eastAsia" w:ascii="Times New Roman"/>
                <w:sz w:val="21"/>
                <w:szCs w:val="21"/>
              </w:rPr>
              <w:t>/</w:t>
            </w:r>
          </w:p>
        </w:tc>
      </w:tr>
    </w:tbl>
    <w:p w14:paraId="1B44E7B4">
      <w:pPr>
        <w:spacing w:line="520" w:lineRule="exact"/>
        <w:outlineLvl w:val="2"/>
        <w:rPr>
          <w:rFonts w:ascii="Times New Roman"/>
          <w:b/>
          <w:sz w:val="28"/>
          <w:szCs w:val="28"/>
        </w:rPr>
      </w:pPr>
      <w:r>
        <w:rPr>
          <w:rFonts w:ascii="Times New Roman"/>
          <w:b/>
          <w:sz w:val="28"/>
          <w:szCs w:val="28"/>
        </w:rPr>
        <w:t>3.10.2污染物总量控制指标</w:t>
      </w:r>
    </w:p>
    <w:p w14:paraId="0FB40808">
      <w:pPr>
        <w:spacing w:line="480" w:lineRule="exact"/>
        <w:ind w:firstLine="480" w:firstLineChars="200"/>
        <w:jc w:val="left"/>
        <w:rPr>
          <w:rFonts w:ascii="Times New Roman"/>
          <w:sz w:val="24"/>
          <w:szCs w:val="20"/>
        </w:rPr>
      </w:pPr>
      <w:r>
        <w:rPr>
          <w:rFonts w:ascii="Times New Roman"/>
          <w:sz w:val="24"/>
          <w:szCs w:val="20"/>
        </w:rPr>
        <w:t>根据区域污染物排放总量控制目标，并结合运机(唐山)装备有限公司所在区域环境质量现状和工程本身污染物排放特征，确定以下污染物为本项目的总量控制因子。</w:t>
      </w:r>
    </w:p>
    <w:p w14:paraId="75E3EE24">
      <w:pPr>
        <w:spacing w:line="480" w:lineRule="exact"/>
        <w:ind w:firstLine="480" w:firstLineChars="200"/>
        <w:jc w:val="left"/>
        <w:rPr>
          <w:rFonts w:ascii="Times New Roman"/>
          <w:sz w:val="24"/>
          <w:szCs w:val="20"/>
        </w:rPr>
      </w:pPr>
      <w:r>
        <w:rPr>
          <w:rFonts w:ascii="Times New Roman"/>
          <w:sz w:val="24"/>
          <w:szCs w:val="20"/>
        </w:rPr>
        <w:t>废气：SO</w:t>
      </w:r>
      <w:r>
        <w:rPr>
          <w:rFonts w:ascii="Times New Roman"/>
          <w:sz w:val="24"/>
          <w:szCs w:val="20"/>
          <w:vertAlign w:val="subscript"/>
        </w:rPr>
        <w:t>2</w:t>
      </w:r>
      <w:r>
        <w:rPr>
          <w:rFonts w:ascii="Times New Roman"/>
          <w:sz w:val="24"/>
          <w:szCs w:val="20"/>
        </w:rPr>
        <w:t>、NO</w:t>
      </w:r>
      <w:r>
        <w:rPr>
          <w:rFonts w:ascii="Times New Roman"/>
          <w:sz w:val="24"/>
          <w:szCs w:val="20"/>
          <w:vertAlign w:val="subscript"/>
        </w:rPr>
        <w:t>X</w:t>
      </w:r>
      <w:r>
        <w:rPr>
          <w:rFonts w:ascii="Times New Roman"/>
          <w:sz w:val="24"/>
          <w:szCs w:val="20"/>
        </w:rPr>
        <w:t>、有机废气、颗粒物</w:t>
      </w:r>
    </w:p>
    <w:p w14:paraId="14CD1373">
      <w:pPr>
        <w:spacing w:line="480" w:lineRule="exact"/>
        <w:ind w:firstLine="480" w:firstLineChars="200"/>
        <w:jc w:val="left"/>
        <w:rPr>
          <w:rFonts w:ascii="Times New Roman"/>
          <w:sz w:val="24"/>
          <w:szCs w:val="24"/>
        </w:rPr>
      </w:pPr>
      <w:r>
        <w:rPr>
          <w:rFonts w:ascii="Times New Roman"/>
          <w:sz w:val="24"/>
          <w:szCs w:val="24"/>
        </w:rPr>
        <w:t>废水：COD、氨氮、总氮</w:t>
      </w:r>
    </w:p>
    <w:p w14:paraId="248A7883">
      <w:pPr>
        <w:spacing w:line="480" w:lineRule="exact"/>
        <w:ind w:firstLine="480" w:firstLineChars="200"/>
        <w:rPr>
          <w:rFonts w:ascii="Times New Roman"/>
          <w:sz w:val="24"/>
          <w:szCs w:val="24"/>
        </w:rPr>
      </w:pPr>
      <w:bookmarkStart w:id="164" w:name="_Toc452480796"/>
      <w:bookmarkStart w:id="165" w:name="_Toc460255627"/>
      <w:bookmarkStart w:id="166" w:name="_Toc508872110"/>
      <w:bookmarkStart w:id="167" w:name="_Toc474313805"/>
      <w:r>
        <w:rPr>
          <w:rFonts w:ascii="Times New Roman"/>
          <w:sz w:val="24"/>
          <w:szCs w:val="24"/>
        </w:rPr>
        <w:t>根据河北省环境保护厅《关于进一步改革和优化建设项目主要污染物排放总量核定工作的通知》冀环总〔2014〕283号文件，建设项目总量指标按照污染物排放标准核定。</w:t>
      </w:r>
    </w:p>
    <w:p w14:paraId="06C4EE51">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本项目</w:t>
      </w:r>
      <w:r>
        <w:rPr>
          <w:rFonts w:hint="eastAsia" w:ascii="Times New Roman"/>
          <w:sz w:val="24"/>
          <w:szCs w:val="24"/>
        </w:rPr>
        <w:t>总废水排放量为30697.78</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sz w:val="24"/>
          <w:szCs w:val="24"/>
        </w:rPr>
        <w:t>生活废水（含食堂废水）量为32m</w:t>
      </w:r>
      <w:r>
        <w:rPr>
          <w:rFonts w:ascii="Times New Roman"/>
          <w:sz w:val="24"/>
          <w:szCs w:val="24"/>
          <w:vertAlign w:val="superscript"/>
        </w:rPr>
        <w:t>3</w:t>
      </w:r>
      <w:r>
        <w:rPr>
          <w:rFonts w:ascii="Times New Roman"/>
          <w:sz w:val="24"/>
          <w:szCs w:val="24"/>
        </w:rPr>
        <w:t>/d</w:t>
      </w:r>
      <w:r>
        <w:rPr>
          <w:rFonts w:ascii="Times New Roman"/>
          <w:kern w:val="0"/>
          <w:sz w:val="24"/>
          <w:szCs w:val="24"/>
        </w:rPr>
        <w:t>（9600m</w:t>
      </w:r>
      <w:r>
        <w:rPr>
          <w:rFonts w:ascii="Times New Roman"/>
          <w:kern w:val="0"/>
          <w:sz w:val="24"/>
          <w:szCs w:val="24"/>
          <w:vertAlign w:val="superscript"/>
        </w:rPr>
        <w:t>3</w:t>
      </w:r>
      <w:r>
        <w:rPr>
          <w:rFonts w:ascii="Times New Roman"/>
          <w:kern w:val="0"/>
          <w:sz w:val="24"/>
          <w:szCs w:val="24"/>
        </w:rPr>
        <w:t>/a）</w:t>
      </w:r>
      <w:r>
        <w:rPr>
          <w:rFonts w:ascii="Times New Roman"/>
          <w:sz w:val="24"/>
          <w:szCs w:val="24"/>
        </w:rPr>
        <w:t>，食堂废水采用隔油池预处理后，与日常生活污水一并入化粪池处理，由园区污水管网</w:t>
      </w:r>
      <w:r>
        <w:rPr>
          <w:rFonts w:hint="eastAsia" w:ascii="Times New Roman"/>
          <w:sz w:val="24"/>
          <w:szCs w:val="24"/>
        </w:rPr>
        <w:t>排</w:t>
      </w:r>
      <w:r>
        <w:rPr>
          <w:rFonts w:ascii="Times New Roman"/>
          <w:sz w:val="24"/>
          <w:szCs w:val="24"/>
        </w:rPr>
        <w:t>入园区污水处理厂进一步处理</w:t>
      </w:r>
      <w:r>
        <w:rPr>
          <w:rFonts w:hint="eastAsia" w:ascii="Times New Roman"/>
          <w:sz w:val="24"/>
          <w:szCs w:val="24"/>
        </w:rPr>
        <w:t>；</w:t>
      </w:r>
      <w:r>
        <w:rPr>
          <w:rFonts w:hint="eastAsia"/>
        </w:rPr>
        <w:t>水洗</w:t>
      </w:r>
      <w:r>
        <w:rPr>
          <w:rFonts w:ascii="Times New Roman"/>
          <w:kern w:val="0"/>
          <w:sz w:val="24"/>
          <w:szCs w:val="24"/>
        </w:rPr>
        <w:t>（</w:t>
      </w:r>
      <w:r>
        <w:rPr>
          <w:rFonts w:hint="eastAsia" w:ascii="Times New Roman"/>
          <w:kern w:val="0"/>
          <w:sz w:val="24"/>
          <w:szCs w:val="24"/>
        </w:rPr>
        <w:t>140.6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、纯水洗2</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、电泳槽清洗</w:t>
      </w:r>
      <w:r>
        <w:rPr>
          <w:rFonts w:ascii="Times New Roman"/>
          <w:kern w:val="0"/>
          <w:sz w:val="24"/>
          <w:szCs w:val="24"/>
        </w:rPr>
        <w:t>（</w:t>
      </w:r>
      <w:r>
        <w:rPr>
          <w:rFonts w:hint="eastAsia" w:ascii="Times New Roman"/>
          <w:kern w:val="0"/>
          <w:sz w:val="24"/>
          <w:szCs w:val="24"/>
        </w:rPr>
        <w:t>12.744</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废水先经预处理反应斜管沉淀槽处理后，热水洗</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与预脱脂、脱脂、</w:t>
      </w:r>
      <w:r>
        <w:rPr>
          <w:rFonts w:hint="eastAsia" w:ascii="Times New Roman"/>
          <w:bCs/>
          <w:sz w:val="24"/>
          <w:szCs w:val="24"/>
        </w:rPr>
        <w:t>硅烷化</w:t>
      </w:r>
      <w:r>
        <w:rPr>
          <w:rFonts w:ascii="Times New Roman"/>
          <w:bCs/>
          <w:sz w:val="24"/>
          <w:szCs w:val="24"/>
        </w:rPr>
        <w:t>槽体清洗废水</w:t>
      </w:r>
      <w:r>
        <w:rPr>
          <w:rFonts w:ascii="Times New Roman"/>
          <w:kern w:val="0"/>
          <w:sz w:val="24"/>
          <w:szCs w:val="24"/>
        </w:rPr>
        <w:t>（</w:t>
      </w:r>
      <w:r>
        <w:rPr>
          <w:rFonts w:hint="eastAsia" w:ascii="Times New Roman"/>
          <w:kern w:val="0"/>
          <w:sz w:val="24"/>
          <w:szCs w:val="24"/>
        </w:rPr>
        <w:t>38.232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一同进入污水处理站“一体化气浮槽+综合反应斜管沉淀槽+综合芬顿反应槽+多介质过滤器+活性炭过滤器”系统进行处理，处理达标后由园区污水管网，入园区污水处理厂进一步处理。纯水制备废水</w:t>
      </w:r>
      <w:r>
        <w:rPr>
          <w:rFonts w:hint="eastAsia" w:ascii="Times New Roman"/>
          <w:bCs/>
          <w:sz w:val="24"/>
          <w:szCs w:val="24"/>
        </w:rPr>
        <w:t>(</w:t>
      </w:r>
      <w:r>
        <w:rPr>
          <w:rFonts w:hint="eastAsia" w:ascii="Times New Roman"/>
          <w:sz w:val="24"/>
          <w:szCs w:val="24"/>
        </w:rPr>
        <w:t>8145.49</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bCs/>
          <w:sz w:val="24"/>
          <w:szCs w:val="24"/>
        </w:rPr>
        <w:t>，直接由园区污水管网，入园区污水处理厂处理</w:t>
      </w:r>
      <w:r>
        <w:rPr>
          <w:rFonts w:hint="eastAsia" w:ascii="Times New Roman"/>
          <w:bCs/>
          <w:sz w:val="24"/>
          <w:szCs w:val="24"/>
        </w:rPr>
        <w:t>。曹妃甸装备制造</w:t>
      </w:r>
      <w:r>
        <w:rPr>
          <w:rFonts w:ascii="Times New Roman"/>
          <w:bCs/>
          <w:sz w:val="24"/>
          <w:szCs w:val="24"/>
        </w:rPr>
        <w:t>园区</w:t>
      </w:r>
      <w:r>
        <w:rPr>
          <w:rFonts w:ascii="Times New Roman"/>
          <w:sz w:val="24"/>
          <w:szCs w:val="24"/>
        </w:rPr>
        <w:t>污水处理厂出水水质执行《城镇污水处理厂污染物排放标准》（GB18918-2002）中一级A标准要求，同时执行《城镇污水再生利用城市杂用水水质》（GB/T18920-2002）表1标准，即COD：</w:t>
      </w:r>
      <w:r>
        <w:rPr>
          <w:rFonts w:hint="eastAsia" w:ascii="Times New Roman"/>
          <w:sz w:val="24"/>
          <w:szCs w:val="24"/>
        </w:rPr>
        <w:t>5</w:t>
      </w:r>
      <w:r>
        <w:rPr>
          <w:rFonts w:ascii="Times New Roman"/>
          <w:sz w:val="24"/>
          <w:szCs w:val="24"/>
        </w:rPr>
        <w:t>0mg/L，NH</w:t>
      </w:r>
      <w:r>
        <w:rPr>
          <w:rFonts w:ascii="Times New Roman"/>
          <w:sz w:val="24"/>
          <w:szCs w:val="24"/>
          <w:vertAlign w:val="subscript"/>
        </w:rPr>
        <w:t>3</w:t>
      </w:r>
      <w:r>
        <w:rPr>
          <w:rFonts w:ascii="Times New Roman"/>
          <w:sz w:val="24"/>
          <w:szCs w:val="24"/>
        </w:rPr>
        <w:t>-N：</w:t>
      </w:r>
      <w:r>
        <w:rPr>
          <w:rFonts w:hint="eastAsia" w:ascii="Times New Roman"/>
          <w:sz w:val="24"/>
          <w:szCs w:val="24"/>
        </w:rPr>
        <w:t>5</w:t>
      </w:r>
      <w:r>
        <w:rPr>
          <w:rFonts w:ascii="Times New Roman"/>
          <w:sz w:val="24"/>
          <w:szCs w:val="24"/>
        </w:rPr>
        <w:t>mg/L。</w:t>
      </w:r>
    </w:p>
    <w:p w14:paraId="1A807030">
      <w:pPr>
        <w:tabs>
          <w:tab w:val="left" w:pos="3667"/>
        </w:tabs>
        <w:autoSpaceDE w:val="0"/>
        <w:autoSpaceDN w:val="0"/>
        <w:adjustRightInd w:val="0"/>
        <w:spacing w:line="360" w:lineRule="auto"/>
        <w:ind w:firstLine="480" w:firstLineChars="200"/>
        <w:rPr>
          <w:rFonts w:ascii="Times New Roman"/>
          <w:sz w:val="24"/>
          <w:szCs w:val="24"/>
        </w:rPr>
      </w:pPr>
      <w:r>
        <w:rPr>
          <w:rFonts w:hint="eastAsia" w:ascii="Times New Roman"/>
          <w:sz w:val="24"/>
          <w:szCs w:val="24"/>
        </w:rPr>
        <w:t>项目采用天然气燃烧供热，涉及SO</w:t>
      </w:r>
      <w:r>
        <w:rPr>
          <w:rFonts w:hint="eastAsia" w:ascii="Times New Roman"/>
          <w:sz w:val="24"/>
          <w:szCs w:val="24"/>
          <w:vertAlign w:val="subscript"/>
        </w:rPr>
        <w:t>2</w:t>
      </w:r>
      <w:r>
        <w:rPr>
          <w:rFonts w:hint="eastAsia" w:ascii="Times New Roman"/>
          <w:sz w:val="24"/>
          <w:szCs w:val="24"/>
        </w:rPr>
        <w:t>、NOx的排放，特征污染物为颗粒物、非甲烷总烃、二甲苯。</w:t>
      </w:r>
    </w:p>
    <w:p w14:paraId="30C46DC7">
      <w:pPr>
        <w:spacing w:line="360" w:lineRule="auto"/>
        <w:ind w:firstLine="480" w:firstLineChars="200"/>
        <w:rPr>
          <w:rFonts w:ascii="Times New Roman"/>
          <w:sz w:val="24"/>
        </w:rPr>
      </w:pPr>
      <w:r>
        <w:rPr>
          <w:rFonts w:ascii="Times New Roman"/>
          <w:sz w:val="24"/>
        </w:rPr>
        <w:t>本次项目废气污染物排放总量核算见下表：</w:t>
      </w:r>
    </w:p>
    <w:p w14:paraId="556AC544">
      <w:pPr>
        <w:spacing w:line="360" w:lineRule="auto"/>
        <w:jc w:val="center"/>
        <w:rPr>
          <w:rFonts w:ascii="Times New Roman"/>
          <w:b/>
          <w:sz w:val="24"/>
        </w:rPr>
      </w:pPr>
      <w:r>
        <w:rPr>
          <w:rFonts w:ascii="Times New Roman"/>
          <w:b/>
          <w:sz w:val="24"/>
        </w:rPr>
        <w:t>表3.10-2  项目废气污染物排放总量核算</w:t>
      </w:r>
    </w:p>
    <w:tbl>
      <w:tblPr>
        <w:tblStyle w:val="84"/>
        <w:tblW w:w="501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27"/>
        <w:gridCol w:w="712"/>
        <w:gridCol w:w="940"/>
        <w:gridCol w:w="1817"/>
        <w:gridCol w:w="1405"/>
        <w:gridCol w:w="1268"/>
        <w:gridCol w:w="1780"/>
      </w:tblGrid>
      <w:tr w14:paraId="62AAC1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1245" w:type="pct"/>
            <w:gridSpan w:val="3"/>
            <w:tcBorders>
              <w:top w:val="single" w:color="auto" w:sz="4" w:space="0"/>
              <w:left w:val="single" w:color="auto" w:sz="4" w:space="0"/>
              <w:right w:val="single" w:color="auto" w:sz="6" w:space="0"/>
            </w:tcBorders>
            <w:vAlign w:val="center"/>
          </w:tcPr>
          <w:p w14:paraId="53BA5656">
            <w:pPr>
              <w:spacing w:line="320" w:lineRule="exact"/>
              <w:jc w:val="center"/>
              <w:rPr>
                <w:rFonts w:ascii="Times New Roman"/>
                <w:bCs/>
                <w:sz w:val="21"/>
                <w:szCs w:val="21"/>
              </w:rPr>
            </w:pPr>
            <w:r>
              <w:rPr>
                <w:rFonts w:ascii="Times New Roman"/>
                <w:bCs/>
                <w:sz w:val="21"/>
                <w:szCs w:val="21"/>
              </w:rPr>
              <w:t>项目</w:t>
            </w:r>
          </w:p>
        </w:tc>
        <w:tc>
          <w:tcPr>
            <w:tcW w:w="1088" w:type="pct"/>
            <w:tcBorders>
              <w:top w:val="single" w:color="auto" w:sz="4" w:space="0"/>
              <w:left w:val="single" w:color="auto" w:sz="6" w:space="0"/>
              <w:right w:val="single" w:color="auto" w:sz="6" w:space="0"/>
            </w:tcBorders>
            <w:vAlign w:val="center"/>
          </w:tcPr>
          <w:p w14:paraId="3328A312">
            <w:pPr>
              <w:spacing w:line="320" w:lineRule="exact"/>
              <w:jc w:val="center"/>
              <w:rPr>
                <w:rFonts w:ascii="Times New Roman"/>
                <w:bCs/>
                <w:sz w:val="21"/>
                <w:szCs w:val="21"/>
              </w:rPr>
            </w:pPr>
            <w:r>
              <w:rPr>
                <w:rFonts w:ascii="Times New Roman"/>
                <w:bCs/>
                <w:sz w:val="21"/>
                <w:szCs w:val="21"/>
              </w:rPr>
              <w:t>排放标准</w:t>
            </w:r>
          </w:p>
        </w:tc>
        <w:tc>
          <w:tcPr>
            <w:tcW w:w="841" w:type="pct"/>
            <w:tcBorders>
              <w:top w:val="single" w:color="auto" w:sz="4" w:space="0"/>
              <w:left w:val="single" w:color="auto" w:sz="6" w:space="0"/>
              <w:bottom w:val="single" w:color="auto" w:sz="4" w:space="0"/>
              <w:right w:val="single" w:color="auto" w:sz="4" w:space="0"/>
            </w:tcBorders>
            <w:vAlign w:val="center"/>
          </w:tcPr>
          <w:p w14:paraId="2C7B7BC4">
            <w:pPr>
              <w:autoSpaceDE w:val="0"/>
              <w:autoSpaceDN w:val="0"/>
              <w:adjustRightInd w:val="0"/>
              <w:spacing w:line="320" w:lineRule="exact"/>
              <w:jc w:val="center"/>
              <w:rPr>
                <w:rFonts w:ascii="Times New Roman"/>
                <w:bCs/>
                <w:sz w:val="21"/>
                <w:szCs w:val="21"/>
              </w:rPr>
            </w:pPr>
            <w:r>
              <w:rPr>
                <w:rFonts w:hint="eastAsia" w:ascii="Times New Roman"/>
                <w:bCs/>
                <w:sz w:val="21"/>
                <w:szCs w:val="21"/>
              </w:rPr>
              <w:t>排放</w:t>
            </w:r>
            <w:r>
              <w:rPr>
                <w:rFonts w:ascii="Times New Roman"/>
                <w:bCs/>
                <w:sz w:val="21"/>
                <w:szCs w:val="21"/>
                <w:lang w:val="zh-CN"/>
              </w:rPr>
              <w:t>量</w:t>
            </w:r>
          </w:p>
        </w:tc>
        <w:tc>
          <w:tcPr>
            <w:tcW w:w="759" w:type="pct"/>
            <w:tcBorders>
              <w:top w:val="single" w:color="auto" w:sz="4" w:space="0"/>
              <w:left w:val="single" w:color="auto" w:sz="6" w:space="0"/>
              <w:bottom w:val="single" w:color="auto" w:sz="4" w:space="0"/>
              <w:right w:val="single" w:color="auto" w:sz="6" w:space="0"/>
            </w:tcBorders>
            <w:vAlign w:val="center"/>
          </w:tcPr>
          <w:p w14:paraId="0D87F7E2">
            <w:pPr>
              <w:spacing w:line="320" w:lineRule="exact"/>
              <w:jc w:val="center"/>
              <w:rPr>
                <w:rFonts w:ascii="Times New Roman"/>
                <w:bCs/>
                <w:sz w:val="21"/>
                <w:szCs w:val="21"/>
              </w:rPr>
            </w:pPr>
            <w:r>
              <w:rPr>
                <w:rFonts w:ascii="Times New Roman"/>
                <w:bCs/>
                <w:sz w:val="21"/>
                <w:szCs w:val="21"/>
              </w:rPr>
              <w:t>年运行时间</w:t>
            </w:r>
          </w:p>
        </w:tc>
        <w:tc>
          <w:tcPr>
            <w:tcW w:w="1066" w:type="pct"/>
            <w:tcBorders>
              <w:top w:val="single" w:color="auto" w:sz="4" w:space="0"/>
              <w:left w:val="single" w:color="auto" w:sz="6" w:space="0"/>
              <w:bottom w:val="single" w:color="auto" w:sz="4" w:space="0"/>
              <w:right w:val="single" w:color="auto" w:sz="4" w:space="0"/>
            </w:tcBorders>
            <w:vAlign w:val="center"/>
          </w:tcPr>
          <w:p w14:paraId="2D11C191">
            <w:pPr>
              <w:spacing w:line="320" w:lineRule="exact"/>
              <w:jc w:val="center"/>
              <w:rPr>
                <w:rFonts w:ascii="Times New Roman"/>
                <w:bCs/>
                <w:sz w:val="21"/>
                <w:szCs w:val="21"/>
              </w:rPr>
            </w:pPr>
            <w:r>
              <w:rPr>
                <w:rFonts w:ascii="Times New Roman"/>
                <w:bCs/>
                <w:sz w:val="21"/>
                <w:szCs w:val="21"/>
              </w:rPr>
              <w:t>达标控制总量t/a</w:t>
            </w:r>
          </w:p>
        </w:tc>
      </w:tr>
      <w:tr w14:paraId="335198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restart"/>
            <w:tcBorders>
              <w:top w:val="single" w:color="auto" w:sz="4" w:space="0"/>
              <w:left w:val="single" w:color="auto" w:sz="4" w:space="0"/>
              <w:right w:val="single" w:color="auto" w:sz="4" w:space="0"/>
            </w:tcBorders>
            <w:vAlign w:val="center"/>
          </w:tcPr>
          <w:p w14:paraId="0741EAFD">
            <w:pPr>
              <w:spacing w:line="320" w:lineRule="exact"/>
              <w:jc w:val="center"/>
              <w:rPr>
                <w:rFonts w:ascii="Times New Roman"/>
                <w:bCs/>
                <w:sz w:val="21"/>
                <w:szCs w:val="21"/>
              </w:rPr>
            </w:pPr>
            <w:r>
              <w:rPr>
                <w:rFonts w:hint="eastAsia" w:ascii="Times New Roman"/>
                <w:bCs/>
                <w:sz w:val="21"/>
                <w:szCs w:val="21"/>
              </w:rPr>
              <w:t>废水</w:t>
            </w:r>
          </w:p>
        </w:tc>
        <w:tc>
          <w:tcPr>
            <w:tcW w:w="426" w:type="pct"/>
            <w:tcBorders>
              <w:top w:val="single" w:color="auto" w:sz="4" w:space="0"/>
              <w:left w:val="single" w:color="auto" w:sz="4" w:space="0"/>
              <w:right w:val="single" w:color="auto" w:sz="4" w:space="0"/>
            </w:tcBorders>
            <w:shd w:val="clear" w:color="auto" w:fill="auto"/>
            <w:vAlign w:val="center"/>
          </w:tcPr>
          <w:p w14:paraId="6CC39FD7">
            <w:pPr>
              <w:widowControl/>
              <w:spacing w:line="320" w:lineRule="exact"/>
              <w:jc w:val="center"/>
              <w:rPr>
                <w:rFonts w:ascii="Times New Roman"/>
                <w:kern w:val="0"/>
                <w:sz w:val="21"/>
                <w:szCs w:val="21"/>
              </w:rPr>
            </w:pPr>
            <w:r>
              <w:rPr>
                <w:rFonts w:ascii="Times New Roman"/>
                <w:kern w:val="0"/>
                <w:sz w:val="21"/>
                <w:szCs w:val="21"/>
              </w:rPr>
              <w:t>COD</w:t>
            </w:r>
          </w:p>
        </w:tc>
        <w:tc>
          <w:tcPr>
            <w:tcW w:w="563" w:type="pct"/>
            <w:vMerge w:val="restart"/>
            <w:tcBorders>
              <w:top w:val="single" w:color="auto" w:sz="4" w:space="0"/>
              <w:left w:val="single" w:color="auto" w:sz="4" w:space="0"/>
              <w:right w:val="single" w:color="auto" w:sz="4" w:space="0"/>
            </w:tcBorders>
            <w:shd w:val="clear" w:color="auto" w:fill="auto"/>
            <w:vAlign w:val="center"/>
          </w:tcPr>
          <w:p w14:paraId="5EC3311A">
            <w:pPr>
              <w:spacing w:line="260" w:lineRule="exact"/>
              <w:jc w:val="center"/>
              <w:rPr>
                <w:szCs w:val="21"/>
              </w:rPr>
            </w:pPr>
            <w:r>
              <w:rPr>
                <w:rFonts w:hint="eastAsia" w:ascii="Times New Roman"/>
                <w:kern w:val="0"/>
                <w:sz w:val="21"/>
                <w:szCs w:val="21"/>
              </w:rPr>
              <w:t>DW001</w:t>
            </w:r>
          </w:p>
        </w:tc>
        <w:tc>
          <w:tcPr>
            <w:tcW w:w="1088" w:type="pct"/>
            <w:tcBorders>
              <w:top w:val="single" w:color="auto" w:sz="4" w:space="0"/>
              <w:left w:val="single" w:color="auto" w:sz="4" w:space="0"/>
              <w:bottom w:val="single" w:color="auto" w:sz="4" w:space="0"/>
              <w:right w:val="single" w:color="auto" w:sz="6" w:space="0"/>
            </w:tcBorders>
            <w:vAlign w:val="center"/>
          </w:tcPr>
          <w:p w14:paraId="323C0302">
            <w:pPr>
              <w:spacing w:line="320" w:lineRule="exact"/>
              <w:jc w:val="center"/>
              <w:rPr>
                <w:rFonts w:ascii="Times New Roman"/>
                <w:sz w:val="21"/>
                <w:szCs w:val="21"/>
              </w:rPr>
            </w:pPr>
            <w:r>
              <w:rPr>
                <w:rFonts w:hint="eastAsia" w:ascii="Times New Roman"/>
                <w:sz w:val="21"/>
                <w:szCs w:val="21"/>
              </w:rPr>
              <w:t>50mg/L</w:t>
            </w:r>
          </w:p>
        </w:tc>
        <w:tc>
          <w:tcPr>
            <w:tcW w:w="841" w:type="pct"/>
            <w:vMerge w:val="restart"/>
            <w:tcBorders>
              <w:top w:val="single" w:color="auto" w:sz="4" w:space="0"/>
              <w:left w:val="single" w:color="auto" w:sz="6" w:space="0"/>
              <w:right w:val="single" w:color="auto" w:sz="4" w:space="0"/>
            </w:tcBorders>
            <w:vAlign w:val="center"/>
          </w:tcPr>
          <w:p w14:paraId="468F5031">
            <w:pPr>
              <w:spacing w:line="320" w:lineRule="exact"/>
              <w:jc w:val="center"/>
            </w:pPr>
            <w:r>
              <w:rPr>
                <w:rFonts w:hint="eastAsia" w:ascii="Times New Roman"/>
                <w:sz w:val="21"/>
                <w:szCs w:val="21"/>
              </w:rPr>
              <w:t>30697.78</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w:t>
            </w:r>
            <w:r>
              <w:rPr>
                <w:rFonts w:hint="eastAsia" w:ascii="Times New Roman"/>
                <w:kern w:val="0"/>
                <w:sz w:val="21"/>
                <w:szCs w:val="21"/>
              </w:rPr>
              <w:t>a</w:t>
            </w:r>
          </w:p>
        </w:tc>
        <w:tc>
          <w:tcPr>
            <w:tcW w:w="759" w:type="pct"/>
            <w:vMerge w:val="restart"/>
            <w:tcBorders>
              <w:top w:val="single" w:color="auto" w:sz="4" w:space="0"/>
              <w:left w:val="single" w:color="auto" w:sz="6" w:space="0"/>
              <w:right w:val="single" w:color="auto" w:sz="6" w:space="0"/>
            </w:tcBorders>
            <w:vAlign w:val="center"/>
          </w:tcPr>
          <w:p w14:paraId="02CC422A">
            <w:pPr>
              <w:spacing w:line="320" w:lineRule="exact"/>
              <w:jc w:val="center"/>
              <w:rPr>
                <w:rFonts w:ascii="Times New Roman"/>
                <w:bCs/>
                <w:sz w:val="21"/>
                <w:szCs w:val="21"/>
              </w:rPr>
            </w:pPr>
            <w:r>
              <w:rPr>
                <w:rFonts w:hint="eastAsia" w:ascii="Times New Roman"/>
                <w:bCs/>
                <w:sz w:val="21"/>
                <w:szCs w:val="21"/>
              </w:rPr>
              <w:t>/</w:t>
            </w:r>
          </w:p>
        </w:tc>
        <w:tc>
          <w:tcPr>
            <w:tcW w:w="1066" w:type="pct"/>
            <w:tcBorders>
              <w:top w:val="single" w:color="auto" w:sz="4" w:space="0"/>
              <w:left w:val="single" w:color="auto" w:sz="6" w:space="0"/>
              <w:bottom w:val="single" w:color="auto" w:sz="4" w:space="0"/>
              <w:right w:val="single" w:color="auto" w:sz="4" w:space="0"/>
            </w:tcBorders>
            <w:vAlign w:val="center"/>
          </w:tcPr>
          <w:p w14:paraId="51B4D288">
            <w:pPr>
              <w:spacing w:line="320" w:lineRule="exact"/>
              <w:jc w:val="center"/>
              <w:rPr>
                <w:rFonts w:ascii="Times New Roman"/>
                <w:bCs/>
                <w:sz w:val="21"/>
                <w:szCs w:val="21"/>
              </w:rPr>
            </w:pPr>
            <w:r>
              <w:rPr>
                <w:rFonts w:hint="eastAsia" w:ascii="Times New Roman"/>
                <w:bCs/>
                <w:sz w:val="21"/>
                <w:szCs w:val="21"/>
              </w:rPr>
              <w:t>1.535</w:t>
            </w:r>
          </w:p>
        </w:tc>
      </w:tr>
      <w:tr w14:paraId="662746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3EA83985">
            <w:pPr>
              <w:spacing w:line="320" w:lineRule="exact"/>
              <w:jc w:val="center"/>
              <w:rPr>
                <w:rFonts w:ascii="Times New Roman"/>
                <w:bCs/>
                <w:sz w:val="21"/>
                <w:szCs w:val="21"/>
              </w:rPr>
            </w:pPr>
          </w:p>
        </w:tc>
        <w:tc>
          <w:tcPr>
            <w:tcW w:w="426" w:type="pct"/>
            <w:tcBorders>
              <w:top w:val="single" w:color="auto" w:sz="4" w:space="0"/>
              <w:left w:val="single" w:color="auto" w:sz="4" w:space="0"/>
              <w:right w:val="single" w:color="auto" w:sz="4" w:space="0"/>
            </w:tcBorders>
            <w:shd w:val="clear" w:color="auto" w:fill="auto"/>
            <w:vAlign w:val="center"/>
          </w:tcPr>
          <w:p w14:paraId="45DB2908">
            <w:pPr>
              <w:widowControl/>
              <w:spacing w:line="320" w:lineRule="exact"/>
              <w:jc w:val="center"/>
              <w:rPr>
                <w:rFonts w:ascii="Times New Roman"/>
                <w:kern w:val="0"/>
                <w:sz w:val="21"/>
                <w:szCs w:val="21"/>
              </w:rPr>
            </w:pPr>
            <w:r>
              <w:rPr>
                <w:rFonts w:ascii="Times New Roman"/>
                <w:kern w:val="0"/>
                <w:sz w:val="21"/>
                <w:szCs w:val="21"/>
              </w:rPr>
              <w:t>氨氮</w:t>
            </w:r>
          </w:p>
        </w:tc>
        <w:tc>
          <w:tcPr>
            <w:tcW w:w="563" w:type="pct"/>
            <w:vMerge w:val="continue"/>
            <w:tcBorders>
              <w:left w:val="single" w:color="auto" w:sz="4" w:space="0"/>
              <w:bottom w:val="single" w:color="auto" w:sz="4" w:space="0"/>
              <w:right w:val="single" w:color="auto" w:sz="4" w:space="0"/>
            </w:tcBorders>
            <w:shd w:val="clear" w:color="auto" w:fill="auto"/>
            <w:vAlign w:val="center"/>
          </w:tcPr>
          <w:p w14:paraId="627BD38C">
            <w:pPr>
              <w:spacing w:line="260" w:lineRule="exact"/>
              <w:jc w:val="center"/>
              <w:rPr>
                <w:sz w:val="21"/>
                <w:szCs w:val="21"/>
              </w:rPr>
            </w:pPr>
          </w:p>
        </w:tc>
        <w:tc>
          <w:tcPr>
            <w:tcW w:w="1088" w:type="pct"/>
            <w:tcBorders>
              <w:top w:val="single" w:color="auto" w:sz="4" w:space="0"/>
              <w:left w:val="single" w:color="auto" w:sz="4" w:space="0"/>
              <w:bottom w:val="single" w:color="auto" w:sz="4" w:space="0"/>
              <w:right w:val="single" w:color="auto" w:sz="6" w:space="0"/>
            </w:tcBorders>
            <w:vAlign w:val="center"/>
          </w:tcPr>
          <w:p w14:paraId="1138BFBD">
            <w:pPr>
              <w:spacing w:line="320" w:lineRule="exact"/>
              <w:jc w:val="center"/>
              <w:rPr>
                <w:rFonts w:ascii="Times New Roman"/>
                <w:sz w:val="21"/>
                <w:szCs w:val="21"/>
              </w:rPr>
            </w:pPr>
            <w:r>
              <w:rPr>
                <w:rFonts w:hint="eastAsia" w:ascii="Times New Roman"/>
                <w:sz w:val="21"/>
                <w:szCs w:val="21"/>
              </w:rPr>
              <w:t>5mg/L</w:t>
            </w:r>
          </w:p>
        </w:tc>
        <w:tc>
          <w:tcPr>
            <w:tcW w:w="841" w:type="pct"/>
            <w:vMerge w:val="continue"/>
            <w:tcBorders>
              <w:left w:val="single" w:color="auto" w:sz="6" w:space="0"/>
              <w:bottom w:val="single" w:color="auto" w:sz="4" w:space="0"/>
              <w:right w:val="single" w:color="auto" w:sz="4" w:space="0"/>
            </w:tcBorders>
            <w:vAlign w:val="center"/>
          </w:tcPr>
          <w:p w14:paraId="74F9A8AA">
            <w:pPr>
              <w:spacing w:line="320" w:lineRule="exact"/>
              <w:jc w:val="center"/>
              <w:rPr>
                <w:rFonts w:ascii="Times New Roman"/>
                <w:bCs/>
                <w:sz w:val="21"/>
                <w:szCs w:val="21"/>
              </w:rPr>
            </w:pPr>
          </w:p>
        </w:tc>
        <w:tc>
          <w:tcPr>
            <w:tcW w:w="759" w:type="pct"/>
            <w:vMerge w:val="continue"/>
            <w:tcBorders>
              <w:left w:val="single" w:color="auto" w:sz="6" w:space="0"/>
              <w:bottom w:val="single" w:color="auto" w:sz="4" w:space="0"/>
              <w:right w:val="single" w:color="auto" w:sz="6" w:space="0"/>
            </w:tcBorders>
            <w:vAlign w:val="center"/>
          </w:tcPr>
          <w:p w14:paraId="1302856F">
            <w:pPr>
              <w:spacing w:line="320" w:lineRule="exact"/>
              <w:jc w:val="center"/>
              <w:rPr>
                <w:rFonts w:ascii="Times New Roman"/>
                <w:bCs/>
                <w:sz w:val="21"/>
                <w:szCs w:val="21"/>
              </w:rPr>
            </w:pPr>
          </w:p>
        </w:tc>
        <w:tc>
          <w:tcPr>
            <w:tcW w:w="1066" w:type="pct"/>
            <w:tcBorders>
              <w:top w:val="single" w:color="auto" w:sz="4" w:space="0"/>
              <w:left w:val="single" w:color="auto" w:sz="6" w:space="0"/>
              <w:bottom w:val="single" w:color="auto" w:sz="4" w:space="0"/>
              <w:right w:val="single" w:color="auto" w:sz="4" w:space="0"/>
            </w:tcBorders>
            <w:vAlign w:val="center"/>
          </w:tcPr>
          <w:p w14:paraId="624779C3">
            <w:pPr>
              <w:spacing w:line="320" w:lineRule="exact"/>
              <w:jc w:val="center"/>
              <w:rPr>
                <w:rFonts w:ascii="Times New Roman"/>
                <w:bCs/>
                <w:sz w:val="21"/>
                <w:szCs w:val="21"/>
              </w:rPr>
            </w:pPr>
            <w:r>
              <w:rPr>
                <w:rFonts w:hint="eastAsia" w:ascii="Times New Roman"/>
                <w:bCs/>
                <w:sz w:val="21"/>
                <w:szCs w:val="21"/>
              </w:rPr>
              <w:t>0.154</w:t>
            </w:r>
          </w:p>
        </w:tc>
      </w:tr>
      <w:tr w14:paraId="4A3E12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restart"/>
            <w:tcBorders>
              <w:top w:val="single" w:color="auto" w:sz="4" w:space="0"/>
              <w:left w:val="single" w:color="auto" w:sz="4" w:space="0"/>
              <w:right w:val="single" w:color="auto" w:sz="4" w:space="0"/>
            </w:tcBorders>
            <w:vAlign w:val="center"/>
          </w:tcPr>
          <w:p w14:paraId="041DD2A4">
            <w:pPr>
              <w:spacing w:line="320" w:lineRule="exact"/>
              <w:jc w:val="center"/>
              <w:rPr>
                <w:rFonts w:ascii="Times New Roman"/>
                <w:bCs/>
                <w:sz w:val="21"/>
                <w:szCs w:val="21"/>
              </w:rPr>
            </w:pPr>
            <w:r>
              <w:rPr>
                <w:rFonts w:ascii="Times New Roman"/>
                <w:bCs/>
                <w:sz w:val="21"/>
                <w:szCs w:val="21"/>
              </w:rPr>
              <w:t>废气</w:t>
            </w:r>
          </w:p>
        </w:tc>
        <w:tc>
          <w:tcPr>
            <w:tcW w:w="426" w:type="pct"/>
            <w:vMerge w:val="restart"/>
            <w:tcBorders>
              <w:top w:val="single" w:color="auto" w:sz="4" w:space="0"/>
              <w:left w:val="single" w:color="auto" w:sz="4" w:space="0"/>
              <w:right w:val="single" w:color="auto" w:sz="4" w:space="0"/>
            </w:tcBorders>
            <w:vAlign w:val="center"/>
          </w:tcPr>
          <w:p w14:paraId="68817F5E">
            <w:pPr>
              <w:widowControl/>
              <w:spacing w:line="320" w:lineRule="exact"/>
              <w:jc w:val="center"/>
              <w:rPr>
                <w:rFonts w:ascii="Times New Roman"/>
                <w:kern w:val="0"/>
                <w:sz w:val="21"/>
                <w:szCs w:val="21"/>
              </w:rPr>
            </w:pPr>
            <w:r>
              <w:rPr>
                <w:rFonts w:ascii="Times New Roman"/>
                <w:kern w:val="0"/>
                <w:sz w:val="21"/>
                <w:szCs w:val="21"/>
              </w:rPr>
              <w:t>颗粒物</w:t>
            </w:r>
          </w:p>
        </w:tc>
        <w:tc>
          <w:tcPr>
            <w:tcW w:w="563" w:type="pct"/>
            <w:tcBorders>
              <w:top w:val="single" w:color="auto" w:sz="4" w:space="0"/>
              <w:left w:val="single" w:color="auto" w:sz="4" w:space="0"/>
              <w:bottom w:val="single" w:color="auto" w:sz="4" w:space="0"/>
              <w:right w:val="single" w:color="auto" w:sz="4" w:space="0"/>
            </w:tcBorders>
            <w:vAlign w:val="center"/>
          </w:tcPr>
          <w:p w14:paraId="1BE2F55F">
            <w:pPr>
              <w:widowControl/>
              <w:spacing w:line="320" w:lineRule="exact"/>
              <w:jc w:val="center"/>
              <w:rPr>
                <w:rFonts w:ascii="Times New Roman"/>
                <w:kern w:val="0"/>
                <w:sz w:val="21"/>
                <w:szCs w:val="21"/>
              </w:rPr>
            </w:pPr>
            <w:r>
              <w:rPr>
                <w:rFonts w:hint="eastAsia" w:ascii="Times New Roman"/>
                <w:kern w:val="0"/>
                <w:sz w:val="21"/>
                <w:szCs w:val="21"/>
              </w:rPr>
              <w:t>DA00</w:t>
            </w:r>
            <w:r>
              <w:rPr>
                <w:rFonts w:ascii="Times New Roman"/>
                <w:kern w:val="0"/>
                <w:sz w:val="21"/>
                <w:szCs w:val="21"/>
              </w:rPr>
              <w:t>1</w:t>
            </w:r>
          </w:p>
        </w:tc>
        <w:tc>
          <w:tcPr>
            <w:tcW w:w="1088" w:type="pct"/>
            <w:tcBorders>
              <w:top w:val="single" w:color="auto" w:sz="4" w:space="0"/>
              <w:left w:val="single" w:color="auto" w:sz="4" w:space="0"/>
              <w:bottom w:val="single" w:color="auto" w:sz="4" w:space="0"/>
              <w:right w:val="single" w:color="auto" w:sz="6" w:space="0"/>
            </w:tcBorders>
            <w:vAlign w:val="center"/>
          </w:tcPr>
          <w:p w14:paraId="0E11B9EC">
            <w:pPr>
              <w:spacing w:line="320" w:lineRule="exact"/>
              <w:jc w:val="center"/>
              <w:rPr>
                <w:rFonts w:ascii="Times New Roman"/>
                <w:bCs/>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2AE0E1BB">
            <w:pPr>
              <w:spacing w:line="320" w:lineRule="exact"/>
              <w:jc w:val="center"/>
              <w:rPr>
                <w:rFonts w:ascii="Times New Roman"/>
                <w:bCs/>
                <w:sz w:val="21"/>
                <w:szCs w:val="21"/>
                <w:lang w:val="zh-CN"/>
              </w:rPr>
            </w:pPr>
            <w:r>
              <w:rPr>
                <w:rFonts w:ascii="Times New Roman"/>
                <w:bCs/>
                <w:sz w:val="21"/>
                <w:szCs w:val="21"/>
              </w:rPr>
              <w:t>20000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20F7BDC3">
            <w:pPr>
              <w:spacing w:line="320" w:lineRule="exact"/>
              <w:jc w:val="center"/>
              <w:rPr>
                <w:rFonts w:ascii="Times New Roman"/>
                <w:bCs/>
                <w:sz w:val="21"/>
                <w:szCs w:val="21"/>
              </w:rPr>
            </w:pPr>
            <w:r>
              <w:rPr>
                <w:rFonts w:hint="eastAsia" w:ascii="Times New Roman"/>
                <w:bCs/>
                <w:sz w:val="21"/>
                <w:szCs w:val="21"/>
              </w:rPr>
              <w:t>7</w:t>
            </w:r>
            <w:r>
              <w:rPr>
                <w:rFonts w:ascii="Times New Roman"/>
                <w:bCs/>
                <w:sz w:val="21"/>
                <w:szCs w:val="21"/>
              </w:rPr>
              <w:t>200h</w:t>
            </w:r>
          </w:p>
        </w:tc>
        <w:tc>
          <w:tcPr>
            <w:tcW w:w="1066" w:type="pct"/>
            <w:tcBorders>
              <w:top w:val="single" w:color="auto" w:sz="4" w:space="0"/>
              <w:left w:val="single" w:color="auto" w:sz="6" w:space="0"/>
              <w:bottom w:val="single" w:color="auto" w:sz="4" w:space="0"/>
              <w:right w:val="single" w:color="auto" w:sz="4" w:space="0"/>
            </w:tcBorders>
            <w:vAlign w:val="center"/>
          </w:tcPr>
          <w:p w14:paraId="7744E368">
            <w:pPr>
              <w:spacing w:line="320" w:lineRule="exact"/>
              <w:jc w:val="center"/>
              <w:rPr>
                <w:rFonts w:ascii="Times New Roman"/>
                <w:bCs/>
                <w:sz w:val="21"/>
                <w:szCs w:val="21"/>
              </w:rPr>
            </w:pPr>
            <w:r>
              <w:rPr>
                <w:rFonts w:hint="eastAsia" w:ascii="Times New Roman"/>
                <w:bCs/>
                <w:sz w:val="21"/>
                <w:szCs w:val="21"/>
              </w:rPr>
              <w:t xml:space="preserve">1.440 </w:t>
            </w:r>
          </w:p>
        </w:tc>
      </w:tr>
      <w:tr w14:paraId="740199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0061043F">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70393696">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38831F20">
            <w:pPr>
              <w:widowControl/>
              <w:spacing w:line="320" w:lineRule="exact"/>
              <w:jc w:val="center"/>
              <w:rPr>
                <w:rFonts w:ascii="Times New Roman"/>
                <w:kern w:val="0"/>
                <w:sz w:val="21"/>
                <w:szCs w:val="21"/>
              </w:rPr>
            </w:pPr>
            <w:r>
              <w:rPr>
                <w:rFonts w:hint="eastAsia" w:ascii="Times New Roman"/>
                <w:kern w:val="0"/>
                <w:sz w:val="21"/>
                <w:szCs w:val="21"/>
              </w:rPr>
              <w:t>DA002</w:t>
            </w:r>
          </w:p>
        </w:tc>
        <w:tc>
          <w:tcPr>
            <w:tcW w:w="1088" w:type="pct"/>
            <w:tcBorders>
              <w:top w:val="single" w:color="auto" w:sz="4" w:space="0"/>
              <w:left w:val="single" w:color="auto" w:sz="4" w:space="0"/>
              <w:bottom w:val="single" w:color="auto" w:sz="4" w:space="0"/>
              <w:right w:val="single" w:color="auto" w:sz="6" w:space="0"/>
            </w:tcBorders>
            <w:vAlign w:val="center"/>
          </w:tcPr>
          <w:p w14:paraId="3661DB47">
            <w:pPr>
              <w:spacing w:line="320" w:lineRule="exact"/>
              <w:jc w:val="center"/>
              <w:rPr>
                <w:rFonts w:ascii="Times New Roman"/>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1E44A88D">
            <w:pPr>
              <w:spacing w:line="320" w:lineRule="exact"/>
              <w:jc w:val="center"/>
              <w:rPr>
                <w:rFonts w:ascii="Times New Roman"/>
                <w:bCs/>
                <w:sz w:val="21"/>
                <w:szCs w:val="21"/>
              </w:rPr>
            </w:pPr>
            <w:r>
              <w:rPr>
                <w:rFonts w:ascii="Times New Roman"/>
                <w:bCs/>
                <w:sz w:val="21"/>
                <w:szCs w:val="21"/>
              </w:rPr>
              <w:t>1</w:t>
            </w:r>
            <w:r>
              <w:rPr>
                <w:rFonts w:hint="eastAsia" w:ascii="Times New Roman"/>
                <w:bCs/>
                <w:sz w:val="21"/>
                <w:szCs w:val="21"/>
              </w:rPr>
              <w:t>5</w:t>
            </w:r>
            <w:r>
              <w:rPr>
                <w:rFonts w:ascii="Times New Roman"/>
                <w:bCs/>
                <w:sz w:val="21"/>
                <w:szCs w:val="21"/>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0CC9544D">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73009385">
            <w:pPr>
              <w:spacing w:line="320" w:lineRule="exact"/>
              <w:jc w:val="center"/>
              <w:rPr>
                <w:rFonts w:ascii="Times New Roman"/>
                <w:bCs/>
                <w:sz w:val="21"/>
                <w:szCs w:val="21"/>
              </w:rPr>
            </w:pPr>
            <w:r>
              <w:rPr>
                <w:rFonts w:hint="eastAsia" w:ascii="Times New Roman"/>
                <w:bCs/>
                <w:sz w:val="21"/>
                <w:szCs w:val="21"/>
              </w:rPr>
              <w:t xml:space="preserve">1.080 </w:t>
            </w:r>
          </w:p>
        </w:tc>
      </w:tr>
      <w:tr w14:paraId="257A6A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313EC797">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75E85DAF">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25848ED6">
            <w:pPr>
              <w:widowControl/>
              <w:spacing w:line="320" w:lineRule="exact"/>
              <w:jc w:val="center"/>
              <w:rPr>
                <w:rFonts w:ascii="Times New Roman"/>
                <w:kern w:val="0"/>
                <w:sz w:val="21"/>
                <w:szCs w:val="21"/>
              </w:rPr>
            </w:pPr>
            <w:r>
              <w:rPr>
                <w:rFonts w:hint="eastAsia" w:ascii="Times New Roman"/>
                <w:kern w:val="0"/>
                <w:sz w:val="21"/>
                <w:szCs w:val="21"/>
              </w:rPr>
              <w:t>DA003</w:t>
            </w:r>
          </w:p>
        </w:tc>
        <w:tc>
          <w:tcPr>
            <w:tcW w:w="1088" w:type="pct"/>
            <w:tcBorders>
              <w:top w:val="single" w:color="auto" w:sz="4" w:space="0"/>
              <w:left w:val="single" w:color="auto" w:sz="4" w:space="0"/>
              <w:bottom w:val="single" w:color="auto" w:sz="4" w:space="0"/>
              <w:right w:val="single" w:color="auto" w:sz="6" w:space="0"/>
            </w:tcBorders>
            <w:vAlign w:val="center"/>
          </w:tcPr>
          <w:p w14:paraId="2CFEFF0A">
            <w:pPr>
              <w:spacing w:line="320" w:lineRule="exact"/>
              <w:jc w:val="center"/>
              <w:rPr>
                <w:rFonts w:ascii="Times New Roman"/>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53ADBEE4">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42A29909">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606B2C36">
            <w:pPr>
              <w:spacing w:line="320" w:lineRule="exact"/>
              <w:jc w:val="center"/>
              <w:rPr>
                <w:rFonts w:ascii="Times New Roman"/>
                <w:bCs/>
                <w:sz w:val="21"/>
                <w:szCs w:val="21"/>
              </w:rPr>
            </w:pPr>
            <w:r>
              <w:rPr>
                <w:rFonts w:hint="eastAsia" w:ascii="Times New Roman"/>
                <w:bCs/>
                <w:sz w:val="21"/>
                <w:szCs w:val="21"/>
              </w:rPr>
              <w:t xml:space="preserve">1.080 </w:t>
            </w:r>
          </w:p>
        </w:tc>
      </w:tr>
      <w:tr w14:paraId="296626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1EC04940">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22190283">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703C8AE0">
            <w:pPr>
              <w:widowControl/>
              <w:spacing w:line="320" w:lineRule="exact"/>
              <w:jc w:val="center"/>
              <w:rPr>
                <w:rFonts w:ascii="Times New Roman"/>
                <w:kern w:val="0"/>
                <w:sz w:val="21"/>
                <w:szCs w:val="21"/>
              </w:rPr>
            </w:pPr>
            <w:r>
              <w:rPr>
                <w:rFonts w:hint="eastAsia" w:ascii="Times New Roman"/>
                <w:kern w:val="0"/>
                <w:sz w:val="21"/>
                <w:szCs w:val="21"/>
              </w:rPr>
              <w:t>DA004</w:t>
            </w:r>
          </w:p>
        </w:tc>
        <w:tc>
          <w:tcPr>
            <w:tcW w:w="1088" w:type="pct"/>
            <w:tcBorders>
              <w:top w:val="single" w:color="auto" w:sz="4" w:space="0"/>
              <w:left w:val="single" w:color="auto" w:sz="4" w:space="0"/>
              <w:bottom w:val="single" w:color="auto" w:sz="4" w:space="0"/>
              <w:right w:val="single" w:color="auto" w:sz="6" w:space="0"/>
            </w:tcBorders>
            <w:vAlign w:val="center"/>
          </w:tcPr>
          <w:p w14:paraId="77DB862C">
            <w:pPr>
              <w:spacing w:line="320" w:lineRule="exact"/>
              <w:jc w:val="center"/>
              <w:rPr>
                <w:rFonts w:ascii="Times New Roman"/>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175F999D">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6D67157A">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343350BA">
            <w:pPr>
              <w:spacing w:line="320" w:lineRule="exact"/>
              <w:jc w:val="center"/>
              <w:rPr>
                <w:rFonts w:ascii="Times New Roman"/>
                <w:bCs/>
                <w:sz w:val="21"/>
                <w:szCs w:val="21"/>
              </w:rPr>
            </w:pPr>
            <w:r>
              <w:rPr>
                <w:rFonts w:hint="eastAsia" w:ascii="Times New Roman"/>
                <w:bCs/>
                <w:sz w:val="21"/>
                <w:szCs w:val="21"/>
              </w:rPr>
              <w:t xml:space="preserve">1.080 </w:t>
            </w:r>
          </w:p>
        </w:tc>
      </w:tr>
      <w:tr w14:paraId="5B7805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7778264F">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2475AA31">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02EA58B4">
            <w:pPr>
              <w:widowControl/>
              <w:spacing w:line="320" w:lineRule="exact"/>
              <w:jc w:val="center"/>
              <w:rPr>
                <w:rFonts w:ascii="Times New Roman"/>
                <w:kern w:val="0"/>
                <w:sz w:val="21"/>
                <w:szCs w:val="21"/>
              </w:rPr>
            </w:pPr>
            <w:r>
              <w:rPr>
                <w:rFonts w:hint="eastAsia" w:ascii="Times New Roman"/>
                <w:kern w:val="0"/>
                <w:sz w:val="21"/>
                <w:szCs w:val="21"/>
              </w:rPr>
              <w:t>DA005</w:t>
            </w:r>
          </w:p>
        </w:tc>
        <w:tc>
          <w:tcPr>
            <w:tcW w:w="1088" w:type="pct"/>
            <w:tcBorders>
              <w:top w:val="single" w:color="auto" w:sz="4" w:space="0"/>
              <w:left w:val="single" w:color="auto" w:sz="4" w:space="0"/>
              <w:bottom w:val="single" w:color="auto" w:sz="4" w:space="0"/>
              <w:right w:val="single" w:color="auto" w:sz="6" w:space="0"/>
            </w:tcBorders>
            <w:vAlign w:val="center"/>
          </w:tcPr>
          <w:p w14:paraId="207C56AE">
            <w:pPr>
              <w:spacing w:line="320" w:lineRule="exact"/>
              <w:jc w:val="center"/>
              <w:rPr>
                <w:rFonts w:ascii="Times New Roman"/>
                <w:sz w:val="21"/>
                <w:szCs w:val="21"/>
              </w:rPr>
            </w:pPr>
            <w:r>
              <w:rPr>
                <w:rFonts w:hint="eastAsia" w:ascii="Times New Roman"/>
                <w:sz w:val="21"/>
                <w:szCs w:val="21"/>
              </w:rPr>
              <w:t>30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3CB8984E">
            <w:pPr>
              <w:spacing w:line="320" w:lineRule="exact"/>
              <w:jc w:val="center"/>
              <w:rPr>
                <w:rFonts w:ascii="Times New Roman"/>
                <w:bCs/>
                <w:sz w:val="21"/>
                <w:szCs w:val="21"/>
                <w:lang w:val="zh-CN"/>
              </w:rPr>
            </w:pPr>
            <w:r>
              <w:rPr>
                <w:rFonts w:hint="eastAsia" w:ascii="Times New Roman"/>
                <w:bCs/>
                <w:sz w:val="21"/>
                <w:szCs w:val="21"/>
              </w:rPr>
              <w:t>1677</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2D9D03D6">
            <w:pPr>
              <w:spacing w:line="320" w:lineRule="exact"/>
              <w:jc w:val="center"/>
              <w:rPr>
                <w:rFonts w:ascii="Times New Roman"/>
                <w:bCs/>
                <w:sz w:val="21"/>
                <w:szCs w:val="21"/>
              </w:rPr>
            </w:pPr>
            <w:r>
              <w:rPr>
                <w:rFonts w:ascii="Times New Roman"/>
                <w:bCs/>
                <w:sz w:val="21"/>
                <w:szCs w:val="21"/>
              </w:rPr>
              <w:t>7</w:t>
            </w:r>
            <w:r>
              <w:rPr>
                <w:rFonts w:hint="eastAsia" w:ascii="Times New Roman"/>
                <w:bCs/>
                <w:sz w:val="21"/>
                <w:szCs w:val="21"/>
              </w:rPr>
              <w:t>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058170E1">
            <w:pPr>
              <w:spacing w:line="320" w:lineRule="exact"/>
              <w:jc w:val="center"/>
              <w:rPr>
                <w:rFonts w:ascii="Times New Roman"/>
                <w:bCs/>
                <w:sz w:val="21"/>
                <w:szCs w:val="21"/>
              </w:rPr>
            </w:pPr>
            <w:r>
              <w:rPr>
                <w:rFonts w:hint="eastAsia" w:ascii="Times New Roman"/>
                <w:bCs/>
                <w:sz w:val="21"/>
                <w:szCs w:val="21"/>
              </w:rPr>
              <w:t xml:space="preserve">0.362 </w:t>
            </w:r>
          </w:p>
        </w:tc>
      </w:tr>
      <w:tr w14:paraId="21A2AA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5358BDFE">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32926F6D">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45F78D63">
            <w:pPr>
              <w:widowControl/>
              <w:spacing w:line="320" w:lineRule="exact"/>
              <w:jc w:val="center"/>
              <w:rPr>
                <w:rFonts w:ascii="Times New Roman"/>
                <w:kern w:val="0"/>
                <w:sz w:val="21"/>
                <w:szCs w:val="21"/>
              </w:rPr>
            </w:pPr>
            <w:r>
              <w:rPr>
                <w:rFonts w:hint="eastAsia" w:ascii="Times New Roman"/>
                <w:kern w:val="0"/>
                <w:sz w:val="21"/>
                <w:szCs w:val="21"/>
              </w:rPr>
              <w:t>DA006</w:t>
            </w:r>
          </w:p>
        </w:tc>
        <w:tc>
          <w:tcPr>
            <w:tcW w:w="1088" w:type="pct"/>
            <w:tcBorders>
              <w:top w:val="single" w:color="auto" w:sz="4" w:space="0"/>
              <w:left w:val="single" w:color="auto" w:sz="4" w:space="0"/>
              <w:bottom w:val="single" w:color="auto" w:sz="4" w:space="0"/>
              <w:right w:val="single" w:color="auto" w:sz="6" w:space="0"/>
            </w:tcBorders>
            <w:vAlign w:val="center"/>
          </w:tcPr>
          <w:p w14:paraId="054E57F4">
            <w:pPr>
              <w:spacing w:line="320" w:lineRule="exact"/>
              <w:jc w:val="center"/>
              <w:rPr>
                <w:rFonts w:ascii="Times New Roman"/>
                <w:sz w:val="21"/>
                <w:szCs w:val="21"/>
              </w:rPr>
            </w:pPr>
            <w:r>
              <w:rPr>
                <w:rFonts w:hint="eastAsia" w:ascii="Times New Roman"/>
                <w:sz w:val="21"/>
                <w:szCs w:val="21"/>
              </w:rPr>
              <w:t>20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4E90054E">
            <w:pPr>
              <w:spacing w:line="320" w:lineRule="exact"/>
              <w:jc w:val="center"/>
              <w:rPr>
                <w:rFonts w:ascii="Times New Roman"/>
                <w:bCs/>
                <w:sz w:val="21"/>
                <w:szCs w:val="21"/>
              </w:rPr>
            </w:pPr>
            <w:r>
              <w:rPr>
                <w:rFonts w:hint="eastAsia" w:ascii="Times New Roman"/>
                <w:bCs/>
                <w:sz w:val="21"/>
                <w:szCs w:val="21"/>
              </w:rPr>
              <w:t>50</w:t>
            </w:r>
            <w:r>
              <w:rPr>
                <w:rFonts w:ascii="Times New Roman"/>
                <w:bCs/>
                <w:sz w:val="21"/>
                <w:szCs w:val="21"/>
              </w:rPr>
              <w:t>0</w:t>
            </w:r>
            <w:r>
              <w:rPr>
                <w:rFonts w:ascii="Times New Roman"/>
                <w:bCs/>
                <w:sz w:val="21"/>
                <w:szCs w:val="21"/>
                <w:lang w:val="zh-CN"/>
              </w:rPr>
              <w:t>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1EEAD90B">
            <w:pPr>
              <w:spacing w:line="320" w:lineRule="exact"/>
              <w:jc w:val="center"/>
              <w:rPr>
                <w:rFonts w:ascii="Times New Roman"/>
                <w:bCs/>
                <w:sz w:val="21"/>
                <w:szCs w:val="21"/>
              </w:rPr>
            </w:pPr>
            <w:r>
              <w:rPr>
                <w:rFonts w:hint="eastAsia" w:ascii="Times New Roman"/>
                <w:bCs/>
                <w:sz w:val="21"/>
                <w:szCs w:val="21"/>
              </w:rPr>
              <w:t>24</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58291B94">
            <w:pPr>
              <w:spacing w:line="320" w:lineRule="exact"/>
              <w:jc w:val="center"/>
              <w:rPr>
                <w:rFonts w:ascii="Times New Roman"/>
                <w:bCs/>
                <w:sz w:val="21"/>
                <w:szCs w:val="21"/>
              </w:rPr>
            </w:pPr>
            <w:r>
              <w:rPr>
                <w:rFonts w:hint="eastAsia" w:ascii="Times New Roman"/>
                <w:bCs/>
                <w:sz w:val="21"/>
                <w:szCs w:val="21"/>
              </w:rPr>
              <w:t xml:space="preserve">2.400 </w:t>
            </w:r>
          </w:p>
        </w:tc>
      </w:tr>
      <w:tr w14:paraId="0E1E9D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524545EF">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7D0D43F2">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14:paraId="36003051">
            <w:pPr>
              <w:snapToGrid w:val="0"/>
              <w:spacing w:line="320" w:lineRule="exact"/>
              <w:contextualSpacing/>
              <w:jc w:val="center"/>
              <w:rPr>
                <w:rFonts w:ascii="Times New Roman"/>
                <w:sz w:val="21"/>
                <w:szCs w:val="21"/>
              </w:rPr>
            </w:pPr>
            <w:r>
              <w:rPr>
                <w:rFonts w:hint="eastAsia" w:ascii="Times New Roman"/>
                <w:sz w:val="21"/>
                <w:szCs w:val="21"/>
              </w:rPr>
              <w:t>DA007</w:t>
            </w:r>
          </w:p>
        </w:tc>
        <w:tc>
          <w:tcPr>
            <w:tcW w:w="1088" w:type="pct"/>
            <w:tcBorders>
              <w:top w:val="single" w:color="auto" w:sz="4" w:space="0"/>
              <w:left w:val="single" w:color="auto" w:sz="4" w:space="0"/>
              <w:bottom w:val="single" w:color="auto" w:sz="4" w:space="0"/>
              <w:right w:val="single" w:color="auto" w:sz="6" w:space="0"/>
            </w:tcBorders>
            <w:vAlign w:val="center"/>
          </w:tcPr>
          <w:p w14:paraId="6A4497CF">
            <w:pPr>
              <w:spacing w:line="320" w:lineRule="exact"/>
              <w:jc w:val="center"/>
              <w:rPr>
                <w:rFonts w:ascii="Times New Roman"/>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75EA966E">
            <w:pPr>
              <w:spacing w:line="320" w:lineRule="exact"/>
              <w:jc w:val="center"/>
              <w:rPr>
                <w:rFonts w:ascii="Times New Roman"/>
                <w:bCs/>
                <w:sz w:val="21"/>
                <w:szCs w:val="21"/>
              </w:rPr>
            </w:pPr>
            <w:r>
              <w:rPr>
                <w:rFonts w:ascii="Times New Roman"/>
                <w:bCs/>
                <w:sz w:val="21"/>
                <w:szCs w:val="21"/>
              </w:rPr>
              <w:t>20000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0AD58488">
            <w:pPr>
              <w:spacing w:line="320" w:lineRule="exact"/>
              <w:jc w:val="center"/>
              <w:rPr>
                <w:rFonts w:ascii="Times New Roman"/>
                <w:bCs/>
                <w:sz w:val="21"/>
                <w:szCs w:val="21"/>
              </w:rPr>
            </w:pPr>
            <w:r>
              <w:rPr>
                <w:rFonts w:hint="eastAsia" w:ascii="Times New Roman"/>
                <w:bCs/>
                <w:sz w:val="21"/>
                <w:szCs w:val="21"/>
              </w:rPr>
              <w:t>24</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4BB33493">
            <w:pPr>
              <w:spacing w:line="320" w:lineRule="exact"/>
              <w:jc w:val="center"/>
              <w:rPr>
                <w:rFonts w:ascii="Times New Roman"/>
                <w:bCs/>
                <w:sz w:val="21"/>
                <w:szCs w:val="21"/>
              </w:rPr>
            </w:pPr>
            <w:r>
              <w:rPr>
                <w:rFonts w:hint="eastAsia" w:ascii="Times New Roman"/>
                <w:bCs/>
                <w:sz w:val="21"/>
                <w:szCs w:val="21"/>
              </w:rPr>
              <w:t xml:space="preserve">0.480 </w:t>
            </w:r>
          </w:p>
        </w:tc>
      </w:tr>
      <w:tr w14:paraId="28E71F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61B4A6F3">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13A860DD">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14:paraId="4B2B6DA9">
            <w:pPr>
              <w:snapToGrid w:val="0"/>
              <w:spacing w:line="320" w:lineRule="exact"/>
              <w:contextualSpacing/>
              <w:jc w:val="center"/>
              <w:rPr>
                <w:rFonts w:ascii="Times New Roman"/>
                <w:sz w:val="21"/>
                <w:szCs w:val="21"/>
              </w:rPr>
            </w:pPr>
            <w:r>
              <w:rPr>
                <w:rFonts w:hint="eastAsia" w:ascii="Times New Roman"/>
                <w:sz w:val="21"/>
                <w:szCs w:val="21"/>
              </w:rPr>
              <w:t>DA008</w:t>
            </w:r>
          </w:p>
        </w:tc>
        <w:tc>
          <w:tcPr>
            <w:tcW w:w="1088" w:type="pct"/>
            <w:tcBorders>
              <w:top w:val="single" w:color="auto" w:sz="4" w:space="0"/>
              <w:left w:val="single" w:color="auto" w:sz="4" w:space="0"/>
              <w:bottom w:val="single" w:color="auto" w:sz="4" w:space="0"/>
              <w:right w:val="single" w:color="auto" w:sz="6" w:space="0"/>
            </w:tcBorders>
            <w:vAlign w:val="center"/>
          </w:tcPr>
          <w:p w14:paraId="2947174F">
            <w:pPr>
              <w:spacing w:line="320" w:lineRule="exact"/>
              <w:jc w:val="center"/>
              <w:rPr>
                <w:rFonts w:ascii="Times New Roman"/>
                <w:sz w:val="21"/>
                <w:szCs w:val="21"/>
              </w:rPr>
            </w:pPr>
            <w:r>
              <w:rPr>
                <w:rFonts w:hint="eastAsia" w:ascii="Times New Roman"/>
                <w:sz w:val="21"/>
                <w:szCs w:val="21"/>
              </w:rPr>
              <w:t>18</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shd w:val="clear" w:color="auto" w:fill="auto"/>
            <w:vAlign w:val="center"/>
          </w:tcPr>
          <w:p w14:paraId="7C6C0495">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shd w:val="clear" w:color="auto" w:fill="auto"/>
            <w:vAlign w:val="center"/>
          </w:tcPr>
          <w:p w14:paraId="06483FE1">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6F16FF53">
            <w:pPr>
              <w:spacing w:line="320" w:lineRule="exact"/>
              <w:jc w:val="center"/>
              <w:rPr>
                <w:rFonts w:ascii="Times New Roman"/>
                <w:bCs/>
                <w:sz w:val="21"/>
                <w:szCs w:val="21"/>
              </w:rPr>
            </w:pPr>
            <w:r>
              <w:rPr>
                <w:rFonts w:hint="eastAsia" w:ascii="Times New Roman"/>
                <w:bCs/>
                <w:sz w:val="21"/>
                <w:szCs w:val="21"/>
              </w:rPr>
              <w:t xml:space="preserve">1.944 </w:t>
            </w:r>
          </w:p>
        </w:tc>
      </w:tr>
      <w:tr w14:paraId="1C96C6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56" w:type="pct"/>
            <w:vMerge w:val="continue"/>
            <w:tcBorders>
              <w:left w:val="single" w:color="auto" w:sz="4" w:space="0"/>
              <w:right w:val="single" w:color="auto" w:sz="4" w:space="0"/>
            </w:tcBorders>
            <w:vAlign w:val="center"/>
          </w:tcPr>
          <w:p w14:paraId="606A5EDF">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7032C610">
            <w:pPr>
              <w:widowControl/>
              <w:spacing w:line="320" w:lineRule="exact"/>
              <w:jc w:val="center"/>
              <w:rPr>
                <w:rFonts w:ascii="Times New Roman"/>
                <w:kern w:val="0"/>
                <w:sz w:val="21"/>
                <w:szCs w:val="21"/>
              </w:rPr>
            </w:pPr>
          </w:p>
        </w:tc>
        <w:tc>
          <w:tcPr>
            <w:tcW w:w="563" w:type="pct"/>
            <w:vMerge w:val="restart"/>
            <w:tcBorders>
              <w:top w:val="single" w:color="auto" w:sz="4" w:space="0"/>
              <w:left w:val="single" w:color="auto" w:sz="4" w:space="0"/>
              <w:right w:val="single" w:color="auto" w:sz="4" w:space="0"/>
            </w:tcBorders>
            <w:vAlign w:val="center"/>
          </w:tcPr>
          <w:p w14:paraId="1EBD5F05">
            <w:pPr>
              <w:widowControl/>
              <w:spacing w:line="320" w:lineRule="exact"/>
              <w:jc w:val="center"/>
              <w:rPr>
                <w:rFonts w:ascii="Times New Roman"/>
                <w:kern w:val="0"/>
                <w:sz w:val="21"/>
                <w:szCs w:val="21"/>
              </w:rPr>
            </w:pPr>
            <w:r>
              <w:rPr>
                <w:rFonts w:hint="eastAsia" w:ascii="Times New Roman"/>
                <w:sz w:val="21"/>
                <w:szCs w:val="21"/>
              </w:rPr>
              <w:t>DA009</w:t>
            </w:r>
          </w:p>
        </w:tc>
        <w:tc>
          <w:tcPr>
            <w:tcW w:w="1088" w:type="pct"/>
            <w:tcBorders>
              <w:top w:val="single" w:color="auto" w:sz="4" w:space="0"/>
              <w:left w:val="single" w:color="auto" w:sz="4" w:space="0"/>
              <w:bottom w:val="single" w:color="auto" w:sz="4" w:space="0"/>
              <w:right w:val="single" w:color="auto" w:sz="6" w:space="0"/>
            </w:tcBorders>
            <w:vAlign w:val="center"/>
          </w:tcPr>
          <w:p w14:paraId="005B3BC7">
            <w:pPr>
              <w:spacing w:line="320" w:lineRule="exact"/>
              <w:jc w:val="center"/>
              <w:rPr>
                <w:rFonts w:ascii="Times New Roman"/>
                <w:sz w:val="21"/>
                <w:szCs w:val="21"/>
              </w:rPr>
            </w:pPr>
            <w:r>
              <w:rPr>
                <w:rFonts w:hint="eastAsia" w:ascii="Times New Roman"/>
                <w:sz w:val="21"/>
                <w:szCs w:val="21"/>
              </w:rPr>
              <w:t>18</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194BB7A2">
            <w:pPr>
              <w:spacing w:line="320" w:lineRule="exact"/>
              <w:jc w:val="center"/>
              <w:rPr>
                <w:rFonts w:ascii="Times New Roman"/>
                <w:bCs/>
                <w:sz w:val="21"/>
                <w:szCs w:val="21"/>
              </w:rPr>
            </w:pPr>
            <w:r>
              <w:rPr>
                <w:rFonts w:hint="eastAsia" w:ascii="Times New Roman"/>
                <w:bCs/>
                <w:sz w:val="21"/>
                <w:szCs w:val="21"/>
              </w:rPr>
              <w:t>232000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153DDC9C">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50A442C6">
            <w:pPr>
              <w:spacing w:line="320" w:lineRule="exact"/>
              <w:jc w:val="center"/>
              <w:rPr>
                <w:rFonts w:ascii="Times New Roman"/>
                <w:bCs/>
                <w:sz w:val="21"/>
                <w:szCs w:val="21"/>
              </w:rPr>
            </w:pPr>
            <w:r>
              <w:rPr>
                <w:rFonts w:hint="eastAsia" w:ascii="Times New Roman"/>
                <w:bCs/>
                <w:sz w:val="21"/>
                <w:szCs w:val="21"/>
              </w:rPr>
              <w:t xml:space="preserve">30.067 </w:t>
            </w:r>
          </w:p>
        </w:tc>
      </w:tr>
      <w:tr w14:paraId="0BEF52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2" w:hRule="atLeast"/>
          <w:jc w:val="center"/>
        </w:trPr>
        <w:tc>
          <w:tcPr>
            <w:tcW w:w="256" w:type="pct"/>
            <w:vMerge w:val="continue"/>
            <w:tcBorders>
              <w:left w:val="single" w:color="auto" w:sz="4" w:space="0"/>
              <w:right w:val="single" w:color="auto" w:sz="4" w:space="0"/>
            </w:tcBorders>
            <w:vAlign w:val="center"/>
          </w:tcPr>
          <w:p w14:paraId="23994051">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4D406B00">
            <w:pPr>
              <w:widowControl/>
              <w:spacing w:line="320" w:lineRule="exact"/>
              <w:jc w:val="center"/>
              <w:rPr>
                <w:rFonts w:ascii="Times New Roman"/>
                <w:kern w:val="0"/>
                <w:sz w:val="21"/>
                <w:szCs w:val="21"/>
              </w:rPr>
            </w:pPr>
          </w:p>
        </w:tc>
        <w:tc>
          <w:tcPr>
            <w:tcW w:w="563" w:type="pct"/>
            <w:vMerge w:val="continue"/>
            <w:tcBorders>
              <w:left w:val="single" w:color="auto" w:sz="4" w:space="0"/>
              <w:bottom w:val="single" w:color="auto" w:sz="4" w:space="0"/>
              <w:right w:val="single" w:color="auto" w:sz="4" w:space="0"/>
            </w:tcBorders>
            <w:vAlign w:val="center"/>
          </w:tcPr>
          <w:p w14:paraId="252070D7">
            <w:pPr>
              <w:widowControl/>
              <w:spacing w:line="320" w:lineRule="exact"/>
              <w:jc w:val="center"/>
              <w:rPr>
                <w:rFonts w:ascii="Times New Roman"/>
                <w:sz w:val="21"/>
                <w:szCs w:val="21"/>
              </w:rPr>
            </w:pPr>
          </w:p>
        </w:tc>
        <w:tc>
          <w:tcPr>
            <w:tcW w:w="1088" w:type="pct"/>
            <w:tcBorders>
              <w:top w:val="single" w:color="auto" w:sz="4" w:space="0"/>
              <w:left w:val="single" w:color="auto" w:sz="4" w:space="0"/>
              <w:bottom w:val="single" w:color="auto" w:sz="4" w:space="0"/>
              <w:right w:val="single" w:color="auto" w:sz="6" w:space="0"/>
            </w:tcBorders>
            <w:vAlign w:val="center"/>
          </w:tcPr>
          <w:p w14:paraId="1FE478AD">
            <w:pPr>
              <w:spacing w:line="320" w:lineRule="exact"/>
              <w:jc w:val="center"/>
              <w:rPr>
                <w:rFonts w:ascii="Times New Roman"/>
                <w:sz w:val="21"/>
                <w:szCs w:val="21"/>
              </w:rPr>
            </w:pPr>
            <w:r>
              <w:rPr>
                <w:rFonts w:hint="eastAsia" w:ascii="Times New Roman"/>
                <w:sz w:val="21"/>
                <w:szCs w:val="21"/>
              </w:rPr>
              <w:t>30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58CD325F">
            <w:pPr>
              <w:spacing w:line="320" w:lineRule="exact"/>
              <w:jc w:val="center"/>
              <w:rPr>
                <w:rFonts w:ascii="Times New Roman"/>
                <w:bCs/>
                <w:sz w:val="21"/>
                <w:szCs w:val="21"/>
              </w:rPr>
            </w:pPr>
            <w:r>
              <w:rPr>
                <w:rFonts w:hint="eastAsia" w:ascii="Times New Roman"/>
                <w:bCs/>
                <w:sz w:val="21"/>
                <w:szCs w:val="21"/>
              </w:rPr>
              <w:t>6824</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01DD9B9F">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296D3306">
            <w:pPr>
              <w:spacing w:line="320" w:lineRule="exact"/>
              <w:jc w:val="center"/>
              <w:rPr>
                <w:rFonts w:ascii="Times New Roman"/>
                <w:bCs/>
                <w:sz w:val="21"/>
                <w:szCs w:val="21"/>
              </w:rPr>
            </w:pPr>
            <w:r>
              <w:rPr>
                <w:rFonts w:hint="eastAsia" w:ascii="Times New Roman"/>
                <w:bCs/>
                <w:sz w:val="21"/>
                <w:szCs w:val="21"/>
              </w:rPr>
              <w:t xml:space="preserve">1.474 </w:t>
            </w:r>
          </w:p>
        </w:tc>
      </w:tr>
      <w:tr w14:paraId="3BAACF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1283251E">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45BEA8BD">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14A41067">
            <w:pPr>
              <w:widowControl/>
              <w:spacing w:line="320" w:lineRule="exact"/>
              <w:jc w:val="center"/>
              <w:rPr>
                <w:rFonts w:ascii="Times New Roman"/>
                <w:kern w:val="0"/>
                <w:sz w:val="21"/>
                <w:szCs w:val="21"/>
              </w:rPr>
            </w:pPr>
            <w:r>
              <w:rPr>
                <w:rFonts w:hint="eastAsia" w:ascii="Times New Roman"/>
                <w:kern w:val="0"/>
                <w:sz w:val="21"/>
                <w:szCs w:val="21"/>
              </w:rPr>
              <w:t>DA010</w:t>
            </w:r>
          </w:p>
        </w:tc>
        <w:tc>
          <w:tcPr>
            <w:tcW w:w="1088" w:type="pct"/>
            <w:tcBorders>
              <w:top w:val="single" w:color="auto" w:sz="4" w:space="0"/>
              <w:left w:val="single" w:color="auto" w:sz="4" w:space="0"/>
              <w:bottom w:val="single" w:color="auto" w:sz="4" w:space="0"/>
              <w:right w:val="single" w:color="auto" w:sz="6" w:space="0"/>
            </w:tcBorders>
            <w:shd w:val="clear" w:color="auto" w:fill="auto"/>
            <w:vAlign w:val="center"/>
          </w:tcPr>
          <w:p w14:paraId="62FF792B">
            <w:pPr>
              <w:spacing w:line="320" w:lineRule="exact"/>
              <w:jc w:val="center"/>
              <w:rPr>
                <w:rFonts w:ascii="Times New Roman"/>
                <w:sz w:val="21"/>
                <w:szCs w:val="21"/>
              </w:rPr>
            </w:pPr>
            <w:r>
              <w:rPr>
                <w:rFonts w:hint="eastAsia" w:ascii="Times New Roman"/>
                <w:sz w:val="21"/>
                <w:szCs w:val="21"/>
              </w:rPr>
              <w:t>15</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shd w:val="clear" w:color="auto" w:fill="auto"/>
            <w:vAlign w:val="center"/>
          </w:tcPr>
          <w:p w14:paraId="4CD7811D">
            <w:pPr>
              <w:spacing w:line="320" w:lineRule="exact"/>
              <w:jc w:val="center"/>
              <w:rPr>
                <w:rFonts w:ascii="Times New Roman"/>
                <w:bCs/>
                <w:sz w:val="21"/>
                <w:szCs w:val="21"/>
              </w:rPr>
            </w:pPr>
            <w:r>
              <w:rPr>
                <w:rFonts w:hint="eastAsia" w:ascii="Times New Roman"/>
                <w:bCs/>
                <w:sz w:val="21"/>
                <w:szCs w:val="21"/>
              </w:rPr>
              <w:t>10</w:t>
            </w:r>
            <w:r>
              <w:rPr>
                <w:rFonts w:ascii="Times New Roman"/>
                <w:bCs/>
                <w:sz w:val="21"/>
                <w:szCs w:val="21"/>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shd w:val="clear" w:color="auto" w:fill="auto"/>
            <w:vAlign w:val="center"/>
          </w:tcPr>
          <w:p w14:paraId="3B608763">
            <w:pPr>
              <w:spacing w:line="320" w:lineRule="exact"/>
              <w:jc w:val="center"/>
              <w:rPr>
                <w:rFonts w:ascii="Times New Roman"/>
                <w:bCs/>
                <w:sz w:val="21"/>
                <w:szCs w:val="21"/>
              </w:rPr>
            </w:pPr>
            <w:r>
              <w:rPr>
                <w:rFonts w:hint="eastAsia" w:ascii="Times New Roman"/>
                <w:bCs/>
                <w:sz w:val="21"/>
                <w:szCs w:val="21"/>
              </w:rPr>
              <w:t>24</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2C0FF1A8">
            <w:pPr>
              <w:spacing w:line="320" w:lineRule="exact"/>
              <w:jc w:val="center"/>
              <w:rPr>
                <w:rFonts w:ascii="Times New Roman"/>
                <w:bCs/>
                <w:sz w:val="21"/>
                <w:szCs w:val="21"/>
              </w:rPr>
            </w:pPr>
            <w:r>
              <w:rPr>
                <w:rFonts w:hint="eastAsia" w:ascii="Times New Roman"/>
                <w:bCs/>
                <w:sz w:val="21"/>
                <w:szCs w:val="21"/>
              </w:rPr>
              <w:t xml:space="preserve">0.360 </w:t>
            </w:r>
          </w:p>
        </w:tc>
      </w:tr>
      <w:tr w14:paraId="2AB7E2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6DF0F417">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049870EF">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30DC0735">
            <w:pPr>
              <w:widowControl/>
              <w:spacing w:line="320" w:lineRule="exact"/>
              <w:jc w:val="center"/>
              <w:rPr>
                <w:rFonts w:ascii="Times New Roman"/>
                <w:kern w:val="0"/>
                <w:sz w:val="21"/>
                <w:szCs w:val="21"/>
              </w:rPr>
            </w:pPr>
            <w:r>
              <w:rPr>
                <w:rFonts w:hint="eastAsia" w:ascii="Times New Roman"/>
                <w:kern w:val="0"/>
                <w:sz w:val="21"/>
                <w:szCs w:val="21"/>
              </w:rPr>
              <w:t>DA011</w:t>
            </w:r>
          </w:p>
        </w:tc>
        <w:tc>
          <w:tcPr>
            <w:tcW w:w="1088" w:type="pct"/>
            <w:tcBorders>
              <w:top w:val="single" w:color="auto" w:sz="4" w:space="0"/>
              <w:left w:val="single" w:color="auto" w:sz="4" w:space="0"/>
              <w:bottom w:val="single" w:color="auto" w:sz="4" w:space="0"/>
              <w:right w:val="single" w:color="auto" w:sz="6" w:space="0"/>
            </w:tcBorders>
            <w:shd w:val="clear" w:color="auto" w:fill="auto"/>
            <w:vAlign w:val="center"/>
          </w:tcPr>
          <w:p w14:paraId="4AB10CAB">
            <w:pPr>
              <w:spacing w:line="320" w:lineRule="exact"/>
              <w:jc w:val="center"/>
              <w:rPr>
                <w:rFonts w:ascii="Times New Roman"/>
                <w:bCs/>
                <w:sz w:val="21"/>
                <w:szCs w:val="21"/>
              </w:rPr>
            </w:pPr>
            <w:r>
              <w:rPr>
                <w:rFonts w:hint="eastAsia" w:ascii="Times New Roman"/>
                <w:sz w:val="21"/>
                <w:szCs w:val="21"/>
              </w:rPr>
              <w:t>25</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shd w:val="clear" w:color="auto" w:fill="auto"/>
            <w:vAlign w:val="center"/>
          </w:tcPr>
          <w:p w14:paraId="3B624BCF">
            <w:pPr>
              <w:autoSpaceDE w:val="0"/>
              <w:autoSpaceDN w:val="0"/>
              <w:adjustRightInd w:val="0"/>
              <w:spacing w:line="320" w:lineRule="exact"/>
              <w:jc w:val="center"/>
              <w:rPr>
                <w:rFonts w:ascii="Times New Roman"/>
                <w:bCs/>
                <w:sz w:val="21"/>
                <w:szCs w:val="21"/>
              </w:rPr>
            </w:pPr>
            <w:r>
              <w:rPr>
                <w:rFonts w:hint="eastAsia" w:ascii="Times New Roman"/>
                <w:snapToGrid w:val="0"/>
                <w:sz w:val="21"/>
                <w:szCs w:val="21"/>
              </w:rPr>
              <w:t>632.4</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/a</w:t>
            </w:r>
          </w:p>
        </w:tc>
        <w:tc>
          <w:tcPr>
            <w:tcW w:w="759" w:type="pct"/>
            <w:tcBorders>
              <w:top w:val="single" w:color="auto" w:sz="4" w:space="0"/>
              <w:left w:val="single" w:color="auto" w:sz="6" w:space="0"/>
              <w:bottom w:val="single" w:color="auto" w:sz="4" w:space="0"/>
              <w:right w:val="single" w:color="auto" w:sz="6" w:space="0"/>
            </w:tcBorders>
            <w:shd w:val="clear" w:color="auto" w:fill="auto"/>
            <w:vAlign w:val="center"/>
          </w:tcPr>
          <w:p w14:paraId="2FC00F28">
            <w:pPr>
              <w:spacing w:line="320" w:lineRule="exact"/>
              <w:jc w:val="center"/>
              <w:rPr>
                <w:rFonts w:ascii="Times New Roman"/>
                <w:bCs/>
                <w:sz w:val="21"/>
                <w:szCs w:val="21"/>
              </w:rPr>
            </w:pPr>
            <w:r>
              <w:rPr>
                <w:rFonts w:hint="eastAsia" w:ascii="Times New Roman"/>
                <w:bCs/>
                <w:sz w:val="21"/>
                <w:szCs w:val="21"/>
              </w:rPr>
              <w:t>24</w:t>
            </w:r>
            <w:r>
              <w:rPr>
                <w:rFonts w:ascii="Times New Roman"/>
                <w:bCs/>
                <w:sz w:val="21"/>
                <w:szCs w:val="21"/>
              </w:rPr>
              <w:t>00h</w:t>
            </w:r>
          </w:p>
        </w:tc>
        <w:tc>
          <w:tcPr>
            <w:tcW w:w="1066" w:type="pct"/>
            <w:tcBorders>
              <w:top w:val="single" w:color="auto" w:sz="4" w:space="0"/>
              <w:left w:val="single" w:color="auto" w:sz="6" w:space="0"/>
              <w:bottom w:val="single" w:color="auto" w:sz="4" w:space="0"/>
              <w:right w:val="single" w:color="auto" w:sz="4" w:space="0"/>
            </w:tcBorders>
            <w:vAlign w:val="center"/>
          </w:tcPr>
          <w:p w14:paraId="0487BD9B">
            <w:pPr>
              <w:spacing w:line="320" w:lineRule="exact"/>
              <w:jc w:val="center"/>
              <w:rPr>
                <w:rFonts w:ascii="Times New Roman"/>
                <w:bCs/>
                <w:sz w:val="21"/>
                <w:szCs w:val="21"/>
              </w:rPr>
            </w:pPr>
            <w:r>
              <w:rPr>
                <w:rFonts w:hint="eastAsia" w:ascii="Times New Roman"/>
                <w:bCs/>
                <w:sz w:val="21"/>
                <w:szCs w:val="21"/>
              </w:rPr>
              <w:t xml:space="preserve">0.038 </w:t>
            </w:r>
          </w:p>
        </w:tc>
      </w:tr>
      <w:tr w14:paraId="3E043E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406FBAA5">
            <w:pPr>
              <w:spacing w:line="320" w:lineRule="exact"/>
              <w:jc w:val="center"/>
              <w:rPr>
                <w:rFonts w:ascii="Times New Roman"/>
                <w:bCs/>
                <w:sz w:val="21"/>
                <w:szCs w:val="21"/>
              </w:rPr>
            </w:pPr>
          </w:p>
        </w:tc>
        <w:tc>
          <w:tcPr>
            <w:tcW w:w="426" w:type="pct"/>
            <w:vMerge w:val="continue"/>
            <w:tcBorders>
              <w:left w:val="single" w:color="auto" w:sz="4" w:space="0"/>
              <w:bottom w:val="single" w:color="auto" w:sz="4" w:space="0"/>
              <w:right w:val="single" w:color="auto" w:sz="4" w:space="0"/>
            </w:tcBorders>
            <w:vAlign w:val="center"/>
          </w:tcPr>
          <w:p w14:paraId="309491C8">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179C7640">
            <w:pPr>
              <w:widowControl/>
              <w:spacing w:line="320" w:lineRule="exact"/>
              <w:jc w:val="center"/>
              <w:rPr>
                <w:rFonts w:ascii="Times New Roman"/>
                <w:b/>
                <w:bCs/>
                <w:kern w:val="0"/>
                <w:sz w:val="21"/>
                <w:szCs w:val="21"/>
              </w:rPr>
            </w:pPr>
            <w:r>
              <w:rPr>
                <w:rFonts w:ascii="Times New Roman"/>
                <w:b/>
                <w:bCs/>
                <w:sz w:val="21"/>
                <w:szCs w:val="21"/>
              </w:rPr>
              <w:t>合计</w:t>
            </w:r>
          </w:p>
        </w:tc>
        <w:tc>
          <w:tcPr>
            <w:tcW w:w="1088" w:type="pct"/>
            <w:tcBorders>
              <w:top w:val="single" w:color="auto" w:sz="4" w:space="0"/>
              <w:left w:val="single" w:color="auto" w:sz="4" w:space="0"/>
              <w:bottom w:val="single" w:color="auto" w:sz="4" w:space="0"/>
              <w:right w:val="single" w:color="auto" w:sz="6" w:space="0"/>
            </w:tcBorders>
            <w:vAlign w:val="center"/>
          </w:tcPr>
          <w:p w14:paraId="59664A53">
            <w:pPr>
              <w:spacing w:line="320" w:lineRule="exact"/>
              <w:jc w:val="center"/>
              <w:rPr>
                <w:rFonts w:ascii="Times New Roman"/>
                <w:b/>
                <w:bCs/>
                <w:sz w:val="21"/>
                <w:szCs w:val="21"/>
              </w:rPr>
            </w:pPr>
            <w:r>
              <w:rPr>
                <w:rFonts w:ascii="Times New Roman"/>
                <w:b/>
                <w:bCs/>
                <w:sz w:val="21"/>
                <w:szCs w:val="21"/>
              </w:rPr>
              <w:t>--</w:t>
            </w:r>
          </w:p>
        </w:tc>
        <w:tc>
          <w:tcPr>
            <w:tcW w:w="841" w:type="pct"/>
            <w:tcBorders>
              <w:top w:val="single" w:color="auto" w:sz="4" w:space="0"/>
              <w:left w:val="single" w:color="auto" w:sz="6" w:space="0"/>
              <w:bottom w:val="single" w:color="auto" w:sz="4" w:space="0"/>
              <w:right w:val="single" w:color="auto" w:sz="4" w:space="0"/>
            </w:tcBorders>
            <w:vAlign w:val="center"/>
          </w:tcPr>
          <w:p w14:paraId="29659DA8">
            <w:pPr>
              <w:spacing w:line="320" w:lineRule="exact"/>
              <w:jc w:val="center"/>
              <w:rPr>
                <w:rFonts w:ascii="Times New Roman"/>
                <w:b/>
                <w:bCs/>
                <w:sz w:val="21"/>
                <w:szCs w:val="21"/>
                <w:lang w:val="zh-CN"/>
              </w:rPr>
            </w:pPr>
            <w:r>
              <w:rPr>
                <w:rFonts w:ascii="Times New Roman"/>
                <w:b/>
                <w:bCs/>
                <w:sz w:val="21"/>
                <w:szCs w:val="21"/>
              </w:rPr>
              <w:t>--</w:t>
            </w:r>
          </w:p>
        </w:tc>
        <w:tc>
          <w:tcPr>
            <w:tcW w:w="759" w:type="pct"/>
            <w:tcBorders>
              <w:top w:val="single" w:color="auto" w:sz="4" w:space="0"/>
              <w:left w:val="single" w:color="auto" w:sz="6" w:space="0"/>
              <w:bottom w:val="single" w:color="auto" w:sz="4" w:space="0"/>
              <w:right w:val="single" w:color="auto" w:sz="6" w:space="0"/>
            </w:tcBorders>
            <w:vAlign w:val="center"/>
          </w:tcPr>
          <w:p w14:paraId="0EB03BEF">
            <w:pPr>
              <w:spacing w:line="320" w:lineRule="exact"/>
              <w:jc w:val="center"/>
              <w:rPr>
                <w:rFonts w:ascii="Times New Roman"/>
                <w:b/>
                <w:bCs/>
                <w:sz w:val="21"/>
                <w:szCs w:val="21"/>
              </w:rPr>
            </w:pPr>
            <w:r>
              <w:rPr>
                <w:rFonts w:ascii="Times New Roman"/>
                <w:b/>
                <w:bCs/>
                <w:sz w:val="21"/>
                <w:szCs w:val="21"/>
              </w:rPr>
              <w:t>--</w:t>
            </w:r>
          </w:p>
        </w:tc>
        <w:tc>
          <w:tcPr>
            <w:tcW w:w="1066" w:type="pct"/>
            <w:tcBorders>
              <w:top w:val="single" w:color="auto" w:sz="4" w:space="0"/>
              <w:left w:val="single" w:color="auto" w:sz="6" w:space="0"/>
              <w:bottom w:val="single" w:color="auto" w:sz="4" w:space="0"/>
              <w:right w:val="single" w:color="auto" w:sz="4" w:space="0"/>
            </w:tcBorders>
            <w:vAlign w:val="center"/>
          </w:tcPr>
          <w:p w14:paraId="0DFAB174">
            <w:pPr>
              <w:spacing w:line="320" w:lineRule="exact"/>
              <w:jc w:val="center"/>
              <w:rPr>
                <w:rFonts w:ascii="Times New Roman"/>
                <w:bCs/>
                <w:sz w:val="21"/>
                <w:szCs w:val="21"/>
              </w:rPr>
            </w:pPr>
            <w:r>
              <w:rPr>
                <w:rFonts w:hint="eastAsia" w:ascii="Times New Roman"/>
                <w:b/>
                <w:sz w:val="21"/>
                <w:szCs w:val="21"/>
              </w:rPr>
              <w:t xml:space="preserve">41.805 </w:t>
            </w:r>
          </w:p>
        </w:tc>
      </w:tr>
      <w:tr w14:paraId="6A01E2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0F12ACA4">
            <w:pPr>
              <w:spacing w:line="320" w:lineRule="exact"/>
              <w:jc w:val="center"/>
              <w:rPr>
                <w:rFonts w:ascii="Times New Roman"/>
                <w:bCs/>
                <w:sz w:val="21"/>
                <w:szCs w:val="21"/>
              </w:rPr>
            </w:pPr>
          </w:p>
        </w:tc>
        <w:tc>
          <w:tcPr>
            <w:tcW w:w="426" w:type="pct"/>
            <w:vMerge w:val="restart"/>
            <w:tcBorders>
              <w:top w:val="single" w:color="auto" w:sz="4" w:space="0"/>
              <w:left w:val="single" w:color="auto" w:sz="4" w:space="0"/>
              <w:right w:val="single" w:color="auto" w:sz="4" w:space="0"/>
            </w:tcBorders>
            <w:vAlign w:val="center"/>
          </w:tcPr>
          <w:p w14:paraId="01FC9910">
            <w:pPr>
              <w:widowControl/>
              <w:spacing w:line="320" w:lineRule="exact"/>
              <w:jc w:val="center"/>
              <w:rPr>
                <w:rFonts w:ascii="Times New Roman"/>
                <w:kern w:val="0"/>
                <w:sz w:val="21"/>
                <w:szCs w:val="21"/>
              </w:rPr>
            </w:pPr>
            <w:r>
              <w:rPr>
                <w:rFonts w:ascii="Times New Roman"/>
                <w:kern w:val="0"/>
                <w:sz w:val="21"/>
                <w:szCs w:val="21"/>
              </w:rPr>
              <w:t>非甲烷总烃</w:t>
            </w:r>
          </w:p>
        </w:tc>
        <w:tc>
          <w:tcPr>
            <w:tcW w:w="563" w:type="pct"/>
            <w:tcBorders>
              <w:top w:val="single" w:color="auto" w:sz="4" w:space="0"/>
              <w:left w:val="single" w:color="auto" w:sz="4" w:space="0"/>
              <w:bottom w:val="single" w:color="auto" w:sz="4" w:space="0"/>
              <w:right w:val="single" w:color="auto" w:sz="4" w:space="0"/>
            </w:tcBorders>
            <w:vAlign w:val="center"/>
          </w:tcPr>
          <w:p w14:paraId="5076B5DC">
            <w:pPr>
              <w:widowControl/>
              <w:spacing w:line="320" w:lineRule="exact"/>
              <w:jc w:val="center"/>
              <w:rPr>
                <w:rFonts w:ascii="Times New Roman"/>
                <w:kern w:val="0"/>
                <w:sz w:val="21"/>
                <w:szCs w:val="21"/>
              </w:rPr>
            </w:pPr>
            <w:r>
              <w:rPr>
                <w:rFonts w:hint="eastAsia" w:ascii="Times New Roman"/>
                <w:kern w:val="0"/>
                <w:sz w:val="21"/>
                <w:szCs w:val="21"/>
              </w:rPr>
              <w:t>DA006</w:t>
            </w:r>
          </w:p>
        </w:tc>
        <w:tc>
          <w:tcPr>
            <w:tcW w:w="1088" w:type="pct"/>
            <w:tcBorders>
              <w:top w:val="single" w:color="auto" w:sz="4" w:space="0"/>
              <w:left w:val="single" w:color="auto" w:sz="4" w:space="0"/>
              <w:bottom w:val="single" w:color="auto" w:sz="4" w:space="0"/>
              <w:right w:val="single" w:color="auto" w:sz="6" w:space="0"/>
            </w:tcBorders>
            <w:vAlign w:val="center"/>
          </w:tcPr>
          <w:p w14:paraId="366CF6F2">
            <w:pPr>
              <w:spacing w:line="320" w:lineRule="exact"/>
              <w:jc w:val="center"/>
              <w:rPr>
                <w:rFonts w:ascii="Times New Roman"/>
                <w:sz w:val="21"/>
                <w:szCs w:val="21"/>
              </w:rPr>
            </w:pPr>
            <w:r>
              <w:rPr>
                <w:rFonts w:hint="eastAsia" w:ascii="Times New Roman"/>
                <w:sz w:val="21"/>
                <w:szCs w:val="21"/>
              </w:rPr>
              <w:t>4</w:t>
            </w:r>
            <w:r>
              <w:rPr>
                <w:rFonts w:ascii="Times New Roman"/>
                <w:sz w:val="21"/>
                <w:szCs w:val="21"/>
              </w:rPr>
              <w:t>0mg/m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6B211A65">
            <w:pPr>
              <w:spacing w:line="320" w:lineRule="exact"/>
              <w:jc w:val="center"/>
              <w:rPr>
                <w:rFonts w:ascii="Times New Roman"/>
                <w:bCs/>
                <w:sz w:val="21"/>
                <w:szCs w:val="21"/>
                <w:lang w:val="zh-CN"/>
              </w:rPr>
            </w:pPr>
            <w:r>
              <w:rPr>
                <w:rFonts w:hint="eastAsia" w:ascii="Times New Roman"/>
                <w:bCs/>
                <w:sz w:val="21"/>
                <w:szCs w:val="21"/>
              </w:rPr>
              <w:t>5</w:t>
            </w:r>
            <w:r>
              <w:rPr>
                <w:rFonts w:ascii="Times New Roman"/>
                <w:bCs/>
                <w:sz w:val="21"/>
                <w:szCs w:val="21"/>
              </w:rPr>
              <w:t>0</w:t>
            </w:r>
            <w:r>
              <w:rPr>
                <w:rFonts w:ascii="Times New Roman"/>
                <w:bCs/>
                <w:sz w:val="21"/>
                <w:szCs w:val="21"/>
                <w:lang w:val="zh-CN"/>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4E2EA2A8">
            <w:pPr>
              <w:spacing w:line="320" w:lineRule="exact"/>
              <w:jc w:val="center"/>
              <w:rPr>
                <w:rFonts w:ascii="Times New Roman"/>
                <w:bCs/>
                <w:sz w:val="21"/>
                <w:szCs w:val="21"/>
              </w:rPr>
            </w:pPr>
            <w:r>
              <w:rPr>
                <w:rFonts w:hint="eastAsia" w:ascii="Times New Roman"/>
                <w:bCs/>
                <w:sz w:val="21"/>
                <w:szCs w:val="21"/>
              </w:rPr>
              <w:t>24</w:t>
            </w:r>
            <w:r>
              <w:rPr>
                <w:rFonts w:ascii="Times New Roman"/>
                <w:bCs/>
                <w:sz w:val="21"/>
                <w:szCs w:val="21"/>
              </w:rPr>
              <w:t>00h</w:t>
            </w:r>
          </w:p>
        </w:tc>
        <w:tc>
          <w:tcPr>
            <w:tcW w:w="1066" w:type="pct"/>
            <w:tcBorders>
              <w:top w:val="single" w:color="auto" w:sz="4" w:space="0"/>
              <w:left w:val="single" w:color="auto" w:sz="6" w:space="0"/>
              <w:bottom w:val="single" w:color="auto" w:sz="6" w:space="0"/>
              <w:right w:val="single" w:color="auto" w:sz="4" w:space="0"/>
            </w:tcBorders>
            <w:vAlign w:val="center"/>
          </w:tcPr>
          <w:p w14:paraId="3BCD37A8">
            <w:pPr>
              <w:spacing w:line="320" w:lineRule="exact"/>
              <w:jc w:val="center"/>
              <w:rPr>
                <w:rFonts w:ascii="Times New Roman"/>
                <w:bCs/>
                <w:sz w:val="21"/>
                <w:szCs w:val="21"/>
              </w:rPr>
            </w:pPr>
            <w:r>
              <w:rPr>
                <w:rFonts w:hint="eastAsia" w:ascii="Times New Roman"/>
                <w:bCs/>
                <w:sz w:val="21"/>
                <w:szCs w:val="21"/>
              </w:rPr>
              <w:t xml:space="preserve">4.800 </w:t>
            </w:r>
          </w:p>
        </w:tc>
      </w:tr>
      <w:tr w14:paraId="60B4A2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182327AD">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5AA4CA05">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26B034C2">
            <w:pPr>
              <w:widowControl/>
              <w:spacing w:line="320" w:lineRule="exact"/>
              <w:jc w:val="center"/>
              <w:rPr>
                <w:rFonts w:ascii="Times New Roman"/>
                <w:kern w:val="0"/>
                <w:sz w:val="21"/>
                <w:szCs w:val="21"/>
              </w:rPr>
            </w:pPr>
            <w:r>
              <w:rPr>
                <w:rFonts w:hint="eastAsia" w:ascii="Times New Roman"/>
                <w:sz w:val="21"/>
                <w:szCs w:val="21"/>
              </w:rPr>
              <w:t>DA009</w:t>
            </w:r>
          </w:p>
        </w:tc>
        <w:tc>
          <w:tcPr>
            <w:tcW w:w="1088" w:type="pct"/>
            <w:tcBorders>
              <w:top w:val="single" w:color="auto" w:sz="4" w:space="0"/>
              <w:left w:val="single" w:color="auto" w:sz="4" w:space="0"/>
              <w:bottom w:val="single" w:color="auto" w:sz="4" w:space="0"/>
              <w:right w:val="single" w:color="auto" w:sz="6" w:space="0"/>
            </w:tcBorders>
            <w:vAlign w:val="center"/>
          </w:tcPr>
          <w:p w14:paraId="1E9C66C8">
            <w:pPr>
              <w:spacing w:line="320" w:lineRule="exact"/>
              <w:jc w:val="center"/>
              <w:rPr>
                <w:rFonts w:ascii="Times New Roman"/>
                <w:sz w:val="21"/>
                <w:szCs w:val="21"/>
              </w:rPr>
            </w:pPr>
            <w:r>
              <w:rPr>
                <w:rFonts w:hint="eastAsia" w:ascii="Times New Roman"/>
                <w:sz w:val="21"/>
                <w:szCs w:val="21"/>
              </w:rPr>
              <w:t>30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63322FA3">
            <w:pPr>
              <w:spacing w:line="320" w:lineRule="exact"/>
              <w:jc w:val="center"/>
              <w:rPr>
                <w:rFonts w:ascii="Times New Roman"/>
                <w:bCs/>
                <w:sz w:val="21"/>
                <w:szCs w:val="21"/>
              </w:rPr>
            </w:pPr>
            <w:r>
              <w:rPr>
                <w:rFonts w:hint="eastAsia" w:ascii="Times New Roman"/>
                <w:bCs/>
                <w:sz w:val="21"/>
                <w:szCs w:val="21"/>
              </w:rPr>
              <w:t>232000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5260C906">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6" w:space="0"/>
              <w:right w:val="single" w:color="auto" w:sz="4" w:space="0"/>
            </w:tcBorders>
            <w:vAlign w:val="center"/>
          </w:tcPr>
          <w:p w14:paraId="4C1B9765">
            <w:pPr>
              <w:spacing w:line="320" w:lineRule="exact"/>
              <w:jc w:val="center"/>
              <w:rPr>
                <w:rFonts w:ascii="Times New Roman"/>
                <w:bCs/>
                <w:sz w:val="21"/>
                <w:szCs w:val="21"/>
              </w:rPr>
            </w:pPr>
            <w:r>
              <w:rPr>
                <w:rFonts w:hint="eastAsia" w:ascii="Times New Roman"/>
                <w:bCs/>
                <w:sz w:val="21"/>
                <w:szCs w:val="21"/>
              </w:rPr>
              <w:t xml:space="preserve">50.112 </w:t>
            </w:r>
          </w:p>
        </w:tc>
      </w:tr>
      <w:tr w14:paraId="0F11FD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3759B546">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53D767D7">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526D1C1D">
            <w:pPr>
              <w:widowControl/>
              <w:spacing w:line="320" w:lineRule="exact"/>
              <w:jc w:val="center"/>
              <w:rPr>
                <w:rFonts w:ascii="Times New Roman"/>
                <w:kern w:val="0"/>
                <w:sz w:val="21"/>
                <w:szCs w:val="21"/>
              </w:rPr>
            </w:pPr>
            <w:r>
              <w:rPr>
                <w:rFonts w:hint="eastAsia" w:ascii="Times New Roman"/>
                <w:sz w:val="21"/>
                <w:szCs w:val="21"/>
              </w:rPr>
              <w:t>DA011</w:t>
            </w:r>
          </w:p>
        </w:tc>
        <w:tc>
          <w:tcPr>
            <w:tcW w:w="1088" w:type="pct"/>
            <w:tcBorders>
              <w:top w:val="single" w:color="auto" w:sz="4" w:space="0"/>
              <w:left w:val="single" w:color="auto" w:sz="4" w:space="0"/>
              <w:bottom w:val="single" w:color="auto" w:sz="4" w:space="0"/>
              <w:right w:val="single" w:color="auto" w:sz="6" w:space="0"/>
            </w:tcBorders>
            <w:vAlign w:val="center"/>
          </w:tcPr>
          <w:p w14:paraId="67FA78C0">
            <w:pPr>
              <w:spacing w:line="320" w:lineRule="exact"/>
              <w:jc w:val="center"/>
              <w:rPr>
                <w:rFonts w:ascii="Times New Roman"/>
                <w:sz w:val="21"/>
                <w:szCs w:val="21"/>
              </w:rPr>
            </w:pPr>
            <w:r>
              <w:rPr>
                <w:rFonts w:hint="eastAsia" w:ascii="Times New Roman"/>
                <w:sz w:val="21"/>
                <w:szCs w:val="21"/>
              </w:rPr>
              <w:t>3</w:t>
            </w:r>
            <w:r>
              <w:rPr>
                <w:rFonts w:ascii="Times New Roman"/>
                <w:sz w:val="21"/>
                <w:szCs w:val="21"/>
              </w:rPr>
              <w:t>0mg/m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38D4E103">
            <w:pPr>
              <w:spacing w:line="320" w:lineRule="exact"/>
              <w:jc w:val="center"/>
              <w:rPr>
                <w:rFonts w:ascii="Times New Roman"/>
                <w:bCs/>
                <w:sz w:val="21"/>
                <w:szCs w:val="21"/>
                <w:lang w:val="zh-CN"/>
              </w:rPr>
            </w:pPr>
            <w:r>
              <w:rPr>
                <w:rFonts w:hint="eastAsia" w:ascii="Times New Roman"/>
                <w:bCs/>
                <w:sz w:val="21"/>
                <w:szCs w:val="21"/>
              </w:rPr>
              <w:t>8</w:t>
            </w:r>
            <w:r>
              <w:rPr>
                <w:rFonts w:ascii="Times New Roman"/>
                <w:bCs/>
                <w:sz w:val="21"/>
                <w:szCs w:val="21"/>
                <w:lang w:val="zh-CN"/>
              </w:rPr>
              <w:t>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0A5DB9CA">
            <w:pPr>
              <w:spacing w:line="320" w:lineRule="exact"/>
              <w:jc w:val="center"/>
              <w:rPr>
                <w:rFonts w:ascii="Times New Roman"/>
                <w:bCs/>
                <w:sz w:val="21"/>
                <w:szCs w:val="21"/>
              </w:rPr>
            </w:pPr>
            <w:r>
              <w:rPr>
                <w:rFonts w:hint="eastAsia" w:ascii="Times New Roman"/>
                <w:bCs/>
                <w:sz w:val="21"/>
                <w:szCs w:val="21"/>
              </w:rPr>
              <w:t>24</w:t>
            </w:r>
            <w:r>
              <w:rPr>
                <w:rFonts w:ascii="Times New Roman"/>
                <w:bCs/>
                <w:sz w:val="21"/>
                <w:szCs w:val="21"/>
              </w:rPr>
              <w:t>00h</w:t>
            </w:r>
          </w:p>
        </w:tc>
        <w:tc>
          <w:tcPr>
            <w:tcW w:w="1066" w:type="pct"/>
            <w:tcBorders>
              <w:top w:val="single" w:color="auto" w:sz="4" w:space="0"/>
              <w:left w:val="single" w:color="auto" w:sz="6" w:space="0"/>
              <w:bottom w:val="single" w:color="auto" w:sz="6" w:space="0"/>
              <w:right w:val="single" w:color="auto" w:sz="4" w:space="0"/>
            </w:tcBorders>
            <w:vAlign w:val="center"/>
          </w:tcPr>
          <w:p w14:paraId="260FE336">
            <w:pPr>
              <w:spacing w:line="320" w:lineRule="exact"/>
              <w:jc w:val="center"/>
              <w:rPr>
                <w:rFonts w:ascii="Times New Roman"/>
                <w:bCs/>
                <w:sz w:val="21"/>
                <w:szCs w:val="21"/>
              </w:rPr>
            </w:pPr>
            <w:r>
              <w:rPr>
                <w:rFonts w:hint="eastAsia" w:ascii="Times New Roman"/>
                <w:bCs/>
                <w:sz w:val="21"/>
                <w:szCs w:val="21"/>
              </w:rPr>
              <w:t xml:space="preserve">0.576 </w:t>
            </w:r>
          </w:p>
        </w:tc>
      </w:tr>
      <w:tr w14:paraId="1BEC2D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7CD316C8">
            <w:pPr>
              <w:spacing w:line="320" w:lineRule="exact"/>
              <w:jc w:val="center"/>
              <w:rPr>
                <w:rFonts w:ascii="Times New Roman"/>
                <w:bCs/>
                <w:sz w:val="21"/>
                <w:szCs w:val="21"/>
              </w:rPr>
            </w:pPr>
          </w:p>
        </w:tc>
        <w:tc>
          <w:tcPr>
            <w:tcW w:w="426" w:type="pct"/>
            <w:vMerge w:val="continue"/>
            <w:tcBorders>
              <w:left w:val="single" w:color="auto" w:sz="4" w:space="0"/>
              <w:bottom w:val="single" w:color="auto" w:sz="4" w:space="0"/>
              <w:right w:val="single" w:color="auto" w:sz="4" w:space="0"/>
            </w:tcBorders>
            <w:vAlign w:val="center"/>
          </w:tcPr>
          <w:p w14:paraId="3F1D5694">
            <w:pPr>
              <w:widowControl/>
              <w:spacing w:line="320" w:lineRule="exact"/>
              <w:jc w:val="center"/>
              <w:rPr>
                <w:rFonts w:ascii="Times New Roman"/>
                <w:kern w:val="0"/>
                <w:sz w:val="21"/>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2E4D4BFA">
            <w:pPr>
              <w:widowControl/>
              <w:spacing w:line="320" w:lineRule="exact"/>
              <w:jc w:val="center"/>
              <w:rPr>
                <w:rFonts w:ascii="Times New Roman"/>
                <w:b/>
                <w:bCs/>
                <w:kern w:val="0"/>
                <w:sz w:val="21"/>
                <w:szCs w:val="21"/>
              </w:rPr>
            </w:pPr>
            <w:r>
              <w:rPr>
                <w:rFonts w:ascii="Times New Roman"/>
                <w:b/>
                <w:bCs/>
                <w:kern w:val="0"/>
                <w:sz w:val="21"/>
                <w:szCs w:val="21"/>
              </w:rPr>
              <w:t>合计</w:t>
            </w:r>
          </w:p>
        </w:tc>
        <w:tc>
          <w:tcPr>
            <w:tcW w:w="1088" w:type="pct"/>
            <w:tcBorders>
              <w:top w:val="single" w:color="auto" w:sz="4" w:space="0"/>
              <w:left w:val="single" w:color="auto" w:sz="4" w:space="0"/>
              <w:bottom w:val="single" w:color="auto" w:sz="4" w:space="0"/>
              <w:right w:val="single" w:color="auto" w:sz="6" w:space="0"/>
            </w:tcBorders>
            <w:vAlign w:val="center"/>
          </w:tcPr>
          <w:p w14:paraId="0DAF8F07">
            <w:pPr>
              <w:spacing w:line="320" w:lineRule="exact"/>
              <w:jc w:val="center"/>
              <w:rPr>
                <w:rFonts w:ascii="Times New Roman"/>
                <w:b/>
                <w:bCs/>
                <w:sz w:val="21"/>
                <w:szCs w:val="21"/>
              </w:rPr>
            </w:pPr>
            <w:r>
              <w:rPr>
                <w:rFonts w:ascii="Times New Roman"/>
                <w:b/>
                <w:bCs/>
                <w:sz w:val="21"/>
                <w:szCs w:val="21"/>
              </w:rPr>
              <w:t>--</w:t>
            </w:r>
          </w:p>
        </w:tc>
        <w:tc>
          <w:tcPr>
            <w:tcW w:w="841" w:type="pct"/>
            <w:tcBorders>
              <w:top w:val="single" w:color="auto" w:sz="4" w:space="0"/>
              <w:left w:val="single" w:color="auto" w:sz="6" w:space="0"/>
              <w:bottom w:val="single" w:color="auto" w:sz="6" w:space="0"/>
              <w:right w:val="single" w:color="auto" w:sz="4" w:space="0"/>
            </w:tcBorders>
            <w:vAlign w:val="center"/>
          </w:tcPr>
          <w:p w14:paraId="6F7B65C5">
            <w:pPr>
              <w:spacing w:line="320" w:lineRule="exact"/>
              <w:jc w:val="center"/>
              <w:rPr>
                <w:rFonts w:ascii="Times New Roman"/>
                <w:b/>
                <w:bCs/>
                <w:sz w:val="21"/>
                <w:szCs w:val="21"/>
                <w:lang w:val="zh-CN"/>
              </w:rPr>
            </w:pPr>
            <w:r>
              <w:rPr>
                <w:rFonts w:ascii="Times New Roman"/>
                <w:b/>
                <w:bCs/>
                <w:sz w:val="21"/>
                <w:szCs w:val="21"/>
              </w:rPr>
              <w:t>--</w:t>
            </w:r>
          </w:p>
        </w:tc>
        <w:tc>
          <w:tcPr>
            <w:tcW w:w="759" w:type="pct"/>
            <w:tcBorders>
              <w:top w:val="single" w:color="auto" w:sz="4" w:space="0"/>
              <w:left w:val="single" w:color="auto" w:sz="6" w:space="0"/>
              <w:bottom w:val="single" w:color="auto" w:sz="6" w:space="0"/>
              <w:right w:val="single" w:color="auto" w:sz="6" w:space="0"/>
            </w:tcBorders>
            <w:vAlign w:val="center"/>
          </w:tcPr>
          <w:p w14:paraId="0CAA04BC">
            <w:pPr>
              <w:spacing w:line="320" w:lineRule="exact"/>
              <w:jc w:val="center"/>
              <w:rPr>
                <w:rFonts w:ascii="Times New Roman"/>
                <w:b/>
                <w:bCs/>
                <w:sz w:val="21"/>
                <w:szCs w:val="21"/>
              </w:rPr>
            </w:pPr>
            <w:r>
              <w:rPr>
                <w:rFonts w:ascii="Times New Roman"/>
                <w:b/>
                <w:bCs/>
                <w:sz w:val="21"/>
                <w:szCs w:val="21"/>
              </w:rPr>
              <w:t>--</w:t>
            </w:r>
          </w:p>
        </w:tc>
        <w:tc>
          <w:tcPr>
            <w:tcW w:w="1066" w:type="pct"/>
            <w:tcBorders>
              <w:top w:val="single" w:color="auto" w:sz="4" w:space="0"/>
              <w:left w:val="single" w:color="auto" w:sz="6" w:space="0"/>
              <w:bottom w:val="single" w:color="auto" w:sz="6" w:space="0"/>
              <w:right w:val="single" w:color="auto" w:sz="4" w:space="0"/>
            </w:tcBorders>
            <w:vAlign w:val="center"/>
          </w:tcPr>
          <w:p w14:paraId="6275827A">
            <w:pPr>
              <w:spacing w:line="320" w:lineRule="exact"/>
              <w:jc w:val="center"/>
              <w:rPr>
                <w:rFonts w:ascii="Times New Roman"/>
                <w:bCs/>
                <w:sz w:val="21"/>
                <w:szCs w:val="21"/>
              </w:rPr>
            </w:pPr>
            <w:r>
              <w:rPr>
                <w:rFonts w:hint="eastAsia" w:ascii="Times New Roman"/>
                <w:b/>
                <w:sz w:val="21"/>
                <w:szCs w:val="21"/>
              </w:rPr>
              <w:t xml:space="preserve">55.488 </w:t>
            </w:r>
          </w:p>
        </w:tc>
      </w:tr>
      <w:tr w14:paraId="4AC6FF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0B570DB5">
            <w:pPr>
              <w:spacing w:line="320" w:lineRule="exact"/>
              <w:jc w:val="center"/>
              <w:rPr>
                <w:rFonts w:ascii="Times New Roman"/>
                <w:bCs/>
                <w:sz w:val="21"/>
                <w:szCs w:val="21"/>
              </w:rPr>
            </w:pPr>
          </w:p>
        </w:tc>
        <w:tc>
          <w:tcPr>
            <w:tcW w:w="426" w:type="pct"/>
            <w:tcBorders>
              <w:left w:val="single" w:color="auto" w:sz="4" w:space="0"/>
              <w:bottom w:val="single" w:color="auto" w:sz="4" w:space="0"/>
              <w:right w:val="single" w:color="auto" w:sz="4" w:space="0"/>
            </w:tcBorders>
            <w:vAlign w:val="center"/>
          </w:tcPr>
          <w:p w14:paraId="5F58E65C">
            <w:pPr>
              <w:widowControl/>
              <w:spacing w:line="320" w:lineRule="exact"/>
              <w:jc w:val="center"/>
              <w:rPr>
                <w:rFonts w:ascii="Times New Roman"/>
                <w:kern w:val="0"/>
                <w:sz w:val="21"/>
                <w:szCs w:val="21"/>
              </w:rPr>
            </w:pPr>
            <w:r>
              <w:rPr>
                <w:rFonts w:hint="eastAsia" w:ascii="Times New Roman"/>
                <w:kern w:val="0"/>
                <w:sz w:val="21"/>
                <w:szCs w:val="21"/>
              </w:rPr>
              <w:t>二甲苯</w:t>
            </w:r>
          </w:p>
        </w:tc>
        <w:tc>
          <w:tcPr>
            <w:tcW w:w="563" w:type="pct"/>
            <w:tcBorders>
              <w:top w:val="single" w:color="auto" w:sz="4" w:space="0"/>
              <w:left w:val="single" w:color="auto" w:sz="4" w:space="0"/>
              <w:bottom w:val="single" w:color="auto" w:sz="4" w:space="0"/>
              <w:right w:val="single" w:color="auto" w:sz="4" w:space="0"/>
            </w:tcBorders>
            <w:vAlign w:val="center"/>
          </w:tcPr>
          <w:p w14:paraId="2BA7C739">
            <w:pPr>
              <w:widowControl/>
              <w:spacing w:line="320" w:lineRule="exact"/>
              <w:jc w:val="center"/>
              <w:rPr>
                <w:rFonts w:ascii="Times New Roman"/>
                <w:b/>
                <w:bCs/>
                <w:kern w:val="0"/>
                <w:sz w:val="21"/>
                <w:szCs w:val="21"/>
              </w:rPr>
            </w:pPr>
            <w:r>
              <w:rPr>
                <w:rFonts w:hint="eastAsia" w:ascii="Times New Roman"/>
                <w:sz w:val="21"/>
                <w:szCs w:val="21"/>
              </w:rPr>
              <w:t>DA009</w:t>
            </w:r>
          </w:p>
        </w:tc>
        <w:tc>
          <w:tcPr>
            <w:tcW w:w="1088" w:type="pct"/>
            <w:tcBorders>
              <w:top w:val="single" w:color="auto" w:sz="4" w:space="0"/>
              <w:left w:val="single" w:color="auto" w:sz="4" w:space="0"/>
              <w:bottom w:val="single" w:color="auto" w:sz="4" w:space="0"/>
              <w:right w:val="single" w:color="auto" w:sz="6" w:space="0"/>
            </w:tcBorders>
            <w:vAlign w:val="center"/>
          </w:tcPr>
          <w:p w14:paraId="4530D028">
            <w:pPr>
              <w:spacing w:line="320" w:lineRule="exact"/>
              <w:jc w:val="center"/>
              <w:rPr>
                <w:rFonts w:ascii="Times New Roman"/>
                <w:b/>
                <w:bCs/>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0AEB3B28">
            <w:pPr>
              <w:spacing w:line="320" w:lineRule="exact"/>
              <w:jc w:val="center"/>
              <w:rPr>
                <w:rFonts w:ascii="Times New Roman"/>
                <w:bCs/>
                <w:sz w:val="21"/>
                <w:szCs w:val="21"/>
              </w:rPr>
            </w:pPr>
            <w:r>
              <w:rPr>
                <w:rFonts w:hint="eastAsia" w:ascii="Times New Roman"/>
                <w:bCs/>
                <w:sz w:val="21"/>
                <w:szCs w:val="21"/>
              </w:rPr>
              <w:t>232000</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70E81FDA">
            <w:pPr>
              <w:spacing w:line="320" w:lineRule="exact"/>
              <w:jc w:val="center"/>
              <w:rPr>
                <w:rFonts w:ascii="Times New Roman"/>
                <w:bCs/>
                <w:sz w:val="21"/>
                <w:szCs w:val="21"/>
              </w:rPr>
            </w:pPr>
            <w:r>
              <w:rPr>
                <w:rFonts w:hint="eastAsia" w:ascii="Times New Roman"/>
                <w:bCs/>
                <w:sz w:val="21"/>
                <w:szCs w:val="21"/>
              </w:rPr>
              <w:t>72</w:t>
            </w:r>
            <w:r>
              <w:rPr>
                <w:rFonts w:ascii="Times New Roman"/>
                <w:bCs/>
                <w:sz w:val="21"/>
                <w:szCs w:val="21"/>
              </w:rPr>
              <w:t>00h</w:t>
            </w:r>
          </w:p>
        </w:tc>
        <w:tc>
          <w:tcPr>
            <w:tcW w:w="1066" w:type="pct"/>
            <w:tcBorders>
              <w:top w:val="single" w:color="auto" w:sz="4" w:space="0"/>
              <w:left w:val="single" w:color="auto" w:sz="6" w:space="0"/>
              <w:bottom w:val="single" w:color="auto" w:sz="6" w:space="0"/>
              <w:right w:val="single" w:color="auto" w:sz="4" w:space="0"/>
            </w:tcBorders>
            <w:vAlign w:val="center"/>
          </w:tcPr>
          <w:p w14:paraId="06B7C5DF">
            <w:pPr>
              <w:spacing w:line="320" w:lineRule="exact"/>
              <w:jc w:val="center"/>
              <w:rPr>
                <w:rFonts w:ascii="Times New Roman"/>
                <w:bCs/>
                <w:sz w:val="21"/>
                <w:szCs w:val="21"/>
              </w:rPr>
            </w:pPr>
            <w:r>
              <w:rPr>
                <w:rFonts w:hint="eastAsia" w:ascii="Times New Roman"/>
                <w:b/>
                <w:sz w:val="21"/>
                <w:szCs w:val="21"/>
              </w:rPr>
              <w:t xml:space="preserve">16.704 </w:t>
            </w:r>
          </w:p>
        </w:tc>
      </w:tr>
      <w:tr w14:paraId="6834EE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61CD78D3">
            <w:pPr>
              <w:spacing w:line="320" w:lineRule="exact"/>
              <w:jc w:val="center"/>
              <w:rPr>
                <w:rFonts w:ascii="Times New Roman"/>
                <w:bCs/>
                <w:sz w:val="21"/>
                <w:szCs w:val="21"/>
              </w:rPr>
            </w:pPr>
          </w:p>
        </w:tc>
        <w:tc>
          <w:tcPr>
            <w:tcW w:w="426" w:type="pct"/>
            <w:vMerge w:val="restart"/>
            <w:tcBorders>
              <w:top w:val="single" w:color="auto" w:sz="4" w:space="0"/>
              <w:left w:val="single" w:color="auto" w:sz="4" w:space="0"/>
              <w:right w:val="single" w:color="auto" w:sz="4" w:space="0"/>
            </w:tcBorders>
            <w:vAlign w:val="center"/>
          </w:tcPr>
          <w:p w14:paraId="30DA088B">
            <w:pPr>
              <w:widowControl/>
              <w:spacing w:line="320" w:lineRule="exact"/>
              <w:jc w:val="center"/>
              <w:rPr>
                <w:rFonts w:ascii="Times New Roman"/>
                <w:kern w:val="0"/>
                <w:sz w:val="21"/>
                <w:szCs w:val="21"/>
              </w:rPr>
            </w:pPr>
            <w:r>
              <w:rPr>
                <w:rFonts w:ascii="Times New Roman"/>
                <w:kern w:val="0"/>
                <w:sz w:val="21"/>
                <w:szCs w:val="21"/>
              </w:rPr>
              <w:t>SO</w:t>
            </w:r>
            <w:r>
              <w:rPr>
                <w:rFonts w:ascii="Times New Roman"/>
                <w:kern w:val="0"/>
                <w:sz w:val="21"/>
                <w:szCs w:val="21"/>
                <w:vertAlign w:val="subscript"/>
              </w:rPr>
              <w:t>2</w:t>
            </w:r>
          </w:p>
        </w:tc>
        <w:tc>
          <w:tcPr>
            <w:tcW w:w="563" w:type="pct"/>
            <w:tcBorders>
              <w:top w:val="single" w:color="auto" w:sz="4" w:space="0"/>
              <w:left w:val="single" w:color="auto" w:sz="4" w:space="0"/>
              <w:right w:val="single" w:color="auto" w:sz="4" w:space="0"/>
            </w:tcBorders>
            <w:vAlign w:val="center"/>
          </w:tcPr>
          <w:p w14:paraId="2E257AEA">
            <w:pPr>
              <w:widowControl/>
              <w:spacing w:line="320" w:lineRule="exact"/>
              <w:jc w:val="center"/>
              <w:rPr>
                <w:rFonts w:ascii="Times New Roman"/>
                <w:kern w:val="0"/>
                <w:sz w:val="21"/>
                <w:szCs w:val="21"/>
              </w:rPr>
            </w:pPr>
            <w:r>
              <w:rPr>
                <w:rFonts w:hint="eastAsia" w:ascii="Times New Roman"/>
                <w:kern w:val="0"/>
                <w:sz w:val="21"/>
                <w:szCs w:val="21"/>
              </w:rPr>
              <w:t>DA005</w:t>
            </w:r>
          </w:p>
        </w:tc>
        <w:tc>
          <w:tcPr>
            <w:tcW w:w="1088" w:type="pct"/>
            <w:tcBorders>
              <w:top w:val="single" w:color="auto" w:sz="4" w:space="0"/>
              <w:left w:val="single" w:color="auto" w:sz="4" w:space="0"/>
              <w:bottom w:val="single" w:color="auto" w:sz="6" w:space="0"/>
              <w:right w:val="single" w:color="auto" w:sz="6" w:space="0"/>
            </w:tcBorders>
            <w:vAlign w:val="center"/>
          </w:tcPr>
          <w:p w14:paraId="30D19025">
            <w:pPr>
              <w:spacing w:line="320" w:lineRule="exact"/>
              <w:jc w:val="center"/>
              <w:rPr>
                <w:rFonts w:ascii="Times New Roman"/>
                <w:bCs/>
                <w:sz w:val="21"/>
                <w:szCs w:val="21"/>
              </w:rPr>
            </w:pPr>
            <w:r>
              <w:rPr>
                <w:rFonts w:hint="eastAsia" w:ascii="Times New Roman"/>
                <w:sz w:val="21"/>
                <w:szCs w:val="21"/>
              </w:rPr>
              <w:t>200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65D842FE">
            <w:pPr>
              <w:autoSpaceDE w:val="0"/>
              <w:autoSpaceDN w:val="0"/>
              <w:adjustRightInd w:val="0"/>
              <w:spacing w:line="320" w:lineRule="exact"/>
              <w:jc w:val="center"/>
              <w:rPr>
                <w:rFonts w:ascii="Times New Roman"/>
                <w:bCs/>
                <w:sz w:val="21"/>
                <w:szCs w:val="21"/>
                <w:lang w:val="zh-CN"/>
              </w:rPr>
            </w:pPr>
            <w:r>
              <w:rPr>
                <w:rFonts w:hint="eastAsia" w:ascii="Times New Roman"/>
                <w:snapToGrid w:val="0"/>
                <w:sz w:val="21"/>
                <w:szCs w:val="21"/>
              </w:rPr>
              <w:t>5059.2</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51A8555E">
            <w:pPr>
              <w:spacing w:line="320" w:lineRule="exact"/>
              <w:jc w:val="center"/>
              <w:rPr>
                <w:rFonts w:ascii="Times New Roman"/>
                <w:bCs/>
                <w:sz w:val="21"/>
                <w:szCs w:val="21"/>
              </w:rPr>
            </w:pPr>
            <w:r>
              <w:rPr>
                <w:rFonts w:hint="eastAsia" w:ascii="Times New Roman"/>
                <w:bCs/>
                <w:sz w:val="21"/>
                <w:szCs w:val="21"/>
              </w:rPr>
              <w:t>1800</w:t>
            </w:r>
            <w:r>
              <w:rPr>
                <w:rFonts w:ascii="Times New Roman"/>
                <w:bCs/>
                <w:sz w:val="21"/>
                <w:szCs w:val="21"/>
              </w:rPr>
              <w:t>h</w:t>
            </w:r>
          </w:p>
        </w:tc>
        <w:tc>
          <w:tcPr>
            <w:tcW w:w="1780" w:type="dxa"/>
            <w:tcBorders>
              <w:top w:val="single" w:color="auto" w:sz="4" w:space="0"/>
              <w:left w:val="single" w:color="auto" w:sz="6" w:space="0"/>
              <w:bottom w:val="single" w:color="auto" w:sz="6" w:space="0"/>
              <w:right w:val="single" w:color="auto" w:sz="4" w:space="0"/>
            </w:tcBorders>
            <w:vAlign w:val="bottom"/>
          </w:tcPr>
          <w:p w14:paraId="2856CE27">
            <w:pPr>
              <w:spacing w:line="320" w:lineRule="exact"/>
              <w:jc w:val="center"/>
              <w:rPr>
                <w:rFonts w:ascii="Times New Roman"/>
                <w:bCs/>
                <w:sz w:val="21"/>
                <w:szCs w:val="21"/>
              </w:rPr>
            </w:pPr>
            <w:r>
              <w:rPr>
                <w:rFonts w:hint="eastAsia" w:ascii="Times New Roman"/>
                <w:bCs/>
                <w:sz w:val="21"/>
                <w:szCs w:val="21"/>
              </w:rPr>
              <w:t>1.821</w:t>
            </w:r>
          </w:p>
        </w:tc>
      </w:tr>
      <w:tr w14:paraId="2AF6C7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07E1BFB4">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7986E787">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3DED57A6">
            <w:pPr>
              <w:widowControl/>
              <w:spacing w:line="320" w:lineRule="exact"/>
              <w:jc w:val="center"/>
              <w:rPr>
                <w:rFonts w:ascii="Times New Roman"/>
                <w:sz w:val="21"/>
                <w:szCs w:val="21"/>
              </w:rPr>
            </w:pPr>
            <w:r>
              <w:rPr>
                <w:rFonts w:hint="eastAsia" w:ascii="Times New Roman"/>
                <w:sz w:val="21"/>
                <w:szCs w:val="21"/>
              </w:rPr>
              <w:t>DA008</w:t>
            </w:r>
          </w:p>
        </w:tc>
        <w:tc>
          <w:tcPr>
            <w:tcW w:w="1088" w:type="pct"/>
            <w:tcBorders>
              <w:top w:val="single" w:color="auto" w:sz="4" w:space="0"/>
              <w:left w:val="single" w:color="auto" w:sz="4" w:space="0"/>
              <w:bottom w:val="single" w:color="auto" w:sz="6" w:space="0"/>
              <w:right w:val="single" w:color="auto" w:sz="6" w:space="0"/>
            </w:tcBorders>
            <w:vAlign w:val="center"/>
          </w:tcPr>
          <w:p w14:paraId="39089815">
            <w:pPr>
              <w:spacing w:line="320" w:lineRule="exact"/>
              <w:jc w:val="center"/>
              <w:rPr>
                <w:rFonts w:ascii="Times New Roman"/>
                <w:sz w:val="21"/>
                <w:szCs w:val="21"/>
              </w:rPr>
            </w:pPr>
            <w:r>
              <w:rPr>
                <w:rFonts w:ascii="Times New Roman"/>
                <w:sz w:val="21"/>
                <w:szCs w:val="21"/>
              </w:rPr>
              <w:t>10mg/m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7F08B7FB">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2586.072</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22B40D8F">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00h</w:t>
            </w:r>
          </w:p>
        </w:tc>
        <w:tc>
          <w:tcPr>
            <w:tcW w:w="1780" w:type="dxa"/>
            <w:tcBorders>
              <w:top w:val="single" w:color="auto" w:sz="4" w:space="0"/>
              <w:left w:val="single" w:color="auto" w:sz="6" w:space="0"/>
              <w:bottom w:val="single" w:color="auto" w:sz="6" w:space="0"/>
              <w:right w:val="single" w:color="auto" w:sz="4" w:space="0"/>
            </w:tcBorders>
            <w:vAlign w:val="bottom"/>
          </w:tcPr>
          <w:p w14:paraId="15CD1F32">
            <w:pPr>
              <w:spacing w:line="320" w:lineRule="exact"/>
              <w:jc w:val="center"/>
              <w:rPr>
                <w:rFonts w:ascii="Times New Roman"/>
                <w:bCs/>
                <w:sz w:val="21"/>
                <w:szCs w:val="21"/>
              </w:rPr>
            </w:pPr>
            <w:r>
              <w:rPr>
                <w:rFonts w:hint="eastAsia" w:ascii="Times New Roman"/>
                <w:bCs/>
                <w:sz w:val="21"/>
                <w:szCs w:val="21"/>
              </w:rPr>
              <w:t>0.039</w:t>
            </w:r>
          </w:p>
        </w:tc>
      </w:tr>
      <w:tr w14:paraId="2891F1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2BB957AE">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19F64606">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67470F15">
            <w:pPr>
              <w:widowControl/>
              <w:spacing w:line="320" w:lineRule="exact"/>
              <w:jc w:val="center"/>
              <w:rPr>
                <w:rFonts w:ascii="Times New Roman"/>
                <w:sz w:val="21"/>
                <w:szCs w:val="21"/>
              </w:rPr>
            </w:pPr>
            <w:r>
              <w:rPr>
                <w:rFonts w:hint="eastAsia" w:ascii="Times New Roman"/>
                <w:sz w:val="21"/>
                <w:szCs w:val="21"/>
              </w:rPr>
              <w:t>DA010</w:t>
            </w:r>
          </w:p>
        </w:tc>
        <w:tc>
          <w:tcPr>
            <w:tcW w:w="1088" w:type="pct"/>
            <w:tcBorders>
              <w:top w:val="single" w:color="auto" w:sz="4" w:space="0"/>
              <w:left w:val="single" w:color="auto" w:sz="4" w:space="0"/>
              <w:bottom w:val="single" w:color="auto" w:sz="6" w:space="0"/>
              <w:right w:val="single" w:color="auto" w:sz="6" w:space="0"/>
            </w:tcBorders>
            <w:vAlign w:val="center"/>
          </w:tcPr>
          <w:p w14:paraId="5F5C3C62">
            <w:pPr>
              <w:spacing w:line="320" w:lineRule="exact"/>
              <w:jc w:val="center"/>
              <w:rPr>
                <w:rFonts w:ascii="Times New Roman"/>
                <w:sz w:val="21"/>
                <w:szCs w:val="21"/>
              </w:rPr>
            </w:pPr>
            <w:r>
              <w:rPr>
                <w:rFonts w:hint="eastAsia" w:ascii="Times New Roman"/>
                <w:sz w:val="21"/>
                <w:szCs w:val="21"/>
              </w:rPr>
              <w:t>200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75783BDC">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5059.2</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333F2A52">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00h</w:t>
            </w:r>
          </w:p>
        </w:tc>
        <w:tc>
          <w:tcPr>
            <w:tcW w:w="1780" w:type="dxa"/>
            <w:tcBorders>
              <w:top w:val="single" w:color="auto" w:sz="4" w:space="0"/>
              <w:left w:val="single" w:color="auto" w:sz="6" w:space="0"/>
              <w:bottom w:val="single" w:color="auto" w:sz="6" w:space="0"/>
              <w:right w:val="single" w:color="auto" w:sz="4" w:space="0"/>
            </w:tcBorders>
            <w:vAlign w:val="bottom"/>
          </w:tcPr>
          <w:p w14:paraId="0DC03DF6">
            <w:pPr>
              <w:spacing w:line="320" w:lineRule="exact"/>
              <w:jc w:val="center"/>
              <w:rPr>
                <w:rFonts w:ascii="Times New Roman"/>
                <w:bCs/>
                <w:sz w:val="21"/>
                <w:szCs w:val="21"/>
              </w:rPr>
            </w:pPr>
            <w:r>
              <w:rPr>
                <w:rFonts w:hint="eastAsia" w:ascii="Times New Roman"/>
                <w:bCs/>
                <w:sz w:val="21"/>
                <w:szCs w:val="21"/>
              </w:rPr>
              <w:t>1.518</w:t>
            </w:r>
          </w:p>
        </w:tc>
      </w:tr>
      <w:tr w14:paraId="51794F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8" w:hRule="atLeast"/>
          <w:jc w:val="center"/>
        </w:trPr>
        <w:tc>
          <w:tcPr>
            <w:tcW w:w="256" w:type="pct"/>
            <w:vMerge w:val="continue"/>
            <w:tcBorders>
              <w:left w:val="single" w:color="auto" w:sz="4" w:space="0"/>
              <w:right w:val="single" w:color="auto" w:sz="4" w:space="0"/>
            </w:tcBorders>
            <w:vAlign w:val="center"/>
          </w:tcPr>
          <w:p w14:paraId="54B41C01">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640D2947">
            <w:pPr>
              <w:widowControl/>
              <w:spacing w:line="320" w:lineRule="exact"/>
              <w:jc w:val="center"/>
              <w:rPr>
                <w:rFonts w:ascii="Times New Roman"/>
                <w:kern w:val="0"/>
                <w:sz w:val="21"/>
                <w:szCs w:val="21"/>
              </w:rPr>
            </w:pPr>
          </w:p>
        </w:tc>
        <w:tc>
          <w:tcPr>
            <w:tcW w:w="563" w:type="pct"/>
            <w:vMerge w:val="restart"/>
            <w:tcBorders>
              <w:top w:val="single" w:color="auto" w:sz="4" w:space="0"/>
              <w:left w:val="single" w:color="auto" w:sz="4" w:space="0"/>
              <w:right w:val="single" w:color="auto" w:sz="4" w:space="0"/>
            </w:tcBorders>
            <w:shd w:val="clear" w:color="auto" w:fill="auto"/>
            <w:vAlign w:val="center"/>
          </w:tcPr>
          <w:p w14:paraId="550F0FA3">
            <w:pPr>
              <w:widowControl/>
              <w:spacing w:line="320" w:lineRule="exact"/>
              <w:jc w:val="center"/>
              <w:rPr>
                <w:rFonts w:ascii="Times New Roman"/>
                <w:kern w:val="0"/>
                <w:sz w:val="21"/>
                <w:szCs w:val="21"/>
              </w:rPr>
            </w:pPr>
            <w:r>
              <w:rPr>
                <w:rFonts w:hint="eastAsia" w:ascii="Times New Roman"/>
                <w:sz w:val="21"/>
                <w:szCs w:val="21"/>
              </w:rPr>
              <w:t>DA011</w:t>
            </w:r>
          </w:p>
        </w:tc>
        <w:tc>
          <w:tcPr>
            <w:tcW w:w="1088" w:type="pct"/>
            <w:tcBorders>
              <w:top w:val="single" w:color="auto" w:sz="4" w:space="0"/>
              <w:left w:val="single" w:color="auto" w:sz="4" w:space="0"/>
              <w:bottom w:val="single" w:color="auto" w:sz="4" w:space="0"/>
              <w:right w:val="single" w:color="auto" w:sz="6" w:space="0"/>
            </w:tcBorders>
            <w:vAlign w:val="center"/>
          </w:tcPr>
          <w:p w14:paraId="20C7EC34">
            <w:pPr>
              <w:spacing w:line="320" w:lineRule="exact"/>
              <w:jc w:val="center"/>
              <w:rPr>
                <w:rFonts w:ascii="Times New Roman"/>
                <w:sz w:val="21"/>
                <w:szCs w:val="21"/>
              </w:rPr>
            </w:pPr>
            <w:r>
              <w:rPr>
                <w:rFonts w:hint="eastAsia" w:ascii="Times New Roman"/>
                <w:sz w:val="21"/>
                <w:szCs w:val="21"/>
              </w:rPr>
              <w:t>200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vAlign w:val="center"/>
          </w:tcPr>
          <w:p w14:paraId="0CAE5564">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7833.6</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vAlign w:val="center"/>
          </w:tcPr>
          <w:p w14:paraId="3B59DC84">
            <w:pPr>
              <w:spacing w:line="320" w:lineRule="exact"/>
              <w:jc w:val="center"/>
              <w:rPr>
                <w:rFonts w:ascii="Times New Roman"/>
                <w:bCs/>
                <w:sz w:val="21"/>
                <w:szCs w:val="21"/>
              </w:rPr>
            </w:pPr>
            <w:r>
              <w:rPr>
                <w:rFonts w:hint="eastAsia" w:ascii="Times New Roman"/>
                <w:bCs/>
                <w:sz w:val="21"/>
                <w:szCs w:val="21"/>
              </w:rPr>
              <w:t>1500</w:t>
            </w:r>
            <w:r>
              <w:rPr>
                <w:rFonts w:ascii="Times New Roman"/>
                <w:bCs/>
                <w:sz w:val="21"/>
                <w:szCs w:val="21"/>
              </w:rPr>
              <w:t>h</w:t>
            </w:r>
          </w:p>
        </w:tc>
        <w:tc>
          <w:tcPr>
            <w:tcW w:w="1780" w:type="dxa"/>
            <w:tcBorders>
              <w:top w:val="single" w:color="auto" w:sz="4" w:space="0"/>
              <w:left w:val="single" w:color="auto" w:sz="6" w:space="0"/>
              <w:bottom w:val="single" w:color="auto" w:sz="4" w:space="0"/>
              <w:right w:val="single" w:color="auto" w:sz="4" w:space="0"/>
            </w:tcBorders>
            <w:vAlign w:val="bottom"/>
          </w:tcPr>
          <w:p w14:paraId="16DFC93E">
            <w:pPr>
              <w:spacing w:line="320" w:lineRule="exact"/>
              <w:jc w:val="center"/>
              <w:rPr>
                <w:rFonts w:ascii="Times New Roman"/>
                <w:bCs/>
                <w:sz w:val="21"/>
                <w:szCs w:val="21"/>
              </w:rPr>
            </w:pPr>
            <w:r>
              <w:rPr>
                <w:rFonts w:hint="eastAsia" w:ascii="Times New Roman"/>
                <w:bCs/>
                <w:sz w:val="21"/>
                <w:szCs w:val="21"/>
              </w:rPr>
              <w:t>2.350</w:t>
            </w:r>
          </w:p>
        </w:tc>
      </w:tr>
      <w:tr w14:paraId="4D3CC5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4" w:hRule="atLeast"/>
          <w:jc w:val="center"/>
        </w:trPr>
        <w:tc>
          <w:tcPr>
            <w:tcW w:w="256" w:type="pct"/>
            <w:vMerge w:val="continue"/>
            <w:tcBorders>
              <w:left w:val="single" w:color="auto" w:sz="4" w:space="0"/>
              <w:right w:val="single" w:color="auto" w:sz="4" w:space="0"/>
            </w:tcBorders>
            <w:vAlign w:val="center"/>
          </w:tcPr>
          <w:p w14:paraId="38733E6B">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6BC5CE16">
            <w:pPr>
              <w:widowControl/>
              <w:spacing w:line="320" w:lineRule="exact"/>
              <w:jc w:val="center"/>
              <w:rPr>
                <w:rFonts w:ascii="Times New Roman"/>
                <w:kern w:val="0"/>
                <w:sz w:val="21"/>
                <w:szCs w:val="21"/>
              </w:rPr>
            </w:pPr>
          </w:p>
        </w:tc>
        <w:tc>
          <w:tcPr>
            <w:tcW w:w="563" w:type="pct"/>
            <w:vMerge w:val="continue"/>
            <w:tcBorders>
              <w:left w:val="single" w:color="auto" w:sz="4" w:space="0"/>
              <w:right w:val="single" w:color="auto" w:sz="4" w:space="0"/>
            </w:tcBorders>
            <w:shd w:val="clear" w:color="auto" w:fill="auto"/>
            <w:vAlign w:val="center"/>
          </w:tcPr>
          <w:p w14:paraId="39717E1E">
            <w:pPr>
              <w:widowControl/>
              <w:spacing w:line="320" w:lineRule="exact"/>
              <w:jc w:val="center"/>
              <w:rPr>
                <w:rFonts w:ascii="Times New Roman"/>
                <w:sz w:val="21"/>
                <w:szCs w:val="21"/>
              </w:rPr>
            </w:pPr>
          </w:p>
        </w:tc>
        <w:tc>
          <w:tcPr>
            <w:tcW w:w="1088" w:type="pct"/>
            <w:tcBorders>
              <w:top w:val="single" w:color="auto" w:sz="4" w:space="0"/>
              <w:left w:val="single" w:color="auto" w:sz="4" w:space="0"/>
              <w:bottom w:val="single" w:color="auto" w:sz="6" w:space="0"/>
              <w:right w:val="single" w:color="auto" w:sz="6" w:space="0"/>
            </w:tcBorders>
            <w:vAlign w:val="center"/>
          </w:tcPr>
          <w:p w14:paraId="647DB6D7">
            <w:pPr>
              <w:spacing w:line="320" w:lineRule="exact"/>
              <w:jc w:val="center"/>
              <w:rPr>
                <w:rFonts w:ascii="Times New Roman"/>
                <w:sz w:val="21"/>
                <w:szCs w:val="21"/>
              </w:rPr>
            </w:pPr>
            <w:r>
              <w:rPr>
                <w:rFonts w:hint="eastAsia" w:ascii="Times New Roman"/>
                <w:sz w:val="21"/>
                <w:szCs w:val="21"/>
              </w:rPr>
              <w:t>200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2638CD0A">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652.8</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3DF6D1E2">
            <w:pPr>
              <w:spacing w:line="320" w:lineRule="exact"/>
              <w:jc w:val="center"/>
              <w:rPr>
                <w:rFonts w:ascii="Times New Roman"/>
                <w:bCs/>
                <w:sz w:val="21"/>
                <w:szCs w:val="21"/>
              </w:rPr>
            </w:pPr>
            <w:r>
              <w:rPr>
                <w:rFonts w:hint="eastAsia" w:ascii="Times New Roman"/>
                <w:bCs/>
                <w:sz w:val="21"/>
                <w:szCs w:val="21"/>
              </w:rPr>
              <w:t>3000</w:t>
            </w:r>
            <w:r>
              <w:rPr>
                <w:rFonts w:ascii="Times New Roman"/>
                <w:bCs/>
                <w:sz w:val="21"/>
                <w:szCs w:val="21"/>
              </w:rPr>
              <w:t>h</w:t>
            </w:r>
          </w:p>
        </w:tc>
        <w:tc>
          <w:tcPr>
            <w:tcW w:w="1780" w:type="dxa"/>
            <w:tcBorders>
              <w:top w:val="single" w:color="auto" w:sz="4" w:space="0"/>
              <w:left w:val="single" w:color="auto" w:sz="6" w:space="0"/>
              <w:bottom w:val="single" w:color="auto" w:sz="6" w:space="0"/>
              <w:right w:val="single" w:color="auto" w:sz="4" w:space="0"/>
            </w:tcBorders>
            <w:vAlign w:val="bottom"/>
          </w:tcPr>
          <w:p w14:paraId="6C0D1E09">
            <w:pPr>
              <w:spacing w:line="320" w:lineRule="exact"/>
              <w:jc w:val="center"/>
              <w:rPr>
                <w:rFonts w:ascii="Times New Roman"/>
                <w:bCs/>
                <w:sz w:val="21"/>
                <w:szCs w:val="21"/>
              </w:rPr>
            </w:pPr>
            <w:r>
              <w:rPr>
                <w:rFonts w:hint="eastAsia" w:ascii="Times New Roman"/>
                <w:bCs/>
                <w:sz w:val="21"/>
                <w:szCs w:val="21"/>
              </w:rPr>
              <w:t>0.392</w:t>
            </w:r>
          </w:p>
        </w:tc>
      </w:tr>
      <w:tr w14:paraId="3AC3B5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2B755A50">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73B8D631">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5B80AE49">
            <w:pPr>
              <w:widowControl/>
              <w:spacing w:line="320" w:lineRule="exact"/>
              <w:jc w:val="center"/>
              <w:rPr>
                <w:rFonts w:ascii="Times New Roman"/>
                <w:kern w:val="0"/>
                <w:sz w:val="21"/>
                <w:szCs w:val="21"/>
              </w:rPr>
            </w:pPr>
            <w:r>
              <w:rPr>
                <w:rFonts w:hint="eastAsia" w:ascii="Times New Roman"/>
                <w:sz w:val="21"/>
                <w:szCs w:val="21"/>
              </w:rPr>
              <w:t>DA013</w:t>
            </w:r>
          </w:p>
        </w:tc>
        <w:tc>
          <w:tcPr>
            <w:tcW w:w="1088" w:type="pct"/>
            <w:tcBorders>
              <w:top w:val="single" w:color="auto" w:sz="4" w:space="0"/>
              <w:left w:val="single" w:color="auto" w:sz="4" w:space="0"/>
              <w:bottom w:val="single" w:color="auto" w:sz="6" w:space="0"/>
              <w:right w:val="single" w:color="auto" w:sz="6" w:space="0"/>
            </w:tcBorders>
            <w:vAlign w:val="center"/>
          </w:tcPr>
          <w:p w14:paraId="583BF6E2">
            <w:pPr>
              <w:spacing w:line="320" w:lineRule="exact"/>
              <w:jc w:val="center"/>
              <w:rPr>
                <w:rFonts w:ascii="Times New Roman"/>
                <w:sz w:val="21"/>
                <w:szCs w:val="21"/>
              </w:rPr>
            </w:pPr>
            <w:r>
              <w:rPr>
                <w:rFonts w:hint="eastAsia" w:ascii="Times New Roman"/>
                <w:sz w:val="21"/>
                <w:szCs w:val="21"/>
              </w:rPr>
              <w:t>200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vAlign w:val="center"/>
          </w:tcPr>
          <w:p w14:paraId="137D7B75">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816</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vAlign w:val="center"/>
          </w:tcPr>
          <w:p w14:paraId="7874D620">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00h</w:t>
            </w:r>
          </w:p>
        </w:tc>
        <w:tc>
          <w:tcPr>
            <w:tcW w:w="1780" w:type="dxa"/>
            <w:tcBorders>
              <w:top w:val="single" w:color="auto" w:sz="4" w:space="0"/>
              <w:left w:val="single" w:color="auto" w:sz="6" w:space="0"/>
              <w:bottom w:val="single" w:color="auto" w:sz="6" w:space="0"/>
              <w:right w:val="single" w:color="auto" w:sz="4" w:space="0"/>
            </w:tcBorders>
            <w:vAlign w:val="bottom"/>
          </w:tcPr>
          <w:p w14:paraId="13F4CAC2">
            <w:pPr>
              <w:spacing w:line="320" w:lineRule="exact"/>
              <w:jc w:val="center"/>
              <w:rPr>
                <w:rFonts w:ascii="Times New Roman"/>
                <w:bCs/>
                <w:sz w:val="21"/>
                <w:szCs w:val="21"/>
              </w:rPr>
            </w:pPr>
            <w:r>
              <w:rPr>
                <w:rFonts w:hint="eastAsia" w:ascii="Times New Roman"/>
                <w:bCs/>
                <w:sz w:val="21"/>
                <w:szCs w:val="21"/>
              </w:rPr>
              <w:t>0.245</w:t>
            </w:r>
          </w:p>
        </w:tc>
      </w:tr>
      <w:tr w14:paraId="02F0A2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737B66B6">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474F14F0">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53985CD0">
            <w:pPr>
              <w:widowControl/>
              <w:spacing w:line="320" w:lineRule="exact"/>
              <w:jc w:val="center"/>
              <w:rPr>
                <w:rFonts w:ascii="Times New Roman"/>
                <w:b/>
                <w:bCs/>
                <w:kern w:val="0"/>
                <w:sz w:val="21"/>
                <w:szCs w:val="21"/>
              </w:rPr>
            </w:pPr>
            <w:r>
              <w:rPr>
                <w:rFonts w:ascii="Times New Roman"/>
                <w:b/>
                <w:bCs/>
                <w:kern w:val="0"/>
                <w:sz w:val="21"/>
                <w:szCs w:val="21"/>
              </w:rPr>
              <w:t>合计</w:t>
            </w:r>
          </w:p>
        </w:tc>
        <w:tc>
          <w:tcPr>
            <w:tcW w:w="1088" w:type="pct"/>
            <w:tcBorders>
              <w:top w:val="single" w:color="auto" w:sz="4" w:space="0"/>
              <w:left w:val="single" w:color="auto" w:sz="4" w:space="0"/>
              <w:bottom w:val="single" w:color="auto" w:sz="6" w:space="0"/>
              <w:right w:val="single" w:color="auto" w:sz="6" w:space="0"/>
            </w:tcBorders>
            <w:shd w:val="clear" w:color="auto" w:fill="auto"/>
            <w:vAlign w:val="center"/>
          </w:tcPr>
          <w:p w14:paraId="597A84C1">
            <w:pPr>
              <w:spacing w:line="320" w:lineRule="exact"/>
              <w:jc w:val="center"/>
              <w:rPr>
                <w:rFonts w:ascii="Times New Roman"/>
                <w:b/>
                <w:bCs/>
                <w:sz w:val="21"/>
                <w:szCs w:val="21"/>
              </w:rPr>
            </w:pPr>
            <w:r>
              <w:rPr>
                <w:rFonts w:ascii="Times New Roman"/>
                <w:b/>
                <w:bCs/>
                <w:sz w:val="21"/>
                <w:szCs w:val="21"/>
              </w:rPr>
              <w:t>--</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7AF02B20">
            <w:pPr>
              <w:spacing w:line="320" w:lineRule="exact"/>
              <w:jc w:val="center"/>
              <w:rPr>
                <w:rFonts w:ascii="Times New Roman"/>
                <w:b/>
                <w:bCs/>
                <w:sz w:val="21"/>
                <w:szCs w:val="21"/>
              </w:rPr>
            </w:pPr>
            <w:r>
              <w:rPr>
                <w:rFonts w:ascii="Times New Roman"/>
                <w:b/>
                <w:bCs/>
                <w:sz w:val="21"/>
                <w:szCs w:val="21"/>
              </w:rPr>
              <w:t>--</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32449F23">
            <w:pPr>
              <w:spacing w:line="320" w:lineRule="exact"/>
              <w:jc w:val="center"/>
              <w:rPr>
                <w:rFonts w:ascii="Times New Roman"/>
                <w:b/>
                <w:bCs/>
                <w:sz w:val="21"/>
                <w:szCs w:val="21"/>
              </w:rPr>
            </w:pPr>
            <w:r>
              <w:rPr>
                <w:rFonts w:ascii="Times New Roman"/>
                <w:b/>
                <w:bCs/>
                <w:sz w:val="21"/>
                <w:szCs w:val="21"/>
              </w:rPr>
              <w:t>--</w:t>
            </w:r>
          </w:p>
        </w:tc>
        <w:tc>
          <w:tcPr>
            <w:tcW w:w="1780" w:type="dxa"/>
            <w:tcBorders>
              <w:top w:val="single" w:color="auto" w:sz="4" w:space="0"/>
              <w:left w:val="single" w:color="auto" w:sz="6" w:space="0"/>
              <w:bottom w:val="single" w:color="auto" w:sz="6" w:space="0"/>
              <w:right w:val="single" w:color="auto" w:sz="4" w:space="0"/>
            </w:tcBorders>
            <w:vAlign w:val="bottom"/>
          </w:tcPr>
          <w:p w14:paraId="3636CF81">
            <w:pPr>
              <w:spacing w:line="320" w:lineRule="exact"/>
              <w:jc w:val="center"/>
              <w:rPr>
                <w:rFonts w:ascii="Times New Roman"/>
                <w:bCs/>
                <w:sz w:val="21"/>
                <w:szCs w:val="21"/>
              </w:rPr>
            </w:pPr>
            <w:r>
              <w:rPr>
                <w:rFonts w:hint="eastAsia" w:ascii="Times New Roman"/>
                <w:b/>
                <w:sz w:val="21"/>
                <w:szCs w:val="21"/>
              </w:rPr>
              <w:t>6.364</w:t>
            </w:r>
          </w:p>
        </w:tc>
      </w:tr>
      <w:tr w14:paraId="1769DC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2573C303">
            <w:pPr>
              <w:spacing w:line="320" w:lineRule="exact"/>
              <w:jc w:val="center"/>
              <w:rPr>
                <w:rFonts w:ascii="Times New Roman"/>
                <w:bCs/>
                <w:sz w:val="21"/>
                <w:szCs w:val="21"/>
              </w:rPr>
            </w:pPr>
          </w:p>
        </w:tc>
        <w:tc>
          <w:tcPr>
            <w:tcW w:w="426" w:type="pct"/>
            <w:vMerge w:val="restart"/>
            <w:tcBorders>
              <w:left w:val="single" w:color="auto" w:sz="4" w:space="0"/>
              <w:right w:val="single" w:color="auto" w:sz="4" w:space="0"/>
            </w:tcBorders>
            <w:vAlign w:val="center"/>
          </w:tcPr>
          <w:p w14:paraId="13DAAE28">
            <w:pPr>
              <w:widowControl/>
              <w:spacing w:line="320" w:lineRule="exact"/>
              <w:jc w:val="center"/>
              <w:rPr>
                <w:rFonts w:ascii="Times New Roman"/>
                <w:kern w:val="0"/>
                <w:sz w:val="21"/>
                <w:szCs w:val="21"/>
              </w:rPr>
            </w:pPr>
            <w:r>
              <w:rPr>
                <w:rFonts w:ascii="Times New Roman"/>
                <w:kern w:val="0"/>
                <w:sz w:val="21"/>
                <w:szCs w:val="21"/>
              </w:rPr>
              <w:t>NOx</w:t>
            </w:r>
          </w:p>
        </w:tc>
        <w:tc>
          <w:tcPr>
            <w:tcW w:w="563" w:type="pct"/>
            <w:tcBorders>
              <w:top w:val="single" w:color="auto" w:sz="4" w:space="0"/>
              <w:left w:val="single" w:color="auto" w:sz="4" w:space="0"/>
              <w:right w:val="single" w:color="auto" w:sz="4" w:space="0"/>
            </w:tcBorders>
            <w:shd w:val="clear" w:color="auto" w:fill="auto"/>
            <w:vAlign w:val="center"/>
          </w:tcPr>
          <w:p w14:paraId="22AE89E9">
            <w:pPr>
              <w:widowControl/>
              <w:spacing w:line="320" w:lineRule="exact"/>
              <w:jc w:val="center"/>
              <w:rPr>
                <w:rFonts w:ascii="Times New Roman"/>
                <w:kern w:val="0"/>
                <w:sz w:val="21"/>
                <w:szCs w:val="21"/>
              </w:rPr>
            </w:pPr>
            <w:r>
              <w:rPr>
                <w:rFonts w:hint="eastAsia" w:ascii="Times New Roman"/>
                <w:kern w:val="0"/>
                <w:sz w:val="21"/>
                <w:szCs w:val="21"/>
              </w:rPr>
              <w:t>DA005</w:t>
            </w:r>
          </w:p>
        </w:tc>
        <w:tc>
          <w:tcPr>
            <w:tcW w:w="1088" w:type="pct"/>
            <w:tcBorders>
              <w:top w:val="single" w:color="auto" w:sz="4" w:space="0"/>
              <w:left w:val="single" w:color="auto" w:sz="4" w:space="0"/>
              <w:bottom w:val="single" w:color="auto" w:sz="6" w:space="0"/>
              <w:right w:val="single" w:color="auto" w:sz="6" w:space="0"/>
            </w:tcBorders>
            <w:shd w:val="clear" w:color="auto" w:fill="auto"/>
            <w:vAlign w:val="center"/>
          </w:tcPr>
          <w:p w14:paraId="13432851">
            <w:pPr>
              <w:spacing w:line="320" w:lineRule="exact"/>
              <w:jc w:val="center"/>
              <w:rPr>
                <w:rFonts w:ascii="Times New Roman"/>
                <w:bCs/>
                <w:sz w:val="21"/>
                <w:szCs w:val="21"/>
              </w:rPr>
            </w:pPr>
            <w:r>
              <w:rPr>
                <w:rFonts w:hint="eastAsia" w:ascii="Times New Roman"/>
                <w:sz w:val="21"/>
                <w:szCs w:val="21"/>
              </w:rPr>
              <w:t>300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3F61909C">
            <w:pPr>
              <w:autoSpaceDE w:val="0"/>
              <w:autoSpaceDN w:val="0"/>
              <w:adjustRightInd w:val="0"/>
              <w:spacing w:line="320" w:lineRule="exact"/>
              <w:jc w:val="center"/>
              <w:rPr>
                <w:rFonts w:ascii="Times New Roman"/>
                <w:bCs/>
                <w:sz w:val="21"/>
                <w:szCs w:val="21"/>
              </w:rPr>
            </w:pPr>
            <w:r>
              <w:rPr>
                <w:rFonts w:hint="eastAsia" w:ascii="Times New Roman"/>
                <w:snapToGrid w:val="0"/>
                <w:sz w:val="21"/>
                <w:szCs w:val="21"/>
              </w:rPr>
              <w:t>5059.2</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1A412518">
            <w:pPr>
              <w:spacing w:line="320" w:lineRule="exact"/>
              <w:jc w:val="center"/>
              <w:rPr>
                <w:rFonts w:ascii="Times New Roman"/>
                <w:bCs/>
                <w:sz w:val="21"/>
                <w:szCs w:val="21"/>
              </w:rPr>
            </w:pPr>
            <w:r>
              <w:rPr>
                <w:rFonts w:hint="eastAsia" w:ascii="Times New Roman"/>
                <w:bCs/>
                <w:sz w:val="21"/>
                <w:szCs w:val="21"/>
              </w:rPr>
              <w:t>1800</w:t>
            </w:r>
            <w:r>
              <w:rPr>
                <w:rFonts w:ascii="Times New Roman"/>
                <w:bCs/>
                <w:sz w:val="21"/>
                <w:szCs w:val="21"/>
              </w:rPr>
              <w:t>h</w:t>
            </w:r>
          </w:p>
        </w:tc>
        <w:tc>
          <w:tcPr>
            <w:tcW w:w="1780" w:type="dxa"/>
            <w:tcBorders>
              <w:top w:val="single" w:color="auto" w:sz="4" w:space="0"/>
              <w:left w:val="single" w:color="auto" w:sz="6" w:space="0"/>
              <w:bottom w:val="single" w:color="auto" w:sz="6" w:space="0"/>
              <w:right w:val="single" w:color="auto" w:sz="4" w:space="0"/>
            </w:tcBorders>
            <w:vAlign w:val="bottom"/>
          </w:tcPr>
          <w:p w14:paraId="310566BD">
            <w:pPr>
              <w:spacing w:line="320" w:lineRule="exact"/>
              <w:jc w:val="center"/>
              <w:rPr>
                <w:rFonts w:ascii="Times New Roman"/>
                <w:bCs/>
                <w:sz w:val="21"/>
                <w:szCs w:val="21"/>
              </w:rPr>
            </w:pPr>
            <w:r>
              <w:rPr>
                <w:rFonts w:hint="eastAsia" w:ascii="Times New Roman"/>
                <w:bCs/>
                <w:sz w:val="21"/>
                <w:szCs w:val="21"/>
              </w:rPr>
              <w:t>2.732</w:t>
            </w:r>
          </w:p>
        </w:tc>
      </w:tr>
      <w:tr w14:paraId="41BDDE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56394AC4">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5E555349">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0BA128EE">
            <w:pPr>
              <w:widowControl/>
              <w:spacing w:line="320" w:lineRule="exact"/>
              <w:jc w:val="center"/>
              <w:rPr>
                <w:rFonts w:ascii="Times New Roman"/>
                <w:sz w:val="21"/>
                <w:szCs w:val="21"/>
              </w:rPr>
            </w:pPr>
            <w:r>
              <w:rPr>
                <w:rFonts w:hint="eastAsia" w:ascii="Times New Roman"/>
                <w:sz w:val="21"/>
                <w:szCs w:val="21"/>
              </w:rPr>
              <w:t>DA008</w:t>
            </w:r>
          </w:p>
        </w:tc>
        <w:tc>
          <w:tcPr>
            <w:tcW w:w="1088" w:type="pct"/>
            <w:tcBorders>
              <w:top w:val="single" w:color="auto" w:sz="4" w:space="0"/>
              <w:left w:val="single" w:color="auto" w:sz="4" w:space="0"/>
              <w:bottom w:val="single" w:color="auto" w:sz="6" w:space="0"/>
              <w:right w:val="single" w:color="auto" w:sz="6" w:space="0"/>
            </w:tcBorders>
            <w:shd w:val="clear" w:color="auto" w:fill="auto"/>
            <w:vAlign w:val="center"/>
          </w:tcPr>
          <w:p w14:paraId="2A154A01">
            <w:pPr>
              <w:spacing w:line="320" w:lineRule="exact"/>
              <w:jc w:val="center"/>
              <w:rPr>
                <w:rFonts w:ascii="Times New Roman"/>
                <w:sz w:val="21"/>
                <w:szCs w:val="21"/>
              </w:rPr>
            </w:pPr>
            <w:r>
              <w:rPr>
                <w:rFonts w:hint="eastAsia" w:ascii="Times New Roman"/>
                <w:sz w:val="21"/>
                <w:szCs w:val="21"/>
              </w:rPr>
              <w:t>50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6E54B805">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2586.072</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55B8F55F">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00h</w:t>
            </w:r>
          </w:p>
        </w:tc>
        <w:tc>
          <w:tcPr>
            <w:tcW w:w="1780" w:type="dxa"/>
            <w:tcBorders>
              <w:top w:val="single" w:color="auto" w:sz="4" w:space="0"/>
              <w:left w:val="single" w:color="auto" w:sz="6" w:space="0"/>
              <w:bottom w:val="single" w:color="auto" w:sz="6" w:space="0"/>
              <w:right w:val="single" w:color="auto" w:sz="4" w:space="0"/>
            </w:tcBorders>
            <w:vAlign w:val="bottom"/>
          </w:tcPr>
          <w:p w14:paraId="4A9101FF">
            <w:pPr>
              <w:spacing w:line="320" w:lineRule="exact"/>
              <w:jc w:val="center"/>
              <w:rPr>
                <w:rFonts w:ascii="Times New Roman"/>
                <w:bCs/>
                <w:sz w:val="21"/>
                <w:szCs w:val="21"/>
              </w:rPr>
            </w:pPr>
            <w:r>
              <w:rPr>
                <w:rFonts w:hint="eastAsia" w:ascii="Times New Roman"/>
                <w:bCs/>
                <w:sz w:val="21"/>
                <w:szCs w:val="21"/>
              </w:rPr>
              <w:t>0.194</w:t>
            </w:r>
          </w:p>
        </w:tc>
      </w:tr>
      <w:tr w14:paraId="130C90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6DB39DB4">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597826D1">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606D419A">
            <w:pPr>
              <w:widowControl/>
              <w:spacing w:line="320" w:lineRule="exact"/>
              <w:jc w:val="center"/>
              <w:rPr>
                <w:rFonts w:ascii="Times New Roman"/>
                <w:sz w:val="21"/>
                <w:szCs w:val="21"/>
              </w:rPr>
            </w:pPr>
            <w:r>
              <w:rPr>
                <w:rFonts w:hint="eastAsia" w:ascii="Times New Roman"/>
                <w:sz w:val="21"/>
                <w:szCs w:val="21"/>
              </w:rPr>
              <w:t>DA010</w:t>
            </w:r>
          </w:p>
        </w:tc>
        <w:tc>
          <w:tcPr>
            <w:tcW w:w="1088" w:type="pct"/>
            <w:tcBorders>
              <w:top w:val="single" w:color="auto" w:sz="4" w:space="0"/>
              <w:left w:val="single" w:color="auto" w:sz="4" w:space="0"/>
              <w:bottom w:val="single" w:color="auto" w:sz="6" w:space="0"/>
              <w:right w:val="single" w:color="auto" w:sz="6" w:space="0"/>
            </w:tcBorders>
            <w:shd w:val="clear" w:color="auto" w:fill="auto"/>
            <w:vAlign w:val="center"/>
          </w:tcPr>
          <w:p w14:paraId="565E26C4">
            <w:pPr>
              <w:spacing w:line="320" w:lineRule="exact"/>
              <w:jc w:val="center"/>
              <w:rPr>
                <w:rFonts w:ascii="Times New Roman"/>
                <w:sz w:val="21"/>
                <w:szCs w:val="21"/>
              </w:rPr>
            </w:pPr>
            <w:r>
              <w:rPr>
                <w:rFonts w:hint="eastAsia" w:ascii="Times New Roman"/>
                <w:sz w:val="21"/>
                <w:szCs w:val="21"/>
              </w:rPr>
              <w:t>300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77450EC5">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5059.2</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45246FBF">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00h</w:t>
            </w:r>
          </w:p>
        </w:tc>
        <w:tc>
          <w:tcPr>
            <w:tcW w:w="1780" w:type="dxa"/>
            <w:tcBorders>
              <w:top w:val="single" w:color="auto" w:sz="4" w:space="0"/>
              <w:left w:val="single" w:color="auto" w:sz="6" w:space="0"/>
              <w:bottom w:val="single" w:color="auto" w:sz="6" w:space="0"/>
              <w:right w:val="single" w:color="auto" w:sz="4" w:space="0"/>
            </w:tcBorders>
            <w:vAlign w:val="bottom"/>
          </w:tcPr>
          <w:p w14:paraId="549BBF2B">
            <w:pPr>
              <w:spacing w:line="320" w:lineRule="exact"/>
              <w:jc w:val="center"/>
              <w:rPr>
                <w:rFonts w:ascii="Times New Roman"/>
                <w:bCs/>
                <w:sz w:val="21"/>
                <w:szCs w:val="21"/>
              </w:rPr>
            </w:pPr>
            <w:r>
              <w:rPr>
                <w:rFonts w:hint="eastAsia" w:ascii="Times New Roman"/>
                <w:bCs/>
                <w:sz w:val="21"/>
                <w:szCs w:val="21"/>
              </w:rPr>
              <w:t>2.277</w:t>
            </w:r>
          </w:p>
        </w:tc>
      </w:tr>
      <w:tr w14:paraId="56138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2" w:hRule="atLeast"/>
          <w:jc w:val="center"/>
        </w:trPr>
        <w:tc>
          <w:tcPr>
            <w:tcW w:w="256" w:type="pct"/>
            <w:vMerge w:val="continue"/>
            <w:tcBorders>
              <w:left w:val="single" w:color="auto" w:sz="4" w:space="0"/>
              <w:right w:val="single" w:color="auto" w:sz="4" w:space="0"/>
            </w:tcBorders>
            <w:vAlign w:val="center"/>
          </w:tcPr>
          <w:p w14:paraId="2F415C81">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456AA58B">
            <w:pPr>
              <w:widowControl/>
              <w:spacing w:line="320" w:lineRule="exact"/>
              <w:jc w:val="center"/>
              <w:rPr>
                <w:rFonts w:ascii="Times New Roman"/>
                <w:kern w:val="0"/>
                <w:sz w:val="21"/>
                <w:szCs w:val="21"/>
              </w:rPr>
            </w:pPr>
          </w:p>
        </w:tc>
        <w:tc>
          <w:tcPr>
            <w:tcW w:w="563" w:type="pct"/>
            <w:vMerge w:val="restart"/>
            <w:tcBorders>
              <w:top w:val="single" w:color="auto" w:sz="4" w:space="0"/>
              <w:left w:val="single" w:color="auto" w:sz="4" w:space="0"/>
              <w:right w:val="single" w:color="auto" w:sz="4" w:space="0"/>
            </w:tcBorders>
            <w:shd w:val="clear" w:color="auto" w:fill="auto"/>
            <w:vAlign w:val="center"/>
          </w:tcPr>
          <w:p w14:paraId="2A56D29C">
            <w:pPr>
              <w:widowControl/>
              <w:spacing w:line="320" w:lineRule="exact"/>
              <w:jc w:val="center"/>
              <w:rPr>
                <w:rFonts w:ascii="Times New Roman"/>
                <w:kern w:val="0"/>
                <w:sz w:val="21"/>
                <w:szCs w:val="21"/>
              </w:rPr>
            </w:pPr>
            <w:r>
              <w:rPr>
                <w:rFonts w:hint="eastAsia" w:ascii="Times New Roman"/>
                <w:sz w:val="21"/>
                <w:szCs w:val="21"/>
              </w:rPr>
              <w:t>DA011</w:t>
            </w:r>
          </w:p>
        </w:tc>
        <w:tc>
          <w:tcPr>
            <w:tcW w:w="1088" w:type="pct"/>
            <w:tcBorders>
              <w:top w:val="single" w:color="auto" w:sz="4" w:space="0"/>
              <w:left w:val="single" w:color="auto" w:sz="4" w:space="0"/>
              <w:bottom w:val="single" w:color="auto" w:sz="4" w:space="0"/>
              <w:right w:val="single" w:color="auto" w:sz="6" w:space="0"/>
            </w:tcBorders>
            <w:shd w:val="clear" w:color="auto" w:fill="auto"/>
            <w:vAlign w:val="center"/>
          </w:tcPr>
          <w:p w14:paraId="38657920">
            <w:pPr>
              <w:spacing w:line="320" w:lineRule="exact"/>
              <w:jc w:val="center"/>
              <w:rPr>
                <w:rFonts w:ascii="Times New Roman"/>
                <w:sz w:val="21"/>
                <w:szCs w:val="21"/>
              </w:rPr>
            </w:pPr>
            <w:r>
              <w:rPr>
                <w:rFonts w:hint="eastAsia" w:ascii="Times New Roman"/>
                <w:sz w:val="21"/>
                <w:szCs w:val="21"/>
              </w:rPr>
              <w:t>300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4" w:space="0"/>
              <w:right w:val="single" w:color="auto" w:sz="4" w:space="0"/>
            </w:tcBorders>
            <w:shd w:val="clear" w:color="auto" w:fill="auto"/>
            <w:vAlign w:val="center"/>
          </w:tcPr>
          <w:p w14:paraId="4667863B">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7833.6</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4" w:space="0"/>
              <w:right w:val="single" w:color="auto" w:sz="6" w:space="0"/>
            </w:tcBorders>
            <w:shd w:val="clear" w:color="auto" w:fill="auto"/>
            <w:vAlign w:val="center"/>
          </w:tcPr>
          <w:p w14:paraId="6DEC85E3">
            <w:pPr>
              <w:spacing w:line="320" w:lineRule="exact"/>
              <w:jc w:val="center"/>
              <w:rPr>
                <w:rFonts w:ascii="Times New Roman"/>
                <w:bCs/>
                <w:sz w:val="21"/>
                <w:szCs w:val="21"/>
              </w:rPr>
            </w:pPr>
            <w:r>
              <w:rPr>
                <w:rFonts w:hint="eastAsia" w:ascii="Times New Roman"/>
                <w:bCs/>
                <w:sz w:val="21"/>
                <w:szCs w:val="21"/>
              </w:rPr>
              <w:t>1500</w:t>
            </w:r>
            <w:r>
              <w:rPr>
                <w:rFonts w:ascii="Times New Roman"/>
                <w:bCs/>
                <w:sz w:val="21"/>
                <w:szCs w:val="21"/>
              </w:rPr>
              <w:t>h</w:t>
            </w:r>
          </w:p>
        </w:tc>
        <w:tc>
          <w:tcPr>
            <w:tcW w:w="1780" w:type="dxa"/>
            <w:tcBorders>
              <w:top w:val="single" w:color="auto" w:sz="4" w:space="0"/>
              <w:left w:val="single" w:color="auto" w:sz="6" w:space="0"/>
              <w:bottom w:val="single" w:color="auto" w:sz="4" w:space="0"/>
              <w:right w:val="single" w:color="auto" w:sz="4" w:space="0"/>
            </w:tcBorders>
            <w:vAlign w:val="bottom"/>
          </w:tcPr>
          <w:p w14:paraId="27B98DC7">
            <w:pPr>
              <w:spacing w:line="320" w:lineRule="exact"/>
              <w:jc w:val="center"/>
              <w:rPr>
                <w:rFonts w:ascii="Times New Roman"/>
                <w:bCs/>
                <w:sz w:val="21"/>
                <w:szCs w:val="21"/>
              </w:rPr>
            </w:pPr>
            <w:r>
              <w:rPr>
                <w:rFonts w:hint="eastAsia" w:ascii="Times New Roman"/>
                <w:bCs/>
                <w:sz w:val="21"/>
                <w:szCs w:val="21"/>
              </w:rPr>
              <w:t>3.525</w:t>
            </w:r>
          </w:p>
        </w:tc>
      </w:tr>
      <w:tr w14:paraId="600374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0" w:hRule="atLeast"/>
          <w:jc w:val="center"/>
        </w:trPr>
        <w:tc>
          <w:tcPr>
            <w:tcW w:w="256" w:type="pct"/>
            <w:vMerge w:val="continue"/>
            <w:tcBorders>
              <w:left w:val="single" w:color="auto" w:sz="4" w:space="0"/>
              <w:right w:val="single" w:color="auto" w:sz="4" w:space="0"/>
            </w:tcBorders>
            <w:vAlign w:val="center"/>
          </w:tcPr>
          <w:p w14:paraId="3F96A0AA">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6C645284">
            <w:pPr>
              <w:widowControl/>
              <w:spacing w:line="320" w:lineRule="exact"/>
              <w:jc w:val="center"/>
              <w:rPr>
                <w:rFonts w:ascii="Times New Roman"/>
                <w:kern w:val="0"/>
                <w:sz w:val="21"/>
                <w:szCs w:val="21"/>
              </w:rPr>
            </w:pPr>
          </w:p>
        </w:tc>
        <w:tc>
          <w:tcPr>
            <w:tcW w:w="563" w:type="pct"/>
            <w:vMerge w:val="continue"/>
            <w:tcBorders>
              <w:left w:val="single" w:color="auto" w:sz="4" w:space="0"/>
              <w:right w:val="single" w:color="auto" w:sz="4" w:space="0"/>
            </w:tcBorders>
            <w:shd w:val="clear" w:color="auto" w:fill="auto"/>
            <w:vAlign w:val="center"/>
          </w:tcPr>
          <w:p w14:paraId="3ADF26E3">
            <w:pPr>
              <w:widowControl/>
              <w:spacing w:line="320" w:lineRule="exact"/>
              <w:jc w:val="center"/>
              <w:rPr>
                <w:rFonts w:ascii="Times New Roman"/>
                <w:sz w:val="21"/>
                <w:szCs w:val="21"/>
              </w:rPr>
            </w:pPr>
          </w:p>
        </w:tc>
        <w:tc>
          <w:tcPr>
            <w:tcW w:w="1088" w:type="pct"/>
            <w:tcBorders>
              <w:top w:val="single" w:color="auto" w:sz="4" w:space="0"/>
              <w:left w:val="single" w:color="auto" w:sz="4" w:space="0"/>
              <w:bottom w:val="single" w:color="auto" w:sz="6" w:space="0"/>
              <w:right w:val="single" w:color="auto" w:sz="6" w:space="0"/>
            </w:tcBorders>
            <w:shd w:val="clear" w:color="auto" w:fill="auto"/>
            <w:vAlign w:val="center"/>
          </w:tcPr>
          <w:p w14:paraId="4FAB8338">
            <w:pPr>
              <w:spacing w:line="320" w:lineRule="exact"/>
              <w:jc w:val="center"/>
              <w:rPr>
                <w:rFonts w:ascii="Times New Roman"/>
                <w:sz w:val="21"/>
                <w:szCs w:val="21"/>
              </w:rPr>
            </w:pPr>
            <w:r>
              <w:rPr>
                <w:rFonts w:hint="eastAsia" w:ascii="Times New Roman"/>
                <w:sz w:val="21"/>
                <w:szCs w:val="21"/>
              </w:rPr>
              <w:t>300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419958E8">
            <w:pPr>
              <w:autoSpaceDE w:val="0"/>
              <w:autoSpaceDN w:val="0"/>
              <w:adjustRightInd w:val="0"/>
              <w:spacing w:line="320" w:lineRule="exact"/>
              <w:jc w:val="center"/>
              <w:rPr>
                <w:rFonts w:ascii="Times New Roman"/>
                <w:snapToGrid w:val="0"/>
                <w:sz w:val="21"/>
                <w:szCs w:val="21"/>
              </w:rPr>
            </w:pPr>
            <w:r>
              <w:rPr>
                <w:rFonts w:hint="eastAsia" w:ascii="Times New Roman"/>
                <w:snapToGrid w:val="0"/>
                <w:sz w:val="21"/>
                <w:szCs w:val="21"/>
              </w:rPr>
              <w:t>652.8</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54ABB45A">
            <w:pPr>
              <w:spacing w:line="320" w:lineRule="exact"/>
              <w:jc w:val="center"/>
              <w:rPr>
                <w:rFonts w:ascii="Times New Roman"/>
                <w:bCs/>
                <w:sz w:val="21"/>
                <w:szCs w:val="21"/>
              </w:rPr>
            </w:pPr>
            <w:r>
              <w:rPr>
                <w:rFonts w:hint="eastAsia" w:ascii="Times New Roman"/>
                <w:bCs/>
                <w:sz w:val="21"/>
                <w:szCs w:val="21"/>
              </w:rPr>
              <w:t>3000</w:t>
            </w:r>
            <w:r>
              <w:rPr>
                <w:rFonts w:ascii="Times New Roman"/>
                <w:bCs/>
                <w:sz w:val="21"/>
                <w:szCs w:val="21"/>
              </w:rPr>
              <w:t>h</w:t>
            </w:r>
          </w:p>
        </w:tc>
        <w:tc>
          <w:tcPr>
            <w:tcW w:w="1780" w:type="dxa"/>
            <w:tcBorders>
              <w:top w:val="single" w:color="auto" w:sz="4" w:space="0"/>
              <w:left w:val="single" w:color="auto" w:sz="6" w:space="0"/>
              <w:bottom w:val="single" w:color="auto" w:sz="6" w:space="0"/>
              <w:right w:val="single" w:color="auto" w:sz="4" w:space="0"/>
            </w:tcBorders>
            <w:vAlign w:val="bottom"/>
          </w:tcPr>
          <w:p w14:paraId="7F534A8E">
            <w:pPr>
              <w:spacing w:line="320" w:lineRule="exact"/>
              <w:jc w:val="center"/>
              <w:rPr>
                <w:rFonts w:ascii="Times New Roman"/>
                <w:bCs/>
                <w:sz w:val="21"/>
                <w:szCs w:val="21"/>
              </w:rPr>
            </w:pPr>
            <w:r>
              <w:rPr>
                <w:rFonts w:hint="eastAsia" w:ascii="Times New Roman"/>
                <w:bCs/>
                <w:sz w:val="21"/>
                <w:szCs w:val="21"/>
              </w:rPr>
              <w:t>0.588</w:t>
            </w:r>
          </w:p>
        </w:tc>
      </w:tr>
      <w:tr w14:paraId="3257CC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46BCC116">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5BAC8E92">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592A2989">
            <w:pPr>
              <w:widowControl/>
              <w:spacing w:line="320" w:lineRule="exact"/>
              <w:jc w:val="center"/>
              <w:rPr>
                <w:rFonts w:ascii="Times New Roman"/>
                <w:kern w:val="0"/>
                <w:sz w:val="21"/>
                <w:szCs w:val="21"/>
              </w:rPr>
            </w:pPr>
            <w:r>
              <w:rPr>
                <w:rFonts w:hint="eastAsia" w:ascii="Times New Roman"/>
                <w:sz w:val="21"/>
                <w:szCs w:val="21"/>
              </w:rPr>
              <w:t>DA013</w:t>
            </w:r>
          </w:p>
        </w:tc>
        <w:tc>
          <w:tcPr>
            <w:tcW w:w="1088" w:type="pct"/>
            <w:tcBorders>
              <w:top w:val="single" w:color="auto" w:sz="4" w:space="0"/>
              <w:left w:val="single" w:color="auto" w:sz="4" w:space="0"/>
              <w:bottom w:val="single" w:color="auto" w:sz="4" w:space="0"/>
              <w:right w:val="single" w:color="auto" w:sz="6" w:space="0"/>
            </w:tcBorders>
            <w:shd w:val="clear" w:color="auto" w:fill="auto"/>
            <w:vAlign w:val="center"/>
          </w:tcPr>
          <w:p w14:paraId="439138BE">
            <w:pPr>
              <w:spacing w:line="320" w:lineRule="exact"/>
              <w:jc w:val="center"/>
              <w:rPr>
                <w:rFonts w:ascii="Times New Roman"/>
                <w:sz w:val="21"/>
                <w:szCs w:val="21"/>
              </w:rPr>
            </w:pPr>
            <w:r>
              <w:rPr>
                <w:rFonts w:hint="eastAsia" w:ascii="Times New Roman"/>
                <w:sz w:val="21"/>
                <w:szCs w:val="21"/>
              </w:rPr>
              <w:t>300</w:t>
            </w:r>
            <w:r>
              <w:rPr>
                <w:rFonts w:ascii="Times New Roman"/>
                <w:sz w:val="21"/>
                <w:szCs w:val="21"/>
              </w:rPr>
              <w:t>mg/m</w:t>
            </w:r>
            <w:r>
              <w:rPr>
                <w:rFonts w:ascii="Times New Roman"/>
                <w:sz w:val="21"/>
                <w:szCs w:val="21"/>
                <w:vertAlign w:val="superscript"/>
              </w:rPr>
              <w:t>3</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53EF65A0">
            <w:pPr>
              <w:autoSpaceDE w:val="0"/>
              <w:autoSpaceDN w:val="0"/>
              <w:adjustRightInd w:val="0"/>
              <w:spacing w:line="320" w:lineRule="exact"/>
              <w:jc w:val="center"/>
              <w:rPr>
                <w:rFonts w:ascii="Times New Roman"/>
                <w:snapToGrid w:val="0"/>
                <w:sz w:val="21"/>
                <w:szCs w:val="21"/>
                <w:lang w:val="zh-CN"/>
              </w:rPr>
            </w:pPr>
            <w:r>
              <w:rPr>
                <w:rFonts w:hint="eastAsia" w:ascii="Times New Roman"/>
                <w:snapToGrid w:val="0"/>
                <w:sz w:val="21"/>
                <w:szCs w:val="21"/>
              </w:rPr>
              <w:t>816</w:t>
            </w:r>
            <w:r>
              <w:rPr>
                <w:rFonts w:ascii="Times New Roman"/>
                <w:snapToGrid w:val="0"/>
                <w:sz w:val="21"/>
                <w:szCs w:val="21"/>
              </w:rPr>
              <w:t>m</w:t>
            </w:r>
            <w:r>
              <w:rPr>
                <w:rFonts w:ascii="Times New Roman"/>
                <w:snapToGrid w:val="0"/>
                <w:sz w:val="21"/>
                <w:szCs w:val="21"/>
                <w:vertAlign w:val="superscript"/>
              </w:rPr>
              <w:t>3</w:t>
            </w:r>
            <w:r>
              <w:rPr>
                <w:rFonts w:ascii="Times New Roman"/>
                <w:snapToGrid w:val="0"/>
                <w:sz w:val="21"/>
                <w:szCs w:val="21"/>
              </w:rPr>
              <w:t>/</w:t>
            </w:r>
            <w:r>
              <w:rPr>
                <w:rFonts w:ascii="Times New Roman"/>
                <w:kern w:val="0"/>
                <w:sz w:val="21"/>
                <w:szCs w:val="21"/>
              </w:rPr>
              <w:t>h</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048A1AD0">
            <w:pPr>
              <w:spacing w:line="320" w:lineRule="exact"/>
              <w:jc w:val="center"/>
              <w:rPr>
                <w:rFonts w:ascii="Times New Roman"/>
                <w:bCs/>
                <w:sz w:val="21"/>
                <w:szCs w:val="21"/>
              </w:rPr>
            </w:pPr>
            <w:r>
              <w:rPr>
                <w:rFonts w:hint="eastAsia" w:ascii="Times New Roman"/>
                <w:bCs/>
                <w:sz w:val="21"/>
                <w:szCs w:val="21"/>
              </w:rPr>
              <w:t>15</w:t>
            </w:r>
            <w:r>
              <w:rPr>
                <w:rFonts w:ascii="Times New Roman"/>
                <w:bCs/>
                <w:sz w:val="21"/>
                <w:szCs w:val="21"/>
              </w:rPr>
              <w:t>00h</w:t>
            </w:r>
          </w:p>
        </w:tc>
        <w:tc>
          <w:tcPr>
            <w:tcW w:w="1780" w:type="dxa"/>
            <w:tcBorders>
              <w:top w:val="single" w:color="auto" w:sz="4" w:space="0"/>
              <w:left w:val="single" w:color="auto" w:sz="6" w:space="0"/>
              <w:bottom w:val="single" w:color="auto" w:sz="6" w:space="0"/>
              <w:right w:val="single" w:color="auto" w:sz="4" w:space="0"/>
            </w:tcBorders>
            <w:vAlign w:val="bottom"/>
          </w:tcPr>
          <w:p w14:paraId="555D29C8">
            <w:pPr>
              <w:spacing w:line="320" w:lineRule="exact"/>
              <w:jc w:val="center"/>
              <w:rPr>
                <w:rFonts w:ascii="Times New Roman"/>
                <w:bCs/>
                <w:sz w:val="21"/>
                <w:szCs w:val="21"/>
              </w:rPr>
            </w:pPr>
            <w:r>
              <w:rPr>
                <w:rFonts w:hint="eastAsia" w:ascii="Times New Roman"/>
                <w:bCs/>
                <w:sz w:val="21"/>
                <w:szCs w:val="21"/>
              </w:rPr>
              <w:t>0.367</w:t>
            </w:r>
          </w:p>
        </w:tc>
      </w:tr>
      <w:tr w14:paraId="5649A9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256" w:type="pct"/>
            <w:vMerge w:val="continue"/>
            <w:tcBorders>
              <w:left w:val="single" w:color="auto" w:sz="4" w:space="0"/>
              <w:right w:val="single" w:color="auto" w:sz="4" w:space="0"/>
            </w:tcBorders>
            <w:vAlign w:val="center"/>
          </w:tcPr>
          <w:p w14:paraId="4A89810C">
            <w:pPr>
              <w:spacing w:line="320" w:lineRule="exact"/>
              <w:jc w:val="center"/>
              <w:rPr>
                <w:rFonts w:ascii="Times New Roman"/>
                <w:bCs/>
                <w:sz w:val="21"/>
                <w:szCs w:val="21"/>
              </w:rPr>
            </w:pPr>
          </w:p>
        </w:tc>
        <w:tc>
          <w:tcPr>
            <w:tcW w:w="426" w:type="pct"/>
            <w:vMerge w:val="continue"/>
            <w:tcBorders>
              <w:left w:val="single" w:color="auto" w:sz="4" w:space="0"/>
              <w:right w:val="single" w:color="auto" w:sz="4" w:space="0"/>
            </w:tcBorders>
            <w:vAlign w:val="center"/>
          </w:tcPr>
          <w:p w14:paraId="48C32BCE">
            <w:pPr>
              <w:widowControl/>
              <w:spacing w:line="320" w:lineRule="exact"/>
              <w:jc w:val="center"/>
              <w:rPr>
                <w:rFonts w:ascii="Times New Roman"/>
                <w:kern w:val="0"/>
                <w:sz w:val="21"/>
                <w:szCs w:val="21"/>
              </w:rPr>
            </w:pPr>
          </w:p>
        </w:tc>
        <w:tc>
          <w:tcPr>
            <w:tcW w:w="563" w:type="pct"/>
            <w:tcBorders>
              <w:top w:val="single" w:color="auto" w:sz="4" w:space="0"/>
              <w:left w:val="single" w:color="auto" w:sz="4" w:space="0"/>
              <w:right w:val="single" w:color="auto" w:sz="4" w:space="0"/>
            </w:tcBorders>
            <w:shd w:val="clear" w:color="auto" w:fill="auto"/>
            <w:vAlign w:val="center"/>
          </w:tcPr>
          <w:p w14:paraId="043ECC42">
            <w:pPr>
              <w:widowControl/>
              <w:spacing w:line="320" w:lineRule="exact"/>
              <w:jc w:val="center"/>
              <w:rPr>
                <w:rFonts w:ascii="Times New Roman"/>
                <w:b/>
                <w:bCs/>
                <w:kern w:val="0"/>
                <w:sz w:val="21"/>
                <w:szCs w:val="21"/>
              </w:rPr>
            </w:pPr>
            <w:r>
              <w:rPr>
                <w:rFonts w:ascii="Times New Roman"/>
                <w:b/>
                <w:bCs/>
                <w:kern w:val="0"/>
                <w:sz w:val="21"/>
                <w:szCs w:val="21"/>
              </w:rPr>
              <w:t>合计</w:t>
            </w:r>
          </w:p>
        </w:tc>
        <w:tc>
          <w:tcPr>
            <w:tcW w:w="1088" w:type="pct"/>
            <w:tcBorders>
              <w:top w:val="single" w:color="auto" w:sz="4" w:space="0"/>
              <w:left w:val="single" w:color="auto" w:sz="4" w:space="0"/>
              <w:bottom w:val="single" w:color="auto" w:sz="4" w:space="0"/>
              <w:right w:val="single" w:color="auto" w:sz="6" w:space="0"/>
            </w:tcBorders>
            <w:shd w:val="clear" w:color="auto" w:fill="auto"/>
            <w:vAlign w:val="center"/>
          </w:tcPr>
          <w:p w14:paraId="0CCD4A78">
            <w:pPr>
              <w:spacing w:line="320" w:lineRule="exact"/>
              <w:jc w:val="center"/>
              <w:rPr>
                <w:rFonts w:ascii="Times New Roman"/>
                <w:b/>
                <w:bCs/>
                <w:sz w:val="21"/>
                <w:szCs w:val="21"/>
              </w:rPr>
            </w:pPr>
            <w:r>
              <w:rPr>
                <w:rFonts w:ascii="Times New Roman"/>
                <w:b/>
                <w:bCs/>
                <w:sz w:val="21"/>
                <w:szCs w:val="21"/>
              </w:rPr>
              <w:t>--</w:t>
            </w:r>
          </w:p>
        </w:tc>
        <w:tc>
          <w:tcPr>
            <w:tcW w:w="841" w:type="pct"/>
            <w:tcBorders>
              <w:top w:val="single" w:color="auto" w:sz="4" w:space="0"/>
              <w:left w:val="single" w:color="auto" w:sz="6" w:space="0"/>
              <w:bottom w:val="single" w:color="auto" w:sz="6" w:space="0"/>
              <w:right w:val="single" w:color="auto" w:sz="4" w:space="0"/>
            </w:tcBorders>
            <w:shd w:val="clear" w:color="auto" w:fill="auto"/>
            <w:vAlign w:val="center"/>
          </w:tcPr>
          <w:p w14:paraId="1614819A">
            <w:pPr>
              <w:spacing w:line="320" w:lineRule="exact"/>
              <w:jc w:val="center"/>
              <w:rPr>
                <w:rFonts w:ascii="Times New Roman"/>
                <w:b/>
                <w:bCs/>
                <w:sz w:val="21"/>
                <w:szCs w:val="21"/>
              </w:rPr>
            </w:pPr>
            <w:r>
              <w:rPr>
                <w:rFonts w:ascii="Times New Roman"/>
                <w:b/>
                <w:bCs/>
                <w:sz w:val="21"/>
                <w:szCs w:val="21"/>
              </w:rPr>
              <w:t>--</w:t>
            </w:r>
          </w:p>
        </w:tc>
        <w:tc>
          <w:tcPr>
            <w:tcW w:w="759" w:type="pct"/>
            <w:tcBorders>
              <w:top w:val="single" w:color="auto" w:sz="4" w:space="0"/>
              <w:left w:val="single" w:color="auto" w:sz="6" w:space="0"/>
              <w:bottom w:val="single" w:color="auto" w:sz="6" w:space="0"/>
              <w:right w:val="single" w:color="auto" w:sz="6" w:space="0"/>
            </w:tcBorders>
            <w:shd w:val="clear" w:color="auto" w:fill="auto"/>
            <w:vAlign w:val="center"/>
          </w:tcPr>
          <w:p w14:paraId="3CDF12DA">
            <w:pPr>
              <w:spacing w:line="320" w:lineRule="exact"/>
              <w:jc w:val="center"/>
              <w:rPr>
                <w:rFonts w:ascii="Times New Roman"/>
                <w:b/>
                <w:bCs/>
                <w:sz w:val="21"/>
                <w:szCs w:val="21"/>
              </w:rPr>
            </w:pPr>
            <w:r>
              <w:rPr>
                <w:rFonts w:ascii="Times New Roman"/>
                <w:b/>
                <w:bCs/>
                <w:sz w:val="21"/>
                <w:szCs w:val="21"/>
              </w:rPr>
              <w:t>--</w:t>
            </w:r>
          </w:p>
        </w:tc>
        <w:tc>
          <w:tcPr>
            <w:tcW w:w="1780" w:type="dxa"/>
            <w:tcBorders>
              <w:top w:val="single" w:color="auto" w:sz="4" w:space="0"/>
              <w:left w:val="single" w:color="auto" w:sz="6" w:space="0"/>
              <w:bottom w:val="single" w:color="auto" w:sz="6" w:space="0"/>
              <w:right w:val="single" w:color="auto" w:sz="4" w:space="0"/>
            </w:tcBorders>
            <w:vAlign w:val="bottom"/>
          </w:tcPr>
          <w:p w14:paraId="5D701FCA">
            <w:pPr>
              <w:spacing w:line="320" w:lineRule="exact"/>
              <w:jc w:val="center"/>
              <w:rPr>
                <w:rFonts w:ascii="Times New Roman"/>
                <w:bCs/>
                <w:sz w:val="21"/>
                <w:szCs w:val="21"/>
              </w:rPr>
            </w:pPr>
            <w:r>
              <w:rPr>
                <w:rFonts w:hint="eastAsia" w:ascii="Times New Roman"/>
                <w:b/>
                <w:sz w:val="21"/>
                <w:szCs w:val="21"/>
              </w:rPr>
              <w:t>9.682</w:t>
            </w:r>
          </w:p>
        </w:tc>
      </w:tr>
      <w:tr w14:paraId="0D5583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1245" w:type="pct"/>
            <w:gridSpan w:val="3"/>
            <w:tcBorders>
              <w:top w:val="single" w:color="auto" w:sz="6" w:space="0"/>
              <w:left w:val="single" w:color="auto" w:sz="4" w:space="0"/>
              <w:bottom w:val="single" w:color="auto" w:sz="6" w:space="0"/>
              <w:right w:val="single" w:color="auto" w:sz="6" w:space="0"/>
            </w:tcBorders>
            <w:vAlign w:val="center"/>
          </w:tcPr>
          <w:p w14:paraId="48237C9C">
            <w:pPr>
              <w:spacing w:line="320" w:lineRule="exact"/>
              <w:jc w:val="center"/>
              <w:rPr>
                <w:rFonts w:ascii="Times New Roman"/>
                <w:sz w:val="21"/>
                <w:szCs w:val="21"/>
              </w:rPr>
            </w:pPr>
            <w:r>
              <w:rPr>
                <w:rFonts w:ascii="Times New Roman"/>
                <w:sz w:val="21"/>
                <w:szCs w:val="21"/>
              </w:rPr>
              <w:t>核算公式</w:t>
            </w:r>
          </w:p>
        </w:tc>
        <w:tc>
          <w:tcPr>
            <w:tcW w:w="3754" w:type="pct"/>
            <w:gridSpan w:val="4"/>
            <w:tcBorders>
              <w:top w:val="single" w:color="auto" w:sz="6" w:space="0"/>
              <w:left w:val="single" w:color="auto" w:sz="6" w:space="0"/>
              <w:bottom w:val="single" w:color="auto" w:sz="6" w:space="0"/>
              <w:right w:val="single" w:color="auto" w:sz="4" w:space="0"/>
            </w:tcBorders>
            <w:vAlign w:val="center"/>
          </w:tcPr>
          <w:p w14:paraId="53748292">
            <w:pPr>
              <w:spacing w:line="360" w:lineRule="exact"/>
              <w:jc w:val="left"/>
              <w:rPr>
                <w:rFonts w:ascii="Times New Roman"/>
                <w:sz w:val="21"/>
                <w:szCs w:val="21"/>
              </w:rPr>
            </w:pPr>
            <w:r>
              <w:rPr>
                <w:rFonts w:ascii="Times New Roman"/>
                <w:sz w:val="21"/>
                <w:szCs w:val="21"/>
              </w:rPr>
              <w:t>污染物年排放量（t/a）=污染物浓度（mg/L）×</w:t>
            </w:r>
            <w:r>
              <w:rPr>
                <w:rFonts w:ascii="Times New Roman"/>
                <w:sz w:val="21"/>
                <w:szCs w:val="21"/>
                <w:lang w:val="zh-CN"/>
              </w:rPr>
              <w:t>废水量</w:t>
            </w:r>
            <w:r>
              <w:rPr>
                <w:rFonts w:ascii="Times New Roman"/>
                <w:sz w:val="21"/>
                <w:szCs w:val="21"/>
              </w:rPr>
              <w:t>（m</w:t>
            </w:r>
            <w:r>
              <w:rPr>
                <w:rFonts w:ascii="Times New Roman"/>
                <w:sz w:val="21"/>
                <w:szCs w:val="21"/>
                <w:vertAlign w:val="superscript"/>
              </w:rPr>
              <w:t>3</w:t>
            </w:r>
            <w:r>
              <w:rPr>
                <w:rFonts w:ascii="Times New Roman"/>
                <w:sz w:val="21"/>
                <w:szCs w:val="21"/>
              </w:rPr>
              <w:t>/d）×运行时间（d/a)/10</w:t>
            </w:r>
            <w:r>
              <w:rPr>
                <w:rFonts w:ascii="Times New Roman"/>
                <w:sz w:val="21"/>
                <w:szCs w:val="21"/>
                <w:vertAlign w:val="superscript"/>
              </w:rPr>
              <w:t>6</w:t>
            </w:r>
          </w:p>
          <w:p w14:paraId="42498180">
            <w:pPr>
              <w:spacing w:line="360" w:lineRule="exact"/>
              <w:jc w:val="left"/>
              <w:rPr>
                <w:rFonts w:ascii="Times New Roman"/>
                <w:sz w:val="21"/>
                <w:szCs w:val="21"/>
                <w:vertAlign w:val="superscript"/>
              </w:rPr>
            </w:pPr>
            <w:r>
              <w:rPr>
                <w:rFonts w:ascii="Times New Roman"/>
                <w:sz w:val="21"/>
                <w:szCs w:val="21"/>
              </w:rPr>
              <w:t>污染物排放量（t/a）=排放标准限值(mg/m</w:t>
            </w:r>
            <w:r>
              <w:rPr>
                <w:rFonts w:ascii="Times New Roman"/>
                <w:sz w:val="21"/>
                <w:szCs w:val="21"/>
                <w:vertAlign w:val="superscript"/>
              </w:rPr>
              <w:t>3</w:t>
            </w:r>
            <w:r>
              <w:rPr>
                <w:rFonts w:ascii="Times New Roman"/>
                <w:sz w:val="21"/>
                <w:szCs w:val="21"/>
              </w:rPr>
              <w:t>)×废气量（m</w:t>
            </w:r>
            <w:r>
              <w:rPr>
                <w:rFonts w:ascii="Times New Roman"/>
                <w:sz w:val="21"/>
                <w:szCs w:val="21"/>
                <w:vertAlign w:val="superscript"/>
              </w:rPr>
              <w:t>3</w:t>
            </w:r>
            <w:r>
              <w:rPr>
                <w:rFonts w:ascii="Times New Roman"/>
                <w:sz w:val="21"/>
                <w:szCs w:val="21"/>
              </w:rPr>
              <w:t>/h）×生产时间（h/a）/10</w:t>
            </w:r>
            <w:r>
              <w:rPr>
                <w:rFonts w:ascii="Times New Roman"/>
                <w:sz w:val="21"/>
                <w:szCs w:val="21"/>
                <w:vertAlign w:val="superscript"/>
              </w:rPr>
              <w:t>9</w:t>
            </w:r>
          </w:p>
        </w:tc>
      </w:tr>
      <w:tr w14:paraId="1BBD01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57" w:hRule="atLeast"/>
          <w:jc w:val="center"/>
        </w:trPr>
        <w:tc>
          <w:tcPr>
            <w:tcW w:w="1245" w:type="pct"/>
            <w:gridSpan w:val="3"/>
            <w:tcBorders>
              <w:top w:val="single" w:color="auto" w:sz="6" w:space="0"/>
              <w:left w:val="single" w:color="auto" w:sz="4" w:space="0"/>
              <w:bottom w:val="single" w:color="auto" w:sz="6" w:space="0"/>
              <w:right w:val="single" w:color="auto" w:sz="6" w:space="0"/>
            </w:tcBorders>
            <w:vAlign w:val="center"/>
          </w:tcPr>
          <w:p w14:paraId="7034E7A1">
            <w:pPr>
              <w:spacing w:line="320" w:lineRule="exact"/>
              <w:jc w:val="center"/>
              <w:rPr>
                <w:rFonts w:ascii="Times New Roman"/>
                <w:sz w:val="21"/>
                <w:szCs w:val="21"/>
              </w:rPr>
            </w:pPr>
            <w:r>
              <w:rPr>
                <w:rFonts w:ascii="Times New Roman"/>
                <w:sz w:val="21"/>
                <w:szCs w:val="21"/>
              </w:rPr>
              <w:t>核算结果</w:t>
            </w:r>
          </w:p>
        </w:tc>
        <w:tc>
          <w:tcPr>
            <w:tcW w:w="3754" w:type="pct"/>
            <w:gridSpan w:val="4"/>
            <w:tcBorders>
              <w:top w:val="single" w:color="auto" w:sz="6" w:space="0"/>
              <w:left w:val="single" w:color="auto" w:sz="6" w:space="0"/>
              <w:bottom w:val="single" w:color="auto" w:sz="6" w:space="0"/>
              <w:right w:val="single" w:color="auto" w:sz="4" w:space="0"/>
            </w:tcBorders>
            <w:vAlign w:val="center"/>
          </w:tcPr>
          <w:p w14:paraId="746E31BD">
            <w:pPr>
              <w:spacing w:line="360" w:lineRule="exact"/>
              <w:ind w:left="210" w:hanging="210" w:hangingChars="100"/>
              <w:jc w:val="left"/>
              <w:rPr>
                <w:rFonts w:ascii="Times New Roman"/>
                <w:sz w:val="21"/>
                <w:szCs w:val="21"/>
              </w:rPr>
            </w:pPr>
            <w:r>
              <w:rPr>
                <w:rFonts w:ascii="Times New Roman"/>
                <w:sz w:val="21"/>
                <w:szCs w:val="21"/>
              </w:rPr>
              <w:t>由公式核算可知，本项目污染物年排放量分别为：</w:t>
            </w:r>
            <w:r>
              <w:rPr>
                <w:rFonts w:hint="eastAsia" w:ascii="Times New Roman"/>
                <w:sz w:val="21"/>
                <w:szCs w:val="21"/>
              </w:rPr>
              <w:t>COD：1.535</w:t>
            </w:r>
            <w:r>
              <w:rPr>
                <w:rFonts w:ascii="Times New Roman"/>
                <w:sz w:val="21"/>
                <w:szCs w:val="21"/>
              </w:rPr>
              <w:t>t/a，</w:t>
            </w:r>
            <w:r>
              <w:rPr>
                <w:rFonts w:hint="eastAsia" w:ascii="Times New Roman"/>
                <w:sz w:val="21"/>
                <w:szCs w:val="21"/>
              </w:rPr>
              <w:t>氨氮0.154</w:t>
            </w:r>
            <w:r>
              <w:rPr>
                <w:rFonts w:ascii="Times New Roman"/>
                <w:sz w:val="21"/>
                <w:szCs w:val="21"/>
              </w:rPr>
              <w:t>t/a，</w:t>
            </w:r>
            <w:r>
              <w:rPr>
                <w:rFonts w:ascii="Times New Roman"/>
                <w:spacing w:val="-6"/>
                <w:sz w:val="21"/>
                <w:szCs w:val="21"/>
              </w:rPr>
              <w:t>SO</w:t>
            </w:r>
            <w:r>
              <w:rPr>
                <w:rFonts w:ascii="Times New Roman"/>
                <w:spacing w:val="-6"/>
                <w:sz w:val="21"/>
                <w:szCs w:val="21"/>
                <w:vertAlign w:val="subscript"/>
              </w:rPr>
              <w:t>2</w:t>
            </w:r>
            <w:r>
              <w:rPr>
                <w:rFonts w:ascii="Times New Roman"/>
                <w:spacing w:val="-6"/>
                <w:sz w:val="21"/>
                <w:szCs w:val="21"/>
              </w:rPr>
              <w:t>：</w:t>
            </w:r>
            <w:r>
              <w:rPr>
                <w:rFonts w:hint="eastAsia" w:ascii="Times New Roman"/>
                <w:spacing w:val="-6"/>
                <w:sz w:val="21"/>
                <w:szCs w:val="21"/>
              </w:rPr>
              <w:t>6.364</w:t>
            </w:r>
            <w:r>
              <w:rPr>
                <w:rFonts w:ascii="Times New Roman"/>
                <w:sz w:val="21"/>
                <w:szCs w:val="21"/>
              </w:rPr>
              <w:t>t/a，</w:t>
            </w:r>
            <w:r>
              <w:rPr>
                <w:rFonts w:ascii="Times New Roman"/>
                <w:spacing w:val="-6"/>
                <w:sz w:val="21"/>
                <w:szCs w:val="21"/>
              </w:rPr>
              <w:t>NO</w:t>
            </w:r>
            <w:r>
              <w:rPr>
                <w:rFonts w:ascii="Times New Roman"/>
                <w:spacing w:val="-6"/>
                <w:sz w:val="21"/>
                <w:szCs w:val="21"/>
                <w:vertAlign w:val="subscript"/>
              </w:rPr>
              <w:t>X</w:t>
            </w:r>
            <w:r>
              <w:rPr>
                <w:rFonts w:ascii="Times New Roman"/>
                <w:spacing w:val="-6"/>
                <w:sz w:val="21"/>
                <w:szCs w:val="21"/>
              </w:rPr>
              <w:t>：</w:t>
            </w:r>
            <w:r>
              <w:rPr>
                <w:rFonts w:hint="eastAsia" w:ascii="Times New Roman"/>
                <w:spacing w:val="-6"/>
                <w:sz w:val="21"/>
                <w:szCs w:val="21"/>
              </w:rPr>
              <w:t>9.682</w:t>
            </w:r>
            <w:r>
              <w:rPr>
                <w:rFonts w:ascii="Times New Roman"/>
                <w:sz w:val="21"/>
                <w:szCs w:val="21"/>
              </w:rPr>
              <w:t>t/a，</w:t>
            </w:r>
            <w:r>
              <w:rPr>
                <w:rFonts w:ascii="Times New Roman"/>
                <w:spacing w:val="-6"/>
                <w:sz w:val="21"/>
                <w:szCs w:val="21"/>
              </w:rPr>
              <w:t>颗粒物：</w:t>
            </w:r>
            <w:r>
              <w:rPr>
                <w:rFonts w:hint="eastAsia" w:ascii="Times New Roman"/>
                <w:spacing w:val="-6"/>
                <w:sz w:val="21"/>
                <w:szCs w:val="21"/>
              </w:rPr>
              <w:t>41.805</w:t>
            </w:r>
            <w:r>
              <w:rPr>
                <w:rFonts w:ascii="Times New Roman"/>
                <w:spacing w:val="-6"/>
                <w:sz w:val="21"/>
                <w:szCs w:val="21"/>
              </w:rPr>
              <w:t>t/a，非甲烷总烃：</w:t>
            </w:r>
            <w:r>
              <w:rPr>
                <w:rFonts w:hint="eastAsia" w:ascii="Times New Roman"/>
                <w:spacing w:val="-6"/>
                <w:sz w:val="21"/>
                <w:szCs w:val="21"/>
              </w:rPr>
              <w:t>16.704</w:t>
            </w:r>
            <w:r>
              <w:rPr>
                <w:rFonts w:ascii="Times New Roman"/>
                <w:sz w:val="21"/>
                <w:szCs w:val="21"/>
              </w:rPr>
              <w:t>t/a</w:t>
            </w:r>
            <w:r>
              <w:rPr>
                <w:rFonts w:hint="eastAsia" w:ascii="Times New Roman"/>
                <w:sz w:val="21"/>
                <w:szCs w:val="21"/>
              </w:rPr>
              <w:t>，二甲苯16.704</w:t>
            </w:r>
            <w:r>
              <w:rPr>
                <w:rFonts w:ascii="Times New Roman"/>
                <w:sz w:val="21"/>
                <w:szCs w:val="21"/>
              </w:rPr>
              <w:t>t/a。</w:t>
            </w:r>
          </w:p>
        </w:tc>
      </w:tr>
    </w:tbl>
    <w:p w14:paraId="71847F5F">
      <w:pPr>
        <w:spacing w:line="480" w:lineRule="exact"/>
        <w:ind w:firstLine="480" w:firstLineChars="200"/>
        <w:rPr>
          <w:rFonts w:ascii="Times New Roman"/>
          <w:sz w:val="24"/>
          <w:szCs w:val="24"/>
        </w:rPr>
      </w:pPr>
      <w:r>
        <w:rPr>
          <w:rFonts w:ascii="Times New Roman"/>
          <w:sz w:val="24"/>
          <w:szCs w:val="24"/>
        </w:rPr>
        <w:t>综上所述，项目主要污染物总量控制指标以排放标准核算，总量控制指标值为：</w:t>
      </w:r>
      <w:r>
        <w:rPr>
          <w:rFonts w:hint="eastAsia" w:ascii="Times New Roman"/>
          <w:sz w:val="24"/>
          <w:szCs w:val="24"/>
        </w:rPr>
        <w:t>COD：1.535</w:t>
      </w:r>
      <w:r>
        <w:rPr>
          <w:rFonts w:ascii="Times New Roman"/>
          <w:sz w:val="24"/>
          <w:szCs w:val="24"/>
        </w:rPr>
        <w:t>t/a，</w:t>
      </w:r>
      <w:r>
        <w:rPr>
          <w:rFonts w:hint="eastAsia" w:ascii="Times New Roman"/>
          <w:sz w:val="24"/>
          <w:szCs w:val="24"/>
        </w:rPr>
        <w:t>氨氮0.154</w:t>
      </w:r>
      <w:r>
        <w:rPr>
          <w:rFonts w:ascii="Times New Roman"/>
          <w:sz w:val="24"/>
          <w:szCs w:val="24"/>
        </w:rPr>
        <w:t>t/a，</w:t>
      </w:r>
      <w:r>
        <w:rPr>
          <w:rFonts w:ascii="Times New Roman"/>
          <w:spacing w:val="-6"/>
          <w:sz w:val="24"/>
          <w:szCs w:val="24"/>
        </w:rPr>
        <w:t>SO</w:t>
      </w:r>
      <w:r>
        <w:rPr>
          <w:rFonts w:ascii="Times New Roman"/>
          <w:spacing w:val="-6"/>
          <w:sz w:val="24"/>
          <w:szCs w:val="24"/>
          <w:vertAlign w:val="subscript"/>
        </w:rPr>
        <w:t>2</w:t>
      </w:r>
      <w:r>
        <w:rPr>
          <w:rFonts w:ascii="Times New Roman"/>
          <w:spacing w:val="-6"/>
          <w:sz w:val="24"/>
          <w:szCs w:val="24"/>
        </w:rPr>
        <w:t>：</w:t>
      </w:r>
      <w:r>
        <w:rPr>
          <w:rFonts w:hint="eastAsia" w:ascii="Times New Roman"/>
          <w:spacing w:val="-6"/>
          <w:sz w:val="24"/>
          <w:szCs w:val="24"/>
        </w:rPr>
        <w:t>6.364</w:t>
      </w:r>
      <w:r>
        <w:rPr>
          <w:rFonts w:ascii="Times New Roman"/>
          <w:sz w:val="24"/>
          <w:szCs w:val="24"/>
        </w:rPr>
        <w:t>t/a，</w:t>
      </w:r>
      <w:r>
        <w:rPr>
          <w:rFonts w:ascii="Times New Roman"/>
          <w:spacing w:val="-6"/>
          <w:sz w:val="24"/>
          <w:szCs w:val="24"/>
        </w:rPr>
        <w:t>NO</w:t>
      </w:r>
      <w:r>
        <w:rPr>
          <w:rFonts w:ascii="Times New Roman"/>
          <w:spacing w:val="-6"/>
          <w:sz w:val="24"/>
          <w:szCs w:val="24"/>
          <w:vertAlign w:val="subscript"/>
        </w:rPr>
        <w:t>X</w:t>
      </w:r>
      <w:r>
        <w:rPr>
          <w:rFonts w:ascii="Times New Roman"/>
          <w:spacing w:val="-6"/>
          <w:sz w:val="24"/>
          <w:szCs w:val="24"/>
        </w:rPr>
        <w:t>：</w:t>
      </w:r>
      <w:r>
        <w:rPr>
          <w:rFonts w:hint="eastAsia" w:ascii="Times New Roman"/>
          <w:spacing w:val="-6"/>
          <w:sz w:val="24"/>
          <w:szCs w:val="24"/>
        </w:rPr>
        <w:t>9.682</w:t>
      </w:r>
      <w:r>
        <w:rPr>
          <w:rFonts w:ascii="Times New Roman"/>
          <w:sz w:val="24"/>
          <w:szCs w:val="24"/>
        </w:rPr>
        <w:t>t/a，</w:t>
      </w:r>
      <w:r>
        <w:rPr>
          <w:rFonts w:ascii="Times New Roman"/>
          <w:spacing w:val="-6"/>
          <w:sz w:val="24"/>
          <w:szCs w:val="24"/>
        </w:rPr>
        <w:t>颗粒物：</w:t>
      </w:r>
      <w:r>
        <w:rPr>
          <w:rFonts w:hint="eastAsia" w:ascii="Times New Roman"/>
          <w:spacing w:val="-6"/>
          <w:sz w:val="24"/>
          <w:szCs w:val="24"/>
        </w:rPr>
        <w:t>41.805</w:t>
      </w:r>
      <w:r>
        <w:rPr>
          <w:rFonts w:ascii="Times New Roman"/>
          <w:spacing w:val="-6"/>
          <w:sz w:val="24"/>
          <w:szCs w:val="24"/>
        </w:rPr>
        <w:t>t/a，非甲烷总烃：</w:t>
      </w:r>
      <w:r>
        <w:rPr>
          <w:rFonts w:hint="eastAsia" w:ascii="Times New Roman"/>
          <w:spacing w:val="-6"/>
          <w:sz w:val="24"/>
          <w:szCs w:val="24"/>
        </w:rPr>
        <w:t>16.704</w:t>
      </w:r>
      <w:r>
        <w:rPr>
          <w:rFonts w:ascii="Times New Roman"/>
          <w:sz w:val="24"/>
          <w:szCs w:val="24"/>
        </w:rPr>
        <w:t>t/a</w:t>
      </w:r>
      <w:r>
        <w:rPr>
          <w:rFonts w:hint="eastAsia" w:ascii="Times New Roman"/>
          <w:sz w:val="24"/>
          <w:szCs w:val="24"/>
        </w:rPr>
        <w:t>，二甲苯16.704</w:t>
      </w:r>
      <w:r>
        <w:rPr>
          <w:rFonts w:ascii="Times New Roman"/>
          <w:sz w:val="24"/>
          <w:szCs w:val="24"/>
        </w:rPr>
        <w:t>t/a。</w:t>
      </w:r>
    </w:p>
    <w:p w14:paraId="6EF9D814">
      <w:pPr>
        <w:rPr>
          <w:rFonts w:ascii="Times New Roman"/>
        </w:rPr>
      </w:pPr>
      <w:r>
        <w:rPr>
          <w:rFonts w:ascii="Times New Roman"/>
        </w:rPr>
        <w:br w:type="page"/>
      </w:r>
    </w:p>
    <w:p w14:paraId="1284EB2F">
      <w:pPr>
        <w:spacing w:beforeLines="50" w:afterLines="50" w:line="520" w:lineRule="exact"/>
        <w:outlineLvl w:val="0"/>
        <w:rPr>
          <w:rFonts w:ascii="Times New Roman"/>
          <w:b/>
          <w:sz w:val="32"/>
          <w:szCs w:val="32"/>
        </w:rPr>
      </w:pPr>
      <w:bookmarkStart w:id="168" w:name="_Toc16693"/>
      <w:r>
        <w:rPr>
          <w:rFonts w:ascii="Times New Roman"/>
          <w:b/>
          <w:sz w:val="32"/>
          <w:szCs w:val="32"/>
        </w:rPr>
        <w:t>4环境现状调查与评价</w:t>
      </w:r>
      <w:bookmarkEnd w:id="168"/>
    </w:p>
    <w:p w14:paraId="1E834AEE">
      <w:pPr>
        <w:widowControl/>
        <w:spacing w:line="360" w:lineRule="auto"/>
        <w:jc w:val="left"/>
        <w:outlineLvl w:val="1"/>
        <w:rPr>
          <w:rFonts w:ascii="Times New Roman"/>
          <w:b/>
          <w:sz w:val="30"/>
          <w:szCs w:val="30"/>
        </w:rPr>
      </w:pPr>
      <w:bookmarkStart w:id="169" w:name="_Toc30796"/>
      <w:r>
        <w:rPr>
          <w:rFonts w:ascii="Times New Roman"/>
          <w:b/>
          <w:sz w:val="30"/>
          <w:szCs w:val="30"/>
        </w:rPr>
        <w:t>4.1区域自然环境概况</w:t>
      </w:r>
      <w:bookmarkEnd w:id="169"/>
    </w:p>
    <w:p w14:paraId="100C75DA">
      <w:pPr>
        <w:spacing w:line="360" w:lineRule="auto"/>
        <w:outlineLvl w:val="2"/>
        <w:rPr>
          <w:rFonts w:ascii="Times New Roman"/>
          <w:b/>
          <w:sz w:val="28"/>
          <w:szCs w:val="28"/>
        </w:rPr>
      </w:pPr>
      <w:r>
        <w:rPr>
          <w:rFonts w:ascii="Times New Roman"/>
          <w:b/>
          <w:sz w:val="28"/>
          <w:szCs w:val="28"/>
        </w:rPr>
        <w:t>4.1.1地理位置</w:t>
      </w:r>
    </w:p>
    <w:p w14:paraId="3D196FF7">
      <w:pPr>
        <w:pStyle w:val="265"/>
        <w:spacing w:line="360" w:lineRule="auto"/>
        <w:ind w:firstLine="480" w:firstLineChars="200"/>
        <w:rPr>
          <w:szCs w:val="24"/>
        </w:rPr>
      </w:pPr>
      <w:r>
        <w:rPr>
          <w:snapToGrid w:val="0"/>
          <w:szCs w:val="24"/>
        </w:rPr>
        <w:t>曹妃甸区位于河北省唐山市南部沿海，处于渤海湾中心地带（东经118°38´，北纬38°55´），原是一座东北、西南走向的带状沙岛，为古滦河入海口冲击而成。其陆路距离唐山市中心城区80km，距北京市220km，距天津市120km，距秦皇岛市170km。曹妃甸为一座条状沙岛，位于渤海湾湾底北部，海域沙岛及浅滩长期稳定，沙岛与陆地之间是大片的浅滩，当地砂源丰富，所需陆域均通过吹填粉细砂形成</w:t>
      </w:r>
      <w:r>
        <w:rPr>
          <w:szCs w:val="24"/>
        </w:rPr>
        <w:t>。</w:t>
      </w:r>
    </w:p>
    <w:p w14:paraId="30B3C9EE">
      <w:pPr>
        <w:spacing w:line="360" w:lineRule="auto"/>
        <w:ind w:firstLine="480" w:firstLineChars="200"/>
        <w:rPr>
          <w:rFonts w:ascii="Times New Roman"/>
          <w:sz w:val="24"/>
          <w:szCs w:val="24"/>
        </w:rPr>
      </w:pPr>
      <w:r>
        <w:rPr>
          <w:rFonts w:ascii="Times New Roman"/>
          <w:sz w:val="24"/>
          <w:szCs w:val="24"/>
        </w:rPr>
        <w:t>曹妃甸工业区是由曹妃甸甸头南侧水域的港口区和曹妃甸北侧与大陆岸线间的滩涂经填海形成的陆地两部分组成，目前工业区起步区吹填造地己基本完成，矿石码头一期工程已经投产，首钢钢铁基地、散货码头、通用码头、原油码头正在建设中，曹妃甸工业区和港城开发建设已完成启动阶段的任务，转入大规模开发建设阶段。</w:t>
      </w:r>
    </w:p>
    <w:p w14:paraId="7403F487">
      <w:pPr>
        <w:spacing w:line="360" w:lineRule="auto"/>
        <w:ind w:firstLine="480" w:firstLineChars="200"/>
        <w:textAlignment w:val="center"/>
        <w:rPr>
          <w:rFonts w:ascii="Times New Roman"/>
          <w:bCs/>
          <w:sz w:val="24"/>
          <w:szCs w:val="24"/>
        </w:rPr>
      </w:pPr>
      <w:r>
        <w:rPr>
          <w:rFonts w:ascii="Times New Roman"/>
          <w:sz w:val="24"/>
          <w:szCs w:val="24"/>
        </w:rPr>
        <w:t>本项目位于唐山市曹妃甸装备制造园区，厂址中心位置地理坐标为：东经118°27′28.405″，北纬39°5′33.829″。项目厂区北侧为空地，西侧为</w:t>
      </w:r>
      <w:r>
        <w:rPr>
          <w:rFonts w:hint="eastAsia" w:ascii="Times New Roman"/>
          <w:sz w:val="24"/>
          <w:szCs w:val="24"/>
        </w:rPr>
        <w:t>空地</w:t>
      </w:r>
      <w:r>
        <w:rPr>
          <w:rFonts w:ascii="Times New Roman"/>
          <w:sz w:val="24"/>
          <w:szCs w:val="24"/>
        </w:rPr>
        <w:t>，南侧为</w:t>
      </w:r>
      <w:r>
        <w:rPr>
          <w:rFonts w:hint="eastAsia" w:ascii="Times New Roman"/>
          <w:sz w:val="24"/>
          <w:szCs w:val="24"/>
        </w:rPr>
        <w:t>华电曹妃甸重工装备有限公司</w:t>
      </w:r>
      <w:r>
        <w:rPr>
          <w:rFonts w:ascii="Times New Roman"/>
          <w:sz w:val="24"/>
          <w:szCs w:val="24"/>
        </w:rPr>
        <w:t>，东侧为空地。项目厂区周围没有自然保护区、风景游览区、名胜古迹及其他需要特别保护的敏感目标。</w:t>
      </w:r>
      <w:r>
        <w:rPr>
          <w:rFonts w:hint="eastAsia" w:ascii="Times New Roman"/>
          <w:sz w:val="24"/>
          <w:szCs w:val="24"/>
        </w:rPr>
        <w:t>项目地理位置见附图1</w:t>
      </w:r>
      <w:r>
        <w:rPr>
          <w:rFonts w:ascii="Times New Roman"/>
          <w:sz w:val="24"/>
          <w:szCs w:val="24"/>
        </w:rPr>
        <w:t>，周围关系见附图2。</w:t>
      </w:r>
    </w:p>
    <w:p w14:paraId="3D777F38">
      <w:pPr>
        <w:spacing w:line="360" w:lineRule="auto"/>
        <w:outlineLvl w:val="2"/>
        <w:rPr>
          <w:rFonts w:ascii="Times New Roman"/>
          <w:b/>
          <w:sz w:val="28"/>
          <w:szCs w:val="28"/>
        </w:rPr>
      </w:pPr>
      <w:r>
        <w:rPr>
          <w:rFonts w:ascii="Times New Roman"/>
          <w:b/>
          <w:sz w:val="28"/>
          <w:szCs w:val="28"/>
        </w:rPr>
        <w:t>4.1.2地形地貌</w:t>
      </w:r>
    </w:p>
    <w:p w14:paraId="71FE9692">
      <w:pPr>
        <w:tabs>
          <w:tab w:val="left" w:pos="1170"/>
        </w:tabs>
        <w:spacing w:line="360" w:lineRule="auto"/>
        <w:ind w:firstLine="480" w:firstLineChars="200"/>
        <w:rPr>
          <w:rFonts w:ascii="Times New Roman"/>
          <w:sz w:val="24"/>
          <w:szCs w:val="20"/>
        </w:rPr>
      </w:pPr>
      <w:r>
        <w:rPr>
          <w:rFonts w:ascii="Times New Roman"/>
          <w:sz w:val="24"/>
          <w:szCs w:val="20"/>
        </w:rPr>
        <w:t>曹妃甸一带为古滦河三角洲平原海岸，具有双重岸线特征，其中内侧大陆岸线为沿古滦河三角洲发育的冲积海积平原，沿岸多盐田，潮滩发育，宽3~5km；外侧岛屿岸线与大陆岸线走向基本一致，由哈坨、腰坨和曹妃甸沙岛群构成，为沙质海滩，其南段的曹妃甸沙岛由12个小沙岛组成，西南段的最大，高程3km左右（当地理论基面起算，下同），最高处长有少量沙生植物。内外岸线间为宽阔的浅水泻湖，低潮时大片出露，东西两侧潮沟最大水深分别为-10~-15m和-2~-5m。曹妃甸沙岛位居渤海湾北岸岸线转折处，尤如矶头和岬角，紧贴渤海湾-20~-30m深槽。</w:t>
      </w:r>
    </w:p>
    <w:p w14:paraId="7710EB52">
      <w:pPr>
        <w:tabs>
          <w:tab w:val="left" w:pos="1170"/>
        </w:tabs>
        <w:spacing w:line="360" w:lineRule="auto"/>
        <w:ind w:firstLine="480" w:firstLineChars="200"/>
        <w:rPr>
          <w:rFonts w:ascii="Times New Roman"/>
          <w:sz w:val="24"/>
          <w:szCs w:val="20"/>
        </w:rPr>
      </w:pPr>
      <w:r>
        <w:rPr>
          <w:rFonts w:hint="eastAsia" w:ascii="Times New Roman" w:cs="宋体"/>
          <w:kern w:val="0"/>
          <w:sz w:val="24"/>
          <w:szCs w:val="24"/>
        </w:rPr>
        <w:t>曹妃甸工业区由曹妃甸岛及北侧与大陆岸线间的滩涂经填海形成的陆地构成。曹妃甸岛原为滦河北移而形成的一条状沙岛海滩，位于滦河三角洲前缘，走向为</w:t>
      </w:r>
      <w:r>
        <w:rPr>
          <w:rFonts w:ascii="Times New Roman"/>
          <w:kern w:val="0"/>
          <w:sz w:val="24"/>
          <w:szCs w:val="24"/>
        </w:rPr>
        <w:t>NE</w:t>
      </w:r>
      <w:r>
        <w:rPr>
          <w:rFonts w:hint="eastAsia" w:ascii="Times New Roman" w:cs="宋体"/>
          <w:kern w:val="0"/>
          <w:sz w:val="24"/>
          <w:szCs w:val="24"/>
        </w:rPr>
        <w:t>～</w:t>
      </w:r>
      <w:r>
        <w:rPr>
          <w:rFonts w:ascii="Times New Roman"/>
          <w:kern w:val="0"/>
          <w:sz w:val="24"/>
          <w:szCs w:val="24"/>
        </w:rPr>
        <w:t>SW</w:t>
      </w:r>
      <w:r>
        <w:rPr>
          <w:rFonts w:hint="eastAsia" w:ascii="Times New Roman" w:cs="宋体"/>
          <w:kern w:val="0"/>
          <w:sz w:val="24"/>
          <w:szCs w:val="24"/>
        </w:rPr>
        <w:t>，距大陆岸线约</w:t>
      </w:r>
      <w:r>
        <w:rPr>
          <w:rFonts w:ascii="Times New Roman"/>
          <w:kern w:val="0"/>
          <w:sz w:val="24"/>
          <w:szCs w:val="24"/>
        </w:rPr>
        <w:t>18km</w:t>
      </w:r>
      <w:r>
        <w:rPr>
          <w:rFonts w:hint="eastAsia" w:ascii="Times New Roman" w:cs="宋体"/>
          <w:kern w:val="0"/>
          <w:sz w:val="24"/>
          <w:szCs w:val="24"/>
        </w:rPr>
        <w:t>，其中滩内侧为海水淹没的古滦河冲积扇体，上部覆盖海相沉积，与陆地之间均为宽阔的浅滩，地形比较平坦，海水高潮时显露面积</w:t>
      </w:r>
      <w:r>
        <w:rPr>
          <w:rFonts w:ascii="Times New Roman"/>
          <w:kern w:val="0"/>
          <w:sz w:val="24"/>
          <w:szCs w:val="24"/>
        </w:rPr>
        <w:t>4km</w:t>
      </w:r>
      <w:r>
        <w:rPr>
          <w:rFonts w:ascii="Times New Roman"/>
          <w:kern w:val="0"/>
          <w:sz w:val="24"/>
          <w:szCs w:val="24"/>
          <w:vertAlign w:val="superscript"/>
        </w:rPr>
        <w:t>2</w:t>
      </w:r>
      <w:r>
        <w:rPr>
          <w:rFonts w:hint="eastAsia" w:ascii="Times New Roman" w:cs="宋体"/>
          <w:kern w:val="0"/>
          <w:sz w:val="24"/>
          <w:szCs w:val="24"/>
        </w:rPr>
        <w:t>，低潮时显露面积</w:t>
      </w:r>
      <w:r>
        <w:rPr>
          <w:rFonts w:ascii="Times New Roman"/>
          <w:kern w:val="0"/>
          <w:sz w:val="24"/>
          <w:szCs w:val="24"/>
        </w:rPr>
        <w:t>20km</w:t>
      </w:r>
      <w:r>
        <w:rPr>
          <w:rFonts w:ascii="Times New Roman"/>
          <w:kern w:val="0"/>
          <w:sz w:val="24"/>
          <w:szCs w:val="24"/>
          <w:vertAlign w:val="superscript"/>
        </w:rPr>
        <w:t>2</w:t>
      </w:r>
      <w:r>
        <w:rPr>
          <w:rFonts w:hint="eastAsia" w:ascii="Times New Roman" w:cs="宋体"/>
          <w:kern w:val="0"/>
          <w:sz w:val="24"/>
          <w:szCs w:val="24"/>
        </w:rPr>
        <w:t>；滩外侧为古滦河冲积扇陡坎，甸头前缘</w:t>
      </w:r>
      <w:r>
        <w:rPr>
          <w:rFonts w:ascii="Times New Roman"/>
          <w:kern w:val="0"/>
          <w:sz w:val="24"/>
          <w:szCs w:val="24"/>
        </w:rPr>
        <w:t>500</w:t>
      </w:r>
      <w:r>
        <w:rPr>
          <w:rFonts w:hint="eastAsia" w:ascii="Times New Roman" w:cs="宋体"/>
          <w:kern w:val="0"/>
          <w:sz w:val="24"/>
          <w:szCs w:val="24"/>
        </w:rPr>
        <w:t>～</w:t>
      </w:r>
      <w:r>
        <w:rPr>
          <w:rFonts w:ascii="Times New Roman"/>
          <w:kern w:val="0"/>
          <w:sz w:val="24"/>
          <w:szCs w:val="24"/>
        </w:rPr>
        <w:t>600m</w:t>
      </w:r>
      <w:r>
        <w:rPr>
          <w:rFonts w:hint="eastAsia" w:ascii="Times New Roman" w:cs="宋体"/>
          <w:kern w:val="0"/>
          <w:sz w:val="24"/>
          <w:szCs w:val="24"/>
        </w:rPr>
        <w:t>水深达到</w:t>
      </w:r>
      <w:r>
        <w:rPr>
          <w:rFonts w:ascii="Times New Roman"/>
          <w:kern w:val="0"/>
          <w:sz w:val="24"/>
          <w:szCs w:val="24"/>
        </w:rPr>
        <w:t>-20</w:t>
      </w:r>
      <w:r>
        <w:rPr>
          <w:rFonts w:hint="eastAsia" w:ascii="Times New Roman" w:cs="宋体"/>
          <w:kern w:val="0"/>
          <w:sz w:val="24"/>
          <w:szCs w:val="24"/>
        </w:rPr>
        <w:t>～</w:t>
      </w:r>
      <w:r>
        <w:rPr>
          <w:rFonts w:ascii="Times New Roman"/>
          <w:kern w:val="0"/>
          <w:sz w:val="24"/>
          <w:szCs w:val="24"/>
        </w:rPr>
        <w:t>-30m</w:t>
      </w:r>
      <w:r>
        <w:rPr>
          <w:rFonts w:hint="eastAsia" w:ascii="Times New Roman" w:cs="宋体"/>
          <w:kern w:val="0"/>
          <w:sz w:val="24"/>
          <w:szCs w:val="24"/>
        </w:rPr>
        <w:t>，构成渤海湾内天然的深水港址。曹妃甸岛经吹填后，陆地地貌发生了较大变化，沙岛原有地貌基本消失，取而代之的是新造的人工地貌</w:t>
      </w:r>
      <w:r>
        <w:rPr>
          <w:rFonts w:ascii="Times New Roman"/>
          <w:sz w:val="24"/>
          <w:szCs w:val="20"/>
        </w:rPr>
        <w:t>。</w:t>
      </w:r>
    </w:p>
    <w:p w14:paraId="20D22F38">
      <w:pPr>
        <w:tabs>
          <w:tab w:val="left" w:pos="1170"/>
        </w:tabs>
        <w:spacing w:line="360" w:lineRule="auto"/>
        <w:ind w:firstLine="480" w:firstLineChars="200"/>
        <w:rPr>
          <w:rFonts w:ascii="Times New Roman" w:cs="宋体"/>
          <w:kern w:val="0"/>
          <w:sz w:val="24"/>
          <w:szCs w:val="24"/>
        </w:rPr>
      </w:pPr>
      <w:r>
        <w:rPr>
          <w:rFonts w:hint="eastAsia" w:ascii="Times New Roman" w:cs="宋体"/>
          <w:kern w:val="0"/>
          <w:sz w:val="24"/>
          <w:szCs w:val="24"/>
        </w:rPr>
        <w:t>本项目位于曹妃甸工业区曹妃甸岛南部，由吹砂填海形成区域。属于滨海堆积地貌，地势平坦。</w:t>
      </w:r>
    </w:p>
    <w:p w14:paraId="38CFBA7B">
      <w:pPr>
        <w:spacing w:line="360" w:lineRule="auto"/>
        <w:outlineLvl w:val="2"/>
        <w:rPr>
          <w:rFonts w:ascii="Times New Roman"/>
          <w:b/>
          <w:sz w:val="28"/>
          <w:szCs w:val="28"/>
        </w:rPr>
      </w:pPr>
      <w:r>
        <w:rPr>
          <w:rFonts w:ascii="Times New Roman"/>
          <w:b/>
          <w:sz w:val="28"/>
          <w:szCs w:val="28"/>
        </w:rPr>
        <w:t>4.1.3</w:t>
      </w:r>
      <w:r>
        <w:rPr>
          <w:rFonts w:hint="eastAsia" w:ascii="Times New Roman"/>
          <w:b/>
          <w:sz w:val="28"/>
          <w:szCs w:val="28"/>
        </w:rPr>
        <w:t>地质概况</w:t>
      </w:r>
    </w:p>
    <w:p w14:paraId="6AE105BA">
      <w:pPr>
        <w:widowControl/>
        <w:spacing w:line="360" w:lineRule="auto"/>
        <w:ind w:firstLine="480" w:firstLineChars="200"/>
        <w:jc w:val="left"/>
        <w:rPr>
          <w:rFonts w:ascii="Times New Roman"/>
        </w:rPr>
      </w:pPr>
      <w:r>
        <w:rPr>
          <w:rFonts w:hint="eastAsia" w:ascii="Times New Roman" w:cs="宋体"/>
          <w:kern w:val="0"/>
          <w:sz w:val="24"/>
          <w:szCs w:val="24"/>
        </w:rPr>
        <w:t>从区域上看，冀东地区基底为太古界和下元古界变质岩系，其上覆盖了沉积盖层，总厚度</w:t>
      </w:r>
      <w:r>
        <w:rPr>
          <w:rFonts w:ascii="Times New Roman"/>
          <w:kern w:val="0"/>
          <w:sz w:val="24"/>
          <w:szCs w:val="24"/>
        </w:rPr>
        <w:t>8620m</w:t>
      </w:r>
      <w:r>
        <w:rPr>
          <w:rFonts w:hint="eastAsia" w:ascii="Times New Roman" w:cs="宋体"/>
          <w:kern w:val="0"/>
          <w:sz w:val="24"/>
          <w:szCs w:val="24"/>
        </w:rPr>
        <w:t>，包括中上元古界、古生界、中生界、新生界地层。区内沉积了巨厚的第四系地层。厚度由北向南逐渐增加，由北部山前的数十米逐渐增至曹妃甸一带的</w:t>
      </w:r>
      <w:r>
        <w:rPr>
          <w:rFonts w:ascii="Times New Roman"/>
          <w:kern w:val="0"/>
          <w:sz w:val="24"/>
          <w:szCs w:val="24"/>
        </w:rPr>
        <w:t>600m</w:t>
      </w:r>
      <w:r>
        <w:rPr>
          <w:rFonts w:hint="eastAsia" w:ascii="Times New Roman" w:cs="宋体"/>
          <w:kern w:val="0"/>
          <w:sz w:val="24"/>
          <w:szCs w:val="24"/>
        </w:rPr>
        <w:t>左右。第四系地层以气候地层学为主导、岩石地层学为基础分为下更新统</w:t>
      </w:r>
      <w:r>
        <w:rPr>
          <w:rFonts w:ascii="Times New Roman"/>
          <w:kern w:val="0"/>
          <w:sz w:val="24"/>
          <w:szCs w:val="24"/>
        </w:rPr>
        <w:t>（Qp</w:t>
      </w:r>
      <w:r>
        <w:rPr>
          <w:rFonts w:ascii="Times New Roman"/>
          <w:kern w:val="0"/>
          <w:sz w:val="16"/>
          <w:szCs w:val="16"/>
        </w:rPr>
        <w:t>1</w:t>
      </w:r>
      <w:r>
        <w:rPr>
          <w:rFonts w:ascii="Times New Roman"/>
          <w:kern w:val="0"/>
          <w:sz w:val="24"/>
          <w:szCs w:val="24"/>
        </w:rPr>
        <w:t>）</w:t>
      </w:r>
      <w:r>
        <w:rPr>
          <w:rFonts w:hint="eastAsia" w:ascii="Times New Roman" w:cs="宋体"/>
          <w:kern w:val="0"/>
          <w:sz w:val="24"/>
          <w:szCs w:val="24"/>
        </w:rPr>
        <w:t>、中更新统</w:t>
      </w:r>
      <w:r>
        <w:rPr>
          <w:rFonts w:ascii="Times New Roman"/>
          <w:kern w:val="0"/>
          <w:sz w:val="24"/>
          <w:szCs w:val="24"/>
        </w:rPr>
        <w:t>（Qp</w:t>
      </w:r>
      <w:r>
        <w:rPr>
          <w:rFonts w:ascii="Times New Roman"/>
          <w:kern w:val="0"/>
          <w:sz w:val="16"/>
          <w:szCs w:val="16"/>
        </w:rPr>
        <w:t>2</w:t>
      </w:r>
      <w:r>
        <w:rPr>
          <w:rFonts w:ascii="Times New Roman"/>
          <w:kern w:val="0"/>
          <w:sz w:val="24"/>
          <w:szCs w:val="24"/>
        </w:rPr>
        <w:t>）</w:t>
      </w:r>
      <w:r>
        <w:rPr>
          <w:rFonts w:hint="eastAsia" w:ascii="Times New Roman" w:cs="宋体"/>
          <w:kern w:val="0"/>
          <w:sz w:val="24"/>
          <w:szCs w:val="24"/>
        </w:rPr>
        <w:t>、上更新统</w:t>
      </w:r>
      <w:r>
        <w:rPr>
          <w:rFonts w:ascii="Times New Roman"/>
          <w:kern w:val="0"/>
          <w:sz w:val="24"/>
          <w:szCs w:val="24"/>
        </w:rPr>
        <w:t>（Qp</w:t>
      </w:r>
      <w:r>
        <w:rPr>
          <w:rFonts w:ascii="Times New Roman"/>
          <w:kern w:val="0"/>
          <w:sz w:val="16"/>
          <w:szCs w:val="16"/>
        </w:rPr>
        <w:t>3</w:t>
      </w:r>
      <w:r>
        <w:rPr>
          <w:rFonts w:ascii="Times New Roman"/>
          <w:kern w:val="0"/>
          <w:sz w:val="24"/>
          <w:szCs w:val="24"/>
        </w:rPr>
        <w:t>）</w:t>
      </w:r>
      <w:r>
        <w:rPr>
          <w:rFonts w:hint="eastAsia" w:ascii="Times New Roman" w:cs="宋体"/>
          <w:kern w:val="0"/>
          <w:sz w:val="24"/>
          <w:szCs w:val="24"/>
        </w:rPr>
        <w:t>和全新统</w:t>
      </w:r>
      <w:r>
        <w:rPr>
          <w:rFonts w:ascii="Times New Roman"/>
          <w:kern w:val="0"/>
          <w:sz w:val="24"/>
          <w:szCs w:val="24"/>
        </w:rPr>
        <w:t>（Qh</w:t>
      </w:r>
      <w:r>
        <w:rPr>
          <w:rFonts w:ascii="Times New Roman"/>
          <w:kern w:val="0"/>
          <w:sz w:val="16"/>
          <w:szCs w:val="16"/>
        </w:rPr>
        <w:t>4</w:t>
      </w:r>
      <w:r>
        <w:rPr>
          <w:rFonts w:ascii="Times New Roman"/>
          <w:kern w:val="0"/>
          <w:sz w:val="24"/>
          <w:szCs w:val="24"/>
        </w:rPr>
        <w:t>）</w:t>
      </w:r>
      <w:r>
        <w:rPr>
          <w:rFonts w:hint="eastAsia" w:ascii="Times New Roman" w:cs="宋体"/>
          <w:kern w:val="0"/>
          <w:sz w:val="24"/>
          <w:szCs w:val="24"/>
        </w:rPr>
        <w:t>。在第四系底部普遍沉积了上新统</w:t>
      </w:r>
      <w:r>
        <w:rPr>
          <w:rFonts w:ascii="Times New Roman"/>
          <w:kern w:val="0"/>
          <w:sz w:val="24"/>
          <w:szCs w:val="24"/>
        </w:rPr>
        <w:t>（N2）</w:t>
      </w:r>
      <w:r>
        <w:rPr>
          <w:rFonts w:hint="eastAsia" w:ascii="Times New Roman" w:cs="宋体"/>
          <w:kern w:val="0"/>
          <w:sz w:val="24"/>
          <w:szCs w:val="24"/>
        </w:rPr>
        <w:t>即上第三系地层，其岩性以粘土、粉质粘土为主，呈紫褐色、棕红色、棕黄色及兰灰色，具白红斑。滦南县城以南至曹妃甸底板埋深</w:t>
      </w:r>
      <w:r>
        <w:rPr>
          <w:rFonts w:ascii="Times New Roman"/>
          <w:kern w:val="0"/>
          <w:sz w:val="24"/>
          <w:szCs w:val="24"/>
        </w:rPr>
        <w:t>800m</w:t>
      </w:r>
      <w:r>
        <w:rPr>
          <w:rFonts w:hint="eastAsia" w:ascii="Times New Roman" w:cs="宋体"/>
          <w:kern w:val="0"/>
          <w:sz w:val="24"/>
          <w:szCs w:val="24"/>
        </w:rPr>
        <w:t>～</w:t>
      </w:r>
      <w:r>
        <w:rPr>
          <w:rFonts w:ascii="Times New Roman"/>
          <w:kern w:val="0"/>
          <w:sz w:val="24"/>
          <w:szCs w:val="24"/>
        </w:rPr>
        <w:t>2800m</w:t>
      </w:r>
      <w:r>
        <w:rPr>
          <w:rFonts w:hint="eastAsia" w:ascii="Times New Roman" w:cs="宋体"/>
          <w:kern w:val="0"/>
          <w:sz w:val="24"/>
          <w:szCs w:val="24"/>
        </w:rPr>
        <w:t>，由北向南逐渐增厚。</w:t>
      </w:r>
    </w:p>
    <w:p w14:paraId="50CD3D06">
      <w:pPr>
        <w:widowControl/>
        <w:spacing w:line="360" w:lineRule="auto"/>
        <w:ind w:firstLine="480" w:firstLineChars="200"/>
        <w:jc w:val="left"/>
        <w:rPr>
          <w:rFonts w:ascii="Times New Roman"/>
        </w:rPr>
      </w:pPr>
      <w:r>
        <w:rPr>
          <w:rFonts w:hint="eastAsia" w:ascii="Times New Roman" w:cs="宋体"/>
          <w:kern w:val="0"/>
          <w:sz w:val="24"/>
          <w:szCs w:val="24"/>
        </w:rPr>
        <w:t>（</w:t>
      </w:r>
      <w:r>
        <w:rPr>
          <w:rFonts w:ascii="Times New Roman"/>
          <w:kern w:val="0"/>
          <w:sz w:val="24"/>
          <w:szCs w:val="24"/>
        </w:rPr>
        <w:t>1</w:t>
      </w:r>
      <w:r>
        <w:rPr>
          <w:rFonts w:hint="eastAsia" w:ascii="Times New Roman" w:cs="宋体"/>
          <w:kern w:val="0"/>
          <w:sz w:val="24"/>
          <w:szCs w:val="24"/>
        </w:rPr>
        <w:t>）第三系地层</w:t>
      </w:r>
    </w:p>
    <w:p w14:paraId="310FB235">
      <w:pPr>
        <w:widowControl/>
        <w:spacing w:line="360" w:lineRule="auto"/>
        <w:ind w:firstLine="480" w:firstLineChars="200"/>
        <w:jc w:val="left"/>
        <w:rPr>
          <w:rFonts w:ascii="Times New Roman"/>
        </w:rPr>
      </w:pPr>
      <w:r>
        <w:rPr>
          <w:rFonts w:hint="eastAsia" w:ascii="Times New Roman" w:cs="宋体"/>
          <w:kern w:val="0"/>
          <w:sz w:val="24"/>
          <w:szCs w:val="24"/>
        </w:rPr>
        <w:t>区域上在第四系底部普遍沉积了上新统（</w:t>
      </w:r>
      <w:r>
        <w:rPr>
          <w:rFonts w:ascii="Times New Roman"/>
          <w:kern w:val="0"/>
          <w:sz w:val="24"/>
          <w:szCs w:val="24"/>
        </w:rPr>
        <w:t>N2</w:t>
      </w:r>
      <w:r>
        <w:rPr>
          <w:rFonts w:hint="eastAsia" w:ascii="Times New Roman" w:cs="宋体"/>
          <w:kern w:val="0"/>
          <w:sz w:val="24"/>
          <w:szCs w:val="24"/>
        </w:rPr>
        <w:t>），其岩性以粘土、粉质粘土为主，呈紫褐色、棕红色、棕黄色及兰灰色，具白红斑。滦南县城以南至曹妃甸底板埋深</w:t>
      </w:r>
      <w:r>
        <w:rPr>
          <w:rFonts w:ascii="Times New Roman"/>
          <w:kern w:val="0"/>
          <w:sz w:val="24"/>
          <w:szCs w:val="24"/>
        </w:rPr>
        <w:t>800</w:t>
      </w:r>
      <w:r>
        <w:rPr>
          <w:rFonts w:hint="eastAsia" w:ascii="Times New Roman" w:cs="宋体"/>
          <w:kern w:val="0"/>
          <w:sz w:val="24"/>
          <w:szCs w:val="24"/>
        </w:rPr>
        <w:t>～</w:t>
      </w:r>
      <w:r>
        <w:rPr>
          <w:rFonts w:ascii="Times New Roman"/>
          <w:kern w:val="0"/>
          <w:sz w:val="24"/>
          <w:szCs w:val="24"/>
        </w:rPr>
        <w:t>2800m</w:t>
      </w:r>
      <w:r>
        <w:rPr>
          <w:rFonts w:hint="eastAsia" w:ascii="Times New Roman" w:cs="宋体"/>
          <w:kern w:val="0"/>
          <w:sz w:val="24"/>
          <w:szCs w:val="24"/>
        </w:rPr>
        <w:t>，由北向南逐渐增厚。调查评价区内第三系底板埋深约</w:t>
      </w:r>
      <w:r>
        <w:rPr>
          <w:rFonts w:ascii="Times New Roman"/>
          <w:kern w:val="0"/>
          <w:sz w:val="24"/>
          <w:szCs w:val="24"/>
        </w:rPr>
        <w:t>2600m</w:t>
      </w:r>
      <w:r>
        <w:rPr>
          <w:rFonts w:hint="eastAsia" w:ascii="Times New Roman" w:cs="宋体"/>
          <w:kern w:val="0"/>
          <w:sz w:val="24"/>
          <w:szCs w:val="24"/>
        </w:rPr>
        <w:t>。</w:t>
      </w:r>
    </w:p>
    <w:p w14:paraId="1E3D1B0F">
      <w:pPr>
        <w:widowControl/>
        <w:spacing w:line="360" w:lineRule="auto"/>
        <w:ind w:firstLine="480" w:firstLineChars="200"/>
        <w:jc w:val="left"/>
        <w:rPr>
          <w:rFonts w:ascii="Times New Roman"/>
        </w:rPr>
      </w:pPr>
      <w:r>
        <w:rPr>
          <w:rFonts w:hint="eastAsia" w:ascii="Times New Roman" w:cs="宋体"/>
          <w:kern w:val="0"/>
          <w:sz w:val="24"/>
          <w:szCs w:val="24"/>
        </w:rPr>
        <w:t>（</w:t>
      </w:r>
      <w:r>
        <w:rPr>
          <w:rFonts w:ascii="Times New Roman"/>
          <w:kern w:val="0"/>
          <w:sz w:val="24"/>
          <w:szCs w:val="24"/>
        </w:rPr>
        <w:t>2</w:t>
      </w:r>
      <w:r>
        <w:rPr>
          <w:rFonts w:hint="eastAsia" w:ascii="Times New Roman" w:cs="宋体"/>
          <w:kern w:val="0"/>
          <w:sz w:val="24"/>
          <w:szCs w:val="24"/>
        </w:rPr>
        <w:t>）第四系地层</w:t>
      </w:r>
    </w:p>
    <w:p w14:paraId="4CD28E44">
      <w:pPr>
        <w:widowControl/>
        <w:spacing w:line="360" w:lineRule="auto"/>
        <w:ind w:firstLine="480" w:firstLineChars="200"/>
        <w:jc w:val="left"/>
        <w:rPr>
          <w:rFonts w:ascii="Times New Roman"/>
        </w:rPr>
      </w:pPr>
      <w:r>
        <w:rPr>
          <w:rFonts w:hint="eastAsia" w:ascii="Times New Roman" w:cs="宋体"/>
          <w:kern w:val="0"/>
          <w:sz w:val="24"/>
          <w:szCs w:val="24"/>
        </w:rPr>
        <w:t xml:space="preserve">区内沉积了巨厚的第四系地层。厚度由北向南逐渐增加，由北部山前的数十米逐渐增至曹妃甸一带的 </w:t>
      </w:r>
      <w:r>
        <w:rPr>
          <w:rFonts w:ascii="Times New Roman"/>
          <w:kern w:val="0"/>
          <w:sz w:val="24"/>
          <w:szCs w:val="24"/>
        </w:rPr>
        <w:t xml:space="preserve">600m </w:t>
      </w:r>
      <w:r>
        <w:rPr>
          <w:rFonts w:hint="eastAsia" w:ascii="Times New Roman" w:cs="宋体"/>
          <w:kern w:val="0"/>
          <w:sz w:val="24"/>
          <w:szCs w:val="24"/>
        </w:rPr>
        <w:t>左右。第四系地层以气候地层学为主导、岩石地层学为基础分为下更新统（</w:t>
      </w:r>
      <w:r>
        <w:rPr>
          <w:rFonts w:ascii="Times New Roman"/>
          <w:kern w:val="0"/>
          <w:sz w:val="24"/>
          <w:szCs w:val="24"/>
        </w:rPr>
        <w:t>Qp1</w:t>
      </w:r>
      <w:r>
        <w:rPr>
          <w:rFonts w:hint="eastAsia" w:ascii="Times New Roman" w:cs="宋体"/>
          <w:kern w:val="0"/>
          <w:sz w:val="24"/>
          <w:szCs w:val="24"/>
        </w:rPr>
        <w:t>）、中更新统（</w:t>
      </w:r>
      <w:r>
        <w:rPr>
          <w:rFonts w:ascii="Times New Roman"/>
          <w:kern w:val="0"/>
          <w:sz w:val="24"/>
          <w:szCs w:val="24"/>
        </w:rPr>
        <w:t>Qp2</w:t>
      </w:r>
      <w:r>
        <w:rPr>
          <w:rFonts w:hint="eastAsia" w:ascii="Times New Roman" w:cs="宋体"/>
          <w:kern w:val="0"/>
          <w:sz w:val="24"/>
          <w:szCs w:val="24"/>
        </w:rPr>
        <w:t>）、上更新统（</w:t>
      </w:r>
      <w:r>
        <w:rPr>
          <w:rFonts w:ascii="Times New Roman"/>
          <w:kern w:val="0"/>
          <w:sz w:val="24"/>
          <w:szCs w:val="24"/>
        </w:rPr>
        <w:t>Qp3</w:t>
      </w:r>
      <w:r>
        <w:rPr>
          <w:rFonts w:hint="eastAsia" w:ascii="Times New Roman" w:cs="宋体"/>
          <w:kern w:val="0"/>
          <w:sz w:val="24"/>
          <w:szCs w:val="24"/>
        </w:rPr>
        <w:t>）和全新统（</w:t>
      </w:r>
      <w:r>
        <w:rPr>
          <w:rFonts w:ascii="Times New Roman"/>
          <w:kern w:val="0"/>
          <w:sz w:val="24"/>
          <w:szCs w:val="24"/>
        </w:rPr>
        <w:t>Qh4</w:t>
      </w:r>
      <w:r>
        <w:rPr>
          <w:rFonts w:hint="eastAsia" w:ascii="Times New Roman" w:cs="宋体"/>
          <w:kern w:val="0"/>
          <w:sz w:val="24"/>
          <w:szCs w:val="24"/>
        </w:rPr>
        <w:t>）。在第四系底部普遍沉积了上新统（</w:t>
      </w:r>
      <w:r>
        <w:rPr>
          <w:rFonts w:ascii="Times New Roman"/>
          <w:kern w:val="0"/>
          <w:sz w:val="24"/>
          <w:szCs w:val="24"/>
        </w:rPr>
        <w:t>N2</w:t>
      </w:r>
      <w:r>
        <w:rPr>
          <w:rFonts w:hint="eastAsia" w:ascii="Times New Roman" w:cs="宋体"/>
          <w:kern w:val="0"/>
          <w:sz w:val="24"/>
          <w:szCs w:val="24"/>
        </w:rPr>
        <w:t>）即上第三系地层，岩性特征如下：</w:t>
      </w:r>
    </w:p>
    <w:p w14:paraId="55B1B1BB">
      <w:pPr>
        <w:widowControl/>
        <w:spacing w:line="360" w:lineRule="auto"/>
        <w:ind w:firstLine="480" w:firstLineChars="200"/>
        <w:jc w:val="left"/>
        <w:rPr>
          <w:rFonts w:ascii="Times New Roman"/>
        </w:rPr>
      </w:pPr>
      <w:r>
        <w:rPr>
          <w:rFonts w:hint="eastAsia" w:ascii="Times New Roman" w:cs="宋体"/>
          <w:kern w:val="0"/>
          <w:sz w:val="24"/>
          <w:szCs w:val="24"/>
        </w:rPr>
        <w:t>下更新统（</w:t>
      </w:r>
      <w:r>
        <w:rPr>
          <w:rFonts w:ascii="Times New Roman"/>
          <w:kern w:val="0"/>
          <w:sz w:val="24"/>
          <w:szCs w:val="24"/>
        </w:rPr>
        <w:t>Qp1</w:t>
      </w:r>
      <w:r>
        <w:rPr>
          <w:rFonts w:hint="eastAsia" w:ascii="Times New Roman" w:cs="宋体"/>
          <w:kern w:val="0"/>
          <w:sz w:val="24"/>
          <w:szCs w:val="24"/>
        </w:rPr>
        <w:t>）：区域上下更新统（</w:t>
      </w:r>
      <w:r>
        <w:rPr>
          <w:rFonts w:ascii="Times New Roman"/>
          <w:kern w:val="0"/>
          <w:sz w:val="24"/>
          <w:szCs w:val="24"/>
        </w:rPr>
        <w:t>Qp1</w:t>
      </w:r>
      <w:r>
        <w:rPr>
          <w:rFonts w:hint="eastAsia" w:ascii="Times New Roman" w:cs="宋体"/>
          <w:kern w:val="0"/>
          <w:sz w:val="24"/>
          <w:szCs w:val="24"/>
        </w:rPr>
        <w:t>）为一套冲洪积相及河湖积相沉积物，呈深棕黄、棕红、锈黄、褐灰、兰灰等色，以粘土、粉质粘土为主。致密，富含钙质结核和铁锰结核，砂层以砂砾卵石为主，次为中细砂，风化状。</w:t>
      </w:r>
    </w:p>
    <w:p w14:paraId="2CFC010E">
      <w:pPr>
        <w:widowControl/>
        <w:spacing w:line="360" w:lineRule="auto"/>
        <w:ind w:firstLine="480" w:firstLineChars="200"/>
        <w:jc w:val="left"/>
        <w:rPr>
          <w:rFonts w:ascii="Times New Roman"/>
        </w:rPr>
      </w:pPr>
      <w:r>
        <w:rPr>
          <w:rFonts w:hint="eastAsia" w:ascii="Times New Roman" w:cs="宋体"/>
          <w:kern w:val="0"/>
          <w:sz w:val="24"/>
          <w:szCs w:val="24"/>
        </w:rPr>
        <w:t>调查评价区范围内下更新统（</w:t>
      </w:r>
      <w:r>
        <w:rPr>
          <w:rFonts w:ascii="Times New Roman"/>
          <w:kern w:val="0"/>
          <w:sz w:val="24"/>
          <w:szCs w:val="24"/>
        </w:rPr>
        <w:t>Qp1</w:t>
      </w:r>
      <w:r>
        <w:rPr>
          <w:rFonts w:hint="eastAsia" w:ascii="Times New Roman" w:cs="宋体"/>
          <w:kern w:val="0"/>
          <w:sz w:val="24"/>
          <w:szCs w:val="24"/>
        </w:rPr>
        <w:t>）底板埋深</w:t>
      </w:r>
      <w:r>
        <w:rPr>
          <w:rFonts w:ascii="Times New Roman"/>
          <w:kern w:val="0"/>
          <w:sz w:val="24"/>
          <w:szCs w:val="24"/>
        </w:rPr>
        <w:t>600m</w:t>
      </w:r>
      <w:r>
        <w:rPr>
          <w:rFonts w:hint="eastAsia" w:ascii="Times New Roman" w:cs="宋体"/>
          <w:kern w:val="0"/>
          <w:sz w:val="24"/>
          <w:szCs w:val="24"/>
        </w:rPr>
        <w:t>左右，无明显岩石地层标志，厚度</w:t>
      </w:r>
      <w:r>
        <w:rPr>
          <w:rFonts w:ascii="Times New Roman"/>
          <w:kern w:val="0"/>
          <w:sz w:val="24"/>
          <w:szCs w:val="24"/>
        </w:rPr>
        <w:t>180m</w:t>
      </w:r>
      <w:r>
        <w:rPr>
          <w:rFonts w:hint="eastAsia" w:ascii="Times New Roman" w:cs="宋体"/>
          <w:kern w:val="0"/>
          <w:sz w:val="24"/>
          <w:szCs w:val="24"/>
        </w:rPr>
        <w:t>左右。调查评价区的主要沉积环境为浅海相沉积。</w:t>
      </w:r>
    </w:p>
    <w:p w14:paraId="4C2A35CB">
      <w:pPr>
        <w:widowControl/>
        <w:spacing w:line="360" w:lineRule="auto"/>
        <w:ind w:firstLine="480" w:firstLineChars="200"/>
        <w:jc w:val="left"/>
        <w:rPr>
          <w:rFonts w:ascii="Times New Roman"/>
        </w:rPr>
      </w:pPr>
      <w:r>
        <w:rPr>
          <w:rFonts w:hint="eastAsia" w:ascii="Times New Roman" w:cs="宋体"/>
          <w:kern w:val="0"/>
          <w:sz w:val="24"/>
          <w:szCs w:val="24"/>
        </w:rPr>
        <w:t>中更新统（</w:t>
      </w:r>
      <w:r>
        <w:rPr>
          <w:rFonts w:ascii="Times New Roman"/>
          <w:kern w:val="0"/>
          <w:sz w:val="24"/>
          <w:szCs w:val="24"/>
        </w:rPr>
        <w:t>Qp2</w:t>
      </w:r>
      <w:r>
        <w:rPr>
          <w:rFonts w:hint="eastAsia" w:ascii="Times New Roman" w:cs="宋体"/>
          <w:kern w:val="0"/>
          <w:sz w:val="24"/>
          <w:szCs w:val="24"/>
        </w:rPr>
        <w:t>）：区域上中更新统（</w:t>
      </w:r>
      <w:r>
        <w:rPr>
          <w:rFonts w:ascii="Times New Roman"/>
          <w:kern w:val="0"/>
          <w:sz w:val="24"/>
          <w:szCs w:val="24"/>
        </w:rPr>
        <w:t>Qp2</w:t>
      </w:r>
      <w:r>
        <w:rPr>
          <w:rFonts w:hint="eastAsia" w:ascii="Times New Roman" w:cs="宋体"/>
          <w:kern w:val="0"/>
          <w:sz w:val="24"/>
          <w:szCs w:val="24"/>
        </w:rPr>
        <w:t>）为一套冲洪积及河湖积相沉积物，呈棕黄、棕褐、棕红色。上段岩性以粉土为主，次为粉质粘土，砂层以细砂、砂砾卵石为主，含较分散钙核、铁锰质结核，珠状砂明显可见。下段粘土与粉质粘土明显增厚，分散钙含量减少，珠状砂消失。上段夹有两个海相层，下段仅有海相迹象。</w:t>
      </w:r>
    </w:p>
    <w:p w14:paraId="1C0D7EE7">
      <w:pPr>
        <w:widowControl/>
        <w:spacing w:line="360" w:lineRule="auto"/>
        <w:ind w:firstLine="480" w:firstLineChars="200"/>
        <w:jc w:val="left"/>
        <w:rPr>
          <w:rFonts w:ascii="Times New Roman"/>
        </w:rPr>
      </w:pPr>
      <w:r>
        <w:rPr>
          <w:rFonts w:hint="eastAsia" w:ascii="Times New Roman" w:cs="宋体"/>
          <w:kern w:val="0"/>
          <w:sz w:val="24"/>
          <w:szCs w:val="24"/>
        </w:rPr>
        <w:t>调查评价区范围内中更新统（</w:t>
      </w:r>
      <w:r>
        <w:rPr>
          <w:rFonts w:ascii="Times New Roman"/>
          <w:kern w:val="0"/>
          <w:sz w:val="24"/>
          <w:szCs w:val="24"/>
        </w:rPr>
        <w:t>Qp2</w:t>
      </w:r>
      <w:r>
        <w:rPr>
          <w:rFonts w:hint="eastAsia" w:ascii="Times New Roman" w:cs="宋体"/>
          <w:kern w:val="0"/>
          <w:sz w:val="24"/>
          <w:szCs w:val="24"/>
        </w:rPr>
        <w:t>）底板埋深</w:t>
      </w:r>
      <w:r>
        <w:rPr>
          <w:rFonts w:ascii="Times New Roman"/>
          <w:kern w:val="0"/>
          <w:sz w:val="24"/>
          <w:szCs w:val="24"/>
        </w:rPr>
        <w:t>420m</w:t>
      </w:r>
      <w:r>
        <w:rPr>
          <w:rFonts w:hint="eastAsia" w:ascii="Times New Roman" w:cs="宋体"/>
          <w:kern w:val="0"/>
          <w:sz w:val="24"/>
          <w:szCs w:val="24"/>
        </w:rPr>
        <w:t>左右，无明显岩石地层标志，厚度</w:t>
      </w:r>
      <w:r>
        <w:rPr>
          <w:rFonts w:ascii="Times New Roman"/>
          <w:kern w:val="0"/>
          <w:sz w:val="24"/>
          <w:szCs w:val="24"/>
        </w:rPr>
        <w:t>300m</w:t>
      </w:r>
      <w:r>
        <w:rPr>
          <w:rFonts w:hint="eastAsia" w:ascii="Times New Roman" w:cs="宋体"/>
          <w:kern w:val="0"/>
          <w:sz w:val="24"/>
          <w:szCs w:val="24"/>
        </w:rPr>
        <w:t>左右。调查评价区的主要沉积环境为浅海相沉积。</w:t>
      </w:r>
    </w:p>
    <w:p w14:paraId="31731131">
      <w:pPr>
        <w:widowControl/>
        <w:spacing w:line="360" w:lineRule="auto"/>
        <w:ind w:firstLine="480" w:firstLineChars="200"/>
        <w:jc w:val="left"/>
        <w:rPr>
          <w:rFonts w:ascii="Times New Roman"/>
        </w:rPr>
      </w:pPr>
      <w:r>
        <w:rPr>
          <w:rFonts w:hint="eastAsia" w:ascii="Times New Roman" w:cs="宋体"/>
          <w:kern w:val="0"/>
          <w:sz w:val="24"/>
          <w:szCs w:val="24"/>
        </w:rPr>
        <w:t>上更新统（</w:t>
      </w:r>
      <w:r>
        <w:rPr>
          <w:rFonts w:ascii="Times New Roman"/>
          <w:kern w:val="0"/>
          <w:sz w:val="24"/>
          <w:szCs w:val="24"/>
        </w:rPr>
        <w:t>Qp3</w:t>
      </w:r>
      <w:r>
        <w:rPr>
          <w:rFonts w:hint="eastAsia" w:ascii="Times New Roman" w:cs="宋体"/>
          <w:kern w:val="0"/>
          <w:sz w:val="24"/>
          <w:szCs w:val="24"/>
        </w:rPr>
        <w:t>）：区域上上更新统（</w:t>
      </w:r>
      <w:r>
        <w:rPr>
          <w:rFonts w:ascii="Times New Roman"/>
          <w:kern w:val="0"/>
          <w:sz w:val="24"/>
          <w:szCs w:val="24"/>
        </w:rPr>
        <w:t>Qp3</w:t>
      </w:r>
      <w:r>
        <w:rPr>
          <w:rFonts w:hint="eastAsia" w:ascii="Times New Roman" w:cs="宋体"/>
          <w:kern w:val="0"/>
          <w:sz w:val="24"/>
          <w:szCs w:val="24"/>
        </w:rPr>
        <w:t>）为一套冲洪积、冲海积混合类型沉积物，呈灰色、灰黄色、褐黄色、棕黄色，以粉土、粉质粘土为主，砂层以细砂、砂砾卵石为主，含较多的分散钙与钙质结核，少量铁锰质结核，砂层分选磨圆较好，珠状砂明显。一般上段夹有一个海相层，下段夹有两个海相层及钙质淋溶沉积层。</w:t>
      </w:r>
    </w:p>
    <w:p w14:paraId="65C718BD">
      <w:pPr>
        <w:widowControl/>
        <w:spacing w:line="360" w:lineRule="auto"/>
        <w:ind w:firstLine="480" w:firstLineChars="200"/>
        <w:jc w:val="left"/>
        <w:rPr>
          <w:rFonts w:ascii="Times New Roman"/>
        </w:rPr>
      </w:pPr>
      <w:r>
        <w:rPr>
          <w:rFonts w:hint="eastAsia" w:ascii="Times New Roman" w:cs="宋体"/>
          <w:kern w:val="0"/>
          <w:sz w:val="24"/>
          <w:szCs w:val="24"/>
        </w:rPr>
        <w:t>调查评价区范围内上更新统（</w:t>
      </w:r>
      <w:r>
        <w:rPr>
          <w:rFonts w:ascii="Times New Roman"/>
          <w:kern w:val="0"/>
          <w:sz w:val="24"/>
          <w:szCs w:val="24"/>
        </w:rPr>
        <w:t>Qp3</w:t>
      </w:r>
      <w:r>
        <w:rPr>
          <w:rFonts w:hint="eastAsia" w:ascii="Times New Roman" w:cs="宋体"/>
          <w:kern w:val="0"/>
          <w:sz w:val="24"/>
          <w:szCs w:val="24"/>
        </w:rPr>
        <w:t>）底板埋深</w:t>
      </w:r>
      <w:r>
        <w:rPr>
          <w:rFonts w:ascii="Times New Roman"/>
          <w:kern w:val="0"/>
          <w:sz w:val="24"/>
          <w:szCs w:val="24"/>
        </w:rPr>
        <w:t>120m</w:t>
      </w:r>
      <w:r>
        <w:rPr>
          <w:rFonts w:hint="eastAsia" w:ascii="Times New Roman" w:cs="宋体"/>
          <w:kern w:val="0"/>
          <w:sz w:val="24"/>
          <w:szCs w:val="24"/>
        </w:rPr>
        <w:t>左右，无明显岩石地层标志，厚度</w:t>
      </w:r>
      <w:r>
        <w:rPr>
          <w:rFonts w:ascii="Times New Roman"/>
          <w:kern w:val="0"/>
          <w:sz w:val="24"/>
          <w:szCs w:val="24"/>
        </w:rPr>
        <w:t>80m</w:t>
      </w:r>
      <w:r>
        <w:rPr>
          <w:rFonts w:hint="eastAsia" w:ascii="Times New Roman" w:cs="宋体"/>
          <w:kern w:val="0"/>
          <w:sz w:val="24"/>
          <w:szCs w:val="24"/>
        </w:rPr>
        <w:t>左右。调查评价区的主要沉积环境为浅海相沉积。</w:t>
      </w:r>
    </w:p>
    <w:p w14:paraId="4C5EF72B">
      <w:pPr>
        <w:widowControl/>
        <w:spacing w:line="360" w:lineRule="auto"/>
        <w:ind w:firstLine="480" w:firstLineChars="200"/>
        <w:jc w:val="left"/>
        <w:rPr>
          <w:rFonts w:ascii="Times New Roman"/>
        </w:rPr>
      </w:pPr>
      <w:r>
        <w:rPr>
          <w:rFonts w:hint="eastAsia" w:ascii="Times New Roman" w:cs="宋体"/>
          <w:kern w:val="0"/>
          <w:sz w:val="24"/>
          <w:szCs w:val="24"/>
        </w:rPr>
        <w:t>全新统（</w:t>
      </w:r>
      <w:r>
        <w:rPr>
          <w:rFonts w:ascii="Times New Roman"/>
          <w:kern w:val="0"/>
          <w:sz w:val="24"/>
          <w:szCs w:val="24"/>
        </w:rPr>
        <w:t>Qh4</w:t>
      </w:r>
      <w:r>
        <w:rPr>
          <w:rFonts w:hint="eastAsia" w:ascii="Times New Roman" w:cs="宋体"/>
          <w:kern w:val="0"/>
          <w:sz w:val="24"/>
          <w:szCs w:val="24"/>
        </w:rPr>
        <w:t>）：区域上全新统（</w:t>
      </w:r>
      <w:r>
        <w:rPr>
          <w:rFonts w:ascii="Times New Roman"/>
          <w:kern w:val="0"/>
          <w:sz w:val="24"/>
          <w:szCs w:val="24"/>
        </w:rPr>
        <w:t>Qh4</w:t>
      </w:r>
      <w:r>
        <w:rPr>
          <w:rFonts w:hint="eastAsia" w:ascii="Times New Roman" w:cs="宋体"/>
          <w:kern w:val="0"/>
          <w:sz w:val="24"/>
          <w:szCs w:val="24"/>
        </w:rPr>
        <w:t>）为一套灰色、黄灰色冲积、海积、湖沼相沉积物，以粉土、粉质粘土、粉细砂为主，夹有淤泥层或海相层，含少 量分散钙与钙核，质地疏松。</w:t>
      </w:r>
    </w:p>
    <w:p w14:paraId="6CFAFEBF">
      <w:pPr>
        <w:widowControl/>
        <w:spacing w:line="360" w:lineRule="auto"/>
        <w:ind w:firstLine="480" w:firstLineChars="200"/>
        <w:jc w:val="left"/>
      </w:pPr>
      <w:r>
        <w:rPr>
          <w:rFonts w:hint="eastAsia" w:ascii="Times New Roman" w:cs="宋体"/>
          <w:kern w:val="0"/>
          <w:sz w:val="24"/>
          <w:szCs w:val="24"/>
        </w:rPr>
        <w:t>调查评价区范围内全新统（</w:t>
      </w:r>
      <w:r>
        <w:rPr>
          <w:rFonts w:ascii="Times New Roman"/>
          <w:kern w:val="0"/>
          <w:sz w:val="24"/>
          <w:szCs w:val="24"/>
        </w:rPr>
        <w:t>Qh4</w:t>
      </w:r>
      <w:r>
        <w:rPr>
          <w:rFonts w:hint="eastAsia" w:ascii="Times New Roman" w:cs="宋体"/>
          <w:kern w:val="0"/>
          <w:sz w:val="24"/>
          <w:szCs w:val="24"/>
        </w:rPr>
        <w:t>）底板埋深</w:t>
      </w:r>
      <w:r>
        <w:rPr>
          <w:rFonts w:ascii="Times New Roman"/>
          <w:kern w:val="0"/>
          <w:sz w:val="24"/>
          <w:szCs w:val="24"/>
        </w:rPr>
        <w:t>40m</w:t>
      </w:r>
      <w:r>
        <w:rPr>
          <w:rFonts w:hint="eastAsia" w:ascii="Times New Roman" w:cs="宋体"/>
          <w:kern w:val="0"/>
          <w:sz w:val="24"/>
          <w:szCs w:val="24"/>
        </w:rPr>
        <w:t>左右，无明显岩石地层标志，厚度</w:t>
      </w:r>
      <w:r>
        <w:rPr>
          <w:rFonts w:ascii="Times New Roman"/>
          <w:kern w:val="0"/>
          <w:sz w:val="24"/>
          <w:szCs w:val="24"/>
        </w:rPr>
        <w:t>40m</w:t>
      </w:r>
      <w:r>
        <w:rPr>
          <w:rFonts w:hint="eastAsia" w:ascii="Times New Roman" w:cs="宋体"/>
          <w:kern w:val="0"/>
          <w:sz w:val="24"/>
          <w:szCs w:val="24"/>
        </w:rPr>
        <w:t>左右。调查评价区的主要沉积环境为浅海相沉积。</w:t>
      </w:r>
    </w:p>
    <w:p w14:paraId="4A860192">
      <w:pPr>
        <w:spacing w:line="360" w:lineRule="auto"/>
        <w:outlineLvl w:val="2"/>
        <w:rPr>
          <w:rFonts w:ascii="Times New Roman"/>
          <w:b/>
          <w:sz w:val="28"/>
          <w:szCs w:val="28"/>
        </w:rPr>
      </w:pPr>
      <w:r>
        <w:rPr>
          <w:rFonts w:ascii="Times New Roman"/>
          <w:b/>
          <w:sz w:val="28"/>
          <w:szCs w:val="28"/>
        </w:rPr>
        <w:t>4.1.4</w:t>
      </w:r>
      <w:r>
        <w:rPr>
          <w:rFonts w:hint="eastAsia" w:ascii="Times New Roman"/>
          <w:b/>
          <w:sz w:val="28"/>
          <w:szCs w:val="28"/>
        </w:rPr>
        <w:t>水文地质</w:t>
      </w:r>
    </w:p>
    <w:p w14:paraId="2D48DEC8">
      <w:pPr>
        <w:spacing w:line="360" w:lineRule="auto"/>
        <w:ind w:firstLine="480" w:firstLineChars="200"/>
        <w:rPr>
          <w:rFonts w:ascii="Times New Roman"/>
          <w:sz w:val="24"/>
          <w:szCs w:val="24"/>
        </w:rPr>
      </w:pPr>
      <w:r>
        <w:rPr>
          <w:rFonts w:ascii="Times New Roman"/>
          <w:sz w:val="24"/>
          <w:szCs w:val="24"/>
        </w:rPr>
        <w:t>从区域上来看，曹妃甸区域位于滦河地下水系统，东部边界至渤海岸边，西部沿陡河断裂方向以粘性土弱透水边界与潮白河-蓟运河地下水系统区相接。区域上分为2个子区，山前倾斜平原水文地质区与滨海平原水文地质区。</w:t>
      </w:r>
    </w:p>
    <w:p w14:paraId="46231F3A">
      <w:pPr>
        <w:spacing w:line="360" w:lineRule="auto"/>
        <w:ind w:firstLine="480" w:firstLineChars="200"/>
        <w:rPr>
          <w:rFonts w:ascii="Times New Roman"/>
          <w:sz w:val="24"/>
          <w:szCs w:val="24"/>
        </w:rPr>
      </w:pPr>
      <w:r>
        <w:rPr>
          <w:rFonts w:ascii="Times New Roman"/>
          <w:sz w:val="24"/>
          <w:szCs w:val="24"/>
        </w:rPr>
        <w:t>1、冲洪积倾斜平原水文地质区</w:t>
      </w:r>
      <w:r>
        <w:rPr>
          <w:rFonts w:hint="eastAsia" w:ascii="Times New Roman"/>
          <w:sz w:val="24"/>
          <w:szCs w:val="24"/>
        </w:rPr>
        <w:t>（</w:t>
      </w:r>
      <w:r>
        <w:rPr>
          <w:rFonts w:ascii="Times New Roman"/>
          <w:sz w:val="24"/>
          <w:szCs w:val="24"/>
        </w:rPr>
        <w:t>Ⅰ</w:t>
      </w:r>
      <w:r>
        <w:rPr>
          <w:rFonts w:hint="eastAsia" w:ascii="Times New Roman"/>
          <w:sz w:val="24"/>
          <w:szCs w:val="24"/>
        </w:rPr>
        <w:t>）</w:t>
      </w:r>
    </w:p>
    <w:p w14:paraId="20235C61">
      <w:pPr>
        <w:spacing w:line="360" w:lineRule="auto"/>
        <w:ind w:firstLine="480" w:firstLineChars="200"/>
        <w:rPr>
          <w:rFonts w:ascii="Times New Roman"/>
          <w:sz w:val="24"/>
          <w:szCs w:val="24"/>
        </w:rPr>
      </w:pPr>
      <w:r>
        <w:rPr>
          <w:rFonts w:ascii="Times New Roman"/>
          <w:sz w:val="24"/>
          <w:szCs w:val="24"/>
        </w:rPr>
        <w:t>区域上的冲洪积倾斜平原水文地质区</w:t>
      </w:r>
      <w:r>
        <w:rPr>
          <w:rFonts w:hint="eastAsia" w:ascii="Times New Roman"/>
          <w:sz w:val="24"/>
          <w:szCs w:val="24"/>
        </w:rPr>
        <w:t>（</w:t>
      </w:r>
      <w:r>
        <w:rPr>
          <w:rFonts w:ascii="Times New Roman"/>
          <w:sz w:val="24"/>
          <w:szCs w:val="24"/>
        </w:rPr>
        <w:t>Ⅰ</w:t>
      </w:r>
      <w:r>
        <w:rPr>
          <w:rFonts w:hint="eastAsia" w:ascii="Times New Roman"/>
          <w:sz w:val="24"/>
          <w:szCs w:val="24"/>
        </w:rPr>
        <w:t>）</w:t>
      </w:r>
      <w:r>
        <w:rPr>
          <w:rFonts w:ascii="Times New Roman"/>
          <w:sz w:val="24"/>
          <w:szCs w:val="24"/>
        </w:rPr>
        <w:t>处于燕山山前平原。包气带岩性以砂性土为主，含水层岩性以砂、砾石、卵石为主，地下水位埋深0.5m～18.8m，浅层水富水性从东北向南、西南方向递减，在东北部地区富水性一般大于50m</w:t>
      </w:r>
      <w:r>
        <w:rPr>
          <w:rFonts w:ascii="Times New Roman"/>
          <w:sz w:val="24"/>
          <w:szCs w:val="24"/>
          <w:vertAlign w:val="superscript"/>
        </w:rPr>
        <w:t>3</w:t>
      </w:r>
      <w:r>
        <w:rPr>
          <w:rFonts w:ascii="Times New Roman"/>
          <w:sz w:val="24"/>
          <w:szCs w:val="24"/>
        </w:rPr>
        <w:t>/h·m，在胡各庄、东黄坨一带富水性降为20m</w:t>
      </w:r>
      <w:r>
        <w:rPr>
          <w:rFonts w:ascii="Times New Roman"/>
          <w:sz w:val="24"/>
          <w:szCs w:val="24"/>
          <w:vertAlign w:val="superscript"/>
        </w:rPr>
        <w:t>3</w:t>
      </w:r>
      <w:r>
        <w:rPr>
          <w:rFonts w:ascii="Times New Roman"/>
          <w:sz w:val="24"/>
          <w:szCs w:val="24"/>
        </w:rPr>
        <w:t>/h·m～30m</w:t>
      </w:r>
      <w:r>
        <w:rPr>
          <w:rFonts w:ascii="Times New Roman"/>
          <w:sz w:val="24"/>
          <w:szCs w:val="24"/>
          <w:vertAlign w:val="superscript"/>
        </w:rPr>
        <w:t>3</w:t>
      </w:r>
      <w:r>
        <w:rPr>
          <w:rFonts w:ascii="Times New Roman"/>
          <w:sz w:val="24"/>
          <w:szCs w:val="24"/>
        </w:rPr>
        <w:t>/h·m；深层水富水性空间分布规律与浅层水较为相似，西南部的扒齿港、长凝一带富水性一般大于40m</w:t>
      </w:r>
      <w:r>
        <w:rPr>
          <w:rFonts w:ascii="Times New Roman"/>
          <w:sz w:val="24"/>
          <w:szCs w:val="24"/>
          <w:vertAlign w:val="superscript"/>
        </w:rPr>
        <w:t>3</w:t>
      </w:r>
      <w:r>
        <w:rPr>
          <w:rFonts w:ascii="Times New Roman"/>
          <w:sz w:val="24"/>
          <w:szCs w:val="24"/>
        </w:rPr>
        <w:t>/h·m，而在工作区西北部的大齐各庄以及东部的阎各庄-汤家河一带富水性10m</w:t>
      </w:r>
      <w:r>
        <w:rPr>
          <w:rFonts w:ascii="Times New Roman"/>
          <w:sz w:val="24"/>
          <w:szCs w:val="24"/>
          <w:vertAlign w:val="superscript"/>
        </w:rPr>
        <w:t>3</w:t>
      </w:r>
      <w:r>
        <w:rPr>
          <w:rFonts w:ascii="Times New Roman"/>
          <w:sz w:val="24"/>
          <w:szCs w:val="24"/>
        </w:rPr>
        <w:t>/h·m～20m</w:t>
      </w:r>
      <w:r>
        <w:rPr>
          <w:rFonts w:ascii="Times New Roman"/>
          <w:sz w:val="24"/>
          <w:szCs w:val="24"/>
          <w:vertAlign w:val="superscript"/>
        </w:rPr>
        <w:t>3</w:t>
      </w:r>
      <w:r>
        <w:rPr>
          <w:rFonts w:ascii="Times New Roman"/>
          <w:sz w:val="24"/>
          <w:szCs w:val="24"/>
        </w:rPr>
        <w:t>/h·m。</w:t>
      </w:r>
    </w:p>
    <w:p w14:paraId="1D4B6B86">
      <w:pPr>
        <w:spacing w:line="360" w:lineRule="auto"/>
        <w:ind w:firstLine="480" w:firstLineChars="200"/>
        <w:rPr>
          <w:rFonts w:ascii="Times New Roman"/>
          <w:sz w:val="24"/>
          <w:szCs w:val="24"/>
        </w:rPr>
      </w:pPr>
      <w:r>
        <w:rPr>
          <w:rFonts w:ascii="Times New Roman"/>
          <w:sz w:val="24"/>
          <w:szCs w:val="24"/>
        </w:rPr>
        <w:t>2、滨海平原水文地质区</w:t>
      </w:r>
      <w:r>
        <w:rPr>
          <w:rFonts w:hint="eastAsia" w:ascii="Times New Roman"/>
          <w:sz w:val="24"/>
          <w:szCs w:val="24"/>
        </w:rPr>
        <w:t>（</w:t>
      </w:r>
      <w:r>
        <w:rPr>
          <w:rFonts w:ascii="Times New Roman"/>
          <w:sz w:val="24"/>
          <w:szCs w:val="24"/>
        </w:rPr>
        <w:t>Ⅱ</w:t>
      </w:r>
      <w:r>
        <w:rPr>
          <w:rFonts w:hint="eastAsia" w:ascii="Times New Roman"/>
          <w:sz w:val="24"/>
          <w:szCs w:val="24"/>
        </w:rPr>
        <w:t>）</w:t>
      </w:r>
    </w:p>
    <w:p w14:paraId="2239BCFE">
      <w:pPr>
        <w:spacing w:line="360" w:lineRule="auto"/>
        <w:ind w:firstLine="480" w:firstLineChars="200"/>
        <w:rPr>
          <w:rFonts w:ascii="Times New Roman"/>
          <w:sz w:val="24"/>
          <w:szCs w:val="24"/>
        </w:rPr>
      </w:pPr>
      <w:r>
        <w:rPr>
          <w:rFonts w:ascii="Times New Roman"/>
          <w:sz w:val="24"/>
          <w:szCs w:val="24"/>
        </w:rPr>
        <w:t>区域上的滨海平原水文地质区</w:t>
      </w:r>
      <w:r>
        <w:rPr>
          <w:rFonts w:hint="eastAsia" w:ascii="Times New Roman"/>
          <w:sz w:val="24"/>
          <w:szCs w:val="24"/>
        </w:rPr>
        <w:t>（</w:t>
      </w:r>
      <w:r>
        <w:rPr>
          <w:rFonts w:ascii="Times New Roman"/>
          <w:sz w:val="24"/>
          <w:szCs w:val="24"/>
        </w:rPr>
        <w:t>Ⅱ</w:t>
      </w:r>
      <w:r>
        <w:rPr>
          <w:rFonts w:hint="eastAsia" w:ascii="Times New Roman"/>
          <w:sz w:val="24"/>
          <w:szCs w:val="24"/>
        </w:rPr>
        <w:t>）</w:t>
      </w:r>
      <w:r>
        <w:rPr>
          <w:rFonts w:ascii="Times New Roman"/>
          <w:sz w:val="24"/>
          <w:szCs w:val="24"/>
        </w:rPr>
        <w:t>处于渤海北岸滨海平原。包气带岩性以砂性土为主，含水层以多层结构为主，岩性一般以粉细砂为主，局部含有中砂，大部分地区为有咸水分布区，在有咸水区局部存在浅层淡水，浅层淡水厚10m～60m，其下为咸水体，地下水位埋深0.5m～4m。浅层水富水性均小于20m</w:t>
      </w:r>
      <w:r>
        <w:rPr>
          <w:rFonts w:ascii="Times New Roman"/>
          <w:sz w:val="24"/>
          <w:szCs w:val="24"/>
          <w:vertAlign w:val="superscript"/>
        </w:rPr>
        <w:t>3</w:t>
      </w:r>
      <w:r>
        <w:rPr>
          <w:rFonts w:ascii="Times New Roman"/>
          <w:sz w:val="24"/>
          <w:szCs w:val="24"/>
        </w:rPr>
        <w:t>/h·m，南堡地区、京唐港区富水性仅5m</w:t>
      </w:r>
      <w:r>
        <w:rPr>
          <w:rFonts w:ascii="Times New Roman"/>
          <w:sz w:val="24"/>
          <w:szCs w:val="24"/>
          <w:vertAlign w:val="superscript"/>
        </w:rPr>
        <w:t>3</w:t>
      </w:r>
      <w:r>
        <w:rPr>
          <w:rFonts w:ascii="Times New Roman"/>
          <w:sz w:val="24"/>
          <w:szCs w:val="24"/>
        </w:rPr>
        <w:t>/h·m～10m</w:t>
      </w:r>
      <w:r>
        <w:rPr>
          <w:rFonts w:ascii="Times New Roman"/>
          <w:sz w:val="24"/>
          <w:szCs w:val="24"/>
          <w:vertAlign w:val="superscript"/>
        </w:rPr>
        <w:t>3</w:t>
      </w:r>
      <w:r>
        <w:rPr>
          <w:rFonts w:ascii="Times New Roman"/>
          <w:sz w:val="24"/>
          <w:szCs w:val="24"/>
        </w:rPr>
        <w:t>/h·m，在乐亭莲花池、王滩西南一带富水性小于5m</w:t>
      </w:r>
      <w:r>
        <w:rPr>
          <w:rFonts w:ascii="Times New Roman"/>
          <w:sz w:val="24"/>
          <w:szCs w:val="24"/>
          <w:vertAlign w:val="superscript"/>
        </w:rPr>
        <w:t>3</w:t>
      </w:r>
      <w:r>
        <w:rPr>
          <w:rFonts w:ascii="Times New Roman"/>
          <w:sz w:val="24"/>
          <w:szCs w:val="24"/>
        </w:rPr>
        <w:t>/h·m；深层水富水性以1m</w:t>
      </w:r>
      <w:r>
        <w:rPr>
          <w:rFonts w:ascii="Times New Roman"/>
          <w:sz w:val="24"/>
          <w:szCs w:val="24"/>
          <w:vertAlign w:val="superscript"/>
        </w:rPr>
        <w:t>3</w:t>
      </w:r>
      <w:r>
        <w:rPr>
          <w:rFonts w:ascii="Times New Roman"/>
          <w:sz w:val="24"/>
          <w:szCs w:val="24"/>
        </w:rPr>
        <w:t>/h·m～20m</w:t>
      </w:r>
      <w:r>
        <w:rPr>
          <w:rFonts w:ascii="Times New Roman"/>
          <w:sz w:val="24"/>
          <w:szCs w:val="24"/>
          <w:vertAlign w:val="superscript"/>
        </w:rPr>
        <w:t>3</w:t>
      </w:r>
      <w:r>
        <w:rPr>
          <w:rFonts w:ascii="Times New Roman"/>
          <w:sz w:val="24"/>
          <w:szCs w:val="24"/>
        </w:rPr>
        <w:t>/h·m为主，在唐海县十一农场、十农场一带富水性较大，一般30m</w:t>
      </w:r>
      <w:r>
        <w:rPr>
          <w:rFonts w:ascii="Times New Roman"/>
          <w:sz w:val="24"/>
          <w:szCs w:val="24"/>
          <w:vertAlign w:val="superscript"/>
        </w:rPr>
        <w:t>3</w:t>
      </w:r>
      <w:r>
        <w:rPr>
          <w:rFonts w:ascii="Times New Roman"/>
          <w:sz w:val="24"/>
          <w:szCs w:val="24"/>
        </w:rPr>
        <w:t>/h·m～40m</w:t>
      </w:r>
      <w:r>
        <w:rPr>
          <w:rFonts w:ascii="Times New Roman"/>
          <w:sz w:val="24"/>
          <w:szCs w:val="24"/>
          <w:vertAlign w:val="superscript"/>
        </w:rPr>
        <w:t>3</w:t>
      </w:r>
      <w:r>
        <w:rPr>
          <w:rFonts w:ascii="Times New Roman"/>
          <w:sz w:val="24"/>
          <w:szCs w:val="24"/>
        </w:rPr>
        <w:t>/h·m。</w:t>
      </w:r>
    </w:p>
    <w:p w14:paraId="5DD6F9A6">
      <w:pPr>
        <w:spacing w:line="360" w:lineRule="auto"/>
        <w:ind w:firstLine="480" w:firstLineChars="200"/>
        <w:rPr>
          <w:rFonts w:ascii="Times New Roman"/>
          <w:kern w:val="0"/>
          <w:sz w:val="24"/>
          <w:szCs w:val="24"/>
        </w:rPr>
      </w:pPr>
      <w:r>
        <w:rPr>
          <w:rFonts w:ascii="Times New Roman"/>
          <w:kern w:val="0"/>
          <w:sz w:val="24"/>
          <w:szCs w:val="24"/>
        </w:rPr>
        <w:t>3、唐山地下水资源开发利用现状</w:t>
      </w:r>
    </w:p>
    <w:p w14:paraId="65AF6543">
      <w:pPr>
        <w:spacing w:line="360" w:lineRule="auto"/>
        <w:ind w:firstLine="480" w:firstLineChars="200"/>
        <w:rPr>
          <w:rFonts w:ascii="Times New Roman"/>
          <w:kern w:val="0"/>
          <w:sz w:val="24"/>
          <w:szCs w:val="24"/>
        </w:rPr>
      </w:pPr>
      <w:r>
        <w:rPr>
          <w:rFonts w:ascii="Times New Roman"/>
          <w:kern w:val="0"/>
          <w:sz w:val="24"/>
          <w:szCs w:val="24"/>
        </w:rPr>
        <w:t>唐山市位于河北省东北部，全市水资源总量26.2亿m</w:t>
      </w:r>
      <w:r>
        <w:rPr>
          <w:rFonts w:ascii="Times New Roman"/>
          <w:kern w:val="0"/>
          <w:sz w:val="24"/>
          <w:szCs w:val="24"/>
          <w:vertAlign w:val="superscript"/>
        </w:rPr>
        <w:t>3</w:t>
      </w:r>
      <w:r>
        <w:rPr>
          <w:rFonts w:ascii="Times New Roman"/>
          <w:kern w:val="0"/>
          <w:sz w:val="24"/>
          <w:szCs w:val="24"/>
        </w:rPr>
        <w:t>。唐山市地表水源主要为滦河、陡河和还乡河。水资源主要特性是时空分配不均，年内分配集中，年际丰枯变化悬殊，且常常出现连丰连枯的现象。正常年份水资源可利用量33.17亿m</w:t>
      </w:r>
      <w:r>
        <w:rPr>
          <w:rFonts w:ascii="Times New Roman"/>
          <w:kern w:val="0"/>
          <w:sz w:val="24"/>
          <w:szCs w:val="24"/>
          <w:vertAlign w:val="superscript"/>
        </w:rPr>
        <w:t>3</w:t>
      </w:r>
      <w:r>
        <w:rPr>
          <w:rFonts w:ascii="Times New Roman"/>
          <w:kern w:val="0"/>
          <w:sz w:val="24"/>
          <w:szCs w:val="24"/>
        </w:rPr>
        <w:t>，其中地表水可利用总量15.9亿m</w:t>
      </w:r>
      <w:r>
        <w:rPr>
          <w:rFonts w:ascii="Times New Roman"/>
          <w:kern w:val="0"/>
          <w:sz w:val="24"/>
          <w:szCs w:val="24"/>
          <w:vertAlign w:val="superscript"/>
        </w:rPr>
        <w:t>3</w:t>
      </w:r>
      <w:r>
        <w:rPr>
          <w:rFonts w:ascii="Times New Roman"/>
          <w:kern w:val="0"/>
          <w:sz w:val="24"/>
          <w:szCs w:val="24"/>
        </w:rPr>
        <w:t>，地下水可利用总量17.27亿m</w:t>
      </w:r>
      <w:r>
        <w:rPr>
          <w:rFonts w:ascii="Times New Roman"/>
          <w:kern w:val="0"/>
          <w:sz w:val="24"/>
          <w:szCs w:val="24"/>
          <w:vertAlign w:val="superscript"/>
        </w:rPr>
        <w:t>3</w:t>
      </w:r>
      <w:r>
        <w:rPr>
          <w:rFonts w:ascii="Times New Roman"/>
          <w:kern w:val="0"/>
          <w:sz w:val="24"/>
          <w:szCs w:val="24"/>
        </w:rPr>
        <w:t>。</w:t>
      </w:r>
    </w:p>
    <w:p w14:paraId="3FCD2ACD">
      <w:pPr>
        <w:spacing w:line="360" w:lineRule="auto"/>
        <w:ind w:firstLine="480" w:firstLineChars="200"/>
        <w:rPr>
          <w:rFonts w:ascii="Times New Roman" w:cs="宋体"/>
          <w:kern w:val="0"/>
          <w:sz w:val="24"/>
          <w:szCs w:val="24"/>
        </w:rPr>
      </w:pPr>
      <w:r>
        <w:rPr>
          <w:rFonts w:ascii="Times New Roman"/>
          <w:kern w:val="0"/>
          <w:sz w:val="24"/>
          <w:szCs w:val="24"/>
        </w:rPr>
        <w:t>曹妃甸港工业园区地处唐山南部沿海贫水区，浅层地下水含Na、Mg、Ca等化学成分，不能直接用于生产和生活用水，深层地下水基于地面下沉，海水入侵，本区北部地下水降落漏斗范围扩大等因素考虑不能大量开采，周围地区</w:t>
      </w:r>
      <w:r>
        <w:rPr>
          <w:rFonts w:hint="eastAsia" w:ascii="Times New Roman" w:cs="宋体"/>
          <w:kern w:val="0"/>
          <w:sz w:val="24"/>
          <w:szCs w:val="24"/>
        </w:rPr>
        <w:t>由于工业、农业生产需求和降水入渗补给量的严重不足。同时，漏斗的形成加剧了地下水的污染，严重影响了地下水的水质。因此，在曹妃甸及其附近地区没有可开采地下水源。</w:t>
      </w:r>
    </w:p>
    <w:p w14:paraId="01E5BE99">
      <w:pPr>
        <w:pStyle w:val="20"/>
        <w:tabs>
          <w:tab w:val="left" w:pos="0"/>
        </w:tabs>
        <w:adjustRightInd w:val="0"/>
        <w:spacing w:line="360" w:lineRule="auto"/>
        <w:ind w:firstLine="0"/>
        <w:jc w:val="center"/>
      </w:pPr>
      <w:r>
        <w:drawing>
          <wp:inline distT="0" distB="0" distL="114300" distR="114300">
            <wp:extent cx="5038090" cy="4304030"/>
            <wp:effectExtent l="9525" t="9525" r="19685" b="10795"/>
            <wp:docPr id="3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9"/>
                    <pic:cNvPicPr>
                      <a:picLocks noChangeAspect="1"/>
                    </pic:cNvPicPr>
                  </pic:nvPicPr>
                  <pic:blipFill>
                    <a:blip r:embed="rId44" cstate="print"/>
                    <a:stretch>
                      <a:fillRect/>
                    </a:stretch>
                  </pic:blipFill>
                  <pic:spPr>
                    <a:xfrm>
                      <a:off x="0" y="0"/>
                      <a:ext cx="5050219" cy="4314659"/>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8009DF7">
      <w:pPr>
        <w:pStyle w:val="405"/>
        <w:ind w:firstLine="0"/>
        <w:jc w:val="center"/>
        <w:rPr>
          <w:rFonts w:ascii="Times New Roman"/>
          <w:b/>
          <w:bCs/>
        </w:rPr>
      </w:pPr>
      <w:r>
        <w:rPr>
          <w:rFonts w:hint="eastAsia" w:ascii="Times New Roman"/>
          <w:b/>
          <w:bCs/>
        </w:rPr>
        <w:t>图</w:t>
      </w:r>
      <w:r>
        <w:rPr>
          <w:rFonts w:ascii="Times New Roman"/>
          <w:b/>
          <w:bCs/>
        </w:rPr>
        <w:t>4.1</w:t>
      </w:r>
      <w:r>
        <w:rPr>
          <w:rFonts w:ascii="Times New Roman"/>
          <w:b/>
          <w:bCs/>
        </w:rPr>
        <w:noBreakHyphen/>
      </w:r>
      <w:r>
        <w:rPr>
          <w:rFonts w:ascii="Times New Roman"/>
          <w:b/>
          <w:bCs/>
        </w:rPr>
        <w:t>1</w:t>
      </w:r>
      <w:r>
        <w:rPr>
          <w:rFonts w:hint="eastAsia" w:ascii="Times New Roman"/>
          <w:b/>
          <w:bCs/>
        </w:rPr>
        <w:t xml:space="preserve"> </w:t>
      </w:r>
      <w:r>
        <w:rPr>
          <w:rFonts w:ascii="Times New Roman"/>
          <w:b/>
          <w:bCs/>
        </w:rPr>
        <w:t xml:space="preserve"> 唐山~曹妃甸地下水开发现状图（1:2800000）</w:t>
      </w:r>
    </w:p>
    <w:p w14:paraId="4DE0D274">
      <w:pPr>
        <w:spacing w:line="360" w:lineRule="auto"/>
        <w:outlineLvl w:val="2"/>
        <w:rPr>
          <w:rFonts w:ascii="Times New Roman"/>
          <w:b/>
          <w:sz w:val="28"/>
          <w:szCs w:val="28"/>
        </w:rPr>
      </w:pPr>
      <w:r>
        <w:rPr>
          <w:rFonts w:ascii="Times New Roman"/>
          <w:b/>
          <w:sz w:val="28"/>
          <w:szCs w:val="28"/>
        </w:rPr>
        <w:t>4.1.5</w:t>
      </w:r>
      <w:r>
        <w:rPr>
          <w:rFonts w:hint="eastAsia" w:ascii="Times New Roman"/>
          <w:b/>
          <w:sz w:val="28"/>
          <w:szCs w:val="28"/>
        </w:rPr>
        <w:t>海域水文特征</w:t>
      </w:r>
    </w:p>
    <w:p w14:paraId="3FD77D6C">
      <w:pPr>
        <w:spacing w:line="360" w:lineRule="auto"/>
        <w:ind w:firstLine="480" w:firstLineChars="200"/>
        <w:jc w:val="left"/>
        <w:rPr>
          <w:rFonts w:ascii="Times New Roman"/>
          <w:sz w:val="24"/>
          <w:szCs w:val="24"/>
        </w:rPr>
      </w:pPr>
      <w:r>
        <w:rPr>
          <w:rFonts w:ascii="Times New Roman"/>
          <w:sz w:val="24"/>
          <w:szCs w:val="24"/>
        </w:rPr>
        <w:t>（1）潮位</w:t>
      </w:r>
    </w:p>
    <w:p w14:paraId="33FCED6A">
      <w:pPr>
        <w:pStyle w:val="21"/>
        <w:spacing w:line="360" w:lineRule="auto"/>
        <w:jc w:val="center"/>
        <w:rPr>
          <w:rFonts w:ascii="Times New Roman" w:hAnsi="Times New Roman" w:eastAsia="宋体"/>
          <w:b/>
          <w:bCs/>
          <w:sz w:val="24"/>
          <w:szCs w:val="24"/>
        </w:rPr>
      </w:pPr>
      <w:r>
        <w:rPr>
          <w:rFonts w:hint="eastAsia" w:ascii="Times New Roman" w:hAnsi="Times New Roman" w:eastAsia="宋体"/>
          <w:b/>
          <w:bCs/>
          <w:sz w:val="24"/>
          <w:szCs w:val="24"/>
        </w:rPr>
        <w:t xml:space="preserve">表 </w:t>
      </w:r>
      <w:r>
        <w:rPr>
          <w:rFonts w:ascii="Times New Roman" w:hAnsi="Times New Roman" w:eastAsia="宋体"/>
          <w:b/>
          <w:bCs/>
          <w:sz w:val="24"/>
          <w:szCs w:val="24"/>
        </w:rPr>
        <w:t>4.1</w:t>
      </w:r>
      <w:r>
        <w:rPr>
          <w:rFonts w:ascii="Times New Roman" w:hAnsi="Times New Roman" w:eastAsia="宋体"/>
          <w:b/>
          <w:bCs/>
          <w:sz w:val="24"/>
          <w:szCs w:val="24"/>
        </w:rPr>
        <w:noBreakHyphen/>
      </w:r>
      <w:r>
        <w:rPr>
          <w:rFonts w:ascii="Times New Roman" w:hAnsi="Times New Roman" w:eastAsia="宋体"/>
          <w:b/>
          <w:bCs/>
          <w:sz w:val="24"/>
          <w:szCs w:val="24"/>
        </w:rPr>
        <w:t>1  区域潮位特征</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2088"/>
        <w:gridCol w:w="2079"/>
        <w:gridCol w:w="2090"/>
      </w:tblGrid>
      <w:tr w14:paraId="6DE7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vAlign w:val="center"/>
          </w:tcPr>
          <w:p w14:paraId="70812065">
            <w:pPr>
              <w:jc w:val="center"/>
              <w:rPr>
                <w:rFonts w:ascii="Times New Roman"/>
                <w:b/>
                <w:sz w:val="21"/>
                <w:szCs w:val="21"/>
              </w:rPr>
            </w:pPr>
            <w:r>
              <w:rPr>
                <w:rFonts w:ascii="Times New Roman"/>
                <w:b/>
                <w:sz w:val="21"/>
                <w:szCs w:val="21"/>
              </w:rPr>
              <w:t>项目</w:t>
            </w:r>
          </w:p>
        </w:tc>
        <w:tc>
          <w:tcPr>
            <w:tcW w:w="2130" w:type="dxa"/>
            <w:vAlign w:val="center"/>
          </w:tcPr>
          <w:p w14:paraId="7854C362">
            <w:pPr>
              <w:jc w:val="center"/>
              <w:rPr>
                <w:rFonts w:ascii="Times New Roman"/>
                <w:b/>
                <w:sz w:val="21"/>
                <w:szCs w:val="21"/>
              </w:rPr>
            </w:pPr>
            <w:r>
              <w:rPr>
                <w:rFonts w:ascii="Times New Roman"/>
                <w:b/>
                <w:sz w:val="21"/>
                <w:szCs w:val="21"/>
              </w:rPr>
              <w:t>数值</w:t>
            </w:r>
          </w:p>
        </w:tc>
        <w:tc>
          <w:tcPr>
            <w:tcW w:w="2131" w:type="dxa"/>
            <w:vAlign w:val="center"/>
          </w:tcPr>
          <w:p w14:paraId="45C1110C">
            <w:pPr>
              <w:jc w:val="center"/>
              <w:rPr>
                <w:rFonts w:ascii="Times New Roman"/>
                <w:b/>
                <w:sz w:val="21"/>
                <w:szCs w:val="21"/>
              </w:rPr>
            </w:pPr>
            <w:r>
              <w:rPr>
                <w:rFonts w:ascii="Times New Roman"/>
                <w:b/>
                <w:sz w:val="21"/>
                <w:szCs w:val="21"/>
              </w:rPr>
              <w:t>项目</w:t>
            </w:r>
          </w:p>
        </w:tc>
        <w:tc>
          <w:tcPr>
            <w:tcW w:w="2131" w:type="dxa"/>
            <w:vAlign w:val="center"/>
          </w:tcPr>
          <w:p w14:paraId="7C67B4C8">
            <w:pPr>
              <w:jc w:val="center"/>
              <w:rPr>
                <w:rFonts w:ascii="Times New Roman"/>
                <w:b/>
                <w:sz w:val="21"/>
                <w:szCs w:val="21"/>
              </w:rPr>
            </w:pPr>
            <w:r>
              <w:rPr>
                <w:rFonts w:ascii="Times New Roman"/>
                <w:b/>
                <w:sz w:val="21"/>
                <w:szCs w:val="21"/>
              </w:rPr>
              <w:t>数值</w:t>
            </w:r>
          </w:p>
        </w:tc>
      </w:tr>
      <w:tr w14:paraId="3301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vAlign w:val="center"/>
          </w:tcPr>
          <w:p w14:paraId="38D6F16C">
            <w:pPr>
              <w:jc w:val="center"/>
              <w:rPr>
                <w:rFonts w:ascii="Times New Roman"/>
                <w:sz w:val="21"/>
                <w:szCs w:val="21"/>
              </w:rPr>
            </w:pPr>
            <w:r>
              <w:rPr>
                <w:rFonts w:ascii="Times New Roman"/>
                <w:sz w:val="21"/>
                <w:szCs w:val="21"/>
              </w:rPr>
              <w:t>最高高潮位</w:t>
            </w:r>
          </w:p>
        </w:tc>
        <w:tc>
          <w:tcPr>
            <w:tcW w:w="2130" w:type="dxa"/>
            <w:vAlign w:val="center"/>
          </w:tcPr>
          <w:p w14:paraId="0768A3EE">
            <w:pPr>
              <w:jc w:val="center"/>
              <w:rPr>
                <w:rFonts w:ascii="Times New Roman"/>
                <w:sz w:val="21"/>
                <w:szCs w:val="21"/>
              </w:rPr>
            </w:pPr>
            <w:r>
              <w:rPr>
                <w:rFonts w:ascii="Times New Roman"/>
                <w:sz w:val="21"/>
                <w:szCs w:val="21"/>
              </w:rPr>
              <w:t>3.38m</w:t>
            </w:r>
          </w:p>
        </w:tc>
        <w:tc>
          <w:tcPr>
            <w:tcW w:w="2131" w:type="dxa"/>
            <w:vAlign w:val="center"/>
          </w:tcPr>
          <w:p w14:paraId="289383A2">
            <w:pPr>
              <w:jc w:val="center"/>
              <w:rPr>
                <w:rFonts w:ascii="Times New Roman"/>
                <w:sz w:val="21"/>
                <w:szCs w:val="21"/>
              </w:rPr>
            </w:pPr>
            <w:r>
              <w:rPr>
                <w:rFonts w:ascii="Times New Roman"/>
                <w:sz w:val="21"/>
                <w:szCs w:val="21"/>
              </w:rPr>
              <w:t>平均潮差</w:t>
            </w:r>
          </w:p>
        </w:tc>
        <w:tc>
          <w:tcPr>
            <w:tcW w:w="2131" w:type="dxa"/>
            <w:vAlign w:val="center"/>
          </w:tcPr>
          <w:p w14:paraId="6A47DCBE">
            <w:pPr>
              <w:jc w:val="center"/>
              <w:rPr>
                <w:rFonts w:ascii="Times New Roman"/>
                <w:sz w:val="21"/>
                <w:szCs w:val="21"/>
              </w:rPr>
            </w:pPr>
            <w:r>
              <w:rPr>
                <w:rFonts w:ascii="Times New Roman"/>
                <w:sz w:val="21"/>
                <w:szCs w:val="21"/>
              </w:rPr>
              <w:t>1.40m</w:t>
            </w:r>
          </w:p>
        </w:tc>
      </w:tr>
      <w:tr w14:paraId="43A9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vAlign w:val="center"/>
          </w:tcPr>
          <w:p w14:paraId="643073B2">
            <w:pPr>
              <w:jc w:val="center"/>
              <w:rPr>
                <w:rFonts w:ascii="Times New Roman"/>
                <w:sz w:val="21"/>
                <w:szCs w:val="21"/>
              </w:rPr>
            </w:pPr>
            <w:r>
              <w:rPr>
                <w:rFonts w:ascii="Times New Roman"/>
                <w:sz w:val="21"/>
                <w:szCs w:val="21"/>
              </w:rPr>
              <w:t>最低低潮位</w:t>
            </w:r>
          </w:p>
        </w:tc>
        <w:tc>
          <w:tcPr>
            <w:tcW w:w="2130" w:type="dxa"/>
            <w:vAlign w:val="center"/>
          </w:tcPr>
          <w:p w14:paraId="6CBAE754">
            <w:pPr>
              <w:jc w:val="center"/>
              <w:rPr>
                <w:rFonts w:ascii="Times New Roman"/>
                <w:sz w:val="21"/>
                <w:szCs w:val="21"/>
              </w:rPr>
            </w:pPr>
            <w:r>
              <w:rPr>
                <w:rFonts w:ascii="Times New Roman"/>
                <w:sz w:val="21"/>
                <w:szCs w:val="21"/>
              </w:rPr>
              <w:t>0.14m</w:t>
            </w:r>
          </w:p>
        </w:tc>
        <w:tc>
          <w:tcPr>
            <w:tcW w:w="2131" w:type="dxa"/>
            <w:vAlign w:val="center"/>
          </w:tcPr>
          <w:p w14:paraId="259724CD">
            <w:pPr>
              <w:jc w:val="center"/>
              <w:rPr>
                <w:rFonts w:ascii="Times New Roman"/>
                <w:sz w:val="21"/>
                <w:szCs w:val="21"/>
              </w:rPr>
            </w:pPr>
            <w:r>
              <w:rPr>
                <w:rFonts w:ascii="Times New Roman"/>
                <w:sz w:val="21"/>
                <w:szCs w:val="21"/>
              </w:rPr>
              <w:t>平均海平面</w:t>
            </w:r>
          </w:p>
        </w:tc>
        <w:tc>
          <w:tcPr>
            <w:tcW w:w="2131" w:type="dxa"/>
            <w:vAlign w:val="center"/>
          </w:tcPr>
          <w:p w14:paraId="41FF12CF">
            <w:pPr>
              <w:jc w:val="center"/>
              <w:rPr>
                <w:rFonts w:ascii="Times New Roman"/>
                <w:sz w:val="21"/>
                <w:szCs w:val="21"/>
              </w:rPr>
            </w:pPr>
            <w:r>
              <w:rPr>
                <w:rFonts w:ascii="Times New Roman"/>
                <w:sz w:val="21"/>
                <w:szCs w:val="21"/>
              </w:rPr>
              <w:t>1.77m</w:t>
            </w:r>
          </w:p>
        </w:tc>
      </w:tr>
      <w:tr w14:paraId="21E2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vAlign w:val="center"/>
          </w:tcPr>
          <w:p w14:paraId="0E99CD98">
            <w:pPr>
              <w:jc w:val="center"/>
              <w:rPr>
                <w:rFonts w:ascii="Times New Roman"/>
                <w:sz w:val="21"/>
                <w:szCs w:val="21"/>
              </w:rPr>
            </w:pPr>
            <w:r>
              <w:rPr>
                <w:rFonts w:ascii="Times New Roman"/>
                <w:sz w:val="21"/>
                <w:szCs w:val="21"/>
              </w:rPr>
              <w:t>平均高潮位</w:t>
            </w:r>
          </w:p>
        </w:tc>
        <w:tc>
          <w:tcPr>
            <w:tcW w:w="2130" w:type="dxa"/>
            <w:vAlign w:val="center"/>
          </w:tcPr>
          <w:p w14:paraId="2894A39A">
            <w:pPr>
              <w:jc w:val="center"/>
              <w:rPr>
                <w:rFonts w:ascii="Times New Roman"/>
                <w:sz w:val="21"/>
                <w:szCs w:val="21"/>
              </w:rPr>
            </w:pPr>
            <w:r>
              <w:rPr>
                <w:rFonts w:ascii="Times New Roman"/>
                <w:sz w:val="21"/>
                <w:szCs w:val="21"/>
              </w:rPr>
              <w:t>2.47m</w:t>
            </w:r>
          </w:p>
        </w:tc>
        <w:tc>
          <w:tcPr>
            <w:tcW w:w="2131" w:type="dxa"/>
            <w:vAlign w:val="center"/>
          </w:tcPr>
          <w:p w14:paraId="0F8F8D9B">
            <w:pPr>
              <w:jc w:val="center"/>
              <w:rPr>
                <w:rFonts w:ascii="Times New Roman"/>
                <w:sz w:val="21"/>
                <w:szCs w:val="21"/>
              </w:rPr>
            </w:pPr>
            <w:r>
              <w:rPr>
                <w:rFonts w:ascii="Times New Roman"/>
                <w:sz w:val="21"/>
                <w:szCs w:val="21"/>
              </w:rPr>
              <w:t>平均涨潮历时</w:t>
            </w:r>
          </w:p>
        </w:tc>
        <w:tc>
          <w:tcPr>
            <w:tcW w:w="2131" w:type="dxa"/>
            <w:vAlign w:val="center"/>
          </w:tcPr>
          <w:p w14:paraId="0BFFDB09">
            <w:pPr>
              <w:jc w:val="center"/>
              <w:rPr>
                <w:rFonts w:ascii="Times New Roman"/>
                <w:sz w:val="21"/>
                <w:szCs w:val="21"/>
              </w:rPr>
            </w:pPr>
            <w:r>
              <w:rPr>
                <w:rFonts w:ascii="Times New Roman"/>
                <w:sz w:val="21"/>
                <w:szCs w:val="21"/>
              </w:rPr>
              <w:t>6小时15分</w:t>
            </w:r>
          </w:p>
        </w:tc>
      </w:tr>
      <w:tr w14:paraId="0C1B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vAlign w:val="center"/>
          </w:tcPr>
          <w:p w14:paraId="0F0E59F7">
            <w:pPr>
              <w:jc w:val="center"/>
              <w:rPr>
                <w:rFonts w:ascii="Times New Roman"/>
                <w:sz w:val="21"/>
                <w:szCs w:val="21"/>
              </w:rPr>
            </w:pPr>
            <w:r>
              <w:rPr>
                <w:rFonts w:ascii="Times New Roman"/>
                <w:sz w:val="21"/>
                <w:szCs w:val="21"/>
              </w:rPr>
              <w:t>平均低潮位</w:t>
            </w:r>
          </w:p>
        </w:tc>
        <w:tc>
          <w:tcPr>
            <w:tcW w:w="2130" w:type="dxa"/>
            <w:vAlign w:val="center"/>
          </w:tcPr>
          <w:p w14:paraId="2B6ED2FE">
            <w:pPr>
              <w:jc w:val="center"/>
              <w:rPr>
                <w:rFonts w:ascii="Times New Roman"/>
                <w:sz w:val="21"/>
                <w:szCs w:val="21"/>
              </w:rPr>
            </w:pPr>
            <w:r>
              <w:rPr>
                <w:rFonts w:ascii="Times New Roman"/>
                <w:sz w:val="21"/>
                <w:szCs w:val="21"/>
              </w:rPr>
              <w:t>1.07m</w:t>
            </w:r>
          </w:p>
        </w:tc>
        <w:tc>
          <w:tcPr>
            <w:tcW w:w="2131" w:type="dxa"/>
            <w:vAlign w:val="center"/>
          </w:tcPr>
          <w:p w14:paraId="35153FAB">
            <w:pPr>
              <w:jc w:val="center"/>
              <w:rPr>
                <w:rFonts w:ascii="Times New Roman"/>
                <w:sz w:val="21"/>
                <w:szCs w:val="21"/>
              </w:rPr>
            </w:pPr>
            <w:r>
              <w:rPr>
                <w:rFonts w:ascii="Times New Roman"/>
                <w:sz w:val="21"/>
                <w:szCs w:val="21"/>
              </w:rPr>
              <w:t>平均落潮历时</w:t>
            </w:r>
          </w:p>
        </w:tc>
        <w:tc>
          <w:tcPr>
            <w:tcW w:w="2131" w:type="dxa"/>
            <w:vAlign w:val="center"/>
          </w:tcPr>
          <w:p w14:paraId="10ECBFE5">
            <w:pPr>
              <w:jc w:val="center"/>
              <w:rPr>
                <w:rFonts w:ascii="Times New Roman"/>
                <w:sz w:val="21"/>
                <w:szCs w:val="21"/>
              </w:rPr>
            </w:pPr>
            <w:r>
              <w:rPr>
                <w:rFonts w:ascii="Times New Roman"/>
                <w:sz w:val="21"/>
                <w:szCs w:val="21"/>
              </w:rPr>
              <w:t>6小时12分</w:t>
            </w:r>
          </w:p>
        </w:tc>
      </w:tr>
      <w:tr w14:paraId="3F3E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vAlign w:val="center"/>
          </w:tcPr>
          <w:p w14:paraId="1148D519">
            <w:pPr>
              <w:jc w:val="center"/>
              <w:rPr>
                <w:rFonts w:ascii="Times New Roman"/>
                <w:sz w:val="21"/>
                <w:szCs w:val="21"/>
              </w:rPr>
            </w:pPr>
            <w:r>
              <w:rPr>
                <w:rFonts w:ascii="Times New Roman"/>
                <w:sz w:val="21"/>
                <w:szCs w:val="21"/>
              </w:rPr>
              <w:t>最大潮差</w:t>
            </w:r>
          </w:p>
        </w:tc>
        <w:tc>
          <w:tcPr>
            <w:tcW w:w="2130" w:type="dxa"/>
            <w:vAlign w:val="center"/>
          </w:tcPr>
          <w:p w14:paraId="628B92B8">
            <w:pPr>
              <w:jc w:val="center"/>
              <w:rPr>
                <w:rFonts w:ascii="Times New Roman"/>
                <w:sz w:val="21"/>
                <w:szCs w:val="21"/>
              </w:rPr>
            </w:pPr>
            <w:r>
              <w:rPr>
                <w:rFonts w:ascii="Times New Roman"/>
                <w:sz w:val="21"/>
                <w:szCs w:val="21"/>
              </w:rPr>
              <w:t>2.74m</w:t>
            </w:r>
          </w:p>
        </w:tc>
        <w:tc>
          <w:tcPr>
            <w:tcW w:w="2131" w:type="dxa"/>
            <w:vAlign w:val="center"/>
          </w:tcPr>
          <w:p w14:paraId="5569DD4F">
            <w:pPr>
              <w:jc w:val="center"/>
              <w:rPr>
                <w:rFonts w:ascii="Times New Roman"/>
                <w:sz w:val="21"/>
                <w:szCs w:val="21"/>
              </w:rPr>
            </w:pPr>
          </w:p>
        </w:tc>
        <w:tc>
          <w:tcPr>
            <w:tcW w:w="2131" w:type="dxa"/>
            <w:vAlign w:val="center"/>
          </w:tcPr>
          <w:p w14:paraId="632CEB53">
            <w:pPr>
              <w:jc w:val="center"/>
              <w:rPr>
                <w:rFonts w:ascii="Times New Roman"/>
                <w:sz w:val="21"/>
                <w:szCs w:val="21"/>
              </w:rPr>
            </w:pPr>
          </w:p>
        </w:tc>
      </w:tr>
    </w:tbl>
    <w:p w14:paraId="395DD00B">
      <w:pPr>
        <w:spacing w:line="360" w:lineRule="auto"/>
        <w:ind w:firstLine="480" w:firstLineChars="200"/>
        <w:jc w:val="left"/>
        <w:rPr>
          <w:rFonts w:ascii="Times New Roman"/>
          <w:sz w:val="24"/>
          <w:szCs w:val="24"/>
        </w:rPr>
      </w:pPr>
      <w:r>
        <w:rPr>
          <w:rFonts w:ascii="Times New Roman"/>
          <w:sz w:val="24"/>
          <w:szCs w:val="24"/>
        </w:rPr>
        <w:t>（2）潮流</w:t>
      </w:r>
    </w:p>
    <w:p w14:paraId="7F52BAF9">
      <w:pPr>
        <w:spacing w:line="360" w:lineRule="auto"/>
        <w:ind w:firstLine="480" w:firstLineChars="200"/>
        <w:rPr>
          <w:rFonts w:ascii="Times New Roman"/>
          <w:sz w:val="24"/>
          <w:szCs w:val="24"/>
        </w:rPr>
      </w:pPr>
      <w:r>
        <w:rPr>
          <w:rFonts w:ascii="Times New Roman"/>
          <w:sz w:val="24"/>
          <w:szCs w:val="24"/>
        </w:rPr>
        <w:t>本海区潮流性质为不规则半日潮流，运动形式基本呈往复流，其流向与海底地形有密切关系。在浅滩外侧基本与岸线一致，涨潮时流向在曹妃甸甸头西侧向西而略偏北，东侧向西略偏南；落潮流向则相反，在甸头以西流向东略偏东南，甸头以东流向东略偏东北。本海区涨潮流流速大于落潮流流速，其涨落潮段流速比：大潮 1.4：1，小潮 1.2：1；涨潮流的平均流速为 0.24～0.97m/s，全域平均为 0.56m/s；落潮流的平均流速 0.21～0.70m/s，全域平均为 0.42m/s。从数值来看，本区的潮流速比较小，属弱流区，对岸滩的冲刷作用不大。</w:t>
      </w:r>
    </w:p>
    <w:p w14:paraId="64517AD4">
      <w:pPr>
        <w:spacing w:line="360" w:lineRule="auto"/>
        <w:ind w:firstLine="480" w:firstLineChars="200"/>
        <w:rPr>
          <w:rFonts w:ascii="Times New Roman"/>
          <w:sz w:val="24"/>
          <w:szCs w:val="24"/>
        </w:rPr>
      </w:pPr>
      <w:r>
        <w:rPr>
          <w:rFonts w:ascii="Times New Roman"/>
          <w:sz w:val="24"/>
          <w:szCs w:val="24"/>
        </w:rPr>
        <w:t>（3）波浪</w:t>
      </w:r>
    </w:p>
    <w:p w14:paraId="29E481EC">
      <w:pPr>
        <w:spacing w:line="360" w:lineRule="auto"/>
        <w:ind w:firstLine="480" w:firstLineChars="200"/>
        <w:rPr>
          <w:rFonts w:ascii="Times New Roman"/>
          <w:sz w:val="24"/>
          <w:szCs w:val="24"/>
        </w:rPr>
      </w:pPr>
      <w:r>
        <w:rPr>
          <w:rFonts w:ascii="Times New Roman"/>
          <w:sz w:val="24"/>
          <w:szCs w:val="24"/>
        </w:rPr>
        <w:t>该海区常浪向为S向，出现频率为10.87%，次常浪向为SW向，出现频率为7.48%。强浪向ENE向，该向 H4%≥1.5m出现频率为1.63%，次强浪向 NE向，H4%≥1.5m出现频率为0.97%，观测期间未出现平均周期大于7.0s的波浪。</w:t>
      </w:r>
    </w:p>
    <w:p w14:paraId="3C8933BE">
      <w:pPr>
        <w:spacing w:line="360" w:lineRule="auto"/>
        <w:ind w:firstLine="480" w:firstLineChars="200"/>
        <w:rPr>
          <w:rFonts w:ascii="Times New Roman"/>
          <w:sz w:val="24"/>
          <w:szCs w:val="24"/>
        </w:rPr>
      </w:pPr>
      <w:r>
        <w:rPr>
          <w:rFonts w:ascii="Times New Roman"/>
          <w:sz w:val="24"/>
          <w:szCs w:val="24"/>
        </w:rPr>
        <w:t>（4）风暴潮</w:t>
      </w:r>
    </w:p>
    <w:p w14:paraId="74D860C9">
      <w:pPr>
        <w:autoSpaceDE w:val="0"/>
        <w:autoSpaceDN w:val="0"/>
        <w:adjustRightInd w:val="0"/>
        <w:spacing w:line="360" w:lineRule="auto"/>
        <w:ind w:firstLine="480" w:firstLineChars="200"/>
        <w:rPr>
          <w:rFonts w:ascii="Times New Roman"/>
          <w:sz w:val="24"/>
          <w:szCs w:val="24"/>
        </w:rPr>
      </w:pPr>
      <w:r>
        <w:rPr>
          <w:rFonts w:hint="eastAsia" w:ascii="Times New Roman"/>
          <w:sz w:val="24"/>
          <w:szCs w:val="24"/>
        </w:rPr>
        <w:t>渤海湾沿岸是风暴潮较强地区之一，</w:t>
      </w:r>
      <w:r>
        <w:rPr>
          <w:rFonts w:ascii="Times New Roman"/>
          <w:sz w:val="24"/>
          <w:szCs w:val="24"/>
        </w:rPr>
        <w:t>1950</w:t>
      </w:r>
      <w:r>
        <w:rPr>
          <w:rFonts w:hint="eastAsia" w:ascii="Times New Roman"/>
          <w:sz w:val="24"/>
          <w:szCs w:val="24"/>
        </w:rPr>
        <w:t>～</w:t>
      </w:r>
      <w:r>
        <w:rPr>
          <w:rFonts w:ascii="Times New Roman"/>
          <w:sz w:val="24"/>
          <w:szCs w:val="24"/>
        </w:rPr>
        <w:t>1981</w:t>
      </w:r>
      <w:r>
        <w:rPr>
          <w:rFonts w:hint="eastAsia" w:ascii="Times New Roman"/>
          <w:sz w:val="24"/>
          <w:szCs w:val="24"/>
        </w:rPr>
        <w:t>年中发生</w:t>
      </w:r>
      <w:r>
        <w:rPr>
          <w:rFonts w:ascii="Times New Roman"/>
          <w:sz w:val="24"/>
          <w:szCs w:val="24"/>
        </w:rPr>
        <w:t>1</w:t>
      </w:r>
      <w:r>
        <w:rPr>
          <w:rFonts w:hint="eastAsia" w:ascii="Times New Roman"/>
          <w:sz w:val="24"/>
          <w:szCs w:val="24"/>
        </w:rPr>
        <w:t>米以上的增水</w:t>
      </w:r>
      <w:r>
        <w:rPr>
          <w:rFonts w:ascii="Times New Roman"/>
          <w:sz w:val="24"/>
          <w:szCs w:val="24"/>
        </w:rPr>
        <w:t>253</w:t>
      </w:r>
      <w:r>
        <w:rPr>
          <w:rFonts w:hint="eastAsia" w:ascii="Times New Roman"/>
          <w:sz w:val="24"/>
          <w:szCs w:val="24"/>
        </w:rPr>
        <w:t>次，平均每年</w:t>
      </w:r>
      <w:r>
        <w:rPr>
          <w:rFonts w:ascii="Times New Roman"/>
          <w:sz w:val="24"/>
          <w:szCs w:val="24"/>
        </w:rPr>
        <w:t>7.9</w:t>
      </w:r>
      <w:r>
        <w:rPr>
          <w:rFonts w:hint="eastAsia" w:ascii="Times New Roman"/>
          <w:sz w:val="24"/>
          <w:szCs w:val="24"/>
        </w:rPr>
        <w:t>次；</w:t>
      </w:r>
      <w:r>
        <w:rPr>
          <w:rFonts w:ascii="Times New Roman"/>
          <w:sz w:val="24"/>
          <w:szCs w:val="24"/>
        </w:rPr>
        <w:t>2</w:t>
      </w:r>
      <w:r>
        <w:rPr>
          <w:rFonts w:hint="eastAsia" w:ascii="Times New Roman"/>
          <w:sz w:val="24"/>
          <w:szCs w:val="24"/>
        </w:rPr>
        <w:t>米以上增水</w:t>
      </w:r>
      <w:r>
        <w:rPr>
          <w:rFonts w:ascii="Times New Roman"/>
          <w:sz w:val="24"/>
          <w:szCs w:val="24"/>
        </w:rPr>
        <w:t>7</w:t>
      </w:r>
      <w:r>
        <w:rPr>
          <w:rFonts w:hint="eastAsia" w:ascii="Times New Roman"/>
          <w:sz w:val="24"/>
          <w:szCs w:val="24"/>
        </w:rPr>
        <w:t>次，平均</w:t>
      </w:r>
      <w:r>
        <w:rPr>
          <w:rFonts w:ascii="Times New Roman"/>
          <w:sz w:val="24"/>
          <w:szCs w:val="24"/>
        </w:rPr>
        <w:t>4.6</w:t>
      </w:r>
      <w:r>
        <w:rPr>
          <w:rFonts w:hint="eastAsia" w:ascii="Times New Roman"/>
          <w:sz w:val="24"/>
          <w:szCs w:val="24"/>
        </w:rPr>
        <w:t>年一次；最大增水值为</w:t>
      </w:r>
      <w:r>
        <w:rPr>
          <w:rFonts w:ascii="Times New Roman"/>
          <w:sz w:val="24"/>
          <w:szCs w:val="24"/>
        </w:rPr>
        <w:t>2.52</w:t>
      </w:r>
      <w:r>
        <w:rPr>
          <w:rFonts w:hint="eastAsia" w:ascii="Times New Roman"/>
          <w:sz w:val="24"/>
          <w:szCs w:val="24"/>
        </w:rPr>
        <w:t>米（</w:t>
      </w:r>
      <w:r>
        <w:rPr>
          <w:rFonts w:ascii="Times New Roman"/>
          <w:sz w:val="24"/>
          <w:szCs w:val="24"/>
        </w:rPr>
        <w:t>1960</w:t>
      </w:r>
      <w:r>
        <w:rPr>
          <w:rFonts w:hint="eastAsia" w:ascii="Times New Roman"/>
          <w:sz w:val="24"/>
          <w:szCs w:val="24"/>
        </w:rPr>
        <w:t>年</w:t>
      </w:r>
      <w:r>
        <w:rPr>
          <w:rFonts w:ascii="Times New Roman"/>
          <w:sz w:val="24"/>
          <w:szCs w:val="24"/>
        </w:rPr>
        <w:t>11</w:t>
      </w:r>
      <w:r>
        <w:rPr>
          <w:rFonts w:hint="eastAsia" w:ascii="Times New Roman"/>
          <w:sz w:val="24"/>
          <w:szCs w:val="24"/>
        </w:rPr>
        <w:t>月）。增水主要发生在秋冬季，占全年的</w:t>
      </w:r>
      <w:r>
        <w:rPr>
          <w:rFonts w:ascii="Times New Roman"/>
          <w:sz w:val="24"/>
          <w:szCs w:val="24"/>
        </w:rPr>
        <w:t>76.2%</w:t>
      </w:r>
      <w:r>
        <w:rPr>
          <w:rFonts w:hint="eastAsia" w:ascii="Times New Roman"/>
          <w:sz w:val="24"/>
          <w:szCs w:val="24"/>
        </w:rPr>
        <w:t>，是由偏东和东北向持续大风引起的。同期资料显示，</w:t>
      </w:r>
      <w:r>
        <w:rPr>
          <w:rFonts w:ascii="Times New Roman"/>
          <w:sz w:val="24"/>
          <w:szCs w:val="24"/>
        </w:rPr>
        <w:t>32</w:t>
      </w:r>
      <w:r>
        <w:rPr>
          <w:rFonts w:hint="eastAsia" w:ascii="Times New Roman"/>
          <w:sz w:val="24"/>
          <w:szCs w:val="24"/>
        </w:rPr>
        <w:t>年间塘沽发生</w:t>
      </w:r>
      <w:r>
        <w:rPr>
          <w:rFonts w:ascii="Times New Roman"/>
          <w:sz w:val="24"/>
          <w:szCs w:val="24"/>
        </w:rPr>
        <w:t>1.3</w:t>
      </w:r>
      <w:r>
        <w:rPr>
          <w:rFonts w:hint="eastAsia" w:ascii="Times New Roman"/>
          <w:sz w:val="24"/>
          <w:szCs w:val="24"/>
        </w:rPr>
        <w:t>米以上的减水</w:t>
      </w:r>
      <w:r>
        <w:rPr>
          <w:rFonts w:ascii="Times New Roman"/>
          <w:sz w:val="24"/>
          <w:szCs w:val="24"/>
        </w:rPr>
        <w:t>81</w:t>
      </w:r>
      <w:r>
        <w:rPr>
          <w:rFonts w:hint="eastAsia" w:ascii="Times New Roman"/>
          <w:sz w:val="24"/>
          <w:szCs w:val="24"/>
        </w:rPr>
        <w:t>次，平均每年</w:t>
      </w:r>
      <w:r>
        <w:rPr>
          <w:rFonts w:ascii="Times New Roman"/>
          <w:sz w:val="24"/>
          <w:szCs w:val="24"/>
        </w:rPr>
        <w:t>2.5</w:t>
      </w:r>
      <w:r>
        <w:rPr>
          <w:rFonts w:hint="eastAsia" w:ascii="Times New Roman"/>
          <w:sz w:val="24"/>
          <w:szCs w:val="24"/>
        </w:rPr>
        <w:t>次；</w:t>
      </w:r>
      <w:r>
        <w:rPr>
          <w:rFonts w:ascii="Times New Roman"/>
          <w:sz w:val="24"/>
          <w:szCs w:val="24"/>
        </w:rPr>
        <w:t>2</w:t>
      </w:r>
      <w:r>
        <w:rPr>
          <w:rFonts w:hint="eastAsia" w:ascii="Times New Roman"/>
          <w:sz w:val="24"/>
          <w:szCs w:val="24"/>
        </w:rPr>
        <w:t>米以上的减水</w:t>
      </w:r>
      <w:r>
        <w:rPr>
          <w:rFonts w:ascii="Times New Roman"/>
          <w:sz w:val="24"/>
          <w:szCs w:val="24"/>
        </w:rPr>
        <w:t>7</w:t>
      </w:r>
      <w:r>
        <w:rPr>
          <w:rFonts w:hint="eastAsia" w:ascii="Times New Roman"/>
          <w:sz w:val="24"/>
          <w:szCs w:val="24"/>
        </w:rPr>
        <w:t>次，平均</w:t>
      </w:r>
      <w:r>
        <w:rPr>
          <w:rFonts w:ascii="Times New Roman"/>
          <w:sz w:val="24"/>
          <w:szCs w:val="24"/>
        </w:rPr>
        <w:t>4.6</w:t>
      </w:r>
      <w:r>
        <w:rPr>
          <w:rFonts w:hint="eastAsia" w:ascii="Times New Roman"/>
          <w:sz w:val="24"/>
          <w:szCs w:val="24"/>
        </w:rPr>
        <w:t>年一次；最大减水值为</w:t>
      </w:r>
      <w:r>
        <w:rPr>
          <w:rFonts w:ascii="Times New Roman"/>
          <w:sz w:val="24"/>
          <w:szCs w:val="24"/>
        </w:rPr>
        <w:t>2.84</w:t>
      </w:r>
      <w:r>
        <w:rPr>
          <w:rFonts w:hint="eastAsia" w:ascii="Times New Roman"/>
          <w:sz w:val="24"/>
          <w:szCs w:val="24"/>
        </w:rPr>
        <w:t>米（</w:t>
      </w:r>
      <w:r>
        <w:rPr>
          <w:rFonts w:ascii="Times New Roman"/>
          <w:sz w:val="24"/>
          <w:szCs w:val="24"/>
        </w:rPr>
        <w:t>1968</w:t>
      </w:r>
      <w:r>
        <w:rPr>
          <w:rFonts w:hint="eastAsia" w:ascii="Times New Roman"/>
          <w:sz w:val="24"/>
          <w:szCs w:val="24"/>
        </w:rPr>
        <w:t>年</w:t>
      </w:r>
      <w:r>
        <w:rPr>
          <w:rFonts w:ascii="Times New Roman"/>
          <w:sz w:val="24"/>
          <w:szCs w:val="24"/>
        </w:rPr>
        <w:t>1</w:t>
      </w:r>
      <w:r>
        <w:rPr>
          <w:rFonts w:hint="eastAsia" w:ascii="Times New Roman"/>
          <w:sz w:val="24"/>
          <w:szCs w:val="24"/>
        </w:rPr>
        <w:t>月）。减水也主要发生在秋冬季，占全年的</w:t>
      </w:r>
      <w:r>
        <w:rPr>
          <w:rFonts w:ascii="Times New Roman"/>
          <w:sz w:val="24"/>
          <w:szCs w:val="24"/>
        </w:rPr>
        <w:t>77.8%</w:t>
      </w:r>
      <w:r>
        <w:rPr>
          <w:rFonts w:hint="eastAsia" w:ascii="Times New Roman"/>
          <w:sz w:val="24"/>
          <w:szCs w:val="24"/>
        </w:rPr>
        <w:t>，是由偏西和西北向持续大风引起的。曹妃甸海域发生风暴潮的气象背景与塘沽基本一致（两地相距约</w:t>
      </w:r>
      <w:r>
        <w:rPr>
          <w:rFonts w:ascii="Times New Roman"/>
          <w:sz w:val="24"/>
          <w:szCs w:val="24"/>
        </w:rPr>
        <w:t>45</w:t>
      </w:r>
      <w:r>
        <w:rPr>
          <w:rFonts w:hint="eastAsia" w:ascii="Times New Roman"/>
          <w:sz w:val="24"/>
          <w:szCs w:val="24"/>
        </w:rPr>
        <w:t>千米），但由于位于渤海湾口北部的突出部位，缺乏水体集聚的地理条件，因此增水幅度较位于湾底的天津港要小。</w:t>
      </w:r>
    </w:p>
    <w:p w14:paraId="5451F663">
      <w:pPr>
        <w:spacing w:line="360" w:lineRule="auto"/>
        <w:ind w:firstLine="480" w:firstLineChars="200"/>
        <w:rPr>
          <w:rFonts w:ascii="Times New Roman"/>
          <w:sz w:val="24"/>
          <w:szCs w:val="24"/>
        </w:rPr>
      </w:pPr>
      <w:r>
        <w:rPr>
          <w:rFonts w:ascii="Times New Roman"/>
          <w:sz w:val="24"/>
          <w:szCs w:val="24"/>
        </w:rPr>
        <w:t>（5）海冰</w:t>
      </w:r>
    </w:p>
    <w:p w14:paraId="1313201E">
      <w:pPr>
        <w:spacing w:line="360" w:lineRule="auto"/>
        <w:ind w:firstLine="480" w:firstLineChars="200"/>
        <w:rPr>
          <w:rFonts w:ascii="Times New Roman"/>
          <w:sz w:val="24"/>
          <w:szCs w:val="24"/>
        </w:rPr>
      </w:pPr>
      <w:r>
        <w:rPr>
          <w:rFonts w:ascii="Times New Roman"/>
          <w:sz w:val="24"/>
          <w:szCs w:val="24"/>
        </w:rPr>
        <w:t>国家海洋环境监测中心1999年～2000年冬季在曹妃甸岸边NE～SW走向布设7个测站进行了海冰观测。初冰日为12月20日，终冰日为3月6日，总冰期约为75天左右。严重冰期从1月中旬至2月中旬，2月中旬后，随着气温的回升，固定冰的范围在缩小，浅滩上的海冰受高潮和风的作用，开始在海面漂流。2月下旬海面冰量大幅度减少，浮冰也以冰皮（冰厚5cm左右）尼罗冰（冰厚小于10cm）为主。截止3月6日，观测海区海冰完全消失。</w:t>
      </w:r>
    </w:p>
    <w:p w14:paraId="2F97D0CE">
      <w:pPr>
        <w:spacing w:line="360" w:lineRule="auto"/>
        <w:ind w:firstLine="480" w:firstLineChars="200"/>
        <w:rPr>
          <w:rFonts w:ascii="Times New Roman"/>
          <w:sz w:val="24"/>
          <w:szCs w:val="24"/>
        </w:rPr>
      </w:pPr>
      <w:r>
        <w:rPr>
          <w:rFonts w:ascii="Times New Roman"/>
          <w:sz w:val="24"/>
          <w:szCs w:val="24"/>
        </w:rPr>
        <w:t>（6）海洋流场</w:t>
      </w:r>
    </w:p>
    <w:p w14:paraId="744F076A">
      <w:pPr>
        <w:spacing w:line="360" w:lineRule="auto"/>
        <w:ind w:firstLine="480" w:firstLineChars="200"/>
        <w:rPr>
          <w:rFonts w:ascii="Times New Roman"/>
          <w:sz w:val="24"/>
          <w:szCs w:val="24"/>
        </w:rPr>
      </w:pPr>
      <w:r>
        <w:rPr>
          <w:rFonts w:ascii="Times New Roman"/>
          <w:sz w:val="24"/>
          <w:szCs w:val="24"/>
        </w:rPr>
        <w:t>曹妃甸海域潮流强劲，潮流受地形的影响较为突出，深水区域与浅滩潮流的流速流向差别明显，在深水区潮流流向基本上与海域等高线平行，在浅滩区域以滩地淹没形式的向岸流为主，最大流速1.20m/s左右。</w:t>
      </w:r>
    </w:p>
    <w:p w14:paraId="0A08B1C4">
      <w:pPr>
        <w:spacing w:line="480" w:lineRule="exact"/>
        <w:ind w:firstLine="480" w:firstLineChars="200"/>
        <w:rPr>
          <w:rFonts w:ascii="Times New Roman"/>
          <w:sz w:val="24"/>
          <w:szCs w:val="21"/>
        </w:rPr>
      </w:pPr>
    </w:p>
    <w:p w14:paraId="11745BA7">
      <w:pPr>
        <w:pStyle w:val="5"/>
        <w:spacing w:before="0" w:after="0" w:line="360" w:lineRule="auto"/>
        <w:rPr>
          <w:sz w:val="24"/>
          <w:szCs w:val="24"/>
        </w:rPr>
      </w:pPr>
      <w:r>
        <w:rPr>
          <w:sz w:val="28"/>
          <w:szCs w:val="28"/>
        </w:rPr>
        <w:t>4.1.6</w:t>
      </w:r>
      <w:r>
        <w:rPr>
          <w:rFonts w:hint="eastAsia"/>
          <w:sz w:val="28"/>
          <w:szCs w:val="28"/>
        </w:rPr>
        <w:t>地表水</w:t>
      </w:r>
    </w:p>
    <w:p w14:paraId="56EB01B8">
      <w:pPr>
        <w:spacing w:line="360" w:lineRule="auto"/>
        <w:ind w:firstLine="480" w:firstLineChars="200"/>
        <w:rPr>
          <w:rFonts w:ascii="Times New Roman"/>
          <w:sz w:val="24"/>
          <w:szCs w:val="24"/>
        </w:rPr>
      </w:pPr>
      <w:r>
        <w:rPr>
          <w:rFonts w:ascii="Times New Roman"/>
          <w:sz w:val="24"/>
          <w:szCs w:val="24"/>
        </w:rPr>
        <w:t>流经曹妃甸区的自然河流及人工开挖的排水干渠有9条，由北向南穿境入海，自西向东依次是沙河、戟门河、双龙河、第一排水干渠、小青龙河、溯河、第二排水干渠、第二泄洪道和小青河。以上河流只有第一排水干渠源于境内，其余各河流均发源于上游各县。这些河流属于季节性河流，冬春季水量较少或干枯，汛期水量剧增。全区河流总流域面积3190.97km</w:t>
      </w:r>
      <w:r>
        <w:rPr>
          <w:rFonts w:ascii="Times New Roman"/>
          <w:sz w:val="24"/>
          <w:szCs w:val="24"/>
          <w:vertAlign w:val="superscript"/>
        </w:rPr>
        <w:t>2</w:t>
      </w:r>
      <w:r>
        <w:rPr>
          <w:rFonts w:ascii="Times New Roman"/>
          <w:sz w:val="24"/>
          <w:szCs w:val="24"/>
        </w:rPr>
        <w:t>，其中集水面积687.5km</w:t>
      </w:r>
      <w:r>
        <w:rPr>
          <w:rFonts w:ascii="Times New Roman"/>
          <w:sz w:val="24"/>
          <w:szCs w:val="24"/>
          <w:vertAlign w:val="superscript"/>
        </w:rPr>
        <w:t>2</w:t>
      </w:r>
      <w:r>
        <w:rPr>
          <w:rFonts w:ascii="Times New Roman"/>
          <w:sz w:val="24"/>
          <w:szCs w:val="24"/>
        </w:rPr>
        <w:t>，境内河道总长122.86km，年径流量5600万m</w:t>
      </w:r>
      <w:r>
        <w:rPr>
          <w:rFonts w:ascii="Times New Roman"/>
          <w:sz w:val="24"/>
          <w:szCs w:val="24"/>
          <w:vertAlign w:val="superscript"/>
        </w:rPr>
        <w:t>3</w:t>
      </w:r>
      <w:r>
        <w:rPr>
          <w:rFonts w:ascii="Times New Roman"/>
          <w:sz w:val="24"/>
          <w:szCs w:val="24"/>
        </w:rPr>
        <w:t>，6-9月份径流量占全年的90%。</w:t>
      </w:r>
    </w:p>
    <w:p w14:paraId="072B1B15">
      <w:pPr>
        <w:spacing w:line="360" w:lineRule="auto"/>
        <w:ind w:firstLine="480" w:firstLineChars="200"/>
        <w:rPr>
          <w:rFonts w:ascii="Times New Roman"/>
          <w:sz w:val="24"/>
          <w:szCs w:val="24"/>
        </w:rPr>
      </w:pPr>
      <w:r>
        <w:rPr>
          <w:rFonts w:ascii="Times New Roman"/>
          <w:sz w:val="24"/>
          <w:szCs w:val="24"/>
        </w:rPr>
        <w:t>沙河：发源于迁安市蔡园镇好树店村北大石岭沟，经滦县、唐山市东矿区、丰南入唐海境内第八农场，后由草泊水库经黑沿子排干入渤海。县境内流经长度6.5公里，流域面积36.34平方公里。经治理，泄洪流量达651立方米/秒。</w:t>
      </w:r>
    </w:p>
    <w:p w14:paraId="42FF7D80">
      <w:pPr>
        <w:spacing w:line="360" w:lineRule="auto"/>
        <w:ind w:firstLine="480" w:firstLineChars="200"/>
        <w:rPr>
          <w:rFonts w:ascii="Times New Roman"/>
          <w:sz w:val="24"/>
          <w:szCs w:val="24"/>
        </w:rPr>
      </w:pPr>
      <w:r>
        <w:rPr>
          <w:rFonts w:ascii="Times New Roman"/>
          <w:sz w:val="24"/>
          <w:szCs w:val="24"/>
        </w:rPr>
        <w:t>戟门河：发源于滦南县武庄窠，经丰南、唐海，流入黑沿子排干注入渤海，河长40公里，流域面积214平方公里，流经县境8公里，境内流域面积63平方公里。经治理，出境泄水能力达78.7立方米/秒。</w:t>
      </w:r>
    </w:p>
    <w:p w14:paraId="34225FA5">
      <w:pPr>
        <w:spacing w:line="360" w:lineRule="auto"/>
        <w:ind w:firstLine="480" w:firstLineChars="200"/>
        <w:rPr>
          <w:rFonts w:ascii="Times New Roman"/>
          <w:sz w:val="24"/>
          <w:szCs w:val="24"/>
        </w:rPr>
      </w:pPr>
      <w:r>
        <w:rPr>
          <w:rFonts w:ascii="Times New Roman"/>
          <w:sz w:val="24"/>
          <w:szCs w:val="24"/>
        </w:rPr>
        <w:t>双龙河：发源于滦县茨榆坨南，经滦南县流入唐海县境内第六农场，经第二、十、四、十一和七农场，至南堡、咀东注入渤海，河长55公里，流域面积488.43平方公里，流经县境30公里，境内流域面积321.43平方公里。</w:t>
      </w:r>
    </w:p>
    <w:p w14:paraId="32B2E856">
      <w:pPr>
        <w:spacing w:line="360" w:lineRule="auto"/>
        <w:ind w:firstLine="480" w:firstLineChars="200"/>
        <w:rPr>
          <w:rFonts w:ascii="Times New Roman"/>
          <w:sz w:val="24"/>
          <w:szCs w:val="24"/>
        </w:rPr>
      </w:pPr>
      <w:r>
        <w:rPr>
          <w:rFonts w:ascii="Times New Roman"/>
          <w:sz w:val="24"/>
          <w:szCs w:val="24"/>
        </w:rPr>
        <w:t>第一排水干渠：1957年人工开挖而成，北起第二排水支渠涵洞，往西南与第一用水干渠平行，在4600米处转向东南直达第一排水干渠总闸，全长11.4公里，实际控水面积191平方公里，担负县城、第二、四农场东部和八里滩养殖场以及十里海养殖场的排水任务。</w:t>
      </w:r>
    </w:p>
    <w:p w14:paraId="4BED259F">
      <w:pPr>
        <w:spacing w:line="360" w:lineRule="auto"/>
        <w:ind w:firstLine="480" w:firstLineChars="200"/>
        <w:rPr>
          <w:rFonts w:ascii="Times New Roman"/>
          <w:sz w:val="24"/>
          <w:szCs w:val="24"/>
        </w:rPr>
      </w:pPr>
      <w:r>
        <w:rPr>
          <w:rFonts w:ascii="Times New Roman"/>
          <w:sz w:val="24"/>
          <w:szCs w:val="24"/>
        </w:rPr>
        <w:t>青龙河：发源于滦县邢各庄村南，经齐寺村北，入滦南境内，再经西灌区倒虹吸南穿滦河下游输水总干渠流入县境，经第三、一农场和八里滩养殖场，入滦南高尚堡西南新华港，注入渤海。河道全长75公里，流域面积430平方公里，县境内河长14.3公里，境内流域面积28.46平方公里。</w:t>
      </w:r>
    </w:p>
    <w:p w14:paraId="003748DD">
      <w:pPr>
        <w:spacing w:line="360" w:lineRule="auto"/>
        <w:ind w:firstLine="480" w:firstLineChars="200"/>
        <w:rPr>
          <w:rFonts w:ascii="Times New Roman"/>
          <w:sz w:val="24"/>
          <w:szCs w:val="24"/>
        </w:rPr>
      </w:pPr>
      <w:r>
        <w:rPr>
          <w:rFonts w:ascii="Times New Roman"/>
          <w:sz w:val="24"/>
          <w:szCs w:val="24"/>
        </w:rPr>
        <w:t>溯河：发源于滦南商家林乡马各庄南，经滦南县入唐海县境内，由第九农场第六用水干渠渡槽经滦南西排水闸注入渤海。河道全长97公里，流域面积618平方公里。县境河长8公里，流域面积60.5平方公里。</w:t>
      </w:r>
    </w:p>
    <w:p w14:paraId="0A8B4EBC">
      <w:pPr>
        <w:spacing w:line="360" w:lineRule="auto"/>
        <w:ind w:firstLine="480" w:firstLineChars="200"/>
        <w:rPr>
          <w:rFonts w:ascii="Times New Roman"/>
          <w:sz w:val="24"/>
          <w:szCs w:val="24"/>
        </w:rPr>
      </w:pPr>
      <w:r>
        <w:rPr>
          <w:rFonts w:ascii="Times New Roman"/>
          <w:sz w:val="24"/>
          <w:szCs w:val="24"/>
        </w:rPr>
        <w:t>第二排水干渠：北起滦南县上坡子村南，经唐海县第九农场东城子村，由西河排水闸入海，系人工开挖的排水河。县境内长18公里，流域面积29.63平方公里。</w:t>
      </w:r>
    </w:p>
    <w:p w14:paraId="0FF574C7">
      <w:pPr>
        <w:spacing w:line="360" w:lineRule="auto"/>
        <w:ind w:firstLine="480" w:firstLineChars="200"/>
        <w:rPr>
          <w:rFonts w:ascii="Times New Roman"/>
          <w:sz w:val="24"/>
          <w:szCs w:val="24"/>
        </w:rPr>
      </w:pPr>
      <w:r>
        <w:rPr>
          <w:rFonts w:ascii="Times New Roman"/>
          <w:sz w:val="24"/>
          <w:szCs w:val="24"/>
        </w:rPr>
        <w:t>第二泄洪道：1970年人工开挖，北起滦南县王土庄，由第九农场张海庄子北入县境，经大庄河入渤海，境内长11公里，流域面积47.52平方公里。</w:t>
      </w:r>
    </w:p>
    <w:p w14:paraId="312076A9">
      <w:pPr>
        <w:spacing w:line="360" w:lineRule="auto"/>
        <w:ind w:firstLine="480" w:firstLineChars="200"/>
        <w:rPr>
          <w:rFonts w:ascii="Times New Roman"/>
          <w:sz w:val="24"/>
          <w:szCs w:val="24"/>
        </w:rPr>
      </w:pPr>
      <w:r>
        <w:rPr>
          <w:rFonts w:ascii="Times New Roman"/>
          <w:sz w:val="24"/>
          <w:szCs w:val="24"/>
        </w:rPr>
        <w:t>小青河：发源于滦南县马城乡湛店子，南流经唐海县第九农场东青坨，由刘家堡村汇入滦南第二泄洪道，入渤海。河全长52公里，流域面积150平方公里。县境内全长8.75km，流域面积12.62km</w:t>
      </w:r>
      <w:r>
        <w:rPr>
          <w:rFonts w:ascii="Times New Roman"/>
          <w:sz w:val="24"/>
          <w:szCs w:val="24"/>
          <w:vertAlign w:val="superscript"/>
        </w:rPr>
        <w:t>2</w:t>
      </w:r>
      <w:r>
        <w:rPr>
          <w:rFonts w:ascii="Times New Roman"/>
          <w:sz w:val="24"/>
          <w:szCs w:val="24"/>
        </w:rPr>
        <w:t>。</w:t>
      </w:r>
    </w:p>
    <w:p w14:paraId="1A42E897">
      <w:pPr>
        <w:pStyle w:val="5"/>
        <w:spacing w:before="0" w:after="0" w:line="360" w:lineRule="auto"/>
        <w:rPr>
          <w:sz w:val="28"/>
          <w:szCs w:val="28"/>
        </w:rPr>
      </w:pPr>
      <w:r>
        <w:rPr>
          <w:sz w:val="28"/>
          <w:szCs w:val="28"/>
        </w:rPr>
        <w:t>4.1.7</w:t>
      </w:r>
      <w:r>
        <w:rPr>
          <w:rFonts w:hint="eastAsia"/>
          <w:sz w:val="28"/>
          <w:szCs w:val="28"/>
        </w:rPr>
        <w:t>气候气象</w:t>
      </w:r>
    </w:p>
    <w:p w14:paraId="28CAB61E">
      <w:pPr>
        <w:widowControl/>
        <w:spacing w:line="360" w:lineRule="auto"/>
        <w:ind w:firstLine="480" w:firstLineChars="200"/>
        <w:rPr>
          <w:rFonts w:ascii="Times New Roman"/>
          <w:spacing w:val="-6"/>
          <w:sz w:val="24"/>
          <w:szCs w:val="21"/>
        </w:rPr>
      </w:pPr>
      <w:r>
        <w:rPr>
          <w:rFonts w:hint="eastAsia" w:ascii="Times New Roman" w:cs="宋体"/>
          <w:kern w:val="0"/>
          <w:sz w:val="24"/>
          <w:szCs w:val="24"/>
        </w:rPr>
        <w:t>曹妃甸区位于暖温带半湿润滨海大陆性季风气候区，四季分明，冬季多西北风，寒冷干燥；春季多风沙，蒸发量大；夏季炎热多雨，受海洋气候影响，多东南风，降水集中；秋季温和凉爽，光照资源充足</w:t>
      </w:r>
      <w:r>
        <w:rPr>
          <w:rFonts w:ascii="Times New Roman" w:cs="宋体"/>
          <w:kern w:val="0"/>
          <w:sz w:val="24"/>
          <w:szCs w:val="24"/>
        </w:rPr>
        <w:t>。根据唐</w:t>
      </w:r>
      <w:r>
        <w:rPr>
          <w:rFonts w:ascii="Times New Roman"/>
          <w:sz w:val="24"/>
          <w:szCs w:val="21"/>
        </w:rPr>
        <w:t>海气象站近</w:t>
      </w:r>
      <w:r>
        <w:rPr>
          <w:rFonts w:hint="eastAsia" w:ascii="Times New Roman"/>
          <w:sz w:val="24"/>
          <w:szCs w:val="21"/>
        </w:rPr>
        <w:t>20</w:t>
      </w:r>
      <w:r>
        <w:rPr>
          <w:rFonts w:ascii="Times New Roman"/>
          <w:sz w:val="24"/>
          <w:szCs w:val="21"/>
        </w:rPr>
        <w:t>年资料，统计成果见下表</w:t>
      </w:r>
      <w:r>
        <w:rPr>
          <w:rFonts w:ascii="Times New Roman"/>
          <w:spacing w:val="-6"/>
          <w:sz w:val="24"/>
          <w:szCs w:val="21"/>
        </w:rPr>
        <w:t>。</w:t>
      </w:r>
    </w:p>
    <w:p w14:paraId="58F86F9D">
      <w:pPr>
        <w:adjustRightInd w:val="0"/>
        <w:spacing w:line="360" w:lineRule="auto"/>
        <w:jc w:val="center"/>
        <w:textAlignment w:val="baseline"/>
        <w:rPr>
          <w:rFonts w:ascii="Times New Roman"/>
          <w:b/>
          <w:kern w:val="0"/>
          <w:sz w:val="24"/>
          <w:szCs w:val="24"/>
        </w:rPr>
      </w:pPr>
      <w:r>
        <w:rPr>
          <w:rFonts w:hint="eastAsia" w:ascii="Times New Roman"/>
          <w:b/>
          <w:bCs/>
          <w:sz w:val="24"/>
          <w:szCs w:val="24"/>
        </w:rPr>
        <w:t>表</w:t>
      </w:r>
      <w:r>
        <w:rPr>
          <w:rFonts w:ascii="Times New Roman"/>
          <w:b/>
          <w:bCs/>
          <w:sz w:val="24"/>
          <w:szCs w:val="24"/>
        </w:rPr>
        <w:t>4.1</w:t>
      </w:r>
      <w:r>
        <w:rPr>
          <w:rFonts w:ascii="Times New Roman"/>
          <w:b/>
          <w:bCs/>
          <w:sz w:val="24"/>
          <w:szCs w:val="24"/>
        </w:rPr>
        <w:noBreakHyphen/>
      </w:r>
      <w:r>
        <w:rPr>
          <w:rFonts w:ascii="Times New Roman"/>
          <w:b/>
          <w:bCs/>
          <w:sz w:val="24"/>
          <w:szCs w:val="24"/>
        </w:rPr>
        <w:t xml:space="preserve">2  </w:t>
      </w:r>
      <w:r>
        <w:rPr>
          <w:rFonts w:ascii="Times New Roman"/>
          <w:b/>
          <w:kern w:val="0"/>
          <w:sz w:val="24"/>
          <w:szCs w:val="24"/>
        </w:rPr>
        <w:t xml:space="preserve"> 年特征值统计成果</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4022"/>
        <w:gridCol w:w="2437"/>
        <w:gridCol w:w="1078"/>
      </w:tblGrid>
      <w:tr w14:paraId="63DC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4C43F5CD">
            <w:pPr>
              <w:jc w:val="center"/>
              <w:textAlignment w:val="baseline"/>
              <w:rPr>
                <w:rFonts w:ascii="Times New Roman"/>
                <w:b/>
                <w:sz w:val="21"/>
                <w:szCs w:val="21"/>
              </w:rPr>
            </w:pPr>
            <w:r>
              <w:rPr>
                <w:rFonts w:ascii="Times New Roman"/>
                <w:b/>
                <w:sz w:val="21"/>
                <w:szCs w:val="21"/>
              </w:rPr>
              <w:t>序号</w:t>
            </w:r>
          </w:p>
        </w:tc>
        <w:tc>
          <w:tcPr>
            <w:tcW w:w="2413" w:type="pct"/>
            <w:vAlign w:val="center"/>
          </w:tcPr>
          <w:p w14:paraId="1F0B6C2B">
            <w:pPr>
              <w:ind w:firstLine="422" w:firstLineChars="200"/>
              <w:jc w:val="center"/>
              <w:textAlignment w:val="baseline"/>
              <w:rPr>
                <w:rFonts w:ascii="Times New Roman"/>
                <w:b/>
                <w:sz w:val="21"/>
                <w:szCs w:val="21"/>
              </w:rPr>
            </w:pPr>
            <w:r>
              <w:rPr>
                <w:rFonts w:ascii="Times New Roman"/>
                <w:b/>
                <w:sz w:val="21"/>
                <w:szCs w:val="21"/>
              </w:rPr>
              <w:t>统计项目</w:t>
            </w:r>
          </w:p>
        </w:tc>
        <w:tc>
          <w:tcPr>
            <w:tcW w:w="1462" w:type="pct"/>
            <w:vAlign w:val="center"/>
          </w:tcPr>
          <w:p w14:paraId="77947849">
            <w:pPr>
              <w:jc w:val="center"/>
              <w:textAlignment w:val="baseline"/>
              <w:rPr>
                <w:rFonts w:ascii="Times New Roman"/>
                <w:b/>
                <w:sz w:val="21"/>
                <w:szCs w:val="21"/>
              </w:rPr>
            </w:pPr>
            <w:r>
              <w:rPr>
                <w:rFonts w:ascii="Times New Roman"/>
                <w:b/>
                <w:sz w:val="21"/>
                <w:szCs w:val="21"/>
              </w:rPr>
              <w:t>数据</w:t>
            </w:r>
          </w:p>
        </w:tc>
        <w:tc>
          <w:tcPr>
            <w:tcW w:w="646" w:type="pct"/>
            <w:vAlign w:val="center"/>
          </w:tcPr>
          <w:p w14:paraId="0DB86A82">
            <w:pPr>
              <w:jc w:val="center"/>
              <w:textAlignment w:val="baseline"/>
              <w:rPr>
                <w:rFonts w:ascii="Times New Roman"/>
                <w:b/>
                <w:sz w:val="21"/>
                <w:szCs w:val="21"/>
              </w:rPr>
            </w:pPr>
            <w:r>
              <w:rPr>
                <w:rFonts w:ascii="Times New Roman"/>
                <w:b/>
                <w:sz w:val="21"/>
                <w:szCs w:val="21"/>
              </w:rPr>
              <w:t>单位</w:t>
            </w:r>
          </w:p>
        </w:tc>
      </w:tr>
      <w:tr w14:paraId="5E9A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43CE4242">
            <w:pPr>
              <w:adjustRightInd w:val="0"/>
              <w:jc w:val="center"/>
              <w:textAlignment w:val="baseline"/>
              <w:rPr>
                <w:rFonts w:ascii="Times New Roman"/>
                <w:kern w:val="0"/>
                <w:sz w:val="21"/>
                <w:szCs w:val="21"/>
              </w:rPr>
            </w:pPr>
            <w:r>
              <w:rPr>
                <w:rFonts w:ascii="Times New Roman"/>
                <w:kern w:val="0"/>
                <w:sz w:val="21"/>
                <w:szCs w:val="21"/>
              </w:rPr>
              <w:t>1</w:t>
            </w:r>
          </w:p>
        </w:tc>
        <w:tc>
          <w:tcPr>
            <w:tcW w:w="2413" w:type="pct"/>
            <w:vAlign w:val="center"/>
          </w:tcPr>
          <w:p w14:paraId="562D9F99">
            <w:pPr>
              <w:ind w:firstLine="420" w:firstLineChars="200"/>
              <w:jc w:val="center"/>
              <w:textAlignment w:val="baseline"/>
              <w:rPr>
                <w:rFonts w:ascii="Times New Roman"/>
                <w:sz w:val="21"/>
                <w:szCs w:val="21"/>
              </w:rPr>
            </w:pPr>
            <w:r>
              <w:rPr>
                <w:rFonts w:ascii="Times New Roman"/>
                <w:sz w:val="21"/>
                <w:szCs w:val="21"/>
              </w:rPr>
              <w:t>累年平均气温</w:t>
            </w:r>
          </w:p>
        </w:tc>
        <w:tc>
          <w:tcPr>
            <w:tcW w:w="1462" w:type="pct"/>
            <w:vAlign w:val="center"/>
          </w:tcPr>
          <w:p w14:paraId="55E7C52F">
            <w:pPr>
              <w:jc w:val="center"/>
              <w:textAlignment w:val="baseline"/>
              <w:rPr>
                <w:rFonts w:ascii="Times New Roman"/>
                <w:sz w:val="21"/>
                <w:szCs w:val="21"/>
              </w:rPr>
            </w:pPr>
            <w:r>
              <w:rPr>
                <w:rFonts w:ascii="Times New Roman"/>
                <w:sz w:val="21"/>
                <w:szCs w:val="21"/>
              </w:rPr>
              <w:t>12.41</w:t>
            </w:r>
          </w:p>
        </w:tc>
        <w:tc>
          <w:tcPr>
            <w:tcW w:w="646" w:type="pct"/>
            <w:vAlign w:val="center"/>
          </w:tcPr>
          <w:p w14:paraId="0AD76799">
            <w:pPr>
              <w:jc w:val="center"/>
              <w:textAlignment w:val="baseline"/>
              <w:rPr>
                <w:rFonts w:ascii="Times New Roman"/>
                <w:sz w:val="21"/>
                <w:szCs w:val="21"/>
              </w:rPr>
            </w:pPr>
            <w:r>
              <w:rPr>
                <w:rFonts w:ascii="Times New Roman"/>
                <w:sz w:val="21"/>
                <w:szCs w:val="21"/>
              </w:rPr>
              <w:t>℃</w:t>
            </w:r>
          </w:p>
        </w:tc>
      </w:tr>
      <w:tr w14:paraId="6BF4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218E1ED3">
            <w:pPr>
              <w:adjustRightInd w:val="0"/>
              <w:jc w:val="center"/>
              <w:textAlignment w:val="baseline"/>
              <w:rPr>
                <w:rFonts w:ascii="Times New Roman"/>
                <w:kern w:val="0"/>
                <w:sz w:val="21"/>
                <w:szCs w:val="21"/>
              </w:rPr>
            </w:pPr>
            <w:r>
              <w:rPr>
                <w:rFonts w:ascii="Times New Roman"/>
                <w:kern w:val="0"/>
                <w:sz w:val="21"/>
                <w:szCs w:val="21"/>
              </w:rPr>
              <w:t>2</w:t>
            </w:r>
          </w:p>
        </w:tc>
        <w:tc>
          <w:tcPr>
            <w:tcW w:w="2413" w:type="pct"/>
            <w:vAlign w:val="center"/>
          </w:tcPr>
          <w:p w14:paraId="3E6E1D91">
            <w:pPr>
              <w:ind w:firstLine="420" w:firstLineChars="200"/>
              <w:jc w:val="center"/>
              <w:textAlignment w:val="baseline"/>
              <w:rPr>
                <w:rFonts w:ascii="Times New Roman"/>
                <w:sz w:val="21"/>
                <w:szCs w:val="21"/>
              </w:rPr>
            </w:pPr>
            <w:r>
              <w:rPr>
                <w:rFonts w:ascii="Times New Roman"/>
                <w:sz w:val="21"/>
                <w:szCs w:val="21"/>
              </w:rPr>
              <w:t>累年极端最高气温</w:t>
            </w:r>
          </w:p>
        </w:tc>
        <w:tc>
          <w:tcPr>
            <w:tcW w:w="1462" w:type="pct"/>
            <w:vAlign w:val="center"/>
          </w:tcPr>
          <w:p w14:paraId="05A49BD1">
            <w:pPr>
              <w:jc w:val="center"/>
              <w:textAlignment w:val="baseline"/>
              <w:rPr>
                <w:rFonts w:ascii="Times New Roman"/>
                <w:sz w:val="21"/>
                <w:szCs w:val="21"/>
              </w:rPr>
            </w:pPr>
            <w:r>
              <w:rPr>
                <w:rFonts w:ascii="Times New Roman"/>
                <w:sz w:val="21"/>
                <w:szCs w:val="21"/>
              </w:rPr>
              <w:t>-22.8</w:t>
            </w:r>
          </w:p>
        </w:tc>
        <w:tc>
          <w:tcPr>
            <w:tcW w:w="646" w:type="pct"/>
            <w:vAlign w:val="center"/>
          </w:tcPr>
          <w:p w14:paraId="56BB2479">
            <w:pPr>
              <w:jc w:val="center"/>
              <w:textAlignment w:val="baseline"/>
              <w:rPr>
                <w:rFonts w:ascii="Times New Roman"/>
                <w:sz w:val="21"/>
                <w:szCs w:val="21"/>
              </w:rPr>
            </w:pPr>
            <w:r>
              <w:rPr>
                <w:rFonts w:ascii="Times New Roman"/>
                <w:sz w:val="21"/>
                <w:szCs w:val="21"/>
              </w:rPr>
              <w:t>℃</w:t>
            </w:r>
          </w:p>
        </w:tc>
      </w:tr>
      <w:tr w14:paraId="7601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569C5352">
            <w:pPr>
              <w:adjustRightInd w:val="0"/>
              <w:jc w:val="center"/>
              <w:textAlignment w:val="baseline"/>
              <w:rPr>
                <w:rFonts w:ascii="Times New Roman"/>
                <w:kern w:val="0"/>
                <w:sz w:val="21"/>
                <w:szCs w:val="21"/>
              </w:rPr>
            </w:pPr>
            <w:r>
              <w:rPr>
                <w:rFonts w:ascii="Times New Roman"/>
                <w:kern w:val="0"/>
                <w:sz w:val="21"/>
                <w:szCs w:val="21"/>
              </w:rPr>
              <w:t>3</w:t>
            </w:r>
          </w:p>
        </w:tc>
        <w:tc>
          <w:tcPr>
            <w:tcW w:w="2413" w:type="pct"/>
            <w:vAlign w:val="center"/>
          </w:tcPr>
          <w:p w14:paraId="74B5B47E">
            <w:pPr>
              <w:ind w:firstLine="420" w:firstLineChars="200"/>
              <w:jc w:val="center"/>
              <w:textAlignment w:val="baseline"/>
              <w:rPr>
                <w:rFonts w:ascii="Times New Roman"/>
                <w:sz w:val="21"/>
                <w:szCs w:val="21"/>
              </w:rPr>
            </w:pPr>
            <w:r>
              <w:rPr>
                <w:rFonts w:ascii="Times New Roman"/>
                <w:sz w:val="21"/>
                <w:szCs w:val="21"/>
              </w:rPr>
              <w:t>累年极端最低气温</w:t>
            </w:r>
          </w:p>
        </w:tc>
        <w:tc>
          <w:tcPr>
            <w:tcW w:w="1462" w:type="pct"/>
            <w:vAlign w:val="center"/>
          </w:tcPr>
          <w:p w14:paraId="5ADC4964">
            <w:pPr>
              <w:jc w:val="center"/>
              <w:textAlignment w:val="baseline"/>
              <w:rPr>
                <w:rFonts w:ascii="Times New Roman"/>
                <w:sz w:val="21"/>
                <w:szCs w:val="21"/>
              </w:rPr>
            </w:pPr>
            <w:r>
              <w:rPr>
                <w:rFonts w:ascii="Times New Roman"/>
                <w:sz w:val="21"/>
                <w:szCs w:val="21"/>
              </w:rPr>
              <w:t>37.7</w:t>
            </w:r>
          </w:p>
        </w:tc>
        <w:tc>
          <w:tcPr>
            <w:tcW w:w="646" w:type="pct"/>
            <w:vAlign w:val="center"/>
          </w:tcPr>
          <w:p w14:paraId="453815A2">
            <w:pPr>
              <w:adjustRightInd w:val="0"/>
              <w:jc w:val="center"/>
              <w:textAlignment w:val="baseline"/>
              <w:rPr>
                <w:rFonts w:ascii="Times New Roman"/>
                <w:kern w:val="0"/>
                <w:sz w:val="21"/>
                <w:szCs w:val="21"/>
              </w:rPr>
            </w:pPr>
            <w:r>
              <w:rPr>
                <w:rFonts w:ascii="Times New Roman"/>
                <w:kern w:val="0"/>
                <w:sz w:val="21"/>
                <w:szCs w:val="21"/>
              </w:rPr>
              <w:t>℃</w:t>
            </w:r>
          </w:p>
        </w:tc>
      </w:tr>
      <w:tr w14:paraId="50E7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1617A570">
            <w:pPr>
              <w:adjustRightInd w:val="0"/>
              <w:jc w:val="center"/>
              <w:textAlignment w:val="baseline"/>
              <w:rPr>
                <w:rFonts w:ascii="Times New Roman"/>
                <w:kern w:val="0"/>
                <w:sz w:val="21"/>
                <w:szCs w:val="21"/>
              </w:rPr>
            </w:pPr>
            <w:r>
              <w:rPr>
                <w:rFonts w:ascii="Times New Roman"/>
                <w:kern w:val="0"/>
                <w:sz w:val="21"/>
                <w:szCs w:val="21"/>
              </w:rPr>
              <w:t>4</w:t>
            </w:r>
          </w:p>
        </w:tc>
        <w:tc>
          <w:tcPr>
            <w:tcW w:w="2413" w:type="pct"/>
            <w:vAlign w:val="center"/>
          </w:tcPr>
          <w:p w14:paraId="3F35DFC9">
            <w:pPr>
              <w:ind w:firstLine="420" w:firstLineChars="200"/>
              <w:jc w:val="center"/>
              <w:textAlignment w:val="baseline"/>
              <w:rPr>
                <w:rFonts w:ascii="Times New Roman"/>
                <w:sz w:val="21"/>
                <w:szCs w:val="21"/>
              </w:rPr>
            </w:pPr>
            <w:r>
              <w:rPr>
                <w:rFonts w:ascii="Times New Roman"/>
                <w:sz w:val="21"/>
                <w:szCs w:val="21"/>
              </w:rPr>
              <w:t>累年平均气压</w:t>
            </w:r>
          </w:p>
        </w:tc>
        <w:tc>
          <w:tcPr>
            <w:tcW w:w="1462" w:type="pct"/>
            <w:vAlign w:val="center"/>
          </w:tcPr>
          <w:p w14:paraId="5E88E991">
            <w:pPr>
              <w:jc w:val="center"/>
              <w:textAlignment w:val="baseline"/>
              <w:rPr>
                <w:rFonts w:ascii="Times New Roman"/>
                <w:sz w:val="21"/>
                <w:szCs w:val="21"/>
              </w:rPr>
            </w:pPr>
            <w:r>
              <w:rPr>
                <w:rFonts w:ascii="Times New Roman"/>
                <w:sz w:val="21"/>
                <w:szCs w:val="21"/>
              </w:rPr>
              <w:t>1016.52</w:t>
            </w:r>
          </w:p>
        </w:tc>
        <w:tc>
          <w:tcPr>
            <w:tcW w:w="646" w:type="pct"/>
            <w:vAlign w:val="center"/>
          </w:tcPr>
          <w:p w14:paraId="3188487F">
            <w:pPr>
              <w:jc w:val="center"/>
              <w:textAlignment w:val="baseline"/>
              <w:rPr>
                <w:rFonts w:ascii="Times New Roman"/>
                <w:sz w:val="21"/>
                <w:szCs w:val="21"/>
              </w:rPr>
            </w:pPr>
            <w:r>
              <w:rPr>
                <w:rFonts w:ascii="Times New Roman"/>
                <w:sz w:val="21"/>
                <w:szCs w:val="21"/>
              </w:rPr>
              <w:t>hPa</w:t>
            </w:r>
          </w:p>
        </w:tc>
      </w:tr>
      <w:tr w14:paraId="01E4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5123FB3C">
            <w:pPr>
              <w:adjustRightInd w:val="0"/>
              <w:jc w:val="center"/>
              <w:textAlignment w:val="baseline"/>
              <w:rPr>
                <w:rFonts w:ascii="Times New Roman"/>
                <w:kern w:val="0"/>
                <w:sz w:val="21"/>
                <w:szCs w:val="21"/>
              </w:rPr>
            </w:pPr>
            <w:r>
              <w:rPr>
                <w:rFonts w:ascii="Times New Roman"/>
                <w:kern w:val="0"/>
                <w:sz w:val="21"/>
                <w:szCs w:val="21"/>
              </w:rPr>
              <w:t>5</w:t>
            </w:r>
          </w:p>
        </w:tc>
        <w:tc>
          <w:tcPr>
            <w:tcW w:w="2413" w:type="pct"/>
            <w:vAlign w:val="center"/>
          </w:tcPr>
          <w:p w14:paraId="31D9768B">
            <w:pPr>
              <w:ind w:firstLine="420" w:firstLineChars="200"/>
              <w:jc w:val="center"/>
              <w:textAlignment w:val="baseline"/>
              <w:rPr>
                <w:rFonts w:ascii="Times New Roman"/>
                <w:sz w:val="21"/>
                <w:szCs w:val="21"/>
              </w:rPr>
            </w:pPr>
            <w:r>
              <w:rPr>
                <w:rFonts w:ascii="Times New Roman"/>
                <w:sz w:val="21"/>
                <w:szCs w:val="21"/>
              </w:rPr>
              <w:t>累年平均相对湿度</w:t>
            </w:r>
          </w:p>
        </w:tc>
        <w:tc>
          <w:tcPr>
            <w:tcW w:w="1462" w:type="pct"/>
            <w:vAlign w:val="center"/>
          </w:tcPr>
          <w:p w14:paraId="0983208E">
            <w:pPr>
              <w:jc w:val="center"/>
              <w:textAlignment w:val="baseline"/>
              <w:rPr>
                <w:rFonts w:ascii="Times New Roman"/>
                <w:sz w:val="21"/>
                <w:szCs w:val="21"/>
              </w:rPr>
            </w:pPr>
            <w:r>
              <w:rPr>
                <w:rFonts w:ascii="Times New Roman"/>
                <w:sz w:val="21"/>
                <w:szCs w:val="21"/>
              </w:rPr>
              <w:t>65.18</w:t>
            </w:r>
          </w:p>
        </w:tc>
        <w:tc>
          <w:tcPr>
            <w:tcW w:w="646" w:type="pct"/>
            <w:vAlign w:val="center"/>
          </w:tcPr>
          <w:p w14:paraId="466EB1AD">
            <w:pPr>
              <w:jc w:val="center"/>
              <w:textAlignment w:val="baseline"/>
              <w:rPr>
                <w:rFonts w:ascii="Times New Roman"/>
                <w:sz w:val="21"/>
                <w:szCs w:val="21"/>
              </w:rPr>
            </w:pPr>
            <w:r>
              <w:rPr>
                <w:rFonts w:ascii="Times New Roman"/>
                <w:sz w:val="21"/>
                <w:szCs w:val="21"/>
              </w:rPr>
              <w:t>%</w:t>
            </w:r>
          </w:p>
        </w:tc>
      </w:tr>
      <w:tr w14:paraId="5C0C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1CF2A6BF">
            <w:pPr>
              <w:adjustRightInd w:val="0"/>
              <w:jc w:val="center"/>
              <w:textAlignment w:val="baseline"/>
              <w:rPr>
                <w:rFonts w:ascii="Times New Roman"/>
                <w:kern w:val="0"/>
                <w:sz w:val="21"/>
                <w:szCs w:val="21"/>
              </w:rPr>
            </w:pPr>
            <w:r>
              <w:rPr>
                <w:rFonts w:ascii="Times New Roman"/>
                <w:kern w:val="0"/>
                <w:sz w:val="21"/>
                <w:szCs w:val="21"/>
              </w:rPr>
              <w:t>6</w:t>
            </w:r>
          </w:p>
        </w:tc>
        <w:tc>
          <w:tcPr>
            <w:tcW w:w="2413" w:type="pct"/>
            <w:vAlign w:val="center"/>
          </w:tcPr>
          <w:p w14:paraId="44F5DA95">
            <w:pPr>
              <w:ind w:firstLine="420" w:firstLineChars="200"/>
              <w:jc w:val="center"/>
              <w:textAlignment w:val="baseline"/>
              <w:rPr>
                <w:rFonts w:ascii="Times New Roman"/>
                <w:sz w:val="21"/>
                <w:szCs w:val="21"/>
              </w:rPr>
            </w:pPr>
            <w:r>
              <w:rPr>
                <w:rFonts w:ascii="Times New Roman"/>
                <w:sz w:val="21"/>
                <w:szCs w:val="21"/>
              </w:rPr>
              <w:t>累年平均降水量</w:t>
            </w:r>
          </w:p>
        </w:tc>
        <w:tc>
          <w:tcPr>
            <w:tcW w:w="1462" w:type="pct"/>
            <w:vAlign w:val="center"/>
          </w:tcPr>
          <w:p w14:paraId="084861B6">
            <w:pPr>
              <w:jc w:val="center"/>
              <w:textAlignment w:val="baseline"/>
              <w:rPr>
                <w:rFonts w:ascii="Times New Roman"/>
                <w:sz w:val="21"/>
                <w:szCs w:val="21"/>
              </w:rPr>
            </w:pPr>
            <w:r>
              <w:rPr>
                <w:rFonts w:ascii="Times New Roman"/>
                <w:sz w:val="21"/>
                <w:szCs w:val="21"/>
              </w:rPr>
              <w:t>573.26</w:t>
            </w:r>
          </w:p>
        </w:tc>
        <w:tc>
          <w:tcPr>
            <w:tcW w:w="646" w:type="pct"/>
            <w:vAlign w:val="center"/>
          </w:tcPr>
          <w:p w14:paraId="0E185D04">
            <w:pPr>
              <w:jc w:val="center"/>
              <w:textAlignment w:val="baseline"/>
              <w:rPr>
                <w:rFonts w:ascii="Times New Roman"/>
                <w:sz w:val="21"/>
                <w:szCs w:val="21"/>
              </w:rPr>
            </w:pPr>
            <w:r>
              <w:rPr>
                <w:rFonts w:ascii="Times New Roman"/>
                <w:sz w:val="21"/>
                <w:szCs w:val="21"/>
              </w:rPr>
              <w:t>mm</w:t>
            </w:r>
          </w:p>
        </w:tc>
      </w:tr>
      <w:tr w14:paraId="6842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vAlign w:val="center"/>
          </w:tcPr>
          <w:p w14:paraId="13F9B420">
            <w:pPr>
              <w:adjustRightInd w:val="0"/>
              <w:jc w:val="center"/>
              <w:textAlignment w:val="baseline"/>
              <w:rPr>
                <w:rFonts w:ascii="Times New Roman"/>
                <w:kern w:val="0"/>
                <w:sz w:val="21"/>
                <w:szCs w:val="21"/>
              </w:rPr>
            </w:pPr>
            <w:r>
              <w:rPr>
                <w:rFonts w:ascii="Times New Roman"/>
                <w:kern w:val="0"/>
                <w:sz w:val="21"/>
                <w:szCs w:val="21"/>
              </w:rPr>
              <w:t>7</w:t>
            </w:r>
          </w:p>
        </w:tc>
        <w:tc>
          <w:tcPr>
            <w:tcW w:w="2413" w:type="pct"/>
            <w:vAlign w:val="center"/>
          </w:tcPr>
          <w:p w14:paraId="3EDB2C16">
            <w:pPr>
              <w:ind w:firstLine="420" w:firstLineChars="200"/>
              <w:jc w:val="center"/>
              <w:textAlignment w:val="baseline"/>
              <w:rPr>
                <w:rFonts w:ascii="Times New Roman"/>
                <w:sz w:val="21"/>
                <w:szCs w:val="21"/>
              </w:rPr>
            </w:pPr>
            <w:r>
              <w:rPr>
                <w:rFonts w:hint="eastAsia" w:ascii="Times New Roman"/>
                <w:sz w:val="21"/>
                <w:szCs w:val="21"/>
              </w:rPr>
              <w:t>多年平均最大日降水量</w:t>
            </w:r>
          </w:p>
        </w:tc>
        <w:tc>
          <w:tcPr>
            <w:tcW w:w="1462" w:type="pct"/>
            <w:vAlign w:val="center"/>
          </w:tcPr>
          <w:p w14:paraId="2A39F1B1">
            <w:pPr>
              <w:jc w:val="center"/>
              <w:textAlignment w:val="baseline"/>
              <w:rPr>
                <w:rFonts w:ascii="Times New Roman"/>
                <w:sz w:val="21"/>
                <w:szCs w:val="21"/>
              </w:rPr>
            </w:pPr>
            <w:r>
              <w:rPr>
                <w:rFonts w:ascii="Times New Roman"/>
                <w:sz w:val="21"/>
                <w:szCs w:val="21"/>
              </w:rPr>
              <w:t>82.54</w:t>
            </w:r>
          </w:p>
        </w:tc>
        <w:tc>
          <w:tcPr>
            <w:tcW w:w="646" w:type="pct"/>
            <w:vAlign w:val="center"/>
          </w:tcPr>
          <w:p w14:paraId="04F4443D">
            <w:pPr>
              <w:jc w:val="center"/>
              <w:textAlignment w:val="baseline"/>
              <w:rPr>
                <w:rFonts w:ascii="Times New Roman"/>
                <w:sz w:val="21"/>
                <w:szCs w:val="21"/>
              </w:rPr>
            </w:pPr>
            <w:r>
              <w:rPr>
                <w:rFonts w:ascii="Times New Roman"/>
                <w:sz w:val="21"/>
                <w:szCs w:val="21"/>
              </w:rPr>
              <w:t>mm</w:t>
            </w:r>
          </w:p>
        </w:tc>
      </w:tr>
    </w:tbl>
    <w:p w14:paraId="4392003A">
      <w:pPr>
        <w:spacing w:line="360" w:lineRule="auto"/>
        <w:outlineLvl w:val="2"/>
        <w:rPr>
          <w:rFonts w:ascii="Times New Roman"/>
          <w:b/>
          <w:sz w:val="28"/>
          <w:szCs w:val="28"/>
        </w:rPr>
      </w:pPr>
      <w:r>
        <w:rPr>
          <w:rFonts w:ascii="Times New Roman"/>
          <w:b/>
          <w:sz w:val="28"/>
          <w:szCs w:val="28"/>
        </w:rPr>
        <w:t>4.1.8土壤</w:t>
      </w:r>
    </w:p>
    <w:p w14:paraId="5822B74A">
      <w:pPr>
        <w:pStyle w:val="405"/>
        <w:ind w:firstLine="480"/>
        <w:rPr>
          <w:rFonts w:ascii="Times New Roman"/>
          <w:szCs w:val="22"/>
        </w:rPr>
      </w:pPr>
      <w:r>
        <w:rPr>
          <w:rFonts w:ascii="Times New Roman"/>
          <w:szCs w:val="22"/>
        </w:rPr>
        <w:t>曹妃甸区土壤共分</w:t>
      </w:r>
      <w:r>
        <w:rPr>
          <w:rFonts w:hint="eastAsia" w:ascii="Times New Roman"/>
          <w:szCs w:val="22"/>
        </w:rPr>
        <w:t>4</w:t>
      </w:r>
      <w:r>
        <w:rPr>
          <w:rFonts w:ascii="Times New Roman"/>
          <w:szCs w:val="22"/>
        </w:rPr>
        <w:t>个土类（水稻土、潮土、盐土</w:t>
      </w:r>
      <w:r>
        <w:rPr>
          <w:rFonts w:hint="eastAsia" w:ascii="Times New Roman"/>
          <w:szCs w:val="22"/>
        </w:rPr>
        <w:t>、新积土</w:t>
      </w:r>
      <w:r>
        <w:rPr>
          <w:rFonts w:ascii="Times New Roman"/>
          <w:szCs w:val="22"/>
        </w:rPr>
        <w:t>），9个亚类，14个土属，41个土种。潮土土类分为褐化潮土、潮土、盐化潮土、盐化湿潮土4个亚类；水稻土土类分为淹育型水稻土、盐渍型水稻土2个亚类；盐土土类分为滨海盐土、滨海草甸盐土、沼泽草甸盐土3个亚类。成土母质多为重壤质三角洲沉积物，土体含盐量在0.1%～2.5%之间，属滨海以氯化物为主的盐渍土。土壤表面质地因受母质与海水、河流的影响，由北向南逐渐粘重，形成了北部沙质、中部壤质、南部粘质的状况。区域土壤养分普遍缺磷富钾，有机质和氮素含量中等偏低。</w:t>
      </w:r>
    </w:p>
    <w:p w14:paraId="53185C55">
      <w:pPr>
        <w:spacing w:line="360" w:lineRule="auto"/>
        <w:ind w:firstLine="500" w:firstLineChars="200"/>
        <w:rPr>
          <w:rFonts w:ascii="Times New Roman"/>
          <w:sz w:val="24"/>
          <w:szCs w:val="24"/>
        </w:rPr>
      </w:pPr>
      <w:r>
        <w:rPr>
          <w:rFonts w:ascii="Times New Roman"/>
          <w:bCs/>
          <w:szCs w:val="22"/>
        </w:rPr>
        <w:t>根据国家土壤信息服务平台中土壤类型发生分类——中国1公里发生分类土壤图，该图是基于二普调查土壤图生成的栅格图。项目所在地所属的土壤类型为滨海潮滩盐土</w:t>
      </w:r>
      <w:r>
        <w:rPr>
          <w:rFonts w:ascii="Times New Roman"/>
          <w:sz w:val="24"/>
          <w:szCs w:val="24"/>
        </w:rPr>
        <w:t>。</w:t>
      </w:r>
    </w:p>
    <w:p w14:paraId="0067A1CB">
      <w:pPr>
        <w:spacing w:line="360" w:lineRule="auto"/>
        <w:outlineLvl w:val="2"/>
        <w:rPr>
          <w:rFonts w:ascii="Times New Roman"/>
          <w:b/>
          <w:sz w:val="28"/>
          <w:szCs w:val="28"/>
        </w:rPr>
      </w:pPr>
      <w:r>
        <w:rPr>
          <w:rFonts w:ascii="Times New Roman"/>
          <w:b/>
          <w:sz w:val="28"/>
          <w:szCs w:val="28"/>
        </w:rPr>
        <w:t>4.1.9敏感环境保护目标调查</w:t>
      </w:r>
    </w:p>
    <w:p w14:paraId="1ECD5EF1">
      <w:pPr>
        <w:widowControl/>
        <w:spacing w:line="360" w:lineRule="auto"/>
        <w:ind w:firstLine="480" w:firstLineChars="200"/>
        <w:rPr>
          <w:rFonts w:ascii="Times New Roman"/>
          <w:kern w:val="0"/>
          <w:sz w:val="24"/>
          <w:szCs w:val="24"/>
        </w:rPr>
      </w:pPr>
      <w:r>
        <w:rPr>
          <w:rFonts w:ascii="Times New Roman"/>
          <w:kern w:val="0"/>
          <w:sz w:val="24"/>
          <w:szCs w:val="24"/>
        </w:rPr>
        <w:t>曹妃甸湿地和鸟类省级自然保护区位于河北省唐山市曹妃甸区西南部，地理位置处于北纬39°9′24″~39°14′28″，东经118°15′42″~118°23′24″之间。2003年，原唐海县有关部门组织力量对唐海湿地环境、自然资源、动植物资源、社会经济状况进行了综合考察。2004年唐海县人民政府批准成立湿地与鸟类自然保护区（县级），2005年唐海县人民政府申请建立</w:t>
      </w:r>
      <w:r>
        <w:rPr>
          <w:rFonts w:hint="eastAsia" w:ascii="Times New Roman"/>
          <w:kern w:val="0"/>
          <w:sz w:val="24"/>
          <w:szCs w:val="24"/>
        </w:rPr>
        <w:t>“</w:t>
      </w:r>
      <w:r>
        <w:rPr>
          <w:rFonts w:ascii="Times New Roman"/>
          <w:kern w:val="0"/>
          <w:sz w:val="24"/>
          <w:szCs w:val="24"/>
        </w:rPr>
        <w:t>唐海湿地和鸟类省级自然保护区</w:t>
      </w:r>
      <w:r>
        <w:rPr>
          <w:rFonts w:hint="eastAsia" w:ascii="Times New Roman"/>
          <w:kern w:val="0"/>
          <w:sz w:val="24"/>
          <w:szCs w:val="24"/>
        </w:rPr>
        <w:t>”</w:t>
      </w:r>
      <w:r>
        <w:rPr>
          <w:rFonts w:ascii="Times New Roman"/>
          <w:kern w:val="0"/>
          <w:sz w:val="24"/>
          <w:szCs w:val="24"/>
        </w:rPr>
        <w:t>，2005年9月河北省人民政府批准升级为省级自然保护区，2008年</w:t>
      </w:r>
      <w:r>
        <w:rPr>
          <w:rFonts w:hint="eastAsia" w:ascii="Times New Roman"/>
          <w:kern w:val="0"/>
          <w:sz w:val="24"/>
          <w:szCs w:val="24"/>
        </w:rPr>
        <w:t>1</w:t>
      </w:r>
      <w:r>
        <w:rPr>
          <w:rFonts w:ascii="Times New Roman"/>
          <w:kern w:val="0"/>
          <w:sz w:val="24"/>
          <w:szCs w:val="24"/>
        </w:rPr>
        <w:t>月，河北省政府对该保护区的范围及功能区划分进行了调整。调整后保护区总面积为11604公顷，其中核心区面积3504公顷；缓冲区面积1503公顷；实验区面积6057公顷。</w:t>
      </w:r>
    </w:p>
    <w:p w14:paraId="0A997309">
      <w:pPr>
        <w:widowControl/>
        <w:spacing w:line="360" w:lineRule="auto"/>
        <w:ind w:firstLine="480" w:firstLineChars="200"/>
        <w:rPr>
          <w:rFonts w:ascii="Times New Roman"/>
          <w:kern w:val="0"/>
          <w:sz w:val="24"/>
          <w:szCs w:val="24"/>
        </w:rPr>
      </w:pPr>
      <w:r>
        <w:rPr>
          <w:rFonts w:ascii="Times New Roman"/>
          <w:kern w:val="0"/>
          <w:sz w:val="24"/>
          <w:szCs w:val="24"/>
        </w:rPr>
        <w:t>2012年8月，河北省政府冀政办函〔2012〕80号文再次同意将保护区实验区面积调整为5074.4公顷，保护区总面积变为10081.4公顷，其中核心区面积3504公顷，占全区34.76%；缓冲区面积1503公顷，占全区 14.91%；实验区面积5074.4公顷，占全区50.33%。2012年国务院批准同意撤销唐海县，设立唐山市曹妃甸区，保护区名称改为</w:t>
      </w:r>
      <w:r>
        <w:rPr>
          <w:rFonts w:hint="eastAsia" w:ascii="Times New Roman"/>
          <w:kern w:val="0"/>
          <w:sz w:val="24"/>
          <w:szCs w:val="24"/>
        </w:rPr>
        <w:t>“</w:t>
      </w:r>
      <w:r>
        <w:rPr>
          <w:rFonts w:ascii="Times New Roman"/>
          <w:kern w:val="0"/>
          <w:sz w:val="24"/>
          <w:szCs w:val="24"/>
        </w:rPr>
        <w:t>曹妃甸湿地和鸟类省级自然保护区</w:t>
      </w:r>
      <w:r>
        <w:rPr>
          <w:rFonts w:hint="eastAsia" w:ascii="Times New Roman"/>
          <w:kern w:val="0"/>
          <w:sz w:val="24"/>
          <w:szCs w:val="24"/>
        </w:rPr>
        <w:t>”</w:t>
      </w:r>
      <w:r>
        <w:rPr>
          <w:rFonts w:ascii="Times New Roman"/>
          <w:kern w:val="0"/>
          <w:sz w:val="24"/>
          <w:szCs w:val="24"/>
        </w:rPr>
        <w:t>。</w:t>
      </w:r>
    </w:p>
    <w:p w14:paraId="1CE267E2">
      <w:pPr>
        <w:widowControl/>
        <w:spacing w:line="360" w:lineRule="auto"/>
        <w:ind w:firstLine="480" w:firstLineChars="200"/>
        <w:rPr>
          <w:rFonts w:ascii="Times New Roman"/>
          <w:kern w:val="0"/>
          <w:sz w:val="24"/>
          <w:szCs w:val="24"/>
        </w:rPr>
      </w:pPr>
      <w:r>
        <w:rPr>
          <w:rFonts w:ascii="Times New Roman"/>
          <w:kern w:val="0"/>
          <w:sz w:val="24"/>
          <w:szCs w:val="24"/>
        </w:rPr>
        <w:t>曹妃甸湿地和鸟类省级自然保护区属于野生动物类型的自然保护区，保护对象主要是湿地生态系统和鸟类。根据2019年收集到的曹妃甸区湿地内不同季节鸟类观察资料，保护区内有鸟类307种，占全国鸟类总数（1371种）的22.4%。隶属58科118目45属，国家Ⅰ级重点保护鸟类9种，国家Ⅱ级重点保护鸟类41种，占鸟类总数的13.36％。有17种被中国物种红色名录评估为受威胁物种。其中极危1种，濒危3种，易危13种，除此之外，还有国家保护的有益或者有重要经济、科研价值的野生鸟类207种，占总数的67.4%；河北省重点保护鸟类18种，占总数的5.86%；河北省保护的有益的或有重要经济、科学研究价值的野生鸟类57种，占总种数的18.57%。</w:t>
      </w:r>
    </w:p>
    <w:p w14:paraId="08910335">
      <w:pPr>
        <w:widowControl/>
        <w:spacing w:line="360" w:lineRule="auto"/>
        <w:ind w:firstLine="480" w:firstLineChars="200"/>
        <w:rPr>
          <w:rFonts w:ascii="Times New Roman"/>
          <w:kern w:val="0"/>
          <w:sz w:val="24"/>
          <w:szCs w:val="24"/>
        </w:rPr>
      </w:pPr>
      <w:r>
        <w:rPr>
          <w:rFonts w:ascii="Times New Roman"/>
          <w:kern w:val="0"/>
          <w:sz w:val="24"/>
          <w:szCs w:val="24"/>
        </w:rPr>
        <w:t>根据《河北曹妃甸湿地和鸟类省级自然保护区规划（2018</w:t>
      </w:r>
      <w:r>
        <w:rPr>
          <w:rFonts w:hint="eastAsia" w:ascii="Times New Roman"/>
          <w:kern w:val="0"/>
          <w:sz w:val="24"/>
          <w:szCs w:val="24"/>
        </w:rPr>
        <w:t>-</w:t>
      </w:r>
      <w:r>
        <w:rPr>
          <w:rFonts w:ascii="Times New Roman"/>
          <w:kern w:val="0"/>
          <w:sz w:val="24"/>
          <w:szCs w:val="24"/>
        </w:rPr>
        <w:t>2035年）》，规划以沼泽湿地生态系统和珍稀水鸟及其栖息地为重点，综合划定核心区、缓冲区和实验区。</w:t>
      </w:r>
    </w:p>
    <w:p w14:paraId="5CC7B372">
      <w:pPr>
        <w:widowControl/>
        <w:spacing w:line="360" w:lineRule="auto"/>
        <w:ind w:firstLine="480" w:firstLineChars="200"/>
        <w:rPr>
          <w:rFonts w:ascii="Times New Roman"/>
          <w:kern w:val="0"/>
          <w:sz w:val="24"/>
          <w:szCs w:val="24"/>
        </w:rPr>
      </w:pPr>
      <w:r>
        <w:rPr>
          <w:rFonts w:hint="eastAsia" w:ascii="Times New Roman" w:cs="宋体"/>
          <w:kern w:val="0"/>
          <w:sz w:val="24"/>
          <w:szCs w:val="24"/>
        </w:rPr>
        <w:t>①</w:t>
      </w:r>
      <w:r>
        <w:rPr>
          <w:rFonts w:ascii="Times New Roman"/>
          <w:kern w:val="0"/>
          <w:sz w:val="24"/>
          <w:szCs w:val="24"/>
        </w:rPr>
        <w:t>核心区</w:t>
      </w:r>
    </w:p>
    <w:p w14:paraId="0932D0BC">
      <w:pPr>
        <w:widowControl/>
        <w:spacing w:line="360" w:lineRule="auto"/>
        <w:ind w:firstLine="480" w:firstLineChars="200"/>
        <w:rPr>
          <w:rFonts w:ascii="Times New Roman"/>
          <w:kern w:val="0"/>
          <w:sz w:val="24"/>
          <w:szCs w:val="24"/>
        </w:rPr>
      </w:pPr>
      <w:r>
        <w:rPr>
          <w:rFonts w:ascii="Times New Roman"/>
          <w:kern w:val="0"/>
          <w:sz w:val="24"/>
          <w:szCs w:val="24"/>
        </w:rPr>
        <w:t>核心区的作用是保护保护区内的自然资源和自然环境，该区要尽量保持生态系统和生物物种不受人为干扰，在自然状态下演替繁衍，应具有完整性和安全性。核心区位于整个保护区的西南部，这里的自然生态环境最好、水域面积较大、水质最好、受干扰破坏最小，是保护区中最具代表性区域，是众多鸟类尤其是珍稀鸟类最为集中的栖息地。核心区面积3504hm</w:t>
      </w:r>
      <w:r>
        <w:rPr>
          <w:rFonts w:ascii="Times New Roman"/>
          <w:kern w:val="0"/>
          <w:sz w:val="24"/>
          <w:szCs w:val="24"/>
          <w:vertAlign w:val="superscript"/>
        </w:rPr>
        <w:t>2</w:t>
      </w:r>
      <w:r>
        <w:rPr>
          <w:rFonts w:ascii="Times New Roman"/>
          <w:kern w:val="0"/>
          <w:sz w:val="24"/>
          <w:szCs w:val="24"/>
        </w:rPr>
        <w:t>，占保护区总面积的34.76%。该区域没有固定居民，有大面积的芦苇湿地，每年迁徙季节有大批候鸟在此觅食、栖息。</w:t>
      </w:r>
    </w:p>
    <w:p w14:paraId="55E2D069">
      <w:pPr>
        <w:widowControl/>
        <w:spacing w:line="360" w:lineRule="auto"/>
        <w:ind w:firstLine="480" w:firstLineChars="200"/>
        <w:rPr>
          <w:rFonts w:ascii="Times New Roman"/>
          <w:kern w:val="0"/>
          <w:sz w:val="24"/>
          <w:szCs w:val="24"/>
        </w:rPr>
      </w:pPr>
      <w:r>
        <w:rPr>
          <w:rFonts w:hint="eastAsia" w:ascii="Times New Roman" w:cs="宋体"/>
          <w:kern w:val="0"/>
          <w:sz w:val="24"/>
          <w:szCs w:val="24"/>
        </w:rPr>
        <w:t>②</w:t>
      </w:r>
      <w:r>
        <w:rPr>
          <w:rFonts w:ascii="Times New Roman"/>
          <w:kern w:val="0"/>
          <w:sz w:val="24"/>
          <w:szCs w:val="24"/>
        </w:rPr>
        <w:t>缓冲区</w:t>
      </w:r>
    </w:p>
    <w:p w14:paraId="7053D28E">
      <w:pPr>
        <w:widowControl/>
        <w:spacing w:line="360" w:lineRule="auto"/>
        <w:ind w:firstLine="480" w:firstLineChars="200"/>
        <w:rPr>
          <w:rFonts w:ascii="Times New Roman"/>
          <w:kern w:val="0"/>
          <w:sz w:val="24"/>
          <w:szCs w:val="24"/>
        </w:rPr>
      </w:pPr>
      <w:r>
        <w:rPr>
          <w:rFonts w:ascii="Times New Roman"/>
          <w:kern w:val="0"/>
          <w:sz w:val="24"/>
          <w:szCs w:val="24"/>
        </w:rPr>
        <w:t>缓冲区的作用是缓解外界压力，防止人为活动对核心区的影响，对核心区生态系统及生存的物种保护具有必不可少的意义。该区域内可进行有组织的科学研究、实验观察，安排必要的监测项目和野外巡护与保护线路。缓冲区位于保护区核心区外围，将核心区与实验区相隔，可以防止和减少外界对核心区的干扰和影响，缓冲区面积1503hm</w:t>
      </w:r>
      <w:r>
        <w:rPr>
          <w:rFonts w:ascii="Times New Roman"/>
          <w:kern w:val="0"/>
          <w:sz w:val="24"/>
          <w:szCs w:val="24"/>
          <w:vertAlign w:val="superscript"/>
        </w:rPr>
        <w:t>2</w:t>
      </w:r>
      <w:r>
        <w:rPr>
          <w:rFonts w:ascii="Times New Roman"/>
          <w:kern w:val="0"/>
          <w:sz w:val="24"/>
          <w:szCs w:val="24"/>
        </w:rPr>
        <w:t>，占保护区总面积的13.58%，生态类型有水域、沼泽等自然湿地和少量稻田等人工湿地。</w:t>
      </w:r>
    </w:p>
    <w:p w14:paraId="2972B30A">
      <w:pPr>
        <w:widowControl/>
        <w:spacing w:line="360" w:lineRule="auto"/>
        <w:ind w:firstLine="480" w:firstLineChars="200"/>
        <w:rPr>
          <w:rFonts w:ascii="Times New Roman"/>
          <w:kern w:val="0"/>
          <w:sz w:val="24"/>
          <w:szCs w:val="24"/>
        </w:rPr>
      </w:pPr>
      <w:r>
        <w:rPr>
          <w:rFonts w:hint="eastAsia" w:ascii="Times New Roman" w:cs="宋体"/>
          <w:kern w:val="0"/>
          <w:sz w:val="24"/>
          <w:szCs w:val="24"/>
        </w:rPr>
        <w:t>③</w:t>
      </w:r>
      <w:r>
        <w:rPr>
          <w:rFonts w:ascii="Times New Roman"/>
          <w:kern w:val="0"/>
          <w:sz w:val="24"/>
          <w:szCs w:val="24"/>
        </w:rPr>
        <w:t>实验区</w:t>
      </w:r>
    </w:p>
    <w:p w14:paraId="565CBB5C">
      <w:pPr>
        <w:widowControl/>
        <w:spacing w:line="360" w:lineRule="auto"/>
        <w:ind w:firstLine="480" w:firstLineChars="200"/>
        <w:rPr>
          <w:rFonts w:ascii="Times New Roman"/>
          <w:kern w:val="0"/>
          <w:sz w:val="24"/>
          <w:szCs w:val="24"/>
        </w:rPr>
      </w:pPr>
      <w:r>
        <w:rPr>
          <w:rFonts w:ascii="Times New Roman"/>
          <w:kern w:val="0"/>
          <w:sz w:val="24"/>
          <w:szCs w:val="24"/>
        </w:rPr>
        <w:t>实验区位于缓冲区外围，它对核心区进一步起到缓冲作用，而且实验区的划分应在围绕保护主题的前提下，留出教学实习、多种经营和社区发展用地。实验区面积5074.4hm</w:t>
      </w:r>
      <w:r>
        <w:rPr>
          <w:rFonts w:ascii="Times New Roman"/>
          <w:kern w:val="0"/>
          <w:sz w:val="24"/>
          <w:szCs w:val="24"/>
          <w:vertAlign w:val="superscript"/>
        </w:rPr>
        <w:t>2</w:t>
      </w:r>
      <w:r>
        <w:rPr>
          <w:rFonts w:ascii="Times New Roman"/>
          <w:kern w:val="0"/>
          <w:sz w:val="24"/>
          <w:szCs w:val="24"/>
        </w:rPr>
        <w:t>，占保护区总面积的50.3%，包括部分次生生态系统和人工生态系统。此区人类活动干扰较大，自然生态环境不及缓冲区。可在实验区内建设科研中心、救护站、宣教中心等设施，并配合保护区基础设施建设积极开展包括休闲度假、观光旅游、生态农业等方面的旅游服务与农林渔业生产活动，以充分发挥保护区的宣教功能和生态旅游等功能，促进湿地资源合理利用和保护区周边经济的可持续发展。</w:t>
      </w:r>
    </w:p>
    <w:p w14:paraId="1D143955">
      <w:pPr>
        <w:spacing w:line="360" w:lineRule="auto"/>
        <w:ind w:firstLine="480" w:firstLineChars="200"/>
        <w:rPr>
          <w:rFonts w:ascii="Times New Roman"/>
          <w:sz w:val="24"/>
          <w:szCs w:val="24"/>
        </w:rPr>
      </w:pPr>
      <w:r>
        <w:rPr>
          <w:rFonts w:ascii="Times New Roman"/>
          <w:sz w:val="24"/>
          <w:szCs w:val="24"/>
        </w:rPr>
        <w:t>本项目距离该自然保护区</w:t>
      </w:r>
      <w:r>
        <w:rPr>
          <w:rFonts w:hint="eastAsia" w:ascii="Times New Roman"/>
          <w:sz w:val="24"/>
          <w:szCs w:val="24"/>
        </w:rPr>
        <w:t>11.2k</w:t>
      </w:r>
      <w:r>
        <w:rPr>
          <w:rFonts w:ascii="Times New Roman"/>
          <w:sz w:val="24"/>
          <w:szCs w:val="24"/>
        </w:rPr>
        <w:t>m，不在其保护范围内</w:t>
      </w:r>
    </w:p>
    <w:p w14:paraId="04CC4255">
      <w:pPr>
        <w:rPr>
          <w:rFonts w:ascii="Times New Roman"/>
          <w:b/>
          <w:sz w:val="30"/>
          <w:szCs w:val="30"/>
        </w:rPr>
      </w:pPr>
      <w:r>
        <w:rPr>
          <w:rFonts w:ascii="Times New Roman"/>
          <w:b/>
          <w:sz w:val="30"/>
          <w:szCs w:val="30"/>
        </w:rPr>
        <w:br w:type="page"/>
      </w:r>
    </w:p>
    <w:p w14:paraId="1A54B794">
      <w:pPr>
        <w:widowControl/>
        <w:spacing w:line="360" w:lineRule="auto"/>
        <w:jc w:val="left"/>
        <w:outlineLvl w:val="1"/>
        <w:rPr>
          <w:rFonts w:ascii="Times New Roman"/>
          <w:b/>
          <w:sz w:val="30"/>
          <w:szCs w:val="30"/>
        </w:rPr>
      </w:pPr>
      <w:bookmarkStart w:id="170" w:name="_Toc6098"/>
      <w:r>
        <w:rPr>
          <w:rFonts w:ascii="Times New Roman"/>
          <w:b/>
          <w:sz w:val="30"/>
          <w:szCs w:val="30"/>
        </w:rPr>
        <w:t>4.2环境质量现状监测与评价</w:t>
      </w:r>
      <w:bookmarkEnd w:id="170"/>
    </w:p>
    <w:p w14:paraId="47115AD2">
      <w:pPr>
        <w:spacing w:line="360" w:lineRule="auto"/>
        <w:outlineLvl w:val="2"/>
        <w:rPr>
          <w:rFonts w:ascii="Times New Roman"/>
          <w:b/>
          <w:sz w:val="28"/>
          <w:szCs w:val="28"/>
        </w:rPr>
      </w:pPr>
      <w:r>
        <w:rPr>
          <w:rFonts w:ascii="Times New Roman"/>
          <w:b/>
          <w:sz w:val="28"/>
          <w:szCs w:val="28"/>
        </w:rPr>
        <w:t>4.2.1环境空气质量现状监测与评价</w:t>
      </w:r>
    </w:p>
    <w:p w14:paraId="22034FC3">
      <w:pPr>
        <w:spacing w:line="360" w:lineRule="auto"/>
        <w:outlineLvl w:val="3"/>
        <w:rPr>
          <w:rFonts w:ascii="Times New Roman"/>
          <w:b/>
          <w:sz w:val="24"/>
          <w:szCs w:val="24"/>
        </w:rPr>
      </w:pPr>
      <w:r>
        <w:rPr>
          <w:rFonts w:ascii="Times New Roman"/>
          <w:b/>
          <w:sz w:val="24"/>
          <w:szCs w:val="24"/>
        </w:rPr>
        <w:t>4.2.1.1</w:t>
      </w:r>
      <w:r>
        <w:rPr>
          <w:rFonts w:ascii="Times New Roman"/>
          <w:b/>
        </w:rPr>
        <w:t>环境空气质量达标区判定</w:t>
      </w:r>
    </w:p>
    <w:p w14:paraId="67C1F8C4">
      <w:pPr>
        <w:spacing w:line="360" w:lineRule="auto"/>
        <w:ind w:firstLine="480" w:firstLineChars="200"/>
        <w:textAlignment w:val="center"/>
        <w:rPr>
          <w:rFonts w:ascii="Times New Roman"/>
          <w:bCs/>
          <w:sz w:val="24"/>
          <w:szCs w:val="24"/>
        </w:rPr>
      </w:pPr>
      <w:r>
        <w:rPr>
          <w:rFonts w:ascii="Times New Roman"/>
          <w:sz w:val="24"/>
        </w:rPr>
        <w:t>根据《环境影响评价技术导则-大气环境》（HJ 2.2-2018）6.2.1 基本污染物环境质量现状数据：6.2.1.1“项目所在区域达标判定，优先采用国家或地方生态环境主管部门公开发布的评价基准年环境质量公告或环境质量报告中的数据或结论”。本评价选取唐山市生态环境局公开发布的《202</w:t>
      </w:r>
      <w:r>
        <w:rPr>
          <w:rFonts w:hint="eastAsia" w:ascii="Times New Roman"/>
          <w:sz w:val="24"/>
        </w:rPr>
        <w:t>3</w:t>
      </w:r>
      <w:r>
        <w:rPr>
          <w:rFonts w:ascii="Times New Roman"/>
          <w:sz w:val="24"/>
        </w:rPr>
        <w:t>年唐山市</w:t>
      </w:r>
      <w:r>
        <w:rPr>
          <w:rFonts w:hint="eastAsia" w:ascii="Times New Roman"/>
          <w:sz w:val="24"/>
        </w:rPr>
        <w:t>生态环境状况</w:t>
      </w:r>
      <w:r>
        <w:rPr>
          <w:rFonts w:ascii="Times New Roman"/>
          <w:sz w:val="24"/>
        </w:rPr>
        <w:t>公报》中唐山市</w:t>
      </w:r>
      <w:r>
        <w:rPr>
          <w:rFonts w:hint="eastAsia" w:ascii="Times New Roman"/>
          <w:sz w:val="24"/>
        </w:rPr>
        <w:t>曹妃甸</w:t>
      </w:r>
      <w:r>
        <w:rPr>
          <w:rFonts w:ascii="Times New Roman"/>
          <w:sz w:val="24"/>
        </w:rPr>
        <w:t>空气质量数据作为基本污染物环境空气质量现状数据，并对各污染物的年评价指标进行环境质量现状评价</w:t>
      </w:r>
      <w:r>
        <w:rPr>
          <w:rFonts w:ascii="Times New Roman"/>
          <w:bCs/>
          <w:sz w:val="24"/>
          <w:szCs w:val="24"/>
        </w:rPr>
        <w:t>。</w:t>
      </w:r>
    </w:p>
    <w:p w14:paraId="51F76F06">
      <w:pPr>
        <w:spacing w:line="480" w:lineRule="exact"/>
        <w:jc w:val="center"/>
        <w:textAlignment w:val="center"/>
        <w:rPr>
          <w:rFonts w:ascii="Times New Roman"/>
          <w:b/>
          <w:bCs/>
          <w:sz w:val="24"/>
          <w:szCs w:val="24"/>
        </w:rPr>
      </w:pPr>
      <w:r>
        <w:rPr>
          <w:rFonts w:ascii="Times New Roman"/>
          <w:b/>
          <w:bCs/>
          <w:sz w:val="24"/>
          <w:szCs w:val="24"/>
        </w:rPr>
        <w:t>表4.2-1  唐山市</w:t>
      </w:r>
      <w:r>
        <w:rPr>
          <w:rFonts w:hint="eastAsia" w:ascii="Times New Roman"/>
          <w:b/>
          <w:bCs/>
          <w:sz w:val="24"/>
          <w:szCs w:val="24"/>
        </w:rPr>
        <w:t>曹妃甸区域</w:t>
      </w:r>
      <w:r>
        <w:rPr>
          <w:rFonts w:ascii="Times New Roman"/>
          <w:b/>
          <w:bCs/>
          <w:sz w:val="24"/>
          <w:szCs w:val="24"/>
        </w:rPr>
        <w:t>空气质量现状评价表</w:t>
      </w:r>
    </w:p>
    <w:tbl>
      <w:tblPr>
        <w:tblStyle w:val="84"/>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62"/>
        <w:gridCol w:w="1639"/>
        <w:gridCol w:w="1384"/>
        <w:gridCol w:w="1383"/>
        <w:gridCol w:w="1383"/>
        <w:gridCol w:w="1386"/>
      </w:tblGrid>
      <w:tr w14:paraId="04E2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08" w:hRule="atLeast"/>
          <w:jc w:val="center"/>
        </w:trPr>
        <w:tc>
          <w:tcPr>
            <w:tcW w:w="1162" w:type="dxa"/>
            <w:vAlign w:val="center"/>
          </w:tcPr>
          <w:p w14:paraId="2CB7041B">
            <w:pPr>
              <w:widowControl/>
              <w:spacing w:line="240" w:lineRule="atLeast"/>
              <w:jc w:val="center"/>
              <w:rPr>
                <w:rFonts w:ascii="Times New Roman"/>
                <w:sz w:val="21"/>
                <w:szCs w:val="21"/>
              </w:rPr>
            </w:pPr>
            <w:r>
              <w:rPr>
                <w:rFonts w:ascii="Times New Roman"/>
                <w:sz w:val="21"/>
                <w:szCs w:val="21"/>
              </w:rPr>
              <w:t>污染物</w:t>
            </w:r>
          </w:p>
        </w:tc>
        <w:tc>
          <w:tcPr>
            <w:tcW w:w="1639" w:type="dxa"/>
            <w:vAlign w:val="center"/>
          </w:tcPr>
          <w:p w14:paraId="3AB4BCB5">
            <w:pPr>
              <w:widowControl/>
              <w:spacing w:line="240" w:lineRule="atLeast"/>
              <w:jc w:val="center"/>
              <w:rPr>
                <w:rFonts w:ascii="Times New Roman"/>
                <w:sz w:val="21"/>
                <w:szCs w:val="21"/>
              </w:rPr>
            </w:pPr>
            <w:r>
              <w:rPr>
                <w:rFonts w:ascii="Times New Roman"/>
                <w:sz w:val="21"/>
                <w:szCs w:val="21"/>
              </w:rPr>
              <w:t>年评价指标</w:t>
            </w:r>
          </w:p>
        </w:tc>
        <w:tc>
          <w:tcPr>
            <w:tcW w:w="1384" w:type="dxa"/>
            <w:vAlign w:val="center"/>
          </w:tcPr>
          <w:p w14:paraId="6B2807F5">
            <w:pPr>
              <w:widowControl/>
              <w:spacing w:line="240" w:lineRule="atLeast"/>
              <w:jc w:val="center"/>
              <w:rPr>
                <w:rFonts w:ascii="Times New Roman"/>
                <w:sz w:val="21"/>
                <w:szCs w:val="21"/>
              </w:rPr>
            </w:pPr>
            <w:r>
              <w:rPr>
                <w:rFonts w:ascii="Times New Roman"/>
                <w:sz w:val="21"/>
                <w:szCs w:val="21"/>
              </w:rPr>
              <w:t>现状浓度/（</w:t>
            </w:r>
            <w:r>
              <w:rPr>
                <w:rFonts w:ascii="Times New Roman"/>
                <w:snapToGrid w:val="0"/>
                <w:kern w:val="0"/>
                <w:sz w:val="21"/>
                <w:szCs w:val="21"/>
              </w:rPr>
              <w:t>µg/m</w:t>
            </w:r>
            <w:r>
              <w:rPr>
                <w:rFonts w:ascii="Times New Roman"/>
                <w:snapToGrid w:val="0"/>
                <w:kern w:val="0"/>
                <w:sz w:val="21"/>
                <w:szCs w:val="21"/>
                <w:vertAlign w:val="superscript"/>
              </w:rPr>
              <w:t>3</w:t>
            </w:r>
            <w:r>
              <w:rPr>
                <w:rFonts w:ascii="Times New Roman"/>
                <w:sz w:val="21"/>
                <w:szCs w:val="21"/>
              </w:rPr>
              <w:t>）</w:t>
            </w:r>
          </w:p>
        </w:tc>
        <w:tc>
          <w:tcPr>
            <w:tcW w:w="1383" w:type="dxa"/>
            <w:vAlign w:val="center"/>
          </w:tcPr>
          <w:p w14:paraId="257CE040">
            <w:pPr>
              <w:widowControl/>
              <w:spacing w:line="240" w:lineRule="atLeast"/>
              <w:jc w:val="center"/>
              <w:rPr>
                <w:rFonts w:ascii="Times New Roman"/>
                <w:sz w:val="21"/>
                <w:szCs w:val="21"/>
              </w:rPr>
            </w:pPr>
            <w:r>
              <w:rPr>
                <w:rFonts w:ascii="Times New Roman"/>
                <w:sz w:val="21"/>
                <w:szCs w:val="21"/>
              </w:rPr>
              <w:t>标准值/（</w:t>
            </w:r>
            <w:r>
              <w:rPr>
                <w:rFonts w:ascii="Times New Roman"/>
                <w:snapToGrid w:val="0"/>
                <w:kern w:val="0"/>
                <w:sz w:val="21"/>
                <w:szCs w:val="21"/>
              </w:rPr>
              <w:t>µg/m</w:t>
            </w:r>
            <w:r>
              <w:rPr>
                <w:rFonts w:ascii="Times New Roman"/>
                <w:snapToGrid w:val="0"/>
                <w:kern w:val="0"/>
                <w:sz w:val="21"/>
                <w:szCs w:val="21"/>
                <w:vertAlign w:val="superscript"/>
              </w:rPr>
              <w:t>3</w:t>
            </w:r>
            <w:r>
              <w:rPr>
                <w:rFonts w:ascii="Times New Roman"/>
                <w:sz w:val="21"/>
                <w:szCs w:val="21"/>
              </w:rPr>
              <w:t>）</w:t>
            </w:r>
          </w:p>
        </w:tc>
        <w:tc>
          <w:tcPr>
            <w:tcW w:w="1383" w:type="dxa"/>
            <w:vAlign w:val="center"/>
          </w:tcPr>
          <w:p w14:paraId="52DFA902">
            <w:pPr>
              <w:widowControl/>
              <w:spacing w:line="240" w:lineRule="atLeast"/>
              <w:jc w:val="center"/>
              <w:rPr>
                <w:rFonts w:ascii="Times New Roman"/>
                <w:sz w:val="21"/>
                <w:szCs w:val="21"/>
              </w:rPr>
            </w:pPr>
            <w:r>
              <w:rPr>
                <w:rFonts w:ascii="Times New Roman"/>
                <w:sz w:val="21"/>
                <w:szCs w:val="21"/>
              </w:rPr>
              <w:t>占标率/%</w:t>
            </w:r>
          </w:p>
        </w:tc>
        <w:tc>
          <w:tcPr>
            <w:tcW w:w="1386" w:type="dxa"/>
            <w:vAlign w:val="center"/>
          </w:tcPr>
          <w:p w14:paraId="284E1245">
            <w:pPr>
              <w:widowControl/>
              <w:spacing w:line="240" w:lineRule="atLeast"/>
              <w:jc w:val="center"/>
              <w:rPr>
                <w:rFonts w:ascii="Times New Roman"/>
                <w:sz w:val="21"/>
                <w:szCs w:val="21"/>
              </w:rPr>
            </w:pPr>
            <w:r>
              <w:rPr>
                <w:rFonts w:ascii="Times New Roman"/>
                <w:sz w:val="21"/>
                <w:szCs w:val="21"/>
              </w:rPr>
              <w:t>达标情况</w:t>
            </w:r>
          </w:p>
        </w:tc>
      </w:tr>
      <w:tr w14:paraId="243C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14:paraId="12666D13">
            <w:pPr>
              <w:widowControl/>
              <w:spacing w:line="240" w:lineRule="atLeas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639" w:type="dxa"/>
            <w:vMerge w:val="restart"/>
            <w:vAlign w:val="center"/>
          </w:tcPr>
          <w:p w14:paraId="4906B3E3">
            <w:pPr>
              <w:widowControl/>
              <w:spacing w:line="240" w:lineRule="atLeast"/>
              <w:jc w:val="center"/>
              <w:rPr>
                <w:rFonts w:ascii="Times New Roman"/>
                <w:sz w:val="21"/>
                <w:szCs w:val="21"/>
              </w:rPr>
            </w:pPr>
            <w:r>
              <w:rPr>
                <w:rFonts w:ascii="Times New Roman"/>
                <w:kern w:val="0"/>
                <w:sz w:val="21"/>
                <w:szCs w:val="21"/>
              </w:rPr>
              <w:t>年平均质量浓度</w:t>
            </w:r>
          </w:p>
        </w:tc>
        <w:tc>
          <w:tcPr>
            <w:tcW w:w="1384" w:type="dxa"/>
            <w:vAlign w:val="center"/>
          </w:tcPr>
          <w:p w14:paraId="1E4407C2">
            <w:pPr>
              <w:adjustRightInd w:val="0"/>
              <w:snapToGrid w:val="0"/>
              <w:jc w:val="center"/>
              <w:rPr>
                <w:rFonts w:ascii="Times New Roman"/>
                <w:sz w:val="21"/>
                <w:szCs w:val="21"/>
              </w:rPr>
            </w:pPr>
            <w:r>
              <w:rPr>
                <w:rFonts w:hint="eastAsia" w:ascii="Times New Roman"/>
                <w:sz w:val="21"/>
                <w:szCs w:val="21"/>
              </w:rPr>
              <w:t>9</w:t>
            </w:r>
          </w:p>
        </w:tc>
        <w:tc>
          <w:tcPr>
            <w:tcW w:w="1383" w:type="dxa"/>
            <w:vAlign w:val="center"/>
          </w:tcPr>
          <w:p w14:paraId="6828BA6D">
            <w:pPr>
              <w:adjustRightInd w:val="0"/>
              <w:snapToGrid w:val="0"/>
              <w:jc w:val="center"/>
              <w:rPr>
                <w:rFonts w:ascii="Times New Roman"/>
                <w:sz w:val="21"/>
                <w:szCs w:val="21"/>
              </w:rPr>
            </w:pPr>
            <w:r>
              <w:rPr>
                <w:rFonts w:ascii="Times New Roman"/>
                <w:sz w:val="21"/>
                <w:szCs w:val="21"/>
              </w:rPr>
              <w:t>60</w:t>
            </w:r>
          </w:p>
        </w:tc>
        <w:tc>
          <w:tcPr>
            <w:tcW w:w="1383" w:type="dxa"/>
            <w:vAlign w:val="center"/>
          </w:tcPr>
          <w:p w14:paraId="65F6D00B">
            <w:pPr>
              <w:adjustRightInd w:val="0"/>
              <w:snapToGrid w:val="0"/>
              <w:jc w:val="center"/>
              <w:rPr>
                <w:rFonts w:ascii="Times New Roman"/>
                <w:sz w:val="21"/>
                <w:szCs w:val="21"/>
              </w:rPr>
            </w:pPr>
            <w:r>
              <w:rPr>
                <w:rFonts w:hint="eastAsia" w:ascii="Times New Roman"/>
                <w:sz w:val="21"/>
                <w:szCs w:val="21"/>
              </w:rPr>
              <w:t>15</w:t>
            </w:r>
          </w:p>
        </w:tc>
        <w:tc>
          <w:tcPr>
            <w:tcW w:w="1386" w:type="dxa"/>
            <w:vAlign w:val="center"/>
          </w:tcPr>
          <w:p w14:paraId="6AA8D25E">
            <w:pPr>
              <w:adjustRightInd w:val="0"/>
              <w:snapToGrid w:val="0"/>
              <w:jc w:val="center"/>
              <w:rPr>
                <w:rFonts w:ascii="Times New Roman"/>
                <w:sz w:val="21"/>
                <w:szCs w:val="21"/>
              </w:rPr>
            </w:pPr>
            <w:r>
              <w:rPr>
                <w:rFonts w:ascii="Times New Roman"/>
                <w:sz w:val="21"/>
                <w:szCs w:val="21"/>
              </w:rPr>
              <w:t>达标</w:t>
            </w:r>
          </w:p>
        </w:tc>
      </w:tr>
      <w:tr w14:paraId="7196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14:paraId="7F4262B7">
            <w:pPr>
              <w:widowControl/>
              <w:spacing w:line="240" w:lineRule="atLeas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639" w:type="dxa"/>
            <w:vMerge w:val="continue"/>
            <w:vAlign w:val="center"/>
          </w:tcPr>
          <w:p w14:paraId="001461F5">
            <w:pPr>
              <w:widowControl/>
              <w:spacing w:line="240" w:lineRule="atLeast"/>
              <w:jc w:val="center"/>
              <w:rPr>
                <w:rFonts w:ascii="Times New Roman"/>
                <w:sz w:val="21"/>
                <w:szCs w:val="21"/>
              </w:rPr>
            </w:pPr>
          </w:p>
        </w:tc>
        <w:tc>
          <w:tcPr>
            <w:tcW w:w="1384" w:type="dxa"/>
            <w:vAlign w:val="center"/>
          </w:tcPr>
          <w:p w14:paraId="29524A66">
            <w:pPr>
              <w:adjustRightInd w:val="0"/>
              <w:snapToGrid w:val="0"/>
              <w:jc w:val="center"/>
              <w:rPr>
                <w:rFonts w:ascii="Times New Roman"/>
                <w:sz w:val="21"/>
                <w:szCs w:val="21"/>
              </w:rPr>
            </w:pPr>
            <w:r>
              <w:rPr>
                <w:rFonts w:hint="eastAsia" w:ascii="Times New Roman"/>
                <w:sz w:val="21"/>
                <w:szCs w:val="21"/>
              </w:rPr>
              <w:t>29</w:t>
            </w:r>
          </w:p>
        </w:tc>
        <w:tc>
          <w:tcPr>
            <w:tcW w:w="1383" w:type="dxa"/>
            <w:vAlign w:val="center"/>
          </w:tcPr>
          <w:p w14:paraId="22300175">
            <w:pPr>
              <w:adjustRightInd w:val="0"/>
              <w:snapToGrid w:val="0"/>
              <w:jc w:val="center"/>
              <w:rPr>
                <w:rFonts w:ascii="Times New Roman"/>
                <w:sz w:val="21"/>
                <w:szCs w:val="21"/>
              </w:rPr>
            </w:pPr>
            <w:r>
              <w:rPr>
                <w:rFonts w:ascii="Times New Roman"/>
                <w:sz w:val="21"/>
                <w:szCs w:val="21"/>
              </w:rPr>
              <w:t>40</w:t>
            </w:r>
          </w:p>
        </w:tc>
        <w:tc>
          <w:tcPr>
            <w:tcW w:w="1383" w:type="dxa"/>
            <w:vAlign w:val="center"/>
          </w:tcPr>
          <w:p w14:paraId="3A51FA33">
            <w:pPr>
              <w:adjustRightInd w:val="0"/>
              <w:snapToGrid w:val="0"/>
              <w:jc w:val="center"/>
              <w:rPr>
                <w:rFonts w:ascii="Times New Roman"/>
                <w:sz w:val="21"/>
                <w:szCs w:val="21"/>
              </w:rPr>
            </w:pPr>
            <w:r>
              <w:rPr>
                <w:rFonts w:hint="eastAsia" w:ascii="Times New Roman"/>
                <w:sz w:val="21"/>
                <w:szCs w:val="21"/>
              </w:rPr>
              <w:t>72.5</w:t>
            </w:r>
          </w:p>
        </w:tc>
        <w:tc>
          <w:tcPr>
            <w:tcW w:w="1386" w:type="dxa"/>
            <w:vAlign w:val="center"/>
          </w:tcPr>
          <w:p w14:paraId="457511A1">
            <w:pPr>
              <w:adjustRightInd w:val="0"/>
              <w:snapToGrid w:val="0"/>
              <w:jc w:val="center"/>
              <w:rPr>
                <w:rFonts w:ascii="Times New Roman"/>
                <w:sz w:val="21"/>
                <w:szCs w:val="21"/>
              </w:rPr>
            </w:pPr>
            <w:r>
              <w:rPr>
                <w:rFonts w:ascii="Times New Roman"/>
                <w:sz w:val="21"/>
                <w:szCs w:val="21"/>
              </w:rPr>
              <w:t>达标</w:t>
            </w:r>
          </w:p>
        </w:tc>
      </w:tr>
      <w:tr w14:paraId="29AE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14:paraId="37B18B4B">
            <w:pPr>
              <w:widowControl/>
              <w:spacing w:line="240" w:lineRule="atLeas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639" w:type="dxa"/>
            <w:vMerge w:val="continue"/>
            <w:vAlign w:val="center"/>
          </w:tcPr>
          <w:p w14:paraId="62495D86">
            <w:pPr>
              <w:widowControl/>
              <w:spacing w:line="240" w:lineRule="atLeast"/>
              <w:jc w:val="center"/>
              <w:rPr>
                <w:rFonts w:ascii="Times New Roman"/>
                <w:sz w:val="21"/>
                <w:szCs w:val="21"/>
              </w:rPr>
            </w:pPr>
          </w:p>
        </w:tc>
        <w:tc>
          <w:tcPr>
            <w:tcW w:w="1384" w:type="dxa"/>
            <w:vAlign w:val="center"/>
          </w:tcPr>
          <w:p w14:paraId="45B8F4F6">
            <w:pPr>
              <w:adjustRightInd w:val="0"/>
              <w:snapToGrid w:val="0"/>
              <w:jc w:val="center"/>
              <w:rPr>
                <w:rFonts w:ascii="Times New Roman"/>
                <w:sz w:val="21"/>
                <w:szCs w:val="21"/>
              </w:rPr>
            </w:pPr>
            <w:r>
              <w:rPr>
                <w:rFonts w:hint="eastAsia" w:ascii="Times New Roman"/>
                <w:sz w:val="21"/>
                <w:szCs w:val="21"/>
              </w:rPr>
              <w:t>63</w:t>
            </w:r>
          </w:p>
        </w:tc>
        <w:tc>
          <w:tcPr>
            <w:tcW w:w="1383" w:type="dxa"/>
            <w:vAlign w:val="center"/>
          </w:tcPr>
          <w:p w14:paraId="21FF15A7">
            <w:pPr>
              <w:adjustRightInd w:val="0"/>
              <w:snapToGrid w:val="0"/>
              <w:jc w:val="center"/>
              <w:rPr>
                <w:rFonts w:ascii="Times New Roman"/>
                <w:sz w:val="21"/>
                <w:szCs w:val="21"/>
              </w:rPr>
            </w:pPr>
            <w:r>
              <w:rPr>
                <w:rFonts w:ascii="Times New Roman"/>
                <w:sz w:val="21"/>
                <w:szCs w:val="21"/>
              </w:rPr>
              <w:t>70</w:t>
            </w:r>
          </w:p>
        </w:tc>
        <w:tc>
          <w:tcPr>
            <w:tcW w:w="1383" w:type="dxa"/>
            <w:vAlign w:val="center"/>
          </w:tcPr>
          <w:p w14:paraId="2B26EE6C">
            <w:pPr>
              <w:adjustRightInd w:val="0"/>
              <w:snapToGrid w:val="0"/>
              <w:jc w:val="center"/>
              <w:rPr>
                <w:rFonts w:ascii="Times New Roman"/>
                <w:sz w:val="21"/>
                <w:szCs w:val="21"/>
              </w:rPr>
            </w:pPr>
            <w:r>
              <w:rPr>
                <w:rFonts w:hint="eastAsia" w:ascii="Times New Roman"/>
                <w:sz w:val="21"/>
                <w:szCs w:val="21"/>
              </w:rPr>
              <w:t>90</w:t>
            </w:r>
          </w:p>
        </w:tc>
        <w:tc>
          <w:tcPr>
            <w:tcW w:w="1386" w:type="dxa"/>
            <w:vAlign w:val="center"/>
          </w:tcPr>
          <w:p w14:paraId="2B00045C">
            <w:pPr>
              <w:adjustRightInd w:val="0"/>
              <w:snapToGrid w:val="0"/>
              <w:jc w:val="center"/>
              <w:rPr>
                <w:rFonts w:ascii="Times New Roman"/>
                <w:sz w:val="21"/>
                <w:szCs w:val="21"/>
              </w:rPr>
            </w:pPr>
            <w:r>
              <w:rPr>
                <w:rFonts w:ascii="Times New Roman"/>
                <w:sz w:val="21"/>
                <w:szCs w:val="21"/>
              </w:rPr>
              <w:t>达标</w:t>
            </w:r>
          </w:p>
        </w:tc>
      </w:tr>
      <w:tr w14:paraId="100A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14:paraId="010E1CAE">
            <w:pPr>
              <w:widowControl/>
              <w:spacing w:line="240" w:lineRule="atLeast"/>
              <w:jc w:val="center"/>
              <w:rPr>
                <w:rFonts w:ascii="Times New Roman"/>
                <w:sz w:val="21"/>
                <w:szCs w:val="21"/>
              </w:rPr>
            </w:pPr>
            <w:r>
              <w:rPr>
                <w:rFonts w:ascii="Times New Roman"/>
                <w:sz w:val="21"/>
                <w:szCs w:val="21"/>
              </w:rPr>
              <w:t>PM</w:t>
            </w:r>
            <w:r>
              <w:rPr>
                <w:rFonts w:ascii="Times New Roman"/>
                <w:sz w:val="21"/>
                <w:szCs w:val="21"/>
                <w:vertAlign w:val="subscript"/>
              </w:rPr>
              <w:t>2.5</w:t>
            </w:r>
          </w:p>
        </w:tc>
        <w:tc>
          <w:tcPr>
            <w:tcW w:w="1639" w:type="dxa"/>
            <w:vMerge w:val="continue"/>
            <w:vAlign w:val="center"/>
          </w:tcPr>
          <w:p w14:paraId="55049A3F">
            <w:pPr>
              <w:widowControl/>
              <w:spacing w:line="240" w:lineRule="atLeast"/>
              <w:jc w:val="center"/>
              <w:rPr>
                <w:rFonts w:ascii="Times New Roman"/>
                <w:sz w:val="21"/>
                <w:szCs w:val="21"/>
              </w:rPr>
            </w:pPr>
          </w:p>
        </w:tc>
        <w:tc>
          <w:tcPr>
            <w:tcW w:w="1384" w:type="dxa"/>
            <w:vAlign w:val="center"/>
          </w:tcPr>
          <w:p w14:paraId="12756CA5">
            <w:pPr>
              <w:adjustRightInd w:val="0"/>
              <w:snapToGrid w:val="0"/>
              <w:jc w:val="center"/>
              <w:rPr>
                <w:rFonts w:ascii="Times New Roman"/>
                <w:sz w:val="21"/>
                <w:szCs w:val="21"/>
              </w:rPr>
            </w:pPr>
            <w:r>
              <w:rPr>
                <w:rFonts w:hint="eastAsia" w:ascii="Times New Roman"/>
                <w:sz w:val="21"/>
                <w:szCs w:val="21"/>
              </w:rPr>
              <w:t>36</w:t>
            </w:r>
          </w:p>
        </w:tc>
        <w:tc>
          <w:tcPr>
            <w:tcW w:w="1383" w:type="dxa"/>
            <w:vAlign w:val="center"/>
          </w:tcPr>
          <w:p w14:paraId="2E5C26C4">
            <w:pPr>
              <w:adjustRightInd w:val="0"/>
              <w:snapToGrid w:val="0"/>
              <w:jc w:val="center"/>
              <w:rPr>
                <w:rFonts w:ascii="Times New Roman"/>
                <w:sz w:val="21"/>
                <w:szCs w:val="21"/>
              </w:rPr>
            </w:pPr>
            <w:r>
              <w:rPr>
                <w:rFonts w:ascii="Times New Roman"/>
                <w:sz w:val="21"/>
                <w:szCs w:val="21"/>
              </w:rPr>
              <w:t>35</w:t>
            </w:r>
          </w:p>
        </w:tc>
        <w:tc>
          <w:tcPr>
            <w:tcW w:w="1383" w:type="dxa"/>
            <w:vAlign w:val="center"/>
          </w:tcPr>
          <w:p w14:paraId="4928818A">
            <w:pPr>
              <w:adjustRightInd w:val="0"/>
              <w:snapToGrid w:val="0"/>
              <w:jc w:val="center"/>
              <w:rPr>
                <w:rFonts w:ascii="Times New Roman"/>
                <w:sz w:val="21"/>
                <w:szCs w:val="21"/>
              </w:rPr>
            </w:pPr>
            <w:r>
              <w:rPr>
                <w:rFonts w:hint="eastAsia" w:ascii="Times New Roman"/>
                <w:sz w:val="21"/>
                <w:szCs w:val="21"/>
              </w:rPr>
              <w:t>102.9</w:t>
            </w:r>
          </w:p>
        </w:tc>
        <w:tc>
          <w:tcPr>
            <w:tcW w:w="1386" w:type="dxa"/>
            <w:vAlign w:val="center"/>
          </w:tcPr>
          <w:p w14:paraId="58090ABB">
            <w:pPr>
              <w:adjustRightInd w:val="0"/>
              <w:snapToGrid w:val="0"/>
              <w:jc w:val="center"/>
              <w:rPr>
                <w:rFonts w:ascii="Times New Roman"/>
                <w:sz w:val="21"/>
                <w:szCs w:val="21"/>
              </w:rPr>
            </w:pPr>
            <w:r>
              <w:rPr>
                <w:rFonts w:hint="eastAsia" w:ascii="Times New Roman"/>
                <w:sz w:val="21"/>
                <w:szCs w:val="21"/>
              </w:rPr>
              <w:t>不</w:t>
            </w:r>
            <w:r>
              <w:rPr>
                <w:rFonts w:ascii="Times New Roman"/>
                <w:sz w:val="21"/>
                <w:szCs w:val="21"/>
              </w:rPr>
              <w:t>达标</w:t>
            </w:r>
          </w:p>
        </w:tc>
      </w:tr>
      <w:tr w14:paraId="5D1C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08" w:hRule="atLeast"/>
          <w:jc w:val="center"/>
        </w:trPr>
        <w:tc>
          <w:tcPr>
            <w:tcW w:w="1162" w:type="dxa"/>
            <w:vAlign w:val="center"/>
          </w:tcPr>
          <w:p w14:paraId="1539EEE9">
            <w:pPr>
              <w:widowControl/>
              <w:spacing w:line="240" w:lineRule="atLeast"/>
              <w:jc w:val="center"/>
              <w:rPr>
                <w:rFonts w:ascii="Times New Roman"/>
                <w:sz w:val="21"/>
                <w:szCs w:val="21"/>
              </w:rPr>
            </w:pPr>
            <w:r>
              <w:rPr>
                <w:rFonts w:ascii="Times New Roman"/>
                <w:sz w:val="21"/>
                <w:szCs w:val="21"/>
              </w:rPr>
              <w:t>CO</w:t>
            </w:r>
          </w:p>
        </w:tc>
        <w:tc>
          <w:tcPr>
            <w:tcW w:w="1639" w:type="dxa"/>
            <w:vAlign w:val="center"/>
          </w:tcPr>
          <w:p w14:paraId="43A7D80C">
            <w:pPr>
              <w:widowControl/>
              <w:spacing w:line="240" w:lineRule="atLeast"/>
              <w:jc w:val="center"/>
              <w:rPr>
                <w:rFonts w:ascii="Times New Roman"/>
                <w:sz w:val="21"/>
                <w:szCs w:val="21"/>
              </w:rPr>
            </w:pPr>
            <w:r>
              <w:rPr>
                <w:rFonts w:ascii="Times New Roman"/>
                <w:kern w:val="0"/>
                <w:sz w:val="21"/>
                <w:szCs w:val="21"/>
              </w:rPr>
              <w:t>第95百分位数24h平均浓度</w:t>
            </w:r>
          </w:p>
        </w:tc>
        <w:tc>
          <w:tcPr>
            <w:tcW w:w="1384" w:type="dxa"/>
            <w:vAlign w:val="center"/>
          </w:tcPr>
          <w:p w14:paraId="31498B3A">
            <w:pPr>
              <w:adjustRightInd w:val="0"/>
              <w:snapToGrid w:val="0"/>
              <w:jc w:val="center"/>
              <w:rPr>
                <w:rFonts w:ascii="Times New Roman"/>
                <w:sz w:val="21"/>
                <w:szCs w:val="21"/>
              </w:rPr>
            </w:pPr>
            <w:r>
              <w:rPr>
                <w:rFonts w:hint="eastAsia" w:ascii="Times New Roman"/>
                <w:sz w:val="21"/>
                <w:szCs w:val="21"/>
              </w:rPr>
              <w:t>1100</w:t>
            </w:r>
          </w:p>
        </w:tc>
        <w:tc>
          <w:tcPr>
            <w:tcW w:w="1383" w:type="dxa"/>
            <w:vAlign w:val="center"/>
          </w:tcPr>
          <w:p w14:paraId="7D284715">
            <w:pPr>
              <w:adjustRightInd w:val="0"/>
              <w:snapToGrid w:val="0"/>
              <w:jc w:val="center"/>
              <w:rPr>
                <w:rFonts w:ascii="Times New Roman"/>
                <w:sz w:val="21"/>
                <w:szCs w:val="21"/>
              </w:rPr>
            </w:pPr>
            <w:r>
              <w:rPr>
                <w:rFonts w:ascii="Times New Roman"/>
                <w:sz w:val="21"/>
                <w:szCs w:val="21"/>
              </w:rPr>
              <w:t>4000</w:t>
            </w:r>
          </w:p>
        </w:tc>
        <w:tc>
          <w:tcPr>
            <w:tcW w:w="1383" w:type="dxa"/>
            <w:vAlign w:val="center"/>
          </w:tcPr>
          <w:p w14:paraId="0B145A65">
            <w:pPr>
              <w:adjustRightInd w:val="0"/>
              <w:snapToGrid w:val="0"/>
              <w:jc w:val="center"/>
              <w:rPr>
                <w:rFonts w:ascii="Times New Roman"/>
                <w:sz w:val="21"/>
                <w:szCs w:val="21"/>
              </w:rPr>
            </w:pPr>
            <w:r>
              <w:rPr>
                <w:rFonts w:hint="eastAsia" w:ascii="Times New Roman"/>
                <w:sz w:val="21"/>
                <w:szCs w:val="21"/>
              </w:rPr>
              <w:t>27.5</w:t>
            </w:r>
          </w:p>
        </w:tc>
        <w:tc>
          <w:tcPr>
            <w:tcW w:w="1386" w:type="dxa"/>
            <w:vAlign w:val="center"/>
          </w:tcPr>
          <w:p w14:paraId="5624A333">
            <w:pPr>
              <w:adjustRightInd w:val="0"/>
              <w:snapToGrid w:val="0"/>
              <w:jc w:val="center"/>
              <w:rPr>
                <w:rFonts w:ascii="Times New Roman"/>
                <w:sz w:val="21"/>
                <w:szCs w:val="21"/>
              </w:rPr>
            </w:pPr>
            <w:r>
              <w:rPr>
                <w:rFonts w:ascii="Times New Roman"/>
                <w:sz w:val="21"/>
                <w:szCs w:val="21"/>
              </w:rPr>
              <w:t>达标</w:t>
            </w:r>
          </w:p>
        </w:tc>
      </w:tr>
      <w:tr w14:paraId="1ED8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32" w:hRule="atLeast"/>
          <w:jc w:val="center"/>
        </w:trPr>
        <w:tc>
          <w:tcPr>
            <w:tcW w:w="1162" w:type="dxa"/>
            <w:vAlign w:val="center"/>
          </w:tcPr>
          <w:p w14:paraId="679C781B">
            <w:pPr>
              <w:widowControl/>
              <w:spacing w:line="240" w:lineRule="atLeast"/>
              <w:jc w:val="center"/>
              <w:rPr>
                <w:rFonts w:ascii="Times New Roman"/>
                <w:sz w:val="21"/>
                <w:szCs w:val="21"/>
              </w:rPr>
            </w:pPr>
            <w:r>
              <w:rPr>
                <w:rFonts w:ascii="Times New Roman"/>
                <w:sz w:val="21"/>
                <w:szCs w:val="21"/>
              </w:rPr>
              <w:t>O</w:t>
            </w:r>
            <w:r>
              <w:rPr>
                <w:rFonts w:ascii="Times New Roman"/>
                <w:sz w:val="21"/>
                <w:szCs w:val="21"/>
                <w:vertAlign w:val="subscript"/>
              </w:rPr>
              <w:t>3</w:t>
            </w:r>
          </w:p>
        </w:tc>
        <w:tc>
          <w:tcPr>
            <w:tcW w:w="1639" w:type="dxa"/>
            <w:vAlign w:val="center"/>
          </w:tcPr>
          <w:p w14:paraId="27A990A3">
            <w:pPr>
              <w:widowControl/>
              <w:spacing w:line="240" w:lineRule="atLeast"/>
              <w:jc w:val="center"/>
              <w:rPr>
                <w:rFonts w:ascii="Times New Roman"/>
                <w:sz w:val="21"/>
                <w:szCs w:val="21"/>
              </w:rPr>
            </w:pPr>
            <w:r>
              <w:rPr>
                <w:rFonts w:ascii="Times New Roman"/>
                <w:kern w:val="0"/>
                <w:sz w:val="21"/>
                <w:szCs w:val="21"/>
              </w:rPr>
              <w:t>第90百分位数8h平均浓度</w:t>
            </w:r>
          </w:p>
        </w:tc>
        <w:tc>
          <w:tcPr>
            <w:tcW w:w="1384" w:type="dxa"/>
            <w:vAlign w:val="center"/>
          </w:tcPr>
          <w:p w14:paraId="56ACEF2C">
            <w:pPr>
              <w:adjustRightInd w:val="0"/>
              <w:snapToGrid w:val="0"/>
              <w:jc w:val="center"/>
              <w:rPr>
                <w:rFonts w:ascii="Times New Roman"/>
                <w:sz w:val="21"/>
                <w:szCs w:val="21"/>
              </w:rPr>
            </w:pPr>
            <w:r>
              <w:rPr>
                <w:rFonts w:hint="eastAsia" w:ascii="Times New Roman"/>
                <w:sz w:val="21"/>
                <w:szCs w:val="21"/>
              </w:rPr>
              <w:t>189</w:t>
            </w:r>
          </w:p>
        </w:tc>
        <w:tc>
          <w:tcPr>
            <w:tcW w:w="1383" w:type="dxa"/>
            <w:vAlign w:val="center"/>
          </w:tcPr>
          <w:p w14:paraId="10E8BACD">
            <w:pPr>
              <w:adjustRightInd w:val="0"/>
              <w:snapToGrid w:val="0"/>
              <w:jc w:val="center"/>
              <w:rPr>
                <w:rFonts w:ascii="Times New Roman"/>
                <w:sz w:val="21"/>
                <w:szCs w:val="21"/>
              </w:rPr>
            </w:pPr>
            <w:r>
              <w:rPr>
                <w:rFonts w:ascii="Times New Roman"/>
                <w:sz w:val="21"/>
                <w:szCs w:val="21"/>
              </w:rPr>
              <w:t>160</w:t>
            </w:r>
          </w:p>
        </w:tc>
        <w:tc>
          <w:tcPr>
            <w:tcW w:w="1383" w:type="dxa"/>
            <w:vAlign w:val="center"/>
          </w:tcPr>
          <w:p w14:paraId="366E7385">
            <w:pPr>
              <w:adjustRightInd w:val="0"/>
              <w:snapToGrid w:val="0"/>
              <w:jc w:val="center"/>
              <w:rPr>
                <w:rFonts w:ascii="Times New Roman"/>
                <w:sz w:val="21"/>
                <w:szCs w:val="21"/>
              </w:rPr>
            </w:pPr>
            <w:r>
              <w:rPr>
                <w:rFonts w:hint="eastAsia" w:ascii="Times New Roman"/>
                <w:sz w:val="21"/>
                <w:szCs w:val="21"/>
              </w:rPr>
              <w:t>118.1</w:t>
            </w:r>
          </w:p>
        </w:tc>
        <w:tc>
          <w:tcPr>
            <w:tcW w:w="1386" w:type="dxa"/>
            <w:vAlign w:val="center"/>
          </w:tcPr>
          <w:p w14:paraId="6A5FFA50">
            <w:pPr>
              <w:adjustRightInd w:val="0"/>
              <w:snapToGrid w:val="0"/>
              <w:jc w:val="center"/>
              <w:rPr>
                <w:rFonts w:ascii="Times New Roman"/>
                <w:sz w:val="21"/>
                <w:szCs w:val="21"/>
              </w:rPr>
            </w:pPr>
            <w:r>
              <w:rPr>
                <w:rFonts w:ascii="Times New Roman"/>
                <w:sz w:val="21"/>
                <w:szCs w:val="21"/>
              </w:rPr>
              <w:t>不达标</w:t>
            </w:r>
          </w:p>
        </w:tc>
      </w:tr>
    </w:tbl>
    <w:p w14:paraId="209F11A6">
      <w:pPr>
        <w:spacing w:line="480" w:lineRule="exact"/>
        <w:ind w:firstLine="480" w:firstLineChars="200"/>
        <w:rPr>
          <w:rFonts w:ascii="Times New Roman"/>
          <w:bCs/>
          <w:sz w:val="24"/>
          <w:szCs w:val="24"/>
        </w:rPr>
      </w:pPr>
      <w:r>
        <w:rPr>
          <w:rFonts w:ascii="Times New Roman"/>
          <w:bCs/>
          <w:sz w:val="24"/>
          <w:szCs w:val="24"/>
        </w:rPr>
        <w:t>由上表可知，PM</w:t>
      </w:r>
      <w:r>
        <w:rPr>
          <w:rFonts w:ascii="Times New Roman"/>
          <w:bCs/>
          <w:sz w:val="24"/>
          <w:szCs w:val="24"/>
          <w:vertAlign w:val="subscript"/>
        </w:rPr>
        <w:t>10</w:t>
      </w:r>
      <w:r>
        <w:rPr>
          <w:rFonts w:hint="eastAsia" w:ascii="Times New Roman"/>
          <w:bCs/>
          <w:sz w:val="24"/>
          <w:szCs w:val="24"/>
        </w:rPr>
        <w:t>、</w:t>
      </w:r>
      <w:r>
        <w:rPr>
          <w:rFonts w:ascii="Times New Roman"/>
          <w:bCs/>
          <w:sz w:val="24"/>
          <w:szCs w:val="24"/>
        </w:rPr>
        <w:t>NO</w:t>
      </w:r>
      <w:r>
        <w:rPr>
          <w:rFonts w:ascii="Times New Roman"/>
          <w:bCs/>
          <w:sz w:val="24"/>
          <w:szCs w:val="24"/>
          <w:vertAlign w:val="subscript"/>
        </w:rPr>
        <w:t>2</w:t>
      </w:r>
      <w:r>
        <w:rPr>
          <w:rFonts w:ascii="Times New Roman"/>
          <w:bCs/>
          <w:sz w:val="24"/>
          <w:szCs w:val="24"/>
        </w:rPr>
        <w:t>、SO</w:t>
      </w:r>
      <w:r>
        <w:rPr>
          <w:rFonts w:ascii="Times New Roman"/>
          <w:bCs/>
          <w:sz w:val="24"/>
          <w:szCs w:val="24"/>
          <w:vertAlign w:val="subscript"/>
        </w:rPr>
        <w:t>2</w:t>
      </w:r>
      <w:r>
        <w:rPr>
          <w:rFonts w:ascii="Times New Roman"/>
          <w:bCs/>
          <w:sz w:val="24"/>
          <w:szCs w:val="24"/>
        </w:rPr>
        <w:t>的年平均质量浓度、CO的第95百分位数24h平均浓度满足《环境空气质量标准》（GB3095-2012）中二级标准及其修改单；PM</w:t>
      </w:r>
      <w:r>
        <w:rPr>
          <w:rFonts w:ascii="Times New Roman"/>
          <w:bCs/>
          <w:sz w:val="24"/>
          <w:szCs w:val="24"/>
          <w:vertAlign w:val="subscript"/>
        </w:rPr>
        <w:t>2.5</w:t>
      </w:r>
      <w:r>
        <w:rPr>
          <w:rFonts w:ascii="Times New Roman"/>
          <w:bCs/>
          <w:sz w:val="24"/>
          <w:szCs w:val="24"/>
        </w:rPr>
        <w:t>、O</w:t>
      </w:r>
      <w:r>
        <w:rPr>
          <w:rFonts w:ascii="Times New Roman"/>
          <w:bCs/>
          <w:sz w:val="24"/>
          <w:szCs w:val="24"/>
          <w:vertAlign w:val="subscript"/>
        </w:rPr>
        <w:t>3</w:t>
      </w:r>
      <w:r>
        <w:rPr>
          <w:rFonts w:ascii="Times New Roman"/>
          <w:bCs/>
          <w:sz w:val="24"/>
          <w:szCs w:val="24"/>
        </w:rPr>
        <w:t>的第90百分位数8h平均浓度不满足《环境空气质量标准》（GB3095-2012）中二级标准及其修改单，故项目所在区域环境空气质量不达标，属于不达标区。</w:t>
      </w:r>
    </w:p>
    <w:p w14:paraId="4A07DC61">
      <w:pPr>
        <w:pStyle w:val="6"/>
        <w:spacing w:before="120" w:after="120"/>
        <w:rPr>
          <w:rFonts w:ascii="Times New Roman" w:hAnsi="Times New Roman" w:eastAsia="宋体"/>
          <w:b/>
          <w:color w:val="auto"/>
        </w:rPr>
      </w:pPr>
      <w:r>
        <w:rPr>
          <w:rFonts w:ascii="Times New Roman" w:hAnsi="Times New Roman" w:eastAsia="宋体"/>
          <w:b/>
          <w:color w:val="auto"/>
        </w:rPr>
        <w:t>4.2.1.3其他污染物环境质量现状监测与评价</w:t>
      </w:r>
    </w:p>
    <w:p w14:paraId="15B3A518">
      <w:pPr>
        <w:spacing w:line="480" w:lineRule="exact"/>
        <w:ind w:firstLine="480" w:firstLineChars="200"/>
        <w:rPr>
          <w:rFonts w:ascii="Times New Roman"/>
          <w:sz w:val="24"/>
          <w:szCs w:val="24"/>
        </w:rPr>
      </w:pPr>
      <w:r>
        <w:rPr>
          <w:rFonts w:ascii="Times New Roman"/>
          <w:sz w:val="24"/>
          <w:szCs w:val="24"/>
        </w:rPr>
        <w:t>（1）监测布点及监测因子</w:t>
      </w:r>
    </w:p>
    <w:p w14:paraId="23394928">
      <w:pPr>
        <w:pStyle w:val="961"/>
        <w:ind w:firstLine="520"/>
      </w:pPr>
      <w:r>
        <w:t>项目环境控制环境质量现状补充检测委托河北</w:t>
      </w:r>
      <w:r>
        <w:rPr>
          <w:rFonts w:hint="eastAsia"/>
        </w:rPr>
        <w:t>恒丰检测技术服务</w:t>
      </w:r>
      <w:r>
        <w:t>有限公司进行监测，报告编号：</w:t>
      </w:r>
      <w:r>
        <w:rPr>
          <w:rFonts w:hint="eastAsia"/>
        </w:rPr>
        <w:t>HFHJ(2024)WT1444</w:t>
      </w:r>
      <w:r>
        <w:t>，监测时间为202</w:t>
      </w:r>
      <w:r>
        <w:rPr>
          <w:rFonts w:hint="eastAsia"/>
        </w:rPr>
        <w:t>4</w:t>
      </w:r>
      <w:r>
        <w:t>年1</w:t>
      </w:r>
      <w:r>
        <w:rPr>
          <w:rFonts w:hint="eastAsia"/>
        </w:rPr>
        <w:t>2</w:t>
      </w:r>
      <w:r>
        <w:t>月</w:t>
      </w:r>
      <w:r>
        <w:rPr>
          <w:rFonts w:hint="eastAsia"/>
        </w:rPr>
        <w:t>5</w:t>
      </w:r>
      <w:r>
        <w:t>日~1</w:t>
      </w:r>
      <w:r>
        <w:rPr>
          <w:rFonts w:hint="eastAsia"/>
        </w:rPr>
        <w:t>2</w:t>
      </w:r>
      <w:r>
        <w:t>月</w:t>
      </w:r>
      <w:r>
        <w:rPr>
          <w:rFonts w:hint="eastAsia"/>
        </w:rPr>
        <w:t>11</w:t>
      </w:r>
      <w:r>
        <w:t>日。</w:t>
      </w:r>
    </w:p>
    <w:p w14:paraId="11C2A51D">
      <w:pPr>
        <w:spacing w:line="480" w:lineRule="exact"/>
        <w:ind w:firstLine="480" w:firstLineChars="200"/>
        <w:rPr>
          <w:rFonts w:ascii="Times New Roman"/>
          <w:sz w:val="24"/>
          <w:szCs w:val="24"/>
        </w:rPr>
      </w:pPr>
      <w:r>
        <w:rPr>
          <w:rFonts w:ascii="Times New Roman"/>
          <w:sz w:val="24"/>
          <w:szCs w:val="24"/>
        </w:rPr>
        <w:t>根据本项目外排污染源特征、当地气象条件以及所确定的评价范围，选取厂址作为大气环境质量现状监测点，监测点位置及其监测因子见表4.2-3和附图6。</w:t>
      </w:r>
    </w:p>
    <w:p w14:paraId="55E34110">
      <w:pPr>
        <w:spacing w:line="440" w:lineRule="exact"/>
        <w:jc w:val="center"/>
        <w:rPr>
          <w:rFonts w:ascii="Times New Roman"/>
          <w:b/>
          <w:sz w:val="24"/>
          <w:szCs w:val="24"/>
        </w:rPr>
      </w:pPr>
      <w:r>
        <w:rPr>
          <w:rFonts w:ascii="Times New Roman"/>
          <w:b/>
          <w:sz w:val="24"/>
          <w:szCs w:val="24"/>
        </w:rPr>
        <w:t>表4.2-3  环境空气质量监测点位及监测因子一览表</w:t>
      </w:r>
    </w:p>
    <w:tbl>
      <w:tblPr>
        <w:tblStyle w:val="84"/>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5"/>
        <w:gridCol w:w="1598"/>
        <w:gridCol w:w="1831"/>
        <w:gridCol w:w="4164"/>
      </w:tblGrid>
      <w:tr w14:paraId="00F9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79" w:type="pct"/>
            <w:vMerge w:val="restart"/>
            <w:vAlign w:val="center"/>
          </w:tcPr>
          <w:p w14:paraId="03789349">
            <w:pPr>
              <w:adjustRightInd w:val="0"/>
              <w:snapToGrid w:val="0"/>
              <w:jc w:val="center"/>
              <w:rPr>
                <w:rFonts w:ascii="Times New Roman"/>
                <w:sz w:val="21"/>
                <w:szCs w:val="21"/>
              </w:rPr>
            </w:pPr>
            <w:r>
              <w:rPr>
                <w:rFonts w:ascii="Times New Roman"/>
                <w:sz w:val="21"/>
                <w:szCs w:val="21"/>
              </w:rPr>
              <w:t>序号</w:t>
            </w:r>
          </w:p>
        </w:tc>
        <w:tc>
          <w:tcPr>
            <w:tcW w:w="951" w:type="pct"/>
            <w:vMerge w:val="restart"/>
            <w:vAlign w:val="center"/>
          </w:tcPr>
          <w:p w14:paraId="1D798B6D">
            <w:pPr>
              <w:adjustRightInd w:val="0"/>
              <w:snapToGrid w:val="0"/>
              <w:jc w:val="center"/>
              <w:rPr>
                <w:rFonts w:ascii="Times New Roman"/>
                <w:sz w:val="21"/>
                <w:szCs w:val="21"/>
              </w:rPr>
            </w:pPr>
            <w:r>
              <w:rPr>
                <w:rFonts w:ascii="Times New Roman"/>
                <w:sz w:val="21"/>
                <w:szCs w:val="21"/>
              </w:rPr>
              <w:t>监测点名称</w:t>
            </w:r>
          </w:p>
        </w:tc>
        <w:tc>
          <w:tcPr>
            <w:tcW w:w="3568" w:type="pct"/>
            <w:gridSpan w:val="2"/>
            <w:vAlign w:val="center"/>
          </w:tcPr>
          <w:p w14:paraId="36A0A16C">
            <w:pPr>
              <w:adjustRightInd w:val="0"/>
              <w:snapToGrid w:val="0"/>
              <w:jc w:val="center"/>
              <w:rPr>
                <w:rFonts w:ascii="Times New Roman"/>
                <w:sz w:val="21"/>
                <w:szCs w:val="21"/>
              </w:rPr>
            </w:pPr>
            <w:r>
              <w:rPr>
                <w:rFonts w:ascii="Times New Roman"/>
                <w:sz w:val="21"/>
                <w:szCs w:val="21"/>
              </w:rPr>
              <w:t>监测因子</w:t>
            </w:r>
          </w:p>
        </w:tc>
      </w:tr>
      <w:tr w14:paraId="6EE4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79" w:type="pct"/>
            <w:vMerge w:val="continue"/>
            <w:vAlign w:val="center"/>
          </w:tcPr>
          <w:p w14:paraId="29CD7C46">
            <w:pPr>
              <w:adjustRightInd w:val="0"/>
              <w:snapToGrid w:val="0"/>
              <w:jc w:val="center"/>
              <w:rPr>
                <w:rFonts w:ascii="Times New Roman"/>
                <w:sz w:val="21"/>
                <w:szCs w:val="21"/>
              </w:rPr>
            </w:pPr>
          </w:p>
        </w:tc>
        <w:tc>
          <w:tcPr>
            <w:tcW w:w="951" w:type="pct"/>
            <w:vMerge w:val="continue"/>
            <w:vAlign w:val="center"/>
          </w:tcPr>
          <w:p w14:paraId="368695DD">
            <w:pPr>
              <w:adjustRightInd w:val="0"/>
              <w:snapToGrid w:val="0"/>
              <w:jc w:val="center"/>
              <w:rPr>
                <w:rFonts w:ascii="Times New Roman"/>
                <w:sz w:val="21"/>
                <w:szCs w:val="21"/>
              </w:rPr>
            </w:pPr>
          </w:p>
        </w:tc>
        <w:tc>
          <w:tcPr>
            <w:tcW w:w="1090" w:type="pct"/>
            <w:vAlign w:val="center"/>
          </w:tcPr>
          <w:p w14:paraId="3E04E73E">
            <w:pPr>
              <w:adjustRightInd w:val="0"/>
              <w:snapToGrid w:val="0"/>
              <w:jc w:val="center"/>
              <w:rPr>
                <w:rFonts w:ascii="Times New Roman"/>
                <w:sz w:val="21"/>
                <w:szCs w:val="21"/>
              </w:rPr>
            </w:pPr>
            <w:r>
              <w:rPr>
                <w:rFonts w:ascii="Times New Roman"/>
                <w:sz w:val="21"/>
                <w:szCs w:val="21"/>
              </w:rPr>
              <w:t>日均浓度</w:t>
            </w:r>
          </w:p>
        </w:tc>
        <w:tc>
          <w:tcPr>
            <w:tcW w:w="2478" w:type="pct"/>
            <w:vAlign w:val="center"/>
          </w:tcPr>
          <w:p w14:paraId="0739EC06">
            <w:pPr>
              <w:adjustRightInd w:val="0"/>
              <w:snapToGrid w:val="0"/>
              <w:jc w:val="center"/>
              <w:rPr>
                <w:rFonts w:ascii="Times New Roman"/>
                <w:sz w:val="21"/>
                <w:szCs w:val="21"/>
              </w:rPr>
            </w:pPr>
            <w:r>
              <w:rPr>
                <w:rFonts w:ascii="Times New Roman"/>
                <w:sz w:val="21"/>
                <w:szCs w:val="21"/>
              </w:rPr>
              <w:t>1小时浓度</w:t>
            </w:r>
          </w:p>
        </w:tc>
      </w:tr>
      <w:tr w14:paraId="7EAC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479" w:type="pct"/>
            <w:vAlign w:val="center"/>
          </w:tcPr>
          <w:p w14:paraId="5C70E667">
            <w:pPr>
              <w:adjustRightInd w:val="0"/>
              <w:snapToGrid w:val="0"/>
              <w:jc w:val="center"/>
              <w:rPr>
                <w:rFonts w:ascii="Times New Roman"/>
                <w:sz w:val="21"/>
                <w:szCs w:val="21"/>
              </w:rPr>
            </w:pPr>
            <w:r>
              <w:rPr>
                <w:rFonts w:ascii="Times New Roman"/>
                <w:sz w:val="21"/>
                <w:szCs w:val="21"/>
              </w:rPr>
              <w:t>1</w:t>
            </w:r>
          </w:p>
        </w:tc>
        <w:tc>
          <w:tcPr>
            <w:tcW w:w="951" w:type="pct"/>
            <w:vAlign w:val="center"/>
          </w:tcPr>
          <w:p w14:paraId="2A194CD8">
            <w:pPr>
              <w:spacing w:line="240" w:lineRule="exact"/>
              <w:jc w:val="center"/>
              <w:textAlignment w:val="center"/>
              <w:rPr>
                <w:rFonts w:ascii="Times New Roman"/>
                <w:bCs/>
                <w:sz w:val="21"/>
                <w:szCs w:val="21"/>
              </w:rPr>
            </w:pPr>
            <w:r>
              <w:rPr>
                <w:rFonts w:ascii="Times New Roman"/>
                <w:bCs/>
                <w:sz w:val="21"/>
                <w:szCs w:val="21"/>
              </w:rPr>
              <w:t>厂址</w:t>
            </w:r>
          </w:p>
        </w:tc>
        <w:tc>
          <w:tcPr>
            <w:tcW w:w="1090" w:type="pct"/>
            <w:vAlign w:val="center"/>
          </w:tcPr>
          <w:p w14:paraId="4E13B58B">
            <w:pPr>
              <w:adjustRightInd w:val="0"/>
              <w:snapToGrid w:val="0"/>
              <w:jc w:val="center"/>
              <w:rPr>
                <w:rFonts w:ascii="Times New Roman"/>
                <w:sz w:val="21"/>
                <w:szCs w:val="21"/>
              </w:rPr>
            </w:pPr>
            <w:r>
              <w:rPr>
                <w:rFonts w:ascii="Times New Roman"/>
                <w:sz w:val="21"/>
                <w:szCs w:val="21"/>
              </w:rPr>
              <w:t>TSP</w:t>
            </w:r>
          </w:p>
        </w:tc>
        <w:tc>
          <w:tcPr>
            <w:tcW w:w="2478" w:type="pct"/>
            <w:vAlign w:val="center"/>
          </w:tcPr>
          <w:p w14:paraId="6CC83337">
            <w:pPr>
              <w:jc w:val="center"/>
              <w:rPr>
                <w:rFonts w:ascii="Times New Roman"/>
                <w:sz w:val="21"/>
                <w:szCs w:val="21"/>
              </w:rPr>
            </w:pPr>
            <w:r>
              <w:rPr>
                <w:rFonts w:ascii="Times New Roman"/>
                <w:sz w:val="21"/>
                <w:szCs w:val="21"/>
              </w:rPr>
              <w:t>非甲烷总烃、二甲苯</w:t>
            </w:r>
          </w:p>
        </w:tc>
      </w:tr>
    </w:tbl>
    <w:p w14:paraId="5A94C27E">
      <w:pPr>
        <w:spacing w:line="440" w:lineRule="exact"/>
        <w:ind w:firstLine="480" w:firstLineChars="200"/>
        <w:rPr>
          <w:rFonts w:ascii="Times New Roman"/>
          <w:sz w:val="24"/>
          <w:szCs w:val="22"/>
        </w:rPr>
      </w:pPr>
      <w:r>
        <w:rPr>
          <w:rFonts w:ascii="Times New Roman"/>
          <w:sz w:val="24"/>
          <w:szCs w:val="22"/>
        </w:rPr>
        <w:t>（2）监测时间及频率</w:t>
      </w:r>
    </w:p>
    <w:p w14:paraId="0EF46052">
      <w:pPr>
        <w:spacing w:line="440" w:lineRule="exact"/>
        <w:ind w:firstLine="480" w:firstLineChars="200"/>
        <w:rPr>
          <w:rFonts w:ascii="Times New Roman"/>
          <w:sz w:val="24"/>
          <w:szCs w:val="24"/>
        </w:rPr>
      </w:pPr>
      <w:r>
        <w:rPr>
          <w:rFonts w:ascii="Times New Roman"/>
          <w:sz w:val="24"/>
          <w:szCs w:val="24"/>
        </w:rPr>
        <w:t>监测时间及监测频率为：202</w:t>
      </w:r>
      <w:r>
        <w:rPr>
          <w:rFonts w:hint="eastAsia" w:ascii="Times New Roman"/>
          <w:sz w:val="24"/>
          <w:szCs w:val="24"/>
        </w:rPr>
        <w:t>4</w:t>
      </w:r>
      <w:r>
        <w:rPr>
          <w:rFonts w:ascii="Times New Roman"/>
          <w:sz w:val="24"/>
          <w:szCs w:val="24"/>
        </w:rPr>
        <w:t>年</w:t>
      </w:r>
      <w:r>
        <w:rPr>
          <w:rFonts w:hint="eastAsia" w:ascii="Times New Roman"/>
          <w:sz w:val="24"/>
          <w:szCs w:val="24"/>
        </w:rPr>
        <w:t>12</w:t>
      </w:r>
      <w:r>
        <w:rPr>
          <w:rFonts w:ascii="Times New Roman"/>
          <w:sz w:val="24"/>
          <w:szCs w:val="24"/>
        </w:rPr>
        <w:t>月</w:t>
      </w:r>
      <w:r>
        <w:rPr>
          <w:rFonts w:hint="eastAsia" w:ascii="Times New Roman"/>
          <w:sz w:val="24"/>
          <w:szCs w:val="24"/>
        </w:rPr>
        <w:t>5</w:t>
      </w:r>
      <w:r>
        <w:rPr>
          <w:rFonts w:ascii="Times New Roman"/>
          <w:sz w:val="24"/>
          <w:szCs w:val="24"/>
        </w:rPr>
        <w:t>日~</w:t>
      </w:r>
      <w:r>
        <w:rPr>
          <w:rFonts w:hint="eastAsia" w:ascii="Times New Roman"/>
          <w:sz w:val="24"/>
          <w:szCs w:val="24"/>
        </w:rPr>
        <w:t>12</w:t>
      </w:r>
      <w:r>
        <w:rPr>
          <w:rFonts w:ascii="Times New Roman"/>
          <w:sz w:val="24"/>
          <w:szCs w:val="24"/>
        </w:rPr>
        <w:t>月</w:t>
      </w:r>
      <w:r>
        <w:rPr>
          <w:rFonts w:hint="eastAsia" w:ascii="Times New Roman"/>
          <w:sz w:val="24"/>
          <w:szCs w:val="24"/>
        </w:rPr>
        <w:t>11</w:t>
      </w:r>
      <w:r>
        <w:rPr>
          <w:rFonts w:ascii="Times New Roman"/>
          <w:sz w:val="24"/>
          <w:szCs w:val="24"/>
        </w:rPr>
        <w:t>日，</w:t>
      </w:r>
      <w:r>
        <w:rPr>
          <w:rFonts w:ascii="Times New Roman"/>
          <w:sz w:val="24"/>
        </w:rPr>
        <w:t>TSP：24小时平均浓度每天连续采样不少于24小时，连续监测7天；</w:t>
      </w:r>
      <w:r>
        <w:rPr>
          <w:rFonts w:ascii="Times New Roman"/>
          <w:sz w:val="24"/>
          <w:szCs w:val="24"/>
        </w:rPr>
        <w:t>非甲烷总烃、二甲苯</w:t>
      </w:r>
      <w:r>
        <w:rPr>
          <w:rFonts w:ascii="Times New Roman"/>
          <w:sz w:val="24"/>
        </w:rPr>
        <w:t>1小时浓度每天采样不少于4次，每次采样不少于45分钟，具体时间为：2</w:t>
      </w:r>
      <w:r>
        <w:rPr>
          <w:rFonts w:hint="eastAsia" w:ascii="Times New Roman"/>
          <w:sz w:val="24"/>
        </w:rPr>
        <w:t>：</w:t>
      </w:r>
      <w:r>
        <w:rPr>
          <w:rFonts w:ascii="Times New Roman"/>
          <w:sz w:val="24"/>
        </w:rPr>
        <w:t>00、8</w:t>
      </w:r>
      <w:r>
        <w:rPr>
          <w:rFonts w:hint="eastAsia" w:ascii="Times New Roman"/>
          <w:sz w:val="24"/>
        </w:rPr>
        <w:t>：</w:t>
      </w:r>
      <w:r>
        <w:rPr>
          <w:rFonts w:ascii="Times New Roman"/>
          <w:sz w:val="24"/>
        </w:rPr>
        <w:t>00、14</w:t>
      </w:r>
      <w:r>
        <w:rPr>
          <w:rFonts w:hint="eastAsia" w:ascii="Times New Roman"/>
          <w:sz w:val="24"/>
        </w:rPr>
        <w:t>：</w:t>
      </w:r>
      <w:r>
        <w:rPr>
          <w:rFonts w:ascii="Times New Roman"/>
          <w:sz w:val="24"/>
        </w:rPr>
        <w:t>00、20</w:t>
      </w:r>
      <w:r>
        <w:rPr>
          <w:rFonts w:hint="eastAsia" w:ascii="Times New Roman"/>
          <w:sz w:val="24"/>
        </w:rPr>
        <w:t>：</w:t>
      </w:r>
      <w:r>
        <w:rPr>
          <w:rFonts w:ascii="Times New Roman"/>
          <w:sz w:val="24"/>
        </w:rPr>
        <w:t>00，连续监测7天。</w:t>
      </w:r>
    </w:p>
    <w:p w14:paraId="3D927CC1">
      <w:pPr>
        <w:spacing w:line="440" w:lineRule="exact"/>
        <w:ind w:firstLine="480" w:firstLineChars="200"/>
        <w:rPr>
          <w:rFonts w:ascii="Times New Roman"/>
          <w:sz w:val="24"/>
          <w:szCs w:val="24"/>
        </w:rPr>
      </w:pPr>
      <w:r>
        <w:rPr>
          <w:rFonts w:ascii="Times New Roman"/>
          <w:sz w:val="24"/>
          <w:szCs w:val="24"/>
        </w:rPr>
        <w:t>（3）监测及分析方法</w:t>
      </w:r>
    </w:p>
    <w:p w14:paraId="155AFE47">
      <w:pPr>
        <w:spacing w:line="440" w:lineRule="exact"/>
        <w:ind w:firstLine="480" w:firstLineChars="200"/>
        <w:rPr>
          <w:rFonts w:ascii="Times New Roman"/>
          <w:sz w:val="24"/>
          <w:szCs w:val="24"/>
        </w:rPr>
      </w:pPr>
      <w:r>
        <w:rPr>
          <w:rFonts w:ascii="Times New Roman"/>
          <w:sz w:val="24"/>
          <w:szCs w:val="24"/>
        </w:rPr>
        <w:t>采样方法按《环境监测技术规范》（大气部分）进行，监测分析方法按《环境空气质量标准》（GB3095-2012）中表2和《空气和废气监测分析方法》（第四版）进行。各监测因子检测方法及检出浓度见表4.2-4。</w:t>
      </w:r>
    </w:p>
    <w:p w14:paraId="425BDF70">
      <w:pPr>
        <w:spacing w:line="480" w:lineRule="exact"/>
        <w:jc w:val="center"/>
        <w:rPr>
          <w:rFonts w:ascii="Times New Roman"/>
          <w:b/>
          <w:sz w:val="24"/>
          <w:szCs w:val="24"/>
        </w:rPr>
      </w:pPr>
      <w:r>
        <w:rPr>
          <w:rFonts w:ascii="Times New Roman"/>
          <w:b/>
          <w:sz w:val="24"/>
          <w:szCs w:val="24"/>
        </w:rPr>
        <w:t>表4.2-4  检测方法和检出限一览表</w:t>
      </w:r>
    </w:p>
    <w:tbl>
      <w:tblPr>
        <w:tblStyle w:val="84"/>
        <w:tblW w:w="47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4473"/>
        <w:gridCol w:w="1901"/>
      </w:tblGrid>
      <w:tr w14:paraId="64BD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24" w:type="pct"/>
            <w:vAlign w:val="center"/>
          </w:tcPr>
          <w:p w14:paraId="7EF23D9C">
            <w:pPr>
              <w:jc w:val="center"/>
              <w:rPr>
                <w:rFonts w:ascii="Times New Roman"/>
                <w:sz w:val="21"/>
                <w:szCs w:val="21"/>
              </w:rPr>
            </w:pPr>
            <w:r>
              <w:rPr>
                <w:rFonts w:ascii="Times New Roman"/>
                <w:sz w:val="21"/>
                <w:szCs w:val="21"/>
              </w:rPr>
              <w:t>项目</w:t>
            </w:r>
          </w:p>
        </w:tc>
        <w:tc>
          <w:tcPr>
            <w:tcW w:w="2789" w:type="pct"/>
            <w:vAlign w:val="center"/>
          </w:tcPr>
          <w:p w14:paraId="1A0ED656">
            <w:pPr>
              <w:jc w:val="center"/>
              <w:rPr>
                <w:rFonts w:ascii="Times New Roman"/>
                <w:sz w:val="21"/>
                <w:szCs w:val="21"/>
              </w:rPr>
            </w:pPr>
            <w:r>
              <w:rPr>
                <w:rFonts w:ascii="Times New Roman"/>
                <w:sz w:val="21"/>
                <w:szCs w:val="21"/>
              </w:rPr>
              <w:t>分析方法</w:t>
            </w:r>
          </w:p>
        </w:tc>
        <w:tc>
          <w:tcPr>
            <w:tcW w:w="1185" w:type="pct"/>
            <w:vAlign w:val="center"/>
          </w:tcPr>
          <w:p w14:paraId="11DC3134">
            <w:pPr>
              <w:jc w:val="center"/>
              <w:rPr>
                <w:rFonts w:ascii="Times New Roman"/>
                <w:sz w:val="21"/>
                <w:szCs w:val="21"/>
              </w:rPr>
            </w:pPr>
            <w:r>
              <w:rPr>
                <w:rFonts w:ascii="Times New Roman"/>
                <w:sz w:val="21"/>
                <w:szCs w:val="21"/>
              </w:rPr>
              <w:t>检出限</w:t>
            </w:r>
          </w:p>
        </w:tc>
      </w:tr>
      <w:tr w14:paraId="6511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024" w:type="pct"/>
            <w:vAlign w:val="center"/>
          </w:tcPr>
          <w:p w14:paraId="4E360CD6">
            <w:pPr>
              <w:jc w:val="center"/>
              <w:rPr>
                <w:rFonts w:ascii="Times New Roman"/>
                <w:sz w:val="21"/>
                <w:szCs w:val="21"/>
              </w:rPr>
            </w:pPr>
            <w:r>
              <w:rPr>
                <w:rFonts w:ascii="Times New Roman"/>
                <w:sz w:val="21"/>
                <w:szCs w:val="21"/>
              </w:rPr>
              <w:t>非甲烷总烃</w:t>
            </w:r>
          </w:p>
        </w:tc>
        <w:tc>
          <w:tcPr>
            <w:tcW w:w="2789" w:type="pct"/>
            <w:vAlign w:val="center"/>
          </w:tcPr>
          <w:p w14:paraId="4BBF62FE">
            <w:pPr>
              <w:jc w:val="center"/>
              <w:rPr>
                <w:rFonts w:ascii="Times New Roman"/>
                <w:sz w:val="21"/>
                <w:szCs w:val="21"/>
              </w:rPr>
            </w:pPr>
            <w:r>
              <w:rPr>
                <w:rFonts w:ascii="Times New Roman"/>
                <w:sz w:val="21"/>
                <w:szCs w:val="21"/>
              </w:rPr>
              <w:t>《环境空气总烃、甲烷和非甲烷总烃的测定直接进样-气相色谱法》</w:t>
            </w:r>
          </w:p>
          <w:p w14:paraId="59A7457F">
            <w:pPr>
              <w:jc w:val="center"/>
              <w:rPr>
                <w:rFonts w:ascii="Times New Roman"/>
                <w:sz w:val="21"/>
                <w:szCs w:val="21"/>
              </w:rPr>
            </w:pPr>
            <w:r>
              <w:rPr>
                <w:rFonts w:ascii="Times New Roman"/>
                <w:sz w:val="21"/>
                <w:szCs w:val="21"/>
              </w:rPr>
              <w:t>HJ 604-2017</w:t>
            </w:r>
          </w:p>
        </w:tc>
        <w:tc>
          <w:tcPr>
            <w:tcW w:w="1185" w:type="pct"/>
            <w:vAlign w:val="center"/>
          </w:tcPr>
          <w:p w14:paraId="75E62739">
            <w:pPr>
              <w:jc w:val="center"/>
              <w:rPr>
                <w:rFonts w:ascii="Times New Roman"/>
                <w:sz w:val="21"/>
                <w:szCs w:val="21"/>
              </w:rPr>
            </w:pPr>
            <w:r>
              <w:rPr>
                <w:rFonts w:ascii="Times New Roman"/>
                <w:sz w:val="21"/>
                <w:szCs w:val="21"/>
              </w:rPr>
              <w:t>0.07mg/m</w:t>
            </w:r>
            <w:r>
              <w:rPr>
                <w:rFonts w:ascii="Times New Roman"/>
                <w:sz w:val="21"/>
                <w:szCs w:val="21"/>
                <w:vertAlign w:val="superscript"/>
              </w:rPr>
              <w:t>3</w:t>
            </w:r>
          </w:p>
        </w:tc>
      </w:tr>
      <w:tr w14:paraId="46A1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024" w:type="pct"/>
            <w:vAlign w:val="center"/>
          </w:tcPr>
          <w:p w14:paraId="2EF71D50">
            <w:pPr>
              <w:jc w:val="center"/>
              <w:rPr>
                <w:rFonts w:ascii="Times New Roman"/>
                <w:sz w:val="21"/>
                <w:szCs w:val="21"/>
              </w:rPr>
            </w:pPr>
            <w:r>
              <w:rPr>
                <w:rFonts w:ascii="Times New Roman"/>
                <w:sz w:val="21"/>
                <w:szCs w:val="21"/>
              </w:rPr>
              <w:t>二甲苯</w:t>
            </w:r>
          </w:p>
        </w:tc>
        <w:tc>
          <w:tcPr>
            <w:tcW w:w="2789" w:type="pct"/>
            <w:vAlign w:val="center"/>
          </w:tcPr>
          <w:p w14:paraId="1ACC0351">
            <w:pPr>
              <w:jc w:val="center"/>
              <w:rPr>
                <w:rFonts w:ascii="Times New Roman"/>
                <w:sz w:val="21"/>
                <w:szCs w:val="21"/>
              </w:rPr>
            </w:pPr>
            <w:r>
              <w:rPr>
                <w:rFonts w:ascii="Times New Roman"/>
                <w:sz w:val="21"/>
                <w:szCs w:val="21"/>
              </w:rPr>
              <w:t>《环境空气苯系物的测定活性炭吸附/二硫化碳解吸-气相色谱法》</w:t>
            </w:r>
          </w:p>
          <w:p w14:paraId="0FF46EE5">
            <w:pPr>
              <w:jc w:val="center"/>
              <w:rPr>
                <w:rFonts w:ascii="Times New Roman"/>
                <w:sz w:val="21"/>
                <w:szCs w:val="21"/>
              </w:rPr>
            </w:pPr>
            <w:r>
              <w:rPr>
                <w:rFonts w:ascii="Times New Roman"/>
                <w:sz w:val="21"/>
                <w:szCs w:val="21"/>
              </w:rPr>
              <w:t>HJ 584-2010</w:t>
            </w:r>
          </w:p>
        </w:tc>
        <w:tc>
          <w:tcPr>
            <w:tcW w:w="1185" w:type="pct"/>
            <w:vAlign w:val="center"/>
          </w:tcPr>
          <w:p w14:paraId="1A47D39F">
            <w:pPr>
              <w:jc w:val="center"/>
              <w:rPr>
                <w:rFonts w:ascii="Times New Roman"/>
                <w:sz w:val="21"/>
                <w:szCs w:val="21"/>
              </w:rPr>
            </w:pPr>
            <w:r>
              <w:rPr>
                <w:rFonts w:ascii="Times New Roman"/>
                <w:sz w:val="21"/>
                <w:szCs w:val="21"/>
              </w:rPr>
              <w:t>0.0015mg/m</w:t>
            </w:r>
            <w:r>
              <w:rPr>
                <w:rFonts w:ascii="Times New Roman"/>
                <w:sz w:val="21"/>
                <w:szCs w:val="21"/>
                <w:vertAlign w:val="superscript"/>
              </w:rPr>
              <w:t>3</w:t>
            </w:r>
          </w:p>
        </w:tc>
      </w:tr>
      <w:tr w14:paraId="3ACB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24" w:type="pct"/>
            <w:vAlign w:val="center"/>
          </w:tcPr>
          <w:p w14:paraId="74072B1A">
            <w:pPr>
              <w:jc w:val="center"/>
              <w:rPr>
                <w:rFonts w:ascii="Times New Roman"/>
                <w:sz w:val="21"/>
                <w:szCs w:val="21"/>
              </w:rPr>
            </w:pPr>
            <w:r>
              <w:rPr>
                <w:rFonts w:ascii="Times New Roman"/>
                <w:sz w:val="21"/>
                <w:szCs w:val="21"/>
              </w:rPr>
              <w:t>总悬浮颗粒物（TSP）</w:t>
            </w:r>
          </w:p>
        </w:tc>
        <w:tc>
          <w:tcPr>
            <w:tcW w:w="2789" w:type="pct"/>
            <w:vAlign w:val="center"/>
          </w:tcPr>
          <w:p w14:paraId="07191DDB">
            <w:pPr>
              <w:jc w:val="center"/>
              <w:rPr>
                <w:rFonts w:ascii="Times New Roman"/>
                <w:sz w:val="21"/>
                <w:szCs w:val="21"/>
              </w:rPr>
            </w:pPr>
            <w:r>
              <w:rPr>
                <w:rFonts w:ascii="Times New Roman"/>
                <w:sz w:val="21"/>
                <w:szCs w:val="21"/>
              </w:rPr>
              <w:t>《环境空气总悬浮颗粒物的测定重量法》 HJ1263-2022</w:t>
            </w:r>
          </w:p>
        </w:tc>
        <w:tc>
          <w:tcPr>
            <w:tcW w:w="1185" w:type="pct"/>
            <w:vAlign w:val="center"/>
          </w:tcPr>
          <w:p w14:paraId="258E9B63">
            <w:pPr>
              <w:jc w:val="center"/>
              <w:rPr>
                <w:rFonts w:ascii="Times New Roman"/>
                <w:sz w:val="21"/>
                <w:szCs w:val="21"/>
              </w:rPr>
            </w:pPr>
            <w:r>
              <w:rPr>
                <w:rFonts w:ascii="Times New Roman"/>
                <w:sz w:val="21"/>
                <w:szCs w:val="21"/>
              </w:rPr>
              <w:t>0.001mg/m</w:t>
            </w:r>
            <w:r>
              <w:rPr>
                <w:rFonts w:ascii="Times New Roman"/>
                <w:sz w:val="21"/>
                <w:szCs w:val="21"/>
                <w:vertAlign w:val="superscript"/>
              </w:rPr>
              <w:t>3</w:t>
            </w:r>
          </w:p>
        </w:tc>
      </w:tr>
    </w:tbl>
    <w:p w14:paraId="1F53D469">
      <w:pPr>
        <w:spacing w:line="520" w:lineRule="exact"/>
        <w:rPr>
          <w:rFonts w:ascii="Times New Roman"/>
          <w:b/>
          <w:sz w:val="24"/>
          <w:szCs w:val="24"/>
        </w:rPr>
      </w:pPr>
      <w:r>
        <w:rPr>
          <w:rFonts w:ascii="Times New Roman"/>
          <w:b/>
          <w:sz w:val="24"/>
          <w:szCs w:val="24"/>
        </w:rPr>
        <w:t>4.2.1.2环境空气质量现状评价</w:t>
      </w:r>
    </w:p>
    <w:p w14:paraId="410581AB">
      <w:pPr>
        <w:tabs>
          <w:tab w:val="left" w:pos="0"/>
          <w:tab w:val="left" w:pos="5040"/>
          <w:tab w:val="left" w:pos="5511"/>
        </w:tabs>
        <w:spacing w:line="480" w:lineRule="exact"/>
        <w:ind w:firstLine="480"/>
        <w:rPr>
          <w:rFonts w:ascii="Times New Roman"/>
          <w:sz w:val="24"/>
          <w:szCs w:val="24"/>
        </w:rPr>
      </w:pPr>
      <w:r>
        <w:rPr>
          <w:rFonts w:ascii="Times New Roman"/>
          <w:sz w:val="24"/>
          <w:szCs w:val="24"/>
        </w:rPr>
        <w:t>（1）评价因子</w:t>
      </w:r>
    </w:p>
    <w:p w14:paraId="70D97F27">
      <w:pPr>
        <w:spacing w:line="480" w:lineRule="exact"/>
        <w:ind w:firstLine="480"/>
        <w:rPr>
          <w:rFonts w:ascii="Times New Roman"/>
          <w:sz w:val="24"/>
          <w:szCs w:val="24"/>
        </w:rPr>
      </w:pPr>
      <w:r>
        <w:rPr>
          <w:rFonts w:ascii="Times New Roman"/>
          <w:sz w:val="24"/>
          <w:szCs w:val="24"/>
        </w:rPr>
        <w:t>评价因子同现状监测因子。</w:t>
      </w:r>
    </w:p>
    <w:p w14:paraId="15081F1D">
      <w:pPr>
        <w:spacing w:line="480" w:lineRule="exact"/>
        <w:ind w:firstLine="480"/>
        <w:rPr>
          <w:rFonts w:ascii="Times New Roman"/>
          <w:snapToGrid w:val="0"/>
          <w:sz w:val="24"/>
          <w:szCs w:val="24"/>
        </w:rPr>
      </w:pPr>
      <w:r>
        <w:rPr>
          <w:rFonts w:ascii="Times New Roman"/>
          <w:snapToGrid w:val="0"/>
          <w:sz w:val="24"/>
          <w:szCs w:val="24"/>
        </w:rPr>
        <w:t>（2）评价方法</w:t>
      </w:r>
    </w:p>
    <w:p w14:paraId="76B7FDAB">
      <w:pPr>
        <w:spacing w:line="480" w:lineRule="exact"/>
        <w:ind w:firstLine="480"/>
        <w:rPr>
          <w:rFonts w:ascii="Times New Roman"/>
          <w:snapToGrid w:val="0"/>
          <w:sz w:val="24"/>
          <w:szCs w:val="24"/>
        </w:rPr>
      </w:pPr>
      <w:r>
        <w:rPr>
          <w:rFonts w:ascii="Times New Roman"/>
          <w:snapToGrid w:val="0"/>
          <w:sz w:val="24"/>
          <w:szCs w:val="24"/>
        </w:rPr>
        <w:t>评价方法采用单项标准指数法，计算模式如下：</w:t>
      </w:r>
    </w:p>
    <w:p w14:paraId="424DFAC6">
      <w:pPr>
        <w:spacing w:line="480" w:lineRule="exact"/>
        <w:ind w:firstLine="960" w:firstLineChars="400"/>
        <w:rPr>
          <w:rFonts w:ascii="Times New Roman"/>
          <w:snapToGrid w:val="0"/>
          <w:sz w:val="24"/>
          <w:szCs w:val="24"/>
        </w:rPr>
      </w:pPr>
      <w:r>
        <w:rPr>
          <w:rFonts w:ascii="Times New Roman"/>
          <w:snapToGrid w:val="0"/>
          <w:sz w:val="24"/>
          <w:szCs w:val="24"/>
        </w:rPr>
        <w:t>P</w:t>
      </w:r>
      <w:r>
        <w:rPr>
          <w:rFonts w:ascii="Times New Roman"/>
          <w:snapToGrid w:val="0"/>
          <w:sz w:val="24"/>
          <w:szCs w:val="24"/>
          <w:vertAlign w:val="subscript"/>
        </w:rPr>
        <w:t>i</w:t>
      </w:r>
      <w:r>
        <w:rPr>
          <w:rFonts w:ascii="Times New Roman"/>
          <w:snapToGrid w:val="0"/>
          <w:sz w:val="24"/>
          <w:szCs w:val="24"/>
        </w:rPr>
        <w:t>＝C</w:t>
      </w:r>
      <w:r>
        <w:rPr>
          <w:rFonts w:ascii="Times New Roman"/>
          <w:snapToGrid w:val="0"/>
          <w:sz w:val="24"/>
          <w:szCs w:val="24"/>
          <w:vertAlign w:val="subscript"/>
        </w:rPr>
        <w:t>i</w:t>
      </w:r>
      <w:r>
        <w:rPr>
          <w:rFonts w:ascii="Times New Roman"/>
          <w:snapToGrid w:val="0"/>
          <w:sz w:val="24"/>
          <w:szCs w:val="24"/>
        </w:rPr>
        <w:t>/C</w:t>
      </w:r>
      <w:r>
        <w:rPr>
          <w:rFonts w:ascii="Times New Roman"/>
          <w:snapToGrid w:val="0"/>
          <w:sz w:val="24"/>
          <w:szCs w:val="24"/>
          <w:vertAlign w:val="subscript"/>
        </w:rPr>
        <w:t>0i</w:t>
      </w:r>
    </w:p>
    <w:p w14:paraId="5FCAB7B0">
      <w:pPr>
        <w:spacing w:line="480" w:lineRule="exact"/>
        <w:ind w:firstLine="480"/>
        <w:rPr>
          <w:rFonts w:ascii="Times New Roman"/>
          <w:snapToGrid w:val="0"/>
          <w:sz w:val="24"/>
          <w:szCs w:val="24"/>
        </w:rPr>
      </w:pPr>
      <w:r>
        <w:rPr>
          <w:rFonts w:ascii="Times New Roman"/>
          <w:snapToGrid w:val="0"/>
          <w:sz w:val="24"/>
          <w:szCs w:val="24"/>
        </w:rPr>
        <w:t>式中：P</w:t>
      </w:r>
      <w:r>
        <w:rPr>
          <w:rFonts w:ascii="Times New Roman"/>
          <w:snapToGrid w:val="0"/>
          <w:sz w:val="24"/>
          <w:szCs w:val="24"/>
          <w:vertAlign w:val="subscript"/>
        </w:rPr>
        <w:t>i</w:t>
      </w:r>
      <w:r>
        <w:rPr>
          <w:rFonts w:ascii="Times New Roman"/>
          <w:snapToGrid w:val="0"/>
          <w:sz w:val="24"/>
          <w:szCs w:val="24"/>
        </w:rPr>
        <w:t>--i污染物标准指数；</w:t>
      </w:r>
    </w:p>
    <w:p w14:paraId="7DEE8285">
      <w:pPr>
        <w:spacing w:line="480" w:lineRule="exact"/>
        <w:ind w:firstLine="1200" w:firstLineChars="500"/>
        <w:rPr>
          <w:rFonts w:ascii="Times New Roman"/>
          <w:snapToGrid w:val="0"/>
          <w:sz w:val="24"/>
          <w:szCs w:val="24"/>
        </w:rPr>
      </w:pPr>
      <w:r>
        <w:rPr>
          <w:rFonts w:ascii="Times New Roman"/>
          <w:snapToGrid w:val="0"/>
          <w:sz w:val="24"/>
          <w:szCs w:val="24"/>
        </w:rPr>
        <w:t>C</w:t>
      </w:r>
      <w:r>
        <w:rPr>
          <w:rFonts w:ascii="Times New Roman"/>
          <w:snapToGrid w:val="0"/>
          <w:sz w:val="24"/>
          <w:szCs w:val="24"/>
          <w:vertAlign w:val="subscript"/>
        </w:rPr>
        <w:t>i</w:t>
      </w:r>
      <w:r>
        <w:rPr>
          <w:rFonts w:ascii="Times New Roman"/>
          <w:snapToGrid w:val="0"/>
          <w:sz w:val="24"/>
          <w:szCs w:val="24"/>
        </w:rPr>
        <w:t>--i污染物实测浓度，mg/m</w:t>
      </w:r>
      <w:r>
        <w:rPr>
          <w:rFonts w:ascii="Times New Roman"/>
          <w:snapToGrid w:val="0"/>
          <w:sz w:val="24"/>
          <w:szCs w:val="24"/>
          <w:vertAlign w:val="superscript"/>
        </w:rPr>
        <w:t>3</w:t>
      </w:r>
      <w:r>
        <w:rPr>
          <w:rFonts w:ascii="Times New Roman"/>
          <w:snapToGrid w:val="0"/>
          <w:sz w:val="24"/>
          <w:szCs w:val="24"/>
        </w:rPr>
        <w:t>；</w:t>
      </w:r>
    </w:p>
    <w:p w14:paraId="48D54A23">
      <w:pPr>
        <w:spacing w:line="480" w:lineRule="exact"/>
        <w:ind w:firstLine="1200" w:firstLineChars="500"/>
        <w:rPr>
          <w:rFonts w:ascii="Times New Roman"/>
          <w:snapToGrid w:val="0"/>
          <w:sz w:val="24"/>
          <w:szCs w:val="24"/>
        </w:rPr>
      </w:pPr>
      <w:r>
        <w:rPr>
          <w:rFonts w:ascii="Times New Roman"/>
          <w:snapToGrid w:val="0"/>
          <w:sz w:val="24"/>
          <w:szCs w:val="24"/>
        </w:rPr>
        <w:t>C</w:t>
      </w:r>
      <w:r>
        <w:rPr>
          <w:rFonts w:ascii="Times New Roman"/>
          <w:snapToGrid w:val="0"/>
          <w:sz w:val="24"/>
          <w:szCs w:val="24"/>
          <w:vertAlign w:val="subscript"/>
        </w:rPr>
        <w:t>0i</w:t>
      </w:r>
      <w:r>
        <w:rPr>
          <w:rFonts w:ascii="Times New Roman"/>
          <w:snapToGrid w:val="0"/>
          <w:sz w:val="24"/>
          <w:szCs w:val="24"/>
        </w:rPr>
        <w:t>--i污染物评价标准值，mg/m</w:t>
      </w:r>
      <w:r>
        <w:rPr>
          <w:rFonts w:ascii="Times New Roman"/>
          <w:snapToGrid w:val="0"/>
          <w:sz w:val="24"/>
          <w:szCs w:val="24"/>
          <w:vertAlign w:val="superscript"/>
        </w:rPr>
        <w:t>3</w:t>
      </w:r>
      <w:r>
        <w:rPr>
          <w:rFonts w:ascii="Times New Roman"/>
          <w:snapToGrid w:val="0"/>
          <w:sz w:val="24"/>
          <w:szCs w:val="24"/>
        </w:rPr>
        <w:t>。</w:t>
      </w:r>
    </w:p>
    <w:p w14:paraId="5F928E03">
      <w:pPr>
        <w:spacing w:line="480" w:lineRule="exact"/>
        <w:ind w:firstLine="480" w:firstLineChars="200"/>
        <w:rPr>
          <w:rFonts w:ascii="Times New Roman"/>
          <w:sz w:val="24"/>
          <w:szCs w:val="24"/>
        </w:rPr>
      </w:pPr>
      <w:r>
        <w:rPr>
          <w:rFonts w:ascii="Times New Roman"/>
          <w:sz w:val="24"/>
          <w:szCs w:val="24"/>
        </w:rPr>
        <w:t>（3）评价标准</w:t>
      </w:r>
    </w:p>
    <w:p w14:paraId="64E7862A">
      <w:pPr>
        <w:spacing w:line="480" w:lineRule="exact"/>
        <w:ind w:firstLine="480" w:firstLineChars="200"/>
        <w:rPr>
          <w:rFonts w:ascii="Times New Roman"/>
          <w:sz w:val="24"/>
          <w:szCs w:val="24"/>
        </w:rPr>
      </w:pPr>
      <w:r>
        <w:rPr>
          <w:rFonts w:ascii="Times New Roman"/>
          <w:sz w:val="24"/>
          <w:szCs w:val="24"/>
        </w:rPr>
        <w:t>TSP执行《环境空气质量标准》（GB3095-2012）中的二级标准；二甲苯执行《环境影响评价技术导则 大气环境》（HJ2.2-2018）中附录D其他污染物空气质量浓度参考限值，具体标准值参见表4.2-5。</w:t>
      </w:r>
    </w:p>
    <w:p w14:paraId="3F8D45E0">
      <w:pPr>
        <w:spacing w:line="480" w:lineRule="exact"/>
        <w:jc w:val="center"/>
        <w:rPr>
          <w:rFonts w:ascii="Times New Roman"/>
          <w:b/>
          <w:sz w:val="24"/>
          <w:szCs w:val="24"/>
        </w:rPr>
      </w:pPr>
      <w:r>
        <w:rPr>
          <w:rFonts w:ascii="Times New Roman"/>
          <w:b/>
          <w:sz w:val="24"/>
          <w:szCs w:val="24"/>
        </w:rPr>
        <w:t>表4.2-5  大气现状评价标准限值单位：</w:t>
      </w:r>
    </w:p>
    <w:tbl>
      <w:tblPr>
        <w:tblStyle w:val="84"/>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2786"/>
        <w:gridCol w:w="2786"/>
      </w:tblGrid>
      <w:tr w14:paraId="04CE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642" w:type="pct"/>
            <w:vAlign w:val="center"/>
          </w:tcPr>
          <w:p w14:paraId="46E4C9D9">
            <w:pPr>
              <w:jc w:val="center"/>
              <w:rPr>
                <w:rFonts w:ascii="Times New Roman"/>
                <w:sz w:val="21"/>
                <w:szCs w:val="21"/>
              </w:rPr>
            </w:pPr>
            <w:r>
              <w:rPr>
                <w:rFonts w:ascii="Times New Roman"/>
                <w:sz w:val="21"/>
                <w:szCs w:val="21"/>
              </w:rPr>
              <w:t>污染物</w:t>
            </w:r>
          </w:p>
        </w:tc>
        <w:tc>
          <w:tcPr>
            <w:tcW w:w="1678" w:type="pct"/>
            <w:vAlign w:val="center"/>
          </w:tcPr>
          <w:p w14:paraId="19DB12A7">
            <w:pPr>
              <w:jc w:val="center"/>
              <w:rPr>
                <w:rFonts w:ascii="Times New Roman"/>
                <w:sz w:val="21"/>
                <w:szCs w:val="21"/>
              </w:rPr>
            </w:pPr>
            <w:r>
              <w:rPr>
                <w:rFonts w:ascii="Times New Roman"/>
                <w:sz w:val="21"/>
                <w:szCs w:val="21"/>
              </w:rPr>
              <w:t>小时平均</w:t>
            </w:r>
            <w:r>
              <w:rPr>
                <w:rFonts w:hint="eastAsia" w:ascii="Times New Roman"/>
                <w:sz w:val="21"/>
                <w:szCs w:val="21"/>
              </w:rPr>
              <w:t>（</w:t>
            </w:r>
            <w:r>
              <w:rPr>
                <w:rFonts w:ascii="Times New Roman"/>
                <w:bCs/>
                <w:sz w:val="21"/>
                <w:szCs w:val="21"/>
              </w:rPr>
              <w:t>μg/m</w:t>
            </w:r>
            <w:r>
              <w:rPr>
                <w:rFonts w:ascii="Times New Roman"/>
                <w:bCs/>
                <w:sz w:val="21"/>
                <w:szCs w:val="21"/>
                <w:vertAlign w:val="superscript"/>
              </w:rPr>
              <w:t>3</w:t>
            </w:r>
            <w:r>
              <w:rPr>
                <w:rFonts w:hint="eastAsia" w:ascii="Times New Roman"/>
                <w:sz w:val="21"/>
                <w:szCs w:val="21"/>
              </w:rPr>
              <w:t>）</w:t>
            </w:r>
          </w:p>
        </w:tc>
        <w:tc>
          <w:tcPr>
            <w:tcW w:w="1678" w:type="pct"/>
            <w:vAlign w:val="center"/>
          </w:tcPr>
          <w:p w14:paraId="58EA2C1F">
            <w:pPr>
              <w:jc w:val="center"/>
              <w:rPr>
                <w:rFonts w:ascii="Times New Roman"/>
                <w:sz w:val="21"/>
                <w:szCs w:val="21"/>
              </w:rPr>
            </w:pPr>
            <w:r>
              <w:rPr>
                <w:rFonts w:ascii="Times New Roman"/>
                <w:sz w:val="21"/>
                <w:szCs w:val="21"/>
              </w:rPr>
              <w:t>24小时平均</w:t>
            </w:r>
            <w:r>
              <w:rPr>
                <w:rFonts w:hint="eastAsia" w:ascii="Times New Roman"/>
                <w:sz w:val="21"/>
                <w:szCs w:val="21"/>
              </w:rPr>
              <w:t>（</w:t>
            </w:r>
            <w:r>
              <w:rPr>
                <w:rFonts w:ascii="Times New Roman"/>
                <w:bCs/>
                <w:sz w:val="21"/>
                <w:szCs w:val="21"/>
              </w:rPr>
              <w:t>μg/m</w:t>
            </w:r>
            <w:r>
              <w:rPr>
                <w:rFonts w:ascii="Times New Roman"/>
                <w:bCs/>
                <w:sz w:val="21"/>
                <w:szCs w:val="21"/>
                <w:vertAlign w:val="superscript"/>
              </w:rPr>
              <w:t>3</w:t>
            </w:r>
            <w:r>
              <w:rPr>
                <w:rFonts w:hint="eastAsia" w:ascii="Times New Roman"/>
                <w:sz w:val="21"/>
                <w:szCs w:val="21"/>
              </w:rPr>
              <w:t>）</w:t>
            </w:r>
          </w:p>
        </w:tc>
      </w:tr>
      <w:tr w14:paraId="53E0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642" w:type="pct"/>
            <w:vAlign w:val="center"/>
          </w:tcPr>
          <w:p w14:paraId="3FEE422A">
            <w:pPr>
              <w:jc w:val="center"/>
              <w:rPr>
                <w:rFonts w:ascii="Times New Roman"/>
                <w:sz w:val="21"/>
                <w:szCs w:val="21"/>
              </w:rPr>
            </w:pPr>
            <w:r>
              <w:rPr>
                <w:rFonts w:ascii="Times New Roman"/>
                <w:sz w:val="21"/>
                <w:szCs w:val="21"/>
              </w:rPr>
              <w:t>非甲烷总烃</w:t>
            </w:r>
          </w:p>
        </w:tc>
        <w:tc>
          <w:tcPr>
            <w:tcW w:w="1678" w:type="pct"/>
            <w:vAlign w:val="center"/>
          </w:tcPr>
          <w:p w14:paraId="1BC5AD83">
            <w:pPr>
              <w:jc w:val="center"/>
              <w:rPr>
                <w:rFonts w:ascii="Times New Roman"/>
                <w:sz w:val="21"/>
                <w:szCs w:val="21"/>
              </w:rPr>
            </w:pPr>
            <w:r>
              <w:rPr>
                <w:rFonts w:ascii="Times New Roman"/>
                <w:sz w:val="21"/>
                <w:szCs w:val="21"/>
              </w:rPr>
              <w:t>2000</w:t>
            </w:r>
          </w:p>
        </w:tc>
        <w:tc>
          <w:tcPr>
            <w:tcW w:w="1678" w:type="pct"/>
            <w:vAlign w:val="center"/>
          </w:tcPr>
          <w:p w14:paraId="3A111062">
            <w:pPr>
              <w:jc w:val="center"/>
              <w:rPr>
                <w:rFonts w:ascii="Times New Roman"/>
                <w:sz w:val="21"/>
                <w:szCs w:val="21"/>
              </w:rPr>
            </w:pPr>
            <w:r>
              <w:rPr>
                <w:rFonts w:ascii="Times New Roman"/>
                <w:sz w:val="21"/>
                <w:szCs w:val="21"/>
              </w:rPr>
              <w:t>—</w:t>
            </w:r>
          </w:p>
        </w:tc>
      </w:tr>
      <w:tr w14:paraId="648D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642" w:type="pct"/>
            <w:vAlign w:val="center"/>
          </w:tcPr>
          <w:p w14:paraId="5689F5D1">
            <w:pPr>
              <w:jc w:val="center"/>
              <w:rPr>
                <w:rFonts w:ascii="Times New Roman"/>
                <w:sz w:val="21"/>
                <w:szCs w:val="21"/>
              </w:rPr>
            </w:pPr>
            <w:r>
              <w:rPr>
                <w:rFonts w:ascii="Times New Roman"/>
                <w:sz w:val="21"/>
                <w:szCs w:val="21"/>
              </w:rPr>
              <w:t>二甲苯</w:t>
            </w:r>
          </w:p>
        </w:tc>
        <w:tc>
          <w:tcPr>
            <w:tcW w:w="1678" w:type="pct"/>
            <w:vAlign w:val="center"/>
          </w:tcPr>
          <w:p w14:paraId="0E4E9B7A">
            <w:pPr>
              <w:jc w:val="center"/>
              <w:rPr>
                <w:rFonts w:ascii="Times New Roman"/>
                <w:sz w:val="21"/>
                <w:szCs w:val="21"/>
              </w:rPr>
            </w:pPr>
            <w:r>
              <w:rPr>
                <w:rFonts w:ascii="Times New Roman"/>
                <w:sz w:val="21"/>
                <w:szCs w:val="21"/>
              </w:rPr>
              <w:t>200</w:t>
            </w:r>
          </w:p>
        </w:tc>
        <w:tc>
          <w:tcPr>
            <w:tcW w:w="1678" w:type="pct"/>
            <w:vAlign w:val="center"/>
          </w:tcPr>
          <w:p w14:paraId="1380D73A">
            <w:pPr>
              <w:jc w:val="center"/>
              <w:rPr>
                <w:rFonts w:ascii="Times New Roman"/>
                <w:sz w:val="21"/>
                <w:szCs w:val="21"/>
              </w:rPr>
            </w:pPr>
            <w:r>
              <w:rPr>
                <w:rFonts w:ascii="Times New Roman"/>
                <w:sz w:val="21"/>
                <w:szCs w:val="21"/>
              </w:rPr>
              <w:t>—</w:t>
            </w:r>
          </w:p>
        </w:tc>
      </w:tr>
      <w:tr w14:paraId="7938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642" w:type="pct"/>
            <w:vAlign w:val="center"/>
          </w:tcPr>
          <w:p w14:paraId="6E0DE031">
            <w:pPr>
              <w:jc w:val="center"/>
              <w:rPr>
                <w:rFonts w:ascii="Times New Roman"/>
                <w:sz w:val="21"/>
                <w:szCs w:val="21"/>
              </w:rPr>
            </w:pPr>
            <w:r>
              <w:rPr>
                <w:rFonts w:ascii="Times New Roman"/>
                <w:sz w:val="21"/>
                <w:szCs w:val="21"/>
              </w:rPr>
              <w:t>总悬浮颗粒物（TSP）</w:t>
            </w:r>
          </w:p>
        </w:tc>
        <w:tc>
          <w:tcPr>
            <w:tcW w:w="1678" w:type="pct"/>
            <w:vAlign w:val="center"/>
          </w:tcPr>
          <w:p w14:paraId="048468DE">
            <w:pPr>
              <w:jc w:val="center"/>
              <w:rPr>
                <w:rFonts w:ascii="Times New Roman"/>
                <w:sz w:val="21"/>
                <w:szCs w:val="21"/>
              </w:rPr>
            </w:pPr>
            <w:r>
              <w:rPr>
                <w:rFonts w:ascii="Times New Roman"/>
                <w:sz w:val="21"/>
                <w:szCs w:val="21"/>
              </w:rPr>
              <w:t>—</w:t>
            </w:r>
          </w:p>
        </w:tc>
        <w:tc>
          <w:tcPr>
            <w:tcW w:w="1678" w:type="pct"/>
            <w:vAlign w:val="center"/>
          </w:tcPr>
          <w:p w14:paraId="7F4F4F23">
            <w:pPr>
              <w:jc w:val="center"/>
              <w:rPr>
                <w:rFonts w:ascii="Times New Roman"/>
                <w:sz w:val="21"/>
                <w:szCs w:val="21"/>
              </w:rPr>
            </w:pPr>
            <w:r>
              <w:rPr>
                <w:rFonts w:ascii="Times New Roman"/>
                <w:sz w:val="21"/>
                <w:szCs w:val="21"/>
              </w:rPr>
              <w:t>300</w:t>
            </w:r>
          </w:p>
        </w:tc>
      </w:tr>
    </w:tbl>
    <w:p w14:paraId="63FEAADA">
      <w:pPr>
        <w:spacing w:line="440" w:lineRule="exact"/>
        <w:ind w:firstLine="480" w:firstLineChars="200"/>
        <w:rPr>
          <w:rFonts w:ascii="Times New Roman"/>
          <w:sz w:val="24"/>
          <w:szCs w:val="24"/>
        </w:rPr>
      </w:pPr>
      <w:r>
        <w:rPr>
          <w:rFonts w:ascii="Times New Roman"/>
          <w:sz w:val="24"/>
          <w:szCs w:val="24"/>
        </w:rPr>
        <w:t>（4）评价结果</w:t>
      </w:r>
    </w:p>
    <w:p w14:paraId="36C04D31">
      <w:pPr>
        <w:spacing w:line="480" w:lineRule="exact"/>
        <w:ind w:firstLine="480" w:firstLineChars="200"/>
        <w:rPr>
          <w:rFonts w:ascii="Times New Roman"/>
          <w:sz w:val="24"/>
          <w:szCs w:val="24"/>
        </w:rPr>
      </w:pPr>
      <w:r>
        <w:rPr>
          <w:rFonts w:ascii="Times New Roman"/>
          <w:sz w:val="24"/>
          <w:szCs w:val="24"/>
        </w:rPr>
        <w:t>根据评价方法及评价标准，对区域现状监测结果进行评价，并对评价结果进行分析。监测及评价结果见表4.2-6。</w:t>
      </w:r>
    </w:p>
    <w:p w14:paraId="41763E75">
      <w:pPr>
        <w:autoSpaceDE w:val="0"/>
        <w:adjustRightInd w:val="0"/>
        <w:snapToGrid w:val="0"/>
        <w:spacing w:line="440" w:lineRule="exact"/>
        <w:jc w:val="center"/>
        <w:rPr>
          <w:rFonts w:ascii="Times New Roman"/>
          <w:b/>
          <w:sz w:val="24"/>
          <w:szCs w:val="24"/>
        </w:rPr>
      </w:pPr>
      <w:r>
        <w:rPr>
          <w:rFonts w:ascii="Times New Roman"/>
          <w:b/>
          <w:sz w:val="24"/>
          <w:szCs w:val="24"/>
        </w:rPr>
        <w:t>表4.2-6  监测点评价结果</w:t>
      </w:r>
    </w:p>
    <w:tbl>
      <w:tblPr>
        <w:tblStyle w:val="84"/>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4" w:type="dxa"/>
          <w:bottom w:w="0" w:type="dxa"/>
          <w:right w:w="34" w:type="dxa"/>
        </w:tblCellMar>
      </w:tblPr>
      <w:tblGrid>
        <w:gridCol w:w="843"/>
        <w:gridCol w:w="1560"/>
        <w:gridCol w:w="1845"/>
        <w:gridCol w:w="1558"/>
        <w:gridCol w:w="1313"/>
        <w:gridCol w:w="1176"/>
      </w:tblGrid>
      <w:tr w14:paraId="7919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363" w:hRule="atLeast"/>
          <w:tblHeader/>
          <w:jc w:val="center"/>
        </w:trPr>
        <w:tc>
          <w:tcPr>
            <w:tcW w:w="508" w:type="pct"/>
            <w:vAlign w:val="center"/>
          </w:tcPr>
          <w:p w14:paraId="07FF6B9B">
            <w:pPr>
              <w:spacing w:line="360" w:lineRule="exact"/>
              <w:jc w:val="center"/>
              <w:rPr>
                <w:rFonts w:ascii="Times New Roman"/>
                <w:b/>
                <w:iCs/>
                <w:spacing w:val="-6"/>
                <w:sz w:val="21"/>
                <w:szCs w:val="21"/>
              </w:rPr>
            </w:pPr>
            <w:r>
              <w:rPr>
                <w:rFonts w:ascii="Times New Roman"/>
                <w:b/>
                <w:iCs/>
                <w:spacing w:val="-6"/>
                <w:sz w:val="21"/>
                <w:szCs w:val="21"/>
              </w:rPr>
              <w:t>监测点</w:t>
            </w:r>
          </w:p>
        </w:tc>
        <w:tc>
          <w:tcPr>
            <w:tcW w:w="940" w:type="pct"/>
            <w:vAlign w:val="center"/>
          </w:tcPr>
          <w:p w14:paraId="498CF11D">
            <w:pPr>
              <w:spacing w:line="360" w:lineRule="exact"/>
              <w:jc w:val="center"/>
              <w:rPr>
                <w:rFonts w:ascii="Times New Roman"/>
                <w:b/>
                <w:iCs/>
                <w:spacing w:val="-6"/>
                <w:sz w:val="21"/>
                <w:szCs w:val="21"/>
              </w:rPr>
            </w:pPr>
            <w:r>
              <w:rPr>
                <w:rFonts w:ascii="Times New Roman"/>
                <w:b/>
                <w:iCs/>
                <w:spacing w:val="-6"/>
                <w:sz w:val="21"/>
                <w:szCs w:val="21"/>
              </w:rPr>
              <w:t>监测项目</w:t>
            </w:r>
          </w:p>
        </w:tc>
        <w:tc>
          <w:tcPr>
            <w:tcW w:w="1112" w:type="pct"/>
            <w:vAlign w:val="center"/>
          </w:tcPr>
          <w:p w14:paraId="1E251E91">
            <w:pPr>
              <w:spacing w:line="360" w:lineRule="exact"/>
              <w:jc w:val="center"/>
              <w:rPr>
                <w:rFonts w:ascii="Times New Roman"/>
                <w:b/>
                <w:iCs/>
                <w:spacing w:val="-6"/>
                <w:sz w:val="21"/>
                <w:szCs w:val="21"/>
              </w:rPr>
            </w:pPr>
            <w:r>
              <w:rPr>
                <w:rFonts w:ascii="Times New Roman"/>
                <w:b/>
                <w:iCs/>
                <w:spacing w:val="-6"/>
                <w:sz w:val="21"/>
                <w:szCs w:val="21"/>
              </w:rPr>
              <w:t>浓度范围（mg/m</w:t>
            </w:r>
            <w:r>
              <w:rPr>
                <w:rFonts w:ascii="Times New Roman"/>
                <w:b/>
                <w:iCs/>
                <w:spacing w:val="-6"/>
                <w:sz w:val="21"/>
                <w:szCs w:val="21"/>
                <w:vertAlign w:val="superscript"/>
              </w:rPr>
              <w:t>3</w:t>
            </w:r>
            <w:r>
              <w:rPr>
                <w:rFonts w:ascii="Times New Roman"/>
                <w:b/>
                <w:iCs/>
                <w:spacing w:val="-6"/>
                <w:sz w:val="21"/>
                <w:szCs w:val="21"/>
              </w:rPr>
              <w:t>）</w:t>
            </w:r>
          </w:p>
        </w:tc>
        <w:tc>
          <w:tcPr>
            <w:tcW w:w="939" w:type="pct"/>
            <w:vAlign w:val="center"/>
          </w:tcPr>
          <w:p w14:paraId="24EC9149">
            <w:pPr>
              <w:spacing w:line="360" w:lineRule="exact"/>
              <w:jc w:val="center"/>
              <w:rPr>
                <w:rFonts w:ascii="Times New Roman"/>
                <w:b/>
                <w:iCs/>
                <w:spacing w:val="-6"/>
                <w:sz w:val="21"/>
                <w:szCs w:val="21"/>
              </w:rPr>
            </w:pPr>
            <w:r>
              <w:rPr>
                <w:rFonts w:ascii="Times New Roman"/>
                <w:b/>
                <w:iCs/>
                <w:spacing w:val="-6"/>
                <w:sz w:val="21"/>
                <w:szCs w:val="21"/>
              </w:rPr>
              <w:t>标准指数范围</w:t>
            </w:r>
          </w:p>
        </w:tc>
        <w:tc>
          <w:tcPr>
            <w:tcW w:w="791" w:type="pct"/>
            <w:vAlign w:val="center"/>
          </w:tcPr>
          <w:p w14:paraId="101FF428">
            <w:pPr>
              <w:spacing w:line="360" w:lineRule="exact"/>
              <w:jc w:val="center"/>
              <w:rPr>
                <w:rFonts w:ascii="Times New Roman"/>
                <w:b/>
                <w:iCs/>
                <w:spacing w:val="-6"/>
                <w:sz w:val="21"/>
                <w:szCs w:val="21"/>
              </w:rPr>
            </w:pPr>
            <w:r>
              <w:rPr>
                <w:rFonts w:ascii="Times New Roman"/>
                <w:b/>
                <w:iCs/>
                <w:spacing w:val="-6"/>
                <w:sz w:val="21"/>
                <w:szCs w:val="21"/>
              </w:rPr>
              <w:t>超标率（%）</w:t>
            </w:r>
          </w:p>
        </w:tc>
        <w:tc>
          <w:tcPr>
            <w:tcW w:w="708" w:type="pct"/>
            <w:vAlign w:val="center"/>
          </w:tcPr>
          <w:p w14:paraId="3BC87E2E">
            <w:pPr>
              <w:spacing w:line="360" w:lineRule="exact"/>
              <w:jc w:val="center"/>
              <w:rPr>
                <w:rFonts w:ascii="Times New Roman"/>
                <w:b/>
                <w:iCs/>
                <w:spacing w:val="-14"/>
                <w:sz w:val="21"/>
                <w:szCs w:val="21"/>
              </w:rPr>
            </w:pPr>
            <w:r>
              <w:rPr>
                <w:rFonts w:ascii="Times New Roman"/>
                <w:b/>
                <w:iCs/>
                <w:spacing w:val="-14"/>
                <w:sz w:val="21"/>
                <w:szCs w:val="21"/>
              </w:rPr>
              <w:t>最大超标倍数</w:t>
            </w:r>
          </w:p>
        </w:tc>
      </w:tr>
      <w:tr w14:paraId="6B23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363" w:hRule="atLeast"/>
          <w:tblHeader/>
          <w:jc w:val="center"/>
        </w:trPr>
        <w:tc>
          <w:tcPr>
            <w:tcW w:w="508" w:type="pct"/>
            <w:vMerge w:val="restart"/>
            <w:vAlign w:val="center"/>
          </w:tcPr>
          <w:p w14:paraId="7911B054">
            <w:pPr>
              <w:widowControl/>
              <w:spacing w:line="360" w:lineRule="exact"/>
              <w:jc w:val="center"/>
              <w:rPr>
                <w:rFonts w:ascii="Times New Roman"/>
                <w:kern w:val="0"/>
                <w:sz w:val="21"/>
                <w:szCs w:val="21"/>
              </w:rPr>
            </w:pPr>
            <w:r>
              <w:rPr>
                <w:rFonts w:ascii="Times New Roman"/>
                <w:kern w:val="0"/>
                <w:sz w:val="21"/>
                <w:szCs w:val="21"/>
              </w:rPr>
              <w:t>厂址</w:t>
            </w:r>
          </w:p>
        </w:tc>
        <w:tc>
          <w:tcPr>
            <w:tcW w:w="940" w:type="pct"/>
            <w:vAlign w:val="center"/>
          </w:tcPr>
          <w:p w14:paraId="39BE6A2A">
            <w:pPr>
              <w:spacing w:line="360" w:lineRule="exact"/>
              <w:jc w:val="center"/>
              <w:rPr>
                <w:rFonts w:ascii="Times New Roman"/>
                <w:sz w:val="21"/>
                <w:szCs w:val="21"/>
              </w:rPr>
            </w:pPr>
            <w:r>
              <w:rPr>
                <w:rFonts w:ascii="Times New Roman"/>
                <w:sz w:val="21"/>
                <w:szCs w:val="21"/>
              </w:rPr>
              <w:t>非甲烷总烃</w:t>
            </w:r>
          </w:p>
        </w:tc>
        <w:tc>
          <w:tcPr>
            <w:tcW w:w="1112" w:type="pct"/>
            <w:vAlign w:val="center"/>
          </w:tcPr>
          <w:p w14:paraId="34AB6195">
            <w:pPr>
              <w:spacing w:line="360" w:lineRule="exact"/>
              <w:jc w:val="center"/>
              <w:rPr>
                <w:rFonts w:ascii="Times New Roman"/>
                <w:iCs/>
                <w:spacing w:val="-6"/>
                <w:sz w:val="21"/>
                <w:szCs w:val="21"/>
              </w:rPr>
            </w:pPr>
            <w:r>
              <w:rPr>
                <w:rFonts w:ascii="Times New Roman"/>
                <w:iCs/>
                <w:spacing w:val="-6"/>
                <w:sz w:val="21"/>
                <w:szCs w:val="21"/>
              </w:rPr>
              <w:t>0.</w:t>
            </w:r>
            <w:r>
              <w:rPr>
                <w:rFonts w:hint="eastAsia" w:ascii="Times New Roman"/>
                <w:iCs/>
                <w:spacing w:val="-6"/>
                <w:sz w:val="21"/>
                <w:szCs w:val="21"/>
              </w:rPr>
              <w:t>24~0.45</w:t>
            </w:r>
          </w:p>
        </w:tc>
        <w:tc>
          <w:tcPr>
            <w:tcW w:w="939" w:type="pct"/>
            <w:vAlign w:val="center"/>
          </w:tcPr>
          <w:p w14:paraId="743D8D25">
            <w:pPr>
              <w:spacing w:line="360" w:lineRule="exact"/>
              <w:jc w:val="center"/>
              <w:rPr>
                <w:rFonts w:ascii="Times New Roman"/>
                <w:iCs/>
                <w:spacing w:val="-6"/>
                <w:sz w:val="21"/>
                <w:szCs w:val="21"/>
              </w:rPr>
            </w:pPr>
            <w:r>
              <w:rPr>
                <w:rFonts w:ascii="Times New Roman"/>
                <w:iCs/>
                <w:spacing w:val="-6"/>
                <w:sz w:val="21"/>
                <w:szCs w:val="21"/>
              </w:rPr>
              <w:t>0.</w:t>
            </w:r>
            <w:r>
              <w:rPr>
                <w:rFonts w:hint="eastAsia" w:ascii="Times New Roman"/>
                <w:iCs/>
                <w:spacing w:val="-6"/>
                <w:sz w:val="21"/>
                <w:szCs w:val="21"/>
              </w:rPr>
              <w:t>12</w:t>
            </w:r>
            <w:r>
              <w:rPr>
                <w:rFonts w:ascii="Times New Roman"/>
                <w:iCs/>
                <w:spacing w:val="-6"/>
                <w:sz w:val="21"/>
                <w:szCs w:val="21"/>
              </w:rPr>
              <w:t>~0.</w:t>
            </w:r>
            <w:r>
              <w:rPr>
                <w:rFonts w:hint="eastAsia" w:ascii="Times New Roman"/>
                <w:iCs/>
                <w:spacing w:val="-6"/>
                <w:sz w:val="21"/>
                <w:szCs w:val="21"/>
              </w:rPr>
              <w:t>225</w:t>
            </w:r>
          </w:p>
        </w:tc>
        <w:tc>
          <w:tcPr>
            <w:tcW w:w="791" w:type="pct"/>
            <w:vAlign w:val="center"/>
          </w:tcPr>
          <w:p w14:paraId="41D4DEA1">
            <w:pPr>
              <w:spacing w:line="360" w:lineRule="exact"/>
              <w:jc w:val="center"/>
              <w:rPr>
                <w:rFonts w:ascii="Times New Roman"/>
                <w:iCs/>
                <w:spacing w:val="-6"/>
                <w:sz w:val="21"/>
                <w:szCs w:val="21"/>
              </w:rPr>
            </w:pPr>
            <w:r>
              <w:rPr>
                <w:rFonts w:ascii="Times New Roman"/>
                <w:iCs/>
                <w:spacing w:val="-6"/>
                <w:sz w:val="21"/>
                <w:szCs w:val="21"/>
              </w:rPr>
              <w:t>0</w:t>
            </w:r>
          </w:p>
        </w:tc>
        <w:tc>
          <w:tcPr>
            <w:tcW w:w="708" w:type="pct"/>
            <w:vAlign w:val="center"/>
          </w:tcPr>
          <w:p w14:paraId="7C03F32C">
            <w:pPr>
              <w:spacing w:line="360" w:lineRule="exact"/>
              <w:jc w:val="center"/>
              <w:rPr>
                <w:rFonts w:ascii="Times New Roman"/>
                <w:iCs/>
                <w:spacing w:val="-6"/>
                <w:sz w:val="21"/>
                <w:szCs w:val="21"/>
              </w:rPr>
            </w:pPr>
            <w:r>
              <w:rPr>
                <w:rFonts w:ascii="Times New Roman"/>
                <w:iCs/>
                <w:spacing w:val="-6"/>
                <w:sz w:val="21"/>
                <w:szCs w:val="21"/>
              </w:rPr>
              <w:t>0</w:t>
            </w:r>
          </w:p>
        </w:tc>
      </w:tr>
      <w:tr w14:paraId="45E3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363" w:hRule="atLeast"/>
          <w:tblHeader/>
          <w:jc w:val="center"/>
        </w:trPr>
        <w:tc>
          <w:tcPr>
            <w:tcW w:w="508" w:type="pct"/>
            <w:vMerge w:val="continue"/>
            <w:vAlign w:val="center"/>
          </w:tcPr>
          <w:p w14:paraId="0027674B">
            <w:pPr>
              <w:widowControl/>
              <w:spacing w:line="360" w:lineRule="exact"/>
              <w:jc w:val="center"/>
              <w:rPr>
                <w:rFonts w:ascii="Times New Roman"/>
                <w:kern w:val="0"/>
                <w:sz w:val="21"/>
                <w:szCs w:val="21"/>
              </w:rPr>
            </w:pPr>
          </w:p>
        </w:tc>
        <w:tc>
          <w:tcPr>
            <w:tcW w:w="940" w:type="pct"/>
            <w:vAlign w:val="center"/>
          </w:tcPr>
          <w:p w14:paraId="6F41F78E">
            <w:pPr>
              <w:spacing w:line="360" w:lineRule="exact"/>
              <w:jc w:val="center"/>
              <w:rPr>
                <w:rFonts w:ascii="Times New Roman"/>
                <w:sz w:val="21"/>
                <w:szCs w:val="21"/>
              </w:rPr>
            </w:pPr>
            <w:r>
              <w:rPr>
                <w:rFonts w:ascii="Times New Roman"/>
                <w:sz w:val="21"/>
                <w:szCs w:val="21"/>
              </w:rPr>
              <w:t>二甲苯</w:t>
            </w:r>
          </w:p>
        </w:tc>
        <w:tc>
          <w:tcPr>
            <w:tcW w:w="1112" w:type="pct"/>
            <w:vAlign w:val="center"/>
          </w:tcPr>
          <w:p w14:paraId="0DF3EEB6">
            <w:pPr>
              <w:spacing w:line="360" w:lineRule="exact"/>
              <w:jc w:val="center"/>
              <w:rPr>
                <w:rFonts w:ascii="Times New Roman"/>
                <w:iCs/>
                <w:spacing w:val="-6"/>
                <w:sz w:val="21"/>
                <w:szCs w:val="21"/>
              </w:rPr>
            </w:pPr>
            <w:r>
              <w:rPr>
                <w:rFonts w:ascii="Times New Roman"/>
                <w:iCs/>
                <w:spacing w:val="-6"/>
                <w:sz w:val="21"/>
                <w:szCs w:val="21"/>
              </w:rPr>
              <w:t>ND</w:t>
            </w:r>
            <w:r>
              <w:rPr>
                <w:rFonts w:hint="eastAsia" w:ascii="Times New Roman"/>
                <w:iCs/>
                <w:spacing w:val="-6"/>
                <w:sz w:val="21"/>
                <w:szCs w:val="21"/>
              </w:rPr>
              <w:t>~0.0038</w:t>
            </w:r>
          </w:p>
        </w:tc>
        <w:tc>
          <w:tcPr>
            <w:tcW w:w="939" w:type="pct"/>
            <w:vAlign w:val="center"/>
          </w:tcPr>
          <w:p w14:paraId="16D3EF8C">
            <w:pPr>
              <w:spacing w:line="360" w:lineRule="exact"/>
              <w:jc w:val="center"/>
              <w:rPr>
                <w:rFonts w:ascii="Times New Roman"/>
                <w:iCs/>
                <w:spacing w:val="-6"/>
                <w:sz w:val="21"/>
                <w:szCs w:val="21"/>
              </w:rPr>
            </w:pPr>
            <w:r>
              <w:rPr>
                <w:rFonts w:hint="eastAsia" w:ascii="Times New Roman"/>
                <w:iCs/>
                <w:spacing w:val="-6"/>
                <w:sz w:val="21"/>
                <w:szCs w:val="21"/>
              </w:rPr>
              <w:t>0~0.019</w:t>
            </w:r>
          </w:p>
        </w:tc>
        <w:tc>
          <w:tcPr>
            <w:tcW w:w="791" w:type="pct"/>
            <w:vAlign w:val="center"/>
          </w:tcPr>
          <w:p w14:paraId="00E9454D">
            <w:pPr>
              <w:spacing w:line="360" w:lineRule="exact"/>
              <w:jc w:val="center"/>
              <w:rPr>
                <w:rFonts w:ascii="Times New Roman"/>
                <w:iCs/>
                <w:spacing w:val="-6"/>
                <w:sz w:val="21"/>
                <w:szCs w:val="21"/>
              </w:rPr>
            </w:pPr>
            <w:r>
              <w:rPr>
                <w:rFonts w:ascii="Times New Roman"/>
                <w:iCs/>
                <w:spacing w:val="-6"/>
                <w:sz w:val="21"/>
                <w:szCs w:val="21"/>
              </w:rPr>
              <w:t>0</w:t>
            </w:r>
          </w:p>
        </w:tc>
        <w:tc>
          <w:tcPr>
            <w:tcW w:w="708" w:type="pct"/>
            <w:vAlign w:val="center"/>
          </w:tcPr>
          <w:p w14:paraId="531FBDFB">
            <w:pPr>
              <w:spacing w:line="360" w:lineRule="exact"/>
              <w:jc w:val="center"/>
              <w:rPr>
                <w:rFonts w:ascii="Times New Roman"/>
                <w:iCs/>
                <w:spacing w:val="-6"/>
                <w:sz w:val="21"/>
                <w:szCs w:val="21"/>
              </w:rPr>
            </w:pPr>
            <w:r>
              <w:rPr>
                <w:rFonts w:ascii="Times New Roman"/>
                <w:iCs/>
                <w:spacing w:val="-6"/>
                <w:sz w:val="21"/>
                <w:szCs w:val="21"/>
              </w:rPr>
              <w:t>0</w:t>
            </w:r>
          </w:p>
        </w:tc>
      </w:tr>
      <w:tr w14:paraId="2939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363" w:hRule="atLeast"/>
          <w:tblHeader/>
          <w:jc w:val="center"/>
        </w:trPr>
        <w:tc>
          <w:tcPr>
            <w:tcW w:w="508" w:type="pct"/>
            <w:vMerge w:val="continue"/>
            <w:vAlign w:val="center"/>
          </w:tcPr>
          <w:p w14:paraId="49117464">
            <w:pPr>
              <w:spacing w:line="360" w:lineRule="exact"/>
              <w:jc w:val="center"/>
              <w:rPr>
                <w:rFonts w:ascii="Times New Roman"/>
                <w:iCs/>
                <w:spacing w:val="-6"/>
                <w:sz w:val="21"/>
                <w:szCs w:val="21"/>
              </w:rPr>
            </w:pPr>
          </w:p>
        </w:tc>
        <w:tc>
          <w:tcPr>
            <w:tcW w:w="940" w:type="pct"/>
            <w:vAlign w:val="center"/>
          </w:tcPr>
          <w:p w14:paraId="646A82DA">
            <w:pPr>
              <w:spacing w:line="360" w:lineRule="exact"/>
              <w:jc w:val="center"/>
              <w:rPr>
                <w:rFonts w:ascii="Times New Roman"/>
                <w:sz w:val="21"/>
                <w:szCs w:val="21"/>
              </w:rPr>
            </w:pPr>
            <w:r>
              <w:rPr>
                <w:rFonts w:ascii="Times New Roman"/>
                <w:sz w:val="21"/>
                <w:szCs w:val="21"/>
              </w:rPr>
              <w:t>总悬浮颗粒物（TSP）</w:t>
            </w:r>
          </w:p>
        </w:tc>
        <w:tc>
          <w:tcPr>
            <w:tcW w:w="1112" w:type="pct"/>
            <w:vAlign w:val="center"/>
          </w:tcPr>
          <w:p w14:paraId="6EDFEED4">
            <w:pPr>
              <w:spacing w:line="360" w:lineRule="exact"/>
              <w:jc w:val="center"/>
              <w:rPr>
                <w:rFonts w:ascii="Times New Roman"/>
                <w:iCs/>
                <w:spacing w:val="-6"/>
                <w:sz w:val="21"/>
                <w:szCs w:val="21"/>
              </w:rPr>
            </w:pPr>
            <w:r>
              <w:rPr>
                <w:rFonts w:ascii="Times New Roman"/>
                <w:iCs/>
                <w:spacing w:val="-6"/>
                <w:sz w:val="21"/>
                <w:szCs w:val="21"/>
              </w:rPr>
              <w:t>0.</w:t>
            </w:r>
            <w:r>
              <w:rPr>
                <w:rFonts w:hint="eastAsia" w:ascii="Times New Roman"/>
                <w:iCs/>
                <w:spacing w:val="-6"/>
                <w:sz w:val="21"/>
                <w:szCs w:val="21"/>
              </w:rPr>
              <w:t>115</w:t>
            </w:r>
            <w:r>
              <w:rPr>
                <w:rFonts w:ascii="Times New Roman"/>
                <w:iCs/>
                <w:spacing w:val="-6"/>
                <w:sz w:val="21"/>
                <w:szCs w:val="21"/>
              </w:rPr>
              <w:t>~0.</w:t>
            </w:r>
            <w:r>
              <w:rPr>
                <w:rFonts w:hint="eastAsia" w:ascii="Times New Roman"/>
                <w:iCs/>
                <w:spacing w:val="-6"/>
                <w:sz w:val="21"/>
                <w:szCs w:val="21"/>
              </w:rPr>
              <w:t>178</w:t>
            </w:r>
          </w:p>
        </w:tc>
        <w:tc>
          <w:tcPr>
            <w:tcW w:w="939" w:type="pct"/>
            <w:vAlign w:val="center"/>
          </w:tcPr>
          <w:p w14:paraId="7D309CE0">
            <w:pPr>
              <w:spacing w:line="360" w:lineRule="exact"/>
              <w:jc w:val="center"/>
              <w:rPr>
                <w:rFonts w:ascii="Times New Roman"/>
                <w:iCs/>
                <w:spacing w:val="-6"/>
                <w:sz w:val="21"/>
                <w:szCs w:val="21"/>
              </w:rPr>
            </w:pPr>
            <w:r>
              <w:rPr>
                <w:rFonts w:ascii="Times New Roman"/>
                <w:iCs/>
                <w:spacing w:val="-6"/>
                <w:sz w:val="21"/>
                <w:szCs w:val="21"/>
              </w:rPr>
              <w:t>0.</w:t>
            </w:r>
            <w:r>
              <w:rPr>
                <w:rFonts w:hint="eastAsia" w:ascii="Times New Roman"/>
                <w:iCs/>
                <w:spacing w:val="-6"/>
                <w:sz w:val="21"/>
                <w:szCs w:val="21"/>
              </w:rPr>
              <w:t>383</w:t>
            </w:r>
            <w:r>
              <w:rPr>
                <w:rFonts w:ascii="Times New Roman"/>
                <w:iCs/>
                <w:spacing w:val="-6"/>
                <w:sz w:val="21"/>
                <w:szCs w:val="21"/>
              </w:rPr>
              <w:t>~0.</w:t>
            </w:r>
            <w:r>
              <w:rPr>
                <w:rFonts w:hint="eastAsia" w:ascii="Times New Roman"/>
                <w:iCs/>
                <w:spacing w:val="-6"/>
                <w:sz w:val="21"/>
                <w:szCs w:val="21"/>
              </w:rPr>
              <w:t>593</w:t>
            </w:r>
          </w:p>
        </w:tc>
        <w:tc>
          <w:tcPr>
            <w:tcW w:w="791" w:type="pct"/>
            <w:vAlign w:val="center"/>
          </w:tcPr>
          <w:p w14:paraId="13971440">
            <w:pPr>
              <w:spacing w:line="360" w:lineRule="exact"/>
              <w:jc w:val="center"/>
              <w:rPr>
                <w:rFonts w:ascii="Times New Roman"/>
                <w:iCs/>
                <w:spacing w:val="-6"/>
                <w:sz w:val="21"/>
                <w:szCs w:val="21"/>
              </w:rPr>
            </w:pPr>
            <w:r>
              <w:rPr>
                <w:rFonts w:ascii="Times New Roman"/>
                <w:iCs/>
                <w:spacing w:val="-6"/>
                <w:sz w:val="21"/>
                <w:szCs w:val="21"/>
              </w:rPr>
              <w:t>0</w:t>
            </w:r>
          </w:p>
        </w:tc>
        <w:tc>
          <w:tcPr>
            <w:tcW w:w="708" w:type="pct"/>
            <w:vAlign w:val="center"/>
          </w:tcPr>
          <w:p w14:paraId="022FD2EC">
            <w:pPr>
              <w:spacing w:line="360" w:lineRule="exact"/>
              <w:jc w:val="center"/>
              <w:rPr>
                <w:rFonts w:ascii="Times New Roman"/>
                <w:iCs/>
                <w:spacing w:val="-6"/>
                <w:sz w:val="21"/>
                <w:szCs w:val="21"/>
              </w:rPr>
            </w:pPr>
            <w:r>
              <w:rPr>
                <w:rFonts w:ascii="Times New Roman"/>
                <w:iCs/>
                <w:spacing w:val="-6"/>
                <w:sz w:val="21"/>
                <w:szCs w:val="21"/>
              </w:rPr>
              <w:t>0</w:t>
            </w:r>
          </w:p>
        </w:tc>
      </w:tr>
    </w:tbl>
    <w:p w14:paraId="0035D5D8">
      <w:pPr>
        <w:spacing w:line="480" w:lineRule="exact"/>
        <w:ind w:firstLine="480" w:firstLineChars="200"/>
        <w:rPr>
          <w:rFonts w:ascii="Times New Roman"/>
          <w:spacing w:val="4"/>
          <w:kern w:val="0"/>
          <w:sz w:val="24"/>
          <w:szCs w:val="24"/>
        </w:rPr>
      </w:pPr>
      <w:r>
        <w:rPr>
          <w:rFonts w:ascii="Times New Roman"/>
          <w:sz w:val="24"/>
          <w:szCs w:val="24"/>
        </w:rPr>
        <w:t>TSP满足《环境空气质量标准》（GB3095-2012）及修改单中的二级标准；非甲烷总烃小时浓度满足《环境空气质量 非甲烷总烃限值》（DB13/1577-2012）表1中标准；二甲苯满足《环境影响评价技术导则 大气环境》（HJ2.2-2018）中附录D其他污染物空气质量浓度参考限值要求</w:t>
      </w:r>
      <w:r>
        <w:rPr>
          <w:rFonts w:ascii="Times New Roman"/>
          <w:spacing w:val="4"/>
          <w:kern w:val="0"/>
          <w:sz w:val="24"/>
          <w:szCs w:val="24"/>
        </w:rPr>
        <w:t>。</w:t>
      </w:r>
    </w:p>
    <w:p w14:paraId="0E22C285">
      <w:pPr>
        <w:spacing w:line="480" w:lineRule="exact"/>
        <w:outlineLvl w:val="2"/>
        <w:rPr>
          <w:rFonts w:ascii="Times New Roman"/>
          <w:b/>
          <w:sz w:val="28"/>
          <w:szCs w:val="28"/>
        </w:rPr>
      </w:pPr>
      <w:r>
        <w:rPr>
          <w:rFonts w:ascii="Times New Roman"/>
          <w:b/>
          <w:sz w:val="28"/>
          <w:szCs w:val="28"/>
        </w:rPr>
        <w:t>4.2.2地下水环境质量现状监测与评价</w:t>
      </w:r>
    </w:p>
    <w:p w14:paraId="5A77BF4A">
      <w:pPr>
        <w:pStyle w:val="961"/>
        <w:ind w:firstLine="520"/>
      </w:pPr>
      <w:r>
        <w:t>项目地下水环境质量现状委托河北</w:t>
      </w:r>
      <w:r>
        <w:rPr>
          <w:rFonts w:hint="eastAsia"/>
        </w:rPr>
        <w:t>恒丰检测技术服务</w:t>
      </w:r>
      <w:r>
        <w:t>有限公司进行监测，报告编号：</w:t>
      </w:r>
      <w:r>
        <w:rPr>
          <w:rFonts w:hint="eastAsia"/>
        </w:rPr>
        <w:t>HFHJ(2025)WT089</w:t>
      </w:r>
      <w:r>
        <w:t>，监测采用时间为202</w:t>
      </w:r>
      <w:r>
        <w:rPr>
          <w:rFonts w:hint="eastAsia"/>
        </w:rPr>
        <w:t>5</w:t>
      </w:r>
      <w:r>
        <w:t>年</w:t>
      </w:r>
      <w:r>
        <w:rPr>
          <w:rFonts w:hint="eastAsia"/>
        </w:rPr>
        <w:t>1</w:t>
      </w:r>
      <w:r>
        <w:t>月</w:t>
      </w:r>
      <w:r>
        <w:rPr>
          <w:rFonts w:hint="eastAsia"/>
        </w:rPr>
        <w:t>11</w:t>
      </w:r>
      <w:r>
        <w:t>日。</w:t>
      </w:r>
    </w:p>
    <w:p w14:paraId="4A29AE9C">
      <w:pPr>
        <w:spacing w:line="480" w:lineRule="exact"/>
        <w:rPr>
          <w:rFonts w:ascii="Times New Roman"/>
          <w:b/>
          <w:sz w:val="24"/>
          <w:szCs w:val="24"/>
        </w:rPr>
      </w:pPr>
      <w:r>
        <w:rPr>
          <w:rFonts w:ascii="Times New Roman"/>
          <w:b/>
          <w:sz w:val="24"/>
          <w:szCs w:val="24"/>
        </w:rPr>
        <w:t>4.2.2.1监测点布置</w:t>
      </w:r>
    </w:p>
    <w:p w14:paraId="1E08C4E2">
      <w:pPr>
        <w:spacing w:line="480" w:lineRule="exact"/>
        <w:ind w:firstLine="480" w:firstLineChars="200"/>
        <w:rPr>
          <w:rFonts w:ascii="Times New Roman"/>
          <w:sz w:val="24"/>
          <w:szCs w:val="24"/>
        </w:rPr>
      </w:pPr>
      <w:r>
        <w:rPr>
          <w:rFonts w:ascii="Times New Roman"/>
          <w:sz w:val="24"/>
          <w:szCs w:val="24"/>
        </w:rPr>
        <w:t>根据区域地下水流向及地下水导则要求，在评价区域内共设置3个潜水井</w:t>
      </w:r>
      <w:r>
        <w:rPr>
          <w:rFonts w:hint="eastAsia" w:ascii="Times New Roman"/>
          <w:sz w:val="24"/>
          <w:szCs w:val="24"/>
        </w:rPr>
        <w:t>、1个深水井</w:t>
      </w:r>
      <w:r>
        <w:rPr>
          <w:rFonts w:ascii="Times New Roman"/>
          <w:sz w:val="24"/>
          <w:szCs w:val="24"/>
        </w:rPr>
        <w:t>。地下水监测点位置、监测因子及监测时间见见表</w:t>
      </w:r>
      <w:r>
        <w:rPr>
          <w:rFonts w:ascii="Times New Roman"/>
          <w:spacing w:val="-4"/>
          <w:sz w:val="24"/>
          <w:szCs w:val="24"/>
        </w:rPr>
        <w:t>，</w:t>
      </w:r>
      <w:r>
        <w:rPr>
          <w:rFonts w:ascii="Times New Roman"/>
          <w:sz w:val="24"/>
          <w:szCs w:val="24"/>
        </w:rPr>
        <w:t>详见表4.2-7。</w:t>
      </w:r>
    </w:p>
    <w:p w14:paraId="0801C7FF">
      <w:pPr>
        <w:pStyle w:val="151"/>
        <w:ind w:left="500"/>
      </w:pPr>
    </w:p>
    <w:p w14:paraId="37476800">
      <w:pPr>
        <w:spacing w:line="480" w:lineRule="exact"/>
        <w:jc w:val="center"/>
        <w:rPr>
          <w:rFonts w:ascii="Times New Roman"/>
          <w:b/>
          <w:sz w:val="24"/>
          <w:szCs w:val="24"/>
        </w:rPr>
      </w:pPr>
      <w:r>
        <w:rPr>
          <w:rFonts w:ascii="Times New Roman"/>
          <w:b/>
          <w:sz w:val="24"/>
          <w:szCs w:val="24"/>
        </w:rPr>
        <w:t>表4.2-7  地下水水质监测点位一览表</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440"/>
        <w:gridCol w:w="1334"/>
        <w:gridCol w:w="703"/>
        <w:gridCol w:w="1197"/>
        <w:gridCol w:w="4691"/>
      </w:tblGrid>
      <w:tr w14:paraId="13125E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263" w:type="pct"/>
            <w:vAlign w:val="center"/>
          </w:tcPr>
          <w:p w14:paraId="5E96572B">
            <w:pPr>
              <w:spacing w:line="320" w:lineRule="exact"/>
              <w:jc w:val="center"/>
              <w:rPr>
                <w:rFonts w:ascii="Times New Roman"/>
                <w:sz w:val="21"/>
                <w:szCs w:val="21"/>
              </w:rPr>
            </w:pPr>
            <w:r>
              <w:rPr>
                <w:rFonts w:ascii="Times New Roman"/>
                <w:sz w:val="21"/>
                <w:szCs w:val="21"/>
              </w:rPr>
              <w:t>序号</w:t>
            </w:r>
          </w:p>
        </w:tc>
        <w:tc>
          <w:tcPr>
            <w:tcW w:w="797" w:type="pct"/>
            <w:vAlign w:val="center"/>
          </w:tcPr>
          <w:p w14:paraId="700C23B4">
            <w:pPr>
              <w:spacing w:line="320" w:lineRule="exact"/>
              <w:jc w:val="center"/>
              <w:rPr>
                <w:rFonts w:ascii="Times New Roman"/>
                <w:sz w:val="21"/>
                <w:szCs w:val="21"/>
              </w:rPr>
            </w:pPr>
            <w:r>
              <w:rPr>
                <w:rFonts w:ascii="Times New Roman"/>
                <w:sz w:val="21"/>
                <w:szCs w:val="21"/>
              </w:rPr>
              <w:t>监测点名称</w:t>
            </w:r>
          </w:p>
        </w:tc>
        <w:tc>
          <w:tcPr>
            <w:tcW w:w="420" w:type="pct"/>
            <w:vAlign w:val="center"/>
          </w:tcPr>
          <w:p w14:paraId="5CA400FB">
            <w:pPr>
              <w:spacing w:line="320" w:lineRule="exact"/>
              <w:jc w:val="center"/>
              <w:rPr>
                <w:rFonts w:ascii="Times New Roman"/>
                <w:sz w:val="21"/>
                <w:szCs w:val="21"/>
              </w:rPr>
            </w:pPr>
            <w:r>
              <w:rPr>
                <w:rFonts w:ascii="Times New Roman"/>
                <w:sz w:val="21"/>
                <w:szCs w:val="21"/>
              </w:rPr>
              <w:t>监测</w:t>
            </w:r>
          </w:p>
          <w:p w14:paraId="4238DA2C">
            <w:pPr>
              <w:spacing w:line="320" w:lineRule="exact"/>
              <w:jc w:val="center"/>
              <w:rPr>
                <w:rFonts w:ascii="Times New Roman"/>
                <w:sz w:val="21"/>
                <w:szCs w:val="21"/>
              </w:rPr>
            </w:pPr>
            <w:r>
              <w:rPr>
                <w:rFonts w:ascii="Times New Roman"/>
                <w:sz w:val="21"/>
                <w:szCs w:val="21"/>
              </w:rPr>
              <w:t>对象</w:t>
            </w:r>
          </w:p>
        </w:tc>
        <w:tc>
          <w:tcPr>
            <w:tcW w:w="715" w:type="pct"/>
            <w:tcBorders>
              <w:bottom w:val="single" w:color="auto" w:sz="4" w:space="0"/>
            </w:tcBorders>
            <w:vAlign w:val="center"/>
          </w:tcPr>
          <w:p w14:paraId="5F9566B4">
            <w:pPr>
              <w:spacing w:line="320" w:lineRule="exact"/>
              <w:jc w:val="center"/>
              <w:rPr>
                <w:rFonts w:ascii="Times New Roman"/>
                <w:sz w:val="21"/>
                <w:szCs w:val="21"/>
              </w:rPr>
            </w:pPr>
            <w:r>
              <w:rPr>
                <w:rFonts w:ascii="Times New Roman"/>
                <w:sz w:val="21"/>
                <w:szCs w:val="21"/>
              </w:rPr>
              <w:t>监测频率</w:t>
            </w:r>
          </w:p>
        </w:tc>
        <w:tc>
          <w:tcPr>
            <w:tcW w:w="2803" w:type="pct"/>
            <w:tcBorders>
              <w:bottom w:val="single" w:color="auto" w:sz="4" w:space="0"/>
            </w:tcBorders>
            <w:vAlign w:val="center"/>
          </w:tcPr>
          <w:p w14:paraId="36F1E2A9">
            <w:pPr>
              <w:spacing w:line="320" w:lineRule="exact"/>
              <w:jc w:val="center"/>
              <w:rPr>
                <w:rFonts w:ascii="Times New Roman"/>
                <w:sz w:val="21"/>
                <w:szCs w:val="21"/>
              </w:rPr>
            </w:pPr>
            <w:r>
              <w:rPr>
                <w:rFonts w:ascii="Times New Roman"/>
                <w:sz w:val="21"/>
                <w:szCs w:val="21"/>
              </w:rPr>
              <w:t>监测因子</w:t>
            </w:r>
          </w:p>
        </w:tc>
      </w:tr>
      <w:tr w14:paraId="6D5FF1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69CA1A1A">
            <w:pPr>
              <w:spacing w:line="320" w:lineRule="exact"/>
              <w:jc w:val="center"/>
              <w:rPr>
                <w:rFonts w:ascii="Times New Roman"/>
                <w:sz w:val="21"/>
                <w:szCs w:val="21"/>
              </w:rPr>
            </w:pPr>
            <w:r>
              <w:rPr>
                <w:rFonts w:ascii="Times New Roman"/>
                <w:sz w:val="21"/>
                <w:szCs w:val="21"/>
              </w:rPr>
              <w:t>Q1</w:t>
            </w:r>
          </w:p>
        </w:tc>
        <w:tc>
          <w:tcPr>
            <w:tcW w:w="797" w:type="pct"/>
            <w:vAlign w:val="center"/>
          </w:tcPr>
          <w:p w14:paraId="43E571E1">
            <w:pPr>
              <w:spacing w:line="320" w:lineRule="exact"/>
              <w:jc w:val="center"/>
              <w:rPr>
                <w:rFonts w:ascii="Times New Roman"/>
                <w:sz w:val="21"/>
                <w:szCs w:val="21"/>
              </w:rPr>
            </w:pPr>
            <w:r>
              <w:rPr>
                <w:rFonts w:hint="eastAsia" w:ascii="Times New Roman"/>
                <w:sz w:val="21"/>
                <w:szCs w:val="21"/>
              </w:rPr>
              <w:t>厂址西北</w:t>
            </w:r>
          </w:p>
        </w:tc>
        <w:tc>
          <w:tcPr>
            <w:tcW w:w="420" w:type="pct"/>
            <w:vMerge w:val="restart"/>
            <w:vAlign w:val="center"/>
          </w:tcPr>
          <w:p w14:paraId="5915A621">
            <w:pPr>
              <w:spacing w:line="320" w:lineRule="exact"/>
              <w:jc w:val="center"/>
              <w:rPr>
                <w:rFonts w:ascii="Times New Roman"/>
                <w:sz w:val="21"/>
                <w:szCs w:val="21"/>
              </w:rPr>
            </w:pPr>
            <w:r>
              <w:rPr>
                <w:rFonts w:hint="eastAsia" w:ascii="Times New Roman"/>
                <w:sz w:val="21"/>
                <w:szCs w:val="21"/>
              </w:rPr>
              <w:t>潜水层</w:t>
            </w:r>
          </w:p>
        </w:tc>
        <w:tc>
          <w:tcPr>
            <w:tcW w:w="715" w:type="pct"/>
            <w:vMerge w:val="restart"/>
            <w:tcBorders>
              <w:top w:val="single" w:color="auto" w:sz="4" w:space="0"/>
            </w:tcBorders>
            <w:vAlign w:val="center"/>
          </w:tcPr>
          <w:p w14:paraId="30B7CE94">
            <w:pPr>
              <w:spacing w:line="320" w:lineRule="exact"/>
              <w:jc w:val="center"/>
              <w:rPr>
                <w:rFonts w:ascii="Times New Roman"/>
                <w:sz w:val="21"/>
                <w:szCs w:val="21"/>
              </w:rPr>
            </w:pPr>
            <w:r>
              <w:rPr>
                <w:rFonts w:ascii="Times New Roman"/>
                <w:sz w:val="21"/>
                <w:szCs w:val="21"/>
              </w:rPr>
              <w:t>监测1天，采样1次</w:t>
            </w:r>
          </w:p>
        </w:tc>
        <w:tc>
          <w:tcPr>
            <w:tcW w:w="2803" w:type="pct"/>
            <w:vMerge w:val="restart"/>
            <w:tcBorders>
              <w:top w:val="single" w:color="auto" w:sz="4" w:space="0"/>
            </w:tcBorders>
            <w:vAlign w:val="center"/>
          </w:tcPr>
          <w:p w14:paraId="74B3D85A">
            <w:pPr>
              <w:spacing w:line="320" w:lineRule="exact"/>
              <w:jc w:val="center"/>
              <w:rPr>
                <w:rFonts w:ascii="Times New Roman"/>
                <w:sz w:val="21"/>
                <w:szCs w:val="21"/>
              </w:rPr>
            </w:pPr>
            <w:r>
              <w:rPr>
                <w:rFonts w:ascii="Times New Roman"/>
                <w:sz w:val="21"/>
                <w:szCs w:val="21"/>
              </w:rPr>
              <w:t>井深、水位、pH、氨氮、硝酸盐</w:t>
            </w:r>
            <w:r>
              <w:rPr>
                <w:rFonts w:hint="eastAsia" w:ascii="Times New Roman"/>
                <w:sz w:val="21"/>
                <w:szCs w:val="21"/>
              </w:rPr>
              <w:t>氮</w:t>
            </w:r>
            <w:r>
              <w:rPr>
                <w:rFonts w:ascii="Times New Roman"/>
                <w:sz w:val="21"/>
                <w:szCs w:val="21"/>
              </w:rPr>
              <w:t>、亚硝酸盐</w:t>
            </w:r>
            <w:r>
              <w:rPr>
                <w:rFonts w:hint="eastAsia" w:ascii="Times New Roman"/>
                <w:sz w:val="21"/>
                <w:szCs w:val="21"/>
              </w:rPr>
              <w:t>氮</w:t>
            </w:r>
            <w:r>
              <w:rPr>
                <w:rFonts w:ascii="Times New Roman"/>
                <w:sz w:val="21"/>
                <w:szCs w:val="21"/>
              </w:rPr>
              <w:t>、挥发性酚类、氰化物、铬(六价)、总硬度、</w:t>
            </w:r>
            <w:r>
              <w:rPr>
                <w:rFonts w:hint="eastAsia" w:ascii="Times New Roman"/>
                <w:sz w:val="21"/>
                <w:szCs w:val="21"/>
              </w:rPr>
              <w:t>高锰酸盐指数、</w:t>
            </w:r>
            <w:r>
              <w:rPr>
                <w:rFonts w:ascii="Times New Roman"/>
                <w:sz w:val="21"/>
                <w:szCs w:val="21"/>
              </w:rPr>
              <w:t>氟化物、溶解性总固体、硫酸盐、</w:t>
            </w:r>
            <w:r>
              <w:rPr>
                <w:rFonts w:hint="eastAsia" w:ascii="Times New Roman"/>
                <w:sz w:val="21"/>
                <w:szCs w:val="21"/>
              </w:rPr>
              <w:t>碳酸盐、碳酸氢盐、铁、锰、铅、镉、钾、钠、钙、镁、汞、砷、</w:t>
            </w:r>
            <w:r>
              <w:rPr>
                <w:rFonts w:ascii="Times New Roman"/>
                <w:sz w:val="21"/>
                <w:szCs w:val="21"/>
              </w:rPr>
              <w:t>氯化物、石油类、苯、甲苯、</w:t>
            </w:r>
            <w:r>
              <w:rPr>
                <w:rFonts w:hint="eastAsia" w:ascii="Times New Roman"/>
                <w:sz w:val="21"/>
                <w:szCs w:val="21"/>
              </w:rPr>
              <w:t>总大菌群、菌落总数</w:t>
            </w:r>
            <w:r>
              <w:rPr>
                <w:rFonts w:ascii="Times New Roman"/>
                <w:sz w:val="21"/>
                <w:szCs w:val="21"/>
              </w:rPr>
              <w:t>；</w:t>
            </w:r>
          </w:p>
        </w:tc>
      </w:tr>
      <w:tr w14:paraId="0610B9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77935DC8">
            <w:pPr>
              <w:spacing w:line="320" w:lineRule="exact"/>
              <w:jc w:val="center"/>
              <w:rPr>
                <w:rFonts w:ascii="Times New Roman"/>
                <w:sz w:val="21"/>
                <w:szCs w:val="21"/>
              </w:rPr>
            </w:pPr>
            <w:r>
              <w:rPr>
                <w:rFonts w:ascii="Times New Roman"/>
                <w:sz w:val="21"/>
                <w:szCs w:val="21"/>
              </w:rPr>
              <w:t>Q2</w:t>
            </w:r>
          </w:p>
        </w:tc>
        <w:tc>
          <w:tcPr>
            <w:tcW w:w="797" w:type="pct"/>
            <w:vAlign w:val="center"/>
          </w:tcPr>
          <w:p w14:paraId="780EB49C">
            <w:pPr>
              <w:spacing w:line="320" w:lineRule="exact"/>
              <w:jc w:val="center"/>
              <w:rPr>
                <w:rFonts w:ascii="Times New Roman"/>
                <w:sz w:val="21"/>
                <w:szCs w:val="21"/>
              </w:rPr>
            </w:pPr>
            <w:r>
              <w:rPr>
                <w:rFonts w:hint="eastAsia" w:ascii="Times New Roman"/>
                <w:sz w:val="21"/>
                <w:szCs w:val="21"/>
              </w:rPr>
              <w:t>厂址内</w:t>
            </w:r>
          </w:p>
        </w:tc>
        <w:tc>
          <w:tcPr>
            <w:tcW w:w="420" w:type="pct"/>
            <w:vMerge w:val="continue"/>
            <w:vAlign w:val="center"/>
          </w:tcPr>
          <w:p w14:paraId="7E9DFFBF">
            <w:pPr>
              <w:spacing w:line="320" w:lineRule="exact"/>
              <w:jc w:val="center"/>
              <w:rPr>
                <w:rFonts w:ascii="Times New Roman"/>
                <w:sz w:val="21"/>
                <w:szCs w:val="21"/>
              </w:rPr>
            </w:pPr>
          </w:p>
        </w:tc>
        <w:tc>
          <w:tcPr>
            <w:tcW w:w="715" w:type="pct"/>
            <w:vMerge w:val="continue"/>
            <w:vAlign w:val="center"/>
          </w:tcPr>
          <w:p w14:paraId="4E6C0C5E">
            <w:pPr>
              <w:spacing w:line="320" w:lineRule="exact"/>
              <w:jc w:val="center"/>
              <w:rPr>
                <w:rFonts w:ascii="Times New Roman"/>
                <w:sz w:val="21"/>
                <w:szCs w:val="21"/>
              </w:rPr>
            </w:pPr>
          </w:p>
        </w:tc>
        <w:tc>
          <w:tcPr>
            <w:tcW w:w="2803" w:type="pct"/>
            <w:vMerge w:val="continue"/>
            <w:vAlign w:val="center"/>
          </w:tcPr>
          <w:p w14:paraId="0BD878C9">
            <w:pPr>
              <w:spacing w:line="320" w:lineRule="exact"/>
              <w:ind w:firstLine="560"/>
              <w:jc w:val="center"/>
              <w:rPr>
                <w:rFonts w:ascii="Times New Roman"/>
                <w:sz w:val="21"/>
                <w:szCs w:val="21"/>
              </w:rPr>
            </w:pPr>
          </w:p>
        </w:tc>
      </w:tr>
      <w:tr w14:paraId="0B853A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0018C69F">
            <w:pPr>
              <w:spacing w:line="320" w:lineRule="exact"/>
              <w:jc w:val="center"/>
              <w:rPr>
                <w:rFonts w:ascii="Times New Roman"/>
                <w:sz w:val="21"/>
                <w:szCs w:val="21"/>
              </w:rPr>
            </w:pPr>
            <w:r>
              <w:rPr>
                <w:rFonts w:ascii="Times New Roman"/>
                <w:sz w:val="21"/>
                <w:szCs w:val="21"/>
              </w:rPr>
              <w:t>Q3</w:t>
            </w:r>
          </w:p>
        </w:tc>
        <w:tc>
          <w:tcPr>
            <w:tcW w:w="797" w:type="pct"/>
            <w:vAlign w:val="center"/>
          </w:tcPr>
          <w:p w14:paraId="52C7104C">
            <w:pPr>
              <w:spacing w:line="320" w:lineRule="exact"/>
              <w:jc w:val="center"/>
              <w:rPr>
                <w:rFonts w:ascii="Times New Roman"/>
                <w:sz w:val="21"/>
                <w:szCs w:val="21"/>
              </w:rPr>
            </w:pPr>
            <w:r>
              <w:rPr>
                <w:rFonts w:ascii="Times New Roman"/>
                <w:sz w:val="21"/>
                <w:szCs w:val="21"/>
              </w:rPr>
              <w:t>厂区</w:t>
            </w:r>
            <w:r>
              <w:rPr>
                <w:rFonts w:hint="eastAsia" w:ascii="Times New Roman"/>
                <w:sz w:val="21"/>
                <w:szCs w:val="21"/>
              </w:rPr>
              <w:t>东南</w:t>
            </w:r>
          </w:p>
        </w:tc>
        <w:tc>
          <w:tcPr>
            <w:tcW w:w="420" w:type="pct"/>
            <w:vMerge w:val="continue"/>
            <w:vAlign w:val="center"/>
          </w:tcPr>
          <w:p w14:paraId="19990958">
            <w:pPr>
              <w:spacing w:line="320" w:lineRule="exact"/>
              <w:jc w:val="center"/>
              <w:rPr>
                <w:rFonts w:ascii="Times New Roman"/>
                <w:sz w:val="21"/>
                <w:szCs w:val="21"/>
              </w:rPr>
            </w:pPr>
          </w:p>
        </w:tc>
        <w:tc>
          <w:tcPr>
            <w:tcW w:w="715" w:type="pct"/>
            <w:vMerge w:val="continue"/>
            <w:vAlign w:val="center"/>
          </w:tcPr>
          <w:p w14:paraId="39D48C9F">
            <w:pPr>
              <w:spacing w:line="320" w:lineRule="exact"/>
              <w:jc w:val="center"/>
              <w:rPr>
                <w:rFonts w:ascii="Times New Roman"/>
                <w:sz w:val="21"/>
                <w:szCs w:val="21"/>
              </w:rPr>
            </w:pPr>
          </w:p>
        </w:tc>
        <w:tc>
          <w:tcPr>
            <w:tcW w:w="2803" w:type="pct"/>
            <w:vMerge w:val="continue"/>
            <w:vAlign w:val="center"/>
          </w:tcPr>
          <w:p w14:paraId="727B58A4">
            <w:pPr>
              <w:spacing w:line="320" w:lineRule="exact"/>
              <w:ind w:firstLine="560"/>
              <w:jc w:val="center"/>
              <w:rPr>
                <w:rFonts w:ascii="Times New Roman"/>
                <w:sz w:val="21"/>
                <w:szCs w:val="21"/>
              </w:rPr>
            </w:pPr>
          </w:p>
        </w:tc>
      </w:tr>
      <w:tr w14:paraId="72BE55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1869CFE4">
            <w:pPr>
              <w:spacing w:line="320" w:lineRule="exact"/>
              <w:jc w:val="center"/>
              <w:rPr>
                <w:rFonts w:ascii="Times New Roman"/>
                <w:sz w:val="21"/>
                <w:szCs w:val="21"/>
              </w:rPr>
            </w:pPr>
            <w:r>
              <w:rPr>
                <w:rFonts w:hint="eastAsia" w:ascii="Times New Roman"/>
                <w:sz w:val="21"/>
                <w:szCs w:val="21"/>
              </w:rPr>
              <w:t>S1</w:t>
            </w:r>
          </w:p>
        </w:tc>
        <w:tc>
          <w:tcPr>
            <w:tcW w:w="797" w:type="pct"/>
            <w:vAlign w:val="center"/>
          </w:tcPr>
          <w:p w14:paraId="50C8158C">
            <w:pPr>
              <w:spacing w:line="320" w:lineRule="exact"/>
              <w:jc w:val="center"/>
              <w:rPr>
                <w:rFonts w:ascii="Times New Roman"/>
                <w:sz w:val="21"/>
                <w:szCs w:val="21"/>
              </w:rPr>
            </w:pPr>
            <w:r>
              <w:rPr>
                <w:rFonts w:hint="eastAsia" w:ascii="Times New Roman"/>
                <w:sz w:val="21"/>
                <w:szCs w:val="21"/>
              </w:rPr>
              <w:t>厂址西侧</w:t>
            </w:r>
          </w:p>
        </w:tc>
        <w:tc>
          <w:tcPr>
            <w:tcW w:w="420" w:type="pct"/>
            <w:vAlign w:val="center"/>
          </w:tcPr>
          <w:p w14:paraId="6854A95A">
            <w:pPr>
              <w:spacing w:line="320" w:lineRule="exact"/>
              <w:jc w:val="center"/>
              <w:rPr>
                <w:rFonts w:ascii="Times New Roman"/>
                <w:sz w:val="21"/>
                <w:szCs w:val="21"/>
              </w:rPr>
            </w:pPr>
            <w:r>
              <w:rPr>
                <w:rFonts w:hint="eastAsia" w:ascii="Times New Roman"/>
                <w:sz w:val="21"/>
                <w:szCs w:val="21"/>
              </w:rPr>
              <w:t>深层水</w:t>
            </w:r>
          </w:p>
        </w:tc>
        <w:tc>
          <w:tcPr>
            <w:tcW w:w="715" w:type="pct"/>
            <w:vMerge w:val="continue"/>
            <w:vAlign w:val="center"/>
          </w:tcPr>
          <w:p w14:paraId="7EF332A3">
            <w:pPr>
              <w:spacing w:line="320" w:lineRule="exact"/>
              <w:jc w:val="center"/>
              <w:rPr>
                <w:rFonts w:ascii="Times New Roman"/>
                <w:sz w:val="21"/>
                <w:szCs w:val="21"/>
              </w:rPr>
            </w:pPr>
          </w:p>
        </w:tc>
        <w:tc>
          <w:tcPr>
            <w:tcW w:w="2803" w:type="pct"/>
            <w:vMerge w:val="continue"/>
            <w:vAlign w:val="center"/>
          </w:tcPr>
          <w:p w14:paraId="683BA932">
            <w:pPr>
              <w:spacing w:line="320" w:lineRule="exact"/>
              <w:ind w:firstLine="560"/>
              <w:jc w:val="center"/>
              <w:rPr>
                <w:rFonts w:ascii="Times New Roman"/>
                <w:sz w:val="21"/>
                <w:szCs w:val="21"/>
              </w:rPr>
            </w:pPr>
          </w:p>
        </w:tc>
      </w:tr>
      <w:tr w14:paraId="3369AC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58B27B9F">
            <w:pPr>
              <w:spacing w:line="320" w:lineRule="exact"/>
              <w:jc w:val="center"/>
              <w:rPr>
                <w:rFonts w:ascii="Times New Roman"/>
                <w:sz w:val="21"/>
                <w:szCs w:val="21"/>
              </w:rPr>
            </w:pPr>
            <w:r>
              <w:rPr>
                <w:rFonts w:hint="eastAsia" w:ascii="Times New Roman"/>
                <w:sz w:val="21"/>
                <w:szCs w:val="21"/>
              </w:rPr>
              <w:t>Q4</w:t>
            </w:r>
          </w:p>
        </w:tc>
        <w:tc>
          <w:tcPr>
            <w:tcW w:w="797" w:type="pct"/>
            <w:vAlign w:val="center"/>
          </w:tcPr>
          <w:p w14:paraId="2115667B">
            <w:pPr>
              <w:spacing w:line="320" w:lineRule="exact"/>
              <w:jc w:val="center"/>
              <w:rPr>
                <w:rFonts w:ascii="Times New Roman"/>
                <w:sz w:val="21"/>
                <w:szCs w:val="21"/>
              </w:rPr>
            </w:pPr>
            <w:r>
              <w:rPr>
                <w:rFonts w:hint="eastAsia" w:ascii="Times New Roman"/>
                <w:sz w:val="21"/>
                <w:szCs w:val="21"/>
              </w:rPr>
              <w:t>厂址东北</w:t>
            </w:r>
          </w:p>
        </w:tc>
        <w:tc>
          <w:tcPr>
            <w:tcW w:w="420" w:type="pct"/>
            <w:vMerge w:val="restart"/>
            <w:vAlign w:val="center"/>
          </w:tcPr>
          <w:p w14:paraId="5D79D535">
            <w:pPr>
              <w:spacing w:line="320" w:lineRule="exact"/>
              <w:jc w:val="center"/>
              <w:rPr>
                <w:rFonts w:ascii="Times New Roman"/>
                <w:sz w:val="21"/>
                <w:szCs w:val="21"/>
              </w:rPr>
            </w:pPr>
            <w:r>
              <w:rPr>
                <w:rFonts w:hint="eastAsia" w:ascii="Times New Roman"/>
                <w:sz w:val="21"/>
                <w:szCs w:val="21"/>
              </w:rPr>
              <w:t>水位监测点</w:t>
            </w:r>
          </w:p>
        </w:tc>
        <w:tc>
          <w:tcPr>
            <w:tcW w:w="715" w:type="pct"/>
            <w:vMerge w:val="continue"/>
            <w:vAlign w:val="center"/>
          </w:tcPr>
          <w:p w14:paraId="3F14E3AC">
            <w:pPr>
              <w:spacing w:line="320" w:lineRule="exact"/>
              <w:jc w:val="center"/>
              <w:rPr>
                <w:rFonts w:ascii="Times New Roman"/>
                <w:sz w:val="21"/>
                <w:szCs w:val="21"/>
              </w:rPr>
            </w:pPr>
          </w:p>
        </w:tc>
        <w:tc>
          <w:tcPr>
            <w:tcW w:w="2803" w:type="pct"/>
            <w:vMerge w:val="restart"/>
            <w:vAlign w:val="center"/>
          </w:tcPr>
          <w:p w14:paraId="2D3E64D0">
            <w:pPr>
              <w:spacing w:line="320" w:lineRule="exact"/>
              <w:ind w:firstLine="560"/>
              <w:jc w:val="center"/>
              <w:rPr>
                <w:rFonts w:ascii="Times New Roman"/>
                <w:sz w:val="21"/>
                <w:szCs w:val="21"/>
              </w:rPr>
            </w:pPr>
            <w:r>
              <w:rPr>
                <w:rFonts w:ascii="Times New Roman"/>
                <w:sz w:val="21"/>
                <w:szCs w:val="21"/>
              </w:rPr>
              <w:t>井深、水位</w:t>
            </w:r>
          </w:p>
        </w:tc>
      </w:tr>
      <w:tr w14:paraId="45A5A5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5B6EC373">
            <w:pPr>
              <w:spacing w:line="320" w:lineRule="exact"/>
              <w:jc w:val="center"/>
              <w:rPr>
                <w:rFonts w:ascii="Times New Roman"/>
                <w:sz w:val="21"/>
                <w:szCs w:val="21"/>
              </w:rPr>
            </w:pPr>
            <w:r>
              <w:rPr>
                <w:rFonts w:hint="eastAsia" w:ascii="Times New Roman"/>
                <w:sz w:val="21"/>
                <w:szCs w:val="21"/>
              </w:rPr>
              <w:t>Q5</w:t>
            </w:r>
          </w:p>
        </w:tc>
        <w:tc>
          <w:tcPr>
            <w:tcW w:w="797" w:type="pct"/>
            <w:vAlign w:val="center"/>
          </w:tcPr>
          <w:p w14:paraId="104BF30F">
            <w:pPr>
              <w:spacing w:line="320" w:lineRule="exact"/>
              <w:jc w:val="center"/>
              <w:rPr>
                <w:rFonts w:ascii="Times New Roman"/>
                <w:sz w:val="21"/>
                <w:szCs w:val="21"/>
              </w:rPr>
            </w:pPr>
            <w:r>
              <w:rPr>
                <w:rFonts w:hint="eastAsia" w:ascii="Times New Roman"/>
                <w:sz w:val="21"/>
                <w:szCs w:val="21"/>
              </w:rPr>
              <w:t>厂址南侧</w:t>
            </w:r>
          </w:p>
        </w:tc>
        <w:tc>
          <w:tcPr>
            <w:tcW w:w="420" w:type="pct"/>
            <w:vMerge w:val="continue"/>
            <w:vAlign w:val="center"/>
          </w:tcPr>
          <w:p w14:paraId="63E108C2">
            <w:pPr>
              <w:spacing w:line="320" w:lineRule="exact"/>
              <w:jc w:val="center"/>
              <w:rPr>
                <w:rFonts w:ascii="Times New Roman"/>
                <w:sz w:val="21"/>
                <w:szCs w:val="21"/>
              </w:rPr>
            </w:pPr>
          </w:p>
        </w:tc>
        <w:tc>
          <w:tcPr>
            <w:tcW w:w="715" w:type="pct"/>
            <w:vMerge w:val="continue"/>
            <w:vAlign w:val="center"/>
          </w:tcPr>
          <w:p w14:paraId="0B86DC32">
            <w:pPr>
              <w:spacing w:line="320" w:lineRule="exact"/>
              <w:jc w:val="center"/>
              <w:rPr>
                <w:rFonts w:ascii="Times New Roman"/>
                <w:sz w:val="21"/>
                <w:szCs w:val="21"/>
              </w:rPr>
            </w:pPr>
          </w:p>
        </w:tc>
        <w:tc>
          <w:tcPr>
            <w:tcW w:w="2803" w:type="pct"/>
            <w:vMerge w:val="continue"/>
            <w:vAlign w:val="center"/>
          </w:tcPr>
          <w:p w14:paraId="1B13EDF3">
            <w:pPr>
              <w:spacing w:line="320" w:lineRule="exact"/>
              <w:ind w:firstLine="560"/>
              <w:jc w:val="center"/>
              <w:rPr>
                <w:rFonts w:ascii="Times New Roman"/>
                <w:sz w:val="21"/>
                <w:szCs w:val="21"/>
              </w:rPr>
            </w:pPr>
          </w:p>
        </w:tc>
      </w:tr>
      <w:tr w14:paraId="52C4DF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3F81DD9B">
            <w:pPr>
              <w:spacing w:line="320" w:lineRule="exact"/>
              <w:jc w:val="center"/>
              <w:rPr>
                <w:rFonts w:ascii="Times New Roman"/>
                <w:sz w:val="21"/>
                <w:szCs w:val="21"/>
              </w:rPr>
            </w:pPr>
            <w:r>
              <w:rPr>
                <w:rFonts w:hint="eastAsia" w:ascii="Times New Roman"/>
                <w:sz w:val="21"/>
                <w:szCs w:val="21"/>
              </w:rPr>
              <w:t>Q6</w:t>
            </w:r>
          </w:p>
        </w:tc>
        <w:tc>
          <w:tcPr>
            <w:tcW w:w="797" w:type="pct"/>
            <w:vAlign w:val="center"/>
          </w:tcPr>
          <w:p w14:paraId="48945977">
            <w:pPr>
              <w:spacing w:line="320" w:lineRule="exact"/>
              <w:jc w:val="center"/>
              <w:rPr>
                <w:rFonts w:ascii="Times New Roman"/>
                <w:sz w:val="21"/>
                <w:szCs w:val="21"/>
              </w:rPr>
            </w:pPr>
            <w:r>
              <w:rPr>
                <w:rFonts w:hint="eastAsia" w:ascii="Times New Roman"/>
                <w:sz w:val="21"/>
                <w:szCs w:val="21"/>
              </w:rPr>
              <w:t>厂址北侧</w:t>
            </w:r>
          </w:p>
        </w:tc>
        <w:tc>
          <w:tcPr>
            <w:tcW w:w="420" w:type="pct"/>
            <w:vMerge w:val="continue"/>
            <w:vAlign w:val="center"/>
          </w:tcPr>
          <w:p w14:paraId="07147918">
            <w:pPr>
              <w:spacing w:line="320" w:lineRule="exact"/>
              <w:jc w:val="center"/>
              <w:rPr>
                <w:rFonts w:ascii="Times New Roman"/>
                <w:sz w:val="21"/>
                <w:szCs w:val="21"/>
              </w:rPr>
            </w:pPr>
          </w:p>
        </w:tc>
        <w:tc>
          <w:tcPr>
            <w:tcW w:w="715" w:type="pct"/>
            <w:vMerge w:val="continue"/>
            <w:vAlign w:val="center"/>
          </w:tcPr>
          <w:p w14:paraId="27206781">
            <w:pPr>
              <w:spacing w:line="320" w:lineRule="exact"/>
              <w:jc w:val="center"/>
              <w:rPr>
                <w:rFonts w:ascii="Times New Roman"/>
                <w:sz w:val="21"/>
                <w:szCs w:val="21"/>
              </w:rPr>
            </w:pPr>
          </w:p>
        </w:tc>
        <w:tc>
          <w:tcPr>
            <w:tcW w:w="2803" w:type="pct"/>
            <w:vMerge w:val="continue"/>
            <w:vAlign w:val="center"/>
          </w:tcPr>
          <w:p w14:paraId="5A2CFB98">
            <w:pPr>
              <w:spacing w:line="320" w:lineRule="exact"/>
              <w:ind w:firstLine="560"/>
              <w:jc w:val="center"/>
              <w:rPr>
                <w:rFonts w:ascii="Times New Roman"/>
                <w:sz w:val="21"/>
                <w:szCs w:val="21"/>
              </w:rPr>
            </w:pPr>
          </w:p>
        </w:tc>
      </w:tr>
      <w:tr w14:paraId="2FE3E8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63" w:type="pct"/>
            <w:vAlign w:val="center"/>
          </w:tcPr>
          <w:p w14:paraId="6B013122">
            <w:pPr>
              <w:spacing w:line="320" w:lineRule="exact"/>
              <w:jc w:val="center"/>
              <w:rPr>
                <w:rFonts w:ascii="Times New Roman"/>
                <w:sz w:val="21"/>
                <w:szCs w:val="21"/>
              </w:rPr>
            </w:pPr>
            <w:r>
              <w:rPr>
                <w:rFonts w:hint="eastAsia" w:ascii="Times New Roman"/>
                <w:sz w:val="21"/>
                <w:szCs w:val="21"/>
              </w:rPr>
              <w:t>Q7</w:t>
            </w:r>
          </w:p>
        </w:tc>
        <w:tc>
          <w:tcPr>
            <w:tcW w:w="797" w:type="pct"/>
            <w:vAlign w:val="center"/>
          </w:tcPr>
          <w:p w14:paraId="4782ED47">
            <w:pPr>
              <w:spacing w:line="320" w:lineRule="exact"/>
              <w:jc w:val="center"/>
              <w:rPr>
                <w:rFonts w:ascii="Times New Roman"/>
                <w:sz w:val="21"/>
                <w:szCs w:val="21"/>
              </w:rPr>
            </w:pPr>
            <w:r>
              <w:rPr>
                <w:rFonts w:hint="eastAsia" w:ascii="Times New Roman"/>
                <w:sz w:val="21"/>
                <w:szCs w:val="21"/>
              </w:rPr>
              <w:t>厂址东侧</w:t>
            </w:r>
          </w:p>
        </w:tc>
        <w:tc>
          <w:tcPr>
            <w:tcW w:w="420" w:type="pct"/>
            <w:vMerge w:val="continue"/>
            <w:vAlign w:val="center"/>
          </w:tcPr>
          <w:p w14:paraId="5F9E4EA5">
            <w:pPr>
              <w:spacing w:line="320" w:lineRule="exact"/>
              <w:jc w:val="center"/>
              <w:rPr>
                <w:rFonts w:ascii="Times New Roman"/>
                <w:sz w:val="21"/>
                <w:szCs w:val="21"/>
              </w:rPr>
            </w:pPr>
          </w:p>
        </w:tc>
        <w:tc>
          <w:tcPr>
            <w:tcW w:w="715" w:type="pct"/>
            <w:vMerge w:val="continue"/>
            <w:vAlign w:val="center"/>
          </w:tcPr>
          <w:p w14:paraId="04BCB12B">
            <w:pPr>
              <w:spacing w:line="320" w:lineRule="exact"/>
              <w:jc w:val="center"/>
              <w:rPr>
                <w:rFonts w:ascii="Times New Roman"/>
                <w:sz w:val="21"/>
                <w:szCs w:val="21"/>
              </w:rPr>
            </w:pPr>
          </w:p>
        </w:tc>
        <w:tc>
          <w:tcPr>
            <w:tcW w:w="2803" w:type="pct"/>
            <w:vMerge w:val="continue"/>
            <w:vAlign w:val="center"/>
          </w:tcPr>
          <w:p w14:paraId="3D0F9152">
            <w:pPr>
              <w:spacing w:line="320" w:lineRule="exact"/>
              <w:ind w:firstLine="560"/>
              <w:jc w:val="center"/>
              <w:rPr>
                <w:rFonts w:ascii="Times New Roman"/>
                <w:sz w:val="21"/>
                <w:szCs w:val="21"/>
              </w:rPr>
            </w:pPr>
          </w:p>
        </w:tc>
      </w:tr>
    </w:tbl>
    <w:p w14:paraId="1D10E97B">
      <w:pPr>
        <w:spacing w:line="480" w:lineRule="exact"/>
        <w:rPr>
          <w:rFonts w:ascii="Times New Roman"/>
          <w:b/>
          <w:sz w:val="24"/>
          <w:szCs w:val="24"/>
        </w:rPr>
      </w:pPr>
      <w:r>
        <w:rPr>
          <w:rFonts w:ascii="Times New Roman"/>
          <w:b/>
          <w:sz w:val="24"/>
          <w:szCs w:val="24"/>
        </w:rPr>
        <w:t>4.2.4.2监测方法与监测结果</w:t>
      </w:r>
    </w:p>
    <w:p w14:paraId="47F61DD6">
      <w:pPr>
        <w:spacing w:line="480" w:lineRule="exact"/>
        <w:ind w:firstLine="480" w:firstLineChars="200"/>
        <w:jc w:val="left"/>
        <w:rPr>
          <w:rFonts w:ascii="Times New Roman"/>
          <w:sz w:val="24"/>
          <w:szCs w:val="24"/>
        </w:rPr>
      </w:pPr>
      <w:r>
        <w:rPr>
          <w:rFonts w:ascii="Times New Roman"/>
          <w:snapToGrid w:val="0"/>
          <w:sz w:val="24"/>
          <w:szCs w:val="24"/>
        </w:rPr>
        <w:t>（1）监测项目：</w:t>
      </w:r>
      <w:r>
        <w:rPr>
          <w:rFonts w:ascii="Times New Roman"/>
          <w:sz w:val="24"/>
          <w:szCs w:val="24"/>
        </w:rPr>
        <w:t>井深、水位、pH、氨氮、硝酸盐、亚硝酸盐、挥发性酚类、氰化物、铬(六价)、总硬度、</w:t>
      </w:r>
      <w:r>
        <w:rPr>
          <w:rFonts w:hint="eastAsia" w:ascii="Times New Roman"/>
          <w:sz w:val="24"/>
          <w:szCs w:val="24"/>
        </w:rPr>
        <w:t>高锰酸盐指数、</w:t>
      </w:r>
      <w:r>
        <w:rPr>
          <w:rFonts w:ascii="Times New Roman"/>
          <w:sz w:val="24"/>
          <w:szCs w:val="24"/>
        </w:rPr>
        <w:t>氟化物、溶解性总固体、硫酸盐、</w:t>
      </w:r>
      <w:r>
        <w:rPr>
          <w:rFonts w:hint="eastAsia" w:ascii="Times New Roman"/>
          <w:sz w:val="24"/>
          <w:szCs w:val="24"/>
        </w:rPr>
        <w:t>碳酸盐、碳酸氢盐、铁、锰、铅、镉、钾、钠、钙、镁、汞、砷、</w:t>
      </w:r>
      <w:r>
        <w:rPr>
          <w:rFonts w:ascii="Times New Roman"/>
          <w:sz w:val="24"/>
          <w:szCs w:val="24"/>
        </w:rPr>
        <w:t>氯化物、石油类、苯、甲苯、</w:t>
      </w:r>
      <w:r>
        <w:rPr>
          <w:rFonts w:hint="eastAsia" w:ascii="Times New Roman"/>
          <w:sz w:val="24"/>
          <w:szCs w:val="24"/>
        </w:rPr>
        <w:t>总大菌群、菌落总数</w:t>
      </w:r>
      <w:r>
        <w:rPr>
          <w:rFonts w:ascii="Times New Roman"/>
          <w:sz w:val="24"/>
          <w:szCs w:val="24"/>
        </w:rPr>
        <w:t>；K</w:t>
      </w:r>
      <w:r>
        <w:rPr>
          <w:rFonts w:ascii="Times New Roman"/>
          <w:sz w:val="24"/>
          <w:szCs w:val="24"/>
          <w:vertAlign w:val="superscript"/>
        </w:rPr>
        <w:t>+</w:t>
      </w:r>
      <w:r>
        <w:rPr>
          <w:rFonts w:ascii="Times New Roman"/>
          <w:sz w:val="24"/>
          <w:szCs w:val="24"/>
        </w:rPr>
        <w:t>、Na</w:t>
      </w:r>
      <w:r>
        <w:rPr>
          <w:rFonts w:ascii="Times New Roman"/>
          <w:sz w:val="24"/>
          <w:szCs w:val="24"/>
          <w:vertAlign w:val="superscript"/>
        </w:rPr>
        <w:t>+</w:t>
      </w:r>
      <w:r>
        <w:rPr>
          <w:rFonts w:ascii="Times New Roman"/>
          <w:sz w:val="24"/>
          <w:szCs w:val="24"/>
        </w:rPr>
        <w:t>、Ca</w:t>
      </w:r>
      <w:r>
        <w:rPr>
          <w:rFonts w:ascii="Times New Roman"/>
          <w:sz w:val="24"/>
          <w:szCs w:val="24"/>
          <w:vertAlign w:val="superscript"/>
        </w:rPr>
        <w:t>2+</w:t>
      </w:r>
      <w:r>
        <w:rPr>
          <w:rFonts w:ascii="Times New Roman"/>
          <w:sz w:val="24"/>
          <w:szCs w:val="24"/>
        </w:rPr>
        <w:t>、Mg</w:t>
      </w:r>
      <w:r>
        <w:rPr>
          <w:rFonts w:ascii="Times New Roman"/>
          <w:sz w:val="24"/>
          <w:szCs w:val="24"/>
          <w:vertAlign w:val="superscript"/>
        </w:rPr>
        <w:t>2+</w:t>
      </w:r>
      <w:r>
        <w:rPr>
          <w:rFonts w:ascii="Times New Roman"/>
          <w:sz w:val="24"/>
          <w:szCs w:val="24"/>
        </w:rPr>
        <w:t>、CO</w:t>
      </w:r>
      <w:r>
        <w:rPr>
          <w:rFonts w:ascii="Times New Roman"/>
          <w:sz w:val="24"/>
          <w:szCs w:val="24"/>
          <w:vertAlign w:val="subscript"/>
        </w:rPr>
        <w:t>3</w:t>
      </w:r>
      <w:r>
        <w:rPr>
          <w:rFonts w:ascii="Times New Roman"/>
          <w:sz w:val="24"/>
          <w:szCs w:val="24"/>
          <w:vertAlign w:val="superscript"/>
        </w:rPr>
        <w:t>2-</w:t>
      </w:r>
      <w:r>
        <w:rPr>
          <w:rFonts w:ascii="Times New Roman"/>
          <w:sz w:val="24"/>
          <w:szCs w:val="24"/>
        </w:rPr>
        <w:t>、HCO</w:t>
      </w:r>
      <w:r>
        <w:rPr>
          <w:rFonts w:ascii="Times New Roman"/>
          <w:sz w:val="24"/>
          <w:szCs w:val="24"/>
          <w:vertAlign w:val="subscript"/>
        </w:rPr>
        <w:t>3</w:t>
      </w:r>
      <w:r>
        <w:rPr>
          <w:rFonts w:ascii="Times New Roman"/>
          <w:sz w:val="24"/>
          <w:szCs w:val="24"/>
          <w:vertAlign w:val="superscript"/>
        </w:rPr>
        <w:t>-</w:t>
      </w:r>
      <w:r>
        <w:rPr>
          <w:rFonts w:ascii="Times New Roman"/>
          <w:sz w:val="24"/>
          <w:szCs w:val="24"/>
        </w:rPr>
        <w:t>、Cl</w:t>
      </w:r>
      <w:r>
        <w:rPr>
          <w:rFonts w:ascii="Times New Roman"/>
          <w:sz w:val="24"/>
          <w:szCs w:val="24"/>
          <w:vertAlign w:val="superscript"/>
        </w:rPr>
        <w:t>-</w:t>
      </w:r>
      <w:r>
        <w:rPr>
          <w:rFonts w:ascii="Times New Roman"/>
          <w:sz w:val="24"/>
          <w:szCs w:val="24"/>
        </w:rPr>
        <w:t>、SO</w:t>
      </w:r>
      <w:r>
        <w:rPr>
          <w:rFonts w:ascii="Times New Roman"/>
          <w:sz w:val="24"/>
          <w:szCs w:val="24"/>
          <w:vertAlign w:val="subscript"/>
        </w:rPr>
        <w:t>4</w:t>
      </w:r>
      <w:r>
        <w:rPr>
          <w:rFonts w:ascii="Times New Roman"/>
          <w:sz w:val="24"/>
          <w:szCs w:val="24"/>
          <w:vertAlign w:val="superscript"/>
        </w:rPr>
        <w:t>2-</w:t>
      </w:r>
      <w:r>
        <w:rPr>
          <w:rFonts w:ascii="Times New Roman"/>
          <w:snapToGrid w:val="0"/>
          <w:sz w:val="24"/>
          <w:szCs w:val="24"/>
        </w:rPr>
        <w:t>。</w:t>
      </w:r>
    </w:p>
    <w:p w14:paraId="73383F0C">
      <w:pPr>
        <w:spacing w:line="480" w:lineRule="exact"/>
        <w:ind w:firstLine="480" w:firstLineChars="200"/>
        <w:rPr>
          <w:rFonts w:ascii="Times New Roman"/>
          <w:snapToGrid w:val="0"/>
          <w:sz w:val="24"/>
          <w:szCs w:val="24"/>
        </w:rPr>
      </w:pPr>
      <w:r>
        <w:rPr>
          <w:rFonts w:ascii="Times New Roman"/>
          <w:snapToGrid w:val="0"/>
          <w:sz w:val="24"/>
          <w:szCs w:val="24"/>
        </w:rPr>
        <w:t>（2）监测方法分析</w:t>
      </w:r>
    </w:p>
    <w:p w14:paraId="5D660388">
      <w:pPr>
        <w:spacing w:line="480" w:lineRule="exact"/>
        <w:ind w:firstLine="480" w:firstLineChars="200"/>
        <w:rPr>
          <w:rFonts w:ascii="Times New Roman"/>
          <w:snapToGrid w:val="0"/>
          <w:sz w:val="24"/>
          <w:szCs w:val="24"/>
        </w:rPr>
      </w:pPr>
      <w:r>
        <w:rPr>
          <w:rFonts w:ascii="Times New Roman"/>
          <w:snapToGrid w:val="0"/>
          <w:sz w:val="24"/>
          <w:szCs w:val="24"/>
        </w:rPr>
        <w:t>各监测因子按照《地下水环境监测技术规范》（HJ164-2020）中相关要求监测。各地下水监测因子分析方法及检出限等情况见表4.2-8。</w:t>
      </w:r>
    </w:p>
    <w:p w14:paraId="57903497">
      <w:pPr>
        <w:spacing w:line="520" w:lineRule="exact"/>
        <w:jc w:val="center"/>
        <w:rPr>
          <w:rFonts w:ascii="Times New Roman"/>
        </w:rPr>
      </w:pPr>
      <w:r>
        <w:rPr>
          <w:rFonts w:ascii="Times New Roman"/>
          <w:b/>
          <w:sz w:val="24"/>
          <w:szCs w:val="24"/>
        </w:rPr>
        <w:t>表4.2-8  地下水环境监测因子检测方法及检出浓度一览表</w:t>
      </w:r>
    </w:p>
    <w:tbl>
      <w:tblPr>
        <w:tblStyle w:val="84"/>
        <w:tblpPr w:leftFromText="180" w:rightFromText="180" w:vertAnchor="text" w:horzAnchor="page" w:tblpXSpec="center" w:tblpY="1055"/>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43"/>
        <w:gridCol w:w="3598"/>
        <w:gridCol w:w="1873"/>
        <w:gridCol w:w="1261"/>
      </w:tblGrid>
      <w:tr w14:paraId="44F7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381" w:type="pct"/>
            <w:vAlign w:val="center"/>
          </w:tcPr>
          <w:p w14:paraId="15CF8521">
            <w:pPr>
              <w:jc w:val="center"/>
              <w:rPr>
                <w:rFonts w:ascii="Times New Roman"/>
                <w:sz w:val="21"/>
                <w:szCs w:val="21"/>
              </w:rPr>
            </w:pPr>
            <w:r>
              <w:rPr>
                <w:rFonts w:ascii="Times New Roman"/>
                <w:sz w:val="21"/>
                <w:szCs w:val="21"/>
              </w:rPr>
              <w:t>序号</w:t>
            </w:r>
          </w:p>
        </w:tc>
        <w:tc>
          <w:tcPr>
            <w:tcW w:w="670" w:type="pct"/>
            <w:vAlign w:val="center"/>
          </w:tcPr>
          <w:p w14:paraId="57F5E5AE">
            <w:pPr>
              <w:jc w:val="center"/>
              <w:rPr>
                <w:rFonts w:ascii="Times New Roman"/>
                <w:sz w:val="21"/>
                <w:szCs w:val="21"/>
              </w:rPr>
            </w:pPr>
            <w:r>
              <w:rPr>
                <w:rFonts w:ascii="Times New Roman"/>
                <w:sz w:val="21"/>
                <w:szCs w:val="21"/>
              </w:rPr>
              <w:t>检测项目</w:t>
            </w:r>
          </w:p>
        </w:tc>
        <w:tc>
          <w:tcPr>
            <w:tcW w:w="2109" w:type="pct"/>
            <w:vAlign w:val="center"/>
          </w:tcPr>
          <w:p w14:paraId="071EC186">
            <w:pPr>
              <w:jc w:val="center"/>
              <w:rPr>
                <w:rFonts w:ascii="Times New Roman"/>
                <w:sz w:val="21"/>
                <w:szCs w:val="21"/>
              </w:rPr>
            </w:pPr>
            <w:r>
              <w:rPr>
                <w:rFonts w:ascii="Times New Roman"/>
                <w:sz w:val="21"/>
                <w:szCs w:val="21"/>
              </w:rPr>
              <w:t>分析方法</w:t>
            </w:r>
          </w:p>
        </w:tc>
        <w:tc>
          <w:tcPr>
            <w:tcW w:w="1098" w:type="pct"/>
            <w:vAlign w:val="center"/>
          </w:tcPr>
          <w:p w14:paraId="660550DD">
            <w:pPr>
              <w:jc w:val="center"/>
              <w:rPr>
                <w:rFonts w:ascii="Times New Roman"/>
                <w:sz w:val="21"/>
                <w:szCs w:val="21"/>
              </w:rPr>
            </w:pPr>
            <w:r>
              <w:rPr>
                <w:rFonts w:ascii="Times New Roman"/>
                <w:sz w:val="21"/>
                <w:szCs w:val="21"/>
              </w:rPr>
              <w:t>分析仪器及编号</w:t>
            </w:r>
          </w:p>
        </w:tc>
        <w:tc>
          <w:tcPr>
            <w:tcW w:w="739" w:type="pct"/>
            <w:vAlign w:val="center"/>
          </w:tcPr>
          <w:p w14:paraId="7DA1D338">
            <w:pPr>
              <w:jc w:val="center"/>
              <w:rPr>
                <w:rFonts w:ascii="Times New Roman"/>
                <w:sz w:val="21"/>
                <w:szCs w:val="21"/>
              </w:rPr>
            </w:pPr>
            <w:r>
              <w:rPr>
                <w:rFonts w:ascii="Times New Roman"/>
                <w:sz w:val="21"/>
                <w:szCs w:val="21"/>
              </w:rPr>
              <w:t>检出限</w:t>
            </w:r>
          </w:p>
        </w:tc>
      </w:tr>
      <w:tr w14:paraId="20C3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0FDD960A">
            <w:pPr>
              <w:jc w:val="center"/>
              <w:rPr>
                <w:rFonts w:ascii="Times New Roman"/>
                <w:sz w:val="21"/>
                <w:szCs w:val="21"/>
              </w:rPr>
            </w:pPr>
            <w:r>
              <w:rPr>
                <w:rFonts w:ascii="Times New Roman"/>
                <w:sz w:val="21"/>
                <w:szCs w:val="21"/>
              </w:rPr>
              <w:t>1</w:t>
            </w:r>
          </w:p>
        </w:tc>
        <w:tc>
          <w:tcPr>
            <w:tcW w:w="670" w:type="pct"/>
            <w:vAlign w:val="center"/>
          </w:tcPr>
          <w:p w14:paraId="5F10C803">
            <w:pPr>
              <w:widowControl/>
              <w:jc w:val="center"/>
              <w:textAlignment w:val="center"/>
              <w:rPr>
                <w:rFonts w:ascii="Times New Roman"/>
                <w:sz w:val="21"/>
                <w:szCs w:val="21"/>
              </w:rPr>
            </w:pPr>
            <w:r>
              <w:rPr>
                <w:rFonts w:hint="eastAsia" w:ascii="Times New Roman"/>
                <w:kern w:val="0"/>
                <w:sz w:val="21"/>
                <w:szCs w:val="21"/>
              </w:rPr>
              <w:t>氨氮</w:t>
            </w:r>
          </w:p>
        </w:tc>
        <w:tc>
          <w:tcPr>
            <w:tcW w:w="2109" w:type="pct"/>
            <w:vAlign w:val="center"/>
          </w:tcPr>
          <w:p w14:paraId="152819A7">
            <w:pPr>
              <w:widowControl/>
              <w:jc w:val="center"/>
              <w:textAlignment w:val="center"/>
              <w:rPr>
                <w:rFonts w:ascii="Times New Roman"/>
                <w:sz w:val="21"/>
                <w:szCs w:val="21"/>
              </w:rPr>
            </w:pPr>
            <w:r>
              <w:rPr>
                <w:rFonts w:ascii="Times New Roman"/>
                <w:kern w:val="0"/>
                <w:sz w:val="21"/>
                <w:szCs w:val="21"/>
              </w:rPr>
              <w:t>《水质 氨氮的测定 纳氏试剂分光光度法》HJ 535-2009</w:t>
            </w:r>
          </w:p>
        </w:tc>
        <w:tc>
          <w:tcPr>
            <w:tcW w:w="1098" w:type="pct"/>
            <w:vAlign w:val="center"/>
          </w:tcPr>
          <w:p w14:paraId="38DE9CF8">
            <w:pPr>
              <w:widowControl/>
              <w:jc w:val="center"/>
              <w:textAlignment w:val="center"/>
              <w:rPr>
                <w:rFonts w:ascii="Times New Roman"/>
                <w:sz w:val="21"/>
                <w:szCs w:val="21"/>
              </w:rPr>
            </w:pPr>
            <w:r>
              <w:rPr>
                <w:rFonts w:ascii="Times New Roman"/>
                <w:kern w:val="0"/>
                <w:sz w:val="21"/>
                <w:szCs w:val="21"/>
              </w:rPr>
              <w:t>T6新世纪紫外可见分光光度计（HBHF/YQ347）</w:t>
            </w:r>
          </w:p>
        </w:tc>
        <w:tc>
          <w:tcPr>
            <w:tcW w:w="739" w:type="pct"/>
            <w:vAlign w:val="center"/>
          </w:tcPr>
          <w:p w14:paraId="76FD5989">
            <w:pPr>
              <w:jc w:val="center"/>
              <w:rPr>
                <w:rFonts w:ascii="Times New Roman"/>
                <w:sz w:val="21"/>
                <w:szCs w:val="21"/>
              </w:rPr>
            </w:pPr>
            <w:r>
              <w:rPr>
                <w:rFonts w:ascii="Times New Roman"/>
                <w:sz w:val="21"/>
                <w:szCs w:val="21"/>
              </w:rPr>
              <w:t>0.0</w:t>
            </w:r>
            <w:r>
              <w:rPr>
                <w:rFonts w:hint="eastAsia" w:ascii="Times New Roman"/>
                <w:sz w:val="21"/>
                <w:szCs w:val="21"/>
              </w:rPr>
              <w:t>25</w:t>
            </w:r>
            <w:r>
              <w:rPr>
                <w:rFonts w:ascii="Times New Roman"/>
                <w:sz w:val="21"/>
                <w:szCs w:val="21"/>
              </w:rPr>
              <w:t>mg/L</w:t>
            </w:r>
          </w:p>
        </w:tc>
      </w:tr>
      <w:tr w14:paraId="1F3D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1A335562">
            <w:pPr>
              <w:jc w:val="center"/>
              <w:rPr>
                <w:rFonts w:ascii="Times New Roman"/>
                <w:sz w:val="21"/>
                <w:szCs w:val="21"/>
              </w:rPr>
            </w:pPr>
            <w:r>
              <w:rPr>
                <w:rFonts w:ascii="Times New Roman"/>
                <w:sz w:val="21"/>
                <w:szCs w:val="21"/>
              </w:rPr>
              <w:t>2</w:t>
            </w:r>
          </w:p>
        </w:tc>
        <w:tc>
          <w:tcPr>
            <w:tcW w:w="670" w:type="pct"/>
            <w:vAlign w:val="center"/>
          </w:tcPr>
          <w:p w14:paraId="6A978189">
            <w:pPr>
              <w:widowControl/>
              <w:jc w:val="center"/>
              <w:textAlignment w:val="center"/>
              <w:rPr>
                <w:rFonts w:ascii="Times New Roman"/>
                <w:kern w:val="0"/>
                <w:sz w:val="21"/>
                <w:szCs w:val="21"/>
              </w:rPr>
            </w:pPr>
            <w:r>
              <w:rPr>
                <w:rFonts w:ascii="Times New Roman"/>
                <w:kern w:val="0"/>
                <w:sz w:val="21"/>
                <w:szCs w:val="21"/>
              </w:rPr>
              <w:t>亚硝酸盐</w:t>
            </w:r>
          </w:p>
          <w:p w14:paraId="524BD6C8">
            <w:pPr>
              <w:widowControl/>
              <w:jc w:val="center"/>
              <w:textAlignment w:val="center"/>
              <w:rPr>
                <w:rFonts w:ascii="Times New Roman"/>
                <w:sz w:val="21"/>
                <w:szCs w:val="21"/>
              </w:rPr>
            </w:pPr>
            <w:r>
              <w:rPr>
                <w:rFonts w:ascii="Times New Roman"/>
                <w:kern w:val="0"/>
                <w:sz w:val="21"/>
                <w:szCs w:val="21"/>
              </w:rPr>
              <w:t>（以N计）</w:t>
            </w:r>
          </w:p>
        </w:tc>
        <w:tc>
          <w:tcPr>
            <w:tcW w:w="2109" w:type="pct"/>
            <w:vAlign w:val="center"/>
          </w:tcPr>
          <w:p w14:paraId="5B425A94">
            <w:pPr>
              <w:widowControl/>
              <w:jc w:val="center"/>
              <w:textAlignment w:val="center"/>
              <w:rPr>
                <w:rFonts w:ascii="Times New Roman"/>
                <w:sz w:val="21"/>
                <w:szCs w:val="21"/>
              </w:rPr>
            </w:pPr>
            <w:r>
              <w:rPr>
                <w:rFonts w:ascii="Times New Roman"/>
                <w:kern w:val="0"/>
                <w:sz w:val="21"/>
                <w:szCs w:val="21"/>
              </w:rPr>
              <w:t>《生活饮用水标准检验方法第5部分：无机非金属指标》GB/T 5750.5-2023/12.1重氮偶合分光光度法</w:t>
            </w:r>
          </w:p>
        </w:tc>
        <w:tc>
          <w:tcPr>
            <w:tcW w:w="1098" w:type="pct"/>
            <w:vAlign w:val="center"/>
          </w:tcPr>
          <w:p w14:paraId="7CC3C5B6">
            <w:pPr>
              <w:widowControl/>
              <w:jc w:val="center"/>
              <w:textAlignment w:val="center"/>
              <w:rPr>
                <w:rFonts w:ascii="Times New Roman"/>
                <w:sz w:val="21"/>
                <w:szCs w:val="21"/>
              </w:rPr>
            </w:pPr>
            <w:r>
              <w:rPr>
                <w:rFonts w:ascii="Times New Roman"/>
                <w:kern w:val="0"/>
                <w:sz w:val="21"/>
                <w:szCs w:val="21"/>
              </w:rPr>
              <w:t>T6 新世纪紫外可见分光光度计（HBHF/YQ088）</w:t>
            </w:r>
          </w:p>
        </w:tc>
        <w:tc>
          <w:tcPr>
            <w:tcW w:w="739" w:type="pct"/>
            <w:vAlign w:val="center"/>
          </w:tcPr>
          <w:p w14:paraId="3F8B4219">
            <w:pPr>
              <w:jc w:val="center"/>
              <w:rPr>
                <w:rFonts w:ascii="Times New Roman"/>
                <w:sz w:val="21"/>
                <w:szCs w:val="21"/>
              </w:rPr>
            </w:pPr>
            <w:r>
              <w:rPr>
                <w:rFonts w:ascii="Times New Roman"/>
                <w:sz w:val="21"/>
                <w:szCs w:val="21"/>
              </w:rPr>
              <w:t>0.001mg/L</w:t>
            </w:r>
          </w:p>
        </w:tc>
      </w:tr>
      <w:tr w14:paraId="407F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259AF3EE">
            <w:pPr>
              <w:jc w:val="center"/>
              <w:rPr>
                <w:rFonts w:ascii="Times New Roman"/>
                <w:sz w:val="21"/>
                <w:szCs w:val="21"/>
              </w:rPr>
            </w:pPr>
            <w:r>
              <w:rPr>
                <w:rFonts w:ascii="Times New Roman"/>
                <w:sz w:val="21"/>
                <w:szCs w:val="21"/>
              </w:rPr>
              <w:t>3</w:t>
            </w:r>
          </w:p>
        </w:tc>
        <w:tc>
          <w:tcPr>
            <w:tcW w:w="670" w:type="pct"/>
            <w:vAlign w:val="center"/>
          </w:tcPr>
          <w:p w14:paraId="6E02F353">
            <w:pPr>
              <w:widowControl/>
              <w:jc w:val="center"/>
              <w:textAlignment w:val="center"/>
              <w:rPr>
                <w:rFonts w:ascii="Times New Roman"/>
                <w:sz w:val="21"/>
                <w:szCs w:val="21"/>
              </w:rPr>
            </w:pPr>
            <w:r>
              <w:rPr>
                <w:rFonts w:ascii="Times New Roman"/>
                <w:kern w:val="0"/>
                <w:sz w:val="21"/>
                <w:szCs w:val="21"/>
              </w:rPr>
              <w:t>铬（六价）</w:t>
            </w:r>
          </w:p>
        </w:tc>
        <w:tc>
          <w:tcPr>
            <w:tcW w:w="2109" w:type="pct"/>
            <w:vAlign w:val="center"/>
          </w:tcPr>
          <w:p w14:paraId="2BDE1675">
            <w:pPr>
              <w:widowControl/>
              <w:jc w:val="center"/>
              <w:textAlignment w:val="center"/>
              <w:rPr>
                <w:rFonts w:ascii="Times New Roman"/>
                <w:sz w:val="21"/>
                <w:szCs w:val="21"/>
              </w:rPr>
            </w:pPr>
            <w:r>
              <w:rPr>
                <w:rFonts w:ascii="Times New Roman"/>
                <w:kern w:val="0"/>
                <w:sz w:val="21"/>
                <w:szCs w:val="21"/>
              </w:rPr>
              <w:t>《生活饮用水标准检验方法第6部分：金属和类金属指标》GB/T 5750.6-2023/13.1二苯碳酰二肼分光光度法</w:t>
            </w:r>
          </w:p>
        </w:tc>
        <w:tc>
          <w:tcPr>
            <w:tcW w:w="1098" w:type="pct"/>
            <w:vMerge w:val="restart"/>
            <w:vAlign w:val="center"/>
          </w:tcPr>
          <w:p w14:paraId="3D44AFF1">
            <w:pPr>
              <w:widowControl/>
              <w:jc w:val="center"/>
              <w:textAlignment w:val="center"/>
              <w:rPr>
                <w:rFonts w:ascii="Times New Roman"/>
                <w:sz w:val="21"/>
                <w:szCs w:val="21"/>
              </w:rPr>
            </w:pPr>
            <w:r>
              <w:rPr>
                <w:rFonts w:ascii="Times New Roman"/>
                <w:sz w:val="21"/>
                <w:szCs w:val="21"/>
              </w:rPr>
              <w:t>T600B紫外可见分光光度计（HBHF/YQ133）</w:t>
            </w:r>
          </w:p>
        </w:tc>
        <w:tc>
          <w:tcPr>
            <w:tcW w:w="739" w:type="pct"/>
            <w:vAlign w:val="center"/>
          </w:tcPr>
          <w:p w14:paraId="3AD57D0F">
            <w:pPr>
              <w:jc w:val="center"/>
              <w:rPr>
                <w:rFonts w:ascii="Times New Roman"/>
                <w:sz w:val="21"/>
                <w:szCs w:val="21"/>
              </w:rPr>
            </w:pPr>
            <w:r>
              <w:rPr>
                <w:rFonts w:ascii="Times New Roman"/>
                <w:sz w:val="21"/>
                <w:szCs w:val="21"/>
              </w:rPr>
              <w:t>0.0</w:t>
            </w:r>
            <w:r>
              <w:rPr>
                <w:rFonts w:hint="eastAsia" w:ascii="Times New Roman"/>
                <w:sz w:val="21"/>
                <w:szCs w:val="21"/>
              </w:rPr>
              <w:t>04</w:t>
            </w:r>
            <w:r>
              <w:rPr>
                <w:rFonts w:ascii="Times New Roman"/>
                <w:sz w:val="21"/>
                <w:szCs w:val="21"/>
              </w:rPr>
              <w:t>mg/L</w:t>
            </w:r>
          </w:p>
        </w:tc>
      </w:tr>
      <w:tr w14:paraId="0ABF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294986BB">
            <w:pPr>
              <w:jc w:val="center"/>
              <w:rPr>
                <w:rFonts w:ascii="Times New Roman"/>
                <w:sz w:val="21"/>
                <w:szCs w:val="21"/>
              </w:rPr>
            </w:pPr>
            <w:r>
              <w:rPr>
                <w:rFonts w:ascii="Times New Roman"/>
                <w:sz w:val="21"/>
                <w:szCs w:val="21"/>
              </w:rPr>
              <w:t>4</w:t>
            </w:r>
          </w:p>
        </w:tc>
        <w:tc>
          <w:tcPr>
            <w:tcW w:w="670" w:type="pct"/>
            <w:vAlign w:val="center"/>
          </w:tcPr>
          <w:p w14:paraId="5EFAD35B">
            <w:pPr>
              <w:widowControl/>
              <w:jc w:val="center"/>
              <w:textAlignment w:val="center"/>
              <w:rPr>
                <w:rFonts w:ascii="Times New Roman"/>
                <w:sz w:val="21"/>
                <w:szCs w:val="21"/>
              </w:rPr>
            </w:pPr>
            <w:r>
              <w:rPr>
                <w:rFonts w:hint="eastAsia" w:ascii="Times New Roman"/>
                <w:kern w:val="0"/>
                <w:sz w:val="21"/>
                <w:szCs w:val="21"/>
              </w:rPr>
              <w:t>石油类</w:t>
            </w:r>
          </w:p>
        </w:tc>
        <w:tc>
          <w:tcPr>
            <w:tcW w:w="2109" w:type="pct"/>
            <w:vAlign w:val="center"/>
          </w:tcPr>
          <w:p w14:paraId="5837E39C">
            <w:pPr>
              <w:widowControl/>
              <w:jc w:val="center"/>
              <w:textAlignment w:val="center"/>
              <w:rPr>
                <w:rFonts w:ascii="Times New Roman"/>
                <w:sz w:val="21"/>
                <w:szCs w:val="21"/>
              </w:rPr>
            </w:pPr>
            <w:r>
              <w:rPr>
                <w:rFonts w:ascii="Times New Roman"/>
                <w:kern w:val="0"/>
                <w:sz w:val="21"/>
                <w:szCs w:val="21"/>
              </w:rPr>
              <w:t>《水质石油类的测定 紫外分光光度法（试行）》HJ 970-2018</w:t>
            </w:r>
          </w:p>
        </w:tc>
        <w:tc>
          <w:tcPr>
            <w:tcW w:w="1098" w:type="pct"/>
            <w:vMerge w:val="continue"/>
            <w:vAlign w:val="center"/>
          </w:tcPr>
          <w:p w14:paraId="17199DAC">
            <w:pPr>
              <w:widowControl/>
              <w:jc w:val="center"/>
              <w:textAlignment w:val="center"/>
              <w:rPr>
                <w:rFonts w:ascii="Times New Roman"/>
                <w:sz w:val="21"/>
                <w:szCs w:val="21"/>
              </w:rPr>
            </w:pPr>
          </w:p>
        </w:tc>
        <w:tc>
          <w:tcPr>
            <w:tcW w:w="739" w:type="pct"/>
            <w:vAlign w:val="center"/>
          </w:tcPr>
          <w:p w14:paraId="00DC7FA0">
            <w:pPr>
              <w:jc w:val="center"/>
              <w:rPr>
                <w:rFonts w:ascii="Times New Roman"/>
                <w:sz w:val="21"/>
                <w:szCs w:val="21"/>
              </w:rPr>
            </w:pPr>
            <w:r>
              <w:rPr>
                <w:rFonts w:ascii="Times New Roman"/>
                <w:sz w:val="21"/>
                <w:szCs w:val="21"/>
              </w:rPr>
              <w:t>0.0</w:t>
            </w:r>
            <w:r>
              <w:rPr>
                <w:rFonts w:hint="eastAsia" w:ascii="Times New Roman"/>
                <w:sz w:val="21"/>
                <w:szCs w:val="21"/>
              </w:rPr>
              <w:t>1</w:t>
            </w:r>
            <w:r>
              <w:rPr>
                <w:rFonts w:ascii="Times New Roman"/>
                <w:sz w:val="21"/>
                <w:szCs w:val="21"/>
              </w:rPr>
              <w:t>mg/L</w:t>
            </w:r>
          </w:p>
        </w:tc>
      </w:tr>
      <w:tr w14:paraId="2082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2919D3D5">
            <w:pPr>
              <w:jc w:val="center"/>
              <w:rPr>
                <w:rFonts w:ascii="Times New Roman"/>
                <w:sz w:val="21"/>
                <w:szCs w:val="21"/>
              </w:rPr>
            </w:pPr>
            <w:r>
              <w:rPr>
                <w:rFonts w:ascii="Times New Roman"/>
                <w:sz w:val="21"/>
                <w:szCs w:val="21"/>
              </w:rPr>
              <w:t>5</w:t>
            </w:r>
          </w:p>
        </w:tc>
        <w:tc>
          <w:tcPr>
            <w:tcW w:w="670" w:type="pct"/>
            <w:vAlign w:val="center"/>
          </w:tcPr>
          <w:p w14:paraId="4FF14503">
            <w:pPr>
              <w:widowControl/>
              <w:jc w:val="center"/>
              <w:textAlignment w:val="center"/>
              <w:rPr>
                <w:rFonts w:ascii="Times New Roman"/>
                <w:sz w:val="21"/>
                <w:szCs w:val="21"/>
              </w:rPr>
            </w:pPr>
            <w:r>
              <w:rPr>
                <w:rFonts w:hint="eastAsia" w:ascii="Times New Roman"/>
                <w:kern w:val="0"/>
                <w:sz w:val="21"/>
                <w:szCs w:val="21"/>
              </w:rPr>
              <w:t>pH值</w:t>
            </w:r>
          </w:p>
        </w:tc>
        <w:tc>
          <w:tcPr>
            <w:tcW w:w="2109" w:type="pct"/>
            <w:vAlign w:val="center"/>
          </w:tcPr>
          <w:p w14:paraId="1CCD3EDB">
            <w:pPr>
              <w:widowControl/>
              <w:jc w:val="center"/>
              <w:textAlignment w:val="center"/>
              <w:rPr>
                <w:rFonts w:ascii="Times New Roman"/>
                <w:kern w:val="0"/>
                <w:sz w:val="21"/>
                <w:szCs w:val="21"/>
              </w:rPr>
            </w:pPr>
            <w:r>
              <w:rPr>
                <w:rFonts w:ascii="Times New Roman"/>
                <w:kern w:val="0"/>
                <w:sz w:val="21"/>
                <w:szCs w:val="21"/>
              </w:rPr>
              <w:t>《水质 pH 值的测定电极法》</w:t>
            </w:r>
          </w:p>
          <w:p w14:paraId="44FE54D6">
            <w:pPr>
              <w:widowControl/>
              <w:jc w:val="center"/>
              <w:textAlignment w:val="center"/>
              <w:rPr>
                <w:rFonts w:ascii="Times New Roman"/>
                <w:sz w:val="21"/>
                <w:szCs w:val="21"/>
              </w:rPr>
            </w:pPr>
            <w:r>
              <w:rPr>
                <w:rFonts w:ascii="Times New Roman"/>
                <w:kern w:val="0"/>
                <w:sz w:val="21"/>
                <w:szCs w:val="21"/>
              </w:rPr>
              <w:t>HJ 1147-2020</w:t>
            </w:r>
          </w:p>
        </w:tc>
        <w:tc>
          <w:tcPr>
            <w:tcW w:w="1098" w:type="pct"/>
            <w:vAlign w:val="center"/>
          </w:tcPr>
          <w:p w14:paraId="45076BC7">
            <w:pPr>
              <w:widowControl/>
              <w:jc w:val="center"/>
              <w:textAlignment w:val="center"/>
              <w:rPr>
                <w:rFonts w:ascii="Times New Roman"/>
                <w:sz w:val="21"/>
                <w:szCs w:val="21"/>
              </w:rPr>
            </w:pPr>
            <w:r>
              <w:rPr>
                <w:rFonts w:ascii="Times New Roman"/>
                <w:kern w:val="0"/>
                <w:sz w:val="21"/>
                <w:szCs w:val="21"/>
              </w:rPr>
              <w:t>PHBJ-260 便携pH计（HBHF/YQ065）</w:t>
            </w:r>
          </w:p>
        </w:tc>
        <w:tc>
          <w:tcPr>
            <w:tcW w:w="739" w:type="pct"/>
            <w:vAlign w:val="center"/>
          </w:tcPr>
          <w:p w14:paraId="7A699064">
            <w:pPr>
              <w:jc w:val="center"/>
              <w:rPr>
                <w:rFonts w:ascii="Times New Roman"/>
                <w:sz w:val="21"/>
                <w:szCs w:val="21"/>
              </w:rPr>
            </w:pPr>
            <w:r>
              <w:rPr>
                <w:rFonts w:ascii="Times New Roman"/>
                <w:sz w:val="21"/>
                <w:szCs w:val="21"/>
              </w:rPr>
              <w:t>—</w:t>
            </w:r>
          </w:p>
        </w:tc>
      </w:tr>
      <w:tr w14:paraId="1AA2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20895AD5">
            <w:pPr>
              <w:jc w:val="center"/>
              <w:rPr>
                <w:rFonts w:ascii="Times New Roman"/>
                <w:sz w:val="21"/>
                <w:szCs w:val="21"/>
              </w:rPr>
            </w:pPr>
            <w:r>
              <w:rPr>
                <w:rFonts w:ascii="Times New Roman"/>
                <w:sz w:val="21"/>
                <w:szCs w:val="21"/>
              </w:rPr>
              <w:t>6</w:t>
            </w:r>
          </w:p>
        </w:tc>
        <w:tc>
          <w:tcPr>
            <w:tcW w:w="670" w:type="pct"/>
            <w:vAlign w:val="center"/>
          </w:tcPr>
          <w:p w14:paraId="6F80FE70">
            <w:pPr>
              <w:widowControl/>
              <w:jc w:val="center"/>
              <w:textAlignment w:val="center"/>
              <w:rPr>
                <w:rFonts w:ascii="Times New Roman"/>
                <w:sz w:val="21"/>
                <w:szCs w:val="21"/>
              </w:rPr>
            </w:pPr>
            <w:r>
              <w:rPr>
                <w:rFonts w:ascii="Times New Roman"/>
                <w:kern w:val="0"/>
                <w:sz w:val="21"/>
                <w:szCs w:val="21"/>
              </w:rPr>
              <w:t>总大肠菌群</w:t>
            </w:r>
          </w:p>
        </w:tc>
        <w:tc>
          <w:tcPr>
            <w:tcW w:w="2109" w:type="pct"/>
            <w:vAlign w:val="center"/>
          </w:tcPr>
          <w:p w14:paraId="79C7B20C">
            <w:pPr>
              <w:widowControl/>
              <w:jc w:val="center"/>
              <w:textAlignment w:val="center"/>
              <w:rPr>
                <w:rFonts w:ascii="Times New Roman"/>
                <w:kern w:val="0"/>
                <w:sz w:val="21"/>
                <w:szCs w:val="21"/>
              </w:rPr>
            </w:pPr>
            <w:r>
              <w:rPr>
                <w:rFonts w:ascii="Times New Roman"/>
                <w:kern w:val="0"/>
                <w:sz w:val="21"/>
                <w:szCs w:val="21"/>
              </w:rPr>
              <w:t>《水质 总大肠菌群和粪大肠菌群的测定 纸片快速法》HJ 755-2015</w:t>
            </w:r>
          </w:p>
        </w:tc>
        <w:tc>
          <w:tcPr>
            <w:tcW w:w="1098" w:type="pct"/>
            <w:vAlign w:val="center"/>
          </w:tcPr>
          <w:p w14:paraId="4B705319">
            <w:pPr>
              <w:widowControl/>
              <w:jc w:val="center"/>
              <w:textAlignment w:val="center"/>
              <w:rPr>
                <w:rFonts w:ascii="Times New Roman"/>
                <w:sz w:val="21"/>
                <w:szCs w:val="21"/>
              </w:rPr>
            </w:pPr>
            <w:r>
              <w:rPr>
                <w:rFonts w:ascii="Times New Roman"/>
                <w:kern w:val="0"/>
                <w:sz w:val="21"/>
                <w:szCs w:val="21"/>
              </w:rPr>
              <w:t>SPX-250 生化（霉菌）培养箱（HBHF/YQ323）</w:t>
            </w:r>
          </w:p>
        </w:tc>
        <w:tc>
          <w:tcPr>
            <w:tcW w:w="739" w:type="pct"/>
            <w:vAlign w:val="center"/>
          </w:tcPr>
          <w:p w14:paraId="4CD3ED6D">
            <w:pPr>
              <w:jc w:val="center"/>
              <w:rPr>
                <w:rFonts w:ascii="Times New Roman"/>
                <w:sz w:val="21"/>
                <w:szCs w:val="21"/>
              </w:rPr>
            </w:pPr>
            <w:r>
              <w:rPr>
                <w:rFonts w:ascii="Times New Roman"/>
                <w:sz w:val="21"/>
                <w:szCs w:val="21"/>
              </w:rPr>
              <w:t>20MPN/L</w:t>
            </w:r>
          </w:p>
        </w:tc>
      </w:tr>
      <w:tr w14:paraId="15CC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381" w:type="pct"/>
            <w:vAlign w:val="center"/>
          </w:tcPr>
          <w:p w14:paraId="44521191">
            <w:pPr>
              <w:jc w:val="center"/>
              <w:rPr>
                <w:rFonts w:ascii="Times New Roman"/>
                <w:sz w:val="21"/>
                <w:szCs w:val="21"/>
              </w:rPr>
            </w:pPr>
            <w:r>
              <w:rPr>
                <w:rFonts w:ascii="Times New Roman"/>
                <w:sz w:val="21"/>
                <w:szCs w:val="21"/>
              </w:rPr>
              <w:t>7</w:t>
            </w:r>
          </w:p>
        </w:tc>
        <w:tc>
          <w:tcPr>
            <w:tcW w:w="670" w:type="pct"/>
            <w:vAlign w:val="center"/>
          </w:tcPr>
          <w:p w14:paraId="5EF0AB81">
            <w:pPr>
              <w:widowControl/>
              <w:jc w:val="center"/>
              <w:textAlignment w:val="center"/>
              <w:rPr>
                <w:rFonts w:ascii="Times New Roman"/>
                <w:sz w:val="21"/>
                <w:szCs w:val="21"/>
              </w:rPr>
            </w:pPr>
            <w:r>
              <w:rPr>
                <w:rFonts w:ascii="Times New Roman"/>
                <w:kern w:val="0"/>
                <w:sz w:val="21"/>
                <w:szCs w:val="21"/>
              </w:rPr>
              <w:t>菌落总数</w:t>
            </w:r>
          </w:p>
        </w:tc>
        <w:tc>
          <w:tcPr>
            <w:tcW w:w="2109" w:type="pct"/>
            <w:vAlign w:val="center"/>
          </w:tcPr>
          <w:p w14:paraId="3B9AF1EB">
            <w:pPr>
              <w:widowControl/>
              <w:jc w:val="center"/>
              <w:textAlignment w:val="center"/>
              <w:rPr>
                <w:rFonts w:ascii="Times New Roman"/>
                <w:sz w:val="21"/>
                <w:szCs w:val="21"/>
              </w:rPr>
            </w:pPr>
            <w:r>
              <w:rPr>
                <w:rFonts w:ascii="Times New Roman"/>
                <w:sz w:val="21"/>
                <w:szCs w:val="21"/>
              </w:rPr>
              <w:t>《生活饮用水标准检验方法 第 12 部分：微生物指标》GB/T 5750.12-2023 4.1</w:t>
            </w:r>
          </w:p>
          <w:p w14:paraId="220CB560">
            <w:pPr>
              <w:widowControl/>
              <w:jc w:val="center"/>
              <w:textAlignment w:val="center"/>
              <w:rPr>
                <w:rFonts w:ascii="Times New Roman"/>
                <w:sz w:val="21"/>
                <w:szCs w:val="21"/>
              </w:rPr>
            </w:pPr>
            <w:r>
              <w:rPr>
                <w:rFonts w:ascii="Times New Roman"/>
                <w:sz w:val="21"/>
                <w:szCs w:val="21"/>
              </w:rPr>
              <w:t>平皿计数法</w:t>
            </w:r>
          </w:p>
        </w:tc>
        <w:tc>
          <w:tcPr>
            <w:tcW w:w="1098" w:type="pct"/>
            <w:vAlign w:val="center"/>
          </w:tcPr>
          <w:p w14:paraId="5A7070BD">
            <w:pPr>
              <w:widowControl/>
              <w:jc w:val="center"/>
              <w:textAlignment w:val="center"/>
              <w:rPr>
                <w:rFonts w:ascii="Times New Roman"/>
                <w:sz w:val="21"/>
                <w:szCs w:val="21"/>
              </w:rPr>
            </w:pPr>
            <w:r>
              <w:rPr>
                <w:rFonts w:ascii="Times New Roman"/>
                <w:kern w:val="0"/>
                <w:sz w:val="21"/>
                <w:szCs w:val="21"/>
              </w:rPr>
              <w:t>SPX-250 生化（霉菌）培养箱（HBHF/YQ327）</w:t>
            </w:r>
          </w:p>
        </w:tc>
        <w:tc>
          <w:tcPr>
            <w:tcW w:w="739" w:type="pct"/>
            <w:vAlign w:val="center"/>
          </w:tcPr>
          <w:p w14:paraId="313B4719">
            <w:pPr>
              <w:jc w:val="center"/>
              <w:rPr>
                <w:rFonts w:ascii="Times New Roman"/>
                <w:sz w:val="21"/>
                <w:szCs w:val="21"/>
              </w:rPr>
            </w:pPr>
            <w:r>
              <w:rPr>
                <w:rFonts w:ascii="Times New Roman"/>
                <w:sz w:val="21"/>
                <w:szCs w:val="21"/>
              </w:rPr>
              <w:t>—</w:t>
            </w:r>
          </w:p>
        </w:tc>
      </w:tr>
      <w:tr w14:paraId="153D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blHeader/>
          <w:jc w:val="center"/>
        </w:trPr>
        <w:tc>
          <w:tcPr>
            <w:tcW w:w="381" w:type="pct"/>
            <w:vAlign w:val="center"/>
          </w:tcPr>
          <w:p w14:paraId="194B01D0">
            <w:pPr>
              <w:jc w:val="center"/>
              <w:rPr>
                <w:rFonts w:ascii="Times New Roman"/>
                <w:sz w:val="21"/>
                <w:szCs w:val="21"/>
              </w:rPr>
            </w:pPr>
            <w:r>
              <w:rPr>
                <w:rFonts w:ascii="Times New Roman"/>
                <w:sz w:val="21"/>
                <w:szCs w:val="21"/>
              </w:rPr>
              <w:t>8</w:t>
            </w:r>
          </w:p>
        </w:tc>
        <w:tc>
          <w:tcPr>
            <w:tcW w:w="670" w:type="pct"/>
            <w:vAlign w:val="center"/>
          </w:tcPr>
          <w:p w14:paraId="6503C0FE">
            <w:pPr>
              <w:widowControl/>
              <w:jc w:val="center"/>
              <w:textAlignment w:val="center"/>
              <w:rPr>
                <w:rFonts w:ascii="Times New Roman"/>
                <w:sz w:val="21"/>
                <w:szCs w:val="21"/>
              </w:rPr>
            </w:pPr>
            <w:r>
              <w:rPr>
                <w:rFonts w:hint="eastAsia" w:ascii="Times New Roman"/>
                <w:kern w:val="0"/>
                <w:sz w:val="21"/>
                <w:szCs w:val="21"/>
              </w:rPr>
              <w:t>铁</w:t>
            </w:r>
          </w:p>
        </w:tc>
        <w:tc>
          <w:tcPr>
            <w:tcW w:w="2109" w:type="pct"/>
            <w:vMerge w:val="restart"/>
            <w:vAlign w:val="center"/>
          </w:tcPr>
          <w:p w14:paraId="32F5414D">
            <w:pPr>
              <w:widowControl/>
              <w:jc w:val="center"/>
              <w:textAlignment w:val="center"/>
              <w:rPr>
                <w:rFonts w:ascii="Times New Roman"/>
                <w:sz w:val="21"/>
                <w:szCs w:val="21"/>
              </w:rPr>
            </w:pPr>
            <w:r>
              <w:rPr>
                <w:rFonts w:ascii="Times New Roman"/>
                <w:sz w:val="21"/>
                <w:szCs w:val="21"/>
              </w:rPr>
              <w:t>《水质 铁、锰的测定 火焰原子吸收分光光度法》GB/T 11911-1989</w:t>
            </w:r>
          </w:p>
        </w:tc>
        <w:tc>
          <w:tcPr>
            <w:tcW w:w="1098" w:type="pct"/>
            <w:vMerge w:val="restart"/>
            <w:vAlign w:val="center"/>
          </w:tcPr>
          <w:p w14:paraId="5C798B84">
            <w:pPr>
              <w:widowControl/>
              <w:jc w:val="center"/>
              <w:textAlignment w:val="center"/>
              <w:rPr>
                <w:rFonts w:ascii="Times New Roman"/>
                <w:sz w:val="21"/>
                <w:szCs w:val="21"/>
              </w:rPr>
            </w:pPr>
            <w:r>
              <w:rPr>
                <w:rFonts w:hint="eastAsia" w:ascii="Times New Roman"/>
                <w:sz w:val="21"/>
                <w:szCs w:val="21"/>
              </w:rPr>
              <w:t>TAS-990AFG 原子吸收分光光度计（HBHF/YQ106）</w:t>
            </w:r>
          </w:p>
        </w:tc>
        <w:tc>
          <w:tcPr>
            <w:tcW w:w="739" w:type="pct"/>
            <w:vAlign w:val="center"/>
          </w:tcPr>
          <w:p w14:paraId="7C4102BB">
            <w:pPr>
              <w:jc w:val="center"/>
              <w:rPr>
                <w:rFonts w:ascii="Times New Roman"/>
                <w:sz w:val="21"/>
                <w:szCs w:val="21"/>
              </w:rPr>
            </w:pPr>
            <w:r>
              <w:rPr>
                <w:rFonts w:hint="eastAsia" w:ascii="Times New Roman"/>
                <w:sz w:val="21"/>
                <w:szCs w:val="21"/>
              </w:rPr>
              <w:t>0.03</w:t>
            </w:r>
            <w:r>
              <w:rPr>
                <w:rFonts w:ascii="Times New Roman"/>
                <w:sz w:val="21"/>
                <w:szCs w:val="21"/>
              </w:rPr>
              <w:t>mg/L</w:t>
            </w:r>
          </w:p>
        </w:tc>
      </w:tr>
      <w:tr w14:paraId="3615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blHeader/>
          <w:jc w:val="center"/>
        </w:trPr>
        <w:tc>
          <w:tcPr>
            <w:tcW w:w="381" w:type="pct"/>
            <w:vAlign w:val="center"/>
          </w:tcPr>
          <w:p w14:paraId="76DB931B">
            <w:pPr>
              <w:jc w:val="center"/>
              <w:rPr>
                <w:rFonts w:ascii="Times New Roman"/>
                <w:sz w:val="21"/>
                <w:szCs w:val="21"/>
              </w:rPr>
            </w:pPr>
            <w:r>
              <w:rPr>
                <w:rFonts w:ascii="Times New Roman"/>
                <w:sz w:val="21"/>
                <w:szCs w:val="21"/>
              </w:rPr>
              <w:t>9</w:t>
            </w:r>
          </w:p>
        </w:tc>
        <w:tc>
          <w:tcPr>
            <w:tcW w:w="670" w:type="pct"/>
            <w:vAlign w:val="center"/>
          </w:tcPr>
          <w:p w14:paraId="518DF9EE">
            <w:pPr>
              <w:widowControl/>
              <w:jc w:val="center"/>
              <w:textAlignment w:val="center"/>
              <w:rPr>
                <w:rFonts w:ascii="Times New Roman"/>
                <w:sz w:val="21"/>
                <w:szCs w:val="21"/>
              </w:rPr>
            </w:pPr>
            <w:r>
              <w:rPr>
                <w:rFonts w:ascii="Times New Roman"/>
                <w:kern w:val="0"/>
                <w:sz w:val="21"/>
                <w:szCs w:val="21"/>
              </w:rPr>
              <w:t>锰</w:t>
            </w:r>
          </w:p>
        </w:tc>
        <w:tc>
          <w:tcPr>
            <w:tcW w:w="2109" w:type="pct"/>
            <w:vMerge w:val="continue"/>
            <w:vAlign w:val="center"/>
          </w:tcPr>
          <w:p w14:paraId="6AEFA603">
            <w:pPr>
              <w:widowControl/>
              <w:jc w:val="center"/>
              <w:textAlignment w:val="center"/>
              <w:rPr>
                <w:rFonts w:ascii="Times New Roman"/>
                <w:sz w:val="21"/>
                <w:szCs w:val="21"/>
              </w:rPr>
            </w:pPr>
          </w:p>
        </w:tc>
        <w:tc>
          <w:tcPr>
            <w:tcW w:w="1098" w:type="pct"/>
            <w:vMerge w:val="continue"/>
            <w:vAlign w:val="center"/>
          </w:tcPr>
          <w:p w14:paraId="52769357">
            <w:pPr>
              <w:jc w:val="center"/>
              <w:rPr>
                <w:rFonts w:ascii="Times New Roman"/>
                <w:sz w:val="21"/>
                <w:szCs w:val="21"/>
              </w:rPr>
            </w:pPr>
          </w:p>
        </w:tc>
        <w:tc>
          <w:tcPr>
            <w:tcW w:w="739" w:type="pct"/>
            <w:vAlign w:val="center"/>
          </w:tcPr>
          <w:p w14:paraId="59AA5625">
            <w:pPr>
              <w:jc w:val="center"/>
              <w:rPr>
                <w:rFonts w:ascii="Times New Roman"/>
                <w:sz w:val="21"/>
                <w:szCs w:val="21"/>
              </w:rPr>
            </w:pPr>
            <w:r>
              <w:rPr>
                <w:rFonts w:hint="eastAsia" w:ascii="Times New Roman"/>
                <w:sz w:val="21"/>
                <w:szCs w:val="21"/>
              </w:rPr>
              <w:t>0.01</w:t>
            </w:r>
            <w:r>
              <w:rPr>
                <w:rFonts w:ascii="Times New Roman"/>
                <w:sz w:val="21"/>
                <w:szCs w:val="21"/>
              </w:rPr>
              <w:t>mg/L</w:t>
            </w:r>
          </w:p>
        </w:tc>
      </w:tr>
      <w:tr w14:paraId="021A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5AAAFB60">
            <w:pPr>
              <w:jc w:val="center"/>
              <w:rPr>
                <w:rFonts w:ascii="Times New Roman"/>
                <w:sz w:val="21"/>
                <w:szCs w:val="21"/>
              </w:rPr>
            </w:pPr>
            <w:r>
              <w:rPr>
                <w:rFonts w:ascii="Times New Roman"/>
                <w:sz w:val="21"/>
                <w:szCs w:val="21"/>
              </w:rPr>
              <w:t>10</w:t>
            </w:r>
          </w:p>
        </w:tc>
        <w:tc>
          <w:tcPr>
            <w:tcW w:w="670" w:type="pct"/>
            <w:vAlign w:val="center"/>
          </w:tcPr>
          <w:p w14:paraId="54B0FC53">
            <w:pPr>
              <w:widowControl/>
              <w:jc w:val="center"/>
              <w:textAlignment w:val="center"/>
              <w:rPr>
                <w:rFonts w:ascii="Times New Roman"/>
                <w:kern w:val="0"/>
                <w:sz w:val="21"/>
                <w:szCs w:val="21"/>
              </w:rPr>
            </w:pPr>
            <w:r>
              <w:rPr>
                <w:rFonts w:ascii="Times New Roman"/>
                <w:kern w:val="0"/>
                <w:sz w:val="21"/>
                <w:szCs w:val="21"/>
              </w:rPr>
              <w:t>钠</w:t>
            </w:r>
          </w:p>
        </w:tc>
        <w:tc>
          <w:tcPr>
            <w:tcW w:w="2109" w:type="pct"/>
            <w:vAlign w:val="center"/>
          </w:tcPr>
          <w:p w14:paraId="62EF3BBF">
            <w:pPr>
              <w:widowControl/>
              <w:jc w:val="center"/>
              <w:textAlignment w:val="center"/>
              <w:rPr>
                <w:rFonts w:ascii="Times New Roman"/>
                <w:sz w:val="21"/>
                <w:szCs w:val="21"/>
              </w:rPr>
            </w:pPr>
            <w:r>
              <w:rPr>
                <w:rFonts w:ascii="Times New Roman"/>
                <w:sz w:val="21"/>
                <w:szCs w:val="21"/>
              </w:rPr>
              <w:t>《水质 钾和钠的测定 火焰原子吸收分光光度法》GB/T 11904-1989</w:t>
            </w:r>
          </w:p>
        </w:tc>
        <w:tc>
          <w:tcPr>
            <w:tcW w:w="1098" w:type="pct"/>
            <w:vMerge w:val="continue"/>
            <w:vAlign w:val="center"/>
          </w:tcPr>
          <w:p w14:paraId="07E550C5">
            <w:pPr>
              <w:widowControl/>
              <w:jc w:val="center"/>
              <w:textAlignment w:val="center"/>
              <w:rPr>
                <w:rFonts w:ascii="Times New Roman"/>
                <w:sz w:val="21"/>
                <w:szCs w:val="21"/>
              </w:rPr>
            </w:pPr>
          </w:p>
        </w:tc>
        <w:tc>
          <w:tcPr>
            <w:tcW w:w="739" w:type="pct"/>
            <w:vAlign w:val="center"/>
          </w:tcPr>
          <w:p w14:paraId="6C46524A">
            <w:pPr>
              <w:jc w:val="center"/>
              <w:rPr>
                <w:rFonts w:ascii="Times New Roman"/>
                <w:sz w:val="21"/>
                <w:szCs w:val="21"/>
              </w:rPr>
            </w:pPr>
            <w:r>
              <w:rPr>
                <w:rFonts w:hint="eastAsia" w:ascii="Times New Roman"/>
                <w:sz w:val="21"/>
                <w:szCs w:val="21"/>
              </w:rPr>
              <w:t>0.01</w:t>
            </w:r>
            <w:r>
              <w:rPr>
                <w:rFonts w:ascii="Times New Roman"/>
                <w:sz w:val="21"/>
                <w:szCs w:val="21"/>
              </w:rPr>
              <w:t>mg/L</w:t>
            </w:r>
          </w:p>
        </w:tc>
      </w:tr>
      <w:tr w14:paraId="452C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1F8B949A">
            <w:pPr>
              <w:jc w:val="center"/>
              <w:rPr>
                <w:rFonts w:ascii="Times New Roman"/>
                <w:sz w:val="21"/>
                <w:szCs w:val="21"/>
              </w:rPr>
            </w:pPr>
            <w:r>
              <w:rPr>
                <w:rFonts w:ascii="Times New Roman"/>
                <w:sz w:val="21"/>
                <w:szCs w:val="21"/>
              </w:rPr>
              <w:t>11</w:t>
            </w:r>
          </w:p>
        </w:tc>
        <w:tc>
          <w:tcPr>
            <w:tcW w:w="670" w:type="pct"/>
            <w:vAlign w:val="center"/>
          </w:tcPr>
          <w:p w14:paraId="2239E8F5">
            <w:pPr>
              <w:widowControl/>
              <w:jc w:val="center"/>
              <w:textAlignment w:val="center"/>
              <w:rPr>
                <w:rFonts w:ascii="Times New Roman"/>
                <w:kern w:val="0"/>
                <w:sz w:val="21"/>
                <w:szCs w:val="21"/>
              </w:rPr>
            </w:pPr>
            <w:r>
              <w:rPr>
                <w:rFonts w:ascii="Times New Roman"/>
                <w:kern w:val="0"/>
                <w:sz w:val="21"/>
                <w:szCs w:val="21"/>
              </w:rPr>
              <w:t>镉</w:t>
            </w:r>
          </w:p>
        </w:tc>
        <w:tc>
          <w:tcPr>
            <w:tcW w:w="2109" w:type="pct"/>
            <w:vMerge w:val="restart"/>
            <w:vAlign w:val="center"/>
          </w:tcPr>
          <w:p w14:paraId="5E26E382">
            <w:pPr>
              <w:widowControl/>
              <w:jc w:val="center"/>
              <w:textAlignment w:val="center"/>
              <w:rPr>
                <w:rFonts w:ascii="Times New Roman"/>
                <w:sz w:val="21"/>
                <w:szCs w:val="21"/>
              </w:rPr>
            </w:pPr>
            <w:r>
              <w:rPr>
                <w:rFonts w:ascii="Times New Roman"/>
                <w:sz w:val="21"/>
                <w:szCs w:val="21"/>
              </w:rPr>
              <w:t>《水质 铜、锌、铅、镉的测定 原子吸收分光光度法》GB/T 7475-1987第二部分 螯合萃取法</w:t>
            </w:r>
          </w:p>
        </w:tc>
        <w:tc>
          <w:tcPr>
            <w:tcW w:w="1098" w:type="pct"/>
            <w:vMerge w:val="continue"/>
            <w:vAlign w:val="center"/>
          </w:tcPr>
          <w:p w14:paraId="2995AF47">
            <w:pPr>
              <w:widowControl/>
              <w:jc w:val="center"/>
              <w:textAlignment w:val="center"/>
              <w:rPr>
                <w:rFonts w:ascii="Times New Roman"/>
                <w:sz w:val="21"/>
                <w:szCs w:val="21"/>
              </w:rPr>
            </w:pPr>
          </w:p>
        </w:tc>
        <w:tc>
          <w:tcPr>
            <w:tcW w:w="739" w:type="pct"/>
            <w:vAlign w:val="center"/>
          </w:tcPr>
          <w:p w14:paraId="3CE81D36">
            <w:pPr>
              <w:jc w:val="center"/>
              <w:rPr>
                <w:rFonts w:ascii="Times New Roman"/>
                <w:sz w:val="21"/>
                <w:szCs w:val="21"/>
              </w:rPr>
            </w:pPr>
            <w:r>
              <w:rPr>
                <w:rFonts w:ascii="Times New Roman"/>
                <w:sz w:val="21"/>
                <w:szCs w:val="21"/>
              </w:rPr>
              <w:t>1µg/L</w:t>
            </w:r>
          </w:p>
        </w:tc>
      </w:tr>
      <w:tr w14:paraId="7FD6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blHeader/>
          <w:jc w:val="center"/>
        </w:trPr>
        <w:tc>
          <w:tcPr>
            <w:tcW w:w="381" w:type="pct"/>
            <w:vAlign w:val="center"/>
          </w:tcPr>
          <w:p w14:paraId="536E5D9F">
            <w:pPr>
              <w:jc w:val="center"/>
              <w:rPr>
                <w:rFonts w:ascii="Times New Roman"/>
                <w:sz w:val="21"/>
                <w:szCs w:val="21"/>
              </w:rPr>
            </w:pPr>
            <w:r>
              <w:rPr>
                <w:rFonts w:ascii="Times New Roman"/>
                <w:sz w:val="21"/>
                <w:szCs w:val="21"/>
              </w:rPr>
              <w:t>12</w:t>
            </w:r>
          </w:p>
        </w:tc>
        <w:tc>
          <w:tcPr>
            <w:tcW w:w="670" w:type="pct"/>
            <w:vAlign w:val="center"/>
          </w:tcPr>
          <w:p w14:paraId="1FABC89C">
            <w:pPr>
              <w:widowControl/>
              <w:jc w:val="center"/>
              <w:textAlignment w:val="center"/>
              <w:rPr>
                <w:rFonts w:ascii="Times New Roman"/>
                <w:sz w:val="21"/>
                <w:szCs w:val="21"/>
              </w:rPr>
            </w:pPr>
            <w:r>
              <w:rPr>
                <w:rFonts w:ascii="Times New Roman"/>
                <w:sz w:val="21"/>
                <w:szCs w:val="21"/>
              </w:rPr>
              <w:t>铅</w:t>
            </w:r>
          </w:p>
        </w:tc>
        <w:tc>
          <w:tcPr>
            <w:tcW w:w="2109" w:type="pct"/>
            <w:vMerge w:val="continue"/>
            <w:vAlign w:val="center"/>
          </w:tcPr>
          <w:p w14:paraId="07B83EE1">
            <w:pPr>
              <w:widowControl/>
              <w:jc w:val="center"/>
              <w:textAlignment w:val="center"/>
              <w:rPr>
                <w:rFonts w:ascii="Times New Roman"/>
                <w:sz w:val="21"/>
                <w:szCs w:val="21"/>
              </w:rPr>
            </w:pPr>
          </w:p>
        </w:tc>
        <w:tc>
          <w:tcPr>
            <w:tcW w:w="1098" w:type="pct"/>
            <w:vMerge w:val="continue"/>
            <w:vAlign w:val="center"/>
          </w:tcPr>
          <w:p w14:paraId="231B14E2">
            <w:pPr>
              <w:widowControl/>
              <w:jc w:val="center"/>
              <w:textAlignment w:val="center"/>
              <w:rPr>
                <w:rFonts w:ascii="Times New Roman"/>
                <w:sz w:val="21"/>
                <w:szCs w:val="21"/>
              </w:rPr>
            </w:pPr>
          </w:p>
        </w:tc>
        <w:tc>
          <w:tcPr>
            <w:tcW w:w="739" w:type="pct"/>
            <w:vAlign w:val="center"/>
          </w:tcPr>
          <w:p w14:paraId="20813DAC">
            <w:pPr>
              <w:jc w:val="center"/>
              <w:rPr>
                <w:rFonts w:ascii="Times New Roman"/>
                <w:sz w:val="21"/>
                <w:szCs w:val="21"/>
              </w:rPr>
            </w:pPr>
            <w:r>
              <w:rPr>
                <w:rFonts w:ascii="Times New Roman"/>
                <w:sz w:val="21"/>
                <w:szCs w:val="21"/>
              </w:rPr>
              <w:t>10µg/L</w:t>
            </w:r>
          </w:p>
        </w:tc>
      </w:tr>
      <w:tr w14:paraId="6DEA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59F3036A">
            <w:pPr>
              <w:jc w:val="center"/>
              <w:rPr>
                <w:rFonts w:ascii="Times New Roman"/>
                <w:sz w:val="21"/>
                <w:szCs w:val="21"/>
              </w:rPr>
            </w:pPr>
            <w:r>
              <w:rPr>
                <w:rFonts w:ascii="Times New Roman"/>
                <w:sz w:val="21"/>
                <w:szCs w:val="21"/>
              </w:rPr>
              <w:t>13</w:t>
            </w:r>
          </w:p>
        </w:tc>
        <w:tc>
          <w:tcPr>
            <w:tcW w:w="670" w:type="pct"/>
            <w:vAlign w:val="center"/>
          </w:tcPr>
          <w:p w14:paraId="5AB55BFC">
            <w:pPr>
              <w:jc w:val="center"/>
              <w:rPr>
                <w:rFonts w:ascii="Times New Roman"/>
                <w:sz w:val="21"/>
                <w:szCs w:val="21"/>
              </w:rPr>
            </w:pPr>
            <w:r>
              <w:rPr>
                <w:rFonts w:ascii="Times New Roman"/>
                <w:sz w:val="21"/>
                <w:szCs w:val="21"/>
              </w:rPr>
              <w:t>钾</w:t>
            </w:r>
          </w:p>
        </w:tc>
        <w:tc>
          <w:tcPr>
            <w:tcW w:w="2109" w:type="pct"/>
            <w:vAlign w:val="center"/>
          </w:tcPr>
          <w:p w14:paraId="4919899A">
            <w:pPr>
              <w:widowControl/>
              <w:jc w:val="center"/>
              <w:textAlignment w:val="center"/>
              <w:rPr>
                <w:rFonts w:ascii="Times New Roman"/>
                <w:sz w:val="21"/>
                <w:szCs w:val="21"/>
              </w:rPr>
            </w:pPr>
            <w:r>
              <w:rPr>
                <w:rFonts w:ascii="Times New Roman"/>
                <w:sz w:val="21"/>
                <w:szCs w:val="21"/>
              </w:rPr>
              <w:t>《水质 钾和钠的测定 火焰原子吸收分光光度法》GB/T 11904-1989</w:t>
            </w:r>
          </w:p>
        </w:tc>
        <w:tc>
          <w:tcPr>
            <w:tcW w:w="1098" w:type="pct"/>
            <w:vMerge w:val="restart"/>
            <w:vAlign w:val="center"/>
          </w:tcPr>
          <w:p w14:paraId="0988731D">
            <w:pPr>
              <w:widowControl/>
              <w:jc w:val="center"/>
              <w:textAlignment w:val="center"/>
              <w:rPr>
                <w:rFonts w:ascii="Times New Roman"/>
                <w:sz w:val="21"/>
                <w:szCs w:val="21"/>
              </w:rPr>
            </w:pPr>
            <w:r>
              <w:rPr>
                <w:rFonts w:ascii="Times New Roman"/>
                <w:sz w:val="21"/>
                <w:szCs w:val="21"/>
              </w:rPr>
              <w:t>TAS-990AFG 原子吸收分光光度计（HBHF/YQ106）</w:t>
            </w:r>
          </w:p>
        </w:tc>
        <w:tc>
          <w:tcPr>
            <w:tcW w:w="739" w:type="pct"/>
            <w:vAlign w:val="center"/>
          </w:tcPr>
          <w:p w14:paraId="1E3DBCA2">
            <w:pPr>
              <w:jc w:val="center"/>
              <w:rPr>
                <w:rFonts w:ascii="Times New Roman"/>
                <w:sz w:val="21"/>
                <w:szCs w:val="21"/>
              </w:rPr>
            </w:pPr>
            <w:r>
              <w:rPr>
                <w:rFonts w:ascii="Times New Roman"/>
                <w:sz w:val="21"/>
                <w:szCs w:val="21"/>
              </w:rPr>
              <w:t>0.05mg/L</w:t>
            </w:r>
          </w:p>
        </w:tc>
      </w:tr>
      <w:tr w14:paraId="6C40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1418785C">
            <w:pPr>
              <w:jc w:val="center"/>
              <w:rPr>
                <w:rFonts w:ascii="Times New Roman"/>
                <w:sz w:val="21"/>
                <w:szCs w:val="21"/>
              </w:rPr>
            </w:pPr>
            <w:r>
              <w:rPr>
                <w:rFonts w:ascii="Times New Roman"/>
                <w:sz w:val="21"/>
                <w:szCs w:val="21"/>
              </w:rPr>
              <w:t>14</w:t>
            </w:r>
          </w:p>
        </w:tc>
        <w:tc>
          <w:tcPr>
            <w:tcW w:w="670" w:type="pct"/>
            <w:vAlign w:val="center"/>
          </w:tcPr>
          <w:p w14:paraId="3769AB0A">
            <w:pPr>
              <w:widowControl/>
              <w:jc w:val="center"/>
              <w:textAlignment w:val="center"/>
              <w:rPr>
                <w:rFonts w:ascii="Times New Roman"/>
                <w:sz w:val="21"/>
                <w:szCs w:val="21"/>
              </w:rPr>
            </w:pPr>
            <w:r>
              <w:rPr>
                <w:rFonts w:ascii="Times New Roman"/>
                <w:kern w:val="0"/>
                <w:sz w:val="21"/>
                <w:szCs w:val="21"/>
              </w:rPr>
              <w:t>钙</w:t>
            </w:r>
          </w:p>
        </w:tc>
        <w:tc>
          <w:tcPr>
            <w:tcW w:w="2109" w:type="pct"/>
            <w:vMerge w:val="restart"/>
            <w:vAlign w:val="center"/>
          </w:tcPr>
          <w:p w14:paraId="0BC0CD97">
            <w:pPr>
              <w:widowControl/>
              <w:jc w:val="center"/>
              <w:textAlignment w:val="center"/>
              <w:rPr>
                <w:rFonts w:ascii="Times New Roman"/>
                <w:sz w:val="21"/>
                <w:szCs w:val="21"/>
              </w:rPr>
            </w:pPr>
            <w:r>
              <w:rPr>
                <w:rFonts w:ascii="Times New Roman"/>
                <w:sz w:val="21"/>
                <w:szCs w:val="21"/>
              </w:rPr>
              <w:t>《水质 钙和镁的测定 原子吸收分光光度法》GB/T 11905-1989</w:t>
            </w:r>
          </w:p>
        </w:tc>
        <w:tc>
          <w:tcPr>
            <w:tcW w:w="1098" w:type="pct"/>
            <w:vMerge w:val="continue"/>
            <w:vAlign w:val="center"/>
          </w:tcPr>
          <w:p w14:paraId="167438C2">
            <w:pPr>
              <w:widowControl/>
              <w:jc w:val="center"/>
              <w:textAlignment w:val="center"/>
              <w:rPr>
                <w:rFonts w:ascii="Times New Roman"/>
                <w:sz w:val="21"/>
                <w:szCs w:val="21"/>
              </w:rPr>
            </w:pPr>
          </w:p>
        </w:tc>
        <w:tc>
          <w:tcPr>
            <w:tcW w:w="739" w:type="pct"/>
            <w:vAlign w:val="center"/>
          </w:tcPr>
          <w:p w14:paraId="54D2E630">
            <w:pPr>
              <w:jc w:val="center"/>
              <w:rPr>
                <w:rFonts w:ascii="Times New Roman"/>
                <w:sz w:val="21"/>
                <w:szCs w:val="21"/>
              </w:rPr>
            </w:pPr>
            <w:r>
              <w:rPr>
                <w:rFonts w:ascii="Times New Roman"/>
                <w:sz w:val="21"/>
                <w:szCs w:val="21"/>
              </w:rPr>
              <w:t>0.02mg/L</w:t>
            </w:r>
          </w:p>
        </w:tc>
      </w:tr>
      <w:tr w14:paraId="2F3B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66BD0C9F">
            <w:pPr>
              <w:jc w:val="center"/>
              <w:rPr>
                <w:rFonts w:ascii="Times New Roman"/>
                <w:sz w:val="21"/>
                <w:szCs w:val="21"/>
              </w:rPr>
            </w:pPr>
            <w:r>
              <w:rPr>
                <w:rFonts w:ascii="Times New Roman"/>
                <w:sz w:val="21"/>
                <w:szCs w:val="21"/>
              </w:rPr>
              <w:t>15</w:t>
            </w:r>
          </w:p>
        </w:tc>
        <w:tc>
          <w:tcPr>
            <w:tcW w:w="670" w:type="pct"/>
            <w:vAlign w:val="center"/>
          </w:tcPr>
          <w:p w14:paraId="72A884E4">
            <w:pPr>
              <w:widowControl/>
              <w:jc w:val="center"/>
              <w:textAlignment w:val="center"/>
              <w:rPr>
                <w:rFonts w:ascii="Times New Roman"/>
                <w:sz w:val="21"/>
                <w:szCs w:val="21"/>
              </w:rPr>
            </w:pPr>
            <w:r>
              <w:rPr>
                <w:rFonts w:ascii="Times New Roman"/>
                <w:kern w:val="0"/>
                <w:sz w:val="21"/>
                <w:szCs w:val="21"/>
              </w:rPr>
              <w:t>镁</w:t>
            </w:r>
          </w:p>
        </w:tc>
        <w:tc>
          <w:tcPr>
            <w:tcW w:w="2109" w:type="pct"/>
            <w:vMerge w:val="continue"/>
            <w:vAlign w:val="center"/>
          </w:tcPr>
          <w:p w14:paraId="3E120E01">
            <w:pPr>
              <w:widowControl/>
              <w:jc w:val="center"/>
              <w:textAlignment w:val="center"/>
              <w:rPr>
                <w:rFonts w:ascii="Times New Roman"/>
                <w:sz w:val="21"/>
                <w:szCs w:val="21"/>
              </w:rPr>
            </w:pPr>
          </w:p>
        </w:tc>
        <w:tc>
          <w:tcPr>
            <w:tcW w:w="1098" w:type="pct"/>
            <w:vMerge w:val="continue"/>
            <w:vAlign w:val="center"/>
          </w:tcPr>
          <w:p w14:paraId="2A96B26A">
            <w:pPr>
              <w:widowControl/>
              <w:jc w:val="center"/>
              <w:textAlignment w:val="center"/>
              <w:rPr>
                <w:rFonts w:ascii="Times New Roman"/>
                <w:sz w:val="21"/>
                <w:szCs w:val="21"/>
              </w:rPr>
            </w:pPr>
          </w:p>
        </w:tc>
        <w:tc>
          <w:tcPr>
            <w:tcW w:w="739" w:type="pct"/>
            <w:vAlign w:val="center"/>
          </w:tcPr>
          <w:p w14:paraId="54EF4690">
            <w:pPr>
              <w:jc w:val="center"/>
              <w:rPr>
                <w:rFonts w:ascii="Times New Roman"/>
                <w:sz w:val="21"/>
                <w:szCs w:val="21"/>
              </w:rPr>
            </w:pPr>
            <w:r>
              <w:rPr>
                <w:rFonts w:ascii="Times New Roman"/>
                <w:sz w:val="21"/>
                <w:szCs w:val="21"/>
              </w:rPr>
              <w:t>0.0</w:t>
            </w:r>
            <w:r>
              <w:rPr>
                <w:rFonts w:hint="eastAsia" w:ascii="Times New Roman"/>
                <w:sz w:val="21"/>
                <w:szCs w:val="21"/>
              </w:rPr>
              <w:t>02</w:t>
            </w:r>
            <w:r>
              <w:rPr>
                <w:rFonts w:ascii="Times New Roman"/>
                <w:sz w:val="21"/>
                <w:szCs w:val="21"/>
              </w:rPr>
              <w:t>mg/L</w:t>
            </w:r>
          </w:p>
        </w:tc>
      </w:tr>
      <w:tr w14:paraId="327A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7AAC7684">
            <w:pPr>
              <w:jc w:val="center"/>
              <w:rPr>
                <w:rFonts w:ascii="Times New Roman"/>
                <w:sz w:val="21"/>
                <w:szCs w:val="21"/>
              </w:rPr>
            </w:pPr>
            <w:r>
              <w:rPr>
                <w:rFonts w:ascii="Times New Roman"/>
                <w:sz w:val="21"/>
                <w:szCs w:val="21"/>
              </w:rPr>
              <w:t>16</w:t>
            </w:r>
          </w:p>
        </w:tc>
        <w:tc>
          <w:tcPr>
            <w:tcW w:w="670" w:type="pct"/>
            <w:vAlign w:val="center"/>
          </w:tcPr>
          <w:p w14:paraId="46AF3913">
            <w:pPr>
              <w:widowControl/>
              <w:jc w:val="center"/>
              <w:textAlignment w:val="center"/>
              <w:rPr>
                <w:rFonts w:ascii="Times New Roman"/>
                <w:sz w:val="21"/>
                <w:szCs w:val="21"/>
              </w:rPr>
            </w:pPr>
            <w:r>
              <w:rPr>
                <w:rFonts w:hint="eastAsia" w:ascii="Times New Roman"/>
                <w:kern w:val="0"/>
                <w:sz w:val="21"/>
                <w:szCs w:val="21"/>
              </w:rPr>
              <w:t>高锰酸盐指数</w:t>
            </w:r>
          </w:p>
        </w:tc>
        <w:tc>
          <w:tcPr>
            <w:tcW w:w="2109" w:type="pct"/>
            <w:vAlign w:val="center"/>
          </w:tcPr>
          <w:p w14:paraId="2185BA95">
            <w:pPr>
              <w:widowControl/>
              <w:jc w:val="center"/>
              <w:textAlignment w:val="center"/>
              <w:rPr>
                <w:rFonts w:ascii="Times New Roman"/>
                <w:sz w:val="21"/>
                <w:szCs w:val="21"/>
              </w:rPr>
            </w:pPr>
            <w:r>
              <w:rPr>
                <w:rFonts w:ascii="Times New Roman"/>
                <w:kern w:val="0"/>
                <w:sz w:val="21"/>
                <w:szCs w:val="21"/>
              </w:rPr>
              <w:t>《水质 高锰酸盐指数的测定》GB/T 11892-1989</w:t>
            </w:r>
          </w:p>
        </w:tc>
        <w:tc>
          <w:tcPr>
            <w:tcW w:w="1098" w:type="pct"/>
            <w:vAlign w:val="center"/>
          </w:tcPr>
          <w:p w14:paraId="4C59F3FB">
            <w:pPr>
              <w:widowControl/>
              <w:jc w:val="center"/>
              <w:textAlignment w:val="center"/>
              <w:rPr>
                <w:rFonts w:ascii="Times New Roman"/>
                <w:sz w:val="21"/>
                <w:szCs w:val="21"/>
              </w:rPr>
            </w:pPr>
            <w:r>
              <w:rPr>
                <w:rFonts w:ascii="Times New Roman"/>
                <w:kern w:val="0"/>
                <w:sz w:val="21"/>
                <w:szCs w:val="21"/>
              </w:rPr>
              <w:t>50mL 透明酸碱通用滴定管（HBHF/YQ418）</w:t>
            </w:r>
          </w:p>
        </w:tc>
        <w:tc>
          <w:tcPr>
            <w:tcW w:w="739" w:type="pct"/>
            <w:vAlign w:val="center"/>
          </w:tcPr>
          <w:p w14:paraId="2744ADC6">
            <w:pPr>
              <w:jc w:val="center"/>
              <w:rPr>
                <w:rFonts w:ascii="Times New Roman"/>
                <w:sz w:val="21"/>
                <w:szCs w:val="21"/>
              </w:rPr>
            </w:pPr>
            <w:r>
              <w:rPr>
                <w:rFonts w:ascii="Times New Roman"/>
                <w:sz w:val="21"/>
                <w:szCs w:val="21"/>
              </w:rPr>
              <w:t>0.</w:t>
            </w:r>
            <w:r>
              <w:rPr>
                <w:rFonts w:hint="eastAsia" w:ascii="Times New Roman"/>
                <w:sz w:val="21"/>
                <w:szCs w:val="21"/>
              </w:rPr>
              <w:t>5</w:t>
            </w:r>
            <w:r>
              <w:rPr>
                <w:rFonts w:ascii="Times New Roman"/>
                <w:sz w:val="21"/>
                <w:szCs w:val="21"/>
              </w:rPr>
              <w:t>mg/L</w:t>
            </w:r>
          </w:p>
        </w:tc>
      </w:tr>
      <w:tr w14:paraId="7F5F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3F99E64B">
            <w:pPr>
              <w:jc w:val="center"/>
              <w:rPr>
                <w:rFonts w:ascii="Times New Roman"/>
                <w:sz w:val="21"/>
                <w:szCs w:val="21"/>
              </w:rPr>
            </w:pPr>
            <w:r>
              <w:rPr>
                <w:rFonts w:ascii="Times New Roman"/>
                <w:sz w:val="21"/>
                <w:szCs w:val="21"/>
              </w:rPr>
              <w:t>17</w:t>
            </w:r>
          </w:p>
        </w:tc>
        <w:tc>
          <w:tcPr>
            <w:tcW w:w="670" w:type="pct"/>
            <w:vAlign w:val="center"/>
          </w:tcPr>
          <w:p w14:paraId="3EA19CEF">
            <w:pPr>
              <w:widowControl/>
              <w:jc w:val="center"/>
              <w:textAlignment w:val="center"/>
              <w:rPr>
                <w:rFonts w:ascii="Times New Roman"/>
                <w:sz w:val="21"/>
                <w:szCs w:val="21"/>
              </w:rPr>
            </w:pPr>
            <w:r>
              <w:rPr>
                <w:rFonts w:ascii="Times New Roman"/>
                <w:kern w:val="0"/>
                <w:sz w:val="21"/>
                <w:szCs w:val="21"/>
              </w:rPr>
              <w:t>总硬度</w:t>
            </w:r>
          </w:p>
        </w:tc>
        <w:tc>
          <w:tcPr>
            <w:tcW w:w="2109" w:type="pct"/>
            <w:vAlign w:val="center"/>
          </w:tcPr>
          <w:p w14:paraId="03FC9285">
            <w:pPr>
              <w:widowControl/>
              <w:jc w:val="center"/>
              <w:textAlignment w:val="center"/>
              <w:rPr>
                <w:rFonts w:ascii="Times New Roman"/>
                <w:sz w:val="21"/>
                <w:szCs w:val="21"/>
              </w:rPr>
            </w:pPr>
            <w:r>
              <w:rPr>
                <w:rFonts w:ascii="Times New Roman"/>
                <w:kern w:val="0"/>
                <w:sz w:val="21"/>
                <w:szCs w:val="21"/>
              </w:rPr>
              <w:t>《水质 钙和镁总量的测定EDTA 滴定法》GB/T 7477-1987</w:t>
            </w:r>
          </w:p>
        </w:tc>
        <w:tc>
          <w:tcPr>
            <w:tcW w:w="1098" w:type="pct"/>
            <w:vAlign w:val="center"/>
          </w:tcPr>
          <w:p w14:paraId="16F6D281">
            <w:pPr>
              <w:widowControl/>
              <w:jc w:val="center"/>
              <w:textAlignment w:val="center"/>
              <w:rPr>
                <w:rFonts w:ascii="Times New Roman"/>
                <w:sz w:val="21"/>
                <w:szCs w:val="21"/>
              </w:rPr>
            </w:pPr>
            <w:r>
              <w:rPr>
                <w:rFonts w:ascii="Times New Roman"/>
                <w:kern w:val="0"/>
                <w:sz w:val="21"/>
                <w:szCs w:val="21"/>
              </w:rPr>
              <w:t>50mL 透明酸碱通用滴定管（HBHF/YQ056）</w:t>
            </w:r>
          </w:p>
        </w:tc>
        <w:tc>
          <w:tcPr>
            <w:tcW w:w="739" w:type="pct"/>
            <w:vAlign w:val="center"/>
          </w:tcPr>
          <w:p w14:paraId="18E893F8">
            <w:pPr>
              <w:jc w:val="center"/>
              <w:rPr>
                <w:rFonts w:ascii="Times New Roman"/>
                <w:sz w:val="21"/>
                <w:szCs w:val="21"/>
              </w:rPr>
            </w:pPr>
            <w:r>
              <w:rPr>
                <w:rFonts w:ascii="Times New Roman"/>
                <w:sz w:val="21"/>
                <w:szCs w:val="21"/>
              </w:rPr>
              <w:t>测定检测浓度：</w:t>
            </w:r>
          </w:p>
          <w:p w14:paraId="2F6287E7">
            <w:pPr>
              <w:jc w:val="center"/>
              <w:rPr>
                <w:rFonts w:ascii="Times New Roman"/>
                <w:sz w:val="21"/>
                <w:szCs w:val="21"/>
              </w:rPr>
            </w:pPr>
            <w:r>
              <w:rPr>
                <w:rFonts w:ascii="Times New Roman"/>
                <w:sz w:val="21"/>
                <w:szCs w:val="21"/>
              </w:rPr>
              <w:t>0.05mmol/L</w:t>
            </w:r>
          </w:p>
        </w:tc>
      </w:tr>
      <w:tr w14:paraId="28A7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24297316">
            <w:pPr>
              <w:jc w:val="center"/>
              <w:rPr>
                <w:rFonts w:ascii="Times New Roman"/>
                <w:sz w:val="21"/>
                <w:szCs w:val="21"/>
              </w:rPr>
            </w:pPr>
            <w:r>
              <w:rPr>
                <w:rFonts w:ascii="Times New Roman"/>
                <w:sz w:val="21"/>
                <w:szCs w:val="21"/>
              </w:rPr>
              <w:t>18</w:t>
            </w:r>
          </w:p>
        </w:tc>
        <w:tc>
          <w:tcPr>
            <w:tcW w:w="670" w:type="pct"/>
            <w:vAlign w:val="center"/>
          </w:tcPr>
          <w:p w14:paraId="5B1C9C01">
            <w:pPr>
              <w:widowControl/>
              <w:jc w:val="center"/>
              <w:textAlignment w:val="center"/>
              <w:rPr>
                <w:rFonts w:ascii="Times New Roman"/>
                <w:sz w:val="21"/>
                <w:szCs w:val="21"/>
              </w:rPr>
            </w:pPr>
            <w:r>
              <w:rPr>
                <w:rFonts w:ascii="Times New Roman"/>
                <w:kern w:val="0"/>
                <w:sz w:val="21"/>
                <w:szCs w:val="21"/>
              </w:rPr>
              <w:t>氯化物</w:t>
            </w:r>
          </w:p>
        </w:tc>
        <w:tc>
          <w:tcPr>
            <w:tcW w:w="2109" w:type="pct"/>
            <w:vAlign w:val="center"/>
          </w:tcPr>
          <w:p w14:paraId="57A6E5C7">
            <w:pPr>
              <w:widowControl/>
              <w:jc w:val="center"/>
              <w:textAlignment w:val="center"/>
              <w:rPr>
                <w:rFonts w:ascii="Times New Roman"/>
                <w:sz w:val="21"/>
                <w:szCs w:val="21"/>
              </w:rPr>
            </w:pPr>
            <w:r>
              <w:rPr>
                <w:rFonts w:ascii="Times New Roman"/>
                <w:kern w:val="0"/>
                <w:sz w:val="21"/>
                <w:szCs w:val="21"/>
              </w:rPr>
              <w:t>《水质 无机阴离子（F-、CL-、NO2-、Br-、NO3-、PO43-、SO32-、SO42-）的测定 离子色谱法》HJ 84-2016</w:t>
            </w:r>
          </w:p>
        </w:tc>
        <w:tc>
          <w:tcPr>
            <w:tcW w:w="1098" w:type="pct"/>
            <w:vAlign w:val="center"/>
          </w:tcPr>
          <w:p w14:paraId="17EAAFDE">
            <w:pPr>
              <w:widowControl/>
              <w:jc w:val="center"/>
              <w:textAlignment w:val="center"/>
              <w:rPr>
                <w:rFonts w:ascii="Times New Roman"/>
                <w:sz w:val="21"/>
                <w:szCs w:val="21"/>
              </w:rPr>
            </w:pPr>
            <w:r>
              <w:rPr>
                <w:rFonts w:ascii="Times New Roman"/>
                <w:kern w:val="0"/>
                <w:sz w:val="21"/>
                <w:szCs w:val="21"/>
              </w:rPr>
              <w:t>OIC-600 离子色谱仪（HBHF/YQ280）</w:t>
            </w:r>
          </w:p>
        </w:tc>
        <w:tc>
          <w:tcPr>
            <w:tcW w:w="739" w:type="pct"/>
            <w:vAlign w:val="center"/>
          </w:tcPr>
          <w:p w14:paraId="49E842D7">
            <w:pPr>
              <w:jc w:val="center"/>
              <w:rPr>
                <w:rFonts w:ascii="Times New Roman"/>
                <w:sz w:val="21"/>
                <w:szCs w:val="21"/>
              </w:rPr>
            </w:pPr>
            <w:r>
              <w:rPr>
                <w:rFonts w:ascii="Times New Roman"/>
                <w:sz w:val="21"/>
                <w:szCs w:val="21"/>
              </w:rPr>
              <w:t>0.007mg/L</w:t>
            </w:r>
          </w:p>
        </w:tc>
      </w:tr>
      <w:tr w14:paraId="1332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tblHeader/>
          <w:jc w:val="center"/>
        </w:trPr>
        <w:tc>
          <w:tcPr>
            <w:tcW w:w="381" w:type="pct"/>
            <w:vAlign w:val="center"/>
          </w:tcPr>
          <w:p w14:paraId="2060EC8A">
            <w:pPr>
              <w:jc w:val="center"/>
              <w:rPr>
                <w:rFonts w:ascii="Times New Roman"/>
                <w:sz w:val="21"/>
                <w:szCs w:val="21"/>
              </w:rPr>
            </w:pPr>
            <w:r>
              <w:rPr>
                <w:rFonts w:ascii="Times New Roman"/>
                <w:sz w:val="21"/>
                <w:szCs w:val="21"/>
              </w:rPr>
              <w:t>19</w:t>
            </w:r>
          </w:p>
        </w:tc>
        <w:tc>
          <w:tcPr>
            <w:tcW w:w="670" w:type="pct"/>
            <w:vAlign w:val="center"/>
          </w:tcPr>
          <w:p w14:paraId="5B4EBB51">
            <w:pPr>
              <w:jc w:val="center"/>
              <w:rPr>
                <w:rFonts w:ascii="Times New Roman"/>
                <w:sz w:val="21"/>
                <w:szCs w:val="21"/>
              </w:rPr>
            </w:pPr>
            <w:r>
              <w:rPr>
                <w:rFonts w:ascii="Times New Roman"/>
                <w:sz w:val="21"/>
                <w:szCs w:val="21"/>
              </w:rPr>
              <w:t>氟化物</w:t>
            </w:r>
          </w:p>
        </w:tc>
        <w:tc>
          <w:tcPr>
            <w:tcW w:w="2109" w:type="pct"/>
            <w:vAlign w:val="center"/>
          </w:tcPr>
          <w:p w14:paraId="4F58FDEF">
            <w:pPr>
              <w:jc w:val="center"/>
              <w:rPr>
                <w:rFonts w:ascii="Times New Roman"/>
                <w:kern w:val="0"/>
                <w:sz w:val="21"/>
                <w:szCs w:val="21"/>
              </w:rPr>
            </w:pPr>
            <w:r>
              <w:rPr>
                <w:rFonts w:ascii="Times New Roman"/>
                <w:kern w:val="0"/>
                <w:sz w:val="21"/>
                <w:szCs w:val="21"/>
              </w:rPr>
              <w:t>《水质 氟化物的测定 离子选择电极法》GB/T 7484-1987</w:t>
            </w:r>
          </w:p>
        </w:tc>
        <w:tc>
          <w:tcPr>
            <w:tcW w:w="1098" w:type="pct"/>
            <w:vAlign w:val="center"/>
          </w:tcPr>
          <w:p w14:paraId="70156FCA">
            <w:pPr>
              <w:jc w:val="center"/>
              <w:rPr>
                <w:rFonts w:ascii="Times New Roman"/>
                <w:kern w:val="0"/>
                <w:sz w:val="21"/>
                <w:szCs w:val="21"/>
              </w:rPr>
            </w:pPr>
            <w:r>
              <w:rPr>
                <w:rFonts w:ascii="Times New Roman"/>
                <w:kern w:val="0"/>
                <w:sz w:val="21"/>
                <w:szCs w:val="21"/>
              </w:rPr>
              <w:t>PXSJ-216F 离子计</w:t>
            </w:r>
          </w:p>
          <w:p w14:paraId="3C6EE6E4">
            <w:pPr>
              <w:jc w:val="center"/>
              <w:rPr>
                <w:rFonts w:ascii="Times New Roman"/>
                <w:kern w:val="0"/>
                <w:sz w:val="21"/>
                <w:szCs w:val="21"/>
              </w:rPr>
            </w:pPr>
            <w:r>
              <w:rPr>
                <w:rFonts w:ascii="Times New Roman"/>
                <w:kern w:val="0"/>
                <w:sz w:val="21"/>
                <w:szCs w:val="21"/>
              </w:rPr>
              <w:t>（HBHF/YQ237）</w:t>
            </w:r>
          </w:p>
        </w:tc>
        <w:tc>
          <w:tcPr>
            <w:tcW w:w="739" w:type="pct"/>
            <w:vAlign w:val="center"/>
          </w:tcPr>
          <w:p w14:paraId="3BA66008">
            <w:pPr>
              <w:jc w:val="center"/>
              <w:rPr>
                <w:rFonts w:ascii="Times New Roman"/>
                <w:sz w:val="21"/>
                <w:szCs w:val="21"/>
              </w:rPr>
            </w:pPr>
            <w:r>
              <w:rPr>
                <w:rFonts w:ascii="Times New Roman"/>
                <w:sz w:val="21"/>
                <w:szCs w:val="21"/>
              </w:rPr>
              <w:t>0.05mg/L</w:t>
            </w:r>
          </w:p>
        </w:tc>
      </w:tr>
      <w:tr w14:paraId="2A08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blHeader/>
          <w:jc w:val="center"/>
        </w:trPr>
        <w:tc>
          <w:tcPr>
            <w:tcW w:w="381" w:type="pct"/>
            <w:vAlign w:val="center"/>
          </w:tcPr>
          <w:p w14:paraId="12FB16F0">
            <w:pPr>
              <w:jc w:val="center"/>
              <w:rPr>
                <w:rFonts w:ascii="Times New Roman"/>
                <w:sz w:val="21"/>
                <w:szCs w:val="21"/>
              </w:rPr>
            </w:pPr>
            <w:r>
              <w:rPr>
                <w:rFonts w:ascii="Times New Roman"/>
                <w:sz w:val="21"/>
                <w:szCs w:val="21"/>
              </w:rPr>
              <w:t>20</w:t>
            </w:r>
          </w:p>
        </w:tc>
        <w:tc>
          <w:tcPr>
            <w:tcW w:w="670" w:type="pct"/>
            <w:vAlign w:val="center"/>
          </w:tcPr>
          <w:p w14:paraId="03A87A1C">
            <w:pPr>
              <w:widowControl/>
              <w:jc w:val="center"/>
              <w:textAlignment w:val="center"/>
              <w:rPr>
                <w:rFonts w:ascii="Times New Roman"/>
                <w:sz w:val="21"/>
                <w:szCs w:val="21"/>
              </w:rPr>
            </w:pPr>
            <w:r>
              <w:rPr>
                <w:rFonts w:ascii="Times New Roman"/>
                <w:kern w:val="0"/>
                <w:sz w:val="21"/>
                <w:szCs w:val="21"/>
              </w:rPr>
              <w:t>硫酸盐</w:t>
            </w:r>
          </w:p>
        </w:tc>
        <w:tc>
          <w:tcPr>
            <w:tcW w:w="2109" w:type="pct"/>
            <w:vAlign w:val="center"/>
          </w:tcPr>
          <w:p w14:paraId="34E7B0F7">
            <w:pPr>
              <w:widowControl/>
              <w:jc w:val="center"/>
              <w:textAlignment w:val="center"/>
              <w:rPr>
                <w:rFonts w:ascii="Times New Roman"/>
                <w:sz w:val="21"/>
                <w:szCs w:val="21"/>
              </w:rPr>
            </w:pPr>
            <w:r>
              <w:rPr>
                <w:rFonts w:ascii="Times New Roman"/>
                <w:sz w:val="21"/>
                <w:szCs w:val="21"/>
              </w:rPr>
              <w:t>《水质 硫酸盐的测定 铬酸钡分光光度法（试行）》HJ/T 342-2007</w:t>
            </w:r>
          </w:p>
        </w:tc>
        <w:tc>
          <w:tcPr>
            <w:tcW w:w="1098" w:type="pct"/>
            <w:vMerge w:val="restart"/>
            <w:vAlign w:val="center"/>
          </w:tcPr>
          <w:p w14:paraId="4F39EC33">
            <w:pPr>
              <w:widowControl/>
              <w:jc w:val="center"/>
              <w:textAlignment w:val="center"/>
              <w:rPr>
                <w:rFonts w:ascii="Times New Roman"/>
                <w:sz w:val="21"/>
                <w:szCs w:val="21"/>
              </w:rPr>
            </w:pPr>
            <w:r>
              <w:rPr>
                <w:rFonts w:ascii="Times New Roman"/>
                <w:sz w:val="21"/>
                <w:szCs w:val="21"/>
              </w:rPr>
              <w:t>T6 新世纪紫外可见分光光度计（HBHF/YQ088）</w:t>
            </w:r>
          </w:p>
        </w:tc>
        <w:tc>
          <w:tcPr>
            <w:tcW w:w="739" w:type="pct"/>
            <w:vAlign w:val="center"/>
          </w:tcPr>
          <w:p w14:paraId="067B65D2">
            <w:pPr>
              <w:jc w:val="center"/>
              <w:rPr>
                <w:rFonts w:ascii="Times New Roman"/>
                <w:sz w:val="21"/>
                <w:szCs w:val="21"/>
              </w:rPr>
            </w:pPr>
            <w:r>
              <w:rPr>
                <w:rFonts w:ascii="Times New Roman"/>
                <w:sz w:val="21"/>
                <w:szCs w:val="21"/>
              </w:rPr>
              <w:t>8mg/L</w:t>
            </w:r>
          </w:p>
        </w:tc>
      </w:tr>
      <w:tr w14:paraId="746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blHeader/>
          <w:jc w:val="center"/>
        </w:trPr>
        <w:tc>
          <w:tcPr>
            <w:tcW w:w="381" w:type="pct"/>
            <w:vAlign w:val="center"/>
          </w:tcPr>
          <w:p w14:paraId="5899A7A8">
            <w:pPr>
              <w:jc w:val="center"/>
              <w:rPr>
                <w:rFonts w:ascii="Times New Roman"/>
                <w:sz w:val="21"/>
                <w:szCs w:val="21"/>
              </w:rPr>
            </w:pPr>
            <w:r>
              <w:rPr>
                <w:rFonts w:ascii="Times New Roman"/>
                <w:sz w:val="21"/>
                <w:szCs w:val="21"/>
              </w:rPr>
              <w:t>21</w:t>
            </w:r>
          </w:p>
        </w:tc>
        <w:tc>
          <w:tcPr>
            <w:tcW w:w="670" w:type="pct"/>
            <w:vAlign w:val="center"/>
          </w:tcPr>
          <w:p w14:paraId="1EBE85B0">
            <w:pPr>
              <w:widowControl/>
              <w:jc w:val="center"/>
              <w:textAlignment w:val="center"/>
              <w:rPr>
                <w:rFonts w:ascii="Times New Roman"/>
                <w:kern w:val="0"/>
                <w:sz w:val="21"/>
                <w:szCs w:val="21"/>
              </w:rPr>
            </w:pPr>
            <w:r>
              <w:rPr>
                <w:rFonts w:ascii="Times New Roman"/>
                <w:kern w:val="0"/>
                <w:sz w:val="21"/>
                <w:szCs w:val="21"/>
              </w:rPr>
              <w:t>硝酸盐</w:t>
            </w:r>
          </w:p>
          <w:p w14:paraId="201F9C9F">
            <w:pPr>
              <w:widowControl/>
              <w:jc w:val="center"/>
              <w:textAlignment w:val="center"/>
              <w:rPr>
                <w:rFonts w:ascii="Times New Roman"/>
                <w:sz w:val="21"/>
                <w:szCs w:val="21"/>
              </w:rPr>
            </w:pPr>
            <w:r>
              <w:rPr>
                <w:rFonts w:ascii="Times New Roman"/>
                <w:kern w:val="0"/>
                <w:sz w:val="21"/>
                <w:szCs w:val="21"/>
              </w:rPr>
              <w:t>（以N计）</w:t>
            </w:r>
          </w:p>
        </w:tc>
        <w:tc>
          <w:tcPr>
            <w:tcW w:w="2109" w:type="pct"/>
            <w:vAlign w:val="center"/>
          </w:tcPr>
          <w:p w14:paraId="2758A3F2">
            <w:pPr>
              <w:widowControl/>
              <w:jc w:val="center"/>
              <w:textAlignment w:val="center"/>
              <w:rPr>
                <w:rFonts w:ascii="Times New Roman"/>
                <w:sz w:val="21"/>
                <w:szCs w:val="21"/>
              </w:rPr>
            </w:pPr>
            <w:r>
              <w:rPr>
                <w:rFonts w:ascii="Times New Roman"/>
                <w:sz w:val="21"/>
                <w:szCs w:val="21"/>
              </w:rPr>
              <w:t>《水质 硝酸盐氮的测定紫外分光光度法（试行）》HJ/T 346-2007</w:t>
            </w:r>
          </w:p>
        </w:tc>
        <w:tc>
          <w:tcPr>
            <w:tcW w:w="1098" w:type="pct"/>
            <w:vMerge w:val="continue"/>
            <w:vAlign w:val="center"/>
          </w:tcPr>
          <w:p w14:paraId="3BA0DE25">
            <w:pPr>
              <w:widowControl/>
              <w:jc w:val="center"/>
              <w:textAlignment w:val="center"/>
              <w:rPr>
                <w:rFonts w:ascii="Times New Roman"/>
                <w:sz w:val="21"/>
                <w:szCs w:val="21"/>
              </w:rPr>
            </w:pPr>
          </w:p>
        </w:tc>
        <w:tc>
          <w:tcPr>
            <w:tcW w:w="739" w:type="pct"/>
            <w:vAlign w:val="center"/>
          </w:tcPr>
          <w:p w14:paraId="4EE97B15">
            <w:pPr>
              <w:jc w:val="center"/>
              <w:rPr>
                <w:rFonts w:ascii="Times New Roman"/>
                <w:sz w:val="21"/>
                <w:szCs w:val="21"/>
              </w:rPr>
            </w:pPr>
            <w:r>
              <w:rPr>
                <w:rFonts w:ascii="Times New Roman"/>
                <w:sz w:val="21"/>
                <w:szCs w:val="21"/>
              </w:rPr>
              <w:t>0.08mg/L</w:t>
            </w:r>
          </w:p>
        </w:tc>
      </w:tr>
      <w:tr w14:paraId="3233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blHeader/>
          <w:jc w:val="center"/>
        </w:trPr>
        <w:tc>
          <w:tcPr>
            <w:tcW w:w="381" w:type="pct"/>
            <w:vAlign w:val="center"/>
          </w:tcPr>
          <w:p w14:paraId="2635593D">
            <w:pPr>
              <w:jc w:val="center"/>
              <w:rPr>
                <w:rFonts w:ascii="Times New Roman"/>
                <w:sz w:val="21"/>
                <w:szCs w:val="21"/>
              </w:rPr>
            </w:pPr>
            <w:r>
              <w:rPr>
                <w:rFonts w:ascii="Times New Roman"/>
                <w:sz w:val="21"/>
                <w:szCs w:val="21"/>
              </w:rPr>
              <w:t>22</w:t>
            </w:r>
          </w:p>
        </w:tc>
        <w:tc>
          <w:tcPr>
            <w:tcW w:w="670" w:type="pct"/>
            <w:vAlign w:val="center"/>
          </w:tcPr>
          <w:p w14:paraId="3A3BFC72">
            <w:pPr>
              <w:jc w:val="center"/>
              <w:rPr>
                <w:rFonts w:ascii="Times New Roman"/>
                <w:sz w:val="21"/>
                <w:szCs w:val="21"/>
              </w:rPr>
            </w:pPr>
            <w:r>
              <w:rPr>
                <w:rFonts w:ascii="Times New Roman"/>
                <w:sz w:val="21"/>
                <w:szCs w:val="21"/>
              </w:rPr>
              <w:t>挥发酚</w:t>
            </w:r>
          </w:p>
        </w:tc>
        <w:tc>
          <w:tcPr>
            <w:tcW w:w="2109" w:type="pct"/>
            <w:vAlign w:val="center"/>
          </w:tcPr>
          <w:p w14:paraId="4A0D18DA">
            <w:pPr>
              <w:tabs>
                <w:tab w:val="left" w:pos="536"/>
              </w:tabs>
              <w:jc w:val="center"/>
              <w:rPr>
                <w:rFonts w:ascii="Times New Roman"/>
                <w:kern w:val="0"/>
                <w:sz w:val="21"/>
                <w:szCs w:val="21"/>
              </w:rPr>
            </w:pPr>
            <w:r>
              <w:rPr>
                <w:rFonts w:ascii="Times New Roman"/>
                <w:kern w:val="0"/>
                <w:sz w:val="21"/>
                <w:szCs w:val="21"/>
              </w:rPr>
              <w:t>《水质 挥发酚的测定 4-氨基安替比林分光光度法》HJ 503-2009方法 1 萃取分光光度法</w:t>
            </w:r>
          </w:p>
        </w:tc>
        <w:tc>
          <w:tcPr>
            <w:tcW w:w="1098" w:type="pct"/>
            <w:vMerge w:val="continue"/>
            <w:vAlign w:val="center"/>
          </w:tcPr>
          <w:p w14:paraId="46B99BDB">
            <w:pPr>
              <w:tabs>
                <w:tab w:val="left" w:pos="536"/>
              </w:tabs>
              <w:jc w:val="center"/>
              <w:rPr>
                <w:rFonts w:ascii="Times New Roman"/>
                <w:kern w:val="0"/>
                <w:sz w:val="21"/>
                <w:szCs w:val="21"/>
              </w:rPr>
            </w:pPr>
          </w:p>
        </w:tc>
        <w:tc>
          <w:tcPr>
            <w:tcW w:w="739" w:type="pct"/>
            <w:vAlign w:val="center"/>
          </w:tcPr>
          <w:p w14:paraId="183014F0">
            <w:pPr>
              <w:tabs>
                <w:tab w:val="left" w:pos="536"/>
              </w:tabs>
              <w:jc w:val="center"/>
              <w:rPr>
                <w:rFonts w:ascii="Times New Roman"/>
                <w:sz w:val="21"/>
                <w:szCs w:val="21"/>
              </w:rPr>
            </w:pPr>
            <w:r>
              <w:rPr>
                <w:rFonts w:ascii="Times New Roman"/>
                <w:sz w:val="21"/>
                <w:szCs w:val="21"/>
              </w:rPr>
              <w:t>0.0003mg/L</w:t>
            </w:r>
          </w:p>
        </w:tc>
      </w:tr>
      <w:tr w14:paraId="65AC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blHeader/>
          <w:jc w:val="center"/>
        </w:trPr>
        <w:tc>
          <w:tcPr>
            <w:tcW w:w="381" w:type="pct"/>
            <w:vAlign w:val="center"/>
          </w:tcPr>
          <w:p w14:paraId="66C4E3B1">
            <w:pPr>
              <w:jc w:val="center"/>
              <w:rPr>
                <w:rFonts w:ascii="Times New Roman"/>
                <w:sz w:val="21"/>
                <w:szCs w:val="21"/>
              </w:rPr>
            </w:pPr>
            <w:r>
              <w:rPr>
                <w:rFonts w:ascii="Times New Roman"/>
                <w:sz w:val="21"/>
                <w:szCs w:val="21"/>
              </w:rPr>
              <w:t>23</w:t>
            </w:r>
          </w:p>
        </w:tc>
        <w:tc>
          <w:tcPr>
            <w:tcW w:w="670" w:type="pct"/>
            <w:vAlign w:val="center"/>
          </w:tcPr>
          <w:p w14:paraId="72BF01A1">
            <w:pPr>
              <w:jc w:val="center"/>
              <w:rPr>
                <w:rFonts w:ascii="Times New Roman"/>
                <w:sz w:val="21"/>
                <w:szCs w:val="21"/>
              </w:rPr>
            </w:pPr>
            <w:r>
              <w:rPr>
                <w:rFonts w:ascii="Times New Roman"/>
                <w:sz w:val="21"/>
                <w:szCs w:val="21"/>
              </w:rPr>
              <w:t>氰化物</w:t>
            </w:r>
          </w:p>
        </w:tc>
        <w:tc>
          <w:tcPr>
            <w:tcW w:w="2109" w:type="pct"/>
            <w:vAlign w:val="center"/>
          </w:tcPr>
          <w:p w14:paraId="51C0182E">
            <w:pPr>
              <w:tabs>
                <w:tab w:val="left" w:pos="536"/>
              </w:tabs>
              <w:jc w:val="center"/>
              <w:rPr>
                <w:rFonts w:ascii="Times New Roman"/>
                <w:kern w:val="0"/>
                <w:sz w:val="21"/>
                <w:szCs w:val="21"/>
              </w:rPr>
            </w:pPr>
            <w:r>
              <w:rPr>
                <w:rFonts w:ascii="Times New Roman"/>
                <w:sz w:val="21"/>
                <w:szCs w:val="21"/>
              </w:rPr>
              <w:t>《生活饮用水标准检验方法第 5 部分：无机非金属指标》GB/T 5750.5-2023/7.1异烟酸-吡唑酮分光光度法</w:t>
            </w:r>
          </w:p>
        </w:tc>
        <w:tc>
          <w:tcPr>
            <w:tcW w:w="1098" w:type="pct"/>
            <w:vAlign w:val="center"/>
          </w:tcPr>
          <w:p w14:paraId="5DB1D5CA">
            <w:pPr>
              <w:tabs>
                <w:tab w:val="left" w:pos="536"/>
              </w:tabs>
              <w:jc w:val="center"/>
              <w:rPr>
                <w:rFonts w:ascii="Times New Roman"/>
                <w:kern w:val="0"/>
                <w:sz w:val="21"/>
                <w:szCs w:val="21"/>
              </w:rPr>
            </w:pPr>
            <w:r>
              <w:rPr>
                <w:rFonts w:ascii="Times New Roman"/>
                <w:sz w:val="21"/>
                <w:szCs w:val="21"/>
              </w:rPr>
              <w:t>T600B 紫外可见分光光度计（HBHF/YQ133）</w:t>
            </w:r>
          </w:p>
        </w:tc>
        <w:tc>
          <w:tcPr>
            <w:tcW w:w="739" w:type="pct"/>
            <w:vAlign w:val="center"/>
          </w:tcPr>
          <w:p w14:paraId="28103791">
            <w:pPr>
              <w:tabs>
                <w:tab w:val="left" w:pos="536"/>
              </w:tabs>
              <w:jc w:val="center"/>
              <w:rPr>
                <w:rFonts w:ascii="Times New Roman"/>
                <w:sz w:val="21"/>
                <w:szCs w:val="21"/>
              </w:rPr>
            </w:pPr>
            <w:r>
              <w:rPr>
                <w:rFonts w:ascii="Times New Roman"/>
                <w:sz w:val="21"/>
                <w:szCs w:val="21"/>
              </w:rPr>
              <w:t>0.002mg/L</w:t>
            </w:r>
          </w:p>
        </w:tc>
      </w:tr>
      <w:tr w14:paraId="218C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blHeader/>
          <w:jc w:val="center"/>
        </w:trPr>
        <w:tc>
          <w:tcPr>
            <w:tcW w:w="381" w:type="pct"/>
            <w:vAlign w:val="center"/>
          </w:tcPr>
          <w:p w14:paraId="4BAE043A">
            <w:pPr>
              <w:jc w:val="center"/>
              <w:rPr>
                <w:rFonts w:ascii="Times New Roman"/>
                <w:sz w:val="21"/>
                <w:szCs w:val="21"/>
              </w:rPr>
            </w:pPr>
            <w:r>
              <w:rPr>
                <w:rFonts w:ascii="Times New Roman"/>
                <w:sz w:val="21"/>
                <w:szCs w:val="21"/>
              </w:rPr>
              <w:t>24</w:t>
            </w:r>
          </w:p>
        </w:tc>
        <w:tc>
          <w:tcPr>
            <w:tcW w:w="670" w:type="pct"/>
            <w:vAlign w:val="center"/>
          </w:tcPr>
          <w:p w14:paraId="06B5E564">
            <w:pPr>
              <w:widowControl/>
              <w:jc w:val="center"/>
              <w:textAlignment w:val="center"/>
              <w:rPr>
                <w:rFonts w:ascii="Times New Roman"/>
                <w:sz w:val="21"/>
                <w:szCs w:val="21"/>
              </w:rPr>
            </w:pPr>
            <w:r>
              <w:rPr>
                <w:rFonts w:ascii="Times New Roman"/>
                <w:kern w:val="0"/>
                <w:sz w:val="21"/>
                <w:szCs w:val="21"/>
              </w:rPr>
              <w:t>砷</w:t>
            </w:r>
          </w:p>
        </w:tc>
        <w:tc>
          <w:tcPr>
            <w:tcW w:w="2109" w:type="pct"/>
            <w:vMerge w:val="restart"/>
            <w:vAlign w:val="center"/>
          </w:tcPr>
          <w:p w14:paraId="27284C1A">
            <w:pPr>
              <w:widowControl/>
              <w:jc w:val="center"/>
              <w:textAlignment w:val="center"/>
              <w:rPr>
                <w:rFonts w:ascii="Times New Roman"/>
                <w:sz w:val="21"/>
                <w:szCs w:val="21"/>
              </w:rPr>
            </w:pPr>
            <w:r>
              <w:rPr>
                <w:rFonts w:ascii="Times New Roman"/>
                <w:sz w:val="21"/>
                <w:szCs w:val="21"/>
              </w:rPr>
              <w:t>《水质 汞、砷、硒、铋和锑的测定 原子荧光法》HJ 694-2014</w:t>
            </w:r>
          </w:p>
        </w:tc>
        <w:tc>
          <w:tcPr>
            <w:tcW w:w="1098" w:type="pct"/>
            <w:vMerge w:val="restart"/>
            <w:vAlign w:val="center"/>
          </w:tcPr>
          <w:p w14:paraId="363DC21F">
            <w:pPr>
              <w:widowControl/>
              <w:jc w:val="center"/>
              <w:textAlignment w:val="center"/>
              <w:rPr>
                <w:rFonts w:ascii="Times New Roman"/>
                <w:sz w:val="21"/>
                <w:szCs w:val="21"/>
              </w:rPr>
            </w:pPr>
            <w:r>
              <w:rPr>
                <w:rFonts w:ascii="Times New Roman"/>
                <w:sz w:val="21"/>
                <w:szCs w:val="21"/>
              </w:rPr>
              <w:t>AFS-8220 原子荧光光度计（HBHF/YQ152）</w:t>
            </w:r>
          </w:p>
        </w:tc>
        <w:tc>
          <w:tcPr>
            <w:tcW w:w="739" w:type="pct"/>
            <w:vAlign w:val="center"/>
          </w:tcPr>
          <w:p w14:paraId="76539C64">
            <w:pPr>
              <w:jc w:val="center"/>
              <w:rPr>
                <w:rFonts w:ascii="Times New Roman"/>
                <w:sz w:val="21"/>
                <w:szCs w:val="21"/>
              </w:rPr>
            </w:pPr>
            <w:r>
              <w:rPr>
                <w:rFonts w:ascii="Times New Roman"/>
                <w:sz w:val="21"/>
                <w:szCs w:val="21"/>
              </w:rPr>
              <w:t>0.3µg/L</w:t>
            </w:r>
          </w:p>
        </w:tc>
      </w:tr>
      <w:tr w14:paraId="15B5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blHeader/>
          <w:jc w:val="center"/>
        </w:trPr>
        <w:tc>
          <w:tcPr>
            <w:tcW w:w="381" w:type="pct"/>
            <w:vAlign w:val="center"/>
          </w:tcPr>
          <w:p w14:paraId="17836C20">
            <w:pPr>
              <w:jc w:val="center"/>
              <w:rPr>
                <w:rFonts w:ascii="Times New Roman"/>
                <w:sz w:val="21"/>
                <w:szCs w:val="21"/>
              </w:rPr>
            </w:pPr>
            <w:r>
              <w:rPr>
                <w:rFonts w:ascii="Times New Roman"/>
                <w:sz w:val="21"/>
                <w:szCs w:val="21"/>
              </w:rPr>
              <w:t>25</w:t>
            </w:r>
          </w:p>
        </w:tc>
        <w:tc>
          <w:tcPr>
            <w:tcW w:w="670" w:type="pct"/>
            <w:vAlign w:val="center"/>
          </w:tcPr>
          <w:p w14:paraId="3489F9E4">
            <w:pPr>
              <w:widowControl/>
              <w:jc w:val="center"/>
              <w:textAlignment w:val="center"/>
              <w:rPr>
                <w:rFonts w:ascii="Times New Roman"/>
                <w:sz w:val="21"/>
                <w:szCs w:val="21"/>
              </w:rPr>
            </w:pPr>
            <w:r>
              <w:rPr>
                <w:rFonts w:hint="eastAsia" w:ascii="Times New Roman"/>
                <w:sz w:val="21"/>
                <w:szCs w:val="21"/>
              </w:rPr>
              <w:t>汞</w:t>
            </w:r>
          </w:p>
        </w:tc>
        <w:tc>
          <w:tcPr>
            <w:tcW w:w="2109" w:type="pct"/>
            <w:vMerge w:val="continue"/>
            <w:vAlign w:val="center"/>
          </w:tcPr>
          <w:p w14:paraId="0F1C2F25">
            <w:pPr>
              <w:widowControl/>
              <w:jc w:val="center"/>
              <w:textAlignment w:val="center"/>
              <w:rPr>
                <w:rFonts w:ascii="Times New Roman"/>
                <w:sz w:val="21"/>
                <w:szCs w:val="21"/>
              </w:rPr>
            </w:pPr>
          </w:p>
        </w:tc>
        <w:tc>
          <w:tcPr>
            <w:tcW w:w="1098" w:type="pct"/>
            <w:vMerge w:val="continue"/>
            <w:vAlign w:val="center"/>
          </w:tcPr>
          <w:p w14:paraId="44DB17DA">
            <w:pPr>
              <w:widowControl/>
              <w:jc w:val="center"/>
              <w:textAlignment w:val="center"/>
              <w:rPr>
                <w:rFonts w:ascii="Times New Roman"/>
                <w:sz w:val="21"/>
                <w:szCs w:val="21"/>
              </w:rPr>
            </w:pPr>
          </w:p>
        </w:tc>
        <w:tc>
          <w:tcPr>
            <w:tcW w:w="739" w:type="pct"/>
            <w:vAlign w:val="center"/>
          </w:tcPr>
          <w:p w14:paraId="6C9FEFFF">
            <w:pPr>
              <w:jc w:val="center"/>
              <w:rPr>
                <w:rFonts w:ascii="Times New Roman"/>
                <w:sz w:val="21"/>
                <w:szCs w:val="21"/>
              </w:rPr>
            </w:pPr>
            <w:r>
              <w:rPr>
                <w:rFonts w:ascii="Times New Roman"/>
                <w:sz w:val="21"/>
                <w:szCs w:val="21"/>
              </w:rPr>
              <w:t>0.04µg/L</w:t>
            </w:r>
          </w:p>
        </w:tc>
      </w:tr>
      <w:tr w14:paraId="0E09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381" w:type="pct"/>
            <w:vAlign w:val="center"/>
          </w:tcPr>
          <w:p w14:paraId="5CF5FDA9">
            <w:pPr>
              <w:jc w:val="center"/>
              <w:rPr>
                <w:rFonts w:ascii="Times New Roman"/>
                <w:sz w:val="21"/>
                <w:szCs w:val="21"/>
              </w:rPr>
            </w:pPr>
            <w:r>
              <w:rPr>
                <w:rFonts w:ascii="Times New Roman"/>
                <w:sz w:val="21"/>
                <w:szCs w:val="21"/>
              </w:rPr>
              <w:t>26</w:t>
            </w:r>
          </w:p>
        </w:tc>
        <w:tc>
          <w:tcPr>
            <w:tcW w:w="670" w:type="pct"/>
            <w:vAlign w:val="center"/>
          </w:tcPr>
          <w:p w14:paraId="213B72D1">
            <w:pPr>
              <w:widowControl/>
              <w:jc w:val="center"/>
              <w:textAlignment w:val="center"/>
              <w:rPr>
                <w:rFonts w:ascii="Times New Roman"/>
                <w:sz w:val="21"/>
                <w:szCs w:val="21"/>
              </w:rPr>
            </w:pPr>
            <w:r>
              <w:rPr>
                <w:rFonts w:hint="eastAsia" w:ascii="Times New Roman"/>
                <w:sz w:val="21"/>
                <w:szCs w:val="21"/>
              </w:rPr>
              <w:t>碳酸盐</w:t>
            </w:r>
          </w:p>
        </w:tc>
        <w:tc>
          <w:tcPr>
            <w:tcW w:w="2109" w:type="pct"/>
            <w:vMerge w:val="restart"/>
            <w:vAlign w:val="center"/>
          </w:tcPr>
          <w:p w14:paraId="646B6B21">
            <w:pPr>
              <w:widowControl/>
              <w:jc w:val="center"/>
              <w:textAlignment w:val="center"/>
              <w:rPr>
                <w:rFonts w:ascii="Times New Roman"/>
                <w:sz w:val="21"/>
                <w:szCs w:val="21"/>
              </w:rPr>
            </w:pPr>
            <w:r>
              <w:rPr>
                <w:rFonts w:ascii="Times New Roman"/>
                <w:sz w:val="21"/>
                <w:szCs w:val="21"/>
              </w:rPr>
              <w:t>《水和废水监测分析方法》（第四版 增补版）3.1.12.1酸碱指示剂滴定法</w:t>
            </w:r>
          </w:p>
        </w:tc>
        <w:tc>
          <w:tcPr>
            <w:tcW w:w="1098" w:type="pct"/>
            <w:vMerge w:val="restart"/>
            <w:vAlign w:val="center"/>
          </w:tcPr>
          <w:p w14:paraId="6BAD7A05">
            <w:pPr>
              <w:widowControl/>
              <w:jc w:val="center"/>
              <w:textAlignment w:val="center"/>
              <w:rPr>
                <w:rFonts w:ascii="Times New Roman"/>
                <w:sz w:val="21"/>
                <w:szCs w:val="21"/>
              </w:rPr>
            </w:pPr>
            <w:r>
              <w:rPr>
                <w:rFonts w:ascii="Times New Roman"/>
                <w:sz w:val="21"/>
                <w:szCs w:val="21"/>
              </w:rPr>
              <w:t>50mL 透明酸碱通用滴定管</w:t>
            </w:r>
          </w:p>
          <w:p w14:paraId="5FA2766A">
            <w:pPr>
              <w:widowControl/>
              <w:jc w:val="center"/>
              <w:textAlignment w:val="center"/>
              <w:rPr>
                <w:rFonts w:ascii="Times New Roman"/>
                <w:sz w:val="21"/>
                <w:szCs w:val="21"/>
              </w:rPr>
            </w:pPr>
            <w:r>
              <w:rPr>
                <w:rFonts w:ascii="Times New Roman"/>
                <w:sz w:val="21"/>
                <w:szCs w:val="21"/>
              </w:rPr>
              <w:t>（HBHF/YQ430）</w:t>
            </w:r>
          </w:p>
        </w:tc>
        <w:tc>
          <w:tcPr>
            <w:tcW w:w="739" w:type="pct"/>
            <w:vAlign w:val="center"/>
          </w:tcPr>
          <w:p w14:paraId="08DFCC66">
            <w:pPr>
              <w:jc w:val="center"/>
              <w:rPr>
                <w:rFonts w:ascii="Times New Roman"/>
                <w:sz w:val="21"/>
                <w:szCs w:val="21"/>
              </w:rPr>
            </w:pPr>
            <w:r>
              <w:rPr>
                <w:rFonts w:ascii="Times New Roman"/>
                <w:sz w:val="21"/>
                <w:szCs w:val="21"/>
              </w:rPr>
              <w:t>0.750mg/L</w:t>
            </w:r>
          </w:p>
        </w:tc>
      </w:tr>
      <w:tr w14:paraId="487D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blHeader/>
          <w:jc w:val="center"/>
        </w:trPr>
        <w:tc>
          <w:tcPr>
            <w:tcW w:w="381" w:type="pct"/>
            <w:vAlign w:val="center"/>
          </w:tcPr>
          <w:p w14:paraId="35B9DD0A">
            <w:pPr>
              <w:jc w:val="center"/>
              <w:rPr>
                <w:rFonts w:ascii="Times New Roman"/>
                <w:sz w:val="21"/>
                <w:szCs w:val="21"/>
              </w:rPr>
            </w:pPr>
            <w:r>
              <w:rPr>
                <w:rFonts w:ascii="Times New Roman"/>
                <w:sz w:val="21"/>
                <w:szCs w:val="21"/>
              </w:rPr>
              <w:t>27</w:t>
            </w:r>
          </w:p>
        </w:tc>
        <w:tc>
          <w:tcPr>
            <w:tcW w:w="670" w:type="pct"/>
            <w:vAlign w:val="center"/>
          </w:tcPr>
          <w:p w14:paraId="7C2F8CA7">
            <w:pPr>
              <w:widowControl/>
              <w:jc w:val="center"/>
              <w:textAlignment w:val="center"/>
              <w:rPr>
                <w:rFonts w:ascii="Times New Roman"/>
                <w:sz w:val="21"/>
                <w:szCs w:val="21"/>
              </w:rPr>
            </w:pPr>
            <w:r>
              <w:rPr>
                <w:rFonts w:hint="eastAsia" w:ascii="Times New Roman"/>
                <w:sz w:val="21"/>
                <w:szCs w:val="21"/>
              </w:rPr>
              <w:t>碳酸氢盐</w:t>
            </w:r>
          </w:p>
        </w:tc>
        <w:tc>
          <w:tcPr>
            <w:tcW w:w="2109" w:type="pct"/>
            <w:vMerge w:val="continue"/>
            <w:vAlign w:val="center"/>
          </w:tcPr>
          <w:p w14:paraId="17421004">
            <w:pPr>
              <w:widowControl/>
              <w:jc w:val="center"/>
              <w:textAlignment w:val="center"/>
              <w:rPr>
                <w:rFonts w:ascii="Times New Roman"/>
                <w:sz w:val="21"/>
                <w:szCs w:val="21"/>
              </w:rPr>
            </w:pPr>
          </w:p>
        </w:tc>
        <w:tc>
          <w:tcPr>
            <w:tcW w:w="1098" w:type="pct"/>
            <w:vMerge w:val="continue"/>
            <w:vAlign w:val="center"/>
          </w:tcPr>
          <w:p w14:paraId="7ACC3894">
            <w:pPr>
              <w:widowControl/>
              <w:jc w:val="center"/>
              <w:textAlignment w:val="center"/>
              <w:rPr>
                <w:rFonts w:ascii="Times New Roman"/>
                <w:sz w:val="21"/>
                <w:szCs w:val="21"/>
              </w:rPr>
            </w:pPr>
          </w:p>
        </w:tc>
        <w:tc>
          <w:tcPr>
            <w:tcW w:w="739" w:type="pct"/>
            <w:vAlign w:val="center"/>
          </w:tcPr>
          <w:p w14:paraId="5CC690D7">
            <w:pPr>
              <w:jc w:val="center"/>
              <w:rPr>
                <w:rFonts w:ascii="Times New Roman"/>
                <w:sz w:val="21"/>
                <w:szCs w:val="21"/>
              </w:rPr>
            </w:pPr>
            <w:r>
              <w:rPr>
                <w:rFonts w:ascii="Times New Roman"/>
                <w:sz w:val="21"/>
                <w:szCs w:val="21"/>
              </w:rPr>
              <w:t>0.763mg/L</w:t>
            </w:r>
          </w:p>
        </w:tc>
      </w:tr>
      <w:tr w14:paraId="4542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381" w:type="pct"/>
            <w:vAlign w:val="center"/>
          </w:tcPr>
          <w:p w14:paraId="7ADB4186">
            <w:pPr>
              <w:jc w:val="center"/>
              <w:rPr>
                <w:rFonts w:ascii="Times New Roman"/>
                <w:sz w:val="21"/>
                <w:szCs w:val="21"/>
              </w:rPr>
            </w:pPr>
            <w:r>
              <w:rPr>
                <w:rFonts w:ascii="Times New Roman"/>
                <w:sz w:val="21"/>
                <w:szCs w:val="21"/>
              </w:rPr>
              <w:t>28</w:t>
            </w:r>
          </w:p>
        </w:tc>
        <w:tc>
          <w:tcPr>
            <w:tcW w:w="670" w:type="pct"/>
            <w:vAlign w:val="center"/>
          </w:tcPr>
          <w:p w14:paraId="5FB41609">
            <w:pPr>
              <w:widowControl/>
              <w:jc w:val="center"/>
              <w:textAlignment w:val="center"/>
              <w:rPr>
                <w:rFonts w:ascii="Times New Roman"/>
                <w:sz w:val="21"/>
                <w:szCs w:val="21"/>
              </w:rPr>
            </w:pPr>
            <w:r>
              <w:rPr>
                <w:rFonts w:hint="eastAsia" w:ascii="Times New Roman"/>
                <w:kern w:val="0"/>
                <w:sz w:val="21"/>
                <w:szCs w:val="21"/>
              </w:rPr>
              <w:t>苯</w:t>
            </w:r>
          </w:p>
        </w:tc>
        <w:tc>
          <w:tcPr>
            <w:tcW w:w="2109" w:type="pct"/>
            <w:vMerge w:val="restart"/>
            <w:vAlign w:val="center"/>
          </w:tcPr>
          <w:p w14:paraId="0E60A732">
            <w:pPr>
              <w:widowControl/>
              <w:jc w:val="center"/>
              <w:textAlignment w:val="center"/>
              <w:rPr>
                <w:rFonts w:ascii="Times New Roman"/>
                <w:sz w:val="21"/>
                <w:szCs w:val="21"/>
              </w:rPr>
            </w:pPr>
            <w:r>
              <w:rPr>
                <w:rFonts w:ascii="Times New Roman"/>
                <w:sz w:val="21"/>
                <w:szCs w:val="21"/>
              </w:rPr>
              <w:t>《水质 苯系物的测定 顶空/气相色谱法》HJ 1067-2019</w:t>
            </w:r>
          </w:p>
        </w:tc>
        <w:tc>
          <w:tcPr>
            <w:tcW w:w="1098" w:type="pct"/>
            <w:vMerge w:val="restart"/>
            <w:vAlign w:val="center"/>
          </w:tcPr>
          <w:p w14:paraId="5A5685E6">
            <w:pPr>
              <w:widowControl/>
              <w:jc w:val="center"/>
              <w:textAlignment w:val="center"/>
              <w:rPr>
                <w:rFonts w:ascii="Times New Roman"/>
                <w:sz w:val="21"/>
                <w:szCs w:val="21"/>
              </w:rPr>
            </w:pPr>
            <w:r>
              <w:rPr>
                <w:rFonts w:ascii="Times New Roman"/>
                <w:sz w:val="21"/>
                <w:szCs w:val="21"/>
              </w:rPr>
              <w:t>GC9790Ⅱ气相色谱仪</w:t>
            </w:r>
          </w:p>
          <w:p w14:paraId="51EE41E1">
            <w:pPr>
              <w:widowControl/>
              <w:jc w:val="center"/>
              <w:textAlignment w:val="center"/>
              <w:rPr>
                <w:rFonts w:ascii="Times New Roman"/>
                <w:sz w:val="21"/>
                <w:szCs w:val="21"/>
              </w:rPr>
            </w:pPr>
            <w:r>
              <w:rPr>
                <w:rFonts w:ascii="Times New Roman"/>
                <w:sz w:val="21"/>
                <w:szCs w:val="21"/>
              </w:rPr>
              <w:t>（HBHF/YQ149）</w:t>
            </w:r>
          </w:p>
        </w:tc>
        <w:tc>
          <w:tcPr>
            <w:tcW w:w="739" w:type="pct"/>
            <w:vAlign w:val="center"/>
          </w:tcPr>
          <w:p w14:paraId="178BCD39">
            <w:pPr>
              <w:jc w:val="center"/>
              <w:rPr>
                <w:rFonts w:ascii="Times New Roman"/>
                <w:sz w:val="21"/>
                <w:szCs w:val="21"/>
              </w:rPr>
            </w:pPr>
            <w:r>
              <w:rPr>
                <w:rFonts w:ascii="Times New Roman"/>
                <w:sz w:val="21"/>
                <w:szCs w:val="21"/>
              </w:rPr>
              <w:t>2µg/L</w:t>
            </w:r>
          </w:p>
        </w:tc>
      </w:tr>
      <w:tr w14:paraId="1E5A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381" w:type="pct"/>
            <w:vAlign w:val="center"/>
          </w:tcPr>
          <w:p w14:paraId="2D6C9595">
            <w:pPr>
              <w:jc w:val="center"/>
              <w:rPr>
                <w:rFonts w:ascii="Times New Roman"/>
                <w:sz w:val="21"/>
                <w:szCs w:val="21"/>
              </w:rPr>
            </w:pPr>
            <w:r>
              <w:rPr>
                <w:rFonts w:ascii="Times New Roman"/>
                <w:sz w:val="21"/>
                <w:szCs w:val="21"/>
              </w:rPr>
              <w:t>29</w:t>
            </w:r>
          </w:p>
        </w:tc>
        <w:tc>
          <w:tcPr>
            <w:tcW w:w="670" w:type="pct"/>
            <w:vAlign w:val="center"/>
          </w:tcPr>
          <w:p w14:paraId="68B54C6A">
            <w:pPr>
              <w:widowControl/>
              <w:jc w:val="center"/>
              <w:textAlignment w:val="center"/>
              <w:rPr>
                <w:rFonts w:ascii="Times New Roman"/>
                <w:kern w:val="0"/>
                <w:sz w:val="21"/>
                <w:szCs w:val="21"/>
              </w:rPr>
            </w:pPr>
            <w:r>
              <w:rPr>
                <w:rFonts w:hint="eastAsia" w:ascii="Times New Roman"/>
                <w:kern w:val="0"/>
                <w:sz w:val="21"/>
                <w:szCs w:val="21"/>
              </w:rPr>
              <w:t>甲苯</w:t>
            </w:r>
          </w:p>
        </w:tc>
        <w:tc>
          <w:tcPr>
            <w:tcW w:w="2109" w:type="pct"/>
            <w:vMerge w:val="continue"/>
            <w:vAlign w:val="center"/>
          </w:tcPr>
          <w:p w14:paraId="70D22EB8">
            <w:pPr>
              <w:widowControl/>
              <w:jc w:val="center"/>
              <w:textAlignment w:val="center"/>
              <w:rPr>
                <w:rFonts w:ascii="Times New Roman"/>
                <w:kern w:val="0"/>
                <w:sz w:val="21"/>
                <w:szCs w:val="21"/>
              </w:rPr>
            </w:pPr>
          </w:p>
        </w:tc>
        <w:tc>
          <w:tcPr>
            <w:tcW w:w="1098" w:type="pct"/>
            <w:vMerge w:val="continue"/>
            <w:vAlign w:val="center"/>
          </w:tcPr>
          <w:p w14:paraId="65A680B0">
            <w:pPr>
              <w:widowControl/>
              <w:jc w:val="center"/>
              <w:textAlignment w:val="center"/>
              <w:rPr>
                <w:rFonts w:ascii="Times New Roman"/>
                <w:kern w:val="0"/>
                <w:sz w:val="21"/>
                <w:szCs w:val="21"/>
              </w:rPr>
            </w:pPr>
          </w:p>
        </w:tc>
        <w:tc>
          <w:tcPr>
            <w:tcW w:w="739" w:type="pct"/>
            <w:vAlign w:val="center"/>
          </w:tcPr>
          <w:p w14:paraId="058775EA">
            <w:pPr>
              <w:jc w:val="center"/>
              <w:rPr>
                <w:rFonts w:ascii="Times New Roman"/>
                <w:sz w:val="21"/>
                <w:szCs w:val="21"/>
              </w:rPr>
            </w:pPr>
            <w:r>
              <w:rPr>
                <w:rFonts w:ascii="Times New Roman"/>
                <w:sz w:val="21"/>
                <w:szCs w:val="21"/>
              </w:rPr>
              <w:t>2µg/L</w:t>
            </w:r>
          </w:p>
        </w:tc>
      </w:tr>
      <w:tr w14:paraId="461E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381" w:type="pct"/>
            <w:vAlign w:val="center"/>
          </w:tcPr>
          <w:p w14:paraId="779128F7">
            <w:pPr>
              <w:jc w:val="center"/>
              <w:rPr>
                <w:rFonts w:ascii="Times New Roman"/>
                <w:sz w:val="21"/>
                <w:szCs w:val="21"/>
              </w:rPr>
            </w:pPr>
            <w:r>
              <w:rPr>
                <w:rFonts w:ascii="Times New Roman"/>
                <w:sz w:val="21"/>
                <w:szCs w:val="21"/>
              </w:rPr>
              <w:t>30</w:t>
            </w:r>
          </w:p>
        </w:tc>
        <w:tc>
          <w:tcPr>
            <w:tcW w:w="670" w:type="pct"/>
            <w:vAlign w:val="center"/>
          </w:tcPr>
          <w:p w14:paraId="5991992D">
            <w:pPr>
              <w:jc w:val="center"/>
              <w:rPr>
                <w:rFonts w:ascii="Times New Roman"/>
                <w:sz w:val="21"/>
                <w:szCs w:val="21"/>
              </w:rPr>
            </w:pPr>
            <w:r>
              <w:rPr>
                <w:rFonts w:hint="eastAsia" w:ascii="Times New Roman"/>
                <w:sz w:val="21"/>
                <w:szCs w:val="21"/>
              </w:rPr>
              <w:t>溶解性总固体</w:t>
            </w:r>
          </w:p>
        </w:tc>
        <w:tc>
          <w:tcPr>
            <w:tcW w:w="2109" w:type="pct"/>
            <w:vAlign w:val="center"/>
          </w:tcPr>
          <w:p w14:paraId="1BBE4218">
            <w:pPr>
              <w:widowControl/>
              <w:jc w:val="center"/>
              <w:textAlignment w:val="center"/>
              <w:rPr>
                <w:rFonts w:ascii="Times New Roman"/>
                <w:sz w:val="21"/>
                <w:szCs w:val="21"/>
              </w:rPr>
            </w:pPr>
            <w:r>
              <w:rPr>
                <w:rFonts w:ascii="Times New Roman"/>
                <w:sz w:val="21"/>
                <w:szCs w:val="21"/>
              </w:rPr>
              <w:t>《生活饮用水标准检验方法第 4 部分：感官性状和物理指标》GB/T 5750.4-2023/11.1称量法</w:t>
            </w:r>
          </w:p>
        </w:tc>
        <w:tc>
          <w:tcPr>
            <w:tcW w:w="1098" w:type="pct"/>
            <w:vAlign w:val="center"/>
          </w:tcPr>
          <w:p w14:paraId="5371D75B">
            <w:pPr>
              <w:widowControl/>
              <w:jc w:val="center"/>
              <w:textAlignment w:val="center"/>
              <w:rPr>
                <w:rFonts w:ascii="Times New Roman"/>
                <w:sz w:val="21"/>
                <w:szCs w:val="21"/>
              </w:rPr>
            </w:pPr>
            <w:r>
              <w:rPr>
                <w:rFonts w:ascii="Times New Roman"/>
                <w:sz w:val="21"/>
                <w:szCs w:val="21"/>
              </w:rPr>
              <w:t>AUW120D 电子天平</w:t>
            </w:r>
          </w:p>
          <w:p w14:paraId="0705391A">
            <w:pPr>
              <w:widowControl/>
              <w:jc w:val="center"/>
              <w:textAlignment w:val="center"/>
              <w:rPr>
                <w:rFonts w:ascii="Times New Roman"/>
                <w:sz w:val="21"/>
                <w:szCs w:val="21"/>
              </w:rPr>
            </w:pPr>
            <w:r>
              <w:rPr>
                <w:rFonts w:ascii="Times New Roman"/>
                <w:sz w:val="21"/>
                <w:szCs w:val="21"/>
              </w:rPr>
              <w:t>（HBHF/YQ045）</w:t>
            </w:r>
          </w:p>
          <w:p w14:paraId="48A6EF61">
            <w:pPr>
              <w:widowControl/>
              <w:jc w:val="center"/>
              <w:textAlignment w:val="center"/>
              <w:rPr>
                <w:rFonts w:ascii="Times New Roman"/>
                <w:sz w:val="21"/>
                <w:szCs w:val="21"/>
              </w:rPr>
            </w:pPr>
            <w:r>
              <w:rPr>
                <w:rFonts w:ascii="Times New Roman"/>
                <w:sz w:val="21"/>
                <w:szCs w:val="21"/>
              </w:rPr>
              <w:t>JQ-GF136 电热鼓风干燥箱</w:t>
            </w:r>
          </w:p>
          <w:p w14:paraId="5F44C870">
            <w:pPr>
              <w:widowControl/>
              <w:jc w:val="center"/>
              <w:textAlignment w:val="center"/>
              <w:rPr>
                <w:rFonts w:ascii="Times New Roman"/>
                <w:sz w:val="21"/>
                <w:szCs w:val="21"/>
              </w:rPr>
            </w:pPr>
            <w:r>
              <w:rPr>
                <w:rFonts w:ascii="Times New Roman"/>
                <w:sz w:val="21"/>
                <w:szCs w:val="21"/>
              </w:rPr>
              <w:t>（HBHF/YQ143）</w:t>
            </w:r>
          </w:p>
        </w:tc>
        <w:tc>
          <w:tcPr>
            <w:tcW w:w="739" w:type="pct"/>
            <w:vAlign w:val="center"/>
          </w:tcPr>
          <w:p w14:paraId="1B1B4028">
            <w:pPr>
              <w:widowControl/>
              <w:jc w:val="center"/>
              <w:textAlignment w:val="center"/>
              <w:rPr>
                <w:rFonts w:ascii="Times New Roman"/>
                <w:sz w:val="21"/>
                <w:szCs w:val="21"/>
              </w:rPr>
            </w:pPr>
            <w:r>
              <w:rPr>
                <w:rFonts w:ascii="Times New Roman"/>
                <w:kern w:val="0"/>
                <w:sz w:val="21"/>
                <w:szCs w:val="21"/>
              </w:rPr>
              <w:t>4mg/L</w:t>
            </w:r>
          </w:p>
        </w:tc>
      </w:tr>
    </w:tbl>
    <w:p w14:paraId="657996EB">
      <w:pPr>
        <w:spacing w:line="460" w:lineRule="exact"/>
        <w:ind w:left="480"/>
        <w:rPr>
          <w:rFonts w:ascii="Times New Roman"/>
          <w:snapToGrid w:val="0"/>
          <w:sz w:val="24"/>
          <w:szCs w:val="24"/>
        </w:rPr>
      </w:pPr>
      <w:r>
        <w:rPr>
          <w:rFonts w:ascii="Times New Roman"/>
          <w:snapToGrid w:val="0"/>
          <w:sz w:val="24"/>
          <w:szCs w:val="24"/>
          <w:lang w:val="zh-CN"/>
        </w:rPr>
        <w:t>（3）监测频率：监测</w:t>
      </w:r>
      <w:r>
        <w:rPr>
          <w:rFonts w:ascii="Times New Roman"/>
          <w:snapToGrid w:val="0"/>
          <w:sz w:val="24"/>
          <w:szCs w:val="24"/>
        </w:rPr>
        <w:t>1天，取样1次。</w:t>
      </w:r>
    </w:p>
    <w:p w14:paraId="224F3B82">
      <w:pPr>
        <w:spacing w:line="480" w:lineRule="exact"/>
        <w:ind w:firstLine="480" w:firstLineChars="200"/>
        <w:rPr>
          <w:rFonts w:ascii="Times New Roman"/>
          <w:sz w:val="24"/>
          <w:szCs w:val="24"/>
        </w:rPr>
      </w:pPr>
      <w:r>
        <w:rPr>
          <w:rFonts w:ascii="Times New Roman"/>
          <w:sz w:val="24"/>
          <w:szCs w:val="24"/>
        </w:rPr>
        <w:t>（4）评价方法</w:t>
      </w:r>
    </w:p>
    <w:p w14:paraId="6FF265BF">
      <w:pPr>
        <w:spacing w:line="480" w:lineRule="exact"/>
        <w:ind w:firstLine="480" w:firstLineChars="200"/>
        <w:rPr>
          <w:rFonts w:ascii="Times New Roman"/>
          <w:sz w:val="24"/>
          <w:szCs w:val="24"/>
        </w:rPr>
      </w:pPr>
      <w:r>
        <w:rPr>
          <w:rFonts w:ascii="Times New Roman"/>
          <w:sz w:val="24"/>
          <w:szCs w:val="24"/>
        </w:rPr>
        <w:t>① 评价因子j在i监测点的标准指数</w:t>
      </w:r>
    </w:p>
    <w:p w14:paraId="148CBF91">
      <w:pPr>
        <w:spacing w:line="480" w:lineRule="exact"/>
        <w:ind w:firstLine="480" w:firstLineChars="200"/>
        <w:rPr>
          <w:rFonts w:ascii="Times New Roman"/>
          <w:sz w:val="24"/>
          <w:szCs w:val="24"/>
        </w:rPr>
      </w:pPr>
      <w:r>
        <w:rPr>
          <w:rFonts w:ascii="Times New Roman"/>
          <w:sz w:val="24"/>
          <w:szCs w:val="24"/>
        </w:rPr>
        <w:drawing>
          <wp:anchor distT="0" distB="0" distL="114300" distR="114300" simplePos="0" relativeHeight="251689984" behindDoc="1" locked="0" layoutInCell="1" allowOverlap="0">
            <wp:simplePos x="0" y="0"/>
            <wp:positionH relativeFrom="column">
              <wp:posOffset>1510665</wp:posOffset>
            </wp:positionH>
            <wp:positionV relativeFrom="paragraph">
              <wp:posOffset>78740</wp:posOffset>
            </wp:positionV>
            <wp:extent cx="969645" cy="443230"/>
            <wp:effectExtent l="0" t="0" r="0" b="14605"/>
            <wp:wrapTight wrapText="bothSides">
              <wp:wrapPolygon>
                <wp:start x="12731" y="2785"/>
                <wp:lineTo x="424" y="7427"/>
                <wp:lineTo x="424" y="13926"/>
                <wp:lineTo x="11882" y="17639"/>
                <wp:lineTo x="14428" y="20424"/>
                <wp:lineTo x="16126" y="20424"/>
                <wp:lineTo x="16550" y="17639"/>
                <wp:lineTo x="20369" y="11140"/>
                <wp:lineTo x="15701" y="2785"/>
                <wp:lineTo x="12731" y="2785"/>
              </wp:wrapPolygon>
            </wp:wrapTight>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69645" cy="443230"/>
                    </a:xfrm>
                    <a:prstGeom prst="rect">
                      <a:avLst/>
                    </a:prstGeom>
                    <a:noFill/>
                    <a:ln>
                      <a:noFill/>
                    </a:ln>
                  </pic:spPr>
                </pic:pic>
              </a:graphicData>
            </a:graphic>
          </wp:anchor>
        </w:drawing>
      </w:r>
    </w:p>
    <w:p w14:paraId="79D71F60">
      <w:pPr>
        <w:spacing w:line="480" w:lineRule="exact"/>
        <w:ind w:firstLine="480" w:firstLineChars="200"/>
        <w:rPr>
          <w:rFonts w:ascii="Times New Roman"/>
          <w:sz w:val="24"/>
          <w:szCs w:val="24"/>
        </w:rPr>
      </w:pPr>
    </w:p>
    <w:p w14:paraId="69994447">
      <w:pPr>
        <w:spacing w:line="480" w:lineRule="exact"/>
        <w:ind w:firstLine="200"/>
        <w:rPr>
          <w:rFonts w:ascii="Times New Roman"/>
          <w:sz w:val="24"/>
          <w:szCs w:val="24"/>
        </w:rPr>
      </w:pPr>
      <w:r>
        <w:rPr>
          <w:rFonts w:ascii="Times New Roman"/>
          <w:sz w:val="24"/>
          <w:szCs w:val="24"/>
        </w:rPr>
        <w:t>式中：P</w:t>
      </w:r>
      <w:r>
        <w:rPr>
          <w:rFonts w:ascii="Times New Roman"/>
          <w:sz w:val="24"/>
          <w:szCs w:val="24"/>
          <w:vertAlign w:val="subscript"/>
        </w:rPr>
        <w:t>ij</w:t>
      </w:r>
      <w:r>
        <w:rPr>
          <w:rFonts w:ascii="Times New Roman"/>
          <w:sz w:val="24"/>
          <w:szCs w:val="24"/>
        </w:rPr>
        <w:t>—i监测点j因子的标准指数；</w:t>
      </w:r>
    </w:p>
    <w:p w14:paraId="28BEDBB0">
      <w:pPr>
        <w:spacing w:line="480" w:lineRule="exact"/>
        <w:ind w:firstLine="1200" w:firstLineChars="500"/>
        <w:rPr>
          <w:rFonts w:ascii="Times New Roman"/>
          <w:sz w:val="24"/>
          <w:szCs w:val="24"/>
        </w:rPr>
      </w:pPr>
      <w:r>
        <w:rPr>
          <w:rFonts w:ascii="Times New Roman"/>
          <w:sz w:val="24"/>
          <w:szCs w:val="24"/>
        </w:rPr>
        <w:t>C</w:t>
      </w:r>
      <w:r>
        <w:rPr>
          <w:rFonts w:ascii="Times New Roman"/>
          <w:sz w:val="24"/>
          <w:szCs w:val="24"/>
          <w:vertAlign w:val="subscript"/>
        </w:rPr>
        <w:t>ij</w:t>
      </w:r>
      <w:r>
        <w:rPr>
          <w:rFonts w:ascii="Times New Roman"/>
          <w:sz w:val="24"/>
          <w:szCs w:val="24"/>
        </w:rPr>
        <w:t>—i监测点j因子的实测浓度，mg/L；</w:t>
      </w:r>
    </w:p>
    <w:p w14:paraId="52815562">
      <w:pPr>
        <w:spacing w:line="480" w:lineRule="exact"/>
        <w:ind w:firstLine="480" w:firstLineChars="200"/>
        <w:rPr>
          <w:rFonts w:ascii="Times New Roman"/>
          <w:sz w:val="24"/>
          <w:szCs w:val="24"/>
        </w:rPr>
      </w:pPr>
      <w:r>
        <w:rPr>
          <w:rFonts w:ascii="Times New Roman"/>
          <w:sz w:val="24"/>
          <w:szCs w:val="24"/>
        </w:rPr>
        <w:t xml:space="preserve">      C</w:t>
      </w:r>
      <w:r>
        <w:rPr>
          <w:rFonts w:ascii="Times New Roman"/>
          <w:sz w:val="24"/>
          <w:szCs w:val="24"/>
          <w:vertAlign w:val="subscript"/>
        </w:rPr>
        <w:t>sj</w:t>
      </w:r>
      <w:r>
        <w:rPr>
          <w:rFonts w:ascii="Times New Roman"/>
          <w:sz w:val="24"/>
          <w:szCs w:val="24"/>
        </w:rPr>
        <w:t>—j因子的评价标准值，mg/L。</w:t>
      </w:r>
    </w:p>
    <w:p w14:paraId="30A76A47">
      <w:pPr>
        <w:spacing w:line="480" w:lineRule="exact"/>
        <w:ind w:firstLine="480" w:firstLineChars="200"/>
        <w:rPr>
          <w:rFonts w:ascii="Times New Roman"/>
          <w:sz w:val="24"/>
          <w:szCs w:val="24"/>
        </w:rPr>
      </w:pPr>
      <w:r>
        <w:rPr>
          <w:rFonts w:ascii="Times New Roman"/>
          <w:sz w:val="24"/>
          <w:szCs w:val="24"/>
        </w:rPr>
        <w:t>②对于pH值，评价公式为：</w:t>
      </w:r>
    </w:p>
    <w:p w14:paraId="0FF03D7F">
      <w:pPr>
        <w:spacing w:line="480" w:lineRule="exact"/>
        <w:ind w:firstLine="1200" w:firstLineChars="500"/>
        <w:rPr>
          <w:rFonts w:ascii="Times New Roman"/>
          <w:sz w:val="24"/>
          <w:szCs w:val="24"/>
        </w:rPr>
      </w:pPr>
      <w:r>
        <w:rPr>
          <w:rFonts w:ascii="Times New Roman"/>
          <w:sz w:val="24"/>
          <w:szCs w:val="24"/>
        </w:rPr>
        <w:t>P</w:t>
      </w:r>
      <w:r>
        <w:rPr>
          <w:rFonts w:ascii="Times New Roman"/>
          <w:sz w:val="24"/>
          <w:szCs w:val="24"/>
          <w:vertAlign w:val="subscript"/>
        </w:rPr>
        <w:t>pH</w:t>
      </w:r>
      <w:r>
        <w:rPr>
          <w:rFonts w:ascii="Times New Roman"/>
          <w:sz w:val="24"/>
          <w:szCs w:val="24"/>
        </w:rPr>
        <w:t>=（7.0-pH</w:t>
      </w:r>
      <w:r>
        <w:rPr>
          <w:rFonts w:ascii="Times New Roman"/>
          <w:sz w:val="24"/>
          <w:szCs w:val="24"/>
          <w:vertAlign w:val="subscript"/>
        </w:rPr>
        <w:t>i</w:t>
      </w:r>
      <w:r>
        <w:rPr>
          <w:rFonts w:ascii="Times New Roman"/>
          <w:sz w:val="24"/>
          <w:szCs w:val="24"/>
        </w:rPr>
        <w:t>）/（7.0-pH</w:t>
      </w:r>
      <w:r>
        <w:rPr>
          <w:rFonts w:ascii="Times New Roman"/>
          <w:sz w:val="24"/>
          <w:szCs w:val="24"/>
          <w:vertAlign w:val="subscript"/>
        </w:rPr>
        <w:t>sd</w:t>
      </w:r>
      <w:r>
        <w:rPr>
          <w:rFonts w:ascii="Times New Roman"/>
          <w:sz w:val="24"/>
          <w:szCs w:val="24"/>
        </w:rPr>
        <w:t>）       （pH</w:t>
      </w:r>
      <w:r>
        <w:rPr>
          <w:rFonts w:ascii="Times New Roman"/>
          <w:sz w:val="24"/>
          <w:szCs w:val="24"/>
          <w:vertAlign w:val="subscript"/>
        </w:rPr>
        <w:t>i</w:t>
      </w:r>
      <w:r>
        <w:rPr>
          <w:rFonts w:ascii="Times New Roman"/>
          <w:sz w:val="24"/>
          <w:szCs w:val="24"/>
        </w:rPr>
        <w:t>≤7.0）</w:t>
      </w:r>
    </w:p>
    <w:p w14:paraId="1F44A823">
      <w:pPr>
        <w:spacing w:line="480" w:lineRule="exact"/>
        <w:ind w:firstLine="1200" w:firstLineChars="500"/>
        <w:rPr>
          <w:rFonts w:ascii="Times New Roman"/>
          <w:sz w:val="24"/>
          <w:szCs w:val="24"/>
        </w:rPr>
      </w:pPr>
      <w:r>
        <w:rPr>
          <w:rFonts w:ascii="Times New Roman"/>
          <w:sz w:val="24"/>
          <w:szCs w:val="24"/>
        </w:rPr>
        <w:t>P</w:t>
      </w:r>
      <w:r>
        <w:rPr>
          <w:rFonts w:ascii="Times New Roman"/>
          <w:sz w:val="24"/>
          <w:szCs w:val="24"/>
          <w:vertAlign w:val="subscript"/>
        </w:rPr>
        <w:t>pH</w:t>
      </w:r>
      <w:r>
        <w:rPr>
          <w:rFonts w:ascii="Times New Roman"/>
          <w:sz w:val="24"/>
          <w:szCs w:val="24"/>
        </w:rPr>
        <w:t>=（pH</w:t>
      </w:r>
      <w:r>
        <w:rPr>
          <w:rFonts w:ascii="Times New Roman"/>
          <w:sz w:val="24"/>
          <w:szCs w:val="24"/>
          <w:vertAlign w:val="subscript"/>
        </w:rPr>
        <w:t>i</w:t>
      </w:r>
      <w:r>
        <w:rPr>
          <w:rFonts w:ascii="Times New Roman"/>
          <w:sz w:val="24"/>
          <w:szCs w:val="24"/>
        </w:rPr>
        <w:t>-7.0）/（pH</w:t>
      </w:r>
      <w:r>
        <w:rPr>
          <w:rFonts w:ascii="Times New Roman"/>
          <w:sz w:val="24"/>
          <w:szCs w:val="24"/>
          <w:vertAlign w:val="subscript"/>
        </w:rPr>
        <w:t>su</w:t>
      </w:r>
      <w:r>
        <w:rPr>
          <w:rFonts w:ascii="Times New Roman"/>
          <w:sz w:val="24"/>
          <w:szCs w:val="24"/>
        </w:rPr>
        <w:t>-7.0）       （pH</w:t>
      </w:r>
      <w:r>
        <w:rPr>
          <w:rFonts w:ascii="Times New Roman"/>
          <w:sz w:val="24"/>
          <w:szCs w:val="24"/>
          <w:vertAlign w:val="subscript"/>
        </w:rPr>
        <w:t>i</w:t>
      </w:r>
      <w:r>
        <w:rPr>
          <w:rFonts w:ascii="Times New Roman"/>
          <w:sz w:val="24"/>
          <w:szCs w:val="24"/>
        </w:rPr>
        <w:t>&gt;7.0）</w:t>
      </w:r>
    </w:p>
    <w:p w14:paraId="7A8E92D0">
      <w:pPr>
        <w:spacing w:line="480" w:lineRule="exact"/>
        <w:ind w:firstLine="480" w:firstLineChars="200"/>
        <w:rPr>
          <w:rFonts w:ascii="Times New Roman"/>
          <w:sz w:val="24"/>
          <w:szCs w:val="24"/>
        </w:rPr>
      </w:pPr>
      <w:r>
        <w:rPr>
          <w:rFonts w:ascii="Times New Roman"/>
          <w:sz w:val="24"/>
          <w:szCs w:val="24"/>
        </w:rPr>
        <w:t>式中：P</w:t>
      </w:r>
      <w:r>
        <w:rPr>
          <w:rFonts w:ascii="Times New Roman"/>
          <w:sz w:val="24"/>
          <w:szCs w:val="24"/>
          <w:vertAlign w:val="subscript"/>
        </w:rPr>
        <w:t>pH</w:t>
      </w:r>
      <w:r>
        <w:rPr>
          <w:rFonts w:ascii="Times New Roman"/>
          <w:sz w:val="24"/>
          <w:szCs w:val="24"/>
        </w:rPr>
        <w:t>—i监测点的pH评价指数；</w:t>
      </w:r>
    </w:p>
    <w:p w14:paraId="7F6079B5">
      <w:pPr>
        <w:spacing w:line="480" w:lineRule="exact"/>
        <w:ind w:firstLine="1200" w:firstLineChars="500"/>
        <w:rPr>
          <w:rFonts w:ascii="Times New Roman"/>
          <w:sz w:val="24"/>
          <w:szCs w:val="24"/>
        </w:rPr>
      </w:pPr>
      <w:r>
        <w:rPr>
          <w:rFonts w:ascii="Times New Roman"/>
          <w:sz w:val="24"/>
          <w:szCs w:val="24"/>
        </w:rPr>
        <w:t>p</w:t>
      </w:r>
      <w:r>
        <w:rPr>
          <w:rFonts w:ascii="Times New Roman"/>
          <w:sz w:val="24"/>
          <w:szCs w:val="24"/>
          <w:vertAlign w:val="subscript"/>
        </w:rPr>
        <w:t>Hi</w:t>
      </w:r>
      <w:r>
        <w:rPr>
          <w:rFonts w:ascii="Times New Roman"/>
          <w:sz w:val="24"/>
          <w:szCs w:val="24"/>
        </w:rPr>
        <w:t>—i监测点的水样pH监测值；</w:t>
      </w:r>
    </w:p>
    <w:p w14:paraId="12E2F593">
      <w:pPr>
        <w:spacing w:line="480" w:lineRule="exact"/>
        <w:ind w:firstLine="1200" w:firstLineChars="500"/>
        <w:rPr>
          <w:rFonts w:ascii="Times New Roman"/>
          <w:sz w:val="24"/>
          <w:szCs w:val="24"/>
        </w:rPr>
      </w:pPr>
      <w:r>
        <w:rPr>
          <w:rFonts w:ascii="Times New Roman"/>
          <w:sz w:val="24"/>
          <w:szCs w:val="24"/>
        </w:rPr>
        <w:t>pH</w:t>
      </w:r>
      <w:r>
        <w:rPr>
          <w:rFonts w:ascii="Times New Roman"/>
          <w:sz w:val="24"/>
          <w:szCs w:val="24"/>
          <w:vertAlign w:val="subscript"/>
        </w:rPr>
        <w:t>sd</w:t>
      </w:r>
      <w:r>
        <w:rPr>
          <w:rFonts w:ascii="Times New Roman"/>
          <w:sz w:val="24"/>
          <w:szCs w:val="24"/>
        </w:rPr>
        <w:t>—评价标准值的下限值；</w:t>
      </w:r>
    </w:p>
    <w:p w14:paraId="65108235">
      <w:pPr>
        <w:spacing w:line="480" w:lineRule="exact"/>
        <w:ind w:firstLine="1200" w:firstLineChars="500"/>
        <w:rPr>
          <w:rFonts w:ascii="Times New Roman"/>
          <w:sz w:val="24"/>
          <w:szCs w:val="24"/>
        </w:rPr>
      </w:pPr>
      <w:r>
        <w:rPr>
          <w:rFonts w:ascii="Times New Roman"/>
          <w:sz w:val="24"/>
          <w:szCs w:val="24"/>
        </w:rPr>
        <w:t>pH</w:t>
      </w:r>
      <w:r>
        <w:rPr>
          <w:rFonts w:ascii="Times New Roman"/>
          <w:sz w:val="24"/>
          <w:szCs w:val="24"/>
          <w:vertAlign w:val="subscript"/>
        </w:rPr>
        <w:t>su</w:t>
      </w:r>
      <w:r>
        <w:rPr>
          <w:rFonts w:ascii="Times New Roman"/>
          <w:sz w:val="24"/>
          <w:szCs w:val="24"/>
        </w:rPr>
        <w:t>—评价标准值的上限值。</w:t>
      </w:r>
    </w:p>
    <w:p w14:paraId="50B47229">
      <w:pPr>
        <w:spacing w:line="480" w:lineRule="exact"/>
        <w:ind w:firstLine="480" w:firstLineChars="200"/>
        <w:rPr>
          <w:rFonts w:ascii="Times New Roman"/>
          <w:sz w:val="24"/>
          <w:szCs w:val="24"/>
        </w:rPr>
      </w:pPr>
      <w:r>
        <w:rPr>
          <w:rFonts w:ascii="Times New Roman"/>
          <w:sz w:val="24"/>
          <w:szCs w:val="24"/>
        </w:rPr>
        <w:t>（5）评价标准</w:t>
      </w:r>
    </w:p>
    <w:p w14:paraId="46CCA115">
      <w:pPr>
        <w:spacing w:line="480" w:lineRule="exact"/>
        <w:ind w:firstLine="480" w:firstLineChars="200"/>
        <w:rPr>
          <w:rFonts w:ascii="Times New Roman"/>
          <w:sz w:val="24"/>
          <w:szCs w:val="24"/>
        </w:rPr>
      </w:pPr>
      <w:r>
        <w:rPr>
          <w:rFonts w:ascii="Times New Roman"/>
          <w:sz w:val="24"/>
          <w:szCs w:val="24"/>
        </w:rPr>
        <w:t>采用《地下水质量标准》（GB/T14848-2017）Ⅲ类标准进行，石油类参照执行《地表水环境质量标准》（GB3838-2002）III类标准。</w:t>
      </w:r>
    </w:p>
    <w:p w14:paraId="13924334">
      <w:pPr>
        <w:spacing w:line="480" w:lineRule="exact"/>
        <w:ind w:firstLine="480" w:firstLineChars="200"/>
        <w:rPr>
          <w:rFonts w:ascii="Times New Roman"/>
          <w:sz w:val="24"/>
          <w:szCs w:val="24"/>
        </w:rPr>
      </w:pPr>
      <w:r>
        <w:rPr>
          <w:rFonts w:ascii="Times New Roman"/>
          <w:sz w:val="24"/>
          <w:szCs w:val="24"/>
        </w:rPr>
        <w:t>（6）地下水现状评价结果</w:t>
      </w:r>
    </w:p>
    <w:p w14:paraId="3592F5D2">
      <w:pPr>
        <w:spacing w:line="460" w:lineRule="exact"/>
        <w:ind w:firstLine="480" w:firstLineChars="200"/>
        <w:rPr>
          <w:rFonts w:ascii="Times New Roman"/>
          <w:snapToGrid w:val="0"/>
          <w:sz w:val="24"/>
          <w:szCs w:val="24"/>
        </w:rPr>
      </w:pPr>
      <w:r>
        <w:rPr>
          <w:rFonts w:ascii="Times New Roman"/>
          <w:snapToGrid w:val="0"/>
          <w:sz w:val="24"/>
          <w:szCs w:val="24"/>
        </w:rPr>
        <w:t>监测结果见表4.2-9。</w:t>
      </w:r>
    </w:p>
    <w:p w14:paraId="779F10FA">
      <w:pPr>
        <w:spacing w:line="460" w:lineRule="exact"/>
        <w:ind w:firstLine="420" w:firstLineChars="200"/>
        <w:rPr>
          <w:rFonts w:ascii="Times New Roman"/>
          <w:snapToGrid w:val="0"/>
          <w:sz w:val="21"/>
          <w:szCs w:val="21"/>
        </w:rPr>
        <w:sectPr>
          <w:pgSz w:w="11906" w:h="16838"/>
          <w:pgMar w:top="1440" w:right="1797" w:bottom="1440" w:left="1797" w:header="1134" w:footer="1134" w:gutter="0"/>
          <w:cols w:space="720" w:num="1"/>
          <w:docGrid w:linePitch="340" w:charSpace="0"/>
        </w:sectPr>
      </w:pPr>
    </w:p>
    <w:p w14:paraId="491197CC">
      <w:pPr>
        <w:spacing w:line="440" w:lineRule="exact"/>
        <w:jc w:val="center"/>
        <w:rPr>
          <w:rFonts w:ascii="Times New Roman"/>
          <w:b/>
          <w:sz w:val="24"/>
          <w:szCs w:val="24"/>
        </w:rPr>
      </w:pPr>
      <w:r>
        <w:rPr>
          <w:rFonts w:ascii="Times New Roman"/>
          <w:b/>
          <w:sz w:val="24"/>
          <w:szCs w:val="24"/>
        </w:rPr>
        <w:t>表4.2-9  地下水现状监测结果一览表</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151"/>
        <w:gridCol w:w="1000"/>
        <w:gridCol w:w="1024"/>
        <w:gridCol w:w="1312"/>
        <w:gridCol w:w="1319"/>
        <w:gridCol w:w="1133"/>
      </w:tblGrid>
      <w:tr w14:paraId="4BBE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27" w:type="pct"/>
            <w:vMerge w:val="restart"/>
            <w:shd w:val="clear" w:color="auto" w:fill="auto"/>
            <w:vAlign w:val="center"/>
          </w:tcPr>
          <w:p w14:paraId="0296E852">
            <w:pPr>
              <w:jc w:val="center"/>
              <w:rPr>
                <w:rFonts w:ascii="Times New Roman"/>
                <w:kern w:val="0"/>
                <w:sz w:val="21"/>
                <w:szCs w:val="21"/>
              </w:rPr>
            </w:pPr>
            <w:r>
              <w:rPr>
                <w:rFonts w:ascii="Times New Roman"/>
                <w:kern w:val="0"/>
                <w:sz w:val="21"/>
                <w:szCs w:val="21"/>
              </w:rPr>
              <w:t>监测项目</w:t>
            </w:r>
          </w:p>
        </w:tc>
        <w:tc>
          <w:tcPr>
            <w:tcW w:w="675" w:type="pct"/>
            <w:vMerge w:val="restart"/>
            <w:shd w:val="clear" w:color="auto" w:fill="auto"/>
            <w:vAlign w:val="center"/>
          </w:tcPr>
          <w:p w14:paraId="1A7D7C40">
            <w:pPr>
              <w:jc w:val="center"/>
              <w:rPr>
                <w:rFonts w:ascii="Times New Roman"/>
                <w:kern w:val="0"/>
                <w:sz w:val="21"/>
                <w:szCs w:val="21"/>
              </w:rPr>
            </w:pPr>
            <w:r>
              <w:rPr>
                <w:rFonts w:ascii="Times New Roman"/>
                <w:kern w:val="0"/>
                <w:sz w:val="21"/>
                <w:szCs w:val="21"/>
              </w:rPr>
              <w:t>单位</w:t>
            </w:r>
          </w:p>
        </w:tc>
        <w:tc>
          <w:tcPr>
            <w:tcW w:w="587" w:type="pct"/>
            <w:vMerge w:val="restart"/>
            <w:shd w:val="clear" w:color="auto" w:fill="auto"/>
            <w:vAlign w:val="center"/>
          </w:tcPr>
          <w:p w14:paraId="08DE6094">
            <w:pPr>
              <w:jc w:val="center"/>
              <w:rPr>
                <w:rFonts w:ascii="Times New Roman"/>
                <w:kern w:val="0"/>
                <w:sz w:val="21"/>
                <w:szCs w:val="21"/>
              </w:rPr>
            </w:pPr>
            <w:r>
              <w:rPr>
                <w:rFonts w:ascii="Times New Roman"/>
                <w:kern w:val="0"/>
                <w:sz w:val="21"/>
                <w:szCs w:val="21"/>
              </w:rPr>
              <w:t>标准</w:t>
            </w:r>
          </w:p>
        </w:tc>
        <w:tc>
          <w:tcPr>
            <w:tcW w:w="2810" w:type="pct"/>
            <w:gridSpan w:val="4"/>
            <w:shd w:val="clear" w:color="auto" w:fill="auto"/>
            <w:vAlign w:val="center"/>
          </w:tcPr>
          <w:p w14:paraId="25C33F30">
            <w:pPr>
              <w:widowControl/>
              <w:jc w:val="center"/>
              <w:rPr>
                <w:rFonts w:ascii="Times New Roman"/>
                <w:kern w:val="0"/>
                <w:sz w:val="21"/>
                <w:szCs w:val="21"/>
              </w:rPr>
            </w:pPr>
            <w:r>
              <w:rPr>
                <w:rFonts w:ascii="Times New Roman"/>
                <w:kern w:val="0"/>
                <w:sz w:val="21"/>
                <w:szCs w:val="21"/>
              </w:rPr>
              <w:t>监测值</w:t>
            </w:r>
          </w:p>
        </w:tc>
      </w:tr>
      <w:tr w14:paraId="5D99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vMerge w:val="continue"/>
            <w:shd w:val="clear" w:color="auto" w:fill="auto"/>
            <w:vAlign w:val="center"/>
          </w:tcPr>
          <w:p w14:paraId="522A176C">
            <w:pPr>
              <w:widowControl/>
              <w:jc w:val="center"/>
              <w:rPr>
                <w:rFonts w:ascii="Times New Roman"/>
                <w:kern w:val="0"/>
                <w:sz w:val="21"/>
                <w:szCs w:val="21"/>
              </w:rPr>
            </w:pPr>
          </w:p>
        </w:tc>
        <w:tc>
          <w:tcPr>
            <w:tcW w:w="675" w:type="pct"/>
            <w:vMerge w:val="continue"/>
            <w:shd w:val="clear" w:color="auto" w:fill="auto"/>
            <w:vAlign w:val="center"/>
          </w:tcPr>
          <w:p w14:paraId="3F8C3AB5">
            <w:pPr>
              <w:widowControl/>
              <w:jc w:val="center"/>
              <w:rPr>
                <w:rFonts w:ascii="Times New Roman"/>
                <w:kern w:val="0"/>
                <w:sz w:val="21"/>
                <w:szCs w:val="21"/>
              </w:rPr>
            </w:pPr>
          </w:p>
        </w:tc>
        <w:tc>
          <w:tcPr>
            <w:tcW w:w="587" w:type="pct"/>
            <w:vMerge w:val="continue"/>
            <w:shd w:val="clear" w:color="auto" w:fill="auto"/>
            <w:vAlign w:val="center"/>
          </w:tcPr>
          <w:p w14:paraId="5C67A54A">
            <w:pPr>
              <w:widowControl/>
              <w:jc w:val="center"/>
              <w:rPr>
                <w:rFonts w:ascii="Times New Roman"/>
                <w:kern w:val="0"/>
                <w:sz w:val="21"/>
                <w:szCs w:val="21"/>
              </w:rPr>
            </w:pPr>
          </w:p>
        </w:tc>
        <w:tc>
          <w:tcPr>
            <w:tcW w:w="601" w:type="pct"/>
            <w:shd w:val="clear" w:color="auto" w:fill="auto"/>
            <w:vAlign w:val="center"/>
          </w:tcPr>
          <w:p w14:paraId="6E8AD149">
            <w:pPr>
              <w:widowControl/>
              <w:jc w:val="center"/>
              <w:rPr>
                <w:rFonts w:ascii="Times New Roman"/>
                <w:kern w:val="0"/>
                <w:sz w:val="21"/>
                <w:szCs w:val="21"/>
              </w:rPr>
            </w:pPr>
            <w:r>
              <w:rPr>
                <w:rFonts w:ascii="Times New Roman"/>
                <w:kern w:val="0"/>
                <w:sz w:val="21"/>
                <w:szCs w:val="21"/>
              </w:rPr>
              <w:t>Q</w:t>
            </w:r>
            <w:r>
              <w:rPr>
                <w:rFonts w:hint="eastAsia" w:ascii="Times New Roman"/>
                <w:kern w:val="0"/>
                <w:sz w:val="21"/>
                <w:szCs w:val="21"/>
              </w:rPr>
              <w:t>2</w:t>
            </w:r>
          </w:p>
        </w:tc>
        <w:tc>
          <w:tcPr>
            <w:tcW w:w="770" w:type="pct"/>
            <w:shd w:val="clear" w:color="auto" w:fill="auto"/>
            <w:vAlign w:val="center"/>
          </w:tcPr>
          <w:p w14:paraId="42B6F2BB">
            <w:pPr>
              <w:widowControl/>
              <w:jc w:val="center"/>
              <w:rPr>
                <w:rFonts w:ascii="Times New Roman"/>
                <w:kern w:val="0"/>
                <w:sz w:val="21"/>
                <w:szCs w:val="21"/>
              </w:rPr>
            </w:pPr>
            <w:r>
              <w:rPr>
                <w:rFonts w:ascii="Times New Roman"/>
                <w:kern w:val="0"/>
                <w:sz w:val="21"/>
                <w:szCs w:val="21"/>
              </w:rPr>
              <w:t>Q</w:t>
            </w:r>
            <w:r>
              <w:rPr>
                <w:rFonts w:hint="eastAsia" w:ascii="Times New Roman"/>
                <w:kern w:val="0"/>
                <w:sz w:val="21"/>
                <w:szCs w:val="21"/>
              </w:rPr>
              <w:t>3</w:t>
            </w:r>
          </w:p>
        </w:tc>
        <w:tc>
          <w:tcPr>
            <w:tcW w:w="774" w:type="pct"/>
            <w:shd w:val="clear" w:color="auto" w:fill="auto"/>
            <w:vAlign w:val="center"/>
          </w:tcPr>
          <w:p w14:paraId="7CA62875">
            <w:pPr>
              <w:widowControl/>
              <w:jc w:val="center"/>
              <w:rPr>
                <w:rFonts w:ascii="Times New Roman"/>
                <w:kern w:val="0"/>
                <w:sz w:val="21"/>
                <w:szCs w:val="21"/>
              </w:rPr>
            </w:pPr>
            <w:r>
              <w:rPr>
                <w:rFonts w:ascii="Times New Roman"/>
                <w:kern w:val="0"/>
                <w:sz w:val="21"/>
                <w:szCs w:val="21"/>
              </w:rPr>
              <w:t>Q</w:t>
            </w:r>
            <w:r>
              <w:rPr>
                <w:rFonts w:hint="eastAsia" w:ascii="Times New Roman"/>
                <w:kern w:val="0"/>
                <w:sz w:val="21"/>
                <w:szCs w:val="21"/>
              </w:rPr>
              <w:t>1</w:t>
            </w:r>
          </w:p>
        </w:tc>
        <w:tc>
          <w:tcPr>
            <w:tcW w:w="665" w:type="pct"/>
            <w:shd w:val="clear" w:color="auto" w:fill="auto"/>
            <w:vAlign w:val="center"/>
          </w:tcPr>
          <w:p w14:paraId="72E42320">
            <w:pPr>
              <w:widowControl/>
              <w:jc w:val="center"/>
              <w:rPr>
                <w:rFonts w:ascii="Times New Roman"/>
                <w:kern w:val="0"/>
                <w:sz w:val="21"/>
                <w:szCs w:val="21"/>
              </w:rPr>
            </w:pPr>
            <w:r>
              <w:rPr>
                <w:rFonts w:hint="eastAsia" w:ascii="Times New Roman"/>
                <w:kern w:val="0"/>
                <w:sz w:val="21"/>
                <w:szCs w:val="21"/>
              </w:rPr>
              <w:t>S1</w:t>
            </w:r>
          </w:p>
        </w:tc>
      </w:tr>
      <w:tr w14:paraId="7930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7" w:type="pct"/>
            <w:vMerge w:val="continue"/>
            <w:vAlign w:val="center"/>
          </w:tcPr>
          <w:p w14:paraId="25A36CF5">
            <w:pPr>
              <w:widowControl/>
              <w:jc w:val="center"/>
              <w:rPr>
                <w:rFonts w:ascii="Times New Roman"/>
                <w:kern w:val="0"/>
                <w:sz w:val="21"/>
                <w:szCs w:val="21"/>
              </w:rPr>
            </w:pPr>
          </w:p>
        </w:tc>
        <w:tc>
          <w:tcPr>
            <w:tcW w:w="675" w:type="pct"/>
            <w:vMerge w:val="continue"/>
            <w:vAlign w:val="center"/>
          </w:tcPr>
          <w:p w14:paraId="1193585E">
            <w:pPr>
              <w:widowControl/>
              <w:jc w:val="center"/>
              <w:rPr>
                <w:rFonts w:ascii="Times New Roman"/>
                <w:kern w:val="0"/>
                <w:sz w:val="21"/>
                <w:szCs w:val="21"/>
              </w:rPr>
            </w:pPr>
          </w:p>
        </w:tc>
        <w:tc>
          <w:tcPr>
            <w:tcW w:w="587" w:type="pct"/>
            <w:vMerge w:val="continue"/>
            <w:vAlign w:val="center"/>
          </w:tcPr>
          <w:p w14:paraId="506A6B34">
            <w:pPr>
              <w:widowControl/>
              <w:jc w:val="center"/>
              <w:rPr>
                <w:rFonts w:ascii="Times New Roman"/>
                <w:kern w:val="0"/>
                <w:sz w:val="21"/>
                <w:szCs w:val="21"/>
              </w:rPr>
            </w:pPr>
          </w:p>
        </w:tc>
        <w:tc>
          <w:tcPr>
            <w:tcW w:w="601" w:type="pct"/>
            <w:shd w:val="clear" w:color="auto" w:fill="auto"/>
            <w:vAlign w:val="center"/>
          </w:tcPr>
          <w:p w14:paraId="391A1A5B">
            <w:pPr>
              <w:widowControl/>
              <w:jc w:val="center"/>
              <w:rPr>
                <w:rFonts w:ascii="Times New Roman"/>
                <w:kern w:val="0"/>
                <w:sz w:val="21"/>
                <w:szCs w:val="21"/>
              </w:rPr>
            </w:pPr>
            <w:r>
              <w:rPr>
                <w:rFonts w:hint="eastAsia" w:ascii="Times New Roman"/>
                <w:kern w:val="0"/>
                <w:sz w:val="21"/>
                <w:szCs w:val="21"/>
              </w:rPr>
              <w:t>厂址</w:t>
            </w:r>
            <w:r>
              <w:rPr>
                <w:rFonts w:ascii="Times New Roman"/>
                <w:kern w:val="0"/>
                <w:sz w:val="21"/>
                <w:szCs w:val="21"/>
              </w:rPr>
              <w:t>内</w:t>
            </w:r>
          </w:p>
        </w:tc>
        <w:tc>
          <w:tcPr>
            <w:tcW w:w="770" w:type="pct"/>
            <w:shd w:val="clear" w:color="auto" w:fill="auto"/>
            <w:vAlign w:val="center"/>
          </w:tcPr>
          <w:p w14:paraId="285F53CA">
            <w:pPr>
              <w:widowControl/>
              <w:jc w:val="center"/>
              <w:rPr>
                <w:rFonts w:ascii="Times New Roman"/>
                <w:kern w:val="0"/>
                <w:sz w:val="21"/>
                <w:szCs w:val="21"/>
              </w:rPr>
            </w:pPr>
            <w:r>
              <w:rPr>
                <w:rFonts w:hint="eastAsia" w:ascii="Times New Roman"/>
                <w:kern w:val="0"/>
                <w:sz w:val="21"/>
                <w:szCs w:val="21"/>
              </w:rPr>
              <w:t>厂址东南</w:t>
            </w:r>
            <w:r>
              <w:rPr>
                <w:rFonts w:ascii="Times New Roman"/>
                <w:kern w:val="0"/>
                <w:sz w:val="21"/>
                <w:szCs w:val="21"/>
              </w:rPr>
              <w:t>侧</w:t>
            </w:r>
          </w:p>
        </w:tc>
        <w:tc>
          <w:tcPr>
            <w:tcW w:w="774" w:type="pct"/>
            <w:shd w:val="clear" w:color="auto" w:fill="auto"/>
            <w:vAlign w:val="center"/>
          </w:tcPr>
          <w:p w14:paraId="59FB1CE6">
            <w:pPr>
              <w:widowControl/>
              <w:jc w:val="center"/>
              <w:rPr>
                <w:rFonts w:ascii="Times New Roman"/>
                <w:kern w:val="0"/>
                <w:sz w:val="21"/>
                <w:szCs w:val="21"/>
              </w:rPr>
            </w:pPr>
            <w:r>
              <w:rPr>
                <w:rFonts w:hint="eastAsia" w:ascii="Times New Roman"/>
                <w:kern w:val="0"/>
                <w:sz w:val="21"/>
                <w:szCs w:val="21"/>
              </w:rPr>
              <w:t>厂址西北</w:t>
            </w:r>
            <w:r>
              <w:rPr>
                <w:rFonts w:ascii="Times New Roman"/>
                <w:kern w:val="0"/>
                <w:sz w:val="21"/>
                <w:szCs w:val="21"/>
              </w:rPr>
              <w:t>侧</w:t>
            </w:r>
          </w:p>
        </w:tc>
        <w:tc>
          <w:tcPr>
            <w:tcW w:w="665" w:type="pct"/>
            <w:shd w:val="clear" w:color="auto" w:fill="auto"/>
            <w:vAlign w:val="center"/>
          </w:tcPr>
          <w:p w14:paraId="257DC186">
            <w:pPr>
              <w:widowControl/>
              <w:jc w:val="center"/>
              <w:rPr>
                <w:rFonts w:ascii="Times New Roman"/>
                <w:kern w:val="0"/>
                <w:sz w:val="21"/>
                <w:szCs w:val="21"/>
              </w:rPr>
            </w:pPr>
            <w:r>
              <w:rPr>
                <w:rFonts w:hint="eastAsia" w:ascii="Times New Roman"/>
                <w:kern w:val="0"/>
                <w:sz w:val="21"/>
                <w:szCs w:val="21"/>
              </w:rPr>
              <w:t>厂址西侧</w:t>
            </w:r>
          </w:p>
        </w:tc>
      </w:tr>
      <w:tr w14:paraId="5A1A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7" w:type="pct"/>
            <w:shd w:val="clear" w:color="auto" w:fill="auto"/>
            <w:vAlign w:val="center"/>
          </w:tcPr>
          <w:p w14:paraId="487E013C">
            <w:pPr>
              <w:widowControl/>
              <w:jc w:val="center"/>
              <w:rPr>
                <w:rFonts w:ascii="Times New Roman"/>
                <w:kern w:val="0"/>
                <w:sz w:val="21"/>
                <w:szCs w:val="21"/>
              </w:rPr>
            </w:pPr>
            <w:r>
              <w:rPr>
                <w:rFonts w:ascii="Times New Roman"/>
                <w:sz w:val="21"/>
                <w:szCs w:val="21"/>
              </w:rPr>
              <w:t>pH值</w:t>
            </w:r>
          </w:p>
        </w:tc>
        <w:tc>
          <w:tcPr>
            <w:tcW w:w="675" w:type="pct"/>
            <w:shd w:val="clear" w:color="auto" w:fill="auto"/>
            <w:vAlign w:val="center"/>
          </w:tcPr>
          <w:p w14:paraId="5DFB8B54">
            <w:pPr>
              <w:widowControl/>
              <w:jc w:val="center"/>
              <w:rPr>
                <w:rFonts w:ascii="Times New Roman"/>
                <w:kern w:val="0"/>
                <w:sz w:val="21"/>
                <w:szCs w:val="21"/>
              </w:rPr>
            </w:pPr>
            <w:r>
              <w:rPr>
                <w:rFonts w:ascii="Times New Roman"/>
                <w:sz w:val="21"/>
                <w:szCs w:val="21"/>
              </w:rPr>
              <w:t>无量纲</w:t>
            </w:r>
          </w:p>
        </w:tc>
        <w:tc>
          <w:tcPr>
            <w:tcW w:w="587" w:type="pct"/>
            <w:shd w:val="clear" w:color="auto" w:fill="auto"/>
            <w:vAlign w:val="center"/>
          </w:tcPr>
          <w:p w14:paraId="6F22983E">
            <w:pPr>
              <w:widowControl/>
              <w:jc w:val="center"/>
              <w:rPr>
                <w:rFonts w:ascii="Times New Roman"/>
                <w:kern w:val="0"/>
                <w:sz w:val="21"/>
                <w:szCs w:val="21"/>
              </w:rPr>
            </w:pPr>
            <w:r>
              <w:rPr>
                <w:rFonts w:ascii="Times New Roman"/>
                <w:kern w:val="0"/>
                <w:sz w:val="21"/>
                <w:szCs w:val="21"/>
              </w:rPr>
              <w:t>6.5-8.5</w:t>
            </w:r>
          </w:p>
        </w:tc>
        <w:tc>
          <w:tcPr>
            <w:tcW w:w="601" w:type="pct"/>
            <w:shd w:val="clear" w:color="auto" w:fill="auto"/>
            <w:vAlign w:val="center"/>
          </w:tcPr>
          <w:p w14:paraId="405CB633">
            <w:pPr>
              <w:spacing w:line="300" w:lineRule="exact"/>
              <w:jc w:val="center"/>
              <w:rPr>
                <w:rFonts w:ascii="Times New Roman"/>
                <w:sz w:val="21"/>
                <w:szCs w:val="21"/>
              </w:rPr>
            </w:pPr>
            <w:r>
              <w:rPr>
                <w:rFonts w:hint="eastAsia" w:ascii="Times New Roman"/>
                <w:sz w:val="21"/>
                <w:szCs w:val="21"/>
              </w:rPr>
              <w:t>7.3</w:t>
            </w:r>
          </w:p>
        </w:tc>
        <w:tc>
          <w:tcPr>
            <w:tcW w:w="770" w:type="pct"/>
            <w:shd w:val="clear" w:color="auto" w:fill="auto"/>
            <w:vAlign w:val="center"/>
          </w:tcPr>
          <w:p w14:paraId="69F830F9">
            <w:pPr>
              <w:spacing w:line="300" w:lineRule="exact"/>
              <w:jc w:val="center"/>
              <w:rPr>
                <w:rFonts w:ascii="Times New Roman"/>
                <w:sz w:val="21"/>
                <w:szCs w:val="21"/>
              </w:rPr>
            </w:pPr>
            <w:r>
              <w:rPr>
                <w:rFonts w:hint="eastAsia" w:ascii="Times New Roman"/>
                <w:sz w:val="21"/>
                <w:szCs w:val="21"/>
              </w:rPr>
              <w:t>8.0</w:t>
            </w:r>
          </w:p>
        </w:tc>
        <w:tc>
          <w:tcPr>
            <w:tcW w:w="774" w:type="pct"/>
            <w:shd w:val="clear" w:color="auto" w:fill="auto"/>
            <w:vAlign w:val="center"/>
          </w:tcPr>
          <w:p w14:paraId="7697BA15">
            <w:pPr>
              <w:spacing w:line="300" w:lineRule="exact"/>
              <w:jc w:val="center"/>
              <w:rPr>
                <w:rFonts w:ascii="Times New Roman"/>
                <w:sz w:val="21"/>
                <w:szCs w:val="21"/>
              </w:rPr>
            </w:pPr>
            <w:r>
              <w:rPr>
                <w:rFonts w:ascii="Times New Roman"/>
                <w:sz w:val="21"/>
                <w:szCs w:val="21"/>
              </w:rPr>
              <w:t>7.</w:t>
            </w:r>
            <w:r>
              <w:rPr>
                <w:rFonts w:hint="eastAsia" w:ascii="Times New Roman"/>
                <w:sz w:val="21"/>
                <w:szCs w:val="21"/>
              </w:rPr>
              <w:t>3</w:t>
            </w:r>
          </w:p>
        </w:tc>
        <w:tc>
          <w:tcPr>
            <w:tcW w:w="665" w:type="pct"/>
            <w:shd w:val="clear" w:color="auto" w:fill="auto"/>
            <w:vAlign w:val="center"/>
          </w:tcPr>
          <w:p w14:paraId="16B2D62D">
            <w:pPr>
              <w:spacing w:line="300" w:lineRule="exact"/>
              <w:jc w:val="center"/>
              <w:rPr>
                <w:rFonts w:ascii="Times New Roman"/>
                <w:sz w:val="21"/>
                <w:szCs w:val="21"/>
              </w:rPr>
            </w:pPr>
            <w:r>
              <w:rPr>
                <w:rFonts w:hint="eastAsia" w:ascii="Times New Roman"/>
                <w:sz w:val="21"/>
                <w:szCs w:val="21"/>
              </w:rPr>
              <w:t>7.5</w:t>
            </w:r>
          </w:p>
        </w:tc>
      </w:tr>
      <w:tr w14:paraId="79C3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01829625">
            <w:pPr>
              <w:widowControl/>
              <w:jc w:val="center"/>
              <w:rPr>
                <w:rFonts w:ascii="Times New Roman"/>
                <w:sz w:val="21"/>
                <w:szCs w:val="21"/>
              </w:rPr>
            </w:pPr>
            <w:r>
              <w:rPr>
                <w:rFonts w:hint="eastAsia" w:ascii="Times New Roman"/>
                <w:sz w:val="21"/>
                <w:szCs w:val="21"/>
              </w:rPr>
              <w:t>总大肠菌群</w:t>
            </w:r>
          </w:p>
        </w:tc>
        <w:tc>
          <w:tcPr>
            <w:tcW w:w="675" w:type="pct"/>
            <w:shd w:val="clear" w:color="auto" w:fill="auto"/>
            <w:vAlign w:val="center"/>
          </w:tcPr>
          <w:p w14:paraId="0697C038">
            <w:pPr>
              <w:widowControl/>
              <w:jc w:val="center"/>
              <w:rPr>
                <w:rFonts w:ascii="Times New Roman"/>
                <w:sz w:val="21"/>
                <w:szCs w:val="21"/>
              </w:rPr>
            </w:pPr>
            <w:r>
              <w:rPr>
                <w:rFonts w:hint="eastAsia" w:ascii="Times New Roman"/>
                <w:sz w:val="21"/>
                <w:szCs w:val="21"/>
              </w:rPr>
              <w:t>MPN/L</w:t>
            </w:r>
          </w:p>
        </w:tc>
        <w:tc>
          <w:tcPr>
            <w:tcW w:w="587" w:type="pct"/>
            <w:shd w:val="clear" w:color="auto" w:fill="auto"/>
            <w:vAlign w:val="center"/>
          </w:tcPr>
          <w:p w14:paraId="712E68E8">
            <w:pPr>
              <w:widowControl/>
              <w:jc w:val="center"/>
              <w:rPr>
                <w:rFonts w:ascii="Times New Roman"/>
                <w:kern w:val="0"/>
                <w:sz w:val="21"/>
                <w:szCs w:val="21"/>
              </w:rPr>
            </w:pPr>
            <w:r>
              <w:rPr>
                <w:rFonts w:hint="eastAsia" w:ascii="Times New Roman"/>
                <w:kern w:val="0"/>
                <w:sz w:val="21"/>
                <w:szCs w:val="21"/>
              </w:rPr>
              <w:t>/</w:t>
            </w:r>
          </w:p>
        </w:tc>
        <w:tc>
          <w:tcPr>
            <w:tcW w:w="601" w:type="pct"/>
            <w:shd w:val="clear" w:color="auto" w:fill="auto"/>
            <w:vAlign w:val="center"/>
          </w:tcPr>
          <w:p w14:paraId="2D4B831D">
            <w:pPr>
              <w:ind w:left="-125" w:leftChars="-50" w:right="-125" w:rightChars="-50"/>
              <w:jc w:val="center"/>
              <w:rPr>
                <w:rFonts w:ascii="Times New Roman"/>
                <w:sz w:val="21"/>
                <w:szCs w:val="21"/>
              </w:rPr>
            </w:pPr>
            <w:r>
              <w:rPr>
                <w:rFonts w:hint="eastAsia" w:ascii="Times New Roman"/>
                <w:sz w:val="21"/>
                <w:szCs w:val="21"/>
              </w:rPr>
              <w:t>ND</w:t>
            </w:r>
          </w:p>
        </w:tc>
        <w:tc>
          <w:tcPr>
            <w:tcW w:w="770" w:type="pct"/>
            <w:shd w:val="clear" w:color="auto" w:fill="auto"/>
            <w:vAlign w:val="center"/>
          </w:tcPr>
          <w:p w14:paraId="248695A4">
            <w:pPr>
              <w:ind w:left="-125" w:leftChars="-50" w:right="-125" w:rightChars="-50"/>
              <w:jc w:val="center"/>
              <w:rPr>
                <w:rFonts w:ascii="Times New Roman"/>
                <w:sz w:val="21"/>
                <w:szCs w:val="21"/>
              </w:rPr>
            </w:pPr>
            <w:r>
              <w:rPr>
                <w:rFonts w:hint="eastAsia" w:ascii="Times New Roman"/>
                <w:sz w:val="21"/>
                <w:szCs w:val="21"/>
              </w:rPr>
              <w:t>ND</w:t>
            </w:r>
          </w:p>
        </w:tc>
        <w:tc>
          <w:tcPr>
            <w:tcW w:w="774" w:type="pct"/>
            <w:shd w:val="clear" w:color="auto" w:fill="auto"/>
            <w:vAlign w:val="center"/>
          </w:tcPr>
          <w:p w14:paraId="0EB8B301">
            <w:pPr>
              <w:ind w:left="-125" w:leftChars="-50" w:right="-125" w:rightChars="-50"/>
              <w:jc w:val="center"/>
              <w:rPr>
                <w:rFonts w:ascii="Times New Roman"/>
                <w:sz w:val="21"/>
                <w:szCs w:val="21"/>
              </w:rPr>
            </w:pPr>
            <w:r>
              <w:rPr>
                <w:rFonts w:hint="eastAsia" w:ascii="Times New Roman"/>
                <w:sz w:val="21"/>
                <w:szCs w:val="21"/>
              </w:rPr>
              <w:t>ND</w:t>
            </w:r>
          </w:p>
        </w:tc>
        <w:tc>
          <w:tcPr>
            <w:tcW w:w="665" w:type="pct"/>
            <w:shd w:val="clear" w:color="auto" w:fill="auto"/>
            <w:vAlign w:val="center"/>
          </w:tcPr>
          <w:p w14:paraId="1FDF40AA">
            <w:pPr>
              <w:ind w:left="-125" w:leftChars="-50" w:right="-125" w:rightChars="-50"/>
              <w:jc w:val="center"/>
              <w:rPr>
                <w:rFonts w:ascii="Times New Roman"/>
                <w:sz w:val="21"/>
                <w:szCs w:val="21"/>
              </w:rPr>
            </w:pPr>
            <w:r>
              <w:rPr>
                <w:rFonts w:hint="eastAsia" w:ascii="Times New Roman"/>
                <w:sz w:val="21"/>
                <w:szCs w:val="21"/>
              </w:rPr>
              <w:t>ND</w:t>
            </w:r>
          </w:p>
        </w:tc>
      </w:tr>
      <w:tr w14:paraId="40BB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3ED9DAB6">
            <w:pPr>
              <w:widowControl/>
              <w:jc w:val="center"/>
              <w:rPr>
                <w:rFonts w:ascii="Times New Roman"/>
                <w:kern w:val="0"/>
                <w:sz w:val="21"/>
                <w:szCs w:val="21"/>
              </w:rPr>
            </w:pPr>
            <w:r>
              <w:rPr>
                <w:rFonts w:ascii="Times New Roman"/>
                <w:sz w:val="21"/>
                <w:szCs w:val="21"/>
              </w:rPr>
              <w:t>氨氮</w:t>
            </w:r>
          </w:p>
        </w:tc>
        <w:tc>
          <w:tcPr>
            <w:tcW w:w="675" w:type="pct"/>
            <w:shd w:val="clear" w:color="auto" w:fill="auto"/>
            <w:vAlign w:val="center"/>
          </w:tcPr>
          <w:p w14:paraId="4EB5808E">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7AA02741">
            <w:pPr>
              <w:widowControl/>
              <w:jc w:val="center"/>
              <w:rPr>
                <w:rFonts w:ascii="Times New Roman"/>
                <w:kern w:val="0"/>
                <w:sz w:val="21"/>
                <w:szCs w:val="21"/>
              </w:rPr>
            </w:pPr>
            <w:r>
              <w:rPr>
                <w:rFonts w:ascii="Times New Roman"/>
                <w:kern w:val="0"/>
                <w:sz w:val="21"/>
                <w:szCs w:val="21"/>
              </w:rPr>
              <w:t>0.5</w:t>
            </w:r>
          </w:p>
        </w:tc>
        <w:tc>
          <w:tcPr>
            <w:tcW w:w="601" w:type="pct"/>
            <w:shd w:val="clear" w:color="auto" w:fill="auto"/>
            <w:vAlign w:val="center"/>
          </w:tcPr>
          <w:p w14:paraId="510F0435">
            <w:pPr>
              <w:ind w:left="-125" w:leftChars="-50" w:right="-125" w:rightChars="-50"/>
              <w:jc w:val="center"/>
              <w:rPr>
                <w:rFonts w:ascii="Times New Roman"/>
                <w:sz w:val="21"/>
                <w:szCs w:val="21"/>
              </w:rPr>
            </w:pPr>
            <w:r>
              <w:rPr>
                <w:rFonts w:hint="eastAsia" w:ascii="Times New Roman"/>
                <w:sz w:val="21"/>
                <w:szCs w:val="21"/>
              </w:rPr>
              <w:t>0.243</w:t>
            </w:r>
          </w:p>
        </w:tc>
        <w:tc>
          <w:tcPr>
            <w:tcW w:w="770" w:type="pct"/>
            <w:shd w:val="clear" w:color="auto" w:fill="auto"/>
            <w:vAlign w:val="center"/>
          </w:tcPr>
          <w:p w14:paraId="25E75207">
            <w:pPr>
              <w:ind w:left="-125" w:leftChars="-50" w:right="-125" w:rightChars="-50"/>
              <w:jc w:val="center"/>
              <w:rPr>
                <w:rFonts w:ascii="Times New Roman"/>
                <w:sz w:val="21"/>
                <w:szCs w:val="21"/>
              </w:rPr>
            </w:pPr>
            <w:r>
              <w:rPr>
                <w:rFonts w:hint="eastAsia" w:ascii="Times New Roman"/>
                <w:sz w:val="21"/>
                <w:szCs w:val="21"/>
              </w:rPr>
              <w:t>0.271</w:t>
            </w:r>
          </w:p>
        </w:tc>
        <w:tc>
          <w:tcPr>
            <w:tcW w:w="774" w:type="pct"/>
            <w:shd w:val="clear" w:color="auto" w:fill="auto"/>
            <w:vAlign w:val="center"/>
          </w:tcPr>
          <w:p w14:paraId="6C486A09">
            <w:pPr>
              <w:ind w:left="-125" w:leftChars="-50" w:right="-125" w:rightChars="-50"/>
              <w:jc w:val="center"/>
              <w:rPr>
                <w:rFonts w:ascii="Times New Roman"/>
                <w:sz w:val="21"/>
                <w:szCs w:val="21"/>
              </w:rPr>
            </w:pPr>
            <w:r>
              <w:rPr>
                <w:rFonts w:hint="eastAsia" w:ascii="Times New Roman"/>
                <w:sz w:val="21"/>
                <w:szCs w:val="21"/>
              </w:rPr>
              <w:t>0.252</w:t>
            </w:r>
          </w:p>
        </w:tc>
        <w:tc>
          <w:tcPr>
            <w:tcW w:w="665" w:type="pct"/>
            <w:shd w:val="clear" w:color="auto" w:fill="auto"/>
            <w:vAlign w:val="center"/>
          </w:tcPr>
          <w:p w14:paraId="2A115737">
            <w:pPr>
              <w:ind w:left="-125" w:leftChars="-50" w:right="-125" w:rightChars="-50"/>
              <w:jc w:val="center"/>
              <w:rPr>
                <w:rFonts w:ascii="Times New Roman"/>
                <w:sz w:val="21"/>
                <w:szCs w:val="21"/>
              </w:rPr>
            </w:pPr>
            <w:r>
              <w:rPr>
                <w:rFonts w:hint="eastAsia" w:ascii="Times New Roman"/>
                <w:sz w:val="21"/>
                <w:szCs w:val="21"/>
              </w:rPr>
              <w:t>0.247</w:t>
            </w:r>
          </w:p>
        </w:tc>
      </w:tr>
      <w:tr w14:paraId="0B55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0BB8D65B">
            <w:pPr>
              <w:widowControl/>
              <w:jc w:val="center"/>
              <w:rPr>
                <w:rFonts w:ascii="Times New Roman"/>
                <w:sz w:val="21"/>
                <w:szCs w:val="21"/>
              </w:rPr>
            </w:pPr>
            <w:r>
              <w:rPr>
                <w:rFonts w:hint="eastAsia" w:ascii="Times New Roman"/>
                <w:sz w:val="21"/>
                <w:szCs w:val="21"/>
              </w:rPr>
              <w:t>总硬度</w:t>
            </w:r>
          </w:p>
        </w:tc>
        <w:tc>
          <w:tcPr>
            <w:tcW w:w="675" w:type="pct"/>
            <w:shd w:val="clear" w:color="auto" w:fill="auto"/>
            <w:vAlign w:val="center"/>
          </w:tcPr>
          <w:p w14:paraId="0B7DC6D9">
            <w:pPr>
              <w:widowControl/>
              <w:jc w:val="center"/>
              <w:rPr>
                <w:rFonts w:ascii="Times New Roman"/>
                <w:sz w:val="21"/>
                <w:szCs w:val="21"/>
              </w:rPr>
            </w:pPr>
            <w:r>
              <w:rPr>
                <w:rFonts w:ascii="Times New Roman"/>
                <w:sz w:val="21"/>
                <w:szCs w:val="21"/>
              </w:rPr>
              <w:t>mg/L</w:t>
            </w:r>
          </w:p>
        </w:tc>
        <w:tc>
          <w:tcPr>
            <w:tcW w:w="587" w:type="pct"/>
            <w:shd w:val="clear" w:color="auto" w:fill="auto"/>
            <w:vAlign w:val="center"/>
          </w:tcPr>
          <w:p w14:paraId="66A7DF94">
            <w:pPr>
              <w:widowControl/>
              <w:jc w:val="center"/>
              <w:rPr>
                <w:rFonts w:ascii="Times New Roman"/>
                <w:kern w:val="0"/>
                <w:sz w:val="21"/>
                <w:szCs w:val="21"/>
              </w:rPr>
            </w:pPr>
            <w:r>
              <w:rPr>
                <w:rFonts w:hint="eastAsia" w:ascii="Times New Roman"/>
                <w:kern w:val="0"/>
                <w:sz w:val="21"/>
                <w:szCs w:val="21"/>
              </w:rPr>
              <w:t>450</w:t>
            </w:r>
          </w:p>
        </w:tc>
        <w:tc>
          <w:tcPr>
            <w:tcW w:w="601" w:type="pct"/>
            <w:shd w:val="clear" w:color="auto" w:fill="auto"/>
            <w:vAlign w:val="center"/>
          </w:tcPr>
          <w:p w14:paraId="67E603B8">
            <w:pPr>
              <w:ind w:left="-125" w:leftChars="-50" w:right="-125" w:rightChars="-50"/>
              <w:jc w:val="center"/>
              <w:rPr>
                <w:rFonts w:ascii="Times New Roman"/>
                <w:sz w:val="21"/>
                <w:szCs w:val="21"/>
              </w:rPr>
            </w:pPr>
            <w:r>
              <w:rPr>
                <w:rFonts w:ascii="Times New Roman"/>
                <w:sz w:val="21"/>
                <w:szCs w:val="21"/>
              </w:rPr>
              <w:t>2.03×10</w:t>
            </w:r>
            <w:r>
              <w:rPr>
                <w:rFonts w:ascii="Times New Roman"/>
                <w:sz w:val="21"/>
                <w:szCs w:val="21"/>
                <w:vertAlign w:val="superscript"/>
              </w:rPr>
              <w:t>3</w:t>
            </w:r>
          </w:p>
        </w:tc>
        <w:tc>
          <w:tcPr>
            <w:tcW w:w="770" w:type="pct"/>
            <w:shd w:val="clear" w:color="auto" w:fill="auto"/>
            <w:vAlign w:val="center"/>
          </w:tcPr>
          <w:p w14:paraId="6F0CDD03">
            <w:pPr>
              <w:ind w:left="-125" w:leftChars="-50" w:right="-125" w:rightChars="-50"/>
              <w:jc w:val="center"/>
              <w:rPr>
                <w:rFonts w:ascii="Times New Roman"/>
                <w:sz w:val="21"/>
                <w:szCs w:val="21"/>
              </w:rPr>
            </w:pPr>
            <w:r>
              <w:rPr>
                <w:rFonts w:ascii="Times New Roman"/>
                <w:sz w:val="21"/>
                <w:szCs w:val="21"/>
              </w:rPr>
              <w:t>2.12×10</w:t>
            </w:r>
            <w:r>
              <w:rPr>
                <w:rFonts w:ascii="Times New Roman"/>
                <w:sz w:val="21"/>
                <w:szCs w:val="21"/>
                <w:vertAlign w:val="superscript"/>
              </w:rPr>
              <w:t>3</w:t>
            </w:r>
          </w:p>
        </w:tc>
        <w:tc>
          <w:tcPr>
            <w:tcW w:w="774" w:type="pct"/>
            <w:shd w:val="clear" w:color="auto" w:fill="auto"/>
            <w:vAlign w:val="center"/>
          </w:tcPr>
          <w:p w14:paraId="7968E1FB">
            <w:pPr>
              <w:ind w:left="-125" w:leftChars="-50" w:right="-125" w:rightChars="-50"/>
              <w:jc w:val="center"/>
              <w:rPr>
                <w:rFonts w:ascii="Times New Roman"/>
                <w:sz w:val="21"/>
                <w:szCs w:val="21"/>
              </w:rPr>
            </w:pPr>
            <w:r>
              <w:rPr>
                <w:rFonts w:ascii="Times New Roman"/>
                <w:sz w:val="21"/>
                <w:szCs w:val="21"/>
              </w:rPr>
              <w:t>1.95×10</w:t>
            </w:r>
            <w:r>
              <w:rPr>
                <w:rFonts w:ascii="Times New Roman"/>
                <w:sz w:val="21"/>
                <w:szCs w:val="21"/>
                <w:vertAlign w:val="superscript"/>
              </w:rPr>
              <w:t>3</w:t>
            </w:r>
          </w:p>
        </w:tc>
        <w:tc>
          <w:tcPr>
            <w:tcW w:w="665" w:type="pct"/>
            <w:shd w:val="clear" w:color="auto" w:fill="auto"/>
            <w:vAlign w:val="center"/>
          </w:tcPr>
          <w:p w14:paraId="6B35F97D">
            <w:pPr>
              <w:ind w:left="-125" w:leftChars="-50" w:right="-125" w:rightChars="-50"/>
              <w:jc w:val="center"/>
              <w:rPr>
                <w:rFonts w:ascii="Times New Roman"/>
                <w:sz w:val="21"/>
                <w:szCs w:val="21"/>
              </w:rPr>
            </w:pPr>
            <w:r>
              <w:rPr>
                <w:rFonts w:ascii="Times New Roman"/>
                <w:sz w:val="21"/>
                <w:szCs w:val="21"/>
              </w:rPr>
              <w:t>260</w:t>
            </w:r>
          </w:p>
        </w:tc>
      </w:tr>
      <w:tr w14:paraId="31A1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5C911596">
            <w:pPr>
              <w:widowControl/>
              <w:jc w:val="center"/>
              <w:rPr>
                <w:rFonts w:ascii="Times New Roman"/>
                <w:kern w:val="0"/>
                <w:sz w:val="21"/>
                <w:szCs w:val="21"/>
              </w:rPr>
            </w:pPr>
            <w:r>
              <w:rPr>
                <w:rFonts w:ascii="Times New Roman"/>
                <w:sz w:val="21"/>
                <w:szCs w:val="21"/>
              </w:rPr>
              <w:t>溶解性总固体</w:t>
            </w:r>
          </w:p>
        </w:tc>
        <w:tc>
          <w:tcPr>
            <w:tcW w:w="675" w:type="pct"/>
            <w:shd w:val="clear" w:color="auto" w:fill="auto"/>
            <w:vAlign w:val="center"/>
          </w:tcPr>
          <w:p w14:paraId="117E25EC">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0D46E0B1">
            <w:pPr>
              <w:widowControl/>
              <w:jc w:val="center"/>
              <w:rPr>
                <w:rFonts w:ascii="Times New Roman"/>
                <w:kern w:val="0"/>
                <w:sz w:val="21"/>
                <w:szCs w:val="21"/>
              </w:rPr>
            </w:pPr>
            <w:r>
              <w:rPr>
                <w:rFonts w:ascii="Times New Roman"/>
                <w:kern w:val="0"/>
                <w:sz w:val="21"/>
                <w:szCs w:val="21"/>
              </w:rPr>
              <w:t>1000</w:t>
            </w:r>
          </w:p>
        </w:tc>
        <w:tc>
          <w:tcPr>
            <w:tcW w:w="601" w:type="pct"/>
            <w:shd w:val="clear" w:color="auto" w:fill="auto"/>
            <w:vAlign w:val="center"/>
          </w:tcPr>
          <w:p w14:paraId="7E3A3C0D">
            <w:pPr>
              <w:spacing w:line="300" w:lineRule="exact"/>
              <w:jc w:val="center"/>
              <w:rPr>
                <w:rFonts w:ascii="Times New Roman" w:eastAsia="仿宋_GB2312"/>
                <w:sz w:val="21"/>
                <w:szCs w:val="21"/>
              </w:rPr>
            </w:pPr>
            <w:r>
              <w:rPr>
                <w:rFonts w:ascii="Times New Roman" w:eastAsia="仿宋_GB2312"/>
                <w:sz w:val="21"/>
                <w:szCs w:val="21"/>
              </w:rPr>
              <w:t>1.82</w:t>
            </w:r>
            <w:r>
              <w:rPr>
                <w:rFonts w:ascii="Times New Roman"/>
                <w:sz w:val="21"/>
                <w:szCs w:val="21"/>
              </w:rPr>
              <w:t>×10</w:t>
            </w:r>
            <w:r>
              <w:rPr>
                <w:rFonts w:ascii="Times New Roman"/>
                <w:sz w:val="21"/>
                <w:szCs w:val="21"/>
                <w:vertAlign w:val="superscript"/>
              </w:rPr>
              <w:t>4</w:t>
            </w:r>
          </w:p>
        </w:tc>
        <w:tc>
          <w:tcPr>
            <w:tcW w:w="770" w:type="pct"/>
            <w:shd w:val="clear" w:color="auto" w:fill="auto"/>
            <w:vAlign w:val="center"/>
          </w:tcPr>
          <w:p w14:paraId="2BF04D40">
            <w:pPr>
              <w:spacing w:line="300" w:lineRule="exact"/>
              <w:jc w:val="center"/>
              <w:rPr>
                <w:rFonts w:ascii="Times New Roman" w:eastAsia="仿宋_GB2312"/>
                <w:sz w:val="21"/>
                <w:szCs w:val="21"/>
              </w:rPr>
            </w:pPr>
            <w:r>
              <w:rPr>
                <w:rFonts w:ascii="Times New Roman" w:eastAsia="仿宋_GB2312"/>
                <w:sz w:val="21"/>
                <w:szCs w:val="21"/>
              </w:rPr>
              <w:t>1.95</w:t>
            </w:r>
            <w:r>
              <w:rPr>
                <w:rFonts w:ascii="Times New Roman"/>
                <w:sz w:val="21"/>
                <w:szCs w:val="21"/>
              </w:rPr>
              <w:t>×10</w:t>
            </w:r>
            <w:r>
              <w:rPr>
                <w:rFonts w:ascii="Times New Roman"/>
                <w:sz w:val="21"/>
                <w:szCs w:val="21"/>
                <w:vertAlign w:val="superscript"/>
              </w:rPr>
              <w:t>4</w:t>
            </w:r>
          </w:p>
        </w:tc>
        <w:tc>
          <w:tcPr>
            <w:tcW w:w="774" w:type="pct"/>
            <w:shd w:val="clear" w:color="auto" w:fill="auto"/>
            <w:vAlign w:val="center"/>
          </w:tcPr>
          <w:p w14:paraId="70F09BE8">
            <w:pPr>
              <w:spacing w:line="300" w:lineRule="exact"/>
              <w:jc w:val="center"/>
              <w:rPr>
                <w:rFonts w:ascii="Times New Roman" w:eastAsia="仿宋_GB2312"/>
                <w:sz w:val="21"/>
                <w:szCs w:val="21"/>
              </w:rPr>
            </w:pPr>
            <w:r>
              <w:rPr>
                <w:rFonts w:ascii="Times New Roman" w:eastAsia="仿宋_GB2312"/>
                <w:sz w:val="21"/>
                <w:szCs w:val="21"/>
              </w:rPr>
              <w:t>2.01</w:t>
            </w:r>
            <w:r>
              <w:rPr>
                <w:rFonts w:ascii="Times New Roman"/>
                <w:sz w:val="21"/>
                <w:szCs w:val="21"/>
              </w:rPr>
              <w:t>×10</w:t>
            </w:r>
            <w:r>
              <w:rPr>
                <w:rFonts w:ascii="Times New Roman"/>
                <w:sz w:val="21"/>
                <w:szCs w:val="21"/>
                <w:vertAlign w:val="superscript"/>
              </w:rPr>
              <w:t>4</w:t>
            </w:r>
          </w:p>
        </w:tc>
        <w:tc>
          <w:tcPr>
            <w:tcW w:w="665" w:type="pct"/>
            <w:shd w:val="clear" w:color="auto" w:fill="auto"/>
            <w:vAlign w:val="center"/>
          </w:tcPr>
          <w:p w14:paraId="5D0FC542">
            <w:pPr>
              <w:spacing w:line="300" w:lineRule="exact"/>
              <w:jc w:val="center"/>
              <w:rPr>
                <w:rFonts w:ascii="Times New Roman" w:eastAsia="仿宋_GB2312"/>
                <w:sz w:val="21"/>
                <w:szCs w:val="21"/>
              </w:rPr>
            </w:pPr>
            <w:r>
              <w:rPr>
                <w:rFonts w:ascii="Times New Roman" w:eastAsia="仿宋_GB2312"/>
                <w:sz w:val="21"/>
                <w:szCs w:val="21"/>
              </w:rPr>
              <w:t>750</w:t>
            </w:r>
          </w:p>
        </w:tc>
      </w:tr>
      <w:tr w14:paraId="1FE7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53AB7E79">
            <w:pPr>
              <w:widowControl/>
              <w:jc w:val="center"/>
              <w:rPr>
                <w:rFonts w:ascii="Times New Roman"/>
                <w:kern w:val="0"/>
                <w:sz w:val="21"/>
                <w:szCs w:val="21"/>
              </w:rPr>
            </w:pPr>
            <w:r>
              <w:rPr>
                <w:rFonts w:ascii="Times New Roman"/>
                <w:sz w:val="21"/>
                <w:szCs w:val="21"/>
              </w:rPr>
              <w:t>硝酸盐氮</w:t>
            </w:r>
          </w:p>
        </w:tc>
        <w:tc>
          <w:tcPr>
            <w:tcW w:w="675" w:type="pct"/>
            <w:shd w:val="clear" w:color="auto" w:fill="auto"/>
            <w:vAlign w:val="center"/>
          </w:tcPr>
          <w:p w14:paraId="70E216A7">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1FD8ECF3">
            <w:pPr>
              <w:widowControl/>
              <w:jc w:val="center"/>
              <w:rPr>
                <w:rFonts w:ascii="Times New Roman"/>
                <w:kern w:val="0"/>
                <w:sz w:val="21"/>
                <w:szCs w:val="21"/>
              </w:rPr>
            </w:pPr>
            <w:r>
              <w:rPr>
                <w:rFonts w:ascii="Times New Roman"/>
                <w:kern w:val="0"/>
                <w:sz w:val="21"/>
                <w:szCs w:val="21"/>
              </w:rPr>
              <w:t>20</w:t>
            </w:r>
          </w:p>
        </w:tc>
        <w:tc>
          <w:tcPr>
            <w:tcW w:w="601" w:type="pct"/>
            <w:shd w:val="clear" w:color="auto" w:fill="auto"/>
            <w:vAlign w:val="center"/>
          </w:tcPr>
          <w:p w14:paraId="3A53429E">
            <w:pPr>
              <w:spacing w:line="300" w:lineRule="exact"/>
              <w:jc w:val="center"/>
              <w:rPr>
                <w:rFonts w:ascii="Times New Roman"/>
                <w:sz w:val="21"/>
                <w:szCs w:val="21"/>
              </w:rPr>
            </w:pPr>
            <w:r>
              <w:rPr>
                <w:rFonts w:hint="eastAsia" w:ascii="Times New Roman"/>
                <w:sz w:val="21"/>
                <w:szCs w:val="21"/>
              </w:rPr>
              <w:t>3.88</w:t>
            </w:r>
          </w:p>
        </w:tc>
        <w:tc>
          <w:tcPr>
            <w:tcW w:w="770" w:type="pct"/>
            <w:shd w:val="clear" w:color="auto" w:fill="auto"/>
            <w:vAlign w:val="center"/>
          </w:tcPr>
          <w:p w14:paraId="53341CEF">
            <w:pPr>
              <w:spacing w:line="300" w:lineRule="exact"/>
              <w:jc w:val="center"/>
              <w:rPr>
                <w:rFonts w:ascii="Times New Roman"/>
                <w:sz w:val="21"/>
                <w:szCs w:val="21"/>
              </w:rPr>
            </w:pPr>
            <w:r>
              <w:rPr>
                <w:rFonts w:hint="eastAsia" w:ascii="Times New Roman"/>
                <w:sz w:val="21"/>
                <w:szCs w:val="21"/>
              </w:rPr>
              <w:t>3.47</w:t>
            </w:r>
          </w:p>
        </w:tc>
        <w:tc>
          <w:tcPr>
            <w:tcW w:w="774" w:type="pct"/>
            <w:shd w:val="clear" w:color="auto" w:fill="auto"/>
            <w:vAlign w:val="center"/>
          </w:tcPr>
          <w:p w14:paraId="528FA1CB">
            <w:pPr>
              <w:spacing w:line="300" w:lineRule="exact"/>
              <w:jc w:val="center"/>
              <w:rPr>
                <w:rFonts w:ascii="Times New Roman"/>
                <w:sz w:val="21"/>
                <w:szCs w:val="21"/>
              </w:rPr>
            </w:pPr>
            <w:r>
              <w:rPr>
                <w:rFonts w:hint="eastAsia" w:ascii="Times New Roman"/>
                <w:sz w:val="21"/>
                <w:szCs w:val="21"/>
              </w:rPr>
              <w:t>3.90</w:t>
            </w:r>
          </w:p>
        </w:tc>
        <w:tc>
          <w:tcPr>
            <w:tcW w:w="665" w:type="pct"/>
            <w:shd w:val="clear" w:color="auto" w:fill="auto"/>
            <w:vAlign w:val="center"/>
          </w:tcPr>
          <w:p w14:paraId="731CA8FD">
            <w:pPr>
              <w:spacing w:line="300" w:lineRule="exact"/>
              <w:jc w:val="center"/>
              <w:rPr>
                <w:rFonts w:ascii="Times New Roman"/>
                <w:sz w:val="21"/>
                <w:szCs w:val="21"/>
              </w:rPr>
            </w:pPr>
            <w:r>
              <w:rPr>
                <w:rFonts w:hint="eastAsia" w:ascii="Times New Roman"/>
                <w:sz w:val="21"/>
                <w:szCs w:val="21"/>
              </w:rPr>
              <w:t>3.56</w:t>
            </w:r>
          </w:p>
        </w:tc>
      </w:tr>
      <w:tr w14:paraId="7043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27" w:type="pct"/>
            <w:shd w:val="clear" w:color="auto" w:fill="auto"/>
            <w:vAlign w:val="center"/>
          </w:tcPr>
          <w:p w14:paraId="52093758">
            <w:pPr>
              <w:widowControl/>
              <w:jc w:val="center"/>
              <w:rPr>
                <w:rFonts w:ascii="Times New Roman"/>
                <w:kern w:val="0"/>
                <w:sz w:val="21"/>
                <w:szCs w:val="21"/>
              </w:rPr>
            </w:pPr>
            <w:r>
              <w:rPr>
                <w:rFonts w:ascii="Times New Roman"/>
                <w:sz w:val="21"/>
                <w:szCs w:val="21"/>
              </w:rPr>
              <w:t>亚硝酸盐氮</w:t>
            </w:r>
          </w:p>
        </w:tc>
        <w:tc>
          <w:tcPr>
            <w:tcW w:w="675" w:type="pct"/>
            <w:shd w:val="clear" w:color="auto" w:fill="auto"/>
            <w:vAlign w:val="center"/>
          </w:tcPr>
          <w:p w14:paraId="49157F27">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650255C2">
            <w:pPr>
              <w:widowControl/>
              <w:jc w:val="center"/>
              <w:rPr>
                <w:rFonts w:ascii="Times New Roman"/>
                <w:kern w:val="0"/>
                <w:sz w:val="21"/>
                <w:szCs w:val="21"/>
              </w:rPr>
            </w:pPr>
            <w:r>
              <w:rPr>
                <w:rFonts w:ascii="Times New Roman"/>
                <w:sz w:val="21"/>
                <w:szCs w:val="21"/>
              </w:rPr>
              <w:t>ND</w:t>
            </w:r>
          </w:p>
        </w:tc>
        <w:tc>
          <w:tcPr>
            <w:tcW w:w="601" w:type="pct"/>
            <w:shd w:val="clear" w:color="auto" w:fill="auto"/>
            <w:vAlign w:val="center"/>
          </w:tcPr>
          <w:p w14:paraId="7C928DD5">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2B8BBC21">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0FF80EAC">
            <w:pPr>
              <w:spacing w:line="300" w:lineRule="exact"/>
              <w:jc w:val="center"/>
              <w:rPr>
                <w:rFonts w:ascii="Times New Roman"/>
                <w:sz w:val="21"/>
                <w:szCs w:val="21"/>
              </w:rPr>
            </w:pPr>
            <w:r>
              <w:rPr>
                <w:rFonts w:ascii="Times New Roman"/>
                <w:sz w:val="21"/>
                <w:szCs w:val="21"/>
              </w:rPr>
              <w:t>ND</w:t>
            </w:r>
          </w:p>
        </w:tc>
        <w:tc>
          <w:tcPr>
            <w:tcW w:w="665" w:type="pct"/>
            <w:shd w:val="clear" w:color="auto" w:fill="auto"/>
            <w:vAlign w:val="center"/>
          </w:tcPr>
          <w:p w14:paraId="49456E8F">
            <w:pPr>
              <w:spacing w:line="300" w:lineRule="exact"/>
              <w:jc w:val="center"/>
              <w:rPr>
                <w:rFonts w:ascii="Times New Roman"/>
                <w:sz w:val="21"/>
                <w:szCs w:val="21"/>
              </w:rPr>
            </w:pPr>
            <w:r>
              <w:rPr>
                <w:rFonts w:ascii="Times New Roman"/>
                <w:sz w:val="21"/>
                <w:szCs w:val="21"/>
              </w:rPr>
              <w:t>ND</w:t>
            </w:r>
          </w:p>
        </w:tc>
      </w:tr>
      <w:tr w14:paraId="7037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0B60638B">
            <w:pPr>
              <w:widowControl/>
              <w:jc w:val="center"/>
              <w:rPr>
                <w:rFonts w:ascii="Times New Roman"/>
                <w:sz w:val="21"/>
                <w:szCs w:val="21"/>
              </w:rPr>
            </w:pPr>
            <w:r>
              <w:rPr>
                <w:rFonts w:hint="eastAsia" w:ascii="Times New Roman"/>
                <w:sz w:val="21"/>
                <w:szCs w:val="21"/>
              </w:rPr>
              <w:t>高锰酸盐指数</w:t>
            </w:r>
          </w:p>
        </w:tc>
        <w:tc>
          <w:tcPr>
            <w:tcW w:w="675" w:type="pct"/>
            <w:shd w:val="clear" w:color="auto" w:fill="auto"/>
            <w:vAlign w:val="center"/>
          </w:tcPr>
          <w:p w14:paraId="1A89ABBD">
            <w:pPr>
              <w:widowControl/>
              <w:jc w:val="center"/>
              <w:rPr>
                <w:rFonts w:ascii="Times New Roman"/>
                <w:sz w:val="21"/>
                <w:szCs w:val="21"/>
              </w:rPr>
            </w:pPr>
            <w:r>
              <w:rPr>
                <w:rFonts w:ascii="Times New Roman"/>
                <w:sz w:val="21"/>
                <w:szCs w:val="21"/>
              </w:rPr>
              <w:t>mg/L</w:t>
            </w:r>
          </w:p>
        </w:tc>
        <w:tc>
          <w:tcPr>
            <w:tcW w:w="587" w:type="pct"/>
            <w:shd w:val="clear" w:color="auto" w:fill="auto"/>
            <w:vAlign w:val="center"/>
          </w:tcPr>
          <w:p w14:paraId="3B09320A">
            <w:pPr>
              <w:widowControl/>
              <w:jc w:val="center"/>
              <w:rPr>
                <w:rFonts w:ascii="Times New Roman"/>
                <w:kern w:val="0"/>
                <w:sz w:val="21"/>
                <w:szCs w:val="21"/>
              </w:rPr>
            </w:pPr>
            <w:r>
              <w:rPr>
                <w:rFonts w:hint="eastAsia" w:ascii="Times New Roman"/>
                <w:kern w:val="0"/>
                <w:sz w:val="21"/>
                <w:szCs w:val="21"/>
              </w:rPr>
              <w:t>3</w:t>
            </w:r>
          </w:p>
        </w:tc>
        <w:tc>
          <w:tcPr>
            <w:tcW w:w="601" w:type="pct"/>
            <w:shd w:val="clear" w:color="auto" w:fill="auto"/>
            <w:vAlign w:val="center"/>
          </w:tcPr>
          <w:p w14:paraId="195B87CC">
            <w:pPr>
              <w:spacing w:line="300" w:lineRule="exact"/>
              <w:jc w:val="center"/>
              <w:rPr>
                <w:rFonts w:ascii="Times New Roman"/>
                <w:sz w:val="21"/>
                <w:szCs w:val="21"/>
              </w:rPr>
            </w:pPr>
            <w:r>
              <w:rPr>
                <w:rFonts w:hint="eastAsia" w:ascii="Times New Roman"/>
                <w:sz w:val="21"/>
                <w:szCs w:val="21"/>
              </w:rPr>
              <w:t>16.5</w:t>
            </w:r>
          </w:p>
        </w:tc>
        <w:tc>
          <w:tcPr>
            <w:tcW w:w="770" w:type="pct"/>
            <w:shd w:val="clear" w:color="auto" w:fill="auto"/>
            <w:vAlign w:val="center"/>
          </w:tcPr>
          <w:p w14:paraId="40272AC0">
            <w:pPr>
              <w:spacing w:line="300" w:lineRule="exact"/>
              <w:jc w:val="center"/>
              <w:rPr>
                <w:rFonts w:ascii="Times New Roman"/>
                <w:sz w:val="21"/>
                <w:szCs w:val="21"/>
              </w:rPr>
            </w:pPr>
            <w:r>
              <w:rPr>
                <w:rFonts w:hint="eastAsia" w:ascii="Times New Roman"/>
                <w:sz w:val="21"/>
                <w:szCs w:val="21"/>
              </w:rPr>
              <w:t>17.3</w:t>
            </w:r>
          </w:p>
        </w:tc>
        <w:tc>
          <w:tcPr>
            <w:tcW w:w="774" w:type="pct"/>
            <w:shd w:val="clear" w:color="auto" w:fill="auto"/>
            <w:vAlign w:val="center"/>
          </w:tcPr>
          <w:p w14:paraId="131D77F7">
            <w:pPr>
              <w:spacing w:line="300" w:lineRule="exact"/>
              <w:jc w:val="center"/>
              <w:rPr>
                <w:rFonts w:ascii="Times New Roman"/>
                <w:sz w:val="21"/>
                <w:szCs w:val="21"/>
              </w:rPr>
            </w:pPr>
            <w:r>
              <w:rPr>
                <w:rFonts w:hint="eastAsia" w:ascii="Times New Roman"/>
                <w:sz w:val="21"/>
                <w:szCs w:val="21"/>
              </w:rPr>
              <w:t>14.4</w:t>
            </w:r>
          </w:p>
        </w:tc>
        <w:tc>
          <w:tcPr>
            <w:tcW w:w="665" w:type="pct"/>
            <w:shd w:val="clear" w:color="auto" w:fill="auto"/>
            <w:vAlign w:val="center"/>
          </w:tcPr>
          <w:p w14:paraId="7493913C">
            <w:pPr>
              <w:spacing w:line="300" w:lineRule="exact"/>
              <w:jc w:val="center"/>
              <w:rPr>
                <w:rFonts w:ascii="Times New Roman"/>
                <w:sz w:val="21"/>
                <w:szCs w:val="21"/>
              </w:rPr>
            </w:pPr>
            <w:r>
              <w:rPr>
                <w:rFonts w:hint="eastAsia" w:ascii="Times New Roman"/>
                <w:sz w:val="21"/>
                <w:szCs w:val="21"/>
              </w:rPr>
              <w:t>2.7</w:t>
            </w:r>
          </w:p>
        </w:tc>
      </w:tr>
      <w:tr w14:paraId="04EC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088E0CB5">
            <w:pPr>
              <w:widowControl/>
              <w:jc w:val="center"/>
              <w:rPr>
                <w:rFonts w:ascii="Times New Roman"/>
                <w:sz w:val="21"/>
                <w:szCs w:val="21"/>
              </w:rPr>
            </w:pPr>
            <w:r>
              <w:rPr>
                <w:rFonts w:hint="eastAsia" w:ascii="Times New Roman"/>
                <w:sz w:val="21"/>
                <w:szCs w:val="21"/>
              </w:rPr>
              <w:t>碳酸盐</w:t>
            </w:r>
          </w:p>
        </w:tc>
        <w:tc>
          <w:tcPr>
            <w:tcW w:w="675" w:type="pct"/>
            <w:shd w:val="clear" w:color="auto" w:fill="auto"/>
            <w:vAlign w:val="center"/>
          </w:tcPr>
          <w:p w14:paraId="073A2D61">
            <w:pPr>
              <w:widowControl/>
              <w:jc w:val="center"/>
              <w:rPr>
                <w:rFonts w:ascii="Times New Roman"/>
                <w:sz w:val="21"/>
                <w:szCs w:val="21"/>
              </w:rPr>
            </w:pPr>
            <w:r>
              <w:rPr>
                <w:rFonts w:ascii="Times New Roman"/>
                <w:sz w:val="21"/>
                <w:szCs w:val="21"/>
              </w:rPr>
              <w:t>mg/L</w:t>
            </w:r>
          </w:p>
        </w:tc>
        <w:tc>
          <w:tcPr>
            <w:tcW w:w="587" w:type="pct"/>
            <w:shd w:val="clear" w:color="auto" w:fill="auto"/>
            <w:vAlign w:val="center"/>
          </w:tcPr>
          <w:p w14:paraId="7AF6198F">
            <w:pPr>
              <w:widowControl/>
              <w:jc w:val="center"/>
              <w:rPr>
                <w:rFonts w:ascii="Times New Roman"/>
                <w:kern w:val="0"/>
                <w:sz w:val="21"/>
                <w:szCs w:val="21"/>
              </w:rPr>
            </w:pPr>
            <w:r>
              <w:rPr>
                <w:rFonts w:hint="eastAsia" w:ascii="Times New Roman"/>
                <w:sz w:val="21"/>
                <w:szCs w:val="21"/>
              </w:rPr>
              <w:t>/</w:t>
            </w:r>
          </w:p>
        </w:tc>
        <w:tc>
          <w:tcPr>
            <w:tcW w:w="601" w:type="pct"/>
            <w:shd w:val="clear" w:color="auto" w:fill="auto"/>
            <w:vAlign w:val="center"/>
          </w:tcPr>
          <w:p w14:paraId="4A7ABEAE">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66DD4BCB">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3B11AF5B">
            <w:pPr>
              <w:spacing w:line="300" w:lineRule="exact"/>
              <w:jc w:val="center"/>
              <w:rPr>
                <w:rFonts w:ascii="Times New Roman"/>
                <w:sz w:val="21"/>
                <w:szCs w:val="21"/>
              </w:rPr>
            </w:pPr>
            <w:r>
              <w:rPr>
                <w:rFonts w:ascii="Times New Roman"/>
                <w:sz w:val="21"/>
                <w:szCs w:val="21"/>
              </w:rPr>
              <w:t>ND</w:t>
            </w:r>
          </w:p>
        </w:tc>
        <w:tc>
          <w:tcPr>
            <w:tcW w:w="665" w:type="pct"/>
            <w:shd w:val="clear" w:color="auto" w:fill="auto"/>
            <w:vAlign w:val="center"/>
          </w:tcPr>
          <w:p w14:paraId="0C1A5BB3">
            <w:pPr>
              <w:spacing w:line="300" w:lineRule="exact"/>
              <w:jc w:val="center"/>
              <w:rPr>
                <w:rFonts w:ascii="Times New Roman"/>
                <w:sz w:val="21"/>
                <w:szCs w:val="21"/>
              </w:rPr>
            </w:pPr>
            <w:r>
              <w:rPr>
                <w:rFonts w:ascii="Times New Roman"/>
                <w:sz w:val="21"/>
                <w:szCs w:val="21"/>
              </w:rPr>
              <w:t>ND</w:t>
            </w:r>
          </w:p>
        </w:tc>
      </w:tr>
      <w:tr w14:paraId="5FFA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4683ED0F">
            <w:pPr>
              <w:widowControl/>
              <w:jc w:val="center"/>
              <w:rPr>
                <w:rFonts w:ascii="Times New Roman"/>
                <w:sz w:val="21"/>
                <w:szCs w:val="21"/>
              </w:rPr>
            </w:pPr>
            <w:r>
              <w:rPr>
                <w:rFonts w:hint="eastAsia" w:ascii="Times New Roman"/>
                <w:sz w:val="21"/>
                <w:szCs w:val="21"/>
              </w:rPr>
              <w:t>碳酸氢盐</w:t>
            </w:r>
          </w:p>
        </w:tc>
        <w:tc>
          <w:tcPr>
            <w:tcW w:w="675" w:type="pct"/>
            <w:shd w:val="clear" w:color="auto" w:fill="auto"/>
            <w:vAlign w:val="center"/>
          </w:tcPr>
          <w:p w14:paraId="2A211E79">
            <w:pPr>
              <w:widowControl/>
              <w:jc w:val="center"/>
              <w:rPr>
                <w:rFonts w:ascii="Times New Roman"/>
                <w:sz w:val="21"/>
                <w:szCs w:val="21"/>
              </w:rPr>
            </w:pPr>
            <w:r>
              <w:rPr>
                <w:rFonts w:ascii="Times New Roman"/>
                <w:sz w:val="21"/>
                <w:szCs w:val="21"/>
              </w:rPr>
              <w:t>mg/L</w:t>
            </w:r>
          </w:p>
        </w:tc>
        <w:tc>
          <w:tcPr>
            <w:tcW w:w="587" w:type="pct"/>
            <w:shd w:val="clear" w:color="auto" w:fill="auto"/>
            <w:vAlign w:val="center"/>
          </w:tcPr>
          <w:p w14:paraId="62701759">
            <w:pPr>
              <w:widowControl/>
              <w:jc w:val="center"/>
              <w:rPr>
                <w:rFonts w:ascii="Times New Roman"/>
                <w:kern w:val="0"/>
                <w:sz w:val="21"/>
                <w:szCs w:val="21"/>
              </w:rPr>
            </w:pPr>
            <w:r>
              <w:rPr>
                <w:rFonts w:hint="eastAsia" w:ascii="Times New Roman"/>
                <w:kern w:val="0"/>
                <w:sz w:val="21"/>
                <w:szCs w:val="21"/>
              </w:rPr>
              <w:t>/</w:t>
            </w:r>
          </w:p>
        </w:tc>
        <w:tc>
          <w:tcPr>
            <w:tcW w:w="601" w:type="pct"/>
            <w:shd w:val="clear" w:color="auto" w:fill="auto"/>
            <w:vAlign w:val="center"/>
          </w:tcPr>
          <w:p w14:paraId="169965BE">
            <w:pPr>
              <w:spacing w:line="300" w:lineRule="exact"/>
              <w:jc w:val="center"/>
              <w:rPr>
                <w:rFonts w:ascii="Times New Roman"/>
                <w:sz w:val="21"/>
                <w:szCs w:val="21"/>
              </w:rPr>
            </w:pPr>
            <w:r>
              <w:rPr>
                <w:rFonts w:hint="eastAsia" w:ascii="Times New Roman"/>
                <w:sz w:val="21"/>
                <w:szCs w:val="21"/>
              </w:rPr>
              <w:t>869</w:t>
            </w:r>
          </w:p>
        </w:tc>
        <w:tc>
          <w:tcPr>
            <w:tcW w:w="770" w:type="pct"/>
            <w:shd w:val="clear" w:color="auto" w:fill="auto"/>
            <w:vAlign w:val="center"/>
          </w:tcPr>
          <w:p w14:paraId="3142BB77">
            <w:pPr>
              <w:spacing w:line="300" w:lineRule="exact"/>
              <w:jc w:val="center"/>
              <w:rPr>
                <w:rFonts w:ascii="Times New Roman"/>
                <w:sz w:val="21"/>
                <w:szCs w:val="21"/>
              </w:rPr>
            </w:pPr>
            <w:r>
              <w:rPr>
                <w:rFonts w:hint="eastAsia" w:ascii="Times New Roman"/>
                <w:sz w:val="21"/>
                <w:szCs w:val="21"/>
              </w:rPr>
              <w:t>885</w:t>
            </w:r>
          </w:p>
        </w:tc>
        <w:tc>
          <w:tcPr>
            <w:tcW w:w="774" w:type="pct"/>
            <w:shd w:val="clear" w:color="auto" w:fill="auto"/>
            <w:vAlign w:val="center"/>
          </w:tcPr>
          <w:p w14:paraId="3D75FF8D">
            <w:pPr>
              <w:spacing w:line="300" w:lineRule="exact"/>
              <w:jc w:val="center"/>
              <w:rPr>
                <w:rFonts w:ascii="Times New Roman"/>
                <w:sz w:val="21"/>
                <w:szCs w:val="21"/>
              </w:rPr>
            </w:pPr>
            <w:r>
              <w:rPr>
                <w:rFonts w:hint="eastAsia" w:ascii="Times New Roman"/>
                <w:sz w:val="21"/>
                <w:szCs w:val="21"/>
              </w:rPr>
              <w:t>854</w:t>
            </w:r>
          </w:p>
        </w:tc>
        <w:tc>
          <w:tcPr>
            <w:tcW w:w="665" w:type="pct"/>
            <w:shd w:val="clear" w:color="auto" w:fill="auto"/>
            <w:vAlign w:val="center"/>
          </w:tcPr>
          <w:p w14:paraId="39EFBE49">
            <w:pPr>
              <w:spacing w:line="300" w:lineRule="exact"/>
              <w:jc w:val="center"/>
              <w:rPr>
                <w:rFonts w:ascii="Times New Roman"/>
                <w:sz w:val="21"/>
                <w:szCs w:val="21"/>
              </w:rPr>
            </w:pPr>
            <w:r>
              <w:rPr>
                <w:rFonts w:hint="eastAsia" w:ascii="Times New Roman"/>
                <w:sz w:val="21"/>
                <w:szCs w:val="21"/>
              </w:rPr>
              <w:t>440</w:t>
            </w:r>
          </w:p>
        </w:tc>
      </w:tr>
      <w:tr w14:paraId="3017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1BAA4BD6">
            <w:pPr>
              <w:widowControl/>
              <w:jc w:val="center"/>
              <w:rPr>
                <w:rFonts w:ascii="Times New Roman"/>
                <w:sz w:val="21"/>
                <w:szCs w:val="21"/>
              </w:rPr>
            </w:pPr>
            <w:r>
              <w:rPr>
                <w:rFonts w:hint="eastAsia" w:ascii="Times New Roman"/>
                <w:sz w:val="21"/>
                <w:szCs w:val="21"/>
              </w:rPr>
              <w:t>铁</w:t>
            </w:r>
          </w:p>
        </w:tc>
        <w:tc>
          <w:tcPr>
            <w:tcW w:w="675" w:type="pct"/>
            <w:shd w:val="clear" w:color="auto" w:fill="auto"/>
            <w:vAlign w:val="center"/>
          </w:tcPr>
          <w:p w14:paraId="70C6638B">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36808BD7">
            <w:pPr>
              <w:widowControl/>
              <w:jc w:val="center"/>
              <w:rPr>
                <w:rFonts w:ascii="Times New Roman"/>
                <w:kern w:val="0"/>
                <w:sz w:val="21"/>
                <w:szCs w:val="21"/>
              </w:rPr>
            </w:pPr>
            <w:r>
              <w:rPr>
                <w:rFonts w:hint="eastAsia" w:ascii="Times New Roman"/>
                <w:kern w:val="0"/>
                <w:sz w:val="21"/>
                <w:szCs w:val="21"/>
              </w:rPr>
              <w:t>0.3</w:t>
            </w:r>
          </w:p>
        </w:tc>
        <w:tc>
          <w:tcPr>
            <w:tcW w:w="601" w:type="pct"/>
            <w:shd w:val="clear" w:color="auto" w:fill="auto"/>
            <w:vAlign w:val="center"/>
          </w:tcPr>
          <w:p w14:paraId="2EE268BE">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257DA8F2">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02DE9EC6">
            <w:pPr>
              <w:spacing w:line="300" w:lineRule="exact"/>
              <w:jc w:val="center"/>
              <w:rPr>
                <w:rFonts w:ascii="Times New Roman"/>
                <w:sz w:val="21"/>
                <w:szCs w:val="21"/>
              </w:rPr>
            </w:pPr>
            <w:r>
              <w:rPr>
                <w:rFonts w:hint="eastAsia" w:ascii="Times New Roman"/>
                <w:sz w:val="21"/>
                <w:szCs w:val="21"/>
              </w:rPr>
              <w:t>0.09</w:t>
            </w:r>
          </w:p>
        </w:tc>
        <w:tc>
          <w:tcPr>
            <w:tcW w:w="665" w:type="pct"/>
            <w:shd w:val="clear" w:color="auto" w:fill="auto"/>
            <w:vAlign w:val="center"/>
          </w:tcPr>
          <w:p w14:paraId="0D6263E4">
            <w:pPr>
              <w:spacing w:line="300" w:lineRule="exact"/>
              <w:jc w:val="center"/>
              <w:rPr>
                <w:rFonts w:ascii="Times New Roman"/>
                <w:sz w:val="21"/>
                <w:szCs w:val="21"/>
              </w:rPr>
            </w:pPr>
            <w:r>
              <w:rPr>
                <w:rFonts w:ascii="Times New Roman"/>
                <w:sz w:val="21"/>
                <w:szCs w:val="21"/>
              </w:rPr>
              <w:t>ND</w:t>
            </w:r>
          </w:p>
        </w:tc>
      </w:tr>
      <w:tr w14:paraId="3B00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13E44FE7">
            <w:pPr>
              <w:widowControl/>
              <w:jc w:val="center"/>
              <w:rPr>
                <w:rFonts w:ascii="Times New Roman"/>
                <w:sz w:val="21"/>
                <w:szCs w:val="21"/>
              </w:rPr>
            </w:pPr>
            <w:r>
              <w:rPr>
                <w:rFonts w:hint="eastAsia" w:ascii="Times New Roman"/>
                <w:sz w:val="21"/>
                <w:szCs w:val="21"/>
              </w:rPr>
              <w:t>锰</w:t>
            </w:r>
          </w:p>
        </w:tc>
        <w:tc>
          <w:tcPr>
            <w:tcW w:w="675" w:type="pct"/>
            <w:shd w:val="clear" w:color="auto" w:fill="auto"/>
            <w:vAlign w:val="center"/>
          </w:tcPr>
          <w:p w14:paraId="5AF07C26">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3EBB2DB5">
            <w:pPr>
              <w:widowControl/>
              <w:jc w:val="center"/>
              <w:rPr>
                <w:rFonts w:ascii="Times New Roman"/>
                <w:kern w:val="0"/>
                <w:sz w:val="21"/>
                <w:szCs w:val="21"/>
              </w:rPr>
            </w:pPr>
            <w:r>
              <w:rPr>
                <w:rFonts w:hint="eastAsia" w:ascii="Times New Roman"/>
                <w:kern w:val="0"/>
                <w:sz w:val="21"/>
                <w:szCs w:val="21"/>
              </w:rPr>
              <w:t>0.1</w:t>
            </w:r>
          </w:p>
        </w:tc>
        <w:tc>
          <w:tcPr>
            <w:tcW w:w="601" w:type="pct"/>
            <w:shd w:val="clear" w:color="auto" w:fill="auto"/>
            <w:vAlign w:val="center"/>
          </w:tcPr>
          <w:p w14:paraId="66D3D1CA">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56EF70E7">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4AFD9609">
            <w:pPr>
              <w:spacing w:line="300" w:lineRule="exact"/>
              <w:jc w:val="center"/>
              <w:rPr>
                <w:rFonts w:ascii="Times New Roman"/>
                <w:sz w:val="21"/>
                <w:szCs w:val="21"/>
              </w:rPr>
            </w:pPr>
            <w:r>
              <w:rPr>
                <w:rFonts w:ascii="Times New Roman"/>
                <w:sz w:val="21"/>
                <w:szCs w:val="21"/>
              </w:rPr>
              <w:t>ND</w:t>
            </w:r>
          </w:p>
        </w:tc>
        <w:tc>
          <w:tcPr>
            <w:tcW w:w="665" w:type="pct"/>
            <w:shd w:val="clear" w:color="auto" w:fill="auto"/>
            <w:vAlign w:val="center"/>
          </w:tcPr>
          <w:p w14:paraId="2C21F0A0">
            <w:pPr>
              <w:spacing w:line="300" w:lineRule="exact"/>
              <w:jc w:val="center"/>
              <w:rPr>
                <w:rFonts w:ascii="Times New Roman"/>
                <w:sz w:val="21"/>
                <w:szCs w:val="21"/>
              </w:rPr>
            </w:pPr>
            <w:r>
              <w:rPr>
                <w:rFonts w:ascii="Times New Roman"/>
                <w:sz w:val="21"/>
                <w:szCs w:val="21"/>
              </w:rPr>
              <w:t>ND</w:t>
            </w:r>
          </w:p>
        </w:tc>
      </w:tr>
      <w:tr w14:paraId="3C17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2A2C8E4B">
            <w:pPr>
              <w:widowControl/>
              <w:jc w:val="center"/>
              <w:rPr>
                <w:rFonts w:ascii="Times New Roman"/>
                <w:sz w:val="21"/>
                <w:szCs w:val="21"/>
              </w:rPr>
            </w:pPr>
            <w:r>
              <w:rPr>
                <w:rFonts w:hint="eastAsia" w:ascii="Times New Roman"/>
                <w:sz w:val="21"/>
                <w:szCs w:val="21"/>
              </w:rPr>
              <w:t>铅</w:t>
            </w:r>
          </w:p>
        </w:tc>
        <w:tc>
          <w:tcPr>
            <w:tcW w:w="675" w:type="pct"/>
            <w:shd w:val="clear" w:color="auto" w:fill="auto"/>
            <w:vAlign w:val="center"/>
          </w:tcPr>
          <w:p w14:paraId="75EC0A02">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7F93B1DA">
            <w:pPr>
              <w:widowControl/>
              <w:jc w:val="center"/>
              <w:rPr>
                <w:rFonts w:ascii="Times New Roman"/>
                <w:kern w:val="0"/>
                <w:sz w:val="21"/>
                <w:szCs w:val="21"/>
              </w:rPr>
            </w:pPr>
            <w:r>
              <w:rPr>
                <w:rFonts w:hint="eastAsia" w:ascii="Times New Roman"/>
                <w:kern w:val="0"/>
                <w:sz w:val="21"/>
                <w:szCs w:val="21"/>
              </w:rPr>
              <w:t>0.0100</w:t>
            </w:r>
          </w:p>
        </w:tc>
        <w:tc>
          <w:tcPr>
            <w:tcW w:w="601" w:type="pct"/>
            <w:shd w:val="clear" w:color="auto" w:fill="auto"/>
            <w:vAlign w:val="center"/>
          </w:tcPr>
          <w:p w14:paraId="26CCADA9">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7664D350">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0A91EF1F">
            <w:pPr>
              <w:spacing w:line="300" w:lineRule="exact"/>
              <w:jc w:val="center"/>
              <w:rPr>
                <w:rFonts w:ascii="Times New Roman"/>
                <w:sz w:val="21"/>
                <w:szCs w:val="21"/>
              </w:rPr>
            </w:pPr>
            <w:r>
              <w:rPr>
                <w:rFonts w:ascii="Times New Roman"/>
                <w:sz w:val="21"/>
                <w:szCs w:val="21"/>
              </w:rPr>
              <w:t>ND</w:t>
            </w:r>
          </w:p>
        </w:tc>
        <w:tc>
          <w:tcPr>
            <w:tcW w:w="665" w:type="pct"/>
            <w:shd w:val="clear" w:color="auto" w:fill="auto"/>
            <w:vAlign w:val="center"/>
          </w:tcPr>
          <w:p w14:paraId="5F16E3D3">
            <w:pPr>
              <w:spacing w:line="300" w:lineRule="exact"/>
              <w:jc w:val="center"/>
              <w:rPr>
                <w:rFonts w:ascii="Times New Roman"/>
                <w:sz w:val="21"/>
                <w:szCs w:val="21"/>
              </w:rPr>
            </w:pPr>
            <w:r>
              <w:rPr>
                <w:rFonts w:ascii="Times New Roman"/>
                <w:sz w:val="21"/>
                <w:szCs w:val="21"/>
              </w:rPr>
              <w:t>ND</w:t>
            </w:r>
          </w:p>
        </w:tc>
      </w:tr>
      <w:tr w14:paraId="5D89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2D8C5E6C">
            <w:pPr>
              <w:widowControl/>
              <w:jc w:val="center"/>
              <w:rPr>
                <w:rFonts w:ascii="Times New Roman"/>
                <w:sz w:val="21"/>
                <w:szCs w:val="21"/>
              </w:rPr>
            </w:pPr>
            <w:r>
              <w:rPr>
                <w:rFonts w:hint="eastAsia" w:ascii="Times New Roman"/>
                <w:sz w:val="21"/>
                <w:szCs w:val="21"/>
              </w:rPr>
              <w:t>镉</w:t>
            </w:r>
          </w:p>
        </w:tc>
        <w:tc>
          <w:tcPr>
            <w:tcW w:w="675" w:type="pct"/>
            <w:shd w:val="clear" w:color="auto" w:fill="auto"/>
            <w:vAlign w:val="center"/>
          </w:tcPr>
          <w:p w14:paraId="74E6D3D4">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3D58073B">
            <w:pPr>
              <w:widowControl/>
              <w:jc w:val="center"/>
              <w:rPr>
                <w:rFonts w:ascii="Times New Roman"/>
                <w:kern w:val="0"/>
                <w:sz w:val="21"/>
                <w:szCs w:val="21"/>
              </w:rPr>
            </w:pPr>
            <w:r>
              <w:rPr>
                <w:rFonts w:hint="eastAsia" w:ascii="Times New Roman"/>
                <w:kern w:val="0"/>
                <w:sz w:val="21"/>
                <w:szCs w:val="21"/>
              </w:rPr>
              <w:t>0.0050</w:t>
            </w:r>
          </w:p>
        </w:tc>
        <w:tc>
          <w:tcPr>
            <w:tcW w:w="601" w:type="pct"/>
            <w:shd w:val="clear" w:color="auto" w:fill="auto"/>
            <w:vAlign w:val="center"/>
          </w:tcPr>
          <w:p w14:paraId="546538EB">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07A4B67D">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170FE695">
            <w:pPr>
              <w:spacing w:line="300" w:lineRule="exact"/>
              <w:jc w:val="center"/>
              <w:rPr>
                <w:rFonts w:ascii="Times New Roman"/>
                <w:sz w:val="21"/>
                <w:szCs w:val="21"/>
              </w:rPr>
            </w:pPr>
            <w:r>
              <w:rPr>
                <w:rFonts w:ascii="Times New Roman"/>
                <w:sz w:val="21"/>
                <w:szCs w:val="21"/>
              </w:rPr>
              <w:t>ND</w:t>
            </w:r>
          </w:p>
        </w:tc>
        <w:tc>
          <w:tcPr>
            <w:tcW w:w="665" w:type="pct"/>
            <w:shd w:val="clear" w:color="auto" w:fill="auto"/>
            <w:vAlign w:val="center"/>
          </w:tcPr>
          <w:p w14:paraId="4DF42125">
            <w:pPr>
              <w:spacing w:line="300" w:lineRule="exact"/>
              <w:jc w:val="center"/>
              <w:rPr>
                <w:rFonts w:ascii="Times New Roman"/>
                <w:sz w:val="21"/>
                <w:szCs w:val="21"/>
              </w:rPr>
            </w:pPr>
            <w:r>
              <w:rPr>
                <w:rFonts w:ascii="Times New Roman"/>
                <w:sz w:val="21"/>
                <w:szCs w:val="21"/>
              </w:rPr>
              <w:t>ND</w:t>
            </w:r>
          </w:p>
        </w:tc>
      </w:tr>
      <w:tr w14:paraId="5B3E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25A7E9B5">
            <w:pPr>
              <w:widowControl/>
              <w:jc w:val="center"/>
              <w:rPr>
                <w:rFonts w:ascii="Times New Roman"/>
                <w:sz w:val="21"/>
                <w:szCs w:val="21"/>
              </w:rPr>
            </w:pPr>
            <w:r>
              <w:rPr>
                <w:rFonts w:hint="eastAsia" w:ascii="Times New Roman"/>
                <w:sz w:val="21"/>
                <w:szCs w:val="21"/>
              </w:rPr>
              <w:t>钾</w:t>
            </w:r>
          </w:p>
        </w:tc>
        <w:tc>
          <w:tcPr>
            <w:tcW w:w="675" w:type="pct"/>
            <w:shd w:val="clear" w:color="auto" w:fill="auto"/>
            <w:vAlign w:val="center"/>
          </w:tcPr>
          <w:p w14:paraId="7D7847FC">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17E3EA26">
            <w:pPr>
              <w:widowControl/>
              <w:jc w:val="center"/>
              <w:rPr>
                <w:rFonts w:ascii="Times New Roman"/>
                <w:kern w:val="0"/>
                <w:sz w:val="21"/>
                <w:szCs w:val="21"/>
              </w:rPr>
            </w:pPr>
            <w:r>
              <w:rPr>
                <w:rFonts w:hint="eastAsia" w:ascii="Times New Roman"/>
                <w:kern w:val="0"/>
                <w:sz w:val="21"/>
                <w:szCs w:val="21"/>
              </w:rPr>
              <w:t>/</w:t>
            </w:r>
          </w:p>
        </w:tc>
        <w:tc>
          <w:tcPr>
            <w:tcW w:w="601" w:type="pct"/>
            <w:shd w:val="clear" w:color="auto" w:fill="auto"/>
            <w:vAlign w:val="center"/>
          </w:tcPr>
          <w:p w14:paraId="4D6C5F48">
            <w:pPr>
              <w:spacing w:line="300" w:lineRule="exact"/>
              <w:jc w:val="center"/>
              <w:rPr>
                <w:rFonts w:ascii="Times New Roman"/>
                <w:sz w:val="21"/>
                <w:szCs w:val="21"/>
              </w:rPr>
            </w:pPr>
            <w:r>
              <w:rPr>
                <w:rFonts w:hint="eastAsia" w:ascii="Times New Roman"/>
                <w:sz w:val="21"/>
                <w:szCs w:val="21"/>
              </w:rPr>
              <w:t>24.2</w:t>
            </w:r>
          </w:p>
        </w:tc>
        <w:tc>
          <w:tcPr>
            <w:tcW w:w="770" w:type="pct"/>
            <w:shd w:val="clear" w:color="auto" w:fill="auto"/>
            <w:vAlign w:val="center"/>
          </w:tcPr>
          <w:p w14:paraId="0C205481">
            <w:pPr>
              <w:spacing w:line="300" w:lineRule="exact"/>
              <w:jc w:val="center"/>
              <w:rPr>
                <w:rFonts w:ascii="Times New Roman"/>
                <w:sz w:val="21"/>
                <w:szCs w:val="21"/>
              </w:rPr>
            </w:pPr>
            <w:r>
              <w:rPr>
                <w:rFonts w:hint="eastAsia" w:ascii="Times New Roman"/>
                <w:sz w:val="21"/>
                <w:szCs w:val="21"/>
              </w:rPr>
              <w:t>33.3</w:t>
            </w:r>
          </w:p>
        </w:tc>
        <w:tc>
          <w:tcPr>
            <w:tcW w:w="774" w:type="pct"/>
            <w:shd w:val="clear" w:color="auto" w:fill="auto"/>
            <w:vAlign w:val="center"/>
          </w:tcPr>
          <w:p w14:paraId="618B072A">
            <w:pPr>
              <w:spacing w:line="300" w:lineRule="exact"/>
              <w:jc w:val="center"/>
              <w:rPr>
                <w:rFonts w:ascii="Times New Roman"/>
                <w:sz w:val="21"/>
                <w:szCs w:val="21"/>
              </w:rPr>
            </w:pPr>
            <w:r>
              <w:rPr>
                <w:rFonts w:hint="eastAsia" w:ascii="Times New Roman"/>
                <w:sz w:val="21"/>
                <w:szCs w:val="21"/>
              </w:rPr>
              <w:t>25.2</w:t>
            </w:r>
          </w:p>
        </w:tc>
        <w:tc>
          <w:tcPr>
            <w:tcW w:w="665" w:type="pct"/>
            <w:shd w:val="clear" w:color="auto" w:fill="auto"/>
            <w:vAlign w:val="center"/>
          </w:tcPr>
          <w:p w14:paraId="17EE81C5">
            <w:pPr>
              <w:spacing w:line="300" w:lineRule="exact"/>
              <w:jc w:val="center"/>
              <w:rPr>
                <w:rFonts w:ascii="Times New Roman"/>
                <w:sz w:val="21"/>
                <w:szCs w:val="21"/>
              </w:rPr>
            </w:pPr>
            <w:r>
              <w:rPr>
                <w:rFonts w:hint="eastAsia" w:ascii="Times New Roman"/>
                <w:sz w:val="21"/>
                <w:szCs w:val="21"/>
              </w:rPr>
              <w:t>35.8</w:t>
            </w:r>
          </w:p>
        </w:tc>
      </w:tr>
      <w:tr w14:paraId="2412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31AD0D9C">
            <w:pPr>
              <w:widowControl/>
              <w:jc w:val="center"/>
              <w:rPr>
                <w:rFonts w:ascii="Times New Roman"/>
                <w:sz w:val="21"/>
                <w:szCs w:val="21"/>
              </w:rPr>
            </w:pPr>
            <w:r>
              <w:rPr>
                <w:rFonts w:hint="eastAsia" w:ascii="Times New Roman"/>
                <w:sz w:val="21"/>
                <w:szCs w:val="21"/>
              </w:rPr>
              <w:t>钠</w:t>
            </w:r>
          </w:p>
        </w:tc>
        <w:tc>
          <w:tcPr>
            <w:tcW w:w="675" w:type="pct"/>
            <w:shd w:val="clear" w:color="auto" w:fill="auto"/>
            <w:vAlign w:val="center"/>
          </w:tcPr>
          <w:p w14:paraId="19D19FF2">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6DFA3A6E">
            <w:pPr>
              <w:widowControl/>
              <w:jc w:val="center"/>
              <w:rPr>
                <w:rFonts w:ascii="Times New Roman"/>
                <w:kern w:val="0"/>
                <w:sz w:val="21"/>
                <w:szCs w:val="21"/>
              </w:rPr>
            </w:pPr>
            <w:r>
              <w:rPr>
                <w:rFonts w:hint="eastAsia" w:ascii="Times New Roman"/>
                <w:kern w:val="0"/>
                <w:sz w:val="21"/>
                <w:szCs w:val="21"/>
              </w:rPr>
              <w:t>200</w:t>
            </w:r>
          </w:p>
        </w:tc>
        <w:tc>
          <w:tcPr>
            <w:tcW w:w="601" w:type="pct"/>
            <w:shd w:val="clear" w:color="auto" w:fill="auto"/>
            <w:vAlign w:val="center"/>
          </w:tcPr>
          <w:p w14:paraId="46EF1088">
            <w:pPr>
              <w:ind w:left="-125" w:leftChars="-50" w:right="-125" w:rightChars="-50"/>
              <w:jc w:val="center"/>
              <w:rPr>
                <w:rFonts w:ascii="Times New Roman"/>
                <w:sz w:val="21"/>
                <w:szCs w:val="21"/>
              </w:rPr>
            </w:pPr>
            <w:r>
              <w:rPr>
                <w:rFonts w:ascii="Times New Roman"/>
                <w:sz w:val="21"/>
                <w:szCs w:val="21"/>
              </w:rPr>
              <w:t>6.46×10</w:t>
            </w:r>
            <w:r>
              <w:rPr>
                <w:rFonts w:ascii="Times New Roman"/>
                <w:sz w:val="21"/>
                <w:szCs w:val="21"/>
                <w:vertAlign w:val="superscript"/>
              </w:rPr>
              <w:t>3</w:t>
            </w:r>
          </w:p>
        </w:tc>
        <w:tc>
          <w:tcPr>
            <w:tcW w:w="770" w:type="pct"/>
            <w:shd w:val="clear" w:color="auto" w:fill="auto"/>
            <w:vAlign w:val="center"/>
          </w:tcPr>
          <w:p w14:paraId="2B66BCE0">
            <w:pPr>
              <w:ind w:left="-125" w:leftChars="-50" w:right="-125" w:rightChars="-50"/>
              <w:jc w:val="center"/>
              <w:rPr>
                <w:rFonts w:ascii="Times New Roman"/>
                <w:sz w:val="21"/>
                <w:szCs w:val="21"/>
              </w:rPr>
            </w:pPr>
            <w:r>
              <w:rPr>
                <w:rFonts w:ascii="Times New Roman"/>
                <w:sz w:val="21"/>
                <w:szCs w:val="21"/>
              </w:rPr>
              <w:t>6.52×10</w:t>
            </w:r>
            <w:r>
              <w:rPr>
                <w:rFonts w:ascii="Times New Roman"/>
                <w:sz w:val="21"/>
                <w:szCs w:val="21"/>
                <w:vertAlign w:val="superscript"/>
              </w:rPr>
              <w:t>3</w:t>
            </w:r>
          </w:p>
        </w:tc>
        <w:tc>
          <w:tcPr>
            <w:tcW w:w="774" w:type="pct"/>
            <w:shd w:val="clear" w:color="auto" w:fill="auto"/>
            <w:vAlign w:val="center"/>
          </w:tcPr>
          <w:p w14:paraId="75848961">
            <w:pPr>
              <w:ind w:left="-125" w:leftChars="-50" w:right="-125" w:rightChars="-50"/>
              <w:jc w:val="center"/>
              <w:rPr>
                <w:rFonts w:ascii="Times New Roman"/>
                <w:sz w:val="21"/>
                <w:szCs w:val="21"/>
              </w:rPr>
            </w:pPr>
            <w:r>
              <w:rPr>
                <w:rFonts w:ascii="Times New Roman"/>
                <w:sz w:val="21"/>
                <w:szCs w:val="21"/>
              </w:rPr>
              <w:t>6.84×10</w:t>
            </w:r>
            <w:r>
              <w:rPr>
                <w:rFonts w:ascii="Times New Roman"/>
                <w:sz w:val="21"/>
                <w:szCs w:val="21"/>
                <w:vertAlign w:val="superscript"/>
              </w:rPr>
              <w:t>3</w:t>
            </w:r>
          </w:p>
        </w:tc>
        <w:tc>
          <w:tcPr>
            <w:tcW w:w="665" w:type="pct"/>
            <w:shd w:val="clear" w:color="auto" w:fill="auto"/>
            <w:vAlign w:val="center"/>
          </w:tcPr>
          <w:p w14:paraId="657B825D">
            <w:pPr>
              <w:ind w:left="-125" w:leftChars="-50" w:right="-125" w:rightChars="-50"/>
              <w:jc w:val="center"/>
              <w:rPr>
                <w:rFonts w:ascii="Times New Roman"/>
                <w:sz w:val="21"/>
                <w:szCs w:val="21"/>
              </w:rPr>
            </w:pPr>
            <w:r>
              <w:rPr>
                <w:rFonts w:ascii="Times New Roman"/>
                <w:sz w:val="21"/>
                <w:szCs w:val="21"/>
              </w:rPr>
              <w:t>180</w:t>
            </w:r>
          </w:p>
        </w:tc>
      </w:tr>
      <w:tr w14:paraId="19E8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37F9E909">
            <w:pPr>
              <w:widowControl/>
              <w:jc w:val="center"/>
              <w:rPr>
                <w:rFonts w:ascii="Times New Roman"/>
                <w:sz w:val="21"/>
                <w:szCs w:val="21"/>
              </w:rPr>
            </w:pPr>
            <w:r>
              <w:rPr>
                <w:rFonts w:hint="eastAsia" w:ascii="Times New Roman"/>
                <w:sz w:val="21"/>
                <w:szCs w:val="21"/>
              </w:rPr>
              <w:t>钙</w:t>
            </w:r>
          </w:p>
        </w:tc>
        <w:tc>
          <w:tcPr>
            <w:tcW w:w="675" w:type="pct"/>
            <w:shd w:val="clear" w:color="auto" w:fill="auto"/>
            <w:vAlign w:val="center"/>
          </w:tcPr>
          <w:p w14:paraId="36E438D7">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06186C78">
            <w:pPr>
              <w:widowControl/>
              <w:jc w:val="center"/>
              <w:rPr>
                <w:rFonts w:ascii="Times New Roman"/>
                <w:kern w:val="0"/>
                <w:sz w:val="21"/>
                <w:szCs w:val="21"/>
              </w:rPr>
            </w:pPr>
            <w:r>
              <w:rPr>
                <w:rFonts w:hint="eastAsia" w:ascii="Times New Roman"/>
                <w:kern w:val="0"/>
                <w:sz w:val="21"/>
                <w:szCs w:val="21"/>
              </w:rPr>
              <w:t>/</w:t>
            </w:r>
          </w:p>
        </w:tc>
        <w:tc>
          <w:tcPr>
            <w:tcW w:w="601" w:type="pct"/>
            <w:shd w:val="clear" w:color="auto" w:fill="auto"/>
            <w:vAlign w:val="center"/>
          </w:tcPr>
          <w:p w14:paraId="558D4B7E">
            <w:pPr>
              <w:spacing w:line="300" w:lineRule="exact"/>
              <w:jc w:val="center"/>
              <w:rPr>
                <w:rFonts w:ascii="Times New Roman"/>
                <w:sz w:val="21"/>
                <w:szCs w:val="21"/>
              </w:rPr>
            </w:pPr>
            <w:r>
              <w:rPr>
                <w:rFonts w:ascii="Times New Roman"/>
                <w:sz w:val="21"/>
                <w:szCs w:val="21"/>
              </w:rPr>
              <w:t>379</w:t>
            </w:r>
          </w:p>
        </w:tc>
        <w:tc>
          <w:tcPr>
            <w:tcW w:w="770" w:type="pct"/>
            <w:shd w:val="clear" w:color="auto" w:fill="auto"/>
            <w:vAlign w:val="center"/>
          </w:tcPr>
          <w:p w14:paraId="0CC2501D">
            <w:pPr>
              <w:spacing w:line="300" w:lineRule="exact"/>
              <w:jc w:val="center"/>
              <w:rPr>
                <w:rFonts w:ascii="Times New Roman"/>
                <w:sz w:val="21"/>
                <w:szCs w:val="21"/>
              </w:rPr>
            </w:pPr>
            <w:r>
              <w:rPr>
                <w:rFonts w:ascii="Times New Roman"/>
                <w:sz w:val="21"/>
                <w:szCs w:val="21"/>
              </w:rPr>
              <w:t>337</w:t>
            </w:r>
          </w:p>
        </w:tc>
        <w:tc>
          <w:tcPr>
            <w:tcW w:w="774" w:type="pct"/>
            <w:shd w:val="clear" w:color="auto" w:fill="auto"/>
            <w:vAlign w:val="center"/>
          </w:tcPr>
          <w:p w14:paraId="53D9C357">
            <w:pPr>
              <w:spacing w:line="300" w:lineRule="exact"/>
              <w:jc w:val="center"/>
              <w:rPr>
                <w:rFonts w:ascii="Times New Roman"/>
                <w:sz w:val="21"/>
                <w:szCs w:val="21"/>
              </w:rPr>
            </w:pPr>
            <w:r>
              <w:rPr>
                <w:rFonts w:ascii="Times New Roman"/>
                <w:sz w:val="21"/>
                <w:szCs w:val="21"/>
              </w:rPr>
              <w:t>319</w:t>
            </w:r>
          </w:p>
        </w:tc>
        <w:tc>
          <w:tcPr>
            <w:tcW w:w="665" w:type="pct"/>
            <w:shd w:val="clear" w:color="auto" w:fill="auto"/>
            <w:vAlign w:val="center"/>
          </w:tcPr>
          <w:p w14:paraId="2E9300B8">
            <w:pPr>
              <w:spacing w:line="300" w:lineRule="exact"/>
              <w:jc w:val="center"/>
              <w:rPr>
                <w:rFonts w:ascii="Times New Roman"/>
                <w:sz w:val="21"/>
                <w:szCs w:val="21"/>
              </w:rPr>
            </w:pPr>
            <w:r>
              <w:rPr>
                <w:rFonts w:ascii="Times New Roman"/>
                <w:sz w:val="21"/>
                <w:szCs w:val="21"/>
              </w:rPr>
              <w:t>70.9</w:t>
            </w:r>
          </w:p>
        </w:tc>
      </w:tr>
      <w:tr w14:paraId="761B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2E157B0A">
            <w:pPr>
              <w:widowControl/>
              <w:jc w:val="center"/>
              <w:rPr>
                <w:rFonts w:ascii="Times New Roman"/>
                <w:sz w:val="21"/>
                <w:szCs w:val="21"/>
              </w:rPr>
            </w:pPr>
            <w:r>
              <w:rPr>
                <w:rFonts w:hint="eastAsia" w:ascii="Times New Roman"/>
                <w:sz w:val="21"/>
                <w:szCs w:val="21"/>
              </w:rPr>
              <w:t>镁</w:t>
            </w:r>
          </w:p>
        </w:tc>
        <w:tc>
          <w:tcPr>
            <w:tcW w:w="675" w:type="pct"/>
            <w:shd w:val="clear" w:color="auto" w:fill="auto"/>
            <w:vAlign w:val="center"/>
          </w:tcPr>
          <w:p w14:paraId="573638E4">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0FFF3C9D">
            <w:pPr>
              <w:widowControl/>
              <w:jc w:val="center"/>
              <w:rPr>
                <w:rFonts w:ascii="Times New Roman"/>
                <w:kern w:val="0"/>
                <w:sz w:val="21"/>
                <w:szCs w:val="21"/>
              </w:rPr>
            </w:pPr>
            <w:r>
              <w:rPr>
                <w:rFonts w:hint="eastAsia" w:ascii="Times New Roman"/>
                <w:kern w:val="0"/>
                <w:sz w:val="21"/>
                <w:szCs w:val="21"/>
              </w:rPr>
              <w:t>/</w:t>
            </w:r>
          </w:p>
        </w:tc>
        <w:tc>
          <w:tcPr>
            <w:tcW w:w="601" w:type="pct"/>
            <w:shd w:val="clear" w:color="auto" w:fill="auto"/>
            <w:vAlign w:val="center"/>
          </w:tcPr>
          <w:p w14:paraId="272B798C">
            <w:pPr>
              <w:spacing w:line="300" w:lineRule="exact"/>
              <w:jc w:val="center"/>
              <w:rPr>
                <w:rFonts w:ascii="Times New Roman"/>
                <w:sz w:val="21"/>
                <w:szCs w:val="21"/>
              </w:rPr>
            </w:pPr>
            <w:r>
              <w:rPr>
                <w:rFonts w:ascii="Times New Roman"/>
                <w:sz w:val="21"/>
                <w:szCs w:val="21"/>
              </w:rPr>
              <w:t>242</w:t>
            </w:r>
          </w:p>
        </w:tc>
        <w:tc>
          <w:tcPr>
            <w:tcW w:w="770" w:type="pct"/>
            <w:shd w:val="clear" w:color="auto" w:fill="auto"/>
            <w:vAlign w:val="center"/>
          </w:tcPr>
          <w:p w14:paraId="25ED3A9C">
            <w:pPr>
              <w:spacing w:line="300" w:lineRule="exact"/>
              <w:jc w:val="center"/>
              <w:rPr>
                <w:rFonts w:ascii="Times New Roman"/>
                <w:sz w:val="21"/>
                <w:szCs w:val="21"/>
              </w:rPr>
            </w:pPr>
            <w:r>
              <w:rPr>
                <w:rFonts w:ascii="Times New Roman"/>
                <w:sz w:val="21"/>
                <w:szCs w:val="21"/>
              </w:rPr>
              <w:t>342</w:t>
            </w:r>
          </w:p>
        </w:tc>
        <w:tc>
          <w:tcPr>
            <w:tcW w:w="774" w:type="pct"/>
            <w:shd w:val="clear" w:color="auto" w:fill="auto"/>
            <w:vAlign w:val="center"/>
          </w:tcPr>
          <w:p w14:paraId="5EC4E804">
            <w:pPr>
              <w:spacing w:line="300" w:lineRule="exact"/>
              <w:jc w:val="center"/>
              <w:rPr>
                <w:rFonts w:ascii="Times New Roman"/>
                <w:sz w:val="21"/>
                <w:szCs w:val="21"/>
              </w:rPr>
            </w:pPr>
            <w:r>
              <w:rPr>
                <w:rFonts w:ascii="Times New Roman"/>
                <w:sz w:val="21"/>
                <w:szCs w:val="21"/>
              </w:rPr>
              <w:t>242</w:t>
            </w:r>
          </w:p>
        </w:tc>
        <w:tc>
          <w:tcPr>
            <w:tcW w:w="665" w:type="pct"/>
            <w:shd w:val="clear" w:color="auto" w:fill="auto"/>
            <w:vAlign w:val="center"/>
          </w:tcPr>
          <w:p w14:paraId="43D7FB6A">
            <w:pPr>
              <w:spacing w:line="300" w:lineRule="exact"/>
              <w:jc w:val="center"/>
              <w:rPr>
                <w:rFonts w:ascii="Times New Roman"/>
                <w:sz w:val="21"/>
                <w:szCs w:val="21"/>
              </w:rPr>
            </w:pPr>
            <w:r>
              <w:rPr>
                <w:rFonts w:ascii="Times New Roman"/>
                <w:sz w:val="21"/>
                <w:szCs w:val="21"/>
              </w:rPr>
              <w:t>19.2</w:t>
            </w:r>
          </w:p>
        </w:tc>
      </w:tr>
      <w:tr w14:paraId="5FD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775B764F">
            <w:pPr>
              <w:widowControl/>
              <w:jc w:val="center"/>
              <w:rPr>
                <w:rFonts w:ascii="Times New Roman"/>
                <w:sz w:val="21"/>
                <w:szCs w:val="21"/>
              </w:rPr>
            </w:pPr>
            <w:r>
              <w:rPr>
                <w:rFonts w:hint="eastAsia" w:ascii="Times New Roman"/>
                <w:sz w:val="21"/>
                <w:szCs w:val="21"/>
              </w:rPr>
              <w:t>汞</w:t>
            </w:r>
          </w:p>
        </w:tc>
        <w:tc>
          <w:tcPr>
            <w:tcW w:w="675" w:type="pct"/>
            <w:shd w:val="clear" w:color="auto" w:fill="auto"/>
            <w:vAlign w:val="center"/>
          </w:tcPr>
          <w:p w14:paraId="3B114869">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12BFE1B7">
            <w:pPr>
              <w:widowControl/>
              <w:jc w:val="center"/>
              <w:rPr>
                <w:rFonts w:ascii="Times New Roman"/>
                <w:kern w:val="0"/>
                <w:sz w:val="21"/>
                <w:szCs w:val="21"/>
              </w:rPr>
            </w:pPr>
            <w:r>
              <w:rPr>
                <w:rFonts w:hint="eastAsia" w:ascii="Times New Roman"/>
                <w:kern w:val="0"/>
                <w:sz w:val="21"/>
                <w:szCs w:val="21"/>
              </w:rPr>
              <w:t>0.0010</w:t>
            </w:r>
          </w:p>
        </w:tc>
        <w:tc>
          <w:tcPr>
            <w:tcW w:w="601" w:type="pct"/>
            <w:shd w:val="clear" w:color="auto" w:fill="auto"/>
            <w:vAlign w:val="center"/>
          </w:tcPr>
          <w:p w14:paraId="64B16B79">
            <w:pPr>
              <w:spacing w:line="300" w:lineRule="exact"/>
              <w:jc w:val="center"/>
              <w:rPr>
                <w:rFonts w:ascii="Times New Roman"/>
                <w:sz w:val="21"/>
                <w:szCs w:val="21"/>
              </w:rPr>
            </w:pPr>
            <w:r>
              <w:rPr>
                <w:rFonts w:ascii="Times New Roman"/>
                <w:sz w:val="21"/>
                <w:szCs w:val="21"/>
              </w:rPr>
              <w:t>0.00086</w:t>
            </w:r>
          </w:p>
        </w:tc>
        <w:tc>
          <w:tcPr>
            <w:tcW w:w="770" w:type="pct"/>
            <w:shd w:val="clear" w:color="auto" w:fill="auto"/>
            <w:vAlign w:val="center"/>
          </w:tcPr>
          <w:p w14:paraId="7E6BE9E9">
            <w:pPr>
              <w:spacing w:line="300" w:lineRule="exact"/>
              <w:jc w:val="center"/>
              <w:rPr>
                <w:rFonts w:ascii="Times New Roman"/>
                <w:sz w:val="21"/>
                <w:szCs w:val="21"/>
              </w:rPr>
            </w:pPr>
            <w:r>
              <w:rPr>
                <w:rFonts w:ascii="Times New Roman"/>
                <w:sz w:val="21"/>
                <w:szCs w:val="21"/>
              </w:rPr>
              <w:t>0.00084</w:t>
            </w:r>
          </w:p>
        </w:tc>
        <w:tc>
          <w:tcPr>
            <w:tcW w:w="774" w:type="pct"/>
            <w:shd w:val="clear" w:color="auto" w:fill="auto"/>
            <w:vAlign w:val="center"/>
          </w:tcPr>
          <w:p w14:paraId="4F481CA0">
            <w:pPr>
              <w:spacing w:line="300" w:lineRule="exact"/>
              <w:jc w:val="center"/>
              <w:rPr>
                <w:rFonts w:ascii="Times New Roman"/>
                <w:sz w:val="21"/>
                <w:szCs w:val="21"/>
              </w:rPr>
            </w:pPr>
            <w:r>
              <w:rPr>
                <w:rFonts w:ascii="Times New Roman"/>
                <w:sz w:val="21"/>
                <w:szCs w:val="21"/>
              </w:rPr>
              <w:t>0.00075</w:t>
            </w:r>
          </w:p>
        </w:tc>
        <w:tc>
          <w:tcPr>
            <w:tcW w:w="665" w:type="pct"/>
            <w:shd w:val="clear" w:color="auto" w:fill="auto"/>
            <w:vAlign w:val="center"/>
          </w:tcPr>
          <w:p w14:paraId="3D9A5D9B">
            <w:pPr>
              <w:spacing w:line="300" w:lineRule="exact"/>
              <w:jc w:val="center"/>
              <w:rPr>
                <w:rFonts w:ascii="Times New Roman"/>
                <w:sz w:val="21"/>
                <w:szCs w:val="21"/>
              </w:rPr>
            </w:pPr>
            <w:r>
              <w:rPr>
                <w:rFonts w:ascii="Times New Roman"/>
                <w:sz w:val="21"/>
                <w:szCs w:val="21"/>
              </w:rPr>
              <w:t>0.00057</w:t>
            </w:r>
          </w:p>
        </w:tc>
      </w:tr>
      <w:tr w14:paraId="2638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65D181B2">
            <w:pPr>
              <w:widowControl/>
              <w:jc w:val="center"/>
              <w:rPr>
                <w:rFonts w:ascii="Times New Roman"/>
                <w:sz w:val="21"/>
                <w:szCs w:val="21"/>
              </w:rPr>
            </w:pPr>
            <w:r>
              <w:rPr>
                <w:rFonts w:hint="eastAsia" w:ascii="Times New Roman"/>
                <w:sz w:val="21"/>
                <w:szCs w:val="21"/>
              </w:rPr>
              <w:t>砷</w:t>
            </w:r>
          </w:p>
        </w:tc>
        <w:tc>
          <w:tcPr>
            <w:tcW w:w="675" w:type="pct"/>
            <w:shd w:val="clear" w:color="auto" w:fill="auto"/>
            <w:vAlign w:val="center"/>
          </w:tcPr>
          <w:p w14:paraId="61163A6A">
            <w:pPr>
              <w:widowControl/>
              <w:jc w:val="center"/>
              <w:textAlignment w:val="center"/>
              <w:rPr>
                <w:rFonts w:ascii="Times New Roman"/>
                <w:sz w:val="21"/>
                <w:szCs w:val="21"/>
              </w:rPr>
            </w:pPr>
            <w:r>
              <w:rPr>
                <w:rFonts w:ascii="Times New Roman"/>
                <w:sz w:val="21"/>
                <w:szCs w:val="21"/>
              </w:rPr>
              <w:t>mg/L</w:t>
            </w:r>
          </w:p>
        </w:tc>
        <w:tc>
          <w:tcPr>
            <w:tcW w:w="587" w:type="pct"/>
            <w:shd w:val="clear" w:color="auto" w:fill="auto"/>
            <w:vAlign w:val="center"/>
          </w:tcPr>
          <w:p w14:paraId="7747226F">
            <w:pPr>
              <w:widowControl/>
              <w:jc w:val="center"/>
              <w:rPr>
                <w:rFonts w:ascii="Times New Roman"/>
                <w:kern w:val="0"/>
                <w:sz w:val="21"/>
                <w:szCs w:val="21"/>
              </w:rPr>
            </w:pPr>
            <w:r>
              <w:rPr>
                <w:rFonts w:hint="eastAsia" w:ascii="Times New Roman"/>
                <w:kern w:val="0"/>
                <w:sz w:val="21"/>
                <w:szCs w:val="21"/>
              </w:rPr>
              <w:t>0.0100</w:t>
            </w:r>
          </w:p>
        </w:tc>
        <w:tc>
          <w:tcPr>
            <w:tcW w:w="601" w:type="pct"/>
            <w:shd w:val="clear" w:color="auto" w:fill="auto"/>
            <w:vAlign w:val="center"/>
          </w:tcPr>
          <w:p w14:paraId="16824DC6">
            <w:pPr>
              <w:spacing w:line="300" w:lineRule="exact"/>
              <w:jc w:val="center"/>
              <w:rPr>
                <w:rFonts w:ascii="Times New Roman"/>
                <w:sz w:val="21"/>
                <w:szCs w:val="21"/>
              </w:rPr>
            </w:pPr>
            <w:r>
              <w:rPr>
                <w:rFonts w:ascii="Times New Roman"/>
                <w:sz w:val="21"/>
                <w:szCs w:val="21"/>
              </w:rPr>
              <w:t>ND</w:t>
            </w:r>
          </w:p>
        </w:tc>
        <w:tc>
          <w:tcPr>
            <w:tcW w:w="770" w:type="pct"/>
            <w:shd w:val="clear" w:color="auto" w:fill="auto"/>
            <w:vAlign w:val="center"/>
          </w:tcPr>
          <w:p w14:paraId="7A04B617">
            <w:pPr>
              <w:spacing w:line="300" w:lineRule="exact"/>
              <w:jc w:val="center"/>
              <w:rPr>
                <w:rFonts w:ascii="Times New Roman"/>
                <w:sz w:val="21"/>
                <w:szCs w:val="21"/>
              </w:rPr>
            </w:pPr>
            <w:r>
              <w:rPr>
                <w:rFonts w:ascii="Times New Roman"/>
                <w:sz w:val="21"/>
                <w:szCs w:val="21"/>
              </w:rPr>
              <w:t>ND</w:t>
            </w:r>
          </w:p>
        </w:tc>
        <w:tc>
          <w:tcPr>
            <w:tcW w:w="774" w:type="pct"/>
            <w:shd w:val="clear" w:color="auto" w:fill="auto"/>
            <w:vAlign w:val="center"/>
          </w:tcPr>
          <w:p w14:paraId="66909DE9">
            <w:pPr>
              <w:spacing w:line="300" w:lineRule="exact"/>
              <w:jc w:val="center"/>
              <w:rPr>
                <w:rFonts w:ascii="Times New Roman"/>
                <w:sz w:val="21"/>
                <w:szCs w:val="21"/>
              </w:rPr>
            </w:pPr>
            <w:r>
              <w:rPr>
                <w:rFonts w:ascii="Times New Roman"/>
                <w:sz w:val="21"/>
                <w:szCs w:val="21"/>
              </w:rPr>
              <w:t>ND</w:t>
            </w:r>
          </w:p>
        </w:tc>
        <w:tc>
          <w:tcPr>
            <w:tcW w:w="665" w:type="pct"/>
            <w:shd w:val="clear" w:color="auto" w:fill="auto"/>
            <w:vAlign w:val="center"/>
          </w:tcPr>
          <w:p w14:paraId="3603B863">
            <w:pPr>
              <w:spacing w:line="300" w:lineRule="exact"/>
              <w:jc w:val="center"/>
              <w:rPr>
                <w:rFonts w:ascii="Times New Roman"/>
                <w:sz w:val="21"/>
                <w:szCs w:val="21"/>
              </w:rPr>
            </w:pPr>
            <w:r>
              <w:rPr>
                <w:rFonts w:ascii="Times New Roman"/>
                <w:sz w:val="21"/>
                <w:szCs w:val="21"/>
              </w:rPr>
              <w:t>ND</w:t>
            </w:r>
          </w:p>
        </w:tc>
      </w:tr>
      <w:tr w14:paraId="0D1C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31F292EB">
            <w:pPr>
              <w:widowControl/>
              <w:jc w:val="center"/>
              <w:rPr>
                <w:rFonts w:ascii="Times New Roman"/>
                <w:kern w:val="0"/>
                <w:sz w:val="21"/>
                <w:szCs w:val="21"/>
              </w:rPr>
            </w:pPr>
            <w:r>
              <w:rPr>
                <w:rFonts w:ascii="Times New Roman"/>
                <w:sz w:val="21"/>
                <w:szCs w:val="21"/>
              </w:rPr>
              <w:t>氟化物</w:t>
            </w:r>
          </w:p>
        </w:tc>
        <w:tc>
          <w:tcPr>
            <w:tcW w:w="675" w:type="pct"/>
            <w:shd w:val="clear" w:color="auto" w:fill="auto"/>
            <w:vAlign w:val="center"/>
          </w:tcPr>
          <w:p w14:paraId="5C060120">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73983481">
            <w:pPr>
              <w:widowControl/>
              <w:jc w:val="center"/>
              <w:rPr>
                <w:rFonts w:ascii="Times New Roman"/>
                <w:kern w:val="0"/>
                <w:sz w:val="21"/>
                <w:szCs w:val="21"/>
              </w:rPr>
            </w:pPr>
            <w:r>
              <w:rPr>
                <w:rFonts w:ascii="Times New Roman"/>
                <w:kern w:val="0"/>
                <w:sz w:val="21"/>
                <w:szCs w:val="21"/>
              </w:rPr>
              <w:t>1.0</w:t>
            </w:r>
          </w:p>
        </w:tc>
        <w:tc>
          <w:tcPr>
            <w:tcW w:w="601" w:type="pct"/>
            <w:shd w:val="clear" w:color="auto" w:fill="auto"/>
            <w:vAlign w:val="center"/>
          </w:tcPr>
          <w:p w14:paraId="4A0F09A7">
            <w:pPr>
              <w:spacing w:line="300" w:lineRule="exact"/>
              <w:jc w:val="center"/>
              <w:rPr>
                <w:rFonts w:ascii="Times New Roman" w:eastAsia="仿宋_GB2312"/>
                <w:sz w:val="21"/>
                <w:szCs w:val="21"/>
              </w:rPr>
            </w:pPr>
            <w:r>
              <w:rPr>
                <w:rFonts w:ascii="Times New Roman" w:eastAsia="仿宋_GB2312"/>
                <w:sz w:val="21"/>
                <w:szCs w:val="21"/>
              </w:rPr>
              <w:t>0.56</w:t>
            </w:r>
          </w:p>
        </w:tc>
        <w:tc>
          <w:tcPr>
            <w:tcW w:w="770" w:type="pct"/>
            <w:shd w:val="clear" w:color="auto" w:fill="auto"/>
            <w:vAlign w:val="center"/>
          </w:tcPr>
          <w:p w14:paraId="4E3F7714">
            <w:pPr>
              <w:spacing w:line="300" w:lineRule="exact"/>
              <w:jc w:val="center"/>
              <w:rPr>
                <w:rFonts w:ascii="Times New Roman" w:eastAsia="仿宋_GB2312"/>
                <w:sz w:val="21"/>
                <w:szCs w:val="21"/>
              </w:rPr>
            </w:pPr>
            <w:r>
              <w:rPr>
                <w:rFonts w:ascii="Times New Roman" w:eastAsia="仿宋_GB2312"/>
                <w:sz w:val="21"/>
                <w:szCs w:val="21"/>
              </w:rPr>
              <w:t>0.52</w:t>
            </w:r>
          </w:p>
        </w:tc>
        <w:tc>
          <w:tcPr>
            <w:tcW w:w="774" w:type="pct"/>
            <w:shd w:val="clear" w:color="auto" w:fill="auto"/>
            <w:vAlign w:val="center"/>
          </w:tcPr>
          <w:p w14:paraId="74B33EC3">
            <w:pPr>
              <w:spacing w:line="300" w:lineRule="exact"/>
              <w:jc w:val="center"/>
              <w:rPr>
                <w:rFonts w:ascii="Times New Roman" w:eastAsia="仿宋_GB2312"/>
                <w:sz w:val="21"/>
                <w:szCs w:val="21"/>
              </w:rPr>
            </w:pPr>
            <w:r>
              <w:rPr>
                <w:rFonts w:ascii="Times New Roman" w:eastAsia="仿宋_GB2312"/>
                <w:sz w:val="21"/>
                <w:szCs w:val="21"/>
              </w:rPr>
              <w:t>0.45</w:t>
            </w:r>
          </w:p>
        </w:tc>
        <w:tc>
          <w:tcPr>
            <w:tcW w:w="665" w:type="pct"/>
            <w:shd w:val="clear" w:color="auto" w:fill="auto"/>
            <w:vAlign w:val="center"/>
          </w:tcPr>
          <w:p w14:paraId="1DB442C1">
            <w:pPr>
              <w:spacing w:line="300" w:lineRule="exact"/>
              <w:jc w:val="center"/>
              <w:rPr>
                <w:rFonts w:ascii="Times New Roman" w:eastAsia="仿宋_GB2312"/>
                <w:sz w:val="21"/>
                <w:szCs w:val="21"/>
              </w:rPr>
            </w:pPr>
            <w:r>
              <w:rPr>
                <w:rFonts w:ascii="Times New Roman" w:eastAsia="仿宋_GB2312"/>
                <w:sz w:val="21"/>
                <w:szCs w:val="21"/>
              </w:rPr>
              <w:t>0.46</w:t>
            </w:r>
          </w:p>
        </w:tc>
      </w:tr>
      <w:tr w14:paraId="3F48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577E96A6">
            <w:pPr>
              <w:widowControl/>
              <w:jc w:val="center"/>
              <w:rPr>
                <w:rFonts w:ascii="Times New Roman"/>
                <w:kern w:val="0"/>
                <w:sz w:val="21"/>
                <w:szCs w:val="21"/>
              </w:rPr>
            </w:pPr>
            <w:r>
              <w:rPr>
                <w:rFonts w:ascii="Times New Roman"/>
                <w:sz w:val="21"/>
                <w:szCs w:val="21"/>
              </w:rPr>
              <w:t>氯化物</w:t>
            </w:r>
          </w:p>
        </w:tc>
        <w:tc>
          <w:tcPr>
            <w:tcW w:w="675" w:type="pct"/>
            <w:shd w:val="clear" w:color="auto" w:fill="auto"/>
            <w:vAlign w:val="center"/>
          </w:tcPr>
          <w:p w14:paraId="0260A69C">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4689D7C5">
            <w:pPr>
              <w:widowControl/>
              <w:jc w:val="center"/>
              <w:rPr>
                <w:rFonts w:ascii="Times New Roman"/>
                <w:kern w:val="0"/>
                <w:sz w:val="21"/>
                <w:szCs w:val="21"/>
              </w:rPr>
            </w:pPr>
            <w:r>
              <w:rPr>
                <w:rFonts w:ascii="Times New Roman"/>
                <w:kern w:val="0"/>
                <w:sz w:val="21"/>
                <w:szCs w:val="21"/>
              </w:rPr>
              <w:t>250</w:t>
            </w:r>
          </w:p>
        </w:tc>
        <w:tc>
          <w:tcPr>
            <w:tcW w:w="601" w:type="pct"/>
            <w:shd w:val="clear" w:color="auto" w:fill="auto"/>
            <w:vAlign w:val="center"/>
          </w:tcPr>
          <w:p w14:paraId="78E7AA19">
            <w:pPr>
              <w:widowControl/>
              <w:jc w:val="center"/>
              <w:rPr>
                <w:rFonts w:ascii="Times New Roman"/>
                <w:sz w:val="21"/>
                <w:szCs w:val="21"/>
              </w:rPr>
            </w:pPr>
            <w:r>
              <w:rPr>
                <w:rFonts w:ascii="Times New Roman"/>
                <w:sz w:val="21"/>
                <w:szCs w:val="21"/>
              </w:rPr>
              <w:t>9.54×10</w:t>
            </w:r>
            <w:r>
              <w:rPr>
                <w:rFonts w:ascii="Times New Roman"/>
                <w:sz w:val="21"/>
                <w:szCs w:val="21"/>
                <w:vertAlign w:val="superscript"/>
              </w:rPr>
              <w:t>3</w:t>
            </w:r>
          </w:p>
        </w:tc>
        <w:tc>
          <w:tcPr>
            <w:tcW w:w="770" w:type="pct"/>
            <w:shd w:val="clear" w:color="auto" w:fill="auto"/>
            <w:vAlign w:val="center"/>
          </w:tcPr>
          <w:p w14:paraId="7D223E0E">
            <w:pPr>
              <w:widowControl/>
              <w:jc w:val="center"/>
              <w:rPr>
                <w:rFonts w:ascii="Times New Roman"/>
                <w:sz w:val="21"/>
                <w:szCs w:val="21"/>
              </w:rPr>
            </w:pPr>
            <w:r>
              <w:rPr>
                <w:rFonts w:ascii="Times New Roman"/>
                <w:sz w:val="21"/>
                <w:szCs w:val="21"/>
              </w:rPr>
              <w:t>9.73×10</w:t>
            </w:r>
            <w:r>
              <w:rPr>
                <w:rFonts w:ascii="Times New Roman"/>
                <w:sz w:val="21"/>
                <w:szCs w:val="21"/>
                <w:vertAlign w:val="superscript"/>
              </w:rPr>
              <w:t>3</w:t>
            </w:r>
          </w:p>
        </w:tc>
        <w:tc>
          <w:tcPr>
            <w:tcW w:w="774" w:type="pct"/>
            <w:shd w:val="clear" w:color="auto" w:fill="auto"/>
            <w:vAlign w:val="center"/>
          </w:tcPr>
          <w:p w14:paraId="52D1977A">
            <w:pPr>
              <w:widowControl/>
              <w:jc w:val="center"/>
              <w:rPr>
                <w:rFonts w:ascii="Times New Roman"/>
                <w:sz w:val="21"/>
                <w:szCs w:val="21"/>
              </w:rPr>
            </w:pPr>
            <w:r>
              <w:rPr>
                <w:rFonts w:ascii="Times New Roman"/>
                <w:sz w:val="21"/>
                <w:szCs w:val="21"/>
              </w:rPr>
              <w:t>9.94×10</w:t>
            </w:r>
            <w:r>
              <w:rPr>
                <w:rFonts w:ascii="Times New Roman"/>
                <w:sz w:val="21"/>
                <w:szCs w:val="21"/>
                <w:vertAlign w:val="superscript"/>
              </w:rPr>
              <w:t>3</w:t>
            </w:r>
          </w:p>
        </w:tc>
        <w:tc>
          <w:tcPr>
            <w:tcW w:w="665" w:type="pct"/>
            <w:shd w:val="clear" w:color="auto" w:fill="auto"/>
            <w:vAlign w:val="center"/>
          </w:tcPr>
          <w:p w14:paraId="3EFB8505">
            <w:pPr>
              <w:widowControl/>
              <w:jc w:val="center"/>
              <w:rPr>
                <w:rFonts w:ascii="Times New Roman"/>
                <w:sz w:val="21"/>
                <w:szCs w:val="21"/>
              </w:rPr>
            </w:pPr>
            <w:r>
              <w:rPr>
                <w:rFonts w:ascii="Times New Roman"/>
                <w:sz w:val="21"/>
                <w:szCs w:val="21"/>
              </w:rPr>
              <w:t>207</w:t>
            </w:r>
          </w:p>
        </w:tc>
      </w:tr>
      <w:tr w14:paraId="2B0D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7FEF2ADE">
            <w:pPr>
              <w:widowControl/>
              <w:jc w:val="center"/>
              <w:rPr>
                <w:rFonts w:ascii="Times New Roman"/>
                <w:kern w:val="0"/>
                <w:sz w:val="21"/>
                <w:szCs w:val="21"/>
              </w:rPr>
            </w:pPr>
            <w:r>
              <w:rPr>
                <w:rFonts w:ascii="Times New Roman"/>
                <w:sz w:val="21"/>
                <w:szCs w:val="21"/>
              </w:rPr>
              <w:t>硫酸盐</w:t>
            </w:r>
          </w:p>
        </w:tc>
        <w:tc>
          <w:tcPr>
            <w:tcW w:w="675" w:type="pct"/>
            <w:shd w:val="clear" w:color="auto" w:fill="auto"/>
            <w:vAlign w:val="center"/>
          </w:tcPr>
          <w:p w14:paraId="4FD45BEF">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304455E2">
            <w:pPr>
              <w:widowControl/>
              <w:jc w:val="center"/>
              <w:rPr>
                <w:rFonts w:ascii="Times New Roman"/>
                <w:kern w:val="0"/>
                <w:sz w:val="21"/>
                <w:szCs w:val="21"/>
              </w:rPr>
            </w:pPr>
            <w:r>
              <w:rPr>
                <w:rFonts w:ascii="Times New Roman"/>
                <w:kern w:val="0"/>
                <w:sz w:val="21"/>
                <w:szCs w:val="21"/>
              </w:rPr>
              <w:t>250</w:t>
            </w:r>
          </w:p>
        </w:tc>
        <w:tc>
          <w:tcPr>
            <w:tcW w:w="601" w:type="pct"/>
            <w:shd w:val="clear" w:color="auto" w:fill="auto"/>
            <w:vAlign w:val="center"/>
          </w:tcPr>
          <w:p w14:paraId="3B6A2C6B">
            <w:pPr>
              <w:spacing w:line="300" w:lineRule="exact"/>
              <w:jc w:val="center"/>
              <w:rPr>
                <w:rFonts w:ascii="Times New Roman"/>
                <w:sz w:val="21"/>
                <w:szCs w:val="21"/>
              </w:rPr>
            </w:pPr>
            <w:r>
              <w:rPr>
                <w:rFonts w:hint="eastAsia" w:ascii="Times New Roman"/>
                <w:sz w:val="21"/>
                <w:szCs w:val="21"/>
              </w:rPr>
              <w:t>403</w:t>
            </w:r>
          </w:p>
        </w:tc>
        <w:tc>
          <w:tcPr>
            <w:tcW w:w="770" w:type="pct"/>
            <w:shd w:val="clear" w:color="auto" w:fill="auto"/>
            <w:vAlign w:val="center"/>
          </w:tcPr>
          <w:p w14:paraId="1259F0AD">
            <w:pPr>
              <w:spacing w:line="300" w:lineRule="exact"/>
              <w:jc w:val="center"/>
              <w:rPr>
                <w:rFonts w:ascii="Times New Roman"/>
                <w:sz w:val="21"/>
                <w:szCs w:val="21"/>
              </w:rPr>
            </w:pPr>
            <w:r>
              <w:rPr>
                <w:rFonts w:hint="eastAsia" w:ascii="Times New Roman"/>
                <w:sz w:val="21"/>
                <w:szCs w:val="21"/>
              </w:rPr>
              <w:t>358</w:t>
            </w:r>
          </w:p>
        </w:tc>
        <w:tc>
          <w:tcPr>
            <w:tcW w:w="774" w:type="pct"/>
            <w:shd w:val="clear" w:color="auto" w:fill="auto"/>
            <w:vAlign w:val="center"/>
          </w:tcPr>
          <w:p w14:paraId="1711ADF6">
            <w:pPr>
              <w:spacing w:line="300" w:lineRule="exact"/>
              <w:jc w:val="center"/>
              <w:rPr>
                <w:rFonts w:ascii="Times New Roman"/>
                <w:sz w:val="21"/>
                <w:szCs w:val="21"/>
              </w:rPr>
            </w:pPr>
            <w:r>
              <w:rPr>
                <w:rFonts w:hint="eastAsia" w:ascii="Times New Roman"/>
                <w:sz w:val="21"/>
                <w:szCs w:val="21"/>
              </w:rPr>
              <w:t>368</w:t>
            </w:r>
          </w:p>
        </w:tc>
        <w:tc>
          <w:tcPr>
            <w:tcW w:w="665" w:type="pct"/>
            <w:shd w:val="clear" w:color="auto" w:fill="auto"/>
            <w:vAlign w:val="center"/>
          </w:tcPr>
          <w:p w14:paraId="000C2D5A">
            <w:pPr>
              <w:spacing w:line="300" w:lineRule="exact"/>
              <w:jc w:val="center"/>
              <w:rPr>
                <w:rFonts w:ascii="Times New Roman"/>
                <w:sz w:val="21"/>
                <w:szCs w:val="21"/>
              </w:rPr>
            </w:pPr>
            <w:r>
              <w:rPr>
                <w:rFonts w:hint="eastAsia" w:ascii="Times New Roman"/>
                <w:sz w:val="21"/>
                <w:szCs w:val="21"/>
              </w:rPr>
              <w:t>97.9</w:t>
            </w:r>
          </w:p>
        </w:tc>
      </w:tr>
      <w:tr w14:paraId="38F1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51C39F86">
            <w:pPr>
              <w:widowControl/>
              <w:jc w:val="center"/>
              <w:rPr>
                <w:rFonts w:ascii="Times New Roman"/>
                <w:kern w:val="0"/>
                <w:sz w:val="21"/>
                <w:szCs w:val="21"/>
              </w:rPr>
            </w:pPr>
            <w:r>
              <w:rPr>
                <w:rFonts w:ascii="Times New Roman"/>
                <w:sz w:val="21"/>
                <w:szCs w:val="21"/>
              </w:rPr>
              <w:t>挥发酚</w:t>
            </w:r>
          </w:p>
        </w:tc>
        <w:tc>
          <w:tcPr>
            <w:tcW w:w="675" w:type="pct"/>
            <w:shd w:val="clear" w:color="auto" w:fill="auto"/>
            <w:vAlign w:val="center"/>
          </w:tcPr>
          <w:p w14:paraId="6243B769">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6963D0B7">
            <w:pPr>
              <w:widowControl/>
              <w:jc w:val="center"/>
              <w:rPr>
                <w:rFonts w:ascii="Times New Roman"/>
                <w:kern w:val="0"/>
                <w:sz w:val="21"/>
                <w:szCs w:val="21"/>
              </w:rPr>
            </w:pPr>
            <w:r>
              <w:rPr>
                <w:rFonts w:ascii="Times New Roman"/>
                <w:kern w:val="0"/>
                <w:sz w:val="21"/>
                <w:szCs w:val="21"/>
              </w:rPr>
              <w:t>0.002</w:t>
            </w:r>
          </w:p>
        </w:tc>
        <w:tc>
          <w:tcPr>
            <w:tcW w:w="601" w:type="pct"/>
            <w:shd w:val="clear" w:color="auto" w:fill="auto"/>
            <w:vAlign w:val="center"/>
          </w:tcPr>
          <w:p w14:paraId="0F2D6875">
            <w:pPr>
              <w:spacing w:line="300" w:lineRule="exact"/>
              <w:jc w:val="center"/>
              <w:rPr>
                <w:rFonts w:ascii="Times New Roman" w:eastAsia="仿宋_GB2312"/>
                <w:sz w:val="21"/>
                <w:szCs w:val="21"/>
              </w:rPr>
            </w:pPr>
            <w:r>
              <w:rPr>
                <w:rFonts w:ascii="Times New Roman"/>
                <w:sz w:val="21"/>
                <w:szCs w:val="21"/>
              </w:rPr>
              <w:t>ND</w:t>
            </w:r>
          </w:p>
        </w:tc>
        <w:tc>
          <w:tcPr>
            <w:tcW w:w="770" w:type="pct"/>
            <w:shd w:val="clear" w:color="auto" w:fill="auto"/>
            <w:vAlign w:val="center"/>
          </w:tcPr>
          <w:p w14:paraId="01649C56">
            <w:pPr>
              <w:spacing w:line="300" w:lineRule="exact"/>
              <w:jc w:val="center"/>
              <w:rPr>
                <w:rFonts w:ascii="Times New Roman" w:eastAsia="仿宋_GB2312"/>
                <w:sz w:val="21"/>
                <w:szCs w:val="21"/>
              </w:rPr>
            </w:pPr>
            <w:r>
              <w:rPr>
                <w:rFonts w:ascii="Times New Roman"/>
                <w:sz w:val="21"/>
                <w:szCs w:val="21"/>
              </w:rPr>
              <w:t>ND</w:t>
            </w:r>
          </w:p>
        </w:tc>
        <w:tc>
          <w:tcPr>
            <w:tcW w:w="774" w:type="pct"/>
            <w:shd w:val="clear" w:color="auto" w:fill="auto"/>
            <w:vAlign w:val="center"/>
          </w:tcPr>
          <w:p w14:paraId="51CBDE10">
            <w:pPr>
              <w:spacing w:line="300" w:lineRule="exact"/>
              <w:jc w:val="center"/>
              <w:rPr>
                <w:rFonts w:ascii="Times New Roman" w:eastAsia="仿宋_GB2312"/>
                <w:sz w:val="21"/>
                <w:szCs w:val="21"/>
              </w:rPr>
            </w:pPr>
            <w:r>
              <w:rPr>
                <w:rFonts w:ascii="Times New Roman"/>
                <w:sz w:val="21"/>
                <w:szCs w:val="21"/>
              </w:rPr>
              <w:t>ND</w:t>
            </w:r>
          </w:p>
        </w:tc>
        <w:tc>
          <w:tcPr>
            <w:tcW w:w="665" w:type="pct"/>
            <w:shd w:val="clear" w:color="auto" w:fill="auto"/>
            <w:vAlign w:val="center"/>
          </w:tcPr>
          <w:p w14:paraId="65956DCB">
            <w:pPr>
              <w:spacing w:line="300" w:lineRule="exact"/>
              <w:jc w:val="center"/>
              <w:rPr>
                <w:rFonts w:ascii="Times New Roman"/>
                <w:sz w:val="21"/>
                <w:szCs w:val="21"/>
              </w:rPr>
            </w:pPr>
            <w:r>
              <w:rPr>
                <w:rFonts w:ascii="Times New Roman"/>
                <w:sz w:val="21"/>
                <w:szCs w:val="21"/>
              </w:rPr>
              <w:t>ND</w:t>
            </w:r>
          </w:p>
        </w:tc>
      </w:tr>
      <w:tr w14:paraId="429A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7E177C06">
            <w:pPr>
              <w:widowControl/>
              <w:jc w:val="center"/>
              <w:rPr>
                <w:rFonts w:ascii="Times New Roman"/>
                <w:kern w:val="0"/>
                <w:sz w:val="21"/>
                <w:szCs w:val="21"/>
              </w:rPr>
            </w:pPr>
            <w:r>
              <w:rPr>
                <w:rFonts w:ascii="Times New Roman"/>
                <w:sz w:val="21"/>
                <w:szCs w:val="21"/>
              </w:rPr>
              <w:t>氰化物</w:t>
            </w:r>
          </w:p>
        </w:tc>
        <w:tc>
          <w:tcPr>
            <w:tcW w:w="675" w:type="pct"/>
            <w:shd w:val="clear" w:color="auto" w:fill="auto"/>
            <w:vAlign w:val="center"/>
          </w:tcPr>
          <w:p w14:paraId="34D90527">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6E151411">
            <w:pPr>
              <w:widowControl/>
              <w:jc w:val="center"/>
              <w:rPr>
                <w:rFonts w:ascii="Times New Roman"/>
                <w:kern w:val="0"/>
                <w:sz w:val="21"/>
                <w:szCs w:val="21"/>
              </w:rPr>
            </w:pPr>
            <w:r>
              <w:rPr>
                <w:rFonts w:ascii="Times New Roman"/>
                <w:kern w:val="0"/>
                <w:sz w:val="21"/>
                <w:szCs w:val="21"/>
              </w:rPr>
              <w:t>0.05</w:t>
            </w:r>
          </w:p>
        </w:tc>
        <w:tc>
          <w:tcPr>
            <w:tcW w:w="601" w:type="pct"/>
            <w:shd w:val="clear" w:color="auto" w:fill="auto"/>
            <w:vAlign w:val="center"/>
          </w:tcPr>
          <w:p w14:paraId="1C326FAD">
            <w:pPr>
              <w:spacing w:line="300" w:lineRule="exact"/>
              <w:jc w:val="center"/>
              <w:rPr>
                <w:rFonts w:ascii="Times New Roman" w:eastAsia="仿宋_GB2312"/>
                <w:sz w:val="21"/>
                <w:szCs w:val="21"/>
              </w:rPr>
            </w:pPr>
            <w:r>
              <w:rPr>
                <w:rFonts w:ascii="Times New Roman"/>
                <w:sz w:val="21"/>
                <w:szCs w:val="21"/>
              </w:rPr>
              <w:t>ND</w:t>
            </w:r>
          </w:p>
        </w:tc>
        <w:tc>
          <w:tcPr>
            <w:tcW w:w="770" w:type="pct"/>
            <w:shd w:val="clear" w:color="auto" w:fill="auto"/>
            <w:vAlign w:val="center"/>
          </w:tcPr>
          <w:p w14:paraId="4D5102AD">
            <w:pPr>
              <w:spacing w:line="300" w:lineRule="exact"/>
              <w:jc w:val="center"/>
              <w:rPr>
                <w:rFonts w:ascii="Times New Roman" w:eastAsia="仿宋_GB2312"/>
                <w:sz w:val="21"/>
                <w:szCs w:val="21"/>
              </w:rPr>
            </w:pPr>
            <w:r>
              <w:rPr>
                <w:rFonts w:ascii="Times New Roman"/>
                <w:sz w:val="21"/>
                <w:szCs w:val="21"/>
              </w:rPr>
              <w:t>ND</w:t>
            </w:r>
          </w:p>
        </w:tc>
        <w:tc>
          <w:tcPr>
            <w:tcW w:w="774" w:type="pct"/>
            <w:shd w:val="clear" w:color="auto" w:fill="auto"/>
            <w:vAlign w:val="center"/>
          </w:tcPr>
          <w:p w14:paraId="4792880B">
            <w:pPr>
              <w:spacing w:line="300" w:lineRule="exact"/>
              <w:jc w:val="center"/>
              <w:rPr>
                <w:rFonts w:ascii="Times New Roman" w:eastAsia="仿宋_GB2312"/>
                <w:sz w:val="21"/>
                <w:szCs w:val="21"/>
              </w:rPr>
            </w:pPr>
            <w:r>
              <w:rPr>
                <w:rFonts w:ascii="Times New Roman"/>
                <w:sz w:val="21"/>
                <w:szCs w:val="21"/>
              </w:rPr>
              <w:t>ND</w:t>
            </w:r>
          </w:p>
        </w:tc>
        <w:tc>
          <w:tcPr>
            <w:tcW w:w="665" w:type="pct"/>
            <w:shd w:val="clear" w:color="auto" w:fill="auto"/>
            <w:vAlign w:val="center"/>
          </w:tcPr>
          <w:p w14:paraId="3CDA2914">
            <w:pPr>
              <w:spacing w:line="300" w:lineRule="exact"/>
              <w:jc w:val="center"/>
              <w:rPr>
                <w:rFonts w:ascii="Times New Roman"/>
                <w:sz w:val="21"/>
                <w:szCs w:val="21"/>
              </w:rPr>
            </w:pPr>
            <w:r>
              <w:rPr>
                <w:rFonts w:ascii="Times New Roman"/>
                <w:sz w:val="21"/>
                <w:szCs w:val="21"/>
              </w:rPr>
              <w:t>ND</w:t>
            </w:r>
          </w:p>
        </w:tc>
      </w:tr>
      <w:tr w14:paraId="0CDF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756351EB">
            <w:pPr>
              <w:widowControl/>
              <w:jc w:val="center"/>
              <w:rPr>
                <w:rFonts w:ascii="Times New Roman"/>
                <w:kern w:val="0"/>
                <w:sz w:val="21"/>
                <w:szCs w:val="21"/>
              </w:rPr>
            </w:pPr>
            <w:r>
              <w:rPr>
                <w:rFonts w:ascii="Times New Roman"/>
                <w:sz w:val="21"/>
                <w:szCs w:val="21"/>
              </w:rPr>
              <w:t>铬（六价）</w:t>
            </w:r>
          </w:p>
        </w:tc>
        <w:tc>
          <w:tcPr>
            <w:tcW w:w="675" w:type="pct"/>
            <w:shd w:val="clear" w:color="auto" w:fill="auto"/>
            <w:vAlign w:val="center"/>
          </w:tcPr>
          <w:p w14:paraId="40DB75C5">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2299AF45">
            <w:pPr>
              <w:widowControl/>
              <w:jc w:val="center"/>
              <w:rPr>
                <w:rFonts w:ascii="Times New Roman"/>
                <w:kern w:val="0"/>
                <w:sz w:val="21"/>
                <w:szCs w:val="21"/>
              </w:rPr>
            </w:pPr>
            <w:r>
              <w:rPr>
                <w:rFonts w:ascii="Times New Roman"/>
                <w:kern w:val="0"/>
                <w:sz w:val="21"/>
                <w:szCs w:val="21"/>
              </w:rPr>
              <w:t>0.05</w:t>
            </w:r>
          </w:p>
        </w:tc>
        <w:tc>
          <w:tcPr>
            <w:tcW w:w="601" w:type="pct"/>
            <w:shd w:val="clear" w:color="auto" w:fill="auto"/>
            <w:vAlign w:val="center"/>
          </w:tcPr>
          <w:p w14:paraId="5A91709D">
            <w:pPr>
              <w:ind w:left="-125" w:leftChars="-50" w:right="-125" w:rightChars="-50"/>
              <w:jc w:val="center"/>
              <w:rPr>
                <w:rFonts w:ascii="Times New Roman"/>
                <w:kern w:val="0"/>
                <w:sz w:val="21"/>
                <w:szCs w:val="21"/>
              </w:rPr>
            </w:pPr>
            <w:r>
              <w:rPr>
                <w:rFonts w:ascii="Times New Roman"/>
                <w:sz w:val="21"/>
                <w:szCs w:val="21"/>
              </w:rPr>
              <w:t>ND</w:t>
            </w:r>
          </w:p>
        </w:tc>
        <w:tc>
          <w:tcPr>
            <w:tcW w:w="770" w:type="pct"/>
            <w:shd w:val="clear" w:color="auto" w:fill="auto"/>
            <w:vAlign w:val="center"/>
          </w:tcPr>
          <w:p w14:paraId="2D2B99E4">
            <w:pPr>
              <w:ind w:left="-125" w:leftChars="-50" w:right="-125" w:rightChars="-50"/>
              <w:jc w:val="center"/>
              <w:rPr>
                <w:rFonts w:ascii="Times New Roman"/>
                <w:kern w:val="0"/>
                <w:sz w:val="21"/>
                <w:szCs w:val="21"/>
              </w:rPr>
            </w:pPr>
            <w:r>
              <w:rPr>
                <w:rFonts w:ascii="Times New Roman"/>
                <w:sz w:val="21"/>
                <w:szCs w:val="21"/>
              </w:rPr>
              <w:t>ND</w:t>
            </w:r>
          </w:p>
        </w:tc>
        <w:tc>
          <w:tcPr>
            <w:tcW w:w="774" w:type="pct"/>
            <w:shd w:val="clear" w:color="auto" w:fill="auto"/>
            <w:vAlign w:val="center"/>
          </w:tcPr>
          <w:p w14:paraId="2E10040E">
            <w:pPr>
              <w:ind w:left="-125" w:leftChars="-50" w:right="-125" w:rightChars="-50"/>
              <w:jc w:val="center"/>
              <w:rPr>
                <w:rFonts w:ascii="Times New Roman"/>
                <w:kern w:val="0"/>
                <w:sz w:val="21"/>
                <w:szCs w:val="21"/>
              </w:rPr>
            </w:pPr>
            <w:r>
              <w:rPr>
                <w:rFonts w:ascii="Times New Roman"/>
                <w:sz w:val="21"/>
                <w:szCs w:val="21"/>
              </w:rPr>
              <w:t>ND</w:t>
            </w:r>
          </w:p>
        </w:tc>
        <w:tc>
          <w:tcPr>
            <w:tcW w:w="665" w:type="pct"/>
            <w:shd w:val="clear" w:color="auto" w:fill="auto"/>
            <w:vAlign w:val="center"/>
          </w:tcPr>
          <w:p w14:paraId="26E1DB19">
            <w:pPr>
              <w:ind w:left="-125" w:leftChars="-50" w:right="-125" w:rightChars="-50"/>
              <w:jc w:val="center"/>
              <w:rPr>
                <w:rFonts w:ascii="Times New Roman"/>
                <w:sz w:val="21"/>
                <w:szCs w:val="21"/>
              </w:rPr>
            </w:pPr>
            <w:r>
              <w:rPr>
                <w:rFonts w:ascii="Times New Roman"/>
                <w:sz w:val="21"/>
                <w:szCs w:val="21"/>
              </w:rPr>
              <w:t>ND</w:t>
            </w:r>
          </w:p>
        </w:tc>
      </w:tr>
      <w:tr w14:paraId="62B9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27" w:type="pct"/>
            <w:shd w:val="clear" w:color="auto" w:fill="auto"/>
            <w:vAlign w:val="center"/>
          </w:tcPr>
          <w:p w14:paraId="508B5152">
            <w:pPr>
              <w:widowControl/>
              <w:jc w:val="center"/>
              <w:rPr>
                <w:rFonts w:ascii="Times New Roman"/>
                <w:kern w:val="0"/>
                <w:sz w:val="21"/>
                <w:szCs w:val="21"/>
              </w:rPr>
            </w:pPr>
            <w:r>
              <w:rPr>
                <w:rFonts w:ascii="Times New Roman"/>
                <w:sz w:val="21"/>
                <w:szCs w:val="21"/>
              </w:rPr>
              <w:t>石油类</w:t>
            </w:r>
          </w:p>
        </w:tc>
        <w:tc>
          <w:tcPr>
            <w:tcW w:w="675" w:type="pct"/>
            <w:shd w:val="clear" w:color="auto" w:fill="auto"/>
            <w:vAlign w:val="center"/>
          </w:tcPr>
          <w:p w14:paraId="28B0E41A">
            <w:pPr>
              <w:widowControl/>
              <w:jc w:val="center"/>
              <w:rPr>
                <w:rFonts w:ascii="Times New Roman"/>
                <w:kern w:val="0"/>
                <w:sz w:val="21"/>
                <w:szCs w:val="21"/>
              </w:rPr>
            </w:pPr>
            <w:r>
              <w:rPr>
                <w:rFonts w:ascii="Times New Roman"/>
                <w:sz w:val="21"/>
                <w:szCs w:val="21"/>
              </w:rPr>
              <w:t>mg/L</w:t>
            </w:r>
          </w:p>
        </w:tc>
        <w:tc>
          <w:tcPr>
            <w:tcW w:w="587" w:type="pct"/>
            <w:shd w:val="clear" w:color="auto" w:fill="auto"/>
            <w:vAlign w:val="center"/>
          </w:tcPr>
          <w:p w14:paraId="6714C3D7">
            <w:pPr>
              <w:widowControl/>
              <w:jc w:val="center"/>
              <w:rPr>
                <w:rFonts w:ascii="Times New Roman"/>
                <w:kern w:val="0"/>
                <w:sz w:val="21"/>
                <w:szCs w:val="21"/>
              </w:rPr>
            </w:pPr>
            <w:r>
              <w:rPr>
                <w:rFonts w:hint="eastAsia" w:ascii="Times New Roman"/>
                <w:kern w:val="0"/>
                <w:sz w:val="21"/>
                <w:szCs w:val="21"/>
              </w:rPr>
              <w:t>/</w:t>
            </w:r>
          </w:p>
        </w:tc>
        <w:tc>
          <w:tcPr>
            <w:tcW w:w="601" w:type="pct"/>
            <w:shd w:val="clear" w:color="auto" w:fill="auto"/>
            <w:vAlign w:val="center"/>
          </w:tcPr>
          <w:p w14:paraId="0A6BD0C0">
            <w:pPr>
              <w:ind w:left="-125" w:leftChars="-50" w:right="-125" w:rightChars="-50"/>
              <w:jc w:val="center"/>
              <w:rPr>
                <w:rFonts w:ascii="Times New Roman"/>
                <w:sz w:val="21"/>
                <w:szCs w:val="21"/>
              </w:rPr>
            </w:pPr>
            <w:r>
              <w:rPr>
                <w:rFonts w:ascii="Times New Roman"/>
                <w:sz w:val="21"/>
                <w:szCs w:val="21"/>
              </w:rPr>
              <w:t>ND</w:t>
            </w:r>
          </w:p>
        </w:tc>
        <w:tc>
          <w:tcPr>
            <w:tcW w:w="770" w:type="pct"/>
            <w:shd w:val="clear" w:color="auto" w:fill="auto"/>
            <w:vAlign w:val="center"/>
          </w:tcPr>
          <w:p w14:paraId="7C1562DB">
            <w:pPr>
              <w:ind w:left="-125" w:leftChars="-50" w:right="-125" w:rightChars="-50"/>
              <w:jc w:val="center"/>
              <w:rPr>
                <w:rFonts w:ascii="Times New Roman"/>
                <w:sz w:val="21"/>
                <w:szCs w:val="21"/>
              </w:rPr>
            </w:pPr>
            <w:r>
              <w:rPr>
                <w:rFonts w:ascii="Times New Roman"/>
                <w:sz w:val="21"/>
                <w:szCs w:val="21"/>
              </w:rPr>
              <w:t>ND</w:t>
            </w:r>
          </w:p>
        </w:tc>
        <w:tc>
          <w:tcPr>
            <w:tcW w:w="774" w:type="pct"/>
            <w:shd w:val="clear" w:color="auto" w:fill="auto"/>
            <w:vAlign w:val="center"/>
          </w:tcPr>
          <w:p w14:paraId="22B6700D">
            <w:pPr>
              <w:ind w:left="-125" w:leftChars="-50" w:right="-125" w:rightChars="-50"/>
              <w:jc w:val="center"/>
              <w:rPr>
                <w:rFonts w:ascii="Times New Roman"/>
                <w:sz w:val="21"/>
                <w:szCs w:val="21"/>
              </w:rPr>
            </w:pPr>
            <w:r>
              <w:rPr>
                <w:rFonts w:ascii="Times New Roman"/>
                <w:sz w:val="21"/>
                <w:szCs w:val="21"/>
              </w:rPr>
              <w:t>ND</w:t>
            </w:r>
          </w:p>
        </w:tc>
        <w:tc>
          <w:tcPr>
            <w:tcW w:w="665" w:type="pct"/>
            <w:shd w:val="clear" w:color="auto" w:fill="auto"/>
            <w:vAlign w:val="center"/>
          </w:tcPr>
          <w:p w14:paraId="4AA0C8E0">
            <w:pPr>
              <w:ind w:left="-125" w:leftChars="-50" w:right="-125" w:rightChars="-50"/>
              <w:jc w:val="center"/>
              <w:rPr>
                <w:rFonts w:ascii="Times New Roman"/>
                <w:sz w:val="21"/>
                <w:szCs w:val="21"/>
              </w:rPr>
            </w:pPr>
            <w:r>
              <w:rPr>
                <w:rFonts w:ascii="Times New Roman"/>
                <w:sz w:val="21"/>
                <w:szCs w:val="21"/>
              </w:rPr>
              <w:t>ND</w:t>
            </w:r>
          </w:p>
        </w:tc>
      </w:tr>
      <w:tr w14:paraId="6BC6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0B055116">
            <w:pPr>
              <w:widowControl/>
              <w:jc w:val="center"/>
              <w:rPr>
                <w:rFonts w:ascii="Times New Roman"/>
                <w:kern w:val="0"/>
                <w:sz w:val="21"/>
                <w:szCs w:val="21"/>
              </w:rPr>
            </w:pPr>
            <w:r>
              <w:rPr>
                <w:rFonts w:ascii="Times New Roman"/>
                <w:kern w:val="0"/>
                <w:sz w:val="21"/>
                <w:szCs w:val="21"/>
              </w:rPr>
              <w:t>苯</w:t>
            </w:r>
          </w:p>
        </w:tc>
        <w:tc>
          <w:tcPr>
            <w:tcW w:w="675" w:type="pct"/>
            <w:shd w:val="clear" w:color="auto" w:fill="auto"/>
            <w:vAlign w:val="center"/>
          </w:tcPr>
          <w:p w14:paraId="6BE78E93">
            <w:pPr>
              <w:widowControl/>
              <w:jc w:val="center"/>
              <w:rPr>
                <w:rFonts w:ascii="Times New Roman"/>
                <w:kern w:val="0"/>
                <w:sz w:val="21"/>
                <w:szCs w:val="21"/>
              </w:rPr>
            </w:pPr>
            <w:r>
              <w:rPr>
                <w:rFonts w:ascii="Times New Roman"/>
                <w:sz w:val="21"/>
                <w:szCs w:val="21"/>
              </w:rPr>
              <w:t>μg/L</w:t>
            </w:r>
          </w:p>
        </w:tc>
        <w:tc>
          <w:tcPr>
            <w:tcW w:w="587" w:type="pct"/>
            <w:shd w:val="clear" w:color="auto" w:fill="auto"/>
            <w:vAlign w:val="center"/>
          </w:tcPr>
          <w:p w14:paraId="3C73C4DE">
            <w:pPr>
              <w:widowControl/>
              <w:jc w:val="center"/>
              <w:rPr>
                <w:rFonts w:ascii="Times New Roman"/>
                <w:kern w:val="0"/>
                <w:sz w:val="21"/>
                <w:szCs w:val="21"/>
              </w:rPr>
            </w:pPr>
            <w:r>
              <w:rPr>
                <w:rFonts w:hint="eastAsia" w:ascii="Times New Roman"/>
                <w:kern w:val="0"/>
                <w:sz w:val="21"/>
                <w:szCs w:val="21"/>
              </w:rPr>
              <w:t>10</w:t>
            </w:r>
          </w:p>
        </w:tc>
        <w:tc>
          <w:tcPr>
            <w:tcW w:w="601" w:type="pct"/>
            <w:shd w:val="clear" w:color="auto" w:fill="auto"/>
            <w:vAlign w:val="center"/>
          </w:tcPr>
          <w:p w14:paraId="4048E0B3">
            <w:pPr>
              <w:spacing w:line="300" w:lineRule="exact"/>
              <w:jc w:val="center"/>
              <w:rPr>
                <w:rFonts w:ascii="Times New Roman"/>
                <w:kern w:val="0"/>
                <w:sz w:val="21"/>
                <w:szCs w:val="21"/>
              </w:rPr>
            </w:pPr>
            <w:r>
              <w:rPr>
                <w:rFonts w:ascii="Times New Roman"/>
                <w:sz w:val="21"/>
                <w:szCs w:val="21"/>
              </w:rPr>
              <w:t>ND</w:t>
            </w:r>
          </w:p>
        </w:tc>
        <w:tc>
          <w:tcPr>
            <w:tcW w:w="770" w:type="pct"/>
            <w:shd w:val="clear" w:color="auto" w:fill="auto"/>
            <w:vAlign w:val="center"/>
          </w:tcPr>
          <w:p w14:paraId="37ABFF67">
            <w:pPr>
              <w:spacing w:line="300" w:lineRule="exact"/>
              <w:jc w:val="center"/>
              <w:rPr>
                <w:rFonts w:ascii="Times New Roman"/>
                <w:kern w:val="0"/>
                <w:sz w:val="21"/>
                <w:szCs w:val="21"/>
              </w:rPr>
            </w:pPr>
            <w:r>
              <w:rPr>
                <w:rFonts w:ascii="Times New Roman"/>
                <w:sz w:val="21"/>
                <w:szCs w:val="21"/>
              </w:rPr>
              <w:t>ND</w:t>
            </w:r>
          </w:p>
        </w:tc>
        <w:tc>
          <w:tcPr>
            <w:tcW w:w="774" w:type="pct"/>
            <w:shd w:val="clear" w:color="auto" w:fill="auto"/>
            <w:vAlign w:val="center"/>
          </w:tcPr>
          <w:p w14:paraId="725D8562">
            <w:pPr>
              <w:spacing w:line="300" w:lineRule="exact"/>
              <w:jc w:val="center"/>
              <w:rPr>
                <w:rFonts w:ascii="Times New Roman"/>
                <w:kern w:val="0"/>
                <w:sz w:val="21"/>
                <w:szCs w:val="21"/>
              </w:rPr>
            </w:pPr>
            <w:r>
              <w:rPr>
                <w:rFonts w:ascii="Times New Roman"/>
                <w:sz w:val="21"/>
                <w:szCs w:val="21"/>
              </w:rPr>
              <w:t>ND</w:t>
            </w:r>
          </w:p>
        </w:tc>
        <w:tc>
          <w:tcPr>
            <w:tcW w:w="665" w:type="pct"/>
            <w:shd w:val="clear" w:color="auto" w:fill="auto"/>
            <w:vAlign w:val="center"/>
          </w:tcPr>
          <w:p w14:paraId="03CC2224">
            <w:pPr>
              <w:spacing w:line="300" w:lineRule="exact"/>
              <w:jc w:val="center"/>
              <w:rPr>
                <w:rFonts w:ascii="Times New Roman"/>
                <w:sz w:val="21"/>
                <w:szCs w:val="21"/>
              </w:rPr>
            </w:pPr>
            <w:r>
              <w:rPr>
                <w:rFonts w:ascii="Times New Roman"/>
                <w:sz w:val="21"/>
                <w:szCs w:val="21"/>
              </w:rPr>
              <w:t>ND</w:t>
            </w:r>
          </w:p>
        </w:tc>
      </w:tr>
      <w:tr w14:paraId="0B9B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5B4DAE50">
            <w:pPr>
              <w:widowControl/>
              <w:jc w:val="center"/>
              <w:rPr>
                <w:rFonts w:ascii="Times New Roman"/>
                <w:kern w:val="0"/>
                <w:sz w:val="21"/>
                <w:szCs w:val="21"/>
              </w:rPr>
            </w:pPr>
            <w:r>
              <w:rPr>
                <w:rFonts w:ascii="Times New Roman"/>
                <w:kern w:val="0"/>
                <w:sz w:val="21"/>
                <w:szCs w:val="21"/>
              </w:rPr>
              <w:t>甲苯</w:t>
            </w:r>
          </w:p>
        </w:tc>
        <w:tc>
          <w:tcPr>
            <w:tcW w:w="675" w:type="pct"/>
            <w:shd w:val="clear" w:color="auto" w:fill="auto"/>
            <w:vAlign w:val="center"/>
          </w:tcPr>
          <w:p w14:paraId="1EBC7995">
            <w:pPr>
              <w:widowControl/>
              <w:jc w:val="center"/>
              <w:rPr>
                <w:rFonts w:ascii="Times New Roman"/>
                <w:kern w:val="0"/>
                <w:sz w:val="21"/>
                <w:szCs w:val="21"/>
              </w:rPr>
            </w:pPr>
            <w:r>
              <w:rPr>
                <w:rFonts w:ascii="Times New Roman"/>
                <w:sz w:val="21"/>
                <w:szCs w:val="21"/>
              </w:rPr>
              <w:t>μg/L</w:t>
            </w:r>
          </w:p>
        </w:tc>
        <w:tc>
          <w:tcPr>
            <w:tcW w:w="587" w:type="pct"/>
            <w:shd w:val="clear" w:color="auto" w:fill="auto"/>
            <w:vAlign w:val="center"/>
          </w:tcPr>
          <w:p w14:paraId="788DE78B">
            <w:pPr>
              <w:widowControl/>
              <w:jc w:val="center"/>
              <w:rPr>
                <w:rFonts w:ascii="Times New Roman"/>
                <w:kern w:val="0"/>
                <w:sz w:val="21"/>
                <w:szCs w:val="21"/>
              </w:rPr>
            </w:pPr>
            <w:r>
              <w:rPr>
                <w:rFonts w:hint="eastAsia" w:ascii="Times New Roman"/>
                <w:kern w:val="0"/>
                <w:sz w:val="21"/>
                <w:szCs w:val="21"/>
              </w:rPr>
              <w:t>700</w:t>
            </w:r>
          </w:p>
        </w:tc>
        <w:tc>
          <w:tcPr>
            <w:tcW w:w="601" w:type="pct"/>
            <w:shd w:val="clear" w:color="auto" w:fill="auto"/>
            <w:vAlign w:val="center"/>
          </w:tcPr>
          <w:p w14:paraId="0C4F064E">
            <w:pPr>
              <w:spacing w:line="300" w:lineRule="exact"/>
              <w:jc w:val="center"/>
              <w:rPr>
                <w:rFonts w:ascii="Times New Roman"/>
                <w:kern w:val="0"/>
                <w:sz w:val="21"/>
                <w:szCs w:val="21"/>
              </w:rPr>
            </w:pPr>
            <w:r>
              <w:rPr>
                <w:rFonts w:ascii="Times New Roman"/>
                <w:sz w:val="21"/>
                <w:szCs w:val="21"/>
              </w:rPr>
              <w:t>ND</w:t>
            </w:r>
          </w:p>
        </w:tc>
        <w:tc>
          <w:tcPr>
            <w:tcW w:w="770" w:type="pct"/>
            <w:shd w:val="clear" w:color="auto" w:fill="auto"/>
            <w:vAlign w:val="center"/>
          </w:tcPr>
          <w:p w14:paraId="44120125">
            <w:pPr>
              <w:spacing w:line="300" w:lineRule="exact"/>
              <w:jc w:val="center"/>
              <w:rPr>
                <w:rFonts w:ascii="Times New Roman"/>
                <w:kern w:val="0"/>
                <w:sz w:val="21"/>
                <w:szCs w:val="21"/>
              </w:rPr>
            </w:pPr>
            <w:r>
              <w:rPr>
                <w:rFonts w:ascii="Times New Roman"/>
                <w:sz w:val="21"/>
                <w:szCs w:val="21"/>
              </w:rPr>
              <w:t>ND</w:t>
            </w:r>
          </w:p>
        </w:tc>
        <w:tc>
          <w:tcPr>
            <w:tcW w:w="774" w:type="pct"/>
            <w:shd w:val="clear" w:color="auto" w:fill="auto"/>
            <w:vAlign w:val="center"/>
          </w:tcPr>
          <w:p w14:paraId="57399835">
            <w:pPr>
              <w:spacing w:line="300" w:lineRule="exact"/>
              <w:jc w:val="center"/>
              <w:rPr>
                <w:rFonts w:ascii="Times New Roman"/>
                <w:kern w:val="0"/>
                <w:sz w:val="21"/>
                <w:szCs w:val="21"/>
              </w:rPr>
            </w:pPr>
            <w:r>
              <w:rPr>
                <w:rFonts w:ascii="Times New Roman"/>
                <w:sz w:val="21"/>
                <w:szCs w:val="21"/>
              </w:rPr>
              <w:t>ND</w:t>
            </w:r>
          </w:p>
        </w:tc>
        <w:tc>
          <w:tcPr>
            <w:tcW w:w="665" w:type="pct"/>
            <w:shd w:val="clear" w:color="auto" w:fill="auto"/>
            <w:vAlign w:val="center"/>
          </w:tcPr>
          <w:p w14:paraId="6BC413EE">
            <w:pPr>
              <w:spacing w:line="300" w:lineRule="exact"/>
              <w:jc w:val="center"/>
              <w:rPr>
                <w:rFonts w:ascii="Times New Roman"/>
                <w:sz w:val="21"/>
                <w:szCs w:val="21"/>
              </w:rPr>
            </w:pPr>
            <w:r>
              <w:rPr>
                <w:rFonts w:ascii="Times New Roman"/>
                <w:sz w:val="21"/>
                <w:szCs w:val="21"/>
              </w:rPr>
              <w:t>ND</w:t>
            </w:r>
          </w:p>
        </w:tc>
      </w:tr>
      <w:tr w14:paraId="1CD3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27" w:type="pct"/>
            <w:shd w:val="clear" w:color="auto" w:fill="auto"/>
            <w:vAlign w:val="center"/>
          </w:tcPr>
          <w:p w14:paraId="2AA52837">
            <w:pPr>
              <w:widowControl/>
              <w:jc w:val="center"/>
              <w:rPr>
                <w:rFonts w:ascii="Times New Roman"/>
                <w:kern w:val="0"/>
                <w:sz w:val="21"/>
                <w:szCs w:val="21"/>
              </w:rPr>
            </w:pPr>
            <w:r>
              <w:rPr>
                <w:rFonts w:hint="eastAsia" w:ascii="Times New Roman"/>
                <w:kern w:val="0"/>
                <w:sz w:val="21"/>
                <w:szCs w:val="21"/>
              </w:rPr>
              <w:t>菌落总数</w:t>
            </w:r>
          </w:p>
        </w:tc>
        <w:tc>
          <w:tcPr>
            <w:tcW w:w="675" w:type="pct"/>
            <w:shd w:val="clear" w:color="auto" w:fill="auto"/>
            <w:vAlign w:val="center"/>
          </w:tcPr>
          <w:p w14:paraId="0ACB0782">
            <w:pPr>
              <w:widowControl/>
              <w:jc w:val="center"/>
              <w:rPr>
                <w:rFonts w:ascii="Times New Roman"/>
                <w:kern w:val="0"/>
                <w:sz w:val="21"/>
                <w:szCs w:val="21"/>
              </w:rPr>
            </w:pPr>
            <w:r>
              <w:rPr>
                <w:rFonts w:hint="eastAsia" w:ascii="Times New Roman"/>
                <w:kern w:val="0"/>
                <w:sz w:val="21"/>
                <w:szCs w:val="21"/>
              </w:rPr>
              <w:t>CFU/L</w:t>
            </w:r>
          </w:p>
        </w:tc>
        <w:tc>
          <w:tcPr>
            <w:tcW w:w="587" w:type="pct"/>
            <w:shd w:val="clear" w:color="auto" w:fill="auto"/>
            <w:vAlign w:val="center"/>
          </w:tcPr>
          <w:p w14:paraId="514D31A9">
            <w:pPr>
              <w:widowControl/>
              <w:jc w:val="center"/>
              <w:rPr>
                <w:rFonts w:ascii="Times New Roman"/>
                <w:kern w:val="0"/>
                <w:sz w:val="21"/>
                <w:szCs w:val="21"/>
              </w:rPr>
            </w:pPr>
            <w:r>
              <w:rPr>
                <w:rFonts w:hint="eastAsia" w:ascii="Times New Roman"/>
                <w:kern w:val="0"/>
                <w:sz w:val="21"/>
                <w:szCs w:val="21"/>
              </w:rPr>
              <w:t>100</w:t>
            </w:r>
          </w:p>
        </w:tc>
        <w:tc>
          <w:tcPr>
            <w:tcW w:w="601" w:type="pct"/>
            <w:shd w:val="clear" w:color="auto" w:fill="auto"/>
            <w:vAlign w:val="center"/>
          </w:tcPr>
          <w:p w14:paraId="23F0721C">
            <w:pPr>
              <w:ind w:left="-125" w:leftChars="-50" w:right="-125" w:rightChars="-50"/>
              <w:jc w:val="center"/>
              <w:rPr>
                <w:rFonts w:ascii="Times New Roman"/>
                <w:kern w:val="0"/>
                <w:sz w:val="21"/>
                <w:szCs w:val="21"/>
              </w:rPr>
            </w:pPr>
            <w:r>
              <w:rPr>
                <w:rFonts w:hint="eastAsia" w:ascii="Times New Roman"/>
                <w:kern w:val="0"/>
                <w:sz w:val="21"/>
                <w:szCs w:val="21"/>
              </w:rPr>
              <w:t>60</w:t>
            </w:r>
          </w:p>
        </w:tc>
        <w:tc>
          <w:tcPr>
            <w:tcW w:w="770" w:type="pct"/>
            <w:shd w:val="clear" w:color="auto" w:fill="auto"/>
            <w:vAlign w:val="center"/>
          </w:tcPr>
          <w:p w14:paraId="49ED7ACE">
            <w:pPr>
              <w:ind w:left="-125" w:leftChars="-50" w:right="-125" w:rightChars="-50"/>
              <w:jc w:val="center"/>
              <w:rPr>
                <w:rFonts w:ascii="Times New Roman"/>
                <w:kern w:val="0"/>
                <w:sz w:val="21"/>
                <w:szCs w:val="21"/>
              </w:rPr>
            </w:pPr>
            <w:r>
              <w:rPr>
                <w:rFonts w:hint="eastAsia" w:ascii="Times New Roman"/>
                <w:kern w:val="0"/>
                <w:sz w:val="21"/>
                <w:szCs w:val="21"/>
              </w:rPr>
              <w:t>78</w:t>
            </w:r>
          </w:p>
        </w:tc>
        <w:tc>
          <w:tcPr>
            <w:tcW w:w="774" w:type="pct"/>
            <w:shd w:val="clear" w:color="auto" w:fill="auto"/>
            <w:vAlign w:val="center"/>
          </w:tcPr>
          <w:p w14:paraId="3FA06902">
            <w:pPr>
              <w:ind w:left="-125" w:leftChars="-50" w:right="-125" w:rightChars="-50"/>
              <w:jc w:val="center"/>
              <w:rPr>
                <w:rFonts w:ascii="Times New Roman"/>
                <w:kern w:val="0"/>
                <w:sz w:val="21"/>
                <w:szCs w:val="21"/>
              </w:rPr>
            </w:pPr>
            <w:r>
              <w:rPr>
                <w:rFonts w:hint="eastAsia" w:ascii="Times New Roman"/>
                <w:kern w:val="0"/>
                <w:sz w:val="21"/>
                <w:szCs w:val="21"/>
              </w:rPr>
              <w:t>86</w:t>
            </w:r>
          </w:p>
        </w:tc>
        <w:tc>
          <w:tcPr>
            <w:tcW w:w="665" w:type="pct"/>
            <w:shd w:val="clear" w:color="auto" w:fill="auto"/>
            <w:vAlign w:val="center"/>
          </w:tcPr>
          <w:p w14:paraId="151B5527">
            <w:pPr>
              <w:ind w:left="-125" w:leftChars="-50" w:right="-125" w:rightChars="-50"/>
              <w:jc w:val="center"/>
              <w:rPr>
                <w:rFonts w:ascii="Times New Roman"/>
                <w:kern w:val="0"/>
                <w:sz w:val="21"/>
                <w:szCs w:val="21"/>
              </w:rPr>
            </w:pPr>
            <w:r>
              <w:rPr>
                <w:rFonts w:hint="eastAsia" w:ascii="Times New Roman"/>
                <w:kern w:val="0"/>
                <w:sz w:val="21"/>
                <w:szCs w:val="21"/>
              </w:rPr>
              <w:t>82</w:t>
            </w:r>
          </w:p>
        </w:tc>
      </w:tr>
    </w:tbl>
    <w:p w14:paraId="445F3F5C">
      <w:pPr>
        <w:spacing w:line="440" w:lineRule="exact"/>
        <w:rPr>
          <w:rFonts w:ascii="Times New Roman"/>
          <w:b/>
          <w:sz w:val="24"/>
          <w:szCs w:val="24"/>
        </w:rPr>
      </w:pPr>
    </w:p>
    <w:p w14:paraId="5C998C75">
      <w:pPr>
        <w:pStyle w:val="1730"/>
        <w:adjustRightInd w:val="0"/>
        <w:snapToGrid w:val="0"/>
        <w:spacing w:line="240" w:lineRule="auto"/>
        <w:ind w:firstLine="0" w:firstLineChars="0"/>
        <w:jc w:val="center"/>
        <w:rPr>
          <w:rFonts w:ascii="Times New Roman" w:hAnsi="Times New Roman" w:cs="Times New Roman"/>
          <w:b/>
          <w:bCs/>
        </w:rPr>
      </w:pPr>
      <w:r>
        <w:rPr>
          <w:rFonts w:ascii="Times New Roman" w:hAnsi="Times New Roman" w:cs="Times New Roman"/>
          <w:b/>
          <w:bCs/>
        </w:rPr>
        <w:t>表4.</w:t>
      </w:r>
      <w:r>
        <w:rPr>
          <w:rFonts w:hint="eastAsia" w:ascii="Times New Roman" w:hAnsi="Times New Roman" w:cs="Times New Roman"/>
          <w:b/>
          <w:bCs/>
        </w:rPr>
        <w:t>2</w:t>
      </w:r>
      <w:r>
        <w:rPr>
          <w:rFonts w:ascii="Times New Roman" w:hAnsi="Times New Roman" w:cs="Times New Roman"/>
          <w:b/>
          <w:bCs/>
        </w:rPr>
        <w:t>-</w:t>
      </w:r>
      <w:r>
        <w:rPr>
          <w:rFonts w:hint="eastAsia" w:ascii="Times New Roman" w:hAnsi="Times New Roman" w:cs="Times New Roman"/>
          <w:b/>
          <w:bCs/>
        </w:rPr>
        <w:t>10</w:t>
      </w:r>
      <w:r>
        <w:rPr>
          <w:rFonts w:ascii="Times New Roman" w:hAnsi="Times New Roman" w:cs="Times New Roman"/>
          <w:b/>
          <w:bCs/>
        </w:rPr>
        <w:t xml:space="preserve"> 地下水井深水位环境质量监测结果</w:t>
      </w:r>
    </w:p>
    <w:tbl>
      <w:tblPr>
        <w:tblStyle w:val="8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2440"/>
        <w:gridCol w:w="1953"/>
        <w:gridCol w:w="2108"/>
      </w:tblGrid>
      <w:tr w14:paraId="08B9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Align w:val="center"/>
          </w:tcPr>
          <w:p w14:paraId="457A7A86">
            <w:pPr>
              <w:widowControl/>
              <w:jc w:val="center"/>
              <w:rPr>
                <w:rFonts w:ascii="Times New Roman"/>
                <w:kern w:val="0"/>
                <w:sz w:val="21"/>
                <w:szCs w:val="21"/>
              </w:rPr>
            </w:pPr>
            <w:r>
              <w:rPr>
                <w:rFonts w:ascii="Times New Roman"/>
                <w:kern w:val="0"/>
                <w:sz w:val="21"/>
                <w:szCs w:val="21"/>
              </w:rPr>
              <w:t>含水层类型</w:t>
            </w:r>
          </w:p>
        </w:tc>
        <w:tc>
          <w:tcPr>
            <w:tcW w:w="1432" w:type="pct"/>
            <w:vAlign w:val="center"/>
          </w:tcPr>
          <w:p w14:paraId="119ED5FF">
            <w:pPr>
              <w:widowControl/>
              <w:jc w:val="center"/>
              <w:rPr>
                <w:rFonts w:ascii="Times New Roman"/>
                <w:kern w:val="0"/>
                <w:sz w:val="21"/>
                <w:szCs w:val="21"/>
              </w:rPr>
            </w:pPr>
            <w:r>
              <w:rPr>
                <w:rFonts w:ascii="Times New Roman"/>
                <w:kern w:val="0"/>
                <w:sz w:val="21"/>
                <w:szCs w:val="21"/>
              </w:rPr>
              <w:t>点位名称</w:t>
            </w:r>
          </w:p>
        </w:tc>
        <w:tc>
          <w:tcPr>
            <w:tcW w:w="1146" w:type="pct"/>
            <w:vAlign w:val="center"/>
          </w:tcPr>
          <w:p w14:paraId="38E8F656">
            <w:pPr>
              <w:widowControl/>
              <w:jc w:val="center"/>
              <w:rPr>
                <w:rFonts w:ascii="Times New Roman"/>
                <w:kern w:val="0"/>
                <w:sz w:val="21"/>
                <w:szCs w:val="21"/>
              </w:rPr>
            </w:pPr>
            <w:r>
              <w:rPr>
                <w:rFonts w:ascii="Times New Roman"/>
                <w:kern w:val="0"/>
                <w:sz w:val="21"/>
                <w:szCs w:val="21"/>
              </w:rPr>
              <w:t>井深（m）</w:t>
            </w:r>
          </w:p>
        </w:tc>
        <w:tc>
          <w:tcPr>
            <w:tcW w:w="1237" w:type="pct"/>
            <w:vAlign w:val="center"/>
          </w:tcPr>
          <w:p w14:paraId="5CAE29FC">
            <w:pPr>
              <w:widowControl/>
              <w:jc w:val="center"/>
              <w:rPr>
                <w:rFonts w:ascii="Times New Roman"/>
                <w:kern w:val="0"/>
                <w:sz w:val="21"/>
                <w:szCs w:val="21"/>
              </w:rPr>
            </w:pPr>
            <w:r>
              <w:rPr>
                <w:rFonts w:ascii="Times New Roman"/>
                <w:kern w:val="0"/>
                <w:sz w:val="21"/>
                <w:szCs w:val="21"/>
              </w:rPr>
              <w:t>水位（m）</w:t>
            </w:r>
          </w:p>
        </w:tc>
      </w:tr>
      <w:tr w14:paraId="688C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trPr>
        <w:tc>
          <w:tcPr>
            <w:tcW w:w="1184" w:type="pct"/>
            <w:vMerge w:val="restart"/>
            <w:vAlign w:val="center"/>
          </w:tcPr>
          <w:p w14:paraId="04D6F52B">
            <w:pPr>
              <w:widowControl/>
              <w:jc w:val="center"/>
              <w:rPr>
                <w:rFonts w:ascii="Times New Roman"/>
                <w:kern w:val="0"/>
                <w:sz w:val="21"/>
                <w:szCs w:val="21"/>
              </w:rPr>
            </w:pPr>
            <w:r>
              <w:rPr>
                <w:rFonts w:ascii="Times New Roman"/>
                <w:kern w:val="0"/>
                <w:sz w:val="21"/>
                <w:szCs w:val="21"/>
              </w:rPr>
              <w:t>潜水</w:t>
            </w:r>
          </w:p>
        </w:tc>
        <w:tc>
          <w:tcPr>
            <w:tcW w:w="1432" w:type="pct"/>
            <w:vAlign w:val="center"/>
          </w:tcPr>
          <w:p w14:paraId="3CF0D91F">
            <w:pPr>
              <w:adjustRightInd w:val="0"/>
              <w:snapToGrid w:val="0"/>
              <w:jc w:val="center"/>
              <w:rPr>
                <w:rFonts w:ascii="Times New Roman"/>
                <w:sz w:val="21"/>
                <w:szCs w:val="21"/>
              </w:rPr>
            </w:pPr>
            <w:r>
              <w:rPr>
                <w:rFonts w:hint="eastAsia" w:ascii="Times New Roman"/>
                <w:sz w:val="21"/>
                <w:szCs w:val="21"/>
              </w:rPr>
              <w:t>厂址南侧</w:t>
            </w:r>
          </w:p>
        </w:tc>
        <w:tc>
          <w:tcPr>
            <w:tcW w:w="1146" w:type="pct"/>
            <w:vAlign w:val="center"/>
          </w:tcPr>
          <w:p w14:paraId="0DE4634C">
            <w:pPr>
              <w:pStyle w:val="20"/>
              <w:tabs>
                <w:tab w:val="left" w:pos="4500"/>
              </w:tabs>
              <w:spacing w:line="240" w:lineRule="exact"/>
              <w:ind w:firstLine="0"/>
              <w:jc w:val="center"/>
              <w:rPr>
                <w:rFonts w:eastAsia="宋体"/>
                <w:szCs w:val="21"/>
              </w:rPr>
            </w:pPr>
            <w:r>
              <w:rPr>
                <w:rFonts w:hint="eastAsia"/>
                <w:szCs w:val="21"/>
              </w:rPr>
              <w:t>4.8</w:t>
            </w:r>
          </w:p>
        </w:tc>
        <w:tc>
          <w:tcPr>
            <w:tcW w:w="1237" w:type="pct"/>
            <w:vAlign w:val="center"/>
          </w:tcPr>
          <w:p w14:paraId="169F4DF5">
            <w:pPr>
              <w:pStyle w:val="20"/>
              <w:tabs>
                <w:tab w:val="left" w:pos="4500"/>
              </w:tabs>
              <w:spacing w:line="240" w:lineRule="exact"/>
              <w:ind w:firstLine="0"/>
              <w:jc w:val="center"/>
              <w:rPr>
                <w:rFonts w:eastAsia="宋体"/>
                <w:szCs w:val="21"/>
              </w:rPr>
            </w:pPr>
            <w:r>
              <w:rPr>
                <w:rFonts w:hint="eastAsia"/>
                <w:szCs w:val="21"/>
              </w:rPr>
              <w:t>3.5</w:t>
            </w:r>
          </w:p>
        </w:tc>
      </w:tr>
      <w:tr w14:paraId="6F77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Merge w:val="continue"/>
            <w:vAlign w:val="center"/>
          </w:tcPr>
          <w:p w14:paraId="2A4AE0F1">
            <w:pPr>
              <w:widowControl/>
              <w:jc w:val="center"/>
              <w:rPr>
                <w:rFonts w:ascii="Times New Roman"/>
                <w:kern w:val="0"/>
                <w:sz w:val="21"/>
                <w:szCs w:val="21"/>
              </w:rPr>
            </w:pPr>
          </w:p>
        </w:tc>
        <w:tc>
          <w:tcPr>
            <w:tcW w:w="1432" w:type="pct"/>
            <w:vAlign w:val="center"/>
          </w:tcPr>
          <w:p w14:paraId="59AE63B3">
            <w:pPr>
              <w:adjustRightInd w:val="0"/>
              <w:snapToGrid w:val="0"/>
              <w:jc w:val="center"/>
              <w:rPr>
                <w:rFonts w:ascii="Times New Roman"/>
                <w:sz w:val="21"/>
                <w:szCs w:val="21"/>
              </w:rPr>
            </w:pPr>
            <w:r>
              <w:rPr>
                <w:rFonts w:hint="eastAsia" w:ascii="Times New Roman"/>
                <w:sz w:val="21"/>
                <w:szCs w:val="21"/>
              </w:rPr>
              <w:t>厂址东南</w:t>
            </w:r>
          </w:p>
        </w:tc>
        <w:tc>
          <w:tcPr>
            <w:tcW w:w="1146" w:type="pct"/>
            <w:vAlign w:val="center"/>
          </w:tcPr>
          <w:p w14:paraId="3A6F01AF">
            <w:pPr>
              <w:pStyle w:val="20"/>
              <w:tabs>
                <w:tab w:val="left" w:pos="4500"/>
              </w:tabs>
              <w:spacing w:line="240" w:lineRule="exact"/>
              <w:ind w:firstLine="0"/>
              <w:jc w:val="center"/>
              <w:rPr>
                <w:rFonts w:eastAsia="宋体"/>
                <w:szCs w:val="21"/>
              </w:rPr>
            </w:pPr>
            <w:r>
              <w:rPr>
                <w:rFonts w:hint="eastAsia"/>
                <w:szCs w:val="21"/>
              </w:rPr>
              <w:t>5.0</w:t>
            </w:r>
          </w:p>
        </w:tc>
        <w:tc>
          <w:tcPr>
            <w:tcW w:w="1237" w:type="pct"/>
            <w:vAlign w:val="center"/>
          </w:tcPr>
          <w:p w14:paraId="5810BBFC">
            <w:pPr>
              <w:pStyle w:val="20"/>
              <w:tabs>
                <w:tab w:val="left" w:pos="4500"/>
              </w:tabs>
              <w:spacing w:line="240" w:lineRule="exact"/>
              <w:ind w:firstLine="0"/>
              <w:jc w:val="center"/>
              <w:rPr>
                <w:szCs w:val="21"/>
              </w:rPr>
            </w:pPr>
            <w:r>
              <w:rPr>
                <w:rFonts w:hint="eastAsia"/>
                <w:szCs w:val="21"/>
              </w:rPr>
              <w:t>1.00</w:t>
            </w:r>
          </w:p>
        </w:tc>
      </w:tr>
      <w:tr w14:paraId="2243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Merge w:val="continue"/>
            <w:vAlign w:val="center"/>
          </w:tcPr>
          <w:p w14:paraId="2B408D37">
            <w:pPr>
              <w:widowControl/>
              <w:jc w:val="center"/>
              <w:rPr>
                <w:rFonts w:ascii="Times New Roman"/>
                <w:kern w:val="0"/>
                <w:sz w:val="21"/>
                <w:szCs w:val="21"/>
              </w:rPr>
            </w:pPr>
          </w:p>
        </w:tc>
        <w:tc>
          <w:tcPr>
            <w:tcW w:w="1432" w:type="pct"/>
            <w:vAlign w:val="center"/>
          </w:tcPr>
          <w:p w14:paraId="1AE0AFB1">
            <w:pPr>
              <w:adjustRightInd w:val="0"/>
              <w:snapToGrid w:val="0"/>
              <w:jc w:val="center"/>
              <w:rPr>
                <w:rFonts w:ascii="Times New Roman"/>
                <w:sz w:val="21"/>
                <w:szCs w:val="21"/>
              </w:rPr>
            </w:pPr>
            <w:r>
              <w:rPr>
                <w:rFonts w:hint="eastAsia" w:ascii="Times New Roman"/>
                <w:sz w:val="21"/>
                <w:szCs w:val="21"/>
              </w:rPr>
              <w:t>厂址北侧</w:t>
            </w:r>
          </w:p>
        </w:tc>
        <w:tc>
          <w:tcPr>
            <w:tcW w:w="1146" w:type="pct"/>
            <w:vAlign w:val="center"/>
          </w:tcPr>
          <w:p w14:paraId="1574D9C8">
            <w:pPr>
              <w:pStyle w:val="20"/>
              <w:tabs>
                <w:tab w:val="left" w:pos="4500"/>
              </w:tabs>
              <w:spacing w:line="240" w:lineRule="exact"/>
              <w:ind w:firstLine="0"/>
              <w:jc w:val="center"/>
              <w:rPr>
                <w:rFonts w:eastAsia="宋体"/>
                <w:szCs w:val="21"/>
              </w:rPr>
            </w:pPr>
            <w:r>
              <w:rPr>
                <w:rFonts w:hint="eastAsia"/>
                <w:szCs w:val="21"/>
              </w:rPr>
              <w:t>5.0</w:t>
            </w:r>
          </w:p>
        </w:tc>
        <w:tc>
          <w:tcPr>
            <w:tcW w:w="1237" w:type="pct"/>
            <w:vAlign w:val="center"/>
          </w:tcPr>
          <w:p w14:paraId="1F9D69E6">
            <w:pPr>
              <w:pStyle w:val="20"/>
              <w:tabs>
                <w:tab w:val="left" w:pos="4500"/>
              </w:tabs>
              <w:spacing w:line="240" w:lineRule="exact"/>
              <w:ind w:firstLine="0"/>
              <w:jc w:val="center"/>
              <w:rPr>
                <w:rFonts w:eastAsia="宋体"/>
                <w:szCs w:val="21"/>
              </w:rPr>
            </w:pPr>
            <w:r>
              <w:rPr>
                <w:rFonts w:hint="eastAsia"/>
                <w:szCs w:val="21"/>
              </w:rPr>
              <w:t>3.51</w:t>
            </w:r>
          </w:p>
        </w:tc>
      </w:tr>
      <w:tr w14:paraId="6E68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Merge w:val="continue"/>
            <w:vAlign w:val="center"/>
          </w:tcPr>
          <w:p w14:paraId="6BAC2468">
            <w:pPr>
              <w:widowControl/>
              <w:jc w:val="center"/>
              <w:rPr>
                <w:rFonts w:ascii="Times New Roman"/>
                <w:kern w:val="0"/>
                <w:sz w:val="21"/>
                <w:szCs w:val="21"/>
              </w:rPr>
            </w:pPr>
          </w:p>
        </w:tc>
        <w:tc>
          <w:tcPr>
            <w:tcW w:w="1432" w:type="pct"/>
            <w:vAlign w:val="center"/>
          </w:tcPr>
          <w:p w14:paraId="297895A9">
            <w:pPr>
              <w:adjustRightInd w:val="0"/>
              <w:snapToGrid w:val="0"/>
              <w:jc w:val="center"/>
              <w:rPr>
                <w:rFonts w:ascii="Times New Roman"/>
                <w:sz w:val="21"/>
                <w:szCs w:val="21"/>
              </w:rPr>
            </w:pPr>
            <w:r>
              <w:rPr>
                <w:rFonts w:hint="eastAsia" w:ascii="Times New Roman"/>
                <w:sz w:val="21"/>
                <w:szCs w:val="21"/>
              </w:rPr>
              <w:t>厂址东北</w:t>
            </w:r>
          </w:p>
        </w:tc>
        <w:tc>
          <w:tcPr>
            <w:tcW w:w="1146" w:type="pct"/>
            <w:vAlign w:val="center"/>
          </w:tcPr>
          <w:p w14:paraId="06B96D48">
            <w:pPr>
              <w:pStyle w:val="20"/>
              <w:tabs>
                <w:tab w:val="left" w:pos="4500"/>
              </w:tabs>
              <w:spacing w:line="240" w:lineRule="exact"/>
              <w:ind w:firstLine="0"/>
              <w:jc w:val="center"/>
              <w:rPr>
                <w:szCs w:val="21"/>
              </w:rPr>
            </w:pPr>
            <w:r>
              <w:rPr>
                <w:rFonts w:hint="eastAsia"/>
                <w:szCs w:val="21"/>
              </w:rPr>
              <w:t>5.3</w:t>
            </w:r>
          </w:p>
        </w:tc>
        <w:tc>
          <w:tcPr>
            <w:tcW w:w="1237" w:type="pct"/>
            <w:vAlign w:val="center"/>
          </w:tcPr>
          <w:p w14:paraId="605FA279">
            <w:pPr>
              <w:pStyle w:val="20"/>
              <w:tabs>
                <w:tab w:val="left" w:pos="4500"/>
              </w:tabs>
              <w:spacing w:line="240" w:lineRule="exact"/>
              <w:ind w:firstLine="0"/>
              <w:jc w:val="center"/>
              <w:rPr>
                <w:szCs w:val="21"/>
              </w:rPr>
            </w:pPr>
            <w:r>
              <w:rPr>
                <w:rFonts w:hint="eastAsia"/>
                <w:szCs w:val="21"/>
              </w:rPr>
              <w:t>4.05</w:t>
            </w:r>
          </w:p>
        </w:tc>
      </w:tr>
      <w:tr w14:paraId="1136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Merge w:val="continue"/>
            <w:vAlign w:val="center"/>
          </w:tcPr>
          <w:p w14:paraId="7EC6D4BE">
            <w:pPr>
              <w:widowControl/>
              <w:jc w:val="center"/>
              <w:rPr>
                <w:rFonts w:ascii="Times New Roman"/>
                <w:kern w:val="0"/>
                <w:sz w:val="21"/>
                <w:szCs w:val="21"/>
              </w:rPr>
            </w:pPr>
          </w:p>
        </w:tc>
        <w:tc>
          <w:tcPr>
            <w:tcW w:w="1432" w:type="pct"/>
            <w:vAlign w:val="center"/>
          </w:tcPr>
          <w:p w14:paraId="0C00311D">
            <w:pPr>
              <w:adjustRightInd w:val="0"/>
              <w:snapToGrid w:val="0"/>
              <w:jc w:val="center"/>
              <w:rPr>
                <w:rFonts w:ascii="Times New Roman"/>
                <w:sz w:val="21"/>
                <w:szCs w:val="21"/>
              </w:rPr>
            </w:pPr>
            <w:r>
              <w:rPr>
                <w:rFonts w:hint="eastAsia" w:ascii="Times New Roman"/>
                <w:sz w:val="21"/>
                <w:szCs w:val="21"/>
              </w:rPr>
              <w:t>厂址东侧</w:t>
            </w:r>
          </w:p>
        </w:tc>
        <w:tc>
          <w:tcPr>
            <w:tcW w:w="1146" w:type="pct"/>
            <w:vAlign w:val="center"/>
          </w:tcPr>
          <w:p w14:paraId="225F5764">
            <w:pPr>
              <w:pStyle w:val="20"/>
              <w:tabs>
                <w:tab w:val="left" w:pos="4500"/>
              </w:tabs>
              <w:spacing w:line="240" w:lineRule="exact"/>
              <w:ind w:firstLine="0"/>
              <w:jc w:val="center"/>
              <w:rPr>
                <w:szCs w:val="21"/>
              </w:rPr>
            </w:pPr>
            <w:r>
              <w:rPr>
                <w:rFonts w:hint="eastAsia"/>
                <w:szCs w:val="21"/>
              </w:rPr>
              <w:t>5.3</w:t>
            </w:r>
          </w:p>
        </w:tc>
        <w:tc>
          <w:tcPr>
            <w:tcW w:w="1237" w:type="pct"/>
            <w:vAlign w:val="center"/>
          </w:tcPr>
          <w:p w14:paraId="5EE4BAAC">
            <w:pPr>
              <w:pStyle w:val="20"/>
              <w:tabs>
                <w:tab w:val="left" w:pos="4500"/>
              </w:tabs>
              <w:spacing w:line="240" w:lineRule="exact"/>
              <w:ind w:firstLine="0"/>
              <w:jc w:val="center"/>
              <w:rPr>
                <w:szCs w:val="21"/>
              </w:rPr>
            </w:pPr>
            <w:r>
              <w:rPr>
                <w:rFonts w:hint="eastAsia"/>
                <w:szCs w:val="21"/>
              </w:rPr>
              <w:t>3.20</w:t>
            </w:r>
          </w:p>
        </w:tc>
      </w:tr>
      <w:tr w14:paraId="6152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Merge w:val="continue"/>
            <w:vAlign w:val="center"/>
          </w:tcPr>
          <w:p w14:paraId="31BF382E">
            <w:pPr>
              <w:widowControl/>
              <w:jc w:val="center"/>
              <w:rPr>
                <w:rFonts w:ascii="Times New Roman"/>
                <w:kern w:val="0"/>
                <w:sz w:val="21"/>
                <w:szCs w:val="21"/>
              </w:rPr>
            </w:pPr>
          </w:p>
        </w:tc>
        <w:tc>
          <w:tcPr>
            <w:tcW w:w="1432" w:type="pct"/>
            <w:vAlign w:val="center"/>
          </w:tcPr>
          <w:p w14:paraId="03406161">
            <w:pPr>
              <w:adjustRightInd w:val="0"/>
              <w:snapToGrid w:val="0"/>
              <w:jc w:val="center"/>
              <w:rPr>
                <w:rFonts w:ascii="Times New Roman"/>
                <w:sz w:val="21"/>
                <w:szCs w:val="21"/>
              </w:rPr>
            </w:pPr>
            <w:r>
              <w:rPr>
                <w:rFonts w:hint="eastAsia" w:ascii="Times New Roman"/>
                <w:sz w:val="21"/>
                <w:szCs w:val="21"/>
              </w:rPr>
              <w:t>厂址西北</w:t>
            </w:r>
          </w:p>
        </w:tc>
        <w:tc>
          <w:tcPr>
            <w:tcW w:w="1146" w:type="pct"/>
            <w:vAlign w:val="center"/>
          </w:tcPr>
          <w:p w14:paraId="67DC5966">
            <w:pPr>
              <w:pStyle w:val="20"/>
              <w:tabs>
                <w:tab w:val="left" w:pos="4500"/>
              </w:tabs>
              <w:spacing w:line="240" w:lineRule="exact"/>
              <w:ind w:firstLine="0"/>
              <w:jc w:val="center"/>
              <w:rPr>
                <w:rFonts w:eastAsia="宋体"/>
                <w:szCs w:val="21"/>
              </w:rPr>
            </w:pPr>
            <w:r>
              <w:rPr>
                <w:rFonts w:hint="eastAsia"/>
                <w:szCs w:val="21"/>
              </w:rPr>
              <w:t>5.3</w:t>
            </w:r>
          </w:p>
        </w:tc>
        <w:tc>
          <w:tcPr>
            <w:tcW w:w="1237" w:type="pct"/>
            <w:vAlign w:val="center"/>
          </w:tcPr>
          <w:p w14:paraId="6584A933">
            <w:pPr>
              <w:pStyle w:val="20"/>
              <w:tabs>
                <w:tab w:val="left" w:pos="4500"/>
              </w:tabs>
              <w:spacing w:line="240" w:lineRule="exact"/>
              <w:ind w:firstLine="0"/>
              <w:jc w:val="center"/>
              <w:rPr>
                <w:rFonts w:eastAsia="宋体"/>
                <w:szCs w:val="21"/>
              </w:rPr>
            </w:pPr>
            <w:r>
              <w:rPr>
                <w:rFonts w:hint="eastAsia"/>
                <w:szCs w:val="21"/>
              </w:rPr>
              <w:t>2.40</w:t>
            </w:r>
          </w:p>
        </w:tc>
      </w:tr>
      <w:tr w14:paraId="7982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Merge w:val="continue"/>
            <w:vAlign w:val="center"/>
          </w:tcPr>
          <w:p w14:paraId="3C45E914">
            <w:pPr>
              <w:widowControl/>
              <w:jc w:val="center"/>
              <w:rPr>
                <w:rFonts w:ascii="Times New Roman"/>
                <w:kern w:val="0"/>
                <w:sz w:val="21"/>
                <w:szCs w:val="21"/>
              </w:rPr>
            </w:pPr>
          </w:p>
        </w:tc>
        <w:tc>
          <w:tcPr>
            <w:tcW w:w="1432" w:type="pct"/>
            <w:vAlign w:val="center"/>
          </w:tcPr>
          <w:p w14:paraId="0241D729">
            <w:pPr>
              <w:adjustRightInd w:val="0"/>
              <w:snapToGrid w:val="0"/>
              <w:jc w:val="center"/>
              <w:rPr>
                <w:rFonts w:ascii="Times New Roman"/>
                <w:sz w:val="21"/>
                <w:szCs w:val="21"/>
              </w:rPr>
            </w:pPr>
            <w:r>
              <w:rPr>
                <w:rFonts w:hint="eastAsia" w:ascii="Times New Roman"/>
                <w:sz w:val="21"/>
                <w:szCs w:val="21"/>
              </w:rPr>
              <w:t>厂址北侧</w:t>
            </w:r>
          </w:p>
        </w:tc>
        <w:tc>
          <w:tcPr>
            <w:tcW w:w="1146" w:type="pct"/>
            <w:vAlign w:val="center"/>
          </w:tcPr>
          <w:p w14:paraId="1547988A">
            <w:pPr>
              <w:pStyle w:val="20"/>
              <w:tabs>
                <w:tab w:val="left" w:pos="4500"/>
              </w:tabs>
              <w:spacing w:line="240" w:lineRule="exact"/>
              <w:ind w:firstLine="0"/>
              <w:jc w:val="center"/>
              <w:rPr>
                <w:rFonts w:eastAsia="宋体"/>
                <w:szCs w:val="21"/>
              </w:rPr>
            </w:pPr>
            <w:r>
              <w:rPr>
                <w:rFonts w:hint="eastAsia"/>
                <w:szCs w:val="21"/>
              </w:rPr>
              <w:t>5.3</w:t>
            </w:r>
          </w:p>
        </w:tc>
        <w:tc>
          <w:tcPr>
            <w:tcW w:w="1237" w:type="pct"/>
            <w:vAlign w:val="center"/>
          </w:tcPr>
          <w:p w14:paraId="3E515906">
            <w:pPr>
              <w:pStyle w:val="20"/>
              <w:tabs>
                <w:tab w:val="left" w:pos="4500"/>
              </w:tabs>
              <w:spacing w:line="240" w:lineRule="exact"/>
              <w:ind w:firstLine="0"/>
              <w:jc w:val="center"/>
              <w:rPr>
                <w:rFonts w:eastAsia="宋体"/>
                <w:szCs w:val="21"/>
              </w:rPr>
            </w:pPr>
            <w:r>
              <w:rPr>
                <w:rFonts w:hint="eastAsia"/>
                <w:szCs w:val="21"/>
              </w:rPr>
              <w:t>2.40</w:t>
            </w:r>
          </w:p>
        </w:tc>
      </w:tr>
      <w:tr w14:paraId="443A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4" w:type="pct"/>
            <w:vAlign w:val="center"/>
          </w:tcPr>
          <w:p w14:paraId="64E3592E">
            <w:pPr>
              <w:widowControl/>
              <w:jc w:val="center"/>
              <w:rPr>
                <w:rFonts w:ascii="Times New Roman"/>
                <w:kern w:val="0"/>
                <w:sz w:val="21"/>
                <w:szCs w:val="21"/>
              </w:rPr>
            </w:pPr>
            <w:r>
              <w:rPr>
                <w:rFonts w:ascii="Times New Roman"/>
                <w:kern w:val="0"/>
                <w:sz w:val="21"/>
                <w:szCs w:val="21"/>
              </w:rPr>
              <w:t>承压水</w:t>
            </w:r>
          </w:p>
        </w:tc>
        <w:tc>
          <w:tcPr>
            <w:tcW w:w="1432" w:type="pct"/>
            <w:vAlign w:val="center"/>
          </w:tcPr>
          <w:p w14:paraId="04122DC7">
            <w:pPr>
              <w:widowControl/>
              <w:adjustRightInd w:val="0"/>
              <w:snapToGrid w:val="0"/>
              <w:jc w:val="center"/>
              <w:textAlignment w:val="center"/>
              <w:rPr>
                <w:rFonts w:ascii="Times New Roman"/>
                <w:spacing w:val="-2"/>
                <w:kern w:val="0"/>
                <w:sz w:val="21"/>
                <w:szCs w:val="21"/>
              </w:rPr>
            </w:pPr>
            <w:r>
              <w:rPr>
                <w:rFonts w:hint="eastAsia" w:ascii="Times New Roman"/>
                <w:sz w:val="21"/>
                <w:szCs w:val="21"/>
              </w:rPr>
              <w:t>厂址西侧</w:t>
            </w:r>
          </w:p>
        </w:tc>
        <w:tc>
          <w:tcPr>
            <w:tcW w:w="1146" w:type="pct"/>
            <w:vAlign w:val="center"/>
          </w:tcPr>
          <w:p w14:paraId="1DF5FA04">
            <w:pPr>
              <w:pStyle w:val="20"/>
              <w:tabs>
                <w:tab w:val="left" w:pos="4500"/>
              </w:tabs>
              <w:spacing w:line="240" w:lineRule="exact"/>
              <w:ind w:firstLine="0"/>
              <w:jc w:val="center"/>
              <w:rPr>
                <w:rFonts w:eastAsia="宋体"/>
                <w:szCs w:val="21"/>
              </w:rPr>
            </w:pPr>
            <w:r>
              <w:rPr>
                <w:rFonts w:hint="eastAsia"/>
                <w:szCs w:val="21"/>
              </w:rPr>
              <w:t>5.8</w:t>
            </w:r>
          </w:p>
        </w:tc>
        <w:tc>
          <w:tcPr>
            <w:tcW w:w="1237" w:type="pct"/>
            <w:vAlign w:val="center"/>
          </w:tcPr>
          <w:p w14:paraId="415B36DA">
            <w:pPr>
              <w:pStyle w:val="20"/>
              <w:tabs>
                <w:tab w:val="left" w:pos="4500"/>
              </w:tabs>
              <w:spacing w:line="240" w:lineRule="exact"/>
              <w:ind w:firstLine="0"/>
              <w:jc w:val="center"/>
              <w:rPr>
                <w:rFonts w:eastAsia="宋体"/>
                <w:szCs w:val="21"/>
              </w:rPr>
            </w:pPr>
            <w:r>
              <w:rPr>
                <w:rFonts w:hint="eastAsia" w:eastAsia="宋体"/>
                <w:szCs w:val="21"/>
              </w:rPr>
              <w:t>3.50</w:t>
            </w:r>
          </w:p>
        </w:tc>
      </w:tr>
    </w:tbl>
    <w:p w14:paraId="2F6B3821">
      <w:pPr>
        <w:spacing w:line="460" w:lineRule="exact"/>
        <w:rPr>
          <w:rFonts w:ascii="Times New Roman"/>
          <w:b/>
          <w:sz w:val="24"/>
          <w:szCs w:val="24"/>
        </w:rPr>
      </w:pPr>
      <w:r>
        <w:rPr>
          <w:rFonts w:ascii="Times New Roman"/>
          <w:b/>
          <w:sz w:val="24"/>
          <w:szCs w:val="24"/>
        </w:rPr>
        <w:t>4.2.4.3地下水水化学分析</w:t>
      </w:r>
    </w:p>
    <w:p w14:paraId="2F4A23FB">
      <w:pPr>
        <w:spacing w:line="480" w:lineRule="exact"/>
        <w:ind w:firstLine="480" w:firstLineChars="200"/>
        <w:rPr>
          <w:rFonts w:ascii="Times New Roman"/>
          <w:sz w:val="24"/>
          <w:szCs w:val="24"/>
        </w:rPr>
      </w:pPr>
      <w:r>
        <w:rPr>
          <w:rFonts w:ascii="Times New Roman"/>
          <w:sz w:val="24"/>
          <w:szCs w:val="24"/>
        </w:rPr>
        <w:t>各监测点位均进行了常规离子监测（K</w:t>
      </w:r>
      <w:r>
        <w:rPr>
          <w:rFonts w:ascii="Times New Roman"/>
          <w:sz w:val="24"/>
          <w:szCs w:val="24"/>
          <w:vertAlign w:val="superscript"/>
        </w:rPr>
        <w:t>+</w:t>
      </w:r>
      <w:r>
        <w:rPr>
          <w:rFonts w:ascii="Times New Roman"/>
          <w:sz w:val="24"/>
          <w:szCs w:val="24"/>
        </w:rPr>
        <w:t>、Na</w:t>
      </w:r>
      <w:r>
        <w:rPr>
          <w:rFonts w:ascii="Times New Roman"/>
          <w:sz w:val="24"/>
          <w:szCs w:val="24"/>
          <w:vertAlign w:val="superscript"/>
        </w:rPr>
        <w:t>+</w:t>
      </w:r>
      <w:r>
        <w:rPr>
          <w:rFonts w:ascii="Times New Roman"/>
          <w:sz w:val="24"/>
          <w:szCs w:val="24"/>
        </w:rPr>
        <w:t>、Ca</w:t>
      </w:r>
      <w:r>
        <w:rPr>
          <w:rFonts w:ascii="Times New Roman"/>
          <w:sz w:val="24"/>
          <w:szCs w:val="24"/>
          <w:vertAlign w:val="superscript"/>
        </w:rPr>
        <w:t>2+</w:t>
      </w:r>
      <w:r>
        <w:rPr>
          <w:rFonts w:ascii="Times New Roman"/>
          <w:sz w:val="24"/>
          <w:szCs w:val="24"/>
        </w:rPr>
        <w:t>、Mg</w:t>
      </w:r>
      <w:r>
        <w:rPr>
          <w:rFonts w:ascii="Times New Roman"/>
          <w:sz w:val="24"/>
          <w:szCs w:val="24"/>
          <w:vertAlign w:val="superscript"/>
        </w:rPr>
        <w:t>2+</w:t>
      </w:r>
      <w:r>
        <w:rPr>
          <w:rFonts w:ascii="Times New Roman"/>
          <w:sz w:val="24"/>
          <w:szCs w:val="24"/>
        </w:rPr>
        <w:t>、CO</w:t>
      </w:r>
      <w:r>
        <w:rPr>
          <w:rFonts w:ascii="Times New Roman"/>
          <w:sz w:val="24"/>
          <w:szCs w:val="24"/>
          <w:vertAlign w:val="subscript"/>
        </w:rPr>
        <w:t>3</w:t>
      </w:r>
      <w:r>
        <w:rPr>
          <w:rFonts w:ascii="Times New Roman"/>
          <w:sz w:val="24"/>
          <w:szCs w:val="24"/>
          <w:vertAlign w:val="superscript"/>
        </w:rPr>
        <w:t>2-</w:t>
      </w:r>
      <w:r>
        <w:rPr>
          <w:rFonts w:ascii="Times New Roman"/>
          <w:sz w:val="24"/>
          <w:szCs w:val="24"/>
        </w:rPr>
        <w:t>、HCO</w:t>
      </w:r>
      <w:r>
        <w:rPr>
          <w:rFonts w:ascii="Times New Roman"/>
          <w:sz w:val="24"/>
          <w:szCs w:val="24"/>
          <w:vertAlign w:val="subscript"/>
        </w:rPr>
        <w:t>3</w:t>
      </w:r>
      <w:r>
        <w:rPr>
          <w:rFonts w:ascii="Times New Roman"/>
          <w:sz w:val="24"/>
          <w:szCs w:val="24"/>
          <w:vertAlign w:val="superscript"/>
        </w:rPr>
        <w:t>-</w:t>
      </w:r>
      <w:r>
        <w:rPr>
          <w:rFonts w:ascii="Times New Roman"/>
          <w:sz w:val="24"/>
          <w:szCs w:val="24"/>
        </w:rPr>
        <w:t>、Cl</w:t>
      </w:r>
      <w:r>
        <w:rPr>
          <w:rFonts w:ascii="Times New Roman"/>
          <w:sz w:val="24"/>
          <w:szCs w:val="24"/>
          <w:vertAlign w:val="superscript"/>
        </w:rPr>
        <w:t>-</w:t>
      </w:r>
      <w:r>
        <w:rPr>
          <w:rFonts w:ascii="Times New Roman"/>
          <w:sz w:val="24"/>
          <w:szCs w:val="24"/>
        </w:rPr>
        <w:t>、SO</w:t>
      </w:r>
      <w:r>
        <w:rPr>
          <w:rFonts w:ascii="Times New Roman"/>
          <w:sz w:val="24"/>
          <w:szCs w:val="24"/>
          <w:vertAlign w:val="subscript"/>
        </w:rPr>
        <w:t>4</w:t>
      </w:r>
      <w:r>
        <w:rPr>
          <w:rFonts w:ascii="Times New Roman"/>
          <w:sz w:val="24"/>
          <w:szCs w:val="24"/>
          <w:vertAlign w:val="superscript"/>
        </w:rPr>
        <w:t>2-</w:t>
      </w:r>
      <w:r>
        <w:rPr>
          <w:rFonts w:ascii="Times New Roman"/>
          <w:sz w:val="24"/>
          <w:szCs w:val="24"/>
        </w:rPr>
        <w:t>），监测结果见表4.2-1</w:t>
      </w:r>
      <w:r>
        <w:rPr>
          <w:rFonts w:hint="eastAsia" w:ascii="Times New Roman"/>
          <w:sz w:val="24"/>
          <w:szCs w:val="24"/>
        </w:rPr>
        <w:t>1</w:t>
      </w:r>
      <w:r>
        <w:rPr>
          <w:rFonts w:ascii="Times New Roman"/>
          <w:sz w:val="24"/>
          <w:szCs w:val="24"/>
        </w:rPr>
        <w:t>。</w:t>
      </w:r>
    </w:p>
    <w:p w14:paraId="1CD46DFB">
      <w:pPr>
        <w:spacing w:line="440" w:lineRule="exact"/>
        <w:ind w:firstLine="482" w:firstLineChars="200"/>
        <w:jc w:val="center"/>
        <w:rPr>
          <w:rFonts w:ascii="Times New Roman"/>
          <w:b/>
          <w:bCs/>
          <w:sz w:val="24"/>
          <w:szCs w:val="24"/>
        </w:rPr>
      </w:pPr>
      <w:r>
        <w:rPr>
          <w:rFonts w:ascii="Times New Roman"/>
          <w:b/>
          <w:bCs/>
          <w:sz w:val="24"/>
          <w:szCs w:val="24"/>
        </w:rPr>
        <w:t>表4.2-1</w:t>
      </w:r>
      <w:r>
        <w:rPr>
          <w:rFonts w:hint="eastAsia" w:ascii="Times New Roman"/>
          <w:b/>
          <w:bCs/>
          <w:sz w:val="24"/>
          <w:szCs w:val="24"/>
        </w:rPr>
        <w:t>1</w:t>
      </w:r>
      <w:r>
        <w:rPr>
          <w:rFonts w:ascii="Times New Roman"/>
          <w:b/>
          <w:bCs/>
          <w:sz w:val="24"/>
          <w:szCs w:val="24"/>
        </w:rPr>
        <w:t xml:space="preserve">  地下水环境化学类型检测结果</w:t>
      </w:r>
    </w:p>
    <w:tbl>
      <w:tblPr>
        <w:tblStyle w:val="84"/>
        <w:tblW w:w="4998" w:type="pct"/>
        <w:tblInd w:w="0" w:type="dxa"/>
        <w:tblLayout w:type="autofit"/>
        <w:tblCellMar>
          <w:top w:w="0" w:type="dxa"/>
          <w:left w:w="108" w:type="dxa"/>
          <w:bottom w:w="0" w:type="dxa"/>
          <w:right w:w="108" w:type="dxa"/>
        </w:tblCellMar>
      </w:tblPr>
      <w:tblGrid>
        <w:gridCol w:w="1196"/>
        <w:gridCol w:w="1183"/>
        <w:gridCol w:w="1461"/>
        <w:gridCol w:w="1461"/>
        <w:gridCol w:w="1462"/>
        <w:gridCol w:w="1756"/>
      </w:tblGrid>
      <w:tr w14:paraId="100366D6">
        <w:tblPrEx>
          <w:tblCellMar>
            <w:top w:w="0" w:type="dxa"/>
            <w:left w:w="108" w:type="dxa"/>
            <w:bottom w:w="0" w:type="dxa"/>
            <w:right w:w="108" w:type="dxa"/>
          </w:tblCellMar>
        </w:tblPrEx>
        <w:trPr>
          <w:trHeight w:val="363" w:hRule="atLeast"/>
        </w:trPr>
        <w:tc>
          <w:tcPr>
            <w:tcW w:w="1396"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DC28123">
            <w:pPr>
              <w:widowControl/>
              <w:jc w:val="center"/>
              <w:rPr>
                <w:rFonts w:ascii="Times New Roman"/>
                <w:kern w:val="0"/>
                <w:sz w:val="21"/>
                <w:szCs w:val="21"/>
              </w:rPr>
            </w:pPr>
            <w:r>
              <w:rPr>
                <w:rFonts w:ascii="Times New Roman"/>
                <w:kern w:val="0"/>
                <w:sz w:val="21"/>
                <w:szCs w:val="21"/>
              </w:rPr>
              <w:t>监测项目</w:t>
            </w:r>
          </w:p>
        </w:tc>
        <w:tc>
          <w:tcPr>
            <w:tcW w:w="857" w:type="pct"/>
            <w:tcBorders>
              <w:top w:val="single" w:color="auto" w:sz="4" w:space="0"/>
              <w:left w:val="nil"/>
              <w:bottom w:val="single" w:color="auto" w:sz="4" w:space="0"/>
              <w:right w:val="single" w:color="auto" w:sz="4" w:space="0"/>
            </w:tcBorders>
            <w:shd w:val="clear" w:color="auto" w:fill="auto"/>
            <w:vAlign w:val="center"/>
          </w:tcPr>
          <w:p w14:paraId="57598400">
            <w:pPr>
              <w:widowControl/>
              <w:jc w:val="center"/>
              <w:rPr>
                <w:rFonts w:ascii="Times New Roman"/>
                <w:kern w:val="0"/>
                <w:sz w:val="21"/>
                <w:szCs w:val="21"/>
              </w:rPr>
            </w:pPr>
            <w:r>
              <w:rPr>
                <w:rFonts w:ascii="Times New Roman"/>
                <w:kern w:val="0"/>
                <w:sz w:val="21"/>
                <w:szCs w:val="21"/>
              </w:rPr>
              <w:t>Q1</w:t>
            </w:r>
          </w:p>
        </w:tc>
        <w:tc>
          <w:tcPr>
            <w:tcW w:w="857" w:type="pct"/>
            <w:tcBorders>
              <w:top w:val="single" w:color="auto" w:sz="4" w:space="0"/>
              <w:left w:val="nil"/>
              <w:bottom w:val="single" w:color="auto" w:sz="4" w:space="0"/>
              <w:right w:val="single" w:color="auto" w:sz="4" w:space="0"/>
            </w:tcBorders>
            <w:shd w:val="clear" w:color="auto" w:fill="auto"/>
            <w:vAlign w:val="center"/>
          </w:tcPr>
          <w:p w14:paraId="04416CF8">
            <w:pPr>
              <w:widowControl/>
              <w:jc w:val="center"/>
              <w:rPr>
                <w:rFonts w:ascii="Times New Roman"/>
                <w:kern w:val="0"/>
                <w:sz w:val="21"/>
                <w:szCs w:val="21"/>
              </w:rPr>
            </w:pPr>
            <w:r>
              <w:rPr>
                <w:rFonts w:ascii="Times New Roman"/>
                <w:kern w:val="0"/>
                <w:sz w:val="21"/>
                <w:szCs w:val="21"/>
              </w:rPr>
              <w:t>Q2</w:t>
            </w:r>
          </w:p>
        </w:tc>
        <w:tc>
          <w:tcPr>
            <w:tcW w:w="858" w:type="pct"/>
            <w:tcBorders>
              <w:top w:val="single" w:color="auto" w:sz="4" w:space="0"/>
              <w:left w:val="nil"/>
              <w:bottom w:val="single" w:color="auto" w:sz="4" w:space="0"/>
              <w:right w:val="single" w:color="auto" w:sz="4" w:space="0"/>
            </w:tcBorders>
            <w:shd w:val="clear" w:color="auto" w:fill="auto"/>
            <w:vAlign w:val="center"/>
          </w:tcPr>
          <w:p w14:paraId="4C65BF6D">
            <w:pPr>
              <w:widowControl/>
              <w:jc w:val="center"/>
              <w:rPr>
                <w:rFonts w:ascii="Times New Roman"/>
                <w:kern w:val="0"/>
                <w:sz w:val="21"/>
                <w:szCs w:val="21"/>
              </w:rPr>
            </w:pPr>
            <w:r>
              <w:rPr>
                <w:rFonts w:ascii="Times New Roman"/>
                <w:kern w:val="0"/>
                <w:sz w:val="21"/>
                <w:szCs w:val="21"/>
              </w:rPr>
              <w:t>Q3</w:t>
            </w:r>
          </w:p>
        </w:tc>
        <w:tc>
          <w:tcPr>
            <w:tcW w:w="1030" w:type="pct"/>
            <w:tcBorders>
              <w:top w:val="single" w:color="auto" w:sz="4" w:space="0"/>
              <w:left w:val="nil"/>
              <w:bottom w:val="single" w:color="auto" w:sz="4" w:space="0"/>
              <w:right w:val="single" w:color="auto" w:sz="4" w:space="0"/>
            </w:tcBorders>
            <w:shd w:val="clear" w:color="auto" w:fill="auto"/>
            <w:vAlign w:val="center"/>
          </w:tcPr>
          <w:p w14:paraId="7761EA86">
            <w:pPr>
              <w:widowControl/>
              <w:jc w:val="center"/>
              <w:rPr>
                <w:rFonts w:ascii="Times New Roman"/>
                <w:kern w:val="0"/>
                <w:sz w:val="21"/>
                <w:szCs w:val="21"/>
              </w:rPr>
            </w:pPr>
            <w:r>
              <w:rPr>
                <w:rFonts w:hint="eastAsia" w:ascii="Times New Roman"/>
                <w:kern w:val="0"/>
                <w:sz w:val="21"/>
                <w:szCs w:val="21"/>
              </w:rPr>
              <w:t>S1</w:t>
            </w:r>
          </w:p>
        </w:tc>
      </w:tr>
      <w:tr w14:paraId="580401FB">
        <w:tblPrEx>
          <w:tblCellMar>
            <w:top w:w="0" w:type="dxa"/>
            <w:left w:w="108" w:type="dxa"/>
            <w:bottom w:w="0" w:type="dxa"/>
            <w:right w:w="108" w:type="dxa"/>
          </w:tblCellMar>
        </w:tblPrEx>
        <w:trPr>
          <w:trHeight w:val="363" w:hRule="atLeast"/>
        </w:trPr>
        <w:tc>
          <w:tcPr>
            <w:tcW w:w="1396" w:type="pct"/>
            <w:gridSpan w:val="2"/>
            <w:vMerge w:val="continue"/>
            <w:tcBorders>
              <w:top w:val="single" w:color="auto" w:sz="4" w:space="0"/>
              <w:left w:val="single" w:color="auto" w:sz="4" w:space="0"/>
              <w:bottom w:val="single" w:color="auto" w:sz="4" w:space="0"/>
              <w:right w:val="single" w:color="auto" w:sz="4" w:space="0"/>
            </w:tcBorders>
            <w:vAlign w:val="center"/>
          </w:tcPr>
          <w:p w14:paraId="707B08B2">
            <w:pPr>
              <w:widowControl/>
              <w:jc w:val="left"/>
              <w:rPr>
                <w:rFonts w:ascii="Times New Roman"/>
                <w:kern w:val="0"/>
                <w:sz w:val="21"/>
                <w:szCs w:val="21"/>
              </w:rPr>
            </w:pPr>
          </w:p>
        </w:tc>
        <w:tc>
          <w:tcPr>
            <w:tcW w:w="857" w:type="pct"/>
            <w:tcBorders>
              <w:top w:val="nil"/>
              <w:left w:val="nil"/>
              <w:bottom w:val="single" w:color="auto" w:sz="4" w:space="0"/>
              <w:right w:val="single" w:color="auto" w:sz="4" w:space="0"/>
            </w:tcBorders>
            <w:shd w:val="clear" w:color="auto" w:fill="auto"/>
            <w:vAlign w:val="center"/>
          </w:tcPr>
          <w:p w14:paraId="46D8A79E">
            <w:pPr>
              <w:widowControl/>
              <w:jc w:val="center"/>
              <w:rPr>
                <w:rFonts w:ascii="Times New Roman"/>
                <w:kern w:val="0"/>
                <w:sz w:val="21"/>
                <w:szCs w:val="21"/>
              </w:rPr>
            </w:pPr>
            <w:r>
              <w:rPr>
                <w:rFonts w:hint="eastAsia" w:ascii="Times New Roman"/>
                <w:kern w:val="0"/>
                <w:sz w:val="21"/>
                <w:szCs w:val="21"/>
              </w:rPr>
              <w:t>厂址西北</w:t>
            </w:r>
            <w:r>
              <w:rPr>
                <w:rFonts w:ascii="Times New Roman"/>
                <w:kern w:val="0"/>
                <w:sz w:val="21"/>
                <w:szCs w:val="21"/>
              </w:rPr>
              <w:t>侧</w:t>
            </w:r>
          </w:p>
        </w:tc>
        <w:tc>
          <w:tcPr>
            <w:tcW w:w="857" w:type="pct"/>
            <w:tcBorders>
              <w:top w:val="nil"/>
              <w:left w:val="nil"/>
              <w:bottom w:val="single" w:color="auto" w:sz="4" w:space="0"/>
              <w:right w:val="single" w:color="auto" w:sz="4" w:space="0"/>
            </w:tcBorders>
            <w:shd w:val="clear" w:color="auto" w:fill="auto"/>
            <w:vAlign w:val="center"/>
          </w:tcPr>
          <w:p w14:paraId="5C0415BA">
            <w:pPr>
              <w:widowControl/>
              <w:jc w:val="center"/>
              <w:rPr>
                <w:rFonts w:ascii="Times New Roman"/>
                <w:kern w:val="0"/>
                <w:sz w:val="21"/>
                <w:szCs w:val="21"/>
              </w:rPr>
            </w:pPr>
            <w:r>
              <w:rPr>
                <w:rFonts w:hint="eastAsia" w:ascii="Times New Roman"/>
                <w:kern w:val="0"/>
                <w:sz w:val="21"/>
                <w:szCs w:val="21"/>
              </w:rPr>
              <w:t>厂址</w:t>
            </w:r>
            <w:r>
              <w:rPr>
                <w:rFonts w:ascii="Times New Roman"/>
                <w:kern w:val="0"/>
                <w:sz w:val="21"/>
                <w:szCs w:val="21"/>
              </w:rPr>
              <w:t>内</w:t>
            </w:r>
          </w:p>
        </w:tc>
        <w:tc>
          <w:tcPr>
            <w:tcW w:w="858" w:type="pct"/>
            <w:tcBorders>
              <w:top w:val="nil"/>
              <w:left w:val="nil"/>
              <w:bottom w:val="single" w:color="auto" w:sz="4" w:space="0"/>
              <w:right w:val="single" w:color="auto" w:sz="4" w:space="0"/>
            </w:tcBorders>
            <w:shd w:val="clear" w:color="auto" w:fill="auto"/>
            <w:vAlign w:val="center"/>
          </w:tcPr>
          <w:p w14:paraId="379ABCD0">
            <w:pPr>
              <w:widowControl/>
              <w:jc w:val="center"/>
              <w:rPr>
                <w:rFonts w:ascii="Times New Roman"/>
                <w:kern w:val="0"/>
                <w:sz w:val="21"/>
                <w:szCs w:val="21"/>
              </w:rPr>
            </w:pPr>
            <w:r>
              <w:rPr>
                <w:rFonts w:hint="eastAsia" w:ascii="Times New Roman"/>
                <w:kern w:val="0"/>
                <w:sz w:val="21"/>
                <w:szCs w:val="21"/>
              </w:rPr>
              <w:t>厂址东南</w:t>
            </w:r>
            <w:r>
              <w:rPr>
                <w:rFonts w:ascii="Times New Roman"/>
                <w:kern w:val="0"/>
                <w:sz w:val="21"/>
                <w:szCs w:val="21"/>
              </w:rPr>
              <w:t>侧</w:t>
            </w:r>
          </w:p>
        </w:tc>
        <w:tc>
          <w:tcPr>
            <w:tcW w:w="1030" w:type="pct"/>
            <w:tcBorders>
              <w:top w:val="nil"/>
              <w:left w:val="nil"/>
              <w:bottom w:val="single" w:color="auto" w:sz="4" w:space="0"/>
              <w:right w:val="single" w:color="auto" w:sz="4" w:space="0"/>
            </w:tcBorders>
            <w:shd w:val="clear" w:color="auto" w:fill="auto"/>
            <w:vAlign w:val="center"/>
          </w:tcPr>
          <w:p w14:paraId="2ABCCF93">
            <w:pPr>
              <w:widowControl/>
              <w:jc w:val="center"/>
              <w:rPr>
                <w:rFonts w:ascii="Times New Roman"/>
                <w:kern w:val="0"/>
                <w:sz w:val="21"/>
                <w:szCs w:val="21"/>
              </w:rPr>
            </w:pPr>
            <w:r>
              <w:rPr>
                <w:rFonts w:hint="eastAsia" w:ascii="Times New Roman"/>
                <w:kern w:val="0"/>
                <w:sz w:val="21"/>
                <w:szCs w:val="21"/>
              </w:rPr>
              <w:t>厂址西侧</w:t>
            </w:r>
          </w:p>
        </w:tc>
      </w:tr>
      <w:tr w14:paraId="203D59EC">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198111B5">
            <w:pPr>
              <w:widowControl/>
              <w:jc w:val="center"/>
              <w:rPr>
                <w:rFonts w:ascii="Times New Roman"/>
                <w:kern w:val="0"/>
                <w:sz w:val="21"/>
                <w:szCs w:val="21"/>
              </w:rPr>
            </w:pPr>
            <w:r>
              <w:rPr>
                <w:rFonts w:ascii="Times New Roman"/>
                <w:kern w:val="0"/>
                <w:sz w:val="21"/>
                <w:szCs w:val="21"/>
              </w:rPr>
              <w:t>K</w:t>
            </w:r>
            <w:r>
              <w:rPr>
                <w:rFonts w:ascii="Times New Roman"/>
                <w:kern w:val="0"/>
                <w:sz w:val="21"/>
                <w:szCs w:val="21"/>
                <w:vertAlign w:val="superscript"/>
              </w:rPr>
              <w:t>+</w:t>
            </w:r>
          </w:p>
        </w:tc>
        <w:tc>
          <w:tcPr>
            <w:tcW w:w="693" w:type="pct"/>
            <w:tcBorders>
              <w:top w:val="nil"/>
              <w:left w:val="nil"/>
              <w:bottom w:val="single" w:color="auto" w:sz="4" w:space="0"/>
              <w:right w:val="single" w:color="auto" w:sz="4" w:space="0"/>
            </w:tcBorders>
            <w:shd w:val="clear" w:color="auto" w:fill="auto"/>
            <w:noWrap/>
            <w:vAlign w:val="center"/>
          </w:tcPr>
          <w:p w14:paraId="31FD4EA7">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17E95795">
            <w:pPr>
              <w:widowControl/>
              <w:jc w:val="center"/>
              <w:textAlignment w:val="center"/>
              <w:rPr>
                <w:rFonts w:ascii="Times New Roman" w:eastAsia="仿宋_GB2312"/>
                <w:sz w:val="21"/>
                <w:szCs w:val="21"/>
              </w:rPr>
            </w:pPr>
            <w:r>
              <w:rPr>
                <w:rFonts w:hint="eastAsia" w:ascii="Times New Roman" w:eastAsia="仿宋_GB2312"/>
                <w:sz w:val="21"/>
                <w:szCs w:val="21"/>
              </w:rPr>
              <w:t>25.2</w:t>
            </w:r>
          </w:p>
        </w:tc>
        <w:tc>
          <w:tcPr>
            <w:tcW w:w="857" w:type="pct"/>
            <w:tcBorders>
              <w:top w:val="nil"/>
              <w:left w:val="nil"/>
              <w:bottom w:val="single" w:color="auto" w:sz="4" w:space="0"/>
              <w:right w:val="single" w:color="auto" w:sz="4" w:space="0"/>
            </w:tcBorders>
            <w:shd w:val="clear" w:color="auto" w:fill="auto"/>
            <w:noWrap/>
            <w:vAlign w:val="center"/>
          </w:tcPr>
          <w:p w14:paraId="525D2C6A">
            <w:pPr>
              <w:widowControl/>
              <w:jc w:val="center"/>
              <w:textAlignment w:val="center"/>
              <w:rPr>
                <w:rFonts w:ascii="Times New Roman" w:eastAsia="仿宋_GB2312"/>
                <w:sz w:val="21"/>
                <w:szCs w:val="21"/>
              </w:rPr>
            </w:pPr>
            <w:r>
              <w:rPr>
                <w:rFonts w:hint="eastAsia" w:ascii="Times New Roman" w:eastAsia="仿宋_GB2312"/>
                <w:sz w:val="21"/>
                <w:szCs w:val="21"/>
              </w:rPr>
              <w:t>24.2</w:t>
            </w:r>
          </w:p>
        </w:tc>
        <w:tc>
          <w:tcPr>
            <w:tcW w:w="858" w:type="pct"/>
            <w:tcBorders>
              <w:top w:val="nil"/>
              <w:left w:val="nil"/>
              <w:bottom w:val="single" w:color="auto" w:sz="4" w:space="0"/>
              <w:right w:val="single" w:color="auto" w:sz="4" w:space="0"/>
            </w:tcBorders>
            <w:shd w:val="clear" w:color="auto" w:fill="auto"/>
            <w:noWrap/>
            <w:vAlign w:val="center"/>
          </w:tcPr>
          <w:p w14:paraId="142EFBC3">
            <w:pPr>
              <w:widowControl/>
              <w:jc w:val="center"/>
              <w:textAlignment w:val="center"/>
              <w:rPr>
                <w:rFonts w:ascii="Times New Roman" w:eastAsia="仿宋_GB2312"/>
                <w:sz w:val="21"/>
                <w:szCs w:val="21"/>
              </w:rPr>
            </w:pPr>
            <w:r>
              <w:rPr>
                <w:rFonts w:hint="eastAsia" w:ascii="Times New Roman" w:eastAsia="仿宋_GB2312"/>
                <w:sz w:val="21"/>
                <w:szCs w:val="21"/>
              </w:rPr>
              <w:t>33.3</w:t>
            </w:r>
          </w:p>
        </w:tc>
        <w:tc>
          <w:tcPr>
            <w:tcW w:w="1030" w:type="pct"/>
            <w:tcBorders>
              <w:top w:val="nil"/>
              <w:left w:val="nil"/>
              <w:bottom w:val="single" w:color="auto" w:sz="4" w:space="0"/>
              <w:right w:val="single" w:color="auto" w:sz="4" w:space="0"/>
            </w:tcBorders>
            <w:shd w:val="clear" w:color="auto" w:fill="auto"/>
            <w:noWrap/>
            <w:vAlign w:val="center"/>
          </w:tcPr>
          <w:p w14:paraId="336C35D1">
            <w:pPr>
              <w:widowControl/>
              <w:jc w:val="center"/>
              <w:textAlignment w:val="center"/>
              <w:rPr>
                <w:rFonts w:ascii="Times New Roman"/>
                <w:kern w:val="0"/>
                <w:sz w:val="21"/>
                <w:szCs w:val="21"/>
              </w:rPr>
            </w:pPr>
            <w:r>
              <w:rPr>
                <w:rFonts w:hint="eastAsia" w:ascii="Times New Roman"/>
                <w:kern w:val="0"/>
                <w:sz w:val="21"/>
                <w:szCs w:val="21"/>
              </w:rPr>
              <w:t>35.8</w:t>
            </w:r>
          </w:p>
        </w:tc>
      </w:tr>
      <w:tr w14:paraId="518DC058">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277809AA">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11CDD66F">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27A3F1E9">
            <w:pPr>
              <w:widowControl/>
              <w:jc w:val="center"/>
              <w:textAlignment w:val="center"/>
              <w:rPr>
                <w:rFonts w:ascii="Times New Roman"/>
                <w:sz w:val="21"/>
                <w:szCs w:val="21"/>
              </w:rPr>
            </w:pPr>
            <w:r>
              <w:rPr>
                <w:rFonts w:hint="eastAsia" w:ascii="Times New Roman"/>
                <w:sz w:val="21"/>
                <w:szCs w:val="21"/>
              </w:rPr>
              <w:t>0.65</w:t>
            </w:r>
          </w:p>
        </w:tc>
        <w:tc>
          <w:tcPr>
            <w:tcW w:w="857" w:type="pct"/>
            <w:tcBorders>
              <w:top w:val="nil"/>
              <w:left w:val="nil"/>
              <w:bottom w:val="single" w:color="auto" w:sz="4" w:space="0"/>
              <w:right w:val="single" w:color="auto" w:sz="4" w:space="0"/>
            </w:tcBorders>
            <w:shd w:val="clear" w:color="auto" w:fill="auto"/>
            <w:noWrap/>
            <w:vAlign w:val="center"/>
          </w:tcPr>
          <w:p w14:paraId="13F778CA">
            <w:pPr>
              <w:widowControl/>
              <w:jc w:val="center"/>
              <w:textAlignment w:val="center"/>
              <w:rPr>
                <w:rFonts w:ascii="Times New Roman"/>
                <w:sz w:val="21"/>
                <w:szCs w:val="21"/>
              </w:rPr>
            </w:pPr>
            <w:r>
              <w:rPr>
                <w:rFonts w:hint="eastAsia" w:ascii="Times New Roman"/>
                <w:sz w:val="21"/>
                <w:szCs w:val="21"/>
              </w:rPr>
              <w:t>0.62</w:t>
            </w:r>
          </w:p>
        </w:tc>
        <w:tc>
          <w:tcPr>
            <w:tcW w:w="858" w:type="pct"/>
            <w:tcBorders>
              <w:top w:val="nil"/>
              <w:left w:val="nil"/>
              <w:bottom w:val="single" w:color="auto" w:sz="4" w:space="0"/>
              <w:right w:val="single" w:color="auto" w:sz="4" w:space="0"/>
            </w:tcBorders>
            <w:shd w:val="clear" w:color="auto" w:fill="auto"/>
            <w:noWrap/>
            <w:vAlign w:val="center"/>
          </w:tcPr>
          <w:p w14:paraId="7B1C1ADE">
            <w:pPr>
              <w:widowControl/>
              <w:jc w:val="center"/>
              <w:textAlignment w:val="center"/>
              <w:rPr>
                <w:rFonts w:ascii="Times New Roman"/>
                <w:sz w:val="21"/>
                <w:szCs w:val="21"/>
              </w:rPr>
            </w:pPr>
            <w:r>
              <w:rPr>
                <w:rFonts w:hint="eastAsia" w:ascii="Times New Roman"/>
                <w:sz w:val="21"/>
                <w:szCs w:val="21"/>
              </w:rPr>
              <w:t>0.85</w:t>
            </w:r>
          </w:p>
        </w:tc>
        <w:tc>
          <w:tcPr>
            <w:tcW w:w="1030" w:type="pct"/>
            <w:tcBorders>
              <w:top w:val="nil"/>
              <w:left w:val="nil"/>
              <w:bottom w:val="single" w:color="auto" w:sz="4" w:space="0"/>
              <w:right w:val="single" w:color="auto" w:sz="4" w:space="0"/>
            </w:tcBorders>
            <w:shd w:val="clear" w:color="auto" w:fill="auto"/>
            <w:noWrap/>
            <w:vAlign w:val="center"/>
          </w:tcPr>
          <w:p w14:paraId="6822BE32">
            <w:pPr>
              <w:widowControl/>
              <w:jc w:val="center"/>
              <w:textAlignment w:val="center"/>
              <w:rPr>
                <w:rFonts w:ascii="Times New Roman"/>
                <w:kern w:val="0"/>
                <w:sz w:val="21"/>
                <w:szCs w:val="21"/>
              </w:rPr>
            </w:pPr>
            <w:r>
              <w:rPr>
                <w:rFonts w:hint="eastAsia" w:ascii="Times New Roman"/>
                <w:kern w:val="0"/>
                <w:sz w:val="21"/>
                <w:szCs w:val="21"/>
              </w:rPr>
              <w:t>0.92</w:t>
            </w:r>
          </w:p>
        </w:tc>
      </w:tr>
      <w:tr w14:paraId="5AF4FD1C">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6AC913E0">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00EDE187">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13E2FAF5">
            <w:pPr>
              <w:widowControl/>
              <w:jc w:val="center"/>
              <w:textAlignment w:val="center"/>
              <w:rPr>
                <w:rFonts w:ascii="Times New Roman"/>
                <w:sz w:val="21"/>
                <w:szCs w:val="21"/>
              </w:rPr>
            </w:pPr>
            <w:r>
              <w:rPr>
                <w:rFonts w:ascii="Times New Roman"/>
                <w:kern w:val="0"/>
                <w:sz w:val="21"/>
                <w:szCs w:val="21"/>
              </w:rPr>
              <w:t>0.</w:t>
            </w:r>
            <w:r>
              <w:rPr>
                <w:rFonts w:hint="eastAsia" w:ascii="Times New Roman"/>
                <w:kern w:val="0"/>
                <w:sz w:val="21"/>
                <w:szCs w:val="21"/>
              </w:rPr>
              <w:t>19</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2041565C">
            <w:pPr>
              <w:widowControl/>
              <w:jc w:val="center"/>
              <w:textAlignment w:val="center"/>
              <w:rPr>
                <w:rFonts w:ascii="Times New Roman"/>
                <w:sz w:val="21"/>
                <w:szCs w:val="21"/>
              </w:rPr>
            </w:pPr>
            <w:r>
              <w:rPr>
                <w:rFonts w:ascii="Times New Roman"/>
                <w:kern w:val="0"/>
                <w:sz w:val="21"/>
                <w:szCs w:val="21"/>
              </w:rPr>
              <w:t>0.</w:t>
            </w:r>
            <w:r>
              <w:rPr>
                <w:rFonts w:hint="eastAsia" w:ascii="Times New Roman"/>
                <w:kern w:val="0"/>
                <w:sz w:val="21"/>
                <w:szCs w:val="21"/>
              </w:rPr>
              <w:t>19</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6238F863">
            <w:pPr>
              <w:widowControl/>
              <w:jc w:val="center"/>
              <w:textAlignment w:val="center"/>
              <w:rPr>
                <w:rFonts w:ascii="Times New Roman"/>
                <w:sz w:val="21"/>
                <w:szCs w:val="21"/>
              </w:rPr>
            </w:pPr>
            <w:r>
              <w:rPr>
                <w:rFonts w:ascii="Times New Roman"/>
                <w:kern w:val="0"/>
                <w:sz w:val="21"/>
                <w:szCs w:val="21"/>
              </w:rPr>
              <w:t>0.</w:t>
            </w:r>
            <w:r>
              <w:rPr>
                <w:rFonts w:hint="eastAsia" w:ascii="Times New Roman"/>
                <w:kern w:val="0"/>
                <w:sz w:val="21"/>
                <w:szCs w:val="21"/>
              </w:rPr>
              <w:t>26</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3AB7B535">
            <w:pPr>
              <w:widowControl/>
              <w:jc w:val="center"/>
              <w:textAlignment w:val="center"/>
              <w:rPr>
                <w:rFonts w:ascii="Times New Roman"/>
                <w:kern w:val="0"/>
                <w:sz w:val="21"/>
                <w:szCs w:val="21"/>
              </w:rPr>
            </w:pPr>
            <w:r>
              <w:rPr>
                <w:rFonts w:hint="eastAsia" w:ascii="Times New Roman"/>
                <w:kern w:val="0"/>
                <w:sz w:val="21"/>
                <w:szCs w:val="21"/>
              </w:rPr>
              <w:t>6.1</w:t>
            </w:r>
            <w:r>
              <w:rPr>
                <w:rFonts w:ascii="Times New Roman"/>
                <w:kern w:val="0"/>
                <w:sz w:val="21"/>
                <w:szCs w:val="21"/>
              </w:rPr>
              <w:t>%</w:t>
            </w:r>
          </w:p>
        </w:tc>
      </w:tr>
      <w:tr w14:paraId="07B0DE93">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3A31C2DB">
            <w:pPr>
              <w:widowControl/>
              <w:jc w:val="center"/>
              <w:rPr>
                <w:rFonts w:ascii="Times New Roman"/>
                <w:kern w:val="0"/>
                <w:sz w:val="21"/>
                <w:szCs w:val="21"/>
              </w:rPr>
            </w:pPr>
            <w:r>
              <w:rPr>
                <w:rFonts w:ascii="Times New Roman"/>
                <w:kern w:val="0"/>
                <w:sz w:val="21"/>
                <w:szCs w:val="21"/>
              </w:rPr>
              <w:t>Na</w:t>
            </w:r>
            <w:r>
              <w:rPr>
                <w:rFonts w:ascii="Times New Roman"/>
                <w:kern w:val="0"/>
                <w:sz w:val="21"/>
                <w:szCs w:val="21"/>
                <w:vertAlign w:val="superscript"/>
              </w:rPr>
              <w:t>+</w:t>
            </w:r>
          </w:p>
        </w:tc>
        <w:tc>
          <w:tcPr>
            <w:tcW w:w="693" w:type="pct"/>
            <w:tcBorders>
              <w:top w:val="nil"/>
              <w:left w:val="nil"/>
              <w:bottom w:val="single" w:color="auto" w:sz="4" w:space="0"/>
              <w:right w:val="single" w:color="auto" w:sz="4" w:space="0"/>
            </w:tcBorders>
            <w:shd w:val="clear" w:color="auto" w:fill="auto"/>
            <w:noWrap/>
            <w:vAlign w:val="center"/>
          </w:tcPr>
          <w:p w14:paraId="67BBF09C">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01E504A6">
            <w:pPr>
              <w:widowControl/>
              <w:jc w:val="center"/>
              <w:textAlignment w:val="center"/>
              <w:rPr>
                <w:rFonts w:ascii="Times New Roman"/>
                <w:sz w:val="21"/>
                <w:szCs w:val="21"/>
              </w:rPr>
            </w:pPr>
            <w:r>
              <w:rPr>
                <w:rFonts w:hint="eastAsia" w:ascii="Times New Roman"/>
                <w:sz w:val="21"/>
                <w:szCs w:val="21"/>
              </w:rPr>
              <w:t>6840</w:t>
            </w:r>
          </w:p>
        </w:tc>
        <w:tc>
          <w:tcPr>
            <w:tcW w:w="857" w:type="pct"/>
            <w:tcBorders>
              <w:top w:val="nil"/>
              <w:left w:val="nil"/>
              <w:bottom w:val="single" w:color="auto" w:sz="4" w:space="0"/>
              <w:right w:val="single" w:color="auto" w:sz="4" w:space="0"/>
            </w:tcBorders>
            <w:shd w:val="clear" w:color="auto" w:fill="auto"/>
            <w:noWrap/>
            <w:vAlign w:val="center"/>
          </w:tcPr>
          <w:p w14:paraId="2CEF0852">
            <w:pPr>
              <w:widowControl/>
              <w:jc w:val="center"/>
              <w:textAlignment w:val="center"/>
              <w:rPr>
                <w:rFonts w:ascii="Times New Roman"/>
                <w:sz w:val="21"/>
                <w:szCs w:val="21"/>
              </w:rPr>
            </w:pPr>
            <w:r>
              <w:rPr>
                <w:rFonts w:hint="eastAsia" w:ascii="Times New Roman"/>
                <w:sz w:val="21"/>
                <w:szCs w:val="21"/>
              </w:rPr>
              <w:t>6460</w:t>
            </w:r>
          </w:p>
        </w:tc>
        <w:tc>
          <w:tcPr>
            <w:tcW w:w="858" w:type="pct"/>
            <w:tcBorders>
              <w:top w:val="nil"/>
              <w:left w:val="nil"/>
              <w:bottom w:val="single" w:color="auto" w:sz="4" w:space="0"/>
              <w:right w:val="single" w:color="auto" w:sz="4" w:space="0"/>
            </w:tcBorders>
            <w:shd w:val="clear" w:color="auto" w:fill="auto"/>
            <w:noWrap/>
            <w:vAlign w:val="center"/>
          </w:tcPr>
          <w:p w14:paraId="70E8F6FD">
            <w:pPr>
              <w:widowControl/>
              <w:jc w:val="center"/>
              <w:textAlignment w:val="center"/>
              <w:rPr>
                <w:rFonts w:ascii="Times New Roman"/>
                <w:sz w:val="21"/>
                <w:szCs w:val="21"/>
              </w:rPr>
            </w:pPr>
            <w:r>
              <w:rPr>
                <w:rFonts w:hint="eastAsia" w:ascii="Times New Roman"/>
                <w:sz w:val="21"/>
                <w:szCs w:val="21"/>
              </w:rPr>
              <w:t>6520</w:t>
            </w:r>
          </w:p>
        </w:tc>
        <w:tc>
          <w:tcPr>
            <w:tcW w:w="1030" w:type="pct"/>
            <w:tcBorders>
              <w:top w:val="nil"/>
              <w:left w:val="nil"/>
              <w:bottom w:val="single" w:color="auto" w:sz="4" w:space="0"/>
              <w:right w:val="single" w:color="auto" w:sz="4" w:space="0"/>
            </w:tcBorders>
            <w:shd w:val="clear" w:color="auto" w:fill="auto"/>
            <w:noWrap/>
            <w:vAlign w:val="center"/>
          </w:tcPr>
          <w:p w14:paraId="3DB3C7C7">
            <w:pPr>
              <w:widowControl/>
              <w:jc w:val="center"/>
              <w:textAlignment w:val="center"/>
              <w:rPr>
                <w:rFonts w:ascii="Times New Roman"/>
                <w:kern w:val="0"/>
                <w:sz w:val="21"/>
                <w:szCs w:val="21"/>
              </w:rPr>
            </w:pPr>
            <w:r>
              <w:rPr>
                <w:rFonts w:hint="eastAsia" w:ascii="Times New Roman"/>
                <w:kern w:val="0"/>
                <w:sz w:val="21"/>
                <w:szCs w:val="21"/>
              </w:rPr>
              <w:t>8</w:t>
            </w:r>
          </w:p>
        </w:tc>
      </w:tr>
      <w:tr w14:paraId="7BB14078">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0704A820">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2992F3EA">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301F3236">
            <w:pPr>
              <w:widowControl/>
              <w:jc w:val="center"/>
              <w:textAlignment w:val="center"/>
              <w:rPr>
                <w:rFonts w:ascii="Times New Roman"/>
                <w:sz w:val="21"/>
                <w:szCs w:val="21"/>
              </w:rPr>
            </w:pPr>
            <w:r>
              <w:rPr>
                <w:rFonts w:hint="eastAsia" w:ascii="Times New Roman"/>
                <w:sz w:val="21"/>
                <w:szCs w:val="21"/>
              </w:rPr>
              <w:t>297.39</w:t>
            </w:r>
          </w:p>
        </w:tc>
        <w:tc>
          <w:tcPr>
            <w:tcW w:w="857" w:type="pct"/>
            <w:tcBorders>
              <w:top w:val="nil"/>
              <w:left w:val="nil"/>
              <w:bottom w:val="single" w:color="auto" w:sz="4" w:space="0"/>
              <w:right w:val="single" w:color="auto" w:sz="4" w:space="0"/>
            </w:tcBorders>
            <w:shd w:val="clear" w:color="auto" w:fill="auto"/>
            <w:noWrap/>
            <w:vAlign w:val="center"/>
          </w:tcPr>
          <w:p w14:paraId="2AF64923">
            <w:pPr>
              <w:widowControl/>
              <w:jc w:val="center"/>
              <w:textAlignment w:val="center"/>
              <w:rPr>
                <w:rFonts w:ascii="Times New Roman"/>
                <w:sz w:val="21"/>
                <w:szCs w:val="21"/>
              </w:rPr>
            </w:pPr>
            <w:r>
              <w:rPr>
                <w:rFonts w:hint="eastAsia" w:ascii="Times New Roman"/>
                <w:sz w:val="21"/>
                <w:szCs w:val="21"/>
              </w:rPr>
              <w:t>280.87</w:t>
            </w:r>
          </w:p>
        </w:tc>
        <w:tc>
          <w:tcPr>
            <w:tcW w:w="858" w:type="pct"/>
            <w:tcBorders>
              <w:top w:val="nil"/>
              <w:left w:val="nil"/>
              <w:bottom w:val="single" w:color="auto" w:sz="4" w:space="0"/>
              <w:right w:val="single" w:color="auto" w:sz="4" w:space="0"/>
            </w:tcBorders>
            <w:shd w:val="clear" w:color="auto" w:fill="auto"/>
            <w:noWrap/>
            <w:vAlign w:val="center"/>
          </w:tcPr>
          <w:p w14:paraId="633018DF">
            <w:pPr>
              <w:widowControl/>
              <w:jc w:val="center"/>
              <w:textAlignment w:val="center"/>
              <w:rPr>
                <w:rFonts w:ascii="Times New Roman"/>
                <w:sz w:val="21"/>
                <w:szCs w:val="21"/>
              </w:rPr>
            </w:pPr>
            <w:r>
              <w:rPr>
                <w:rFonts w:hint="eastAsia" w:ascii="Times New Roman"/>
                <w:sz w:val="21"/>
                <w:szCs w:val="21"/>
              </w:rPr>
              <w:t>283.48</w:t>
            </w:r>
          </w:p>
        </w:tc>
        <w:tc>
          <w:tcPr>
            <w:tcW w:w="1030" w:type="pct"/>
            <w:tcBorders>
              <w:top w:val="nil"/>
              <w:left w:val="nil"/>
              <w:bottom w:val="single" w:color="auto" w:sz="4" w:space="0"/>
              <w:right w:val="single" w:color="auto" w:sz="4" w:space="0"/>
            </w:tcBorders>
            <w:shd w:val="clear" w:color="auto" w:fill="auto"/>
            <w:noWrap/>
            <w:vAlign w:val="center"/>
          </w:tcPr>
          <w:p w14:paraId="66081187">
            <w:pPr>
              <w:widowControl/>
              <w:jc w:val="center"/>
              <w:textAlignment w:val="center"/>
              <w:rPr>
                <w:rFonts w:ascii="Times New Roman"/>
                <w:kern w:val="0"/>
                <w:sz w:val="21"/>
                <w:szCs w:val="21"/>
              </w:rPr>
            </w:pPr>
            <w:r>
              <w:rPr>
                <w:rFonts w:hint="eastAsia" w:ascii="Times New Roman"/>
                <w:kern w:val="0"/>
                <w:sz w:val="21"/>
                <w:szCs w:val="21"/>
              </w:rPr>
              <w:t>7.83</w:t>
            </w:r>
          </w:p>
        </w:tc>
      </w:tr>
      <w:tr w14:paraId="59231C3F">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391A894B">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7E3165C4">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78D60336">
            <w:pPr>
              <w:widowControl/>
              <w:jc w:val="center"/>
              <w:textAlignment w:val="center"/>
              <w:rPr>
                <w:rFonts w:ascii="Times New Roman"/>
                <w:sz w:val="21"/>
                <w:szCs w:val="21"/>
              </w:rPr>
            </w:pPr>
            <w:r>
              <w:rPr>
                <w:rFonts w:hint="eastAsia" w:ascii="Times New Roman"/>
                <w:kern w:val="0"/>
                <w:sz w:val="21"/>
                <w:szCs w:val="21"/>
              </w:rPr>
              <w:t>89.00</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2EA8A6DB">
            <w:pPr>
              <w:widowControl/>
              <w:jc w:val="center"/>
              <w:textAlignment w:val="center"/>
              <w:rPr>
                <w:rFonts w:ascii="Times New Roman"/>
                <w:sz w:val="21"/>
                <w:szCs w:val="21"/>
              </w:rPr>
            </w:pPr>
            <w:r>
              <w:rPr>
                <w:rFonts w:hint="eastAsia" w:ascii="Times New Roman"/>
                <w:kern w:val="0"/>
                <w:sz w:val="21"/>
                <w:szCs w:val="21"/>
              </w:rPr>
              <w:t>87.61</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54215B92">
            <w:pPr>
              <w:widowControl/>
              <w:jc w:val="center"/>
              <w:textAlignment w:val="center"/>
              <w:rPr>
                <w:rFonts w:ascii="Times New Roman"/>
                <w:sz w:val="21"/>
                <w:szCs w:val="21"/>
              </w:rPr>
            </w:pPr>
            <w:r>
              <w:rPr>
                <w:rFonts w:hint="eastAsia" w:ascii="Times New Roman"/>
                <w:kern w:val="0"/>
                <w:sz w:val="21"/>
                <w:szCs w:val="21"/>
              </w:rPr>
              <w:t>85.99</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45E6CA22">
            <w:pPr>
              <w:widowControl/>
              <w:jc w:val="center"/>
              <w:textAlignment w:val="center"/>
              <w:rPr>
                <w:rFonts w:ascii="Times New Roman"/>
                <w:kern w:val="0"/>
                <w:sz w:val="21"/>
                <w:szCs w:val="21"/>
              </w:rPr>
            </w:pPr>
            <w:r>
              <w:rPr>
                <w:rFonts w:hint="eastAsia" w:ascii="Times New Roman"/>
                <w:kern w:val="0"/>
                <w:sz w:val="21"/>
                <w:szCs w:val="21"/>
              </w:rPr>
              <w:t>56.35</w:t>
            </w:r>
            <w:r>
              <w:rPr>
                <w:rFonts w:ascii="Times New Roman"/>
                <w:kern w:val="0"/>
                <w:sz w:val="21"/>
                <w:szCs w:val="21"/>
              </w:rPr>
              <w:t>%</w:t>
            </w:r>
          </w:p>
        </w:tc>
      </w:tr>
      <w:tr w14:paraId="5E4F684F">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123EE8BC">
            <w:pPr>
              <w:widowControl/>
              <w:jc w:val="center"/>
              <w:rPr>
                <w:rFonts w:ascii="Times New Roman"/>
                <w:kern w:val="0"/>
                <w:sz w:val="21"/>
                <w:szCs w:val="21"/>
              </w:rPr>
            </w:pPr>
            <w:r>
              <w:rPr>
                <w:rFonts w:ascii="Times New Roman"/>
                <w:kern w:val="0"/>
                <w:sz w:val="21"/>
                <w:szCs w:val="21"/>
              </w:rPr>
              <w:t>Ca</w:t>
            </w:r>
            <w:r>
              <w:rPr>
                <w:rFonts w:ascii="Times New Roman"/>
                <w:kern w:val="0"/>
                <w:sz w:val="21"/>
                <w:szCs w:val="21"/>
                <w:vertAlign w:val="superscript"/>
              </w:rPr>
              <w:t>2+</w:t>
            </w:r>
          </w:p>
        </w:tc>
        <w:tc>
          <w:tcPr>
            <w:tcW w:w="693" w:type="pct"/>
            <w:tcBorders>
              <w:top w:val="nil"/>
              <w:left w:val="nil"/>
              <w:bottom w:val="single" w:color="auto" w:sz="4" w:space="0"/>
              <w:right w:val="single" w:color="auto" w:sz="4" w:space="0"/>
            </w:tcBorders>
            <w:shd w:val="clear" w:color="auto" w:fill="auto"/>
            <w:noWrap/>
            <w:vAlign w:val="center"/>
          </w:tcPr>
          <w:p w14:paraId="6A4E38FB">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4702A616">
            <w:pPr>
              <w:widowControl/>
              <w:jc w:val="center"/>
              <w:textAlignment w:val="center"/>
              <w:rPr>
                <w:rFonts w:ascii="Times New Roman" w:eastAsia="仿宋_GB2312"/>
                <w:sz w:val="21"/>
                <w:szCs w:val="21"/>
              </w:rPr>
            </w:pPr>
            <w:r>
              <w:rPr>
                <w:rFonts w:hint="eastAsia" w:ascii="Times New Roman"/>
                <w:kern w:val="0"/>
                <w:sz w:val="21"/>
                <w:szCs w:val="21"/>
              </w:rPr>
              <w:t>319</w:t>
            </w:r>
          </w:p>
        </w:tc>
        <w:tc>
          <w:tcPr>
            <w:tcW w:w="857" w:type="pct"/>
            <w:tcBorders>
              <w:top w:val="nil"/>
              <w:left w:val="nil"/>
              <w:bottom w:val="single" w:color="auto" w:sz="4" w:space="0"/>
              <w:right w:val="single" w:color="auto" w:sz="4" w:space="0"/>
            </w:tcBorders>
            <w:shd w:val="clear" w:color="auto" w:fill="auto"/>
            <w:noWrap/>
            <w:vAlign w:val="center"/>
          </w:tcPr>
          <w:p w14:paraId="1520A6AD">
            <w:pPr>
              <w:widowControl/>
              <w:jc w:val="center"/>
              <w:textAlignment w:val="center"/>
              <w:rPr>
                <w:rFonts w:ascii="Times New Roman" w:eastAsia="仿宋_GB2312"/>
                <w:sz w:val="21"/>
                <w:szCs w:val="21"/>
              </w:rPr>
            </w:pPr>
            <w:r>
              <w:rPr>
                <w:rFonts w:hint="eastAsia" w:ascii="Times New Roman"/>
                <w:kern w:val="0"/>
                <w:sz w:val="21"/>
                <w:szCs w:val="21"/>
              </w:rPr>
              <w:t>379</w:t>
            </w:r>
          </w:p>
        </w:tc>
        <w:tc>
          <w:tcPr>
            <w:tcW w:w="858" w:type="pct"/>
            <w:tcBorders>
              <w:top w:val="nil"/>
              <w:left w:val="nil"/>
              <w:bottom w:val="single" w:color="auto" w:sz="4" w:space="0"/>
              <w:right w:val="single" w:color="auto" w:sz="4" w:space="0"/>
            </w:tcBorders>
            <w:shd w:val="clear" w:color="auto" w:fill="auto"/>
            <w:noWrap/>
            <w:vAlign w:val="center"/>
          </w:tcPr>
          <w:p w14:paraId="6FE1D266">
            <w:pPr>
              <w:widowControl/>
              <w:jc w:val="center"/>
              <w:textAlignment w:val="center"/>
              <w:rPr>
                <w:rFonts w:ascii="Times New Roman" w:eastAsia="仿宋_GB2312"/>
                <w:sz w:val="21"/>
                <w:szCs w:val="21"/>
              </w:rPr>
            </w:pPr>
            <w:r>
              <w:rPr>
                <w:rFonts w:hint="eastAsia" w:ascii="Times New Roman"/>
                <w:kern w:val="0"/>
                <w:sz w:val="21"/>
                <w:szCs w:val="21"/>
              </w:rPr>
              <w:t>337</w:t>
            </w:r>
          </w:p>
        </w:tc>
        <w:tc>
          <w:tcPr>
            <w:tcW w:w="1030" w:type="pct"/>
            <w:tcBorders>
              <w:top w:val="nil"/>
              <w:left w:val="nil"/>
              <w:bottom w:val="single" w:color="auto" w:sz="4" w:space="0"/>
              <w:right w:val="single" w:color="auto" w:sz="4" w:space="0"/>
            </w:tcBorders>
            <w:shd w:val="clear" w:color="auto" w:fill="auto"/>
            <w:noWrap/>
            <w:vAlign w:val="center"/>
          </w:tcPr>
          <w:p w14:paraId="7EDDD8E7">
            <w:pPr>
              <w:widowControl/>
              <w:jc w:val="center"/>
              <w:textAlignment w:val="center"/>
              <w:rPr>
                <w:rFonts w:ascii="Times New Roman"/>
                <w:kern w:val="0"/>
                <w:sz w:val="21"/>
                <w:szCs w:val="21"/>
              </w:rPr>
            </w:pPr>
            <w:r>
              <w:rPr>
                <w:rFonts w:hint="eastAsia" w:ascii="Times New Roman"/>
                <w:kern w:val="0"/>
                <w:sz w:val="21"/>
                <w:szCs w:val="21"/>
              </w:rPr>
              <w:t>70.9</w:t>
            </w:r>
          </w:p>
        </w:tc>
      </w:tr>
      <w:tr w14:paraId="457A817E">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67D4A2A3">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73B5AD6B">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34106DF1">
            <w:pPr>
              <w:widowControl/>
              <w:jc w:val="center"/>
              <w:textAlignment w:val="center"/>
              <w:rPr>
                <w:rFonts w:ascii="Times New Roman"/>
                <w:sz w:val="21"/>
                <w:szCs w:val="21"/>
              </w:rPr>
            </w:pPr>
            <w:r>
              <w:rPr>
                <w:rFonts w:hint="eastAsia" w:ascii="Times New Roman"/>
                <w:sz w:val="21"/>
                <w:szCs w:val="21"/>
              </w:rPr>
              <w:t>15.95</w:t>
            </w:r>
          </w:p>
        </w:tc>
        <w:tc>
          <w:tcPr>
            <w:tcW w:w="857" w:type="pct"/>
            <w:tcBorders>
              <w:top w:val="nil"/>
              <w:left w:val="nil"/>
              <w:bottom w:val="single" w:color="auto" w:sz="4" w:space="0"/>
              <w:right w:val="single" w:color="auto" w:sz="4" w:space="0"/>
            </w:tcBorders>
            <w:shd w:val="clear" w:color="auto" w:fill="auto"/>
            <w:noWrap/>
            <w:vAlign w:val="center"/>
          </w:tcPr>
          <w:p w14:paraId="732DB4E8">
            <w:pPr>
              <w:widowControl/>
              <w:jc w:val="center"/>
              <w:textAlignment w:val="center"/>
              <w:rPr>
                <w:rFonts w:ascii="Times New Roman"/>
                <w:sz w:val="21"/>
                <w:szCs w:val="21"/>
              </w:rPr>
            </w:pPr>
            <w:r>
              <w:rPr>
                <w:rFonts w:hint="eastAsia" w:ascii="Times New Roman"/>
                <w:sz w:val="21"/>
                <w:szCs w:val="21"/>
              </w:rPr>
              <w:t>18.95</w:t>
            </w:r>
          </w:p>
        </w:tc>
        <w:tc>
          <w:tcPr>
            <w:tcW w:w="858" w:type="pct"/>
            <w:tcBorders>
              <w:top w:val="nil"/>
              <w:left w:val="nil"/>
              <w:bottom w:val="single" w:color="auto" w:sz="4" w:space="0"/>
              <w:right w:val="single" w:color="auto" w:sz="4" w:space="0"/>
            </w:tcBorders>
            <w:shd w:val="clear" w:color="auto" w:fill="auto"/>
            <w:noWrap/>
            <w:vAlign w:val="center"/>
          </w:tcPr>
          <w:p w14:paraId="03672303">
            <w:pPr>
              <w:widowControl/>
              <w:jc w:val="center"/>
              <w:textAlignment w:val="center"/>
              <w:rPr>
                <w:rFonts w:ascii="Times New Roman"/>
                <w:sz w:val="21"/>
                <w:szCs w:val="21"/>
              </w:rPr>
            </w:pPr>
            <w:r>
              <w:rPr>
                <w:rFonts w:hint="eastAsia" w:ascii="Times New Roman"/>
                <w:sz w:val="21"/>
                <w:szCs w:val="21"/>
              </w:rPr>
              <w:t>16.85</w:t>
            </w:r>
          </w:p>
        </w:tc>
        <w:tc>
          <w:tcPr>
            <w:tcW w:w="1030" w:type="pct"/>
            <w:tcBorders>
              <w:top w:val="nil"/>
              <w:left w:val="nil"/>
              <w:bottom w:val="single" w:color="auto" w:sz="4" w:space="0"/>
              <w:right w:val="single" w:color="auto" w:sz="4" w:space="0"/>
            </w:tcBorders>
            <w:shd w:val="clear" w:color="auto" w:fill="auto"/>
            <w:noWrap/>
            <w:vAlign w:val="center"/>
          </w:tcPr>
          <w:p w14:paraId="52B8711C">
            <w:pPr>
              <w:widowControl/>
              <w:jc w:val="center"/>
              <w:textAlignment w:val="center"/>
              <w:rPr>
                <w:rFonts w:ascii="Times New Roman"/>
                <w:kern w:val="0"/>
                <w:sz w:val="21"/>
                <w:szCs w:val="21"/>
              </w:rPr>
            </w:pPr>
            <w:r>
              <w:rPr>
                <w:rFonts w:hint="eastAsia" w:ascii="Times New Roman"/>
                <w:kern w:val="0"/>
                <w:sz w:val="21"/>
                <w:szCs w:val="21"/>
              </w:rPr>
              <w:t>3.55</w:t>
            </w:r>
          </w:p>
        </w:tc>
      </w:tr>
      <w:tr w14:paraId="6B26596D">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3AC987E0">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60B813C8">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06470C79">
            <w:pPr>
              <w:widowControl/>
              <w:jc w:val="center"/>
              <w:textAlignment w:val="center"/>
              <w:rPr>
                <w:rFonts w:ascii="Times New Roman"/>
                <w:sz w:val="21"/>
                <w:szCs w:val="21"/>
              </w:rPr>
            </w:pPr>
            <w:r>
              <w:rPr>
                <w:rFonts w:hint="eastAsia" w:ascii="Times New Roman"/>
                <w:kern w:val="0"/>
                <w:sz w:val="21"/>
                <w:szCs w:val="21"/>
              </w:rPr>
              <w:t>4.77</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12628A45">
            <w:pPr>
              <w:widowControl/>
              <w:jc w:val="center"/>
              <w:textAlignment w:val="center"/>
              <w:rPr>
                <w:rFonts w:ascii="Times New Roman"/>
                <w:sz w:val="21"/>
                <w:szCs w:val="21"/>
              </w:rPr>
            </w:pPr>
            <w:r>
              <w:rPr>
                <w:rFonts w:hint="eastAsia" w:ascii="Times New Roman"/>
                <w:kern w:val="0"/>
                <w:sz w:val="21"/>
                <w:szCs w:val="21"/>
              </w:rPr>
              <w:t>5.91</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6256B4C3">
            <w:pPr>
              <w:widowControl/>
              <w:jc w:val="center"/>
              <w:textAlignment w:val="center"/>
              <w:rPr>
                <w:rFonts w:ascii="Times New Roman"/>
                <w:sz w:val="21"/>
                <w:szCs w:val="21"/>
              </w:rPr>
            </w:pPr>
            <w:r>
              <w:rPr>
                <w:rFonts w:hint="eastAsia" w:ascii="Times New Roman"/>
                <w:kern w:val="0"/>
                <w:sz w:val="21"/>
                <w:szCs w:val="21"/>
              </w:rPr>
              <w:t>5.11</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68F13123">
            <w:pPr>
              <w:widowControl/>
              <w:jc w:val="center"/>
              <w:textAlignment w:val="center"/>
              <w:rPr>
                <w:rFonts w:ascii="Times New Roman"/>
                <w:kern w:val="0"/>
                <w:sz w:val="21"/>
                <w:szCs w:val="21"/>
              </w:rPr>
            </w:pPr>
            <w:r>
              <w:rPr>
                <w:rFonts w:hint="eastAsia" w:ascii="Times New Roman"/>
                <w:kern w:val="0"/>
                <w:sz w:val="21"/>
                <w:szCs w:val="21"/>
              </w:rPr>
              <w:t>25.52</w:t>
            </w:r>
            <w:r>
              <w:rPr>
                <w:rFonts w:ascii="Times New Roman"/>
                <w:kern w:val="0"/>
                <w:sz w:val="21"/>
                <w:szCs w:val="21"/>
              </w:rPr>
              <w:t>%</w:t>
            </w:r>
          </w:p>
        </w:tc>
      </w:tr>
      <w:tr w14:paraId="23168EB5">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02462DBB">
            <w:pPr>
              <w:widowControl/>
              <w:jc w:val="center"/>
              <w:rPr>
                <w:rFonts w:ascii="Times New Roman"/>
                <w:kern w:val="0"/>
                <w:sz w:val="21"/>
                <w:szCs w:val="21"/>
              </w:rPr>
            </w:pPr>
            <w:r>
              <w:rPr>
                <w:rFonts w:ascii="Times New Roman"/>
                <w:kern w:val="0"/>
                <w:sz w:val="21"/>
                <w:szCs w:val="21"/>
              </w:rPr>
              <w:t>Mg</w:t>
            </w:r>
            <w:r>
              <w:rPr>
                <w:rFonts w:ascii="Times New Roman"/>
                <w:kern w:val="0"/>
                <w:sz w:val="21"/>
                <w:szCs w:val="21"/>
                <w:vertAlign w:val="superscript"/>
              </w:rPr>
              <w:t>2+</w:t>
            </w:r>
          </w:p>
        </w:tc>
        <w:tc>
          <w:tcPr>
            <w:tcW w:w="693" w:type="pct"/>
            <w:tcBorders>
              <w:top w:val="nil"/>
              <w:left w:val="nil"/>
              <w:bottom w:val="single" w:color="auto" w:sz="4" w:space="0"/>
              <w:right w:val="single" w:color="auto" w:sz="4" w:space="0"/>
            </w:tcBorders>
            <w:shd w:val="clear" w:color="auto" w:fill="auto"/>
            <w:noWrap/>
            <w:vAlign w:val="center"/>
          </w:tcPr>
          <w:p w14:paraId="17C15C62">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43496C39">
            <w:pPr>
              <w:widowControl/>
              <w:jc w:val="center"/>
              <w:textAlignment w:val="center"/>
              <w:rPr>
                <w:rFonts w:ascii="Times New Roman" w:eastAsia="仿宋_GB2312"/>
                <w:sz w:val="21"/>
                <w:szCs w:val="21"/>
              </w:rPr>
            </w:pPr>
            <w:r>
              <w:rPr>
                <w:rFonts w:hint="eastAsia" w:ascii="Times New Roman" w:eastAsia="仿宋_GB2312"/>
                <w:sz w:val="21"/>
                <w:szCs w:val="21"/>
              </w:rPr>
              <w:t>242</w:t>
            </w:r>
          </w:p>
        </w:tc>
        <w:tc>
          <w:tcPr>
            <w:tcW w:w="857" w:type="pct"/>
            <w:tcBorders>
              <w:top w:val="nil"/>
              <w:left w:val="nil"/>
              <w:bottom w:val="single" w:color="auto" w:sz="4" w:space="0"/>
              <w:right w:val="single" w:color="auto" w:sz="4" w:space="0"/>
            </w:tcBorders>
            <w:shd w:val="clear" w:color="auto" w:fill="auto"/>
            <w:noWrap/>
            <w:vAlign w:val="center"/>
          </w:tcPr>
          <w:p w14:paraId="6EAC3613">
            <w:pPr>
              <w:widowControl/>
              <w:jc w:val="center"/>
              <w:textAlignment w:val="center"/>
              <w:rPr>
                <w:rFonts w:ascii="Times New Roman" w:eastAsia="仿宋_GB2312"/>
                <w:sz w:val="21"/>
                <w:szCs w:val="21"/>
              </w:rPr>
            </w:pPr>
            <w:r>
              <w:rPr>
                <w:rFonts w:hint="eastAsia" w:ascii="Times New Roman" w:eastAsia="仿宋_GB2312"/>
                <w:sz w:val="21"/>
                <w:szCs w:val="21"/>
              </w:rPr>
              <w:t>242</w:t>
            </w:r>
          </w:p>
        </w:tc>
        <w:tc>
          <w:tcPr>
            <w:tcW w:w="858" w:type="pct"/>
            <w:tcBorders>
              <w:top w:val="nil"/>
              <w:left w:val="nil"/>
              <w:bottom w:val="single" w:color="auto" w:sz="4" w:space="0"/>
              <w:right w:val="single" w:color="auto" w:sz="4" w:space="0"/>
            </w:tcBorders>
            <w:shd w:val="clear" w:color="auto" w:fill="auto"/>
            <w:noWrap/>
            <w:vAlign w:val="center"/>
          </w:tcPr>
          <w:p w14:paraId="370F41B7">
            <w:pPr>
              <w:widowControl/>
              <w:jc w:val="center"/>
              <w:textAlignment w:val="center"/>
              <w:rPr>
                <w:rFonts w:ascii="Times New Roman" w:eastAsia="仿宋_GB2312"/>
                <w:sz w:val="21"/>
                <w:szCs w:val="21"/>
              </w:rPr>
            </w:pPr>
            <w:r>
              <w:rPr>
                <w:rFonts w:hint="eastAsia" w:ascii="Times New Roman" w:eastAsia="仿宋_GB2312"/>
                <w:sz w:val="21"/>
                <w:szCs w:val="21"/>
              </w:rPr>
              <w:t>342</w:t>
            </w:r>
          </w:p>
        </w:tc>
        <w:tc>
          <w:tcPr>
            <w:tcW w:w="1030" w:type="pct"/>
            <w:tcBorders>
              <w:top w:val="nil"/>
              <w:left w:val="nil"/>
              <w:bottom w:val="single" w:color="auto" w:sz="4" w:space="0"/>
              <w:right w:val="single" w:color="auto" w:sz="4" w:space="0"/>
            </w:tcBorders>
            <w:shd w:val="clear" w:color="auto" w:fill="auto"/>
            <w:noWrap/>
            <w:vAlign w:val="center"/>
          </w:tcPr>
          <w:p w14:paraId="495E91E1">
            <w:pPr>
              <w:widowControl/>
              <w:jc w:val="center"/>
              <w:textAlignment w:val="center"/>
              <w:rPr>
                <w:rFonts w:ascii="Times New Roman"/>
                <w:kern w:val="0"/>
                <w:sz w:val="21"/>
                <w:szCs w:val="21"/>
              </w:rPr>
            </w:pPr>
            <w:r>
              <w:rPr>
                <w:rFonts w:hint="eastAsia" w:ascii="Times New Roman"/>
                <w:kern w:val="0"/>
                <w:sz w:val="21"/>
                <w:szCs w:val="21"/>
              </w:rPr>
              <w:t>19.2</w:t>
            </w:r>
          </w:p>
        </w:tc>
      </w:tr>
      <w:tr w14:paraId="1F4C524C">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58FD6F08">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21C5D712">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5D63B240">
            <w:pPr>
              <w:widowControl/>
              <w:jc w:val="center"/>
              <w:textAlignment w:val="center"/>
              <w:rPr>
                <w:rFonts w:ascii="Times New Roman"/>
                <w:sz w:val="21"/>
                <w:szCs w:val="21"/>
              </w:rPr>
            </w:pPr>
            <w:r>
              <w:rPr>
                <w:rFonts w:hint="eastAsia" w:ascii="Times New Roman"/>
                <w:sz w:val="21"/>
                <w:szCs w:val="21"/>
              </w:rPr>
              <w:t>20.17</w:t>
            </w:r>
          </w:p>
        </w:tc>
        <w:tc>
          <w:tcPr>
            <w:tcW w:w="857" w:type="pct"/>
            <w:tcBorders>
              <w:top w:val="nil"/>
              <w:left w:val="nil"/>
              <w:bottom w:val="single" w:color="auto" w:sz="4" w:space="0"/>
              <w:right w:val="single" w:color="auto" w:sz="4" w:space="0"/>
            </w:tcBorders>
            <w:shd w:val="clear" w:color="auto" w:fill="auto"/>
            <w:noWrap/>
            <w:vAlign w:val="center"/>
          </w:tcPr>
          <w:p w14:paraId="0B0F08AE">
            <w:pPr>
              <w:widowControl/>
              <w:jc w:val="center"/>
              <w:textAlignment w:val="center"/>
              <w:rPr>
                <w:rFonts w:ascii="Times New Roman"/>
                <w:sz w:val="21"/>
                <w:szCs w:val="21"/>
              </w:rPr>
            </w:pPr>
            <w:r>
              <w:rPr>
                <w:rFonts w:hint="eastAsia" w:ascii="Times New Roman"/>
                <w:sz w:val="21"/>
                <w:szCs w:val="21"/>
              </w:rPr>
              <w:t>20.17</w:t>
            </w:r>
          </w:p>
        </w:tc>
        <w:tc>
          <w:tcPr>
            <w:tcW w:w="858" w:type="pct"/>
            <w:tcBorders>
              <w:top w:val="nil"/>
              <w:left w:val="nil"/>
              <w:bottom w:val="single" w:color="auto" w:sz="4" w:space="0"/>
              <w:right w:val="single" w:color="auto" w:sz="4" w:space="0"/>
            </w:tcBorders>
            <w:shd w:val="clear" w:color="auto" w:fill="auto"/>
            <w:noWrap/>
            <w:vAlign w:val="center"/>
          </w:tcPr>
          <w:p w14:paraId="1C91EAF5">
            <w:pPr>
              <w:widowControl/>
              <w:jc w:val="center"/>
              <w:textAlignment w:val="center"/>
              <w:rPr>
                <w:rFonts w:ascii="Times New Roman"/>
                <w:sz w:val="21"/>
                <w:szCs w:val="21"/>
              </w:rPr>
            </w:pPr>
            <w:r>
              <w:rPr>
                <w:rFonts w:hint="eastAsia" w:ascii="Times New Roman"/>
                <w:sz w:val="21"/>
                <w:szCs w:val="21"/>
              </w:rPr>
              <w:t>28.50</w:t>
            </w:r>
          </w:p>
        </w:tc>
        <w:tc>
          <w:tcPr>
            <w:tcW w:w="1030" w:type="pct"/>
            <w:tcBorders>
              <w:top w:val="nil"/>
              <w:left w:val="nil"/>
              <w:bottom w:val="single" w:color="auto" w:sz="4" w:space="0"/>
              <w:right w:val="single" w:color="auto" w:sz="4" w:space="0"/>
            </w:tcBorders>
            <w:shd w:val="clear" w:color="auto" w:fill="auto"/>
            <w:noWrap/>
            <w:vAlign w:val="center"/>
          </w:tcPr>
          <w:p w14:paraId="5E126EFE">
            <w:pPr>
              <w:widowControl/>
              <w:jc w:val="center"/>
              <w:textAlignment w:val="center"/>
              <w:rPr>
                <w:rFonts w:ascii="Times New Roman"/>
                <w:kern w:val="0"/>
                <w:sz w:val="21"/>
                <w:szCs w:val="21"/>
              </w:rPr>
            </w:pPr>
            <w:r>
              <w:rPr>
                <w:rFonts w:hint="eastAsia" w:ascii="Times New Roman"/>
                <w:kern w:val="0"/>
                <w:sz w:val="21"/>
                <w:szCs w:val="21"/>
              </w:rPr>
              <w:t>1.60</w:t>
            </w:r>
          </w:p>
        </w:tc>
      </w:tr>
      <w:tr w14:paraId="32B7D173">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7995C9EC">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59BEE4B0">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1DB1BC47">
            <w:pPr>
              <w:widowControl/>
              <w:jc w:val="center"/>
              <w:textAlignment w:val="center"/>
              <w:rPr>
                <w:rFonts w:ascii="Times New Roman"/>
                <w:sz w:val="21"/>
                <w:szCs w:val="21"/>
              </w:rPr>
            </w:pPr>
            <w:r>
              <w:rPr>
                <w:rFonts w:hint="eastAsia" w:ascii="Times New Roman"/>
                <w:kern w:val="0"/>
                <w:sz w:val="21"/>
                <w:szCs w:val="21"/>
              </w:rPr>
              <w:t>6.04</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5BF592A2">
            <w:pPr>
              <w:widowControl/>
              <w:jc w:val="center"/>
              <w:textAlignment w:val="center"/>
              <w:rPr>
                <w:rFonts w:ascii="Times New Roman"/>
                <w:sz w:val="21"/>
                <w:szCs w:val="21"/>
              </w:rPr>
            </w:pPr>
            <w:r>
              <w:rPr>
                <w:rFonts w:hint="eastAsia" w:ascii="Times New Roman"/>
                <w:kern w:val="0"/>
                <w:sz w:val="21"/>
                <w:szCs w:val="21"/>
              </w:rPr>
              <w:t>6.29</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425F2675">
            <w:pPr>
              <w:widowControl/>
              <w:jc w:val="center"/>
              <w:textAlignment w:val="center"/>
              <w:rPr>
                <w:rFonts w:ascii="Times New Roman"/>
                <w:sz w:val="21"/>
                <w:szCs w:val="21"/>
              </w:rPr>
            </w:pPr>
            <w:r>
              <w:rPr>
                <w:rFonts w:hint="eastAsia" w:ascii="Times New Roman"/>
                <w:kern w:val="0"/>
                <w:sz w:val="21"/>
                <w:szCs w:val="21"/>
              </w:rPr>
              <w:t>8.64</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31E6A290">
            <w:pPr>
              <w:widowControl/>
              <w:jc w:val="center"/>
              <w:textAlignment w:val="center"/>
              <w:rPr>
                <w:rFonts w:ascii="Times New Roman"/>
                <w:kern w:val="0"/>
                <w:sz w:val="21"/>
                <w:szCs w:val="21"/>
              </w:rPr>
            </w:pPr>
            <w:r>
              <w:rPr>
                <w:rFonts w:hint="eastAsia" w:ascii="Times New Roman"/>
                <w:kern w:val="0"/>
                <w:sz w:val="21"/>
                <w:szCs w:val="21"/>
              </w:rPr>
              <w:t>11.52</w:t>
            </w:r>
            <w:r>
              <w:rPr>
                <w:rFonts w:ascii="Times New Roman"/>
                <w:kern w:val="0"/>
                <w:sz w:val="21"/>
                <w:szCs w:val="21"/>
              </w:rPr>
              <w:t>%</w:t>
            </w:r>
          </w:p>
        </w:tc>
      </w:tr>
      <w:tr w14:paraId="5AB34416">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58A8734C">
            <w:pPr>
              <w:widowControl/>
              <w:jc w:val="center"/>
              <w:rPr>
                <w:rFonts w:ascii="Times New Roman"/>
                <w:kern w:val="0"/>
                <w:sz w:val="21"/>
                <w:szCs w:val="21"/>
              </w:rPr>
            </w:pPr>
            <w:r>
              <w:rPr>
                <w:rFonts w:ascii="Times New Roman"/>
                <w:kern w:val="0"/>
                <w:sz w:val="21"/>
                <w:szCs w:val="21"/>
              </w:rPr>
              <w:t>CO</w:t>
            </w:r>
            <w:r>
              <w:rPr>
                <w:rFonts w:ascii="Times New Roman"/>
                <w:kern w:val="0"/>
                <w:sz w:val="21"/>
                <w:szCs w:val="21"/>
                <w:vertAlign w:val="subscript"/>
              </w:rPr>
              <w:t>3</w:t>
            </w:r>
            <w:r>
              <w:rPr>
                <w:rFonts w:ascii="Times New Roman"/>
                <w:kern w:val="0"/>
                <w:sz w:val="21"/>
                <w:szCs w:val="21"/>
                <w:vertAlign w:val="superscript"/>
              </w:rPr>
              <w:t>2-</w:t>
            </w:r>
          </w:p>
        </w:tc>
        <w:tc>
          <w:tcPr>
            <w:tcW w:w="693" w:type="pct"/>
            <w:tcBorders>
              <w:top w:val="nil"/>
              <w:left w:val="nil"/>
              <w:bottom w:val="single" w:color="auto" w:sz="4" w:space="0"/>
              <w:right w:val="single" w:color="auto" w:sz="4" w:space="0"/>
            </w:tcBorders>
            <w:shd w:val="clear" w:color="auto" w:fill="auto"/>
            <w:noWrap/>
            <w:vAlign w:val="center"/>
          </w:tcPr>
          <w:p w14:paraId="5F680D61">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0F15FA69">
            <w:pPr>
              <w:widowControl/>
              <w:jc w:val="center"/>
              <w:textAlignment w:val="center"/>
              <w:rPr>
                <w:rFonts w:ascii="Times New Roman" w:eastAsia="仿宋_GB2312"/>
                <w:sz w:val="21"/>
                <w:szCs w:val="21"/>
              </w:rPr>
            </w:pPr>
            <w:r>
              <w:rPr>
                <w:rFonts w:ascii="Times New Roman"/>
                <w:kern w:val="0"/>
                <w:sz w:val="21"/>
                <w:szCs w:val="21"/>
              </w:rPr>
              <w:t>ND</w:t>
            </w:r>
          </w:p>
        </w:tc>
        <w:tc>
          <w:tcPr>
            <w:tcW w:w="857" w:type="pct"/>
            <w:tcBorders>
              <w:top w:val="nil"/>
              <w:left w:val="nil"/>
              <w:bottom w:val="single" w:color="auto" w:sz="4" w:space="0"/>
              <w:right w:val="single" w:color="auto" w:sz="4" w:space="0"/>
            </w:tcBorders>
            <w:shd w:val="clear" w:color="auto" w:fill="auto"/>
            <w:noWrap/>
            <w:vAlign w:val="center"/>
          </w:tcPr>
          <w:p w14:paraId="277121E1">
            <w:pPr>
              <w:widowControl/>
              <w:jc w:val="center"/>
              <w:textAlignment w:val="center"/>
              <w:rPr>
                <w:rFonts w:ascii="Times New Roman" w:eastAsia="仿宋_GB2312"/>
                <w:sz w:val="21"/>
                <w:szCs w:val="21"/>
              </w:rPr>
            </w:pPr>
            <w:r>
              <w:rPr>
                <w:rFonts w:ascii="Times New Roman"/>
                <w:kern w:val="0"/>
                <w:sz w:val="21"/>
                <w:szCs w:val="21"/>
              </w:rPr>
              <w:t>ND</w:t>
            </w:r>
          </w:p>
        </w:tc>
        <w:tc>
          <w:tcPr>
            <w:tcW w:w="858" w:type="pct"/>
            <w:tcBorders>
              <w:top w:val="nil"/>
              <w:left w:val="nil"/>
              <w:bottom w:val="single" w:color="auto" w:sz="4" w:space="0"/>
              <w:right w:val="single" w:color="auto" w:sz="4" w:space="0"/>
            </w:tcBorders>
            <w:shd w:val="clear" w:color="auto" w:fill="auto"/>
            <w:noWrap/>
            <w:vAlign w:val="center"/>
          </w:tcPr>
          <w:p w14:paraId="5B9CD43F">
            <w:pPr>
              <w:widowControl/>
              <w:jc w:val="center"/>
              <w:textAlignment w:val="center"/>
              <w:rPr>
                <w:rFonts w:ascii="Times New Roman" w:eastAsia="仿宋_GB2312"/>
                <w:sz w:val="21"/>
                <w:szCs w:val="21"/>
              </w:rPr>
            </w:pPr>
            <w:r>
              <w:rPr>
                <w:rFonts w:ascii="Times New Roman"/>
                <w:kern w:val="0"/>
                <w:sz w:val="21"/>
                <w:szCs w:val="21"/>
              </w:rPr>
              <w:t>ND</w:t>
            </w:r>
          </w:p>
        </w:tc>
        <w:tc>
          <w:tcPr>
            <w:tcW w:w="1030" w:type="pct"/>
            <w:tcBorders>
              <w:top w:val="nil"/>
              <w:left w:val="nil"/>
              <w:bottom w:val="single" w:color="auto" w:sz="4" w:space="0"/>
              <w:right w:val="single" w:color="auto" w:sz="4" w:space="0"/>
            </w:tcBorders>
            <w:shd w:val="clear" w:color="auto" w:fill="auto"/>
            <w:noWrap/>
            <w:vAlign w:val="center"/>
          </w:tcPr>
          <w:p w14:paraId="15DB5D97">
            <w:pPr>
              <w:widowControl/>
              <w:jc w:val="center"/>
              <w:textAlignment w:val="center"/>
              <w:rPr>
                <w:rFonts w:ascii="Times New Roman"/>
                <w:kern w:val="0"/>
                <w:sz w:val="21"/>
                <w:szCs w:val="21"/>
              </w:rPr>
            </w:pPr>
            <w:r>
              <w:rPr>
                <w:rFonts w:ascii="Times New Roman"/>
                <w:kern w:val="0"/>
                <w:sz w:val="21"/>
                <w:szCs w:val="21"/>
              </w:rPr>
              <w:t>ND</w:t>
            </w:r>
          </w:p>
        </w:tc>
      </w:tr>
      <w:tr w14:paraId="7B1AE92B">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26ABFDE3">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395FCA25">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62A3A7AA">
            <w:pPr>
              <w:widowControl/>
              <w:jc w:val="center"/>
              <w:textAlignment w:val="center"/>
              <w:rPr>
                <w:rFonts w:ascii="Times New Roman"/>
                <w:sz w:val="21"/>
                <w:szCs w:val="21"/>
              </w:rPr>
            </w:pPr>
            <w:r>
              <w:rPr>
                <w:rFonts w:ascii="Times New Roman"/>
                <w:kern w:val="0"/>
                <w:sz w:val="21"/>
                <w:szCs w:val="21"/>
              </w:rPr>
              <w:t>0</w:t>
            </w:r>
          </w:p>
        </w:tc>
        <w:tc>
          <w:tcPr>
            <w:tcW w:w="857" w:type="pct"/>
            <w:tcBorders>
              <w:top w:val="nil"/>
              <w:left w:val="nil"/>
              <w:bottom w:val="single" w:color="auto" w:sz="4" w:space="0"/>
              <w:right w:val="single" w:color="auto" w:sz="4" w:space="0"/>
            </w:tcBorders>
            <w:shd w:val="clear" w:color="auto" w:fill="auto"/>
            <w:noWrap/>
            <w:vAlign w:val="center"/>
          </w:tcPr>
          <w:p w14:paraId="0F442265">
            <w:pPr>
              <w:widowControl/>
              <w:jc w:val="center"/>
              <w:textAlignment w:val="center"/>
              <w:rPr>
                <w:rFonts w:ascii="Times New Roman"/>
                <w:sz w:val="21"/>
                <w:szCs w:val="21"/>
              </w:rPr>
            </w:pPr>
            <w:r>
              <w:rPr>
                <w:rFonts w:ascii="Times New Roman"/>
                <w:kern w:val="0"/>
                <w:sz w:val="21"/>
                <w:szCs w:val="21"/>
              </w:rPr>
              <w:t>0</w:t>
            </w:r>
          </w:p>
        </w:tc>
        <w:tc>
          <w:tcPr>
            <w:tcW w:w="858" w:type="pct"/>
            <w:tcBorders>
              <w:top w:val="nil"/>
              <w:left w:val="nil"/>
              <w:bottom w:val="single" w:color="auto" w:sz="4" w:space="0"/>
              <w:right w:val="single" w:color="auto" w:sz="4" w:space="0"/>
            </w:tcBorders>
            <w:shd w:val="clear" w:color="auto" w:fill="auto"/>
            <w:noWrap/>
            <w:vAlign w:val="center"/>
          </w:tcPr>
          <w:p w14:paraId="565BA13A">
            <w:pPr>
              <w:widowControl/>
              <w:jc w:val="center"/>
              <w:textAlignment w:val="center"/>
              <w:rPr>
                <w:rFonts w:ascii="Times New Roman"/>
                <w:sz w:val="21"/>
                <w:szCs w:val="21"/>
              </w:rPr>
            </w:pPr>
            <w:r>
              <w:rPr>
                <w:rFonts w:ascii="Times New Roman"/>
                <w:kern w:val="0"/>
                <w:sz w:val="21"/>
                <w:szCs w:val="21"/>
              </w:rPr>
              <w:t>0</w:t>
            </w:r>
          </w:p>
        </w:tc>
        <w:tc>
          <w:tcPr>
            <w:tcW w:w="1030" w:type="pct"/>
            <w:tcBorders>
              <w:top w:val="nil"/>
              <w:left w:val="nil"/>
              <w:bottom w:val="single" w:color="auto" w:sz="4" w:space="0"/>
              <w:right w:val="single" w:color="auto" w:sz="4" w:space="0"/>
            </w:tcBorders>
            <w:shd w:val="clear" w:color="auto" w:fill="auto"/>
            <w:noWrap/>
            <w:vAlign w:val="center"/>
          </w:tcPr>
          <w:p w14:paraId="08BEF4F6">
            <w:pPr>
              <w:widowControl/>
              <w:jc w:val="center"/>
              <w:textAlignment w:val="center"/>
              <w:rPr>
                <w:rFonts w:ascii="Times New Roman"/>
                <w:kern w:val="0"/>
                <w:sz w:val="21"/>
                <w:szCs w:val="21"/>
              </w:rPr>
            </w:pPr>
            <w:r>
              <w:rPr>
                <w:rFonts w:ascii="Times New Roman"/>
                <w:kern w:val="0"/>
                <w:sz w:val="21"/>
                <w:szCs w:val="21"/>
              </w:rPr>
              <w:t>0</w:t>
            </w:r>
          </w:p>
        </w:tc>
      </w:tr>
      <w:tr w14:paraId="678BB915">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353A963F">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7C956807">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5C5AF73D">
            <w:pPr>
              <w:widowControl/>
              <w:jc w:val="center"/>
              <w:textAlignment w:val="center"/>
              <w:rPr>
                <w:rFonts w:ascii="Times New Roman"/>
                <w:sz w:val="21"/>
                <w:szCs w:val="21"/>
              </w:rPr>
            </w:pPr>
            <w:r>
              <w:rPr>
                <w:rFonts w:ascii="Times New Roman"/>
                <w:kern w:val="0"/>
                <w:sz w:val="21"/>
                <w:szCs w:val="21"/>
              </w:rPr>
              <w:t>0.00%</w:t>
            </w:r>
          </w:p>
        </w:tc>
        <w:tc>
          <w:tcPr>
            <w:tcW w:w="857" w:type="pct"/>
            <w:tcBorders>
              <w:top w:val="nil"/>
              <w:left w:val="nil"/>
              <w:bottom w:val="single" w:color="auto" w:sz="4" w:space="0"/>
              <w:right w:val="single" w:color="auto" w:sz="4" w:space="0"/>
            </w:tcBorders>
            <w:shd w:val="clear" w:color="auto" w:fill="auto"/>
            <w:noWrap/>
            <w:vAlign w:val="center"/>
          </w:tcPr>
          <w:p w14:paraId="7F5C08BE">
            <w:pPr>
              <w:widowControl/>
              <w:jc w:val="center"/>
              <w:textAlignment w:val="center"/>
              <w:rPr>
                <w:rFonts w:ascii="Times New Roman"/>
                <w:sz w:val="21"/>
                <w:szCs w:val="21"/>
              </w:rPr>
            </w:pPr>
            <w:r>
              <w:rPr>
                <w:rFonts w:ascii="Times New Roman"/>
                <w:kern w:val="0"/>
                <w:sz w:val="21"/>
                <w:szCs w:val="21"/>
              </w:rPr>
              <w:t>0.00%</w:t>
            </w:r>
          </w:p>
        </w:tc>
        <w:tc>
          <w:tcPr>
            <w:tcW w:w="858" w:type="pct"/>
            <w:tcBorders>
              <w:top w:val="nil"/>
              <w:left w:val="nil"/>
              <w:bottom w:val="single" w:color="auto" w:sz="4" w:space="0"/>
              <w:right w:val="single" w:color="auto" w:sz="4" w:space="0"/>
            </w:tcBorders>
            <w:shd w:val="clear" w:color="auto" w:fill="auto"/>
            <w:noWrap/>
            <w:vAlign w:val="center"/>
          </w:tcPr>
          <w:p w14:paraId="7C9B7522">
            <w:pPr>
              <w:widowControl/>
              <w:jc w:val="center"/>
              <w:textAlignment w:val="center"/>
              <w:rPr>
                <w:rFonts w:ascii="Times New Roman"/>
                <w:sz w:val="21"/>
                <w:szCs w:val="21"/>
              </w:rPr>
            </w:pPr>
            <w:r>
              <w:rPr>
                <w:rFonts w:ascii="Times New Roman"/>
                <w:kern w:val="0"/>
                <w:sz w:val="21"/>
                <w:szCs w:val="21"/>
              </w:rPr>
              <w:t>0.00%</w:t>
            </w:r>
          </w:p>
        </w:tc>
        <w:tc>
          <w:tcPr>
            <w:tcW w:w="1030" w:type="pct"/>
            <w:tcBorders>
              <w:top w:val="nil"/>
              <w:left w:val="nil"/>
              <w:bottom w:val="single" w:color="auto" w:sz="4" w:space="0"/>
              <w:right w:val="single" w:color="auto" w:sz="4" w:space="0"/>
            </w:tcBorders>
            <w:shd w:val="clear" w:color="auto" w:fill="auto"/>
            <w:noWrap/>
            <w:vAlign w:val="center"/>
          </w:tcPr>
          <w:p w14:paraId="5C350427">
            <w:pPr>
              <w:widowControl/>
              <w:jc w:val="center"/>
              <w:textAlignment w:val="center"/>
              <w:rPr>
                <w:rFonts w:ascii="Times New Roman"/>
                <w:kern w:val="0"/>
                <w:sz w:val="21"/>
                <w:szCs w:val="21"/>
              </w:rPr>
            </w:pPr>
            <w:r>
              <w:rPr>
                <w:rFonts w:ascii="Times New Roman"/>
                <w:kern w:val="0"/>
                <w:sz w:val="21"/>
                <w:szCs w:val="21"/>
              </w:rPr>
              <w:t>0.00%</w:t>
            </w:r>
          </w:p>
        </w:tc>
      </w:tr>
      <w:tr w14:paraId="25350760">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18B63620">
            <w:pPr>
              <w:widowControl/>
              <w:jc w:val="center"/>
              <w:rPr>
                <w:rFonts w:ascii="Times New Roman"/>
                <w:kern w:val="0"/>
                <w:sz w:val="21"/>
                <w:szCs w:val="21"/>
              </w:rPr>
            </w:pPr>
            <w:r>
              <w:rPr>
                <w:rFonts w:ascii="Times New Roman"/>
                <w:kern w:val="0"/>
                <w:sz w:val="21"/>
                <w:szCs w:val="21"/>
              </w:rPr>
              <w:t>HCO</w:t>
            </w:r>
            <w:r>
              <w:rPr>
                <w:rFonts w:ascii="Times New Roman"/>
                <w:kern w:val="0"/>
                <w:sz w:val="21"/>
                <w:szCs w:val="21"/>
                <w:vertAlign w:val="subscript"/>
              </w:rPr>
              <w:t>3</w:t>
            </w:r>
            <w:r>
              <w:rPr>
                <w:rFonts w:ascii="Times New Roman"/>
                <w:kern w:val="0"/>
                <w:sz w:val="21"/>
                <w:szCs w:val="21"/>
                <w:vertAlign w:val="superscript"/>
              </w:rPr>
              <w:t>-</w:t>
            </w:r>
          </w:p>
        </w:tc>
        <w:tc>
          <w:tcPr>
            <w:tcW w:w="693" w:type="pct"/>
            <w:tcBorders>
              <w:top w:val="nil"/>
              <w:left w:val="nil"/>
              <w:bottom w:val="single" w:color="auto" w:sz="4" w:space="0"/>
              <w:right w:val="single" w:color="auto" w:sz="4" w:space="0"/>
            </w:tcBorders>
            <w:shd w:val="clear" w:color="auto" w:fill="auto"/>
            <w:noWrap/>
            <w:vAlign w:val="center"/>
          </w:tcPr>
          <w:p w14:paraId="280CB3BE">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3FE97642">
            <w:pPr>
              <w:widowControl/>
              <w:jc w:val="center"/>
              <w:textAlignment w:val="center"/>
              <w:rPr>
                <w:rFonts w:ascii="Times New Roman" w:eastAsia="仿宋_GB2312"/>
                <w:sz w:val="21"/>
                <w:szCs w:val="21"/>
              </w:rPr>
            </w:pPr>
            <w:r>
              <w:rPr>
                <w:rFonts w:hint="eastAsia" w:ascii="Times New Roman" w:eastAsia="仿宋_GB2312"/>
                <w:sz w:val="21"/>
                <w:szCs w:val="21"/>
              </w:rPr>
              <w:t>854</w:t>
            </w:r>
          </w:p>
        </w:tc>
        <w:tc>
          <w:tcPr>
            <w:tcW w:w="857" w:type="pct"/>
            <w:tcBorders>
              <w:top w:val="nil"/>
              <w:left w:val="nil"/>
              <w:bottom w:val="single" w:color="auto" w:sz="4" w:space="0"/>
              <w:right w:val="single" w:color="auto" w:sz="4" w:space="0"/>
            </w:tcBorders>
            <w:shd w:val="clear" w:color="auto" w:fill="auto"/>
            <w:noWrap/>
            <w:vAlign w:val="center"/>
          </w:tcPr>
          <w:p w14:paraId="439A6BC2">
            <w:pPr>
              <w:widowControl/>
              <w:jc w:val="center"/>
              <w:textAlignment w:val="center"/>
              <w:rPr>
                <w:rFonts w:ascii="Times New Roman" w:eastAsia="仿宋_GB2312"/>
                <w:sz w:val="21"/>
                <w:szCs w:val="21"/>
              </w:rPr>
            </w:pPr>
            <w:r>
              <w:rPr>
                <w:rFonts w:hint="eastAsia" w:ascii="Times New Roman" w:eastAsia="仿宋_GB2312"/>
                <w:sz w:val="21"/>
                <w:szCs w:val="21"/>
              </w:rPr>
              <w:t>869</w:t>
            </w:r>
          </w:p>
        </w:tc>
        <w:tc>
          <w:tcPr>
            <w:tcW w:w="858" w:type="pct"/>
            <w:tcBorders>
              <w:top w:val="nil"/>
              <w:left w:val="nil"/>
              <w:bottom w:val="single" w:color="auto" w:sz="4" w:space="0"/>
              <w:right w:val="single" w:color="auto" w:sz="4" w:space="0"/>
            </w:tcBorders>
            <w:shd w:val="clear" w:color="auto" w:fill="auto"/>
            <w:noWrap/>
            <w:vAlign w:val="center"/>
          </w:tcPr>
          <w:p w14:paraId="38FF9FF8">
            <w:pPr>
              <w:widowControl/>
              <w:jc w:val="center"/>
              <w:textAlignment w:val="center"/>
              <w:rPr>
                <w:rFonts w:ascii="Times New Roman" w:eastAsia="仿宋_GB2312"/>
                <w:sz w:val="21"/>
                <w:szCs w:val="21"/>
              </w:rPr>
            </w:pPr>
            <w:r>
              <w:rPr>
                <w:rFonts w:hint="eastAsia" w:ascii="Times New Roman" w:eastAsia="仿宋_GB2312"/>
                <w:sz w:val="21"/>
                <w:szCs w:val="21"/>
              </w:rPr>
              <w:t>885</w:t>
            </w:r>
          </w:p>
        </w:tc>
        <w:tc>
          <w:tcPr>
            <w:tcW w:w="1030" w:type="pct"/>
            <w:tcBorders>
              <w:top w:val="nil"/>
              <w:left w:val="nil"/>
              <w:bottom w:val="single" w:color="auto" w:sz="4" w:space="0"/>
              <w:right w:val="single" w:color="auto" w:sz="4" w:space="0"/>
            </w:tcBorders>
            <w:shd w:val="clear" w:color="auto" w:fill="auto"/>
            <w:noWrap/>
            <w:vAlign w:val="center"/>
          </w:tcPr>
          <w:p w14:paraId="12DCF790">
            <w:pPr>
              <w:widowControl/>
              <w:jc w:val="center"/>
              <w:textAlignment w:val="center"/>
              <w:rPr>
                <w:rFonts w:ascii="Times New Roman"/>
                <w:kern w:val="0"/>
                <w:sz w:val="21"/>
                <w:szCs w:val="21"/>
              </w:rPr>
            </w:pPr>
            <w:r>
              <w:rPr>
                <w:rFonts w:hint="eastAsia" w:ascii="Times New Roman"/>
                <w:kern w:val="0"/>
                <w:sz w:val="21"/>
                <w:szCs w:val="21"/>
              </w:rPr>
              <w:t>440</w:t>
            </w:r>
          </w:p>
        </w:tc>
      </w:tr>
      <w:tr w14:paraId="3357AF69">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4B366DED">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079686EF">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4C1DF80D">
            <w:pPr>
              <w:widowControl/>
              <w:jc w:val="center"/>
              <w:textAlignment w:val="center"/>
              <w:rPr>
                <w:rFonts w:ascii="Times New Roman"/>
                <w:sz w:val="21"/>
                <w:szCs w:val="21"/>
              </w:rPr>
            </w:pPr>
            <w:r>
              <w:rPr>
                <w:rFonts w:hint="eastAsia" w:ascii="Times New Roman"/>
                <w:sz w:val="21"/>
                <w:szCs w:val="21"/>
              </w:rPr>
              <w:t>14.00</w:t>
            </w:r>
          </w:p>
        </w:tc>
        <w:tc>
          <w:tcPr>
            <w:tcW w:w="857" w:type="pct"/>
            <w:tcBorders>
              <w:top w:val="nil"/>
              <w:left w:val="nil"/>
              <w:bottom w:val="single" w:color="auto" w:sz="4" w:space="0"/>
              <w:right w:val="single" w:color="auto" w:sz="4" w:space="0"/>
            </w:tcBorders>
            <w:shd w:val="clear" w:color="auto" w:fill="auto"/>
            <w:noWrap/>
            <w:vAlign w:val="center"/>
          </w:tcPr>
          <w:p w14:paraId="6AD45E81">
            <w:pPr>
              <w:widowControl/>
              <w:jc w:val="center"/>
              <w:textAlignment w:val="center"/>
              <w:rPr>
                <w:rFonts w:ascii="Times New Roman"/>
                <w:sz w:val="21"/>
                <w:szCs w:val="21"/>
              </w:rPr>
            </w:pPr>
            <w:r>
              <w:rPr>
                <w:rFonts w:hint="eastAsia" w:ascii="Times New Roman"/>
                <w:sz w:val="21"/>
                <w:szCs w:val="21"/>
              </w:rPr>
              <w:t>14.25</w:t>
            </w:r>
          </w:p>
        </w:tc>
        <w:tc>
          <w:tcPr>
            <w:tcW w:w="858" w:type="pct"/>
            <w:tcBorders>
              <w:top w:val="nil"/>
              <w:left w:val="nil"/>
              <w:bottom w:val="single" w:color="auto" w:sz="4" w:space="0"/>
              <w:right w:val="single" w:color="auto" w:sz="4" w:space="0"/>
            </w:tcBorders>
            <w:shd w:val="clear" w:color="auto" w:fill="auto"/>
            <w:noWrap/>
            <w:vAlign w:val="center"/>
          </w:tcPr>
          <w:p w14:paraId="43F8C3B1">
            <w:pPr>
              <w:widowControl/>
              <w:jc w:val="center"/>
              <w:textAlignment w:val="center"/>
              <w:rPr>
                <w:rFonts w:ascii="Times New Roman"/>
                <w:sz w:val="21"/>
                <w:szCs w:val="21"/>
              </w:rPr>
            </w:pPr>
            <w:r>
              <w:rPr>
                <w:rFonts w:hint="eastAsia" w:ascii="Times New Roman"/>
                <w:sz w:val="21"/>
                <w:szCs w:val="21"/>
              </w:rPr>
              <w:t>14.51</w:t>
            </w:r>
          </w:p>
        </w:tc>
        <w:tc>
          <w:tcPr>
            <w:tcW w:w="1030" w:type="pct"/>
            <w:tcBorders>
              <w:top w:val="nil"/>
              <w:left w:val="nil"/>
              <w:bottom w:val="single" w:color="auto" w:sz="4" w:space="0"/>
              <w:right w:val="single" w:color="auto" w:sz="4" w:space="0"/>
            </w:tcBorders>
            <w:shd w:val="clear" w:color="auto" w:fill="auto"/>
            <w:noWrap/>
            <w:vAlign w:val="center"/>
          </w:tcPr>
          <w:p w14:paraId="4CFFDF5A">
            <w:pPr>
              <w:widowControl/>
              <w:jc w:val="center"/>
              <w:textAlignment w:val="center"/>
              <w:rPr>
                <w:rFonts w:ascii="Times New Roman"/>
                <w:kern w:val="0"/>
                <w:sz w:val="21"/>
                <w:szCs w:val="21"/>
              </w:rPr>
            </w:pPr>
            <w:r>
              <w:rPr>
                <w:rFonts w:hint="eastAsia" w:ascii="Times New Roman"/>
                <w:kern w:val="0"/>
                <w:sz w:val="21"/>
                <w:szCs w:val="21"/>
              </w:rPr>
              <w:t>7.21</w:t>
            </w:r>
          </w:p>
        </w:tc>
      </w:tr>
      <w:tr w14:paraId="17716AA4">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4FCF9C38">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219ACF49">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11C77C49">
            <w:pPr>
              <w:widowControl/>
              <w:jc w:val="center"/>
              <w:textAlignment w:val="center"/>
              <w:rPr>
                <w:rFonts w:ascii="Times New Roman"/>
                <w:sz w:val="21"/>
                <w:szCs w:val="21"/>
              </w:rPr>
            </w:pPr>
            <w:r>
              <w:rPr>
                <w:rFonts w:hint="eastAsia" w:ascii="Times New Roman"/>
                <w:kern w:val="0"/>
                <w:sz w:val="21"/>
                <w:szCs w:val="21"/>
              </w:rPr>
              <w:t>4.64</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3D4D44C7">
            <w:pPr>
              <w:widowControl/>
              <w:jc w:val="center"/>
              <w:textAlignment w:val="center"/>
              <w:rPr>
                <w:rFonts w:ascii="Times New Roman"/>
                <w:sz w:val="21"/>
                <w:szCs w:val="21"/>
              </w:rPr>
            </w:pPr>
            <w:r>
              <w:rPr>
                <w:rFonts w:hint="eastAsia" w:ascii="Times New Roman"/>
                <w:kern w:val="0"/>
                <w:sz w:val="21"/>
                <w:szCs w:val="21"/>
              </w:rPr>
              <w:t>4.89</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0B2E000E">
            <w:pPr>
              <w:widowControl/>
              <w:jc w:val="center"/>
              <w:textAlignment w:val="center"/>
              <w:rPr>
                <w:rFonts w:ascii="Times New Roman"/>
                <w:sz w:val="21"/>
                <w:szCs w:val="21"/>
              </w:rPr>
            </w:pPr>
            <w:r>
              <w:rPr>
                <w:rFonts w:hint="eastAsia" w:ascii="Times New Roman"/>
                <w:kern w:val="0"/>
                <w:sz w:val="21"/>
                <w:szCs w:val="21"/>
              </w:rPr>
              <w:t>4.90</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1DBA4E24">
            <w:pPr>
              <w:widowControl/>
              <w:jc w:val="center"/>
              <w:textAlignment w:val="center"/>
              <w:rPr>
                <w:rFonts w:ascii="Times New Roman"/>
                <w:kern w:val="0"/>
                <w:sz w:val="21"/>
                <w:szCs w:val="21"/>
              </w:rPr>
            </w:pPr>
            <w:r>
              <w:rPr>
                <w:rFonts w:hint="eastAsia" w:ascii="Times New Roman"/>
                <w:kern w:val="0"/>
                <w:sz w:val="21"/>
                <w:szCs w:val="21"/>
              </w:rPr>
              <w:t>47.82</w:t>
            </w:r>
            <w:r>
              <w:rPr>
                <w:rFonts w:ascii="Times New Roman"/>
                <w:kern w:val="0"/>
                <w:sz w:val="21"/>
                <w:szCs w:val="21"/>
              </w:rPr>
              <w:t>%</w:t>
            </w:r>
          </w:p>
        </w:tc>
      </w:tr>
      <w:tr w14:paraId="05B68D60">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07465246">
            <w:pPr>
              <w:widowControl/>
              <w:jc w:val="center"/>
              <w:rPr>
                <w:rFonts w:ascii="Times New Roman"/>
                <w:kern w:val="0"/>
                <w:sz w:val="21"/>
                <w:szCs w:val="21"/>
              </w:rPr>
            </w:pPr>
            <w:r>
              <w:rPr>
                <w:rFonts w:ascii="Times New Roman"/>
                <w:kern w:val="0"/>
                <w:sz w:val="21"/>
                <w:szCs w:val="21"/>
              </w:rPr>
              <w:t>Cl</w:t>
            </w:r>
            <w:r>
              <w:rPr>
                <w:rFonts w:ascii="Times New Roman"/>
                <w:kern w:val="0"/>
                <w:sz w:val="21"/>
                <w:szCs w:val="21"/>
                <w:vertAlign w:val="superscript"/>
              </w:rPr>
              <w:t>-</w:t>
            </w:r>
          </w:p>
        </w:tc>
        <w:tc>
          <w:tcPr>
            <w:tcW w:w="693" w:type="pct"/>
            <w:tcBorders>
              <w:top w:val="nil"/>
              <w:left w:val="nil"/>
              <w:bottom w:val="single" w:color="auto" w:sz="4" w:space="0"/>
              <w:right w:val="single" w:color="auto" w:sz="4" w:space="0"/>
            </w:tcBorders>
            <w:shd w:val="clear" w:color="auto" w:fill="auto"/>
            <w:noWrap/>
            <w:vAlign w:val="center"/>
          </w:tcPr>
          <w:p w14:paraId="7EA9EFF8">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08D0C4B8">
            <w:pPr>
              <w:widowControl/>
              <w:jc w:val="center"/>
              <w:textAlignment w:val="center"/>
              <w:rPr>
                <w:rFonts w:ascii="Times New Roman" w:eastAsia="仿宋_GB2312"/>
                <w:sz w:val="21"/>
                <w:szCs w:val="21"/>
              </w:rPr>
            </w:pPr>
            <w:r>
              <w:rPr>
                <w:rFonts w:hint="eastAsia" w:ascii="Times New Roman" w:eastAsia="仿宋_GB2312"/>
                <w:sz w:val="21"/>
                <w:szCs w:val="21"/>
              </w:rPr>
              <w:t>9940</w:t>
            </w:r>
          </w:p>
        </w:tc>
        <w:tc>
          <w:tcPr>
            <w:tcW w:w="857" w:type="pct"/>
            <w:tcBorders>
              <w:top w:val="nil"/>
              <w:left w:val="nil"/>
              <w:bottom w:val="single" w:color="auto" w:sz="4" w:space="0"/>
              <w:right w:val="single" w:color="auto" w:sz="4" w:space="0"/>
            </w:tcBorders>
            <w:shd w:val="clear" w:color="auto" w:fill="auto"/>
            <w:noWrap/>
            <w:vAlign w:val="center"/>
          </w:tcPr>
          <w:p w14:paraId="514700E3">
            <w:pPr>
              <w:widowControl/>
              <w:jc w:val="center"/>
              <w:textAlignment w:val="center"/>
              <w:rPr>
                <w:rFonts w:ascii="Times New Roman" w:eastAsia="仿宋_GB2312"/>
                <w:sz w:val="21"/>
                <w:szCs w:val="21"/>
              </w:rPr>
            </w:pPr>
            <w:r>
              <w:rPr>
                <w:rFonts w:hint="eastAsia" w:ascii="Times New Roman" w:eastAsia="仿宋_GB2312"/>
                <w:sz w:val="21"/>
                <w:szCs w:val="21"/>
              </w:rPr>
              <w:t>9540</w:t>
            </w:r>
          </w:p>
        </w:tc>
        <w:tc>
          <w:tcPr>
            <w:tcW w:w="858" w:type="pct"/>
            <w:tcBorders>
              <w:top w:val="nil"/>
              <w:left w:val="nil"/>
              <w:bottom w:val="single" w:color="auto" w:sz="4" w:space="0"/>
              <w:right w:val="single" w:color="auto" w:sz="4" w:space="0"/>
            </w:tcBorders>
            <w:shd w:val="clear" w:color="auto" w:fill="auto"/>
            <w:noWrap/>
            <w:vAlign w:val="center"/>
          </w:tcPr>
          <w:p w14:paraId="097FF33A">
            <w:pPr>
              <w:widowControl/>
              <w:jc w:val="center"/>
              <w:textAlignment w:val="center"/>
              <w:rPr>
                <w:rFonts w:ascii="Times New Roman" w:eastAsia="仿宋_GB2312"/>
                <w:sz w:val="21"/>
                <w:szCs w:val="21"/>
              </w:rPr>
            </w:pPr>
            <w:r>
              <w:rPr>
                <w:rFonts w:hint="eastAsia" w:ascii="Times New Roman" w:eastAsia="仿宋_GB2312"/>
                <w:sz w:val="21"/>
                <w:szCs w:val="21"/>
              </w:rPr>
              <w:t>9730</w:t>
            </w:r>
          </w:p>
        </w:tc>
        <w:tc>
          <w:tcPr>
            <w:tcW w:w="1030" w:type="pct"/>
            <w:tcBorders>
              <w:top w:val="nil"/>
              <w:left w:val="nil"/>
              <w:bottom w:val="single" w:color="auto" w:sz="4" w:space="0"/>
              <w:right w:val="single" w:color="auto" w:sz="4" w:space="0"/>
            </w:tcBorders>
            <w:shd w:val="clear" w:color="auto" w:fill="auto"/>
            <w:noWrap/>
            <w:vAlign w:val="center"/>
          </w:tcPr>
          <w:p w14:paraId="18FDDD2F">
            <w:pPr>
              <w:widowControl/>
              <w:jc w:val="center"/>
              <w:textAlignment w:val="center"/>
              <w:rPr>
                <w:rFonts w:ascii="Times New Roman"/>
                <w:kern w:val="0"/>
                <w:sz w:val="21"/>
                <w:szCs w:val="21"/>
              </w:rPr>
            </w:pPr>
            <w:r>
              <w:rPr>
                <w:rFonts w:hint="eastAsia" w:ascii="Times New Roman"/>
                <w:kern w:val="0"/>
                <w:sz w:val="21"/>
                <w:szCs w:val="21"/>
              </w:rPr>
              <w:t>207</w:t>
            </w:r>
          </w:p>
        </w:tc>
      </w:tr>
      <w:tr w14:paraId="5951FF70">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76464AF3">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2C1EF9AC">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314197F3">
            <w:pPr>
              <w:widowControl/>
              <w:jc w:val="center"/>
              <w:textAlignment w:val="center"/>
              <w:rPr>
                <w:rFonts w:ascii="Times New Roman"/>
                <w:sz w:val="21"/>
                <w:szCs w:val="21"/>
              </w:rPr>
            </w:pPr>
            <w:r>
              <w:rPr>
                <w:rFonts w:hint="eastAsia" w:ascii="Times New Roman"/>
                <w:sz w:val="21"/>
                <w:szCs w:val="21"/>
              </w:rPr>
              <w:t>280.00</w:t>
            </w:r>
          </w:p>
        </w:tc>
        <w:tc>
          <w:tcPr>
            <w:tcW w:w="857" w:type="pct"/>
            <w:tcBorders>
              <w:top w:val="nil"/>
              <w:left w:val="nil"/>
              <w:bottom w:val="single" w:color="auto" w:sz="4" w:space="0"/>
              <w:right w:val="single" w:color="auto" w:sz="4" w:space="0"/>
            </w:tcBorders>
            <w:shd w:val="clear" w:color="auto" w:fill="auto"/>
            <w:noWrap/>
            <w:vAlign w:val="center"/>
          </w:tcPr>
          <w:p w14:paraId="0CFB2149">
            <w:pPr>
              <w:widowControl/>
              <w:jc w:val="center"/>
              <w:textAlignment w:val="center"/>
              <w:rPr>
                <w:rFonts w:ascii="Times New Roman"/>
                <w:sz w:val="21"/>
                <w:szCs w:val="21"/>
              </w:rPr>
            </w:pPr>
            <w:r>
              <w:rPr>
                <w:rFonts w:hint="eastAsia" w:ascii="Times New Roman"/>
                <w:sz w:val="21"/>
                <w:szCs w:val="21"/>
              </w:rPr>
              <w:t>268.73</w:t>
            </w:r>
          </w:p>
        </w:tc>
        <w:tc>
          <w:tcPr>
            <w:tcW w:w="858" w:type="pct"/>
            <w:tcBorders>
              <w:top w:val="nil"/>
              <w:left w:val="nil"/>
              <w:bottom w:val="single" w:color="auto" w:sz="4" w:space="0"/>
              <w:right w:val="single" w:color="auto" w:sz="4" w:space="0"/>
            </w:tcBorders>
            <w:shd w:val="clear" w:color="auto" w:fill="auto"/>
            <w:noWrap/>
            <w:vAlign w:val="center"/>
          </w:tcPr>
          <w:p w14:paraId="10B9F8D8">
            <w:pPr>
              <w:widowControl/>
              <w:jc w:val="center"/>
              <w:textAlignment w:val="center"/>
              <w:rPr>
                <w:rFonts w:ascii="Times New Roman"/>
                <w:sz w:val="21"/>
                <w:szCs w:val="21"/>
              </w:rPr>
            </w:pPr>
            <w:r>
              <w:rPr>
                <w:rFonts w:hint="eastAsia" w:ascii="Times New Roman"/>
                <w:sz w:val="21"/>
                <w:szCs w:val="21"/>
              </w:rPr>
              <w:t>274.08</w:t>
            </w:r>
          </w:p>
        </w:tc>
        <w:tc>
          <w:tcPr>
            <w:tcW w:w="1030" w:type="pct"/>
            <w:tcBorders>
              <w:top w:val="nil"/>
              <w:left w:val="nil"/>
              <w:bottom w:val="single" w:color="auto" w:sz="4" w:space="0"/>
              <w:right w:val="single" w:color="auto" w:sz="4" w:space="0"/>
            </w:tcBorders>
            <w:shd w:val="clear" w:color="auto" w:fill="auto"/>
            <w:noWrap/>
            <w:vAlign w:val="center"/>
          </w:tcPr>
          <w:p w14:paraId="36556E71">
            <w:pPr>
              <w:widowControl/>
              <w:jc w:val="center"/>
              <w:textAlignment w:val="center"/>
              <w:rPr>
                <w:rFonts w:ascii="Times New Roman"/>
                <w:kern w:val="0"/>
                <w:sz w:val="21"/>
                <w:szCs w:val="21"/>
              </w:rPr>
            </w:pPr>
            <w:r>
              <w:rPr>
                <w:rFonts w:hint="eastAsia" w:ascii="Times New Roman"/>
                <w:kern w:val="0"/>
                <w:sz w:val="21"/>
                <w:szCs w:val="21"/>
              </w:rPr>
              <w:t>5.83</w:t>
            </w:r>
          </w:p>
        </w:tc>
      </w:tr>
      <w:tr w14:paraId="6BC23DBE">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509451CA">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529AFF5C">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4E55BDE8">
            <w:pPr>
              <w:widowControl/>
              <w:jc w:val="center"/>
              <w:textAlignment w:val="center"/>
              <w:rPr>
                <w:rFonts w:ascii="Times New Roman"/>
                <w:sz w:val="21"/>
                <w:szCs w:val="21"/>
              </w:rPr>
            </w:pPr>
            <w:r>
              <w:rPr>
                <w:rFonts w:hint="eastAsia" w:ascii="Times New Roman"/>
                <w:kern w:val="0"/>
                <w:sz w:val="21"/>
                <w:szCs w:val="21"/>
              </w:rPr>
              <w:t>92.82</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769A0F95">
            <w:pPr>
              <w:widowControl/>
              <w:jc w:val="center"/>
              <w:textAlignment w:val="center"/>
              <w:rPr>
                <w:rFonts w:ascii="Times New Roman"/>
                <w:sz w:val="21"/>
                <w:szCs w:val="21"/>
              </w:rPr>
            </w:pPr>
            <w:r>
              <w:rPr>
                <w:rFonts w:hint="eastAsia" w:ascii="Times New Roman"/>
                <w:kern w:val="0"/>
                <w:sz w:val="21"/>
                <w:szCs w:val="21"/>
              </w:rPr>
              <w:t>92.23</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5371D19B">
            <w:pPr>
              <w:widowControl/>
              <w:jc w:val="center"/>
              <w:textAlignment w:val="center"/>
              <w:rPr>
                <w:rFonts w:ascii="Times New Roman"/>
                <w:sz w:val="21"/>
                <w:szCs w:val="21"/>
              </w:rPr>
            </w:pPr>
            <w:r>
              <w:rPr>
                <w:rFonts w:hint="eastAsia" w:ascii="Times New Roman"/>
                <w:kern w:val="0"/>
                <w:sz w:val="21"/>
                <w:szCs w:val="21"/>
              </w:rPr>
              <w:t>92.58</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5414AA8C">
            <w:pPr>
              <w:widowControl/>
              <w:jc w:val="center"/>
              <w:textAlignment w:val="center"/>
              <w:rPr>
                <w:rFonts w:ascii="Times New Roman"/>
                <w:kern w:val="0"/>
                <w:sz w:val="21"/>
                <w:szCs w:val="21"/>
              </w:rPr>
            </w:pPr>
            <w:r>
              <w:rPr>
                <w:rFonts w:hint="eastAsia" w:ascii="Times New Roman"/>
                <w:kern w:val="0"/>
                <w:sz w:val="21"/>
                <w:szCs w:val="21"/>
              </w:rPr>
              <w:t>38.66</w:t>
            </w:r>
            <w:r>
              <w:rPr>
                <w:rFonts w:ascii="Times New Roman"/>
                <w:kern w:val="0"/>
                <w:sz w:val="21"/>
                <w:szCs w:val="21"/>
              </w:rPr>
              <w:t>%</w:t>
            </w:r>
          </w:p>
        </w:tc>
      </w:tr>
      <w:tr w14:paraId="18A5D261">
        <w:tblPrEx>
          <w:tblCellMar>
            <w:top w:w="0" w:type="dxa"/>
            <w:left w:w="108" w:type="dxa"/>
            <w:bottom w:w="0" w:type="dxa"/>
            <w:right w:w="108" w:type="dxa"/>
          </w:tblCellMar>
        </w:tblPrEx>
        <w:trPr>
          <w:trHeight w:val="363" w:hRule="atLeast"/>
        </w:trPr>
        <w:tc>
          <w:tcPr>
            <w:tcW w:w="702" w:type="pct"/>
            <w:vMerge w:val="restart"/>
            <w:tcBorders>
              <w:top w:val="nil"/>
              <w:left w:val="single" w:color="auto" w:sz="4" w:space="0"/>
              <w:bottom w:val="single" w:color="000000" w:sz="4" w:space="0"/>
              <w:right w:val="single" w:color="auto" w:sz="4" w:space="0"/>
            </w:tcBorders>
            <w:shd w:val="clear" w:color="auto" w:fill="auto"/>
            <w:noWrap/>
            <w:vAlign w:val="center"/>
          </w:tcPr>
          <w:p w14:paraId="4CFD75D0">
            <w:pPr>
              <w:widowControl/>
              <w:jc w:val="center"/>
              <w:rPr>
                <w:rFonts w:ascii="Times New Roman"/>
                <w:kern w:val="0"/>
                <w:sz w:val="21"/>
                <w:szCs w:val="21"/>
              </w:rPr>
            </w:pPr>
            <w:r>
              <w:rPr>
                <w:rFonts w:ascii="Times New Roman"/>
                <w:kern w:val="0"/>
                <w:sz w:val="21"/>
                <w:szCs w:val="21"/>
              </w:rPr>
              <w:t>SO</w:t>
            </w:r>
            <w:r>
              <w:rPr>
                <w:rFonts w:ascii="Times New Roman"/>
                <w:kern w:val="0"/>
                <w:sz w:val="21"/>
                <w:szCs w:val="21"/>
                <w:vertAlign w:val="subscript"/>
              </w:rPr>
              <w:t>4</w:t>
            </w:r>
            <w:r>
              <w:rPr>
                <w:rFonts w:ascii="Times New Roman"/>
                <w:kern w:val="0"/>
                <w:sz w:val="21"/>
                <w:szCs w:val="21"/>
                <w:vertAlign w:val="superscript"/>
              </w:rPr>
              <w:t>2-</w:t>
            </w:r>
          </w:p>
        </w:tc>
        <w:tc>
          <w:tcPr>
            <w:tcW w:w="693" w:type="pct"/>
            <w:tcBorders>
              <w:top w:val="nil"/>
              <w:left w:val="nil"/>
              <w:bottom w:val="single" w:color="auto" w:sz="4" w:space="0"/>
              <w:right w:val="single" w:color="auto" w:sz="4" w:space="0"/>
            </w:tcBorders>
            <w:shd w:val="clear" w:color="auto" w:fill="auto"/>
            <w:noWrap/>
            <w:vAlign w:val="center"/>
          </w:tcPr>
          <w:p w14:paraId="4B9FB9B8">
            <w:pPr>
              <w:widowControl/>
              <w:jc w:val="center"/>
              <w:rPr>
                <w:rFonts w:ascii="Times New Roman"/>
                <w:kern w:val="0"/>
                <w:sz w:val="21"/>
                <w:szCs w:val="21"/>
              </w:rPr>
            </w:pPr>
            <w:r>
              <w:rPr>
                <w:rFonts w:ascii="Times New Roman"/>
                <w:kern w:val="0"/>
                <w:sz w:val="21"/>
                <w:szCs w:val="21"/>
              </w:rPr>
              <w:t>mg/L</w:t>
            </w:r>
          </w:p>
        </w:tc>
        <w:tc>
          <w:tcPr>
            <w:tcW w:w="857" w:type="pct"/>
            <w:tcBorders>
              <w:top w:val="nil"/>
              <w:left w:val="nil"/>
              <w:bottom w:val="single" w:color="auto" w:sz="4" w:space="0"/>
              <w:right w:val="single" w:color="auto" w:sz="4" w:space="0"/>
            </w:tcBorders>
            <w:shd w:val="clear" w:color="auto" w:fill="auto"/>
            <w:noWrap/>
            <w:vAlign w:val="center"/>
          </w:tcPr>
          <w:p w14:paraId="258D345F">
            <w:pPr>
              <w:widowControl/>
              <w:jc w:val="center"/>
              <w:textAlignment w:val="center"/>
              <w:rPr>
                <w:rFonts w:ascii="Times New Roman" w:eastAsia="仿宋_GB2312"/>
                <w:sz w:val="21"/>
                <w:szCs w:val="21"/>
              </w:rPr>
            </w:pPr>
            <w:r>
              <w:rPr>
                <w:rFonts w:hint="eastAsia" w:ascii="Times New Roman" w:eastAsia="仿宋_GB2312"/>
                <w:sz w:val="21"/>
                <w:szCs w:val="21"/>
              </w:rPr>
              <w:t>368</w:t>
            </w:r>
          </w:p>
        </w:tc>
        <w:tc>
          <w:tcPr>
            <w:tcW w:w="857" w:type="pct"/>
            <w:tcBorders>
              <w:top w:val="nil"/>
              <w:left w:val="nil"/>
              <w:bottom w:val="single" w:color="auto" w:sz="4" w:space="0"/>
              <w:right w:val="single" w:color="auto" w:sz="4" w:space="0"/>
            </w:tcBorders>
            <w:shd w:val="clear" w:color="auto" w:fill="auto"/>
            <w:noWrap/>
            <w:vAlign w:val="center"/>
          </w:tcPr>
          <w:p w14:paraId="269F7783">
            <w:pPr>
              <w:widowControl/>
              <w:jc w:val="center"/>
              <w:textAlignment w:val="center"/>
              <w:rPr>
                <w:rFonts w:ascii="Times New Roman" w:eastAsia="仿宋_GB2312"/>
                <w:sz w:val="21"/>
                <w:szCs w:val="21"/>
              </w:rPr>
            </w:pPr>
            <w:r>
              <w:rPr>
                <w:rFonts w:hint="eastAsia" w:ascii="Times New Roman" w:eastAsia="仿宋_GB2312"/>
                <w:sz w:val="21"/>
                <w:szCs w:val="21"/>
              </w:rPr>
              <w:t>403</w:t>
            </w:r>
          </w:p>
        </w:tc>
        <w:tc>
          <w:tcPr>
            <w:tcW w:w="858" w:type="pct"/>
            <w:tcBorders>
              <w:top w:val="nil"/>
              <w:left w:val="nil"/>
              <w:bottom w:val="single" w:color="auto" w:sz="4" w:space="0"/>
              <w:right w:val="single" w:color="auto" w:sz="4" w:space="0"/>
            </w:tcBorders>
            <w:shd w:val="clear" w:color="auto" w:fill="auto"/>
            <w:noWrap/>
            <w:vAlign w:val="center"/>
          </w:tcPr>
          <w:p w14:paraId="2279DD98">
            <w:pPr>
              <w:widowControl/>
              <w:jc w:val="center"/>
              <w:textAlignment w:val="center"/>
              <w:rPr>
                <w:rFonts w:ascii="Times New Roman" w:eastAsia="仿宋_GB2312"/>
                <w:sz w:val="21"/>
                <w:szCs w:val="21"/>
              </w:rPr>
            </w:pPr>
            <w:r>
              <w:rPr>
                <w:rFonts w:hint="eastAsia" w:ascii="Times New Roman" w:eastAsia="仿宋_GB2312"/>
                <w:sz w:val="21"/>
                <w:szCs w:val="21"/>
              </w:rPr>
              <w:t>358</w:t>
            </w:r>
          </w:p>
        </w:tc>
        <w:tc>
          <w:tcPr>
            <w:tcW w:w="1030" w:type="pct"/>
            <w:tcBorders>
              <w:top w:val="nil"/>
              <w:left w:val="nil"/>
              <w:bottom w:val="single" w:color="auto" w:sz="4" w:space="0"/>
              <w:right w:val="single" w:color="auto" w:sz="4" w:space="0"/>
            </w:tcBorders>
            <w:shd w:val="clear" w:color="auto" w:fill="auto"/>
            <w:noWrap/>
            <w:vAlign w:val="center"/>
          </w:tcPr>
          <w:p w14:paraId="4D7659F2">
            <w:pPr>
              <w:widowControl/>
              <w:jc w:val="center"/>
              <w:textAlignment w:val="center"/>
              <w:rPr>
                <w:rFonts w:ascii="Times New Roman"/>
                <w:kern w:val="0"/>
                <w:sz w:val="21"/>
                <w:szCs w:val="21"/>
              </w:rPr>
            </w:pPr>
            <w:r>
              <w:rPr>
                <w:rFonts w:hint="eastAsia" w:ascii="Times New Roman"/>
                <w:kern w:val="0"/>
                <w:sz w:val="21"/>
                <w:szCs w:val="21"/>
              </w:rPr>
              <w:t>97.9</w:t>
            </w:r>
          </w:p>
        </w:tc>
      </w:tr>
      <w:tr w14:paraId="4E655AB6">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3B89A614">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52E7B9C8">
            <w:pPr>
              <w:widowControl/>
              <w:jc w:val="center"/>
              <w:rPr>
                <w:rFonts w:ascii="Times New Roman"/>
                <w:kern w:val="0"/>
                <w:sz w:val="21"/>
                <w:szCs w:val="21"/>
              </w:rPr>
            </w:pPr>
            <w:r>
              <w:rPr>
                <w:rFonts w:ascii="Times New Roman"/>
                <w:kern w:val="0"/>
                <w:sz w:val="21"/>
                <w:szCs w:val="21"/>
              </w:rPr>
              <w:t>meq/L</w:t>
            </w:r>
          </w:p>
        </w:tc>
        <w:tc>
          <w:tcPr>
            <w:tcW w:w="857" w:type="pct"/>
            <w:tcBorders>
              <w:top w:val="nil"/>
              <w:left w:val="nil"/>
              <w:bottom w:val="single" w:color="auto" w:sz="4" w:space="0"/>
              <w:right w:val="single" w:color="auto" w:sz="4" w:space="0"/>
            </w:tcBorders>
            <w:shd w:val="clear" w:color="auto" w:fill="auto"/>
            <w:noWrap/>
            <w:vAlign w:val="center"/>
          </w:tcPr>
          <w:p w14:paraId="2B882823">
            <w:pPr>
              <w:widowControl/>
              <w:jc w:val="center"/>
              <w:textAlignment w:val="center"/>
              <w:rPr>
                <w:rFonts w:ascii="Times New Roman"/>
                <w:sz w:val="21"/>
                <w:szCs w:val="21"/>
              </w:rPr>
            </w:pPr>
            <w:r>
              <w:rPr>
                <w:rFonts w:hint="eastAsia" w:ascii="Times New Roman"/>
                <w:kern w:val="0"/>
                <w:sz w:val="21"/>
                <w:szCs w:val="21"/>
              </w:rPr>
              <w:t>7.67</w:t>
            </w:r>
          </w:p>
        </w:tc>
        <w:tc>
          <w:tcPr>
            <w:tcW w:w="857" w:type="pct"/>
            <w:tcBorders>
              <w:top w:val="nil"/>
              <w:left w:val="nil"/>
              <w:bottom w:val="single" w:color="auto" w:sz="4" w:space="0"/>
              <w:right w:val="single" w:color="auto" w:sz="4" w:space="0"/>
            </w:tcBorders>
            <w:shd w:val="clear" w:color="auto" w:fill="auto"/>
            <w:noWrap/>
            <w:vAlign w:val="center"/>
          </w:tcPr>
          <w:p w14:paraId="223A28BF">
            <w:pPr>
              <w:widowControl/>
              <w:jc w:val="center"/>
              <w:textAlignment w:val="center"/>
              <w:rPr>
                <w:rFonts w:ascii="Times New Roman"/>
                <w:sz w:val="21"/>
                <w:szCs w:val="21"/>
              </w:rPr>
            </w:pPr>
            <w:r>
              <w:rPr>
                <w:rFonts w:hint="eastAsia" w:ascii="Times New Roman"/>
                <w:kern w:val="0"/>
                <w:sz w:val="21"/>
                <w:szCs w:val="21"/>
              </w:rPr>
              <w:t>8.40</w:t>
            </w:r>
          </w:p>
        </w:tc>
        <w:tc>
          <w:tcPr>
            <w:tcW w:w="858" w:type="pct"/>
            <w:tcBorders>
              <w:top w:val="nil"/>
              <w:left w:val="nil"/>
              <w:bottom w:val="single" w:color="auto" w:sz="4" w:space="0"/>
              <w:right w:val="single" w:color="auto" w:sz="4" w:space="0"/>
            </w:tcBorders>
            <w:shd w:val="clear" w:color="auto" w:fill="auto"/>
            <w:noWrap/>
            <w:vAlign w:val="center"/>
          </w:tcPr>
          <w:p w14:paraId="0F204E6F">
            <w:pPr>
              <w:widowControl/>
              <w:jc w:val="center"/>
              <w:textAlignment w:val="center"/>
              <w:rPr>
                <w:rFonts w:ascii="Times New Roman"/>
                <w:sz w:val="21"/>
                <w:szCs w:val="21"/>
              </w:rPr>
            </w:pPr>
            <w:r>
              <w:rPr>
                <w:rFonts w:hint="eastAsia" w:ascii="Times New Roman"/>
                <w:kern w:val="0"/>
                <w:sz w:val="21"/>
                <w:szCs w:val="21"/>
              </w:rPr>
              <w:t>7.46</w:t>
            </w:r>
          </w:p>
        </w:tc>
        <w:tc>
          <w:tcPr>
            <w:tcW w:w="1030" w:type="pct"/>
            <w:tcBorders>
              <w:top w:val="nil"/>
              <w:left w:val="nil"/>
              <w:bottom w:val="single" w:color="auto" w:sz="4" w:space="0"/>
              <w:right w:val="single" w:color="auto" w:sz="4" w:space="0"/>
            </w:tcBorders>
            <w:shd w:val="clear" w:color="auto" w:fill="auto"/>
            <w:noWrap/>
            <w:vAlign w:val="center"/>
          </w:tcPr>
          <w:p w14:paraId="2B1090AE">
            <w:pPr>
              <w:widowControl/>
              <w:jc w:val="center"/>
              <w:textAlignment w:val="center"/>
              <w:rPr>
                <w:rFonts w:ascii="Times New Roman"/>
                <w:kern w:val="0"/>
                <w:sz w:val="21"/>
                <w:szCs w:val="21"/>
              </w:rPr>
            </w:pPr>
            <w:r>
              <w:rPr>
                <w:rFonts w:hint="eastAsia" w:ascii="Times New Roman"/>
                <w:kern w:val="0"/>
                <w:sz w:val="21"/>
                <w:szCs w:val="21"/>
              </w:rPr>
              <w:t>2.04</w:t>
            </w:r>
          </w:p>
        </w:tc>
      </w:tr>
      <w:tr w14:paraId="614CF5C1">
        <w:tblPrEx>
          <w:tblCellMar>
            <w:top w:w="0" w:type="dxa"/>
            <w:left w:w="108" w:type="dxa"/>
            <w:bottom w:w="0" w:type="dxa"/>
            <w:right w:w="108" w:type="dxa"/>
          </w:tblCellMar>
        </w:tblPrEx>
        <w:trPr>
          <w:trHeight w:val="363" w:hRule="atLeast"/>
        </w:trPr>
        <w:tc>
          <w:tcPr>
            <w:tcW w:w="702" w:type="pct"/>
            <w:vMerge w:val="continue"/>
            <w:tcBorders>
              <w:top w:val="nil"/>
              <w:left w:val="single" w:color="auto" w:sz="4" w:space="0"/>
              <w:bottom w:val="single" w:color="000000" w:sz="4" w:space="0"/>
              <w:right w:val="single" w:color="auto" w:sz="4" w:space="0"/>
            </w:tcBorders>
            <w:vAlign w:val="center"/>
          </w:tcPr>
          <w:p w14:paraId="1D35EFA4">
            <w:pPr>
              <w:widowControl/>
              <w:jc w:val="left"/>
              <w:rPr>
                <w:rFonts w:ascii="Times New Roman"/>
                <w:kern w:val="0"/>
                <w:sz w:val="21"/>
                <w:szCs w:val="21"/>
              </w:rPr>
            </w:pPr>
          </w:p>
        </w:tc>
        <w:tc>
          <w:tcPr>
            <w:tcW w:w="693" w:type="pct"/>
            <w:tcBorders>
              <w:top w:val="nil"/>
              <w:left w:val="nil"/>
              <w:bottom w:val="single" w:color="auto" w:sz="4" w:space="0"/>
              <w:right w:val="single" w:color="auto" w:sz="4" w:space="0"/>
            </w:tcBorders>
            <w:shd w:val="clear" w:color="auto" w:fill="auto"/>
            <w:noWrap/>
            <w:vAlign w:val="center"/>
          </w:tcPr>
          <w:p w14:paraId="2D20EFB4">
            <w:pPr>
              <w:widowControl/>
              <w:jc w:val="center"/>
              <w:rPr>
                <w:rFonts w:ascii="Times New Roman"/>
                <w:kern w:val="0"/>
                <w:sz w:val="21"/>
                <w:szCs w:val="21"/>
              </w:rPr>
            </w:pP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1B5A1B95">
            <w:pPr>
              <w:widowControl/>
              <w:jc w:val="center"/>
              <w:textAlignment w:val="center"/>
              <w:rPr>
                <w:rFonts w:ascii="Times New Roman"/>
                <w:sz w:val="21"/>
                <w:szCs w:val="21"/>
              </w:rPr>
            </w:pPr>
            <w:r>
              <w:rPr>
                <w:rFonts w:hint="eastAsia" w:ascii="Times New Roman"/>
                <w:kern w:val="0"/>
                <w:sz w:val="21"/>
                <w:szCs w:val="21"/>
              </w:rPr>
              <w:t>2.54</w:t>
            </w:r>
            <w:r>
              <w:rPr>
                <w:rFonts w:ascii="Times New Roman"/>
                <w:kern w:val="0"/>
                <w:sz w:val="21"/>
                <w:szCs w:val="21"/>
              </w:rPr>
              <w:t>%</w:t>
            </w:r>
          </w:p>
        </w:tc>
        <w:tc>
          <w:tcPr>
            <w:tcW w:w="857" w:type="pct"/>
            <w:tcBorders>
              <w:top w:val="nil"/>
              <w:left w:val="nil"/>
              <w:bottom w:val="single" w:color="auto" w:sz="4" w:space="0"/>
              <w:right w:val="single" w:color="auto" w:sz="4" w:space="0"/>
            </w:tcBorders>
            <w:shd w:val="clear" w:color="auto" w:fill="auto"/>
            <w:noWrap/>
            <w:vAlign w:val="center"/>
          </w:tcPr>
          <w:p w14:paraId="16857A4D">
            <w:pPr>
              <w:widowControl/>
              <w:jc w:val="center"/>
              <w:textAlignment w:val="center"/>
              <w:rPr>
                <w:rFonts w:ascii="Times New Roman"/>
                <w:sz w:val="21"/>
                <w:szCs w:val="21"/>
              </w:rPr>
            </w:pPr>
            <w:r>
              <w:rPr>
                <w:rFonts w:hint="eastAsia" w:ascii="Times New Roman"/>
                <w:kern w:val="0"/>
                <w:sz w:val="21"/>
                <w:szCs w:val="21"/>
              </w:rPr>
              <w:t>2.88</w:t>
            </w:r>
            <w:r>
              <w:rPr>
                <w:rFonts w:ascii="Times New Roman"/>
                <w:kern w:val="0"/>
                <w:sz w:val="21"/>
                <w:szCs w:val="21"/>
              </w:rPr>
              <w:t>%</w:t>
            </w:r>
          </w:p>
        </w:tc>
        <w:tc>
          <w:tcPr>
            <w:tcW w:w="858" w:type="pct"/>
            <w:tcBorders>
              <w:top w:val="nil"/>
              <w:left w:val="nil"/>
              <w:bottom w:val="single" w:color="auto" w:sz="4" w:space="0"/>
              <w:right w:val="single" w:color="auto" w:sz="4" w:space="0"/>
            </w:tcBorders>
            <w:shd w:val="clear" w:color="auto" w:fill="auto"/>
            <w:noWrap/>
            <w:vAlign w:val="center"/>
          </w:tcPr>
          <w:p w14:paraId="3C27FEF3">
            <w:pPr>
              <w:widowControl/>
              <w:jc w:val="center"/>
              <w:textAlignment w:val="center"/>
              <w:rPr>
                <w:rFonts w:ascii="Times New Roman"/>
                <w:sz w:val="21"/>
                <w:szCs w:val="21"/>
              </w:rPr>
            </w:pPr>
            <w:r>
              <w:rPr>
                <w:rFonts w:hint="eastAsia" w:ascii="Times New Roman"/>
                <w:kern w:val="0"/>
                <w:sz w:val="21"/>
                <w:szCs w:val="21"/>
              </w:rPr>
              <w:t>2.52</w:t>
            </w:r>
            <w:r>
              <w:rPr>
                <w:rFonts w:ascii="Times New Roman"/>
                <w:kern w:val="0"/>
                <w:sz w:val="21"/>
                <w:szCs w:val="21"/>
              </w:rPr>
              <w:t>%</w:t>
            </w:r>
          </w:p>
        </w:tc>
        <w:tc>
          <w:tcPr>
            <w:tcW w:w="1030" w:type="pct"/>
            <w:tcBorders>
              <w:top w:val="nil"/>
              <w:left w:val="nil"/>
              <w:bottom w:val="single" w:color="auto" w:sz="4" w:space="0"/>
              <w:right w:val="single" w:color="auto" w:sz="4" w:space="0"/>
            </w:tcBorders>
            <w:shd w:val="clear" w:color="auto" w:fill="auto"/>
            <w:noWrap/>
            <w:vAlign w:val="center"/>
          </w:tcPr>
          <w:p w14:paraId="34C7C4C3">
            <w:pPr>
              <w:widowControl/>
              <w:jc w:val="center"/>
              <w:textAlignment w:val="center"/>
              <w:rPr>
                <w:rFonts w:ascii="Times New Roman"/>
                <w:kern w:val="0"/>
                <w:sz w:val="21"/>
                <w:szCs w:val="21"/>
              </w:rPr>
            </w:pPr>
            <w:r>
              <w:rPr>
                <w:rFonts w:hint="eastAsia" w:ascii="Times New Roman"/>
                <w:kern w:val="0"/>
                <w:sz w:val="21"/>
                <w:szCs w:val="21"/>
              </w:rPr>
              <w:t>13.52</w:t>
            </w:r>
            <w:r>
              <w:rPr>
                <w:rFonts w:ascii="Times New Roman"/>
                <w:kern w:val="0"/>
                <w:sz w:val="21"/>
                <w:szCs w:val="21"/>
              </w:rPr>
              <w:t>%</w:t>
            </w:r>
          </w:p>
        </w:tc>
      </w:tr>
      <w:tr w14:paraId="2647567B">
        <w:tblPrEx>
          <w:tblCellMar>
            <w:top w:w="0" w:type="dxa"/>
            <w:left w:w="108" w:type="dxa"/>
            <w:bottom w:w="0" w:type="dxa"/>
            <w:right w:w="108" w:type="dxa"/>
          </w:tblCellMar>
        </w:tblPrEx>
        <w:trPr>
          <w:trHeight w:val="363" w:hRule="atLeast"/>
        </w:trPr>
        <w:tc>
          <w:tcPr>
            <w:tcW w:w="13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8782208">
            <w:pPr>
              <w:widowControl/>
              <w:jc w:val="center"/>
              <w:rPr>
                <w:rFonts w:ascii="Times New Roman"/>
                <w:kern w:val="0"/>
                <w:sz w:val="21"/>
                <w:szCs w:val="21"/>
              </w:rPr>
            </w:pPr>
            <w:r>
              <w:rPr>
                <w:rFonts w:ascii="Times New Roman"/>
                <w:kern w:val="0"/>
                <w:sz w:val="21"/>
                <w:szCs w:val="21"/>
              </w:rPr>
              <w:t>水化学类型</w:t>
            </w:r>
          </w:p>
        </w:tc>
        <w:tc>
          <w:tcPr>
            <w:tcW w:w="857" w:type="pct"/>
            <w:tcBorders>
              <w:top w:val="nil"/>
              <w:left w:val="nil"/>
              <w:bottom w:val="single" w:color="auto" w:sz="4" w:space="0"/>
              <w:right w:val="single" w:color="auto" w:sz="4" w:space="0"/>
            </w:tcBorders>
            <w:shd w:val="clear" w:color="auto" w:fill="auto"/>
            <w:noWrap/>
            <w:vAlign w:val="center"/>
          </w:tcPr>
          <w:p w14:paraId="3486017F">
            <w:pPr>
              <w:widowControl/>
              <w:jc w:val="center"/>
              <w:rPr>
                <w:rFonts w:ascii="Times New Roman"/>
                <w:kern w:val="0"/>
                <w:sz w:val="21"/>
                <w:szCs w:val="21"/>
              </w:rPr>
            </w:pPr>
            <w:r>
              <w:rPr>
                <w:rFonts w:ascii="Times New Roman"/>
                <w:kern w:val="0"/>
                <w:sz w:val="21"/>
                <w:szCs w:val="21"/>
              </w:rPr>
              <w:t>Cl—Na</w:t>
            </w:r>
          </w:p>
        </w:tc>
        <w:tc>
          <w:tcPr>
            <w:tcW w:w="857" w:type="pct"/>
            <w:tcBorders>
              <w:top w:val="nil"/>
              <w:left w:val="nil"/>
              <w:bottom w:val="single" w:color="auto" w:sz="4" w:space="0"/>
              <w:right w:val="single" w:color="auto" w:sz="4" w:space="0"/>
            </w:tcBorders>
            <w:shd w:val="clear" w:color="auto" w:fill="auto"/>
            <w:noWrap/>
            <w:vAlign w:val="center"/>
          </w:tcPr>
          <w:p w14:paraId="067C34CC">
            <w:pPr>
              <w:widowControl/>
              <w:jc w:val="center"/>
              <w:rPr>
                <w:rFonts w:ascii="Times New Roman"/>
                <w:kern w:val="0"/>
                <w:sz w:val="21"/>
                <w:szCs w:val="21"/>
              </w:rPr>
            </w:pPr>
            <w:r>
              <w:rPr>
                <w:rFonts w:ascii="Times New Roman"/>
                <w:kern w:val="0"/>
                <w:sz w:val="21"/>
                <w:szCs w:val="21"/>
              </w:rPr>
              <w:t>Cl—Na</w:t>
            </w:r>
          </w:p>
        </w:tc>
        <w:tc>
          <w:tcPr>
            <w:tcW w:w="858" w:type="pct"/>
            <w:tcBorders>
              <w:top w:val="nil"/>
              <w:left w:val="nil"/>
              <w:bottom w:val="single" w:color="auto" w:sz="4" w:space="0"/>
              <w:right w:val="single" w:color="auto" w:sz="4" w:space="0"/>
            </w:tcBorders>
            <w:shd w:val="clear" w:color="auto" w:fill="auto"/>
            <w:noWrap/>
            <w:vAlign w:val="center"/>
          </w:tcPr>
          <w:p w14:paraId="0E5C713C">
            <w:pPr>
              <w:widowControl/>
              <w:jc w:val="center"/>
              <w:rPr>
                <w:rFonts w:ascii="Times New Roman"/>
                <w:kern w:val="0"/>
                <w:sz w:val="21"/>
                <w:szCs w:val="21"/>
              </w:rPr>
            </w:pPr>
            <w:r>
              <w:rPr>
                <w:rFonts w:ascii="Times New Roman"/>
                <w:kern w:val="0"/>
                <w:sz w:val="21"/>
                <w:szCs w:val="21"/>
              </w:rPr>
              <w:t>Cl—Na</w:t>
            </w:r>
          </w:p>
        </w:tc>
        <w:tc>
          <w:tcPr>
            <w:tcW w:w="1030" w:type="pct"/>
            <w:tcBorders>
              <w:top w:val="nil"/>
              <w:left w:val="nil"/>
              <w:bottom w:val="single" w:color="auto" w:sz="4" w:space="0"/>
              <w:right w:val="single" w:color="auto" w:sz="4" w:space="0"/>
            </w:tcBorders>
            <w:shd w:val="clear" w:color="auto" w:fill="auto"/>
            <w:noWrap/>
            <w:vAlign w:val="center"/>
          </w:tcPr>
          <w:p w14:paraId="002D71AC">
            <w:pPr>
              <w:widowControl/>
              <w:jc w:val="center"/>
              <w:rPr>
                <w:rFonts w:ascii="Times New Roman"/>
                <w:kern w:val="0"/>
                <w:sz w:val="21"/>
                <w:szCs w:val="21"/>
              </w:rPr>
            </w:pPr>
            <w:r>
              <w:rPr>
                <w:rFonts w:ascii="Times New Roman"/>
                <w:kern w:val="0"/>
                <w:sz w:val="21"/>
                <w:szCs w:val="21"/>
              </w:rPr>
              <w:t>HCO</w:t>
            </w:r>
            <w:r>
              <w:rPr>
                <w:rFonts w:ascii="Times New Roman"/>
                <w:kern w:val="0"/>
                <w:sz w:val="21"/>
                <w:szCs w:val="21"/>
                <w:vertAlign w:val="subscript"/>
              </w:rPr>
              <w:t>3</w:t>
            </w:r>
            <w:r>
              <w:rPr>
                <w:rFonts w:ascii="Times New Roman"/>
                <w:sz w:val="21"/>
                <w:szCs w:val="21"/>
              </w:rPr>
              <w:t>·</w:t>
            </w:r>
            <w:r>
              <w:rPr>
                <w:rFonts w:ascii="Times New Roman"/>
                <w:kern w:val="0"/>
                <w:sz w:val="21"/>
                <w:szCs w:val="21"/>
              </w:rPr>
              <w:t>Cl—</w:t>
            </w:r>
            <w:r>
              <w:rPr>
                <w:rFonts w:ascii="Times New Roman"/>
                <w:sz w:val="21"/>
                <w:szCs w:val="21"/>
              </w:rPr>
              <w:t>Na·</w:t>
            </w:r>
            <w:r>
              <w:rPr>
                <w:rFonts w:ascii="Times New Roman"/>
                <w:kern w:val="0"/>
                <w:sz w:val="21"/>
                <w:szCs w:val="21"/>
              </w:rPr>
              <w:t>Ca</w:t>
            </w:r>
          </w:p>
        </w:tc>
      </w:tr>
    </w:tbl>
    <w:p w14:paraId="6EE798BD">
      <w:pPr>
        <w:spacing w:line="480" w:lineRule="exact"/>
        <w:ind w:firstLine="480" w:firstLineChars="200"/>
        <w:rPr>
          <w:rFonts w:ascii="Times New Roman"/>
          <w:sz w:val="24"/>
          <w:szCs w:val="24"/>
        </w:rPr>
      </w:pPr>
      <w:r>
        <w:rPr>
          <w:rFonts w:ascii="Times New Roman"/>
          <w:sz w:val="24"/>
          <w:szCs w:val="24"/>
        </w:rPr>
        <w:t>由上表可知</w:t>
      </w:r>
      <w:r>
        <w:rPr>
          <w:rFonts w:ascii="Times New Roman"/>
          <w:sz w:val="24"/>
          <w:szCs w:val="24"/>
          <w:lang w:val="it-IT"/>
        </w:rPr>
        <w:t>，</w:t>
      </w:r>
      <w:r>
        <w:rPr>
          <w:rFonts w:ascii="Times New Roman"/>
          <w:sz w:val="24"/>
          <w:szCs w:val="24"/>
        </w:rPr>
        <w:t>该区浅层地下水化学类型主要为</w:t>
      </w:r>
      <w:r>
        <w:rPr>
          <w:rFonts w:ascii="Times New Roman"/>
          <w:kern w:val="0"/>
          <w:sz w:val="24"/>
          <w:szCs w:val="24"/>
        </w:rPr>
        <w:t>Cl-Na</w:t>
      </w:r>
      <w:r>
        <w:rPr>
          <w:rFonts w:ascii="Times New Roman"/>
          <w:sz w:val="24"/>
          <w:szCs w:val="24"/>
        </w:rPr>
        <w:t>型水</w:t>
      </w:r>
      <w:r>
        <w:rPr>
          <w:rFonts w:hint="eastAsia" w:ascii="Times New Roman"/>
          <w:sz w:val="24"/>
          <w:szCs w:val="24"/>
        </w:rPr>
        <w:t>；深</w:t>
      </w:r>
      <w:r>
        <w:rPr>
          <w:rFonts w:ascii="Times New Roman"/>
          <w:sz w:val="24"/>
          <w:szCs w:val="24"/>
        </w:rPr>
        <w:t>层地下水化学类型主要为HCO</w:t>
      </w:r>
      <w:r>
        <w:rPr>
          <w:rFonts w:ascii="Times New Roman"/>
          <w:sz w:val="24"/>
          <w:szCs w:val="24"/>
          <w:vertAlign w:val="subscript"/>
        </w:rPr>
        <w:t>3</w:t>
      </w:r>
      <w:r>
        <w:rPr>
          <w:rFonts w:ascii="Times New Roman"/>
          <w:sz w:val="24"/>
          <w:szCs w:val="24"/>
        </w:rPr>
        <w:t>·Cl—Na·Ca型水。</w:t>
      </w:r>
    </w:p>
    <w:p w14:paraId="4C3F8AB6">
      <w:pPr>
        <w:spacing w:line="460" w:lineRule="exact"/>
        <w:rPr>
          <w:rFonts w:ascii="Times New Roman"/>
          <w:b/>
          <w:sz w:val="24"/>
          <w:szCs w:val="24"/>
        </w:rPr>
      </w:pPr>
      <w:r>
        <w:rPr>
          <w:rFonts w:ascii="Times New Roman"/>
          <w:b/>
          <w:sz w:val="24"/>
          <w:szCs w:val="24"/>
        </w:rPr>
        <w:t>4.2.4.5地下水质量现状评价结果</w:t>
      </w:r>
    </w:p>
    <w:p w14:paraId="2CF4FD2F">
      <w:pPr>
        <w:widowControl/>
        <w:spacing w:line="480" w:lineRule="exact"/>
        <w:ind w:firstLine="500" w:firstLineChars="200"/>
        <w:rPr>
          <w:rFonts w:ascii="Times New Roman"/>
          <w:snapToGrid w:val="0"/>
          <w:kern w:val="0"/>
          <w:sz w:val="24"/>
          <w:szCs w:val="24"/>
        </w:rPr>
      </w:pPr>
      <w:r>
        <w:rPr>
          <w:rFonts w:ascii="Times New Roman"/>
          <w:szCs w:val="24"/>
        </w:rPr>
        <w:t>由表4.</w:t>
      </w:r>
      <w:r>
        <w:rPr>
          <w:rFonts w:hint="eastAsia" w:ascii="Times New Roman"/>
          <w:szCs w:val="24"/>
        </w:rPr>
        <w:t>2</w:t>
      </w:r>
      <w:r>
        <w:rPr>
          <w:rFonts w:ascii="Times New Roman"/>
          <w:szCs w:val="24"/>
        </w:rPr>
        <w:t>-</w:t>
      </w:r>
      <w:r>
        <w:rPr>
          <w:rFonts w:hint="eastAsia" w:ascii="Times New Roman"/>
          <w:szCs w:val="24"/>
        </w:rPr>
        <w:t>9</w:t>
      </w:r>
      <w:r>
        <w:rPr>
          <w:rFonts w:ascii="Times New Roman"/>
          <w:szCs w:val="24"/>
        </w:rPr>
        <w:t>可知，承压水各因子均符合《地下水质量标准》（GB/T14848-2017）Ⅲ类标准，石油类符合《地表水环境质量标准》（GB3838-2002）Ⅲ类水质标准。</w:t>
      </w:r>
    </w:p>
    <w:p w14:paraId="6C951BC1">
      <w:pPr>
        <w:widowControl/>
        <w:spacing w:line="480" w:lineRule="exact"/>
        <w:ind w:firstLine="480" w:firstLineChars="200"/>
        <w:rPr>
          <w:rFonts w:ascii="Times New Roman"/>
          <w:snapToGrid w:val="0"/>
          <w:szCs w:val="20"/>
        </w:rPr>
      </w:pPr>
      <w:r>
        <w:rPr>
          <w:rFonts w:ascii="Times New Roman"/>
          <w:snapToGrid w:val="0"/>
          <w:kern w:val="0"/>
          <w:sz w:val="24"/>
          <w:szCs w:val="24"/>
        </w:rPr>
        <w:t>评价区</w:t>
      </w:r>
      <w:r>
        <w:rPr>
          <w:rFonts w:hint="eastAsia" w:ascii="Times New Roman"/>
          <w:snapToGrid w:val="0"/>
          <w:kern w:val="0"/>
          <w:sz w:val="24"/>
          <w:szCs w:val="24"/>
        </w:rPr>
        <w:t>浅</w:t>
      </w:r>
      <w:r>
        <w:rPr>
          <w:rFonts w:ascii="Times New Roman"/>
          <w:snapToGrid w:val="0"/>
          <w:kern w:val="0"/>
          <w:sz w:val="24"/>
          <w:szCs w:val="24"/>
        </w:rPr>
        <w:t>水水质超标因子为：</w:t>
      </w:r>
      <w:r>
        <w:rPr>
          <w:rFonts w:ascii="Times New Roman"/>
          <w:kern w:val="0"/>
          <w:sz w:val="24"/>
          <w:szCs w:val="24"/>
        </w:rPr>
        <w:t>总硬度、溶解性总固体、</w:t>
      </w:r>
      <w:r>
        <w:rPr>
          <w:rFonts w:hint="eastAsia" w:ascii="Times New Roman"/>
          <w:kern w:val="0"/>
          <w:sz w:val="24"/>
          <w:szCs w:val="24"/>
        </w:rPr>
        <w:t>钠、氯化物和硫酸盐</w:t>
      </w:r>
      <w:r>
        <w:rPr>
          <w:rFonts w:ascii="Times New Roman"/>
          <w:kern w:val="0"/>
          <w:sz w:val="24"/>
          <w:szCs w:val="24"/>
        </w:rPr>
        <w:t>。</w:t>
      </w:r>
      <w:r>
        <w:rPr>
          <w:rFonts w:ascii="Times New Roman"/>
          <w:snapToGrid w:val="0"/>
          <w:kern w:val="0"/>
          <w:sz w:val="24"/>
          <w:szCs w:val="24"/>
        </w:rPr>
        <w:t>其他各监测因子均满足《地下水质量标准》（GB/T14848-2017）Ⅲ类标准要求，石油类满足</w:t>
      </w:r>
      <w:r>
        <w:rPr>
          <w:rFonts w:ascii="Times New Roman"/>
          <w:sz w:val="24"/>
          <w:szCs w:val="24"/>
        </w:rPr>
        <w:t>《地表水环境质量标准》（GB3838-2002）III类标准</w:t>
      </w:r>
      <w:r>
        <w:rPr>
          <w:rFonts w:ascii="Times New Roman"/>
          <w:snapToGrid w:val="0"/>
          <w:kern w:val="0"/>
          <w:sz w:val="24"/>
          <w:szCs w:val="24"/>
        </w:rPr>
        <w:t>。</w:t>
      </w:r>
      <w:r>
        <w:rPr>
          <w:rFonts w:ascii="Times New Roman"/>
          <w:sz w:val="24"/>
        </w:rPr>
        <w:t>评价区域的上部地层为人工吹填造陆形成，其受潜水蒸发和海侵影响，浅层地下水与海水直接存在密切的联系，因此其浅层地下水多为咸水，这也是浅层地下水总硬度、溶解性总固体、</w:t>
      </w:r>
      <w:r>
        <w:rPr>
          <w:rFonts w:hint="eastAsia" w:ascii="Times New Roman"/>
          <w:sz w:val="24"/>
        </w:rPr>
        <w:t>钠、</w:t>
      </w:r>
      <w:r>
        <w:rPr>
          <w:rFonts w:ascii="Times New Roman"/>
          <w:sz w:val="24"/>
        </w:rPr>
        <w:t>氯化物</w:t>
      </w:r>
      <w:r>
        <w:rPr>
          <w:rFonts w:hint="eastAsia" w:ascii="Times New Roman"/>
          <w:sz w:val="24"/>
        </w:rPr>
        <w:t>和硫酸盐</w:t>
      </w:r>
      <w:r>
        <w:rPr>
          <w:rFonts w:ascii="Times New Roman"/>
          <w:sz w:val="24"/>
        </w:rPr>
        <w:t>等因子浓度偏大的根本原因</w:t>
      </w:r>
      <w:r>
        <w:rPr>
          <w:rFonts w:ascii="Times New Roman"/>
          <w:snapToGrid w:val="0"/>
          <w:kern w:val="0"/>
          <w:sz w:val="24"/>
          <w:szCs w:val="24"/>
        </w:rPr>
        <w:t>。</w:t>
      </w:r>
    </w:p>
    <w:p w14:paraId="3D037E6F">
      <w:pPr>
        <w:spacing w:line="480" w:lineRule="exact"/>
        <w:ind w:firstLine="480" w:firstLineChars="200"/>
        <w:rPr>
          <w:rFonts w:ascii="Times New Roman"/>
          <w:sz w:val="24"/>
          <w:szCs w:val="24"/>
        </w:rPr>
      </w:pPr>
      <w:r>
        <w:rPr>
          <w:rFonts w:ascii="Times New Roman"/>
          <w:sz w:val="24"/>
          <w:szCs w:val="24"/>
        </w:rPr>
        <w:t>该区</w:t>
      </w:r>
      <w:r>
        <w:rPr>
          <w:rFonts w:ascii="Times New Roman"/>
          <w:sz w:val="24"/>
          <w:szCs w:val="24"/>
          <w:lang w:val="en"/>
        </w:rPr>
        <w:t>浅层地下水</w:t>
      </w:r>
      <w:r>
        <w:rPr>
          <w:rFonts w:ascii="Times New Roman"/>
          <w:sz w:val="24"/>
          <w:szCs w:val="24"/>
        </w:rPr>
        <w:t>化学类型主要为</w:t>
      </w:r>
      <w:r>
        <w:rPr>
          <w:rFonts w:ascii="Times New Roman"/>
          <w:kern w:val="0"/>
          <w:sz w:val="24"/>
          <w:szCs w:val="24"/>
        </w:rPr>
        <w:t>Cl-Na</w:t>
      </w:r>
      <w:r>
        <w:rPr>
          <w:rFonts w:ascii="Times New Roman"/>
          <w:sz w:val="24"/>
          <w:szCs w:val="24"/>
        </w:rPr>
        <w:t>型水。</w:t>
      </w:r>
    </w:p>
    <w:p w14:paraId="5DA6958F">
      <w:pPr>
        <w:spacing w:line="480" w:lineRule="exact"/>
        <w:outlineLvl w:val="2"/>
        <w:rPr>
          <w:rFonts w:ascii="Times New Roman"/>
          <w:b/>
          <w:sz w:val="28"/>
          <w:szCs w:val="28"/>
        </w:rPr>
      </w:pPr>
      <w:r>
        <w:rPr>
          <w:rFonts w:ascii="Times New Roman"/>
          <w:b/>
          <w:sz w:val="28"/>
          <w:szCs w:val="28"/>
        </w:rPr>
        <w:t>4.2.3声环境质量现状监测与评价</w:t>
      </w:r>
    </w:p>
    <w:p w14:paraId="683EE72A">
      <w:pPr>
        <w:pStyle w:val="961"/>
        <w:ind w:firstLine="520"/>
      </w:pPr>
      <w:r>
        <w:t>项目声</w:t>
      </w:r>
      <w:r>
        <w:rPr>
          <w:rFonts w:hint="eastAsia"/>
          <w:lang w:eastAsia="zh-CN"/>
        </w:rPr>
        <w:t>环境</w:t>
      </w:r>
      <w:r>
        <w:t>质量现状委托河北</w:t>
      </w:r>
      <w:r>
        <w:rPr>
          <w:rFonts w:hint="eastAsia"/>
        </w:rPr>
        <w:t>恒丰监测技术服务</w:t>
      </w:r>
      <w:r>
        <w:t>有限公司进行监测，报告编号：</w:t>
      </w:r>
      <w:r>
        <w:rPr>
          <w:rFonts w:hint="eastAsia"/>
        </w:rPr>
        <w:t>HFHJ(2024)WT1444</w:t>
      </w:r>
      <w:r>
        <w:t>，监测采用时间为202</w:t>
      </w:r>
      <w:r>
        <w:rPr>
          <w:rFonts w:hint="eastAsia"/>
        </w:rPr>
        <w:t>4</w:t>
      </w:r>
      <w:r>
        <w:t>年</w:t>
      </w:r>
      <w:r>
        <w:rPr>
          <w:rFonts w:hint="eastAsia"/>
        </w:rPr>
        <w:t>12</w:t>
      </w:r>
      <w:r>
        <w:t>月</w:t>
      </w:r>
      <w:r>
        <w:rPr>
          <w:rFonts w:hint="eastAsia"/>
        </w:rPr>
        <w:t>7</w:t>
      </w:r>
      <w:r>
        <w:t>日</w:t>
      </w:r>
      <w:r>
        <w:rPr>
          <w:rFonts w:hint="eastAsia"/>
        </w:rPr>
        <w:t>-2024</w:t>
      </w:r>
      <w:r>
        <w:t>年</w:t>
      </w:r>
      <w:r>
        <w:rPr>
          <w:rFonts w:hint="eastAsia"/>
        </w:rPr>
        <w:t>12</w:t>
      </w:r>
      <w:r>
        <w:t>月</w:t>
      </w:r>
      <w:r>
        <w:rPr>
          <w:rFonts w:hint="eastAsia"/>
        </w:rPr>
        <w:t>8</w:t>
      </w:r>
      <w:r>
        <w:t>日。</w:t>
      </w:r>
    </w:p>
    <w:p w14:paraId="41289FB5">
      <w:pPr>
        <w:spacing w:line="520" w:lineRule="exact"/>
        <w:rPr>
          <w:rFonts w:ascii="Times New Roman"/>
          <w:b/>
          <w:sz w:val="24"/>
          <w:szCs w:val="24"/>
        </w:rPr>
      </w:pPr>
      <w:r>
        <w:rPr>
          <w:rFonts w:ascii="Times New Roman"/>
          <w:b/>
          <w:sz w:val="24"/>
          <w:szCs w:val="24"/>
        </w:rPr>
        <w:t>4.2.3.1声环境质量现状监测</w:t>
      </w:r>
    </w:p>
    <w:p w14:paraId="05604D70">
      <w:pPr>
        <w:spacing w:line="480" w:lineRule="exact"/>
        <w:ind w:firstLine="480" w:firstLineChars="200"/>
        <w:rPr>
          <w:rFonts w:ascii="Times New Roman"/>
          <w:sz w:val="24"/>
          <w:szCs w:val="24"/>
        </w:rPr>
      </w:pPr>
      <w:r>
        <w:rPr>
          <w:rFonts w:ascii="Times New Roman"/>
          <w:sz w:val="24"/>
          <w:szCs w:val="24"/>
        </w:rPr>
        <w:t>（1）监测点及监测因子</w:t>
      </w:r>
    </w:p>
    <w:p w14:paraId="2B516027">
      <w:pPr>
        <w:spacing w:line="480" w:lineRule="exact"/>
        <w:ind w:firstLine="480" w:firstLineChars="200"/>
        <w:rPr>
          <w:rFonts w:ascii="Times New Roman"/>
          <w:sz w:val="24"/>
          <w:szCs w:val="24"/>
        </w:rPr>
      </w:pPr>
      <w:r>
        <w:rPr>
          <w:rFonts w:ascii="Times New Roman"/>
          <w:sz w:val="24"/>
          <w:szCs w:val="24"/>
        </w:rPr>
        <w:t>项目共设4个噪声监测点，分别布设在：项目厂区东、南、西、北厂界外，监测因子为等效连续A声级（Leq）。</w:t>
      </w:r>
    </w:p>
    <w:p w14:paraId="4D63A7AD">
      <w:pPr>
        <w:spacing w:line="480" w:lineRule="exact"/>
        <w:ind w:firstLine="480" w:firstLineChars="200"/>
        <w:rPr>
          <w:rFonts w:ascii="Times New Roman"/>
          <w:sz w:val="24"/>
          <w:szCs w:val="24"/>
        </w:rPr>
      </w:pPr>
      <w:r>
        <w:rPr>
          <w:rFonts w:ascii="Times New Roman"/>
          <w:sz w:val="24"/>
          <w:szCs w:val="24"/>
        </w:rPr>
        <w:t>（2）监测时间及频率</w:t>
      </w:r>
    </w:p>
    <w:p w14:paraId="1A782E3E">
      <w:pPr>
        <w:spacing w:line="480" w:lineRule="exact"/>
        <w:ind w:firstLine="480" w:firstLineChars="200"/>
        <w:rPr>
          <w:rFonts w:ascii="Times New Roman"/>
          <w:sz w:val="24"/>
          <w:szCs w:val="24"/>
        </w:rPr>
      </w:pPr>
      <w:r>
        <w:rPr>
          <w:rFonts w:ascii="Times New Roman"/>
          <w:sz w:val="24"/>
          <w:szCs w:val="24"/>
        </w:rPr>
        <w:t>监测</w:t>
      </w:r>
      <w:r>
        <w:rPr>
          <w:rFonts w:hint="eastAsia" w:ascii="Times New Roman"/>
          <w:sz w:val="24"/>
          <w:szCs w:val="24"/>
        </w:rPr>
        <w:t>2</w:t>
      </w:r>
      <w:r>
        <w:rPr>
          <w:rFonts w:ascii="Times New Roman"/>
          <w:sz w:val="24"/>
          <w:szCs w:val="24"/>
        </w:rPr>
        <w:t>天，昼间、夜间各监测一次。</w:t>
      </w:r>
    </w:p>
    <w:p w14:paraId="75D3760F">
      <w:pPr>
        <w:spacing w:line="480" w:lineRule="exact"/>
        <w:ind w:firstLine="480" w:firstLineChars="200"/>
        <w:rPr>
          <w:rFonts w:ascii="Times New Roman"/>
          <w:sz w:val="24"/>
          <w:szCs w:val="24"/>
        </w:rPr>
      </w:pPr>
      <w:r>
        <w:rPr>
          <w:rFonts w:ascii="Times New Roman"/>
          <w:sz w:val="24"/>
          <w:szCs w:val="24"/>
        </w:rPr>
        <w:t>（3）监测方法</w:t>
      </w:r>
    </w:p>
    <w:p w14:paraId="4C4A5138">
      <w:pPr>
        <w:spacing w:line="480" w:lineRule="exact"/>
        <w:ind w:firstLine="480" w:firstLineChars="200"/>
        <w:rPr>
          <w:rFonts w:ascii="Times New Roman"/>
          <w:sz w:val="24"/>
          <w:szCs w:val="24"/>
        </w:rPr>
      </w:pPr>
      <w:r>
        <w:rPr>
          <w:rFonts w:ascii="Times New Roman"/>
          <w:sz w:val="24"/>
          <w:szCs w:val="24"/>
        </w:rPr>
        <w:t>按照《声环境质量标准》（GB3096-2008）中要求的方法进行测量。</w:t>
      </w:r>
    </w:p>
    <w:p w14:paraId="5BC1CD54">
      <w:pPr>
        <w:spacing w:line="520" w:lineRule="exact"/>
        <w:rPr>
          <w:rFonts w:ascii="Times New Roman"/>
          <w:b/>
          <w:sz w:val="24"/>
          <w:szCs w:val="24"/>
        </w:rPr>
      </w:pPr>
      <w:r>
        <w:rPr>
          <w:rFonts w:ascii="Times New Roman"/>
          <w:b/>
          <w:sz w:val="24"/>
          <w:szCs w:val="24"/>
        </w:rPr>
        <w:t>4.2.3.2声环境质量评价</w:t>
      </w:r>
    </w:p>
    <w:p w14:paraId="64D0C6F8">
      <w:pPr>
        <w:spacing w:line="440" w:lineRule="exact"/>
        <w:ind w:firstLine="480" w:firstLineChars="200"/>
        <w:rPr>
          <w:rFonts w:ascii="Times New Roman"/>
          <w:sz w:val="24"/>
          <w:szCs w:val="24"/>
        </w:rPr>
      </w:pPr>
      <w:r>
        <w:rPr>
          <w:rFonts w:ascii="Times New Roman"/>
          <w:sz w:val="24"/>
          <w:szCs w:val="24"/>
        </w:rPr>
        <w:t>（1）评价方法</w:t>
      </w:r>
    </w:p>
    <w:p w14:paraId="4B81CCD9">
      <w:pPr>
        <w:spacing w:line="440" w:lineRule="exact"/>
        <w:ind w:firstLine="480" w:firstLineChars="200"/>
        <w:rPr>
          <w:rFonts w:ascii="Times New Roman"/>
          <w:sz w:val="24"/>
          <w:szCs w:val="24"/>
        </w:rPr>
      </w:pPr>
      <w:r>
        <w:rPr>
          <w:rFonts w:ascii="Times New Roman"/>
          <w:sz w:val="24"/>
          <w:szCs w:val="24"/>
        </w:rPr>
        <w:t>采用等效声级与相应标准值比较的方法，评价标准采用《声环境质量标准》（GB3096-2008）中的相关标准。</w:t>
      </w:r>
    </w:p>
    <w:p w14:paraId="23FE7ECA">
      <w:pPr>
        <w:spacing w:line="440" w:lineRule="exact"/>
        <w:ind w:firstLine="480" w:firstLineChars="200"/>
        <w:rPr>
          <w:rFonts w:ascii="Times New Roman"/>
          <w:sz w:val="24"/>
          <w:szCs w:val="24"/>
        </w:rPr>
      </w:pPr>
      <w:r>
        <w:rPr>
          <w:rFonts w:ascii="Times New Roman"/>
          <w:sz w:val="24"/>
          <w:szCs w:val="24"/>
        </w:rPr>
        <w:t>（2）监测与评价结果</w:t>
      </w:r>
    </w:p>
    <w:p w14:paraId="1499409B">
      <w:pPr>
        <w:spacing w:line="440" w:lineRule="exact"/>
        <w:ind w:firstLine="480" w:firstLineChars="200"/>
        <w:rPr>
          <w:rFonts w:ascii="Times New Roman"/>
          <w:sz w:val="24"/>
          <w:szCs w:val="24"/>
        </w:rPr>
      </w:pPr>
      <w:r>
        <w:rPr>
          <w:rFonts w:ascii="Times New Roman"/>
          <w:sz w:val="24"/>
          <w:szCs w:val="24"/>
        </w:rPr>
        <w:t>监测及评价结果见表4.2-1</w:t>
      </w:r>
      <w:r>
        <w:rPr>
          <w:rFonts w:hint="eastAsia" w:ascii="Times New Roman"/>
          <w:sz w:val="24"/>
          <w:szCs w:val="24"/>
        </w:rPr>
        <w:t>2</w:t>
      </w:r>
      <w:r>
        <w:rPr>
          <w:rFonts w:ascii="Times New Roman"/>
          <w:sz w:val="24"/>
          <w:szCs w:val="24"/>
        </w:rPr>
        <w:t>。</w:t>
      </w:r>
    </w:p>
    <w:p w14:paraId="0ECCEDAE">
      <w:pPr>
        <w:widowControl/>
        <w:spacing w:beforeLines="50"/>
        <w:jc w:val="center"/>
        <w:rPr>
          <w:rFonts w:ascii="Times New Roman"/>
          <w:b/>
          <w:kern w:val="0"/>
          <w:sz w:val="24"/>
          <w:szCs w:val="24"/>
        </w:rPr>
      </w:pPr>
      <w:r>
        <w:rPr>
          <w:rFonts w:ascii="Times New Roman"/>
          <w:b/>
          <w:kern w:val="0"/>
          <w:sz w:val="24"/>
          <w:szCs w:val="24"/>
        </w:rPr>
        <w:t>表4.2-1</w:t>
      </w:r>
      <w:r>
        <w:rPr>
          <w:rFonts w:hint="eastAsia" w:ascii="Times New Roman"/>
          <w:b/>
          <w:kern w:val="0"/>
          <w:sz w:val="24"/>
          <w:szCs w:val="24"/>
        </w:rPr>
        <w:t>2</w:t>
      </w:r>
      <w:r>
        <w:rPr>
          <w:rFonts w:ascii="Times New Roman"/>
          <w:b/>
          <w:kern w:val="0"/>
          <w:sz w:val="24"/>
          <w:szCs w:val="24"/>
        </w:rPr>
        <w:t xml:space="preserve">  声环境现状监测及评价结果一览表单位：dB（A）</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35"/>
        <w:gridCol w:w="1173"/>
        <w:gridCol w:w="1078"/>
        <w:gridCol w:w="900"/>
        <w:gridCol w:w="982"/>
        <w:gridCol w:w="935"/>
        <w:gridCol w:w="1163"/>
      </w:tblGrid>
      <w:tr w14:paraId="0708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19" w:type="pct"/>
            <w:vAlign w:val="center"/>
          </w:tcPr>
          <w:p w14:paraId="46C3C7F8">
            <w:pPr>
              <w:tabs>
                <w:tab w:val="left" w:pos="3465"/>
                <w:tab w:val="left" w:pos="5989"/>
              </w:tabs>
              <w:adjustRightInd w:val="0"/>
              <w:snapToGrid w:val="0"/>
              <w:spacing w:line="360" w:lineRule="exact"/>
              <w:ind w:right="2" w:rightChars="1"/>
              <w:jc w:val="center"/>
              <w:rPr>
                <w:rFonts w:ascii="Times New Roman"/>
                <w:b/>
                <w:sz w:val="21"/>
                <w:szCs w:val="21"/>
              </w:rPr>
            </w:pPr>
            <w:r>
              <w:rPr>
                <w:rFonts w:hint="eastAsia" w:ascii="Times New Roman"/>
                <w:b/>
                <w:sz w:val="21"/>
                <w:szCs w:val="21"/>
              </w:rPr>
              <w:t>检测日期</w:t>
            </w:r>
          </w:p>
        </w:tc>
        <w:tc>
          <w:tcPr>
            <w:tcW w:w="724" w:type="pct"/>
            <w:vAlign w:val="center"/>
          </w:tcPr>
          <w:p w14:paraId="34E62F71">
            <w:pPr>
              <w:tabs>
                <w:tab w:val="left" w:pos="3465"/>
                <w:tab w:val="left" w:pos="5989"/>
              </w:tabs>
              <w:adjustRightInd w:val="0"/>
              <w:snapToGrid w:val="0"/>
              <w:spacing w:line="360" w:lineRule="exact"/>
              <w:ind w:right="2" w:rightChars="1"/>
              <w:jc w:val="center"/>
              <w:rPr>
                <w:rFonts w:ascii="Times New Roman"/>
                <w:b/>
                <w:sz w:val="21"/>
                <w:szCs w:val="21"/>
              </w:rPr>
            </w:pPr>
            <w:r>
              <w:rPr>
                <w:rFonts w:hint="eastAsia" w:ascii="Times New Roman"/>
                <w:b/>
                <w:sz w:val="21"/>
                <w:szCs w:val="21"/>
              </w:rPr>
              <w:t>检测</w:t>
            </w:r>
            <w:r>
              <w:rPr>
                <w:rFonts w:ascii="Times New Roman"/>
                <w:b/>
                <w:sz w:val="21"/>
                <w:szCs w:val="21"/>
              </w:rPr>
              <w:t>点位</w:t>
            </w:r>
          </w:p>
        </w:tc>
        <w:tc>
          <w:tcPr>
            <w:tcW w:w="688" w:type="pct"/>
            <w:vAlign w:val="center"/>
          </w:tcPr>
          <w:p w14:paraId="58B248A7">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z w:val="21"/>
                <w:szCs w:val="21"/>
              </w:rPr>
              <w:t>昼间</w:t>
            </w:r>
          </w:p>
        </w:tc>
        <w:tc>
          <w:tcPr>
            <w:tcW w:w="632" w:type="pct"/>
            <w:vAlign w:val="center"/>
          </w:tcPr>
          <w:p w14:paraId="00EF558C">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z w:val="21"/>
                <w:szCs w:val="21"/>
              </w:rPr>
              <w:t>标准值</w:t>
            </w:r>
          </w:p>
        </w:tc>
        <w:tc>
          <w:tcPr>
            <w:tcW w:w="528" w:type="pct"/>
            <w:vAlign w:val="center"/>
          </w:tcPr>
          <w:p w14:paraId="2C6A4F51">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pacing w:val="-10"/>
                <w:sz w:val="21"/>
                <w:szCs w:val="21"/>
              </w:rPr>
              <w:t>评价</w:t>
            </w:r>
          </w:p>
          <w:p w14:paraId="3142A797">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pacing w:val="-10"/>
                <w:sz w:val="21"/>
                <w:szCs w:val="21"/>
              </w:rPr>
              <w:t>结果</w:t>
            </w:r>
          </w:p>
        </w:tc>
        <w:tc>
          <w:tcPr>
            <w:tcW w:w="576" w:type="pct"/>
            <w:vAlign w:val="center"/>
          </w:tcPr>
          <w:p w14:paraId="50671C3B">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z w:val="21"/>
                <w:szCs w:val="21"/>
              </w:rPr>
              <w:t>夜间</w:t>
            </w:r>
          </w:p>
        </w:tc>
        <w:tc>
          <w:tcPr>
            <w:tcW w:w="548" w:type="pct"/>
            <w:vAlign w:val="center"/>
          </w:tcPr>
          <w:p w14:paraId="52E3FB4B">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z w:val="21"/>
                <w:szCs w:val="21"/>
              </w:rPr>
              <w:t>标准值</w:t>
            </w:r>
          </w:p>
        </w:tc>
        <w:tc>
          <w:tcPr>
            <w:tcW w:w="682" w:type="pct"/>
            <w:vAlign w:val="center"/>
          </w:tcPr>
          <w:p w14:paraId="6414B04C">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pacing w:val="-10"/>
                <w:sz w:val="21"/>
                <w:szCs w:val="21"/>
              </w:rPr>
              <w:t>评价</w:t>
            </w:r>
          </w:p>
          <w:p w14:paraId="321E165B">
            <w:pPr>
              <w:tabs>
                <w:tab w:val="left" w:pos="3465"/>
                <w:tab w:val="left" w:pos="5989"/>
              </w:tabs>
              <w:adjustRightInd w:val="0"/>
              <w:snapToGrid w:val="0"/>
              <w:spacing w:line="360" w:lineRule="exact"/>
              <w:ind w:right="2" w:rightChars="1"/>
              <w:jc w:val="center"/>
              <w:rPr>
                <w:rFonts w:ascii="Times New Roman"/>
                <w:b/>
                <w:sz w:val="21"/>
                <w:szCs w:val="21"/>
              </w:rPr>
            </w:pPr>
            <w:r>
              <w:rPr>
                <w:rFonts w:ascii="Times New Roman"/>
                <w:b/>
                <w:spacing w:val="-10"/>
                <w:sz w:val="21"/>
                <w:szCs w:val="21"/>
              </w:rPr>
              <w:t>结果</w:t>
            </w:r>
          </w:p>
        </w:tc>
      </w:tr>
      <w:tr w14:paraId="047A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restart"/>
            <w:vAlign w:val="center"/>
          </w:tcPr>
          <w:p w14:paraId="24167D97">
            <w:pPr>
              <w:spacing w:line="360" w:lineRule="exact"/>
              <w:jc w:val="center"/>
              <w:rPr>
                <w:rFonts w:ascii="Times New Roman"/>
                <w:sz w:val="21"/>
                <w:szCs w:val="21"/>
              </w:rPr>
            </w:pPr>
            <w:r>
              <w:rPr>
                <w:rFonts w:hint="eastAsia" w:ascii="Times New Roman"/>
                <w:sz w:val="21"/>
                <w:szCs w:val="21"/>
              </w:rPr>
              <w:t>2024.12.7</w:t>
            </w:r>
          </w:p>
        </w:tc>
        <w:tc>
          <w:tcPr>
            <w:tcW w:w="724" w:type="pct"/>
            <w:vAlign w:val="center"/>
          </w:tcPr>
          <w:p w14:paraId="36214850">
            <w:pPr>
              <w:spacing w:line="360" w:lineRule="exact"/>
              <w:jc w:val="center"/>
              <w:rPr>
                <w:rFonts w:ascii="Times New Roman"/>
                <w:sz w:val="21"/>
                <w:szCs w:val="21"/>
              </w:rPr>
            </w:pPr>
            <w:r>
              <w:rPr>
                <w:rFonts w:hint="eastAsia" w:ascii="Times New Roman"/>
                <w:sz w:val="21"/>
                <w:szCs w:val="21"/>
              </w:rPr>
              <w:t>厂界北</w:t>
            </w:r>
            <w:r>
              <w:rPr>
                <w:rFonts w:ascii="Times New Roman"/>
                <w:sz w:val="21"/>
                <w:szCs w:val="21"/>
              </w:rPr>
              <w:t>1#</w:t>
            </w:r>
          </w:p>
        </w:tc>
        <w:tc>
          <w:tcPr>
            <w:tcW w:w="688" w:type="pct"/>
            <w:vAlign w:val="center"/>
          </w:tcPr>
          <w:p w14:paraId="4757CFA0">
            <w:pPr>
              <w:widowControl/>
              <w:jc w:val="center"/>
              <w:textAlignment w:val="center"/>
              <w:rPr>
                <w:rFonts w:ascii="Times New Roman" w:eastAsia="仿宋_GB2312"/>
                <w:sz w:val="21"/>
                <w:szCs w:val="21"/>
              </w:rPr>
            </w:pPr>
            <w:r>
              <w:rPr>
                <w:rFonts w:hint="eastAsia" w:ascii="Times New Roman" w:eastAsia="仿宋_GB2312"/>
                <w:sz w:val="21"/>
                <w:szCs w:val="21"/>
              </w:rPr>
              <w:t>50</w:t>
            </w:r>
          </w:p>
        </w:tc>
        <w:tc>
          <w:tcPr>
            <w:tcW w:w="632" w:type="pct"/>
            <w:vMerge w:val="restart"/>
            <w:vAlign w:val="center"/>
          </w:tcPr>
          <w:p w14:paraId="3305D675">
            <w:pPr>
              <w:spacing w:line="360" w:lineRule="exact"/>
              <w:jc w:val="center"/>
              <w:rPr>
                <w:rFonts w:ascii="Times New Roman"/>
                <w:sz w:val="21"/>
                <w:szCs w:val="21"/>
              </w:rPr>
            </w:pPr>
            <w:r>
              <w:rPr>
                <w:rFonts w:ascii="Times New Roman"/>
                <w:sz w:val="21"/>
                <w:szCs w:val="21"/>
              </w:rPr>
              <w:t>65</w:t>
            </w:r>
          </w:p>
        </w:tc>
        <w:tc>
          <w:tcPr>
            <w:tcW w:w="528" w:type="pct"/>
            <w:vMerge w:val="restart"/>
            <w:vAlign w:val="center"/>
          </w:tcPr>
          <w:p w14:paraId="4197E286">
            <w:pPr>
              <w:spacing w:line="360" w:lineRule="exact"/>
              <w:jc w:val="center"/>
              <w:rPr>
                <w:rFonts w:ascii="Times New Roman"/>
                <w:sz w:val="21"/>
                <w:szCs w:val="21"/>
              </w:rPr>
            </w:pPr>
            <w:r>
              <w:rPr>
                <w:rFonts w:ascii="Times New Roman"/>
                <w:sz w:val="21"/>
                <w:szCs w:val="21"/>
              </w:rPr>
              <w:t>达标</w:t>
            </w:r>
          </w:p>
        </w:tc>
        <w:tc>
          <w:tcPr>
            <w:tcW w:w="576" w:type="pct"/>
            <w:vAlign w:val="center"/>
          </w:tcPr>
          <w:p w14:paraId="04BA9C4F">
            <w:pPr>
              <w:widowControl/>
              <w:jc w:val="center"/>
              <w:textAlignment w:val="center"/>
              <w:rPr>
                <w:rFonts w:ascii="Times New Roman" w:eastAsia="仿宋_GB2312"/>
                <w:sz w:val="21"/>
                <w:szCs w:val="21"/>
              </w:rPr>
            </w:pPr>
            <w:r>
              <w:rPr>
                <w:rFonts w:hint="eastAsia" w:ascii="Times New Roman" w:eastAsia="仿宋_GB2312"/>
                <w:sz w:val="21"/>
                <w:szCs w:val="21"/>
              </w:rPr>
              <w:t>47</w:t>
            </w:r>
          </w:p>
        </w:tc>
        <w:tc>
          <w:tcPr>
            <w:tcW w:w="548" w:type="pct"/>
            <w:vMerge w:val="restart"/>
            <w:vAlign w:val="center"/>
          </w:tcPr>
          <w:p w14:paraId="07587FA2">
            <w:pPr>
              <w:spacing w:line="360" w:lineRule="exact"/>
              <w:jc w:val="center"/>
              <w:rPr>
                <w:rFonts w:ascii="Times New Roman"/>
                <w:sz w:val="21"/>
                <w:szCs w:val="21"/>
              </w:rPr>
            </w:pPr>
            <w:r>
              <w:rPr>
                <w:rFonts w:ascii="Times New Roman"/>
                <w:sz w:val="21"/>
                <w:szCs w:val="21"/>
              </w:rPr>
              <w:t>55</w:t>
            </w:r>
          </w:p>
        </w:tc>
        <w:tc>
          <w:tcPr>
            <w:tcW w:w="682" w:type="pct"/>
            <w:vMerge w:val="restart"/>
            <w:vAlign w:val="center"/>
          </w:tcPr>
          <w:p w14:paraId="33155BD3">
            <w:pPr>
              <w:spacing w:line="360" w:lineRule="exact"/>
              <w:jc w:val="center"/>
              <w:rPr>
                <w:rFonts w:ascii="Times New Roman"/>
                <w:sz w:val="21"/>
                <w:szCs w:val="21"/>
              </w:rPr>
            </w:pPr>
            <w:r>
              <w:rPr>
                <w:rFonts w:ascii="Times New Roman"/>
                <w:sz w:val="21"/>
                <w:szCs w:val="21"/>
              </w:rPr>
              <w:t>达标</w:t>
            </w:r>
          </w:p>
        </w:tc>
      </w:tr>
      <w:tr w14:paraId="5EA0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continue"/>
            <w:vAlign w:val="center"/>
          </w:tcPr>
          <w:p w14:paraId="3162811F">
            <w:pPr>
              <w:spacing w:line="360" w:lineRule="exact"/>
              <w:jc w:val="center"/>
              <w:rPr>
                <w:rFonts w:ascii="Times New Roman"/>
                <w:sz w:val="21"/>
                <w:szCs w:val="21"/>
              </w:rPr>
            </w:pPr>
          </w:p>
        </w:tc>
        <w:tc>
          <w:tcPr>
            <w:tcW w:w="724" w:type="pct"/>
            <w:vAlign w:val="center"/>
          </w:tcPr>
          <w:p w14:paraId="29223D74">
            <w:pPr>
              <w:spacing w:line="360" w:lineRule="exact"/>
              <w:jc w:val="center"/>
              <w:rPr>
                <w:rFonts w:ascii="Times New Roman"/>
                <w:sz w:val="21"/>
                <w:szCs w:val="21"/>
              </w:rPr>
            </w:pPr>
            <w:r>
              <w:rPr>
                <w:rFonts w:hint="eastAsia" w:ascii="Times New Roman"/>
                <w:sz w:val="21"/>
                <w:szCs w:val="21"/>
              </w:rPr>
              <w:t>厂界东</w:t>
            </w:r>
            <w:r>
              <w:rPr>
                <w:rFonts w:ascii="Times New Roman"/>
                <w:sz w:val="21"/>
                <w:szCs w:val="21"/>
              </w:rPr>
              <w:t>2#</w:t>
            </w:r>
          </w:p>
        </w:tc>
        <w:tc>
          <w:tcPr>
            <w:tcW w:w="688" w:type="pct"/>
            <w:vAlign w:val="center"/>
          </w:tcPr>
          <w:p w14:paraId="19B28B61">
            <w:pPr>
              <w:widowControl/>
              <w:jc w:val="center"/>
              <w:textAlignment w:val="center"/>
              <w:rPr>
                <w:rFonts w:ascii="Times New Roman" w:eastAsia="仿宋_GB2312"/>
                <w:sz w:val="21"/>
                <w:szCs w:val="21"/>
              </w:rPr>
            </w:pPr>
            <w:r>
              <w:rPr>
                <w:rFonts w:hint="eastAsia" w:ascii="Times New Roman" w:eastAsia="仿宋_GB2312"/>
                <w:sz w:val="21"/>
                <w:szCs w:val="21"/>
              </w:rPr>
              <w:t>54</w:t>
            </w:r>
          </w:p>
        </w:tc>
        <w:tc>
          <w:tcPr>
            <w:tcW w:w="632" w:type="pct"/>
            <w:vMerge w:val="continue"/>
            <w:vAlign w:val="center"/>
          </w:tcPr>
          <w:p w14:paraId="49BFEBA8">
            <w:pPr>
              <w:spacing w:line="360" w:lineRule="exact"/>
              <w:jc w:val="center"/>
              <w:rPr>
                <w:rFonts w:ascii="Times New Roman"/>
                <w:sz w:val="21"/>
                <w:szCs w:val="21"/>
              </w:rPr>
            </w:pPr>
          </w:p>
        </w:tc>
        <w:tc>
          <w:tcPr>
            <w:tcW w:w="528" w:type="pct"/>
            <w:vMerge w:val="continue"/>
            <w:vAlign w:val="center"/>
          </w:tcPr>
          <w:p w14:paraId="5B86F6DF">
            <w:pPr>
              <w:spacing w:line="360" w:lineRule="exact"/>
              <w:jc w:val="center"/>
              <w:rPr>
                <w:rFonts w:ascii="Times New Roman"/>
                <w:sz w:val="21"/>
                <w:szCs w:val="21"/>
              </w:rPr>
            </w:pPr>
          </w:p>
        </w:tc>
        <w:tc>
          <w:tcPr>
            <w:tcW w:w="576" w:type="pct"/>
            <w:vAlign w:val="center"/>
          </w:tcPr>
          <w:p w14:paraId="225ED49A">
            <w:pPr>
              <w:widowControl/>
              <w:jc w:val="center"/>
              <w:textAlignment w:val="center"/>
              <w:rPr>
                <w:rFonts w:ascii="Times New Roman" w:eastAsia="仿宋_GB2312"/>
                <w:sz w:val="21"/>
                <w:szCs w:val="21"/>
              </w:rPr>
            </w:pPr>
            <w:r>
              <w:rPr>
                <w:rFonts w:hint="eastAsia" w:ascii="Times New Roman" w:eastAsia="仿宋_GB2312"/>
                <w:sz w:val="21"/>
                <w:szCs w:val="21"/>
              </w:rPr>
              <w:t>48</w:t>
            </w:r>
          </w:p>
        </w:tc>
        <w:tc>
          <w:tcPr>
            <w:tcW w:w="548" w:type="pct"/>
            <w:vMerge w:val="continue"/>
            <w:vAlign w:val="center"/>
          </w:tcPr>
          <w:p w14:paraId="4A5C3CD6">
            <w:pPr>
              <w:spacing w:line="360" w:lineRule="exact"/>
              <w:jc w:val="center"/>
              <w:rPr>
                <w:rFonts w:ascii="Times New Roman"/>
                <w:sz w:val="21"/>
                <w:szCs w:val="21"/>
              </w:rPr>
            </w:pPr>
          </w:p>
        </w:tc>
        <w:tc>
          <w:tcPr>
            <w:tcW w:w="682" w:type="pct"/>
            <w:vMerge w:val="continue"/>
            <w:vAlign w:val="center"/>
          </w:tcPr>
          <w:p w14:paraId="4069D7FD">
            <w:pPr>
              <w:spacing w:line="360" w:lineRule="exact"/>
              <w:jc w:val="center"/>
              <w:rPr>
                <w:rFonts w:ascii="Times New Roman"/>
                <w:sz w:val="21"/>
                <w:szCs w:val="21"/>
              </w:rPr>
            </w:pPr>
          </w:p>
        </w:tc>
      </w:tr>
      <w:tr w14:paraId="33A6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continue"/>
            <w:vAlign w:val="center"/>
          </w:tcPr>
          <w:p w14:paraId="471FC2C8">
            <w:pPr>
              <w:spacing w:line="360" w:lineRule="exact"/>
              <w:jc w:val="center"/>
              <w:rPr>
                <w:rFonts w:ascii="Times New Roman"/>
                <w:sz w:val="21"/>
                <w:szCs w:val="21"/>
              </w:rPr>
            </w:pPr>
          </w:p>
        </w:tc>
        <w:tc>
          <w:tcPr>
            <w:tcW w:w="724" w:type="pct"/>
            <w:vAlign w:val="center"/>
          </w:tcPr>
          <w:p w14:paraId="71C416CC">
            <w:pPr>
              <w:spacing w:line="360" w:lineRule="exact"/>
              <w:jc w:val="center"/>
              <w:rPr>
                <w:rFonts w:ascii="Times New Roman"/>
                <w:sz w:val="21"/>
                <w:szCs w:val="21"/>
              </w:rPr>
            </w:pPr>
            <w:r>
              <w:rPr>
                <w:rFonts w:hint="eastAsia" w:ascii="Times New Roman"/>
                <w:sz w:val="21"/>
                <w:szCs w:val="21"/>
              </w:rPr>
              <w:t>厂界西</w:t>
            </w:r>
            <w:r>
              <w:rPr>
                <w:rFonts w:ascii="Times New Roman"/>
                <w:sz w:val="21"/>
                <w:szCs w:val="21"/>
              </w:rPr>
              <w:t>3#</w:t>
            </w:r>
          </w:p>
        </w:tc>
        <w:tc>
          <w:tcPr>
            <w:tcW w:w="688" w:type="pct"/>
            <w:vAlign w:val="center"/>
          </w:tcPr>
          <w:p w14:paraId="5CBCC74F">
            <w:pPr>
              <w:widowControl/>
              <w:jc w:val="center"/>
              <w:textAlignment w:val="center"/>
              <w:rPr>
                <w:rFonts w:ascii="Times New Roman" w:eastAsia="仿宋_GB2312"/>
                <w:sz w:val="21"/>
                <w:szCs w:val="21"/>
              </w:rPr>
            </w:pPr>
            <w:r>
              <w:rPr>
                <w:rFonts w:hint="eastAsia" w:ascii="Times New Roman" w:eastAsia="仿宋_GB2312"/>
                <w:sz w:val="21"/>
                <w:szCs w:val="21"/>
              </w:rPr>
              <w:t>51</w:t>
            </w:r>
          </w:p>
        </w:tc>
        <w:tc>
          <w:tcPr>
            <w:tcW w:w="632" w:type="pct"/>
            <w:vMerge w:val="continue"/>
            <w:vAlign w:val="center"/>
          </w:tcPr>
          <w:p w14:paraId="054F76D7">
            <w:pPr>
              <w:spacing w:line="360" w:lineRule="exact"/>
              <w:jc w:val="center"/>
              <w:rPr>
                <w:rFonts w:ascii="Times New Roman"/>
                <w:sz w:val="21"/>
                <w:szCs w:val="21"/>
              </w:rPr>
            </w:pPr>
          </w:p>
        </w:tc>
        <w:tc>
          <w:tcPr>
            <w:tcW w:w="528" w:type="pct"/>
            <w:vMerge w:val="continue"/>
            <w:vAlign w:val="center"/>
          </w:tcPr>
          <w:p w14:paraId="64BEE761">
            <w:pPr>
              <w:spacing w:line="360" w:lineRule="exact"/>
              <w:jc w:val="center"/>
              <w:rPr>
                <w:rFonts w:ascii="Times New Roman"/>
                <w:sz w:val="21"/>
                <w:szCs w:val="21"/>
              </w:rPr>
            </w:pPr>
          </w:p>
        </w:tc>
        <w:tc>
          <w:tcPr>
            <w:tcW w:w="576" w:type="pct"/>
            <w:vAlign w:val="center"/>
          </w:tcPr>
          <w:p w14:paraId="7B3BE025">
            <w:pPr>
              <w:widowControl/>
              <w:jc w:val="center"/>
              <w:textAlignment w:val="center"/>
              <w:rPr>
                <w:rFonts w:ascii="Times New Roman" w:eastAsia="仿宋_GB2312"/>
                <w:sz w:val="21"/>
                <w:szCs w:val="21"/>
              </w:rPr>
            </w:pPr>
            <w:r>
              <w:rPr>
                <w:rFonts w:hint="eastAsia" w:ascii="Times New Roman" w:eastAsia="仿宋_GB2312"/>
                <w:sz w:val="21"/>
                <w:szCs w:val="21"/>
              </w:rPr>
              <w:t>46</w:t>
            </w:r>
          </w:p>
        </w:tc>
        <w:tc>
          <w:tcPr>
            <w:tcW w:w="548" w:type="pct"/>
            <w:vMerge w:val="continue"/>
            <w:vAlign w:val="center"/>
          </w:tcPr>
          <w:p w14:paraId="603C959F">
            <w:pPr>
              <w:spacing w:line="360" w:lineRule="exact"/>
              <w:jc w:val="center"/>
              <w:rPr>
                <w:rFonts w:ascii="Times New Roman"/>
                <w:sz w:val="21"/>
                <w:szCs w:val="21"/>
              </w:rPr>
            </w:pPr>
          </w:p>
        </w:tc>
        <w:tc>
          <w:tcPr>
            <w:tcW w:w="682" w:type="pct"/>
            <w:vMerge w:val="continue"/>
            <w:vAlign w:val="center"/>
          </w:tcPr>
          <w:p w14:paraId="2EDA8F3C">
            <w:pPr>
              <w:spacing w:line="360" w:lineRule="exact"/>
              <w:jc w:val="center"/>
              <w:rPr>
                <w:rFonts w:ascii="Times New Roman"/>
                <w:sz w:val="21"/>
                <w:szCs w:val="21"/>
              </w:rPr>
            </w:pPr>
          </w:p>
        </w:tc>
      </w:tr>
      <w:tr w14:paraId="707B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continue"/>
            <w:vAlign w:val="center"/>
          </w:tcPr>
          <w:p w14:paraId="197141F9">
            <w:pPr>
              <w:spacing w:line="360" w:lineRule="exact"/>
              <w:jc w:val="center"/>
              <w:rPr>
                <w:rFonts w:ascii="Times New Roman"/>
                <w:sz w:val="21"/>
                <w:szCs w:val="21"/>
              </w:rPr>
            </w:pPr>
          </w:p>
        </w:tc>
        <w:tc>
          <w:tcPr>
            <w:tcW w:w="724" w:type="pct"/>
            <w:vAlign w:val="center"/>
          </w:tcPr>
          <w:p w14:paraId="1AD0C401">
            <w:pPr>
              <w:spacing w:line="360" w:lineRule="exact"/>
              <w:jc w:val="center"/>
              <w:rPr>
                <w:rFonts w:ascii="Times New Roman"/>
                <w:sz w:val="21"/>
                <w:szCs w:val="21"/>
              </w:rPr>
            </w:pPr>
            <w:r>
              <w:rPr>
                <w:rFonts w:hint="eastAsia" w:ascii="Times New Roman"/>
                <w:sz w:val="21"/>
                <w:szCs w:val="21"/>
              </w:rPr>
              <w:t>厂界南</w:t>
            </w:r>
            <w:r>
              <w:rPr>
                <w:rFonts w:ascii="Times New Roman"/>
                <w:sz w:val="21"/>
                <w:szCs w:val="21"/>
              </w:rPr>
              <w:t>4#</w:t>
            </w:r>
          </w:p>
        </w:tc>
        <w:tc>
          <w:tcPr>
            <w:tcW w:w="688" w:type="pct"/>
            <w:vAlign w:val="center"/>
          </w:tcPr>
          <w:p w14:paraId="07ACBA26">
            <w:pPr>
              <w:widowControl/>
              <w:jc w:val="center"/>
              <w:textAlignment w:val="center"/>
              <w:rPr>
                <w:rFonts w:ascii="Times New Roman" w:eastAsia="仿宋_GB2312"/>
                <w:sz w:val="21"/>
                <w:szCs w:val="21"/>
              </w:rPr>
            </w:pPr>
            <w:r>
              <w:rPr>
                <w:rFonts w:hint="eastAsia" w:ascii="Times New Roman" w:eastAsia="仿宋_GB2312"/>
                <w:sz w:val="21"/>
                <w:szCs w:val="21"/>
              </w:rPr>
              <w:t>52</w:t>
            </w:r>
          </w:p>
        </w:tc>
        <w:tc>
          <w:tcPr>
            <w:tcW w:w="632" w:type="pct"/>
            <w:vMerge w:val="continue"/>
            <w:vAlign w:val="center"/>
          </w:tcPr>
          <w:p w14:paraId="37DAE16B">
            <w:pPr>
              <w:spacing w:line="360" w:lineRule="exact"/>
              <w:jc w:val="center"/>
              <w:rPr>
                <w:rFonts w:ascii="Times New Roman"/>
                <w:sz w:val="21"/>
                <w:szCs w:val="21"/>
              </w:rPr>
            </w:pPr>
          </w:p>
        </w:tc>
        <w:tc>
          <w:tcPr>
            <w:tcW w:w="528" w:type="pct"/>
            <w:vMerge w:val="continue"/>
            <w:vAlign w:val="center"/>
          </w:tcPr>
          <w:p w14:paraId="126C8763">
            <w:pPr>
              <w:spacing w:line="360" w:lineRule="exact"/>
              <w:jc w:val="center"/>
              <w:rPr>
                <w:rFonts w:ascii="Times New Roman"/>
                <w:sz w:val="21"/>
                <w:szCs w:val="21"/>
              </w:rPr>
            </w:pPr>
          </w:p>
        </w:tc>
        <w:tc>
          <w:tcPr>
            <w:tcW w:w="576" w:type="pct"/>
            <w:vAlign w:val="center"/>
          </w:tcPr>
          <w:p w14:paraId="1BAFAA4D">
            <w:pPr>
              <w:widowControl/>
              <w:jc w:val="center"/>
              <w:textAlignment w:val="center"/>
              <w:rPr>
                <w:rFonts w:ascii="Times New Roman" w:eastAsia="仿宋_GB2312"/>
                <w:sz w:val="21"/>
                <w:szCs w:val="21"/>
              </w:rPr>
            </w:pPr>
            <w:r>
              <w:rPr>
                <w:rFonts w:hint="eastAsia" w:ascii="Times New Roman" w:eastAsia="仿宋_GB2312"/>
                <w:sz w:val="21"/>
                <w:szCs w:val="21"/>
              </w:rPr>
              <w:t>48</w:t>
            </w:r>
          </w:p>
        </w:tc>
        <w:tc>
          <w:tcPr>
            <w:tcW w:w="548" w:type="pct"/>
            <w:vMerge w:val="continue"/>
            <w:vAlign w:val="center"/>
          </w:tcPr>
          <w:p w14:paraId="044A67AD">
            <w:pPr>
              <w:spacing w:line="360" w:lineRule="exact"/>
              <w:jc w:val="center"/>
              <w:rPr>
                <w:rFonts w:ascii="Times New Roman"/>
                <w:sz w:val="21"/>
                <w:szCs w:val="21"/>
              </w:rPr>
            </w:pPr>
          </w:p>
        </w:tc>
        <w:tc>
          <w:tcPr>
            <w:tcW w:w="682" w:type="pct"/>
            <w:vMerge w:val="continue"/>
            <w:vAlign w:val="center"/>
          </w:tcPr>
          <w:p w14:paraId="5E3626A7">
            <w:pPr>
              <w:spacing w:line="360" w:lineRule="exact"/>
              <w:jc w:val="center"/>
              <w:rPr>
                <w:rFonts w:ascii="Times New Roman"/>
                <w:sz w:val="21"/>
                <w:szCs w:val="21"/>
              </w:rPr>
            </w:pPr>
          </w:p>
        </w:tc>
      </w:tr>
      <w:tr w14:paraId="1511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restart"/>
            <w:vAlign w:val="center"/>
          </w:tcPr>
          <w:p w14:paraId="24BE3178">
            <w:pPr>
              <w:spacing w:line="360" w:lineRule="exact"/>
              <w:jc w:val="center"/>
              <w:rPr>
                <w:rFonts w:ascii="Times New Roman"/>
                <w:sz w:val="21"/>
                <w:szCs w:val="21"/>
              </w:rPr>
            </w:pPr>
            <w:r>
              <w:rPr>
                <w:rFonts w:hint="eastAsia" w:ascii="Times New Roman"/>
                <w:sz w:val="21"/>
                <w:szCs w:val="21"/>
              </w:rPr>
              <w:t>2024.12.8</w:t>
            </w:r>
          </w:p>
        </w:tc>
        <w:tc>
          <w:tcPr>
            <w:tcW w:w="724" w:type="pct"/>
            <w:vAlign w:val="center"/>
          </w:tcPr>
          <w:p w14:paraId="6805DBFF">
            <w:pPr>
              <w:spacing w:line="360" w:lineRule="exact"/>
              <w:jc w:val="center"/>
              <w:rPr>
                <w:rFonts w:ascii="Times New Roman"/>
                <w:sz w:val="21"/>
                <w:szCs w:val="21"/>
              </w:rPr>
            </w:pPr>
            <w:r>
              <w:rPr>
                <w:rFonts w:hint="eastAsia" w:ascii="Times New Roman"/>
                <w:sz w:val="21"/>
                <w:szCs w:val="21"/>
              </w:rPr>
              <w:t>厂界北</w:t>
            </w:r>
            <w:r>
              <w:rPr>
                <w:rFonts w:ascii="Times New Roman"/>
                <w:sz w:val="21"/>
                <w:szCs w:val="21"/>
              </w:rPr>
              <w:t>1#</w:t>
            </w:r>
          </w:p>
        </w:tc>
        <w:tc>
          <w:tcPr>
            <w:tcW w:w="688" w:type="pct"/>
            <w:vAlign w:val="center"/>
          </w:tcPr>
          <w:p w14:paraId="5C18454B">
            <w:pPr>
              <w:widowControl/>
              <w:jc w:val="center"/>
              <w:textAlignment w:val="center"/>
              <w:rPr>
                <w:rFonts w:ascii="Times New Roman" w:eastAsia="仿宋_GB2312"/>
                <w:sz w:val="21"/>
                <w:szCs w:val="21"/>
              </w:rPr>
            </w:pPr>
            <w:r>
              <w:rPr>
                <w:rFonts w:hint="eastAsia" w:ascii="Times New Roman" w:eastAsia="仿宋_GB2312"/>
                <w:sz w:val="21"/>
                <w:szCs w:val="21"/>
              </w:rPr>
              <w:t>52</w:t>
            </w:r>
          </w:p>
        </w:tc>
        <w:tc>
          <w:tcPr>
            <w:tcW w:w="632" w:type="pct"/>
            <w:vMerge w:val="restart"/>
            <w:vAlign w:val="center"/>
          </w:tcPr>
          <w:p w14:paraId="5C12F4CD">
            <w:pPr>
              <w:spacing w:line="360" w:lineRule="exact"/>
              <w:jc w:val="center"/>
              <w:rPr>
                <w:rFonts w:ascii="Times New Roman"/>
                <w:sz w:val="21"/>
                <w:szCs w:val="21"/>
              </w:rPr>
            </w:pPr>
            <w:r>
              <w:rPr>
                <w:rFonts w:hint="eastAsia" w:ascii="Times New Roman"/>
                <w:sz w:val="21"/>
                <w:szCs w:val="21"/>
              </w:rPr>
              <w:t>65</w:t>
            </w:r>
          </w:p>
        </w:tc>
        <w:tc>
          <w:tcPr>
            <w:tcW w:w="528" w:type="pct"/>
            <w:vMerge w:val="restart"/>
            <w:vAlign w:val="center"/>
          </w:tcPr>
          <w:p w14:paraId="6B0C8EAA">
            <w:pPr>
              <w:spacing w:line="360" w:lineRule="exact"/>
              <w:jc w:val="center"/>
              <w:rPr>
                <w:rFonts w:ascii="Times New Roman"/>
                <w:sz w:val="21"/>
                <w:szCs w:val="21"/>
              </w:rPr>
            </w:pPr>
            <w:r>
              <w:rPr>
                <w:rFonts w:ascii="Times New Roman"/>
                <w:sz w:val="21"/>
                <w:szCs w:val="21"/>
              </w:rPr>
              <w:t>达标</w:t>
            </w:r>
          </w:p>
        </w:tc>
        <w:tc>
          <w:tcPr>
            <w:tcW w:w="576" w:type="pct"/>
            <w:vAlign w:val="center"/>
          </w:tcPr>
          <w:p w14:paraId="63681AD7">
            <w:pPr>
              <w:widowControl/>
              <w:jc w:val="center"/>
              <w:textAlignment w:val="center"/>
              <w:rPr>
                <w:rFonts w:ascii="Times New Roman" w:eastAsia="仿宋_GB2312"/>
                <w:sz w:val="21"/>
                <w:szCs w:val="21"/>
              </w:rPr>
            </w:pPr>
            <w:r>
              <w:rPr>
                <w:rFonts w:hint="eastAsia" w:ascii="Times New Roman" w:eastAsia="仿宋_GB2312"/>
                <w:sz w:val="21"/>
                <w:szCs w:val="21"/>
              </w:rPr>
              <w:t>46</w:t>
            </w:r>
          </w:p>
        </w:tc>
        <w:tc>
          <w:tcPr>
            <w:tcW w:w="548" w:type="pct"/>
            <w:vMerge w:val="restart"/>
            <w:vAlign w:val="center"/>
          </w:tcPr>
          <w:p w14:paraId="49327F83">
            <w:pPr>
              <w:spacing w:line="360" w:lineRule="exact"/>
              <w:jc w:val="center"/>
              <w:rPr>
                <w:rFonts w:ascii="Times New Roman"/>
                <w:sz w:val="21"/>
                <w:szCs w:val="21"/>
              </w:rPr>
            </w:pPr>
            <w:r>
              <w:rPr>
                <w:rFonts w:hint="eastAsia" w:ascii="Times New Roman"/>
                <w:sz w:val="21"/>
                <w:szCs w:val="21"/>
              </w:rPr>
              <w:t>55</w:t>
            </w:r>
          </w:p>
        </w:tc>
        <w:tc>
          <w:tcPr>
            <w:tcW w:w="682" w:type="pct"/>
            <w:vMerge w:val="restart"/>
            <w:vAlign w:val="center"/>
          </w:tcPr>
          <w:p w14:paraId="6E1540B3">
            <w:pPr>
              <w:spacing w:line="360" w:lineRule="exact"/>
              <w:jc w:val="center"/>
              <w:rPr>
                <w:rFonts w:ascii="Times New Roman"/>
                <w:sz w:val="21"/>
                <w:szCs w:val="21"/>
              </w:rPr>
            </w:pPr>
            <w:r>
              <w:rPr>
                <w:rFonts w:ascii="Times New Roman"/>
                <w:sz w:val="21"/>
                <w:szCs w:val="21"/>
              </w:rPr>
              <w:t>达标</w:t>
            </w:r>
          </w:p>
        </w:tc>
      </w:tr>
      <w:tr w14:paraId="1E96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continue"/>
            <w:vAlign w:val="center"/>
          </w:tcPr>
          <w:p w14:paraId="1F126D8B">
            <w:pPr>
              <w:spacing w:line="360" w:lineRule="exact"/>
              <w:jc w:val="center"/>
              <w:rPr>
                <w:rFonts w:ascii="Times New Roman"/>
                <w:sz w:val="21"/>
                <w:szCs w:val="21"/>
              </w:rPr>
            </w:pPr>
          </w:p>
        </w:tc>
        <w:tc>
          <w:tcPr>
            <w:tcW w:w="724" w:type="pct"/>
            <w:vAlign w:val="center"/>
          </w:tcPr>
          <w:p w14:paraId="7479FD86">
            <w:pPr>
              <w:spacing w:line="360" w:lineRule="exact"/>
              <w:jc w:val="center"/>
              <w:rPr>
                <w:rFonts w:ascii="Times New Roman"/>
                <w:sz w:val="21"/>
                <w:szCs w:val="21"/>
              </w:rPr>
            </w:pPr>
            <w:r>
              <w:rPr>
                <w:rFonts w:hint="eastAsia" w:ascii="Times New Roman"/>
                <w:sz w:val="21"/>
                <w:szCs w:val="21"/>
              </w:rPr>
              <w:t>厂界东</w:t>
            </w:r>
            <w:r>
              <w:rPr>
                <w:rFonts w:ascii="Times New Roman"/>
                <w:sz w:val="21"/>
                <w:szCs w:val="21"/>
              </w:rPr>
              <w:t>2#</w:t>
            </w:r>
          </w:p>
        </w:tc>
        <w:tc>
          <w:tcPr>
            <w:tcW w:w="688" w:type="pct"/>
            <w:vAlign w:val="center"/>
          </w:tcPr>
          <w:p w14:paraId="481F9AD7">
            <w:pPr>
              <w:widowControl/>
              <w:jc w:val="center"/>
              <w:textAlignment w:val="center"/>
              <w:rPr>
                <w:rFonts w:ascii="Times New Roman" w:eastAsia="仿宋_GB2312"/>
                <w:sz w:val="21"/>
                <w:szCs w:val="21"/>
              </w:rPr>
            </w:pPr>
            <w:r>
              <w:rPr>
                <w:rFonts w:hint="eastAsia" w:ascii="Times New Roman" w:eastAsia="仿宋_GB2312"/>
                <w:sz w:val="21"/>
                <w:szCs w:val="21"/>
              </w:rPr>
              <w:t>57</w:t>
            </w:r>
          </w:p>
        </w:tc>
        <w:tc>
          <w:tcPr>
            <w:tcW w:w="632" w:type="pct"/>
            <w:vMerge w:val="continue"/>
            <w:vAlign w:val="center"/>
          </w:tcPr>
          <w:p w14:paraId="178AD4F5">
            <w:pPr>
              <w:spacing w:line="360" w:lineRule="exact"/>
              <w:jc w:val="center"/>
              <w:rPr>
                <w:rFonts w:ascii="Times New Roman"/>
                <w:sz w:val="21"/>
                <w:szCs w:val="21"/>
              </w:rPr>
            </w:pPr>
          </w:p>
        </w:tc>
        <w:tc>
          <w:tcPr>
            <w:tcW w:w="528" w:type="pct"/>
            <w:vMerge w:val="continue"/>
            <w:vAlign w:val="center"/>
          </w:tcPr>
          <w:p w14:paraId="79C917FD">
            <w:pPr>
              <w:spacing w:line="360" w:lineRule="exact"/>
              <w:jc w:val="center"/>
              <w:rPr>
                <w:rFonts w:ascii="Times New Roman"/>
                <w:sz w:val="21"/>
                <w:szCs w:val="21"/>
              </w:rPr>
            </w:pPr>
          </w:p>
        </w:tc>
        <w:tc>
          <w:tcPr>
            <w:tcW w:w="576" w:type="pct"/>
            <w:vAlign w:val="center"/>
          </w:tcPr>
          <w:p w14:paraId="73934D75">
            <w:pPr>
              <w:widowControl/>
              <w:jc w:val="center"/>
              <w:textAlignment w:val="center"/>
              <w:rPr>
                <w:rFonts w:ascii="Times New Roman" w:eastAsia="仿宋_GB2312"/>
                <w:sz w:val="21"/>
                <w:szCs w:val="21"/>
              </w:rPr>
            </w:pPr>
            <w:r>
              <w:rPr>
                <w:rFonts w:hint="eastAsia" w:ascii="Times New Roman" w:eastAsia="仿宋_GB2312"/>
                <w:sz w:val="21"/>
                <w:szCs w:val="21"/>
              </w:rPr>
              <w:t>48</w:t>
            </w:r>
          </w:p>
        </w:tc>
        <w:tc>
          <w:tcPr>
            <w:tcW w:w="548" w:type="pct"/>
            <w:vMerge w:val="continue"/>
            <w:vAlign w:val="center"/>
          </w:tcPr>
          <w:p w14:paraId="022C5A26">
            <w:pPr>
              <w:spacing w:line="360" w:lineRule="exact"/>
              <w:jc w:val="center"/>
              <w:rPr>
                <w:rFonts w:ascii="Times New Roman"/>
                <w:sz w:val="21"/>
                <w:szCs w:val="21"/>
              </w:rPr>
            </w:pPr>
          </w:p>
        </w:tc>
        <w:tc>
          <w:tcPr>
            <w:tcW w:w="682" w:type="pct"/>
            <w:vMerge w:val="continue"/>
            <w:vAlign w:val="center"/>
          </w:tcPr>
          <w:p w14:paraId="71541C78">
            <w:pPr>
              <w:spacing w:line="360" w:lineRule="exact"/>
              <w:jc w:val="center"/>
              <w:rPr>
                <w:rFonts w:ascii="Times New Roman"/>
                <w:sz w:val="21"/>
                <w:szCs w:val="21"/>
              </w:rPr>
            </w:pPr>
          </w:p>
        </w:tc>
      </w:tr>
      <w:tr w14:paraId="1289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continue"/>
            <w:vAlign w:val="center"/>
          </w:tcPr>
          <w:p w14:paraId="49F21FEE">
            <w:pPr>
              <w:spacing w:line="360" w:lineRule="exact"/>
              <w:jc w:val="center"/>
              <w:rPr>
                <w:rFonts w:ascii="Times New Roman"/>
                <w:sz w:val="21"/>
                <w:szCs w:val="21"/>
              </w:rPr>
            </w:pPr>
          </w:p>
        </w:tc>
        <w:tc>
          <w:tcPr>
            <w:tcW w:w="724" w:type="pct"/>
            <w:vAlign w:val="center"/>
          </w:tcPr>
          <w:p w14:paraId="56D6A659">
            <w:pPr>
              <w:spacing w:line="360" w:lineRule="exact"/>
              <w:jc w:val="center"/>
              <w:rPr>
                <w:rFonts w:ascii="Times New Roman"/>
                <w:sz w:val="21"/>
                <w:szCs w:val="21"/>
              </w:rPr>
            </w:pPr>
            <w:r>
              <w:rPr>
                <w:rFonts w:hint="eastAsia" w:ascii="Times New Roman"/>
                <w:sz w:val="21"/>
                <w:szCs w:val="21"/>
              </w:rPr>
              <w:t>厂界西</w:t>
            </w:r>
            <w:r>
              <w:rPr>
                <w:rFonts w:ascii="Times New Roman"/>
                <w:sz w:val="21"/>
                <w:szCs w:val="21"/>
              </w:rPr>
              <w:t>3#</w:t>
            </w:r>
          </w:p>
        </w:tc>
        <w:tc>
          <w:tcPr>
            <w:tcW w:w="688" w:type="pct"/>
            <w:vAlign w:val="center"/>
          </w:tcPr>
          <w:p w14:paraId="317348F4">
            <w:pPr>
              <w:widowControl/>
              <w:jc w:val="center"/>
              <w:textAlignment w:val="center"/>
              <w:rPr>
                <w:rFonts w:ascii="Times New Roman" w:eastAsia="仿宋_GB2312"/>
                <w:sz w:val="21"/>
                <w:szCs w:val="21"/>
              </w:rPr>
            </w:pPr>
            <w:r>
              <w:rPr>
                <w:rFonts w:hint="eastAsia" w:ascii="Times New Roman" w:eastAsia="仿宋_GB2312"/>
                <w:sz w:val="21"/>
                <w:szCs w:val="21"/>
              </w:rPr>
              <w:t>52</w:t>
            </w:r>
          </w:p>
        </w:tc>
        <w:tc>
          <w:tcPr>
            <w:tcW w:w="632" w:type="pct"/>
            <w:vMerge w:val="continue"/>
            <w:vAlign w:val="center"/>
          </w:tcPr>
          <w:p w14:paraId="39888276">
            <w:pPr>
              <w:spacing w:line="360" w:lineRule="exact"/>
              <w:jc w:val="center"/>
              <w:rPr>
                <w:rFonts w:ascii="Times New Roman"/>
                <w:sz w:val="21"/>
                <w:szCs w:val="21"/>
              </w:rPr>
            </w:pPr>
          </w:p>
        </w:tc>
        <w:tc>
          <w:tcPr>
            <w:tcW w:w="528" w:type="pct"/>
            <w:vMerge w:val="continue"/>
            <w:vAlign w:val="center"/>
          </w:tcPr>
          <w:p w14:paraId="26723BDD">
            <w:pPr>
              <w:spacing w:line="360" w:lineRule="exact"/>
              <w:jc w:val="center"/>
              <w:rPr>
                <w:rFonts w:ascii="Times New Roman"/>
                <w:sz w:val="21"/>
                <w:szCs w:val="21"/>
              </w:rPr>
            </w:pPr>
          </w:p>
        </w:tc>
        <w:tc>
          <w:tcPr>
            <w:tcW w:w="576" w:type="pct"/>
            <w:vAlign w:val="center"/>
          </w:tcPr>
          <w:p w14:paraId="06068E12">
            <w:pPr>
              <w:widowControl/>
              <w:jc w:val="center"/>
              <w:textAlignment w:val="center"/>
              <w:rPr>
                <w:rFonts w:ascii="Times New Roman" w:eastAsia="仿宋_GB2312"/>
                <w:sz w:val="21"/>
                <w:szCs w:val="21"/>
              </w:rPr>
            </w:pPr>
            <w:r>
              <w:rPr>
                <w:rFonts w:hint="eastAsia" w:ascii="Times New Roman" w:eastAsia="仿宋_GB2312"/>
                <w:sz w:val="21"/>
                <w:szCs w:val="21"/>
              </w:rPr>
              <w:t>47</w:t>
            </w:r>
          </w:p>
        </w:tc>
        <w:tc>
          <w:tcPr>
            <w:tcW w:w="548" w:type="pct"/>
            <w:vMerge w:val="continue"/>
            <w:vAlign w:val="center"/>
          </w:tcPr>
          <w:p w14:paraId="42D0376A">
            <w:pPr>
              <w:spacing w:line="360" w:lineRule="exact"/>
              <w:jc w:val="center"/>
              <w:rPr>
                <w:rFonts w:ascii="Times New Roman"/>
                <w:sz w:val="21"/>
                <w:szCs w:val="21"/>
              </w:rPr>
            </w:pPr>
          </w:p>
        </w:tc>
        <w:tc>
          <w:tcPr>
            <w:tcW w:w="682" w:type="pct"/>
            <w:vMerge w:val="continue"/>
            <w:vAlign w:val="center"/>
          </w:tcPr>
          <w:p w14:paraId="3A8C73A7">
            <w:pPr>
              <w:spacing w:line="360" w:lineRule="exact"/>
              <w:jc w:val="center"/>
              <w:rPr>
                <w:rFonts w:ascii="Times New Roman"/>
                <w:sz w:val="21"/>
                <w:szCs w:val="21"/>
              </w:rPr>
            </w:pPr>
          </w:p>
        </w:tc>
      </w:tr>
      <w:tr w14:paraId="28D8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19" w:type="pct"/>
            <w:vMerge w:val="continue"/>
            <w:vAlign w:val="center"/>
          </w:tcPr>
          <w:p w14:paraId="3F1D6A59">
            <w:pPr>
              <w:spacing w:line="360" w:lineRule="exact"/>
              <w:jc w:val="center"/>
              <w:rPr>
                <w:rFonts w:ascii="Times New Roman"/>
                <w:sz w:val="21"/>
                <w:szCs w:val="21"/>
              </w:rPr>
            </w:pPr>
          </w:p>
        </w:tc>
        <w:tc>
          <w:tcPr>
            <w:tcW w:w="724" w:type="pct"/>
            <w:vAlign w:val="center"/>
          </w:tcPr>
          <w:p w14:paraId="1892C785">
            <w:pPr>
              <w:spacing w:line="360" w:lineRule="exact"/>
              <w:jc w:val="center"/>
              <w:rPr>
                <w:rFonts w:ascii="Times New Roman"/>
                <w:sz w:val="21"/>
                <w:szCs w:val="21"/>
              </w:rPr>
            </w:pPr>
            <w:r>
              <w:rPr>
                <w:rFonts w:hint="eastAsia" w:ascii="Times New Roman"/>
                <w:sz w:val="21"/>
                <w:szCs w:val="21"/>
              </w:rPr>
              <w:t>厂界南</w:t>
            </w:r>
            <w:r>
              <w:rPr>
                <w:rFonts w:ascii="Times New Roman"/>
                <w:sz w:val="21"/>
                <w:szCs w:val="21"/>
              </w:rPr>
              <w:t>4#</w:t>
            </w:r>
          </w:p>
        </w:tc>
        <w:tc>
          <w:tcPr>
            <w:tcW w:w="688" w:type="pct"/>
            <w:vAlign w:val="center"/>
          </w:tcPr>
          <w:p w14:paraId="5CA15C80">
            <w:pPr>
              <w:widowControl/>
              <w:jc w:val="center"/>
              <w:textAlignment w:val="center"/>
              <w:rPr>
                <w:rFonts w:ascii="Times New Roman" w:eastAsia="仿宋_GB2312"/>
                <w:sz w:val="21"/>
                <w:szCs w:val="21"/>
              </w:rPr>
            </w:pPr>
            <w:r>
              <w:rPr>
                <w:rFonts w:hint="eastAsia" w:ascii="Times New Roman" w:eastAsia="仿宋_GB2312"/>
                <w:sz w:val="21"/>
                <w:szCs w:val="21"/>
              </w:rPr>
              <w:t>55</w:t>
            </w:r>
          </w:p>
        </w:tc>
        <w:tc>
          <w:tcPr>
            <w:tcW w:w="632" w:type="pct"/>
            <w:vMerge w:val="continue"/>
            <w:vAlign w:val="center"/>
          </w:tcPr>
          <w:p w14:paraId="4D4464AE">
            <w:pPr>
              <w:spacing w:line="360" w:lineRule="exact"/>
              <w:jc w:val="center"/>
              <w:rPr>
                <w:rFonts w:ascii="Times New Roman"/>
                <w:sz w:val="21"/>
                <w:szCs w:val="21"/>
              </w:rPr>
            </w:pPr>
          </w:p>
        </w:tc>
        <w:tc>
          <w:tcPr>
            <w:tcW w:w="528" w:type="pct"/>
            <w:vMerge w:val="continue"/>
            <w:vAlign w:val="center"/>
          </w:tcPr>
          <w:p w14:paraId="46BF737C">
            <w:pPr>
              <w:spacing w:line="360" w:lineRule="exact"/>
              <w:jc w:val="center"/>
              <w:rPr>
                <w:rFonts w:ascii="Times New Roman"/>
                <w:sz w:val="21"/>
                <w:szCs w:val="21"/>
              </w:rPr>
            </w:pPr>
          </w:p>
        </w:tc>
        <w:tc>
          <w:tcPr>
            <w:tcW w:w="576" w:type="pct"/>
            <w:vAlign w:val="center"/>
          </w:tcPr>
          <w:p w14:paraId="04AB7FC9">
            <w:pPr>
              <w:widowControl/>
              <w:jc w:val="center"/>
              <w:textAlignment w:val="center"/>
              <w:rPr>
                <w:rFonts w:ascii="Times New Roman" w:eastAsia="仿宋_GB2312"/>
                <w:sz w:val="21"/>
                <w:szCs w:val="21"/>
              </w:rPr>
            </w:pPr>
            <w:r>
              <w:rPr>
                <w:rFonts w:hint="eastAsia" w:ascii="Times New Roman" w:eastAsia="仿宋_GB2312"/>
                <w:sz w:val="21"/>
                <w:szCs w:val="21"/>
              </w:rPr>
              <w:t>48</w:t>
            </w:r>
          </w:p>
        </w:tc>
        <w:tc>
          <w:tcPr>
            <w:tcW w:w="548" w:type="pct"/>
            <w:vMerge w:val="continue"/>
            <w:vAlign w:val="center"/>
          </w:tcPr>
          <w:p w14:paraId="4A75E9CE">
            <w:pPr>
              <w:spacing w:line="360" w:lineRule="exact"/>
              <w:jc w:val="center"/>
              <w:rPr>
                <w:rFonts w:ascii="Times New Roman"/>
                <w:sz w:val="21"/>
                <w:szCs w:val="21"/>
              </w:rPr>
            </w:pPr>
          </w:p>
        </w:tc>
        <w:tc>
          <w:tcPr>
            <w:tcW w:w="682" w:type="pct"/>
            <w:vMerge w:val="continue"/>
            <w:vAlign w:val="center"/>
          </w:tcPr>
          <w:p w14:paraId="41BF72AE">
            <w:pPr>
              <w:spacing w:line="360" w:lineRule="exact"/>
              <w:jc w:val="center"/>
              <w:rPr>
                <w:rFonts w:ascii="Times New Roman"/>
                <w:sz w:val="21"/>
                <w:szCs w:val="21"/>
              </w:rPr>
            </w:pPr>
          </w:p>
        </w:tc>
      </w:tr>
    </w:tbl>
    <w:p w14:paraId="5E845241">
      <w:pPr>
        <w:spacing w:line="480" w:lineRule="exact"/>
        <w:ind w:firstLine="480" w:firstLineChars="200"/>
        <w:rPr>
          <w:rFonts w:ascii="Times New Roman"/>
          <w:sz w:val="24"/>
          <w:szCs w:val="24"/>
        </w:rPr>
      </w:pPr>
      <w:r>
        <w:rPr>
          <w:rFonts w:ascii="Times New Roman"/>
          <w:sz w:val="24"/>
          <w:szCs w:val="24"/>
        </w:rPr>
        <w:t>由表4.2-11可知，项目厂界声环境监测值昼间为</w:t>
      </w:r>
      <w:r>
        <w:rPr>
          <w:rFonts w:hint="eastAsia" w:ascii="Times New Roman"/>
          <w:sz w:val="24"/>
          <w:szCs w:val="24"/>
        </w:rPr>
        <w:t>50</w:t>
      </w:r>
      <w:r>
        <w:rPr>
          <w:rFonts w:ascii="Times New Roman"/>
          <w:sz w:val="24"/>
          <w:szCs w:val="24"/>
        </w:rPr>
        <w:t>-</w:t>
      </w:r>
      <w:r>
        <w:rPr>
          <w:rFonts w:hint="eastAsia" w:ascii="Times New Roman"/>
          <w:sz w:val="24"/>
          <w:szCs w:val="24"/>
        </w:rPr>
        <w:t>57</w:t>
      </w:r>
      <w:r>
        <w:rPr>
          <w:rFonts w:ascii="Times New Roman"/>
          <w:sz w:val="24"/>
          <w:szCs w:val="24"/>
        </w:rPr>
        <w:t>dB（A），夜间为</w:t>
      </w:r>
      <w:r>
        <w:rPr>
          <w:rFonts w:hint="eastAsia" w:ascii="Times New Roman"/>
          <w:sz w:val="24"/>
          <w:szCs w:val="24"/>
        </w:rPr>
        <w:t>46</w:t>
      </w:r>
      <w:r>
        <w:rPr>
          <w:rFonts w:ascii="Times New Roman"/>
          <w:sz w:val="24"/>
          <w:szCs w:val="24"/>
        </w:rPr>
        <w:t>-</w:t>
      </w:r>
      <w:r>
        <w:rPr>
          <w:rFonts w:hint="eastAsia" w:ascii="Times New Roman"/>
          <w:sz w:val="24"/>
          <w:szCs w:val="24"/>
        </w:rPr>
        <w:t>48</w:t>
      </w:r>
      <w:r>
        <w:rPr>
          <w:rFonts w:ascii="Times New Roman"/>
          <w:sz w:val="24"/>
          <w:szCs w:val="24"/>
        </w:rPr>
        <w:t>dB（A），满足《声环境质量标准》（GB3096-2008）3类标准要求。</w:t>
      </w:r>
    </w:p>
    <w:p w14:paraId="2381F6D2">
      <w:pPr>
        <w:spacing w:line="480" w:lineRule="exact"/>
        <w:outlineLvl w:val="2"/>
        <w:rPr>
          <w:rFonts w:ascii="Times New Roman"/>
          <w:b/>
          <w:sz w:val="28"/>
          <w:szCs w:val="28"/>
        </w:rPr>
      </w:pPr>
      <w:r>
        <w:rPr>
          <w:rFonts w:ascii="Times New Roman"/>
          <w:b/>
          <w:sz w:val="28"/>
          <w:szCs w:val="28"/>
        </w:rPr>
        <w:t>4.2.4土壤环境现状监测与评价</w:t>
      </w:r>
    </w:p>
    <w:p w14:paraId="6AC78181">
      <w:pPr>
        <w:pStyle w:val="961"/>
        <w:ind w:firstLine="520"/>
      </w:pPr>
      <w:r>
        <w:t>项目</w:t>
      </w:r>
      <w:r>
        <w:rPr>
          <w:rFonts w:hint="eastAsia"/>
        </w:rPr>
        <w:t>土壤</w:t>
      </w:r>
      <w:r>
        <w:t>环境质量现状委托河北</w:t>
      </w:r>
      <w:r>
        <w:rPr>
          <w:rFonts w:hint="eastAsia"/>
        </w:rPr>
        <w:t>恒丰监测技术服务</w:t>
      </w:r>
      <w:r>
        <w:t>有限公司进行监测，报告编号：</w:t>
      </w:r>
      <w:r>
        <w:rPr>
          <w:rFonts w:hint="eastAsia"/>
        </w:rPr>
        <w:t>HFHJ(2024)WT1444</w:t>
      </w:r>
      <w:r>
        <w:t>，</w:t>
      </w:r>
      <w:r>
        <w:rPr>
          <w:rFonts w:hint="eastAsia"/>
        </w:rPr>
        <w:t>采样</w:t>
      </w:r>
      <w:r>
        <w:t>时间为202</w:t>
      </w:r>
      <w:r>
        <w:rPr>
          <w:rFonts w:hint="eastAsia"/>
        </w:rPr>
        <w:t>4</w:t>
      </w:r>
      <w:r>
        <w:t>年</w:t>
      </w:r>
      <w:r>
        <w:rPr>
          <w:rFonts w:hint="eastAsia"/>
        </w:rPr>
        <w:t>12</w:t>
      </w:r>
      <w:r>
        <w:t>月</w:t>
      </w:r>
      <w:r>
        <w:rPr>
          <w:rFonts w:hint="eastAsia"/>
        </w:rPr>
        <w:t>6</w:t>
      </w:r>
      <w:r>
        <w:t>日。</w:t>
      </w:r>
    </w:p>
    <w:p w14:paraId="500EE354">
      <w:pPr>
        <w:autoSpaceDE w:val="0"/>
        <w:autoSpaceDN w:val="0"/>
        <w:adjustRightInd w:val="0"/>
        <w:snapToGrid w:val="0"/>
        <w:spacing w:line="480" w:lineRule="exact"/>
        <w:jc w:val="left"/>
        <w:outlineLvl w:val="3"/>
        <w:rPr>
          <w:rFonts w:ascii="Times New Roman"/>
          <w:b/>
          <w:kern w:val="0"/>
          <w:sz w:val="24"/>
          <w:szCs w:val="24"/>
        </w:rPr>
      </w:pPr>
      <w:r>
        <w:rPr>
          <w:rFonts w:ascii="Times New Roman"/>
          <w:b/>
          <w:kern w:val="0"/>
          <w:sz w:val="24"/>
          <w:szCs w:val="24"/>
        </w:rPr>
        <w:t>4.2.4.1现状监测</w:t>
      </w:r>
    </w:p>
    <w:p w14:paraId="1291776C">
      <w:pPr>
        <w:widowControl/>
        <w:spacing w:line="480" w:lineRule="exact"/>
        <w:ind w:firstLine="480" w:firstLineChars="200"/>
        <w:rPr>
          <w:rFonts w:ascii="Times New Roman"/>
          <w:kern w:val="0"/>
          <w:sz w:val="24"/>
          <w:szCs w:val="24"/>
        </w:rPr>
      </w:pPr>
      <w:r>
        <w:rPr>
          <w:rFonts w:ascii="Times New Roman"/>
          <w:kern w:val="0"/>
          <w:sz w:val="24"/>
          <w:szCs w:val="24"/>
        </w:rPr>
        <w:t>（1）监测点位</w:t>
      </w:r>
    </w:p>
    <w:p w14:paraId="6F132CC6">
      <w:pPr>
        <w:widowControl/>
        <w:spacing w:line="480" w:lineRule="exact"/>
        <w:ind w:firstLine="480" w:firstLineChars="200"/>
        <w:rPr>
          <w:rFonts w:ascii="Times New Roman"/>
          <w:kern w:val="0"/>
          <w:sz w:val="24"/>
          <w:szCs w:val="24"/>
        </w:rPr>
      </w:pPr>
      <w:r>
        <w:rPr>
          <w:rFonts w:ascii="Times New Roman"/>
          <w:kern w:val="0"/>
          <w:sz w:val="24"/>
          <w:szCs w:val="24"/>
        </w:rPr>
        <w:t>在厂区范围内本项目占地范围内设置3个柱状样、1个表层样，在厂区占地范围外设置2个表层样，共设置6个监测点位。</w:t>
      </w:r>
    </w:p>
    <w:p w14:paraId="6234B843">
      <w:pPr>
        <w:widowControl/>
        <w:spacing w:line="480" w:lineRule="exact"/>
        <w:ind w:firstLine="480" w:firstLineChars="200"/>
        <w:rPr>
          <w:rFonts w:ascii="Times New Roman"/>
          <w:kern w:val="0"/>
          <w:sz w:val="24"/>
          <w:szCs w:val="24"/>
        </w:rPr>
      </w:pPr>
      <w:r>
        <w:rPr>
          <w:rFonts w:ascii="Times New Roman"/>
          <w:kern w:val="0"/>
          <w:sz w:val="24"/>
          <w:szCs w:val="24"/>
        </w:rPr>
        <w:t>（2）监测项目及监测点位</w:t>
      </w:r>
    </w:p>
    <w:p w14:paraId="221C7520">
      <w:pPr>
        <w:pStyle w:val="70"/>
        <w:rPr>
          <w:kern w:val="0"/>
          <w:sz w:val="24"/>
          <w:szCs w:val="24"/>
        </w:rPr>
      </w:pPr>
    </w:p>
    <w:p w14:paraId="4D764F18">
      <w:pPr>
        <w:rPr>
          <w:rFonts w:ascii="Times New Roman"/>
          <w:kern w:val="0"/>
          <w:sz w:val="24"/>
          <w:szCs w:val="24"/>
        </w:rPr>
      </w:pPr>
    </w:p>
    <w:p w14:paraId="3B03A30C">
      <w:pPr>
        <w:pStyle w:val="70"/>
        <w:rPr>
          <w:kern w:val="0"/>
          <w:sz w:val="24"/>
          <w:szCs w:val="24"/>
        </w:rPr>
      </w:pPr>
    </w:p>
    <w:p w14:paraId="14D3F635">
      <w:pPr>
        <w:rPr>
          <w:rFonts w:ascii="Times New Roman"/>
          <w:kern w:val="0"/>
          <w:sz w:val="24"/>
          <w:szCs w:val="24"/>
        </w:rPr>
      </w:pPr>
    </w:p>
    <w:p w14:paraId="641F3D9C">
      <w:pPr>
        <w:pStyle w:val="70"/>
      </w:pPr>
    </w:p>
    <w:p w14:paraId="2BE9359A">
      <w:pPr>
        <w:widowControl/>
        <w:spacing w:line="480" w:lineRule="exact"/>
        <w:jc w:val="center"/>
        <w:rPr>
          <w:rFonts w:ascii="Times New Roman"/>
          <w:b/>
          <w:kern w:val="0"/>
          <w:sz w:val="24"/>
          <w:szCs w:val="24"/>
        </w:rPr>
      </w:pPr>
      <w:r>
        <w:rPr>
          <w:rFonts w:ascii="Times New Roman"/>
          <w:b/>
          <w:kern w:val="0"/>
          <w:sz w:val="24"/>
          <w:szCs w:val="24"/>
        </w:rPr>
        <w:t>表4.2-1</w:t>
      </w:r>
      <w:r>
        <w:rPr>
          <w:rFonts w:hint="eastAsia" w:ascii="Times New Roman"/>
          <w:b/>
          <w:kern w:val="0"/>
          <w:sz w:val="24"/>
          <w:szCs w:val="24"/>
        </w:rPr>
        <w:t>3</w:t>
      </w:r>
      <w:r>
        <w:rPr>
          <w:rFonts w:ascii="Times New Roman"/>
          <w:b/>
          <w:kern w:val="0"/>
          <w:sz w:val="24"/>
          <w:szCs w:val="24"/>
        </w:rPr>
        <w:t xml:space="preserve">  监测点位基本信息一览表</w:t>
      </w:r>
    </w:p>
    <w:tbl>
      <w:tblPr>
        <w:tblStyle w:val="8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8"/>
        <w:gridCol w:w="1541"/>
        <w:gridCol w:w="2925"/>
        <w:gridCol w:w="3182"/>
      </w:tblGrid>
      <w:tr w14:paraId="5F0C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tblHeader/>
          <w:jc w:val="center"/>
        </w:trPr>
        <w:tc>
          <w:tcPr>
            <w:tcW w:w="456" w:type="pct"/>
            <w:vAlign w:val="center"/>
          </w:tcPr>
          <w:p w14:paraId="29D41A22">
            <w:pPr>
              <w:widowControl/>
              <w:spacing w:line="340" w:lineRule="exact"/>
              <w:jc w:val="center"/>
              <w:rPr>
                <w:rFonts w:ascii="Times New Roman"/>
                <w:kern w:val="0"/>
                <w:sz w:val="21"/>
                <w:szCs w:val="21"/>
              </w:rPr>
            </w:pPr>
            <w:r>
              <w:rPr>
                <w:rFonts w:ascii="Times New Roman"/>
                <w:kern w:val="0"/>
                <w:sz w:val="21"/>
                <w:szCs w:val="21"/>
              </w:rPr>
              <w:t>编号</w:t>
            </w:r>
          </w:p>
        </w:tc>
        <w:tc>
          <w:tcPr>
            <w:tcW w:w="915" w:type="pct"/>
            <w:vAlign w:val="center"/>
          </w:tcPr>
          <w:p w14:paraId="2FCCA858">
            <w:pPr>
              <w:widowControl/>
              <w:spacing w:line="340" w:lineRule="exact"/>
              <w:jc w:val="center"/>
              <w:rPr>
                <w:rFonts w:ascii="Times New Roman"/>
                <w:kern w:val="0"/>
                <w:sz w:val="21"/>
                <w:szCs w:val="21"/>
              </w:rPr>
            </w:pPr>
            <w:r>
              <w:rPr>
                <w:rFonts w:ascii="Times New Roman"/>
                <w:kern w:val="0"/>
                <w:sz w:val="21"/>
                <w:szCs w:val="21"/>
              </w:rPr>
              <w:t>点位</w:t>
            </w:r>
          </w:p>
        </w:tc>
        <w:tc>
          <w:tcPr>
            <w:tcW w:w="1737" w:type="pct"/>
            <w:vAlign w:val="center"/>
          </w:tcPr>
          <w:p w14:paraId="207992E0">
            <w:pPr>
              <w:widowControl/>
              <w:spacing w:line="340" w:lineRule="exact"/>
              <w:jc w:val="center"/>
              <w:rPr>
                <w:rFonts w:ascii="Times New Roman"/>
                <w:kern w:val="0"/>
                <w:sz w:val="21"/>
                <w:szCs w:val="21"/>
              </w:rPr>
            </w:pPr>
            <w:r>
              <w:rPr>
                <w:rFonts w:ascii="Times New Roman"/>
                <w:kern w:val="0"/>
                <w:sz w:val="21"/>
                <w:szCs w:val="21"/>
              </w:rPr>
              <w:t>采样要求</w:t>
            </w:r>
          </w:p>
        </w:tc>
        <w:tc>
          <w:tcPr>
            <w:tcW w:w="1890" w:type="pct"/>
            <w:vAlign w:val="center"/>
          </w:tcPr>
          <w:p w14:paraId="62D0FEC7">
            <w:pPr>
              <w:widowControl/>
              <w:spacing w:line="340" w:lineRule="exact"/>
              <w:jc w:val="center"/>
              <w:rPr>
                <w:rFonts w:ascii="Times New Roman"/>
                <w:kern w:val="0"/>
                <w:sz w:val="21"/>
                <w:szCs w:val="21"/>
              </w:rPr>
            </w:pPr>
            <w:r>
              <w:rPr>
                <w:rFonts w:ascii="Times New Roman"/>
                <w:kern w:val="0"/>
                <w:sz w:val="21"/>
                <w:szCs w:val="21"/>
              </w:rPr>
              <w:t>监测因子</w:t>
            </w:r>
          </w:p>
        </w:tc>
      </w:tr>
      <w:tr w14:paraId="32F2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tblHeader/>
          <w:jc w:val="center"/>
        </w:trPr>
        <w:tc>
          <w:tcPr>
            <w:tcW w:w="456" w:type="pct"/>
            <w:tcBorders>
              <w:bottom w:val="single" w:color="auto" w:sz="4" w:space="0"/>
            </w:tcBorders>
            <w:vAlign w:val="center"/>
          </w:tcPr>
          <w:p w14:paraId="0265F3EE">
            <w:pPr>
              <w:widowControl/>
              <w:spacing w:line="340" w:lineRule="exact"/>
              <w:jc w:val="center"/>
              <w:rPr>
                <w:rFonts w:ascii="Times New Roman"/>
                <w:kern w:val="0"/>
                <w:sz w:val="21"/>
                <w:szCs w:val="21"/>
              </w:rPr>
            </w:pPr>
            <w:r>
              <w:rPr>
                <w:rFonts w:hint="eastAsia" w:ascii="Times New Roman"/>
                <w:kern w:val="0"/>
                <w:sz w:val="21"/>
                <w:szCs w:val="21"/>
              </w:rPr>
              <w:t>1</w:t>
            </w:r>
          </w:p>
        </w:tc>
        <w:tc>
          <w:tcPr>
            <w:tcW w:w="915" w:type="pct"/>
            <w:tcBorders>
              <w:bottom w:val="single" w:color="auto" w:sz="4" w:space="0"/>
            </w:tcBorders>
            <w:vAlign w:val="center"/>
          </w:tcPr>
          <w:p w14:paraId="10057C50">
            <w:pPr>
              <w:widowControl/>
              <w:spacing w:line="340" w:lineRule="exact"/>
              <w:jc w:val="center"/>
              <w:rPr>
                <w:rFonts w:ascii="Times New Roman"/>
                <w:kern w:val="0"/>
                <w:sz w:val="21"/>
                <w:szCs w:val="21"/>
              </w:rPr>
            </w:pPr>
            <w:r>
              <w:rPr>
                <w:rFonts w:ascii="Times New Roman"/>
                <w:kern w:val="0"/>
                <w:sz w:val="21"/>
                <w:szCs w:val="21"/>
              </w:rPr>
              <w:t>厂址1#</w:t>
            </w:r>
          </w:p>
        </w:tc>
        <w:tc>
          <w:tcPr>
            <w:tcW w:w="1737" w:type="pct"/>
            <w:vAlign w:val="center"/>
          </w:tcPr>
          <w:p w14:paraId="09FD0933">
            <w:pPr>
              <w:widowControl/>
              <w:spacing w:line="340" w:lineRule="exact"/>
              <w:jc w:val="center"/>
              <w:rPr>
                <w:rFonts w:ascii="Times New Roman"/>
                <w:kern w:val="0"/>
                <w:sz w:val="21"/>
                <w:szCs w:val="21"/>
              </w:rPr>
            </w:pPr>
            <w:r>
              <w:rPr>
                <w:rFonts w:ascii="Times New Roman"/>
                <w:kern w:val="0"/>
                <w:sz w:val="21"/>
                <w:szCs w:val="21"/>
              </w:rPr>
              <w:t>柱状采样点：采样深度0-0.5m、0.5-1.5m、1.5-3m处各采1个样品</w:t>
            </w:r>
          </w:p>
        </w:tc>
        <w:tc>
          <w:tcPr>
            <w:tcW w:w="1890" w:type="pct"/>
            <w:vMerge w:val="restart"/>
            <w:vAlign w:val="center"/>
          </w:tcPr>
          <w:p w14:paraId="48356B3C">
            <w:pPr>
              <w:spacing w:line="340" w:lineRule="exact"/>
              <w:jc w:val="center"/>
              <w:rPr>
                <w:rFonts w:ascii="Times New Roman"/>
                <w:kern w:val="0"/>
                <w:sz w:val="21"/>
                <w:szCs w:val="21"/>
              </w:rPr>
            </w:pPr>
            <w:r>
              <w:rPr>
                <w:rFonts w:ascii="Times New Roman"/>
                <w:kern w:val="0"/>
                <w:sz w:val="21"/>
                <w:szCs w:val="21"/>
              </w:rPr>
              <w:t>砷、镉、铬（六价）、铜、铅、汞、镍、四氯化碳、氯仿、氯甲烷、1，1-二氯乙烷、1，2-二氯乙烷、1，1-二氯乙烯、顺-1，2-二氯乙烯、反-1，2-二氯乙烯、二氯</w:t>
            </w:r>
            <w:r>
              <w:rPr>
                <w:rFonts w:hint="eastAsia" w:ascii="Times New Roman"/>
                <w:kern w:val="0"/>
                <w:sz w:val="21"/>
                <w:szCs w:val="21"/>
              </w:rPr>
              <w:t>明天</w:t>
            </w:r>
            <w:r>
              <w:rPr>
                <w:rFonts w:ascii="Times New Roman"/>
                <w:kern w:val="0"/>
                <w:sz w:val="21"/>
                <w:szCs w:val="21"/>
              </w:rPr>
              <w:t>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二苯并[a，h]蒽、茚并[1，2，3-cd]芘、萘共45项</w:t>
            </w:r>
            <w:r>
              <w:rPr>
                <w:rFonts w:hint="eastAsia" w:ascii="Times New Roman"/>
                <w:kern w:val="0"/>
                <w:sz w:val="21"/>
                <w:szCs w:val="21"/>
              </w:rPr>
              <w:t>，pH、</w:t>
            </w:r>
            <w:r>
              <w:rPr>
                <w:rFonts w:ascii="Times New Roman"/>
                <w:kern w:val="0"/>
                <w:sz w:val="21"/>
                <w:szCs w:val="21"/>
              </w:rPr>
              <w:t>石油烃</w:t>
            </w:r>
            <w:r>
              <w:rPr>
                <w:rFonts w:hint="eastAsia" w:ascii="Times New Roman"/>
                <w:kern w:val="0"/>
                <w:sz w:val="21"/>
                <w:szCs w:val="21"/>
              </w:rPr>
              <w:t>、氨氮</w:t>
            </w:r>
          </w:p>
        </w:tc>
      </w:tr>
      <w:tr w14:paraId="11CC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tblHeader/>
          <w:jc w:val="center"/>
        </w:trPr>
        <w:tc>
          <w:tcPr>
            <w:tcW w:w="456" w:type="pct"/>
            <w:tcBorders>
              <w:bottom w:val="single" w:color="auto" w:sz="4" w:space="0"/>
            </w:tcBorders>
            <w:vAlign w:val="center"/>
          </w:tcPr>
          <w:p w14:paraId="1D0B643F">
            <w:pPr>
              <w:widowControl/>
              <w:spacing w:line="340" w:lineRule="exact"/>
              <w:jc w:val="center"/>
              <w:rPr>
                <w:rFonts w:ascii="Times New Roman"/>
                <w:kern w:val="0"/>
                <w:sz w:val="21"/>
                <w:szCs w:val="21"/>
              </w:rPr>
            </w:pPr>
            <w:r>
              <w:rPr>
                <w:rFonts w:hint="eastAsia" w:ascii="Times New Roman"/>
                <w:kern w:val="0"/>
                <w:sz w:val="21"/>
                <w:szCs w:val="21"/>
              </w:rPr>
              <w:t>2</w:t>
            </w:r>
          </w:p>
        </w:tc>
        <w:tc>
          <w:tcPr>
            <w:tcW w:w="915" w:type="pct"/>
            <w:tcBorders>
              <w:bottom w:val="single" w:color="auto" w:sz="4" w:space="0"/>
            </w:tcBorders>
            <w:vAlign w:val="center"/>
          </w:tcPr>
          <w:p w14:paraId="4E2AB526">
            <w:pPr>
              <w:widowControl/>
              <w:spacing w:line="340" w:lineRule="exact"/>
              <w:jc w:val="center"/>
              <w:rPr>
                <w:rFonts w:ascii="Times New Roman"/>
                <w:kern w:val="0"/>
                <w:sz w:val="21"/>
                <w:szCs w:val="21"/>
              </w:rPr>
            </w:pPr>
            <w:r>
              <w:rPr>
                <w:rFonts w:ascii="Times New Roman"/>
                <w:kern w:val="0"/>
                <w:sz w:val="21"/>
                <w:szCs w:val="21"/>
              </w:rPr>
              <w:t>厂址</w:t>
            </w:r>
            <w:r>
              <w:rPr>
                <w:rFonts w:hint="eastAsia" w:ascii="Times New Roman"/>
                <w:kern w:val="0"/>
                <w:sz w:val="21"/>
                <w:szCs w:val="21"/>
              </w:rPr>
              <w:t>南侧</w:t>
            </w:r>
          </w:p>
        </w:tc>
        <w:tc>
          <w:tcPr>
            <w:tcW w:w="1737" w:type="pct"/>
            <w:vAlign w:val="center"/>
          </w:tcPr>
          <w:p w14:paraId="673D940F">
            <w:pPr>
              <w:widowControl/>
              <w:spacing w:line="340" w:lineRule="exact"/>
              <w:jc w:val="center"/>
              <w:rPr>
                <w:rFonts w:ascii="Times New Roman"/>
                <w:kern w:val="0"/>
                <w:sz w:val="21"/>
                <w:szCs w:val="21"/>
              </w:rPr>
            </w:pPr>
            <w:r>
              <w:rPr>
                <w:rFonts w:hint="eastAsia" w:ascii="Times New Roman"/>
                <w:kern w:val="0"/>
                <w:sz w:val="21"/>
                <w:szCs w:val="21"/>
              </w:rPr>
              <w:t>表层样</w:t>
            </w:r>
          </w:p>
        </w:tc>
        <w:tc>
          <w:tcPr>
            <w:tcW w:w="1890" w:type="pct"/>
            <w:vMerge w:val="continue"/>
            <w:vAlign w:val="center"/>
          </w:tcPr>
          <w:p w14:paraId="6D206AD1">
            <w:pPr>
              <w:widowControl/>
              <w:spacing w:line="340" w:lineRule="exact"/>
              <w:jc w:val="center"/>
              <w:rPr>
                <w:rFonts w:ascii="Times New Roman"/>
                <w:sz w:val="21"/>
                <w:szCs w:val="21"/>
              </w:rPr>
            </w:pPr>
          </w:p>
        </w:tc>
      </w:tr>
      <w:tr w14:paraId="5F40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tblHeader/>
          <w:jc w:val="center"/>
        </w:trPr>
        <w:tc>
          <w:tcPr>
            <w:tcW w:w="456" w:type="pct"/>
            <w:tcBorders>
              <w:bottom w:val="single" w:color="auto" w:sz="4" w:space="0"/>
            </w:tcBorders>
            <w:vAlign w:val="center"/>
          </w:tcPr>
          <w:p w14:paraId="48E9DE63">
            <w:pPr>
              <w:widowControl/>
              <w:spacing w:line="340" w:lineRule="exact"/>
              <w:jc w:val="center"/>
              <w:rPr>
                <w:rFonts w:ascii="Times New Roman"/>
                <w:kern w:val="0"/>
                <w:sz w:val="21"/>
                <w:szCs w:val="21"/>
              </w:rPr>
            </w:pPr>
            <w:r>
              <w:rPr>
                <w:rFonts w:hint="eastAsia" w:ascii="Times New Roman"/>
                <w:kern w:val="0"/>
                <w:sz w:val="21"/>
                <w:szCs w:val="21"/>
              </w:rPr>
              <w:t>3</w:t>
            </w:r>
          </w:p>
        </w:tc>
        <w:tc>
          <w:tcPr>
            <w:tcW w:w="915" w:type="pct"/>
            <w:tcBorders>
              <w:bottom w:val="single" w:color="auto" w:sz="4" w:space="0"/>
            </w:tcBorders>
            <w:vAlign w:val="center"/>
          </w:tcPr>
          <w:p w14:paraId="0E8A545B">
            <w:pPr>
              <w:widowControl/>
              <w:spacing w:line="340" w:lineRule="exact"/>
              <w:jc w:val="center"/>
              <w:rPr>
                <w:rFonts w:ascii="Times New Roman"/>
                <w:kern w:val="0"/>
                <w:sz w:val="21"/>
                <w:szCs w:val="21"/>
              </w:rPr>
            </w:pPr>
            <w:r>
              <w:rPr>
                <w:rFonts w:ascii="Times New Roman"/>
                <w:kern w:val="0"/>
                <w:sz w:val="21"/>
                <w:szCs w:val="21"/>
              </w:rPr>
              <w:t>厂址</w:t>
            </w:r>
            <w:r>
              <w:rPr>
                <w:rFonts w:hint="eastAsia" w:ascii="Times New Roman"/>
                <w:kern w:val="0"/>
                <w:sz w:val="21"/>
                <w:szCs w:val="21"/>
              </w:rPr>
              <w:t>2</w:t>
            </w:r>
            <w:r>
              <w:rPr>
                <w:rFonts w:ascii="Times New Roman"/>
                <w:kern w:val="0"/>
                <w:sz w:val="21"/>
                <w:szCs w:val="21"/>
              </w:rPr>
              <w:t>#</w:t>
            </w:r>
          </w:p>
        </w:tc>
        <w:tc>
          <w:tcPr>
            <w:tcW w:w="1737" w:type="pct"/>
            <w:vAlign w:val="center"/>
          </w:tcPr>
          <w:p w14:paraId="0109D3AE">
            <w:pPr>
              <w:spacing w:line="340" w:lineRule="exact"/>
              <w:jc w:val="center"/>
              <w:rPr>
                <w:rFonts w:ascii="Times New Roman"/>
                <w:kern w:val="0"/>
                <w:sz w:val="21"/>
                <w:szCs w:val="21"/>
              </w:rPr>
            </w:pPr>
            <w:r>
              <w:rPr>
                <w:rFonts w:ascii="Times New Roman"/>
                <w:kern w:val="0"/>
                <w:sz w:val="21"/>
                <w:szCs w:val="21"/>
              </w:rPr>
              <w:t>柱状采样点：采样深度0-0.5m、0.5-1.5m、1.5-3m处各采1个样品</w:t>
            </w:r>
          </w:p>
        </w:tc>
        <w:tc>
          <w:tcPr>
            <w:tcW w:w="1890" w:type="pct"/>
            <w:vMerge w:val="restart"/>
            <w:vAlign w:val="center"/>
          </w:tcPr>
          <w:p w14:paraId="59D8C788">
            <w:pPr>
              <w:spacing w:line="340" w:lineRule="exact"/>
              <w:jc w:val="center"/>
              <w:rPr>
                <w:rFonts w:ascii="Times New Roman"/>
                <w:b/>
                <w:kern w:val="0"/>
                <w:sz w:val="21"/>
                <w:szCs w:val="21"/>
              </w:rPr>
            </w:pPr>
            <w:r>
              <w:rPr>
                <w:rFonts w:hint="eastAsia" w:ascii="Times New Roman"/>
                <w:kern w:val="0"/>
                <w:sz w:val="21"/>
                <w:szCs w:val="21"/>
              </w:rPr>
              <w:t>pH、</w:t>
            </w:r>
            <w:r>
              <w:rPr>
                <w:rFonts w:ascii="Times New Roman"/>
                <w:kern w:val="0"/>
                <w:sz w:val="21"/>
                <w:szCs w:val="21"/>
              </w:rPr>
              <w:t>石油烃</w:t>
            </w:r>
            <w:r>
              <w:rPr>
                <w:rFonts w:hint="eastAsia" w:ascii="Times New Roman"/>
                <w:kern w:val="0"/>
                <w:sz w:val="21"/>
                <w:szCs w:val="21"/>
              </w:rPr>
              <w:t>、氨氮、</w:t>
            </w:r>
            <w:r>
              <w:rPr>
                <w:rFonts w:ascii="Times New Roman"/>
                <w:kern w:val="0"/>
                <w:sz w:val="21"/>
                <w:szCs w:val="21"/>
              </w:rPr>
              <w:t>苯</w:t>
            </w:r>
            <w:r>
              <w:rPr>
                <w:rFonts w:hint="eastAsia" w:ascii="Times New Roman"/>
                <w:kern w:val="0"/>
                <w:sz w:val="21"/>
                <w:szCs w:val="21"/>
              </w:rPr>
              <w:t>、</w:t>
            </w:r>
            <w:r>
              <w:rPr>
                <w:rFonts w:ascii="Times New Roman"/>
                <w:kern w:val="0"/>
                <w:sz w:val="21"/>
                <w:szCs w:val="21"/>
              </w:rPr>
              <w:t>甲苯、间二甲苯+对二甲苯、邻二甲苯</w:t>
            </w:r>
          </w:p>
        </w:tc>
      </w:tr>
      <w:tr w14:paraId="461D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0" w:hRule="atLeast"/>
          <w:tblHeader/>
          <w:jc w:val="center"/>
        </w:trPr>
        <w:tc>
          <w:tcPr>
            <w:tcW w:w="456" w:type="pct"/>
            <w:tcBorders>
              <w:bottom w:val="single" w:color="auto" w:sz="4" w:space="0"/>
            </w:tcBorders>
            <w:vAlign w:val="center"/>
          </w:tcPr>
          <w:p w14:paraId="4BFD1DD4">
            <w:pPr>
              <w:widowControl/>
              <w:spacing w:line="340" w:lineRule="exact"/>
              <w:jc w:val="center"/>
              <w:rPr>
                <w:rFonts w:ascii="Times New Roman"/>
                <w:kern w:val="0"/>
                <w:sz w:val="21"/>
                <w:szCs w:val="21"/>
              </w:rPr>
            </w:pPr>
            <w:r>
              <w:rPr>
                <w:rFonts w:hint="eastAsia" w:ascii="Times New Roman"/>
                <w:kern w:val="0"/>
                <w:sz w:val="21"/>
                <w:szCs w:val="21"/>
              </w:rPr>
              <w:t>4</w:t>
            </w:r>
          </w:p>
        </w:tc>
        <w:tc>
          <w:tcPr>
            <w:tcW w:w="915" w:type="pct"/>
            <w:tcBorders>
              <w:bottom w:val="single" w:color="auto" w:sz="4" w:space="0"/>
            </w:tcBorders>
            <w:vAlign w:val="center"/>
          </w:tcPr>
          <w:p w14:paraId="2C17C880">
            <w:pPr>
              <w:widowControl/>
              <w:spacing w:line="340" w:lineRule="exact"/>
              <w:jc w:val="center"/>
              <w:rPr>
                <w:rFonts w:ascii="Times New Roman"/>
                <w:kern w:val="0"/>
                <w:sz w:val="21"/>
                <w:szCs w:val="21"/>
              </w:rPr>
            </w:pPr>
            <w:r>
              <w:rPr>
                <w:rFonts w:hint="eastAsia" w:ascii="Times New Roman"/>
                <w:kern w:val="0"/>
                <w:sz w:val="21"/>
                <w:szCs w:val="21"/>
              </w:rPr>
              <w:t>厂址3#</w:t>
            </w:r>
          </w:p>
        </w:tc>
        <w:tc>
          <w:tcPr>
            <w:tcW w:w="1737" w:type="pct"/>
            <w:vAlign w:val="center"/>
          </w:tcPr>
          <w:p w14:paraId="51CDD379">
            <w:pPr>
              <w:spacing w:line="340" w:lineRule="exact"/>
              <w:jc w:val="center"/>
              <w:rPr>
                <w:rFonts w:ascii="Times New Roman"/>
                <w:kern w:val="0"/>
                <w:sz w:val="21"/>
                <w:szCs w:val="21"/>
              </w:rPr>
            </w:pPr>
            <w:r>
              <w:rPr>
                <w:rFonts w:ascii="Times New Roman"/>
                <w:kern w:val="0"/>
                <w:sz w:val="21"/>
                <w:szCs w:val="21"/>
              </w:rPr>
              <w:t>柱状采样点：采样深度0-0.5m、0.5-1.5m、1.5-3m处各采1个样品</w:t>
            </w:r>
          </w:p>
        </w:tc>
        <w:tc>
          <w:tcPr>
            <w:tcW w:w="1890" w:type="pct"/>
            <w:vMerge w:val="continue"/>
            <w:vAlign w:val="center"/>
          </w:tcPr>
          <w:p w14:paraId="071A12FD">
            <w:pPr>
              <w:spacing w:line="340" w:lineRule="exact"/>
              <w:jc w:val="center"/>
              <w:rPr>
                <w:rFonts w:ascii="Times New Roman"/>
                <w:b/>
                <w:kern w:val="0"/>
                <w:sz w:val="21"/>
                <w:szCs w:val="21"/>
              </w:rPr>
            </w:pPr>
          </w:p>
        </w:tc>
      </w:tr>
      <w:tr w14:paraId="298F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blHeader/>
          <w:jc w:val="center"/>
        </w:trPr>
        <w:tc>
          <w:tcPr>
            <w:tcW w:w="456" w:type="pct"/>
            <w:vAlign w:val="center"/>
          </w:tcPr>
          <w:p w14:paraId="559EA3DC">
            <w:pPr>
              <w:widowControl/>
              <w:spacing w:line="340" w:lineRule="exact"/>
              <w:jc w:val="center"/>
              <w:rPr>
                <w:rFonts w:ascii="Times New Roman"/>
                <w:kern w:val="0"/>
                <w:sz w:val="21"/>
                <w:szCs w:val="21"/>
              </w:rPr>
            </w:pPr>
            <w:r>
              <w:rPr>
                <w:rFonts w:hint="eastAsia" w:ascii="Times New Roman"/>
                <w:kern w:val="0"/>
                <w:sz w:val="21"/>
                <w:szCs w:val="21"/>
              </w:rPr>
              <w:t>5</w:t>
            </w:r>
          </w:p>
        </w:tc>
        <w:tc>
          <w:tcPr>
            <w:tcW w:w="915" w:type="pct"/>
            <w:vAlign w:val="center"/>
          </w:tcPr>
          <w:p w14:paraId="2393750A">
            <w:pPr>
              <w:widowControl/>
              <w:spacing w:line="340" w:lineRule="exact"/>
              <w:jc w:val="center"/>
              <w:rPr>
                <w:rFonts w:ascii="Times New Roman"/>
                <w:kern w:val="0"/>
                <w:sz w:val="21"/>
                <w:szCs w:val="21"/>
              </w:rPr>
            </w:pPr>
            <w:r>
              <w:rPr>
                <w:rFonts w:hint="eastAsia" w:ascii="Times New Roman"/>
                <w:kern w:val="0"/>
                <w:sz w:val="21"/>
                <w:szCs w:val="21"/>
              </w:rPr>
              <w:t>厂址4#</w:t>
            </w:r>
          </w:p>
        </w:tc>
        <w:tc>
          <w:tcPr>
            <w:tcW w:w="1737" w:type="pct"/>
            <w:vAlign w:val="center"/>
          </w:tcPr>
          <w:p w14:paraId="7A3CB0A2">
            <w:pPr>
              <w:spacing w:line="340" w:lineRule="exact"/>
              <w:jc w:val="center"/>
              <w:rPr>
                <w:rFonts w:ascii="Times New Roman"/>
                <w:kern w:val="0"/>
                <w:sz w:val="21"/>
                <w:szCs w:val="21"/>
              </w:rPr>
            </w:pPr>
            <w:r>
              <w:rPr>
                <w:rFonts w:hint="eastAsia" w:ascii="Times New Roman"/>
                <w:kern w:val="0"/>
                <w:sz w:val="21"/>
                <w:szCs w:val="21"/>
              </w:rPr>
              <w:t>表层样</w:t>
            </w:r>
          </w:p>
        </w:tc>
        <w:tc>
          <w:tcPr>
            <w:tcW w:w="1890" w:type="pct"/>
            <w:vMerge w:val="continue"/>
            <w:vAlign w:val="center"/>
          </w:tcPr>
          <w:p w14:paraId="399B34AC">
            <w:pPr>
              <w:spacing w:line="340" w:lineRule="exact"/>
              <w:jc w:val="center"/>
              <w:rPr>
                <w:rFonts w:ascii="Times New Roman"/>
                <w:b/>
                <w:kern w:val="0"/>
                <w:sz w:val="21"/>
                <w:szCs w:val="21"/>
              </w:rPr>
            </w:pPr>
          </w:p>
        </w:tc>
      </w:tr>
      <w:tr w14:paraId="130B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blHeader/>
          <w:jc w:val="center"/>
        </w:trPr>
        <w:tc>
          <w:tcPr>
            <w:tcW w:w="456" w:type="pct"/>
            <w:tcBorders>
              <w:bottom w:val="single" w:color="auto" w:sz="4" w:space="0"/>
            </w:tcBorders>
            <w:vAlign w:val="center"/>
          </w:tcPr>
          <w:p w14:paraId="2AD59378">
            <w:pPr>
              <w:widowControl/>
              <w:spacing w:line="340" w:lineRule="exact"/>
              <w:jc w:val="center"/>
              <w:rPr>
                <w:rFonts w:ascii="Times New Roman"/>
                <w:kern w:val="0"/>
                <w:sz w:val="21"/>
                <w:szCs w:val="21"/>
              </w:rPr>
            </w:pPr>
            <w:r>
              <w:rPr>
                <w:rFonts w:hint="eastAsia" w:ascii="Times New Roman"/>
                <w:kern w:val="0"/>
                <w:sz w:val="21"/>
                <w:szCs w:val="21"/>
              </w:rPr>
              <w:t>6</w:t>
            </w:r>
          </w:p>
        </w:tc>
        <w:tc>
          <w:tcPr>
            <w:tcW w:w="915" w:type="pct"/>
            <w:tcBorders>
              <w:bottom w:val="single" w:color="auto" w:sz="4" w:space="0"/>
            </w:tcBorders>
            <w:vAlign w:val="center"/>
          </w:tcPr>
          <w:p w14:paraId="3CD978DE">
            <w:pPr>
              <w:spacing w:line="340" w:lineRule="exact"/>
              <w:jc w:val="center"/>
              <w:rPr>
                <w:rFonts w:ascii="Times New Roman"/>
                <w:kern w:val="0"/>
                <w:sz w:val="21"/>
                <w:szCs w:val="21"/>
              </w:rPr>
            </w:pPr>
            <w:r>
              <w:rPr>
                <w:rFonts w:hint="eastAsia" w:ascii="Times New Roman"/>
                <w:kern w:val="0"/>
                <w:sz w:val="21"/>
                <w:szCs w:val="21"/>
              </w:rPr>
              <w:t>厂址北侧</w:t>
            </w:r>
          </w:p>
        </w:tc>
        <w:tc>
          <w:tcPr>
            <w:tcW w:w="1737" w:type="pct"/>
            <w:vAlign w:val="center"/>
          </w:tcPr>
          <w:p w14:paraId="336F4F28">
            <w:pPr>
              <w:spacing w:line="340" w:lineRule="exact"/>
              <w:jc w:val="center"/>
              <w:rPr>
                <w:rFonts w:ascii="Times New Roman"/>
                <w:kern w:val="0"/>
                <w:sz w:val="21"/>
                <w:szCs w:val="21"/>
              </w:rPr>
            </w:pPr>
            <w:r>
              <w:rPr>
                <w:rFonts w:hint="eastAsia" w:ascii="Times New Roman"/>
                <w:kern w:val="0"/>
                <w:sz w:val="21"/>
                <w:szCs w:val="21"/>
              </w:rPr>
              <w:t>表层样</w:t>
            </w:r>
          </w:p>
        </w:tc>
        <w:tc>
          <w:tcPr>
            <w:tcW w:w="1890" w:type="pct"/>
            <w:vMerge w:val="continue"/>
            <w:vAlign w:val="center"/>
          </w:tcPr>
          <w:p w14:paraId="40DD39E4">
            <w:pPr>
              <w:spacing w:line="340" w:lineRule="exact"/>
              <w:jc w:val="center"/>
              <w:rPr>
                <w:rFonts w:ascii="Times New Roman"/>
                <w:b/>
                <w:kern w:val="0"/>
                <w:sz w:val="21"/>
                <w:szCs w:val="21"/>
              </w:rPr>
            </w:pPr>
          </w:p>
        </w:tc>
      </w:tr>
    </w:tbl>
    <w:p w14:paraId="53AFE28E">
      <w:pPr>
        <w:widowControl/>
        <w:spacing w:line="480" w:lineRule="exact"/>
        <w:ind w:firstLine="480" w:firstLineChars="200"/>
        <w:rPr>
          <w:rFonts w:ascii="Times New Roman"/>
          <w:kern w:val="0"/>
          <w:sz w:val="24"/>
          <w:szCs w:val="24"/>
        </w:rPr>
      </w:pPr>
      <w:r>
        <w:rPr>
          <w:rFonts w:ascii="Times New Roman"/>
          <w:kern w:val="0"/>
          <w:sz w:val="24"/>
          <w:szCs w:val="24"/>
        </w:rPr>
        <w:t>同步调查：土体结构、土壤结构、土壤质地、阳离子交换量、氧化还原电位、饱和导水率、土壤容重、孔隙度，记录调查点位经纬度坐标、时间、层次。</w:t>
      </w:r>
    </w:p>
    <w:p w14:paraId="7331462C">
      <w:pPr>
        <w:widowControl/>
        <w:spacing w:line="480" w:lineRule="exact"/>
        <w:ind w:firstLine="480" w:firstLineChars="200"/>
        <w:rPr>
          <w:rFonts w:ascii="Times New Roman"/>
          <w:kern w:val="0"/>
          <w:sz w:val="24"/>
          <w:szCs w:val="24"/>
        </w:rPr>
      </w:pPr>
      <w:r>
        <w:rPr>
          <w:rFonts w:ascii="Times New Roman"/>
          <w:kern w:val="0"/>
          <w:sz w:val="24"/>
          <w:szCs w:val="24"/>
        </w:rPr>
        <w:t>（3）监测时间及频率</w:t>
      </w:r>
    </w:p>
    <w:p w14:paraId="79B6A79B">
      <w:pPr>
        <w:spacing w:line="480" w:lineRule="exact"/>
        <w:ind w:firstLine="480" w:firstLineChars="200"/>
        <w:jc w:val="left"/>
        <w:rPr>
          <w:rFonts w:ascii="Times New Roman"/>
          <w:kern w:val="0"/>
          <w:sz w:val="24"/>
          <w:szCs w:val="24"/>
        </w:rPr>
      </w:pPr>
      <w:r>
        <w:rPr>
          <w:rFonts w:ascii="Times New Roman"/>
          <w:kern w:val="0"/>
          <w:sz w:val="24"/>
          <w:szCs w:val="24"/>
        </w:rPr>
        <w:t>监测时间：202</w:t>
      </w:r>
      <w:r>
        <w:rPr>
          <w:rFonts w:hint="eastAsia" w:ascii="Times New Roman"/>
          <w:kern w:val="0"/>
          <w:sz w:val="24"/>
          <w:szCs w:val="24"/>
        </w:rPr>
        <w:t>4</w:t>
      </w:r>
      <w:r>
        <w:rPr>
          <w:rFonts w:ascii="Times New Roman"/>
          <w:kern w:val="0"/>
          <w:sz w:val="24"/>
          <w:szCs w:val="24"/>
        </w:rPr>
        <w:t>年</w:t>
      </w:r>
      <w:r>
        <w:rPr>
          <w:rFonts w:hint="eastAsia" w:ascii="Times New Roman"/>
          <w:kern w:val="0"/>
          <w:sz w:val="24"/>
          <w:szCs w:val="24"/>
        </w:rPr>
        <w:t>12</w:t>
      </w:r>
      <w:r>
        <w:rPr>
          <w:rFonts w:ascii="Times New Roman"/>
          <w:kern w:val="0"/>
          <w:sz w:val="24"/>
          <w:szCs w:val="24"/>
        </w:rPr>
        <w:t>月</w:t>
      </w:r>
      <w:r>
        <w:rPr>
          <w:rFonts w:hint="eastAsia" w:ascii="Times New Roman"/>
          <w:kern w:val="0"/>
          <w:sz w:val="24"/>
          <w:szCs w:val="24"/>
        </w:rPr>
        <w:t>5</w:t>
      </w:r>
      <w:r>
        <w:rPr>
          <w:rFonts w:ascii="Times New Roman"/>
          <w:kern w:val="0"/>
          <w:sz w:val="24"/>
          <w:szCs w:val="24"/>
        </w:rPr>
        <w:t>日</w:t>
      </w:r>
      <w:r>
        <w:rPr>
          <w:rFonts w:hint="eastAsia" w:ascii="Times New Roman"/>
          <w:kern w:val="0"/>
          <w:sz w:val="24"/>
          <w:szCs w:val="24"/>
        </w:rPr>
        <w:t>~2024.12.11</w:t>
      </w:r>
      <w:r>
        <w:rPr>
          <w:rFonts w:ascii="Times New Roman"/>
          <w:kern w:val="0"/>
          <w:sz w:val="24"/>
          <w:szCs w:val="24"/>
        </w:rPr>
        <w:t>；</w:t>
      </w:r>
    </w:p>
    <w:p w14:paraId="27445F04">
      <w:pPr>
        <w:spacing w:line="480" w:lineRule="exact"/>
        <w:ind w:firstLine="480" w:firstLineChars="200"/>
        <w:jc w:val="left"/>
        <w:rPr>
          <w:rFonts w:ascii="Times New Roman"/>
          <w:kern w:val="0"/>
          <w:sz w:val="24"/>
          <w:szCs w:val="24"/>
        </w:rPr>
      </w:pPr>
      <w:r>
        <w:rPr>
          <w:rFonts w:ascii="Times New Roman"/>
          <w:kern w:val="0"/>
          <w:sz w:val="24"/>
          <w:szCs w:val="24"/>
        </w:rPr>
        <w:t>监测频率：监测1次。</w:t>
      </w:r>
    </w:p>
    <w:p w14:paraId="2B89D68A">
      <w:pPr>
        <w:widowControl/>
        <w:spacing w:line="480" w:lineRule="exact"/>
        <w:ind w:firstLine="480" w:firstLineChars="200"/>
        <w:rPr>
          <w:rFonts w:ascii="Times New Roman"/>
          <w:snapToGrid w:val="0"/>
          <w:sz w:val="24"/>
          <w:szCs w:val="24"/>
        </w:rPr>
      </w:pPr>
      <w:r>
        <w:rPr>
          <w:rFonts w:ascii="Times New Roman"/>
          <w:snapToGrid w:val="0"/>
          <w:sz w:val="24"/>
          <w:szCs w:val="24"/>
        </w:rPr>
        <w:t>（4）采样分析方法</w:t>
      </w:r>
    </w:p>
    <w:p w14:paraId="7ED6DE1B">
      <w:pPr>
        <w:widowControl/>
        <w:spacing w:line="480" w:lineRule="exact"/>
        <w:ind w:firstLine="480" w:firstLineChars="200"/>
        <w:rPr>
          <w:rFonts w:ascii="Times New Roman"/>
          <w:snapToGrid w:val="0"/>
          <w:sz w:val="24"/>
          <w:szCs w:val="24"/>
        </w:rPr>
      </w:pPr>
      <w:r>
        <w:rPr>
          <w:rFonts w:ascii="Times New Roman"/>
          <w:snapToGrid w:val="0"/>
          <w:sz w:val="24"/>
          <w:szCs w:val="24"/>
        </w:rPr>
        <w:t>采样及分析方法按照《环境监测分析方法》、《全国土壤污染状况调查样品分析测试技术规定》中规定的方法进行。具体分析方法及检出限见表4.2-1</w:t>
      </w:r>
      <w:r>
        <w:rPr>
          <w:rFonts w:hint="eastAsia" w:ascii="Times New Roman"/>
          <w:snapToGrid w:val="0"/>
          <w:sz w:val="24"/>
          <w:szCs w:val="24"/>
        </w:rPr>
        <w:t>4</w:t>
      </w:r>
      <w:r>
        <w:rPr>
          <w:rFonts w:ascii="Times New Roman"/>
          <w:snapToGrid w:val="0"/>
          <w:sz w:val="24"/>
          <w:szCs w:val="24"/>
        </w:rPr>
        <w:t>。</w:t>
      </w:r>
    </w:p>
    <w:p w14:paraId="3F5A3CB2">
      <w:pPr>
        <w:widowControl/>
        <w:spacing w:line="480" w:lineRule="exact"/>
        <w:ind w:firstLine="482" w:firstLineChars="200"/>
        <w:jc w:val="center"/>
        <w:rPr>
          <w:rFonts w:ascii="Times New Roman"/>
          <w:b/>
          <w:bCs/>
          <w:snapToGrid w:val="0"/>
          <w:sz w:val="24"/>
          <w:szCs w:val="24"/>
        </w:rPr>
      </w:pPr>
      <w:r>
        <w:rPr>
          <w:rFonts w:ascii="Times New Roman"/>
          <w:b/>
          <w:bCs/>
          <w:snapToGrid w:val="0"/>
          <w:sz w:val="24"/>
          <w:szCs w:val="24"/>
        </w:rPr>
        <w:t>表4.2-1</w:t>
      </w:r>
      <w:r>
        <w:rPr>
          <w:rFonts w:hint="eastAsia" w:ascii="Times New Roman"/>
          <w:b/>
          <w:bCs/>
          <w:snapToGrid w:val="0"/>
          <w:sz w:val="24"/>
          <w:szCs w:val="24"/>
        </w:rPr>
        <w:t>4</w:t>
      </w:r>
      <w:r>
        <w:rPr>
          <w:rFonts w:ascii="Times New Roman"/>
          <w:b/>
          <w:bCs/>
          <w:snapToGrid w:val="0"/>
          <w:sz w:val="24"/>
          <w:szCs w:val="24"/>
        </w:rPr>
        <w:t xml:space="preserve">  土壤环境监测项目分析方法及来源</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51"/>
        <w:gridCol w:w="2602"/>
        <w:gridCol w:w="2645"/>
        <w:gridCol w:w="1295"/>
      </w:tblGrid>
      <w:tr w14:paraId="426C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250" w:type="pct"/>
            <w:vAlign w:val="center"/>
          </w:tcPr>
          <w:p w14:paraId="1D4C1C8C">
            <w:pPr>
              <w:jc w:val="center"/>
              <w:rPr>
                <w:rFonts w:ascii="Times New Roman"/>
                <w:sz w:val="21"/>
                <w:szCs w:val="21"/>
              </w:rPr>
            </w:pPr>
            <w:r>
              <w:rPr>
                <w:rFonts w:ascii="Times New Roman"/>
                <w:sz w:val="21"/>
                <w:szCs w:val="21"/>
              </w:rPr>
              <w:t>序号</w:t>
            </w:r>
          </w:p>
        </w:tc>
        <w:tc>
          <w:tcPr>
            <w:tcW w:w="910" w:type="pct"/>
            <w:vAlign w:val="center"/>
          </w:tcPr>
          <w:p w14:paraId="5A73DB26">
            <w:pPr>
              <w:jc w:val="center"/>
              <w:rPr>
                <w:rFonts w:ascii="Times New Roman"/>
                <w:sz w:val="21"/>
                <w:szCs w:val="21"/>
              </w:rPr>
            </w:pPr>
            <w:r>
              <w:rPr>
                <w:rFonts w:ascii="Times New Roman"/>
                <w:sz w:val="21"/>
                <w:szCs w:val="21"/>
              </w:rPr>
              <w:t>检测项目</w:t>
            </w:r>
          </w:p>
        </w:tc>
        <w:tc>
          <w:tcPr>
            <w:tcW w:w="1527" w:type="pct"/>
            <w:vAlign w:val="center"/>
          </w:tcPr>
          <w:p w14:paraId="1508119F">
            <w:pPr>
              <w:jc w:val="center"/>
              <w:rPr>
                <w:rFonts w:ascii="Times New Roman"/>
                <w:sz w:val="21"/>
                <w:szCs w:val="21"/>
              </w:rPr>
            </w:pPr>
            <w:r>
              <w:rPr>
                <w:rFonts w:ascii="Times New Roman"/>
                <w:sz w:val="21"/>
                <w:szCs w:val="21"/>
              </w:rPr>
              <w:t>分析方法</w:t>
            </w:r>
          </w:p>
        </w:tc>
        <w:tc>
          <w:tcPr>
            <w:tcW w:w="1552" w:type="pct"/>
            <w:vAlign w:val="center"/>
          </w:tcPr>
          <w:p w14:paraId="4985C39F">
            <w:pPr>
              <w:jc w:val="center"/>
              <w:rPr>
                <w:rFonts w:ascii="Times New Roman"/>
                <w:sz w:val="21"/>
                <w:szCs w:val="21"/>
              </w:rPr>
            </w:pPr>
            <w:r>
              <w:rPr>
                <w:rFonts w:ascii="Times New Roman"/>
                <w:sz w:val="21"/>
                <w:szCs w:val="21"/>
              </w:rPr>
              <w:t>分析仪器</w:t>
            </w:r>
          </w:p>
        </w:tc>
        <w:tc>
          <w:tcPr>
            <w:tcW w:w="760" w:type="pct"/>
            <w:vAlign w:val="center"/>
          </w:tcPr>
          <w:p w14:paraId="5EEE81E8">
            <w:pPr>
              <w:jc w:val="center"/>
              <w:rPr>
                <w:rFonts w:ascii="Times New Roman"/>
                <w:sz w:val="21"/>
                <w:szCs w:val="21"/>
              </w:rPr>
            </w:pPr>
            <w:r>
              <w:rPr>
                <w:rFonts w:ascii="Times New Roman"/>
                <w:sz w:val="21"/>
                <w:szCs w:val="21"/>
              </w:rPr>
              <w:t>检出限</w:t>
            </w:r>
          </w:p>
        </w:tc>
      </w:tr>
      <w:tr w14:paraId="56F2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50" w:type="pct"/>
            <w:vAlign w:val="center"/>
          </w:tcPr>
          <w:p w14:paraId="4E0C8A08">
            <w:pPr>
              <w:jc w:val="center"/>
              <w:rPr>
                <w:rFonts w:ascii="Times New Roman"/>
                <w:sz w:val="21"/>
                <w:szCs w:val="21"/>
              </w:rPr>
            </w:pPr>
            <w:r>
              <w:rPr>
                <w:rFonts w:ascii="Times New Roman"/>
                <w:sz w:val="21"/>
                <w:szCs w:val="21"/>
              </w:rPr>
              <w:t>1</w:t>
            </w:r>
          </w:p>
        </w:tc>
        <w:tc>
          <w:tcPr>
            <w:tcW w:w="910" w:type="pct"/>
            <w:vAlign w:val="center"/>
          </w:tcPr>
          <w:p w14:paraId="3E46FBEE">
            <w:pPr>
              <w:jc w:val="center"/>
              <w:rPr>
                <w:rFonts w:ascii="Times New Roman"/>
                <w:sz w:val="21"/>
                <w:szCs w:val="21"/>
              </w:rPr>
            </w:pPr>
            <w:r>
              <w:rPr>
                <w:rFonts w:ascii="Times New Roman"/>
                <w:sz w:val="21"/>
                <w:szCs w:val="21"/>
              </w:rPr>
              <w:t>2-氯苯酚</w:t>
            </w:r>
          </w:p>
        </w:tc>
        <w:tc>
          <w:tcPr>
            <w:tcW w:w="1527" w:type="pct"/>
            <w:vMerge w:val="restart"/>
            <w:vAlign w:val="center"/>
          </w:tcPr>
          <w:p w14:paraId="3FC23665">
            <w:pPr>
              <w:jc w:val="center"/>
              <w:rPr>
                <w:rFonts w:ascii="Times New Roman"/>
                <w:sz w:val="21"/>
                <w:szCs w:val="21"/>
              </w:rPr>
            </w:pPr>
            <w:r>
              <w:rPr>
                <w:rFonts w:ascii="Times New Roman"/>
                <w:sz w:val="21"/>
                <w:szCs w:val="21"/>
              </w:rPr>
              <w:t>《土壤和沉积物半挥发性 有机物的测定气相色谱-质 谱法》 HJ834-2017</w:t>
            </w:r>
          </w:p>
        </w:tc>
        <w:tc>
          <w:tcPr>
            <w:tcW w:w="1552" w:type="pct"/>
            <w:vMerge w:val="restart"/>
            <w:vAlign w:val="center"/>
          </w:tcPr>
          <w:p w14:paraId="2263446A">
            <w:pPr>
              <w:jc w:val="center"/>
              <w:rPr>
                <w:rFonts w:ascii="Times New Roman"/>
                <w:sz w:val="21"/>
                <w:szCs w:val="21"/>
              </w:rPr>
            </w:pPr>
            <w:r>
              <w:rPr>
                <w:rFonts w:ascii="Times New Roman"/>
                <w:sz w:val="21"/>
                <w:szCs w:val="21"/>
              </w:rPr>
              <w:t>气相色谱质谱仪 GCMS-QP2020NX （1150Y0104）</w:t>
            </w:r>
          </w:p>
        </w:tc>
        <w:tc>
          <w:tcPr>
            <w:tcW w:w="760" w:type="pct"/>
            <w:vAlign w:val="center"/>
          </w:tcPr>
          <w:p w14:paraId="13070966">
            <w:pPr>
              <w:jc w:val="center"/>
              <w:rPr>
                <w:rFonts w:ascii="Times New Roman"/>
                <w:sz w:val="21"/>
                <w:szCs w:val="21"/>
              </w:rPr>
            </w:pPr>
            <w:r>
              <w:rPr>
                <w:rFonts w:ascii="Times New Roman"/>
                <w:sz w:val="21"/>
                <w:szCs w:val="21"/>
              </w:rPr>
              <w:t>0.06mg/kg</w:t>
            </w:r>
          </w:p>
        </w:tc>
      </w:tr>
      <w:tr w14:paraId="12DA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250" w:type="pct"/>
            <w:vAlign w:val="center"/>
          </w:tcPr>
          <w:p w14:paraId="6CDE5710">
            <w:pPr>
              <w:jc w:val="center"/>
              <w:rPr>
                <w:rFonts w:ascii="Times New Roman"/>
                <w:sz w:val="21"/>
                <w:szCs w:val="21"/>
              </w:rPr>
            </w:pPr>
            <w:r>
              <w:rPr>
                <w:rFonts w:ascii="Times New Roman"/>
                <w:sz w:val="21"/>
                <w:szCs w:val="21"/>
              </w:rPr>
              <w:t>2</w:t>
            </w:r>
          </w:p>
        </w:tc>
        <w:tc>
          <w:tcPr>
            <w:tcW w:w="910" w:type="pct"/>
            <w:vAlign w:val="center"/>
          </w:tcPr>
          <w:p w14:paraId="243AA315">
            <w:pPr>
              <w:jc w:val="center"/>
              <w:rPr>
                <w:rFonts w:ascii="Times New Roman"/>
                <w:sz w:val="21"/>
                <w:szCs w:val="21"/>
              </w:rPr>
            </w:pPr>
            <w:r>
              <w:rPr>
                <w:rFonts w:ascii="Times New Roman"/>
                <w:sz w:val="21"/>
                <w:szCs w:val="21"/>
              </w:rPr>
              <w:t>䓛</w:t>
            </w:r>
          </w:p>
        </w:tc>
        <w:tc>
          <w:tcPr>
            <w:tcW w:w="1527" w:type="pct"/>
            <w:vMerge w:val="continue"/>
            <w:vAlign w:val="center"/>
          </w:tcPr>
          <w:p w14:paraId="092455E8">
            <w:pPr>
              <w:jc w:val="center"/>
              <w:rPr>
                <w:rFonts w:ascii="Times New Roman"/>
                <w:sz w:val="21"/>
                <w:szCs w:val="21"/>
              </w:rPr>
            </w:pPr>
          </w:p>
        </w:tc>
        <w:tc>
          <w:tcPr>
            <w:tcW w:w="1552" w:type="pct"/>
            <w:vMerge w:val="continue"/>
            <w:vAlign w:val="center"/>
          </w:tcPr>
          <w:p w14:paraId="6187D5A4">
            <w:pPr>
              <w:jc w:val="center"/>
              <w:rPr>
                <w:rFonts w:ascii="Times New Roman"/>
                <w:sz w:val="21"/>
                <w:szCs w:val="21"/>
              </w:rPr>
            </w:pPr>
          </w:p>
        </w:tc>
        <w:tc>
          <w:tcPr>
            <w:tcW w:w="760" w:type="pct"/>
            <w:vAlign w:val="center"/>
          </w:tcPr>
          <w:p w14:paraId="48757E32">
            <w:pPr>
              <w:jc w:val="center"/>
              <w:rPr>
                <w:rFonts w:ascii="Times New Roman"/>
                <w:sz w:val="21"/>
                <w:szCs w:val="21"/>
              </w:rPr>
            </w:pPr>
            <w:r>
              <w:rPr>
                <w:rFonts w:ascii="Times New Roman"/>
                <w:sz w:val="21"/>
                <w:szCs w:val="21"/>
              </w:rPr>
              <w:t>0.1mg/kg</w:t>
            </w:r>
          </w:p>
        </w:tc>
      </w:tr>
      <w:tr w14:paraId="124A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50" w:type="pct"/>
            <w:vAlign w:val="center"/>
          </w:tcPr>
          <w:p w14:paraId="16B0951F">
            <w:pPr>
              <w:jc w:val="center"/>
              <w:rPr>
                <w:rFonts w:ascii="Times New Roman"/>
                <w:sz w:val="21"/>
                <w:szCs w:val="21"/>
              </w:rPr>
            </w:pPr>
            <w:r>
              <w:rPr>
                <w:rFonts w:ascii="Times New Roman"/>
                <w:sz w:val="21"/>
                <w:szCs w:val="21"/>
              </w:rPr>
              <w:t>3</w:t>
            </w:r>
          </w:p>
        </w:tc>
        <w:tc>
          <w:tcPr>
            <w:tcW w:w="910" w:type="pct"/>
            <w:vAlign w:val="center"/>
          </w:tcPr>
          <w:p w14:paraId="03F30997">
            <w:pPr>
              <w:jc w:val="center"/>
              <w:rPr>
                <w:rFonts w:ascii="Times New Roman"/>
                <w:sz w:val="21"/>
                <w:szCs w:val="21"/>
              </w:rPr>
            </w:pPr>
            <w:r>
              <w:rPr>
                <w:rFonts w:ascii="Times New Roman"/>
                <w:sz w:val="21"/>
                <w:szCs w:val="21"/>
              </w:rPr>
              <w:t>二苯并（a,h） 蒽</w:t>
            </w:r>
          </w:p>
        </w:tc>
        <w:tc>
          <w:tcPr>
            <w:tcW w:w="1527" w:type="pct"/>
            <w:vMerge w:val="continue"/>
            <w:vAlign w:val="center"/>
          </w:tcPr>
          <w:p w14:paraId="019AF6C4">
            <w:pPr>
              <w:jc w:val="center"/>
              <w:rPr>
                <w:rFonts w:ascii="Times New Roman"/>
                <w:sz w:val="21"/>
                <w:szCs w:val="21"/>
              </w:rPr>
            </w:pPr>
          </w:p>
        </w:tc>
        <w:tc>
          <w:tcPr>
            <w:tcW w:w="1552" w:type="pct"/>
            <w:vMerge w:val="continue"/>
            <w:vAlign w:val="center"/>
          </w:tcPr>
          <w:p w14:paraId="408C9BC0">
            <w:pPr>
              <w:jc w:val="center"/>
              <w:rPr>
                <w:rFonts w:ascii="Times New Roman"/>
                <w:sz w:val="21"/>
                <w:szCs w:val="21"/>
              </w:rPr>
            </w:pPr>
          </w:p>
        </w:tc>
        <w:tc>
          <w:tcPr>
            <w:tcW w:w="760" w:type="pct"/>
            <w:vAlign w:val="center"/>
          </w:tcPr>
          <w:p w14:paraId="22DE1C5D">
            <w:pPr>
              <w:jc w:val="center"/>
              <w:rPr>
                <w:rFonts w:ascii="Times New Roman"/>
                <w:sz w:val="21"/>
                <w:szCs w:val="21"/>
              </w:rPr>
            </w:pPr>
            <w:r>
              <w:rPr>
                <w:rFonts w:ascii="Times New Roman"/>
                <w:sz w:val="21"/>
                <w:szCs w:val="21"/>
              </w:rPr>
              <w:t>0.1mg/kg</w:t>
            </w:r>
          </w:p>
        </w:tc>
      </w:tr>
      <w:tr w14:paraId="49D3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250" w:type="pct"/>
            <w:vAlign w:val="center"/>
          </w:tcPr>
          <w:p w14:paraId="4E791128">
            <w:pPr>
              <w:jc w:val="center"/>
              <w:rPr>
                <w:rFonts w:ascii="Times New Roman"/>
                <w:sz w:val="21"/>
                <w:szCs w:val="21"/>
              </w:rPr>
            </w:pPr>
            <w:r>
              <w:rPr>
                <w:rFonts w:ascii="Times New Roman"/>
                <w:sz w:val="21"/>
                <w:szCs w:val="21"/>
              </w:rPr>
              <w:t>4</w:t>
            </w:r>
          </w:p>
        </w:tc>
        <w:tc>
          <w:tcPr>
            <w:tcW w:w="910" w:type="pct"/>
            <w:vAlign w:val="center"/>
          </w:tcPr>
          <w:p w14:paraId="66DEC871">
            <w:pPr>
              <w:jc w:val="center"/>
              <w:rPr>
                <w:rFonts w:ascii="Times New Roman"/>
                <w:sz w:val="21"/>
                <w:szCs w:val="21"/>
              </w:rPr>
            </w:pPr>
            <w:r>
              <w:rPr>
                <w:rFonts w:ascii="Times New Roman"/>
                <w:sz w:val="21"/>
                <w:szCs w:val="21"/>
              </w:rPr>
              <w:t>硝基苯</w:t>
            </w:r>
          </w:p>
        </w:tc>
        <w:tc>
          <w:tcPr>
            <w:tcW w:w="1527" w:type="pct"/>
            <w:vMerge w:val="continue"/>
            <w:vAlign w:val="center"/>
          </w:tcPr>
          <w:p w14:paraId="33371E07">
            <w:pPr>
              <w:jc w:val="center"/>
              <w:rPr>
                <w:rFonts w:ascii="Times New Roman"/>
                <w:sz w:val="21"/>
                <w:szCs w:val="21"/>
              </w:rPr>
            </w:pPr>
          </w:p>
        </w:tc>
        <w:tc>
          <w:tcPr>
            <w:tcW w:w="1552" w:type="pct"/>
            <w:vMerge w:val="continue"/>
            <w:vAlign w:val="center"/>
          </w:tcPr>
          <w:p w14:paraId="46D007A9">
            <w:pPr>
              <w:jc w:val="center"/>
              <w:rPr>
                <w:rFonts w:ascii="Times New Roman"/>
                <w:sz w:val="21"/>
                <w:szCs w:val="21"/>
              </w:rPr>
            </w:pPr>
          </w:p>
        </w:tc>
        <w:tc>
          <w:tcPr>
            <w:tcW w:w="760" w:type="pct"/>
            <w:vAlign w:val="center"/>
          </w:tcPr>
          <w:p w14:paraId="050812E4">
            <w:pPr>
              <w:jc w:val="center"/>
              <w:rPr>
                <w:rFonts w:ascii="Times New Roman"/>
                <w:sz w:val="21"/>
                <w:szCs w:val="21"/>
              </w:rPr>
            </w:pPr>
            <w:r>
              <w:rPr>
                <w:rFonts w:ascii="Times New Roman"/>
                <w:sz w:val="21"/>
                <w:szCs w:val="21"/>
              </w:rPr>
              <w:t>0.09mg/kg</w:t>
            </w:r>
          </w:p>
        </w:tc>
      </w:tr>
      <w:tr w14:paraId="6A93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BF5213C">
            <w:pPr>
              <w:spacing w:line="300" w:lineRule="exact"/>
              <w:jc w:val="center"/>
              <w:rPr>
                <w:rFonts w:ascii="Times New Roman"/>
                <w:sz w:val="21"/>
                <w:szCs w:val="21"/>
              </w:rPr>
            </w:pPr>
            <w:r>
              <w:rPr>
                <w:rFonts w:ascii="Times New Roman"/>
                <w:sz w:val="21"/>
                <w:szCs w:val="21"/>
              </w:rPr>
              <w:t>5</w:t>
            </w:r>
          </w:p>
        </w:tc>
        <w:tc>
          <w:tcPr>
            <w:tcW w:w="910" w:type="pct"/>
            <w:vAlign w:val="center"/>
          </w:tcPr>
          <w:p w14:paraId="0C82CFF3">
            <w:pPr>
              <w:jc w:val="center"/>
              <w:rPr>
                <w:rFonts w:ascii="Times New Roman"/>
                <w:sz w:val="21"/>
                <w:szCs w:val="21"/>
              </w:rPr>
            </w:pPr>
            <w:r>
              <w:rPr>
                <w:rFonts w:ascii="Times New Roman"/>
                <w:sz w:val="21"/>
                <w:szCs w:val="21"/>
              </w:rPr>
              <w:t>苯并（a）芘</w:t>
            </w:r>
          </w:p>
        </w:tc>
        <w:tc>
          <w:tcPr>
            <w:tcW w:w="1527" w:type="pct"/>
            <w:vMerge w:val="continue"/>
            <w:vAlign w:val="center"/>
          </w:tcPr>
          <w:p w14:paraId="0C1EFE86">
            <w:pPr>
              <w:spacing w:line="300" w:lineRule="exact"/>
              <w:jc w:val="center"/>
              <w:rPr>
                <w:rFonts w:ascii="Times New Roman"/>
                <w:sz w:val="21"/>
                <w:szCs w:val="21"/>
              </w:rPr>
            </w:pPr>
          </w:p>
        </w:tc>
        <w:tc>
          <w:tcPr>
            <w:tcW w:w="1552" w:type="pct"/>
            <w:vMerge w:val="continue"/>
            <w:vAlign w:val="center"/>
          </w:tcPr>
          <w:p w14:paraId="4F7302CF">
            <w:pPr>
              <w:jc w:val="center"/>
              <w:rPr>
                <w:rFonts w:ascii="Times New Roman"/>
                <w:sz w:val="21"/>
                <w:szCs w:val="21"/>
              </w:rPr>
            </w:pPr>
          </w:p>
        </w:tc>
        <w:tc>
          <w:tcPr>
            <w:tcW w:w="760" w:type="pct"/>
            <w:vAlign w:val="center"/>
          </w:tcPr>
          <w:p w14:paraId="1B9905AB">
            <w:pPr>
              <w:jc w:val="center"/>
              <w:rPr>
                <w:rFonts w:ascii="Times New Roman"/>
                <w:sz w:val="21"/>
                <w:szCs w:val="21"/>
              </w:rPr>
            </w:pPr>
            <w:r>
              <w:rPr>
                <w:rFonts w:ascii="Times New Roman"/>
                <w:sz w:val="21"/>
                <w:szCs w:val="21"/>
              </w:rPr>
              <w:t>0.1mg/kg</w:t>
            </w:r>
          </w:p>
        </w:tc>
      </w:tr>
      <w:tr w14:paraId="4C6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22D0D86">
            <w:pPr>
              <w:spacing w:line="300" w:lineRule="exact"/>
              <w:jc w:val="center"/>
              <w:rPr>
                <w:rFonts w:ascii="Times New Roman"/>
                <w:sz w:val="21"/>
                <w:szCs w:val="21"/>
              </w:rPr>
            </w:pPr>
            <w:r>
              <w:rPr>
                <w:rFonts w:ascii="Times New Roman"/>
                <w:sz w:val="21"/>
                <w:szCs w:val="21"/>
              </w:rPr>
              <w:t>6</w:t>
            </w:r>
          </w:p>
        </w:tc>
        <w:tc>
          <w:tcPr>
            <w:tcW w:w="910" w:type="pct"/>
            <w:vAlign w:val="center"/>
          </w:tcPr>
          <w:p w14:paraId="2D09728E">
            <w:pPr>
              <w:jc w:val="center"/>
              <w:rPr>
                <w:rFonts w:ascii="Times New Roman"/>
                <w:sz w:val="21"/>
                <w:szCs w:val="21"/>
              </w:rPr>
            </w:pPr>
            <w:r>
              <w:rPr>
                <w:rFonts w:ascii="Times New Roman"/>
                <w:sz w:val="21"/>
                <w:szCs w:val="21"/>
              </w:rPr>
              <w:t>苯并（a）蒽</w:t>
            </w:r>
          </w:p>
        </w:tc>
        <w:tc>
          <w:tcPr>
            <w:tcW w:w="1527" w:type="pct"/>
            <w:vMerge w:val="continue"/>
            <w:vAlign w:val="center"/>
          </w:tcPr>
          <w:p w14:paraId="70C3A665">
            <w:pPr>
              <w:spacing w:line="300" w:lineRule="exact"/>
              <w:jc w:val="center"/>
              <w:rPr>
                <w:rFonts w:ascii="Times New Roman"/>
                <w:sz w:val="21"/>
                <w:szCs w:val="21"/>
              </w:rPr>
            </w:pPr>
          </w:p>
        </w:tc>
        <w:tc>
          <w:tcPr>
            <w:tcW w:w="1552" w:type="pct"/>
            <w:vMerge w:val="continue"/>
            <w:vAlign w:val="center"/>
          </w:tcPr>
          <w:p w14:paraId="54B0AF6B">
            <w:pPr>
              <w:jc w:val="center"/>
              <w:rPr>
                <w:rFonts w:ascii="Times New Roman"/>
                <w:sz w:val="21"/>
                <w:szCs w:val="21"/>
              </w:rPr>
            </w:pPr>
          </w:p>
        </w:tc>
        <w:tc>
          <w:tcPr>
            <w:tcW w:w="760" w:type="pct"/>
            <w:vAlign w:val="center"/>
          </w:tcPr>
          <w:p w14:paraId="67A47AD8">
            <w:pPr>
              <w:jc w:val="center"/>
              <w:rPr>
                <w:rFonts w:ascii="Times New Roman"/>
                <w:sz w:val="21"/>
                <w:szCs w:val="21"/>
              </w:rPr>
            </w:pPr>
            <w:r>
              <w:rPr>
                <w:rFonts w:ascii="Times New Roman"/>
                <w:sz w:val="21"/>
                <w:szCs w:val="21"/>
              </w:rPr>
              <w:t>0.1mg/kg</w:t>
            </w:r>
          </w:p>
        </w:tc>
      </w:tr>
      <w:tr w14:paraId="1382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04E0BB6C">
            <w:pPr>
              <w:spacing w:line="300" w:lineRule="exact"/>
              <w:jc w:val="center"/>
              <w:rPr>
                <w:rFonts w:ascii="Times New Roman"/>
                <w:sz w:val="21"/>
                <w:szCs w:val="21"/>
              </w:rPr>
            </w:pPr>
            <w:r>
              <w:rPr>
                <w:rFonts w:ascii="Times New Roman"/>
                <w:sz w:val="21"/>
                <w:szCs w:val="21"/>
              </w:rPr>
              <w:t>7</w:t>
            </w:r>
          </w:p>
        </w:tc>
        <w:tc>
          <w:tcPr>
            <w:tcW w:w="910" w:type="pct"/>
            <w:vAlign w:val="center"/>
          </w:tcPr>
          <w:p w14:paraId="0BDC253C">
            <w:pPr>
              <w:jc w:val="center"/>
              <w:rPr>
                <w:rFonts w:ascii="Times New Roman"/>
                <w:sz w:val="21"/>
                <w:szCs w:val="21"/>
              </w:rPr>
            </w:pPr>
            <w:r>
              <w:rPr>
                <w:rFonts w:ascii="Times New Roman"/>
                <w:sz w:val="21"/>
                <w:szCs w:val="21"/>
              </w:rPr>
              <w:t>苯并（b）荧蒽</w:t>
            </w:r>
          </w:p>
        </w:tc>
        <w:tc>
          <w:tcPr>
            <w:tcW w:w="1527" w:type="pct"/>
            <w:vMerge w:val="continue"/>
            <w:vAlign w:val="center"/>
          </w:tcPr>
          <w:p w14:paraId="1786BA39">
            <w:pPr>
              <w:spacing w:line="300" w:lineRule="exact"/>
              <w:jc w:val="center"/>
              <w:rPr>
                <w:rFonts w:ascii="Times New Roman"/>
                <w:sz w:val="21"/>
                <w:szCs w:val="21"/>
              </w:rPr>
            </w:pPr>
          </w:p>
        </w:tc>
        <w:tc>
          <w:tcPr>
            <w:tcW w:w="1552" w:type="pct"/>
            <w:vMerge w:val="continue"/>
            <w:vAlign w:val="center"/>
          </w:tcPr>
          <w:p w14:paraId="5225E525">
            <w:pPr>
              <w:jc w:val="center"/>
              <w:rPr>
                <w:rFonts w:ascii="Times New Roman"/>
                <w:sz w:val="21"/>
                <w:szCs w:val="21"/>
              </w:rPr>
            </w:pPr>
          </w:p>
        </w:tc>
        <w:tc>
          <w:tcPr>
            <w:tcW w:w="760" w:type="pct"/>
            <w:vAlign w:val="center"/>
          </w:tcPr>
          <w:p w14:paraId="55A3806D">
            <w:pPr>
              <w:jc w:val="center"/>
              <w:rPr>
                <w:rFonts w:ascii="Times New Roman"/>
                <w:sz w:val="21"/>
                <w:szCs w:val="21"/>
              </w:rPr>
            </w:pPr>
            <w:r>
              <w:rPr>
                <w:rFonts w:ascii="Times New Roman"/>
                <w:sz w:val="21"/>
                <w:szCs w:val="21"/>
              </w:rPr>
              <w:t>0.2mg/kg</w:t>
            </w:r>
          </w:p>
        </w:tc>
      </w:tr>
      <w:tr w14:paraId="3C51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04AF8853">
            <w:pPr>
              <w:jc w:val="center"/>
              <w:rPr>
                <w:rFonts w:ascii="Times New Roman"/>
                <w:sz w:val="21"/>
                <w:szCs w:val="21"/>
              </w:rPr>
            </w:pPr>
            <w:r>
              <w:rPr>
                <w:rFonts w:ascii="Times New Roman"/>
                <w:sz w:val="21"/>
                <w:szCs w:val="21"/>
              </w:rPr>
              <w:t>8</w:t>
            </w:r>
          </w:p>
        </w:tc>
        <w:tc>
          <w:tcPr>
            <w:tcW w:w="910" w:type="pct"/>
            <w:vAlign w:val="center"/>
          </w:tcPr>
          <w:p w14:paraId="205E60BE">
            <w:pPr>
              <w:jc w:val="center"/>
              <w:rPr>
                <w:rFonts w:ascii="Times New Roman"/>
                <w:sz w:val="21"/>
                <w:szCs w:val="21"/>
              </w:rPr>
            </w:pPr>
            <w:r>
              <w:rPr>
                <w:rFonts w:ascii="Times New Roman"/>
                <w:sz w:val="21"/>
                <w:szCs w:val="21"/>
              </w:rPr>
              <w:t>苯并（k）荧蒽</w:t>
            </w:r>
          </w:p>
        </w:tc>
        <w:tc>
          <w:tcPr>
            <w:tcW w:w="1527" w:type="pct"/>
            <w:vMerge w:val="restart"/>
            <w:vAlign w:val="center"/>
          </w:tcPr>
          <w:p w14:paraId="38117256">
            <w:pPr>
              <w:jc w:val="center"/>
              <w:rPr>
                <w:rFonts w:ascii="Times New Roman"/>
                <w:sz w:val="21"/>
                <w:szCs w:val="21"/>
              </w:rPr>
            </w:pPr>
            <w:r>
              <w:rPr>
                <w:rFonts w:ascii="Times New Roman"/>
                <w:sz w:val="21"/>
                <w:szCs w:val="21"/>
              </w:rPr>
              <w:t>《土壤和沉积物半挥发性 有机物的测定气相色谱-质 谱法》HJ834-2017</w:t>
            </w:r>
          </w:p>
        </w:tc>
        <w:tc>
          <w:tcPr>
            <w:tcW w:w="1552" w:type="pct"/>
            <w:vMerge w:val="restart"/>
            <w:vAlign w:val="center"/>
          </w:tcPr>
          <w:p w14:paraId="22122B79">
            <w:pPr>
              <w:spacing w:line="300" w:lineRule="exact"/>
              <w:jc w:val="center"/>
              <w:rPr>
                <w:rFonts w:ascii="Times New Roman"/>
                <w:sz w:val="21"/>
                <w:szCs w:val="21"/>
              </w:rPr>
            </w:pPr>
            <w:r>
              <w:rPr>
                <w:rFonts w:ascii="Times New Roman"/>
                <w:sz w:val="21"/>
                <w:szCs w:val="21"/>
              </w:rPr>
              <w:t>气相色谱质谱仪 GCMS-QP2020NX （1150Y0104）</w:t>
            </w:r>
          </w:p>
        </w:tc>
        <w:tc>
          <w:tcPr>
            <w:tcW w:w="760" w:type="pct"/>
            <w:vAlign w:val="center"/>
          </w:tcPr>
          <w:p w14:paraId="49132D64">
            <w:pPr>
              <w:spacing w:line="300" w:lineRule="exact"/>
              <w:jc w:val="center"/>
              <w:rPr>
                <w:rFonts w:ascii="Times New Roman"/>
                <w:sz w:val="21"/>
                <w:szCs w:val="21"/>
              </w:rPr>
            </w:pPr>
            <w:r>
              <w:rPr>
                <w:rFonts w:ascii="Times New Roman"/>
                <w:sz w:val="21"/>
                <w:szCs w:val="21"/>
              </w:rPr>
              <w:t>0.1mg/kg</w:t>
            </w:r>
          </w:p>
        </w:tc>
      </w:tr>
      <w:tr w14:paraId="6891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3DA3C4B">
            <w:pPr>
              <w:spacing w:line="300" w:lineRule="exact"/>
              <w:jc w:val="center"/>
              <w:rPr>
                <w:rFonts w:ascii="Times New Roman"/>
                <w:sz w:val="21"/>
                <w:szCs w:val="21"/>
              </w:rPr>
            </w:pPr>
            <w:r>
              <w:rPr>
                <w:rFonts w:ascii="Times New Roman"/>
                <w:sz w:val="21"/>
                <w:szCs w:val="21"/>
              </w:rPr>
              <w:t>9</w:t>
            </w:r>
          </w:p>
        </w:tc>
        <w:tc>
          <w:tcPr>
            <w:tcW w:w="910" w:type="pct"/>
            <w:vAlign w:val="center"/>
          </w:tcPr>
          <w:p w14:paraId="77B92DBB">
            <w:pPr>
              <w:jc w:val="center"/>
              <w:rPr>
                <w:rFonts w:ascii="Times New Roman"/>
                <w:sz w:val="21"/>
                <w:szCs w:val="21"/>
              </w:rPr>
            </w:pPr>
            <w:r>
              <w:rPr>
                <w:rFonts w:ascii="Times New Roman"/>
                <w:sz w:val="21"/>
                <w:szCs w:val="21"/>
              </w:rPr>
              <w:t>苯胺</w:t>
            </w:r>
          </w:p>
        </w:tc>
        <w:tc>
          <w:tcPr>
            <w:tcW w:w="1527" w:type="pct"/>
            <w:vMerge w:val="continue"/>
            <w:vAlign w:val="center"/>
          </w:tcPr>
          <w:p w14:paraId="5467B4B7">
            <w:pPr>
              <w:spacing w:line="300" w:lineRule="exact"/>
              <w:jc w:val="center"/>
              <w:rPr>
                <w:rFonts w:ascii="Times New Roman"/>
                <w:sz w:val="21"/>
                <w:szCs w:val="21"/>
              </w:rPr>
            </w:pPr>
          </w:p>
        </w:tc>
        <w:tc>
          <w:tcPr>
            <w:tcW w:w="1552" w:type="pct"/>
            <w:vMerge w:val="continue"/>
            <w:vAlign w:val="center"/>
          </w:tcPr>
          <w:p w14:paraId="29F53845">
            <w:pPr>
              <w:spacing w:line="300" w:lineRule="exact"/>
              <w:jc w:val="center"/>
              <w:rPr>
                <w:rFonts w:ascii="Times New Roman"/>
                <w:sz w:val="21"/>
                <w:szCs w:val="21"/>
              </w:rPr>
            </w:pPr>
          </w:p>
        </w:tc>
        <w:tc>
          <w:tcPr>
            <w:tcW w:w="760" w:type="pct"/>
            <w:vAlign w:val="center"/>
          </w:tcPr>
          <w:p w14:paraId="4972FB56">
            <w:pPr>
              <w:spacing w:line="300" w:lineRule="exact"/>
              <w:jc w:val="center"/>
              <w:rPr>
                <w:rFonts w:ascii="Times New Roman"/>
                <w:sz w:val="21"/>
                <w:szCs w:val="21"/>
              </w:rPr>
            </w:pPr>
            <w:r>
              <w:rPr>
                <w:rFonts w:ascii="Times New Roman"/>
                <w:sz w:val="21"/>
                <w:szCs w:val="21"/>
              </w:rPr>
              <w:t>0.04mg/kg</w:t>
            </w:r>
          </w:p>
        </w:tc>
      </w:tr>
      <w:tr w14:paraId="1556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09D1858">
            <w:pPr>
              <w:spacing w:line="300" w:lineRule="exact"/>
              <w:jc w:val="center"/>
              <w:rPr>
                <w:rFonts w:ascii="Times New Roman"/>
                <w:sz w:val="21"/>
                <w:szCs w:val="21"/>
              </w:rPr>
            </w:pPr>
            <w:r>
              <w:rPr>
                <w:rFonts w:ascii="Times New Roman"/>
                <w:sz w:val="21"/>
                <w:szCs w:val="21"/>
              </w:rPr>
              <w:t>10</w:t>
            </w:r>
          </w:p>
        </w:tc>
        <w:tc>
          <w:tcPr>
            <w:tcW w:w="910" w:type="pct"/>
            <w:vAlign w:val="center"/>
          </w:tcPr>
          <w:p w14:paraId="713F77D6">
            <w:pPr>
              <w:jc w:val="center"/>
              <w:rPr>
                <w:rFonts w:ascii="Times New Roman"/>
                <w:sz w:val="21"/>
                <w:szCs w:val="21"/>
              </w:rPr>
            </w:pPr>
            <w:r>
              <w:rPr>
                <w:rFonts w:ascii="Times New Roman"/>
                <w:sz w:val="21"/>
                <w:szCs w:val="21"/>
              </w:rPr>
              <w:t>茚（1,2,3-cd）芘</w:t>
            </w:r>
          </w:p>
        </w:tc>
        <w:tc>
          <w:tcPr>
            <w:tcW w:w="1527" w:type="pct"/>
            <w:vMerge w:val="continue"/>
            <w:vAlign w:val="center"/>
          </w:tcPr>
          <w:p w14:paraId="0CF098F2">
            <w:pPr>
              <w:spacing w:line="300" w:lineRule="exact"/>
              <w:jc w:val="center"/>
              <w:rPr>
                <w:rFonts w:ascii="Times New Roman"/>
                <w:sz w:val="21"/>
                <w:szCs w:val="21"/>
              </w:rPr>
            </w:pPr>
          </w:p>
        </w:tc>
        <w:tc>
          <w:tcPr>
            <w:tcW w:w="1552" w:type="pct"/>
            <w:vMerge w:val="continue"/>
            <w:vAlign w:val="center"/>
          </w:tcPr>
          <w:p w14:paraId="099A55D4">
            <w:pPr>
              <w:spacing w:line="300" w:lineRule="exact"/>
              <w:jc w:val="center"/>
              <w:rPr>
                <w:rFonts w:ascii="Times New Roman"/>
                <w:sz w:val="21"/>
                <w:szCs w:val="21"/>
              </w:rPr>
            </w:pPr>
          </w:p>
        </w:tc>
        <w:tc>
          <w:tcPr>
            <w:tcW w:w="760" w:type="pct"/>
            <w:vAlign w:val="center"/>
          </w:tcPr>
          <w:p w14:paraId="7F8506D9">
            <w:pPr>
              <w:spacing w:line="300" w:lineRule="exact"/>
              <w:jc w:val="center"/>
              <w:rPr>
                <w:rFonts w:ascii="Times New Roman"/>
                <w:sz w:val="21"/>
                <w:szCs w:val="21"/>
              </w:rPr>
            </w:pPr>
            <w:r>
              <w:rPr>
                <w:rFonts w:ascii="Times New Roman"/>
                <w:sz w:val="21"/>
                <w:szCs w:val="21"/>
              </w:rPr>
              <w:t>0.1mg/kg</w:t>
            </w:r>
          </w:p>
        </w:tc>
      </w:tr>
      <w:tr w14:paraId="356A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1DAC2D3D">
            <w:pPr>
              <w:spacing w:line="300" w:lineRule="exact"/>
              <w:jc w:val="center"/>
              <w:rPr>
                <w:rFonts w:ascii="Times New Roman"/>
                <w:sz w:val="21"/>
                <w:szCs w:val="21"/>
              </w:rPr>
            </w:pPr>
            <w:r>
              <w:rPr>
                <w:rFonts w:ascii="Times New Roman"/>
                <w:sz w:val="21"/>
                <w:szCs w:val="21"/>
              </w:rPr>
              <w:t>11</w:t>
            </w:r>
          </w:p>
        </w:tc>
        <w:tc>
          <w:tcPr>
            <w:tcW w:w="910" w:type="pct"/>
            <w:vAlign w:val="center"/>
          </w:tcPr>
          <w:p w14:paraId="6077C0E8">
            <w:pPr>
              <w:jc w:val="center"/>
              <w:rPr>
                <w:rFonts w:ascii="Times New Roman"/>
                <w:sz w:val="21"/>
                <w:szCs w:val="21"/>
              </w:rPr>
            </w:pPr>
            <w:r>
              <w:rPr>
                <w:rFonts w:ascii="Times New Roman"/>
                <w:sz w:val="21"/>
                <w:szCs w:val="21"/>
              </w:rPr>
              <w:t>萘</w:t>
            </w:r>
          </w:p>
        </w:tc>
        <w:tc>
          <w:tcPr>
            <w:tcW w:w="1527" w:type="pct"/>
            <w:vMerge w:val="continue"/>
            <w:vAlign w:val="center"/>
          </w:tcPr>
          <w:p w14:paraId="14D4F38E">
            <w:pPr>
              <w:spacing w:line="300" w:lineRule="exact"/>
              <w:jc w:val="center"/>
              <w:rPr>
                <w:rFonts w:ascii="Times New Roman"/>
                <w:sz w:val="21"/>
                <w:szCs w:val="21"/>
              </w:rPr>
            </w:pPr>
          </w:p>
        </w:tc>
        <w:tc>
          <w:tcPr>
            <w:tcW w:w="1552" w:type="pct"/>
            <w:vMerge w:val="continue"/>
            <w:vAlign w:val="center"/>
          </w:tcPr>
          <w:p w14:paraId="3C646B39">
            <w:pPr>
              <w:spacing w:line="300" w:lineRule="exact"/>
              <w:jc w:val="center"/>
              <w:rPr>
                <w:rFonts w:ascii="Times New Roman"/>
                <w:sz w:val="21"/>
                <w:szCs w:val="21"/>
              </w:rPr>
            </w:pPr>
          </w:p>
        </w:tc>
        <w:tc>
          <w:tcPr>
            <w:tcW w:w="760" w:type="pct"/>
            <w:vAlign w:val="center"/>
          </w:tcPr>
          <w:p w14:paraId="41856457">
            <w:pPr>
              <w:spacing w:line="300" w:lineRule="exact"/>
              <w:jc w:val="center"/>
              <w:rPr>
                <w:rFonts w:ascii="Times New Roman"/>
                <w:sz w:val="21"/>
                <w:szCs w:val="21"/>
              </w:rPr>
            </w:pPr>
            <w:r>
              <w:rPr>
                <w:rFonts w:ascii="Times New Roman"/>
                <w:sz w:val="21"/>
                <w:szCs w:val="21"/>
              </w:rPr>
              <w:t>0.09mg/kg</w:t>
            </w:r>
          </w:p>
        </w:tc>
      </w:tr>
      <w:tr w14:paraId="22B0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2F75C2BF">
            <w:pPr>
              <w:jc w:val="center"/>
              <w:rPr>
                <w:rFonts w:ascii="Times New Roman"/>
                <w:sz w:val="21"/>
                <w:szCs w:val="21"/>
              </w:rPr>
            </w:pPr>
            <w:r>
              <w:rPr>
                <w:rFonts w:ascii="Times New Roman"/>
                <w:sz w:val="21"/>
                <w:szCs w:val="21"/>
              </w:rPr>
              <w:t>12</w:t>
            </w:r>
          </w:p>
        </w:tc>
        <w:tc>
          <w:tcPr>
            <w:tcW w:w="910" w:type="pct"/>
            <w:vAlign w:val="center"/>
          </w:tcPr>
          <w:p w14:paraId="486D3258">
            <w:pPr>
              <w:jc w:val="center"/>
              <w:rPr>
                <w:rFonts w:ascii="Times New Roman"/>
                <w:sz w:val="21"/>
                <w:szCs w:val="21"/>
              </w:rPr>
            </w:pPr>
            <w:r>
              <w:rPr>
                <w:rFonts w:ascii="Times New Roman"/>
                <w:sz w:val="21"/>
                <w:szCs w:val="21"/>
              </w:rPr>
              <w:t>1,1,1,2-四氯乙烷</w:t>
            </w:r>
          </w:p>
        </w:tc>
        <w:tc>
          <w:tcPr>
            <w:tcW w:w="1527" w:type="pct"/>
            <w:vMerge w:val="restart"/>
            <w:vAlign w:val="center"/>
          </w:tcPr>
          <w:p w14:paraId="5FFD0AFB">
            <w:pPr>
              <w:jc w:val="center"/>
              <w:rPr>
                <w:rFonts w:ascii="Times New Roman"/>
                <w:sz w:val="21"/>
                <w:szCs w:val="21"/>
              </w:rPr>
            </w:pPr>
            <w:r>
              <w:rPr>
                <w:rFonts w:ascii="Times New Roman"/>
                <w:sz w:val="21"/>
                <w:szCs w:val="21"/>
              </w:rPr>
              <w:t>《土壤和沉积物挥发性有 机物的测定吹扫捕集/气相 色谱-质谱法》HJ605-2011</w:t>
            </w:r>
          </w:p>
        </w:tc>
        <w:tc>
          <w:tcPr>
            <w:tcW w:w="1552" w:type="pct"/>
            <w:vMerge w:val="restart"/>
            <w:vAlign w:val="center"/>
          </w:tcPr>
          <w:p w14:paraId="3E8E1C01">
            <w:pPr>
              <w:jc w:val="center"/>
              <w:rPr>
                <w:rFonts w:ascii="Times New Roman"/>
                <w:sz w:val="21"/>
                <w:szCs w:val="21"/>
              </w:rPr>
            </w:pPr>
            <w:r>
              <w:rPr>
                <w:rFonts w:ascii="Times New Roman"/>
                <w:sz w:val="21"/>
                <w:szCs w:val="21"/>
              </w:rPr>
              <w:t>气相色谱质谱仪 GCMS-QP2010SESYSTEM （1150Y0112） 电子天平 JY20002 （1150G0303）</w:t>
            </w:r>
          </w:p>
        </w:tc>
        <w:tc>
          <w:tcPr>
            <w:tcW w:w="760" w:type="pct"/>
            <w:vAlign w:val="center"/>
          </w:tcPr>
          <w:p w14:paraId="28118946">
            <w:pPr>
              <w:jc w:val="center"/>
              <w:rPr>
                <w:rFonts w:ascii="Times New Roman"/>
                <w:sz w:val="21"/>
                <w:szCs w:val="21"/>
              </w:rPr>
            </w:pPr>
            <w:r>
              <w:rPr>
                <w:rFonts w:ascii="Times New Roman"/>
                <w:sz w:val="21"/>
                <w:szCs w:val="21"/>
              </w:rPr>
              <w:t>1.2µg/kg</w:t>
            </w:r>
          </w:p>
        </w:tc>
      </w:tr>
      <w:tr w14:paraId="72EC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645380C7">
            <w:pPr>
              <w:jc w:val="center"/>
              <w:rPr>
                <w:rFonts w:ascii="Times New Roman"/>
                <w:sz w:val="21"/>
                <w:szCs w:val="21"/>
              </w:rPr>
            </w:pPr>
            <w:r>
              <w:rPr>
                <w:rFonts w:ascii="Times New Roman"/>
                <w:sz w:val="21"/>
                <w:szCs w:val="21"/>
              </w:rPr>
              <w:t>13</w:t>
            </w:r>
          </w:p>
        </w:tc>
        <w:tc>
          <w:tcPr>
            <w:tcW w:w="910" w:type="pct"/>
            <w:vAlign w:val="center"/>
          </w:tcPr>
          <w:p w14:paraId="09E65523">
            <w:pPr>
              <w:jc w:val="center"/>
              <w:rPr>
                <w:rFonts w:ascii="Times New Roman"/>
                <w:sz w:val="21"/>
                <w:szCs w:val="21"/>
              </w:rPr>
            </w:pPr>
            <w:r>
              <w:rPr>
                <w:rFonts w:ascii="Times New Roman"/>
                <w:sz w:val="21"/>
                <w:szCs w:val="21"/>
              </w:rPr>
              <w:t>1,1,1-三氯乙 烷</w:t>
            </w:r>
          </w:p>
        </w:tc>
        <w:tc>
          <w:tcPr>
            <w:tcW w:w="1527" w:type="pct"/>
            <w:vMerge w:val="continue"/>
            <w:vAlign w:val="center"/>
          </w:tcPr>
          <w:p w14:paraId="077AF74F">
            <w:pPr>
              <w:jc w:val="center"/>
              <w:rPr>
                <w:rFonts w:ascii="Times New Roman"/>
                <w:sz w:val="21"/>
                <w:szCs w:val="21"/>
              </w:rPr>
            </w:pPr>
          </w:p>
        </w:tc>
        <w:tc>
          <w:tcPr>
            <w:tcW w:w="1552" w:type="pct"/>
            <w:vMerge w:val="continue"/>
            <w:vAlign w:val="center"/>
          </w:tcPr>
          <w:p w14:paraId="30FB6E03">
            <w:pPr>
              <w:jc w:val="center"/>
              <w:rPr>
                <w:rFonts w:ascii="Times New Roman"/>
                <w:sz w:val="21"/>
                <w:szCs w:val="21"/>
              </w:rPr>
            </w:pPr>
          </w:p>
        </w:tc>
        <w:tc>
          <w:tcPr>
            <w:tcW w:w="760" w:type="pct"/>
            <w:vAlign w:val="center"/>
          </w:tcPr>
          <w:p w14:paraId="61C58508">
            <w:pPr>
              <w:jc w:val="center"/>
              <w:rPr>
                <w:rFonts w:ascii="Times New Roman"/>
                <w:sz w:val="21"/>
                <w:szCs w:val="21"/>
              </w:rPr>
            </w:pPr>
            <w:r>
              <w:rPr>
                <w:rFonts w:ascii="Times New Roman"/>
                <w:sz w:val="21"/>
                <w:szCs w:val="21"/>
              </w:rPr>
              <w:t>1.3µg/kg</w:t>
            </w:r>
          </w:p>
        </w:tc>
      </w:tr>
      <w:tr w14:paraId="7429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5A42B41">
            <w:pPr>
              <w:jc w:val="center"/>
              <w:rPr>
                <w:rFonts w:ascii="Times New Roman"/>
                <w:sz w:val="21"/>
                <w:szCs w:val="21"/>
              </w:rPr>
            </w:pPr>
            <w:r>
              <w:rPr>
                <w:rFonts w:hint="eastAsia" w:ascii="Times New Roman"/>
                <w:sz w:val="21"/>
                <w:szCs w:val="21"/>
              </w:rPr>
              <w:t>14</w:t>
            </w:r>
          </w:p>
        </w:tc>
        <w:tc>
          <w:tcPr>
            <w:tcW w:w="910" w:type="pct"/>
            <w:vAlign w:val="center"/>
          </w:tcPr>
          <w:p w14:paraId="6984D1CB">
            <w:pPr>
              <w:jc w:val="center"/>
              <w:rPr>
                <w:rFonts w:ascii="Times New Roman"/>
                <w:sz w:val="21"/>
                <w:szCs w:val="21"/>
              </w:rPr>
            </w:pPr>
            <w:r>
              <w:rPr>
                <w:rFonts w:ascii="Times New Roman"/>
                <w:sz w:val="21"/>
                <w:szCs w:val="21"/>
              </w:rPr>
              <w:t>1,1,2,2-四氯乙烷</w:t>
            </w:r>
          </w:p>
        </w:tc>
        <w:tc>
          <w:tcPr>
            <w:tcW w:w="1527" w:type="pct"/>
            <w:vMerge w:val="continue"/>
            <w:vAlign w:val="center"/>
          </w:tcPr>
          <w:p w14:paraId="21276921">
            <w:pPr>
              <w:jc w:val="center"/>
              <w:rPr>
                <w:rFonts w:ascii="Times New Roman"/>
                <w:sz w:val="21"/>
                <w:szCs w:val="21"/>
              </w:rPr>
            </w:pPr>
          </w:p>
        </w:tc>
        <w:tc>
          <w:tcPr>
            <w:tcW w:w="1552" w:type="pct"/>
            <w:vMerge w:val="continue"/>
            <w:vAlign w:val="center"/>
          </w:tcPr>
          <w:p w14:paraId="729412BA">
            <w:pPr>
              <w:jc w:val="center"/>
              <w:rPr>
                <w:rFonts w:ascii="Times New Roman"/>
                <w:sz w:val="21"/>
                <w:szCs w:val="21"/>
              </w:rPr>
            </w:pPr>
          </w:p>
        </w:tc>
        <w:tc>
          <w:tcPr>
            <w:tcW w:w="760" w:type="pct"/>
            <w:vAlign w:val="center"/>
          </w:tcPr>
          <w:p w14:paraId="1823FA07">
            <w:pPr>
              <w:jc w:val="center"/>
              <w:rPr>
                <w:rFonts w:ascii="Times New Roman"/>
                <w:sz w:val="21"/>
                <w:szCs w:val="21"/>
              </w:rPr>
            </w:pPr>
            <w:r>
              <w:rPr>
                <w:rFonts w:ascii="Times New Roman"/>
                <w:sz w:val="21"/>
                <w:szCs w:val="21"/>
              </w:rPr>
              <w:t>1.2µg/kg</w:t>
            </w:r>
          </w:p>
        </w:tc>
      </w:tr>
      <w:tr w14:paraId="0A8C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28D6942E">
            <w:pPr>
              <w:jc w:val="center"/>
              <w:rPr>
                <w:rFonts w:ascii="Times New Roman"/>
                <w:sz w:val="21"/>
                <w:szCs w:val="21"/>
              </w:rPr>
            </w:pPr>
            <w:r>
              <w:rPr>
                <w:rFonts w:hint="eastAsia" w:ascii="Times New Roman"/>
                <w:sz w:val="21"/>
                <w:szCs w:val="21"/>
              </w:rPr>
              <w:t>15</w:t>
            </w:r>
          </w:p>
        </w:tc>
        <w:tc>
          <w:tcPr>
            <w:tcW w:w="910" w:type="pct"/>
            <w:vAlign w:val="center"/>
          </w:tcPr>
          <w:p w14:paraId="6455A812">
            <w:pPr>
              <w:jc w:val="center"/>
              <w:rPr>
                <w:rFonts w:ascii="Times New Roman"/>
                <w:sz w:val="21"/>
                <w:szCs w:val="21"/>
              </w:rPr>
            </w:pPr>
            <w:r>
              <w:rPr>
                <w:rFonts w:ascii="Times New Roman"/>
                <w:sz w:val="21"/>
                <w:szCs w:val="21"/>
              </w:rPr>
              <w:t>1,1,2-三氯乙烷</w:t>
            </w:r>
          </w:p>
        </w:tc>
        <w:tc>
          <w:tcPr>
            <w:tcW w:w="1527" w:type="pct"/>
            <w:vMerge w:val="continue"/>
            <w:vAlign w:val="center"/>
          </w:tcPr>
          <w:p w14:paraId="7AC07169">
            <w:pPr>
              <w:jc w:val="center"/>
              <w:rPr>
                <w:rFonts w:ascii="Times New Roman"/>
                <w:sz w:val="21"/>
                <w:szCs w:val="21"/>
              </w:rPr>
            </w:pPr>
          </w:p>
        </w:tc>
        <w:tc>
          <w:tcPr>
            <w:tcW w:w="1552" w:type="pct"/>
            <w:vMerge w:val="continue"/>
            <w:vAlign w:val="center"/>
          </w:tcPr>
          <w:p w14:paraId="74751675">
            <w:pPr>
              <w:jc w:val="center"/>
              <w:rPr>
                <w:rFonts w:ascii="Times New Roman"/>
                <w:sz w:val="21"/>
                <w:szCs w:val="21"/>
              </w:rPr>
            </w:pPr>
          </w:p>
        </w:tc>
        <w:tc>
          <w:tcPr>
            <w:tcW w:w="760" w:type="pct"/>
            <w:vAlign w:val="center"/>
          </w:tcPr>
          <w:p w14:paraId="4252C4D5">
            <w:pPr>
              <w:jc w:val="center"/>
              <w:rPr>
                <w:rFonts w:ascii="Times New Roman"/>
                <w:sz w:val="21"/>
                <w:szCs w:val="21"/>
              </w:rPr>
            </w:pPr>
            <w:r>
              <w:rPr>
                <w:rFonts w:ascii="Times New Roman"/>
                <w:sz w:val="21"/>
                <w:szCs w:val="21"/>
              </w:rPr>
              <w:t>1.2µg/kg</w:t>
            </w:r>
          </w:p>
        </w:tc>
      </w:tr>
      <w:tr w14:paraId="7848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235FBD19">
            <w:pPr>
              <w:jc w:val="center"/>
              <w:rPr>
                <w:rFonts w:ascii="Times New Roman"/>
                <w:sz w:val="21"/>
                <w:szCs w:val="21"/>
              </w:rPr>
            </w:pPr>
            <w:r>
              <w:rPr>
                <w:rFonts w:hint="eastAsia" w:ascii="Times New Roman"/>
                <w:sz w:val="21"/>
                <w:szCs w:val="21"/>
              </w:rPr>
              <w:t>16</w:t>
            </w:r>
          </w:p>
        </w:tc>
        <w:tc>
          <w:tcPr>
            <w:tcW w:w="910" w:type="pct"/>
            <w:vAlign w:val="center"/>
          </w:tcPr>
          <w:p w14:paraId="7C03BA37">
            <w:pPr>
              <w:jc w:val="center"/>
              <w:rPr>
                <w:rFonts w:ascii="Times New Roman"/>
                <w:sz w:val="21"/>
                <w:szCs w:val="21"/>
              </w:rPr>
            </w:pPr>
            <w:r>
              <w:rPr>
                <w:rFonts w:ascii="Times New Roman"/>
                <w:sz w:val="21"/>
                <w:szCs w:val="21"/>
              </w:rPr>
              <w:t>1,1-二氯乙烯</w:t>
            </w:r>
          </w:p>
        </w:tc>
        <w:tc>
          <w:tcPr>
            <w:tcW w:w="1527" w:type="pct"/>
            <w:vMerge w:val="continue"/>
            <w:vAlign w:val="center"/>
          </w:tcPr>
          <w:p w14:paraId="14C3B5ED">
            <w:pPr>
              <w:jc w:val="center"/>
              <w:rPr>
                <w:rFonts w:ascii="Times New Roman"/>
                <w:sz w:val="21"/>
                <w:szCs w:val="21"/>
              </w:rPr>
            </w:pPr>
          </w:p>
        </w:tc>
        <w:tc>
          <w:tcPr>
            <w:tcW w:w="1552" w:type="pct"/>
            <w:vMerge w:val="continue"/>
            <w:vAlign w:val="center"/>
          </w:tcPr>
          <w:p w14:paraId="566EFB3D">
            <w:pPr>
              <w:jc w:val="center"/>
              <w:rPr>
                <w:rFonts w:ascii="Times New Roman"/>
                <w:sz w:val="21"/>
                <w:szCs w:val="21"/>
              </w:rPr>
            </w:pPr>
          </w:p>
        </w:tc>
        <w:tc>
          <w:tcPr>
            <w:tcW w:w="760" w:type="pct"/>
            <w:vAlign w:val="center"/>
          </w:tcPr>
          <w:p w14:paraId="774F7B92">
            <w:pPr>
              <w:jc w:val="center"/>
              <w:rPr>
                <w:rFonts w:ascii="Times New Roman"/>
                <w:sz w:val="21"/>
                <w:szCs w:val="21"/>
              </w:rPr>
            </w:pPr>
            <w:r>
              <w:rPr>
                <w:rFonts w:ascii="Times New Roman"/>
                <w:sz w:val="21"/>
                <w:szCs w:val="21"/>
              </w:rPr>
              <w:t>1.0µg/kg</w:t>
            </w:r>
          </w:p>
        </w:tc>
      </w:tr>
      <w:tr w14:paraId="7854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200EF51C">
            <w:pPr>
              <w:jc w:val="center"/>
              <w:rPr>
                <w:rFonts w:ascii="Times New Roman"/>
                <w:sz w:val="21"/>
                <w:szCs w:val="21"/>
              </w:rPr>
            </w:pPr>
            <w:r>
              <w:rPr>
                <w:rFonts w:hint="eastAsia" w:ascii="Times New Roman"/>
                <w:sz w:val="21"/>
                <w:szCs w:val="21"/>
              </w:rPr>
              <w:t>17</w:t>
            </w:r>
          </w:p>
        </w:tc>
        <w:tc>
          <w:tcPr>
            <w:tcW w:w="910" w:type="pct"/>
            <w:vAlign w:val="center"/>
          </w:tcPr>
          <w:p w14:paraId="3166A452">
            <w:pPr>
              <w:jc w:val="center"/>
              <w:rPr>
                <w:rFonts w:ascii="Times New Roman"/>
                <w:sz w:val="21"/>
                <w:szCs w:val="21"/>
              </w:rPr>
            </w:pPr>
            <w:r>
              <w:rPr>
                <w:rFonts w:ascii="Times New Roman"/>
                <w:sz w:val="21"/>
                <w:szCs w:val="21"/>
              </w:rPr>
              <w:t>1,1-二氯乙烷</w:t>
            </w:r>
          </w:p>
        </w:tc>
        <w:tc>
          <w:tcPr>
            <w:tcW w:w="1527" w:type="pct"/>
            <w:vMerge w:val="continue"/>
            <w:vAlign w:val="center"/>
          </w:tcPr>
          <w:p w14:paraId="309B7303">
            <w:pPr>
              <w:jc w:val="center"/>
              <w:rPr>
                <w:rFonts w:ascii="Times New Roman"/>
                <w:sz w:val="21"/>
                <w:szCs w:val="21"/>
              </w:rPr>
            </w:pPr>
          </w:p>
        </w:tc>
        <w:tc>
          <w:tcPr>
            <w:tcW w:w="1552" w:type="pct"/>
            <w:vMerge w:val="continue"/>
            <w:vAlign w:val="center"/>
          </w:tcPr>
          <w:p w14:paraId="041E9BC2">
            <w:pPr>
              <w:jc w:val="center"/>
              <w:rPr>
                <w:rFonts w:ascii="Times New Roman"/>
                <w:sz w:val="21"/>
                <w:szCs w:val="21"/>
              </w:rPr>
            </w:pPr>
          </w:p>
        </w:tc>
        <w:tc>
          <w:tcPr>
            <w:tcW w:w="760" w:type="pct"/>
            <w:vAlign w:val="center"/>
          </w:tcPr>
          <w:p w14:paraId="1A556923">
            <w:pPr>
              <w:jc w:val="center"/>
              <w:rPr>
                <w:rFonts w:ascii="Times New Roman"/>
                <w:sz w:val="21"/>
                <w:szCs w:val="21"/>
              </w:rPr>
            </w:pPr>
            <w:r>
              <w:rPr>
                <w:rFonts w:ascii="Times New Roman"/>
                <w:sz w:val="21"/>
                <w:szCs w:val="21"/>
              </w:rPr>
              <w:t>1.2µg/kg</w:t>
            </w:r>
          </w:p>
        </w:tc>
      </w:tr>
      <w:tr w14:paraId="4866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61EFD80">
            <w:pPr>
              <w:jc w:val="center"/>
              <w:rPr>
                <w:rFonts w:ascii="Times New Roman"/>
                <w:sz w:val="21"/>
                <w:szCs w:val="21"/>
              </w:rPr>
            </w:pPr>
            <w:r>
              <w:rPr>
                <w:rFonts w:hint="eastAsia" w:ascii="Times New Roman"/>
                <w:sz w:val="21"/>
                <w:szCs w:val="21"/>
              </w:rPr>
              <w:t>18</w:t>
            </w:r>
          </w:p>
        </w:tc>
        <w:tc>
          <w:tcPr>
            <w:tcW w:w="910" w:type="pct"/>
            <w:vAlign w:val="center"/>
          </w:tcPr>
          <w:p w14:paraId="5C1E4EE2">
            <w:pPr>
              <w:jc w:val="center"/>
              <w:rPr>
                <w:rFonts w:ascii="Times New Roman"/>
                <w:sz w:val="21"/>
                <w:szCs w:val="21"/>
              </w:rPr>
            </w:pPr>
            <w:r>
              <w:rPr>
                <w:rFonts w:ascii="Times New Roman"/>
                <w:sz w:val="21"/>
                <w:szCs w:val="21"/>
              </w:rPr>
              <w:t>1,2,3-三氯丙烷</w:t>
            </w:r>
          </w:p>
        </w:tc>
        <w:tc>
          <w:tcPr>
            <w:tcW w:w="1527" w:type="pct"/>
            <w:vMerge w:val="continue"/>
            <w:vAlign w:val="center"/>
          </w:tcPr>
          <w:p w14:paraId="62704940">
            <w:pPr>
              <w:jc w:val="center"/>
              <w:rPr>
                <w:rFonts w:ascii="Times New Roman"/>
                <w:sz w:val="21"/>
                <w:szCs w:val="21"/>
              </w:rPr>
            </w:pPr>
          </w:p>
        </w:tc>
        <w:tc>
          <w:tcPr>
            <w:tcW w:w="1552" w:type="pct"/>
            <w:vMerge w:val="continue"/>
            <w:vAlign w:val="center"/>
          </w:tcPr>
          <w:p w14:paraId="6C9565FF">
            <w:pPr>
              <w:jc w:val="center"/>
              <w:rPr>
                <w:rFonts w:ascii="Times New Roman"/>
                <w:sz w:val="21"/>
                <w:szCs w:val="21"/>
              </w:rPr>
            </w:pPr>
          </w:p>
        </w:tc>
        <w:tc>
          <w:tcPr>
            <w:tcW w:w="760" w:type="pct"/>
            <w:vAlign w:val="center"/>
          </w:tcPr>
          <w:p w14:paraId="64D0BE1F">
            <w:pPr>
              <w:jc w:val="center"/>
              <w:rPr>
                <w:rFonts w:ascii="Times New Roman"/>
                <w:sz w:val="21"/>
                <w:szCs w:val="21"/>
              </w:rPr>
            </w:pPr>
            <w:r>
              <w:rPr>
                <w:rFonts w:ascii="Times New Roman"/>
                <w:sz w:val="21"/>
                <w:szCs w:val="21"/>
              </w:rPr>
              <w:t>1.2µg/kg</w:t>
            </w:r>
          </w:p>
        </w:tc>
      </w:tr>
      <w:tr w14:paraId="2AC4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673AD350">
            <w:pPr>
              <w:jc w:val="center"/>
              <w:rPr>
                <w:rFonts w:ascii="Times New Roman"/>
                <w:sz w:val="21"/>
                <w:szCs w:val="21"/>
              </w:rPr>
            </w:pPr>
            <w:r>
              <w:rPr>
                <w:rFonts w:hint="eastAsia" w:ascii="Times New Roman"/>
                <w:sz w:val="21"/>
                <w:szCs w:val="21"/>
              </w:rPr>
              <w:t>19</w:t>
            </w:r>
          </w:p>
        </w:tc>
        <w:tc>
          <w:tcPr>
            <w:tcW w:w="910" w:type="pct"/>
            <w:vAlign w:val="center"/>
          </w:tcPr>
          <w:p w14:paraId="3E1D816C">
            <w:pPr>
              <w:jc w:val="center"/>
              <w:rPr>
                <w:rFonts w:ascii="Times New Roman"/>
                <w:sz w:val="21"/>
                <w:szCs w:val="21"/>
              </w:rPr>
            </w:pPr>
            <w:r>
              <w:rPr>
                <w:rFonts w:ascii="Times New Roman"/>
                <w:sz w:val="21"/>
                <w:szCs w:val="21"/>
              </w:rPr>
              <w:t>1,2-二氯丙烷</w:t>
            </w:r>
          </w:p>
        </w:tc>
        <w:tc>
          <w:tcPr>
            <w:tcW w:w="1527" w:type="pct"/>
            <w:vMerge w:val="continue"/>
            <w:vAlign w:val="center"/>
          </w:tcPr>
          <w:p w14:paraId="6F4E1F85">
            <w:pPr>
              <w:jc w:val="center"/>
              <w:rPr>
                <w:rFonts w:ascii="Times New Roman"/>
                <w:sz w:val="21"/>
                <w:szCs w:val="21"/>
              </w:rPr>
            </w:pPr>
          </w:p>
        </w:tc>
        <w:tc>
          <w:tcPr>
            <w:tcW w:w="1552" w:type="pct"/>
            <w:vMerge w:val="continue"/>
            <w:vAlign w:val="center"/>
          </w:tcPr>
          <w:p w14:paraId="5A51BBFA">
            <w:pPr>
              <w:jc w:val="center"/>
              <w:rPr>
                <w:rFonts w:ascii="Times New Roman"/>
                <w:sz w:val="21"/>
                <w:szCs w:val="21"/>
              </w:rPr>
            </w:pPr>
          </w:p>
        </w:tc>
        <w:tc>
          <w:tcPr>
            <w:tcW w:w="760" w:type="pct"/>
            <w:vAlign w:val="center"/>
          </w:tcPr>
          <w:p w14:paraId="611A53AD">
            <w:pPr>
              <w:jc w:val="center"/>
              <w:rPr>
                <w:rFonts w:ascii="Times New Roman"/>
                <w:sz w:val="21"/>
                <w:szCs w:val="21"/>
              </w:rPr>
            </w:pPr>
            <w:r>
              <w:rPr>
                <w:rFonts w:ascii="Times New Roman"/>
                <w:sz w:val="21"/>
                <w:szCs w:val="21"/>
              </w:rPr>
              <w:t>1.1µg/kg</w:t>
            </w:r>
          </w:p>
        </w:tc>
      </w:tr>
      <w:tr w14:paraId="4B86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1E288A8E">
            <w:pPr>
              <w:jc w:val="center"/>
              <w:rPr>
                <w:rFonts w:ascii="Times New Roman"/>
                <w:sz w:val="21"/>
                <w:szCs w:val="21"/>
              </w:rPr>
            </w:pPr>
            <w:r>
              <w:rPr>
                <w:rFonts w:hint="eastAsia" w:ascii="Times New Roman"/>
                <w:sz w:val="21"/>
                <w:szCs w:val="21"/>
              </w:rPr>
              <w:t>20</w:t>
            </w:r>
          </w:p>
        </w:tc>
        <w:tc>
          <w:tcPr>
            <w:tcW w:w="910" w:type="pct"/>
            <w:vAlign w:val="center"/>
          </w:tcPr>
          <w:p w14:paraId="75AC2273">
            <w:pPr>
              <w:jc w:val="center"/>
              <w:rPr>
                <w:rFonts w:ascii="Times New Roman"/>
                <w:sz w:val="21"/>
                <w:szCs w:val="21"/>
              </w:rPr>
            </w:pPr>
            <w:r>
              <w:rPr>
                <w:rFonts w:ascii="Times New Roman"/>
                <w:sz w:val="21"/>
                <w:szCs w:val="21"/>
              </w:rPr>
              <w:t>1,2-二氯乙烷</w:t>
            </w:r>
          </w:p>
        </w:tc>
        <w:tc>
          <w:tcPr>
            <w:tcW w:w="1527" w:type="pct"/>
            <w:vMerge w:val="continue"/>
            <w:vAlign w:val="center"/>
          </w:tcPr>
          <w:p w14:paraId="04E1AB1A">
            <w:pPr>
              <w:jc w:val="center"/>
              <w:rPr>
                <w:rFonts w:ascii="Times New Roman"/>
                <w:sz w:val="21"/>
                <w:szCs w:val="21"/>
              </w:rPr>
            </w:pPr>
          </w:p>
        </w:tc>
        <w:tc>
          <w:tcPr>
            <w:tcW w:w="1552" w:type="pct"/>
            <w:vMerge w:val="continue"/>
            <w:vAlign w:val="center"/>
          </w:tcPr>
          <w:p w14:paraId="09197075">
            <w:pPr>
              <w:jc w:val="center"/>
              <w:rPr>
                <w:rFonts w:ascii="Times New Roman"/>
                <w:sz w:val="21"/>
                <w:szCs w:val="21"/>
              </w:rPr>
            </w:pPr>
          </w:p>
        </w:tc>
        <w:tc>
          <w:tcPr>
            <w:tcW w:w="760" w:type="pct"/>
            <w:vAlign w:val="center"/>
          </w:tcPr>
          <w:p w14:paraId="4E5C016C">
            <w:pPr>
              <w:jc w:val="center"/>
              <w:rPr>
                <w:rFonts w:ascii="Times New Roman"/>
                <w:sz w:val="21"/>
                <w:szCs w:val="21"/>
              </w:rPr>
            </w:pPr>
            <w:r>
              <w:rPr>
                <w:rFonts w:ascii="Times New Roman"/>
                <w:sz w:val="21"/>
                <w:szCs w:val="21"/>
              </w:rPr>
              <w:t>1.</w:t>
            </w:r>
            <w:r>
              <w:rPr>
                <w:rFonts w:hint="eastAsia" w:ascii="Times New Roman"/>
                <w:sz w:val="21"/>
                <w:szCs w:val="21"/>
              </w:rPr>
              <w:t>3</w:t>
            </w:r>
            <w:r>
              <w:rPr>
                <w:rFonts w:ascii="Times New Roman"/>
                <w:sz w:val="21"/>
                <w:szCs w:val="21"/>
              </w:rPr>
              <w:t>µg/kg</w:t>
            </w:r>
          </w:p>
        </w:tc>
      </w:tr>
      <w:tr w14:paraId="66D4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A25FF34">
            <w:pPr>
              <w:jc w:val="center"/>
              <w:rPr>
                <w:rFonts w:ascii="Times New Roman"/>
                <w:sz w:val="21"/>
                <w:szCs w:val="21"/>
              </w:rPr>
            </w:pPr>
            <w:r>
              <w:rPr>
                <w:rFonts w:hint="eastAsia" w:ascii="Times New Roman"/>
                <w:sz w:val="21"/>
                <w:szCs w:val="21"/>
              </w:rPr>
              <w:t>21</w:t>
            </w:r>
          </w:p>
        </w:tc>
        <w:tc>
          <w:tcPr>
            <w:tcW w:w="910" w:type="pct"/>
            <w:vAlign w:val="center"/>
          </w:tcPr>
          <w:p w14:paraId="72C40FA4">
            <w:pPr>
              <w:jc w:val="center"/>
              <w:rPr>
                <w:rFonts w:ascii="Times New Roman"/>
                <w:sz w:val="21"/>
                <w:szCs w:val="21"/>
              </w:rPr>
            </w:pPr>
            <w:r>
              <w:rPr>
                <w:rFonts w:ascii="Times New Roman"/>
                <w:sz w:val="21"/>
                <w:szCs w:val="21"/>
              </w:rPr>
              <w:t>1,2-二氯苯</w:t>
            </w:r>
          </w:p>
        </w:tc>
        <w:tc>
          <w:tcPr>
            <w:tcW w:w="1527" w:type="pct"/>
            <w:vMerge w:val="continue"/>
            <w:vAlign w:val="center"/>
          </w:tcPr>
          <w:p w14:paraId="1779CA3F">
            <w:pPr>
              <w:jc w:val="center"/>
              <w:rPr>
                <w:rFonts w:ascii="Times New Roman"/>
                <w:sz w:val="21"/>
                <w:szCs w:val="21"/>
              </w:rPr>
            </w:pPr>
          </w:p>
        </w:tc>
        <w:tc>
          <w:tcPr>
            <w:tcW w:w="1552" w:type="pct"/>
            <w:vMerge w:val="continue"/>
            <w:vAlign w:val="center"/>
          </w:tcPr>
          <w:p w14:paraId="0B0D2484">
            <w:pPr>
              <w:jc w:val="center"/>
              <w:rPr>
                <w:rFonts w:ascii="Times New Roman"/>
                <w:sz w:val="21"/>
                <w:szCs w:val="21"/>
              </w:rPr>
            </w:pPr>
          </w:p>
        </w:tc>
        <w:tc>
          <w:tcPr>
            <w:tcW w:w="760" w:type="pct"/>
            <w:vAlign w:val="center"/>
          </w:tcPr>
          <w:p w14:paraId="6385874D">
            <w:pPr>
              <w:jc w:val="center"/>
              <w:rPr>
                <w:rFonts w:ascii="Times New Roman"/>
                <w:sz w:val="21"/>
                <w:szCs w:val="21"/>
              </w:rPr>
            </w:pPr>
            <w:r>
              <w:rPr>
                <w:rFonts w:ascii="Times New Roman"/>
                <w:sz w:val="21"/>
                <w:szCs w:val="21"/>
              </w:rPr>
              <w:t>1.</w:t>
            </w:r>
            <w:r>
              <w:rPr>
                <w:rFonts w:hint="eastAsia" w:ascii="Times New Roman"/>
                <w:sz w:val="21"/>
                <w:szCs w:val="21"/>
              </w:rPr>
              <w:t>5</w:t>
            </w:r>
            <w:r>
              <w:rPr>
                <w:rFonts w:ascii="Times New Roman"/>
                <w:sz w:val="21"/>
                <w:szCs w:val="21"/>
              </w:rPr>
              <w:t>µg/kg</w:t>
            </w:r>
          </w:p>
        </w:tc>
      </w:tr>
      <w:tr w14:paraId="307D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587CD772">
            <w:pPr>
              <w:jc w:val="center"/>
              <w:rPr>
                <w:rFonts w:ascii="Times New Roman"/>
                <w:sz w:val="21"/>
                <w:szCs w:val="21"/>
              </w:rPr>
            </w:pPr>
            <w:r>
              <w:rPr>
                <w:rFonts w:hint="eastAsia" w:ascii="Times New Roman"/>
                <w:sz w:val="21"/>
                <w:szCs w:val="21"/>
              </w:rPr>
              <w:t>22</w:t>
            </w:r>
          </w:p>
        </w:tc>
        <w:tc>
          <w:tcPr>
            <w:tcW w:w="910" w:type="pct"/>
            <w:vAlign w:val="center"/>
          </w:tcPr>
          <w:p w14:paraId="2D72D3D4">
            <w:pPr>
              <w:jc w:val="center"/>
              <w:rPr>
                <w:rFonts w:ascii="Times New Roman"/>
                <w:sz w:val="21"/>
                <w:szCs w:val="21"/>
              </w:rPr>
            </w:pPr>
            <w:r>
              <w:rPr>
                <w:rFonts w:ascii="Times New Roman"/>
                <w:sz w:val="21"/>
                <w:szCs w:val="21"/>
              </w:rPr>
              <w:t>1,4-二氯苯</w:t>
            </w:r>
          </w:p>
        </w:tc>
        <w:tc>
          <w:tcPr>
            <w:tcW w:w="1527" w:type="pct"/>
            <w:vMerge w:val="continue"/>
            <w:vAlign w:val="center"/>
          </w:tcPr>
          <w:p w14:paraId="0F0AD104">
            <w:pPr>
              <w:jc w:val="center"/>
              <w:rPr>
                <w:rFonts w:ascii="Times New Roman"/>
                <w:sz w:val="21"/>
                <w:szCs w:val="21"/>
              </w:rPr>
            </w:pPr>
          </w:p>
        </w:tc>
        <w:tc>
          <w:tcPr>
            <w:tcW w:w="1552" w:type="pct"/>
            <w:vMerge w:val="continue"/>
            <w:vAlign w:val="center"/>
          </w:tcPr>
          <w:p w14:paraId="3E85224D">
            <w:pPr>
              <w:jc w:val="center"/>
              <w:rPr>
                <w:rFonts w:ascii="Times New Roman"/>
                <w:sz w:val="21"/>
                <w:szCs w:val="21"/>
              </w:rPr>
            </w:pPr>
          </w:p>
        </w:tc>
        <w:tc>
          <w:tcPr>
            <w:tcW w:w="760" w:type="pct"/>
            <w:vAlign w:val="center"/>
          </w:tcPr>
          <w:p w14:paraId="59FEFF01">
            <w:pPr>
              <w:jc w:val="center"/>
              <w:rPr>
                <w:rFonts w:ascii="Times New Roman"/>
                <w:sz w:val="21"/>
                <w:szCs w:val="21"/>
              </w:rPr>
            </w:pPr>
            <w:r>
              <w:rPr>
                <w:rFonts w:ascii="Times New Roman"/>
                <w:sz w:val="21"/>
                <w:szCs w:val="21"/>
              </w:rPr>
              <w:t>1.</w:t>
            </w:r>
            <w:r>
              <w:rPr>
                <w:rFonts w:hint="eastAsia" w:ascii="Times New Roman"/>
                <w:sz w:val="21"/>
                <w:szCs w:val="21"/>
              </w:rPr>
              <w:t>5</w:t>
            </w:r>
            <w:r>
              <w:rPr>
                <w:rFonts w:ascii="Times New Roman"/>
                <w:sz w:val="21"/>
                <w:szCs w:val="21"/>
              </w:rPr>
              <w:t>µg/kg</w:t>
            </w:r>
          </w:p>
        </w:tc>
      </w:tr>
      <w:tr w14:paraId="5311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043A301A">
            <w:pPr>
              <w:jc w:val="center"/>
              <w:rPr>
                <w:rFonts w:ascii="Times New Roman"/>
                <w:sz w:val="21"/>
                <w:szCs w:val="21"/>
              </w:rPr>
            </w:pPr>
            <w:r>
              <w:rPr>
                <w:rFonts w:hint="eastAsia" w:ascii="Times New Roman"/>
                <w:sz w:val="21"/>
                <w:szCs w:val="21"/>
              </w:rPr>
              <w:t>23</w:t>
            </w:r>
          </w:p>
        </w:tc>
        <w:tc>
          <w:tcPr>
            <w:tcW w:w="910" w:type="pct"/>
            <w:vAlign w:val="center"/>
          </w:tcPr>
          <w:p w14:paraId="3089E0FA">
            <w:pPr>
              <w:jc w:val="center"/>
              <w:rPr>
                <w:rFonts w:ascii="Times New Roman"/>
                <w:sz w:val="21"/>
                <w:szCs w:val="21"/>
              </w:rPr>
            </w:pPr>
            <w:r>
              <w:rPr>
                <w:rFonts w:ascii="Times New Roman"/>
                <w:sz w:val="21"/>
                <w:szCs w:val="21"/>
              </w:rPr>
              <w:t>三氯乙烯</w:t>
            </w:r>
          </w:p>
        </w:tc>
        <w:tc>
          <w:tcPr>
            <w:tcW w:w="1527" w:type="pct"/>
            <w:vMerge w:val="continue"/>
            <w:vAlign w:val="center"/>
          </w:tcPr>
          <w:p w14:paraId="45A35CBD">
            <w:pPr>
              <w:jc w:val="center"/>
              <w:rPr>
                <w:rFonts w:ascii="Times New Roman"/>
                <w:sz w:val="21"/>
                <w:szCs w:val="21"/>
              </w:rPr>
            </w:pPr>
          </w:p>
        </w:tc>
        <w:tc>
          <w:tcPr>
            <w:tcW w:w="1552" w:type="pct"/>
            <w:vMerge w:val="continue"/>
            <w:vAlign w:val="center"/>
          </w:tcPr>
          <w:p w14:paraId="76DD7B3A">
            <w:pPr>
              <w:jc w:val="center"/>
              <w:rPr>
                <w:rFonts w:ascii="Times New Roman"/>
                <w:sz w:val="21"/>
                <w:szCs w:val="21"/>
              </w:rPr>
            </w:pPr>
          </w:p>
        </w:tc>
        <w:tc>
          <w:tcPr>
            <w:tcW w:w="760" w:type="pct"/>
            <w:vAlign w:val="center"/>
          </w:tcPr>
          <w:p w14:paraId="09651A89">
            <w:pPr>
              <w:jc w:val="center"/>
              <w:rPr>
                <w:rFonts w:ascii="Times New Roman"/>
                <w:sz w:val="21"/>
                <w:szCs w:val="21"/>
              </w:rPr>
            </w:pPr>
            <w:r>
              <w:rPr>
                <w:rFonts w:ascii="Times New Roman"/>
                <w:sz w:val="21"/>
                <w:szCs w:val="21"/>
              </w:rPr>
              <w:t>1.</w:t>
            </w:r>
            <w:r>
              <w:rPr>
                <w:rFonts w:hint="eastAsia" w:ascii="Times New Roman"/>
                <w:sz w:val="21"/>
                <w:szCs w:val="21"/>
              </w:rPr>
              <w:t>2</w:t>
            </w:r>
            <w:r>
              <w:rPr>
                <w:rFonts w:ascii="Times New Roman"/>
                <w:sz w:val="21"/>
                <w:szCs w:val="21"/>
              </w:rPr>
              <w:t>µg/kg</w:t>
            </w:r>
          </w:p>
        </w:tc>
      </w:tr>
      <w:tr w14:paraId="2C1D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2E76B225">
            <w:pPr>
              <w:spacing w:line="300" w:lineRule="exact"/>
              <w:jc w:val="center"/>
              <w:rPr>
                <w:rFonts w:ascii="Times New Roman"/>
                <w:sz w:val="21"/>
                <w:szCs w:val="21"/>
              </w:rPr>
            </w:pPr>
            <w:r>
              <w:rPr>
                <w:rFonts w:hint="eastAsia" w:ascii="Times New Roman"/>
                <w:sz w:val="21"/>
                <w:szCs w:val="21"/>
              </w:rPr>
              <w:t>24</w:t>
            </w:r>
          </w:p>
        </w:tc>
        <w:tc>
          <w:tcPr>
            <w:tcW w:w="910" w:type="pct"/>
            <w:vAlign w:val="center"/>
          </w:tcPr>
          <w:p w14:paraId="743FD17D">
            <w:pPr>
              <w:jc w:val="center"/>
              <w:rPr>
                <w:rFonts w:ascii="Times New Roman"/>
                <w:sz w:val="21"/>
                <w:szCs w:val="21"/>
              </w:rPr>
            </w:pPr>
            <w:r>
              <w:rPr>
                <w:rFonts w:ascii="Times New Roman"/>
                <w:sz w:val="21"/>
                <w:szCs w:val="21"/>
              </w:rPr>
              <w:t>三氯甲烷</w:t>
            </w:r>
          </w:p>
        </w:tc>
        <w:tc>
          <w:tcPr>
            <w:tcW w:w="1527" w:type="pct"/>
            <w:vMerge w:val="restart"/>
            <w:vAlign w:val="center"/>
          </w:tcPr>
          <w:p w14:paraId="7CA7DED4">
            <w:pPr>
              <w:jc w:val="center"/>
              <w:rPr>
                <w:rFonts w:ascii="Times New Roman"/>
                <w:sz w:val="21"/>
                <w:szCs w:val="21"/>
              </w:rPr>
            </w:pPr>
            <w:r>
              <w:rPr>
                <w:rFonts w:ascii="Times New Roman"/>
                <w:sz w:val="21"/>
                <w:szCs w:val="21"/>
              </w:rPr>
              <w:t>《土壤和沉积物挥发性有 机物的测定吹扫捕集/气相 色谱-质谱法》HJ605-2011</w:t>
            </w:r>
          </w:p>
        </w:tc>
        <w:tc>
          <w:tcPr>
            <w:tcW w:w="1552" w:type="pct"/>
            <w:vMerge w:val="restart"/>
            <w:vAlign w:val="center"/>
          </w:tcPr>
          <w:p w14:paraId="340DB48F">
            <w:pPr>
              <w:jc w:val="center"/>
              <w:rPr>
                <w:rFonts w:ascii="Times New Roman"/>
                <w:sz w:val="21"/>
                <w:szCs w:val="21"/>
              </w:rPr>
            </w:pPr>
            <w:r>
              <w:rPr>
                <w:rFonts w:ascii="Times New Roman"/>
                <w:sz w:val="21"/>
                <w:szCs w:val="21"/>
              </w:rPr>
              <w:t>气相色谱质谱仪 GCMS-QP2010SESYSTEM （1150Y0112） 电子天平 JY20002 （1150G0303）</w:t>
            </w:r>
          </w:p>
        </w:tc>
        <w:tc>
          <w:tcPr>
            <w:tcW w:w="760" w:type="pct"/>
            <w:vAlign w:val="center"/>
          </w:tcPr>
          <w:p w14:paraId="37393AF0">
            <w:pPr>
              <w:jc w:val="center"/>
              <w:rPr>
                <w:rFonts w:ascii="Times New Roman"/>
                <w:sz w:val="21"/>
                <w:szCs w:val="21"/>
              </w:rPr>
            </w:pPr>
            <w:r>
              <w:rPr>
                <w:rFonts w:ascii="Times New Roman"/>
                <w:sz w:val="21"/>
                <w:szCs w:val="21"/>
              </w:rPr>
              <w:t>1.1µg/kg</w:t>
            </w:r>
          </w:p>
        </w:tc>
      </w:tr>
      <w:tr w14:paraId="784C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52C22007">
            <w:pPr>
              <w:spacing w:line="300" w:lineRule="exact"/>
              <w:jc w:val="center"/>
              <w:rPr>
                <w:rFonts w:ascii="Times New Roman"/>
                <w:sz w:val="21"/>
                <w:szCs w:val="21"/>
              </w:rPr>
            </w:pPr>
            <w:r>
              <w:rPr>
                <w:rFonts w:hint="eastAsia" w:ascii="Times New Roman"/>
                <w:sz w:val="21"/>
                <w:szCs w:val="21"/>
              </w:rPr>
              <w:t>25</w:t>
            </w:r>
          </w:p>
        </w:tc>
        <w:tc>
          <w:tcPr>
            <w:tcW w:w="910" w:type="pct"/>
            <w:vAlign w:val="center"/>
          </w:tcPr>
          <w:p w14:paraId="0F91FBAC">
            <w:pPr>
              <w:jc w:val="center"/>
              <w:rPr>
                <w:rFonts w:ascii="Times New Roman"/>
                <w:sz w:val="21"/>
                <w:szCs w:val="21"/>
              </w:rPr>
            </w:pPr>
            <w:r>
              <w:rPr>
                <w:rFonts w:hint="eastAsia" w:ascii="Times New Roman"/>
                <w:sz w:val="21"/>
                <w:szCs w:val="21"/>
              </w:rPr>
              <w:t>乙苯</w:t>
            </w:r>
          </w:p>
        </w:tc>
        <w:tc>
          <w:tcPr>
            <w:tcW w:w="1527" w:type="pct"/>
            <w:vMerge w:val="continue"/>
            <w:vAlign w:val="center"/>
          </w:tcPr>
          <w:p w14:paraId="1DDE42DA">
            <w:pPr>
              <w:spacing w:line="300" w:lineRule="exact"/>
              <w:jc w:val="center"/>
              <w:rPr>
                <w:rFonts w:ascii="Times New Roman"/>
                <w:sz w:val="21"/>
                <w:szCs w:val="21"/>
              </w:rPr>
            </w:pPr>
          </w:p>
        </w:tc>
        <w:tc>
          <w:tcPr>
            <w:tcW w:w="1552" w:type="pct"/>
            <w:vMerge w:val="continue"/>
            <w:vAlign w:val="center"/>
          </w:tcPr>
          <w:p w14:paraId="0FC48548">
            <w:pPr>
              <w:spacing w:line="300" w:lineRule="exact"/>
              <w:jc w:val="center"/>
              <w:rPr>
                <w:rFonts w:ascii="Times New Roman"/>
                <w:sz w:val="21"/>
                <w:szCs w:val="21"/>
              </w:rPr>
            </w:pPr>
          </w:p>
        </w:tc>
        <w:tc>
          <w:tcPr>
            <w:tcW w:w="760" w:type="pct"/>
            <w:vAlign w:val="center"/>
          </w:tcPr>
          <w:p w14:paraId="682FDE08">
            <w:pPr>
              <w:jc w:val="center"/>
              <w:rPr>
                <w:rFonts w:ascii="Times New Roman"/>
                <w:sz w:val="21"/>
                <w:szCs w:val="21"/>
              </w:rPr>
            </w:pPr>
            <w:r>
              <w:rPr>
                <w:rFonts w:ascii="Times New Roman"/>
                <w:sz w:val="21"/>
                <w:szCs w:val="21"/>
              </w:rPr>
              <w:t>1.2µg/kg</w:t>
            </w:r>
          </w:p>
        </w:tc>
      </w:tr>
      <w:tr w14:paraId="5DFE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41532B9A">
            <w:pPr>
              <w:spacing w:line="300" w:lineRule="exact"/>
              <w:jc w:val="center"/>
              <w:rPr>
                <w:rFonts w:ascii="Times New Roman"/>
                <w:sz w:val="21"/>
                <w:szCs w:val="21"/>
              </w:rPr>
            </w:pPr>
            <w:r>
              <w:rPr>
                <w:rFonts w:hint="eastAsia" w:ascii="Times New Roman"/>
                <w:sz w:val="21"/>
                <w:szCs w:val="21"/>
              </w:rPr>
              <w:t>26</w:t>
            </w:r>
          </w:p>
        </w:tc>
        <w:tc>
          <w:tcPr>
            <w:tcW w:w="910" w:type="pct"/>
            <w:vAlign w:val="center"/>
          </w:tcPr>
          <w:p w14:paraId="053618CE">
            <w:pPr>
              <w:jc w:val="center"/>
              <w:rPr>
                <w:rFonts w:ascii="Times New Roman"/>
                <w:sz w:val="21"/>
                <w:szCs w:val="21"/>
              </w:rPr>
            </w:pPr>
            <w:r>
              <w:rPr>
                <w:rFonts w:ascii="Times New Roman"/>
                <w:sz w:val="21"/>
                <w:szCs w:val="21"/>
              </w:rPr>
              <w:t>二氯甲烷</w:t>
            </w:r>
          </w:p>
        </w:tc>
        <w:tc>
          <w:tcPr>
            <w:tcW w:w="1527" w:type="pct"/>
            <w:vMerge w:val="continue"/>
            <w:vAlign w:val="center"/>
          </w:tcPr>
          <w:p w14:paraId="1F10BAF3">
            <w:pPr>
              <w:spacing w:line="300" w:lineRule="exact"/>
              <w:jc w:val="center"/>
              <w:rPr>
                <w:rFonts w:ascii="Times New Roman"/>
                <w:sz w:val="21"/>
                <w:szCs w:val="21"/>
              </w:rPr>
            </w:pPr>
          </w:p>
        </w:tc>
        <w:tc>
          <w:tcPr>
            <w:tcW w:w="1552" w:type="pct"/>
            <w:vMerge w:val="continue"/>
            <w:vAlign w:val="center"/>
          </w:tcPr>
          <w:p w14:paraId="126651D1">
            <w:pPr>
              <w:spacing w:line="300" w:lineRule="exact"/>
              <w:jc w:val="center"/>
              <w:rPr>
                <w:rFonts w:ascii="Times New Roman"/>
                <w:sz w:val="21"/>
                <w:szCs w:val="21"/>
              </w:rPr>
            </w:pPr>
          </w:p>
        </w:tc>
        <w:tc>
          <w:tcPr>
            <w:tcW w:w="760" w:type="pct"/>
            <w:vAlign w:val="center"/>
          </w:tcPr>
          <w:p w14:paraId="05C3BCE3">
            <w:pPr>
              <w:jc w:val="center"/>
              <w:rPr>
                <w:rFonts w:ascii="Times New Roman"/>
                <w:sz w:val="21"/>
                <w:szCs w:val="21"/>
              </w:rPr>
            </w:pPr>
            <w:r>
              <w:rPr>
                <w:rFonts w:ascii="Times New Roman"/>
                <w:sz w:val="21"/>
                <w:szCs w:val="21"/>
              </w:rPr>
              <w:t>1.5µg/kg</w:t>
            </w:r>
          </w:p>
        </w:tc>
      </w:tr>
      <w:tr w14:paraId="50B9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5D2F7188">
            <w:pPr>
              <w:spacing w:line="300" w:lineRule="exact"/>
              <w:jc w:val="center"/>
              <w:rPr>
                <w:rFonts w:ascii="Times New Roman"/>
                <w:sz w:val="21"/>
                <w:szCs w:val="21"/>
              </w:rPr>
            </w:pPr>
            <w:r>
              <w:rPr>
                <w:rFonts w:hint="eastAsia" w:ascii="Times New Roman"/>
                <w:sz w:val="21"/>
                <w:szCs w:val="21"/>
              </w:rPr>
              <w:t>27</w:t>
            </w:r>
          </w:p>
        </w:tc>
        <w:tc>
          <w:tcPr>
            <w:tcW w:w="910" w:type="pct"/>
            <w:vAlign w:val="center"/>
          </w:tcPr>
          <w:p w14:paraId="44554F3C">
            <w:pPr>
              <w:jc w:val="center"/>
              <w:rPr>
                <w:rFonts w:ascii="Times New Roman"/>
                <w:sz w:val="21"/>
                <w:szCs w:val="21"/>
              </w:rPr>
            </w:pPr>
            <w:r>
              <w:rPr>
                <w:rFonts w:ascii="Times New Roman"/>
                <w:sz w:val="21"/>
                <w:szCs w:val="21"/>
              </w:rPr>
              <w:t>反-1,2-二氯乙烯</w:t>
            </w:r>
          </w:p>
        </w:tc>
        <w:tc>
          <w:tcPr>
            <w:tcW w:w="1527" w:type="pct"/>
            <w:vMerge w:val="continue"/>
            <w:vAlign w:val="center"/>
          </w:tcPr>
          <w:p w14:paraId="02DC7DEC">
            <w:pPr>
              <w:spacing w:line="300" w:lineRule="exact"/>
              <w:jc w:val="center"/>
              <w:rPr>
                <w:rFonts w:ascii="Times New Roman"/>
                <w:sz w:val="21"/>
                <w:szCs w:val="21"/>
              </w:rPr>
            </w:pPr>
          </w:p>
        </w:tc>
        <w:tc>
          <w:tcPr>
            <w:tcW w:w="1552" w:type="pct"/>
            <w:vMerge w:val="continue"/>
            <w:vAlign w:val="center"/>
          </w:tcPr>
          <w:p w14:paraId="53CB545C">
            <w:pPr>
              <w:spacing w:line="300" w:lineRule="exact"/>
              <w:jc w:val="center"/>
              <w:rPr>
                <w:rFonts w:ascii="Times New Roman"/>
                <w:sz w:val="21"/>
                <w:szCs w:val="21"/>
              </w:rPr>
            </w:pPr>
          </w:p>
        </w:tc>
        <w:tc>
          <w:tcPr>
            <w:tcW w:w="760" w:type="pct"/>
            <w:vAlign w:val="center"/>
          </w:tcPr>
          <w:p w14:paraId="40EA167A">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4</w:t>
            </w:r>
            <w:r>
              <w:rPr>
                <w:rFonts w:ascii="Times New Roman"/>
                <w:sz w:val="21"/>
                <w:szCs w:val="21"/>
              </w:rPr>
              <w:t>µg/kg</w:t>
            </w:r>
          </w:p>
        </w:tc>
      </w:tr>
      <w:tr w14:paraId="72E0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0A266FA9">
            <w:pPr>
              <w:spacing w:line="300" w:lineRule="exact"/>
              <w:jc w:val="center"/>
              <w:rPr>
                <w:rFonts w:ascii="Times New Roman"/>
                <w:sz w:val="21"/>
                <w:szCs w:val="21"/>
              </w:rPr>
            </w:pPr>
            <w:r>
              <w:rPr>
                <w:rFonts w:hint="eastAsia" w:ascii="Times New Roman"/>
                <w:sz w:val="21"/>
                <w:szCs w:val="21"/>
              </w:rPr>
              <w:t>28</w:t>
            </w:r>
          </w:p>
        </w:tc>
        <w:tc>
          <w:tcPr>
            <w:tcW w:w="910" w:type="pct"/>
            <w:vAlign w:val="center"/>
          </w:tcPr>
          <w:p w14:paraId="22127210">
            <w:pPr>
              <w:jc w:val="center"/>
              <w:rPr>
                <w:rFonts w:ascii="Times New Roman"/>
                <w:sz w:val="21"/>
                <w:szCs w:val="21"/>
              </w:rPr>
            </w:pPr>
            <w:r>
              <w:rPr>
                <w:rFonts w:ascii="Times New Roman"/>
                <w:sz w:val="21"/>
                <w:szCs w:val="21"/>
              </w:rPr>
              <w:t>四氯乙烯</w:t>
            </w:r>
          </w:p>
        </w:tc>
        <w:tc>
          <w:tcPr>
            <w:tcW w:w="1527" w:type="pct"/>
            <w:vMerge w:val="continue"/>
            <w:vAlign w:val="center"/>
          </w:tcPr>
          <w:p w14:paraId="47597837">
            <w:pPr>
              <w:spacing w:line="300" w:lineRule="exact"/>
              <w:jc w:val="center"/>
              <w:rPr>
                <w:rFonts w:ascii="Times New Roman"/>
                <w:sz w:val="21"/>
                <w:szCs w:val="21"/>
              </w:rPr>
            </w:pPr>
          </w:p>
        </w:tc>
        <w:tc>
          <w:tcPr>
            <w:tcW w:w="1552" w:type="pct"/>
            <w:vMerge w:val="continue"/>
            <w:vAlign w:val="center"/>
          </w:tcPr>
          <w:p w14:paraId="590A2786">
            <w:pPr>
              <w:spacing w:line="300" w:lineRule="exact"/>
              <w:jc w:val="center"/>
              <w:rPr>
                <w:rFonts w:ascii="Times New Roman"/>
                <w:sz w:val="21"/>
                <w:szCs w:val="21"/>
              </w:rPr>
            </w:pPr>
          </w:p>
        </w:tc>
        <w:tc>
          <w:tcPr>
            <w:tcW w:w="760" w:type="pct"/>
            <w:vAlign w:val="center"/>
          </w:tcPr>
          <w:p w14:paraId="46D19D02">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4</w:t>
            </w:r>
            <w:r>
              <w:rPr>
                <w:rFonts w:ascii="Times New Roman"/>
                <w:sz w:val="21"/>
                <w:szCs w:val="21"/>
              </w:rPr>
              <w:t>µg/kg</w:t>
            </w:r>
          </w:p>
        </w:tc>
      </w:tr>
      <w:tr w14:paraId="78DA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5FCE2C53">
            <w:pPr>
              <w:spacing w:line="300" w:lineRule="exact"/>
              <w:jc w:val="center"/>
              <w:rPr>
                <w:rFonts w:ascii="Times New Roman"/>
                <w:sz w:val="21"/>
                <w:szCs w:val="21"/>
              </w:rPr>
            </w:pPr>
            <w:r>
              <w:rPr>
                <w:rFonts w:hint="eastAsia" w:ascii="Times New Roman"/>
                <w:sz w:val="21"/>
                <w:szCs w:val="21"/>
              </w:rPr>
              <w:t>29</w:t>
            </w:r>
          </w:p>
        </w:tc>
        <w:tc>
          <w:tcPr>
            <w:tcW w:w="910" w:type="pct"/>
            <w:vAlign w:val="center"/>
          </w:tcPr>
          <w:p w14:paraId="4B659BDE">
            <w:pPr>
              <w:jc w:val="center"/>
              <w:rPr>
                <w:rFonts w:ascii="Times New Roman"/>
                <w:sz w:val="21"/>
                <w:szCs w:val="21"/>
              </w:rPr>
            </w:pPr>
            <w:r>
              <w:rPr>
                <w:rFonts w:ascii="Times New Roman"/>
                <w:sz w:val="21"/>
                <w:szCs w:val="21"/>
              </w:rPr>
              <w:t>四氯化碳</w:t>
            </w:r>
          </w:p>
        </w:tc>
        <w:tc>
          <w:tcPr>
            <w:tcW w:w="1527" w:type="pct"/>
            <w:vMerge w:val="continue"/>
            <w:vAlign w:val="center"/>
          </w:tcPr>
          <w:p w14:paraId="35147EE7">
            <w:pPr>
              <w:spacing w:line="300" w:lineRule="exact"/>
              <w:jc w:val="center"/>
              <w:rPr>
                <w:rFonts w:ascii="Times New Roman"/>
                <w:sz w:val="21"/>
                <w:szCs w:val="21"/>
              </w:rPr>
            </w:pPr>
          </w:p>
        </w:tc>
        <w:tc>
          <w:tcPr>
            <w:tcW w:w="1552" w:type="pct"/>
            <w:vMerge w:val="continue"/>
            <w:vAlign w:val="center"/>
          </w:tcPr>
          <w:p w14:paraId="599C19D7">
            <w:pPr>
              <w:spacing w:line="300" w:lineRule="exact"/>
              <w:jc w:val="center"/>
              <w:rPr>
                <w:rFonts w:ascii="Times New Roman"/>
                <w:sz w:val="21"/>
                <w:szCs w:val="21"/>
              </w:rPr>
            </w:pPr>
          </w:p>
        </w:tc>
        <w:tc>
          <w:tcPr>
            <w:tcW w:w="760" w:type="pct"/>
            <w:vAlign w:val="center"/>
          </w:tcPr>
          <w:p w14:paraId="2B1FF817">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3</w:t>
            </w:r>
            <w:r>
              <w:rPr>
                <w:rFonts w:ascii="Times New Roman"/>
                <w:sz w:val="21"/>
                <w:szCs w:val="21"/>
              </w:rPr>
              <w:t>µg/kg</w:t>
            </w:r>
          </w:p>
        </w:tc>
      </w:tr>
      <w:tr w14:paraId="6EFF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643C8BDF">
            <w:pPr>
              <w:spacing w:line="300" w:lineRule="exact"/>
              <w:jc w:val="center"/>
              <w:rPr>
                <w:rFonts w:ascii="Times New Roman"/>
                <w:sz w:val="21"/>
                <w:szCs w:val="21"/>
              </w:rPr>
            </w:pPr>
            <w:r>
              <w:rPr>
                <w:rFonts w:hint="eastAsia" w:ascii="Times New Roman"/>
                <w:sz w:val="21"/>
                <w:szCs w:val="21"/>
              </w:rPr>
              <w:t>30</w:t>
            </w:r>
          </w:p>
        </w:tc>
        <w:tc>
          <w:tcPr>
            <w:tcW w:w="910" w:type="pct"/>
            <w:vAlign w:val="center"/>
          </w:tcPr>
          <w:p w14:paraId="3B2B27D6">
            <w:pPr>
              <w:jc w:val="center"/>
              <w:rPr>
                <w:rFonts w:ascii="Times New Roman"/>
                <w:sz w:val="21"/>
                <w:szCs w:val="21"/>
              </w:rPr>
            </w:pPr>
            <w:r>
              <w:rPr>
                <w:rFonts w:ascii="Times New Roman"/>
                <w:sz w:val="21"/>
                <w:szCs w:val="21"/>
              </w:rPr>
              <w:t>氯乙烯</w:t>
            </w:r>
          </w:p>
        </w:tc>
        <w:tc>
          <w:tcPr>
            <w:tcW w:w="1527" w:type="pct"/>
            <w:vMerge w:val="continue"/>
            <w:vAlign w:val="center"/>
          </w:tcPr>
          <w:p w14:paraId="684B8FD7">
            <w:pPr>
              <w:spacing w:line="300" w:lineRule="exact"/>
              <w:jc w:val="center"/>
              <w:rPr>
                <w:rFonts w:ascii="Times New Roman"/>
                <w:sz w:val="21"/>
                <w:szCs w:val="21"/>
              </w:rPr>
            </w:pPr>
          </w:p>
        </w:tc>
        <w:tc>
          <w:tcPr>
            <w:tcW w:w="1552" w:type="pct"/>
            <w:vMerge w:val="continue"/>
            <w:vAlign w:val="center"/>
          </w:tcPr>
          <w:p w14:paraId="3A649B62">
            <w:pPr>
              <w:spacing w:line="300" w:lineRule="exact"/>
              <w:jc w:val="center"/>
              <w:rPr>
                <w:rFonts w:ascii="Times New Roman"/>
                <w:sz w:val="21"/>
                <w:szCs w:val="21"/>
              </w:rPr>
            </w:pPr>
          </w:p>
        </w:tc>
        <w:tc>
          <w:tcPr>
            <w:tcW w:w="760" w:type="pct"/>
            <w:vAlign w:val="center"/>
          </w:tcPr>
          <w:p w14:paraId="6A79E813">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0</w:t>
            </w:r>
            <w:r>
              <w:rPr>
                <w:rFonts w:ascii="Times New Roman"/>
                <w:sz w:val="21"/>
                <w:szCs w:val="21"/>
              </w:rPr>
              <w:t>µg/kg</w:t>
            </w:r>
          </w:p>
        </w:tc>
      </w:tr>
      <w:tr w14:paraId="00E1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63A6DA30">
            <w:pPr>
              <w:spacing w:line="300" w:lineRule="exact"/>
              <w:jc w:val="center"/>
              <w:rPr>
                <w:rFonts w:ascii="Times New Roman"/>
                <w:sz w:val="21"/>
                <w:szCs w:val="21"/>
              </w:rPr>
            </w:pPr>
            <w:r>
              <w:rPr>
                <w:rFonts w:hint="eastAsia" w:ascii="Times New Roman"/>
                <w:sz w:val="21"/>
                <w:szCs w:val="21"/>
              </w:rPr>
              <w:t>31</w:t>
            </w:r>
          </w:p>
        </w:tc>
        <w:tc>
          <w:tcPr>
            <w:tcW w:w="910" w:type="pct"/>
            <w:vAlign w:val="center"/>
          </w:tcPr>
          <w:p w14:paraId="346149D2">
            <w:pPr>
              <w:jc w:val="center"/>
              <w:rPr>
                <w:rFonts w:ascii="Times New Roman"/>
                <w:sz w:val="21"/>
                <w:szCs w:val="21"/>
              </w:rPr>
            </w:pPr>
            <w:r>
              <w:rPr>
                <w:rFonts w:ascii="Times New Roman"/>
                <w:sz w:val="21"/>
                <w:szCs w:val="21"/>
              </w:rPr>
              <w:t>氯甲烷</w:t>
            </w:r>
          </w:p>
        </w:tc>
        <w:tc>
          <w:tcPr>
            <w:tcW w:w="1527" w:type="pct"/>
            <w:vMerge w:val="continue"/>
            <w:vAlign w:val="center"/>
          </w:tcPr>
          <w:p w14:paraId="74C18E9E">
            <w:pPr>
              <w:spacing w:line="300" w:lineRule="exact"/>
              <w:jc w:val="center"/>
              <w:rPr>
                <w:rFonts w:ascii="Times New Roman"/>
                <w:sz w:val="21"/>
                <w:szCs w:val="21"/>
              </w:rPr>
            </w:pPr>
          </w:p>
        </w:tc>
        <w:tc>
          <w:tcPr>
            <w:tcW w:w="1552" w:type="pct"/>
            <w:vMerge w:val="continue"/>
            <w:vAlign w:val="center"/>
          </w:tcPr>
          <w:p w14:paraId="7B8F85E2">
            <w:pPr>
              <w:spacing w:line="300" w:lineRule="exact"/>
              <w:jc w:val="center"/>
              <w:rPr>
                <w:rFonts w:ascii="Times New Roman"/>
                <w:sz w:val="21"/>
                <w:szCs w:val="21"/>
              </w:rPr>
            </w:pPr>
          </w:p>
        </w:tc>
        <w:tc>
          <w:tcPr>
            <w:tcW w:w="760" w:type="pct"/>
            <w:vAlign w:val="center"/>
          </w:tcPr>
          <w:p w14:paraId="6EA0E706">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0</w:t>
            </w:r>
            <w:r>
              <w:rPr>
                <w:rFonts w:ascii="Times New Roman"/>
                <w:sz w:val="21"/>
                <w:szCs w:val="21"/>
              </w:rPr>
              <w:t>µg/kg</w:t>
            </w:r>
          </w:p>
        </w:tc>
      </w:tr>
      <w:tr w14:paraId="2748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428C40F">
            <w:pPr>
              <w:spacing w:line="300" w:lineRule="exact"/>
              <w:jc w:val="center"/>
              <w:rPr>
                <w:rFonts w:ascii="Times New Roman"/>
                <w:sz w:val="21"/>
                <w:szCs w:val="21"/>
              </w:rPr>
            </w:pPr>
            <w:r>
              <w:rPr>
                <w:rFonts w:hint="eastAsia" w:ascii="Times New Roman"/>
                <w:sz w:val="21"/>
                <w:szCs w:val="21"/>
              </w:rPr>
              <w:t>32</w:t>
            </w:r>
          </w:p>
        </w:tc>
        <w:tc>
          <w:tcPr>
            <w:tcW w:w="910" w:type="pct"/>
            <w:vAlign w:val="center"/>
          </w:tcPr>
          <w:p w14:paraId="6F6FFF20">
            <w:pPr>
              <w:jc w:val="center"/>
              <w:rPr>
                <w:rFonts w:ascii="Times New Roman"/>
                <w:sz w:val="21"/>
                <w:szCs w:val="21"/>
              </w:rPr>
            </w:pPr>
            <w:r>
              <w:rPr>
                <w:rFonts w:ascii="Times New Roman"/>
                <w:sz w:val="21"/>
                <w:szCs w:val="21"/>
              </w:rPr>
              <w:t>氯苯</w:t>
            </w:r>
          </w:p>
        </w:tc>
        <w:tc>
          <w:tcPr>
            <w:tcW w:w="1527" w:type="pct"/>
            <w:vMerge w:val="continue"/>
            <w:vAlign w:val="center"/>
          </w:tcPr>
          <w:p w14:paraId="690BF923">
            <w:pPr>
              <w:spacing w:line="300" w:lineRule="exact"/>
              <w:jc w:val="center"/>
              <w:rPr>
                <w:rFonts w:ascii="Times New Roman"/>
                <w:sz w:val="21"/>
                <w:szCs w:val="21"/>
              </w:rPr>
            </w:pPr>
          </w:p>
        </w:tc>
        <w:tc>
          <w:tcPr>
            <w:tcW w:w="1552" w:type="pct"/>
            <w:vMerge w:val="continue"/>
            <w:vAlign w:val="center"/>
          </w:tcPr>
          <w:p w14:paraId="56C3B9A9">
            <w:pPr>
              <w:spacing w:line="300" w:lineRule="exact"/>
              <w:jc w:val="center"/>
              <w:rPr>
                <w:rFonts w:ascii="Times New Roman"/>
                <w:sz w:val="21"/>
                <w:szCs w:val="21"/>
              </w:rPr>
            </w:pPr>
          </w:p>
        </w:tc>
        <w:tc>
          <w:tcPr>
            <w:tcW w:w="760" w:type="pct"/>
            <w:vAlign w:val="center"/>
          </w:tcPr>
          <w:p w14:paraId="45EB40D6">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2</w:t>
            </w:r>
            <w:r>
              <w:rPr>
                <w:rFonts w:ascii="Times New Roman"/>
                <w:sz w:val="21"/>
                <w:szCs w:val="21"/>
              </w:rPr>
              <w:t>µg/kg</w:t>
            </w:r>
          </w:p>
        </w:tc>
      </w:tr>
      <w:tr w14:paraId="7454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197F07FD">
            <w:pPr>
              <w:spacing w:line="300" w:lineRule="exact"/>
              <w:jc w:val="center"/>
              <w:rPr>
                <w:rFonts w:ascii="Times New Roman"/>
                <w:sz w:val="21"/>
                <w:szCs w:val="21"/>
              </w:rPr>
            </w:pPr>
            <w:r>
              <w:rPr>
                <w:rFonts w:hint="eastAsia" w:ascii="Times New Roman"/>
                <w:sz w:val="21"/>
                <w:szCs w:val="21"/>
              </w:rPr>
              <w:t>33</w:t>
            </w:r>
          </w:p>
        </w:tc>
        <w:tc>
          <w:tcPr>
            <w:tcW w:w="910" w:type="pct"/>
            <w:vAlign w:val="center"/>
          </w:tcPr>
          <w:p w14:paraId="0CC7A654">
            <w:pPr>
              <w:jc w:val="center"/>
              <w:rPr>
                <w:rFonts w:ascii="Times New Roman"/>
                <w:sz w:val="21"/>
                <w:szCs w:val="21"/>
              </w:rPr>
            </w:pPr>
            <w:r>
              <w:rPr>
                <w:rFonts w:ascii="Times New Roman"/>
                <w:sz w:val="21"/>
                <w:szCs w:val="21"/>
              </w:rPr>
              <w:t>甲苯</w:t>
            </w:r>
          </w:p>
        </w:tc>
        <w:tc>
          <w:tcPr>
            <w:tcW w:w="1527" w:type="pct"/>
            <w:vMerge w:val="continue"/>
            <w:vAlign w:val="center"/>
          </w:tcPr>
          <w:p w14:paraId="2786CED3">
            <w:pPr>
              <w:spacing w:line="300" w:lineRule="exact"/>
              <w:jc w:val="center"/>
              <w:rPr>
                <w:rFonts w:ascii="Times New Roman"/>
                <w:sz w:val="21"/>
                <w:szCs w:val="21"/>
              </w:rPr>
            </w:pPr>
          </w:p>
        </w:tc>
        <w:tc>
          <w:tcPr>
            <w:tcW w:w="1552" w:type="pct"/>
            <w:vMerge w:val="continue"/>
            <w:vAlign w:val="center"/>
          </w:tcPr>
          <w:p w14:paraId="1D1807E9">
            <w:pPr>
              <w:spacing w:line="300" w:lineRule="exact"/>
              <w:jc w:val="center"/>
              <w:rPr>
                <w:rFonts w:ascii="Times New Roman"/>
                <w:sz w:val="21"/>
                <w:szCs w:val="21"/>
              </w:rPr>
            </w:pPr>
          </w:p>
        </w:tc>
        <w:tc>
          <w:tcPr>
            <w:tcW w:w="760" w:type="pct"/>
            <w:vAlign w:val="center"/>
          </w:tcPr>
          <w:p w14:paraId="7761BEF2">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3</w:t>
            </w:r>
            <w:r>
              <w:rPr>
                <w:rFonts w:ascii="Times New Roman"/>
                <w:sz w:val="21"/>
                <w:szCs w:val="21"/>
              </w:rPr>
              <w:t>µg/kg</w:t>
            </w:r>
          </w:p>
        </w:tc>
      </w:tr>
      <w:tr w14:paraId="51A6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5133370A">
            <w:pPr>
              <w:spacing w:line="300" w:lineRule="exact"/>
              <w:jc w:val="center"/>
              <w:rPr>
                <w:rFonts w:ascii="Times New Roman"/>
                <w:sz w:val="21"/>
                <w:szCs w:val="21"/>
              </w:rPr>
            </w:pPr>
            <w:r>
              <w:rPr>
                <w:rFonts w:hint="eastAsia" w:ascii="Times New Roman"/>
                <w:sz w:val="21"/>
                <w:szCs w:val="21"/>
              </w:rPr>
              <w:t>34</w:t>
            </w:r>
          </w:p>
        </w:tc>
        <w:tc>
          <w:tcPr>
            <w:tcW w:w="910" w:type="pct"/>
            <w:vAlign w:val="center"/>
          </w:tcPr>
          <w:p w14:paraId="49313AC8">
            <w:pPr>
              <w:jc w:val="center"/>
              <w:rPr>
                <w:rFonts w:ascii="Times New Roman"/>
                <w:sz w:val="21"/>
                <w:szCs w:val="21"/>
              </w:rPr>
            </w:pPr>
            <w:r>
              <w:rPr>
                <w:rFonts w:ascii="Times New Roman"/>
                <w:sz w:val="21"/>
                <w:szCs w:val="21"/>
              </w:rPr>
              <w:t>苯</w:t>
            </w:r>
          </w:p>
        </w:tc>
        <w:tc>
          <w:tcPr>
            <w:tcW w:w="1527" w:type="pct"/>
            <w:vMerge w:val="continue"/>
            <w:vAlign w:val="center"/>
          </w:tcPr>
          <w:p w14:paraId="1231EFC6">
            <w:pPr>
              <w:spacing w:line="300" w:lineRule="exact"/>
              <w:jc w:val="center"/>
              <w:rPr>
                <w:rFonts w:ascii="Times New Roman"/>
                <w:sz w:val="21"/>
                <w:szCs w:val="21"/>
              </w:rPr>
            </w:pPr>
          </w:p>
        </w:tc>
        <w:tc>
          <w:tcPr>
            <w:tcW w:w="1552" w:type="pct"/>
            <w:vMerge w:val="continue"/>
            <w:vAlign w:val="center"/>
          </w:tcPr>
          <w:p w14:paraId="445D732F">
            <w:pPr>
              <w:spacing w:line="300" w:lineRule="exact"/>
              <w:jc w:val="center"/>
              <w:rPr>
                <w:rFonts w:ascii="Times New Roman"/>
                <w:sz w:val="21"/>
                <w:szCs w:val="21"/>
              </w:rPr>
            </w:pPr>
          </w:p>
        </w:tc>
        <w:tc>
          <w:tcPr>
            <w:tcW w:w="760" w:type="pct"/>
            <w:vAlign w:val="center"/>
          </w:tcPr>
          <w:p w14:paraId="0AD771AD">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9</w:t>
            </w:r>
            <w:r>
              <w:rPr>
                <w:rFonts w:ascii="Times New Roman"/>
                <w:sz w:val="21"/>
                <w:szCs w:val="21"/>
              </w:rPr>
              <w:t>µg/kg</w:t>
            </w:r>
          </w:p>
        </w:tc>
      </w:tr>
      <w:tr w14:paraId="0DBB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735879A">
            <w:pPr>
              <w:spacing w:line="300" w:lineRule="exact"/>
              <w:jc w:val="center"/>
              <w:rPr>
                <w:rFonts w:ascii="Times New Roman"/>
                <w:sz w:val="21"/>
                <w:szCs w:val="21"/>
              </w:rPr>
            </w:pPr>
            <w:r>
              <w:rPr>
                <w:rFonts w:hint="eastAsia" w:ascii="Times New Roman"/>
                <w:sz w:val="21"/>
                <w:szCs w:val="21"/>
              </w:rPr>
              <w:t>35</w:t>
            </w:r>
          </w:p>
        </w:tc>
        <w:tc>
          <w:tcPr>
            <w:tcW w:w="910" w:type="pct"/>
            <w:vAlign w:val="center"/>
          </w:tcPr>
          <w:p w14:paraId="6B643C02">
            <w:pPr>
              <w:jc w:val="center"/>
              <w:rPr>
                <w:rFonts w:ascii="Times New Roman"/>
                <w:sz w:val="21"/>
                <w:szCs w:val="21"/>
              </w:rPr>
            </w:pPr>
            <w:r>
              <w:rPr>
                <w:rFonts w:ascii="Times New Roman"/>
                <w:sz w:val="21"/>
                <w:szCs w:val="21"/>
              </w:rPr>
              <w:t>苯乙烯</w:t>
            </w:r>
          </w:p>
        </w:tc>
        <w:tc>
          <w:tcPr>
            <w:tcW w:w="1527" w:type="pct"/>
            <w:vMerge w:val="continue"/>
            <w:vAlign w:val="center"/>
          </w:tcPr>
          <w:p w14:paraId="7226C6D9">
            <w:pPr>
              <w:spacing w:line="300" w:lineRule="exact"/>
              <w:jc w:val="center"/>
              <w:rPr>
                <w:rFonts w:ascii="Times New Roman"/>
                <w:sz w:val="21"/>
                <w:szCs w:val="21"/>
              </w:rPr>
            </w:pPr>
          </w:p>
        </w:tc>
        <w:tc>
          <w:tcPr>
            <w:tcW w:w="1552" w:type="pct"/>
            <w:vMerge w:val="continue"/>
            <w:vAlign w:val="center"/>
          </w:tcPr>
          <w:p w14:paraId="04A023BA">
            <w:pPr>
              <w:spacing w:line="300" w:lineRule="exact"/>
              <w:jc w:val="center"/>
              <w:rPr>
                <w:rFonts w:ascii="Times New Roman"/>
                <w:sz w:val="21"/>
                <w:szCs w:val="21"/>
              </w:rPr>
            </w:pPr>
          </w:p>
        </w:tc>
        <w:tc>
          <w:tcPr>
            <w:tcW w:w="760" w:type="pct"/>
            <w:vAlign w:val="center"/>
          </w:tcPr>
          <w:p w14:paraId="764ABAEF">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1</w:t>
            </w:r>
            <w:r>
              <w:rPr>
                <w:rFonts w:ascii="Times New Roman"/>
                <w:sz w:val="21"/>
                <w:szCs w:val="21"/>
              </w:rPr>
              <w:t>µg/kg</w:t>
            </w:r>
          </w:p>
        </w:tc>
      </w:tr>
      <w:tr w14:paraId="6BB6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1FFC9396">
            <w:pPr>
              <w:spacing w:line="300" w:lineRule="exact"/>
              <w:jc w:val="center"/>
              <w:rPr>
                <w:rFonts w:ascii="Times New Roman"/>
                <w:sz w:val="21"/>
                <w:szCs w:val="21"/>
              </w:rPr>
            </w:pPr>
            <w:r>
              <w:rPr>
                <w:rFonts w:hint="eastAsia" w:ascii="Times New Roman"/>
                <w:sz w:val="21"/>
                <w:szCs w:val="21"/>
              </w:rPr>
              <w:t>36</w:t>
            </w:r>
          </w:p>
        </w:tc>
        <w:tc>
          <w:tcPr>
            <w:tcW w:w="910" w:type="pct"/>
            <w:vAlign w:val="center"/>
          </w:tcPr>
          <w:p w14:paraId="772FCC69">
            <w:pPr>
              <w:jc w:val="center"/>
              <w:rPr>
                <w:rFonts w:ascii="Times New Roman"/>
                <w:sz w:val="21"/>
                <w:szCs w:val="21"/>
              </w:rPr>
            </w:pPr>
            <w:r>
              <w:rPr>
                <w:rFonts w:ascii="Times New Roman"/>
                <w:sz w:val="21"/>
                <w:szCs w:val="21"/>
              </w:rPr>
              <w:t>邻-二甲苯</w:t>
            </w:r>
          </w:p>
        </w:tc>
        <w:tc>
          <w:tcPr>
            <w:tcW w:w="1527" w:type="pct"/>
            <w:vMerge w:val="continue"/>
            <w:vAlign w:val="center"/>
          </w:tcPr>
          <w:p w14:paraId="4C1EB66C">
            <w:pPr>
              <w:spacing w:line="300" w:lineRule="exact"/>
              <w:jc w:val="center"/>
              <w:rPr>
                <w:rFonts w:ascii="Times New Roman"/>
                <w:sz w:val="21"/>
                <w:szCs w:val="21"/>
              </w:rPr>
            </w:pPr>
          </w:p>
        </w:tc>
        <w:tc>
          <w:tcPr>
            <w:tcW w:w="1552" w:type="pct"/>
            <w:vMerge w:val="continue"/>
            <w:vAlign w:val="center"/>
          </w:tcPr>
          <w:p w14:paraId="6847A467">
            <w:pPr>
              <w:spacing w:line="300" w:lineRule="exact"/>
              <w:jc w:val="center"/>
              <w:rPr>
                <w:rFonts w:ascii="Times New Roman"/>
                <w:sz w:val="21"/>
                <w:szCs w:val="21"/>
              </w:rPr>
            </w:pPr>
          </w:p>
        </w:tc>
        <w:tc>
          <w:tcPr>
            <w:tcW w:w="760" w:type="pct"/>
            <w:vAlign w:val="center"/>
          </w:tcPr>
          <w:p w14:paraId="1E07D68D">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2</w:t>
            </w:r>
            <w:r>
              <w:rPr>
                <w:rFonts w:ascii="Times New Roman"/>
                <w:sz w:val="21"/>
                <w:szCs w:val="21"/>
              </w:rPr>
              <w:t>µg/kg</w:t>
            </w:r>
          </w:p>
        </w:tc>
      </w:tr>
      <w:tr w14:paraId="0E6D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E6DC9FA">
            <w:pPr>
              <w:spacing w:line="300" w:lineRule="exact"/>
              <w:jc w:val="center"/>
              <w:rPr>
                <w:rFonts w:ascii="Times New Roman"/>
                <w:sz w:val="21"/>
                <w:szCs w:val="21"/>
              </w:rPr>
            </w:pPr>
            <w:r>
              <w:rPr>
                <w:rFonts w:hint="eastAsia" w:ascii="Times New Roman"/>
                <w:sz w:val="21"/>
                <w:szCs w:val="21"/>
              </w:rPr>
              <w:t>37</w:t>
            </w:r>
          </w:p>
        </w:tc>
        <w:tc>
          <w:tcPr>
            <w:tcW w:w="910" w:type="pct"/>
            <w:vAlign w:val="center"/>
          </w:tcPr>
          <w:p w14:paraId="6D8A36A5">
            <w:pPr>
              <w:jc w:val="center"/>
              <w:rPr>
                <w:rFonts w:ascii="Times New Roman"/>
                <w:sz w:val="21"/>
                <w:szCs w:val="21"/>
              </w:rPr>
            </w:pPr>
            <w:r>
              <w:rPr>
                <w:rFonts w:ascii="Times New Roman"/>
                <w:sz w:val="21"/>
                <w:szCs w:val="21"/>
              </w:rPr>
              <w:t>间，对-二甲苯</w:t>
            </w:r>
          </w:p>
        </w:tc>
        <w:tc>
          <w:tcPr>
            <w:tcW w:w="1527" w:type="pct"/>
            <w:vMerge w:val="continue"/>
            <w:vAlign w:val="center"/>
          </w:tcPr>
          <w:p w14:paraId="31C42BD5">
            <w:pPr>
              <w:spacing w:line="300" w:lineRule="exact"/>
              <w:jc w:val="center"/>
              <w:rPr>
                <w:rFonts w:ascii="Times New Roman"/>
                <w:sz w:val="21"/>
                <w:szCs w:val="21"/>
              </w:rPr>
            </w:pPr>
          </w:p>
        </w:tc>
        <w:tc>
          <w:tcPr>
            <w:tcW w:w="1552" w:type="pct"/>
            <w:vMerge w:val="continue"/>
            <w:vAlign w:val="center"/>
          </w:tcPr>
          <w:p w14:paraId="58140002">
            <w:pPr>
              <w:spacing w:line="300" w:lineRule="exact"/>
              <w:jc w:val="center"/>
              <w:rPr>
                <w:rFonts w:ascii="Times New Roman"/>
                <w:sz w:val="21"/>
                <w:szCs w:val="21"/>
              </w:rPr>
            </w:pPr>
          </w:p>
        </w:tc>
        <w:tc>
          <w:tcPr>
            <w:tcW w:w="760" w:type="pct"/>
            <w:vAlign w:val="center"/>
          </w:tcPr>
          <w:p w14:paraId="0F7C8751">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2</w:t>
            </w:r>
            <w:r>
              <w:rPr>
                <w:rFonts w:ascii="Times New Roman"/>
                <w:sz w:val="21"/>
                <w:szCs w:val="21"/>
              </w:rPr>
              <w:t>µg/kg</w:t>
            </w:r>
          </w:p>
        </w:tc>
      </w:tr>
      <w:tr w14:paraId="2A5D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4C1EDD6">
            <w:pPr>
              <w:spacing w:line="300" w:lineRule="exact"/>
              <w:jc w:val="center"/>
              <w:rPr>
                <w:rFonts w:ascii="Times New Roman"/>
                <w:sz w:val="21"/>
                <w:szCs w:val="21"/>
              </w:rPr>
            </w:pPr>
            <w:r>
              <w:rPr>
                <w:rFonts w:hint="eastAsia" w:ascii="Times New Roman"/>
                <w:sz w:val="21"/>
                <w:szCs w:val="21"/>
              </w:rPr>
              <w:t>38</w:t>
            </w:r>
          </w:p>
        </w:tc>
        <w:tc>
          <w:tcPr>
            <w:tcW w:w="910" w:type="pct"/>
            <w:vAlign w:val="center"/>
          </w:tcPr>
          <w:p w14:paraId="6A3DFC00">
            <w:pPr>
              <w:jc w:val="center"/>
              <w:rPr>
                <w:rFonts w:ascii="Times New Roman"/>
                <w:sz w:val="21"/>
                <w:szCs w:val="21"/>
              </w:rPr>
            </w:pPr>
            <w:r>
              <w:rPr>
                <w:rFonts w:ascii="Times New Roman"/>
                <w:sz w:val="21"/>
                <w:szCs w:val="21"/>
              </w:rPr>
              <w:t>顺-1,2-二氯乙烯</w:t>
            </w:r>
          </w:p>
        </w:tc>
        <w:tc>
          <w:tcPr>
            <w:tcW w:w="1527" w:type="pct"/>
            <w:vMerge w:val="continue"/>
            <w:vAlign w:val="center"/>
          </w:tcPr>
          <w:p w14:paraId="570DD242">
            <w:pPr>
              <w:spacing w:line="300" w:lineRule="exact"/>
              <w:jc w:val="center"/>
              <w:rPr>
                <w:rFonts w:ascii="Times New Roman"/>
                <w:sz w:val="21"/>
                <w:szCs w:val="21"/>
              </w:rPr>
            </w:pPr>
          </w:p>
        </w:tc>
        <w:tc>
          <w:tcPr>
            <w:tcW w:w="1552" w:type="pct"/>
            <w:vMerge w:val="continue"/>
            <w:vAlign w:val="center"/>
          </w:tcPr>
          <w:p w14:paraId="2349020A">
            <w:pPr>
              <w:spacing w:line="300" w:lineRule="exact"/>
              <w:jc w:val="center"/>
              <w:rPr>
                <w:rFonts w:ascii="Times New Roman"/>
                <w:sz w:val="21"/>
                <w:szCs w:val="21"/>
              </w:rPr>
            </w:pPr>
          </w:p>
        </w:tc>
        <w:tc>
          <w:tcPr>
            <w:tcW w:w="760" w:type="pct"/>
            <w:vAlign w:val="center"/>
          </w:tcPr>
          <w:p w14:paraId="74CE289D">
            <w:pPr>
              <w:spacing w:line="300" w:lineRule="exact"/>
              <w:jc w:val="center"/>
              <w:rPr>
                <w:rFonts w:ascii="Times New Roman"/>
                <w:sz w:val="21"/>
                <w:szCs w:val="21"/>
              </w:rPr>
            </w:pPr>
            <w:r>
              <w:rPr>
                <w:rFonts w:ascii="Times New Roman"/>
                <w:sz w:val="21"/>
                <w:szCs w:val="21"/>
              </w:rPr>
              <w:t>1.</w:t>
            </w:r>
            <w:r>
              <w:rPr>
                <w:rFonts w:hint="eastAsia" w:ascii="Times New Roman"/>
                <w:sz w:val="21"/>
                <w:szCs w:val="21"/>
              </w:rPr>
              <w:t>3</w:t>
            </w:r>
            <w:r>
              <w:rPr>
                <w:rFonts w:ascii="Times New Roman"/>
                <w:sz w:val="21"/>
                <w:szCs w:val="21"/>
              </w:rPr>
              <w:t>µg/kg</w:t>
            </w:r>
          </w:p>
        </w:tc>
      </w:tr>
      <w:tr w14:paraId="0096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67F4BD4">
            <w:pPr>
              <w:spacing w:line="300" w:lineRule="exact"/>
              <w:jc w:val="center"/>
              <w:rPr>
                <w:rFonts w:ascii="Times New Roman"/>
                <w:sz w:val="21"/>
                <w:szCs w:val="21"/>
              </w:rPr>
            </w:pPr>
            <w:r>
              <w:rPr>
                <w:rFonts w:hint="eastAsia" w:ascii="Times New Roman"/>
                <w:sz w:val="21"/>
                <w:szCs w:val="21"/>
              </w:rPr>
              <w:t>39</w:t>
            </w:r>
          </w:p>
        </w:tc>
        <w:tc>
          <w:tcPr>
            <w:tcW w:w="910" w:type="pct"/>
            <w:vAlign w:val="center"/>
          </w:tcPr>
          <w:p w14:paraId="299CD854">
            <w:pPr>
              <w:jc w:val="center"/>
              <w:rPr>
                <w:rFonts w:ascii="Times New Roman"/>
                <w:sz w:val="21"/>
                <w:szCs w:val="21"/>
              </w:rPr>
            </w:pPr>
            <w:r>
              <w:rPr>
                <w:rFonts w:ascii="Times New Roman"/>
                <w:sz w:val="21"/>
                <w:szCs w:val="21"/>
              </w:rPr>
              <w:t>石油烃（C10-C40）</w:t>
            </w:r>
          </w:p>
        </w:tc>
        <w:tc>
          <w:tcPr>
            <w:tcW w:w="1527" w:type="pct"/>
            <w:vAlign w:val="center"/>
          </w:tcPr>
          <w:p w14:paraId="376E9F8B">
            <w:pPr>
              <w:jc w:val="center"/>
              <w:rPr>
                <w:rFonts w:ascii="Times New Roman"/>
                <w:sz w:val="21"/>
                <w:szCs w:val="21"/>
              </w:rPr>
            </w:pPr>
            <w:r>
              <w:rPr>
                <w:rFonts w:ascii="Times New Roman"/>
                <w:sz w:val="21"/>
                <w:szCs w:val="21"/>
              </w:rPr>
              <w:t>《土壤和沉积物石油烃 （C10-C40）的测定气相色谱 法》HJ1021-2019</w:t>
            </w:r>
          </w:p>
        </w:tc>
        <w:tc>
          <w:tcPr>
            <w:tcW w:w="1552" w:type="pct"/>
            <w:vAlign w:val="center"/>
          </w:tcPr>
          <w:p w14:paraId="3430AAC8">
            <w:pPr>
              <w:jc w:val="center"/>
              <w:rPr>
                <w:rFonts w:ascii="Times New Roman"/>
                <w:sz w:val="21"/>
                <w:szCs w:val="21"/>
              </w:rPr>
            </w:pPr>
            <w:r>
              <w:rPr>
                <w:rFonts w:ascii="Times New Roman"/>
                <w:sz w:val="21"/>
                <w:szCs w:val="21"/>
              </w:rPr>
              <w:t>GC气相色谱仪 GC-2030 （1150Y0105）</w:t>
            </w:r>
          </w:p>
        </w:tc>
        <w:tc>
          <w:tcPr>
            <w:tcW w:w="760" w:type="pct"/>
            <w:vAlign w:val="center"/>
          </w:tcPr>
          <w:p w14:paraId="5AE1EC56">
            <w:pPr>
              <w:jc w:val="center"/>
              <w:rPr>
                <w:rFonts w:ascii="Times New Roman"/>
                <w:sz w:val="21"/>
                <w:szCs w:val="21"/>
              </w:rPr>
            </w:pPr>
            <w:r>
              <w:rPr>
                <w:rFonts w:ascii="Times New Roman"/>
                <w:sz w:val="21"/>
                <w:szCs w:val="21"/>
              </w:rPr>
              <w:t>6mg/kg</w:t>
            </w:r>
          </w:p>
        </w:tc>
      </w:tr>
      <w:tr w14:paraId="40EE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125EA655">
            <w:pPr>
              <w:spacing w:line="300" w:lineRule="exact"/>
              <w:jc w:val="center"/>
              <w:rPr>
                <w:rFonts w:ascii="Times New Roman"/>
                <w:sz w:val="21"/>
                <w:szCs w:val="21"/>
              </w:rPr>
            </w:pPr>
            <w:r>
              <w:rPr>
                <w:rFonts w:hint="eastAsia" w:ascii="Times New Roman"/>
                <w:sz w:val="21"/>
                <w:szCs w:val="21"/>
              </w:rPr>
              <w:t>40</w:t>
            </w:r>
          </w:p>
        </w:tc>
        <w:tc>
          <w:tcPr>
            <w:tcW w:w="910" w:type="pct"/>
            <w:vAlign w:val="center"/>
          </w:tcPr>
          <w:p w14:paraId="6F0DE2EB">
            <w:pPr>
              <w:jc w:val="center"/>
              <w:rPr>
                <w:rFonts w:ascii="Times New Roman"/>
                <w:sz w:val="21"/>
                <w:szCs w:val="21"/>
              </w:rPr>
            </w:pPr>
            <w:r>
              <w:rPr>
                <w:rFonts w:ascii="Times New Roman"/>
                <w:sz w:val="21"/>
                <w:szCs w:val="21"/>
              </w:rPr>
              <w:t>六价铬</w:t>
            </w:r>
          </w:p>
        </w:tc>
        <w:tc>
          <w:tcPr>
            <w:tcW w:w="1527" w:type="pct"/>
            <w:vAlign w:val="center"/>
          </w:tcPr>
          <w:p w14:paraId="6685F62D">
            <w:pPr>
              <w:jc w:val="center"/>
              <w:rPr>
                <w:rFonts w:ascii="Times New Roman"/>
                <w:sz w:val="21"/>
                <w:szCs w:val="21"/>
              </w:rPr>
            </w:pPr>
            <w:r>
              <w:rPr>
                <w:rFonts w:ascii="Times New Roman"/>
                <w:sz w:val="21"/>
                <w:szCs w:val="21"/>
              </w:rPr>
              <w:t>《土壤和沉积物六价铬的 测定碱溶液提取-火焰原子 吸收分光光度法》 HJ1082-2019</w:t>
            </w:r>
          </w:p>
        </w:tc>
        <w:tc>
          <w:tcPr>
            <w:tcW w:w="1552" w:type="pct"/>
            <w:vAlign w:val="center"/>
          </w:tcPr>
          <w:p w14:paraId="306A8A9B">
            <w:pPr>
              <w:jc w:val="center"/>
              <w:rPr>
                <w:rFonts w:ascii="Times New Roman"/>
                <w:sz w:val="21"/>
                <w:szCs w:val="21"/>
              </w:rPr>
            </w:pPr>
            <w:r>
              <w:rPr>
                <w:rFonts w:ascii="Times New Roman"/>
                <w:sz w:val="21"/>
                <w:szCs w:val="21"/>
              </w:rPr>
              <w:t xml:space="preserve">原子吸收分光光度计AA-7020 （1150W0101）万分位天平FA224C （1150L0309） </w:t>
            </w:r>
          </w:p>
          <w:p w14:paraId="3B097980">
            <w:pPr>
              <w:jc w:val="center"/>
              <w:rPr>
                <w:rFonts w:ascii="Times New Roman"/>
                <w:sz w:val="21"/>
                <w:szCs w:val="21"/>
              </w:rPr>
            </w:pPr>
            <w:r>
              <w:rPr>
                <w:rFonts w:ascii="Times New Roman"/>
                <w:sz w:val="21"/>
                <w:szCs w:val="21"/>
              </w:rPr>
              <w:t xml:space="preserve">多头磁力加热搅拌器HJ-6A （1150W0203） </w:t>
            </w:r>
          </w:p>
          <w:p w14:paraId="5CED2B56">
            <w:pPr>
              <w:jc w:val="center"/>
              <w:rPr>
                <w:rFonts w:ascii="Times New Roman"/>
                <w:sz w:val="21"/>
                <w:szCs w:val="21"/>
              </w:rPr>
            </w:pPr>
            <w:r>
              <w:rPr>
                <w:rFonts w:ascii="Times New Roman"/>
                <w:sz w:val="21"/>
                <w:szCs w:val="21"/>
              </w:rPr>
              <w:t>多头磁力加热搅拌器HJ-6A （1150W0204）</w:t>
            </w:r>
          </w:p>
        </w:tc>
        <w:tc>
          <w:tcPr>
            <w:tcW w:w="760" w:type="pct"/>
            <w:vAlign w:val="center"/>
          </w:tcPr>
          <w:p w14:paraId="43F274DE">
            <w:pPr>
              <w:jc w:val="center"/>
              <w:rPr>
                <w:rFonts w:ascii="Times New Roman"/>
                <w:sz w:val="21"/>
                <w:szCs w:val="21"/>
              </w:rPr>
            </w:pPr>
            <w:r>
              <w:rPr>
                <w:rFonts w:ascii="Times New Roman"/>
                <w:sz w:val="21"/>
                <w:szCs w:val="21"/>
              </w:rPr>
              <w:t>0.5mg/kg</w:t>
            </w:r>
          </w:p>
        </w:tc>
      </w:tr>
      <w:tr w14:paraId="6FC1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250" w:type="pct"/>
            <w:vAlign w:val="center"/>
          </w:tcPr>
          <w:p w14:paraId="32D472A0">
            <w:pPr>
              <w:spacing w:line="300" w:lineRule="exact"/>
              <w:jc w:val="center"/>
              <w:rPr>
                <w:rFonts w:ascii="Times New Roman"/>
                <w:sz w:val="21"/>
                <w:szCs w:val="21"/>
              </w:rPr>
            </w:pPr>
            <w:r>
              <w:rPr>
                <w:rFonts w:hint="eastAsia" w:ascii="Times New Roman"/>
                <w:sz w:val="21"/>
                <w:szCs w:val="21"/>
              </w:rPr>
              <w:t>41</w:t>
            </w:r>
          </w:p>
        </w:tc>
        <w:tc>
          <w:tcPr>
            <w:tcW w:w="910" w:type="pct"/>
            <w:vAlign w:val="center"/>
          </w:tcPr>
          <w:p w14:paraId="485CBB13">
            <w:pPr>
              <w:jc w:val="center"/>
              <w:rPr>
                <w:rFonts w:ascii="Times New Roman"/>
                <w:sz w:val="21"/>
                <w:szCs w:val="21"/>
              </w:rPr>
            </w:pPr>
            <w:r>
              <w:rPr>
                <w:rFonts w:ascii="Times New Roman"/>
                <w:sz w:val="21"/>
                <w:szCs w:val="21"/>
              </w:rPr>
              <w:t>汞</w:t>
            </w:r>
          </w:p>
        </w:tc>
        <w:tc>
          <w:tcPr>
            <w:tcW w:w="1527" w:type="pct"/>
            <w:vMerge w:val="restart"/>
            <w:vAlign w:val="center"/>
          </w:tcPr>
          <w:p w14:paraId="0A099E69">
            <w:pPr>
              <w:jc w:val="center"/>
              <w:rPr>
                <w:rFonts w:ascii="Times New Roman"/>
                <w:sz w:val="21"/>
                <w:szCs w:val="21"/>
              </w:rPr>
            </w:pPr>
            <w:r>
              <w:rPr>
                <w:rFonts w:ascii="Times New Roman"/>
                <w:sz w:val="21"/>
                <w:szCs w:val="21"/>
              </w:rPr>
              <w:t>《土壤和沉积物汞、砷、硒、 铋、锑的测定微波消解/原 子荧光法》 HJ680-2013</w:t>
            </w:r>
          </w:p>
        </w:tc>
        <w:tc>
          <w:tcPr>
            <w:tcW w:w="1552" w:type="pct"/>
            <w:vMerge w:val="restart"/>
            <w:vAlign w:val="center"/>
          </w:tcPr>
          <w:p w14:paraId="714B30BF">
            <w:pPr>
              <w:jc w:val="center"/>
              <w:rPr>
                <w:rFonts w:ascii="Times New Roman"/>
                <w:sz w:val="21"/>
                <w:szCs w:val="21"/>
              </w:rPr>
            </w:pPr>
            <w:r>
              <w:rPr>
                <w:rFonts w:ascii="Times New Roman"/>
                <w:sz w:val="21"/>
                <w:szCs w:val="21"/>
              </w:rPr>
              <w:t xml:space="preserve">万分位天平 FA224C （1150L0309） </w:t>
            </w:r>
          </w:p>
          <w:p w14:paraId="1F430C14">
            <w:pPr>
              <w:jc w:val="center"/>
              <w:rPr>
                <w:rFonts w:ascii="Times New Roman"/>
                <w:sz w:val="21"/>
                <w:szCs w:val="21"/>
              </w:rPr>
            </w:pPr>
            <w:r>
              <w:rPr>
                <w:rFonts w:ascii="Times New Roman"/>
                <w:sz w:val="21"/>
                <w:szCs w:val="21"/>
              </w:rPr>
              <w:t>原子荧光光度计</w:t>
            </w:r>
          </w:p>
          <w:p w14:paraId="4CE73A9D">
            <w:pPr>
              <w:jc w:val="center"/>
              <w:rPr>
                <w:rFonts w:ascii="Times New Roman"/>
                <w:sz w:val="21"/>
                <w:szCs w:val="21"/>
              </w:rPr>
            </w:pPr>
            <w:r>
              <w:rPr>
                <w:rFonts w:ascii="Times New Roman"/>
                <w:sz w:val="21"/>
                <w:szCs w:val="21"/>
              </w:rPr>
              <w:t>AFS-9730 （1150W0102） 原子荧光分光光度计 AFS-9750 （1150W0108） 微波消解仪 REVO （1150W0212）</w:t>
            </w:r>
          </w:p>
        </w:tc>
        <w:tc>
          <w:tcPr>
            <w:tcW w:w="760" w:type="pct"/>
            <w:vAlign w:val="center"/>
          </w:tcPr>
          <w:p w14:paraId="094DBB4F">
            <w:pPr>
              <w:jc w:val="center"/>
              <w:rPr>
                <w:rFonts w:ascii="Times New Roman"/>
                <w:sz w:val="21"/>
                <w:szCs w:val="21"/>
              </w:rPr>
            </w:pPr>
            <w:r>
              <w:rPr>
                <w:rFonts w:ascii="Times New Roman"/>
                <w:sz w:val="21"/>
                <w:szCs w:val="21"/>
              </w:rPr>
              <w:t>0.002mg/kg</w:t>
            </w:r>
          </w:p>
        </w:tc>
      </w:tr>
      <w:tr w14:paraId="21A7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17371F79">
            <w:pPr>
              <w:spacing w:line="300" w:lineRule="exact"/>
              <w:jc w:val="center"/>
              <w:rPr>
                <w:rFonts w:ascii="Times New Roman"/>
                <w:sz w:val="21"/>
                <w:szCs w:val="21"/>
              </w:rPr>
            </w:pPr>
            <w:r>
              <w:rPr>
                <w:rFonts w:hint="eastAsia" w:ascii="Times New Roman"/>
                <w:sz w:val="21"/>
                <w:szCs w:val="21"/>
              </w:rPr>
              <w:t>42</w:t>
            </w:r>
          </w:p>
        </w:tc>
        <w:tc>
          <w:tcPr>
            <w:tcW w:w="910" w:type="pct"/>
            <w:vAlign w:val="center"/>
          </w:tcPr>
          <w:p w14:paraId="621786ED">
            <w:pPr>
              <w:jc w:val="center"/>
              <w:rPr>
                <w:rFonts w:ascii="Times New Roman"/>
                <w:sz w:val="21"/>
                <w:szCs w:val="21"/>
              </w:rPr>
            </w:pPr>
            <w:r>
              <w:rPr>
                <w:rFonts w:ascii="Times New Roman"/>
                <w:sz w:val="21"/>
                <w:szCs w:val="21"/>
              </w:rPr>
              <w:t>砷</w:t>
            </w:r>
          </w:p>
        </w:tc>
        <w:tc>
          <w:tcPr>
            <w:tcW w:w="1527" w:type="pct"/>
            <w:vMerge w:val="continue"/>
            <w:vAlign w:val="center"/>
          </w:tcPr>
          <w:p w14:paraId="72BF9FD3">
            <w:pPr>
              <w:jc w:val="center"/>
              <w:rPr>
                <w:rFonts w:ascii="Times New Roman"/>
                <w:sz w:val="21"/>
                <w:szCs w:val="21"/>
              </w:rPr>
            </w:pPr>
          </w:p>
        </w:tc>
        <w:tc>
          <w:tcPr>
            <w:tcW w:w="1552" w:type="pct"/>
            <w:vMerge w:val="continue"/>
            <w:vAlign w:val="center"/>
          </w:tcPr>
          <w:p w14:paraId="5250A0F7">
            <w:pPr>
              <w:jc w:val="center"/>
              <w:rPr>
                <w:rFonts w:ascii="Times New Roman"/>
                <w:sz w:val="21"/>
                <w:szCs w:val="21"/>
              </w:rPr>
            </w:pPr>
          </w:p>
        </w:tc>
        <w:tc>
          <w:tcPr>
            <w:tcW w:w="760" w:type="pct"/>
            <w:vAlign w:val="center"/>
          </w:tcPr>
          <w:p w14:paraId="40C031A3">
            <w:pPr>
              <w:jc w:val="center"/>
              <w:rPr>
                <w:rFonts w:ascii="Times New Roman"/>
                <w:sz w:val="21"/>
                <w:szCs w:val="21"/>
              </w:rPr>
            </w:pPr>
            <w:r>
              <w:rPr>
                <w:rFonts w:ascii="Times New Roman"/>
                <w:sz w:val="21"/>
                <w:szCs w:val="21"/>
              </w:rPr>
              <w:t>0.01mg/kg</w:t>
            </w:r>
          </w:p>
        </w:tc>
      </w:tr>
      <w:tr w14:paraId="3444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DC39ED9">
            <w:pPr>
              <w:spacing w:line="300" w:lineRule="exact"/>
              <w:jc w:val="center"/>
              <w:rPr>
                <w:rFonts w:ascii="Times New Roman"/>
                <w:sz w:val="21"/>
                <w:szCs w:val="21"/>
              </w:rPr>
            </w:pPr>
            <w:r>
              <w:rPr>
                <w:rFonts w:hint="eastAsia" w:ascii="Times New Roman"/>
                <w:sz w:val="21"/>
                <w:szCs w:val="21"/>
              </w:rPr>
              <w:t>43</w:t>
            </w:r>
          </w:p>
        </w:tc>
        <w:tc>
          <w:tcPr>
            <w:tcW w:w="910" w:type="pct"/>
            <w:vAlign w:val="center"/>
          </w:tcPr>
          <w:p w14:paraId="3DF0B507">
            <w:pPr>
              <w:jc w:val="center"/>
              <w:rPr>
                <w:rFonts w:ascii="Times New Roman"/>
                <w:sz w:val="21"/>
                <w:szCs w:val="21"/>
              </w:rPr>
            </w:pPr>
            <w:r>
              <w:rPr>
                <w:rFonts w:ascii="Times New Roman"/>
                <w:sz w:val="21"/>
                <w:szCs w:val="21"/>
              </w:rPr>
              <w:t>铅</w:t>
            </w:r>
          </w:p>
        </w:tc>
        <w:tc>
          <w:tcPr>
            <w:tcW w:w="1527" w:type="pct"/>
            <w:vMerge w:val="restart"/>
            <w:vAlign w:val="center"/>
          </w:tcPr>
          <w:p w14:paraId="2C3B0FCE">
            <w:pPr>
              <w:jc w:val="center"/>
              <w:rPr>
                <w:rFonts w:ascii="Times New Roman"/>
                <w:sz w:val="21"/>
                <w:szCs w:val="21"/>
              </w:rPr>
            </w:pPr>
            <w:r>
              <w:rPr>
                <w:rFonts w:ascii="Times New Roman"/>
                <w:sz w:val="21"/>
                <w:szCs w:val="21"/>
              </w:rPr>
              <w:t>《土壤和沉积物铜、锌、铅、 镍、铬的测定火焰原子吸收 分光光度法》HJ491-2019</w:t>
            </w:r>
          </w:p>
        </w:tc>
        <w:tc>
          <w:tcPr>
            <w:tcW w:w="1552" w:type="pct"/>
            <w:vMerge w:val="restart"/>
            <w:vAlign w:val="center"/>
          </w:tcPr>
          <w:p w14:paraId="62FFA9CE">
            <w:pPr>
              <w:jc w:val="center"/>
              <w:rPr>
                <w:rFonts w:ascii="Times New Roman"/>
                <w:sz w:val="21"/>
                <w:szCs w:val="21"/>
              </w:rPr>
            </w:pPr>
            <w:r>
              <w:rPr>
                <w:rFonts w:ascii="Times New Roman"/>
                <w:sz w:val="21"/>
                <w:szCs w:val="21"/>
              </w:rPr>
              <w:t>原子吸收分光光度计 AA-7020 （1150W0101） 万分位天平 FA224C （1150L0309） 电热板 EG35Aplus （1150W0213）</w:t>
            </w:r>
          </w:p>
        </w:tc>
        <w:tc>
          <w:tcPr>
            <w:tcW w:w="760" w:type="pct"/>
            <w:vAlign w:val="center"/>
          </w:tcPr>
          <w:p w14:paraId="0D6894E6">
            <w:pPr>
              <w:jc w:val="center"/>
              <w:rPr>
                <w:rFonts w:ascii="Times New Roman"/>
                <w:sz w:val="21"/>
                <w:szCs w:val="21"/>
              </w:rPr>
            </w:pPr>
            <w:r>
              <w:rPr>
                <w:rFonts w:ascii="Times New Roman"/>
                <w:sz w:val="21"/>
                <w:szCs w:val="21"/>
              </w:rPr>
              <w:t>10mg/kg</w:t>
            </w:r>
          </w:p>
        </w:tc>
      </w:tr>
      <w:tr w14:paraId="0F52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6CA69E69">
            <w:pPr>
              <w:spacing w:line="300" w:lineRule="exact"/>
              <w:jc w:val="center"/>
              <w:rPr>
                <w:rFonts w:ascii="Times New Roman"/>
                <w:sz w:val="21"/>
                <w:szCs w:val="21"/>
              </w:rPr>
            </w:pPr>
            <w:r>
              <w:rPr>
                <w:rFonts w:hint="eastAsia" w:ascii="Times New Roman"/>
                <w:sz w:val="21"/>
                <w:szCs w:val="21"/>
              </w:rPr>
              <w:t>44</w:t>
            </w:r>
          </w:p>
        </w:tc>
        <w:tc>
          <w:tcPr>
            <w:tcW w:w="910" w:type="pct"/>
            <w:vAlign w:val="center"/>
          </w:tcPr>
          <w:p w14:paraId="07CC16DB">
            <w:pPr>
              <w:jc w:val="center"/>
              <w:rPr>
                <w:rFonts w:ascii="Times New Roman"/>
                <w:sz w:val="21"/>
                <w:szCs w:val="21"/>
              </w:rPr>
            </w:pPr>
            <w:r>
              <w:rPr>
                <w:rFonts w:ascii="Times New Roman"/>
                <w:sz w:val="21"/>
                <w:szCs w:val="21"/>
              </w:rPr>
              <w:t>铜</w:t>
            </w:r>
          </w:p>
        </w:tc>
        <w:tc>
          <w:tcPr>
            <w:tcW w:w="1527" w:type="pct"/>
            <w:vMerge w:val="continue"/>
            <w:vAlign w:val="center"/>
          </w:tcPr>
          <w:p w14:paraId="65B4C79F">
            <w:pPr>
              <w:jc w:val="center"/>
              <w:rPr>
                <w:rFonts w:ascii="Times New Roman"/>
                <w:sz w:val="21"/>
                <w:szCs w:val="21"/>
              </w:rPr>
            </w:pPr>
          </w:p>
        </w:tc>
        <w:tc>
          <w:tcPr>
            <w:tcW w:w="1552" w:type="pct"/>
            <w:vMerge w:val="continue"/>
            <w:vAlign w:val="center"/>
          </w:tcPr>
          <w:p w14:paraId="662E7133">
            <w:pPr>
              <w:jc w:val="center"/>
              <w:rPr>
                <w:rFonts w:ascii="Times New Roman"/>
                <w:sz w:val="21"/>
                <w:szCs w:val="21"/>
              </w:rPr>
            </w:pPr>
          </w:p>
        </w:tc>
        <w:tc>
          <w:tcPr>
            <w:tcW w:w="760" w:type="pct"/>
            <w:vAlign w:val="center"/>
          </w:tcPr>
          <w:p w14:paraId="4A6C01B6">
            <w:pPr>
              <w:jc w:val="center"/>
              <w:rPr>
                <w:rFonts w:ascii="Times New Roman"/>
                <w:sz w:val="21"/>
                <w:szCs w:val="21"/>
              </w:rPr>
            </w:pPr>
            <w:r>
              <w:rPr>
                <w:rFonts w:ascii="Times New Roman"/>
                <w:sz w:val="21"/>
                <w:szCs w:val="21"/>
              </w:rPr>
              <w:t>1mg/kg</w:t>
            </w:r>
          </w:p>
        </w:tc>
      </w:tr>
      <w:tr w14:paraId="32EC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061AE3E2">
            <w:pPr>
              <w:spacing w:line="300" w:lineRule="exact"/>
              <w:jc w:val="center"/>
              <w:rPr>
                <w:rFonts w:ascii="Times New Roman"/>
                <w:sz w:val="21"/>
                <w:szCs w:val="21"/>
              </w:rPr>
            </w:pPr>
            <w:r>
              <w:rPr>
                <w:rFonts w:hint="eastAsia" w:ascii="Times New Roman"/>
                <w:sz w:val="21"/>
                <w:szCs w:val="21"/>
              </w:rPr>
              <w:t>45</w:t>
            </w:r>
          </w:p>
        </w:tc>
        <w:tc>
          <w:tcPr>
            <w:tcW w:w="910" w:type="pct"/>
            <w:vAlign w:val="center"/>
          </w:tcPr>
          <w:p w14:paraId="62801D81">
            <w:pPr>
              <w:jc w:val="center"/>
              <w:rPr>
                <w:rFonts w:ascii="Times New Roman"/>
                <w:sz w:val="21"/>
                <w:szCs w:val="21"/>
              </w:rPr>
            </w:pPr>
            <w:r>
              <w:rPr>
                <w:rFonts w:ascii="Times New Roman"/>
                <w:sz w:val="21"/>
                <w:szCs w:val="21"/>
              </w:rPr>
              <w:t>镍</w:t>
            </w:r>
          </w:p>
        </w:tc>
        <w:tc>
          <w:tcPr>
            <w:tcW w:w="1527" w:type="pct"/>
            <w:vMerge w:val="continue"/>
            <w:vAlign w:val="center"/>
          </w:tcPr>
          <w:p w14:paraId="5C14DE28">
            <w:pPr>
              <w:jc w:val="center"/>
              <w:rPr>
                <w:rFonts w:ascii="Times New Roman"/>
                <w:sz w:val="21"/>
                <w:szCs w:val="21"/>
              </w:rPr>
            </w:pPr>
          </w:p>
        </w:tc>
        <w:tc>
          <w:tcPr>
            <w:tcW w:w="1552" w:type="pct"/>
            <w:vMerge w:val="continue"/>
            <w:vAlign w:val="center"/>
          </w:tcPr>
          <w:p w14:paraId="77EC6C23">
            <w:pPr>
              <w:jc w:val="center"/>
              <w:rPr>
                <w:rFonts w:ascii="Times New Roman"/>
                <w:sz w:val="21"/>
                <w:szCs w:val="21"/>
              </w:rPr>
            </w:pPr>
          </w:p>
        </w:tc>
        <w:tc>
          <w:tcPr>
            <w:tcW w:w="760" w:type="pct"/>
            <w:vAlign w:val="center"/>
          </w:tcPr>
          <w:p w14:paraId="0B7BF6D8">
            <w:pPr>
              <w:jc w:val="center"/>
              <w:rPr>
                <w:rFonts w:ascii="Times New Roman"/>
                <w:sz w:val="21"/>
                <w:szCs w:val="21"/>
              </w:rPr>
            </w:pPr>
            <w:r>
              <w:rPr>
                <w:rFonts w:hint="eastAsia" w:ascii="Times New Roman"/>
                <w:sz w:val="21"/>
                <w:szCs w:val="21"/>
              </w:rPr>
              <w:t>3</w:t>
            </w:r>
            <w:r>
              <w:rPr>
                <w:rFonts w:ascii="Times New Roman"/>
                <w:sz w:val="21"/>
                <w:szCs w:val="21"/>
              </w:rPr>
              <w:t>mg/kg</w:t>
            </w:r>
          </w:p>
        </w:tc>
      </w:tr>
      <w:tr w14:paraId="2B97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E306F2E">
            <w:pPr>
              <w:spacing w:line="300" w:lineRule="exact"/>
              <w:jc w:val="center"/>
              <w:rPr>
                <w:rFonts w:ascii="Times New Roman"/>
                <w:sz w:val="21"/>
                <w:szCs w:val="21"/>
              </w:rPr>
            </w:pPr>
            <w:r>
              <w:rPr>
                <w:rFonts w:hint="eastAsia" w:ascii="Times New Roman"/>
                <w:sz w:val="21"/>
                <w:szCs w:val="21"/>
              </w:rPr>
              <w:t>46</w:t>
            </w:r>
          </w:p>
        </w:tc>
        <w:tc>
          <w:tcPr>
            <w:tcW w:w="910" w:type="pct"/>
            <w:vAlign w:val="center"/>
          </w:tcPr>
          <w:p w14:paraId="4F98A898">
            <w:pPr>
              <w:jc w:val="center"/>
              <w:rPr>
                <w:rFonts w:ascii="Times New Roman"/>
                <w:sz w:val="21"/>
                <w:szCs w:val="21"/>
              </w:rPr>
            </w:pPr>
            <w:r>
              <w:rPr>
                <w:rFonts w:ascii="Times New Roman"/>
                <w:sz w:val="21"/>
                <w:szCs w:val="21"/>
              </w:rPr>
              <w:t>pH</w:t>
            </w:r>
          </w:p>
        </w:tc>
        <w:tc>
          <w:tcPr>
            <w:tcW w:w="1527" w:type="pct"/>
            <w:vAlign w:val="center"/>
          </w:tcPr>
          <w:p w14:paraId="28BBDD96">
            <w:pPr>
              <w:jc w:val="center"/>
              <w:rPr>
                <w:rFonts w:ascii="Times New Roman"/>
                <w:sz w:val="21"/>
                <w:szCs w:val="21"/>
              </w:rPr>
            </w:pPr>
            <w:r>
              <w:rPr>
                <w:rFonts w:ascii="Times New Roman"/>
                <w:sz w:val="21"/>
                <w:szCs w:val="21"/>
              </w:rPr>
              <w:t>《土壤pH值的测定电位 法》HJ962-2018</w:t>
            </w:r>
          </w:p>
        </w:tc>
        <w:tc>
          <w:tcPr>
            <w:tcW w:w="1552" w:type="pct"/>
            <w:vAlign w:val="center"/>
          </w:tcPr>
          <w:p w14:paraId="7F7909E9">
            <w:pPr>
              <w:jc w:val="center"/>
              <w:rPr>
                <w:rFonts w:ascii="Times New Roman"/>
                <w:sz w:val="21"/>
                <w:szCs w:val="21"/>
              </w:rPr>
            </w:pPr>
            <w:r>
              <w:rPr>
                <w:rFonts w:ascii="Times New Roman"/>
                <w:sz w:val="21"/>
                <w:szCs w:val="21"/>
              </w:rPr>
              <w:t>pH计PHS-3E （1150L0105）</w:t>
            </w:r>
          </w:p>
        </w:tc>
        <w:tc>
          <w:tcPr>
            <w:tcW w:w="760" w:type="pct"/>
            <w:vAlign w:val="center"/>
          </w:tcPr>
          <w:p w14:paraId="1D3E8F1B">
            <w:pPr>
              <w:jc w:val="center"/>
              <w:rPr>
                <w:rFonts w:ascii="Times New Roman"/>
                <w:sz w:val="21"/>
                <w:szCs w:val="21"/>
              </w:rPr>
            </w:pPr>
            <w:r>
              <w:rPr>
                <w:rFonts w:ascii="Times New Roman"/>
                <w:sz w:val="21"/>
                <w:szCs w:val="21"/>
              </w:rPr>
              <w:t>—</w:t>
            </w:r>
          </w:p>
        </w:tc>
      </w:tr>
      <w:tr w14:paraId="5676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7669C329">
            <w:pPr>
              <w:spacing w:line="300" w:lineRule="exact"/>
              <w:jc w:val="center"/>
              <w:rPr>
                <w:rFonts w:ascii="Times New Roman"/>
                <w:sz w:val="21"/>
                <w:szCs w:val="21"/>
              </w:rPr>
            </w:pPr>
            <w:r>
              <w:rPr>
                <w:rFonts w:hint="eastAsia" w:ascii="Times New Roman"/>
                <w:sz w:val="21"/>
                <w:szCs w:val="21"/>
              </w:rPr>
              <w:t>47</w:t>
            </w:r>
          </w:p>
        </w:tc>
        <w:tc>
          <w:tcPr>
            <w:tcW w:w="910" w:type="pct"/>
            <w:vAlign w:val="center"/>
          </w:tcPr>
          <w:p w14:paraId="17012BD5">
            <w:pPr>
              <w:jc w:val="center"/>
              <w:rPr>
                <w:rFonts w:ascii="Times New Roman"/>
                <w:sz w:val="21"/>
                <w:szCs w:val="21"/>
              </w:rPr>
            </w:pPr>
            <w:r>
              <w:rPr>
                <w:rFonts w:ascii="Times New Roman"/>
                <w:sz w:val="21"/>
                <w:szCs w:val="21"/>
              </w:rPr>
              <w:t>氨氮</w:t>
            </w:r>
          </w:p>
        </w:tc>
        <w:tc>
          <w:tcPr>
            <w:tcW w:w="1527" w:type="pct"/>
            <w:vAlign w:val="center"/>
          </w:tcPr>
          <w:p w14:paraId="5173547E">
            <w:pPr>
              <w:jc w:val="center"/>
              <w:rPr>
                <w:rFonts w:ascii="Times New Roman"/>
                <w:sz w:val="21"/>
                <w:szCs w:val="21"/>
              </w:rPr>
            </w:pPr>
            <w:r>
              <w:rPr>
                <w:rFonts w:ascii="Times New Roman"/>
                <w:sz w:val="21"/>
                <w:szCs w:val="21"/>
              </w:rPr>
              <w:t>《土壤氨氮、亚硝酸盐氮、 硝酸盐氮的测定氯化钾溶 液提取-分光光度法》 HJ634-2012</w:t>
            </w:r>
          </w:p>
        </w:tc>
        <w:tc>
          <w:tcPr>
            <w:tcW w:w="1552" w:type="pct"/>
            <w:vAlign w:val="center"/>
          </w:tcPr>
          <w:p w14:paraId="3A0F204D">
            <w:pPr>
              <w:jc w:val="center"/>
              <w:rPr>
                <w:rFonts w:ascii="Times New Roman"/>
                <w:sz w:val="21"/>
                <w:szCs w:val="21"/>
              </w:rPr>
            </w:pPr>
            <w:r>
              <w:rPr>
                <w:rFonts w:ascii="Times New Roman"/>
                <w:sz w:val="21"/>
                <w:szCs w:val="21"/>
              </w:rPr>
              <w:t>紫外可见分光光度计 UV-1800PC （1150L0102）</w:t>
            </w:r>
          </w:p>
        </w:tc>
        <w:tc>
          <w:tcPr>
            <w:tcW w:w="760" w:type="pct"/>
            <w:vAlign w:val="center"/>
          </w:tcPr>
          <w:p w14:paraId="3B561569">
            <w:pPr>
              <w:jc w:val="center"/>
              <w:rPr>
                <w:rFonts w:ascii="Times New Roman"/>
                <w:sz w:val="21"/>
                <w:szCs w:val="21"/>
              </w:rPr>
            </w:pPr>
            <w:r>
              <w:rPr>
                <w:rFonts w:ascii="Times New Roman"/>
                <w:sz w:val="21"/>
                <w:szCs w:val="21"/>
              </w:rPr>
              <w:t>0.10mg/kg</w:t>
            </w:r>
          </w:p>
        </w:tc>
      </w:tr>
      <w:tr w14:paraId="748A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0" w:type="pct"/>
            <w:vAlign w:val="center"/>
          </w:tcPr>
          <w:p w14:paraId="3185E117">
            <w:pPr>
              <w:spacing w:line="300" w:lineRule="exact"/>
              <w:jc w:val="center"/>
              <w:rPr>
                <w:rFonts w:ascii="Times New Roman"/>
                <w:sz w:val="21"/>
                <w:szCs w:val="21"/>
              </w:rPr>
            </w:pPr>
            <w:r>
              <w:rPr>
                <w:rFonts w:hint="eastAsia" w:ascii="Times New Roman"/>
                <w:sz w:val="21"/>
                <w:szCs w:val="21"/>
              </w:rPr>
              <w:t>48</w:t>
            </w:r>
          </w:p>
        </w:tc>
        <w:tc>
          <w:tcPr>
            <w:tcW w:w="910" w:type="pct"/>
            <w:vAlign w:val="center"/>
          </w:tcPr>
          <w:p w14:paraId="49C7B1E5">
            <w:pPr>
              <w:jc w:val="center"/>
              <w:rPr>
                <w:rFonts w:ascii="Times New Roman"/>
                <w:sz w:val="21"/>
                <w:szCs w:val="21"/>
              </w:rPr>
            </w:pPr>
            <w:r>
              <w:rPr>
                <w:rFonts w:ascii="Times New Roman"/>
                <w:sz w:val="21"/>
                <w:szCs w:val="21"/>
              </w:rPr>
              <w:t>镉</w:t>
            </w:r>
          </w:p>
        </w:tc>
        <w:tc>
          <w:tcPr>
            <w:tcW w:w="1527" w:type="pct"/>
            <w:vAlign w:val="center"/>
          </w:tcPr>
          <w:p w14:paraId="7E3D6696">
            <w:pPr>
              <w:jc w:val="center"/>
              <w:rPr>
                <w:rFonts w:ascii="Times New Roman"/>
                <w:sz w:val="21"/>
                <w:szCs w:val="21"/>
              </w:rPr>
            </w:pPr>
            <w:r>
              <w:rPr>
                <w:rFonts w:ascii="Times New Roman"/>
                <w:sz w:val="21"/>
                <w:szCs w:val="21"/>
              </w:rPr>
              <w:t>《土壤质量 铅、镉的测定 石墨炉原子吸收分光光度 法》GB/T 17141-1997</w:t>
            </w:r>
          </w:p>
        </w:tc>
        <w:tc>
          <w:tcPr>
            <w:tcW w:w="1552" w:type="pct"/>
            <w:vAlign w:val="center"/>
          </w:tcPr>
          <w:p w14:paraId="29B5BDBF">
            <w:pPr>
              <w:jc w:val="center"/>
              <w:rPr>
                <w:rFonts w:ascii="Times New Roman"/>
                <w:sz w:val="21"/>
                <w:szCs w:val="21"/>
              </w:rPr>
            </w:pPr>
            <w:r>
              <w:rPr>
                <w:rFonts w:ascii="Times New Roman"/>
                <w:sz w:val="21"/>
                <w:szCs w:val="21"/>
              </w:rPr>
              <w:t>万分位天平 FA224C （1150L0309） PE 原子吸收分光光度计 PinAAcle 900T （1150W0106） 电热板 EG35A plus （1150W0213）</w:t>
            </w:r>
          </w:p>
        </w:tc>
        <w:tc>
          <w:tcPr>
            <w:tcW w:w="760" w:type="pct"/>
            <w:vAlign w:val="center"/>
          </w:tcPr>
          <w:p w14:paraId="4183DC6F">
            <w:pPr>
              <w:jc w:val="center"/>
              <w:rPr>
                <w:rFonts w:ascii="Times New Roman"/>
                <w:sz w:val="21"/>
                <w:szCs w:val="21"/>
              </w:rPr>
            </w:pPr>
            <w:r>
              <w:rPr>
                <w:rFonts w:ascii="Times New Roman"/>
                <w:sz w:val="21"/>
                <w:szCs w:val="21"/>
              </w:rPr>
              <w:t>0.01mg/kg</w:t>
            </w:r>
          </w:p>
        </w:tc>
      </w:tr>
    </w:tbl>
    <w:p w14:paraId="734A47BA">
      <w:pPr>
        <w:autoSpaceDE w:val="0"/>
        <w:autoSpaceDN w:val="0"/>
        <w:adjustRightInd w:val="0"/>
        <w:snapToGrid w:val="0"/>
        <w:spacing w:line="480" w:lineRule="exact"/>
        <w:jc w:val="left"/>
        <w:outlineLvl w:val="3"/>
        <w:rPr>
          <w:rFonts w:ascii="Times New Roman"/>
          <w:b/>
          <w:kern w:val="0"/>
          <w:sz w:val="24"/>
          <w:szCs w:val="24"/>
        </w:rPr>
      </w:pPr>
      <w:r>
        <w:rPr>
          <w:rFonts w:ascii="Times New Roman"/>
          <w:b/>
          <w:kern w:val="0"/>
          <w:sz w:val="24"/>
          <w:szCs w:val="24"/>
        </w:rPr>
        <w:t>4.2.4.2现状评价</w:t>
      </w:r>
    </w:p>
    <w:p w14:paraId="44F1FAED">
      <w:pPr>
        <w:widowControl/>
        <w:spacing w:line="480" w:lineRule="exact"/>
        <w:ind w:firstLine="480" w:firstLineChars="200"/>
        <w:rPr>
          <w:rFonts w:ascii="Times New Roman"/>
          <w:kern w:val="0"/>
          <w:sz w:val="24"/>
          <w:szCs w:val="24"/>
        </w:rPr>
      </w:pPr>
      <w:r>
        <w:rPr>
          <w:rFonts w:ascii="Times New Roman"/>
          <w:kern w:val="0"/>
          <w:sz w:val="24"/>
          <w:szCs w:val="24"/>
        </w:rPr>
        <w:t>（1）评价标准及方法</w:t>
      </w:r>
    </w:p>
    <w:p w14:paraId="280833AB">
      <w:pPr>
        <w:widowControl/>
        <w:spacing w:line="480" w:lineRule="exact"/>
        <w:ind w:firstLine="480" w:firstLineChars="200"/>
        <w:rPr>
          <w:rFonts w:ascii="Times New Roman"/>
          <w:kern w:val="0"/>
          <w:sz w:val="24"/>
          <w:szCs w:val="24"/>
        </w:rPr>
      </w:pPr>
      <w:r>
        <w:rPr>
          <w:rFonts w:ascii="Times New Roman"/>
          <w:kern w:val="0"/>
          <w:sz w:val="24"/>
          <w:szCs w:val="24"/>
        </w:rPr>
        <w:t>土壤执行《土壤环境质量 建设用地土壤污染风险管控标准（试行）》（GB36600-2018）表1中第二类用地风险筛选值标准、</w:t>
      </w:r>
      <w:r>
        <w:rPr>
          <w:rFonts w:ascii="Times New Roman"/>
          <w:sz w:val="24"/>
          <w:szCs w:val="24"/>
        </w:rPr>
        <w:t>《建设用地土壤污染风险筛选值》（DB13/T5216-2020）表1相关标准要求</w:t>
      </w:r>
      <w:r>
        <w:rPr>
          <w:rFonts w:ascii="Times New Roman"/>
          <w:kern w:val="0"/>
          <w:sz w:val="24"/>
          <w:szCs w:val="24"/>
        </w:rPr>
        <w:t>。</w:t>
      </w:r>
    </w:p>
    <w:p w14:paraId="3534253E">
      <w:pPr>
        <w:widowControl/>
        <w:spacing w:line="480" w:lineRule="exact"/>
        <w:ind w:firstLine="480" w:firstLineChars="200"/>
        <w:rPr>
          <w:rFonts w:ascii="Times New Roman"/>
          <w:kern w:val="0"/>
          <w:sz w:val="24"/>
          <w:szCs w:val="24"/>
        </w:rPr>
      </w:pPr>
      <w:r>
        <w:rPr>
          <w:rFonts w:ascii="Times New Roman"/>
          <w:kern w:val="0"/>
          <w:sz w:val="24"/>
          <w:szCs w:val="24"/>
        </w:rPr>
        <w:t>评价方法采用单因子标准指数法进行评价。</w:t>
      </w:r>
    </w:p>
    <w:p w14:paraId="1CA0E04D">
      <w:pPr>
        <w:widowControl/>
        <w:spacing w:line="480" w:lineRule="exact"/>
        <w:ind w:firstLine="480" w:firstLineChars="200"/>
        <w:rPr>
          <w:rFonts w:ascii="Times New Roman"/>
          <w:kern w:val="0"/>
          <w:sz w:val="24"/>
          <w:szCs w:val="24"/>
        </w:rPr>
      </w:pPr>
      <w:r>
        <w:rPr>
          <w:rFonts w:ascii="Times New Roman"/>
          <w:kern w:val="0"/>
          <w:sz w:val="24"/>
          <w:szCs w:val="24"/>
        </w:rPr>
        <w:t>（2）监测结果与评价</w:t>
      </w:r>
    </w:p>
    <w:p w14:paraId="7C581ABE">
      <w:pPr>
        <w:widowControl/>
        <w:spacing w:line="480" w:lineRule="exact"/>
        <w:ind w:firstLine="480" w:firstLineChars="200"/>
        <w:rPr>
          <w:rFonts w:ascii="Times New Roman"/>
          <w:kern w:val="0"/>
          <w:sz w:val="24"/>
          <w:szCs w:val="24"/>
        </w:rPr>
        <w:sectPr>
          <w:headerReference r:id="rId13" w:type="first"/>
          <w:footerReference r:id="rId15" w:type="first"/>
          <w:headerReference r:id="rId12" w:type="even"/>
          <w:footerReference r:id="rId14" w:type="even"/>
          <w:pgSz w:w="11906" w:h="16838"/>
          <w:pgMar w:top="1440" w:right="1800" w:bottom="1440" w:left="1800" w:header="1134" w:footer="1134" w:gutter="0"/>
          <w:cols w:space="425" w:num="1"/>
          <w:docGrid w:type="lines" w:linePitch="340" w:charSpace="0"/>
        </w:sectPr>
      </w:pPr>
      <w:r>
        <w:rPr>
          <w:rFonts w:ascii="Times New Roman"/>
          <w:kern w:val="0"/>
          <w:sz w:val="24"/>
          <w:szCs w:val="24"/>
        </w:rPr>
        <w:t>监测统计结果见表4.2-1</w:t>
      </w:r>
      <w:r>
        <w:rPr>
          <w:rFonts w:hint="eastAsia" w:ascii="Times New Roman"/>
          <w:kern w:val="0"/>
          <w:sz w:val="24"/>
          <w:szCs w:val="24"/>
        </w:rPr>
        <w:t>5</w:t>
      </w:r>
      <w:r>
        <w:rPr>
          <w:rFonts w:ascii="Times New Roman"/>
          <w:kern w:val="0"/>
          <w:sz w:val="24"/>
          <w:szCs w:val="24"/>
        </w:rPr>
        <w:t>。</w:t>
      </w:r>
    </w:p>
    <w:p w14:paraId="28232E49">
      <w:pPr>
        <w:widowControl/>
        <w:spacing w:beforeLines="50"/>
        <w:ind w:firstLine="120" w:firstLineChars="50"/>
        <w:jc w:val="center"/>
        <w:rPr>
          <w:rFonts w:ascii="Times New Roman"/>
          <w:b/>
          <w:kern w:val="0"/>
          <w:sz w:val="24"/>
          <w:szCs w:val="24"/>
        </w:rPr>
      </w:pPr>
      <w:r>
        <w:rPr>
          <w:rFonts w:ascii="Times New Roman"/>
          <w:b/>
          <w:kern w:val="0"/>
          <w:sz w:val="24"/>
          <w:szCs w:val="24"/>
        </w:rPr>
        <w:t>表4.2-1</w:t>
      </w:r>
      <w:r>
        <w:rPr>
          <w:rFonts w:hint="eastAsia" w:ascii="Times New Roman"/>
          <w:b/>
          <w:kern w:val="0"/>
          <w:sz w:val="24"/>
          <w:szCs w:val="24"/>
        </w:rPr>
        <w:t>5</w:t>
      </w:r>
      <w:r>
        <w:rPr>
          <w:rFonts w:ascii="Times New Roman"/>
          <w:b/>
          <w:kern w:val="0"/>
          <w:sz w:val="24"/>
          <w:szCs w:val="24"/>
        </w:rPr>
        <w:t xml:space="preserve">  土壤环境监测统计及评价结果表</w:t>
      </w:r>
    </w:p>
    <w:tbl>
      <w:tblPr>
        <w:tblStyle w:val="84"/>
        <w:tblW w:w="489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204"/>
        <w:gridCol w:w="1146"/>
        <w:gridCol w:w="1465"/>
        <w:gridCol w:w="1474"/>
        <w:gridCol w:w="1286"/>
        <w:gridCol w:w="1429"/>
        <w:gridCol w:w="1073"/>
        <w:gridCol w:w="1167"/>
        <w:gridCol w:w="1137"/>
        <w:gridCol w:w="1079"/>
        <w:gridCol w:w="746"/>
        <w:gridCol w:w="556"/>
      </w:tblGrid>
      <w:tr w14:paraId="1C9846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Merge w:val="restart"/>
            <w:tcBorders>
              <w:top w:val="single" w:color="auto" w:sz="4" w:space="0"/>
            </w:tcBorders>
            <w:vAlign w:val="center"/>
          </w:tcPr>
          <w:p w14:paraId="03363D42">
            <w:pPr>
              <w:spacing w:line="280" w:lineRule="exact"/>
              <w:jc w:val="center"/>
              <w:rPr>
                <w:rFonts w:ascii="Times New Roman"/>
                <w:kern w:val="0"/>
                <w:sz w:val="21"/>
                <w:szCs w:val="21"/>
              </w:rPr>
            </w:pPr>
            <w:r>
              <w:rPr>
                <w:rFonts w:ascii="Times New Roman"/>
                <w:kern w:val="0"/>
                <w:sz w:val="21"/>
                <w:szCs w:val="21"/>
              </w:rPr>
              <w:t>监测因子</w:t>
            </w:r>
          </w:p>
        </w:tc>
        <w:tc>
          <w:tcPr>
            <w:tcW w:w="3283" w:type="pct"/>
            <w:gridSpan w:val="7"/>
            <w:tcBorders>
              <w:top w:val="single" w:color="auto" w:sz="4" w:space="0"/>
              <w:bottom w:val="single" w:color="auto" w:sz="4" w:space="0"/>
              <w:right w:val="single" w:color="auto" w:sz="4" w:space="0"/>
            </w:tcBorders>
            <w:vAlign w:val="center"/>
          </w:tcPr>
          <w:p w14:paraId="42831A72">
            <w:pPr>
              <w:widowControl/>
              <w:spacing w:line="280" w:lineRule="exact"/>
              <w:jc w:val="center"/>
              <w:rPr>
                <w:rFonts w:ascii="Times New Roman"/>
                <w:kern w:val="0"/>
                <w:sz w:val="21"/>
                <w:szCs w:val="21"/>
              </w:rPr>
            </w:pPr>
            <w:r>
              <w:rPr>
                <w:rFonts w:ascii="Times New Roman"/>
                <w:kern w:val="0"/>
                <w:sz w:val="21"/>
                <w:szCs w:val="21"/>
              </w:rPr>
              <w:t>厂区范围内</w:t>
            </w:r>
          </w:p>
        </w:tc>
        <w:tc>
          <w:tcPr>
            <w:tcW w:w="805" w:type="pct"/>
            <w:gridSpan w:val="2"/>
            <w:vMerge w:val="restart"/>
            <w:tcBorders>
              <w:left w:val="single" w:color="auto" w:sz="4" w:space="0"/>
              <w:right w:val="single" w:color="auto" w:sz="4" w:space="0"/>
            </w:tcBorders>
            <w:vAlign w:val="center"/>
          </w:tcPr>
          <w:p w14:paraId="3FBF172D">
            <w:pPr>
              <w:widowControl/>
              <w:spacing w:line="280" w:lineRule="exact"/>
              <w:jc w:val="center"/>
              <w:rPr>
                <w:rFonts w:ascii="Times New Roman"/>
                <w:kern w:val="0"/>
                <w:sz w:val="21"/>
                <w:szCs w:val="21"/>
              </w:rPr>
            </w:pPr>
            <w:r>
              <w:rPr>
                <w:rFonts w:ascii="Times New Roman"/>
                <w:kern w:val="0"/>
                <w:sz w:val="21"/>
                <w:szCs w:val="21"/>
              </w:rPr>
              <w:t>厂区范围外</w:t>
            </w:r>
          </w:p>
        </w:tc>
        <w:tc>
          <w:tcPr>
            <w:tcW w:w="271" w:type="pct"/>
            <w:vMerge w:val="restart"/>
            <w:vAlign w:val="center"/>
          </w:tcPr>
          <w:p w14:paraId="70744E8B">
            <w:pPr>
              <w:widowControl/>
              <w:spacing w:line="280" w:lineRule="exact"/>
              <w:jc w:val="center"/>
              <w:rPr>
                <w:rFonts w:ascii="Times New Roman"/>
                <w:kern w:val="0"/>
                <w:sz w:val="21"/>
                <w:szCs w:val="21"/>
              </w:rPr>
            </w:pPr>
            <w:r>
              <w:rPr>
                <w:rFonts w:ascii="Times New Roman"/>
                <w:kern w:val="0"/>
                <w:sz w:val="21"/>
                <w:szCs w:val="21"/>
              </w:rPr>
              <w:t>标准值</w:t>
            </w:r>
          </w:p>
        </w:tc>
        <w:tc>
          <w:tcPr>
            <w:tcW w:w="202" w:type="pct"/>
            <w:vMerge w:val="restart"/>
            <w:vAlign w:val="center"/>
          </w:tcPr>
          <w:p w14:paraId="68DB805B">
            <w:pPr>
              <w:widowControl/>
              <w:spacing w:line="280" w:lineRule="exact"/>
              <w:jc w:val="center"/>
              <w:rPr>
                <w:rFonts w:ascii="Times New Roman"/>
                <w:kern w:val="0"/>
                <w:sz w:val="21"/>
                <w:szCs w:val="21"/>
              </w:rPr>
            </w:pPr>
            <w:r>
              <w:rPr>
                <w:rFonts w:ascii="Times New Roman"/>
                <w:kern w:val="0"/>
                <w:sz w:val="21"/>
                <w:szCs w:val="21"/>
              </w:rPr>
              <w:t>达标情况</w:t>
            </w:r>
          </w:p>
        </w:tc>
      </w:tr>
      <w:tr w14:paraId="7784D8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Merge w:val="continue"/>
            <w:vAlign w:val="center"/>
          </w:tcPr>
          <w:p w14:paraId="1AB42025">
            <w:pPr>
              <w:spacing w:line="280" w:lineRule="exact"/>
              <w:jc w:val="center"/>
              <w:rPr>
                <w:rFonts w:ascii="Times New Roman"/>
                <w:kern w:val="0"/>
                <w:sz w:val="21"/>
                <w:szCs w:val="21"/>
              </w:rPr>
            </w:pPr>
          </w:p>
        </w:tc>
        <w:tc>
          <w:tcPr>
            <w:tcW w:w="416" w:type="pct"/>
            <w:tcBorders>
              <w:bottom w:val="single" w:color="auto" w:sz="4" w:space="0"/>
            </w:tcBorders>
            <w:vAlign w:val="center"/>
          </w:tcPr>
          <w:p w14:paraId="6C6E403C">
            <w:pPr>
              <w:widowControl/>
              <w:spacing w:line="280" w:lineRule="exact"/>
              <w:jc w:val="center"/>
              <w:rPr>
                <w:rFonts w:ascii="Times New Roman"/>
                <w:kern w:val="0"/>
                <w:sz w:val="21"/>
                <w:szCs w:val="21"/>
              </w:rPr>
            </w:pPr>
            <w:r>
              <w:rPr>
                <w:rFonts w:hint="eastAsia" w:ascii="Times New Roman"/>
                <w:kern w:val="0"/>
                <w:sz w:val="21"/>
                <w:szCs w:val="21"/>
              </w:rPr>
              <w:t>厂址4</w:t>
            </w:r>
          </w:p>
        </w:tc>
        <w:tc>
          <w:tcPr>
            <w:tcW w:w="1067" w:type="pct"/>
            <w:gridSpan w:val="2"/>
            <w:tcBorders>
              <w:bottom w:val="single" w:color="auto" w:sz="4" w:space="0"/>
            </w:tcBorders>
            <w:vAlign w:val="center"/>
          </w:tcPr>
          <w:p w14:paraId="50B7A0F7">
            <w:pPr>
              <w:widowControl/>
              <w:spacing w:line="280" w:lineRule="exact"/>
              <w:jc w:val="center"/>
              <w:rPr>
                <w:rFonts w:ascii="Times New Roman"/>
                <w:kern w:val="0"/>
                <w:sz w:val="21"/>
                <w:szCs w:val="21"/>
              </w:rPr>
            </w:pPr>
            <w:r>
              <w:rPr>
                <w:rFonts w:hint="eastAsia" w:ascii="Times New Roman"/>
                <w:kern w:val="0"/>
                <w:sz w:val="21"/>
                <w:szCs w:val="21"/>
              </w:rPr>
              <w:t>厂址1</w:t>
            </w:r>
          </w:p>
        </w:tc>
        <w:tc>
          <w:tcPr>
            <w:tcW w:w="986" w:type="pct"/>
            <w:gridSpan w:val="2"/>
            <w:tcBorders>
              <w:bottom w:val="single" w:color="auto" w:sz="4" w:space="0"/>
            </w:tcBorders>
            <w:vAlign w:val="center"/>
          </w:tcPr>
          <w:p w14:paraId="737EAB1A">
            <w:pPr>
              <w:widowControl/>
              <w:spacing w:line="280" w:lineRule="exact"/>
              <w:jc w:val="center"/>
              <w:rPr>
                <w:rFonts w:ascii="Times New Roman"/>
                <w:kern w:val="0"/>
                <w:sz w:val="21"/>
                <w:szCs w:val="21"/>
              </w:rPr>
            </w:pPr>
            <w:r>
              <w:rPr>
                <w:rFonts w:hint="eastAsia" w:ascii="Times New Roman"/>
                <w:kern w:val="0"/>
                <w:sz w:val="21"/>
                <w:szCs w:val="21"/>
              </w:rPr>
              <w:t>厂址2</w:t>
            </w:r>
          </w:p>
        </w:tc>
        <w:tc>
          <w:tcPr>
            <w:tcW w:w="812" w:type="pct"/>
            <w:gridSpan w:val="2"/>
            <w:tcBorders>
              <w:right w:val="single" w:color="auto" w:sz="4" w:space="0"/>
            </w:tcBorders>
            <w:vAlign w:val="center"/>
          </w:tcPr>
          <w:p w14:paraId="7D4ACA11">
            <w:pPr>
              <w:widowControl/>
              <w:spacing w:line="280" w:lineRule="exact"/>
              <w:jc w:val="center"/>
              <w:rPr>
                <w:rFonts w:ascii="Times New Roman"/>
                <w:kern w:val="0"/>
                <w:sz w:val="21"/>
                <w:szCs w:val="21"/>
              </w:rPr>
            </w:pPr>
            <w:r>
              <w:rPr>
                <w:rFonts w:hint="eastAsia" w:ascii="Times New Roman"/>
                <w:kern w:val="0"/>
                <w:sz w:val="21"/>
                <w:szCs w:val="21"/>
              </w:rPr>
              <w:t>厂址3</w:t>
            </w:r>
          </w:p>
        </w:tc>
        <w:tc>
          <w:tcPr>
            <w:tcW w:w="805" w:type="pct"/>
            <w:gridSpan w:val="2"/>
            <w:vMerge w:val="continue"/>
            <w:tcBorders>
              <w:left w:val="single" w:color="auto" w:sz="4" w:space="0"/>
              <w:bottom w:val="single" w:color="auto" w:sz="4" w:space="0"/>
              <w:right w:val="single" w:color="auto" w:sz="4" w:space="0"/>
            </w:tcBorders>
            <w:vAlign w:val="center"/>
          </w:tcPr>
          <w:p w14:paraId="223A20FD">
            <w:pPr>
              <w:widowControl/>
              <w:spacing w:line="280" w:lineRule="exact"/>
              <w:jc w:val="center"/>
              <w:rPr>
                <w:rFonts w:ascii="Times New Roman"/>
                <w:kern w:val="0"/>
                <w:sz w:val="21"/>
                <w:szCs w:val="21"/>
              </w:rPr>
            </w:pPr>
          </w:p>
        </w:tc>
        <w:tc>
          <w:tcPr>
            <w:tcW w:w="271" w:type="pct"/>
            <w:vMerge w:val="continue"/>
            <w:vAlign w:val="center"/>
          </w:tcPr>
          <w:p w14:paraId="28931E15">
            <w:pPr>
              <w:widowControl/>
              <w:spacing w:line="280" w:lineRule="exact"/>
              <w:jc w:val="center"/>
              <w:rPr>
                <w:rFonts w:ascii="Times New Roman"/>
                <w:kern w:val="0"/>
                <w:sz w:val="21"/>
                <w:szCs w:val="21"/>
              </w:rPr>
            </w:pPr>
          </w:p>
        </w:tc>
        <w:tc>
          <w:tcPr>
            <w:tcW w:w="202" w:type="pct"/>
            <w:vMerge w:val="continue"/>
            <w:vAlign w:val="center"/>
          </w:tcPr>
          <w:p w14:paraId="637EE3EF">
            <w:pPr>
              <w:widowControl/>
              <w:spacing w:line="280" w:lineRule="exact"/>
              <w:jc w:val="center"/>
              <w:rPr>
                <w:rFonts w:ascii="Times New Roman"/>
                <w:kern w:val="0"/>
                <w:sz w:val="21"/>
                <w:szCs w:val="21"/>
              </w:rPr>
            </w:pPr>
          </w:p>
        </w:tc>
      </w:tr>
      <w:tr w14:paraId="1E0EFC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Merge w:val="continue"/>
            <w:vAlign w:val="center"/>
          </w:tcPr>
          <w:p w14:paraId="230D2E19">
            <w:pPr>
              <w:widowControl/>
              <w:spacing w:line="280" w:lineRule="exact"/>
              <w:jc w:val="center"/>
              <w:rPr>
                <w:rFonts w:ascii="Times New Roman"/>
                <w:kern w:val="0"/>
                <w:sz w:val="21"/>
                <w:szCs w:val="21"/>
              </w:rPr>
            </w:pPr>
          </w:p>
        </w:tc>
        <w:tc>
          <w:tcPr>
            <w:tcW w:w="416" w:type="pct"/>
            <w:tcBorders>
              <w:top w:val="single" w:color="auto" w:sz="4" w:space="0"/>
              <w:left w:val="single" w:color="auto" w:sz="4" w:space="0"/>
              <w:right w:val="single" w:color="auto" w:sz="4" w:space="0"/>
            </w:tcBorders>
            <w:vAlign w:val="center"/>
          </w:tcPr>
          <w:p w14:paraId="3890B86F">
            <w:pPr>
              <w:widowControl/>
              <w:spacing w:line="280" w:lineRule="exact"/>
              <w:jc w:val="center"/>
              <w:rPr>
                <w:rFonts w:ascii="Times New Roman"/>
                <w:kern w:val="0"/>
                <w:sz w:val="21"/>
                <w:szCs w:val="21"/>
              </w:rPr>
            </w:pPr>
            <w:r>
              <w:rPr>
                <w:rFonts w:hint="eastAsia" w:ascii="Times New Roman"/>
                <w:kern w:val="0"/>
                <w:sz w:val="21"/>
                <w:szCs w:val="21"/>
              </w:rPr>
              <w:t>表层</w:t>
            </w:r>
          </w:p>
        </w:tc>
        <w:tc>
          <w:tcPr>
            <w:tcW w:w="532" w:type="pct"/>
            <w:tcBorders>
              <w:top w:val="single" w:color="auto" w:sz="4" w:space="0"/>
              <w:left w:val="single" w:color="auto" w:sz="4" w:space="0"/>
              <w:right w:val="single" w:color="auto" w:sz="4" w:space="0"/>
            </w:tcBorders>
            <w:vAlign w:val="center"/>
          </w:tcPr>
          <w:p w14:paraId="107D5187">
            <w:pPr>
              <w:widowControl/>
              <w:spacing w:line="280" w:lineRule="exact"/>
              <w:jc w:val="center"/>
              <w:rPr>
                <w:rFonts w:ascii="Times New Roman"/>
                <w:kern w:val="0"/>
                <w:sz w:val="21"/>
                <w:szCs w:val="21"/>
              </w:rPr>
            </w:pPr>
            <w:r>
              <w:rPr>
                <w:rFonts w:hint="eastAsia" w:ascii="Times New Roman"/>
                <w:kern w:val="0"/>
                <w:sz w:val="21"/>
                <w:szCs w:val="21"/>
              </w:rPr>
              <w:t>表层</w:t>
            </w:r>
          </w:p>
        </w:tc>
        <w:tc>
          <w:tcPr>
            <w:tcW w:w="535" w:type="pct"/>
            <w:tcBorders>
              <w:top w:val="single" w:color="auto" w:sz="4" w:space="0"/>
              <w:left w:val="single" w:color="auto" w:sz="4" w:space="0"/>
              <w:right w:val="single" w:color="auto" w:sz="4" w:space="0"/>
            </w:tcBorders>
            <w:vAlign w:val="center"/>
          </w:tcPr>
          <w:p w14:paraId="032AAA24">
            <w:pPr>
              <w:widowControl/>
              <w:spacing w:line="280" w:lineRule="exact"/>
              <w:jc w:val="center"/>
              <w:rPr>
                <w:rFonts w:ascii="Times New Roman"/>
                <w:kern w:val="0"/>
                <w:sz w:val="21"/>
                <w:szCs w:val="21"/>
              </w:rPr>
            </w:pPr>
            <w:r>
              <w:rPr>
                <w:rFonts w:hint="eastAsia" w:ascii="Times New Roman"/>
                <w:kern w:val="0"/>
                <w:sz w:val="21"/>
                <w:szCs w:val="21"/>
              </w:rPr>
              <w:t>中层</w:t>
            </w:r>
          </w:p>
        </w:tc>
        <w:tc>
          <w:tcPr>
            <w:tcW w:w="467" w:type="pct"/>
            <w:tcBorders>
              <w:top w:val="single" w:color="auto" w:sz="4" w:space="0"/>
              <w:left w:val="single" w:color="auto" w:sz="4" w:space="0"/>
              <w:right w:val="single" w:color="auto" w:sz="4" w:space="0"/>
            </w:tcBorders>
            <w:vAlign w:val="center"/>
          </w:tcPr>
          <w:p w14:paraId="316C61A6">
            <w:pPr>
              <w:widowControl/>
              <w:spacing w:line="280" w:lineRule="exact"/>
              <w:jc w:val="center"/>
              <w:rPr>
                <w:rFonts w:ascii="Times New Roman"/>
                <w:kern w:val="0"/>
                <w:sz w:val="21"/>
                <w:szCs w:val="21"/>
              </w:rPr>
            </w:pPr>
            <w:r>
              <w:rPr>
                <w:rFonts w:hint="eastAsia" w:ascii="Times New Roman"/>
                <w:kern w:val="0"/>
                <w:sz w:val="21"/>
                <w:szCs w:val="21"/>
              </w:rPr>
              <w:t>表层</w:t>
            </w:r>
          </w:p>
        </w:tc>
        <w:tc>
          <w:tcPr>
            <w:tcW w:w="518" w:type="pct"/>
            <w:tcBorders>
              <w:top w:val="single" w:color="auto" w:sz="4" w:space="0"/>
              <w:left w:val="single" w:color="auto" w:sz="4" w:space="0"/>
            </w:tcBorders>
            <w:vAlign w:val="center"/>
          </w:tcPr>
          <w:p w14:paraId="0D91C58F">
            <w:pPr>
              <w:widowControl/>
              <w:spacing w:line="280" w:lineRule="exact"/>
              <w:jc w:val="center"/>
              <w:rPr>
                <w:rFonts w:ascii="Times New Roman"/>
                <w:kern w:val="0"/>
                <w:sz w:val="21"/>
                <w:szCs w:val="21"/>
              </w:rPr>
            </w:pPr>
            <w:r>
              <w:rPr>
                <w:rFonts w:hint="eastAsia" w:ascii="Times New Roman"/>
                <w:kern w:val="0"/>
                <w:sz w:val="21"/>
                <w:szCs w:val="21"/>
              </w:rPr>
              <w:t>中层</w:t>
            </w:r>
          </w:p>
        </w:tc>
        <w:tc>
          <w:tcPr>
            <w:tcW w:w="390" w:type="pct"/>
            <w:tcBorders>
              <w:right w:val="single" w:color="auto" w:sz="4" w:space="0"/>
            </w:tcBorders>
            <w:vAlign w:val="center"/>
          </w:tcPr>
          <w:p w14:paraId="6BA8F6DB">
            <w:pPr>
              <w:widowControl/>
              <w:spacing w:line="280" w:lineRule="exact"/>
              <w:jc w:val="center"/>
              <w:rPr>
                <w:rFonts w:ascii="Times New Roman"/>
                <w:kern w:val="0"/>
                <w:sz w:val="21"/>
                <w:szCs w:val="21"/>
              </w:rPr>
            </w:pPr>
            <w:r>
              <w:rPr>
                <w:rFonts w:hint="eastAsia" w:ascii="Times New Roman"/>
                <w:kern w:val="0"/>
                <w:sz w:val="21"/>
                <w:szCs w:val="21"/>
              </w:rPr>
              <w:t>表层</w:t>
            </w:r>
          </w:p>
        </w:tc>
        <w:tc>
          <w:tcPr>
            <w:tcW w:w="422" w:type="pct"/>
            <w:tcBorders>
              <w:right w:val="single" w:color="auto" w:sz="4" w:space="0"/>
            </w:tcBorders>
            <w:vAlign w:val="center"/>
          </w:tcPr>
          <w:p w14:paraId="2A05D743">
            <w:pPr>
              <w:widowControl/>
              <w:spacing w:line="280" w:lineRule="exact"/>
              <w:jc w:val="center"/>
              <w:rPr>
                <w:rFonts w:ascii="Times New Roman"/>
                <w:kern w:val="0"/>
                <w:sz w:val="21"/>
                <w:szCs w:val="21"/>
              </w:rPr>
            </w:pPr>
            <w:r>
              <w:rPr>
                <w:rFonts w:hint="eastAsia" w:ascii="Times New Roman"/>
                <w:kern w:val="0"/>
                <w:sz w:val="21"/>
                <w:szCs w:val="21"/>
              </w:rPr>
              <w:t>中层</w:t>
            </w:r>
          </w:p>
        </w:tc>
        <w:tc>
          <w:tcPr>
            <w:tcW w:w="413" w:type="pct"/>
            <w:tcBorders>
              <w:top w:val="single" w:color="auto" w:sz="4" w:space="0"/>
              <w:left w:val="single" w:color="auto" w:sz="4" w:space="0"/>
              <w:right w:val="single" w:color="auto" w:sz="4" w:space="0"/>
            </w:tcBorders>
            <w:vAlign w:val="center"/>
          </w:tcPr>
          <w:p w14:paraId="6437170B">
            <w:pPr>
              <w:spacing w:line="280" w:lineRule="exact"/>
              <w:jc w:val="center"/>
              <w:rPr>
                <w:rFonts w:ascii="Times New Roman"/>
                <w:kern w:val="0"/>
                <w:sz w:val="21"/>
                <w:szCs w:val="21"/>
                <w:vertAlign w:val="subscript"/>
              </w:rPr>
            </w:pPr>
            <w:r>
              <w:rPr>
                <w:rFonts w:hint="eastAsia" w:ascii="Times New Roman"/>
                <w:kern w:val="0"/>
                <w:sz w:val="21"/>
                <w:szCs w:val="21"/>
              </w:rPr>
              <w:t>厂址南侧表层</w:t>
            </w:r>
          </w:p>
        </w:tc>
        <w:tc>
          <w:tcPr>
            <w:tcW w:w="391" w:type="pct"/>
            <w:tcBorders>
              <w:top w:val="single" w:color="auto" w:sz="4" w:space="0"/>
              <w:left w:val="single" w:color="auto" w:sz="4" w:space="0"/>
              <w:right w:val="single" w:color="auto" w:sz="4" w:space="0"/>
            </w:tcBorders>
            <w:vAlign w:val="center"/>
          </w:tcPr>
          <w:p w14:paraId="032E618D">
            <w:pPr>
              <w:spacing w:line="280" w:lineRule="exact"/>
              <w:rPr>
                <w:rFonts w:ascii="Times New Roman"/>
                <w:kern w:val="0"/>
                <w:sz w:val="21"/>
                <w:szCs w:val="21"/>
              </w:rPr>
            </w:pPr>
            <w:r>
              <w:rPr>
                <w:rFonts w:hint="eastAsia" w:ascii="Times New Roman"/>
                <w:kern w:val="0"/>
                <w:sz w:val="21"/>
                <w:szCs w:val="21"/>
              </w:rPr>
              <w:t>厂址北</w:t>
            </w:r>
          </w:p>
          <w:p w14:paraId="6536AED2">
            <w:pPr>
              <w:spacing w:line="280" w:lineRule="exact"/>
              <w:rPr>
                <w:rFonts w:ascii="Times New Roman"/>
                <w:kern w:val="0"/>
                <w:sz w:val="21"/>
                <w:szCs w:val="21"/>
                <w:vertAlign w:val="subscript"/>
              </w:rPr>
            </w:pPr>
            <w:r>
              <w:rPr>
                <w:rFonts w:hint="eastAsia" w:ascii="Times New Roman"/>
                <w:kern w:val="0"/>
                <w:sz w:val="21"/>
                <w:szCs w:val="21"/>
              </w:rPr>
              <w:t>侧表层</w:t>
            </w:r>
          </w:p>
        </w:tc>
        <w:tc>
          <w:tcPr>
            <w:tcW w:w="271" w:type="pct"/>
            <w:vMerge w:val="continue"/>
            <w:vAlign w:val="center"/>
          </w:tcPr>
          <w:p w14:paraId="224978C4">
            <w:pPr>
              <w:widowControl/>
              <w:spacing w:line="280" w:lineRule="exact"/>
              <w:jc w:val="center"/>
              <w:rPr>
                <w:rFonts w:ascii="Times New Roman"/>
                <w:kern w:val="0"/>
                <w:sz w:val="21"/>
                <w:szCs w:val="21"/>
              </w:rPr>
            </w:pPr>
          </w:p>
        </w:tc>
        <w:tc>
          <w:tcPr>
            <w:tcW w:w="202" w:type="pct"/>
            <w:vMerge w:val="continue"/>
            <w:vAlign w:val="center"/>
          </w:tcPr>
          <w:p w14:paraId="31E31340">
            <w:pPr>
              <w:widowControl/>
              <w:spacing w:line="280" w:lineRule="exact"/>
              <w:jc w:val="center"/>
              <w:rPr>
                <w:rFonts w:ascii="Times New Roman"/>
                <w:kern w:val="0"/>
                <w:sz w:val="21"/>
                <w:szCs w:val="21"/>
              </w:rPr>
            </w:pPr>
          </w:p>
        </w:tc>
      </w:tr>
      <w:tr w14:paraId="442A8E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ABB3251">
            <w:pPr>
              <w:spacing w:line="280" w:lineRule="exact"/>
              <w:jc w:val="center"/>
              <w:rPr>
                <w:rFonts w:ascii="Times New Roman"/>
                <w:sz w:val="21"/>
                <w:szCs w:val="21"/>
              </w:rPr>
            </w:pPr>
            <w:r>
              <w:rPr>
                <w:rFonts w:ascii="Times New Roman"/>
                <w:sz w:val="21"/>
                <w:szCs w:val="21"/>
              </w:rPr>
              <w:t>pH</w:t>
            </w:r>
          </w:p>
        </w:tc>
        <w:tc>
          <w:tcPr>
            <w:tcW w:w="416" w:type="pct"/>
            <w:tcBorders>
              <w:left w:val="single" w:color="auto" w:sz="4" w:space="0"/>
              <w:right w:val="single" w:color="auto" w:sz="4" w:space="0"/>
            </w:tcBorders>
            <w:vAlign w:val="center"/>
          </w:tcPr>
          <w:p w14:paraId="0AD89BF4">
            <w:pPr>
              <w:spacing w:line="300" w:lineRule="exact"/>
              <w:jc w:val="center"/>
              <w:rPr>
                <w:rFonts w:ascii="Times New Roman"/>
                <w:sz w:val="21"/>
                <w:szCs w:val="21"/>
              </w:rPr>
            </w:pPr>
            <w:r>
              <w:rPr>
                <w:rFonts w:hint="eastAsia" w:ascii="Times New Roman"/>
                <w:sz w:val="21"/>
                <w:szCs w:val="21"/>
              </w:rPr>
              <w:t>8.27</w:t>
            </w:r>
          </w:p>
        </w:tc>
        <w:tc>
          <w:tcPr>
            <w:tcW w:w="532" w:type="pct"/>
            <w:tcBorders>
              <w:left w:val="single" w:color="auto" w:sz="4" w:space="0"/>
              <w:right w:val="single" w:color="auto" w:sz="4" w:space="0"/>
            </w:tcBorders>
            <w:vAlign w:val="center"/>
          </w:tcPr>
          <w:p w14:paraId="41F659FD">
            <w:pPr>
              <w:jc w:val="center"/>
              <w:rPr>
                <w:rFonts w:ascii="Times New Roman"/>
                <w:sz w:val="21"/>
                <w:szCs w:val="21"/>
              </w:rPr>
            </w:pPr>
            <w:r>
              <w:rPr>
                <w:rFonts w:hint="eastAsia" w:ascii="Times New Roman"/>
                <w:sz w:val="21"/>
                <w:szCs w:val="21"/>
              </w:rPr>
              <w:t>8.11</w:t>
            </w:r>
          </w:p>
        </w:tc>
        <w:tc>
          <w:tcPr>
            <w:tcW w:w="535" w:type="pct"/>
            <w:tcBorders>
              <w:left w:val="single" w:color="auto" w:sz="4" w:space="0"/>
              <w:right w:val="single" w:color="auto" w:sz="4" w:space="0"/>
            </w:tcBorders>
            <w:vAlign w:val="center"/>
          </w:tcPr>
          <w:p w14:paraId="14691743">
            <w:pPr>
              <w:jc w:val="center"/>
              <w:rPr>
                <w:rFonts w:ascii="Times New Roman"/>
                <w:sz w:val="21"/>
                <w:szCs w:val="21"/>
              </w:rPr>
            </w:pPr>
            <w:r>
              <w:rPr>
                <w:rFonts w:hint="eastAsia" w:ascii="Times New Roman"/>
                <w:sz w:val="21"/>
                <w:szCs w:val="21"/>
              </w:rPr>
              <w:t>8.20</w:t>
            </w:r>
          </w:p>
        </w:tc>
        <w:tc>
          <w:tcPr>
            <w:tcW w:w="467" w:type="pct"/>
            <w:tcBorders>
              <w:left w:val="single" w:color="auto" w:sz="4" w:space="0"/>
              <w:right w:val="single" w:color="auto" w:sz="4" w:space="0"/>
            </w:tcBorders>
            <w:vAlign w:val="center"/>
          </w:tcPr>
          <w:p w14:paraId="1D427D31">
            <w:pPr>
              <w:spacing w:line="300" w:lineRule="exact"/>
              <w:jc w:val="center"/>
              <w:rPr>
                <w:rFonts w:ascii="Times New Roman"/>
                <w:sz w:val="21"/>
                <w:szCs w:val="21"/>
              </w:rPr>
            </w:pPr>
            <w:r>
              <w:rPr>
                <w:rFonts w:hint="eastAsia" w:ascii="Times New Roman"/>
                <w:sz w:val="21"/>
                <w:szCs w:val="21"/>
              </w:rPr>
              <w:t>8.12</w:t>
            </w:r>
          </w:p>
        </w:tc>
        <w:tc>
          <w:tcPr>
            <w:tcW w:w="518" w:type="pct"/>
            <w:tcBorders>
              <w:left w:val="single" w:color="auto" w:sz="4" w:space="0"/>
            </w:tcBorders>
            <w:vAlign w:val="center"/>
          </w:tcPr>
          <w:p w14:paraId="2DECCB77">
            <w:pPr>
              <w:spacing w:line="300" w:lineRule="exact"/>
              <w:jc w:val="center"/>
              <w:rPr>
                <w:rFonts w:ascii="Times New Roman"/>
                <w:sz w:val="21"/>
                <w:szCs w:val="21"/>
              </w:rPr>
            </w:pPr>
            <w:r>
              <w:rPr>
                <w:rFonts w:hint="eastAsia" w:ascii="Times New Roman"/>
                <w:sz w:val="21"/>
                <w:szCs w:val="21"/>
              </w:rPr>
              <w:t>8.01</w:t>
            </w:r>
          </w:p>
        </w:tc>
        <w:tc>
          <w:tcPr>
            <w:tcW w:w="390" w:type="pct"/>
            <w:vAlign w:val="center"/>
          </w:tcPr>
          <w:p w14:paraId="370674E3">
            <w:pPr>
              <w:spacing w:line="300" w:lineRule="exact"/>
              <w:jc w:val="center"/>
              <w:rPr>
                <w:rFonts w:ascii="Times New Roman"/>
                <w:sz w:val="21"/>
                <w:szCs w:val="21"/>
              </w:rPr>
            </w:pPr>
            <w:r>
              <w:rPr>
                <w:rFonts w:hint="eastAsia" w:ascii="Times New Roman"/>
                <w:sz w:val="21"/>
                <w:szCs w:val="21"/>
              </w:rPr>
              <w:t>8.39</w:t>
            </w:r>
          </w:p>
        </w:tc>
        <w:tc>
          <w:tcPr>
            <w:tcW w:w="422" w:type="pct"/>
            <w:vAlign w:val="center"/>
          </w:tcPr>
          <w:p w14:paraId="646CFA0F">
            <w:pPr>
              <w:spacing w:line="300" w:lineRule="exact"/>
              <w:jc w:val="center"/>
              <w:rPr>
                <w:rFonts w:ascii="Times New Roman"/>
                <w:sz w:val="21"/>
                <w:szCs w:val="21"/>
              </w:rPr>
            </w:pPr>
            <w:r>
              <w:rPr>
                <w:rFonts w:hint="eastAsia" w:ascii="Times New Roman"/>
                <w:sz w:val="21"/>
                <w:szCs w:val="21"/>
              </w:rPr>
              <w:t>8.20</w:t>
            </w:r>
          </w:p>
        </w:tc>
        <w:tc>
          <w:tcPr>
            <w:tcW w:w="413" w:type="pct"/>
            <w:tcBorders>
              <w:left w:val="single" w:color="auto" w:sz="4" w:space="0"/>
              <w:right w:val="single" w:color="auto" w:sz="4" w:space="0"/>
            </w:tcBorders>
            <w:vAlign w:val="center"/>
          </w:tcPr>
          <w:p w14:paraId="61D36DD2">
            <w:pPr>
              <w:spacing w:line="300" w:lineRule="exact"/>
              <w:jc w:val="center"/>
              <w:rPr>
                <w:rFonts w:ascii="Times New Roman"/>
                <w:sz w:val="21"/>
                <w:szCs w:val="21"/>
              </w:rPr>
            </w:pPr>
            <w:r>
              <w:rPr>
                <w:rFonts w:hint="eastAsia" w:ascii="Times New Roman"/>
                <w:sz w:val="21"/>
                <w:szCs w:val="21"/>
              </w:rPr>
              <w:t>8.25</w:t>
            </w:r>
          </w:p>
        </w:tc>
        <w:tc>
          <w:tcPr>
            <w:tcW w:w="391" w:type="pct"/>
            <w:tcBorders>
              <w:left w:val="single" w:color="auto" w:sz="4" w:space="0"/>
              <w:right w:val="single" w:color="auto" w:sz="4" w:space="0"/>
            </w:tcBorders>
            <w:vAlign w:val="center"/>
          </w:tcPr>
          <w:p w14:paraId="0EFCAC39">
            <w:pPr>
              <w:spacing w:line="300" w:lineRule="exact"/>
              <w:jc w:val="center"/>
              <w:rPr>
                <w:rFonts w:ascii="Times New Roman"/>
                <w:sz w:val="21"/>
                <w:szCs w:val="21"/>
              </w:rPr>
            </w:pPr>
            <w:r>
              <w:rPr>
                <w:rFonts w:hint="eastAsia" w:ascii="Times New Roman"/>
                <w:sz w:val="21"/>
                <w:szCs w:val="21"/>
              </w:rPr>
              <w:t>8.14</w:t>
            </w:r>
          </w:p>
        </w:tc>
        <w:tc>
          <w:tcPr>
            <w:tcW w:w="271" w:type="pct"/>
            <w:tcBorders>
              <w:left w:val="single" w:color="auto" w:sz="4" w:space="0"/>
            </w:tcBorders>
            <w:vAlign w:val="center"/>
          </w:tcPr>
          <w:p w14:paraId="20470FAC">
            <w:pPr>
              <w:widowControl/>
              <w:spacing w:line="280" w:lineRule="exact"/>
              <w:jc w:val="center"/>
              <w:rPr>
                <w:rFonts w:ascii="Times New Roman"/>
                <w:kern w:val="0"/>
                <w:sz w:val="21"/>
                <w:szCs w:val="21"/>
              </w:rPr>
            </w:pPr>
            <w:r>
              <w:rPr>
                <w:rFonts w:hint="eastAsia" w:ascii="Times New Roman"/>
                <w:kern w:val="0"/>
                <w:sz w:val="21"/>
                <w:szCs w:val="21"/>
              </w:rPr>
              <w:t>--</w:t>
            </w:r>
          </w:p>
        </w:tc>
        <w:tc>
          <w:tcPr>
            <w:tcW w:w="202" w:type="pct"/>
            <w:tcBorders>
              <w:left w:val="single" w:color="auto" w:sz="4" w:space="0"/>
            </w:tcBorders>
            <w:vAlign w:val="center"/>
          </w:tcPr>
          <w:p w14:paraId="7D2A7753">
            <w:pPr>
              <w:widowControl/>
              <w:spacing w:line="280" w:lineRule="exact"/>
              <w:jc w:val="center"/>
              <w:rPr>
                <w:rFonts w:ascii="Times New Roman"/>
                <w:kern w:val="0"/>
                <w:sz w:val="21"/>
                <w:szCs w:val="21"/>
              </w:rPr>
            </w:pPr>
            <w:r>
              <w:rPr>
                <w:rFonts w:ascii="Times New Roman"/>
                <w:sz w:val="21"/>
                <w:szCs w:val="21"/>
              </w:rPr>
              <w:t>--</w:t>
            </w:r>
          </w:p>
        </w:tc>
      </w:tr>
      <w:tr w14:paraId="3CEFC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4178818">
            <w:pPr>
              <w:spacing w:line="280" w:lineRule="exact"/>
              <w:jc w:val="center"/>
              <w:rPr>
                <w:rFonts w:ascii="Times New Roman"/>
                <w:sz w:val="21"/>
                <w:szCs w:val="21"/>
              </w:rPr>
            </w:pPr>
            <w:r>
              <w:rPr>
                <w:rFonts w:hint="eastAsia" w:ascii="Times New Roman"/>
                <w:sz w:val="21"/>
                <w:szCs w:val="21"/>
              </w:rPr>
              <w:t>苯胺</w:t>
            </w:r>
          </w:p>
        </w:tc>
        <w:tc>
          <w:tcPr>
            <w:tcW w:w="416" w:type="pct"/>
            <w:tcBorders>
              <w:left w:val="single" w:color="auto" w:sz="4" w:space="0"/>
              <w:right w:val="single" w:color="auto" w:sz="4" w:space="0"/>
            </w:tcBorders>
            <w:vAlign w:val="center"/>
          </w:tcPr>
          <w:p w14:paraId="4D194E39">
            <w:pPr>
              <w:spacing w:line="30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201469D">
            <w:pPr>
              <w:spacing w:line="300" w:lineRule="exact"/>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2A117B5">
            <w:pPr>
              <w:spacing w:line="30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68628FA9">
            <w:pPr>
              <w:spacing w:line="30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5078A808">
            <w:pPr>
              <w:spacing w:line="300" w:lineRule="exact"/>
              <w:jc w:val="center"/>
              <w:rPr>
                <w:rFonts w:ascii="Times New Roman"/>
                <w:sz w:val="21"/>
                <w:szCs w:val="21"/>
              </w:rPr>
            </w:pPr>
            <w:r>
              <w:rPr>
                <w:rFonts w:hint="eastAsia" w:ascii="Times New Roman"/>
                <w:sz w:val="21"/>
                <w:szCs w:val="21"/>
              </w:rPr>
              <w:t>--</w:t>
            </w:r>
          </w:p>
        </w:tc>
        <w:tc>
          <w:tcPr>
            <w:tcW w:w="390" w:type="pct"/>
            <w:vAlign w:val="center"/>
          </w:tcPr>
          <w:p w14:paraId="3AA75B30">
            <w:pPr>
              <w:spacing w:line="300" w:lineRule="exact"/>
              <w:jc w:val="center"/>
              <w:rPr>
                <w:rFonts w:ascii="Times New Roman" w:eastAsia="仿宋_GB2312"/>
                <w:sz w:val="24"/>
                <w:szCs w:val="24"/>
              </w:rPr>
            </w:pPr>
            <w:r>
              <w:rPr>
                <w:rFonts w:hint="eastAsia" w:ascii="Times New Roman"/>
                <w:sz w:val="21"/>
                <w:szCs w:val="21"/>
              </w:rPr>
              <w:t>--</w:t>
            </w:r>
          </w:p>
        </w:tc>
        <w:tc>
          <w:tcPr>
            <w:tcW w:w="422" w:type="pct"/>
            <w:vAlign w:val="center"/>
          </w:tcPr>
          <w:p w14:paraId="5FBD4157">
            <w:pPr>
              <w:spacing w:line="300" w:lineRule="exact"/>
              <w:jc w:val="center"/>
              <w:rPr>
                <w:rFonts w:ascii="Times New Roman" w:eastAsia="仿宋_GB2312"/>
                <w:sz w:val="24"/>
                <w:szCs w:val="24"/>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39632B3">
            <w:pPr>
              <w:spacing w:line="300" w:lineRule="exact"/>
              <w:jc w:val="center"/>
              <w:rPr>
                <w:rFonts w:ascii="Times New Roman"/>
                <w:b/>
                <w:bCs/>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3A9CFE75">
            <w:pPr>
              <w:spacing w:line="300" w:lineRule="exact"/>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46B757C8">
            <w:pPr>
              <w:widowControl/>
              <w:spacing w:line="280" w:lineRule="exact"/>
              <w:jc w:val="center"/>
              <w:rPr>
                <w:rFonts w:ascii="Times New Roman"/>
                <w:kern w:val="0"/>
                <w:sz w:val="21"/>
                <w:szCs w:val="21"/>
              </w:rPr>
            </w:pPr>
            <w:r>
              <w:rPr>
                <w:rFonts w:hint="eastAsia" w:ascii="Times New Roman"/>
                <w:kern w:val="0"/>
                <w:sz w:val="21"/>
                <w:szCs w:val="21"/>
              </w:rPr>
              <w:t>260</w:t>
            </w:r>
          </w:p>
        </w:tc>
        <w:tc>
          <w:tcPr>
            <w:tcW w:w="202" w:type="pct"/>
            <w:tcBorders>
              <w:left w:val="single" w:color="auto" w:sz="4" w:space="0"/>
            </w:tcBorders>
            <w:vAlign w:val="center"/>
          </w:tcPr>
          <w:p w14:paraId="25B52B80">
            <w:pPr>
              <w:widowControl/>
              <w:spacing w:line="280" w:lineRule="exact"/>
              <w:jc w:val="center"/>
              <w:rPr>
                <w:rFonts w:ascii="Times New Roman"/>
                <w:kern w:val="0"/>
                <w:sz w:val="21"/>
                <w:szCs w:val="21"/>
              </w:rPr>
            </w:pPr>
            <w:r>
              <w:rPr>
                <w:rFonts w:ascii="Times New Roman"/>
                <w:kern w:val="0"/>
                <w:sz w:val="21"/>
                <w:szCs w:val="21"/>
              </w:rPr>
              <w:t>达标</w:t>
            </w:r>
          </w:p>
        </w:tc>
      </w:tr>
      <w:tr w14:paraId="1C1722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3E2B0B1A">
            <w:pPr>
              <w:spacing w:line="280" w:lineRule="exact"/>
              <w:jc w:val="center"/>
              <w:rPr>
                <w:rFonts w:ascii="Times New Roman"/>
                <w:sz w:val="21"/>
                <w:szCs w:val="21"/>
              </w:rPr>
            </w:pPr>
            <w:r>
              <w:rPr>
                <w:rFonts w:hint="eastAsia" w:ascii="Times New Roman"/>
                <w:sz w:val="21"/>
                <w:szCs w:val="21"/>
              </w:rPr>
              <w:t>2-氯苯酚</w:t>
            </w:r>
          </w:p>
        </w:tc>
        <w:tc>
          <w:tcPr>
            <w:tcW w:w="416" w:type="pct"/>
            <w:tcBorders>
              <w:left w:val="single" w:color="auto" w:sz="4" w:space="0"/>
              <w:right w:val="single" w:color="auto" w:sz="4" w:space="0"/>
            </w:tcBorders>
            <w:vAlign w:val="center"/>
          </w:tcPr>
          <w:p w14:paraId="68503184">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418FFABA">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1F6E69B8">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97A5F88">
            <w:pPr>
              <w:widowControl/>
              <w:spacing w:line="280" w:lineRule="exact"/>
              <w:jc w:val="center"/>
              <w:rPr>
                <w:rFonts w:ascii="Times New Roman"/>
                <w:kern w:val="0"/>
                <w:sz w:val="21"/>
                <w:szCs w:val="21"/>
              </w:rPr>
            </w:pPr>
            <w:r>
              <w:rPr>
                <w:rFonts w:hint="eastAsia" w:ascii="Times New Roman"/>
                <w:sz w:val="21"/>
                <w:szCs w:val="21"/>
              </w:rPr>
              <w:t>--</w:t>
            </w:r>
          </w:p>
        </w:tc>
        <w:tc>
          <w:tcPr>
            <w:tcW w:w="518" w:type="pct"/>
            <w:tcBorders>
              <w:left w:val="single" w:color="auto" w:sz="4" w:space="0"/>
            </w:tcBorders>
            <w:vAlign w:val="center"/>
          </w:tcPr>
          <w:p w14:paraId="1C0F08D5">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5C1C5674">
            <w:pPr>
              <w:widowControl/>
              <w:spacing w:line="280" w:lineRule="exact"/>
              <w:jc w:val="center"/>
              <w:rPr>
                <w:rFonts w:ascii="Times New Roman"/>
                <w:kern w:val="0"/>
                <w:sz w:val="21"/>
                <w:szCs w:val="21"/>
              </w:rPr>
            </w:pPr>
            <w:r>
              <w:rPr>
                <w:rFonts w:hint="eastAsia" w:ascii="Times New Roman"/>
                <w:sz w:val="21"/>
                <w:szCs w:val="21"/>
              </w:rPr>
              <w:t>--</w:t>
            </w:r>
          </w:p>
        </w:tc>
        <w:tc>
          <w:tcPr>
            <w:tcW w:w="422" w:type="pct"/>
            <w:vAlign w:val="center"/>
          </w:tcPr>
          <w:p w14:paraId="548E5834">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537BD055">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4F46739F">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06730C98">
            <w:pPr>
              <w:widowControl/>
              <w:spacing w:line="280" w:lineRule="exact"/>
              <w:jc w:val="center"/>
              <w:rPr>
                <w:rFonts w:ascii="Times New Roman"/>
                <w:kern w:val="0"/>
                <w:sz w:val="21"/>
                <w:szCs w:val="21"/>
              </w:rPr>
            </w:pPr>
            <w:r>
              <w:rPr>
                <w:rFonts w:hint="eastAsia" w:ascii="Times New Roman"/>
                <w:kern w:val="0"/>
                <w:sz w:val="21"/>
                <w:szCs w:val="21"/>
              </w:rPr>
              <w:t>2256</w:t>
            </w:r>
          </w:p>
        </w:tc>
        <w:tc>
          <w:tcPr>
            <w:tcW w:w="202" w:type="pct"/>
            <w:tcBorders>
              <w:left w:val="single" w:color="auto" w:sz="4" w:space="0"/>
            </w:tcBorders>
            <w:vAlign w:val="center"/>
          </w:tcPr>
          <w:p w14:paraId="2777027E">
            <w:pPr>
              <w:widowControl/>
              <w:spacing w:line="280" w:lineRule="exact"/>
              <w:jc w:val="center"/>
              <w:rPr>
                <w:rFonts w:ascii="Times New Roman"/>
                <w:kern w:val="0"/>
                <w:sz w:val="21"/>
                <w:szCs w:val="21"/>
              </w:rPr>
            </w:pPr>
            <w:r>
              <w:rPr>
                <w:rFonts w:ascii="Times New Roman"/>
                <w:kern w:val="0"/>
                <w:sz w:val="21"/>
                <w:szCs w:val="21"/>
              </w:rPr>
              <w:t>达标</w:t>
            </w:r>
          </w:p>
        </w:tc>
      </w:tr>
      <w:tr w14:paraId="3A4EA5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69FE712E">
            <w:pPr>
              <w:spacing w:line="280" w:lineRule="exact"/>
              <w:jc w:val="center"/>
              <w:rPr>
                <w:rFonts w:ascii="Times New Roman"/>
                <w:sz w:val="21"/>
                <w:szCs w:val="21"/>
              </w:rPr>
            </w:pPr>
            <w:r>
              <w:rPr>
                <w:rFonts w:hint="eastAsia" w:ascii="Times New Roman"/>
                <w:sz w:val="21"/>
                <w:szCs w:val="21"/>
              </w:rPr>
              <w:t>硝基苯</w:t>
            </w:r>
          </w:p>
        </w:tc>
        <w:tc>
          <w:tcPr>
            <w:tcW w:w="416" w:type="pct"/>
            <w:tcBorders>
              <w:left w:val="single" w:color="auto" w:sz="4" w:space="0"/>
              <w:right w:val="single" w:color="auto" w:sz="4" w:space="0"/>
            </w:tcBorders>
            <w:vAlign w:val="center"/>
          </w:tcPr>
          <w:p w14:paraId="1D7EB8FE">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D8D5313">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07B7D149">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479F70D5">
            <w:pPr>
              <w:widowControl/>
              <w:spacing w:line="280" w:lineRule="exact"/>
              <w:jc w:val="center"/>
              <w:rPr>
                <w:rFonts w:ascii="Times New Roman"/>
                <w:kern w:val="0"/>
                <w:sz w:val="21"/>
                <w:szCs w:val="21"/>
              </w:rPr>
            </w:pPr>
            <w:r>
              <w:rPr>
                <w:rFonts w:hint="eastAsia" w:ascii="Times New Roman"/>
                <w:sz w:val="21"/>
                <w:szCs w:val="21"/>
              </w:rPr>
              <w:t>--</w:t>
            </w:r>
          </w:p>
        </w:tc>
        <w:tc>
          <w:tcPr>
            <w:tcW w:w="518" w:type="pct"/>
            <w:tcBorders>
              <w:left w:val="single" w:color="auto" w:sz="4" w:space="0"/>
            </w:tcBorders>
            <w:vAlign w:val="center"/>
          </w:tcPr>
          <w:p w14:paraId="5E22F042">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251007A2">
            <w:pPr>
              <w:widowControl/>
              <w:spacing w:line="280" w:lineRule="exact"/>
              <w:jc w:val="center"/>
              <w:rPr>
                <w:rFonts w:ascii="Times New Roman"/>
                <w:kern w:val="0"/>
                <w:sz w:val="21"/>
                <w:szCs w:val="21"/>
              </w:rPr>
            </w:pPr>
            <w:r>
              <w:rPr>
                <w:rFonts w:hint="eastAsia" w:ascii="Times New Roman"/>
                <w:sz w:val="21"/>
                <w:szCs w:val="21"/>
              </w:rPr>
              <w:t>--</w:t>
            </w:r>
          </w:p>
        </w:tc>
        <w:tc>
          <w:tcPr>
            <w:tcW w:w="422" w:type="pct"/>
            <w:vAlign w:val="center"/>
          </w:tcPr>
          <w:p w14:paraId="68B5EAC1">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12332F6">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701D1F9A">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258AEA70">
            <w:pPr>
              <w:widowControl/>
              <w:spacing w:line="280" w:lineRule="exact"/>
              <w:jc w:val="center"/>
              <w:rPr>
                <w:rFonts w:ascii="Times New Roman"/>
                <w:kern w:val="0"/>
                <w:sz w:val="21"/>
                <w:szCs w:val="21"/>
              </w:rPr>
            </w:pPr>
            <w:r>
              <w:rPr>
                <w:rFonts w:hint="eastAsia" w:ascii="Times New Roman"/>
                <w:kern w:val="0"/>
                <w:sz w:val="21"/>
                <w:szCs w:val="21"/>
              </w:rPr>
              <w:t>76</w:t>
            </w:r>
          </w:p>
        </w:tc>
        <w:tc>
          <w:tcPr>
            <w:tcW w:w="202" w:type="pct"/>
            <w:tcBorders>
              <w:left w:val="single" w:color="auto" w:sz="4" w:space="0"/>
            </w:tcBorders>
            <w:vAlign w:val="center"/>
          </w:tcPr>
          <w:p w14:paraId="19842B52">
            <w:pPr>
              <w:widowControl/>
              <w:spacing w:line="280" w:lineRule="exact"/>
              <w:jc w:val="center"/>
              <w:rPr>
                <w:rFonts w:ascii="Times New Roman"/>
                <w:kern w:val="0"/>
                <w:sz w:val="21"/>
                <w:szCs w:val="21"/>
              </w:rPr>
            </w:pPr>
            <w:r>
              <w:rPr>
                <w:rFonts w:ascii="Times New Roman"/>
                <w:kern w:val="0"/>
                <w:sz w:val="21"/>
                <w:szCs w:val="21"/>
              </w:rPr>
              <w:t>达标</w:t>
            </w:r>
          </w:p>
        </w:tc>
      </w:tr>
      <w:tr w14:paraId="700F1D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AC9B874">
            <w:pPr>
              <w:spacing w:line="280" w:lineRule="exact"/>
              <w:jc w:val="center"/>
              <w:rPr>
                <w:rFonts w:ascii="Times New Roman"/>
                <w:sz w:val="21"/>
                <w:szCs w:val="21"/>
              </w:rPr>
            </w:pPr>
            <w:r>
              <w:rPr>
                <w:rFonts w:hint="eastAsia" w:ascii="Times New Roman"/>
                <w:sz w:val="21"/>
                <w:szCs w:val="21"/>
              </w:rPr>
              <w:t>萘</w:t>
            </w:r>
          </w:p>
        </w:tc>
        <w:tc>
          <w:tcPr>
            <w:tcW w:w="416" w:type="pct"/>
            <w:tcBorders>
              <w:left w:val="single" w:color="auto" w:sz="4" w:space="0"/>
              <w:right w:val="single" w:color="auto" w:sz="4" w:space="0"/>
            </w:tcBorders>
            <w:vAlign w:val="center"/>
          </w:tcPr>
          <w:p w14:paraId="0D6DDCD8">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6BF82A25">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4228DD1">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40164600">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06194983">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9E45566">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514D43E">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090483E9">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0F920C5">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05AC9E49">
            <w:pPr>
              <w:widowControl/>
              <w:spacing w:line="280" w:lineRule="exact"/>
              <w:jc w:val="center"/>
              <w:rPr>
                <w:rFonts w:ascii="Times New Roman"/>
                <w:kern w:val="0"/>
                <w:sz w:val="21"/>
                <w:szCs w:val="21"/>
              </w:rPr>
            </w:pPr>
            <w:r>
              <w:rPr>
                <w:rFonts w:hint="eastAsia" w:ascii="Times New Roman"/>
                <w:kern w:val="0"/>
                <w:sz w:val="21"/>
                <w:szCs w:val="21"/>
              </w:rPr>
              <w:t>70</w:t>
            </w:r>
          </w:p>
        </w:tc>
        <w:tc>
          <w:tcPr>
            <w:tcW w:w="202" w:type="pct"/>
            <w:tcBorders>
              <w:left w:val="single" w:color="auto" w:sz="4" w:space="0"/>
            </w:tcBorders>
            <w:vAlign w:val="center"/>
          </w:tcPr>
          <w:p w14:paraId="54629EE0">
            <w:pPr>
              <w:widowControl/>
              <w:spacing w:line="280" w:lineRule="exact"/>
              <w:jc w:val="center"/>
              <w:rPr>
                <w:rFonts w:ascii="Times New Roman"/>
                <w:kern w:val="0"/>
                <w:sz w:val="21"/>
                <w:szCs w:val="21"/>
              </w:rPr>
            </w:pPr>
            <w:r>
              <w:rPr>
                <w:rFonts w:ascii="Times New Roman"/>
                <w:kern w:val="0"/>
                <w:sz w:val="21"/>
                <w:szCs w:val="21"/>
              </w:rPr>
              <w:t>达标</w:t>
            </w:r>
          </w:p>
        </w:tc>
      </w:tr>
      <w:tr w14:paraId="4299B2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621518B">
            <w:pPr>
              <w:spacing w:line="280" w:lineRule="exact"/>
              <w:jc w:val="center"/>
              <w:rPr>
                <w:rFonts w:ascii="Times New Roman"/>
                <w:sz w:val="21"/>
                <w:szCs w:val="21"/>
              </w:rPr>
            </w:pPr>
            <w:r>
              <w:rPr>
                <w:rFonts w:hint="eastAsia" w:ascii="Times New Roman"/>
                <w:sz w:val="21"/>
                <w:szCs w:val="21"/>
              </w:rPr>
              <w:t>苯并蒽</w:t>
            </w:r>
          </w:p>
        </w:tc>
        <w:tc>
          <w:tcPr>
            <w:tcW w:w="416" w:type="pct"/>
            <w:tcBorders>
              <w:left w:val="single" w:color="auto" w:sz="4" w:space="0"/>
              <w:right w:val="single" w:color="auto" w:sz="4" w:space="0"/>
            </w:tcBorders>
            <w:vAlign w:val="center"/>
          </w:tcPr>
          <w:p w14:paraId="2B18B11A">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0A06AF5F">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14425A5">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3C34A41F">
            <w:pPr>
              <w:widowControl/>
              <w:spacing w:line="280" w:lineRule="exact"/>
              <w:jc w:val="center"/>
              <w:rPr>
                <w:rFonts w:ascii="Times New Roman"/>
                <w:kern w:val="0"/>
                <w:sz w:val="21"/>
                <w:szCs w:val="21"/>
              </w:rPr>
            </w:pPr>
            <w:r>
              <w:rPr>
                <w:rFonts w:hint="eastAsia" w:ascii="Times New Roman"/>
                <w:sz w:val="21"/>
                <w:szCs w:val="21"/>
              </w:rPr>
              <w:t>--</w:t>
            </w:r>
          </w:p>
        </w:tc>
        <w:tc>
          <w:tcPr>
            <w:tcW w:w="518" w:type="pct"/>
            <w:tcBorders>
              <w:left w:val="single" w:color="auto" w:sz="4" w:space="0"/>
            </w:tcBorders>
            <w:vAlign w:val="center"/>
          </w:tcPr>
          <w:p w14:paraId="4BC32FAD">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5D7229C">
            <w:pPr>
              <w:widowControl/>
              <w:spacing w:line="280" w:lineRule="exact"/>
              <w:jc w:val="center"/>
              <w:rPr>
                <w:rFonts w:ascii="Times New Roman"/>
                <w:kern w:val="0"/>
                <w:sz w:val="21"/>
                <w:szCs w:val="21"/>
              </w:rPr>
            </w:pPr>
            <w:r>
              <w:rPr>
                <w:rFonts w:hint="eastAsia" w:ascii="Times New Roman"/>
                <w:sz w:val="21"/>
                <w:szCs w:val="21"/>
              </w:rPr>
              <w:t>--</w:t>
            </w:r>
          </w:p>
        </w:tc>
        <w:tc>
          <w:tcPr>
            <w:tcW w:w="422" w:type="pct"/>
            <w:vAlign w:val="center"/>
          </w:tcPr>
          <w:p w14:paraId="78B41B40">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728AECA8">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50843D10">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342096FC">
            <w:pPr>
              <w:widowControl/>
              <w:spacing w:line="280" w:lineRule="exact"/>
              <w:jc w:val="center"/>
              <w:rPr>
                <w:rFonts w:ascii="Times New Roman"/>
                <w:kern w:val="0"/>
                <w:sz w:val="21"/>
                <w:szCs w:val="21"/>
              </w:rPr>
            </w:pPr>
            <w:r>
              <w:rPr>
                <w:rFonts w:hint="eastAsia" w:ascii="Times New Roman"/>
                <w:kern w:val="0"/>
                <w:sz w:val="21"/>
                <w:szCs w:val="21"/>
              </w:rPr>
              <w:t>15</w:t>
            </w:r>
          </w:p>
        </w:tc>
        <w:tc>
          <w:tcPr>
            <w:tcW w:w="202" w:type="pct"/>
            <w:tcBorders>
              <w:left w:val="single" w:color="auto" w:sz="4" w:space="0"/>
            </w:tcBorders>
            <w:vAlign w:val="center"/>
          </w:tcPr>
          <w:p w14:paraId="1789535C">
            <w:pPr>
              <w:widowControl/>
              <w:spacing w:line="280" w:lineRule="exact"/>
              <w:jc w:val="center"/>
              <w:rPr>
                <w:rFonts w:ascii="Times New Roman"/>
                <w:kern w:val="0"/>
                <w:sz w:val="21"/>
                <w:szCs w:val="21"/>
              </w:rPr>
            </w:pPr>
            <w:r>
              <w:rPr>
                <w:rFonts w:ascii="Times New Roman"/>
                <w:kern w:val="0"/>
                <w:sz w:val="21"/>
                <w:szCs w:val="21"/>
              </w:rPr>
              <w:t>达标</w:t>
            </w:r>
          </w:p>
        </w:tc>
      </w:tr>
      <w:tr w14:paraId="25BE81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1B858554">
            <w:pPr>
              <w:spacing w:line="280" w:lineRule="exact"/>
              <w:jc w:val="center"/>
              <w:rPr>
                <w:rFonts w:ascii="Times New Roman"/>
                <w:sz w:val="21"/>
                <w:szCs w:val="21"/>
              </w:rPr>
            </w:pPr>
            <w:r>
              <w:rPr>
                <w:rFonts w:hint="eastAsia" w:ascii="Times New Roman"/>
                <w:sz w:val="21"/>
                <w:szCs w:val="21"/>
              </w:rPr>
              <w:t>䓛</w:t>
            </w:r>
          </w:p>
        </w:tc>
        <w:tc>
          <w:tcPr>
            <w:tcW w:w="416" w:type="pct"/>
            <w:tcBorders>
              <w:left w:val="single" w:color="auto" w:sz="4" w:space="0"/>
              <w:right w:val="single" w:color="auto" w:sz="4" w:space="0"/>
            </w:tcBorders>
            <w:vAlign w:val="center"/>
          </w:tcPr>
          <w:p w14:paraId="740243F0">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36D8F0E1">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22DCD693">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0ED8A0E1">
            <w:pPr>
              <w:widowControl/>
              <w:spacing w:line="280" w:lineRule="exact"/>
              <w:jc w:val="center"/>
              <w:rPr>
                <w:rFonts w:ascii="Times New Roman"/>
                <w:kern w:val="0"/>
                <w:sz w:val="21"/>
                <w:szCs w:val="21"/>
              </w:rPr>
            </w:pPr>
            <w:r>
              <w:rPr>
                <w:rFonts w:hint="eastAsia" w:ascii="Times New Roman"/>
                <w:sz w:val="21"/>
                <w:szCs w:val="21"/>
              </w:rPr>
              <w:t>--</w:t>
            </w:r>
          </w:p>
        </w:tc>
        <w:tc>
          <w:tcPr>
            <w:tcW w:w="518" w:type="pct"/>
            <w:tcBorders>
              <w:left w:val="single" w:color="auto" w:sz="4" w:space="0"/>
            </w:tcBorders>
            <w:vAlign w:val="center"/>
          </w:tcPr>
          <w:p w14:paraId="79084C57">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1B4297A9">
            <w:pPr>
              <w:widowControl/>
              <w:spacing w:line="280" w:lineRule="exact"/>
              <w:jc w:val="center"/>
              <w:rPr>
                <w:rFonts w:ascii="Times New Roman"/>
                <w:kern w:val="0"/>
                <w:sz w:val="21"/>
                <w:szCs w:val="21"/>
              </w:rPr>
            </w:pPr>
            <w:r>
              <w:rPr>
                <w:rFonts w:hint="eastAsia" w:ascii="Times New Roman"/>
                <w:sz w:val="21"/>
                <w:szCs w:val="21"/>
              </w:rPr>
              <w:t>--</w:t>
            </w:r>
          </w:p>
        </w:tc>
        <w:tc>
          <w:tcPr>
            <w:tcW w:w="422" w:type="pct"/>
            <w:vAlign w:val="center"/>
          </w:tcPr>
          <w:p w14:paraId="642C75FE">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2A4D8F1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128B5ADB">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145EC8B1">
            <w:pPr>
              <w:widowControl/>
              <w:spacing w:line="280" w:lineRule="exact"/>
              <w:jc w:val="center"/>
              <w:rPr>
                <w:rFonts w:ascii="Times New Roman"/>
                <w:kern w:val="0"/>
                <w:sz w:val="21"/>
                <w:szCs w:val="21"/>
              </w:rPr>
            </w:pPr>
            <w:r>
              <w:rPr>
                <w:rFonts w:hint="eastAsia" w:ascii="Times New Roman"/>
                <w:kern w:val="0"/>
                <w:sz w:val="21"/>
                <w:szCs w:val="21"/>
              </w:rPr>
              <w:t>1293</w:t>
            </w:r>
          </w:p>
        </w:tc>
        <w:tc>
          <w:tcPr>
            <w:tcW w:w="202" w:type="pct"/>
            <w:tcBorders>
              <w:left w:val="single" w:color="auto" w:sz="4" w:space="0"/>
            </w:tcBorders>
            <w:vAlign w:val="center"/>
          </w:tcPr>
          <w:p w14:paraId="5611E449">
            <w:pPr>
              <w:widowControl/>
              <w:spacing w:line="280" w:lineRule="exact"/>
              <w:jc w:val="center"/>
              <w:rPr>
                <w:rFonts w:ascii="Times New Roman"/>
                <w:kern w:val="0"/>
                <w:sz w:val="21"/>
                <w:szCs w:val="21"/>
              </w:rPr>
            </w:pPr>
            <w:r>
              <w:rPr>
                <w:rFonts w:ascii="Times New Roman"/>
                <w:kern w:val="0"/>
                <w:sz w:val="21"/>
                <w:szCs w:val="21"/>
              </w:rPr>
              <w:t>达标</w:t>
            </w:r>
          </w:p>
        </w:tc>
      </w:tr>
      <w:tr w14:paraId="19643C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517E92F8">
            <w:pPr>
              <w:spacing w:line="280" w:lineRule="exact"/>
              <w:jc w:val="center"/>
              <w:rPr>
                <w:rFonts w:ascii="Times New Roman"/>
                <w:sz w:val="21"/>
                <w:szCs w:val="21"/>
              </w:rPr>
            </w:pPr>
            <w:r>
              <w:rPr>
                <w:rFonts w:hint="eastAsia" w:ascii="Times New Roman"/>
                <w:sz w:val="21"/>
                <w:szCs w:val="21"/>
              </w:rPr>
              <w:t>苯并（b）荧蒽</w:t>
            </w:r>
          </w:p>
        </w:tc>
        <w:tc>
          <w:tcPr>
            <w:tcW w:w="416" w:type="pct"/>
            <w:tcBorders>
              <w:left w:val="single" w:color="auto" w:sz="4" w:space="0"/>
              <w:right w:val="single" w:color="auto" w:sz="4" w:space="0"/>
            </w:tcBorders>
            <w:vAlign w:val="center"/>
          </w:tcPr>
          <w:p w14:paraId="2107BAB8">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628A657B">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2AD9007D">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7C6C048F">
            <w:pPr>
              <w:widowControl/>
              <w:spacing w:line="280" w:lineRule="exact"/>
              <w:jc w:val="center"/>
              <w:rPr>
                <w:rFonts w:ascii="Times New Roman"/>
                <w:kern w:val="0"/>
                <w:sz w:val="21"/>
                <w:szCs w:val="21"/>
              </w:rPr>
            </w:pPr>
            <w:r>
              <w:rPr>
                <w:rFonts w:hint="eastAsia" w:ascii="Times New Roman"/>
                <w:sz w:val="21"/>
                <w:szCs w:val="21"/>
              </w:rPr>
              <w:t>--</w:t>
            </w:r>
          </w:p>
        </w:tc>
        <w:tc>
          <w:tcPr>
            <w:tcW w:w="518" w:type="pct"/>
            <w:tcBorders>
              <w:left w:val="single" w:color="auto" w:sz="4" w:space="0"/>
            </w:tcBorders>
            <w:vAlign w:val="center"/>
          </w:tcPr>
          <w:p w14:paraId="0D9C34D2">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5398E406">
            <w:pPr>
              <w:widowControl/>
              <w:spacing w:line="280" w:lineRule="exact"/>
              <w:jc w:val="center"/>
              <w:rPr>
                <w:rFonts w:ascii="Times New Roman"/>
                <w:kern w:val="0"/>
                <w:sz w:val="21"/>
                <w:szCs w:val="21"/>
              </w:rPr>
            </w:pPr>
            <w:r>
              <w:rPr>
                <w:rFonts w:hint="eastAsia" w:ascii="Times New Roman"/>
                <w:sz w:val="21"/>
                <w:szCs w:val="21"/>
              </w:rPr>
              <w:t>--</w:t>
            </w:r>
          </w:p>
        </w:tc>
        <w:tc>
          <w:tcPr>
            <w:tcW w:w="422" w:type="pct"/>
            <w:vAlign w:val="center"/>
          </w:tcPr>
          <w:p w14:paraId="4244A178">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DAC4F62">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1477F211">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3F706303">
            <w:pPr>
              <w:widowControl/>
              <w:spacing w:line="280" w:lineRule="exact"/>
              <w:jc w:val="center"/>
              <w:rPr>
                <w:rFonts w:ascii="Times New Roman"/>
                <w:kern w:val="0"/>
                <w:sz w:val="21"/>
                <w:szCs w:val="21"/>
              </w:rPr>
            </w:pPr>
            <w:r>
              <w:rPr>
                <w:rFonts w:hint="eastAsia" w:ascii="Times New Roman"/>
                <w:kern w:val="0"/>
                <w:sz w:val="21"/>
                <w:szCs w:val="21"/>
              </w:rPr>
              <w:t>15</w:t>
            </w:r>
          </w:p>
        </w:tc>
        <w:tc>
          <w:tcPr>
            <w:tcW w:w="202" w:type="pct"/>
            <w:tcBorders>
              <w:left w:val="single" w:color="auto" w:sz="4" w:space="0"/>
            </w:tcBorders>
            <w:vAlign w:val="center"/>
          </w:tcPr>
          <w:p w14:paraId="0F29724B">
            <w:pPr>
              <w:widowControl/>
              <w:spacing w:line="280" w:lineRule="exact"/>
              <w:jc w:val="center"/>
              <w:rPr>
                <w:rFonts w:ascii="Times New Roman"/>
                <w:kern w:val="0"/>
                <w:sz w:val="21"/>
                <w:szCs w:val="21"/>
              </w:rPr>
            </w:pPr>
            <w:r>
              <w:rPr>
                <w:rFonts w:ascii="Times New Roman"/>
                <w:kern w:val="0"/>
                <w:sz w:val="21"/>
                <w:szCs w:val="21"/>
              </w:rPr>
              <w:t>达标</w:t>
            </w:r>
          </w:p>
        </w:tc>
      </w:tr>
      <w:tr w14:paraId="15ACF6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1655EDB7">
            <w:pPr>
              <w:spacing w:line="280" w:lineRule="exact"/>
              <w:jc w:val="center"/>
              <w:rPr>
                <w:rFonts w:ascii="Times New Roman"/>
                <w:sz w:val="21"/>
                <w:szCs w:val="21"/>
              </w:rPr>
            </w:pPr>
            <w:r>
              <w:rPr>
                <w:rFonts w:hint="eastAsia" w:ascii="Times New Roman"/>
                <w:sz w:val="21"/>
                <w:szCs w:val="21"/>
              </w:rPr>
              <w:t>苯并（k）荧蒽</w:t>
            </w:r>
          </w:p>
        </w:tc>
        <w:tc>
          <w:tcPr>
            <w:tcW w:w="416" w:type="pct"/>
            <w:tcBorders>
              <w:left w:val="single" w:color="auto" w:sz="4" w:space="0"/>
              <w:right w:val="single" w:color="auto" w:sz="4" w:space="0"/>
            </w:tcBorders>
            <w:vAlign w:val="center"/>
          </w:tcPr>
          <w:p w14:paraId="02C448FA">
            <w:pPr>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B8BA0C7">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E2C5FD3">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7E253DF6">
            <w:pPr>
              <w:widowControl/>
              <w:spacing w:line="280" w:lineRule="exact"/>
              <w:jc w:val="center"/>
              <w:rPr>
                <w:rFonts w:ascii="Times New Roman"/>
                <w:kern w:val="0"/>
                <w:sz w:val="21"/>
                <w:szCs w:val="21"/>
              </w:rPr>
            </w:pPr>
            <w:r>
              <w:rPr>
                <w:rFonts w:hint="eastAsia" w:ascii="Times New Roman"/>
                <w:sz w:val="21"/>
                <w:szCs w:val="21"/>
              </w:rPr>
              <w:t>--</w:t>
            </w:r>
          </w:p>
        </w:tc>
        <w:tc>
          <w:tcPr>
            <w:tcW w:w="518" w:type="pct"/>
            <w:tcBorders>
              <w:left w:val="single" w:color="auto" w:sz="4" w:space="0"/>
            </w:tcBorders>
            <w:vAlign w:val="center"/>
          </w:tcPr>
          <w:p w14:paraId="60A8513E">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31C61D1D">
            <w:pPr>
              <w:widowControl/>
              <w:spacing w:line="280" w:lineRule="exact"/>
              <w:jc w:val="center"/>
              <w:rPr>
                <w:rFonts w:ascii="Times New Roman"/>
                <w:kern w:val="0"/>
                <w:sz w:val="21"/>
                <w:szCs w:val="21"/>
              </w:rPr>
            </w:pPr>
            <w:r>
              <w:rPr>
                <w:rFonts w:hint="eastAsia" w:ascii="Times New Roman"/>
                <w:sz w:val="21"/>
                <w:szCs w:val="21"/>
              </w:rPr>
              <w:t>--</w:t>
            </w:r>
          </w:p>
        </w:tc>
        <w:tc>
          <w:tcPr>
            <w:tcW w:w="422" w:type="pct"/>
            <w:vAlign w:val="center"/>
          </w:tcPr>
          <w:p w14:paraId="6F47C6ED">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0A0CC8A3">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6CF020AB">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3505BE98">
            <w:pPr>
              <w:widowControl/>
              <w:spacing w:line="280" w:lineRule="exact"/>
              <w:jc w:val="center"/>
              <w:rPr>
                <w:rFonts w:ascii="Times New Roman"/>
                <w:kern w:val="0"/>
                <w:sz w:val="21"/>
                <w:szCs w:val="21"/>
              </w:rPr>
            </w:pPr>
            <w:r>
              <w:rPr>
                <w:rFonts w:hint="eastAsia" w:ascii="Times New Roman"/>
                <w:kern w:val="0"/>
                <w:sz w:val="21"/>
                <w:szCs w:val="21"/>
              </w:rPr>
              <w:t>151</w:t>
            </w:r>
          </w:p>
        </w:tc>
        <w:tc>
          <w:tcPr>
            <w:tcW w:w="202" w:type="pct"/>
            <w:tcBorders>
              <w:left w:val="single" w:color="auto" w:sz="4" w:space="0"/>
            </w:tcBorders>
            <w:vAlign w:val="center"/>
          </w:tcPr>
          <w:p w14:paraId="5B9F2A3E">
            <w:pPr>
              <w:widowControl/>
              <w:spacing w:line="280" w:lineRule="exact"/>
              <w:jc w:val="center"/>
              <w:rPr>
                <w:rFonts w:ascii="Times New Roman"/>
                <w:kern w:val="0"/>
                <w:sz w:val="21"/>
                <w:szCs w:val="21"/>
              </w:rPr>
            </w:pPr>
            <w:r>
              <w:rPr>
                <w:rFonts w:ascii="Times New Roman"/>
                <w:kern w:val="0"/>
                <w:sz w:val="21"/>
                <w:szCs w:val="21"/>
              </w:rPr>
              <w:t>达标</w:t>
            </w:r>
          </w:p>
        </w:tc>
      </w:tr>
      <w:tr w14:paraId="188E38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E9C4C50">
            <w:pPr>
              <w:spacing w:line="280" w:lineRule="exact"/>
              <w:jc w:val="center"/>
              <w:rPr>
                <w:rFonts w:ascii="Times New Roman"/>
                <w:sz w:val="21"/>
                <w:szCs w:val="21"/>
              </w:rPr>
            </w:pPr>
            <w:r>
              <w:rPr>
                <w:rFonts w:hint="eastAsia" w:ascii="Times New Roman"/>
                <w:sz w:val="21"/>
                <w:szCs w:val="21"/>
              </w:rPr>
              <w:t>苯并（a）芘</w:t>
            </w:r>
          </w:p>
        </w:tc>
        <w:tc>
          <w:tcPr>
            <w:tcW w:w="416" w:type="pct"/>
            <w:tcBorders>
              <w:left w:val="single" w:color="auto" w:sz="4" w:space="0"/>
              <w:right w:val="single" w:color="auto" w:sz="4" w:space="0"/>
            </w:tcBorders>
            <w:vAlign w:val="center"/>
          </w:tcPr>
          <w:p w14:paraId="17F4CE6E">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3FF22FC3">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7C965077">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4DA75B2A">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2DB1A816">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6EEE5B95">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6B5256B6">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2452CA2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C9629E0">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DD13E1F">
            <w:pPr>
              <w:widowControl/>
              <w:spacing w:line="280" w:lineRule="exact"/>
              <w:jc w:val="center"/>
              <w:rPr>
                <w:rFonts w:ascii="Times New Roman"/>
                <w:kern w:val="0"/>
                <w:sz w:val="21"/>
                <w:szCs w:val="21"/>
              </w:rPr>
            </w:pPr>
            <w:r>
              <w:rPr>
                <w:rFonts w:hint="eastAsia" w:ascii="Times New Roman"/>
                <w:kern w:val="0"/>
                <w:sz w:val="21"/>
                <w:szCs w:val="21"/>
              </w:rPr>
              <w:t>1.5</w:t>
            </w:r>
          </w:p>
        </w:tc>
        <w:tc>
          <w:tcPr>
            <w:tcW w:w="202" w:type="pct"/>
            <w:tcBorders>
              <w:left w:val="single" w:color="auto" w:sz="4" w:space="0"/>
            </w:tcBorders>
            <w:vAlign w:val="center"/>
          </w:tcPr>
          <w:p w14:paraId="259F3D37">
            <w:pPr>
              <w:widowControl/>
              <w:spacing w:line="280" w:lineRule="exact"/>
              <w:jc w:val="center"/>
              <w:rPr>
                <w:rFonts w:ascii="Times New Roman"/>
                <w:kern w:val="0"/>
                <w:sz w:val="21"/>
                <w:szCs w:val="21"/>
              </w:rPr>
            </w:pPr>
            <w:r>
              <w:rPr>
                <w:rFonts w:ascii="Times New Roman"/>
                <w:kern w:val="0"/>
                <w:sz w:val="21"/>
                <w:szCs w:val="21"/>
              </w:rPr>
              <w:t>达标</w:t>
            </w:r>
          </w:p>
        </w:tc>
      </w:tr>
      <w:tr w14:paraId="311B7C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11B9FC42">
            <w:pPr>
              <w:spacing w:line="280" w:lineRule="exact"/>
              <w:jc w:val="center"/>
              <w:rPr>
                <w:rFonts w:ascii="Times New Roman"/>
                <w:sz w:val="21"/>
                <w:szCs w:val="21"/>
              </w:rPr>
            </w:pPr>
            <w:r>
              <w:rPr>
                <w:rFonts w:hint="eastAsia" w:ascii="Times New Roman"/>
                <w:sz w:val="21"/>
                <w:szCs w:val="21"/>
              </w:rPr>
              <w:t>茚并（1,2,3-cd）芘</w:t>
            </w:r>
          </w:p>
        </w:tc>
        <w:tc>
          <w:tcPr>
            <w:tcW w:w="416" w:type="pct"/>
            <w:tcBorders>
              <w:left w:val="single" w:color="auto" w:sz="4" w:space="0"/>
              <w:right w:val="single" w:color="auto" w:sz="4" w:space="0"/>
            </w:tcBorders>
            <w:vAlign w:val="center"/>
          </w:tcPr>
          <w:p w14:paraId="77FB8531">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047872E4">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92AB045">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32AC3348">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BFFDFC5">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5C7FFC11">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BC9A8FA">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27923A3F">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157E8409">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31DC774B">
            <w:pPr>
              <w:widowControl/>
              <w:spacing w:line="280" w:lineRule="exact"/>
              <w:jc w:val="center"/>
              <w:rPr>
                <w:rFonts w:ascii="Times New Roman"/>
                <w:kern w:val="0"/>
                <w:sz w:val="21"/>
                <w:szCs w:val="21"/>
              </w:rPr>
            </w:pPr>
            <w:r>
              <w:rPr>
                <w:rFonts w:hint="eastAsia" w:ascii="Times New Roman"/>
                <w:kern w:val="0"/>
                <w:sz w:val="21"/>
                <w:szCs w:val="21"/>
              </w:rPr>
              <w:t>15</w:t>
            </w:r>
          </w:p>
        </w:tc>
        <w:tc>
          <w:tcPr>
            <w:tcW w:w="202" w:type="pct"/>
            <w:tcBorders>
              <w:left w:val="single" w:color="auto" w:sz="4" w:space="0"/>
            </w:tcBorders>
            <w:vAlign w:val="center"/>
          </w:tcPr>
          <w:p w14:paraId="6E562425">
            <w:pPr>
              <w:widowControl/>
              <w:spacing w:line="280" w:lineRule="exact"/>
              <w:jc w:val="center"/>
              <w:rPr>
                <w:rFonts w:ascii="Times New Roman"/>
                <w:kern w:val="0"/>
                <w:sz w:val="21"/>
                <w:szCs w:val="21"/>
              </w:rPr>
            </w:pPr>
            <w:r>
              <w:rPr>
                <w:rFonts w:ascii="Times New Roman"/>
                <w:kern w:val="0"/>
                <w:sz w:val="21"/>
                <w:szCs w:val="21"/>
              </w:rPr>
              <w:t>达标</w:t>
            </w:r>
          </w:p>
        </w:tc>
      </w:tr>
      <w:tr w14:paraId="3B2F4E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DF5225F">
            <w:pPr>
              <w:spacing w:line="280" w:lineRule="exact"/>
              <w:jc w:val="center"/>
              <w:rPr>
                <w:rFonts w:ascii="Times New Roman"/>
                <w:sz w:val="21"/>
                <w:szCs w:val="21"/>
              </w:rPr>
            </w:pPr>
            <w:r>
              <w:rPr>
                <w:rFonts w:hint="eastAsia" w:ascii="Times New Roman"/>
                <w:sz w:val="21"/>
                <w:szCs w:val="21"/>
              </w:rPr>
              <w:t>二苯并（a,h）蒽</w:t>
            </w:r>
          </w:p>
        </w:tc>
        <w:tc>
          <w:tcPr>
            <w:tcW w:w="416" w:type="pct"/>
            <w:tcBorders>
              <w:left w:val="single" w:color="auto" w:sz="4" w:space="0"/>
              <w:right w:val="single" w:color="auto" w:sz="4" w:space="0"/>
            </w:tcBorders>
            <w:vAlign w:val="center"/>
          </w:tcPr>
          <w:p w14:paraId="6F8F7D3D">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2B1EC0B">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448F9581">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CB4C050">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094B06DB">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55C4B324">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B82A4A4">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7E97FEA2">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408D88A7">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60A573DF">
            <w:pPr>
              <w:widowControl/>
              <w:spacing w:line="280" w:lineRule="exact"/>
              <w:jc w:val="center"/>
              <w:rPr>
                <w:rFonts w:ascii="Times New Roman"/>
                <w:kern w:val="0"/>
                <w:sz w:val="21"/>
                <w:szCs w:val="21"/>
              </w:rPr>
            </w:pPr>
            <w:r>
              <w:rPr>
                <w:rFonts w:hint="eastAsia" w:ascii="Times New Roman"/>
                <w:kern w:val="0"/>
                <w:sz w:val="21"/>
                <w:szCs w:val="21"/>
              </w:rPr>
              <w:t>1.5</w:t>
            </w:r>
          </w:p>
        </w:tc>
        <w:tc>
          <w:tcPr>
            <w:tcW w:w="202" w:type="pct"/>
            <w:tcBorders>
              <w:left w:val="single" w:color="auto" w:sz="4" w:space="0"/>
            </w:tcBorders>
            <w:vAlign w:val="center"/>
          </w:tcPr>
          <w:p w14:paraId="242F9264">
            <w:pPr>
              <w:widowControl/>
              <w:spacing w:line="280" w:lineRule="exact"/>
              <w:jc w:val="center"/>
              <w:rPr>
                <w:rFonts w:ascii="Times New Roman"/>
                <w:kern w:val="0"/>
                <w:sz w:val="21"/>
                <w:szCs w:val="21"/>
              </w:rPr>
            </w:pPr>
            <w:r>
              <w:rPr>
                <w:rFonts w:ascii="Times New Roman"/>
                <w:kern w:val="0"/>
                <w:sz w:val="21"/>
                <w:szCs w:val="21"/>
              </w:rPr>
              <w:t>达标</w:t>
            </w:r>
          </w:p>
        </w:tc>
      </w:tr>
      <w:tr w14:paraId="3C1FE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FC0855C">
            <w:pPr>
              <w:spacing w:line="280" w:lineRule="exact"/>
              <w:jc w:val="center"/>
              <w:rPr>
                <w:rFonts w:ascii="Times New Roman"/>
                <w:sz w:val="21"/>
                <w:szCs w:val="21"/>
              </w:rPr>
            </w:pPr>
            <w:r>
              <w:rPr>
                <w:rFonts w:hint="eastAsia" w:ascii="Times New Roman"/>
                <w:sz w:val="21"/>
                <w:szCs w:val="21"/>
              </w:rPr>
              <w:t>氯乙烯</w:t>
            </w:r>
          </w:p>
        </w:tc>
        <w:tc>
          <w:tcPr>
            <w:tcW w:w="416" w:type="pct"/>
            <w:tcBorders>
              <w:left w:val="single" w:color="auto" w:sz="4" w:space="0"/>
              <w:right w:val="single" w:color="auto" w:sz="4" w:space="0"/>
            </w:tcBorders>
            <w:vAlign w:val="center"/>
          </w:tcPr>
          <w:p w14:paraId="2703B0B7">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663A5DEC">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9CD2AD0">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3A6F2C2F">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34A15C4A">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9D30935">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58DBF476">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52A18555">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7E4C1F64">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E007C83">
            <w:pPr>
              <w:widowControl/>
              <w:spacing w:line="280" w:lineRule="exact"/>
              <w:jc w:val="center"/>
              <w:rPr>
                <w:rFonts w:ascii="Times New Roman"/>
                <w:kern w:val="0"/>
                <w:sz w:val="21"/>
                <w:szCs w:val="21"/>
              </w:rPr>
            </w:pPr>
            <w:r>
              <w:rPr>
                <w:rFonts w:hint="eastAsia" w:ascii="Times New Roman"/>
                <w:kern w:val="0"/>
                <w:sz w:val="21"/>
                <w:szCs w:val="21"/>
              </w:rPr>
              <w:t>0.43</w:t>
            </w:r>
          </w:p>
        </w:tc>
        <w:tc>
          <w:tcPr>
            <w:tcW w:w="202" w:type="pct"/>
            <w:tcBorders>
              <w:left w:val="single" w:color="auto" w:sz="4" w:space="0"/>
            </w:tcBorders>
            <w:vAlign w:val="center"/>
          </w:tcPr>
          <w:p w14:paraId="6A678540">
            <w:pPr>
              <w:widowControl/>
              <w:spacing w:line="280" w:lineRule="exact"/>
              <w:jc w:val="center"/>
              <w:rPr>
                <w:rFonts w:ascii="Times New Roman"/>
                <w:kern w:val="0"/>
                <w:sz w:val="21"/>
                <w:szCs w:val="21"/>
              </w:rPr>
            </w:pPr>
            <w:r>
              <w:rPr>
                <w:rFonts w:ascii="Times New Roman"/>
                <w:kern w:val="0"/>
                <w:sz w:val="21"/>
                <w:szCs w:val="21"/>
              </w:rPr>
              <w:t>达标</w:t>
            </w:r>
          </w:p>
        </w:tc>
      </w:tr>
      <w:tr w14:paraId="6ADA86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5311410E">
            <w:pPr>
              <w:spacing w:line="280" w:lineRule="exact"/>
              <w:jc w:val="center"/>
              <w:rPr>
                <w:rFonts w:ascii="Times New Roman"/>
                <w:sz w:val="21"/>
                <w:szCs w:val="21"/>
              </w:rPr>
            </w:pPr>
            <w:r>
              <w:rPr>
                <w:rFonts w:hint="eastAsia" w:ascii="Times New Roman"/>
                <w:sz w:val="21"/>
                <w:szCs w:val="21"/>
              </w:rPr>
              <w:t>1,1-二氯乙烯</w:t>
            </w:r>
          </w:p>
        </w:tc>
        <w:tc>
          <w:tcPr>
            <w:tcW w:w="416" w:type="pct"/>
            <w:tcBorders>
              <w:left w:val="single" w:color="auto" w:sz="4" w:space="0"/>
              <w:right w:val="single" w:color="auto" w:sz="4" w:space="0"/>
            </w:tcBorders>
            <w:vAlign w:val="center"/>
          </w:tcPr>
          <w:p w14:paraId="4989A4BA">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153EEBB3">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157DCF16">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6071CE66">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4DBBC512">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F343DB5">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30C3115">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5A4A55C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BB0F505">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5EADA28">
            <w:pPr>
              <w:widowControl/>
              <w:spacing w:line="280" w:lineRule="exact"/>
              <w:jc w:val="center"/>
              <w:rPr>
                <w:rFonts w:ascii="Times New Roman"/>
                <w:kern w:val="0"/>
                <w:sz w:val="21"/>
                <w:szCs w:val="21"/>
              </w:rPr>
            </w:pPr>
            <w:r>
              <w:rPr>
                <w:rFonts w:hint="eastAsia" w:ascii="Times New Roman"/>
                <w:kern w:val="0"/>
                <w:sz w:val="21"/>
                <w:szCs w:val="21"/>
              </w:rPr>
              <w:t>66</w:t>
            </w:r>
          </w:p>
        </w:tc>
        <w:tc>
          <w:tcPr>
            <w:tcW w:w="202" w:type="pct"/>
            <w:tcBorders>
              <w:left w:val="single" w:color="auto" w:sz="4" w:space="0"/>
            </w:tcBorders>
            <w:vAlign w:val="center"/>
          </w:tcPr>
          <w:p w14:paraId="586D2E15">
            <w:pPr>
              <w:widowControl/>
              <w:spacing w:line="280" w:lineRule="exact"/>
              <w:jc w:val="center"/>
              <w:rPr>
                <w:rFonts w:ascii="Times New Roman"/>
                <w:kern w:val="0"/>
                <w:sz w:val="21"/>
                <w:szCs w:val="21"/>
              </w:rPr>
            </w:pPr>
            <w:r>
              <w:rPr>
                <w:rFonts w:ascii="Times New Roman"/>
                <w:kern w:val="0"/>
                <w:sz w:val="21"/>
                <w:szCs w:val="21"/>
              </w:rPr>
              <w:t>达标</w:t>
            </w:r>
          </w:p>
        </w:tc>
      </w:tr>
      <w:tr w14:paraId="4ABA73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7EB1AE8">
            <w:pPr>
              <w:spacing w:line="280" w:lineRule="exact"/>
              <w:jc w:val="center"/>
              <w:rPr>
                <w:rFonts w:ascii="Times New Roman"/>
                <w:sz w:val="21"/>
                <w:szCs w:val="21"/>
              </w:rPr>
            </w:pPr>
            <w:r>
              <w:rPr>
                <w:rFonts w:hint="eastAsia" w:ascii="Times New Roman"/>
                <w:sz w:val="21"/>
                <w:szCs w:val="21"/>
              </w:rPr>
              <w:t>二氯甲烷</w:t>
            </w:r>
          </w:p>
        </w:tc>
        <w:tc>
          <w:tcPr>
            <w:tcW w:w="416" w:type="pct"/>
            <w:tcBorders>
              <w:left w:val="single" w:color="auto" w:sz="4" w:space="0"/>
              <w:right w:val="single" w:color="auto" w:sz="4" w:space="0"/>
            </w:tcBorders>
            <w:vAlign w:val="center"/>
          </w:tcPr>
          <w:p w14:paraId="0C461B20">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76577C45">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75499ADF">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61171F54">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21A8381C">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3FD7159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718CE3C7">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45EA6B5">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691A0E0">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8BD77C1">
            <w:pPr>
              <w:widowControl/>
              <w:spacing w:line="280" w:lineRule="exact"/>
              <w:jc w:val="center"/>
              <w:rPr>
                <w:rFonts w:ascii="Times New Roman"/>
                <w:kern w:val="0"/>
                <w:sz w:val="21"/>
                <w:szCs w:val="21"/>
              </w:rPr>
            </w:pPr>
            <w:r>
              <w:rPr>
                <w:rFonts w:hint="eastAsia" w:ascii="Times New Roman"/>
                <w:kern w:val="0"/>
                <w:sz w:val="21"/>
                <w:szCs w:val="21"/>
              </w:rPr>
              <w:t>616</w:t>
            </w:r>
          </w:p>
        </w:tc>
        <w:tc>
          <w:tcPr>
            <w:tcW w:w="202" w:type="pct"/>
            <w:tcBorders>
              <w:left w:val="single" w:color="auto" w:sz="4" w:space="0"/>
            </w:tcBorders>
            <w:vAlign w:val="center"/>
          </w:tcPr>
          <w:p w14:paraId="2C77E3CD">
            <w:pPr>
              <w:widowControl/>
              <w:spacing w:line="280" w:lineRule="exact"/>
              <w:jc w:val="center"/>
              <w:rPr>
                <w:rFonts w:ascii="Times New Roman"/>
                <w:kern w:val="0"/>
                <w:sz w:val="21"/>
                <w:szCs w:val="21"/>
              </w:rPr>
            </w:pPr>
            <w:r>
              <w:rPr>
                <w:rFonts w:ascii="Times New Roman"/>
                <w:kern w:val="0"/>
                <w:sz w:val="21"/>
                <w:szCs w:val="21"/>
              </w:rPr>
              <w:t>达标</w:t>
            </w:r>
          </w:p>
        </w:tc>
      </w:tr>
      <w:tr w14:paraId="291332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35634EEA">
            <w:pPr>
              <w:spacing w:line="280" w:lineRule="exact"/>
              <w:jc w:val="center"/>
              <w:rPr>
                <w:rFonts w:ascii="Times New Roman"/>
                <w:sz w:val="21"/>
                <w:szCs w:val="21"/>
              </w:rPr>
            </w:pPr>
            <w:r>
              <w:rPr>
                <w:rFonts w:hint="eastAsia" w:ascii="Times New Roman"/>
                <w:sz w:val="21"/>
                <w:szCs w:val="21"/>
              </w:rPr>
              <w:t>反-1,2-二氯乙烯</w:t>
            </w:r>
          </w:p>
        </w:tc>
        <w:tc>
          <w:tcPr>
            <w:tcW w:w="416" w:type="pct"/>
            <w:tcBorders>
              <w:left w:val="single" w:color="auto" w:sz="4" w:space="0"/>
              <w:right w:val="single" w:color="auto" w:sz="4" w:space="0"/>
            </w:tcBorders>
            <w:vAlign w:val="center"/>
          </w:tcPr>
          <w:p w14:paraId="0A19930E">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CF4546E">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3D1A04B">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421EB369">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7A9DDF05">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0A048BA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40B4A61">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15898A39">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7C9FFA5C">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DD578F4">
            <w:pPr>
              <w:widowControl/>
              <w:spacing w:line="280" w:lineRule="exact"/>
              <w:jc w:val="center"/>
              <w:rPr>
                <w:rFonts w:ascii="Times New Roman"/>
                <w:kern w:val="0"/>
                <w:sz w:val="21"/>
                <w:szCs w:val="21"/>
              </w:rPr>
            </w:pPr>
            <w:r>
              <w:rPr>
                <w:rFonts w:hint="eastAsia" w:ascii="Times New Roman"/>
                <w:kern w:val="0"/>
                <w:sz w:val="21"/>
                <w:szCs w:val="21"/>
              </w:rPr>
              <w:t>54</w:t>
            </w:r>
          </w:p>
        </w:tc>
        <w:tc>
          <w:tcPr>
            <w:tcW w:w="202" w:type="pct"/>
            <w:tcBorders>
              <w:left w:val="single" w:color="auto" w:sz="4" w:space="0"/>
            </w:tcBorders>
            <w:vAlign w:val="center"/>
          </w:tcPr>
          <w:p w14:paraId="0BFA1FC3">
            <w:pPr>
              <w:widowControl/>
              <w:spacing w:line="280" w:lineRule="exact"/>
              <w:jc w:val="center"/>
              <w:rPr>
                <w:rFonts w:ascii="Times New Roman"/>
                <w:kern w:val="0"/>
                <w:sz w:val="21"/>
                <w:szCs w:val="21"/>
              </w:rPr>
            </w:pPr>
            <w:r>
              <w:rPr>
                <w:rFonts w:ascii="Times New Roman"/>
                <w:kern w:val="0"/>
                <w:sz w:val="21"/>
                <w:szCs w:val="21"/>
              </w:rPr>
              <w:t>达标</w:t>
            </w:r>
          </w:p>
        </w:tc>
      </w:tr>
      <w:tr w14:paraId="0F4FB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8F52BFE">
            <w:pPr>
              <w:spacing w:line="280" w:lineRule="exact"/>
              <w:jc w:val="center"/>
              <w:rPr>
                <w:rFonts w:ascii="Times New Roman"/>
                <w:sz w:val="21"/>
                <w:szCs w:val="21"/>
              </w:rPr>
            </w:pPr>
            <w:r>
              <w:rPr>
                <w:rFonts w:hint="eastAsia" w:ascii="Times New Roman"/>
                <w:sz w:val="21"/>
                <w:szCs w:val="21"/>
              </w:rPr>
              <w:t>1,1-二氯乙烷</w:t>
            </w:r>
          </w:p>
        </w:tc>
        <w:tc>
          <w:tcPr>
            <w:tcW w:w="416" w:type="pct"/>
            <w:tcBorders>
              <w:left w:val="single" w:color="auto" w:sz="4" w:space="0"/>
              <w:right w:val="single" w:color="auto" w:sz="4" w:space="0"/>
            </w:tcBorders>
            <w:vAlign w:val="center"/>
          </w:tcPr>
          <w:p w14:paraId="72175041">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8789FE6">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06E33894">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52F5E8FA">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0D3210E0">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1A0B45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240EC79E">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76D8318">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18BE6BDC">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400F2E43">
            <w:pPr>
              <w:widowControl/>
              <w:spacing w:line="280" w:lineRule="exact"/>
              <w:jc w:val="center"/>
              <w:rPr>
                <w:rFonts w:ascii="Times New Roman"/>
                <w:kern w:val="0"/>
                <w:sz w:val="21"/>
                <w:szCs w:val="21"/>
              </w:rPr>
            </w:pPr>
            <w:r>
              <w:rPr>
                <w:rFonts w:hint="eastAsia" w:ascii="Times New Roman"/>
                <w:kern w:val="0"/>
                <w:sz w:val="21"/>
                <w:szCs w:val="21"/>
              </w:rPr>
              <w:t>9</w:t>
            </w:r>
          </w:p>
        </w:tc>
        <w:tc>
          <w:tcPr>
            <w:tcW w:w="202" w:type="pct"/>
            <w:tcBorders>
              <w:left w:val="single" w:color="auto" w:sz="4" w:space="0"/>
            </w:tcBorders>
            <w:vAlign w:val="center"/>
          </w:tcPr>
          <w:p w14:paraId="108BB758">
            <w:pPr>
              <w:widowControl/>
              <w:spacing w:line="280" w:lineRule="exact"/>
              <w:jc w:val="center"/>
              <w:rPr>
                <w:rFonts w:ascii="Times New Roman"/>
                <w:kern w:val="0"/>
                <w:sz w:val="21"/>
                <w:szCs w:val="21"/>
              </w:rPr>
            </w:pPr>
            <w:r>
              <w:rPr>
                <w:rFonts w:ascii="Times New Roman"/>
                <w:kern w:val="0"/>
                <w:sz w:val="21"/>
                <w:szCs w:val="21"/>
              </w:rPr>
              <w:t>达标</w:t>
            </w:r>
          </w:p>
        </w:tc>
      </w:tr>
      <w:tr w14:paraId="0DB711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6A84847E">
            <w:pPr>
              <w:spacing w:line="280" w:lineRule="exact"/>
              <w:jc w:val="center"/>
              <w:rPr>
                <w:rFonts w:ascii="Times New Roman"/>
                <w:sz w:val="21"/>
                <w:szCs w:val="21"/>
              </w:rPr>
            </w:pPr>
            <w:r>
              <w:rPr>
                <w:rFonts w:hint="eastAsia" w:ascii="Times New Roman"/>
                <w:sz w:val="21"/>
                <w:szCs w:val="21"/>
              </w:rPr>
              <w:t>顺-1,2-二氯乙烯</w:t>
            </w:r>
          </w:p>
        </w:tc>
        <w:tc>
          <w:tcPr>
            <w:tcW w:w="416" w:type="pct"/>
            <w:tcBorders>
              <w:left w:val="single" w:color="auto" w:sz="4" w:space="0"/>
              <w:right w:val="single" w:color="auto" w:sz="4" w:space="0"/>
            </w:tcBorders>
            <w:vAlign w:val="center"/>
          </w:tcPr>
          <w:p w14:paraId="1EF885B5">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A2CCF94">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B34AE4E">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0409C922">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E78FD59">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67B6B0A">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67E09FC3">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B08838F">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0C15A5D">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2D500191">
            <w:pPr>
              <w:widowControl/>
              <w:spacing w:line="280" w:lineRule="exact"/>
              <w:jc w:val="center"/>
              <w:rPr>
                <w:rFonts w:ascii="Times New Roman"/>
                <w:kern w:val="0"/>
                <w:sz w:val="21"/>
                <w:szCs w:val="21"/>
              </w:rPr>
            </w:pPr>
            <w:r>
              <w:rPr>
                <w:rFonts w:hint="eastAsia" w:ascii="Times New Roman"/>
                <w:kern w:val="0"/>
                <w:sz w:val="21"/>
                <w:szCs w:val="21"/>
              </w:rPr>
              <w:t>596</w:t>
            </w:r>
          </w:p>
        </w:tc>
        <w:tc>
          <w:tcPr>
            <w:tcW w:w="202" w:type="pct"/>
            <w:tcBorders>
              <w:left w:val="single" w:color="auto" w:sz="4" w:space="0"/>
            </w:tcBorders>
            <w:vAlign w:val="center"/>
          </w:tcPr>
          <w:p w14:paraId="7A4D9505">
            <w:pPr>
              <w:widowControl/>
              <w:spacing w:line="280" w:lineRule="exact"/>
              <w:jc w:val="center"/>
              <w:rPr>
                <w:rFonts w:ascii="Times New Roman"/>
                <w:kern w:val="0"/>
                <w:sz w:val="21"/>
                <w:szCs w:val="21"/>
              </w:rPr>
            </w:pPr>
            <w:r>
              <w:rPr>
                <w:rFonts w:ascii="Times New Roman"/>
                <w:kern w:val="0"/>
                <w:sz w:val="21"/>
                <w:szCs w:val="21"/>
              </w:rPr>
              <w:t>达标</w:t>
            </w:r>
          </w:p>
        </w:tc>
      </w:tr>
      <w:tr w14:paraId="66F0B7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6888E4CE">
            <w:pPr>
              <w:spacing w:line="280" w:lineRule="exact"/>
              <w:jc w:val="center"/>
              <w:rPr>
                <w:rFonts w:ascii="Times New Roman"/>
                <w:sz w:val="21"/>
                <w:szCs w:val="21"/>
              </w:rPr>
            </w:pPr>
            <w:r>
              <w:rPr>
                <w:rFonts w:hint="eastAsia" w:ascii="Times New Roman"/>
                <w:sz w:val="21"/>
                <w:szCs w:val="21"/>
              </w:rPr>
              <w:t>氯甲烷</w:t>
            </w:r>
          </w:p>
        </w:tc>
        <w:tc>
          <w:tcPr>
            <w:tcW w:w="416" w:type="pct"/>
            <w:tcBorders>
              <w:left w:val="single" w:color="auto" w:sz="4" w:space="0"/>
              <w:right w:val="single" w:color="auto" w:sz="4" w:space="0"/>
            </w:tcBorders>
            <w:vAlign w:val="center"/>
          </w:tcPr>
          <w:p w14:paraId="0C08FA2A">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6108A979">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18738DAD">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C0E8EA3">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6756543F">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85EE10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498EE7D9">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25372D4">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92C261C">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263460A3">
            <w:pPr>
              <w:widowControl/>
              <w:spacing w:line="280" w:lineRule="exact"/>
              <w:jc w:val="center"/>
              <w:rPr>
                <w:rFonts w:ascii="Times New Roman"/>
                <w:kern w:val="0"/>
                <w:sz w:val="21"/>
                <w:szCs w:val="21"/>
              </w:rPr>
            </w:pPr>
            <w:r>
              <w:rPr>
                <w:rFonts w:hint="eastAsia" w:ascii="Times New Roman"/>
                <w:kern w:val="0"/>
                <w:sz w:val="21"/>
                <w:szCs w:val="21"/>
              </w:rPr>
              <w:t>37</w:t>
            </w:r>
          </w:p>
        </w:tc>
        <w:tc>
          <w:tcPr>
            <w:tcW w:w="202" w:type="pct"/>
            <w:tcBorders>
              <w:left w:val="single" w:color="auto" w:sz="4" w:space="0"/>
            </w:tcBorders>
            <w:vAlign w:val="center"/>
          </w:tcPr>
          <w:p w14:paraId="49C80CE6">
            <w:pPr>
              <w:widowControl/>
              <w:spacing w:line="280" w:lineRule="exact"/>
              <w:jc w:val="center"/>
              <w:rPr>
                <w:rFonts w:ascii="Times New Roman"/>
                <w:kern w:val="0"/>
                <w:sz w:val="21"/>
                <w:szCs w:val="21"/>
              </w:rPr>
            </w:pPr>
            <w:r>
              <w:rPr>
                <w:rFonts w:ascii="Times New Roman"/>
                <w:kern w:val="0"/>
                <w:sz w:val="21"/>
                <w:szCs w:val="21"/>
              </w:rPr>
              <w:t>达标</w:t>
            </w:r>
          </w:p>
        </w:tc>
      </w:tr>
      <w:tr w14:paraId="1A79EE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CD8E99E">
            <w:pPr>
              <w:spacing w:line="280" w:lineRule="exact"/>
              <w:jc w:val="center"/>
              <w:rPr>
                <w:rFonts w:ascii="Times New Roman"/>
                <w:sz w:val="21"/>
                <w:szCs w:val="21"/>
              </w:rPr>
            </w:pPr>
            <w:r>
              <w:rPr>
                <w:rFonts w:hint="eastAsia" w:ascii="Times New Roman"/>
                <w:sz w:val="21"/>
                <w:szCs w:val="21"/>
              </w:rPr>
              <w:t>1,1,1-三氯乙烷</w:t>
            </w:r>
          </w:p>
        </w:tc>
        <w:tc>
          <w:tcPr>
            <w:tcW w:w="416" w:type="pct"/>
            <w:tcBorders>
              <w:left w:val="single" w:color="auto" w:sz="4" w:space="0"/>
              <w:right w:val="single" w:color="auto" w:sz="4" w:space="0"/>
            </w:tcBorders>
            <w:vAlign w:val="center"/>
          </w:tcPr>
          <w:p w14:paraId="232F8A72">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49A53E25">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B88C7ED">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44A353C5">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35E38D18">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0945BD47">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6C392256">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EC8FE2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55942050">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5AA699B">
            <w:pPr>
              <w:widowControl/>
              <w:spacing w:line="280" w:lineRule="exact"/>
              <w:jc w:val="center"/>
              <w:rPr>
                <w:rFonts w:ascii="Times New Roman"/>
                <w:kern w:val="0"/>
                <w:sz w:val="21"/>
                <w:szCs w:val="21"/>
              </w:rPr>
            </w:pPr>
            <w:r>
              <w:rPr>
                <w:rFonts w:hint="eastAsia" w:ascii="Times New Roman"/>
                <w:kern w:val="0"/>
                <w:sz w:val="21"/>
                <w:szCs w:val="21"/>
              </w:rPr>
              <w:t>840</w:t>
            </w:r>
          </w:p>
        </w:tc>
        <w:tc>
          <w:tcPr>
            <w:tcW w:w="202" w:type="pct"/>
            <w:tcBorders>
              <w:left w:val="single" w:color="auto" w:sz="4" w:space="0"/>
            </w:tcBorders>
            <w:vAlign w:val="center"/>
          </w:tcPr>
          <w:p w14:paraId="44CA8BAD">
            <w:pPr>
              <w:widowControl/>
              <w:spacing w:line="280" w:lineRule="exact"/>
              <w:jc w:val="center"/>
              <w:rPr>
                <w:rFonts w:ascii="Times New Roman"/>
                <w:kern w:val="0"/>
                <w:sz w:val="21"/>
                <w:szCs w:val="21"/>
              </w:rPr>
            </w:pPr>
            <w:r>
              <w:rPr>
                <w:rFonts w:ascii="Times New Roman"/>
                <w:kern w:val="0"/>
                <w:sz w:val="21"/>
                <w:szCs w:val="21"/>
              </w:rPr>
              <w:t>达标</w:t>
            </w:r>
          </w:p>
        </w:tc>
      </w:tr>
      <w:tr w14:paraId="44AA7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DE4EDFB">
            <w:pPr>
              <w:spacing w:line="280" w:lineRule="exact"/>
              <w:jc w:val="center"/>
              <w:rPr>
                <w:rFonts w:ascii="Times New Roman"/>
                <w:sz w:val="21"/>
                <w:szCs w:val="21"/>
              </w:rPr>
            </w:pPr>
            <w:r>
              <w:rPr>
                <w:rFonts w:hint="eastAsia" w:ascii="Times New Roman"/>
                <w:sz w:val="21"/>
                <w:szCs w:val="21"/>
              </w:rPr>
              <w:t>四氯化碳</w:t>
            </w:r>
          </w:p>
        </w:tc>
        <w:tc>
          <w:tcPr>
            <w:tcW w:w="416" w:type="pct"/>
            <w:tcBorders>
              <w:left w:val="single" w:color="auto" w:sz="4" w:space="0"/>
              <w:right w:val="single" w:color="auto" w:sz="4" w:space="0"/>
            </w:tcBorders>
            <w:vAlign w:val="center"/>
          </w:tcPr>
          <w:p w14:paraId="0884BC58">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7AA8E8C">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19DB7F30">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80CFFAF">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3A786CE1">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1728F360">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650C71B0">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7DE07D7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A80078C">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5E5A4721">
            <w:pPr>
              <w:widowControl/>
              <w:spacing w:line="280" w:lineRule="exact"/>
              <w:jc w:val="center"/>
              <w:rPr>
                <w:rFonts w:ascii="Times New Roman"/>
                <w:kern w:val="0"/>
                <w:sz w:val="21"/>
                <w:szCs w:val="21"/>
              </w:rPr>
            </w:pPr>
            <w:r>
              <w:rPr>
                <w:rFonts w:hint="eastAsia" w:ascii="Times New Roman"/>
                <w:kern w:val="0"/>
                <w:sz w:val="21"/>
                <w:szCs w:val="21"/>
              </w:rPr>
              <w:t>2.8</w:t>
            </w:r>
          </w:p>
        </w:tc>
        <w:tc>
          <w:tcPr>
            <w:tcW w:w="202" w:type="pct"/>
            <w:tcBorders>
              <w:left w:val="single" w:color="auto" w:sz="4" w:space="0"/>
            </w:tcBorders>
            <w:vAlign w:val="center"/>
          </w:tcPr>
          <w:p w14:paraId="4DE08BB9">
            <w:pPr>
              <w:widowControl/>
              <w:spacing w:line="280" w:lineRule="exact"/>
              <w:jc w:val="center"/>
              <w:rPr>
                <w:rFonts w:ascii="Times New Roman"/>
                <w:kern w:val="0"/>
                <w:sz w:val="21"/>
                <w:szCs w:val="21"/>
              </w:rPr>
            </w:pPr>
            <w:r>
              <w:rPr>
                <w:rFonts w:ascii="Times New Roman"/>
                <w:kern w:val="0"/>
                <w:sz w:val="21"/>
                <w:szCs w:val="21"/>
              </w:rPr>
              <w:t>达标</w:t>
            </w:r>
          </w:p>
        </w:tc>
      </w:tr>
      <w:tr w14:paraId="433750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FC43A5F">
            <w:pPr>
              <w:spacing w:line="280" w:lineRule="exact"/>
              <w:jc w:val="center"/>
              <w:rPr>
                <w:rFonts w:ascii="Times New Roman"/>
                <w:sz w:val="21"/>
                <w:szCs w:val="21"/>
              </w:rPr>
            </w:pPr>
            <w:r>
              <w:rPr>
                <w:rFonts w:hint="eastAsia" w:ascii="Times New Roman"/>
                <w:sz w:val="21"/>
                <w:szCs w:val="21"/>
              </w:rPr>
              <w:t>1,2-二氯乙烷</w:t>
            </w:r>
          </w:p>
        </w:tc>
        <w:tc>
          <w:tcPr>
            <w:tcW w:w="416" w:type="pct"/>
            <w:tcBorders>
              <w:left w:val="single" w:color="auto" w:sz="4" w:space="0"/>
              <w:right w:val="single" w:color="auto" w:sz="4" w:space="0"/>
            </w:tcBorders>
            <w:vAlign w:val="center"/>
          </w:tcPr>
          <w:p w14:paraId="193E2BDA">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64CC20A6">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0201D777">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63F0405C">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24D4769C">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2A708DDA">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538DFF0">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490FBC9">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3E381565">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2CF56B53">
            <w:pPr>
              <w:widowControl/>
              <w:spacing w:line="280" w:lineRule="exact"/>
              <w:jc w:val="center"/>
              <w:rPr>
                <w:rFonts w:ascii="Times New Roman"/>
                <w:kern w:val="0"/>
                <w:sz w:val="21"/>
                <w:szCs w:val="21"/>
              </w:rPr>
            </w:pPr>
            <w:r>
              <w:rPr>
                <w:rFonts w:hint="eastAsia" w:ascii="Times New Roman"/>
                <w:kern w:val="0"/>
                <w:sz w:val="21"/>
                <w:szCs w:val="21"/>
              </w:rPr>
              <w:t>5</w:t>
            </w:r>
          </w:p>
        </w:tc>
        <w:tc>
          <w:tcPr>
            <w:tcW w:w="202" w:type="pct"/>
            <w:tcBorders>
              <w:left w:val="single" w:color="auto" w:sz="4" w:space="0"/>
            </w:tcBorders>
            <w:vAlign w:val="center"/>
          </w:tcPr>
          <w:p w14:paraId="20C60CC8">
            <w:pPr>
              <w:widowControl/>
              <w:spacing w:line="280" w:lineRule="exact"/>
              <w:jc w:val="center"/>
              <w:rPr>
                <w:rFonts w:ascii="Times New Roman"/>
                <w:kern w:val="0"/>
                <w:sz w:val="21"/>
                <w:szCs w:val="21"/>
              </w:rPr>
            </w:pPr>
            <w:r>
              <w:rPr>
                <w:rFonts w:ascii="Times New Roman"/>
                <w:kern w:val="0"/>
                <w:sz w:val="21"/>
                <w:szCs w:val="21"/>
              </w:rPr>
              <w:t>达标</w:t>
            </w:r>
          </w:p>
        </w:tc>
      </w:tr>
      <w:tr w14:paraId="2C7927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7EE0CD8">
            <w:pPr>
              <w:spacing w:line="280" w:lineRule="exact"/>
              <w:jc w:val="center"/>
              <w:rPr>
                <w:rFonts w:ascii="Times New Roman"/>
                <w:sz w:val="21"/>
                <w:szCs w:val="21"/>
              </w:rPr>
            </w:pPr>
            <w:r>
              <w:rPr>
                <w:rFonts w:hint="eastAsia" w:ascii="Times New Roman"/>
                <w:sz w:val="21"/>
                <w:szCs w:val="21"/>
              </w:rPr>
              <w:t>苯</w:t>
            </w:r>
          </w:p>
        </w:tc>
        <w:tc>
          <w:tcPr>
            <w:tcW w:w="416" w:type="pct"/>
            <w:tcBorders>
              <w:left w:val="single" w:color="auto" w:sz="4" w:space="0"/>
              <w:right w:val="single" w:color="auto" w:sz="4" w:space="0"/>
            </w:tcBorders>
            <w:vAlign w:val="center"/>
          </w:tcPr>
          <w:p w14:paraId="455B00DB">
            <w:pPr>
              <w:widowControl/>
              <w:spacing w:line="280" w:lineRule="exact"/>
              <w:jc w:val="center"/>
              <w:rPr>
                <w:rFonts w:ascii="Times New Roman"/>
                <w:sz w:val="21"/>
                <w:szCs w:val="21"/>
              </w:rPr>
            </w:pPr>
            <w:r>
              <w:rPr>
                <w:rFonts w:hint="eastAsia" w:ascii="Times New Roman"/>
                <w:sz w:val="21"/>
                <w:szCs w:val="21"/>
              </w:rPr>
              <w:t>ND</w:t>
            </w:r>
          </w:p>
        </w:tc>
        <w:tc>
          <w:tcPr>
            <w:tcW w:w="532" w:type="pct"/>
            <w:tcBorders>
              <w:left w:val="single" w:color="auto" w:sz="4" w:space="0"/>
              <w:right w:val="single" w:color="auto" w:sz="4" w:space="0"/>
            </w:tcBorders>
            <w:vAlign w:val="center"/>
          </w:tcPr>
          <w:p w14:paraId="365A6BE3">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150086C">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1DC70036">
            <w:pPr>
              <w:spacing w:line="280" w:lineRule="exact"/>
              <w:jc w:val="center"/>
              <w:rPr>
                <w:rFonts w:ascii="Times New Roman"/>
                <w:sz w:val="21"/>
                <w:szCs w:val="21"/>
              </w:rPr>
            </w:pPr>
            <w:r>
              <w:rPr>
                <w:rFonts w:hint="eastAsia" w:ascii="Times New Roman"/>
                <w:sz w:val="21"/>
                <w:szCs w:val="21"/>
              </w:rPr>
              <w:t>ND</w:t>
            </w:r>
          </w:p>
        </w:tc>
        <w:tc>
          <w:tcPr>
            <w:tcW w:w="518" w:type="pct"/>
            <w:tcBorders>
              <w:left w:val="single" w:color="auto" w:sz="4" w:space="0"/>
            </w:tcBorders>
            <w:vAlign w:val="center"/>
          </w:tcPr>
          <w:p w14:paraId="13C64408">
            <w:pPr>
              <w:widowControl/>
              <w:spacing w:line="280" w:lineRule="exact"/>
              <w:jc w:val="center"/>
              <w:rPr>
                <w:rFonts w:ascii="Times New Roman"/>
                <w:kern w:val="0"/>
                <w:sz w:val="21"/>
                <w:szCs w:val="21"/>
              </w:rPr>
            </w:pPr>
            <w:r>
              <w:rPr>
                <w:rFonts w:hint="eastAsia" w:ascii="Times New Roman"/>
                <w:kern w:val="0"/>
                <w:sz w:val="21"/>
                <w:szCs w:val="21"/>
              </w:rPr>
              <w:t>ND</w:t>
            </w:r>
          </w:p>
        </w:tc>
        <w:tc>
          <w:tcPr>
            <w:tcW w:w="390" w:type="pct"/>
            <w:vAlign w:val="center"/>
          </w:tcPr>
          <w:p w14:paraId="45F752A7">
            <w:pPr>
              <w:spacing w:line="280" w:lineRule="exact"/>
              <w:jc w:val="center"/>
              <w:rPr>
                <w:rFonts w:ascii="Times New Roman"/>
                <w:sz w:val="21"/>
                <w:szCs w:val="21"/>
              </w:rPr>
            </w:pPr>
            <w:r>
              <w:rPr>
                <w:rFonts w:hint="eastAsia" w:ascii="Times New Roman"/>
                <w:sz w:val="21"/>
                <w:szCs w:val="21"/>
              </w:rPr>
              <w:t>ND</w:t>
            </w:r>
          </w:p>
        </w:tc>
        <w:tc>
          <w:tcPr>
            <w:tcW w:w="422" w:type="pct"/>
            <w:vAlign w:val="center"/>
          </w:tcPr>
          <w:p w14:paraId="0B9F98E0">
            <w:pPr>
              <w:widowControl/>
              <w:spacing w:line="280" w:lineRule="exact"/>
              <w:jc w:val="center"/>
              <w:rPr>
                <w:rFonts w:ascii="Times New Roman"/>
                <w:kern w:val="0"/>
                <w:sz w:val="21"/>
                <w:szCs w:val="21"/>
              </w:rPr>
            </w:pPr>
            <w:r>
              <w:rPr>
                <w:rFonts w:hint="eastAsia" w:ascii="Times New Roman"/>
                <w:kern w:val="0"/>
                <w:sz w:val="21"/>
                <w:szCs w:val="21"/>
              </w:rPr>
              <w:t>ND</w:t>
            </w:r>
          </w:p>
        </w:tc>
        <w:tc>
          <w:tcPr>
            <w:tcW w:w="413" w:type="pct"/>
            <w:tcBorders>
              <w:left w:val="single" w:color="auto" w:sz="4" w:space="0"/>
              <w:right w:val="single" w:color="auto" w:sz="4" w:space="0"/>
            </w:tcBorders>
            <w:vAlign w:val="center"/>
          </w:tcPr>
          <w:p w14:paraId="12A998D5">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1F8B7BB6">
            <w:pPr>
              <w:spacing w:line="280" w:lineRule="exact"/>
              <w:jc w:val="center"/>
              <w:rPr>
                <w:rFonts w:ascii="Times New Roman"/>
                <w:kern w:val="0"/>
                <w:sz w:val="21"/>
                <w:szCs w:val="21"/>
              </w:rPr>
            </w:pPr>
            <w:r>
              <w:rPr>
                <w:rFonts w:hint="eastAsia" w:ascii="Times New Roman"/>
                <w:kern w:val="0"/>
                <w:sz w:val="21"/>
                <w:szCs w:val="21"/>
              </w:rPr>
              <w:t>ND</w:t>
            </w:r>
          </w:p>
        </w:tc>
        <w:tc>
          <w:tcPr>
            <w:tcW w:w="271" w:type="pct"/>
            <w:tcBorders>
              <w:left w:val="single" w:color="auto" w:sz="4" w:space="0"/>
            </w:tcBorders>
            <w:vAlign w:val="center"/>
          </w:tcPr>
          <w:p w14:paraId="4C7E7C1D">
            <w:pPr>
              <w:widowControl/>
              <w:spacing w:line="280" w:lineRule="exact"/>
              <w:jc w:val="center"/>
              <w:rPr>
                <w:rFonts w:ascii="Times New Roman"/>
                <w:kern w:val="0"/>
                <w:sz w:val="21"/>
                <w:szCs w:val="21"/>
              </w:rPr>
            </w:pPr>
            <w:r>
              <w:rPr>
                <w:rFonts w:hint="eastAsia" w:ascii="Times New Roman"/>
                <w:kern w:val="0"/>
                <w:sz w:val="21"/>
                <w:szCs w:val="21"/>
              </w:rPr>
              <w:t>4</w:t>
            </w:r>
          </w:p>
        </w:tc>
        <w:tc>
          <w:tcPr>
            <w:tcW w:w="202" w:type="pct"/>
            <w:tcBorders>
              <w:left w:val="single" w:color="auto" w:sz="4" w:space="0"/>
            </w:tcBorders>
            <w:vAlign w:val="center"/>
          </w:tcPr>
          <w:p w14:paraId="7FA86BD3">
            <w:pPr>
              <w:widowControl/>
              <w:spacing w:line="280" w:lineRule="exact"/>
              <w:jc w:val="center"/>
              <w:rPr>
                <w:rFonts w:ascii="Times New Roman"/>
                <w:kern w:val="0"/>
                <w:sz w:val="21"/>
                <w:szCs w:val="21"/>
              </w:rPr>
            </w:pPr>
            <w:r>
              <w:rPr>
                <w:rFonts w:ascii="Times New Roman"/>
                <w:kern w:val="0"/>
                <w:sz w:val="21"/>
                <w:szCs w:val="21"/>
              </w:rPr>
              <w:t>达标</w:t>
            </w:r>
          </w:p>
        </w:tc>
      </w:tr>
      <w:tr w14:paraId="156A47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ACD08C0">
            <w:pPr>
              <w:spacing w:line="280" w:lineRule="exact"/>
              <w:jc w:val="center"/>
              <w:rPr>
                <w:rFonts w:ascii="Times New Roman"/>
                <w:sz w:val="21"/>
                <w:szCs w:val="21"/>
              </w:rPr>
            </w:pPr>
            <w:r>
              <w:rPr>
                <w:rFonts w:hint="eastAsia" w:ascii="Times New Roman"/>
                <w:sz w:val="21"/>
                <w:szCs w:val="21"/>
              </w:rPr>
              <w:t>三氯乙烯</w:t>
            </w:r>
          </w:p>
        </w:tc>
        <w:tc>
          <w:tcPr>
            <w:tcW w:w="416" w:type="pct"/>
            <w:tcBorders>
              <w:left w:val="single" w:color="auto" w:sz="4" w:space="0"/>
              <w:right w:val="single" w:color="auto" w:sz="4" w:space="0"/>
            </w:tcBorders>
            <w:vAlign w:val="center"/>
          </w:tcPr>
          <w:p w14:paraId="6273431D">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7C0EB8A8">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78EE933D">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3E56C430">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4D1E993D">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6607C068">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DA2AFAF">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7D019AF">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8129819">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8F0A5A5">
            <w:pPr>
              <w:widowControl/>
              <w:spacing w:line="280" w:lineRule="exact"/>
              <w:jc w:val="center"/>
              <w:rPr>
                <w:rFonts w:ascii="Times New Roman"/>
                <w:kern w:val="0"/>
                <w:sz w:val="21"/>
                <w:szCs w:val="21"/>
              </w:rPr>
            </w:pPr>
            <w:r>
              <w:rPr>
                <w:rFonts w:hint="eastAsia" w:ascii="Times New Roman"/>
                <w:kern w:val="0"/>
                <w:sz w:val="21"/>
                <w:szCs w:val="21"/>
              </w:rPr>
              <w:t>2.8</w:t>
            </w:r>
          </w:p>
        </w:tc>
        <w:tc>
          <w:tcPr>
            <w:tcW w:w="202" w:type="pct"/>
            <w:tcBorders>
              <w:left w:val="single" w:color="auto" w:sz="4" w:space="0"/>
            </w:tcBorders>
            <w:vAlign w:val="center"/>
          </w:tcPr>
          <w:p w14:paraId="111053E1">
            <w:pPr>
              <w:widowControl/>
              <w:spacing w:line="280" w:lineRule="exact"/>
              <w:jc w:val="center"/>
              <w:rPr>
                <w:rFonts w:ascii="Times New Roman"/>
                <w:kern w:val="0"/>
                <w:sz w:val="21"/>
                <w:szCs w:val="21"/>
              </w:rPr>
            </w:pPr>
            <w:r>
              <w:rPr>
                <w:rFonts w:ascii="Times New Roman"/>
                <w:kern w:val="0"/>
                <w:sz w:val="21"/>
                <w:szCs w:val="21"/>
              </w:rPr>
              <w:t>达标</w:t>
            </w:r>
          </w:p>
        </w:tc>
      </w:tr>
      <w:tr w14:paraId="2A9805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34D64237">
            <w:pPr>
              <w:spacing w:line="280" w:lineRule="exact"/>
              <w:jc w:val="center"/>
              <w:rPr>
                <w:rFonts w:ascii="Times New Roman"/>
                <w:sz w:val="21"/>
                <w:szCs w:val="21"/>
              </w:rPr>
            </w:pPr>
            <w:r>
              <w:rPr>
                <w:rFonts w:hint="eastAsia" w:ascii="Times New Roman"/>
                <w:sz w:val="21"/>
                <w:szCs w:val="21"/>
              </w:rPr>
              <w:t>1,2-二氯丙烷</w:t>
            </w:r>
          </w:p>
        </w:tc>
        <w:tc>
          <w:tcPr>
            <w:tcW w:w="416" w:type="pct"/>
            <w:tcBorders>
              <w:left w:val="single" w:color="auto" w:sz="4" w:space="0"/>
              <w:right w:val="single" w:color="auto" w:sz="4" w:space="0"/>
            </w:tcBorders>
            <w:vAlign w:val="center"/>
          </w:tcPr>
          <w:p w14:paraId="69316F7E">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9C71E70">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418325C9">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35144A8B">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6EF98AF8">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00E34B4C">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852F50D">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1DD2ED9F">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0C500B6">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3F68B77">
            <w:pPr>
              <w:widowControl/>
              <w:spacing w:line="280" w:lineRule="exact"/>
              <w:jc w:val="center"/>
              <w:rPr>
                <w:rFonts w:ascii="Times New Roman"/>
                <w:kern w:val="0"/>
                <w:sz w:val="21"/>
                <w:szCs w:val="21"/>
              </w:rPr>
            </w:pPr>
            <w:r>
              <w:rPr>
                <w:rFonts w:hint="eastAsia" w:ascii="Times New Roman"/>
                <w:kern w:val="0"/>
                <w:sz w:val="21"/>
                <w:szCs w:val="21"/>
              </w:rPr>
              <w:t>5</w:t>
            </w:r>
          </w:p>
        </w:tc>
        <w:tc>
          <w:tcPr>
            <w:tcW w:w="202" w:type="pct"/>
            <w:tcBorders>
              <w:left w:val="single" w:color="auto" w:sz="4" w:space="0"/>
            </w:tcBorders>
            <w:vAlign w:val="center"/>
          </w:tcPr>
          <w:p w14:paraId="68146202">
            <w:pPr>
              <w:widowControl/>
              <w:spacing w:line="280" w:lineRule="exact"/>
              <w:jc w:val="center"/>
              <w:rPr>
                <w:rFonts w:ascii="Times New Roman"/>
                <w:kern w:val="0"/>
                <w:sz w:val="21"/>
                <w:szCs w:val="21"/>
              </w:rPr>
            </w:pPr>
            <w:r>
              <w:rPr>
                <w:rFonts w:ascii="Times New Roman"/>
                <w:kern w:val="0"/>
                <w:sz w:val="21"/>
                <w:szCs w:val="21"/>
              </w:rPr>
              <w:t>达标</w:t>
            </w:r>
          </w:p>
        </w:tc>
      </w:tr>
      <w:tr w14:paraId="768F03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3683E94">
            <w:pPr>
              <w:spacing w:line="280" w:lineRule="exact"/>
              <w:jc w:val="center"/>
              <w:rPr>
                <w:rFonts w:ascii="Times New Roman"/>
                <w:sz w:val="21"/>
                <w:szCs w:val="21"/>
              </w:rPr>
            </w:pPr>
            <w:r>
              <w:rPr>
                <w:rFonts w:hint="eastAsia" w:ascii="Times New Roman"/>
                <w:sz w:val="21"/>
                <w:szCs w:val="21"/>
              </w:rPr>
              <w:t>甲苯</w:t>
            </w:r>
          </w:p>
        </w:tc>
        <w:tc>
          <w:tcPr>
            <w:tcW w:w="416" w:type="pct"/>
            <w:tcBorders>
              <w:left w:val="single" w:color="auto" w:sz="4" w:space="0"/>
              <w:right w:val="single" w:color="auto" w:sz="4" w:space="0"/>
            </w:tcBorders>
            <w:vAlign w:val="center"/>
          </w:tcPr>
          <w:p w14:paraId="74F2CAC8">
            <w:pPr>
              <w:widowControl/>
              <w:spacing w:line="280" w:lineRule="exact"/>
              <w:jc w:val="center"/>
              <w:rPr>
                <w:rFonts w:ascii="Times New Roman"/>
                <w:sz w:val="21"/>
                <w:szCs w:val="21"/>
              </w:rPr>
            </w:pPr>
            <w:r>
              <w:rPr>
                <w:rFonts w:hint="eastAsia" w:ascii="Times New Roman"/>
                <w:sz w:val="21"/>
                <w:szCs w:val="21"/>
              </w:rPr>
              <w:t>1.7µg/kg</w:t>
            </w:r>
          </w:p>
        </w:tc>
        <w:tc>
          <w:tcPr>
            <w:tcW w:w="532" w:type="pct"/>
            <w:tcBorders>
              <w:left w:val="single" w:color="auto" w:sz="4" w:space="0"/>
              <w:right w:val="single" w:color="auto" w:sz="4" w:space="0"/>
            </w:tcBorders>
            <w:vAlign w:val="center"/>
          </w:tcPr>
          <w:p w14:paraId="0EAA7104">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4A73DB3A">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6997E39A">
            <w:pPr>
              <w:spacing w:line="280" w:lineRule="exact"/>
              <w:jc w:val="center"/>
              <w:rPr>
                <w:rFonts w:ascii="Times New Roman"/>
                <w:sz w:val="21"/>
                <w:szCs w:val="21"/>
              </w:rPr>
            </w:pPr>
            <w:r>
              <w:rPr>
                <w:rFonts w:hint="eastAsia" w:ascii="Times New Roman"/>
                <w:sz w:val="21"/>
                <w:szCs w:val="21"/>
              </w:rPr>
              <w:t>3.5µg/kg</w:t>
            </w:r>
          </w:p>
        </w:tc>
        <w:tc>
          <w:tcPr>
            <w:tcW w:w="518" w:type="pct"/>
            <w:tcBorders>
              <w:left w:val="single" w:color="auto" w:sz="4" w:space="0"/>
            </w:tcBorders>
            <w:vAlign w:val="center"/>
          </w:tcPr>
          <w:p w14:paraId="71AD429B">
            <w:pPr>
              <w:widowControl/>
              <w:spacing w:line="280" w:lineRule="exact"/>
              <w:jc w:val="center"/>
              <w:rPr>
                <w:rFonts w:ascii="Times New Roman"/>
                <w:kern w:val="0"/>
                <w:sz w:val="21"/>
                <w:szCs w:val="21"/>
              </w:rPr>
            </w:pPr>
            <w:r>
              <w:rPr>
                <w:rFonts w:hint="eastAsia" w:ascii="Times New Roman"/>
                <w:kern w:val="0"/>
                <w:sz w:val="21"/>
                <w:szCs w:val="21"/>
              </w:rPr>
              <w:t>2.5</w:t>
            </w:r>
            <w:r>
              <w:rPr>
                <w:rFonts w:hint="eastAsia" w:ascii="Times New Roman"/>
                <w:sz w:val="21"/>
                <w:szCs w:val="21"/>
              </w:rPr>
              <w:t>µg/kg</w:t>
            </w:r>
          </w:p>
        </w:tc>
        <w:tc>
          <w:tcPr>
            <w:tcW w:w="390" w:type="pct"/>
            <w:vAlign w:val="center"/>
          </w:tcPr>
          <w:p w14:paraId="6E8F0B9A">
            <w:pPr>
              <w:spacing w:line="280" w:lineRule="exact"/>
              <w:jc w:val="center"/>
              <w:rPr>
                <w:rFonts w:ascii="Times New Roman"/>
                <w:sz w:val="21"/>
                <w:szCs w:val="21"/>
              </w:rPr>
            </w:pPr>
            <w:r>
              <w:rPr>
                <w:rFonts w:hint="eastAsia" w:ascii="Times New Roman"/>
                <w:sz w:val="21"/>
                <w:szCs w:val="21"/>
              </w:rPr>
              <w:t>2.3µg/kg</w:t>
            </w:r>
          </w:p>
        </w:tc>
        <w:tc>
          <w:tcPr>
            <w:tcW w:w="422" w:type="pct"/>
            <w:vAlign w:val="center"/>
          </w:tcPr>
          <w:p w14:paraId="2A2B597A">
            <w:pPr>
              <w:widowControl/>
              <w:spacing w:line="280" w:lineRule="exact"/>
              <w:jc w:val="center"/>
              <w:rPr>
                <w:rFonts w:ascii="Times New Roman"/>
                <w:kern w:val="0"/>
                <w:sz w:val="21"/>
                <w:szCs w:val="21"/>
              </w:rPr>
            </w:pPr>
            <w:r>
              <w:rPr>
                <w:rFonts w:hint="eastAsia" w:ascii="Times New Roman"/>
                <w:kern w:val="0"/>
                <w:sz w:val="21"/>
                <w:szCs w:val="21"/>
              </w:rPr>
              <w:t>2.0</w:t>
            </w:r>
            <w:r>
              <w:rPr>
                <w:rFonts w:hint="eastAsia" w:ascii="Times New Roman"/>
                <w:sz w:val="21"/>
                <w:szCs w:val="21"/>
              </w:rPr>
              <w:t>µg/kg</w:t>
            </w:r>
          </w:p>
        </w:tc>
        <w:tc>
          <w:tcPr>
            <w:tcW w:w="413" w:type="pct"/>
            <w:tcBorders>
              <w:left w:val="single" w:color="auto" w:sz="4" w:space="0"/>
              <w:right w:val="single" w:color="auto" w:sz="4" w:space="0"/>
            </w:tcBorders>
            <w:vAlign w:val="center"/>
          </w:tcPr>
          <w:p w14:paraId="22F038F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3F94A352">
            <w:pPr>
              <w:spacing w:line="280" w:lineRule="exact"/>
              <w:jc w:val="center"/>
              <w:rPr>
                <w:rFonts w:ascii="Times New Roman"/>
                <w:kern w:val="0"/>
                <w:sz w:val="21"/>
                <w:szCs w:val="21"/>
              </w:rPr>
            </w:pPr>
            <w:r>
              <w:rPr>
                <w:rFonts w:hint="eastAsia" w:ascii="Times New Roman"/>
                <w:kern w:val="0"/>
                <w:sz w:val="21"/>
                <w:szCs w:val="21"/>
              </w:rPr>
              <w:t>4.2</w:t>
            </w:r>
            <w:r>
              <w:rPr>
                <w:rFonts w:hint="eastAsia" w:ascii="Times New Roman"/>
                <w:sz w:val="21"/>
                <w:szCs w:val="21"/>
              </w:rPr>
              <w:t>µg/kg</w:t>
            </w:r>
          </w:p>
        </w:tc>
        <w:tc>
          <w:tcPr>
            <w:tcW w:w="271" w:type="pct"/>
            <w:tcBorders>
              <w:left w:val="single" w:color="auto" w:sz="4" w:space="0"/>
            </w:tcBorders>
            <w:vAlign w:val="center"/>
          </w:tcPr>
          <w:p w14:paraId="3A312023">
            <w:pPr>
              <w:widowControl/>
              <w:spacing w:line="280" w:lineRule="exact"/>
              <w:jc w:val="center"/>
              <w:rPr>
                <w:rFonts w:ascii="Times New Roman"/>
                <w:kern w:val="0"/>
                <w:sz w:val="21"/>
                <w:szCs w:val="21"/>
              </w:rPr>
            </w:pPr>
            <w:r>
              <w:rPr>
                <w:rFonts w:hint="eastAsia" w:ascii="Times New Roman"/>
                <w:kern w:val="0"/>
                <w:sz w:val="21"/>
                <w:szCs w:val="21"/>
              </w:rPr>
              <w:t>1200</w:t>
            </w:r>
          </w:p>
        </w:tc>
        <w:tc>
          <w:tcPr>
            <w:tcW w:w="202" w:type="pct"/>
            <w:tcBorders>
              <w:left w:val="single" w:color="auto" w:sz="4" w:space="0"/>
            </w:tcBorders>
            <w:vAlign w:val="center"/>
          </w:tcPr>
          <w:p w14:paraId="79EF8796">
            <w:pPr>
              <w:widowControl/>
              <w:spacing w:line="280" w:lineRule="exact"/>
              <w:jc w:val="center"/>
              <w:rPr>
                <w:rFonts w:ascii="Times New Roman"/>
                <w:kern w:val="0"/>
                <w:sz w:val="21"/>
                <w:szCs w:val="21"/>
              </w:rPr>
            </w:pPr>
            <w:r>
              <w:rPr>
                <w:rFonts w:ascii="Times New Roman"/>
                <w:kern w:val="0"/>
                <w:sz w:val="21"/>
                <w:szCs w:val="21"/>
              </w:rPr>
              <w:t>达标</w:t>
            </w:r>
          </w:p>
        </w:tc>
      </w:tr>
      <w:tr w14:paraId="1A438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73DCCB7">
            <w:pPr>
              <w:spacing w:line="280" w:lineRule="exact"/>
              <w:jc w:val="center"/>
              <w:rPr>
                <w:rFonts w:ascii="Times New Roman"/>
                <w:sz w:val="21"/>
                <w:szCs w:val="21"/>
              </w:rPr>
            </w:pPr>
            <w:r>
              <w:rPr>
                <w:rFonts w:hint="eastAsia" w:ascii="Times New Roman"/>
                <w:sz w:val="21"/>
                <w:szCs w:val="21"/>
              </w:rPr>
              <w:t>1,1,2-三氯乙烷</w:t>
            </w:r>
          </w:p>
        </w:tc>
        <w:tc>
          <w:tcPr>
            <w:tcW w:w="416" w:type="pct"/>
            <w:tcBorders>
              <w:left w:val="single" w:color="auto" w:sz="4" w:space="0"/>
              <w:right w:val="single" w:color="auto" w:sz="4" w:space="0"/>
            </w:tcBorders>
            <w:vAlign w:val="center"/>
          </w:tcPr>
          <w:p w14:paraId="69980350">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7E49CD4E">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72DDA231">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1A891ADA">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33E77191">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5E0A94AE">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E9E57A8">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5DFEE75">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55FDE49C">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F4957C3">
            <w:pPr>
              <w:widowControl/>
              <w:spacing w:line="280" w:lineRule="exact"/>
              <w:jc w:val="center"/>
              <w:rPr>
                <w:rFonts w:ascii="Times New Roman"/>
                <w:kern w:val="0"/>
                <w:sz w:val="21"/>
                <w:szCs w:val="21"/>
              </w:rPr>
            </w:pPr>
            <w:r>
              <w:rPr>
                <w:rFonts w:hint="eastAsia" w:ascii="Times New Roman"/>
                <w:kern w:val="0"/>
                <w:sz w:val="21"/>
                <w:szCs w:val="21"/>
              </w:rPr>
              <w:t>2.8</w:t>
            </w:r>
          </w:p>
        </w:tc>
        <w:tc>
          <w:tcPr>
            <w:tcW w:w="202" w:type="pct"/>
            <w:tcBorders>
              <w:left w:val="single" w:color="auto" w:sz="4" w:space="0"/>
            </w:tcBorders>
            <w:vAlign w:val="center"/>
          </w:tcPr>
          <w:p w14:paraId="04FF7C28">
            <w:pPr>
              <w:widowControl/>
              <w:spacing w:line="280" w:lineRule="exact"/>
              <w:jc w:val="center"/>
              <w:rPr>
                <w:rFonts w:ascii="Times New Roman"/>
                <w:kern w:val="0"/>
                <w:sz w:val="21"/>
                <w:szCs w:val="21"/>
              </w:rPr>
            </w:pPr>
            <w:r>
              <w:rPr>
                <w:rFonts w:ascii="Times New Roman"/>
                <w:kern w:val="0"/>
                <w:sz w:val="21"/>
                <w:szCs w:val="21"/>
              </w:rPr>
              <w:t>达标</w:t>
            </w:r>
          </w:p>
        </w:tc>
      </w:tr>
      <w:tr w14:paraId="316571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7F39DF0">
            <w:pPr>
              <w:spacing w:line="280" w:lineRule="exact"/>
              <w:jc w:val="center"/>
              <w:rPr>
                <w:rFonts w:ascii="Times New Roman"/>
                <w:sz w:val="21"/>
                <w:szCs w:val="21"/>
              </w:rPr>
            </w:pPr>
            <w:r>
              <w:rPr>
                <w:rFonts w:hint="eastAsia" w:ascii="Times New Roman"/>
                <w:sz w:val="21"/>
                <w:szCs w:val="21"/>
              </w:rPr>
              <w:t>四氯乙烯</w:t>
            </w:r>
          </w:p>
        </w:tc>
        <w:tc>
          <w:tcPr>
            <w:tcW w:w="416" w:type="pct"/>
            <w:tcBorders>
              <w:left w:val="single" w:color="auto" w:sz="4" w:space="0"/>
              <w:right w:val="single" w:color="auto" w:sz="4" w:space="0"/>
            </w:tcBorders>
            <w:vAlign w:val="center"/>
          </w:tcPr>
          <w:p w14:paraId="21813F2B">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09062689">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3C635826">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75082DF3">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6D10ADE4">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36145644">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10EF305A">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053CD9A">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26384FB">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2CA5A7EC">
            <w:pPr>
              <w:widowControl/>
              <w:spacing w:line="280" w:lineRule="exact"/>
              <w:jc w:val="center"/>
              <w:rPr>
                <w:rFonts w:ascii="Times New Roman"/>
                <w:kern w:val="0"/>
                <w:sz w:val="21"/>
                <w:szCs w:val="21"/>
              </w:rPr>
            </w:pPr>
            <w:r>
              <w:rPr>
                <w:rFonts w:hint="eastAsia" w:ascii="Times New Roman"/>
                <w:kern w:val="0"/>
                <w:sz w:val="21"/>
                <w:szCs w:val="21"/>
              </w:rPr>
              <w:t>53</w:t>
            </w:r>
          </w:p>
        </w:tc>
        <w:tc>
          <w:tcPr>
            <w:tcW w:w="202" w:type="pct"/>
            <w:tcBorders>
              <w:left w:val="single" w:color="auto" w:sz="4" w:space="0"/>
            </w:tcBorders>
            <w:vAlign w:val="center"/>
          </w:tcPr>
          <w:p w14:paraId="20E336DF">
            <w:pPr>
              <w:widowControl/>
              <w:spacing w:line="280" w:lineRule="exact"/>
              <w:jc w:val="center"/>
              <w:rPr>
                <w:rFonts w:ascii="Times New Roman"/>
                <w:kern w:val="0"/>
                <w:sz w:val="21"/>
                <w:szCs w:val="21"/>
              </w:rPr>
            </w:pPr>
            <w:r>
              <w:rPr>
                <w:rFonts w:ascii="Times New Roman"/>
                <w:kern w:val="0"/>
                <w:sz w:val="21"/>
                <w:szCs w:val="21"/>
              </w:rPr>
              <w:t>达标</w:t>
            </w:r>
          </w:p>
        </w:tc>
      </w:tr>
      <w:tr w14:paraId="741961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A8E90EF">
            <w:pPr>
              <w:spacing w:line="280" w:lineRule="exact"/>
              <w:jc w:val="center"/>
              <w:rPr>
                <w:rFonts w:ascii="Times New Roman"/>
                <w:sz w:val="21"/>
                <w:szCs w:val="21"/>
              </w:rPr>
            </w:pPr>
            <w:r>
              <w:rPr>
                <w:rFonts w:hint="eastAsia" w:ascii="Times New Roman"/>
                <w:sz w:val="21"/>
                <w:szCs w:val="21"/>
              </w:rPr>
              <w:t>氯苯</w:t>
            </w:r>
          </w:p>
        </w:tc>
        <w:tc>
          <w:tcPr>
            <w:tcW w:w="416" w:type="pct"/>
            <w:tcBorders>
              <w:left w:val="single" w:color="auto" w:sz="4" w:space="0"/>
              <w:right w:val="single" w:color="auto" w:sz="4" w:space="0"/>
            </w:tcBorders>
            <w:vAlign w:val="center"/>
          </w:tcPr>
          <w:p w14:paraId="51A0EFDC">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65DCA49">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0C1333C8">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72479C9">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5BC56B2A">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6ABF4CF7">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1EAEC0D">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28271AAA">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7BD07144">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A96BA55">
            <w:pPr>
              <w:widowControl/>
              <w:spacing w:line="280" w:lineRule="exact"/>
              <w:jc w:val="center"/>
              <w:rPr>
                <w:rFonts w:ascii="Times New Roman"/>
                <w:kern w:val="0"/>
                <w:sz w:val="21"/>
                <w:szCs w:val="21"/>
              </w:rPr>
            </w:pPr>
            <w:r>
              <w:rPr>
                <w:rFonts w:hint="eastAsia" w:ascii="Times New Roman"/>
                <w:kern w:val="0"/>
                <w:sz w:val="21"/>
                <w:szCs w:val="21"/>
              </w:rPr>
              <w:t>270</w:t>
            </w:r>
          </w:p>
        </w:tc>
        <w:tc>
          <w:tcPr>
            <w:tcW w:w="202" w:type="pct"/>
            <w:tcBorders>
              <w:left w:val="single" w:color="auto" w:sz="4" w:space="0"/>
            </w:tcBorders>
            <w:vAlign w:val="center"/>
          </w:tcPr>
          <w:p w14:paraId="072195DA">
            <w:pPr>
              <w:widowControl/>
              <w:spacing w:line="280" w:lineRule="exact"/>
              <w:jc w:val="center"/>
              <w:rPr>
                <w:rFonts w:ascii="Times New Roman"/>
                <w:kern w:val="0"/>
                <w:sz w:val="21"/>
                <w:szCs w:val="21"/>
              </w:rPr>
            </w:pPr>
            <w:r>
              <w:rPr>
                <w:rFonts w:ascii="Times New Roman"/>
                <w:kern w:val="0"/>
                <w:sz w:val="21"/>
                <w:szCs w:val="21"/>
              </w:rPr>
              <w:t>达标</w:t>
            </w:r>
          </w:p>
        </w:tc>
      </w:tr>
      <w:tr w14:paraId="3B3C6F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3C1880E8">
            <w:pPr>
              <w:spacing w:line="280" w:lineRule="exact"/>
              <w:jc w:val="center"/>
              <w:rPr>
                <w:rFonts w:ascii="Times New Roman"/>
                <w:sz w:val="21"/>
                <w:szCs w:val="21"/>
              </w:rPr>
            </w:pPr>
            <w:r>
              <w:rPr>
                <w:rFonts w:hint="eastAsia" w:ascii="Times New Roman"/>
                <w:sz w:val="21"/>
                <w:szCs w:val="21"/>
              </w:rPr>
              <w:t>1,1,1,2-四氯乙烷</w:t>
            </w:r>
          </w:p>
        </w:tc>
        <w:tc>
          <w:tcPr>
            <w:tcW w:w="416" w:type="pct"/>
            <w:tcBorders>
              <w:left w:val="single" w:color="auto" w:sz="4" w:space="0"/>
              <w:right w:val="single" w:color="auto" w:sz="4" w:space="0"/>
            </w:tcBorders>
            <w:vAlign w:val="center"/>
          </w:tcPr>
          <w:p w14:paraId="6C6BFF24">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13F6B8E">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D9DBF0A">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5D82A1C4">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6462DB5A">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1BCFE3D">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5765D364">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B083DF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6ADA820">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4E6AA397">
            <w:pPr>
              <w:widowControl/>
              <w:spacing w:line="280" w:lineRule="exact"/>
              <w:jc w:val="center"/>
              <w:rPr>
                <w:rFonts w:ascii="Times New Roman"/>
                <w:kern w:val="0"/>
                <w:sz w:val="21"/>
                <w:szCs w:val="21"/>
              </w:rPr>
            </w:pPr>
            <w:r>
              <w:rPr>
                <w:rFonts w:hint="eastAsia" w:ascii="Times New Roman"/>
                <w:kern w:val="0"/>
                <w:sz w:val="21"/>
                <w:szCs w:val="21"/>
              </w:rPr>
              <w:t>10</w:t>
            </w:r>
          </w:p>
        </w:tc>
        <w:tc>
          <w:tcPr>
            <w:tcW w:w="202" w:type="pct"/>
            <w:tcBorders>
              <w:left w:val="single" w:color="auto" w:sz="4" w:space="0"/>
            </w:tcBorders>
            <w:vAlign w:val="center"/>
          </w:tcPr>
          <w:p w14:paraId="3EF94DE3">
            <w:pPr>
              <w:widowControl/>
              <w:spacing w:line="280" w:lineRule="exact"/>
              <w:jc w:val="center"/>
              <w:rPr>
                <w:rFonts w:ascii="Times New Roman"/>
                <w:kern w:val="0"/>
                <w:sz w:val="21"/>
                <w:szCs w:val="21"/>
              </w:rPr>
            </w:pPr>
            <w:r>
              <w:rPr>
                <w:rFonts w:ascii="Times New Roman"/>
                <w:kern w:val="0"/>
                <w:sz w:val="21"/>
                <w:szCs w:val="21"/>
              </w:rPr>
              <w:t>达标</w:t>
            </w:r>
          </w:p>
        </w:tc>
      </w:tr>
      <w:tr w14:paraId="1C468D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0A32175">
            <w:pPr>
              <w:spacing w:line="280" w:lineRule="exact"/>
              <w:jc w:val="center"/>
              <w:rPr>
                <w:rFonts w:ascii="Times New Roman"/>
                <w:sz w:val="21"/>
                <w:szCs w:val="21"/>
              </w:rPr>
            </w:pPr>
            <w:r>
              <w:rPr>
                <w:rFonts w:hint="eastAsia" w:ascii="Times New Roman"/>
                <w:sz w:val="21"/>
                <w:szCs w:val="21"/>
              </w:rPr>
              <w:t>乙苯</w:t>
            </w:r>
          </w:p>
        </w:tc>
        <w:tc>
          <w:tcPr>
            <w:tcW w:w="416" w:type="pct"/>
            <w:tcBorders>
              <w:left w:val="single" w:color="auto" w:sz="4" w:space="0"/>
              <w:right w:val="single" w:color="auto" w:sz="4" w:space="0"/>
            </w:tcBorders>
            <w:vAlign w:val="center"/>
          </w:tcPr>
          <w:p w14:paraId="47BCEAB6">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7E9EBCF7">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22019B74">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6434B5C">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8977842">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860490D">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5C04C55F">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AA365A4">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5E306207">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0D539A83">
            <w:pPr>
              <w:widowControl/>
              <w:spacing w:line="280" w:lineRule="exact"/>
              <w:jc w:val="center"/>
              <w:rPr>
                <w:rFonts w:ascii="Times New Roman"/>
                <w:kern w:val="0"/>
                <w:sz w:val="21"/>
                <w:szCs w:val="21"/>
              </w:rPr>
            </w:pPr>
            <w:r>
              <w:rPr>
                <w:rFonts w:hint="eastAsia" w:ascii="Times New Roman"/>
                <w:kern w:val="0"/>
                <w:sz w:val="21"/>
                <w:szCs w:val="21"/>
              </w:rPr>
              <w:t>28</w:t>
            </w:r>
          </w:p>
        </w:tc>
        <w:tc>
          <w:tcPr>
            <w:tcW w:w="202" w:type="pct"/>
            <w:tcBorders>
              <w:left w:val="single" w:color="auto" w:sz="4" w:space="0"/>
            </w:tcBorders>
            <w:vAlign w:val="center"/>
          </w:tcPr>
          <w:p w14:paraId="79673BD5">
            <w:pPr>
              <w:widowControl/>
              <w:spacing w:line="280" w:lineRule="exact"/>
              <w:jc w:val="center"/>
              <w:rPr>
                <w:rFonts w:ascii="Times New Roman"/>
                <w:kern w:val="0"/>
                <w:sz w:val="21"/>
                <w:szCs w:val="21"/>
              </w:rPr>
            </w:pPr>
            <w:r>
              <w:rPr>
                <w:rFonts w:ascii="Times New Roman"/>
                <w:kern w:val="0"/>
                <w:sz w:val="21"/>
                <w:szCs w:val="21"/>
              </w:rPr>
              <w:t>达标</w:t>
            </w:r>
          </w:p>
        </w:tc>
      </w:tr>
      <w:tr w14:paraId="0D956F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2C7182F">
            <w:pPr>
              <w:spacing w:line="280" w:lineRule="exact"/>
              <w:jc w:val="center"/>
              <w:rPr>
                <w:rFonts w:ascii="Times New Roman"/>
                <w:sz w:val="21"/>
                <w:szCs w:val="21"/>
              </w:rPr>
            </w:pPr>
            <w:r>
              <w:rPr>
                <w:rFonts w:hint="eastAsia" w:ascii="Times New Roman"/>
                <w:sz w:val="21"/>
                <w:szCs w:val="21"/>
              </w:rPr>
              <w:t>间，对-二甲苯</w:t>
            </w:r>
          </w:p>
        </w:tc>
        <w:tc>
          <w:tcPr>
            <w:tcW w:w="416" w:type="pct"/>
            <w:tcBorders>
              <w:left w:val="single" w:color="auto" w:sz="4" w:space="0"/>
              <w:right w:val="single" w:color="auto" w:sz="4" w:space="0"/>
            </w:tcBorders>
            <w:vAlign w:val="center"/>
          </w:tcPr>
          <w:p w14:paraId="4CBFC767">
            <w:pPr>
              <w:widowControl/>
              <w:spacing w:line="280" w:lineRule="exact"/>
              <w:jc w:val="center"/>
              <w:rPr>
                <w:rFonts w:ascii="Times New Roman"/>
                <w:sz w:val="21"/>
                <w:szCs w:val="21"/>
              </w:rPr>
            </w:pPr>
            <w:r>
              <w:rPr>
                <w:rFonts w:hint="eastAsia" w:ascii="Times New Roman"/>
                <w:sz w:val="21"/>
                <w:szCs w:val="21"/>
              </w:rPr>
              <w:t>ND</w:t>
            </w:r>
          </w:p>
        </w:tc>
        <w:tc>
          <w:tcPr>
            <w:tcW w:w="532" w:type="pct"/>
            <w:tcBorders>
              <w:left w:val="single" w:color="auto" w:sz="4" w:space="0"/>
              <w:right w:val="single" w:color="auto" w:sz="4" w:space="0"/>
            </w:tcBorders>
            <w:vAlign w:val="center"/>
          </w:tcPr>
          <w:p w14:paraId="19EE4CC3">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2C48811">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375C7C56">
            <w:pPr>
              <w:spacing w:line="280" w:lineRule="exact"/>
              <w:jc w:val="center"/>
              <w:rPr>
                <w:rFonts w:ascii="Times New Roman"/>
                <w:sz w:val="21"/>
                <w:szCs w:val="21"/>
              </w:rPr>
            </w:pPr>
            <w:r>
              <w:rPr>
                <w:rFonts w:hint="eastAsia" w:ascii="Times New Roman"/>
                <w:sz w:val="21"/>
                <w:szCs w:val="21"/>
              </w:rPr>
              <w:t>ND</w:t>
            </w:r>
          </w:p>
        </w:tc>
        <w:tc>
          <w:tcPr>
            <w:tcW w:w="518" w:type="pct"/>
            <w:tcBorders>
              <w:left w:val="single" w:color="auto" w:sz="4" w:space="0"/>
            </w:tcBorders>
            <w:vAlign w:val="center"/>
          </w:tcPr>
          <w:p w14:paraId="5ECBC56B">
            <w:pPr>
              <w:widowControl/>
              <w:spacing w:line="280" w:lineRule="exact"/>
              <w:jc w:val="center"/>
              <w:rPr>
                <w:rFonts w:ascii="Times New Roman"/>
                <w:kern w:val="0"/>
                <w:sz w:val="21"/>
                <w:szCs w:val="21"/>
              </w:rPr>
            </w:pPr>
            <w:r>
              <w:rPr>
                <w:rFonts w:hint="eastAsia" w:ascii="Times New Roman"/>
                <w:sz w:val="21"/>
                <w:szCs w:val="21"/>
              </w:rPr>
              <w:t>ND</w:t>
            </w:r>
          </w:p>
        </w:tc>
        <w:tc>
          <w:tcPr>
            <w:tcW w:w="1076" w:type="dxa"/>
            <w:vAlign w:val="center"/>
          </w:tcPr>
          <w:p w14:paraId="38A86E22">
            <w:pPr>
              <w:spacing w:line="280" w:lineRule="exact"/>
              <w:jc w:val="center"/>
              <w:rPr>
                <w:rFonts w:ascii="Times New Roman"/>
                <w:sz w:val="21"/>
                <w:szCs w:val="21"/>
              </w:rPr>
            </w:pPr>
            <w:r>
              <w:rPr>
                <w:rFonts w:hint="eastAsia" w:ascii="Times New Roman"/>
                <w:sz w:val="21"/>
                <w:szCs w:val="21"/>
              </w:rPr>
              <w:t>ND</w:t>
            </w:r>
          </w:p>
        </w:tc>
        <w:tc>
          <w:tcPr>
            <w:tcW w:w="1162" w:type="dxa"/>
            <w:vAlign w:val="center"/>
          </w:tcPr>
          <w:p w14:paraId="003C0837">
            <w:pPr>
              <w:widowControl/>
              <w:spacing w:line="280" w:lineRule="exact"/>
              <w:jc w:val="center"/>
              <w:rPr>
                <w:rFonts w:ascii="Times New Roman"/>
                <w:kern w:val="0"/>
                <w:sz w:val="21"/>
                <w:szCs w:val="21"/>
              </w:rPr>
            </w:pPr>
            <w:r>
              <w:rPr>
                <w:rFonts w:hint="eastAsia" w:ascii="Times New Roman"/>
                <w:sz w:val="21"/>
                <w:szCs w:val="21"/>
              </w:rPr>
              <w:t>ND</w:t>
            </w:r>
          </w:p>
        </w:tc>
        <w:tc>
          <w:tcPr>
            <w:tcW w:w="413" w:type="pct"/>
            <w:tcBorders>
              <w:left w:val="single" w:color="auto" w:sz="4" w:space="0"/>
              <w:right w:val="single" w:color="auto" w:sz="4" w:space="0"/>
            </w:tcBorders>
            <w:vAlign w:val="center"/>
          </w:tcPr>
          <w:p w14:paraId="20FEF054">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3D0D0AB5">
            <w:pPr>
              <w:spacing w:line="280" w:lineRule="exact"/>
              <w:jc w:val="center"/>
              <w:rPr>
                <w:rFonts w:ascii="Times New Roman"/>
                <w:kern w:val="0"/>
                <w:sz w:val="21"/>
                <w:szCs w:val="21"/>
              </w:rPr>
            </w:pPr>
            <w:r>
              <w:rPr>
                <w:rFonts w:hint="eastAsia" w:ascii="Times New Roman"/>
                <w:kern w:val="0"/>
                <w:sz w:val="21"/>
                <w:szCs w:val="21"/>
              </w:rPr>
              <w:t>ND</w:t>
            </w:r>
          </w:p>
        </w:tc>
        <w:tc>
          <w:tcPr>
            <w:tcW w:w="271" w:type="pct"/>
            <w:tcBorders>
              <w:left w:val="single" w:color="auto" w:sz="4" w:space="0"/>
            </w:tcBorders>
            <w:vAlign w:val="center"/>
          </w:tcPr>
          <w:p w14:paraId="29A2971C">
            <w:pPr>
              <w:widowControl/>
              <w:spacing w:line="280" w:lineRule="exact"/>
              <w:jc w:val="center"/>
              <w:rPr>
                <w:rFonts w:ascii="Times New Roman"/>
                <w:kern w:val="0"/>
                <w:sz w:val="21"/>
                <w:szCs w:val="21"/>
              </w:rPr>
            </w:pPr>
            <w:r>
              <w:rPr>
                <w:rFonts w:hint="eastAsia" w:ascii="Times New Roman"/>
                <w:kern w:val="0"/>
                <w:sz w:val="21"/>
                <w:szCs w:val="21"/>
              </w:rPr>
              <w:t>570</w:t>
            </w:r>
          </w:p>
        </w:tc>
        <w:tc>
          <w:tcPr>
            <w:tcW w:w="202" w:type="pct"/>
            <w:tcBorders>
              <w:left w:val="single" w:color="auto" w:sz="4" w:space="0"/>
            </w:tcBorders>
            <w:vAlign w:val="center"/>
          </w:tcPr>
          <w:p w14:paraId="3D88D709">
            <w:pPr>
              <w:widowControl/>
              <w:spacing w:line="280" w:lineRule="exact"/>
              <w:jc w:val="center"/>
              <w:rPr>
                <w:rFonts w:ascii="Times New Roman"/>
                <w:kern w:val="0"/>
                <w:sz w:val="21"/>
                <w:szCs w:val="21"/>
              </w:rPr>
            </w:pPr>
            <w:r>
              <w:rPr>
                <w:rFonts w:ascii="Times New Roman"/>
                <w:kern w:val="0"/>
                <w:sz w:val="21"/>
                <w:szCs w:val="21"/>
              </w:rPr>
              <w:t>达标</w:t>
            </w:r>
          </w:p>
        </w:tc>
      </w:tr>
      <w:tr w14:paraId="6A6917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1869D224">
            <w:pPr>
              <w:spacing w:line="280" w:lineRule="exact"/>
              <w:jc w:val="center"/>
              <w:rPr>
                <w:rFonts w:ascii="Times New Roman"/>
                <w:sz w:val="21"/>
                <w:szCs w:val="21"/>
              </w:rPr>
            </w:pPr>
            <w:r>
              <w:rPr>
                <w:rFonts w:hint="eastAsia" w:ascii="Times New Roman"/>
                <w:sz w:val="21"/>
                <w:szCs w:val="21"/>
              </w:rPr>
              <w:t>邻-二甲苯</w:t>
            </w:r>
          </w:p>
        </w:tc>
        <w:tc>
          <w:tcPr>
            <w:tcW w:w="416" w:type="pct"/>
            <w:tcBorders>
              <w:left w:val="single" w:color="auto" w:sz="4" w:space="0"/>
              <w:right w:val="single" w:color="auto" w:sz="4" w:space="0"/>
            </w:tcBorders>
            <w:vAlign w:val="center"/>
          </w:tcPr>
          <w:p w14:paraId="4CC2645D">
            <w:pPr>
              <w:widowControl/>
              <w:spacing w:line="280" w:lineRule="exact"/>
              <w:jc w:val="center"/>
              <w:rPr>
                <w:rFonts w:ascii="Times New Roman"/>
                <w:sz w:val="21"/>
                <w:szCs w:val="21"/>
              </w:rPr>
            </w:pPr>
            <w:r>
              <w:rPr>
                <w:rFonts w:hint="eastAsia" w:ascii="Times New Roman"/>
                <w:sz w:val="21"/>
                <w:szCs w:val="21"/>
              </w:rPr>
              <w:t>ND</w:t>
            </w:r>
          </w:p>
        </w:tc>
        <w:tc>
          <w:tcPr>
            <w:tcW w:w="532" w:type="pct"/>
            <w:tcBorders>
              <w:left w:val="single" w:color="auto" w:sz="4" w:space="0"/>
              <w:right w:val="single" w:color="auto" w:sz="4" w:space="0"/>
            </w:tcBorders>
            <w:vAlign w:val="center"/>
          </w:tcPr>
          <w:p w14:paraId="7988F912">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51B6C62D">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224A310C">
            <w:pPr>
              <w:spacing w:line="280" w:lineRule="exact"/>
              <w:jc w:val="center"/>
              <w:rPr>
                <w:rFonts w:ascii="Times New Roman"/>
                <w:sz w:val="21"/>
                <w:szCs w:val="21"/>
              </w:rPr>
            </w:pPr>
            <w:r>
              <w:rPr>
                <w:rFonts w:hint="eastAsia" w:ascii="Times New Roman"/>
                <w:sz w:val="21"/>
                <w:szCs w:val="21"/>
              </w:rPr>
              <w:t>ND</w:t>
            </w:r>
          </w:p>
        </w:tc>
        <w:tc>
          <w:tcPr>
            <w:tcW w:w="518" w:type="pct"/>
            <w:tcBorders>
              <w:left w:val="single" w:color="auto" w:sz="4" w:space="0"/>
            </w:tcBorders>
            <w:vAlign w:val="center"/>
          </w:tcPr>
          <w:p w14:paraId="0BB81869">
            <w:pPr>
              <w:widowControl/>
              <w:spacing w:line="280" w:lineRule="exact"/>
              <w:jc w:val="center"/>
              <w:rPr>
                <w:rFonts w:ascii="Times New Roman"/>
                <w:kern w:val="0"/>
                <w:sz w:val="21"/>
                <w:szCs w:val="21"/>
              </w:rPr>
            </w:pPr>
            <w:r>
              <w:rPr>
                <w:rFonts w:hint="eastAsia" w:ascii="Times New Roman"/>
                <w:sz w:val="21"/>
                <w:szCs w:val="21"/>
              </w:rPr>
              <w:t>ND</w:t>
            </w:r>
          </w:p>
        </w:tc>
        <w:tc>
          <w:tcPr>
            <w:tcW w:w="1076" w:type="dxa"/>
            <w:vAlign w:val="center"/>
          </w:tcPr>
          <w:p w14:paraId="7853AF82">
            <w:pPr>
              <w:spacing w:line="280" w:lineRule="exact"/>
              <w:jc w:val="center"/>
              <w:rPr>
                <w:rFonts w:ascii="Times New Roman"/>
                <w:sz w:val="21"/>
                <w:szCs w:val="21"/>
              </w:rPr>
            </w:pPr>
            <w:r>
              <w:rPr>
                <w:rFonts w:hint="eastAsia" w:ascii="Times New Roman"/>
                <w:sz w:val="21"/>
                <w:szCs w:val="21"/>
              </w:rPr>
              <w:t>ND</w:t>
            </w:r>
          </w:p>
        </w:tc>
        <w:tc>
          <w:tcPr>
            <w:tcW w:w="1162" w:type="dxa"/>
            <w:vAlign w:val="center"/>
          </w:tcPr>
          <w:p w14:paraId="2BD4C63D">
            <w:pPr>
              <w:widowControl/>
              <w:spacing w:line="280" w:lineRule="exact"/>
              <w:jc w:val="center"/>
              <w:rPr>
                <w:rFonts w:ascii="Times New Roman"/>
                <w:kern w:val="0"/>
                <w:sz w:val="21"/>
                <w:szCs w:val="21"/>
              </w:rPr>
            </w:pPr>
            <w:r>
              <w:rPr>
                <w:rFonts w:hint="eastAsia" w:ascii="Times New Roman"/>
                <w:sz w:val="21"/>
                <w:szCs w:val="21"/>
              </w:rPr>
              <w:t>ND</w:t>
            </w:r>
          </w:p>
        </w:tc>
        <w:tc>
          <w:tcPr>
            <w:tcW w:w="413" w:type="pct"/>
            <w:tcBorders>
              <w:left w:val="single" w:color="auto" w:sz="4" w:space="0"/>
              <w:right w:val="single" w:color="auto" w:sz="4" w:space="0"/>
            </w:tcBorders>
            <w:vAlign w:val="center"/>
          </w:tcPr>
          <w:p w14:paraId="5EBF2137">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39CC2F1D">
            <w:pPr>
              <w:spacing w:line="280" w:lineRule="exact"/>
              <w:jc w:val="center"/>
              <w:rPr>
                <w:rFonts w:ascii="Times New Roman"/>
                <w:kern w:val="0"/>
                <w:sz w:val="21"/>
                <w:szCs w:val="21"/>
              </w:rPr>
            </w:pPr>
            <w:r>
              <w:rPr>
                <w:rFonts w:hint="eastAsia" w:ascii="Times New Roman"/>
                <w:kern w:val="0"/>
                <w:sz w:val="21"/>
                <w:szCs w:val="21"/>
              </w:rPr>
              <w:t>ND</w:t>
            </w:r>
          </w:p>
        </w:tc>
        <w:tc>
          <w:tcPr>
            <w:tcW w:w="271" w:type="pct"/>
            <w:tcBorders>
              <w:left w:val="single" w:color="auto" w:sz="4" w:space="0"/>
            </w:tcBorders>
            <w:vAlign w:val="center"/>
          </w:tcPr>
          <w:p w14:paraId="42BF7F48">
            <w:pPr>
              <w:widowControl/>
              <w:spacing w:line="280" w:lineRule="exact"/>
              <w:jc w:val="center"/>
              <w:rPr>
                <w:rFonts w:ascii="Times New Roman"/>
                <w:kern w:val="0"/>
                <w:sz w:val="21"/>
                <w:szCs w:val="21"/>
              </w:rPr>
            </w:pPr>
            <w:r>
              <w:rPr>
                <w:rFonts w:hint="eastAsia" w:ascii="Times New Roman"/>
                <w:kern w:val="0"/>
                <w:sz w:val="21"/>
                <w:szCs w:val="21"/>
              </w:rPr>
              <w:t>640</w:t>
            </w:r>
          </w:p>
        </w:tc>
        <w:tc>
          <w:tcPr>
            <w:tcW w:w="202" w:type="pct"/>
            <w:tcBorders>
              <w:left w:val="single" w:color="auto" w:sz="4" w:space="0"/>
            </w:tcBorders>
            <w:vAlign w:val="center"/>
          </w:tcPr>
          <w:p w14:paraId="4FA5870A">
            <w:pPr>
              <w:widowControl/>
              <w:spacing w:line="280" w:lineRule="exact"/>
              <w:jc w:val="center"/>
              <w:rPr>
                <w:rFonts w:ascii="Times New Roman"/>
                <w:kern w:val="0"/>
                <w:sz w:val="21"/>
                <w:szCs w:val="21"/>
              </w:rPr>
            </w:pPr>
            <w:r>
              <w:rPr>
                <w:rFonts w:ascii="Times New Roman"/>
                <w:kern w:val="0"/>
                <w:sz w:val="21"/>
                <w:szCs w:val="21"/>
              </w:rPr>
              <w:t>达标</w:t>
            </w:r>
          </w:p>
        </w:tc>
      </w:tr>
      <w:tr w14:paraId="638612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ABA4487">
            <w:pPr>
              <w:spacing w:line="280" w:lineRule="exact"/>
              <w:jc w:val="center"/>
              <w:rPr>
                <w:rFonts w:ascii="Times New Roman"/>
                <w:sz w:val="21"/>
                <w:szCs w:val="21"/>
              </w:rPr>
            </w:pPr>
            <w:r>
              <w:rPr>
                <w:rFonts w:hint="eastAsia" w:ascii="Times New Roman"/>
                <w:sz w:val="21"/>
                <w:szCs w:val="21"/>
              </w:rPr>
              <w:t>苯乙烯</w:t>
            </w:r>
          </w:p>
        </w:tc>
        <w:tc>
          <w:tcPr>
            <w:tcW w:w="416" w:type="pct"/>
            <w:tcBorders>
              <w:left w:val="single" w:color="auto" w:sz="4" w:space="0"/>
              <w:right w:val="single" w:color="auto" w:sz="4" w:space="0"/>
            </w:tcBorders>
            <w:vAlign w:val="center"/>
          </w:tcPr>
          <w:p w14:paraId="6272D375">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19042B28">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191EB59B">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7B157965">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2ED048F">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8D4014C">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4094353">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9EEE00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12CB246">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5C3E6F29">
            <w:pPr>
              <w:widowControl/>
              <w:spacing w:line="280" w:lineRule="exact"/>
              <w:jc w:val="center"/>
              <w:rPr>
                <w:rFonts w:ascii="Times New Roman"/>
                <w:kern w:val="0"/>
                <w:sz w:val="21"/>
                <w:szCs w:val="21"/>
              </w:rPr>
            </w:pPr>
            <w:r>
              <w:rPr>
                <w:rFonts w:hint="eastAsia" w:ascii="Times New Roman"/>
                <w:kern w:val="0"/>
                <w:sz w:val="21"/>
                <w:szCs w:val="21"/>
              </w:rPr>
              <w:t>1290</w:t>
            </w:r>
          </w:p>
        </w:tc>
        <w:tc>
          <w:tcPr>
            <w:tcW w:w="202" w:type="pct"/>
            <w:tcBorders>
              <w:left w:val="single" w:color="auto" w:sz="4" w:space="0"/>
            </w:tcBorders>
            <w:vAlign w:val="center"/>
          </w:tcPr>
          <w:p w14:paraId="5AEFB299">
            <w:pPr>
              <w:widowControl/>
              <w:spacing w:line="280" w:lineRule="exact"/>
              <w:jc w:val="center"/>
              <w:rPr>
                <w:rFonts w:ascii="Times New Roman"/>
                <w:kern w:val="0"/>
                <w:sz w:val="21"/>
                <w:szCs w:val="21"/>
              </w:rPr>
            </w:pPr>
            <w:r>
              <w:rPr>
                <w:rFonts w:ascii="Times New Roman"/>
                <w:kern w:val="0"/>
                <w:sz w:val="21"/>
                <w:szCs w:val="21"/>
              </w:rPr>
              <w:t>达标</w:t>
            </w:r>
          </w:p>
        </w:tc>
      </w:tr>
      <w:tr w14:paraId="59CBA7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7F4151B">
            <w:pPr>
              <w:spacing w:line="280" w:lineRule="exact"/>
              <w:jc w:val="center"/>
              <w:rPr>
                <w:rFonts w:ascii="Times New Roman"/>
                <w:sz w:val="21"/>
                <w:szCs w:val="21"/>
              </w:rPr>
            </w:pPr>
            <w:r>
              <w:rPr>
                <w:rFonts w:hint="eastAsia" w:ascii="Times New Roman"/>
                <w:sz w:val="21"/>
                <w:szCs w:val="21"/>
              </w:rPr>
              <w:t>1,1,2,2-四氯乙烷</w:t>
            </w:r>
          </w:p>
        </w:tc>
        <w:tc>
          <w:tcPr>
            <w:tcW w:w="416" w:type="pct"/>
            <w:tcBorders>
              <w:left w:val="single" w:color="auto" w:sz="4" w:space="0"/>
              <w:right w:val="single" w:color="auto" w:sz="4" w:space="0"/>
            </w:tcBorders>
            <w:vAlign w:val="center"/>
          </w:tcPr>
          <w:p w14:paraId="3A1B162D">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1ED24B48">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4D8C1744">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4476C369">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0974D9D6">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662988BC">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74CD24A1">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8E0916E">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3E00DD19">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3E383DC6">
            <w:pPr>
              <w:widowControl/>
              <w:spacing w:line="280" w:lineRule="exact"/>
              <w:jc w:val="center"/>
              <w:rPr>
                <w:rFonts w:ascii="Times New Roman"/>
                <w:kern w:val="0"/>
                <w:sz w:val="21"/>
                <w:szCs w:val="21"/>
              </w:rPr>
            </w:pPr>
            <w:r>
              <w:rPr>
                <w:rFonts w:hint="eastAsia" w:ascii="Times New Roman"/>
                <w:kern w:val="0"/>
                <w:sz w:val="21"/>
                <w:szCs w:val="21"/>
              </w:rPr>
              <w:t>6.8</w:t>
            </w:r>
          </w:p>
        </w:tc>
        <w:tc>
          <w:tcPr>
            <w:tcW w:w="202" w:type="pct"/>
            <w:tcBorders>
              <w:left w:val="single" w:color="auto" w:sz="4" w:space="0"/>
            </w:tcBorders>
            <w:vAlign w:val="center"/>
          </w:tcPr>
          <w:p w14:paraId="0DB26398">
            <w:pPr>
              <w:widowControl/>
              <w:spacing w:line="280" w:lineRule="exact"/>
              <w:jc w:val="center"/>
              <w:rPr>
                <w:rFonts w:ascii="Times New Roman"/>
                <w:kern w:val="0"/>
                <w:sz w:val="21"/>
                <w:szCs w:val="21"/>
              </w:rPr>
            </w:pPr>
            <w:r>
              <w:rPr>
                <w:rFonts w:ascii="Times New Roman"/>
                <w:kern w:val="0"/>
                <w:sz w:val="21"/>
                <w:szCs w:val="21"/>
              </w:rPr>
              <w:t>达标</w:t>
            </w:r>
          </w:p>
        </w:tc>
      </w:tr>
      <w:tr w14:paraId="3A57D0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1A79B69">
            <w:pPr>
              <w:spacing w:line="280" w:lineRule="exact"/>
              <w:jc w:val="center"/>
              <w:rPr>
                <w:rFonts w:ascii="Times New Roman"/>
                <w:sz w:val="21"/>
                <w:szCs w:val="21"/>
              </w:rPr>
            </w:pPr>
            <w:r>
              <w:rPr>
                <w:rFonts w:hint="eastAsia" w:ascii="Times New Roman"/>
                <w:sz w:val="21"/>
                <w:szCs w:val="21"/>
              </w:rPr>
              <w:t>1,2,3-三氯丙烷</w:t>
            </w:r>
          </w:p>
        </w:tc>
        <w:tc>
          <w:tcPr>
            <w:tcW w:w="416" w:type="pct"/>
            <w:tcBorders>
              <w:left w:val="single" w:color="auto" w:sz="4" w:space="0"/>
              <w:right w:val="single" w:color="auto" w:sz="4" w:space="0"/>
            </w:tcBorders>
            <w:vAlign w:val="center"/>
          </w:tcPr>
          <w:p w14:paraId="209C095E">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23DA19A">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222638EE">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5930449E">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9A5EA1D">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60492B9">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73F62024">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A9C5165">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1E925C87">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2BC30574">
            <w:pPr>
              <w:widowControl/>
              <w:spacing w:line="280" w:lineRule="exact"/>
              <w:jc w:val="center"/>
              <w:rPr>
                <w:rFonts w:ascii="Times New Roman"/>
                <w:kern w:val="0"/>
                <w:sz w:val="21"/>
                <w:szCs w:val="21"/>
              </w:rPr>
            </w:pPr>
            <w:r>
              <w:rPr>
                <w:rFonts w:hint="eastAsia" w:ascii="Times New Roman"/>
                <w:kern w:val="0"/>
                <w:sz w:val="21"/>
                <w:szCs w:val="21"/>
              </w:rPr>
              <w:t>0.5</w:t>
            </w:r>
          </w:p>
        </w:tc>
        <w:tc>
          <w:tcPr>
            <w:tcW w:w="202" w:type="pct"/>
            <w:tcBorders>
              <w:left w:val="single" w:color="auto" w:sz="4" w:space="0"/>
            </w:tcBorders>
            <w:vAlign w:val="center"/>
          </w:tcPr>
          <w:p w14:paraId="5E57C9A0">
            <w:pPr>
              <w:widowControl/>
              <w:spacing w:line="280" w:lineRule="exact"/>
              <w:jc w:val="center"/>
              <w:rPr>
                <w:rFonts w:ascii="Times New Roman"/>
                <w:kern w:val="0"/>
                <w:sz w:val="21"/>
                <w:szCs w:val="21"/>
              </w:rPr>
            </w:pPr>
            <w:r>
              <w:rPr>
                <w:rFonts w:ascii="Times New Roman"/>
                <w:kern w:val="0"/>
                <w:sz w:val="21"/>
                <w:szCs w:val="21"/>
              </w:rPr>
              <w:t>达标</w:t>
            </w:r>
          </w:p>
        </w:tc>
      </w:tr>
      <w:tr w14:paraId="1E7D76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1537CDCA">
            <w:pPr>
              <w:spacing w:line="280" w:lineRule="exact"/>
              <w:jc w:val="center"/>
              <w:rPr>
                <w:rFonts w:ascii="Times New Roman"/>
                <w:sz w:val="21"/>
                <w:szCs w:val="21"/>
              </w:rPr>
            </w:pPr>
            <w:r>
              <w:rPr>
                <w:rFonts w:hint="eastAsia" w:ascii="Times New Roman"/>
                <w:sz w:val="21"/>
                <w:szCs w:val="21"/>
              </w:rPr>
              <w:t>1,4-二氯苯</w:t>
            </w:r>
          </w:p>
        </w:tc>
        <w:tc>
          <w:tcPr>
            <w:tcW w:w="416" w:type="pct"/>
            <w:tcBorders>
              <w:left w:val="single" w:color="auto" w:sz="4" w:space="0"/>
              <w:right w:val="single" w:color="auto" w:sz="4" w:space="0"/>
            </w:tcBorders>
            <w:vAlign w:val="center"/>
          </w:tcPr>
          <w:p w14:paraId="78995859">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554AD805">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776B2614">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5F78E3E5">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63D21C96">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964B75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1FC3AA78">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0EB176DF">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48A400B2">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30AD832A">
            <w:pPr>
              <w:widowControl/>
              <w:spacing w:line="280" w:lineRule="exact"/>
              <w:jc w:val="center"/>
              <w:rPr>
                <w:rFonts w:ascii="Times New Roman"/>
                <w:kern w:val="0"/>
                <w:sz w:val="21"/>
                <w:szCs w:val="21"/>
              </w:rPr>
            </w:pPr>
            <w:r>
              <w:rPr>
                <w:rFonts w:hint="eastAsia" w:ascii="Times New Roman"/>
                <w:kern w:val="0"/>
                <w:sz w:val="21"/>
                <w:szCs w:val="21"/>
              </w:rPr>
              <w:t>20</w:t>
            </w:r>
          </w:p>
        </w:tc>
        <w:tc>
          <w:tcPr>
            <w:tcW w:w="202" w:type="pct"/>
            <w:tcBorders>
              <w:left w:val="single" w:color="auto" w:sz="4" w:space="0"/>
            </w:tcBorders>
            <w:vAlign w:val="center"/>
          </w:tcPr>
          <w:p w14:paraId="5FE4774F">
            <w:pPr>
              <w:widowControl/>
              <w:spacing w:line="280" w:lineRule="exact"/>
              <w:jc w:val="center"/>
              <w:rPr>
                <w:rFonts w:ascii="Times New Roman"/>
                <w:kern w:val="0"/>
                <w:sz w:val="21"/>
                <w:szCs w:val="21"/>
              </w:rPr>
            </w:pPr>
            <w:r>
              <w:rPr>
                <w:rFonts w:ascii="Times New Roman"/>
                <w:kern w:val="0"/>
                <w:sz w:val="21"/>
                <w:szCs w:val="21"/>
              </w:rPr>
              <w:t>达标</w:t>
            </w:r>
          </w:p>
        </w:tc>
      </w:tr>
      <w:tr w14:paraId="344895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68AABDA9">
            <w:pPr>
              <w:spacing w:line="280" w:lineRule="exact"/>
              <w:jc w:val="center"/>
              <w:rPr>
                <w:rFonts w:ascii="Times New Roman"/>
                <w:sz w:val="21"/>
                <w:szCs w:val="21"/>
              </w:rPr>
            </w:pPr>
            <w:r>
              <w:rPr>
                <w:rFonts w:hint="eastAsia" w:ascii="Times New Roman"/>
                <w:sz w:val="21"/>
                <w:szCs w:val="21"/>
              </w:rPr>
              <w:t>1,2-二氯苯</w:t>
            </w:r>
          </w:p>
        </w:tc>
        <w:tc>
          <w:tcPr>
            <w:tcW w:w="416" w:type="pct"/>
            <w:tcBorders>
              <w:left w:val="single" w:color="auto" w:sz="4" w:space="0"/>
              <w:right w:val="single" w:color="auto" w:sz="4" w:space="0"/>
            </w:tcBorders>
            <w:vAlign w:val="center"/>
          </w:tcPr>
          <w:p w14:paraId="4536AC03">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1DC93385">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63E8583F">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0B296EEA">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326AE40A">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0363B0E5">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EDDAAC0">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441AFDA7">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21F8C4D1">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18CCDE13">
            <w:pPr>
              <w:widowControl/>
              <w:spacing w:line="280" w:lineRule="exact"/>
              <w:jc w:val="center"/>
              <w:rPr>
                <w:rFonts w:ascii="Times New Roman"/>
                <w:kern w:val="0"/>
                <w:sz w:val="21"/>
                <w:szCs w:val="21"/>
              </w:rPr>
            </w:pPr>
            <w:r>
              <w:rPr>
                <w:rFonts w:hint="eastAsia" w:ascii="Times New Roman"/>
                <w:kern w:val="0"/>
                <w:sz w:val="21"/>
                <w:szCs w:val="21"/>
              </w:rPr>
              <w:t>560</w:t>
            </w:r>
          </w:p>
        </w:tc>
        <w:tc>
          <w:tcPr>
            <w:tcW w:w="202" w:type="pct"/>
            <w:tcBorders>
              <w:left w:val="single" w:color="auto" w:sz="4" w:space="0"/>
            </w:tcBorders>
            <w:vAlign w:val="center"/>
          </w:tcPr>
          <w:p w14:paraId="67524D5B">
            <w:pPr>
              <w:widowControl/>
              <w:spacing w:line="280" w:lineRule="exact"/>
              <w:jc w:val="center"/>
              <w:rPr>
                <w:rFonts w:ascii="Times New Roman"/>
                <w:kern w:val="0"/>
                <w:sz w:val="21"/>
                <w:szCs w:val="21"/>
              </w:rPr>
            </w:pPr>
            <w:r>
              <w:rPr>
                <w:rFonts w:ascii="Times New Roman"/>
                <w:kern w:val="0"/>
                <w:sz w:val="21"/>
                <w:szCs w:val="21"/>
              </w:rPr>
              <w:t>达标</w:t>
            </w:r>
          </w:p>
        </w:tc>
      </w:tr>
      <w:tr w14:paraId="7CB0DB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5E49D38F">
            <w:pPr>
              <w:spacing w:line="280" w:lineRule="exact"/>
              <w:jc w:val="center"/>
              <w:rPr>
                <w:rFonts w:ascii="Times New Roman"/>
                <w:sz w:val="21"/>
                <w:szCs w:val="21"/>
              </w:rPr>
            </w:pPr>
            <w:r>
              <w:rPr>
                <w:rFonts w:hint="eastAsia" w:ascii="Times New Roman"/>
                <w:sz w:val="21"/>
                <w:szCs w:val="21"/>
              </w:rPr>
              <w:t>三氯甲烷</w:t>
            </w:r>
          </w:p>
        </w:tc>
        <w:tc>
          <w:tcPr>
            <w:tcW w:w="416" w:type="pct"/>
            <w:tcBorders>
              <w:left w:val="single" w:color="auto" w:sz="4" w:space="0"/>
              <w:right w:val="single" w:color="auto" w:sz="4" w:space="0"/>
            </w:tcBorders>
            <w:vAlign w:val="center"/>
          </w:tcPr>
          <w:p w14:paraId="19AF0DE8">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467B8E45">
            <w:pPr>
              <w:widowControl/>
              <w:spacing w:line="280" w:lineRule="exact"/>
              <w:jc w:val="center"/>
              <w:rPr>
                <w:rFonts w:ascii="Times New Roman"/>
                <w:kern w:val="0"/>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01DEAA5F">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098EC634">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26A28607">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6C1CD7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D7374F7">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53330254">
            <w:pPr>
              <w:widowControl/>
              <w:spacing w:line="280" w:lineRule="exact"/>
              <w:jc w:val="center"/>
              <w:rPr>
                <w:rFonts w:ascii="Times New Roman"/>
                <w:b/>
                <w:bCs/>
                <w:kern w:val="0"/>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010013EA">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57B15A7">
            <w:pPr>
              <w:widowControl/>
              <w:spacing w:line="280" w:lineRule="exact"/>
              <w:jc w:val="center"/>
              <w:rPr>
                <w:rFonts w:ascii="Times New Roman"/>
                <w:kern w:val="0"/>
                <w:sz w:val="21"/>
                <w:szCs w:val="21"/>
              </w:rPr>
            </w:pPr>
            <w:r>
              <w:rPr>
                <w:rFonts w:hint="eastAsia" w:ascii="Times New Roman"/>
                <w:kern w:val="0"/>
                <w:sz w:val="21"/>
                <w:szCs w:val="21"/>
              </w:rPr>
              <w:t>--</w:t>
            </w:r>
          </w:p>
        </w:tc>
        <w:tc>
          <w:tcPr>
            <w:tcW w:w="202" w:type="pct"/>
            <w:tcBorders>
              <w:left w:val="single" w:color="auto" w:sz="4" w:space="0"/>
            </w:tcBorders>
            <w:vAlign w:val="center"/>
          </w:tcPr>
          <w:p w14:paraId="2B724162">
            <w:pPr>
              <w:widowControl/>
              <w:spacing w:line="280" w:lineRule="exact"/>
              <w:jc w:val="center"/>
              <w:rPr>
                <w:rFonts w:ascii="Times New Roman"/>
                <w:kern w:val="0"/>
                <w:sz w:val="21"/>
                <w:szCs w:val="21"/>
              </w:rPr>
            </w:pPr>
            <w:r>
              <w:rPr>
                <w:rFonts w:hint="eastAsia" w:ascii="Times New Roman"/>
                <w:kern w:val="0"/>
                <w:sz w:val="21"/>
                <w:szCs w:val="21"/>
              </w:rPr>
              <w:t>--</w:t>
            </w:r>
          </w:p>
        </w:tc>
      </w:tr>
      <w:tr w14:paraId="16F7B7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0213E0E0">
            <w:pPr>
              <w:spacing w:line="280" w:lineRule="exact"/>
              <w:jc w:val="center"/>
              <w:rPr>
                <w:rFonts w:ascii="Times New Roman"/>
                <w:sz w:val="21"/>
                <w:szCs w:val="21"/>
              </w:rPr>
            </w:pPr>
            <w:r>
              <w:rPr>
                <w:rFonts w:hint="eastAsia" w:ascii="Times New Roman"/>
                <w:sz w:val="21"/>
                <w:szCs w:val="21"/>
              </w:rPr>
              <w:t>氨氮</w:t>
            </w:r>
          </w:p>
        </w:tc>
        <w:tc>
          <w:tcPr>
            <w:tcW w:w="416" w:type="pct"/>
            <w:tcBorders>
              <w:left w:val="single" w:color="auto" w:sz="4" w:space="0"/>
              <w:right w:val="single" w:color="auto" w:sz="4" w:space="0"/>
            </w:tcBorders>
            <w:vAlign w:val="center"/>
          </w:tcPr>
          <w:p w14:paraId="63C582F3">
            <w:pPr>
              <w:widowControl/>
              <w:spacing w:line="280" w:lineRule="exact"/>
              <w:jc w:val="center"/>
              <w:rPr>
                <w:rFonts w:ascii="Times New Roman"/>
                <w:sz w:val="21"/>
                <w:szCs w:val="21"/>
              </w:rPr>
            </w:pPr>
            <w:r>
              <w:rPr>
                <w:rFonts w:hint="eastAsia" w:ascii="Times New Roman"/>
                <w:sz w:val="21"/>
                <w:szCs w:val="21"/>
              </w:rPr>
              <w:t>6.75</w:t>
            </w:r>
            <w:r>
              <w:rPr>
                <w:rFonts w:hint="eastAsia" w:ascii="Times New Roman"/>
                <w:kern w:val="0"/>
                <w:sz w:val="21"/>
                <w:szCs w:val="21"/>
              </w:rPr>
              <w:t>mg/kg</w:t>
            </w:r>
          </w:p>
        </w:tc>
        <w:tc>
          <w:tcPr>
            <w:tcW w:w="532" w:type="pct"/>
            <w:tcBorders>
              <w:left w:val="single" w:color="auto" w:sz="4" w:space="0"/>
              <w:right w:val="single" w:color="auto" w:sz="4" w:space="0"/>
            </w:tcBorders>
            <w:vAlign w:val="center"/>
          </w:tcPr>
          <w:p w14:paraId="0418880F">
            <w:pPr>
              <w:widowControl/>
              <w:spacing w:line="280" w:lineRule="exact"/>
              <w:jc w:val="center"/>
              <w:rPr>
                <w:rFonts w:ascii="Times New Roman"/>
                <w:kern w:val="0"/>
                <w:sz w:val="21"/>
                <w:szCs w:val="21"/>
              </w:rPr>
            </w:pPr>
            <w:r>
              <w:rPr>
                <w:rFonts w:hint="eastAsia" w:ascii="Times New Roman"/>
                <w:kern w:val="0"/>
                <w:sz w:val="21"/>
                <w:szCs w:val="21"/>
              </w:rPr>
              <w:t>5.54mg/kg</w:t>
            </w:r>
          </w:p>
        </w:tc>
        <w:tc>
          <w:tcPr>
            <w:tcW w:w="535" w:type="pct"/>
            <w:tcBorders>
              <w:left w:val="single" w:color="auto" w:sz="4" w:space="0"/>
              <w:right w:val="single" w:color="auto" w:sz="4" w:space="0"/>
            </w:tcBorders>
            <w:vAlign w:val="center"/>
          </w:tcPr>
          <w:p w14:paraId="516293C7">
            <w:pPr>
              <w:spacing w:line="280" w:lineRule="exact"/>
              <w:jc w:val="center"/>
              <w:rPr>
                <w:rFonts w:ascii="Times New Roman"/>
                <w:sz w:val="21"/>
                <w:szCs w:val="21"/>
              </w:rPr>
            </w:pPr>
            <w:r>
              <w:rPr>
                <w:rFonts w:hint="eastAsia" w:ascii="Times New Roman"/>
                <w:sz w:val="21"/>
                <w:szCs w:val="21"/>
              </w:rPr>
              <w:t>4.90</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7FE6E393">
            <w:pPr>
              <w:spacing w:line="280" w:lineRule="exact"/>
              <w:jc w:val="center"/>
              <w:rPr>
                <w:rFonts w:ascii="Times New Roman"/>
                <w:sz w:val="21"/>
                <w:szCs w:val="21"/>
              </w:rPr>
            </w:pPr>
            <w:r>
              <w:rPr>
                <w:rFonts w:hint="eastAsia" w:ascii="Times New Roman"/>
                <w:sz w:val="21"/>
                <w:szCs w:val="21"/>
              </w:rPr>
              <w:t>6.14</w:t>
            </w:r>
            <w:r>
              <w:rPr>
                <w:rFonts w:hint="eastAsia" w:ascii="Times New Roman"/>
                <w:kern w:val="0"/>
                <w:sz w:val="21"/>
                <w:szCs w:val="21"/>
              </w:rPr>
              <w:t>mg/kg</w:t>
            </w:r>
          </w:p>
        </w:tc>
        <w:tc>
          <w:tcPr>
            <w:tcW w:w="518" w:type="pct"/>
            <w:tcBorders>
              <w:left w:val="single" w:color="auto" w:sz="4" w:space="0"/>
            </w:tcBorders>
            <w:vAlign w:val="center"/>
          </w:tcPr>
          <w:p w14:paraId="467EF75D">
            <w:pPr>
              <w:widowControl/>
              <w:spacing w:line="280" w:lineRule="exact"/>
              <w:jc w:val="center"/>
              <w:rPr>
                <w:rFonts w:ascii="Times New Roman"/>
                <w:kern w:val="0"/>
                <w:sz w:val="21"/>
                <w:szCs w:val="21"/>
              </w:rPr>
            </w:pPr>
            <w:r>
              <w:rPr>
                <w:rFonts w:hint="eastAsia" w:ascii="Times New Roman"/>
                <w:kern w:val="0"/>
                <w:sz w:val="21"/>
                <w:szCs w:val="21"/>
              </w:rPr>
              <w:t>6.21mg/kg</w:t>
            </w:r>
          </w:p>
        </w:tc>
        <w:tc>
          <w:tcPr>
            <w:tcW w:w="390" w:type="pct"/>
            <w:vAlign w:val="center"/>
          </w:tcPr>
          <w:p w14:paraId="1835B4F0">
            <w:pPr>
              <w:spacing w:line="280" w:lineRule="exact"/>
              <w:jc w:val="center"/>
              <w:rPr>
                <w:rFonts w:ascii="Times New Roman"/>
                <w:sz w:val="21"/>
                <w:szCs w:val="21"/>
              </w:rPr>
            </w:pPr>
            <w:r>
              <w:rPr>
                <w:rFonts w:hint="eastAsia" w:ascii="Times New Roman"/>
                <w:sz w:val="21"/>
                <w:szCs w:val="21"/>
              </w:rPr>
              <w:t>5.16</w:t>
            </w:r>
            <w:r>
              <w:rPr>
                <w:rFonts w:hint="eastAsia" w:ascii="Times New Roman"/>
                <w:kern w:val="0"/>
                <w:sz w:val="21"/>
                <w:szCs w:val="21"/>
              </w:rPr>
              <w:t>mg/kg</w:t>
            </w:r>
          </w:p>
        </w:tc>
        <w:tc>
          <w:tcPr>
            <w:tcW w:w="422" w:type="pct"/>
            <w:vAlign w:val="center"/>
          </w:tcPr>
          <w:p w14:paraId="64189D54">
            <w:pPr>
              <w:widowControl/>
              <w:spacing w:line="280" w:lineRule="exact"/>
              <w:jc w:val="center"/>
              <w:rPr>
                <w:rFonts w:ascii="Times New Roman"/>
                <w:kern w:val="0"/>
                <w:sz w:val="21"/>
                <w:szCs w:val="21"/>
              </w:rPr>
            </w:pPr>
            <w:r>
              <w:rPr>
                <w:rFonts w:hint="eastAsia" w:ascii="Times New Roman"/>
                <w:kern w:val="0"/>
                <w:sz w:val="21"/>
                <w:szCs w:val="21"/>
              </w:rPr>
              <w:t>6.55mg/kg</w:t>
            </w:r>
          </w:p>
        </w:tc>
        <w:tc>
          <w:tcPr>
            <w:tcW w:w="413" w:type="pct"/>
            <w:tcBorders>
              <w:left w:val="single" w:color="auto" w:sz="4" w:space="0"/>
              <w:right w:val="single" w:color="auto" w:sz="4" w:space="0"/>
            </w:tcBorders>
            <w:vAlign w:val="center"/>
          </w:tcPr>
          <w:p w14:paraId="12C4048F">
            <w:pPr>
              <w:widowControl/>
              <w:spacing w:line="280" w:lineRule="exact"/>
              <w:jc w:val="center"/>
              <w:rPr>
                <w:rFonts w:ascii="Times New Roman"/>
                <w:kern w:val="0"/>
                <w:sz w:val="21"/>
                <w:szCs w:val="21"/>
              </w:rPr>
            </w:pPr>
            <w:r>
              <w:rPr>
                <w:rFonts w:hint="eastAsia" w:ascii="Times New Roman"/>
                <w:kern w:val="0"/>
                <w:sz w:val="21"/>
                <w:szCs w:val="21"/>
              </w:rPr>
              <w:t>5.87mg/kg</w:t>
            </w:r>
          </w:p>
        </w:tc>
        <w:tc>
          <w:tcPr>
            <w:tcW w:w="391" w:type="pct"/>
            <w:tcBorders>
              <w:left w:val="single" w:color="auto" w:sz="4" w:space="0"/>
              <w:right w:val="single" w:color="auto" w:sz="4" w:space="0"/>
            </w:tcBorders>
            <w:vAlign w:val="center"/>
          </w:tcPr>
          <w:p w14:paraId="7B4D85D2">
            <w:pPr>
              <w:spacing w:line="280" w:lineRule="exact"/>
              <w:jc w:val="center"/>
              <w:rPr>
                <w:rFonts w:ascii="Times New Roman"/>
                <w:kern w:val="0"/>
                <w:sz w:val="21"/>
                <w:szCs w:val="21"/>
              </w:rPr>
            </w:pPr>
            <w:r>
              <w:rPr>
                <w:rFonts w:hint="eastAsia" w:ascii="Times New Roman"/>
                <w:kern w:val="0"/>
                <w:sz w:val="21"/>
                <w:szCs w:val="21"/>
              </w:rPr>
              <w:t>5.70mg/kg</w:t>
            </w:r>
          </w:p>
        </w:tc>
        <w:tc>
          <w:tcPr>
            <w:tcW w:w="271" w:type="pct"/>
            <w:tcBorders>
              <w:left w:val="single" w:color="auto" w:sz="4" w:space="0"/>
            </w:tcBorders>
            <w:vAlign w:val="center"/>
          </w:tcPr>
          <w:p w14:paraId="6EC2D540">
            <w:pPr>
              <w:widowControl/>
              <w:spacing w:line="280" w:lineRule="exact"/>
              <w:jc w:val="center"/>
              <w:rPr>
                <w:rFonts w:ascii="Times New Roman"/>
                <w:kern w:val="0"/>
                <w:sz w:val="21"/>
                <w:szCs w:val="21"/>
              </w:rPr>
            </w:pPr>
            <w:r>
              <w:rPr>
                <w:rFonts w:hint="eastAsia" w:ascii="Times New Roman"/>
                <w:kern w:val="0"/>
                <w:sz w:val="21"/>
                <w:szCs w:val="21"/>
              </w:rPr>
              <w:t>1200</w:t>
            </w:r>
          </w:p>
        </w:tc>
        <w:tc>
          <w:tcPr>
            <w:tcW w:w="202" w:type="pct"/>
            <w:tcBorders>
              <w:left w:val="single" w:color="auto" w:sz="4" w:space="0"/>
            </w:tcBorders>
            <w:vAlign w:val="center"/>
          </w:tcPr>
          <w:p w14:paraId="0A92B0D8">
            <w:pPr>
              <w:widowControl/>
              <w:spacing w:line="280" w:lineRule="exact"/>
              <w:jc w:val="center"/>
              <w:rPr>
                <w:rFonts w:ascii="Times New Roman"/>
                <w:kern w:val="0"/>
                <w:sz w:val="21"/>
                <w:szCs w:val="21"/>
              </w:rPr>
            </w:pPr>
            <w:r>
              <w:rPr>
                <w:rFonts w:ascii="Times New Roman"/>
                <w:kern w:val="0"/>
                <w:sz w:val="21"/>
                <w:szCs w:val="21"/>
              </w:rPr>
              <w:t>达标</w:t>
            </w:r>
          </w:p>
        </w:tc>
      </w:tr>
      <w:tr w14:paraId="691729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0F835FC">
            <w:pPr>
              <w:spacing w:line="280" w:lineRule="exact"/>
              <w:jc w:val="center"/>
              <w:rPr>
                <w:rFonts w:ascii="Times New Roman"/>
                <w:sz w:val="21"/>
                <w:szCs w:val="21"/>
              </w:rPr>
            </w:pPr>
            <w:r>
              <w:rPr>
                <w:rFonts w:hint="eastAsia" w:ascii="Times New Roman"/>
                <w:sz w:val="21"/>
                <w:szCs w:val="21"/>
              </w:rPr>
              <w:t>汞</w:t>
            </w:r>
          </w:p>
        </w:tc>
        <w:tc>
          <w:tcPr>
            <w:tcW w:w="416" w:type="pct"/>
            <w:tcBorders>
              <w:left w:val="single" w:color="auto" w:sz="4" w:space="0"/>
              <w:right w:val="single" w:color="auto" w:sz="4" w:space="0"/>
            </w:tcBorders>
            <w:vAlign w:val="center"/>
          </w:tcPr>
          <w:p w14:paraId="1385CEDB">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2BE64B4">
            <w:pPr>
              <w:widowControl/>
              <w:spacing w:line="280" w:lineRule="exact"/>
              <w:jc w:val="center"/>
              <w:rPr>
                <w:rFonts w:ascii="Times New Roman"/>
                <w:kern w:val="0"/>
                <w:sz w:val="21"/>
                <w:szCs w:val="21"/>
              </w:rPr>
            </w:pPr>
            <w:r>
              <w:rPr>
                <w:rFonts w:hint="eastAsia" w:ascii="Times New Roman"/>
                <w:kern w:val="0"/>
                <w:sz w:val="21"/>
                <w:szCs w:val="21"/>
              </w:rPr>
              <w:t>0.122mg/kg</w:t>
            </w:r>
          </w:p>
        </w:tc>
        <w:tc>
          <w:tcPr>
            <w:tcW w:w="535" w:type="pct"/>
            <w:tcBorders>
              <w:left w:val="single" w:color="auto" w:sz="4" w:space="0"/>
              <w:right w:val="single" w:color="auto" w:sz="4" w:space="0"/>
            </w:tcBorders>
            <w:vAlign w:val="center"/>
          </w:tcPr>
          <w:p w14:paraId="462EE463">
            <w:pPr>
              <w:spacing w:line="280" w:lineRule="exact"/>
              <w:jc w:val="center"/>
              <w:rPr>
                <w:rFonts w:ascii="Times New Roman"/>
                <w:sz w:val="21"/>
                <w:szCs w:val="21"/>
              </w:rPr>
            </w:pPr>
            <w:r>
              <w:rPr>
                <w:rFonts w:hint="eastAsia" w:ascii="Times New Roman"/>
                <w:sz w:val="21"/>
                <w:szCs w:val="21"/>
              </w:rPr>
              <w:t>0.113</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1A0E3184">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55054CFE">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0D33CBD2">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7ECF22B1">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2737B0AC">
            <w:pPr>
              <w:widowControl/>
              <w:spacing w:line="280" w:lineRule="exact"/>
              <w:jc w:val="center"/>
              <w:rPr>
                <w:rFonts w:ascii="Times New Roman"/>
                <w:kern w:val="0"/>
                <w:sz w:val="21"/>
                <w:szCs w:val="21"/>
              </w:rPr>
            </w:pPr>
            <w:r>
              <w:rPr>
                <w:rFonts w:hint="eastAsia" w:ascii="Times New Roman"/>
                <w:kern w:val="0"/>
                <w:sz w:val="21"/>
                <w:szCs w:val="21"/>
              </w:rPr>
              <w:t>0.110mg/kg</w:t>
            </w:r>
          </w:p>
        </w:tc>
        <w:tc>
          <w:tcPr>
            <w:tcW w:w="391" w:type="pct"/>
            <w:tcBorders>
              <w:left w:val="single" w:color="auto" w:sz="4" w:space="0"/>
              <w:right w:val="single" w:color="auto" w:sz="4" w:space="0"/>
            </w:tcBorders>
            <w:vAlign w:val="center"/>
          </w:tcPr>
          <w:p w14:paraId="1C661108">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BD5917E">
            <w:pPr>
              <w:widowControl/>
              <w:spacing w:line="280" w:lineRule="exact"/>
              <w:jc w:val="center"/>
              <w:rPr>
                <w:rFonts w:ascii="Times New Roman"/>
                <w:kern w:val="0"/>
                <w:sz w:val="21"/>
                <w:szCs w:val="21"/>
              </w:rPr>
            </w:pPr>
            <w:r>
              <w:rPr>
                <w:rFonts w:hint="eastAsia" w:ascii="Times New Roman"/>
                <w:kern w:val="0"/>
                <w:sz w:val="21"/>
                <w:szCs w:val="21"/>
              </w:rPr>
              <w:t>38</w:t>
            </w:r>
          </w:p>
        </w:tc>
        <w:tc>
          <w:tcPr>
            <w:tcW w:w="202" w:type="pct"/>
            <w:tcBorders>
              <w:left w:val="single" w:color="auto" w:sz="4" w:space="0"/>
            </w:tcBorders>
            <w:vAlign w:val="center"/>
          </w:tcPr>
          <w:p w14:paraId="2D914DA0">
            <w:pPr>
              <w:widowControl/>
              <w:spacing w:line="280" w:lineRule="exact"/>
              <w:jc w:val="center"/>
              <w:rPr>
                <w:rFonts w:ascii="Times New Roman"/>
                <w:kern w:val="0"/>
                <w:sz w:val="21"/>
                <w:szCs w:val="21"/>
              </w:rPr>
            </w:pPr>
            <w:r>
              <w:rPr>
                <w:rFonts w:ascii="Times New Roman"/>
                <w:kern w:val="0"/>
                <w:sz w:val="21"/>
                <w:szCs w:val="21"/>
              </w:rPr>
              <w:t>达标</w:t>
            </w:r>
          </w:p>
        </w:tc>
      </w:tr>
      <w:tr w14:paraId="642674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C40B117">
            <w:pPr>
              <w:spacing w:line="280" w:lineRule="exact"/>
              <w:jc w:val="center"/>
              <w:rPr>
                <w:rFonts w:ascii="Times New Roman"/>
                <w:sz w:val="21"/>
                <w:szCs w:val="21"/>
              </w:rPr>
            </w:pPr>
            <w:r>
              <w:rPr>
                <w:rFonts w:hint="eastAsia" w:ascii="Times New Roman"/>
                <w:sz w:val="21"/>
                <w:szCs w:val="21"/>
              </w:rPr>
              <w:t>石油烃（C10-C40）</w:t>
            </w:r>
          </w:p>
        </w:tc>
        <w:tc>
          <w:tcPr>
            <w:tcW w:w="416" w:type="pct"/>
            <w:tcBorders>
              <w:left w:val="single" w:color="auto" w:sz="4" w:space="0"/>
              <w:right w:val="single" w:color="auto" w:sz="4" w:space="0"/>
            </w:tcBorders>
            <w:vAlign w:val="center"/>
          </w:tcPr>
          <w:p w14:paraId="5D78104F">
            <w:pPr>
              <w:widowControl/>
              <w:spacing w:line="280" w:lineRule="exact"/>
              <w:jc w:val="center"/>
              <w:rPr>
                <w:rFonts w:ascii="Times New Roman"/>
                <w:sz w:val="21"/>
                <w:szCs w:val="21"/>
              </w:rPr>
            </w:pPr>
            <w:r>
              <w:rPr>
                <w:rFonts w:hint="eastAsia" w:ascii="Times New Roman"/>
                <w:sz w:val="21"/>
                <w:szCs w:val="21"/>
              </w:rPr>
              <w:t>7</w:t>
            </w:r>
            <w:r>
              <w:rPr>
                <w:rFonts w:hint="eastAsia" w:ascii="Times New Roman"/>
                <w:kern w:val="0"/>
                <w:sz w:val="21"/>
                <w:szCs w:val="21"/>
              </w:rPr>
              <w:t>mg/kg</w:t>
            </w:r>
          </w:p>
        </w:tc>
        <w:tc>
          <w:tcPr>
            <w:tcW w:w="532" w:type="pct"/>
            <w:tcBorders>
              <w:left w:val="single" w:color="auto" w:sz="4" w:space="0"/>
              <w:right w:val="single" w:color="auto" w:sz="4" w:space="0"/>
            </w:tcBorders>
            <w:vAlign w:val="center"/>
          </w:tcPr>
          <w:p w14:paraId="5A537DA6">
            <w:pPr>
              <w:widowControl/>
              <w:spacing w:line="280" w:lineRule="exact"/>
              <w:jc w:val="center"/>
              <w:rPr>
                <w:rFonts w:ascii="Times New Roman"/>
                <w:kern w:val="0"/>
                <w:sz w:val="21"/>
                <w:szCs w:val="21"/>
              </w:rPr>
            </w:pPr>
            <w:r>
              <w:rPr>
                <w:rFonts w:hint="eastAsia" w:ascii="Times New Roman"/>
                <w:kern w:val="0"/>
                <w:sz w:val="21"/>
                <w:szCs w:val="21"/>
              </w:rPr>
              <w:t>ND</w:t>
            </w:r>
          </w:p>
        </w:tc>
        <w:tc>
          <w:tcPr>
            <w:tcW w:w="535" w:type="pct"/>
            <w:tcBorders>
              <w:left w:val="single" w:color="auto" w:sz="4" w:space="0"/>
              <w:right w:val="single" w:color="auto" w:sz="4" w:space="0"/>
            </w:tcBorders>
            <w:vAlign w:val="center"/>
          </w:tcPr>
          <w:p w14:paraId="6C92AE6D">
            <w:pPr>
              <w:spacing w:line="280" w:lineRule="exact"/>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75F5C217">
            <w:pPr>
              <w:spacing w:line="280" w:lineRule="exact"/>
              <w:jc w:val="center"/>
              <w:rPr>
                <w:rFonts w:ascii="Times New Roman"/>
                <w:sz w:val="21"/>
                <w:szCs w:val="21"/>
              </w:rPr>
            </w:pPr>
            <w:r>
              <w:rPr>
                <w:rFonts w:hint="eastAsia" w:ascii="Times New Roman"/>
                <w:sz w:val="21"/>
                <w:szCs w:val="21"/>
              </w:rPr>
              <w:t>9</w:t>
            </w:r>
            <w:r>
              <w:rPr>
                <w:rFonts w:hint="eastAsia" w:ascii="Times New Roman"/>
                <w:kern w:val="0"/>
                <w:sz w:val="21"/>
                <w:szCs w:val="21"/>
              </w:rPr>
              <w:t>mg/kg</w:t>
            </w:r>
          </w:p>
        </w:tc>
        <w:tc>
          <w:tcPr>
            <w:tcW w:w="518" w:type="pct"/>
            <w:tcBorders>
              <w:left w:val="single" w:color="auto" w:sz="4" w:space="0"/>
            </w:tcBorders>
            <w:vAlign w:val="center"/>
          </w:tcPr>
          <w:p w14:paraId="108A7FA4">
            <w:pPr>
              <w:widowControl/>
              <w:spacing w:line="280" w:lineRule="exact"/>
              <w:jc w:val="center"/>
              <w:rPr>
                <w:rFonts w:ascii="Times New Roman"/>
                <w:kern w:val="0"/>
                <w:sz w:val="21"/>
                <w:szCs w:val="21"/>
              </w:rPr>
            </w:pPr>
            <w:r>
              <w:rPr>
                <w:rFonts w:hint="eastAsia" w:ascii="Times New Roman"/>
                <w:kern w:val="0"/>
                <w:sz w:val="21"/>
                <w:szCs w:val="21"/>
              </w:rPr>
              <w:t>7mg/kg</w:t>
            </w:r>
          </w:p>
        </w:tc>
        <w:tc>
          <w:tcPr>
            <w:tcW w:w="390" w:type="pct"/>
            <w:vAlign w:val="center"/>
          </w:tcPr>
          <w:p w14:paraId="61F0C116">
            <w:pPr>
              <w:spacing w:line="280" w:lineRule="exact"/>
              <w:jc w:val="center"/>
              <w:rPr>
                <w:rFonts w:ascii="Times New Roman"/>
                <w:sz w:val="21"/>
                <w:szCs w:val="21"/>
              </w:rPr>
            </w:pPr>
            <w:r>
              <w:rPr>
                <w:rFonts w:hint="eastAsia" w:ascii="Times New Roman"/>
                <w:sz w:val="21"/>
                <w:szCs w:val="21"/>
              </w:rPr>
              <w:t>9</w:t>
            </w:r>
            <w:r>
              <w:rPr>
                <w:rFonts w:hint="eastAsia" w:ascii="Times New Roman"/>
                <w:kern w:val="0"/>
                <w:sz w:val="21"/>
                <w:szCs w:val="21"/>
              </w:rPr>
              <w:t>mg/kg</w:t>
            </w:r>
          </w:p>
        </w:tc>
        <w:tc>
          <w:tcPr>
            <w:tcW w:w="422" w:type="pct"/>
            <w:vAlign w:val="center"/>
          </w:tcPr>
          <w:p w14:paraId="1C8F577C">
            <w:pPr>
              <w:widowControl/>
              <w:spacing w:line="280" w:lineRule="exact"/>
              <w:jc w:val="center"/>
              <w:rPr>
                <w:rFonts w:ascii="Times New Roman"/>
                <w:kern w:val="0"/>
                <w:sz w:val="21"/>
                <w:szCs w:val="21"/>
              </w:rPr>
            </w:pPr>
            <w:r>
              <w:rPr>
                <w:rFonts w:hint="eastAsia" w:ascii="Times New Roman"/>
                <w:kern w:val="0"/>
                <w:sz w:val="21"/>
                <w:szCs w:val="21"/>
              </w:rPr>
              <w:t>6mg/kg</w:t>
            </w:r>
          </w:p>
        </w:tc>
        <w:tc>
          <w:tcPr>
            <w:tcW w:w="413" w:type="pct"/>
            <w:tcBorders>
              <w:left w:val="single" w:color="auto" w:sz="4" w:space="0"/>
              <w:right w:val="single" w:color="auto" w:sz="4" w:space="0"/>
            </w:tcBorders>
            <w:vAlign w:val="center"/>
          </w:tcPr>
          <w:p w14:paraId="4DA2D37C">
            <w:pPr>
              <w:widowControl/>
              <w:spacing w:line="280" w:lineRule="exact"/>
              <w:jc w:val="center"/>
              <w:rPr>
                <w:rFonts w:ascii="Times New Roman"/>
                <w:kern w:val="0"/>
                <w:sz w:val="21"/>
                <w:szCs w:val="21"/>
              </w:rPr>
            </w:pPr>
            <w:r>
              <w:rPr>
                <w:rFonts w:hint="eastAsia" w:ascii="Times New Roman"/>
                <w:kern w:val="0"/>
                <w:sz w:val="21"/>
                <w:szCs w:val="21"/>
              </w:rPr>
              <w:t>17mg/kg</w:t>
            </w:r>
          </w:p>
        </w:tc>
        <w:tc>
          <w:tcPr>
            <w:tcW w:w="391" w:type="pct"/>
            <w:tcBorders>
              <w:left w:val="single" w:color="auto" w:sz="4" w:space="0"/>
              <w:right w:val="single" w:color="auto" w:sz="4" w:space="0"/>
            </w:tcBorders>
            <w:vAlign w:val="center"/>
          </w:tcPr>
          <w:p w14:paraId="0617368D">
            <w:pPr>
              <w:spacing w:line="280" w:lineRule="exact"/>
              <w:jc w:val="center"/>
              <w:rPr>
                <w:rFonts w:ascii="Times New Roman"/>
                <w:kern w:val="0"/>
                <w:sz w:val="21"/>
                <w:szCs w:val="21"/>
              </w:rPr>
            </w:pPr>
            <w:r>
              <w:rPr>
                <w:rFonts w:hint="eastAsia" w:ascii="Times New Roman"/>
                <w:kern w:val="0"/>
                <w:sz w:val="21"/>
                <w:szCs w:val="21"/>
              </w:rPr>
              <w:t>7mg/kg</w:t>
            </w:r>
          </w:p>
        </w:tc>
        <w:tc>
          <w:tcPr>
            <w:tcW w:w="271" w:type="pct"/>
            <w:tcBorders>
              <w:left w:val="single" w:color="auto" w:sz="4" w:space="0"/>
            </w:tcBorders>
            <w:vAlign w:val="center"/>
          </w:tcPr>
          <w:p w14:paraId="3614EF4D">
            <w:pPr>
              <w:widowControl/>
              <w:spacing w:line="280" w:lineRule="exact"/>
              <w:jc w:val="center"/>
              <w:rPr>
                <w:rFonts w:ascii="Times New Roman"/>
                <w:kern w:val="0"/>
                <w:sz w:val="21"/>
                <w:szCs w:val="21"/>
              </w:rPr>
            </w:pPr>
            <w:r>
              <w:rPr>
                <w:rFonts w:hint="eastAsia" w:ascii="Times New Roman"/>
                <w:kern w:val="0"/>
                <w:sz w:val="21"/>
                <w:szCs w:val="21"/>
              </w:rPr>
              <w:t>4500</w:t>
            </w:r>
          </w:p>
        </w:tc>
        <w:tc>
          <w:tcPr>
            <w:tcW w:w="202" w:type="pct"/>
            <w:tcBorders>
              <w:left w:val="single" w:color="auto" w:sz="4" w:space="0"/>
            </w:tcBorders>
            <w:vAlign w:val="center"/>
          </w:tcPr>
          <w:p w14:paraId="21B0D7DD">
            <w:pPr>
              <w:widowControl/>
              <w:spacing w:line="280" w:lineRule="exact"/>
              <w:jc w:val="center"/>
              <w:rPr>
                <w:rFonts w:ascii="Times New Roman"/>
                <w:kern w:val="0"/>
                <w:sz w:val="21"/>
                <w:szCs w:val="21"/>
              </w:rPr>
            </w:pPr>
            <w:r>
              <w:rPr>
                <w:rFonts w:ascii="Times New Roman"/>
                <w:kern w:val="0"/>
                <w:sz w:val="21"/>
                <w:szCs w:val="21"/>
              </w:rPr>
              <w:t>达标</w:t>
            </w:r>
          </w:p>
        </w:tc>
      </w:tr>
      <w:tr w14:paraId="0366AA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7F988DD">
            <w:pPr>
              <w:spacing w:line="280" w:lineRule="exact"/>
              <w:jc w:val="center"/>
              <w:rPr>
                <w:rFonts w:ascii="Times New Roman"/>
                <w:sz w:val="21"/>
                <w:szCs w:val="21"/>
              </w:rPr>
            </w:pPr>
            <w:r>
              <w:rPr>
                <w:rFonts w:hint="eastAsia" w:ascii="Times New Roman"/>
                <w:sz w:val="21"/>
                <w:szCs w:val="21"/>
              </w:rPr>
              <w:t>砷</w:t>
            </w:r>
          </w:p>
        </w:tc>
        <w:tc>
          <w:tcPr>
            <w:tcW w:w="416" w:type="pct"/>
            <w:tcBorders>
              <w:left w:val="single" w:color="auto" w:sz="4" w:space="0"/>
              <w:right w:val="single" w:color="auto" w:sz="4" w:space="0"/>
            </w:tcBorders>
            <w:vAlign w:val="center"/>
          </w:tcPr>
          <w:p w14:paraId="1220DB08">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7190CEE5">
            <w:pPr>
              <w:widowControl/>
              <w:spacing w:line="280" w:lineRule="exact"/>
              <w:jc w:val="center"/>
              <w:rPr>
                <w:rFonts w:ascii="Times New Roman"/>
                <w:kern w:val="0"/>
                <w:sz w:val="21"/>
                <w:szCs w:val="21"/>
              </w:rPr>
            </w:pPr>
            <w:r>
              <w:rPr>
                <w:rFonts w:hint="eastAsia" w:ascii="Times New Roman"/>
                <w:kern w:val="0"/>
                <w:sz w:val="21"/>
                <w:szCs w:val="21"/>
              </w:rPr>
              <w:t>3.21mg/kg</w:t>
            </w:r>
          </w:p>
        </w:tc>
        <w:tc>
          <w:tcPr>
            <w:tcW w:w="535" w:type="pct"/>
            <w:tcBorders>
              <w:left w:val="single" w:color="auto" w:sz="4" w:space="0"/>
              <w:right w:val="single" w:color="auto" w:sz="4" w:space="0"/>
            </w:tcBorders>
            <w:vAlign w:val="center"/>
          </w:tcPr>
          <w:p w14:paraId="55DCA559">
            <w:pPr>
              <w:spacing w:line="280" w:lineRule="exact"/>
              <w:jc w:val="center"/>
              <w:rPr>
                <w:rFonts w:ascii="Times New Roman"/>
                <w:sz w:val="21"/>
                <w:szCs w:val="21"/>
              </w:rPr>
            </w:pPr>
            <w:r>
              <w:rPr>
                <w:rFonts w:hint="eastAsia" w:ascii="Times New Roman"/>
                <w:sz w:val="21"/>
                <w:szCs w:val="21"/>
              </w:rPr>
              <w:t>3.35</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0DA7548C">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A09226A">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0EA52E09">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7E92FECF">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102E72F9">
            <w:pPr>
              <w:widowControl/>
              <w:spacing w:line="280" w:lineRule="exact"/>
              <w:jc w:val="center"/>
              <w:rPr>
                <w:rFonts w:ascii="Times New Roman"/>
                <w:kern w:val="0"/>
                <w:sz w:val="21"/>
                <w:szCs w:val="21"/>
              </w:rPr>
            </w:pPr>
            <w:r>
              <w:rPr>
                <w:rFonts w:hint="eastAsia" w:ascii="Times New Roman"/>
                <w:kern w:val="0"/>
                <w:sz w:val="21"/>
                <w:szCs w:val="21"/>
              </w:rPr>
              <w:t>2.60mg/kg</w:t>
            </w:r>
          </w:p>
        </w:tc>
        <w:tc>
          <w:tcPr>
            <w:tcW w:w="391" w:type="pct"/>
            <w:tcBorders>
              <w:left w:val="single" w:color="auto" w:sz="4" w:space="0"/>
              <w:right w:val="single" w:color="auto" w:sz="4" w:space="0"/>
            </w:tcBorders>
            <w:vAlign w:val="center"/>
          </w:tcPr>
          <w:p w14:paraId="19BF648A">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32017C17">
            <w:pPr>
              <w:widowControl/>
              <w:spacing w:line="280" w:lineRule="exact"/>
              <w:jc w:val="center"/>
              <w:rPr>
                <w:rFonts w:ascii="Times New Roman"/>
                <w:kern w:val="0"/>
                <w:sz w:val="21"/>
                <w:szCs w:val="21"/>
              </w:rPr>
            </w:pPr>
            <w:r>
              <w:rPr>
                <w:rFonts w:hint="eastAsia" w:ascii="Times New Roman"/>
                <w:kern w:val="0"/>
                <w:sz w:val="21"/>
                <w:szCs w:val="21"/>
              </w:rPr>
              <w:t>60</w:t>
            </w:r>
          </w:p>
        </w:tc>
        <w:tc>
          <w:tcPr>
            <w:tcW w:w="202" w:type="pct"/>
            <w:tcBorders>
              <w:left w:val="single" w:color="auto" w:sz="4" w:space="0"/>
            </w:tcBorders>
            <w:vAlign w:val="center"/>
          </w:tcPr>
          <w:p w14:paraId="427CB37B">
            <w:pPr>
              <w:widowControl/>
              <w:spacing w:line="280" w:lineRule="exact"/>
              <w:jc w:val="center"/>
              <w:rPr>
                <w:rFonts w:ascii="Times New Roman"/>
                <w:kern w:val="0"/>
                <w:sz w:val="21"/>
                <w:szCs w:val="21"/>
              </w:rPr>
            </w:pPr>
            <w:r>
              <w:rPr>
                <w:rFonts w:ascii="Times New Roman"/>
                <w:kern w:val="0"/>
                <w:sz w:val="21"/>
                <w:szCs w:val="21"/>
              </w:rPr>
              <w:t>达标</w:t>
            </w:r>
          </w:p>
        </w:tc>
      </w:tr>
      <w:tr w14:paraId="50DDDF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FE80195">
            <w:pPr>
              <w:spacing w:line="280" w:lineRule="exact"/>
              <w:jc w:val="center"/>
              <w:rPr>
                <w:rFonts w:ascii="Times New Roman"/>
                <w:sz w:val="21"/>
                <w:szCs w:val="21"/>
              </w:rPr>
            </w:pPr>
            <w:r>
              <w:rPr>
                <w:rFonts w:hint="eastAsia" w:ascii="Times New Roman"/>
                <w:sz w:val="21"/>
                <w:szCs w:val="21"/>
              </w:rPr>
              <w:t>铅</w:t>
            </w:r>
          </w:p>
        </w:tc>
        <w:tc>
          <w:tcPr>
            <w:tcW w:w="416" w:type="pct"/>
            <w:tcBorders>
              <w:left w:val="single" w:color="auto" w:sz="4" w:space="0"/>
              <w:right w:val="single" w:color="auto" w:sz="4" w:space="0"/>
            </w:tcBorders>
            <w:vAlign w:val="center"/>
          </w:tcPr>
          <w:p w14:paraId="4CD65ED7">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5602ED1">
            <w:pPr>
              <w:widowControl/>
              <w:spacing w:line="280" w:lineRule="exact"/>
              <w:jc w:val="center"/>
              <w:rPr>
                <w:rFonts w:ascii="Times New Roman"/>
                <w:kern w:val="0"/>
                <w:sz w:val="21"/>
                <w:szCs w:val="21"/>
              </w:rPr>
            </w:pPr>
            <w:r>
              <w:rPr>
                <w:rFonts w:hint="eastAsia" w:ascii="Times New Roman"/>
                <w:kern w:val="0"/>
                <w:sz w:val="21"/>
                <w:szCs w:val="21"/>
              </w:rPr>
              <w:t>41mg/kg</w:t>
            </w:r>
          </w:p>
        </w:tc>
        <w:tc>
          <w:tcPr>
            <w:tcW w:w="535" w:type="pct"/>
            <w:tcBorders>
              <w:left w:val="single" w:color="auto" w:sz="4" w:space="0"/>
              <w:right w:val="single" w:color="auto" w:sz="4" w:space="0"/>
            </w:tcBorders>
            <w:vAlign w:val="center"/>
          </w:tcPr>
          <w:p w14:paraId="623832F7">
            <w:pPr>
              <w:spacing w:line="280" w:lineRule="exact"/>
              <w:jc w:val="center"/>
              <w:rPr>
                <w:rFonts w:ascii="Times New Roman"/>
                <w:sz w:val="21"/>
                <w:szCs w:val="21"/>
              </w:rPr>
            </w:pPr>
            <w:r>
              <w:rPr>
                <w:rFonts w:hint="eastAsia" w:ascii="Times New Roman"/>
                <w:sz w:val="21"/>
                <w:szCs w:val="21"/>
              </w:rPr>
              <w:t>43</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31BE7537">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42642FCF">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469AB87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4CAA4F0D">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64BCEB7">
            <w:pPr>
              <w:widowControl/>
              <w:spacing w:line="280" w:lineRule="exact"/>
              <w:jc w:val="center"/>
              <w:rPr>
                <w:rFonts w:ascii="Times New Roman"/>
                <w:kern w:val="0"/>
                <w:sz w:val="21"/>
                <w:szCs w:val="21"/>
              </w:rPr>
            </w:pPr>
            <w:r>
              <w:rPr>
                <w:rFonts w:hint="eastAsia" w:ascii="Times New Roman"/>
                <w:kern w:val="0"/>
                <w:sz w:val="21"/>
                <w:szCs w:val="21"/>
              </w:rPr>
              <w:t>39mg/kg</w:t>
            </w:r>
          </w:p>
        </w:tc>
        <w:tc>
          <w:tcPr>
            <w:tcW w:w="391" w:type="pct"/>
            <w:tcBorders>
              <w:left w:val="single" w:color="auto" w:sz="4" w:space="0"/>
              <w:right w:val="single" w:color="auto" w:sz="4" w:space="0"/>
            </w:tcBorders>
            <w:vAlign w:val="center"/>
          </w:tcPr>
          <w:p w14:paraId="667105CB">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325236BF">
            <w:pPr>
              <w:widowControl/>
              <w:spacing w:line="280" w:lineRule="exact"/>
              <w:jc w:val="center"/>
              <w:rPr>
                <w:rFonts w:ascii="Times New Roman"/>
                <w:kern w:val="0"/>
                <w:sz w:val="21"/>
                <w:szCs w:val="21"/>
              </w:rPr>
            </w:pPr>
            <w:r>
              <w:rPr>
                <w:rFonts w:hint="eastAsia" w:ascii="Times New Roman"/>
                <w:kern w:val="0"/>
                <w:sz w:val="21"/>
                <w:szCs w:val="21"/>
              </w:rPr>
              <w:t>800</w:t>
            </w:r>
          </w:p>
        </w:tc>
        <w:tc>
          <w:tcPr>
            <w:tcW w:w="202" w:type="pct"/>
            <w:tcBorders>
              <w:left w:val="single" w:color="auto" w:sz="4" w:space="0"/>
            </w:tcBorders>
            <w:vAlign w:val="center"/>
          </w:tcPr>
          <w:p w14:paraId="39F354E0">
            <w:pPr>
              <w:widowControl/>
              <w:spacing w:line="280" w:lineRule="exact"/>
              <w:jc w:val="center"/>
              <w:rPr>
                <w:rFonts w:ascii="Times New Roman"/>
                <w:kern w:val="0"/>
                <w:sz w:val="21"/>
                <w:szCs w:val="21"/>
              </w:rPr>
            </w:pPr>
            <w:r>
              <w:rPr>
                <w:rFonts w:ascii="Times New Roman"/>
                <w:kern w:val="0"/>
                <w:sz w:val="21"/>
                <w:szCs w:val="21"/>
              </w:rPr>
              <w:t>达标</w:t>
            </w:r>
          </w:p>
        </w:tc>
      </w:tr>
      <w:tr w14:paraId="06962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2F525F13">
            <w:pPr>
              <w:spacing w:line="280" w:lineRule="exact"/>
              <w:jc w:val="center"/>
              <w:rPr>
                <w:rFonts w:ascii="Times New Roman"/>
                <w:sz w:val="21"/>
                <w:szCs w:val="21"/>
              </w:rPr>
            </w:pPr>
            <w:r>
              <w:rPr>
                <w:rFonts w:hint="eastAsia" w:ascii="Times New Roman"/>
                <w:sz w:val="21"/>
                <w:szCs w:val="21"/>
              </w:rPr>
              <w:t>铜</w:t>
            </w:r>
          </w:p>
        </w:tc>
        <w:tc>
          <w:tcPr>
            <w:tcW w:w="416" w:type="pct"/>
            <w:tcBorders>
              <w:left w:val="single" w:color="auto" w:sz="4" w:space="0"/>
              <w:right w:val="single" w:color="auto" w:sz="4" w:space="0"/>
            </w:tcBorders>
            <w:vAlign w:val="center"/>
          </w:tcPr>
          <w:p w14:paraId="64E07EC2">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3DC566C">
            <w:pPr>
              <w:widowControl/>
              <w:spacing w:line="280" w:lineRule="exact"/>
              <w:jc w:val="center"/>
              <w:rPr>
                <w:rFonts w:ascii="Times New Roman"/>
                <w:kern w:val="0"/>
                <w:sz w:val="21"/>
                <w:szCs w:val="21"/>
              </w:rPr>
            </w:pPr>
            <w:r>
              <w:rPr>
                <w:rFonts w:hint="eastAsia" w:ascii="Times New Roman"/>
                <w:kern w:val="0"/>
                <w:sz w:val="21"/>
                <w:szCs w:val="21"/>
              </w:rPr>
              <w:t>16mg/kg</w:t>
            </w:r>
          </w:p>
        </w:tc>
        <w:tc>
          <w:tcPr>
            <w:tcW w:w="535" w:type="pct"/>
            <w:tcBorders>
              <w:left w:val="single" w:color="auto" w:sz="4" w:space="0"/>
              <w:right w:val="single" w:color="auto" w:sz="4" w:space="0"/>
            </w:tcBorders>
            <w:vAlign w:val="center"/>
          </w:tcPr>
          <w:p w14:paraId="2AC6BCBE">
            <w:pPr>
              <w:spacing w:line="280" w:lineRule="exact"/>
              <w:jc w:val="center"/>
              <w:rPr>
                <w:rFonts w:ascii="Times New Roman"/>
                <w:sz w:val="21"/>
                <w:szCs w:val="21"/>
              </w:rPr>
            </w:pPr>
            <w:r>
              <w:rPr>
                <w:rFonts w:hint="eastAsia" w:ascii="Times New Roman"/>
                <w:sz w:val="21"/>
                <w:szCs w:val="21"/>
              </w:rPr>
              <w:t>15</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5CE0F8E9">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4E6DF579">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61CBC33">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34E9436B">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5ED78E8B">
            <w:pPr>
              <w:widowControl/>
              <w:spacing w:line="280" w:lineRule="exact"/>
              <w:jc w:val="center"/>
              <w:rPr>
                <w:rFonts w:ascii="Times New Roman"/>
                <w:kern w:val="0"/>
                <w:sz w:val="21"/>
                <w:szCs w:val="21"/>
              </w:rPr>
            </w:pPr>
            <w:r>
              <w:rPr>
                <w:rFonts w:hint="eastAsia" w:ascii="Times New Roman"/>
                <w:kern w:val="0"/>
                <w:sz w:val="21"/>
                <w:szCs w:val="21"/>
              </w:rPr>
              <w:t>12mg/kg</w:t>
            </w:r>
          </w:p>
        </w:tc>
        <w:tc>
          <w:tcPr>
            <w:tcW w:w="391" w:type="pct"/>
            <w:tcBorders>
              <w:left w:val="single" w:color="auto" w:sz="4" w:space="0"/>
              <w:right w:val="single" w:color="auto" w:sz="4" w:space="0"/>
            </w:tcBorders>
            <w:vAlign w:val="center"/>
          </w:tcPr>
          <w:p w14:paraId="05B51D53">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3D2D538F">
            <w:pPr>
              <w:widowControl/>
              <w:spacing w:line="280" w:lineRule="exact"/>
              <w:jc w:val="center"/>
              <w:rPr>
                <w:rFonts w:ascii="Times New Roman"/>
                <w:kern w:val="0"/>
                <w:sz w:val="21"/>
                <w:szCs w:val="21"/>
              </w:rPr>
            </w:pPr>
            <w:r>
              <w:rPr>
                <w:rFonts w:hint="eastAsia" w:ascii="Times New Roman"/>
                <w:kern w:val="0"/>
                <w:sz w:val="21"/>
                <w:szCs w:val="21"/>
              </w:rPr>
              <w:t>18000</w:t>
            </w:r>
          </w:p>
        </w:tc>
        <w:tc>
          <w:tcPr>
            <w:tcW w:w="202" w:type="pct"/>
            <w:tcBorders>
              <w:left w:val="single" w:color="auto" w:sz="4" w:space="0"/>
            </w:tcBorders>
            <w:vAlign w:val="center"/>
          </w:tcPr>
          <w:p w14:paraId="112D4589">
            <w:pPr>
              <w:widowControl/>
              <w:spacing w:line="280" w:lineRule="exact"/>
              <w:jc w:val="center"/>
              <w:rPr>
                <w:rFonts w:ascii="Times New Roman"/>
                <w:kern w:val="0"/>
                <w:sz w:val="21"/>
                <w:szCs w:val="21"/>
              </w:rPr>
            </w:pPr>
            <w:r>
              <w:rPr>
                <w:rFonts w:ascii="Times New Roman"/>
                <w:kern w:val="0"/>
                <w:sz w:val="21"/>
                <w:szCs w:val="21"/>
              </w:rPr>
              <w:t>达标</w:t>
            </w:r>
          </w:p>
        </w:tc>
      </w:tr>
      <w:tr w14:paraId="0EAE92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4283ACC4">
            <w:pPr>
              <w:spacing w:line="280" w:lineRule="exact"/>
              <w:jc w:val="center"/>
              <w:rPr>
                <w:rFonts w:ascii="Times New Roman"/>
                <w:sz w:val="21"/>
                <w:szCs w:val="21"/>
              </w:rPr>
            </w:pPr>
            <w:r>
              <w:rPr>
                <w:rFonts w:hint="eastAsia" w:ascii="Times New Roman"/>
                <w:sz w:val="21"/>
                <w:szCs w:val="21"/>
              </w:rPr>
              <w:t>镉</w:t>
            </w:r>
          </w:p>
        </w:tc>
        <w:tc>
          <w:tcPr>
            <w:tcW w:w="416" w:type="pct"/>
            <w:tcBorders>
              <w:left w:val="single" w:color="auto" w:sz="4" w:space="0"/>
              <w:right w:val="single" w:color="auto" w:sz="4" w:space="0"/>
            </w:tcBorders>
            <w:vAlign w:val="center"/>
          </w:tcPr>
          <w:p w14:paraId="2B30980D">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E3CCAAC">
            <w:pPr>
              <w:widowControl/>
              <w:spacing w:line="280" w:lineRule="exact"/>
              <w:jc w:val="center"/>
              <w:rPr>
                <w:rFonts w:ascii="Times New Roman"/>
                <w:kern w:val="0"/>
                <w:sz w:val="21"/>
                <w:szCs w:val="21"/>
              </w:rPr>
            </w:pPr>
            <w:r>
              <w:rPr>
                <w:rFonts w:hint="eastAsia" w:ascii="Times New Roman"/>
                <w:kern w:val="0"/>
                <w:sz w:val="21"/>
                <w:szCs w:val="21"/>
              </w:rPr>
              <w:t>0.03mg/kg</w:t>
            </w:r>
          </w:p>
        </w:tc>
        <w:tc>
          <w:tcPr>
            <w:tcW w:w="535" w:type="pct"/>
            <w:tcBorders>
              <w:left w:val="single" w:color="auto" w:sz="4" w:space="0"/>
              <w:right w:val="single" w:color="auto" w:sz="4" w:space="0"/>
            </w:tcBorders>
            <w:vAlign w:val="center"/>
          </w:tcPr>
          <w:p w14:paraId="0F9A0777">
            <w:pPr>
              <w:spacing w:line="280" w:lineRule="exact"/>
              <w:jc w:val="center"/>
              <w:rPr>
                <w:rFonts w:ascii="Times New Roman"/>
                <w:sz w:val="21"/>
                <w:szCs w:val="21"/>
              </w:rPr>
            </w:pPr>
            <w:r>
              <w:rPr>
                <w:rFonts w:hint="eastAsia" w:ascii="Times New Roman"/>
                <w:sz w:val="21"/>
                <w:szCs w:val="21"/>
              </w:rPr>
              <w:t>0.03</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1AEC2BCE">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15DF8E99">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75E96F09">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0C861374">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3097CEB">
            <w:pPr>
              <w:widowControl/>
              <w:spacing w:line="280" w:lineRule="exact"/>
              <w:jc w:val="center"/>
              <w:rPr>
                <w:rFonts w:ascii="Times New Roman"/>
                <w:kern w:val="0"/>
                <w:sz w:val="21"/>
                <w:szCs w:val="21"/>
              </w:rPr>
            </w:pPr>
            <w:r>
              <w:rPr>
                <w:rFonts w:hint="eastAsia" w:ascii="Times New Roman"/>
                <w:kern w:val="0"/>
                <w:sz w:val="21"/>
                <w:szCs w:val="21"/>
              </w:rPr>
              <w:t>0.03mg/kg</w:t>
            </w:r>
          </w:p>
        </w:tc>
        <w:tc>
          <w:tcPr>
            <w:tcW w:w="391" w:type="pct"/>
            <w:tcBorders>
              <w:left w:val="single" w:color="auto" w:sz="4" w:space="0"/>
              <w:right w:val="single" w:color="auto" w:sz="4" w:space="0"/>
            </w:tcBorders>
            <w:vAlign w:val="center"/>
          </w:tcPr>
          <w:p w14:paraId="654BAAAE">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4B343E58">
            <w:pPr>
              <w:widowControl/>
              <w:spacing w:line="280" w:lineRule="exact"/>
              <w:jc w:val="center"/>
              <w:rPr>
                <w:rFonts w:ascii="Times New Roman"/>
                <w:kern w:val="0"/>
                <w:sz w:val="21"/>
                <w:szCs w:val="21"/>
              </w:rPr>
            </w:pPr>
            <w:r>
              <w:rPr>
                <w:rFonts w:hint="eastAsia" w:ascii="Times New Roman"/>
                <w:kern w:val="0"/>
                <w:sz w:val="21"/>
                <w:szCs w:val="21"/>
              </w:rPr>
              <w:t>65</w:t>
            </w:r>
          </w:p>
        </w:tc>
        <w:tc>
          <w:tcPr>
            <w:tcW w:w="202" w:type="pct"/>
            <w:tcBorders>
              <w:left w:val="single" w:color="auto" w:sz="4" w:space="0"/>
            </w:tcBorders>
            <w:vAlign w:val="center"/>
          </w:tcPr>
          <w:p w14:paraId="4539A4B0">
            <w:pPr>
              <w:widowControl/>
              <w:spacing w:line="280" w:lineRule="exact"/>
              <w:jc w:val="center"/>
              <w:rPr>
                <w:rFonts w:ascii="Times New Roman"/>
                <w:kern w:val="0"/>
                <w:sz w:val="21"/>
                <w:szCs w:val="21"/>
              </w:rPr>
            </w:pPr>
            <w:r>
              <w:rPr>
                <w:rFonts w:ascii="Times New Roman"/>
                <w:kern w:val="0"/>
                <w:sz w:val="21"/>
                <w:szCs w:val="21"/>
              </w:rPr>
              <w:t>达标</w:t>
            </w:r>
          </w:p>
        </w:tc>
      </w:tr>
      <w:tr w14:paraId="182682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7C06B581">
            <w:pPr>
              <w:spacing w:line="280" w:lineRule="exact"/>
              <w:jc w:val="center"/>
              <w:rPr>
                <w:rFonts w:ascii="Times New Roman"/>
                <w:sz w:val="21"/>
                <w:szCs w:val="21"/>
              </w:rPr>
            </w:pPr>
            <w:r>
              <w:rPr>
                <w:rFonts w:hint="eastAsia" w:ascii="Times New Roman"/>
                <w:sz w:val="21"/>
                <w:szCs w:val="21"/>
              </w:rPr>
              <w:t>镍</w:t>
            </w:r>
          </w:p>
        </w:tc>
        <w:tc>
          <w:tcPr>
            <w:tcW w:w="416" w:type="pct"/>
            <w:tcBorders>
              <w:left w:val="single" w:color="auto" w:sz="4" w:space="0"/>
              <w:right w:val="single" w:color="auto" w:sz="4" w:space="0"/>
            </w:tcBorders>
            <w:vAlign w:val="center"/>
          </w:tcPr>
          <w:p w14:paraId="7DEAF9F6">
            <w:pPr>
              <w:widowControl/>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0C8B6745">
            <w:pPr>
              <w:widowControl/>
              <w:spacing w:line="280" w:lineRule="exact"/>
              <w:jc w:val="center"/>
              <w:rPr>
                <w:rFonts w:ascii="Times New Roman"/>
                <w:kern w:val="0"/>
                <w:sz w:val="21"/>
                <w:szCs w:val="21"/>
              </w:rPr>
            </w:pPr>
            <w:r>
              <w:rPr>
                <w:rFonts w:hint="eastAsia" w:ascii="Times New Roman"/>
                <w:kern w:val="0"/>
                <w:sz w:val="21"/>
                <w:szCs w:val="21"/>
              </w:rPr>
              <w:t>34mg/kg</w:t>
            </w:r>
          </w:p>
        </w:tc>
        <w:tc>
          <w:tcPr>
            <w:tcW w:w="535" w:type="pct"/>
            <w:tcBorders>
              <w:left w:val="single" w:color="auto" w:sz="4" w:space="0"/>
              <w:right w:val="single" w:color="auto" w:sz="4" w:space="0"/>
            </w:tcBorders>
            <w:vAlign w:val="center"/>
          </w:tcPr>
          <w:p w14:paraId="2B96253E">
            <w:pPr>
              <w:spacing w:line="280" w:lineRule="exact"/>
              <w:jc w:val="center"/>
              <w:rPr>
                <w:rFonts w:ascii="Times New Roman"/>
                <w:sz w:val="21"/>
                <w:szCs w:val="21"/>
              </w:rPr>
            </w:pPr>
            <w:r>
              <w:rPr>
                <w:rFonts w:hint="eastAsia" w:ascii="Times New Roman"/>
                <w:sz w:val="21"/>
                <w:szCs w:val="21"/>
              </w:rPr>
              <w:t>32</w:t>
            </w:r>
            <w:r>
              <w:rPr>
                <w:rFonts w:hint="eastAsia" w:ascii="Times New Roman"/>
                <w:kern w:val="0"/>
                <w:sz w:val="21"/>
                <w:szCs w:val="21"/>
              </w:rPr>
              <w:t>mg/kg</w:t>
            </w:r>
          </w:p>
        </w:tc>
        <w:tc>
          <w:tcPr>
            <w:tcW w:w="467" w:type="pct"/>
            <w:tcBorders>
              <w:left w:val="single" w:color="auto" w:sz="4" w:space="0"/>
              <w:right w:val="single" w:color="auto" w:sz="4" w:space="0"/>
            </w:tcBorders>
            <w:vAlign w:val="center"/>
          </w:tcPr>
          <w:p w14:paraId="6EBA5E1B">
            <w:pPr>
              <w:spacing w:line="28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29DCAB31">
            <w:pPr>
              <w:widowControl/>
              <w:spacing w:line="280" w:lineRule="exact"/>
              <w:jc w:val="center"/>
              <w:rPr>
                <w:rFonts w:ascii="Times New Roman"/>
                <w:kern w:val="0"/>
                <w:sz w:val="21"/>
                <w:szCs w:val="21"/>
              </w:rPr>
            </w:pPr>
            <w:r>
              <w:rPr>
                <w:rFonts w:hint="eastAsia" w:ascii="Times New Roman"/>
                <w:sz w:val="21"/>
                <w:szCs w:val="21"/>
              </w:rPr>
              <w:t>--</w:t>
            </w:r>
          </w:p>
        </w:tc>
        <w:tc>
          <w:tcPr>
            <w:tcW w:w="390" w:type="pct"/>
            <w:vAlign w:val="center"/>
          </w:tcPr>
          <w:p w14:paraId="187B6F3A">
            <w:pPr>
              <w:spacing w:line="280" w:lineRule="exact"/>
              <w:jc w:val="center"/>
              <w:rPr>
                <w:rFonts w:ascii="Times New Roman"/>
                <w:sz w:val="21"/>
                <w:szCs w:val="21"/>
              </w:rPr>
            </w:pPr>
            <w:r>
              <w:rPr>
                <w:rFonts w:hint="eastAsia" w:ascii="Times New Roman"/>
                <w:sz w:val="21"/>
                <w:szCs w:val="21"/>
              </w:rPr>
              <w:t>--</w:t>
            </w:r>
          </w:p>
        </w:tc>
        <w:tc>
          <w:tcPr>
            <w:tcW w:w="422" w:type="pct"/>
            <w:vAlign w:val="center"/>
          </w:tcPr>
          <w:p w14:paraId="7575CD31">
            <w:pPr>
              <w:widowControl/>
              <w:spacing w:line="280" w:lineRule="exact"/>
              <w:jc w:val="center"/>
              <w:rPr>
                <w:rFonts w:ascii="Times New Roman"/>
                <w:kern w:val="0"/>
                <w:sz w:val="21"/>
                <w:szCs w:val="21"/>
              </w:rPr>
            </w:pPr>
            <w:r>
              <w:rPr>
                <w:rFonts w:hint="eastAsia" w:ascii="Times New Roman"/>
                <w:sz w:val="21"/>
                <w:szCs w:val="21"/>
              </w:rPr>
              <w:t>--</w:t>
            </w:r>
          </w:p>
        </w:tc>
        <w:tc>
          <w:tcPr>
            <w:tcW w:w="413" w:type="pct"/>
            <w:tcBorders>
              <w:left w:val="single" w:color="auto" w:sz="4" w:space="0"/>
              <w:right w:val="single" w:color="auto" w:sz="4" w:space="0"/>
            </w:tcBorders>
            <w:vAlign w:val="center"/>
          </w:tcPr>
          <w:p w14:paraId="69880D2F">
            <w:pPr>
              <w:widowControl/>
              <w:spacing w:line="280" w:lineRule="exact"/>
              <w:jc w:val="center"/>
              <w:rPr>
                <w:rFonts w:ascii="Times New Roman"/>
                <w:kern w:val="0"/>
                <w:sz w:val="21"/>
                <w:szCs w:val="21"/>
              </w:rPr>
            </w:pPr>
            <w:r>
              <w:rPr>
                <w:rFonts w:hint="eastAsia" w:ascii="Times New Roman"/>
                <w:kern w:val="0"/>
                <w:sz w:val="21"/>
                <w:szCs w:val="21"/>
              </w:rPr>
              <w:t>34mg/kg</w:t>
            </w:r>
          </w:p>
        </w:tc>
        <w:tc>
          <w:tcPr>
            <w:tcW w:w="391" w:type="pct"/>
            <w:tcBorders>
              <w:left w:val="single" w:color="auto" w:sz="4" w:space="0"/>
              <w:right w:val="single" w:color="auto" w:sz="4" w:space="0"/>
            </w:tcBorders>
            <w:vAlign w:val="center"/>
          </w:tcPr>
          <w:p w14:paraId="6A7CB6E0">
            <w:pPr>
              <w:spacing w:line="280" w:lineRule="exact"/>
              <w:jc w:val="center"/>
              <w:rPr>
                <w:rFonts w:ascii="Times New Roman"/>
                <w:kern w:val="0"/>
                <w:sz w:val="21"/>
                <w:szCs w:val="21"/>
              </w:rPr>
            </w:pPr>
            <w:r>
              <w:rPr>
                <w:rFonts w:hint="eastAsia" w:ascii="Times New Roman"/>
                <w:sz w:val="21"/>
                <w:szCs w:val="21"/>
              </w:rPr>
              <w:t>--</w:t>
            </w:r>
          </w:p>
        </w:tc>
        <w:tc>
          <w:tcPr>
            <w:tcW w:w="271" w:type="pct"/>
            <w:tcBorders>
              <w:left w:val="single" w:color="auto" w:sz="4" w:space="0"/>
            </w:tcBorders>
            <w:vAlign w:val="center"/>
          </w:tcPr>
          <w:p w14:paraId="75A60FC7">
            <w:pPr>
              <w:widowControl/>
              <w:spacing w:line="280" w:lineRule="exact"/>
              <w:jc w:val="center"/>
              <w:rPr>
                <w:rFonts w:ascii="Times New Roman"/>
                <w:kern w:val="0"/>
                <w:sz w:val="21"/>
                <w:szCs w:val="21"/>
              </w:rPr>
            </w:pPr>
            <w:r>
              <w:rPr>
                <w:rFonts w:hint="eastAsia" w:ascii="Times New Roman"/>
                <w:kern w:val="0"/>
                <w:sz w:val="21"/>
                <w:szCs w:val="21"/>
              </w:rPr>
              <w:t>900</w:t>
            </w:r>
          </w:p>
        </w:tc>
        <w:tc>
          <w:tcPr>
            <w:tcW w:w="202" w:type="pct"/>
            <w:tcBorders>
              <w:left w:val="single" w:color="auto" w:sz="4" w:space="0"/>
            </w:tcBorders>
            <w:vAlign w:val="center"/>
          </w:tcPr>
          <w:p w14:paraId="6F8849A6">
            <w:pPr>
              <w:widowControl/>
              <w:spacing w:line="280" w:lineRule="exact"/>
              <w:jc w:val="center"/>
              <w:rPr>
                <w:rFonts w:ascii="Times New Roman"/>
                <w:kern w:val="0"/>
                <w:sz w:val="21"/>
                <w:szCs w:val="21"/>
              </w:rPr>
            </w:pPr>
            <w:r>
              <w:rPr>
                <w:rFonts w:ascii="Times New Roman"/>
                <w:kern w:val="0"/>
                <w:sz w:val="21"/>
                <w:szCs w:val="21"/>
              </w:rPr>
              <w:t>达标</w:t>
            </w:r>
          </w:p>
        </w:tc>
      </w:tr>
      <w:tr w14:paraId="76DDB0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437" w:type="pct"/>
            <w:vAlign w:val="center"/>
          </w:tcPr>
          <w:p w14:paraId="568EA450">
            <w:pPr>
              <w:spacing w:line="280" w:lineRule="exact"/>
              <w:jc w:val="center"/>
              <w:rPr>
                <w:rFonts w:ascii="Times New Roman"/>
                <w:sz w:val="21"/>
                <w:szCs w:val="21"/>
              </w:rPr>
            </w:pPr>
            <w:r>
              <w:rPr>
                <w:rFonts w:hint="eastAsia" w:ascii="Times New Roman"/>
                <w:sz w:val="21"/>
                <w:szCs w:val="21"/>
              </w:rPr>
              <w:t>六价铬</w:t>
            </w:r>
          </w:p>
        </w:tc>
        <w:tc>
          <w:tcPr>
            <w:tcW w:w="416" w:type="pct"/>
            <w:tcBorders>
              <w:left w:val="single" w:color="auto" w:sz="4" w:space="0"/>
              <w:right w:val="single" w:color="auto" w:sz="4" w:space="0"/>
            </w:tcBorders>
            <w:vAlign w:val="center"/>
          </w:tcPr>
          <w:p w14:paraId="36FA8A92">
            <w:pPr>
              <w:spacing w:line="280" w:lineRule="exact"/>
              <w:jc w:val="center"/>
              <w:rPr>
                <w:rFonts w:ascii="Times New Roman"/>
                <w:sz w:val="21"/>
                <w:szCs w:val="21"/>
              </w:rPr>
            </w:pPr>
            <w:r>
              <w:rPr>
                <w:rFonts w:hint="eastAsia" w:ascii="Times New Roman"/>
                <w:sz w:val="21"/>
                <w:szCs w:val="21"/>
              </w:rPr>
              <w:t>--</w:t>
            </w:r>
          </w:p>
        </w:tc>
        <w:tc>
          <w:tcPr>
            <w:tcW w:w="532" w:type="pct"/>
            <w:tcBorders>
              <w:left w:val="single" w:color="auto" w:sz="4" w:space="0"/>
              <w:right w:val="single" w:color="auto" w:sz="4" w:space="0"/>
            </w:tcBorders>
            <w:vAlign w:val="center"/>
          </w:tcPr>
          <w:p w14:paraId="2572E058">
            <w:pPr>
              <w:jc w:val="center"/>
              <w:rPr>
                <w:rFonts w:ascii="Times New Roman"/>
                <w:sz w:val="21"/>
                <w:szCs w:val="21"/>
              </w:rPr>
            </w:pPr>
            <w:r>
              <w:rPr>
                <w:rFonts w:hint="eastAsia" w:ascii="Times New Roman"/>
                <w:sz w:val="21"/>
                <w:szCs w:val="21"/>
              </w:rPr>
              <w:t>ND</w:t>
            </w:r>
          </w:p>
        </w:tc>
        <w:tc>
          <w:tcPr>
            <w:tcW w:w="535" w:type="pct"/>
            <w:tcBorders>
              <w:left w:val="single" w:color="auto" w:sz="4" w:space="0"/>
              <w:right w:val="single" w:color="auto" w:sz="4" w:space="0"/>
            </w:tcBorders>
            <w:vAlign w:val="center"/>
          </w:tcPr>
          <w:p w14:paraId="2111CB2F">
            <w:pPr>
              <w:jc w:val="center"/>
              <w:rPr>
                <w:rFonts w:ascii="Times New Roman"/>
                <w:sz w:val="21"/>
                <w:szCs w:val="21"/>
              </w:rPr>
            </w:pPr>
            <w:r>
              <w:rPr>
                <w:rFonts w:hint="eastAsia" w:ascii="Times New Roman"/>
                <w:sz w:val="21"/>
                <w:szCs w:val="21"/>
              </w:rPr>
              <w:t>ND</w:t>
            </w:r>
          </w:p>
        </w:tc>
        <w:tc>
          <w:tcPr>
            <w:tcW w:w="467" w:type="pct"/>
            <w:tcBorders>
              <w:left w:val="single" w:color="auto" w:sz="4" w:space="0"/>
              <w:right w:val="single" w:color="auto" w:sz="4" w:space="0"/>
            </w:tcBorders>
            <w:vAlign w:val="center"/>
          </w:tcPr>
          <w:p w14:paraId="5D3F1DB7">
            <w:pPr>
              <w:spacing w:line="300" w:lineRule="exact"/>
              <w:jc w:val="center"/>
              <w:rPr>
                <w:rFonts w:ascii="Times New Roman"/>
                <w:sz w:val="21"/>
                <w:szCs w:val="21"/>
              </w:rPr>
            </w:pPr>
            <w:r>
              <w:rPr>
                <w:rFonts w:hint="eastAsia" w:ascii="Times New Roman"/>
                <w:sz w:val="21"/>
                <w:szCs w:val="21"/>
              </w:rPr>
              <w:t>--</w:t>
            </w:r>
          </w:p>
        </w:tc>
        <w:tc>
          <w:tcPr>
            <w:tcW w:w="518" w:type="pct"/>
            <w:tcBorders>
              <w:left w:val="single" w:color="auto" w:sz="4" w:space="0"/>
            </w:tcBorders>
            <w:vAlign w:val="center"/>
          </w:tcPr>
          <w:p w14:paraId="405541BC">
            <w:pPr>
              <w:spacing w:line="300" w:lineRule="exact"/>
              <w:jc w:val="center"/>
              <w:rPr>
                <w:rFonts w:ascii="Times New Roman"/>
                <w:sz w:val="21"/>
                <w:szCs w:val="21"/>
              </w:rPr>
            </w:pPr>
            <w:r>
              <w:rPr>
                <w:rFonts w:hint="eastAsia" w:ascii="Times New Roman"/>
                <w:sz w:val="21"/>
                <w:szCs w:val="21"/>
              </w:rPr>
              <w:t>--</w:t>
            </w:r>
          </w:p>
        </w:tc>
        <w:tc>
          <w:tcPr>
            <w:tcW w:w="390" w:type="pct"/>
            <w:vAlign w:val="center"/>
          </w:tcPr>
          <w:p w14:paraId="552323AF">
            <w:pPr>
              <w:spacing w:line="300" w:lineRule="exact"/>
              <w:jc w:val="center"/>
              <w:rPr>
                <w:rFonts w:ascii="Times New Roman" w:eastAsia="仿宋_GB2312"/>
                <w:sz w:val="24"/>
                <w:szCs w:val="24"/>
              </w:rPr>
            </w:pPr>
            <w:r>
              <w:rPr>
                <w:rFonts w:hint="eastAsia" w:ascii="Times New Roman"/>
                <w:sz w:val="21"/>
                <w:szCs w:val="21"/>
              </w:rPr>
              <w:t>--</w:t>
            </w:r>
          </w:p>
        </w:tc>
        <w:tc>
          <w:tcPr>
            <w:tcW w:w="422" w:type="pct"/>
            <w:vAlign w:val="center"/>
          </w:tcPr>
          <w:p w14:paraId="33404001">
            <w:pPr>
              <w:spacing w:line="300" w:lineRule="exact"/>
              <w:jc w:val="center"/>
              <w:rPr>
                <w:rFonts w:ascii="Times New Roman" w:eastAsia="仿宋_GB2312"/>
                <w:sz w:val="24"/>
                <w:szCs w:val="24"/>
              </w:rPr>
            </w:pPr>
            <w:r>
              <w:rPr>
                <w:rFonts w:hint="eastAsia" w:ascii="Times New Roman"/>
                <w:sz w:val="21"/>
                <w:szCs w:val="21"/>
              </w:rPr>
              <w:t>--</w:t>
            </w:r>
          </w:p>
        </w:tc>
        <w:tc>
          <w:tcPr>
            <w:tcW w:w="413" w:type="pct"/>
            <w:tcBorders>
              <w:left w:val="single" w:color="auto" w:sz="4" w:space="0"/>
              <w:right w:val="single" w:color="auto" w:sz="4" w:space="0"/>
            </w:tcBorders>
            <w:vAlign w:val="center"/>
          </w:tcPr>
          <w:p w14:paraId="3BC186F8">
            <w:pPr>
              <w:spacing w:line="300" w:lineRule="exact"/>
              <w:jc w:val="center"/>
              <w:rPr>
                <w:rFonts w:ascii="Times New Roman"/>
                <w:sz w:val="21"/>
                <w:szCs w:val="21"/>
              </w:rPr>
            </w:pPr>
            <w:r>
              <w:rPr>
                <w:rFonts w:hint="eastAsia" w:ascii="Times New Roman"/>
                <w:sz w:val="21"/>
                <w:szCs w:val="21"/>
              </w:rPr>
              <w:t>ND</w:t>
            </w:r>
          </w:p>
        </w:tc>
        <w:tc>
          <w:tcPr>
            <w:tcW w:w="391" w:type="pct"/>
            <w:tcBorders>
              <w:left w:val="single" w:color="auto" w:sz="4" w:space="0"/>
              <w:right w:val="single" w:color="auto" w:sz="4" w:space="0"/>
            </w:tcBorders>
            <w:vAlign w:val="center"/>
          </w:tcPr>
          <w:p w14:paraId="50F30E84">
            <w:pPr>
              <w:jc w:val="center"/>
              <w:rPr>
                <w:rFonts w:ascii="Times New Roman"/>
                <w:sz w:val="21"/>
                <w:szCs w:val="21"/>
              </w:rPr>
            </w:pPr>
            <w:r>
              <w:rPr>
                <w:rFonts w:hint="eastAsia" w:ascii="Times New Roman"/>
                <w:sz w:val="21"/>
                <w:szCs w:val="21"/>
              </w:rPr>
              <w:t>--</w:t>
            </w:r>
          </w:p>
        </w:tc>
        <w:tc>
          <w:tcPr>
            <w:tcW w:w="271" w:type="pct"/>
            <w:tcBorders>
              <w:left w:val="single" w:color="auto" w:sz="4" w:space="0"/>
            </w:tcBorders>
            <w:vAlign w:val="center"/>
          </w:tcPr>
          <w:p w14:paraId="055D0004">
            <w:pPr>
              <w:widowControl/>
              <w:spacing w:line="280" w:lineRule="exact"/>
              <w:jc w:val="center"/>
              <w:rPr>
                <w:rFonts w:ascii="Times New Roman"/>
                <w:kern w:val="0"/>
                <w:sz w:val="21"/>
                <w:szCs w:val="21"/>
              </w:rPr>
            </w:pPr>
            <w:r>
              <w:rPr>
                <w:rFonts w:hint="eastAsia" w:ascii="Times New Roman"/>
                <w:kern w:val="0"/>
                <w:sz w:val="21"/>
                <w:szCs w:val="21"/>
              </w:rPr>
              <w:t>5.7</w:t>
            </w:r>
          </w:p>
        </w:tc>
        <w:tc>
          <w:tcPr>
            <w:tcW w:w="202" w:type="pct"/>
            <w:tcBorders>
              <w:left w:val="single" w:color="auto" w:sz="4" w:space="0"/>
            </w:tcBorders>
            <w:vAlign w:val="center"/>
          </w:tcPr>
          <w:p w14:paraId="0CF03EC8">
            <w:pPr>
              <w:widowControl/>
              <w:spacing w:line="280" w:lineRule="exact"/>
              <w:jc w:val="center"/>
              <w:rPr>
                <w:rFonts w:ascii="Times New Roman"/>
                <w:kern w:val="0"/>
                <w:sz w:val="21"/>
                <w:szCs w:val="21"/>
              </w:rPr>
            </w:pPr>
            <w:r>
              <w:rPr>
                <w:rFonts w:ascii="Times New Roman"/>
                <w:kern w:val="0"/>
                <w:sz w:val="21"/>
                <w:szCs w:val="21"/>
              </w:rPr>
              <w:t>达标</w:t>
            </w:r>
          </w:p>
        </w:tc>
      </w:tr>
    </w:tbl>
    <w:p w14:paraId="0F2077E6">
      <w:pPr>
        <w:widowControl/>
        <w:autoSpaceDE w:val="0"/>
        <w:adjustRightInd w:val="0"/>
        <w:snapToGrid w:val="0"/>
        <w:spacing w:line="480" w:lineRule="exact"/>
        <w:jc w:val="center"/>
        <w:rPr>
          <w:rFonts w:ascii="Times New Roman"/>
          <w:b/>
          <w:sz w:val="24"/>
          <w:szCs w:val="24"/>
        </w:rPr>
      </w:pPr>
    </w:p>
    <w:p w14:paraId="4734174E">
      <w:pPr>
        <w:widowControl/>
        <w:autoSpaceDE w:val="0"/>
        <w:adjustRightInd w:val="0"/>
        <w:snapToGrid w:val="0"/>
        <w:spacing w:line="480" w:lineRule="exact"/>
        <w:jc w:val="center"/>
        <w:rPr>
          <w:rFonts w:ascii="Times New Roman"/>
          <w:b/>
          <w:kern w:val="0"/>
          <w:sz w:val="24"/>
          <w:szCs w:val="24"/>
        </w:rPr>
        <w:sectPr>
          <w:pgSz w:w="16838" w:h="11906" w:orient="landscape"/>
          <w:pgMar w:top="1800" w:right="1440" w:bottom="1800" w:left="1440" w:header="1474" w:footer="1474" w:gutter="0"/>
          <w:cols w:space="425" w:num="1"/>
          <w:docGrid w:type="lines" w:linePitch="340" w:charSpace="0"/>
        </w:sectPr>
      </w:pPr>
    </w:p>
    <w:p w14:paraId="3C9E5A50">
      <w:pPr>
        <w:spacing w:line="480" w:lineRule="exact"/>
        <w:ind w:firstLine="480" w:firstLineChars="200"/>
        <w:rPr>
          <w:rFonts w:ascii="Times New Roman"/>
          <w:kern w:val="0"/>
          <w:sz w:val="24"/>
          <w:szCs w:val="24"/>
        </w:rPr>
        <w:sectPr>
          <w:pgSz w:w="11906" w:h="16838"/>
          <w:pgMar w:top="1440" w:right="1800" w:bottom="1440" w:left="1800" w:header="1474" w:footer="1474" w:gutter="0"/>
          <w:cols w:space="425" w:num="1"/>
          <w:docGrid w:type="lines" w:linePitch="340" w:charSpace="0"/>
        </w:sectPr>
      </w:pPr>
      <w:r>
        <w:rPr>
          <w:rFonts w:ascii="Times New Roman"/>
          <w:kern w:val="0"/>
          <w:sz w:val="24"/>
          <w:szCs w:val="24"/>
        </w:rPr>
        <w:t>土壤环境质量现状评价结果可知，厂内外监测点位所有监测因子均符合</w:t>
      </w:r>
      <w:r>
        <w:rPr>
          <w:rFonts w:ascii="Times New Roman"/>
          <w:sz w:val="24"/>
          <w:szCs w:val="24"/>
        </w:rPr>
        <w:t>《土壤环境质量 建设用地土壤污染风险管控标准（试行）》（GB36600-2018）表1二类用地筛选值要求、《建设用地土壤污染风险筛选值》（DB13/T5216-2020）表1相关标准要求</w:t>
      </w:r>
      <w:r>
        <w:rPr>
          <w:rFonts w:ascii="Times New Roman"/>
          <w:kern w:val="0"/>
          <w:sz w:val="24"/>
          <w:szCs w:val="24"/>
        </w:rPr>
        <w:t>。土壤现状质量良好。</w:t>
      </w:r>
    </w:p>
    <w:p w14:paraId="5E4729D1">
      <w:pPr>
        <w:spacing w:beforeLines="50" w:afterLines="50" w:line="520" w:lineRule="exact"/>
        <w:outlineLvl w:val="0"/>
        <w:rPr>
          <w:rFonts w:ascii="Times New Roman"/>
          <w:b/>
          <w:sz w:val="32"/>
          <w:szCs w:val="32"/>
        </w:rPr>
      </w:pPr>
      <w:bookmarkStart w:id="171" w:name="_Toc16207"/>
      <w:r>
        <w:rPr>
          <w:rFonts w:ascii="Times New Roman"/>
          <w:b/>
          <w:sz w:val="32"/>
          <w:szCs w:val="32"/>
        </w:rPr>
        <w:t>5 环境影响预测与评价</w:t>
      </w:r>
      <w:bookmarkEnd w:id="171"/>
    </w:p>
    <w:p w14:paraId="3419925D">
      <w:pPr>
        <w:widowControl/>
        <w:spacing w:line="520" w:lineRule="exact"/>
        <w:jc w:val="left"/>
        <w:outlineLvl w:val="1"/>
        <w:rPr>
          <w:rFonts w:ascii="Times New Roman"/>
          <w:b/>
          <w:sz w:val="30"/>
          <w:szCs w:val="30"/>
        </w:rPr>
      </w:pPr>
      <w:bookmarkStart w:id="172" w:name="_Toc31061"/>
      <w:r>
        <w:rPr>
          <w:rFonts w:ascii="Times New Roman"/>
          <w:b/>
          <w:sz w:val="30"/>
          <w:szCs w:val="30"/>
        </w:rPr>
        <w:t>5.1施工期环境影响分析</w:t>
      </w:r>
      <w:bookmarkEnd w:id="172"/>
    </w:p>
    <w:p w14:paraId="683C5ED2">
      <w:pPr>
        <w:spacing w:line="360" w:lineRule="auto"/>
        <w:ind w:firstLine="500" w:firstLineChars="200"/>
        <w:rPr>
          <w:sz w:val="24"/>
          <w:szCs w:val="24"/>
        </w:rPr>
      </w:pPr>
      <w:r>
        <w:rPr>
          <w:rFonts w:ascii="Times New Roman"/>
        </w:rPr>
        <w:t>拟建项目施工期污染源主要有施工扬尘、运输车辆及施工机械产生废气、施工废水、施工机械噪声和建筑垃圾。本次评价分析工程施工期的环境影响并提出相应的污染防治措施和管理要求，可使项目建设造成的不利影响降到最低限度。</w:t>
      </w:r>
    </w:p>
    <w:p w14:paraId="4F3B07D0">
      <w:pPr>
        <w:tabs>
          <w:tab w:val="left" w:pos="1170"/>
        </w:tabs>
        <w:spacing w:line="520" w:lineRule="exact"/>
        <w:outlineLvl w:val="2"/>
        <w:rPr>
          <w:rFonts w:ascii="Times New Roman"/>
          <w:b/>
          <w:sz w:val="28"/>
          <w:szCs w:val="28"/>
        </w:rPr>
      </w:pPr>
      <w:r>
        <w:rPr>
          <w:rFonts w:ascii="Times New Roman"/>
          <w:b/>
          <w:sz w:val="28"/>
          <w:szCs w:val="28"/>
        </w:rPr>
        <w:t>5.1.1大气环境影响分析</w:t>
      </w:r>
    </w:p>
    <w:p w14:paraId="315280DD">
      <w:pPr>
        <w:spacing w:line="360" w:lineRule="auto"/>
        <w:ind w:firstLine="480" w:firstLineChars="200"/>
        <w:rPr>
          <w:rFonts w:ascii="Times New Roman"/>
          <w:sz w:val="24"/>
          <w:szCs w:val="24"/>
        </w:rPr>
      </w:pPr>
      <w:r>
        <w:rPr>
          <w:rFonts w:hint="eastAsia"/>
          <w:sz w:val="24"/>
          <w:szCs w:val="24"/>
        </w:rPr>
        <w:t>施工期对环境空气的污染主要为运输车辆的行驶、装卸施工材料、施工机械填挖土方以及挖掘弃土临时堆存引起的扬尘。减轻项目施工对周围环境的影响，</w:t>
      </w:r>
      <w:r>
        <w:rPr>
          <w:rFonts w:hint="eastAsia" w:ascii="Times New Roman"/>
          <w:sz w:val="24"/>
          <w:szCs w:val="24"/>
        </w:rPr>
        <w:t>根据《河北省2022年建筑施工扬尘污染防治工作方案》（冀建质安函﹝2022﹞149号）、《施工场地扬尘排放标准》（DB13/2934-2019）、《河北省扬尘污染防治办法》（河北省人民政府令[2020]第1号）相关要求，对施工期提出以下要求：</w:t>
      </w:r>
    </w:p>
    <w:p w14:paraId="4C2C7120">
      <w:pPr>
        <w:spacing w:line="360" w:lineRule="auto"/>
        <w:ind w:firstLine="480" w:firstLineChars="200"/>
        <w:rPr>
          <w:rFonts w:ascii="Times New Roman"/>
          <w:sz w:val="24"/>
          <w:szCs w:val="24"/>
        </w:rPr>
      </w:pPr>
      <w:r>
        <w:rPr>
          <w:rFonts w:hint="eastAsia" w:ascii="Times New Roman"/>
          <w:sz w:val="24"/>
          <w:szCs w:val="24"/>
        </w:rPr>
        <w:t>（1）建筑工地全面做到周边围挡、物料堆放覆盖、土方开挖湿法作业、路面硬化、出入车辆冲洗、渣土车辆密闭运输“六个百分之百”，建筑工地实现视频监控和PM</w:t>
      </w:r>
      <w:r>
        <w:rPr>
          <w:rFonts w:hint="eastAsia" w:ascii="Times New Roman"/>
          <w:sz w:val="24"/>
          <w:szCs w:val="24"/>
          <w:vertAlign w:val="subscript"/>
        </w:rPr>
        <w:t>10</w:t>
      </w:r>
      <w:r>
        <w:rPr>
          <w:rFonts w:hint="eastAsia" w:ascii="Times New Roman"/>
          <w:sz w:val="24"/>
          <w:szCs w:val="24"/>
        </w:rPr>
        <w:t>在线监测联网全覆盖，并与当地有关主管部门联网。建立扬尘控制责任制度，扬尘治理费用列入工程造价。将施工区PM</w:t>
      </w:r>
      <w:r>
        <w:rPr>
          <w:rFonts w:hint="eastAsia" w:ascii="Times New Roman"/>
          <w:sz w:val="24"/>
          <w:szCs w:val="24"/>
          <w:vertAlign w:val="subscript"/>
        </w:rPr>
        <w:t>10</w:t>
      </w:r>
      <w:r>
        <w:rPr>
          <w:rFonts w:hint="eastAsia" w:ascii="Times New Roman"/>
          <w:sz w:val="24"/>
          <w:szCs w:val="24"/>
        </w:rPr>
        <w:t>在线监测数据与唐山市小时平均浓度比较，（当县（市、区）PM</w:t>
      </w:r>
      <w:r>
        <w:rPr>
          <w:rFonts w:hint="eastAsia" w:ascii="Times New Roman"/>
          <w:sz w:val="24"/>
          <w:szCs w:val="24"/>
          <w:vertAlign w:val="subscript"/>
        </w:rPr>
        <w:t>10</w:t>
      </w:r>
      <w:r>
        <w:rPr>
          <w:rFonts w:hint="eastAsia" w:ascii="Times New Roman"/>
          <w:sz w:val="24"/>
          <w:szCs w:val="24"/>
        </w:rPr>
        <w:t>小时平均浓度值大于150µg/m</w:t>
      </w:r>
      <w:r>
        <w:rPr>
          <w:rFonts w:hint="eastAsia" w:ascii="Times New Roman"/>
          <w:sz w:val="24"/>
          <w:szCs w:val="24"/>
          <w:vertAlign w:val="superscript"/>
        </w:rPr>
        <w:t>3</w:t>
      </w:r>
      <w:r>
        <w:rPr>
          <w:rFonts w:hint="eastAsia" w:ascii="Times New Roman"/>
          <w:sz w:val="24"/>
          <w:szCs w:val="24"/>
        </w:rPr>
        <w:t>时，以150µg/m</w:t>
      </w:r>
      <w:r>
        <w:rPr>
          <w:rFonts w:hint="eastAsia" w:ascii="Times New Roman"/>
          <w:sz w:val="24"/>
          <w:szCs w:val="24"/>
          <w:vertAlign w:val="superscript"/>
        </w:rPr>
        <w:t>3</w:t>
      </w:r>
      <w:r>
        <w:rPr>
          <w:rFonts w:hint="eastAsia" w:ascii="Times New Roman"/>
          <w:sz w:val="24"/>
          <w:szCs w:val="24"/>
        </w:rPr>
        <w:t>计），控制差值在80µg/m</w:t>
      </w:r>
      <w:r>
        <w:rPr>
          <w:rFonts w:hint="eastAsia" w:ascii="Times New Roman"/>
          <w:sz w:val="24"/>
          <w:szCs w:val="24"/>
          <w:vertAlign w:val="superscript"/>
        </w:rPr>
        <w:t>3</w:t>
      </w:r>
      <w:r>
        <w:rPr>
          <w:rFonts w:hint="eastAsia" w:ascii="Times New Roman"/>
          <w:sz w:val="24"/>
          <w:szCs w:val="24"/>
        </w:rPr>
        <w:t>以下，当差值超过80µg/m</w:t>
      </w:r>
      <w:r>
        <w:rPr>
          <w:rFonts w:hint="eastAsia" w:ascii="Times New Roman"/>
          <w:sz w:val="24"/>
          <w:szCs w:val="24"/>
          <w:vertAlign w:val="superscript"/>
        </w:rPr>
        <w:t>3</w:t>
      </w:r>
      <w:r>
        <w:rPr>
          <w:rFonts w:hint="eastAsia" w:ascii="Times New Roman"/>
          <w:sz w:val="24"/>
          <w:szCs w:val="24"/>
        </w:rPr>
        <w:t>时采取扬尘应急措施，严禁土方开挖、土方回填、房屋拆除等作业，同时增加喷淋、洒水、喷雾频次，必要时停止施工作业。</w:t>
      </w:r>
    </w:p>
    <w:p w14:paraId="0D8F8BDF">
      <w:pPr>
        <w:spacing w:line="360" w:lineRule="auto"/>
        <w:ind w:firstLine="480" w:firstLineChars="200"/>
        <w:rPr>
          <w:rFonts w:ascii="Times New Roman"/>
          <w:sz w:val="24"/>
          <w:szCs w:val="24"/>
        </w:rPr>
      </w:pPr>
      <w:r>
        <w:rPr>
          <w:rFonts w:hint="eastAsia" w:ascii="Times New Roman"/>
          <w:sz w:val="24"/>
          <w:szCs w:val="24"/>
        </w:rPr>
        <w:t>（2）</w:t>
      </w:r>
      <w:r>
        <w:rPr>
          <w:rFonts w:hint="eastAsia"/>
          <w:sz w:val="24"/>
        </w:rPr>
        <w:t>作业场地应采取围挡作业，减少风力二次扬尘</w:t>
      </w:r>
      <w:r>
        <w:rPr>
          <w:rFonts w:hint="eastAsia" w:ascii="Times New Roman"/>
          <w:sz w:val="24"/>
          <w:szCs w:val="24"/>
        </w:rPr>
        <w:t>。</w:t>
      </w:r>
    </w:p>
    <w:p w14:paraId="3E9D6AFB">
      <w:pPr>
        <w:spacing w:line="360" w:lineRule="auto"/>
        <w:ind w:firstLine="480" w:firstLineChars="200"/>
        <w:rPr>
          <w:rFonts w:ascii="Times New Roman"/>
          <w:sz w:val="24"/>
          <w:szCs w:val="24"/>
        </w:rPr>
      </w:pPr>
      <w:r>
        <w:rPr>
          <w:rFonts w:hint="eastAsia" w:ascii="Times New Roman"/>
          <w:sz w:val="24"/>
          <w:szCs w:val="24"/>
        </w:rPr>
        <w:t>（3）安排专人定期对施工场地清扫、洒水，以减轻扬尘的飞扬。洒水次数根据天气状况而定，一般每天洒水1～2次，若遇大风或干燥天气，可适当增加洒水次数。</w:t>
      </w:r>
    </w:p>
    <w:p w14:paraId="6E3C5903">
      <w:pPr>
        <w:spacing w:line="360" w:lineRule="auto"/>
        <w:ind w:firstLine="480" w:firstLineChars="200"/>
        <w:rPr>
          <w:rFonts w:ascii="Times New Roman"/>
          <w:sz w:val="24"/>
          <w:szCs w:val="24"/>
        </w:rPr>
      </w:pPr>
      <w:r>
        <w:rPr>
          <w:rFonts w:hint="eastAsia" w:ascii="Times New Roman"/>
          <w:sz w:val="24"/>
          <w:szCs w:val="24"/>
        </w:rPr>
        <w:t>（4）施工材料露天堆存应采取遮蔽防风措施，同时合理安排，减少施工建材的堆存时间；运载建筑材料及弃土、建筑垃圾的车辆要加盖蓬布以减少散落。</w:t>
      </w:r>
    </w:p>
    <w:p w14:paraId="3A7AC33F">
      <w:pPr>
        <w:spacing w:line="360" w:lineRule="auto"/>
        <w:ind w:firstLine="480" w:firstLineChars="200"/>
        <w:rPr>
          <w:rFonts w:ascii="Times New Roman"/>
          <w:sz w:val="24"/>
          <w:szCs w:val="24"/>
        </w:rPr>
      </w:pPr>
      <w:r>
        <w:rPr>
          <w:rFonts w:hint="eastAsia" w:ascii="Times New Roman"/>
          <w:sz w:val="24"/>
          <w:szCs w:val="24"/>
        </w:rPr>
        <w:t>（5）</w:t>
      </w:r>
      <w:r>
        <w:rPr>
          <w:rFonts w:hint="eastAsia"/>
          <w:sz w:val="24"/>
        </w:rPr>
        <w:t>遇有四级以上大风天气或政府发布空气质量预警时，一律停止土方施工</w:t>
      </w:r>
      <w:r>
        <w:rPr>
          <w:rFonts w:hint="eastAsia" w:ascii="Times New Roman"/>
          <w:sz w:val="24"/>
          <w:szCs w:val="24"/>
        </w:rPr>
        <w:t>。</w:t>
      </w:r>
    </w:p>
    <w:p w14:paraId="1FACDF4C">
      <w:pPr>
        <w:spacing w:line="360" w:lineRule="auto"/>
        <w:ind w:firstLine="480" w:firstLineChars="200"/>
        <w:rPr>
          <w:rFonts w:ascii="Times New Roman"/>
          <w:sz w:val="24"/>
          <w:szCs w:val="24"/>
        </w:rPr>
      </w:pPr>
      <w:r>
        <w:rPr>
          <w:rFonts w:hint="eastAsia" w:ascii="Times New Roman"/>
          <w:sz w:val="24"/>
          <w:szCs w:val="24"/>
        </w:rPr>
        <w:t>（6）</w:t>
      </w:r>
      <w:r>
        <w:rPr>
          <w:rFonts w:hint="eastAsia"/>
          <w:sz w:val="24"/>
        </w:rPr>
        <w:t>合理设置施工车辆出入口，保持出场车辆清洁。施工现场的道路、作业场地、出入口及生活区均采用混凝土硬化</w:t>
      </w:r>
      <w:r>
        <w:rPr>
          <w:rFonts w:hint="eastAsia" w:ascii="Times New Roman"/>
          <w:sz w:val="24"/>
          <w:szCs w:val="24"/>
        </w:rPr>
        <w:t>。</w:t>
      </w:r>
    </w:p>
    <w:p w14:paraId="6FCEE510">
      <w:pPr>
        <w:spacing w:line="360" w:lineRule="auto"/>
        <w:ind w:firstLine="480" w:firstLineChars="200"/>
        <w:rPr>
          <w:rFonts w:ascii="Times New Roman"/>
          <w:sz w:val="24"/>
          <w:szCs w:val="24"/>
        </w:rPr>
      </w:pPr>
      <w:r>
        <w:rPr>
          <w:rFonts w:hint="eastAsia" w:ascii="Times New Roman"/>
          <w:sz w:val="24"/>
          <w:szCs w:val="24"/>
        </w:rPr>
        <w:t>（7）</w:t>
      </w:r>
      <w:r>
        <w:rPr>
          <w:rFonts w:hint="eastAsia"/>
          <w:sz w:val="24"/>
        </w:rPr>
        <w:t>垃圾集中分类堆放、严密遮盖并及时清运</w:t>
      </w:r>
      <w:r>
        <w:rPr>
          <w:rFonts w:hint="eastAsia" w:ascii="Times New Roman"/>
          <w:sz w:val="24"/>
          <w:szCs w:val="24"/>
        </w:rPr>
        <w:t>。</w:t>
      </w:r>
    </w:p>
    <w:p w14:paraId="79D1E101">
      <w:pPr>
        <w:tabs>
          <w:tab w:val="left" w:pos="1170"/>
        </w:tabs>
        <w:spacing w:line="360" w:lineRule="auto"/>
        <w:outlineLvl w:val="2"/>
        <w:rPr>
          <w:rFonts w:ascii="Times New Roman"/>
          <w:b/>
          <w:sz w:val="28"/>
          <w:szCs w:val="28"/>
        </w:rPr>
      </w:pPr>
      <w:r>
        <w:rPr>
          <w:rFonts w:ascii="Times New Roman"/>
          <w:b/>
          <w:sz w:val="28"/>
          <w:szCs w:val="28"/>
        </w:rPr>
        <w:t>5.1.</w:t>
      </w:r>
      <w:r>
        <w:rPr>
          <w:rFonts w:hint="eastAsia" w:ascii="Times New Roman"/>
          <w:b/>
          <w:sz w:val="28"/>
          <w:szCs w:val="28"/>
        </w:rPr>
        <w:t>2</w:t>
      </w:r>
      <w:r>
        <w:rPr>
          <w:rFonts w:ascii="Times New Roman"/>
          <w:b/>
          <w:sz w:val="28"/>
          <w:szCs w:val="28"/>
        </w:rPr>
        <w:t>噪声环境影响分析</w:t>
      </w:r>
    </w:p>
    <w:p w14:paraId="6C9247FD">
      <w:pPr>
        <w:adjustRightInd w:val="0"/>
        <w:snapToGrid w:val="0"/>
        <w:spacing w:line="360" w:lineRule="auto"/>
        <w:ind w:firstLine="480"/>
        <w:rPr>
          <w:rFonts w:ascii="Times New Roman"/>
          <w:sz w:val="24"/>
          <w:szCs w:val="24"/>
        </w:rPr>
      </w:pPr>
      <w:r>
        <w:rPr>
          <w:rFonts w:ascii="Times New Roman"/>
          <w:sz w:val="24"/>
          <w:szCs w:val="24"/>
        </w:rPr>
        <w:t>（1）噪声源</w:t>
      </w:r>
    </w:p>
    <w:p w14:paraId="498F7CE3">
      <w:pPr>
        <w:adjustRightInd w:val="0"/>
        <w:snapToGrid w:val="0"/>
        <w:spacing w:line="360" w:lineRule="auto"/>
        <w:ind w:firstLine="480"/>
        <w:rPr>
          <w:rFonts w:ascii="Times New Roman"/>
          <w:sz w:val="24"/>
          <w:szCs w:val="24"/>
        </w:rPr>
      </w:pPr>
      <w:r>
        <w:rPr>
          <w:rFonts w:ascii="Times New Roman"/>
          <w:sz w:val="24"/>
          <w:szCs w:val="24"/>
        </w:rPr>
        <w:t>建筑施工期的噪声源主要为施工机械和车辆，其特点是间歇或阵发性的，并具备流动性、噪声较高特征，因此在考虑本工程噪声源对环境的影响时，仅考虑点声源到不同距离处经距离衰减后的噪声。根据类比调查和资料分析，各类建筑施工机械噪声值见表5.2-1。</w:t>
      </w:r>
    </w:p>
    <w:p w14:paraId="5C56E399">
      <w:pPr>
        <w:adjustRightInd w:val="0"/>
        <w:snapToGrid w:val="0"/>
        <w:jc w:val="center"/>
        <w:rPr>
          <w:rFonts w:ascii="Times New Roman"/>
          <w:b/>
          <w:bCs/>
        </w:rPr>
      </w:pPr>
      <w:r>
        <w:rPr>
          <w:rFonts w:ascii="Times New Roman"/>
          <w:b/>
          <w:bCs/>
        </w:rPr>
        <w:t>表5.2-1  本项目与开发区生态环境准入清单符合性分析</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375"/>
        <w:gridCol w:w="2624"/>
        <w:gridCol w:w="2440"/>
      </w:tblGrid>
      <w:tr w14:paraId="28D9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087477AD">
            <w:pPr>
              <w:pStyle w:val="83"/>
              <w:widowControl w:val="0"/>
              <w:tabs>
                <w:tab w:val="left" w:pos="4500"/>
              </w:tabs>
              <w:adjustRightInd w:val="0"/>
              <w:snapToGrid w:val="0"/>
              <w:spacing w:after="0"/>
              <w:ind w:left="0" w:leftChars="0" w:firstLine="0" w:firstLineChars="0"/>
              <w:jc w:val="center"/>
              <w:rPr>
                <w:szCs w:val="21"/>
              </w:rPr>
            </w:pPr>
            <w:r>
              <w:rPr>
                <w:szCs w:val="21"/>
              </w:rPr>
              <w:t>序号</w:t>
            </w:r>
          </w:p>
        </w:tc>
        <w:tc>
          <w:tcPr>
            <w:tcW w:w="1393" w:type="pct"/>
            <w:vAlign w:val="center"/>
          </w:tcPr>
          <w:p w14:paraId="57EA450F">
            <w:pPr>
              <w:pStyle w:val="83"/>
              <w:widowControl w:val="0"/>
              <w:tabs>
                <w:tab w:val="left" w:pos="4500"/>
              </w:tabs>
              <w:adjustRightInd w:val="0"/>
              <w:snapToGrid w:val="0"/>
              <w:spacing w:after="0"/>
              <w:ind w:left="0" w:leftChars="0" w:firstLine="0" w:firstLineChars="0"/>
              <w:jc w:val="center"/>
              <w:rPr>
                <w:szCs w:val="21"/>
              </w:rPr>
            </w:pPr>
            <w:r>
              <w:rPr>
                <w:szCs w:val="21"/>
              </w:rPr>
              <w:t>设备名称</w:t>
            </w:r>
          </w:p>
        </w:tc>
        <w:tc>
          <w:tcPr>
            <w:tcW w:w="1539" w:type="pct"/>
            <w:vAlign w:val="center"/>
          </w:tcPr>
          <w:p w14:paraId="38E1D8D5">
            <w:pPr>
              <w:pStyle w:val="83"/>
              <w:widowControl w:val="0"/>
              <w:tabs>
                <w:tab w:val="left" w:pos="4500"/>
              </w:tabs>
              <w:adjustRightInd w:val="0"/>
              <w:snapToGrid w:val="0"/>
              <w:spacing w:after="0"/>
              <w:ind w:left="0" w:leftChars="0" w:firstLine="0" w:firstLineChars="0"/>
              <w:jc w:val="center"/>
              <w:rPr>
                <w:szCs w:val="21"/>
              </w:rPr>
            </w:pPr>
            <w:r>
              <w:rPr>
                <w:szCs w:val="21"/>
              </w:rPr>
              <w:t>测点距施工设备距离(m)</w:t>
            </w:r>
          </w:p>
        </w:tc>
        <w:tc>
          <w:tcPr>
            <w:tcW w:w="1431" w:type="pct"/>
            <w:vAlign w:val="center"/>
          </w:tcPr>
          <w:p w14:paraId="713675E1">
            <w:pPr>
              <w:pStyle w:val="83"/>
              <w:widowControl w:val="0"/>
              <w:tabs>
                <w:tab w:val="left" w:pos="4500"/>
              </w:tabs>
              <w:adjustRightInd w:val="0"/>
              <w:snapToGrid w:val="0"/>
              <w:spacing w:after="0"/>
              <w:ind w:left="0" w:leftChars="0" w:firstLine="0" w:firstLineChars="0"/>
              <w:jc w:val="center"/>
              <w:rPr>
                <w:szCs w:val="21"/>
              </w:rPr>
            </w:pPr>
            <w:r>
              <w:rPr>
                <w:szCs w:val="21"/>
              </w:rPr>
              <w:t>声级(dB(A))</w:t>
            </w:r>
          </w:p>
        </w:tc>
      </w:tr>
      <w:tr w14:paraId="02F5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6E6077F8">
            <w:pPr>
              <w:pStyle w:val="83"/>
              <w:widowControl w:val="0"/>
              <w:tabs>
                <w:tab w:val="left" w:pos="4500"/>
              </w:tabs>
              <w:adjustRightInd w:val="0"/>
              <w:snapToGrid w:val="0"/>
              <w:spacing w:after="0"/>
              <w:ind w:left="0" w:leftChars="0" w:firstLine="0" w:firstLineChars="0"/>
              <w:jc w:val="center"/>
              <w:rPr>
                <w:szCs w:val="21"/>
              </w:rPr>
            </w:pPr>
            <w:r>
              <w:rPr>
                <w:szCs w:val="21"/>
              </w:rPr>
              <w:t>1</w:t>
            </w:r>
          </w:p>
        </w:tc>
        <w:tc>
          <w:tcPr>
            <w:tcW w:w="1393" w:type="pct"/>
            <w:vAlign w:val="center"/>
          </w:tcPr>
          <w:p w14:paraId="4F357A48">
            <w:pPr>
              <w:pStyle w:val="83"/>
              <w:widowControl w:val="0"/>
              <w:tabs>
                <w:tab w:val="left" w:pos="4500"/>
              </w:tabs>
              <w:adjustRightInd w:val="0"/>
              <w:snapToGrid w:val="0"/>
              <w:spacing w:after="0"/>
              <w:ind w:left="0" w:leftChars="0" w:firstLine="0" w:firstLineChars="0"/>
              <w:jc w:val="center"/>
              <w:rPr>
                <w:szCs w:val="21"/>
              </w:rPr>
            </w:pPr>
            <w:r>
              <w:rPr>
                <w:szCs w:val="21"/>
              </w:rPr>
              <w:t>装载机</w:t>
            </w:r>
          </w:p>
        </w:tc>
        <w:tc>
          <w:tcPr>
            <w:tcW w:w="1539" w:type="pct"/>
            <w:vAlign w:val="center"/>
          </w:tcPr>
          <w:p w14:paraId="5E64E898">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431" w:type="pct"/>
            <w:vAlign w:val="center"/>
          </w:tcPr>
          <w:p w14:paraId="03125A3B">
            <w:pPr>
              <w:pStyle w:val="83"/>
              <w:widowControl w:val="0"/>
              <w:tabs>
                <w:tab w:val="left" w:pos="4500"/>
              </w:tabs>
              <w:adjustRightInd w:val="0"/>
              <w:snapToGrid w:val="0"/>
              <w:spacing w:after="0"/>
              <w:ind w:left="0" w:leftChars="0" w:firstLine="0" w:firstLineChars="0"/>
              <w:jc w:val="center"/>
              <w:rPr>
                <w:szCs w:val="21"/>
              </w:rPr>
            </w:pPr>
            <w:r>
              <w:rPr>
                <w:szCs w:val="21"/>
              </w:rPr>
              <w:t>85</w:t>
            </w:r>
          </w:p>
        </w:tc>
      </w:tr>
      <w:tr w14:paraId="7344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3A851B34">
            <w:pPr>
              <w:pStyle w:val="83"/>
              <w:widowControl w:val="0"/>
              <w:tabs>
                <w:tab w:val="left" w:pos="4500"/>
              </w:tabs>
              <w:adjustRightInd w:val="0"/>
              <w:snapToGrid w:val="0"/>
              <w:spacing w:after="0"/>
              <w:ind w:left="0" w:leftChars="0" w:firstLine="0" w:firstLineChars="0"/>
              <w:jc w:val="center"/>
              <w:rPr>
                <w:szCs w:val="21"/>
              </w:rPr>
            </w:pPr>
            <w:r>
              <w:rPr>
                <w:szCs w:val="21"/>
              </w:rPr>
              <w:t>2</w:t>
            </w:r>
          </w:p>
        </w:tc>
        <w:tc>
          <w:tcPr>
            <w:tcW w:w="1393" w:type="pct"/>
            <w:vAlign w:val="center"/>
          </w:tcPr>
          <w:p w14:paraId="2E8AAA64">
            <w:pPr>
              <w:pStyle w:val="83"/>
              <w:widowControl w:val="0"/>
              <w:tabs>
                <w:tab w:val="left" w:pos="4500"/>
              </w:tabs>
              <w:adjustRightInd w:val="0"/>
              <w:snapToGrid w:val="0"/>
              <w:spacing w:after="0"/>
              <w:ind w:left="0" w:leftChars="0" w:firstLine="0" w:firstLineChars="0"/>
              <w:jc w:val="center"/>
              <w:rPr>
                <w:szCs w:val="21"/>
              </w:rPr>
            </w:pPr>
            <w:r>
              <w:rPr>
                <w:szCs w:val="21"/>
              </w:rPr>
              <w:t>振捣机</w:t>
            </w:r>
          </w:p>
        </w:tc>
        <w:tc>
          <w:tcPr>
            <w:tcW w:w="1539" w:type="pct"/>
            <w:vAlign w:val="center"/>
          </w:tcPr>
          <w:p w14:paraId="11FAC6C3">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431" w:type="pct"/>
            <w:vAlign w:val="center"/>
          </w:tcPr>
          <w:p w14:paraId="1F42E341">
            <w:pPr>
              <w:pStyle w:val="83"/>
              <w:widowControl w:val="0"/>
              <w:tabs>
                <w:tab w:val="left" w:pos="4500"/>
              </w:tabs>
              <w:adjustRightInd w:val="0"/>
              <w:snapToGrid w:val="0"/>
              <w:spacing w:after="0"/>
              <w:ind w:left="0" w:leftChars="0" w:firstLine="0" w:firstLineChars="0"/>
              <w:jc w:val="center"/>
              <w:rPr>
                <w:szCs w:val="21"/>
              </w:rPr>
            </w:pPr>
            <w:r>
              <w:rPr>
                <w:szCs w:val="21"/>
              </w:rPr>
              <w:t>80</w:t>
            </w:r>
          </w:p>
        </w:tc>
      </w:tr>
      <w:tr w14:paraId="6965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78A6932A">
            <w:pPr>
              <w:pStyle w:val="83"/>
              <w:widowControl w:val="0"/>
              <w:tabs>
                <w:tab w:val="left" w:pos="4500"/>
              </w:tabs>
              <w:adjustRightInd w:val="0"/>
              <w:snapToGrid w:val="0"/>
              <w:spacing w:after="0"/>
              <w:ind w:left="0" w:leftChars="0" w:firstLine="0" w:firstLineChars="0"/>
              <w:jc w:val="center"/>
              <w:rPr>
                <w:szCs w:val="21"/>
              </w:rPr>
            </w:pPr>
            <w:r>
              <w:rPr>
                <w:szCs w:val="21"/>
              </w:rPr>
              <w:t>3</w:t>
            </w:r>
          </w:p>
        </w:tc>
        <w:tc>
          <w:tcPr>
            <w:tcW w:w="1393" w:type="pct"/>
            <w:vAlign w:val="center"/>
          </w:tcPr>
          <w:p w14:paraId="06D60514">
            <w:pPr>
              <w:pStyle w:val="83"/>
              <w:widowControl w:val="0"/>
              <w:tabs>
                <w:tab w:val="left" w:pos="4500"/>
              </w:tabs>
              <w:adjustRightInd w:val="0"/>
              <w:snapToGrid w:val="0"/>
              <w:spacing w:after="0"/>
              <w:ind w:left="0" w:leftChars="0" w:firstLine="0" w:firstLineChars="0"/>
              <w:jc w:val="center"/>
              <w:rPr>
                <w:szCs w:val="21"/>
              </w:rPr>
            </w:pPr>
            <w:r>
              <w:rPr>
                <w:szCs w:val="21"/>
              </w:rPr>
              <w:t>运输卡车</w:t>
            </w:r>
          </w:p>
        </w:tc>
        <w:tc>
          <w:tcPr>
            <w:tcW w:w="1539" w:type="pct"/>
            <w:vAlign w:val="center"/>
          </w:tcPr>
          <w:p w14:paraId="45C625C5">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431" w:type="pct"/>
            <w:vAlign w:val="center"/>
          </w:tcPr>
          <w:p w14:paraId="28B859AB">
            <w:pPr>
              <w:pStyle w:val="83"/>
              <w:widowControl w:val="0"/>
              <w:tabs>
                <w:tab w:val="left" w:pos="4500"/>
              </w:tabs>
              <w:adjustRightInd w:val="0"/>
              <w:snapToGrid w:val="0"/>
              <w:spacing w:after="0"/>
              <w:ind w:left="0" w:leftChars="0" w:firstLine="0" w:firstLineChars="0"/>
              <w:jc w:val="center"/>
              <w:rPr>
                <w:szCs w:val="21"/>
              </w:rPr>
            </w:pPr>
            <w:r>
              <w:rPr>
                <w:szCs w:val="21"/>
              </w:rPr>
              <w:t>82</w:t>
            </w:r>
          </w:p>
        </w:tc>
      </w:tr>
      <w:tr w14:paraId="2A11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0AAA4252">
            <w:pPr>
              <w:pStyle w:val="83"/>
              <w:widowControl w:val="0"/>
              <w:tabs>
                <w:tab w:val="left" w:pos="4500"/>
              </w:tabs>
              <w:adjustRightInd w:val="0"/>
              <w:snapToGrid w:val="0"/>
              <w:spacing w:after="0"/>
              <w:ind w:left="0" w:leftChars="0" w:firstLine="0" w:firstLineChars="0"/>
              <w:jc w:val="center"/>
              <w:rPr>
                <w:szCs w:val="21"/>
              </w:rPr>
            </w:pPr>
            <w:r>
              <w:rPr>
                <w:szCs w:val="21"/>
              </w:rPr>
              <w:t>4</w:t>
            </w:r>
          </w:p>
        </w:tc>
        <w:tc>
          <w:tcPr>
            <w:tcW w:w="1393" w:type="pct"/>
            <w:vAlign w:val="center"/>
          </w:tcPr>
          <w:p w14:paraId="3883EB28">
            <w:pPr>
              <w:pStyle w:val="83"/>
              <w:widowControl w:val="0"/>
              <w:tabs>
                <w:tab w:val="left" w:pos="4500"/>
              </w:tabs>
              <w:adjustRightInd w:val="0"/>
              <w:snapToGrid w:val="0"/>
              <w:spacing w:after="0"/>
              <w:ind w:left="0" w:leftChars="0" w:firstLine="0" w:firstLineChars="0"/>
              <w:jc w:val="center"/>
              <w:rPr>
                <w:szCs w:val="21"/>
              </w:rPr>
            </w:pPr>
            <w:r>
              <w:rPr>
                <w:szCs w:val="21"/>
              </w:rPr>
              <w:t>顶板浇筑</w:t>
            </w:r>
          </w:p>
        </w:tc>
        <w:tc>
          <w:tcPr>
            <w:tcW w:w="1539" w:type="pct"/>
            <w:vAlign w:val="center"/>
          </w:tcPr>
          <w:p w14:paraId="59789B43">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431" w:type="pct"/>
            <w:vAlign w:val="center"/>
          </w:tcPr>
          <w:p w14:paraId="76B30BD9">
            <w:pPr>
              <w:pStyle w:val="83"/>
              <w:widowControl w:val="0"/>
              <w:tabs>
                <w:tab w:val="left" w:pos="4500"/>
              </w:tabs>
              <w:adjustRightInd w:val="0"/>
              <w:snapToGrid w:val="0"/>
              <w:spacing w:after="0"/>
              <w:ind w:left="0" w:leftChars="0" w:firstLine="0" w:firstLineChars="0"/>
              <w:jc w:val="center"/>
              <w:rPr>
                <w:szCs w:val="21"/>
              </w:rPr>
            </w:pPr>
            <w:r>
              <w:rPr>
                <w:szCs w:val="21"/>
              </w:rPr>
              <w:t>80</w:t>
            </w:r>
          </w:p>
        </w:tc>
      </w:tr>
      <w:tr w14:paraId="1913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62F6D4B6">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393" w:type="pct"/>
            <w:vAlign w:val="center"/>
          </w:tcPr>
          <w:p w14:paraId="1E574867">
            <w:pPr>
              <w:pStyle w:val="83"/>
              <w:widowControl w:val="0"/>
              <w:tabs>
                <w:tab w:val="left" w:pos="4500"/>
              </w:tabs>
              <w:adjustRightInd w:val="0"/>
              <w:snapToGrid w:val="0"/>
              <w:spacing w:after="0"/>
              <w:ind w:left="0" w:leftChars="0" w:firstLine="0" w:firstLineChars="0"/>
              <w:jc w:val="center"/>
              <w:rPr>
                <w:szCs w:val="21"/>
              </w:rPr>
            </w:pPr>
            <w:r>
              <w:rPr>
                <w:szCs w:val="21"/>
              </w:rPr>
              <w:t>压实机</w:t>
            </w:r>
          </w:p>
        </w:tc>
        <w:tc>
          <w:tcPr>
            <w:tcW w:w="1539" w:type="pct"/>
            <w:vAlign w:val="center"/>
          </w:tcPr>
          <w:p w14:paraId="40EA5AC3">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431" w:type="pct"/>
            <w:vAlign w:val="center"/>
          </w:tcPr>
          <w:p w14:paraId="2A711EEA">
            <w:pPr>
              <w:pStyle w:val="83"/>
              <w:widowControl w:val="0"/>
              <w:tabs>
                <w:tab w:val="left" w:pos="4500"/>
              </w:tabs>
              <w:adjustRightInd w:val="0"/>
              <w:snapToGrid w:val="0"/>
              <w:spacing w:after="0"/>
              <w:ind w:left="0" w:leftChars="0" w:firstLine="0" w:firstLineChars="0"/>
              <w:jc w:val="center"/>
              <w:rPr>
                <w:szCs w:val="21"/>
              </w:rPr>
            </w:pPr>
            <w:r>
              <w:rPr>
                <w:szCs w:val="21"/>
              </w:rPr>
              <w:t>80</w:t>
            </w:r>
          </w:p>
        </w:tc>
      </w:tr>
      <w:tr w14:paraId="5B19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vAlign w:val="center"/>
          </w:tcPr>
          <w:p w14:paraId="2BE4007C">
            <w:pPr>
              <w:pStyle w:val="83"/>
              <w:widowControl w:val="0"/>
              <w:tabs>
                <w:tab w:val="left" w:pos="4500"/>
              </w:tabs>
              <w:adjustRightInd w:val="0"/>
              <w:snapToGrid w:val="0"/>
              <w:spacing w:after="0"/>
              <w:ind w:left="0" w:leftChars="0" w:firstLine="0" w:firstLineChars="0"/>
              <w:jc w:val="center"/>
              <w:rPr>
                <w:szCs w:val="21"/>
              </w:rPr>
            </w:pPr>
            <w:r>
              <w:rPr>
                <w:szCs w:val="21"/>
              </w:rPr>
              <w:t>6</w:t>
            </w:r>
          </w:p>
        </w:tc>
        <w:tc>
          <w:tcPr>
            <w:tcW w:w="1393" w:type="pct"/>
            <w:vAlign w:val="center"/>
          </w:tcPr>
          <w:p w14:paraId="4DFA80A6">
            <w:pPr>
              <w:pStyle w:val="83"/>
              <w:widowControl w:val="0"/>
              <w:tabs>
                <w:tab w:val="left" w:pos="4500"/>
              </w:tabs>
              <w:adjustRightInd w:val="0"/>
              <w:snapToGrid w:val="0"/>
              <w:spacing w:after="0"/>
              <w:ind w:left="0" w:leftChars="0" w:firstLine="0" w:firstLineChars="0"/>
              <w:jc w:val="center"/>
              <w:rPr>
                <w:szCs w:val="21"/>
              </w:rPr>
            </w:pPr>
            <w:r>
              <w:rPr>
                <w:szCs w:val="21"/>
              </w:rPr>
              <w:t>搅拌机</w:t>
            </w:r>
          </w:p>
        </w:tc>
        <w:tc>
          <w:tcPr>
            <w:tcW w:w="1539" w:type="pct"/>
            <w:vAlign w:val="center"/>
          </w:tcPr>
          <w:p w14:paraId="7979C140">
            <w:pPr>
              <w:pStyle w:val="83"/>
              <w:widowControl w:val="0"/>
              <w:tabs>
                <w:tab w:val="left" w:pos="4500"/>
              </w:tabs>
              <w:adjustRightInd w:val="0"/>
              <w:snapToGrid w:val="0"/>
              <w:spacing w:after="0"/>
              <w:ind w:left="0" w:leftChars="0" w:firstLine="0" w:firstLineChars="0"/>
              <w:jc w:val="center"/>
              <w:rPr>
                <w:szCs w:val="21"/>
              </w:rPr>
            </w:pPr>
            <w:r>
              <w:rPr>
                <w:szCs w:val="21"/>
              </w:rPr>
              <w:t>5</w:t>
            </w:r>
          </w:p>
        </w:tc>
        <w:tc>
          <w:tcPr>
            <w:tcW w:w="1431" w:type="pct"/>
            <w:vAlign w:val="center"/>
          </w:tcPr>
          <w:p w14:paraId="1BD5A13B">
            <w:pPr>
              <w:pStyle w:val="83"/>
              <w:widowControl w:val="0"/>
              <w:tabs>
                <w:tab w:val="left" w:pos="4500"/>
              </w:tabs>
              <w:adjustRightInd w:val="0"/>
              <w:snapToGrid w:val="0"/>
              <w:spacing w:after="0"/>
              <w:ind w:left="0" w:leftChars="0" w:firstLine="0" w:firstLineChars="0"/>
              <w:jc w:val="center"/>
              <w:rPr>
                <w:szCs w:val="21"/>
              </w:rPr>
            </w:pPr>
            <w:r>
              <w:rPr>
                <w:szCs w:val="21"/>
              </w:rPr>
              <w:t>85</w:t>
            </w:r>
          </w:p>
        </w:tc>
      </w:tr>
    </w:tbl>
    <w:p w14:paraId="33A6C697">
      <w:pPr>
        <w:adjustRightInd w:val="0"/>
        <w:snapToGrid w:val="0"/>
        <w:spacing w:line="360" w:lineRule="auto"/>
        <w:ind w:firstLine="480"/>
        <w:rPr>
          <w:rFonts w:ascii="Times New Roman"/>
        </w:rPr>
      </w:pPr>
      <w:r>
        <w:rPr>
          <w:rFonts w:ascii="Times New Roman"/>
        </w:rPr>
        <w:t>（2）预测模式</w:t>
      </w:r>
    </w:p>
    <w:p w14:paraId="62EC70B8">
      <w:pPr>
        <w:adjustRightInd w:val="0"/>
        <w:snapToGrid w:val="0"/>
        <w:spacing w:line="360" w:lineRule="auto"/>
        <w:ind w:firstLine="480"/>
        <w:rPr>
          <w:rFonts w:ascii="Times New Roman"/>
        </w:rPr>
      </w:pPr>
      <w:r>
        <w:rPr>
          <w:rFonts w:ascii="Times New Roman"/>
        </w:rPr>
        <w:t>点声源衰减模式为：</w:t>
      </w:r>
    </w:p>
    <w:p w14:paraId="760C1E66">
      <w:pPr>
        <w:adjustRightInd w:val="0"/>
        <w:snapToGrid w:val="0"/>
        <w:spacing w:line="360" w:lineRule="auto"/>
        <w:ind w:firstLine="480"/>
        <w:jc w:val="center"/>
        <w:rPr>
          <w:rFonts w:ascii="Times New Roman"/>
        </w:rPr>
      </w:pPr>
      <w:r>
        <w:rPr>
          <w:rFonts w:ascii="Times New Roman"/>
        </w:rPr>
        <w:drawing>
          <wp:inline distT="0" distB="0" distL="114300" distR="114300">
            <wp:extent cx="1717675" cy="230505"/>
            <wp:effectExtent l="0" t="0" r="0" b="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46"/>
                    <a:stretch>
                      <a:fillRect/>
                    </a:stretch>
                  </pic:blipFill>
                  <pic:spPr>
                    <a:xfrm>
                      <a:off x="0" y="0"/>
                      <a:ext cx="1717675" cy="230505"/>
                    </a:xfrm>
                    <a:prstGeom prst="rect">
                      <a:avLst/>
                    </a:prstGeom>
                    <a:noFill/>
                    <a:ln>
                      <a:noFill/>
                    </a:ln>
                  </pic:spPr>
                </pic:pic>
              </a:graphicData>
            </a:graphic>
          </wp:inline>
        </w:drawing>
      </w:r>
    </w:p>
    <w:p w14:paraId="62798E52">
      <w:pPr>
        <w:adjustRightInd w:val="0"/>
        <w:snapToGrid w:val="0"/>
        <w:spacing w:line="360" w:lineRule="auto"/>
        <w:ind w:firstLine="480"/>
        <w:rPr>
          <w:rFonts w:ascii="Times New Roman"/>
        </w:rPr>
      </w:pPr>
      <w:r>
        <w:rPr>
          <w:rFonts w:ascii="Times New Roman"/>
        </w:rPr>
        <w:t>式中：LA(r)——距离声源r处的A声级，dB(A)；</w:t>
      </w:r>
    </w:p>
    <w:p w14:paraId="11213188">
      <w:pPr>
        <w:adjustRightInd w:val="0"/>
        <w:snapToGrid w:val="0"/>
        <w:spacing w:line="360" w:lineRule="auto"/>
        <w:ind w:firstLine="1250" w:firstLineChars="500"/>
        <w:rPr>
          <w:rFonts w:ascii="Times New Roman"/>
        </w:rPr>
      </w:pPr>
      <w:r>
        <w:rPr>
          <w:rFonts w:ascii="Times New Roman"/>
        </w:rPr>
        <w:t>LA(r</w:t>
      </w:r>
      <w:r>
        <w:rPr>
          <w:rFonts w:ascii="Times New Roman"/>
          <w:vertAlign w:val="subscript"/>
        </w:rPr>
        <w:t>0</w:t>
      </w:r>
      <w:r>
        <w:rPr>
          <w:rFonts w:ascii="Times New Roman"/>
        </w:rPr>
        <w:t>)——距离声源r</w:t>
      </w:r>
      <w:r>
        <w:rPr>
          <w:rFonts w:ascii="Times New Roman"/>
          <w:vertAlign w:val="subscript"/>
        </w:rPr>
        <w:t>0</w:t>
      </w:r>
      <w:r>
        <w:rPr>
          <w:rFonts w:ascii="Times New Roman"/>
        </w:rPr>
        <w:t>处的A声级，dB(A)；</w:t>
      </w:r>
    </w:p>
    <w:p w14:paraId="512D3D0B">
      <w:pPr>
        <w:adjustRightInd w:val="0"/>
        <w:snapToGrid w:val="0"/>
        <w:spacing w:line="360" w:lineRule="auto"/>
        <w:ind w:firstLine="1250" w:firstLineChars="500"/>
        <w:rPr>
          <w:rFonts w:ascii="Times New Roman"/>
        </w:rPr>
      </w:pPr>
      <w:r>
        <w:rPr>
          <w:rFonts w:ascii="Times New Roman"/>
        </w:rPr>
        <w:t>r——距声源的距离，m；</w:t>
      </w:r>
    </w:p>
    <w:p w14:paraId="52276ACF">
      <w:pPr>
        <w:adjustRightInd w:val="0"/>
        <w:snapToGrid w:val="0"/>
        <w:spacing w:line="360" w:lineRule="auto"/>
        <w:ind w:firstLine="1250" w:firstLineChars="500"/>
        <w:rPr>
          <w:rFonts w:ascii="Times New Roman"/>
        </w:rPr>
      </w:pPr>
      <w:r>
        <w:rPr>
          <w:rFonts w:ascii="Times New Roman"/>
        </w:rPr>
        <w:t>r</w:t>
      </w:r>
      <w:r>
        <w:rPr>
          <w:rFonts w:ascii="Times New Roman"/>
          <w:vertAlign w:val="subscript"/>
        </w:rPr>
        <w:t>0</w:t>
      </w:r>
      <w:r>
        <w:rPr>
          <w:rFonts w:ascii="Times New Roman"/>
        </w:rPr>
        <w:t>——距声源的距离，m；</w:t>
      </w:r>
    </w:p>
    <w:p w14:paraId="6CB2F2F0">
      <w:pPr>
        <w:adjustRightInd w:val="0"/>
        <w:snapToGrid w:val="0"/>
        <w:spacing w:line="360" w:lineRule="auto"/>
        <w:ind w:left="500" w:leftChars="200"/>
        <w:rPr>
          <w:rFonts w:ascii="Times New Roman"/>
        </w:rPr>
      </w:pPr>
      <w:r>
        <w:rPr>
          <w:rFonts w:hint="eastAsia" w:ascii="Times New Roman"/>
        </w:rPr>
        <w:t>（3）</w:t>
      </w:r>
      <w:r>
        <w:rPr>
          <w:rFonts w:ascii="Times New Roman"/>
        </w:rPr>
        <w:t>施工噪声影响预测结果与评价</w:t>
      </w:r>
    </w:p>
    <w:p w14:paraId="5A32100A">
      <w:pPr>
        <w:adjustRightInd w:val="0"/>
        <w:snapToGrid w:val="0"/>
        <w:spacing w:line="360" w:lineRule="auto"/>
        <w:ind w:firstLine="480"/>
        <w:rPr>
          <w:rFonts w:ascii="Times New Roman"/>
        </w:rPr>
      </w:pPr>
      <w:r>
        <w:rPr>
          <w:rFonts w:ascii="Times New Roman"/>
        </w:rPr>
        <w:t>施工机械在不同距离处的噪声预测结果见表5.2-2。</w:t>
      </w:r>
    </w:p>
    <w:p w14:paraId="22480531">
      <w:pPr>
        <w:pStyle w:val="32"/>
      </w:pPr>
    </w:p>
    <w:p w14:paraId="2C15F463">
      <w:pPr>
        <w:ind w:firstLine="482"/>
        <w:jc w:val="center"/>
        <w:rPr>
          <w:rFonts w:ascii="Times New Roman"/>
          <w:b/>
          <w:bCs/>
        </w:rPr>
      </w:pPr>
      <w:r>
        <w:rPr>
          <w:rFonts w:ascii="Times New Roman"/>
          <w:b/>
          <w:bCs/>
        </w:rPr>
        <w:t>表5.2-2  距施工机械不同距离处的噪声值     单位：dB(A)</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92"/>
        <w:gridCol w:w="1070"/>
        <w:gridCol w:w="1171"/>
        <w:gridCol w:w="992"/>
        <w:gridCol w:w="1225"/>
        <w:gridCol w:w="1171"/>
      </w:tblGrid>
      <w:tr w14:paraId="39EE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Merge w:val="restart"/>
            <w:vAlign w:val="center"/>
          </w:tcPr>
          <w:p w14:paraId="13C91FEB">
            <w:pPr>
              <w:spacing w:line="260" w:lineRule="exact"/>
              <w:jc w:val="center"/>
              <w:rPr>
                <w:rFonts w:ascii="Times New Roman"/>
                <w:sz w:val="21"/>
                <w:szCs w:val="21"/>
              </w:rPr>
            </w:pPr>
            <w:r>
              <w:rPr>
                <w:rFonts w:ascii="Times New Roman"/>
                <w:sz w:val="21"/>
                <w:szCs w:val="21"/>
              </w:rPr>
              <w:t>序号</w:t>
            </w:r>
          </w:p>
        </w:tc>
        <w:tc>
          <w:tcPr>
            <w:tcW w:w="934" w:type="pct"/>
            <w:vMerge w:val="restart"/>
            <w:vAlign w:val="center"/>
          </w:tcPr>
          <w:p w14:paraId="00A08535">
            <w:pPr>
              <w:spacing w:line="260" w:lineRule="exact"/>
              <w:jc w:val="center"/>
              <w:rPr>
                <w:rFonts w:ascii="Times New Roman"/>
                <w:sz w:val="21"/>
                <w:szCs w:val="21"/>
              </w:rPr>
            </w:pPr>
            <w:r>
              <w:rPr>
                <w:rFonts w:ascii="Times New Roman"/>
                <w:sz w:val="21"/>
                <w:szCs w:val="21"/>
              </w:rPr>
              <w:t>机械</w:t>
            </w:r>
          </w:p>
        </w:tc>
        <w:tc>
          <w:tcPr>
            <w:tcW w:w="3303" w:type="pct"/>
            <w:gridSpan w:val="5"/>
            <w:vAlign w:val="center"/>
          </w:tcPr>
          <w:p w14:paraId="0B5751C7">
            <w:pPr>
              <w:spacing w:line="260" w:lineRule="exact"/>
              <w:jc w:val="center"/>
              <w:rPr>
                <w:rFonts w:ascii="Times New Roman"/>
                <w:sz w:val="21"/>
                <w:szCs w:val="21"/>
              </w:rPr>
            </w:pPr>
            <w:r>
              <w:rPr>
                <w:rFonts w:ascii="Times New Roman"/>
                <w:sz w:val="21"/>
                <w:szCs w:val="21"/>
              </w:rPr>
              <w:t>不同距离处的噪声贡献值dB(A)</w:t>
            </w:r>
          </w:p>
        </w:tc>
      </w:tr>
      <w:tr w14:paraId="4063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Merge w:val="continue"/>
            <w:vAlign w:val="center"/>
          </w:tcPr>
          <w:p w14:paraId="16FB8604">
            <w:pPr>
              <w:spacing w:line="260" w:lineRule="exact"/>
              <w:jc w:val="center"/>
              <w:rPr>
                <w:rFonts w:ascii="Times New Roman"/>
                <w:sz w:val="21"/>
                <w:szCs w:val="21"/>
              </w:rPr>
            </w:pPr>
          </w:p>
        </w:tc>
        <w:tc>
          <w:tcPr>
            <w:tcW w:w="934" w:type="pct"/>
            <w:vMerge w:val="continue"/>
            <w:vAlign w:val="center"/>
          </w:tcPr>
          <w:p w14:paraId="54722E98">
            <w:pPr>
              <w:spacing w:line="260" w:lineRule="exact"/>
              <w:jc w:val="center"/>
              <w:rPr>
                <w:rFonts w:ascii="Times New Roman"/>
                <w:sz w:val="21"/>
                <w:szCs w:val="21"/>
              </w:rPr>
            </w:pPr>
          </w:p>
        </w:tc>
        <w:tc>
          <w:tcPr>
            <w:tcW w:w="628" w:type="pct"/>
            <w:vAlign w:val="center"/>
          </w:tcPr>
          <w:p w14:paraId="09AA0213">
            <w:pPr>
              <w:spacing w:line="260" w:lineRule="exact"/>
              <w:jc w:val="center"/>
              <w:rPr>
                <w:rFonts w:ascii="Times New Roman"/>
                <w:sz w:val="21"/>
                <w:szCs w:val="21"/>
              </w:rPr>
            </w:pPr>
            <w:r>
              <w:rPr>
                <w:rFonts w:ascii="Times New Roman"/>
                <w:sz w:val="21"/>
                <w:szCs w:val="21"/>
              </w:rPr>
              <w:t>20m</w:t>
            </w:r>
          </w:p>
        </w:tc>
        <w:tc>
          <w:tcPr>
            <w:tcW w:w="687" w:type="pct"/>
            <w:vAlign w:val="center"/>
          </w:tcPr>
          <w:p w14:paraId="78D6454F">
            <w:pPr>
              <w:spacing w:line="260" w:lineRule="exact"/>
              <w:jc w:val="center"/>
              <w:rPr>
                <w:rFonts w:ascii="Times New Roman"/>
                <w:sz w:val="21"/>
                <w:szCs w:val="21"/>
              </w:rPr>
            </w:pPr>
            <w:r>
              <w:rPr>
                <w:rFonts w:ascii="Times New Roman"/>
                <w:sz w:val="21"/>
                <w:szCs w:val="21"/>
              </w:rPr>
              <w:t>40m</w:t>
            </w:r>
          </w:p>
        </w:tc>
        <w:tc>
          <w:tcPr>
            <w:tcW w:w="582" w:type="pct"/>
            <w:vAlign w:val="center"/>
          </w:tcPr>
          <w:p w14:paraId="64FAB491">
            <w:pPr>
              <w:spacing w:line="260" w:lineRule="exact"/>
              <w:jc w:val="center"/>
              <w:rPr>
                <w:rFonts w:ascii="Times New Roman"/>
                <w:sz w:val="21"/>
                <w:szCs w:val="21"/>
              </w:rPr>
            </w:pPr>
            <w:r>
              <w:rPr>
                <w:rFonts w:ascii="Times New Roman"/>
                <w:sz w:val="21"/>
                <w:szCs w:val="21"/>
              </w:rPr>
              <w:t>60m</w:t>
            </w:r>
          </w:p>
        </w:tc>
        <w:tc>
          <w:tcPr>
            <w:tcW w:w="719" w:type="pct"/>
            <w:vAlign w:val="center"/>
          </w:tcPr>
          <w:p w14:paraId="092EE168">
            <w:pPr>
              <w:spacing w:line="260" w:lineRule="exact"/>
              <w:jc w:val="center"/>
              <w:rPr>
                <w:rFonts w:ascii="Times New Roman"/>
                <w:sz w:val="21"/>
                <w:szCs w:val="21"/>
              </w:rPr>
            </w:pPr>
            <w:r>
              <w:rPr>
                <w:rFonts w:ascii="Times New Roman"/>
                <w:sz w:val="21"/>
                <w:szCs w:val="21"/>
              </w:rPr>
              <w:t>100m</w:t>
            </w:r>
          </w:p>
        </w:tc>
        <w:tc>
          <w:tcPr>
            <w:tcW w:w="686" w:type="pct"/>
            <w:vAlign w:val="center"/>
          </w:tcPr>
          <w:p w14:paraId="7684864C">
            <w:pPr>
              <w:spacing w:line="260" w:lineRule="exact"/>
              <w:jc w:val="center"/>
              <w:rPr>
                <w:rFonts w:ascii="Times New Roman"/>
                <w:sz w:val="21"/>
                <w:szCs w:val="21"/>
              </w:rPr>
            </w:pPr>
            <w:r>
              <w:rPr>
                <w:rFonts w:ascii="Times New Roman"/>
                <w:sz w:val="21"/>
                <w:szCs w:val="21"/>
              </w:rPr>
              <w:t>200m</w:t>
            </w:r>
          </w:p>
        </w:tc>
      </w:tr>
      <w:tr w14:paraId="4168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14:paraId="0654F8AC">
            <w:pPr>
              <w:pStyle w:val="83"/>
              <w:widowControl w:val="0"/>
              <w:tabs>
                <w:tab w:val="left" w:pos="4500"/>
              </w:tabs>
              <w:adjustRightInd w:val="0"/>
              <w:snapToGrid w:val="0"/>
              <w:spacing w:after="0"/>
              <w:ind w:left="0" w:leftChars="0" w:firstLine="0" w:firstLineChars="0"/>
              <w:jc w:val="center"/>
              <w:rPr>
                <w:kern w:val="2"/>
                <w:szCs w:val="21"/>
              </w:rPr>
            </w:pPr>
            <w:r>
              <w:rPr>
                <w:kern w:val="2"/>
                <w:szCs w:val="21"/>
              </w:rPr>
              <w:t>1</w:t>
            </w:r>
          </w:p>
        </w:tc>
        <w:tc>
          <w:tcPr>
            <w:tcW w:w="934" w:type="pct"/>
            <w:vAlign w:val="center"/>
          </w:tcPr>
          <w:p w14:paraId="1FA08C13">
            <w:pPr>
              <w:pStyle w:val="83"/>
              <w:widowControl w:val="0"/>
              <w:tabs>
                <w:tab w:val="left" w:pos="4500"/>
              </w:tabs>
              <w:adjustRightInd w:val="0"/>
              <w:snapToGrid w:val="0"/>
              <w:spacing w:after="0"/>
              <w:ind w:left="0" w:leftChars="0" w:firstLine="0" w:firstLineChars="0"/>
              <w:jc w:val="center"/>
              <w:rPr>
                <w:kern w:val="2"/>
                <w:szCs w:val="21"/>
              </w:rPr>
            </w:pPr>
            <w:r>
              <w:rPr>
                <w:szCs w:val="21"/>
              </w:rPr>
              <w:t>装载机</w:t>
            </w:r>
          </w:p>
        </w:tc>
        <w:tc>
          <w:tcPr>
            <w:tcW w:w="628" w:type="pct"/>
            <w:vAlign w:val="center"/>
          </w:tcPr>
          <w:p w14:paraId="1439A6AF">
            <w:pPr>
              <w:spacing w:line="260" w:lineRule="exact"/>
              <w:jc w:val="center"/>
              <w:rPr>
                <w:rFonts w:ascii="Times New Roman"/>
                <w:sz w:val="21"/>
                <w:szCs w:val="21"/>
              </w:rPr>
            </w:pPr>
            <w:r>
              <w:rPr>
                <w:rFonts w:ascii="Times New Roman"/>
                <w:sz w:val="21"/>
                <w:szCs w:val="21"/>
              </w:rPr>
              <w:t>73</w:t>
            </w:r>
          </w:p>
        </w:tc>
        <w:tc>
          <w:tcPr>
            <w:tcW w:w="687" w:type="pct"/>
            <w:vAlign w:val="center"/>
          </w:tcPr>
          <w:p w14:paraId="0228D221">
            <w:pPr>
              <w:spacing w:line="260" w:lineRule="exact"/>
              <w:jc w:val="center"/>
              <w:rPr>
                <w:rFonts w:ascii="Times New Roman"/>
                <w:sz w:val="21"/>
                <w:szCs w:val="21"/>
              </w:rPr>
            </w:pPr>
            <w:r>
              <w:rPr>
                <w:rFonts w:ascii="Times New Roman"/>
                <w:sz w:val="21"/>
                <w:szCs w:val="21"/>
              </w:rPr>
              <w:t>67</w:t>
            </w:r>
          </w:p>
        </w:tc>
        <w:tc>
          <w:tcPr>
            <w:tcW w:w="582" w:type="pct"/>
            <w:vAlign w:val="center"/>
          </w:tcPr>
          <w:p w14:paraId="162B141E">
            <w:pPr>
              <w:spacing w:line="260" w:lineRule="exact"/>
              <w:jc w:val="center"/>
              <w:rPr>
                <w:rFonts w:ascii="Times New Roman"/>
                <w:sz w:val="21"/>
                <w:szCs w:val="21"/>
              </w:rPr>
            </w:pPr>
            <w:r>
              <w:rPr>
                <w:rFonts w:ascii="Times New Roman"/>
                <w:sz w:val="21"/>
                <w:szCs w:val="21"/>
              </w:rPr>
              <w:t>66</w:t>
            </w:r>
          </w:p>
        </w:tc>
        <w:tc>
          <w:tcPr>
            <w:tcW w:w="719" w:type="pct"/>
            <w:vAlign w:val="center"/>
          </w:tcPr>
          <w:p w14:paraId="4EC0F6E7">
            <w:pPr>
              <w:spacing w:line="260" w:lineRule="exact"/>
              <w:jc w:val="center"/>
              <w:rPr>
                <w:rFonts w:ascii="Times New Roman"/>
                <w:sz w:val="21"/>
                <w:szCs w:val="21"/>
              </w:rPr>
            </w:pPr>
            <w:r>
              <w:rPr>
                <w:rFonts w:ascii="Times New Roman"/>
                <w:sz w:val="21"/>
                <w:szCs w:val="21"/>
              </w:rPr>
              <w:t>61</w:t>
            </w:r>
          </w:p>
        </w:tc>
        <w:tc>
          <w:tcPr>
            <w:tcW w:w="686" w:type="pct"/>
            <w:vAlign w:val="center"/>
          </w:tcPr>
          <w:p w14:paraId="3AC326A5">
            <w:pPr>
              <w:spacing w:line="260" w:lineRule="exact"/>
              <w:jc w:val="center"/>
              <w:rPr>
                <w:rFonts w:ascii="Times New Roman"/>
                <w:sz w:val="21"/>
                <w:szCs w:val="21"/>
              </w:rPr>
            </w:pPr>
            <w:r>
              <w:rPr>
                <w:rFonts w:ascii="Times New Roman"/>
                <w:sz w:val="21"/>
                <w:szCs w:val="21"/>
              </w:rPr>
              <w:t>53</w:t>
            </w:r>
          </w:p>
        </w:tc>
      </w:tr>
      <w:tr w14:paraId="4A41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14:paraId="08DF8D1E">
            <w:pPr>
              <w:pStyle w:val="83"/>
              <w:widowControl w:val="0"/>
              <w:tabs>
                <w:tab w:val="left" w:pos="4500"/>
              </w:tabs>
              <w:adjustRightInd w:val="0"/>
              <w:snapToGrid w:val="0"/>
              <w:spacing w:after="0"/>
              <w:ind w:left="0" w:leftChars="0" w:firstLine="0" w:firstLineChars="0"/>
              <w:jc w:val="center"/>
              <w:rPr>
                <w:kern w:val="2"/>
                <w:szCs w:val="21"/>
              </w:rPr>
            </w:pPr>
            <w:r>
              <w:rPr>
                <w:kern w:val="2"/>
                <w:szCs w:val="21"/>
              </w:rPr>
              <w:t>2</w:t>
            </w:r>
          </w:p>
        </w:tc>
        <w:tc>
          <w:tcPr>
            <w:tcW w:w="934" w:type="pct"/>
            <w:vAlign w:val="center"/>
          </w:tcPr>
          <w:p w14:paraId="1877BCDE">
            <w:pPr>
              <w:pStyle w:val="83"/>
              <w:widowControl w:val="0"/>
              <w:tabs>
                <w:tab w:val="left" w:pos="4500"/>
              </w:tabs>
              <w:adjustRightInd w:val="0"/>
              <w:snapToGrid w:val="0"/>
              <w:spacing w:after="0"/>
              <w:ind w:left="0" w:leftChars="0" w:firstLine="0" w:firstLineChars="0"/>
              <w:jc w:val="center"/>
              <w:rPr>
                <w:kern w:val="2"/>
                <w:szCs w:val="21"/>
              </w:rPr>
            </w:pPr>
            <w:r>
              <w:rPr>
                <w:szCs w:val="21"/>
              </w:rPr>
              <w:t>振捣机</w:t>
            </w:r>
          </w:p>
        </w:tc>
        <w:tc>
          <w:tcPr>
            <w:tcW w:w="628" w:type="pct"/>
            <w:vAlign w:val="center"/>
          </w:tcPr>
          <w:p w14:paraId="2CD63A37">
            <w:pPr>
              <w:spacing w:line="260" w:lineRule="exact"/>
              <w:jc w:val="center"/>
              <w:rPr>
                <w:rFonts w:ascii="Times New Roman"/>
                <w:sz w:val="21"/>
                <w:szCs w:val="21"/>
              </w:rPr>
            </w:pPr>
            <w:r>
              <w:rPr>
                <w:rFonts w:ascii="Times New Roman"/>
                <w:sz w:val="21"/>
                <w:szCs w:val="21"/>
              </w:rPr>
              <w:t>68</w:t>
            </w:r>
          </w:p>
        </w:tc>
        <w:tc>
          <w:tcPr>
            <w:tcW w:w="687" w:type="pct"/>
            <w:vAlign w:val="center"/>
          </w:tcPr>
          <w:p w14:paraId="2E63E244">
            <w:pPr>
              <w:spacing w:line="260" w:lineRule="exact"/>
              <w:jc w:val="center"/>
              <w:rPr>
                <w:rFonts w:ascii="Times New Roman"/>
                <w:sz w:val="21"/>
                <w:szCs w:val="21"/>
              </w:rPr>
            </w:pPr>
            <w:r>
              <w:rPr>
                <w:rFonts w:ascii="Times New Roman"/>
                <w:sz w:val="21"/>
                <w:szCs w:val="21"/>
              </w:rPr>
              <w:t>62</w:t>
            </w:r>
          </w:p>
        </w:tc>
        <w:tc>
          <w:tcPr>
            <w:tcW w:w="582" w:type="pct"/>
            <w:vAlign w:val="center"/>
          </w:tcPr>
          <w:p w14:paraId="6C21103A">
            <w:pPr>
              <w:spacing w:line="260" w:lineRule="exact"/>
              <w:jc w:val="center"/>
              <w:rPr>
                <w:rFonts w:ascii="Times New Roman"/>
                <w:sz w:val="21"/>
                <w:szCs w:val="21"/>
              </w:rPr>
            </w:pPr>
            <w:r>
              <w:rPr>
                <w:rFonts w:ascii="Times New Roman"/>
                <w:sz w:val="21"/>
                <w:szCs w:val="21"/>
              </w:rPr>
              <w:t>58</w:t>
            </w:r>
          </w:p>
        </w:tc>
        <w:tc>
          <w:tcPr>
            <w:tcW w:w="719" w:type="pct"/>
            <w:vAlign w:val="center"/>
          </w:tcPr>
          <w:p w14:paraId="5C5B8E6A">
            <w:pPr>
              <w:spacing w:line="260" w:lineRule="exact"/>
              <w:jc w:val="center"/>
              <w:rPr>
                <w:rFonts w:ascii="Times New Roman"/>
                <w:sz w:val="21"/>
                <w:szCs w:val="21"/>
              </w:rPr>
            </w:pPr>
            <w:r>
              <w:rPr>
                <w:rFonts w:ascii="Times New Roman"/>
                <w:sz w:val="21"/>
                <w:szCs w:val="21"/>
              </w:rPr>
              <w:t>54</w:t>
            </w:r>
          </w:p>
        </w:tc>
        <w:tc>
          <w:tcPr>
            <w:tcW w:w="686" w:type="pct"/>
            <w:vAlign w:val="center"/>
          </w:tcPr>
          <w:p w14:paraId="6DD55AD2">
            <w:pPr>
              <w:spacing w:line="260" w:lineRule="exact"/>
              <w:jc w:val="center"/>
              <w:rPr>
                <w:rFonts w:ascii="Times New Roman"/>
                <w:sz w:val="21"/>
                <w:szCs w:val="21"/>
              </w:rPr>
            </w:pPr>
            <w:r>
              <w:rPr>
                <w:rFonts w:ascii="Times New Roman"/>
                <w:sz w:val="21"/>
                <w:szCs w:val="21"/>
              </w:rPr>
              <w:t>48</w:t>
            </w:r>
          </w:p>
        </w:tc>
      </w:tr>
      <w:tr w14:paraId="34F8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14:paraId="6FC89AEA">
            <w:pPr>
              <w:pStyle w:val="83"/>
              <w:widowControl w:val="0"/>
              <w:tabs>
                <w:tab w:val="left" w:pos="4500"/>
              </w:tabs>
              <w:adjustRightInd w:val="0"/>
              <w:snapToGrid w:val="0"/>
              <w:spacing w:after="0"/>
              <w:ind w:left="0" w:leftChars="0" w:firstLine="0" w:firstLineChars="0"/>
              <w:jc w:val="center"/>
              <w:rPr>
                <w:kern w:val="2"/>
                <w:szCs w:val="21"/>
              </w:rPr>
            </w:pPr>
            <w:r>
              <w:rPr>
                <w:kern w:val="2"/>
                <w:szCs w:val="21"/>
              </w:rPr>
              <w:t>3</w:t>
            </w:r>
          </w:p>
        </w:tc>
        <w:tc>
          <w:tcPr>
            <w:tcW w:w="934" w:type="pct"/>
            <w:vAlign w:val="center"/>
          </w:tcPr>
          <w:p w14:paraId="017F24FB">
            <w:pPr>
              <w:pStyle w:val="83"/>
              <w:widowControl w:val="0"/>
              <w:tabs>
                <w:tab w:val="left" w:pos="4500"/>
              </w:tabs>
              <w:adjustRightInd w:val="0"/>
              <w:snapToGrid w:val="0"/>
              <w:spacing w:after="0"/>
              <w:ind w:left="0" w:leftChars="0" w:firstLine="0" w:firstLineChars="0"/>
              <w:jc w:val="center"/>
              <w:rPr>
                <w:kern w:val="2"/>
                <w:szCs w:val="21"/>
              </w:rPr>
            </w:pPr>
            <w:r>
              <w:rPr>
                <w:szCs w:val="21"/>
              </w:rPr>
              <w:t>运输卡车</w:t>
            </w:r>
          </w:p>
        </w:tc>
        <w:tc>
          <w:tcPr>
            <w:tcW w:w="628" w:type="pct"/>
            <w:vAlign w:val="center"/>
          </w:tcPr>
          <w:p w14:paraId="7FA925EC">
            <w:pPr>
              <w:spacing w:line="260" w:lineRule="exact"/>
              <w:jc w:val="center"/>
              <w:rPr>
                <w:rFonts w:ascii="Times New Roman"/>
                <w:sz w:val="21"/>
                <w:szCs w:val="21"/>
              </w:rPr>
            </w:pPr>
            <w:r>
              <w:rPr>
                <w:rFonts w:ascii="Times New Roman"/>
                <w:sz w:val="21"/>
                <w:szCs w:val="21"/>
              </w:rPr>
              <w:t>70</w:t>
            </w:r>
          </w:p>
        </w:tc>
        <w:tc>
          <w:tcPr>
            <w:tcW w:w="687" w:type="pct"/>
            <w:vAlign w:val="center"/>
          </w:tcPr>
          <w:p w14:paraId="455274AB">
            <w:pPr>
              <w:spacing w:line="260" w:lineRule="exact"/>
              <w:jc w:val="center"/>
              <w:rPr>
                <w:rFonts w:ascii="Times New Roman"/>
                <w:sz w:val="21"/>
                <w:szCs w:val="21"/>
              </w:rPr>
            </w:pPr>
            <w:r>
              <w:rPr>
                <w:rFonts w:ascii="Times New Roman"/>
                <w:sz w:val="21"/>
                <w:szCs w:val="21"/>
              </w:rPr>
              <w:t>64</w:t>
            </w:r>
          </w:p>
        </w:tc>
        <w:tc>
          <w:tcPr>
            <w:tcW w:w="582" w:type="pct"/>
            <w:vAlign w:val="center"/>
          </w:tcPr>
          <w:p w14:paraId="67A963A0">
            <w:pPr>
              <w:spacing w:line="260" w:lineRule="exact"/>
              <w:jc w:val="center"/>
              <w:rPr>
                <w:rFonts w:ascii="Times New Roman"/>
                <w:sz w:val="21"/>
                <w:szCs w:val="21"/>
              </w:rPr>
            </w:pPr>
            <w:r>
              <w:rPr>
                <w:rFonts w:ascii="Times New Roman"/>
                <w:sz w:val="21"/>
                <w:szCs w:val="21"/>
              </w:rPr>
              <w:t>60</w:t>
            </w:r>
          </w:p>
        </w:tc>
        <w:tc>
          <w:tcPr>
            <w:tcW w:w="719" w:type="pct"/>
            <w:vAlign w:val="center"/>
          </w:tcPr>
          <w:p w14:paraId="09A5D838">
            <w:pPr>
              <w:spacing w:line="260" w:lineRule="exact"/>
              <w:jc w:val="center"/>
              <w:rPr>
                <w:rFonts w:ascii="Times New Roman"/>
                <w:sz w:val="21"/>
                <w:szCs w:val="21"/>
              </w:rPr>
            </w:pPr>
            <w:r>
              <w:rPr>
                <w:rFonts w:ascii="Times New Roman"/>
                <w:sz w:val="21"/>
                <w:szCs w:val="21"/>
              </w:rPr>
              <w:t>56</w:t>
            </w:r>
          </w:p>
        </w:tc>
        <w:tc>
          <w:tcPr>
            <w:tcW w:w="686" w:type="pct"/>
            <w:vAlign w:val="center"/>
          </w:tcPr>
          <w:p w14:paraId="5A057FF7">
            <w:pPr>
              <w:spacing w:line="260" w:lineRule="exact"/>
              <w:jc w:val="center"/>
              <w:rPr>
                <w:rFonts w:ascii="Times New Roman"/>
                <w:sz w:val="21"/>
                <w:szCs w:val="21"/>
              </w:rPr>
            </w:pPr>
            <w:r>
              <w:rPr>
                <w:rFonts w:ascii="Times New Roman"/>
                <w:sz w:val="21"/>
                <w:szCs w:val="21"/>
              </w:rPr>
              <w:t>50</w:t>
            </w:r>
          </w:p>
        </w:tc>
      </w:tr>
      <w:tr w14:paraId="3B8C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62" w:type="pct"/>
            <w:vAlign w:val="center"/>
          </w:tcPr>
          <w:p w14:paraId="71F9A098">
            <w:pPr>
              <w:pStyle w:val="83"/>
              <w:widowControl w:val="0"/>
              <w:tabs>
                <w:tab w:val="left" w:pos="4500"/>
              </w:tabs>
              <w:adjustRightInd w:val="0"/>
              <w:snapToGrid w:val="0"/>
              <w:spacing w:after="0"/>
              <w:ind w:left="0" w:leftChars="0" w:firstLine="0" w:firstLineChars="0"/>
              <w:jc w:val="center"/>
              <w:rPr>
                <w:kern w:val="2"/>
                <w:szCs w:val="21"/>
              </w:rPr>
            </w:pPr>
            <w:r>
              <w:rPr>
                <w:kern w:val="2"/>
                <w:szCs w:val="21"/>
              </w:rPr>
              <w:t>4</w:t>
            </w:r>
          </w:p>
        </w:tc>
        <w:tc>
          <w:tcPr>
            <w:tcW w:w="934" w:type="pct"/>
            <w:vAlign w:val="center"/>
          </w:tcPr>
          <w:p w14:paraId="2B56A8BD">
            <w:pPr>
              <w:pStyle w:val="83"/>
              <w:widowControl w:val="0"/>
              <w:tabs>
                <w:tab w:val="left" w:pos="4500"/>
              </w:tabs>
              <w:adjustRightInd w:val="0"/>
              <w:snapToGrid w:val="0"/>
              <w:spacing w:after="0"/>
              <w:ind w:left="0" w:leftChars="0" w:firstLine="0" w:firstLineChars="0"/>
              <w:jc w:val="center"/>
              <w:rPr>
                <w:kern w:val="2"/>
                <w:szCs w:val="21"/>
              </w:rPr>
            </w:pPr>
            <w:r>
              <w:rPr>
                <w:szCs w:val="21"/>
              </w:rPr>
              <w:t>顶板浇筑</w:t>
            </w:r>
          </w:p>
        </w:tc>
        <w:tc>
          <w:tcPr>
            <w:tcW w:w="628" w:type="pct"/>
            <w:vAlign w:val="center"/>
          </w:tcPr>
          <w:p w14:paraId="647E9E29">
            <w:pPr>
              <w:spacing w:line="260" w:lineRule="exact"/>
              <w:jc w:val="center"/>
              <w:rPr>
                <w:rFonts w:ascii="Times New Roman"/>
                <w:sz w:val="21"/>
                <w:szCs w:val="21"/>
              </w:rPr>
            </w:pPr>
            <w:r>
              <w:rPr>
                <w:rFonts w:ascii="Times New Roman"/>
                <w:sz w:val="21"/>
                <w:szCs w:val="21"/>
              </w:rPr>
              <w:t>68</w:t>
            </w:r>
          </w:p>
        </w:tc>
        <w:tc>
          <w:tcPr>
            <w:tcW w:w="687" w:type="pct"/>
            <w:vAlign w:val="center"/>
          </w:tcPr>
          <w:p w14:paraId="41712910">
            <w:pPr>
              <w:spacing w:line="260" w:lineRule="exact"/>
              <w:jc w:val="center"/>
              <w:rPr>
                <w:rFonts w:ascii="Times New Roman"/>
                <w:sz w:val="21"/>
                <w:szCs w:val="21"/>
              </w:rPr>
            </w:pPr>
            <w:r>
              <w:rPr>
                <w:rFonts w:ascii="Times New Roman"/>
                <w:sz w:val="21"/>
                <w:szCs w:val="21"/>
              </w:rPr>
              <w:t>62</w:t>
            </w:r>
          </w:p>
        </w:tc>
        <w:tc>
          <w:tcPr>
            <w:tcW w:w="582" w:type="pct"/>
            <w:vAlign w:val="center"/>
          </w:tcPr>
          <w:p w14:paraId="327C7EE3">
            <w:pPr>
              <w:spacing w:line="260" w:lineRule="exact"/>
              <w:jc w:val="center"/>
              <w:rPr>
                <w:rFonts w:ascii="Times New Roman"/>
                <w:sz w:val="21"/>
                <w:szCs w:val="21"/>
              </w:rPr>
            </w:pPr>
            <w:r>
              <w:rPr>
                <w:rFonts w:ascii="Times New Roman"/>
                <w:sz w:val="21"/>
                <w:szCs w:val="21"/>
              </w:rPr>
              <w:t>58</w:t>
            </w:r>
          </w:p>
        </w:tc>
        <w:tc>
          <w:tcPr>
            <w:tcW w:w="719" w:type="pct"/>
            <w:vAlign w:val="center"/>
          </w:tcPr>
          <w:p w14:paraId="383316A0">
            <w:pPr>
              <w:spacing w:line="260" w:lineRule="exact"/>
              <w:jc w:val="center"/>
              <w:rPr>
                <w:rFonts w:ascii="Times New Roman"/>
                <w:sz w:val="21"/>
                <w:szCs w:val="21"/>
              </w:rPr>
            </w:pPr>
            <w:r>
              <w:rPr>
                <w:rFonts w:ascii="Times New Roman"/>
                <w:sz w:val="21"/>
                <w:szCs w:val="21"/>
              </w:rPr>
              <w:t>54</w:t>
            </w:r>
          </w:p>
        </w:tc>
        <w:tc>
          <w:tcPr>
            <w:tcW w:w="686" w:type="pct"/>
            <w:vAlign w:val="center"/>
          </w:tcPr>
          <w:p w14:paraId="00340998">
            <w:pPr>
              <w:spacing w:line="260" w:lineRule="exact"/>
              <w:jc w:val="center"/>
              <w:rPr>
                <w:rFonts w:ascii="Times New Roman"/>
                <w:sz w:val="21"/>
                <w:szCs w:val="21"/>
              </w:rPr>
            </w:pPr>
            <w:r>
              <w:rPr>
                <w:rFonts w:ascii="Times New Roman"/>
                <w:sz w:val="21"/>
                <w:szCs w:val="21"/>
              </w:rPr>
              <w:t>48</w:t>
            </w:r>
          </w:p>
        </w:tc>
      </w:tr>
      <w:tr w14:paraId="3F4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14:paraId="51441198">
            <w:pPr>
              <w:pStyle w:val="83"/>
              <w:widowControl w:val="0"/>
              <w:tabs>
                <w:tab w:val="left" w:pos="4500"/>
              </w:tabs>
              <w:adjustRightInd w:val="0"/>
              <w:snapToGrid w:val="0"/>
              <w:spacing w:after="0"/>
              <w:ind w:left="0" w:leftChars="0" w:firstLine="0" w:firstLineChars="0"/>
              <w:jc w:val="center"/>
              <w:rPr>
                <w:kern w:val="2"/>
                <w:szCs w:val="21"/>
              </w:rPr>
            </w:pPr>
            <w:r>
              <w:rPr>
                <w:kern w:val="2"/>
                <w:szCs w:val="21"/>
              </w:rPr>
              <w:t>5</w:t>
            </w:r>
          </w:p>
        </w:tc>
        <w:tc>
          <w:tcPr>
            <w:tcW w:w="934" w:type="pct"/>
            <w:vAlign w:val="center"/>
          </w:tcPr>
          <w:p w14:paraId="61263B9A">
            <w:pPr>
              <w:pStyle w:val="83"/>
              <w:widowControl w:val="0"/>
              <w:tabs>
                <w:tab w:val="left" w:pos="4500"/>
              </w:tabs>
              <w:adjustRightInd w:val="0"/>
              <w:snapToGrid w:val="0"/>
              <w:spacing w:after="0"/>
              <w:ind w:left="0" w:leftChars="0" w:firstLine="0" w:firstLineChars="0"/>
              <w:jc w:val="center"/>
              <w:rPr>
                <w:kern w:val="2"/>
                <w:szCs w:val="21"/>
              </w:rPr>
            </w:pPr>
            <w:r>
              <w:rPr>
                <w:szCs w:val="21"/>
              </w:rPr>
              <w:t>压实机</w:t>
            </w:r>
          </w:p>
        </w:tc>
        <w:tc>
          <w:tcPr>
            <w:tcW w:w="628" w:type="pct"/>
            <w:vAlign w:val="center"/>
          </w:tcPr>
          <w:p w14:paraId="285239D2">
            <w:pPr>
              <w:spacing w:line="260" w:lineRule="exact"/>
              <w:jc w:val="center"/>
              <w:rPr>
                <w:rFonts w:ascii="Times New Roman"/>
                <w:sz w:val="21"/>
                <w:szCs w:val="21"/>
              </w:rPr>
            </w:pPr>
            <w:r>
              <w:rPr>
                <w:rFonts w:ascii="Times New Roman"/>
                <w:sz w:val="21"/>
                <w:szCs w:val="21"/>
              </w:rPr>
              <w:t>68</w:t>
            </w:r>
          </w:p>
        </w:tc>
        <w:tc>
          <w:tcPr>
            <w:tcW w:w="687" w:type="pct"/>
            <w:vAlign w:val="center"/>
          </w:tcPr>
          <w:p w14:paraId="2A4A30BD">
            <w:pPr>
              <w:spacing w:line="260" w:lineRule="exact"/>
              <w:jc w:val="center"/>
              <w:rPr>
                <w:rFonts w:ascii="Times New Roman"/>
                <w:sz w:val="21"/>
                <w:szCs w:val="21"/>
              </w:rPr>
            </w:pPr>
            <w:r>
              <w:rPr>
                <w:rFonts w:ascii="Times New Roman"/>
                <w:sz w:val="21"/>
                <w:szCs w:val="21"/>
              </w:rPr>
              <w:t>62</w:t>
            </w:r>
          </w:p>
        </w:tc>
        <w:tc>
          <w:tcPr>
            <w:tcW w:w="582" w:type="pct"/>
            <w:vAlign w:val="center"/>
          </w:tcPr>
          <w:p w14:paraId="273EABC6">
            <w:pPr>
              <w:spacing w:line="260" w:lineRule="exact"/>
              <w:jc w:val="center"/>
              <w:rPr>
                <w:rFonts w:ascii="Times New Roman"/>
                <w:sz w:val="21"/>
                <w:szCs w:val="21"/>
              </w:rPr>
            </w:pPr>
            <w:r>
              <w:rPr>
                <w:rFonts w:ascii="Times New Roman"/>
                <w:sz w:val="21"/>
                <w:szCs w:val="21"/>
              </w:rPr>
              <w:t>58</w:t>
            </w:r>
          </w:p>
        </w:tc>
        <w:tc>
          <w:tcPr>
            <w:tcW w:w="719" w:type="pct"/>
            <w:vAlign w:val="center"/>
          </w:tcPr>
          <w:p w14:paraId="4176B3FC">
            <w:pPr>
              <w:spacing w:line="260" w:lineRule="exact"/>
              <w:jc w:val="center"/>
              <w:rPr>
                <w:rFonts w:ascii="Times New Roman"/>
                <w:sz w:val="21"/>
                <w:szCs w:val="21"/>
              </w:rPr>
            </w:pPr>
            <w:r>
              <w:rPr>
                <w:rFonts w:ascii="Times New Roman"/>
                <w:sz w:val="21"/>
                <w:szCs w:val="21"/>
              </w:rPr>
              <w:t>54</w:t>
            </w:r>
          </w:p>
        </w:tc>
        <w:tc>
          <w:tcPr>
            <w:tcW w:w="686" w:type="pct"/>
            <w:vAlign w:val="center"/>
          </w:tcPr>
          <w:p w14:paraId="60D43AB2">
            <w:pPr>
              <w:spacing w:line="260" w:lineRule="exact"/>
              <w:jc w:val="center"/>
              <w:rPr>
                <w:rFonts w:ascii="Times New Roman"/>
                <w:sz w:val="21"/>
                <w:szCs w:val="21"/>
              </w:rPr>
            </w:pPr>
            <w:r>
              <w:rPr>
                <w:rFonts w:ascii="Times New Roman"/>
                <w:sz w:val="21"/>
                <w:szCs w:val="21"/>
              </w:rPr>
              <w:t>48</w:t>
            </w:r>
          </w:p>
        </w:tc>
      </w:tr>
      <w:tr w14:paraId="021A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14:paraId="20DD48C6">
            <w:pPr>
              <w:pStyle w:val="83"/>
              <w:widowControl w:val="0"/>
              <w:tabs>
                <w:tab w:val="left" w:pos="4500"/>
              </w:tabs>
              <w:adjustRightInd w:val="0"/>
              <w:snapToGrid w:val="0"/>
              <w:spacing w:after="0"/>
              <w:ind w:left="0" w:leftChars="0" w:firstLine="0" w:firstLineChars="0"/>
              <w:jc w:val="center"/>
              <w:rPr>
                <w:kern w:val="2"/>
                <w:szCs w:val="21"/>
              </w:rPr>
            </w:pPr>
            <w:r>
              <w:rPr>
                <w:kern w:val="2"/>
                <w:szCs w:val="21"/>
              </w:rPr>
              <w:t>6</w:t>
            </w:r>
          </w:p>
        </w:tc>
        <w:tc>
          <w:tcPr>
            <w:tcW w:w="934" w:type="pct"/>
            <w:vAlign w:val="center"/>
          </w:tcPr>
          <w:p w14:paraId="48CC85FB">
            <w:pPr>
              <w:pStyle w:val="83"/>
              <w:widowControl w:val="0"/>
              <w:tabs>
                <w:tab w:val="left" w:pos="4500"/>
              </w:tabs>
              <w:adjustRightInd w:val="0"/>
              <w:snapToGrid w:val="0"/>
              <w:spacing w:after="0"/>
              <w:ind w:left="0" w:leftChars="0" w:firstLine="0" w:firstLineChars="0"/>
              <w:jc w:val="center"/>
              <w:rPr>
                <w:kern w:val="2"/>
                <w:szCs w:val="21"/>
              </w:rPr>
            </w:pPr>
            <w:r>
              <w:rPr>
                <w:szCs w:val="21"/>
              </w:rPr>
              <w:t>搅拌机</w:t>
            </w:r>
          </w:p>
        </w:tc>
        <w:tc>
          <w:tcPr>
            <w:tcW w:w="628" w:type="pct"/>
            <w:vAlign w:val="center"/>
          </w:tcPr>
          <w:p w14:paraId="69A0D137">
            <w:pPr>
              <w:spacing w:line="260" w:lineRule="exact"/>
              <w:jc w:val="center"/>
              <w:rPr>
                <w:rFonts w:ascii="Times New Roman"/>
                <w:sz w:val="21"/>
                <w:szCs w:val="21"/>
              </w:rPr>
            </w:pPr>
            <w:r>
              <w:rPr>
                <w:rFonts w:ascii="Times New Roman"/>
                <w:sz w:val="21"/>
                <w:szCs w:val="21"/>
              </w:rPr>
              <w:t>73</w:t>
            </w:r>
          </w:p>
        </w:tc>
        <w:tc>
          <w:tcPr>
            <w:tcW w:w="687" w:type="pct"/>
            <w:vAlign w:val="center"/>
          </w:tcPr>
          <w:p w14:paraId="4C95CDA1">
            <w:pPr>
              <w:spacing w:line="260" w:lineRule="exact"/>
              <w:jc w:val="center"/>
              <w:rPr>
                <w:rFonts w:ascii="Times New Roman"/>
                <w:sz w:val="21"/>
                <w:szCs w:val="21"/>
              </w:rPr>
            </w:pPr>
            <w:r>
              <w:rPr>
                <w:rFonts w:ascii="Times New Roman"/>
                <w:sz w:val="21"/>
                <w:szCs w:val="21"/>
              </w:rPr>
              <w:t>67</w:t>
            </w:r>
          </w:p>
        </w:tc>
        <w:tc>
          <w:tcPr>
            <w:tcW w:w="582" w:type="pct"/>
            <w:vAlign w:val="center"/>
          </w:tcPr>
          <w:p w14:paraId="3243E183">
            <w:pPr>
              <w:spacing w:line="260" w:lineRule="exact"/>
              <w:jc w:val="center"/>
              <w:rPr>
                <w:rFonts w:ascii="Times New Roman"/>
                <w:sz w:val="21"/>
                <w:szCs w:val="21"/>
              </w:rPr>
            </w:pPr>
            <w:r>
              <w:rPr>
                <w:rFonts w:ascii="Times New Roman"/>
                <w:sz w:val="21"/>
                <w:szCs w:val="21"/>
              </w:rPr>
              <w:t>66</w:t>
            </w:r>
          </w:p>
        </w:tc>
        <w:tc>
          <w:tcPr>
            <w:tcW w:w="719" w:type="pct"/>
            <w:vAlign w:val="center"/>
          </w:tcPr>
          <w:p w14:paraId="5358BCD3">
            <w:pPr>
              <w:spacing w:line="260" w:lineRule="exact"/>
              <w:jc w:val="center"/>
              <w:rPr>
                <w:rFonts w:ascii="Times New Roman"/>
                <w:sz w:val="21"/>
                <w:szCs w:val="21"/>
              </w:rPr>
            </w:pPr>
            <w:r>
              <w:rPr>
                <w:rFonts w:ascii="Times New Roman"/>
                <w:sz w:val="21"/>
                <w:szCs w:val="21"/>
              </w:rPr>
              <w:t>61</w:t>
            </w:r>
          </w:p>
        </w:tc>
        <w:tc>
          <w:tcPr>
            <w:tcW w:w="686" w:type="pct"/>
            <w:vAlign w:val="center"/>
          </w:tcPr>
          <w:p w14:paraId="75AD5FAB">
            <w:pPr>
              <w:spacing w:line="260" w:lineRule="exact"/>
              <w:jc w:val="center"/>
              <w:rPr>
                <w:rFonts w:ascii="Times New Roman"/>
                <w:sz w:val="21"/>
                <w:szCs w:val="21"/>
              </w:rPr>
            </w:pPr>
            <w:r>
              <w:rPr>
                <w:rFonts w:ascii="Times New Roman"/>
                <w:sz w:val="21"/>
                <w:szCs w:val="21"/>
              </w:rPr>
              <w:t>53</w:t>
            </w:r>
          </w:p>
        </w:tc>
      </w:tr>
    </w:tbl>
    <w:p w14:paraId="11BDF9DB">
      <w:pPr>
        <w:adjustRightInd w:val="0"/>
        <w:snapToGrid w:val="0"/>
        <w:spacing w:line="360" w:lineRule="auto"/>
        <w:ind w:firstLine="480"/>
        <w:rPr>
          <w:rFonts w:ascii="Times New Roman"/>
        </w:rPr>
      </w:pPr>
      <w:r>
        <w:rPr>
          <w:rFonts w:ascii="Times New Roman"/>
        </w:rPr>
        <w:t>从上表可以看出，一般当相距100m时，施工机械的噪声值可降至54~61dB(A)，昼间噪声可达标，当相距200m时，昼间夜间噪声均可达标。</w:t>
      </w:r>
      <w:r>
        <w:rPr>
          <w:rFonts w:ascii="Times New Roman"/>
          <w:sz w:val="24"/>
          <w:szCs w:val="24"/>
        </w:rPr>
        <w:t>项目位于曹妃甸工业区装备制造园区</w:t>
      </w:r>
      <w:r>
        <w:rPr>
          <w:rFonts w:hint="eastAsia" w:ascii="Times New Roman"/>
          <w:sz w:val="24"/>
          <w:szCs w:val="24"/>
        </w:rPr>
        <w:t>，</w:t>
      </w:r>
      <w:r>
        <w:rPr>
          <w:rFonts w:hint="eastAsia" w:ascii="Times New Roman"/>
        </w:rPr>
        <w:t>周边200m范围内无</w:t>
      </w:r>
      <w:r>
        <w:rPr>
          <w:rFonts w:ascii="Times New Roman"/>
        </w:rPr>
        <w:t>敏感点。为避免和减轻施工及运输噪声对周围声环境的影响，本评价对施工期噪声控制提出以下要求和建议：</w:t>
      </w:r>
    </w:p>
    <w:p w14:paraId="66A8C13E">
      <w:pPr>
        <w:adjustRightInd w:val="0"/>
        <w:snapToGrid w:val="0"/>
        <w:spacing w:line="360" w:lineRule="auto"/>
        <w:ind w:firstLine="480"/>
        <w:rPr>
          <w:rFonts w:ascii="Times New Roman"/>
        </w:rPr>
      </w:pPr>
      <w:r>
        <w:rPr>
          <w:rFonts w:ascii="Times New Roman"/>
        </w:rPr>
        <w:t>①建设单位应要求施工单位使用的主要机械设备为低噪声机械设备，并在施工中应有专人对其进行保养维护，施工单位应对现场使用设备的人员进行培训，严格按操作规范使用各类机械。</w:t>
      </w:r>
    </w:p>
    <w:p w14:paraId="700DA138">
      <w:pPr>
        <w:adjustRightInd w:val="0"/>
        <w:snapToGrid w:val="0"/>
        <w:spacing w:line="360" w:lineRule="auto"/>
        <w:ind w:firstLine="480"/>
        <w:rPr>
          <w:rFonts w:ascii="Times New Roman"/>
        </w:rPr>
      </w:pPr>
      <w:r>
        <w:rPr>
          <w:rFonts w:ascii="Times New Roman"/>
        </w:rPr>
        <w:t>②在施工的结构阶段和装修阶段，对建筑物的外部采用围挡，减轻施工噪声对外环境的影响。</w:t>
      </w:r>
    </w:p>
    <w:p w14:paraId="7FC5FFD1">
      <w:pPr>
        <w:adjustRightInd w:val="0"/>
        <w:snapToGrid w:val="0"/>
        <w:spacing w:line="360" w:lineRule="auto"/>
        <w:ind w:firstLine="480"/>
        <w:rPr>
          <w:rFonts w:ascii="Times New Roman"/>
        </w:rPr>
      </w:pPr>
      <w:r>
        <w:rPr>
          <w:rFonts w:ascii="Times New Roman"/>
        </w:rPr>
        <w:t>③运输车辆在经过沿途各村庄时应低速、禁鸣，以减轻道路运输对居民声环境的影响。施工期影响是短暂的，随着施工期的结束，施工期产生的噪声也会随之消失。</w:t>
      </w:r>
    </w:p>
    <w:p w14:paraId="5C7B2A80">
      <w:pPr>
        <w:tabs>
          <w:tab w:val="left" w:pos="1170"/>
        </w:tabs>
        <w:spacing w:line="520" w:lineRule="exact"/>
        <w:outlineLvl w:val="2"/>
        <w:rPr>
          <w:rFonts w:ascii="Times New Roman"/>
          <w:b/>
          <w:sz w:val="28"/>
          <w:szCs w:val="28"/>
        </w:rPr>
      </w:pPr>
      <w:r>
        <w:rPr>
          <w:rFonts w:ascii="Times New Roman"/>
          <w:b/>
          <w:sz w:val="28"/>
          <w:szCs w:val="28"/>
        </w:rPr>
        <w:t>5.1.</w:t>
      </w:r>
      <w:r>
        <w:rPr>
          <w:rFonts w:hint="eastAsia" w:ascii="Times New Roman"/>
          <w:b/>
          <w:sz w:val="28"/>
          <w:szCs w:val="28"/>
        </w:rPr>
        <w:t>3</w:t>
      </w:r>
      <w:r>
        <w:rPr>
          <w:rFonts w:ascii="Times New Roman"/>
          <w:b/>
          <w:sz w:val="28"/>
          <w:szCs w:val="28"/>
        </w:rPr>
        <w:t>施工废水影响分析</w:t>
      </w:r>
    </w:p>
    <w:p w14:paraId="6611D70B">
      <w:pPr>
        <w:autoSpaceDE w:val="0"/>
        <w:autoSpaceDN w:val="0"/>
        <w:adjustRightInd w:val="0"/>
        <w:snapToGrid w:val="0"/>
        <w:spacing w:line="480" w:lineRule="exact"/>
        <w:ind w:firstLine="480" w:firstLineChars="200"/>
        <w:rPr>
          <w:rFonts w:ascii="Times New Roman"/>
          <w:kern w:val="0"/>
          <w:sz w:val="24"/>
          <w:szCs w:val="24"/>
        </w:rPr>
      </w:pPr>
      <w:r>
        <w:rPr>
          <w:rFonts w:ascii="Times New Roman"/>
          <w:kern w:val="0"/>
          <w:sz w:val="24"/>
          <w:szCs w:val="24"/>
        </w:rPr>
        <w:t>施工期产生的废水主要是清洗车辆废水，以及施工人员产生的少量生活污水。</w:t>
      </w:r>
    </w:p>
    <w:p w14:paraId="6223203C">
      <w:pPr>
        <w:autoSpaceDE w:val="0"/>
        <w:autoSpaceDN w:val="0"/>
        <w:adjustRightInd w:val="0"/>
        <w:snapToGrid w:val="0"/>
        <w:spacing w:line="480" w:lineRule="exact"/>
        <w:ind w:firstLine="480" w:firstLineChars="200"/>
        <w:rPr>
          <w:rFonts w:ascii="Times New Roman"/>
          <w:kern w:val="0"/>
          <w:sz w:val="24"/>
          <w:szCs w:val="24"/>
        </w:rPr>
      </w:pPr>
      <w:r>
        <w:rPr>
          <w:rFonts w:ascii="Times New Roman"/>
          <w:kern w:val="0"/>
          <w:sz w:val="24"/>
          <w:szCs w:val="24"/>
        </w:rPr>
        <w:t>清洗车辆废水</w:t>
      </w:r>
      <w:r>
        <w:rPr>
          <w:rFonts w:hint="eastAsia" w:ascii="Times New Roman"/>
          <w:kern w:val="0"/>
          <w:sz w:val="24"/>
          <w:szCs w:val="24"/>
        </w:rPr>
        <w:t>产生</w:t>
      </w:r>
      <w:r>
        <w:rPr>
          <w:rFonts w:ascii="Times New Roman"/>
          <w:kern w:val="0"/>
          <w:sz w:val="24"/>
          <w:szCs w:val="24"/>
        </w:rPr>
        <w:t>量较小，且主要污染物为泥沙，采取施工过程中在临时施工区设置沉淀池，废水经沉淀池澄清后回用，不外排。</w:t>
      </w:r>
    </w:p>
    <w:p w14:paraId="41D97FA5">
      <w:pPr>
        <w:autoSpaceDE w:val="0"/>
        <w:autoSpaceDN w:val="0"/>
        <w:adjustRightInd w:val="0"/>
        <w:snapToGrid w:val="0"/>
        <w:spacing w:line="480" w:lineRule="exact"/>
        <w:ind w:firstLine="480" w:firstLineChars="200"/>
        <w:rPr>
          <w:rFonts w:ascii="Times New Roman"/>
          <w:kern w:val="0"/>
          <w:sz w:val="24"/>
          <w:szCs w:val="24"/>
        </w:rPr>
      </w:pPr>
      <w:r>
        <w:rPr>
          <w:rFonts w:ascii="Times New Roman"/>
          <w:kern w:val="0"/>
          <w:sz w:val="24"/>
          <w:szCs w:val="24"/>
        </w:rPr>
        <w:t>施工人员产生的生活污水，</w:t>
      </w:r>
      <w:r>
        <w:rPr>
          <w:rFonts w:hint="eastAsia"/>
          <w:sz w:val="24"/>
          <w:szCs w:val="24"/>
        </w:rPr>
        <w:t>排入防渗旱厕，清掏</w:t>
      </w:r>
      <w:r>
        <w:rPr>
          <w:rFonts w:ascii="Times New Roman"/>
          <w:kern w:val="0"/>
          <w:sz w:val="24"/>
          <w:szCs w:val="24"/>
        </w:rPr>
        <w:t>。本项目施工期废水不会对当地水环境产生影响。</w:t>
      </w:r>
    </w:p>
    <w:p w14:paraId="2F551C55">
      <w:pPr>
        <w:tabs>
          <w:tab w:val="left" w:pos="1170"/>
        </w:tabs>
        <w:spacing w:line="520" w:lineRule="exact"/>
        <w:outlineLvl w:val="2"/>
        <w:rPr>
          <w:rFonts w:ascii="Times New Roman"/>
          <w:b/>
          <w:sz w:val="28"/>
          <w:szCs w:val="28"/>
        </w:rPr>
      </w:pPr>
      <w:r>
        <w:rPr>
          <w:rFonts w:ascii="Times New Roman"/>
          <w:b/>
          <w:sz w:val="28"/>
          <w:szCs w:val="28"/>
        </w:rPr>
        <w:t>5.1.</w:t>
      </w:r>
      <w:r>
        <w:rPr>
          <w:rFonts w:hint="eastAsia" w:ascii="Times New Roman"/>
          <w:b/>
          <w:sz w:val="28"/>
          <w:szCs w:val="28"/>
        </w:rPr>
        <w:t>4</w:t>
      </w:r>
      <w:r>
        <w:rPr>
          <w:rFonts w:ascii="Times New Roman"/>
          <w:b/>
          <w:sz w:val="28"/>
          <w:szCs w:val="28"/>
        </w:rPr>
        <w:t>固废影响分析</w:t>
      </w:r>
    </w:p>
    <w:p w14:paraId="58023FBE">
      <w:pPr>
        <w:snapToGrid w:val="0"/>
        <w:spacing w:line="480" w:lineRule="exact"/>
        <w:ind w:firstLine="480"/>
        <w:rPr>
          <w:sz w:val="24"/>
          <w:szCs w:val="24"/>
        </w:rPr>
      </w:pPr>
      <w:r>
        <w:rPr>
          <w:sz w:val="24"/>
          <w:szCs w:val="24"/>
        </w:rPr>
        <w:t>项目建设过程中产生的固体废物主要为弃土、弃渣、建筑垃圾和工人日常生活产生的生活垃圾。</w:t>
      </w:r>
    </w:p>
    <w:p w14:paraId="6E115DD7">
      <w:pPr>
        <w:snapToGrid w:val="0"/>
        <w:spacing w:line="480" w:lineRule="exact"/>
        <w:ind w:firstLine="480"/>
        <w:rPr>
          <w:sz w:val="24"/>
          <w:szCs w:val="24"/>
        </w:rPr>
      </w:pPr>
      <w:r>
        <w:rPr>
          <w:sz w:val="24"/>
          <w:szCs w:val="24"/>
        </w:rPr>
        <w:t>建筑垃圾的特征是产生量大、时间短、而且是局部的，建设过程中产生的弃土石及建筑垃圾等指定地点堆存，优先进行回用，剩余部分及时清运，送至区域指定建筑垃圾场堆存处置；建设过程中产生的生活垃圾集中收集，送至区域指定垃圾集中堆存点，由区域环卫部门统一负责处置，对周边环境影响较小。</w:t>
      </w:r>
    </w:p>
    <w:p w14:paraId="43353F00">
      <w:pPr>
        <w:spacing w:line="480" w:lineRule="exact"/>
        <w:ind w:firstLine="480" w:firstLineChars="200"/>
        <w:rPr>
          <w:rFonts w:ascii="Times New Roman"/>
          <w:kern w:val="0"/>
          <w:sz w:val="24"/>
        </w:rPr>
      </w:pPr>
      <w:r>
        <w:rPr>
          <w:sz w:val="24"/>
          <w:szCs w:val="24"/>
        </w:rPr>
        <w:t>在采取上述措施后，项目建设过程中产生的固体废物得到妥善处置，对区域环境影响较小。</w:t>
      </w:r>
    </w:p>
    <w:p w14:paraId="25CAB4C0">
      <w:pPr>
        <w:pStyle w:val="151"/>
        <w:widowControl w:val="0"/>
        <w:spacing w:line="480" w:lineRule="exact"/>
        <w:ind w:left="500"/>
        <w:rPr>
          <w:rFonts w:cs="Times New Roman"/>
        </w:rPr>
        <w:sectPr>
          <w:pgSz w:w="11906" w:h="16838"/>
          <w:pgMar w:top="1440" w:right="1800" w:bottom="1440" w:left="1800" w:header="1134" w:footer="1134" w:gutter="0"/>
          <w:cols w:space="425" w:num="1"/>
          <w:docGrid w:type="lines" w:linePitch="340" w:charSpace="0"/>
        </w:sectPr>
      </w:pPr>
    </w:p>
    <w:p w14:paraId="28AD6F84">
      <w:pPr>
        <w:widowControl/>
        <w:spacing w:line="520" w:lineRule="exact"/>
        <w:jc w:val="left"/>
        <w:outlineLvl w:val="1"/>
        <w:rPr>
          <w:rFonts w:ascii="Times New Roman"/>
          <w:b/>
          <w:sz w:val="30"/>
          <w:szCs w:val="30"/>
        </w:rPr>
      </w:pPr>
      <w:bookmarkStart w:id="173" w:name="_Toc12732"/>
      <w:r>
        <w:rPr>
          <w:rFonts w:ascii="Times New Roman"/>
          <w:b/>
          <w:sz w:val="30"/>
          <w:szCs w:val="30"/>
        </w:rPr>
        <w:t>5.2营运期环境影响分析与评价</w:t>
      </w:r>
      <w:bookmarkEnd w:id="173"/>
    </w:p>
    <w:p w14:paraId="261C158A">
      <w:pPr>
        <w:tabs>
          <w:tab w:val="left" w:pos="1170"/>
        </w:tabs>
        <w:spacing w:line="520" w:lineRule="exact"/>
        <w:outlineLvl w:val="2"/>
        <w:rPr>
          <w:rFonts w:ascii="Times New Roman"/>
          <w:b/>
          <w:sz w:val="28"/>
          <w:szCs w:val="28"/>
        </w:rPr>
      </w:pPr>
      <w:r>
        <w:rPr>
          <w:rFonts w:ascii="Times New Roman"/>
          <w:b/>
          <w:sz w:val="28"/>
          <w:szCs w:val="28"/>
        </w:rPr>
        <w:t>5.2.1大气环境影响预测与评价</w:t>
      </w:r>
    </w:p>
    <w:p w14:paraId="02628019">
      <w:pPr>
        <w:pStyle w:val="6"/>
        <w:spacing w:before="170" w:afterLines="0"/>
        <w:rPr>
          <w:rFonts w:ascii="Times New Roman" w:hAnsi="Times New Roman" w:eastAsia="宋体"/>
          <w:b/>
          <w:color w:val="auto"/>
        </w:rPr>
      </w:pPr>
      <w:r>
        <w:rPr>
          <w:rFonts w:ascii="Times New Roman" w:hAnsi="Times New Roman" w:eastAsia="宋体"/>
          <w:b/>
          <w:color w:val="auto"/>
        </w:rPr>
        <w:t>5.2.1.1基础资料分析</w:t>
      </w:r>
    </w:p>
    <w:p w14:paraId="26D1F4AB">
      <w:pPr>
        <w:spacing w:line="480" w:lineRule="exact"/>
        <w:ind w:firstLine="480" w:firstLineChars="200"/>
        <w:rPr>
          <w:rFonts w:ascii="Times New Roman"/>
          <w:sz w:val="24"/>
          <w:szCs w:val="24"/>
        </w:rPr>
      </w:pPr>
      <w:r>
        <w:rPr>
          <w:rFonts w:ascii="Times New Roman"/>
          <w:sz w:val="24"/>
          <w:szCs w:val="24"/>
        </w:rPr>
        <w:t>1</w:t>
      </w:r>
      <w:r>
        <w:rPr>
          <w:rFonts w:hint="eastAsia" w:ascii="Times New Roman"/>
          <w:sz w:val="24"/>
          <w:szCs w:val="24"/>
        </w:rPr>
        <w:t>、</w:t>
      </w:r>
      <w:r>
        <w:rPr>
          <w:rFonts w:ascii="Times New Roman"/>
          <w:sz w:val="24"/>
          <w:szCs w:val="24"/>
        </w:rPr>
        <w:t>常规气象资料来源</w:t>
      </w:r>
    </w:p>
    <w:p w14:paraId="0D218137">
      <w:pPr>
        <w:spacing w:line="480" w:lineRule="exact"/>
        <w:ind w:firstLine="480" w:firstLineChars="200"/>
        <w:rPr>
          <w:rFonts w:ascii="Times New Roman"/>
          <w:sz w:val="24"/>
          <w:szCs w:val="24"/>
        </w:rPr>
      </w:pPr>
      <w:r>
        <w:rPr>
          <w:rFonts w:ascii="Times New Roman"/>
          <w:sz w:val="24"/>
          <w:szCs w:val="24"/>
        </w:rPr>
        <w:t>本项目20年主要气候统计采用曹妃甸气象站（站号：54535）的资料，距离拟建项目约25.7km，为基准站，地理位置为118°47'E，39°28'N，符合导则关于地面气象观测资料调查的要求。</w:t>
      </w:r>
    </w:p>
    <w:p w14:paraId="4EBDC626">
      <w:pPr>
        <w:pStyle w:val="77"/>
        <w:spacing w:before="0" w:beforeAutospacing="0" w:after="0" w:afterAutospacing="0" w:line="480" w:lineRule="exact"/>
        <w:jc w:val="center"/>
        <w:rPr>
          <w:rFonts w:ascii="Times New Roman" w:hAnsi="Times New Roman"/>
        </w:rPr>
      </w:pPr>
      <w:r>
        <w:rPr>
          <w:rFonts w:ascii="Times New Roman" w:hAnsi="Times New Roman"/>
          <w:b/>
          <w:kern w:val="2"/>
        </w:rPr>
        <w:t>表5.2</w:t>
      </w:r>
      <w:r>
        <w:rPr>
          <w:rFonts w:hint="eastAsia" w:ascii="Times New Roman" w:hAnsi="Times New Roman"/>
          <w:b/>
          <w:kern w:val="2"/>
        </w:rPr>
        <w:t>.1</w:t>
      </w:r>
      <w:r>
        <w:rPr>
          <w:rFonts w:ascii="Times New Roman" w:hAnsi="Times New Roman"/>
          <w:b/>
          <w:kern w:val="2"/>
        </w:rPr>
        <w:t>-1  地面观测气象数据信息</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0"/>
        <w:gridCol w:w="945"/>
        <w:gridCol w:w="910"/>
        <w:gridCol w:w="950"/>
        <w:gridCol w:w="940"/>
        <w:gridCol w:w="700"/>
        <w:gridCol w:w="714"/>
        <w:gridCol w:w="1003"/>
        <w:gridCol w:w="1287"/>
      </w:tblGrid>
      <w:tr w14:paraId="70A0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910" w:type="dxa"/>
            <w:vMerge w:val="restart"/>
            <w:vAlign w:val="center"/>
          </w:tcPr>
          <w:p w14:paraId="566BFAB8">
            <w:pPr>
              <w:pStyle w:val="77"/>
              <w:spacing w:before="0" w:beforeAutospacing="0" w:after="0" w:afterAutospacing="0" w:line="360" w:lineRule="exact"/>
              <w:jc w:val="center"/>
              <w:rPr>
                <w:rFonts w:ascii="Times New Roman" w:hAnsi="Times New Roman"/>
                <w:smallCaps/>
                <w:sz w:val="21"/>
                <w:szCs w:val="21"/>
              </w:rPr>
            </w:pPr>
            <w:r>
              <w:rPr>
                <w:rFonts w:ascii="Times New Roman" w:hAnsi="Times New Roman"/>
                <w:smallCaps/>
                <w:sz w:val="21"/>
                <w:szCs w:val="21"/>
              </w:rPr>
              <w:t>气象站</w:t>
            </w:r>
          </w:p>
          <w:p w14:paraId="1F04E4D7">
            <w:pPr>
              <w:pStyle w:val="77"/>
              <w:spacing w:before="0" w:beforeAutospacing="0" w:after="0" w:afterAutospacing="0" w:line="360" w:lineRule="exact"/>
              <w:jc w:val="center"/>
              <w:rPr>
                <w:rFonts w:ascii="Times New Roman" w:hAnsi="Times New Roman"/>
                <w:smallCaps/>
                <w:sz w:val="21"/>
                <w:szCs w:val="21"/>
              </w:rPr>
            </w:pPr>
            <w:r>
              <w:rPr>
                <w:rFonts w:ascii="Times New Roman" w:hAnsi="Times New Roman"/>
                <w:smallCaps/>
                <w:sz w:val="21"/>
                <w:szCs w:val="21"/>
              </w:rPr>
              <w:t>名称</w:t>
            </w:r>
          </w:p>
        </w:tc>
        <w:tc>
          <w:tcPr>
            <w:tcW w:w="945" w:type="dxa"/>
            <w:vMerge w:val="restart"/>
            <w:vAlign w:val="center"/>
          </w:tcPr>
          <w:p w14:paraId="13B4AED3">
            <w:pPr>
              <w:pStyle w:val="77"/>
              <w:spacing w:before="0" w:beforeAutospacing="0" w:after="0" w:afterAutospacing="0" w:line="360" w:lineRule="exact"/>
              <w:jc w:val="center"/>
              <w:rPr>
                <w:rFonts w:ascii="Times New Roman" w:hAnsi="Times New Roman"/>
                <w:smallCaps/>
                <w:sz w:val="21"/>
                <w:szCs w:val="21"/>
              </w:rPr>
            </w:pPr>
            <w:r>
              <w:rPr>
                <w:rFonts w:ascii="Times New Roman" w:hAnsi="Times New Roman"/>
                <w:smallCaps/>
                <w:sz w:val="21"/>
                <w:szCs w:val="21"/>
              </w:rPr>
              <w:t>气象站</w:t>
            </w:r>
          </w:p>
          <w:p w14:paraId="597B2573">
            <w:pPr>
              <w:pStyle w:val="77"/>
              <w:spacing w:before="0" w:beforeAutospacing="0" w:after="0" w:afterAutospacing="0" w:line="360" w:lineRule="exact"/>
              <w:jc w:val="center"/>
              <w:rPr>
                <w:rFonts w:ascii="Times New Roman" w:hAnsi="Times New Roman"/>
                <w:smallCaps/>
                <w:sz w:val="21"/>
                <w:szCs w:val="21"/>
              </w:rPr>
            </w:pPr>
            <w:r>
              <w:rPr>
                <w:rFonts w:ascii="Times New Roman" w:hAnsi="Times New Roman"/>
                <w:smallCaps/>
                <w:sz w:val="21"/>
                <w:szCs w:val="21"/>
              </w:rPr>
              <w:t>编号</w:t>
            </w:r>
          </w:p>
        </w:tc>
        <w:tc>
          <w:tcPr>
            <w:tcW w:w="910" w:type="dxa"/>
            <w:vMerge w:val="restart"/>
            <w:vAlign w:val="center"/>
          </w:tcPr>
          <w:p w14:paraId="035BCF88">
            <w:pPr>
              <w:pStyle w:val="77"/>
              <w:spacing w:before="0" w:beforeAutospacing="0" w:after="0" w:afterAutospacing="0" w:line="360" w:lineRule="exact"/>
              <w:jc w:val="center"/>
              <w:rPr>
                <w:rFonts w:ascii="Times New Roman" w:hAnsi="Times New Roman"/>
                <w:smallCaps/>
                <w:sz w:val="21"/>
                <w:szCs w:val="21"/>
              </w:rPr>
            </w:pPr>
            <w:r>
              <w:rPr>
                <w:rFonts w:ascii="Times New Roman" w:hAnsi="Times New Roman"/>
                <w:smallCaps/>
                <w:sz w:val="21"/>
                <w:szCs w:val="21"/>
              </w:rPr>
              <w:t>气象站</w:t>
            </w:r>
          </w:p>
          <w:p w14:paraId="40E04226">
            <w:pPr>
              <w:pStyle w:val="77"/>
              <w:spacing w:before="0" w:beforeAutospacing="0" w:after="0" w:afterAutospacing="0" w:line="360" w:lineRule="exact"/>
              <w:jc w:val="center"/>
              <w:rPr>
                <w:rFonts w:ascii="Times New Roman" w:hAnsi="Times New Roman"/>
                <w:smallCaps/>
                <w:sz w:val="21"/>
                <w:szCs w:val="21"/>
              </w:rPr>
            </w:pPr>
            <w:r>
              <w:rPr>
                <w:rFonts w:ascii="Times New Roman" w:hAnsi="Times New Roman"/>
                <w:smallCaps/>
                <w:sz w:val="21"/>
                <w:szCs w:val="21"/>
              </w:rPr>
              <w:t>等级</w:t>
            </w:r>
          </w:p>
        </w:tc>
        <w:tc>
          <w:tcPr>
            <w:tcW w:w="1890" w:type="dxa"/>
            <w:gridSpan w:val="2"/>
            <w:vAlign w:val="center"/>
          </w:tcPr>
          <w:p w14:paraId="020A2842">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气象站坐标</w:t>
            </w:r>
          </w:p>
        </w:tc>
        <w:tc>
          <w:tcPr>
            <w:tcW w:w="700" w:type="dxa"/>
            <w:vMerge w:val="restart"/>
            <w:vAlign w:val="center"/>
          </w:tcPr>
          <w:p w14:paraId="01AD4A03">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相对距离/km</w:t>
            </w:r>
          </w:p>
        </w:tc>
        <w:tc>
          <w:tcPr>
            <w:tcW w:w="714" w:type="dxa"/>
            <w:vMerge w:val="restart"/>
            <w:vAlign w:val="center"/>
          </w:tcPr>
          <w:p w14:paraId="2EA3CFF1">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海拔高度/m</w:t>
            </w:r>
          </w:p>
        </w:tc>
        <w:tc>
          <w:tcPr>
            <w:tcW w:w="1003" w:type="dxa"/>
            <w:vMerge w:val="restart"/>
            <w:vAlign w:val="center"/>
          </w:tcPr>
          <w:p w14:paraId="54923A0B">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数据年份</w:t>
            </w:r>
          </w:p>
        </w:tc>
        <w:tc>
          <w:tcPr>
            <w:tcW w:w="1287" w:type="dxa"/>
            <w:vMerge w:val="restart"/>
            <w:vAlign w:val="center"/>
          </w:tcPr>
          <w:p w14:paraId="6BE7EBFF">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气象要素</w:t>
            </w:r>
          </w:p>
        </w:tc>
      </w:tr>
      <w:tr w14:paraId="4560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10" w:type="dxa"/>
            <w:vMerge w:val="continue"/>
            <w:vAlign w:val="center"/>
          </w:tcPr>
          <w:p w14:paraId="7A72610C">
            <w:pPr>
              <w:spacing w:line="360" w:lineRule="exact"/>
              <w:jc w:val="center"/>
              <w:rPr>
                <w:rFonts w:ascii="Times New Roman"/>
                <w:sz w:val="21"/>
                <w:szCs w:val="21"/>
              </w:rPr>
            </w:pPr>
          </w:p>
        </w:tc>
        <w:tc>
          <w:tcPr>
            <w:tcW w:w="945" w:type="dxa"/>
            <w:vMerge w:val="continue"/>
            <w:vAlign w:val="center"/>
          </w:tcPr>
          <w:p w14:paraId="2419EEE9">
            <w:pPr>
              <w:spacing w:line="360" w:lineRule="exact"/>
              <w:jc w:val="center"/>
              <w:rPr>
                <w:rFonts w:ascii="Times New Roman"/>
                <w:sz w:val="21"/>
                <w:szCs w:val="21"/>
              </w:rPr>
            </w:pPr>
          </w:p>
        </w:tc>
        <w:tc>
          <w:tcPr>
            <w:tcW w:w="910" w:type="dxa"/>
            <w:vMerge w:val="continue"/>
            <w:vAlign w:val="center"/>
          </w:tcPr>
          <w:p w14:paraId="14919704">
            <w:pPr>
              <w:spacing w:line="360" w:lineRule="exact"/>
              <w:jc w:val="center"/>
              <w:rPr>
                <w:rFonts w:ascii="Times New Roman"/>
                <w:sz w:val="21"/>
                <w:szCs w:val="21"/>
              </w:rPr>
            </w:pPr>
          </w:p>
        </w:tc>
        <w:tc>
          <w:tcPr>
            <w:tcW w:w="950" w:type="dxa"/>
            <w:vAlign w:val="center"/>
          </w:tcPr>
          <w:p w14:paraId="5DA7C8C7">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经度</w:t>
            </w:r>
          </w:p>
        </w:tc>
        <w:tc>
          <w:tcPr>
            <w:tcW w:w="940" w:type="dxa"/>
            <w:vAlign w:val="center"/>
          </w:tcPr>
          <w:p w14:paraId="60B62202">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维度</w:t>
            </w:r>
          </w:p>
        </w:tc>
        <w:tc>
          <w:tcPr>
            <w:tcW w:w="700" w:type="dxa"/>
            <w:vMerge w:val="continue"/>
            <w:vAlign w:val="center"/>
          </w:tcPr>
          <w:p w14:paraId="141AAC54">
            <w:pPr>
              <w:spacing w:line="360" w:lineRule="exact"/>
              <w:jc w:val="center"/>
              <w:rPr>
                <w:rFonts w:ascii="Times New Roman"/>
                <w:sz w:val="21"/>
                <w:szCs w:val="21"/>
              </w:rPr>
            </w:pPr>
          </w:p>
        </w:tc>
        <w:tc>
          <w:tcPr>
            <w:tcW w:w="714" w:type="dxa"/>
            <w:vMerge w:val="continue"/>
            <w:vAlign w:val="center"/>
          </w:tcPr>
          <w:p w14:paraId="1818C6FE">
            <w:pPr>
              <w:spacing w:line="360" w:lineRule="exact"/>
              <w:jc w:val="center"/>
              <w:rPr>
                <w:rFonts w:ascii="Times New Roman"/>
                <w:sz w:val="21"/>
                <w:szCs w:val="21"/>
              </w:rPr>
            </w:pPr>
          </w:p>
        </w:tc>
        <w:tc>
          <w:tcPr>
            <w:tcW w:w="1003" w:type="dxa"/>
            <w:vMerge w:val="continue"/>
            <w:vAlign w:val="center"/>
          </w:tcPr>
          <w:p w14:paraId="7DC4CD4D">
            <w:pPr>
              <w:spacing w:line="360" w:lineRule="exact"/>
              <w:jc w:val="center"/>
              <w:rPr>
                <w:rFonts w:ascii="Times New Roman"/>
                <w:sz w:val="21"/>
                <w:szCs w:val="21"/>
              </w:rPr>
            </w:pPr>
          </w:p>
        </w:tc>
        <w:tc>
          <w:tcPr>
            <w:tcW w:w="1287" w:type="dxa"/>
            <w:vMerge w:val="continue"/>
            <w:vAlign w:val="center"/>
          </w:tcPr>
          <w:p w14:paraId="6DD2F4FF">
            <w:pPr>
              <w:spacing w:line="360" w:lineRule="exact"/>
              <w:jc w:val="center"/>
              <w:rPr>
                <w:rFonts w:ascii="Times New Roman"/>
                <w:sz w:val="21"/>
                <w:szCs w:val="21"/>
              </w:rPr>
            </w:pPr>
          </w:p>
        </w:tc>
      </w:tr>
      <w:tr w14:paraId="0D49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6" w:hRule="atLeast"/>
          <w:jc w:val="center"/>
        </w:trPr>
        <w:tc>
          <w:tcPr>
            <w:tcW w:w="910" w:type="dxa"/>
            <w:vAlign w:val="center"/>
          </w:tcPr>
          <w:p w14:paraId="32A1EC40">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曹妃甸气象站</w:t>
            </w:r>
          </w:p>
        </w:tc>
        <w:tc>
          <w:tcPr>
            <w:tcW w:w="945" w:type="dxa"/>
            <w:vAlign w:val="center"/>
          </w:tcPr>
          <w:p w14:paraId="758A999E">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54535</w:t>
            </w:r>
          </w:p>
        </w:tc>
        <w:tc>
          <w:tcPr>
            <w:tcW w:w="910" w:type="dxa"/>
            <w:vAlign w:val="center"/>
          </w:tcPr>
          <w:p w14:paraId="34750F75">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基准站</w:t>
            </w:r>
          </w:p>
        </w:tc>
        <w:tc>
          <w:tcPr>
            <w:tcW w:w="950" w:type="dxa"/>
            <w:vAlign w:val="center"/>
          </w:tcPr>
          <w:p w14:paraId="122E7A8D">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118.47</w:t>
            </w:r>
          </w:p>
        </w:tc>
        <w:tc>
          <w:tcPr>
            <w:tcW w:w="940" w:type="dxa"/>
            <w:vAlign w:val="center"/>
          </w:tcPr>
          <w:p w14:paraId="1F136FF6">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39.28</w:t>
            </w:r>
          </w:p>
        </w:tc>
        <w:tc>
          <w:tcPr>
            <w:tcW w:w="700" w:type="dxa"/>
            <w:vAlign w:val="center"/>
          </w:tcPr>
          <w:p w14:paraId="0A2FD54D">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25.7</w:t>
            </w:r>
          </w:p>
        </w:tc>
        <w:tc>
          <w:tcPr>
            <w:tcW w:w="714" w:type="dxa"/>
            <w:vAlign w:val="center"/>
          </w:tcPr>
          <w:p w14:paraId="3E5B2349">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4</w:t>
            </w:r>
          </w:p>
        </w:tc>
        <w:tc>
          <w:tcPr>
            <w:tcW w:w="1003" w:type="dxa"/>
            <w:vAlign w:val="center"/>
          </w:tcPr>
          <w:p w14:paraId="45AF5490">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1998-2018</w:t>
            </w:r>
          </w:p>
        </w:tc>
        <w:tc>
          <w:tcPr>
            <w:tcW w:w="1287" w:type="dxa"/>
            <w:vAlign w:val="center"/>
          </w:tcPr>
          <w:p w14:paraId="62D3E4E1">
            <w:pPr>
              <w:pStyle w:val="77"/>
              <w:spacing w:before="0" w:beforeAutospacing="0" w:after="0" w:afterAutospacing="0" w:line="360" w:lineRule="exact"/>
              <w:jc w:val="center"/>
              <w:rPr>
                <w:rFonts w:ascii="Times New Roman" w:hAnsi="Times New Roman"/>
                <w:sz w:val="21"/>
                <w:szCs w:val="21"/>
              </w:rPr>
            </w:pPr>
            <w:r>
              <w:rPr>
                <w:rFonts w:ascii="Times New Roman" w:hAnsi="Times New Roman"/>
                <w:sz w:val="21"/>
                <w:szCs w:val="21"/>
              </w:rPr>
              <w:t>风向、风速、干球温度、总云量</w:t>
            </w:r>
          </w:p>
        </w:tc>
      </w:tr>
    </w:tbl>
    <w:p w14:paraId="6F685F27">
      <w:pPr>
        <w:adjustRightInd w:val="0"/>
        <w:snapToGrid w:val="0"/>
        <w:spacing w:line="500" w:lineRule="exact"/>
        <w:ind w:firstLine="480" w:firstLineChars="200"/>
        <w:rPr>
          <w:rFonts w:ascii="Times New Roman"/>
          <w:bCs/>
          <w:sz w:val="24"/>
          <w:szCs w:val="24"/>
        </w:rPr>
      </w:pPr>
      <w:r>
        <w:rPr>
          <w:rFonts w:hint="eastAsia" w:ascii="Times New Roman"/>
          <w:bCs/>
          <w:sz w:val="24"/>
          <w:szCs w:val="24"/>
        </w:rPr>
        <w:t>2、地面气象资料来源</w:t>
      </w:r>
    </w:p>
    <w:p w14:paraId="19130542">
      <w:pPr>
        <w:spacing w:line="480" w:lineRule="exact"/>
        <w:ind w:firstLine="480" w:firstLineChars="200"/>
        <w:rPr>
          <w:rFonts w:ascii="Times New Roman"/>
          <w:sz w:val="24"/>
          <w:szCs w:val="24"/>
        </w:rPr>
      </w:pPr>
      <w:r>
        <w:rPr>
          <w:rFonts w:hint="eastAsia" w:ascii="Times New Roman" w:cs="宋体"/>
          <w:kern w:val="0"/>
          <w:sz w:val="24"/>
          <w:szCs w:val="24"/>
        </w:rPr>
        <w:t>（</w:t>
      </w:r>
      <w:r>
        <w:rPr>
          <w:rFonts w:ascii="Times New Roman"/>
          <w:kern w:val="0"/>
          <w:sz w:val="24"/>
          <w:szCs w:val="24"/>
        </w:rPr>
        <w:t>1</w:t>
      </w:r>
      <w:r>
        <w:rPr>
          <w:rFonts w:hint="eastAsia" w:ascii="Times New Roman" w:cs="宋体"/>
          <w:kern w:val="0"/>
          <w:sz w:val="24"/>
          <w:szCs w:val="24"/>
        </w:rPr>
        <w:t>）主要气候特征统计分析</w:t>
      </w:r>
    </w:p>
    <w:p w14:paraId="5553BC3D">
      <w:pPr>
        <w:spacing w:line="480" w:lineRule="exact"/>
        <w:ind w:firstLine="480" w:firstLineChars="200"/>
        <w:rPr>
          <w:rFonts w:ascii="Times New Roman"/>
          <w:sz w:val="24"/>
          <w:szCs w:val="20"/>
        </w:rPr>
      </w:pPr>
      <w:r>
        <w:rPr>
          <w:rFonts w:hint="eastAsia" w:ascii="Times New Roman" w:cs="宋体"/>
          <w:kern w:val="0"/>
          <w:sz w:val="24"/>
          <w:szCs w:val="24"/>
        </w:rPr>
        <w:t>曹妃甸气象站地区属于大陆性季风气候，具有明显的暖温带半湿润季风气候特征。冬半年主要受蒙古冷气团控制，多西北风，气温较低，降水较少；夏半年主要受太平洋副热带暖高压影响，以偏南风为主，气温偏高，降水偏多，</w:t>
      </w:r>
      <w:r>
        <w:rPr>
          <w:rFonts w:hint="eastAsia" w:ascii="Times New Roman"/>
          <w:sz w:val="24"/>
          <w:szCs w:val="24"/>
        </w:rPr>
        <w:t>降水主要集中在夏季。海域受台风影响不大，平均每三年出现一次，有时一年发生两次</w:t>
      </w:r>
      <w:r>
        <w:rPr>
          <w:rFonts w:hint="eastAsia" w:ascii="Times New Roman"/>
          <w:sz w:val="24"/>
          <w:szCs w:val="20"/>
        </w:rPr>
        <w:t>。区域多年平均气温</w:t>
      </w:r>
      <w:r>
        <w:rPr>
          <w:rFonts w:ascii="Times New Roman"/>
          <w:sz w:val="24"/>
          <w:szCs w:val="20"/>
        </w:rPr>
        <w:t>12.41℃</w:t>
      </w:r>
      <w:r>
        <w:rPr>
          <w:rFonts w:hint="eastAsia" w:ascii="Times New Roman"/>
          <w:sz w:val="24"/>
          <w:szCs w:val="20"/>
        </w:rPr>
        <w:t>，极端最低气温-22.8</w:t>
      </w:r>
      <w:r>
        <w:rPr>
          <w:rFonts w:ascii="Times New Roman"/>
          <w:sz w:val="24"/>
          <w:szCs w:val="20"/>
        </w:rPr>
        <w:t>℃</w:t>
      </w:r>
      <w:r>
        <w:rPr>
          <w:rFonts w:hint="eastAsia" w:ascii="Times New Roman"/>
          <w:sz w:val="24"/>
          <w:szCs w:val="20"/>
        </w:rPr>
        <w:t>，极端最高气温</w:t>
      </w:r>
      <w:r>
        <w:rPr>
          <w:rFonts w:ascii="Times New Roman"/>
          <w:sz w:val="24"/>
          <w:szCs w:val="20"/>
        </w:rPr>
        <w:t>3</w:t>
      </w:r>
      <w:r>
        <w:rPr>
          <w:rFonts w:hint="eastAsia" w:ascii="Times New Roman"/>
          <w:sz w:val="24"/>
          <w:szCs w:val="20"/>
        </w:rPr>
        <w:t>8</w:t>
      </w:r>
      <w:r>
        <w:rPr>
          <w:rFonts w:ascii="Times New Roman"/>
          <w:sz w:val="24"/>
          <w:szCs w:val="20"/>
        </w:rPr>
        <w:t>.7℃</w:t>
      </w:r>
      <w:r>
        <w:rPr>
          <w:rFonts w:hint="eastAsia" w:ascii="Times New Roman"/>
          <w:sz w:val="24"/>
          <w:szCs w:val="20"/>
        </w:rPr>
        <w:t>，年平均降水量</w:t>
      </w:r>
      <w:r>
        <w:rPr>
          <w:rFonts w:ascii="Times New Roman"/>
          <w:sz w:val="24"/>
          <w:szCs w:val="20"/>
        </w:rPr>
        <w:t>573.26</w:t>
      </w:r>
      <w:r>
        <w:rPr>
          <w:rFonts w:hint="eastAsia" w:ascii="Times New Roman"/>
          <w:sz w:val="24"/>
          <w:szCs w:val="20"/>
        </w:rPr>
        <w:t>mm，年平均风速</w:t>
      </w:r>
      <w:r>
        <w:rPr>
          <w:rFonts w:ascii="Times New Roman"/>
          <w:sz w:val="24"/>
          <w:szCs w:val="20"/>
        </w:rPr>
        <w:t>2.5</w:t>
      </w:r>
      <w:r>
        <w:rPr>
          <w:rFonts w:hint="eastAsia" w:ascii="Times New Roman"/>
          <w:sz w:val="24"/>
          <w:szCs w:val="20"/>
        </w:rPr>
        <w:t>m/s。</w:t>
      </w:r>
    </w:p>
    <w:p w14:paraId="61285F13">
      <w:pPr>
        <w:spacing w:line="480" w:lineRule="exact"/>
        <w:ind w:firstLine="480" w:firstLineChars="200"/>
        <w:rPr>
          <w:rFonts w:ascii="Times New Roman"/>
          <w:sz w:val="24"/>
          <w:szCs w:val="20"/>
        </w:rPr>
      </w:pPr>
      <w:r>
        <w:rPr>
          <w:rFonts w:hint="eastAsia" w:ascii="Times New Roman"/>
          <w:sz w:val="24"/>
          <w:szCs w:val="20"/>
        </w:rPr>
        <w:t>（2）温度</w:t>
      </w:r>
    </w:p>
    <w:p w14:paraId="4C79B9B7">
      <w:pPr>
        <w:spacing w:line="480" w:lineRule="exact"/>
        <w:ind w:firstLine="480" w:firstLineChars="200"/>
        <w:rPr>
          <w:rFonts w:ascii="Times New Roman"/>
          <w:sz w:val="24"/>
          <w:szCs w:val="20"/>
        </w:rPr>
      </w:pPr>
      <w:r>
        <w:rPr>
          <w:rFonts w:hint="eastAsia" w:ascii="Times New Roman"/>
          <w:sz w:val="24"/>
          <w:szCs w:val="20"/>
        </w:rPr>
        <w:t>曹妃甸多年平均温度月变化情况见下表和下图。</w:t>
      </w:r>
    </w:p>
    <w:p w14:paraId="0AB187E9">
      <w:pPr>
        <w:spacing w:line="360" w:lineRule="auto"/>
        <w:jc w:val="center"/>
        <w:rPr>
          <w:rFonts w:ascii="Times New Roman"/>
          <w:bCs/>
          <w:szCs w:val="21"/>
        </w:rPr>
      </w:pPr>
      <w:r>
        <w:rPr>
          <w:rFonts w:ascii="Times New Roman"/>
        </w:rPr>
        <w:drawing>
          <wp:inline distT="0" distB="0" distL="0" distR="0">
            <wp:extent cx="4941570" cy="2543810"/>
            <wp:effectExtent l="4445" t="4445" r="6985" b="23495"/>
            <wp:docPr id="1076200982" name="图表 1076200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7C5389">
      <w:pPr>
        <w:spacing w:line="480" w:lineRule="exact"/>
        <w:jc w:val="center"/>
        <w:rPr>
          <w:rFonts w:ascii="Times New Roman"/>
          <w:b/>
          <w:bCs/>
          <w:sz w:val="24"/>
          <w:szCs w:val="24"/>
        </w:rPr>
      </w:pPr>
      <w:bookmarkStart w:id="174" w:name="_Ref119935447"/>
      <w:r>
        <w:rPr>
          <w:rFonts w:hint="eastAsia" w:ascii="Times New Roman"/>
          <w:b/>
          <w:bCs/>
          <w:sz w:val="24"/>
          <w:szCs w:val="24"/>
        </w:rPr>
        <w:t>图</w:t>
      </w:r>
      <w:r>
        <w:rPr>
          <w:rFonts w:ascii="Times New Roman"/>
          <w:b/>
          <w:bCs/>
          <w:sz w:val="24"/>
          <w:szCs w:val="24"/>
        </w:rPr>
        <w:t>5.2</w:t>
      </w:r>
      <w:r>
        <w:rPr>
          <w:rFonts w:ascii="Times New Roman"/>
          <w:b/>
          <w:bCs/>
          <w:sz w:val="24"/>
          <w:szCs w:val="24"/>
        </w:rPr>
        <w:noBreakHyphen/>
      </w:r>
      <w:r>
        <w:rPr>
          <w:rFonts w:ascii="Times New Roman"/>
          <w:b/>
          <w:bCs/>
          <w:sz w:val="24"/>
          <w:szCs w:val="24"/>
        </w:rPr>
        <w:t>1</w:t>
      </w:r>
      <w:bookmarkEnd w:id="174"/>
      <w:r>
        <w:rPr>
          <w:rFonts w:hint="eastAsia" w:ascii="Times New Roman"/>
          <w:b/>
          <w:bCs/>
          <w:sz w:val="24"/>
          <w:szCs w:val="24"/>
        </w:rPr>
        <w:t xml:space="preserve"> </w:t>
      </w:r>
      <w:r>
        <w:rPr>
          <w:rFonts w:ascii="Times New Roman"/>
          <w:b/>
          <w:bCs/>
          <w:sz w:val="24"/>
          <w:szCs w:val="24"/>
        </w:rPr>
        <w:t xml:space="preserve"> 近20年各月平均气温变化曲线图</w:t>
      </w:r>
    </w:p>
    <w:p w14:paraId="4998FF7F">
      <w:pPr>
        <w:spacing w:line="480" w:lineRule="exact"/>
        <w:jc w:val="center"/>
        <w:rPr>
          <w:rFonts w:ascii="Times New Roman"/>
          <w:b/>
          <w:bCs/>
          <w:sz w:val="24"/>
          <w:szCs w:val="24"/>
        </w:rPr>
      </w:pPr>
      <w:bookmarkStart w:id="175" w:name="_Ref119935434"/>
      <w:r>
        <w:rPr>
          <w:rFonts w:hint="eastAsia" w:ascii="Times New Roman"/>
          <w:b/>
          <w:bCs/>
          <w:sz w:val="24"/>
          <w:szCs w:val="24"/>
        </w:rPr>
        <w:t>表</w:t>
      </w:r>
      <w:r>
        <w:rPr>
          <w:rFonts w:ascii="Times New Roman"/>
          <w:b/>
          <w:bCs/>
          <w:sz w:val="24"/>
          <w:szCs w:val="24"/>
        </w:rPr>
        <w:t>5.2</w:t>
      </w:r>
      <w:r>
        <w:rPr>
          <w:rFonts w:hint="eastAsia" w:ascii="Times New Roman"/>
          <w:b/>
          <w:bCs/>
          <w:sz w:val="24"/>
          <w:szCs w:val="24"/>
        </w:rPr>
        <w:t>.1</w:t>
      </w:r>
      <w:r>
        <w:rPr>
          <w:rFonts w:ascii="Times New Roman"/>
          <w:b/>
          <w:bCs/>
          <w:sz w:val="24"/>
          <w:szCs w:val="24"/>
        </w:rPr>
        <w:noBreakHyphen/>
      </w:r>
      <w:bookmarkEnd w:id="175"/>
      <w:r>
        <w:rPr>
          <w:rFonts w:hint="eastAsia" w:ascii="Times New Roman"/>
          <w:b/>
          <w:bCs/>
          <w:sz w:val="24"/>
          <w:szCs w:val="24"/>
        </w:rPr>
        <w:t>2</w:t>
      </w:r>
      <w:r>
        <w:rPr>
          <w:rFonts w:ascii="Times New Roman"/>
          <w:b/>
          <w:bCs/>
          <w:sz w:val="24"/>
          <w:szCs w:val="24"/>
        </w:rPr>
        <w:t xml:space="preserve">  近20年各月平均气温变化统计表</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3"/>
        <w:gridCol w:w="583"/>
        <w:gridCol w:w="578"/>
        <w:gridCol w:w="578"/>
        <w:gridCol w:w="580"/>
        <w:gridCol w:w="578"/>
        <w:gridCol w:w="578"/>
        <w:gridCol w:w="578"/>
        <w:gridCol w:w="580"/>
        <w:gridCol w:w="579"/>
        <w:gridCol w:w="581"/>
        <w:gridCol w:w="584"/>
        <w:gridCol w:w="581"/>
        <w:gridCol w:w="574"/>
      </w:tblGrid>
      <w:tr w14:paraId="09C4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82" w:type="pct"/>
          </w:tcPr>
          <w:p w14:paraId="7F27AE47">
            <w:pPr>
              <w:pStyle w:val="1979"/>
              <w:widowControl w:val="0"/>
              <w:spacing w:before="48" w:line="280" w:lineRule="exact"/>
              <w:ind w:left="107"/>
              <w:rPr>
                <w:rFonts w:ascii="Times New Roman" w:hAnsi="Times New Roman" w:cs="Times New Roman"/>
                <w:sz w:val="21"/>
                <w:szCs w:val="21"/>
              </w:rPr>
            </w:pPr>
            <w:r>
              <w:rPr>
                <w:rFonts w:ascii="Times New Roman" w:hAnsi="Times New Roman" w:cs="Times New Roman"/>
                <w:spacing w:val="-17"/>
                <w:sz w:val="21"/>
                <w:szCs w:val="21"/>
              </w:rPr>
              <w:t>月份</w:t>
            </w:r>
          </w:p>
        </w:tc>
        <w:tc>
          <w:tcPr>
            <w:tcW w:w="350" w:type="pct"/>
            <w:vAlign w:val="center"/>
          </w:tcPr>
          <w:p w14:paraId="70280610">
            <w:pPr>
              <w:pStyle w:val="1979"/>
              <w:widowControl w:val="0"/>
              <w:spacing w:before="48" w:line="280" w:lineRule="exact"/>
              <w:ind w:left="27"/>
              <w:jc w:val="center"/>
              <w:rPr>
                <w:rFonts w:ascii="Times New Roman" w:hAnsi="Times New Roman" w:cs="Times New Roman"/>
                <w:sz w:val="21"/>
                <w:szCs w:val="21"/>
              </w:rPr>
            </w:pPr>
            <w:r>
              <w:rPr>
                <w:rFonts w:ascii="Times New Roman" w:hAnsi="Times New Roman" w:cs="Times New Roman"/>
                <w:sz w:val="21"/>
                <w:szCs w:val="21"/>
              </w:rPr>
              <w:t>1</w:t>
            </w:r>
          </w:p>
        </w:tc>
        <w:tc>
          <w:tcPr>
            <w:tcW w:w="347" w:type="pct"/>
            <w:vAlign w:val="center"/>
          </w:tcPr>
          <w:p w14:paraId="1CAA5CDE">
            <w:pPr>
              <w:pStyle w:val="1979"/>
              <w:widowControl w:val="0"/>
              <w:spacing w:before="48" w:line="280" w:lineRule="exact"/>
              <w:ind w:left="25"/>
              <w:jc w:val="center"/>
              <w:rPr>
                <w:rFonts w:ascii="Times New Roman" w:hAnsi="Times New Roman" w:cs="Times New Roman"/>
                <w:sz w:val="21"/>
                <w:szCs w:val="21"/>
              </w:rPr>
            </w:pPr>
            <w:r>
              <w:rPr>
                <w:rFonts w:ascii="Times New Roman" w:hAnsi="Times New Roman" w:cs="Times New Roman"/>
                <w:sz w:val="21"/>
                <w:szCs w:val="21"/>
              </w:rPr>
              <w:t>2</w:t>
            </w:r>
          </w:p>
        </w:tc>
        <w:tc>
          <w:tcPr>
            <w:tcW w:w="347" w:type="pct"/>
            <w:vAlign w:val="center"/>
          </w:tcPr>
          <w:p w14:paraId="176B3A1D">
            <w:pPr>
              <w:pStyle w:val="1979"/>
              <w:widowControl w:val="0"/>
              <w:spacing w:before="48" w:line="280" w:lineRule="exact"/>
              <w:ind w:left="31"/>
              <w:jc w:val="center"/>
              <w:rPr>
                <w:rFonts w:ascii="Times New Roman" w:hAnsi="Times New Roman" w:cs="Times New Roman"/>
                <w:sz w:val="21"/>
                <w:szCs w:val="21"/>
              </w:rPr>
            </w:pPr>
            <w:r>
              <w:rPr>
                <w:rFonts w:ascii="Times New Roman" w:hAnsi="Times New Roman" w:cs="Times New Roman"/>
                <w:sz w:val="21"/>
                <w:szCs w:val="21"/>
              </w:rPr>
              <w:t>3</w:t>
            </w:r>
          </w:p>
        </w:tc>
        <w:tc>
          <w:tcPr>
            <w:tcW w:w="348" w:type="pct"/>
            <w:vAlign w:val="center"/>
          </w:tcPr>
          <w:p w14:paraId="3C5EF287">
            <w:pPr>
              <w:pStyle w:val="1979"/>
              <w:widowControl w:val="0"/>
              <w:spacing w:before="48" w:line="280" w:lineRule="exact"/>
              <w:ind w:left="27"/>
              <w:jc w:val="center"/>
              <w:rPr>
                <w:rFonts w:ascii="Times New Roman" w:hAnsi="Times New Roman" w:cs="Times New Roman"/>
                <w:sz w:val="21"/>
                <w:szCs w:val="21"/>
              </w:rPr>
            </w:pPr>
            <w:r>
              <w:rPr>
                <w:rFonts w:ascii="Times New Roman" w:hAnsi="Times New Roman" w:cs="Times New Roman"/>
                <w:sz w:val="21"/>
                <w:szCs w:val="21"/>
              </w:rPr>
              <w:t>4</w:t>
            </w:r>
          </w:p>
        </w:tc>
        <w:tc>
          <w:tcPr>
            <w:tcW w:w="347" w:type="pct"/>
            <w:vAlign w:val="center"/>
          </w:tcPr>
          <w:p w14:paraId="20DF5F84">
            <w:pPr>
              <w:pStyle w:val="1979"/>
              <w:widowControl w:val="0"/>
              <w:spacing w:before="48" w:line="280" w:lineRule="exact"/>
              <w:ind w:left="23"/>
              <w:jc w:val="center"/>
              <w:rPr>
                <w:rFonts w:ascii="Times New Roman" w:hAnsi="Times New Roman" w:cs="Times New Roman"/>
                <w:sz w:val="21"/>
                <w:szCs w:val="21"/>
              </w:rPr>
            </w:pPr>
            <w:r>
              <w:rPr>
                <w:rFonts w:ascii="Times New Roman" w:hAnsi="Times New Roman" w:cs="Times New Roman"/>
                <w:sz w:val="21"/>
                <w:szCs w:val="21"/>
              </w:rPr>
              <w:t>5</w:t>
            </w:r>
          </w:p>
        </w:tc>
        <w:tc>
          <w:tcPr>
            <w:tcW w:w="347" w:type="pct"/>
            <w:vAlign w:val="center"/>
          </w:tcPr>
          <w:p w14:paraId="64295EBA">
            <w:pPr>
              <w:pStyle w:val="1979"/>
              <w:widowControl w:val="0"/>
              <w:spacing w:before="48" w:line="280" w:lineRule="exact"/>
              <w:ind w:left="29"/>
              <w:jc w:val="center"/>
              <w:rPr>
                <w:rFonts w:ascii="Times New Roman" w:hAnsi="Times New Roman" w:cs="Times New Roman"/>
                <w:sz w:val="21"/>
                <w:szCs w:val="21"/>
              </w:rPr>
            </w:pPr>
            <w:r>
              <w:rPr>
                <w:rFonts w:ascii="Times New Roman" w:hAnsi="Times New Roman" w:cs="Times New Roman"/>
                <w:sz w:val="21"/>
                <w:szCs w:val="21"/>
              </w:rPr>
              <w:t>6</w:t>
            </w:r>
          </w:p>
        </w:tc>
        <w:tc>
          <w:tcPr>
            <w:tcW w:w="347" w:type="pct"/>
            <w:vAlign w:val="center"/>
          </w:tcPr>
          <w:p w14:paraId="20A2B4E8">
            <w:pPr>
              <w:pStyle w:val="1979"/>
              <w:widowControl w:val="0"/>
              <w:spacing w:before="48" w:line="280" w:lineRule="exact"/>
              <w:ind w:left="23"/>
              <w:jc w:val="center"/>
              <w:rPr>
                <w:rFonts w:ascii="Times New Roman" w:hAnsi="Times New Roman" w:cs="Times New Roman"/>
                <w:sz w:val="21"/>
                <w:szCs w:val="21"/>
              </w:rPr>
            </w:pPr>
            <w:r>
              <w:rPr>
                <w:rFonts w:ascii="Times New Roman" w:hAnsi="Times New Roman" w:cs="Times New Roman"/>
                <w:sz w:val="21"/>
                <w:szCs w:val="21"/>
              </w:rPr>
              <w:t>7</w:t>
            </w:r>
          </w:p>
        </w:tc>
        <w:tc>
          <w:tcPr>
            <w:tcW w:w="348" w:type="pct"/>
            <w:vAlign w:val="center"/>
          </w:tcPr>
          <w:p w14:paraId="1DDF8BE8">
            <w:pPr>
              <w:pStyle w:val="1979"/>
              <w:widowControl w:val="0"/>
              <w:spacing w:before="48" w:line="280" w:lineRule="exact"/>
              <w:ind w:left="22"/>
              <w:jc w:val="center"/>
              <w:rPr>
                <w:rFonts w:ascii="Times New Roman" w:hAnsi="Times New Roman" w:cs="Times New Roman"/>
                <w:sz w:val="21"/>
                <w:szCs w:val="21"/>
              </w:rPr>
            </w:pPr>
            <w:r>
              <w:rPr>
                <w:rFonts w:ascii="Times New Roman" w:hAnsi="Times New Roman" w:cs="Times New Roman"/>
                <w:sz w:val="21"/>
                <w:szCs w:val="21"/>
              </w:rPr>
              <w:t>8</w:t>
            </w:r>
          </w:p>
        </w:tc>
        <w:tc>
          <w:tcPr>
            <w:tcW w:w="347" w:type="pct"/>
            <w:vAlign w:val="center"/>
          </w:tcPr>
          <w:p w14:paraId="072CED4D">
            <w:pPr>
              <w:pStyle w:val="1979"/>
              <w:widowControl w:val="0"/>
              <w:spacing w:before="48" w:line="280" w:lineRule="exact"/>
              <w:ind w:left="19"/>
              <w:jc w:val="center"/>
              <w:rPr>
                <w:rFonts w:ascii="Times New Roman" w:hAnsi="Times New Roman" w:cs="Times New Roman"/>
                <w:sz w:val="21"/>
                <w:szCs w:val="21"/>
              </w:rPr>
            </w:pPr>
            <w:r>
              <w:rPr>
                <w:rFonts w:ascii="Times New Roman" w:hAnsi="Times New Roman" w:cs="Times New Roman"/>
                <w:sz w:val="21"/>
                <w:szCs w:val="21"/>
              </w:rPr>
              <w:t>9</w:t>
            </w:r>
          </w:p>
        </w:tc>
        <w:tc>
          <w:tcPr>
            <w:tcW w:w="348" w:type="pct"/>
            <w:vAlign w:val="center"/>
          </w:tcPr>
          <w:p w14:paraId="571B14E9">
            <w:pPr>
              <w:pStyle w:val="1979"/>
              <w:widowControl w:val="0"/>
              <w:spacing w:before="48" w:line="280" w:lineRule="exact"/>
              <w:ind w:left="66" w:right="55"/>
              <w:jc w:val="center"/>
              <w:rPr>
                <w:rFonts w:ascii="Times New Roman" w:hAnsi="Times New Roman" w:cs="Times New Roman"/>
                <w:sz w:val="21"/>
                <w:szCs w:val="21"/>
              </w:rPr>
            </w:pPr>
            <w:r>
              <w:rPr>
                <w:rFonts w:ascii="Times New Roman" w:hAnsi="Times New Roman" w:cs="Times New Roman"/>
                <w:sz w:val="21"/>
                <w:szCs w:val="21"/>
              </w:rPr>
              <w:t>10</w:t>
            </w:r>
          </w:p>
        </w:tc>
        <w:tc>
          <w:tcPr>
            <w:tcW w:w="350" w:type="pct"/>
            <w:vAlign w:val="center"/>
          </w:tcPr>
          <w:p w14:paraId="4CB84D2A">
            <w:pPr>
              <w:pStyle w:val="1979"/>
              <w:widowControl w:val="0"/>
              <w:spacing w:before="48" w:line="280" w:lineRule="exact"/>
              <w:ind w:left="7"/>
              <w:jc w:val="center"/>
              <w:rPr>
                <w:rFonts w:ascii="Times New Roman" w:hAnsi="Times New Roman" w:cs="Times New Roman"/>
                <w:sz w:val="21"/>
                <w:szCs w:val="21"/>
              </w:rPr>
            </w:pPr>
            <w:r>
              <w:rPr>
                <w:rFonts w:ascii="Times New Roman" w:hAnsi="Times New Roman" w:cs="Times New Roman"/>
                <w:sz w:val="21"/>
                <w:szCs w:val="21"/>
              </w:rPr>
              <w:t>11</w:t>
            </w:r>
          </w:p>
        </w:tc>
        <w:tc>
          <w:tcPr>
            <w:tcW w:w="348" w:type="pct"/>
            <w:vAlign w:val="center"/>
          </w:tcPr>
          <w:p w14:paraId="52043CA2">
            <w:pPr>
              <w:pStyle w:val="1979"/>
              <w:widowControl w:val="0"/>
              <w:spacing w:before="48" w:line="280" w:lineRule="exact"/>
              <w:ind w:left="56" w:right="55"/>
              <w:jc w:val="center"/>
              <w:rPr>
                <w:rFonts w:ascii="Times New Roman" w:hAnsi="Times New Roman" w:cs="Times New Roman"/>
                <w:sz w:val="21"/>
                <w:szCs w:val="21"/>
              </w:rPr>
            </w:pPr>
            <w:r>
              <w:rPr>
                <w:rFonts w:ascii="Times New Roman" w:hAnsi="Times New Roman" w:cs="Times New Roman"/>
                <w:sz w:val="21"/>
                <w:szCs w:val="21"/>
              </w:rPr>
              <w:t>12</w:t>
            </w:r>
          </w:p>
        </w:tc>
        <w:tc>
          <w:tcPr>
            <w:tcW w:w="346" w:type="pct"/>
          </w:tcPr>
          <w:p w14:paraId="35147564">
            <w:pPr>
              <w:pStyle w:val="1979"/>
              <w:widowControl w:val="0"/>
              <w:spacing w:before="48" w:line="280" w:lineRule="exact"/>
              <w:ind w:left="105"/>
              <w:rPr>
                <w:rFonts w:ascii="Times New Roman" w:hAnsi="Times New Roman" w:cs="Times New Roman"/>
                <w:sz w:val="21"/>
                <w:szCs w:val="21"/>
              </w:rPr>
            </w:pPr>
            <w:r>
              <w:rPr>
                <w:rFonts w:ascii="Times New Roman" w:hAnsi="Times New Roman" w:cs="Times New Roman"/>
                <w:spacing w:val="-17"/>
                <w:sz w:val="21"/>
                <w:szCs w:val="21"/>
              </w:rPr>
              <w:t>平均</w:t>
            </w:r>
          </w:p>
        </w:tc>
      </w:tr>
      <w:tr w14:paraId="59AA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82" w:type="pct"/>
          </w:tcPr>
          <w:p w14:paraId="688E72AF">
            <w:pPr>
              <w:pStyle w:val="1979"/>
              <w:widowControl w:val="0"/>
              <w:spacing w:before="53" w:line="280" w:lineRule="exact"/>
              <w:ind w:left="107" w:right="85"/>
              <w:rPr>
                <w:rFonts w:ascii="Times New Roman" w:hAnsi="Times New Roman" w:cs="Times New Roman"/>
                <w:sz w:val="21"/>
                <w:szCs w:val="21"/>
              </w:rPr>
            </w:pPr>
            <w:r>
              <w:rPr>
                <w:rFonts w:ascii="Times New Roman" w:hAnsi="Times New Roman" w:cs="Times New Roman"/>
                <w:spacing w:val="-16"/>
                <w:sz w:val="21"/>
                <w:szCs w:val="21"/>
              </w:rPr>
              <w:t>温度</w:t>
            </w:r>
            <w:r>
              <w:rPr>
                <w:rFonts w:ascii="Times New Roman" w:hAnsi="Times New Roman" w:cs="Times New Roman"/>
                <w:spacing w:val="-9"/>
                <w:sz w:val="21"/>
                <w:szCs w:val="21"/>
              </w:rPr>
              <w:t>（℃）</w:t>
            </w:r>
          </w:p>
        </w:tc>
        <w:tc>
          <w:tcPr>
            <w:tcW w:w="350" w:type="pct"/>
            <w:vAlign w:val="center"/>
          </w:tcPr>
          <w:p w14:paraId="45B51317">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-3.72</w:t>
            </w:r>
          </w:p>
        </w:tc>
        <w:tc>
          <w:tcPr>
            <w:tcW w:w="347" w:type="pct"/>
            <w:vAlign w:val="center"/>
          </w:tcPr>
          <w:p w14:paraId="6B202B4E">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-0.8</w:t>
            </w:r>
          </w:p>
        </w:tc>
        <w:tc>
          <w:tcPr>
            <w:tcW w:w="347" w:type="pct"/>
            <w:vAlign w:val="center"/>
          </w:tcPr>
          <w:p w14:paraId="23C0B979">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6.07</w:t>
            </w:r>
          </w:p>
        </w:tc>
        <w:tc>
          <w:tcPr>
            <w:tcW w:w="348" w:type="pct"/>
            <w:vAlign w:val="center"/>
          </w:tcPr>
          <w:p w14:paraId="4F0E4887">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13.3</w:t>
            </w:r>
          </w:p>
        </w:tc>
        <w:tc>
          <w:tcPr>
            <w:tcW w:w="347" w:type="pct"/>
            <w:vAlign w:val="center"/>
          </w:tcPr>
          <w:p w14:paraId="1818E015">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19.69</w:t>
            </w:r>
          </w:p>
        </w:tc>
        <w:tc>
          <w:tcPr>
            <w:tcW w:w="347" w:type="pct"/>
            <w:vAlign w:val="center"/>
          </w:tcPr>
          <w:p w14:paraId="1673E2E8">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23.66</w:t>
            </w:r>
          </w:p>
        </w:tc>
        <w:tc>
          <w:tcPr>
            <w:tcW w:w="347" w:type="pct"/>
            <w:vAlign w:val="center"/>
          </w:tcPr>
          <w:p w14:paraId="6927612C">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26.19</w:t>
            </w:r>
          </w:p>
        </w:tc>
        <w:tc>
          <w:tcPr>
            <w:tcW w:w="348" w:type="pct"/>
            <w:vAlign w:val="center"/>
          </w:tcPr>
          <w:p w14:paraId="20C1CCB7">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25.57</w:t>
            </w:r>
          </w:p>
        </w:tc>
        <w:tc>
          <w:tcPr>
            <w:tcW w:w="347" w:type="pct"/>
            <w:vAlign w:val="center"/>
          </w:tcPr>
          <w:p w14:paraId="105B6A7E">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21.35</w:t>
            </w:r>
          </w:p>
        </w:tc>
        <w:tc>
          <w:tcPr>
            <w:tcW w:w="348" w:type="pct"/>
            <w:vAlign w:val="center"/>
          </w:tcPr>
          <w:p w14:paraId="28C565DE">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13.95</w:t>
            </w:r>
          </w:p>
        </w:tc>
        <w:tc>
          <w:tcPr>
            <w:tcW w:w="350" w:type="pct"/>
            <w:vAlign w:val="center"/>
          </w:tcPr>
          <w:p w14:paraId="51AAED64">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5.51</w:t>
            </w:r>
          </w:p>
        </w:tc>
        <w:tc>
          <w:tcPr>
            <w:tcW w:w="348" w:type="pct"/>
            <w:vAlign w:val="center"/>
          </w:tcPr>
          <w:p w14:paraId="3A348125">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-1.81</w:t>
            </w:r>
          </w:p>
        </w:tc>
        <w:tc>
          <w:tcPr>
            <w:tcW w:w="346" w:type="pct"/>
            <w:vAlign w:val="center"/>
          </w:tcPr>
          <w:p w14:paraId="6DF97312">
            <w:pPr>
              <w:pStyle w:val="1979"/>
              <w:widowControl w:val="0"/>
              <w:spacing w:before="48" w:line="280" w:lineRule="exact"/>
              <w:ind w:left="27"/>
              <w:jc w:val="center"/>
              <w:rPr>
                <w:rFonts w:ascii="Times New Roman" w:hAnsi="Times New Roman" w:cs="Times New Roman"/>
                <w:sz w:val="21"/>
                <w:szCs w:val="21"/>
              </w:rPr>
            </w:pPr>
            <w:r>
              <w:rPr>
                <w:rFonts w:ascii="Times New Roman" w:hAnsi="Times New Roman" w:cs="Times New Roman"/>
                <w:sz w:val="21"/>
                <w:szCs w:val="21"/>
              </w:rPr>
              <w:t>12.41</w:t>
            </w:r>
          </w:p>
        </w:tc>
      </w:tr>
    </w:tbl>
    <w:p w14:paraId="56016322">
      <w:pPr>
        <w:spacing w:line="480" w:lineRule="exact"/>
        <w:ind w:firstLine="480" w:firstLineChars="200"/>
        <w:rPr>
          <w:rFonts w:ascii="Times New Roman"/>
          <w:sz w:val="28"/>
          <w:szCs w:val="21"/>
        </w:rPr>
      </w:pPr>
      <w:r>
        <w:rPr>
          <w:rFonts w:hint="eastAsia" w:ascii="Times New Roman"/>
          <w:sz w:val="24"/>
          <w:szCs w:val="24"/>
        </w:rPr>
        <w:t>由上表可知区域近</w:t>
      </w:r>
      <w:r>
        <w:rPr>
          <w:rFonts w:ascii="Times New Roman"/>
          <w:sz w:val="24"/>
          <w:szCs w:val="24"/>
        </w:rPr>
        <w:t>20</w:t>
      </w:r>
      <w:r>
        <w:rPr>
          <w:rFonts w:hint="eastAsia" w:ascii="Times New Roman"/>
          <w:sz w:val="24"/>
          <w:szCs w:val="24"/>
        </w:rPr>
        <w:t>年平均温度为</w:t>
      </w:r>
      <w:r>
        <w:rPr>
          <w:rFonts w:ascii="Times New Roman"/>
          <w:sz w:val="24"/>
          <w:szCs w:val="24"/>
        </w:rPr>
        <w:t>12.41℃</w:t>
      </w:r>
      <w:r>
        <w:rPr>
          <w:rFonts w:hint="eastAsia" w:ascii="Times New Roman"/>
          <w:sz w:val="24"/>
          <w:szCs w:val="24"/>
        </w:rPr>
        <w:t>，</w:t>
      </w:r>
      <w:r>
        <w:rPr>
          <w:rFonts w:ascii="Times New Roman"/>
          <w:sz w:val="24"/>
          <w:szCs w:val="24"/>
        </w:rPr>
        <w:t>7</w:t>
      </w:r>
      <w:r>
        <w:rPr>
          <w:rFonts w:hint="eastAsia" w:ascii="Times New Roman"/>
          <w:sz w:val="24"/>
          <w:szCs w:val="24"/>
        </w:rPr>
        <w:t>月份平均气温最高为</w:t>
      </w:r>
      <w:r>
        <w:rPr>
          <w:rFonts w:ascii="Times New Roman"/>
          <w:sz w:val="24"/>
          <w:szCs w:val="24"/>
        </w:rPr>
        <w:t>26.19℃</w:t>
      </w:r>
      <w:r>
        <w:rPr>
          <w:rFonts w:hint="eastAsia" w:ascii="Times New Roman"/>
          <w:sz w:val="24"/>
          <w:szCs w:val="24"/>
        </w:rPr>
        <w:t>，</w:t>
      </w:r>
      <w:r>
        <w:rPr>
          <w:rFonts w:ascii="Times New Roman"/>
          <w:sz w:val="24"/>
          <w:szCs w:val="24"/>
        </w:rPr>
        <w:t>1</w:t>
      </w:r>
      <w:r>
        <w:rPr>
          <w:rFonts w:hint="eastAsia" w:ascii="Times New Roman"/>
          <w:sz w:val="24"/>
          <w:szCs w:val="24"/>
        </w:rPr>
        <w:t>月份平均温度最低，为</w:t>
      </w:r>
      <w:r>
        <w:rPr>
          <w:rFonts w:ascii="Times New Roman"/>
          <w:sz w:val="24"/>
          <w:szCs w:val="24"/>
        </w:rPr>
        <w:t>-3.72℃</w:t>
      </w:r>
      <w:r>
        <w:rPr>
          <w:rFonts w:hint="eastAsia" w:ascii="Times New Roman"/>
          <w:sz w:val="24"/>
          <w:szCs w:val="24"/>
        </w:rPr>
        <w:t>。</w:t>
      </w:r>
    </w:p>
    <w:p w14:paraId="16A63CB5">
      <w:pPr>
        <w:spacing w:line="480" w:lineRule="exact"/>
        <w:ind w:firstLine="482"/>
        <w:rPr>
          <w:rFonts w:ascii="Times New Roman"/>
          <w:bCs/>
          <w:sz w:val="24"/>
          <w:szCs w:val="24"/>
        </w:rPr>
      </w:pPr>
      <w:r>
        <w:rPr>
          <w:rFonts w:ascii="Times New Roman"/>
          <w:bCs/>
          <w:sz w:val="24"/>
          <w:szCs w:val="24"/>
        </w:rPr>
        <w:t>2、风速</w:t>
      </w:r>
    </w:p>
    <w:p w14:paraId="7823EE31">
      <w:pPr>
        <w:spacing w:line="480" w:lineRule="exact"/>
        <w:ind w:firstLine="482"/>
        <w:rPr>
          <w:rFonts w:ascii="Times New Roman"/>
          <w:bCs/>
          <w:sz w:val="24"/>
          <w:szCs w:val="24"/>
        </w:rPr>
      </w:pPr>
      <w:r>
        <w:rPr>
          <w:rFonts w:ascii="Times New Roman"/>
          <w:bCs/>
          <w:sz w:val="24"/>
          <w:szCs w:val="24"/>
        </w:rPr>
        <w:t>区域内近20年各月平均风速变化情况见</w:t>
      </w:r>
      <w:r>
        <w:rPr>
          <w:rFonts w:hint="eastAsia" w:ascii="Times New Roman"/>
          <w:sz w:val="24"/>
          <w:szCs w:val="24"/>
        </w:rPr>
        <w:t>表</w:t>
      </w:r>
      <w:r>
        <w:rPr>
          <w:rFonts w:ascii="Times New Roman"/>
          <w:sz w:val="24"/>
          <w:szCs w:val="24"/>
        </w:rPr>
        <w:t>5.2</w:t>
      </w:r>
      <w:r>
        <w:rPr>
          <w:rFonts w:hint="eastAsia" w:ascii="Times New Roman"/>
          <w:sz w:val="24"/>
          <w:szCs w:val="24"/>
        </w:rPr>
        <w:t>.1</w:t>
      </w:r>
      <w:r>
        <w:rPr>
          <w:rFonts w:ascii="Times New Roman"/>
          <w:sz w:val="24"/>
          <w:szCs w:val="24"/>
        </w:rPr>
        <w:noBreakHyphen/>
      </w:r>
      <w:r>
        <w:rPr>
          <w:rFonts w:hint="eastAsia" w:ascii="Times New Roman"/>
          <w:sz w:val="24"/>
          <w:szCs w:val="24"/>
        </w:rPr>
        <w:t>3</w:t>
      </w:r>
      <w:r>
        <w:rPr>
          <w:rFonts w:ascii="Times New Roman"/>
          <w:bCs/>
          <w:sz w:val="24"/>
          <w:szCs w:val="24"/>
        </w:rPr>
        <w:t>，近20年各月平均风速变化曲线图见</w:t>
      </w:r>
      <w:r>
        <w:rPr>
          <w:rFonts w:hint="eastAsia" w:ascii="Times New Roman"/>
          <w:sz w:val="24"/>
          <w:szCs w:val="24"/>
        </w:rPr>
        <w:t>图</w:t>
      </w:r>
      <w:r>
        <w:rPr>
          <w:rFonts w:ascii="Times New Roman"/>
          <w:sz w:val="24"/>
          <w:szCs w:val="24"/>
        </w:rPr>
        <w:t>5.2</w:t>
      </w:r>
      <w:r>
        <w:rPr>
          <w:rFonts w:ascii="Times New Roman"/>
          <w:sz w:val="24"/>
          <w:szCs w:val="24"/>
        </w:rPr>
        <w:noBreakHyphen/>
      </w:r>
      <w:r>
        <w:rPr>
          <w:rFonts w:ascii="Times New Roman"/>
          <w:sz w:val="24"/>
          <w:szCs w:val="24"/>
        </w:rPr>
        <w:t>2</w:t>
      </w:r>
      <w:r>
        <w:rPr>
          <w:rFonts w:hint="eastAsia" w:ascii="Times New Roman"/>
          <w:bCs/>
          <w:sz w:val="24"/>
          <w:szCs w:val="24"/>
        </w:rPr>
        <w:t>。</w:t>
      </w:r>
    </w:p>
    <w:p w14:paraId="7640BF60">
      <w:pPr>
        <w:spacing w:line="480" w:lineRule="exact"/>
        <w:jc w:val="center"/>
        <w:rPr>
          <w:rFonts w:ascii="Times New Roman"/>
          <w:b/>
          <w:bCs/>
          <w:sz w:val="24"/>
          <w:szCs w:val="24"/>
        </w:rPr>
      </w:pPr>
      <w:bookmarkStart w:id="176" w:name="_Ref119937089"/>
      <w:bookmarkStart w:id="177" w:name="_Ref119937079"/>
      <w:r>
        <w:rPr>
          <w:rFonts w:hint="eastAsia" w:ascii="Times New Roman"/>
          <w:b/>
          <w:bCs/>
          <w:sz w:val="24"/>
          <w:szCs w:val="24"/>
        </w:rPr>
        <w:t>表</w:t>
      </w:r>
      <w:r>
        <w:rPr>
          <w:rFonts w:ascii="Times New Roman"/>
          <w:b/>
          <w:bCs/>
          <w:sz w:val="24"/>
          <w:szCs w:val="24"/>
        </w:rPr>
        <w:t>5.2</w:t>
      </w:r>
      <w:r>
        <w:rPr>
          <w:rFonts w:hint="eastAsia" w:ascii="Times New Roman"/>
          <w:b/>
          <w:bCs/>
          <w:sz w:val="24"/>
          <w:szCs w:val="24"/>
        </w:rPr>
        <w:t>.1</w:t>
      </w:r>
      <w:r>
        <w:rPr>
          <w:rFonts w:ascii="Times New Roman"/>
          <w:b/>
          <w:bCs/>
          <w:sz w:val="24"/>
          <w:szCs w:val="24"/>
        </w:rPr>
        <w:noBreakHyphen/>
      </w:r>
      <w:bookmarkEnd w:id="176"/>
      <w:r>
        <w:rPr>
          <w:rFonts w:hint="eastAsia" w:ascii="Times New Roman"/>
          <w:b/>
          <w:bCs/>
          <w:sz w:val="24"/>
          <w:szCs w:val="24"/>
        </w:rPr>
        <w:t xml:space="preserve">3 </w:t>
      </w:r>
      <w:r>
        <w:rPr>
          <w:rFonts w:ascii="Times New Roman"/>
          <w:b/>
          <w:bCs/>
          <w:sz w:val="24"/>
          <w:szCs w:val="24"/>
        </w:rPr>
        <w:t xml:space="preserve"> 近20年各月平均风速变化统计表</w:t>
      </w:r>
      <w:bookmarkEnd w:id="177"/>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3"/>
        <w:gridCol w:w="582"/>
        <w:gridCol w:w="582"/>
        <w:gridCol w:w="580"/>
        <w:gridCol w:w="580"/>
        <w:gridCol w:w="582"/>
        <w:gridCol w:w="580"/>
        <w:gridCol w:w="580"/>
        <w:gridCol w:w="582"/>
        <w:gridCol w:w="580"/>
        <w:gridCol w:w="582"/>
        <w:gridCol w:w="583"/>
        <w:gridCol w:w="582"/>
        <w:gridCol w:w="577"/>
      </w:tblGrid>
      <w:tr w14:paraId="22F5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70" w:type="pct"/>
            <w:vAlign w:val="center"/>
          </w:tcPr>
          <w:p w14:paraId="208BF0F4">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月份</w:t>
            </w:r>
          </w:p>
        </w:tc>
        <w:tc>
          <w:tcPr>
            <w:tcW w:w="349" w:type="pct"/>
            <w:vAlign w:val="center"/>
          </w:tcPr>
          <w:p w14:paraId="5AEF28E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1</w:t>
            </w:r>
          </w:p>
        </w:tc>
        <w:tc>
          <w:tcPr>
            <w:tcW w:w="349" w:type="pct"/>
            <w:vAlign w:val="center"/>
          </w:tcPr>
          <w:p w14:paraId="746077F9">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2</w:t>
            </w:r>
          </w:p>
        </w:tc>
        <w:tc>
          <w:tcPr>
            <w:tcW w:w="348" w:type="pct"/>
            <w:vAlign w:val="center"/>
          </w:tcPr>
          <w:p w14:paraId="1B52E411">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3</w:t>
            </w:r>
          </w:p>
        </w:tc>
        <w:tc>
          <w:tcPr>
            <w:tcW w:w="348" w:type="pct"/>
            <w:vAlign w:val="center"/>
          </w:tcPr>
          <w:p w14:paraId="738E8DC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4</w:t>
            </w:r>
          </w:p>
        </w:tc>
        <w:tc>
          <w:tcPr>
            <w:tcW w:w="349" w:type="pct"/>
            <w:vAlign w:val="center"/>
          </w:tcPr>
          <w:p w14:paraId="7B513A87">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5</w:t>
            </w:r>
          </w:p>
        </w:tc>
        <w:tc>
          <w:tcPr>
            <w:tcW w:w="348" w:type="pct"/>
            <w:vAlign w:val="center"/>
          </w:tcPr>
          <w:p w14:paraId="45E2A84A">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6</w:t>
            </w:r>
          </w:p>
        </w:tc>
        <w:tc>
          <w:tcPr>
            <w:tcW w:w="348" w:type="pct"/>
            <w:vAlign w:val="center"/>
          </w:tcPr>
          <w:p w14:paraId="196AF06E">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7</w:t>
            </w:r>
          </w:p>
        </w:tc>
        <w:tc>
          <w:tcPr>
            <w:tcW w:w="349" w:type="pct"/>
            <w:vAlign w:val="center"/>
          </w:tcPr>
          <w:p w14:paraId="03EE58A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8</w:t>
            </w:r>
          </w:p>
        </w:tc>
        <w:tc>
          <w:tcPr>
            <w:tcW w:w="348" w:type="pct"/>
            <w:vAlign w:val="center"/>
          </w:tcPr>
          <w:p w14:paraId="03EC5BFC">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9</w:t>
            </w:r>
          </w:p>
        </w:tc>
        <w:tc>
          <w:tcPr>
            <w:tcW w:w="349" w:type="pct"/>
            <w:vAlign w:val="center"/>
          </w:tcPr>
          <w:p w14:paraId="01934124">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10</w:t>
            </w:r>
          </w:p>
        </w:tc>
        <w:tc>
          <w:tcPr>
            <w:tcW w:w="350" w:type="pct"/>
            <w:vAlign w:val="center"/>
          </w:tcPr>
          <w:p w14:paraId="2C868A32">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11</w:t>
            </w:r>
          </w:p>
        </w:tc>
        <w:tc>
          <w:tcPr>
            <w:tcW w:w="349" w:type="pct"/>
            <w:vAlign w:val="center"/>
          </w:tcPr>
          <w:p w14:paraId="5475D839">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12</w:t>
            </w:r>
          </w:p>
        </w:tc>
        <w:tc>
          <w:tcPr>
            <w:tcW w:w="346" w:type="pct"/>
            <w:vAlign w:val="center"/>
          </w:tcPr>
          <w:p w14:paraId="400D0E5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平均</w:t>
            </w:r>
          </w:p>
        </w:tc>
      </w:tr>
      <w:tr w14:paraId="0BD7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70" w:type="pct"/>
            <w:vAlign w:val="center"/>
          </w:tcPr>
          <w:p w14:paraId="41FC2ECC">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风速</w:t>
            </w:r>
          </w:p>
          <w:p w14:paraId="6C5DFFE7">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（m/s）</w:t>
            </w:r>
          </w:p>
        </w:tc>
        <w:tc>
          <w:tcPr>
            <w:tcW w:w="349" w:type="pct"/>
            <w:vAlign w:val="center"/>
          </w:tcPr>
          <w:p w14:paraId="64B61B90">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2.24</w:t>
            </w:r>
          </w:p>
        </w:tc>
        <w:tc>
          <w:tcPr>
            <w:tcW w:w="349" w:type="pct"/>
            <w:vAlign w:val="center"/>
          </w:tcPr>
          <w:p w14:paraId="5E531BA3">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2.53</w:t>
            </w:r>
          </w:p>
        </w:tc>
        <w:tc>
          <w:tcPr>
            <w:tcW w:w="348" w:type="pct"/>
            <w:vAlign w:val="center"/>
          </w:tcPr>
          <w:p w14:paraId="2FFBFCAF">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3.08</w:t>
            </w:r>
          </w:p>
        </w:tc>
        <w:tc>
          <w:tcPr>
            <w:tcW w:w="348" w:type="pct"/>
            <w:vAlign w:val="center"/>
          </w:tcPr>
          <w:p w14:paraId="3D60B1BC">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3.39</w:t>
            </w:r>
          </w:p>
        </w:tc>
        <w:tc>
          <w:tcPr>
            <w:tcW w:w="349" w:type="pct"/>
            <w:vAlign w:val="center"/>
          </w:tcPr>
          <w:p w14:paraId="7DF620D6">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3.14</w:t>
            </w:r>
          </w:p>
        </w:tc>
        <w:tc>
          <w:tcPr>
            <w:tcW w:w="348" w:type="pct"/>
            <w:vAlign w:val="center"/>
          </w:tcPr>
          <w:p w14:paraId="663AF44B">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2.65</w:t>
            </w:r>
          </w:p>
        </w:tc>
        <w:tc>
          <w:tcPr>
            <w:tcW w:w="348" w:type="pct"/>
            <w:vAlign w:val="center"/>
          </w:tcPr>
          <w:p w14:paraId="29FB1A16">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2.33</w:t>
            </w:r>
          </w:p>
        </w:tc>
        <w:tc>
          <w:tcPr>
            <w:tcW w:w="349" w:type="pct"/>
            <w:vAlign w:val="center"/>
          </w:tcPr>
          <w:p w14:paraId="73BAB4DA">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348" w:type="pct"/>
            <w:vAlign w:val="center"/>
          </w:tcPr>
          <w:p w14:paraId="7C5404C0">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1.99</w:t>
            </w:r>
          </w:p>
        </w:tc>
        <w:tc>
          <w:tcPr>
            <w:tcW w:w="349" w:type="pct"/>
            <w:vAlign w:val="center"/>
          </w:tcPr>
          <w:p w14:paraId="5F5B882F">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2.1</w:t>
            </w:r>
          </w:p>
        </w:tc>
        <w:tc>
          <w:tcPr>
            <w:tcW w:w="350" w:type="pct"/>
            <w:vAlign w:val="center"/>
          </w:tcPr>
          <w:p w14:paraId="1A34E7E1">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2.26</w:t>
            </w:r>
          </w:p>
        </w:tc>
        <w:tc>
          <w:tcPr>
            <w:tcW w:w="349" w:type="pct"/>
            <w:vAlign w:val="center"/>
          </w:tcPr>
          <w:p w14:paraId="5B750A7E">
            <w:pPr>
              <w:pStyle w:val="1979"/>
              <w:widowControl w:val="0"/>
              <w:spacing w:before="48" w:line="280" w:lineRule="exact"/>
              <w:ind w:left="27"/>
              <w:jc w:val="center"/>
              <w:rPr>
                <w:rFonts w:ascii="Times New Roman" w:hAnsi="Times New Roman" w:cs="Times New Roman"/>
                <w:sz w:val="21"/>
                <w:szCs w:val="21"/>
              </w:rPr>
            </w:pPr>
            <w:r>
              <w:rPr>
                <w:rFonts w:hint="eastAsia" w:ascii="Times New Roman" w:hAnsi="Times New Roman" w:cs="Times New Roman"/>
                <w:sz w:val="21"/>
                <w:szCs w:val="21"/>
              </w:rPr>
              <w:t>2.29</w:t>
            </w:r>
          </w:p>
        </w:tc>
        <w:tc>
          <w:tcPr>
            <w:tcW w:w="346" w:type="pct"/>
            <w:vAlign w:val="center"/>
          </w:tcPr>
          <w:p w14:paraId="63C90268">
            <w:pPr>
              <w:pStyle w:val="1979"/>
              <w:widowControl w:val="0"/>
              <w:spacing w:before="48" w:line="280" w:lineRule="exact"/>
              <w:ind w:left="27"/>
              <w:jc w:val="center"/>
              <w:rPr>
                <w:rFonts w:ascii="Times New Roman" w:hAnsi="Times New Roman" w:cs="Times New Roman"/>
                <w:sz w:val="21"/>
                <w:szCs w:val="21"/>
              </w:rPr>
            </w:pPr>
            <w:r>
              <w:rPr>
                <w:rFonts w:ascii="Times New Roman" w:hAnsi="Times New Roman" w:cs="Times New Roman"/>
                <w:sz w:val="21"/>
                <w:szCs w:val="21"/>
              </w:rPr>
              <w:t>2.5</w:t>
            </w:r>
          </w:p>
        </w:tc>
      </w:tr>
    </w:tbl>
    <w:p w14:paraId="75644C9E">
      <w:pPr>
        <w:pStyle w:val="21"/>
        <w:spacing w:line="360" w:lineRule="auto"/>
        <w:jc w:val="center"/>
        <w:rPr>
          <w:rFonts w:ascii="Times New Roman" w:hAnsi="Times New Roman"/>
        </w:rPr>
      </w:pPr>
      <w:bookmarkStart w:id="178" w:name="_Ref119937129"/>
      <w:r>
        <w:rPr>
          <w:rFonts w:ascii="Times New Roman" w:hAnsi="Times New Roman"/>
        </w:rPr>
        <w:drawing>
          <wp:inline distT="0" distB="0" distL="0" distR="0">
            <wp:extent cx="4427855" cy="2451735"/>
            <wp:effectExtent l="4445" t="5080" r="6350" b="19685"/>
            <wp:docPr id="1076200983" name="图表 1076200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bookmarkEnd w:id="178"/>
    <w:p w14:paraId="4651E1FA">
      <w:pPr>
        <w:spacing w:line="480" w:lineRule="exact"/>
        <w:jc w:val="center"/>
        <w:rPr>
          <w:rFonts w:ascii="Times New Roman"/>
          <w:b/>
          <w:bCs/>
          <w:sz w:val="24"/>
          <w:szCs w:val="24"/>
        </w:rPr>
      </w:pPr>
      <w:bookmarkStart w:id="179" w:name="_Ref128500670"/>
      <w:r>
        <w:rPr>
          <w:rFonts w:hint="eastAsia" w:ascii="Times New Roman"/>
          <w:b/>
          <w:bCs/>
          <w:sz w:val="24"/>
          <w:szCs w:val="24"/>
        </w:rPr>
        <w:t>图</w:t>
      </w:r>
      <w:r>
        <w:rPr>
          <w:rFonts w:ascii="Times New Roman"/>
          <w:b/>
          <w:bCs/>
          <w:sz w:val="24"/>
          <w:szCs w:val="24"/>
        </w:rPr>
        <w:t>5.2</w:t>
      </w:r>
      <w:r>
        <w:rPr>
          <w:rFonts w:ascii="Times New Roman"/>
          <w:b/>
          <w:bCs/>
          <w:sz w:val="24"/>
          <w:szCs w:val="24"/>
        </w:rPr>
        <w:noBreakHyphen/>
      </w:r>
      <w:r>
        <w:rPr>
          <w:rFonts w:ascii="Times New Roman"/>
          <w:b/>
          <w:bCs/>
          <w:sz w:val="24"/>
          <w:szCs w:val="24"/>
        </w:rPr>
        <w:t>2</w:t>
      </w:r>
      <w:bookmarkEnd w:id="179"/>
      <w:r>
        <w:rPr>
          <w:rFonts w:hint="eastAsia" w:ascii="Times New Roman"/>
          <w:b/>
          <w:bCs/>
          <w:sz w:val="24"/>
          <w:szCs w:val="24"/>
        </w:rPr>
        <w:t xml:space="preserve"> </w:t>
      </w:r>
      <w:r>
        <w:rPr>
          <w:rFonts w:ascii="Times New Roman"/>
          <w:b/>
          <w:bCs/>
          <w:sz w:val="24"/>
          <w:szCs w:val="24"/>
        </w:rPr>
        <w:t xml:space="preserve"> 近20年各月平均风速变化曲线图</w:t>
      </w:r>
    </w:p>
    <w:p w14:paraId="175DF6D3">
      <w:pPr>
        <w:spacing w:line="480" w:lineRule="exact"/>
        <w:ind w:firstLine="482"/>
        <w:rPr>
          <w:rFonts w:ascii="Times New Roman"/>
          <w:bCs/>
          <w:sz w:val="24"/>
          <w:szCs w:val="20"/>
        </w:rPr>
      </w:pPr>
      <w:r>
        <w:rPr>
          <w:rFonts w:ascii="Times New Roman"/>
          <w:bCs/>
          <w:sz w:val="24"/>
          <w:szCs w:val="20"/>
        </w:rPr>
        <w:t>区域近20年平均风速为2.5m/s，4月份平均风速最大为3.39m/s，</w:t>
      </w:r>
      <w:r>
        <w:rPr>
          <w:rFonts w:hint="eastAsia" w:ascii="Times New Roman"/>
          <w:bCs/>
          <w:sz w:val="24"/>
          <w:szCs w:val="20"/>
        </w:rPr>
        <w:t>9</w:t>
      </w:r>
      <w:r>
        <w:rPr>
          <w:rFonts w:ascii="Times New Roman"/>
          <w:bCs/>
          <w:sz w:val="24"/>
          <w:szCs w:val="20"/>
        </w:rPr>
        <w:t>月份平均风速最小为1.99m/s。</w:t>
      </w:r>
    </w:p>
    <w:p w14:paraId="092FDE3A">
      <w:pPr>
        <w:spacing w:line="480" w:lineRule="exact"/>
        <w:ind w:firstLine="482"/>
        <w:rPr>
          <w:rFonts w:ascii="Times New Roman"/>
          <w:bCs/>
          <w:sz w:val="24"/>
          <w:szCs w:val="24"/>
        </w:rPr>
      </w:pPr>
      <w:r>
        <w:rPr>
          <w:rFonts w:ascii="Times New Roman"/>
          <w:bCs/>
          <w:sz w:val="24"/>
          <w:szCs w:val="24"/>
        </w:rPr>
        <w:t>3、风向、风频</w:t>
      </w:r>
    </w:p>
    <w:p w14:paraId="0CF15F0A">
      <w:pPr>
        <w:spacing w:line="480" w:lineRule="exact"/>
        <w:ind w:firstLine="482"/>
        <w:rPr>
          <w:rFonts w:ascii="Times New Roman"/>
          <w:bCs/>
          <w:sz w:val="24"/>
          <w:szCs w:val="24"/>
        </w:rPr>
      </w:pPr>
      <w:r>
        <w:rPr>
          <w:rFonts w:ascii="Times New Roman"/>
          <w:bCs/>
          <w:sz w:val="24"/>
          <w:szCs w:val="24"/>
        </w:rPr>
        <w:t>项目所在区域近20年平均各风向风频变化情况见，风频玫瑰图见</w:t>
      </w:r>
      <w:r>
        <w:rPr>
          <w:rFonts w:hint="eastAsia" w:ascii="Times New Roman"/>
          <w:sz w:val="24"/>
          <w:szCs w:val="24"/>
        </w:rPr>
        <w:t>图</w:t>
      </w:r>
      <w:r>
        <w:rPr>
          <w:rFonts w:ascii="Times New Roman"/>
          <w:sz w:val="24"/>
          <w:szCs w:val="24"/>
        </w:rPr>
        <w:t>5.2</w:t>
      </w:r>
      <w:r>
        <w:rPr>
          <w:rFonts w:hint="eastAsia" w:ascii="Times New Roman"/>
          <w:sz w:val="24"/>
          <w:szCs w:val="24"/>
        </w:rPr>
        <w:t>.1</w:t>
      </w:r>
      <w:r>
        <w:rPr>
          <w:rFonts w:ascii="Times New Roman"/>
          <w:sz w:val="24"/>
          <w:szCs w:val="24"/>
        </w:rPr>
        <w:noBreakHyphen/>
      </w:r>
      <w:r>
        <w:rPr>
          <w:rFonts w:hint="eastAsia" w:ascii="Times New Roman"/>
          <w:sz w:val="24"/>
          <w:szCs w:val="24"/>
        </w:rPr>
        <w:t>4</w:t>
      </w:r>
      <w:r>
        <w:rPr>
          <w:rFonts w:ascii="Times New Roman"/>
          <w:bCs/>
          <w:sz w:val="24"/>
          <w:szCs w:val="24"/>
        </w:rPr>
        <w:t>。</w:t>
      </w:r>
    </w:p>
    <w:p w14:paraId="7A942A5C">
      <w:pPr>
        <w:spacing w:line="480" w:lineRule="exact"/>
        <w:jc w:val="center"/>
        <w:rPr>
          <w:rFonts w:ascii="Times New Roman"/>
          <w:b/>
          <w:bCs/>
          <w:sz w:val="24"/>
          <w:szCs w:val="24"/>
        </w:rPr>
      </w:pPr>
      <w:r>
        <w:rPr>
          <w:rFonts w:hint="eastAsia" w:ascii="Times New Roman"/>
          <w:b/>
          <w:bCs/>
          <w:sz w:val="24"/>
          <w:szCs w:val="24"/>
        </w:rPr>
        <w:t>表</w:t>
      </w:r>
      <w:r>
        <w:rPr>
          <w:rFonts w:ascii="Times New Roman"/>
          <w:b/>
          <w:bCs/>
          <w:sz w:val="24"/>
          <w:szCs w:val="24"/>
        </w:rPr>
        <w:t>5.2</w:t>
      </w:r>
      <w:r>
        <w:rPr>
          <w:rFonts w:hint="eastAsia" w:ascii="Times New Roman"/>
          <w:b/>
          <w:bCs/>
          <w:sz w:val="24"/>
          <w:szCs w:val="24"/>
        </w:rPr>
        <w:t>.1</w:t>
      </w:r>
      <w:r>
        <w:rPr>
          <w:rFonts w:ascii="Times New Roman"/>
          <w:b/>
          <w:bCs/>
          <w:sz w:val="24"/>
          <w:szCs w:val="24"/>
        </w:rPr>
        <w:noBreakHyphen/>
      </w:r>
      <w:r>
        <w:rPr>
          <w:rFonts w:hint="eastAsia" w:ascii="Times New Roman"/>
          <w:b/>
          <w:bCs/>
          <w:sz w:val="24"/>
          <w:szCs w:val="24"/>
        </w:rPr>
        <w:t>4</w:t>
      </w:r>
      <w:r>
        <w:rPr>
          <w:rFonts w:ascii="Times New Roman"/>
          <w:b/>
          <w:bCs/>
          <w:sz w:val="24"/>
          <w:szCs w:val="24"/>
        </w:rPr>
        <w:t xml:space="preserve">  近20年不同风向对应频率统计表</w:t>
      </w:r>
    </w:p>
    <w:tbl>
      <w:tblPr>
        <w:tblStyle w:val="8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987"/>
        <w:gridCol w:w="783"/>
        <w:gridCol w:w="1010"/>
        <w:gridCol w:w="904"/>
        <w:gridCol w:w="1049"/>
        <w:gridCol w:w="695"/>
        <w:gridCol w:w="793"/>
        <w:gridCol w:w="655"/>
        <w:gridCol w:w="750"/>
      </w:tblGrid>
      <w:tr w14:paraId="61AF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vAlign w:val="center"/>
          </w:tcPr>
          <w:p w14:paraId="20D1C51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风</w:t>
            </w:r>
            <w:r>
              <w:rPr>
                <w:rFonts w:hint="eastAsia" w:ascii="Times New Roman" w:hAnsi="Times New Roman" w:cs="Times New Roman"/>
                <w:sz w:val="21"/>
                <w:szCs w:val="21"/>
              </w:rPr>
              <w:t>向</w:t>
            </w:r>
          </w:p>
        </w:tc>
        <w:tc>
          <w:tcPr>
            <w:tcW w:w="592" w:type="pct"/>
            <w:vAlign w:val="center"/>
          </w:tcPr>
          <w:p w14:paraId="1C6981F0">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N</w:t>
            </w:r>
          </w:p>
        </w:tc>
        <w:tc>
          <w:tcPr>
            <w:tcW w:w="470" w:type="pct"/>
            <w:vAlign w:val="center"/>
          </w:tcPr>
          <w:p w14:paraId="08BE1732">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NNE</w:t>
            </w:r>
          </w:p>
        </w:tc>
        <w:tc>
          <w:tcPr>
            <w:tcW w:w="606" w:type="pct"/>
            <w:vAlign w:val="center"/>
          </w:tcPr>
          <w:p w14:paraId="05CE4227">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NE</w:t>
            </w:r>
          </w:p>
        </w:tc>
        <w:tc>
          <w:tcPr>
            <w:tcW w:w="542" w:type="pct"/>
            <w:vAlign w:val="center"/>
          </w:tcPr>
          <w:p w14:paraId="13F6A773">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ENE</w:t>
            </w:r>
          </w:p>
        </w:tc>
        <w:tc>
          <w:tcPr>
            <w:tcW w:w="629" w:type="pct"/>
            <w:vAlign w:val="center"/>
          </w:tcPr>
          <w:p w14:paraId="194CECE9">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E</w:t>
            </w:r>
          </w:p>
        </w:tc>
        <w:tc>
          <w:tcPr>
            <w:tcW w:w="417" w:type="pct"/>
            <w:vAlign w:val="center"/>
          </w:tcPr>
          <w:p w14:paraId="3513FB9D">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ESE</w:t>
            </w:r>
          </w:p>
        </w:tc>
        <w:tc>
          <w:tcPr>
            <w:tcW w:w="476" w:type="pct"/>
            <w:vAlign w:val="center"/>
          </w:tcPr>
          <w:p w14:paraId="673CE59D">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SE</w:t>
            </w:r>
          </w:p>
        </w:tc>
        <w:tc>
          <w:tcPr>
            <w:tcW w:w="393" w:type="pct"/>
            <w:vAlign w:val="center"/>
          </w:tcPr>
          <w:p w14:paraId="1C236A5E">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SSE</w:t>
            </w:r>
          </w:p>
        </w:tc>
        <w:tc>
          <w:tcPr>
            <w:tcW w:w="450" w:type="pct"/>
            <w:vAlign w:val="center"/>
          </w:tcPr>
          <w:p w14:paraId="46FBCF25">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S</w:t>
            </w:r>
          </w:p>
        </w:tc>
      </w:tr>
      <w:tr w14:paraId="4B7E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vAlign w:val="center"/>
          </w:tcPr>
          <w:p w14:paraId="38F33E12">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频率</w:t>
            </w:r>
          </w:p>
        </w:tc>
        <w:tc>
          <w:tcPr>
            <w:tcW w:w="592" w:type="pct"/>
            <w:vAlign w:val="center"/>
          </w:tcPr>
          <w:p w14:paraId="2D6C2D12">
            <w:pPr>
              <w:jc w:val="center"/>
              <w:rPr>
                <w:rFonts w:ascii="Times New Roman"/>
                <w:sz w:val="21"/>
                <w:szCs w:val="21"/>
              </w:rPr>
            </w:pPr>
            <w:r>
              <w:rPr>
                <w:rFonts w:ascii="Times New Roman" w:eastAsia="等线"/>
                <w:sz w:val="21"/>
                <w:szCs w:val="21"/>
              </w:rPr>
              <w:t>4.32</w:t>
            </w:r>
          </w:p>
        </w:tc>
        <w:tc>
          <w:tcPr>
            <w:tcW w:w="470" w:type="pct"/>
            <w:vAlign w:val="center"/>
          </w:tcPr>
          <w:p w14:paraId="79DBC339">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4.05</w:t>
            </w:r>
          </w:p>
        </w:tc>
        <w:tc>
          <w:tcPr>
            <w:tcW w:w="606" w:type="pct"/>
            <w:vAlign w:val="center"/>
          </w:tcPr>
          <w:p w14:paraId="46BA8C76">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4.7</w:t>
            </w:r>
          </w:p>
        </w:tc>
        <w:tc>
          <w:tcPr>
            <w:tcW w:w="542" w:type="pct"/>
            <w:vAlign w:val="center"/>
          </w:tcPr>
          <w:p w14:paraId="444D0BC3">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6.94</w:t>
            </w:r>
          </w:p>
        </w:tc>
        <w:tc>
          <w:tcPr>
            <w:tcW w:w="629" w:type="pct"/>
            <w:vAlign w:val="center"/>
          </w:tcPr>
          <w:p w14:paraId="4ADD3857">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7.96</w:t>
            </w:r>
          </w:p>
        </w:tc>
        <w:tc>
          <w:tcPr>
            <w:tcW w:w="417" w:type="pct"/>
            <w:vAlign w:val="center"/>
          </w:tcPr>
          <w:p w14:paraId="37F4192C">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4.28</w:t>
            </w:r>
          </w:p>
        </w:tc>
        <w:tc>
          <w:tcPr>
            <w:tcW w:w="476" w:type="pct"/>
            <w:vAlign w:val="center"/>
          </w:tcPr>
          <w:p w14:paraId="07CD7133">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4.25</w:t>
            </w:r>
          </w:p>
        </w:tc>
        <w:tc>
          <w:tcPr>
            <w:tcW w:w="393" w:type="pct"/>
            <w:vAlign w:val="center"/>
          </w:tcPr>
          <w:p w14:paraId="09C610CA">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6.33</w:t>
            </w:r>
          </w:p>
        </w:tc>
        <w:tc>
          <w:tcPr>
            <w:tcW w:w="450" w:type="pct"/>
            <w:vAlign w:val="center"/>
          </w:tcPr>
          <w:p w14:paraId="678A94C2">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6.31</w:t>
            </w:r>
          </w:p>
        </w:tc>
      </w:tr>
      <w:tr w14:paraId="72A0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vAlign w:val="center"/>
          </w:tcPr>
          <w:p w14:paraId="70B0DF20">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风向</w:t>
            </w:r>
          </w:p>
        </w:tc>
        <w:tc>
          <w:tcPr>
            <w:tcW w:w="592" w:type="pct"/>
            <w:vAlign w:val="center"/>
          </w:tcPr>
          <w:p w14:paraId="5AD5240F">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SSW</w:t>
            </w:r>
          </w:p>
        </w:tc>
        <w:tc>
          <w:tcPr>
            <w:tcW w:w="470" w:type="pct"/>
            <w:vAlign w:val="center"/>
          </w:tcPr>
          <w:p w14:paraId="2C2ABFC3">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SW</w:t>
            </w:r>
          </w:p>
        </w:tc>
        <w:tc>
          <w:tcPr>
            <w:tcW w:w="606" w:type="pct"/>
            <w:vAlign w:val="center"/>
          </w:tcPr>
          <w:p w14:paraId="2E5C5D2B">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WSW</w:t>
            </w:r>
          </w:p>
        </w:tc>
        <w:tc>
          <w:tcPr>
            <w:tcW w:w="542" w:type="pct"/>
            <w:vAlign w:val="center"/>
          </w:tcPr>
          <w:p w14:paraId="712DE9EF">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W</w:t>
            </w:r>
          </w:p>
        </w:tc>
        <w:tc>
          <w:tcPr>
            <w:tcW w:w="629" w:type="pct"/>
            <w:vAlign w:val="center"/>
          </w:tcPr>
          <w:p w14:paraId="29415836">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WNW</w:t>
            </w:r>
          </w:p>
        </w:tc>
        <w:tc>
          <w:tcPr>
            <w:tcW w:w="417" w:type="pct"/>
            <w:vAlign w:val="center"/>
          </w:tcPr>
          <w:p w14:paraId="4959C58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NW</w:t>
            </w:r>
          </w:p>
        </w:tc>
        <w:tc>
          <w:tcPr>
            <w:tcW w:w="476" w:type="pct"/>
            <w:vAlign w:val="center"/>
          </w:tcPr>
          <w:p w14:paraId="5BF57004">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NNW</w:t>
            </w:r>
          </w:p>
        </w:tc>
        <w:tc>
          <w:tcPr>
            <w:tcW w:w="393" w:type="pct"/>
            <w:vAlign w:val="center"/>
          </w:tcPr>
          <w:p w14:paraId="6219418A">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C</w:t>
            </w:r>
          </w:p>
        </w:tc>
        <w:tc>
          <w:tcPr>
            <w:tcW w:w="450" w:type="pct"/>
            <w:vAlign w:val="center"/>
          </w:tcPr>
          <w:p w14:paraId="49C389CF">
            <w:pPr>
              <w:pStyle w:val="1979"/>
              <w:widowControl w:val="0"/>
              <w:spacing w:before="48"/>
              <w:ind w:left="23"/>
              <w:jc w:val="center"/>
              <w:rPr>
                <w:rFonts w:ascii="Times New Roman" w:hAnsi="Times New Roman" w:cs="Times New Roman"/>
                <w:sz w:val="21"/>
                <w:szCs w:val="21"/>
              </w:rPr>
            </w:pPr>
          </w:p>
        </w:tc>
      </w:tr>
      <w:tr w14:paraId="4AEC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vAlign w:val="center"/>
          </w:tcPr>
          <w:p w14:paraId="5845E1B8">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频率</w:t>
            </w:r>
          </w:p>
        </w:tc>
        <w:tc>
          <w:tcPr>
            <w:tcW w:w="592" w:type="pct"/>
            <w:vAlign w:val="center"/>
          </w:tcPr>
          <w:p w14:paraId="3FF85777">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7.36</w:t>
            </w:r>
          </w:p>
        </w:tc>
        <w:tc>
          <w:tcPr>
            <w:tcW w:w="470" w:type="pct"/>
            <w:vAlign w:val="center"/>
          </w:tcPr>
          <w:p w14:paraId="59F7AD9B">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8.19</w:t>
            </w:r>
          </w:p>
        </w:tc>
        <w:tc>
          <w:tcPr>
            <w:tcW w:w="606" w:type="pct"/>
            <w:vAlign w:val="center"/>
          </w:tcPr>
          <w:p w14:paraId="316356F3">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7.02</w:t>
            </w:r>
          </w:p>
        </w:tc>
        <w:tc>
          <w:tcPr>
            <w:tcW w:w="542" w:type="pct"/>
            <w:vAlign w:val="center"/>
          </w:tcPr>
          <w:p w14:paraId="54281489">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5.84</w:t>
            </w:r>
          </w:p>
        </w:tc>
        <w:tc>
          <w:tcPr>
            <w:tcW w:w="629" w:type="pct"/>
            <w:vAlign w:val="center"/>
          </w:tcPr>
          <w:p w14:paraId="12AFC79D">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8.03</w:t>
            </w:r>
          </w:p>
        </w:tc>
        <w:tc>
          <w:tcPr>
            <w:tcW w:w="417" w:type="pct"/>
            <w:vAlign w:val="center"/>
          </w:tcPr>
          <w:p w14:paraId="6C466A48">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6.9</w:t>
            </w:r>
          </w:p>
        </w:tc>
        <w:tc>
          <w:tcPr>
            <w:tcW w:w="476" w:type="pct"/>
            <w:vAlign w:val="center"/>
          </w:tcPr>
          <w:p w14:paraId="1785A443">
            <w:pPr>
              <w:pStyle w:val="1979"/>
              <w:widowControl w:val="0"/>
              <w:spacing w:before="48"/>
              <w:ind w:left="23"/>
              <w:jc w:val="center"/>
              <w:rPr>
                <w:rFonts w:ascii="Times New Roman" w:hAnsi="Times New Roman" w:cs="Times New Roman"/>
                <w:sz w:val="21"/>
                <w:szCs w:val="21"/>
              </w:rPr>
            </w:pPr>
            <w:r>
              <w:rPr>
                <w:rFonts w:hint="eastAsia" w:ascii="Times New Roman" w:hAnsi="Times New Roman" w:cs="Times New Roman"/>
                <w:sz w:val="21"/>
                <w:szCs w:val="21"/>
              </w:rPr>
              <w:t>4.39</w:t>
            </w:r>
          </w:p>
        </w:tc>
        <w:tc>
          <w:tcPr>
            <w:tcW w:w="393" w:type="pct"/>
            <w:vAlign w:val="center"/>
          </w:tcPr>
          <w:p w14:paraId="3449F77A">
            <w:pPr>
              <w:pStyle w:val="1979"/>
              <w:widowControl w:val="0"/>
              <w:spacing w:before="48"/>
              <w:ind w:left="23"/>
              <w:jc w:val="center"/>
              <w:rPr>
                <w:rFonts w:ascii="Times New Roman" w:hAnsi="Times New Roman" w:cs="Times New Roman"/>
                <w:sz w:val="21"/>
                <w:szCs w:val="21"/>
              </w:rPr>
            </w:pPr>
            <w:r>
              <w:rPr>
                <w:rFonts w:ascii="Times New Roman" w:hAnsi="Times New Roman" w:cs="Times New Roman"/>
                <w:sz w:val="21"/>
                <w:szCs w:val="21"/>
              </w:rPr>
              <w:t>2.79</w:t>
            </w:r>
          </w:p>
        </w:tc>
        <w:tc>
          <w:tcPr>
            <w:tcW w:w="450" w:type="pct"/>
            <w:vAlign w:val="center"/>
          </w:tcPr>
          <w:p w14:paraId="563936BF">
            <w:pPr>
              <w:pStyle w:val="1979"/>
              <w:widowControl w:val="0"/>
              <w:spacing w:before="48"/>
              <w:ind w:left="23"/>
              <w:jc w:val="center"/>
              <w:rPr>
                <w:rFonts w:ascii="Times New Roman" w:hAnsi="Times New Roman" w:cs="Times New Roman"/>
                <w:sz w:val="21"/>
                <w:szCs w:val="21"/>
              </w:rPr>
            </w:pPr>
          </w:p>
        </w:tc>
      </w:tr>
    </w:tbl>
    <w:p w14:paraId="78A1B8ED">
      <w:pPr>
        <w:spacing w:beforeLines="50" w:line="360" w:lineRule="auto"/>
        <w:jc w:val="center"/>
        <w:rPr>
          <w:rFonts w:ascii="Times New Roman"/>
          <w:bCs/>
          <w:szCs w:val="21"/>
        </w:rPr>
      </w:pPr>
      <w:r>
        <w:rPr>
          <w:rFonts w:ascii="Times New Roman"/>
          <w:bCs/>
          <w:szCs w:val="21"/>
        </w:rPr>
        <w:drawing>
          <wp:inline distT="0" distB="0" distL="0" distR="0">
            <wp:extent cx="3621405" cy="2067560"/>
            <wp:effectExtent l="0" t="0" r="17145" b="8890"/>
            <wp:docPr id="1076200984" name="图片 107620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00984" name="图片 10762009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621405" cy="2067560"/>
                    </a:xfrm>
                    <a:prstGeom prst="rect">
                      <a:avLst/>
                    </a:prstGeom>
                    <a:noFill/>
                    <a:ln>
                      <a:noFill/>
                    </a:ln>
                  </pic:spPr>
                </pic:pic>
              </a:graphicData>
            </a:graphic>
          </wp:inline>
        </w:drawing>
      </w:r>
    </w:p>
    <w:p w14:paraId="5EB84619">
      <w:pPr>
        <w:spacing w:line="480" w:lineRule="exact"/>
        <w:jc w:val="center"/>
        <w:rPr>
          <w:rFonts w:ascii="Times New Roman"/>
          <w:b/>
          <w:bCs/>
          <w:sz w:val="24"/>
          <w:szCs w:val="24"/>
        </w:rPr>
      </w:pPr>
      <w:bookmarkStart w:id="180" w:name="_Ref128500777"/>
      <w:r>
        <w:rPr>
          <w:rFonts w:hint="eastAsia" w:ascii="Times New Roman"/>
          <w:b/>
          <w:bCs/>
          <w:sz w:val="24"/>
          <w:szCs w:val="24"/>
        </w:rPr>
        <w:t>图</w:t>
      </w:r>
      <w:r>
        <w:rPr>
          <w:rFonts w:ascii="Times New Roman"/>
          <w:b/>
          <w:bCs/>
          <w:sz w:val="24"/>
          <w:szCs w:val="24"/>
        </w:rPr>
        <w:t>5.2</w:t>
      </w:r>
      <w:r>
        <w:rPr>
          <w:rFonts w:ascii="Times New Roman"/>
          <w:b/>
          <w:bCs/>
          <w:sz w:val="24"/>
          <w:szCs w:val="24"/>
        </w:rPr>
        <w:noBreakHyphen/>
      </w:r>
      <w:r>
        <w:rPr>
          <w:rFonts w:ascii="Times New Roman"/>
          <w:b/>
          <w:bCs/>
          <w:sz w:val="24"/>
          <w:szCs w:val="24"/>
        </w:rPr>
        <w:t>3</w:t>
      </w:r>
      <w:bookmarkEnd w:id="180"/>
      <w:r>
        <w:rPr>
          <w:rFonts w:hint="eastAsia" w:ascii="Times New Roman"/>
          <w:b/>
          <w:bCs/>
          <w:sz w:val="24"/>
          <w:szCs w:val="24"/>
        </w:rPr>
        <w:t xml:space="preserve"> </w:t>
      </w:r>
      <w:r>
        <w:rPr>
          <w:rFonts w:ascii="Times New Roman"/>
          <w:b/>
          <w:bCs/>
          <w:sz w:val="24"/>
          <w:szCs w:val="24"/>
        </w:rPr>
        <w:t xml:space="preserve"> 近20年风频玫瑰图</w:t>
      </w:r>
    </w:p>
    <w:p w14:paraId="5C83FBBA">
      <w:pPr>
        <w:spacing w:line="480" w:lineRule="exact"/>
        <w:ind w:firstLine="482"/>
        <w:rPr>
          <w:rFonts w:ascii="Times New Roman"/>
          <w:bCs/>
          <w:sz w:val="24"/>
          <w:szCs w:val="24"/>
        </w:rPr>
      </w:pPr>
      <w:r>
        <w:rPr>
          <w:rFonts w:hint="eastAsia" w:ascii="Times New Roman"/>
          <w:bCs/>
          <w:sz w:val="24"/>
          <w:szCs w:val="24"/>
        </w:rPr>
        <w:t>该区域近20年气象资料统计结果表明，连续3个风向角的最大风频之和均小于30%，根据导则规定，该区域主导风向不明显</w:t>
      </w:r>
      <w:r>
        <w:rPr>
          <w:rFonts w:ascii="Times New Roman"/>
          <w:bCs/>
          <w:sz w:val="24"/>
          <w:szCs w:val="24"/>
        </w:rPr>
        <w:t>。</w:t>
      </w:r>
      <w:r>
        <w:rPr>
          <w:rFonts w:hint="eastAsia" w:ascii="Times New Roman"/>
          <w:bCs/>
          <w:sz w:val="24"/>
          <w:szCs w:val="24"/>
        </w:rPr>
        <w:t>风频最大的风向S</w:t>
      </w:r>
      <w:r>
        <w:rPr>
          <w:rFonts w:ascii="Times New Roman"/>
          <w:bCs/>
          <w:sz w:val="24"/>
          <w:szCs w:val="24"/>
        </w:rPr>
        <w:t>W</w:t>
      </w:r>
      <w:r>
        <w:rPr>
          <w:rFonts w:hint="eastAsia" w:ascii="Times New Roman"/>
          <w:bCs/>
          <w:sz w:val="24"/>
          <w:szCs w:val="24"/>
        </w:rPr>
        <w:t>。</w:t>
      </w:r>
    </w:p>
    <w:p w14:paraId="49706027">
      <w:pPr>
        <w:pStyle w:val="6"/>
        <w:spacing w:beforeLines="0" w:afterLines="0"/>
        <w:rPr>
          <w:rFonts w:ascii="Times New Roman" w:hAnsi="Times New Roman" w:eastAsia="宋体"/>
          <w:b/>
          <w:color w:val="auto"/>
        </w:rPr>
      </w:pPr>
      <w:r>
        <w:rPr>
          <w:rFonts w:ascii="Times New Roman" w:hAnsi="Times New Roman" w:eastAsia="宋体"/>
          <w:b/>
          <w:color w:val="auto"/>
        </w:rPr>
        <w:t>5.2.1.2大气环境影响预测与评价</w:t>
      </w:r>
    </w:p>
    <w:p w14:paraId="1E0C9CC5">
      <w:pPr>
        <w:spacing w:line="480" w:lineRule="exact"/>
        <w:ind w:firstLine="480" w:firstLineChars="200"/>
        <w:rPr>
          <w:rFonts w:ascii="Times New Roman"/>
          <w:sz w:val="24"/>
          <w:szCs w:val="24"/>
        </w:rPr>
      </w:pPr>
      <w:r>
        <w:rPr>
          <w:rFonts w:ascii="Times New Roman"/>
          <w:sz w:val="24"/>
          <w:szCs w:val="24"/>
        </w:rPr>
        <w:t>项目废气污染源正常排放的污染物Pmax及D10%的估算结果统计见</w:t>
      </w:r>
      <w:r>
        <w:rPr>
          <w:rFonts w:hint="eastAsia" w:ascii="Times New Roman"/>
          <w:sz w:val="24"/>
          <w:szCs w:val="24"/>
        </w:rPr>
        <w:t>下</w:t>
      </w:r>
      <w:r>
        <w:rPr>
          <w:rFonts w:ascii="Times New Roman"/>
          <w:sz w:val="24"/>
          <w:szCs w:val="24"/>
        </w:rPr>
        <w:t>表。</w:t>
      </w:r>
    </w:p>
    <w:p w14:paraId="564029AB">
      <w:pPr>
        <w:spacing w:line="480" w:lineRule="exact"/>
        <w:jc w:val="center"/>
        <w:rPr>
          <w:rFonts w:ascii="Times New Roman"/>
          <w:b/>
          <w:sz w:val="24"/>
          <w:szCs w:val="24"/>
        </w:rPr>
      </w:pP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499" w:type="dxa"/>
        <w:tblInd w:w="0" w:type="dxa"/>
        <w:tblLayout w:type="autofit"/>
        <w:tblCellMar>
          <w:top w:w="0" w:type="dxa"/>
          <w:left w:w="108" w:type="dxa"/>
          <w:bottom w:w="0" w:type="dxa"/>
          <w:right w:w="108" w:type="dxa"/>
        </w:tblCellMar>
      </w:tblPr>
      <w:tblGrid>
        <w:gridCol w:w="2629"/>
        <w:gridCol w:w="1566"/>
        <w:gridCol w:w="1467"/>
        <w:gridCol w:w="1383"/>
        <w:gridCol w:w="1454"/>
      </w:tblGrid>
      <w:tr w14:paraId="7E88A04C">
        <w:tblPrEx>
          <w:tblCellMar>
            <w:top w:w="0" w:type="dxa"/>
            <w:left w:w="108" w:type="dxa"/>
            <w:bottom w:w="0" w:type="dxa"/>
            <w:right w:w="108" w:type="dxa"/>
          </w:tblCellMar>
        </w:tblPrEx>
        <w:trPr>
          <w:trHeight w:val="168" w:hRule="atLeast"/>
        </w:trPr>
        <w:tc>
          <w:tcPr>
            <w:tcW w:w="2629" w:type="dxa"/>
            <w:vMerge w:val="restart"/>
            <w:vAlign w:val="center"/>
          </w:tcPr>
          <w:p w14:paraId="4CB75AE9">
            <w:pPr>
              <w:jc w:val="center"/>
              <w:rPr>
                <w:rFonts w:ascii="Times New Roman"/>
                <w:sz w:val="21"/>
                <w:szCs w:val="21"/>
              </w:rPr>
            </w:pPr>
            <w:r>
              <w:rPr>
                <w:rFonts w:ascii="Times New Roman"/>
                <w:sz w:val="21"/>
                <w:szCs w:val="21"/>
              </w:rPr>
              <w:t>下风向距离</w:t>
            </w:r>
          </w:p>
        </w:tc>
        <w:tc>
          <w:tcPr>
            <w:tcW w:w="3033" w:type="dxa"/>
            <w:gridSpan w:val="2"/>
            <w:tcBorders>
              <w:right w:val="single" w:color="auto" w:sz="4" w:space="0"/>
            </w:tcBorders>
            <w:vAlign w:val="center"/>
          </w:tcPr>
          <w:p w14:paraId="21068EBD">
            <w:pPr>
              <w:jc w:val="center"/>
              <w:rPr>
                <w:rFonts w:ascii="Times New Roman"/>
                <w:sz w:val="21"/>
                <w:szCs w:val="21"/>
              </w:rPr>
            </w:pPr>
            <w:r>
              <w:rPr>
                <w:rFonts w:hint="eastAsia" w:ascii="Times New Roman"/>
                <w:sz w:val="21"/>
                <w:szCs w:val="21"/>
              </w:rPr>
              <w:t>下料</w:t>
            </w:r>
            <w:r>
              <w:rPr>
                <w:rFonts w:ascii="Times New Roman"/>
                <w:sz w:val="21"/>
                <w:szCs w:val="21"/>
              </w:rPr>
              <w:t>废气</w:t>
            </w:r>
            <w:r>
              <w:rPr>
                <w:rFonts w:hint="eastAsia" w:ascii="Times New Roman"/>
                <w:sz w:val="21"/>
                <w:szCs w:val="21"/>
              </w:rPr>
              <w:t>（DA001）</w:t>
            </w:r>
          </w:p>
        </w:tc>
        <w:tc>
          <w:tcPr>
            <w:tcW w:w="2837" w:type="dxa"/>
            <w:gridSpan w:val="2"/>
            <w:tcBorders>
              <w:left w:val="single" w:color="auto" w:sz="4" w:space="0"/>
            </w:tcBorders>
            <w:vAlign w:val="center"/>
          </w:tcPr>
          <w:p w14:paraId="20C76C46">
            <w:pPr>
              <w:jc w:val="center"/>
              <w:rPr>
                <w:rFonts w:ascii="Times New Roman"/>
                <w:sz w:val="21"/>
                <w:szCs w:val="21"/>
              </w:rPr>
            </w:pPr>
            <w:r>
              <w:rPr>
                <w:rFonts w:hint="eastAsia" w:ascii="Times New Roman"/>
                <w:sz w:val="21"/>
                <w:szCs w:val="21"/>
              </w:rPr>
              <w:t>焊接废气（DA002）</w:t>
            </w:r>
          </w:p>
        </w:tc>
      </w:tr>
      <w:tr w14:paraId="5E728166">
        <w:tblPrEx>
          <w:tblCellMar>
            <w:top w:w="0" w:type="dxa"/>
            <w:left w:w="108" w:type="dxa"/>
            <w:bottom w:w="0" w:type="dxa"/>
            <w:right w:w="108" w:type="dxa"/>
          </w:tblCellMar>
        </w:tblPrEx>
        <w:trPr>
          <w:trHeight w:val="333" w:hRule="atLeast"/>
        </w:trPr>
        <w:tc>
          <w:tcPr>
            <w:tcW w:w="2629" w:type="dxa"/>
            <w:vMerge w:val="continue"/>
            <w:vAlign w:val="center"/>
          </w:tcPr>
          <w:p w14:paraId="5F68D55C">
            <w:pPr>
              <w:jc w:val="center"/>
              <w:rPr>
                <w:rFonts w:ascii="Times New Roman"/>
                <w:sz w:val="21"/>
                <w:szCs w:val="21"/>
              </w:rPr>
            </w:pPr>
          </w:p>
        </w:tc>
        <w:tc>
          <w:tcPr>
            <w:tcW w:w="1566" w:type="dxa"/>
            <w:vAlign w:val="center"/>
          </w:tcPr>
          <w:p w14:paraId="2FFCFBD8">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w:t>
            </w:r>
          </w:p>
          <w:p w14:paraId="747F94E6">
            <w:pPr>
              <w:spacing w:line="260" w:lineRule="exact"/>
              <w:jc w:val="center"/>
              <w:rPr>
                <w:rFonts w:ascii="Times New Roman"/>
                <w:sz w:val="21"/>
                <w:szCs w:val="21"/>
              </w:rPr>
            </w:pPr>
            <w:r>
              <w:rPr>
                <w:rFonts w:ascii="Times New Roman"/>
                <w:sz w:val="21"/>
                <w:szCs w:val="21"/>
              </w:rPr>
              <w:t>(μg/m³)</w:t>
            </w:r>
          </w:p>
        </w:tc>
        <w:tc>
          <w:tcPr>
            <w:tcW w:w="1467" w:type="dxa"/>
            <w:tcBorders>
              <w:right w:val="single" w:color="auto" w:sz="4" w:space="0"/>
            </w:tcBorders>
            <w:vAlign w:val="center"/>
          </w:tcPr>
          <w:p w14:paraId="77F75C3D">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1383" w:type="dxa"/>
            <w:tcBorders>
              <w:left w:val="single" w:color="auto" w:sz="4" w:space="0"/>
            </w:tcBorders>
            <w:vAlign w:val="center"/>
          </w:tcPr>
          <w:p w14:paraId="6A3AA3E4">
            <w:pPr>
              <w:spacing w:line="26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r>
              <w:rPr>
                <w:rFonts w:ascii="Times New Roman"/>
                <w:sz w:val="21"/>
                <w:szCs w:val="21"/>
              </w:rPr>
              <w:t>浓度(μg/m³)</w:t>
            </w:r>
          </w:p>
        </w:tc>
        <w:tc>
          <w:tcPr>
            <w:tcW w:w="1454" w:type="dxa"/>
            <w:vAlign w:val="center"/>
          </w:tcPr>
          <w:p w14:paraId="0423A5C4">
            <w:pPr>
              <w:spacing w:line="26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r>
              <w:rPr>
                <w:rFonts w:ascii="Times New Roman"/>
                <w:sz w:val="21"/>
                <w:szCs w:val="21"/>
              </w:rPr>
              <w:t>占标率(%)</w:t>
            </w:r>
          </w:p>
        </w:tc>
      </w:tr>
      <w:tr w14:paraId="41C8C069">
        <w:tblPrEx>
          <w:tblCellMar>
            <w:top w:w="0" w:type="dxa"/>
            <w:left w:w="108" w:type="dxa"/>
            <w:bottom w:w="0" w:type="dxa"/>
            <w:right w:w="108" w:type="dxa"/>
          </w:tblCellMar>
        </w:tblPrEx>
        <w:trPr>
          <w:trHeight w:val="168" w:hRule="atLeast"/>
        </w:trPr>
        <w:tc>
          <w:tcPr>
            <w:tcW w:w="2629" w:type="dxa"/>
            <w:vAlign w:val="center"/>
          </w:tcPr>
          <w:p w14:paraId="7842E3C5">
            <w:pPr>
              <w:jc w:val="center"/>
              <w:rPr>
                <w:rFonts w:ascii="Times New Roman"/>
                <w:sz w:val="21"/>
                <w:szCs w:val="21"/>
              </w:rPr>
            </w:pPr>
            <w:r>
              <w:rPr>
                <w:rFonts w:ascii="Times New Roman"/>
                <w:sz w:val="21"/>
                <w:szCs w:val="21"/>
              </w:rPr>
              <w:t>50.0</w:t>
            </w:r>
          </w:p>
        </w:tc>
        <w:tc>
          <w:tcPr>
            <w:tcW w:w="1566" w:type="dxa"/>
            <w:vAlign w:val="center"/>
          </w:tcPr>
          <w:p w14:paraId="07845397">
            <w:pPr>
              <w:jc w:val="center"/>
              <w:rPr>
                <w:rFonts w:ascii="Times New Roman"/>
                <w:sz w:val="21"/>
                <w:szCs w:val="21"/>
              </w:rPr>
            </w:pPr>
            <w:r>
              <w:rPr>
                <w:rFonts w:hint="eastAsia" w:ascii="Times New Roman"/>
                <w:sz w:val="21"/>
                <w:szCs w:val="21"/>
              </w:rPr>
              <w:t>2.4189</w:t>
            </w:r>
          </w:p>
        </w:tc>
        <w:tc>
          <w:tcPr>
            <w:tcW w:w="1467" w:type="dxa"/>
            <w:vAlign w:val="center"/>
          </w:tcPr>
          <w:p w14:paraId="1E35C0A9">
            <w:pPr>
              <w:jc w:val="center"/>
              <w:rPr>
                <w:rFonts w:ascii="Times New Roman"/>
                <w:sz w:val="21"/>
                <w:szCs w:val="21"/>
              </w:rPr>
            </w:pPr>
            <w:r>
              <w:rPr>
                <w:rFonts w:hint="eastAsia" w:ascii="Times New Roman"/>
                <w:sz w:val="21"/>
                <w:szCs w:val="21"/>
              </w:rPr>
              <w:t>0.54</w:t>
            </w:r>
          </w:p>
        </w:tc>
        <w:tc>
          <w:tcPr>
            <w:tcW w:w="1383" w:type="dxa"/>
            <w:vAlign w:val="center"/>
          </w:tcPr>
          <w:p w14:paraId="1F7B9398">
            <w:pPr>
              <w:jc w:val="center"/>
              <w:rPr>
                <w:rFonts w:ascii="Times New Roman"/>
                <w:sz w:val="21"/>
                <w:szCs w:val="21"/>
              </w:rPr>
            </w:pPr>
            <w:r>
              <w:rPr>
                <w:rFonts w:hint="eastAsia" w:ascii="Times New Roman"/>
                <w:sz w:val="21"/>
                <w:szCs w:val="21"/>
              </w:rPr>
              <w:t xml:space="preserve">0.0385 </w:t>
            </w:r>
          </w:p>
        </w:tc>
        <w:tc>
          <w:tcPr>
            <w:tcW w:w="1454" w:type="dxa"/>
            <w:vAlign w:val="center"/>
          </w:tcPr>
          <w:p w14:paraId="2D4B9781">
            <w:pPr>
              <w:jc w:val="center"/>
              <w:rPr>
                <w:rFonts w:ascii="Times New Roman"/>
                <w:sz w:val="21"/>
                <w:szCs w:val="21"/>
              </w:rPr>
            </w:pPr>
            <w:r>
              <w:rPr>
                <w:rFonts w:hint="eastAsia" w:ascii="Times New Roman"/>
                <w:sz w:val="21"/>
                <w:szCs w:val="21"/>
              </w:rPr>
              <w:t>0.01</w:t>
            </w:r>
          </w:p>
        </w:tc>
      </w:tr>
      <w:tr w14:paraId="12CFE0DC">
        <w:tblPrEx>
          <w:tblCellMar>
            <w:top w:w="0" w:type="dxa"/>
            <w:left w:w="108" w:type="dxa"/>
            <w:bottom w:w="0" w:type="dxa"/>
            <w:right w:w="108" w:type="dxa"/>
          </w:tblCellMar>
        </w:tblPrEx>
        <w:trPr>
          <w:trHeight w:val="168" w:hRule="atLeast"/>
        </w:trPr>
        <w:tc>
          <w:tcPr>
            <w:tcW w:w="2629" w:type="dxa"/>
            <w:vAlign w:val="center"/>
          </w:tcPr>
          <w:p w14:paraId="344BA836">
            <w:pPr>
              <w:jc w:val="center"/>
              <w:rPr>
                <w:rFonts w:ascii="Times New Roman"/>
                <w:sz w:val="21"/>
                <w:szCs w:val="21"/>
              </w:rPr>
            </w:pPr>
            <w:r>
              <w:rPr>
                <w:rFonts w:ascii="Times New Roman"/>
                <w:sz w:val="21"/>
                <w:szCs w:val="21"/>
              </w:rPr>
              <w:t>100.0</w:t>
            </w:r>
          </w:p>
        </w:tc>
        <w:tc>
          <w:tcPr>
            <w:tcW w:w="1566" w:type="dxa"/>
            <w:vAlign w:val="center"/>
          </w:tcPr>
          <w:p w14:paraId="2FD96054">
            <w:pPr>
              <w:jc w:val="center"/>
              <w:rPr>
                <w:rFonts w:ascii="Times New Roman"/>
                <w:sz w:val="21"/>
                <w:szCs w:val="21"/>
              </w:rPr>
            </w:pPr>
            <w:r>
              <w:rPr>
                <w:rFonts w:hint="eastAsia" w:ascii="Times New Roman"/>
                <w:sz w:val="21"/>
                <w:szCs w:val="21"/>
              </w:rPr>
              <w:t>7.4916</w:t>
            </w:r>
          </w:p>
        </w:tc>
        <w:tc>
          <w:tcPr>
            <w:tcW w:w="1467" w:type="dxa"/>
            <w:vAlign w:val="center"/>
          </w:tcPr>
          <w:p w14:paraId="3CF76DD5">
            <w:pPr>
              <w:jc w:val="center"/>
              <w:rPr>
                <w:rFonts w:ascii="Times New Roman"/>
                <w:sz w:val="21"/>
                <w:szCs w:val="21"/>
              </w:rPr>
            </w:pPr>
            <w:r>
              <w:rPr>
                <w:rFonts w:hint="eastAsia" w:ascii="Times New Roman"/>
                <w:sz w:val="21"/>
                <w:szCs w:val="21"/>
              </w:rPr>
              <w:t>1.66</w:t>
            </w:r>
          </w:p>
        </w:tc>
        <w:tc>
          <w:tcPr>
            <w:tcW w:w="1383" w:type="dxa"/>
            <w:vAlign w:val="center"/>
          </w:tcPr>
          <w:p w14:paraId="430A6443">
            <w:pPr>
              <w:jc w:val="center"/>
              <w:rPr>
                <w:rFonts w:ascii="Times New Roman"/>
                <w:sz w:val="21"/>
                <w:szCs w:val="21"/>
              </w:rPr>
            </w:pPr>
            <w:r>
              <w:rPr>
                <w:rFonts w:hint="eastAsia" w:ascii="Times New Roman"/>
                <w:sz w:val="21"/>
                <w:szCs w:val="21"/>
              </w:rPr>
              <w:t xml:space="preserve">0.1126 </w:t>
            </w:r>
          </w:p>
        </w:tc>
        <w:tc>
          <w:tcPr>
            <w:tcW w:w="1454" w:type="dxa"/>
            <w:vAlign w:val="center"/>
          </w:tcPr>
          <w:p w14:paraId="062F39AC">
            <w:pPr>
              <w:jc w:val="center"/>
              <w:rPr>
                <w:rFonts w:ascii="Times New Roman"/>
                <w:sz w:val="21"/>
                <w:szCs w:val="21"/>
              </w:rPr>
            </w:pPr>
            <w:r>
              <w:rPr>
                <w:rFonts w:hint="eastAsia" w:ascii="Times New Roman"/>
                <w:sz w:val="21"/>
                <w:szCs w:val="21"/>
              </w:rPr>
              <w:t>0.03</w:t>
            </w:r>
          </w:p>
        </w:tc>
      </w:tr>
      <w:tr w14:paraId="0A75A64F">
        <w:tblPrEx>
          <w:tblCellMar>
            <w:top w:w="0" w:type="dxa"/>
            <w:left w:w="108" w:type="dxa"/>
            <w:bottom w:w="0" w:type="dxa"/>
            <w:right w:w="108" w:type="dxa"/>
          </w:tblCellMar>
        </w:tblPrEx>
        <w:trPr>
          <w:trHeight w:val="168" w:hRule="atLeast"/>
        </w:trPr>
        <w:tc>
          <w:tcPr>
            <w:tcW w:w="2629" w:type="dxa"/>
            <w:vAlign w:val="center"/>
          </w:tcPr>
          <w:p w14:paraId="46A364BD">
            <w:pPr>
              <w:jc w:val="center"/>
              <w:rPr>
                <w:rFonts w:ascii="Times New Roman"/>
                <w:sz w:val="21"/>
                <w:szCs w:val="21"/>
              </w:rPr>
            </w:pPr>
            <w:r>
              <w:rPr>
                <w:rFonts w:ascii="Times New Roman"/>
                <w:sz w:val="21"/>
                <w:szCs w:val="21"/>
              </w:rPr>
              <w:t>200.0</w:t>
            </w:r>
          </w:p>
        </w:tc>
        <w:tc>
          <w:tcPr>
            <w:tcW w:w="1566" w:type="dxa"/>
            <w:vAlign w:val="center"/>
          </w:tcPr>
          <w:p w14:paraId="68AEDD3E">
            <w:pPr>
              <w:jc w:val="center"/>
              <w:rPr>
                <w:rFonts w:ascii="Times New Roman"/>
                <w:sz w:val="21"/>
                <w:szCs w:val="21"/>
              </w:rPr>
            </w:pPr>
            <w:r>
              <w:rPr>
                <w:rFonts w:hint="eastAsia" w:ascii="Times New Roman"/>
                <w:sz w:val="21"/>
                <w:szCs w:val="21"/>
              </w:rPr>
              <w:t>4.5996</w:t>
            </w:r>
          </w:p>
        </w:tc>
        <w:tc>
          <w:tcPr>
            <w:tcW w:w="1467" w:type="dxa"/>
            <w:vAlign w:val="center"/>
          </w:tcPr>
          <w:p w14:paraId="27485671">
            <w:pPr>
              <w:jc w:val="center"/>
              <w:rPr>
                <w:rFonts w:ascii="Times New Roman"/>
                <w:sz w:val="21"/>
                <w:szCs w:val="21"/>
              </w:rPr>
            </w:pPr>
            <w:r>
              <w:rPr>
                <w:rFonts w:hint="eastAsia" w:ascii="Times New Roman"/>
                <w:sz w:val="21"/>
                <w:szCs w:val="21"/>
              </w:rPr>
              <w:t>1.02</w:t>
            </w:r>
          </w:p>
        </w:tc>
        <w:tc>
          <w:tcPr>
            <w:tcW w:w="1383" w:type="dxa"/>
            <w:vAlign w:val="center"/>
          </w:tcPr>
          <w:p w14:paraId="40D9980E">
            <w:pPr>
              <w:jc w:val="center"/>
              <w:rPr>
                <w:rFonts w:ascii="Times New Roman"/>
                <w:sz w:val="21"/>
                <w:szCs w:val="21"/>
              </w:rPr>
            </w:pPr>
            <w:r>
              <w:rPr>
                <w:rFonts w:hint="eastAsia" w:ascii="Times New Roman"/>
                <w:sz w:val="21"/>
                <w:szCs w:val="21"/>
              </w:rPr>
              <w:t xml:space="preserve">0.0691 </w:t>
            </w:r>
          </w:p>
        </w:tc>
        <w:tc>
          <w:tcPr>
            <w:tcW w:w="1454" w:type="dxa"/>
            <w:vAlign w:val="center"/>
          </w:tcPr>
          <w:p w14:paraId="2BB7978D">
            <w:pPr>
              <w:jc w:val="center"/>
              <w:rPr>
                <w:rFonts w:ascii="Times New Roman"/>
                <w:sz w:val="21"/>
                <w:szCs w:val="21"/>
              </w:rPr>
            </w:pPr>
            <w:r>
              <w:rPr>
                <w:rFonts w:hint="eastAsia" w:ascii="Times New Roman"/>
                <w:sz w:val="21"/>
                <w:szCs w:val="21"/>
              </w:rPr>
              <w:t>0.02</w:t>
            </w:r>
          </w:p>
        </w:tc>
      </w:tr>
      <w:tr w14:paraId="699D21A1">
        <w:tblPrEx>
          <w:tblCellMar>
            <w:top w:w="0" w:type="dxa"/>
            <w:left w:w="108" w:type="dxa"/>
            <w:bottom w:w="0" w:type="dxa"/>
            <w:right w:w="108" w:type="dxa"/>
          </w:tblCellMar>
        </w:tblPrEx>
        <w:trPr>
          <w:trHeight w:val="168" w:hRule="atLeast"/>
        </w:trPr>
        <w:tc>
          <w:tcPr>
            <w:tcW w:w="2629" w:type="dxa"/>
            <w:vAlign w:val="center"/>
          </w:tcPr>
          <w:p w14:paraId="59C2F810">
            <w:pPr>
              <w:jc w:val="center"/>
              <w:rPr>
                <w:rFonts w:ascii="Times New Roman"/>
                <w:sz w:val="21"/>
                <w:szCs w:val="21"/>
              </w:rPr>
            </w:pPr>
            <w:r>
              <w:rPr>
                <w:rFonts w:ascii="Times New Roman"/>
                <w:sz w:val="21"/>
                <w:szCs w:val="21"/>
              </w:rPr>
              <w:t>300.0</w:t>
            </w:r>
          </w:p>
        </w:tc>
        <w:tc>
          <w:tcPr>
            <w:tcW w:w="1566" w:type="dxa"/>
            <w:vAlign w:val="center"/>
          </w:tcPr>
          <w:p w14:paraId="2AD05CF6">
            <w:pPr>
              <w:jc w:val="center"/>
              <w:rPr>
                <w:rFonts w:ascii="Times New Roman"/>
                <w:sz w:val="21"/>
                <w:szCs w:val="21"/>
              </w:rPr>
            </w:pPr>
            <w:r>
              <w:rPr>
                <w:rFonts w:hint="eastAsia" w:ascii="Times New Roman"/>
                <w:sz w:val="21"/>
                <w:szCs w:val="21"/>
              </w:rPr>
              <w:t>3.4934</w:t>
            </w:r>
          </w:p>
        </w:tc>
        <w:tc>
          <w:tcPr>
            <w:tcW w:w="1467" w:type="dxa"/>
            <w:vAlign w:val="center"/>
          </w:tcPr>
          <w:p w14:paraId="38A37C1B">
            <w:pPr>
              <w:jc w:val="center"/>
              <w:rPr>
                <w:rFonts w:ascii="Times New Roman"/>
                <w:sz w:val="21"/>
                <w:szCs w:val="21"/>
              </w:rPr>
            </w:pPr>
            <w:r>
              <w:rPr>
                <w:rFonts w:hint="eastAsia" w:ascii="Times New Roman"/>
                <w:sz w:val="21"/>
                <w:szCs w:val="21"/>
              </w:rPr>
              <w:t>0.78</w:t>
            </w:r>
          </w:p>
        </w:tc>
        <w:tc>
          <w:tcPr>
            <w:tcW w:w="1383" w:type="dxa"/>
            <w:vAlign w:val="center"/>
          </w:tcPr>
          <w:p w14:paraId="2EBF18D1">
            <w:pPr>
              <w:jc w:val="center"/>
              <w:rPr>
                <w:rFonts w:ascii="Times New Roman"/>
                <w:sz w:val="21"/>
                <w:szCs w:val="21"/>
              </w:rPr>
            </w:pPr>
            <w:r>
              <w:rPr>
                <w:rFonts w:hint="eastAsia" w:ascii="Times New Roman"/>
                <w:sz w:val="21"/>
                <w:szCs w:val="21"/>
              </w:rPr>
              <w:t xml:space="preserve">0.0525 </w:t>
            </w:r>
          </w:p>
        </w:tc>
        <w:tc>
          <w:tcPr>
            <w:tcW w:w="1454" w:type="dxa"/>
            <w:vAlign w:val="center"/>
          </w:tcPr>
          <w:p w14:paraId="1067EFC8">
            <w:pPr>
              <w:jc w:val="center"/>
              <w:rPr>
                <w:rFonts w:ascii="Times New Roman"/>
                <w:sz w:val="21"/>
                <w:szCs w:val="21"/>
              </w:rPr>
            </w:pPr>
            <w:r>
              <w:rPr>
                <w:rFonts w:hint="eastAsia" w:ascii="Times New Roman"/>
                <w:sz w:val="21"/>
                <w:szCs w:val="21"/>
              </w:rPr>
              <w:t>0.01</w:t>
            </w:r>
          </w:p>
        </w:tc>
      </w:tr>
      <w:tr w14:paraId="501C0DDD">
        <w:tblPrEx>
          <w:tblCellMar>
            <w:top w:w="0" w:type="dxa"/>
            <w:left w:w="108" w:type="dxa"/>
            <w:bottom w:w="0" w:type="dxa"/>
            <w:right w:w="108" w:type="dxa"/>
          </w:tblCellMar>
        </w:tblPrEx>
        <w:trPr>
          <w:trHeight w:val="168" w:hRule="atLeast"/>
        </w:trPr>
        <w:tc>
          <w:tcPr>
            <w:tcW w:w="2629" w:type="dxa"/>
            <w:vAlign w:val="center"/>
          </w:tcPr>
          <w:p w14:paraId="5497D058">
            <w:pPr>
              <w:jc w:val="center"/>
              <w:rPr>
                <w:rFonts w:ascii="Times New Roman"/>
                <w:sz w:val="21"/>
                <w:szCs w:val="21"/>
              </w:rPr>
            </w:pPr>
            <w:r>
              <w:rPr>
                <w:rFonts w:ascii="Times New Roman"/>
                <w:sz w:val="21"/>
                <w:szCs w:val="21"/>
              </w:rPr>
              <w:t>400.0</w:t>
            </w:r>
          </w:p>
        </w:tc>
        <w:tc>
          <w:tcPr>
            <w:tcW w:w="1566" w:type="dxa"/>
            <w:vAlign w:val="center"/>
          </w:tcPr>
          <w:p w14:paraId="78DC153D">
            <w:pPr>
              <w:jc w:val="center"/>
              <w:rPr>
                <w:rFonts w:ascii="Times New Roman"/>
                <w:sz w:val="21"/>
                <w:szCs w:val="21"/>
              </w:rPr>
            </w:pPr>
            <w:r>
              <w:rPr>
                <w:rFonts w:hint="eastAsia" w:ascii="Times New Roman"/>
                <w:sz w:val="21"/>
                <w:szCs w:val="21"/>
              </w:rPr>
              <w:t>2.7241</w:t>
            </w:r>
          </w:p>
        </w:tc>
        <w:tc>
          <w:tcPr>
            <w:tcW w:w="1467" w:type="dxa"/>
            <w:vAlign w:val="center"/>
          </w:tcPr>
          <w:p w14:paraId="347F6C44">
            <w:pPr>
              <w:jc w:val="center"/>
              <w:rPr>
                <w:rFonts w:ascii="Times New Roman"/>
                <w:sz w:val="21"/>
                <w:szCs w:val="21"/>
              </w:rPr>
            </w:pPr>
            <w:r>
              <w:rPr>
                <w:rFonts w:hint="eastAsia" w:ascii="Times New Roman"/>
                <w:sz w:val="21"/>
                <w:szCs w:val="21"/>
              </w:rPr>
              <w:t>0.61</w:t>
            </w:r>
          </w:p>
        </w:tc>
        <w:tc>
          <w:tcPr>
            <w:tcW w:w="1383" w:type="dxa"/>
            <w:vAlign w:val="center"/>
          </w:tcPr>
          <w:p w14:paraId="3968262F">
            <w:pPr>
              <w:jc w:val="center"/>
              <w:rPr>
                <w:rFonts w:ascii="Times New Roman"/>
                <w:sz w:val="21"/>
                <w:szCs w:val="21"/>
              </w:rPr>
            </w:pPr>
            <w:r>
              <w:rPr>
                <w:rFonts w:hint="eastAsia" w:ascii="Times New Roman"/>
                <w:sz w:val="21"/>
                <w:szCs w:val="21"/>
              </w:rPr>
              <w:t xml:space="preserve">0.0409 </w:t>
            </w:r>
          </w:p>
        </w:tc>
        <w:tc>
          <w:tcPr>
            <w:tcW w:w="1454" w:type="dxa"/>
            <w:vAlign w:val="center"/>
          </w:tcPr>
          <w:p w14:paraId="474DA9E8">
            <w:pPr>
              <w:jc w:val="center"/>
              <w:rPr>
                <w:rFonts w:ascii="Times New Roman"/>
                <w:sz w:val="21"/>
                <w:szCs w:val="21"/>
              </w:rPr>
            </w:pPr>
            <w:r>
              <w:rPr>
                <w:rFonts w:hint="eastAsia" w:ascii="Times New Roman"/>
                <w:sz w:val="21"/>
                <w:szCs w:val="21"/>
              </w:rPr>
              <w:t>0.01</w:t>
            </w:r>
          </w:p>
        </w:tc>
      </w:tr>
      <w:tr w14:paraId="060606AD">
        <w:tblPrEx>
          <w:tblCellMar>
            <w:top w:w="0" w:type="dxa"/>
            <w:left w:w="108" w:type="dxa"/>
            <w:bottom w:w="0" w:type="dxa"/>
            <w:right w:w="108" w:type="dxa"/>
          </w:tblCellMar>
        </w:tblPrEx>
        <w:trPr>
          <w:trHeight w:val="168" w:hRule="atLeast"/>
        </w:trPr>
        <w:tc>
          <w:tcPr>
            <w:tcW w:w="2629" w:type="dxa"/>
            <w:vAlign w:val="center"/>
          </w:tcPr>
          <w:p w14:paraId="30791497">
            <w:pPr>
              <w:jc w:val="center"/>
              <w:rPr>
                <w:rFonts w:ascii="Times New Roman"/>
                <w:sz w:val="21"/>
                <w:szCs w:val="21"/>
              </w:rPr>
            </w:pPr>
            <w:r>
              <w:rPr>
                <w:rFonts w:ascii="Times New Roman"/>
                <w:sz w:val="21"/>
                <w:szCs w:val="21"/>
              </w:rPr>
              <w:t>500.0</w:t>
            </w:r>
          </w:p>
        </w:tc>
        <w:tc>
          <w:tcPr>
            <w:tcW w:w="1566" w:type="dxa"/>
            <w:vAlign w:val="center"/>
          </w:tcPr>
          <w:p w14:paraId="448BF381">
            <w:pPr>
              <w:jc w:val="center"/>
              <w:rPr>
                <w:rFonts w:ascii="Times New Roman"/>
                <w:sz w:val="21"/>
                <w:szCs w:val="21"/>
              </w:rPr>
            </w:pPr>
            <w:r>
              <w:rPr>
                <w:rFonts w:hint="eastAsia" w:ascii="Times New Roman"/>
                <w:sz w:val="21"/>
                <w:szCs w:val="21"/>
              </w:rPr>
              <w:t xml:space="preserve">2.1688 </w:t>
            </w:r>
          </w:p>
        </w:tc>
        <w:tc>
          <w:tcPr>
            <w:tcW w:w="1467" w:type="dxa"/>
            <w:vAlign w:val="center"/>
          </w:tcPr>
          <w:p w14:paraId="6B1294A5">
            <w:pPr>
              <w:jc w:val="center"/>
              <w:rPr>
                <w:rFonts w:ascii="Times New Roman"/>
                <w:sz w:val="21"/>
                <w:szCs w:val="21"/>
              </w:rPr>
            </w:pPr>
            <w:r>
              <w:rPr>
                <w:rFonts w:hint="eastAsia" w:ascii="Times New Roman"/>
                <w:sz w:val="21"/>
                <w:szCs w:val="21"/>
              </w:rPr>
              <w:t>0.48</w:t>
            </w:r>
          </w:p>
        </w:tc>
        <w:tc>
          <w:tcPr>
            <w:tcW w:w="1383" w:type="dxa"/>
            <w:vAlign w:val="center"/>
          </w:tcPr>
          <w:p w14:paraId="1E223606">
            <w:pPr>
              <w:jc w:val="center"/>
              <w:rPr>
                <w:rFonts w:ascii="Times New Roman"/>
                <w:sz w:val="21"/>
                <w:szCs w:val="21"/>
              </w:rPr>
            </w:pPr>
            <w:r>
              <w:rPr>
                <w:rFonts w:hint="eastAsia" w:ascii="Times New Roman"/>
                <w:sz w:val="21"/>
                <w:szCs w:val="21"/>
              </w:rPr>
              <w:t xml:space="preserve">0.0326 </w:t>
            </w:r>
          </w:p>
        </w:tc>
        <w:tc>
          <w:tcPr>
            <w:tcW w:w="1454" w:type="dxa"/>
            <w:vAlign w:val="center"/>
          </w:tcPr>
          <w:p w14:paraId="292DCAE7">
            <w:pPr>
              <w:jc w:val="center"/>
              <w:rPr>
                <w:rFonts w:ascii="Times New Roman"/>
                <w:sz w:val="21"/>
                <w:szCs w:val="21"/>
              </w:rPr>
            </w:pPr>
            <w:r>
              <w:rPr>
                <w:rFonts w:hint="eastAsia" w:ascii="Times New Roman"/>
                <w:sz w:val="21"/>
                <w:szCs w:val="21"/>
              </w:rPr>
              <w:t>0.01</w:t>
            </w:r>
          </w:p>
        </w:tc>
      </w:tr>
      <w:tr w14:paraId="636E9F77">
        <w:tblPrEx>
          <w:tblCellMar>
            <w:top w:w="0" w:type="dxa"/>
            <w:left w:w="108" w:type="dxa"/>
            <w:bottom w:w="0" w:type="dxa"/>
            <w:right w:w="108" w:type="dxa"/>
          </w:tblCellMar>
        </w:tblPrEx>
        <w:trPr>
          <w:trHeight w:val="168" w:hRule="atLeast"/>
        </w:trPr>
        <w:tc>
          <w:tcPr>
            <w:tcW w:w="2629" w:type="dxa"/>
            <w:vAlign w:val="center"/>
          </w:tcPr>
          <w:p w14:paraId="5FB97DC6">
            <w:pPr>
              <w:jc w:val="center"/>
              <w:rPr>
                <w:rFonts w:ascii="Times New Roman"/>
                <w:sz w:val="21"/>
                <w:szCs w:val="21"/>
              </w:rPr>
            </w:pPr>
            <w:r>
              <w:rPr>
                <w:rFonts w:ascii="Times New Roman"/>
                <w:sz w:val="21"/>
                <w:szCs w:val="21"/>
              </w:rPr>
              <w:t>600.0</w:t>
            </w:r>
          </w:p>
        </w:tc>
        <w:tc>
          <w:tcPr>
            <w:tcW w:w="1566" w:type="dxa"/>
            <w:vAlign w:val="center"/>
          </w:tcPr>
          <w:p w14:paraId="4D6CC5C9">
            <w:pPr>
              <w:jc w:val="center"/>
              <w:rPr>
                <w:rFonts w:ascii="Times New Roman"/>
                <w:sz w:val="21"/>
                <w:szCs w:val="21"/>
              </w:rPr>
            </w:pPr>
            <w:r>
              <w:rPr>
                <w:rFonts w:hint="eastAsia" w:ascii="Times New Roman"/>
                <w:sz w:val="21"/>
                <w:szCs w:val="21"/>
              </w:rPr>
              <w:t xml:space="preserve">1.7714 </w:t>
            </w:r>
          </w:p>
        </w:tc>
        <w:tc>
          <w:tcPr>
            <w:tcW w:w="1467" w:type="dxa"/>
            <w:vAlign w:val="center"/>
          </w:tcPr>
          <w:p w14:paraId="6D6E36B9">
            <w:pPr>
              <w:jc w:val="center"/>
              <w:rPr>
                <w:rFonts w:ascii="Times New Roman"/>
                <w:sz w:val="21"/>
                <w:szCs w:val="21"/>
              </w:rPr>
            </w:pPr>
            <w:r>
              <w:rPr>
                <w:rFonts w:hint="eastAsia" w:ascii="Times New Roman"/>
                <w:sz w:val="21"/>
                <w:szCs w:val="21"/>
              </w:rPr>
              <w:t>0.39</w:t>
            </w:r>
          </w:p>
        </w:tc>
        <w:tc>
          <w:tcPr>
            <w:tcW w:w="1383" w:type="dxa"/>
            <w:vAlign w:val="center"/>
          </w:tcPr>
          <w:p w14:paraId="63EA7229">
            <w:pPr>
              <w:jc w:val="center"/>
              <w:rPr>
                <w:rFonts w:ascii="Times New Roman"/>
                <w:sz w:val="21"/>
                <w:szCs w:val="21"/>
              </w:rPr>
            </w:pPr>
            <w:r>
              <w:rPr>
                <w:rFonts w:hint="eastAsia" w:ascii="Times New Roman"/>
                <w:sz w:val="21"/>
                <w:szCs w:val="21"/>
              </w:rPr>
              <w:t xml:space="preserve">0.0266 </w:t>
            </w:r>
          </w:p>
        </w:tc>
        <w:tc>
          <w:tcPr>
            <w:tcW w:w="1454" w:type="dxa"/>
            <w:vAlign w:val="center"/>
          </w:tcPr>
          <w:p w14:paraId="0918D3D3">
            <w:pPr>
              <w:jc w:val="center"/>
              <w:rPr>
                <w:rFonts w:ascii="Times New Roman"/>
                <w:sz w:val="21"/>
                <w:szCs w:val="21"/>
              </w:rPr>
            </w:pPr>
            <w:r>
              <w:rPr>
                <w:rFonts w:hint="eastAsia" w:ascii="Times New Roman"/>
                <w:sz w:val="21"/>
                <w:szCs w:val="21"/>
              </w:rPr>
              <w:t>0.01</w:t>
            </w:r>
          </w:p>
        </w:tc>
      </w:tr>
      <w:tr w14:paraId="49A7131E">
        <w:tblPrEx>
          <w:tblCellMar>
            <w:top w:w="0" w:type="dxa"/>
            <w:left w:w="108" w:type="dxa"/>
            <w:bottom w:w="0" w:type="dxa"/>
            <w:right w:w="108" w:type="dxa"/>
          </w:tblCellMar>
        </w:tblPrEx>
        <w:trPr>
          <w:trHeight w:val="168" w:hRule="atLeast"/>
        </w:trPr>
        <w:tc>
          <w:tcPr>
            <w:tcW w:w="2629" w:type="dxa"/>
            <w:vAlign w:val="center"/>
          </w:tcPr>
          <w:p w14:paraId="61E21170">
            <w:pPr>
              <w:jc w:val="center"/>
              <w:rPr>
                <w:rFonts w:ascii="Times New Roman"/>
                <w:sz w:val="21"/>
                <w:szCs w:val="21"/>
              </w:rPr>
            </w:pPr>
            <w:r>
              <w:rPr>
                <w:rFonts w:ascii="Times New Roman"/>
                <w:sz w:val="21"/>
                <w:szCs w:val="21"/>
              </w:rPr>
              <w:t>700.0</w:t>
            </w:r>
          </w:p>
        </w:tc>
        <w:tc>
          <w:tcPr>
            <w:tcW w:w="1566" w:type="dxa"/>
            <w:vAlign w:val="center"/>
          </w:tcPr>
          <w:p w14:paraId="41604DA5">
            <w:pPr>
              <w:jc w:val="center"/>
              <w:rPr>
                <w:rFonts w:ascii="Times New Roman"/>
                <w:sz w:val="21"/>
                <w:szCs w:val="21"/>
              </w:rPr>
            </w:pPr>
            <w:r>
              <w:rPr>
                <w:rFonts w:hint="eastAsia" w:ascii="Times New Roman"/>
                <w:sz w:val="21"/>
                <w:szCs w:val="21"/>
              </w:rPr>
              <w:t xml:space="preserve">1.4799 </w:t>
            </w:r>
          </w:p>
        </w:tc>
        <w:tc>
          <w:tcPr>
            <w:tcW w:w="1467" w:type="dxa"/>
            <w:vAlign w:val="center"/>
          </w:tcPr>
          <w:p w14:paraId="5ECAFBA3">
            <w:pPr>
              <w:jc w:val="center"/>
              <w:rPr>
                <w:rFonts w:ascii="Times New Roman"/>
                <w:sz w:val="21"/>
                <w:szCs w:val="21"/>
              </w:rPr>
            </w:pPr>
            <w:r>
              <w:rPr>
                <w:rFonts w:hint="eastAsia" w:ascii="Times New Roman"/>
                <w:sz w:val="21"/>
                <w:szCs w:val="21"/>
              </w:rPr>
              <w:t>0.33</w:t>
            </w:r>
          </w:p>
        </w:tc>
        <w:tc>
          <w:tcPr>
            <w:tcW w:w="1383" w:type="dxa"/>
            <w:vAlign w:val="center"/>
          </w:tcPr>
          <w:p w14:paraId="543CD99D">
            <w:pPr>
              <w:jc w:val="center"/>
              <w:rPr>
                <w:rFonts w:ascii="Times New Roman"/>
                <w:sz w:val="21"/>
                <w:szCs w:val="21"/>
              </w:rPr>
            </w:pPr>
            <w:r>
              <w:rPr>
                <w:rFonts w:hint="eastAsia" w:ascii="Times New Roman"/>
                <w:sz w:val="21"/>
                <w:szCs w:val="21"/>
              </w:rPr>
              <w:t xml:space="preserve">0.0222 </w:t>
            </w:r>
          </w:p>
        </w:tc>
        <w:tc>
          <w:tcPr>
            <w:tcW w:w="1454" w:type="dxa"/>
            <w:vAlign w:val="center"/>
          </w:tcPr>
          <w:p w14:paraId="6405DD28">
            <w:pPr>
              <w:jc w:val="center"/>
              <w:rPr>
                <w:rFonts w:ascii="Times New Roman"/>
                <w:sz w:val="21"/>
                <w:szCs w:val="21"/>
              </w:rPr>
            </w:pPr>
            <w:r>
              <w:rPr>
                <w:rFonts w:hint="eastAsia" w:ascii="Times New Roman"/>
                <w:sz w:val="21"/>
                <w:szCs w:val="21"/>
              </w:rPr>
              <w:t>0</w:t>
            </w:r>
          </w:p>
        </w:tc>
      </w:tr>
      <w:tr w14:paraId="2BF3780D">
        <w:tblPrEx>
          <w:tblCellMar>
            <w:top w:w="0" w:type="dxa"/>
            <w:left w:w="108" w:type="dxa"/>
            <w:bottom w:w="0" w:type="dxa"/>
            <w:right w:w="108" w:type="dxa"/>
          </w:tblCellMar>
        </w:tblPrEx>
        <w:trPr>
          <w:trHeight w:val="168" w:hRule="atLeast"/>
        </w:trPr>
        <w:tc>
          <w:tcPr>
            <w:tcW w:w="2629" w:type="dxa"/>
            <w:vAlign w:val="center"/>
          </w:tcPr>
          <w:p w14:paraId="6D48EA95">
            <w:pPr>
              <w:jc w:val="center"/>
              <w:rPr>
                <w:rFonts w:ascii="Times New Roman"/>
                <w:sz w:val="21"/>
                <w:szCs w:val="21"/>
              </w:rPr>
            </w:pPr>
            <w:r>
              <w:rPr>
                <w:rFonts w:ascii="Times New Roman"/>
                <w:sz w:val="21"/>
                <w:szCs w:val="21"/>
              </w:rPr>
              <w:t>800.0</w:t>
            </w:r>
          </w:p>
        </w:tc>
        <w:tc>
          <w:tcPr>
            <w:tcW w:w="1566" w:type="dxa"/>
            <w:vAlign w:val="center"/>
          </w:tcPr>
          <w:p w14:paraId="39BC7621">
            <w:pPr>
              <w:jc w:val="center"/>
              <w:rPr>
                <w:rFonts w:ascii="Times New Roman"/>
                <w:sz w:val="21"/>
                <w:szCs w:val="21"/>
              </w:rPr>
            </w:pPr>
            <w:r>
              <w:rPr>
                <w:rFonts w:hint="eastAsia" w:ascii="Times New Roman"/>
                <w:sz w:val="21"/>
                <w:szCs w:val="21"/>
              </w:rPr>
              <w:t xml:space="preserve">1.2600 </w:t>
            </w:r>
          </w:p>
        </w:tc>
        <w:tc>
          <w:tcPr>
            <w:tcW w:w="1467" w:type="dxa"/>
            <w:vAlign w:val="center"/>
          </w:tcPr>
          <w:p w14:paraId="6B5AEF00">
            <w:pPr>
              <w:jc w:val="center"/>
              <w:rPr>
                <w:rFonts w:ascii="Times New Roman"/>
                <w:sz w:val="21"/>
                <w:szCs w:val="21"/>
              </w:rPr>
            </w:pPr>
            <w:r>
              <w:rPr>
                <w:rFonts w:hint="eastAsia" w:ascii="Times New Roman"/>
                <w:sz w:val="21"/>
                <w:szCs w:val="21"/>
              </w:rPr>
              <w:t>0.28</w:t>
            </w:r>
          </w:p>
        </w:tc>
        <w:tc>
          <w:tcPr>
            <w:tcW w:w="1383" w:type="dxa"/>
            <w:vAlign w:val="center"/>
          </w:tcPr>
          <w:p w14:paraId="1FB443B2">
            <w:pPr>
              <w:jc w:val="center"/>
              <w:rPr>
                <w:rFonts w:ascii="Times New Roman"/>
                <w:sz w:val="21"/>
                <w:szCs w:val="21"/>
              </w:rPr>
            </w:pPr>
            <w:r>
              <w:rPr>
                <w:rFonts w:hint="eastAsia" w:ascii="Times New Roman"/>
                <w:sz w:val="21"/>
                <w:szCs w:val="21"/>
              </w:rPr>
              <w:t xml:space="preserve">0.0189 </w:t>
            </w:r>
          </w:p>
        </w:tc>
        <w:tc>
          <w:tcPr>
            <w:tcW w:w="1454" w:type="dxa"/>
            <w:vAlign w:val="center"/>
          </w:tcPr>
          <w:p w14:paraId="43C269FD">
            <w:pPr>
              <w:jc w:val="center"/>
              <w:rPr>
                <w:rFonts w:ascii="Times New Roman"/>
                <w:sz w:val="21"/>
                <w:szCs w:val="21"/>
              </w:rPr>
            </w:pPr>
            <w:r>
              <w:rPr>
                <w:rFonts w:hint="eastAsia" w:ascii="Times New Roman"/>
                <w:sz w:val="21"/>
                <w:szCs w:val="21"/>
              </w:rPr>
              <w:t>0</w:t>
            </w:r>
          </w:p>
        </w:tc>
      </w:tr>
      <w:tr w14:paraId="237B0A40">
        <w:tblPrEx>
          <w:tblCellMar>
            <w:top w:w="0" w:type="dxa"/>
            <w:left w:w="108" w:type="dxa"/>
            <w:bottom w:w="0" w:type="dxa"/>
            <w:right w:w="108" w:type="dxa"/>
          </w:tblCellMar>
        </w:tblPrEx>
        <w:trPr>
          <w:trHeight w:val="168" w:hRule="atLeast"/>
        </w:trPr>
        <w:tc>
          <w:tcPr>
            <w:tcW w:w="2629" w:type="dxa"/>
            <w:vAlign w:val="center"/>
          </w:tcPr>
          <w:p w14:paraId="1BBC80A7">
            <w:pPr>
              <w:jc w:val="center"/>
              <w:rPr>
                <w:rFonts w:ascii="Times New Roman"/>
                <w:sz w:val="21"/>
                <w:szCs w:val="21"/>
              </w:rPr>
            </w:pPr>
            <w:r>
              <w:rPr>
                <w:rFonts w:ascii="Times New Roman"/>
                <w:sz w:val="21"/>
                <w:szCs w:val="21"/>
              </w:rPr>
              <w:t>900.0</w:t>
            </w:r>
          </w:p>
        </w:tc>
        <w:tc>
          <w:tcPr>
            <w:tcW w:w="1566" w:type="dxa"/>
            <w:vAlign w:val="center"/>
          </w:tcPr>
          <w:p w14:paraId="6652DE08">
            <w:pPr>
              <w:jc w:val="center"/>
              <w:rPr>
                <w:rFonts w:ascii="Times New Roman"/>
                <w:sz w:val="21"/>
                <w:szCs w:val="21"/>
              </w:rPr>
            </w:pPr>
            <w:r>
              <w:rPr>
                <w:rFonts w:hint="eastAsia" w:ascii="Times New Roman"/>
                <w:sz w:val="21"/>
                <w:szCs w:val="21"/>
              </w:rPr>
              <w:t xml:space="preserve">1.0898 </w:t>
            </w:r>
          </w:p>
        </w:tc>
        <w:tc>
          <w:tcPr>
            <w:tcW w:w="1467" w:type="dxa"/>
            <w:vAlign w:val="center"/>
          </w:tcPr>
          <w:p w14:paraId="32707C2A">
            <w:pPr>
              <w:jc w:val="center"/>
              <w:rPr>
                <w:rFonts w:ascii="Times New Roman"/>
                <w:sz w:val="21"/>
                <w:szCs w:val="21"/>
              </w:rPr>
            </w:pPr>
            <w:r>
              <w:rPr>
                <w:rFonts w:hint="eastAsia" w:ascii="Times New Roman"/>
                <w:sz w:val="21"/>
                <w:szCs w:val="21"/>
              </w:rPr>
              <w:t>0.24</w:t>
            </w:r>
          </w:p>
        </w:tc>
        <w:tc>
          <w:tcPr>
            <w:tcW w:w="1383" w:type="dxa"/>
            <w:vAlign w:val="center"/>
          </w:tcPr>
          <w:p w14:paraId="750C80D8">
            <w:pPr>
              <w:jc w:val="center"/>
              <w:rPr>
                <w:rFonts w:ascii="Times New Roman"/>
                <w:sz w:val="21"/>
                <w:szCs w:val="21"/>
              </w:rPr>
            </w:pPr>
            <w:r>
              <w:rPr>
                <w:rFonts w:hint="eastAsia" w:ascii="Times New Roman"/>
                <w:sz w:val="21"/>
                <w:szCs w:val="21"/>
              </w:rPr>
              <w:t xml:space="preserve">0.0164 </w:t>
            </w:r>
          </w:p>
        </w:tc>
        <w:tc>
          <w:tcPr>
            <w:tcW w:w="1454" w:type="dxa"/>
            <w:vAlign w:val="center"/>
          </w:tcPr>
          <w:p w14:paraId="4DA561AB">
            <w:pPr>
              <w:jc w:val="center"/>
              <w:rPr>
                <w:rFonts w:ascii="Times New Roman"/>
                <w:sz w:val="21"/>
                <w:szCs w:val="21"/>
              </w:rPr>
            </w:pPr>
            <w:r>
              <w:rPr>
                <w:rFonts w:hint="eastAsia" w:ascii="Times New Roman"/>
                <w:sz w:val="21"/>
                <w:szCs w:val="21"/>
              </w:rPr>
              <w:t>0</w:t>
            </w:r>
          </w:p>
        </w:tc>
      </w:tr>
      <w:tr w14:paraId="0C162F31">
        <w:tblPrEx>
          <w:tblCellMar>
            <w:top w:w="0" w:type="dxa"/>
            <w:left w:w="108" w:type="dxa"/>
            <w:bottom w:w="0" w:type="dxa"/>
            <w:right w:w="108" w:type="dxa"/>
          </w:tblCellMar>
        </w:tblPrEx>
        <w:trPr>
          <w:trHeight w:val="168" w:hRule="atLeast"/>
        </w:trPr>
        <w:tc>
          <w:tcPr>
            <w:tcW w:w="2629" w:type="dxa"/>
            <w:vAlign w:val="center"/>
          </w:tcPr>
          <w:p w14:paraId="28F4CBBB">
            <w:pPr>
              <w:jc w:val="center"/>
              <w:rPr>
                <w:rFonts w:ascii="Times New Roman"/>
                <w:sz w:val="21"/>
                <w:szCs w:val="21"/>
              </w:rPr>
            </w:pPr>
            <w:r>
              <w:rPr>
                <w:rFonts w:ascii="Times New Roman"/>
                <w:sz w:val="21"/>
                <w:szCs w:val="21"/>
              </w:rPr>
              <w:t>1000.0</w:t>
            </w:r>
          </w:p>
        </w:tc>
        <w:tc>
          <w:tcPr>
            <w:tcW w:w="1566" w:type="dxa"/>
            <w:vAlign w:val="center"/>
          </w:tcPr>
          <w:p w14:paraId="4A7DA8CA">
            <w:pPr>
              <w:jc w:val="center"/>
              <w:rPr>
                <w:rFonts w:ascii="Times New Roman"/>
                <w:sz w:val="21"/>
                <w:szCs w:val="21"/>
              </w:rPr>
            </w:pPr>
            <w:r>
              <w:rPr>
                <w:rFonts w:hint="eastAsia" w:ascii="Times New Roman"/>
                <w:sz w:val="21"/>
                <w:szCs w:val="21"/>
              </w:rPr>
              <w:t xml:space="preserve">0.9549 </w:t>
            </w:r>
          </w:p>
        </w:tc>
        <w:tc>
          <w:tcPr>
            <w:tcW w:w="1467" w:type="dxa"/>
            <w:vAlign w:val="center"/>
          </w:tcPr>
          <w:p w14:paraId="53F5326D">
            <w:pPr>
              <w:jc w:val="center"/>
              <w:rPr>
                <w:rFonts w:ascii="Times New Roman"/>
                <w:sz w:val="21"/>
                <w:szCs w:val="21"/>
              </w:rPr>
            </w:pPr>
            <w:r>
              <w:rPr>
                <w:rFonts w:hint="eastAsia" w:ascii="Times New Roman"/>
                <w:sz w:val="21"/>
                <w:szCs w:val="21"/>
              </w:rPr>
              <w:t>0.21</w:t>
            </w:r>
          </w:p>
        </w:tc>
        <w:tc>
          <w:tcPr>
            <w:tcW w:w="1383" w:type="dxa"/>
            <w:vAlign w:val="center"/>
          </w:tcPr>
          <w:p w14:paraId="3D198724">
            <w:pPr>
              <w:jc w:val="center"/>
              <w:rPr>
                <w:rFonts w:ascii="Times New Roman"/>
                <w:sz w:val="21"/>
                <w:szCs w:val="21"/>
              </w:rPr>
            </w:pPr>
            <w:r>
              <w:rPr>
                <w:rFonts w:hint="eastAsia" w:ascii="Times New Roman"/>
                <w:sz w:val="21"/>
                <w:szCs w:val="21"/>
              </w:rPr>
              <w:t xml:space="preserve">0.0143 </w:t>
            </w:r>
          </w:p>
        </w:tc>
        <w:tc>
          <w:tcPr>
            <w:tcW w:w="1454" w:type="dxa"/>
            <w:vAlign w:val="center"/>
          </w:tcPr>
          <w:p w14:paraId="5183BAA6">
            <w:pPr>
              <w:jc w:val="center"/>
              <w:rPr>
                <w:rFonts w:ascii="Times New Roman"/>
                <w:sz w:val="21"/>
                <w:szCs w:val="21"/>
              </w:rPr>
            </w:pPr>
            <w:r>
              <w:rPr>
                <w:rFonts w:hint="eastAsia" w:ascii="Times New Roman"/>
                <w:sz w:val="21"/>
                <w:szCs w:val="21"/>
              </w:rPr>
              <w:t>0</w:t>
            </w:r>
          </w:p>
        </w:tc>
      </w:tr>
      <w:tr w14:paraId="7740780E">
        <w:tblPrEx>
          <w:tblCellMar>
            <w:top w:w="0" w:type="dxa"/>
            <w:left w:w="108" w:type="dxa"/>
            <w:bottom w:w="0" w:type="dxa"/>
            <w:right w:w="108" w:type="dxa"/>
          </w:tblCellMar>
        </w:tblPrEx>
        <w:trPr>
          <w:trHeight w:val="168" w:hRule="atLeast"/>
        </w:trPr>
        <w:tc>
          <w:tcPr>
            <w:tcW w:w="2629" w:type="dxa"/>
            <w:vAlign w:val="center"/>
          </w:tcPr>
          <w:p w14:paraId="7C8A09B5">
            <w:pPr>
              <w:jc w:val="center"/>
              <w:rPr>
                <w:rFonts w:ascii="Times New Roman"/>
                <w:sz w:val="21"/>
                <w:szCs w:val="21"/>
              </w:rPr>
            </w:pPr>
            <w:r>
              <w:rPr>
                <w:rFonts w:ascii="Times New Roman"/>
                <w:sz w:val="21"/>
                <w:szCs w:val="21"/>
              </w:rPr>
              <w:t>1200.0</w:t>
            </w:r>
          </w:p>
        </w:tc>
        <w:tc>
          <w:tcPr>
            <w:tcW w:w="1566" w:type="dxa"/>
            <w:vAlign w:val="center"/>
          </w:tcPr>
          <w:p w14:paraId="462E482E">
            <w:pPr>
              <w:jc w:val="center"/>
              <w:rPr>
                <w:rFonts w:ascii="Times New Roman"/>
                <w:sz w:val="21"/>
                <w:szCs w:val="21"/>
              </w:rPr>
            </w:pPr>
            <w:r>
              <w:rPr>
                <w:rFonts w:hint="eastAsia" w:ascii="Times New Roman"/>
                <w:sz w:val="21"/>
                <w:szCs w:val="21"/>
              </w:rPr>
              <w:t xml:space="preserve">0.7566 </w:t>
            </w:r>
          </w:p>
        </w:tc>
        <w:tc>
          <w:tcPr>
            <w:tcW w:w="1467" w:type="dxa"/>
            <w:vAlign w:val="center"/>
          </w:tcPr>
          <w:p w14:paraId="52ACB0D3">
            <w:pPr>
              <w:jc w:val="center"/>
              <w:rPr>
                <w:rFonts w:ascii="Times New Roman"/>
                <w:sz w:val="21"/>
                <w:szCs w:val="21"/>
              </w:rPr>
            </w:pPr>
            <w:r>
              <w:rPr>
                <w:rFonts w:hint="eastAsia" w:ascii="Times New Roman"/>
                <w:sz w:val="21"/>
                <w:szCs w:val="21"/>
              </w:rPr>
              <w:t>0.17</w:t>
            </w:r>
          </w:p>
        </w:tc>
        <w:tc>
          <w:tcPr>
            <w:tcW w:w="1383" w:type="dxa"/>
            <w:vAlign w:val="center"/>
          </w:tcPr>
          <w:p w14:paraId="1E8E920F">
            <w:pPr>
              <w:jc w:val="center"/>
              <w:rPr>
                <w:rFonts w:ascii="Times New Roman"/>
                <w:sz w:val="21"/>
                <w:szCs w:val="21"/>
              </w:rPr>
            </w:pPr>
            <w:r>
              <w:rPr>
                <w:rFonts w:hint="eastAsia" w:ascii="Times New Roman"/>
                <w:sz w:val="21"/>
                <w:szCs w:val="21"/>
              </w:rPr>
              <w:t xml:space="preserve">0.0114 </w:t>
            </w:r>
          </w:p>
        </w:tc>
        <w:tc>
          <w:tcPr>
            <w:tcW w:w="1454" w:type="dxa"/>
            <w:vAlign w:val="center"/>
          </w:tcPr>
          <w:p w14:paraId="06128AC9">
            <w:pPr>
              <w:jc w:val="center"/>
              <w:rPr>
                <w:rFonts w:ascii="Times New Roman"/>
                <w:sz w:val="21"/>
                <w:szCs w:val="21"/>
              </w:rPr>
            </w:pPr>
            <w:r>
              <w:rPr>
                <w:rFonts w:hint="eastAsia" w:ascii="Times New Roman"/>
                <w:sz w:val="21"/>
                <w:szCs w:val="21"/>
              </w:rPr>
              <w:t>0</w:t>
            </w:r>
          </w:p>
        </w:tc>
      </w:tr>
      <w:tr w14:paraId="1400B939">
        <w:tblPrEx>
          <w:tblCellMar>
            <w:top w:w="0" w:type="dxa"/>
            <w:left w:w="108" w:type="dxa"/>
            <w:bottom w:w="0" w:type="dxa"/>
            <w:right w:w="108" w:type="dxa"/>
          </w:tblCellMar>
        </w:tblPrEx>
        <w:trPr>
          <w:trHeight w:val="168" w:hRule="atLeast"/>
        </w:trPr>
        <w:tc>
          <w:tcPr>
            <w:tcW w:w="2629" w:type="dxa"/>
            <w:vAlign w:val="center"/>
          </w:tcPr>
          <w:p w14:paraId="3882CDB2">
            <w:pPr>
              <w:jc w:val="center"/>
              <w:rPr>
                <w:rFonts w:ascii="Times New Roman"/>
                <w:sz w:val="21"/>
                <w:szCs w:val="21"/>
              </w:rPr>
            </w:pPr>
            <w:r>
              <w:rPr>
                <w:rFonts w:ascii="Times New Roman"/>
                <w:sz w:val="21"/>
                <w:szCs w:val="21"/>
              </w:rPr>
              <w:t>1400.0</w:t>
            </w:r>
          </w:p>
        </w:tc>
        <w:tc>
          <w:tcPr>
            <w:tcW w:w="1566" w:type="dxa"/>
            <w:vAlign w:val="center"/>
          </w:tcPr>
          <w:p w14:paraId="1E0B85BB">
            <w:pPr>
              <w:jc w:val="center"/>
              <w:rPr>
                <w:rFonts w:ascii="Times New Roman"/>
                <w:sz w:val="21"/>
                <w:szCs w:val="21"/>
              </w:rPr>
            </w:pPr>
            <w:r>
              <w:rPr>
                <w:rFonts w:hint="eastAsia" w:ascii="Times New Roman"/>
                <w:sz w:val="21"/>
                <w:szCs w:val="21"/>
              </w:rPr>
              <w:t xml:space="preserve">0.6193 </w:t>
            </w:r>
          </w:p>
        </w:tc>
        <w:tc>
          <w:tcPr>
            <w:tcW w:w="1467" w:type="dxa"/>
            <w:vAlign w:val="center"/>
          </w:tcPr>
          <w:p w14:paraId="0C7992BD">
            <w:pPr>
              <w:jc w:val="center"/>
              <w:rPr>
                <w:rFonts w:ascii="Times New Roman"/>
                <w:sz w:val="21"/>
                <w:szCs w:val="21"/>
              </w:rPr>
            </w:pPr>
            <w:r>
              <w:rPr>
                <w:rFonts w:hint="eastAsia" w:ascii="Times New Roman"/>
                <w:sz w:val="21"/>
                <w:szCs w:val="21"/>
              </w:rPr>
              <w:t>0.14</w:t>
            </w:r>
          </w:p>
        </w:tc>
        <w:tc>
          <w:tcPr>
            <w:tcW w:w="1383" w:type="dxa"/>
            <w:vAlign w:val="center"/>
          </w:tcPr>
          <w:p w14:paraId="29698ED2">
            <w:pPr>
              <w:jc w:val="center"/>
              <w:rPr>
                <w:rFonts w:ascii="Times New Roman"/>
                <w:sz w:val="21"/>
                <w:szCs w:val="21"/>
              </w:rPr>
            </w:pPr>
            <w:r>
              <w:rPr>
                <w:rFonts w:hint="eastAsia" w:ascii="Times New Roman"/>
                <w:sz w:val="21"/>
                <w:szCs w:val="21"/>
              </w:rPr>
              <w:t xml:space="preserve">0.0093 </w:t>
            </w:r>
          </w:p>
        </w:tc>
        <w:tc>
          <w:tcPr>
            <w:tcW w:w="1454" w:type="dxa"/>
            <w:vAlign w:val="center"/>
          </w:tcPr>
          <w:p w14:paraId="6FC75501">
            <w:pPr>
              <w:jc w:val="center"/>
              <w:rPr>
                <w:rFonts w:ascii="Times New Roman"/>
                <w:sz w:val="21"/>
                <w:szCs w:val="21"/>
              </w:rPr>
            </w:pPr>
            <w:r>
              <w:rPr>
                <w:rFonts w:hint="eastAsia" w:ascii="Times New Roman"/>
                <w:sz w:val="21"/>
                <w:szCs w:val="21"/>
              </w:rPr>
              <w:t>0</w:t>
            </w:r>
          </w:p>
        </w:tc>
      </w:tr>
      <w:tr w14:paraId="3225ACF2">
        <w:tblPrEx>
          <w:tblCellMar>
            <w:top w:w="0" w:type="dxa"/>
            <w:left w:w="108" w:type="dxa"/>
            <w:bottom w:w="0" w:type="dxa"/>
            <w:right w:w="108" w:type="dxa"/>
          </w:tblCellMar>
        </w:tblPrEx>
        <w:trPr>
          <w:trHeight w:val="168" w:hRule="atLeast"/>
        </w:trPr>
        <w:tc>
          <w:tcPr>
            <w:tcW w:w="2629" w:type="dxa"/>
            <w:vAlign w:val="center"/>
          </w:tcPr>
          <w:p w14:paraId="19EB2BB7">
            <w:pPr>
              <w:jc w:val="center"/>
              <w:rPr>
                <w:rFonts w:ascii="Times New Roman"/>
                <w:sz w:val="21"/>
                <w:szCs w:val="21"/>
              </w:rPr>
            </w:pPr>
            <w:r>
              <w:rPr>
                <w:rFonts w:ascii="Times New Roman"/>
                <w:sz w:val="21"/>
                <w:szCs w:val="21"/>
              </w:rPr>
              <w:t>1600.0</w:t>
            </w:r>
          </w:p>
        </w:tc>
        <w:tc>
          <w:tcPr>
            <w:tcW w:w="1566" w:type="dxa"/>
            <w:vAlign w:val="center"/>
          </w:tcPr>
          <w:p w14:paraId="6A84EC18">
            <w:pPr>
              <w:jc w:val="center"/>
              <w:rPr>
                <w:rFonts w:ascii="Times New Roman"/>
                <w:sz w:val="21"/>
                <w:szCs w:val="21"/>
              </w:rPr>
            </w:pPr>
            <w:r>
              <w:rPr>
                <w:rFonts w:hint="eastAsia" w:ascii="Times New Roman"/>
                <w:sz w:val="21"/>
                <w:szCs w:val="21"/>
              </w:rPr>
              <w:t xml:space="preserve">0.5195 </w:t>
            </w:r>
          </w:p>
        </w:tc>
        <w:tc>
          <w:tcPr>
            <w:tcW w:w="1467" w:type="dxa"/>
            <w:vAlign w:val="center"/>
          </w:tcPr>
          <w:p w14:paraId="309B604C">
            <w:pPr>
              <w:jc w:val="center"/>
              <w:rPr>
                <w:rFonts w:ascii="Times New Roman"/>
                <w:sz w:val="21"/>
                <w:szCs w:val="21"/>
              </w:rPr>
            </w:pPr>
            <w:r>
              <w:rPr>
                <w:rFonts w:hint="eastAsia" w:ascii="Times New Roman"/>
                <w:sz w:val="21"/>
                <w:szCs w:val="21"/>
              </w:rPr>
              <w:t>0.12</w:t>
            </w:r>
          </w:p>
        </w:tc>
        <w:tc>
          <w:tcPr>
            <w:tcW w:w="1383" w:type="dxa"/>
            <w:vAlign w:val="center"/>
          </w:tcPr>
          <w:p w14:paraId="2FA0B9BF">
            <w:pPr>
              <w:jc w:val="center"/>
              <w:rPr>
                <w:rFonts w:ascii="Times New Roman"/>
                <w:sz w:val="21"/>
                <w:szCs w:val="21"/>
              </w:rPr>
            </w:pPr>
            <w:r>
              <w:rPr>
                <w:rFonts w:hint="eastAsia" w:ascii="Times New Roman"/>
                <w:sz w:val="21"/>
                <w:szCs w:val="21"/>
              </w:rPr>
              <w:t xml:space="preserve">0.0078 </w:t>
            </w:r>
          </w:p>
        </w:tc>
        <w:tc>
          <w:tcPr>
            <w:tcW w:w="1454" w:type="dxa"/>
            <w:vAlign w:val="center"/>
          </w:tcPr>
          <w:p w14:paraId="6534E97A">
            <w:pPr>
              <w:jc w:val="center"/>
              <w:rPr>
                <w:rFonts w:ascii="Times New Roman"/>
                <w:sz w:val="21"/>
                <w:szCs w:val="21"/>
              </w:rPr>
            </w:pPr>
            <w:r>
              <w:rPr>
                <w:rFonts w:hint="eastAsia" w:ascii="Times New Roman"/>
                <w:sz w:val="21"/>
                <w:szCs w:val="21"/>
              </w:rPr>
              <w:t>0</w:t>
            </w:r>
          </w:p>
        </w:tc>
      </w:tr>
      <w:tr w14:paraId="0D6AE1C0">
        <w:tblPrEx>
          <w:tblCellMar>
            <w:top w:w="0" w:type="dxa"/>
            <w:left w:w="108" w:type="dxa"/>
            <w:bottom w:w="0" w:type="dxa"/>
            <w:right w:w="108" w:type="dxa"/>
          </w:tblCellMar>
        </w:tblPrEx>
        <w:trPr>
          <w:trHeight w:val="168" w:hRule="atLeast"/>
        </w:trPr>
        <w:tc>
          <w:tcPr>
            <w:tcW w:w="2629" w:type="dxa"/>
            <w:vAlign w:val="center"/>
          </w:tcPr>
          <w:p w14:paraId="233CAB06">
            <w:pPr>
              <w:jc w:val="center"/>
              <w:rPr>
                <w:rFonts w:ascii="Times New Roman"/>
                <w:sz w:val="21"/>
                <w:szCs w:val="21"/>
              </w:rPr>
            </w:pPr>
            <w:r>
              <w:rPr>
                <w:rFonts w:ascii="Times New Roman"/>
                <w:sz w:val="21"/>
                <w:szCs w:val="21"/>
              </w:rPr>
              <w:t>1800.0</w:t>
            </w:r>
          </w:p>
        </w:tc>
        <w:tc>
          <w:tcPr>
            <w:tcW w:w="1566" w:type="dxa"/>
            <w:vAlign w:val="center"/>
          </w:tcPr>
          <w:p w14:paraId="139408B5">
            <w:pPr>
              <w:jc w:val="center"/>
              <w:rPr>
                <w:rFonts w:ascii="Times New Roman"/>
                <w:sz w:val="21"/>
                <w:szCs w:val="21"/>
              </w:rPr>
            </w:pPr>
            <w:r>
              <w:rPr>
                <w:rFonts w:hint="eastAsia" w:ascii="Times New Roman"/>
                <w:sz w:val="21"/>
                <w:szCs w:val="21"/>
              </w:rPr>
              <w:t xml:space="preserve">0.4443 </w:t>
            </w:r>
          </w:p>
        </w:tc>
        <w:tc>
          <w:tcPr>
            <w:tcW w:w="1467" w:type="dxa"/>
            <w:vAlign w:val="center"/>
          </w:tcPr>
          <w:p w14:paraId="2AA7F7AF">
            <w:pPr>
              <w:jc w:val="center"/>
              <w:rPr>
                <w:rFonts w:ascii="Times New Roman"/>
                <w:sz w:val="21"/>
                <w:szCs w:val="21"/>
              </w:rPr>
            </w:pPr>
            <w:r>
              <w:rPr>
                <w:rFonts w:hint="eastAsia" w:ascii="Times New Roman"/>
                <w:sz w:val="21"/>
                <w:szCs w:val="21"/>
              </w:rPr>
              <w:t>0.1</w:t>
            </w:r>
          </w:p>
        </w:tc>
        <w:tc>
          <w:tcPr>
            <w:tcW w:w="1383" w:type="dxa"/>
            <w:vAlign w:val="center"/>
          </w:tcPr>
          <w:p w14:paraId="112A5BB4">
            <w:pPr>
              <w:jc w:val="center"/>
              <w:rPr>
                <w:rFonts w:ascii="Times New Roman"/>
                <w:sz w:val="21"/>
                <w:szCs w:val="21"/>
              </w:rPr>
            </w:pPr>
            <w:r>
              <w:rPr>
                <w:rFonts w:hint="eastAsia" w:ascii="Times New Roman"/>
                <w:sz w:val="21"/>
                <w:szCs w:val="21"/>
              </w:rPr>
              <w:t xml:space="preserve">0.0067 </w:t>
            </w:r>
          </w:p>
        </w:tc>
        <w:tc>
          <w:tcPr>
            <w:tcW w:w="1454" w:type="dxa"/>
            <w:vAlign w:val="center"/>
          </w:tcPr>
          <w:p w14:paraId="44607898">
            <w:pPr>
              <w:jc w:val="center"/>
              <w:rPr>
                <w:rFonts w:ascii="Times New Roman"/>
                <w:sz w:val="21"/>
                <w:szCs w:val="21"/>
              </w:rPr>
            </w:pPr>
            <w:r>
              <w:rPr>
                <w:rFonts w:hint="eastAsia" w:ascii="Times New Roman"/>
                <w:sz w:val="21"/>
                <w:szCs w:val="21"/>
              </w:rPr>
              <w:t>0</w:t>
            </w:r>
          </w:p>
        </w:tc>
      </w:tr>
      <w:tr w14:paraId="1C77E9BA">
        <w:tblPrEx>
          <w:tblCellMar>
            <w:top w:w="0" w:type="dxa"/>
            <w:left w:w="108" w:type="dxa"/>
            <w:bottom w:w="0" w:type="dxa"/>
            <w:right w:w="108" w:type="dxa"/>
          </w:tblCellMar>
        </w:tblPrEx>
        <w:trPr>
          <w:trHeight w:val="168" w:hRule="atLeast"/>
        </w:trPr>
        <w:tc>
          <w:tcPr>
            <w:tcW w:w="2629" w:type="dxa"/>
            <w:vAlign w:val="center"/>
          </w:tcPr>
          <w:p w14:paraId="3F8DF45F">
            <w:pPr>
              <w:jc w:val="center"/>
              <w:rPr>
                <w:rFonts w:ascii="Times New Roman"/>
                <w:sz w:val="21"/>
                <w:szCs w:val="21"/>
              </w:rPr>
            </w:pPr>
            <w:r>
              <w:rPr>
                <w:rFonts w:ascii="Times New Roman"/>
                <w:sz w:val="21"/>
                <w:szCs w:val="21"/>
              </w:rPr>
              <w:t>2000.0</w:t>
            </w:r>
          </w:p>
        </w:tc>
        <w:tc>
          <w:tcPr>
            <w:tcW w:w="1566" w:type="dxa"/>
            <w:vAlign w:val="center"/>
          </w:tcPr>
          <w:p w14:paraId="2F3BA8C0">
            <w:pPr>
              <w:jc w:val="center"/>
              <w:rPr>
                <w:rFonts w:ascii="Times New Roman"/>
                <w:sz w:val="21"/>
                <w:szCs w:val="21"/>
              </w:rPr>
            </w:pPr>
            <w:r>
              <w:rPr>
                <w:rFonts w:hint="eastAsia" w:ascii="Times New Roman"/>
                <w:sz w:val="21"/>
                <w:szCs w:val="21"/>
              </w:rPr>
              <w:t xml:space="preserve">0.3859 </w:t>
            </w:r>
          </w:p>
        </w:tc>
        <w:tc>
          <w:tcPr>
            <w:tcW w:w="1467" w:type="dxa"/>
            <w:vAlign w:val="center"/>
          </w:tcPr>
          <w:p w14:paraId="2D4EBB1E">
            <w:pPr>
              <w:jc w:val="center"/>
              <w:rPr>
                <w:rFonts w:ascii="Times New Roman"/>
                <w:sz w:val="21"/>
                <w:szCs w:val="21"/>
              </w:rPr>
            </w:pPr>
            <w:r>
              <w:rPr>
                <w:rFonts w:hint="eastAsia" w:ascii="Times New Roman"/>
                <w:sz w:val="21"/>
                <w:szCs w:val="21"/>
              </w:rPr>
              <w:t>0.09</w:t>
            </w:r>
          </w:p>
        </w:tc>
        <w:tc>
          <w:tcPr>
            <w:tcW w:w="1383" w:type="dxa"/>
            <w:vAlign w:val="center"/>
          </w:tcPr>
          <w:p w14:paraId="32779B15">
            <w:pPr>
              <w:jc w:val="center"/>
              <w:rPr>
                <w:rFonts w:ascii="Times New Roman"/>
                <w:sz w:val="21"/>
                <w:szCs w:val="21"/>
              </w:rPr>
            </w:pPr>
            <w:r>
              <w:rPr>
                <w:rFonts w:hint="eastAsia" w:ascii="Times New Roman"/>
                <w:sz w:val="21"/>
                <w:szCs w:val="21"/>
              </w:rPr>
              <w:t xml:space="preserve">0.0058 </w:t>
            </w:r>
          </w:p>
        </w:tc>
        <w:tc>
          <w:tcPr>
            <w:tcW w:w="1454" w:type="dxa"/>
            <w:vAlign w:val="center"/>
          </w:tcPr>
          <w:p w14:paraId="2788CDDE">
            <w:pPr>
              <w:jc w:val="center"/>
              <w:rPr>
                <w:rFonts w:ascii="Times New Roman"/>
                <w:sz w:val="21"/>
                <w:szCs w:val="21"/>
              </w:rPr>
            </w:pPr>
            <w:r>
              <w:rPr>
                <w:rFonts w:hint="eastAsia" w:ascii="Times New Roman"/>
                <w:sz w:val="21"/>
                <w:szCs w:val="21"/>
              </w:rPr>
              <w:t>0</w:t>
            </w:r>
          </w:p>
        </w:tc>
      </w:tr>
      <w:tr w14:paraId="3A26D567">
        <w:tblPrEx>
          <w:tblCellMar>
            <w:top w:w="0" w:type="dxa"/>
            <w:left w:w="108" w:type="dxa"/>
            <w:bottom w:w="0" w:type="dxa"/>
            <w:right w:w="108" w:type="dxa"/>
          </w:tblCellMar>
        </w:tblPrEx>
        <w:trPr>
          <w:trHeight w:val="168" w:hRule="atLeast"/>
        </w:trPr>
        <w:tc>
          <w:tcPr>
            <w:tcW w:w="2629" w:type="dxa"/>
            <w:vAlign w:val="center"/>
          </w:tcPr>
          <w:p w14:paraId="054B57D9">
            <w:pPr>
              <w:jc w:val="center"/>
              <w:rPr>
                <w:rFonts w:ascii="Times New Roman"/>
                <w:sz w:val="21"/>
                <w:szCs w:val="21"/>
              </w:rPr>
            </w:pPr>
            <w:r>
              <w:rPr>
                <w:rFonts w:ascii="Times New Roman"/>
                <w:sz w:val="21"/>
                <w:szCs w:val="21"/>
              </w:rPr>
              <w:t>2500.0</w:t>
            </w:r>
          </w:p>
        </w:tc>
        <w:tc>
          <w:tcPr>
            <w:tcW w:w="1566" w:type="dxa"/>
            <w:vAlign w:val="center"/>
          </w:tcPr>
          <w:p w14:paraId="50D3B366">
            <w:pPr>
              <w:jc w:val="center"/>
              <w:rPr>
                <w:rFonts w:ascii="Times New Roman"/>
                <w:sz w:val="21"/>
                <w:szCs w:val="21"/>
              </w:rPr>
            </w:pPr>
            <w:r>
              <w:rPr>
                <w:rFonts w:hint="eastAsia" w:ascii="Times New Roman"/>
                <w:sz w:val="21"/>
                <w:szCs w:val="21"/>
              </w:rPr>
              <w:t xml:space="preserve">0.2855 </w:t>
            </w:r>
          </w:p>
        </w:tc>
        <w:tc>
          <w:tcPr>
            <w:tcW w:w="1467" w:type="dxa"/>
            <w:vAlign w:val="center"/>
          </w:tcPr>
          <w:p w14:paraId="6364CC43">
            <w:pPr>
              <w:jc w:val="center"/>
              <w:rPr>
                <w:rFonts w:ascii="Times New Roman"/>
                <w:sz w:val="21"/>
                <w:szCs w:val="21"/>
              </w:rPr>
            </w:pPr>
            <w:r>
              <w:rPr>
                <w:rFonts w:hint="eastAsia" w:ascii="Times New Roman"/>
                <w:sz w:val="21"/>
                <w:szCs w:val="21"/>
              </w:rPr>
              <w:t>0.06</w:t>
            </w:r>
          </w:p>
        </w:tc>
        <w:tc>
          <w:tcPr>
            <w:tcW w:w="1383" w:type="dxa"/>
            <w:vAlign w:val="center"/>
          </w:tcPr>
          <w:p w14:paraId="39C566B8">
            <w:pPr>
              <w:jc w:val="center"/>
              <w:rPr>
                <w:rFonts w:ascii="Times New Roman"/>
                <w:sz w:val="21"/>
                <w:szCs w:val="21"/>
              </w:rPr>
            </w:pPr>
            <w:r>
              <w:rPr>
                <w:rFonts w:hint="eastAsia" w:ascii="Times New Roman"/>
                <w:sz w:val="21"/>
                <w:szCs w:val="21"/>
              </w:rPr>
              <w:t xml:space="preserve">0.0043 </w:t>
            </w:r>
          </w:p>
        </w:tc>
        <w:tc>
          <w:tcPr>
            <w:tcW w:w="1454" w:type="dxa"/>
            <w:vAlign w:val="center"/>
          </w:tcPr>
          <w:p w14:paraId="24F57681">
            <w:pPr>
              <w:jc w:val="center"/>
              <w:rPr>
                <w:rFonts w:ascii="Times New Roman"/>
                <w:sz w:val="21"/>
                <w:szCs w:val="21"/>
              </w:rPr>
            </w:pPr>
            <w:r>
              <w:rPr>
                <w:rFonts w:hint="eastAsia" w:ascii="Times New Roman"/>
                <w:sz w:val="21"/>
                <w:szCs w:val="21"/>
              </w:rPr>
              <w:t>0</w:t>
            </w:r>
          </w:p>
        </w:tc>
      </w:tr>
      <w:tr w14:paraId="5D139E62">
        <w:tblPrEx>
          <w:tblCellMar>
            <w:top w:w="0" w:type="dxa"/>
            <w:left w:w="108" w:type="dxa"/>
            <w:bottom w:w="0" w:type="dxa"/>
            <w:right w:w="108" w:type="dxa"/>
          </w:tblCellMar>
        </w:tblPrEx>
        <w:trPr>
          <w:trHeight w:val="168" w:hRule="atLeast"/>
        </w:trPr>
        <w:tc>
          <w:tcPr>
            <w:tcW w:w="2629" w:type="dxa"/>
            <w:vAlign w:val="center"/>
          </w:tcPr>
          <w:p w14:paraId="7083FD47">
            <w:pPr>
              <w:jc w:val="center"/>
              <w:rPr>
                <w:rFonts w:ascii="Times New Roman"/>
                <w:sz w:val="21"/>
                <w:szCs w:val="21"/>
              </w:rPr>
            </w:pPr>
            <w:r>
              <w:rPr>
                <w:rFonts w:ascii="Times New Roman"/>
                <w:sz w:val="21"/>
                <w:szCs w:val="21"/>
              </w:rPr>
              <w:t>3000.0</w:t>
            </w:r>
          </w:p>
        </w:tc>
        <w:tc>
          <w:tcPr>
            <w:tcW w:w="1566" w:type="dxa"/>
            <w:vAlign w:val="center"/>
          </w:tcPr>
          <w:p w14:paraId="01DD8FC7">
            <w:pPr>
              <w:jc w:val="center"/>
              <w:rPr>
                <w:rFonts w:ascii="Times New Roman"/>
                <w:sz w:val="21"/>
                <w:szCs w:val="21"/>
              </w:rPr>
            </w:pPr>
            <w:r>
              <w:rPr>
                <w:rFonts w:hint="eastAsia" w:ascii="Times New Roman"/>
                <w:sz w:val="21"/>
                <w:szCs w:val="21"/>
              </w:rPr>
              <w:t xml:space="preserve">0.2226 </w:t>
            </w:r>
          </w:p>
        </w:tc>
        <w:tc>
          <w:tcPr>
            <w:tcW w:w="1467" w:type="dxa"/>
            <w:vAlign w:val="center"/>
          </w:tcPr>
          <w:p w14:paraId="456D02BD">
            <w:pPr>
              <w:jc w:val="center"/>
              <w:rPr>
                <w:rFonts w:ascii="Times New Roman"/>
                <w:sz w:val="21"/>
                <w:szCs w:val="21"/>
              </w:rPr>
            </w:pPr>
            <w:r>
              <w:rPr>
                <w:rFonts w:hint="eastAsia" w:ascii="Times New Roman"/>
                <w:sz w:val="21"/>
                <w:szCs w:val="21"/>
              </w:rPr>
              <w:t>0.05</w:t>
            </w:r>
          </w:p>
        </w:tc>
        <w:tc>
          <w:tcPr>
            <w:tcW w:w="1383" w:type="dxa"/>
            <w:vAlign w:val="center"/>
          </w:tcPr>
          <w:p w14:paraId="786E46F0">
            <w:pPr>
              <w:jc w:val="center"/>
              <w:rPr>
                <w:rFonts w:ascii="Times New Roman"/>
                <w:sz w:val="21"/>
                <w:szCs w:val="21"/>
              </w:rPr>
            </w:pPr>
            <w:r>
              <w:rPr>
                <w:rFonts w:hint="eastAsia" w:ascii="Times New Roman"/>
                <w:sz w:val="21"/>
                <w:szCs w:val="21"/>
              </w:rPr>
              <w:t xml:space="preserve">0.0033 </w:t>
            </w:r>
          </w:p>
        </w:tc>
        <w:tc>
          <w:tcPr>
            <w:tcW w:w="1454" w:type="dxa"/>
            <w:vAlign w:val="center"/>
          </w:tcPr>
          <w:p w14:paraId="7F3D66BD">
            <w:pPr>
              <w:jc w:val="center"/>
              <w:rPr>
                <w:rFonts w:ascii="Times New Roman"/>
                <w:sz w:val="21"/>
                <w:szCs w:val="21"/>
              </w:rPr>
            </w:pPr>
            <w:r>
              <w:rPr>
                <w:rFonts w:hint="eastAsia" w:ascii="Times New Roman"/>
                <w:sz w:val="21"/>
                <w:szCs w:val="21"/>
              </w:rPr>
              <w:t>0</w:t>
            </w:r>
          </w:p>
        </w:tc>
      </w:tr>
      <w:tr w14:paraId="0C7A93EF">
        <w:tblPrEx>
          <w:tblCellMar>
            <w:top w:w="0" w:type="dxa"/>
            <w:left w:w="108" w:type="dxa"/>
            <w:bottom w:w="0" w:type="dxa"/>
            <w:right w:w="108" w:type="dxa"/>
          </w:tblCellMar>
        </w:tblPrEx>
        <w:trPr>
          <w:trHeight w:val="168" w:hRule="atLeast"/>
        </w:trPr>
        <w:tc>
          <w:tcPr>
            <w:tcW w:w="2629" w:type="dxa"/>
            <w:vAlign w:val="center"/>
          </w:tcPr>
          <w:p w14:paraId="5A6492F4">
            <w:pPr>
              <w:jc w:val="center"/>
              <w:rPr>
                <w:rFonts w:ascii="Times New Roman"/>
                <w:sz w:val="21"/>
                <w:szCs w:val="21"/>
              </w:rPr>
            </w:pPr>
            <w:r>
              <w:rPr>
                <w:rFonts w:ascii="Times New Roman"/>
                <w:sz w:val="21"/>
                <w:szCs w:val="21"/>
              </w:rPr>
              <w:t>3500.0</w:t>
            </w:r>
          </w:p>
        </w:tc>
        <w:tc>
          <w:tcPr>
            <w:tcW w:w="1566" w:type="dxa"/>
            <w:vAlign w:val="center"/>
          </w:tcPr>
          <w:p w14:paraId="14F4CF3D">
            <w:pPr>
              <w:jc w:val="center"/>
              <w:rPr>
                <w:rFonts w:ascii="Times New Roman"/>
                <w:sz w:val="21"/>
                <w:szCs w:val="21"/>
              </w:rPr>
            </w:pPr>
            <w:r>
              <w:rPr>
                <w:rFonts w:hint="eastAsia" w:ascii="Times New Roman"/>
                <w:sz w:val="21"/>
                <w:szCs w:val="21"/>
              </w:rPr>
              <w:t xml:space="preserve">0.1801 </w:t>
            </w:r>
          </w:p>
        </w:tc>
        <w:tc>
          <w:tcPr>
            <w:tcW w:w="1467" w:type="dxa"/>
            <w:vAlign w:val="center"/>
          </w:tcPr>
          <w:p w14:paraId="63378918">
            <w:pPr>
              <w:jc w:val="center"/>
              <w:rPr>
                <w:rFonts w:ascii="Times New Roman"/>
                <w:sz w:val="21"/>
                <w:szCs w:val="21"/>
              </w:rPr>
            </w:pPr>
            <w:r>
              <w:rPr>
                <w:rFonts w:hint="eastAsia" w:ascii="Times New Roman"/>
                <w:sz w:val="21"/>
                <w:szCs w:val="21"/>
              </w:rPr>
              <w:t>0.04</w:t>
            </w:r>
          </w:p>
        </w:tc>
        <w:tc>
          <w:tcPr>
            <w:tcW w:w="1383" w:type="dxa"/>
            <w:vAlign w:val="center"/>
          </w:tcPr>
          <w:p w14:paraId="215CB21D">
            <w:pPr>
              <w:jc w:val="center"/>
              <w:rPr>
                <w:rFonts w:ascii="Times New Roman"/>
                <w:sz w:val="21"/>
                <w:szCs w:val="21"/>
              </w:rPr>
            </w:pPr>
            <w:r>
              <w:rPr>
                <w:rFonts w:hint="eastAsia" w:ascii="Times New Roman"/>
                <w:sz w:val="21"/>
                <w:szCs w:val="21"/>
              </w:rPr>
              <w:t xml:space="preserve">0.0027 </w:t>
            </w:r>
          </w:p>
        </w:tc>
        <w:tc>
          <w:tcPr>
            <w:tcW w:w="1454" w:type="dxa"/>
            <w:vAlign w:val="center"/>
          </w:tcPr>
          <w:p w14:paraId="646DADA5">
            <w:pPr>
              <w:jc w:val="center"/>
              <w:rPr>
                <w:rFonts w:ascii="Times New Roman"/>
                <w:sz w:val="21"/>
                <w:szCs w:val="21"/>
              </w:rPr>
            </w:pPr>
            <w:r>
              <w:rPr>
                <w:rFonts w:hint="eastAsia" w:ascii="Times New Roman"/>
                <w:sz w:val="21"/>
                <w:szCs w:val="21"/>
              </w:rPr>
              <w:t>0</w:t>
            </w:r>
          </w:p>
        </w:tc>
      </w:tr>
      <w:tr w14:paraId="111824A5">
        <w:tblPrEx>
          <w:tblCellMar>
            <w:top w:w="0" w:type="dxa"/>
            <w:left w:w="108" w:type="dxa"/>
            <w:bottom w:w="0" w:type="dxa"/>
            <w:right w:w="108" w:type="dxa"/>
          </w:tblCellMar>
        </w:tblPrEx>
        <w:trPr>
          <w:trHeight w:val="168" w:hRule="atLeast"/>
        </w:trPr>
        <w:tc>
          <w:tcPr>
            <w:tcW w:w="2629" w:type="dxa"/>
            <w:vAlign w:val="center"/>
          </w:tcPr>
          <w:p w14:paraId="4FF0633D">
            <w:pPr>
              <w:jc w:val="center"/>
              <w:rPr>
                <w:rFonts w:ascii="Times New Roman"/>
                <w:sz w:val="21"/>
                <w:szCs w:val="21"/>
              </w:rPr>
            </w:pPr>
            <w:r>
              <w:rPr>
                <w:rFonts w:ascii="Times New Roman"/>
                <w:sz w:val="21"/>
                <w:szCs w:val="21"/>
              </w:rPr>
              <w:t>4000.0</w:t>
            </w:r>
          </w:p>
        </w:tc>
        <w:tc>
          <w:tcPr>
            <w:tcW w:w="1566" w:type="dxa"/>
            <w:vAlign w:val="center"/>
          </w:tcPr>
          <w:p w14:paraId="1157CF33">
            <w:pPr>
              <w:jc w:val="center"/>
              <w:rPr>
                <w:rFonts w:ascii="Times New Roman"/>
                <w:sz w:val="21"/>
                <w:szCs w:val="21"/>
              </w:rPr>
            </w:pPr>
            <w:r>
              <w:rPr>
                <w:rFonts w:hint="eastAsia" w:ascii="Times New Roman"/>
                <w:sz w:val="21"/>
                <w:szCs w:val="21"/>
              </w:rPr>
              <w:t xml:space="preserve">0.1497 </w:t>
            </w:r>
          </w:p>
        </w:tc>
        <w:tc>
          <w:tcPr>
            <w:tcW w:w="1467" w:type="dxa"/>
            <w:vAlign w:val="center"/>
          </w:tcPr>
          <w:p w14:paraId="69E00220">
            <w:pPr>
              <w:jc w:val="center"/>
              <w:rPr>
                <w:rFonts w:ascii="Times New Roman"/>
                <w:sz w:val="21"/>
                <w:szCs w:val="21"/>
              </w:rPr>
            </w:pPr>
            <w:r>
              <w:rPr>
                <w:rFonts w:hint="eastAsia" w:ascii="Times New Roman"/>
                <w:sz w:val="21"/>
                <w:szCs w:val="21"/>
              </w:rPr>
              <w:t>0.03</w:t>
            </w:r>
          </w:p>
        </w:tc>
        <w:tc>
          <w:tcPr>
            <w:tcW w:w="1383" w:type="dxa"/>
            <w:vAlign w:val="center"/>
          </w:tcPr>
          <w:p w14:paraId="683C77AC">
            <w:pPr>
              <w:jc w:val="center"/>
              <w:rPr>
                <w:rFonts w:ascii="Times New Roman"/>
                <w:sz w:val="21"/>
                <w:szCs w:val="21"/>
              </w:rPr>
            </w:pPr>
            <w:r>
              <w:rPr>
                <w:rFonts w:hint="eastAsia" w:ascii="Times New Roman"/>
                <w:sz w:val="21"/>
                <w:szCs w:val="21"/>
              </w:rPr>
              <w:t xml:space="preserve">0.0022 </w:t>
            </w:r>
          </w:p>
        </w:tc>
        <w:tc>
          <w:tcPr>
            <w:tcW w:w="1454" w:type="dxa"/>
            <w:vAlign w:val="center"/>
          </w:tcPr>
          <w:p w14:paraId="74139FBA">
            <w:pPr>
              <w:jc w:val="center"/>
              <w:rPr>
                <w:rFonts w:ascii="Times New Roman"/>
                <w:sz w:val="21"/>
                <w:szCs w:val="21"/>
              </w:rPr>
            </w:pPr>
            <w:r>
              <w:rPr>
                <w:rFonts w:hint="eastAsia" w:ascii="Times New Roman"/>
                <w:sz w:val="21"/>
                <w:szCs w:val="21"/>
              </w:rPr>
              <w:t>0</w:t>
            </w:r>
          </w:p>
        </w:tc>
      </w:tr>
      <w:tr w14:paraId="76380DA5">
        <w:tblPrEx>
          <w:tblCellMar>
            <w:top w:w="0" w:type="dxa"/>
            <w:left w:w="108" w:type="dxa"/>
            <w:bottom w:w="0" w:type="dxa"/>
            <w:right w:w="108" w:type="dxa"/>
          </w:tblCellMar>
        </w:tblPrEx>
        <w:trPr>
          <w:trHeight w:val="168" w:hRule="atLeast"/>
        </w:trPr>
        <w:tc>
          <w:tcPr>
            <w:tcW w:w="2629" w:type="dxa"/>
            <w:vAlign w:val="center"/>
          </w:tcPr>
          <w:p w14:paraId="56A6C27A">
            <w:pPr>
              <w:jc w:val="center"/>
              <w:rPr>
                <w:rFonts w:ascii="Times New Roman"/>
                <w:sz w:val="21"/>
                <w:szCs w:val="21"/>
              </w:rPr>
            </w:pPr>
            <w:r>
              <w:rPr>
                <w:rFonts w:ascii="Times New Roman"/>
                <w:sz w:val="21"/>
                <w:szCs w:val="21"/>
              </w:rPr>
              <w:t>4500.0</w:t>
            </w:r>
          </w:p>
        </w:tc>
        <w:tc>
          <w:tcPr>
            <w:tcW w:w="1566" w:type="dxa"/>
            <w:vAlign w:val="center"/>
          </w:tcPr>
          <w:p w14:paraId="0A723622">
            <w:pPr>
              <w:jc w:val="center"/>
              <w:rPr>
                <w:rFonts w:ascii="Times New Roman"/>
                <w:sz w:val="21"/>
                <w:szCs w:val="21"/>
              </w:rPr>
            </w:pPr>
            <w:r>
              <w:rPr>
                <w:rFonts w:hint="eastAsia" w:ascii="Times New Roman"/>
                <w:sz w:val="21"/>
                <w:szCs w:val="21"/>
              </w:rPr>
              <w:t xml:space="preserve">0.1270 </w:t>
            </w:r>
          </w:p>
        </w:tc>
        <w:tc>
          <w:tcPr>
            <w:tcW w:w="1467" w:type="dxa"/>
            <w:vAlign w:val="center"/>
          </w:tcPr>
          <w:p w14:paraId="7C553A87">
            <w:pPr>
              <w:jc w:val="center"/>
              <w:rPr>
                <w:rFonts w:ascii="Times New Roman"/>
                <w:sz w:val="21"/>
                <w:szCs w:val="21"/>
              </w:rPr>
            </w:pPr>
            <w:r>
              <w:rPr>
                <w:rFonts w:hint="eastAsia" w:ascii="Times New Roman"/>
                <w:sz w:val="21"/>
                <w:szCs w:val="21"/>
              </w:rPr>
              <w:t>0.03</w:t>
            </w:r>
          </w:p>
        </w:tc>
        <w:tc>
          <w:tcPr>
            <w:tcW w:w="1383" w:type="dxa"/>
            <w:vAlign w:val="center"/>
          </w:tcPr>
          <w:p w14:paraId="270ACBBF">
            <w:pPr>
              <w:jc w:val="center"/>
              <w:rPr>
                <w:rFonts w:ascii="Times New Roman"/>
                <w:sz w:val="21"/>
                <w:szCs w:val="21"/>
              </w:rPr>
            </w:pPr>
            <w:r>
              <w:rPr>
                <w:rFonts w:hint="eastAsia" w:ascii="Times New Roman"/>
                <w:sz w:val="21"/>
                <w:szCs w:val="21"/>
              </w:rPr>
              <w:t xml:space="preserve">0.0019 </w:t>
            </w:r>
          </w:p>
        </w:tc>
        <w:tc>
          <w:tcPr>
            <w:tcW w:w="1454" w:type="dxa"/>
            <w:vAlign w:val="center"/>
          </w:tcPr>
          <w:p w14:paraId="0DD46B16">
            <w:pPr>
              <w:jc w:val="center"/>
              <w:rPr>
                <w:rFonts w:ascii="Times New Roman"/>
                <w:sz w:val="21"/>
                <w:szCs w:val="21"/>
              </w:rPr>
            </w:pPr>
            <w:r>
              <w:rPr>
                <w:rFonts w:hint="eastAsia" w:ascii="Times New Roman"/>
                <w:sz w:val="21"/>
                <w:szCs w:val="21"/>
              </w:rPr>
              <w:t>0</w:t>
            </w:r>
          </w:p>
        </w:tc>
      </w:tr>
      <w:tr w14:paraId="1E402375">
        <w:tblPrEx>
          <w:tblCellMar>
            <w:top w:w="0" w:type="dxa"/>
            <w:left w:w="108" w:type="dxa"/>
            <w:bottom w:w="0" w:type="dxa"/>
            <w:right w:w="108" w:type="dxa"/>
          </w:tblCellMar>
        </w:tblPrEx>
        <w:trPr>
          <w:trHeight w:val="168" w:hRule="atLeast"/>
        </w:trPr>
        <w:tc>
          <w:tcPr>
            <w:tcW w:w="2629" w:type="dxa"/>
            <w:vAlign w:val="center"/>
          </w:tcPr>
          <w:p w14:paraId="19795D37">
            <w:pPr>
              <w:jc w:val="center"/>
              <w:rPr>
                <w:rFonts w:ascii="Times New Roman"/>
                <w:sz w:val="21"/>
                <w:szCs w:val="21"/>
              </w:rPr>
            </w:pPr>
            <w:r>
              <w:rPr>
                <w:rFonts w:ascii="Times New Roman"/>
                <w:sz w:val="21"/>
                <w:szCs w:val="21"/>
              </w:rPr>
              <w:t>5000.0</w:t>
            </w:r>
          </w:p>
        </w:tc>
        <w:tc>
          <w:tcPr>
            <w:tcW w:w="1566" w:type="dxa"/>
            <w:vAlign w:val="center"/>
          </w:tcPr>
          <w:p w14:paraId="68D050EF">
            <w:pPr>
              <w:jc w:val="center"/>
              <w:rPr>
                <w:rFonts w:ascii="Times New Roman"/>
                <w:sz w:val="21"/>
                <w:szCs w:val="21"/>
              </w:rPr>
            </w:pPr>
            <w:r>
              <w:rPr>
                <w:rFonts w:hint="eastAsia" w:ascii="Times New Roman"/>
                <w:sz w:val="21"/>
                <w:szCs w:val="21"/>
              </w:rPr>
              <w:t xml:space="preserve">0.1097 </w:t>
            </w:r>
          </w:p>
        </w:tc>
        <w:tc>
          <w:tcPr>
            <w:tcW w:w="1467" w:type="dxa"/>
            <w:vAlign w:val="center"/>
          </w:tcPr>
          <w:p w14:paraId="5CD03AD7">
            <w:pPr>
              <w:jc w:val="center"/>
              <w:rPr>
                <w:rFonts w:ascii="Times New Roman"/>
                <w:sz w:val="21"/>
                <w:szCs w:val="21"/>
              </w:rPr>
            </w:pPr>
            <w:r>
              <w:rPr>
                <w:rFonts w:hint="eastAsia" w:ascii="Times New Roman"/>
                <w:sz w:val="21"/>
                <w:szCs w:val="21"/>
              </w:rPr>
              <w:t>0.02</w:t>
            </w:r>
          </w:p>
        </w:tc>
        <w:tc>
          <w:tcPr>
            <w:tcW w:w="1383" w:type="dxa"/>
            <w:vAlign w:val="center"/>
          </w:tcPr>
          <w:p w14:paraId="1514AE34">
            <w:pPr>
              <w:jc w:val="center"/>
              <w:rPr>
                <w:rFonts w:ascii="Times New Roman"/>
                <w:sz w:val="21"/>
                <w:szCs w:val="21"/>
              </w:rPr>
            </w:pPr>
            <w:r>
              <w:rPr>
                <w:rFonts w:hint="eastAsia" w:ascii="Times New Roman"/>
                <w:sz w:val="21"/>
                <w:szCs w:val="21"/>
              </w:rPr>
              <w:t xml:space="preserve">0.0017 </w:t>
            </w:r>
          </w:p>
        </w:tc>
        <w:tc>
          <w:tcPr>
            <w:tcW w:w="1454" w:type="dxa"/>
            <w:vAlign w:val="center"/>
          </w:tcPr>
          <w:p w14:paraId="56DB67EE">
            <w:pPr>
              <w:jc w:val="center"/>
              <w:rPr>
                <w:rFonts w:ascii="Times New Roman"/>
                <w:sz w:val="21"/>
                <w:szCs w:val="21"/>
              </w:rPr>
            </w:pPr>
            <w:r>
              <w:rPr>
                <w:rFonts w:hint="eastAsia" w:ascii="Times New Roman"/>
                <w:sz w:val="21"/>
                <w:szCs w:val="21"/>
              </w:rPr>
              <w:t>0</w:t>
            </w:r>
          </w:p>
        </w:tc>
      </w:tr>
      <w:tr w14:paraId="388F748C">
        <w:tblPrEx>
          <w:tblCellMar>
            <w:top w:w="0" w:type="dxa"/>
            <w:left w:w="108" w:type="dxa"/>
            <w:bottom w:w="0" w:type="dxa"/>
            <w:right w:w="108" w:type="dxa"/>
          </w:tblCellMar>
        </w:tblPrEx>
        <w:trPr>
          <w:trHeight w:val="168" w:hRule="atLeast"/>
        </w:trPr>
        <w:tc>
          <w:tcPr>
            <w:tcW w:w="2629" w:type="dxa"/>
            <w:vAlign w:val="center"/>
          </w:tcPr>
          <w:p w14:paraId="57A98AFE">
            <w:pPr>
              <w:jc w:val="center"/>
              <w:rPr>
                <w:rFonts w:ascii="Times New Roman"/>
                <w:sz w:val="21"/>
                <w:szCs w:val="21"/>
              </w:rPr>
            </w:pPr>
            <w:r>
              <w:rPr>
                <w:rFonts w:ascii="Times New Roman"/>
                <w:sz w:val="21"/>
                <w:szCs w:val="21"/>
              </w:rPr>
              <w:t>10000.0</w:t>
            </w:r>
          </w:p>
        </w:tc>
        <w:tc>
          <w:tcPr>
            <w:tcW w:w="1566" w:type="dxa"/>
            <w:vAlign w:val="center"/>
          </w:tcPr>
          <w:p w14:paraId="2AC86640">
            <w:pPr>
              <w:jc w:val="center"/>
              <w:rPr>
                <w:rFonts w:ascii="Times New Roman"/>
                <w:sz w:val="21"/>
                <w:szCs w:val="21"/>
              </w:rPr>
            </w:pPr>
            <w:r>
              <w:rPr>
                <w:rFonts w:hint="eastAsia" w:ascii="Times New Roman"/>
                <w:sz w:val="21"/>
                <w:szCs w:val="21"/>
              </w:rPr>
              <w:t xml:space="preserve">0.0452 </w:t>
            </w:r>
          </w:p>
        </w:tc>
        <w:tc>
          <w:tcPr>
            <w:tcW w:w="1467" w:type="dxa"/>
            <w:vAlign w:val="center"/>
          </w:tcPr>
          <w:p w14:paraId="7A12087F">
            <w:pPr>
              <w:jc w:val="center"/>
              <w:rPr>
                <w:rFonts w:ascii="Times New Roman"/>
                <w:sz w:val="21"/>
                <w:szCs w:val="21"/>
              </w:rPr>
            </w:pPr>
            <w:r>
              <w:rPr>
                <w:rFonts w:hint="eastAsia" w:ascii="Times New Roman"/>
                <w:sz w:val="21"/>
                <w:szCs w:val="21"/>
              </w:rPr>
              <w:t>0.01</w:t>
            </w:r>
          </w:p>
        </w:tc>
        <w:tc>
          <w:tcPr>
            <w:tcW w:w="1383" w:type="dxa"/>
            <w:vAlign w:val="center"/>
          </w:tcPr>
          <w:p w14:paraId="440DEFEA">
            <w:pPr>
              <w:jc w:val="center"/>
              <w:rPr>
                <w:rFonts w:ascii="Times New Roman"/>
                <w:sz w:val="21"/>
                <w:szCs w:val="21"/>
              </w:rPr>
            </w:pPr>
            <w:r>
              <w:rPr>
                <w:rFonts w:hint="eastAsia" w:ascii="Times New Roman"/>
                <w:sz w:val="21"/>
                <w:szCs w:val="21"/>
              </w:rPr>
              <w:t xml:space="preserve">0.0007 </w:t>
            </w:r>
          </w:p>
        </w:tc>
        <w:tc>
          <w:tcPr>
            <w:tcW w:w="1454" w:type="dxa"/>
            <w:vAlign w:val="center"/>
          </w:tcPr>
          <w:p w14:paraId="20B37041">
            <w:pPr>
              <w:jc w:val="center"/>
              <w:rPr>
                <w:rFonts w:ascii="Times New Roman"/>
                <w:sz w:val="21"/>
                <w:szCs w:val="21"/>
              </w:rPr>
            </w:pPr>
            <w:r>
              <w:rPr>
                <w:rFonts w:hint="eastAsia" w:ascii="Times New Roman"/>
                <w:sz w:val="21"/>
                <w:szCs w:val="21"/>
              </w:rPr>
              <w:t>0</w:t>
            </w:r>
          </w:p>
        </w:tc>
      </w:tr>
      <w:tr w14:paraId="6C34E870">
        <w:tblPrEx>
          <w:tblCellMar>
            <w:top w:w="0" w:type="dxa"/>
            <w:left w:w="108" w:type="dxa"/>
            <w:bottom w:w="0" w:type="dxa"/>
            <w:right w:w="108" w:type="dxa"/>
          </w:tblCellMar>
        </w:tblPrEx>
        <w:trPr>
          <w:trHeight w:val="168" w:hRule="atLeast"/>
        </w:trPr>
        <w:tc>
          <w:tcPr>
            <w:tcW w:w="2629" w:type="dxa"/>
            <w:vAlign w:val="center"/>
          </w:tcPr>
          <w:p w14:paraId="6343A57E">
            <w:pPr>
              <w:jc w:val="center"/>
              <w:rPr>
                <w:rFonts w:ascii="Times New Roman"/>
                <w:sz w:val="21"/>
                <w:szCs w:val="21"/>
              </w:rPr>
            </w:pPr>
            <w:r>
              <w:rPr>
                <w:rFonts w:ascii="Times New Roman"/>
                <w:sz w:val="21"/>
                <w:szCs w:val="21"/>
              </w:rPr>
              <w:t>11000.0</w:t>
            </w:r>
          </w:p>
        </w:tc>
        <w:tc>
          <w:tcPr>
            <w:tcW w:w="1566" w:type="dxa"/>
            <w:vAlign w:val="center"/>
          </w:tcPr>
          <w:p w14:paraId="647BB0C0">
            <w:pPr>
              <w:jc w:val="center"/>
              <w:rPr>
                <w:rFonts w:ascii="Times New Roman"/>
                <w:sz w:val="21"/>
                <w:szCs w:val="21"/>
              </w:rPr>
            </w:pPr>
            <w:r>
              <w:rPr>
                <w:rFonts w:hint="eastAsia" w:ascii="Times New Roman"/>
                <w:sz w:val="21"/>
                <w:szCs w:val="21"/>
              </w:rPr>
              <w:t xml:space="preserve">0.0399 </w:t>
            </w:r>
          </w:p>
        </w:tc>
        <w:tc>
          <w:tcPr>
            <w:tcW w:w="1467" w:type="dxa"/>
            <w:vAlign w:val="center"/>
          </w:tcPr>
          <w:p w14:paraId="39B91BD4">
            <w:pPr>
              <w:jc w:val="center"/>
              <w:rPr>
                <w:rFonts w:ascii="Times New Roman"/>
                <w:sz w:val="21"/>
                <w:szCs w:val="21"/>
              </w:rPr>
            </w:pPr>
            <w:r>
              <w:rPr>
                <w:rFonts w:hint="eastAsia" w:ascii="Times New Roman"/>
                <w:sz w:val="21"/>
                <w:szCs w:val="21"/>
              </w:rPr>
              <w:t>0.01</w:t>
            </w:r>
          </w:p>
        </w:tc>
        <w:tc>
          <w:tcPr>
            <w:tcW w:w="1383" w:type="dxa"/>
            <w:vAlign w:val="center"/>
          </w:tcPr>
          <w:p w14:paraId="66D62FCF">
            <w:pPr>
              <w:jc w:val="center"/>
              <w:rPr>
                <w:rFonts w:ascii="Times New Roman"/>
                <w:sz w:val="21"/>
                <w:szCs w:val="21"/>
              </w:rPr>
            </w:pPr>
            <w:r>
              <w:rPr>
                <w:rFonts w:hint="eastAsia" w:ascii="Times New Roman"/>
                <w:sz w:val="21"/>
                <w:szCs w:val="21"/>
              </w:rPr>
              <w:t xml:space="preserve">0.0006 </w:t>
            </w:r>
          </w:p>
        </w:tc>
        <w:tc>
          <w:tcPr>
            <w:tcW w:w="1454" w:type="dxa"/>
            <w:vAlign w:val="center"/>
          </w:tcPr>
          <w:p w14:paraId="2D8E1944">
            <w:pPr>
              <w:jc w:val="center"/>
              <w:rPr>
                <w:rFonts w:ascii="Times New Roman"/>
                <w:sz w:val="21"/>
                <w:szCs w:val="21"/>
              </w:rPr>
            </w:pPr>
            <w:r>
              <w:rPr>
                <w:rFonts w:hint="eastAsia" w:ascii="Times New Roman"/>
                <w:sz w:val="21"/>
                <w:szCs w:val="21"/>
              </w:rPr>
              <w:t>0</w:t>
            </w:r>
          </w:p>
        </w:tc>
      </w:tr>
      <w:tr w14:paraId="4C1A2821">
        <w:tblPrEx>
          <w:tblCellMar>
            <w:top w:w="0" w:type="dxa"/>
            <w:left w:w="108" w:type="dxa"/>
            <w:bottom w:w="0" w:type="dxa"/>
            <w:right w:w="108" w:type="dxa"/>
          </w:tblCellMar>
        </w:tblPrEx>
        <w:trPr>
          <w:trHeight w:val="168" w:hRule="atLeast"/>
        </w:trPr>
        <w:tc>
          <w:tcPr>
            <w:tcW w:w="2629" w:type="dxa"/>
            <w:vAlign w:val="center"/>
          </w:tcPr>
          <w:p w14:paraId="28D82039">
            <w:pPr>
              <w:jc w:val="center"/>
              <w:rPr>
                <w:rFonts w:ascii="Times New Roman"/>
                <w:sz w:val="21"/>
                <w:szCs w:val="21"/>
              </w:rPr>
            </w:pPr>
            <w:r>
              <w:rPr>
                <w:rFonts w:ascii="Times New Roman"/>
                <w:sz w:val="21"/>
                <w:szCs w:val="21"/>
              </w:rPr>
              <w:t>12000.0</w:t>
            </w:r>
          </w:p>
        </w:tc>
        <w:tc>
          <w:tcPr>
            <w:tcW w:w="1566" w:type="dxa"/>
            <w:vAlign w:val="center"/>
          </w:tcPr>
          <w:p w14:paraId="30339EB9">
            <w:pPr>
              <w:jc w:val="center"/>
              <w:rPr>
                <w:rFonts w:ascii="Times New Roman"/>
                <w:sz w:val="21"/>
                <w:szCs w:val="21"/>
              </w:rPr>
            </w:pPr>
            <w:r>
              <w:rPr>
                <w:rFonts w:hint="eastAsia" w:ascii="Times New Roman"/>
                <w:sz w:val="21"/>
                <w:szCs w:val="21"/>
              </w:rPr>
              <w:t xml:space="preserve">0.0355 </w:t>
            </w:r>
          </w:p>
        </w:tc>
        <w:tc>
          <w:tcPr>
            <w:tcW w:w="1467" w:type="dxa"/>
            <w:vAlign w:val="center"/>
          </w:tcPr>
          <w:p w14:paraId="48F41556">
            <w:pPr>
              <w:jc w:val="center"/>
              <w:rPr>
                <w:rFonts w:ascii="Times New Roman"/>
                <w:sz w:val="21"/>
                <w:szCs w:val="21"/>
              </w:rPr>
            </w:pPr>
            <w:r>
              <w:rPr>
                <w:rFonts w:hint="eastAsia" w:ascii="Times New Roman"/>
                <w:sz w:val="21"/>
                <w:szCs w:val="21"/>
              </w:rPr>
              <w:t>0.01</w:t>
            </w:r>
          </w:p>
        </w:tc>
        <w:tc>
          <w:tcPr>
            <w:tcW w:w="1383" w:type="dxa"/>
            <w:vAlign w:val="center"/>
          </w:tcPr>
          <w:p w14:paraId="21B9C885">
            <w:pPr>
              <w:jc w:val="center"/>
              <w:rPr>
                <w:rFonts w:ascii="Times New Roman"/>
                <w:sz w:val="21"/>
                <w:szCs w:val="21"/>
              </w:rPr>
            </w:pPr>
            <w:r>
              <w:rPr>
                <w:rFonts w:hint="eastAsia" w:ascii="Times New Roman"/>
                <w:sz w:val="21"/>
                <w:szCs w:val="21"/>
              </w:rPr>
              <w:t xml:space="preserve">0.0005 </w:t>
            </w:r>
          </w:p>
        </w:tc>
        <w:tc>
          <w:tcPr>
            <w:tcW w:w="1454" w:type="dxa"/>
            <w:vAlign w:val="center"/>
          </w:tcPr>
          <w:p w14:paraId="3234B7B0">
            <w:pPr>
              <w:jc w:val="center"/>
              <w:rPr>
                <w:rFonts w:ascii="Times New Roman"/>
                <w:sz w:val="21"/>
                <w:szCs w:val="21"/>
              </w:rPr>
            </w:pPr>
            <w:r>
              <w:rPr>
                <w:rFonts w:hint="eastAsia" w:ascii="Times New Roman"/>
                <w:sz w:val="21"/>
                <w:szCs w:val="21"/>
              </w:rPr>
              <w:t>0</w:t>
            </w:r>
          </w:p>
        </w:tc>
      </w:tr>
      <w:tr w14:paraId="288F035C">
        <w:tblPrEx>
          <w:tblCellMar>
            <w:top w:w="0" w:type="dxa"/>
            <w:left w:w="108" w:type="dxa"/>
            <w:bottom w:w="0" w:type="dxa"/>
            <w:right w:w="108" w:type="dxa"/>
          </w:tblCellMar>
        </w:tblPrEx>
        <w:trPr>
          <w:trHeight w:val="168" w:hRule="atLeast"/>
        </w:trPr>
        <w:tc>
          <w:tcPr>
            <w:tcW w:w="2629" w:type="dxa"/>
            <w:vAlign w:val="center"/>
          </w:tcPr>
          <w:p w14:paraId="28E96BF0">
            <w:pPr>
              <w:jc w:val="center"/>
              <w:rPr>
                <w:rFonts w:ascii="Times New Roman"/>
                <w:sz w:val="21"/>
                <w:szCs w:val="21"/>
              </w:rPr>
            </w:pPr>
            <w:r>
              <w:rPr>
                <w:rFonts w:ascii="Times New Roman"/>
                <w:sz w:val="21"/>
                <w:szCs w:val="21"/>
              </w:rPr>
              <w:t>13000.0</w:t>
            </w:r>
          </w:p>
        </w:tc>
        <w:tc>
          <w:tcPr>
            <w:tcW w:w="1566" w:type="dxa"/>
            <w:vAlign w:val="center"/>
          </w:tcPr>
          <w:p w14:paraId="781E74D3">
            <w:pPr>
              <w:jc w:val="center"/>
              <w:rPr>
                <w:rFonts w:ascii="Times New Roman"/>
                <w:sz w:val="21"/>
                <w:szCs w:val="21"/>
              </w:rPr>
            </w:pPr>
            <w:r>
              <w:rPr>
                <w:rFonts w:hint="eastAsia" w:ascii="Times New Roman"/>
                <w:sz w:val="21"/>
                <w:szCs w:val="21"/>
              </w:rPr>
              <w:t xml:space="preserve">0.0318 </w:t>
            </w:r>
          </w:p>
        </w:tc>
        <w:tc>
          <w:tcPr>
            <w:tcW w:w="1467" w:type="dxa"/>
            <w:vAlign w:val="center"/>
          </w:tcPr>
          <w:p w14:paraId="11D80177">
            <w:pPr>
              <w:jc w:val="center"/>
              <w:rPr>
                <w:rFonts w:ascii="Times New Roman"/>
                <w:sz w:val="21"/>
                <w:szCs w:val="21"/>
              </w:rPr>
            </w:pPr>
            <w:r>
              <w:rPr>
                <w:rFonts w:hint="eastAsia" w:ascii="Times New Roman"/>
                <w:sz w:val="21"/>
                <w:szCs w:val="21"/>
              </w:rPr>
              <w:t>0.01</w:t>
            </w:r>
          </w:p>
        </w:tc>
        <w:tc>
          <w:tcPr>
            <w:tcW w:w="1383" w:type="dxa"/>
            <w:vAlign w:val="center"/>
          </w:tcPr>
          <w:p w14:paraId="1F9750A4">
            <w:pPr>
              <w:jc w:val="center"/>
              <w:rPr>
                <w:rFonts w:ascii="Times New Roman"/>
                <w:sz w:val="21"/>
                <w:szCs w:val="21"/>
              </w:rPr>
            </w:pPr>
            <w:r>
              <w:rPr>
                <w:rFonts w:hint="eastAsia" w:ascii="Times New Roman"/>
                <w:sz w:val="21"/>
                <w:szCs w:val="21"/>
              </w:rPr>
              <w:t xml:space="preserve">0.0005 </w:t>
            </w:r>
          </w:p>
        </w:tc>
        <w:tc>
          <w:tcPr>
            <w:tcW w:w="1454" w:type="dxa"/>
            <w:vAlign w:val="center"/>
          </w:tcPr>
          <w:p w14:paraId="67FD4166">
            <w:pPr>
              <w:jc w:val="center"/>
              <w:rPr>
                <w:rFonts w:ascii="Times New Roman"/>
                <w:sz w:val="21"/>
                <w:szCs w:val="21"/>
              </w:rPr>
            </w:pPr>
            <w:r>
              <w:rPr>
                <w:rFonts w:hint="eastAsia" w:ascii="Times New Roman"/>
                <w:sz w:val="21"/>
                <w:szCs w:val="21"/>
              </w:rPr>
              <w:t>0</w:t>
            </w:r>
          </w:p>
        </w:tc>
      </w:tr>
      <w:tr w14:paraId="2ECEB1AA">
        <w:tblPrEx>
          <w:tblCellMar>
            <w:top w:w="0" w:type="dxa"/>
            <w:left w:w="108" w:type="dxa"/>
            <w:bottom w:w="0" w:type="dxa"/>
            <w:right w:w="108" w:type="dxa"/>
          </w:tblCellMar>
        </w:tblPrEx>
        <w:trPr>
          <w:trHeight w:val="168" w:hRule="atLeast"/>
        </w:trPr>
        <w:tc>
          <w:tcPr>
            <w:tcW w:w="2629" w:type="dxa"/>
            <w:vAlign w:val="center"/>
          </w:tcPr>
          <w:p w14:paraId="6BAD015F">
            <w:pPr>
              <w:jc w:val="center"/>
              <w:rPr>
                <w:rFonts w:ascii="Times New Roman"/>
                <w:sz w:val="21"/>
                <w:szCs w:val="21"/>
              </w:rPr>
            </w:pPr>
            <w:r>
              <w:rPr>
                <w:rFonts w:ascii="Times New Roman"/>
                <w:sz w:val="21"/>
                <w:szCs w:val="21"/>
              </w:rPr>
              <w:t>14000.0</w:t>
            </w:r>
          </w:p>
        </w:tc>
        <w:tc>
          <w:tcPr>
            <w:tcW w:w="1566" w:type="dxa"/>
            <w:vAlign w:val="center"/>
          </w:tcPr>
          <w:p w14:paraId="7C1BB182">
            <w:pPr>
              <w:jc w:val="center"/>
              <w:rPr>
                <w:rFonts w:ascii="Times New Roman"/>
                <w:sz w:val="21"/>
                <w:szCs w:val="21"/>
              </w:rPr>
            </w:pPr>
            <w:r>
              <w:rPr>
                <w:rFonts w:hint="eastAsia" w:ascii="Times New Roman"/>
                <w:sz w:val="21"/>
                <w:szCs w:val="21"/>
              </w:rPr>
              <w:t xml:space="preserve">0.0288 </w:t>
            </w:r>
          </w:p>
        </w:tc>
        <w:tc>
          <w:tcPr>
            <w:tcW w:w="1467" w:type="dxa"/>
            <w:vAlign w:val="center"/>
          </w:tcPr>
          <w:p w14:paraId="21446DAE">
            <w:pPr>
              <w:jc w:val="center"/>
              <w:rPr>
                <w:rFonts w:ascii="Times New Roman"/>
                <w:sz w:val="21"/>
                <w:szCs w:val="21"/>
              </w:rPr>
            </w:pPr>
            <w:r>
              <w:rPr>
                <w:rFonts w:hint="eastAsia" w:ascii="Times New Roman"/>
                <w:sz w:val="21"/>
                <w:szCs w:val="21"/>
              </w:rPr>
              <w:t>0.01</w:t>
            </w:r>
          </w:p>
        </w:tc>
        <w:tc>
          <w:tcPr>
            <w:tcW w:w="1383" w:type="dxa"/>
            <w:vAlign w:val="center"/>
          </w:tcPr>
          <w:p w14:paraId="6C86F559">
            <w:pPr>
              <w:jc w:val="center"/>
              <w:rPr>
                <w:rFonts w:ascii="Times New Roman"/>
                <w:sz w:val="21"/>
                <w:szCs w:val="21"/>
              </w:rPr>
            </w:pPr>
            <w:r>
              <w:rPr>
                <w:rFonts w:hint="eastAsia" w:ascii="Times New Roman"/>
                <w:sz w:val="21"/>
                <w:szCs w:val="21"/>
              </w:rPr>
              <w:t xml:space="preserve">0.0004 </w:t>
            </w:r>
          </w:p>
        </w:tc>
        <w:tc>
          <w:tcPr>
            <w:tcW w:w="1454" w:type="dxa"/>
            <w:vAlign w:val="center"/>
          </w:tcPr>
          <w:p w14:paraId="7A7EAD25">
            <w:pPr>
              <w:jc w:val="center"/>
              <w:rPr>
                <w:rFonts w:ascii="Times New Roman"/>
                <w:sz w:val="21"/>
                <w:szCs w:val="21"/>
              </w:rPr>
            </w:pPr>
            <w:r>
              <w:rPr>
                <w:rFonts w:hint="eastAsia" w:ascii="Times New Roman"/>
                <w:sz w:val="21"/>
                <w:szCs w:val="21"/>
              </w:rPr>
              <w:t>0</w:t>
            </w:r>
          </w:p>
        </w:tc>
      </w:tr>
      <w:tr w14:paraId="10D24C31">
        <w:tblPrEx>
          <w:tblCellMar>
            <w:top w:w="0" w:type="dxa"/>
            <w:left w:w="108" w:type="dxa"/>
            <w:bottom w:w="0" w:type="dxa"/>
            <w:right w:w="108" w:type="dxa"/>
          </w:tblCellMar>
        </w:tblPrEx>
        <w:trPr>
          <w:trHeight w:val="168" w:hRule="atLeast"/>
        </w:trPr>
        <w:tc>
          <w:tcPr>
            <w:tcW w:w="2629" w:type="dxa"/>
            <w:vAlign w:val="center"/>
          </w:tcPr>
          <w:p w14:paraId="63FA8701">
            <w:pPr>
              <w:jc w:val="center"/>
              <w:rPr>
                <w:rFonts w:ascii="Times New Roman"/>
                <w:sz w:val="21"/>
                <w:szCs w:val="21"/>
              </w:rPr>
            </w:pPr>
            <w:r>
              <w:rPr>
                <w:rFonts w:ascii="Times New Roman"/>
                <w:sz w:val="21"/>
                <w:szCs w:val="21"/>
              </w:rPr>
              <w:t>15000.0</w:t>
            </w:r>
          </w:p>
        </w:tc>
        <w:tc>
          <w:tcPr>
            <w:tcW w:w="1566" w:type="dxa"/>
            <w:vAlign w:val="center"/>
          </w:tcPr>
          <w:p w14:paraId="38ECBD56">
            <w:pPr>
              <w:jc w:val="center"/>
              <w:rPr>
                <w:rFonts w:ascii="Times New Roman"/>
                <w:sz w:val="21"/>
                <w:szCs w:val="21"/>
              </w:rPr>
            </w:pPr>
            <w:r>
              <w:rPr>
                <w:rFonts w:hint="eastAsia" w:ascii="Times New Roman"/>
                <w:sz w:val="21"/>
                <w:szCs w:val="21"/>
              </w:rPr>
              <w:t xml:space="preserve">0.0262 </w:t>
            </w:r>
          </w:p>
        </w:tc>
        <w:tc>
          <w:tcPr>
            <w:tcW w:w="1467" w:type="dxa"/>
            <w:vAlign w:val="center"/>
          </w:tcPr>
          <w:p w14:paraId="48650003">
            <w:pPr>
              <w:jc w:val="center"/>
              <w:rPr>
                <w:rFonts w:ascii="Times New Roman"/>
                <w:sz w:val="21"/>
                <w:szCs w:val="21"/>
              </w:rPr>
            </w:pPr>
            <w:r>
              <w:rPr>
                <w:rFonts w:hint="eastAsia" w:ascii="Times New Roman"/>
                <w:sz w:val="21"/>
                <w:szCs w:val="21"/>
              </w:rPr>
              <w:t>0.01</w:t>
            </w:r>
          </w:p>
        </w:tc>
        <w:tc>
          <w:tcPr>
            <w:tcW w:w="1383" w:type="dxa"/>
            <w:vAlign w:val="center"/>
          </w:tcPr>
          <w:p w14:paraId="045832A1">
            <w:pPr>
              <w:jc w:val="center"/>
              <w:rPr>
                <w:rFonts w:ascii="Times New Roman"/>
                <w:sz w:val="21"/>
                <w:szCs w:val="21"/>
              </w:rPr>
            </w:pPr>
            <w:r>
              <w:rPr>
                <w:rFonts w:hint="eastAsia" w:ascii="Times New Roman"/>
                <w:sz w:val="21"/>
                <w:szCs w:val="21"/>
              </w:rPr>
              <w:t xml:space="preserve">0.0004 </w:t>
            </w:r>
          </w:p>
        </w:tc>
        <w:tc>
          <w:tcPr>
            <w:tcW w:w="1454" w:type="dxa"/>
            <w:vAlign w:val="center"/>
          </w:tcPr>
          <w:p w14:paraId="35673784">
            <w:pPr>
              <w:jc w:val="center"/>
              <w:rPr>
                <w:rFonts w:ascii="Times New Roman"/>
                <w:sz w:val="21"/>
                <w:szCs w:val="21"/>
              </w:rPr>
            </w:pPr>
            <w:r>
              <w:rPr>
                <w:rFonts w:hint="eastAsia" w:ascii="Times New Roman"/>
                <w:sz w:val="21"/>
                <w:szCs w:val="21"/>
              </w:rPr>
              <w:t>0</w:t>
            </w:r>
          </w:p>
        </w:tc>
      </w:tr>
      <w:tr w14:paraId="162332B5">
        <w:tblPrEx>
          <w:tblCellMar>
            <w:top w:w="0" w:type="dxa"/>
            <w:left w:w="108" w:type="dxa"/>
            <w:bottom w:w="0" w:type="dxa"/>
            <w:right w:w="108" w:type="dxa"/>
          </w:tblCellMar>
        </w:tblPrEx>
        <w:trPr>
          <w:trHeight w:val="168" w:hRule="atLeast"/>
        </w:trPr>
        <w:tc>
          <w:tcPr>
            <w:tcW w:w="2629" w:type="dxa"/>
            <w:vAlign w:val="center"/>
          </w:tcPr>
          <w:p w14:paraId="7C595922">
            <w:pPr>
              <w:jc w:val="center"/>
              <w:rPr>
                <w:rFonts w:ascii="Times New Roman"/>
                <w:sz w:val="21"/>
                <w:szCs w:val="21"/>
              </w:rPr>
            </w:pPr>
            <w:r>
              <w:rPr>
                <w:rFonts w:ascii="Times New Roman"/>
                <w:sz w:val="21"/>
                <w:szCs w:val="21"/>
              </w:rPr>
              <w:t>20000.0</w:t>
            </w:r>
          </w:p>
        </w:tc>
        <w:tc>
          <w:tcPr>
            <w:tcW w:w="1566" w:type="dxa"/>
            <w:vAlign w:val="center"/>
          </w:tcPr>
          <w:p w14:paraId="0D1886BB">
            <w:pPr>
              <w:jc w:val="center"/>
              <w:rPr>
                <w:rFonts w:ascii="Times New Roman"/>
                <w:sz w:val="21"/>
                <w:szCs w:val="21"/>
              </w:rPr>
            </w:pPr>
            <w:r>
              <w:rPr>
                <w:rFonts w:hint="eastAsia" w:ascii="Times New Roman"/>
                <w:sz w:val="21"/>
                <w:szCs w:val="21"/>
              </w:rPr>
              <w:t xml:space="preserve">0.0175 </w:t>
            </w:r>
          </w:p>
        </w:tc>
        <w:tc>
          <w:tcPr>
            <w:tcW w:w="1467" w:type="dxa"/>
            <w:vAlign w:val="center"/>
          </w:tcPr>
          <w:p w14:paraId="70465732">
            <w:pPr>
              <w:jc w:val="center"/>
              <w:rPr>
                <w:rFonts w:ascii="Times New Roman"/>
                <w:sz w:val="21"/>
                <w:szCs w:val="21"/>
              </w:rPr>
            </w:pPr>
            <w:r>
              <w:rPr>
                <w:rFonts w:hint="eastAsia" w:ascii="Times New Roman"/>
                <w:sz w:val="21"/>
                <w:szCs w:val="21"/>
              </w:rPr>
              <w:t>0</w:t>
            </w:r>
          </w:p>
        </w:tc>
        <w:tc>
          <w:tcPr>
            <w:tcW w:w="1383" w:type="dxa"/>
            <w:vAlign w:val="center"/>
          </w:tcPr>
          <w:p w14:paraId="5E416FA4">
            <w:pPr>
              <w:jc w:val="center"/>
              <w:rPr>
                <w:rFonts w:ascii="Times New Roman"/>
                <w:sz w:val="21"/>
                <w:szCs w:val="21"/>
              </w:rPr>
            </w:pPr>
            <w:r>
              <w:rPr>
                <w:rFonts w:hint="eastAsia" w:ascii="Times New Roman"/>
                <w:sz w:val="21"/>
                <w:szCs w:val="21"/>
              </w:rPr>
              <w:t xml:space="preserve">0.0003 </w:t>
            </w:r>
          </w:p>
        </w:tc>
        <w:tc>
          <w:tcPr>
            <w:tcW w:w="1454" w:type="dxa"/>
            <w:vAlign w:val="center"/>
          </w:tcPr>
          <w:p w14:paraId="0AD84FA4">
            <w:pPr>
              <w:jc w:val="center"/>
              <w:rPr>
                <w:rFonts w:ascii="Times New Roman"/>
                <w:sz w:val="21"/>
                <w:szCs w:val="21"/>
              </w:rPr>
            </w:pPr>
            <w:r>
              <w:rPr>
                <w:rFonts w:hint="eastAsia" w:ascii="Times New Roman"/>
                <w:sz w:val="21"/>
                <w:szCs w:val="21"/>
              </w:rPr>
              <w:t>0</w:t>
            </w:r>
          </w:p>
        </w:tc>
      </w:tr>
      <w:tr w14:paraId="3921F369">
        <w:tblPrEx>
          <w:tblCellMar>
            <w:top w:w="0" w:type="dxa"/>
            <w:left w:w="108" w:type="dxa"/>
            <w:bottom w:w="0" w:type="dxa"/>
            <w:right w:w="108" w:type="dxa"/>
          </w:tblCellMar>
        </w:tblPrEx>
        <w:trPr>
          <w:trHeight w:val="168" w:hRule="atLeast"/>
        </w:trPr>
        <w:tc>
          <w:tcPr>
            <w:tcW w:w="2629" w:type="dxa"/>
            <w:vAlign w:val="center"/>
          </w:tcPr>
          <w:p w14:paraId="0428A50B">
            <w:pPr>
              <w:jc w:val="center"/>
              <w:rPr>
                <w:rFonts w:ascii="Times New Roman"/>
                <w:sz w:val="21"/>
                <w:szCs w:val="21"/>
              </w:rPr>
            </w:pPr>
            <w:r>
              <w:rPr>
                <w:rFonts w:ascii="Times New Roman"/>
                <w:sz w:val="21"/>
                <w:szCs w:val="21"/>
              </w:rPr>
              <w:t>25000.0</w:t>
            </w:r>
          </w:p>
        </w:tc>
        <w:tc>
          <w:tcPr>
            <w:tcW w:w="1566" w:type="dxa"/>
            <w:vAlign w:val="center"/>
          </w:tcPr>
          <w:p w14:paraId="04D2CF45">
            <w:pPr>
              <w:jc w:val="center"/>
              <w:rPr>
                <w:rFonts w:ascii="Times New Roman"/>
                <w:sz w:val="21"/>
                <w:szCs w:val="21"/>
              </w:rPr>
            </w:pPr>
            <w:r>
              <w:rPr>
                <w:rFonts w:hint="eastAsia" w:ascii="Times New Roman"/>
                <w:sz w:val="21"/>
                <w:szCs w:val="21"/>
              </w:rPr>
              <w:t xml:space="preserve">0.0127 </w:t>
            </w:r>
          </w:p>
        </w:tc>
        <w:tc>
          <w:tcPr>
            <w:tcW w:w="1467" w:type="dxa"/>
            <w:vAlign w:val="center"/>
          </w:tcPr>
          <w:p w14:paraId="4C229683">
            <w:pPr>
              <w:jc w:val="center"/>
              <w:rPr>
                <w:rFonts w:ascii="Times New Roman"/>
                <w:sz w:val="21"/>
                <w:szCs w:val="21"/>
              </w:rPr>
            </w:pPr>
            <w:r>
              <w:rPr>
                <w:rFonts w:hint="eastAsia" w:ascii="Times New Roman"/>
                <w:sz w:val="21"/>
                <w:szCs w:val="21"/>
              </w:rPr>
              <w:t>0</w:t>
            </w:r>
          </w:p>
        </w:tc>
        <w:tc>
          <w:tcPr>
            <w:tcW w:w="1383" w:type="dxa"/>
            <w:vAlign w:val="center"/>
          </w:tcPr>
          <w:p w14:paraId="1266AA7E">
            <w:pPr>
              <w:jc w:val="center"/>
              <w:rPr>
                <w:rFonts w:ascii="Times New Roman"/>
                <w:sz w:val="21"/>
                <w:szCs w:val="21"/>
              </w:rPr>
            </w:pPr>
            <w:r>
              <w:rPr>
                <w:rFonts w:hint="eastAsia" w:ascii="Times New Roman"/>
                <w:sz w:val="21"/>
                <w:szCs w:val="21"/>
              </w:rPr>
              <w:t xml:space="preserve">0.0002 </w:t>
            </w:r>
          </w:p>
        </w:tc>
        <w:tc>
          <w:tcPr>
            <w:tcW w:w="1454" w:type="dxa"/>
            <w:vAlign w:val="center"/>
          </w:tcPr>
          <w:p w14:paraId="0701DDE8">
            <w:pPr>
              <w:jc w:val="center"/>
              <w:rPr>
                <w:rFonts w:ascii="Times New Roman"/>
                <w:sz w:val="21"/>
                <w:szCs w:val="21"/>
              </w:rPr>
            </w:pPr>
            <w:r>
              <w:rPr>
                <w:rFonts w:hint="eastAsia" w:ascii="Times New Roman"/>
                <w:sz w:val="21"/>
                <w:szCs w:val="21"/>
              </w:rPr>
              <w:t>0</w:t>
            </w:r>
          </w:p>
        </w:tc>
      </w:tr>
      <w:tr w14:paraId="254A0196">
        <w:tblPrEx>
          <w:tblCellMar>
            <w:top w:w="0" w:type="dxa"/>
            <w:left w:w="108" w:type="dxa"/>
            <w:bottom w:w="0" w:type="dxa"/>
            <w:right w:w="108" w:type="dxa"/>
          </w:tblCellMar>
        </w:tblPrEx>
        <w:trPr>
          <w:trHeight w:val="168" w:hRule="atLeast"/>
        </w:trPr>
        <w:tc>
          <w:tcPr>
            <w:tcW w:w="2629" w:type="dxa"/>
            <w:vAlign w:val="center"/>
          </w:tcPr>
          <w:p w14:paraId="3CA45F70">
            <w:pPr>
              <w:jc w:val="center"/>
              <w:rPr>
                <w:rFonts w:ascii="Times New Roman"/>
                <w:sz w:val="21"/>
                <w:szCs w:val="21"/>
              </w:rPr>
            </w:pPr>
            <w:r>
              <w:rPr>
                <w:rFonts w:ascii="Times New Roman"/>
                <w:sz w:val="21"/>
                <w:szCs w:val="21"/>
              </w:rPr>
              <w:t>下风向最大浓度</w:t>
            </w:r>
          </w:p>
        </w:tc>
        <w:tc>
          <w:tcPr>
            <w:tcW w:w="1566" w:type="dxa"/>
            <w:vAlign w:val="center"/>
          </w:tcPr>
          <w:p w14:paraId="2286BE63">
            <w:pPr>
              <w:jc w:val="center"/>
              <w:rPr>
                <w:rFonts w:ascii="Times New Roman"/>
                <w:sz w:val="21"/>
                <w:szCs w:val="21"/>
              </w:rPr>
            </w:pPr>
            <w:r>
              <w:rPr>
                <w:rFonts w:hint="eastAsia" w:ascii="Times New Roman"/>
                <w:sz w:val="21"/>
                <w:szCs w:val="21"/>
              </w:rPr>
              <w:t>7.6258</w:t>
            </w:r>
          </w:p>
        </w:tc>
        <w:tc>
          <w:tcPr>
            <w:tcW w:w="1467" w:type="dxa"/>
            <w:vAlign w:val="center"/>
          </w:tcPr>
          <w:p w14:paraId="0E3BE897">
            <w:pPr>
              <w:jc w:val="center"/>
              <w:rPr>
                <w:rFonts w:ascii="Times New Roman"/>
                <w:sz w:val="21"/>
                <w:szCs w:val="21"/>
              </w:rPr>
            </w:pPr>
            <w:r>
              <w:rPr>
                <w:rFonts w:hint="eastAsia" w:ascii="Times New Roman"/>
                <w:sz w:val="21"/>
                <w:szCs w:val="21"/>
              </w:rPr>
              <w:t>1.69</w:t>
            </w:r>
          </w:p>
        </w:tc>
        <w:tc>
          <w:tcPr>
            <w:tcW w:w="1383" w:type="dxa"/>
            <w:vAlign w:val="center"/>
          </w:tcPr>
          <w:p w14:paraId="004CD421">
            <w:pPr>
              <w:jc w:val="center"/>
              <w:rPr>
                <w:rFonts w:ascii="Times New Roman"/>
                <w:sz w:val="21"/>
                <w:szCs w:val="21"/>
              </w:rPr>
            </w:pPr>
            <w:r>
              <w:rPr>
                <w:rFonts w:hint="eastAsia" w:ascii="Times New Roman"/>
                <w:sz w:val="21"/>
                <w:szCs w:val="21"/>
              </w:rPr>
              <w:t>0.1146</w:t>
            </w:r>
          </w:p>
        </w:tc>
        <w:tc>
          <w:tcPr>
            <w:tcW w:w="1454" w:type="dxa"/>
            <w:vAlign w:val="center"/>
          </w:tcPr>
          <w:p w14:paraId="71C0A90E">
            <w:pPr>
              <w:jc w:val="center"/>
              <w:rPr>
                <w:rFonts w:ascii="Times New Roman"/>
                <w:sz w:val="21"/>
                <w:szCs w:val="21"/>
              </w:rPr>
            </w:pPr>
            <w:r>
              <w:rPr>
                <w:rFonts w:hint="eastAsia" w:ascii="Times New Roman"/>
                <w:sz w:val="21"/>
                <w:szCs w:val="21"/>
              </w:rPr>
              <w:t>0.03</w:t>
            </w:r>
          </w:p>
        </w:tc>
      </w:tr>
      <w:tr w14:paraId="18CA2A05">
        <w:tblPrEx>
          <w:tblCellMar>
            <w:top w:w="0" w:type="dxa"/>
            <w:left w:w="108" w:type="dxa"/>
            <w:bottom w:w="0" w:type="dxa"/>
            <w:right w:w="108" w:type="dxa"/>
          </w:tblCellMar>
        </w:tblPrEx>
        <w:trPr>
          <w:trHeight w:val="333" w:hRule="atLeast"/>
        </w:trPr>
        <w:tc>
          <w:tcPr>
            <w:tcW w:w="2629" w:type="dxa"/>
            <w:vAlign w:val="center"/>
          </w:tcPr>
          <w:p w14:paraId="71449120">
            <w:pPr>
              <w:jc w:val="center"/>
              <w:rPr>
                <w:rFonts w:ascii="Times New Roman"/>
                <w:sz w:val="21"/>
                <w:szCs w:val="21"/>
              </w:rPr>
            </w:pPr>
            <w:r>
              <w:rPr>
                <w:rFonts w:ascii="Times New Roman"/>
                <w:sz w:val="21"/>
                <w:szCs w:val="21"/>
              </w:rPr>
              <w:t>下风向最大浓度出现距离</w:t>
            </w:r>
          </w:p>
        </w:tc>
        <w:tc>
          <w:tcPr>
            <w:tcW w:w="1566" w:type="dxa"/>
            <w:vAlign w:val="center"/>
          </w:tcPr>
          <w:p w14:paraId="770170F5">
            <w:pPr>
              <w:jc w:val="center"/>
              <w:rPr>
                <w:rFonts w:ascii="Times New Roman"/>
                <w:sz w:val="21"/>
                <w:szCs w:val="21"/>
              </w:rPr>
            </w:pPr>
            <w:r>
              <w:rPr>
                <w:rFonts w:ascii="Times New Roman"/>
                <w:sz w:val="21"/>
                <w:szCs w:val="21"/>
              </w:rPr>
              <w:t>95.0</w:t>
            </w:r>
          </w:p>
        </w:tc>
        <w:tc>
          <w:tcPr>
            <w:tcW w:w="1467" w:type="dxa"/>
            <w:vAlign w:val="center"/>
          </w:tcPr>
          <w:p w14:paraId="3FEF7D4C">
            <w:pPr>
              <w:jc w:val="center"/>
              <w:rPr>
                <w:rFonts w:ascii="Times New Roman"/>
                <w:sz w:val="21"/>
                <w:szCs w:val="21"/>
              </w:rPr>
            </w:pPr>
            <w:r>
              <w:rPr>
                <w:rFonts w:ascii="Times New Roman"/>
                <w:sz w:val="21"/>
                <w:szCs w:val="21"/>
              </w:rPr>
              <w:t>95.0</w:t>
            </w:r>
          </w:p>
        </w:tc>
        <w:tc>
          <w:tcPr>
            <w:tcW w:w="1383" w:type="dxa"/>
            <w:vAlign w:val="center"/>
          </w:tcPr>
          <w:p w14:paraId="08B595C3">
            <w:pPr>
              <w:jc w:val="center"/>
              <w:rPr>
                <w:rFonts w:ascii="Times New Roman"/>
                <w:sz w:val="21"/>
                <w:szCs w:val="21"/>
              </w:rPr>
            </w:pPr>
            <w:r>
              <w:rPr>
                <w:rFonts w:ascii="Times New Roman"/>
                <w:sz w:val="21"/>
                <w:szCs w:val="21"/>
              </w:rPr>
              <w:t>95.0</w:t>
            </w:r>
          </w:p>
        </w:tc>
        <w:tc>
          <w:tcPr>
            <w:tcW w:w="1454" w:type="dxa"/>
            <w:vAlign w:val="center"/>
          </w:tcPr>
          <w:p w14:paraId="26A05530">
            <w:pPr>
              <w:jc w:val="center"/>
              <w:rPr>
                <w:rFonts w:ascii="Times New Roman"/>
                <w:sz w:val="21"/>
                <w:szCs w:val="21"/>
              </w:rPr>
            </w:pPr>
            <w:r>
              <w:rPr>
                <w:rFonts w:ascii="Times New Roman"/>
                <w:sz w:val="21"/>
                <w:szCs w:val="21"/>
              </w:rPr>
              <w:t>95.0</w:t>
            </w:r>
          </w:p>
        </w:tc>
      </w:tr>
      <w:tr w14:paraId="39660AB3">
        <w:tblPrEx>
          <w:tblCellMar>
            <w:top w:w="0" w:type="dxa"/>
            <w:left w:w="108" w:type="dxa"/>
            <w:bottom w:w="0" w:type="dxa"/>
            <w:right w:w="108" w:type="dxa"/>
          </w:tblCellMar>
        </w:tblPrEx>
        <w:trPr>
          <w:trHeight w:val="170" w:hRule="atLeast"/>
        </w:trPr>
        <w:tc>
          <w:tcPr>
            <w:tcW w:w="2629" w:type="dxa"/>
            <w:vAlign w:val="center"/>
          </w:tcPr>
          <w:p w14:paraId="1ECAF3B5">
            <w:pPr>
              <w:jc w:val="center"/>
              <w:rPr>
                <w:rFonts w:ascii="Times New Roman"/>
                <w:sz w:val="21"/>
                <w:szCs w:val="21"/>
              </w:rPr>
            </w:pPr>
            <w:r>
              <w:rPr>
                <w:rFonts w:ascii="Times New Roman"/>
                <w:sz w:val="21"/>
                <w:szCs w:val="21"/>
              </w:rPr>
              <w:t>D10%最远距离</w:t>
            </w:r>
          </w:p>
        </w:tc>
        <w:tc>
          <w:tcPr>
            <w:tcW w:w="1566" w:type="dxa"/>
            <w:vAlign w:val="center"/>
          </w:tcPr>
          <w:p w14:paraId="4016FA38">
            <w:pPr>
              <w:jc w:val="center"/>
              <w:rPr>
                <w:rFonts w:ascii="Times New Roman"/>
                <w:sz w:val="21"/>
                <w:szCs w:val="21"/>
              </w:rPr>
            </w:pPr>
            <w:r>
              <w:rPr>
                <w:rFonts w:ascii="Times New Roman"/>
                <w:sz w:val="21"/>
                <w:szCs w:val="21"/>
              </w:rPr>
              <w:t>/</w:t>
            </w:r>
          </w:p>
        </w:tc>
        <w:tc>
          <w:tcPr>
            <w:tcW w:w="1467" w:type="dxa"/>
            <w:vAlign w:val="center"/>
          </w:tcPr>
          <w:p w14:paraId="7AF27A5E">
            <w:pPr>
              <w:jc w:val="center"/>
              <w:rPr>
                <w:rFonts w:ascii="Times New Roman"/>
                <w:sz w:val="21"/>
                <w:szCs w:val="21"/>
              </w:rPr>
            </w:pPr>
            <w:r>
              <w:rPr>
                <w:rFonts w:ascii="Times New Roman"/>
                <w:sz w:val="21"/>
                <w:szCs w:val="21"/>
              </w:rPr>
              <w:t>/</w:t>
            </w:r>
          </w:p>
        </w:tc>
        <w:tc>
          <w:tcPr>
            <w:tcW w:w="1383" w:type="dxa"/>
            <w:vAlign w:val="center"/>
          </w:tcPr>
          <w:p w14:paraId="4A64DE0B">
            <w:pPr>
              <w:jc w:val="center"/>
              <w:rPr>
                <w:rFonts w:ascii="Times New Roman"/>
                <w:sz w:val="21"/>
                <w:szCs w:val="21"/>
              </w:rPr>
            </w:pPr>
            <w:r>
              <w:rPr>
                <w:rFonts w:ascii="Times New Roman"/>
                <w:sz w:val="21"/>
                <w:szCs w:val="21"/>
              </w:rPr>
              <w:t>/</w:t>
            </w:r>
          </w:p>
        </w:tc>
        <w:tc>
          <w:tcPr>
            <w:tcW w:w="1454" w:type="dxa"/>
            <w:vAlign w:val="center"/>
          </w:tcPr>
          <w:p w14:paraId="5593F0D6">
            <w:pPr>
              <w:jc w:val="center"/>
              <w:rPr>
                <w:rFonts w:ascii="Times New Roman"/>
                <w:sz w:val="21"/>
                <w:szCs w:val="21"/>
              </w:rPr>
            </w:pPr>
            <w:r>
              <w:rPr>
                <w:rFonts w:ascii="Times New Roman"/>
                <w:sz w:val="21"/>
                <w:szCs w:val="21"/>
              </w:rPr>
              <w:t>/</w:t>
            </w:r>
          </w:p>
        </w:tc>
      </w:tr>
    </w:tbl>
    <w:p w14:paraId="22EE9D0F">
      <w:pPr>
        <w:spacing w:line="480" w:lineRule="exact"/>
        <w:jc w:val="center"/>
        <w:rPr>
          <w:rFonts w:ascii="Times New Roman"/>
          <w:b/>
          <w:sz w:val="24"/>
          <w:szCs w:val="24"/>
        </w:rPr>
      </w:pPr>
      <w:r>
        <w:rPr>
          <w:rFonts w:hint="eastAsia" w:ascii="Times New Roman"/>
          <w:b/>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499" w:type="dxa"/>
        <w:tblInd w:w="0" w:type="dxa"/>
        <w:tblLayout w:type="autofit"/>
        <w:tblCellMar>
          <w:top w:w="0" w:type="dxa"/>
          <w:left w:w="108" w:type="dxa"/>
          <w:bottom w:w="0" w:type="dxa"/>
          <w:right w:w="108" w:type="dxa"/>
        </w:tblCellMar>
      </w:tblPr>
      <w:tblGrid>
        <w:gridCol w:w="2629"/>
        <w:gridCol w:w="1566"/>
        <w:gridCol w:w="1467"/>
        <w:gridCol w:w="1383"/>
        <w:gridCol w:w="1454"/>
      </w:tblGrid>
      <w:tr w14:paraId="12663288">
        <w:tblPrEx>
          <w:tblCellMar>
            <w:top w:w="0" w:type="dxa"/>
            <w:left w:w="108" w:type="dxa"/>
            <w:bottom w:w="0" w:type="dxa"/>
            <w:right w:w="108" w:type="dxa"/>
          </w:tblCellMar>
        </w:tblPrEx>
        <w:trPr>
          <w:trHeight w:val="168" w:hRule="atLeast"/>
        </w:trPr>
        <w:tc>
          <w:tcPr>
            <w:tcW w:w="2629" w:type="dxa"/>
            <w:vMerge w:val="restart"/>
            <w:vAlign w:val="center"/>
          </w:tcPr>
          <w:p w14:paraId="1089596E">
            <w:pPr>
              <w:jc w:val="center"/>
              <w:rPr>
                <w:rFonts w:ascii="Times New Roman"/>
                <w:sz w:val="21"/>
                <w:szCs w:val="21"/>
              </w:rPr>
            </w:pPr>
            <w:r>
              <w:rPr>
                <w:rFonts w:ascii="Times New Roman"/>
                <w:sz w:val="21"/>
                <w:szCs w:val="21"/>
              </w:rPr>
              <w:t>下风向距离</w:t>
            </w:r>
          </w:p>
        </w:tc>
        <w:tc>
          <w:tcPr>
            <w:tcW w:w="3033" w:type="dxa"/>
            <w:gridSpan w:val="2"/>
            <w:tcBorders>
              <w:right w:val="single" w:color="auto" w:sz="4" w:space="0"/>
            </w:tcBorders>
            <w:vAlign w:val="center"/>
          </w:tcPr>
          <w:p w14:paraId="03C82F7C">
            <w:pPr>
              <w:jc w:val="center"/>
              <w:rPr>
                <w:rFonts w:ascii="Times New Roman"/>
                <w:sz w:val="21"/>
                <w:szCs w:val="21"/>
              </w:rPr>
            </w:pPr>
            <w:r>
              <w:rPr>
                <w:rFonts w:hint="eastAsia" w:ascii="Times New Roman"/>
                <w:sz w:val="21"/>
                <w:szCs w:val="21"/>
              </w:rPr>
              <w:t>焊接</w:t>
            </w:r>
            <w:r>
              <w:rPr>
                <w:rFonts w:ascii="Times New Roman"/>
                <w:sz w:val="21"/>
                <w:szCs w:val="21"/>
              </w:rPr>
              <w:t>废气</w:t>
            </w:r>
            <w:r>
              <w:rPr>
                <w:rFonts w:hint="eastAsia" w:ascii="Times New Roman"/>
                <w:sz w:val="21"/>
                <w:szCs w:val="21"/>
              </w:rPr>
              <w:t>（DA003）</w:t>
            </w:r>
          </w:p>
        </w:tc>
        <w:tc>
          <w:tcPr>
            <w:tcW w:w="2837" w:type="dxa"/>
            <w:gridSpan w:val="2"/>
            <w:tcBorders>
              <w:left w:val="single" w:color="auto" w:sz="4" w:space="0"/>
            </w:tcBorders>
            <w:vAlign w:val="center"/>
          </w:tcPr>
          <w:p w14:paraId="23FEE078">
            <w:pPr>
              <w:jc w:val="center"/>
              <w:rPr>
                <w:rFonts w:ascii="Times New Roman"/>
                <w:sz w:val="21"/>
                <w:szCs w:val="21"/>
              </w:rPr>
            </w:pPr>
            <w:r>
              <w:rPr>
                <w:rFonts w:hint="eastAsia" w:ascii="Times New Roman"/>
                <w:sz w:val="21"/>
                <w:szCs w:val="21"/>
              </w:rPr>
              <w:t>焊接废气（DA004）</w:t>
            </w:r>
          </w:p>
        </w:tc>
      </w:tr>
      <w:tr w14:paraId="29455589">
        <w:tblPrEx>
          <w:tblCellMar>
            <w:top w:w="0" w:type="dxa"/>
            <w:left w:w="108" w:type="dxa"/>
            <w:bottom w:w="0" w:type="dxa"/>
            <w:right w:w="108" w:type="dxa"/>
          </w:tblCellMar>
        </w:tblPrEx>
        <w:trPr>
          <w:trHeight w:val="333" w:hRule="atLeast"/>
        </w:trPr>
        <w:tc>
          <w:tcPr>
            <w:tcW w:w="2629" w:type="dxa"/>
            <w:vMerge w:val="continue"/>
            <w:vAlign w:val="center"/>
          </w:tcPr>
          <w:p w14:paraId="6B4FD3A4">
            <w:pPr>
              <w:jc w:val="center"/>
              <w:rPr>
                <w:rFonts w:ascii="Times New Roman"/>
                <w:sz w:val="21"/>
                <w:szCs w:val="21"/>
              </w:rPr>
            </w:pPr>
          </w:p>
        </w:tc>
        <w:tc>
          <w:tcPr>
            <w:tcW w:w="1566" w:type="dxa"/>
            <w:vAlign w:val="center"/>
          </w:tcPr>
          <w:p w14:paraId="20525B06">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w:t>
            </w:r>
          </w:p>
          <w:p w14:paraId="4094DA2A">
            <w:pPr>
              <w:spacing w:line="260" w:lineRule="exact"/>
              <w:jc w:val="center"/>
              <w:rPr>
                <w:rFonts w:ascii="Times New Roman"/>
                <w:sz w:val="21"/>
                <w:szCs w:val="21"/>
              </w:rPr>
            </w:pPr>
            <w:r>
              <w:rPr>
                <w:rFonts w:ascii="Times New Roman"/>
                <w:sz w:val="21"/>
                <w:szCs w:val="21"/>
              </w:rPr>
              <w:t>(μg/m³)</w:t>
            </w:r>
          </w:p>
        </w:tc>
        <w:tc>
          <w:tcPr>
            <w:tcW w:w="1467" w:type="dxa"/>
            <w:tcBorders>
              <w:right w:val="single" w:color="auto" w:sz="4" w:space="0"/>
            </w:tcBorders>
            <w:vAlign w:val="center"/>
          </w:tcPr>
          <w:p w14:paraId="387B6057">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1383" w:type="dxa"/>
            <w:tcBorders>
              <w:left w:val="single" w:color="auto" w:sz="4" w:space="0"/>
            </w:tcBorders>
            <w:vAlign w:val="center"/>
          </w:tcPr>
          <w:p w14:paraId="4F0FCD7C">
            <w:pPr>
              <w:spacing w:line="26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r>
              <w:rPr>
                <w:rFonts w:ascii="Times New Roman"/>
                <w:sz w:val="21"/>
                <w:szCs w:val="21"/>
              </w:rPr>
              <w:t>浓度(μg/m³)</w:t>
            </w:r>
          </w:p>
        </w:tc>
        <w:tc>
          <w:tcPr>
            <w:tcW w:w="1454" w:type="dxa"/>
            <w:vAlign w:val="center"/>
          </w:tcPr>
          <w:p w14:paraId="77C7B45E">
            <w:pPr>
              <w:spacing w:line="26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r>
              <w:rPr>
                <w:rFonts w:ascii="Times New Roman"/>
                <w:sz w:val="21"/>
                <w:szCs w:val="21"/>
              </w:rPr>
              <w:t>占标率(%)</w:t>
            </w:r>
          </w:p>
        </w:tc>
      </w:tr>
      <w:tr w14:paraId="0D000E2F">
        <w:tblPrEx>
          <w:tblCellMar>
            <w:top w:w="0" w:type="dxa"/>
            <w:left w:w="108" w:type="dxa"/>
            <w:bottom w:w="0" w:type="dxa"/>
            <w:right w:w="108" w:type="dxa"/>
          </w:tblCellMar>
        </w:tblPrEx>
        <w:trPr>
          <w:trHeight w:val="168" w:hRule="atLeast"/>
        </w:trPr>
        <w:tc>
          <w:tcPr>
            <w:tcW w:w="2629" w:type="dxa"/>
            <w:vAlign w:val="center"/>
          </w:tcPr>
          <w:p w14:paraId="692C22EB">
            <w:pPr>
              <w:jc w:val="center"/>
              <w:rPr>
                <w:rFonts w:ascii="Times New Roman"/>
                <w:sz w:val="21"/>
                <w:szCs w:val="21"/>
              </w:rPr>
            </w:pPr>
            <w:r>
              <w:rPr>
                <w:rFonts w:ascii="Times New Roman"/>
                <w:sz w:val="21"/>
                <w:szCs w:val="21"/>
              </w:rPr>
              <w:t>50.0</w:t>
            </w:r>
          </w:p>
        </w:tc>
        <w:tc>
          <w:tcPr>
            <w:tcW w:w="1566" w:type="dxa"/>
            <w:shd w:val="clear" w:color="auto" w:fill="auto"/>
            <w:vAlign w:val="center"/>
          </w:tcPr>
          <w:p w14:paraId="34D1B95B">
            <w:pPr>
              <w:jc w:val="center"/>
              <w:rPr>
                <w:rFonts w:ascii="Times New Roman"/>
                <w:sz w:val="21"/>
                <w:szCs w:val="21"/>
              </w:rPr>
            </w:pPr>
            <w:r>
              <w:rPr>
                <w:rFonts w:hint="eastAsia" w:ascii="Times New Roman"/>
                <w:sz w:val="21"/>
                <w:szCs w:val="21"/>
              </w:rPr>
              <w:t xml:space="preserve">0.0385 </w:t>
            </w:r>
          </w:p>
        </w:tc>
        <w:tc>
          <w:tcPr>
            <w:tcW w:w="1467" w:type="dxa"/>
            <w:shd w:val="clear" w:color="auto" w:fill="auto"/>
            <w:vAlign w:val="center"/>
          </w:tcPr>
          <w:p w14:paraId="23A11BC6">
            <w:pPr>
              <w:jc w:val="center"/>
              <w:rPr>
                <w:rFonts w:ascii="Times New Roman"/>
                <w:sz w:val="21"/>
                <w:szCs w:val="21"/>
              </w:rPr>
            </w:pPr>
            <w:r>
              <w:rPr>
                <w:rFonts w:hint="eastAsia" w:ascii="Times New Roman"/>
                <w:sz w:val="21"/>
                <w:szCs w:val="21"/>
              </w:rPr>
              <w:t>0.01</w:t>
            </w:r>
          </w:p>
        </w:tc>
        <w:tc>
          <w:tcPr>
            <w:tcW w:w="1383" w:type="dxa"/>
            <w:shd w:val="clear" w:color="auto" w:fill="auto"/>
            <w:vAlign w:val="center"/>
          </w:tcPr>
          <w:p w14:paraId="7A2DC99E">
            <w:pPr>
              <w:jc w:val="center"/>
              <w:rPr>
                <w:rFonts w:ascii="Times New Roman"/>
                <w:sz w:val="21"/>
                <w:szCs w:val="21"/>
              </w:rPr>
            </w:pPr>
            <w:r>
              <w:rPr>
                <w:rFonts w:hint="eastAsia" w:ascii="Times New Roman"/>
                <w:sz w:val="21"/>
                <w:szCs w:val="21"/>
              </w:rPr>
              <w:t xml:space="preserve">0.0385 </w:t>
            </w:r>
          </w:p>
        </w:tc>
        <w:tc>
          <w:tcPr>
            <w:tcW w:w="1454" w:type="dxa"/>
            <w:shd w:val="clear" w:color="auto" w:fill="auto"/>
            <w:vAlign w:val="center"/>
          </w:tcPr>
          <w:p w14:paraId="212C6B9B">
            <w:pPr>
              <w:jc w:val="center"/>
              <w:rPr>
                <w:rFonts w:ascii="Times New Roman"/>
                <w:sz w:val="21"/>
                <w:szCs w:val="21"/>
              </w:rPr>
            </w:pPr>
            <w:r>
              <w:rPr>
                <w:rFonts w:hint="eastAsia" w:ascii="Times New Roman"/>
                <w:sz w:val="21"/>
                <w:szCs w:val="21"/>
              </w:rPr>
              <w:t>0.01</w:t>
            </w:r>
          </w:p>
        </w:tc>
      </w:tr>
      <w:tr w14:paraId="051DF2A7">
        <w:tblPrEx>
          <w:tblCellMar>
            <w:top w:w="0" w:type="dxa"/>
            <w:left w:w="108" w:type="dxa"/>
            <w:bottom w:w="0" w:type="dxa"/>
            <w:right w:w="108" w:type="dxa"/>
          </w:tblCellMar>
        </w:tblPrEx>
        <w:trPr>
          <w:trHeight w:val="168" w:hRule="atLeast"/>
        </w:trPr>
        <w:tc>
          <w:tcPr>
            <w:tcW w:w="2629" w:type="dxa"/>
            <w:vAlign w:val="center"/>
          </w:tcPr>
          <w:p w14:paraId="52EBEA99">
            <w:pPr>
              <w:jc w:val="center"/>
              <w:rPr>
                <w:rFonts w:ascii="Times New Roman"/>
                <w:sz w:val="21"/>
                <w:szCs w:val="21"/>
              </w:rPr>
            </w:pPr>
            <w:r>
              <w:rPr>
                <w:rFonts w:ascii="Times New Roman"/>
                <w:sz w:val="21"/>
                <w:szCs w:val="21"/>
              </w:rPr>
              <w:t>100.0</w:t>
            </w:r>
          </w:p>
        </w:tc>
        <w:tc>
          <w:tcPr>
            <w:tcW w:w="1566" w:type="dxa"/>
            <w:shd w:val="clear" w:color="auto" w:fill="auto"/>
            <w:vAlign w:val="center"/>
          </w:tcPr>
          <w:p w14:paraId="3ACB9124">
            <w:pPr>
              <w:jc w:val="center"/>
              <w:rPr>
                <w:rFonts w:ascii="Times New Roman"/>
                <w:sz w:val="21"/>
                <w:szCs w:val="21"/>
              </w:rPr>
            </w:pPr>
            <w:r>
              <w:rPr>
                <w:rFonts w:hint="eastAsia" w:ascii="Times New Roman"/>
                <w:sz w:val="21"/>
                <w:szCs w:val="21"/>
              </w:rPr>
              <w:t xml:space="preserve">0.1126 </w:t>
            </w:r>
          </w:p>
        </w:tc>
        <w:tc>
          <w:tcPr>
            <w:tcW w:w="1467" w:type="dxa"/>
            <w:shd w:val="clear" w:color="auto" w:fill="auto"/>
            <w:vAlign w:val="center"/>
          </w:tcPr>
          <w:p w14:paraId="4B21DBE5">
            <w:pPr>
              <w:jc w:val="center"/>
              <w:rPr>
                <w:rFonts w:ascii="Times New Roman"/>
                <w:sz w:val="21"/>
                <w:szCs w:val="21"/>
              </w:rPr>
            </w:pPr>
            <w:r>
              <w:rPr>
                <w:rFonts w:hint="eastAsia" w:ascii="Times New Roman"/>
                <w:sz w:val="21"/>
                <w:szCs w:val="21"/>
              </w:rPr>
              <w:t>0.03</w:t>
            </w:r>
          </w:p>
        </w:tc>
        <w:tc>
          <w:tcPr>
            <w:tcW w:w="1383" w:type="dxa"/>
            <w:shd w:val="clear" w:color="auto" w:fill="auto"/>
            <w:vAlign w:val="center"/>
          </w:tcPr>
          <w:p w14:paraId="519F6B2C">
            <w:pPr>
              <w:jc w:val="center"/>
              <w:rPr>
                <w:rFonts w:ascii="Times New Roman"/>
                <w:sz w:val="21"/>
                <w:szCs w:val="21"/>
              </w:rPr>
            </w:pPr>
            <w:r>
              <w:rPr>
                <w:rFonts w:hint="eastAsia" w:ascii="Times New Roman"/>
                <w:sz w:val="21"/>
                <w:szCs w:val="21"/>
              </w:rPr>
              <w:t xml:space="preserve">0.1126 </w:t>
            </w:r>
          </w:p>
        </w:tc>
        <w:tc>
          <w:tcPr>
            <w:tcW w:w="1454" w:type="dxa"/>
            <w:shd w:val="clear" w:color="auto" w:fill="auto"/>
            <w:vAlign w:val="center"/>
          </w:tcPr>
          <w:p w14:paraId="5E6B65F3">
            <w:pPr>
              <w:jc w:val="center"/>
              <w:rPr>
                <w:rFonts w:ascii="Times New Roman"/>
                <w:sz w:val="21"/>
                <w:szCs w:val="21"/>
              </w:rPr>
            </w:pPr>
            <w:r>
              <w:rPr>
                <w:rFonts w:hint="eastAsia" w:ascii="Times New Roman"/>
                <w:sz w:val="21"/>
                <w:szCs w:val="21"/>
              </w:rPr>
              <w:t>0.03</w:t>
            </w:r>
          </w:p>
        </w:tc>
      </w:tr>
      <w:tr w14:paraId="7C190947">
        <w:tblPrEx>
          <w:tblCellMar>
            <w:top w:w="0" w:type="dxa"/>
            <w:left w:w="108" w:type="dxa"/>
            <w:bottom w:w="0" w:type="dxa"/>
            <w:right w:w="108" w:type="dxa"/>
          </w:tblCellMar>
        </w:tblPrEx>
        <w:trPr>
          <w:trHeight w:val="168" w:hRule="atLeast"/>
        </w:trPr>
        <w:tc>
          <w:tcPr>
            <w:tcW w:w="2629" w:type="dxa"/>
            <w:vAlign w:val="center"/>
          </w:tcPr>
          <w:p w14:paraId="77345A7D">
            <w:pPr>
              <w:jc w:val="center"/>
              <w:rPr>
                <w:rFonts w:ascii="Times New Roman"/>
                <w:sz w:val="21"/>
                <w:szCs w:val="21"/>
              </w:rPr>
            </w:pPr>
            <w:r>
              <w:rPr>
                <w:rFonts w:ascii="Times New Roman"/>
                <w:sz w:val="21"/>
                <w:szCs w:val="21"/>
              </w:rPr>
              <w:t>200.0</w:t>
            </w:r>
          </w:p>
        </w:tc>
        <w:tc>
          <w:tcPr>
            <w:tcW w:w="1566" w:type="dxa"/>
            <w:shd w:val="clear" w:color="auto" w:fill="auto"/>
            <w:vAlign w:val="center"/>
          </w:tcPr>
          <w:p w14:paraId="2CC9381C">
            <w:pPr>
              <w:jc w:val="center"/>
              <w:rPr>
                <w:rFonts w:ascii="Times New Roman"/>
                <w:sz w:val="21"/>
                <w:szCs w:val="21"/>
              </w:rPr>
            </w:pPr>
            <w:r>
              <w:rPr>
                <w:rFonts w:hint="eastAsia" w:ascii="Times New Roman"/>
                <w:sz w:val="21"/>
                <w:szCs w:val="21"/>
              </w:rPr>
              <w:t xml:space="preserve">0.0691 </w:t>
            </w:r>
          </w:p>
        </w:tc>
        <w:tc>
          <w:tcPr>
            <w:tcW w:w="1467" w:type="dxa"/>
            <w:shd w:val="clear" w:color="auto" w:fill="auto"/>
            <w:vAlign w:val="center"/>
          </w:tcPr>
          <w:p w14:paraId="4B129D8A">
            <w:pPr>
              <w:jc w:val="center"/>
              <w:rPr>
                <w:rFonts w:ascii="Times New Roman"/>
                <w:sz w:val="21"/>
                <w:szCs w:val="21"/>
              </w:rPr>
            </w:pPr>
            <w:r>
              <w:rPr>
                <w:rFonts w:hint="eastAsia" w:ascii="Times New Roman"/>
                <w:sz w:val="21"/>
                <w:szCs w:val="21"/>
              </w:rPr>
              <w:t>0.02</w:t>
            </w:r>
          </w:p>
        </w:tc>
        <w:tc>
          <w:tcPr>
            <w:tcW w:w="1383" w:type="dxa"/>
            <w:shd w:val="clear" w:color="auto" w:fill="auto"/>
            <w:vAlign w:val="center"/>
          </w:tcPr>
          <w:p w14:paraId="2FB04671">
            <w:pPr>
              <w:jc w:val="center"/>
              <w:rPr>
                <w:rFonts w:ascii="Times New Roman"/>
                <w:sz w:val="21"/>
                <w:szCs w:val="21"/>
              </w:rPr>
            </w:pPr>
            <w:r>
              <w:rPr>
                <w:rFonts w:hint="eastAsia" w:ascii="Times New Roman"/>
                <w:sz w:val="21"/>
                <w:szCs w:val="21"/>
              </w:rPr>
              <w:t xml:space="preserve">0.0691 </w:t>
            </w:r>
          </w:p>
        </w:tc>
        <w:tc>
          <w:tcPr>
            <w:tcW w:w="1454" w:type="dxa"/>
            <w:shd w:val="clear" w:color="auto" w:fill="auto"/>
            <w:vAlign w:val="center"/>
          </w:tcPr>
          <w:p w14:paraId="14E2A0E0">
            <w:pPr>
              <w:jc w:val="center"/>
              <w:rPr>
                <w:rFonts w:ascii="Times New Roman"/>
                <w:sz w:val="21"/>
                <w:szCs w:val="21"/>
              </w:rPr>
            </w:pPr>
            <w:r>
              <w:rPr>
                <w:rFonts w:hint="eastAsia" w:ascii="Times New Roman"/>
                <w:sz w:val="21"/>
                <w:szCs w:val="21"/>
              </w:rPr>
              <w:t>0.02</w:t>
            </w:r>
          </w:p>
        </w:tc>
      </w:tr>
      <w:tr w14:paraId="2B3A98E6">
        <w:tblPrEx>
          <w:tblCellMar>
            <w:top w:w="0" w:type="dxa"/>
            <w:left w:w="108" w:type="dxa"/>
            <w:bottom w:w="0" w:type="dxa"/>
            <w:right w:w="108" w:type="dxa"/>
          </w:tblCellMar>
        </w:tblPrEx>
        <w:trPr>
          <w:trHeight w:val="168" w:hRule="atLeast"/>
        </w:trPr>
        <w:tc>
          <w:tcPr>
            <w:tcW w:w="2629" w:type="dxa"/>
            <w:vAlign w:val="center"/>
          </w:tcPr>
          <w:p w14:paraId="0CDC04AB">
            <w:pPr>
              <w:jc w:val="center"/>
              <w:rPr>
                <w:rFonts w:ascii="Times New Roman"/>
                <w:sz w:val="21"/>
                <w:szCs w:val="21"/>
              </w:rPr>
            </w:pPr>
            <w:r>
              <w:rPr>
                <w:rFonts w:ascii="Times New Roman"/>
                <w:sz w:val="21"/>
                <w:szCs w:val="21"/>
              </w:rPr>
              <w:t>300.0</w:t>
            </w:r>
          </w:p>
        </w:tc>
        <w:tc>
          <w:tcPr>
            <w:tcW w:w="1566" w:type="dxa"/>
            <w:shd w:val="clear" w:color="auto" w:fill="auto"/>
            <w:vAlign w:val="center"/>
          </w:tcPr>
          <w:p w14:paraId="636F1B6B">
            <w:pPr>
              <w:jc w:val="center"/>
              <w:rPr>
                <w:rFonts w:ascii="Times New Roman"/>
                <w:sz w:val="21"/>
                <w:szCs w:val="21"/>
              </w:rPr>
            </w:pPr>
            <w:r>
              <w:rPr>
                <w:rFonts w:hint="eastAsia" w:ascii="Times New Roman"/>
                <w:sz w:val="21"/>
                <w:szCs w:val="21"/>
              </w:rPr>
              <w:t xml:space="preserve">0.0525 </w:t>
            </w:r>
          </w:p>
        </w:tc>
        <w:tc>
          <w:tcPr>
            <w:tcW w:w="1467" w:type="dxa"/>
            <w:shd w:val="clear" w:color="auto" w:fill="auto"/>
            <w:vAlign w:val="center"/>
          </w:tcPr>
          <w:p w14:paraId="4C38484A">
            <w:pPr>
              <w:jc w:val="center"/>
              <w:rPr>
                <w:rFonts w:ascii="Times New Roman"/>
                <w:sz w:val="21"/>
                <w:szCs w:val="21"/>
              </w:rPr>
            </w:pPr>
            <w:r>
              <w:rPr>
                <w:rFonts w:hint="eastAsia" w:ascii="Times New Roman"/>
                <w:sz w:val="21"/>
                <w:szCs w:val="21"/>
              </w:rPr>
              <w:t>0.01</w:t>
            </w:r>
          </w:p>
        </w:tc>
        <w:tc>
          <w:tcPr>
            <w:tcW w:w="1383" w:type="dxa"/>
            <w:shd w:val="clear" w:color="auto" w:fill="auto"/>
            <w:vAlign w:val="center"/>
          </w:tcPr>
          <w:p w14:paraId="6643A0CE">
            <w:pPr>
              <w:jc w:val="center"/>
              <w:rPr>
                <w:rFonts w:ascii="Times New Roman"/>
                <w:sz w:val="21"/>
                <w:szCs w:val="21"/>
              </w:rPr>
            </w:pPr>
            <w:r>
              <w:rPr>
                <w:rFonts w:hint="eastAsia" w:ascii="Times New Roman"/>
                <w:sz w:val="21"/>
                <w:szCs w:val="21"/>
              </w:rPr>
              <w:t xml:space="preserve">0.0525 </w:t>
            </w:r>
          </w:p>
        </w:tc>
        <w:tc>
          <w:tcPr>
            <w:tcW w:w="1454" w:type="dxa"/>
            <w:shd w:val="clear" w:color="auto" w:fill="auto"/>
            <w:vAlign w:val="center"/>
          </w:tcPr>
          <w:p w14:paraId="5AA44595">
            <w:pPr>
              <w:jc w:val="center"/>
              <w:rPr>
                <w:rFonts w:ascii="Times New Roman"/>
                <w:sz w:val="21"/>
                <w:szCs w:val="21"/>
              </w:rPr>
            </w:pPr>
            <w:r>
              <w:rPr>
                <w:rFonts w:hint="eastAsia" w:ascii="Times New Roman"/>
                <w:sz w:val="21"/>
                <w:szCs w:val="21"/>
              </w:rPr>
              <w:t>0.01</w:t>
            </w:r>
          </w:p>
        </w:tc>
      </w:tr>
      <w:tr w14:paraId="27B97EE5">
        <w:tblPrEx>
          <w:tblCellMar>
            <w:top w:w="0" w:type="dxa"/>
            <w:left w:w="108" w:type="dxa"/>
            <w:bottom w:w="0" w:type="dxa"/>
            <w:right w:w="108" w:type="dxa"/>
          </w:tblCellMar>
        </w:tblPrEx>
        <w:trPr>
          <w:trHeight w:val="168" w:hRule="atLeast"/>
        </w:trPr>
        <w:tc>
          <w:tcPr>
            <w:tcW w:w="2629" w:type="dxa"/>
            <w:vAlign w:val="center"/>
          </w:tcPr>
          <w:p w14:paraId="3D35CA26">
            <w:pPr>
              <w:jc w:val="center"/>
              <w:rPr>
                <w:rFonts w:ascii="Times New Roman"/>
                <w:sz w:val="21"/>
                <w:szCs w:val="21"/>
              </w:rPr>
            </w:pPr>
            <w:r>
              <w:rPr>
                <w:rFonts w:ascii="Times New Roman"/>
                <w:sz w:val="21"/>
                <w:szCs w:val="21"/>
              </w:rPr>
              <w:t>400.0</w:t>
            </w:r>
          </w:p>
        </w:tc>
        <w:tc>
          <w:tcPr>
            <w:tcW w:w="1566" w:type="dxa"/>
            <w:shd w:val="clear" w:color="auto" w:fill="auto"/>
            <w:vAlign w:val="center"/>
          </w:tcPr>
          <w:p w14:paraId="7D3B67CB">
            <w:pPr>
              <w:jc w:val="center"/>
              <w:rPr>
                <w:rFonts w:ascii="Times New Roman"/>
                <w:sz w:val="21"/>
                <w:szCs w:val="21"/>
              </w:rPr>
            </w:pPr>
            <w:r>
              <w:rPr>
                <w:rFonts w:hint="eastAsia" w:ascii="Times New Roman"/>
                <w:sz w:val="21"/>
                <w:szCs w:val="21"/>
              </w:rPr>
              <w:t xml:space="preserve">0.0409 </w:t>
            </w:r>
          </w:p>
        </w:tc>
        <w:tc>
          <w:tcPr>
            <w:tcW w:w="1467" w:type="dxa"/>
            <w:shd w:val="clear" w:color="auto" w:fill="auto"/>
            <w:vAlign w:val="center"/>
          </w:tcPr>
          <w:p w14:paraId="0F1F0AD9">
            <w:pPr>
              <w:jc w:val="center"/>
              <w:rPr>
                <w:rFonts w:ascii="Times New Roman"/>
                <w:sz w:val="21"/>
                <w:szCs w:val="21"/>
              </w:rPr>
            </w:pPr>
            <w:r>
              <w:rPr>
                <w:rFonts w:hint="eastAsia" w:ascii="Times New Roman"/>
                <w:sz w:val="21"/>
                <w:szCs w:val="21"/>
              </w:rPr>
              <w:t>0.01</w:t>
            </w:r>
          </w:p>
        </w:tc>
        <w:tc>
          <w:tcPr>
            <w:tcW w:w="1383" w:type="dxa"/>
            <w:shd w:val="clear" w:color="auto" w:fill="auto"/>
            <w:vAlign w:val="center"/>
          </w:tcPr>
          <w:p w14:paraId="7F9566B7">
            <w:pPr>
              <w:jc w:val="center"/>
              <w:rPr>
                <w:rFonts w:ascii="Times New Roman"/>
                <w:sz w:val="21"/>
                <w:szCs w:val="21"/>
              </w:rPr>
            </w:pPr>
            <w:r>
              <w:rPr>
                <w:rFonts w:hint="eastAsia" w:ascii="Times New Roman"/>
                <w:sz w:val="21"/>
                <w:szCs w:val="21"/>
              </w:rPr>
              <w:t xml:space="preserve">0.0409 </w:t>
            </w:r>
          </w:p>
        </w:tc>
        <w:tc>
          <w:tcPr>
            <w:tcW w:w="1454" w:type="dxa"/>
            <w:shd w:val="clear" w:color="auto" w:fill="auto"/>
            <w:vAlign w:val="center"/>
          </w:tcPr>
          <w:p w14:paraId="277FCEFD">
            <w:pPr>
              <w:jc w:val="center"/>
              <w:rPr>
                <w:rFonts w:ascii="Times New Roman"/>
                <w:sz w:val="21"/>
                <w:szCs w:val="21"/>
              </w:rPr>
            </w:pPr>
            <w:r>
              <w:rPr>
                <w:rFonts w:hint="eastAsia" w:ascii="Times New Roman"/>
                <w:sz w:val="21"/>
                <w:szCs w:val="21"/>
              </w:rPr>
              <w:t>0.01</w:t>
            </w:r>
          </w:p>
        </w:tc>
      </w:tr>
      <w:tr w14:paraId="04BB5BF4">
        <w:tblPrEx>
          <w:tblCellMar>
            <w:top w:w="0" w:type="dxa"/>
            <w:left w:w="108" w:type="dxa"/>
            <w:bottom w:w="0" w:type="dxa"/>
            <w:right w:w="108" w:type="dxa"/>
          </w:tblCellMar>
        </w:tblPrEx>
        <w:trPr>
          <w:trHeight w:val="168" w:hRule="atLeast"/>
        </w:trPr>
        <w:tc>
          <w:tcPr>
            <w:tcW w:w="2629" w:type="dxa"/>
            <w:vAlign w:val="center"/>
          </w:tcPr>
          <w:p w14:paraId="753ACFF4">
            <w:pPr>
              <w:jc w:val="center"/>
              <w:rPr>
                <w:rFonts w:ascii="Times New Roman"/>
                <w:sz w:val="21"/>
                <w:szCs w:val="21"/>
              </w:rPr>
            </w:pPr>
            <w:r>
              <w:rPr>
                <w:rFonts w:ascii="Times New Roman"/>
                <w:sz w:val="21"/>
                <w:szCs w:val="21"/>
              </w:rPr>
              <w:t>500.0</w:t>
            </w:r>
          </w:p>
        </w:tc>
        <w:tc>
          <w:tcPr>
            <w:tcW w:w="1566" w:type="dxa"/>
            <w:shd w:val="clear" w:color="auto" w:fill="auto"/>
            <w:vAlign w:val="center"/>
          </w:tcPr>
          <w:p w14:paraId="1C4E7F27">
            <w:pPr>
              <w:jc w:val="center"/>
              <w:rPr>
                <w:rFonts w:ascii="Times New Roman"/>
                <w:sz w:val="21"/>
                <w:szCs w:val="21"/>
              </w:rPr>
            </w:pPr>
            <w:r>
              <w:rPr>
                <w:rFonts w:hint="eastAsia" w:ascii="Times New Roman"/>
                <w:sz w:val="21"/>
                <w:szCs w:val="21"/>
              </w:rPr>
              <w:t xml:space="preserve">0.0326 </w:t>
            </w:r>
          </w:p>
        </w:tc>
        <w:tc>
          <w:tcPr>
            <w:tcW w:w="1467" w:type="dxa"/>
            <w:shd w:val="clear" w:color="auto" w:fill="auto"/>
            <w:vAlign w:val="center"/>
          </w:tcPr>
          <w:p w14:paraId="34C158C3">
            <w:pPr>
              <w:jc w:val="center"/>
              <w:rPr>
                <w:rFonts w:ascii="Times New Roman"/>
                <w:sz w:val="21"/>
                <w:szCs w:val="21"/>
              </w:rPr>
            </w:pPr>
            <w:r>
              <w:rPr>
                <w:rFonts w:hint="eastAsia" w:ascii="Times New Roman"/>
                <w:sz w:val="21"/>
                <w:szCs w:val="21"/>
              </w:rPr>
              <w:t>0.01</w:t>
            </w:r>
          </w:p>
        </w:tc>
        <w:tc>
          <w:tcPr>
            <w:tcW w:w="1383" w:type="dxa"/>
            <w:shd w:val="clear" w:color="auto" w:fill="auto"/>
            <w:vAlign w:val="center"/>
          </w:tcPr>
          <w:p w14:paraId="27A62B76">
            <w:pPr>
              <w:jc w:val="center"/>
              <w:rPr>
                <w:rFonts w:ascii="Times New Roman"/>
                <w:sz w:val="21"/>
                <w:szCs w:val="21"/>
              </w:rPr>
            </w:pPr>
            <w:r>
              <w:rPr>
                <w:rFonts w:hint="eastAsia" w:ascii="Times New Roman"/>
                <w:sz w:val="21"/>
                <w:szCs w:val="21"/>
              </w:rPr>
              <w:t xml:space="preserve">0.0326 </w:t>
            </w:r>
          </w:p>
        </w:tc>
        <w:tc>
          <w:tcPr>
            <w:tcW w:w="1454" w:type="dxa"/>
            <w:shd w:val="clear" w:color="auto" w:fill="auto"/>
            <w:vAlign w:val="center"/>
          </w:tcPr>
          <w:p w14:paraId="4B6E93E7">
            <w:pPr>
              <w:jc w:val="center"/>
              <w:rPr>
                <w:rFonts w:ascii="Times New Roman"/>
                <w:sz w:val="21"/>
                <w:szCs w:val="21"/>
              </w:rPr>
            </w:pPr>
            <w:r>
              <w:rPr>
                <w:rFonts w:hint="eastAsia" w:ascii="Times New Roman"/>
                <w:sz w:val="21"/>
                <w:szCs w:val="21"/>
              </w:rPr>
              <w:t>0.01</w:t>
            </w:r>
          </w:p>
        </w:tc>
      </w:tr>
      <w:tr w14:paraId="0B070CDB">
        <w:tblPrEx>
          <w:tblCellMar>
            <w:top w:w="0" w:type="dxa"/>
            <w:left w:w="108" w:type="dxa"/>
            <w:bottom w:w="0" w:type="dxa"/>
            <w:right w:w="108" w:type="dxa"/>
          </w:tblCellMar>
        </w:tblPrEx>
        <w:trPr>
          <w:trHeight w:val="168" w:hRule="atLeast"/>
        </w:trPr>
        <w:tc>
          <w:tcPr>
            <w:tcW w:w="2629" w:type="dxa"/>
            <w:vAlign w:val="center"/>
          </w:tcPr>
          <w:p w14:paraId="2F3A8D88">
            <w:pPr>
              <w:jc w:val="center"/>
              <w:rPr>
                <w:rFonts w:ascii="Times New Roman"/>
                <w:sz w:val="21"/>
                <w:szCs w:val="21"/>
              </w:rPr>
            </w:pPr>
            <w:r>
              <w:rPr>
                <w:rFonts w:ascii="Times New Roman"/>
                <w:sz w:val="21"/>
                <w:szCs w:val="21"/>
              </w:rPr>
              <w:t>600.0</w:t>
            </w:r>
          </w:p>
        </w:tc>
        <w:tc>
          <w:tcPr>
            <w:tcW w:w="1566" w:type="dxa"/>
            <w:shd w:val="clear" w:color="auto" w:fill="auto"/>
            <w:vAlign w:val="center"/>
          </w:tcPr>
          <w:p w14:paraId="2E7095FB">
            <w:pPr>
              <w:jc w:val="center"/>
              <w:rPr>
                <w:rFonts w:ascii="Times New Roman"/>
                <w:sz w:val="21"/>
                <w:szCs w:val="21"/>
              </w:rPr>
            </w:pPr>
            <w:r>
              <w:rPr>
                <w:rFonts w:hint="eastAsia" w:ascii="Times New Roman"/>
                <w:sz w:val="21"/>
                <w:szCs w:val="21"/>
              </w:rPr>
              <w:t xml:space="preserve">0.0266 </w:t>
            </w:r>
          </w:p>
        </w:tc>
        <w:tc>
          <w:tcPr>
            <w:tcW w:w="1467" w:type="dxa"/>
            <w:shd w:val="clear" w:color="auto" w:fill="auto"/>
            <w:vAlign w:val="center"/>
          </w:tcPr>
          <w:p w14:paraId="3CDD0037">
            <w:pPr>
              <w:jc w:val="center"/>
              <w:rPr>
                <w:rFonts w:ascii="Times New Roman"/>
                <w:sz w:val="21"/>
                <w:szCs w:val="21"/>
              </w:rPr>
            </w:pPr>
            <w:r>
              <w:rPr>
                <w:rFonts w:hint="eastAsia" w:ascii="Times New Roman"/>
                <w:sz w:val="21"/>
                <w:szCs w:val="21"/>
              </w:rPr>
              <w:t>0.01</w:t>
            </w:r>
          </w:p>
        </w:tc>
        <w:tc>
          <w:tcPr>
            <w:tcW w:w="1383" w:type="dxa"/>
            <w:shd w:val="clear" w:color="auto" w:fill="auto"/>
            <w:vAlign w:val="center"/>
          </w:tcPr>
          <w:p w14:paraId="7B9E83D0">
            <w:pPr>
              <w:jc w:val="center"/>
              <w:rPr>
                <w:rFonts w:ascii="Times New Roman"/>
                <w:sz w:val="21"/>
                <w:szCs w:val="21"/>
              </w:rPr>
            </w:pPr>
            <w:r>
              <w:rPr>
                <w:rFonts w:hint="eastAsia" w:ascii="Times New Roman"/>
                <w:sz w:val="21"/>
                <w:szCs w:val="21"/>
              </w:rPr>
              <w:t xml:space="preserve">0.0266 </w:t>
            </w:r>
          </w:p>
        </w:tc>
        <w:tc>
          <w:tcPr>
            <w:tcW w:w="1454" w:type="dxa"/>
            <w:shd w:val="clear" w:color="auto" w:fill="auto"/>
            <w:vAlign w:val="center"/>
          </w:tcPr>
          <w:p w14:paraId="1343678B">
            <w:pPr>
              <w:jc w:val="center"/>
              <w:rPr>
                <w:rFonts w:ascii="Times New Roman"/>
                <w:sz w:val="21"/>
                <w:szCs w:val="21"/>
              </w:rPr>
            </w:pPr>
            <w:r>
              <w:rPr>
                <w:rFonts w:hint="eastAsia" w:ascii="Times New Roman"/>
                <w:sz w:val="21"/>
                <w:szCs w:val="21"/>
              </w:rPr>
              <w:t>0.01</w:t>
            </w:r>
          </w:p>
        </w:tc>
      </w:tr>
      <w:tr w14:paraId="64B23D41">
        <w:tblPrEx>
          <w:tblCellMar>
            <w:top w:w="0" w:type="dxa"/>
            <w:left w:w="108" w:type="dxa"/>
            <w:bottom w:w="0" w:type="dxa"/>
            <w:right w:w="108" w:type="dxa"/>
          </w:tblCellMar>
        </w:tblPrEx>
        <w:trPr>
          <w:trHeight w:val="168" w:hRule="atLeast"/>
        </w:trPr>
        <w:tc>
          <w:tcPr>
            <w:tcW w:w="2629" w:type="dxa"/>
            <w:vAlign w:val="center"/>
          </w:tcPr>
          <w:p w14:paraId="7C468C90">
            <w:pPr>
              <w:jc w:val="center"/>
              <w:rPr>
                <w:rFonts w:ascii="Times New Roman"/>
                <w:sz w:val="21"/>
                <w:szCs w:val="21"/>
              </w:rPr>
            </w:pPr>
            <w:r>
              <w:rPr>
                <w:rFonts w:ascii="Times New Roman"/>
                <w:sz w:val="21"/>
                <w:szCs w:val="21"/>
              </w:rPr>
              <w:t>700.0</w:t>
            </w:r>
          </w:p>
        </w:tc>
        <w:tc>
          <w:tcPr>
            <w:tcW w:w="1566" w:type="dxa"/>
            <w:shd w:val="clear" w:color="auto" w:fill="auto"/>
            <w:vAlign w:val="center"/>
          </w:tcPr>
          <w:p w14:paraId="63DB5AFC">
            <w:pPr>
              <w:jc w:val="center"/>
              <w:rPr>
                <w:rFonts w:ascii="Times New Roman"/>
                <w:sz w:val="21"/>
                <w:szCs w:val="21"/>
              </w:rPr>
            </w:pPr>
            <w:r>
              <w:rPr>
                <w:rFonts w:hint="eastAsia" w:ascii="Times New Roman"/>
                <w:sz w:val="21"/>
                <w:szCs w:val="21"/>
              </w:rPr>
              <w:t xml:space="preserve">0.0222 </w:t>
            </w:r>
          </w:p>
        </w:tc>
        <w:tc>
          <w:tcPr>
            <w:tcW w:w="1467" w:type="dxa"/>
            <w:shd w:val="clear" w:color="auto" w:fill="auto"/>
            <w:vAlign w:val="center"/>
          </w:tcPr>
          <w:p w14:paraId="2F674CD3">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3B7E8885">
            <w:pPr>
              <w:jc w:val="center"/>
              <w:rPr>
                <w:rFonts w:ascii="Times New Roman"/>
                <w:sz w:val="21"/>
                <w:szCs w:val="21"/>
              </w:rPr>
            </w:pPr>
            <w:r>
              <w:rPr>
                <w:rFonts w:hint="eastAsia" w:ascii="Times New Roman"/>
                <w:sz w:val="21"/>
                <w:szCs w:val="21"/>
              </w:rPr>
              <w:t xml:space="preserve">0.0222 </w:t>
            </w:r>
          </w:p>
        </w:tc>
        <w:tc>
          <w:tcPr>
            <w:tcW w:w="1454" w:type="dxa"/>
            <w:shd w:val="clear" w:color="auto" w:fill="auto"/>
            <w:vAlign w:val="center"/>
          </w:tcPr>
          <w:p w14:paraId="77FCB8CA">
            <w:pPr>
              <w:jc w:val="center"/>
              <w:rPr>
                <w:rFonts w:ascii="Times New Roman"/>
                <w:sz w:val="21"/>
                <w:szCs w:val="21"/>
              </w:rPr>
            </w:pPr>
            <w:r>
              <w:rPr>
                <w:rFonts w:hint="eastAsia" w:ascii="Times New Roman"/>
                <w:sz w:val="21"/>
                <w:szCs w:val="21"/>
              </w:rPr>
              <w:t>0</w:t>
            </w:r>
          </w:p>
        </w:tc>
      </w:tr>
      <w:tr w14:paraId="65E55310">
        <w:tblPrEx>
          <w:tblCellMar>
            <w:top w:w="0" w:type="dxa"/>
            <w:left w:w="108" w:type="dxa"/>
            <w:bottom w:w="0" w:type="dxa"/>
            <w:right w:w="108" w:type="dxa"/>
          </w:tblCellMar>
        </w:tblPrEx>
        <w:trPr>
          <w:trHeight w:val="168" w:hRule="atLeast"/>
        </w:trPr>
        <w:tc>
          <w:tcPr>
            <w:tcW w:w="2629" w:type="dxa"/>
            <w:vAlign w:val="center"/>
          </w:tcPr>
          <w:p w14:paraId="00895E9D">
            <w:pPr>
              <w:jc w:val="center"/>
              <w:rPr>
                <w:rFonts w:ascii="Times New Roman"/>
                <w:sz w:val="21"/>
                <w:szCs w:val="21"/>
              </w:rPr>
            </w:pPr>
            <w:r>
              <w:rPr>
                <w:rFonts w:ascii="Times New Roman"/>
                <w:sz w:val="21"/>
                <w:szCs w:val="21"/>
              </w:rPr>
              <w:t>800.0</w:t>
            </w:r>
          </w:p>
        </w:tc>
        <w:tc>
          <w:tcPr>
            <w:tcW w:w="1566" w:type="dxa"/>
            <w:shd w:val="clear" w:color="auto" w:fill="auto"/>
            <w:vAlign w:val="center"/>
          </w:tcPr>
          <w:p w14:paraId="6B0A2894">
            <w:pPr>
              <w:jc w:val="center"/>
              <w:rPr>
                <w:rFonts w:ascii="Times New Roman"/>
                <w:sz w:val="21"/>
                <w:szCs w:val="21"/>
              </w:rPr>
            </w:pPr>
            <w:r>
              <w:rPr>
                <w:rFonts w:hint="eastAsia" w:ascii="Times New Roman"/>
                <w:sz w:val="21"/>
                <w:szCs w:val="21"/>
              </w:rPr>
              <w:t xml:space="preserve">0.0189 </w:t>
            </w:r>
          </w:p>
        </w:tc>
        <w:tc>
          <w:tcPr>
            <w:tcW w:w="1467" w:type="dxa"/>
            <w:shd w:val="clear" w:color="auto" w:fill="auto"/>
            <w:vAlign w:val="center"/>
          </w:tcPr>
          <w:p w14:paraId="3431286C">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2570C2C5">
            <w:pPr>
              <w:jc w:val="center"/>
              <w:rPr>
                <w:rFonts w:ascii="Times New Roman"/>
                <w:sz w:val="21"/>
                <w:szCs w:val="21"/>
              </w:rPr>
            </w:pPr>
            <w:r>
              <w:rPr>
                <w:rFonts w:hint="eastAsia" w:ascii="Times New Roman"/>
                <w:sz w:val="21"/>
                <w:szCs w:val="21"/>
              </w:rPr>
              <w:t xml:space="preserve">0.0189 </w:t>
            </w:r>
          </w:p>
        </w:tc>
        <w:tc>
          <w:tcPr>
            <w:tcW w:w="1454" w:type="dxa"/>
            <w:shd w:val="clear" w:color="auto" w:fill="auto"/>
            <w:vAlign w:val="center"/>
          </w:tcPr>
          <w:p w14:paraId="0566DA3A">
            <w:pPr>
              <w:jc w:val="center"/>
              <w:rPr>
                <w:rFonts w:ascii="Times New Roman"/>
                <w:sz w:val="21"/>
                <w:szCs w:val="21"/>
              </w:rPr>
            </w:pPr>
            <w:r>
              <w:rPr>
                <w:rFonts w:hint="eastAsia" w:ascii="Times New Roman"/>
                <w:sz w:val="21"/>
                <w:szCs w:val="21"/>
              </w:rPr>
              <w:t>0</w:t>
            </w:r>
          </w:p>
        </w:tc>
      </w:tr>
      <w:tr w14:paraId="14F265CB">
        <w:tblPrEx>
          <w:tblCellMar>
            <w:top w:w="0" w:type="dxa"/>
            <w:left w:w="108" w:type="dxa"/>
            <w:bottom w:w="0" w:type="dxa"/>
            <w:right w:w="108" w:type="dxa"/>
          </w:tblCellMar>
        </w:tblPrEx>
        <w:trPr>
          <w:trHeight w:val="168" w:hRule="atLeast"/>
        </w:trPr>
        <w:tc>
          <w:tcPr>
            <w:tcW w:w="2629" w:type="dxa"/>
            <w:vAlign w:val="center"/>
          </w:tcPr>
          <w:p w14:paraId="59A49970">
            <w:pPr>
              <w:jc w:val="center"/>
              <w:rPr>
                <w:rFonts w:ascii="Times New Roman"/>
                <w:sz w:val="21"/>
                <w:szCs w:val="21"/>
              </w:rPr>
            </w:pPr>
            <w:r>
              <w:rPr>
                <w:rFonts w:ascii="Times New Roman"/>
                <w:sz w:val="21"/>
                <w:szCs w:val="21"/>
              </w:rPr>
              <w:t>900.0</w:t>
            </w:r>
          </w:p>
        </w:tc>
        <w:tc>
          <w:tcPr>
            <w:tcW w:w="1566" w:type="dxa"/>
            <w:shd w:val="clear" w:color="auto" w:fill="auto"/>
            <w:vAlign w:val="center"/>
          </w:tcPr>
          <w:p w14:paraId="7039CE46">
            <w:pPr>
              <w:jc w:val="center"/>
              <w:rPr>
                <w:rFonts w:ascii="Times New Roman"/>
                <w:sz w:val="21"/>
                <w:szCs w:val="21"/>
              </w:rPr>
            </w:pPr>
            <w:r>
              <w:rPr>
                <w:rFonts w:hint="eastAsia" w:ascii="Times New Roman"/>
                <w:sz w:val="21"/>
                <w:szCs w:val="21"/>
              </w:rPr>
              <w:t xml:space="preserve">0.0164 </w:t>
            </w:r>
          </w:p>
        </w:tc>
        <w:tc>
          <w:tcPr>
            <w:tcW w:w="1467" w:type="dxa"/>
            <w:shd w:val="clear" w:color="auto" w:fill="auto"/>
            <w:vAlign w:val="center"/>
          </w:tcPr>
          <w:p w14:paraId="31A021F4">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52F4E7C7">
            <w:pPr>
              <w:jc w:val="center"/>
              <w:rPr>
                <w:rFonts w:ascii="Times New Roman"/>
                <w:sz w:val="21"/>
                <w:szCs w:val="21"/>
              </w:rPr>
            </w:pPr>
            <w:r>
              <w:rPr>
                <w:rFonts w:hint="eastAsia" w:ascii="Times New Roman"/>
                <w:sz w:val="21"/>
                <w:szCs w:val="21"/>
              </w:rPr>
              <w:t xml:space="preserve">0.0164 </w:t>
            </w:r>
          </w:p>
        </w:tc>
        <w:tc>
          <w:tcPr>
            <w:tcW w:w="1454" w:type="dxa"/>
            <w:shd w:val="clear" w:color="auto" w:fill="auto"/>
            <w:vAlign w:val="center"/>
          </w:tcPr>
          <w:p w14:paraId="5AA252A8">
            <w:pPr>
              <w:jc w:val="center"/>
              <w:rPr>
                <w:rFonts w:ascii="Times New Roman"/>
                <w:sz w:val="21"/>
                <w:szCs w:val="21"/>
              </w:rPr>
            </w:pPr>
            <w:r>
              <w:rPr>
                <w:rFonts w:hint="eastAsia" w:ascii="Times New Roman"/>
                <w:sz w:val="21"/>
                <w:szCs w:val="21"/>
              </w:rPr>
              <w:t>0</w:t>
            </w:r>
          </w:p>
        </w:tc>
      </w:tr>
      <w:tr w14:paraId="759CB8BA">
        <w:tblPrEx>
          <w:tblCellMar>
            <w:top w:w="0" w:type="dxa"/>
            <w:left w:w="108" w:type="dxa"/>
            <w:bottom w:w="0" w:type="dxa"/>
            <w:right w:w="108" w:type="dxa"/>
          </w:tblCellMar>
        </w:tblPrEx>
        <w:trPr>
          <w:trHeight w:val="168" w:hRule="atLeast"/>
        </w:trPr>
        <w:tc>
          <w:tcPr>
            <w:tcW w:w="2629" w:type="dxa"/>
            <w:vAlign w:val="center"/>
          </w:tcPr>
          <w:p w14:paraId="6C7DCA3A">
            <w:pPr>
              <w:jc w:val="center"/>
              <w:rPr>
                <w:rFonts w:ascii="Times New Roman"/>
                <w:sz w:val="21"/>
                <w:szCs w:val="21"/>
              </w:rPr>
            </w:pPr>
            <w:r>
              <w:rPr>
                <w:rFonts w:ascii="Times New Roman"/>
                <w:sz w:val="21"/>
                <w:szCs w:val="21"/>
              </w:rPr>
              <w:t>1000.0</w:t>
            </w:r>
          </w:p>
        </w:tc>
        <w:tc>
          <w:tcPr>
            <w:tcW w:w="1566" w:type="dxa"/>
            <w:shd w:val="clear" w:color="auto" w:fill="auto"/>
            <w:vAlign w:val="center"/>
          </w:tcPr>
          <w:p w14:paraId="1847B8F3">
            <w:pPr>
              <w:jc w:val="center"/>
              <w:rPr>
                <w:rFonts w:ascii="Times New Roman"/>
                <w:sz w:val="21"/>
                <w:szCs w:val="21"/>
              </w:rPr>
            </w:pPr>
            <w:r>
              <w:rPr>
                <w:rFonts w:hint="eastAsia" w:ascii="Times New Roman"/>
                <w:sz w:val="21"/>
                <w:szCs w:val="21"/>
              </w:rPr>
              <w:t xml:space="preserve">0.0143 </w:t>
            </w:r>
          </w:p>
        </w:tc>
        <w:tc>
          <w:tcPr>
            <w:tcW w:w="1467" w:type="dxa"/>
            <w:shd w:val="clear" w:color="auto" w:fill="auto"/>
            <w:vAlign w:val="center"/>
          </w:tcPr>
          <w:p w14:paraId="446FE246">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2EDC6B9E">
            <w:pPr>
              <w:jc w:val="center"/>
              <w:rPr>
                <w:rFonts w:ascii="Times New Roman"/>
                <w:sz w:val="21"/>
                <w:szCs w:val="21"/>
              </w:rPr>
            </w:pPr>
            <w:r>
              <w:rPr>
                <w:rFonts w:hint="eastAsia" w:ascii="Times New Roman"/>
                <w:sz w:val="21"/>
                <w:szCs w:val="21"/>
              </w:rPr>
              <w:t xml:space="preserve">0.0143 </w:t>
            </w:r>
          </w:p>
        </w:tc>
        <w:tc>
          <w:tcPr>
            <w:tcW w:w="1454" w:type="dxa"/>
            <w:shd w:val="clear" w:color="auto" w:fill="auto"/>
            <w:vAlign w:val="center"/>
          </w:tcPr>
          <w:p w14:paraId="6EB2AC9D">
            <w:pPr>
              <w:jc w:val="center"/>
              <w:rPr>
                <w:rFonts w:ascii="Times New Roman"/>
                <w:sz w:val="21"/>
                <w:szCs w:val="21"/>
              </w:rPr>
            </w:pPr>
            <w:r>
              <w:rPr>
                <w:rFonts w:hint="eastAsia" w:ascii="Times New Roman"/>
                <w:sz w:val="21"/>
                <w:szCs w:val="21"/>
              </w:rPr>
              <w:t>0</w:t>
            </w:r>
          </w:p>
        </w:tc>
      </w:tr>
      <w:tr w14:paraId="5C491E98">
        <w:tblPrEx>
          <w:tblCellMar>
            <w:top w:w="0" w:type="dxa"/>
            <w:left w:w="108" w:type="dxa"/>
            <w:bottom w:w="0" w:type="dxa"/>
            <w:right w:w="108" w:type="dxa"/>
          </w:tblCellMar>
        </w:tblPrEx>
        <w:trPr>
          <w:trHeight w:val="168" w:hRule="atLeast"/>
        </w:trPr>
        <w:tc>
          <w:tcPr>
            <w:tcW w:w="2629" w:type="dxa"/>
            <w:vAlign w:val="center"/>
          </w:tcPr>
          <w:p w14:paraId="7172EBE5">
            <w:pPr>
              <w:jc w:val="center"/>
              <w:rPr>
                <w:rFonts w:ascii="Times New Roman"/>
                <w:sz w:val="21"/>
                <w:szCs w:val="21"/>
              </w:rPr>
            </w:pPr>
            <w:r>
              <w:rPr>
                <w:rFonts w:ascii="Times New Roman"/>
                <w:sz w:val="21"/>
                <w:szCs w:val="21"/>
              </w:rPr>
              <w:t>1200.0</w:t>
            </w:r>
          </w:p>
        </w:tc>
        <w:tc>
          <w:tcPr>
            <w:tcW w:w="1566" w:type="dxa"/>
            <w:shd w:val="clear" w:color="auto" w:fill="auto"/>
            <w:vAlign w:val="center"/>
          </w:tcPr>
          <w:p w14:paraId="20863817">
            <w:pPr>
              <w:jc w:val="center"/>
              <w:rPr>
                <w:rFonts w:ascii="Times New Roman"/>
                <w:sz w:val="21"/>
                <w:szCs w:val="21"/>
              </w:rPr>
            </w:pPr>
            <w:r>
              <w:rPr>
                <w:rFonts w:hint="eastAsia" w:ascii="Times New Roman"/>
                <w:sz w:val="21"/>
                <w:szCs w:val="21"/>
              </w:rPr>
              <w:t xml:space="preserve">0.0114 </w:t>
            </w:r>
          </w:p>
        </w:tc>
        <w:tc>
          <w:tcPr>
            <w:tcW w:w="1467" w:type="dxa"/>
            <w:shd w:val="clear" w:color="auto" w:fill="auto"/>
            <w:vAlign w:val="center"/>
          </w:tcPr>
          <w:p w14:paraId="6BBC2E4C">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1EC784F1">
            <w:pPr>
              <w:jc w:val="center"/>
              <w:rPr>
                <w:rFonts w:ascii="Times New Roman"/>
                <w:sz w:val="21"/>
                <w:szCs w:val="21"/>
              </w:rPr>
            </w:pPr>
            <w:r>
              <w:rPr>
                <w:rFonts w:hint="eastAsia" w:ascii="Times New Roman"/>
                <w:sz w:val="21"/>
                <w:szCs w:val="21"/>
              </w:rPr>
              <w:t xml:space="preserve">0.0114 </w:t>
            </w:r>
          </w:p>
        </w:tc>
        <w:tc>
          <w:tcPr>
            <w:tcW w:w="1454" w:type="dxa"/>
            <w:shd w:val="clear" w:color="auto" w:fill="auto"/>
            <w:vAlign w:val="center"/>
          </w:tcPr>
          <w:p w14:paraId="5B17AC80">
            <w:pPr>
              <w:jc w:val="center"/>
              <w:rPr>
                <w:rFonts w:ascii="Times New Roman"/>
                <w:sz w:val="21"/>
                <w:szCs w:val="21"/>
              </w:rPr>
            </w:pPr>
            <w:r>
              <w:rPr>
                <w:rFonts w:hint="eastAsia" w:ascii="Times New Roman"/>
                <w:sz w:val="21"/>
                <w:szCs w:val="21"/>
              </w:rPr>
              <w:t>0</w:t>
            </w:r>
          </w:p>
        </w:tc>
      </w:tr>
      <w:tr w14:paraId="1AFA4924">
        <w:tblPrEx>
          <w:tblCellMar>
            <w:top w:w="0" w:type="dxa"/>
            <w:left w:w="108" w:type="dxa"/>
            <w:bottom w:w="0" w:type="dxa"/>
            <w:right w:w="108" w:type="dxa"/>
          </w:tblCellMar>
        </w:tblPrEx>
        <w:trPr>
          <w:trHeight w:val="168" w:hRule="atLeast"/>
        </w:trPr>
        <w:tc>
          <w:tcPr>
            <w:tcW w:w="2629" w:type="dxa"/>
            <w:vAlign w:val="center"/>
          </w:tcPr>
          <w:p w14:paraId="30DE1E79">
            <w:pPr>
              <w:jc w:val="center"/>
              <w:rPr>
                <w:rFonts w:ascii="Times New Roman"/>
                <w:sz w:val="21"/>
                <w:szCs w:val="21"/>
              </w:rPr>
            </w:pPr>
            <w:r>
              <w:rPr>
                <w:rFonts w:ascii="Times New Roman"/>
                <w:sz w:val="21"/>
                <w:szCs w:val="21"/>
              </w:rPr>
              <w:t>1400.0</w:t>
            </w:r>
          </w:p>
        </w:tc>
        <w:tc>
          <w:tcPr>
            <w:tcW w:w="1566" w:type="dxa"/>
            <w:shd w:val="clear" w:color="auto" w:fill="auto"/>
            <w:vAlign w:val="center"/>
          </w:tcPr>
          <w:p w14:paraId="42AD44EA">
            <w:pPr>
              <w:jc w:val="center"/>
              <w:rPr>
                <w:rFonts w:ascii="Times New Roman"/>
                <w:sz w:val="21"/>
                <w:szCs w:val="21"/>
              </w:rPr>
            </w:pPr>
            <w:r>
              <w:rPr>
                <w:rFonts w:hint="eastAsia" w:ascii="Times New Roman"/>
                <w:sz w:val="21"/>
                <w:szCs w:val="21"/>
              </w:rPr>
              <w:t xml:space="preserve">0.0093 </w:t>
            </w:r>
          </w:p>
        </w:tc>
        <w:tc>
          <w:tcPr>
            <w:tcW w:w="1467" w:type="dxa"/>
            <w:shd w:val="clear" w:color="auto" w:fill="auto"/>
            <w:vAlign w:val="center"/>
          </w:tcPr>
          <w:p w14:paraId="5E9E2B2B">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031FFA1C">
            <w:pPr>
              <w:jc w:val="center"/>
              <w:rPr>
                <w:rFonts w:ascii="Times New Roman"/>
                <w:sz w:val="21"/>
                <w:szCs w:val="21"/>
              </w:rPr>
            </w:pPr>
            <w:r>
              <w:rPr>
                <w:rFonts w:hint="eastAsia" w:ascii="Times New Roman"/>
                <w:sz w:val="21"/>
                <w:szCs w:val="21"/>
              </w:rPr>
              <w:t xml:space="preserve">0.0093 </w:t>
            </w:r>
          </w:p>
        </w:tc>
        <w:tc>
          <w:tcPr>
            <w:tcW w:w="1454" w:type="dxa"/>
            <w:shd w:val="clear" w:color="auto" w:fill="auto"/>
            <w:vAlign w:val="center"/>
          </w:tcPr>
          <w:p w14:paraId="721FB88E">
            <w:pPr>
              <w:jc w:val="center"/>
              <w:rPr>
                <w:rFonts w:ascii="Times New Roman"/>
                <w:sz w:val="21"/>
                <w:szCs w:val="21"/>
              </w:rPr>
            </w:pPr>
            <w:r>
              <w:rPr>
                <w:rFonts w:hint="eastAsia" w:ascii="Times New Roman"/>
                <w:sz w:val="21"/>
                <w:szCs w:val="21"/>
              </w:rPr>
              <w:t>0</w:t>
            </w:r>
          </w:p>
        </w:tc>
      </w:tr>
      <w:tr w14:paraId="2BF30C58">
        <w:tblPrEx>
          <w:tblCellMar>
            <w:top w:w="0" w:type="dxa"/>
            <w:left w:w="108" w:type="dxa"/>
            <w:bottom w:w="0" w:type="dxa"/>
            <w:right w:w="108" w:type="dxa"/>
          </w:tblCellMar>
        </w:tblPrEx>
        <w:trPr>
          <w:trHeight w:val="168" w:hRule="atLeast"/>
        </w:trPr>
        <w:tc>
          <w:tcPr>
            <w:tcW w:w="2629" w:type="dxa"/>
            <w:vAlign w:val="center"/>
          </w:tcPr>
          <w:p w14:paraId="0F76312D">
            <w:pPr>
              <w:jc w:val="center"/>
              <w:rPr>
                <w:rFonts w:ascii="Times New Roman"/>
                <w:sz w:val="21"/>
                <w:szCs w:val="21"/>
              </w:rPr>
            </w:pPr>
            <w:r>
              <w:rPr>
                <w:rFonts w:ascii="Times New Roman"/>
                <w:sz w:val="21"/>
                <w:szCs w:val="21"/>
              </w:rPr>
              <w:t>1600.0</w:t>
            </w:r>
          </w:p>
        </w:tc>
        <w:tc>
          <w:tcPr>
            <w:tcW w:w="1566" w:type="dxa"/>
            <w:shd w:val="clear" w:color="auto" w:fill="auto"/>
            <w:vAlign w:val="center"/>
          </w:tcPr>
          <w:p w14:paraId="7DE193E4">
            <w:pPr>
              <w:jc w:val="center"/>
              <w:rPr>
                <w:rFonts w:ascii="Times New Roman"/>
                <w:sz w:val="21"/>
                <w:szCs w:val="21"/>
              </w:rPr>
            </w:pPr>
            <w:r>
              <w:rPr>
                <w:rFonts w:hint="eastAsia" w:ascii="Times New Roman"/>
                <w:sz w:val="21"/>
                <w:szCs w:val="21"/>
              </w:rPr>
              <w:t xml:space="preserve">0.0078 </w:t>
            </w:r>
          </w:p>
        </w:tc>
        <w:tc>
          <w:tcPr>
            <w:tcW w:w="1467" w:type="dxa"/>
            <w:shd w:val="clear" w:color="auto" w:fill="auto"/>
            <w:vAlign w:val="center"/>
          </w:tcPr>
          <w:p w14:paraId="20A8A1C6">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4661D0D9">
            <w:pPr>
              <w:jc w:val="center"/>
              <w:rPr>
                <w:rFonts w:ascii="Times New Roman"/>
                <w:sz w:val="21"/>
                <w:szCs w:val="21"/>
              </w:rPr>
            </w:pPr>
            <w:r>
              <w:rPr>
                <w:rFonts w:hint="eastAsia" w:ascii="Times New Roman"/>
                <w:sz w:val="21"/>
                <w:szCs w:val="21"/>
              </w:rPr>
              <w:t xml:space="preserve">0.0078 </w:t>
            </w:r>
          </w:p>
        </w:tc>
        <w:tc>
          <w:tcPr>
            <w:tcW w:w="1454" w:type="dxa"/>
            <w:shd w:val="clear" w:color="auto" w:fill="auto"/>
            <w:vAlign w:val="center"/>
          </w:tcPr>
          <w:p w14:paraId="3B104282">
            <w:pPr>
              <w:jc w:val="center"/>
              <w:rPr>
                <w:rFonts w:ascii="Times New Roman"/>
                <w:sz w:val="21"/>
                <w:szCs w:val="21"/>
              </w:rPr>
            </w:pPr>
            <w:r>
              <w:rPr>
                <w:rFonts w:hint="eastAsia" w:ascii="Times New Roman"/>
                <w:sz w:val="21"/>
                <w:szCs w:val="21"/>
              </w:rPr>
              <w:t>0</w:t>
            </w:r>
          </w:p>
        </w:tc>
      </w:tr>
      <w:tr w14:paraId="533AC6C7">
        <w:tblPrEx>
          <w:tblCellMar>
            <w:top w:w="0" w:type="dxa"/>
            <w:left w:w="108" w:type="dxa"/>
            <w:bottom w:w="0" w:type="dxa"/>
            <w:right w:w="108" w:type="dxa"/>
          </w:tblCellMar>
        </w:tblPrEx>
        <w:trPr>
          <w:trHeight w:val="168" w:hRule="atLeast"/>
        </w:trPr>
        <w:tc>
          <w:tcPr>
            <w:tcW w:w="2629" w:type="dxa"/>
            <w:vAlign w:val="center"/>
          </w:tcPr>
          <w:p w14:paraId="3EC46EB5">
            <w:pPr>
              <w:jc w:val="center"/>
              <w:rPr>
                <w:rFonts w:ascii="Times New Roman"/>
                <w:sz w:val="21"/>
                <w:szCs w:val="21"/>
              </w:rPr>
            </w:pPr>
            <w:r>
              <w:rPr>
                <w:rFonts w:ascii="Times New Roman"/>
                <w:sz w:val="21"/>
                <w:szCs w:val="21"/>
              </w:rPr>
              <w:t>1800.0</w:t>
            </w:r>
          </w:p>
        </w:tc>
        <w:tc>
          <w:tcPr>
            <w:tcW w:w="1566" w:type="dxa"/>
            <w:shd w:val="clear" w:color="auto" w:fill="auto"/>
            <w:vAlign w:val="center"/>
          </w:tcPr>
          <w:p w14:paraId="5970A9A3">
            <w:pPr>
              <w:jc w:val="center"/>
              <w:rPr>
                <w:rFonts w:ascii="Times New Roman"/>
                <w:sz w:val="21"/>
                <w:szCs w:val="21"/>
              </w:rPr>
            </w:pPr>
            <w:r>
              <w:rPr>
                <w:rFonts w:hint="eastAsia" w:ascii="Times New Roman"/>
                <w:sz w:val="21"/>
                <w:szCs w:val="21"/>
              </w:rPr>
              <w:t xml:space="preserve">0.0067 </w:t>
            </w:r>
          </w:p>
        </w:tc>
        <w:tc>
          <w:tcPr>
            <w:tcW w:w="1467" w:type="dxa"/>
            <w:shd w:val="clear" w:color="auto" w:fill="auto"/>
            <w:vAlign w:val="center"/>
          </w:tcPr>
          <w:p w14:paraId="03EF2745">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6B617D63">
            <w:pPr>
              <w:jc w:val="center"/>
              <w:rPr>
                <w:rFonts w:ascii="Times New Roman"/>
                <w:sz w:val="21"/>
                <w:szCs w:val="21"/>
              </w:rPr>
            </w:pPr>
            <w:r>
              <w:rPr>
                <w:rFonts w:hint="eastAsia" w:ascii="Times New Roman"/>
                <w:sz w:val="21"/>
                <w:szCs w:val="21"/>
              </w:rPr>
              <w:t xml:space="preserve">0.0067 </w:t>
            </w:r>
          </w:p>
        </w:tc>
        <w:tc>
          <w:tcPr>
            <w:tcW w:w="1454" w:type="dxa"/>
            <w:shd w:val="clear" w:color="auto" w:fill="auto"/>
            <w:vAlign w:val="center"/>
          </w:tcPr>
          <w:p w14:paraId="150B9B14">
            <w:pPr>
              <w:jc w:val="center"/>
              <w:rPr>
                <w:rFonts w:ascii="Times New Roman"/>
                <w:sz w:val="21"/>
                <w:szCs w:val="21"/>
              </w:rPr>
            </w:pPr>
            <w:r>
              <w:rPr>
                <w:rFonts w:hint="eastAsia" w:ascii="Times New Roman"/>
                <w:sz w:val="21"/>
                <w:szCs w:val="21"/>
              </w:rPr>
              <w:t>0</w:t>
            </w:r>
          </w:p>
        </w:tc>
      </w:tr>
      <w:tr w14:paraId="23B99D4C">
        <w:tblPrEx>
          <w:tblCellMar>
            <w:top w:w="0" w:type="dxa"/>
            <w:left w:w="108" w:type="dxa"/>
            <w:bottom w:w="0" w:type="dxa"/>
            <w:right w:w="108" w:type="dxa"/>
          </w:tblCellMar>
        </w:tblPrEx>
        <w:trPr>
          <w:trHeight w:val="168" w:hRule="atLeast"/>
        </w:trPr>
        <w:tc>
          <w:tcPr>
            <w:tcW w:w="2629" w:type="dxa"/>
            <w:vAlign w:val="center"/>
          </w:tcPr>
          <w:p w14:paraId="4E9FF7F6">
            <w:pPr>
              <w:jc w:val="center"/>
              <w:rPr>
                <w:rFonts w:ascii="Times New Roman"/>
                <w:sz w:val="21"/>
                <w:szCs w:val="21"/>
              </w:rPr>
            </w:pPr>
            <w:r>
              <w:rPr>
                <w:rFonts w:ascii="Times New Roman"/>
                <w:sz w:val="21"/>
                <w:szCs w:val="21"/>
              </w:rPr>
              <w:t>2000.0</w:t>
            </w:r>
          </w:p>
        </w:tc>
        <w:tc>
          <w:tcPr>
            <w:tcW w:w="1566" w:type="dxa"/>
            <w:shd w:val="clear" w:color="auto" w:fill="auto"/>
            <w:vAlign w:val="center"/>
          </w:tcPr>
          <w:p w14:paraId="1FED205D">
            <w:pPr>
              <w:jc w:val="center"/>
              <w:rPr>
                <w:rFonts w:ascii="Times New Roman"/>
                <w:sz w:val="21"/>
                <w:szCs w:val="21"/>
              </w:rPr>
            </w:pPr>
            <w:r>
              <w:rPr>
                <w:rFonts w:hint="eastAsia" w:ascii="Times New Roman"/>
                <w:sz w:val="21"/>
                <w:szCs w:val="21"/>
              </w:rPr>
              <w:t xml:space="preserve">0.0058 </w:t>
            </w:r>
          </w:p>
        </w:tc>
        <w:tc>
          <w:tcPr>
            <w:tcW w:w="1467" w:type="dxa"/>
            <w:shd w:val="clear" w:color="auto" w:fill="auto"/>
            <w:vAlign w:val="center"/>
          </w:tcPr>
          <w:p w14:paraId="65FDC5D4">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1CE14856">
            <w:pPr>
              <w:jc w:val="center"/>
              <w:rPr>
                <w:rFonts w:ascii="Times New Roman"/>
                <w:sz w:val="21"/>
                <w:szCs w:val="21"/>
              </w:rPr>
            </w:pPr>
            <w:r>
              <w:rPr>
                <w:rFonts w:hint="eastAsia" w:ascii="Times New Roman"/>
                <w:sz w:val="21"/>
                <w:szCs w:val="21"/>
              </w:rPr>
              <w:t xml:space="preserve">0.0058 </w:t>
            </w:r>
          </w:p>
        </w:tc>
        <w:tc>
          <w:tcPr>
            <w:tcW w:w="1454" w:type="dxa"/>
            <w:shd w:val="clear" w:color="auto" w:fill="auto"/>
            <w:vAlign w:val="center"/>
          </w:tcPr>
          <w:p w14:paraId="2E975C8D">
            <w:pPr>
              <w:jc w:val="center"/>
              <w:rPr>
                <w:rFonts w:ascii="Times New Roman"/>
                <w:sz w:val="21"/>
                <w:szCs w:val="21"/>
              </w:rPr>
            </w:pPr>
            <w:r>
              <w:rPr>
                <w:rFonts w:hint="eastAsia" w:ascii="Times New Roman"/>
                <w:sz w:val="21"/>
                <w:szCs w:val="21"/>
              </w:rPr>
              <w:t>0</w:t>
            </w:r>
          </w:p>
        </w:tc>
      </w:tr>
      <w:tr w14:paraId="4C226B21">
        <w:tblPrEx>
          <w:tblCellMar>
            <w:top w:w="0" w:type="dxa"/>
            <w:left w:w="108" w:type="dxa"/>
            <w:bottom w:w="0" w:type="dxa"/>
            <w:right w:w="108" w:type="dxa"/>
          </w:tblCellMar>
        </w:tblPrEx>
        <w:trPr>
          <w:trHeight w:val="168" w:hRule="atLeast"/>
        </w:trPr>
        <w:tc>
          <w:tcPr>
            <w:tcW w:w="2629" w:type="dxa"/>
            <w:vAlign w:val="center"/>
          </w:tcPr>
          <w:p w14:paraId="36D10714">
            <w:pPr>
              <w:jc w:val="center"/>
              <w:rPr>
                <w:rFonts w:ascii="Times New Roman"/>
                <w:sz w:val="21"/>
                <w:szCs w:val="21"/>
              </w:rPr>
            </w:pPr>
            <w:r>
              <w:rPr>
                <w:rFonts w:ascii="Times New Roman"/>
                <w:sz w:val="21"/>
                <w:szCs w:val="21"/>
              </w:rPr>
              <w:t>2500.0</w:t>
            </w:r>
          </w:p>
        </w:tc>
        <w:tc>
          <w:tcPr>
            <w:tcW w:w="1566" w:type="dxa"/>
            <w:shd w:val="clear" w:color="auto" w:fill="auto"/>
            <w:vAlign w:val="center"/>
          </w:tcPr>
          <w:p w14:paraId="1D3549E1">
            <w:pPr>
              <w:jc w:val="center"/>
              <w:rPr>
                <w:rFonts w:ascii="Times New Roman"/>
                <w:sz w:val="21"/>
                <w:szCs w:val="21"/>
              </w:rPr>
            </w:pPr>
            <w:r>
              <w:rPr>
                <w:rFonts w:hint="eastAsia" w:ascii="Times New Roman"/>
                <w:sz w:val="21"/>
                <w:szCs w:val="21"/>
              </w:rPr>
              <w:t xml:space="preserve">0.0043 </w:t>
            </w:r>
          </w:p>
        </w:tc>
        <w:tc>
          <w:tcPr>
            <w:tcW w:w="1467" w:type="dxa"/>
            <w:shd w:val="clear" w:color="auto" w:fill="auto"/>
            <w:vAlign w:val="center"/>
          </w:tcPr>
          <w:p w14:paraId="673AA543">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7C8BF746">
            <w:pPr>
              <w:jc w:val="center"/>
              <w:rPr>
                <w:rFonts w:ascii="Times New Roman"/>
                <w:sz w:val="21"/>
                <w:szCs w:val="21"/>
              </w:rPr>
            </w:pPr>
            <w:r>
              <w:rPr>
                <w:rFonts w:hint="eastAsia" w:ascii="Times New Roman"/>
                <w:sz w:val="21"/>
                <w:szCs w:val="21"/>
              </w:rPr>
              <w:t xml:space="preserve">0.0043 </w:t>
            </w:r>
          </w:p>
        </w:tc>
        <w:tc>
          <w:tcPr>
            <w:tcW w:w="1454" w:type="dxa"/>
            <w:shd w:val="clear" w:color="auto" w:fill="auto"/>
            <w:vAlign w:val="center"/>
          </w:tcPr>
          <w:p w14:paraId="32308374">
            <w:pPr>
              <w:jc w:val="center"/>
              <w:rPr>
                <w:rFonts w:ascii="Times New Roman"/>
                <w:sz w:val="21"/>
                <w:szCs w:val="21"/>
              </w:rPr>
            </w:pPr>
            <w:r>
              <w:rPr>
                <w:rFonts w:hint="eastAsia" w:ascii="Times New Roman"/>
                <w:sz w:val="21"/>
                <w:szCs w:val="21"/>
              </w:rPr>
              <w:t>0</w:t>
            </w:r>
          </w:p>
        </w:tc>
      </w:tr>
      <w:tr w14:paraId="37ECD02B">
        <w:tblPrEx>
          <w:tblCellMar>
            <w:top w:w="0" w:type="dxa"/>
            <w:left w:w="108" w:type="dxa"/>
            <w:bottom w:w="0" w:type="dxa"/>
            <w:right w:w="108" w:type="dxa"/>
          </w:tblCellMar>
        </w:tblPrEx>
        <w:trPr>
          <w:trHeight w:val="168" w:hRule="atLeast"/>
        </w:trPr>
        <w:tc>
          <w:tcPr>
            <w:tcW w:w="2629" w:type="dxa"/>
            <w:vAlign w:val="center"/>
          </w:tcPr>
          <w:p w14:paraId="438CB93E">
            <w:pPr>
              <w:jc w:val="center"/>
              <w:rPr>
                <w:rFonts w:ascii="Times New Roman"/>
                <w:sz w:val="21"/>
                <w:szCs w:val="21"/>
              </w:rPr>
            </w:pPr>
            <w:r>
              <w:rPr>
                <w:rFonts w:ascii="Times New Roman"/>
                <w:sz w:val="21"/>
                <w:szCs w:val="21"/>
              </w:rPr>
              <w:t>3000.0</w:t>
            </w:r>
          </w:p>
        </w:tc>
        <w:tc>
          <w:tcPr>
            <w:tcW w:w="1566" w:type="dxa"/>
            <w:shd w:val="clear" w:color="auto" w:fill="auto"/>
            <w:vAlign w:val="center"/>
          </w:tcPr>
          <w:p w14:paraId="6A5E3489">
            <w:pPr>
              <w:jc w:val="center"/>
              <w:rPr>
                <w:rFonts w:ascii="Times New Roman"/>
                <w:sz w:val="21"/>
                <w:szCs w:val="21"/>
              </w:rPr>
            </w:pPr>
            <w:r>
              <w:rPr>
                <w:rFonts w:hint="eastAsia" w:ascii="Times New Roman"/>
                <w:sz w:val="21"/>
                <w:szCs w:val="21"/>
              </w:rPr>
              <w:t xml:space="preserve">0.0033 </w:t>
            </w:r>
          </w:p>
        </w:tc>
        <w:tc>
          <w:tcPr>
            <w:tcW w:w="1467" w:type="dxa"/>
            <w:shd w:val="clear" w:color="auto" w:fill="auto"/>
            <w:vAlign w:val="center"/>
          </w:tcPr>
          <w:p w14:paraId="3E05B1EA">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70BFAF09">
            <w:pPr>
              <w:jc w:val="center"/>
              <w:rPr>
                <w:rFonts w:ascii="Times New Roman"/>
                <w:sz w:val="21"/>
                <w:szCs w:val="21"/>
              </w:rPr>
            </w:pPr>
            <w:r>
              <w:rPr>
                <w:rFonts w:hint="eastAsia" w:ascii="Times New Roman"/>
                <w:sz w:val="21"/>
                <w:szCs w:val="21"/>
              </w:rPr>
              <w:t xml:space="preserve">0.0033 </w:t>
            </w:r>
          </w:p>
        </w:tc>
        <w:tc>
          <w:tcPr>
            <w:tcW w:w="1454" w:type="dxa"/>
            <w:shd w:val="clear" w:color="auto" w:fill="auto"/>
            <w:vAlign w:val="center"/>
          </w:tcPr>
          <w:p w14:paraId="41A13ACC">
            <w:pPr>
              <w:jc w:val="center"/>
              <w:rPr>
                <w:rFonts w:ascii="Times New Roman"/>
                <w:sz w:val="21"/>
                <w:szCs w:val="21"/>
              </w:rPr>
            </w:pPr>
            <w:r>
              <w:rPr>
                <w:rFonts w:hint="eastAsia" w:ascii="Times New Roman"/>
                <w:sz w:val="21"/>
                <w:szCs w:val="21"/>
              </w:rPr>
              <w:t>0</w:t>
            </w:r>
          </w:p>
        </w:tc>
      </w:tr>
      <w:tr w14:paraId="4A6DD610">
        <w:tblPrEx>
          <w:tblCellMar>
            <w:top w:w="0" w:type="dxa"/>
            <w:left w:w="108" w:type="dxa"/>
            <w:bottom w:w="0" w:type="dxa"/>
            <w:right w:w="108" w:type="dxa"/>
          </w:tblCellMar>
        </w:tblPrEx>
        <w:trPr>
          <w:trHeight w:val="168" w:hRule="atLeast"/>
        </w:trPr>
        <w:tc>
          <w:tcPr>
            <w:tcW w:w="2629" w:type="dxa"/>
            <w:vAlign w:val="center"/>
          </w:tcPr>
          <w:p w14:paraId="694CB203">
            <w:pPr>
              <w:jc w:val="center"/>
              <w:rPr>
                <w:rFonts w:ascii="Times New Roman"/>
                <w:sz w:val="21"/>
                <w:szCs w:val="21"/>
              </w:rPr>
            </w:pPr>
            <w:r>
              <w:rPr>
                <w:rFonts w:ascii="Times New Roman"/>
                <w:sz w:val="21"/>
                <w:szCs w:val="21"/>
              </w:rPr>
              <w:t>3500.0</w:t>
            </w:r>
          </w:p>
        </w:tc>
        <w:tc>
          <w:tcPr>
            <w:tcW w:w="1566" w:type="dxa"/>
            <w:shd w:val="clear" w:color="auto" w:fill="auto"/>
            <w:vAlign w:val="center"/>
          </w:tcPr>
          <w:p w14:paraId="265B21A6">
            <w:pPr>
              <w:jc w:val="center"/>
              <w:rPr>
                <w:rFonts w:ascii="Times New Roman"/>
                <w:sz w:val="21"/>
                <w:szCs w:val="21"/>
              </w:rPr>
            </w:pPr>
            <w:r>
              <w:rPr>
                <w:rFonts w:hint="eastAsia" w:ascii="Times New Roman"/>
                <w:sz w:val="21"/>
                <w:szCs w:val="21"/>
              </w:rPr>
              <w:t xml:space="preserve">0.0027 </w:t>
            </w:r>
          </w:p>
        </w:tc>
        <w:tc>
          <w:tcPr>
            <w:tcW w:w="1467" w:type="dxa"/>
            <w:shd w:val="clear" w:color="auto" w:fill="auto"/>
            <w:vAlign w:val="center"/>
          </w:tcPr>
          <w:p w14:paraId="4983616C">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330DBA5A">
            <w:pPr>
              <w:jc w:val="center"/>
              <w:rPr>
                <w:rFonts w:ascii="Times New Roman"/>
                <w:sz w:val="21"/>
                <w:szCs w:val="21"/>
              </w:rPr>
            </w:pPr>
            <w:r>
              <w:rPr>
                <w:rFonts w:hint="eastAsia" w:ascii="Times New Roman"/>
                <w:sz w:val="21"/>
                <w:szCs w:val="21"/>
              </w:rPr>
              <w:t xml:space="preserve">0.0027 </w:t>
            </w:r>
          </w:p>
        </w:tc>
        <w:tc>
          <w:tcPr>
            <w:tcW w:w="1454" w:type="dxa"/>
            <w:shd w:val="clear" w:color="auto" w:fill="auto"/>
            <w:vAlign w:val="center"/>
          </w:tcPr>
          <w:p w14:paraId="242E0F8C">
            <w:pPr>
              <w:jc w:val="center"/>
              <w:rPr>
                <w:rFonts w:ascii="Times New Roman"/>
                <w:sz w:val="21"/>
                <w:szCs w:val="21"/>
              </w:rPr>
            </w:pPr>
            <w:r>
              <w:rPr>
                <w:rFonts w:hint="eastAsia" w:ascii="Times New Roman"/>
                <w:sz w:val="21"/>
                <w:szCs w:val="21"/>
              </w:rPr>
              <w:t>0</w:t>
            </w:r>
          </w:p>
        </w:tc>
      </w:tr>
      <w:tr w14:paraId="4F3FD7E4">
        <w:tblPrEx>
          <w:tblCellMar>
            <w:top w:w="0" w:type="dxa"/>
            <w:left w:w="108" w:type="dxa"/>
            <w:bottom w:w="0" w:type="dxa"/>
            <w:right w:w="108" w:type="dxa"/>
          </w:tblCellMar>
        </w:tblPrEx>
        <w:trPr>
          <w:trHeight w:val="168" w:hRule="atLeast"/>
        </w:trPr>
        <w:tc>
          <w:tcPr>
            <w:tcW w:w="2629" w:type="dxa"/>
            <w:vAlign w:val="center"/>
          </w:tcPr>
          <w:p w14:paraId="4F231938">
            <w:pPr>
              <w:jc w:val="center"/>
              <w:rPr>
                <w:rFonts w:ascii="Times New Roman"/>
                <w:sz w:val="21"/>
                <w:szCs w:val="21"/>
              </w:rPr>
            </w:pPr>
            <w:r>
              <w:rPr>
                <w:rFonts w:ascii="Times New Roman"/>
                <w:sz w:val="21"/>
                <w:szCs w:val="21"/>
              </w:rPr>
              <w:t>4000.0</w:t>
            </w:r>
          </w:p>
        </w:tc>
        <w:tc>
          <w:tcPr>
            <w:tcW w:w="1566" w:type="dxa"/>
            <w:shd w:val="clear" w:color="auto" w:fill="auto"/>
            <w:vAlign w:val="center"/>
          </w:tcPr>
          <w:p w14:paraId="30EEFA8E">
            <w:pPr>
              <w:jc w:val="center"/>
              <w:rPr>
                <w:rFonts w:ascii="Times New Roman"/>
                <w:sz w:val="21"/>
                <w:szCs w:val="21"/>
              </w:rPr>
            </w:pPr>
            <w:r>
              <w:rPr>
                <w:rFonts w:hint="eastAsia" w:ascii="Times New Roman"/>
                <w:sz w:val="21"/>
                <w:szCs w:val="21"/>
              </w:rPr>
              <w:t xml:space="preserve">0.0022 </w:t>
            </w:r>
          </w:p>
        </w:tc>
        <w:tc>
          <w:tcPr>
            <w:tcW w:w="1467" w:type="dxa"/>
            <w:shd w:val="clear" w:color="auto" w:fill="auto"/>
            <w:vAlign w:val="center"/>
          </w:tcPr>
          <w:p w14:paraId="723B8CC9">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6DDEBABE">
            <w:pPr>
              <w:jc w:val="center"/>
              <w:rPr>
                <w:rFonts w:ascii="Times New Roman"/>
                <w:sz w:val="21"/>
                <w:szCs w:val="21"/>
              </w:rPr>
            </w:pPr>
            <w:r>
              <w:rPr>
                <w:rFonts w:hint="eastAsia" w:ascii="Times New Roman"/>
                <w:sz w:val="21"/>
                <w:szCs w:val="21"/>
              </w:rPr>
              <w:t xml:space="preserve">0.0022 </w:t>
            </w:r>
          </w:p>
        </w:tc>
        <w:tc>
          <w:tcPr>
            <w:tcW w:w="1454" w:type="dxa"/>
            <w:shd w:val="clear" w:color="auto" w:fill="auto"/>
            <w:vAlign w:val="center"/>
          </w:tcPr>
          <w:p w14:paraId="054E36FF">
            <w:pPr>
              <w:jc w:val="center"/>
              <w:rPr>
                <w:rFonts w:ascii="Times New Roman"/>
                <w:sz w:val="21"/>
                <w:szCs w:val="21"/>
              </w:rPr>
            </w:pPr>
            <w:r>
              <w:rPr>
                <w:rFonts w:hint="eastAsia" w:ascii="Times New Roman"/>
                <w:sz w:val="21"/>
                <w:szCs w:val="21"/>
              </w:rPr>
              <w:t>0</w:t>
            </w:r>
          </w:p>
        </w:tc>
      </w:tr>
      <w:tr w14:paraId="7FBE6DE9">
        <w:tblPrEx>
          <w:tblCellMar>
            <w:top w:w="0" w:type="dxa"/>
            <w:left w:w="108" w:type="dxa"/>
            <w:bottom w:w="0" w:type="dxa"/>
            <w:right w:w="108" w:type="dxa"/>
          </w:tblCellMar>
        </w:tblPrEx>
        <w:trPr>
          <w:trHeight w:val="168" w:hRule="atLeast"/>
        </w:trPr>
        <w:tc>
          <w:tcPr>
            <w:tcW w:w="2629" w:type="dxa"/>
            <w:vAlign w:val="center"/>
          </w:tcPr>
          <w:p w14:paraId="5A1FACC5">
            <w:pPr>
              <w:jc w:val="center"/>
              <w:rPr>
                <w:rFonts w:ascii="Times New Roman"/>
                <w:sz w:val="21"/>
                <w:szCs w:val="21"/>
              </w:rPr>
            </w:pPr>
            <w:r>
              <w:rPr>
                <w:rFonts w:ascii="Times New Roman"/>
                <w:sz w:val="21"/>
                <w:szCs w:val="21"/>
              </w:rPr>
              <w:t>4500.0</w:t>
            </w:r>
          </w:p>
        </w:tc>
        <w:tc>
          <w:tcPr>
            <w:tcW w:w="1566" w:type="dxa"/>
            <w:shd w:val="clear" w:color="auto" w:fill="auto"/>
            <w:vAlign w:val="center"/>
          </w:tcPr>
          <w:p w14:paraId="13B2DCF4">
            <w:pPr>
              <w:jc w:val="center"/>
              <w:rPr>
                <w:rFonts w:ascii="Times New Roman"/>
                <w:sz w:val="21"/>
                <w:szCs w:val="21"/>
              </w:rPr>
            </w:pPr>
            <w:r>
              <w:rPr>
                <w:rFonts w:hint="eastAsia" w:ascii="Times New Roman"/>
                <w:sz w:val="21"/>
                <w:szCs w:val="21"/>
              </w:rPr>
              <w:t xml:space="preserve">0.0019 </w:t>
            </w:r>
          </w:p>
        </w:tc>
        <w:tc>
          <w:tcPr>
            <w:tcW w:w="1467" w:type="dxa"/>
            <w:shd w:val="clear" w:color="auto" w:fill="auto"/>
            <w:vAlign w:val="center"/>
          </w:tcPr>
          <w:p w14:paraId="79DEAAE5">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59D3226D">
            <w:pPr>
              <w:jc w:val="center"/>
              <w:rPr>
                <w:rFonts w:ascii="Times New Roman"/>
                <w:sz w:val="21"/>
                <w:szCs w:val="21"/>
              </w:rPr>
            </w:pPr>
            <w:r>
              <w:rPr>
                <w:rFonts w:hint="eastAsia" w:ascii="Times New Roman"/>
                <w:sz w:val="21"/>
                <w:szCs w:val="21"/>
              </w:rPr>
              <w:t xml:space="preserve">0.0019 </w:t>
            </w:r>
          </w:p>
        </w:tc>
        <w:tc>
          <w:tcPr>
            <w:tcW w:w="1454" w:type="dxa"/>
            <w:shd w:val="clear" w:color="auto" w:fill="auto"/>
            <w:vAlign w:val="center"/>
          </w:tcPr>
          <w:p w14:paraId="02D4EF39">
            <w:pPr>
              <w:jc w:val="center"/>
              <w:rPr>
                <w:rFonts w:ascii="Times New Roman"/>
                <w:sz w:val="21"/>
                <w:szCs w:val="21"/>
              </w:rPr>
            </w:pPr>
            <w:r>
              <w:rPr>
                <w:rFonts w:hint="eastAsia" w:ascii="Times New Roman"/>
                <w:sz w:val="21"/>
                <w:szCs w:val="21"/>
              </w:rPr>
              <w:t>0</w:t>
            </w:r>
          </w:p>
        </w:tc>
      </w:tr>
      <w:tr w14:paraId="0F7AB0B8">
        <w:tblPrEx>
          <w:tblCellMar>
            <w:top w:w="0" w:type="dxa"/>
            <w:left w:w="108" w:type="dxa"/>
            <w:bottom w:w="0" w:type="dxa"/>
            <w:right w:w="108" w:type="dxa"/>
          </w:tblCellMar>
        </w:tblPrEx>
        <w:trPr>
          <w:trHeight w:val="168" w:hRule="atLeast"/>
        </w:trPr>
        <w:tc>
          <w:tcPr>
            <w:tcW w:w="2629" w:type="dxa"/>
            <w:vAlign w:val="center"/>
          </w:tcPr>
          <w:p w14:paraId="0F545F24">
            <w:pPr>
              <w:jc w:val="center"/>
              <w:rPr>
                <w:rFonts w:ascii="Times New Roman"/>
                <w:sz w:val="21"/>
                <w:szCs w:val="21"/>
              </w:rPr>
            </w:pPr>
            <w:r>
              <w:rPr>
                <w:rFonts w:ascii="Times New Roman"/>
                <w:sz w:val="21"/>
                <w:szCs w:val="21"/>
              </w:rPr>
              <w:t>5000.0</w:t>
            </w:r>
          </w:p>
        </w:tc>
        <w:tc>
          <w:tcPr>
            <w:tcW w:w="1566" w:type="dxa"/>
            <w:shd w:val="clear" w:color="auto" w:fill="auto"/>
            <w:vAlign w:val="center"/>
          </w:tcPr>
          <w:p w14:paraId="64BD1622">
            <w:pPr>
              <w:jc w:val="center"/>
              <w:rPr>
                <w:rFonts w:ascii="Times New Roman"/>
                <w:sz w:val="21"/>
                <w:szCs w:val="21"/>
              </w:rPr>
            </w:pPr>
            <w:r>
              <w:rPr>
                <w:rFonts w:hint="eastAsia" w:ascii="Times New Roman"/>
                <w:sz w:val="21"/>
                <w:szCs w:val="21"/>
              </w:rPr>
              <w:t xml:space="preserve">0.0017 </w:t>
            </w:r>
          </w:p>
        </w:tc>
        <w:tc>
          <w:tcPr>
            <w:tcW w:w="1467" w:type="dxa"/>
            <w:shd w:val="clear" w:color="auto" w:fill="auto"/>
            <w:vAlign w:val="center"/>
          </w:tcPr>
          <w:p w14:paraId="56D370E3">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063DE2FD">
            <w:pPr>
              <w:jc w:val="center"/>
              <w:rPr>
                <w:rFonts w:ascii="Times New Roman"/>
                <w:sz w:val="21"/>
                <w:szCs w:val="21"/>
              </w:rPr>
            </w:pPr>
            <w:r>
              <w:rPr>
                <w:rFonts w:hint="eastAsia" w:ascii="Times New Roman"/>
                <w:sz w:val="21"/>
                <w:szCs w:val="21"/>
              </w:rPr>
              <w:t xml:space="preserve">0.0017 </w:t>
            </w:r>
          </w:p>
        </w:tc>
        <w:tc>
          <w:tcPr>
            <w:tcW w:w="1454" w:type="dxa"/>
            <w:shd w:val="clear" w:color="auto" w:fill="auto"/>
            <w:vAlign w:val="center"/>
          </w:tcPr>
          <w:p w14:paraId="2BF9838A">
            <w:pPr>
              <w:jc w:val="center"/>
              <w:rPr>
                <w:rFonts w:ascii="Times New Roman"/>
                <w:sz w:val="21"/>
                <w:szCs w:val="21"/>
              </w:rPr>
            </w:pPr>
            <w:r>
              <w:rPr>
                <w:rFonts w:hint="eastAsia" w:ascii="Times New Roman"/>
                <w:sz w:val="21"/>
                <w:szCs w:val="21"/>
              </w:rPr>
              <w:t>0</w:t>
            </w:r>
          </w:p>
        </w:tc>
      </w:tr>
      <w:tr w14:paraId="7F2072C9">
        <w:tblPrEx>
          <w:tblCellMar>
            <w:top w:w="0" w:type="dxa"/>
            <w:left w:w="108" w:type="dxa"/>
            <w:bottom w:w="0" w:type="dxa"/>
            <w:right w:w="108" w:type="dxa"/>
          </w:tblCellMar>
        </w:tblPrEx>
        <w:trPr>
          <w:trHeight w:val="168" w:hRule="atLeast"/>
        </w:trPr>
        <w:tc>
          <w:tcPr>
            <w:tcW w:w="2629" w:type="dxa"/>
            <w:vAlign w:val="center"/>
          </w:tcPr>
          <w:p w14:paraId="3AB51F11">
            <w:pPr>
              <w:jc w:val="center"/>
              <w:rPr>
                <w:rFonts w:ascii="Times New Roman"/>
                <w:sz w:val="21"/>
                <w:szCs w:val="21"/>
              </w:rPr>
            </w:pPr>
            <w:r>
              <w:rPr>
                <w:rFonts w:ascii="Times New Roman"/>
                <w:sz w:val="21"/>
                <w:szCs w:val="21"/>
              </w:rPr>
              <w:t>10000.0</w:t>
            </w:r>
          </w:p>
        </w:tc>
        <w:tc>
          <w:tcPr>
            <w:tcW w:w="1566" w:type="dxa"/>
            <w:shd w:val="clear" w:color="auto" w:fill="auto"/>
            <w:vAlign w:val="center"/>
          </w:tcPr>
          <w:p w14:paraId="5598A6F2">
            <w:pPr>
              <w:jc w:val="center"/>
              <w:rPr>
                <w:rFonts w:ascii="Times New Roman"/>
                <w:sz w:val="21"/>
                <w:szCs w:val="21"/>
              </w:rPr>
            </w:pPr>
            <w:r>
              <w:rPr>
                <w:rFonts w:hint="eastAsia" w:ascii="Times New Roman"/>
                <w:sz w:val="21"/>
                <w:szCs w:val="21"/>
              </w:rPr>
              <w:t xml:space="preserve">0.0007 </w:t>
            </w:r>
          </w:p>
        </w:tc>
        <w:tc>
          <w:tcPr>
            <w:tcW w:w="1467" w:type="dxa"/>
            <w:shd w:val="clear" w:color="auto" w:fill="auto"/>
            <w:vAlign w:val="center"/>
          </w:tcPr>
          <w:p w14:paraId="13010B88">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08C4D670">
            <w:pPr>
              <w:jc w:val="center"/>
              <w:rPr>
                <w:rFonts w:ascii="Times New Roman"/>
                <w:sz w:val="21"/>
                <w:szCs w:val="21"/>
              </w:rPr>
            </w:pPr>
            <w:r>
              <w:rPr>
                <w:rFonts w:hint="eastAsia" w:ascii="Times New Roman"/>
                <w:sz w:val="21"/>
                <w:szCs w:val="21"/>
              </w:rPr>
              <w:t xml:space="preserve">0.0007 </w:t>
            </w:r>
          </w:p>
        </w:tc>
        <w:tc>
          <w:tcPr>
            <w:tcW w:w="1454" w:type="dxa"/>
            <w:shd w:val="clear" w:color="auto" w:fill="auto"/>
            <w:vAlign w:val="center"/>
          </w:tcPr>
          <w:p w14:paraId="0F3305D2">
            <w:pPr>
              <w:jc w:val="center"/>
              <w:rPr>
                <w:rFonts w:ascii="Times New Roman"/>
                <w:sz w:val="21"/>
                <w:szCs w:val="21"/>
              </w:rPr>
            </w:pPr>
            <w:r>
              <w:rPr>
                <w:rFonts w:hint="eastAsia" w:ascii="Times New Roman"/>
                <w:sz w:val="21"/>
                <w:szCs w:val="21"/>
              </w:rPr>
              <w:t>0</w:t>
            </w:r>
          </w:p>
        </w:tc>
      </w:tr>
      <w:tr w14:paraId="2D6D7B0A">
        <w:tblPrEx>
          <w:tblCellMar>
            <w:top w:w="0" w:type="dxa"/>
            <w:left w:w="108" w:type="dxa"/>
            <w:bottom w:w="0" w:type="dxa"/>
            <w:right w:w="108" w:type="dxa"/>
          </w:tblCellMar>
        </w:tblPrEx>
        <w:trPr>
          <w:trHeight w:val="168" w:hRule="atLeast"/>
        </w:trPr>
        <w:tc>
          <w:tcPr>
            <w:tcW w:w="2629" w:type="dxa"/>
            <w:vAlign w:val="center"/>
          </w:tcPr>
          <w:p w14:paraId="21E69918">
            <w:pPr>
              <w:jc w:val="center"/>
              <w:rPr>
                <w:rFonts w:ascii="Times New Roman"/>
                <w:sz w:val="21"/>
                <w:szCs w:val="21"/>
              </w:rPr>
            </w:pPr>
            <w:r>
              <w:rPr>
                <w:rFonts w:ascii="Times New Roman"/>
                <w:sz w:val="21"/>
                <w:szCs w:val="21"/>
              </w:rPr>
              <w:t>11000.0</w:t>
            </w:r>
          </w:p>
        </w:tc>
        <w:tc>
          <w:tcPr>
            <w:tcW w:w="1566" w:type="dxa"/>
            <w:shd w:val="clear" w:color="auto" w:fill="auto"/>
            <w:vAlign w:val="center"/>
          </w:tcPr>
          <w:p w14:paraId="5AAC4C74">
            <w:pPr>
              <w:jc w:val="center"/>
              <w:rPr>
                <w:rFonts w:ascii="Times New Roman"/>
                <w:sz w:val="21"/>
                <w:szCs w:val="21"/>
              </w:rPr>
            </w:pPr>
            <w:r>
              <w:rPr>
                <w:rFonts w:hint="eastAsia" w:ascii="Times New Roman"/>
                <w:sz w:val="21"/>
                <w:szCs w:val="21"/>
              </w:rPr>
              <w:t xml:space="preserve">0.0006 </w:t>
            </w:r>
          </w:p>
        </w:tc>
        <w:tc>
          <w:tcPr>
            <w:tcW w:w="1467" w:type="dxa"/>
            <w:shd w:val="clear" w:color="auto" w:fill="auto"/>
            <w:vAlign w:val="center"/>
          </w:tcPr>
          <w:p w14:paraId="6B4777DE">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2C91007C">
            <w:pPr>
              <w:jc w:val="center"/>
              <w:rPr>
                <w:rFonts w:ascii="Times New Roman"/>
                <w:sz w:val="21"/>
                <w:szCs w:val="21"/>
              </w:rPr>
            </w:pPr>
            <w:r>
              <w:rPr>
                <w:rFonts w:hint="eastAsia" w:ascii="Times New Roman"/>
                <w:sz w:val="21"/>
                <w:szCs w:val="21"/>
              </w:rPr>
              <w:t xml:space="preserve">0.0006 </w:t>
            </w:r>
          </w:p>
        </w:tc>
        <w:tc>
          <w:tcPr>
            <w:tcW w:w="1454" w:type="dxa"/>
            <w:shd w:val="clear" w:color="auto" w:fill="auto"/>
            <w:vAlign w:val="center"/>
          </w:tcPr>
          <w:p w14:paraId="369BE11D">
            <w:pPr>
              <w:jc w:val="center"/>
              <w:rPr>
                <w:rFonts w:ascii="Times New Roman"/>
                <w:sz w:val="21"/>
                <w:szCs w:val="21"/>
              </w:rPr>
            </w:pPr>
            <w:r>
              <w:rPr>
                <w:rFonts w:hint="eastAsia" w:ascii="Times New Roman"/>
                <w:sz w:val="21"/>
                <w:szCs w:val="21"/>
              </w:rPr>
              <w:t>0</w:t>
            </w:r>
          </w:p>
        </w:tc>
      </w:tr>
      <w:tr w14:paraId="7E3E7C53">
        <w:tblPrEx>
          <w:tblCellMar>
            <w:top w:w="0" w:type="dxa"/>
            <w:left w:w="108" w:type="dxa"/>
            <w:bottom w:w="0" w:type="dxa"/>
            <w:right w:w="108" w:type="dxa"/>
          </w:tblCellMar>
        </w:tblPrEx>
        <w:trPr>
          <w:trHeight w:val="168" w:hRule="atLeast"/>
        </w:trPr>
        <w:tc>
          <w:tcPr>
            <w:tcW w:w="2629" w:type="dxa"/>
            <w:vAlign w:val="center"/>
          </w:tcPr>
          <w:p w14:paraId="018B6D5C">
            <w:pPr>
              <w:jc w:val="center"/>
              <w:rPr>
                <w:rFonts w:ascii="Times New Roman"/>
                <w:sz w:val="21"/>
                <w:szCs w:val="21"/>
              </w:rPr>
            </w:pPr>
            <w:r>
              <w:rPr>
                <w:rFonts w:ascii="Times New Roman"/>
                <w:sz w:val="21"/>
                <w:szCs w:val="21"/>
              </w:rPr>
              <w:t>12000.0</w:t>
            </w:r>
          </w:p>
        </w:tc>
        <w:tc>
          <w:tcPr>
            <w:tcW w:w="1566" w:type="dxa"/>
            <w:shd w:val="clear" w:color="auto" w:fill="auto"/>
            <w:vAlign w:val="center"/>
          </w:tcPr>
          <w:p w14:paraId="3009909E">
            <w:pPr>
              <w:jc w:val="center"/>
              <w:rPr>
                <w:rFonts w:ascii="Times New Roman"/>
                <w:sz w:val="21"/>
                <w:szCs w:val="21"/>
              </w:rPr>
            </w:pPr>
            <w:r>
              <w:rPr>
                <w:rFonts w:hint="eastAsia" w:ascii="Times New Roman"/>
                <w:sz w:val="21"/>
                <w:szCs w:val="21"/>
              </w:rPr>
              <w:t xml:space="preserve">0.0005 </w:t>
            </w:r>
          </w:p>
        </w:tc>
        <w:tc>
          <w:tcPr>
            <w:tcW w:w="1467" w:type="dxa"/>
            <w:shd w:val="clear" w:color="auto" w:fill="auto"/>
            <w:vAlign w:val="center"/>
          </w:tcPr>
          <w:p w14:paraId="4BD1FF48">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4BBD877F">
            <w:pPr>
              <w:jc w:val="center"/>
              <w:rPr>
                <w:rFonts w:ascii="Times New Roman"/>
                <w:sz w:val="21"/>
                <w:szCs w:val="21"/>
              </w:rPr>
            </w:pPr>
            <w:r>
              <w:rPr>
                <w:rFonts w:hint="eastAsia" w:ascii="Times New Roman"/>
                <w:sz w:val="21"/>
                <w:szCs w:val="21"/>
              </w:rPr>
              <w:t xml:space="preserve">0.0005 </w:t>
            </w:r>
          </w:p>
        </w:tc>
        <w:tc>
          <w:tcPr>
            <w:tcW w:w="1454" w:type="dxa"/>
            <w:shd w:val="clear" w:color="auto" w:fill="auto"/>
            <w:vAlign w:val="center"/>
          </w:tcPr>
          <w:p w14:paraId="0A8BEB91">
            <w:pPr>
              <w:jc w:val="center"/>
              <w:rPr>
                <w:rFonts w:ascii="Times New Roman"/>
                <w:sz w:val="21"/>
                <w:szCs w:val="21"/>
              </w:rPr>
            </w:pPr>
            <w:r>
              <w:rPr>
                <w:rFonts w:hint="eastAsia" w:ascii="Times New Roman"/>
                <w:sz w:val="21"/>
                <w:szCs w:val="21"/>
              </w:rPr>
              <w:t>0</w:t>
            </w:r>
          </w:p>
        </w:tc>
      </w:tr>
      <w:tr w14:paraId="3A0A02C9">
        <w:tblPrEx>
          <w:tblCellMar>
            <w:top w:w="0" w:type="dxa"/>
            <w:left w:w="108" w:type="dxa"/>
            <w:bottom w:w="0" w:type="dxa"/>
            <w:right w:w="108" w:type="dxa"/>
          </w:tblCellMar>
        </w:tblPrEx>
        <w:trPr>
          <w:trHeight w:val="168" w:hRule="atLeast"/>
        </w:trPr>
        <w:tc>
          <w:tcPr>
            <w:tcW w:w="2629" w:type="dxa"/>
            <w:vAlign w:val="center"/>
          </w:tcPr>
          <w:p w14:paraId="5DB2883A">
            <w:pPr>
              <w:jc w:val="center"/>
              <w:rPr>
                <w:rFonts w:ascii="Times New Roman"/>
                <w:sz w:val="21"/>
                <w:szCs w:val="21"/>
              </w:rPr>
            </w:pPr>
            <w:r>
              <w:rPr>
                <w:rFonts w:ascii="Times New Roman"/>
                <w:sz w:val="21"/>
                <w:szCs w:val="21"/>
              </w:rPr>
              <w:t>13000.0</w:t>
            </w:r>
          </w:p>
        </w:tc>
        <w:tc>
          <w:tcPr>
            <w:tcW w:w="1566" w:type="dxa"/>
            <w:shd w:val="clear" w:color="auto" w:fill="auto"/>
            <w:vAlign w:val="center"/>
          </w:tcPr>
          <w:p w14:paraId="25CC2C91">
            <w:pPr>
              <w:jc w:val="center"/>
              <w:rPr>
                <w:rFonts w:ascii="Times New Roman"/>
                <w:sz w:val="21"/>
                <w:szCs w:val="21"/>
              </w:rPr>
            </w:pPr>
            <w:r>
              <w:rPr>
                <w:rFonts w:hint="eastAsia" w:ascii="Times New Roman"/>
                <w:sz w:val="21"/>
                <w:szCs w:val="21"/>
              </w:rPr>
              <w:t xml:space="preserve">0.0005 </w:t>
            </w:r>
          </w:p>
        </w:tc>
        <w:tc>
          <w:tcPr>
            <w:tcW w:w="1467" w:type="dxa"/>
            <w:shd w:val="clear" w:color="auto" w:fill="auto"/>
            <w:vAlign w:val="center"/>
          </w:tcPr>
          <w:p w14:paraId="51C78F2E">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25CB309F">
            <w:pPr>
              <w:jc w:val="center"/>
              <w:rPr>
                <w:rFonts w:ascii="Times New Roman"/>
                <w:sz w:val="21"/>
                <w:szCs w:val="21"/>
              </w:rPr>
            </w:pPr>
            <w:r>
              <w:rPr>
                <w:rFonts w:hint="eastAsia" w:ascii="Times New Roman"/>
                <w:sz w:val="21"/>
                <w:szCs w:val="21"/>
              </w:rPr>
              <w:t xml:space="preserve">0.0005 </w:t>
            </w:r>
          </w:p>
        </w:tc>
        <w:tc>
          <w:tcPr>
            <w:tcW w:w="1454" w:type="dxa"/>
            <w:shd w:val="clear" w:color="auto" w:fill="auto"/>
            <w:vAlign w:val="center"/>
          </w:tcPr>
          <w:p w14:paraId="387FAB27">
            <w:pPr>
              <w:jc w:val="center"/>
              <w:rPr>
                <w:rFonts w:ascii="Times New Roman"/>
                <w:sz w:val="21"/>
                <w:szCs w:val="21"/>
              </w:rPr>
            </w:pPr>
            <w:r>
              <w:rPr>
                <w:rFonts w:hint="eastAsia" w:ascii="Times New Roman"/>
                <w:sz w:val="21"/>
                <w:szCs w:val="21"/>
              </w:rPr>
              <w:t>0</w:t>
            </w:r>
          </w:p>
        </w:tc>
      </w:tr>
      <w:tr w14:paraId="49761DAB">
        <w:tblPrEx>
          <w:tblCellMar>
            <w:top w:w="0" w:type="dxa"/>
            <w:left w:w="108" w:type="dxa"/>
            <w:bottom w:w="0" w:type="dxa"/>
            <w:right w:w="108" w:type="dxa"/>
          </w:tblCellMar>
        </w:tblPrEx>
        <w:trPr>
          <w:trHeight w:val="168" w:hRule="atLeast"/>
        </w:trPr>
        <w:tc>
          <w:tcPr>
            <w:tcW w:w="2629" w:type="dxa"/>
            <w:vAlign w:val="center"/>
          </w:tcPr>
          <w:p w14:paraId="64395422">
            <w:pPr>
              <w:jc w:val="center"/>
              <w:rPr>
                <w:rFonts w:ascii="Times New Roman"/>
                <w:sz w:val="21"/>
                <w:szCs w:val="21"/>
              </w:rPr>
            </w:pPr>
            <w:r>
              <w:rPr>
                <w:rFonts w:ascii="Times New Roman"/>
                <w:sz w:val="21"/>
                <w:szCs w:val="21"/>
              </w:rPr>
              <w:t>14000.0</w:t>
            </w:r>
          </w:p>
        </w:tc>
        <w:tc>
          <w:tcPr>
            <w:tcW w:w="1566" w:type="dxa"/>
            <w:shd w:val="clear" w:color="auto" w:fill="auto"/>
            <w:vAlign w:val="center"/>
          </w:tcPr>
          <w:p w14:paraId="20496FBF">
            <w:pPr>
              <w:jc w:val="center"/>
              <w:rPr>
                <w:rFonts w:ascii="Times New Roman"/>
                <w:sz w:val="21"/>
                <w:szCs w:val="21"/>
              </w:rPr>
            </w:pPr>
            <w:r>
              <w:rPr>
                <w:rFonts w:hint="eastAsia" w:ascii="Times New Roman"/>
                <w:sz w:val="21"/>
                <w:szCs w:val="21"/>
              </w:rPr>
              <w:t xml:space="preserve">0.0004 </w:t>
            </w:r>
          </w:p>
        </w:tc>
        <w:tc>
          <w:tcPr>
            <w:tcW w:w="1467" w:type="dxa"/>
            <w:shd w:val="clear" w:color="auto" w:fill="auto"/>
            <w:vAlign w:val="center"/>
          </w:tcPr>
          <w:p w14:paraId="04B8E71C">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482FC004">
            <w:pPr>
              <w:jc w:val="center"/>
              <w:rPr>
                <w:rFonts w:ascii="Times New Roman"/>
                <w:sz w:val="21"/>
                <w:szCs w:val="21"/>
              </w:rPr>
            </w:pPr>
            <w:r>
              <w:rPr>
                <w:rFonts w:hint="eastAsia" w:ascii="Times New Roman"/>
                <w:sz w:val="21"/>
                <w:szCs w:val="21"/>
              </w:rPr>
              <w:t xml:space="preserve">0.0004 </w:t>
            </w:r>
          </w:p>
        </w:tc>
        <w:tc>
          <w:tcPr>
            <w:tcW w:w="1454" w:type="dxa"/>
            <w:shd w:val="clear" w:color="auto" w:fill="auto"/>
            <w:vAlign w:val="center"/>
          </w:tcPr>
          <w:p w14:paraId="2BA3A1AC">
            <w:pPr>
              <w:jc w:val="center"/>
              <w:rPr>
                <w:rFonts w:ascii="Times New Roman"/>
                <w:sz w:val="21"/>
                <w:szCs w:val="21"/>
              </w:rPr>
            </w:pPr>
            <w:r>
              <w:rPr>
                <w:rFonts w:hint="eastAsia" w:ascii="Times New Roman"/>
                <w:sz w:val="21"/>
                <w:szCs w:val="21"/>
              </w:rPr>
              <w:t>0</w:t>
            </w:r>
          </w:p>
        </w:tc>
      </w:tr>
      <w:tr w14:paraId="439601FE">
        <w:tblPrEx>
          <w:tblCellMar>
            <w:top w:w="0" w:type="dxa"/>
            <w:left w:w="108" w:type="dxa"/>
            <w:bottom w:w="0" w:type="dxa"/>
            <w:right w:w="108" w:type="dxa"/>
          </w:tblCellMar>
        </w:tblPrEx>
        <w:trPr>
          <w:trHeight w:val="168" w:hRule="atLeast"/>
        </w:trPr>
        <w:tc>
          <w:tcPr>
            <w:tcW w:w="2629" w:type="dxa"/>
            <w:vAlign w:val="center"/>
          </w:tcPr>
          <w:p w14:paraId="0374AB9A">
            <w:pPr>
              <w:jc w:val="center"/>
              <w:rPr>
                <w:rFonts w:ascii="Times New Roman"/>
                <w:sz w:val="21"/>
                <w:szCs w:val="21"/>
              </w:rPr>
            </w:pPr>
            <w:r>
              <w:rPr>
                <w:rFonts w:ascii="Times New Roman"/>
                <w:sz w:val="21"/>
                <w:szCs w:val="21"/>
              </w:rPr>
              <w:t>15000.0</w:t>
            </w:r>
          </w:p>
        </w:tc>
        <w:tc>
          <w:tcPr>
            <w:tcW w:w="1566" w:type="dxa"/>
            <w:shd w:val="clear" w:color="auto" w:fill="auto"/>
            <w:vAlign w:val="center"/>
          </w:tcPr>
          <w:p w14:paraId="11390ADF">
            <w:pPr>
              <w:jc w:val="center"/>
              <w:rPr>
                <w:rFonts w:ascii="Times New Roman"/>
                <w:sz w:val="21"/>
                <w:szCs w:val="21"/>
              </w:rPr>
            </w:pPr>
            <w:r>
              <w:rPr>
                <w:rFonts w:hint="eastAsia" w:ascii="Times New Roman"/>
                <w:sz w:val="21"/>
                <w:szCs w:val="21"/>
              </w:rPr>
              <w:t xml:space="preserve">0.0004 </w:t>
            </w:r>
          </w:p>
        </w:tc>
        <w:tc>
          <w:tcPr>
            <w:tcW w:w="1467" w:type="dxa"/>
            <w:shd w:val="clear" w:color="auto" w:fill="auto"/>
            <w:vAlign w:val="center"/>
          </w:tcPr>
          <w:p w14:paraId="32D43404">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55E5E216">
            <w:pPr>
              <w:jc w:val="center"/>
              <w:rPr>
                <w:rFonts w:ascii="Times New Roman"/>
                <w:sz w:val="21"/>
                <w:szCs w:val="21"/>
              </w:rPr>
            </w:pPr>
            <w:r>
              <w:rPr>
                <w:rFonts w:hint="eastAsia" w:ascii="Times New Roman"/>
                <w:sz w:val="21"/>
                <w:szCs w:val="21"/>
              </w:rPr>
              <w:t xml:space="preserve">0.0004 </w:t>
            </w:r>
          </w:p>
        </w:tc>
        <w:tc>
          <w:tcPr>
            <w:tcW w:w="1454" w:type="dxa"/>
            <w:shd w:val="clear" w:color="auto" w:fill="auto"/>
            <w:vAlign w:val="center"/>
          </w:tcPr>
          <w:p w14:paraId="39696CE2">
            <w:pPr>
              <w:jc w:val="center"/>
              <w:rPr>
                <w:rFonts w:ascii="Times New Roman"/>
                <w:sz w:val="21"/>
                <w:szCs w:val="21"/>
              </w:rPr>
            </w:pPr>
            <w:r>
              <w:rPr>
                <w:rFonts w:hint="eastAsia" w:ascii="Times New Roman"/>
                <w:sz w:val="21"/>
                <w:szCs w:val="21"/>
              </w:rPr>
              <w:t>0</w:t>
            </w:r>
          </w:p>
        </w:tc>
      </w:tr>
      <w:tr w14:paraId="41E7595B">
        <w:tblPrEx>
          <w:tblCellMar>
            <w:top w:w="0" w:type="dxa"/>
            <w:left w:w="108" w:type="dxa"/>
            <w:bottom w:w="0" w:type="dxa"/>
            <w:right w:w="108" w:type="dxa"/>
          </w:tblCellMar>
        </w:tblPrEx>
        <w:trPr>
          <w:trHeight w:val="168" w:hRule="atLeast"/>
        </w:trPr>
        <w:tc>
          <w:tcPr>
            <w:tcW w:w="2629" w:type="dxa"/>
            <w:vAlign w:val="center"/>
          </w:tcPr>
          <w:p w14:paraId="0BEE8E70">
            <w:pPr>
              <w:jc w:val="center"/>
              <w:rPr>
                <w:rFonts w:ascii="Times New Roman"/>
                <w:sz w:val="21"/>
                <w:szCs w:val="21"/>
              </w:rPr>
            </w:pPr>
            <w:r>
              <w:rPr>
                <w:rFonts w:ascii="Times New Roman"/>
                <w:sz w:val="21"/>
                <w:szCs w:val="21"/>
              </w:rPr>
              <w:t>20000.0</w:t>
            </w:r>
          </w:p>
        </w:tc>
        <w:tc>
          <w:tcPr>
            <w:tcW w:w="1566" w:type="dxa"/>
            <w:shd w:val="clear" w:color="auto" w:fill="auto"/>
            <w:vAlign w:val="center"/>
          </w:tcPr>
          <w:p w14:paraId="5F674B5D">
            <w:pPr>
              <w:jc w:val="center"/>
              <w:rPr>
                <w:rFonts w:ascii="Times New Roman"/>
                <w:sz w:val="21"/>
                <w:szCs w:val="21"/>
              </w:rPr>
            </w:pPr>
            <w:r>
              <w:rPr>
                <w:rFonts w:hint="eastAsia" w:ascii="Times New Roman"/>
                <w:sz w:val="21"/>
                <w:szCs w:val="21"/>
              </w:rPr>
              <w:t xml:space="preserve">0.0003 </w:t>
            </w:r>
          </w:p>
        </w:tc>
        <w:tc>
          <w:tcPr>
            <w:tcW w:w="1467" w:type="dxa"/>
            <w:shd w:val="clear" w:color="auto" w:fill="auto"/>
            <w:vAlign w:val="center"/>
          </w:tcPr>
          <w:p w14:paraId="5C6B35E6">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0E7DC034">
            <w:pPr>
              <w:jc w:val="center"/>
              <w:rPr>
                <w:rFonts w:ascii="Times New Roman"/>
                <w:sz w:val="21"/>
                <w:szCs w:val="21"/>
              </w:rPr>
            </w:pPr>
            <w:r>
              <w:rPr>
                <w:rFonts w:hint="eastAsia" w:ascii="Times New Roman"/>
                <w:sz w:val="21"/>
                <w:szCs w:val="21"/>
              </w:rPr>
              <w:t xml:space="preserve">0.0003 </w:t>
            </w:r>
          </w:p>
        </w:tc>
        <w:tc>
          <w:tcPr>
            <w:tcW w:w="1454" w:type="dxa"/>
            <w:shd w:val="clear" w:color="auto" w:fill="auto"/>
            <w:vAlign w:val="center"/>
          </w:tcPr>
          <w:p w14:paraId="4CA11523">
            <w:pPr>
              <w:jc w:val="center"/>
              <w:rPr>
                <w:rFonts w:ascii="Times New Roman"/>
                <w:sz w:val="21"/>
                <w:szCs w:val="21"/>
              </w:rPr>
            </w:pPr>
            <w:r>
              <w:rPr>
                <w:rFonts w:hint="eastAsia" w:ascii="Times New Roman"/>
                <w:sz w:val="21"/>
                <w:szCs w:val="21"/>
              </w:rPr>
              <w:t>0</w:t>
            </w:r>
          </w:p>
        </w:tc>
      </w:tr>
      <w:tr w14:paraId="6C9C2545">
        <w:tblPrEx>
          <w:tblCellMar>
            <w:top w:w="0" w:type="dxa"/>
            <w:left w:w="108" w:type="dxa"/>
            <w:bottom w:w="0" w:type="dxa"/>
            <w:right w:w="108" w:type="dxa"/>
          </w:tblCellMar>
        </w:tblPrEx>
        <w:trPr>
          <w:trHeight w:val="168" w:hRule="atLeast"/>
        </w:trPr>
        <w:tc>
          <w:tcPr>
            <w:tcW w:w="2629" w:type="dxa"/>
            <w:vAlign w:val="center"/>
          </w:tcPr>
          <w:p w14:paraId="785DA28F">
            <w:pPr>
              <w:jc w:val="center"/>
              <w:rPr>
                <w:rFonts w:ascii="Times New Roman"/>
                <w:sz w:val="21"/>
                <w:szCs w:val="21"/>
              </w:rPr>
            </w:pPr>
            <w:r>
              <w:rPr>
                <w:rFonts w:ascii="Times New Roman"/>
                <w:sz w:val="21"/>
                <w:szCs w:val="21"/>
              </w:rPr>
              <w:t>25000.0</w:t>
            </w:r>
          </w:p>
        </w:tc>
        <w:tc>
          <w:tcPr>
            <w:tcW w:w="1566" w:type="dxa"/>
            <w:shd w:val="clear" w:color="auto" w:fill="auto"/>
            <w:vAlign w:val="center"/>
          </w:tcPr>
          <w:p w14:paraId="5F34D708">
            <w:pPr>
              <w:jc w:val="center"/>
              <w:rPr>
                <w:rFonts w:ascii="Times New Roman"/>
                <w:sz w:val="21"/>
                <w:szCs w:val="21"/>
              </w:rPr>
            </w:pPr>
            <w:r>
              <w:rPr>
                <w:rFonts w:hint="eastAsia" w:ascii="Times New Roman"/>
                <w:sz w:val="21"/>
                <w:szCs w:val="21"/>
              </w:rPr>
              <w:t xml:space="preserve">0.0002 </w:t>
            </w:r>
          </w:p>
        </w:tc>
        <w:tc>
          <w:tcPr>
            <w:tcW w:w="1467" w:type="dxa"/>
            <w:shd w:val="clear" w:color="auto" w:fill="auto"/>
            <w:vAlign w:val="center"/>
          </w:tcPr>
          <w:p w14:paraId="4F892602">
            <w:pPr>
              <w:jc w:val="center"/>
              <w:rPr>
                <w:rFonts w:ascii="Times New Roman"/>
                <w:sz w:val="21"/>
                <w:szCs w:val="21"/>
              </w:rPr>
            </w:pPr>
            <w:r>
              <w:rPr>
                <w:rFonts w:hint="eastAsia" w:ascii="Times New Roman"/>
                <w:sz w:val="21"/>
                <w:szCs w:val="21"/>
              </w:rPr>
              <w:t>0</w:t>
            </w:r>
          </w:p>
        </w:tc>
        <w:tc>
          <w:tcPr>
            <w:tcW w:w="1383" w:type="dxa"/>
            <w:shd w:val="clear" w:color="auto" w:fill="auto"/>
            <w:vAlign w:val="center"/>
          </w:tcPr>
          <w:p w14:paraId="2AA05FC8">
            <w:pPr>
              <w:jc w:val="center"/>
              <w:rPr>
                <w:rFonts w:ascii="Times New Roman"/>
                <w:sz w:val="21"/>
                <w:szCs w:val="21"/>
              </w:rPr>
            </w:pPr>
            <w:r>
              <w:rPr>
                <w:rFonts w:hint="eastAsia" w:ascii="Times New Roman"/>
                <w:sz w:val="21"/>
                <w:szCs w:val="21"/>
              </w:rPr>
              <w:t xml:space="preserve">0.0002 </w:t>
            </w:r>
          </w:p>
        </w:tc>
        <w:tc>
          <w:tcPr>
            <w:tcW w:w="1454" w:type="dxa"/>
            <w:shd w:val="clear" w:color="auto" w:fill="auto"/>
            <w:vAlign w:val="center"/>
          </w:tcPr>
          <w:p w14:paraId="5C566626">
            <w:pPr>
              <w:jc w:val="center"/>
              <w:rPr>
                <w:rFonts w:ascii="Times New Roman"/>
                <w:sz w:val="21"/>
                <w:szCs w:val="21"/>
              </w:rPr>
            </w:pPr>
            <w:r>
              <w:rPr>
                <w:rFonts w:hint="eastAsia" w:ascii="Times New Roman"/>
                <w:sz w:val="21"/>
                <w:szCs w:val="21"/>
              </w:rPr>
              <w:t>0</w:t>
            </w:r>
          </w:p>
        </w:tc>
      </w:tr>
      <w:tr w14:paraId="3A0486E8">
        <w:tblPrEx>
          <w:tblCellMar>
            <w:top w:w="0" w:type="dxa"/>
            <w:left w:w="108" w:type="dxa"/>
            <w:bottom w:w="0" w:type="dxa"/>
            <w:right w:w="108" w:type="dxa"/>
          </w:tblCellMar>
        </w:tblPrEx>
        <w:trPr>
          <w:trHeight w:val="168" w:hRule="atLeast"/>
        </w:trPr>
        <w:tc>
          <w:tcPr>
            <w:tcW w:w="2629" w:type="dxa"/>
            <w:vAlign w:val="center"/>
          </w:tcPr>
          <w:p w14:paraId="0FC3A536">
            <w:pPr>
              <w:jc w:val="center"/>
              <w:rPr>
                <w:rFonts w:ascii="Times New Roman"/>
                <w:sz w:val="21"/>
                <w:szCs w:val="21"/>
              </w:rPr>
            </w:pPr>
            <w:r>
              <w:rPr>
                <w:rFonts w:ascii="Times New Roman"/>
                <w:sz w:val="21"/>
                <w:szCs w:val="21"/>
              </w:rPr>
              <w:t>下风向最大浓度</w:t>
            </w:r>
          </w:p>
        </w:tc>
        <w:tc>
          <w:tcPr>
            <w:tcW w:w="1566" w:type="dxa"/>
            <w:shd w:val="clear" w:color="auto" w:fill="auto"/>
            <w:vAlign w:val="center"/>
          </w:tcPr>
          <w:p w14:paraId="2DBA65A9">
            <w:pPr>
              <w:jc w:val="center"/>
              <w:rPr>
                <w:rFonts w:ascii="Times New Roman"/>
                <w:sz w:val="21"/>
                <w:szCs w:val="21"/>
              </w:rPr>
            </w:pPr>
            <w:r>
              <w:rPr>
                <w:rFonts w:hint="eastAsia" w:ascii="Times New Roman"/>
                <w:sz w:val="21"/>
                <w:szCs w:val="21"/>
              </w:rPr>
              <w:t>0.1146</w:t>
            </w:r>
          </w:p>
        </w:tc>
        <w:tc>
          <w:tcPr>
            <w:tcW w:w="1467" w:type="dxa"/>
            <w:shd w:val="clear" w:color="auto" w:fill="auto"/>
            <w:vAlign w:val="center"/>
          </w:tcPr>
          <w:p w14:paraId="5EE5B717">
            <w:pPr>
              <w:jc w:val="center"/>
              <w:rPr>
                <w:rFonts w:ascii="Times New Roman"/>
                <w:sz w:val="21"/>
                <w:szCs w:val="21"/>
              </w:rPr>
            </w:pPr>
            <w:r>
              <w:rPr>
                <w:rFonts w:hint="eastAsia" w:ascii="Times New Roman"/>
                <w:sz w:val="21"/>
                <w:szCs w:val="21"/>
              </w:rPr>
              <w:t>0.03</w:t>
            </w:r>
          </w:p>
        </w:tc>
        <w:tc>
          <w:tcPr>
            <w:tcW w:w="1383" w:type="dxa"/>
            <w:shd w:val="clear" w:color="auto" w:fill="auto"/>
            <w:vAlign w:val="center"/>
          </w:tcPr>
          <w:p w14:paraId="4075590C">
            <w:pPr>
              <w:jc w:val="center"/>
              <w:rPr>
                <w:rFonts w:ascii="Times New Roman"/>
                <w:sz w:val="21"/>
                <w:szCs w:val="21"/>
              </w:rPr>
            </w:pPr>
            <w:r>
              <w:rPr>
                <w:rFonts w:hint="eastAsia" w:ascii="Times New Roman"/>
                <w:sz w:val="21"/>
                <w:szCs w:val="21"/>
              </w:rPr>
              <w:t>0.1146</w:t>
            </w:r>
          </w:p>
        </w:tc>
        <w:tc>
          <w:tcPr>
            <w:tcW w:w="1454" w:type="dxa"/>
            <w:shd w:val="clear" w:color="auto" w:fill="auto"/>
            <w:vAlign w:val="center"/>
          </w:tcPr>
          <w:p w14:paraId="65CFF96A">
            <w:pPr>
              <w:jc w:val="center"/>
              <w:rPr>
                <w:rFonts w:ascii="Times New Roman"/>
                <w:sz w:val="21"/>
                <w:szCs w:val="21"/>
              </w:rPr>
            </w:pPr>
            <w:r>
              <w:rPr>
                <w:rFonts w:hint="eastAsia" w:ascii="Times New Roman"/>
                <w:sz w:val="21"/>
                <w:szCs w:val="21"/>
              </w:rPr>
              <w:t>0.03</w:t>
            </w:r>
          </w:p>
        </w:tc>
      </w:tr>
      <w:tr w14:paraId="4F15FBF4">
        <w:tblPrEx>
          <w:tblCellMar>
            <w:top w:w="0" w:type="dxa"/>
            <w:left w:w="108" w:type="dxa"/>
            <w:bottom w:w="0" w:type="dxa"/>
            <w:right w:w="108" w:type="dxa"/>
          </w:tblCellMar>
        </w:tblPrEx>
        <w:trPr>
          <w:trHeight w:val="333" w:hRule="atLeast"/>
        </w:trPr>
        <w:tc>
          <w:tcPr>
            <w:tcW w:w="2629" w:type="dxa"/>
            <w:vAlign w:val="center"/>
          </w:tcPr>
          <w:p w14:paraId="4DACB912">
            <w:pPr>
              <w:jc w:val="center"/>
              <w:rPr>
                <w:rFonts w:ascii="Times New Roman"/>
                <w:sz w:val="21"/>
                <w:szCs w:val="21"/>
              </w:rPr>
            </w:pPr>
            <w:r>
              <w:rPr>
                <w:rFonts w:ascii="Times New Roman"/>
                <w:sz w:val="21"/>
                <w:szCs w:val="21"/>
              </w:rPr>
              <w:t>下风向最大浓度出现距离</w:t>
            </w:r>
          </w:p>
        </w:tc>
        <w:tc>
          <w:tcPr>
            <w:tcW w:w="1566" w:type="dxa"/>
            <w:shd w:val="clear" w:color="auto" w:fill="auto"/>
            <w:vAlign w:val="center"/>
          </w:tcPr>
          <w:p w14:paraId="3EFE9816">
            <w:pPr>
              <w:jc w:val="center"/>
              <w:rPr>
                <w:rFonts w:ascii="Times New Roman"/>
                <w:sz w:val="21"/>
                <w:szCs w:val="21"/>
              </w:rPr>
            </w:pPr>
            <w:r>
              <w:rPr>
                <w:rFonts w:ascii="Times New Roman"/>
                <w:sz w:val="21"/>
                <w:szCs w:val="21"/>
              </w:rPr>
              <w:t>95.0</w:t>
            </w:r>
          </w:p>
        </w:tc>
        <w:tc>
          <w:tcPr>
            <w:tcW w:w="1467" w:type="dxa"/>
            <w:shd w:val="clear" w:color="auto" w:fill="auto"/>
            <w:vAlign w:val="center"/>
          </w:tcPr>
          <w:p w14:paraId="58EEA7F0">
            <w:pPr>
              <w:jc w:val="center"/>
              <w:rPr>
                <w:rFonts w:ascii="Times New Roman"/>
                <w:sz w:val="21"/>
                <w:szCs w:val="21"/>
              </w:rPr>
            </w:pPr>
            <w:r>
              <w:rPr>
                <w:rFonts w:ascii="Times New Roman"/>
                <w:sz w:val="21"/>
                <w:szCs w:val="21"/>
              </w:rPr>
              <w:t>95.0</w:t>
            </w:r>
          </w:p>
        </w:tc>
        <w:tc>
          <w:tcPr>
            <w:tcW w:w="1383" w:type="dxa"/>
            <w:shd w:val="clear" w:color="auto" w:fill="auto"/>
            <w:vAlign w:val="center"/>
          </w:tcPr>
          <w:p w14:paraId="71C577CD">
            <w:pPr>
              <w:jc w:val="center"/>
              <w:rPr>
                <w:rFonts w:ascii="Times New Roman"/>
                <w:sz w:val="21"/>
                <w:szCs w:val="21"/>
              </w:rPr>
            </w:pPr>
            <w:r>
              <w:rPr>
                <w:rFonts w:ascii="Times New Roman"/>
                <w:sz w:val="21"/>
                <w:szCs w:val="21"/>
              </w:rPr>
              <w:t>95.0</w:t>
            </w:r>
          </w:p>
        </w:tc>
        <w:tc>
          <w:tcPr>
            <w:tcW w:w="1454" w:type="dxa"/>
            <w:shd w:val="clear" w:color="auto" w:fill="auto"/>
            <w:vAlign w:val="center"/>
          </w:tcPr>
          <w:p w14:paraId="289CDB1F">
            <w:pPr>
              <w:jc w:val="center"/>
              <w:rPr>
                <w:rFonts w:ascii="Times New Roman"/>
                <w:sz w:val="21"/>
                <w:szCs w:val="21"/>
              </w:rPr>
            </w:pPr>
            <w:r>
              <w:rPr>
                <w:rFonts w:ascii="Times New Roman"/>
                <w:sz w:val="21"/>
                <w:szCs w:val="21"/>
              </w:rPr>
              <w:t>95.0</w:t>
            </w:r>
          </w:p>
        </w:tc>
      </w:tr>
      <w:tr w14:paraId="4C7BC3CA">
        <w:tblPrEx>
          <w:tblCellMar>
            <w:top w:w="0" w:type="dxa"/>
            <w:left w:w="108" w:type="dxa"/>
            <w:bottom w:w="0" w:type="dxa"/>
            <w:right w:w="108" w:type="dxa"/>
          </w:tblCellMar>
        </w:tblPrEx>
        <w:trPr>
          <w:trHeight w:val="170" w:hRule="atLeast"/>
        </w:trPr>
        <w:tc>
          <w:tcPr>
            <w:tcW w:w="2629" w:type="dxa"/>
            <w:vAlign w:val="center"/>
          </w:tcPr>
          <w:p w14:paraId="54474C25">
            <w:pPr>
              <w:jc w:val="center"/>
              <w:rPr>
                <w:rFonts w:ascii="Times New Roman"/>
                <w:sz w:val="21"/>
                <w:szCs w:val="21"/>
              </w:rPr>
            </w:pPr>
            <w:r>
              <w:rPr>
                <w:rFonts w:ascii="Times New Roman"/>
                <w:sz w:val="21"/>
                <w:szCs w:val="21"/>
              </w:rPr>
              <w:t>D10%最远距离</w:t>
            </w:r>
          </w:p>
        </w:tc>
        <w:tc>
          <w:tcPr>
            <w:tcW w:w="1566" w:type="dxa"/>
            <w:shd w:val="clear" w:color="auto" w:fill="auto"/>
            <w:vAlign w:val="center"/>
          </w:tcPr>
          <w:p w14:paraId="20430A7C">
            <w:pPr>
              <w:jc w:val="center"/>
              <w:rPr>
                <w:rFonts w:ascii="Times New Roman"/>
                <w:sz w:val="21"/>
                <w:szCs w:val="21"/>
              </w:rPr>
            </w:pPr>
            <w:r>
              <w:rPr>
                <w:rFonts w:ascii="Times New Roman"/>
                <w:sz w:val="21"/>
                <w:szCs w:val="21"/>
              </w:rPr>
              <w:t>/</w:t>
            </w:r>
          </w:p>
        </w:tc>
        <w:tc>
          <w:tcPr>
            <w:tcW w:w="1467" w:type="dxa"/>
            <w:shd w:val="clear" w:color="auto" w:fill="auto"/>
            <w:vAlign w:val="center"/>
          </w:tcPr>
          <w:p w14:paraId="03CDCE01">
            <w:pPr>
              <w:jc w:val="center"/>
              <w:rPr>
                <w:rFonts w:ascii="Times New Roman"/>
                <w:sz w:val="21"/>
                <w:szCs w:val="21"/>
              </w:rPr>
            </w:pPr>
            <w:r>
              <w:rPr>
                <w:rFonts w:ascii="Times New Roman"/>
                <w:sz w:val="21"/>
                <w:szCs w:val="21"/>
              </w:rPr>
              <w:t>/</w:t>
            </w:r>
          </w:p>
        </w:tc>
        <w:tc>
          <w:tcPr>
            <w:tcW w:w="1383" w:type="dxa"/>
            <w:shd w:val="clear" w:color="auto" w:fill="auto"/>
            <w:vAlign w:val="center"/>
          </w:tcPr>
          <w:p w14:paraId="39E3807E">
            <w:pPr>
              <w:jc w:val="center"/>
              <w:rPr>
                <w:rFonts w:ascii="Times New Roman"/>
                <w:sz w:val="21"/>
                <w:szCs w:val="21"/>
              </w:rPr>
            </w:pPr>
            <w:r>
              <w:rPr>
                <w:rFonts w:ascii="Times New Roman"/>
                <w:sz w:val="21"/>
                <w:szCs w:val="21"/>
              </w:rPr>
              <w:t>/</w:t>
            </w:r>
          </w:p>
        </w:tc>
        <w:tc>
          <w:tcPr>
            <w:tcW w:w="1454" w:type="dxa"/>
            <w:shd w:val="clear" w:color="auto" w:fill="auto"/>
            <w:vAlign w:val="center"/>
          </w:tcPr>
          <w:p w14:paraId="5236150B">
            <w:pPr>
              <w:jc w:val="center"/>
              <w:rPr>
                <w:rFonts w:ascii="Times New Roman"/>
                <w:sz w:val="21"/>
                <w:szCs w:val="21"/>
              </w:rPr>
            </w:pPr>
            <w:r>
              <w:rPr>
                <w:rFonts w:ascii="Times New Roman"/>
                <w:sz w:val="21"/>
                <w:szCs w:val="21"/>
              </w:rPr>
              <w:t>/</w:t>
            </w:r>
          </w:p>
        </w:tc>
      </w:tr>
    </w:tbl>
    <w:p w14:paraId="6DF9628E">
      <w:pPr>
        <w:spacing w:line="360" w:lineRule="auto"/>
        <w:jc w:val="center"/>
        <w:rPr>
          <w:rFonts w:ascii="Times New Roman"/>
          <w:b/>
          <w:bCs/>
          <w:sz w:val="24"/>
          <w:szCs w:val="24"/>
        </w:rPr>
      </w:pPr>
    </w:p>
    <w:p w14:paraId="6B20C364">
      <w:pPr>
        <w:spacing w:line="360" w:lineRule="auto"/>
        <w:jc w:val="center"/>
        <w:rPr>
          <w:rFonts w:ascii="Times New Roman"/>
          <w:b/>
          <w:bCs/>
          <w:sz w:val="24"/>
          <w:szCs w:val="24"/>
        </w:rPr>
      </w:pPr>
    </w:p>
    <w:p w14:paraId="196BAB6B">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539" w:type="dxa"/>
        <w:tblInd w:w="0" w:type="dxa"/>
        <w:tblLayout w:type="autofit"/>
        <w:tblCellMar>
          <w:top w:w="0" w:type="dxa"/>
          <w:left w:w="108" w:type="dxa"/>
          <w:bottom w:w="0" w:type="dxa"/>
          <w:right w:w="108" w:type="dxa"/>
        </w:tblCellMar>
      </w:tblPr>
      <w:tblGrid>
        <w:gridCol w:w="1991"/>
        <w:gridCol w:w="1150"/>
        <w:gridCol w:w="1100"/>
        <w:gridCol w:w="1084"/>
        <w:gridCol w:w="1050"/>
        <w:gridCol w:w="1150"/>
        <w:gridCol w:w="1014"/>
      </w:tblGrid>
      <w:tr w14:paraId="6FB4C2E4">
        <w:tblPrEx>
          <w:tblCellMar>
            <w:top w:w="0" w:type="dxa"/>
            <w:left w:w="108" w:type="dxa"/>
            <w:bottom w:w="0" w:type="dxa"/>
            <w:right w:w="108" w:type="dxa"/>
          </w:tblCellMar>
        </w:tblPrEx>
        <w:trPr>
          <w:trHeight w:val="412" w:hRule="atLeast"/>
        </w:trPr>
        <w:tc>
          <w:tcPr>
            <w:tcW w:w="1991" w:type="dxa"/>
            <w:vMerge w:val="restart"/>
            <w:vAlign w:val="center"/>
          </w:tcPr>
          <w:p w14:paraId="54BE2A86">
            <w:pPr>
              <w:jc w:val="center"/>
              <w:rPr>
                <w:rFonts w:ascii="Times New Roman"/>
                <w:sz w:val="21"/>
                <w:szCs w:val="21"/>
              </w:rPr>
            </w:pPr>
            <w:r>
              <w:rPr>
                <w:rFonts w:ascii="Times New Roman"/>
                <w:sz w:val="21"/>
                <w:szCs w:val="21"/>
              </w:rPr>
              <w:t>下风向距离</w:t>
            </w:r>
          </w:p>
        </w:tc>
        <w:tc>
          <w:tcPr>
            <w:tcW w:w="6548" w:type="dxa"/>
            <w:gridSpan w:val="6"/>
            <w:vAlign w:val="center"/>
          </w:tcPr>
          <w:p w14:paraId="076FF5D8">
            <w:pPr>
              <w:jc w:val="center"/>
              <w:rPr>
                <w:rFonts w:ascii="Times New Roman"/>
                <w:sz w:val="21"/>
                <w:szCs w:val="21"/>
              </w:rPr>
            </w:pPr>
            <w:r>
              <w:rPr>
                <w:rFonts w:ascii="Times New Roman"/>
                <w:sz w:val="21"/>
                <w:szCs w:val="21"/>
              </w:rPr>
              <w:t>热处理车炉加热废气</w:t>
            </w:r>
            <w:r>
              <w:rPr>
                <w:rFonts w:ascii="Times New Roman" w:eastAsia="Times New Roman"/>
                <w:sz w:val="21"/>
                <w:szCs w:val="21"/>
              </w:rPr>
              <w:t>(</w:t>
            </w:r>
            <w:r>
              <w:rPr>
                <w:rFonts w:ascii="Times New Roman"/>
                <w:sz w:val="21"/>
                <w:szCs w:val="21"/>
              </w:rPr>
              <w:t>DA005</w:t>
            </w:r>
            <w:r>
              <w:rPr>
                <w:rFonts w:ascii="Times New Roman" w:eastAsia="Times New Roman"/>
                <w:sz w:val="21"/>
                <w:szCs w:val="21"/>
              </w:rPr>
              <w:t>)</w:t>
            </w:r>
          </w:p>
        </w:tc>
      </w:tr>
      <w:tr w14:paraId="6CF4D8A7">
        <w:tblPrEx>
          <w:tblCellMar>
            <w:top w:w="0" w:type="dxa"/>
            <w:left w:w="108" w:type="dxa"/>
            <w:bottom w:w="0" w:type="dxa"/>
            <w:right w:w="108" w:type="dxa"/>
          </w:tblCellMar>
        </w:tblPrEx>
        <w:trPr>
          <w:trHeight w:val="525" w:hRule="atLeast"/>
        </w:trPr>
        <w:tc>
          <w:tcPr>
            <w:tcW w:w="1991" w:type="dxa"/>
            <w:vMerge w:val="continue"/>
            <w:vAlign w:val="center"/>
          </w:tcPr>
          <w:p w14:paraId="4EC49902">
            <w:pPr>
              <w:jc w:val="center"/>
              <w:rPr>
                <w:rFonts w:ascii="Times New Roman"/>
                <w:sz w:val="21"/>
                <w:szCs w:val="21"/>
              </w:rPr>
            </w:pPr>
          </w:p>
        </w:tc>
        <w:tc>
          <w:tcPr>
            <w:tcW w:w="1150" w:type="dxa"/>
            <w:vAlign w:val="center"/>
          </w:tcPr>
          <w:p w14:paraId="739BD700">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w:t>
            </w:r>
          </w:p>
          <w:p w14:paraId="762F8BA1">
            <w:pPr>
              <w:spacing w:line="260" w:lineRule="exact"/>
              <w:jc w:val="center"/>
              <w:rPr>
                <w:rFonts w:ascii="Times New Roman"/>
                <w:sz w:val="21"/>
                <w:szCs w:val="21"/>
              </w:rPr>
            </w:pPr>
            <w:r>
              <w:rPr>
                <w:rFonts w:ascii="Times New Roman"/>
                <w:sz w:val="21"/>
                <w:szCs w:val="21"/>
              </w:rPr>
              <w:t>(μg/m³)</w:t>
            </w:r>
          </w:p>
        </w:tc>
        <w:tc>
          <w:tcPr>
            <w:tcW w:w="1100" w:type="dxa"/>
            <w:vAlign w:val="center"/>
          </w:tcPr>
          <w:p w14:paraId="4C987C3E">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1084" w:type="dxa"/>
            <w:shd w:val="clear" w:color="auto" w:fill="auto"/>
            <w:vAlign w:val="center"/>
          </w:tcPr>
          <w:p w14:paraId="54BF4511">
            <w:pPr>
              <w:spacing w:line="26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浓度(μg/m³)</w:t>
            </w:r>
          </w:p>
        </w:tc>
        <w:tc>
          <w:tcPr>
            <w:tcW w:w="1050" w:type="dxa"/>
            <w:shd w:val="clear" w:color="auto" w:fill="auto"/>
            <w:vAlign w:val="center"/>
          </w:tcPr>
          <w:p w14:paraId="23C36189">
            <w:pPr>
              <w:spacing w:line="26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占标率(%)</w:t>
            </w:r>
          </w:p>
        </w:tc>
        <w:tc>
          <w:tcPr>
            <w:tcW w:w="1150" w:type="dxa"/>
            <w:shd w:val="clear" w:color="auto" w:fill="auto"/>
            <w:vAlign w:val="center"/>
          </w:tcPr>
          <w:p w14:paraId="1C064D5B">
            <w:pPr>
              <w:jc w:val="center"/>
              <w:rPr>
                <w:rFonts w:ascii="Times New Roman"/>
                <w:sz w:val="21"/>
                <w:szCs w:val="21"/>
              </w:rPr>
            </w:pPr>
            <w:r>
              <w:rPr>
                <w:rFonts w:ascii="Times New Roman"/>
                <w:sz w:val="21"/>
                <w:szCs w:val="21"/>
              </w:rPr>
              <w:t>NO</w:t>
            </w:r>
            <w:r>
              <w:rPr>
                <w:rFonts w:hint="eastAsia" w:ascii="Times New Roman"/>
                <w:sz w:val="21"/>
                <w:szCs w:val="21"/>
                <w:vertAlign w:val="subscript"/>
              </w:rPr>
              <w:t>2</w:t>
            </w:r>
            <w:r>
              <w:rPr>
                <w:rFonts w:ascii="Times New Roman"/>
                <w:sz w:val="21"/>
                <w:szCs w:val="21"/>
              </w:rPr>
              <w:t>浓度(μg/m³)</w:t>
            </w:r>
          </w:p>
        </w:tc>
        <w:tc>
          <w:tcPr>
            <w:tcW w:w="1014" w:type="dxa"/>
            <w:shd w:val="clear" w:color="auto" w:fill="auto"/>
            <w:vAlign w:val="center"/>
          </w:tcPr>
          <w:p w14:paraId="56BC12BB">
            <w:pPr>
              <w:jc w:val="center"/>
              <w:rPr>
                <w:rFonts w:ascii="Times New Roman"/>
                <w:sz w:val="21"/>
                <w:szCs w:val="21"/>
              </w:rPr>
            </w:pPr>
            <w:r>
              <w:rPr>
                <w:rFonts w:ascii="Times New Roman"/>
                <w:sz w:val="21"/>
                <w:szCs w:val="21"/>
              </w:rPr>
              <w:t>NO</w:t>
            </w:r>
            <w:r>
              <w:rPr>
                <w:rFonts w:hint="eastAsia" w:ascii="Times New Roman"/>
                <w:sz w:val="21"/>
                <w:szCs w:val="21"/>
                <w:vertAlign w:val="subscript"/>
              </w:rPr>
              <w:t>2</w:t>
            </w:r>
            <w:r>
              <w:rPr>
                <w:rFonts w:ascii="Times New Roman"/>
                <w:sz w:val="21"/>
                <w:szCs w:val="21"/>
              </w:rPr>
              <w:t>占标率(%)</w:t>
            </w:r>
          </w:p>
        </w:tc>
      </w:tr>
      <w:tr w14:paraId="6BA0F35C">
        <w:tblPrEx>
          <w:tblCellMar>
            <w:top w:w="0" w:type="dxa"/>
            <w:left w:w="108" w:type="dxa"/>
            <w:bottom w:w="0" w:type="dxa"/>
            <w:right w:w="108" w:type="dxa"/>
          </w:tblCellMar>
        </w:tblPrEx>
        <w:trPr>
          <w:trHeight w:val="412" w:hRule="atLeast"/>
        </w:trPr>
        <w:tc>
          <w:tcPr>
            <w:tcW w:w="1991" w:type="dxa"/>
            <w:vAlign w:val="center"/>
          </w:tcPr>
          <w:p w14:paraId="43A7A21A">
            <w:pPr>
              <w:jc w:val="center"/>
              <w:rPr>
                <w:rFonts w:ascii="Times New Roman"/>
                <w:sz w:val="21"/>
                <w:szCs w:val="21"/>
              </w:rPr>
            </w:pPr>
            <w:r>
              <w:rPr>
                <w:rFonts w:ascii="Times New Roman"/>
                <w:sz w:val="21"/>
                <w:szCs w:val="21"/>
              </w:rPr>
              <w:t>50.0</w:t>
            </w:r>
          </w:p>
        </w:tc>
        <w:tc>
          <w:tcPr>
            <w:tcW w:w="1150" w:type="dxa"/>
            <w:vAlign w:val="center"/>
          </w:tcPr>
          <w:p w14:paraId="3B770251">
            <w:pPr>
              <w:jc w:val="center"/>
              <w:rPr>
                <w:rFonts w:ascii="Times New Roman"/>
                <w:sz w:val="21"/>
                <w:szCs w:val="21"/>
              </w:rPr>
            </w:pPr>
            <w:r>
              <w:rPr>
                <w:rFonts w:hint="eastAsia" w:ascii="Times New Roman"/>
                <w:sz w:val="21"/>
                <w:szCs w:val="21"/>
              </w:rPr>
              <w:t xml:space="preserve">0.7824 </w:t>
            </w:r>
          </w:p>
        </w:tc>
        <w:tc>
          <w:tcPr>
            <w:tcW w:w="1100" w:type="dxa"/>
            <w:vAlign w:val="center"/>
          </w:tcPr>
          <w:p w14:paraId="61C30840">
            <w:pPr>
              <w:jc w:val="center"/>
              <w:rPr>
                <w:rFonts w:ascii="Times New Roman"/>
                <w:sz w:val="21"/>
                <w:szCs w:val="21"/>
              </w:rPr>
            </w:pPr>
            <w:r>
              <w:rPr>
                <w:rFonts w:hint="eastAsia" w:ascii="Times New Roman"/>
                <w:sz w:val="21"/>
                <w:szCs w:val="21"/>
              </w:rPr>
              <w:t>0.17</w:t>
            </w:r>
          </w:p>
        </w:tc>
        <w:tc>
          <w:tcPr>
            <w:tcW w:w="1084" w:type="dxa"/>
            <w:shd w:val="clear" w:color="auto" w:fill="auto"/>
            <w:vAlign w:val="center"/>
          </w:tcPr>
          <w:p w14:paraId="454FF02D">
            <w:pPr>
              <w:jc w:val="center"/>
              <w:rPr>
                <w:rFonts w:ascii="Times New Roman"/>
                <w:sz w:val="21"/>
                <w:szCs w:val="21"/>
              </w:rPr>
            </w:pPr>
            <w:r>
              <w:rPr>
                <w:rFonts w:hint="eastAsia" w:ascii="Times New Roman"/>
                <w:sz w:val="21"/>
                <w:szCs w:val="21"/>
              </w:rPr>
              <w:t xml:space="preserve">0.0224 </w:t>
            </w:r>
          </w:p>
        </w:tc>
        <w:tc>
          <w:tcPr>
            <w:tcW w:w="1050" w:type="dxa"/>
            <w:shd w:val="clear" w:color="auto" w:fill="auto"/>
            <w:vAlign w:val="center"/>
          </w:tcPr>
          <w:p w14:paraId="7BAA0612">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662C074">
            <w:pPr>
              <w:jc w:val="center"/>
              <w:rPr>
                <w:rFonts w:ascii="Times New Roman"/>
                <w:sz w:val="21"/>
                <w:szCs w:val="21"/>
              </w:rPr>
            </w:pPr>
            <w:r>
              <w:rPr>
                <w:rFonts w:hint="eastAsia" w:ascii="Times New Roman"/>
                <w:sz w:val="21"/>
                <w:szCs w:val="21"/>
              </w:rPr>
              <w:t xml:space="preserve">2.5716 </w:t>
            </w:r>
          </w:p>
        </w:tc>
        <w:tc>
          <w:tcPr>
            <w:tcW w:w="1014" w:type="dxa"/>
            <w:shd w:val="clear" w:color="auto" w:fill="auto"/>
            <w:vAlign w:val="center"/>
          </w:tcPr>
          <w:p w14:paraId="1CD4DD6F">
            <w:pPr>
              <w:jc w:val="center"/>
              <w:rPr>
                <w:rFonts w:ascii="Times New Roman"/>
                <w:sz w:val="21"/>
                <w:szCs w:val="21"/>
              </w:rPr>
            </w:pPr>
            <w:r>
              <w:rPr>
                <w:rFonts w:hint="eastAsia" w:ascii="Times New Roman"/>
                <w:sz w:val="21"/>
                <w:szCs w:val="21"/>
              </w:rPr>
              <w:t>1.29</w:t>
            </w:r>
          </w:p>
        </w:tc>
      </w:tr>
      <w:tr w14:paraId="7E1CA532">
        <w:tblPrEx>
          <w:tblCellMar>
            <w:top w:w="0" w:type="dxa"/>
            <w:left w:w="108" w:type="dxa"/>
            <w:bottom w:w="0" w:type="dxa"/>
            <w:right w:w="108" w:type="dxa"/>
          </w:tblCellMar>
        </w:tblPrEx>
        <w:trPr>
          <w:trHeight w:val="412" w:hRule="atLeast"/>
        </w:trPr>
        <w:tc>
          <w:tcPr>
            <w:tcW w:w="1991" w:type="dxa"/>
            <w:vAlign w:val="center"/>
          </w:tcPr>
          <w:p w14:paraId="0DCD4644">
            <w:pPr>
              <w:jc w:val="center"/>
              <w:rPr>
                <w:rFonts w:ascii="Times New Roman"/>
                <w:sz w:val="21"/>
                <w:szCs w:val="21"/>
              </w:rPr>
            </w:pPr>
            <w:r>
              <w:rPr>
                <w:rFonts w:ascii="Times New Roman"/>
                <w:sz w:val="21"/>
                <w:szCs w:val="21"/>
              </w:rPr>
              <w:t>100.0</w:t>
            </w:r>
          </w:p>
        </w:tc>
        <w:tc>
          <w:tcPr>
            <w:tcW w:w="1150" w:type="dxa"/>
            <w:vAlign w:val="center"/>
          </w:tcPr>
          <w:p w14:paraId="0844308E">
            <w:pPr>
              <w:jc w:val="center"/>
              <w:rPr>
                <w:rFonts w:ascii="Times New Roman"/>
                <w:sz w:val="21"/>
                <w:szCs w:val="21"/>
              </w:rPr>
            </w:pPr>
            <w:r>
              <w:rPr>
                <w:rFonts w:hint="eastAsia" w:ascii="Times New Roman"/>
                <w:sz w:val="21"/>
                <w:szCs w:val="21"/>
              </w:rPr>
              <w:t xml:space="preserve">0.7045 </w:t>
            </w:r>
          </w:p>
        </w:tc>
        <w:tc>
          <w:tcPr>
            <w:tcW w:w="1100" w:type="dxa"/>
            <w:vAlign w:val="center"/>
          </w:tcPr>
          <w:p w14:paraId="35EE4C45">
            <w:pPr>
              <w:jc w:val="center"/>
              <w:rPr>
                <w:rFonts w:ascii="Times New Roman"/>
                <w:sz w:val="21"/>
                <w:szCs w:val="21"/>
              </w:rPr>
            </w:pPr>
            <w:r>
              <w:rPr>
                <w:rFonts w:hint="eastAsia" w:ascii="Times New Roman"/>
                <w:sz w:val="21"/>
                <w:szCs w:val="21"/>
              </w:rPr>
              <w:t>0.16</w:t>
            </w:r>
          </w:p>
        </w:tc>
        <w:tc>
          <w:tcPr>
            <w:tcW w:w="1084" w:type="dxa"/>
            <w:shd w:val="clear" w:color="auto" w:fill="auto"/>
            <w:vAlign w:val="center"/>
          </w:tcPr>
          <w:p w14:paraId="7C129B09">
            <w:pPr>
              <w:jc w:val="center"/>
              <w:rPr>
                <w:rFonts w:ascii="Times New Roman"/>
                <w:sz w:val="21"/>
                <w:szCs w:val="21"/>
              </w:rPr>
            </w:pPr>
            <w:r>
              <w:rPr>
                <w:rFonts w:hint="eastAsia" w:ascii="Times New Roman"/>
                <w:sz w:val="21"/>
                <w:szCs w:val="21"/>
              </w:rPr>
              <w:t xml:space="preserve">0.0201 </w:t>
            </w:r>
          </w:p>
        </w:tc>
        <w:tc>
          <w:tcPr>
            <w:tcW w:w="1050" w:type="dxa"/>
            <w:shd w:val="clear" w:color="auto" w:fill="auto"/>
            <w:vAlign w:val="center"/>
          </w:tcPr>
          <w:p w14:paraId="24B13409">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7BE5EFEC">
            <w:pPr>
              <w:jc w:val="center"/>
              <w:rPr>
                <w:rFonts w:ascii="Times New Roman"/>
                <w:sz w:val="21"/>
                <w:szCs w:val="21"/>
              </w:rPr>
            </w:pPr>
            <w:r>
              <w:rPr>
                <w:rFonts w:hint="eastAsia" w:ascii="Times New Roman"/>
                <w:sz w:val="21"/>
                <w:szCs w:val="21"/>
              </w:rPr>
              <w:t xml:space="preserve">2.3155 </w:t>
            </w:r>
          </w:p>
        </w:tc>
        <w:tc>
          <w:tcPr>
            <w:tcW w:w="1014" w:type="dxa"/>
            <w:shd w:val="clear" w:color="auto" w:fill="auto"/>
            <w:vAlign w:val="center"/>
          </w:tcPr>
          <w:p w14:paraId="3DEEC1D2">
            <w:pPr>
              <w:jc w:val="center"/>
              <w:rPr>
                <w:rFonts w:ascii="Times New Roman"/>
                <w:sz w:val="21"/>
                <w:szCs w:val="21"/>
              </w:rPr>
            </w:pPr>
            <w:r>
              <w:rPr>
                <w:rFonts w:hint="eastAsia" w:ascii="Times New Roman"/>
                <w:sz w:val="21"/>
                <w:szCs w:val="21"/>
              </w:rPr>
              <w:t>0.16</w:t>
            </w:r>
          </w:p>
        </w:tc>
      </w:tr>
      <w:tr w14:paraId="6BA74EBD">
        <w:tblPrEx>
          <w:tblCellMar>
            <w:top w:w="0" w:type="dxa"/>
            <w:left w:w="108" w:type="dxa"/>
            <w:bottom w:w="0" w:type="dxa"/>
            <w:right w:w="108" w:type="dxa"/>
          </w:tblCellMar>
        </w:tblPrEx>
        <w:trPr>
          <w:trHeight w:val="412" w:hRule="atLeast"/>
        </w:trPr>
        <w:tc>
          <w:tcPr>
            <w:tcW w:w="1991" w:type="dxa"/>
            <w:vAlign w:val="center"/>
          </w:tcPr>
          <w:p w14:paraId="231B786C">
            <w:pPr>
              <w:jc w:val="center"/>
              <w:rPr>
                <w:rFonts w:ascii="Times New Roman"/>
                <w:sz w:val="21"/>
                <w:szCs w:val="21"/>
              </w:rPr>
            </w:pPr>
            <w:r>
              <w:rPr>
                <w:rFonts w:ascii="Times New Roman"/>
                <w:sz w:val="21"/>
                <w:szCs w:val="21"/>
              </w:rPr>
              <w:t>200.0</w:t>
            </w:r>
          </w:p>
        </w:tc>
        <w:tc>
          <w:tcPr>
            <w:tcW w:w="1150" w:type="dxa"/>
            <w:vAlign w:val="center"/>
          </w:tcPr>
          <w:p w14:paraId="3A01B523">
            <w:pPr>
              <w:jc w:val="center"/>
              <w:rPr>
                <w:rFonts w:ascii="Times New Roman"/>
                <w:sz w:val="21"/>
                <w:szCs w:val="21"/>
              </w:rPr>
            </w:pPr>
            <w:r>
              <w:rPr>
                <w:rFonts w:hint="eastAsia" w:ascii="Times New Roman"/>
                <w:sz w:val="21"/>
                <w:szCs w:val="21"/>
              </w:rPr>
              <w:t xml:space="preserve">0.7845 </w:t>
            </w:r>
          </w:p>
        </w:tc>
        <w:tc>
          <w:tcPr>
            <w:tcW w:w="1100" w:type="dxa"/>
            <w:vAlign w:val="center"/>
          </w:tcPr>
          <w:p w14:paraId="3772180F">
            <w:pPr>
              <w:jc w:val="center"/>
              <w:rPr>
                <w:rFonts w:ascii="Times New Roman"/>
                <w:sz w:val="21"/>
                <w:szCs w:val="21"/>
              </w:rPr>
            </w:pPr>
            <w:r>
              <w:rPr>
                <w:rFonts w:hint="eastAsia" w:ascii="Times New Roman"/>
                <w:sz w:val="21"/>
                <w:szCs w:val="21"/>
              </w:rPr>
              <w:t>0.17</w:t>
            </w:r>
          </w:p>
        </w:tc>
        <w:tc>
          <w:tcPr>
            <w:tcW w:w="1084" w:type="dxa"/>
            <w:shd w:val="clear" w:color="auto" w:fill="auto"/>
            <w:vAlign w:val="center"/>
          </w:tcPr>
          <w:p w14:paraId="776A1282">
            <w:pPr>
              <w:jc w:val="center"/>
              <w:rPr>
                <w:rFonts w:ascii="Times New Roman"/>
                <w:sz w:val="21"/>
                <w:szCs w:val="21"/>
              </w:rPr>
            </w:pPr>
            <w:r>
              <w:rPr>
                <w:rFonts w:hint="eastAsia" w:ascii="Times New Roman"/>
                <w:sz w:val="21"/>
                <w:szCs w:val="21"/>
              </w:rPr>
              <w:t xml:space="preserve">0.0224 </w:t>
            </w:r>
          </w:p>
        </w:tc>
        <w:tc>
          <w:tcPr>
            <w:tcW w:w="1050" w:type="dxa"/>
            <w:shd w:val="clear" w:color="auto" w:fill="auto"/>
            <w:vAlign w:val="center"/>
          </w:tcPr>
          <w:p w14:paraId="635FCB1B">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23363483">
            <w:pPr>
              <w:jc w:val="center"/>
              <w:rPr>
                <w:rFonts w:ascii="Times New Roman"/>
                <w:sz w:val="21"/>
                <w:szCs w:val="21"/>
              </w:rPr>
            </w:pPr>
            <w:r>
              <w:rPr>
                <w:rFonts w:hint="eastAsia" w:ascii="Times New Roman"/>
                <w:sz w:val="21"/>
                <w:szCs w:val="21"/>
              </w:rPr>
              <w:t xml:space="preserve">2.5784 </w:t>
            </w:r>
          </w:p>
        </w:tc>
        <w:tc>
          <w:tcPr>
            <w:tcW w:w="1014" w:type="dxa"/>
            <w:shd w:val="clear" w:color="auto" w:fill="auto"/>
            <w:vAlign w:val="center"/>
          </w:tcPr>
          <w:p w14:paraId="70BF5339">
            <w:pPr>
              <w:jc w:val="center"/>
              <w:rPr>
                <w:rFonts w:ascii="Times New Roman"/>
                <w:sz w:val="21"/>
                <w:szCs w:val="21"/>
              </w:rPr>
            </w:pPr>
            <w:r>
              <w:rPr>
                <w:rFonts w:hint="eastAsia" w:ascii="Times New Roman"/>
                <w:sz w:val="21"/>
                <w:szCs w:val="21"/>
              </w:rPr>
              <w:t>1.29</w:t>
            </w:r>
          </w:p>
        </w:tc>
      </w:tr>
      <w:tr w14:paraId="09604F43">
        <w:tblPrEx>
          <w:tblCellMar>
            <w:top w:w="0" w:type="dxa"/>
            <w:left w:w="108" w:type="dxa"/>
            <w:bottom w:w="0" w:type="dxa"/>
            <w:right w:w="108" w:type="dxa"/>
          </w:tblCellMar>
        </w:tblPrEx>
        <w:trPr>
          <w:trHeight w:val="412" w:hRule="atLeast"/>
        </w:trPr>
        <w:tc>
          <w:tcPr>
            <w:tcW w:w="1991" w:type="dxa"/>
            <w:vAlign w:val="center"/>
          </w:tcPr>
          <w:p w14:paraId="38955626">
            <w:pPr>
              <w:jc w:val="center"/>
              <w:rPr>
                <w:rFonts w:ascii="Times New Roman"/>
                <w:sz w:val="21"/>
                <w:szCs w:val="21"/>
              </w:rPr>
            </w:pPr>
            <w:r>
              <w:rPr>
                <w:rFonts w:ascii="Times New Roman"/>
                <w:sz w:val="21"/>
                <w:szCs w:val="21"/>
              </w:rPr>
              <w:t>300.0</w:t>
            </w:r>
          </w:p>
        </w:tc>
        <w:tc>
          <w:tcPr>
            <w:tcW w:w="1150" w:type="dxa"/>
            <w:vAlign w:val="center"/>
          </w:tcPr>
          <w:p w14:paraId="2BA95667">
            <w:pPr>
              <w:jc w:val="center"/>
              <w:rPr>
                <w:rFonts w:ascii="Times New Roman"/>
                <w:sz w:val="21"/>
                <w:szCs w:val="21"/>
              </w:rPr>
            </w:pPr>
            <w:r>
              <w:rPr>
                <w:rFonts w:hint="eastAsia" w:ascii="Times New Roman"/>
                <w:sz w:val="21"/>
                <w:szCs w:val="21"/>
              </w:rPr>
              <w:t xml:space="preserve">0.7508 </w:t>
            </w:r>
          </w:p>
        </w:tc>
        <w:tc>
          <w:tcPr>
            <w:tcW w:w="1100" w:type="dxa"/>
            <w:vAlign w:val="center"/>
          </w:tcPr>
          <w:p w14:paraId="578449DE">
            <w:pPr>
              <w:jc w:val="center"/>
              <w:rPr>
                <w:rFonts w:ascii="Times New Roman"/>
                <w:sz w:val="21"/>
                <w:szCs w:val="21"/>
              </w:rPr>
            </w:pPr>
            <w:r>
              <w:rPr>
                <w:rFonts w:hint="eastAsia" w:ascii="Times New Roman"/>
                <w:sz w:val="21"/>
                <w:szCs w:val="21"/>
              </w:rPr>
              <w:t>0.17</w:t>
            </w:r>
          </w:p>
        </w:tc>
        <w:tc>
          <w:tcPr>
            <w:tcW w:w="1084" w:type="dxa"/>
            <w:shd w:val="clear" w:color="auto" w:fill="auto"/>
            <w:vAlign w:val="center"/>
          </w:tcPr>
          <w:p w14:paraId="6B86B2EE">
            <w:pPr>
              <w:jc w:val="center"/>
              <w:rPr>
                <w:rFonts w:ascii="Times New Roman"/>
                <w:sz w:val="21"/>
                <w:szCs w:val="21"/>
              </w:rPr>
            </w:pPr>
            <w:r>
              <w:rPr>
                <w:rFonts w:hint="eastAsia" w:ascii="Times New Roman"/>
                <w:sz w:val="21"/>
                <w:szCs w:val="21"/>
              </w:rPr>
              <w:t xml:space="preserve">0.0215 </w:t>
            </w:r>
          </w:p>
        </w:tc>
        <w:tc>
          <w:tcPr>
            <w:tcW w:w="1050" w:type="dxa"/>
            <w:shd w:val="clear" w:color="auto" w:fill="auto"/>
            <w:vAlign w:val="center"/>
          </w:tcPr>
          <w:p w14:paraId="760247A2">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34BDD71A">
            <w:pPr>
              <w:jc w:val="center"/>
              <w:rPr>
                <w:rFonts w:ascii="Times New Roman"/>
                <w:sz w:val="21"/>
                <w:szCs w:val="21"/>
              </w:rPr>
            </w:pPr>
            <w:r>
              <w:rPr>
                <w:rFonts w:hint="eastAsia" w:ascii="Times New Roman"/>
                <w:sz w:val="21"/>
                <w:szCs w:val="21"/>
              </w:rPr>
              <w:t xml:space="preserve">2.4677 </w:t>
            </w:r>
          </w:p>
        </w:tc>
        <w:tc>
          <w:tcPr>
            <w:tcW w:w="1014" w:type="dxa"/>
            <w:shd w:val="clear" w:color="auto" w:fill="auto"/>
            <w:vAlign w:val="center"/>
          </w:tcPr>
          <w:p w14:paraId="2F5C57F6">
            <w:pPr>
              <w:jc w:val="center"/>
              <w:rPr>
                <w:rFonts w:ascii="Times New Roman"/>
                <w:sz w:val="21"/>
                <w:szCs w:val="21"/>
              </w:rPr>
            </w:pPr>
            <w:r>
              <w:rPr>
                <w:rFonts w:hint="eastAsia" w:ascii="Times New Roman"/>
                <w:sz w:val="21"/>
                <w:szCs w:val="21"/>
              </w:rPr>
              <w:t>1.23</w:t>
            </w:r>
          </w:p>
        </w:tc>
      </w:tr>
      <w:tr w14:paraId="6C153371">
        <w:tblPrEx>
          <w:tblCellMar>
            <w:top w:w="0" w:type="dxa"/>
            <w:left w:w="108" w:type="dxa"/>
            <w:bottom w:w="0" w:type="dxa"/>
            <w:right w:w="108" w:type="dxa"/>
          </w:tblCellMar>
        </w:tblPrEx>
        <w:trPr>
          <w:trHeight w:val="412" w:hRule="atLeast"/>
        </w:trPr>
        <w:tc>
          <w:tcPr>
            <w:tcW w:w="1991" w:type="dxa"/>
            <w:vAlign w:val="center"/>
          </w:tcPr>
          <w:p w14:paraId="51A6C5D9">
            <w:pPr>
              <w:jc w:val="center"/>
              <w:rPr>
                <w:rFonts w:ascii="Times New Roman"/>
                <w:sz w:val="21"/>
                <w:szCs w:val="21"/>
              </w:rPr>
            </w:pPr>
            <w:r>
              <w:rPr>
                <w:rFonts w:ascii="Times New Roman"/>
                <w:sz w:val="21"/>
                <w:szCs w:val="21"/>
              </w:rPr>
              <w:t>400.0</w:t>
            </w:r>
          </w:p>
        </w:tc>
        <w:tc>
          <w:tcPr>
            <w:tcW w:w="1150" w:type="dxa"/>
            <w:vAlign w:val="center"/>
          </w:tcPr>
          <w:p w14:paraId="0E73A9EB">
            <w:pPr>
              <w:jc w:val="center"/>
              <w:rPr>
                <w:rFonts w:ascii="Times New Roman"/>
                <w:sz w:val="21"/>
                <w:szCs w:val="21"/>
              </w:rPr>
            </w:pPr>
            <w:r>
              <w:rPr>
                <w:rFonts w:hint="eastAsia" w:ascii="Times New Roman"/>
                <w:sz w:val="21"/>
                <w:szCs w:val="21"/>
              </w:rPr>
              <w:t xml:space="preserve">0.6342 </w:t>
            </w:r>
          </w:p>
        </w:tc>
        <w:tc>
          <w:tcPr>
            <w:tcW w:w="1100" w:type="dxa"/>
            <w:vAlign w:val="center"/>
          </w:tcPr>
          <w:p w14:paraId="255FAAB5">
            <w:pPr>
              <w:jc w:val="center"/>
              <w:rPr>
                <w:rFonts w:ascii="Times New Roman"/>
                <w:sz w:val="21"/>
                <w:szCs w:val="21"/>
              </w:rPr>
            </w:pPr>
            <w:r>
              <w:rPr>
                <w:rFonts w:hint="eastAsia" w:ascii="Times New Roman"/>
                <w:sz w:val="21"/>
                <w:szCs w:val="21"/>
              </w:rPr>
              <w:t>0.14</w:t>
            </w:r>
          </w:p>
        </w:tc>
        <w:tc>
          <w:tcPr>
            <w:tcW w:w="1084" w:type="dxa"/>
            <w:shd w:val="clear" w:color="auto" w:fill="auto"/>
            <w:vAlign w:val="center"/>
          </w:tcPr>
          <w:p w14:paraId="6F9F2754">
            <w:pPr>
              <w:jc w:val="center"/>
              <w:rPr>
                <w:rFonts w:ascii="Times New Roman"/>
                <w:sz w:val="21"/>
                <w:szCs w:val="21"/>
              </w:rPr>
            </w:pPr>
            <w:r>
              <w:rPr>
                <w:rFonts w:hint="eastAsia" w:ascii="Times New Roman"/>
                <w:sz w:val="21"/>
                <w:szCs w:val="21"/>
              </w:rPr>
              <w:t xml:space="preserve">0.0181 </w:t>
            </w:r>
          </w:p>
        </w:tc>
        <w:tc>
          <w:tcPr>
            <w:tcW w:w="1050" w:type="dxa"/>
            <w:shd w:val="clear" w:color="auto" w:fill="auto"/>
            <w:vAlign w:val="center"/>
          </w:tcPr>
          <w:p w14:paraId="7B29E539">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06427AB5">
            <w:pPr>
              <w:jc w:val="center"/>
              <w:rPr>
                <w:rFonts w:ascii="Times New Roman"/>
                <w:sz w:val="21"/>
                <w:szCs w:val="21"/>
              </w:rPr>
            </w:pPr>
            <w:r>
              <w:rPr>
                <w:rFonts w:hint="eastAsia" w:ascii="Times New Roman"/>
                <w:sz w:val="21"/>
                <w:szCs w:val="21"/>
              </w:rPr>
              <w:t xml:space="preserve">2.0844 </w:t>
            </w:r>
          </w:p>
        </w:tc>
        <w:tc>
          <w:tcPr>
            <w:tcW w:w="1014" w:type="dxa"/>
            <w:shd w:val="clear" w:color="auto" w:fill="auto"/>
            <w:vAlign w:val="center"/>
          </w:tcPr>
          <w:p w14:paraId="27F0D7E8">
            <w:pPr>
              <w:jc w:val="center"/>
              <w:rPr>
                <w:rFonts w:ascii="Times New Roman"/>
                <w:sz w:val="21"/>
                <w:szCs w:val="21"/>
              </w:rPr>
            </w:pPr>
            <w:r>
              <w:rPr>
                <w:rFonts w:hint="eastAsia" w:ascii="Times New Roman"/>
                <w:sz w:val="21"/>
                <w:szCs w:val="21"/>
              </w:rPr>
              <w:t>1.04</w:t>
            </w:r>
          </w:p>
        </w:tc>
      </w:tr>
      <w:tr w14:paraId="493190EE">
        <w:tblPrEx>
          <w:tblCellMar>
            <w:top w:w="0" w:type="dxa"/>
            <w:left w:w="108" w:type="dxa"/>
            <w:bottom w:w="0" w:type="dxa"/>
            <w:right w:w="108" w:type="dxa"/>
          </w:tblCellMar>
        </w:tblPrEx>
        <w:trPr>
          <w:trHeight w:val="412" w:hRule="atLeast"/>
        </w:trPr>
        <w:tc>
          <w:tcPr>
            <w:tcW w:w="1991" w:type="dxa"/>
            <w:vAlign w:val="center"/>
          </w:tcPr>
          <w:p w14:paraId="6712FBCD">
            <w:pPr>
              <w:jc w:val="center"/>
              <w:rPr>
                <w:rFonts w:ascii="Times New Roman"/>
                <w:sz w:val="21"/>
                <w:szCs w:val="21"/>
              </w:rPr>
            </w:pPr>
            <w:r>
              <w:rPr>
                <w:rFonts w:ascii="Times New Roman"/>
                <w:sz w:val="21"/>
                <w:szCs w:val="21"/>
              </w:rPr>
              <w:t>500.0</w:t>
            </w:r>
          </w:p>
        </w:tc>
        <w:tc>
          <w:tcPr>
            <w:tcW w:w="1150" w:type="dxa"/>
            <w:vAlign w:val="center"/>
          </w:tcPr>
          <w:p w14:paraId="75DB6DBE">
            <w:pPr>
              <w:jc w:val="center"/>
              <w:rPr>
                <w:rFonts w:ascii="Times New Roman"/>
                <w:sz w:val="21"/>
                <w:szCs w:val="21"/>
              </w:rPr>
            </w:pPr>
            <w:r>
              <w:rPr>
                <w:rFonts w:hint="eastAsia" w:ascii="Times New Roman"/>
                <w:sz w:val="21"/>
                <w:szCs w:val="21"/>
              </w:rPr>
              <w:t xml:space="preserve">0.5287 </w:t>
            </w:r>
          </w:p>
        </w:tc>
        <w:tc>
          <w:tcPr>
            <w:tcW w:w="1100" w:type="dxa"/>
            <w:vAlign w:val="center"/>
          </w:tcPr>
          <w:p w14:paraId="54A59489">
            <w:pPr>
              <w:jc w:val="center"/>
              <w:rPr>
                <w:rFonts w:ascii="Times New Roman"/>
                <w:sz w:val="21"/>
                <w:szCs w:val="21"/>
              </w:rPr>
            </w:pPr>
            <w:r>
              <w:rPr>
                <w:rFonts w:hint="eastAsia" w:ascii="Times New Roman"/>
                <w:sz w:val="21"/>
                <w:szCs w:val="21"/>
              </w:rPr>
              <w:t>0.12</w:t>
            </w:r>
          </w:p>
        </w:tc>
        <w:tc>
          <w:tcPr>
            <w:tcW w:w="1084" w:type="dxa"/>
            <w:shd w:val="clear" w:color="auto" w:fill="auto"/>
            <w:vAlign w:val="center"/>
          </w:tcPr>
          <w:p w14:paraId="2168C927">
            <w:pPr>
              <w:jc w:val="center"/>
              <w:rPr>
                <w:rFonts w:ascii="Times New Roman"/>
                <w:sz w:val="21"/>
                <w:szCs w:val="21"/>
              </w:rPr>
            </w:pPr>
            <w:r>
              <w:rPr>
                <w:rFonts w:hint="eastAsia" w:ascii="Times New Roman"/>
                <w:sz w:val="21"/>
                <w:szCs w:val="21"/>
              </w:rPr>
              <w:t xml:space="preserve">0.0151 </w:t>
            </w:r>
          </w:p>
        </w:tc>
        <w:tc>
          <w:tcPr>
            <w:tcW w:w="1050" w:type="dxa"/>
            <w:shd w:val="clear" w:color="auto" w:fill="auto"/>
            <w:vAlign w:val="center"/>
          </w:tcPr>
          <w:p w14:paraId="3013A2D0">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2242D537">
            <w:pPr>
              <w:jc w:val="center"/>
              <w:rPr>
                <w:rFonts w:ascii="Times New Roman"/>
                <w:sz w:val="21"/>
                <w:szCs w:val="21"/>
              </w:rPr>
            </w:pPr>
            <w:r>
              <w:rPr>
                <w:rFonts w:hint="eastAsia" w:ascii="Times New Roman"/>
                <w:sz w:val="21"/>
                <w:szCs w:val="21"/>
              </w:rPr>
              <w:t xml:space="preserve">1.7375 </w:t>
            </w:r>
          </w:p>
        </w:tc>
        <w:tc>
          <w:tcPr>
            <w:tcW w:w="1014" w:type="dxa"/>
            <w:shd w:val="clear" w:color="auto" w:fill="auto"/>
            <w:vAlign w:val="center"/>
          </w:tcPr>
          <w:p w14:paraId="5EFB5AFE">
            <w:pPr>
              <w:jc w:val="center"/>
              <w:rPr>
                <w:rFonts w:ascii="Times New Roman"/>
                <w:sz w:val="21"/>
                <w:szCs w:val="21"/>
              </w:rPr>
            </w:pPr>
            <w:r>
              <w:rPr>
                <w:rFonts w:hint="eastAsia" w:ascii="Times New Roman"/>
                <w:sz w:val="21"/>
                <w:szCs w:val="21"/>
              </w:rPr>
              <w:t>0.87</w:t>
            </w:r>
          </w:p>
        </w:tc>
      </w:tr>
      <w:tr w14:paraId="154EA54F">
        <w:tblPrEx>
          <w:tblCellMar>
            <w:top w:w="0" w:type="dxa"/>
            <w:left w:w="108" w:type="dxa"/>
            <w:bottom w:w="0" w:type="dxa"/>
            <w:right w:w="108" w:type="dxa"/>
          </w:tblCellMar>
        </w:tblPrEx>
        <w:trPr>
          <w:trHeight w:val="412" w:hRule="atLeast"/>
        </w:trPr>
        <w:tc>
          <w:tcPr>
            <w:tcW w:w="1991" w:type="dxa"/>
            <w:vAlign w:val="center"/>
          </w:tcPr>
          <w:p w14:paraId="73DC25E2">
            <w:pPr>
              <w:jc w:val="center"/>
              <w:rPr>
                <w:rFonts w:ascii="Times New Roman"/>
                <w:sz w:val="21"/>
                <w:szCs w:val="21"/>
              </w:rPr>
            </w:pPr>
            <w:r>
              <w:rPr>
                <w:rFonts w:ascii="Times New Roman"/>
                <w:sz w:val="21"/>
                <w:szCs w:val="21"/>
              </w:rPr>
              <w:t>600.0</w:t>
            </w:r>
          </w:p>
        </w:tc>
        <w:tc>
          <w:tcPr>
            <w:tcW w:w="1150" w:type="dxa"/>
            <w:vAlign w:val="center"/>
          </w:tcPr>
          <w:p w14:paraId="32E5283B">
            <w:pPr>
              <w:jc w:val="center"/>
              <w:rPr>
                <w:rFonts w:ascii="Times New Roman"/>
                <w:sz w:val="21"/>
                <w:szCs w:val="21"/>
              </w:rPr>
            </w:pPr>
            <w:r>
              <w:rPr>
                <w:rFonts w:hint="eastAsia" w:ascii="Times New Roman"/>
                <w:sz w:val="21"/>
                <w:szCs w:val="21"/>
              </w:rPr>
              <w:t xml:space="preserve">0.4448 </w:t>
            </w:r>
          </w:p>
        </w:tc>
        <w:tc>
          <w:tcPr>
            <w:tcW w:w="1100" w:type="dxa"/>
            <w:vAlign w:val="center"/>
          </w:tcPr>
          <w:p w14:paraId="72F591CA">
            <w:pPr>
              <w:jc w:val="center"/>
              <w:rPr>
                <w:rFonts w:ascii="Times New Roman"/>
                <w:sz w:val="21"/>
                <w:szCs w:val="21"/>
              </w:rPr>
            </w:pPr>
            <w:r>
              <w:rPr>
                <w:rFonts w:hint="eastAsia" w:ascii="Times New Roman"/>
                <w:sz w:val="21"/>
                <w:szCs w:val="21"/>
              </w:rPr>
              <w:t>0.1</w:t>
            </w:r>
          </w:p>
        </w:tc>
        <w:tc>
          <w:tcPr>
            <w:tcW w:w="1084" w:type="dxa"/>
            <w:shd w:val="clear" w:color="auto" w:fill="auto"/>
            <w:vAlign w:val="center"/>
          </w:tcPr>
          <w:p w14:paraId="032CD50F">
            <w:pPr>
              <w:jc w:val="center"/>
              <w:rPr>
                <w:rFonts w:ascii="Times New Roman"/>
                <w:sz w:val="21"/>
                <w:szCs w:val="21"/>
              </w:rPr>
            </w:pPr>
            <w:r>
              <w:rPr>
                <w:rFonts w:hint="eastAsia" w:ascii="Times New Roman"/>
                <w:sz w:val="21"/>
                <w:szCs w:val="21"/>
              </w:rPr>
              <w:t xml:space="preserve">0.0127 </w:t>
            </w:r>
          </w:p>
        </w:tc>
        <w:tc>
          <w:tcPr>
            <w:tcW w:w="1050" w:type="dxa"/>
            <w:shd w:val="clear" w:color="auto" w:fill="auto"/>
            <w:vAlign w:val="center"/>
          </w:tcPr>
          <w:p w14:paraId="3A18E43E">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3CB9546">
            <w:pPr>
              <w:jc w:val="center"/>
              <w:rPr>
                <w:rFonts w:ascii="Times New Roman"/>
                <w:sz w:val="21"/>
                <w:szCs w:val="21"/>
              </w:rPr>
            </w:pPr>
            <w:r>
              <w:rPr>
                <w:rFonts w:hint="eastAsia" w:ascii="Times New Roman"/>
                <w:sz w:val="21"/>
                <w:szCs w:val="21"/>
              </w:rPr>
              <w:t xml:space="preserve">1.4619 </w:t>
            </w:r>
          </w:p>
        </w:tc>
        <w:tc>
          <w:tcPr>
            <w:tcW w:w="1014" w:type="dxa"/>
            <w:shd w:val="clear" w:color="auto" w:fill="auto"/>
            <w:vAlign w:val="center"/>
          </w:tcPr>
          <w:p w14:paraId="5F3F1961">
            <w:pPr>
              <w:jc w:val="center"/>
              <w:rPr>
                <w:rFonts w:ascii="Times New Roman"/>
                <w:sz w:val="21"/>
                <w:szCs w:val="21"/>
              </w:rPr>
            </w:pPr>
            <w:r>
              <w:rPr>
                <w:rFonts w:hint="eastAsia" w:ascii="Times New Roman"/>
                <w:sz w:val="21"/>
                <w:szCs w:val="21"/>
              </w:rPr>
              <w:t>0.73</w:t>
            </w:r>
          </w:p>
        </w:tc>
      </w:tr>
      <w:tr w14:paraId="3372A271">
        <w:tblPrEx>
          <w:tblCellMar>
            <w:top w:w="0" w:type="dxa"/>
            <w:left w:w="108" w:type="dxa"/>
            <w:bottom w:w="0" w:type="dxa"/>
            <w:right w:w="108" w:type="dxa"/>
          </w:tblCellMar>
        </w:tblPrEx>
        <w:trPr>
          <w:trHeight w:val="412" w:hRule="atLeast"/>
        </w:trPr>
        <w:tc>
          <w:tcPr>
            <w:tcW w:w="1991" w:type="dxa"/>
            <w:vAlign w:val="center"/>
          </w:tcPr>
          <w:p w14:paraId="063996C7">
            <w:pPr>
              <w:jc w:val="center"/>
              <w:rPr>
                <w:rFonts w:ascii="Times New Roman"/>
                <w:sz w:val="21"/>
                <w:szCs w:val="21"/>
              </w:rPr>
            </w:pPr>
            <w:r>
              <w:rPr>
                <w:rFonts w:ascii="Times New Roman"/>
                <w:sz w:val="21"/>
                <w:szCs w:val="21"/>
              </w:rPr>
              <w:t>700.0</w:t>
            </w:r>
          </w:p>
        </w:tc>
        <w:tc>
          <w:tcPr>
            <w:tcW w:w="1150" w:type="dxa"/>
            <w:vAlign w:val="center"/>
          </w:tcPr>
          <w:p w14:paraId="3A883FB2">
            <w:pPr>
              <w:jc w:val="center"/>
              <w:rPr>
                <w:rFonts w:ascii="Times New Roman"/>
                <w:sz w:val="21"/>
                <w:szCs w:val="21"/>
              </w:rPr>
            </w:pPr>
            <w:r>
              <w:rPr>
                <w:rFonts w:hint="eastAsia" w:ascii="Times New Roman"/>
                <w:sz w:val="21"/>
                <w:szCs w:val="21"/>
              </w:rPr>
              <w:t xml:space="preserve">0.3793 </w:t>
            </w:r>
          </w:p>
        </w:tc>
        <w:tc>
          <w:tcPr>
            <w:tcW w:w="1100" w:type="dxa"/>
            <w:vAlign w:val="center"/>
          </w:tcPr>
          <w:p w14:paraId="4C3C01F3">
            <w:pPr>
              <w:jc w:val="center"/>
              <w:rPr>
                <w:rFonts w:ascii="Times New Roman"/>
                <w:sz w:val="21"/>
                <w:szCs w:val="21"/>
              </w:rPr>
            </w:pPr>
            <w:r>
              <w:rPr>
                <w:rFonts w:hint="eastAsia" w:ascii="Times New Roman"/>
                <w:sz w:val="21"/>
                <w:szCs w:val="21"/>
              </w:rPr>
              <w:t>0.08</w:t>
            </w:r>
          </w:p>
        </w:tc>
        <w:tc>
          <w:tcPr>
            <w:tcW w:w="1084" w:type="dxa"/>
            <w:shd w:val="clear" w:color="auto" w:fill="auto"/>
            <w:vAlign w:val="center"/>
          </w:tcPr>
          <w:p w14:paraId="77E75A11">
            <w:pPr>
              <w:jc w:val="center"/>
              <w:rPr>
                <w:rFonts w:ascii="Times New Roman"/>
                <w:sz w:val="21"/>
                <w:szCs w:val="21"/>
              </w:rPr>
            </w:pPr>
            <w:r>
              <w:rPr>
                <w:rFonts w:hint="eastAsia" w:ascii="Times New Roman"/>
                <w:sz w:val="21"/>
                <w:szCs w:val="21"/>
              </w:rPr>
              <w:t xml:space="preserve">0.0108 </w:t>
            </w:r>
          </w:p>
        </w:tc>
        <w:tc>
          <w:tcPr>
            <w:tcW w:w="1050" w:type="dxa"/>
            <w:shd w:val="clear" w:color="auto" w:fill="auto"/>
            <w:vAlign w:val="center"/>
          </w:tcPr>
          <w:p w14:paraId="456E84F2">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461F49A8">
            <w:pPr>
              <w:jc w:val="center"/>
              <w:rPr>
                <w:rFonts w:ascii="Times New Roman"/>
                <w:sz w:val="21"/>
                <w:szCs w:val="21"/>
              </w:rPr>
            </w:pPr>
            <w:r>
              <w:rPr>
                <w:rFonts w:hint="eastAsia" w:ascii="Times New Roman"/>
                <w:sz w:val="21"/>
                <w:szCs w:val="21"/>
              </w:rPr>
              <w:t xml:space="preserve">1.2467 </w:t>
            </w:r>
          </w:p>
        </w:tc>
        <w:tc>
          <w:tcPr>
            <w:tcW w:w="1014" w:type="dxa"/>
            <w:shd w:val="clear" w:color="auto" w:fill="auto"/>
            <w:vAlign w:val="center"/>
          </w:tcPr>
          <w:p w14:paraId="2A217BAC">
            <w:pPr>
              <w:jc w:val="center"/>
              <w:rPr>
                <w:rFonts w:ascii="Times New Roman"/>
                <w:sz w:val="21"/>
                <w:szCs w:val="21"/>
              </w:rPr>
            </w:pPr>
            <w:r>
              <w:rPr>
                <w:rFonts w:hint="eastAsia" w:ascii="Times New Roman"/>
                <w:sz w:val="21"/>
                <w:szCs w:val="21"/>
              </w:rPr>
              <w:t>0.62</w:t>
            </w:r>
          </w:p>
        </w:tc>
      </w:tr>
      <w:tr w14:paraId="72D56F8D">
        <w:tblPrEx>
          <w:tblCellMar>
            <w:top w:w="0" w:type="dxa"/>
            <w:left w:w="108" w:type="dxa"/>
            <w:bottom w:w="0" w:type="dxa"/>
            <w:right w:w="108" w:type="dxa"/>
          </w:tblCellMar>
        </w:tblPrEx>
        <w:trPr>
          <w:trHeight w:val="412" w:hRule="atLeast"/>
        </w:trPr>
        <w:tc>
          <w:tcPr>
            <w:tcW w:w="1991" w:type="dxa"/>
            <w:vAlign w:val="center"/>
          </w:tcPr>
          <w:p w14:paraId="243CBC20">
            <w:pPr>
              <w:jc w:val="center"/>
              <w:rPr>
                <w:rFonts w:ascii="Times New Roman"/>
                <w:sz w:val="21"/>
                <w:szCs w:val="21"/>
              </w:rPr>
            </w:pPr>
            <w:r>
              <w:rPr>
                <w:rFonts w:ascii="Times New Roman"/>
                <w:sz w:val="21"/>
                <w:szCs w:val="21"/>
              </w:rPr>
              <w:t>800.0</w:t>
            </w:r>
          </w:p>
        </w:tc>
        <w:tc>
          <w:tcPr>
            <w:tcW w:w="1150" w:type="dxa"/>
            <w:vAlign w:val="center"/>
          </w:tcPr>
          <w:p w14:paraId="4718AD2B">
            <w:pPr>
              <w:jc w:val="center"/>
              <w:rPr>
                <w:rFonts w:ascii="Times New Roman"/>
                <w:sz w:val="21"/>
                <w:szCs w:val="21"/>
              </w:rPr>
            </w:pPr>
            <w:r>
              <w:rPr>
                <w:rFonts w:hint="eastAsia" w:ascii="Times New Roman"/>
                <w:sz w:val="21"/>
                <w:szCs w:val="21"/>
              </w:rPr>
              <w:t xml:space="preserve">0.3279 </w:t>
            </w:r>
          </w:p>
        </w:tc>
        <w:tc>
          <w:tcPr>
            <w:tcW w:w="1100" w:type="dxa"/>
            <w:vAlign w:val="center"/>
          </w:tcPr>
          <w:p w14:paraId="578AEDEA">
            <w:pPr>
              <w:jc w:val="center"/>
              <w:rPr>
                <w:rFonts w:ascii="Times New Roman"/>
                <w:sz w:val="21"/>
                <w:szCs w:val="21"/>
              </w:rPr>
            </w:pPr>
            <w:r>
              <w:rPr>
                <w:rFonts w:hint="eastAsia" w:ascii="Times New Roman"/>
                <w:sz w:val="21"/>
                <w:szCs w:val="21"/>
              </w:rPr>
              <w:t>0.07</w:t>
            </w:r>
          </w:p>
        </w:tc>
        <w:tc>
          <w:tcPr>
            <w:tcW w:w="1084" w:type="dxa"/>
            <w:shd w:val="clear" w:color="auto" w:fill="auto"/>
            <w:vAlign w:val="center"/>
          </w:tcPr>
          <w:p w14:paraId="1B7A7D4E">
            <w:pPr>
              <w:jc w:val="center"/>
              <w:rPr>
                <w:rFonts w:ascii="Times New Roman"/>
                <w:sz w:val="21"/>
                <w:szCs w:val="21"/>
              </w:rPr>
            </w:pPr>
            <w:r>
              <w:rPr>
                <w:rFonts w:hint="eastAsia" w:ascii="Times New Roman"/>
                <w:sz w:val="21"/>
                <w:szCs w:val="21"/>
              </w:rPr>
              <w:t xml:space="preserve">0.0094 </w:t>
            </w:r>
          </w:p>
        </w:tc>
        <w:tc>
          <w:tcPr>
            <w:tcW w:w="1050" w:type="dxa"/>
            <w:shd w:val="clear" w:color="auto" w:fill="auto"/>
            <w:vAlign w:val="center"/>
          </w:tcPr>
          <w:p w14:paraId="700F4E91">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37AA21D0">
            <w:pPr>
              <w:jc w:val="center"/>
              <w:rPr>
                <w:rFonts w:ascii="Times New Roman"/>
                <w:sz w:val="21"/>
                <w:szCs w:val="21"/>
              </w:rPr>
            </w:pPr>
            <w:r>
              <w:rPr>
                <w:rFonts w:hint="eastAsia" w:ascii="Times New Roman"/>
                <w:sz w:val="21"/>
                <w:szCs w:val="21"/>
              </w:rPr>
              <w:t>1.0776</w:t>
            </w:r>
          </w:p>
        </w:tc>
        <w:tc>
          <w:tcPr>
            <w:tcW w:w="1014" w:type="dxa"/>
            <w:shd w:val="clear" w:color="auto" w:fill="auto"/>
            <w:vAlign w:val="center"/>
          </w:tcPr>
          <w:p w14:paraId="5CDCD3F1">
            <w:pPr>
              <w:jc w:val="center"/>
              <w:rPr>
                <w:rFonts w:ascii="Times New Roman"/>
                <w:sz w:val="21"/>
                <w:szCs w:val="21"/>
              </w:rPr>
            </w:pPr>
            <w:r>
              <w:rPr>
                <w:rFonts w:hint="eastAsia" w:ascii="Times New Roman"/>
                <w:sz w:val="21"/>
                <w:szCs w:val="21"/>
              </w:rPr>
              <w:t>0.54</w:t>
            </w:r>
          </w:p>
        </w:tc>
      </w:tr>
      <w:tr w14:paraId="5054C501">
        <w:tblPrEx>
          <w:tblCellMar>
            <w:top w:w="0" w:type="dxa"/>
            <w:left w:w="108" w:type="dxa"/>
            <w:bottom w:w="0" w:type="dxa"/>
            <w:right w:w="108" w:type="dxa"/>
          </w:tblCellMar>
        </w:tblPrEx>
        <w:trPr>
          <w:trHeight w:val="412" w:hRule="atLeast"/>
        </w:trPr>
        <w:tc>
          <w:tcPr>
            <w:tcW w:w="1991" w:type="dxa"/>
            <w:vAlign w:val="center"/>
          </w:tcPr>
          <w:p w14:paraId="18D0AF20">
            <w:pPr>
              <w:jc w:val="center"/>
              <w:rPr>
                <w:rFonts w:ascii="Times New Roman"/>
                <w:sz w:val="21"/>
                <w:szCs w:val="21"/>
              </w:rPr>
            </w:pPr>
            <w:r>
              <w:rPr>
                <w:rFonts w:ascii="Times New Roman"/>
                <w:sz w:val="21"/>
                <w:szCs w:val="21"/>
              </w:rPr>
              <w:t>900.0</w:t>
            </w:r>
          </w:p>
        </w:tc>
        <w:tc>
          <w:tcPr>
            <w:tcW w:w="1150" w:type="dxa"/>
            <w:vAlign w:val="center"/>
          </w:tcPr>
          <w:p w14:paraId="29DB0213">
            <w:pPr>
              <w:jc w:val="center"/>
              <w:rPr>
                <w:rFonts w:ascii="Times New Roman"/>
                <w:sz w:val="21"/>
                <w:szCs w:val="21"/>
              </w:rPr>
            </w:pPr>
            <w:r>
              <w:rPr>
                <w:rFonts w:hint="eastAsia" w:ascii="Times New Roman"/>
                <w:sz w:val="21"/>
                <w:szCs w:val="21"/>
              </w:rPr>
              <w:t xml:space="preserve">0.2868 </w:t>
            </w:r>
          </w:p>
        </w:tc>
        <w:tc>
          <w:tcPr>
            <w:tcW w:w="1100" w:type="dxa"/>
            <w:vAlign w:val="center"/>
          </w:tcPr>
          <w:p w14:paraId="75B2031A">
            <w:pPr>
              <w:jc w:val="center"/>
              <w:rPr>
                <w:rFonts w:ascii="Times New Roman"/>
                <w:sz w:val="21"/>
                <w:szCs w:val="21"/>
              </w:rPr>
            </w:pPr>
            <w:r>
              <w:rPr>
                <w:rFonts w:hint="eastAsia" w:ascii="Times New Roman"/>
                <w:sz w:val="21"/>
                <w:szCs w:val="21"/>
              </w:rPr>
              <w:t>0.06</w:t>
            </w:r>
          </w:p>
        </w:tc>
        <w:tc>
          <w:tcPr>
            <w:tcW w:w="1084" w:type="dxa"/>
            <w:shd w:val="clear" w:color="auto" w:fill="auto"/>
            <w:vAlign w:val="center"/>
          </w:tcPr>
          <w:p w14:paraId="7206D726">
            <w:pPr>
              <w:jc w:val="center"/>
              <w:rPr>
                <w:rFonts w:ascii="Times New Roman"/>
                <w:sz w:val="21"/>
                <w:szCs w:val="21"/>
              </w:rPr>
            </w:pPr>
            <w:r>
              <w:rPr>
                <w:rFonts w:hint="eastAsia" w:ascii="Times New Roman"/>
                <w:sz w:val="21"/>
                <w:szCs w:val="21"/>
              </w:rPr>
              <w:t xml:space="preserve">0.0082 </w:t>
            </w:r>
          </w:p>
        </w:tc>
        <w:tc>
          <w:tcPr>
            <w:tcW w:w="1050" w:type="dxa"/>
            <w:shd w:val="clear" w:color="auto" w:fill="auto"/>
            <w:vAlign w:val="center"/>
          </w:tcPr>
          <w:p w14:paraId="25D1B6B8">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7AEEC316">
            <w:pPr>
              <w:jc w:val="center"/>
              <w:rPr>
                <w:rFonts w:ascii="Times New Roman"/>
                <w:sz w:val="21"/>
                <w:szCs w:val="21"/>
              </w:rPr>
            </w:pPr>
            <w:r>
              <w:rPr>
                <w:rFonts w:hint="eastAsia" w:ascii="Times New Roman"/>
                <w:sz w:val="21"/>
                <w:szCs w:val="21"/>
              </w:rPr>
              <w:t xml:space="preserve">0.9427 </w:t>
            </w:r>
          </w:p>
        </w:tc>
        <w:tc>
          <w:tcPr>
            <w:tcW w:w="1014" w:type="dxa"/>
            <w:shd w:val="clear" w:color="auto" w:fill="auto"/>
            <w:vAlign w:val="center"/>
          </w:tcPr>
          <w:p w14:paraId="6DB84ECF">
            <w:pPr>
              <w:jc w:val="center"/>
              <w:rPr>
                <w:rFonts w:ascii="Times New Roman"/>
                <w:sz w:val="21"/>
                <w:szCs w:val="21"/>
              </w:rPr>
            </w:pPr>
            <w:r>
              <w:rPr>
                <w:rFonts w:hint="eastAsia" w:ascii="Times New Roman"/>
                <w:sz w:val="21"/>
                <w:szCs w:val="21"/>
              </w:rPr>
              <w:t>0.47</w:t>
            </w:r>
          </w:p>
        </w:tc>
      </w:tr>
      <w:tr w14:paraId="55575AA9">
        <w:tblPrEx>
          <w:tblCellMar>
            <w:top w:w="0" w:type="dxa"/>
            <w:left w:w="108" w:type="dxa"/>
            <w:bottom w:w="0" w:type="dxa"/>
            <w:right w:w="108" w:type="dxa"/>
          </w:tblCellMar>
        </w:tblPrEx>
        <w:trPr>
          <w:trHeight w:val="412" w:hRule="atLeast"/>
        </w:trPr>
        <w:tc>
          <w:tcPr>
            <w:tcW w:w="1991" w:type="dxa"/>
            <w:vAlign w:val="center"/>
          </w:tcPr>
          <w:p w14:paraId="270C1E2F">
            <w:pPr>
              <w:jc w:val="center"/>
              <w:rPr>
                <w:rFonts w:ascii="Times New Roman"/>
                <w:sz w:val="21"/>
                <w:szCs w:val="21"/>
              </w:rPr>
            </w:pPr>
            <w:r>
              <w:rPr>
                <w:rFonts w:ascii="Times New Roman"/>
                <w:sz w:val="21"/>
                <w:szCs w:val="21"/>
              </w:rPr>
              <w:t>1000.0</w:t>
            </w:r>
          </w:p>
        </w:tc>
        <w:tc>
          <w:tcPr>
            <w:tcW w:w="1150" w:type="dxa"/>
            <w:vAlign w:val="center"/>
          </w:tcPr>
          <w:p w14:paraId="3D2842B9">
            <w:pPr>
              <w:jc w:val="center"/>
              <w:rPr>
                <w:rFonts w:ascii="Times New Roman"/>
                <w:sz w:val="21"/>
                <w:szCs w:val="21"/>
              </w:rPr>
            </w:pPr>
            <w:r>
              <w:rPr>
                <w:rFonts w:hint="eastAsia" w:ascii="Times New Roman"/>
                <w:sz w:val="21"/>
                <w:szCs w:val="21"/>
              </w:rPr>
              <w:t xml:space="preserve">0.2536 </w:t>
            </w:r>
          </w:p>
        </w:tc>
        <w:tc>
          <w:tcPr>
            <w:tcW w:w="1100" w:type="dxa"/>
            <w:vAlign w:val="center"/>
          </w:tcPr>
          <w:p w14:paraId="1D85B2C9">
            <w:pPr>
              <w:jc w:val="center"/>
              <w:rPr>
                <w:rFonts w:ascii="Times New Roman"/>
                <w:sz w:val="21"/>
                <w:szCs w:val="21"/>
              </w:rPr>
            </w:pPr>
            <w:r>
              <w:rPr>
                <w:rFonts w:hint="eastAsia" w:ascii="Times New Roman"/>
                <w:sz w:val="21"/>
                <w:szCs w:val="21"/>
              </w:rPr>
              <w:t>0.06</w:t>
            </w:r>
          </w:p>
        </w:tc>
        <w:tc>
          <w:tcPr>
            <w:tcW w:w="1084" w:type="dxa"/>
            <w:shd w:val="clear" w:color="auto" w:fill="auto"/>
            <w:vAlign w:val="center"/>
          </w:tcPr>
          <w:p w14:paraId="3B2C1B1B">
            <w:pPr>
              <w:jc w:val="center"/>
              <w:rPr>
                <w:rFonts w:ascii="Times New Roman"/>
                <w:sz w:val="21"/>
                <w:szCs w:val="21"/>
              </w:rPr>
            </w:pPr>
            <w:r>
              <w:rPr>
                <w:rFonts w:hint="eastAsia" w:ascii="Times New Roman"/>
                <w:sz w:val="21"/>
                <w:szCs w:val="21"/>
              </w:rPr>
              <w:t xml:space="preserve">0.0073 </w:t>
            </w:r>
          </w:p>
        </w:tc>
        <w:tc>
          <w:tcPr>
            <w:tcW w:w="1050" w:type="dxa"/>
            <w:shd w:val="clear" w:color="auto" w:fill="auto"/>
            <w:vAlign w:val="center"/>
          </w:tcPr>
          <w:p w14:paraId="5AC4DEC8">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414A8324">
            <w:pPr>
              <w:jc w:val="center"/>
              <w:rPr>
                <w:rFonts w:ascii="Times New Roman"/>
                <w:sz w:val="21"/>
                <w:szCs w:val="21"/>
              </w:rPr>
            </w:pPr>
            <w:r>
              <w:rPr>
                <w:rFonts w:hint="eastAsia" w:ascii="Times New Roman"/>
                <w:sz w:val="21"/>
                <w:szCs w:val="21"/>
              </w:rPr>
              <w:t xml:space="preserve">0.8335 </w:t>
            </w:r>
          </w:p>
        </w:tc>
        <w:tc>
          <w:tcPr>
            <w:tcW w:w="1014" w:type="dxa"/>
            <w:shd w:val="clear" w:color="auto" w:fill="auto"/>
            <w:vAlign w:val="center"/>
          </w:tcPr>
          <w:p w14:paraId="02A440BB">
            <w:pPr>
              <w:jc w:val="center"/>
              <w:rPr>
                <w:rFonts w:ascii="Times New Roman"/>
                <w:sz w:val="21"/>
                <w:szCs w:val="21"/>
              </w:rPr>
            </w:pPr>
            <w:r>
              <w:rPr>
                <w:rFonts w:hint="eastAsia" w:ascii="Times New Roman"/>
                <w:sz w:val="21"/>
                <w:szCs w:val="21"/>
              </w:rPr>
              <w:t>0.42</w:t>
            </w:r>
          </w:p>
        </w:tc>
      </w:tr>
      <w:tr w14:paraId="3DCB928F">
        <w:tblPrEx>
          <w:tblCellMar>
            <w:top w:w="0" w:type="dxa"/>
            <w:left w:w="108" w:type="dxa"/>
            <w:bottom w:w="0" w:type="dxa"/>
            <w:right w:w="108" w:type="dxa"/>
          </w:tblCellMar>
        </w:tblPrEx>
        <w:trPr>
          <w:trHeight w:val="412" w:hRule="atLeast"/>
        </w:trPr>
        <w:tc>
          <w:tcPr>
            <w:tcW w:w="1991" w:type="dxa"/>
            <w:vAlign w:val="center"/>
          </w:tcPr>
          <w:p w14:paraId="57E55A02">
            <w:pPr>
              <w:jc w:val="center"/>
              <w:rPr>
                <w:rFonts w:ascii="Times New Roman"/>
                <w:sz w:val="21"/>
                <w:szCs w:val="21"/>
              </w:rPr>
            </w:pPr>
            <w:r>
              <w:rPr>
                <w:rFonts w:ascii="Times New Roman"/>
                <w:sz w:val="21"/>
                <w:szCs w:val="21"/>
              </w:rPr>
              <w:t>1200.0</w:t>
            </w:r>
          </w:p>
        </w:tc>
        <w:tc>
          <w:tcPr>
            <w:tcW w:w="1150" w:type="dxa"/>
            <w:vAlign w:val="center"/>
          </w:tcPr>
          <w:p w14:paraId="1132C0DD">
            <w:pPr>
              <w:jc w:val="center"/>
              <w:rPr>
                <w:rFonts w:ascii="Times New Roman"/>
                <w:sz w:val="21"/>
                <w:szCs w:val="21"/>
              </w:rPr>
            </w:pPr>
            <w:r>
              <w:rPr>
                <w:rFonts w:hint="eastAsia" w:ascii="Times New Roman"/>
                <w:sz w:val="21"/>
                <w:szCs w:val="21"/>
              </w:rPr>
              <w:t xml:space="preserve">0.2064 </w:t>
            </w:r>
          </w:p>
        </w:tc>
        <w:tc>
          <w:tcPr>
            <w:tcW w:w="1100" w:type="dxa"/>
            <w:vAlign w:val="center"/>
          </w:tcPr>
          <w:p w14:paraId="1D67A1AD">
            <w:pPr>
              <w:jc w:val="center"/>
              <w:rPr>
                <w:rFonts w:ascii="Times New Roman"/>
                <w:sz w:val="21"/>
                <w:szCs w:val="21"/>
              </w:rPr>
            </w:pPr>
            <w:r>
              <w:rPr>
                <w:rFonts w:hint="eastAsia" w:ascii="Times New Roman"/>
                <w:sz w:val="21"/>
                <w:szCs w:val="21"/>
              </w:rPr>
              <w:t>0.05</w:t>
            </w:r>
          </w:p>
        </w:tc>
        <w:tc>
          <w:tcPr>
            <w:tcW w:w="1084" w:type="dxa"/>
            <w:shd w:val="clear" w:color="auto" w:fill="auto"/>
            <w:vAlign w:val="center"/>
          </w:tcPr>
          <w:p w14:paraId="6255B0AE">
            <w:pPr>
              <w:jc w:val="center"/>
              <w:rPr>
                <w:rFonts w:ascii="Times New Roman"/>
                <w:sz w:val="21"/>
                <w:szCs w:val="21"/>
              </w:rPr>
            </w:pPr>
            <w:r>
              <w:rPr>
                <w:rFonts w:hint="eastAsia" w:ascii="Times New Roman"/>
                <w:sz w:val="21"/>
                <w:szCs w:val="21"/>
              </w:rPr>
              <w:t xml:space="preserve">0.0059 </w:t>
            </w:r>
          </w:p>
        </w:tc>
        <w:tc>
          <w:tcPr>
            <w:tcW w:w="1050" w:type="dxa"/>
            <w:shd w:val="clear" w:color="auto" w:fill="auto"/>
            <w:vAlign w:val="center"/>
          </w:tcPr>
          <w:p w14:paraId="1CB5EBAA">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15AF8582">
            <w:pPr>
              <w:jc w:val="center"/>
              <w:rPr>
                <w:rFonts w:ascii="Times New Roman"/>
                <w:sz w:val="21"/>
                <w:szCs w:val="21"/>
              </w:rPr>
            </w:pPr>
            <w:r>
              <w:rPr>
                <w:rFonts w:hint="eastAsia" w:ascii="Times New Roman"/>
                <w:sz w:val="21"/>
                <w:szCs w:val="21"/>
              </w:rPr>
              <w:t xml:space="preserve">0.6782 </w:t>
            </w:r>
          </w:p>
        </w:tc>
        <w:tc>
          <w:tcPr>
            <w:tcW w:w="1014" w:type="dxa"/>
            <w:shd w:val="clear" w:color="auto" w:fill="auto"/>
            <w:vAlign w:val="center"/>
          </w:tcPr>
          <w:p w14:paraId="0040E731">
            <w:pPr>
              <w:jc w:val="center"/>
              <w:rPr>
                <w:rFonts w:ascii="Times New Roman"/>
                <w:sz w:val="21"/>
                <w:szCs w:val="21"/>
              </w:rPr>
            </w:pPr>
            <w:r>
              <w:rPr>
                <w:rFonts w:hint="eastAsia" w:ascii="Times New Roman"/>
                <w:sz w:val="21"/>
                <w:szCs w:val="21"/>
              </w:rPr>
              <w:t>0.34</w:t>
            </w:r>
          </w:p>
        </w:tc>
      </w:tr>
      <w:tr w14:paraId="6ED5CE3F">
        <w:tblPrEx>
          <w:tblCellMar>
            <w:top w:w="0" w:type="dxa"/>
            <w:left w:w="108" w:type="dxa"/>
            <w:bottom w:w="0" w:type="dxa"/>
            <w:right w:w="108" w:type="dxa"/>
          </w:tblCellMar>
        </w:tblPrEx>
        <w:trPr>
          <w:trHeight w:val="412" w:hRule="atLeast"/>
        </w:trPr>
        <w:tc>
          <w:tcPr>
            <w:tcW w:w="1991" w:type="dxa"/>
            <w:vAlign w:val="center"/>
          </w:tcPr>
          <w:p w14:paraId="05B4A832">
            <w:pPr>
              <w:jc w:val="center"/>
              <w:rPr>
                <w:rFonts w:ascii="Times New Roman"/>
                <w:sz w:val="21"/>
                <w:szCs w:val="21"/>
              </w:rPr>
            </w:pPr>
            <w:r>
              <w:rPr>
                <w:rFonts w:ascii="Times New Roman"/>
                <w:sz w:val="21"/>
                <w:szCs w:val="21"/>
              </w:rPr>
              <w:t>1400.0</w:t>
            </w:r>
          </w:p>
        </w:tc>
        <w:tc>
          <w:tcPr>
            <w:tcW w:w="1150" w:type="dxa"/>
            <w:vAlign w:val="center"/>
          </w:tcPr>
          <w:p w14:paraId="31372789">
            <w:pPr>
              <w:jc w:val="center"/>
              <w:rPr>
                <w:rFonts w:ascii="Times New Roman"/>
                <w:sz w:val="21"/>
                <w:szCs w:val="21"/>
              </w:rPr>
            </w:pPr>
            <w:r>
              <w:rPr>
                <w:rFonts w:hint="eastAsia" w:ascii="Times New Roman"/>
                <w:sz w:val="21"/>
                <w:szCs w:val="21"/>
              </w:rPr>
              <w:t xml:space="preserve">0.1723 </w:t>
            </w:r>
          </w:p>
        </w:tc>
        <w:tc>
          <w:tcPr>
            <w:tcW w:w="1100" w:type="dxa"/>
            <w:vAlign w:val="center"/>
          </w:tcPr>
          <w:p w14:paraId="0F65DDDC">
            <w:pPr>
              <w:jc w:val="center"/>
              <w:rPr>
                <w:rFonts w:ascii="Times New Roman"/>
                <w:sz w:val="21"/>
                <w:szCs w:val="21"/>
              </w:rPr>
            </w:pPr>
            <w:r>
              <w:rPr>
                <w:rFonts w:hint="eastAsia" w:ascii="Times New Roman"/>
                <w:sz w:val="21"/>
                <w:szCs w:val="21"/>
              </w:rPr>
              <w:t>0.04</w:t>
            </w:r>
          </w:p>
        </w:tc>
        <w:tc>
          <w:tcPr>
            <w:tcW w:w="1084" w:type="dxa"/>
            <w:shd w:val="clear" w:color="auto" w:fill="auto"/>
            <w:vAlign w:val="center"/>
          </w:tcPr>
          <w:p w14:paraId="121FEC6A">
            <w:pPr>
              <w:jc w:val="center"/>
              <w:rPr>
                <w:rFonts w:ascii="Times New Roman"/>
                <w:sz w:val="21"/>
                <w:szCs w:val="21"/>
              </w:rPr>
            </w:pPr>
            <w:r>
              <w:rPr>
                <w:rFonts w:hint="eastAsia" w:ascii="Times New Roman"/>
                <w:sz w:val="21"/>
                <w:szCs w:val="21"/>
              </w:rPr>
              <w:t xml:space="preserve">0.0049 </w:t>
            </w:r>
          </w:p>
        </w:tc>
        <w:tc>
          <w:tcPr>
            <w:tcW w:w="1050" w:type="dxa"/>
            <w:shd w:val="clear" w:color="auto" w:fill="auto"/>
            <w:vAlign w:val="center"/>
          </w:tcPr>
          <w:p w14:paraId="45BD4B58">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EFBD671">
            <w:pPr>
              <w:jc w:val="center"/>
              <w:rPr>
                <w:rFonts w:ascii="Times New Roman"/>
                <w:sz w:val="21"/>
                <w:szCs w:val="21"/>
              </w:rPr>
            </w:pPr>
            <w:r>
              <w:rPr>
                <w:rFonts w:hint="eastAsia" w:ascii="Times New Roman"/>
                <w:sz w:val="21"/>
                <w:szCs w:val="21"/>
              </w:rPr>
              <w:t xml:space="preserve">0.5664 </w:t>
            </w:r>
          </w:p>
        </w:tc>
        <w:tc>
          <w:tcPr>
            <w:tcW w:w="1014" w:type="dxa"/>
            <w:shd w:val="clear" w:color="auto" w:fill="auto"/>
            <w:vAlign w:val="center"/>
          </w:tcPr>
          <w:p w14:paraId="6ECAF166">
            <w:pPr>
              <w:jc w:val="center"/>
              <w:rPr>
                <w:rFonts w:ascii="Times New Roman"/>
                <w:sz w:val="21"/>
                <w:szCs w:val="21"/>
              </w:rPr>
            </w:pPr>
            <w:r>
              <w:rPr>
                <w:rFonts w:hint="eastAsia" w:ascii="Times New Roman"/>
                <w:sz w:val="21"/>
                <w:szCs w:val="21"/>
              </w:rPr>
              <w:t>0.28</w:t>
            </w:r>
          </w:p>
        </w:tc>
      </w:tr>
      <w:tr w14:paraId="79058869">
        <w:tblPrEx>
          <w:tblCellMar>
            <w:top w:w="0" w:type="dxa"/>
            <w:left w:w="108" w:type="dxa"/>
            <w:bottom w:w="0" w:type="dxa"/>
            <w:right w:w="108" w:type="dxa"/>
          </w:tblCellMar>
        </w:tblPrEx>
        <w:trPr>
          <w:trHeight w:val="412" w:hRule="atLeast"/>
        </w:trPr>
        <w:tc>
          <w:tcPr>
            <w:tcW w:w="1991" w:type="dxa"/>
            <w:vAlign w:val="center"/>
          </w:tcPr>
          <w:p w14:paraId="4449E2B9">
            <w:pPr>
              <w:jc w:val="center"/>
              <w:rPr>
                <w:rFonts w:ascii="Times New Roman"/>
                <w:sz w:val="21"/>
                <w:szCs w:val="21"/>
              </w:rPr>
            </w:pPr>
            <w:r>
              <w:rPr>
                <w:rFonts w:ascii="Times New Roman"/>
                <w:sz w:val="21"/>
                <w:szCs w:val="21"/>
              </w:rPr>
              <w:t>1600.0</w:t>
            </w:r>
          </w:p>
        </w:tc>
        <w:tc>
          <w:tcPr>
            <w:tcW w:w="1150" w:type="dxa"/>
            <w:vAlign w:val="center"/>
          </w:tcPr>
          <w:p w14:paraId="632949B2">
            <w:pPr>
              <w:jc w:val="center"/>
              <w:rPr>
                <w:rFonts w:ascii="Times New Roman"/>
                <w:sz w:val="21"/>
                <w:szCs w:val="21"/>
              </w:rPr>
            </w:pPr>
            <w:r>
              <w:rPr>
                <w:rFonts w:hint="eastAsia" w:ascii="Times New Roman"/>
                <w:sz w:val="21"/>
                <w:szCs w:val="21"/>
              </w:rPr>
              <w:t xml:space="preserve">0.1467 </w:t>
            </w:r>
          </w:p>
        </w:tc>
        <w:tc>
          <w:tcPr>
            <w:tcW w:w="1100" w:type="dxa"/>
            <w:vAlign w:val="center"/>
          </w:tcPr>
          <w:p w14:paraId="163DB91D">
            <w:pPr>
              <w:jc w:val="center"/>
              <w:rPr>
                <w:rFonts w:ascii="Times New Roman"/>
                <w:sz w:val="21"/>
                <w:szCs w:val="21"/>
              </w:rPr>
            </w:pPr>
            <w:r>
              <w:rPr>
                <w:rFonts w:hint="eastAsia" w:ascii="Times New Roman"/>
                <w:sz w:val="21"/>
                <w:szCs w:val="21"/>
              </w:rPr>
              <w:t>0.03</w:t>
            </w:r>
          </w:p>
        </w:tc>
        <w:tc>
          <w:tcPr>
            <w:tcW w:w="1084" w:type="dxa"/>
            <w:shd w:val="clear" w:color="auto" w:fill="auto"/>
            <w:vAlign w:val="center"/>
          </w:tcPr>
          <w:p w14:paraId="3D120B12">
            <w:pPr>
              <w:jc w:val="center"/>
              <w:rPr>
                <w:rFonts w:ascii="Times New Roman"/>
                <w:sz w:val="21"/>
                <w:szCs w:val="21"/>
              </w:rPr>
            </w:pPr>
            <w:r>
              <w:rPr>
                <w:rFonts w:hint="eastAsia" w:ascii="Times New Roman"/>
                <w:sz w:val="21"/>
                <w:szCs w:val="21"/>
              </w:rPr>
              <w:t xml:space="preserve">0.0042 </w:t>
            </w:r>
          </w:p>
        </w:tc>
        <w:tc>
          <w:tcPr>
            <w:tcW w:w="1050" w:type="dxa"/>
            <w:shd w:val="clear" w:color="auto" w:fill="auto"/>
            <w:vAlign w:val="center"/>
          </w:tcPr>
          <w:p w14:paraId="7EA7BC32">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49C6F33C">
            <w:pPr>
              <w:jc w:val="center"/>
              <w:rPr>
                <w:rFonts w:ascii="Times New Roman"/>
                <w:sz w:val="21"/>
                <w:szCs w:val="21"/>
              </w:rPr>
            </w:pPr>
            <w:r>
              <w:rPr>
                <w:rFonts w:hint="eastAsia" w:ascii="Times New Roman"/>
                <w:sz w:val="21"/>
                <w:szCs w:val="21"/>
              </w:rPr>
              <w:t xml:space="preserve">0.4823 </w:t>
            </w:r>
          </w:p>
        </w:tc>
        <w:tc>
          <w:tcPr>
            <w:tcW w:w="1014" w:type="dxa"/>
            <w:shd w:val="clear" w:color="auto" w:fill="auto"/>
            <w:vAlign w:val="center"/>
          </w:tcPr>
          <w:p w14:paraId="0AAF905D">
            <w:pPr>
              <w:jc w:val="center"/>
              <w:rPr>
                <w:rFonts w:ascii="Times New Roman"/>
                <w:sz w:val="21"/>
                <w:szCs w:val="21"/>
              </w:rPr>
            </w:pPr>
            <w:r>
              <w:rPr>
                <w:rFonts w:hint="eastAsia" w:ascii="Times New Roman"/>
                <w:sz w:val="21"/>
                <w:szCs w:val="21"/>
              </w:rPr>
              <w:t>0.24</w:t>
            </w:r>
          </w:p>
        </w:tc>
      </w:tr>
      <w:tr w14:paraId="2647785C">
        <w:tblPrEx>
          <w:tblCellMar>
            <w:top w:w="0" w:type="dxa"/>
            <w:left w:w="108" w:type="dxa"/>
            <w:bottom w:w="0" w:type="dxa"/>
            <w:right w:w="108" w:type="dxa"/>
          </w:tblCellMar>
        </w:tblPrEx>
        <w:trPr>
          <w:trHeight w:val="412" w:hRule="atLeast"/>
        </w:trPr>
        <w:tc>
          <w:tcPr>
            <w:tcW w:w="1991" w:type="dxa"/>
            <w:vAlign w:val="center"/>
          </w:tcPr>
          <w:p w14:paraId="6F88D00A">
            <w:pPr>
              <w:jc w:val="center"/>
              <w:rPr>
                <w:rFonts w:ascii="Times New Roman"/>
                <w:sz w:val="21"/>
                <w:szCs w:val="21"/>
              </w:rPr>
            </w:pPr>
            <w:r>
              <w:rPr>
                <w:rFonts w:ascii="Times New Roman"/>
                <w:sz w:val="21"/>
                <w:szCs w:val="21"/>
              </w:rPr>
              <w:t>1800.0</w:t>
            </w:r>
          </w:p>
        </w:tc>
        <w:tc>
          <w:tcPr>
            <w:tcW w:w="1150" w:type="dxa"/>
            <w:vAlign w:val="center"/>
          </w:tcPr>
          <w:p w14:paraId="7D0FBC1C">
            <w:pPr>
              <w:jc w:val="center"/>
              <w:rPr>
                <w:rFonts w:ascii="Times New Roman"/>
                <w:sz w:val="21"/>
                <w:szCs w:val="21"/>
              </w:rPr>
            </w:pPr>
            <w:r>
              <w:rPr>
                <w:rFonts w:hint="eastAsia" w:ascii="Times New Roman"/>
                <w:sz w:val="21"/>
                <w:szCs w:val="21"/>
              </w:rPr>
              <w:t xml:space="preserve">0.1269 </w:t>
            </w:r>
          </w:p>
        </w:tc>
        <w:tc>
          <w:tcPr>
            <w:tcW w:w="1100" w:type="dxa"/>
            <w:vAlign w:val="center"/>
          </w:tcPr>
          <w:p w14:paraId="0D5101F7">
            <w:pPr>
              <w:jc w:val="center"/>
              <w:rPr>
                <w:rFonts w:ascii="Times New Roman"/>
                <w:sz w:val="21"/>
                <w:szCs w:val="21"/>
              </w:rPr>
            </w:pPr>
            <w:r>
              <w:rPr>
                <w:rFonts w:hint="eastAsia" w:ascii="Times New Roman"/>
                <w:sz w:val="21"/>
                <w:szCs w:val="21"/>
              </w:rPr>
              <w:t>0.03</w:t>
            </w:r>
          </w:p>
        </w:tc>
        <w:tc>
          <w:tcPr>
            <w:tcW w:w="1084" w:type="dxa"/>
            <w:shd w:val="clear" w:color="auto" w:fill="auto"/>
            <w:vAlign w:val="center"/>
          </w:tcPr>
          <w:p w14:paraId="0D7FAE2A">
            <w:pPr>
              <w:jc w:val="center"/>
              <w:rPr>
                <w:rFonts w:ascii="Times New Roman"/>
                <w:sz w:val="21"/>
                <w:szCs w:val="21"/>
              </w:rPr>
            </w:pPr>
            <w:r>
              <w:rPr>
                <w:rFonts w:hint="eastAsia" w:ascii="Times New Roman"/>
                <w:sz w:val="21"/>
                <w:szCs w:val="21"/>
              </w:rPr>
              <w:t xml:space="preserve">0.0036 </w:t>
            </w:r>
          </w:p>
        </w:tc>
        <w:tc>
          <w:tcPr>
            <w:tcW w:w="1050" w:type="dxa"/>
            <w:shd w:val="clear" w:color="auto" w:fill="auto"/>
            <w:vAlign w:val="center"/>
          </w:tcPr>
          <w:p w14:paraId="79395643">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47A75C65">
            <w:pPr>
              <w:jc w:val="center"/>
              <w:rPr>
                <w:rFonts w:ascii="Times New Roman"/>
                <w:sz w:val="21"/>
                <w:szCs w:val="21"/>
              </w:rPr>
            </w:pPr>
            <w:r>
              <w:rPr>
                <w:rFonts w:hint="eastAsia" w:ascii="Times New Roman"/>
                <w:sz w:val="21"/>
                <w:szCs w:val="21"/>
              </w:rPr>
              <w:t xml:space="preserve">0.4172 </w:t>
            </w:r>
          </w:p>
        </w:tc>
        <w:tc>
          <w:tcPr>
            <w:tcW w:w="1014" w:type="dxa"/>
            <w:shd w:val="clear" w:color="auto" w:fill="auto"/>
            <w:vAlign w:val="center"/>
          </w:tcPr>
          <w:p w14:paraId="7E670F51">
            <w:pPr>
              <w:jc w:val="center"/>
              <w:rPr>
                <w:rFonts w:ascii="Times New Roman"/>
                <w:sz w:val="21"/>
                <w:szCs w:val="21"/>
              </w:rPr>
            </w:pPr>
            <w:r>
              <w:rPr>
                <w:rFonts w:hint="eastAsia" w:ascii="Times New Roman"/>
                <w:sz w:val="21"/>
                <w:szCs w:val="21"/>
              </w:rPr>
              <w:t>0.21</w:t>
            </w:r>
          </w:p>
        </w:tc>
      </w:tr>
      <w:tr w14:paraId="7FF98453">
        <w:tblPrEx>
          <w:tblCellMar>
            <w:top w:w="0" w:type="dxa"/>
            <w:left w:w="108" w:type="dxa"/>
            <w:bottom w:w="0" w:type="dxa"/>
            <w:right w:w="108" w:type="dxa"/>
          </w:tblCellMar>
        </w:tblPrEx>
        <w:trPr>
          <w:trHeight w:val="412" w:hRule="atLeast"/>
        </w:trPr>
        <w:tc>
          <w:tcPr>
            <w:tcW w:w="1991" w:type="dxa"/>
            <w:vAlign w:val="center"/>
          </w:tcPr>
          <w:p w14:paraId="0D34D4D4">
            <w:pPr>
              <w:jc w:val="center"/>
              <w:rPr>
                <w:rFonts w:ascii="Times New Roman"/>
                <w:sz w:val="21"/>
                <w:szCs w:val="21"/>
              </w:rPr>
            </w:pPr>
            <w:r>
              <w:rPr>
                <w:rFonts w:ascii="Times New Roman"/>
                <w:sz w:val="21"/>
                <w:szCs w:val="21"/>
              </w:rPr>
              <w:t>2000.0</w:t>
            </w:r>
          </w:p>
        </w:tc>
        <w:tc>
          <w:tcPr>
            <w:tcW w:w="1150" w:type="dxa"/>
            <w:vAlign w:val="center"/>
          </w:tcPr>
          <w:p w14:paraId="31257208">
            <w:pPr>
              <w:jc w:val="center"/>
              <w:rPr>
                <w:rFonts w:ascii="Times New Roman"/>
                <w:sz w:val="21"/>
                <w:szCs w:val="21"/>
              </w:rPr>
            </w:pPr>
            <w:r>
              <w:rPr>
                <w:rFonts w:hint="eastAsia" w:ascii="Times New Roman"/>
                <w:sz w:val="21"/>
                <w:szCs w:val="21"/>
              </w:rPr>
              <w:t xml:space="preserve">0.1113 </w:t>
            </w:r>
          </w:p>
        </w:tc>
        <w:tc>
          <w:tcPr>
            <w:tcW w:w="1100" w:type="dxa"/>
            <w:vAlign w:val="center"/>
          </w:tcPr>
          <w:p w14:paraId="3D68F1F3">
            <w:pPr>
              <w:jc w:val="center"/>
              <w:rPr>
                <w:rFonts w:ascii="Times New Roman"/>
                <w:sz w:val="21"/>
                <w:szCs w:val="21"/>
              </w:rPr>
            </w:pPr>
            <w:r>
              <w:rPr>
                <w:rFonts w:hint="eastAsia" w:ascii="Times New Roman"/>
                <w:sz w:val="21"/>
                <w:szCs w:val="21"/>
              </w:rPr>
              <w:t>0.02</w:t>
            </w:r>
          </w:p>
        </w:tc>
        <w:tc>
          <w:tcPr>
            <w:tcW w:w="1084" w:type="dxa"/>
            <w:shd w:val="clear" w:color="auto" w:fill="auto"/>
            <w:vAlign w:val="center"/>
          </w:tcPr>
          <w:p w14:paraId="28EBA63F">
            <w:pPr>
              <w:jc w:val="center"/>
              <w:rPr>
                <w:rFonts w:ascii="Times New Roman"/>
                <w:sz w:val="21"/>
                <w:szCs w:val="21"/>
              </w:rPr>
            </w:pPr>
            <w:r>
              <w:rPr>
                <w:rFonts w:hint="eastAsia" w:ascii="Times New Roman"/>
                <w:sz w:val="21"/>
                <w:szCs w:val="21"/>
              </w:rPr>
              <w:t xml:space="preserve">0.0032 </w:t>
            </w:r>
          </w:p>
        </w:tc>
        <w:tc>
          <w:tcPr>
            <w:tcW w:w="1050" w:type="dxa"/>
            <w:shd w:val="clear" w:color="auto" w:fill="auto"/>
            <w:vAlign w:val="center"/>
          </w:tcPr>
          <w:p w14:paraId="0560415E">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01B8FD69">
            <w:pPr>
              <w:jc w:val="center"/>
              <w:rPr>
                <w:rFonts w:ascii="Times New Roman"/>
                <w:sz w:val="21"/>
                <w:szCs w:val="21"/>
              </w:rPr>
            </w:pPr>
            <w:r>
              <w:rPr>
                <w:rFonts w:hint="eastAsia" w:ascii="Times New Roman"/>
                <w:sz w:val="21"/>
                <w:szCs w:val="21"/>
              </w:rPr>
              <w:t xml:space="preserve">0.3657 </w:t>
            </w:r>
          </w:p>
        </w:tc>
        <w:tc>
          <w:tcPr>
            <w:tcW w:w="1014" w:type="dxa"/>
            <w:shd w:val="clear" w:color="auto" w:fill="auto"/>
            <w:vAlign w:val="center"/>
          </w:tcPr>
          <w:p w14:paraId="196B0E07">
            <w:pPr>
              <w:jc w:val="center"/>
              <w:rPr>
                <w:rFonts w:ascii="Times New Roman"/>
                <w:sz w:val="21"/>
                <w:szCs w:val="21"/>
              </w:rPr>
            </w:pPr>
            <w:r>
              <w:rPr>
                <w:rFonts w:hint="eastAsia" w:ascii="Times New Roman"/>
                <w:sz w:val="21"/>
                <w:szCs w:val="21"/>
              </w:rPr>
              <w:t>0.18</w:t>
            </w:r>
          </w:p>
        </w:tc>
      </w:tr>
      <w:tr w14:paraId="5C0806DD">
        <w:tblPrEx>
          <w:tblCellMar>
            <w:top w:w="0" w:type="dxa"/>
            <w:left w:w="108" w:type="dxa"/>
            <w:bottom w:w="0" w:type="dxa"/>
            <w:right w:w="108" w:type="dxa"/>
          </w:tblCellMar>
        </w:tblPrEx>
        <w:trPr>
          <w:trHeight w:val="412" w:hRule="atLeast"/>
        </w:trPr>
        <w:tc>
          <w:tcPr>
            <w:tcW w:w="1991" w:type="dxa"/>
            <w:vAlign w:val="center"/>
          </w:tcPr>
          <w:p w14:paraId="7D597B49">
            <w:pPr>
              <w:jc w:val="center"/>
              <w:rPr>
                <w:rFonts w:ascii="Times New Roman"/>
                <w:sz w:val="21"/>
                <w:szCs w:val="21"/>
              </w:rPr>
            </w:pPr>
            <w:r>
              <w:rPr>
                <w:rFonts w:ascii="Times New Roman"/>
                <w:sz w:val="21"/>
                <w:szCs w:val="21"/>
              </w:rPr>
              <w:t>2500.0</w:t>
            </w:r>
          </w:p>
        </w:tc>
        <w:tc>
          <w:tcPr>
            <w:tcW w:w="1150" w:type="dxa"/>
            <w:vAlign w:val="center"/>
          </w:tcPr>
          <w:p w14:paraId="044A4346">
            <w:pPr>
              <w:jc w:val="center"/>
              <w:rPr>
                <w:rFonts w:ascii="Times New Roman"/>
                <w:sz w:val="21"/>
                <w:szCs w:val="21"/>
              </w:rPr>
            </w:pPr>
            <w:r>
              <w:rPr>
                <w:rFonts w:hint="eastAsia" w:ascii="Times New Roman"/>
                <w:sz w:val="21"/>
                <w:szCs w:val="21"/>
              </w:rPr>
              <w:t xml:space="preserve">0.0837 </w:t>
            </w:r>
          </w:p>
        </w:tc>
        <w:tc>
          <w:tcPr>
            <w:tcW w:w="1100" w:type="dxa"/>
            <w:vAlign w:val="center"/>
          </w:tcPr>
          <w:p w14:paraId="73D18BB6">
            <w:pPr>
              <w:jc w:val="center"/>
              <w:rPr>
                <w:rFonts w:ascii="Times New Roman"/>
                <w:sz w:val="21"/>
                <w:szCs w:val="21"/>
              </w:rPr>
            </w:pPr>
            <w:r>
              <w:rPr>
                <w:rFonts w:hint="eastAsia" w:ascii="Times New Roman"/>
                <w:sz w:val="21"/>
                <w:szCs w:val="21"/>
              </w:rPr>
              <w:t>0.02</w:t>
            </w:r>
          </w:p>
        </w:tc>
        <w:tc>
          <w:tcPr>
            <w:tcW w:w="1084" w:type="dxa"/>
            <w:shd w:val="clear" w:color="auto" w:fill="auto"/>
            <w:vAlign w:val="center"/>
          </w:tcPr>
          <w:p w14:paraId="20E6C47E">
            <w:pPr>
              <w:jc w:val="center"/>
              <w:rPr>
                <w:rFonts w:ascii="Times New Roman"/>
                <w:sz w:val="21"/>
                <w:szCs w:val="21"/>
              </w:rPr>
            </w:pPr>
            <w:r>
              <w:rPr>
                <w:rFonts w:hint="eastAsia" w:ascii="Times New Roman"/>
                <w:sz w:val="21"/>
                <w:szCs w:val="21"/>
              </w:rPr>
              <w:t xml:space="preserve">0.0024 </w:t>
            </w:r>
          </w:p>
        </w:tc>
        <w:tc>
          <w:tcPr>
            <w:tcW w:w="1050" w:type="dxa"/>
            <w:shd w:val="clear" w:color="auto" w:fill="auto"/>
            <w:vAlign w:val="center"/>
          </w:tcPr>
          <w:p w14:paraId="2E6829EE">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5998903">
            <w:pPr>
              <w:jc w:val="center"/>
              <w:rPr>
                <w:rFonts w:ascii="Times New Roman"/>
                <w:sz w:val="21"/>
                <w:szCs w:val="21"/>
              </w:rPr>
            </w:pPr>
            <w:r>
              <w:rPr>
                <w:rFonts w:hint="eastAsia" w:ascii="Times New Roman"/>
                <w:sz w:val="21"/>
                <w:szCs w:val="21"/>
              </w:rPr>
              <w:t xml:space="preserve">0.2750 </w:t>
            </w:r>
          </w:p>
        </w:tc>
        <w:tc>
          <w:tcPr>
            <w:tcW w:w="1014" w:type="dxa"/>
            <w:shd w:val="clear" w:color="auto" w:fill="auto"/>
            <w:vAlign w:val="center"/>
          </w:tcPr>
          <w:p w14:paraId="063B72F1">
            <w:pPr>
              <w:jc w:val="center"/>
              <w:rPr>
                <w:rFonts w:ascii="Times New Roman"/>
                <w:sz w:val="21"/>
                <w:szCs w:val="21"/>
              </w:rPr>
            </w:pPr>
            <w:r>
              <w:rPr>
                <w:rFonts w:hint="eastAsia" w:ascii="Times New Roman"/>
                <w:sz w:val="21"/>
                <w:szCs w:val="21"/>
              </w:rPr>
              <w:t>0.14</w:t>
            </w:r>
          </w:p>
        </w:tc>
      </w:tr>
      <w:tr w14:paraId="6F8FDD94">
        <w:tblPrEx>
          <w:tblCellMar>
            <w:top w:w="0" w:type="dxa"/>
            <w:left w:w="108" w:type="dxa"/>
            <w:bottom w:w="0" w:type="dxa"/>
            <w:right w:w="108" w:type="dxa"/>
          </w:tblCellMar>
        </w:tblPrEx>
        <w:trPr>
          <w:trHeight w:val="412" w:hRule="atLeast"/>
        </w:trPr>
        <w:tc>
          <w:tcPr>
            <w:tcW w:w="1991" w:type="dxa"/>
            <w:vAlign w:val="center"/>
          </w:tcPr>
          <w:p w14:paraId="5807A187">
            <w:pPr>
              <w:jc w:val="center"/>
              <w:rPr>
                <w:rFonts w:ascii="Times New Roman"/>
                <w:sz w:val="21"/>
                <w:szCs w:val="21"/>
              </w:rPr>
            </w:pPr>
            <w:r>
              <w:rPr>
                <w:rFonts w:ascii="Times New Roman"/>
                <w:sz w:val="21"/>
                <w:szCs w:val="21"/>
              </w:rPr>
              <w:t>3000.0</w:t>
            </w:r>
          </w:p>
        </w:tc>
        <w:tc>
          <w:tcPr>
            <w:tcW w:w="1150" w:type="dxa"/>
            <w:vAlign w:val="center"/>
          </w:tcPr>
          <w:p w14:paraId="420A6DEA">
            <w:pPr>
              <w:jc w:val="center"/>
              <w:rPr>
                <w:rFonts w:ascii="Times New Roman"/>
                <w:sz w:val="21"/>
                <w:szCs w:val="21"/>
              </w:rPr>
            </w:pPr>
            <w:r>
              <w:rPr>
                <w:rFonts w:hint="eastAsia" w:ascii="Times New Roman"/>
                <w:sz w:val="21"/>
                <w:szCs w:val="21"/>
              </w:rPr>
              <w:t xml:space="preserve">0.0660 </w:t>
            </w:r>
          </w:p>
        </w:tc>
        <w:tc>
          <w:tcPr>
            <w:tcW w:w="1100" w:type="dxa"/>
            <w:vAlign w:val="center"/>
          </w:tcPr>
          <w:p w14:paraId="50938A77">
            <w:pPr>
              <w:jc w:val="center"/>
              <w:rPr>
                <w:rFonts w:ascii="Times New Roman"/>
                <w:sz w:val="21"/>
                <w:szCs w:val="21"/>
              </w:rPr>
            </w:pPr>
            <w:r>
              <w:rPr>
                <w:rFonts w:hint="eastAsia" w:ascii="Times New Roman"/>
                <w:sz w:val="21"/>
                <w:szCs w:val="21"/>
              </w:rPr>
              <w:t>0.01</w:t>
            </w:r>
          </w:p>
        </w:tc>
        <w:tc>
          <w:tcPr>
            <w:tcW w:w="1084" w:type="dxa"/>
            <w:shd w:val="clear" w:color="auto" w:fill="auto"/>
            <w:vAlign w:val="center"/>
          </w:tcPr>
          <w:p w14:paraId="22873148">
            <w:pPr>
              <w:jc w:val="center"/>
              <w:rPr>
                <w:rFonts w:ascii="Times New Roman"/>
                <w:sz w:val="21"/>
                <w:szCs w:val="21"/>
              </w:rPr>
            </w:pPr>
            <w:r>
              <w:rPr>
                <w:rFonts w:hint="eastAsia" w:ascii="Times New Roman"/>
                <w:sz w:val="21"/>
                <w:szCs w:val="21"/>
              </w:rPr>
              <w:t xml:space="preserve">0.0019 </w:t>
            </w:r>
          </w:p>
        </w:tc>
        <w:tc>
          <w:tcPr>
            <w:tcW w:w="1050" w:type="dxa"/>
            <w:shd w:val="clear" w:color="auto" w:fill="auto"/>
            <w:vAlign w:val="center"/>
          </w:tcPr>
          <w:p w14:paraId="4C2CE038">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46D0E10">
            <w:pPr>
              <w:jc w:val="center"/>
              <w:rPr>
                <w:rFonts w:ascii="Times New Roman"/>
                <w:sz w:val="21"/>
                <w:szCs w:val="21"/>
              </w:rPr>
            </w:pPr>
            <w:r>
              <w:rPr>
                <w:rFonts w:hint="eastAsia" w:ascii="Times New Roman"/>
                <w:sz w:val="21"/>
                <w:szCs w:val="21"/>
              </w:rPr>
              <w:t xml:space="preserve">0.2168 </w:t>
            </w:r>
          </w:p>
        </w:tc>
        <w:tc>
          <w:tcPr>
            <w:tcW w:w="1014" w:type="dxa"/>
            <w:shd w:val="clear" w:color="auto" w:fill="auto"/>
            <w:vAlign w:val="center"/>
          </w:tcPr>
          <w:p w14:paraId="2A1CEAB9">
            <w:pPr>
              <w:jc w:val="center"/>
              <w:rPr>
                <w:rFonts w:ascii="Times New Roman"/>
                <w:sz w:val="21"/>
                <w:szCs w:val="21"/>
              </w:rPr>
            </w:pPr>
            <w:r>
              <w:rPr>
                <w:rFonts w:hint="eastAsia" w:ascii="Times New Roman"/>
                <w:sz w:val="21"/>
                <w:szCs w:val="21"/>
              </w:rPr>
              <w:t>0.11</w:t>
            </w:r>
          </w:p>
        </w:tc>
      </w:tr>
      <w:tr w14:paraId="5D8E8246">
        <w:tblPrEx>
          <w:tblCellMar>
            <w:top w:w="0" w:type="dxa"/>
            <w:left w:w="108" w:type="dxa"/>
            <w:bottom w:w="0" w:type="dxa"/>
            <w:right w:w="108" w:type="dxa"/>
          </w:tblCellMar>
        </w:tblPrEx>
        <w:trPr>
          <w:trHeight w:val="412" w:hRule="atLeast"/>
        </w:trPr>
        <w:tc>
          <w:tcPr>
            <w:tcW w:w="1991" w:type="dxa"/>
            <w:vAlign w:val="center"/>
          </w:tcPr>
          <w:p w14:paraId="1122D75D">
            <w:pPr>
              <w:jc w:val="center"/>
              <w:rPr>
                <w:rFonts w:ascii="Times New Roman"/>
                <w:sz w:val="21"/>
                <w:szCs w:val="21"/>
              </w:rPr>
            </w:pPr>
            <w:r>
              <w:rPr>
                <w:rFonts w:ascii="Times New Roman"/>
                <w:sz w:val="21"/>
                <w:szCs w:val="21"/>
              </w:rPr>
              <w:t>3500.0</w:t>
            </w:r>
          </w:p>
        </w:tc>
        <w:tc>
          <w:tcPr>
            <w:tcW w:w="1150" w:type="dxa"/>
            <w:vAlign w:val="center"/>
          </w:tcPr>
          <w:p w14:paraId="522BB248">
            <w:pPr>
              <w:jc w:val="center"/>
              <w:rPr>
                <w:rFonts w:ascii="Times New Roman"/>
                <w:sz w:val="21"/>
                <w:szCs w:val="21"/>
              </w:rPr>
            </w:pPr>
            <w:r>
              <w:rPr>
                <w:rFonts w:hint="eastAsia" w:ascii="Times New Roman"/>
                <w:sz w:val="21"/>
                <w:szCs w:val="21"/>
              </w:rPr>
              <w:t xml:space="preserve">0.0538 </w:t>
            </w:r>
          </w:p>
        </w:tc>
        <w:tc>
          <w:tcPr>
            <w:tcW w:w="1100" w:type="dxa"/>
            <w:vAlign w:val="center"/>
          </w:tcPr>
          <w:p w14:paraId="57F13FAC">
            <w:pPr>
              <w:jc w:val="center"/>
              <w:rPr>
                <w:rFonts w:ascii="Times New Roman"/>
                <w:sz w:val="21"/>
                <w:szCs w:val="21"/>
              </w:rPr>
            </w:pPr>
            <w:r>
              <w:rPr>
                <w:rFonts w:hint="eastAsia" w:ascii="Times New Roman"/>
                <w:sz w:val="21"/>
                <w:szCs w:val="21"/>
              </w:rPr>
              <w:t>0.01</w:t>
            </w:r>
          </w:p>
        </w:tc>
        <w:tc>
          <w:tcPr>
            <w:tcW w:w="1084" w:type="dxa"/>
            <w:shd w:val="clear" w:color="auto" w:fill="auto"/>
            <w:vAlign w:val="center"/>
          </w:tcPr>
          <w:p w14:paraId="36AA19C2">
            <w:pPr>
              <w:jc w:val="center"/>
              <w:rPr>
                <w:rFonts w:ascii="Times New Roman"/>
                <w:sz w:val="21"/>
                <w:szCs w:val="21"/>
              </w:rPr>
            </w:pPr>
            <w:r>
              <w:rPr>
                <w:rFonts w:hint="eastAsia" w:ascii="Times New Roman"/>
                <w:sz w:val="21"/>
                <w:szCs w:val="21"/>
              </w:rPr>
              <w:t xml:space="preserve">0.0015 </w:t>
            </w:r>
          </w:p>
        </w:tc>
        <w:tc>
          <w:tcPr>
            <w:tcW w:w="1050" w:type="dxa"/>
            <w:shd w:val="clear" w:color="auto" w:fill="auto"/>
            <w:vAlign w:val="center"/>
          </w:tcPr>
          <w:p w14:paraId="681C7A7C">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3B6DC5E4">
            <w:pPr>
              <w:jc w:val="center"/>
              <w:rPr>
                <w:rFonts w:ascii="Times New Roman"/>
                <w:sz w:val="21"/>
                <w:szCs w:val="21"/>
              </w:rPr>
            </w:pPr>
            <w:r>
              <w:rPr>
                <w:rFonts w:hint="eastAsia" w:ascii="Times New Roman"/>
                <w:sz w:val="21"/>
                <w:szCs w:val="21"/>
              </w:rPr>
              <w:t xml:space="preserve">0.1768 </w:t>
            </w:r>
          </w:p>
        </w:tc>
        <w:tc>
          <w:tcPr>
            <w:tcW w:w="1014" w:type="dxa"/>
            <w:shd w:val="clear" w:color="auto" w:fill="auto"/>
            <w:vAlign w:val="center"/>
          </w:tcPr>
          <w:p w14:paraId="456C281F">
            <w:pPr>
              <w:jc w:val="center"/>
              <w:rPr>
                <w:rFonts w:ascii="Times New Roman"/>
                <w:sz w:val="21"/>
                <w:szCs w:val="21"/>
              </w:rPr>
            </w:pPr>
            <w:r>
              <w:rPr>
                <w:rFonts w:hint="eastAsia" w:ascii="Times New Roman"/>
                <w:sz w:val="21"/>
                <w:szCs w:val="21"/>
              </w:rPr>
              <w:t>0.09</w:t>
            </w:r>
          </w:p>
        </w:tc>
      </w:tr>
      <w:tr w14:paraId="6D169AC1">
        <w:tblPrEx>
          <w:tblCellMar>
            <w:top w:w="0" w:type="dxa"/>
            <w:left w:w="108" w:type="dxa"/>
            <w:bottom w:w="0" w:type="dxa"/>
            <w:right w:w="108" w:type="dxa"/>
          </w:tblCellMar>
        </w:tblPrEx>
        <w:trPr>
          <w:trHeight w:val="412" w:hRule="atLeast"/>
        </w:trPr>
        <w:tc>
          <w:tcPr>
            <w:tcW w:w="1991" w:type="dxa"/>
            <w:vAlign w:val="center"/>
          </w:tcPr>
          <w:p w14:paraId="22C7D328">
            <w:pPr>
              <w:jc w:val="center"/>
              <w:rPr>
                <w:rFonts w:ascii="Times New Roman"/>
                <w:sz w:val="21"/>
                <w:szCs w:val="21"/>
              </w:rPr>
            </w:pPr>
            <w:r>
              <w:rPr>
                <w:rFonts w:ascii="Times New Roman"/>
                <w:sz w:val="21"/>
                <w:szCs w:val="21"/>
              </w:rPr>
              <w:t>4000.0</w:t>
            </w:r>
          </w:p>
        </w:tc>
        <w:tc>
          <w:tcPr>
            <w:tcW w:w="1150" w:type="dxa"/>
            <w:vAlign w:val="center"/>
          </w:tcPr>
          <w:p w14:paraId="496482B2">
            <w:pPr>
              <w:jc w:val="center"/>
              <w:rPr>
                <w:rFonts w:ascii="Times New Roman"/>
                <w:sz w:val="21"/>
                <w:szCs w:val="21"/>
              </w:rPr>
            </w:pPr>
            <w:r>
              <w:rPr>
                <w:rFonts w:hint="eastAsia" w:ascii="Times New Roman"/>
                <w:sz w:val="21"/>
                <w:szCs w:val="21"/>
              </w:rPr>
              <w:t xml:space="preserve">0.0450 </w:t>
            </w:r>
          </w:p>
        </w:tc>
        <w:tc>
          <w:tcPr>
            <w:tcW w:w="1100" w:type="dxa"/>
            <w:vAlign w:val="center"/>
          </w:tcPr>
          <w:p w14:paraId="72A6F64D">
            <w:pPr>
              <w:jc w:val="center"/>
              <w:rPr>
                <w:rFonts w:ascii="Times New Roman"/>
                <w:sz w:val="21"/>
                <w:szCs w:val="21"/>
              </w:rPr>
            </w:pPr>
            <w:r>
              <w:rPr>
                <w:rFonts w:hint="eastAsia" w:ascii="Times New Roman"/>
                <w:sz w:val="21"/>
                <w:szCs w:val="21"/>
              </w:rPr>
              <w:t>0.01</w:t>
            </w:r>
          </w:p>
        </w:tc>
        <w:tc>
          <w:tcPr>
            <w:tcW w:w="1084" w:type="dxa"/>
            <w:shd w:val="clear" w:color="auto" w:fill="auto"/>
            <w:vAlign w:val="center"/>
          </w:tcPr>
          <w:p w14:paraId="14A27CCB">
            <w:pPr>
              <w:jc w:val="center"/>
              <w:rPr>
                <w:rFonts w:ascii="Times New Roman"/>
                <w:sz w:val="21"/>
                <w:szCs w:val="21"/>
              </w:rPr>
            </w:pPr>
            <w:r>
              <w:rPr>
                <w:rFonts w:hint="eastAsia" w:ascii="Times New Roman"/>
                <w:sz w:val="21"/>
                <w:szCs w:val="21"/>
              </w:rPr>
              <w:t xml:space="preserve">0.0013 </w:t>
            </w:r>
          </w:p>
        </w:tc>
        <w:tc>
          <w:tcPr>
            <w:tcW w:w="1050" w:type="dxa"/>
            <w:shd w:val="clear" w:color="auto" w:fill="auto"/>
            <w:vAlign w:val="center"/>
          </w:tcPr>
          <w:p w14:paraId="2F892A4B">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7DC721C">
            <w:pPr>
              <w:jc w:val="center"/>
              <w:rPr>
                <w:rFonts w:ascii="Times New Roman"/>
                <w:sz w:val="21"/>
                <w:szCs w:val="21"/>
              </w:rPr>
            </w:pPr>
            <w:r>
              <w:rPr>
                <w:rFonts w:hint="eastAsia" w:ascii="Times New Roman"/>
                <w:sz w:val="21"/>
                <w:szCs w:val="21"/>
              </w:rPr>
              <w:t xml:space="preserve">0.1479 </w:t>
            </w:r>
          </w:p>
        </w:tc>
        <w:tc>
          <w:tcPr>
            <w:tcW w:w="1014" w:type="dxa"/>
            <w:shd w:val="clear" w:color="auto" w:fill="auto"/>
            <w:vAlign w:val="center"/>
          </w:tcPr>
          <w:p w14:paraId="11EFCEE1">
            <w:pPr>
              <w:jc w:val="center"/>
              <w:rPr>
                <w:rFonts w:ascii="Times New Roman"/>
                <w:sz w:val="21"/>
                <w:szCs w:val="21"/>
              </w:rPr>
            </w:pPr>
            <w:r>
              <w:rPr>
                <w:rFonts w:hint="eastAsia" w:ascii="Times New Roman"/>
                <w:sz w:val="21"/>
                <w:szCs w:val="21"/>
              </w:rPr>
              <w:t>0.07</w:t>
            </w:r>
          </w:p>
        </w:tc>
      </w:tr>
      <w:tr w14:paraId="5C161103">
        <w:tblPrEx>
          <w:tblCellMar>
            <w:top w:w="0" w:type="dxa"/>
            <w:left w:w="108" w:type="dxa"/>
            <w:bottom w:w="0" w:type="dxa"/>
            <w:right w:w="108" w:type="dxa"/>
          </w:tblCellMar>
        </w:tblPrEx>
        <w:trPr>
          <w:trHeight w:val="412" w:hRule="atLeast"/>
        </w:trPr>
        <w:tc>
          <w:tcPr>
            <w:tcW w:w="1991" w:type="dxa"/>
            <w:vAlign w:val="center"/>
          </w:tcPr>
          <w:p w14:paraId="7D395A9C">
            <w:pPr>
              <w:jc w:val="center"/>
              <w:rPr>
                <w:rFonts w:ascii="Times New Roman"/>
                <w:sz w:val="21"/>
                <w:szCs w:val="21"/>
              </w:rPr>
            </w:pPr>
            <w:r>
              <w:rPr>
                <w:rFonts w:ascii="Times New Roman"/>
                <w:sz w:val="21"/>
                <w:szCs w:val="21"/>
              </w:rPr>
              <w:t>4500.0</w:t>
            </w:r>
          </w:p>
        </w:tc>
        <w:tc>
          <w:tcPr>
            <w:tcW w:w="1150" w:type="dxa"/>
            <w:vAlign w:val="center"/>
          </w:tcPr>
          <w:p w14:paraId="49867659">
            <w:pPr>
              <w:jc w:val="center"/>
              <w:rPr>
                <w:rFonts w:ascii="Times New Roman"/>
                <w:sz w:val="21"/>
                <w:szCs w:val="21"/>
              </w:rPr>
            </w:pPr>
            <w:r>
              <w:rPr>
                <w:rFonts w:hint="eastAsia" w:ascii="Times New Roman"/>
                <w:sz w:val="21"/>
                <w:szCs w:val="21"/>
              </w:rPr>
              <w:t xml:space="preserve">0.0384 </w:t>
            </w:r>
          </w:p>
        </w:tc>
        <w:tc>
          <w:tcPr>
            <w:tcW w:w="1100" w:type="dxa"/>
            <w:vAlign w:val="center"/>
          </w:tcPr>
          <w:p w14:paraId="40C9DBF0">
            <w:pPr>
              <w:jc w:val="center"/>
              <w:rPr>
                <w:rFonts w:ascii="Times New Roman"/>
                <w:sz w:val="21"/>
                <w:szCs w:val="21"/>
              </w:rPr>
            </w:pPr>
            <w:r>
              <w:rPr>
                <w:rFonts w:hint="eastAsia" w:ascii="Times New Roman"/>
                <w:sz w:val="21"/>
                <w:szCs w:val="21"/>
              </w:rPr>
              <w:t>0.01</w:t>
            </w:r>
          </w:p>
        </w:tc>
        <w:tc>
          <w:tcPr>
            <w:tcW w:w="1084" w:type="dxa"/>
            <w:shd w:val="clear" w:color="auto" w:fill="auto"/>
            <w:vAlign w:val="center"/>
          </w:tcPr>
          <w:p w14:paraId="43725548">
            <w:pPr>
              <w:jc w:val="center"/>
              <w:rPr>
                <w:rFonts w:ascii="Times New Roman"/>
                <w:sz w:val="21"/>
                <w:szCs w:val="21"/>
              </w:rPr>
            </w:pPr>
            <w:r>
              <w:rPr>
                <w:rFonts w:hint="eastAsia" w:ascii="Times New Roman"/>
                <w:sz w:val="21"/>
                <w:szCs w:val="21"/>
              </w:rPr>
              <w:t xml:space="preserve">0.0011 </w:t>
            </w:r>
          </w:p>
        </w:tc>
        <w:tc>
          <w:tcPr>
            <w:tcW w:w="1050" w:type="dxa"/>
            <w:shd w:val="clear" w:color="auto" w:fill="auto"/>
            <w:vAlign w:val="center"/>
          </w:tcPr>
          <w:p w14:paraId="7151459D">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513A5C11">
            <w:pPr>
              <w:jc w:val="center"/>
              <w:rPr>
                <w:rFonts w:ascii="Times New Roman"/>
                <w:sz w:val="21"/>
                <w:szCs w:val="21"/>
              </w:rPr>
            </w:pPr>
            <w:r>
              <w:rPr>
                <w:rFonts w:hint="eastAsia" w:ascii="Times New Roman"/>
                <w:sz w:val="21"/>
                <w:szCs w:val="21"/>
              </w:rPr>
              <w:t xml:space="preserve">0.1262 </w:t>
            </w:r>
          </w:p>
        </w:tc>
        <w:tc>
          <w:tcPr>
            <w:tcW w:w="1014" w:type="dxa"/>
            <w:shd w:val="clear" w:color="auto" w:fill="auto"/>
            <w:vAlign w:val="center"/>
          </w:tcPr>
          <w:p w14:paraId="550CA36C">
            <w:pPr>
              <w:jc w:val="center"/>
              <w:rPr>
                <w:rFonts w:ascii="Times New Roman"/>
                <w:sz w:val="21"/>
                <w:szCs w:val="21"/>
              </w:rPr>
            </w:pPr>
            <w:r>
              <w:rPr>
                <w:rFonts w:hint="eastAsia" w:ascii="Times New Roman"/>
                <w:sz w:val="21"/>
                <w:szCs w:val="21"/>
              </w:rPr>
              <w:t>0.06</w:t>
            </w:r>
          </w:p>
        </w:tc>
      </w:tr>
      <w:tr w14:paraId="39938340">
        <w:tblPrEx>
          <w:tblCellMar>
            <w:top w:w="0" w:type="dxa"/>
            <w:left w:w="108" w:type="dxa"/>
            <w:bottom w:w="0" w:type="dxa"/>
            <w:right w:w="108" w:type="dxa"/>
          </w:tblCellMar>
        </w:tblPrEx>
        <w:trPr>
          <w:trHeight w:val="412" w:hRule="atLeast"/>
        </w:trPr>
        <w:tc>
          <w:tcPr>
            <w:tcW w:w="1991" w:type="dxa"/>
            <w:vAlign w:val="center"/>
          </w:tcPr>
          <w:p w14:paraId="74E71499">
            <w:pPr>
              <w:jc w:val="center"/>
              <w:rPr>
                <w:rFonts w:ascii="Times New Roman"/>
                <w:sz w:val="21"/>
                <w:szCs w:val="21"/>
              </w:rPr>
            </w:pPr>
            <w:r>
              <w:rPr>
                <w:rFonts w:ascii="Times New Roman"/>
                <w:sz w:val="21"/>
                <w:szCs w:val="21"/>
              </w:rPr>
              <w:t>5000.0</w:t>
            </w:r>
          </w:p>
        </w:tc>
        <w:tc>
          <w:tcPr>
            <w:tcW w:w="1150" w:type="dxa"/>
            <w:vAlign w:val="center"/>
          </w:tcPr>
          <w:p w14:paraId="018A7134">
            <w:pPr>
              <w:jc w:val="center"/>
              <w:rPr>
                <w:rFonts w:ascii="Times New Roman"/>
                <w:sz w:val="21"/>
                <w:szCs w:val="21"/>
              </w:rPr>
            </w:pPr>
            <w:r>
              <w:rPr>
                <w:rFonts w:hint="eastAsia" w:ascii="Times New Roman"/>
                <w:sz w:val="21"/>
                <w:szCs w:val="21"/>
              </w:rPr>
              <w:t xml:space="preserve">0.0333 </w:t>
            </w:r>
          </w:p>
        </w:tc>
        <w:tc>
          <w:tcPr>
            <w:tcW w:w="1100" w:type="dxa"/>
            <w:vAlign w:val="center"/>
          </w:tcPr>
          <w:p w14:paraId="389F2342">
            <w:pPr>
              <w:jc w:val="center"/>
              <w:rPr>
                <w:rFonts w:ascii="Times New Roman"/>
                <w:sz w:val="21"/>
                <w:szCs w:val="21"/>
              </w:rPr>
            </w:pPr>
            <w:r>
              <w:rPr>
                <w:rFonts w:hint="eastAsia" w:ascii="Times New Roman"/>
                <w:sz w:val="21"/>
                <w:szCs w:val="21"/>
              </w:rPr>
              <w:t>0.01</w:t>
            </w:r>
          </w:p>
        </w:tc>
        <w:tc>
          <w:tcPr>
            <w:tcW w:w="1084" w:type="dxa"/>
            <w:shd w:val="clear" w:color="auto" w:fill="auto"/>
            <w:vAlign w:val="center"/>
          </w:tcPr>
          <w:p w14:paraId="65339EF3">
            <w:pPr>
              <w:jc w:val="center"/>
              <w:rPr>
                <w:rFonts w:ascii="Times New Roman"/>
                <w:sz w:val="21"/>
                <w:szCs w:val="21"/>
              </w:rPr>
            </w:pPr>
            <w:r>
              <w:rPr>
                <w:rFonts w:hint="eastAsia" w:ascii="Times New Roman"/>
                <w:sz w:val="21"/>
                <w:szCs w:val="21"/>
              </w:rPr>
              <w:t xml:space="preserve">0.0010 </w:t>
            </w:r>
          </w:p>
        </w:tc>
        <w:tc>
          <w:tcPr>
            <w:tcW w:w="1050" w:type="dxa"/>
            <w:shd w:val="clear" w:color="auto" w:fill="auto"/>
            <w:vAlign w:val="center"/>
          </w:tcPr>
          <w:p w14:paraId="152D8DCF">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3E911860">
            <w:pPr>
              <w:jc w:val="center"/>
              <w:rPr>
                <w:rFonts w:ascii="Times New Roman"/>
                <w:sz w:val="21"/>
                <w:szCs w:val="21"/>
              </w:rPr>
            </w:pPr>
            <w:r>
              <w:rPr>
                <w:rFonts w:hint="eastAsia" w:ascii="Times New Roman"/>
                <w:sz w:val="21"/>
                <w:szCs w:val="21"/>
              </w:rPr>
              <w:t xml:space="preserve">0.1093 </w:t>
            </w:r>
          </w:p>
        </w:tc>
        <w:tc>
          <w:tcPr>
            <w:tcW w:w="1014" w:type="dxa"/>
            <w:shd w:val="clear" w:color="auto" w:fill="auto"/>
            <w:vAlign w:val="center"/>
          </w:tcPr>
          <w:p w14:paraId="3FB4FC95">
            <w:pPr>
              <w:jc w:val="center"/>
              <w:rPr>
                <w:rFonts w:ascii="Times New Roman"/>
                <w:sz w:val="21"/>
                <w:szCs w:val="21"/>
              </w:rPr>
            </w:pPr>
            <w:r>
              <w:rPr>
                <w:rFonts w:hint="eastAsia" w:ascii="Times New Roman"/>
                <w:sz w:val="21"/>
                <w:szCs w:val="21"/>
              </w:rPr>
              <w:t>0.05</w:t>
            </w:r>
          </w:p>
        </w:tc>
      </w:tr>
      <w:tr w14:paraId="68EE33FF">
        <w:tblPrEx>
          <w:tblCellMar>
            <w:top w:w="0" w:type="dxa"/>
            <w:left w:w="108" w:type="dxa"/>
            <w:bottom w:w="0" w:type="dxa"/>
            <w:right w:w="108" w:type="dxa"/>
          </w:tblCellMar>
        </w:tblPrEx>
        <w:trPr>
          <w:trHeight w:val="412" w:hRule="atLeast"/>
        </w:trPr>
        <w:tc>
          <w:tcPr>
            <w:tcW w:w="1991" w:type="dxa"/>
            <w:vAlign w:val="center"/>
          </w:tcPr>
          <w:p w14:paraId="03767725">
            <w:pPr>
              <w:jc w:val="center"/>
              <w:rPr>
                <w:rFonts w:ascii="Times New Roman"/>
                <w:sz w:val="21"/>
                <w:szCs w:val="21"/>
              </w:rPr>
            </w:pPr>
            <w:r>
              <w:rPr>
                <w:rFonts w:ascii="Times New Roman"/>
                <w:sz w:val="21"/>
                <w:szCs w:val="21"/>
              </w:rPr>
              <w:t>10000.0</w:t>
            </w:r>
          </w:p>
        </w:tc>
        <w:tc>
          <w:tcPr>
            <w:tcW w:w="1150" w:type="dxa"/>
            <w:vAlign w:val="center"/>
          </w:tcPr>
          <w:p w14:paraId="471D57D6">
            <w:pPr>
              <w:jc w:val="center"/>
              <w:rPr>
                <w:rFonts w:ascii="Times New Roman"/>
                <w:sz w:val="21"/>
                <w:szCs w:val="21"/>
              </w:rPr>
            </w:pPr>
            <w:r>
              <w:rPr>
                <w:rFonts w:hint="eastAsia" w:ascii="Times New Roman"/>
                <w:sz w:val="21"/>
                <w:szCs w:val="21"/>
              </w:rPr>
              <w:t xml:space="preserve">0.0129 </w:t>
            </w:r>
          </w:p>
        </w:tc>
        <w:tc>
          <w:tcPr>
            <w:tcW w:w="1100" w:type="dxa"/>
            <w:vAlign w:val="center"/>
          </w:tcPr>
          <w:p w14:paraId="5D163618">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21F967F0">
            <w:pPr>
              <w:jc w:val="center"/>
              <w:rPr>
                <w:rFonts w:ascii="Times New Roman"/>
                <w:sz w:val="21"/>
                <w:szCs w:val="21"/>
              </w:rPr>
            </w:pPr>
            <w:r>
              <w:rPr>
                <w:rFonts w:hint="eastAsia" w:ascii="Times New Roman"/>
                <w:sz w:val="21"/>
                <w:szCs w:val="21"/>
              </w:rPr>
              <w:t xml:space="preserve">0.0004 </w:t>
            </w:r>
          </w:p>
        </w:tc>
        <w:tc>
          <w:tcPr>
            <w:tcW w:w="1050" w:type="dxa"/>
            <w:shd w:val="clear" w:color="auto" w:fill="auto"/>
            <w:vAlign w:val="center"/>
          </w:tcPr>
          <w:p w14:paraId="07281427">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3E4F7322">
            <w:pPr>
              <w:jc w:val="center"/>
              <w:rPr>
                <w:rFonts w:ascii="Times New Roman"/>
                <w:sz w:val="21"/>
                <w:szCs w:val="21"/>
              </w:rPr>
            </w:pPr>
            <w:r>
              <w:rPr>
                <w:rFonts w:hint="eastAsia" w:ascii="Times New Roman"/>
                <w:sz w:val="21"/>
                <w:szCs w:val="21"/>
              </w:rPr>
              <w:t xml:space="preserve">0.0425 </w:t>
            </w:r>
          </w:p>
        </w:tc>
        <w:tc>
          <w:tcPr>
            <w:tcW w:w="1014" w:type="dxa"/>
            <w:shd w:val="clear" w:color="auto" w:fill="auto"/>
            <w:vAlign w:val="center"/>
          </w:tcPr>
          <w:p w14:paraId="6E0A03D9">
            <w:pPr>
              <w:jc w:val="center"/>
              <w:rPr>
                <w:rFonts w:ascii="Times New Roman"/>
                <w:sz w:val="21"/>
                <w:szCs w:val="21"/>
              </w:rPr>
            </w:pPr>
            <w:r>
              <w:rPr>
                <w:rFonts w:hint="eastAsia" w:ascii="Times New Roman"/>
                <w:sz w:val="21"/>
                <w:szCs w:val="21"/>
              </w:rPr>
              <w:t>0.02</w:t>
            </w:r>
          </w:p>
        </w:tc>
      </w:tr>
      <w:tr w14:paraId="10817C01">
        <w:tblPrEx>
          <w:tblCellMar>
            <w:top w:w="0" w:type="dxa"/>
            <w:left w:w="108" w:type="dxa"/>
            <w:bottom w:w="0" w:type="dxa"/>
            <w:right w:w="108" w:type="dxa"/>
          </w:tblCellMar>
        </w:tblPrEx>
        <w:trPr>
          <w:trHeight w:val="412" w:hRule="atLeast"/>
        </w:trPr>
        <w:tc>
          <w:tcPr>
            <w:tcW w:w="1991" w:type="dxa"/>
            <w:vAlign w:val="center"/>
          </w:tcPr>
          <w:p w14:paraId="69F69CF7">
            <w:pPr>
              <w:jc w:val="center"/>
              <w:rPr>
                <w:rFonts w:ascii="Times New Roman"/>
                <w:sz w:val="21"/>
                <w:szCs w:val="21"/>
              </w:rPr>
            </w:pPr>
            <w:r>
              <w:rPr>
                <w:rFonts w:ascii="Times New Roman"/>
                <w:sz w:val="21"/>
                <w:szCs w:val="21"/>
              </w:rPr>
              <w:t>11000.0</w:t>
            </w:r>
          </w:p>
        </w:tc>
        <w:tc>
          <w:tcPr>
            <w:tcW w:w="1150" w:type="dxa"/>
            <w:vAlign w:val="center"/>
          </w:tcPr>
          <w:p w14:paraId="6BE4733D">
            <w:pPr>
              <w:jc w:val="center"/>
              <w:rPr>
                <w:rFonts w:ascii="Times New Roman"/>
                <w:sz w:val="21"/>
                <w:szCs w:val="21"/>
              </w:rPr>
            </w:pPr>
            <w:r>
              <w:rPr>
                <w:rFonts w:hint="eastAsia" w:ascii="Times New Roman"/>
                <w:sz w:val="21"/>
                <w:szCs w:val="21"/>
              </w:rPr>
              <w:t xml:space="preserve">0.0113 </w:t>
            </w:r>
          </w:p>
        </w:tc>
        <w:tc>
          <w:tcPr>
            <w:tcW w:w="1100" w:type="dxa"/>
            <w:vAlign w:val="center"/>
          </w:tcPr>
          <w:p w14:paraId="3368836C">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75758181">
            <w:pPr>
              <w:jc w:val="center"/>
              <w:rPr>
                <w:rFonts w:ascii="Times New Roman"/>
                <w:sz w:val="21"/>
                <w:szCs w:val="21"/>
              </w:rPr>
            </w:pPr>
            <w:r>
              <w:rPr>
                <w:rFonts w:hint="eastAsia" w:ascii="Times New Roman"/>
                <w:sz w:val="21"/>
                <w:szCs w:val="21"/>
              </w:rPr>
              <w:t xml:space="preserve">0.0003 </w:t>
            </w:r>
          </w:p>
        </w:tc>
        <w:tc>
          <w:tcPr>
            <w:tcW w:w="1050" w:type="dxa"/>
            <w:shd w:val="clear" w:color="auto" w:fill="auto"/>
            <w:vAlign w:val="center"/>
          </w:tcPr>
          <w:p w14:paraId="3E08F7B6">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5D6D900F">
            <w:pPr>
              <w:jc w:val="center"/>
              <w:rPr>
                <w:rFonts w:ascii="Times New Roman"/>
                <w:sz w:val="21"/>
                <w:szCs w:val="21"/>
              </w:rPr>
            </w:pPr>
            <w:r>
              <w:rPr>
                <w:rFonts w:hint="eastAsia" w:ascii="Times New Roman"/>
                <w:sz w:val="21"/>
                <w:szCs w:val="21"/>
              </w:rPr>
              <w:t xml:space="preserve">0.0371 </w:t>
            </w:r>
          </w:p>
        </w:tc>
        <w:tc>
          <w:tcPr>
            <w:tcW w:w="1014" w:type="dxa"/>
            <w:shd w:val="clear" w:color="auto" w:fill="auto"/>
            <w:vAlign w:val="center"/>
          </w:tcPr>
          <w:p w14:paraId="59672BA2">
            <w:pPr>
              <w:jc w:val="center"/>
              <w:rPr>
                <w:rFonts w:ascii="Times New Roman"/>
                <w:sz w:val="21"/>
                <w:szCs w:val="21"/>
              </w:rPr>
            </w:pPr>
            <w:r>
              <w:rPr>
                <w:rFonts w:hint="eastAsia" w:ascii="Times New Roman"/>
                <w:sz w:val="21"/>
                <w:szCs w:val="21"/>
              </w:rPr>
              <w:t>0.02</w:t>
            </w:r>
          </w:p>
        </w:tc>
      </w:tr>
      <w:tr w14:paraId="19244178">
        <w:tblPrEx>
          <w:tblCellMar>
            <w:top w:w="0" w:type="dxa"/>
            <w:left w:w="108" w:type="dxa"/>
            <w:bottom w:w="0" w:type="dxa"/>
            <w:right w:w="108" w:type="dxa"/>
          </w:tblCellMar>
        </w:tblPrEx>
        <w:trPr>
          <w:trHeight w:val="412" w:hRule="atLeast"/>
        </w:trPr>
        <w:tc>
          <w:tcPr>
            <w:tcW w:w="1991" w:type="dxa"/>
            <w:vAlign w:val="center"/>
          </w:tcPr>
          <w:p w14:paraId="2DDA3743">
            <w:pPr>
              <w:jc w:val="center"/>
              <w:rPr>
                <w:rFonts w:ascii="Times New Roman"/>
                <w:sz w:val="21"/>
                <w:szCs w:val="21"/>
              </w:rPr>
            </w:pPr>
            <w:r>
              <w:rPr>
                <w:rFonts w:ascii="Times New Roman"/>
                <w:sz w:val="21"/>
                <w:szCs w:val="21"/>
              </w:rPr>
              <w:t>12000.0</w:t>
            </w:r>
          </w:p>
        </w:tc>
        <w:tc>
          <w:tcPr>
            <w:tcW w:w="1150" w:type="dxa"/>
            <w:vAlign w:val="center"/>
          </w:tcPr>
          <w:p w14:paraId="72FEEED6">
            <w:pPr>
              <w:jc w:val="center"/>
              <w:rPr>
                <w:rFonts w:ascii="Times New Roman"/>
                <w:sz w:val="21"/>
                <w:szCs w:val="21"/>
              </w:rPr>
            </w:pPr>
            <w:r>
              <w:rPr>
                <w:rFonts w:hint="eastAsia" w:ascii="Times New Roman"/>
                <w:sz w:val="21"/>
                <w:szCs w:val="21"/>
              </w:rPr>
              <w:t xml:space="preserve">0.0100 </w:t>
            </w:r>
          </w:p>
        </w:tc>
        <w:tc>
          <w:tcPr>
            <w:tcW w:w="1100" w:type="dxa"/>
            <w:vAlign w:val="center"/>
          </w:tcPr>
          <w:p w14:paraId="1C100746">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00CAC2FF">
            <w:pPr>
              <w:jc w:val="center"/>
              <w:rPr>
                <w:rFonts w:ascii="Times New Roman"/>
                <w:sz w:val="21"/>
                <w:szCs w:val="21"/>
              </w:rPr>
            </w:pPr>
            <w:r>
              <w:rPr>
                <w:rFonts w:hint="eastAsia" w:ascii="Times New Roman"/>
                <w:sz w:val="21"/>
                <w:szCs w:val="21"/>
              </w:rPr>
              <w:t xml:space="preserve">0.0003 </w:t>
            </w:r>
          </w:p>
        </w:tc>
        <w:tc>
          <w:tcPr>
            <w:tcW w:w="1050" w:type="dxa"/>
            <w:shd w:val="clear" w:color="auto" w:fill="auto"/>
            <w:vAlign w:val="center"/>
          </w:tcPr>
          <w:p w14:paraId="0ABA9DB9">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089903E8">
            <w:pPr>
              <w:jc w:val="center"/>
              <w:rPr>
                <w:rFonts w:ascii="Times New Roman"/>
                <w:sz w:val="21"/>
                <w:szCs w:val="21"/>
              </w:rPr>
            </w:pPr>
            <w:r>
              <w:rPr>
                <w:rFonts w:hint="eastAsia" w:ascii="Times New Roman"/>
                <w:sz w:val="21"/>
                <w:szCs w:val="21"/>
              </w:rPr>
              <w:t xml:space="preserve">0.0328 </w:t>
            </w:r>
          </w:p>
        </w:tc>
        <w:tc>
          <w:tcPr>
            <w:tcW w:w="1014" w:type="dxa"/>
            <w:shd w:val="clear" w:color="auto" w:fill="auto"/>
            <w:vAlign w:val="center"/>
          </w:tcPr>
          <w:p w14:paraId="2ACAE2CD">
            <w:pPr>
              <w:jc w:val="center"/>
              <w:rPr>
                <w:rFonts w:ascii="Times New Roman"/>
                <w:sz w:val="21"/>
                <w:szCs w:val="21"/>
              </w:rPr>
            </w:pPr>
            <w:r>
              <w:rPr>
                <w:rFonts w:hint="eastAsia" w:ascii="Times New Roman"/>
                <w:sz w:val="21"/>
                <w:szCs w:val="21"/>
              </w:rPr>
              <w:t>0.02</w:t>
            </w:r>
          </w:p>
        </w:tc>
      </w:tr>
      <w:tr w14:paraId="302F2E11">
        <w:tblPrEx>
          <w:tblCellMar>
            <w:top w:w="0" w:type="dxa"/>
            <w:left w:w="108" w:type="dxa"/>
            <w:bottom w:w="0" w:type="dxa"/>
            <w:right w:w="108" w:type="dxa"/>
          </w:tblCellMar>
        </w:tblPrEx>
        <w:trPr>
          <w:trHeight w:val="412" w:hRule="atLeast"/>
        </w:trPr>
        <w:tc>
          <w:tcPr>
            <w:tcW w:w="1991" w:type="dxa"/>
            <w:vAlign w:val="center"/>
          </w:tcPr>
          <w:p w14:paraId="5A158E97">
            <w:pPr>
              <w:jc w:val="center"/>
              <w:rPr>
                <w:rFonts w:ascii="Times New Roman"/>
                <w:sz w:val="21"/>
                <w:szCs w:val="21"/>
              </w:rPr>
            </w:pPr>
            <w:r>
              <w:rPr>
                <w:rFonts w:ascii="Times New Roman"/>
                <w:sz w:val="21"/>
                <w:szCs w:val="21"/>
              </w:rPr>
              <w:t>13000.0</w:t>
            </w:r>
          </w:p>
        </w:tc>
        <w:tc>
          <w:tcPr>
            <w:tcW w:w="1150" w:type="dxa"/>
            <w:vAlign w:val="center"/>
          </w:tcPr>
          <w:p w14:paraId="4A45FFB3">
            <w:pPr>
              <w:jc w:val="center"/>
              <w:rPr>
                <w:rFonts w:ascii="Times New Roman"/>
                <w:sz w:val="21"/>
                <w:szCs w:val="21"/>
              </w:rPr>
            </w:pPr>
            <w:r>
              <w:rPr>
                <w:rFonts w:hint="eastAsia" w:ascii="Times New Roman"/>
                <w:sz w:val="21"/>
                <w:szCs w:val="21"/>
              </w:rPr>
              <w:t xml:space="preserve">0.0089 </w:t>
            </w:r>
          </w:p>
        </w:tc>
        <w:tc>
          <w:tcPr>
            <w:tcW w:w="1100" w:type="dxa"/>
            <w:vAlign w:val="center"/>
          </w:tcPr>
          <w:p w14:paraId="70B587D9">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2DC20F55">
            <w:pPr>
              <w:jc w:val="center"/>
              <w:rPr>
                <w:rFonts w:ascii="Times New Roman"/>
                <w:sz w:val="21"/>
                <w:szCs w:val="21"/>
              </w:rPr>
            </w:pPr>
            <w:r>
              <w:rPr>
                <w:rFonts w:hint="eastAsia" w:ascii="Times New Roman"/>
                <w:sz w:val="21"/>
                <w:szCs w:val="21"/>
              </w:rPr>
              <w:t xml:space="preserve">0.0003 </w:t>
            </w:r>
          </w:p>
        </w:tc>
        <w:tc>
          <w:tcPr>
            <w:tcW w:w="1050" w:type="dxa"/>
            <w:shd w:val="clear" w:color="auto" w:fill="auto"/>
            <w:vAlign w:val="center"/>
          </w:tcPr>
          <w:p w14:paraId="7810760C">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64633C1D">
            <w:pPr>
              <w:jc w:val="center"/>
              <w:rPr>
                <w:rFonts w:ascii="Times New Roman"/>
                <w:sz w:val="21"/>
                <w:szCs w:val="21"/>
              </w:rPr>
            </w:pPr>
            <w:r>
              <w:rPr>
                <w:rFonts w:hint="eastAsia" w:ascii="Times New Roman"/>
                <w:sz w:val="21"/>
                <w:szCs w:val="21"/>
              </w:rPr>
              <w:t xml:space="preserve">0.0292 </w:t>
            </w:r>
          </w:p>
        </w:tc>
        <w:tc>
          <w:tcPr>
            <w:tcW w:w="1014" w:type="dxa"/>
            <w:shd w:val="clear" w:color="auto" w:fill="auto"/>
            <w:vAlign w:val="center"/>
          </w:tcPr>
          <w:p w14:paraId="1C8D550C">
            <w:pPr>
              <w:jc w:val="center"/>
              <w:rPr>
                <w:rFonts w:ascii="Times New Roman"/>
                <w:sz w:val="21"/>
                <w:szCs w:val="21"/>
              </w:rPr>
            </w:pPr>
            <w:r>
              <w:rPr>
                <w:rFonts w:hint="eastAsia" w:ascii="Times New Roman"/>
                <w:sz w:val="21"/>
                <w:szCs w:val="21"/>
              </w:rPr>
              <w:t>0.01</w:t>
            </w:r>
          </w:p>
        </w:tc>
      </w:tr>
      <w:tr w14:paraId="3503E018">
        <w:tblPrEx>
          <w:tblCellMar>
            <w:top w:w="0" w:type="dxa"/>
            <w:left w:w="108" w:type="dxa"/>
            <w:bottom w:w="0" w:type="dxa"/>
            <w:right w:w="108" w:type="dxa"/>
          </w:tblCellMar>
        </w:tblPrEx>
        <w:trPr>
          <w:trHeight w:val="412" w:hRule="atLeast"/>
        </w:trPr>
        <w:tc>
          <w:tcPr>
            <w:tcW w:w="1991" w:type="dxa"/>
            <w:vAlign w:val="center"/>
          </w:tcPr>
          <w:p w14:paraId="23FDC573">
            <w:pPr>
              <w:jc w:val="center"/>
              <w:rPr>
                <w:rFonts w:ascii="Times New Roman"/>
                <w:sz w:val="21"/>
                <w:szCs w:val="21"/>
              </w:rPr>
            </w:pPr>
            <w:r>
              <w:rPr>
                <w:rFonts w:ascii="Times New Roman"/>
                <w:sz w:val="21"/>
                <w:szCs w:val="21"/>
              </w:rPr>
              <w:t>14000.0</w:t>
            </w:r>
          </w:p>
        </w:tc>
        <w:tc>
          <w:tcPr>
            <w:tcW w:w="1150" w:type="dxa"/>
            <w:vAlign w:val="center"/>
          </w:tcPr>
          <w:p w14:paraId="289F114C">
            <w:pPr>
              <w:jc w:val="center"/>
              <w:rPr>
                <w:rFonts w:ascii="Times New Roman"/>
                <w:sz w:val="21"/>
                <w:szCs w:val="21"/>
              </w:rPr>
            </w:pPr>
            <w:r>
              <w:rPr>
                <w:rFonts w:hint="eastAsia" w:ascii="Times New Roman"/>
                <w:sz w:val="21"/>
                <w:szCs w:val="21"/>
              </w:rPr>
              <w:t xml:space="preserve">0.0080 </w:t>
            </w:r>
          </w:p>
        </w:tc>
        <w:tc>
          <w:tcPr>
            <w:tcW w:w="1100" w:type="dxa"/>
            <w:vAlign w:val="center"/>
          </w:tcPr>
          <w:p w14:paraId="26CD0782">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7123193F">
            <w:pPr>
              <w:jc w:val="center"/>
              <w:rPr>
                <w:rFonts w:ascii="Times New Roman"/>
                <w:sz w:val="21"/>
                <w:szCs w:val="21"/>
              </w:rPr>
            </w:pPr>
            <w:r>
              <w:rPr>
                <w:rFonts w:hint="eastAsia" w:ascii="Times New Roman"/>
                <w:sz w:val="21"/>
                <w:szCs w:val="21"/>
              </w:rPr>
              <w:t xml:space="preserve">0.0002 </w:t>
            </w:r>
          </w:p>
        </w:tc>
        <w:tc>
          <w:tcPr>
            <w:tcW w:w="1050" w:type="dxa"/>
            <w:shd w:val="clear" w:color="auto" w:fill="auto"/>
            <w:vAlign w:val="center"/>
          </w:tcPr>
          <w:p w14:paraId="475851D3">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1D1A6E6B">
            <w:pPr>
              <w:jc w:val="center"/>
              <w:rPr>
                <w:rFonts w:ascii="Times New Roman"/>
                <w:sz w:val="21"/>
                <w:szCs w:val="21"/>
              </w:rPr>
            </w:pPr>
            <w:r>
              <w:rPr>
                <w:rFonts w:hint="eastAsia" w:ascii="Times New Roman"/>
                <w:sz w:val="21"/>
                <w:szCs w:val="21"/>
              </w:rPr>
              <w:t xml:space="preserve">0.0262 </w:t>
            </w:r>
          </w:p>
        </w:tc>
        <w:tc>
          <w:tcPr>
            <w:tcW w:w="1014" w:type="dxa"/>
            <w:shd w:val="clear" w:color="auto" w:fill="auto"/>
            <w:vAlign w:val="center"/>
          </w:tcPr>
          <w:p w14:paraId="5161789D">
            <w:pPr>
              <w:jc w:val="center"/>
              <w:rPr>
                <w:rFonts w:ascii="Times New Roman"/>
                <w:sz w:val="21"/>
                <w:szCs w:val="21"/>
              </w:rPr>
            </w:pPr>
            <w:r>
              <w:rPr>
                <w:rFonts w:hint="eastAsia" w:ascii="Times New Roman"/>
                <w:sz w:val="21"/>
                <w:szCs w:val="21"/>
              </w:rPr>
              <w:t>0.01</w:t>
            </w:r>
          </w:p>
        </w:tc>
      </w:tr>
      <w:tr w14:paraId="24114094">
        <w:tblPrEx>
          <w:tblCellMar>
            <w:top w:w="0" w:type="dxa"/>
            <w:left w:w="108" w:type="dxa"/>
            <w:bottom w:w="0" w:type="dxa"/>
            <w:right w:w="108" w:type="dxa"/>
          </w:tblCellMar>
        </w:tblPrEx>
        <w:trPr>
          <w:trHeight w:val="412" w:hRule="atLeast"/>
        </w:trPr>
        <w:tc>
          <w:tcPr>
            <w:tcW w:w="1991" w:type="dxa"/>
            <w:vAlign w:val="center"/>
          </w:tcPr>
          <w:p w14:paraId="1B28F7A3">
            <w:pPr>
              <w:jc w:val="center"/>
              <w:rPr>
                <w:rFonts w:ascii="Times New Roman"/>
                <w:sz w:val="21"/>
                <w:szCs w:val="21"/>
              </w:rPr>
            </w:pPr>
            <w:r>
              <w:rPr>
                <w:rFonts w:ascii="Times New Roman"/>
                <w:sz w:val="21"/>
                <w:szCs w:val="21"/>
              </w:rPr>
              <w:t>15000.0</w:t>
            </w:r>
          </w:p>
        </w:tc>
        <w:tc>
          <w:tcPr>
            <w:tcW w:w="1150" w:type="dxa"/>
            <w:vAlign w:val="center"/>
          </w:tcPr>
          <w:p w14:paraId="67DD64C2">
            <w:pPr>
              <w:jc w:val="center"/>
              <w:rPr>
                <w:rFonts w:ascii="Times New Roman"/>
                <w:sz w:val="21"/>
                <w:szCs w:val="21"/>
              </w:rPr>
            </w:pPr>
            <w:r>
              <w:rPr>
                <w:rFonts w:hint="eastAsia" w:ascii="Times New Roman"/>
                <w:sz w:val="21"/>
                <w:szCs w:val="21"/>
              </w:rPr>
              <w:t xml:space="preserve">0.0072 </w:t>
            </w:r>
          </w:p>
        </w:tc>
        <w:tc>
          <w:tcPr>
            <w:tcW w:w="1100" w:type="dxa"/>
            <w:vAlign w:val="center"/>
          </w:tcPr>
          <w:p w14:paraId="2632A2FE">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0272566F">
            <w:pPr>
              <w:jc w:val="center"/>
              <w:rPr>
                <w:rFonts w:ascii="Times New Roman"/>
                <w:sz w:val="21"/>
                <w:szCs w:val="21"/>
              </w:rPr>
            </w:pPr>
            <w:r>
              <w:rPr>
                <w:rFonts w:hint="eastAsia" w:ascii="Times New Roman"/>
                <w:sz w:val="21"/>
                <w:szCs w:val="21"/>
              </w:rPr>
              <w:t xml:space="preserve">0.0002 </w:t>
            </w:r>
          </w:p>
        </w:tc>
        <w:tc>
          <w:tcPr>
            <w:tcW w:w="1050" w:type="dxa"/>
            <w:shd w:val="clear" w:color="auto" w:fill="auto"/>
            <w:vAlign w:val="center"/>
          </w:tcPr>
          <w:p w14:paraId="7A082ADE">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14479E46">
            <w:pPr>
              <w:jc w:val="center"/>
              <w:rPr>
                <w:rFonts w:ascii="Times New Roman"/>
                <w:sz w:val="21"/>
                <w:szCs w:val="21"/>
              </w:rPr>
            </w:pPr>
            <w:r>
              <w:rPr>
                <w:rFonts w:hint="eastAsia" w:ascii="Times New Roman"/>
                <w:sz w:val="21"/>
                <w:szCs w:val="21"/>
              </w:rPr>
              <w:t xml:space="preserve">0.0237 </w:t>
            </w:r>
          </w:p>
        </w:tc>
        <w:tc>
          <w:tcPr>
            <w:tcW w:w="1014" w:type="dxa"/>
            <w:shd w:val="clear" w:color="auto" w:fill="auto"/>
            <w:vAlign w:val="center"/>
          </w:tcPr>
          <w:p w14:paraId="46B5E7E2">
            <w:pPr>
              <w:jc w:val="center"/>
              <w:rPr>
                <w:rFonts w:ascii="Times New Roman"/>
                <w:sz w:val="21"/>
                <w:szCs w:val="21"/>
              </w:rPr>
            </w:pPr>
            <w:r>
              <w:rPr>
                <w:rFonts w:hint="eastAsia" w:ascii="Times New Roman"/>
                <w:sz w:val="21"/>
                <w:szCs w:val="21"/>
              </w:rPr>
              <w:t>0.01</w:t>
            </w:r>
          </w:p>
        </w:tc>
      </w:tr>
      <w:tr w14:paraId="036A2BC6">
        <w:tblPrEx>
          <w:tblCellMar>
            <w:top w:w="0" w:type="dxa"/>
            <w:left w:w="108" w:type="dxa"/>
            <w:bottom w:w="0" w:type="dxa"/>
            <w:right w:w="108" w:type="dxa"/>
          </w:tblCellMar>
        </w:tblPrEx>
        <w:trPr>
          <w:trHeight w:val="412" w:hRule="atLeast"/>
        </w:trPr>
        <w:tc>
          <w:tcPr>
            <w:tcW w:w="1991" w:type="dxa"/>
            <w:vAlign w:val="center"/>
          </w:tcPr>
          <w:p w14:paraId="49CDF0A8">
            <w:pPr>
              <w:jc w:val="center"/>
              <w:rPr>
                <w:rFonts w:ascii="Times New Roman"/>
                <w:sz w:val="21"/>
                <w:szCs w:val="21"/>
              </w:rPr>
            </w:pPr>
            <w:r>
              <w:rPr>
                <w:rFonts w:ascii="Times New Roman"/>
                <w:sz w:val="21"/>
                <w:szCs w:val="21"/>
              </w:rPr>
              <w:t>20000.0</w:t>
            </w:r>
          </w:p>
        </w:tc>
        <w:tc>
          <w:tcPr>
            <w:tcW w:w="1150" w:type="dxa"/>
            <w:vAlign w:val="center"/>
          </w:tcPr>
          <w:p w14:paraId="1A0AAB1F">
            <w:pPr>
              <w:jc w:val="center"/>
              <w:rPr>
                <w:rFonts w:ascii="Times New Roman"/>
                <w:sz w:val="21"/>
                <w:szCs w:val="21"/>
              </w:rPr>
            </w:pPr>
            <w:r>
              <w:rPr>
                <w:rFonts w:hint="eastAsia" w:ascii="Times New Roman"/>
                <w:sz w:val="21"/>
                <w:szCs w:val="21"/>
              </w:rPr>
              <w:t xml:space="preserve">0.0047 </w:t>
            </w:r>
          </w:p>
        </w:tc>
        <w:tc>
          <w:tcPr>
            <w:tcW w:w="1100" w:type="dxa"/>
            <w:vAlign w:val="center"/>
          </w:tcPr>
          <w:p w14:paraId="478CD550">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5B42717A">
            <w:pPr>
              <w:jc w:val="center"/>
              <w:rPr>
                <w:rFonts w:ascii="Times New Roman"/>
                <w:sz w:val="21"/>
                <w:szCs w:val="21"/>
              </w:rPr>
            </w:pPr>
            <w:r>
              <w:rPr>
                <w:rFonts w:hint="eastAsia" w:ascii="Times New Roman"/>
                <w:sz w:val="21"/>
                <w:szCs w:val="21"/>
              </w:rPr>
              <w:t xml:space="preserve">0.0001 </w:t>
            </w:r>
          </w:p>
        </w:tc>
        <w:tc>
          <w:tcPr>
            <w:tcW w:w="1050" w:type="dxa"/>
            <w:shd w:val="clear" w:color="auto" w:fill="auto"/>
            <w:vAlign w:val="center"/>
          </w:tcPr>
          <w:p w14:paraId="7FA43AF1">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7F8FDF86">
            <w:pPr>
              <w:jc w:val="center"/>
              <w:rPr>
                <w:rFonts w:ascii="Times New Roman"/>
                <w:sz w:val="21"/>
                <w:szCs w:val="21"/>
              </w:rPr>
            </w:pPr>
            <w:r>
              <w:rPr>
                <w:rFonts w:hint="eastAsia" w:ascii="Times New Roman"/>
                <w:sz w:val="21"/>
                <w:szCs w:val="21"/>
              </w:rPr>
              <w:t xml:space="preserve">0.0154 </w:t>
            </w:r>
          </w:p>
        </w:tc>
        <w:tc>
          <w:tcPr>
            <w:tcW w:w="1014" w:type="dxa"/>
            <w:shd w:val="clear" w:color="auto" w:fill="auto"/>
            <w:vAlign w:val="center"/>
          </w:tcPr>
          <w:p w14:paraId="5C24B473">
            <w:pPr>
              <w:jc w:val="center"/>
              <w:rPr>
                <w:rFonts w:ascii="Times New Roman"/>
                <w:sz w:val="21"/>
                <w:szCs w:val="21"/>
              </w:rPr>
            </w:pPr>
            <w:r>
              <w:rPr>
                <w:rFonts w:hint="eastAsia" w:ascii="Times New Roman"/>
                <w:sz w:val="21"/>
                <w:szCs w:val="21"/>
              </w:rPr>
              <w:t>0.01</w:t>
            </w:r>
          </w:p>
        </w:tc>
      </w:tr>
      <w:tr w14:paraId="21135C90">
        <w:tblPrEx>
          <w:tblCellMar>
            <w:top w:w="0" w:type="dxa"/>
            <w:left w:w="108" w:type="dxa"/>
            <w:bottom w:w="0" w:type="dxa"/>
            <w:right w:w="108" w:type="dxa"/>
          </w:tblCellMar>
        </w:tblPrEx>
        <w:trPr>
          <w:trHeight w:val="412" w:hRule="atLeast"/>
        </w:trPr>
        <w:tc>
          <w:tcPr>
            <w:tcW w:w="1991" w:type="dxa"/>
            <w:vAlign w:val="center"/>
          </w:tcPr>
          <w:p w14:paraId="0ACA84A1">
            <w:pPr>
              <w:jc w:val="center"/>
              <w:rPr>
                <w:rFonts w:ascii="Times New Roman"/>
                <w:sz w:val="21"/>
                <w:szCs w:val="21"/>
              </w:rPr>
            </w:pPr>
            <w:r>
              <w:rPr>
                <w:rFonts w:ascii="Times New Roman"/>
                <w:sz w:val="21"/>
                <w:szCs w:val="21"/>
              </w:rPr>
              <w:t>25000.0</w:t>
            </w:r>
          </w:p>
        </w:tc>
        <w:tc>
          <w:tcPr>
            <w:tcW w:w="1150" w:type="dxa"/>
            <w:vAlign w:val="center"/>
          </w:tcPr>
          <w:p w14:paraId="3029923B">
            <w:pPr>
              <w:jc w:val="center"/>
              <w:rPr>
                <w:rFonts w:ascii="Times New Roman"/>
                <w:sz w:val="21"/>
                <w:szCs w:val="21"/>
              </w:rPr>
            </w:pPr>
            <w:r>
              <w:rPr>
                <w:rFonts w:hint="eastAsia" w:ascii="Times New Roman"/>
                <w:sz w:val="21"/>
                <w:szCs w:val="21"/>
              </w:rPr>
              <w:t xml:space="preserve">0.0033 </w:t>
            </w:r>
          </w:p>
        </w:tc>
        <w:tc>
          <w:tcPr>
            <w:tcW w:w="1100" w:type="dxa"/>
            <w:vAlign w:val="center"/>
          </w:tcPr>
          <w:p w14:paraId="0E6E20F3">
            <w:pPr>
              <w:jc w:val="center"/>
              <w:rPr>
                <w:rFonts w:ascii="Times New Roman"/>
                <w:sz w:val="21"/>
                <w:szCs w:val="21"/>
              </w:rPr>
            </w:pPr>
            <w:r>
              <w:rPr>
                <w:rFonts w:hint="eastAsia" w:ascii="Times New Roman"/>
                <w:sz w:val="21"/>
                <w:szCs w:val="21"/>
              </w:rPr>
              <w:t>0</w:t>
            </w:r>
          </w:p>
        </w:tc>
        <w:tc>
          <w:tcPr>
            <w:tcW w:w="1084" w:type="dxa"/>
            <w:shd w:val="clear" w:color="auto" w:fill="auto"/>
            <w:vAlign w:val="center"/>
          </w:tcPr>
          <w:p w14:paraId="6B6AA3A2">
            <w:pPr>
              <w:jc w:val="center"/>
              <w:rPr>
                <w:rFonts w:ascii="Times New Roman"/>
                <w:sz w:val="21"/>
                <w:szCs w:val="21"/>
              </w:rPr>
            </w:pPr>
            <w:r>
              <w:rPr>
                <w:rFonts w:hint="eastAsia" w:ascii="Times New Roman"/>
                <w:sz w:val="21"/>
                <w:szCs w:val="21"/>
              </w:rPr>
              <w:t xml:space="preserve">0.0001 </w:t>
            </w:r>
          </w:p>
        </w:tc>
        <w:tc>
          <w:tcPr>
            <w:tcW w:w="1050" w:type="dxa"/>
            <w:shd w:val="clear" w:color="auto" w:fill="auto"/>
            <w:vAlign w:val="center"/>
          </w:tcPr>
          <w:p w14:paraId="0DD975FA">
            <w:pPr>
              <w:jc w:val="center"/>
              <w:rPr>
                <w:rFonts w:ascii="Times New Roman"/>
                <w:sz w:val="21"/>
                <w:szCs w:val="21"/>
              </w:rPr>
            </w:pPr>
            <w:r>
              <w:rPr>
                <w:rFonts w:hint="eastAsia" w:ascii="Times New Roman"/>
                <w:sz w:val="21"/>
                <w:szCs w:val="21"/>
              </w:rPr>
              <w:t>0</w:t>
            </w:r>
          </w:p>
        </w:tc>
        <w:tc>
          <w:tcPr>
            <w:tcW w:w="1150" w:type="dxa"/>
            <w:shd w:val="clear" w:color="auto" w:fill="auto"/>
            <w:vAlign w:val="center"/>
          </w:tcPr>
          <w:p w14:paraId="2BD9B8A9">
            <w:pPr>
              <w:jc w:val="center"/>
              <w:rPr>
                <w:rFonts w:ascii="Times New Roman"/>
                <w:sz w:val="21"/>
                <w:szCs w:val="21"/>
              </w:rPr>
            </w:pPr>
            <w:r>
              <w:rPr>
                <w:rFonts w:hint="eastAsia" w:ascii="Times New Roman"/>
                <w:sz w:val="21"/>
                <w:szCs w:val="21"/>
              </w:rPr>
              <w:t xml:space="preserve">0.0109 </w:t>
            </w:r>
          </w:p>
        </w:tc>
        <w:tc>
          <w:tcPr>
            <w:tcW w:w="1014" w:type="dxa"/>
            <w:shd w:val="clear" w:color="auto" w:fill="auto"/>
            <w:vAlign w:val="center"/>
          </w:tcPr>
          <w:p w14:paraId="3DA24CB1">
            <w:pPr>
              <w:jc w:val="center"/>
              <w:rPr>
                <w:rFonts w:ascii="Times New Roman"/>
                <w:sz w:val="21"/>
                <w:szCs w:val="21"/>
              </w:rPr>
            </w:pPr>
            <w:r>
              <w:rPr>
                <w:rFonts w:hint="eastAsia" w:ascii="Times New Roman"/>
                <w:sz w:val="21"/>
                <w:szCs w:val="21"/>
              </w:rPr>
              <w:t>0.01</w:t>
            </w:r>
          </w:p>
        </w:tc>
      </w:tr>
      <w:tr w14:paraId="74610399">
        <w:tblPrEx>
          <w:tblCellMar>
            <w:top w:w="0" w:type="dxa"/>
            <w:left w:w="108" w:type="dxa"/>
            <w:bottom w:w="0" w:type="dxa"/>
            <w:right w:w="108" w:type="dxa"/>
          </w:tblCellMar>
        </w:tblPrEx>
        <w:trPr>
          <w:trHeight w:val="412" w:hRule="atLeast"/>
        </w:trPr>
        <w:tc>
          <w:tcPr>
            <w:tcW w:w="1991" w:type="dxa"/>
            <w:vAlign w:val="center"/>
          </w:tcPr>
          <w:p w14:paraId="45D3B289">
            <w:pPr>
              <w:jc w:val="center"/>
              <w:rPr>
                <w:rFonts w:ascii="Times New Roman"/>
                <w:sz w:val="21"/>
                <w:szCs w:val="21"/>
              </w:rPr>
            </w:pPr>
            <w:r>
              <w:rPr>
                <w:rFonts w:ascii="Times New Roman"/>
                <w:sz w:val="21"/>
                <w:szCs w:val="21"/>
              </w:rPr>
              <w:t>下风向最大浓度</w:t>
            </w:r>
          </w:p>
        </w:tc>
        <w:tc>
          <w:tcPr>
            <w:tcW w:w="1150" w:type="dxa"/>
            <w:shd w:val="clear" w:color="auto" w:fill="auto"/>
            <w:vAlign w:val="center"/>
          </w:tcPr>
          <w:p w14:paraId="228AB7AA">
            <w:pPr>
              <w:jc w:val="center"/>
              <w:rPr>
                <w:rFonts w:ascii="Times New Roman"/>
                <w:sz w:val="21"/>
                <w:szCs w:val="21"/>
              </w:rPr>
            </w:pPr>
            <w:r>
              <w:rPr>
                <w:rFonts w:hint="eastAsia" w:ascii="Times New Roman"/>
                <w:sz w:val="21"/>
                <w:szCs w:val="21"/>
              </w:rPr>
              <w:t>1.3203</w:t>
            </w:r>
          </w:p>
        </w:tc>
        <w:tc>
          <w:tcPr>
            <w:tcW w:w="1100" w:type="dxa"/>
            <w:shd w:val="clear" w:color="auto" w:fill="auto"/>
            <w:vAlign w:val="center"/>
          </w:tcPr>
          <w:p w14:paraId="051EF9F1">
            <w:pPr>
              <w:jc w:val="center"/>
              <w:rPr>
                <w:rFonts w:ascii="Times New Roman"/>
                <w:sz w:val="21"/>
                <w:szCs w:val="21"/>
              </w:rPr>
            </w:pPr>
            <w:r>
              <w:rPr>
                <w:rFonts w:hint="eastAsia" w:ascii="Times New Roman"/>
                <w:sz w:val="21"/>
                <w:szCs w:val="21"/>
              </w:rPr>
              <w:t>0.29</w:t>
            </w:r>
          </w:p>
        </w:tc>
        <w:tc>
          <w:tcPr>
            <w:tcW w:w="1084" w:type="dxa"/>
            <w:shd w:val="clear" w:color="auto" w:fill="auto"/>
            <w:vAlign w:val="center"/>
          </w:tcPr>
          <w:p w14:paraId="3CEEC27D">
            <w:pPr>
              <w:jc w:val="center"/>
              <w:rPr>
                <w:rFonts w:ascii="Times New Roman"/>
                <w:sz w:val="21"/>
                <w:szCs w:val="21"/>
              </w:rPr>
            </w:pPr>
            <w:r>
              <w:rPr>
                <w:rFonts w:hint="eastAsia" w:ascii="Times New Roman"/>
                <w:sz w:val="21"/>
                <w:szCs w:val="21"/>
              </w:rPr>
              <w:t>0.0378</w:t>
            </w:r>
          </w:p>
        </w:tc>
        <w:tc>
          <w:tcPr>
            <w:tcW w:w="1050" w:type="dxa"/>
            <w:shd w:val="clear" w:color="auto" w:fill="auto"/>
            <w:vAlign w:val="center"/>
          </w:tcPr>
          <w:p w14:paraId="54326FCD">
            <w:pPr>
              <w:jc w:val="center"/>
              <w:rPr>
                <w:rFonts w:ascii="Times New Roman"/>
                <w:sz w:val="21"/>
                <w:szCs w:val="21"/>
              </w:rPr>
            </w:pPr>
            <w:r>
              <w:rPr>
                <w:rFonts w:ascii="Times New Roman"/>
                <w:sz w:val="21"/>
                <w:szCs w:val="21"/>
              </w:rPr>
              <w:t>0.0</w:t>
            </w:r>
            <w:r>
              <w:rPr>
                <w:rFonts w:hint="eastAsia" w:ascii="Times New Roman"/>
                <w:sz w:val="21"/>
                <w:szCs w:val="21"/>
              </w:rPr>
              <w:t>1</w:t>
            </w:r>
          </w:p>
        </w:tc>
        <w:tc>
          <w:tcPr>
            <w:tcW w:w="1150" w:type="dxa"/>
            <w:shd w:val="clear" w:color="auto" w:fill="auto"/>
            <w:vAlign w:val="center"/>
          </w:tcPr>
          <w:p w14:paraId="205FEED4">
            <w:pPr>
              <w:jc w:val="center"/>
              <w:rPr>
                <w:rFonts w:ascii="Times New Roman"/>
                <w:sz w:val="21"/>
                <w:szCs w:val="21"/>
              </w:rPr>
            </w:pPr>
            <w:r>
              <w:rPr>
                <w:rFonts w:hint="eastAsia" w:ascii="Times New Roman"/>
                <w:sz w:val="21"/>
                <w:szCs w:val="21"/>
              </w:rPr>
              <w:t>4.3395</w:t>
            </w:r>
          </w:p>
        </w:tc>
        <w:tc>
          <w:tcPr>
            <w:tcW w:w="1014" w:type="dxa"/>
            <w:shd w:val="clear" w:color="auto" w:fill="auto"/>
            <w:vAlign w:val="center"/>
          </w:tcPr>
          <w:p w14:paraId="6454AEDD">
            <w:pPr>
              <w:jc w:val="center"/>
              <w:rPr>
                <w:rFonts w:ascii="Times New Roman"/>
                <w:sz w:val="21"/>
                <w:szCs w:val="21"/>
              </w:rPr>
            </w:pPr>
            <w:r>
              <w:rPr>
                <w:rFonts w:hint="eastAsia" w:ascii="Times New Roman"/>
                <w:sz w:val="21"/>
                <w:szCs w:val="21"/>
              </w:rPr>
              <w:t>2.17</w:t>
            </w:r>
          </w:p>
        </w:tc>
      </w:tr>
      <w:tr w14:paraId="77D4B8BD">
        <w:tblPrEx>
          <w:tblCellMar>
            <w:top w:w="0" w:type="dxa"/>
            <w:left w:w="108" w:type="dxa"/>
            <w:bottom w:w="0" w:type="dxa"/>
            <w:right w:w="108" w:type="dxa"/>
          </w:tblCellMar>
        </w:tblPrEx>
        <w:trPr>
          <w:trHeight w:val="525" w:hRule="atLeast"/>
        </w:trPr>
        <w:tc>
          <w:tcPr>
            <w:tcW w:w="1991" w:type="dxa"/>
            <w:vAlign w:val="center"/>
          </w:tcPr>
          <w:p w14:paraId="1610A34E">
            <w:pPr>
              <w:jc w:val="center"/>
              <w:rPr>
                <w:rFonts w:ascii="Times New Roman"/>
                <w:sz w:val="21"/>
                <w:szCs w:val="21"/>
              </w:rPr>
            </w:pPr>
            <w:r>
              <w:rPr>
                <w:rFonts w:ascii="Times New Roman"/>
                <w:sz w:val="21"/>
                <w:szCs w:val="21"/>
              </w:rPr>
              <w:t>下风向最大浓度出现距离</w:t>
            </w:r>
          </w:p>
        </w:tc>
        <w:tc>
          <w:tcPr>
            <w:tcW w:w="1150" w:type="dxa"/>
            <w:shd w:val="clear" w:color="auto" w:fill="auto"/>
            <w:vAlign w:val="center"/>
          </w:tcPr>
          <w:p w14:paraId="13262A52">
            <w:pPr>
              <w:jc w:val="center"/>
              <w:rPr>
                <w:rFonts w:ascii="Times New Roman"/>
                <w:sz w:val="21"/>
                <w:szCs w:val="21"/>
              </w:rPr>
            </w:pPr>
            <w:r>
              <w:rPr>
                <w:rFonts w:hint="eastAsia" w:ascii="Times New Roman"/>
                <w:sz w:val="21"/>
                <w:szCs w:val="21"/>
              </w:rPr>
              <w:t>26.0</w:t>
            </w:r>
          </w:p>
        </w:tc>
        <w:tc>
          <w:tcPr>
            <w:tcW w:w="1100" w:type="dxa"/>
            <w:shd w:val="clear" w:color="auto" w:fill="auto"/>
            <w:vAlign w:val="center"/>
          </w:tcPr>
          <w:p w14:paraId="52B8BCC3">
            <w:pPr>
              <w:jc w:val="center"/>
              <w:rPr>
                <w:rFonts w:ascii="Times New Roman"/>
                <w:sz w:val="21"/>
                <w:szCs w:val="21"/>
              </w:rPr>
            </w:pPr>
            <w:r>
              <w:rPr>
                <w:rFonts w:hint="eastAsia" w:ascii="Times New Roman"/>
                <w:sz w:val="21"/>
                <w:szCs w:val="21"/>
              </w:rPr>
              <w:t>26.0</w:t>
            </w:r>
          </w:p>
        </w:tc>
        <w:tc>
          <w:tcPr>
            <w:tcW w:w="1084" w:type="dxa"/>
            <w:shd w:val="clear" w:color="auto" w:fill="auto"/>
            <w:vAlign w:val="center"/>
          </w:tcPr>
          <w:p w14:paraId="56FF2070">
            <w:pPr>
              <w:jc w:val="center"/>
              <w:rPr>
                <w:rFonts w:ascii="Times New Roman"/>
                <w:sz w:val="21"/>
                <w:szCs w:val="21"/>
              </w:rPr>
            </w:pPr>
            <w:r>
              <w:rPr>
                <w:rFonts w:hint="eastAsia" w:ascii="Times New Roman"/>
                <w:sz w:val="21"/>
                <w:szCs w:val="21"/>
              </w:rPr>
              <w:t>26.0</w:t>
            </w:r>
          </w:p>
        </w:tc>
        <w:tc>
          <w:tcPr>
            <w:tcW w:w="1050" w:type="dxa"/>
            <w:shd w:val="clear" w:color="auto" w:fill="auto"/>
            <w:vAlign w:val="center"/>
          </w:tcPr>
          <w:p w14:paraId="7C268AD3">
            <w:pPr>
              <w:jc w:val="center"/>
              <w:rPr>
                <w:rFonts w:ascii="Times New Roman"/>
                <w:sz w:val="21"/>
                <w:szCs w:val="21"/>
              </w:rPr>
            </w:pPr>
            <w:r>
              <w:rPr>
                <w:rFonts w:hint="eastAsia" w:ascii="Times New Roman"/>
                <w:sz w:val="21"/>
                <w:szCs w:val="21"/>
              </w:rPr>
              <w:t>26.0</w:t>
            </w:r>
          </w:p>
        </w:tc>
        <w:tc>
          <w:tcPr>
            <w:tcW w:w="1150" w:type="dxa"/>
            <w:shd w:val="clear" w:color="auto" w:fill="auto"/>
            <w:vAlign w:val="center"/>
          </w:tcPr>
          <w:p w14:paraId="5FE71B47">
            <w:pPr>
              <w:jc w:val="center"/>
              <w:rPr>
                <w:rFonts w:ascii="Times New Roman"/>
                <w:sz w:val="21"/>
                <w:szCs w:val="21"/>
              </w:rPr>
            </w:pPr>
            <w:r>
              <w:rPr>
                <w:rFonts w:hint="eastAsia" w:ascii="Times New Roman"/>
                <w:sz w:val="21"/>
                <w:szCs w:val="21"/>
              </w:rPr>
              <w:t>26.0</w:t>
            </w:r>
          </w:p>
        </w:tc>
        <w:tc>
          <w:tcPr>
            <w:tcW w:w="1014" w:type="dxa"/>
            <w:shd w:val="clear" w:color="auto" w:fill="auto"/>
            <w:vAlign w:val="center"/>
          </w:tcPr>
          <w:p w14:paraId="517BE29F">
            <w:pPr>
              <w:jc w:val="center"/>
              <w:rPr>
                <w:rFonts w:ascii="Times New Roman"/>
                <w:sz w:val="21"/>
                <w:szCs w:val="21"/>
              </w:rPr>
            </w:pPr>
            <w:r>
              <w:rPr>
                <w:rFonts w:hint="eastAsia" w:ascii="Times New Roman"/>
                <w:sz w:val="21"/>
                <w:szCs w:val="21"/>
              </w:rPr>
              <w:t>26.0</w:t>
            </w:r>
          </w:p>
        </w:tc>
      </w:tr>
      <w:tr w14:paraId="4842A804">
        <w:tblPrEx>
          <w:tblCellMar>
            <w:top w:w="0" w:type="dxa"/>
            <w:left w:w="108" w:type="dxa"/>
            <w:bottom w:w="0" w:type="dxa"/>
            <w:right w:w="108" w:type="dxa"/>
          </w:tblCellMar>
        </w:tblPrEx>
        <w:trPr>
          <w:trHeight w:val="415" w:hRule="atLeast"/>
        </w:trPr>
        <w:tc>
          <w:tcPr>
            <w:tcW w:w="1991" w:type="dxa"/>
            <w:vAlign w:val="center"/>
          </w:tcPr>
          <w:p w14:paraId="2F0A2DC4">
            <w:pPr>
              <w:jc w:val="center"/>
              <w:rPr>
                <w:rFonts w:ascii="Times New Roman"/>
                <w:sz w:val="21"/>
                <w:szCs w:val="21"/>
              </w:rPr>
            </w:pPr>
            <w:r>
              <w:rPr>
                <w:rFonts w:ascii="Times New Roman"/>
                <w:sz w:val="21"/>
                <w:szCs w:val="21"/>
              </w:rPr>
              <w:t>D10%最远距离</w:t>
            </w:r>
          </w:p>
        </w:tc>
        <w:tc>
          <w:tcPr>
            <w:tcW w:w="1150" w:type="dxa"/>
            <w:vAlign w:val="center"/>
          </w:tcPr>
          <w:p w14:paraId="36EF9704">
            <w:pPr>
              <w:jc w:val="center"/>
              <w:rPr>
                <w:rFonts w:ascii="Times New Roman"/>
                <w:sz w:val="21"/>
                <w:szCs w:val="21"/>
              </w:rPr>
            </w:pPr>
            <w:r>
              <w:rPr>
                <w:rFonts w:ascii="Times New Roman"/>
                <w:sz w:val="21"/>
                <w:szCs w:val="21"/>
              </w:rPr>
              <w:t>/</w:t>
            </w:r>
          </w:p>
        </w:tc>
        <w:tc>
          <w:tcPr>
            <w:tcW w:w="1100" w:type="dxa"/>
            <w:vAlign w:val="center"/>
          </w:tcPr>
          <w:p w14:paraId="5F7A18EB">
            <w:pPr>
              <w:jc w:val="center"/>
              <w:rPr>
                <w:rFonts w:ascii="Times New Roman"/>
                <w:sz w:val="21"/>
                <w:szCs w:val="21"/>
              </w:rPr>
            </w:pPr>
            <w:r>
              <w:rPr>
                <w:rFonts w:ascii="Times New Roman"/>
                <w:sz w:val="21"/>
                <w:szCs w:val="21"/>
              </w:rPr>
              <w:t>/</w:t>
            </w:r>
          </w:p>
        </w:tc>
        <w:tc>
          <w:tcPr>
            <w:tcW w:w="1084" w:type="dxa"/>
            <w:shd w:val="clear" w:color="auto" w:fill="auto"/>
            <w:vAlign w:val="center"/>
          </w:tcPr>
          <w:p w14:paraId="1C3E7903">
            <w:pPr>
              <w:jc w:val="center"/>
              <w:rPr>
                <w:rFonts w:ascii="Times New Roman"/>
                <w:sz w:val="21"/>
                <w:szCs w:val="21"/>
              </w:rPr>
            </w:pPr>
            <w:r>
              <w:rPr>
                <w:rFonts w:ascii="Times New Roman"/>
                <w:sz w:val="21"/>
                <w:szCs w:val="21"/>
              </w:rPr>
              <w:t>/</w:t>
            </w:r>
          </w:p>
        </w:tc>
        <w:tc>
          <w:tcPr>
            <w:tcW w:w="1050" w:type="dxa"/>
            <w:shd w:val="clear" w:color="auto" w:fill="auto"/>
            <w:vAlign w:val="center"/>
          </w:tcPr>
          <w:p w14:paraId="039FD4DE">
            <w:pPr>
              <w:jc w:val="center"/>
              <w:rPr>
                <w:rFonts w:ascii="Times New Roman"/>
                <w:sz w:val="21"/>
                <w:szCs w:val="21"/>
              </w:rPr>
            </w:pPr>
            <w:r>
              <w:rPr>
                <w:rFonts w:ascii="Times New Roman"/>
                <w:sz w:val="21"/>
                <w:szCs w:val="21"/>
              </w:rPr>
              <w:t>/</w:t>
            </w:r>
          </w:p>
        </w:tc>
        <w:tc>
          <w:tcPr>
            <w:tcW w:w="1150" w:type="dxa"/>
            <w:shd w:val="clear" w:color="auto" w:fill="auto"/>
            <w:vAlign w:val="center"/>
          </w:tcPr>
          <w:p w14:paraId="60E95B18">
            <w:pPr>
              <w:jc w:val="center"/>
              <w:rPr>
                <w:rFonts w:ascii="Times New Roman"/>
                <w:sz w:val="21"/>
                <w:szCs w:val="21"/>
              </w:rPr>
            </w:pPr>
            <w:r>
              <w:rPr>
                <w:rFonts w:ascii="Times New Roman"/>
                <w:sz w:val="21"/>
                <w:szCs w:val="21"/>
              </w:rPr>
              <w:t>/</w:t>
            </w:r>
          </w:p>
        </w:tc>
        <w:tc>
          <w:tcPr>
            <w:tcW w:w="1014" w:type="dxa"/>
            <w:shd w:val="clear" w:color="auto" w:fill="auto"/>
            <w:vAlign w:val="center"/>
          </w:tcPr>
          <w:p w14:paraId="60FD630B">
            <w:pPr>
              <w:jc w:val="center"/>
              <w:rPr>
                <w:rFonts w:ascii="Times New Roman"/>
                <w:sz w:val="21"/>
                <w:szCs w:val="21"/>
              </w:rPr>
            </w:pPr>
            <w:r>
              <w:rPr>
                <w:rFonts w:ascii="Times New Roman"/>
                <w:sz w:val="21"/>
                <w:szCs w:val="21"/>
              </w:rPr>
              <w:t>/</w:t>
            </w:r>
          </w:p>
        </w:tc>
      </w:tr>
    </w:tbl>
    <w:p w14:paraId="2BCD8FD5">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4998" w:type="pct"/>
        <w:tblInd w:w="0" w:type="dxa"/>
        <w:tblLayout w:type="autofit"/>
        <w:tblCellMar>
          <w:top w:w="0" w:type="dxa"/>
          <w:left w:w="108" w:type="dxa"/>
          <w:bottom w:w="0" w:type="dxa"/>
          <w:right w:w="108" w:type="dxa"/>
        </w:tblCellMar>
      </w:tblPr>
      <w:tblGrid>
        <w:gridCol w:w="2841"/>
        <w:gridCol w:w="1566"/>
        <w:gridCol w:w="1249"/>
        <w:gridCol w:w="1447"/>
        <w:gridCol w:w="1416"/>
      </w:tblGrid>
      <w:tr w14:paraId="72260A18">
        <w:tblPrEx>
          <w:tblCellMar>
            <w:top w:w="0" w:type="dxa"/>
            <w:left w:w="108" w:type="dxa"/>
            <w:bottom w:w="0" w:type="dxa"/>
            <w:right w:w="108" w:type="dxa"/>
          </w:tblCellMar>
        </w:tblPrEx>
        <w:trPr>
          <w:trHeight w:val="216" w:hRule="atLeast"/>
        </w:trPr>
        <w:tc>
          <w:tcPr>
            <w:tcW w:w="1667" w:type="pct"/>
            <w:vMerge w:val="restart"/>
            <w:vAlign w:val="center"/>
          </w:tcPr>
          <w:p w14:paraId="7CBFB080">
            <w:pPr>
              <w:jc w:val="center"/>
              <w:rPr>
                <w:rFonts w:ascii="Times New Roman"/>
                <w:sz w:val="21"/>
                <w:szCs w:val="21"/>
              </w:rPr>
            </w:pPr>
            <w:r>
              <w:rPr>
                <w:rFonts w:ascii="Times New Roman"/>
                <w:sz w:val="21"/>
                <w:szCs w:val="21"/>
              </w:rPr>
              <w:t>下风向距离</w:t>
            </w:r>
          </w:p>
        </w:tc>
        <w:tc>
          <w:tcPr>
            <w:tcW w:w="3332" w:type="pct"/>
            <w:gridSpan w:val="4"/>
            <w:vAlign w:val="center"/>
          </w:tcPr>
          <w:p w14:paraId="169BBE4B">
            <w:pPr>
              <w:jc w:val="center"/>
              <w:rPr>
                <w:rFonts w:ascii="Times New Roman"/>
                <w:sz w:val="21"/>
                <w:szCs w:val="21"/>
              </w:rPr>
            </w:pPr>
            <w:r>
              <w:rPr>
                <w:rFonts w:ascii="Times New Roman"/>
                <w:sz w:val="21"/>
                <w:szCs w:val="21"/>
              </w:rPr>
              <w:t>淬火、回火废气</w:t>
            </w:r>
            <w:r>
              <w:rPr>
                <w:rFonts w:ascii="Times New Roman" w:eastAsia="Times New Roman"/>
                <w:sz w:val="21"/>
                <w:szCs w:val="21"/>
              </w:rPr>
              <w:t>(</w:t>
            </w:r>
            <w:r>
              <w:rPr>
                <w:rFonts w:ascii="Times New Roman"/>
                <w:sz w:val="21"/>
                <w:szCs w:val="21"/>
              </w:rPr>
              <w:t>DA006</w:t>
            </w:r>
            <w:r>
              <w:rPr>
                <w:rFonts w:ascii="Times New Roman" w:eastAsia="Times New Roman"/>
                <w:sz w:val="21"/>
                <w:szCs w:val="21"/>
              </w:rPr>
              <w:t>)</w:t>
            </w:r>
          </w:p>
        </w:tc>
      </w:tr>
      <w:tr w14:paraId="0FA85DB7">
        <w:tblPrEx>
          <w:tblCellMar>
            <w:top w:w="0" w:type="dxa"/>
            <w:left w:w="108" w:type="dxa"/>
            <w:bottom w:w="0" w:type="dxa"/>
            <w:right w:w="108" w:type="dxa"/>
          </w:tblCellMar>
        </w:tblPrEx>
        <w:trPr>
          <w:trHeight w:val="216" w:hRule="atLeast"/>
        </w:trPr>
        <w:tc>
          <w:tcPr>
            <w:tcW w:w="1667" w:type="pct"/>
            <w:vMerge w:val="continue"/>
            <w:vAlign w:val="center"/>
          </w:tcPr>
          <w:p w14:paraId="19D160DD">
            <w:pPr>
              <w:jc w:val="center"/>
              <w:rPr>
                <w:rFonts w:ascii="Times New Roman"/>
                <w:sz w:val="21"/>
                <w:szCs w:val="21"/>
              </w:rPr>
            </w:pPr>
          </w:p>
        </w:tc>
        <w:tc>
          <w:tcPr>
            <w:tcW w:w="919" w:type="pct"/>
            <w:vAlign w:val="center"/>
          </w:tcPr>
          <w:p w14:paraId="28ED735F">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浓度(μg/m³)</w:t>
            </w:r>
          </w:p>
        </w:tc>
        <w:tc>
          <w:tcPr>
            <w:tcW w:w="733" w:type="pct"/>
            <w:tcBorders>
              <w:right w:val="single" w:color="auto" w:sz="4" w:space="0"/>
            </w:tcBorders>
            <w:vAlign w:val="center"/>
          </w:tcPr>
          <w:p w14:paraId="140060C4">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849" w:type="pct"/>
            <w:tcBorders>
              <w:left w:val="single" w:color="auto" w:sz="4" w:space="0"/>
            </w:tcBorders>
            <w:vAlign w:val="center"/>
          </w:tcPr>
          <w:p w14:paraId="1C55831B">
            <w:pPr>
              <w:jc w:val="center"/>
              <w:rPr>
                <w:rFonts w:ascii="Times New Roman"/>
                <w:sz w:val="21"/>
                <w:szCs w:val="21"/>
              </w:rPr>
            </w:pPr>
            <w:r>
              <w:rPr>
                <w:rFonts w:ascii="Times New Roman"/>
                <w:sz w:val="21"/>
                <w:szCs w:val="21"/>
              </w:rPr>
              <w:t>NMHC浓度(μg/m³)</w:t>
            </w:r>
          </w:p>
        </w:tc>
        <w:tc>
          <w:tcPr>
            <w:tcW w:w="831" w:type="pct"/>
            <w:vAlign w:val="center"/>
          </w:tcPr>
          <w:p w14:paraId="564F4C00">
            <w:pPr>
              <w:jc w:val="center"/>
              <w:rPr>
                <w:rFonts w:ascii="Times New Roman"/>
                <w:sz w:val="21"/>
                <w:szCs w:val="21"/>
              </w:rPr>
            </w:pPr>
            <w:r>
              <w:rPr>
                <w:rFonts w:ascii="Times New Roman"/>
                <w:sz w:val="21"/>
                <w:szCs w:val="21"/>
              </w:rPr>
              <w:t>NMHC占标率(%)</w:t>
            </w:r>
          </w:p>
        </w:tc>
      </w:tr>
      <w:tr w14:paraId="205ED3AE">
        <w:tblPrEx>
          <w:tblCellMar>
            <w:top w:w="0" w:type="dxa"/>
            <w:left w:w="108" w:type="dxa"/>
            <w:bottom w:w="0" w:type="dxa"/>
            <w:right w:w="108" w:type="dxa"/>
          </w:tblCellMar>
        </w:tblPrEx>
        <w:trPr>
          <w:trHeight w:val="216" w:hRule="atLeast"/>
        </w:trPr>
        <w:tc>
          <w:tcPr>
            <w:tcW w:w="1667" w:type="pct"/>
            <w:vAlign w:val="center"/>
          </w:tcPr>
          <w:p w14:paraId="7B651F9C">
            <w:pPr>
              <w:jc w:val="center"/>
              <w:rPr>
                <w:rFonts w:ascii="Times New Roman"/>
                <w:sz w:val="21"/>
                <w:szCs w:val="21"/>
              </w:rPr>
            </w:pPr>
            <w:r>
              <w:rPr>
                <w:rFonts w:ascii="Times New Roman"/>
                <w:sz w:val="21"/>
                <w:szCs w:val="21"/>
              </w:rPr>
              <w:t>50.0</w:t>
            </w:r>
          </w:p>
        </w:tc>
        <w:tc>
          <w:tcPr>
            <w:tcW w:w="919" w:type="pct"/>
            <w:vAlign w:val="center"/>
          </w:tcPr>
          <w:p w14:paraId="52581128">
            <w:pPr>
              <w:jc w:val="center"/>
              <w:rPr>
                <w:rFonts w:ascii="Times New Roman"/>
                <w:sz w:val="21"/>
                <w:szCs w:val="21"/>
              </w:rPr>
            </w:pPr>
            <w:r>
              <w:rPr>
                <w:rFonts w:hint="eastAsia" w:ascii="Times New Roman"/>
                <w:sz w:val="21"/>
                <w:szCs w:val="21"/>
              </w:rPr>
              <w:t>1.1576</w:t>
            </w:r>
          </w:p>
        </w:tc>
        <w:tc>
          <w:tcPr>
            <w:tcW w:w="733" w:type="pct"/>
            <w:vAlign w:val="center"/>
          </w:tcPr>
          <w:p w14:paraId="6147E62F">
            <w:pPr>
              <w:jc w:val="center"/>
              <w:rPr>
                <w:rFonts w:ascii="Times New Roman"/>
                <w:sz w:val="21"/>
                <w:szCs w:val="21"/>
              </w:rPr>
            </w:pPr>
            <w:r>
              <w:rPr>
                <w:rFonts w:hint="eastAsia" w:ascii="Times New Roman"/>
                <w:sz w:val="21"/>
                <w:szCs w:val="21"/>
              </w:rPr>
              <w:t>0.26</w:t>
            </w:r>
          </w:p>
        </w:tc>
        <w:tc>
          <w:tcPr>
            <w:tcW w:w="849" w:type="pct"/>
            <w:shd w:val="clear" w:color="auto" w:fill="auto"/>
            <w:vAlign w:val="center"/>
          </w:tcPr>
          <w:p w14:paraId="2C1785A6">
            <w:pPr>
              <w:jc w:val="center"/>
              <w:rPr>
                <w:rFonts w:ascii="Times New Roman"/>
                <w:sz w:val="21"/>
                <w:szCs w:val="21"/>
              </w:rPr>
            </w:pPr>
            <w:r>
              <w:rPr>
                <w:rFonts w:hint="eastAsia" w:ascii="Times New Roman"/>
                <w:sz w:val="21"/>
                <w:szCs w:val="21"/>
              </w:rPr>
              <w:t>0.0001</w:t>
            </w:r>
          </w:p>
        </w:tc>
        <w:tc>
          <w:tcPr>
            <w:tcW w:w="831" w:type="pct"/>
            <w:vAlign w:val="center"/>
          </w:tcPr>
          <w:p w14:paraId="4B31046A">
            <w:pPr>
              <w:jc w:val="center"/>
              <w:rPr>
                <w:rFonts w:ascii="Times New Roman"/>
                <w:sz w:val="21"/>
                <w:szCs w:val="21"/>
              </w:rPr>
            </w:pPr>
            <w:r>
              <w:rPr>
                <w:rFonts w:hint="eastAsia" w:ascii="Times New Roman"/>
                <w:sz w:val="21"/>
                <w:szCs w:val="21"/>
              </w:rPr>
              <w:t>0.00</w:t>
            </w:r>
          </w:p>
        </w:tc>
      </w:tr>
      <w:tr w14:paraId="179E312F">
        <w:tblPrEx>
          <w:tblCellMar>
            <w:top w:w="0" w:type="dxa"/>
            <w:left w:w="108" w:type="dxa"/>
            <w:bottom w:w="0" w:type="dxa"/>
            <w:right w:w="108" w:type="dxa"/>
          </w:tblCellMar>
        </w:tblPrEx>
        <w:trPr>
          <w:trHeight w:val="216" w:hRule="atLeast"/>
        </w:trPr>
        <w:tc>
          <w:tcPr>
            <w:tcW w:w="1667" w:type="pct"/>
            <w:vAlign w:val="center"/>
          </w:tcPr>
          <w:p w14:paraId="751B3B6B">
            <w:pPr>
              <w:jc w:val="center"/>
              <w:rPr>
                <w:rFonts w:ascii="Times New Roman"/>
                <w:sz w:val="21"/>
                <w:szCs w:val="21"/>
              </w:rPr>
            </w:pPr>
            <w:r>
              <w:rPr>
                <w:rFonts w:ascii="Times New Roman"/>
                <w:sz w:val="21"/>
                <w:szCs w:val="21"/>
              </w:rPr>
              <w:t>100.0</w:t>
            </w:r>
          </w:p>
        </w:tc>
        <w:tc>
          <w:tcPr>
            <w:tcW w:w="919" w:type="pct"/>
            <w:vAlign w:val="center"/>
          </w:tcPr>
          <w:p w14:paraId="676B33E3">
            <w:pPr>
              <w:jc w:val="center"/>
              <w:rPr>
                <w:rFonts w:ascii="Times New Roman"/>
                <w:sz w:val="21"/>
                <w:szCs w:val="21"/>
              </w:rPr>
            </w:pPr>
            <w:r>
              <w:rPr>
                <w:rFonts w:hint="eastAsia" w:ascii="Times New Roman"/>
                <w:sz w:val="21"/>
                <w:szCs w:val="21"/>
              </w:rPr>
              <w:t>1.0625</w:t>
            </w:r>
          </w:p>
        </w:tc>
        <w:tc>
          <w:tcPr>
            <w:tcW w:w="733" w:type="pct"/>
            <w:vAlign w:val="center"/>
          </w:tcPr>
          <w:p w14:paraId="41691289">
            <w:pPr>
              <w:jc w:val="center"/>
              <w:rPr>
                <w:rFonts w:ascii="Times New Roman"/>
                <w:sz w:val="21"/>
                <w:szCs w:val="21"/>
              </w:rPr>
            </w:pPr>
            <w:r>
              <w:rPr>
                <w:rFonts w:hint="eastAsia" w:ascii="Times New Roman"/>
                <w:sz w:val="21"/>
                <w:szCs w:val="21"/>
              </w:rPr>
              <w:t>0.24</w:t>
            </w:r>
          </w:p>
        </w:tc>
        <w:tc>
          <w:tcPr>
            <w:tcW w:w="849" w:type="pct"/>
            <w:shd w:val="clear" w:color="auto" w:fill="auto"/>
            <w:vAlign w:val="center"/>
          </w:tcPr>
          <w:p w14:paraId="417EA701">
            <w:pPr>
              <w:jc w:val="center"/>
              <w:rPr>
                <w:rFonts w:ascii="Times New Roman"/>
                <w:sz w:val="21"/>
                <w:szCs w:val="21"/>
              </w:rPr>
            </w:pPr>
            <w:r>
              <w:rPr>
                <w:rFonts w:hint="eastAsia" w:ascii="Times New Roman"/>
                <w:sz w:val="21"/>
                <w:szCs w:val="21"/>
              </w:rPr>
              <w:t>0.0001</w:t>
            </w:r>
          </w:p>
        </w:tc>
        <w:tc>
          <w:tcPr>
            <w:tcW w:w="831" w:type="pct"/>
            <w:vAlign w:val="center"/>
          </w:tcPr>
          <w:p w14:paraId="652DE584">
            <w:pPr>
              <w:jc w:val="center"/>
              <w:rPr>
                <w:rFonts w:ascii="Times New Roman"/>
                <w:sz w:val="21"/>
                <w:szCs w:val="21"/>
              </w:rPr>
            </w:pPr>
            <w:r>
              <w:rPr>
                <w:rFonts w:hint="eastAsia" w:ascii="Times New Roman"/>
                <w:sz w:val="21"/>
                <w:szCs w:val="21"/>
              </w:rPr>
              <w:t>0.00</w:t>
            </w:r>
          </w:p>
        </w:tc>
      </w:tr>
      <w:tr w14:paraId="59E37A65">
        <w:tblPrEx>
          <w:tblCellMar>
            <w:top w:w="0" w:type="dxa"/>
            <w:left w:w="108" w:type="dxa"/>
            <w:bottom w:w="0" w:type="dxa"/>
            <w:right w:w="108" w:type="dxa"/>
          </w:tblCellMar>
        </w:tblPrEx>
        <w:trPr>
          <w:trHeight w:val="216" w:hRule="atLeast"/>
        </w:trPr>
        <w:tc>
          <w:tcPr>
            <w:tcW w:w="1667" w:type="pct"/>
            <w:vAlign w:val="center"/>
          </w:tcPr>
          <w:p w14:paraId="721ABAD2">
            <w:pPr>
              <w:jc w:val="center"/>
              <w:rPr>
                <w:rFonts w:ascii="Times New Roman"/>
                <w:sz w:val="21"/>
                <w:szCs w:val="21"/>
              </w:rPr>
            </w:pPr>
            <w:r>
              <w:rPr>
                <w:rFonts w:ascii="Times New Roman"/>
                <w:sz w:val="21"/>
                <w:szCs w:val="21"/>
              </w:rPr>
              <w:t>200.0</w:t>
            </w:r>
          </w:p>
        </w:tc>
        <w:tc>
          <w:tcPr>
            <w:tcW w:w="919" w:type="pct"/>
            <w:vAlign w:val="center"/>
          </w:tcPr>
          <w:p w14:paraId="2702D7E8">
            <w:pPr>
              <w:jc w:val="center"/>
              <w:rPr>
                <w:rFonts w:ascii="Times New Roman"/>
                <w:sz w:val="21"/>
                <w:szCs w:val="21"/>
              </w:rPr>
            </w:pPr>
            <w:r>
              <w:rPr>
                <w:rFonts w:hint="eastAsia" w:ascii="Times New Roman"/>
                <w:sz w:val="21"/>
                <w:szCs w:val="21"/>
              </w:rPr>
              <w:t>1.2635</w:t>
            </w:r>
          </w:p>
        </w:tc>
        <w:tc>
          <w:tcPr>
            <w:tcW w:w="733" w:type="pct"/>
            <w:vAlign w:val="center"/>
          </w:tcPr>
          <w:p w14:paraId="4AA01282">
            <w:pPr>
              <w:jc w:val="center"/>
              <w:rPr>
                <w:rFonts w:ascii="Times New Roman"/>
                <w:sz w:val="21"/>
                <w:szCs w:val="21"/>
              </w:rPr>
            </w:pPr>
            <w:r>
              <w:rPr>
                <w:rFonts w:hint="eastAsia" w:ascii="Times New Roman"/>
                <w:sz w:val="21"/>
                <w:szCs w:val="21"/>
              </w:rPr>
              <w:t>0.28</w:t>
            </w:r>
          </w:p>
        </w:tc>
        <w:tc>
          <w:tcPr>
            <w:tcW w:w="849" w:type="pct"/>
            <w:shd w:val="clear" w:color="auto" w:fill="auto"/>
            <w:vAlign w:val="center"/>
          </w:tcPr>
          <w:p w14:paraId="654C4C45">
            <w:pPr>
              <w:jc w:val="center"/>
              <w:rPr>
                <w:rFonts w:ascii="Times New Roman"/>
                <w:sz w:val="21"/>
                <w:szCs w:val="21"/>
              </w:rPr>
            </w:pPr>
            <w:r>
              <w:rPr>
                <w:rFonts w:hint="eastAsia" w:ascii="Times New Roman"/>
                <w:sz w:val="21"/>
                <w:szCs w:val="21"/>
              </w:rPr>
              <w:t>0.0001</w:t>
            </w:r>
          </w:p>
        </w:tc>
        <w:tc>
          <w:tcPr>
            <w:tcW w:w="831" w:type="pct"/>
            <w:vAlign w:val="center"/>
          </w:tcPr>
          <w:p w14:paraId="3F954501">
            <w:pPr>
              <w:jc w:val="center"/>
              <w:rPr>
                <w:rFonts w:ascii="Times New Roman"/>
                <w:sz w:val="21"/>
                <w:szCs w:val="21"/>
              </w:rPr>
            </w:pPr>
            <w:r>
              <w:rPr>
                <w:rFonts w:hint="eastAsia" w:ascii="Times New Roman"/>
                <w:sz w:val="21"/>
                <w:szCs w:val="21"/>
              </w:rPr>
              <w:t>0.00</w:t>
            </w:r>
          </w:p>
        </w:tc>
      </w:tr>
      <w:tr w14:paraId="4AC62EC9">
        <w:tblPrEx>
          <w:tblCellMar>
            <w:top w:w="0" w:type="dxa"/>
            <w:left w:w="108" w:type="dxa"/>
            <w:bottom w:w="0" w:type="dxa"/>
            <w:right w:w="108" w:type="dxa"/>
          </w:tblCellMar>
        </w:tblPrEx>
        <w:trPr>
          <w:trHeight w:val="216" w:hRule="atLeast"/>
        </w:trPr>
        <w:tc>
          <w:tcPr>
            <w:tcW w:w="1667" w:type="pct"/>
            <w:vAlign w:val="center"/>
          </w:tcPr>
          <w:p w14:paraId="0D45177D">
            <w:pPr>
              <w:jc w:val="center"/>
              <w:rPr>
                <w:rFonts w:ascii="Times New Roman"/>
                <w:sz w:val="21"/>
                <w:szCs w:val="21"/>
              </w:rPr>
            </w:pPr>
            <w:r>
              <w:rPr>
                <w:rFonts w:ascii="Times New Roman"/>
                <w:sz w:val="21"/>
                <w:szCs w:val="21"/>
              </w:rPr>
              <w:t>300.0</w:t>
            </w:r>
          </w:p>
        </w:tc>
        <w:tc>
          <w:tcPr>
            <w:tcW w:w="919" w:type="pct"/>
            <w:vAlign w:val="center"/>
          </w:tcPr>
          <w:p w14:paraId="0F8F77B9">
            <w:pPr>
              <w:jc w:val="center"/>
              <w:rPr>
                <w:rFonts w:ascii="Times New Roman"/>
                <w:sz w:val="21"/>
                <w:szCs w:val="21"/>
              </w:rPr>
            </w:pPr>
            <w:r>
              <w:rPr>
                <w:rFonts w:hint="eastAsia" w:ascii="Times New Roman"/>
                <w:sz w:val="21"/>
                <w:szCs w:val="21"/>
              </w:rPr>
              <w:t>1.2206</w:t>
            </w:r>
          </w:p>
        </w:tc>
        <w:tc>
          <w:tcPr>
            <w:tcW w:w="733" w:type="pct"/>
            <w:vAlign w:val="center"/>
          </w:tcPr>
          <w:p w14:paraId="53869313">
            <w:pPr>
              <w:jc w:val="center"/>
              <w:rPr>
                <w:rFonts w:ascii="Times New Roman"/>
                <w:sz w:val="21"/>
                <w:szCs w:val="21"/>
              </w:rPr>
            </w:pPr>
            <w:r>
              <w:rPr>
                <w:rFonts w:hint="eastAsia" w:ascii="Times New Roman"/>
                <w:sz w:val="21"/>
                <w:szCs w:val="21"/>
              </w:rPr>
              <w:t>0.27</w:t>
            </w:r>
          </w:p>
        </w:tc>
        <w:tc>
          <w:tcPr>
            <w:tcW w:w="849" w:type="pct"/>
            <w:shd w:val="clear" w:color="auto" w:fill="auto"/>
            <w:vAlign w:val="center"/>
          </w:tcPr>
          <w:p w14:paraId="041042F5">
            <w:pPr>
              <w:jc w:val="center"/>
              <w:rPr>
                <w:rFonts w:ascii="Times New Roman"/>
                <w:sz w:val="21"/>
                <w:szCs w:val="21"/>
              </w:rPr>
            </w:pPr>
            <w:r>
              <w:rPr>
                <w:rFonts w:hint="eastAsia" w:ascii="Times New Roman"/>
                <w:sz w:val="21"/>
                <w:szCs w:val="21"/>
              </w:rPr>
              <w:t>0.0001</w:t>
            </w:r>
          </w:p>
        </w:tc>
        <w:tc>
          <w:tcPr>
            <w:tcW w:w="831" w:type="pct"/>
            <w:vAlign w:val="center"/>
          </w:tcPr>
          <w:p w14:paraId="785E550A">
            <w:pPr>
              <w:jc w:val="center"/>
              <w:rPr>
                <w:rFonts w:ascii="Times New Roman"/>
                <w:sz w:val="21"/>
                <w:szCs w:val="21"/>
              </w:rPr>
            </w:pPr>
            <w:r>
              <w:rPr>
                <w:rFonts w:hint="eastAsia" w:ascii="Times New Roman"/>
                <w:sz w:val="21"/>
                <w:szCs w:val="21"/>
              </w:rPr>
              <w:t>0.00</w:t>
            </w:r>
          </w:p>
        </w:tc>
      </w:tr>
      <w:tr w14:paraId="1FA5C63C">
        <w:tblPrEx>
          <w:tblCellMar>
            <w:top w:w="0" w:type="dxa"/>
            <w:left w:w="108" w:type="dxa"/>
            <w:bottom w:w="0" w:type="dxa"/>
            <w:right w:w="108" w:type="dxa"/>
          </w:tblCellMar>
        </w:tblPrEx>
        <w:trPr>
          <w:trHeight w:val="216" w:hRule="atLeast"/>
        </w:trPr>
        <w:tc>
          <w:tcPr>
            <w:tcW w:w="1667" w:type="pct"/>
            <w:vAlign w:val="center"/>
          </w:tcPr>
          <w:p w14:paraId="29538B2D">
            <w:pPr>
              <w:jc w:val="center"/>
              <w:rPr>
                <w:rFonts w:ascii="Times New Roman"/>
                <w:sz w:val="21"/>
                <w:szCs w:val="21"/>
              </w:rPr>
            </w:pPr>
            <w:r>
              <w:rPr>
                <w:rFonts w:ascii="Times New Roman"/>
                <w:sz w:val="21"/>
                <w:szCs w:val="21"/>
              </w:rPr>
              <w:t>400.0</w:t>
            </w:r>
          </w:p>
        </w:tc>
        <w:tc>
          <w:tcPr>
            <w:tcW w:w="919" w:type="pct"/>
            <w:vAlign w:val="center"/>
          </w:tcPr>
          <w:p w14:paraId="1CBB24F2">
            <w:pPr>
              <w:jc w:val="center"/>
              <w:rPr>
                <w:rFonts w:ascii="Times New Roman"/>
                <w:sz w:val="21"/>
                <w:szCs w:val="21"/>
              </w:rPr>
            </w:pPr>
            <w:r>
              <w:rPr>
                <w:rFonts w:hint="eastAsia" w:ascii="Times New Roman"/>
                <w:sz w:val="21"/>
                <w:szCs w:val="21"/>
              </w:rPr>
              <w:t>1.0356</w:t>
            </w:r>
          </w:p>
        </w:tc>
        <w:tc>
          <w:tcPr>
            <w:tcW w:w="733" w:type="pct"/>
            <w:vAlign w:val="center"/>
          </w:tcPr>
          <w:p w14:paraId="5C5B2CF7">
            <w:pPr>
              <w:jc w:val="center"/>
              <w:rPr>
                <w:rFonts w:ascii="Times New Roman"/>
                <w:sz w:val="21"/>
                <w:szCs w:val="21"/>
              </w:rPr>
            </w:pPr>
            <w:r>
              <w:rPr>
                <w:rFonts w:hint="eastAsia" w:ascii="Times New Roman"/>
                <w:sz w:val="21"/>
                <w:szCs w:val="21"/>
              </w:rPr>
              <w:t>0.23</w:t>
            </w:r>
          </w:p>
        </w:tc>
        <w:tc>
          <w:tcPr>
            <w:tcW w:w="849" w:type="pct"/>
            <w:shd w:val="clear" w:color="auto" w:fill="auto"/>
            <w:vAlign w:val="center"/>
          </w:tcPr>
          <w:p w14:paraId="5F2AAAC9">
            <w:pPr>
              <w:jc w:val="center"/>
              <w:rPr>
                <w:rFonts w:ascii="Times New Roman"/>
                <w:sz w:val="21"/>
                <w:szCs w:val="21"/>
              </w:rPr>
            </w:pPr>
            <w:r>
              <w:rPr>
                <w:rFonts w:hint="eastAsia" w:ascii="Times New Roman"/>
                <w:sz w:val="21"/>
                <w:szCs w:val="21"/>
              </w:rPr>
              <w:t>0.0001</w:t>
            </w:r>
          </w:p>
        </w:tc>
        <w:tc>
          <w:tcPr>
            <w:tcW w:w="831" w:type="pct"/>
            <w:vAlign w:val="center"/>
          </w:tcPr>
          <w:p w14:paraId="7CA88A45">
            <w:pPr>
              <w:jc w:val="center"/>
              <w:rPr>
                <w:rFonts w:ascii="Times New Roman"/>
                <w:sz w:val="21"/>
                <w:szCs w:val="21"/>
              </w:rPr>
            </w:pPr>
            <w:r>
              <w:rPr>
                <w:rFonts w:hint="eastAsia" w:ascii="Times New Roman"/>
                <w:sz w:val="21"/>
                <w:szCs w:val="21"/>
              </w:rPr>
              <w:t>0.00</w:t>
            </w:r>
          </w:p>
        </w:tc>
      </w:tr>
      <w:tr w14:paraId="7CFEE245">
        <w:tblPrEx>
          <w:tblCellMar>
            <w:top w:w="0" w:type="dxa"/>
            <w:left w:w="108" w:type="dxa"/>
            <w:bottom w:w="0" w:type="dxa"/>
            <w:right w:w="108" w:type="dxa"/>
          </w:tblCellMar>
        </w:tblPrEx>
        <w:trPr>
          <w:trHeight w:val="216" w:hRule="atLeast"/>
        </w:trPr>
        <w:tc>
          <w:tcPr>
            <w:tcW w:w="1667" w:type="pct"/>
            <w:vAlign w:val="center"/>
          </w:tcPr>
          <w:p w14:paraId="2626615A">
            <w:pPr>
              <w:jc w:val="center"/>
              <w:rPr>
                <w:rFonts w:ascii="Times New Roman"/>
                <w:sz w:val="21"/>
                <w:szCs w:val="21"/>
              </w:rPr>
            </w:pPr>
            <w:r>
              <w:rPr>
                <w:rFonts w:ascii="Times New Roman"/>
                <w:sz w:val="21"/>
                <w:szCs w:val="21"/>
              </w:rPr>
              <w:t>500.0</w:t>
            </w:r>
          </w:p>
        </w:tc>
        <w:tc>
          <w:tcPr>
            <w:tcW w:w="919" w:type="pct"/>
            <w:vAlign w:val="center"/>
          </w:tcPr>
          <w:p w14:paraId="058EFD46">
            <w:pPr>
              <w:jc w:val="center"/>
              <w:rPr>
                <w:rFonts w:ascii="Times New Roman"/>
                <w:sz w:val="21"/>
                <w:szCs w:val="21"/>
              </w:rPr>
            </w:pPr>
            <w:r>
              <w:rPr>
                <w:rFonts w:hint="eastAsia" w:ascii="Times New Roman"/>
                <w:sz w:val="21"/>
                <w:szCs w:val="21"/>
              </w:rPr>
              <w:t>0.8654</w:t>
            </w:r>
          </w:p>
        </w:tc>
        <w:tc>
          <w:tcPr>
            <w:tcW w:w="733" w:type="pct"/>
            <w:vAlign w:val="center"/>
          </w:tcPr>
          <w:p w14:paraId="457E1B81">
            <w:pPr>
              <w:jc w:val="center"/>
              <w:rPr>
                <w:rFonts w:ascii="Times New Roman"/>
                <w:sz w:val="21"/>
                <w:szCs w:val="21"/>
              </w:rPr>
            </w:pPr>
            <w:r>
              <w:rPr>
                <w:rFonts w:hint="eastAsia" w:ascii="Times New Roman"/>
                <w:sz w:val="21"/>
                <w:szCs w:val="21"/>
              </w:rPr>
              <w:t>0.19</w:t>
            </w:r>
          </w:p>
        </w:tc>
        <w:tc>
          <w:tcPr>
            <w:tcW w:w="849" w:type="pct"/>
            <w:shd w:val="clear" w:color="auto" w:fill="auto"/>
            <w:vAlign w:val="center"/>
          </w:tcPr>
          <w:p w14:paraId="7B412458">
            <w:pPr>
              <w:jc w:val="center"/>
              <w:rPr>
                <w:rFonts w:ascii="Times New Roman"/>
                <w:sz w:val="21"/>
                <w:szCs w:val="21"/>
              </w:rPr>
            </w:pPr>
            <w:r>
              <w:rPr>
                <w:rFonts w:hint="eastAsia" w:ascii="Times New Roman"/>
                <w:sz w:val="21"/>
                <w:szCs w:val="21"/>
              </w:rPr>
              <w:t>0.0001</w:t>
            </w:r>
          </w:p>
        </w:tc>
        <w:tc>
          <w:tcPr>
            <w:tcW w:w="831" w:type="pct"/>
            <w:vAlign w:val="center"/>
          </w:tcPr>
          <w:p w14:paraId="343E7FC8">
            <w:pPr>
              <w:jc w:val="center"/>
              <w:rPr>
                <w:rFonts w:ascii="Times New Roman"/>
                <w:sz w:val="21"/>
                <w:szCs w:val="21"/>
              </w:rPr>
            </w:pPr>
            <w:r>
              <w:rPr>
                <w:rFonts w:hint="eastAsia" w:ascii="Times New Roman"/>
                <w:sz w:val="21"/>
                <w:szCs w:val="21"/>
              </w:rPr>
              <w:t>0.00</w:t>
            </w:r>
          </w:p>
        </w:tc>
      </w:tr>
      <w:tr w14:paraId="4BB5F00A">
        <w:tblPrEx>
          <w:tblCellMar>
            <w:top w:w="0" w:type="dxa"/>
            <w:left w:w="108" w:type="dxa"/>
            <w:bottom w:w="0" w:type="dxa"/>
            <w:right w:w="108" w:type="dxa"/>
          </w:tblCellMar>
        </w:tblPrEx>
        <w:trPr>
          <w:trHeight w:val="216" w:hRule="atLeast"/>
        </w:trPr>
        <w:tc>
          <w:tcPr>
            <w:tcW w:w="1667" w:type="pct"/>
            <w:vAlign w:val="center"/>
          </w:tcPr>
          <w:p w14:paraId="60FC225D">
            <w:pPr>
              <w:jc w:val="center"/>
              <w:rPr>
                <w:rFonts w:ascii="Times New Roman"/>
                <w:sz w:val="21"/>
                <w:szCs w:val="21"/>
              </w:rPr>
            </w:pPr>
            <w:r>
              <w:rPr>
                <w:rFonts w:ascii="Times New Roman"/>
                <w:sz w:val="21"/>
                <w:szCs w:val="21"/>
              </w:rPr>
              <w:t>600.0</w:t>
            </w:r>
          </w:p>
        </w:tc>
        <w:tc>
          <w:tcPr>
            <w:tcW w:w="919" w:type="pct"/>
            <w:vAlign w:val="center"/>
          </w:tcPr>
          <w:p w14:paraId="77BCF7D3">
            <w:pPr>
              <w:jc w:val="center"/>
              <w:rPr>
                <w:rFonts w:ascii="Times New Roman"/>
                <w:sz w:val="21"/>
                <w:szCs w:val="21"/>
              </w:rPr>
            </w:pPr>
            <w:r>
              <w:rPr>
                <w:rFonts w:hint="eastAsia" w:ascii="Times New Roman"/>
                <w:sz w:val="21"/>
                <w:szCs w:val="21"/>
              </w:rPr>
              <w:t>0.7293</w:t>
            </w:r>
          </w:p>
        </w:tc>
        <w:tc>
          <w:tcPr>
            <w:tcW w:w="733" w:type="pct"/>
            <w:vAlign w:val="center"/>
          </w:tcPr>
          <w:p w14:paraId="085A7B47">
            <w:pPr>
              <w:jc w:val="center"/>
              <w:rPr>
                <w:rFonts w:ascii="Times New Roman"/>
                <w:sz w:val="21"/>
                <w:szCs w:val="21"/>
              </w:rPr>
            </w:pPr>
            <w:r>
              <w:rPr>
                <w:rFonts w:hint="eastAsia" w:ascii="Times New Roman"/>
                <w:sz w:val="21"/>
                <w:szCs w:val="21"/>
              </w:rPr>
              <w:t>0.16</w:t>
            </w:r>
          </w:p>
        </w:tc>
        <w:tc>
          <w:tcPr>
            <w:tcW w:w="849" w:type="pct"/>
            <w:shd w:val="clear" w:color="auto" w:fill="auto"/>
            <w:vAlign w:val="center"/>
          </w:tcPr>
          <w:p w14:paraId="7596079D">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7BECB4C0">
            <w:pPr>
              <w:jc w:val="center"/>
              <w:rPr>
                <w:rFonts w:ascii="Times New Roman"/>
                <w:sz w:val="21"/>
                <w:szCs w:val="21"/>
              </w:rPr>
            </w:pPr>
            <w:r>
              <w:rPr>
                <w:rFonts w:hint="eastAsia" w:ascii="Times New Roman"/>
                <w:sz w:val="21"/>
                <w:szCs w:val="21"/>
              </w:rPr>
              <w:t>0.00</w:t>
            </w:r>
          </w:p>
        </w:tc>
      </w:tr>
      <w:tr w14:paraId="26CD6BA3">
        <w:tblPrEx>
          <w:tblCellMar>
            <w:top w:w="0" w:type="dxa"/>
            <w:left w:w="108" w:type="dxa"/>
            <w:bottom w:w="0" w:type="dxa"/>
            <w:right w:w="108" w:type="dxa"/>
          </w:tblCellMar>
        </w:tblPrEx>
        <w:trPr>
          <w:trHeight w:val="216" w:hRule="atLeast"/>
        </w:trPr>
        <w:tc>
          <w:tcPr>
            <w:tcW w:w="1667" w:type="pct"/>
            <w:vAlign w:val="center"/>
          </w:tcPr>
          <w:p w14:paraId="5F082BFD">
            <w:pPr>
              <w:jc w:val="center"/>
              <w:rPr>
                <w:rFonts w:ascii="Times New Roman"/>
                <w:sz w:val="21"/>
                <w:szCs w:val="21"/>
              </w:rPr>
            </w:pPr>
            <w:r>
              <w:rPr>
                <w:rFonts w:ascii="Times New Roman"/>
                <w:sz w:val="21"/>
                <w:szCs w:val="21"/>
              </w:rPr>
              <w:t>700.0</w:t>
            </w:r>
          </w:p>
        </w:tc>
        <w:tc>
          <w:tcPr>
            <w:tcW w:w="919" w:type="pct"/>
            <w:vAlign w:val="center"/>
          </w:tcPr>
          <w:p w14:paraId="01DE112E">
            <w:pPr>
              <w:jc w:val="center"/>
              <w:rPr>
                <w:rFonts w:ascii="Times New Roman"/>
                <w:sz w:val="21"/>
                <w:szCs w:val="21"/>
              </w:rPr>
            </w:pPr>
            <w:r>
              <w:rPr>
                <w:rFonts w:hint="eastAsia" w:ascii="Times New Roman"/>
                <w:sz w:val="21"/>
                <w:szCs w:val="21"/>
              </w:rPr>
              <w:t>0.6227</w:t>
            </w:r>
          </w:p>
        </w:tc>
        <w:tc>
          <w:tcPr>
            <w:tcW w:w="733" w:type="pct"/>
            <w:vAlign w:val="center"/>
          </w:tcPr>
          <w:p w14:paraId="0673B45F">
            <w:pPr>
              <w:jc w:val="center"/>
              <w:rPr>
                <w:rFonts w:ascii="Times New Roman"/>
                <w:sz w:val="21"/>
                <w:szCs w:val="21"/>
              </w:rPr>
            </w:pPr>
            <w:r>
              <w:rPr>
                <w:rFonts w:hint="eastAsia" w:ascii="Times New Roman"/>
                <w:sz w:val="21"/>
                <w:szCs w:val="21"/>
              </w:rPr>
              <w:t>0.14</w:t>
            </w:r>
          </w:p>
        </w:tc>
        <w:tc>
          <w:tcPr>
            <w:tcW w:w="849" w:type="pct"/>
            <w:shd w:val="clear" w:color="auto" w:fill="auto"/>
            <w:vAlign w:val="center"/>
          </w:tcPr>
          <w:p w14:paraId="71FCA35D">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1ECC9B3E">
            <w:pPr>
              <w:jc w:val="center"/>
              <w:rPr>
                <w:rFonts w:ascii="Times New Roman"/>
                <w:sz w:val="21"/>
                <w:szCs w:val="21"/>
              </w:rPr>
            </w:pPr>
            <w:r>
              <w:rPr>
                <w:rFonts w:hint="eastAsia" w:ascii="Times New Roman"/>
                <w:sz w:val="21"/>
                <w:szCs w:val="21"/>
              </w:rPr>
              <w:t>0.00</w:t>
            </w:r>
          </w:p>
        </w:tc>
      </w:tr>
      <w:tr w14:paraId="39A8211D">
        <w:tblPrEx>
          <w:tblCellMar>
            <w:top w:w="0" w:type="dxa"/>
            <w:left w:w="108" w:type="dxa"/>
            <w:bottom w:w="0" w:type="dxa"/>
            <w:right w:w="108" w:type="dxa"/>
          </w:tblCellMar>
        </w:tblPrEx>
        <w:trPr>
          <w:trHeight w:val="216" w:hRule="atLeast"/>
        </w:trPr>
        <w:tc>
          <w:tcPr>
            <w:tcW w:w="1667" w:type="pct"/>
            <w:vAlign w:val="center"/>
          </w:tcPr>
          <w:p w14:paraId="10EA43E1">
            <w:pPr>
              <w:jc w:val="center"/>
              <w:rPr>
                <w:rFonts w:ascii="Times New Roman"/>
                <w:sz w:val="21"/>
                <w:szCs w:val="21"/>
              </w:rPr>
            </w:pPr>
            <w:r>
              <w:rPr>
                <w:rFonts w:ascii="Times New Roman"/>
                <w:sz w:val="21"/>
                <w:szCs w:val="21"/>
              </w:rPr>
              <w:t>800.0</w:t>
            </w:r>
          </w:p>
        </w:tc>
        <w:tc>
          <w:tcPr>
            <w:tcW w:w="919" w:type="pct"/>
            <w:vAlign w:val="center"/>
          </w:tcPr>
          <w:p w14:paraId="02E6353B">
            <w:pPr>
              <w:jc w:val="center"/>
              <w:rPr>
                <w:rFonts w:ascii="Times New Roman"/>
                <w:sz w:val="21"/>
                <w:szCs w:val="21"/>
              </w:rPr>
            </w:pPr>
            <w:r>
              <w:rPr>
                <w:rFonts w:hint="eastAsia" w:ascii="Times New Roman"/>
                <w:sz w:val="21"/>
                <w:szCs w:val="21"/>
              </w:rPr>
              <w:t>0.5386</w:t>
            </w:r>
          </w:p>
        </w:tc>
        <w:tc>
          <w:tcPr>
            <w:tcW w:w="733" w:type="pct"/>
            <w:vAlign w:val="center"/>
          </w:tcPr>
          <w:p w14:paraId="37DEB130">
            <w:pPr>
              <w:jc w:val="center"/>
              <w:rPr>
                <w:rFonts w:ascii="Times New Roman"/>
                <w:sz w:val="21"/>
                <w:szCs w:val="21"/>
              </w:rPr>
            </w:pPr>
            <w:r>
              <w:rPr>
                <w:rFonts w:hint="eastAsia" w:ascii="Times New Roman"/>
                <w:sz w:val="21"/>
                <w:szCs w:val="21"/>
              </w:rPr>
              <w:t>0.12</w:t>
            </w:r>
          </w:p>
        </w:tc>
        <w:tc>
          <w:tcPr>
            <w:tcW w:w="849" w:type="pct"/>
            <w:shd w:val="clear" w:color="auto" w:fill="auto"/>
            <w:vAlign w:val="center"/>
          </w:tcPr>
          <w:p w14:paraId="7CD87A9A">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49719EB1">
            <w:pPr>
              <w:jc w:val="center"/>
              <w:rPr>
                <w:rFonts w:ascii="Times New Roman"/>
                <w:sz w:val="21"/>
                <w:szCs w:val="21"/>
              </w:rPr>
            </w:pPr>
            <w:r>
              <w:rPr>
                <w:rFonts w:hint="eastAsia" w:ascii="Times New Roman"/>
                <w:sz w:val="21"/>
                <w:szCs w:val="21"/>
              </w:rPr>
              <w:t>0.00</w:t>
            </w:r>
          </w:p>
        </w:tc>
      </w:tr>
      <w:tr w14:paraId="21C0A095">
        <w:tblPrEx>
          <w:tblCellMar>
            <w:top w:w="0" w:type="dxa"/>
            <w:left w:w="108" w:type="dxa"/>
            <w:bottom w:w="0" w:type="dxa"/>
            <w:right w:w="108" w:type="dxa"/>
          </w:tblCellMar>
        </w:tblPrEx>
        <w:trPr>
          <w:trHeight w:val="216" w:hRule="atLeast"/>
        </w:trPr>
        <w:tc>
          <w:tcPr>
            <w:tcW w:w="1667" w:type="pct"/>
            <w:vAlign w:val="center"/>
          </w:tcPr>
          <w:p w14:paraId="54EE3C6F">
            <w:pPr>
              <w:jc w:val="center"/>
              <w:rPr>
                <w:rFonts w:ascii="Times New Roman"/>
                <w:sz w:val="21"/>
                <w:szCs w:val="21"/>
              </w:rPr>
            </w:pPr>
            <w:r>
              <w:rPr>
                <w:rFonts w:ascii="Times New Roman"/>
                <w:sz w:val="21"/>
                <w:szCs w:val="21"/>
              </w:rPr>
              <w:t>900.0</w:t>
            </w:r>
          </w:p>
        </w:tc>
        <w:tc>
          <w:tcPr>
            <w:tcW w:w="919" w:type="pct"/>
            <w:vAlign w:val="center"/>
          </w:tcPr>
          <w:p w14:paraId="75DBC66B">
            <w:pPr>
              <w:jc w:val="center"/>
              <w:rPr>
                <w:rFonts w:ascii="Times New Roman"/>
                <w:sz w:val="21"/>
                <w:szCs w:val="21"/>
              </w:rPr>
            </w:pPr>
            <w:r>
              <w:rPr>
                <w:rFonts w:hint="eastAsia" w:ascii="Times New Roman"/>
                <w:sz w:val="21"/>
                <w:szCs w:val="21"/>
              </w:rPr>
              <w:t>0.4715</w:t>
            </w:r>
          </w:p>
        </w:tc>
        <w:tc>
          <w:tcPr>
            <w:tcW w:w="733" w:type="pct"/>
            <w:vAlign w:val="center"/>
          </w:tcPr>
          <w:p w14:paraId="4F3F70DF">
            <w:pPr>
              <w:jc w:val="center"/>
              <w:rPr>
                <w:rFonts w:ascii="Times New Roman"/>
                <w:sz w:val="21"/>
                <w:szCs w:val="21"/>
              </w:rPr>
            </w:pPr>
            <w:r>
              <w:rPr>
                <w:rFonts w:hint="eastAsia" w:ascii="Times New Roman"/>
                <w:sz w:val="21"/>
                <w:szCs w:val="21"/>
              </w:rPr>
              <w:t>0.1</w:t>
            </w:r>
          </w:p>
        </w:tc>
        <w:tc>
          <w:tcPr>
            <w:tcW w:w="849" w:type="pct"/>
            <w:shd w:val="clear" w:color="auto" w:fill="auto"/>
            <w:vAlign w:val="center"/>
          </w:tcPr>
          <w:p w14:paraId="0A3A3DB6">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4EFE4BAD">
            <w:pPr>
              <w:jc w:val="center"/>
              <w:rPr>
                <w:rFonts w:ascii="Times New Roman"/>
                <w:sz w:val="21"/>
                <w:szCs w:val="21"/>
              </w:rPr>
            </w:pPr>
            <w:r>
              <w:rPr>
                <w:rFonts w:hint="eastAsia" w:ascii="Times New Roman"/>
                <w:sz w:val="21"/>
                <w:szCs w:val="21"/>
              </w:rPr>
              <w:t>0.00</w:t>
            </w:r>
          </w:p>
        </w:tc>
      </w:tr>
      <w:tr w14:paraId="282FE195">
        <w:tblPrEx>
          <w:tblCellMar>
            <w:top w:w="0" w:type="dxa"/>
            <w:left w:w="108" w:type="dxa"/>
            <w:bottom w:w="0" w:type="dxa"/>
            <w:right w:w="108" w:type="dxa"/>
          </w:tblCellMar>
        </w:tblPrEx>
        <w:trPr>
          <w:trHeight w:val="216" w:hRule="atLeast"/>
        </w:trPr>
        <w:tc>
          <w:tcPr>
            <w:tcW w:w="1667" w:type="pct"/>
            <w:vAlign w:val="center"/>
          </w:tcPr>
          <w:p w14:paraId="36565B05">
            <w:pPr>
              <w:jc w:val="center"/>
              <w:rPr>
                <w:rFonts w:ascii="Times New Roman"/>
                <w:sz w:val="21"/>
                <w:szCs w:val="21"/>
              </w:rPr>
            </w:pPr>
            <w:r>
              <w:rPr>
                <w:rFonts w:ascii="Times New Roman"/>
                <w:sz w:val="21"/>
                <w:szCs w:val="21"/>
              </w:rPr>
              <w:t>1000.0</w:t>
            </w:r>
          </w:p>
        </w:tc>
        <w:tc>
          <w:tcPr>
            <w:tcW w:w="919" w:type="pct"/>
            <w:vAlign w:val="center"/>
          </w:tcPr>
          <w:p w14:paraId="7D241251">
            <w:pPr>
              <w:jc w:val="center"/>
              <w:rPr>
                <w:rFonts w:ascii="Times New Roman"/>
                <w:sz w:val="21"/>
                <w:szCs w:val="21"/>
              </w:rPr>
            </w:pPr>
            <w:r>
              <w:rPr>
                <w:rFonts w:hint="eastAsia" w:ascii="Times New Roman"/>
                <w:sz w:val="21"/>
                <w:szCs w:val="21"/>
              </w:rPr>
              <w:t>0.4171</w:t>
            </w:r>
          </w:p>
        </w:tc>
        <w:tc>
          <w:tcPr>
            <w:tcW w:w="733" w:type="pct"/>
            <w:vAlign w:val="center"/>
          </w:tcPr>
          <w:p w14:paraId="2D85DAA3">
            <w:pPr>
              <w:jc w:val="center"/>
              <w:rPr>
                <w:rFonts w:ascii="Times New Roman"/>
                <w:sz w:val="21"/>
                <w:szCs w:val="21"/>
              </w:rPr>
            </w:pPr>
            <w:r>
              <w:rPr>
                <w:rFonts w:hint="eastAsia" w:ascii="Times New Roman"/>
                <w:sz w:val="21"/>
                <w:szCs w:val="21"/>
              </w:rPr>
              <w:t>0.09</w:t>
            </w:r>
          </w:p>
        </w:tc>
        <w:tc>
          <w:tcPr>
            <w:tcW w:w="849" w:type="pct"/>
            <w:shd w:val="clear" w:color="auto" w:fill="auto"/>
            <w:vAlign w:val="center"/>
          </w:tcPr>
          <w:p w14:paraId="355FB845">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3CCF31C5">
            <w:pPr>
              <w:jc w:val="center"/>
              <w:rPr>
                <w:rFonts w:ascii="Times New Roman"/>
                <w:sz w:val="21"/>
                <w:szCs w:val="21"/>
              </w:rPr>
            </w:pPr>
            <w:r>
              <w:rPr>
                <w:rFonts w:hint="eastAsia" w:ascii="Times New Roman"/>
                <w:sz w:val="21"/>
                <w:szCs w:val="21"/>
              </w:rPr>
              <w:t>0.00</w:t>
            </w:r>
          </w:p>
        </w:tc>
      </w:tr>
      <w:tr w14:paraId="3B897415">
        <w:tblPrEx>
          <w:tblCellMar>
            <w:top w:w="0" w:type="dxa"/>
            <w:left w:w="108" w:type="dxa"/>
            <w:bottom w:w="0" w:type="dxa"/>
            <w:right w:w="108" w:type="dxa"/>
          </w:tblCellMar>
        </w:tblPrEx>
        <w:trPr>
          <w:trHeight w:val="216" w:hRule="atLeast"/>
        </w:trPr>
        <w:tc>
          <w:tcPr>
            <w:tcW w:w="1667" w:type="pct"/>
            <w:vAlign w:val="center"/>
          </w:tcPr>
          <w:p w14:paraId="4415C3BA">
            <w:pPr>
              <w:jc w:val="center"/>
              <w:rPr>
                <w:rFonts w:ascii="Times New Roman"/>
                <w:sz w:val="21"/>
                <w:szCs w:val="21"/>
              </w:rPr>
            </w:pPr>
            <w:r>
              <w:rPr>
                <w:rFonts w:ascii="Times New Roman"/>
                <w:sz w:val="21"/>
                <w:szCs w:val="21"/>
              </w:rPr>
              <w:t>1200.0</w:t>
            </w:r>
          </w:p>
        </w:tc>
        <w:tc>
          <w:tcPr>
            <w:tcW w:w="919" w:type="pct"/>
            <w:vAlign w:val="center"/>
          </w:tcPr>
          <w:p w14:paraId="3F369CFA">
            <w:pPr>
              <w:jc w:val="center"/>
              <w:rPr>
                <w:rFonts w:ascii="Times New Roman"/>
                <w:sz w:val="21"/>
                <w:szCs w:val="21"/>
              </w:rPr>
            </w:pPr>
            <w:r>
              <w:rPr>
                <w:rFonts w:hint="eastAsia" w:ascii="Times New Roman"/>
                <w:sz w:val="21"/>
                <w:szCs w:val="21"/>
              </w:rPr>
              <w:t>0.3366</w:t>
            </w:r>
          </w:p>
        </w:tc>
        <w:tc>
          <w:tcPr>
            <w:tcW w:w="733" w:type="pct"/>
            <w:vAlign w:val="center"/>
          </w:tcPr>
          <w:p w14:paraId="3093C61C">
            <w:pPr>
              <w:jc w:val="center"/>
              <w:rPr>
                <w:rFonts w:ascii="Times New Roman"/>
                <w:sz w:val="21"/>
                <w:szCs w:val="21"/>
              </w:rPr>
            </w:pPr>
            <w:r>
              <w:rPr>
                <w:rFonts w:hint="eastAsia" w:ascii="Times New Roman"/>
                <w:sz w:val="21"/>
                <w:szCs w:val="21"/>
              </w:rPr>
              <w:t>0.07</w:t>
            </w:r>
          </w:p>
        </w:tc>
        <w:tc>
          <w:tcPr>
            <w:tcW w:w="849" w:type="pct"/>
            <w:shd w:val="clear" w:color="auto" w:fill="auto"/>
            <w:vAlign w:val="center"/>
          </w:tcPr>
          <w:p w14:paraId="278A223D">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600C1A5C">
            <w:pPr>
              <w:jc w:val="center"/>
              <w:rPr>
                <w:rFonts w:ascii="Times New Roman"/>
                <w:sz w:val="21"/>
                <w:szCs w:val="21"/>
              </w:rPr>
            </w:pPr>
            <w:r>
              <w:rPr>
                <w:rFonts w:hint="eastAsia" w:ascii="Times New Roman"/>
                <w:sz w:val="21"/>
                <w:szCs w:val="21"/>
              </w:rPr>
              <w:t>0.00</w:t>
            </w:r>
          </w:p>
        </w:tc>
      </w:tr>
      <w:tr w14:paraId="31F72829">
        <w:tblPrEx>
          <w:tblCellMar>
            <w:top w:w="0" w:type="dxa"/>
            <w:left w:w="108" w:type="dxa"/>
            <w:bottom w:w="0" w:type="dxa"/>
            <w:right w:w="108" w:type="dxa"/>
          </w:tblCellMar>
        </w:tblPrEx>
        <w:trPr>
          <w:trHeight w:val="216" w:hRule="atLeast"/>
        </w:trPr>
        <w:tc>
          <w:tcPr>
            <w:tcW w:w="1667" w:type="pct"/>
            <w:vAlign w:val="center"/>
          </w:tcPr>
          <w:p w14:paraId="618DC6E8">
            <w:pPr>
              <w:jc w:val="center"/>
              <w:rPr>
                <w:rFonts w:ascii="Times New Roman"/>
                <w:sz w:val="21"/>
                <w:szCs w:val="21"/>
              </w:rPr>
            </w:pPr>
            <w:r>
              <w:rPr>
                <w:rFonts w:ascii="Times New Roman"/>
                <w:sz w:val="21"/>
                <w:szCs w:val="21"/>
              </w:rPr>
              <w:t>1400.0</w:t>
            </w:r>
          </w:p>
        </w:tc>
        <w:tc>
          <w:tcPr>
            <w:tcW w:w="919" w:type="pct"/>
            <w:vAlign w:val="center"/>
          </w:tcPr>
          <w:p w14:paraId="30B8BB03">
            <w:pPr>
              <w:jc w:val="center"/>
              <w:rPr>
                <w:rFonts w:ascii="Times New Roman"/>
                <w:sz w:val="21"/>
                <w:szCs w:val="21"/>
              </w:rPr>
            </w:pPr>
            <w:r>
              <w:rPr>
                <w:rFonts w:hint="eastAsia" w:ascii="Times New Roman"/>
                <w:sz w:val="21"/>
                <w:szCs w:val="21"/>
              </w:rPr>
              <w:t>0.2822</w:t>
            </w:r>
          </w:p>
        </w:tc>
        <w:tc>
          <w:tcPr>
            <w:tcW w:w="733" w:type="pct"/>
            <w:vAlign w:val="center"/>
          </w:tcPr>
          <w:p w14:paraId="3CEB02C8">
            <w:pPr>
              <w:jc w:val="center"/>
              <w:rPr>
                <w:rFonts w:ascii="Times New Roman"/>
                <w:sz w:val="21"/>
                <w:szCs w:val="21"/>
              </w:rPr>
            </w:pPr>
            <w:r>
              <w:rPr>
                <w:rFonts w:hint="eastAsia" w:ascii="Times New Roman"/>
                <w:sz w:val="21"/>
                <w:szCs w:val="21"/>
              </w:rPr>
              <w:t>0.06</w:t>
            </w:r>
          </w:p>
        </w:tc>
        <w:tc>
          <w:tcPr>
            <w:tcW w:w="849" w:type="pct"/>
            <w:shd w:val="clear" w:color="auto" w:fill="auto"/>
            <w:vAlign w:val="center"/>
          </w:tcPr>
          <w:p w14:paraId="473C649F">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79F25F87">
            <w:pPr>
              <w:jc w:val="center"/>
              <w:rPr>
                <w:rFonts w:ascii="Times New Roman"/>
                <w:sz w:val="21"/>
                <w:szCs w:val="21"/>
              </w:rPr>
            </w:pPr>
            <w:r>
              <w:rPr>
                <w:rFonts w:hint="eastAsia" w:ascii="Times New Roman"/>
                <w:sz w:val="21"/>
                <w:szCs w:val="21"/>
              </w:rPr>
              <w:t>0.00</w:t>
            </w:r>
          </w:p>
        </w:tc>
      </w:tr>
      <w:tr w14:paraId="6395A4D1">
        <w:tblPrEx>
          <w:tblCellMar>
            <w:top w:w="0" w:type="dxa"/>
            <w:left w:w="108" w:type="dxa"/>
            <w:bottom w:w="0" w:type="dxa"/>
            <w:right w:w="108" w:type="dxa"/>
          </w:tblCellMar>
        </w:tblPrEx>
        <w:trPr>
          <w:trHeight w:val="216" w:hRule="atLeast"/>
        </w:trPr>
        <w:tc>
          <w:tcPr>
            <w:tcW w:w="1667" w:type="pct"/>
            <w:vAlign w:val="center"/>
          </w:tcPr>
          <w:p w14:paraId="1A96A1EF">
            <w:pPr>
              <w:jc w:val="center"/>
              <w:rPr>
                <w:rFonts w:ascii="Times New Roman"/>
                <w:sz w:val="21"/>
                <w:szCs w:val="21"/>
              </w:rPr>
            </w:pPr>
            <w:r>
              <w:rPr>
                <w:rFonts w:ascii="Times New Roman"/>
                <w:sz w:val="21"/>
                <w:szCs w:val="21"/>
              </w:rPr>
              <w:t>1600.0</w:t>
            </w:r>
          </w:p>
        </w:tc>
        <w:tc>
          <w:tcPr>
            <w:tcW w:w="919" w:type="pct"/>
            <w:vAlign w:val="center"/>
          </w:tcPr>
          <w:p w14:paraId="71A43004">
            <w:pPr>
              <w:jc w:val="center"/>
              <w:rPr>
                <w:rFonts w:ascii="Times New Roman"/>
                <w:sz w:val="21"/>
                <w:szCs w:val="21"/>
              </w:rPr>
            </w:pPr>
            <w:r>
              <w:rPr>
                <w:rFonts w:hint="eastAsia" w:ascii="Times New Roman"/>
                <w:sz w:val="21"/>
                <w:szCs w:val="21"/>
              </w:rPr>
              <w:t>0.2409</w:t>
            </w:r>
          </w:p>
        </w:tc>
        <w:tc>
          <w:tcPr>
            <w:tcW w:w="733" w:type="pct"/>
            <w:vAlign w:val="center"/>
          </w:tcPr>
          <w:p w14:paraId="73E47064">
            <w:pPr>
              <w:jc w:val="center"/>
              <w:rPr>
                <w:rFonts w:ascii="Times New Roman"/>
                <w:sz w:val="21"/>
                <w:szCs w:val="21"/>
              </w:rPr>
            </w:pPr>
            <w:r>
              <w:rPr>
                <w:rFonts w:hint="eastAsia" w:ascii="Times New Roman"/>
                <w:sz w:val="21"/>
                <w:szCs w:val="21"/>
              </w:rPr>
              <w:t>0.05</w:t>
            </w:r>
          </w:p>
        </w:tc>
        <w:tc>
          <w:tcPr>
            <w:tcW w:w="849" w:type="pct"/>
            <w:shd w:val="clear" w:color="auto" w:fill="auto"/>
            <w:vAlign w:val="center"/>
          </w:tcPr>
          <w:p w14:paraId="3DB1E301">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2470BA76">
            <w:pPr>
              <w:jc w:val="center"/>
              <w:rPr>
                <w:rFonts w:ascii="Times New Roman"/>
                <w:sz w:val="21"/>
                <w:szCs w:val="21"/>
              </w:rPr>
            </w:pPr>
            <w:r>
              <w:rPr>
                <w:rFonts w:hint="eastAsia" w:ascii="Times New Roman"/>
                <w:sz w:val="21"/>
                <w:szCs w:val="21"/>
              </w:rPr>
              <w:t>0.00</w:t>
            </w:r>
          </w:p>
        </w:tc>
      </w:tr>
      <w:tr w14:paraId="75043735">
        <w:tblPrEx>
          <w:tblCellMar>
            <w:top w:w="0" w:type="dxa"/>
            <w:left w:w="108" w:type="dxa"/>
            <w:bottom w:w="0" w:type="dxa"/>
            <w:right w:w="108" w:type="dxa"/>
          </w:tblCellMar>
        </w:tblPrEx>
        <w:trPr>
          <w:trHeight w:val="216" w:hRule="atLeast"/>
        </w:trPr>
        <w:tc>
          <w:tcPr>
            <w:tcW w:w="1667" w:type="pct"/>
            <w:vAlign w:val="center"/>
          </w:tcPr>
          <w:p w14:paraId="10F4FEA7">
            <w:pPr>
              <w:jc w:val="center"/>
              <w:rPr>
                <w:rFonts w:ascii="Times New Roman"/>
                <w:sz w:val="21"/>
                <w:szCs w:val="21"/>
              </w:rPr>
            </w:pPr>
            <w:r>
              <w:rPr>
                <w:rFonts w:ascii="Times New Roman"/>
                <w:sz w:val="21"/>
                <w:szCs w:val="21"/>
              </w:rPr>
              <w:t>1800.0</w:t>
            </w:r>
          </w:p>
        </w:tc>
        <w:tc>
          <w:tcPr>
            <w:tcW w:w="919" w:type="pct"/>
            <w:vAlign w:val="center"/>
          </w:tcPr>
          <w:p w14:paraId="461F78A8">
            <w:pPr>
              <w:jc w:val="center"/>
              <w:rPr>
                <w:rFonts w:ascii="Times New Roman"/>
                <w:sz w:val="21"/>
                <w:szCs w:val="21"/>
              </w:rPr>
            </w:pPr>
            <w:r>
              <w:rPr>
                <w:rFonts w:hint="eastAsia" w:ascii="Times New Roman"/>
                <w:sz w:val="21"/>
                <w:szCs w:val="21"/>
              </w:rPr>
              <w:t>0.2089</w:t>
            </w:r>
          </w:p>
        </w:tc>
        <w:tc>
          <w:tcPr>
            <w:tcW w:w="733" w:type="pct"/>
            <w:vAlign w:val="center"/>
          </w:tcPr>
          <w:p w14:paraId="406BB88E">
            <w:pPr>
              <w:jc w:val="center"/>
              <w:rPr>
                <w:rFonts w:ascii="Times New Roman"/>
                <w:sz w:val="21"/>
                <w:szCs w:val="21"/>
              </w:rPr>
            </w:pPr>
            <w:r>
              <w:rPr>
                <w:rFonts w:hint="eastAsia" w:ascii="Times New Roman"/>
                <w:sz w:val="21"/>
                <w:szCs w:val="21"/>
              </w:rPr>
              <w:t>0.05</w:t>
            </w:r>
          </w:p>
        </w:tc>
        <w:tc>
          <w:tcPr>
            <w:tcW w:w="849" w:type="pct"/>
            <w:shd w:val="clear" w:color="auto" w:fill="auto"/>
            <w:vAlign w:val="center"/>
          </w:tcPr>
          <w:p w14:paraId="5C512912">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0C08E444">
            <w:pPr>
              <w:jc w:val="center"/>
              <w:rPr>
                <w:rFonts w:ascii="Times New Roman"/>
                <w:sz w:val="21"/>
                <w:szCs w:val="21"/>
              </w:rPr>
            </w:pPr>
            <w:r>
              <w:rPr>
                <w:rFonts w:hint="eastAsia" w:ascii="Times New Roman"/>
                <w:sz w:val="21"/>
                <w:szCs w:val="21"/>
              </w:rPr>
              <w:t>0.00</w:t>
            </w:r>
          </w:p>
        </w:tc>
      </w:tr>
      <w:tr w14:paraId="15B5DDC5">
        <w:tblPrEx>
          <w:tblCellMar>
            <w:top w:w="0" w:type="dxa"/>
            <w:left w:w="108" w:type="dxa"/>
            <w:bottom w:w="0" w:type="dxa"/>
            <w:right w:w="108" w:type="dxa"/>
          </w:tblCellMar>
        </w:tblPrEx>
        <w:trPr>
          <w:trHeight w:val="216" w:hRule="atLeast"/>
        </w:trPr>
        <w:tc>
          <w:tcPr>
            <w:tcW w:w="1667" w:type="pct"/>
            <w:vAlign w:val="center"/>
          </w:tcPr>
          <w:p w14:paraId="26AC42CC">
            <w:pPr>
              <w:jc w:val="center"/>
              <w:rPr>
                <w:rFonts w:ascii="Times New Roman"/>
                <w:sz w:val="21"/>
                <w:szCs w:val="21"/>
              </w:rPr>
            </w:pPr>
            <w:r>
              <w:rPr>
                <w:rFonts w:ascii="Times New Roman"/>
                <w:sz w:val="21"/>
                <w:szCs w:val="21"/>
              </w:rPr>
              <w:t>2000.0</w:t>
            </w:r>
          </w:p>
        </w:tc>
        <w:tc>
          <w:tcPr>
            <w:tcW w:w="919" w:type="pct"/>
            <w:vAlign w:val="center"/>
          </w:tcPr>
          <w:p w14:paraId="7D8B272F">
            <w:pPr>
              <w:jc w:val="center"/>
              <w:rPr>
                <w:rFonts w:ascii="Times New Roman"/>
                <w:sz w:val="21"/>
                <w:szCs w:val="21"/>
              </w:rPr>
            </w:pPr>
            <w:r>
              <w:rPr>
                <w:rFonts w:hint="eastAsia" w:ascii="Times New Roman"/>
                <w:sz w:val="21"/>
                <w:szCs w:val="21"/>
              </w:rPr>
              <w:t>0.1834</w:t>
            </w:r>
          </w:p>
        </w:tc>
        <w:tc>
          <w:tcPr>
            <w:tcW w:w="733" w:type="pct"/>
            <w:vAlign w:val="center"/>
          </w:tcPr>
          <w:p w14:paraId="2CF72854">
            <w:pPr>
              <w:jc w:val="center"/>
              <w:rPr>
                <w:rFonts w:ascii="Times New Roman"/>
                <w:sz w:val="21"/>
                <w:szCs w:val="21"/>
              </w:rPr>
            </w:pPr>
            <w:r>
              <w:rPr>
                <w:rFonts w:hint="eastAsia" w:ascii="Times New Roman"/>
                <w:sz w:val="21"/>
                <w:szCs w:val="21"/>
              </w:rPr>
              <w:t>0.04</w:t>
            </w:r>
          </w:p>
        </w:tc>
        <w:tc>
          <w:tcPr>
            <w:tcW w:w="849" w:type="pct"/>
            <w:shd w:val="clear" w:color="auto" w:fill="auto"/>
            <w:vAlign w:val="center"/>
          </w:tcPr>
          <w:p w14:paraId="55C35E65">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26370458">
            <w:pPr>
              <w:jc w:val="center"/>
              <w:rPr>
                <w:rFonts w:ascii="Times New Roman"/>
                <w:sz w:val="21"/>
                <w:szCs w:val="21"/>
              </w:rPr>
            </w:pPr>
            <w:r>
              <w:rPr>
                <w:rFonts w:hint="eastAsia" w:ascii="Times New Roman"/>
                <w:sz w:val="21"/>
                <w:szCs w:val="21"/>
              </w:rPr>
              <w:t>0.00</w:t>
            </w:r>
          </w:p>
        </w:tc>
      </w:tr>
      <w:tr w14:paraId="2AE9938C">
        <w:tblPrEx>
          <w:tblCellMar>
            <w:top w:w="0" w:type="dxa"/>
            <w:left w:w="108" w:type="dxa"/>
            <w:bottom w:w="0" w:type="dxa"/>
            <w:right w:w="108" w:type="dxa"/>
          </w:tblCellMar>
        </w:tblPrEx>
        <w:trPr>
          <w:trHeight w:val="216" w:hRule="atLeast"/>
        </w:trPr>
        <w:tc>
          <w:tcPr>
            <w:tcW w:w="1667" w:type="pct"/>
            <w:vAlign w:val="center"/>
          </w:tcPr>
          <w:p w14:paraId="7C496328">
            <w:pPr>
              <w:jc w:val="center"/>
              <w:rPr>
                <w:rFonts w:ascii="Times New Roman"/>
                <w:sz w:val="21"/>
                <w:szCs w:val="21"/>
              </w:rPr>
            </w:pPr>
            <w:r>
              <w:rPr>
                <w:rFonts w:ascii="Times New Roman"/>
                <w:sz w:val="21"/>
                <w:szCs w:val="21"/>
              </w:rPr>
              <w:t>2500.0</w:t>
            </w:r>
          </w:p>
        </w:tc>
        <w:tc>
          <w:tcPr>
            <w:tcW w:w="919" w:type="pct"/>
            <w:vAlign w:val="center"/>
          </w:tcPr>
          <w:p w14:paraId="707DED57">
            <w:pPr>
              <w:jc w:val="center"/>
              <w:rPr>
                <w:rFonts w:ascii="Times New Roman"/>
                <w:sz w:val="21"/>
                <w:szCs w:val="21"/>
              </w:rPr>
            </w:pPr>
            <w:r>
              <w:rPr>
                <w:rFonts w:hint="eastAsia" w:ascii="Times New Roman"/>
                <w:sz w:val="21"/>
                <w:szCs w:val="21"/>
              </w:rPr>
              <w:t>0.1383</w:t>
            </w:r>
          </w:p>
        </w:tc>
        <w:tc>
          <w:tcPr>
            <w:tcW w:w="733" w:type="pct"/>
            <w:vAlign w:val="center"/>
          </w:tcPr>
          <w:p w14:paraId="35DD7387">
            <w:pPr>
              <w:jc w:val="center"/>
              <w:rPr>
                <w:rFonts w:ascii="Times New Roman"/>
                <w:sz w:val="21"/>
                <w:szCs w:val="21"/>
              </w:rPr>
            </w:pPr>
            <w:r>
              <w:rPr>
                <w:rFonts w:hint="eastAsia" w:ascii="Times New Roman"/>
                <w:sz w:val="21"/>
                <w:szCs w:val="21"/>
              </w:rPr>
              <w:t>0.03</w:t>
            </w:r>
          </w:p>
        </w:tc>
        <w:tc>
          <w:tcPr>
            <w:tcW w:w="849" w:type="pct"/>
            <w:shd w:val="clear" w:color="auto" w:fill="auto"/>
            <w:vAlign w:val="center"/>
          </w:tcPr>
          <w:p w14:paraId="5D95F477">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5714ACC4">
            <w:pPr>
              <w:jc w:val="center"/>
              <w:rPr>
                <w:rFonts w:ascii="Times New Roman"/>
                <w:sz w:val="21"/>
                <w:szCs w:val="21"/>
              </w:rPr>
            </w:pPr>
            <w:r>
              <w:rPr>
                <w:rFonts w:hint="eastAsia" w:ascii="Times New Roman"/>
                <w:sz w:val="21"/>
                <w:szCs w:val="21"/>
              </w:rPr>
              <w:t>0.00</w:t>
            </w:r>
          </w:p>
        </w:tc>
      </w:tr>
      <w:tr w14:paraId="08D6162A">
        <w:tblPrEx>
          <w:tblCellMar>
            <w:top w:w="0" w:type="dxa"/>
            <w:left w:w="108" w:type="dxa"/>
            <w:bottom w:w="0" w:type="dxa"/>
            <w:right w:w="108" w:type="dxa"/>
          </w:tblCellMar>
        </w:tblPrEx>
        <w:trPr>
          <w:trHeight w:val="216" w:hRule="atLeast"/>
        </w:trPr>
        <w:tc>
          <w:tcPr>
            <w:tcW w:w="1667" w:type="pct"/>
            <w:vAlign w:val="center"/>
          </w:tcPr>
          <w:p w14:paraId="4275F552">
            <w:pPr>
              <w:jc w:val="center"/>
              <w:rPr>
                <w:rFonts w:ascii="Times New Roman"/>
                <w:sz w:val="21"/>
                <w:szCs w:val="21"/>
              </w:rPr>
            </w:pPr>
            <w:r>
              <w:rPr>
                <w:rFonts w:ascii="Times New Roman"/>
                <w:sz w:val="21"/>
                <w:szCs w:val="21"/>
              </w:rPr>
              <w:t>3000.0</w:t>
            </w:r>
          </w:p>
        </w:tc>
        <w:tc>
          <w:tcPr>
            <w:tcW w:w="919" w:type="pct"/>
            <w:vAlign w:val="center"/>
          </w:tcPr>
          <w:p w14:paraId="2F3CAED3">
            <w:pPr>
              <w:jc w:val="center"/>
              <w:rPr>
                <w:rFonts w:ascii="Times New Roman"/>
                <w:sz w:val="21"/>
                <w:szCs w:val="21"/>
              </w:rPr>
            </w:pPr>
            <w:r>
              <w:rPr>
                <w:rFonts w:hint="eastAsia" w:ascii="Times New Roman"/>
                <w:sz w:val="21"/>
                <w:szCs w:val="21"/>
              </w:rPr>
              <w:t>0.1093</w:t>
            </w:r>
          </w:p>
        </w:tc>
        <w:tc>
          <w:tcPr>
            <w:tcW w:w="733" w:type="pct"/>
            <w:vAlign w:val="center"/>
          </w:tcPr>
          <w:p w14:paraId="706FA77E">
            <w:pPr>
              <w:jc w:val="center"/>
              <w:rPr>
                <w:rFonts w:ascii="Times New Roman"/>
                <w:sz w:val="21"/>
                <w:szCs w:val="21"/>
              </w:rPr>
            </w:pPr>
            <w:r>
              <w:rPr>
                <w:rFonts w:hint="eastAsia" w:ascii="Times New Roman"/>
                <w:sz w:val="21"/>
                <w:szCs w:val="21"/>
              </w:rPr>
              <w:t>0.02</w:t>
            </w:r>
          </w:p>
        </w:tc>
        <w:tc>
          <w:tcPr>
            <w:tcW w:w="849" w:type="pct"/>
            <w:shd w:val="clear" w:color="auto" w:fill="auto"/>
            <w:vAlign w:val="center"/>
          </w:tcPr>
          <w:p w14:paraId="71735273">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39126D83">
            <w:pPr>
              <w:jc w:val="center"/>
              <w:rPr>
                <w:rFonts w:ascii="Times New Roman"/>
                <w:sz w:val="21"/>
                <w:szCs w:val="21"/>
              </w:rPr>
            </w:pPr>
            <w:r>
              <w:rPr>
                <w:rFonts w:hint="eastAsia" w:ascii="Times New Roman"/>
                <w:sz w:val="21"/>
                <w:szCs w:val="21"/>
              </w:rPr>
              <w:t>0.00</w:t>
            </w:r>
          </w:p>
        </w:tc>
      </w:tr>
      <w:tr w14:paraId="7AD13757">
        <w:tblPrEx>
          <w:tblCellMar>
            <w:top w:w="0" w:type="dxa"/>
            <w:left w:w="108" w:type="dxa"/>
            <w:bottom w:w="0" w:type="dxa"/>
            <w:right w:w="108" w:type="dxa"/>
          </w:tblCellMar>
        </w:tblPrEx>
        <w:trPr>
          <w:trHeight w:val="216" w:hRule="atLeast"/>
        </w:trPr>
        <w:tc>
          <w:tcPr>
            <w:tcW w:w="1667" w:type="pct"/>
            <w:vAlign w:val="center"/>
          </w:tcPr>
          <w:p w14:paraId="0AB7A96C">
            <w:pPr>
              <w:jc w:val="center"/>
              <w:rPr>
                <w:rFonts w:ascii="Times New Roman"/>
                <w:sz w:val="21"/>
                <w:szCs w:val="21"/>
              </w:rPr>
            </w:pPr>
            <w:r>
              <w:rPr>
                <w:rFonts w:ascii="Times New Roman"/>
                <w:sz w:val="21"/>
                <w:szCs w:val="21"/>
              </w:rPr>
              <w:t>3500.0</w:t>
            </w:r>
          </w:p>
        </w:tc>
        <w:tc>
          <w:tcPr>
            <w:tcW w:w="919" w:type="pct"/>
            <w:vAlign w:val="center"/>
          </w:tcPr>
          <w:p w14:paraId="031CE3F6">
            <w:pPr>
              <w:jc w:val="center"/>
              <w:rPr>
                <w:rFonts w:ascii="Times New Roman"/>
                <w:sz w:val="21"/>
                <w:szCs w:val="21"/>
              </w:rPr>
            </w:pPr>
            <w:r>
              <w:rPr>
                <w:rFonts w:hint="eastAsia" w:ascii="Times New Roman"/>
                <w:sz w:val="21"/>
                <w:szCs w:val="21"/>
              </w:rPr>
              <w:t>0.0893</w:t>
            </w:r>
          </w:p>
        </w:tc>
        <w:tc>
          <w:tcPr>
            <w:tcW w:w="733" w:type="pct"/>
            <w:vAlign w:val="center"/>
          </w:tcPr>
          <w:p w14:paraId="79300806">
            <w:pPr>
              <w:jc w:val="center"/>
              <w:rPr>
                <w:rFonts w:ascii="Times New Roman"/>
                <w:sz w:val="21"/>
                <w:szCs w:val="21"/>
              </w:rPr>
            </w:pPr>
            <w:r>
              <w:rPr>
                <w:rFonts w:hint="eastAsia" w:ascii="Times New Roman"/>
                <w:sz w:val="21"/>
                <w:szCs w:val="21"/>
              </w:rPr>
              <w:t>0.02</w:t>
            </w:r>
          </w:p>
        </w:tc>
        <w:tc>
          <w:tcPr>
            <w:tcW w:w="849" w:type="pct"/>
            <w:shd w:val="clear" w:color="auto" w:fill="auto"/>
            <w:vAlign w:val="center"/>
          </w:tcPr>
          <w:p w14:paraId="64B64484">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4118BCE4">
            <w:pPr>
              <w:jc w:val="center"/>
              <w:rPr>
                <w:rFonts w:ascii="Times New Roman"/>
                <w:sz w:val="21"/>
                <w:szCs w:val="21"/>
              </w:rPr>
            </w:pPr>
            <w:r>
              <w:rPr>
                <w:rFonts w:hint="eastAsia" w:ascii="Times New Roman"/>
                <w:sz w:val="21"/>
                <w:szCs w:val="21"/>
              </w:rPr>
              <w:t>0.00</w:t>
            </w:r>
          </w:p>
        </w:tc>
      </w:tr>
      <w:tr w14:paraId="19E66E47">
        <w:tblPrEx>
          <w:tblCellMar>
            <w:top w:w="0" w:type="dxa"/>
            <w:left w:w="108" w:type="dxa"/>
            <w:bottom w:w="0" w:type="dxa"/>
            <w:right w:w="108" w:type="dxa"/>
          </w:tblCellMar>
        </w:tblPrEx>
        <w:trPr>
          <w:trHeight w:val="216" w:hRule="atLeast"/>
        </w:trPr>
        <w:tc>
          <w:tcPr>
            <w:tcW w:w="1667" w:type="pct"/>
            <w:vAlign w:val="center"/>
          </w:tcPr>
          <w:p w14:paraId="51FBC2DF">
            <w:pPr>
              <w:jc w:val="center"/>
              <w:rPr>
                <w:rFonts w:ascii="Times New Roman"/>
                <w:sz w:val="21"/>
                <w:szCs w:val="21"/>
              </w:rPr>
            </w:pPr>
            <w:r>
              <w:rPr>
                <w:rFonts w:ascii="Times New Roman"/>
                <w:sz w:val="21"/>
                <w:szCs w:val="21"/>
              </w:rPr>
              <w:t>4000.0</w:t>
            </w:r>
          </w:p>
        </w:tc>
        <w:tc>
          <w:tcPr>
            <w:tcW w:w="919" w:type="pct"/>
            <w:vAlign w:val="center"/>
          </w:tcPr>
          <w:p w14:paraId="3A980CCF">
            <w:pPr>
              <w:jc w:val="center"/>
              <w:rPr>
                <w:rFonts w:ascii="Times New Roman"/>
                <w:sz w:val="21"/>
                <w:szCs w:val="21"/>
              </w:rPr>
            </w:pPr>
            <w:r>
              <w:rPr>
                <w:rFonts w:hint="eastAsia" w:ascii="Times New Roman"/>
                <w:sz w:val="21"/>
                <w:szCs w:val="21"/>
              </w:rPr>
              <w:t>0.0748</w:t>
            </w:r>
          </w:p>
        </w:tc>
        <w:tc>
          <w:tcPr>
            <w:tcW w:w="733" w:type="pct"/>
            <w:vAlign w:val="center"/>
          </w:tcPr>
          <w:p w14:paraId="6A11CA08">
            <w:pPr>
              <w:jc w:val="center"/>
              <w:rPr>
                <w:rFonts w:ascii="Times New Roman"/>
                <w:sz w:val="21"/>
                <w:szCs w:val="21"/>
              </w:rPr>
            </w:pPr>
            <w:r>
              <w:rPr>
                <w:rFonts w:hint="eastAsia" w:ascii="Times New Roman"/>
                <w:sz w:val="21"/>
                <w:szCs w:val="21"/>
              </w:rPr>
              <w:t>0.02</w:t>
            </w:r>
          </w:p>
        </w:tc>
        <w:tc>
          <w:tcPr>
            <w:tcW w:w="849" w:type="pct"/>
            <w:shd w:val="clear" w:color="auto" w:fill="auto"/>
            <w:vAlign w:val="center"/>
          </w:tcPr>
          <w:p w14:paraId="1D3CACFE">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27F6869D">
            <w:pPr>
              <w:jc w:val="center"/>
              <w:rPr>
                <w:rFonts w:ascii="Times New Roman"/>
                <w:sz w:val="21"/>
                <w:szCs w:val="21"/>
              </w:rPr>
            </w:pPr>
            <w:r>
              <w:rPr>
                <w:rFonts w:hint="eastAsia" w:ascii="Times New Roman"/>
                <w:sz w:val="21"/>
                <w:szCs w:val="21"/>
              </w:rPr>
              <w:t>0.00</w:t>
            </w:r>
          </w:p>
        </w:tc>
      </w:tr>
      <w:tr w14:paraId="4960031B">
        <w:tblPrEx>
          <w:tblCellMar>
            <w:top w:w="0" w:type="dxa"/>
            <w:left w:w="108" w:type="dxa"/>
            <w:bottom w:w="0" w:type="dxa"/>
            <w:right w:w="108" w:type="dxa"/>
          </w:tblCellMar>
        </w:tblPrEx>
        <w:trPr>
          <w:trHeight w:val="216" w:hRule="atLeast"/>
        </w:trPr>
        <w:tc>
          <w:tcPr>
            <w:tcW w:w="1667" w:type="pct"/>
            <w:vAlign w:val="center"/>
          </w:tcPr>
          <w:p w14:paraId="7E4F8674">
            <w:pPr>
              <w:jc w:val="center"/>
              <w:rPr>
                <w:rFonts w:ascii="Times New Roman"/>
                <w:sz w:val="21"/>
                <w:szCs w:val="21"/>
              </w:rPr>
            </w:pPr>
            <w:r>
              <w:rPr>
                <w:rFonts w:ascii="Times New Roman"/>
                <w:sz w:val="21"/>
                <w:szCs w:val="21"/>
              </w:rPr>
              <w:t>4500.0</w:t>
            </w:r>
          </w:p>
        </w:tc>
        <w:tc>
          <w:tcPr>
            <w:tcW w:w="919" w:type="pct"/>
            <w:vAlign w:val="center"/>
          </w:tcPr>
          <w:p w14:paraId="16F2EC11">
            <w:pPr>
              <w:jc w:val="center"/>
              <w:rPr>
                <w:rFonts w:ascii="Times New Roman"/>
                <w:sz w:val="21"/>
                <w:szCs w:val="21"/>
              </w:rPr>
            </w:pPr>
            <w:r>
              <w:rPr>
                <w:rFonts w:hint="eastAsia" w:ascii="Times New Roman"/>
                <w:sz w:val="21"/>
                <w:szCs w:val="21"/>
              </w:rPr>
              <w:t>0.0638</w:t>
            </w:r>
          </w:p>
        </w:tc>
        <w:tc>
          <w:tcPr>
            <w:tcW w:w="733" w:type="pct"/>
            <w:vAlign w:val="center"/>
          </w:tcPr>
          <w:p w14:paraId="1BF5563F">
            <w:pPr>
              <w:jc w:val="center"/>
              <w:rPr>
                <w:rFonts w:ascii="Times New Roman"/>
                <w:sz w:val="21"/>
                <w:szCs w:val="21"/>
              </w:rPr>
            </w:pPr>
            <w:r>
              <w:rPr>
                <w:rFonts w:hint="eastAsia" w:ascii="Times New Roman"/>
                <w:sz w:val="21"/>
                <w:szCs w:val="21"/>
              </w:rPr>
              <w:t>0.01</w:t>
            </w:r>
          </w:p>
        </w:tc>
        <w:tc>
          <w:tcPr>
            <w:tcW w:w="849" w:type="pct"/>
            <w:shd w:val="clear" w:color="auto" w:fill="auto"/>
            <w:vAlign w:val="center"/>
          </w:tcPr>
          <w:p w14:paraId="490F34EB">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079F0672">
            <w:pPr>
              <w:jc w:val="center"/>
              <w:rPr>
                <w:rFonts w:ascii="Times New Roman"/>
                <w:sz w:val="21"/>
                <w:szCs w:val="21"/>
              </w:rPr>
            </w:pPr>
            <w:r>
              <w:rPr>
                <w:rFonts w:hint="eastAsia" w:ascii="Times New Roman"/>
                <w:sz w:val="21"/>
                <w:szCs w:val="21"/>
              </w:rPr>
              <w:t>0.00</w:t>
            </w:r>
          </w:p>
        </w:tc>
      </w:tr>
      <w:tr w14:paraId="5E244253">
        <w:tblPrEx>
          <w:tblCellMar>
            <w:top w:w="0" w:type="dxa"/>
            <w:left w:w="108" w:type="dxa"/>
            <w:bottom w:w="0" w:type="dxa"/>
            <w:right w:w="108" w:type="dxa"/>
          </w:tblCellMar>
        </w:tblPrEx>
        <w:trPr>
          <w:trHeight w:val="216" w:hRule="atLeast"/>
        </w:trPr>
        <w:tc>
          <w:tcPr>
            <w:tcW w:w="1667" w:type="pct"/>
            <w:vAlign w:val="center"/>
          </w:tcPr>
          <w:p w14:paraId="6E39D1F8">
            <w:pPr>
              <w:jc w:val="center"/>
              <w:rPr>
                <w:rFonts w:ascii="Times New Roman"/>
                <w:sz w:val="21"/>
                <w:szCs w:val="21"/>
              </w:rPr>
            </w:pPr>
            <w:r>
              <w:rPr>
                <w:rFonts w:ascii="Times New Roman"/>
                <w:sz w:val="21"/>
                <w:szCs w:val="21"/>
              </w:rPr>
              <w:t>5000.0</w:t>
            </w:r>
          </w:p>
        </w:tc>
        <w:tc>
          <w:tcPr>
            <w:tcW w:w="919" w:type="pct"/>
            <w:vAlign w:val="center"/>
          </w:tcPr>
          <w:p w14:paraId="2F6D8796">
            <w:pPr>
              <w:jc w:val="center"/>
              <w:rPr>
                <w:rFonts w:ascii="Times New Roman"/>
                <w:sz w:val="21"/>
                <w:szCs w:val="21"/>
              </w:rPr>
            </w:pPr>
            <w:r>
              <w:rPr>
                <w:rFonts w:hint="eastAsia" w:ascii="Times New Roman"/>
                <w:sz w:val="21"/>
                <w:szCs w:val="21"/>
              </w:rPr>
              <w:t>0.0554</w:t>
            </w:r>
          </w:p>
        </w:tc>
        <w:tc>
          <w:tcPr>
            <w:tcW w:w="733" w:type="pct"/>
            <w:vAlign w:val="center"/>
          </w:tcPr>
          <w:p w14:paraId="55C455CD">
            <w:pPr>
              <w:jc w:val="center"/>
              <w:rPr>
                <w:rFonts w:ascii="Times New Roman"/>
                <w:sz w:val="21"/>
                <w:szCs w:val="21"/>
              </w:rPr>
            </w:pPr>
            <w:r>
              <w:rPr>
                <w:rFonts w:hint="eastAsia" w:ascii="Times New Roman"/>
                <w:sz w:val="21"/>
                <w:szCs w:val="21"/>
              </w:rPr>
              <w:t>0.01</w:t>
            </w:r>
          </w:p>
        </w:tc>
        <w:tc>
          <w:tcPr>
            <w:tcW w:w="849" w:type="pct"/>
            <w:shd w:val="clear" w:color="auto" w:fill="auto"/>
            <w:vAlign w:val="center"/>
          </w:tcPr>
          <w:p w14:paraId="06834BDE">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63AC4118">
            <w:pPr>
              <w:jc w:val="center"/>
              <w:rPr>
                <w:rFonts w:ascii="Times New Roman"/>
                <w:sz w:val="21"/>
                <w:szCs w:val="21"/>
              </w:rPr>
            </w:pPr>
            <w:r>
              <w:rPr>
                <w:rFonts w:hint="eastAsia" w:ascii="Times New Roman"/>
                <w:sz w:val="21"/>
                <w:szCs w:val="21"/>
              </w:rPr>
              <w:t>0.00</w:t>
            </w:r>
          </w:p>
        </w:tc>
      </w:tr>
      <w:tr w14:paraId="2FB5C299">
        <w:tblPrEx>
          <w:tblCellMar>
            <w:top w:w="0" w:type="dxa"/>
            <w:left w:w="108" w:type="dxa"/>
            <w:bottom w:w="0" w:type="dxa"/>
            <w:right w:w="108" w:type="dxa"/>
          </w:tblCellMar>
        </w:tblPrEx>
        <w:trPr>
          <w:trHeight w:val="216" w:hRule="atLeast"/>
        </w:trPr>
        <w:tc>
          <w:tcPr>
            <w:tcW w:w="1667" w:type="pct"/>
            <w:vAlign w:val="center"/>
          </w:tcPr>
          <w:p w14:paraId="640CFA1B">
            <w:pPr>
              <w:jc w:val="center"/>
              <w:rPr>
                <w:rFonts w:ascii="Times New Roman"/>
                <w:sz w:val="21"/>
                <w:szCs w:val="21"/>
              </w:rPr>
            </w:pPr>
            <w:r>
              <w:rPr>
                <w:rFonts w:ascii="Times New Roman"/>
                <w:sz w:val="21"/>
                <w:szCs w:val="21"/>
              </w:rPr>
              <w:t>10000.0</w:t>
            </w:r>
          </w:p>
        </w:tc>
        <w:tc>
          <w:tcPr>
            <w:tcW w:w="919" w:type="pct"/>
            <w:vAlign w:val="center"/>
          </w:tcPr>
          <w:p w14:paraId="0A60700C">
            <w:pPr>
              <w:jc w:val="center"/>
              <w:rPr>
                <w:rFonts w:ascii="Times New Roman"/>
                <w:sz w:val="21"/>
                <w:szCs w:val="21"/>
              </w:rPr>
            </w:pPr>
            <w:r>
              <w:rPr>
                <w:rFonts w:hint="eastAsia" w:ascii="Times New Roman"/>
                <w:sz w:val="21"/>
                <w:szCs w:val="21"/>
              </w:rPr>
              <w:t>0.0216</w:t>
            </w:r>
          </w:p>
        </w:tc>
        <w:tc>
          <w:tcPr>
            <w:tcW w:w="733" w:type="pct"/>
            <w:vAlign w:val="center"/>
          </w:tcPr>
          <w:p w14:paraId="7CAC82AA">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0BE2814A">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6A594403">
            <w:pPr>
              <w:jc w:val="center"/>
              <w:rPr>
                <w:rFonts w:ascii="Times New Roman"/>
                <w:sz w:val="21"/>
                <w:szCs w:val="21"/>
              </w:rPr>
            </w:pPr>
            <w:r>
              <w:rPr>
                <w:rFonts w:hint="eastAsia" w:ascii="Times New Roman"/>
                <w:sz w:val="21"/>
                <w:szCs w:val="21"/>
              </w:rPr>
              <w:t>0.00</w:t>
            </w:r>
          </w:p>
        </w:tc>
      </w:tr>
      <w:tr w14:paraId="4721D389">
        <w:tblPrEx>
          <w:tblCellMar>
            <w:top w:w="0" w:type="dxa"/>
            <w:left w:w="108" w:type="dxa"/>
            <w:bottom w:w="0" w:type="dxa"/>
            <w:right w:w="108" w:type="dxa"/>
          </w:tblCellMar>
        </w:tblPrEx>
        <w:trPr>
          <w:trHeight w:val="216" w:hRule="atLeast"/>
        </w:trPr>
        <w:tc>
          <w:tcPr>
            <w:tcW w:w="1667" w:type="pct"/>
            <w:vAlign w:val="center"/>
          </w:tcPr>
          <w:p w14:paraId="3766CCA4">
            <w:pPr>
              <w:jc w:val="center"/>
              <w:rPr>
                <w:rFonts w:ascii="Times New Roman"/>
                <w:sz w:val="21"/>
                <w:szCs w:val="21"/>
              </w:rPr>
            </w:pPr>
            <w:r>
              <w:rPr>
                <w:rFonts w:ascii="Times New Roman"/>
                <w:sz w:val="21"/>
                <w:szCs w:val="21"/>
              </w:rPr>
              <w:t>11000.0</w:t>
            </w:r>
          </w:p>
        </w:tc>
        <w:tc>
          <w:tcPr>
            <w:tcW w:w="919" w:type="pct"/>
            <w:vAlign w:val="center"/>
          </w:tcPr>
          <w:p w14:paraId="200456FC">
            <w:pPr>
              <w:jc w:val="center"/>
              <w:rPr>
                <w:rFonts w:ascii="Times New Roman"/>
                <w:sz w:val="21"/>
                <w:szCs w:val="21"/>
              </w:rPr>
            </w:pPr>
            <w:r>
              <w:rPr>
                <w:rFonts w:hint="eastAsia" w:ascii="Times New Roman"/>
                <w:sz w:val="21"/>
                <w:szCs w:val="21"/>
              </w:rPr>
              <w:t>0.0188</w:t>
            </w:r>
          </w:p>
        </w:tc>
        <w:tc>
          <w:tcPr>
            <w:tcW w:w="733" w:type="pct"/>
            <w:vAlign w:val="center"/>
          </w:tcPr>
          <w:p w14:paraId="1C4E9778">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4E91403D">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4C1BDEA8">
            <w:pPr>
              <w:jc w:val="center"/>
              <w:rPr>
                <w:rFonts w:ascii="Times New Roman"/>
                <w:sz w:val="21"/>
                <w:szCs w:val="21"/>
              </w:rPr>
            </w:pPr>
            <w:r>
              <w:rPr>
                <w:rFonts w:hint="eastAsia" w:ascii="Times New Roman"/>
                <w:sz w:val="21"/>
                <w:szCs w:val="21"/>
              </w:rPr>
              <w:t>0.00</w:t>
            </w:r>
          </w:p>
        </w:tc>
      </w:tr>
      <w:tr w14:paraId="052523A2">
        <w:tblPrEx>
          <w:tblCellMar>
            <w:top w:w="0" w:type="dxa"/>
            <w:left w:w="108" w:type="dxa"/>
            <w:bottom w:w="0" w:type="dxa"/>
            <w:right w:w="108" w:type="dxa"/>
          </w:tblCellMar>
        </w:tblPrEx>
        <w:trPr>
          <w:trHeight w:val="216" w:hRule="atLeast"/>
        </w:trPr>
        <w:tc>
          <w:tcPr>
            <w:tcW w:w="1667" w:type="pct"/>
            <w:vAlign w:val="center"/>
          </w:tcPr>
          <w:p w14:paraId="0B09A065">
            <w:pPr>
              <w:jc w:val="center"/>
              <w:rPr>
                <w:rFonts w:ascii="Times New Roman"/>
                <w:sz w:val="21"/>
                <w:szCs w:val="21"/>
              </w:rPr>
            </w:pPr>
            <w:r>
              <w:rPr>
                <w:rFonts w:ascii="Times New Roman"/>
                <w:sz w:val="21"/>
                <w:szCs w:val="21"/>
              </w:rPr>
              <w:t>12000.0</w:t>
            </w:r>
          </w:p>
        </w:tc>
        <w:tc>
          <w:tcPr>
            <w:tcW w:w="919" w:type="pct"/>
            <w:vAlign w:val="center"/>
          </w:tcPr>
          <w:p w14:paraId="62104FBE">
            <w:pPr>
              <w:jc w:val="center"/>
              <w:rPr>
                <w:rFonts w:ascii="Times New Roman"/>
                <w:sz w:val="21"/>
                <w:szCs w:val="21"/>
              </w:rPr>
            </w:pPr>
            <w:r>
              <w:rPr>
                <w:rFonts w:hint="eastAsia" w:ascii="Times New Roman"/>
                <w:sz w:val="21"/>
                <w:szCs w:val="21"/>
              </w:rPr>
              <w:t>0.0166</w:t>
            </w:r>
          </w:p>
        </w:tc>
        <w:tc>
          <w:tcPr>
            <w:tcW w:w="733" w:type="pct"/>
            <w:vAlign w:val="center"/>
          </w:tcPr>
          <w:p w14:paraId="22A408FB">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02ECD630">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48B4B75B">
            <w:pPr>
              <w:jc w:val="center"/>
              <w:rPr>
                <w:rFonts w:ascii="Times New Roman"/>
                <w:sz w:val="21"/>
                <w:szCs w:val="21"/>
              </w:rPr>
            </w:pPr>
            <w:r>
              <w:rPr>
                <w:rFonts w:hint="eastAsia" w:ascii="Times New Roman"/>
                <w:sz w:val="21"/>
                <w:szCs w:val="21"/>
              </w:rPr>
              <w:t>0.00</w:t>
            </w:r>
          </w:p>
        </w:tc>
      </w:tr>
      <w:tr w14:paraId="7F565406">
        <w:tblPrEx>
          <w:tblCellMar>
            <w:top w:w="0" w:type="dxa"/>
            <w:left w:w="108" w:type="dxa"/>
            <w:bottom w:w="0" w:type="dxa"/>
            <w:right w:w="108" w:type="dxa"/>
          </w:tblCellMar>
        </w:tblPrEx>
        <w:trPr>
          <w:trHeight w:val="216" w:hRule="atLeast"/>
        </w:trPr>
        <w:tc>
          <w:tcPr>
            <w:tcW w:w="1667" w:type="pct"/>
            <w:vAlign w:val="center"/>
          </w:tcPr>
          <w:p w14:paraId="51738B6B">
            <w:pPr>
              <w:jc w:val="center"/>
              <w:rPr>
                <w:rFonts w:ascii="Times New Roman"/>
                <w:sz w:val="21"/>
                <w:szCs w:val="21"/>
              </w:rPr>
            </w:pPr>
            <w:r>
              <w:rPr>
                <w:rFonts w:ascii="Times New Roman"/>
                <w:sz w:val="21"/>
                <w:szCs w:val="21"/>
              </w:rPr>
              <w:t>13000.0</w:t>
            </w:r>
          </w:p>
        </w:tc>
        <w:tc>
          <w:tcPr>
            <w:tcW w:w="919" w:type="pct"/>
            <w:vAlign w:val="center"/>
          </w:tcPr>
          <w:p w14:paraId="0D714A5C">
            <w:pPr>
              <w:jc w:val="center"/>
              <w:rPr>
                <w:rFonts w:ascii="Times New Roman"/>
                <w:sz w:val="21"/>
                <w:szCs w:val="21"/>
              </w:rPr>
            </w:pPr>
            <w:r>
              <w:rPr>
                <w:rFonts w:hint="eastAsia" w:ascii="Times New Roman"/>
                <w:sz w:val="21"/>
                <w:szCs w:val="21"/>
              </w:rPr>
              <w:t>0.0148</w:t>
            </w:r>
          </w:p>
        </w:tc>
        <w:tc>
          <w:tcPr>
            <w:tcW w:w="733" w:type="pct"/>
            <w:vAlign w:val="center"/>
          </w:tcPr>
          <w:p w14:paraId="7854B607">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6576FF82">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20859C47">
            <w:pPr>
              <w:jc w:val="center"/>
              <w:rPr>
                <w:rFonts w:ascii="Times New Roman"/>
                <w:sz w:val="21"/>
                <w:szCs w:val="21"/>
              </w:rPr>
            </w:pPr>
            <w:r>
              <w:rPr>
                <w:rFonts w:hint="eastAsia" w:ascii="Times New Roman"/>
                <w:sz w:val="21"/>
                <w:szCs w:val="21"/>
              </w:rPr>
              <w:t>0.00</w:t>
            </w:r>
          </w:p>
        </w:tc>
      </w:tr>
      <w:tr w14:paraId="4B96BCF0">
        <w:tblPrEx>
          <w:tblCellMar>
            <w:top w:w="0" w:type="dxa"/>
            <w:left w:w="108" w:type="dxa"/>
            <w:bottom w:w="0" w:type="dxa"/>
            <w:right w:w="108" w:type="dxa"/>
          </w:tblCellMar>
        </w:tblPrEx>
        <w:trPr>
          <w:trHeight w:val="216" w:hRule="atLeast"/>
        </w:trPr>
        <w:tc>
          <w:tcPr>
            <w:tcW w:w="1667" w:type="pct"/>
            <w:vAlign w:val="center"/>
          </w:tcPr>
          <w:p w14:paraId="27D3B407">
            <w:pPr>
              <w:jc w:val="center"/>
              <w:rPr>
                <w:rFonts w:ascii="Times New Roman"/>
                <w:sz w:val="21"/>
                <w:szCs w:val="21"/>
              </w:rPr>
            </w:pPr>
            <w:r>
              <w:rPr>
                <w:rFonts w:ascii="Times New Roman"/>
                <w:sz w:val="21"/>
                <w:szCs w:val="21"/>
              </w:rPr>
              <w:t>14000.0</w:t>
            </w:r>
          </w:p>
        </w:tc>
        <w:tc>
          <w:tcPr>
            <w:tcW w:w="919" w:type="pct"/>
            <w:vAlign w:val="center"/>
          </w:tcPr>
          <w:p w14:paraId="2A29E93D">
            <w:pPr>
              <w:jc w:val="center"/>
              <w:rPr>
                <w:rFonts w:ascii="Times New Roman"/>
                <w:sz w:val="21"/>
                <w:szCs w:val="21"/>
              </w:rPr>
            </w:pPr>
            <w:r>
              <w:rPr>
                <w:rFonts w:hint="eastAsia" w:ascii="Times New Roman"/>
                <w:sz w:val="21"/>
                <w:szCs w:val="21"/>
              </w:rPr>
              <w:t>0.0133</w:t>
            </w:r>
          </w:p>
        </w:tc>
        <w:tc>
          <w:tcPr>
            <w:tcW w:w="733" w:type="pct"/>
            <w:vAlign w:val="center"/>
          </w:tcPr>
          <w:p w14:paraId="6491542E">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1A1B2FE4">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38615D2E">
            <w:pPr>
              <w:jc w:val="center"/>
              <w:rPr>
                <w:rFonts w:ascii="Times New Roman"/>
                <w:sz w:val="21"/>
                <w:szCs w:val="21"/>
              </w:rPr>
            </w:pPr>
            <w:r>
              <w:rPr>
                <w:rFonts w:hint="eastAsia" w:ascii="Times New Roman"/>
                <w:sz w:val="21"/>
                <w:szCs w:val="21"/>
              </w:rPr>
              <w:t>0.00</w:t>
            </w:r>
          </w:p>
        </w:tc>
      </w:tr>
      <w:tr w14:paraId="66C8536D">
        <w:tblPrEx>
          <w:tblCellMar>
            <w:top w:w="0" w:type="dxa"/>
            <w:left w:w="108" w:type="dxa"/>
            <w:bottom w:w="0" w:type="dxa"/>
            <w:right w:w="108" w:type="dxa"/>
          </w:tblCellMar>
        </w:tblPrEx>
        <w:trPr>
          <w:trHeight w:val="216" w:hRule="atLeast"/>
        </w:trPr>
        <w:tc>
          <w:tcPr>
            <w:tcW w:w="1667" w:type="pct"/>
            <w:vAlign w:val="center"/>
          </w:tcPr>
          <w:p w14:paraId="4A87C634">
            <w:pPr>
              <w:jc w:val="center"/>
              <w:rPr>
                <w:rFonts w:ascii="Times New Roman"/>
                <w:sz w:val="21"/>
                <w:szCs w:val="21"/>
              </w:rPr>
            </w:pPr>
            <w:r>
              <w:rPr>
                <w:rFonts w:ascii="Times New Roman"/>
                <w:sz w:val="21"/>
                <w:szCs w:val="21"/>
              </w:rPr>
              <w:t>15000.0</w:t>
            </w:r>
          </w:p>
        </w:tc>
        <w:tc>
          <w:tcPr>
            <w:tcW w:w="919" w:type="pct"/>
            <w:vAlign w:val="center"/>
          </w:tcPr>
          <w:p w14:paraId="5E010653">
            <w:pPr>
              <w:jc w:val="center"/>
              <w:rPr>
                <w:rFonts w:ascii="Times New Roman"/>
                <w:sz w:val="21"/>
                <w:szCs w:val="21"/>
              </w:rPr>
            </w:pPr>
            <w:r>
              <w:rPr>
                <w:rFonts w:hint="eastAsia" w:ascii="Times New Roman"/>
                <w:sz w:val="21"/>
                <w:szCs w:val="21"/>
              </w:rPr>
              <w:t>0.012</w:t>
            </w:r>
          </w:p>
        </w:tc>
        <w:tc>
          <w:tcPr>
            <w:tcW w:w="733" w:type="pct"/>
            <w:vAlign w:val="center"/>
          </w:tcPr>
          <w:p w14:paraId="673CD905">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46EF11C2">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2386F639">
            <w:pPr>
              <w:jc w:val="center"/>
              <w:rPr>
                <w:rFonts w:ascii="Times New Roman"/>
                <w:sz w:val="21"/>
                <w:szCs w:val="21"/>
              </w:rPr>
            </w:pPr>
            <w:r>
              <w:rPr>
                <w:rFonts w:hint="eastAsia" w:ascii="Times New Roman"/>
                <w:sz w:val="21"/>
                <w:szCs w:val="21"/>
              </w:rPr>
              <w:t>0.00</w:t>
            </w:r>
          </w:p>
        </w:tc>
      </w:tr>
      <w:tr w14:paraId="3EA81D32">
        <w:tblPrEx>
          <w:tblCellMar>
            <w:top w:w="0" w:type="dxa"/>
            <w:left w:w="108" w:type="dxa"/>
            <w:bottom w:w="0" w:type="dxa"/>
            <w:right w:w="108" w:type="dxa"/>
          </w:tblCellMar>
        </w:tblPrEx>
        <w:trPr>
          <w:trHeight w:val="216" w:hRule="atLeast"/>
        </w:trPr>
        <w:tc>
          <w:tcPr>
            <w:tcW w:w="1667" w:type="pct"/>
            <w:vAlign w:val="center"/>
          </w:tcPr>
          <w:p w14:paraId="5E97210C">
            <w:pPr>
              <w:jc w:val="center"/>
              <w:rPr>
                <w:rFonts w:ascii="Times New Roman"/>
                <w:sz w:val="21"/>
                <w:szCs w:val="21"/>
              </w:rPr>
            </w:pPr>
            <w:r>
              <w:rPr>
                <w:rFonts w:ascii="Times New Roman"/>
                <w:sz w:val="21"/>
                <w:szCs w:val="21"/>
              </w:rPr>
              <w:t>20000.0</w:t>
            </w:r>
          </w:p>
        </w:tc>
        <w:tc>
          <w:tcPr>
            <w:tcW w:w="919" w:type="pct"/>
            <w:vAlign w:val="center"/>
          </w:tcPr>
          <w:p w14:paraId="0AA24A13">
            <w:pPr>
              <w:jc w:val="center"/>
              <w:rPr>
                <w:rFonts w:ascii="Times New Roman"/>
                <w:sz w:val="21"/>
                <w:szCs w:val="21"/>
              </w:rPr>
            </w:pPr>
            <w:r>
              <w:rPr>
                <w:rFonts w:hint="eastAsia" w:ascii="Times New Roman"/>
                <w:sz w:val="21"/>
                <w:szCs w:val="21"/>
              </w:rPr>
              <w:t>0.0078</w:t>
            </w:r>
          </w:p>
        </w:tc>
        <w:tc>
          <w:tcPr>
            <w:tcW w:w="733" w:type="pct"/>
            <w:vAlign w:val="center"/>
          </w:tcPr>
          <w:p w14:paraId="4B0A166A">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201C4145">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5FC01BFB">
            <w:pPr>
              <w:jc w:val="center"/>
              <w:rPr>
                <w:rFonts w:ascii="Times New Roman"/>
                <w:sz w:val="21"/>
                <w:szCs w:val="21"/>
              </w:rPr>
            </w:pPr>
            <w:r>
              <w:rPr>
                <w:rFonts w:hint="eastAsia" w:ascii="Times New Roman"/>
                <w:sz w:val="21"/>
                <w:szCs w:val="21"/>
              </w:rPr>
              <w:t>0.00</w:t>
            </w:r>
          </w:p>
        </w:tc>
      </w:tr>
      <w:tr w14:paraId="05CCA676">
        <w:tblPrEx>
          <w:tblCellMar>
            <w:top w:w="0" w:type="dxa"/>
            <w:left w:w="108" w:type="dxa"/>
            <w:bottom w:w="0" w:type="dxa"/>
            <w:right w:w="108" w:type="dxa"/>
          </w:tblCellMar>
        </w:tblPrEx>
        <w:trPr>
          <w:trHeight w:val="216" w:hRule="atLeast"/>
        </w:trPr>
        <w:tc>
          <w:tcPr>
            <w:tcW w:w="1667" w:type="pct"/>
            <w:vAlign w:val="center"/>
          </w:tcPr>
          <w:p w14:paraId="7CD31FF7">
            <w:pPr>
              <w:jc w:val="center"/>
              <w:rPr>
                <w:rFonts w:ascii="Times New Roman"/>
                <w:sz w:val="21"/>
                <w:szCs w:val="21"/>
              </w:rPr>
            </w:pPr>
            <w:r>
              <w:rPr>
                <w:rFonts w:ascii="Times New Roman"/>
                <w:sz w:val="21"/>
                <w:szCs w:val="21"/>
              </w:rPr>
              <w:t>25000.0</w:t>
            </w:r>
          </w:p>
        </w:tc>
        <w:tc>
          <w:tcPr>
            <w:tcW w:w="919" w:type="pct"/>
            <w:vAlign w:val="center"/>
          </w:tcPr>
          <w:p w14:paraId="721F53E2">
            <w:pPr>
              <w:jc w:val="center"/>
              <w:rPr>
                <w:rFonts w:ascii="Times New Roman"/>
                <w:sz w:val="21"/>
                <w:szCs w:val="21"/>
              </w:rPr>
            </w:pPr>
            <w:r>
              <w:rPr>
                <w:rFonts w:hint="eastAsia" w:ascii="Times New Roman"/>
                <w:sz w:val="21"/>
                <w:szCs w:val="21"/>
              </w:rPr>
              <w:t>0.0055</w:t>
            </w:r>
          </w:p>
        </w:tc>
        <w:tc>
          <w:tcPr>
            <w:tcW w:w="733" w:type="pct"/>
            <w:vAlign w:val="center"/>
          </w:tcPr>
          <w:p w14:paraId="6B2C7632">
            <w:pPr>
              <w:jc w:val="center"/>
              <w:rPr>
                <w:rFonts w:ascii="Times New Roman"/>
                <w:sz w:val="21"/>
                <w:szCs w:val="21"/>
              </w:rPr>
            </w:pPr>
            <w:r>
              <w:rPr>
                <w:rFonts w:hint="eastAsia" w:ascii="Times New Roman"/>
                <w:sz w:val="21"/>
                <w:szCs w:val="21"/>
              </w:rPr>
              <w:t>0</w:t>
            </w:r>
          </w:p>
        </w:tc>
        <w:tc>
          <w:tcPr>
            <w:tcW w:w="849" w:type="pct"/>
            <w:shd w:val="clear" w:color="auto" w:fill="auto"/>
            <w:vAlign w:val="center"/>
          </w:tcPr>
          <w:p w14:paraId="6E1A31F8">
            <w:pPr>
              <w:jc w:val="center"/>
              <w:rPr>
                <w:rFonts w:ascii="Times New Roman"/>
                <w:sz w:val="21"/>
                <w:szCs w:val="21"/>
              </w:rPr>
            </w:pPr>
            <w:r>
              <w:rPr>
                <w:rFonts w:hint="eastAsia" w:ascii="Times New Roman"/>
                <w:sz w:val="21"/>
                <w:szCs w:val="21"/>
              </w:rPr>
              <w:t>0.0000</w:t>
            </w:r>
          </w:p>
        </w:tc>
        <w:tc>
          <w:tcPr>
            <w:tcW w:w="831" w:type="pct"/>
            <w:shd w:val="clear" w:color="auto" w:fill="auto"/>
            <w:vAlign w:val="center"/>
          </w:tcPr>
          <w:p w14:paraId="2484C5D5">
            <w:pPr>
              <w:jc w:val="center"/>
              <w:rPr>
                <w:rFonts w:ascii="Times New Roman"/>
                <w:sz w:val="21"/>
                <w:szCs w:val="21"/>
              </w:rPr>
            </w:pPr>
            <w:r>
              <w:rPr>
                <w:rFonts w:hint="eastAsia" w:ascii="Times New Roman"/>
                <w:sz w:val="21"/>
                <w:szCs w:val="21"/>
              </w:rPr>
              <w:t>0.00</w:t>
            </w:r>
          </w:p>
        </w:tc>
      </w:tr>
      <w:tr w14:paraId="186AC795">
        <w:tblPrEx>
          <w:tblCellMar>
            <w:top w:w="0" w:type="dxa"/>
            <w:left w:w="108" w:type="dxa"/>
            <w:bottom w:w="0" w:type="dxa"/>
            <w:right w:w="108" w:type="dxa"/>
          </w:tblCellMar>
        </w:tblPrEx>
        <w:trPr>
          <w:trHeight w:val="216" w:hRule="atLeast"/>
        </w:trPr>
        <w:tc>
          <w:tcPr>
            <w:tcW w:w="1667" w:type="pct"/>
            <w:vAlign w:val="center"/>
          </w:tcPr>
          <w:p w14:paraId="4364073C">
            <w:pPr>
              <w:jc w:val="center"/>
              <w:rPr>
                <w:rFonts w:ascii="Times New Roman"/>
                <w:sz w:val="21"/>
                <w:szCs w:val="21"/>
              </w:rPr>
            </w:pPr>
            <w:r>
              <w:rPr>
                <w:rFonts w:ascii="Times New Roman"/>
                <w:sz w:val="21"/>
                <w:szCs w:val="21"/>
              </w:rPr>
              <w:t>下风向最大浓度</w:t>
            </w:r>
          </w:p>
        </w:tc>
        <w:tc>
          <w:tcPr>
            <w:tcW w:w="919" w:type="pct"/>
            <w:vAlign w:val="center"/>
          </w:tcPr>
          <w:p w14:paraId="298C1875">
            <w:pPr>
              <w:jc w:val="center"/>
              <w:rPr>
                <w:rFonts w:ascii="Times New Roman"/>
                <w:sz w:val="21"/>
                <w:szCs w:val="21"/>
              </w:rPr>
            </w:pPr>
            <w:r>
              <w:rPr>
                <w:rFonts w:hint="eastAsia" w:ascii="Times New Roman"/>
                <w:sz w:val="21"/>
                <w:szCs w:val="21"/>
              </w:rPr>
              <w:t>1.817</w:t>
            </w:r>
          </w:p>
        </w:tc>
        <w:tc>
          <w:tcPr>
            <w:tcW w:w="733" w:type="pct"/>
            <w:vAlign w:val="center"/>
          </w:tcPr>
          <w:p w14:paraId="14701408">
            <w:pPr>
              <w:jc w:val="center"/>
              <w:rPr>
                <w:rFonts w:ascii="Times New Roman"/>
                <w:sz w:val="21"/>
                <w:szCs w:val="21"/>
              </w:rPr>
            </w:pPr>
            <w:r>
              <w:rPr>
                <w:rFonts w:hint="eastAsia" w:ascii="Times New Roman"/>
                <w:sz w:val="21"/>
                <w:szCs w:val="21"/>
              </w:rPr>
              <w:t>0.40</w:t>
            </w:r>
          </w:p>
        </w:tc>
        <w:tc>
          <w:tcPr>
            <w:tcW w:w="849" w:type="pct"/>
            <w:vAlign w:val="center"/>
          </w:tcPr>
          <w:p w14:paraId="2BF50E19">
            <w:pPr>
              <w:jc w:val="center"/>
              <w:rPr>
                <w:rFonts w:ascii="Times New Roman"/>
                <w:sz w:val="21"/>
                <w:szCs w:val="21"/>
              </w:rPr>
            </w:pPr>
            <w:r>
              <w:rPr>
                <w:rFonts w:hint="eastAsia" w:ascii="Times New Roman"/>
                <w:sz w:val="21"/>
                <w:szCs w:val="21"/>
              </w:rPr>
              <w:t>0.0001</w:t>
            </w:r>
          </w:p>
        </w:tc>
        <w:tc>
          <w:tcPr>
            <w:tcW w:w="831" w:type="pct"/>
            <w:vAlign w:val="center"/>
          </w:tcPr>
          <w:p w14:paraId="1143F2FF">
            <w:pPr>
              <w:jc w:val="center"/>
              <w:rPr>
                <w:rFonts w:ascii="Times New Roman"/>
                <w:sz w:val="21"/>
                <w:szCs w:val="21"/>
              </w:rPr>
            </w:pPr>
            <w:r>
              <w:rPr>
                <w:rFonts w:hint="eastAsia" w:ascii="Times New Roman"/>
                <w:sz w:val="21"/>
                <w:szCs w:val="21"/>
              </w:rPr>
              <w:t>0</w:t>
            </w:r>
            <w:r>
              <w:rPr>
                <w:rFonts w:ascii="Times New Roman"/>
                <w:sz w:val="21"/>
                <w:szCs w:val="21"/>
              </w:rPr>
              <w:t>.00</w:t>
            </w:r>
          </w:p>
        </w:tc>
      </w:tr>
      <w:tr w14:paraId="574E0C79">
        <w:tblPrEx>
          <w:tblCellMar>
            <w:top w:w="0" w:type="dxa"/>
            <w:left w:w="108" w:type="dxa"/>
            <w:bottom w:w="0" w:type="dxa"/>
            <w:right w:w="108" w:type="dxa"/>
          </w:tblCellMar>
        </w:tblPrEx>
        <w:trPr>
          <w:trHeight w:val="253" w:hRule="atLeast"/>
        </w:trPr>
        <w:tc>
          <w:tcPr>
            <w:tcW w:w="1667" w:type="pct"/>
            <w:vAlign w:val="center"/>
          </w:tcPr>
          <w:p w14:paraId="28E3BCA2">
            <w:pPr>
              <w:jc w:val="center"/>
              <w:rPr>
                <w:rFonts w:ascii="Times New Roman"/>
                <w:sz w:val="21"/>
                <w:szCs w:val="21"/>
              </w:rPr>
            </w:pPr>
            <w:r>
              <w:rPr>
                <w:rFonts w:ascii="Times New Roman"/>
                <w:sz w:val="21"/>
                <w:szCs w:val="21"/>
              </w:rPr>
              <w:t>下风向最大浓度出现距离</w:t>
            </w:r>
          </w:p>
        </w:tc>
        <w:tc>
          <w:tcPr>
            <w:tcW w:w="919" w:type="pct"/>
            <w:vAlign w:val="center"/>
          </w:tcPr>
          <w:p w14:paraId="40B28CE5">
            <w:pPr>
              <w:jc w:val="center"/>
              <w:rPr>
                <w:rFonts w:ascii="Times New Roman"/>
                <w:sz w:val="21"/>
                <w:szCs w:val="21"/>
              </w:rPr>
            </w:pPr>
            <w:r>
              <w:rPr>
                <w:rFonts w:hint="eastAsia" w:ascii="Times New Roman"/>
                <w:sz w:val="21"/>
                <w:szCs w:val="21"/>
              </w:rPr>
              <w:t>29</w:t>
            </w:r>
            <w:r>
              <w:rPr>
                <w:rFonts w:ascii="Times New Roman"/>
                <w:sz w:val="21"/>
                <w:szCs w:val="21"/>
              </w:rPr>
              <w:t>.0</w:t>
            </w:r>
          </w:p>
        </w:tc>
        <w:tc>
          <w:tcPr>
            <w:tcW w:w="733" w:type="pct"/>
            <w:vAlign w:val="center"/>
          </w:tcPr>
          <w:p w14:paraId="4005BC24">
            <w:pPr>
              <w:jc w:val="center"/>
              <w:rPr>
                <w:rFonts w:ascii="Times New Roman"/>
                <w:sz w:val="21"/>
                <w:szCs w:val="21"/>
              </w:rPr>
            </w:pPr>
            <w:r>
              <w:rPr>
                <w:rFonts w:hint="eastAsia" w:ascii="Times New Roman"/>
                <w:sz w:val="21"/>
                <w:szCs w:val="21"/>
              </w:rPr>
              <w:t>29</w:t>
            </w:r>
            <w:r>
              <w:rPr>
                <w:rFonts w:ascii="Times New Roman"/>
                <w:sz w:val="21"/>
                <w:szCs w:val="21"/>
              </w:rPr>
              <w:t>.0</w:t>
            </w:r>
          </w:p>
        </w:tc>
        <w:tc>
          <w:tcPr>
            <w:tcW w:w="849" w:type="pct"/>
            <w:vAlign w:val="center"/>
          </w:tcPr>
          <w:p w14:paraId="4782E921">
            <w:pPr>
              <w:jc w:val="center"/>
              <w:rPr>
                <w:rFonts w:ascii="Times New Roman"/>
                <w:sz w:val="21"/>
                <w:szCs w:val="21"/>
              </w:rPr>
            </w:pPr>
            <w:r>
              <w:rPr>
                <w:rFonts w:hint="eastAsia" w:ascii="Times New Roman"/>
                <w:sz w:val="21"/>
                <w:szCs w:val="21"/>
              </w:rPr>
              <w:t>29</w:t>
            </w:r>
            <w:r>
              <w:rPr>
                <w:rFonts w:ascii="Times New Roman"/>
                <w:sz w:val="21"/>
                <w:szCs w:val="21"/>
              </w:rPr>
              <w:t>.0</w:t>
            </w:r>
          </w:p>
        </w:tc>
        <w:tc>
          <w:tcPr>
            <w:tcW w:w="831" w:type="pct"/>
            <w:vAlign w:val="center"/>
          </w:tcPr>
          <w:p w14:paraId="000DD097">
            <w:pPr>
              <w:jc w:val="center"/>
              <w:rPr>
                <w:rFonts w:ascii="Times New Roman"/>
                <w:sz w:val="21"/>
                <w:szCs w:val="21"/>
              </w:rPr>
            </w:pPr>
            <w:r>
              <w:rPr>
                <w:rFonts w:hint="eastAsia" w:ascii="Times New Roman"/>
                <w:sz w:val="21"/>
                <w:szCs w:val="21"/>
              </w:rPr>
              <w:t>29</w:t>
            </w:r>
            <w:r>
              <w:rPr>
                <w:rFonts w:ascii="Times New Roman"/>
                <w:sz w:val="21"/>
                <w:szCs w:val="21"/>
              </w:rPr>
              <w:t>.0</w:t>
            </w:r>
          </w:p>
        </w:tc>
      </w:tr>
      <w:tr w14:paraId="46F18CCD">
        <w:tblPrEx>
          <w:tblCellMar>
            <w:top w:w="0" w:type="dxa"/>
            <w:left w:w="108" w:type="dxa"/>
            <w:bottom w:w="0" w:type="dxa"/>
            <w:right w:w="108" w:type="dxa"/>
          </w:tblCellMar>
        </w:tblPrEx>
        <w:trPr>
          <w:trHeight w:val="218" w:hRule="atLeast"/>
        </w:trPr>
        <w:tc>
          <w:tcPr>
            <w:tcW w:w="1667" w:type="pct"/>
            <w:vAlign w:val="center"/>
          </w:tcPr>
          <w:p w14:paraId="525DB466">
            <w:pPr>
              <w:jc w:val="center"/>
              <w:rPr>
                <w:rFonts w:ascii="Times New Roman"/>
                <w:sz w:val="21"/>
                <w:szCs w:val="21"/>
              </w:rPr>
            </w:pPr>
            <w:r>
              <w:rPr>
                <w:rFonts w:ascii="Times New Roman"/>
                <w:sz w:val="21"/>
                <w:szCs w:val="21"/>
              </w:rPr>
              <w:t>D10%最远距离</w:t>
            </w:r>
          </w:p>
        </w:tc>
        <w:tc>
          <w:tcPr>
            <w:tcW w:w="919" w:type="pct"/>
            <w:vAlign w:val="center"/>
          </w:tcPr>
          <w:p w14:paraId="2B4EAC53">
            <w:pPr>
              <w:jc w:val="center"/>
              <w:rPr>
                <w:rFonts w:ascii="Times New Roman"/>
                <w:sz w:val="21"/>
                <w:szCs w:val="21"/>
              </w:rPr>
            </w:pPr>
            <w:r>
              <w:rPr>
                <w:rFonts w:ascii="Times New Roman"/>
                <w:sz w:val="21"/>
                <w:szCs w:val="21"/>
              </w:rPr>
              <w:t>/</w:t>
            </w:r>
          </w:p>
        </w:tc>
        <w:tc>
          <w:tcPr>
            <w:tcW w:w="733" w:type="pct"/>
            <w:vAlign w:val="center"/>
          </w:tcPr>
          <w:p w14:paraId="1E555F44">
            <w:pPr>
              <w:jc w:val="center"/>
              <w:rPr>
                <w:rFonts w:ascii="Times New Roman"/>
                <w:sz w:val="21"/>
                <w:szCs w:val="21"/>
              </w:rPr>
            </w:pPr>
            <w:r>
              <w:rPr>
                <w:rFonts w:ascii="Times New Roman"/>
                <w:sz w:val="21"/>
                <w:szCs w:val="21"/>
              </w:rPr>
              <w:t>/</w:t>
            </w:r>
          </w:p>
        </w:tc>
        <w:tc>
          <w:tcPr>
            <w:tcW w:w="849" w:type="pct"/>
            <w:vAlign w:val="center"/>
          </w:tcPr>
          <w:p w14:paraId="1E5FB9B4">
            <w:pPr>
              <w:jc w:val="center"/>
              <w:rPr>
                <w:rFonts w:ascii="Times New Roman"/>
                <w:sz w:val="21"/>
                <w:szCs w:val="21"/>
              </w:rPr>
            </w:pPr>
            <w:r>
              <w:rPr>
                <w:rFonts w:ascii="Times New Roman"/>
                <w:sz w:val="21"/>
                <w:szCs w:val="21"/>
              </w:rPr>
              <w:t>/</w:t>
            </w:r>
          </w:p>
        </w:tc>
        <w:tc>
          <w:tcPr>
            <w:tcW w:w="831" w:type="pct"/>
            <w:vAlign w:val="center"/>
          </w:tcPr>
          <w:p w14:paraId="78C6115C">
            <w:pPr>
              <w:jc w:val="center"/>
              <w:rPr>
                <w:rFonts w:ascii="Times New Roman"/>
                <w:sz w:val="21"/>
                <w:szCs w:val="21"/>
              </w:rPr>
            </w:pPr>
            <w:r>
              <w:rPr>
                <w:rFonts w:ascii="Times New Roman"/>
                <w:sz w:val="21"/>
                <w:szCs w:val="21"/>
              </w:rPr>
              <w:t>/</w:t>
            </w:r>
          </w:p>
        </w:tc>
      </w:tr>
    </w:tbl>
    <w:p w14:paraId="34BA5D1F">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499" w:type="dxa"/>
        <w:tblInd w:w="0" w:type="dxa"/>
        <w:tblLayout w:type="autofit"/>
        <w:tblCellMar>
          <w:top w:w="0" w:type="dxa"/>
          <w:left w:w="108" w:type="dxa"/>
          <w:bottom w:w="0" w:type="dxa"/>
          <w:right w:w="108" w:type="dxa"/>
        </w:tblCellMar>
      </w:tblPr>
      <w:tblGrid>
        <w:gridCol w:w="2641"/>
        <w:gridCol w:w="1634"/>
        <w:gridCol w:w="1383"/>
        <w:gridCol w:w="1417"/>
        <w:gridCol w:w="1424"/>
      </w:tblGrid>
      <w:tr w14:paraId="0ABBB563">
        <w:tblPrEx>
          <w:tblCellMar>
            <w:top w:w="0" w:type="dxa"/>
            <w:left w:w="108" w:type="dxa"/>
            <w:bottom w:w="0" w:type="dxa"/>
            <w:right w:w="108" w:type="dxa"/>
          </w:tblCellMar>
        </w:tblPrEx>
        <w:trPr>
          <w:trHeight w:val="301" w:hRule="atLeast"/>
        </w:trPr>
        <w:tc>
          <w:tcPr>
            <w:tcW w:w="2641" w:type="dxa"/>
            <w:vMerge w:val="restart"/>
            <w:vAlign w:val="center"/>
          </w:tcPr>
          <w:p w14:paraId="497FCDD3">
            <w:pPr>
              <w:jc w:val="center"/>
              <w:rPr>
                <w:rFonts w:ascii="Times New Roman"/>
                <w:sz w:val="21"/>
                <w:szCs w:val="21"/>
              </w:rPr>
            </w:pPr>
            <w:r>
              <w:rPr>
                <w:rFonts w:ascii="Times New Roman"/>
                <w:sz w:val="21"/>
                <w:szCs w:val="21"/>
              </w:rPr>
              <w:t>下风向距离</w:t>
            </w:r>
          </w:p>
        </w:tc>
        <w:tc>
          <w:tcPr>
            <w:tcW w:w="3017" w:type="dxa"/>
            <w:gridSpan w:val="2"/>
            <w:tcBorders>
              <w:right w:val="single" w:color="auto" w:sz="4" w:space="0"/>
            </w:tcBorders>
            <w:vAlign w:val="center"/>
          </w:tcPr>
          <w:p w14:paraId="198B6D0B">
            <w:pPr>
              <w:jc w:val="center"/>
              <w:rPr>
                <w:rFonts w:ascii="Times New Roman"/>
                <w:sz w:val="21"/>
                <w:szCs w:val="21"/>
              </w:rPr>
            </w:pPr>
            <w:r>
              <w:rPr>
                <w:rFonts w:ascii="Times New Roman"/>
                <w:sz w:val="21"/>
                <w:szCs w:val="21"/>
              </w:rPr>
              <w:t>抛丸、喷砂废气</w:t>
            </w:r>
            <w:r>
              <w:rPr>
                <w:rFonts w:ascii="Times New Roman" w:eastAsia="Times New Roman"/>
                <w:sz w:val="21"/>
                <w:szCs w:val="21"/>
              </w:rPr>
              <w:t>(</w:t>
            </w:r>
            <w:r>
              <w:rPr>
                <w:rFonts w:ascii="Times New Roman"/>
                <w:sz w:val="21"/>
                <w:szCs w:val="21"/>
              </w:rPr>
              <w:t>DA007</w:t>
            </w:r>
            <w:r>
              <w:rPr>
                <w:rFonts w:ascii="Times New Roman" w:eastAsia="Times New Roman"/>
                <w:sz w:val="21"/>
                <w:szCs w:val="21"/>
              </w:rPr>
              <w:t>)</w:t>
            </w:r>
          </w:p>
        </w:tc>
        <w:tc>
          <w:tcPr>
            <w:tcW w:w="2841" w:type="dxa"/>
            <w:gridSpan w:val="2"/>
            <w:tcBorders>
              <w:left w:val="single" w:color="auto" w:sz="4" w:space="0"/>
            </w:tcBorders>
            <w:vAlign w:val="center"/>
          </w:tcPr>
          <w:p w14:paraId="0A752F44">
            <w:pPr>
              <w:jc w:val="center"/>
              <w:rPr>
                <w:rFonts w:ascii="Times New Roman"/>
                <w:sz w:val="21"/>
                <w:szCs w:val="21"/>
              </w:rPr>
            </w:pPr>
            <w:r>
              <w:rPr>
                <w:rFonts w:ascii="Times New Roman"/>
                <w:sz w:val="21"/>
                <w:szCs w:val="21"/>
              </w:rPr>
              <w:t>喷塑废气</w:t>
            </w:r>
            <w:r>
              <w:rPr>
                <w:rFonts w:ascii="Times New Roman" w:eastAsia="Times New Roman"/>
                <w:sz w:val="21"/>
                <w:szCs w:val="21"/>
              </w:rPr>
              <w:t>(</w:t>
            </w:r>
            <w:r>
              <w:rPr>
                <w:rFonts w:ascii="Times New Roman"/>
                <w:sz w:val="21"/>
                <w:szCs w:val="21"/>
              </w:rPr>
              <w:t>DA008</w:t>
            </w:r>
            <w:r>
              <w:rPr>
                <w:rFonts w:ascii="Times New Roman" w:eastAsia="Times New Roman"/>
                <w:sz w:val="21"/>
                <w:szCs w:val="21"/>
              </w:rPr>
              <w:t>)</w:t>
            </w:r>
          </w:p>
        </w:tc>
      </w:tr>
      <w:tr w14:paraId="3946A771">
        <w:tblPrEx>
          <w:tblCellMar>
            <w:top w:w="0" w:type="dxa"/>
            <w:left w:w="108" w:type="dxa"/>
            <w:bottom w:w="0" w:type="dxa"/>
            <w:right w:w="108" w:type="dxa"/>
          </w:tblCellMar>
        </w:tblPrEx>
        <w:trPr>
          <w:trHeight w:val="244" w:hRule="atLeast"/>
        </w:trPr>
        <w:tc>
          <w:tcPr>
            <w:tcW w:w="2641" w:type="dxa"/>
            <w:vMerge w:val="continue"/>
            <w:vAlign w:val="center"/>
          </w:tcPr>
          <w:p w14:paraId="0BBA5D5E">
            <w:pPr>
              <w:jc w:val="center"/>
              <w:rPr>
                <w:rFonts w:ascii="Times New Roman"/>
                <w:sz w:val="21"/>
                <w:szCs w:val="21"/>
              </w:rPr>
            </w:pPr>
          </w:p>
        </w:tc>
        <w:tc>
          <w:tcPr>
            <w:tcW w:w="1634" w:type="dxa"/>
            <w:vAlign w:val="center"/>
          </w:tcPr>
          <w:p w14:paraId="57D9419B">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浓度(μg/m³)</w:t>
            </w:r>
          </w:p>
        </w:tc>
        <w:tc>
          <w:tcPr>
            <w:tcW w:w="1383" w:type="dxa"/>
            <w:tcBorders>
              <w:right w:val="single" w:color="auto" w:sz="4" w:space="0"/>
            </w:tcBorders>
            <w:vAlign w:val="center"/>
          </w:tcPr>
          <w:p w14:paraId="0A72105A">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1417" w:type="dxa"/>
            <w:tcBorders>
              <w:left w:val="single" w:color="auto" w:sz="4" w:space="0"/>
            </w:tcBorders>
            <w:shd w:val="clear" w:color="auto" w:fill="auto"/>
            <w:vAlign w:val="center"/>
          </w:tcPr>
          <w:p w14:paraId="7712294C">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浓度(μg/m³)</w:t>
            </w:r>
          </w:p>
        </w:tc>
        <w:tc>
          <w:tcPr>
            <w:tcW w:w="1424" w:type="dxa"/>
            <w:shd w:val="clear" w:color="auto" w:fill="auto"/>
            <w:vAlign w:val="center"/>
          </w:tcPr>
          <w:p w14:paraId="7EDC772A">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r>
      <w:tr w14:paraId="63490C2A">
        <w:tblPrEx>
          <w:tblCellMar>
            <w:top w:w="0" w:type="dxa"/>
            <w:left w:w="108" w:type="dxa"/>
            <w:bottom w:w="0" w:type="dxa"/>
            <w:right w:w="108" w:type="dxa"/>
          </w:tblCellMar>
        </w:tblPrEx>
        <w:trPr>
          <w:trHeight w:val="113" w:hRule="atLeast"/>
        </w:trPr>
        <w:tc>
          <w:tcPr>
            <w:tcW w:w="2641" w:type="dxa"/>
            <w:vAlign w:val="center"/>
          </w:tcPr>
          <w:p w14:paraId="7DC511EC">
            <w:pPr>
              <w:jc w:val="center"/>
              <w:rPr>
                <w:rFonts w:ascii="Times New Roman"/>
                <w:sz w:val="21"/>
                <w:szCs w:val="21"/>
              </w:rPr>
            </w:pPr>
            <w:r>
              <w:rPr>
                <w:rFonts w:ascii="Times New Roman"/>
                <w:sz w:val="21"/>
                <w:szCs w:val="21"/>
              </w:rPr>
              <w:t>50.0</w:t>
            </w:r>
          </w:p>
        </w:tc>
        <w:tc>
          <w:tcPr>
            <w:tcW w:w="1634" w:type="dxa"/>
            <w:vAlign w:val="center"/>
          </w:tcPr>
          <w:p w14:paraId="5E58374C">
            <w:pPr>
              <w:jc w:val="center"/>
              <w:rPr>
                <w:rFonts w:ascii="Times New Roman"/>
                <w:sz w:val="21"/>
                <w:szCs w:val="21"/>
              </w:rPr>
            </w:pPr>
            <w:r>
              <w:rPr>
                <w:rFonts w:hint="eastAsia" w:ascii="Times New Roman"/>
                <w:sz w:val="21"/>
                <w:szCs w:val="21"/>
              </w:rPr>
              <w:t>1.1768</w:t>
            </w:r>
          </w:p>
        </w:tc>
        <w:tc>
          <w:tcPr>
            <w:tcW w:w="1383" w:type="dxa"/>
            <w:vAlign w:val="center"/>
          </w:tcPr>
          <w:p w14:paraId="1EF8F887">
            <w:pPr>
              <w:jc w:val="center"/>
              <w:rPr>
                <w:rFonts w:ascii="Times New Roman"/>
                <w:sz w:val="21"/>
                <w:szCs w:val="21"/>
              </w:rPr>
            </w:pPr>
            <w:r>
              <w:rPr>
                <w:rFonts w:hint="eastAsia" w:ascii="Times New Roman"/>
                <w:sz w:val="21"/>
                <w:szCs w:val="21"/>
              </w:rPr>
              <w:t>0.26</w:t>
            </w:r>
          </w:p>
        </w:tc>
        <w:tc>
          <w:tcPr>
            <w:tcW w:w="1417" w:type="dxa"/>
            <w:vAlign w:val="center"/>
          </w:tcPr>
          <w:p w14:paraId="7E914EBC">
            <w:pPr>
              <w:jc w:val="center"/>
              <w:rPr>
                <w:rFonts w:ascii="Times New Roman"/>
                <w:sz w:val="21"/>
                <w:szCs w:val="21"/>
              </w:rPr>
            </w:pPr>
            <w:r>
              <w:rPr>
                <w:rFonts w:hint="eastAsia" w:ascii="Times New Roman"/>
                <w:sz w:val="21"/>
                <w:szCs w:val="21"/>
              </w:rPr>
              <w:t>2.137</w:t>
            </w:r>
          </w:p>
        </w:tc>
        <w:tc>
          <w:tcPr>
            <w:tcW w:w="1424" w:type="dxa"/>
            <w:vAlign w:val="center"/>
          </w:tcPr>
          <w:p w14:paraId="7745B4D6">
            <w:pPr>
              <w:jc w:val="center"/>
              <w:rPr>
                <w:rFonts w:ascii="Times New Roman"/>
                <w:sz w:val="21"/>
                <w:szCs w:val="21"/>
              </w:rPr>
            </w:pPr>
            <w:r>
              <w:rPr>
                <w:rFonts w:hint="eastAsia" w:ascii="Times New Roman"/>
                <w:sz w:val="21"/>
                <w:szCs w:val="21"/>
              </w:rPr>
              <w:t>0.47</w:t>
            </w:r>
          </w:p>
        </w:tc>
      </w:tr>
      <w:tr w14:paraId="30AEDF90">
        <w:tblPrEx>
          <w:tblCellMar>
            <w:top w:w="0" w:type="dxa"/>
            <w:left w:w="108" w:type="dxa"/>
            <w:bottom w:w="0" w:type="dxa"/>
            <w:right w:w="108" w:type="dxa"/>
          </w:tblCellMar>
        </w:tblPrEx>
        <w:trPr>
          <w:trHeight w:val="113" w:hRule="atLeast"/>
        </w:trPr>
        <w:tc>
          <w:tcPr>
            <w:tcW w:w="2641" w:type="dxa"/>
            <w:vAlign w:val="center"/>
          </w:tcPr>
          <w:p w14:paraId="57832A5F">
            <w:pPr>
              <w:jc w:val="center"/>
              <w:rPr>
                <w:rFonts w:ascii="Times New Roman"/>
                <w:sz w:val="21"/>
                <w:szCs w:val="21"/>
              </w:rPr>
            </w:pPr>
            <w:r>
              <w:rPr>
                <w:rFonts w:ascii="Times New Roman"/>
                <w:sz w:val="21"/>
                <w:szCs w:val="21"/>
              </w:rPr>
              <w:t>100.0</w:t>
            </w:r>
          </w:p>
        </w:tc>
        <w:tc>
          <w:tcPr>
            <w:tcW w:w="1634" w:type="dxa"/>
            <w:vAlign w:val="center"/>
          </w:tcPr>
          <w:p w14:paraId="7E1C1195">
            <w:pPr>
              <w:jc w:val="center"/>
              <w:rPr>
                <w:rFonts w:ascii="Times New Roman"/>
                <w:sz w:val="21"/>
                <w:szCs w:val="21"/>
              </w:rPr>
            </w:pPr>
            <w:r>
              <w:rPr>
                <w:rFonts w:hint="eastAsia" w:ascii="Times New Roman"/>
                <w:sz w:val="21"/>
                <w:szCs w:val="21"/>
              </w:rPr>
              <w:t>3.6446</w:t>
            </w:r>
          </w:p>
        </w:tc>
        <w:tc>
          <w:tcPr>
            <w:tcW w:w="1383" w:type="dxa"/>
            <w:vAlign w:val="center"/>
          </w:tcPr>
          <w:p w14:paraId="3AF67C3C">
            <w:pPr>
              <w:jc w:val="center"/>
              <w:rPr>
                <w:rFonts w:ascii="Times New Roman"/>
                <w:sz w:val="21"/>
                <w:szCs w:val="21"/>
              </w:rPr>
            </w:pPr>
            <w:r>
              <w:rPr>
                <w:rFonts w:hint="eastAsia" w:ascii="Times New Roman"/>
                <w:sz w:val="21"/>
                <w:szCs w:val="21"/>
              </w:rPr>
              <w:t>0.81</w:t>
            </w:r>
          </w:p>
        </w:tc>
        <w:tc>
          <w:tcPr>
            <w:tcW w:w="1417" w:type="dxa"/>
            <w:vAlign w:val="center"/>
          </w:tcPr>
          <w:p w14:paraId="048A6881">
            <w:pPr>
              <w:jc w:val="center"/>
              <w:rPr>
                <w:rFonts w:ascii="Times New Roman"/>
                <w:sz w:val="21"/>
                <w:szCs w:val="21"/>
              </w:rPr>
            </w:pPr>
            <w:r>
              <w:rPr>
                <w:rFonts w:hint="eastAsia" w:ascii="Times New Roman"/>
                <w:sz w:val="21"/>
                <w:szCs w:val="21"/>
              </w:rPr>
              <w:t>6.6817</w:t>
            </w:r>
          </w:p>
        </w:tc>
        <w:tc>
          <w:tcPr>
            <w:tcW w:w="1424" w:type="dxa"/>
            <w:vAlign w:val="center"/>
          </w:tcPr>
          <w:p w14:paraId="16AF11D0">
            <w:pPr>
              <w:jc w:val="center"/>
              <w:rPr>
                <w:rFonts w:ascii="Times New Roman"/>
                <w:sz w:val="21"/>
                <w:szCs w:val="21"/>
              </w:rPr>
            </w:pPr>
            <w:r>
              <w:rPr>
                <w:rFonts w:hint="eastAsia" w:ascii="Times New Roman"/>
                <w:sz w:val="21"/>
                <w:szCs w:val="21"/>
              </w:rPr>
              <w:t>1.48</w:t>
            </w:r>
          </w:p>
        </w:tc>
      </w:tr>
      <w:tr w14:paraId="0C3A7CC2">
        <w:tblPrEx>
          <w:tblCellMar>
            <w:top w:w="0" w:type="dxa"/>
            <w:left w:w="108" w:type="dxa"/>
            <w:bottom w:w="0" w:type="dxa"/>
            <w:right w:w="108" w:type="dxa"/>
          </w:tblCellMar>
        </w:tblPrEx>
        <w:trPr>
          <w:trHeight w:val="113" w:hRule="atLeast"/>
        </w:trPr>
        <w:tc>
          <w:tcPr>
            <w:tcW w:w="2641" w:type="dxa"/>
            <w:vAlign w:val="center"/>
          </w:tcPr>
          <w:p w14:paraId="368AB653">
            <w:pPr>
              <w:jc w:val="center"/>
              <w:rPr>
                <w:rFonts w:ascii="Times New Roman"/>
                <w:sz w:val="21"/>
                <w:szCs w:val="21"/>
              </w:rPr>
            </w:pPr>
            <w:r>
              <w:rPr>
                <w:rFonts w:ascii="Times New Roman"/>
                <w:sz w:val="21"/>
                <w:szCs w:val="21"/>
              </w:rPr>
              <w:t>200.0</w:t>
            </w:r>
          </w:p>
        </w:tc>
        <w:tc>
          <w:tcPr>
            <w:tcW w:w="1634" w:type="dxa"/>
            <w:vAlign w:val="center"/>
          </w:tcPr>
          <w:p w14:paraId="20AC88FD">
            <w:pPr>
              <w:jc w:val="center"/>
              <w:rPr>
                <w:rFonts w:ascii="Times New Roman"/>
                <w:sz w:val="21"/>
                <w:szCs w:val="21"/>
              </w:rPr>
            </w:pPr>
            <w:r>
              <w:rPr>
                <w:rFonts w:hint="eastAsia" w:ascii="Times New Roman"/>
                <w:sz w:val="21"/>
                <w:szCs w:val="21"/>
              </w:rPr>
              <w:t>2.2376</w:t>
            </w:r>
          </w:p>
        </w:tc>
        <w:tc>
          <w:tcPr>
            <w:tcW w:w="1383" w:type="dxa"/>
            <w:vAlign w:val="center"/>
          </w:tcPr>
          <w:p w14:paraId="7936B735">
            <w:pPr>
              <w:jc w:val="center"/>
              <w:rPr>
                <w:rFonts w:ascii="Times New Roman"/>
                <w:sz w:val="21"/>
                <w:szCs w:val="21"/>
              </w:rPr>
            </w:pPr>
            <w:r>
              <w:rPr>
                <w:rFonts w:hint="eastAsia" w:ascii="Times New Roman"/>
                <w:sz w:val="21"/>
                <w:szCs w:val="21"/>
              </w:rPr>
              <w:t>0.5</w:t>
            </w:r>
          </w:p>
        </w:tc>
        <w:tc>
          <w:tcPr>
            <w:tcW w:w="1417" w:type="dxa"/>
            <w:vAlign w:val="center"/>
          </w:tcPr>
          <w:p w14:paraId="226A73CB">
            <w:pPr>
              <w:jc w:val="center"/>
              <w:rPr>
                <w:rFonts w:ascii="Times New Roman"/>
                <w:sz w:val="21"/>
                <w:szCs w:val="21"/>
              </w:rPr>
            </w:pPr>
            <w:r>
              <w:rPr>
                <w:rFonts w:hint="eastAsia" w:ascii="Times New Roman"/>
                <w:sz w:val="21"/>
                <w:szCs w:val="21"/>
              </w:rPr>
              <w:t>4.1023</w:t>
            </w:r>
          </w:p>
        </w:tc>
        <w:tc>
          <w:tcPr>
            <w:tcW w:w="1424" w:type="dxa"/>
            <w:vAlign w:val="center"/>
          </w:tcPr>
          <w:p w14:paraId="48712E0C">
            <w:pPr>
              <w:jc w:val="center"/>
              <w:rPr>
                <w:rFonts w:ascii="Times New Roman"/>
                <w:sz w:val="21"/>
                <w:szCs w:val="21"/>
              </w:rPr>
            </w:pPr>
            <w:r>
              <w:rPr>
                <w:rFonts w:hint="eastAsia" w:ascii="Times New Roman"/>
                <w:sz w:val="21"/>
                <w:szCs w:val="21"/>
              </w:rPr>
              <w:t>0.91</w:t>
            </w:r>
          </w:p>
        </w:tc>
      </w:tr>
      <w:tr w14:paraId="2E681E8C">
        <w:tblPrEx>
          <w:tblCellMar>
            <w:top w:w="0" w:type="dxa"/>
            <w:left w:w="108" w:type="dxa"/>
            <w:bottom w:w="0" w:type="dxa"/>
            <w:right w:w="108" w:type="dxa"/>
          </w:tblCellMar>
        </w:tblPrEx>
        <w:trPr>
          <w:trHeight w:val="113" w:hRule="atLeast"/>
        </w:trPr>
        <w:tc>
          <w:tcPr>
            <w:tcW w:w="2641" w:type="dxa"/>
            <w:vAlign w:val="center"/>
          </w:tcPr>
          <w:p w14:paraId="2EC68D76">
            <w:pPr>
              <w:jc w:val="center"/>
              <w:rPr>
                <w:rFonts w:ascii="Times New Roman"/>
                <w:sz w:val="21"/>
                <w:szCs w:val="21"/>
              </w:rPr>
            </w:pPr>
            <w:r>
              <w:rPr>
                <w:rFonts w:ascii="Times New Roman"/>
                <w:sz w:val="21"/>
                <w:szCs w:val="21"/>
              </w:rPr>
              <w:t>300.0</w:t>
            </w:r>
          </w:p>
        </w:tc>
        <w:tc>
          <w:tcPr>
            <w:tcW w:w="1634" w:type="dxa"/>
            <w:vAlign w:val="center"/>
          </w:tcPr>
          <w:p w14:paraId="3B80D9A7">
            <w:pPr>
              <w:jc w:val="center"/>
              <w:rPr>
                <w:rFonts w:ascii="Times New Roman"/>
                <w:sz w:val="21"/>
                <w:szCs w:val="21"/>
              </w:rPr>
            </w:pPr>
            <w:r>
              <w:rPr>
                <w:rFonts w:hint="eastAsia" w:ascii="Times New Roman"/>
                <w:sz w:val="21"/>
                <w:szCs w:val="21"/>
              </w:rPr>
              <w:t>1.6995</w:t>
            </w:r>
          </w:p>
        </w:tc>
        <w:tc>
          <w:tcPr>
            <w:tcW w:w="1383" w:type="dxa"/>
            <w:vAlign w:val="center"/>
          </w:tcPr>
          <w:p w14:paraId="68480637">
            <w:pPr>
              <w:jc w:val="center"/>
              <w:rPr>
                <w:rFonts w:ascii="Times New Roman"/>
                <w:sz w:val="21"/>
                <w:szCs w:val="21"/>
              </w:rPr>
            </w:pPr>
            <w:r>
              <w:rPr>
                <w:rFonts w:hint="eastAsia" w:ascii="Times New Roman"/>
                <w:sz w:val="21"/>
                <w:szCs w:val="21"/>
              </w:rPr>
              <w:t>0.38</w:t>
            </w:r>
          </w:p>
        </w:tc>
        <w:tc>
          <w:tcPr>
            <w:tcW w:w="1417" w:type="dxa"/>
            <w:vAlign w:val="center"/>
          </w:tcPr>
          <w:p w14:paraId="6EACFECB">
            <w:pPr>
              <w:jc w:val="center"/>
              <w:rPr>
                <w:rFonts w:ascii="Times New Roman"/>
                <w:sz w:val="21"/>
                <w:szCs w:val="21"/>
              </w:rPr>
            </w:pPr>
            <w:r>
              <w:rPr>
                <w:rFonts w:hint="eastAsia" w:ascii="Times New Roman"/>
                <w:sz w:val="21"/>
                <w:szCs w:val="21"/>
              </w:rPr>
              <w:t>3.1157</w:t>
            </w:r>
          </w:p>
        </w:tc>
        <w:tc>
          <w:tcPr>
            <w:tcW w:w="1424" w:type="dxa"/>
            <w:vAlign w:val="center"/>
          </w:tcPr>
          <w:p w14:paraId="4D1FAEC3">
            <w:pPr>
              <w:jc w:val="center"/>
              <w:rPr>
                <w:rFonts w:ascii="Times New Roman"/>
                <w:sz w:val="21"/>
                <w:szCs w:val="21"/>
              </w:rPr>
            </w:pPr>
            <w:r>
              <w:rPr>
                <w:rFonts w:hint="eastAsia" w:ascii="Times New Roman"/>
                <w:sz w:val="21"/>
                <w:szCs w:val="21"/>
              </w:rPr>
              <w:t>0.69</w:t>
            </w:r>
          </w:p>
        </w:tc>
      </w:tr>
      <w:tr w14:paraId="5112A99D">
        <w:tblPrEx>
          <w:tblCellMar>
            <w:top w:w="0" w:type="dxa"/>
            <w:left w:w="108" w:type="dxa"/>
            <w:bottom w:w="0" w:type="dxa"/>
            <w:right w:w="108" w:type="dxa"/>
          </w:tblCellMar>
        </w:tblPrEx>
        <w:trPr>
          <w:trHeight w:val="113" w:hRule="atLeast"/>
        </w:trPr>
        <w:tc>
          <w:tcPr>
            <w:tcW w:w="2641" w:type="dxa"/>
            <w:vAlign w:val="center"/>
          </w:tcPr>
          <w:p w14:paraId="4945A712">
            <w:pPr>
              <w:jc w:val="center"/>
              <w:rPr>
                <w:rFonts w:ascii="Times New Roman"/>
                <w:sz w:val="21"/>
                <w:szCs w:val="21"/>
              </w:rPr>
            </w:pPr>
            <w:r>
              <w:rPr>
                <w:rFonts w:ascii="Times New Roman"/>
                <w:sz w:val="21"/>
                <w:szCs w:val="21"/>
              </w:rPr>
              <w:t>400.0</w:t>
            </w:r>
          </w:p>
        </w:tc>
        <w:tc>
          <w:tcPr>
            <w:tcW w:w="1634" w:type="dxa"/>
            <w:vAlign w:val="center"/>
          </w:tcPr>
          <w:p w14:paraId="36F2EA46">
            <w:pPr>
              <w:jc w:val="center"/>
              <w:rPr>
                <w:rFonts w:ascii="Times New Roman"/>
                <w:sz w:val="21"/>
                <w:szCs w:val="21"/>
              </w:rPr>
            </w:pPr>
            <w:r>
              <w:rPr>
                <w:rFonts w:hint="eastAsia" w:ascii="Times New Roman"/>
                <w:sz w:val="21"/>
                <w:szCs w:val="21"/>
              </w:rPr>
              <w:t>1.3252</w:t>
            </w:r>
          </w:p>
        </w:tc>
        <w:tc>
          <w:tcPr>
            <w:tcW w:w="1383" w:type="dxa"/>
            <w:vAlign w:val="center"/>
          </w:tcPr>
          <w:p w14:paraId="79AB2726">
            <w:pPr>
              <w:jc w:val="center"/>
              <w:rPr>
                <w:rFonts w:ascii="Times New Roman"/>
                <w:sz w:val="21"/>
                <w:szCs w:val="21"/>
              </w:rPr>
            </w:pPr>
            <w:r>
              <w:rPr>
                <w:rFonts w:hint="eastAsia" w:ascii="Times New Roman"/>
                <w:sz w:val="21"/>
                <w:szCs w:val="21"/>
              </w:rPr>
              <w:t>0.29</w:t>
            </w:r>
          </w:p>
        </w:tc>
        <w:tc>
          <w:tcPr>
            <w:tcW w:w="1417" w:type="dxa"/>
            <w:vAlign w:val="center"/>
          </w:tcPr>
          <w:p w14:paraId="4FDACA19">
            <w:pPr>
              <w:jc w:val="center"/>
              <w:rPr>
                <w:rFonts w:ascii="Times New Roman"/>
                <w:sz w:val="21"/>
                <w:szCs w:val="21"/>
              </w:rPr>
            </w:pPr>
            <w:r>
              <w:rPr>
                <w:rFonts w:hint="eastAsia" w:ascii="Times New Roman"/>
                <w:sz w:val="21"/>
                <w:szCs w:val="21"/>
              </w:rPr>
              <w:t>2.4296</w:t>
            </w:r>
          </w:p>
        </w:tc>
        <w:tc>
          <w:tcPr>
            <w:tcW w:w="1424" w:type="dxa"/>
            <w:vAlign w:val="center"/>
          </w:tcPr>
          <w:p w14:paraId="3F903B0F">
            <w:pPr>
              <w:jc w:val="center"/>
              <w:rPr>
                <w:rFonts w:ascii="Times New Roman"/>
                <w:sz w:val="21"/>
                <w:szCs w:val="21"/>
              </w:rPr>
            </w:pPr>
            <w:r>
              <w:rPr>
                <w:rFonts w:hint="eastAsia" w:ascii="Times New Roman"/>
                <w:sz w:val="21"/>
                <w:szCs w:val="21"/>
              </w:rPr>
              <w:t>0.54</w:t>
            </w:r>
          </w:p>
        </w:tc>
      </w:tr>
      <w:tr w14:paraId="5EBA54C8">
        <w:tblPrEx>
          <w:tblCellMar>
            <w:top w:w="0" w:type="dxa"/>
            <w:left w:w="108" w:type="dxa"/>
            <w:bottom w:w="0" w:type="dxa"/>
            <w:right w:w="108" w:type="dxa"/>
          </w:tblCellMar>
        </w:tblPrEx>
        <w:trPr>
          <w:trHeight w:val="113" w:hRule="atLeast"/>
        </w:trPr>
        <w:tc>
          <w:tcPr>
            <w:tcW w:w="2641" w:type="dxa"/>
            <w:vAlign w:val="center"/>
          </w:tcPr>
          <w:p w14:paraId="28388D91">
            <w:pPr>
              <w:jc w:val="center"/>
              <w:rPr>
                <w:rFonts w:ascii="Times New Roman"/>
                <w:sz w:val="21"/>
                <w:szCs w:val="21"/>
              </w:rPr>
            </w:pPr>
            <w:r>
              <w:rPr>
                <w:rFonts w:ascii="Times New Roman"/>
                <w:sz w:val="21"/>
                <w:szCs w:val="21"/>
              </w:rPr>
              <w:t>500.0</w:t>
            </w:r>
          </w:p>
        </w:tc>
        <w:tc>
          <w:tcPr>
            <w:tcW w:w="1634" w:type="dxa"/>
            <w:vAlign w:val="center"/>
          </w:tcPr>
          <w:p w14:paraId="1D009EB3">
            <w:pPr>
              <w:jc w:val="center"/>
              <w:rPr>
                <w:rFonts w:ascii="Times New Roman"/>
                <w:sz w:val="21"/>
                <w:szCs w:val="21"/>
              </w:rPr>
            </w:pPr>
            <w:r>
              <w:rPr>
                <w:rFonts w:hint="eastAsia" w:ascii="Times New Roman"/>
                <w:sz w:val="21"/>
                <w:szCs w:val="21"/>
              </w:rPr>
              <w:t>1.0551</w:t>
            </w:r>
          </w:p>
        </w:tc>
        <w:tc>
          <w:tcPr>
            <w:tcW w:w="1383" w:type="dxa"/>
            <w:vAlign w:val="center"/>
          </w:tcPr>
          <w:p w14:paraId="3FE00555">
            <w:pPr>
              <w:jc w:val="center"/>
              <w:rPr>
                <w:rFonts w:ascii="Times New Roman"/>
                <w:sz w:val="21"/>
                <w:szCs w:val="21"/>
              </w:rPr>
            </w:pPr>
            <w:r>
              <w:rPr>
                <w:rFonts w:hint="eastAsia" w:ascii="Times New Roman"/>
                <w:sz w:val="21"/>
                <w:szCs w:val="21"/>
              </w:rPr>
              <w:t>0.23</w:t>
            </w:r>
          </w:p>
        </w:tc>
        <w:tc>
          <w:tcPr>
            <w:tcW w:w="1417" w:type="dxa"/>
            <w:vAlign w:val="center"/>
          </w:tcPr>
          <w:p w14:paraId="40EC6529">
            <w:pPr>
              <w:jc w:val="center"/>
              <w:rPr>
                <w:rFonts w:ascii="Times New Roman"/>
                <w:sz w:val="21"/>
                <w:szCs w:val="21"/>
              </w:rPr>
            </w:pPr>
            <w:r>
              <w:rPr>
                <w:rFonts w:hint="eastAsia" w:ascii="Times New Roman"/>
                <w:sz w:val="21"/>
                <w:szCs w:val="21"/>
              </w:rPr>
              <w:t>1.9343</w:t>
            </w:r>
          </w:p>
        </w:tc>
        <w:tc>
          <w:tcPr>
            <w:tcW w:w="1424" w:type="dxa"/>
            <w:vAlign w:val="center"/>
          </w:tcPr>
          <w:p w14:paraId="121CC587">
            <w:pPr>
              <w:jc w:val="center"/>
              <w:rPr>
                <w:rFonts w:ascii="Times New Roman"/>
                <w:sz w:val="21"/>
                <w:szCs w:val="21"/>
              </w:rPr>
            </w:pPr>
            <w:r>
              <w:rPr>
                <w:rFonts w:hint="eastAsia" w:ascii="Times New Roman"/>
                <w:sz w:val="21"/>
                <w:szCs w:val="21"/>
              </w:rPr>
              <w:t>0.43</w:t>
            </w:r>
          </w:p>
        </w:tc>
      </w:tr>
      <w:tr w14:paraId="5E2F5260">
        <w:tblPrEx>
          <w:tblCellMar>
            <w:top w:w="0" w:type="dxa"/>
            <w:left w:w="108" w:type="dxa"/>
            <w:bottom w:w="0" w:type="dxa"/>
            <w:right w:w="108" w:type="dxa"/>
          </w:tblCellMar>
        </w:tblPrEx>
        <w:trPr>
          <w:trHeight w:val="113" w:hRule="atLeast"/>
        </w:trPr>
        <w:tc>
          <w:tcPr>
            <w:tcW w:w="2641" w:type="dxa"/>
            <w:vAlign w:val="center"/>
          </w:tcPr>
          <w:p w14:paraId="0E87EFBB">
            <w:pPr>
              <w:jc w:val="center"/>
              <w:rPr>
                <w:rFonts w:ascii="Times New Roman"/>
                <w:sz w:val="21"/>
                <w:szCs w:val="21"/>
              </w:rPr>
            </w:pPr>
            <w:r>
              <w:rPr>
                <w:rFonts w:ascii="Times New Roman"/>
                <w:sz w:val="21"/>
                <w:szCs w:val="21"/>
              </w:rPr>
              <w:t>600.0</w:t>
            </w:r>
          </w:p>
        </w:tc>
        <w:tc>
          <w:tcPr>
            <w:tcW w:w="1634" w:type="dxa"/>
            <w:vAlign w:val="center"/>
          </w:tcPr>
          <w:p w14:paraId="333A2933">
            <w:pPr>
              <w:jc w:val="center"/>
              <w:rPr>
                <w:rFonts w:ascii="Times New Roman"/>
                <w:sz w:val="21"/>
                <w:szCs w:val="21"/>
              </w:rPr>
            </w:pPr>
            <w:r>
              <w:rPr>
                <w:rFonts w:hint="eastAsia" w:ascii="Times New Roman"/>
                <w:sz w:val="21"/>
                <w:szCs w:val="21"/>
              </w:rPr>
              <w:t>0.8618</w:t>
            </w:r>
          </w:p>
        </w:tc>
        <w:tc>
          <w:tcPr>
            <w:tcW w:w="1383" w:type="dxa"/>
            <w:vAlign w:val="center"/>
          </w:tcPr>
          <w:p w14:paraId="293EAE86">
            <w:pPr>
              <w:jc w:val="center"/>
              <w:rPr>
                <w:rFonts w:ascii="Times New Roman"/>
                <w:sz w:val="21"/>
                <w:szCs w:val="21"/>
              </w:rPr>
            </w:pPr>
            <w:r>
              <w:rPr>
                <w:rFonts w:hint="eastAsia" w:ascii="Times New Roman"/>
                <w:sz w:val="21"/>
                <w:szCs w:val="21"/>
              </w:rPr>
              <w:t>0.19</w:t>
            </w:r>
          </w:p>
        </w:tc>
        <w:tc>
          <w:tcPr>
            <w:tcW w:w="1417" w:type="dxa"/>
            <w:vAlign w:val="center"/>
          </w:tcPr>
          <w:p w14:paraId="38F87944">
            <w:pPr>
              <w:jc w:val="center"/>
              <w:rPr>
                <w:rFonts w:ascii="Times New Roman"/>
                <w:sz w:val="21"/>
                <w:szCs w:val="21"/>
              </w:rPr>
            </w:pPr>
            <w:r>
              <w:rPr>
                <w:rFonts w:hint="eastAsia" w:ascii="Times New Roman"/>
                <w:sz w:val="21"/>
                <w:szCs w:val="21"/>
              </w:rPr>
              <w:t>1.5799</w:t>
            </w:r>
          </w:p>
        </w:tc>
        <w:tc>
          <w:tcPr>
            <w:tcW w:w="1424" w:type="dxa"/>
            <w:vAlign w:val="center"/>
          </w:tcPr>
          <w:p w14:paraId="483C57E6">
            <w:pPr>
              <w:jc w:val="center"/>
              <w:rPr>
                <w:rFonts w:ascii="Times New Roman"/>
                <w:sz w:val="21"/>
                <w:szCs w:val="21"/>
              </w:rPr>
            </w:pPr>
            <w:r>
              <w:rPr>
                <w:rFonts w:hint="eastAsia" w:ascii="Times New Roman"/>
                <w:sz w:val="21"/>
                <w:szCs w:val="21"/>
              </w:rPr>
              <w:t>0.35</w:t>
            </w:r>
          </w:p>
        </w:tc>
      </w:tr>
      <w:tr w14:paraId="43620C57">
        <w:tblPrEx>
          <w:tblCellMar>
            <w:top w:w="0" w:type="dxa"/>
            <w:left w:w="108" w:type="dxa"/>
            <w:bottom w:w="0" w:type="dxa"/>
            <w:right w:w="108" w:type="dxa"/>
          </w:tblCellMar>
        </w:tblPrEx>
        <w:trPr>
          <w:trHeight w:val="113" w:hRule="atLeast"/>
        </w:trPr>
        <w:tc>
          <w:tcPr>
            <w:tcW w:w="2641" w:type="dxa"/>
            <w:vAlign w:val="center"/>
          </w:tcPr>
          <w:p w14:paraId="2F7140E7">
            <w:pPr>
              <w:jc w:val="center"/>
              <w:rPr>
                <w:rFonts w:ascii="Times New Roman"/>
                <w:sz w:val="21"/>
                <w:szCs w:val="21"/>
              </w:rPr>
            </w:pPr>
            <w:r>
              <w:rPr>
                <w:rFonts w:ascii="Times New Roman"/>
                <w:sz w:val="21"/>
                <w:szCs w:val="21"/>
              </w:rPr>
              <w:t>700.0</w:t>
            </w:r>
          </w:p>
        </w:tc>
        <w:tc>
          <w:tcPr>
            <w:tcW w:w="1634" w:type="dxa"/>
            <w:vAlign w:val="center"/>
          </w:tcPr>
          <w:p w14:paraId="72E24EA0">
            <w:pPr>
              <w:jc w:val="center"/>
              <w:rPr>
                <w:rFonts w:ascii="Times New Roman"/>
                <w:sz w:val="21"/>
                <w:szCs w:val="21"/>
              </w:rPr>
            </w:pPr>
            <w:r>
              <w:rPr>
                <w:rFonts w:hint="eastAsia" w:ascii="Times New Roman"/>
                <w:sz w:val="21"/>
                <w:szCs w:val="21"/>
              </w:rPr>
              <w:t>0.72</w:t>
            </w:r>
          </w:p>
        </w:tc>
        <w:tc>
          <w:tcPr>
            <w:tcW w:w="1383" w:type="dxa"/>
            <w:vAlign w:val="center"/>
          </w:tcPr>
          <w:p w14:paraId="0051F9A2">
            <w:pPr>
              <w:jc w:val="center"/>
              <w:rPr>
                <w:rFonts w:ascii="Times New Roman"/>
                <w:sz w:val="21"/>
                <w:szCs w:val="21"/>
              </w:rPr>
            </w:pPr>
            <w:r>
              <w:rPr>
                <w:rFonts w:hint="eastAsia" w:ascii="Times New Roman"/>
                <w:sz w:val="21"/>
                <w:szCs w:val="21"/>
              </w:rPr>
              <w:t>0.16</w:t>
            </w:r>
          </w:p>
        </w:tc>
        <w:tc>
          <w:tcPr>
            <w:tcW w:w="1417" w:type="dxa"/>
            <w:vAlign w:val="center"/>
          </w:tcPr>
          <w:p w14:paraId="68269AE4">
            <w:pPr>
              <w:jc w:val="center"/>
              <w:rPr>
                <w:rFonts w:ascii="Times New Roman"/>
                <w:sz w:val="21"/>
                <w:szCs w:val="21"/>
              </w:rPr>
            </w:pPr>
            <w:r>
              <w:rPr>
                <w:rFonts w:hint="eastAsia" w:ascii="Times New Roman"/>
                <w:sz w:val="21"/>
                <w:szCs w:val="21"/>
              </w:rPr>
              <w:t>1.3199</w:t>
            </w:r>
          </w:p>
        </w:tc>
        <w:tc>
          <w:tcPr>
            <w:tcW w:w="1424" w:type="dxa"/>
            <w:vAlign w:val="center"/>
          </w:tcPr>
          <w:p w14:paraId="2A3C508A">
            <w:pPr>
              <w:jc w:val="center"/>
              <w:rPr>
                <w:rFonts w:ascii="Times New Roman"/>
                <w:sz w:val="21"/>
                <w:szCs w:val="21"/>
              </w:rPr>
            </w:pPr>
            <w:r>
              <w:rPr>
                <w:rFonts w:hint="eastAsia" w:ascii="Times New Roman"/>
                <w:sz w:val="21"/>
                <w:szCs w:val="21"/>
              </w:rPr>
              <w:t>0.29</w:t>
            </w:r>
          </w:p>
        </w:tc>
      </w:tr>
      <w:tr w14:paraId="3F6B5270">
        <w:tblPrEx>
          <w:tblCellMar>
            <w:top w:w="0" w:type="dxa"/>
            <w:left w:w="108" w:type="dxa"/>
            <w:bottom w:w="0" w:type="dxa"/>
            <w:right w:w="108" w:type="dxa"/>
          </w:tblCellMar>
        </w:tblPrEx>
        <w:trPr>
          <w:trHeight w:val="113" w:hRule="atLeast"/>
        </w:trPr>
        <w:tc>
          <w:tcPr>
            <w:tcW w:w="2641" w:type="dxa"/>
            <w:vAlign w:val="center"/>
          </w:tcPr>
          <w:p w14:paraId="2F411BF6">
            <w:pPr>
              <w:jc w:val="center"/>
              <w:rPr>
                <w:rFonts w:ascii="Times New Roman"/>
                <w:sz w:val="21"/>
                <w:szCs w:val="21"/>
              </w:rPr>
            </w:pPr>
            <w:r>
              <w:rPr>
                <w:rFonts w:ascii="Times New Roman"/>
                <w:sz w:val="21"/>
                <w:szCs w:val="21"/>
              </w:rPr>
              <w:t>800.0</w:t>
            </w:r>
          </w:p>
        </w:tc>
        <w:tc>
          <w:tcPr>
            <w:tcW w:w="1634" w:type="dxa"/>
            <w:vAlign w:val="center"/>
          </w:tcPr>
          <w:p w14:paraId="465514FB">
            <w:pPr>
              <w:jc w:val="center"/>
              <w:rPr>
                <w:rFonts w:ascii="Times New Roman"/>
                <w:sz w:val="21"/>
                <w:szCs w:val="21"/>
              </w:rPr>
            </w:pPr>
            <w:r>
              <w:rPr>
                <w:rFonts w:hint="eastAsia" w:ascii="Times New Roman"/>
                <w:sz w:val="21"/>
                <w:szCs w:val="21"/>
              </w:rPr>
              <w:t>0.613</w:t>
            </w:r>
          </w:p>
        </w:tc>
        <w:tc>
          <w:tcPr>
            <w:tcW w:w="1383" w:type="dxa"/>
            <w:vAlign w:val="center"/>
          </w:tcPr>
          <w:p w14:paraId="390D4A36">
            <w:pPr>
              <w:jc w:val="center"/>
              <w:rPr>
                <w:rFonts w:ascii="Times New Roman"/>
                <w:sz w:val="21"/>
                <w:szCs w:val="21"/>
              </w:rPr>
            </w:pPr>
            <w:r>
              <w:rPr>
                <w:rFonts w:hint="eastAsia" w:ascii="Times New Roman"/>
                <w:sz w:val="21"/>
                <w:szCs w:val="21"/>
              </w:rPr>
              <w:t>0.14</w:t>
            </w:r>
          </w:p>
        </w:tc>
        <w:tc>
          <w:tcPr>
            <w:tcW w:w="1417" w:type="dxa"/>
            <w:vAlign w:val="center"/>
          </w:tcPr>
          <w:p w14:paraId="1596901C">
            <w:pPr>
              <w:jc w:val="center"/>
              <w:rPr>
                <w:rFonts w:ascii="Times New Roman"/>
                <w:sz w:val="21"/>
                <w:szCs w:val="21"/>
              </w:rPr>
            </w:pPr>
            <w:r>
              <w:rPr>
                <w:rFonts w:hint="eastAsia" w:ascii="Times New Roman"/>
                <w:sz w:val="21"/>
                <w:szCs w:val="21"/>
              </w:rPr>
              <w:t>1.1238</w:t>
            </w:r>
          </w:p>
        </w:tc>
        <w:tc>
          <w:tcPr>
            <w:tcW w:w="1424" w:type="dxa"/>
            <w:vAlign w:val="center"/>
          </w:tcPr>
          <w:p w14:paraId="207407B3">
            <w:pPr>
              <w:jc w:val="center"/>
              <w:rPr>
                <w:rFonts w:ascii="Times New Roman"/>
                <w:sz w:val="21"/>
                <w:szCs w:val="21"/>
              </w:rPr>
            </w:pPr>
            <w:r>
              <w:rPr>
                <w:rFonts w:hint="eastAsia" w:ascii="Times New Roman"/>
                <w:sz w:val="21"/>
                <w:szCs w:val="21"/>
              </w:rPr>
              <w:t>0.25</w:t>
            </w:r>
          </w:p>
        </w:tc>
      </w:tr>
      <w:tr w14:paraId="0FD70191">
        <w:tblPrEx>
          <w:tblCellMar>
            <w:top w:w="0" w:type="dxa"/>
            <w:left w:w="108" w:type="dxa"/>
            <w:bottom w:w="0" w:type="dxa"/>
            <w:right w:w="108" w:type="dxa"/>
          </w:tblCellMar>
        </w:tblPrEx>
        <w:trPr>
          <w:trHeight w:val="113" w:hRule="atLeast"/>
        </w:trPr>
        <w:tc>
          <w:tcPr>
            <w:tcW w:w="2641" w:type="dxa"/>
            <w:vAlign w:val="center"/>
          </w:tcPr>
          <w:p w14:paraId="46C1A913">
            <w:pPr>
              <w:jc w:val="center"/>
              <w:rPr>
                <w:rFonts w:ascii="Times New Roman"/>
                <w:sz w:val="21"/>
                <w:szCs w:val="21"/>
              </w:rPr>
            </w:pPr>
            <w:r>
              <w:rPr>
                <w:rFonts w:ascii="Times New Roman"/>
                <w:sz w:val="21"/>
                <w:szCs w:val="21"/>
              </w:rPr>
              <w:t>900.0</w:t>
            </w:r>
          </w:p>
        </w:tc>
        <w:tc>
          <w:tcPr>
            <w:tcW w:w="1634" w:type="dxa"/>
            <w:vAlign w:val="center"/>
          </w:tcPr>
          <w:p w14:paraId="3DD5BE80">
            <w:pPr>
              <w:jc w:val="center"/>
              <w:rPr>
                <w:rFonts w:ascii="Times New Roman"/>
                <w:sz w:val="21"/>
                <w:szCs w:val="21"/>
              </w:rPr>
            </w:pPr>
            <w:r>
              <w:rPr>
                <w:rFonts w:hint="eastAsia" w:ascii="Times New Roman"/>
                <w:sz w:val="21"/>
                <w:szCs w:val="21"/>
              </w:rPr>
              <w:t>0.5302</w:t>
            </w:r>
          </w:p>
        </w:tc>
        <w:tc>
          <w:tcPr>
            <w:tcW w:w="1383" w:type="dxa"/>
            <w:vAlign w:val="center"/>
          </w:tcPr>
          <w:p w14:paraId="130F102F">
            <w:pPr>
              <w:jc w:val="center"/>
              <w:rPr>
                <w:rFonts w:ascii="Times New Roman"/>
                <w:sz w:val="21"/>
                <w:szCs w:val="21"/>
              </w:rPr>
            </w:pPr>
            <w:r>
              <w:rPr>
                <w:rFonts w:hint="eastAsia" w:ascii="Times New Roman"/>
                <w:sz w:val="21"/>
                <w:szCs w:val="21"/>
              </w:rPr>
              <w:t>0.12</w:t>
            </w:r>
          </w:p>
        </w:tc>
        <w:tc>
          <w:tcPr>
            <w:tcW w:w="1417" w:type="dxa"/>
            <w:vAlign w:val="center"/>
          </w:tcPr>
          <w:p w14:paraId="2E7382DE">
            <w:pPr>
              <w:jc w:val="center"/>
              <w:rPr>
                <w:rFonts w:ascii="Times New Roman"/>
                <w:sz w:val="21"/>
                <w:szCs w:val="21"/>
              </w:rPr>
            </w:pPr>
            <w:r>
              <w:rPr>
                <w:rFonts w:hint="eastAsia" w:ascii="Times New Roman"/>
                <w:sz w:val="21"/>
                <w:szCs w:val="21"/>
              </w:rPr>
              <w:t>0.9719</w:t>
            </w:r>
          </w:p>
        </w:tc>
        <w:tc>
          <w:tcPr>
            <w:tcW w:w="1424" w:type="dxa"/>
            <w:vAlign w:val="center"/>
          </w:tcPr>
          <w:p w14:paraId="34798B7B">
            <w:pPr>
              <w:jc w:val="center"/>
              <w:rPr>
                <w:rFonts w:ascii="Times New Roman"/>
                <w:sz w:val="21"/>
                <w:szCs w:val="21"/>
              </w:rPr>
            </w:pPr>
            <w:r>
              <w:rPr>
                <w:rFonts w:hint="eastAsia" w:ascii="Times New Roman"/>
                <w:sz w:val="21"/>
                <w:szCs w:val="21"/>
              </w:rPr>
              <w:t>0.22</w:t>
            </w:r>
          </w:p>
        </w:tc>
      </w:tr>
      <w:tr w14:paraId="3B9EF19F">
        <w:tblPrEx>
          <w:tblCellMar>
            <w:top w:w="0" w:type="dxa"/>
            <w:left w:w="108" w:type="dxa"/>
            <w:bottom w:w="0" w:type="dxa"/>
            <w:right w:w="108" w:type="dxa"/>
          </w:tblCellMar>
        </w:tblPrEx>
        <w:trPr>
          <w:trHeight w:val="113" w:hRule="atLeast"/>
        </w:trPr>
        <w:tc>
          <w:tcPr>
            <w:tcW w:w="2641" w:type="dxa"/>
            <w:vAlign w:val="center"/>
          </w:tcPr>
          <w:p w14:paraId="41DD13CB">
            <w:pPr>
              <w:jc w:val="center"/>
              <w:rPr>
                <w:rFonts w:ascii="Times New Roman"/>
                <w:sz w:val="21"/>
                <w:szCs w:val="21"/>
              </w:rPr>
            </w:pPr>
            <w:r>
              <w:rPr>
                <w:rFonts w:ascii="Times New Roman"/>
                <w:sz w:val="21"/>
                <w:szCs w:val="21"/>
              </w:rPr>
              <w:t>1000.0</w:t>
            </w:r>
          </w:p>
        </w:tc>
        <w:tc>
          <w:tcPr>
            <w:tcW w:w="1634" w:type="dxa"/>
            <w:vAlign w:val="center"/>
          </w:tcPr>
          <w:p w14:paraId="18EDB5D6">
            <w:pPr>
              <w:jc w:val="center"/>
              <w:rPr>
                <w:rFonts w:ascii="Times New Roman"/>
                <w:sz w:val="21"/>
                <w:szCs w:val="21"/>
              </w:rPr>
            </w:pPr>
            <w:r>
              <w:rPr>
                <w:rFonts w:hint="eastAsia" w:ascii="Times New Roman"/>
                <w:sz w:val="21"/>
                <w:szCs w:val="21"/>
              </w:rPr>
              <w:t>0.4645</w:t>
            </w:r>
          </w:p>
        </w:tc>
        <w:tc>
          <w:tcPr>
            <w:tcW w:w="1383" w:type="dxa"/>
            <w:vAlign w:val="center"/>
          </w:tcPr>
          <w:p w14:paraId="22C9518C">
            <w:pPr>
              <w:jc w:val="center"/>
              <w:rPr>
                <w:rFonts w:ascii="Times New Roman"/>
                <w:sz w:val="21"/>
                <w:szCs w:val="21"/>
              </w:rPr>
            </w:pPr>
            <w:r>
              <w:rPr>
                <w:rFonts w:hint="eastAsia" w:ascii="Times New Roman"/>
                <w:sz w:val="21"/>
                <w:szCs w:val="21"/>
              </w:rPr>
              <w:t>0.1</w:t>
            </w:r>
          </w:p>
        </w:tc>
        <w:tc>
          <w:tcPr>
            <w:tcW w:w="1417" w:type="dxa"/>
            <w:vAlign w:val="center"/>
          </w:tcPr>
          <w:p w14:paraId="74263073">
            <w:pPr>
              <w:jc w:val="center"/>
              <w:rPr>
                <w:rFonts w:ascii="Times New Roman"/>
                <w:sz w:val="21"/>
                <w:szCs w:val="21"/>
              </w:rPr>
            </w:pPr>
            <w:r>
              <w:rPr>
                <w:rFonts w:hint="eastAsia" w:ascii="Times New Roman"/>
                <w:sz w:val="21"/>
                <w:szCs w:val="21"/>
              </w:rPr>
              <w:t>0.8517</w:t>
            </w:r>
          </w:p>
        </w:tc>
        <w:tc>
          <w:tcPr>
            <w:tcW w:w="1424" w:type="dxa"/>
            <w:vAlign w:val="center"/>
          </w:tcPr>
          <w:p w14:paraId="2046F873">
            <w:pPr>
              <w:jc w:val="center"/>
              <w:rPr>
                <w:rFonts w:ascii="Times New Roman"/>
                <w:sz w:val="21"/>
                <w:szCs w:val="21"/>
              </w:rPr>
            </w:pPr>
            <w:r>
              <w:rPr>
                <w:rFonts w:hint="eastAsia" w:ascii="Times New Roman"/>
                <w:sz w:val="21"/>
                <w:szCs w:val="21"/>
              </w:rPr>
              <w:t>0.19</w:t>
            </w:r>
          </w:p>
        </w:tc>
      </w:tr>
      <w:tr w14:paraId="2128F66E">
        <w:tblPrEx>
          <w:tblCellMar>
            <w:top w:w="0" w:type="dxa"/>
            <w:left w:w="108" w:type="dxa"/>
            <w:bottom w:w="0" w:type="dxa"/>
            <w:right w:w="108" w:type="dxa"/>
          </w:tblCellMar>
        </w:tblPrEx>
        <w:trPr>
          <w:trHeight w:val="113" w:hRule="atLeast"/>
        </w:trPr>
        <w:tc>
          <w:tcPr>
            <w:tcW w:w="2641" w:type="dxa"/>
            <w:vAlign w:val="center"/>
          </w:tcPr>
          <w:p w14:paraId="71E2055C">
            <w:pPr>
              <w:jc w:val="center"/>
              <w:rPr>
                <w:rFonts w:ascii="Times New Roman"/>
                <w:sz w:val="21"/>
                <w:szCs w:val="21"/>
              </w:rPr>
            </w:pPr>
            <w:r>
              <w:rPr>
                <w:rFonts w:ascii="Times New Roman"/>
                <w:sz w:val="21"/>
                <w:szCs w:val="21"/>
              </w:rPr>
              <w:t>1200.0</w:t>
            </w:r>
          </w:p>
        </w:tc>
        <w:tc>
          <w:tcPr>
            <w:tcW w:w="1634" w:type="dxa"/>
            <w:vAlign w:val="center"/>
          </w:tcPr>
          <w:p w14:paraId="1A8CFC24">
            <w:pPr>
              <w:jc w:val="center"/>
              <w:rPr>
                <w:rFonts w:ascii="Times New Roman"/>
                <w:sz w:val="21"/>
                <w:szCs w:val="21"/>
              </w:rPr>
            </w:pPr>
            <w:r>
              <w:rPr>
                <w:rFonts w:hint="eastAsia" w:ascii="Times New Roman"/>
                <w:sz w:val="21"/>
                <w:szCs w:val="21"/>
              </w:rPr>
              <w:t>0.3681</w:t>
            </w:r>
          </w:p>
        </w:tc>
        <w:tc>
          <w:tcPr>
            <w:tcW w:w="1383" w:type="dxa"/>
            <w:vAlign w:val="center"/>
          </w:tcPr>
          <w:p w14:paraId="406237D1">
            <w:pPr>
              <w:jc w:val="center"/>
              <w:rPr>
                <w:rFonts w:ascii="Times New Roman"/>
                <w:sz w:val="21"/>
                <w:szCs w:val="21"/>
              </w:rPr>
            </w:pPr>
            <w:r>
              <w:rPr>
                <w:rFonts w:hint="eastAsia" w:ascii="Times New Roman"/>
                <w:sz w:val="21"/>
                <w:szCs w:val="21"/>
              </w:rPr>
              <w:t>0.08</w:t>
            </w:r>
          </w:p>
        </w:tc>
        <w:tc>
          <w:tcPr>
            <w:tcW w:w="1417" w:type="dxa"/>
            <w:vAlign w:val="center"/>
          </w:tcPr>
          <w:p w14:paraId="54616F1C">
            <w:pPr>
              <w:jc w:val="center"/>
              <w:rPr>
                <w:rFonts w:ascii="Times New Roman"/>
                <w:sz w:val="21"/>
                <w:szCs w:val="21"/>
              </w:rPr>
            </w:pPr>
            <w:r>
              <w:rPr>
                <w:rFonts w:hint="eastAsia" w:ascii="Times New Roman"/>
                <w:sz w:val="21"/>
                <w:szCs w:val="21"/>
              </w:rPr>
              <w:t>0.6748</w:t>
            </w:r>
          </w:p>
        </w:tc>
        <w:tc>
          <w:tcPr>
            <w:tcW w:w="1424" w:type="dxa"/>
            <w:vAlign w:val="center"/>
          </w:tcPr>
          <w:p w14:paraId="006CB466">
            <w:pPr>
              <w:jc w:val="center"/>
              <w:rPr>
                <w:rFonts w:ascii="Times New Roman"/>
                <w:sz w:val="21"/>
                <w:szCs w:val="21"/>
              </w:rPr>
            </w:pPr>
            <w:r>
              <w:rPr>
                <w:rFonts w:hint="eastAsia" w:ascii="Times New Roman"/>
                <w:sz w:val="21"/>
                <w:szCs w:val="21"/>
              </w:rPr>
              <w:t>0.15</w:t>
            </w:r>
          </w:p>
        </w:tc>
      </w:tr>
      <w:tr w14:paraId="365C253C">
        <w:tblPrEx>
          <w:tblCellMar>
            <w:top w:w="0" w:type="dxa"/>
            <w:left w:w="108" w:type="dxa"/>
            <w:bottom w:w="0" w:type="dxa"/>
            <w:right w:w="108" w:type="dxa"/>
          </w:tblCellMar>
        </w:tblPrEx>
        <w:trPr>
          <w:trHeight w:val="113" w:hRule="atLeast"/>
        </w:trPr>
        <w:tc>
          <w:tcPr>
            <w:tcW w:w="2641" w:type="dxa"/>
            <w:vAlign w:val="center"/>
          </w:tcPr>
          <w:p w14:paraId="5C29AB0D">
            <w:pPr>
              <w:jc w:val="center"/>
              <w:rPr>
                <w:rFonts w:ascii="Times New Roman"/>
                <w:sz w:val="21"/>
                <w:szCs w:val="21"/>
              </w:rPr>
            </w:pPr>
            <w:r>
              <w:rPr>
                <w:rFonts w:ascii="Times New Roman"/>
                <w:sz w:val="21"/>
                <w:szCs w:val="21"/>
              </w:rPr>
              <w:t>1400.0</w:t>
            </w:r>
          </w:p>
        </w:tc>
        <w:tc>
          <w:tcPr>
            <w:tcW w:w="1634" w:type="dxa"/>
            <w:vAlign w:val="center"/>
          </w:tcPr>
          <w:p w14:paraId="33EFA17E">
            <w:pPr>
              <w:jc w:val="center"/>
              <w:rPr>
                <w:rFonts w:ascii="Times New Roman"/>
                <w:sz w:val="21"/>
                <w:szCs w:val="21"/>
              </w:rPr>
            </w:pPr>
            <w:r>
              <w:rPr>
                <w:rFonts w:hint="eastAsia" w:ascii="Times New Roman"/>
                <w:sz w:val="21"/>
                <w:szCs w:val="21"/>
              </w:rPr>
              <w:t>0.3013</w:t>
            </w:r>
          </w:p>
        </w:tc>
        <w:tc>
          <w:tcPr>
            <w:tcW w:w="1383" w:type="dxa"/>
            <w:vAlign w:val="center"/>
          </w:tcPr>
          <w:p w14:paraId="7B0D1A3E">
            <w:pPr>
              <w:jc w:val="center"/>
              <w:rPr>
                <w:rFonts w:ascii="Times New Roman"/>
                <w:sz w:val="21"/>
                <w:szCs w:val="21"/>
              </w:rPr>
            </w:pPr>
            <w:r>
              <w:rPr>
                <w:rFonts w:hint="eastAsia" w:ascii="Times New Roman"/>
                <w:sz w:val="21"/>
                <w:szCs w:val="21"/>
              </w:rPr>
              <w:t>0.07</w:t>
            </w:r>
          </w:p>
        </w:tc>
        <w:tc>
          <w:tcPr>
            <w:tcW w:w="1417" w:type="dxa"/>
            <w:vAlign w:val="center"/>
          </w:tcPr>
          <w:p w14:paraId="20F9B106">
            <w:pPr>
              <w:jc w:val="center"/>
              <w:rPr>
                <w:rFonts w:ascii="Times New Roman"/>
                <w:sz w:val="21"/>
                <w:szCs w:val="21"/>
              </w:rPr>
            </w:pPr>
            <w:r>
              <w:rPr>
                <w:rFonts w:hint="eastAsia" w:ascii="Times New Roman"/>
                <w:sz w:val="21"/>
                <w:szCs w:val="21"/>
              </w:rPr>
              <w:t>0.5523</w:t>
            </w:r>
          </w:p>
        </w:tc>
        <w:tc>
          <w:tcPr>
            <w:tcW w:w="1424" w:type="dxa"/>
            <w:vAlign w:val="center"/>
          </w:tcPr>
          <w:p w14:paraId="37585CF1">
            <w:pPr>
              <w:jc w:val="center"/>
              <w:rPr>
                <w:rFonts w:ascii="Times New Roman"/>
                <w:sz w:val="21"/>
                <w:szCs w:val="21"/>
              </w:rPr>
            </w:pPr>
            <w:r>
              <w:rPr>
                <w:rFonts w:hint="eastAsia" w:ascii="Times New Roman"/>
                <w:sz w:val="21"/>
                <w:szCs w:val="21"/>
              </w:rPr>
              <w:t>0.12</w:t>
            </w:r>
          </w:p>
        </w:tc>
      </w:tr>
      <w:tr w14:paraId="7FF5EB39">
        <w:tblPrEx>
          <w:tblCellMar>
            <w:top w:w="0" w:type="dxa"/>
            <w:left w:w="108" w:type="dxa"/>
            <w:bottom w:w="0" w:type="dxa"/>
            <w:right w:w="108" w:type="dxa"/>
          </w:tblCellMar>
        </w:tblPrEx>
        <w:trPr>
          <w:trHeight w:val="113" w:hRule="atLeast"/>
        </w:trPr>
        <w:tc>
          <w:tcPr>
            <w:tcW w:w="2641" w:type="dxa"/>
            <w:vAlign w:val="center"/>
          </w:tcPr>
          <w:p w14:paraId="14E3584C">
            <w:pPr>
              <w:jc w:val="center"/>
              <w:rPr>
                <w:rFonts w:ascii="Times New Roman"/>
                <w:sz w:val="21"/>
                <w:szCs w:val="21"/>
              </w:rPr>
            </w:pPr>
            <w:r>
              <w:rPr>
                <w:rFonts w:ascii="Times New Roman"/>
                <w:sz w:val="21"/>
                <w:szCs w:val="21"/>
              </w:rPr>
              <w:t>1600.0</w:t>
            </w:r>
          </w:p>
        </w:tc>
        <w:tc>
          <w:tcPr>
            <w:tcW w:w="1634" w:type="dxa"/>
            <w:vAlign w:val="center"/>
          </w:tcPr>
          <w:p w14:paraId="54652E97">
            <w:pPr>
              <w:jc w:val="center"/>
              <w:rPr>
                <w:rFonts w:ascii="Times New Roman"/>
                <w:sz w:val="21"/>
                <w:szCs w:val="21"/>
              </w:rPr>
            </w:pPr>
            <w:r>
              <w:rPr>
                <w:rFonts w:hint="eastAsia" w:ascii="Times New Roman"/>
                <w:sz w:val="21"/>
                <w:szCs w:val="21"/>
              </w:rPr>
              <w:t>0.2527</w:t>
            </w:r>
          </w:p>
        </w:tc>
        <w:tc>
          <w:tcPr>
            <w:tcW w:w="1383" w:type="dxa"/>
            <w:vAlign w:val="center"/>
          </w:tcPr>
          <w:p w14:paraId="0A4E0AAB">
            <w:pPr>
              <w:jc w:val="center"/>
              <w:rPr>
                <w:rFonts w:ascii="Times New Roman"/>
                <w:sz w:val="21"/>
                <w:szCs w:val="21"/>
              </w:rPr>
            </w:pPr>
            <w:r>
              <w:rPr>
                <w:rFonts w:hint="eastAsia" w:ascii="Times New Roman"/>
                <w:sz w:val="21"/>
                <w:szCs w:val="21"/>
              </w:rPr>
              <w:t>0.06</w:t>
            </w:r>
          </w:p>
        </w:tc>
        <w:tc>
          <w:tcPr>
            <w:tcW w:w="1417" w:type="dxa"/>
            <w:vAlign w:val="center"/>
          </w:tcPr>
          <w:p w14:paraId="4FD83BF3">
            <w:pPr>
              <w:jc w:val="center"/>
              <w:rPr>
                <w:rFonts w:ascii="Times New Roman"/>
                <w:sz w:val="21"/>
                <w:szCs w:val="21"/>
              </w:rPr>
            </w:pPr>
            <w:r>
              <w:rPr>
                <w:rFonts w:hint="eastAsia" w:ascii="Times New Roman"/>
                <w:sz w:val="21"/>
                <w:szCs w:val="21"/>
              </w:rPr>
              <w:t>0.4634</w:t>
            </w:r>
          </w:p>
        </w:tc>
        <w:tc>
          <w:tcPr>
            <w:tcW w:w="1424" w:type="dxa"/>
            <w:vAlign w:val="center"/>
          </w:tcPr>
          <w:p w14:paraId="664062B3">
            <w:pPr>
              <w:jc w:val="center"/>
              <w:rPr>
                <w:rFonts w:ascii="Times New Roman"/>
                <w:sz w:val="21"/>
                <w:szCs w:val="21"/>
              </w:rPr>
            </w:pPr>
            <w:r>
              <w:rPr>
                <w:rFonts w:hint="eastAsia" w:ascii="Times New Roman"/>
                <w:sz w:val="21"/>
                <w:szCs w:val="21"/>
              </w:rPr>
              <w:t>0.1</w:t>
            </w:r>
          </w:p>
        </w:tc>
      </w:tr>
      <w:tr w14:paraId="766BD1D0">
        <w:tblPrEx>
          <w:tblCellMar>
            <w:top w:w="0" w:type="dxa"/>
            <w:left w:w="108" w:type="dxa"/>
            <w:bottom w:w="0" w:type="dxa"/>
            <w:right w:w="108" w:type="dxa"/>
          </w:tblCellMar>
        </w:tblPrEx>
        <w:trPr>
          <w:trHeight w:val="113" w:hRule="atLeast"/>
        </w:trPr>
        <w:tc>
          <w:tcPr>
            <w:tcW w:w="2641" w:type="dxa"/>
            <w:vAlign w:val="center"/>
          </w:tcPr>
          <w:p w14:paraId="4644A24D">
            <w:pPr>
              <w:jc w:val="center"/>
              <w:rPr>
                <w:rFonts w:ascii="Times New Roman"/>
                <w:sz w:val="21"/>
                <w:szCs w:val="21"/>
              </w:rPr>
            </w:pPr>
            <w:r>
              <w:rPr>
                <w:rFonts w:ascii="Times New Roman"/>
                <w:sz w:val="21"/>
                <w:szCs w:val="21"/>
              </w:rPr>
              <w:t>1800.0</w:t>
            </w:r>
          </w:p>
        </w:tc>
        <w:tc>
          <w:tcPr>
            <w:tcW w:w="1634" w:type="dxa"/>
            <w:vAlign w:val="center"/>
          </w:tcPr>
          <w:p w14:paraId="0254EB0F">
            <w:pPr>
              <w:jc w:val="center"/>
              <w:rPr>
                <w:rFonts w:ascii="Times New Roman"/>
                <w:sz w:val="21"/>
                <w:szCs w:val="21"/>
              </w:rPr>
            </w:pPr>
            <w:r>
              <w:rPr>
                <w:rFonts w:hint="eastAsia" w:ascii="Times New Roman"/>
                <w:sz w:val="21"/>
                <w:szCs w:val="21"/>
              </w:rPr>
              <w:t>0.2162</w:t>
            </w:r>
          </w:p>
        </w:tc>
        <w:tc>
          <w:tcPr>
            <w:tcW w:w="1383" w:type="dxa"/>
            <w:vAlign w:val="center"/>
          </w:tcPr>
          <w:p w14:paraId="53CABD63">
            <w:pPr>
              <w:jc w:val="center"/>
              <w:rPr>
                <w:rFonts w:ascii="Times New Roman"/>
                <w:sz w:val="21"/>
                <w:szCs w:val="21"/>
              </w:rPr>
            </w:pPr>
            <w:r>
              <w:rPr>
                <w:rFonts w:hint="eastAsia" w:ascii="Times New Roman"/>
                <w:sz w:val="21"/>
                <w:szCs w:val="21"/>
              </w:rPr>
              <w:t>0.05</w:t>
            </w:r>
          </w:p>
        </w:tc>
        <w:tc>
          <w:tcPr>
            <w:tcW w:w="1417" w:type="dxa"/>
            <w:vAlign w:val="center"/>
          </w:tcPr>
          <w:p w14:paraId="1B1C4248">
            <w:pPr>
              <w:jc w:val="center"/>
              <w:rPr>
                <w:rFonts w:ascii="Times New Roman"/>
                <w:sz w:val="21"/>
                <w:szCs w:val="21"/>
              </w:rPr>
            </w:pPr>
            <w:r>
              <w:rPr>
                <w:rFonts w:hint="eastAsia" w:ascii="Times New Roman"/>
                <w:sz w:val="21"/>
                <w:szCs w:val="21"/>
              </w:rPr>
              <w:t>0.3963</w:t>
            </w:r>
          </w:p>
        </w:tc>
        <w:tc>
          <w:tcPr>
            <w:tcW w:w="1424" w:type="dxa"/>
            <w:vAlign w:val="center"/>
          </w:tcPr>
          <w:p w14:paraId="47DF5990">
            <w:pPr>
              <w:jc w:val="center"/>
              <w:rPr>
                <w:rFonts w:ascii="Times New Roman"/>
                <w:sz w:val="21"/>
                <w:szCs w:val="21"/>
              </w:rPr>
            </w:pPr>
            <w:r>
              <w:rPr>
                <w:rFonts w:hint="eastAsia" w:ascii="Times New Roman"/>
                <w:sz w:val="21"/>
                <w:szCs w:val="21"/>
              </w:rPr>
              <w:t>0.09</w:t>
            </w:r>
          </w:p>
        </w:tc>
      </w:tr>
      <w:tr w14:paraId="7E0906C1">
        <w:tblPrEx>
          <w:tblCellMar>
            <w:top w:w="0" w:type="dxa"/>
            <w:left w:w="108" w:type="dxa"/>
            <w:bottom w:w="0" w:type="dxa"/>
            <w:right w:w="108" w:type="dxa"/>
          </w:tblCellMar>
        </w:tblPrEx>
        <w:trPr>
          <w:trHeight w:val="113" w:hRule="atLeast"/>
        </w:trPr>
        <w:tc>
          <w:tcPr>
            <w:tcW w:w="2641" w:type="dxa"/>
            <w:vAlign w:val="center"/>
          </w:tcPr>
          <w:p w14:paraId="027F672C">
            <w:pPr>
              <w:jc w:val="center"/>
              <w:rPr>
                <w:rFonts w:ascii="Times New Roman"/>
                <w:sz w:val="21"/>
                <w:szCs w:val="21"/>
              </w:rPr>
            </w:pPr>
            <w:r>
              <w:rPr>
                <w:rFonts w:ascii="Times New Roman"/>
                <w:sz w:val="21"/>
                <w:szCs w:val="21"/>
              </w:rPr>
              <w:t>2000.0</w:t>
            </w:r>
          </w:p>
        </w:tc>
        <w:tc>
          <w:tcPr>
            <w:tcW w:w="1634" w:type="dxa"/>
            <w:vAlign w:val="center"/>
          </w:tcPr>
          <w:p w14:paraId="4998CFAA">
            <w:pPr>
              <w:jc w:val="center"/>
              <w:rPr>
                <w:rFonts w:ascii="Times New Roman"/>
                <w:sz w:val="21"/>
                <w:szCs w:val="21"/>
              </w:rPr>
            </w:pPr>
            <w:r>
              <w:rPr>
                <w:rFonts w:hint="eastAsia" w:ascii="Times New Roman"/>
                <w:sz w:val="21"/>
                <w:szCs w:val="21"/>
              </w:rPr>
              <w:t>0.1877</w:t>
            </w:r>
          </w:p>
        </w:tc>
        <w:tc>
          <w:tcPr>
            <w:tcW w:w="1383" w:type="dxa"/>
            <w:vAlign w:val="center"/>
          </w:tcPr>
          <w:p w14:paraId="3EB33EE6">
            <w:pPr>
              <w:jc w:val="center"/>
              <w:rPr>
                <w:rFonts w:ascii="Times New Roman"/>
                <w:sz w:val="21"/>
                <w:szCs w:val="21"/>
              </w:rPr>
            </w:pPr>
            <w:r>
              <w:rPr>
                <w:rFonts w:hint="eastAsia" w:ascii="Times New Roman"/>
                <w:sz w:val="21"/>
                <w:szCs w:val="21"/>
              </w:rPr>
              <w:t>0.04</w:t>
            </w:r>
          </w:p>
        </w:tc>
        <w:tc>
          <w:tcPr>
            <w:tcW w:w="1417" w:type="dxa"/>
            <w:vAlign w:val="center"/>
          </w:tcPr>
          <w:p w14:paraId="2A540022">
            <w:pPr>
              <w:jc w:val="center"/>
              <w:rPr>
                <w:rFonts w:ascii="Times New Roman"/>
                <w:sz w:val="21"/>
                <w:szCs w:val="21"/>
              </w:rPr>
            </w:pPr>
            <w:r>
              <w:rPr>
                <w:rFonts w:hint="eastAsia" w:ascii="Times New Roman"/>
                <w:sz w:val="21"/>
                <w:szCs w:val="21"/>
              </w:rPr>
              <w:t>0.3442</w:t>
            </w:r>
          </w:p>
        </w:tc>
        <w:tc>
          <w:tcPr>
            <w:tcW w:w="1424" w:type="dxa"/>
            <w:vAlign w:val="center"/>
          </w:tcPr>
          <w:p w14:paraId="16FC959C">
            <w:pPr>
              <w:jc w:val="center"/>
              <w:rPr>
                <w:rFonts w:ascii="Times New Roman"/>
                <w:sz w:val="21"/>
                <w:szCs w:val="21"/>
              </w:rPr>
            </w:pPr>
            <w:r>
              <w:rPr>
                <w:rFonts w:hint="eastAsia" w:ascii="Times New Roman"/>
                <w:sz w:val="21"/>
                <w:szCs w:val="21"/>
              </w:rPr>
              <w:t>0.08</w:t>
            </w:r>
          </w:p>
        </w:tc>
      </w:tr>
      <w:tr w14:paraId="54718360">
        <w:tblPrEx>
          <w:tblCellMar>
            <w:top w:w="0" w:type="dxa"/>
            <w:left w:w="108" w:type="dxa"/>
            <w:bottom w:w="0" w:type="dxa"/>
            <w:right w:w="108" w:type="dxa"/>
          </w:tblCellMar>
        </w:tblPrEx>
        <w:trPr>
          <w:trHeight w:val="113" w:hRule="atLeast"/>
        </w:trPr>
        <w:tc>
          <w:tcPr>
            <w:tcW w:w="2641" w:type="dxa"/>
            <w:vAlign w:val="center"/>
          </w:tcPr>
          <w:p w14:paraId="7B34FAFB">
            <w:pPr>
              <w:jc w:val="center"/>
              <w:rPr>
                <w:rFonts w:ascii="Times New Roman"/>
                <w:sz w:val="21"/>
                <w:szCs w:val="21"/>
              </w:rPr>
            </w:pPr>
            <w:r>
              <w:rPr>
                <w:rFonts w:ascii="Times New Roman"/>
                <w:sz w:val="21"/>
                <w:szCs w:val="21"/>
              </w:rPr>
              <w:t>2500.0</w:t>
            </w:r>
          </w:p>
        </w:tc>
        <w:tc>
          <w:tcPr>
            <w:tcW w:w="1634" w:type="dxa"/>
            <w:vAlign w:val="center"/>
          </w:tcPr>
          <w:p w14:paraId="2005E9F6">
            <w:pPr>
              <w:jc w:val="center"/>
              <w:rPr>
                <w:rFonts w:ascii="Times New Roman"/>
                <w:sz w:val="21"/>
                <w:szCs w:val="21"/>
              </w:rPr>
            </w:pPr>
            <w:r>
              <w:rPr>
                <w:rFonts w:hint="eastAsia" w:ascii="Times New Roman"/>
                <w:sz w:val="21"/>
                <w:szCs w:val="21"/>
              </w:rPr>
              <w:t>0.1389</w:t>
            </w:r>
          </w:p>
        </w:tc>
        <w:tc>
          <w:tcPr>
            <w:tcW w:w="1383" w:type="dxa"/>
            <w:vAlign w:val="center"/>
          </w:tcPr>
          <w:p w14:paraId="74776E9A">
            <w:pPr>
              <w:jc w:val="center"/>
              <w:rPr>
                <w:rFonts w:ascii="Times New Roman"/>
                <w:sz w:val="21"/>
                <w:szCs w:val="21"/>
              </w:rPr>
            </w:pPr>
            <w:r>
              <w:rPr>
                <w:rFonts w:hint="eastAsia" w:ascii="Times New Roman"/>
                <w:sz w:val="21"/>
                <w:szCs w:val="21"/>
              </w:rPr>
              <w:t>0.03</w:t>
            </w:r>
          </w:p>
        </w:tc>
        <w:tc>
          <w:tcPr>
            <w:tcW w:w="1417" w:type="dxa"/>
            <w:vAlign w:val="center"/>
          </w:tcPr>
          <w:p w14:paraId="781F56F8">
            <w:pPr>
              <w:jc w:val="center"/>
              <w:rPr>
                <w:rFonts w:ascii="Times New Roman"/>
                <w:sz w:val="21"/>
                <w:szCs w:val="21"/>
              </w:rPr>
            </w:pPr>
            <w:r>
              <w:rPr>
                <w:rFonts w:hint="eastAsia" w:ascii="Times New Roman"/>
                <w:sz w:val="21"/>
                <w:szCs w:val="21"/>
              </w:rPr>
              <w:t>0.2547</w:t>
            </w:r>
          </w:p>
        </w:tc>
        <w:tc>
          <w:tcPr>
            <w:tcW w:w="1424" w:type="dxa"/>
            <w:vAlign w:val="center"/>
          </w:tcPr>
          <w:p w14:paraId="52414207">
            <w:pPr>
              <w:jc w:val="center"/>
              <w:rPr>
                <w:rFonts w:ascii="Times New Roman"/>
                <w:sz w:val="21"/>
                <w:szCs w:val="21"/>
              </w:rPr>
            </w:pPr>
            <w:r>
              <w:rPr>
                <w:rFonts w:hint="eastAsia" w:ascii="Times New Roman"/>
                <w:sz w:val="21"/>
                <w:szCs w:val="21"/>
              </w:rPr>
              <w:t>0.06</w:t>
            </w:r>
          </w:p>
        </w:tc>
      </w:tr>
      <w:tr w14:paraId="3BEFC8C3">
        <w:tblPrEx>
          <w:tblCellMar>
            <w:top w:w="0" w:type="dxa"/>
            <w:left w:w="108" w:type="dxa"/>
            <w:bottom w:w="0" w:type="dxa"/>
            <w:right w:w="108" w:type="dxa"/>
          </w:tblCellMar>
        </w:tblPrEx>
        <w:trPr>
          <w:trHeight w:val="113" w:hRule="atLeast"/>
        </w:trPr>
        <w:tc>
          <w:tcPr>
            <w:tcW w:w="2641" w:type="dxa"/>
            <w:vAlign w:val="center"/>
          </w:tcPr>
          <w:p w14:paraId="05DDB0C7">
            <w:pPr>
              <w:jc w:val="center"/>
              <w:rPr>
                <w:rFonts w:ascii="Times New Roman"/>
                <w:sz w:val="21"/>
                <w:szCs w:val="21"/>
              </w:rPr>
            </w:pPr>
            <w:r>
              <w:rPr>
                <w:rFonts w:ascii="Times New Roman"/>
                <w:sz w:val="21"/>
                <w:szCs w:val="21"/>
              </w:rPr>
              <w:t>3000.0</w:t>
            </w:r>
          </w:p>
        </w:tc>
        <w:tc>
          <w:tcPr>
            <w:tcW w:w="1634" w:type="dxa"/>
            <w:vAlign w:val="center"/>
          </w:tcPr>
          <w:p w14:paraId="079B4C0A">
            <w:pPr>
              <w:jc w:val="center"/>
              <w:rPr>
                <w:rFonts w:ascii="Times New Roman"/>
                <w:sz w:val="21"/>
                <w:szCs w:val="21"/>
              </w:rPr>
            </w:pPr>
            <w:r>
              <w:rPr>
                <w:rFonts w:hint="eastAsia" w:ascii="Times New Roman"/>
                <w:sz w:val="21"/>
                <w:szCs w:val="21"/>
              </w:rPr>
              <w:t>0.1083</w:t>
            </w:r>
          </w:p>
        </w:tc>
        <w:tc>
          <w:tcPr>
            <w:tcW w:w="1383" w:type="dxa"/>
            <w:vAlign w:val="center"/>
          </w:tcPr>
          <w:p w14:paraId="15C5E983">
            <w:pPr>
              <w:jc w:val="center"/>
              <w:rPr>
                <w:rFonts w:ascii="Times New Roman"/>
                <w:sz w:val="21"/>
                <w:szCs w:val="21"/>
              </w:rPr>
            </w:pPr>
            <w:r>
              <w:rPr>
                <w:rFonts w:hint="eastAsia" w:ascii="Times New Roman"/>
                <w:sz w:val="21"/>
                <w:szCs w:val="21"/>
              </w:rPr>
              <w:t>0.02</w:t>
            </w:r>
          </w:p>
        </w:tc>
        <w:tc>
          <w:tcPr>
            <w:tcW w:w="1417" w:type="dxa"/>
            <w:vAlign w:val="center"/>
          </w:tcPr>
          <w:p w14:paraId="25E41032">
            <w:pPr>
              <w:jc w:val="center"/>
              <w:rPr>
                <w:rFonts w:ascii="Times New Roman"/>
                <w:sz w:val="21"/>
                <w:szCs w:val="21"/>
              </w:rPr>
            </w:pPr>
            <w:r>
              <w:rPr>
                <w:rFonts w:hint="eastAsia" w:ascii="Times New Roman"/>
                <w:sz w:val="21"/>
                <w:szCs w:val="21"/>
              </w:rPr>
              <w:t>0.1986</w:t>
            </w:r>
          </w:p>
        </w:tc>
        <w:tc>
          <w:tcPr>
            <w:tcW w:w="1424" w:type="dxa"/>
            <w:vAlign w:val="center"/>
          </w:tcPr>
          <w:p w14:paraId="7B2A286A">
            <w:pPr>
              <w:jc w:val="center"/>
              <w:rPr>
                <w:rFonts w:ascii="Times New Roman"/>
                <w:sz w:val="21"/>
                <w:szCs w:val="21"/>
              </w:rPr>
            </w:pPr>
            <w:r>
              <w:rPr>
                <w:rFonts w:hint="eastAsia" w:ascii="Times New Roman"/>
                <w:sz w:val="21"/>
                <w:szCs w:val="21"/>
              </w:rPr>
              <w:t>0.04</w:t>
            </w:r>
          </w:p>
        </w:tc>
      </w:tr>
      <w:tr w14:paraId="28B7DC9D">
        <w:tblPrEx>
          <w:tblCellMar>
            <w:top w:w="0" w:type="dxa"/>
            <w:left w:w="108" w:type="dxa"/>
            <w:bottom w:w="0" w:type="dxa"/>
            <w:right w:w="108" w:type="dxa"/>
          </w:tblCellMar>
        </w:tblPrEx>
        <w:trPr>
          <w:trHeight w:val="113" w:hRule="atLeast"/>
        </w:trPr>
        <w:tc>
          <w:tcPr>
            <w:tcW w:w="2641" w:type="dxa"/>
            <w:vAlign w:val="center"/>
          </w:tcPr>
          <w:p w14:paraId="10ED26EF">
            <w:pPr>
              <w:jc w:val="center"/>
              <w:rPr>
                <w:rFonts w:ascii="Times New Roman"/>
                <w:sz w:val="21"/>
                <w:szCs w:val="21"/>
              </w:rPr>
            </w:pPr>
            <w:r>
              <w:rPr>
                <w:rFonts w:ascii="Times New Roman"/>
                <w:sz w:val="21"/>
                <w:szCs w:val="21"/>
              </w:rPr>
              <w:t>3500.0</w:t>
            </w:r>
          </w:p>
        </w:tc>
        <w:tc>
          <w:tcPr>
            <w:tcW w:w="1634" w:type="dxa"/>
            <w:vAlign w:val="center"/>
          </w:tcPr>
          <w:p w14:paraId="79FDB4EC">
            <w:pPr>
              <w:jc w:val="center"/>
              <w:rPr>
                <w:rFonts w:ascii="Times New Roman"/>
                <w:sz w:val="21"/>
                <w:szCs w:val="21"/>
              </w:rPr>
            </w:pPr>
            <w:r>
              <w:rPr>
                <w:rFonts w:hint="eastAsia" w:ascii="Times New Roman"/>
                <w:sz w:val="21"/>
                <w:szCs w:val="21"/>
              </w:rPr>
              <w:t>0.0876</w:t>
            </w:r>
          </w:p>
        </w:tc>
        <w:tc>
          <w:tcPr>
            <w:tcW w:w="1383" w:type="dxa"/>
            <w:vAlign w:val="center"/>
          </w:tcPr>
          <w:p w14:paraId="184EE4C5">
            <w:pPr>
              <w:jc w:val="center"/>
              <w:rPr>
                <w:rFonts w:ascii="Times New Roman"/>
                <w:sz w:val="21"/>
                <w:szCs w:val="21"/>
              </w:rPr>
            </w:pPr>
            <w:r>
              <w:rPr>
                <w:rFonts w:hint="eastAsia" w:ascii="Times New Roman"/>
                <w:sz w:val="21"/>
                <w:szCs w:val="21"/>
              </w:rPr>
              <w:t>0.02</w:t>
            </w:r>
          </w:p>
        </w:tc>
        <w:tc>
          <w:tcPr>
            <w:tcW w:w="1417" w:type="dxa"/>
            <w:vAlign w:val="center"/>
          </w:tcPr>
          <w:p w14:paraId="18160BB0">
            <w:pPr>
              <w:jc w:val="center"/>
              <w:rPr>
                <w:rFonts w:ascii="Times New Roman"/>
                <w:sz w:val="21"/>
                <w:szCs w:val="21"/>
              </w:rPr>
            </w:pPr>
            <w:r>
              <w:rPr>
                <w:rFonts w:hint="eastAsia" w:ascii="Times New Roman"/>
                <w:sz w:val="21"/>
                <w:szCs w:val="21"/>
              </w:rPr>
              <w:t>0.1606</w:t>
            </w:r>
          </w:p>
        </w:tc>
        <w:tc>
          <w:tcPr>
            <w:tcW w:w="1424" w:type="dxa"/>
            <w:vAlign w:val="center"/>
          </w:tcPr>
          <w:p w14:paraId="6C34EBD4">
            <w:pPr>
              <w:jc w:val="center"/>
              <w:rPr>
                <w:rFonts w:ascii="Times New Roman"/>
                <w:sz w:val="21"/>
                <w:szCs w:val="21"/>
              </w:rPr>
            </w:pPr>
            <w:r>
              <w:rPr>
                <w:rFonts w:hint="eastAsia" w:ascii="Times New Roman"/>
                <w:sz w:val="21"/>
                <w:szCs w:val="21"/>
              </w:rPr>
              <w:t>0.04</w:t>
            </w:r>
          </w:p>
        </w:tc>
      </w:tr>
      <w:tr w14:paraId="59DF18BA">
        <w:tblPrEx>
          <w:tblCellMar>
            <w:top w:w="0" w:type="dxa"/>
            <w:left w:w="108" w:type="dxa"/>
            <w:bottom w:w="0" w:type="dxa"/>
            <w:right w:w="108" w:type="dxa"/>
          </w:tblCellMar>
        </w:tblPrEx>
        <w:trPr>
          <w:trHeight w:val="113" w:hRule="atLeast"/>
        </w:trPr>
        <w:tc>
          <w:tcPr>
            <w:tcW w:w="2641" w:type="dxa"/>
            <w:vAlign w:val="center"/>
          </w:tcPr>
          <w:p w14:paraId="159B88FE">
            <w:pPr>
              <w:jc w:val="center"/>
              <w:rPr>
                <w:rFonts w:ascii="Times New Roman"/>
                <w:sz w:val="21"/>
                <w:szCs w:val="21"/>
              </w:rPr>
            </w:pPr>
            <w:r>
              <w:rPr>
                <w:rFonts w:ascii="Times New Roman"/>
                <w:sz w:val="21"/>
                <w:szCs w:val="21"/>
              </w:rPr>
              <w:t>4000.0</w:t>
            </w:r>
          </w:p>
        </w:tc>
        <w:tc>
          <w:tcPr>
            <w:tcW w:w="1634" w:type="dxa"/>
            <w:vAlign w:val="center"/>
          </w:tcPr>
          <w:p w14:paraId="3C4668E2">
            <w:pPr>
              <w:jc w:val="center"/>
              <w:rPr>
                <w:rFonts w:ascii="Times New Roman"/>
                <w:sz w:val="21"/>
                <w:szCs w:val="21"/>
              </w:rPr>
            </w:pPr>
            <w:r>
              <w:rPr>
                <w:rFonts w:hint="eastAsia" w:ascii="Times New Roman"/>
                <w:sz w:val="21"/>
                <w:szCs w:val="21"/>
              </w:rPr>
              <w:t>0.0728</w:t>
            </w:r>
          </w:p>
        </w:tc>
        <w:tc>
          <w:tcPr>
            <w:tcW w:w="1383" w:type="dxa"/>
            <w:vAlign w:val="center"/>
          </w:tcPr>
          <w:p w14:paraId="24CFB691">
            <w:pPr>
              <w:jc w:val="center"/>
              <w:rPr>
                <w:rFonts w:ascii="Times New Roman"/>
                <w:sz w:val="21"/>
                <w:szCs w:val="21"/>
              </w:rPr>
            </w:pPr>
            <w:r>
              <w:rPr>
                <w:rFonts w:hint="eastAsia" w:ascii="Times New Roman"/>
                <w:sz w:val="21"/>
                <w:szCs w:val="21"/>
              </w:rPr>
              <w:t>0.02</w:t>
            </w:r>
          </w:p>
        </w:tc>
        <w:tc>
          <w:tcPr>
            <w:tcW w:w="1417" w:type="dxa"/>
            <w:vAlign w:val="center"/>
          </w:tcPr>
          <w:p w14:paraId="415C36DC">
            <w:pPr>
              <w:jc w:val="center"/>
              <w:rPr>
                <w:rFonts w:ascii="Times New Roman"/>
                <w:sz w:val="21"/>
                <w:szCs w:val="21"/>
              </w:rPr>
            </w:pPr>
            <w:r>
              <w:rPr>
                <w:rFonts w:hint="eastAsia" w:ascii="Times New Roman"/>
                <w:sz w:val="21"/>
                <w:szCs w:val="21"/>
              </w:rPr>
              <w:t>0.1335</w:t>
            </w:r>
          </w:p>
        </w:tc>
        <w:tc>
          <w:tcPr>
            <w:tcW w:w="1424" w:type="dxa"/>
            <w:vAlign w:val="center"/>
          </w:tcPr>
          <w:p w14:paraId="1E2C8D7C">
            <w:pPr>
              <w:jc w:val="center"/>
              <w:rPr>
                <w:rFonts w:ascii="Times New Roman"/>
                <w:sz w:val="21"/>
                <w:szCs w:val="21"/>
              </w:rPr>
            </w:pPr>
            <w:r>
              <w:rPr>
                <w:rFonts w:hint="eastAsia" w:ascii="Times New Roman"/>
                <w:sz w:val="21"/>
                <w:szCs w:val="21"/>
              </w:rPr>
              <w:t>0.03</w:t>
            </w:r>
          </w:p>
        </w:tc>
      </w:tr>
      <w:tr w14:paraId="2084153C">
        <w:tblPrEx>
          <w:tblCellMar>
            <w:top w:w="0" w:type="dxa"/>
            <w:left w:w="108" w:type="dxa"/>
            <w:bottom w:w="0" w:type="dxa"/>
            <w:right w:w="108" w:type="dxa"/>
          </w:tblCellMar>
        </w:tblPrEx>
        <w:trPr>
          <w:trHeight w:val="113" w:hRule="atLeast"/>
        </w:trPr>
        <w:tc>
          <w:tcPr>
            <w:tcW w:w="2641" w:type="dxa"/>
            <w:vAlign w:val="center"/>
          </w:tcPr>
          <w:p w14:paraId="5832149A">
            <w:pPr>
              <w:jc w:val="center"/>
              <w:rPr>
                <w:rFonts w:ascii="Times New Roman"/>
                <w:sz w:val="21"/>
                <w:szCs w:val="21"/>
              </w:rPr>
            </w:pPr>
            <w:r>
              <w:rPr>
                <w:rFonts w:ascii="Times New Roman"/>
                <w:sz w:val="21"/>
                <w:szCs w:val="21"/>
              </w:rPr>
              <w:t>4500.0</w:t>
            </w:r>
          </w:p>
        </w:tc>
        <w:tc>
          <w:tcPr>
            <w:tcW w:w="1634" w:type="dxa"/>
            <w:vAlign w:val="center"/>
          </w:tcPr>
          <w:p w14:paraId="4D09B790">
            <w:pPr>
              <w:jc w:val="center"/>
              <w:rPr>
                <w:rFonts w:ascii="Times New Roman"/>
                <w:sz w:val="21"/>
                <w:szCs w:val="21"/>
              </w:rPr>
            </w:pPr>
            <w:r>
              <w:rPr>
                <w:rFonts w:hint="eastAsia" w:ascii="Times New Roman"/>
                <w:sz w:val="21"/>
                <w:szCs w:val="21"/>
              </w:rPr>
              <w:t>0.0618</w:t>
            </w:r>
          </w:p>
        </w:tc>
        <w:tc>
          <w:tcPr>
            <w:tcW w:w="1383" w:type="dxa"/>
            <w:vAlign w:val="center"/>
          </w:tcPr>
          <w:p w14:paraId="4720CA2B">
            <w:pPr>
              <w:jc w:val="center"/>
              <w:rPr>
                <w:rFonts w:ascii="Times New Roman"/>
                <w:sz w:val="21"/>
                <w:szCs w:val="21"/>
              </w:rPr>
            </w:pPr>
            <w:r>
              <w:rPr>
                <w:rFonts w:hint="eastAsia" w:ascii="Times New Roman"/>
                <w:sz w:val="21"/>
                <w:szCs w:val="21"/>
              </w:rPr>
              <w:t>0.01</w:t>
            </w:r>
          </w:p>
        </w:tc>
        <w:tc>
          <w:tcPr>
            <w:tcW w:w="1417" w:type="dxa"/>
            <w:vAlign w:val="center"/>
          </w:tcPr>
          <w:p w14:paraId="0C7FDA54">
            <w:pPr>
              <w:jc w:val="center"/>
              <w:rPr>
                <w:rFonts w:ascii="Times New Roman"/>
                <w:sz w:val="21"/>
                <w:szCs w:val="21"/>
              </w:rPr>
            </w:pPr>
            <w:r>
              <w:rPr>
                <w:rFonts w:hint="eastAsia" w:ascii="Times New Roman"/>
                <w:sz w:val="21"/>
                <w:szCs w:val="21"/>
              </w:rPr>
              <w:t>0.1133</w:t>
            </w:r>
          </w:p>
        </w:tc>
        <w:tc>
          <w:tcPr>
            <w:tcW w:w="1424" w:type="dxa"/>
            <w:vAlign w:val="center"/>
          </w:tcPr>
          <w:p w14:paraId="53496213">
            <w:pPr>
              <w:jc w:val="center"/>
              <w:rPr>
                <w:rFonts w:ascii="Times New Roman"/>
                <w:sz w:val="21"/>
                <w:szCs w:val="21"/>
              </w:rPr>
            </w:pPr>
            <w:r>
              <w:rPr>
                <w:rFonts w:hint="eastAsia" w:ascii="Times New Roman"/>
                <w:sz w:val="21"/>
                <w:szCs w:val="21"/>
              </w:rPr>
              <w:t>0.03</w:t>
            </w:r>
          </w:p>
        </w:tc>
      </w:tr>
      <w:tr w14:paraId="51703BB3">
        <w:tblPrEx>
          <w:tblCellMar>
            <w:top w:w="0" w:type="dxa"/>
            <w:left w:w="108" w:type="dxa"/>
            <w:bottom w:w="0" w:type="dxa"/>
            <w:right w:w="108" w:type="dxa"/>
          </w:tblCellMar>
        </w:tblPrEx>
        <w:trPr>
          <w:trHeight w:val="113" w:hRule="atLeast"/>
        </w:trPr>
        <w:tc>
          <w:tcPr>
            <w:tcW w:w="2641" w:type="dxa"/>
            <w:vAlign w:val="center"/>
          </w:tcPr>
          <w:p w14:paraId="430F756F">
            <w:pPr>
              <w:jc w:val="center"/>
              <w:rPr>
                <w:rFonts w:ascii="Times New Roman"/>
                <w:sz w:val="21"/>
                <w:szCs w:val="21"/>
              </w:rPr>
            </w:pPr>
            <w:r>
              <w:rPr>
                <w:rFonts w:ascii="Times New Roman"/>
                <w:sz w:val="21"/>
                <w:szCs w:val="21"/>
              </w:rPr>
              <w:t>5000.0</w:t>
            </w:r>
          </w:p>
        </w:tc>
        <w:tc>
          <w:tcPr>
            <w:tcW w:w="1634" w:type="dxa"/>
            <w:vAlign w:val="center"/>
          </w:tcPr>
          <w:p w14:paraId="0D035A64">
            <w:pPr>
              <w:jc w:val="center"/>
              <w:rPr>
                <w:rFonts w:ascii="Times New Roman"/>
                <w:sz w:val="21"/>
                <w:szCs w:val="21"/>
              </w:rPr>
            </w:pPr>
            <w:r>
              <w:rPr>
                <w:rFonts w:hint="eastAsia" w:ascii="Times New Roman"/>
                <w:sz w:val="21"/>
                <w:szCs w:val="21"/>
              </w:rPr>
              <w:t>0.0534</w:t>
            </w:r>
          </w:p>
        </w:tc>
        <w:tc>
          <w:tcPr>
            <w:tcW w:w="1383" w:type="dxa"/>
            <w:vAlign w:val="center"/>
          </w:tcPr>
          <w:p w14:paraId="3571733C">
            <w:pPr>
              <w:jc w:val="center"/>
              <w:rPr>
                <w:rFonts w:ascii="Times New Roman"/>
                <w:sz w:val="21"/>
                <w:szCs w:val="21"/>
              </w:rPr>
            </w:pPr>
            <w:r>
              <w:rPr>
                <w:rFonts w:hint="eastAsia" w:ascii="Times New Roman"/>
                <w:sz w:val="21"/>
                <w:szCs w:val="21"/>
              </w:rPr>
              <w:t>0.01</w:t>
            </w:r>
          </w:p>
        </w:tc>
        <w:tc>
          <w:tcPr>
            <w:tcW w:w="1417" w:type="dxa"/>
            <w:vAlign w:val="center"/>
          </w:tcPr>
          <w:p w14:paraId="48CE16BB">
            <w:pPr>
              <w:jc w:val="center"/>
              <w:rPr>
                <w:rFonts w:ascii="Times New Roman"/>
                <w:sz w:val="21"/>
                <w:szCs w:val="21"/>
              </w:rPr>
            </w:pPr>
            <w:r>
              <w:rPr>
                <w:rFonts w:hint="eastAsia" w:ascii="Times New Roman"/>
                <w:sz w:val="21"/>
                <w:szCs w:val="21"/>
              </w:rPr>
              <w:t>0.0978</w:t>
            </w:r>
          </w:p>
        </w:tc>
        <w:tc>
          <w:tcPr>
            <w:tcW w:w="1424" w:type="dxa"/>
            <w:vAlign w:val="center"/>
          </w:tcPr>
          <w:p w14:paraId="6AEF70C6">
            <w:pPr>
              <w:jc w:val="center"/>
              <w:rPr>
                <w:rFonts w:ascii="Times New Roman"/>
                <w:sz w:val="21"/>
                <w:szCs w:val="21"/>
              </w:rPr>
            </w:pPr>
            <w:r>
              <w:rPr>
                <w:rFonts w:hint="eastAsia" w:ascii="Times New Roman"/>
                <w:sz w:val="21"/>
                <w:szCs w:val="21"/>
              </w:rPr>
              <w:t>0.02</w:t>
            </w:r>
          </w:p>
        </w:tc>
      </w:tr>
      <w:tr w14:paraId="1970047D">
        <w:tblPrEx>
          <w:tblCellMar>
            <w:top w:w="0" w:type="dxa"/>
            <w:left w:w="108" w:type="dxa"/>
            <w:bottom w:w="0" w:type="dxa"/>
            <w:right w:w="108" w:type="dxa"/>
          </w:tblCellMar>
        </w:tblPrEx>
        <w:trPr>
          <w:trHeight w:val="113" w:hRule="atLeast"/>
        </w:trPr>
        <w:tc>
          <w:tcPr>
            <w:tcW w:w="2641" w:type="dxa"/>
            <w:vAlign w:val="center"/>
          </w:tcPr>
          <w:p w14:paraId="1D7DC997">
            <w:pPr>
              <w:jc w:val="center"/>
              <w:rPr>
                <w:rFonts w:ascii="Times New Roman"/>
                <w:sz w:val="21"/>
                <w:szCs w:val="21"/>
              </w:rPr>
            </w:pPr>
            <w:r>
              <w:rPr>
                <w:rFonts w:ascii="Times New Roman"/>
                <w:sz w:val="21"/>
                <w:szCs w:val="21"/>
              </w:rPr>
              <w:t>10000.0</w:t>
            </w:r>
          </w:p>
        </w:tc>
        <w:tc>
          <w:tcPr>
            <w:tcW w:w="1634" w:type="dxa"/>
            <w:vAlign w:val="center"/>
          </w:tcPr>
          <w:p w14:paraId="4A855FFD">
            <w:pPr>
              <w:jc w:val="center"/>
              <w:rPr>
                <w:rFonts w:ascii="Times New Roman"/>
                <w:sz w:val="21"/>
                <w:szCs w:val="21"/>
              </w:rPr>
            </w:pPr>
            <w:r>
              <w:rPr>
                <w:rFonts w:hint="eastAsia" w:ascii="Times New Roman"/>
                <w:sz w:val="21"/>
                <w:szCs w:val="21"/>
              </w:rPr>
              <w:t>0.022</w:t>
            </w:r>
          </w:p>
        </w:tc>
        <w:tc>
          <w:tcPr>
            <w:tcW w:w="1383" w:type="dxa"/>
            <w:vAlign w:val="center"/>
          </w:tcPr>
          <w:p w14:paraId="130C867E">
            <w:pPr>
              <w:jc w:val="center"/>
              <w:rPr>
                <w:rFonts w:ascii="Times New Roman"/>
                <w:sz w:val="21"/>
                <w:szCs w:val="21"/>
              </w:rPr>
            </w:pPr>
            <w:r>
              <w:rPr>
                <w:rFonts w:hint="eastAsia" w:ascii="Times New Roman"/>
                <w:sz w:val="21"/>
                <w:szCs w:val="21"/>
              </w:rPr>
              <w:t>0</w:t>
            </w:r>
          </w:p>
        </w:tc>
        <w:tc>
          <w:tcPr>
            <w:tcW w:w="1417" w:type="dxa"/>
            <w:vAlign w:val="center"/>
          </w:tcPr>
          <w:p w14:paraId="5DA3C7B1">
            <w:pPr>
              <w:jc w:val="center"/>
              <w:rPr>
                <w:rFonts w:ascii="Times New Roman"/>
                <w:sz w:val="21"/>
                <w:szCs w:val="21"/>
              </w:rPr>
            </w:pPr>
            <w:r>
              <w:rPr>
                <w:rFonts w:hint="eastAsia" w:ascii="Times New Roman"/>
                <w:sz w:val="21"/>
                <w:szCs w:val="21"/>
              </w:rPr>
              <w:t>0.0403</w:t>
            </w:r>
          </w:p>
        </w:tc>
        <w:tc>
          <w:tcPr>
            <w:tcW w:w="1424" w:type="dxa"/>
            <w:vAlign w:val="center"/>
          </w:tcPr>
          <w:p w14:paraId="740E1E51">
            <w:pPr>
              <w:jc w:val="center"/>
              <w:rPr>
                <w:rFonts w:ascii="Times New Roman"/>
                <w:sz w:val="21"/>
                <w:szCs w:val="21"/>
              </w:rPr>
            </w:pPr>
            <w:r>
              <w:rPr>
                <w:rFonts w:hint="eastAsia" w:ascii="Times New Roman"/>
                <w:sz w:val="21"/>
                <w:szCs w:val="21"/>
              </w:rPr>
              <w:t>0.01</w:t>
            </w:r>
          </w:p>
        </w:tc>
      </w:tr>
      <w:tr w14:paraId="1ED857F3">
        <w:tblPrEx>
          <w:tblCellMar>
            <w:top w:w="0" w:type="dxa"/>
            <w:left w:w="108" w:type="dxa"/>
            <w:bottom w:w="0" w:type="dxa"/>
            <w:right w:w="108" w:type="dxa"/>
          </w:tblCellMar>
        </w:tblPrEx>
        <w:trPr>
          <w:trHeight w:val="113" w:hRule="atLeast"/>
        </w:trPr>
        <w:tc>
          <w:tcPr>
            <w:tcW w:w="2641" w:type="dxa"/>
            <w:vAlign w:val="center"/>
          </w:tcPr>
          <w:p w14:paraId="53190BEF">
            <w:pPr>
              <w:jc w:val="center"/>
              <w:rPr>
                <w:rFonts w:ascii="Times New Roman"/>
                <w:sz w:val="21"/>
                <w:szCs w:val="21"/>
              </w:rPr>
            </w:pPr>
            <w:r>
              <w:rPr>
                <w:rFonts w:ascii="Times New Roman"/>
                <w:sz w:val="21"/>
                <w:szCs w:val="21"/>
              </w:rPr>
              <w:t>11000.0</w:t>
            </w:r>
          </w:p>
        </w:tc>
        <w:tc>
          <w:tcPr>
            <w:tcW w:w="1634" w:type="dxa"/>
            <w:vAlign w:val="center"/>
          </w:tcPr>
          <w:p w14:paraId="395437A0">
            <w:pPr>
              <w:jc w:val="center"/>
              <w:rPr>
                <w:rFonts w:ascii="Times New Roman"/>
                <w:sz w:val="21"/>
                <w:szCs w:val="21"/>
              </w:rPr>
            </w:pPr>
            <w:r>
              <w:rPr>
                <w:rFonts w:hint="eastAsia" w:ascii="Times New Roman"/>
                <w:sz w:val="21"/>
                <w:szCs w:val="21"/>
              </w:rPr>
              <w:t>0.0194</w:t>
            </w:r>
          </w:p>
        </w:tc>
        <w:tc>
          <w:tcPr>
            <w:tcW w:w="1383" w:type="dxa"/>
            <w:vAlign w:val="center"/>
          </w:tcPr>
          <w:p w14:paraId="67EB04F6">
            <w:pPr>
              <w:jc w:val="center"/>
              <w:rPr>
                <w:rFonts w:ascii="Times New Roman"/>
                <w:sz w:val="21"/>
                <w:szCs w:val="21"/>
              </w:rPr>
            </w:pPr>
            <w:r>
              <w:rPr>
                <w:rFonts w:hint="eastAsia" w:ascii="Times New Roman"/>
                <w:sz w:val="21"/>
                <w:szCs w:val="21"/>
              </w:rPr>
              <w:t>0</w:t>
            </w:r>
          </w:p>
        </w:tc>
        <w:tc>
          <w:tcPr>
            <w:tcW w:w="1417" w:type="dxa"/>
            <w:vAlign w:val="center"/>
          </w:tcPr>
          <w:p w14:paraId="5BAB9529">
            <w:pPr>
              <w:jc w:val="center"/>
              <w:rPr>
                <w:rFonts w:ascii="Times New Roman"/>
                <w:sz w:val="21"/>
                <w:szCs w:val="21"/>
              </w:rPr>
            </w:pPr>
            <w:r>
              <w:rPr>
                <w:rFonts w:hint="eastAsia" w:ascii="Times New Roman"/>
                <w:sz w:val="21"/>
                <w:szCs w:val="21"/>
              </w:rPr>
              <w:t>0.0355</w:t>
            </w:r>
          </w:p>
        </w:tc>
        <w:tc>
          <w:tcPr>
            <w:tcW w:w="1424" w:type="dxa"/>
            <w:vAlign w:val="center"/>
          </w:tcPr>
          <w:p w14:paraId="198D3421">
            <w:pPr>
              <w:jc w:val="center"/>
              <w:rPr>
                <w:rFonts w:ascii="Times New Roman"/>
                <w:sz w:val="21"/>
                <w:szCs w:val="21"/>
              </w:rPr>
            </w:pPr>
            <w:r>
              <w:rPr>
                <w:rFonts w:hint="eastAsia" w:ascii="Times New Roman"/>
                <w:sz w:val="21"/>
                <w:szCs w:val="21"/>
              </w:rPr>
              <w:t>0.01</w:t>
            </w:r>
          </w:p>
        </w:tc>
      </w:tr>
      <w:tr w14:paraId="4E8034E2">
        <w:tblPrEx>
          <w:tblCellMar>
            <w:top w:w="0" w:type="dxa"/>
            <w:left w:w="108" w:type="dxa"/>
            <w:bottom w:w="0" w:type="dxa"/>
            <w:right w:w="108" w:type="dxa"/>
          </w:tblCellMar>
        </w:tblPrEx>
        <w:trPr>
          <w:trHeight w:val="113" w:hRule="atLeast"/>
        </w:trPr>
        <w:tc>
          <w:tcPr>
            <w:tcW w:w="2641" w:type="dxa"/>
            <w:vAlign w:val="center"/>
          </w:tcPr>
          <w:p w14:paraId="26C242BE">
            <w:pPr>
              <w:jc w:val="center"/>
              <w:rPr>
                <w:rFonts w:ascii="Times New Roman"/>
                <w:sz w:val="21"/>
                <w:szCs w:val="21"/>
              </w:rPr>
            </w:pPr>
            <w:r>
              <w:rPr>
                <w:rFonts w:ascii="Times New Roman"/>
                <w:sz w:val="21"/>
                <w:szCs w:val="21"/>
              </w:rPr>
              <w:t>12000.0</w:t>
            </w:r>
          </w:p>
        </w:tc>
        <w:tc>
          <w:tcPr>
            <w:tcW w:w="1634" w:type="dxa"/>
            <w:vAlign w:val="center"/>
          </w:tcPr>
          <w:p w14:paraId="02A4C398">
            <w:pPr>
              <w:jc w:val="center"/>
              <w:rPr>
                <w:rFonts w:ascii="Times New Roman"/>
                <w:sz w:val="21"/>
                <w:szCs w:val="21"/>
              </w:rPr>
            </w:pPr>
            <w:r>
              <w:rPr>
                <w:rFonts w:hint="eastAsia" w:ascii="Times New Roman"/>
                <w:sz w:val="21"/>
                <w:szCs w:val="21"/>
              </w:rPr>
              <w:t>0.0173</w:t>
            </w:r>
          </w:p>
        </w:tc>
        <w:tc>
          <w:tcPr>
            <w:tcW w:w="1383" w:type="dxa"/>
            <w:vAlign w:val="center"/>
          </w:tcPr>
          <w:p w14:paraId="42D9EB16">
            <w:pPr>
              <w:jc w:val="center"/>
              <w:rPr>
                <w:rFonts w:ascii="Times New Roman"/>
                <w:sz w:val="21"/>
                <w:szCs w:val="21"/>
              </w:rPr>
            </w:pPr>
            <w:r>
              <w:rPr>
                <w:rFonts w:hint="eastAsia" w:ascii="Times New Roman"/>
                <w:sz w:val="21"/>
                <w:szCs w:val="21"/>
              </w:rPr>
              <w:t>0</w:t>
            </w:r>
          </w:p>
        </w:tc>
        <w:tc>
          <w:tcPr>
            <w:tcW w:w="1417" w:type="dxa"/>
            <w:vAlign w:val="center"/>
          </w:tcPr>
          <w:p w14:paraId="2E6E2E16">
            <w:pPr>
              <w:jc w:val="center"/>
              <w:rPr>
                <w:rFonts w:ascii="Times New Roman"/>
                <w:sz w:val="21"/>
                <w:szCs w:val="21"/>
              </w:rPr>
            </w:pPr>
            <w:r>
              <w:rPr>
                <w:rFonts w:hint="eastAsia" w:ascii="Times New Roman"/>
                <w:sz w:val="21"/>
                <w:szCs w:val="21"/>
              </w:rPr>
              <w:t>0.0316</w:t>
            </w:r>
          </w:p>
        </w:tc>
        <w:tc>
          <w:tcPr>
            <w:tcW w:w="1424" w:type="dxa"/>
            <w:vAlign w:val="center"/>
          </w:tcPr>
          <w:p w14:paraId="4545F8FD">
            <w:pPr>
              <w:jc w:val="center"/>
              <w:rPr>
                <w:rFonts w:ascii="Times New Roman"/>
                <w:sz w:val="21"/>
                <w:szCs w:val="21"/>
              </w:rPr>
            </w:pPr>
            <w:r>
              <w:rPr>
                <w:rFonts w:hint="eastAsia" w:ascii="Times New Roman"/>
                <w:sz w:val="21"/>
                <w:szCs w:val="21"/>
              </w:rPr>
              <w:t>0.01</w:t>
            </w:r>
          </w:p>
        </w:tc>
      </w:tr>
      <w:tr w14:paraId="7207F434">
        <w:tblPrEx>
          <w:tblCellMar>
            <w:top w:w="0" w:type="dxa"/>
            <w:left w:w="108" w:type="dxa"/>
            <w:bottom w:w="0" w:type="dxa"/>
            <w:right w:w="108" w:type="dxa"/>
          </w:tblCellMar>
        </w:tblPrEx>
        <w:trPr>
          <w:trHeight w:val="113" w:hRule="atLeast"/>
        </w:trPr>
        <w:tc>
          <w:tcPr>
            <w:tcW w:w="2641" w:type="dxa"/>
            <w:vAlign w:val="center"/>
          </w:tcPr>
          <w:p w14:paraId="73127801">
            <w:pPr>
              <w:jc w:val="center"/>
              <w:rPr>
                <w:rFonts w:ascii="Times New Roman"/>
                <w:sz w:val="21"/>
                <w:szCs w:val="21"/>
              </w:rPr>
            </w:pPr>
            <w:r>
              <w:rPr>
                <w:rFonts w:ascii="Times New Roman"/>
                <w:sz w:val="21"/>
                <w:szCs w:val="21"/>
              </w:rPr>
              <w:t>13000.0</w:t>
            </w:r>
          </w:p>
        </w:tc>
        <w:tc>
          <w:tcPr>
            <w:tcW w:w="1634" w:type="dxa"/>
            <w:vAlign w:val="center"/>
          </w:tcPr>
          <w:p w14:paraId="39AE7FCF">
            <w:pPr>
              <w:jc w:val="center"/>
              <w:rPr>
                <w:rFonts w:ascii="Times New Roman"/>
                <w:sz w:val="21"/>
                <w:szCs w:val="21"/>
              </w:rPr>
            </w:pPr>
            <w:r>
              <w:rPr>
                <w:rFonts w:hint="eastAsia" w:ascii="Times New Roman"/>
                <w:sz w:val="21"/>
                <w:szCs w:val="21"/>
              </w:rPr>
              <w:t>0.0155</w:t>
            </w:r>
          </w:p>
        </w:tc>
        <w:tc>
          <w:tcPr>
            <w:tcW w:w="1383" w:type="dxa"/>
            <w:vAlign w:val="center"/>
          </w:tcPr>
          <w:p w14:paraId="507C3E10">
            <w:pPr>
              <w:jc w:val="center"/>
              <w:rPr>
                <w:rFonts w:ascii="Times New Roman"/>
                <w:sz w:val="21"/>
                <w:szCs w:val="21"/>
              </w:rPr>
            </w:pPr>
            <w:r>
              <w:rPr>
                <w:rFonts w:hint="eastAsia" w:ascii="Times New Roman"/>
                <w:sz w:val="21"/>
                <w:szCs w:val="21"/>
              </w:rPr>
              <w:t>0</w:t>
            </w:r>
          </w:p>
        </w:tc>
        <w:tc>
          <w:tcPr>
            <w:tcW w:w="1417" w:type="dxa"/>
            <w:vAlign w:val="center"/>
          </w:tcPr>
          <w:p w14:paraId="4D99DB63">
            <w:pPr>
              <w:jc w:val="center"/>
              <w:rPr>
                <w:rFonts w:ascii="Times New Roman"/>
                <w:sz w:val="21"/>
                <w:szCs w:val="21"/>
              </w:rPr>
            </w:pPr>
            <w:r>
              <w:rPr>
                <w:rFonts w:hint="eastAsia" w:ascii="Times New Roman"/>
                <w:sz w:val="21"/>
                <w:szCs w:val="21"/>
              </w:rPr>
              <w:t>0.0283</w:t>
            </w:r>
          </w:p>
        </w:tc>
        <w:tc>
          <w:tcPr>
            <w:tcW w:w="1424" w:type="dxa"/>
            <w:vAlign w:val="center"/>
          </w:tcPr>
          <w:p w14:paraId="54E8A1F1">
            <w:pPr>
              <w:jc w:val="center"/>
              <w:rPr>
                <w:rFonts w:ascii="Times New Roman"/>
                <w:sz w:val="21"/>
                <w:szCs w:val="21"/>
              </w:rPr>
            </w:pPr>
            <w:r>
              <w:rPr>
                <w:rFonts w:hint="eastAsia" w:ascii="Times New Roman"/>
                <w:sz w:val="21"/>
                <w:szCs w:val="21"/>
              </w:rPr>
              <w:t>0.01</w:t>
            </w:r>
          </w:p>
        </w:tc>
      </w:tr>
      <w:tr w14:paraId="5A6D4AB2">
        <w:tblPrEx>
          <w:tblCellMar>
            <w:top w:w="0" w:type="dxa"/>
            <w:left w:w="108" w:type="dxa"/>
            <w:bottom w:w="0" w:type="dxa"/>
            <w:right w:w="108" w:type="dxa"/>
          </w:tblCellMar>
        </w:tblPrEx>
        <w:trPr>
          <w:trHeight w:val="113" w:hRule="atLeast"/>
        </w:trPr>
        <w:tc>
          <w:tcPr>
            <w:tcW w:w="2641" w:type="dxa"/>
            <w:vAlign w:val="center"/>
          </w:tcPr>
          <w:p w14:paraId="133CC9DD">
            <w:pPr>
              <w:jc w:val="center"/>
              <w:rPr>
                <w:rFonts w:ascii="Times New Roman"/>
                <w:sz w:val="21"/>
                <w:szCs w:val="21"/>
              </w:rPr>
            </w:pPr>
            <w:r>
              <w:rPr>
                <w:rFonts w:ascii="Times New Roman"/>
                <w:sz w:val="21"/>
                <w:szCs w:val="21"/>
              </w:rPr>
              <w:t>14000.0</w:t>
            </w:r>
          </w:p>
        </w:tc>
        <w:tc>
          <w:tcPr>
            <w:tcW w:w="1634" w:type="dxa"/>
            <w:vAlign w:val="center"/>
          </w:tcPr>
          <w:p w14:paraId="302A4AE3">
            <w:pPr>
              <w:jc w:val="center"/>
              <w:rPr>
                <w:rFonts w:ascii="Times New Roman"/>
                <w:sz w:val="21"/>
                <w:szCs w:val="21"/>
              </w:rPr>
            </w:pPr>
            <w:r>
              <w:rPr>
                <w:rFonts w:hint="eastAsia" w:ascii="Times New Roman"/>
                <w:sz w:val="21"/>
                <w:szCs w:val="21"/>
              </w:rPr>
              <w:t>0.014</w:t>
            </w:r>
          </w:p>
        </w:tc>
        <w:tc>
          <w:tcPr>
            <w:tcW w:w="1383" w:type="dxa"/>
            <w:vAlign w:val="center"/>
          </w:tcPr>
          <w:p w14:paraId="4CCA5D5A">
            <w:pPr>
              <w:jc w:val="center"/>
              <w:rPr>
                <w:rFonts w:ascii="Times New Roman"/>
                <w:sz w:val="21"/>
                <w:szCs w:val="21"/>
              </w:rPr>
            </w:pPr>
            <w:r>
              <w:rPr>
                <w:rFonts w:hint="eastAsia" w:ascii="Times New Roman"/>
                <w:sz w:val="21"/>
                <w:szCs w:val="21"/>
              </w:rPr>
              <w:t>0</w:t>
            </w:r>
          </w:p>
        </w:tc>
        <w:tc>
          <w:tcPr>
            <w:tcW w:w="1417" w:type="dxa"/>
            <w:vAlign w:val="center"/>
          </w:tcPr>
          <w:p w14:paraId="46CA6B22">
            <w:pPr>
              <w:jc w:val="center"/>
              <w:rPr>
                <w:rFonts w:ascii="Times New Roman"/>
                <w:sz w:val="21"/>
                <w:szCs w:val="21"/>
              </w:rPr>
            </w:pPr>
            <w:r>
              <w:rPr>
                <w:rFonts w:hint="eastAsia" w:ascii="Times New Roman"/>
                <w:sz w:val="21"/>
                <w:szCs w:val="21"/>
              </w:rPr>
              <w:t>0.0256</w:t>
            </w:r>
          </w:p>
        </w:tc>
        <w:tc>
          <w:tcPr>
            <w:tcW w:w="1424" w:type="dxa"/>
            <w:vAlign w:val="center"/>
          </w:tcPr>
          <w:p w14:paraId="5CB73E6A">
            <w:pPr>
              <w:jc w:val="center"/>
              <w:rPr>
                <w:rFonts w:ascii="Times New Roman"/>
                <w:sz w:val="21"/>
                <w:szCs w:val="21"/>
              </w:rPr>
            </w:pPr>
            <w:r>
              <w:rPr>
                <w:rFonts w:hint="eastAsia" w:ascii="Times New Roman"/>
                <w:sz w:val="21"/>
                <w:szCs w:val="21"/>
              </w:rPr>
              <w:t>0.01</w:t>
            </w:r>
          </w:p>
        </w:tc>
      </w:tr>
      <w:tr w14:paraId="724FB486">
        <w:tblPrEx>
          <w:tblCellMar>
            <w:top w:w="0" w:type="dxa"/>
            <w:left w:w="108" w:type="dxa"/>
            <w:bottom w:w="0" w:type="dxa"/>
            <w:right w:w="108" w:type="dxa"/>
          </w:tblCellMar>
        </w:tblPrEx>
        <w:trPr>
          <w:trHeight w:val="113" w:hRule="atLeast"/>
        </w:trPr>
        <w:tc>
          <w:tcPr>
            <w:tcW w:w="2641" w:type="dxa"/>
            <w:vAlign w:val="center"/>
          </w:tcPr>
          <w:p w14:paraId="720E4246">
            <w:pPr>
              <w:jc w:val="center"/>
              <w:rPr>
                <w:rFonts w:ascii="Times New Roman"/>
                <w:sz w:val="21"/>
                <w:szCs w:val="21"/>
              </w:rPr>
            </w:pPr>
            <w:r>
              <w:rPr>
                <w:rFonts w:ascii="Times New Roman"/>
                <w:sz w:val="21"/>
                <w:szCs w:val="21"/>
              </w:rPr>
              <w:t>15000.0</w:t>
            </w:r>
          </w:p>
        </w:tc>
        <w:tc>
          <w:tcPr>
            <w:tcW w:w="1634" w:type="dxa"/>
            <w:vAlign w:val="center"/>
          </w:tcPr>
          <w:p w14:paraId="266CDCBC">
            <w:pPr>
              <w:jc w:val="center"/>
              <w:rPr>
                <w:rFonts w:ascii="Times New Roman"/>
                <w:sz w:val="21"/>
                <w:szCs w:val="21"/>
              </w:rPr>
            </w:pPr>
            <w:r>
              <w:rPr>
                <w:rFonts w:hint="eastAsia" w:ascii="Times New Roman"/>
                <w:sz w:val="21"/>
                <w:szCs w:val="21"/>
              </w:rPr>
              <w:t>0.0127</w:t>
            </w:r>
          </w:p>
        </w:tc>
        <w:tc>
          <w:tcPr>
            <w:tcW w:w="1383" w:type="dxa"/>
            <w:vAlign w:val="center"/>
          </w:tcPr>
          <w:p w14:paraId="1A721C51">
            <w:pPr>
              <w:jc w:val="center"/>
              <w:rPr>
                <w:rFonts w:ascii="Times New Roman"/>
                <w:sz w:val="21"/>
                <w:szCs w:val="21"/>
              </w:rPr>
            </w:pPr>
            <w:r>
              <w:rPr>
                <w:rFonts w:hint="eastAsia" w:ascii="Times New Roman"/>
                <w:sz w:val="21"/>
                <w:szCs w:val="21"/>
              </w:rPr>
              <w:t>0</w:t>
            </w:r>
          </w:p>
        </w:tc>
        <w:tc>
          <w:tcPr>
            <w:tcW w:w="1417" w:type="dxa"/>
            <w:vAlign w:val="center"/>
          </w:tcPr>
          <w:p w14:paraId="5C6E2895">
            <w:pPr>
              <w:jc w:val="center"/>
              <w:rPr>
                <w:rFonts w:ascii="Times New Roman"/>
                <w:sz w:val="21"/>
                <w:szCs w:val="21"/>
              </w:rPr>
            </w:pPr>
            <w:r>
              <w:rPr>
                <w:rFonts w:hint="eastAsia" w:ascii="Times New Roman"/>
                <w:sz w:val="21"/>
                <w:szCs w:val="21"/>
              </w:rPr>
              <w:t>0.0233</w:t>
            </w:r>
          </w:p>
        </w:tc>
        <w:tc>
          <w:tcPr>
            <w:tcW w:w="1424" w:type="dxa"/>
            <w:vAlign w:val="center"/>
          </w:tcPr>
          <w:p w14:paraId="01ED9072">
            <w:pPr>
              <w:jc w:val="center"/>
              <w:rPr>
                <w:rFonts w:ascii="Times New Roman"/>
                <w:sz w:val="21"/>
                <w:szCs w:val="21"/>
              </w:rPr>
            </w:pPr>
            <w:r>
              <w:rPr>
                <w:rFonts w:hint="eastAsia" w:ascii="Times New Roman"/>
                <w:sz w:val="21"/>
                <w:szCs w:val="21"/>
              </w:rPr>
              <w:t>0.01</w:t>
            </w:r>
          </w:p>
        </w:tc>
      </w:tr>
      <w:tr w14:paraId="5A06D53F">
        <w:tblPrEx>
          <w:tblCellMar>
            <w:top w:w="0" w:type="dxa"/>
            <w:left w:w="108" w:type="dxa"/>
            <w:bottom w:w="0" w:type="dxa"/>
            <w:right w:w="108" w:type="dxa"/>
          </w:tblCellMar>
        </w:tblPrEx>
        <w:trPr>
          <w:trHeight w:val="113" w:hRule="atLeast"/>
        </w:trPr>
        <w:tc>
          <w:tcPr>
            <w:tcW w:w="2641" w:type="dxa"/>
            <w:vAlign w:val="center"/>
          </w:tcPr>
          <w:p w14:paraId="627BBE11">
            <w:pPr>
              <w:jc w:val="center"/>
              <w:rPr>
                <w:rFonts w:ascii="Times New Roman"/>
                <w:sz w:val="21"/>
                <w:szCs w:val="21"/>
              </w:rPr>
            </w:pPr>
            <w:r>
              <w:rPr>
                <w:rFonts w:ascii="Times New Roman"/>
                <w:sz w:val="21"/>
                <w:szCs w:val="21"/>
              </w:rPr>
              <w:t>20000.0</w:t>
            </w:r>
          </w:p>
        </w:tc>
        <w:tc>
          <w:tcPr>
            <w:tcW w:w="1634" w:type="dxa"/>
            <w:vAlign w:val="center"/>
          </w:tcPr>
          <w:p w14:paraId="71ECEEBA">
            <w:pPr>
              <w:jc w:val="center"/>
              <w:rPr>
                <w:rFonts w:ascii="Times New Roman"/>
                <w:sz w:val="21"/>
                <w:szCs w:val="21"/>
              </w:rPr>
            </w:pPr>
            <w:r>
              <w:rPr>
                <w:rFonts w:hint="eastAsia" w:ascii="Times New Roman"/>
                <w:sz w:val="21"/>
                <w:szCs w:val="21"/>
              </w:rPr>
              <w:t>0.0085</w:t>
            </w:r>
          </w:p>
        </w:tc>
        <w:tc>
          <w:tcPr>
            <w:tcW w:w="1383" w:type="dxa"/>
            <w:vAlign w:val="center"/>
          </w:tcPr>
          <w:p w14:paraId="226D46F2">
            <w:pPr>
              <w:jc w:val="center"/>
              <w:rPr>
                <w:rFonts w:ascii="Times New Roman"/>
                <w:sz w:val="21"/>
                <w:szCs w:val="21"/>
              </w:rPr>
            </w:pPr>
            <w:r>
              <w:rPr>
                <w:rFonts w:hint="eastAsia" w:ascii="Times New Roman"/>
                <w:sz w:val="21"/>
                <w:szCs w:val="21"/>
              </w:rPr>
              <w:t>0</w:t>
            </w:r>
          </w:p>
        </w:tc>
        <w:tc>
          <w:tcPr>
            <w:tcW w:w="1417" w:type="dxa"/>
            <w:vAlign w:val="center"/>
          </w:tcPr>
          <w:p w14:paraId="63671674">
            <w:pPr>
              <w:jc w:val="center"/>
              <w:rPr>
                <w:rFonts w:ascii="Times New Roman"/>
                <w:sz w:val="21"/>
                <w:szCs w:val="21"/>
              </w:rPr>
            </w:pPr>
            <w:r>
              <w:rPr>
                <w:rFonts w:hint="eastAsia" w:ascii="Times New Roman"/>
                <w:sz w:val="21"/>
                <w:szCs w:val="21"/>
              </w:rPr>
              <w:t>0.0156</w:t>
            </w:r>
          </w:p>
        </w:tc>
        <w:tc>
          <w:tcPr>
            <w:tcW w:w="1424" w:type="dxa"/>
            <w:vAlign w:val="center"/>
          </w:tcPr>
          <w:p w14:paraId="6FE8B2AC">
            <w:pPr>
              <w:jc w:val="center"/>
              <w:rPr>
                <w:rFonts w:ascii="Times New Roman"/>
                <w:sz w:val="21"/>
                <w:szCs w:val="21"/>
              </w:rPr>
            </w:pPr>
            <w:r>
              <w:rPr>
                <w:rFonts w:hint="eastAsia" w:ascii="Times New Roman"/>
                <w:sz w:val="21"/>
                <w:szCs w:val="21"/>
              </w:rPr>
              <w:t>0</w:t>
            </w:r>
          </w:p>
        </w:tc>
      </w:tr>
      <w:tr w14:paraId="3712CB10">
        <w:tblPrEx>
          <w:tblCellMar>
            <w:top w:w="0" w:type="dxa"/>
            <w:left w:w="108" w:type="dxa"/>
            <w:bottom w:w="0" w:type="dxa"/>
            <w:right w:w="108" w:type="dxa"/>
          </w:tblCellMar>
        </w:tblPrEx>
        <w:trPr>
          <w:trHeight w:val="113" w:hRule="atLeast"/>
        </w:trPr>
        <w:tc>
          <w:tcPr>
            <w:tcW w:w="2641" w:type="dxa"/>
            <w:vAlign w:val="center"/>
          </w:tcPr>
          <w:p w14:paraId="24735BF9">
            <w:pPr>
              <w:jc w:val="center"/>
              <w:rPr>
                <w:rFonts w:ascii="Times New Roman"/>
                <w:sz w:val="21"/>
                <w:szCs w:val="21"/>
              </w:rPr>
            </w:pPr>
            <w:r>
              <w:rPr>
                <w:rFonts w:ascii="Times New Roman"/>
                <w:sz w:val="21"/>
                <w:szCs w:val="21"/>
              </w:rPr>
              <w:t>25000.0</w:t>
            </w:r>
          </w:p>
        </w:tc>
        <w:tc>
          <w:tcPr>
            <w:tcW w:w="1634" w:type="dxa"/>
            <w:vAlign w:val="center"/>
          </w:tcPr>
          <w:p w14:paraId="583F5F24">
            <w:pPr>
              <w:jc w:val="center"/>
              <w:rPr>
                <w:rFonts w:ascii="Times New Roman"/>
                <w:sz w:val="21"/>
                <w:szCs w:val="21"/>
              </w:rPr>
            </w:pPr>
            <w:r>
              <w:rPr>
                <w:rFonts w:hint="eastAsia" w:ascii="Times New Roman"/>
                <w:sz w:val="21"/>
                <w:szCs w:val="21"/>
              </w:rPr>
              <w:t>0.0062</w:t>
            </w:r>
          </w:p>
        </w:tc>
        <w:tc>
          <w:tcPr>
            <w:tcW w:w="1383" w:type="dxa"/>
            <w:vAlign w:val="center"/>
          </w:tcPr>
          <w:p w14:paraId="608F2478">
            <w:pPr>
              <w:jc w:val="center"/>
              <w:rPr>
                <w:rFonts w:ascii="Times New Roman"/>
                <w:sz w:val="21"/>
                <w:szCs w:val="21"/>
              </w:rPr>
            </w:pPr>
            <w:r>
              <w:rPr>
                <w:rFonts w:hint="eastAsia" w:ascii="Times New Roman"/>
                <w:sz w:val="21"/>
                <w:szCs w:val="21"/>
              </w:rPr>
              <w:t>0</w:t>
            </w:r>
          </w:p>
        </w:tc>
        <w:tc>
          <w:tcPr>
            <w:tcW w:w="1417" w:type="dxa"/>
            <w:vAlign w:val="center"/>
          </w:tcPr>
          <w:p w14:paraId="293DCAA3">
            <w:pPr>
              <w:jc w:val="center"/>
              <w:rPr>
                <w:rFonts w:ascii="Times New Roman"/>
                <w:sz w:val="21"/>
                <w:szCs w:val="21"/>
              </w:rPr>
            </w:pPr>
            <w:r>
              <w:rPr>
                <w:rFonts w:hint="eastAsia" w:ascii="Times New Roman"/>
                <w:sz w:val="21"/>
                <w:szCs w:val="21"/>
              </w:rPr>
              <w:t>0.0113</w:t>
            </w:r>
          </w:p>
        </w:tc>
        <w:tc>
          <w:tcPr>
            <w:tcW w:w="1424" w:type="dxa"/>
            <w:vAlign w:val="center"/>
          </w:tcPr>
          <w:p w14:paraId="3B5F6941">
            <w:pPr>
              <w:jc w:val="center"/>
              <w:rPr>
                <w:rFonts w:ascii="Times New Roman"/>
                <w:sz w:val="21"/>
                <w:szCs w:val="21"/>
              </w:rPr>
            </w:pPr>
            <w:r>
              <w:rPr>
                <w:rFonts w:hint="eastAsia" w:ascii="Times New Roman"/>
                <w:sz w:val="21"/>
                <w:szCs w:val="21"/>
              </w:rPr>
              <w:t>0</w:t>
            </w:r>
          </w:p>
        </w:tc>
      </w:tr>
      <w:tr w14:paraId="086FE374">
        <w:tblPrEx>
          <w:tblCellMar>
            <w:top w:w="0" w:type="dxa"/>
            <w:left w:w="108" w:type="dxa"/>
            <w:bottom w:w="0" w:type="dxa"/>
            <w:right w:w="108" w:type="dxa"/>
          </w:tblCellMar>
        </w:tblPrEx>
        <w:trPr>
          <w:trHeight w:val="113" w:hRule="atLeast"/>
        </w:trPr>
        <w:tc>
          <w:tcPr>
            <w:tcW w:w="2641" w:type="dxa"/>
            <w:vAlign w:val="center"/>
          </w:tcPr>
          <w:p w14:paraId="1B8DAF63">
            <w:pPr>
              <w:jc w:val="center"/>
              <w:rPr>
                <w:rFonts w:ascii="Times New Roman"/>
                <w:sz w:val="21"/>
                <w:szCs w:val="21"/>
              </w:rPr>
            </w:pPr>
            <w:r>
              <w:rPr>
                <w:rFonts w:ascii="Times New Roman"/>
                <w:sz w:val="21"/>
                <w:szCs w:val="21"/>
              </w:rPr>
              <w:t>下风向最大浓度</w:t>
            </w:r>
          </w:p>
        </w:tc>
        <w:tc>
          <w:tcPr>
            <w:tcW w:w="1634" w:type="dxa"/>
            <w:vAlign w:val="center"/>
          </w:tcPr>
          <w:p w14:paraId="62813920">
            <w:pPr>
              <w:jc w:val="center"/>
              <w:rPr>
                <w:rFonts w:ascii="Times New Roman"/>
                <w:sz w:val="21"/>
                <w:szCs w:val="21"/>
              </w:rPr>
            </w:pPr>
            <w:r>
              <w:rPr>
                <w:rFonts w:hint="eastAsia" w:ascii="Times New Roman"/>
                <w:sz w:val="21"/>
                <w:szCs w:val="21"/>
              </w:rPr>
              <w:t>3.7099</w:t>
            </w:r>
          </w:p>
        </w:tc>
        <w:tc>
          <w:tcPr>
            <w:tcW w:w="1383" w:type="dxa"/>
            <w:vAlign w:val="center"/>
          </w:tcPr>
          <w:p w14:paraId="7EEFD1C6">
            <w:pPr>
              <w:jc w:val="center"/>
              <w:rPr>
                <w:rFonts w:ascii="Times New Roman"/>
                <w:sz w:val="21"/>
                <w:szCs w:val="21"/>
              </w:rPr>
            </w:pPr>
            <w:r>
              <w:rPr>
                <w:rFonts w:ascii="Times New Roman"/>
                <w:sz w:val="21"/>
                <w:szCs w:val="21"/>
              </w:rPr>
              <w:t>0.</w:t>
            </w:r>
            <w:r>
              <w:rPr>
                <w:rFonts w:hint="eastAsia" w:ascii="Times New Roman"/>
                <w:sz w:val="21"/>
                <w:szCs w:val="21"/>
              </w:rPr>
              <w:t>82</w:t>
            </w:r>
          </w:p>
        </w:tc>
        <w:tc>
          <w:tcPr>
            <w:tcW w:w="1417" w:type="dxa"/>
            <w:vAlign w:val="center"/>
          </w:tcPr>
          <w:p w14:paraId="5805D270">
            <w:pPr>
              <w:jc w:val="center"/>
              <w:rPr>
                <w:rFonts w:ascii="Times New Roman"/>
                <w:sz w:val="21"/>
                <w:szCs w:val="21"/>
              </w:rPr>
            </w:pPr>
            <w:r>
              <w:rPr>
                <w:rFonts w:hint="eastAsia" w:ascii="Times New Roman"/>
                <w:sz w:val="21"/>
                <w:szCs w:val="21"/>
              </w:rPr>
              <w:t>6.8014</w:t>
            </w:r>
          </w:p>
        </w:tc>
        <w:tc>
          <w:tcPr>
            <w:tcW w:w="1424" w:type="dxa"/>
            <w:vAlign w:val="center"/>
          </w:tcPr>
          <w:p w14:paraId="3F31AC0C">
            <w:pPr>
              <w:jc w:val="center"/>
              <w:rPr>
                <w:rFonts w:ascii="Times New Roman"/>
                <w:sz w:val="21"/>
                <w:szCs w:val="21"/>
              </w:rPr>
            </w:pPr>
            <w:r>
              <w:rPr>
                <w:rFonts w:hint="eastAsia" w:ascii="Times New Roman"/>
                <w:sz w:val="21"/>
                <w:szCs w:val="21"/>
              </w:rPr>
              <w:t>1.51</w:t>
            </w:r>
          </w:p>
        </w:tc>
      </w:tr>
      <w:tr w14:paraId="0629F7F2">
        <w:tblPrEx>
          <w:tblCellMar>
            <w:top w:w="0" w:type="dxa"/>
            <w:left w:w="108" w:type="dxa"/>
            <w:bottom w:w="0" w:type="dxa"/>
            <w:right w:w="108" w:type="dxa"/>
          </w:tblCellMar>
        </w:tblPrEx>
        <w:trPr>
          <w:trHeight w:val="113" w:hRule="atLeast"/>
        </w:trPr>
        <w:tc>
          <w:tcPr>
            <w:tcW w:w="2641" w:type="dxa"/>
            <w:vAlign w:val="center"/>
          </w:tcPr>
          <w:p w14:paraId="151ECFB7">
            <w:pPr>
              <w:jc w:val="center"/>
              <w:rPr>
                <w:rFonts w:ascii="Times New Roman"/>
                <w:sz w:val="21"/>
                <w:szCs w:val="21"/>
              </w:rPr>
            </w:pPr>
            <w:r>
              <w:rPr>
                <w:rFonts w:ascii="Times New Roman"/>
                <w:sz w:val="21"/>
                <w:szCs w:val="21"/>
              </w:rPr>
              <w:t>下风向最大浓度出现距离</w:t>
            </w:r>
          </w:p>
        </w:tc>
        <w:tc>
          <w:tcPr>
            <w:tcW w:w="1634" w:type="dxa"/>
            <w:vAlign w:val="center"/>
          </w:tcPr>
          <w:p w14:paraId="4C20BB6F">
            <w:pPr>
              <w:jc w:val="center"/>
              <w:rPr>
                <w:rFonts w:ascii="Times New Roman"/>
                <w:sz w:val="21"/>
                <w:szCs w:val="21"/>
              </w:rPr>
            </w:pPr>
            <w:r>
              <w:rPr>
                <w:rFonts w:ascii="Times New Roman"/>
                <w:sz w:val="21"/>
                <w:szCs w:val="21"/>
              </w:rPr>
              <w:t>95.0</w:t>
            </w:r>
          </w:p>
        </w:tc>
        <w:tc>
          <w:tcPr>
            <w:tcW w:w="1383" w:type="dxa"/>
            <w:vAlign w:val="center"/>
          </w:tcPr>
          <w:p w14:paraId="23967DA4">
            <w:pPr>
              <w:jc w:val="center"/>
              <w:rPr>
                <w:rFonts w:ascii="Times New Roman"/>
                <w:sz w:val="21"/>
                <w:szCs w:val="21"/>
              </w:rPr>
            </w:pPr>
            <w:r>
              <w:rPr>
                <w:rFonts w:ascii="Times New Roman"/>
                <w:sz w:val="21"/>
                <w:szCs w:val="21"/>
              </w:rPr>
              <w:t>95.0</w:t>
            </w:r>
          </w:p>
        </w:tc>
        <w:tc>
          <w:tcPr>
            <w:tcW w:w="1417" w:type="dxa"/>
            <w:vAlign w:val="center"/>
          </w:tcPr>
          <w:p w14:paraId="418A9F6F">
            <w:pPr>
              <w:jc w:val="center"/>
              <w:rPr>
                <w:rFonts w:ascii="Times New Roman"/>
                <w:sz w:val="21"/>
                <w:szCs w:val="21"/>
              </w:rPr>
            </w:pPr>
            <w:r>
              <w:rPr>
                <w:rFonts w:ascii="Times New Roman"/>
                <w:sz w:val="21"/>
                <w:szCs w:val="21"/>
              </w:rPr>
              <w:t>95.0</w:t>
            </w:r>
          </w:p>
        </w:tc>
        <w:tc>
          <w:tcPr>
            <w:tcW w:w="1424" w:type="dxa"/>
            <w:vAlign w:val="center"/>
          </w:tcPr>
          <w:p w14:paraId="72BC99B4">
            <w:pPr>
              <w:jc w:val="center"/>
              <w:rPr>
                <w:rFonts w:ascii="Times New Roman"/>
                <w:sz w:val="21"/>
                <w:szCs w:val="21"/>
              </w:rPr>
            </w:pPr>
            <w:r>
              <w:rPr>
                <w:rFonts w:ascii="Times New Roman"/>
                <w:sz w:val="21"/>
                <w:szCs w:val="21"/>
              </w:rPr>
              <w:t>95.0</w:t>
            </w:r>
          </w:p>
        </w:tc>
      </w:tr>
      <w:tr w14:paraId="460616E6">
        <w:tblPrEx>
          <w:tblCellMar>
            <w:top w:w="0" w:type="dxa"/>
            <w:left w:w="108" w:type="dxa"/>
            <w:bottom w:w="0" w:type="dxa"/>
            <w:right w:w="108" w:type="dxa"/>
          </w:tblCellMar>
        </w:tblPrEx>
        <w:trPr>
          <w:trHeight w:val="113" w:hRule="atLeast"/>
        </w:trPr>
        <w:tc>
          <w:tcPr>
            <w:tcW w:w="2641" w:type="dxa"/>
            <w:vAlign w:val="center"/>
          </w:tcPr>
          <w:p w14:paraId="09CDE52E">
            <w:pPr>
              <w:jc w:val="center"/>
              <w:rPr>
                <w:rFonts w:ascii="Times New Roman"/>
                <w:sz w:val="21"/>
                <w:szCs w:val="21"/>
              </w:rPr>
            </w:pPr>
            <w:r>
              <w:rPr>
                <w:rFonts w:ascii="Times New Roman"/>
                <w:sz w:val="21"/>
                <w:szCs w:val="21"/>
              </w:rPr>
              <w:t>D10%最远距离</w:t>
            </w:r>
          </w:p>
        </w:tc>
        <w:tc>
          <w:tcPr>
            <w:tcW w:w="1634" w:type="dxa"/>
            <w:vAlign w:val="center"/>
          </w:tcPr>
          <w:p w14:paraId="5FD6BE4B">
            <w:pPr>
              <w:jc w:val="center"/>
              <w:rPr>
                <w:rFonts w:ascii="Times New Roman"/>
                <w:sz w:val="21"/>
                <w:szCs w:val="21"/>
              </w:rPr>
            </w:pPr>
            <w:r>
              <w:rPr>
                <w:rFonts w:ascii="Times New Roman"/>
                <w:sz w:val="21"/>
                <w:szCs w:val="21"/>
              </w:rPr>
              <w:t>/</w:t>
            </w:r>
          </w:p>
        </w:tc>
        <w:tc>
          <w:tcPr>
            <w:tcW w:w="1383" w:type="dxa"/>
            <w:vAlign w:val="center"/>
          </w:tcPr>
          <w:p w14:paraId="3D3395A3">
            <w:pPr>
              <w:jc w:val="center"/>
              <w:rPr>
                <w:rFonts w:ascii="Times New Roman"/>
                <w:sz w:val="21"/>
                <w:szCs w:val="21"/>
              </w:rPr>
            </w:pPr>
            <w:r>
              <w:rPr>
                <w:rFonts w:ascii="Times New Roman"/>
                <w:sz w:val="21"/>
                <w:szCs w:val="21"/>
              </w:rPr>
              <w:t>/</w:t>
            </w:r>
          </w:p>
        </w:tc>
        <w:tc>
          <w:tcPr>
            <w:tcW w:w="1417" w:type="dxa"/>
            <w:vAlign w:val="center"/>
          </w:tcPr>
          <w:p w14:paraId="757A08B9">
            <w:pPr>
              <w:jc w:val="center"/>
              <w:rPr>
                <w:rFonts w:ascii="Times New Roman"/>
                <w:sz w:val="21"/>
                <w:szCs w:val="21"/>
              </w:rPr>
            </w:pPr>
            <w:r>
              <w:rPr>
                <w:rFonts w:ascii="Times New Roman"/>
                <w:sz w:val="21"/>
                <w:szCs w:val="21"/>
              </w:rPr>
              <w:t>/</w:t>
            </w:r>
          </w:p>
        </w:tc>
        <w:tc>
          <w:tcPr>
            <w:tcW w:w="1424" w:type="dxa"/>
            <w:vAlign w:val="center"/>
          </w:tcPr>
          <w:p w14:paraId="7A1A478F">
            <w:pPr>
              <w:jc w:val="center"/>
              <w:rPr>
                <w:rFonts w:ascii="Times New Roman"/>
                <w:sz w:val="21"/>
                <w:szCs w:val="21"/>
              </w:rPr>
            </w:pPr>
            <w:r>
              <w:rPr>
                <w:rFonts w:ascii="Times New Roman"/>
                <w:sz w:val="21"/>
                <w:szCs w:val="21"/>
              </w:rPr>
              <w:t>/</w:t>
            </w:r>
          </w:p>
        </w:tc>
      </w:tr>
    </w:tbl>
    <w:p w14:paraId="2BE67E4E">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4999" w:type="pct"/>
        <w:tblInd w:w="0" w:type="dxa"/>
        <w:tblLayout w:type="autofit"/>
        <w:tblCellMar>
          <w:top w:w="0" w:type="dxa"/>
          <w:left w:w="108" w:type="dxa"/>
          <w:bottom w:w="0" w:type="dxa"/>
          <w:right w:w="108" w:type="dxa"/>
        </w:tblCellMar>
      </w:tblPr>
      <w:tblGrid>
        <w:gridCol w:w="3074"/>
        <w:gridCol w:w="2942"/>
        <w:gridCol w:w="2504"/>
      </w:tblGrid>
      <w:tr w14:paraId="3E388DBD">
        <w:tblPrEx>
          <w:tblCellMar>
            <w:top w:w="0" w:type="dxa"/>
            <w:left w:w="108" w:type="dxa"/>
            <w:bottom w:w="0" w:type="dxa"/>
            <w:right w:w="108" w:type="dxa"/>
          </w:tblCellMar>
        </w:tblPrEx>
        <w:trPr>
          <w:trHeight w:val="90" w:hRule="atLeast"/>
        </w:trPr>
        <w:tc>
          <w:tcPr>
            <w:tcW w:w="1804" w:type="pct"/>
            <w:vMerge w:val="restart"/>
            <w:vAlign w:val="center"/>
          </w:tcPr>
          <w:p w14:paraId="4D6A254E">
            <w:pPr>
              <w:jc w:val="center"/>
              <w:rPr>
                <w:rFonts w:ascii="Times New Roman"/>
                <w:sz w:val="21"/>
                <w:szCs w:val="21"/>
              </w:rPr>
            </w:pPr>
            <w:r>
              <w:rPr>
                <w:rFonts w:ascii="Times New Roman"/>
                <w:sz w:val="21"/>
                <w:szCs w:val="21"/>
              </w:rPr>
              <w:t>下风向距离</w:t>
            </w:r>
          </w:p>
        </w:tc>
        <w:tc>
          <w:tcPr>
            <w:tcW w:w="3195" w:type="pct"/>
            <w:gridSpan w:val="2"/>
            <w:tcBorders>
              <w:right w:val="single" w:color="auto" w:sz="4" w:space="0"/>
            </w:tcBorders>
            <w:vAlign w:val="center"/>
          </w:tcPr>
          <w:p w14:paraId="0A1D0D52">
            <w:pPr>
              <w:jc w:val="center"/>
              <w:rPr>
                <w:rFonts w:ascii="Times New Roman"/>
                <w:sz w:val="21"/>
                <w:szCs w:val="21"/>
              </w:rPr>
            </w:pPr>
            <w:r>
              <w:rPr>
                <w:rFonts w:ascii="Times New Roman"/>
                <w:sz w:val="21"/>
                <w:szCs w:val="21"/>
              </w:rPr>
              <w:t>喷塑废气</w:t>
            </w:r>
            <w:r>
              <w:rPr>
                <w:rFonts w:ascii="Times New Roman" w:eastAsia="Times New Roman"/>
                <w:sz w:val="21"/>
                <w:szCs w:val="21"/>
              </w:rPr>
              <w:t>(</w:t>
            </w:r>
            <w:r>
              <w:rPr>
                <w:rFonts w:ascii="Times New Roman"/>
                <w:sz w:val="21"/>
                <w:szCs w:val="21"/>
              </w:rPr>
              <w:t>DA010</w:t>
            </w:r>
            <w:r>
              <w:rPr>
                <w:rFonts w:ascii="Times New Roman" w:eastAsia="Times New Roman"/>
                <w:sz w:val="21"/>
                <w:szCs w:val="21"/>
              </w:rPr>
              <w:t>)</w:t>
            </w:r>
          </w:p>
        </w:tc>
      </w:tr>
      <w:tr w14:paraId="42730E1D">
        <w:tblPrEx>
          <w:tblCellMar>
            <w:top w:w="0" w:type="dxa"/>
            <w:left w:w="108" w:type="dxa"/>
            <w:bottom w:w="0" w:type="dxa"/>
            <w:right w:w="108" w:type="dxa"/>
          </w:tblCellMar>
        </w:tblPrEx>
        <w:trPr>
          <w:trHeight w:val="398" w:hRule="atLeast"/>
        </w:trPr>
        <w:tc>
          <w:tcPr>
            <w:tcW w:w="1804" w:type="pct"/>
            <w:vMerge w:val="continue"/>
            <w:vAlign w:val="center"/>
          </w:tcPr>
          <w:p w14:paraId="183B2964">
            <w:pPr>
              <w:jc w:val="center"/>
              <w:rPr>
                <w:rFonts w:ascii="Times New Roman"/>
                <w:sz w:val="21"/>
                <w:szCs w:val="21"/>
              </w:rPr>
            </w:pPr>
          </w:p>
        </w:tc>
        <w:tc>
          <w:tcPr>
            <w:tcW w:w="1726" w:type="pct"/>
            <w:vAlign w:val="center"/>
          </w:tcPr>
          <w:p w14:paraId="322317DE">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浓度(μg/m³)</w:t>
            </w:r>
          </w:p>
        </w:tc>
        <w:tc>
          <w:tcPr>
            <w:tcW w:w="1466" w:type="pct"/>
            <w:tcBorders>
              <w:right w:val="single" w:color="auto" w:sz="4" w:space="0"/>
            </w:tcBorders>
            <w:vAlign w:val="center"/>
          </w:tcPr>
          <w:p w14:paraId="3C85E5B9">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r>
      <w:tr w14:paraId="7777B184">
        <w:tblPrEx>
          <w:tblCellMar>
            <w:top w:w="0" w:type="dxa"/>
            <w:left w:w="108" w:type="dxa"/>
            <w:bottom w:w="0" w:type="dxa"/>
            <w:right w:w="108" w:type="dxa"/>
          </w:tblCellMar>
        </w:tblPrEx>
        <w:trPr>
          <w:trHeight w:val="90" w:hRule="atLeast"/>
        </w:trPr>
        <w:tc>
          <w:tcPr>
            <w:tcW w:w="1804" w:type="pct"/>
            <w:vAlign w:val="center"/>
          </w:tcPr>
          <w:p w14:paraId="46E0E365">
            <w:pPr>
              <w:jc w:val="center"/>
              <w:rPr>
                <w:rFonts w:ascii="Times New Roman"/>
                <w:sz w:val="21"/>
                <w:szCs w:val="21"/>
              </w:rPr>
            </w:pPr>
            <w:r>
              <w:rPr>
                <w:rFonts w:ascii="Times New Roman"/>
                <w:sz w:val="21"/>
                <w:szCs w:val="21"/>
              </w:rPr>
              <w:t>50.0</w:t>
            </w:r>
          </w:p>
        </w:tc>
        <w:tc>
          <w:tcPr>
            <w:tcW w:w="2942" w:type="dxa"/>
            <w:vAlign w:val="center"/>
          </w:tcPr>
          <w:p w14:paraId="082F9747">
            <w:pPr>
              <w:jc w:val="center"/>
              <w:rPr>
                <w:rFonts w:ascii="Times New Roman"/>
                <w:sz w:val="21"/>
                <w:szCs w:val="21"/>
              </w:rPr>
            </w:pPr>
            <w:r>
              <w:rPr>
                <w:rFonts w:hint="eastAsia" w:ascii="Times New Roman"/>
                <w:sz w:val="21"/>
                <w:szCs w:val="21"/>
              </w:rPr>
              <w:t>1.8086</w:t>
            </w:r>
          </w:p>
        </w:tc>
        <w:tc>
          <w:tcPr>
            <w:tcW w:w="2499" w:type="dxa"/>
            <w:vAlign w:val="center"/>
          </w:tcPr>
          <w:p w14:paraId="5C46C883">
            <w:pPr>
              <w:jc w:val="center"/>
              <w:rPr>
                <w:rFonts w:ascii="Times New Roman"/>
                <w:sz w:val="21"/>
                <w:szCs w:val="21"/>
              </w:rPr>
            </w:pPr>
            <w:r>
              <w:rPr>
                <w:rFonts w:hint="eastAsia" w:ascii="Times New Roman"/>
                <w:sz w:val="21"/>
                <w:szCs w:val="21"/>
              </w:rPr>
              <w:t>0.4</w:t>
            </w:r>
          </w:p>
        </w:tc>
      </w:tr>
      <w:tr w14:paraId="570AC96A">
        <w:tblPrEx>
          <w:tblCellMar>
            <w:top w:w="0" w:type="dxa"/>
            <w:left w:w="108" w:type="dxa"/>
            <w:bottom w:w="0" w:type="dxa"/>
            <w:right w:w="108" w:type="dxa"/>
          </w:tblCellMar>
        </w:tblPrEx>
        <w:trPr>
          <w:trHeight w:val="90" w:hRule="atLeast"/>
        </w:trPr>
        <w:tc>
          <w:tcPr>
            <w:tcW w:w="1804" w:type="pct"/>
            <w:vAlign w:val="center"/>
          </w:tcPr>
          <w:p w14:paraId="2B1FF418">
            <w:pPr>
              <w:jc w:val="center"/>
              <w:rPr>
                <w:rFonts w:ascii="Times New Roman"/>
                <w:sz w:val="21"/>
                <w:szCs w:val="21"/>
              </w:rPr>
            </w:pPr>
            <w:r>
              <w:rPr>
                <w:rFonts w:ascii="Times New Roman"/>
                <w:sz w:val="21"/>
                <w:szCs w:val="21"/>
              </w:rPr>
              <w:t>100.0</w:t>
            </w:r>
          </w:p>
        </w:tc>
        <w:tc>
          <w:tcPr>
            <w:tcW w:w="2942" w:type="dxa"/>
            <w:vAlign w:val="center"/>
          </w:tcPr>
          <w:p w14:paraId="289AFABC">
            <w:pPr>
              <w:jc w:val="center"/>
              <w:rPr>
                <w:rFonts w:ascii="Times New Roman"/>
                <w:sz w:val="21"/>
                <w:szCs w:val="21"/>
              </w:rPr>
            </w:pPr>
            <w:r>
              <w:rPr>
                <w:rFonts w:hint="eastAsia" w:ascii="Times New Roman"/>
                <w:sz w:val="21"/>
                <w:szCs w:val="21"/>
              </w:rPr>
              <w:t>4.6569</w:t>
            </w:r>
          </w:p>
        </w:tc>
        <w:tc>
          <w:tcPr>
            <w:tcW w:w="2499" w:type="dxa"/>
            <w:vAlign w:val="center"/>
          </w:tcPr>
          <w:p w14:paraId="62460C2B">
            <w:pPr>
              <w:jc w:val="center"/>
              <w:rPr>
                <w:rFonts w:ascii="Times New Roman"/>
                <w:sz w:val="21"/>
                <w:szCs w:val="21"/>
              </w:rPr>
            </w:pPr>
            <w:r>
              <w:rPr>
                <w:rFonts w:hint="eastAsia" w:ascii="Times New Roman"/>
                <w:sz w:val="21"/>
                <w:szCs w:val="21"/>
              </w:rPr>
              <w:t>1.03</w:t>
            </w:r>
          </w:p>
        </w:tc>
      </w:tr>
      <w:tr w14:paraId="14F5B9DA">
        <w:tblPrEx>
          <w:tblCellMar>
            <w:top w:w="0" w:type="dxa"/>
            <w:left w:w="108" w:type="dxa"/>
            <w:bottom w:w="0" w:type="dxa"/>
            <w:right w:w="108" w:type="dxa"/>
          </w:tblCellMar>
        </w:tblPrEx>
        <w:trPr>
          <w:trHeight w:val="90" w:hRule="atLeast"/>
        </w:trPr>
        <w:tc>
          <w:tcPr>
            <w:tcW w:w="1804" w:type="pct"/>
            <w:vAlign w:val="center"/>
          </w:tcPr>
          <w:p w14:paraId="3A2DC66D">
            <w:pPr>
              <w:jc w:val="center"/>
              <w:rPr>
                <w:rFonts w:ascii="Times New Roman"/>
                <w:sz w:val="21"/>
                <w:szCs w:val="21"/>
              </w:rPr>
            </w:pPr>
            <w:r>
              <w:rPr>
                <w:rFonts w:ascii="Times New Roman"/>
                <w:sz w:val="21"/>
                <w:szCs w:val="21"/>
              </w:rPr>
              <w:t>200.0</w:t>
            </w:r>
          </w:p>
        </w:tc>
        <w:tc>
          <w:tcPr>
            <w:tcW w:w="2942" w:type="dxa"/>
            <w:vAlign w:val="center"/>
          </w:tcPr>
          <w:p w14:paraId="29D6BF26">
            <w:pPr>
              <w:jc w:val="center"/>
              <w:rPr>
                <w:rFonts w:ascii="Times New Roman"/>
                <w:sz w:val="21"/>
                <w:szCs w:val="21"/>
              </w:rPr>
            </w:pPr>
            <w:r>
              <w:rPr>
                <w:rFonts w:hint="eastAsia" w:ascii="Times New Roman"/>
                <w:sz w:val="21"/>
                <w:szCs w:val="21"/>
              </w:rPr>
              <w:t>2.8592</w:t>
            </w:r>
          </w:p>
        </w:tc>
        <w:tc>
          <w:tcPr>
            <w:tcW w:w="2499" w:type="dxa"/>
            <w:vAlign w:val="center"/>
          </w:tcPr>
          <w:p w14:paraId="1B571B6B">
            <w:pPr>
              <w:jc w:val="center"/>
              <w:rPr>
                <w:rFonts w:ascii="Times New Roman"/>
                <w:sz w:val="21"/>
                <w:szCs w:val="21"/>
              </w:rPr>
            </w:pPr>
            <w:r>
              <w:rPr>
                <w:rFonts w:hint="eastAsia" w:ascii="Times New Roman"/>
                <w:sz w:val="21"/>
                <w:szCs w:val="21"/>
              </w:rPr>
              <w:t>0.64</w:t>
            </w:r>
          </w:p>
        </w:tc>
      </w:tr>
      <w:tr w14:paraId="0AE8F9CF">
        <w:tblPrEx>
          <w:tblCellMar>
            <w:top w:w="0" w:type="dxa"/>
            <w:left w:w="108" w:type="dxa"/>
            <w:bottom w:w="0" w:type="dxa"/>
            <w:right w:w="108" w:type="dxa"/>
          </w:tblCellMar>
        </w:tblPrEx>
        <w:trPr>
          <w:trHeight w:val="90" w:hRule="atLeast"/>
        </w:trPr>
        <w:tc>
          <w:tcPr>
            <w:tcW w:w="1804" w:type="pct"/>
            <w:vAlign w:val="center"/>
          </w:tcPr>
          <w:p w14:paraId="05DDD471">
            <w:pPr>
              <w:jc w:val="center"/>
              <w:rPr>
                <w:rFonts w:ascii="Times New Roman"/>
                <w:sz w:val="21"/>
                <w:szCs w:val="21"/>
              </w:rPr>
            </w:pPr>
            <w:r>
              <w:rPr>
                <w:rFonts w:ascii="Times New Roman"/>
                <w:sz w:val="21"/>
                <w:szCs w:val="21"/>
              </w:rPr>
              <w:t>300.0</w:t>
            </w:r>
          </w:p>
        </w:tc>
        <w:tc>
          <w:tcPr>
            <w:tcW w:w="2942" w:type="dxa"/>
            <w:vAlign w:val="center"/>
          </w:tcPr>
          <w:p w14:paraId="0EF11E2F">
            <w:pPr>
              <w:jc w:val="center"/>
              <w:rPr>
                <w:rFonts w:ascii="Times New Roman"/>
                <w:sz w:val="21"/>
                <w:szCs w:val="21"/>
              </w:rPr>
            </w:pPr>
            <w:r>
              <w:rPr>
                <w:rFonts w:hint="eastAsia" w:ascii="Times New Roman"/>
                <w:sz w:val="21"/>
                <w:szCs w:val="21"/>
              </w:rPr>
              <w:t>2.1715</w:t>
            </w:r>
          </w:p>
        </w:tc>
        <w:tc>
          <w:tcPr>
            <w:tcW w:w="2499" w:type="dxa"/>
            <w:vAlign w:val="center"/>
          </w:tcPr>
          <w:p w14:paraId="695F0BD2">
            <w:pPr>
              <w:jc w:val="center"/>
              <w:rPr>
                <w:rFonts w:ascii="Times New Roman"/>
                <w:sz w:val="21"/>
                <w:szCs w:val="21"/>
              </w:rPr>
            </w:pPr>
            <w:r>
              <w:rPr>
                <w:rFonts w:hint="eastAsia" w:ascii="Times New Roman"/>
                <w:sz w:val="21"/>
                <w:szCs w:val="21"/>
              </w:rPr>
              <w:t>0.48</w:t>
            </w:r>
          </w:p>
        </w:tc>
      </w:tr>
      <w:tr w14:paraId="628ADA82">
        <w:tblPrEx>
          <w:tblCellMar>
            <w:top w:w="0" w:type="dxa"/>
            <w:left w:w="108" w:type="dxa"/>
            <w:bottom w:w="0" w:type="dxa"/>
            <w:right w:w="108" w:type="dxa"/>
          </w:tblCellMar>
        </w:tblPrEx>
        <w:trPr>
          <w:trHeight w:val="90" w:hRule="atLeast"/>
        </w:trPr>
        <w:tc>
          <w:tcPr>
            <w:tcW w:w="1804" w:type="pct"/>
            <w:vAlign w:val="center"/>
          </w:tcPr>
          <w:p w14:paraId="20759955">
            <w:pPr>
              <w:jc w:val="center"/>
              <w:rPr>
                <w:rFonts w:ascii="Times New Roman"/>
                <w:sz w:val="21"/>
                <w:szCs w:val="21"/>
              </w:rPr>
            </w:pPr>
            <w:r>
              <w:rPr>
                <w:rFonts w:ascii="Times New Roman"/>
                <w:sz w:val="21"/>
                <w:szCs w:val="21"/>
              </w:rPr>
              <w:t>400.0</w:t>
            </w:r>
          </w:p>
        </w:tc>
        <w:tc>
          <w:tcPr>
            <w:tcW w:w="2942" w:type="dxa"/>
            <w:vAlign w:val="center"/>
          </w:tcPr>
          <w:p w14:paraId="5D684A94">
            <w:pPr>
              <w:jc w:val="center"/>
              <w:rPr>
                <w:rFonts w:ascii="Times New Roman"/>
                <w:sz w:val="21"/>
                <w:szCs w:val="21"/>
              </w:rPr>
            </w:pPr>
            <w:r>
              <w:rPr>
                <w:rFonts w:hint="eastAsia" w:ascii="Times New Roman"/>
                <w:sz w:val="21"/>
                <w:szCs w:val="21"/>
              </w:rPr>
              <w:t>1.6934</w:t>
            </w:r>
          </w:p>
        </w:tc>
        <w:tc>
          <w:tcPr>
            <w:tcW w:w="2499" w:type="dxa"/>
            <w:vAlign w:val="center"/>
          </w:tcPr>
          <w:p w14:paraId="703D8D7C">
            <w:pPr>
              <w:jc w:val="center"/>
              <w:rPr>
                <w:rFonts w:ascii="Times New Roman"/>
                <w:sz w:val="21"/>
                <w:szCs w:val="21"/>
              </w:rPr>
            </w:pPr>
            <w:r>
              <w:rPr>
                <w:rFonts w:hint="eastAsia" w:ascii="Times New Roman"/>
                <w:sz w:val="21"/>
                <w:szCs w:val="21"/>
              </w:rPr>
              <w:t>0.38</w:t>
            </w:r>
          </w:p>
        </w:tc>
      </w:tr>
      <w:tr w14:paraId="68208D70">
        <w:tblPrEx>
          <w:tblCellMar>
            <w:top w:w="0" w:type="dxa"/>
            <w:left w:w="108" w:type="dxa"/>
            <w:bottom w:w="0" w:type="dxa"/>
            <w:right w:w="108" w:type="dxa"/>
          </w:tblCellMar>
        </w:tblPrEx>
        <w:trPr>
          <w:trHeight w:val="90" w:hRule="atLeast"/>
        </w:trPr>
        <w:tc>
          <w:tcPr>
            <w:tcW w:w="1804" w:type="pct"/>
            <w:vAlign w:val="center"/>
          </w:tcPr>
          <w:p w14:paraId="785347E3">
            <w:pPr>
              <w:jc w:val="center"/>
              <w:rPr>
                <w:rFonts w:ascii="Times New Roman"/>
                <w:sz w:val="21"/>
                <w:szCs w:val="21"/>
              </w:rPr>
            </w:pPr>
            <w:r>
              <w:rPr>
                <w:rFonts w:ascii="Times New Roman"/>
                <w:sz w:val="21"/>
                <w:szCs w:val="21"/>
              </w:rPr>
              <w:t>500.0</w:t>
            </w:r>
          </w:p>
        </w:tc>
        <w:tc>
          <w:tcPr>
            <w:tcW w:w="2942" w:type="dxa"/>
            <w:vAlign w:val="center"/>
          </w:tcPr>
          <w:p w14:paraId="26F1668F">
            <w:pPr>
              <w:jc w:val="center"/>
              <w:rPr>
                <w:rFonts w:ascii="Times New Roman"/>
                <w:sz w:val="21"/>
                <w:szCs w:val="21"/>
              </w:rPr>
            </w:pPr>
            <w:r>
              <w:rPr>
                <w:rFonts w:hint="eastAsia" w:ascii="Times New Roman"/>
                <w:sz w:val="21"/>
                <w:szCs w:val="21"/>
              </w:rPr>
              <w:t>1.3482</w:t>
            </w:r>
          </w:p>
        </w:tc>
        <w:tc>
          <w:tcPr>
            <w:tcW w:w="2499" w:type="dxa"/>
            <w:vAlign w:val="center"/>
          </w:tcPr>
          <w:p w14:paraId="47EB2750">
            <w:pPr>
              <w:jc w:val="center"/>
              <w:rPr>
                <w:rFonts w:ascii="Times New Roman"/>
                <w:sz w:val="21"/>
                <w:szCs w:val="21"/>
              </w:rPr>
            </w:pPr>
            <w:r>
              <w:rPr>
                <w:rFonts w:hint="eastAsia" w:ascii="Times New Roman"/>
                <w:sz w:val="21"/>
                <w:szCs w:val="21"/>
              </w:rPr>
              <w:t>0.3</w:t>
            </w:r>
          </w:p>
        </w:tc>
      </w:tr>
      <w:tr w14:paraId="7F3BD7BB">
        <w:tblPrEx>
          <w:tblCellMar>
            <w:top w:w="0" w:type="dxa"/>
            <w:left w:w="108" w:type="dxa"/>
            <w:bottom w:w="0" w:type="dxa"/>
            <w:right w:w="108" w:type="dxa"/>
          </w:tblCellMar>
        </w:tblPrEx>
        <w:trPr>
          <w:trHeight w:val="90" w:hRule="atLeast"/>
        </w:trPr>
        <w:tc>
          <w:tcPr>
            <w:tcW w:w="1804" w:type="pct"/>
            <w:vAlign w:val="center"/>
          </w:tcPr>
          <w:p w14:paraId="4E52BBD3">
            <w:pPr>
              <w:jc w:val="center"/>
              <w:rPr>
                <w:rFonts w:ascii="Times New Roman"/>
                <w:sz w:val="21"/>
                <w:szCs w:val="21"/>
              </w:rPr>
            </w:pPr>
            <w:r>
              <w:rPr>
                <w:rFonts w:ascii="Times New Roman"/>
                <w:sz w:val="21"/>
                <w:szCs w:val="21"/>
              </w:rPr>
              <w:t>600.0</w:t>
            </w:r>
          </w:p>
        </w:tc>
        <w:tc>
          <w:tcPr>
            <w:tcW w:w="2942" w:type="dxa"/>
            <w:vAlign w:val="center"/>
          </w:tcPr>
          <w:p w14:paraId="182F8064">
            <w:pPr>
              <w:jc w:val="center"/>
              <w:rPr>
                <w:rFonts w:ascii="Times New Roman"/>
                <w:sz w:val="21"/>
                <w:szCs w:val="21"/>
              </w:rPr>
            </w:pPr>
            <w:r>
              <w:rPr>
                <w:rFonts w:hint="eastAsia" w:ascii="Times New Roman"/>
                <w:sz w:val="21"/>
                <w:szCs w:val="21"/>
              </w:rPr>
              <w:t>1.1011</w:t>
            </w:r>
          </w:p>
        </w:tc>
        <w:tc>
          <w:tcPr>
            <w:tcW w:w="2499" w:type="dxa"/>
            <w:vAlign w:val="center"/>
          </w:tcPr>
          <w:p w14:paraId="145F1113">
            <w:pPr>
              <w:jc w:val="center"/>
              <w:rPr>
                <w:rFonts w:ascii="Times New Roman"/>
                <w:sz w:val="21"/>
                <w:szCs w:val="21"/>
              </w:rPr>
            </w:pPr>
            <w:r>
              <w:rPr>
                <w:rFonts w:hint="eastAsia" w:ascii="Times New Roman"/>
                <w:sz w:val="21"/>
                <w:szCs w:val="21"/>
              </w:rPr>
              <w:t>0.24</w:t>
            </w:r>
          </w:p>
        </w:tc>
      </w:tr>
      <w:tr w14:paraId="31EB577C">
        <w:tblPrEx>
          <w:tblCellMar>
            <w:top w:w="0" w:type="dxa"/>
            <w:left w:w="108" w:type="dxa"/>
            <w:bottom w:w="0" w:type="dxa"/>
            <w:right w:w="108" w:type="dxa"/>
          </w:tblCellMar>
        </w:tblPrEx>
        <w:trPr>
          <w:trHeight w:val="90" w:hRule="atLeast"/>
        </w:trPr>
        <w:tc>
          <w:tcPr>
            <w:tcW w:w="1804" w:type="pct"/>
            <w:vAlign w:val="center"/>
          </w:tcPr>
          <w:p w14:paraId="4740BED9">
            <w:pPr>
              <w:jc w:val="center"/>
              <w:rPr>
                <w:rFonts w:ascii="Times New Roman"/>
                <w:sz w:val="21"/>
                <w:szCs w:val="21"/>
              </w:rPr>
            </w:pPr>
            <w:r>
              <w:rPr>
                <w:rFonts w:ascii="Times New Roman"/>
                <w:sz w:val="21"/>
                <w:szCs w:val="21"/>
              </w:rPr>
              <w:t>700.0</w:t>
            </w:r>
          </w:p>
        </w:tc>
        <w:tc>
          <w:tcPr>
            <w:tcW w:w="2942" w:type="dxa"/>
            <w:vAlign w:val="center"/>
          </w:tcPr>
          <w:p w14:paraId="531228AC">
            <w:pPr>
              <w:jc w:val="center"/>
              <w:rPr>
                <w:rFonts w:ascii="Times New Roman"/>
                <w:sz w:val="21"/>
                <w:szCs w:val="21"/>
              </w:rPr>
            </w:pPr>
            <w:r>
              <w:rPr>
                <w:rFonts w:hint="eastAsia" w:ascii="Times New Roman"/>
                <w:sz w:val="21"/>
                <w:szCs w:val="21"/>
              </w:rPr>
              <w:t>0.92</w:t>
            </w:r>
          </w:p>
        </w:tc>
        <w:tc>
          <w:tcPr>
            <w:tcW w:w="2499" w:type="dxa"/>
            <w:vAlign w:val="center"/>
          </w:tcPr>
          <w:p w14:paraId="377753FD">
            <w:pPr>
              <w:jc w:val="center"/>
              <w:rPr>
                <w:rFonts w:ascii="Times New Roman"/>
                <w:sz w:val="21"/>
                <w:szCs w:val="21"/>
              </w:rPr>
            </w:pPr>
            <w:r>
              <w:rPr>
                <w:rFonts w:hint="eastAsia" w:ascii="Times New Roman"/>
                <w:sz w:val="21"/>
                <w:szCs w:val="21"/>
              </w:rPr>
              <w:t>0.2</w:t>
            </w:r>
          </w:p>
        </w:tc>
      </w:tr>
      <w:tr w14:paraId="64913509">
        <w:tblPrEx>
          <w:tblCellMar>
            <w:top w:w="0" w:type="dxa"/>
            <w:left w:w="108" w:type="dxa"/>
            <w:bottom w:w="0" w:type="dxa"/>
            <w:right w:w="108" w:type="dxa"/>
          </w:tblCellMar>
        </w:tblPrEx>
        <w:trPr>
          <w:trHeight w:val="90" w:hRule="atLeast"/>
        </w:trPr>
        <w:tc>
          <w:tcPr>
            <w:tcW w:w="1804" w:type="pct"/>
            <w:vAlign w:val="center"/>
          </w:tcPr>
          <w:p w14:paraId="45A558FC">
            <w:pPr>
              <w:jc w:val="center"/>
              <w:rPr>
                <w:rFonts w:ascii="Times New Roman"/>
                <w:sz w:val="21"/>
                <w:szCs w:val="21"/>
              </w:rPr>
            </w:pPr>
            <w:r>
              <w:rPr>
                <w:rFonts w:ascii="Times New Roman"/>
                <w:sz w:val="21"/>
                <w:szCs w:val="21"/>
              </w:rPr>
              <w:t>800.0</w:t>
            </w:r>
          </w:p>
        </w:tc>
        <w:tc>
          <w:tcPr>
            <w:tcW w:w="2942" w:type="dxa"/>
            <w:vAlign w:val="center"/>
          </w:tcPr>
          <w:p w14:paraId="7CA7515F">
            <w:pPr>
              <w:jc w:val="center"/>
              <w:rPr>
                <w:rFonts w:ascii="Times New Roman"/>
                <w:sz w:val="21"/>
                <w:szCs w:val="21"/>
              </w:rPr>
            </w:pPr>
            <w:r>
              <w:rPr>
                <w:rFonts w:hint="eastAsia" w:ascii="Times New Roman"/>
                <w:sz w:val="21"/>
                <w:szCs w:val="21"/>
              </w:rPr>
              <w:t>0.7833</w:t>
            </w:r>
          </w:p>
        </w:tc>
        <w:tc>
          <w:tcPr>
            <w:tcW w:w="2499" w:type="dxa"/>
            <w:vAlign w:val="center"/>
          </w:tcPr>
          <w:p w14:paraId="092BE772">
            <w:pPr>
              <w:jc w:val="center"/>
              <w:rPr>
                <w:rFonts w:ascii="Times New Roman"/>
                <w:sz w:val="21"/>
                <w:szCs w:val="21"/>
              </w:rPr>
            </w:pPr>
            <w:r>
              <w:rPr>
                <w:rFonts w:hint="eastAsia" w:ascii="Times New Roman"/>
                <w:sz w:val="21"/>
                <w:szCs w:val="21"/>
              </w:rPr>
              <w:t>0.17</w:t>
            </w:r>
          </w:p>
        </w:tc>
      </w:tr>
      <w:tr w14:paraId="322B7396">
        <w:tblPrEx>
          <w:tblCellMar>
            <w:top w:w="0" w:type="dxa"/>
            <w:left w:w="108" w:type="dxa"/>
            <w:bottom w:w="0" w:type="dxa"/>
            <w:right w:w="108" w:type="dxa"/>
          </w:tblCellMar>
        </w:tblPrEx>
        <w:trPr>
          <w:trHeight w:val="90" w:hRule="atLeast"/>
        </w:trPr>
        <w:tc>
          <w:tcPr>
            <w:tcW w:w="1804" w:type="pct"/>
            <w:vAlign w:val="center"/>
          </w:tcPr>
          <w:p w14:paraId="163AB6E8">
            <w:pPr>
              <w:jc w:val="center"/>
              <w:rPr>
                <w:rFonts w:ascii="Times New Roman"/>
                <w:sz w:val="21"/>
                <w:szCs w:val="21"/>
              </w:rPr>
            </w:pPr>
            <w:r>
              <w:rPr>
                <w:rFonts w:ascii="Times New Roman"/>
                <w:sz w:val="21"/>
                <w:szCs w:val="21"/>
              </w:rPr>
              <w:t>900.0</w:t>
            </w:r>
          </w:p>
        </w:tc>
        <w:tc>
          <w:tcPr>
            <w:tcW w:w="2942" w:type="dxa"/>
            <w:vAlign w:val="center"/>
          </w:tcPr>
          <w:p w14:paraId="6F5C9F04">
            <w:pPr>
              <w:jc w:val="center"/>
              <w:rPr>
                <w:rFonts w:ascii="Times New Roman"/>
                <w:sz w:val="21"/>
                <w:szCs w:val="21"/>
              </w:rPr>
            </w:pPr>
            <w:r>
              <w:rPr>
                <w:rFonts w:hint="eastAsia" w:ascii="Times New Roman"/>
                <w:sz w:val="21"/>
                <w:szCs w:val="21"/>
              </w:rPr>
              <w:t>0.6774</w:t>
            </w:r>
          </w:p>
        </w:tc>
        <w:tc>
          <w:tcPr>
            <w:tcW w:w="2499" w:type="dxa"/>
            <w:vAlign w:val="center"/>
          </w:tcPr>
          <w:p w14:paraId="4F0D7A86">
            <w:pPr>
              <w:jc w:val="center"/>
              <w:rPr>
                <w:rFonts w:ascii="Times New Roman"/>
                <w:sz w:val="21"/>
                <w:szCs w:val="21"/>
              </w:rPr>
            </w:pPr>
            <w:r>
              <w:rPr>
                <w:rFonts w:hint="eastAsia" w:ascii="Times New Roman"/>
                <w:sz w:val="21"/>
                <w:szCs w:val="21"/>
              </w:rPr>
              <w:t>0.15</w:t>
            </w:r>
          </w:p>
        </w:tc>
      </w:tr>
      <w:tr w14:paraId="73921E39">
        <w:tblPrEx>
          <w:tblCellMar>
            <w:top w:w="0" w:type="dxa"/>
            <w:left w:w="108" w:type="dxa"/>
            <w:bottom w:w="0" w:type="dxa"/>
            <w:right w:w="108" w:type="dxa"/>
          </w:tblCellMar>
        </w:tblPrEx>
        <w:trPr>
          <w:trHeight w:val="90" w:hRule="atLeast"/>
        </w:trPr>
        <w:tc>
          <w:tcPr>
            <w:tcW w:w="1804" w:type="pct"/>
            <w:vAlign w:val="center"/>
          </w:tcPr>
          <w:p w14:paraId="2AB3ABF7">
            <w:pPr>
              <w:jc w:val="center"/>
              <w:rPr>
                <w:rFonts w:ascii="Times New Roman"/>
                <w:sz w:val="21"/>
                <w:szCs w:val="21"/>
              </w:rPr>
            </w:pPr>
            <w:r>
              <w:rPr>
                <w:rFonts w:ascii="Times New Roman"/>
                <w:sz w:val="21"/>
                <w:szCs w:val="21"/>
              </w:rPr>
              <w:t>1000.0</w:t>
            </w:r>
          </w:p>
        </w:tc>
        <w:tc>
          <w:tcPr>
            <w:tcW w:w="2942" w:type="dxa"/>
            <w:vAlign w:val="center"/>
          </w:tcPr>
          <w:p w14:paraId="0A8E6B1A">
            <w:pPr>
              <w:jc w:val="center"/>
              <w:rPr>
                <w:rFonts w:ascii="Times New Roman"/>
                <w:sz w:val="21"/>
                <w:szCs w:val="21"/>
              </w:rPr>
            </w:pPr>
            <w:r>
              <w:rPr>
                <w:rFonts w:hint="eastAsia" w:ascii="Times New Roman"/>
                <w:sz w:val="21"/>
                <w:szCs w:val="21"/>
              </w:rPr>
              <w:t>0.5936</w:t>
            </w:r>
          </w:p>
        </w:tc>
        <w:tc>
          <w:tcPr>
            <w:tcW w:w="2499" w:type="dxa"/>
            <w:vAlign w:val="center"/>
          </w:tcPr>
          <w:p w14:paraId="010BC384">
            <w:pPr>
              <w:jc w:val="center"/>
              <w:rPr>
                <w:rFonts w:ascii="Times New Roman"/>
                <w:sz w:val="21"/>
                <w:szCs w:val="21"/>
              </w:rPr>
            </w:pPr>
            <w:r>
              <w:rPr>
                <w:rFonts w:hint="eastAsia" w:ascii="Times New Roman"/>
                <w:sz w:val="21"/>
                <w:szCs w:val="21"/>
              </w:rPr>
              <w:t>0.13</w:t>
            </w:r>
          </w:p>
        </w:tc>
      </w:tr>
      <w:tr w14:paraId="1C3DEA9A">
        <w:tblPrEx>
          <w:tblCellMar>
            <w:top w:w="0" w:type="dxa"/>
            <w:left w:w="108" w:type="dxa"/>
            <w:bottom w:w="0" w:type="dxa"/>
            <w:right w:w="108" w:type="dxa"/>
          </w:tblCellMar>
        </w:tblPrEx>
        <w:trPr>
          <w:trHeight w:val="90" w:hRule="atLeast"/>
        </w:trPr>
        <w:tc>
          <w:tcPr>
            <w:tcW w:w="1804" w:type="pct"/>
            <w:vAlign w:val="center"/>
          </w:tcPr>
          <w:p w14:paraId="77BDBC6B">
            <w:pPr>
              <w:jc w:val="center"/>
              <w:rPr>
                <w:rFonts w:ascii="Times New Roman"/>
                <w:sz w:val="21"/>
                <w:szCs w:val="21"/>
              </w:rPr>
            </w:pPr>
            <w:r>
              <w:rPr>
                <w:rFonts w:ascii="Times New Roman"/>
                <w:sz w:val="21"/>
                <w:szCs w:val="21"/>
              </w:rPr>
              <w:t>1200.0</w:t>
            </w:r>
          </w:p>
        </w:tc>
        <w:tc>
          <w:tcPr>
            <w:tcW w:w="2942" w:type="dxa"/>
            <w:vAlign w:val="center"/>
          </w:tcPr>
          <w:p w14:paraId="7D863338">
            <w:pPr>
              <w:jc w:val="center"/>
              <w:rPr>
                <w:rFonts w:ascii="Times New Roman"/>
                <w:sz w:val="21"/>
                <w:szCs w:val="21"/>
              </w:rPr>
            </w:pPr>
            <w:r>
              <w:rPr>
                <w:rFonts w:hint="eastAsia" w:ascii="Times New Roman"/>
                <w:sz w:val="21"/>
                <w:szCs w:val="21"/>
              </w:rPr>
              <w:t>0.4703</w:t>
            </w:r>
          </w:p>
        </w:tc>
        <w:tc>
          <w:tcPr>
            <w:tcW w:w="2499" w:type="dxa"/>
            <w:vAlign w:val="center"/>
          </w:tcPr>
          <w:p w14:paraId="165894C1">
            <w:pPr>
              <w:jc w:val="center"/>
              <w:rPr>
                <w:rFonts w:ascii="Times New Roman"/>
                <w:sz w:val="21"/>
                <w:szCs w:val="21"/>
              </w:rPr>
            </w:pPr>
            <w:r>
              <w:rPr>
                <w:rFonts w:hint="eastAsia" w:ascii="Times New Roman"/>
                <w:sz w:val="21"/>
                <w:szCs w:val="21"/>
              </w:rPr>
              <w:t>0.1</w:t>
            </w:r>
          </w:p>
        </w:tc>
      </w:tr>
      <w:tr w14:paraId="2F40D6A5">
        <w:tblPrEx>
          <w:tblCellMar>
            <w:top w:w="0" w:type="dxa"/>
            <w:left w:w="108" w:type="dxa"/>
            <w:bottom w:w="0" w:type="dxa"/>
            <w:right w:w="108" w:type="dxa"/>
          </w:tblCellMar>
        </w:tblPrEx>
        <w:trPr>
          <w:trHeight w:val="90" w:hRule="atLeast"/>
        </w:trPr>
        <w:tc>
          <w:tcPr>
            <w:tcW w:w="1804" w:type="pct"/>
            <w:vAlign w:val="center"/>
          </w:tcPr>
          <w:p w14:paraId="46A7481E">
            <w:pPr>
              <w:jc w:val="center"/>
              <w:rPr>
                <w:rFonts w:ascii="Times New Roman"/>
                <w:sz w:val="21"/>
                <w:szCs w:val="21"/>
              </w:rPr>
            </w:pPr>
            <w:r>
              <w:rPr>
                <w:rFonts w:ascii="Times New Roman"/>
                <w:sz w:val="21"/>
                <w:szCs w:val="21"/>
              </w:rPr>
              <w:t>1400.0</w:t>
            </w:r>
          </w:p>
        </w:tc>
        <w:tc>
          <w:tcPr>
            <w:tcW w:w="2942" w:type="dxa"/>
            <w:vAlign w:val="center"/>
          </w:tcPr>
          <w:p w14:paraId="3F8AD150">
            <w:pPr>
              <w:jc w:val="center"/>
              <w:rPr>
                <w:rFonts w:ascii="Times New Roman"/>
                <w:sz w:val="21"/>
                <w:szCs w:val="21"/>
              </w:rPr>
            </w:pPr>
            <w:r>
              <w:rPr>
                <w:rFonts w:hint="eastAsia" w:ascii="Times New Roman"/>
                <w:sz w:val="21"/>
                <w:szCs w:val="21"/>
              </w:rPr>
              <w:t>0.385</w:t>
            </w:r>
          </w:p>
        </w:tc>
        <w:tc>
          <w:tcPr>
            <w:tcW w:w="2499" w:type="dxa"/>
            <w:vAlign w:val="center"/>
          </w:tcPr>
          <w:p w14:paraId="7AD95EDF">
            <w:pPr>
              <w:jc w:val="center"/>
              <w:rPr>
                <w:rFonts w:ascii="Times New Roman"/>
                <w:sz w:val="21"/>
                <w:szCs w:val="21"/>
              </w:rPr>
            </w:pPr>
            <w:r>
              <w:rPr>
                <w:rFonts w:hint="eastAsia" w:ascii="Times New Roman"/>
                <w:sz w:val="21"/>
                <w:szCs w:val="21"/>
              </w:rPr>
              <w:t>0.09</w:t>
            </w:r>
          </w:p>
        </w:tc>
      </w:tr>
      <w:tr w14:paraId="66757B83">
        <w:tblPrEx>
          <w:tblCellMar>
            <w:top w:w="0" w:type="dxa"/>
            <w:left w:w="108" w:type="dxa"/>
            <w:bottom w:w="0" w:type="dxa"/>
            <w:right w:w="108" w:type="dxa"/>
          </w:tblCellMar>
        </w:tblPrEx>
        <w:trPr>
          <w:trHeight w:val="90" w:hRule="atLeast"/>
        </w:trPr>
        <w:tc>
          <w:tcPr>
            <w:tcW w:w="1804" w:type="pct"/>
            <w:vAlign w:val="center"/>
          </w:tcPr>
          <w:p w14:paraId="0F54B107">
            <w:pPr>
              <w:jc w:val="center"/>
              <w:rPr>
                <w:rFonts w:ascii="Times New Roman"/>
                <w:sz w:val="21"/>
                <w:szCs w:val="21"/>
              </w:rPr>
            </w:pPr>
            <w:r>
              <w:rPr>
                <w:rFonts w:ascii="Times New Roman"/>
                <w:sz w:val="21"/>
                <w:szCs w:val="21"/>
              </w:rPr>
              <w:t>1600.0</w:t>
            </w:r>
          </w:p>
        </w:tc>
        <w:tc>
          <w:tcPr>
            <w:tcW w:w="2942" w:type="dxa"/>
            <w:vAlign w:val="center"/>
          </w:tcPr>
          <w:p w14:paraId="41B63841">
            <w:pPr>
              <w:jc w:val="center"/>
              <w:rPr>
                <w:rFonts w:ascii="Times New Roman"/>
                <w:sz w:val="21"/>
                <w:szCs w:val="21"/>
              </w:rPr>
            </w:pPr>
            <w:r>
              <w:rPr>
                <w:rFonts w:hint="eastAsia" w:ascii="Times New Roman"/>
                <w:sz w:val="21"/>
                <w:szCs w:val="21"/>
              </w:rPr>
              <w:t>0.3229</w:t>
            </w:r>
          </w:p>
        </w:tc>
        <w:tc>
          <w:tcPr>
            <w:tcW w:w="2499" w:type="dxa"/>
            <w:vAlign w:val="center"/>
          </w:tcPr>
          <w:p w14:paraId="54F5E8E0">
            <w:pPr>
              <w:jc w:val="center"/>
              <w:rPr>
                <w:rFonts w:ascii="Times New Roman"/>
                <w:sz w:val="21"/>
                <w:szCs w:val="21"/>
              </w:rPr>
            </w:pPr>
            <w:r>
              <w:rPr>
                <w:rFonts w:hint="eastAsia" w:ascii="Times New Roman"/>
                <w:sz w:val="21"/>
                <w:szCs w:val="21"/>
              </w:rPr>
              <w:t>0.07</w:t>
            </w:r>
          </w:p>
        </w:tc>
      </w:tr>
      <w:tr w14:paraId="0DD56C28">
        <w:tblPrEx>
          <w:tblCellMar>
            <w:top w:w="0" w:type="dxa"/>
            <w:left w:w="108" w:type="dxa"/>
            <w:bottom w:w="0" w:type="dxa"/>
            <w:right w:w="108" w:type="dxa"/>
          </w:tblCellMar>
        </w:tblPrEx>
        <w:trPr>
          <w:trHeight w:val="90" w:hRule="atLeast"/>
        </w:trPr>
        <w:tc>
          <w:tcPr>
            <w:tcW w:w="1804" w:type="pct"/>
            <w:vAlign w:val="center"/>
          </w:tcPr>
          <w:p w14:paraId="2B09EE02">
            <w:pPr>
              <w:jc w:val="center"/>
              <w:rPr>
                <w:rFonts w:ascii="Times New Roman"/>
                <w:sz w:val="21"/>
                <w:szCs w:val="21"/>
              </w:rPr>
            </w:pPr>
            <w:r>
              <w:rPr>
                <w:rFonts w:ascii="Times New Roman"/>
                <w:sz w:val="21"/>
                <w:szCs w:val="21"/>
              </w:rPr>
              <w:t>1800.0</w:t>
            </w:r>
          </w:p>
        </w:tc>
        <w:tc>
          <w:tcPr>
            <w:tcW w:w="2942" w:type="dxa"/>
            <w:vAlign w:val="center"/>
          </w:tcPr>
          <w:p w14:paraId="413B4836">
            <w:pPr>
              <w:jc w:val="center"/>
              <w:rPr>
                <w:rFonts w:ascii="Times New Roman"/>
                <w:sz w:val="21"/>
                <w:szCs w:val="21"/>
              </w:rPr>
            </w:pPr>
            <w:r>
              <w:rPr>
                <w:rFonts w:hint="eastAsia" w:ascii="Times New Roman"/>
                <w:sz w:val="21"/>
                <w:szCs w:val="21"/>
              </w:rPr>
              <w:t>0.2762</w:t>
            </w:r>
          </w:p>
        </w:tc>
        <w:tc>
          <w:tcPr>
            <w:tcW w:w="2499" w:type="dxa"/>
            <w:vAlign w:val="center"/>
          </w:tcPr>
          <w:p w14:paraId="6E3771EC">
            <w:pPr>
              <w:jc w:val="center"/>
              <w:rPr>
                <w:rFonts w:ascii="Times New Roman"/>
                <w:sz w:val="21"/>
                <w:szCs w:val="21"/>
              </w:rPr>
            </w:pPr>
            <w:r>
              <w:rPr>
                <w:rFonts w:hint="eastAsia" w:ascii="Times New Roman"/>
                <w:sz w:val="21"/>
                <w:szCs w:val="21"/>
              </w:rPr>
              <w:t>0.06</w:t>
            </w:r>
          </w:p>
        </w:tc>
      </w:tr>
      <w:tr w14:paraId="4F9AC7A4">
        <w:tblPrEx>
          <w:tblCellMar>
            <w:top w:w="0" w:type="dxa"/>
            <w:left w:w="108" w:type="dxa"/>
            <w:bottom w:w="0" w:type="dxa"/>
            <w:right w:w="108" w:type="dxa"/>
          </w:tblCellMar>
        </w:tblPrEx>
        <w:trPr>
          <w:trHeight w:val="90" w:hRule="atLeast"/>
        </w:trPr>
        <w:tc>
          <w:tcPr>
            <w:tcW w:w="1804" w:type="pct"/>
            <w:vAlign w:val="center"/>
          </w:tcPr>
          <w:p w14:paraId="0BC19DF7">
            <w:pPr>
              <w:jc w:val="center"/>
              <w:rPr>
                <w:rFonts w:ascii="Times New Roman"/>
                <w:sz w:val="21"/>
                <w:szCs w:val="21"/>
              </w:rPr>
            </w:pPr>
            <w:r>
              <w:rPr>
                <w:rFonts w:ascii="Times New Roman"/>
                <w:sz w:val="21"/>
                <w:szCs w:val="21"/>
              </w:rPr>
              <w:t>2000.0</w:t>
            </w:r>
          </w:p>
        </w:tc>
        <w:tc>
          <w:tcPr>
            <w:tcW w:w="2942" w:type="dxa"/>
            <w:vAlign w:val="center"/>
          </w:tcPr>
          <w:p w14:paraId="45DC5270">
            <w:pPr>
              <w:jc w:val="center"/>
              <w:rPr>
                <w:rFonts w:ascii="Times New Roman"/>
                <w:sz w:val="21"/>
                <w:szCs w:val="21"/>
              </w:rPr>
            </w:pPr>
            <w:r>
              <w:rPr>
                <w:rFonts w:hint="eastAsia" w:ascii="Times New Roman"/>
                <w:sz w:val="21"/>
                <w:szCs w:val="21"/>
              </w:rPr>
              <w:t>0.2399</w:t>
            </w:r>
          </w:p>
        </w:tc>
        <w:tc>
          <w:tcPr>
            <w:tcW w:w="2499" w:type="dxa"/>
            <w:vAlign w:val="center"/>
          </w:tcPr>
          <w:p w14:paraId="08225A39">
            <w:pPr>
              <w:jc w:val="center"/>
              <w:rPr>
                <w:rFonts w:ascii="Times New Roman"/>
                <w:sz w:val="21"/>
                <w:szCs w:val="21"/>
              </w:rPr>
            </w:pPr>
            <w:r>
              <w:rPr>
                <w:rFonts w:hint="eastAsia" w:ascii="Times New Roman"/>
                <w:sz w:val="21"/>
                <w:szCs w:val="21"/>
              </w:rPr>
              <w:t>0.05</w:t>
            </w:r>
          </w:p>
        </w:tc>
      </w:tr>
      <w:tr w14:paraId="2130533B">
        <w:tblPrEx>
          <w:tblCellMar>
            <w:top w:w="0" w:type="dxa"/>
            <w:left w:w="108" w:type="dxa"/>
            <w:bottom w:w="0" w:type="dxa"/>
            <w:right w:w="108" w:type="dxa"/>
          </w:tblCellMar>
        </w:tblPrEx>
        <w:trPr>
          <w:trHeight w:val="90" w:hRule="atLeast"/>
        </w:trPr>
        <w:tc>
          <w:tcPr>
            <w:tcW w:w="1804" w:type="pct"/>
            <w:vAlign w:val="center"/>
          </w:tcPr>
          <w:p w14:paraId="629E09BD">
            <w:pPr>
              <w:jc w:val="center"/>
              <w:rPr>
                <w:rFonts w:ascii="Times New Roman"/>
                <w:sz w:val="21"/>
                <w:szCs w:val="21"/>
              </w:rPr>
            </w:pPr>
            <w:r>
              <w:rPr>
                <w:rFonts w:ascii="Times New Roman"/>
                <w:sz w:val="21"/>
                <w:szCs w:val="21"/>
              </w:rPr>
              <w:t>2500.0</w:t>
            </w:r>
          </w:p>
        </w:tc>
        <w:tc>
          <w:tcPr>
            <w:tcW w:w="2942" w:type="dxa"/>
            <w:vAlign w:val="center"/>
          </w:tcPr>
          <w:p w14:paraId="6C35AC9F">
            <w:pPr>
              <w:jc w:val="center"/>
              <w:rPr>
                <w:rFonts w:ascii="Times New Roman"/>
                <w:sz w:val="21"/>
                <w:szCs w:val="21"/>
              </w:rPr>
            </w:pPr>
            <w:r>
              <w:rPr>
                <w:rFonts w:hint="eastAsia" w:ascii="Times New Roman"/>
                <w:sz w:val="21"/>
                <w:szCs w:val="21"/>
              </w:rPr>
              <w:t>0.1775</w:t>
            </w:r>
          </w:p>
        </w:tc>
        <w:tc>
          <w:tcPr>
            <w:tcW w:w="2499" w:type="dxa"/>
            <w:vAlign w:val="center"/>
          </w:tcPr>
          <w:p w14:paraId="7AAE9073">
            <w:pPr>
              <w:jc w:val="center"/>
              <w:rPr>
                <w:rFonts w:ascii="Times New Roman"/>
                <w:sz w:val="21"/>
                <w:szCs w:val="21"/>
              </w:rPr>
            </w:pPr>
            <w:r>
              <w:rPr>
                <w:rFonts w:hint="eastAsia" w:ascii="Times New Roman"/>
                <w:sz w:val="21"/>
                <w:szCs w:val="21"/>
              </w:rPr>
              <w:t>0.04</w:t>
            </w:r>
          </w:p>
        </w:tc>
      </w:tr>
      <w:tr w14:paraId="1EEFF48D">
        <w:tblPrEx>
          <w:tblCellMar>
            <w:top w:w="0" w:type="dxa"/>
            <w:left w:w="108" w:type="dxa"/>
            <w:bottom w:w="0" w:type="dxa"/>
            <w:right w:w="108" w:type="dxa"/>
          </w:tblCellMar>
        </w:tblPrEx>
        <w:trPr>
          <w:trHeight w:val="90" w:hRule="atLeast"/>
        </w:trPr>
        <w:tc>
          <w:tcPr>
            <w:tcW w:w="1804" w:type="pct"/>
            <w:vAlign w:val="center"/>
          </w:tcPr>
          <w:p w14:paraId="03BBC56B">
            <w:pPr>
              <w:jc w:val="center"/>
              <w:rPr>
                <w:rFonts w:ascii="Times New Roman"/>
                <w:sz w:val="21"/>
                <w:szCs w:val="21"/>
              </w:rPr>
            </w:pPr>
            <w:r>
              <w:rPr>
                <w:rFonts w:ascii="Times New Roman"/>
                <w:sz w:val="21"/>
                <w:szCs w:val="21"/>
              </w:rPr>
              <w:t>3000.0</w:t>
            </w:r>
          </w:p>
        </w:tc>
        <w:tc>
          <w:tcPr>
            <w:tcW w:w="2942" w:type="dxa"/>
            <w:vAlign w:val="center"/>
          </w:tcPr>
          <w:p w14:paraId="7C9367D0">
            <w:pPr>
              <w:jc w:val="center"/>
              <w:rPr>
                <w:rFonts w:ascii="Times New Roman"/>
                <w:sz w:val="21"/>
                <w:szCs w:val="21"/>
              </w:rPr>
            </w:pPr>
            <w:r>
              <w:rPr>
                <w:rFonts w:hint="eastAsia" w:ascii="Times New Roman"/>
                <w:sz w:val="21"/>
                <w:szCs w:val="21"/>
              </w:rPr>
              <w:t>0.1384</w:t>
            </w:r>
          </w:p>
        </w:tc>
        <w:tc>
          <w:tcPr>
            <w:tcW w:w="2499" w:type="dxa"/>
            <w:vAlign w:val="center"/>
          </w:tcPr>
          <w:p w14:paraId="408C3ACC">
            <w:pPr>
              <w:jc w:val="center"/>
              <w:rPr>
                <w:rFonts w:ascii="Times New Roman"/>
                <w:sz w:val="21"/>
                <w:szCs w:val="21"/>
              </w:rPr>
            </w:pPr>
            <w:r>
              <w:rPr>
                <w:rFonts w:hint="eastAsia" w:ascii="Times New Roman"/>
                <w:sz w:val="21"/>
                <w:szCs w:val="21"/>
              </w:rPr>
              <w:t>0.03</w:t>
            </w:r>
          </w:p>
        </w:tc>
      </w:tr>
      <w:tr w14:paraId="4D8713D7">
        <w:tblPrEx>
          <w:tblCellMar>
            <w:top w:w="0" w:type="dxa"/>
            <w:left w:w="108" w:type="dxa"/>
            <w:bottom w:w="0" w:type="dxa"/>
            <w:right w:w="108" w:type="dxa"/>
          </w:tblCellMar>
        </w:tblPrEx>
        <w:trPr>
          <w:trHeight w:val="90" w:hRule="atLeast"/>
        </w:trPr>
        <w:tc>
          <w:tcPr>
            <w:tcW w:w="1804" w:type="pct"/>
            <w:vAlign w:val="center"/>
          </w:tcPr>
          <w:p w14:paraId="77FB0242">
            <w:pPr>
              <w:jc w:val="center"/>
              <w:rPr>
                <w:rFonts w:ascii="Times New Roman"/>
                <w:sz w:val="21"/>
                <w:szCs w:val="21"/>
              </w:rPr>
            </w:pPr>
            <w:r>
              <w:rPr>
                <w:rFonts w:ascii="Times New Roman"/>
                <w:sz w:val="21"/>
                <w:szCs w:val="21"/>
              </w:rPr>
              <w:t>3500.0</w:t>
            </w:r>
          </w:p>
        </w:tc>
        <w:tc>
          <w:tcPr>
            <w:tcW w:w="2942" w:type="dxa"/>
            <w:vAlign w:val="center"/>
          </w:tcPr>
          <w:p w14:paraId="6FD99532">
            <w:pPr>
              <w:jc w:val="center"/>
              <w:rPr>
                <w:rFonts w:ascii="Times New Roman"/>
                <w:sz w:val="21"/>
                <w:szCs w:val="21"/>
              </w:rPr>
            </w:pPr>
            <w:r>
              <w:rPr>
                <w:rFonts w:hint="eastAsia" w:ascii="Times New Roman"/>
                <w:sz w:val="21"/>
                <w:szCs w:val="21"/>
              </w:rPr>
              <w:t>0.1129</w:t>
            </w:r>
          </w:p>
        </w:tc>
        <w:tc>
          <w:tcPr>
            <w:tcW w:w="2499" w:type="dxa"/>
            <w:vAlign w:val="center"/>
          </w:tcPr>
          <w:p w14:paraId="15B16F72">
            <w:pPr>
              <w:jc w:val="center"/>
              <w:rPr>
                <w:rFonts w:ascii="Times New Roman"/>
                <w:sz w:val="21"/>
                <w:szCs w:val="21"/>
              </w:rPr>
            </w:pPr>
            <w:r>
              <w:rPr>
                <w:rFonts w:hint="eastAsia" w:ascii="Times New Roman"/>
                <w:sz w:val="21"/>
                <w:szCs w:val="21"/>
              </w:rPr>
              <w:t>0.03</w:t>
            </w:r>
          </w:p>
        </w:tc>
      </w:tr>
      <w:tr w14:paraId="2D1D18FB">
        <w:tblPrEx>
          <w:tblCellMar>
            <w:top w:w="0" w:type="dxa"/>
            <w:left w:w="108" w:type="dxa"/>
            <w:bottom w:w="0" w:type="dxa"/>
            <w:right w:w="108" w:type="dxa"/>
          </w:tblCellMar>
        </w:tblPrEx>
        <w:trPr>
          <w:trHeight w:val="90" w:hRule="atLeast"/>
        </w:trPr>
        <w:tc>
          <w:tcPr>
            <w:tcW w:w="1804" w:type="pct"/>
            <w:vAlign w:val="center"/>
          </w:tcPr>
          <w:p w14:paraId="6E3082E6">
            <w:pPr>
              <w:jc w:val="center"/>
              <w:rPr>
                <w:rFonts w:ascii="Times New Roman"/>
                <w:sz w:val="21"/>
                <w:szCs w:val="21"/>
              </w:rPr>
            </w:pPr>
            <w:r>
              <w:rPr>
                <w:rFonts w:ascii="Times New Roman"/>
                <w:sz w:val="21"/>
                <w:szCs w:val="21"/>
              </w:rPr>
              <w:t>4000.0</w:t>
            </w:r>
          </w:p>
        </w:tc>
        <w:tc>
          <w:tcPr>
            <w:tcW w:w="2942" w:type="dxa"/>
            <w:vAlign w:val="center"/>
          </w:tcPr>
          <w:p w14:paraId="2427EF40">
            <w:pPr>
              <w:jc w:val="center"/>
              <w:rPr>
                <w:rFonts w:ascii="Times New Roman"/>
                <w:sz w:val="21"/>
                <w:szCs w:val="21"/>
              </w:rPr>
            </w:pPr>
            <w:r>
              <w:rPr>
                <w:rFonts w:hint="eastAsia" w:ascii="Times New Roman"/>
                <w:sz w:val="21"/>
                <w:szCs w:val="21"/>
              </w:rPr>
              <w:t>0.0956</w:t>
            </w:r>
          </w:p>
        </w:tc>
        <w:tc>
          <w:tcPr>
            <w:tcW w:w="2499" w:type="dxa"/>
            <w:vAlign w:val="center"/>
          </w:tcPr>
          <w:p w14:paraId="209D90EC">
            <w:pPr>
              <w:jc w:val="center"/>
              <w:rPr>
                <w:rFonts w:ascii="Times New Roman"/>
                <w:sz w:val="21"/>
                <w:szCs w:val="21"/>
              </w:rPr>
            </w:pPr>
            <w:r>
              <w:rPr>
                <w:rFonts w:hint="eastAsia" w:ascii="Times New Roman"/>
                <w:sz w:val="21"/>
                <w:szCs w:val="21"/>
              </w:rPr>
              <w:t>0.02</w:t>
            </w:r>
          </w:p>
        </w:tc>
      </w:tr>
      <w:tr w14:paraId="602A1D42">
        <w:tblPrEx>
          <w:tblCellMar>
            <w:top w:w="0" w:type="dxa"/>
            <w:left w:w="108" w:type="dxa"/>
            <w:bottom w:w="0" w:type="dxa"/>
            <w:right w:w="108" w:type="dxa"/>
          </w:tblCellMar>
        </w:tblPrEx>
        <w:trPr>
          <w:trHeight w:val="90" w:hRule="atLeast"/>
        </w:trPr>
        <w:tc>
          <w:tcPr>
            <w:tcW w:w="1804" w:type="pct"/>
            <w:vAlign w:val="center"/>
          </w:tcPr>
          <w:p w14:paraId="5204C6F7">
            <w:pPr>
              <w:jc w:val="center"/>
              <w:rPr>
                <w:rFonts w:ascii="Times New Roman"/>
                <w:sz w:val="21"/>
                <w:szCs w:val="21"/>
              </w:rPr>
            </w:pPr>
            <w:r>
              <w:rPr>
                <w:rFonts w:ascii="Times New Roman"/>
                <w:sz w:val="21"/>
                <w:szCs w:val="21"/>
              </w:rPr>
              <w:t>4500.0</w:t>
            </w:r>
          </w:p>
        </w:tc>
        <w:tc>
          <w:tcPr>
            <w:tcW w:w="2942" w:type="dxa"/>
            <w:vAlign w:val="center"/>
          </w:tcPr>
          <w:p w14:paraId="3AF68F21">
            <w:pPr>
              <w:jc w:val="center"/>
              <w:rPr>
                <w:rFonts w:ascii="Times New Roman"/>
                <w:sz w:val="21"/>
                <w:szCs w:val="21"/>
              </w:rPr>
            </w:pPr>
            <w:r>
              <w:rPr>
                <w:rFonts w:hint="eastAsia" w:ascii="Times New Roman"/>
                <w:sz w:val="21"/>
                <w:szCs w:val="21"/>
              </w:rPr>
              <w:t>0.0823</w:t>
            </w:r>
          </w:p>
        </w:tc>
        <w:tc>
          <w:tcPr>
            <w:tcW w:w="2499" w:type="dxa"/>
            <w:vAlign w:val="center"/>
          </w:tcPr>
          <w:p w14:paraId="585FCEC5">
            <w:pPr>
              <w:jc w:val="center"/>
              <w:rPr>
                <w:rFonts w:ascii="Times New Roman"/>
                <w:sz w:val="21"/>
                <w:szCs w:val="21"/>
              </w:rPr>
            </w:pPr>
            <w:r>
              <w:rPr>
                <w:rFonts w:hint="eastAsia" w:ascii="Times New Roman"/>
                <w:sz w:val="21"/>
                <w:szCs w:val="21"/>
              </w:rPr>
              <w:t>0.02</w:t>
            </w:r>
          </w:p>
        </w:tc>
      </w:tr>
      <w:tr w14:paraId="49DBEADD">
        <w:tblPrEx>
          <w:tblCellMar>
            <w:top w:w="0" w:type="dxa"/>
            <w:left w:w="108" w:type="dxa"/>
            <w:bottom w:w="0" w:type="dxa"/>
            <w:right w:w="108" w:type="dxa"/>
          </w:tblCellMar>
        </w:tblPrEx>
        <w:trPr>
          <w:trHeight w:val="90" w:hRule="atLeast"/>
        </w:trPr>
        <w:tc>
          <w:tcPr>
            <w:tcW w:w="1804" w:type="pct"/>
            <w:vAlign w:val="center"/>
          </w:tcPr>
          <w:p w14:paraId="5529BD26">
            <w:pPr>
              <w:jc w:val="center"/>
              <w:rPr>
                <w:rFonts w:ascii="Times New Roman"/>
                <w:sz w:val="21"/>
                <w:szCs w:val="21"/>
              </w:rPr>
            </w:pPr>
            <w:r>
              <w:rPr>
                <w:rFonts w:ascii="Times New Roman"/>
                <w:sz w:val="21"/>
                <w:szCs w:val="21"/>
              </w:rPr>
              <w:t>5000.0</w:t>
            </w:r>
          </w:p>
        </w:tc>
        <w:tc>
          <w:tcPr>
            <w:tcW w:w="2942" w:type="dxa"/>
            <w:vAlign w:val="center"/>
          </w:tcPr>
          <w:p w14:paraId="0208B06D">
            <w:pPr>
              <w:jc w:val="center"/>
              <w:rPr>
                <w:rFonts w:ascii="Times New Roman"/>
                <w:sz w:val="21"/>
                <w:szCs w:val="21"/>
              </w:rPr>
            </w:pPr>
            <w:r>
              <w:rPr>
                <w:rFonts w:hint="eastAsia" w:ascii="Times New Roman"/>
                <w:sz w:val="21"/>
                <w:szCs w:val="21"/>
              </w:rPr>
              <w:t>0.0719</w:t>
            </w:r>
          </w:p>
        </w:tc>
        <w:tc>
          <w:tcPr>
            <w:tcW w:w="2499" w:type="dxa"/>
            <w:vAlign w:val="center"/>
          </w:tcPr>
          <w:p w14:paraId="64B26E9C">
            <w:pPr>
              <w:jc w:val="center"/>
              <w:rPr>
                <w:rFonts w:ascii="Times New Roman"/>
                <w:sz w:val="21"/>
                <w:szCs w:val="21"/>
              </w:rPr>
            </w:pPr>
            <w:r>
              <w:rPr>
                <w:rFonts w:hint="eastAsia" w:ascii="Times New Roman"/>
                <w:sz w:val="21"/>
                <w:szCs w:val="21"/>
              </w:rPr>
              <w:t>0.02</w:t>
            </w:r>
          </w:p>
        </w:tc>
      </w:tr>
      <w:tr w14:paraId="0369961A">
        <w:tblPrEx>
          <w:tblCellMar>
            <w:top w:w="0" w:type="dxa"/>
            <w:left w:w="108" w:type="dxa"/>
            <w:bottom w:w="0" w:type="dxa"/>
            <w:right w:w="108" w:type="dxa"/>
          </w:tblCellMar>
        </w:tblPrEx>
        <w:trPr>
          <w:trHeight w:val="90" w:hRule="atLeast"/>
        </w:trPr>
        <w:tc>
          <w:tcPr>
            <w:tcW w:w="1804" w:type="pct"/>
            <w:vAlign w:val="center"/>
          </w:tcPr>
          <w:p w14:paraId="424B7C1E">
            <w:pPr>
              <w:jc w:val="center"/>
              <w:rPr>
                <w:rFonts w:ascii="Times New Roman"/>
                <w:sz w:val="21"/>
                <w:szCs w:val="21"/>
              </w:rPr>
            </w:pPr>
            <w:r>
              <w:rPr>
                <w:rFonts w:ascii="Times New Roman"/>
                <w:sz w:val="21"/>
                <w:szCs w:val="21"/>
              </w:rPr>
              <w:t>10000.0</w:t>
            </w:r>
          </w:p>
        </w:tc>
        <w:tc>
          <w:tcPr>
            <w:tcW w:w="2942" w:type="dxa"/>
            <w:vAlign w:val="center"/>
          </w:tcPr>
          <w:p w14:paraId="026A61C6">
            <w:pPr>
              <w:jc w:val="center"/>
              <w:rPr>
                <w:rFonts w:ascii="Times New Roman"/>
                <w:sz w:val="21"/>
                <w:szCs w:val="21"/>
              </w:rPr>
            </w:pPr>
            <w:r>
              <w:rPr>
                <w:rFonts w:hint="eastAsia" w:ascii="Times New Roman"/>
                <w:sz w:val="21"/>
                <w:szCs w:val="21"/>
              </w:rPr>
              <w:t>0.0288</w:t>
            </w:r>
          </w:p>
        </w:tc>
        <w:tc>
          <w:tcPr>
            <w:tcW w:w="2499" w:type="dxa"/>
            <w:vAlign w:val="center"/>
          </w:tcPr>
          <w:p w14:paraId="0B0394A0">
            <w:pPr>
              <w:jc w:val="center"/>
              <w:rPr>
                <w:rFonts w:ascii="Times New Roman"/>
                <w:sz w:val="21"/>
                <w:szCs w:val="21"/>
              </w:rPr>
            </w:pPr>
            <w:r>
              <w:rPr>
                <w:rFonts w:hint="eastAsia" w:ascii="Times New Roman"/>
                <w:sz w:val="21"/>
                <w:szCs w:val="21"/>
              </w:rPr>
              <w:t>0.01</w:t>
            </w:r>
          </w:p>
        </w:tc>
      </w:tr>
      <w:tr w14:paraId="06FADAA7">
        <w:tblPrEx>
          <w:tblCellMar>
            <w:top w:w="0" w:type="dxa"/>
            <w:left w:w="108" w:type="dxa"/>
            <w:bottom w:w="0" w:type="dxa"/>
            <w:right w:w="108" w:type="dxa"/>
          </w:tblCellMar>
        </w:tblPrEx>
        <w:trPr>
          <w:trHeight w:val="90" w:hRule="atLeast"/>
        </w:trPr>
        <w:tc>
          <w:tcPr>
            <w:tcW w:w="1804" w:type="pct"/>
            <w:vAlign w:val="center"/>
          </w:tcPr>
          <w:p w14:paraId="07DF91D9">
            <w:pPr>
              <w:jc w:val="center"/>
              <w:rPr>
                <w:rFonts w:ascii="Times New Roman"/>
                <w:sz w:val="21"/>
                <w:szCs w:val="21"/>
              </w:rPr>
            </w:pPr>
            <w:r>
              <w:rPr>
                <w:rFonts w:ascii="Times New Roman"/>
                <w:sz w:val="21"/>
                <w:szCs w:val="21"/>
              </w:rPr>
              <w:t>11000.0</w:t>
            </w:r>
          </w:p>
        </w:tc>
        <w:tc>
          <w:tcPr>
            <w:tcW w:w="2942" w:type="dxa"/>
            <w:vAlign w:val="center"/>
          </w:tcPr>
          <w:p w14:paraId="07E05B23">
            <w:pPr>
              <w:jc w:val="center"/>
              <w:rPr>
                <w:rFonts w:ascii="Times New Roman"/>
                <w:sz w:val="21"/>
                <w:szCs w:val="21"/>
              </w:rPr>
            </w:pPr>
            <w:r>
              <w:rPr>
                <w:rFonts w:hint="eastAsia" w:ascii="Times New Roman"/>
                <w:sz w:val="21"/>
                <w:szCs w:val="21"/>
              </w:rPr>
              <w:t>0.0253</w:t>
            </w:r>
          </w:p>
        </w:tc>
        <w:tc>
          <w:tcPr>
            <w:tcW w:w="2499" w:type="dxa"/>
            <w:vAlign w:val="center"/>
          </w:tcPr>
          <w:p w14:paraId="3540A3F9">
            <w:pPr>
              <w:jc w:val="center"/>
              <w:rPr>
                <w:rFonts w:ascii="Times New Roman"/>
                <w:sz w:val="21"/>
                <w:szCs w:val="21"/>
              </w:rPr>
            </w:pPr>
            <w:r>
              <w:rPr>
                <w:rFonts w:hint="eastAsia" w:ascii="Times New Roman"/>
                <w:sz w:val="21"/>
                <w:szCs w:val="21"/>
              </w:rPr>
              <w:t>0.01</w:t>
            </w:r>
          </w:p>
        </w:tc>
      </w:tr>
      <w:tr w14:paraId="5E4F5BEA">
        <w:tblPrEx>
          <w:tblCellMar>
            <w:top w:w="0" w:type="dxa"/>
            <w:left w:w="108" w:type="dxa"/>
            <w:bottom w:w="0" w:type="dxa"/>
            <w:right w:w="108" w:type="dxa"/>
          </w:tblCellMar>
        </w:tblPrEx>
        <w:trPr>
          <w:trHeight w:val="90" w:hRule="atLeast"/>
        </w:trPr>
        <w:tc>
          <w:tcPr>
            <w:tcW w:w="1804" w:type="pct"/>
            <w:vAlign w:val="center"/>
          </w:tcPr>
          <w:p w14:paraId="7F7AB4A1">
            <w:pPr>
              <w:jc w:val="center"/>
              <w:rPr>
                <w:rFonts w:ascii="Times New Roman"/>
                <w:sz w:val="21"/>
                <w:szCs w:val="21"/>
              </w:rPr>
            </w:pPr>
            <w:r>
              <w:rPr>
                <w:rFonts w:ascii="Times New Roman"/>
                <w:sz w:val="21"/>
                <w:szCs w:val="21"/>
              </w:rPr>
              <w:t>12000.0</w:t>
            </w:r>
          </w:p>
        </w:tc>
        <w:tc>
          <w:tcPr>
            <w:tcW w:w="2942" w:type="dxa"/>
            <w:vAlign w:val="center"/>
          </w:tcPr>
          <w:p w14:paraId="72BC7578">
            <w:pPr>
              <w:jc w:val="center"/>
              <w:rPr>
                <w:rFonts w:ascii="Times New Roman"/>
                <w:sz w:val="21"/>
                <w:szCs w:val="21"/>
              </w:rPr>
            </w:pPr>
            <w:r>
              <w:rPr>
                <w:rFonts w:hint="eastAsia" w:ascii="Times New Roman"/>
                <w:sz w:val="21"/>
                <w:szCs w:val="21"/>
              </w:rPr>
              <w:t>0.0224</w:t>
            </w:r>
          </w:p>
        </w:tc>
        <w:tc>
          <w:tcPr>
            <w:tcW w:w="2499" w:type="dxa"/>
            <w:vAlign w:val="center"/>
          </w:tcPr>
          <w:p w14:paraId="336CFBA1">
            <w:pPr>
              <w:jc w:val="center"/>
              <w:rPr>
                <w:rFonts w:ascii="Times New Roman"/>
                <w:sz w:val="21"/>
                <w:szCs w:val="21"/>
              </w:rPr>
            </w:pPr>
            <w:r>
              <w:rPr>
                <w:rFonts w:hint="eastAsia" w:ascii="Times New Roman"/>
                <w:sz w:val="21"/>
                <w:szCs w:val="21"/>
              </w:rPr>
              <w:t>0</w:t>
            </w:r>
          </w:p>
        </w:tc>
      </w:tr>
      <w:tr w14:paraId="14CF3C06">
        <w:tblPrEx>
          <w:tblCellMar>
            <w:top w:w="0" w:type="dxa"/>
            <w:left w:w="108" w:type="dxa"/>
            <w:bottom w:w="0" w:type="dxa"/>
            <w:right w:w="108" w:type="dxa"/>
          </w:tblCellMar>
        </w:tblPrEx>
        <w:trPr>
          <w:trHeight w:val="90" w:hRule="atLeast"/>
        </w:trPr>
        <w:tc>
          <w:tcPr>
            <w:tcW w:w="1804" w:type="pct"/>
            <w:vAlign w:val="center"/>
          </w:tcPr>
          <w:p w14:paraId="442AAE3E">
            <w:pPr>
              <w:jc w:val="center"/>
              <w:rPr>
                <w:rFonts w:ascii="Times New Roman"/>
                <w:sz w:val="21"/>
                <w:szCs w:val="21"/>
              </w:rPr>
            </w:pPr>
            <w:r>
              <w:rPr>
                <w:rFonts w:ascii="Times New Roman"/>
                <w:sz w:val="21"/>
                <w:szCs w:val="21"/>
              </w:rPr>
              <w:t>13000.0</w:t>
            </w:r>
          </w:p>
        </w:tc>
        <w:tc>
          <w:tcPr>
            <w:tcW w:w="2942" w:type="dxa"/>
            <w:vAlign w:val="center"/>
          </w:tcPr>
          <w:p w14:paraId="67A9C963">
            <w:pPr>
              <w:jc w:val="center"/>
              <w:rPr>
                <w:rFonts w:ascii="Times New Roman"/>
                <w:sz w:val="21"/>
                <w:szCs w:val="21"/>
              </w:rPr>
            </w:pPr>
            <w:r>
              <w:rPr>
                <w:rFonts w:hint="eastAsia" w:ascii="Times New Roman"/>
                <w:sz w:val="21"/>
                <w:szCs w:val="21"/>
              </w:rPr>
              <w:t>0.02</w:t>
            </w:r>
          </w:p>
        </w:tc>
        <w:tc>
          <w:tcPr>
            <w:tcW w:w="2499" w:type="dxa"/>
            <w:vAlign w:val="center"/>
          </w:tcPr>
          <w:p w14:paraId="0A824222">
            <w:pPr>
              <w:jc w:val="center"/>
              <w:rPr>
                <w:rFonts w:ascii="Times New Roman"/>
                <w:sz w:val="21"/>
                <w:szCs w:val="21"/>
              </w:rPr>
            </w:pPr>
            <w:r>
              <w:rPr>
                <w:rFonts w:hint="eastAsia" w:ascii="Times New Roman"/>
                <w:sz w:val="21"/>
                <w:szCs w:val="21"/>
              </w:rPr>
              <w:t>0</w:t>
            </w:r>
          </w:p>
        </w:tc>
      </w:tr>
      <w:tr w14:paraId="25828865">
        <w:tblPrEx>
          <w:tblCellMar>
            <w:top w:w="0" w:type="dxa"/>
            <w:left w:w="108" w:type="dxa"/>
            <w:bottom w:w="0" w:type="dxa"/>
            <w:right w:w="108" w:type="dxa"/>
          </w:tblCellMar>
        </w:tblPrEx>
        <w:trPr>
          <w:trHeight w:val="90" w:hRule="atLeast"/>
        </w:trPr>
        <w:tc>
          <w:tcPr>
            <w:tcW w:w="1804" w:type="pct"/>
            <w:vAlign w:val="center"/>
          </w:tcPr>
          <w:p w14:paraId="75EA7F4A">
            <w:pPr>
              <w:jc w:val="center"/>
              <w:rPr>
                <w:rFonts w:ascii="Times New Roman"/>
                <w:sz w:val="21"/>
                <w:szCs w:val="21"/>
              </w:rPr>
            </w:pPr>
            <w:r>
              <w:rPr>
                <w:rFonts w:ascii="Times New Roman"/>
                <w:sz w:val="21"/>
                <w:szCs w:val="21"/>
              </w:rPr>
              <w:t>14000.0</w:t>
            </w:r>
          </w:p>
        </w:tc>
        <w:tc>
          <w:tcPr>
            <w:tcW w:w="2942" w:type="dxa"/>
            <w:vAlign w:val="center"/>
          </w:tcPr>
          <w:p w14:paraId="108DC06D">
            <w:pPr>
              <w:jc w:val="center"/>
              <w:rPr>
                <w:rFonts w:ascii="Times New Roman"/>
                <w:sz w:val="21"/>
                <w:szCs w:val="21"/>
              </w:rPr>
            </w:pPr>
            <w:r>
              <w:rPr>
                <w:rFonts w:hint="eastAsia" w:ascii="Times New Roman"/>
                <w:sz w:val="21"/>
                <w:szCs w:val="21"/>
              </w:rPr>
              <w:t>0.018</w:t>
            </w:r>
          </w:p>
        </w:tc>
        <w:tc>
          <w:tcPr>
            <w:tcW w:w="2499" w:type="dxa"/>
            <w:vAlign w:val="center"/>
          </w:tcPr>
          <w:p w14:paraId="399D6A48">
            <w:pPr>
              <w:jc w:val="center"/>
              <w:rPr>
                <w:rFonts w:ascii="Times New Roman"/>
                <w:sz w:val="21"/>
                <w:szCs w:val="21"/>
              </w:rPr>
            </w:pPr>
            <w:r>
              <w:rPr>
                <w:rFonts w:hint="eastAsia" w:ascii="Times New Roman"/>
                <w:sz w:val="21"/>
                <w:szCs w:val="21"/>
              </w:rPr>
              <w:t>0</w:t>
            </w:r>
          </w:p>
        </w:tc>
      </w:tr>
      <w:tr w14:paraId="20F77F30">
        <w:tblPrEx>
          <w:tblCellMar>
            <w:top w:w="0" w:type="dxa"/>
            <w:left w:w="108" w:type="dxa"/>
            <w:bottom w:w="0" w:type="dxa"/>
            <w:right w:w="108" w:type="dxa"/>
          </w:tblCellMar>
        </w:tblPrEx>
        <w:trPr>
          <w:trHeight w:val="90" w:hRule="atLeast"/>
        </w:trPr>
        <w:tc>
          <w:tcPr>
            <w:tcW w:w="1804" w:type="pct"/>
            <w:vAlign w:val="center"/>
          </w:tcPr>
          <w:p w14:paraId="3491FC01">
            <w:pPr>
              <w:jc w:val="center"/>
              <w:rPr>
                <w:rFonts w:ascii="Times New Roman"/>
                <w:sz w:val="21"/>
                <w:szCs w:val="21"/>
              </w:rPr>
            </w:pPr>
            <w:r>
              <w:rPr>
                <w:rFonts w:ascii="Times New Roman"/>
                <w:sz w:val="21"/>
                <w:szCs w:val="21"/>
              </w:rPr>
              <w:t>15000.0</w:t>
            </w:r>
          </w:p>
        </w:tc>
        <w:tc>
          <w:tcPr>
            <w:tcW w:w="2942" w:type="dxa"/>
            <w:vAlign w:val="center"/>
          </w:tcPr>
          <w:p w14:paraId="0456F086">
            <w:pPr>
              <w:jc w:val="center"/>
              <w:rPr>
                <w:rFonts w:ascii="Times New Roman"/>
                <w:sz w:val="21"/>
                <w:szCs w:val="21"/>
              </w:rPr>
            </w:pPr>
            <w:r>
              <w:rPr>
                <w:rFonts w:hint="eastAsia" w:ascii="Times New Roman"/>
                <w:sz w:val="21"/>
                <w:szCs w:val="21"/>
              </w:rPr>
              <w:t>0.0164</w:t>
            </w:r>
          </w:p>
        </w:tc>
        <w:tc>
          <w:tcPr>
            <w:tcW w:w="2499" w:type="dxa"/>
            <w:vAlign w:val="center"/>
          </w:tcPr>
          <w:p w14:paraId="3879FB44">
            <w:pPr>
              <w:jc w:val="center"/>
              <w:rPr>
                <w:rFonts w:ascii="Times New Roman"/>
                <w:sz w:val="21"/>
                <w:szCs w:val="21"/>
              </w:rPr>
            </w:pPr>
            <w:r>
              <w:rPr>
                <w:rFonts w:hint="eastAsia" w:ascii="Times New Roman"/>
                <w:sz w:val="21"/>
                <w:szCs w:val="21"/>
              </w:rPr>
              <w:t>0</w:t>
            </w:r>
          </w:p>
        </w:tc>
      </w:tr>
      <w:tr w14:paraId="62221801">
        <w:tblPrEx>
          <w:tblCellMar>
            <w:top w:w="0" w:type="dxa"/>
            <w:left w:w="108" w:type="dxa"/>
            <w:bottom w:w="0" w:type="dxa"/>
            <w:right w:w="108" w:type="dxa"/>
          </w:tblCellMar>
        </w:tblPrEx>
        <w:trPr>
          <w:trHeight w:val="90" w:hRule="atLeast"/>
        </w:trPr>
        <w:tc>
          <w:tcPr>
            <w:tcW w:w="1804" w:type="pct"/>
            <w:vAlign w:val="center"/>
          </w:tcPr>
          <w:p w14:paraId="19942D47">
            <w:pPr>
              <w:jc w:val="center"/>
              <w:rPr>
                <w:rFonts w:ascii="Times New Roman"/>
                <w:sz w:val="21"/>
                <w:szCs w:val="21"/>
              </w:rPr>
            </w:pPr>
            <w:r>
              <w:rPr>
                <w:rFonts w:ascii="Times New Roman"/>
                <w:sz w:val="21"/>
                <w:szCs w:val="21"/>
              </w:rPr>
              <w:t>20000.0</w:t>
            </w:r>
          </w:p>
        </w:tc>
        <w:tc>
          <w:tcPr>
            <w:tcW w:w="2942" w:type="dxa"/>
            <w:vAlign w:val="center"/>
          </w:tcPr>
          <w:p w14:paraId="6D037AAC">
            <w:pPr>
              <w:jc w:val="center"/>
              <w:rPr>
                <w:rFonts w:ascii="Times New Roman"/>
                <w:sz w:val="21"/>
                <w:szCs w:val="21"/>
              </w:rPr>
            </w:pPr>
            <w:r>
              <w:rPr>
                <w:rFonts w:hint="eastAsia" w:ascii="Times New Roman"/>
                <w:sz w:val="21"/>
                <w:szCs w:val="21"/>
              </w:rPr>
              <w:t>0.0108</w:t>
            </w:r>
          </w:p>
        </w:tc>
        <w:tc>
          <w:tcPr>
            <w:tcW w:w="2499" w:type="dxa"/>
            <w:vAlign w:val="center"/>
          </w:tcPr>
          <w:p w14:paraId="69A1189A">
            <w:pPr>
              <w:jc w:val="center"/>
              <w:rPr>
                <w:rFonts w:ascii="Times New Roman"/>
                <w:sz w:val="21"/>
                <w:szCs w:val="21"/>
              </w:rPr>
            </w:pPr>
            <w:r>
              <w:rPr>
                <w:rFonts w:hint="eastAsia" w:ascii="Times New Roman"/>
                <w:sz w:val="21"/>
                <w:szCs w:val="21"/>
              </w:rPr>
              <w:t>0</w:t>
            </w:r>
          </w:p>
        </w:tc>
      </w:tr>
      <w:tr w14:paraId="0D5BDAE7">
        <w:tblPrEx>
          <w:tblCellMar>
            <w:top w:w="0" w:type="dxa"/>
            <w:left w:w="108" w:type="dxa"/>
            <w:bottom w:w="0" w:type="dxa"/>
            <w:right w:w="108" w:type="dxa"/>
          </w:tblCellMar>
        </w:tblPrEx>
        <w:trPr>
          <w:trHeight w:val="90" w:hRule="atLeast"/>
        </w:trPr>
        <w:tc>
          <w:tcPr>
            <w:tcW w:w="1804" w:type="pct"/>
            <w:vAlign w:val="center"/>
          </w:tcPr>
          <w:p w14:paraId="53CD8033">
            <w:pPr>
              <w:jc w:val="center"/>
              <w:rPr>
                <w:rFonts w:ascii="Times New Roman"/>
                <w:sz w:val="21"/>
                <w:szCs w:val="21"/>
              </w:rPr>
            </w:pPr>
            <w:r>
              <w:rPr>
                <w:rFonts w:ascii="Times New Roman"/>
                <w:sz w:val="21"/>
                <w:szCs w:val="21"/>
              </w:rPr>
              <w:t>25000.0</w:t>
            </w:r>
          </w:p>
        </w:tc>
        <w:tc>
          <w:tcPr>
            <w:tcW w:w="2942" w:type="dxa"/>
            <w:vAlign w:val="center"/>
          </w:tcPr>
          <w:p w14:paraId="0AFDAC6B">
            <w:pPr>
              <w:jc w:val="center"/>
              <w:rPr>
                <w:rFonts w:ascii="Times New Roman"/>
                <w:sz w:val="21"/>
                <w:szCs w:val="21"/>
              </w:rPr>
            </w:pPr>
            <w:r>
              <w:rPr>
                <w:rFonts w:hint="eastAsia" w:ascii="Times New Roman"/>
                <w:sz w:val="21"/>
                <w:szCs w:val="21"/>
              </w:rPr>
              <w:t>0.0078</w:t>
            </w:r>
          </w:p>
        </w:tc>
        <w:tc>
          <w:tcPr>
            <w:tcW w:w="2499" w:type="dxa"/>
            <w:vAlign w:val="center"/>
          </w:tcPr>
          <w:p w14:paraId="7061D76A">
            <w:pPr>
              <w:jc w:val="center"/>
              <w:rPr>
                <w:rFonts w:ascii="Times New Roman"/>
                <w:sz w:val="21"/>
                <w:szCs w:val="21"/>
              </w:rPr>
            </w:pPr>
            <w:r>
              <w:rPr>
                <w:rFonts w:hint="eastAsia" w:ascii="Times New Roman"/>
                <w:sz w:val="21"/>
                <w:szCs w:val="21"/>
              </w:rPr>
              <w:t>0</w:t>
            </w:r>
          </w:p>
        </w:tc>
      </w:tr>
      <w:tr w14:paraId="1D248B89">
        <w:tblPrEx>
          <w:tblCellMar>
            <w:top w:w="0" w:type="dxa"/>
            <w:left w:w="108" w:type="dxa"/>
            <w:bottom w:w="0" w:type="dxa"/>
            <w:right w:w="108" w:type="dxa"/>
          </w:tblCellMar>
        </w:tblPrEx>
        <w:trPr>
          <w:trHeight w:val="90" w:hRule="atLeast"/>
        </w:trPr>
        <w:tc>
          <w:tcPr>
            <w:tcW w:w="1804" w:type="pct"/>
            <w:vAlign w:val="center"/>
          </w:tcPr>
          <w:p w14:paraId="0369FAF6">
            <w:pPr>
              <w:jc w:val="center"/>
              <w:rPr>
                <w:rFonts w:ascii="Times New Roman"/>
                <w:sz w:val="21"/>
                <w:szCs w:val="21"/>
              </w:rPr>
            </w:pPr>
            <w:r>
              <w:rPr>
                <w:rFonts w:ascii="Times New Roman"/>
                <w:sz w:val="21"/>
                <w:szCs w:val="21"/>
              </w:rPr>
              <w:t>下风向最大浓度</w:t>
            </w:r>
          </w:p>
        </w:tc>
        <w:tc>
          <w:tcPr>
            <w:tcW w:w="1726" w:type="pct"/>
            <w:vAlign w:val="center"/>
          </w:tcPr>
          <w:p w14:paraId="553F8AFE">
            <w:pPr>
              <w:jc w:val="center"/>
              <w:rPr>
                <w:rFonts w:ascii="Times New Roman"/>
                <w:sz w:val="21"/>
                <w:szCs w:val="21"/>
              </w:rPr>
            </w:pPr>
            <w:r>
              <w:rPr>
                <w:rFonts w:hint="eastAsia" w:ascii="Times New Roman"/>
                <w:sz w:val="21"/>
                <w:szCs w:val="21"/>
              </w:rPr>
              <w:t>4.7404</w:t>
            </w:r>
          </w:p>
        </w:tc>
        <w:tc>
          <w:tcPr>
            <w:tcW w:w="1466" w:type="pct"/>
            <w:vAlign w:val="center"/>
          </w:tcPr>
          <w:p w14:paraId="57AB90F5">
            <w:pPr>
              <w:jc w:val="center"/>
              <w:rPr>
                <w:rFonts w:ascii="Times New Roman"/>
                <w:sz w:val="21"/>
                <w:szCs w:val="21"/>
              </w:rPr>
            </w:pPr>
            <w:r>
              <w:rPr>
                <w:rFonts w:hint="eastAsia" w:ascii="Times New Roman"/>
                <w:sz w:val="21"/>
                <w:szCs w:val="21"/>
              </w:rPr>
              <w:t>1.05</w:t>
            </w:r>
          </w:p>
        </w:tc>
      </w:tr>
      <w:tr w14:paraId="36600366">
        <w:tblPrEx>
          <w:tblCellMar>
            <w:top w:w="0" w:type="dxa"/>
            <w:left w:w="108" w:type="dxa"/>
            <w:bottom w:w="0" w:type="dxa"/>
            <w:right w:w="108" w:type="dxa"/>
          </w:tblCellMar>
        </w:tblPrEx>
        <w:trPr>
          <w:trHeight w:val="90" w:hRule="atLeast"/>
        </w:trPr>
        <w:tc>
          <w:tcPr>
            <w:tcW w:w="1804" w:type="pct"/>
            <w:vAlign w:val="center"/>
          </w:tcPr>
          <w:p w14:paraId="59B78D23">
            <w:pPr>
              <w:jc w:val="center"/>
              <w:rPr>
                <w:rFonts w:ascii="Times New Roman"/>
                <w:sz w:val="21"/>
                <w:szCs w:val="21"/>
              </w:rPr>
            </w:pPr>
            <w:r>
              <w:rPr>
                <w:rFonts w:ascii="Times New Roman"/>
                <w:sz w:val="21"/>
                <w:szCs w:val="21"/>
              </w:rPr>
              <w:t>下风向最大浓度出现距离</w:t>
            </w:r>
          </w:p>
        </w:tc>
        <w:tc>
          <w:tcPr>
            <w:tcW w:w="1726" w:type="pct"/>
            <w:vAlign w:val="center"/>
          </w:tcPr>
          <w:p w14:paraId="077F762C">
            <w:pPr>
              <w:jc w:val="center"/>
              <w:rPr>
                <w:rFonts w:ascii="Times New Roman"/>
                <w:sz w:val="21"/>
                <w:szCs w:val="21"/>
              </w:rPr>
            </w:pPr>
            <w:r>
              <w:rPr>
                <w:rFonts w:ascii="Times New Roman"/>
                <w:sz w:val="21"/>
                <w:szCs w:val="21"/>
              </w:rPr>
              <w:t>95.0</w:t>
            </w:r>
          </w:p>
        </w:tc>
        <w:tc>
          <w:tcPr>
            <w:tcW w:w="1466" w:type="pct"/>
            <w:vAlign w:val="center"/>
          </w:tcPr>
          <w:p w14:paraId="47AF86EC">
            <w:pPr>
              <w:jc w:val="center"/>
              <w:rPr>
                <w:rFonts w:ascii="Times New Roman"/>
                <w:sz w:val="21"/>
                <w:szCs w:val="21"/>
              </w:rPr>
            </w:pPr>
            <w:r>
              <w:rPr>
                <w:rFonts w:ascii="Times New Roman"/>
                <w:sz w:val="21"/>
                <w:szCs w:val="21"/>
              </w:rPr>
              <w:t>95.0</w:t>
            </w:r>
          </w:p>
        </w:tc>
      </w:tr>
      <w:tr w14:paraId="4EB063CC">
        <w:tblPrEx>
          <w:tblCellMar>
            <w:top w:w="0" w:type="dxa"/>
            <w:left w:w="108" w:type="dxa"/>
            <w:bottom w:w="0" w:type="dxa"/>
            <w:right w:w="108" w:type="dxa"/>
          </w:tblCellMar>
        </w:tblPrEx>
        <w:trPr>
          <w:trHeight w:val="90" w:hRule="atLeast"/>
        </w:trPr>
        <w:tc>
          <w:tcPr>
            <w:tcW w:w="1804" w:type="pct"/>
            <w:vAlign w:val="center"/>
          </w:tcPr>
          <w:p w14:paraId="5F3B16AB">
            <w:pPr>
              <w:jc w:val="center"/>
              <w:rPr>
                <w:rFonts w:ascii="Times New Roman"/>
                <w:sz w:val="21"/>
                <w:szCs w:val="21"/>
              </w:rPr>
            </w:pPr>
            <w:r>
              <w:rPr>
                <w:rFonts w:ascii="Times New Roman"/>
                <w:sz w:val="21"/>
                <w:szCs w:val="21"/>
              </w:rPr>
              <w:t>D10%最远距离</w:t>
            </w:r>
          </w:p>
        </w:tc>
        <w:tc>
          <w:tcPr>
            <w:tcW w:w="1726" w:type="pct"/>
            <w:vAlign w:val="center"/>
          </w:tcPr>
          <w:p w14:paraId="4741093D">
            <w:pPr>
              <w:jc w:val="center"/>
              <w:rPr>
                <w:rFonts w:ascii="Times New Roman"/>
                <w:sz w:val="21"/>
                <w:szCs w:val="21"/>
              </w:rPr>
            </w:pPr>
            <w:r>
              <w:rPr>
                <w:rFonts w:ascii="Times New Roman"/>
                <w:sz w:val="21"/>
                <w:szCs w:val="21"/>
              </w:rPr>
              <w:t>/</w:t>
            </w:r>
          </w:p>
        </w:tc>
        <w:tc>
          <w:tcPr>
            <w:tcW w:w="1466" w:type="pct"/>
            <w:vAlign w:val="center"/>
          </w:tcPr>
          <w:p w14:paraId="76DEC1F4">
            <w:pPr>
              <w:jc w:val="center"/>
              <w:rPr>
                <w:rFonts w:ascii="Times New Roman"/>
                <w:sz w:val="21"/>
                <w:szCs w:val="21"/>
              </w:rPr>
            </w:pPr>
            <w:r>
              <w:rPr>
                <w:rFonts w:ascii="Times New Roman"/>
                <w:sz w:val="21"/>
                <w:szCs w:val="21"/>
              </w:rPr>
              <w:t>/</w:t>
            </w:r>
          </w:p>
        </w:tc>
      </w:tr>
    </w:tbl>
    <w:p w14:paraId="756FFE79">
      <w:pPr>
        <w:spacing w:line="360" w:lineRule="auto"/>
        <w:jc w:val="center"/>
        <w:rPr>
          <w:rFonts w:ascii="Times New Roman"/>
          <w:b/>
          <w:bCs/>
          <w:sz w:val="24"/>
          <w:szCs w:val="24"/>
        </w:rPr>
      </w:pPr>
    </w:p>
    <w:p w14:paraId="26BCB854">
      <w:pPr>
        <w:spacing w:line="360" w:lineRule="auto"/>
        <w:jc w:val="center"/>
        <w:rPr>
          <w:rFonts w:ascii="Times New Roman"/>
          <w:b/>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539" w:type="dxa"/>
        <w:tblInd w:w="0" w:type="dxa"/>
        <w:tblLayout w:type="autofit"/>
        <w:tblCellMar>
          <w:top w:w="0" w:type="dxa"/>
          <w:left w:w="108" w:type="dxa"/>
          <w:bottom w:w="0" w:type="dxa"/>
          <w:right w:w="108" w:type="dxa"/>
        </w:tblCellMar>
      </w:tblPr>
      <w:tblGrid>
        <w:gridCol w:w="1991"/>
        <w:gridCol w:w="1150"/>
        <w:gridCol w:w="490"/>
        <w:gridCol w:w="610"/>
        <w:gridCol w:w="891"/>
        <w:gridCol w:w="193"/>
        <w:gridCol w:w="1050"/>
        <w:gridCol w:w="530"/>
        <w:gridCol w:w="620"/>
        <w:gridCol w:w="1014"/>
      </w:tblGrid>
      <w:tr w14:paraId="7177ED4D">
        <w:tblPrEx>
          <w:tblCellMar>
            <w:top w:w="0" w:type="dxa"/>
            <w:left w:w="108" w:type="dxa"/>
            <w:bottom w:w="0" w:type="dxa"/>
            <w:right w:w="108" w:type="dxa"/>
          </w:tblCellMar>
        </w:tblPrEx>
        <w:trPr>
          <w:trHeight w:val="412" w:hRule="atLeast"/>
        </w:trPr>
        <w:tc>
          <w:tcPr>
            <w:tcW w:w="1991" w:type="dxa"/>
            <w:vMerge w:val="restart"/>
            <w:vAlign w:val="center"/>
          </w:tcPr>
          <w:p w14:paraId="42737F41">
            <w:pPr>
              <w:jc w:val="center"/>
              <w:rPr>
                <w:rFonts w:ascii="Times New Roman"/>
                <w:sz w:val="21"/>
                <w:szCs w:val="21"/>
              </w:rPr>
            </w:pPr>
            <w:r>
              <w:rPr>
                <w:rFonts w:ascii="Times New Roman"/>
                <w:sz w:val="21"/>
                <w:szCs w:val="21"/>
              </w:rPr>
              <w:t>下风向距离</w:t>
            </w:r>
          </w:p>
        </w:tc>
        <w:tc>
          <w:tcPr>
            <w:tcW w:w="6548" w:type="dxa"/>
            <w:gridSpan w:val="9"/>
            <w:vAlign w:val="center"/>
          </w:tcPr>
          <w:p w14:paraId="44ADA2E6">
            <w:pPr>
              <w:jc w:val="center"/>
              <w:rPr>
                <w:rFonts w:ascii="Times New Roman"/>
                <w:sz w:val="21"/>
                <w:szCs w:val="21"/>
              </w:rPr>
            </w:pPr>
            <w:r>
              <w:rPr>
                <w:rFonts w:ascii="Times New Roman"/>
                <w:kern w:val="0"/>
                <w:sz w:val="21"/>
                <w:szCs w:val="21"/>
              </w:rPr>
              <w:t>电泳、喷漆、流平、烘干固化、强冷</w:t>
            </w:r>
            <w:r>
              <w:rPr>
                <w:rFonts w:ascii="Times New Roman"/>
                <w:sz w:val="21"/>
                <w:szCs w:val="21"/>
              </w:rPr>
              <w:t>废气</w:t>
            </w:r>
            <w:r>
              <w:rPr>
                <w:rFonts w:hint="eastAsia" w:ascii="Times New Roman"/>
                <w:sz w:val="21"/>
                <w:szCs w:val="21"/>
              </w:rPr>
              <w:t>（DA009）</w:t>
            </w:r>
          </w:p>
        </w:tc>
      </w:tr>
      <w:tr w14:paraId="6850CA51">
        <w:tblPrEx>
          <w:tblCellMar>
            <w:top w:w="0" w:type="dxa"/>
            <w:left w:w="108" w:type="dxa"/>
            <w:bottom w:w="0" w:type="dxa"/>
            <w:right w:w="108" w:type="dxa"/>
          </w:tblCellMar>
        </w:tblPrEx>
        <w:trPr>
          <w:trHeight w:val="525" w:hRule="atLeast"/>
        </w:trPr>
        <w:tc>
          <w:tcPr>
            <w:tcW w:w="1991" w:type="dxa"/>
            <w:vMerge w:val="continue"/>
            <w:vAlign w:val="center"/>
          </w:tcPr>
          <w:p w14:paraId="3F09B62F">
            <w:pPr>
              <w:jc w:val="center"/>
              <w:rPr>
                <w:rFonts w:ascii="Times New Roman"/>
                <w:sz w:val="21"/>
                <w:szCs w:val="21"/>
              </w:rPr>
            </w:pPr>
          </w:p>
        </w:tc>
        <w:tc>
          <w:tcPr>
            <w:tcW w:w="1150" w:type="dxa"/>
            <w:vAlign w:val="center"/>
          </w:tcPr>
          <w:p w14:paraId="56DD52E6">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w:t>
            </w:r>
          </w:p>
          <w:p w14:paraId="6E899C9D">
            <w:pPr>
              <w:spacing w:line="260" w:lineRule="exact"/>
              <w:jc w:val="center"/>
              <w:rPr>
                <w:rFonts w:ascii="Times New Roman"/>
                <w:sz w:val="21"/>
                <w:szCs w:val="21"/>
              </w:rPr>
            </w:pPr>
            <w:r>
              <w:rPr>
                <w:rFonts w:ascii="Times New Roman"/>
                <w:sz w:val="21"/>
                <w:szCs w:val="21"/>
              </w:rPr>
              <w:t>(μg/m³)</w:t>
            </w:r>
          </w:p>
        </w:tc>
        <w:tc>
          <w:tcPr>
            <w:tcW w:w="1100" w:type="dxa"/>
            <w:gridSpan w:val="2"/>
            <w:vAlign w:val="center"/>
          </w:tcPr>
          <w:p w14:paraId="685F0DA4">
            <w:pPr>
              <w:spacing w:line="26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1084" w:type="dxa"/>
            <w:gridSpan w:val="2"/>
            <w:shd w:val="clear" w:color="auto" w:fill="auto"/>
            <w:vAlign w:val="center"/>
          </w:tcPr>
          <w:p w14:paraId="46AEC65A">
            <w:pPr>
              <w:spacing w:line="26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浓度(μg/m³)</w:t>
            </w:r>
          </w:p>
        </w:tc>
        <w:tc>
          <w:tcPr>
            <w:tcW w:w="1050" w:type="dxa"/>
            <w:shd w:val="clear" w:color="auto" w:fill="auto"/>
            <w:vAlign w:val="center"/>
          </w:tcPr>
          <w:p w14:paraId="75006C81">
            <w:pPr>
              <w:spacing w:line="26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占标率(%)</w:t>
            </w:r>
          </w:p>
        </w:tc>
        <w:tc>
          <w:tcPr>
            <w:tcW w:w="1150" w:type="dxa"/>
            <w:gridSpan w:val="2"/>
            <w:shd w:val="clear" w:color="auto" w:fill="auto"/>
            <w:vAlign w:val="center"/>
          </w:tcPr>
          <w:p w14:paraId="5E2D77D8">
            <w:pPr>
              <w:jc w:val="center"/>
              <w:rPr>
                <w:rFonts w:ascii="Times New Roman"/>
                <w:sz w:val="21"/>
                <w:szCs w:val="21"/>
              </w:rPr>
            </w:pPr>
            <w:r>
              <w:rPr>
                <w:rFonts w:ascii="Times New Roman"/>
                <w:sz w:val="21"/>
                <w:szCs w:val="21"/>
              </w:rPr>
              <w:t>NO</w:t>
            </w:r>
            <w:r>
              <w:rPr>
                <w:rFonts w:hint="eastAsia" w:ascii="Times New Roman"/>
                <w:sz w:val="21"/>
                <w:szCs w:val="21"/>
                <w:vertAlign w:val="subscript"/>
              </w:rPr>
              <w:t>2</w:t>
            </w:r>
            <w:r>
              <w:rPr>
                <w:rFonts w:ascii="Times New Roman"/>
                <w:sz w:val="21"/>
                <w:szCs w:val="21"/>
              </w:rPr>
              <w:t>浓度(μg/m³)</w:t>
            </w:r>
          </w:p>
        </w:tc>
        <w:tc>
          <w:tcPr>
            <w:tcW w:w="1014" w:type="dxa"/>
            <w:shd w:val="clear" w:color="auto" w:fill="auto"/>
            <w:vAlign w:val="center"/>
          </w:tcPr>
          <w:p w14:paraId="25963382">
            <w:pPr>
              <w:jc w:val="center"/>
              <w:rPr>
                <w:rFonts w:ascii="Times New Roman"/>
                <w:sz w:val="21"/>
                <w:szCs w:val="21"/>
              </w:rPr>
            </w:pPr>
            <w:r>
              <w:rPr>
                <w:rFonts w:ascii="Times New Roman"/>
                <w:sz w:val="21"/>
                <w:szCs w:val="21"/>
              </w:rPr>
              <w:t>NO</w:t>
            </w:r>
            <w:r>
              <w:rPr>
                <w:rFonts w:hint="eastAsia" w:ascii="Times New Roman"/>
                <w:sz w:val="21"/>
                <w:szCs w:val="21"/>
                <w:vertAlign w:val="subscript"/>
              </w:rPr>
              <w:t>2</w:t>
            </w:r>
            <w:r>
              <w:rPr>
                <w:rFonts w:ascii="Times New Roman"/>
                <w:sz w:val="21"/>
                <w:szCs w:val="21"/>
              </w:rPr>
              <w:t>占标率(%)</w:t>
            </w:r>
          </w:p>
        </w:tc>
      </w:tr>
      <w:tr w14:paraId="610A51EB">
        <w:tblPrEx>
          <w:tblCellMar>
            <w:top w:w="0" w:type="dxa"/>
            <w:left w:w="108" w:type="dxa"/>
            <w:bottom w:w="0" w:type="dxa"/>
            <w:right w:w="108" w:type="dxa"/>
          </w:tblCellMar>
        </w:tblPrEx>
        <w:trPr>
          <w:trHeight w:val="412" w:hRule="atLeast"/>
        </w:trPr>
        <w:tc>
          <w:tcPr>
            <w:tcW w:w="1991" w:type="dxa"/>
            <w:vAlign w:val="center"/>
          </w:tcPr>
          <w:p w14:paraId="085BD2C0">
            <w:pPr>
              <w:jc w:val="center"/>
              <w:rPr>
                <w:rFonts w:ascii="Times New Roman"/>
                <w:sz w:val="21"/>
                <w:szCs w:val="21"/>
              </w:rPr>
            </w:pPr>
            <w:r>
              <w:rPr>
                <w:rFonts w:ascii="Times New Roman"/>
                <w:sz w:val="21"/>
                <w:szCs w:val="21"/>
              </w:rPr>
              <w:t>50.0</w:t>
            </w:r>
          </w:p>
        </w:tc>
        <w:tc>
          <w:tcPr>
            <w:tcW w:w="1150" w:type="dxa"/>
            <w:vAlign w:val="center"/>
          </w:tcPr>
          <w:p w14:paraId="4FD83A3C">
            <w:pPr>
              <w:jc w:val="center"/>
              <w:rPr>
                <w:rFonts w:ascii="Times New Roman"/>
                <w:sz w:val="21"/>
                <w:szCs w:val="21"/>
              </w:rPr>
            </w:pPr>
            <w:r>
              <w:rPr>
                <w:rFonts w:hint="eastAsia" w:ascii="Times New Roman"/>
                <w:sz w:val="21"/>
                <w:szCs w:val="21"/>
              </w:rPr>
              <w:t>3.4101</w:t>
            </w:r>
          </w:p>
        </w:tc>
        <w:tc>
          <w:tcPr>
            <w:tcW w:w="1100" w:type="dxa"/>
            <w:gridSpan w:val="2"/>
            <w:vAlign w:val="center"/>
          </w:tcPr>
          <w:p w14:paraId="74A1FF4F">
            <w:pPr>
              <w:jc w:val="center"/>
              <w:rPr>
                <w:rFonts w:ascii="Times New Roman"/>
                <w:sz w:val="21"/>
                <w:szCs w:val="21"/>
              </w:rPr>
            </w:pPr>
            <w:r>
              <w:rPr>
                <w:rFonts w:hint="eastAsia" w:ascii="Times New Roman"/>
                <w:sz w:val="21"/>
                <w:szCs w:val="21"/>
              </w:rPr>
              <w:t>0.76</w:t>
            </w:r>
          </w:p>
        </w:tc>
        <w:tc>
          <w:tcPr>
            <w:tcW w:w="1084" w:type="dxa"/>
            <w:gridSpan w:val="2"/>
            <w:shd w:val="clear" w:color="auto" w:fill="auto"/>
            <w:vAlign w:val="center"/>
          </w:tcPr>
          <w:p w14:paraId="0F2E8E0A">
            <w:pPr>
              <w:jc w:val="center"/>
              <w:rPr>
                <w:rFonts w:ascii="Times New Roman"/>
                <w:sz w:val="21"/>
                <w:szCs w:val="21"/>
              </w:rPr>
            </w:pPr>
            <w:r>
              <w:rPr>
                <w:rFonts w:hint="eastAsia" w:ascii="Times New Roman"/>
                <w:sz w:val="21"/>
                <w:szCs w:val="21"/>
              </w:rPr>
              <w:t>0.0094</w:t>
            </w:r>
          </w:p>
        </w:tc>
        <w:tc>
          <w:tcPr>
            <w:tcW w:w="1050" w:type="dxa"/>
            <w:shd w:val="clear" w:color="auto" w:fill="auto"/>
            <w:vAlign w:val="center"/>
          </w:tcPr>
          <w:p w14:paraId="0CB4E427">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182E563B">
            <w:pPr>
              <w:jc w:val="center"/>
              <w:rPr>
                <w:rFonts w:ascii="Times New Roman"/>
                <w:sz w:val="21"/>
                <w:szCs w:val="21"/>
              </w:rPr>
            </w:pPr>
            <w:r>
              <w:rPr>
                <w:rFonts w:hint="eastAsia" w:ascii="Times New Roman"/>
                <w:sz w:val="21"/>
                <w:szCs w:val="21"/>
              </w:rPr>
              <w:t>1.1</w:t>
            </w:r>
          </w:p>
        </w:tc>
        <w:tc>
          <w:tcPr>
            <w:tcW w:w="1014" w:type="dxa"/>
            <w:shd w:val="clear" w:color="auto" w:fill="auto"/>
            <w:vAlign w:val="center"/>
          </w:tcPr>
          <w:p w14:paraId="1C03C24A">
            <w:pPr>
              <w:jc w:val="center"/>
              <w:rPr>
                <w:rFonts w:ascii="Times New Roman"/>
                <w:sz w:val="21"/>
                <w:szCs w:val="21"/>
              </w:rPr>
            </w:pPr>
            <w:r>
              <w:rPr>
                <w:rFonts w:hint="eastAsia" w:ascii="Times New Roman"/>
                <w:sz w:val="21"/>
                <w:szCs w:val="21"/>
              </w:rPr>
              <w:t xml:space="preserve">0.55 </w:t>
            </w:r>
          </w:p>
        </w:tc>
      </w:tr>
      <w:tr w14:paraId="0C49DF4E">
        <w:tblPrEx>
          <w:tblCellMar>
            <w:top w:w="0" w:type="dxa"/>
            <w:left w:w="108" w:type="dxa"/>
            <w:bottom w:w="0" w:type="dxa"/>
            <w:right w:w="108" w:type="dxa"/>
          </w:tblCellMar>
        </w:tblPrEx>
        <w:trPr>
          <w:trHeight w:val="412" w:hRule="atLeast"/>
        </w:trPr>
        <w:tc>
          <w:tcPr>
            <w:tcW w:w="1991" w:type="dxa"/>
            <w:vAlign w:val="center"/>
          </w:tcPr>
          <w:p w14:paraId="109A7DEA">
            <w:pPr>
              <w:jc w:val="center"/>
              <w:rPr>
                <w:rFonts w:ascii="Times New Roman"/>
                <w:sz w:val="21"/>
                <w:szCs w:val="21"/>
              </w:rPr>
            </w:pPr>
            <w:r>
              <w:rPr>
                <w:rFonts w:ascii="Times New Roman"/>
                <w:sz w:val="21"/>
                <w:szCs w:val="21"/>
              </w:rPr>
              <w:t>100.0</w:t>
            </w:r>
          </w:p>
        </w:tc>
        <w:tc>
          <w:tcPr>
            <w:tcW w:w="1150" w:type="dxa"/>
            <w:vAlign w:val="center"/>
          </w:tcPr>
          <w:p w14:paraId="0ACEC194">
            <w:pPr>
              <w:jc w:val="center"/>
              <w:rPr>
                <w:rFonts w:ascii="Times New Roman"/>
                <w:sz w:val="21"/>
                <w:szCs w:val="21"/>
              </w:rPr>
            </w:pPr>
            <w:r>
              <w:rPr>
                <w:rFonts w:hint="eastAsia" w:ascii="Times New Roman"/>
                <w:sz w:val="21"/>
                <w:szCs w:val="21"/>
              </w:rPr>
              <w:t>6.2334</w:t>
            </w:r>
          </w:p>
        </w:tc>
        <w:tc>
          <w:tcPr>
            <w:tcW w:w="1100" w:type="dxa"/>
            <w:gridSpan w:val="2"/>
            <w:vAlign w:val="center"/>
          </w:tcPr>
          <w:p w14:paraId="37BAF96E">
            <w:pPr>
              <w:jc w:val="center"/>
              <w:rPr>
                <w:rFonts w:ascii="Times New Roman"/>
                <w:sz w:val="21"/>
                <w:szCs w:val="21"/>
              </w:rPr>
            </w:pPr>
            <w:r>
              <w:rPr>
                <w:rFonts w:hint="eastAsia" w:ascii="Times New Roman"/>
                <w:sz w:val="21"/>
                <w:szCs w:val="21"/>
              </w:rPr>
              <w:t>1.39</w:t>
            </w:r>
          </w:p>
        </w:tc>
        <w:tc>
          <w:tcPr>
            <w:tcW w:w="1084" w:type="dxa"/>
            <w:gridSpan w:val="2"/>
            <w:shd w:val="clear" w:color="auto" w:fill="auto"/>
            <w:vAlign w:val="center"/>
          </w:tcPr>
          <w:p w14:paraId="0C94375D">
            <w:pPr>
              <w:jc w:val="center"/>
              <w:rPr>
                <w:rFonts w:ascii="Times New Roman"/>
                <w:sz w:val="21"/>
                <w:szCs w:val="21"/>
              </w:rPr>
            </w:pPr>
            <w:r>
              <w:rPr>
                <w:rFonts w:hint="eastAsia" w:ascii="Times New Roman"/>
                <w:sz w:val="21"/>
                <w:szCs w:val="21"/>
              </w:rPr>
              <w:t>0.0172</w:t>
            </w:r>
          </w:p>
        </w:tc>
        <w:tc>
          <w:tcPr>
            <w:tcW w:w="1050" w:type="dxa"/>
            <w:shd w:val="clear" w:color="auto" w:fill="auto"/>
            <w:vAlign w:val="center"/>
          </w:tcPr>
          <w:p w14:paraId="2C082871">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434BEF00">
            <w:pPr>
              <w:jc w:val="center"/>
              <w:rPr>
                <w:rFonts w:ascii="Times New Roman"/>
                <w:sz w:val="21"/>
                <w:szCs w:val="21"/>
              </w:rPr>
            </w:pPr>
            <w:r>
              <w:rPr>
                <w:rFonts w:hint="eastAsia" w:ascii="Times New Roman"/>
                <w:sz w:val="21"/>
                <w:szCs w:val="21"/>
              </w:rPr>
              <w:t>2.0108</w:t>
            </w:r>
          </w:p>
        </w:tc>
        <w:tc>
          <w:tcPr>
            <w:tcW w:w="1014" w:type="dxa"/>
            <w:shd w:val="clear" w:color="auto" w:fill="auto"/>
            <w:vAlign w:val="center"/>
          </w:tcPr>
          <w:p w14:paraId="22D40B2C">
            <w:pPr>
              <w:jc w:val="center"/>
              <w:rPr>
                <w:rFonts w:ascii="Times New Roman"/>
                <w:sz w:val="21"/>
                <w:szCs w:val="21"/>
              </w:rPr>
            </w:pPr>
            <w:r>
              <w:rPr>
                <w:rFonts w:hint="eastAsia" w:ascii="Times New Roman"/>
                <w:sz w:val="21"/>
                <w:szCs w:val="21"/>
              </w:rPr>
              <w:t xml:space="preserve">1.01 </w:t>
            </w:r>
          </w:p>
        </w:tc>
      </w:tr>
      <w:tr w14:paraId="6B30942C">
        <w:tblPrEx>
          <w:tblCellMar>
            <w:top w:w="0" w:type="dxa"/>
            <w:left w:w="108" w:type="dxa"/>
            <w:bottom w:w="0" w:type="dxa"/>
            <w:right w:w="108" w:type="dxa"/>
          </w:tblCellMar>
        </w:tblPrEx>
        <w:trPr>
          <w:trHeight w:val="412" w:hRule="atLeast"/>
        </w:trPr>
        <w:tc>
          <w:tcPr>
            <w:tcW w:w="1991" w:type="dxa"/>
            <w:vAlign w:val="center"/>
          </w:tcPr>
          <w:p w14:paraId="106E9C43">
            <w:pPr>
              <w:jc w:val="center"/>
              <w:rPr>
                <w:rFonts w:ascii="Times New Roman"/>
                <w:sz w:val="21"/>
                <w:szCs w:val="21"/>
              </w:rPr>
            </w:pPr>
            <w:r>
              <w:rPr>
                <w:rFonts w:ascii="Times New Roman"/>
                <w:sz w:val="21"/>
                <w:szCs w:val="21"/>
              </w:rPr>
              <w:t>200.0</w:t>
            </w:r>
          </w:p>
        </w:tc>
        <w:tc>
          <w:tcPr>
            <w:tcW w:w="1150" w:type="dxa"/>
            <w:vAlign w:val="center"/>
          </w:tcPr>
          <w:p w14:paraId="6C72DA22">
            <w:pPr>
              <w:jc w:val="center"/>
              <w:rPr>
                <w:rFonts w:ascii="Times New Roman"/>
                <w:sz w:val="21"/>
                <w:szCs w:val="21"/>
              </w:rPr>
            </w:pPr>
            <w:r>
              <w:rPr>
                <w:rFonts w:hint="eastAsia" w:ascii="Times New Roman"/>
                <w:sz w:val="21"/>
                <w:szCs w:val="21"/>
              </w:rPr>
              <w:t>5.9582</w:t>
            </w:r>
          </w:p>
        </w:tc>
        <w:tc>
          <w:tcPr>
            <w:tcW w:w="1100" w:type="dxa"/>
            <w:gridSpan w:val="2"/>
            <w:vAlign w:val="center"/>
          </w:tcPr>
          <w:p w14:paraId="3CE0838C">
            <w:pPr>
              <w:jc w:val="center"/>
              <w:rPr>
                <w:rFonts w:ascii="Times New Roman"/>
                <w:sz w:val="21"/>
                <w:szCs w:val="21"/>
              </w:rPr>
            </w:pPr>
            <w:r>
              <w:rPr>
                <w:rFonts w:hint="eastAsia" w:ascii="Times New Roman"/>
                <w:sz w:val="21"/>
                <w:szCs w:val="21"/>
              </w:rPr>
              <w:t>1.32</w:t>
            </w:r>
          </w:p>
        </w:tc>
        <w:tc>
          <w:tcPr>
            <w:tcW w:w="1084" w:type="dxa"/>
            <w:gridSpan w:val="2"/>
            <w:shd w:val="clear" w:color="auto" w:fill="auto"/>
            <w:vAlign w:val="center"/>
          </w:tcPr>
          <w:p w14:paraId="0A0442D6">
            <w:pPr>
              <w:jc w:val="center"/>
              <w:rPr>
                <w:rFonts w:ascii="Times New Roman"/>
                <w:sz w:val="21"/>
                <w:szCs w:val="21"/>
              </w:rPr>
            </w:pPr>
            <w:r>
              <w:rPr>
                <w:rFonts w:hint="eastAsia" w:ascii="Times New Roman"/>
                <w:sz w:val="21"/>
                <w:szCs w:val="21"/>
              </w:rPr>
              <w:t>0.0164</w:t>
            </w:r>
          </w:p>
        </w:tc>
        <w:tc>
          <w:tcPr>
            <w:tcW w:w="1050" w:type="dxa"/>
            <w:shd w:val="clear" w:color="auto" w:fill="auto"/>
            <w:vAlign w:val="center"/>
          </w:tcPr>
          <w:p w14:paraId="37FC59D8">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1CC2D3D4">
            <w:pPr>
              <w:jc w:val="center"/>
              <w:rPr>
                <w:rFonts w:ascii="Times New Roman"/>
                <w:sz w:val="21"/>
                <w:szCs w:val="21"/>
              </w:rPr>
            </w:pPr>
            <w:r>
              <w:rPr>
                <w:rFonts w:hint="eastAsia" w:ascii="Times New Roman"/>
                <w:sz w:val="21"/>
                <w:szCs w:val="21"/>
              </w:rPr>
              <w:t>1.922</w:t>
            </w:r>
          </w:p>
        </w:tc>
        <w:tc>
          <w:tcPr>
            <w:tcW w:w="1014" w:type="dxa"/>
            <w:shd w:val="clear" w:color="auto" w:fill="auto"/>
            <w:vAlign w:val="center"/>
          </w:tcPr>
          <w:p w14:paraId="4458DC47">
            <w:pPr>
              <w:jc w:val="center"/>
              <w:rPr>
                <w:rFonts w:ascii="Times New Roman"/>
                <w:sz w:val="21"/>
                <w:szCs w:val="21"/>
              </w:rPr>
            </w:pPr>
            <w:r>
              <w:rPr>
                <w:rFonts w:hint="eastAsia" w:ascii="Times New Roman"/>
                <w:sz w:val="21"/>
                <w:szCs w:val="21"/>
              </w:rPr>
              <w:t xml:space="preserve">0.96 </w:t>
            </w:r>
          </w:p>
        </w:tc>
      </w:tr>
      <w:tr w14:paraId="033D6961">
        <w:tblPrEx>
          <w:tblCellMar>
            <w:top w:w="0" w:type="dxa"/>
            <w:left w:w="108" w:type="dxa"/>
            <w:bottom w:w="0" w:type="dxa"/>
            <w:right w:w="108" w:type="dxa"/>
          </w:tblCellMar>
        </w:tblPrEx>
        <w:trPr>
          <w:trHeight w:val="412" w:hRule="atLeast"/>
        </w:trPr>
        <w:tc>
          <w:tcPr>
            <w:tcW w:w="1991" w:type="dxa"/>
            <w:vAlign w:val="center"/>
          </w:tcPr>
          <w:p w14:paraId="2F76FEC6">
            <w:pPr>
              <w:jc w:val="center"/>
              <w:rPr>
                <w:rFonts w:ascii="Times New Roman"/>
                <w:sz w:val="21"/>
                <w:szCs w:val="21"/>
              </w:rPr>
            </w:pPr>
            <w:r>
              <w:rPr>
                <w:rFonts w:ascii="Times New Roman"/>
                <w:sz w:val="21"/>
                <w:szCs w:val="21"/>
              </w:rPr>
              <w:t>300.0</w:t>
            </w:r>
          </w:p>
        </w:tc>
        <w:tc>
          <w:tcPr>
            <w:tcW w:w="1150" w:type="dxa"/>
            <w:vAlign w:val="center"/>
          </w:tcPr>
          <w:p w14:paraId="6CE5486C">
            <w:pPr>
              <w:jc w:val="center"/>
              <w:rPr>
                <w:rFonts w:ascii="Times New Roman"/>
                <w:sz w:val="21"/>
                <w:szCs w:val="21"/>
              </w:rPr>
            </w:pPr>
            <w:r>
              <w:rPr>
                <w:rFonts w:hint="eastAsia" w:ascii="Times New Roman"/>
                <w:sz w:val="21"/>
                <w:szCs w:val="21"/>
              </w:rPr>
              <w:t>4.4047</w:t>
            </w:r>
          </w:p>
        </w:tc>
        <w:tc>
          <w:tcPr>
            <w:tcW w:w="1100" w:type="dxa"/>
            <w:gridSpan w:val="2"/>
            <w:vAlign w:val="center"/>
          </w:tcPr>
          <w:p w14:paraId="7D6A7B45">
            <w:pPr>
              <w:jc w:val="center"/>
              <w:rPr>
                <w:rFonts w:ascii="Times New Roman"/>
                <w:sz w:val="21"/>
                <w:szCs w:val="21"/>
              </w:rPr>
            </w:pPr>
            <w:r>
              <w:rPr>
                <w:rFonts w:hint="eastAsia" w:ascii="Times New Roman"/>
                <w:sz w:val="21"/>
                <w:szCs w:val="21"/>
              </w:rPr>
              <w:t>0.98</w:t>
            </w:r>
          </w:p>
        </w:tc>
        <w:tc>
          <w:tcPr>
            <w:tcW w:w="1084" w:type="dxa"/>
            <w:gridSpan w:val="2"/>
            <w:shd w:val="clear" w:color="auto" w:fill="auto"/>
            <w:vAlign w:val="center"/>
          </w:tcPr>
          <w:p w14:paraId="590A4899">
            <w:pPr>
              <w:jc w:val="center"/>
              <w:rPr>
                <w:rFonts w:ascii="Times New Roman"/>
                <w:sz w:val="21"/>
                <w:szCs w:val="21"/>
              </w:rPr>
            </w:pPr>
            <w:r>
              <w:rPr>
                <w:rFonts w:hint="eastAsia" w:ascii="Times New Roman"/>
                <w:sz w:val="21"/>
                <w:szCs w:val="21"/>
              </w:rPr>
              <w:t>0.0121</w:t>
            </w:r>
          </w:p>
        </w:tc>
        <w:tc>
          <w:tcPr>
            <w:tcW w:w="1050" w:type="dxa"/>
            <w:shd w:val="clear" w:color="auto" w:fill="auto"/>
            <w:vAlign w:val="center"/>
          </w:tcPr>
          <w:p w14:paraId="551C6EE6">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776B4221">
            <w:pPr>
              <w:jc w:val="center"/>
              <w:rPr>
                <w:rFonts w:ascii="Times New Roman"/>
                <w:sz w:val="21"/>
                <w:szCs w:val="21"/>
              </w:rPr>
            </w:pPr>
            <w:r>
              <w:rPr>
                <w:rFonts w:hint="eastAsia" w:ascii="Times New Roman"/>
                <w:sz w:val="21"/>
                <w:szCs w:val="21"/>
              </w:rPr>
              <w:t>1.4209</w:t>
            </w:r>
          </w:p>
        </w:tc>
        <w:tc>
          <w:tcPr>
            <w:tcW w:w="1014" w:type="dxa"/>
            <w:shd w:val="clear" w:color="auto" w:fill="auto"/>
            <w:vAlign w:val="center"/>
          </w:tcPr>
          <w:p w14:paraId="1B689351">
            <w:pPr>
              <w:jc w:val="center"/>
              <w:rPr>
                <w:rFonts w:ascii="Times New Roman"/>
                <w:sz w:val="21"/>
                <w:szCs w:val="21"/>
              </w:rPr>
            </w:pPr>
            <w:r>
              <w:rPr>
                <w:rFonts w:hint="eastAsia" w:ascii="Times New Roman"/>
                <w:sz w:val="21"/>
                <w:szCs w:val="21"/>
              </w:rPr>
              <w:t xml:space="preserve">0.71 </w:t>
            </w:r>
          </w:p>
        </w:tc>
      </w:tr>
      <w:tr w14:paraId="47965F86">
        <w:tblPrEx>
          <w:tblCellMar>
            <w:top w:w="0" w:type="dxa"/>
            <w:left w:w="108" w:type="dxa"/>
            <w:bottom w:w="0" w:type="dxa"/>
            <w:right w:w="108" w:type="dxa"/>
          </w:tblCellMar>
        </w:tblPrEx>
        <w:trPr>
          <w:trHeight w:val="412" w:hRule="atLeast"/>
        </w:trPr>
        <w:tc>
          <w:tcPr>
            <w:tcW w:w="1991" w:type="dxa"/>
            <w:vAlign w:val="center"/>
          </w:tcPr>
          <w:p w14:paraId="1A53F230">
            <w:pPr>
              <w:jc w:val="center"/>
              <w:rPr>
                <w:rFonts w:ascii="Times New Roman"/>
                <w:sz w:val="21"/>
                <w:szCs w:val="21"/>
              </w:rPr>
            </w:pPr>
            <w:r>
              <w:rPr>
                <w:rFonts w:ascii="Times New Roman"/>
                <w:sz w:val="21"/>
                <w:szCs w:val="21"/>
              </w:rPr>
              <w:t>400.0</w:t>
            </w:r>
          </w:p>
        </w:tc>
        <w:tc>
          <w:tcPr>
            <w:tcW w:w="1150" w:type="dxa"/>
            <w:vAlign w:val="center"/>
          </w:tcPr>
          <w:p w14:paraId="0DCE18A2">
            <w:pPr>
              <w:jc w:val="center"/>
              <w:rPr>
                <w:rFonts w:ascii="Times New Roman"/>
                <w:sz w:val="21"/>
                <w:szCs w:val="21"/>
              </w:rPr>
            </w:pPr>
            <w:r>
              <w:rPr>
                <w:rFonts w:hint="eastAsia" w:ascii="Times New Roman"/>
                <w:sz w:val="21"/>
                <w:szCs w:val="21"/>
              </w:rPr>
              <w:t>3.5501</w:t>
            </w:r>
          </w:p>
        </w:tc>
        <w:tc>
          <w:tcPr>
            <w:tcW w:w="1100" w:type="dxa"/>
            <w:gridSpan w:val="2"/>
            <w:vAlign w:val="center"/>
          </w:tcPr>
          <w:p w14:paraId="330420C7">
            <w:pPr>
              <w:jc w:val="center"/>
              <w:rPr>
                <w:rFonts w:ascii="Times New Roman"/>
                <w:sz w:val="21"/>
                <w:szCs w:val="21"/>
              </w:rPr>
            </w:pPr>
            <w:r>
              <w:rPr>
                <w:rFonts w:hint="eastAsia" w:ascii="Times New Roman"/>
                <w:sz w:val="21"/>
                <w:szCs w:val="21"/>
              </w:rPr>
              <w:t>0.79</w:t>
            </w:r>
          </w:p>
        </w:tc>
        <w:tc>
          <w:tcPr>
            <w:tcW w:w="1084" w:type="dxa"/>
            <w:gridSpan w:val="2"/>
            <w:shd w:val="clear" w:color="auto" w:fill="auto"/>
            <w:vAlign w:val="center"/>
          </w:tcPr>
          <w:p w14:paraId="1BBF86E0">
            <w:pPr>
              <w:jc w:val="center"/>
              <w:rPr>
                <w:rFonts w:ascii="Times New Roman"/>
                <w:sz w:val="21"/>
                <w:szCs w:val="21"/>
              </w:rPr>
            </w:pPr>
            <w:r>
              <w:rPr>
                <w:rFonts w:hint="eastAsia" w:ascii="Times New Roman"/>
                <w:sz w:val="21"/>
                <w:szCs w:val="21"/>
              </w:rPr>
              <w:t>0.0098</w:t>
            </w:r>
          </w:p>
        </w:tc>
        <w:tc>
          <w:tcPr>
            <w:tcW w:w="1050" w:type="dxa"/>
            <w:shd w:val="clear" w:color="auto" w:fill="auto"/>
            <w:vAlign w:val="center"/>
          </w:tcPr>
          <w:p w14:paraId="44FA06E3">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7D4A45AA">
            <w:pPr>
              <w:jc w:val="center"/>
              <w:rPr>
                <w:rFonts w:ascii="Times New Roman"/>
                <w:sz w:val="21"/>
                <w:szCs w:val="21"/>
              </w:rPr>
            </w:pPr>
            <w:r>
              <w:rPr>
                <w:rFonts w:hint="eastAsia" w:ascii="Times New Roman"/>
                <w:sz w:val="21"/>
                <w:szCs w:val="21"/>
              </w:rPr>
              <w:t>1.1452</w:t>
            </w:r>
          </w:p>
        </w:tc>
        <w:tc>
          <w:tcPr>
            <w:tcW w:w="1014" w:type="dxa"/>
            <w:shd w:val="clear" w:color="auto" w:fill="auto"/>
            <w:vAlign w:val="center"/>
          </w:tcPr>
          <w:p w14:paraId="1E9E83E5">
            <w:pPr>
              <w:jc w:val="center"/>
              <w:rPr>
                <w:rFonts w:ascii="Times New Roman"/>
                <w:sz w:val="21"/>
                <w:szCs w:val="21"/>
              </w:rPr>
            </w:pPr>
            <w:r>
              <w:rPr>
                <w:rFonts w:hint="eastAsia" w:ascii="Times New Roman"/>
                <w:sz w:val="21"/>
                <w:szCs w:val="21"/>
              </w:rPr>
              <w:t xml:space="preserve">0.57 </w:t>
            </w:r>
          </w:p>
        </w:tc>
      </w:tr>
      <w:tr w14:paraId="0A8F35AA">
        <w:tblPrEx>
          <w:tblCellMar>
            <w:top w:w="0" w:type="dxa"/>
            <w:left w:w="108" w:type="dxa"/>
            <w:bottom w:w="0" w:type="dxa"/>
            <w:right w:w="108" w:type="dxa"/>
          </w:tblCellMar>
        </w:tblPrEx>
        <w:trPr>
          <w:trHeight w:val="412" w:hRule="atLeast"/>
        </w:trPr>
        <w:tc>
          <w:tcPr>
            <w:tcW w:w="1991" w:type="dxa"/>
            <w:vAlign w:val="center"/>
          </w:tcPr>
          <w:p w14:paraId="78FFEA45">
            <w:pPr>
              <w:jc w:val="center"/>
              <w:rPr>
                <w:rFonts w:ascii="Times New Roman"/>
                <w:sz w:val="21"/>
                <w:szCs w:val="21"/>
              </w:rPr>
            </w:pPr>
            <w:r>
              <w:rPr>
                <w:rFonts w:ascii="Times New Roman"/>
                <w:sz w:val="21"/>
                <w:szCs w:val="21"/>
              </w:rPr>
              <w:t>500.0</w:t>
            </w:r>
          </w:p>
        </w:tc>
        <w:tc>
          <w:tcPr>
            <w:tcW w:w="1150" w:type="dxa"/>
            <w:vAlign w:val="center"/>
          </w:tcPr>
          <w:p w14:paraId="768DFC52">
            <w:pPr>
              <w:jc w:val="center"/>
              <w:rPr>
                <w:rFonts w:ascii="Times New Roman"/>
                <w:sz w:val="21"/>
                <w:szCs w:val="21"/>
              </w:rPr>
            </w:pPr>
            <w:r>
              <w:rPr>
                <w:rFonts w:hint="eastAsia" w:ascii="Times New Roman"/>
                <w:sz w:val="21"/>
                <w:szCs w:val="21"/>
              </w:rPr>
              <w:t>2.8069</w:t>
            </w:r>
          </w:p>
        </w:tc>
        <w:tc>
          <w:tcPr>
            <w:tcW w:w="1100" w:type="dxa"/>
            <w:gridSpan w:val="2"/>
            <w:vAlign w:val="center"/>
          </w:tcPr>
          <w:p w14:paraId="5D72C475">
            <w:pPr>
              <w:jc w:val="center"/>
              <w:rPr>
                <w:rFonts w:ascii="Times New Roman"/>
                <w:sz w:val="21"/>
                <w:szCs w:val="21"/>
              </w:rPr>
            </w:pPr>
            <w:r>
              <w:rPr>
                <w:rFonts w:hint="eastAsia" w:ascii="Times New Roman"/>
                <w:sz w:val="21"/>
                <w:szCs w:val="21"/>
              </w:rPr>
              <w:t>0.62</w:t>
            </w:r>
          </w:p>
        </w:tc>
        <w:tc>
          <w:tcPr>
            <w:tcW w:w="1084" w:type="dxa"/>
            <w:gridSpan w:val="2"/>
            <w:shd w:val="clear" w:color="auto" w:fill="auto"/>
            <w:vAlign w:val="center"/>
          </w:tcPr>
          <w:p w14:paraId="0B297375">
            <w:pPr>
              <w:jc w:val="center"/>
              <w:rPr>
                <w:rFonts w:ascii="Times New Roman"/>
                <w:sz w:val="21"/>
                <w:szCs w:val="21"/>
              </w:rPr>
            </w:pPr>
            <w:r>
              <w:rPr>
                <w:rFonts w:hint="eastAsia" w:ascii="Times New Roman"/>
                <w:sz w:val="21"/>
                <w:szCs w:val="21"/>
              </w:rPr>
              <w:t>0.0077</w:t>
            </w:r>
          </w:p>
        </w:tc>
        <w:tc>
          <w:tcPr>
            <w:tcW w:w="1050" w:type="dxa"/>
            <w:shd w:val="clear" w:color="auto" w:fill="auto"/>
            <w:vAlign w:val="center"/>
          </w:tcPr>
          <w:p w14:paraId="3355EBF5">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29017025">
            <w:pPr>
              <w:jc w:val="center"/>
              <w:rPr>
                <w:rFonts w:ascii="Times New Roman"/>
                <w:sz w:val="21"/>
                <w:szCs w:val="21"/>
              </w:rPr>
            </w:pPr>
            <w:r>
              <w:rPr>
                <w:rFonts w:hint="eastAsia" w:ascii="Times New Roman"/>
                <w:sz w:val="21"/>
                <w:szCs w:val="21"/>
              </w:rPr>
              <w:t>0.9054</w:t>
            </w:r>
          </w:p>
        </w:tc>
        <w:tc>
          <w:tcPr>
            <w:tcW w:w="1014" w:type="dxa"/>
            <w:shd w:val="clear" w:color="auto" w:fill="auto"/>
            <w:vAlign w:val="center"/>
          </w:tcPr>
          <w:p w14:paraId="3280BA9F">
            <w:pPr>
              <w:jc w:val="center"/>
              <w:rPr>
                <w:rFonts w:ascii="Times New Roman"/>
                <w:sz w:val="21"/>
                <w:szCs w:val="21"/>
              </w:rPr>
            </w:pPr>
            <w:r>
              <w:rPr>
                <w:rFonts w:hint="eastAsia" w:ascii="Times New Roman"/>
                <w:sz w:val="21"/>
                <w:szCs w:val="21"/>
              </w:rPr>
              <w:t xml:space="preserve">0.45 </w:t>
            </w:r>
          </w:p>
        </w:tc>
      </w:tr>
      <w:tr w14:paraId="5F910B15">
        <w:tblPrEx>
          <w:tblCellMar>
            <w:top w:w="0" w:type="dxa"/>
            <w:left w:w="108" w:type="dxa"/>
            <w:bottom w:w="0" w:type="dxa"/>
            <w:right w:w="108" w:type="dxa"/>
          </w:tblCellMar>
        </w:tblPrEx>
        <w:trPr>
          <w:trHeight w:val="412" w:hRule="atLeast"/>
        </w:trPr>
        <w:tc>
          <w:tcPr>
            <w:tcW w:w="1991" w:type="dxa"/>
            <w:vAlign w:val="center"/>
          </w:tcPr>
          <w:p w14:paraId="04903C1A">
            <w:pPr>
              <w:jc w:val="center"/>
              <w:rPr>
                <w:rFonts w:ascii="Times New Roman"/>
                <w:sz w:val="21"/>
                <w:szCs w:val="21"/>
              </w:rPr>
            </w:pPr>
            <w:r>
              <w:rPr>
                <w:rFonts w:ascii="Times New Roman"/>
                <w:sz w:val="21"/>
                <w:szCs w:val="21"/>
              </w:rPr>
              <w:t>600.0</w:t>
            </w:r>
          </w:p>
        </w:tc>
        <w:tc>
          <w:tcPr>
            <w:tcW w:w="1150" w:type="dxa"/>
            <w:vAlign w:val="center"/>
          </w:tcPr>
          <w:p w14:paraId="26A953B2">
            <w:pPr>
              <w:jc w:val="center"/>
              <w:rPr>
                <w:rFonts w:ascii="Times New Roman"/>
                <w:sz w:val="21"/>
                <w:szCs w:val="21"/>
              </w:rPr>
            </w:pPr>
            <w:r>
              <w:rPr>
                <w:rFonts w:hint="eastAsia" w:ascii="Times New Roman"/>
                <w:sz w:val="21"/>
                <w:szCs w:val="21"/>
              </w:rPr>
              <w:t>2.2491</w:t>
            </w:r>
          </w:p>
        </w:tc>
        <w:tc>
          <w:tcPr>
            <w:tcW w:w="1100" w:type="dxa"/>
            <w:gridSpan w:val="2"/>
            <w:vAlign w:val="center"/>
          </w:tcPr>
          <w:p w14:paraId="444D027A">
            <w:pPr>
              <w:jc w:val="center"/>
              <w:rPr>
                <w:rFonts w:ascii="Times New Roman"/>
                <w:sz w:val="21"/>
                <w:szCs w:val="21"/>
              </w:rPr>
            </w:pPr>
            <w:r>
              <w:rPr>
                <w:rFonts w:hint="eastAsia" w:ascii="Times New Roman"/>
                <w:sz w:val="21"/>
                <w:szCs w:val="21"/>
              </w:rPr>
              <w:t>0.5</w:t>
            </w:r>
          </w:p>
        </w:tc>
        <w:tc>
          <w:tcPr>
            <w:tcW w:w="1084" w:type="dxa"/>
            <w:gridSpan w:val="2"/>
            <w:shd w:val="clear" w:color="auto" w:fill="auto"/>
            <w:vAlign w:val="center"/>
          </w:tcPr>
          <w:p w14:paraId="68B6821A">
            <w:pPr>
              <w:jc w:val="center"/>
              <w:rPr>
                <w:rFonts w:ascii="Times New Roman"/>
                <w:sz w:val="21"/>
                <w:szCs w:val="21"/>
              </w:rPr>
            </w:pPr>
            <w:r>
              <w:rPr>
                <w:rFonts w:hint="eastAsia" w:ascii="Times New Roman"/>
                <w:sz w:val="21"/>
                <w:szCs w:val="21"/>
              </w:rPr>
              <w:t>0.0062</w:t>
            </w:r>
          </w:p>
        </w:tc>
        <w:tc>
          <w:tcPr>
            <w:tcW w:w="1050" w:type="dxa"/>
            <w:shd w:val="clear" w:color="auto" w:fill="auto"/>
            <w:vAlign w:val="center"/>
          </w:tcPr>
          <w:p w14:paraId="75F86E9D">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1C235271">
            <w:pPr>
              <w:jc w:val="center"/>
              <w:rPr>
                <w:rFonts w:ascii="Times New Roman"/>
                <w:sz w:val="21"/>
                <w:szCs w:val="21"/>
              </w:rPr>
            </w:pPr>
            <w:r>
              <w:rPr>
                <w:rFonts w:hint="eastAsia" w:ascii="Times New Roman"/>
                <w:sz w:val="21"/>
                <w:szCs w:val="21"/>
              </w:rPr>
              <w:t>0.7255</w:t>
            </w:r>
          </w:p>
        </w:tc>
        <w:tc>
          <w:tcPr>
            <w:tcW w:w="1014" w:type="dxa"/>
            <w:shd w:val="clear" w:color="auto" w:fill="auto"/>
            <w:vAlign w:val="center"/>
          </w:tcPr>
          <w:p w14:paraId="6BDAB927">
            <w:pPr>
              <w:jc w:val="center"/>
              <w:rPr>
                <w:rFonts w:ascii="Times New Roman"/>
                <w:sz w:val="21"/>
                <w:szCs w:val="21"/>
              </w:rPr>
            </w:pPr>
            <w:r>
              <w:rPr>
                <w:rFonts w:hint="eastAsia" w:ascii="Times New Roman"/>
                <w:sz w:val="21"/>
                <w:szCs w:val="21"/>
              </w:rPr>
              <w:t xml:space="preserve">0.36 </w:t>
            </w:r>
          </w:p>
        </w:tc>
      </w:tr>
      <w:tr w14:paraId="38AE3E25">
        <w:tblPrEx>
          <w:tblCellMar>
            <w:top w:w="0" w:type="dxa"/>
            <w:left w:w="108" w:type="dxa"/>
            <w:bottom w:w="0" w:type="dxa"/>
            <w:right w:w="108" w:type="dxa"/>
          </w:tblCellMar>
        </w:tblPrEx>
        <w:trPr>
          <w:trHeight w:val="412" w:hRule="atLeast"/>
        </w:trPr>
        <w:tc>
          <w:tcPr>
            <w:tcW w:w="1991" w:type="dxa"/>
            <w:vAlign w:val="center"/>
          </w:tcPr>
          <w:p w14:paraId="4925DCFF">
            <w:pPr>
              <w:jc w:val="center"/>
              <w:rPr>
                <w:rFonts w:ascii="Times New Roman"/>
                <w:sz w:val="21"/>
                <w:szCs w:val="21"/>
              </w:rPr>
            </w:pPr>
            <w:r>
              <w:rPr>
                <w:rFonts w:ascii="Times New Roman"/>
                <w:sz w:val="21"/>
                <w:szCs w:val="21"/>
              </w:rPr>
              <w:t>700.0</w:t>
            </w:r>
          </w:p>
        </w:tc>
        <w:tc>
          <w:tcPr>
            <w:tcW w:w="1150" w:type="dxa"/>
            <w:vAlign w:val="center"/>
          </w:tcPr>
          <w:p w14:paraId="29111E43">
            <w:pPr>
              <w:jc w:val="center"/>
              <w:rPr>
                <w:rFonts w:ascii="Times New Roman"/>
                <w:sz w:val="21"/>
                <w:szCs w:val="21"/>
              </w:rPr>
            </w:pPr>
            <w:r>
              <w:rPr>
                <w:rFonts w:hint="eastAsia" w:ascii="Times New Roman"/>
                <w:sz w:val="21"/>
                <w:szCs w:val="21"/>
              </w:rPr>
              <w:t>1.8376</w:t>
            </w:r>
          </w:p>
        </w:tc>
        <w:tc>
          <w:tcPr>
            <w:tcW w:w="1100" w:type="dxa"/>
            <w:gridSpan w:val="2"/>
            <w:vAlign w:val="center"/>
          </w:tcPr>
          <w:p w14:paraId="67A3F91F">
            <w:pPr>
              <w:jc w:val="center"/>
              <w:rPr>
                <w:rFonts w:ascii="Times New Roman"/>
                <w:sz w:val="21"/>
                <w:szCs w:val="21"/>
              </w:rPr>
            </w:pPr>
            <w:r>
              <w:rPr>
                <w:rFonts w:hint="eastAsia" w:ascii="Times New Roman"/>
                <w:sz w:val="21"/>
                <w:szCs w:val="21"/>
              </w:rPr>
              <w:t>0.41</w:t>
            </w:r>
          </w:p>
        </w:tc>
        <w:tc>
          <w:tcPr>
            <w:tcW w:w="1084" w:type="dxa"/>
            <w:gridSpan w:val="2"/>
            <w:shd w:val="clear" w:color="auto" w:fill="auto"/>
            <w:vAlign w:val="center"/>
          </w:tcPr>
          <w:p w14:paraId="15B79476">
            <w:pPr>
              <w:jc w:val="center"/>
              <w:rPr>
                <w:rFonts w:ascii="Times New Roman"/>
                <w:sz w:val="21"/>
                <w:szCs w:val="21"/>
              </w:rPr>
            </w:pPr>
            <w:r>
              <w:rPr>
                <w:rFonts w:hint="eastAsia" w:ascii="Times New Roman"/>
                <w:sz w:val="21"/>
                <w:szCs w:val="21"/>
              </w:rPr>
              <w:t>0.0051</w:t>
            </w:r>
          </w:p>
        </w:tc>
        <w:tc>
          <w:tcPr>
            <w:tcW w:w="1050" w:type="dxa"/>
            <w:shd w:val="clear" w:color="auto" w:fill="auto"/>
            <w:vAlign w:val="center"/>
          </w:tcPr>
          <w:p w14:paraId="13832077">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62923739">
            <w:pPr>
              <w:jc w:val="center"/>
              <w:rPr>
                <w:rFonts w:ascii="Times New Roman"/>
                <w:sz w:val="21"/>
                <w:szCs w:val="21"/>
              </w:rPr>
            </w:pPr>
            <w:r>
              <w:rPr>
                <w:rFonts w:hint="eastAsia" w:ascii="Times New Roman"/>
                <w:sz w:val="21"/>
                <w:szCs w:val="21"/>
              </w:rPr>
              <w:t>0.5928</w:t>
            </w:r>
          </w:p>
        </w:tc>
        <w:tc>
          <w:tcPr>
            <w:tcW w:w="1014" w:type="dxa"/>
            <w:shd w:val="clear" w:color="auto" w:fill="auto"/>
            <w:vAlign w:val="center"/>
          </w:tcPr>
          <w:p w14:paraId="5B98D28E">
            <w:pPr>
              <w:jc w:val="center"/>
              <w:rPr>
                <w:rFonts w:ascii="Times New Roman"/>
                <w:sz w:val="21"/>
                <w:szCs w:val="21"/>
              </w:rPr>
            </w:pPr>
            <w:r>
              <w:rPr>
                <w:rFonts w:hint="eastAsia" w:ascii="Times New Roman"/>
                <w:sz w:val="21"/>
                <w:szCs w:val="21"/>
              </w:rPr>
              <w:t xml:space="preserve">0.30 </w:t>
            </w:r>
          </w:p>
        </w:tc>
      </w:tr>
      <w:tr w14:paraId="46E6E4D8">
        <w:tblPrEx>
          <w:tblCellMar>
            <w:top w:w="0" w:type="dxa"/>
            <w:left w:w="108" w:type="dxa"/>
            <w:bottom w:w="0" w:type="dxa"/>
            <w:right w:w="108" w:type="dxa"/>
          </w:tblCellMar>
        </w:tblPrEx>
        <w:trPr>
          <w:trHeight w:val="412" w:hRule="atLeast"/>
        </w:trPr>
        <w:tc>
          <w:tcPr>
            <w:tcW w:w="1991" w:type="dxa"/>
            <w:vAlign w:val="center"/>
          </w:tcPr>
          <w:p w14:paraId="7FE78C0F">
            <w:pPr>
              <w:jc w:val="center"/>
              <w:rPr>
                <w:rFonts w:ascii="Times New Roman"/>
                <w:sz w:val="21"/>
                <w:szCs w:val="21"/>
              </w:rPr>
            </w:pPr>
            <w:r>
              <w:rPr>
                <w:rFonts w:ascii="Times New Roman"/>
                <w:sz w:val="21"/>
                <w:szCs w:val="21"/>
              </w:rPr>
              <w:t>800.0</w:t>
            </w:r>
          </w:p>
        </w:tc>
        <w:tc>
          <w:tcPr>
            <w:tcW w:w="1150" w:type="dxa"/>
            <w:vAlign w:val="center"/>
          </w:tcPr>
          <w:p w14:paraId="6C5BFDE2">
            <w:pPr>
              <w:jc w:val="center"/>
              <w:rPr>
                <w:rFonts w:ascii="Times New Roman"/>
                <w:sz w:val="21"/>
                <w:szCs w:val="21"/>
              </w:rPr>
            </w:pPr>
            <w:r>
              <w:rPr>
                <w:rFonts w:hint="eastAsia" w:ascii="Times New Roman"/>
                <w:sz w:val="21"/>
                <w:szCs w:val="21"/>
              </w:rPr>
              <w:t>1.5301</w:t>
            </w:r>
          </w:p>
        </w:tc>
        <w:tc>
          <w:tcPr>
            <w:tcW w:w="1100" w:type="dxa"/>
            <w:gridSpan w:val="2"/>
            <w:vAlign w:val="center"/>
          </w:tcPr>
          <w:p w14:paraId="67FCE0F7">
            <w:pPr>
              <w:jc w:val="center"/>
              <w:rPr>
                <w:rFonts w:ascii="Times New Roman"/>
                <w:sz w:val="21"/>
                <w:szCs w:val="21"/>
              </w:rPr>
            </w:pPr>
            <w:r>
              <w:rPr>
                <w:rFonts w:hint="eastAsia" w:ascii="Times New Roman"/>
                <w:sz w:val="21"/>
                <w:szCs w:val="21"/>
              </w:rPr>
              <w:t>0.34</w:t>
            </w:r>
          </w:p>
        </w:tc>
        <w:tc>
          <w:tcPr>
            <w:tcW w:w="1084" w:type="dxa"/>
            <w:gridSpan w:val="2"/>
            <w:shd w:val="clear" w:color="auto" w:fill="auto"/>
            <w:vAlign w:val="center"/>
          </w:tcPr>
          <w:p w14:paraId="0DE9A894">
            <w:pPr>
              <w:jc w:val="center"/>
              <w:rPr>
                <w:rFonts w:ascii="Times New Roman"/>
                <w:sz w:val="21"/>
                <w:szCs w:val="21"/>
              </w:rPr>
            </w:pPr>
            <w:r>
              <w:rPr>
                <w:rFonts w:hint="eastAsia" w:ascii="Times New Roman"/>
                <w:sz w:val="21"/>
                <w:szCs w:val="21"/>
              </w:rPr>
              <w:t>0.0042</w:t>
            </w:r>
          </w:p>
        </w:tc>
        <w:tc>
          <w:tcPr>
            <w:tcW w:w="1050" w:type="dxa"/>
            <w:shd w:val="clear" w:color="auto" w:fill="auto"/>
            <w:vAlign w:val="center"/>
          </w:tcPr>
          <w:p w14:paraId="5FBB01C2">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05B75976">
            <w:pPr>
              <w:jc w:val="center"/>
              <w:rPr>
                <w:rFonts w:ascii="Times New Roman"/>
                <w:sz w:val="21"/>
                <w:szCs w:val="21"/>
              </w:rPr>
            </w:pPr>
            <w:r>
              <w:rPr>
                <w:rFonts w:hint="eastAsia" w:ascii="Times New Roman"/>
                <w:sz w:val="21"/>
                <w:szCs w:val="21"/>
              </w:rPr>
              <w:t>0.4936</w:t>
            </w:r>
          </w:p>
        </w:tc>
        <w:tc>
          <w:tcPr>
            <w:tcW w:w="1014" w:type="dxa"/>
            <w:shd w:val="clear" w:color="auto" w:fill="auto"/>
            <w:vAlign w:val="center"/>
          </w:tcPr>
          <w:p w14:paraId="7DC0CE1F">
            <w:pPr>
              <w:jc w:val="center"/>
              <w:rPr>
                <w:rFonts w:ascii="Times New Roman"/>
                <w:sz w:val="21"/>
                <w:szCs w:val="21"/>
              </w:rPr>
            </w:pPr>
            <w:r>
              <w:rPr>
                <w:rFonts w:hint="eastAsia" w:ascii="Times New Roman"/>
                <w:sz w:val="21"/>
                <w:szCs w:val="21"/>
              </w:rPr>
              <w:t xml:space="preserve">0.25 </w:t>
            </w:r>
          </w:p>
        </w:tc>
      </w:tr>
      <w:tr w14:paraId="3F3CD2CA">
        <w:tblPrEx>
          <w:tblCellMar>
            <w:top w:w="0" w:type="dxa"/>
            <w:left w:w="108" w:type="dxa"/>
            <w:bottom w:w="0" w:type="dxa"/>
            <w:right w:w="108" w:type="dxa"/>
          </w:tblCellMar>
        </w:tblPrEx>
        <w:trPr>
          <w:trHeight w:val="412" w:hRule="atLeast"/>
        </w:trPr>
        <w:tc>
          <w:tcPr>
            <w:tcW w:w="1991" w:type="dxa"/>
            <w:vAlign w:val="center"/>
          </w:tcPr>
          <w:p w14:paraId="5D7DAEC2">
            <w:pPr>
              <w:jc w:val="center"/>
              <w:rPr>
                <w:rFonts w:ascii="Times New Roman"/>
                <w:sz w:val="21"/>
                <w:szCs w:val="21"/>
              </w:rPr>
            </w:pPr>
            <w:r>
              <w:rPr>
                <w:rFonts w:ascii="Times New Roman"/>
                <w:sz w:val="21"/>
                <w:szCs w:val="21"/>
              </w:rPr>
              <w:t>900.0</w:t>
            </w:r>
          </w:p>
        </w:tc>
        <w:tc>
          <w:tcPr>
            <w:tcW w:w="1150" w:type="dxa"/>
            <w:vAlign w:val="center"/>
          </w:tcPr>
          <w:p w14:paraId="744126D1">
            <w:pPr>
              <w:jc w:val="center"/>
              <w:rPr>
                <w:rFonts w:ascii="Times New Roman"/>
                <w:sz w:val="21"/>
                <w:szCs w:val="21"/>
              </w:rPr>
            </w:pPr>
            <w:r>
              <w:rPr>
                <w:rFonts w:hint="eastAsia" w:ascii="Times New Roman"/>
                <w:sz w:val="21"/>
                <w:szCs w:val="21"/>
              </w:rPr>
              <w:t>1.3683</w:t>
            </w:r>
          </w:p>
        </w:tc>
        <w:tc>
          <w:tcPr>
            <w:tcW w:w="1100" w:type="dxa"/>
            <w:gridSpan w:val="2"/>
            <w:vAlign w:val="center"/>
          </w:tcPr>
          <w:p w14:paraId="7BCF4D2E">
            <w:pPr>
              <w:jc w:val="center"/>
              <w:rPr>
                <w:rFonts w:ascii="Times New Roman"/>
                <w:sz w:val="21"/>
                <w:szCs w:val="21"/>
              </w:rPr>
            </w:pPr>
            <w:r>
              <w:rPr>
                <w:rFonts w:hint="eastAsia" w:ascii="Times New Roman"/>
                <w:sz w:val="21"/>
                <w:szCs w:val="21"/>
              </w:rPr>
              <w:t>0.3</w:t>
            </w:r>
          </w:p>
        </w:tc>
        <w:tc>
          <w:tcPr>
            <w:tcW w:w="1084" w:type="dxa"/>
            <w:gridSpan w:val="2"/>
            <w:shd w:val="clear" w:color="auto" w:fill="auto"/>
            <w:vAlign w:val="center"/>
          </w:tcPr>
          <w:p w14:paraId="7097A69C">
            <w:pPr>
              <w:jc w:val="center"/>
              <w:rPr>
                <w:rFonts w:ascii="Times New Roman"/>
                <w:sz w:val="21"/>
                <w:szCs w:val="21"/>
              </w:rPr>
            </w:pPr>
            <w:r>
              <w:rPr>
                <w:rFonts w:hint="eastAsia" w:ascii="Times New Roman"/>
                <w:sz w:val="21"/>
                <w:szCs w:val="21"/>
              </w:rPr>
              <w:t>0.0038</w:t>
            </w:r>
          </w:p>
        </w:tc>
        <w:tc>
          <w:tcPr>
            <w:tcW w:w="1050" w:type="dxa"/>
            <w:shd w:val="clear" w:color="auto" w:fill="auto"/>
            <w:vAlign w:val="center"/>
          </w:tcPr>
          <w:p w14:paraId="6C970B68">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728D0621">
            <w:pPr>
              <w:jc w:val="center"/>
              <w:rPr>
                <w:rFonts w:ascii="Times New Roman"/>
                <w:sz w:val="21"/>
                <w:szCs w:val="21"/>
              </w:rPr>
            </w:pPr>
            <w:r>
              <w:rPr>
                <w:rFonts w:hint="eastAsia" w:ascii="Times New Roman"/>
                <w:sz w:val="21"/>
                <w:szCs w:val="21"/>
              </w:rPr>
              <w:t>0.4414</w:t>
            </w:r>
          </w:p>
        </w:tc>
        <w:tc>
          <w:tcPr>
            <w:tcW w:w="1014" w:type="dxa"/>
            <w:shd w:val="clear" w:color="auto" w:fill="auto"/>
            <w:vAlign w:val="center"/>
          </w:tcPr>
          <w:p w14:paraId="53F5B44F">
            <w:pPr>
              <w:jc w:val="center"/>
              <w:rPr>
                <w:rFonts w:ascii="Times New Roman"/>
                <w:sz w:val="21"/>
                <w:szCs w:val="21"/>
              </w:rPr>
            </w:pPr>
            <w:r>
              <w:rPr>
                <w:rFonts w:hint="eastAsia" w:ascii="Times New Roman"/>
                <w:sz w:val="21"/>
                <w:szCs w:val="21"/>
              </w:rPr>
              <w:t xml:space="preserve">0.22 </w:t>
            </w:r>
          </w:p>
        </w:tc>
      </w:tr>
      <w:tr w14:paraId="2E194FEF">
        <w:tblPrEx>
          <w:tblCellMar>
            <w:top w:w="0" w:type="dxa"/>
            <w:left w:w="108" w:type="dxa"/>
            <w:bottom w:w="0" w:type="dxa"/>
            <w:right w:w="108" w:type="dxa"/>
          </w:tblCellMar>
        </w:tblPrEx>
        <w:trPr>
          <w:trHeight w:val="412" w:hRule="atLeast"/>
        </w:trPr>
        <w:tc>
          <w:tcPr>
            <w:tcW w:w="1991" w:type="dxa"/>
            <w:vAlign w:val="center"/>
          </w:tcPr>
          <w:p w14:paraId="45936A0A">
            <w:pPr>
              <w:jc w:val="center"/>
              <w:rPr>
                <w:rFonts w:ascii="Times New Roman"/>
                <w:sz w:val="21"/>
                <w:szCs w:val="21"/>
              </w:rPr>
            </w:pPr>
            <w:r>
              <w:rPr>
                <w:rFonts w:ascii="Times New Roman"/>
                <w:sz w:val="21"/>
                <w:szCs w:val="21"/>
              </w:rPr>
              <w:t>1000.0</w:t>
            </w:r>
          </w:p>
        </w:tc>
        <w:tc>
          <w:tcPr>
            <w:tcW w:w="1150" w:type="dxa"/>
            <w:vAlign w:val="center"/>
          </w:tcPr>
          <w:p w14:paraId="16C82C4E">
            <w:pPr>
              <w:jc w:val="center"/>
              <w:rPr>
                <w:rFonts w:ascii="Times New Roman"/>
                <w:sz w:val="21"/>
                <w:szCs w:val="21"/>
              </w:rPr>
            </w:pPr>
            <w:r>
              <w:rPr>
                <w:rFonts w:hint="eastAsia" w:ascii="Times New Roman"/>
                <w:sz w:val="21"/>
                <w:szCs w:val="21"/>
              </w:rPr>
              <w:t>1.3094</w:t>
            </w:r>
          </w:p>
        </w:tc>
        <w:tc>
          <w:tcPr>
            <w:tcW w:w="1100" w:type="dxa"/>
            <w:gridSpan w:val="2"/>
            <w:vAlign w:val="center"/>
          </w:tcPr>
          <w:p w14:paraId="7CA363F6">
            <w:pPr>
              <w:jc w:val="center"/>
              <w:rPr>
                <w:rFonts w:ascii="Times New Roman"/>
                <w:sz w:val="21"/>
                <w:szCs w:val="21"/>
              </w:rPr>
            </w:pPr>
            <w:r>
              <w:rPr>
                <w:rFonts w:hint="eastAsia" w:ascii="Times New Roman"/>
                <w:sz w:val="21"/>
                <w:szCs w:val="21"/>
              </w:rPr>
              <w:t>0.29</w:t>
            </w:r>
          </w:p>
        </w:tc>
        <w:tc>
          <w:tcPr>
            <w:tcW w:w="1084" w:type="dxa"/>
            <w:gridSpan w:val="2"/>
            <w:shd w:val="clear" w:color="auto" w:fill="auto"/>
            <w:vAlign w:val="center"/>
          </w:tcPr>
          <w:p w14:paraId="1A39BE64">
            <w:pPr>
              <w:jc w:val="center"/>
              <w:rPr>
                <w:rFonts w:ascii="Times New Roman"/>
                <w:sz w:val="21"/>
                <w:szCs w:val="21"/>
              </w:rPr>
            </w:pPr>
            <w:r>
              <w:rPr>
                <w:rFonts w:hint="eastAsia" w:ascii="Times New Roman"/>
                <w:sz w:val="21"/>
                <w:szCs w:val="21"/>
              </w:rPr>
              <w:t>0.0036</w:t>
            </w:r>
          </w:p>
        </w:tc>
        <w:tc>
          <w:tcPr>
            <w:tcW w:w="1050" w:type="dxa"/>
            <w:shd w:val="clear" w:color="auto" w:fill="auto"/>
            <w:vAlign w:val="center"/>
          </w:tcPr>
          <w:p w14:paraId="79835010">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449A4F12">
            <w:pPr>
              <w:jc w:val="center"/>
              <w:rPr>
                <w:rFonts w:ascii="Times New Roman"/>
                <w:sz w:val="21"/>
                <w:szCs w:val="21"/>
              </w:rPr>
            </w:pPr>
            <w:r>
              <w:rPr>
                <w:rFonts w:hint="eastAsia" w:ascii="Times New Roman"/>
                <w:sz w:val="21"/>
                <w:szCs w:val="21"/>
              </w:rPr>
              <w:t>0.4224</w:t>
            </w:r>
          </w:p>
        </w:tc>
        <w:tc>
          <w:tcPr>
            <w:tcW w:w="1014" w:type="dxa"/>
            <w:shd w:val="clear" w:color="auto" w:fill="auto"/>
            <w:vAlign w:val="center"/>
          </w:tcPr>
          <w:p w14:paraId="5592E4D3">
            <w:pPr>
              <w:jc w:val="center"/>
              <w:rPr>
                <w:rFonts w:ascii="Times New Roman"/>
                <w:sz w:val="21"/>
                <w:szCs w:val="21"/>
              </w:rPr>
            </w:pPr>
            <w:r>
              <w:rPr>
                <w:rFonts w:hint="eastAsia" w:ascii="Times New Roman"/>
                <w:sz w:val="21"/>
                <w:szCs w:val="21"/>
              </w:rPr>
              <w:t xml:space="preserve">0.21 </w:t>
            </w:r>
          </w:p>
        </w:tc>
      </w:tr>
      <w:tr w14:paraId="2BA2164C">
        <w:tblPrEx>
          <w:tblCellMar>
            <w:top w:w="0" w:type="dxa"/>
            <w:left w:w="108" w:type="dxa"/>
            <w:bottom w:w="0" w:type="dxa"/>
            <w:right w:w="108" w:type="dxa"/>
          </w:tblCellMar>
        </w:tblPrEx>
        <w:trPr>
          <w:trHeight w:val="412" w:hRule="atLeast"/>
        </w:trPr>
        <w:tc>
          <w:tcPr>
            <w:tcW w:w="1991" w:type="dxa"/>
            <w:vAlign w:val="center"/>
          </w:tcPr>
          <w:p w14:paraId="0F5E9A46">
            <w:pPr>
              <w:jc w:val="center"/>
              <w:rPr>
                <w:rFonts w:ascii="Times New Roman"/>
                <w:sz w:val="21"/>
                <w:szCs w:val="21"/>
              </w:rPr>
            </w:pPr>
            <w:r>
              <w:rPr>
                <w:rFonts w:ascii="Times New Roman"/>
                <w:sz w:val="21"/>
                <w:szCs w:val="21"/>
              </w:rPr>
              <w:t>1200.0</w:t>
            </w:r>
          </w:p>
        </w:tc>
        <w:tc>
          <w:tcPr>
            <w:tcW w:w="1150" w:type="dxa"/>
            <w:vAlign w:val="center"/>
          </w:tcPr>
          <w:p w14:paraId="40554B87">
            <w:pPr>
              <w:jc w:val="center"/>
              <w:rPr>
                <w:rFonts w:ascii="Times New Roman"/>
                <w:sz w:val="21"/>
                <w:szCs w:val="21"/>
              </w:rPr>
            </w:pPr>
            <w:r>
              <w:rPr>
                <w:rFonts w:hint="eastAsia" w:ascii="Times New Roman"/>
                <w:sz w:val="21"/>
                <w:szCs w:val="21"/>
              </w:rPr>
              <w:t>1.1871</w:t>
            </w:r>
          </w:p>
        </w:tc>
        <w:tc>
          <w:tcPr>
            <w:tcW w:w="1100" w:type="dxa"/>
            <w:gridSpan w:val="2"/>
            <w:vAlign w:val="center"/>
          </w:tcPr>
          <w:p w14:paraId="66232D82">
            <w:pPr>
              <w:jc w:val="center"/>
              <w:rPr>
                <w:rFonts w:ascii="Times New Roman"/>
                <w:sz w:val="21"/>
                <w:szCs w:val="21"/>
              </w:rPr>
            </w:pPr>
            <w:r>
              <w:rPr>
                <w:rFonts w:hint="eastAsia" w:ascii="Times New Roman"/>
                <w:sz w:val="21"/>
                <w:szCs w:val="21"/>
              </w:rPr>
              <w:t>0.26</w:t>
            </w:r>
          </w:p>
        </w:tc>
        <w:tc>
          <w:tcPr>
            <w:tcW w:w="1084" w:type="dxa"/>
            <w:gridSpan w:val="2"/>
            <w:shd w:val="clear" w:color="auto" w:fill="auto"/>
            <w:vAlign w:val="center"/>
          </w:tcPr>
          <w:p w14:paraId="077485D1">
            <w:pPr>
              <w:jc w:val="center"/>
              <w:rPr>
                <w:rFonts w:ascii="Times New Roman"/>
                <w:sz w:val="21"/>
                <w:szCs w:val="21"/>
              </w:rPr>
            </w:pPr>
            <w:r>
              <w:rPr>
                <w:rFonts w:hint="eastAsia" w:ascii="Times New Roman"/>
                <w:sz w:val="21"/>
                <w:szCs w:val="21"/>
              </w:rPr>
              <w:t>0.0033</w:t>
            </w:r>
          </w:p>
        </w:tc>
        <w:tc>
          <w:tcPr>
            <w:tcW w:w="1050" w:type="dxa"/>
            <w:shd w:val="clear" w:color="auto" w:fill="auto"/>
            <w:vAlign w:val="center"/>
          </w:tcPr>
          <w:p w14:paraId="63AF1153">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377B1573">
            <w:pPr>
              <w:jc w:val="center"/>
              <w:rPr>
                <w:rFonts w:ascii="Times New Roman"/>
                <w:sz w:val="21"/>
                <w:szCs w:val="21"/>
              </w:rPr>
            </w:pPr>
            <w:r>
              <w:rPr>
                <w:rFonts w:hint="eastAsia" w:ascii="Times New Roman"/>
                <w:sz w:val="21"/>
                <w:szCs w:val="21"/>
              </w:rPr>
              <w:t>0.3829</w:t>
            </w:r>
          </w:p>
        </w:tc>
        <w:tc>
          <w:tcPr>
            <w:tcW w:w="1014" w:type="dxa"/>
            <w:shd w:val="clear" w:color="auto" w:fill="auto"/>
            <w:vAlign w:val="center"/>
          </w:tcPr>
          <w:p w14:paraId="0E230E98">
            <w:pPr>
              <w:jc w:val="center"/>
              <w:rPr>
                <w:rFonts w:ascii="Times New Roman"/>
                <w:sz w:val="21"/>
                <w:szCs w:val="21"/>
              </w:rPr>
            </w:pPr>
            <w:r>
              <w:rPr>
                <w:rFonts w:hint="eastAsia" w:ascii="Times New Roman"/>
                <w:sz w:val="21"/>
                <w:szCs w:val="21"/>
              </w:rPr>
              <w:t xml:space="preserve">0.19 </w:t>
            </w:r>
          </w:p>
        </w:tc>
      </w:tr>
      <w:tr w14:paraId="5E89EFFA">
        <w:tblPrEx>
          <w:tblCellMar>
            <w:top w:w="0" w:type="dxa"/>
            <w:left w:w="108" w:type="dxa"/>
            <w:bottom w:w="0" w:type="dxa"/>
            <w:right w:w="108" w:type="dxa"/>
          </w:tblCellMar>
        </w:tblPrEx>
        <w:trPr>
          <w:trHeight w:val="412" w:hRule="atLeast"/>
        </w:trPr>
        <w:tc>
          <w:tcPr>
            <w:tcW w:w="1991" w:type="dxa"/>
            <w:vAlign w:val="center"/>
          </w:tcPr>
          <w:p w14:paraId="1481DEE2">
            <w:pPr>
              <w:jc w:val="center"/>
              <w:rPr>
                <w:rFonts w:ascii="Times New Roman"/>
                <w:sz w:val="21"/>
                <w:szCs w:val="21"/>
              </w:rPr>
            </w:pPr>
            <w:r>
              <w:rPr>
                <w:rFonts w:ascii="Times New Roman"/>
                <w:sz w:val="21"/>
                <w:szCs w:val="21"/>
              </w:rPr>
              <w:t>1400.0</w:t>
            </w:r>
          </w:p>
        </w:tc>
        <w:tc>
          <w:tcPr>
            <w:tcW w:w="1150" w:type="dxa"/>
            <w:vAlign w:val="center"/>
          </w:tcPr>
          <w:p w14:paraId="7E408DA5">
            <w:pPr>
              <w:jc w:val="center"/>
              <w:rPr>
                <w:rFonts w:ascii="Times New Roman"/>
                <w:sz w:val="21"/>
                <w:szCs w:val="21"/>
              </w:rPr>
            </w:pPr>
            <w:r>
              <w:rPr>
                <w:rFonts w:hint="eastAsia" w:ascii="Times New Roman"/>
                <w:sz w:val="21"/>
                <w:szCs w:val="21"/>
              </w:rPr>
              <w:t>1.166</w:t>
            </w:r>
          </w:p>
        </w:tc>
        <w:tc>
          <w:tcPr>
            <w:tcW w:w="1100" w:type="dxa"/>
            <w:gridSpan w:val="2"/>
            <w:vAlign w:val="center"/>
          </w:tcPr>
          <w:p w14:paraId="0C075898">
            <w:pPr>
              <w:jc w:val="center"/>
              <w:rPr>
                <w:rFonts w:ascii="Times New Roman"/>
                <w:sz w:val="21"/>
                <w:szCs w:val="21"/>
              </w:rPr>
            </w:pPr>
            <w:r>
              <w:rPr>
                <w:rFonts w:hint="eastAsia" w:ascii="Times New Roman"/>
                <w:sz w:val="21"/>
                <w:szCs w:val="21"/>
              </w:rPr>
              <w:t>0.26</w:t>
            </w:r>
          </w:p>
        </w:tc>
        <w:tc>
          <w:tcPr>
            <w:tcW w:w="1084" w:type="dxa"/>
            <w:gridSpan w:val="2"/>
            <w:shd w:val="clear" w:color="auto" w:fill="auto"/>
            <w:vAlign w:val="center"/>
          </w:tcPr>
          <w:p w14:paraId="4E379D20">
            <w:pPr>
              <w:jc w:val="center"/>
              <w:rPr>
                <w:rFonts w:ascii="Times New Roman"/>
                <w:sz w:val="21"/>
                <w:szCs w:val="21"/>
              </w:rPr>
            </w:pPr>
            <w:r>
              <w:rPr>
                <w:rFonts w:hint="eastAsia" w:ascii="Times New Roman"/>
                <w:sz w:val="21"/>
                <w:szCs w:val="21"/>
              </w:rPr>
              <w:t>0.0032</w:t>
            </w:r>
          </w:p>
        </w:tc>
        <w:tc>
          <w:tcPr>
            <w:tcW w:w="1050" w:type="dxa"/>
            <w:shd w:val="clear" w:color="auto" w:fill="auto"/>
            <w:vAlign w:val="center"/>
          </w:tcPr>
          <w:p w14:paraId="2866D534">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2EB7777E">
            <w:pPr>
              <w:jc w:val="center"/>
              <w:rPr>
                <w:rFonts w:ascii="Times New Roman"/>
                <w:sz w:val="21"/>
                <w:szCs w:val="21"/>
              </w:rPr>
            </w:pPr>
            <w:r>
              <w:rPr>
                <w:rFonts w:hint="eastAsia" w:ascii="Times New Roman"/>
                <w:sz w:val="21"/>
                <w:szCs w:val="21"/>
              </w:rPr>
              <w:t>0.3761</w:t>
            </w:r>
          </w:p>
        </w:tc>
        <w:tc>
          <w:tcPr>
            <w:tcW w:w="1014" w:type="dxa"/>
            <w:shd w:val="clear" w:color="auto" w:fill="auto"/>
            <w:vAlign w:val="center"/>
          </w:tcPr>
          <w:p w14:paraId="3712B249">
            <w:pPr>
              <w:jc w:val="center"/>
              <w:rPr>
                <w:rFonts w:ascii="Times New Roman"/>
                <w:sz w:val="21"/>
                <w:szCs w:val="21"/>
              </w:rPr>
            </w:pPr>
            <w:r>
              <w:rPr>
                <w:rFonts w:hint="eastAsia" w:ascii="Times New Roman"/>
                <w:sz w:val="21"/>
                <w:szCs w:val="21"/>
              </w:rPr>
              <w:t xml:space="preserve">0.19 </w:t>
            </w:r>
          </w:p>
        </w:tc>
      </w:tr>
      <w:tr w14:paraId="01C3495E">
        <w:tblPrEx>
          <w:tblCellMar>
            <w:top w:w="0" w:type="dxa"/>
            <w:left w:w="108" w:type="dxa"/>
            <w:bottom w:w="0" w:type="dxa"/>
            <w:right w:w="108" w:type="dxa"/>
          </w:tblCellMar>
        </w:tblPrEx>
        <w:trPr>
          <w:trHeight w:val="412" w:hRule="atLeast"/>
        </w:trPr>
        <w:tc>
          <w:tcPr>
            <w:tcW w:w="1991" w:type="dxa"/>
            <w:vAlign w:val="center"/>
          </w:tcPr>
          <w:p w14:paraId="4802155F">
            <w:pPr>
              <w:jc w:val="center"/>
              <w:rPr>
                <w:rFonts w:ascii="Times New Roman"/>
                <w:sz w:val="21"/>
                <w:szCs w:val="21"/>
              </w:rPr>
            </w:pPr>
            <w:r>
              <w:rPr>
                <w:rFonts w:ascii="Times New Roman"/>
                <w:sz w:val="21"/>
                <w:szCs w:val="21"/>
              </w:rPr>
              <w:t>1600.0</w:t>
            </w:r>
          </w:p>
        </w:tc>
        <w:tc>
          <w:tcPr>
            <w:tcW w:w="1150" w:type="dxa"/>
            <w:vAlign w:val="center"/>
          </w:tcPr>
          <w:p w14:paraId="796F80FD">
            <w:pPr>
              <w:jc w:val="center"/>
              <w:rPr>
                <w:rFonts w:ascii="Times New Roman"/>
                <w:sz w:val="21"/>
                <w:szCs w:val="21"/>
              </w:rPr>
            </w:pPr>
            <w:r>
              <w:rPr>
                <w:rFonts w:hint="eastAsia" w:ascii="Times New Roman"/>
                <w:sz w:val="21"/>
                <w:szCs w:val="21"/>
              </w:rPr>
              <w:t>1.1866</w:t>
            </w:r>
          </w:p>
        </w:tc>
        <w:tc>
          <w:tcPr>
            <w:tcW w:w="1100" w:type="dxa"/>
            <w:gridSpan w:val="2"/>
            <w:vAlign w:val="center"/>
          </w:tcPr>
          <w:p w14:paraId="42C191FF">
            <w:pPr>
              <w:jc w:val="center"/>
              <w:rPr>
                <w:rFonts w:ascii="Times New Roman"/>
                <w:sz w:val="21"/>
                <w:szCs w:val="21"/>
              </w:rPr>
            </w:pPr>
            <w:r>
              <w:rPr>
                <w:rFonts w:hint="eastAsia" w:ascii="Times New Roman"/>
                <w:sz w:val="21"/>
                <w:szCs w:val="21"/>
              </w:rPr>
              <w:t>0.26</w:t>
            </w:r>
          </w:p>
        </w:tc>
        <w:tc>
          <w:tcPr>
            <w:tcW w:w="1084" w:type="dxa"/>
            <w:gridSpan w:val="2"/>
            <w:shd w:val="clear" w:color="auto" w:fill="auto"/>
            <w:vAlign w:val="center"/>
          </w:tcPr>
          <w:p w14:paraId="1D7F4AA1">
            <w:pPr>
              <w:jc w:val="center"/>
              <w:rPr>
                <w:rFonts w:ascii="Times New Roman"/>
                <w:sz w:val="21"/>
                <w:szCs w:val="21"/>
              </w:rPr>
            </w:pPr>
            <w:r>
              <w:rPr>
                <w:rFonts w:hint="eastAsia" w:ascii="Times New Roman"/>
                <w:sz w:val="21"/>
                <w:szCs w:val="21"/>
              </w:rPr>
              <w:t>0.0033</w:t>
            </w:r>
          </w:p>
        </w:tc>
        <w:tc>
          <w:tcPr>
            <w:tcW w:w="1050" w:type="dxa"/>
            <w:shd w:val="clear" w:color="auto" w:fill="auto"/>
            <w:vAlign w:val="center"/>
          </w:tcPr>
          <w:p w14:paraId="5F8AC1BF">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594B4D38">
            <w:pPr>
              <w:jc w:val="center"/>
              <w:rPr>
                <w:rFonts w:ascii="Times New Roman"/>
                <w:sz w:val="21"/>
                <w:szCs w:val="21"/>
              </w:rPr>
            </w:pPr>
            <w:r>
              <w:rPr>
                <w:rFonts w:hint="eastAsia" w:ascii="Times New Roman"/>
                <w:sz w:val="21"/>
                <w:szCs w:val="21"/>
              </w:rPr>
              <w:t>0.3828</w:t>
            </w:r>
          </w:p>
        </w:tc>
        <w:tc>
          <w:tcPr>
            <w:tcW w:w="1014" w:type="dxa"/>
            <w:shd w:val="clear" w:color="auto" w:fill="auto"/>
            <w:vAlign w:val="center"/>
          </w:tcPr>
          <w:p w14:paraId="6E5F8BF0">
            <w:pPr>
              <w:jc w:val="center"/>
              <w:rPr>
                <w:rFonts w:ascii="Times New Roman"/>
                <w:sz w:val="21"/>
                <w:szCs w:val="21"/>
              </w:rPr>
            </w:pPr>
            <w:r>
              <w:rPr>
                <w:rFonts w:hint="eastAsia" w:ascii="Times New Roman"/>
                <w:sz w:val="21"/>
                <w:szCs w:val="21"/>
              </w:rPr>
              <w:t xml:space="preserve">0.19 </w:t>
            </w:r>
          </w:p>
        </w:tc>
      </w:tr>
      <w:tr w14:paraId="283ED177">
        <w:tblPrEx>
          <w:tblCellMar>
            <w:top w:w="0" w:type="dxa"/>
            <w:left w:w="108" w:type="dxa"/>
            <w:bottom w:w="0" w:type="dxa"/>
            <w:right w:w="108" w:type="dxa"/>
          </w:tblCellMar>
        </w:tblPrEx>
        <w:trPr>
          <w:trHeight w:val="412" w:hRule="atLeast"/>
        </w:trPr>
        <w:tc>
          <w:tcPr>
            <w:tcW w:w="1991" w:type="dxa"/>
            <w:vAlign w:val="center"/>
          </w:tcPr>
          <w:p w14:paraId="1FDE3F57">
            <w:pPr>
              <w:jc w:val="center"/>
              <w:rPr>
                <w:rFonts w:ascii="Times New Roman"/>
                <w:sz w:val="21"/>
                <w:szCs w:val="21"/>
              </w:rPr>
            </w:pPr>
            <w:r>
              <w:rPr>
                <w:rFonts w:ascii="Times New Roman"/>
                <w:sz w:val="21"/>
                <w:szCs w:val="21"/>
              </w:rPr>
              <w:t>1800.0</w:t>
            </w:r>
          </w:p>
        </w:tc>
        <w:tc>
          <w:tcPr>
            <w:tcW w:w="1150" w:type="dxa"/>
            <w:vAlign w:val="center"/>
          </w:tcPr>
          <w:p w14:paraId="1AEE144B">
            <w:pPr>
              <w:jc w:val="center"/>
              <w:rPr>
                <w:rFonts w:ascii="Times New Roman"/>
                <w:sz w:val="21"/>
                <w:szCs w:val="21"/>
              </w:rPr>
            </w:pPr>
            <w:r>
              <w:rPr>
                <w:rFonts w:hint="eastAsia" w:ascii="Times New Roman"/>
                <w:sz w:val="21"/>
                <w:szCs w:val="21"/>
              </w:rPr>
              <w:t>1.1794</w:t>
            </w:r>
          </w:p>
        </w:tc>
        <w:tc>
          <w:tcPr>
            <w:tcW w:w="1100" w:type="dxa"/>
            <w:gridSpan w:val="2"/>
            <w:vAlign w:val="center"/>
          </w:tcPr>
          <w:p w14:paraId="19967D79">
            <w:pPr>
              <w:jc w:val="center"/>
              <w:rPr>
                <w:rFonts w:ascii="Times New Roman"/>
                <w:sz w:val="21"/>
                <w:szCs w:val="21"/>
              </w:rPr>
            </w:pPr>
            <w:r>
              <w:rPr>
                <w:rFonts w:hint="eastAsia" w:ascii="Times New Roman"/>
                <w:sz w:val="21"/>
                <w:szCs w:val="21"/>
              </w:rPr>
              <w:t>0.26</w:t>
            </w:r>
          </w:p>
        </w:tc>
        <w:tc>
          <w:tcPr>
            <w:tcW w:w="1084" w:type="dxa"/>
            <w:gridSpan w:val="2"/>
            <w:shd w:val="clear" w:color="auto" w:fill="auto"/>
            <w:vAlign w:val="center"/>
          </w:tcPr>
          <w:p w14:paraId="13194520">
            <w:pPr>
              <w:jc w:val="center"/>
              <w:rPr>
                <w:rFonts w:ascii="Times New Roman"/>
                <w:sz w:val="21"/>
                <w:szCs w:val="21"/>
              </w:rPr>
            </w:pPr>
            <w:r>
              <w:rPr>
                <w:rFonts w:hint="eastAsia" w:ascii="Times New Roman"/>
                <w:sz w:val="21"/>
                <w:szCs w:val="21"/>
              </w:rPr>
              <w:t>0.0032</w:t>
            </w:r>
          </w:p>
        </w:tc>
        <w:tc>
          <w:tcPr>
            <w:tcW w:w="1050" w:type="dxa"/>
            <w:shd w:val="clear" w:color="auto" w:fill="auto"/>
            <w:vAlign w:val="center"/>
          </w:tcPr>
          <w:p w14:paraId="13C95953">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4EBF5F33">
            <w:pPr>
              <w:jc w:val="center"/>
              <w:rPr>
                <w:rFonts w:ascii="Times New Roman"/>
                <w:sz w:val="21"/>
                <w:szCs w:val="21"/>
              </w:rPr>
            </w:pPr>
            <w:r>
              <w:rPr>
                <w:rFonts w:hint="eastAsia" w:ascii="Times New Roman"/>
                <w:sz w:val="21"/>
                <w:szCs w:val="21"/>
              </w:rPr>
              <w:t>0.3804</w:t>
            </w:r>
          </w:p>
        </w:tc>
        <w:tc>
          <w:tcPr>
            <w:tcW w:w="1014" w:type="dxa"/>
            <w:shd w:val="clear" w:color="auto" w:fill="auto"/>
            <w:vAlign w:val="center"/>
          </w:tcPr>
          <w:p w14:paraId="24B7F705">
            <w:pPr>
              <w:jc w:val="center"/>
              <w:rPr>
                <w:rFonts w:ascii="Times New Roman"/>
                <w:sz w:val="21"/>
                <w:szCs w:val="21"/>
              </w:rPr>
            </w:pPr>
            <w:r>
              <w:rPr>
                <w:rFonts w:hint="eastAsia" w:ascii="Times New Roman"/>
                <w:sz w:val="21"/>
                <w:szCs w:val="21"/>
              </w:rPr>
              <w:t xml:space="preserve">0.19 </w:t>
            </w:r>
          </w:p>
        </w:tc>
      </w:tr>
      <w:tr w14:paraId="4EE4A885">
        <w:tblPrEx>
          <w:tblCellMar>
            <w:top w:w="0" w:type="dxa"/>
            <w:left w:w="108" w:type="dxa"/>
            <w:bottom w:w="0" w:type="dxa"/>
            <w:right w:w="108" w:type="dxa"/>
          </w:tblCellMar>
        </w:tblPrEx>
        <w:trPr>
          <w:trHeight w:val="412" w:hRule="atLeast"/>
        </w:trPr>
        <w:tc>
          <w:tcPr>
            <w:tcW w:w="1991" w:type="dxa"/>
            <w:vAlign w:val="center"/>
          </w:tcPr>
          <w:p w14:paraId="68C5298A">
            <w:pPr>
              <w:jc w:val="center"/>
              <w:rPr>
                <w:rFonts w:ascii="Times New Roman"/>
                <w:sz w:val="21"/>
                <w:szCs w:val="21"/>
              </w:rPr>
            </w:pPr>
            <w:r>
              <w:rPr>
                <w:rFonts w:ascii="Times New Roman"/>
                <w:sz w:val="21"/>
                <w:szCs w:val="21"/>
              </w:rPr>
              <w:t>2000.0</w:t>
            </w:r>
          </w:p>
        </w:tc>
        <w:tc>
          <w:tcPr>
            <w:tcW w:w="1150" w:type="dxa"/>
            <w:vAlign w:val="center"/>
          </w:tcPr>
          <w:p w14:paraId="61E38523">
            <w:pPr>
              <w:jc w:val="center"/>
              <w:rPr>
                <w:rFonts w:ascii="Times New Roman"/>
                <w:sz w:val="21"/>
                <w:szCs w:val="21"/>
              </w:rPr>
            </w:pPr>
            <w:r>
              <w:rPr>
                <w:rFonts w:hint="eastAsia" w:ascii="Times New Roman"/>
                <w:sz w:val="21"/>
                <w:szCs w:val="21"/>
              </w:rPr>
              <w:t>1.1555</w:t>
            </w:r>
          </w:p>
        </w:tc>
        <w:tc>
          <w:tcPr>
            <w:tcW w:w="1100" w:type="dxa"/>
            <w:gridSpan w:val="2"/>
            <w:vAlign w:val="center"/>
          </w:tcPr>
          <w:p w14:paraId="7FEA11E9">
            <w:pPr>
              <w:jc w:val="center"/>
              <w:rPr>
                <w:rFonts w:ascii="Times New Roman"/>
                <w:sz w:val="21"/>
                <w:szCs w:val="21"/>
              </w:rPr>
            </w:pPr>
            <w:r>
              <w:rPr>
                <w:rFonts w:hint="eastAsia" w:ascii="Times New Roman"/>
                <w:sz w:val="21"/>
                <w:szCs w:val="21"/>
              </w:rPr>
              <w:t>0.26</w:t>
            </w:r>
          </w:p>
        </w:tc>
        <w:tc>
          <w:tcPr>
            <w:tcW w:w="1084" w:type="dxa"/>
            <w:gridSpan w:val="2"/>
            <w:shd w:val="clear" w:color="auto" w:fill="auto"/>
            <w:vAlign w:val="center"/>
          </w:tcPr>
          <w:p w14:paraId="103FD37D">
            <w:pPr>
              <w:jc w:val="center"/>
              <w:rPr>
                <w:rFonts w:ascii="Times New Roman"/>
                <w:sz w:val="21"/>
                <w:szCs w:val="21"/>
              </w:rPr>
            </w:pPr>
            <w:r>
              <w:rPr>
                <w:rFonts w:hint="eastAsia" w:ascii="Times New Roman"/>
                <w:sz w:val="21"/>
                <w:szCs w:val="21"/>
              </w:rPr>
              <w:t>0.0032</w:t>
            </w:r>
          </w:p>
        </w:tc>
        <w:tc>
          <w:tcPr>
            <w:tcW w:w="1050" w:type="dxa"/>
            <w:shd w:val="clear" w:color="auto" w:fill="auto"/>
            <w:vAlign w:val="center"/>
          </w:tcPr>
          <w:p w14:paraId="597AF248">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6EDE21AA">
            <w:pPr>
              <w:jc w:val="center"/>
              <w:rPr>
                <w:rFonts w:ascii="Times New Roman"/>
                <w:sz w:val="21"/>
                <w:szCs w:val="21"/>
              </w:rPr>
            </w:pPr>
            <w:r>
              <w:rPr>
                <w:rFonts w:hint="eastAsia" w:ascii="Times New Roman"/>
                <w:sz w:val="21"/>
                <w:szCs w:val="21"/>
              </w:rPr>
              <w:t>0.3727</w:t>
            </w:r>
          </w:p>
        </w:tc>
        <w:tc>
          <w:tcPr>
            <w:tcW w:w="1014" w:type="dxa"/>
            <w:shd w:val="clear" w:color="auto" w:fill="auto"/>
            <w:vAlign w:val="center"/>
          </w:tcPr>
          <w:p w14:paraId="6EC9B07D">
            <w:pPr>
              <w:jc w:val="center"/>
              <w:rPr>
                <w:rFonts w:ascii="Times New Roman"/>
                <w:sz w:val="21"/>
                <w:szCs w:val="21"/>
              </w:rPr>
            </w:pPr>
            <w:r>
              <w:rPr>
                <w:rFonts w:hint="eastAsia" w:ascii="Times New Roman"/>
                <w:sz w:val="21"/>
                <w:szCs w:val="21"/>
              </w:rPr>
              <w:t xml:space="preserve">0.19 </w:t>
            </w:r>
          </w:p>
        </w:tc>
      </w:tr>
      <w:tr w14:paraId="2E57A0AA">
        <w:tblPrEx>
          <w:tblCellMar>
            <w:top w:w="0" w:type="dxa"/>
            <w:left w:w="108" w:type="dxa"/>
            <w:bottom w:w="0" w:type="dxa"/>
            <w:right w:w="108" w:type="dxa"/>
          </w:tblCellMar>
        </w:tblPrEx>
        <w:trPr>
          <w:trHeight w:val="412" w:hRule="atLeast"/>
        </w:trPr>
        <w:tc>
          <w:tcPr>
            <w:tcW w:w="1991" w:type="dxa"/>
            <w:vAlign w:val="center"/>
          </w:tcPr>
          <w:p w14:paraId="2A20284D">
            <w:pPr>
              <w:jc w:val="center"/>
              <w:rPr>
                <w:rFonts w:ascii="Times New Roman"/>
                <w:sz w:val="21"/>
                <w:szCs w:val="21"/>
              </w:rPr>
            </w:pPr>
            <w:r>
              <w:rPr>
                <w:rFonts w:ascii="Times New Roman"/>
                <w:sz w:val="21"/>
                <w:szCs w:val="21"/>
              </w:rPr>
              <w:t>2500.0</w:t>
            </w:r>
          </w:p>
        </w:tc>
        <w:tc>
          <w:tcPr>
            <w:tcW w:w="1150" w:type="dxa"/>
            <w:vAlign w:val="center"/>
          </w:tcPr>
          <w:p w14:paraId="234571D0">
            <w:pPr>
              <w:jc w:val="center"/>
              <w:rPr>
                <w:rFonts w:ascii="Times New Roman"/>
                <w:sz w:val="21"/>
                <w:szCs w:val="21"/>
              </w:rPr>
            </w:pPr>
            <w:r>
              <w:rPr>
                <w:rFonts w:hint="eastAsia" w:ascii="Times New Roman"/>
                <w:sz w:val="21"/>
                <w:szCs w:val="21"/>
              </w:rPr>
              <w:t>1.0669</w:t>
            </w:r>
          </w:p>
        </w:tc>
        <w:tc>
          <w:tcPr>
            <w:tcW w:w="1100" w:type="dxa"/>
            <w:gridSpan w:val="2"/>
            <w:vAlign w:val="center"/>
          </w:tcPr>
          <w:p w14:paraId="134C635B">
            <w:pPr>
              <w:jc w:val="center"/>
              <w:rPr>
                <w:rFonts w:ascii="Times New Roman"/>
                <w:sz w:val="21"/>
                <w:szCs w:val="21"/>
              </w:rPr>
            </w:pPr>
            <w:r>
              <w:rPr>
                <w:rFonts w:hint="eastAsia" w:ascii="Times New Roman"/>
                <w:sz w:val="21"/>
                <w:szCs w:val="21"/>
              </w:rPr>
              <w:t>0.24</w:t>
            </w:r>
          </w:p>
        </w:tc>
        <w:tc>
          <w:tcPr>
            <w:tcW w:w="1084" w:type="dxa"/>
            <w:gridSpan w:val="2"/>
            <w:shd w:val="clear" w:color="auto" w:fill="auto"/>
            <w:vAlign w:val="center"/>
          </w:tcPr>
          <w:p w14:paraId="690D2B83">
            <w:pPr>
              <w:jc w:val="center"/>
              <w:rPr>
                <w:rFonts w:ascii="Times New Roman"/>
                <w:sz w:val="21"/>
                <w:szCs w:val="21"/>
              </w:rPr>
            </w:pPr>
            <w:r>
              <w:rPr>
                <w:rFonts w:hint="eastAsia" w:ascii="Times New Roman"/>
                <w:sz w:val="21"/>
                <w:szCs w:val="21"/>
              </w:rPr>
              <w:t>0.0029</w:t>
            </w:r>
          </w:p>
        </w:tc>
        <w:tc>
          <w:tcPr>
            <w:tcW w:w="1050" w:type="dxa"/>
            <w:shd w:val="clear" w:color="auto" w:fill="auto"/>
            <w:vAlign w:val="center"/>
          </w:tcPr>
          <w:p w14:paraId="0816BD13">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3276BDA7">
            <w:pPr>
              <w:jc w:val="center"/>
              <w:rPr>
                <w:rFonts w:ascii="Times New Roman"/>
                <w:sz w:val="21"/>
                <w:szCs w:val="21"/>
              </w:rPr>
            </w:pPr>
            <w:r>
              <w:rPr>
                <w:rFonts w:hint="eastAsia" w:ascii="Times New Roman"/>
                <w:sz w:val="21"/>
                <w:szCs w:val="21"/>
              </w:rPr>
              <w:t>0.3442</w:t>
            </w:r>
          </w:p>
        </w:tc>
        <w:tc>
          <w:tcPr>
            <w:tcW w:w="1014" w:type="dxa"/>
            <w:shd w:val="clear" w:color="auto" w:fill="auto"/>
            <w:vAlign w:val="center"/>
          </w:tcPr>
          <w:p w14:paraId="19614377">
            <w:pPr>
              <w:jc w:val="center"/>
              <w:rPr>
                <w:rFonts w:ascii="Times New Roman"/>
                <w:sz w:val="21"/>
                <w:szCs w:val="21"/>
              </w:rPr>
            </w:pPr>
            <w:r>
              <w:rPr>
                <w:rFonts w:hint="eastAsia" w:ascii="Times New Roman"/>
                <w:sz w:val="21"/>
                <w:szCs w:val="21"/>
              </w:rPr>
              <w:t xml:space="preserve">0.17 </w:t>
            </w:r>
          </w:p>
        </w:tc>
      </w:tr>
      <w:tr w14:paraId="2BF0F3F5">
        <w:tblPrEx>
          <w:tblCellMar>
            <w:top w:w="0" w:type="dxa"/>
            <w:left w:w="108" w:type="dxa"/>
            <w:bottom w:w="0" w:type="dxa"/>
            <w:right w:w="108" w:type="dxa"/>
          </w:tblCellMar>
        </w:tblPrEx>
        <w:trPr>
          <w:trHeight w:val="412" w:hRule="atLeast"/>
        </w:trPr>
        <w:tc>
          <w:tcPr>
            <w:tcW w:w="1991" w:type="dxa"/>
            <w:vAlign w:val="center"/>
          </w:tcPr>
          <w:p w14:paraId="57106754">
            <w:pPr>
              <w:jc w:val="center"/>
              <w:rPr>
                <w:rFonts w:ascii="Times New Roman"/>
                <w:sz w:val="21"/>
                <w:szCs w:val="21"/>
              </w:rPr>
            </w:pPr>
            <w:r>
              <w:rPr>
                <w:rFonts w:ascii="Times New Roman"/>
                <w:sz w:val="21"/>
                <w:szCs w:val="21"/>
              </w:rPr>
              <w:t>3000.0</w:t>
            </w:r>
          </w:p>
        </w:tc>
        <w:tc>
          <w:tcPr>
            <w:tcW w:w="1150" w:type="dxa"/>
            <w:vAlign w:val="center"/>
          </w:tcPr>
          <w:p w14:paraId="4704BD34">
            <w:pPr>
              <w:jc w:val="center"/>
              <w:rPr>
                <w:rFonts w:ascii="Times New Roman"/>
                <w:sz w:val="21"/>
                <w:szCs w:val="21"/>
              </w:rPr>
            </w:pPr>
            <w:r>
              <w:rPr>
                <w:rFonts w:hint="eastAsia" w:ascii="Times New Roman"/>
                <w:sz w:val="21"/>
                <w:szCs w:val="21"/>
              </w:rPr>
              <w:t>0.9655</w:t>
            </w:r>
          </w:p>
        </w:tc>
        <w:tc>
          <w:tcPr>
            <w:tcW w:w="1100" w:type="dxa"/>
            <w:gridSpan w:val="2"/>
            <w:vAlign w:val="center"/>
          </w:tcPr>
          <w:p w14:paraId="00A0656B">
            <w:pPr>
              <w:jc w:val="center"/>
              <w:rPr>
                <w:rFonts w:ascii="Times New Roman"/>
                <w:sz w:val="21"/>
                <w:szCs w:val="21"/>
              </w:rPr>
            </w:pPr>
            <w:r>
              <w:rPr>
                <w:rFonts w:hint="eastAsia" w:ascii="Times New Roman"/>
                <w:sz w:val="21"/>
                <w:szCs w:val="21"/>
              </w:rPr>
              <w:t>0.21</w:t>
            </w:r>
          </w:p>
        </w:tc>
        <w:tc>
          <w:tcPr>
            <w:tcW w:w="1084" w:type="dxa"/>
            <w:gridSpan w:val="2"/>
            <w:shd w:val="clear" w:color="auto" w:fill="auto"/>
            <w:vAlign w:val="center"/>
          </w:tcPr>
          <w:p w14:paraId="1FAB6A6C">
            <w:pPr>
              <w:jc w:val="center"/>
              <w:rPr>
                <w:rFonts w:ascii="Times New Roman"/>
                <w:sz w:val="21"/>
                <w:szCs w:val="21"/>
              </w:rPr>
            </w:pPr>
            <w:r>
              <w:rPr>
                <w:rFonts w:hint="eastAsia" w:ascii="Times New Roman"/>
                <w:sz w:val="21"/>
                <w:szCs w:val="21"/>
              </w:rPr>
              <w:t>0.0027</w:t>
            </w:r>
          </w:p>
        </w:tc>
        <w:tc>
          <w:tcPr>
            <w:tcW w:w="1050" w:type="dxa"/>
            <w:shd w:val="clear" w:color="auto" w:fill="auto"/>
            <w:vAlign w:val="center"/>
          </w:tcPr>
          <w:p w14:paraId="11AB895E">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31A67835">
            <w:pPr>
              <w:jc w:val="center"/>
              <w:rPr>
                <w:rFonts w:ascii="Times New Roman"/>
                <w:sz w:val="21"/>
                <w:szCs w:val="21"/>
              </w:rPr>
            </w:pPr>
            <w:r>
              <w:rPr>
                <w:rFonts w:hint="eastAsia" w:ascii="Times New Roman"/>
                <w:sz w:val="21"/>
                <w:szCs w:val="21"/>
              </w:rPr>
              <w:t>0.3114</w:t>
            </w:r>
          </w:p>
        </w:tc>
        <w:tc>
          <w:tcPr>
            <w:tcW w:w="1014" w:type="dxa"/>
            <w:shd w:val="clear" w:color="auto" w:fill="auto"/>
            <w:vAlign w:val="center"/>
          </w:tcPr>
          <w:p w14:paraId="0A38AEE7">
            <w:pPr>
              <w:jc w:val="center"/>
              <w:rPr>
                <w:rFonts w:ascii="Times New Roman"/>
                <w:sz w:val="21"/>
                <w:szCs w:val="21"/>
              </w:rPr>
            </w:pPr>
            <w:r>
              <w:rPr>
                <w:rFonts w:hint="eastAsia" w:ascii="Times New Roman"/>
                <w:sz w:val="21"/>
                <w:szCs w:val="21"/>
              </w:rPr>
              <w:t xml:space="preserve">0.16 </w:t>
            </w:r>
          </w:p>
        </w:tc>
      </w:tr>
      <w:tr w14:paraId="26085971">
        <w:tblPrEx>
          <w:tblCellMar>
            <w:top w:w="0" w:type="dxa"/>
            <w:left w:w="108" w:type="dxa"/>
            <w:bottom w:w="0" w:type="dxa"/>
            <w:right w:w="108" w:type="dxa"/>
          </w:tblCellMar>
        </w:tblPrEx>
        <w:trPr>
          <w:trHeight w:val="412" w:hRule="atLeast"/>
        </w:trPr>
        <w:tc>
          <w:tcPr>
            <w:tcW w:w="1991" w:type="dxa"/>
            <w:vAlign w:val="center"/>
          </w:tcPr>
          <w:p w14:paraId="4025688A">
            <w:pPr>
              <w:jc w:val="center"/>
              <w:rPr>
                <w:rFonts w:ascii="Times New Roman"/>
                <w:sz w:val="21"/>
                <w:szCs w:val="21"/>
              </w:rPr>
            </w:pPr>
            <w:r>
              <w:rPr>
                <w:rFonts w:ascii="Times New Roman"/>
                <w:sz w:val="21"/>
                <w:szCs w:val="21"/>
              </w:rPr>
              <w:t>3500.0</w:t>
            </w:r>
          </w:p>
        </w:tc>
        <w:tc>
          <w:tcPr>
            <w:tcW w:w="1150" w:type="dxa"/>
            <w:vAlign w:val="center"/>
          </w:tcPr>
          <w:p w14:paraId="72134F95">
            <w:pPr>
              <w:jc w:val="center"/>
              <w:rPr>
                <w:rFonts w:ascii="Times New Roman"/>
                <w:sz w:val="21"/>
                <w:szCs w:val="21"/>
              </w:rPr>
            </w:pPr>
            <w:r>
              <w:rPr>
                <w:rFonts w:hint="eastAsia" w:ascii="Times New Roman"/>
                <w:sz w:val="21"/>
                <w:szCs w:val="21"/>
              </w:rPr>
              <w:t>0.8695</w:t>
            </w:r>
          </w:p>
        </w:tc>
        <w:tc>
          <w:tcPr>
            <w:tcW w:w="1100" w:type="dxa"/>
            <w:gridSpan w:val="2"/>
            <w:vAlign w:val="center"/>
          </w:tcPr>
          <w:p w14:paraId="350AED38">
            <w:pPr>
              <w:jc w:val="center"/>
              <w:rPr>
                <w:rFonts w:ascii="Times New Roman"/>
                <w:sz w:val="21"/>
                <w:szCs w:val="21"/>
              </w:rPr>
            </w:pPr>
            <w:r>
              <w:rPr>
                <w:rFonts w:hint="eastAsia" w:ascii="Times New Roman"/>
                <w:sz w:val="21"/>
                <w:szCs w:val="21"/>
              </w:rPr>
              <w:t>0.19</w:t>
            </w:r>
          </w:p>
        </w:tc>
        <w:tc>
          <w:tcPr>
            <w:tcW w:w="1084" w:type="dxa"/>
            <w:gridSpan w:val="2"/>
            <w:shd w:val="clear" w:color="auto" w:fill="auto"/>
            <w:vAlign w:val="center"/>
          </w:tcPr>
          <w:p w14:paraId="51ED6F3B">
            <w:pPr>
              <w:jc w:val="center"/>
              <w:rPr>
                <w:rFonts w:ascii="Times New Roman"/>
                <w:sz w:val="21"/>
                <w:szCs w:val="21"/>
              </w:rPr>
            </w:pPr>
            <w:r>
              <w:rPr>
                <w:rFonts w:hint="eastAsia" w:ascii="Times New Roman"/>
                <w:sz w:val="21"/>
                <w:szCs w:val="21"/>
              </w:rPr>
              <w:t>0.0024</w:t>
            </w:r>
          </w:p>
        </w:tc>
        <w:tc>
          <w:tcPr>
            <w:tcW w:w="1050" w:type="dxa"/>
            <w:shd w:val="clear" w:color="auto" w:fill="auto"/>
            <w:vAlign w:val="center"/>
          </w:tcPr>
          <w:p w14:paraId="14A1C925">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1CDCCA54">
            <w:pPr>
              <w:jc w:val="center"/>
              <w:rPr>
                <w:rFonts w:ascii="Times New Roman"/>
                <w:sz w:val="21"/>
                <w:szCs w:val="21"/>
              </w:rPr>
            </w:pPr>
            <w:r>
              <w:rPr>
                <w:rFonts w:hint="eastAsia" w:ascii="Times New Roman"/>
                <w:sz w:val="21"/>
                <w:szCs w:val="21"/>
              </w:rPr>
              <w:t>0.2805</w:t>
            </w:r>
          </w:p>
        </w:tc>
        <w:tc>
          <w:tcPr>
            <w:tcW w:w="1014" w:type="dxa"/>
            <w:shd w:val="clear" w:color="auto" w:fill="auto"/>
            <w:vAlign w:val="center"/>
          </w:tcPr>
          <w:p w14:paraId="4A423ECC">
            <w:pPr>
              <w:jc w:val="center"/>
              <w:rPr>
                <w:rFonts w:ascii="Times New Roman"/>
                <w:sz w:val="21"/>
                <w:szCs w:val="21"/>
              </w:rPr>
            </w:pPr>
            <w:r>
              <w:rPr>
                <w:rFonts w:hint="eastAsia" w:ascii="Times New Roman"/>
                <w:sz w:val="21"/>
                <w:szCs w:val="21"/>
              </w:rPr>
              <w:t xml:space="preserve">0.14 </w:t>
            </w:r>
          </w:p>
        </w:tc>
      </w:tr>
      <w:tr w14:paraId="2AA6DBEB">
        <w:tblPrEx>
          <w:tblCellMar>
            <w:top w:w="0" w:type="dxa"/>
            <w:left w:w="108" w:type="dxa"/>
            <w:bottom w:w="0" w:type="dxa"/>
            <w:right w:w="108" w:type="dxa"/>
          </w:tblCellMar>
        </w:tblPrEx>
        <w:trPr>
          <w:trHeight w:val="412" w:hRule="atLeast"/>
        </w:trPr>
        <w:tc>
          <w:tcPr>
            <w:tcW w:w="1991" w:type="dxa"/>
            <w:vAlign w:val="center"/>
          </w:tcPr>
          <w:p w14:paraId="0A8C99F2">
            <w:pPr>
              <w:jc w:val="center"/>
              <w:rPr>
                <w:rFonts w:ascii="Times New Roman"/>
                <w:sz w:val="21"/>
                <w:szCs w:val="21"/>
              </w:rPr>
            </w:pPr>
            <w:r>
              <w:rPr>
                <w:rFonts w:ascii="Times New Roman"/>
                <w:sz w:val="21"/>
                <w:szCs w:val="21"/>
              </w:rPr>
              <w:t>4000.0</w:t>
            </w:r>
          </w:p>
        </w:tc>
        <w:tc>
          <w:tcPr>
            <w:tcW w:w="1150" w:type="dxa"/>
            <w:vAlign w:val="center"/>
          </w:tcPr>
          <w:p w14:paraId="2D4973DE">
            <w:pPr>
              <w:jc w:val="center"/>
              <w:rPr>
                <w:rFonts w:ascii="Times New Roman"/>
                <w:sz w:val="21"/>
                <w:szCs w:val="21"/>
              </w:rPr>
            </w:pPr>
            <w:r>
              <w:rPr>
                <w:rFonts w:hint="eastAsia" w:ascii="Times New Roman"/>
                <w:sz w:val="21"/>
                <w:szCs w:val="21"/>
              </w:rPr>
              <w:t>0.7843</w:t>
            </w:r>
          </w:p>
        </w:tc>
        <w:tc>
          <w:tcPr>
            <w:tcW w:w="1100" w:type="dxa"/>
            <w:gridSpan w:val="2"/>
            <w:vAlign w:val="center"/>
          </w:tcPr>
          <w:p w14:paraId="5D2DB2C7">
            <w:pPr>
              <w:jc w:val="center"/>
              <w:rPr>
                <w:rFonts w:ascii="Times New Roman"/>
                <w:sz w:val="21"/>
                <w:szCs w:val="21"/>
              </w:rPr>
            </w:pPr>
            <w:r>
              <w:rPr>
                <w:rFonts w:hint="eastAsia" w:ascii="Times New Roman"/>
                <w:sz w:val="21"/>
                <w:szCs w:val="21"/>
              </w:rPr>
              <w:t>0.17</w:t>
            </w:r>
          </w:p>
        </w:tc>
        <w:tc>
          <w:tcPr>
            <w:tcW w:w="1084" w:type="dxa"/>
            <w:gridSpan w:val="2"/>
            <w:shd w:val="clear" w:color="auto" w:fill="auto"/>
            <w:vAlign w:val="center"/>
          </w:tcPr>
          <w:p w14:paraId="407FC780">
            <w:pPr>
              <w:jc w:val="center"/>
              <w:rPr>
                <w:rFonts w:ascii="Times New Roman"/>
                <w:sz w:val="21"/>
                <w:szCs w:val="21"/>
              </w:rPr>
            </w:pPr>
            <w:r>
              <w:rPr>
                <w:rFonts w:hint="eastAsia" w:ascii="Times New Roman"/>
                <w:sz w:val="21"/>
                <w:szCs w:val="21"/>
              </w:rPr>
              <w:t>0.0022</w:t>
            </w:r>
          </w:p>
        </w:tc>
        <w:tc>
          <w:tcPr>
            <w:tcW w:w="1050" w:type="dxa"/>
            <w:shd w:val="clear" w:color="auto" w:fill="auto"/>
            <w:vAlign w:val="center"/>
          </w:tcPr>
          <w:p w14:paraId="378A7EC8">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6664A81C">
            <w:pPr>
              <w:jc w:val="center"/>
              <w:rPr>
                <w:rFonts w:ascii="Times New Roman"/>
                <w:sz w:val="21"/>
                <w:szCs w:val="21"/>
              </w:rPr>
            </w:pPr>
            <w:r>
              <w:rPr>
                <w:rFonts w:hint="eastAsia" w:ascii="Times New Roman"/>
                <w:sz w:val="21"/>
                <w:szCs w:val="21"/>
              </w:rPr>
              <w:t>0.253</w:t>
            </w:r>
          </w:p>
        </w:tc>
        <w:tc>
          <w:tcPr>
            <w:tcW w:w="1014" w:type="dxa"/>
            <w:shd w:val="clear" w:color="auto" w:fill="auto"/>
            <w:vAlign w:val="center"/>
          </w:tcPr>
          <w:p w14:paraId="2F353D12">
            <w:pPr>
              <w:jc w:val="center"/>
              <w:rPr>
                <w:rFonts w:ascii="Times New Roman"/>
                <w:sz w:val="21"/>
                <w:szCs w:val="21"/>
              </w:rPr>
            </w:pPr>
            <w:r>
              <w:rPr>
                <w:rFonts w:hint="eastAsia" w:ascii="Times New Roman"/>
                <w:sz w:val="21"/>
                <w:szCs w:val="21"/>
              </w:rPr>
              <w:t xml:space="preserve">0.13 </w:t>
            </w:r>
          </w:p>
        </w:tc>
      </w:tr>
      <w:tr w14:paraId="02C27AD3">
        <w:tblPrEx>
          <w:tblCellMar>
            <w:top w:w="0" w:type="dxa"/>
            <w:left w:w="108" w:type="dxa"/>
            <w:bottom w:w="0" w:type="dxa"/>
            <w:right w:w="108" w:type="dxa"/>
          </w:tblCellMar>
        </w:tblPrEx>
        <w:trPr>
          <w:trHeight w:val="412" w:hRule="atLeast"/>
        </w:trPr>
        <w:tc>
          <w:tcPr>
            <w:tcW w:w="1991" w:type="dxa"/>
            <w:vAlign w:val="center"/>
          </w:tcPr>
          <w:p w14:paraId="6EE06E47">
            <w:pPr>
              <w:jc w:val="center"/>
              <w:rPr>
                <w:rFonts w:ascii="Times New Roman"/>
                <w:sz w:val="21"/>
                <w:szCs w:val="21"/>
              </w:rPr>
            </w:pPr>
            <w:r>
              <w:rPr>
                <w:rFonts w:ascii="Times New Roman"/>
                <w:sz w:val="21"/>
                <w:szCs w:val="21"/>
              </w:rPr>
              <w:t>4500.0</w:t>
            </w:r>
          </w:p>
        </w:tc>
        <w:tc>
          <w:tcPr>
            <w:tcW w:w="1150" w:type="dxa"/>
            <w:vAlign w:val="center"/>
          </w:tcPr>
          <w:p w14:paraId="4019828F">
            <w:pPr>
              <w:jc w:val="center"/>
              <w:rPr>
                <w:rFonts w:ascii="Times New Roman"/>
                <w:sz w:val="21"/>
                <w:szCs w:val="21"/>
              </w:rPr>
            </w:pPr>
            <w:r>
              <w:rPr>
                <w:rFonts w:hint="eastAsia" w:ascii="Times New Roman"/>
                <w:sz w:val="21"/>
                <w:szCs w:val="21"/>
              </w:rPr>
              <w:t>0.7101</w:t>
            </w:r>
          </w:p>
        </w:tc>
        <w:tc>
          <w:tcPr>
            <w:tcW w:w="1100" w:type="dxa"/>
            <w:gridSpan w:val="2"/>
            <w:vAlign w:val="center"/>
          </w:tcPr>
          <w:p w14:paraId="27D9D716">
            <w:pPr>
              <w:jc w:val="center"/>
              <w:rPr>
                <w:rFonts w:ascii="Times New Roman"/>
                <w:sz w:val="21"/>
                <w:szCs w:val="21"/>
              </w:rPr>
            </w:pPr>
            <w:r>
              <w:rPr>
                <w:rFonts w:hint="eastAsia" w:ascii="Times New Roman"/>
                <w:sz w:val="21"/>
                <w:szCs w:val="21"/>
              </w:rPr>
              <w:t>0.16</w:t>
            </w:r>
          </w:p>
        </w:tc>
        <w:tc>
          <w:tcPr>
            <w:tcW w:w="1084" w:type="dxa"/>
            <w:gridSpan w:val="2"/>
            <w:shd w:val="clear" w:color="auto" w:fill="auto"/>
            <w:vAlign w:val="center"/>
          </w:tcPr>
          <w:p w14:paraId="6BB1B9A1">
            <w:pPr>
              <w:jc w:val="center"/>
              <w:rPr>
                <w:rFonts w:ascii="Times New Roman"/>
                <w:sz w:val="21"/>
                <w:szCs w:val="21"/>
              </w:rPr>
            </w:pPr>
            <w:r>
              <w:rPr>
                <w:rFonts w:hint="eastAsia" w:ascii="Times New Roman"/>
                <w:sz w:val="21"/>
                <w:szCs w:val="21"/>
              </w:rPr>
              <w:t>0.002</w:t>
            </w:r>
          </w:p>
        </w:tc>
        <w:tc>
          <w:tcPr>
            <w:tcW w:w="1050" w:type="dxa"/>
            <w:shd w:val="clear" w:color="auto" w:fill="auto"/>
            <w:vAlign w:val="center"/>
          </w:tcPr>
          <w:p w14:paraId="58C516B7">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4DF9ED7B">
            <w:pPr>
              <w:jc w:val="center"/>
              <w:rPr>
                <w:rFonts w:ascii="Times New Roman"/>
                <w:sz w:val="21"/>
                <w:szCs w:val="21"/>
              </w:rPr>
            </w:pPr>
            <w:r>
              <w:rPr>
                <w:rFonts w:hint="eastAsia" w:ascii="Times New Roman"/>
                <w:sz w:val="21"/>
                <w:szCs w:val="21"/>
              </w:rPr>
              <w:t>0.2291</w:t>
            </w:r>
          </w:p>
        </w:tc>
        <w:tc>
          <w:tcPr>
            <w:tcW w:w="1014" w:type="dxa"/>
            <w:shd w:val="clear" w:color="auto" w:fill="auto"/>
            <w:vAlign w:val="center"/>
          </w:tcPr>
          <w:p w14:paraId="53EFFAFE">
            <w:pPr>
              <w:jc w:val="center"/>
              <w:rPr>
                <w:rFonts w:ascii="Times New Roman"/>
                <w:sz w:val="21"/>
                <w:szCs w:val="21"/>
              </w:rPr>
            </w:pPr>
            <w:r>
              <w:rPr>
                <w:rFonts w:hint="eastAsia" w:ascii="Times New Roman"/>
                <w:sz w:val="21"/>
                <w:szCs w:val="21"/>
              </w:rPr>
              <w:t xml:space="preserve">0.11 </w:t>
            </w:r>
          </w:p>
        </w:tc>
      </w:tr>
      <w:tr w14:paraId="57056443">
        <w:tblPrEx>
          <w:tblCellMar>
            <w:top w:w="0" w:type="dxa"/>
            <w:left w:w="108" w:type="dxa"/>
            <w:bottom w:w="0" w:type="dxa"/>
            <w:right w:w="108" w:type="dxa"/>
          </w:tblCellMar>
        </w:tblPrEx>
        <w:trPr>
          <w:trHeight w:val="412" w:hRule="atLeast"/>
        </w:trPr>
        <w:tc>
          <w:tcPr>
            <w:tcW w:w="1991" w:type="dxa"/>
            <w:vAlign w:val="center"/>
          </w:tcPr>
          <w:p w14:paraId="10579ADD">
            <w:pPr>
              <w:jc w:val="center"/>
              <w:rPr>
                <w:rFonts w:ascii="Times New Roman"/>
                <w:sz w:val="21"/>
                <w:szCs w:val="21"/>
              </w:rPr>
            </w:pPr>
            <w:r>
              <w:rPr>
                <w:rFonts w:ascii="Times New Roman"/>
                <w:sz w:val="21"/>
                <w:szCs w:val="21"/>
              </w:rPr>
              <w:t>5000.0</w:t>
            </w:r>
          </w:p>
        </w:tc>
        <w:tc>
          <w:tcPr>
            <w:tcW w:w="1150" w:type="dxa"/>
            <w:vAlign w:val="center"/>
          </w:tcPr>
          <w:p w14:paraId="4B1B746F">
            <w:pPr>
              <w:jc w:val="center"/>
              <w:rPr>
                <w:rFonts w:ascii="Times New Roman"/>
                <w:sz w:val="21"/>
                <w:szCs w:val="21"/>
              </w:rPr>
            </w:pPr>
            <w:r>
              <w:rPr>
                <w:rFonts w:hint="eastAsia" w:ascii="Times New Roman"/>
                <w:sz w:val="21"/>
                <w:szCs w:val="21"/>
              </w:rPr>
              <w:t>0.646</w:t>
            </w:r>
          </w:p>
        </w:tc>
        <w:tc>
          <w:tcPr>
            <w:tcW w:w="1100" w:type="dxa"/>
            <w:gridSpan w:val="2"/>
            <w:vAlign w:val="center"/>
          </w:tcPr>
          <w:p w14:paraId="5876CC9B">
            <w:pPr>
              <w:jc w:val="center"/>
              <w:rPr>
                <w:rFonts w:ascii="Times New Roman"/>
                <w:sz w:val="21"/>
                <w:szCs w:val="21"/>
              </w:rPr>
            </w:pPr>
            <w:r>
              <w:rPr>
                <w:rFonts w:hint="eastAsia" w:ascii="Times New Roman"/>
                <w:sz w:val="21"/>
                <w:szCs w:val="21"/>
              </w:rPr>
              <w:t>0.14</w:t>
            </w:r>
          </w:p>
        </w:tc>
        <w:tc>
          <w:tcPr>
            <w:tcW w:w="1084" w:type="dxa"/>
            <w:gridSpan w:val="2"/>
            <w:shd w:val="clear" w:color="auto" w:fill="auto"/>
            <w:vAlign w:val="center"/>
          </w:tcPr>
          <w:p w14:paraId="3561E2A7">
            <w:pPr>
              <w:jc w:val="center"/>
              <w:rPr>
                <w:rFonts w:ascii="Times New Roman"/>
                <w:sz w:val="21"/>
                <w:szCs w:val="21"/>
              </w:rPr>
            </w:pPr>
            <w:r>
              <w:rPr>
                <w:rFonts w:hint="eastAsia" w:ascii="Times New Roman"/>
                <w:sz w:val="21"/>
                <w:szCs w:val="21"/>
              </w:rPr>
              <w:t>0.0018</w:t>
            </w:r>
          </w:p>
        </w:tc>
        <w:tc>
          <w:tcPr>
            <w:tcW w:w="1050" w:type="dxa"/>
            <w:shd w:val="clear" w:color="auto" w:fill="auto"/>
            <w:vAlign w:val="center"/>
          </w:tcPr>
          <w:p w14:paraId="76DB8174">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6E995B82">
            <w:pPr>
              <w:jc w:val="center"/>
              <w:rPr>
                <w:rFonts w:ascii="Times New Roman"/>
                <w:sz w:val="21"/>
                <w:szCs w:val="21"/>
              </w:rPr>
            </w:pPr>
            <w:r>
              <w:rPr>
                <w:rFonts w:hint="eastAsia" w:ascii="Times New Roman"/>
                <w:sz w:val="21"/>
                <w:szCs w:val="21"/>
              </w:rPr>
              <w:t>0.2084</w:t>
            </w:r>
          </w:p>
        </w:tc>
        <w:tc>
          <w:tcPr>
            <w:tcW w:w="1014" w:type="dxa"/>
            <w:shd w:val="clear" w:color="auto" w:fill="auto"/>
            <w:vAlign w:val="center"/>
          </w:tcPr>
          <w:p w14:paraId="56D96550">
            <w:pPr>
              <w:jc w:val="center"/>
              <w:rPr>
                <w:rFonts w:ascii="Times New Roman"/>
                <w:sz w:val="21"/>
                <w:szCs w:val="21"/>
              </w:rPr>
            </w:pPr>
            <w:r>
              <w:rPr>
                <w:rFonts w:hint="eastAsia" w:ascii="Times New Roman"/>
                <w:sz w:val="21"/>
                <w:szCs w:val="21"/>
              </w:rPr>
              <w:t xml:space="preserve">0.10 </w:t>
            </w:r>
          </w:p>
        </w:tc>
      </w:tr>
      <w:tr w14:paraId="078C46F0">
        <w:tblPrEx>
          <w:tblCellMar>
            <w:top w:w="0" w:type="dxa"/>
            <w:left w:w="108" w:type="dxa"/>
            <w:bottom w:w="0" w:type="dxa"/>
            <w:right w:w="108" w:type="dxa"/>
          </w:tblCellMar>
        </w:tblPrEx>
        <w:trPr>
          <w:trHeight w:val="412" w:hRule="atLeast"/>
        </w:trPr>
        <w:tc>
          <w:tcPr>
            <w:tcW w:w="1991" w:type="dxa"/>
            <w:vAlign w:val="center"/>
          </w:tcPr>
          <w:p w14:paraId="0D63E01E">
            <w:pPr>
              <w:jc w:val="center"/>
              <w:rPr>
                <w:rFonts w:ascii="Times New Roman"/>
                <w:sz w:val="21"/>
                <w:szCs w:val="21"/>
              </w:rPr>
            </w:pPr>
            <w:r>
              <w:rPr>
                <w:rFonts w:ascii="Times New Roman"/>
                <w:sz w:val="21"/>
                <w:szCs w:val="21"/>
              </w:rPr>
              <w:t>10000.0</w:t>
            </w:r>
          </w:p>
        </w:tc>
        <w:tc>
          <w:tcPr>
            <w:tcW w:w="1150" w:type="dxa"/>
            <w:vAlign w:val="center"/>
          </w:tcPr>
          <w:p w14:paraId="67675D2A">
            <w:pPr>
              <w:jc w:val="center"/>
              <w:rPr>
                <w:rFonts w:ascii="Times New Roman"/>
                <w:sz w:val="21"/>
                <w:szCs w:val="21"/>
              </w:rPr>
            </w:pPr>
            <w:r>
              <w:rPr>
                <w:rFonts w:hint="eastAsia" w:ascii="Times New Roman"/>
                <w:sz w:val="21"/>
                <w:szCs w:val="21"/>
              </w:rPr>
              <w:t>0.3134</w:t>
            </w:r>
          </w:p>
        </w:tc>
        <w:tc>
          <w:tcPr>
            <w:tcW w:w="1100" w:type="dxa"/>
            <w:gridSpan w:val="2"/>
            <w:vAlign w:val="center"/>
          </w:tcPr>
          <w:p w14:paraId="3234B07E">
            <w:pPr>
              <w:jc w:val="center"/>
              <w:rPr>
                <w:rFonts w:ascii="Times New Roman"/>
                <w:sz w:val="21"/>
                <w:szCs w:val="21"/>
              </w:rPr>
            </w:pPr>
            <w:r>
              <w:rPr>
                <w:rFonts w:hint="eastAsia" w:ascii="Times New Roman"/>
                <w:sz w:val="21"/>
                <w:szCs w:val="21"/>
              </w:rPr>
              <w:t>0.07</w:t>
            </w:r>
          </w:p>
        </w:tc>
        <w:tc>
          <w:tcPr>
            <w:tcW w:w="1084" w:type="dxa"/>
            <w:gridSpan w:val="2"/>
            <w:shd w:val="clear" w:color="auto" w:fill="auto"/>
            <w:vAlign w:val="center"/>
          </w:tcPr>
          <w:p w14:paraId="42199B29">
            <w:pPr>
              <w:jc w:val="center"/>
              <w:rPr>
                <w:rFonts w:ascii="Times New Roman"/>
                <w:sz w:val="21"/>
                <w:szCs w:val="21"/>
              </w:rPr>
            </w:pPr>
            <w:r>
              <w:rPr>
                <w:rFonts w:hint="eastAsia" w:ascii="Times New Roman"/>
                <w:sz w:val="21"/>
                <w:szCs w:val="21"/>
              </w:rPr>
              <w:t>0.0009</w:t>
            </w:r>
          </w:p>
        </w:tc>
        <w:tc>
          <w:tcPr>
            <w:tcW w:w="1050" w:type="dxa"/>
            <w:shd w:val="clear" w:color="auto" w:fill="auto"/>
            <w:vAlign w:val="center"/>
          </w:tcPr>
          <w:p w14:paraId="0E3A405A">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338F5582">
            <w:pPr>
              <w:jc w:val="center"/>
              <w:rPr>
                <w:rFonts w:ascii="Times New Roman"/>
                <w:sz w:val="21"/>
                <w:szCs w:val="21"/>
              </w:rPr>
            </w:pPr>
            <w:r>
              <w:rPr>
                <w:rFonts w:hint="eastAsia" w:ascii="Times New Roman"/>
                <w:sz w:val="21"/>
                <w:szCs w:val="21"/>
              </w:rPr>
              <w:t>0.1011</w:t>
            </w:r>
          </w:p>
        </w:tc>
        <w:tc>
          <w:tcPr>
            <w:tcW w:w="1014" w:type="dxa"/>
            <w:shd w:val="clear" w:color="auto" w:fill="auto"/>
            <w:vAlign w:val="center"/>
          </w:tcPr>
          <w:p w14:paraId="11F41BEF">
            <w:pPr>
              <w:jc w:val="center"/>
              <w:rPr>
                <w:rFonts w:ascii="Times New Roman"/>
                <w:sz w:val="21"/>
                <w:szCs w:val="21"/>
              </w:rPr>
            </w:pPr>
            <w:r>
              <w:rPr>
                <w:rFonts w:hint="eastAsia" w:ascii="Times New Roman"/>
                <w:sz w:val="21"/>
                <w:szCs w:val="21"/>
              </w:rPr>
              <w:t xml:space="preserve">0.05 </w:t>
            </w:r>
          </w:p>
        </w:tc>
      </w:tr>
      <w:tr w14:paraId="6EC9CD5F">
        <w:tblPrEx>
          <w:tblCellMar>
            <w:top w:w="0" w:type="dxa"/>
            <w:left w:w="108" w:type="dxa"/>
            <w:bottom w:w="0" w:type="dxa"/>
            <w:right w:w="108" w:type="dxa"/>
          </w:tblCellMar>
        </w:tblPrEx>
        <w:trPr>
          <w:trHeight w:val="412" w:hRule="atLeast"/>
        </w:trPr>
        <w:tc>
          <w:tcPr>
            <w:tcW w:w="1991" w:type="dxa"/>
            <w:vAlign w:val="center"/>
          </w:tcPr>
          <w:p w14:paraId="7018A1FC">
            <w:pPr>
              <w:jc w:val="center"/>
              <w:rPr>
                <w:rFonts w:ascii="Times New Roman"/>
                <w:sz w:val="21"/>
                <w:szCs w:val="21"/>
              </w:rPr>
            </w:pPr>
            <w:r>
              <w:rPr>
                <w:rFonts w:ascii="Times New Roman"/>
                <w:sz w:val="21"/>
                <w:szCs w:val="21"/>
              </w:rPr>
              <w:t>11000.0</w:t>
            </w:r>
          </w:p>
        </w:tc>
        <w:tc>
          <w:tcPr>
            <w:tcW w:w="1150" w:type="dxa"/>
            <w:vAlign w:val="center"/>
          </w:tcPr>
          <w:p w14:paraId="19CD1894">
            <w:pPr>
              <w:jc w:val="center"/>
              <w:rPr>
                <w:rFonts w:ascii="Times New Roman"/>
                <w:sz w:val="21"/>
                <w:szCs w:val="21"/>
              </w:rPr>
            </w:pPr>
            <w:r>
              <w:rPr>
                <w:rFonts w:hint="eastAsia" w:ascii="Times New Roman"/>
                <w:sz w:val="21"/>
                <w:szCs w:val="21"/>
              </w:rPr>
              <w:t>0.2808</w:t>
            </w:r>
          </w:p>
        </w:tc>
        <w:tc>
          <w:tcPr>
            <w:tcW w:w="1100" w:type="dxa"/>
            <w:gridSpan w:val="2"/>
            <w:vAlign w:val="center"/>
          </w:tcPr>
          <w:p w14:paraId="44670B7E">
            <w:pPr>
              <w:jc w:val="center"/>
              <w:rPr>
                <w:rFonts w:ascii="Times New Roman"/>
                <w:sz w:val="21"/>
                <w:szCs w:val="21"/>
              </w:rPr>
            </w:pPr>
            <w:r>
              <w:rPr>
                <w:rFonts w:hint="eastAsia" w:ascii="Times New Roman"/>
                <w:sz w:val="21"/>
                <w:szCs w:val="21"/>
              </w:rPr>
              <w:t>0.06</w:t>
            </w:r>
          </w:p>
        </w:tc>
        <w:tc>
          <w:tcPr>
            <w:tcW w:w="1084" w:type="dxa"/>
            <w:gridSpan w:val="2"/>
            <w:shd w:val="clear" w:color="auto" w:fill="auto"/>
            <w:vAlign w:val="center"/>
          </w:tcPr>
          <w:p w14:paraId="6E256DD2">
            <w:pPr>
              <w:jc w:val="center"/>
              <w:rPr>
                <w:rFonts w:ascii="Times New Roman"/>
                <w:sz w:val="21"/>
                <w:szCs w:val="21"/>
              </w:rPr>
            </w:pPr>
            <w:r>
              <w:rPr>
                <w:rFonts w:hint="eastAsia" w:ascii="Times New Roman"/>
                <w:sz w:val="21"/>
                <w:szCs w:val="21"/>
              </w:rPr>
              <w:t>0.0008</w:t>
            </w:r>
          </w:p>
        </w:tc>
        <w:tc>
          <w:tcPr>
            <w:tcW w:w="1050" w:type="dxa"/>
            <w:shd w:val="clear" w:color="auto" w:fill="auto"/>
            <w:vAlign w:val="center"/>
          </w:tcPr>
          <w:p w14:paraId="5CA0778E">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77F17AF3">
            <w:pPr>
              <w:jc w:val="center"/>
              <w:rPr>
                <w:rFonts w:ascii="Times New Roman"/>
                <w:sz w:val="21"/>
                <w:szCs w:val="21"/>
              </w:rPr>
            </w:pPr>
            <w:r>
              <w:rPr>
                <w:rFonts w:hint="eastAsia" w:ascii="Times New Roman"/>
                <w:sz w:val="21"/>
                <w:szCs w:val="21"/>
              </w:rPr>
              <w:t>0.0906</w:t>
            </w:r>
          </w:p>
        </w:tc>
        <w:tc>
          <w:tcPr>
            <w:tcW w:w="1014" w:type="dxa"/>
            <w:shd w:val="clear" w:color="auto" w:fill="auto"/>
            <w:vAlign w:val="center"/>
          </w:tcPr>
          <w:p w14:paraId="5FB6A5A3">
            <w:pPr>
              <w:jc w:val="center"/>
              <w:rPr>
                <w:rFonts w:ascii="Times New Roman"/>
                <w:sz w:val="21"/>
                <w:szCs w:val="21"/>
              </w:rPr>
            </w:pPr>
            <w:r>
              <w:rPr>
                <w:rFonts w:hint="eastAsia" w:ascii="Times New Roman"/>
                <w:sz w:val="21"/>
                <w:szCs w:val="21"/>
              </w:rPr>
              <w:t xml:space="preserve">0.05 </w:t>
            </w:r>
          </w:p>
        </w:tc>
      </w:tr>
      <w:tr w14:paraId="38DA8863">
        <w:tblPrEx>
          <w:tblCellMar>
            <w:top w:w="0" w:type="dxa"/>
            <w:left w:w="108" w:type="dxa"/>
            <w:bottom w:w="0" w:type="dxa"/>
            <w:right w:w="108" w:type="dxa"/>
          </w:tblCellMar>
        </w:tblPrEx>
        <w:trPr>
          <w:trHeight w:val="412" w:hRule="atLeast"/>
        </w:trPr>
        <w:tc>
          <w:tcPr>
            <w:tcW w:w="1991" w:type="dxa"/>
            <w:vAlign w:val="center"/>
          </w:tcPr>
          <w:p w14:paraId="7147B9E8">
            <w:pPr>
              <w:jc w:val="center"/>
              <w:rPr>
                <w:rFonts w:ascii="Times New Roman"/>
                <w:sz w:val="21"/>
                <w:szCs w:val="21"/>
              </w:rPr>
            </w:pPr>
            <w:r>
              <w:rPr>
                <w:rFonts w:ascii="Times New Roman"/>
                <w:sz w:val="21"/>
                <w:szCs w:val="21"/>
              </w:rPr>
              <w:t>12000.0</w:t>
            </w:r>
          </w:p>
        </w:tc>
        <w:tc>
          <w:tcPr>
            <w:tcW w:w="1150" w:type="dxa"/>
            <w:vAlign w:val="center"/>
          </w:tcPr>
          <w:p w14:paraId="64352DAC">
            <w:pPr>
              <w:jc w:val="center"/>
              <w:rPr>
                <w:rFonts w:ascii="Times New Roman"/>
                <w:sz w:val="21"/>
                <w:szCs w:val="21"/>
              </w:rPr>
            </w:pPr>
            <w:r>
              <w:rPr>
                <w:rFonts w:hint="eastAsia" w:ascii="Times New Roman"/>
                <w:sz w:val="21"/>
                <w:szCs w:val="21"/>
              </w:rPr>
              <w:t>0.2536</w:t>
            </w:r>
          </w:p>
        </w:tc>
        <w:tc>
          <w:tcPr>
            <w:tcW w:w="1100" w:type="dxa"/>
            <w:gridSpan w:val="2"/>
            <w:vAlign w:val="center"/>
          </w:tcPr>
          <w:p w14:paraId="30F1CBB2">
            <w:pPr>
              <w:jc w:val="center"/>
              <w:rPr>
                <w:rFonts w:ascii="Times New Roman"/>
                <w:sz w:val="21"/>
                <w:szCs w:val="21"/>
              </w:rPr>
            </w:pPr>
            <w:r>
              <w:rPr>
                <w:rFonts w:hint="eastAsia" w:ascii="Times New Roman"/>
                <w:sz w:val="21"/>
                <w:szCs w:val="21"/>
              </w:rPr>
              <w:t>0.06</w:t>
            </w:r>
          </w:p>
        </w:tc>
        <w:tc>
          <w:tcPr>
            <w:tcW w:w="1084" w:type="dxa"/>
            <w:gridSpan w:val="2"/>
            <w:shd w:val="clear" w:color="auto" w:fill="auto"/>
            <w:vAlign w:val="center"/>
          </w:tcPr>
          <w:p w14:paraId="1E4F89A8">
            <w:pPr>
              <w:jc w:val="center"/>
              <w:rPr>
                <w:rFonts w:ascii="Times New Roman"/>
                <w:sz w:val="21"/>
                <w:szCs w:val="21"/>
              </w:rPr>
            </w:pPr>
            <w:r>
              <w:rPr>
                <w:rFonts w:hint="eastAsia" w:ascii="Times New Roman"/>
                <w:sz w:val="21"/>
                <w:szCs w:val="21"/>
              </w:rPr>
              <w:t>0.0007</w:t>
            </w:r>
          </w:p>
        </w:tc>
        <w:tc>
          <w:tcPr>
            <w:tcW w:w="1050" w:type="dxa"/>
            <w:shd w:val="clear" w:color="auto" w:fill="auto"/>
            <w:vAlign w:val="center"/>
          </w:tcPr>
          <w:p w14:paraId="670ABFF4">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514D1064">
            <w:pPr>
              <w:jc w:val="center"/>
              <w:rPr>
                <w:rFonts w:ascii="Times New Roman"/>
                <w:sz w:val="21"/>
                <w:szCs w:val="21"/>
              </w:rPr>
            </w:pPr>
            <w:r>
              <w:rPr>
                <w:rFonts w:hint="eastAsia" w:ascii="Times New Roman"/>
                <w:sz w:val="21"/>
                <w:szCs w:val="21"/>
              </w:rPr>
              <w:t>0.0818</w:t>
            </w:r>
          </w:p>
        </w:tc>
        <w:tc>
          <w:tcPr>
            <w:tcW w:w="1014" w:type="dxa"/>
            <w:shd w:val="clear" w:color="auto" w:fill="auto"/>
            <w:vAlign w:val="center"/>
          </w:tcPr>
          <w:p w14:paraId="4D3D5067">
            <w:pPr>
              <w:jc w:val="center"/>
              <w:rPr>
                <w:rFonts w:ascii="Times New Roman"/>
                <w:sz w:val="21"/>
                <w:szCs w:val="21"/>
              </w:rPr>
            </w:pPr>
            <w:r>
              <w:rPr>
                <w:rFonts w:hint="eastAsia" w:ascii="Times New Roman"/>
                <w:sz w:val="21"/>
                <w:szCs w:val="21"/>
              </w:rPr>
              <w:t xml:space="preserve">0.04 </w:t>
            </w:r>
          </w:p>
        </w:tc>
      </w:tr>
      <w:tr w14:paraId="1CC24888">
        <w:tblPrEx>
          <w:tblCellMar>
            <w:top w:w="0" w:type="dxa"/>
            <w:left w:w="108" w:type="dxa"/>
            <w:bottom w:w="0" w:type="dxa"/>
            <w:right w:w="108" w:type="dxa"/>
          </w:tblCellMar>
        </w:tblPrEx>
        <w:trPr>
          <w:trHeight w:val="412" w:hRule="atLeast"/>
        </w:trPr>
        <w:tc>
          <w:tcPr>
            <w:tcW w:w="1991" w:type="dxa"/>
            <w:vAlign w:val="center"/>
          </w:tcPr>
          <w:p w14:paraId="14A95FFA">
            <w:pPr>
              <w:jc w:val="center"/>
              <w:rPr>
                <w:rFonts w:ascii="Times New Roman"/>
                <w:sz w:val="21"/>
                <w:szCs w:val="21"/>
              </w:rPr>
            </w:pPr>
            <w:r>
              <w:rPr>
                <w:rFonts w:ascii="Times New Roman"/>
                <w:sz w:val="21"/>
                <w:szCs w:val="21"/>
              </w:rPr>
              <w:t>13000.0</w:t>
            </w:r>
          </w:p>
        </w:tc>
        <w:tc>
          <w:tcPr>
            <w:tcW w:w="1150" w:type="dxa"/>
            <w:vAlign w:val="center"/>
          </w:tcPr>
          <w:p w14:paraId="55E25EA5">
            <w:pPr>
              <w:jc w:val="center"/>
              <w:rPr>
                <w:rFonts w:ascii="Times New Roman"/>
                <w:sz w:val="21"/>
                <w:szCs w:val="21"/>
              </w:rPr>
            </w:pPr>
            <w:r>
              <w:rPr>
                <w:rFonts w:hint="eastAsia" w:ascii="Times New Roman"/>
                <w:sz w:val="21"/>
                <w:szCs w:val="21"/>
              </w:rPr>
              <w:t>0.2306</w:t>
            </w:r>
          </w:p>
        </w:tc>
        <w:tc>
          <w:tcPr>
            <w:tcW w:w="1100" w:type="dxa"/>
            <w:gridSpan w:val="2"/>
            <w:vAlign w:val="center"/>
          </w:tcPr>
          <w:p w14:paraId="56902FA4">
            <w:pPr>
              <w:jc w:val="center"/>
              <w:rPr>
                <w:rFonts w:ascii="Times New Roman"/>
                <w:sz w:val="21"/>
                <w:szCs w:val="21"/>
              </w:rPr>
            </w:pPr>
            <w:r>
              <w:rPr>
                <w:rFonts w:hint="eastAsia" w:ascii="Times New Roman"/>
                <w:sz w:val="21"/>
                <w:szCs w:val="21"/>
              </w:rPr>
              <w:t>0.05</w:t>
            </w:r>
          </w:p>
        </w:tc>
        <w:tc>
          <w:tcPr>
            <w:tcW w:w="1084" w:type="dxa"/>
            <w:gridSpan w:val="2"/>
            <w:shd w:val="clear" w:color="auto" w:fill="auto"/>
            <w:vAlign w:val="center"/>
          </w:tcPr>
          <w:p w14:paraId="174C18D9">
            <w:pPr>
              <w:jc w:val="center"/>
              <w:rPr>
                <w:rFonts w:ascii="Times New Roman"/>
                <w:sz w:val="21"/>
                <w:szCs w:val="21"/>
              </w:rPr>
            </w:pPr>
            <w:r>
              <w:rPr>
                <w:rFonts w:hint="eastAsia" w:ascii="Times New Roman"/>
                <w:sz w:val="21"/>
                <w:szCs w:val="21"/>
              </w:rPr>
              <w:t>0.0006</w:t>
            </w:r>
          </w:p>
        </w:tc>
        <w:tc>
          <w:tcPr>
            <w:tcW w:w="1050" w:type="dxa"/>
            <w:shd w:val="clear" w:color="auto" w:fill="auto"/>
            <w:vAlign w:val="center"/>
          </w:tcPr>
          <w:p w14:paraId="6FAAABFD">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60C451C8">
            <w:pPr>
              <w:jc w:val="center"/>
              <w:rPr>
                <w:rFonts w:ascii="Times New Roman"/>
                <w:sz w:val="21"/>
                <w:szCs w:val="21"/>
              </w:rPr>
            </w:pPr>
            <w:r>
              <w:rPr>
                <w:rFonts w:hint="eastAsia" w:ascii="Times New Roman"/>
                <w:sz w:val="21"/>
                <w:szCs w:val="21"/>
              </w:rPr>
              <w:t>0.0744</w:t>
            </w:r>
          </w:p>
        </w:tc>
        <w:tc>
          <w:tcPr>
            <w:tcW w:w="1014" w:type="dxa"/>
            <w:shd w:val="clear" w:color="auto" w:fill="auto"/>
            <w:vAlign w:val="center"/>
          </w:tcPr>
          <w:p w14:paraId="1B38F868">
            <w:pPr>
              <w:jc w:val="center"/>
              <w:rPr>
                <w:rFonts w:ascii="Times New Roman"/>
                <w:sz w:val="21"/>
                <w:szCs w:val="21"/>
              </w:rPr>
            </w:pPr>
            <w:r>
              <w:rPr>
                <w:rFonts w:hint="eastAsia" w:ascii="Times New Roman"/>
                <w:sz w:val="21"/>
                <w:szCs w:val="21"/>
              </w:rPr>
              <w:t xml:space="preserve">0.04 </w:t>
            </w:r>
          </w:p>
        </w:tc>
      </w:tr>
      <w:tr w14:paraId="01CF0A95">
        <w:tblPrEx>
          <w:tblCellMar>
            <w:top w:w="0" w:type="dxa"/>
            <w:left w:w="108" w:type="dxa"/>
            <w:bottom w:w="0" w:type="dxa"/>
            <w:right w:w="108" w:type="dxa"/>
          </w:tblCellMar>
        </w:tblPrEx>
        <w:trPr>
          <w:trHeight w:val="412" w:hRule="atLeast"/>
        </w:trPr>
        <w:tc>
          <w:tcPr>
            <w:tcW w:w="1991" w:type="dxa"/>
            <w:vAlign w:val="center"/>
          </w:tcPr>
          <w:p w14:paraId="254B28E7">
            <w:pPr>
              <w:jc w:val="center"/>
              <w:rPr>
                <w:rFonts w:ascii="Times New Roman"/>
                <w:sz w:val="21"/>
                <w:szCs w:val="21"/>
              </w:rPr>
            </w:pPr>
            <w:r>
              <w:rPr>
                <w:rFonts w:ascii="Times New Roman"/>
                <w:sz w:val="21"/>
                <w:szCs w:val="21"/>
              </w:rPr>
              <w:t>14000.0</w:t>
            </w:r>
          </w:p>
        </w:tc>
        <w:tc>
          <w:tcPr>
            <w:tcW w:w="1150" w:type="dxa"/>
            <w:vAlign w:val="center"/>
          </w:tcPr>
          <w:p w14:paraId="27378AD3">
            <w:pPr>
              <w:jc w:val="center"/>
              <w:rPr>
                <w:rFonts w:ascii="Times New Roman"/>
                <w:sz w:val="21"/>
                <w:szCs w:val="21"/>
              </w:rPr>
            </w:pPr>
            <w:r>
              <w:rPr>
                <w:rFonts w:hint="eastAsia" w:ascii="Times New Roman"/>
                <w:sz w:val="21"/>
                <w:szCs w:val="21"/>
              </w:rPr>
              <w:t>0.2109</w:t>
            </w:r>
          </w:p>
        </w:tc>
        <w:tc>
          <w:tcPr>
            <w:tcW w:w="1100" w:type="dxa"/>
            <w:gridSpan w:val="2"/>
            <w:vAlign w:val="center"/>
          </w:tcPr>
          <w:p w14:paraId="57A8297B">
            <w:pPr>
              <w:jc w:val="center"/>
              <w:rPr>
                <w:rFonts w:ascii="Times New Roman"/>
                <w:sz w:val="21"/>
                <w:szCs w:val="21"/>
              </w:rPr>
            </w:pPr>
            <w:r>
              <w:rPr>
                <w:rFonts w:hint="eastAsia" w:ascii="Times New Roman"/>
                <w:sz w:val="21"/>
                <w:szCs w:val="21"/>
              </w:rPr>
              <w:t>0.05</w:t>
            </w:r>
          </w:p>
        </w:tc>
        <w:tc>
          <w:tcPr>
            <w:tcW w:w="1084" w:type="dxa"/>
            <w:gridSpan w:val="2"/>
            <w:shd w:val="clear" w:color="auto" w:fill="auto"/>
            <w:vAlign w:val="center"/>
          </w:tcPr>
          <w:p w14:paraId="6CADEC7B">
            <w:pPr>
              <w:jc w:val="center"/>
              <w:rPr>
                <w:rFonts w:ascii="Times New Roman"/>
                <w:sz w:val="21"/>
                <w:szCs w:val="21"/>
              </w:rPr>
            </w:pPr>
            <w:r>
              <w:rPr>
                <w:rFonts w:hint="eastAsia" w:ascii="Times New Roman"/>
                <w:sz w:val="21"/>
                <w:szCs w:val="21"/>
              </w:rPr>
              <w:t>0.0006</w:t>
            </w:r>
          </w:p>
        </w:tc>
        <w:tc>
          <w:tcPr>
            <w:tcW w:w="1050" w:type="dxa"/>
            <w:shd w:val="clear" w:color="auto" w:fill="auto"/>
            <w:vAlign w:val="center"/>
          </w:tcPr>
          <w:p w14:paraId="799A9166">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7444B613">
            <w:pPr>
              <w:jc w:val="center"/>
              <w:rPr>
                <w:rFonts w:ascii="Times New Roman"/>
                <w:sz w:val="21"/>
                <w:szCs w:val="21"/>
              </w:rPr>
            </w:pPr>
            <w:r>
              <w:rPr>
                <w:rFonts w:hint="eastAsia" w:ascii="Times New Roman"/>
                <w:sz w:val="21"/>
                <w:szCs w:val="21"/>
              </w:rPr>
              <w:t>0.068</w:t>
            </w:r>
          </w:p>
        </w:tc>
        <w:tc>
          <w:tcPr>
            <w:tcW w:w="1014" w:type="dxa"/>
            <w:shd w:val="clear" w:color="auto" w:fill="auto"/>
            <w:vAlign w:val="center"/>
          </w:tcPr>
          <w:p w14:paraId="6A87EB21">
            <w:pPr>
              <w:jc w:val="center"/>
              <w:rPr>
                <w:rFonts w:ascii="Times New Roman"/>
                <w:sz w:val="21"/>
                <w:szCs w:val="21"/>
              </w:rPr>
            </w:pPr>
            <w:r>
              <w:rPr>
                <w:rFonts w:hint="eastAsia" w:ascii="Times New Roman"/>
                <w:sz w:val="21"/>
                <w:szCs w:val="21"/>
              </w:rPr>
              <w:t xml:space="preserve">0.03 </w:t>
            </w:r>
          </w:p>
        </w:tc>
      </w:tr>
      <w:tr w14:paraId="5B005D9C">
        <w:tblPrEx>
          <w:tblCellMar>
            <w:top w:w="0" w:type="dxa"/>
            <w:left w:w="108" w:type="dxa"/>
            <w:bottom w:w="0" w:type="dxa"/>
            <w:right w:w="108" w:type="dxa"/>
          </w:tblCellMar>
        </w:tblPrEx>
        <w:trPr>
          <w:trHeight w:val="412" w:hRule="atLeast"/>
        </w:trPr>
        <w:tc>
          <w:tcPr>
            <w:tcW w:w="1991" w:type="dxa"/>
            <w:vAlign w:val="center"/>
          </w:tcPr>
          <w:p w14:paraId="52AE2A17">
            <w:pPr>
              <w:jc w:val="center"/>
              <w:rPr>
                <w:rFonts w:ascii="Times New Roman"/>
                <w:sz w:val="21"/>
                <w:szCs w:val="21"/>
              </w:rPr>
            </w:pPr>
            <w:r>
              <w:rPr>
                <w:rFonts w:ascii="Times New Roman"/>
                <w:sz w:val="21"/>
                <w:szCs w:val="21"/>
              </w:rPr>
              <w:t>15000.0</w:t>
            </w:r>
          </w:p>
        </w:tc>
        <w:tc>
          <w:tcPr>
            <w:tcW w:w="1150" w:type="dxa"/>
            <w:vAlign w:val="center"/>
          </w:tcPr>
          <w:p w14:paraId="337738D4">
            <w:pPr>
              <w:jc w:val="center"/>
              <w:rPr>
                <w:rFonts w:ascii="Times New Roman"/>
                <w:sz w:val="21"/>
                <w:szCs w:val="21"/>
              </w:rPr>
            </w:pPr>
            <w:r>
              <w:rPr>
                <w:rFonts w:hint="eastAsia" w:ascii="Times New Roman"/>
                <w:sz w:val="21"/>
                <w:szCs w:val="21"/>
              </w:rPr>
              <w:t>0.1939</w:t>
            </w:r>
          </w:p>
        </w:tc>
        <w:tc>
          <w:tcPr>
            <w:tcW w:w="1100" w:type="dxa"/>
            <w:gridSpan w:val="2"/>
            <w:vAlign w:val="center"/>
          </w:tcPr>
          <w:p w14:paraId="37B858CB">
            <w:pPr>
              <w:jc w:val="center"/>
              <w:rPr>
                <w:rFonts w:ascii="Times New Roman"/>
                <w:sz w:val="21"/>
                <w:szCs w:val="21"/>
              </w:rPr>
            </w:pPr>
            <w:r>
              <w:rPr>
                <w:rFonts w:hint="eastAsia" w:ascii="Times New Roman"/>
                <w:sz w:val="21"/>
                <w:szCs w:val="21"/>
              </w:rPr>
              <w:t>0.04</w:t>
            </w:r>
          </w:p>
        </w:tc>
        <w:tc>
          <w:tcPr>
            <w:tcW w:w="1084" w:type="dxa"/>
            <w:gridSpan w:val="2"/>
            <w:shd w:val="clear" w:color="auto" w:fill="auto"/>
            <w:vAlign w:val="center"/>
          </w:tcPr>
          <w:p w14:paraId="7B3087A9">
            <w:pPr>
              <w:jc w:val="center"/>
              <w:rPr>
                <w:rFonts w:ascii="Times New Roman"/>
                <w:sz w:val="21"/>
                <w:szCs w:val="21"/>
              </w:rPr>
            </w:pPr>
            <w:r>
              <w:rPr>
                <w:rFonts w:hint="eastAsia" w:ascii="Times New Roman"/>
                <w:sz w:val="21"/>
                <w:szCs w:val="21"/>
              </w:rPr>
              <w:t>0.0005</w:t>
            </w:r>
          </w:p>
        </w:tc>
        <w:tc>
          <w:tcPr>
            <w:tcW w:w="1050" w:type="dxa"/>
            <w:shd w:val="clear" w:color="auto" w:fill="auto"/>
            <w:vAlign w:val="center"/>
          </w:tcPr>
          <w:p w14:paraId="42936867">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00A3412D">
            <w:pPr>
              <w:jc w:val="center"/>
              <w:rPr>
                <w:rFonts w:ascii="Times New Roman"/>
                <w:sz w:val="21"/>
                <w:szCs w:val="21"/>
              </w:rPr>
            </w:pPr>
            <w:r>
              <w:rPr>
                <w:rFonts w:hint="eastAsia" w:ascii="Times New Roman"/>
                <w:sz w:val="21"/>
                <w:szCs w:val="21"/>
              </w:rPr>
              <w:t>0.0625</w:t>
            </w:r>
          </w:p>
        </w:tc>
        <w:tc>
          <w:tcPr>
            <w:tcW w:w="1014" w:type="dxa"/>
            <w:shd w:val="clear" w:color="auto" w:fill="auto"/>
            <w:vAlign w:val="center"/>
          </w:tcPr>
          <w:p w14:paraId="4F8DA966">
            <w:pPr>
              <w:jc w:val="center"/>
              <w:rPr>
                <w:rFonts w:ascii="Times New Roman"/>
                <w:sz w:val="21"/>
                <w:szCs w:val="21"/>
              </w:rPr>
            </w:pPr>
            <w:r>
              <w:rPr>
                <w:rFonts w:hint="eastAsia" w:ascii="Times New Roman"/>
                <w:sz w:val="21"/>
                <w:szCs w:val="21"/>
              </w:rPr>
              <w:t xml:space="preserve">0.03 </w:t>
            </w:r>
          </w:p>
        </w:tc>
      </w:tr>
      <w:tr w14:paraId="1399D774">
        <w:tblPrEx>
          <w:tblCellMar>
            <w:top w:w="0" w:type="dxa"/>
            <w:left w:w="108" w:type="dxa"/>
            <w:bottom w:w="0" w:type="dxa"/>
            <w:right w:w="108" w:type="dxa"/>
          </w:tblCellMar>
        </w:tblPrEx>
        <w:trPr>
          <w:trHeight w:val="412" w:hRule="atLeast"/>
        </w:trPr>
        <w:tc>
          <w:tcPr>
            <w:tcW w:w="1991" w:type="dxa"/>
            <w:vAlign w:val="center"/>
          </w:tcPr>
          <w:p w14:paraId="14D02409">
            <w:pPr>
              <w:jc w:val="center"/>
              <w:rPr>
                <w:rFonts w:ascii="Times New Roman"/>
                <w:sz w:val="21"/>
                <w:szCs w:val="21"/>
              </w:rPr>
            </w:pPr>
            <w:r>
              <w:rPr>
                <w:rFonts w:ascii="Times New Roman"/>
                <w:sz w:val="21"/>
                <w:szCs w:val="21"/>
              </w:rPr>
              <w:t>20000.0</w:t>
            </w:r>
          </w:p>
        </w:tc>
        <w:tc>
          <w:tcPr>
            <w:tcW w:w="1150" w:type="dxa"/>
            <w:vAlign w:val="center"/>
          </w:tcPr>
          <w:p w14:paraId="53FBCDF4">
            <w:pPr>
              <w:jc w:val="center"/>
              <w:rPr>
                <w:rFonts w:ascii="Times New Roman"/>
                <w:sz w:val="21"/>
                <w:szCs w:val="21"/>
              </w:rPr>
            </w:pPr>
            <w:r>
              <w:rPr>
                <w:rFonts w:hint="eastAsia" w:ascii="Times New Roman"/>
                <w:sz w:val="21"/>
                <w:szCs w:val="21"/>
              </w:rPr>
              <w:t>0.1357</w:t>
            </w:r>
          </w:p>
        </w:tc>
        <w:tc>
          <w:tcPr>
            <w:tcW w:w="1100" w:type="dxa"/>
            <w:gridSpan w:val="2"/>
            <w:vAlign w:val="center"/>
          </w:tcPr>
          <w:p w14:paraId="261E05C4">
            <w:pPr>
              <w:jc w:val="center"/>
              <w:rPr>
                <w:rFonts w:ascii="Times New Roman"/>
                <w:sz w:val="21"/>
                <w:szCs w:val="21"/>
              </w:rPr>
            </w:pPr>
            <w:r>
              <w:rPr>
                <w:rFonts w:hint="eastAsia" w:ascii="Times New Roman"/>
                <w:sz w:val="21"/>
                <w:szCs w:val="21"/>
              </w:rPr>
              <w:t>0.03</w:t>
            </w:r>
          </w:p>
        </w:tc>
        <w:tc>
          <w:tcPr>
            <w:tcW w:w="1084" w:type="dxa"/>
            <w:gridSpan w:val="2"/>
            <w:shd w:val="clear" w:color="auto" w:fill="auto"/>
            <w:vAlign w:val="center"/>
          </w:tcPr>
          <w:p w14:paraId="678E8D45">
            <w:pPr>
              <w:jc w:val="center"/>
              <w:rPr>
                <w:rFonts w:ascii="Times New Roman"/>
                <w:sz w:val="21"/>
                <w:szCs w:val="21"/>
              </w:rPr>
            </w:pPr>
            <w:r>
              <w:rPr>
                <w:rFonts w:hint="eastAsia" w:ascii="Times New Roman"/>
                <w:sz w:val="21"/>
                <w:szCs w:val="21"/>
              </w:rPr>
              <w:t>0.0004</w:t>
            </w:r>
          </w:p>
        </w:tc>
        <w:tc>
          <w:tcPr>
            <w:tcW w:w="1050" w:type="dxa"/>
            <w:shd w:val="clear" w:color="auto" w:fill="auto"/>
            <w:vAlign w:val="center"/>
          </w:tcPr>
          <w:p w14:paraId="5936DEE1">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42E083F1">
            <w:pPr>
              <w:jc w:val="center"/>
              <w:rPr>
                <w:rFonts w:ascii="Times New Roman"/>
                <w:sz w:val="21"/>
                <w:szCs w:val="21"/>
              </w:rPr>
            </w:pPr>
            <w:r>
              <w:rPr>
                <w:rFonts w:hint="eastAsia" w:ascii="Times New Roman"/>
                <w:sz w:val="21"/>
                <w:szCs w:val="21"/>
              </w:rPr>
              <w:t>0.0438</w:t>
            </w:r>
          </w:p>
        </w:tc>
        <w:tc>
          <w:tcPr>
            <w:tcW w:w="1014" w:type="dxa"/>
            <w:shd w:val="clear" w:color="auto" w:fill="auto"/>
            <w:vAlign w:val="center"/>
          </w:tcPr>
          <w:p w14:paraId="05EF1CDE">
            <w:pPr>
              <w:jc w:val="center"/>
              <w:rPr>
                <w:rFonts w:ascii="Times New Roman"/>
                <w:sz w:val="21"/>
                <w:szCs w:val="21"/>
              </w:rPr>
            </w:pPr>
            <w:r>
              <w:rPr>
                <w:rFonts w:hint="eastAsia" w:ascii="Times New Roman"/>
                <w:sz w:val="21"/>
                <w:szCs w:val="21"/>
              </w:rPr>
              <w:t xml:space="preserve">0.02 </w:t>
            </w:r>
          </w:p>
        </w:tc>
      </w:tr>
      <w:tr w14:paraId="0D985CAE">
        <w:tblPrEx>
          <w:tblCellMar>
            <w:top w:w="0" w:type="dxa"/>
            <w:left w:w="108" w:type="dxa"/>
            <w:bottom w:w="0" w:type="dxa"/>
            <w:right w:w="108" w:type="dxa"/>
          </w:tblCellMar>
        </w:tblPrEx>
        <w:trPr>
          <w:trHeight w:val="412" w:hRule="atLeast"/>
        </w:trPr>
        <w:tc>
          <w:tcPr>
            <w:tcW w:w="1991" w:type="dxa"/>
            <w:vAlign w:val="center"/>
          </w:tcPr>
          <w:p w14:paraId="07CF7611">
            <w:pPr>
              <w:jc w:val="center"/>
              <w:rPr>
                <w:rFonts w:ascii="Times New Roman"/>
                <w:sz w:val="21"/>
                <w:szCs w:val="21"/>
              </w:rPr>
            </w:pPr>
            <w:r>
              <w:rPr>
                <w:rFonts w:ascii="Times New Roman"/>
                <w:sz w:val="21"/>
                <w:szCs w:val="21"/>
              </w:rPr>
              <w:t>25000.0</w:t>
            </w:r>
          </w:p>
        </w:tc>
        <w:tc>
          <w:tcPr>
            <w:tcW w:w="1150" w:type="dxa"/>
            <w:vAlign w:val="center"/>
          </w:tcPr>
          <w:p w14:paraId="3311A7A7">
            <w:pPr>
              <w:jc w:val="center"/>
              <w:rPr>
                <w:rFonts w:ascii="Times New Roman"/>
                <w:sz w:val="21"/>
                <w:szCs w:val="21"/>
              </w:rPr>
            </w:pPr>
            <w:r>
              <w:rPr>
                <w:rFonts w:hint="eastAsia" w:ascii="Times New Roman"/>
                <w:sz w:val="21"/>
                <w:szCs w:val="21"/>
              </w:rPr>
              <w:t>0.1023</w:t>
            </w:r>
          </w:p>
        </w:tc>
        <w:tc>
          <w:tcPr>
            <w:tcW w:w="1100" w:type="dxa"/>
            <w:gridSpan w:val="2"/>
            <w:vAlign w:val="center"/>
          </w:tcPr>
          <w:p w14:paraId="18F45B49">
            <w:pPr>
              <w:jc w:val="center"/>
              <w:rPr>
                <w:rFonts w:ascii="Times New Roman"/>
                <w:sz w:val="21"/>
                <w:szCs w:val="21"/>
              </w:rPr>
            </w:pPr>
            <w:r>
              <w:rPr>
                <w:rFonts w:hint="eastAsia" w:ascii="Times New Roman"/>
                <w:sz w:val="21"/>
                <w:szCs w:val="21"/>
              </w:rPr>
              <w:t>0.02</w:t>
            </w:r>
          </w:p>
        </w:tc>
        <w:tc>
          <w:tcPr>
            <w:tcW w:w="1084" w:type="dxa"/>
            <w:gridSpan w:val="2"/>
            <w:shd w:val="clear" w:color="auto" w:fill="auto"/>
            <w:vAlign w:val="center"/>
          </w:tcPr>
          <w:p w14:paraId="37ED9128">
            <w:pPr>
              <w:jc w:val="center"/>
              <w:rPr>
                <w:rFonts w:ascii="Times New Roman"/>
                <w:sz w:val="21"/>
                <w:szCs w:val="21"/>
              </w:rPr>
            </w:pPr>
            <w:r>
              <w:rPr>
                <w:rFonts w:hint="eastAsia" w:ascii="Times New Roman"/>
                <w:sz w:val="21"/>
                <w:szCs w:val="21"/>
              </w:rPr>
              <w:t>0.0003</w:t>
            </w:r>
          </w:p>
        </w:tc>
        <w:tc>
          <w:tcPr>
            <w:tcW w:w="1050" w:type="dxa"/>
            <w:shd w:val="clear" w:color="auto" w:fill="auto"/>
            <w:vAlign w:val="center"/>
          </w:tcPr>
          <w:p w14:paraId="745624B6">
            <w:pPr>
              <w:jc w:val="center"/>
              <w:rPr>
                <w:rFonts w:ascii="Times New Roman"/>
                <w:sz w:val="21"/>
                <w:szCs w:val="21"/>
              </w:rPr>
            </w:pPr>
            <w:r>
              <w:rPr>
                <w:rFonts w:hint="eastAsia" w:ascii="Times New Roman"/>
                <w:sz w:val="21"/>
                <w:szCs w:val="21"/>
              </w:rPr>
              <w:t>0</w:t>
            </w:r>
          </w:p>
        </w:tc>
        <w:tc>
          <w:tcPr>
            <w:tcW w:w="1150" w:type="dxa"/>
            <w:gridSpan w:val="2"/>
            <w:shd w:val="clear" w:color="auto" w:fill="auto"/>
            <w:vAlign w:val="center"/>
          </w:tcPr>
          <w:p w14:paraId="341FAE85">
            <w:pPr>
              <w:jc w:val="center"/>
              <w:rPr>
                <w:rFonts w:ascii="Times New Roman"/>
                <w:sz w:val="21"/>
                <w:szCs w:val="21"/>
              </w:rPr>
            </w:pPr>
            <w:r>
              <w:rPr>
                <w:rFonts w:hint="eastAsia" w:ascii="Times New Roman"/>
                <w:sz w:val="21"/>
                <w:szCs w:val="21"/>
              </w:rPr>
              <w:t>0.033</w:t>
            </w:r>
          </w:p>
        </w:tc>
        <w:tc>
          <w:tcPr>
            <w:tcW w:w="1014" w:type="dxa"/>
            <w:shd w:val="clear" w:color="auto" w:fill="auto"/>
            <w:vAlign w:val="center"/>
          </w:tcPr>
          <w:p w14:paraId="2595B169">
            <w:pPr>
              <w:jc w:val="center"/>
              <w:rPr>
                <w:rFonts w:ascii="Times New Roman"/>
                <w:sz w:val="21"/>
                <w:szCs w:val="21"/>
              </w:rPr>
            </w:pPr>
            <w:r>
              <w:rPr>
                <w:rFonts w:hint="eastAsia" w:ascii="Times New Roman"/>
                <w:sz w:val="21"/>
                <w:szCs w:val="21"/>
              </w:rPr>
              <w:t xml:space="preserve">0.02 </w:t>
            </w:r>
          </w:p>
        </w:tc>
      </w:tr>
      <w:tr w14:paraId="5F601326">
        <w:tblPrEx>
          <w:tblCellMar>
            <w:top w:w="0" w:type="dxa"/>
            <w:left w:w="108" w:type="dxa"/>
            <w:bottom w:w="0" w:type="dxa"/>
            <w:right w:w="108" w:type="dxa"/>
          </w:tblCellMar>
        </w:tblPrEx>
        <w:trPr>
          <w:trHeight w:val="412" w:hRule="atLeast"/>
        </w:trPr>
        <w:tc>
          <w:tcPr>
            <w:tcW w:w="1991" w:type="dxa"/>
            <w:vAlign w:val="center"/>
          </w:tcPr>
          <w:p w14:paraId="5D5C641B">
            <w:pPr>
              <w:jc w:val="center"/>
              <w:rPr>
                <w:rFonts w:ascii="Times New Roman"/>
                <w:sz w:val="21"/>
                <w:szCs w:val="21"/>
              </w:rPr>
            </w:pPr>
            <w:r>
              <w:rPr>
                <w:rFonts w:ascii="Times New Roman"/>
                <w:sz w:val="21"/>
                <w:szCs w:val="21"/>
              </w:rPr>
              <w:t>下风向最大浓度</w:t>
            </w:r>
          </w:p>
        </w:tc>
        <w:tc>
          <w:tcPr>
            <w:tcW w:w="1150" w:type="dxa"/>
            <w:vAlign w:val="center"/>
          </w:tcPr>
          <w:p w14:paraId="7DA65F28">
            <w:pPr>
              <w:jc w:val="center"/>
              <w:rPr>
                <w:rFonts w:ascii="Times New Roman"/>
                <w:sz w:val="21"/>
                <w:szCs w:val="21"/>
              </w:rPr>
            </w:pPr>
            <w:r>
              <w:rPr>
                <w:rFonts w:hint="eastAsia" w:ascii="Times New Roman"/>
                <w:sz w:val="21"/>
                <w:szCs w:val="21"/>
              </w:rPr>
              <w:t>6.9505</w:t>
            </w:r>
          </w:p>
        </w:tc>
        <w:tc>
          <w:tcPr>
            <w:tcW w:w="1100" w:type="dxa"/>
            <w:gridSpan w:val="2"/>
            <w:vAlign w:val="center"/>
          </w:tcPr>
          <w:p w14:paraId="2A4FDC1F">
            <w:pPr>
              <w:jc w:val="center"/>
              <w:rPr>
                <w:rFonts w:ascii="Times New Roman"/>
                <w:sz w:val="21"/>
                <w:szCs w:val="21"/>
              </w:rPr>
            </w:pPr>
            <w:r>
              <w:rPr>
                <w:rFonts w:hint="eastAsia" w:ascii="Times New Roman"/>
                <w:sz w:val="21"/>
                <w:szCs w:val="21"/>
              </w:rPr>
              <w:t>1.54</w:t>
            </w:r>
          </w:p>
        </w:tc>
        <w:tc>
          <w:tcPr>
            <w:tcW w:w="1084" w:type="dxa"/>
            <w:gridSpan w:val="2"/>
            <w:shd w:val="clear" w:color="auto" w:fill="auto"/>
            <w:vAlign w:val="center"/>
          </w:tcPr>
          <w:p w14:paraId="1253512D">
            <w:pPr>
              <w:jc w:val="center"/>
              <w:rPr>
                <w:rFonts w:ascii="Times New Roman"/>
                <w:sz w:val="21"/>
                <w:szCs w:val="21"/>
              </w:rPr>
            </w:pPr>
            <w:r>
              <w:rPr>
                <w:rFonts w:hint="eastAsia" w:ascii="Times New Roman"/>
                <w:sz w:val="21"/>
                <w:szCs w:val="21"/>
              </w:rPr>
              <w:t>0.0192</w:t>
            </w:r>
          </w:p>
        </w:tc>
        <w:tc>
          <w:tcPr>
            <w:tcW w:w="1050" w:type="dxa"/>
            <w:shd w:val="clear" w:color="auto" w:fill="auto"/>
            <w:vAlign w:val="center"/>
          </w:tcPr>
          <w:p w14:paraId="04C7A749">
            <w:pPr>
              <w:jc w:val="center"/>
              <w:rPr>
                <w:rFonts w:ascii="Times New Roman"/>
                <w:sz w:val="21"/>
                <w:szCs w:val="21"/>
              </w:rPr>
            </w:pPr>
            <w:r>
              <w:rPr>
                <w:rFonts w:ascii="Times New Roman"/>
                <w:sz w:val="21"/>
                <w:szCs w:val="21"/>
              </w:rPr>
              <w:t>0.</w:t>
            </w:r>
            <w:r>
              <w:rPr>
                <w:rFonts w:hint="eastAsia" w:ascii="Times New Roman"/>
                <w:sz w:val="21"/>
                <w:szCs w:val="21"/>
              </w:rPr>
              <w:t>00</w:t>
            </w:r>
          </w:p>
        </w:tc>
        <w:tc>
          <w:tcPr>
            <w:tcW w:w="1150" w:type="dxa"/>
            <w:gridSpan w:val="2"/>
            <w:shd w:val="clear" w:color="auto" w:fill="auto"/>
            <w:vAlign w:val="center"/>
          </w:tcPr>
          <w:p w14:paraId="15DD9E9D">
            <w:pPr>
              <w:jc w:val="center"/>
              <w:rPr>
                <w:rFonts w:ascii="Times New Roman"/>
                <w:sz w:val="21"/>
                <w:szCs w:val="21"/>
              </w:rPr>
            </w:pPr>
            <w:r>
              <w:rPr>
                <w:rFonts w:hint="eastAsia" w:ascii="Times New Roman"/>
                <w:sz w:val="21"/>
                <w:szCs w:val="21"/>
              </w:rPr>
              <w:t>2.2497</w:t>
            </w:r>
          </w:p>
        </w:tc>
        <w:tc>
          <w:tcPr>
            <w:tcW w:w="1014" w:type="dxa"/>
            <w:shd w:val="clear" w:color="auto" w:fill="auto"/>
            <w:vAlign w:val="center"/>
          </w:tcPr>
          <w:p w14:paraId="734A1AFD">
            <w:pPr>
              <w:jc w:val="center"/>
              <w:rPr>
                <w:rFonts w:ascii="Times New Roman"/>
                <w:sz w:val="21"/>
                <w:szCs w:val="21"/>
              </w:rPr>
            </w:pPr>
            <w:r>
              <w:rPr>
                <w:rFonts w:hint="eastAsia" w:ascii="Times New Roman"/>
                <w:sz w:val="21"/>
                <w:szCs w:val="21"/>
              </w:rPr>
              <w:t>1.12</w:t>
            </w:r>
          </w:p>
        </w:tc>
      </w:tr>
      <w:tr w14:paraId="2587927D">
        <w:tblPrEx>
          <w:tblCellMar>
            <w:top w:w="0" w:type="dxa"/>
            <w:left w:w="108" w:type="dxa"/>
            <w:bottom w:w="0" w:type="dxa"/>
            <w:right w:w="108" w:type="dxa"/>
          </w:tblCellMar>
        </w:tblPrEx>
        <w:trPr>
          <w:trHeight w:val="525" w:hRule="atLeast"/>
        </w:trPr>
        <w:tc>
          <w:tcPr>
            <w:tcW w:w="1991" w:type="dxa"/>
            <w:vAlign w:val="center"/>
          </w:tcPr>
          <w:p w14:paraId="61758F23">
            <w:pPr>
              <w:jc w:val="center"/>
              <w:rPr>
                <w:rFonts w:ascii="Times New Roman"/>
                <w:sz w:val="21"/>
                <w:szCs w:val="21"/>
              </w:rPr>
            </w:pPr>
            <w:r>
              <w:rPr>
                <w:rFonts w:ascii="Times New Roman"/>
                <w:sz w:val="21"/>
                <w:szCs w:val="21"/>
              </w:rPr>
              <w:t>下风向最大浓度出现距离</w:t>
            </w:r>
          </w:p>
        </w:tc>
        <w:tc>
          <w:tcPr>
            <w:tcW w:w="1150" w:type="dxa"/>
            <w:vAlign w:val="center"/>
          </w:tcPr>
          <w:p w14:paraId="1CC2002E">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100" w:type="dxa"/>
            <w:gridSpan w:val="2"/>
            <w:vAlign w:val="center"/>
          </w:tcPr>
          <w:p w14:paraId="125D5355">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084" w:type="dxa"/>
            <w:gridSpan w:val="2"/>
            <w:shd w:val="clear" w:color="auto" w:fill="auto"/>
            <w:vAlign w:val="center"/>
          </w:tcPr>
          <w:p w14:paraId="2E1290BE">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050" w:type="dxa"/>
            <w:shd w:val="clear" w:color="auto" w:fill="auto"/>
            <w:vAlign w:val="center"/>
          </w:tcPr>
          <w:p w14:paraId="6EFA6523">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150" w:type="dxa"/>
            <w:gridSpan w:val="2"/>
            <w:shd w:val="clear" w:color="auto" w:fill="auto"/>
            <w:vAlign w:val="center"/>
          </w:tcPr>
          <w:p w14:paraId="4E8653AC">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014" w:type="dxa"/>
            <w:shd w:val="clear" w:color="auto" w:fill="auto"/>
            <w:vAlign w:val="center"/>
          </w:tcPr>
          <w:p w14:paraId="18E770A1">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r>
      <w:tr w14:paraId="14474780">
        <w:tblPrEx>
          <w:tblCellMar>
            <w:top w:w="0" w:type="dxa"/>
            <w:left w:w="108" w:type="dxa"/>
            <w:bottom w:w="0" w:type="dxa"/>
            <w:right w:w="108" w:type="dxa"/>
          </w:tblCellMar>
        </w:tblPrEx>
        <w:trPr>
          <w:trHeight w:val="415" w:hRule="atLeast"/>
        </w:trPr>
        <w:tc>
          <w:tcPr>
            <w:tcW w:w="1991" w:type="dxa"/>
            <w:vAlign w:val="center"/>
          </w:tcPr>
          <w:p w14:paraId="06140268">
            <w:pPr>
              <w:jc w:val="center"/>
              <w:rPr>
                <w:rFonts w:ascii="Times New Roman"/>
                <w:sz w:val="21"/>
                <w:szCs w:val="21"/>
              </w:rPr>
            </w:pPr>
            <w:r>
              <w:rPr>
                <w:rFonts w:ascii="Times New Roman"/>
                <w:sz w:val="21"/>
                <w:szCs w:val="21"/>
              </w:rPr>
              <w:t>D10%最远距离</w:t>
            </w:r>
          </w:p>
        </w:tc>
        <w:tc>
          <w:tcPr>
            <w:tcW w:w="1150" w:type="dxa"/>
            <w:vAlign w:val="center"/>
          </w:tcPr>
          <w:p w14:paraId="2E69CEA5">
            <w:pPr>
              <w:jc w:val="center"/>
              <w:rPr>
                <w:rFonts w:ascii="Times New Roman"/>
                <w:sz w:val="21"/>
                <w:szCs w:val="21"/>
              </w:rPr>
            </w:pPr>
            <w:r>
              <w:rPr>
                <w:rFonts w:ascii="Times New Roman"/>
                <w:sz w:val="21"/>
                <w:szCs w:val="21"/>
              </w:rPr>
              <w:t>/</w:t>
            </w:r>
          </w:p>
        </w:tc>
        <w:tc>
          <w:tcPr>
            <w:tcW w:w="1100" w:type="dxa"/>
            <w:gridSpan w:val="2"/>
            <w:vAlign w:val="center"/>
          </w:tcPr>
          <w:p w14:paraId="6D6C61D0">
            <w:pPr>
              <w:jc w:val="center"/>
              <w:rPr>
                <w:rFonts w:ascii="Times New Roman"/>
                <w:sz w:val="21"/>
                <w:szCs w:val="21"/>
              </w:rPr>
            </w:pPr>
            <w:r>
              <w:rPr>
                <w:rFonts w:ascii="Times New Roman"/>
                <w:sz w:val="21"/>
                <w:szCs w:val="21"/>
              </w:rPr>
              <w:t>/</w:t>
            </w:r>
          </w:p>
        </w:tc>
        <w:tc>
          <w:tcPr>
            <w:tcW w:w="1084" w:type="dxa"/>
            <w:gridSpan w:val="2"/>
            <w:shd w:val="clear" w:color="auto" w:fill="auto"/>
            <w:vAlign w:val="center"/>
          </w:tcPr>
          <w:p w14:paraId="5B042DD1">
            <w:pPr>
              <w:jc w:val="center"/>
              <w:rPr>
                <w:rFonts w:ascii="Times New Roman"/>
                <w:sz w:val="21"/>
                <w:szCs w:val="21"/>
              </w:rPr>
            </w:pPr>
            <w:r>
              <w:rPr>
                <w:rFonts w:ascii="Times New Roman"/>
                <w:sz w:val="21"/>
                <w:szCs w:val="21"/>
              </w:rPr>
              <w:t>/</w:t>
            </w:r>
          </w:p>
        </w:tc>
        <w:tc>
          <w:tcPr>
            <w:tcW w:w="1050" w:type="dxa"/>
            <w:shd w:val="clear" w:color="auto" w:fill="auto"/>
            <w:vAlign w:val="center"/>
          </w:tcPr>
          <w:p w14:paraId="5AF79FCF">
            <w:pPr>
              <w:jc w:val="center"/>
              <w:rPr>
                <w:rFonts w:ascii="Times New Roman"/>
                <w:sz w:val="21"/>
                <w:szCs w:val="21"/>
              </w:rPr>
            </w:pPr>
            <w:r>
              <w:rPr>
                <w:rFonts w:ascii="Times New Roman"/>
                <w:sz w:val="21"/>
                <w:szCs w:val="21"/>
              </w:rPr>
              <w:t>/</w:t>
            </w:r>
          </w:p>
        </w:tc>
        <w:tc>
          <w:tcPr>
            <w:tcW w:w="1150" w:type="dxa"/>
            <w:gridSpan w:val="2"/>
            <w:shd w:val="clear" w:color="auto" w:fill="auto"/>
            <w:vAlign w:val="center"/>
          </w:tcPr>
          <w:p w14:paraId="7D9161E9">
            <w:pPr>
              <w:jc w:val="center"/>
              <w:rPr>
                <w:rFonts w:ascii="Times New Roman"/>
                <w:sz w:val="21"/>
                <w:szCs w:val="21"/>
              </w:rPr>
            </w:pPr>
            <w:r>
              <w:rPr>
                <w:rFonts w:ascii="Times New Roman"/>
                <w:sz w:val="21"/>
                <w:szCs w:val="21"/>
              </w:rPr>
              <w:t>/</w:t>
            </w:r>
          </w:p>
        </w:tc>
        <w:tc>
          <w:tcPr>
            <w:tcW w:w="1014" w:type="dxa"/>
            <w:shd w:val="clear" w:color="auto" w:fill="auto"/>
            <w:vAlign w:val="center"/>
          </w:tcPr>
          <w:p w14:paraId="61E74586">
            <w:pPr>
              <w:jc w:val="center"/>
              <w:rPr>
                <w:rFonts w:ascii="Times New Roman"/>
                <w:sz w:val="21"/>
                <w:szCs w:val="21"/>
              </w:rPr>
            </w:pPr>
            <w:r>
              <w:rPr>
                <w:rFonts w:ascii="Times New Roman"/>
                <w:sz w:val="21"/>
                <w:szCs w:val="21"/>
              </w:rPr>
              <w:t>/</w:t>
            </w:r>
          </w:p>
        </w:tc>
      </w:tr>
      <w:tr w14:paraId="32A52BAE">
        <w:tblPrEx>
          <w:tblCellMar>
            <w:top w:w="0" w:type="dxa"/>
            <w:left w:w="108" w:type="dxa"/>
            <w:bottom w:w="0" w:type="dxa"/>
            <w:right w:w="108" w:type="dxa"/>
          </w:tblCellMar>
        </w:tblPrEx>
        <w:trPr>
          <w:trHeight w:val="406" w:hRule="atLeast"/>
        </w:trPr>
        <w:tc>
          <w:tcPr>
            <w:tcW w:w="1991" w:type="dxa"/>
            <w:vMerge w:val="restart"/>
            <w:vAlign w:val="center"/>
          </w:tcPr>
          <w:p w14:paraId="3199443A">
            <w:pPr>
              <w:jc w:val="center"/>
              <w:rPr>
                <w:rFonts w:ascii="Times New Roman"/>
                <w:sz w:val="21"/>
                <w:szCs w:val="21"/>
              </w:rPr>
            </w:pPr>
            <w:r>
              <w:rPr>
                <w:rFonts w:ascii="Times New Roman"/>
                <w:sz w:val="21"/>
                <w:szCs w:val="21"/>
              </w:rPr>
              <w:t>下风向距离</w:t>
            </w:r>
          </w:p>
        </w:tc>
        <w:tc>
          <w:tcPr>
            <w:tcW w:w="6548" w:type="dxa"/>
            <w:gridSpan w:val="9"/>
            <w:vAlign w:val="center"/>
          </w:tcPr>
          <w:p w14:paraId="1033CBD3">
            <w:pPr>
              <w:jc w:val="center"/>
              <w:rPr>
                <w:rFonts w:ascii="Times New Roman"/>
                <w:sz w:val="21"/>
                <w:szCs w:val="21"/>
              </w:rPr>
            </w:pPr>
            <w:r>
              <w:rPr>
                <w:rFonts w:ascii="Times New Roman"/>
                <w:kern w:val="0"/>
                <w:sz w:val="21"/>
                <w:szCs w:val="21"/>
              </w:rPr>
              <w:t>电泳、喷漆、流平、烘干固化、强冷</w:t>
            </w:r>
            <w:r>
              <w:rPr>
                <w:rFonts w:ascii="Times New Roman"/>
                <w:sz w:val="21"/>
                <w:szCs w:val="21"/>
              </w:rPr>
              <w:t>废气</w:t>
            </w:r>
            <w:r>
              <w:rPr>
                <w:rFonts w:hint="eastAsia" w:ascii="Times New Roman"/>
                <w:sz w:val="21"/>
                <w:szCs w:val="21"/>
              </w:rPr>
              <w:t>（DA009）</w:t>
            </w:r>
          </w:p>
        </w:tc>
      </w:tr>
      <w:tr w14:paraId="5B89EDDE">
        <w:tblPrEx>
          <w:tblCellMar>
            <w:top w:w="0" w:type="dxa"/>
            <w:left w:w="108" w:type="dxa"/>
            <w:bottom w:w="0" w:type="dxa"/>
            <w:right w:w="108" w:type="dxa"/>
          </w:tblCellMar>
        </w:tblPrEx>
        <w:trPr>
          <w:trHeight w:val="406" w:hRule="atLeast"/>
        </w:trPr>
        <w:tc>
          <w:tcPr>
            <w:tcW w:w="1991" w:type="dxa"/>
            <w:vMerge w:val="continue"/>
            <w:vAlign w:val="center"/>
          </w:tcPr>
          <w:p w14:paraId="51946BD6">
            <w:pPr>
              <w:jc w:val="center"/>
              <w:rPr>
                <w:rFonts w:ascii="Times New Roman"/>
                <w:sz w:val="21"/>
                <w:szCs w:val="21"/>
              </w:rPr>
            </w:pPr>
          </w:p>
        </w:tc>
        <w:tc>
          <w:tcPr>
            <w:tcW w:w="1640" w:type="dxa"/>
            <w:gridSpan w:val="2"/>
            <w:shd w:val="clear" w:color="auto" w:fill="auto"/>
            <w:vAlign w:val="center"/>
          </w:tcPr>
          <w:p w14:paraId="0D35F5FC">
            <w:pPr>
              <w:jc w:val="center"/>
              <w:rPr>
                <w:rFonts w:ascii="Times New Roman"/>
                <w:sz w:val="21"/>
                <w:szCs w:val="21"/>
              </w:rPr>
            </w:pPr>
            <w:r>
              <w:rPr>
                <w:rFonts w:ascii="Times New Roman"/>
                <w:sz w:val="21"/>
                <w:szCs w:val="21"/>
              </w:rPr>
              <w:t>NMHC浓度(μg/m³)</w:t>
            </w:r>
          </w:p>
        </w:tc>
        <w:tc>
          <w:tcPr>
            <w:tcW w:w="1501" w:type="dxa"/>
            <w:gridSpan w:val="2"/>
            <w:shd w:val="clear" w:color="auto" w:fill="auto"/>
            <w:vAlign w:val="center"/>
          </w:tcPr>
          <w:p w14:paraId="353DF929">
            <w:pPr>
              <w:jc w:val="center"/>
              <w:rPr>
                <w:rFonts w:ascii="Times New Roman"/>
                <w:sz w:val="21"/>
                <w:szCs w:val="21"/>
              </w:rPr>
            </w:pPr>
            <w:r>
              <w:rPr>
                <w:rFonts w:ascii="Times New Roman"/>
                <w:sz w:val="21"/>
                <w:szCs w:val="21"/>
              </w:rPr>
              <w:t>NMHC占标率(%)</w:t>
            </w:r>
          </w:p>
        </w:tc>
        <w:tc>
          <w:tcPr>
            <w:tcW w:w="1773" w:type="dxa"/>
            <w:gridSpan w:val="3"/>
            <w:vAlign w:val="center"/>
          </w:tcPr>
          <w:p w14:paraId="2388BB4B">
            <w:pPr>
              <w:jc w:val="center"/>
              <w:rPr>
                <w:rFonts w:ascii="Times New Roman"/>
                <w:sz w:val="21"/>
                <w:szCs w:val="21"/>
              </w:rPr>
            </w:pPr>
            <w:r>
              <w:rPr>
                <w:rFonts w:hint="eastAsia" w:ascii="Times New Roman"/>
                <w:sz w:val="21"/>
                <w:szCs w:val="21"/>
              </w:rPr>
              <w:t>二甲苯</w:t>
            </w:r>
            <w:r>
              <w:rPr>
                <w:rFonts w:ascii="Times New Roman"/>
                <w:sz w:val="21"/>
                <w:szCs w:val="21"/>
              </w:rPr>
              <w:t>浓度(μg/m³)</w:t>
            </w:r>
          </w:p>
        </w:tc>
        <w:tc>
          <w:tcPr>
            <w:tcW w:w="1634" w:type="dxa"/>
            <w:gridSpan w:val="2"/>
            <w:vAlign w:val="center"/>
          </w:tcPr>
          <w:p w14:paraId="4FDF0067">
            <w:pPr>
              <w:jc w:val="center"/>
              <w:rPr>
                <w:rFonts w:ascii="Times New Roman"/>
                <w:sz w:val="21"/>
                <w:szCs w:val="21"/>
              </w:rPr>
            </w:pPr>
            <w:r>
              <w:rPr>
                <w:rFonts w:hint="eastAsia" w:ascii="Times New Roman"/>
                <w:sz w:val="21"/>
                <w:szCs w:val="21"/>
              </w:rPr>
              <w:t>二甲苯</w:t>
            </w:r>
            <w:r>
              <w:rPr>
                <w:rFonts w:ascii="Times New Roman"/>
                <w:sz w:val="21"/>
                <w:szCs w:val="21"/>
              </w:rPr>
              <w:t>占标率(%)</w:t>
            </w:r>
          </w:p>
        </w:tc>
      </w:tr>
      <w:tr w14:paraId="3DAD1A64">
        <w:tblPrEx>
          <w:tblCellMar>
            <w:top w:w="0" w:type="dxa"/>
            <w:left w:w="108" w:type="dxa"/>
            <w:bottom w:w="0" w:type="dxa"/>
            <w:right w:w="108" w:type="dxa"/>
          </w:tblCellMar>
        </w:tblPrEx>
        <w:trPr>
          <w:trHeight w:val="406" w:hRule="atLeast"/>
        </w:trPr>
        <w:tc>
          <w:tcPr>
            <w:tcW w:w="1991" w:type="dxa"/>
            <w:vAlign w:val="center"/>
          </w:tcPr>
          <w:p w14:paraId="43F5D028">
            <w:pPr>
              <w:jc w:val="center"/>
              <w:rPr>
                <w:rFonts w:ascii="Times New Roman"/>
                <w:sz w:val="21"/>
                <w:szCs w:val="21"/>
              </w:rPr>
            </w:pPr>
            <w:r>
              <w:rPr>
                <w:rFonts w:ascii="Times New Roman"/>
                <w:sz w:val="21"/>
                <w:szCs w:val="21"/>
              </w:rPr>
              <w:t>50.0</w:t>
            </w:r>
          </w:p>
        </w:tc>
        <w:tc>
          <w:tcPr>
            <w:tcW w:w="1640" w:type="dxa"/>
            <w:gridSpan w:val="2"/>
            <w:vAlign w:val="center"/>
          </w:tcPr>
          <w:p w14:paraId="31A131B6">
            <w:pPr>
              <w:jc w:val="center"/>
              <w:rPr>
                <w:rFonts w:ascii="Times New Roman"/>
                <w:sz w:val="21"/>
                <w:szCs w:val="21"/>
              </w:rPr>
            </w:pPr>
            <w:r>
              <w:rPr>
                <w:rFonts w:hint="eastAsia" w:ascii="Times New Roman"/>
                <w:sz w:val="21"/>
                <w:szCs w:val="21"/>
              </w:rPr>
              <w:t>5.4325</w:t>
            </w:r>
          </w:p>
        </w:tc>
        <w:tc>
          <w:tcPr>
            <w:tcW w:w="1501" w:type="dxa"/>
            <w:gridSpan w:val="2"/>
            <w:vAlign w:val="center"/>
          </w:tcPr>
          <w:p w14:paraId="1A204C5E">
            <w:pPr>
              <w:jc w:val="center"/>
              <w:rPr>
                <w:rFonts w:ascii="Times New Roman"/>
                <w:sz w:val="21"/>
                <w:szCs w:val="21"/>
              </w:rPr>
            </w:pPr>
            <w:r>
              <w:rPr>
                <w:rFonts w:hint="eastAsia" w:ascii="Times New Roman"/>
                <w:sz w:val="21"/>
                <w:szCs w:val="21"/>
              </w:rPr>
              <w:t xml:space="preserve">0.27 </w:t>
            </w:r>
          </w:p>
        </w:tc>
        <w:tc>
          <w:tcPr>
            <w:tcW w:w="1773" w:type="dxa"/>
            <w:gridSpan w:val="3"/>
            <w:vAlign w:val="center"/>
          </w:tcPr>
          <w:p w14:paraId="332A0B47">
            <w:pPr>
              <w:jc w:val="center"/>
              <w:rPr>
                <w:rFonts w:ascii="Times New Roman"/>
                <w:sz w:val="21"/>
                <w:szCs w:val="21"/>
              </w:rPr>
            </w:pPr>
            <w:r>
              <w:rPr>
                <w:rFonts w:hint="eastAsia" w:ascii="Times New Roman"/>
                <w:sz w:val="21"/>
                <w:szCs w:val="21"/>
              </w:rPr>
              <w:t>1.4978</w:t>
            </w:r>
          </w:p>
        </w:tc>
        <w:tc>
          <w:tcPr>
            <w:tcW w:w="1634" w:type="dxa"/>
            <w:gridSpan w:val="2"/>
            <w:vAlign w:val="center"/>
          </w:tcPr>
          <w:p w14:paraId="6CBE5488">
            <w:pPr>
              <w:jc w:val="center"/>
              <w:rPr>
                <w:rFonts w:ascii="Times New Roman"/>
                <w:sz w:val="21"/>
                <w:szCs w:val="21"/>
              </w:rPr>
            </w:pPr>
            <w:r>
              <w:rPr>
                <w:rFonts w:hint="eastAsia" w:ascii="Times New Roman"/>
                <w:sz w:val="21"/>
                <w:szCs w:val="21"/>
              </w:rPr>
              <w:t>0.75</w:t>
            </w:r>
          </w:p>
        </w:tc>
      </w:tr>
      <w:tr w14:paraId="2AC1A9C7">
        <w:tblPrEx>
          <w:tblCellMar>
            <w:top w:w="0" w:type="dxa"/>
            <w:left w:w="108" w:type="dxa"/>
            <w:bottom w:w="0" w:type="dxa"/>
            <w:right w:w="108" w:type="dxa"/>
          </w:tblCellMar>
        </w:tblPrEx>
        <w:trPr>
          <w:trHeight w:val="406" w:hRule="atLeast"/>
        </w:trPr>
        <w:tc>
          <w:tcPr>
            <w:tcW w:w="1991" w:type="dxa"/>
            <w:vAlign w:val="center"/>
          </w:tcPr>
          <w:p w14:paraId="2CFF07B3">
            <w:pPr>
              <w:jc w:val="center"/>
              <w:rPr>
                <w:rFonts w:ascii="Times New Roman"/>
                <w:sz w:val="21"/>
                <w:szCs w:val="21"/>
              </w:rPr>
            </w:pPr>
            <w:r>
              <w:rPr>
                <w:rFonts w:ascii="Times New Roman"/>
                <w:sz w:val="21"/>
                <w:szCs w:val="21"/>
              </w:rPr>
              <w:t>100.0</w:t>
            </w:r>
          </w:p>
        </w:tc>
        <w:tc>
          <w:tcPr>
            <w:tcW w:w="1640" w:type="dxa"/>
            <w:gridSpan w:val="2"/>
            <w:vAlign w:val="center"/>
          </w:tcPr>
          <w:p w14:paraId="022381E7">
            <w:pPr>
              <w:jc w:val="center"/>
              <w:rPr>
                <w:rFonts w:ascii="Times New Roman"/>
                <w:sz w:val="21"/>
                <w:szCs w:val="21"/>
              </w:rPr>
            </w:pPr>
            <w:r>
              <w:rPr>
                <w:rFonts w:hint="eastAsia" w:ascii="Times New Roman"/>
                <w:sz w:val="21"/>
                <w:szCs w:val="21"/>
              </w:rPr>
              <w:t>9.9302</w:t>
            </w:r>
          </w:p>
        </w:tc>
        <w:tc>
          <w:tcPr>
            <w:tcW w:w="1501" w:type="dxa"/>
            <w:gridSpan w:val="2"/>
            <w:vAlign w:val="center"/>
          </w:tcPr>
          <w:p w14:paraId="66FB03BA">
            <w:pPr>
              <w:jc w:val="center"/>
              <w:rPr>
                <w:rFonts w:ascii="Times New Roman"/>
                <w:sz w:val="21"/>
                <w:szCs w:val="21"/>
              </w:rPr>
            </w:pPr>
            <w:r>
              <w:rPr>
                <w:rFonts w:hint="eastAsia" w:ascii="Times New Roman"/>
                <w:sz w:val="21"/>
                <w:szCs w:val="21"/>
              </w:rPr>
              <w:t xml:space="preserve">0.50 </w:t>
            </w:r>
          </w:p>
        </w:tc>
        <w:tc>
          <w:tcPr>
            <w:tcW w:w="1773" w:type="dxa"/>
            <w:gridSpan w:val="3"/>
            <w:vAlign w:val="center"/>
          </w:tcPr>
          <w:p w14:paraId="3B21F7A2">
            <w:pPr>
              <w:jc w:val="center"/>
              <w:rPr>
                <w:rFonts w:ascii="Times New Roman"/>
                <w:sz w:val="21"/>
                <w:szCs w:val="21"/>
              </w:rPr>
            </w:pPr>
            <w:r>
              <w:rPr>
                <w:rFonts w:hint="eastAsia" w:ascii="Times New Roman"/>
                <w:sz w:val="21"/>
                <w:szCs w:val="21"/>
              </w:rPr>
              <w:t>2.7378</w:t>
            </w:r>
          </w:p>
        </w:tc>
        <w:tc>
          <w:tcPr>
            <w:tcW w:w="1634" w:type="dxa"/>
            <w:gridSpan w:val="2"/>
            <w:vAlign w:val="center"/>
          </w:tcPr>
          <w:p w14:paraId="4233C083">
            <w:pPr>
              <w:jc w:val="center"/>
              <w:rPr>
                <w:rFonts w:ascii="Times New Roman"/>
                <w:sz w:val="21"/>
                <w:szCs w:val="21"/>
              </w:rPr>
            </w:pPr>
            <w:r>
              <w:rPr>
                <w:rFonts w:hint="eastAsia" w:ascii="Times New Roman"/>
                <w:sz w:val="21"/>
                <w:szCs w:val="21"/>
              </w:rPr>
              <w:t>1.37</w:t>
            </w:r>
          </w:p>
        </w:tc>
      </w:tr>
      <w:tr w14:paraId="0CC83927">
        <w:tblPrEx>
          <w:tblCellMar>
            <w:top w:w="0" w:type="dxa"/>
            <w:left w:w="108" w:type="dxa"/>
            <w:bottom w:w="0" w:type="dxa"/>
            <w:right w:w="108" w:type="dxa"/>
          </w:tblCellMar>
        </w:tblPrEx>
        <w:trPr>
          <w:trHeight w:val="406" w:hRule="atLeast"/>
        </w:trPr>
        <w:tc>
          <w:tcPr>
            <w:tcW w:w="1991" w:type="dxa"/>
            <w:vAlign w:val="center"/>
          </w:tcPr>
          <w:p w14:paraId="7226D286">
            <w:pPr>
              <w:jc w:val="center"/>
              <w:rPr>
                <w:rFonts w:ascii="Times New Roman"/>
                <w:sz w:val="21"/>
                <w:szCs w:val="21"/>
              </w:rPr>
            </w:pPr>
            <w:r>
              <w:rPr>
                <w:rFonts w:ascii="Times New Roman"/>
                <w:sz w:val="21"/>
                <w:szCs w:val="21"/>
              </w:rPr>
              <w:t>200.0</w:t>
            </w:r>
          </w:p>
        </w:tc>
        <w:tc>
          <w:tcPr>
            <w:tcW w:w="1640" w:type="dxa"/>
            <w:gridSpan w:val="2"/>
            <w:vAlign w:val="center"/>
          </w:tcPr>
          <w:p w14:paraId="046B71DE">
            <w:pPr>
              <w:jc w:val="center"/>
              <w:rPr>
                <w:rFonts w:ascii="Times New Roman"/>
                <w:sz w:val="21"/>
                <w:szCs w:val="21"/>
              </w:rPr>
            </w:pPr>
            <w:r>
              <w:rPr>
                <w:rFonts w:hint="eastAsia" w:ascii="Times New Roman"/>
                <w:sz w:val="21"/>
                <w:szCs w:val="21"/>
              </w:rPr>
              <w:t>9.4918</w:t>
            </w:r>
          </w:p>
        </w:tc>
        <w:tc>
          <w:tcPr>
            <w:tcW w:w="1501" w:type="dxa"/>
            <w:gridSpan w:val="2"/>
            <w:vAlign w:val="center"/>
          </w:tcPr>
          <w:p w14:paraId="60E918E8">
            <w:pPr>
              <w:jc w:val="center"/>
              <w:rPr>
                <w:rFonts w:ascii="Times New Roman"/>
                <w:sz w:val="21"/>
                <w:szCs w:val="21"/>
              </w:rPr>
            </w:pPr>
            <w:r>
              <w:rPr>
                <w:rFonts w:hint="eastAsia" w:ascii="Times New Roman"/>
                <w:sz w:val="21"/>
                <w:szCs w:val="21"/>
              </w:rPr>
              <w:t xml:space="preserve">0.47 </w:t>
            </w:r>
          </w:p>
        </w:tc>
        <w:tc>
          <w:tcPr>
            <w:tcW w:w="1773" w:type="dxa"/>
            <w:gridSpan w:val="3"/>
            <w:vAlign w:val="center"/>
          </w:tcPr>
          <w:p w14:paraId="37639545">
            <w:pPr>
              <w:jc w:val="center"/>
              <w:rPr>
                <w:rFonts w:ascii="Times New Roman"/>
                <w:sz w:val="21"/>
                <w:szCs w:val="21"/>
              </w:rPr>
            </w:pPr>
            <w:r>
              <w:rPr>
                <w:rFonts w:hint="eastAsia" w:ascii="Times New Roman"/>
                <w:sz w:val="21"/>
                <w:szCs w:val="21"/>
              </w:rPr>
              <w:t>2.6169</w:t>
            </w:r>
          </w:p>
        </w:tc>
        <w:tc>
          <w:tcPr>
            <w:tcW w:w="1634" w:type="dxa"/>
            <w:gridSpan w:val="2"/>
            <w:vAlign w:val="center"/>
          </w:tcPr>
          <w:p w14:paraId="2FBD134D">
            <w:pPr>
              <w:jc w:val="center"/>
              <w:rPr>
                <w:rFonts w:ascii="Times New Roman"/>
                <w:sz w:val="21"/>
                <w:szCs w:val="21"/>
              </w:rPr>
            </w:pPr>
            <w:r>
              <w:rPr>
                <w:rFonts w:hint="eastAsia" w:ascii="Times New Roman"/>
                <w:sz w:val="21"/>
                <w:szCs w:val="21"/>
              </w:rPr>
              <w:t>1.31</w:t>
            </w:r>
          </w:p>
        </w:tc>
      </w:tr>
      <w:tr w14:paraId="6C7764C2">
        <w:tblPrEx>
          <w:tblCellMar>
            <w:top w:w="0" w:type="dxa"/>
            <w:left w:w="108" w:type="dxa"/>
            <w:bottom w:w="0" w:type="dxa"/>
            <w:right w:w="108" w:type="dxa"/>
          </w:tblCellMar>
        </w:tblPrEx>
        <w:trPr>
          <w:trHeight w:val="406" w:hRule="atLeast"/>
        </w:trPr>
        <w:tc>
          <w:tcPr>
            <w:tcW w:w="1991" w:type="dxa"/>
            <w:vAlign w:val="center"/>
          </w:tcPr>
          <w:p w14:paraId="1E6C2B42">
            <w:pPr>
              <w:jc w:val="center"/>
              <w:rPr>
                <w:rFonts w:ascii="Times New Roman"/>
                <w:sz w:val="21"/>
                <w:szCs w:val="21"/>
              </w:rPr>
            </w:pPr>
            <w:r>
              <w:rPr>
                <w:rFonts w:ascii="Times New Roman"/>
                <w:sz w:val="21"/>
                <w:szCs w:val="21"/>
              </w:rPr>
              <w:t>300.0</w:t>
            </w:r>
          </w:p>
        </w:tc>
        <w:tc>
          <w:tcPr>
            <w:tcW w:w="1640" w:type="dxa"/>
            <w:gridSpan w:val="2"/>
            <w:vAlign w:val="center"/>
          </w:tcPr>
          <w:p w14:paraId="3A47637F">
            <w:pPr>
              <w:jc w:val="center"/>
              <w:rPr>
                <w:rFonts w:ascii="Times New Roman"/>
                <w:sz w:val="21"/>
                <w:szCs w:val="21"/>
              </w:rPr>
            </w:pPr>
            <w:r>
              <w:rPr>
                <w:rFonts w:hint="eastAsia" w:ascii="Times New Roman"/>
                <w:sz w:val="21"/>
                <w:szCs w:val="21"/>
              </w:rPr>
              <w:t>7.0169</w:t>
            </w:r>
          </w:p>
        </w:tc>
        <w:tc>
          <w:tcPr>
            <w:tcW w:w="1501" w:type="dxa"/>
            <w:gridSpan w:val="2"/>
            <w:vAlign w:val="center"/>
          </w:tcPr>
          <w:p w14:paraId="1DF9E10D">
            <w:pPr>
              <w:jc w:val="center"/>
              <w:rPr>
                <w:rFonts w:ascii="Times New Roman"/>
                <w:sz w:val="21"/>
                <w:szCs w:val="21"/>
              </w:rPr>
            </w:pPr>
            <w:r>
              <w:rPr>
                <w:rFonts w:hint="eastAsia" w:ascii="Times New Roman"/>
                <w:sz w:val="21"/>
                <w:szCs w:val="21"/>
              </w:rPr>
              <w:t xml:space="preserve">0.35 </w:t>
            </w:r>
          </w:p>
        </w:tc>
        <w:tc>
          <w:tcPr>
            <w:tcW w:w="1773" w:type="dxa"/>
            <w:gridSpan w:val="3"/>
            <w:vAlign w:val="center"/>
          </w:tcPr>
          <w:p w14:paraId="6D733CDE">
            <w:pPr>
              <w:jc w:val="center"/>
              <w:rPr>
                <w:rFonts w:ascii="Times New Roman"/>
                <w:sz w:val="21"/>
                <w:szCs w:val="21"/>
              </w:rPr>
            </w:pPr>
            <w:r>
              <w:rPr>
                <w:rFonts w:hint="eastAsia" w:ascii="Times New Roman"/>
                <w:sz w:val="21"/>
                <w:szCs w:val="21"/>
              </w:rPr>
              <w:t>1.9346</w:t>
            </w:r>
          </w:p>
        </w:tc>
        <w:tc>
          <w:tcPr>
            <w:tcW w:w="1634" w:type="dxa"/>
            <w:gridSpan w:val="2"/>
            <w:vAlign w:val="center"/>
          </w:tcPr>
          <w:p w14:paraId="398E0520">
            <w:pPr>
              <w:jc w:val="center"/>
              <w:rPr>
                <w:rFonts w:ascii="Times New Roman"/>
                <w:sz w:val="21"/>
                <w:szCs w:val="21"/>
              </w:rPr>
            </w:pPr>
            <w:r>
              <w:rPr>
                <w:rFonts w:hint="eastAsia" w:ascii="Times New Roman"/>
                <w:sz w:val="21"/>
                <w:szCs w:val="21"/>
              </w:rPr>
              <w:t>0.97</w:t>
            </w:r>
          </w:p>
        </w:tc>
      </w:tr>
      <w:tr w14:paraId="1FD6D619">
        <w:tblPrEx>
          <w:tblCellMar>
            <w:top w:w="0" w:type="dxa"/>
            <w:left w:w="108" w:type="dxa"/>
            <w:bottom w:w="0" w:type="dxa"/>
            <w:right w:w="108" w:type="dxa"/>
          </w:tblCellMar>
        </w:tblPrEx>
        <w:trPr>
          <w:trHeight w:val="406" w:hRule="atLeast"/>
        </w:trPr>
        <w:tc>
          <w:tcPr>
            <w:tcW w:w="1991" w:type="dxa"/>
            <w:vAlign w:val="center"/>
          </w:tcPr>
          <w:p w14:paraId="744C9718">
            <w:pPr>
              <w:jc w:val="center"/>
              <w:rPr>
                <w:rFonts w:ascii="Times New Roman"/>
                <w:sz w:val="21"/>
                <w:szCs w:val="21"/>
              </w:rPr>
            </w:pPr>
            <w:r>
              <w:rPr>
                <w:rFonts w:ascii="Times New Roman"/>
                <w:sz w:val="21"/>
                <w:szCs w:val="21"/>
              </w:rPr>
              <w:t>400.0</w:t>
            </w:r>
          </w:p>
        </w:tc>
        <w:tc>
          <w:tcPr>
            <w:tcW w:w="1640" w:type="dxa"/>
            <w:gridSpan w:val="2"/>
            <w:vAlign w:val="center"/>
          </w:tcPr>
          <w:p w14:paraId="40E20B77">
            <w:pPr>
              <w:jc w:val="center"/>
              <w:rPr>
                <w:rFonts w:ascii="Times New Roman"/>
                <w:sz w:val="21"/>
                <w:szCs w:val="21"/>
              </w:rPr>
            </w:pPr>
            <w:r>
              <w:rPr>
                <w:rFonts w:hint="eastAsia" w:ascii="Times New Roman"/>
                <w:sz w:val="21"/>
                <w:szCs w:val="21"/>
              </w:rPr>
              <w:t>5.6555</w:t>
            </w:r>
          </w:p>
        </w:tc>
        <w:tc>
          <w:tcPr>
            <w:tcW w:w="1501" w:type="dxa"/>
            <w:gridSpan w:val="2"/>
            <w:vAlign w:val="center"/>
          </w:tcPr>
          <w:p w14:paraId="1F880738">
            <w:pPr>
              <w:jc w:val="center"/>
              <w:rPr>
                <w:rFonts w:ascii="Times New Roman"/>
                <w:sz w:val="21"/>
                <w:szCs w:val="21"/>
              </w:rPr>
            </w:pPr>
            <w:r>
              <w:rPr>
                <w:rFonts w:hint="eastAsia" w:ascii="Times New Roman"/>
                <w:sz w:val="21"/>
                <w:szCs w:val="21"/>
              </w:rPr>
              <w:t xml:space="preserve">0.28 </w:t>
            </w:r>
          </w:p>
        </w:tc>
        <w:tc>
          <w:tcPr>
            <w:tcW w:w="1773" w:type="dxa"/>
            <w:gridSpan w:val="3"/>
            <w:vAlign w:val="center"/>
          </w:tcPr>
          <w:p w14:paraId="0B45A1E7">
            <w:pPr>
              <w:jc w:val="center"/>
              <w:rPr>
                <w:rFonts w:ascii="Times New Roman"/>
                <w:sz w:val="21"/>
                <w:szCs w:val="21"/>
              </w:rPr>
            </w:pPr>
            <w:r>
              <w:rPr>
                <w:rFonts w:hint="eastAsia" w:ascii="Times New Roman"/>
                <w:sz w:val="21"/>
                <w:szCs w:val="21"/>
              </w:rPr>
              <w:t>1.5592</w:t>
            </w:r>
          </w:p>
        </w:tc>
        <w:tc>
          <w:tcPr>
            <w:tcW w:w="1634" w:type="dxa"/>
            <w:gridSpan w:val="2"/>
            <w:vAlign w:val="center"/>
          </w:tcPr>
          <w:p w14:paraId="5AC8A992">
            <w:pPr>
              <w:jc w:val="center"/>
              <w:rPr>
                <w:rFonts w:ascii="Times New Roman"/>
                <w:sz w:val="21"/>
                <w:szCs w:val="21"/>
              </w:rPr>
            </w:pPr>
            <w:r>
              <w:rPr>
                <w:rFonts w:hint="eastAsia" w:ascii="Times New Roman"/>
                <w:sz w:val="21"/>
                <w:szCs w:val="21"/>
              </w:rPr>
              <w:t>0.78</w:t>
            </w:r>
          </w:p>
        </w:tc>
      </w:tr>
      <w:tr w14:paraId="076BF3C6">
        <w:tblPrEx>
          <w:tblCellMar>
            <w:top w:w="0" w:type="dxa"/>
            <w:left w:w="108" w:type="dxa"/>
            <w:bottom w:w="0" w:type="dxa"/>
            <w:right w:w="108" w:type="dxa"/>
          </w:tblCellMar>
        </w:tblPrEx>
        <w:trPr>
          <w:trHeight w:val="406" w:hRule="atLeast"/>
        </w:trPr>
        <w:tc>
          <w:tcPr>
            <w:tcW w:w="1991" w:type="dxa"/>
            <w:vAlign w:val="center"/>
          </w:tcPr>
          <w:p w14:paraId="7ED66B8C">
            <w:pPr>
              <w:jc w:val="center"/>
              <w:rPr>
                <w:rFonts w:ascii="Times New Roman"/>
                <w:sz w:val="21"/>
                <w:szCs w:val="21"/>
              </w:rPr>
            </w:pPr>
            <w:r>
              <w:rPr>
                <w:rFonts w:ascii="Times New Roman"/>
                <w:sz w:val="21"/>
                <w:szCs w:val="21"/>
              </w:rPr>
              <w:t>500.0</w:t>
            </w:r>
          </w:p>
        </w:tc>
        <w:tc>
          <w:tcPr>
            <w:tcW w:w="1640" w:type="dxa"/>
            <w:gridSpan w:val="2"/>
            <w:vAlign w:val="center"/>
          </w:tcPr>
          <w:p w14:paraId="3E24AE0F">
            <w:pPr>
              <w:jc w:val="center"/>
              <w:rPr>
                <w:rFonts w:ascii="Times New Roman"/>
                <w:sz w:val="21"/>
                <w:szCs w:val="21"/>
              </w:rPr>
            </w:pPr>
            <w:r>
              <w:rPr>
                <w:rFonts w:hint="eastAsia" w:ascii="Times New Roman"/>
                <w:sz w:val="21"/>
                <w:szCs w:val="21"/>
              </w:rPr>
              <w:t>4.4715</w:t>
            </w:r>
          </w:p>
        </w:tc>
        <w:tc>
          <w:tcPr>
            <w:tcW w:w="1501" w:type="dxa"/>
            <w:gridSpan w:val="2"/>
            <w:vAlign w:val="center"/>
          </w:tcPr>
          <w:p w14:paraId="6823C696">
            <w:pPr>
              <w:jc w:val="center"/>
              <w:rPr>
                <w:rFonts w:ascii="Times New Roman"/>
                <w:sz w:val="21"/>
                <w:szCs w:val="21"/>
              </w:rPr>
            </w:pPr>
            <w:r>
              <w:rPr>
                <w:rFonts w:hint="eastAsia" w:ascii="Times New Roman"/>
                <w:sz w:val="21"/>
                <w:szCs w:val="21"/>
              </w:rPr>
              <w:t xml:space="preserve">0.22 </w:t>
            </w:r>
          </w:p>
        </w:tc>
        <w:tc>
          <w:tcPr>
            <w:tcW w:w="1773" w:type="dxa"/>
            <w:gridSpan w:val="3"/>
            <w:vAlign w:val="center"/>
          </w:tcPr>
          <w:p w14:paraId="20D27228">
            <w:pPr>
              <w:jc w:val="center"/>
              <w:rPr>
                <w:rFonts w:ascii="Times New Roman"/>
                <w:sz w:val="21"/>
                <w:szCs w:val="21"/>
              </w:rPr>
            </w:pPr>
            <w:r>
              <w:rPr>
                <w:rFonts w:hint="eastAsia" w:ascii="Times New Roman"/>
                <w:sz w:val="21"/>
                <w:szCs w:val="21"/>
              </w:rPr>
              <w:t>1.2328</w:t>
            </w:r>
          </w:p>
        </w:tc>
        <w:tc>
          <w:tcPr>
            <w:tcW w:w="1634" w:type="dxa"/>
            <w:gridSpan w:val="2"/>
            <w:vAlign w:val="center"/>
          </w:tcPr>
          <w:p w14:paraId="699F1A13">
            <w:pPr>
              <w:jc w:val="center"/>
              <w:rPr>
                <w:rFonts w:ascii="Times New Roman"/>
                <w:sz w:val="21"/>
                <w:szCs w:val="21"/>
              </w:rPr>
            </w:pPr>
            <w:r>
              <w:rPr>
                <w:rFonts w:hint="eastAsia" w:ascii="Times New Roman"/>
                <w:sz w:val="21"/>
                <w:szCs w:val="21"/>
              </w:rPr>
              <w:t>0.62</w:t>
            </w:r>
          </w:p>
        </w:tc>
      </w:tr>
      <w:tr w14:paraId="107B557C">
        <w:tblPrEx>
          <w:tblCellMar>
            <w:top w:w="0" w:type="dxa"/>
            <w:left w:w="108" w:type="dxa"/>
            <w:bottom w:w="0" w:type="dxa"/>
            <w:right w:w="108" w:type="dxa"/>
          </w:tblCellMar>
        </w:tblPrEx>
        <w:trPr>
          <w:trHeight w:val="406" w:hRule="atLeast"/>
        </w:trPr>
        <w:tc>
          <w:tcPr>
            <w:tcW w:w="1991" w:type="dxa"/>
            <w:vAlign w:val="center"/>
          </w:tcPr>
          <w:p w14:paraId="167DA22B">
            <w:pPr>
              <w:jc w:val="center"/>
              <w:rPr>
                <w:rFonts w:ascii="Times New Roman"/>
                <w:sz w:val="21"/>
                <w:szCs w:val="21"/>
              </w:rPr>
            </w:pPr>
            <w:r>
              <w:rPr>
                <w:rFonts w:ascii="Times New Roman"/>
                <w:sz w:val="21"/>
                <w:szCs w:val="21"/>
              </w:rPr>
              <w:t>600.0</w:t>
            </w:r>
          </w:p>
        </w:tc>
        <w:tc>
          <w:tcPr>
            <w:tcW w:w="1640" w:type="dxa"/>
            <w:gridSpan w:val="2"/>
            <w:vAlign w:val="center"/>
          </w:tcPr>
          <w:p w14:paraId="003256B9">
            <w:pPr>
              <w:jc w:val="center"/>
              <w:rPr>
                <w:rFonts w:ascii="Times New Roman"/>
                <w:sz w:val="21"/>
                <w:szCs w:val="21"/>
              </w:rPr>
            </w:pPr>
            <w:r>
              <w:rPr>
                <w:rFonts w:hint="eastAsia" w:ascii="Times New Roman"/>
                <w:sz w:val="21"/>
                <w:szCs w:val="21"/>
              </w:rPr>
              <w:t>3.5829</w:t>
            </w:r>
          </w:p>
        </w:tc>
        <w:tc>
          <w:tcPr>
            <w:tcW w:w="1501" w:type="dxa"/>
            <w:gridSpan w:val="2"/>
            <w:vAlign w:val="center"/>
          </w:tcPr>
          <w:p w14:paraId="090A9F58">
            <w:pPr>
              <w:jc w:val="center"/>
              <w:rPr>
                <w:rFonts w:ascii="Times New Roman"/>
                <w:sz w:val="21"/>
                <w:szCs w:val="21"/>
              </w:rPr>
            </w:pPr>
            <w:r>
              <w:rPr>
                <w:rFonts w:hint="eastAsia" w:ascii="Times New Roman"/>
                <w:sz w:val="21"/>
                <w:szCs w:val="21"/>
              </w:rPr>
              <w:t xml:space="preserve">0.18 </w:t>
            </w:r>
          </w:p>
        </w:tc>
        <w:tc>
          <w:tcPr>
            <w:tcW w:w="1773" w:type="dxa"/>
            <w:gridSpan w:val="3"/>
            <w:vAlign w:val="center"/>
          </w:tcPr>
          <w:p w14:paraId="196C6F4F">
            <w:pPr>
              <w:jc w:val="center"/>
              <w:rPr>
                <w:rFonts w:ascii="Times New Roman"/>
                <w:sz w:val="21"/>
                <w:szCs w:val="21"/>
              </w:rPr>
            </w:pPr>
            <w:r>
              <w:rPr>
                <w:rFonts w:hint="eastAsia" w:ascii="Times New Roman"/>
                <w:sz w:val="21"/>
                <w:szCs w:val="21"/>
              </w:rPr>
              <w:t>0.9878</w:t>
            </w:r>
          </w:p>
        </w:tc>
        <w:tc>
          <w:tcPr>
            <w:tcW w:w="1634" w:type="dxa"/>
            <w:gridSpan w:val="2"/>
            <w:vAlign w:val="center"/>
          </w:tcPr>
          <w:p w14:paraId="4D983B80">
            <w:pPr>
              <w:jc w:val="center"/>
              <w:rPr>
                <w:rFonts w:ascii="Times New Roman"/>
                <w:sz w:val="21"/>
                <w:szCs w:val="21"/>
              </w:rPr>
            </w:pPr>
            <w:r>
              <w:rPr>
                <w:rFonts w:hint="eastAsia" w:ascii="Times New Roman"/>
                <w:sz w:val="21"/>
                <w:szCs w:val="21"/>
              </w:rPr>
              <w:t>0.49</w:t>
            </w:r>
          </w:p>
        </w:tc>
      </w:tr>
      <w:tr w14:paraId="2AA28A80">
        <w:tblPrEx>
          <w:tblCellMar>
            <w:top w:w="0" w:type="dxa"/>
            <w:left w:w="108" w:type="dxa"/>
            <w:bottom w:w="0" w:type="dxa"/>
            <w:right w:w="108" w:type="dxa"/>
          </w:tblCellMar>
        </w:tblPrEx>
        <w:trPr>
          <w:trHeight w:val="406" w:hRule="atLeast"/>
        </w:trPr>
        <w:tc>
          <w:tcPr>
            <w:tcW w:w="1991" w:type="dxa"/>
            <w:vAlign w:val="center"/>
          </w:tcPr>
          <w:p w14:paraId="13504CAB">
            <w:pPr>
              <w:jc w:val="center"/>
              <w:rPr>
                <w:rFonts w:ascii="Times New Roman"/>
                <w:sz w:val="21"/>
                <w:szCs w:val="21"/>
              </w:rPr>
            </w:pPr>
            <w:r>
              <w:rPr>
                <w:rFonts w:ascii="Times New Roman"/>
                <w:sz w:val="21"/>
                <w:szCs w:val="21"/>
              </w:rPr>
              <w:t>700.0</w:t>
            </w:r>
          </w:p>
        </w:tc>
        <w:tc>
          <w:tcPr>
            <w:tcW w:w="1640" w:type="dxa"/>
            <w:gridSpan w:val="2"/>
            <w:vAlign w:val="center"/>
          </w:tcPr>
          <w:p w14:paraId="7B71F7A2">
            <w:pPr>
              <w:jc w:val="center"/>
              <w:rPr>
                <w:rFonts w:ascii="Times New Roman"/>
                <w:sz w:val="21"/>
                <w:szCs w:val="21"/>
              </w:rPr>
            </w:pPr>
            <w:r>
              <w:rPr>
                <w:rFonts w:hint="eastAsia" w:ascii="Times New Roman"/>
                <w:sz w:val="21"/>
                <w:szCs w:val="21"/>
              </w:rPr>
              <w:t>2.9274</w:t>
            </w:r>
          </w:p>
        </w:tc>
        <w:tc>
          <w:tcPr>
            <w:tcW w:w="1501" w:type="dxa"/>
            <w:gridSpan w:val="2"/>
            <w:vAlign w:val="center"/>
          </w:tcPr>
          <w:p w14:paraId="3FC10446">
            <w:pPr>
              <w:jc w:val="center"/>
              <w:rPr>
                <w:rFonts w:ascii="Times New Roman"/>
                <w:sz w:val="21"/>
                <w:szCs w:val="21"/>
              </w:rPr>
            </w:pPr>
            <w:r>
              <w:rPr>
                <w:rFonts w:hint="eastAsia" w:ascii="Times New Roman"/>
                <w:sz w:val="21"/>
                <w:szCs w:val="21"/>
              </w:rPr>
              <w:t xml:space="preserve">0.15 </w:t>
            </w:r>
          </w:p>
        </w:tc>
        <w:tc>
          <w:tcPr>
            <w:tcW w:w="1773" w:type="dxa"/>
            <w:gridSpan w:val="3"/>
            <w:vAlign w:val="center"/>
          </w:tcPr>
          <w:p w14:paraId="367012C9">
            <w:pPr>
              <w:jc w:val="center"/>
              <w:rPr>
                <w:rFonts w:ascii="Times New Roman"/>
                <w:sz w:val="21"/>
                <w:szCs w:val="21"/>
              </w:rPr>
            </w:pPr>
            <w:r>
              <w:rPr>
                <w:rFonts w:hint="eastAsia" w:ascii="Times New Roman"/>
                <w:sz w:val="21"/>
                <w:szCs w:val="21"/>
              </w:rPr>
              <w:t>0.8071</w:t>
            </w:r>
          </w:p>
        </w:tc>
        <w:tc>
          <w:tcPr>
            <w:tcW w:w="1634" w:type="dxa"/>
            <w:gridSpan w:val="2"/>
            <w:vAlign w:val="center"/>
          </w:tcPr>
          <w:p w14:paraId="64340310">
            <w:pPr>
              <w:jc w:val="center"/>
              <w:rPr>
                <w:rFonts w:ascii="Times New Roman"/>
                <w:sz w:val="21"/>
                <w:szCs w:val="21"/>
              </w:rPr>
            </w:pPr>
            <w:r>
              <w:rPr>
                <w:rFonts w:hint="eastAsia" w:ascii="Times New Roman"/>
                <w:sz w:val="21"/>
                <w:szCs w:val="21"/>
              </w:rPr>
              <w:t>0.4</w:t>
            </w:r>
          </w:p>
        </w:tc>
      </w:tr>
      <w:tr w14:paraId="223111BB">
        <w:tblPrEx>
          <w:tblCellMar>
            <w:top w:w="0" w:type="dxa"/>
            <w:left w:w="108" w:type="dxa"/>
            <w:bottom w:w="0" w:type="dxa"/>
            <w:right w:w="108" w:type="dxa"/>
          </w:tblCellMar>
        </w:tblPrEx>
        <w:trPr>
          <w:trHeight w:val="406" w:hRule="atLeast"/>
        </w:trPr>
        <w:tc>
          <w:tcPr>
            <w:tcW w:w="1991" w:type="dxa"/>
            <w:vAlign w:val="center"/>
          </w:tcPr>
          <w:p w14:paraId="7533A7A2">
            <w:pPr>
              <w:jc w:val="center"/>
              <w:rPr>
                <w:rFonts w:ascii="Times New Roman"/>
                <w:sz w:val="21"/>
                <w:szCs w:val="21"/>
              </w:rPr>
            </w:pPr>
            <w:r>
              <w:rPr>
                <w:rFonts w:ascii="Times New Roman"/>
                <w:sz w:val="21"/>
                <w:szCs w:val="21"/>
              </w:rPr>
              <w:t>800.0</w:t>
            </w:r>
          </w:p>
        </w:tc>
        <w:tc>
          <w:tcPr>
            <w:tcW w:w="1640" w:type="dxa"/>
            <w:gridSpan w:val="2"/>
            <w:vAlign w:val="center"/>
          </w:tcPr>
          <w:p w14:paraId="52B2CEF1">
            <w:pPr>
              <w:jc w:val="center"/>
              <w:rPr>
                <w:rFonts w:ascii="Times New Roman"/>
                <w:sz w:val="21"/>
                <w:szCs w:val="21"/>
              </w:rPr>
            </w:pPr>
            <w:r>
              <w:rPr>
                <w:rFonts w:hint="eastAsia" w:ascii="Times New Roman"/>
                <w:sz w:val="21"/>
                <w:szCs w:val="21"/>
              </w:rPr>
              <w:t>2.4375</w:t>
            </w:r>
          </w:p>
        </w:tc>
        <w:tc>
          <w:tcPr>
            <w:tcW w:w="1501" w:type="dxa"/>
            <w:gridSpan w:val="2"/>
            <w:vAlign w:val="center"/>
          </w:tcPr>
          <w:p w14:paraId="476984BD">
            <w:pPr>
              <w:jc w:val="center"/>
              <w:rPr>
                <w:rFonts w:ascii="Times New Roman"/>
                <w:sz w:val="21"/>
                <w:szCs w:val="21"/>
              </w:rPr>
            </w:pPr>
            <w:r>
              <w:rPr>
                <w:rFonts w:hint="eastAsia" w:ascii="Times New Roman"/>
                <w:sz w:val="21"/>
                <w:szCs w:val="21"/>
              </w:rPr>
              <w:t xml:space="preserve">0.12 </w:t>
            </w:r>
          </w:p>
        </w:tc>
        <w:tc>
          <w:tcPr>
            <w:tcW w:w="1773" w:type="dxa"/>
            <w:gridSpan w:val="3"/>
            <w:vAlign w:val="center"/>
          </w:tcPr>
          <w:p w14:paraId="567CC494">
            <w:pPr>
              <w:jc w:val="center"/>
              <w:rPr>
                <w:rFonts w:ascii="Times New Roman"/>
                <w:sz w:val="21"/>
                <w:szCs w:val="21"/>
              </w:rPr>
            </w:pPr>
            <w:r>
              <w:rPr>
                <w:rFonts w:hint="eastAsia" w:ascii="Times New Roman"/>
                <w:sz w:val="21"/>
                <w:szCs w:val="21"/>
              </w:rPr>
              <w:t>0.672</w:t>
            </w:r>
          </w:p>
        </w:tc>
        <w:tc>
          <w:tcPr>
            <w:tcW w:w="1634" w:type="dxa"/>
            <w:gridSpan w:val="2"/>
            <w:vAlign w:val="center"/>
          </w:tcPr>
          <w:p w14:paraId="540CBB2E">
            <w:pPr>
              <w:jc w:val="center"/>
              <w:rPr>
                <w:rFonts w:ascii="Times New Roman"/>
                <w:sz w:val="21"/>
                <w:szCs w:val="21"/>
              </w:rPr>
            </w:pPr>
            <w:r>
              <w:rPr>
                <w:rFonts w:hint="eastAsia" w:ascii="Times New Roman"/>
                <w:sz w:val="21"/>
                <w:szCs w:val="21"/>
              </w:rPr>
              <w:t>0.34</w:t>
            </w:r>
          </w:p>
        </w:tc>
      </w:tr>
      <w:tr w14:paraId="2BD2DF30">
        <w:tblPrEx>
          <w:tblCellMar>
            <w:top w:w="0" w:type="dxa"/>
            <w:left w:w="108" w:type="dxa"/>
            <w:bottom w:w="0" w:type="dxa"/>
            <w:right w:w="108" w:type="dxa"/>
          </w:tblCellMar>
        </w:tblPrEx>
        <w:trPr>
          <w:trHeight w:val="406" w:hRule="atLeast"/>
        </w:trPr>
        <w:tc>
          <w:tcPr>
            <w:tcW w:w="1991" w:type="dxa"/>
            <w:vAlign w:val="center"/>
          </w:tcPr>
          <w:p w14:paraId="450A4D11">
            <w:pPr>
              <w:jc w:val="center"/>
              <w:rPr>
                <w:rFonts w:ascii="Times New Roman"/>
                <w:sz w:val="21"/>
                <w:szCs w:val="21"/>
              </w:rPr>
            </w:pPr>
            <w:r>
              <w:rPr>
                <w:rFonts w:ascii="Times New Roman"/>
                <w:sz w:val="21"/>
                <w:szCs w:val="21"/>
              </w:rPr>
              <w:t>900.0</w:t>
            </w:r>
          </w:p>
        </w:tc>
        <w:tc>
          <w:tcPr>
            <w:tcW w:w="1640" w:type="dxa"/>
            <w:gridSpan w:val="2"/>
            <w:vAlign w:val="center"/>
          </w:tcPr>
          <w:p w14:paraId="76626D94">
            <w:pPr>
              <w:jc w:val="center"/>
              <w:rPr>
                <w:rFonts w:ascii="Times New Roman"/>
                <w:sz w:val="21"/>
                <w:szCs w:val="21"/>
              </w:rPr>
            </w:pPr>
            <w:r>
              <w:rPr>
                <w:rFonts w:hint="eastAsia" w:ascii="Times New Roman"/>
                <w:sz w:val="21"/>
                <w:szCs w:val="21"/>
              </w:rPr>
              <w:t>2.1799</w:t>
            </w:r>
          </w:p>
        </w:tc>
        <w:tc>
          <w:tcPr>
            <w:tcW w:w="1501" w:type="dxa"/>
            <w:gridSpan w:val="2"/>
            <w:vAlign w:val="center"/>
          </w:tcPr>
          <w:p w14:paraId="506D1C38">
            <w:pPr>
              <w:jc w:val="center"/>
              <w:rPr>
                <w:rFonts w:ascii="Times New Roman"/>
                <w:sz w:val="21"/>
                <w:szCs w:val="21"/>
              </w:rPr>
            </w:pPr>
            <w:r>
              <w:rPr>
                <w:rFonts w:hint="eastAsia" w:ascii="Times New Roman"/>
                <w:sz w:val="21"/>
                <w:szCs w:val="21"/>
              </w:rPr>
              <w:t xml:space="preserve">0.11 </w:t>
            </w:r>
          </w:p>
        </w:tc>
        <w:tc>
          <w:tcPr>
            <w:tcW w:w="1773" w:type="dxa"/>
            <w:gridSpan w:val="3"/>
            <w:vAlign w:val="center"/>
          </w:tcPr>
          <w:p w14:paraId="4643528D">
            <w:pPr>
              <w:jc w:val="center"/>
              <w:rPr>
                <w:rFonts w:ascii="Times New Roman"/>
                <w:sz w:val="21"/>
                <w:szCs w:val="21"/>
              </w:rPr>
            </w:pPr>
            <w:r>
              <w:rPr>
                <w:rFonts w:hint="eastAsia" w:ascii="Times New Roman"/>
                <w:sz w:val="21"/>
                <w:szCs w:val="21"/>
              </w:rPr>
              <w:t>0.601</w:t>
            </w:r>
          </w:p>
        </w:tc>
        <w:tc>
          <w:tcPr>
            <w:tcW w:w="1634" w:type="dxa"/>
            <w:gridSpan w:val="2"/>
            <w:vAlign w:val="center"/>
          </w:tcPr>
          <w:p w14:paraId="6273F769">
            <w:pPr>
              <w:jc w:val="center"/>
              <w:rPr>
                <w:rFonts w:ascii="Times New Roman"/>
                <w:sz w:val="21"/>
                <w:szCs w:val="21"/>
              </w:rPr>
            </w:pPr>
            <w:r>
              <w:rPr>
                <w:rFonts w:hint="eastAsia" w:ascii="Times New Roman"/>
                <w:sz w:val="21"/>
                <w:szCs w:val="21"/>
              </w:rPr>
              <w:t>0.3</w:t>
            </w:r>
          </w:p>
        </w:tc>
      </w:tr>
      <w:tr w14:paraId="668D3939">
        <w:tblPrEx>
          <w:tblCellMar>
            <w:top w:w="0" w:type="dxa"/>
            <w:left w:w="108" w:type="dxa"/>
            <w:bottom w:w="0" w:type="dxa"/>
            <w:right w:w="108" w:type="dxa"/>
          </w:tblCellMar>
        </w:tblPrEx>
        <w:trPr>
          <w:trHeight w:val="406" w:hRule="atLeast"/>
        </w:trPr>
        <w:tc>
          <w:tcPr>
            <w:tcW w:w="1991" w:type="dxa"/>
            <w:vAlign w:val="center"/>
          </w:tcPr>
          <w:p w14:paraId="1A683680">
            <w:pPr>
              <w:jc w:val="center"/>
              <w:rPr>
                <w:rFonts w:ascii="Times New Roman"/>
                <w:sz w:val="21"/>
                <w:szCs w:val="21"/>
              </w:rPr>
            </w:pPr>
            <w:r>
              <w:rPr>
                <w:rFonts w:ascii="Times New Roman"/>
                <w:sz w:val="21"/>
                <w:szCs w:val="21"/>
              </w:rPr>
              <w:t>1000.0</w:t>
            </w:r>
          </w:p>
        </w:tc>
        <w:tc>
          <w:tcPr>
            <w:tcW w:w="1640" w:type="dxa"/>
            <w:gridSpan w:val="2"/>
            <w:vAlign w:val="center"/>
          </w:tcPr>
          <w:p w14:paraId="2F40DCD0">
            <w:pPr>
              <w:jc w:val="center"/>
              <w:rPr>
                <w:rFonts w:ascii="Times New Roman"/>
                <w:sz w:val="21"/>
                <w:szCs w:val="21"/>
              </w:rPr>
            </w:pPr>
            <w:r>
              <w:rPr>
                <w:rFonts w:hint="eastAsia" w:ascii="Times New Roman"/>
                <w:sz w:val="21"/>
                <w:szCs w:val="21"/>
              </w:rPr>
              <w:t>2.0859</w:t>
            </w:r>
          </w:p>
        </w:tc>
        <w:tc>
          <w:tcPr>
            <w:tcW w:w="1501" w:type="dxa"/>
            <w:gridSpan w:val="2"/>
            <w:vAlign w:val="center"/>
          </w:tcPr>
          <w:p w14:paraId="4AB5E5FC">
            <w:pPr>
              <w:jc w:val="center"/>
              <w:rPr>
                <w:rFonts w:ascii="Times New Roman"/>
                <w:sz w:val="21"/>
                <w:szCs w:val="21"/>
              </w:rPr>
            </w:pPr>
            <w:r>
              <w:rPr>
                <w:rFonts w:hint="eastAsia" w:ascii="Times New Roman"/>
                <w:sz w:val="21"/>
                <w:szCs w:val="21"/>
              </w:rPr>
              <w:t xml:space="preserve">0.10 </w:t>
            </w:r>
          </w:p>
        </w:tc>
        <w:tc>
          <w:tcPr>
            <w:tcW w:w="1773" w:type="dxa"/>
            <w:gridSpan w:val="3"/>
            <w:vAlign w:val="center"/>
          </w:tcPr>
          <w:p w14:paraId="68EDB28C">
            <w:pPr>
              <w:jc w:val="center"/>
              <w:rPr>
                <w:rFonts w:ascii="Times New Roman"/>
                <w:sz w:val="21"/>
                <w:szCs w:val="21"/>
              </w:rPr>
            </w:pPr>
            <w:r>
              <w:rPr>
                <w:rFonts w:hint="eastAsia" w:ascii="Times New Roman"/>
                <w:sz w:val="21"/>
                <w:szCs w:val="21"/>
              </w:rPr>
              <w:t>0.5751</w:t>
            </w:r>
          </w:p>
        </w:tc>
        <w:tc>
          <w:tcPr>
            <w:tcW w:w="1634" w:type="dxa"/>
            <w:gridSpan w:val="2"/>
            <w:vAlign w:val="center"/>
          </w:tcPr>
          <w:p w14:paraId="3528B0B9">
            <w:pPr>
              <w:jc w:val="center"/>
              <w:rPr>
                <w:rFonts w:ascii="Times New Roman"/>
                <w:sz w:val="21"/>
                <w:szCs w:val="21"/>
              </w:rPr>
            </w:pPr>
            <w:r>
              <w:rPr>
                <w:rFonts w:hint="eastAsia" w:ascii="Times New Roman"/>
                <w:sz w:val="21"/>
                <w:szCs w:val="21"/>
              </w:rPr>
              <w:t>0.29</w:t>
            </w:r>
          </w:p>
        </w:tc>
      </w:tr>
      <w:tr w14:paraId="40912BD3">
        <w:tblPrEx>
          <w:tblCellMar>
            <w:top w:w="0" w:type="dxa"/>
            <w:left w:w="108" w:type="dxa"/>
            <w:bottom w:w="0" w:type="dxa"/>
            <w:right w:w="108" w:type="dxa"/>
          </w:tblCellMar>
        </w:tblPrEx>
        <w:trPr>
          <w:trHeight w:val="406" w:hRule="atLeast"/>
        </w:trPr>
        <w:tc>
          <w:tcPr>
            <w:tcW w:w="1991" w:type="dxa"/>
            <w:vAlign w:val="center"/>
          </w:tcPr>
          <w:p w14:paraId="7B6F2B27">
            <w:pPr>
              <w:jc w:val="center"/>
              <w:rPr>
                <w:rFonts w:ascii="Times New Roman"/>
                <w:sz w:val="21"/>
                <w:szCs w:val="21"/>
              </w:rPr>
            </w:pPr>
            <w:r>
              <w:rPr>
                <w:rFonts w:ascii="Times New Roman"/>
                <w:sz w:val="21"/>
                <w:szCs w:val="21"/>
              </w:rPr>
              <w:t>1200.0</w:t>
            </w:r>
          </w:p>
        </w:tc>
        <w:tc>
          <w:tcPr>
            <w:tcW w:w="1640" w:type="dxa"/>
            <w:gridSpan w:val="2"/>
            <w:vAlign w:val="center"/>
          </w:tcPr>
          <w:p w14:paraId="4AC86F00">
            <w:pPr>
              <w:jc w:val="center"/>
              <w:rPr>
                <w:rFonts w:ascii="Times New Roman"/>
                <w:sz w:val="21"/>
                <w:szCs w:val="21"/>
              </w:rPr>
            </w:pPr>
            <w:r>
              <w:rPr>
                <w:rFonts w:hint="eastAsia" w:ascii="Times New Roman"/>
                <w:sz w:val="21"/>
                <w:szCs w:val="21"/>
              </w:rPr>
              <w:t>1.8912</w:t>
            </w:r>
          </w:p>
        </w:tc>
        <w:tc>
          <w:tcPr>
            <w:tcW w:w="1501" w:type="dxa"/>
            <w:gridSpan w:val="2"/>
            <w:vAlign w:val="center"/>
          </w:tcPr>
          <w:p w14:paraId="2BC28048">
            <w:pPr>
              <w:jc w:val="center"/>
              <w:rPr>
                <w:rFonts w:ascii="Times New Roman"/>
                <w:sz w:val="21"/>
                <w:szCs w:val="21"/>
              </w:rPr>
            </w:pPr>
            <w:r>
              <w:rPr>
                <w:rFonts w:hint="eastAsia" w:ascii="Times New Roman"/>
                <w:sz w:val="21"/>
                <w:szCs w:val="21"/>
              </w:rPr>
              <w:t xml:space="preserve">0.09 </w:t>
            </w:r>
          </w:p>
        </w:tc>
        <w:tc>
          <w:tcPr>
            <w:tcW w:w="1773" w:type="dxa"/>
            <w:gridSpan w:val="3"/>
            <w:vAlign w:val="center"/>
          </w:tcPr>
          <w:p w14:paraId="6DD20D69">
            <w:pPr>
              <w:jc w:val="center"/>
              <w:rPr>
                <w:rFonts w:ascii="Times New Roman"/>
                <w:sz w:val="21"/>
                <w:szCs w:val="21"/>
              </w:rPr>
            </w:pPr>
            <w:r>
              <w:rPr>
                <w:rFonts w:hint="eastAsia" w:ascii="Times New Roman"/>
                <w:sz w:val="21"/>
                <w:szCs w:val="21"/>
              </w:rPr>
              <w:t>0.5214</w:t>
            </w:r>
          </w:p>
        </w:tc>
        <w:tc>
          <w:tcPr>
            <w:tcW w:w="1634" w:type="dxa"/>
            <w:gridSpan w:val="2"/>
            <w:vAlign w:val="center"/>
          </w:tcPr>
          <w:p w14:paraId="1BCA83A1">
            <w:pPr>
              <w:jc w:val="center"/>
              <w:rPr>
                <w:rFonts w:ascii="Times New Roman"/>
                <w:sz w:val="21"/>
                <w:szCs w:val="21"/>
              </w:rPr>
            </w:pPr>
            <w:r>
              <w:rPr>
                <w:rFonts w:hint="eastAsia" w:ascii="Times New Roman"/>
                <w:sz w:val="21"/>
                <w:szCs w:val="21"/>
              </w:rPr>
              <w:t>0.26</w:t>
            </w:r>
          </w:p>
        </w:tc>
      </w:tr>
      <w:tr w14:paraId="61CBCBAD">
        <w:tblPrEx>
          <w:tblCellMar>
            <w:top w:w="0" w:type="dxa"/>
            <w:left w:w="108" w:type="dxa"/>
            <w:bottom w:w="0" w:type="dxa"/>
            <w:right w:w="108" w:type="dxa"/>
          </w:tblCellMar>
        </w:tblPrEx>
        <w:trPr>
          <w:trHeight w:val="406" w:hRule="atLeast"/>
        </w:trPr>
        <w:tc>
          <w:tcPr>
            <w:tcW w:w="1991" w:type="dxa"/>
            <w:vAlign w:val="center"/>
          </w:tcPr>
          <w:p w14:paraId="480433EB">
            <w:pPr>
              <w:jc w:val="center"/>
              <w:rPr>
                <w:rFonts w:ascii="Times New Roman"/>
                <w:sz w:val="21"/>
                <w:szCs w:val="21"/>
              </w:rPr>
            </w:pPr>
            <w:r>
              <w:rPr>
                <w:rFonts w:ascii="Times New Roman"/>
                <w:sz w:val="21"/>
                <w:szCs w:val="21"/>
              </w:rPr>
              <w:t>1400.0</w:t>
            </w:r>
          </w:p>
        </w:tc>
        <w:tc>
          <w:tcPr>
            <w:tcW w:w="1640" w:type="dxa"/>
            <w:gridSpan w:val="2"/>
            <w:vAlign w:val="center"/>
          </w:tcPr>
          <w:p w14:paraId="1B21CB27">
            <w:pPr>
              <w:jc w:val="center"/>
              <w:rPr>
                <w:rFonts w:ascii="Times New Roman"/>
                <w:sz w:val="21"/>
                <w:szCs w:val="21"/>
              </w:rPr>
            </w:pPr>
            <w:r>
              <w:rPr>
                <w:rFonts w:hint="eastAsia" w:ascii="Times New Roman"/>
                <w:sz w:val="21"/>
                <w:szCs w:val="21"/>
              </w:rPr>
              <w:t>1.8575</w:t>
            </w:r>
          </w:p>
        </w:tc>
        <w:tc>
          <w:tcPr>
            <w:tcW w:w="1501" w:type="dxa"/>
            <w:gridSpan w:val="2"/>
            <w:vAlign w:val="center"/>
          </w:tcPr>
          <w:p w14:paraId="209B370E">
            <w:pPr>
              <w:jc w:val="center"/>
              <w:rPr>
                <w:rFonts w:ascii="Times New Roman"/>
                <w:sz w:val="21"/>
                <w:szCs w:val="21"/>
              </w:rPr>
            </w:pPr>
            <w:r>
              <w:rPr>
                <w:rFonts w:hint="eastAsia" w:ascii="Times New Roman"/>
                <w:sz w:val="21"/>
                <w:szCs w:val="21"/>
              </w:rPr>
              <w:t xml:space="preserve">0.09 </w:t>
            </w:r>
          </w:p>
        </w:tc>
        <w:tc>
          <w:tcPr>
            <w:tcW w:w="1773" w:type="dxa"/>
            <w:gridSpan w:val="3"/>
            <w:vAlign w:val="center"/>
          </w:tcPr>
          <w:p w14:paraId="6CA4273E">
            <w:pPr>
              <w:jc w:val="center"/>
              <w:rPr>
                <w:rFonts w:ascii="Times New Roman"/>
                <w:sz w:val="21"/>
                <w:szCs w:val="21"/>
              </w:rPr>
            </w:pPr>
            <w:r>
              <w:rPr>
                <w:rFonts w:hint="eastAsia" w:ascii="Times New Roman"/>
                <w:sz w:val="21"/>
                <w:szCs w:val="21"/>
              </w:rPr>
              <w:t>0.5121</w:t>
            </w:r>
          </w:p>
        </w:tc>
        <w:tc>
          <w:tcPr>
            <w:tcW w:w="1634" w:type="dxa"/>
            <w:gridSpan w:val="2"/>
            <w:vAlign w:val="center"/>
          </w:tcPr>
          <w:p w14:paraId="48FE44C7">
            <w:pPr>
              <w:jc w:val="center"/>
              <w:rPr>
                <w:rFonts w:ascii="Times New Roman"/>
                <w:sz w:val="21"/>
                <w:szCs w:val="21"/>
              </w:rPr>
            </w:pPr>
            <w:r>
              <w:rPr>
                <w:rFonts w:hint="eastAsia" w:ascii="Times New Roman"/>
                <w:sz w:val="21"/>
                <w:szCs w:val="21"/>
              </w:rPr>
              <w:t>0.26</w:t>
            </w:r>
          </w:p>
        </w:tc>
      </w:tr>
      <w:tr w14:paraId="18624861">
        <w:tblPrEx>
          <w:tblCellMar>
            <w:top w:w="0" w:type="dxa"/>
            <w:left w:w="108" w:type="dxa"/>
            <w:bottom w:w="0" w:type="dxa"/>
            <w:right w:w="108" w:type="dxa"/>
          </w:tblCellMar>
        </w:tblPrEx>
        <w:trPr>
          <w:trHeight w:val="406" w:hRule="atLeast"/>
        </w:trPr>
        <w:tc>
          <w:tcPr>
            <w:tcW w:w="1991" w:type="dxa"/>
            <w:vAlign w:val="center"/>
          </w:tcPr>
          <w:p w14:paraId="6FA1E3EA">
            <w:pPr>
              <w:jc w:val="center"/>
              <w:rPr>
                <w:rFonts w:ascii="Times New Roman"/>
                <w:sz w:val="21"/>
                <w:szCs w:val="21"/>
              </w:rPr>
            </w:pPr>
            <w:r>
              <w:rPr>
                <w:rFonts w:ascii="Times New Roman"/>
                <w:sz w:val="21"/>
                <w:szCs w:val="21"/>
              </w:rPr>
              <w:t>1600.0</w:t>
            </w:r>
          </w:p>
        </w:tc>
        <w:tc>
          <w:tcPr>
            <w:tcW w:w="1640" w:type="dxa"/>
            <w:gridSpan w:val="2"/>
            <w:vAlign w:val="center"/>
          </w:tcPr>
          <w:p w14:paraId="2B32E1A1">
            <w:pPr>
              <w:jc w:val="center"/>
              <w:rPr>
                <w:rFonts w:ascii="Times New Roman"/>
                <w:sz w:val="21"/>
                <w:szCs w:val="21"/>
              </w:rPr>
            </w:pPr>
            <w:r>
              <w:rPr>
                <w:rFonts w:hint="eastAsia" w:ascii="Times New Roman"/>
                <w:sz w:val="21"/>
                <w:szCs w:val="21"/>
              </w:rPr>
              <w:t>1.8903</w:t>
            </w:r>
          </w:p>
        </w:tc>
        <w:tc>
          <w:tcPr>
            <w:tcW w:w="1501" w:type="dxa"/>
            <w:gridSpan w:val="2"/>
            <w:vAlign w:val="center"/>
          </w:tcPr>
          <w:p w14:paraId="24E69257">
            <w:pPr>
              <w:jc w:val="center"/>
              <w:rPr>
                <w:rFonts w:ascii="Times New Roman"/>
                <w:sz w:val="21"/>
                <w:szCs w:val="21"/>
              </w:rPr>
            </w:pPr>
            <w:r>
              <w:rPr>
                <w:rFonts w:hint="eastAsia" w:ascii="Times New Roman"/>
                <w:sz w:val="21"/>
                <w:szCs w:val="21"/>
              </w:rPr>
              <w:t xml:space="preserve">0.09 </w:t>
            </w:r>
          </w:p>
        </w:tc>
        <w:tc>
          <w:tcPr>
            <w:tcW w:w="1773" w:type="dxa"/>
            <w:gridSpan w:val="3"/>
            <w:vAlign w:val="center"/>
          </w:tcPr>
          <w:p w14:paraId="60CE4512">
            <w:pPr>
              <w:jc w:val="center"/>
              <w:rPr>
                <w:rFonts w:ascii="Times New Roman"/>
                <w:sz w:val="21"/>
                <w:szCs w:val="21"/>
              </w:rPr>
            </w:pPr>
            <w:r>
              <w:rPr>
                <w:rFonts w:hint="eastAsia" w:ascii="Times New Roman"/>
                <w:sz w:val="21"/>
                <w:szCs w:val="21"/>
              </w:rPr>
              <w:t>0.5211</w:t>
            </w:r>
          </w:p>
        </w:tc>
        <w:tc>
          <w:tcPr>
            <w:tcW w:w="1634" w:type="dxa"/>
            <w:gridSpan w:val="2"/>
            <w:vAlign w:val="center"/>
          </w:tcPr>
          <w:p w14:paraId="302C8549">
            <w:pPr>
              <w:jc w:val="center"/>
              <w:rPr>
                <w:rFonts w:ascii="Times New Roman"/>
                <w:sz w:val="21"/>
                <w:szCs w:val="21"/>
              </w:rPr>
            </w:pPr>
            <w:r>
              <w:rPr>
                <w:rFonts w:hint="eastAsia" w:ascii="Times New Roman"/>
                <w:sz w:val="21"/>
                <w:szCs w:val="21"/>
              </w:rPr>
              <w:t>0.26</w:t>
            </w:r>
          </w:p>
        </w:tc>
      </w:tr>
      <w:tr w14:paraId="1CCAB108">
        <w:tblPrEx>
          <w:tblCellMar>
            <w:top w:w="0" w:type="dxa"/>
            <w:left w:w="108" w:type="dxa"/>
            <w:bottom w:w="0" w:type="dxa"/>
            <w:right w:w="108" w:type="dxa"/>
          </w:tblCellMar>
        </w:tblPrEx>
        <w:trPr>
          <w:trHeight w:val="406" w:hRule="atLeast"/>
        </w:trPr>
        <w:tc>
          <w:tcPr>
            <w:tcW w:w="1991" w:type="dxa"/>
            <w:vAlign w:val="center"/>
          </w:tcPr>
          <w:p w14:paraId="45405E01">
            <w:pPr>
              <w:jc w:val="center"/>
              <w:rPr>
                <w:rFonts w:ascii="Times New Roman"/>
                <w:sz w:val="21"/>
                <w:szCs w:val="21"/>
              </w:rPr>
            </w:pPr>
            <w:r>
              <w:rPr>
                <w:rFonts w:ascii="Times New Roman"/>
                <w:sz w:val="21"/>
                <w:szCs w:val="21"/>
              </w:rPr>
              <w:t>1800.0</w:t>
            </w:r>
          </w:p>
        </w:tc>
        <w:tc>
          <w:tcPr>
            <w:tcW w:w="1640" w:type="dxa"/>
            <w:gridSpan w:val="2"/>
            <w:vAlign w:val="center"/>
          </w:tcPr>
          <w:p w14:paraId="1E48C95E">
            <w:pPr>
              <w:jc w:val="center"/>
              <w:rPr>
                <w:rFonts w:ascii="Times New Roman"/>
                <w:sz w:val="21"/>
                <w:szCs w:val="21"/>
              </w:rPr>
            </w:pPr>
            <w:r>
              <w:rPr>
                <w:rFonts w:hint="eastAsia" w:ascii="Times New Roman"/>
                <w:sz w:val="21"/>
                <w:szCs w:val="21"/>
              </w:rPr>
              <w:t>1.8788</w:t>
            </w:r>
          </w:p>
        </w:tc>
        <w:tc>
          <w:tcPr>
            <w:tcW w:w="1501" w:type="dxa"/>
            <w:gridSpan w:val="2"/>
            <w:vAlign w:val="center"/>
          </w:tcPr>
          <w:p w14:paraId="745F382F">
            <w:pPr>
              <w:jc w:val="center"/>
              <w:rPr>
                <w:rFonts w:ascii="Times New Roman"/>
                <w:sz w:val="21"/>
                <w:szCs w:val="21"/>
              </w:rPr>
            </w:pPr>
            <w:r>
              <w:rPr>
                <w:rFonts w:hint="eastAsia" w:ascii="Times New Roman"/>
                <w:sz w:val="21"/>
                <w:szCs w:val="21"/>
              </w:rPr>
              <w:t xml:space="preserve">0.09 </w:t>
            </w:r>
          </w:p>
        </w:tc>
        <w:tc>
          <w:tcPr>
            <w:tcW w:w="1773" w:type="dxa"/>
            <w:gridSpan w:val="3"/>
            <w:vAlign w:val="center"/>
          </w:tcPr>
          <w:p w14:paraId="590A5240">
            <w:pPr>
              <w:jc w:val="center"/>
              <w:rPr>
                <w:rFonts w:ascii="Times New Roman"/>
                <w:sz w:val="21"/>
                <w:szCs w:val="21"/>
              </w:rPr>
            </w:pPr>
            <w:r>
              <w:rPr>
                <w:rFonts w:hint="eastAsia" w:ascii="Times New Roman"/>
                <w:sz w:val="21"/>
                <w:szCs w:val="21"/>
              </w:rPr>
              <w:t>0.518</w:t>
            </w:r>
          </w:p>
        </w:tc>
        <w:tc>
          <w:tcPr>
            <w:tcW w:w="1634" w:type="dxa"/>
            <w:gridSpan w:val="2"/>
            <w:vAlign w:val="center"/>
          </w:tcPr>
          <w:p w14:paraId="6580F504">
            <w:pPr>
              <w:jc w:val="center"/>
              <w:rPr>
                <w:rFonts w:ascii="Times New Roman"/>
                <w:sz w:val="21"/>
                <w:szCs w:val="21"/>
              </w:rPr>
            </w:pPr>
            <w:r>
              <w:rPr>
                <w:rFonts w:hint="eastAsia" w:ascii="Times New Roman"/>
                <w:sz w:val="21"/>
                <w:szCs w:val="21"/>
              </w:rPr>
              <w:t>0.26</w:t>
            </w:r>
          </w:p>
        </w:tc>
      </w:tr>
      <w:tr w14:paraId="04DD4755">
        <w:tblPrEx>
          <w:tblCellMar>
            <w:top w:w="0" w:type="dxa"/>
            <w:left w:w="108" w:type="dxa"/>
            <w:bottom w:w="0" w:type="dxa"/>
            <w:right w:w="108" w:type="dxa"/>
          </w:tblCellMar>
        </w:tblPrEx>
        <w:trPr>
          <w:trHeight w:val="406" w:hRule="atLeast"/>
        </w:trPr>
        <w:tc>
          <w:tcPr>
            <w:tcW w:w="1991" w:type="dxa"/>
            <w:vAlign w:val="center"/>
          </w:tcPr>
          <w:p w14:paraId="46FAD391">
            <w:pPr>
              <w:jc w:val="center"/>
              <w:rPr>
                <w:rFonts w:ascii="Times New Roman"/>
                <w:sz w:val="21"/>
                <w:szCs w:val="21"/>
              </w:rPr>
            </w:pPr>
            <w:r>
              <w:rPr>
                <w:rFonts w:ascii="Times New Roman"/>
                <w:sz w:val="21"/>
                <w:szCs w:val="21"/>
              </w:rPr>
              <w:t>2000.0</w:t>
            </w:r>
          </w:p>
        </w:tc>
        <w:tc>
          <w:tcPr>
            <w:tcW w:w="1640" w:type="dxa"/>
            <w:gridSpan w:val="2"/>
            <w:vAlign w:val="center"/>
          </w:tcPr>
          <w:p w14:paraId="6A367705">
            <w:pPr>
              <w:jc w:val="center"/>
              <w:rPr>
                <w:rFonts w:ascii="Times New Roman"/>
                <w:sz w:val="21"/>
                <w:szCs w:val="21"/>
              </w:rPr>
            </w:pPr>
            <w:r>
              <w:rPr>
                <w:rFonts w:hint="eastAsia" w:ascii="Times New Roman"/>
                <w:sz w:val="21"/>
                <w:szCs w:val="21"/>
              </w:rPr>
              <w:t>1.8407</w:t>
            </w:r>
          </w:p>
        </w:tc>
        <w:tc>
          <w:tcPr>
            <w:tcW w:w="1501" w:type="dxa"/>
            <w:gridSpan w:val="2"/>
            <w:vAlign w:val="center"/>
          </w:tcPr>
          <w:p w14:paraId="66638B71">
            <w:pPr>
              <w:jc w:val="center"/>
              <w:rPr>
                <w:rFonts w:ascii="Times New Roman"/>
                <w:sz w:val="21"/>
                <w:szCs w:val="21"/>
              </w:rPr>
            </w:pPr>
            <w:r>
              <w:rPr>
                <w:rFonts w:hint="eastAsia" w:ascii="Times New Roman"/>
                <w:sz w:val="21"/>
                <w:szCs w:val="21"/>
              </w:rPr>
              <w:t xml:space="preserve">0.09 </w:t>
            </w:r>
          </w:p>
        </w:tc>
        <w:tc>
          <w:tcPr>
            <w:tcW w:w="1773" w:type="dxa"/>
            <w:gridSpan w:val="3"/>
            <w:vAlign w:val="center"/>
          </w:tcPr>
          <w:p w14:paraId="3F095E20">
            <w:pPr>
              <w:jc w:val="center"/>
              <w:rPr>
                <w:rFonts w:ascii="Times New Roman"/>
                <w:sz w:val="21"/>
                <w:szCs w:val="21"/>
              </w:rPr>
            </w:pPr>
            <w:r>
              <w:rPr>
                <w:rFonts w:hint="eastAsia" w:ascii="Times New Roman"/>
                <w:sz w:val="21"/>
                <w:szCs w:val="21"/>
              </w:rPr>
              <w:t>0.5075</w:t>
            </w:r>
          </w:p>
        </w:tc>
        <w:tc>
          <w:tcPr>
            <w:tcW w:w="1634" w:type="dxa"/>
            <w:gridSpan w:val="2"/>
            <w:vAlign w:val="center"/>
          </w:tcPr>
          <w:p w14:paraId="3AA4DDEF">
            <w:pPr>
              <w:jc w:val="center"/>
              <w:rPr>
                <w:rFonts w:ascii="Times New Roman"/>
                <w:sz w:val="21"/>
                <w:szCs w:val="21"/>
              </w:rPr>
            </w:pPr>
            <w:r>
              <w:rPr>
                <w:rFonts w:hint="eastAsia" w:ascii="Times New Roman"/>
                <w:sz w:val="21"/>
                <w:szCs w:val="21"/>
              </w:rPr>
              <w:t>0.25</w:t>
            </w:r>
          </w:p>
        </w:tc>
      </w:tr>
      <w:tr w14:paraId="5A0F9ECD">
        <w:tblPrEx>
          <w:tblCellMar>
            <w:top w:w="0" w:type="dxa"/>
            <w:left w:w="108" w:type="dxa"/>
            <w:bottom w:w="0" w:type="dxa"/>
            <w:right w:w="108" w:type="dxa"/>
          </w:tblCellMar>
        </w:tblPrEx>
        <w:trPr>
          <w:trHeight w:val="406" w:hRule="atLeast"/>
        </w:trPr>
        <w:tc>
          <w:tcPr>
            <w:tcW w:w="1991" w:type="dxa"/>
            <w:vAlign w:val="center"/>
          </w:tcPr>
          <w:p w14:paraId="2042E5F6">
            <w:pPr>
              <w:jc w:val="center"/>
              <w:rPr>
                <w:rFonts w:ascii="Times New Roman"/>
                <w:sz w:val="21"/>
                <w:szCs w:val="21"/>
              </w:rPr>
            </w:pPr>
            <w:r>
              <w:rPr>
                <w:rFonts w:ascii="Times New Roman"/>
                <w:sz w:val="21"/>
                <w:szCs w:val="21"/>
              </w:rPr>
              <w:t>2500.0</w:t>
            </w:r>
          </w:p>
        </w:tc>
        <w:tc>
          <w:tcPr>
            <w:tcW w:w="1640" w:type="dxa"/>
            <w:gridSpan w:val="2"/>
            <w:vAlign w:val="center"/>
          </w:tcPr>
          <w:p w14:paraId="75DC8789">
            <w:pPr>
              <w:jc w:val="center"/>
              <w:rPr>
                <w:rFonts w:ascii="Times New Roman"/>
                <w:sz w:val="21"/>
                <w:szCs w:val="21"/>
              </w:rPr>
            </w:pPr>
            <w:r>
              <w:rPr>
                <w:rFonts w:hint="eastAsia" w:ascii="Times New Roman"/>
                <w:sz w:val="21"/>
                <w:szCs w:val="21"/>
              </w:rPr>
              <w:t>1.6996</w:t>
            </w:r>
          </w:p>
        </w:tc>
        <w:tc>
          <w:tcPr>
            <w:tcW w:w="1501" w:type="dxa"/>
            <w:gridSpan w:val="2"/>
            <w:vAlign w:val="center"/>
          </w:tcPr>
          <w:p w14:paraId="76B68908">
            <w:pPr>
              <w:jc w:val="center"/>
              <w:rPr>
                <w:rFonts w:ascii="Times New Roman"/>
                <w:sz w:val="21"/>
                <w:szCs w:val="21"/>
              </w:rPr>
            </w:pPr>
            <w:r>
              <w:rPr>
                <w:rFonts w:hint="eastAsia" w:ascii="Times New Roman"/>
                <w:sz w:val="21"/>
                <w:szCs w:val="21"/>
              </w:rPr>
              <w:t xml:space="preserve">0.08 </w:t>
            </w:r>
          </w:p>
        </w:tc>
        <w:tc>
          <w:tcPr>
            <w:tcW w:w="1773" w:type="dxa"/>
            <w:gridSpan w:val="3"/>
            <w:vAlign w:val="center"/>
          </w:tcPr>
          <w:p w14:paraId="12E37824">
            <w:pPr>
              <w:jc w:val="center"/>
              <w:rPr>
                <w:rFonts w:ascii="Times New Roman"/>
                <w:sz w:val="21"/>
                <w:szCs w:val="21"/>
              </w:rPr>
            </w:pPr>
            <w:r>
              <w:rPr>
                <w:rFonts w:hint="eastAsia" w:ascii="Times New Roman"/>
                <w:sz w:val="21"/>
                <w:szCs w:val="21"/>
              </w:rPr>
              <w:t>0.4686</w:t>
            </w:r>
          </w:p>
        </w:tc>
        <w:tc>
          <w:tcPr>
            <w:tcW w:w="1634" w:type="dxa"/>
            <w:gridSpan w:val="2"/>
            <w:vAlign w:val="center"/>
          </w:tcPr>
          <w:p w14:paraId="36C3B43C">
            <w:pPr>
              <w:jc w:val="center"/>
              <w:rPr>
                <w:rFonts w:ascii="Times New Roman"/>
                <w:sz w:val="21"/>
                <w:szCs w:val="21"/>
              </w:rPr>
            </w:pPr>
            <w:r>
              <w:rPr>
                <w:rFonts w:hint="eastAsia" w:ascii="Times New Roman"/>
                <w:sz w:val="21"/>
                <w:szCs w:val="21"/>
              </w:rPr>
              <w:t>0.23</w:t>
            </w:r>
          </w:p>
        </w:tc>
      </w:tr>
      <w:tr w14:paraId="746A07B3">
        <w:tblPrEx>
          <w:tblCellMar>
            <w:top w:w="0" w:type="dxa"/>
            <w:left w:w="108" w:type="dxa"/>
            <w:bottom w:w="0" w:type="dxa"/>
            <w:right w:w="108" w:type="dxa"/>
          </w:tblCellMar>
        </w:tblPrEx>
        <w:trPr>
          <w:trHeight w:val="406" w:hRule="atLeast"/>
        </w:trPr>
        <w:tc>
          <w:tcPr>
            <w:tcW w:w="1991" w:type="dxa"/>
            <w:vAlign w:val="center"/>
          </w:tcPr>
          <w:p w14:paraId="18352FAE">
            <w:pPr>
              <w:jc w:val="center"/>
              <w:rPr>
                <w:rFonts w:ascii="Times New Roman"/>
                <w:sz w:val="21"/>
                <w:szCs w:val="21"/>
              </w:rPr>
            </w:pPr>
            <w:r>
              <w:rPr>
                <w:rFonts w:ascii="Times New Roman"/>
                <w:sz w:val="21"/>
                <w:szCs w:val="21"/>
              </w:rPr>
              <w:t>3000.0</w:t>
            </w:r>
          </w:p>
        </w:tc>
        <w:tc>
          <w:tcPr>
            <w:tcW w:w="1640" w:type="dxa"/>
            <w:gridSpan w:val="2"/>
            <w:vAlign w:val="center"/>
          </w:tcPr>
          <w:p w14:paraId="39857F5E">
            <w:pPr>
              <w:jc w:val="center"/>
              <w:rPr>
                <w:rFonts w:ascii="Times New Roman"/>
                <w:sz w:val="21"/>
                <w:szCs w:val="21"/>
              </w:rPr>
            </w:pPr>
            <w:r>
              <w:rPr>
                <w:rFonts w:hint="eastAsia" w:ascii="Times New Roman"/>
                <w:sz w:val="21"/>
                <w:szCs w:val="21"/>
              </w:rPr>
              <w:t>1.538</w:t>
            </w:r>
          </w:p>
        </w:tc>
        <w:tc>
          <w:tcPr>
            <w:tcW w:w="1501" w:type="dxa"/>
            <w:gridSpan w:val="2"/>
            <w:vAlign w:val="center"/>
          </w:tcPr>
          <w:p w14:paraId="013446CC">
            <w:pPr>
              <w:jc w:val="center"/>
              <w:rPr>
                <w:rFonts w:ascii="Times New Roman"/>
                <w:sz w:val="21"/>
                <w:szCs w:val="21"/>
              </w:rPr>
            </w:pPr>
            <w:r>
              <w:rPr>
                <w:rFonts w:hint="eastAsia" w:ascii="Times New Roman"/>
                <w:sz w:val="21"/>
                <w:szCs w:val="21"/>
              </w:rPr>
              <w:t xml:space="preserve">0.08 </w:t>
            </w:r>
          </w:p>
        </w:tc>
        <w:tc>
          <w:tcPr>
            <w:tcW w:w="1773" w:type="dxa"/>
            <w:gridSpan w:val="3"/>
            <w:vAlign w:val="center"/>
          </w:tcPr>
          <w:p w14:paraId="1E26A581">
            <w:pPr>
              <w:jc w:val="center"/>
              <w:rPr>
                <w:rFonts w:ascii="Times New Roman"/>
                <w:sz w:val="21"/>
                <w:szCs w:val="21"/>
              </w:rPr>
            </w:pPr>
            <w:r>
              <w:rPr>
                <w:rFonts w:hint="eastAsia" w:ascii="Times New Roman"/>
                <w:sz w:val="21"/>
                <w:szCs w:val="21"/>
              </w:rPr>
              <w:t>0.424</w:t>
            </w:r>
          </w:p>
        </w:tc>
        <w:tc>
          <w:tcPr>
            <w:tcW w:w="1634" w:type="dxa"/>
            <w:gridSpan w:val="2"/>
            <w:vAlign w:val="center"/>
          </w:tcPr>
          <w:p w14:paraId="50179F87">
            <w:pPr>
              <w:jc w:val="center"/>
              <w:rPr>
                <w:rFonts w:ascii="Times New Roman"/>
                <w:sz w:val="21"/>
                <w:szCs w:val="21"/>
              </w:rPr>
            </w:pPr>
            <w:r>
              <w:rPr>
                <w:rFonts w:hint="eastAsia" w:ascii="Times New Roman"/>
                <w:sz w:val="21"/>
                <w:szCs w:val="21"/>
              </w:rPr>
              <w:t>0.21</w:t>
            </w:r>
          </w:p>
        </w:tc>
      </w:tr>
      <w:tr w14:paraId="1A3A5FD5">
        <w:tblPrEx>
          <w:tblCellMar>
            <w:top w:w="0" w:type="dxa"/>
            <w:left w:w="108" w:type="dxa"/>
            <w:bottom w:w="0" w:type="dxa"/>
            <w:right w:w="108" w:type="dxa"/>
          </w:tblCellMar>
        </w:tblPrEx>
        <w:trPr>
          <w:trHeight w:val="406" w:hRule="atLeast"/>
        </w:trPr>
        <w:tc>
          <w:tcPr>
            <w:tcW w:w="1991" w:type="dxa"/>
            <w:vAlign w:val="center"/>
          </w:tcPr>
          <w:p w14:paraId="0D30BEA6">
            <w:pPr>
              <w:jc w:val="center"/>
              <w:rPr>
                <w:rFonts w:ascii="Times New Roman"/>
                <w:sz w:val="21"/>
                <w:szCs w:val="21"/>
              </w:rPr>
            </w:pPr>
            <w:r>
              <w:rPr>
                <w:rFonts w:ascii="Times New Roman"/>
                <w:sz w:val="21"/>
                <w:szCs w:val="21"/>
              </w:rPr>
              <w:t>3500.0</w:t>
            </w:r>
          </w:p>
        </w:tc>
        <w:tc>
          <w:tcPr>
            <w:tcW w:w="1640" w:type="dxa"/>
            <w:gridSpan w:val="2"/>
            <w:vAlign w:val="center"/>
          </w:tcPr>
          <w:p w14:paraId="4141F062">
            <w:pPr>
              <w:jc w:val="center"/>
              <w:rPr>
                <w:rFonts w:ascii="Times New Roman"/>
                <w:sz w:val="21"/>
                <w:szCs w:val="21"/>
              </w:rPr>
            </w:pPr>
            <w:r>
              <w:rPr>
                <w:rFonts w:hint="eastAsia" w:ascii="Times New Roman"/>
                <w:sz w:val="21"/>
                <w:szCs w:val="21"/>
              </w:rPr>
              <w:t>1.3852</w:t>
            </w:r>
          </w:p>
        </w:tc>
        <w:tc>
          <w:tcPr>
            <w:tcW w:w="1501" w:type="dxa"/>
            <w:gridSpan w:val="2"/>
            <w:vAlign w:val="center"/>
          </w:tcPr>
          <w:p w14:paraId="72EDE2B9">
            <w:pPr>
              <w:jc w:val="center"/>
              <w:rPr>
                <w:rFonts w:ascii="Times New Roman"/>
                <w:sz w:val="21"/>
                <w:szCs w:val="21"/>
              </w:rPr>
            </w:pPr>
            <w:r>
              <w:rPr>
                <w:rFonts w:hint="eastAsia" w:ascii="Times New Roman"/>
                <w:sz w:val="21"/>
                <w:szCs w:val="21"/>
              </w:rPr>
              <w:t xml:space="preserve">0.07 </w:t>
            </w:r>
          </w:p>
        </w:tc>
        <w:tc>
          <w:tcPr>
            <w:tcW w:w="1773" w:type="dxa"/>
            <w:gridSpan w:val="3"/>
            <w:vAlign w:val="center"/>
          </w:tcPr>
          <w:p w14:paraId="02689E5E">
            <w:pPr>
              <w:jc w:val="center"/>
              <w:rPr>
                <w:rFonts w:ascii="Times New Roman"/>
                <w:sz w:val="21"/>
                <w:szCs w:val="21"/>
              </w:rPr>
            </w:pPr>
            <w:r>
              <w:rPr>
                <w:rFonts w:hint="eastAsia" w:ascii="Times New Roman"/>
                <w:sz w:val="21"/>
                <w:szCs w:val="21"/>
              </w:rPr>
              <w:t>0.3819</w:t>
            </w:r>
          </w:p>
        </w:tc>
        <w:tc>
          <w:tcPr>
            <w:tcW w:w="1634" w:type="dxa"/>
            <w:gridSpan w:val="2"/>
            <w:vAlign w:val="center"/>
          </w:tcPr>
          <w:p w14:paraId="6E7CA0C1">
            <w:pPr>
              <w:jc w:val="center"/>
              <w:rPr>
                <w:rFonts w:ascii="Times New Roman"/>
                <w:sz w:val="21"/>
                <w:szCs w:val="21"/>
              </w:rPr>
            </w:pPr>
            <w:r>
              <w:rPr>
                <w:rFonts w:hint="eastAsia" w:ascii="Times New Roman"/>
                <w:sz w:val="21"/>
                <w:szCs w:val="21"/>
              </w:rPr>
              <w:t>0.19</w:t>
            </w:r>
          </w:p>
        </w:tc>
      </w:tr>
      <w:tr w14:paraId="669C5A01">
        <w:tblPrEx>
          <w:tblCellMar>
            <w:top w:w="0" w:type="dxa"/>
            <w:left w:w="108" w:type="dxa"/>
            <w:bottom w:w="0" w:type="dxa"/>
            <w:right w:w="108" w:type="dxa"/>
          </w:tblCellMar>
        </w:tblPrEx>
        <w:trPr>
          <w:trHeight w:val="406" w:hRule="atLeast"/>
        </w:trPr>
        <w:tc>
          <w:tcPr>
            <w:tcW w:w="1991" w:type="dxa"/>
            <w:vAlign w:val="center"/>
          </w:tcPr>
          <w:p w14:paraId="2947550B">
            <w:pPr>
              <w:jc w:val="center"/>
              <w:rPr>
                <w:rFonts w:ascii="Times New Roman"/>
                <w:sz w:val="21"/>
                <w:szCs w:val="21"/>
              </w:rPr>
            </w:pPr>
            <w:r>
              <w:rPr>
                <w:rFonts w:ascii="Times New Roman"/>
                <w:sz w:val="21"/>
                <w:szCs w:val="21"/>
              </w:rPr>
              <w:t>4000.0</w:t>
            </w:r>
          </w:p>
        </w:tc>
        <w:tc>
          <w:tcPr>
            <w:tcW w:w="1640" w:type="dxa"/>
            <w:gridSpan w:val="2"/>
            <w:vAlign w:val="center"/>
          </w:tcPr>
          <w:p w14:paraId="3163F6E0">
            <w:pPr>
              <w:jc w:val="center"/>
              <w:rPr>
                <w:rFonts w:ascii="Times New Roman"/>
                <w:sz w:val="21"/>
                <w:szCs w:val="21"/>
              </w:rPr>
            </w:pPr>
            <w:r>
              <w:rPr>
                <w:rFonts w:hint="eastAsia" w:ascii="Times New Roman"/>
                <w:sz w:val="21"/>
                <w:szCs w:val="21"/>
              </w:rPr>
              <w:t>1.2494</w:t>
            </w:r>
          </w:p>
        </w:tc>
        <w:tc>
          <w:tcPr>
            <w:tcW w:w="1501" w:type="dxa"/>
            <w:gridSpan w:val="2"/>
            <w:vAlign w:val="center"/>
          </w:tcPr>
          <w:p w14:paraId="1FBB3B45">
            <w:pPr>
              <w:jc w:val="center"/>
              <w:rPr>
                <w:rFonts w:ascii="Times New Roman"/>
                <w:sz w:val="21"/>
                <w:szCs w:val="21"/>
              </w:rPr>
            </w:pPr>
            <w:r>
              <w:rPr>
                <w:rFonts w:hint="eastAsia" w:ascii="Times New Roman"/>
                <w:sz w:val="21"/>
                <w:szCs w:val="21"/>
              </w:rPr>
              <w:t xml:space="preserve">0.06 </w:t>
            </w:r>
          </w:p>
        </w:tc>
        <w:tc>
          <w:tcPr>
            <w:tcW w:w="1773" w:type="dxa"/>
            <w:gridSpan w:val="3"/>
            <w:vAlign w:val="center"/>
          </w:tcPr>
          <w:p w14:paraId="0F3798A7">
            <w:pPr>
              <w:jc w:val="center"/>
              <w:rPr>
                <w:rFonts w:ascii="Times New Roman"/>
                <w:sz w:val="21"/>
                <w:szCs w:val="21"/>
              </w:rPr>
            </w:pPr>
            <w:r>
              <w:rPr>
                <w:rFonts w:hint="eastAsia" w:ascii="Times New Roman"/>
                <w:sz w:val="21"/>
                <w:szCs w:val="21"/>
              </w:rPr>
              <w:t>0.3444</w:t>
            </w:r>
          </w:p>
        </w:tc>
        <w:tc>
          <w:tcPr>
            <w:tcW w:w="1634" w:type="dxa"/>
            <w:gridSpan w:val="2"/>
            <w:vAlign w:val="center"/>
          </w:tcPr>
          <w:p w14:paraId="4C704806">
            <w:pPr>
              <w:jc w:val="center"/>
              <w:rPr>
                <w:rFonts w:ascii="Times New Roman"/>
                <w:sz w:val="21"/>
                <w:szCs w:val="21"/>
              </w:rPr>
            </w:pPr>
            <w:r>
              <w:rPr>
                <w:rFonts w:hint="eastAsia" w:ascii="Times New Roman"/>
                <w:sz w:val="21"/>
                <w:szCs w:val="21"/>
              </w:rPr>
              <w:t>0.17</w:t>
            </w:r>
          </w:p>
        </w:tc>
      </w:tr>
      <w:tr w14:paraId="59B71F40">
        <w:tblPrEx>
          <w:tblCellMar>
            <w:top w:w="0" w:type="dxa"/>
            <w:left w:w="108" w:type="dxa"/>
            <w:bottom w:w="0" w:type="dxa"/>
            <w:right w:w="108" w:type="dxa"/>
          </w:tblCellMar>
        </w:tblPrEx>
        <w:trPr>
          <w:trHeight w:val="406" w:hRule="atLeast"/>
        </w:trPr>
        <w:tc>
          <w:tcPr>
            <w:tcW w:w="1991" w:type="dxa"/>
            <w:vAlign w:val="center"/>
          </w:tcPr>
          <w:p w14:paraId="248D43DD">
            <w:pPr>
              <w:jc w:val="center"/>
              <w:rPr>
                <w:rFonts w:ascii="Times New Roman"/>
                <w:sz w:val="21"/>
                <w:szCs w:val="21"/>
              </w:rPr>
            </w:pPr>
            <w:r>
              <w:rPr>
                <w:rFonts w:ascii="Times New Roman"/>
                <w:sz w:val="21"/>
                <w:szCs w:val="21"/>
              </w:rPr>
              <w:t>4500.0</w:t>
            </w:r>
          </w:p>
        </w:tc>
        <w:tc>
          <w:tcPr>
            <w:tcW w:w="1640" w:type="dxa"/>
            <w:gridSpan w:val="2"/>
            <w:vAlign w:val="center"/>
          </w:tcPr>
          <w:p w14:paraId="69EB1486">
            <w:pPr>
              <w:jc w:val="center"/>
              <w:rPr>
                <w:rFonts w:ascii="Times New Roman"/>
                <w:sz w:val="21"/>
                <w:szCs w:val="21"/>
              </w:rPr>
            </w:pPr>
            <w:r>
              <w:rPr>
                <w:rFonts w:hint="eastAsia" w:ascii="Times New Roman"/>
                <w:sz w:val="21"/>
                <w:szCs w:val="21"/>
              </w:rPr>
              <w:t>1.1312</w:t>
            </w:r>
          </w:p>
        </w:tc>
        <w:tc>
          <w:tcPr>
            <w:tcW w:w="1501" w:type="dxa"/>
            <w:gridSpan w:val="2"/>
            <w:vAlign w:val="center"/>
          </w:tcPr>
          <w:p w14:paraId="7EBA67D1">
            <w:pPr>
              <w:jc w:val="center"/>
              <w:rPr>
                <w:rFonts w:ascii="Times New Roman"/>
                <w:sz w:val="21"/>
                <w:szCs w:val="21"/>
              </w:rPr>
            </w:pPr>
            <w:r>
              <w:rPr>
                <w:rFonts w:hint="eastAsia" w:ascii="Times New Roman"/>
                <w:sz w:val="21"/>
                <w:szCs w:val="21"/>
              </w:rPr>
              <w:t xml:space="preserve">0.06 </w:t>
            </w:r>
          </w:p>
        </w:tc>
        <w:tc>
          <w:tcPr>
            <w:tcW w:w="1773" w:type="dxa"/>
            <w:gridSpan w:val="3"/>
            <w:vAlign w:val="center"/>
          </w:tcPr>
          <w:p w14:paraId="1CD5A99D">
            <w:pPr>
              <w:jc w:val="center"/>
              <w:rPr>
                <w:rFonts w:ascii="Times New Roman"/>
                <w:sz w:val="21"/>
                <w:szCs w:val="21"/>
              </w:rPr>
            </w:pPr>
            <w:r>
              <w:rPr>
                <w:rFonts w:hint="eastAsia" w:ascii="Times New Roman"/>
                <w:sz w:val="21"/>
                <w:szCs w:val="21"/>
              </w:rPr>
              <w:t>0.3119</w:t>
            </w:r>
          </w:p>
        </w:tc>
        <w:tc>
          <w:tcPr>
            <w:tcW w:w="1634" w:type="dxa"/>
            <w:gridSpan w:val="2"/>
            <w:vAlign w:val="center"/>
          </w:tcPr>
          <w:p w14:paraId="10476311">
            <w:pPr>
              <w:jc w:val="center"/>
              <w:rPr>
                <w:rFonts w:ascii="Times New Roman"/>
                <w:sz w:val="21"/>
                <w:szCs w:val="21"/>
              </w:rPr>
            </w:pPr>
            <w:r>
              <w:rPr>
                <w:rFonts w:hint="eastAsia" w:ascii="Times New Roman"/>
                <w:sz w:val="21"/>
                <w:szCs w:val="21"/>
              </w:rPr>
              <w:t>0.16</w:t>
            </w:r>
          </w:p>
        </w:tc>
      </w:tr>
      <w:tr w14:paraId="3D58A8E6">
        <w:tblPrEx>
          <w:tblCellMar>
            <w:top w:w="0" w:type="dxa"/>
            <w:left w:w="108" w:type="dxa"/>
            <w:bottom w:w="0" w:type="dxa"/>
            <w:right w:w="108" w:type="dxa"/>
          </w:tblCellMar>
        </w:tblPrEx>
        <w:trPr>
          <w:trHeight w:val="406" w:hRule="atLeast"/>
        </w:trPr>
        <w:tc>
          <w:tcPr>
            <w:tcW w:w="1991" w:type="dxa"/>
            <w:vAlign w:val="center"/>
          </w:tcPr>
          <w:p w14:paraId="53720087">
            <w:pPr>
              <w:jc w:val="center"/>
              <w:rPr>
                <w:rFonts w:ascii="Times New Roman"/>
                <w:sz w:val="21"/>
                <w:szCs w:val="21"/>
              </w:rPr>
            </w:pPr>
            <w:r>
              <w:rPr>
                <w:rFonts w:ascii="Times New Roman"/>
                <w:sz w:val="21"/>
                <w:szCs w:val="21"/>
              </w:rPr>
              <w:t>5000.0</w:t>
            </w:r>
          </w:p>
        </w:tc>
        <w:tc>
          <w:tcPr>
            <w:tcW w:w="1640" w:type="dxa"/>
            <w:gridSpan w:val="2"/>
            <w:vAlign w:val="center"/>
          </w:tcPr>
          <w:p w14:paraId="07F5084D">
            <w:pPr>
              <w:jc w:val="center"/>
              <w:rPr>
                <w:rFonts w:ascii="Times New Roman"/>
                <w:sz w:val="21"/>
                <w:szCs w:val="21"/>
              </w:rPr>
            </w:pPr>
            <w:r>
              <w:rPr>
                <w:rFonts w:hint="eastAsia" w:ascii="Times New Roman"/>
                <w:sz w:val="21"/>
                <w:szCs w:val="21"/>
              </w:rPr>
              <w:t>1.0291</w:t>
            </w:r>
          </w:p>
        </w:tc>
        <w:tc>
          <w:tcPr>
            <w:tcW w:w="1501" w:type="dxa"/>
            <w:gridSpan w:val="2"/>
            <w:vAlign w:val="center"/>
          </w:tcPr>
          <w:p w14:paraId="71052543">
            <w:pPr>
              <w:jc w:val="center"/>
              <w:rPr>
                <w:rFonts w:ascii="Times New Roman"/>
                <w:sz w:val="21"/>
                <w:szCs w:val="21"/>
              </w:rPr>
            </w:pPr>
            <w:r>
              <w:rPr>
                <w:rFonts w:hint="eastAsia" w:ascii="Times New Roman"/>
                <w:sz w:val="21"/>
                <w:szCs w:val="21"/>
              </w:rPr>
              <w:t xml:space="preserve">0.05 </w:t>
            </w:r>
          </w:p>
        </w:tc>
        <w:tc>
          <w:tcPr>
            <w:tcW w:w="1773" w:type="dxa"/>
            <w:gridSpan w:val="3"/>
            <w:vAlign w:val="center"/>
          </w:tcPr>
          <w:p w14:paraId="69453F91">
            <w:pPr>
              <w:jc w:val="center"/>
              <w:rPr>
                <w:rFonts w:ascii="Times New Roman"/>
                <w:sz w:val="21"/>
                <w:szCs w:val="21"/>
              </w:rPr>
            </w:pPr>
            <w:r>
              <w:rPr>
                <w:rFonts w:hint="eastAsia" w:ascii="Times New Roman"/>
                <w:sz w:val="21"/>
                <w:szCs w:val="21"/>
              </w:rPr>
              <w:t>0.2837</w:t>
            </w:r>
          </w:p>
        </w:tc>
        <w:tc>
          <w:tcPr>
            <w:tcW w:w="1634" w:type="dxa"/>
            <w:gridSpan w:val="2"/>
            <w:vAlign w:val="center"/>
          </w:tcPr>
          <w:p w14:paraId="5DF89582">
            <w:pPr>
              <w:jc w:val="center"/>
              <w:rPr>
                <w:rFonts w:ascii="Times New Roman"/>
                <w:sz w:val="21"/>
                <w:szCs w:val="21"/>
              </w:rPr>
            </w:pPr>
            <w:r>
              <w:rPr>
                <w:rFonts w:hint="eastAsia" w:ascii="Times New Roman"/>
                <w:sz w:val="21"/>
                <w:szCs w:val="21"/>
              </w:rPr>
              <w:t>0.14</w:t>
            </w:r>
          </w:p>
        </w:tc>
      </w:tr>
      <w:tr w14:paraId="503B9EAE">
        <w:tblPrEx>
          <w:tblCellMar>
            <w:top w:w="0" w:type="dxa"/>
            <w:left w:w="108" w:type="dxa"/>
            <w:bottom w:w="0" w:type="dxa"/>
            <w:right w:w="108" w:type="dxa"/>
          </w:tblCellMar>
        </w:tblPrEx>
        <w:trPr>
          <w:trHeight w:val="406" w:hRule="atLeast"/>
        </w:trPr>
        <w:tc>
          <w:tcPr>
            <w:tcW w:w="1991" w:type="dxa"/>
            <w:vAlign w:val="center"/>
          </w:tcPr>
          <w:p w14:paraId="0B29A249">
            <w:pPr>
              <w:jc w:val="center"/>
              <w:rPr>
                <w:rFonts w:ascii="Times New Roman"/>
                <w:sz w:val="21"/>
                <w:szCs w:val="21"/>
              </w:rPr>
            </w:pPr>
            <w:r>
              <w:rPr>
                <w:rFonts w:ascii="Times New Roman"/>
                <w:sz w:val="21"/>
                <w:szCs w:val="21"/>
              </w:rPr>
              <w:t>10000.0</w:t>
            </w:r>
          </w:p>
        </w:tc>
        <w:tc>
          <w:tcPr>
            <w:tcW w:w="1640" w:type="dxa"/>
            <w:gridSpan w:val="2"/>
            <w:vAlign w:val="center"/>
          </w:tcPr>
          <w:p w14:paraId="2E1F8836">
            <w:pPr>
              <w:jc w:val="center"/>
              <w:rPr>
                <w:rFonts w:ascii="Times New Roman"/>
                <w:sz w:val="21"/>
                <w:szCs w:val="21"/>
              </w:rPr>
            </w:pPr>
            <w:r>
              <w:rPr>
                <w:rFonts w:hint="eastAsia" w:ascii="Times New Roman"/>
                <w:sz w:val="21"/>
                <w:szCs w:val="21"/>
              </w:rPr>
              <w:t>0.4992</w:t>
            </w:r>
          </w:p>
        </w:tc>
        <w:tc>
          <w:tcPr>
            <w:tcW w:w="1501" w:type="dxa"/>
            <w:gridSpan w:val="2"/>
            <w:vAlign w:val="center"/>
          </w:tcPr>
          <w:p w14:paraId="7C8C386C">
            <w:pPr>
              <w:jc w:val="center"/>
              <w:rPr>
                <w:rFonts w:ascii="Times New Roman"/>
                <w:sz w:val="21"/>
                <w:szCs w:val="21"/>
              </w:rPr>
            </w:pPr>
            <w:r>
              <w:rPr>
                <w:rFonts w:hint="eastAsia" w:ascii="Times New Roman"/>
                <w:sz w:val="21"/>
                <w:szCs w:val="21"/>
              </w:rPr>
              <w:t xml:space="preserve">0.02 </w:t>
            </w:r>
          </w:p>
        </w:tc>
        <w:tc>
          <w:tcPr>
            <w:tcW w:w="1773" w:type="dxa"/>
            <w:gridSpan w:val="3"/>
            <w:vAlign w:val="center"/>
          </w:tcPr>
          <w:p w14:paraId="5F58355F">
            <w:pPr>
              <w:jc w:val="center"/>
              <w:rPr>
                <w:rFonts w:ascii="Times New Roman"/>
                <w:sz w:val="21"/>
                <w:szCs w:val="21"/>
              </w:rPr>
            </w:pPr>
            <w:r>
              <w:rPr>
                <w:rFonts w:hint="eastAsia" w:ascii="Times New Roman"/>
                <w:sz w:val="21"/>
                <w:szCs w:val="21"/>
              </w:rPr>
              <w:t>0.1376</w:t>
            </w:r>
          </w:p>
        </w:tc>
        <w:tc>
          <w:tcPr>
            <w:tcW w:w="1634" w:type="dxa"/>
            <w:gridSpan w:val="2"/>
            <w:vAlign w:val="center"/>
          </w:tcPr>
          <w:p w14:paraId="51BF73C1">
            <w:pPr>
              <w:jc w:val="center"/>
              <w:rPr>
                <w:rFonts w:ascii="Times New Roman"/>
                <w:sz w:val="21"/>
                <w:szCs w:val="21"/>
              </w:rPr>
            </w:pPr>
            <w:r>
              <w:rPr>
                <w:rFonts w:hint="eastAsia" w:ascii="Times New Roman"/>
                <w:sz w:val="21"/>
                <w:szCs w:val="21"/>
              </w:rPr>
              <w:t>0.07</w:t>
            </w:r>
          </w:p>
        </w:tc>
      </w:tr>
      <w:tr w14:paraId="1E36C28E">
        <w:tblPrEx>
          <w:tblCellMar>
            <w:top w:w="0" w:type="dxa"/>
            <w:left w:w="108" w:type="dxa"/>
            <w:bottom w:w="0" w:type="dxa"/>
            <w:right w:w="108" w:type="dxa"/>
          </w:tblCellMar>
        </w:tblPrEx>
        <w:trPr>
          <w:trHeight w:val="406" w:hRule="atLeast"/>
        </w:trPr>
        <w:tc>
          <w:tcPr>
            <w:tcW w:w="1991" w:type="dxa"/>
            <w:vAlign w:val="center"/>
          </w:tcPr>
          <w:p w14:paraId="001E271B">
            <w:pPr>
              <w:jc w:val="center"/>
              <w:rPr>
                <w:rFonts w:ascii="Times New Roman"/>
                <w:sz w:val="21"/>
                <w:szCs w:val="21"/>
              </w:rPr>
            </w:pPr>
            <w:r>
              <w:rPr>
                <w:rFonts w:ascii="Times New Roman"/>
                <w:sz w:val="21"/>
                <w:szCs w:val="21"/>
              </w:rPr>
              <w:t>11000.0</w:t>
            </w:r>
          </w:p>
        </w:tc>
        <w:tc>
          <w:tcPr>
            <w:tcW w:w="1640" w:type="dxa"/>
            <w:gridSpan w:val="2"/>
            <w:vAlign w:val="center"/>
          </w:tcPr>
          <w:p w14:paraId="601D6BEE">
            <w:pPr>
              <w:jc w:val="center"/>
              <w:rPr>
                <w:rFonts w:ascii="Times New Roman"/>
                <w:sz w:val="21"/>
                <w:szCs w:val="21"/>
              </w:rPr>
            </w:pPr>
            <w:r>
              <w:rPr>
                <w:rFonts w:hint="eastAsia" w:ascii="Times New Roman"/>
                <w:sz w:val="21"/>
                <w:szCs w:val="21"/>
              </w:rPr>
              <w:t>0.4473</w:t>
            </w:r>
          </w:p>
        </w:tc>
        <w:tc>
          <w:tcPr>
            <w:tcW w:w="1501" w:type="dxa"/>
            <w:gridSpan w:val="2"/>
            <w:vAlign w:val="center"/>
          </w:tcPr>
          <w:p w14:paraId="704DE740">
            <w:pPr>
              <w:jc w:val="center"/>
              <w:rPr>
                <w:rFonts w:ascii="Times New Roman"/>
                <w:sz w:val="21"/>
                <w:szCs w:val="21"/>
              </w:rPr>
            </w:pPr>
            <w:r>
              <w:rPr>
                <w:rFonts w:hint="eastAsia" w:ascii="Times New Roman"/>
                <w:sz w:val="21"/>
                <w:szCs w:val="21"/>
              </w:rPr>
              <w:t xml:space="preserve">0.02 </w:t>
            </w:r>
          </w:p>
        </w:tc>
        <w:tc>
          <w:tcPr>
            <w:tcW w:w="1773" w:type="dxa"/>
            <w:gridSpan w:val="3"/>
            <w:vAlign w:val="center"/>
          </w:tcPr>
          <w:p w14:paraId="01E78D35">
            <w:pPr>
              <w:jc w:val="center"/>
              <w:rPr>
                <w:rFonts w:ascii="Times New Roman"/>
                <w:sz w:val="21"/>
                <w:szCs w:val="21"/>
              </w:rPr>
            </w:pPr>
            <w:r>
              <w:rPr>
                <w:rFonts w:hint="eastAsia" w:ascii="Times New Roman"/>
                <w:sz w:val="21"/>
                <w:szCs w:val="21"/>
              </w:rPr>
              <w:t>0.1233</w:t>
            </w:r>
          </w:p>
        </w:tc>
        <w:tc>
          <w:tcPr>
            <w:tcW w:w="1634" w:type="dxa"/>
            <w:gridSpan w:val="2"/>
            <w:vAlign w:val="center"/>
          </w:tcPr>
          <w:p w14:paraId="0788D421">
            <w:pPr>
              <w:jc w:val="center"/>
              <w:rPr>
                <w:rFonts w:ascii="Times New Roman"/>
                <w:sz w:val="21"/>
                <w:szCs w:val="21"/>
              </w:rPr>
            </w:pPr>
            <w:r>
              <w:rPr>
                <w:rFonts w:hint="eastAsia" w:ascii="Times New Roman"/>
                <w:sz w:val="21"/>
                <w:szCs w:val="21"/>
              </w:rPr>
              <w:t>0.06</w:t>
            </w:r>
          </w:p>
        </w:tc>
      </w:tr>
      <w:tr w14:paraId="41395F21">
        <w:tblPrEx>
          <w:tblCellMar>
            <w:top w:w="0" w:type="dxa"/>
            <w:left w:w="108" w:type="dxa"/>
            <w:bottom w:w="0" w:type="dxa"/>
            <w:right w:w="108" w:type="dxa"/>
          </w:tblCellMar>
        </w:tblPrEx>
        <w:trPr>
          <w:trHeight w:val="406" w:hRule="atLeast"/>
        </w:trPr>
        <w:tc>
          <w:tcPr>
            <w:tcW w:w="1991" w:type="dxa"/>
            <w:vAlign w:val="center"/>
          </w:tcPr>
          <w:p w14:paraId="5CFF1AB8">
            <w:pPr>
              <w:jc w:val="center"/>
              <w:rPr>
                <w:rFonts w:ascii="Times New Roman"/>
                <w:sz w:val="21"/>
                <w:szCs w:val="21"/>
              </w:rPr>
            </w:pPr>
            <w:r>
              <w:rPr>
                <w:rFonts w:ascii="Times New Roman"/>
                <w:sz w:val="21"/>
                <w:szCs w:val="21"/>
              </w:rPr>
              <w:t>12000.0</w:t>
            </w:r>
          </w:p>
        </w:tc>
        <w:tc>
          <w:tcPr>
            <w:tcW w:w="1640" w:type="dxa"/>
            <w:gridSpan w:val="2"/>
            <w:vAlign w:val="center"/>
          </w:tcPr>
          <w:p w14:paraId="393FDC5B">
            <w:pPr>
              <w:jc w:val="center"/>
              <w:rPr>
                <w:rFonts w:ascii="Times New Roman"/>
                <w:sz w:val="21"/>
                <w:szCs w:val="21"/>
              </w:rPr>
            </w:pPr>
            <w:r>
              <w:rPr>
                <w:rFonts w:hint="eastAsia" w:ascii="Times New Roman"/>
                <w:sz w:val="21"/>
                <w:szCs w:val="21"/>
              </w:rPr>
              <w:t>0.404</w:t>
            </w:r>
          </w:p>
        </w:tc>
        <w:tc>
          <w:tcPr>
            <w:tcW w:w="1501" w:type="dxa"/>
            <w:gridSpan w:val="2"/>
            <w:vAlign w:val="center"/>
          </w:tcPr>
          <w:p w14:paraId="28666F0E">
            <w:pPr>
              <w:jc w:val="center"/>
              <w:rPr>
                <w:rFonts w:ascii="Times New Roman"/>
                <w:sz w:val="21"/>
                <w:szCs w:val="21"/>
              </w:rPr>
            </w:pPr>
            <w:r>
              <w:rPr>
                <w:rFonts w:hint="eastAsia" w:ascii="Times New Roman"/>
                <w:sz w:val="21"/>
                <w:szCs w:val="21"/>
              </w:rPr>
              <w:t xml:space="preserve">0.02 </w:t>
            </w:r>
          </w:p>
        </w:tc>
        <w:tc>
          <w:tcPr>
            <w:tcW w:w="1773" w:type="dxa"/>
            <w:gridSpan w:val="3"/>
            <w:vAlign w:val="center"/>
          </w:tcPr>
          <w:p w14:paraId="390A2BA0">
            <w:pPr>
              <w:jc w:val="center"/>
              <w:rPr>
                <w:rFonts w:ascii="Times New Roman"/>
                <w:sz w:val="21"/>
                <w:szCs w:val="21"/>
              </w:rPr>
            </w:pPr>
            <w:r>
              <w:rPr>
                <w:rFonts w:hint="eastAsia" w:ascii="Times New Roman"/>
                <w:sz w:val="21"/>
                <w:szCs w:val="21"/>
              </w:rPr>
              <w:t>0.1114</w:t>
            </w:r>
          </w:p>
        </w:tc>
        <w:tc>
          <w:tcPr>
            <w:tcW w:w="1634" w:type="dxa"/>
            <w:gridSpan w:val="2"/>
            <w:vAlign w:val="center"/>
          </w:tcPr>
          <w:p w14:paraId="6E4659BC">
            <w:pPr>
              <w:jc w:val="center"/>
              <w:rPr>
                <w:rFonts w:ascii="Times New Roman"/>
                <w:sz w:val="21"/>
                <w:szCs w:val="21"/>
              </w:rPr>
            </w:pPr>
            <w:r>
              <w:rPr>
                <w:rFonts w:hint="eastAsia" w:ascii="Times New Roman"/>
                <w:sz w:val="21"/>
                <w:szCs w:val="21"/>
              </w:rPr>
              <w:t>0.06</w:t>
            </w:r>
          </w:p>
        </w:tc>
      </w:tr>
      <w:tr w14:paraId="78520DC5">
        <w:tblPrEx>
          <w:tblCellMar>
            <w:top w:w="0" w:type="dxa"/>
            <w:left w:w="108" w:type="dxa"/>
            <w:bottom w:w="0" w:type="dxa"/>
            <w:right w:w="108" w:type="dxa"/>
          </w:tblCellMar>
        </w:tblPrEx>
        <w:trPr>
          <w:trHeight w:val="406" w:hRule="atLeast"/>
        </w:trPr>
        <w:tc>
          <w:tcPr>
            <w:tcW w:w="1991" w:type="dxa"/>
            <w:vAlign w:val="center"/>
          </w:tcPr>
          <w:p w14:paraId="174DDA45">
            <w:pPr>
              <w:jc w:val="center"/>
              <w:rPr>
                <w:rFonts w:ascii="Times New Roman"/>
                <w:sz w:val="21"/>
                <w:szCs w:val="21"/>
              </w:rPr>
            </w:pPr>
            <w:r>
              <w:rPr>
                <w:rFonts w:ascii="Times New Roman"/>
                <w:sz w:val="21"/>
                <w:szCs w:val="21"/>
              </w:rPr>
              <w:t>13000.0</w:t>
            </w:r>
          </w:p>
        </w:tc>
        <w:tc>
          <w:tcPr>
            <w:tcW w:w="1640" w:type="dxa"/>
            <w:gridSpan w:val="2"/>
            <w:vAlign w:val="center"/>
          </w:tcPr>
          <w:p w14:paraId="23B985DE">
            <w:pPr>
              <w:jc w:val="center"/>
              <w:rPr>
                <w:rFonts w:ascii="Times New Roman"/>
                <w:sz w:val="21"/>
                <w:szCs w:val="21"/>
              </w:rPr>
            </w:pPr>
            <w:r>
              <w:rPr>
                <w:rFonts w:hint="eastAsia" w:ascii="Times New Roman"/>
                <w:sz w:val="21"/>
                <w:szCs w:val="21"/>
              </w:rPr>
              <w:t>0.3673</w:t>
            </w:r>
          </w:p>
        </w:tc>
        <w:tc>
          <w:tcPr>
            <w:tcW w:w="1501" w:type="dxa"/>
            <w:gridSpan w:val="2"/>
            <w:vAlign w:val="center"/>
          </w:tcPr>
          <w:p w14:paraId="1C470458">
            <w:pPr>
              <w:jc w:val="center"/>
              <w:rPr>
                <w:rFonts w:ascii="Times New Roman"/>
                <w:sz w:val="21"/>
                <w:szCs w:val="21"/>
              </w:rPr>
            </w:pPr>
            <w:r>
              <w:rPr>
                <w:rFonts w:hint="eastAsia" w:ascii="Times New Roman"/>
                <w:sz w:val="21"/>
                <w:szCs w:val="21"/>
              </w:rPr>
              <w:t xml:space="preserve">0.02 </w:t>
            </w:r>
          </w:p>
        </w:tc>
        <w:tc>
          <w:tcPr>
            <w:tcW w:w="1773" w:type="dxa"/>
            <w:gridSpan w:val="3"/>
            <w:vAlign w:val="center"/>
          </w:tcPr>
          <w:p w14:paraId="3ADC3319">
            <w:pPr>
              <w:jc w:val="center"/>
              <w:rPr>
                <w:rFonts w:ascii="Times New Roman"/>
                <w:sz w:val="21"/>
                <w:szCs w:val="21"/>
              </w:rPr>
            </w:pPr>
            <w:r>
              <w:rPr>
                <w:rFonts w:hint="eastAsia" w:ascii="Times New Roman"/>
                <w:sz w:val="21"/>
                <w:szCs w:val="21"/>
              </w:rPr>
              <w:t>0.1013</w:t>
            </w:r>
          </w:p>
        </w:tc>
        <w:tc>
          <w:tcPr>
            <w:tcW w:w="1634" w:type="dxa"/>
            <w:gridSpan w:val="2"/>
            <w:vAlign w:val="center"/>
          </w:tcPr>
          <w:p w14:paraId="2C22AC10">
            <w:pPr>
              <w:jc w:val="center"/>
              <w:rPr>
                <w:rFonts w:ascii="Times New Roman"/>
                <w:sz w:val="21"/>
                <w:szCs w:val="21"/>
              </w:rPr>
            </w:pPr>
            <w:r>
              <w:rPr>
                <w:rFonts w:hint="eastAsia" w:ascii="Times New Roman"/>
                <w:sz w:val="21"/>
                <w:szCs w:val="21"/>
              </w:rPr>
              <w:t>0.05</w:t>
            </w:r>
          </w:p>
        </w:tc>
      </w:tr>
      <w:tr w14:paraId="77D5D972">
        <w:tblPrEx>
          <w:tblCellMar>
            <w:top w:w="0" w:type="dxa"/>
            <w:left w:w="108" w:type="dxa"/>
            <w:bottom w:w="0" w:type="dxa"/>
            <w:right w:w="108" w:type="dxa"/>
          </w:tblCellMar>
        </w:tblPrEx>
        <w:trPr>
          <w:trHeight w:val="406" w:hRule="atLeast"/>
        </w:trPr>
        <w:tc>
          <w:tcPr>
            <w:tcW w:w="1991" w:type="dxa"/>
            <w:vAlign w:val="center"/>
          </w:tcPr>
          <w:p w14:paraId="680A704F">
            <w:pPr>
              <w:jc w:val="center"/>
              <w:rPr>
                <w:rFonts w:ascii="Times New Roman"/>
                <w:sz w:val="21"/>
                <w:szCs w:val="21"/>
              </w:rPr>
            </w:pPr>
            <w:r>
              <w:rPr>
                <w:rFonts w:ascii="Times New Roman"/>
                <w:sz w:val="21"/>
                <w:szCs w:val="21"/>
              </w:rPr>
              <w:t>14000.0</w:t>
            </w:r>
          </w:p>
        </w:tc>
        <w:tc>
          <w:tcPr>
            <w:tcW w:w="1640" w:type="dxa"/>
            <w:gridSpan w:val="2"/>
            <w:vAlign w:val="center"/>
          </w:tcPr>
          <w:p w14:paraId="0CBBA966">
            <w:pPr>
              <w:jc w:val="center"/>
              <w:rPr>
                <w:rFonts w:ascii="Times New Roman"/>
                <w:sz w:val="21"/>
                <w:szCs w:val="21"/>
              </w:rPr>
            </w:pPr>
            <w:r>
              <w:rPr>
                <w:rFonts w:hint="eastAsia" w:ascii="Times New Roman"/>
                <w:sz w:val="21"/>
                <w:szCs w:val="21"/>
              </w:rPr>
              <w:t>0.336</w:t>
            </w:r>
          </w:p>
        </w:tc>
        <w:tc>
          <w:tcPr>
            <w:tcW w:w="1501" w:type="dxa"/>
            <w:gridSpan w:val="2"/>
            <w:vAlign w:val="center"/>
          </w:tcPr>
          <w:p w14:paraId="644C8C22">
            <w:pPr>
              <w:jc w:val="center"/>
              <w:rPr>
                <w:rFonts w:ascii="Times New Roman"/>
                <w:sz w:val="21"/>
                <w:szCs w:val="21"/>
              </w:rPr>
            </w:pPr>
            <w:r>
              <w:rPr>
                <w:rFonts w:hint="eastAsia" w:ascii="Times New Roman"/>
                <w:sz w:val="21"/>
                <w:szCs w:val="21"/>
              </w:rPr>
              <w:t xml:space="preserve">0.02 </w:t>
            </w:r>
          </w:p>
        </w:tc>
        <w:tc>
          <w:tcPr>
            <w:tcW w:w="1773" w:type="dxa"/>
            <w:gridSpan w:val="3"/>
            <w:vAlign w:val="center"/>
          </w:tcPr>
          <w:p w14:paraId="275DA237">
            <w:pPr>
              <w:jc w:val="center"/>
              <w:rPr>
                <w:rFonts w:ascii="Times New Roman"/>
                <w:sz w:val="21"/>
                <w:szCs w:val="21"/>
              </w:rPr>
            </w:pPr>
            <w:r>
              <w:rPr>
                <w:rFonts w:hint="eastAsia" w:ascii="Times New Roman"/>
                <w:sz w:val="21"/>
                <w:szCs w:val="21"/>
              </w:rPr>
              <w:t>0.0926</w:t>
            </w:r>
          </w:p>
        </w:tc>
        <w:tc>
          <w:tcPr>
            <w:tcW w:w="1634" w:type="dxa"/>
            <w:gridSpan w:val="2"/>
            <w:vAlign w:val="center"/>
          </w:tcPr>
          <w:p w14:paraId="06B0F7F9">
            <w:pPr>
              <w:jc w:val="center"/>
              <w:rPr>
                <w:rFonts w:ascii="Times New Roman"/>
                <w:sz w:val="21"/>
                <w:szCs w:val="21"/>
              </w:rPr>
            </w:pPr>
            <w:r>
              <w:rPr>
                <w:rFonts w:hint="eastAsia" w:ascii="Times New Roman"/>
                <w:sz w:val="21"/>
                <w:szCs w:val="21"/>
              </w:rPr>
              <w:t>0.05</w:t>
            </w:r>
          </w:p>
        </w:tc>
      </w:tr>
      <w:tr w14:paraId="3BC56789">
        <w:tblPrEx>
          <w:tblCellMar>
            <w:top w:w="0" w:type="dxa"/>
            <w:left w:w="108" w:type="dxa"/>
            <w:bottom w:w="0" w:type="dxa"/>
            <w:right w:w="108" w:type="dxa"/>
          </w:tblCellMar>
        </w:tblPrEx>
        <w:trPr>
          <w:trHeight w:val="406" w:hRule="atLeast"/>
        </w:trPr>
        <w:tc>
          <w:tcPr>
            <w:tcW w:w="1991" w:type="dxa"/>
            <w:vAlign w:val="center"/>
          </w:tcPr>
          <w:p w14:paraId="59B0E364">
            <w:pPr>
              <w:jc w:val="center"/>
              <w:rPr>
                <w:rFonts w:ascii="Times New Roman"/>
                <w:sz w:val="21"/>
                <w:szCs w:val="21"/>
              </w:rPr>
            </w:pPr>
            <w:r>
              <w:rPr>
                <w:rFonts w:ascii="Times New Roman"/>
                <w:sz w:val="21"/>
                <w:szCs w:val="21"/>
              </w:rPr>
              <w:t>15000.0</w:t>
            </w:r>
          </w:p>
        </w:tc>
        <w:tc>
          <w:tcPr>
            <w:tcW w:w="1640" w:type="dxa"/>
            <w:gridSpan w:val="2"/>
            <w:vAlign w:val="center"/>
          </w:tcPr>
          <w:p w14:paraId="58272643">
            <w:pPr>
              <w:jc w:val="center"/>
              <w:rPr>
                <w:rFonts w:ascii="Times New Roman"/>
                <w:sz w:val="21"/>
                <w:szCs w:val="21"/>
              </w:rPr>
            </w:pPr>
            <w:r>
              <w:rPr>
                <w:rFonts w:hint="eastAsia" w:ascii="Times New Roman"/>
                <w:sz w:val="21"/>
                <w:szCs w:val="21"/>
              </w:rPr>
              <w:t>0.3089</w:t>
            </w:r>
          </w:p>
        </w:tc>
        <w:tc>
          <w:tcPr>
            <w:tcW w:w="1501" w:type="dxa"/>
            <w:gridSpan w:val="2"/>
            <w:vAlign w:val="center"/>
          </w:tcPr>
          <w:p w14:paraId="2C3BF0DB">
            <w:pPr>
              <w:jc w:val="center"/>
              <w:rPr>
                <w:rFonts w:ascii="Times New Roman"/>
                <w:sz w:val="21"/>
                <w:szCs w:val="21"/>
              </w:rPr>
            </w:pPr>
            <w:r>
              <w:rPr>
                <w:rFonts w:hint="eastAsia" w:ascii="Times New Roman"/>
                <w:sz w:val="21"/>
                <w:szCs w:val="21"/>
              </w:rPr>
              <w:t xml:space="preserve">0.02 </w:t>
            </w:r>
          </w:p>
        </w:tc>
        <w:tc>
          <w:tcPr>
            <w:tcW w:w="1773" w:type="dxa"/>
            <w:gridSpan w:val="3"/>
            <w:vAlign w:val="center"/>
          </w:tcPr>
          <w:p w14:paraId="0D79F8E2">
            <w:pPr>
              <w:jc w:val="center"/>
              <w:rPr>
                <w:rFonts w:ascii="Times New Roman"/>
                <w:sz w:val="21"/>
                <w:szCs w:val="21"/>
              </w:rPr>
            </w:pPr>
            <w:r>
              <w:rPr>
                <w:rFonts w:hint="eastAsia" w:ascii="Times New Roman"/>
                <w:sz w:val="21"/>
                <w:szCs w:val="21"/>
              </w:rPr>
              <w:t>0.0852</w:t>
            </w:r>
          </w:p>
        </w:tc>
        <w:tc>
          <w:tcPr>
            <w:tcW w:w="1634" w:type="dxa"/>
            <w:gridSpan w:val="2"/>
            <w:vAlign w:val="center"/>
          </w:tcPr>
          <w:p w14:paraId="458BD58F">
            <w:pPr>
              <w:jc w:val="center"/>
              <w:rPr>
                <w:rFonts w:ascii="Times New Roman"/>
                <w:sz w:val="21"/>
                <w:szCs w:val="21"/>
              </w:rPr>
            </w:pPr>
            <w:r>
              <w:rPr>
                <w:rFonts w:hint="eastAsia" w:ascii="Times New Roman"/>
                <w:sz w:val="21"/>
                <w:szCs w:val="21"/>
              </w:rPr>
              <w:t>0.04</w:t>
            </w:r>
          </w:p>
        </w:tc>
      </w:tr>
      <w:tr w14:paraId="08848035">
        <w:tblPrEx>
          <w:tblCellMar>
            <w:top w:w="0" w:type="dxa"/>
            <w:left w:w="108" w:type="dxa"/>
            <w:bottom w:w="0" w:type="dxa"/>
            <w:right w:w="108" w:type="dxa"/>
          </w:tblCellMar>
        </w:tblPrEx>
        <w:trPr>
          <w:trHeight w:val="406" w:hRule="atLeast"/>
        </w:trPr>
        <w:tc>
          <w:tcPr>
            <w:tcW w:w="1991" w:type="dxa"/>
            <w:vAlign w:val="center"/>
          </w:tcPr>
          <w:p w14:paraId="1FC66C7D">
            <w:pPr>
              <w:jc w:val="center"/>
              <w:rPr>
                <w:rFonts w:ascii="Times New Roman"/>
                <w:sz w:val="21"/>
                <w:szCs w:val="21"/>
              </w:rPr>
            </w:pPr>
            <w:r>
              <w:rPr>
                <w:rFonts w:ascii="Times New Roman"/>
                <w:sz w:val="21"/>
                <w:szCs w:val="21"/>
              </w:rPr>
              <w:t>20000.0</w:t>
            </w:r>
          </w:p>
        </w:tc>
        <w:tc>
          <w:tcPr>
            <w:tcW w:w="1640" w:type="dxa"/>
            <w:gridSpan w:val="2"/>
            <w:vAlign w:val="center"/>
          </w:tcPr>
          <w:p w14:paraId="2A037919">
            <w:pPr>
              <w:jc w:val="center"/>
              <w:rPr>
                <w:rFonts w:ascii="Times New Roman"/>
                <w:sz w:val="21"/>
                <w:szCs w:val="21"/>
              </w:rPr>
            </w:pPr>
            <w:r>
              <w:rPr>
                <w:rFonts w:hint="eastAsia" w:ascii="Times New Roman"/>
                <w:sz w:val="21"/>
                <w:szCs w:val="21"/>
              </w:rPr>
              <w:t>0.2162</w:t>
            </w:r>
          </w:p>
        </w:tc>
        <w:tc>
          <w:tcPr>
            <w:tcW w:w="1501" w:type="dxa"/>
            <w:gridSpan w:val="2"/>
            <w:vAlign w:val="center"/>
          </w:tcPr>
          <w:p w14:paraId="3A64DA4F">
            <w:pPr>
              <w:jc w:val="center"/>
              <w:rPr>
                <w:rFonts w:ascii="Times New Roman"/>
                <w:sz w:val="21"/>
                <w:szCs w:val="21"/>
              </w:rPr>
            </w:pPr>
            <w:r>
              <w:rPr>
                <w:rFonts w:hint="eastAsia" w:ascii="Times New Roman"/>
                <w:sz w:val="21"/>
                <w:szCs w:val="21"/>
              </w:rPr>
              <w:t xml:space="preserve">0.01 </w:t>
            </w:r>
          </w:p>
        </w:tc>
        <w:tc>
          <w:tcPr>
            <w:tcW w:w="1773" w:type="dxa"/>
            <w:gridSpan w:val="3"/>
            <w:vAlign w:val="center"/>
          </w:tcPr>
          <w:p w14:paraId="26B8E736">
            <w:pPr>
              <w:jc w:val="center"/>
              <w:rPr>
                <w:rFonts w:ascii="Times New Roman"/>
                <w:sz w:val="21"/>
                <w:szCs w:val="21"/>
              </w:rPr>
            </w:pPr>
            <w:r>
              <w:rPr>
                <w:rFonts w:hint="eastAsia" w:ascii="Times New Roman"/>
                <w:sz w:val="21"/>
                <w:szCs w:val="21"/>
              </w:rPr>
              <w:t>0.0596</w:t>
            </w:r>
          </w:p>
        </w:tc>
        <w:tc>
          <w:tcPr>
            <w:tcW w:w="1634" w:type="dxa"/>
            <w:gridSpan w:val="2"/>
            <w:vAlign w:val="center"/>
          </w:tcPr>
          <w:p w14:paraId="02F1412F">
            <w:pPr>
              <w:jc w:val="center"/>
              <w:rPr>
                <w:rFonts w:ascii="Times New Roman"/>
                <w:sz w:val="21"/>
                <w:szCs w:val="21"/>
              </w:rPr>
            </w:pPr>
            <w:r>
              <w:rPr>
                <w:rFonts w:hint="eastAsia" w:ascii="Times New Roman"/>
                <w:sz w:val="21"/>
                <w:szCs w:val="21"/>
              </w:rPr>
              <w:t>0.03</w:t>
            </w:r>
          </w:p>
        </w:tc>
      </w:tr>
      <w:tr w14:paraId="56323CB1">
        <w:tblPrEx>
          <w:tblCellMar>
            <w:top w:w="0" w:type="dxa"/>
            <w:left w:w="108" w:type="dxa"/>
            <w:bottom w:w="0" w:type="dxa"/>
            <w:right w:w="108" w:type="dxa"/>
          </w:tblCellMar>
        </w:tblPrEx>
        <w:trPr>
          <w:trHeight w:val="406" w:hRule="atLeast"/>
        </w:trPr>
        <w:tc>
          <w:tcPr>
            <w:tcW w:w="1991" w:type="dxa"/>
            <w:vAlign w:val="center"/>
          </w:tcPr>
          <w:p w14:paraId="57161AA2">
            <w:pPr>
              <w:jc w:val="center"/>
              <w:rPr>
                <w:rFonts w:ascii="Times New Roman"/>
                <w:sz w:val="21"/>
                <w:szCs w:val="21"/>
              </w:rPr>
            </w:pPr>
            <w:r>
              <w:rPr>
                <w:rFonts w:ascii="Times New Roman"/>
                <w:sz w:val="21"/>
                <w:szCs w:val="21"/>
              </w:rPr>
              <w:t>25000.0</w:t>
            </w:r>
          </w:p>
        </w:tc>
        <w:tc>
          <w:tcPr>
            <w:tcW w:w="1640" w:type="dxa"/>
            <w:gridSpan w:val="2"/>
            <w:vAlign w:val="center"/>
          </w:tcPr>
          <w:p w14:paraId="4CC59ABB">
            <w:pPr>
              <w:jc w:val="center"/>
              <w:rPr>
                <w:rFonts w:ascii="Times New Roman"/>
                <w:sz w:val="21"/>
                <w:szCs w:val="21"/>
              </w:rPr>
            </w:pPr>
            <w:r>
              <w:rPr>
                <w:rFonts w:hint="eastAsia" w:ascii="Times New Roman"/>
                <w:sz w:val="21"/>
                <w:szCs w:val="21"/>
              </w:rPr>
              <w:t>0.163</w:t>
            </w:r>
          </w:p>
        </w:tc>
        <w:tc>
          <w:tcPr>
            <w:tcW w:w="1501" w:type="dxa"/>
            <w:gridSpan w:val="2"/>
            <w:vAlign w:val="center"/>
          </w:tcPr>
          <w:p w14:paraId="20B50511">
            <w:pPr>
              <w:jc w:val="center"/>
              <w:rPr>
                <w:rFonts w:ascii="Times New Roman"/>
                <w:sz w:val="21"/>
                <w:szCs w:val="21"/>
              </w:rPr>
            </w:pPr>
            <w:r>
              <w:rPr>
                <w:rFonts w:hint="eastAsia" w:ascii="Times New Roman"/>
                <w:sz w:val="21"/>
                <w:szCs w:val="21"/>
              </w:rPr>
              <w:t xml:space="preserve">0.01 </w:t>
            </w:r>
          </w:p>
        </w:tc>
        <w:tc>
          <w:tcPr>
            <w:tcW w:w="1773" w:type="dxa"/>
            <w:gridSpan w:val="3"/>
            <w:vAlign w:val="center"/>
          </w:tcPr>
          <w:p w14:paraId="606C212B">
            <w:pPr>
              <w:jc w:val="center"/>
              <w:rPr>
                <w:rFonts w:ascii="Times New Roman"/>
                <w:sz w:val="21"/>
                <w:szCs w:val="21"/>
              </w:rPr>
            </w:pPr>
            <w:r>
              <w:rPr>
                <w:rFonts w:hint="eastAsia" w:ascii="Times New Roman"/>
                <w:sz w:val="21"/>
                <w:szCs w:val="21"/>
              </w:rPr>
              <w:t>0.0449</w:t>
            </w:r>
          </w:p>
        </w:tc>
        <w:tc>
          <w:tcPr>
            <w:tcW w:w="1634" w:type="dxa"/>
            <w:gridSpan w:val="2"/>
            <w:vAlign w:val="center"/>
          </w:tcPr>
          <w:p w14:paraId="74DD6700">
            <w:pPr>
              <w:jc w:val="center"/>
              <w:rPr>
                <w:rFonts w:ascii="Times New Roman"/>
                <w:sz w:val="21"/>
                <w:szCs w:val="21"/>
              </w:rPr>
            </w:pPr>
            <w:r>
              <w:rPr>
                <w:rFonts w:hint="eastAsia" w:ascii="Times New Roman"/>
                <w:sz w:val="21"/>
                <w:szCs w:val="21"/>
              </w:rPr>
              <w:t>0.02</w:t>
            </w:r>
          </w:p>
        </w:tc>
      </w:tr>
      <w:tr w14:paraId="2B5BED8C">
        <w:tblPrEx>
          <w:tblCellMar>
            <w:top w:w="0" w:type="dxa"/>
            <w:left w:w="108" w:type="dxa"/>
            <w:bottom w:w="0" w:type="dxa"/>
            <w:right w:w="108" w:type="dxa"/>
          </w:tblCellMar>
        </w:tblPrEx>
        <w:trPr>
          <w:trHeight w:val="406" w:hRule="atLeast"/>
        </w:trPr>
        <w:tc>
          <w:tcPr>
            <w:tcW w:w="1991" w:type="dxa"/>
            <w:vAlign w:val="center"/>
          </w:tcPr>
          <w:p w14:paraId="0E032508">
            <w:pPr>
              <w:jc w:val="center"/>
              <w:rPr>
                <w:rFonts w:ascii="Times New Roman"/>
                <w:sz w:val="21"/>
                <w:szCs w:val="21"/>
              </w:rPr>
            </w:pPr>
            <w:r>
              <w:rPr>
                <w:rFonts w:ascii="Times New Roman"/>
                <w:sz w:val="21"/>
                <w:szCs w:val="21"/>
              </w:rPr>
              <w:t>下风向最大浓度</w:t>
            </w:r>
          </w:p>
        </w:tc>
        <w:tc>
          <w:tcPr>
            <w:tcW w:w="1640" w:type="dxa"/>
            <w:gridSpan w:val="2"/>
            <w:vAlign w:val="center"/>
          </w:tcPr>
          <w:p w14:paraId="10F92621">
            <w:pPr>
              <w:jc w:val="center"/>
              <w:rPr>
                <w:rFonts w:ascii="Times New Roman"/>
                <w:sz w:val="21"/>
                <w:szCs w:val="21"/>
              </w:rPr>
            </w:pPr>
            <w:r>
              <w:rPr>
                <w:rFonts w:hint="eastAsia" w:ascii="Times New Roman"/>
                <w:sz w:val="21"/>
                <w:szCs w:val="21"/>
              </w:rPr>
              <w:t>11.0853</w:t>
            </w:r>
          </w:p>
        </w:tc>
        <w:tc>
          <w:tcPr>
            <w:tcW w:w="1501" w:type="dxa"/>
            <w:gridSpan w:val="2"/>
            <w:vAlign w:val="center"/>
          </w:tcPr>
          <w:p w14:paraId="6870AFFC">
            <w:pPr>
              <w:jc w:val="center"/>
              <w:rPr>
                <w:rFonts w:ascii="Times New Roman"/>
                <w:sz w:val="21"/>
                <w:szCs w:val="21"/>
              </w:rPr>
            </w:pPr>
            <w:r>
              <w:rPr>
                <w:rFonts w:hint="eastAsia" w:ascii="Times New Roman"/>
                <w:sz w:val="21"/>
                <w:szCs w:val="21"/>
              </w:rPr>
              <w:t xml:space="preserve">0.55 </w:t>
            </w:r>
          </w:p>
        </w:tc>
        <w:tc>
          <w:tcPr>
            <w:tcW w:w="1773" w:type="dxa"/>
            <w:gridSpan w:val="3"/>
            <w:vAlign w:val="center"/>
          </w:tcPr>
          <w:p w14:paraId="115C3601">
            <w:pPr>
              <w:jc w:val="center"/>
              <w:rPr>
                <w:rFonts w:ascii="Times New Roman"/>
                <w:sz w:val="21"/>
                <w:szCs w:val="21"/>
              </w:rPr>
            </w:pPr>
            <w:r>
              <w:rPr>
                <w:rFonts w:hint="eastAsia" w:ascii="Times New Roman"/>
                <w:sz w:val="21"/>
                <w:szCs w:val="21"/>
              </w:rPr>
              <w:t>3.0555</w:t>
            </w:r>
          </w:p>
        </w:tc>
        <w:tc>
          <w:tcPr>
            <w:tcW w:w="1634" w:type="dxa"/>
            <w:gridSpan w:val="2"/>
            <w:vAlign w:val="center"/>
          </w:tcPr>
          <w:p w14:paraId="4CDDA740">
            <w:pPr>
              <w:jc w:val="center"/>
              <w:rPr>
                <w:rFonts w:ascii="Times New Roman"/>
                <w:sz w:val="21"/>
                <w:szCs w:val="21"/>
              </w:rPr>
            </w:pPr>
            <w:r>
              <w:rPr>
                <w:rFonts w:hint="eastAsia" w:ascii="Times New Roman"/>
                <w:sz w:val="21"/>
                <w:szCs w:val="21"/>
              </w:rPr>
              <w:t>1.53</w:t>
            </w:r>
          </w:p>
        </w:tc>
      </w:tr>
      <w:tr w14:paraId="5C02DC9F">
        <w:tblPrEx>
          <w:tblCellMar>
            <w:top w:w="0" w:type="dxa"/>
            <w:left w:w="108" w:type="dxa"/>
            <w:bottom w:w="0" w:type="dxa"/>
            <w:right w:w="108" w:type="dxa"/>
          </w:tblCellMar>
        </w:tblPrEx>
        <w:trPr>
          <w:trHeight w:val="406" w:hRule="atLeast"/>
        </w:trPr>
        <w:tc>
          <w:tcPr>
            <w:tcW w:w="1991" w:type="dxa"/>
            <w:vAlign w:val="center"/>
          </w:tcPr>
          <w:p w14:paraId="0DB7BFB8">
            <w:pPr>
              <w:jc w:val="center"/>
              <w:rPr>
                <w:rFonts w:ascii="Times New Roman"/>
                <w:sz w:val="21"/>
                <w:szCs w:val="21"/>
              </w:rPr>
            </w:pPr>
            <w:r>
              <w:rPr>
                <w:rFonts w:ascii="Times New Roman"/>
                <w:sz w:val="21"/>
                <w:szCs w:val="21"/>
              </w:rPr>
              <w:t>下风向最大浓度出现距离</w:t>
            </w:r>
          </w:p>
        </w:tc>
        <w:tc>
          <w:tcPr>
            <w:tcW w:w="1640" w:type="dxa"/>
            <w:gridSpan w:val="2"/>
            <w:shd w:val="clear" w:color="auto" w:fill="auto"/>
            <w:vAlign w:val="center"/>
          </w:tcPr>
          <w:p w14:paraId="4A79E938">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501" w:type="dxa"/>
            <w:gridSpan w:val="2"/>
            <w:shd w:val="clear" w:color="auto" w:fill="auto"/>
            <w:vAlign w:val="center"/>
          </w:tcPr>
          <w:p w14:paraId="0CAFDEF3">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773" w:type="dxa"/>
            <w:gridSpan w:val="3"/>
            <w:shd w:val="clear" w:color="auto" w:fill="auto"/>
            <w:vAlign w:val="center"/>
          </w:tcPr>
          <w:p w14:paraId="6C0C004A">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c>
          <w:tcPr>
            <w:tcW w:w="1634" w:type="dxa"/>
            <w:gridSpan w:val="2"/>
            <w:shd w:val="clear" w:color="auto" w:fill="auto"/>
            <w:vAlign w:val="center"/>
          </w:tcPr>
          <w:p w14:paraId="72F7D01A">
            <w:pPr>
              <w:jc w:val="center"/>
              <w:rPr>
                <w:rFonts w:ascii="Times New Roman"/>
                <w:sz w:val="21"/>
                <w:szCs w:val="21"/>
              </w:rPr>
            </w:pPr>
            <w:r>
              <w:rPr>
                <w:rFonts w:ascii="Times New Roman"/>
                <w:sz w:val="21"/>
                <w:szCs w:val="21"/>
              </w:rPr>
              <w:t>1</w:t>
            </w:r>
            <w:r>
              <w:rPr>
                <w:rFonts w:hint="eastAsia" w:ascii="Times New Roman"/>
                <w:sz w:val="21"/>
                <w:szCs w:val="21"/>
              </w:rPr>
              <w:t>26</w:t>
            </w:r>
            <w:r>
              <w:rPr>
                <w:rFonts w:ascii="Times New Roman"/>
                <w:sz w:val="21"/>
                <w:szCs w:val="21"/>
              </w:rPr>
              <w:t>.0</w:t>
            </w:r>
          </w:p>
        </w:tc>
      </w:tr>
      <w:tr w14:paraId="17FB9308">
        <w:tblPrEx>
          <w:tblCellMar>
            <w:top w:w="0" w:type="dxa"/>
            <w:left w:w="108" w:type="dxa"/>
            <w:bottom w:w="0" w:type="dxa"/>
            <w:right w:w="108" w:type="dxa"/>
          </w:tblCellMar>
        </w:tblPrEx>
        <w:trPr>
          <w:trHeight w:val="411" w:hRule="atLeast"/>
        </w:trPr>
        <w:tc>
          <w:tcPr>
            <w:tcW w:w="1991" w:type="dxa"/>
            <w:vAlign w:val="center"/>
          </w:tcPr>
          <w:p w14:paraId="1DED5630">
            <w:pPr>
              <w:jc w:val="center"/>
              <w:rPr>
                <w:rFonts w:ascii="Times New Roman"/>
                <w:sz w:val="21"/>
                <w:szCs w:val="21"/>
              </w:rPr>
            </w:pPr>
            <w:r>
              <w:rPr>
                <w:rFonts w:ascii="Times New Roman"/>
                <w:sz w:val="21"/>
                <w:szCs w:val="21"/>
              </w:rPr>
              <w:t>D10%最远距离</w:t>
            </w:r>
          </w:p>
        </w:tc>
        <w:tc>
          <w:tcPr>
            <w:tcW w:w="1640" w:type="dxa"/>
            <w:gridSpan w:val="2"/>
            <w:vAlign w:val="center"/>
          </w:tcPr>
          <w:p w14:paraId="6E15D215">
            <w:pPr>
              <w:jc w:val="center"/>
              <w:rPr>
                <w:rFonts w:ascii="Times New Roman"/>
                <w:sz w:val="21"/>
                <w:szCs w:val="21"/>
              </w:rPr>
            </w:pPr>
            <w:r>
              <w:rPr>
                <w:rFonts w:ascii="Times New Roman"/>
                <w:sz w:val="21"/>
                <w:szCs w:val="21"/>
              </w:rPr>
              <w:t>/</w:t>
            </w:r>
          </w:p>
        </w:tc>
        <w:tc>
          <w:tcPr>
            <w:tcW w:w="1501" w:type="dxa"/>
            <w:gridSpan w:val="2"/>
            <w:vAlign w:val="center"/>
          </w:tcPr>
          <w:p w14:paraId="618D97FB">
            <w:pPr>
              <w:jc w:val="center"/>
              <w:rPr>
                <w:rFonts w:ascii="Times New Roman"/>
                <w:sz w:val="21"/>
                <w:szCs w:val="21"/>
              </w:rPr>
            </w:pPr>
            <w:r>
              <w:rPr>
                <w:rFonts w:ascii="Times New Roman"/>
                <w:sz w:val="21"/>
                <w:szCs w:val="21"/>
              </w:rPr>
              <w:t>/</w:t>
            </w:r>
          </w:p>
        </w:tc>
        <w:tc>
          <w:tcPr>
            <w:tcW w:w="1773" w:type="dxa"/>
            <w:gridSpan w:val="3"/>
            <w:vAlign w:val="center"/>
          </w:tcPr>
          <w:p w14:paraId="128434AE">
            <w:pPr>
              <w:jc w:val="center"/>
              <w:rPr>
                <w:rFonts w:ascii="Times New Roman"/>
                <w:sz w:val="21"/>
                <w:szCs w:val="21"/>
              </w:rPr>
            </w:pPr>
            <w:r>
              <w:rPr>
                <w:rFonts w:ascii="Times New Roman"/>
                <w:sz w:val="21"/>
                <w:szCs w:val="21"/>
              </w:rPr>
              <w:t>/</w:t>
            </w:r>
          </w:p>
        </w:tc>
        <w:tc>
          <w:tcPr>
            <w:tcW w:w="1634" w:type="dxa"/>
            <w:gridSpan w:val="2"/>
            <w:vAlign w:val="center"/>
          </w:tcPr>
          <w:p w14:paraId="4B47CBCD">
            <w:pPr>
              <w:jc w:val="center"/>
              <w:rPr>
                <w:rFonts w:ascii="Times New Roman"/>
                <w:sz w:val="21"/>
                <w:szCs w:val="21"/>
              </w:rPr>
            </w:pPr>
            <w:r>
              <w:rPr>
                <w:rFonts w:ascii="Times New Roman"/>
                <w:sz w:val="21"/>
                <w:szCs w:val="21"/>
              </w:rPr>
              <w:t>/</w:t>
            </w:r>
          </w:p>
        </w:tc>
      </w:tr>
    </w:tbl>
    <w:p w14:paraId="572C56B2">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539" w:type="dxa"/>
        <w:tblInd w:w="0" w:type="dxa"/>
        <w:tblLayout w:type="autofit"/>
        <w:tblCellMar>
          <w:top w:w="0" w:type="dxa"/>
          <w:left w:w="108" w:type="dxa"/>
          <w:bottom w:w="0" w:type="dxa"/>
          <w:right w:w="108" w:type="dxa"/>
        </w:tblCellMar>
      </w:tblPr>
      <w:tblGrid>
        <w:gridCol w:w="1375"/>
        <w:gridCol w:w="1315"/>
        <w:gridCol w:w="524"/>
        <w:gridCol w:w="593"/>
        <w:gridCol w:w="1315"/>
        <w:gridCol w:w="1163"/>
        <w:gridCol w:w="35"/>
        <w:gridCol w:w="1169"/>
        <w:gridCol w:w="1050"/>
      </w:tblGrid>
      <w:tr w14:paraId="3377C403">
        <w:tblPrEx>
          <w:tblCellMar>
            <w:top w:w="0" w:type="dxa"/>
            <w:left w:w="108" w:type="dxa"/>
            <w:bottom w:w="0" w:type="dxa"/>
            <w:right w:w="108" w:type="dxa"/>
          </w:tblCellMar>
        </w:tblPrEx>
        <w:trPr>
          <w:trHeight w:val="475" w:hRule="atLeast"/>
        </w:trPr>
        <w:tc>
          <w:tcPr>
            <w:tcW w:w="1375" w:type="dxa"/>
            <w:vMerge w:val="restart"/>
            <w:vAlign w:val="center"/>
          </w:tcPr>
          <w:p w14:paraId="08A7C523">
            <w:pPr>
              <w:jc w:val="center"/>
              <w:rPr>
                <w:rFonts w:ascii="Times New Roman"/>
                <w:sz w:val="21"/>
                <w:szCs w:val="21"/>
              </w:rPr>
            </w:pPr>
            <w:r>
              <w:rPr>
                <w:rFonts w:ascii="Times New Roman"/>
                <w:sz w:val="21"/>
                <w:szCs w:val="21"/>
              </w:rPr>
              <w:t>下风向距离</w:t>
            </w:r>
          </w:p>
        </w:tc>
        <w:tc>
          <w:tcPr>
            <w:tcW w:w="7164" w:type="dxa"/>
            <w:gridSpan w:val="8"/>
            <w:vAlign w:val="center"/>
          </w:tcPr>
          <w:p w14:paraId="1F429EA1">
            <w:pPr>
              <w:jc w:val="center"/>
              <w:rPr>
                <w:rFonts w:ascii="Times New Roman"/>
                <w:sz w:val="21"/>
                <w:szCs w:val="21"/>
              </w:rPr>
            </w:pPr>
            <w:r>
              <w:rPr>
                <w:rFonts w:ascii="Times New Roman"/>
                <w:sz w:val="21"/>
                <w:szCs w:val="21"/>
              </w:rPr>
              <w:t>喷塑后固化、强冷废气</w:t>
            </w:r>
            <w:r>
              <w:rPr>
                <w:rFonts w:ascii="Times New Roman" w:eastAsia="Times New Roman"/>
                <w:sz w:val="21"/>
                <w:szCs w:val="21"/>
              </w:rPr>
              <w:t>(</w:t>
            </w:r>
            <w:r>
              <w:rPr>
                <w:rFonts w:ascii="Times New Roman"/>
                <w:sz w:val="21"/>
                <w:szCs w:val="21"/>
              </w:rPr>
              <w:t>DA011</w:t>
            </w:r>
            <w:r>
              <w:rPr>
                <w:rFonts w:ascii="Times New Roman" w:eastAsia="Times New Roman"/>
                <w:sz w:val="21"/>
                <w:szCs w:val="21"/>
              </w:rPr>
              <w:t>)</w:t>
            </w:r>
          </w:p>
        </w:tc>
      </w:tr>
      <w:tr w14:paraId="3948EF07">
        <w:tblPrEx>
          <w:tblCellMar>
            <w:top w:w="0" w:type="dxa"/>
            <w:left w:w="108" w:type="dxa"/>
            <w:bottom w:w="0" w:type="dxa"/>
            <w:right w:w="108" w:type="dxa"/>
          </w:tblCellMar>
        </w:tblPrEx>
        <w:trPr>
          <w:trHeight w:val="556" w:hRule="atLeast"/>
        </w:trPr>
        <w:tc>
          <w:tcPr>
            <w:tcW w:w="1375" w:type="dxa"/>
            <w:vMerge w:val="continue"/>
            <w:vAlign w:val="center"/>
          </w:tcPr>
          <w:p w14:paraId="02BE5E42">
            <w:pPr>
              <w:jc w:val="center"/>
              <w:rPr>
                <w:rFonts w:ascii="Times New Roman"/>
                <w:sz w:val="21"/>
                <w:szCs w:val="21"/>
              </w:rPr>
            </w:pPr>
          </w:p>
        </w:tc>
        <w:tc>
          <w:tcPr>
            <w:tcW w:w="1315" w:type="dxa"/>
            <w:vAlign w:val="center"/>
          </w:tcPr>
          <w:p w14:paraId="256CE470">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浓度(μg/m³)</w:t>
            </w:r>
          </w:p>
        </w:tc>
        <w:tc>
          <w:tcPr>
            <w:tcW w:w="1117" w:type="dxa"/>
            <w:gridSpan w:val="2"/>
            <w:vAlign w:val="center"/>
          </w:tcPr>
          <w:p w14:paraId="4528DAAC">
            <w:pPr>
              <w:jc w:val="center"/>
              <w:rPr>
                <w:rFonts w:ascii="Times New Roman"/>
                <w:sz w:val="21"/>
                <w:szCs w:val="21"/>
              </w:rPr>
            </w:pPr>
            <w:r>
              <w:rPr>
                <w:rFonts w:ascii="Times New Roman"/>
                <w:sz w:val="21"/>
                <w:szCs w:val="21"/>
              </w:rPr>
              <w:t>PM</w:t>
            </w:r>
            <w:r>
              <w:rPr>
                <w:rFonts w:ascii="Times New Roman"/>
                <w:sz w:val="21"/>
                <w:szCs w:val="21"/>
                <w:vertAlign w:val="subscript"/>
              </w:rPr>
              <w:t>10</w:t>
            </w:r>
            <w:r>
              <w:rPr>
                <w:rFonts w:ascii="Times New Roman"/>
                <w:sz w:val="21"/>
                <w:szCs w:val="21"/>
              </w:rPr>
              <w:t>占标率(%)</w:t>
            </w:r>
          </w:p>
        </w:tc>
        <w:tc>
          <w:tcPr>
            <w:tcW w:w="1315" w:type="dxa"/>
            <w:shd w:val="clear" w:color="auto" w:fill="auto"/>
            <w:vAlign w:val="center"/>
          </w:tcPr>
          <w:p w14:paraId="1EC3A359">
            <w:pPr>
              <w:jc w:val="center"/>
              <w:rPr>
                <w:rFonts w:ascii="Times New Roman"/>
                <w:sz w:val="21"/>
                <w:szCs w:val="21"/>
              </w:rPr>
            </w:pPr>
            <w:r>
              <w:rPr>
                <w:rFonts w:ascii="Times New Roman"/>
                <w:sz w:val="21"/>
                <w:szCs w:val="21"/>
              </w:rPr>
              <w:t>NMHC浓度(μg/m³)</w:t>
            </w:r>
          </w:p>
        </w:tc>
        <w:tc>
          <w:tcPr>
            <w:tcW w:w="1198" w:type="dxa"/>
            <w:gridSpan w:val="2"/>
            <w:shd w:val="clear" w:color="auto" w:fill="auto"/>
            <w:vAlign w:val="center"/>
          </w:tcPr>
          <w:p w14:paraId="1D3CDB84">
            <w:pPr>
              <w:jc w:val="center"/>
              <w:rPr>
                <w:rFonts w:ascii="Times New Roman"/>
                <w:sz w:val="21"/>
                <w:szCs w:val="21"/>
              </w:rPr>
            </w:pPr>
            <w:r>
              <w:rPr>
                <w:rFonts w:ascii="Times New Roman"/>
                <w:sz w:val="21"/>
                <w:szCs w:val="21"/>
              </w:rPr>
              <w:t>NMHC占标率(%)</w:t>
            </w:r>
          </w:p>
        </w:tc>
        <w:tc>
          <w:tcPr>
            <w:tcW w:w="1169" w:type="dxa"/>
            <w:vAlign w:val="center"/>
          </w:tcPr>
          <w:p w14:paraId="7175E20E">
            <w:pPr>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浓度(μg/m³)</w:t>
            </w:r>
          </w:p>
        </w:tc>
        <w:tc>
          <w:tcPr>
            <w:tcW w:w="1050" w:type="dxa"/>
            <w:vAlign w:val="center"/>
          </w:tcPr>
          <w:p w14:paraId="5586892E">
            <w:pPr>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占标率(%)</w:t>
            </w:r>
          </w:p>
        </w:tc>
      </w:tr>
      <w:tr w14:paraId="5D8FDA04">
        <w:tblPrEx>
          <w:tblCellMar>
            <w:top w:w="0" w:type="dxa"/>
            <w:left w:w="108" w:type="dxa"/>
            <w:bottom w:w="0" w:type="dxa"/>
            <w:right w:w="108" w:type="dxa"/>
          </w:tblCellMar>
        </w:tblPrEx>
        <w:trPr>
          <w:trHeight w:val="397" w:hRule="atLeast"/>
        </w:trPr>
        <w:tc>
          <w:tcPr>
            <w:tcW w:w="1375" w:type="dxa"/>
            <w:vAlign w:val="center"/>
          </w:tcPr>
          <w:p w14:paraId="3CBA12FF">
            <w:pPr>
              <w:jc w:val="center"/>
              <w:rPr>
                <w:rFonts w:ascii="Times New Roman"/>
                <w:sz w:val="21"/>
                <w:szCs w:val="21"/>
              </w:rPr>
            </w:pPr>
            <w:r>
              <w:rPr>
                <w:rFonts w:ascii="Times New Roman"/>
                <w:sz w:val="21"/>
                <w:szCs w:val="21"/>
              </w:rPr>
              <w:t>50.0</w:t>
            </w:r>
          </w:p>
        </w:tc>
        <w:tc>
          <w:tcPr>
            <w:tcW w:w="1315" w:type="dxa"/>
            <w:vAlign w:val="center"/>
          </w:tcPr>
          <w:p w14:paraId="78C2B21E">
            <w:pPr>
              <w:jc w:val="center"/>
              <w:rPr>
                <w:rFonts w:ascii="Times New Roman"/>
                <w:sz w:val="21"/>
                <w:szCs w:val="21"/>
              </w:rPr>
            </w:pPr>
            <w:r>
              <w:rPr>
                <w:rFonts w:hint="eastAsia" w:ascii="Times New Roman"/>
                <w:sz w:val="21"/>
                <w:szCs w:val="21"/>
              </w:rPr>
              <w:t>0.2211</w:t>
            </w:r>
          </w:p>
        </w:tc>
        <w:tc>
          <w:tcPr>
            <w:tcW w:w="1117" w:type="dxa"/>
            <w:gridSpan w:val="2"/>
            <w:vAlign w:val="center"/>
          </w:tcPr>
          <w:p w14:paraId="419DD01F">
            <w:pPr>
              <w:jc w:val="center"/>
              <w:rPr>
                <w:rFonts w:ascii="Times New Roman"/>
                <w:sz w:val="21"/>
                <w:szCs w:val="21"/>
              </w:rPr>
            </w:pPr>
            <w:r>
              <w:rPr>
                <w:rFonts w:hint="eastAsia" w:ascii="Times New Roman"/>
                <w:sz w:val="21"/>
                <w:szCs w:val="21"/>
              </w:rPr>
              <w:t xml:space="preserve">0.07 </w:t>
            </w:r>
          </w:p>
        </w:tc>
        <w:tc>
          <w:tcPr>
            <w:tcW w:w="1315" w:type="dxa"/>
            <w:vAlign w:val="center"/>
          </w:tcPr>
          <w:p w14:paraId="51B1821D">
            <w:pPr>
              <w:jc w:val="center"/>
              <w:rPr>
                <w:rFonts w:ascii="Times New Roman"/>
                <w:sz w:val="21"/>
                <w:szCs w:val="21"/>
              </w:rPr>
            </w:pPr>
            <w:r>
              <w:rPr>
                <w:rFonts w:hint="eastAsia" w:ascii="Times New Roman"/>
                <w:sz w:val="21"/>
                <w:szCs w:val="21"/>
              </w:rPr>
              <w:t>0.1701</w:t>
            </w:r>
          </w:p>
        </w:tc>
        <w:tc>
          <w:tcPr>
            <w:tcW w:w="1198" w:type="dxa"/>
            <w:gridSpan w:val="2"/>
            <w:vAlign w:val="center"/>
          </w:tcPr>
          <w:p w14:paraId="0652F95F">
            <w:pPr>
              <w:jc w:val="center"/>
              <w:rPr>
                <w:rFonts w:ascii="Times New Roman"/>
                <w:sz w:val="21"/>
                <w:szCs w:val="21"/>
              </w:rPr>
            </w:pPr>
            <w:r>
              <w:rPr>
                <w:rFonts w:hint="eastAsia" w:ascii="Times New Roman"/>
                <w:sz w:val="21"/>
                <w:szCs w:val="21"/>
              </w:rPr>
              <w:t xml:space="preserve">0.01 </w:t>
            </w:r>
          </w:p>
        </w:tc>
        <w:tc>
          <w:tcPr>
            <w:tcW w:w="1169" w:type="dxa"/>
            <w:vAlign w:val="center"/>
          </w:tcPr>
          <w:p w14:paraId="2713C659">
            <w:pPr>
              <w:jc w:val="center"/>
              <w:rPr>
                <w:rFonts w:ascii="Times New Roman"/>
                <w:sz w:val="21"/>
                <w:szCs w:val="21"/>
              </w:rPr>
            </w:pPr>
            <w:r>
              <w:rPr>
                <w:rFonts w:hint="eastAsia" w:ascii="Times New Roman"/>
                <w:sz w:val="21"/>
                <w:szCs w:val="21"/>
              </w:rPr>
              <w:t>0.034</w:t>
            </w:r>
          </w:p>
        </w:tc>
        <w:tc>
          <w:tcPr>
            <w:tcW w:w="1050" w:type="dxa"/>
            <w:vAlign w:val="center"/>
          </w:tcPr>
          <w:p w14:paraId="6F25E2DF">
            <w:pPr>
              <w:jc w:val="center"/>
              <w:rPr>
                <w:rFonts w:ascii="Times New Roman"/>
                <w:sz w:val="21"/>
                <w:szCs w:val="21"/>
              </w:rPr>
            </w:pPr>
            <w:r>
              <w:rPr>
                <w:rFonts w:hint="eastAsia" w:ascii="Times New Roman"/>
                <w:sz w:val="21"/>
                <w:szCs w:val="21"/>
              </w:rPr>
              <w:t xml:space="preserve">0.01 </w:t>
            </w:r>
          </w:p>
        </w:tc>
      </w:tr>
      <w:tr w14:paraId="66B0910D">
        <w:tblPrEx>
          <w:tblCellMar>
            <w:top w:w="0" w:type="dxa"/>
            <w:left w:w="108" w:type="dxa"/>
            <w:bottom w:w="0" w:type="dxa"/>
            <w:right w:w="108" w:type="dxa"/>
          </w:tblCellMar>
        </w:tblPrEx>
        <w:trPr>
          <w:trHeight w:val="397" w:hRule="atLeast"/>
        </w:trPr>
        <w:tc>
          <w:tcPr>
            <w:tcW w:w="1375" w:type="dxa"/>
            <w:vAlign w:val="center"/>
          </w:tcPr>
          <w:p w14:paraId="23F3FB6B">
            <w:pPr>
              <w:jc w:val="center"/>
              <w:rPr>
                <w:rFonts w:ascii="Times New Roman"/>
                <w:sz w:val="21"/>
                <w:szCs w:val="21"/>
              </w:rPr>
            </w:pPr>
            <w:r>
              <w:rPr>
                <w:rFonts w:ascii="Times New Roman"/>
                <w:sz w:val="21"/>
                <w:szCs w:val="21"/>
              </w:rPr>
              <w:t>100.0</w:t>
            </w:r>
          </w:p>
        </w:tc>
        <w:tc>
          <w:tcPr>
            <w:tcW w:w="1315" w:type="dxa"/>
            <w:vAlign w:val="center"/>
          </w:tcPr>
          <w:p w14:paraId="2C9F0AF2">
            <w:pPr>
              <w:jc w:val="center"/>
              <w:rPr>
                <w:rFonts w:ascii="Times New Roman"/>
                <w:sz w:val="21"/>
                <w:szCs w:val="21"/>
              </w:rPr>
            </w:pPr>
            <w:r>
              <w:rPr>
                <w:rFonts w:hint="eastAsia" w:ascii="Times New Roman"/>
                <w:sz w:val="21"/>
                <w:szCs w:val="21"/>
              </w:rPr>
              <w:t>0.2056</w:t>
            </w:r>
          </w:p>
        </w:tc>
        <w:tc>
          <w:tcPr>
            <w:tcW w:w="1117" w:type="dxa"/>
            <w:gridSpan w:val="2"/>
            <w:vAlign w:val="center"/>
          </w:tcPr>
          <w:p w14:paraId="4E30354C">
            <w:pPr>
              <w:jc w:val="center"/>
              <w:rPr>
                <w:rFonts w:ascii="Times New Roman"/>
                <w:sz w:val="21"/>
                <w:szCs w:val="21"/>
              </w:rPr>
            </w:pPr>
            <w:r>
              <w:rPr>
                <w:rFonts w:hint="eastAsia" w:ascii="Times New Roman"/>
                <w:sz w:val="21"/>
                <w:szCs w:val="21"/>
              </w:rPr>
              <w:t xml:space="preserve">0.05 </w:t>
            </w:r>
          </w:p>
        </w:tc>
        <w:tc>
          <w:tcPr>
            <w:tcW w:w="1315" w:type="dxa"/>
            <w:vAlign w:val="center"/>
          </w:tcPr>
          <w:p w14:paraId="305DE0A4">
            <w:pPr>
              <w:jc w:val="center"/>
              <w:rPr>
                <w:rFonts w:ascii="Times New Roman"/>
                <w:sz w:val="21"/>
                <w:szCs w:val="21"/>
              </w:rPr>
            </w:pPr>
            <w:r>
              <w:rPr>
                <w:rFonts w:hint="eastAsia" w:ascii="Times New Roman"/>
                <w:sz w:val="21"/>
                <w:szCs w:val="21"/>
              </w:rPr>
              <w:t>0.1581</w:t>
            </w:r>
          </w:p>
        </w:tc>
        <w:tc>
          <w:tcPr>
            <w:tcW w:w="1198" w:type="dxa"/>
            <w:gridSpan w:val="2"/>
            <w:vAlign w:val="center"/>
          </w:tcPr>
          <w:p w14:paraId="35EEFFFD">
            <w:pPr>
              <w:jc w:val="center"/>
              <w:rPr>
                <w:rFonts w:ascii="Times New Roman"/>
                <w:sz w:val="21"/>
                <w:szCs w:val="21"/>
              </w:rPr>
            </w:pPr>
            <w:r>
              <w:rPr>
                <w:rFonts w:hint="eastAsia" w:ascii="Times New Roman"/>
                <w:sz w:val="21"/>
                <w:szCs w:val="21"/>
              </w:rPr>
              <w:t xml:space="preserve">0.01 </w:t>
            </w:r>
          </w:p>
        </w:tc>
        <w:tc>
          <w:tcPr>
            <w:tcW w:w="1169" w:type="dxa"/>
            <w:vAlign w:val="center"/>
          </w:tcPr>
          <w:p w14:paraId="0CA51679">
            <w:pPr>
              <w:jc w:val="center"/>
              <w:rPr>
                <w:rFonts w:ascii="Times New Roman"/>
                <w:sz w:val="21"/>
                <w:szCs w:val="21"/>
              </w:rPr>
            </w:pPr>
            <w:r>
              <w:rPr>
                <w:rFonts w:hint="eastAsia" w:ascii="Times New Roman"/>
                <w:sz w:val="21"/>
                <w:szCs w:val="21"/>
              </w:rPr>
              <w:t>0.0316</w:t>
            </w:r>
          </w:p>
        </w:tc>
        <w:tc>
          <w:tcPr>
            <w:tcW w:w="1050" w:type="dxa"/>
            <w:vAlign w:val="center"/>
          </w:tcPr>
          <w:p w14:paraId="1FCE4981">
            <w:pPr>
              <w:jc w:val="center"/>
              <w:rPr>
                <w:rFonts w:ascii="Times New Roman"/>
                <w:sz w:val="21"/>
                <w:szCs w:val="21"/>
              </w:rPr>
            </w:pPr>
            <w:r>
              <w:rPr>
                <w:rFonts w:hint="eastAsia" w:ascii="Times New Roman"/>
                <w:sz w:val="21"/>
                <w:szCs w:val="21"/>
              </w:rPr>
              <w:t xml:space="preserve">0.01 </w:t>
            </w:r>
          </w:p>
        </w:tc>
      </w:tr>
      <w:tr w14:paraId="225F7068">
        <w:tblPrEx>
          <w:tblCellMar>
            <w:top w:w="0" w:type="dxa"/>
            <w:left w:w="108" w:type="dxa"/>
            <w:bottom w:w="0" w:type="dxa"/>
            <w:right w:w="108" w:type="dxa"/>
          </w:tblCellMar>
        </w:tblPrEx>
        <w:trPr>
          <w:trHeight w:val="397" w:hRule="atLeast"/>
        </w:trPr>
        <w:tc>
          <w:tcPr>
            <w:tcW w:w="1375" w:type="dxa"/>
            <w:vAlign w:val="center"/>
          </w:tcPr>
          <w:p w14:paraId="7C25398F">
            <w:pPr>
              <w:jc w:val="center"/>
              <w:rPr>
                <w:rFonts w:ascii="Times New Roman"/>
                <w:sz w:val="21"/>
                <w:szCs w:val="21"/>
              </w:rPr>
            </w:pPr>
            <w:r>
              <w:rPr>
                <w:rFonts w:ascii="Times New Roman"/>
                <w:sz w:val="21"/>
                <w:szCs w:val="21"/>
              </w:rPr>
              <w:t>200.0</w:t>
            </w:r>
          </w:p>
        </w:tc>
        <w:tc>
          <w:tcPr>
            <w:tcW w:w="1315" w:type="dxa"/>
            <w:vAlign w:val="center"/>
          </w:tcPr>
          <w:p w14:paraId="1B459E9C">
            <w:pPr>
              <w:jc w:val="center"/>
              <w:rPr>
                <w:rFonts w:ascii="Times New Roman"/>
                <w:sz w:val="21"/>
                <w:szCs w:val="21"/>
              </w:rPr>
            </w:pPr>
            <w:r>
              <w:rPr>
                <w:rFonts w:hint="eastAsia" w:ascii="Times New Roman"/>
                <w:sz w:val="21"/>
                <w:szCs w:val="21"/>
              </w:rPr>
              <w:t>0.154</w:t>
            </w:r>
          </w:p>
        </w:tc>
        <w:tc>
          <w:tcPr>
            <w:tcW w:w="1117" w:type="dxa"/>
            <w:gridSpan w:val="2"/>
            <w:vAlign w:val="center"/>
          </w:tcPr>
          <w:p w14:paraId="7871CAD6">
            <w:pPr>
              <w:jc w:val="center"/>
              <w:rPr>
                <w:rFonts w:ascii="Times New Roman"/>
                <w:sz w:val="21"/>
                <w:szCs w:val="21"/>
              </w:rPr>
            </w:pPr>
            <w:r>
              <w:rPr>
                <w:rFonts w:hint="eastAsia" w:ascii="Times New Roman"/>
                <w:sz w:val="21"/>
                <w:szCs w:val="21"/>
              </w:rPr>
              <w:t xml:space="preserve">0.05 </w:t>
            </w:r>
          </w:p>
        </w:tc>
        <w:tc>
          <w:tcPr>
            <w:tcW w:w="1315" w:type="dxa"/>
            <w:vAlign w:val="center"/>
          </w:tcPr>
          <w:p w14:paraId="67430B9B">
            <w:pPr>
              <w:jc w:val="center"/>
              <w:rPr>
                <w:rFonts w:ascii="Times New Roman"/>
                <w:sz w:val="21"/>
                <w:szCs w:val="21"/>
              </w:rPr>
            </w:pPr>
            <w:r>
              <w:rPr>
                <w:rFonts w:hint="eastAsia" w:ascii="Times New Roman"/>
                <w:sz w:val="21"/>
                <w:szCs w:val="21"/>
              </w:rPr>
              <w:t>0.1185</w:t>
            </w:r>
          </w:p>
        </w:tc>
        <w:tc>
          <w:tcPr>
            <w:tcW w:w="1198" w:type="dxa"/>
            <w:gridSpan w:val="2"/>
            <w:vAlign w:val="center"/>
          </w:tcPr>
          <w:p w14:paraId="366ACA68">
            <w:pPr>
              <w:jc w:val="center"/>
              <w:rPr>
                <w:rFonts w:ascii="Times New Roman"/>
                <w:sz w:val="21"/>
                <w:szCs w:val="21"/>
              </w:rPr>
            </w:pPr>
            <w:r>
              <w:rPr>
                <w:rFonts w:hint="eastAsia" w:ascii="Times New Roman"/>
                <w:sz w:val="21"/>
                <w:szCs w:val="21"/>
              </w:rPr>
              <w:t xml:space="preserve">0.01 </w:t>
            </w:r>
          </w:p>
        </w:tc>
        <w:tc>
          <w:tcPr>
            <w:tcW w:w="1169" w:type="dxa"/>
            <w:vAlign w:val="center"/>
          </w:tcPr>
          <w:p w14:paraId="178BC679">
            <w:pPr>
              <w:jc w:val="center"/>
              <w:rPr>
                <w:rFonts w:ascii="Times New Roman"/>
                <w:sz w:val="21"/>
                <w:szCs w:val="21"/>
              </w:rPr>
            </w:pPr>
            <w:r>
              <w:rPr>
                <w:rFonts w:hint="eastAsia" w:ascii="Times New Roman"/>
                <w:sz w:val="21"/>
                <w:szCs w:val="21"/>
              </w:rPr>
              <w:t>0.0237</w:t>
            </w:r>
          </w:p>
        </w:tc>
        <w:tc>
          <w:tcPr>
            <w:tcW w:w="1050" w:type="dxa"/>
            <w:vAlign w:val="center"/>
          </w:tcPr>
          <w:p w14:paraId="49FF9AA1">
            <w:pPr>
              <w:jc w:val="center"/>
              <w:rPr>
                <w:rFonts w:ascii="Times New Roman"/>
                <w:sz w:val="21"/>
                <w:szCs w:val="21"/>
              </w:rPr>
            </w:pPr>
            <w:r>
              <w:rPr>
                <w:rFonts w:hint="eastAsia" w:ascii="Times New Roman"/>
                <w:sz w:val="21"/>
                <w:szCs w:val="21"/>
              </w:rPr>
              <w:t xml:space="preserve">0.00 </w:t>
            </w:r>
          </w:p>
        </w:tc>
      </w:tr>
      <w:tr w14:paraId="3393CB4A">
        <w:tblPrEx>
          <w:tblCellMar>
            <w:top w:w="0" w:type="dxa"/>
            <w:left w:w="108" w:type="dxa"/>
            <w:bottom w:w="0" w:type="dxa"/>
            <w:right w:w="108" w:type="dxa"/>
          </w:tblCellMar>
        </w:tblPrEx>
        <w:trPr>
          <w:trHeight w:val="397" w:hRule="atLeast"/>
        </w:trPr>
        <w:tc>
          <w:tcPr>
            <w:tcW w:w="1375" w:type="dxa"/>
            <w:vAlign w:val="center"/>
          </w:tcPr>
          <w:p w14:paraId="6EB6E62D">
            <w:pPr>
              <w:jc w:val="center"/>
              <w:rPr>
                <w:rFonts w:ascii="Times New Roman"/>
                <w:sz w:val="21"/>
                <w:szCs w:val="21"/>
              </w:rPr>
            </w:pPr>
            <w:r>
              <w:rPr>
                <w:rFonts w:ascii="Times New Roman"/>
                <w:sz w:val="21"/>
                <w:szCs w:val="21"/>
              </w:rPr>
              <w:t>300.0</w:t>
            </w:r>
          </w:p>
        </w:tc>
        <w:tc>
          <w:tcPr>
            <w:tcW w:w="1315" w:type="dxa"/>
            <w:vAlign w:val="center"/>
          </w:tcPr>
          <w:p w14:paraId="44154F2E">
            <w:pPr>
              <w:jc w:val="center"/>
              <w:rPr>
                <w:rFonts w:ascii="Times New Roman"/>
                <w:sz w:val="21"/>
                <w:szCs w:val="21"/>
              </w:rPr>
            </w:pPr>
            <w:r>
              <w:rPr>
                <w:rFonts w:hint="eastAsia" w:ascii="Times New Roman"/>
                <w:sz w:val="21"/>
                <w:szCs w:val="21"/>
              </w:rPr>
              <w:t>0.1936</w:t>
            </w:r>
          </w:p>
        </w:tc>
        <w:tc>
          <w:tcPr>
            <w:tcW w:w="1117" w:type="dxa"/>
            <w:gridSpan w:val="2"/>
            <w:vAlign w:val="center"/>
          </w:tcPr>
          <w:p w14:paraId="54810E58">
            <w:pPr>
              <w:jc w:val="center"/>
              <w:rPr>
                <w:rFonts w:ascii="Times New Roman"/>
                <w:sz w:val="21"/>
                <w:szCs w:val="21"/>
              </w:rPr>
            </w:pPr>
            <w:r>
              <w:rPr>
                <w:rFonts w:hint="eastAsia" w:ascii="Times New Roman"/>
                <w:sz w:val="21"/>
                <w:szCs w:val="21"/>
              </w:rPr>
              <w:t xml:space="preserve">0.03 </w:t>
            </w:r>
          </w:p>
        </w:tc>
        <w:tc>
          <w:tcPr>
            <w:tcW w:w="1315" w:type="dxa"/>
            <w:vAlign w:val="center"/>
          </w:tcPr>
          <w:p w14:paraId="3DC1AF62">
            <w:pPr>
              <w:jc w:val="center"/>
              <w:rPr>
                <w:rFonts w:ascii="Times New Roman"/>
                <w:sz w:val="21"/>
                <w:szCs w:val="21"/>
              </w:rPr>
            </w:pPr>
            <w:r>
              <w:rPr>
                <w:rFonts w:hint="eastAsia" w:ascii="Times New Roman"/>
                <w:sz w:val="21"/>
                <w:szCs w:val="21"/>
              </w:rPr>
              <w:t>0.149</w:t>
            </w:r>
          </w:p>
        </w:tc>
        <w:tc>
          <w:tcPr>
            <w:tcW w:w="1198" w:type="dxa"/>
            <w:gridSpan w:val="2"/>
            <w:vAlign w:val="center"/>
          </w:tcPr>
          <w:p w14:paraId="7760BCCB">
            <w:pPr>
              <w:jc w:val="center"/>
              <w:rPr>
                <w:rFonts w:ascii="Times New Roman"/>
                <w:sz w:val="21"/>
                <w:szCs w:val="21"/>
              </w:rPr>
            </w:pPr>
            <w:r>
              <w:rPr>
                <w:rFonts w:hint="eastAsia" w:ascii="Times New Roman"/>
                <w:sz w:val="21"/>
                <w:szCs w:val="21"/>
              </w:rPr>
              <w:t xml:space="preserve">0.01 </w:t>
            </w:r>
          </w:p>
        </w:tc>
        <w:tc>
          <w:tcPr>
            <w:tcW w:w="1169" w:type="dxa"/>
            <w:vAlign w:val="center"/>
          </w:tcPr>
          <w:p w14:paraId="71FD3904">
            <w:pPr>
              <w:jc w:val="center"/>
              <w:rPr>
                <w:rFonts w:ascii="Times New Roman"/>
                <w:sz w:val="21"/>
                <w:szCs w:val="21"/>
              </w:rPr>
            </w:pPr>
            <w:r>
              <w:rPr>
                <w:rFonts w:hint="eastAsia" w:ascii="Times New Roman"/>
                <w:sz w:val="21"/>
                <w:szCs w:val="21"/>
              </w:rPr>
              <w:t>0.0298</w:t>
            </w:r>
          </w:p>
        </w:tc>
        <w:tc>
          <w:tcPr>
            <w:tcW w:w="1050" w:type="dxa"/>
            <w:vAlign w:val="center"/>
          </w:tcPr>
          <w:p w14:paraId="29C2B897">
            <w:pPr>
              <w:jc w:val="center"/>
              <w:rPr>
                <w:rFonts w:ascii="Times New Roman"/>
                <w:sz w:val="21"/>
                <w:szCs w:val="21"/>
              </w:rPr>
            </w:pPr>
            <w:r>
              <w:rPr>
                <w:rFonts w:hint="eastAsia" w:ascii="Times New Roman"/>
                <w:sz w:val="21"/>
                <w:szCs w:val="21"/>
              </w:rPr>
              <w:t xml:space="preserve">0.01 </w:t>
            </w:r>
          </w:p>
        </w:tc>
      </w:tr>
      <w:tr w14:paraId="79817AB1">
        <w:tblPrEx>
          <w:tblCellMar>
            <w:top w:w="0" w:type="dxa"/>
            <w:left w:w="108" w:type="dxa"/>
            <w:bottom w:w="0" w:type="dxa"/>
            <w:right w:w="108" w:type="dxa"/>
          </w:tblCellMar>
        </w:tblPrEx>
        <w:trPr>
          <w:trHeight w:val="397" w:hRule="atLeast"/>
        </w:trPr>
        <w:tc>
          <w:tcPr>
            <w:tcW w:w="1375" w:type="dxa"/>
            <w:vAlign w:val="center"/>
          </w:tcPr>
          <w:p w14:paraId="22A8B909">
            <w:pPr>
              <w:jc w:val="center"/>
              <w:rPr>
                <w:rFonts w:ascii="Times New Roman"/>
                <w:sz w:val="21"/>
                <w:szCs w:val="21"/>
              </w:rPr>
            </w:pPr>
            <w:r>
              <w:rPr>
                <w:rFonts w:ascii="Times New Roman"/>
                <w:sz w:val="21"/>
                <w:szCs w:val="21"/>
              </w:rPr>
              <w:t>400.0</w:t>
            </w:r>
          </w:p>
        </w:tc>
        <w:tc>
          <w:tcPr>
            <w:tcW w:w="1315" w:type="dxa"/>
            <w:vAlign w:val="center"/>
          </w:tcPr>
          <w:p w14:paraId="085B64AC">
            <w:pPr>
              <w:jc w:val="center"/>
              <w:rPr>
                <w:rFonts w:ascii="Times New Roman"/>
                <w:sz w:val="21"/>
                <w:szCs w:val="21"/>
              </w:rPr>
            </w:pPr>
            <w:r>
              <w:rPr>
                <w:rFonts w:hint="eastAsia" w:ascii="Times New Roman"/>
                <w:sz w:val="21"/>
                <w:szCs w:val="21"/>
              </w:rPr>
              <w:t>0.1827</w:t>
            </w:r>
          </w:p>
        </w:tc>
        <w:tc>
          <w:tcPr>
            <w:tcW w:w="1117" w:type="dxa"/>
            <w:gridSpan w:val="2"/>
            <w:vAlign w:val="center"/>
          </w:tcPr>
          <w:p w14:paraId="58AE41B3">
            <w:pPr>
              <w:jc w:val="center"/>
              <w:rPr>
                <w:rFonts w:ascii="Times New Roman"/>
                <w:sz w:val="21"/>
                <w:szCs w:val="21"/>
              </w:rPr>
            </w:pPr>
            <w:r>
              <w:rPr>
                <w:rFonts w:hint="eastAsia" w:ascii="Times New Roman"/>
                <w:sz w:val="21"/>
                <w:szCs w:val="21"/>
              </w:rPr>
              <w:t xml:space="preserve">0.04 </w:t>
            </w:r>
          </w:p>
        </w:tc>
        <w:tc>
          <w:tcPr>
            <w:tcW w:w="1315" w:type="dxa"/>
            <w:vAlign w:val="center"/>
          </w:tcPr>
          <w:p w14:paraId="18906EFC">
            <w:pPr>
              <w:jc w:val="center"/>
              <w:rPr>
                <w:rFonts w:ascii="Times New Roman"/>
                <w:sz w:val="21"/>
                <w:szCs w:val="21"/>
              </w:rPr>
            </w:pPr>
            <w:r>
              <w:rPr>
                <w:rFonts w:hint="eastAsia" w:ascii="Times New Roman"/>
                <w:sz w:val="21"/>
                <w:szCs w:val="21"/>
              </w:rPr>
              <w:t>0.1406</w:t>
            </w:r>
          </w:p>
        </w:tc>
        <w:tc>
          <w:tcPr>
            <w:tcW w:w="1198" w:type="dxa"/>
            <w:gridSpan w:val="2"/>
            <w:vAlign w:val="center"/>
          </w:tcPr>
          <w:p w14:paraId="13B0414E">
            <w:pPr>
              <w:jc w:val="center"/>
              <w:rPr>
                <w:rFonts w:ascii="Times New Roman"/>
                <w:sz w:val="21"/>
                <w:szCs w:val="21"/>
              </w:rPr>
            </w:pPr>
            <w:r>
              <w:rPr>
                <w:rFonts w:hint="eastAsia" w:ascii="Times New Roman"/>
                <w:sz w:val="21"/>
                <w:szCs w:val="21"/>
              </w:rPr>
              <w:t xml:space="preserve">0.01 </w:t>
            </w:r>
          </w:p>
        </w:tc>
        <w:tc>
          <w:tcPr>
            <w:tcW w:w="1169" w:type="dxa"/>
            <w:vAlign w:val="center"/>
          </w:tcPr>
          <w:p w14:paraId="2A74BBA0">
            <w:pPr>
              <w:jc w:val="center"/>
              <w:rPr>
                <w:rFonts w:ascii="Times New Roman"/>
                <w:sz w:val="21"/>
                <w:szCs w:val="21"/>
              </w:rPr>
            </w:pPr>
            <w:r>
              <w:rPr>
                <w:rFonts w:hint="eastAsia" w:ascii="Times New Roman"/>
                <w:sz w:val="21"/>
                <w:szCs w:val="21"/>
              </w:rPr>
              <w:t>0.0281</w:t>
            </w:r>
          </w:p>
        </w:tc>
        <w:tc>
          <w:tcPr>
            <w:tcW w:w="1050" w:type="dxa"/>
            <w:vAlign w:val="center"/>
          </w:tcPr>
          <w:p w14:paraId="4F29F4DD">
            <w:pPr>
              <w:jc w:val="center"/>
              <w:rPr>
                <w:rFonts w:ascii="Times New Roman"/>
                <w:sz w:val="21"/>
                <w:szCs w:val="21"/>
              </w:rPr>
            </w:pPr>
            <w:r>
              <w:rPr>
                <w:rFonts w:hint="eastAsia" w:ascii="Times New Roman"/>
                <w:sz w:val="21"/>
                <w:szCs w:val="21"/>
              </w:rPr>
              <w:t xml:space="preserve">0.01 </w:t>
            </w:r>
          </w:p>
        </w:tc>
      </w:tr>
      <w:tr w14:paraId="3D7FE0E3">
        <w:tblPrEx>
          <w:tblCellMar>
            <w:top w:w="0" w:type="dxa"/>
            <w:left w:w="108" w:type="dxa"/>
            <w:bottom w:w="0" w:type="dxa"/>
            <w:right w:w="108" w:type="dxa"/>
          </w:tblCellMar>
        </w:tblPrEx>
        <w:trPr>
          <w:trHeight w:val="397" w:hRule="atLeast"/>
        </w:trPr>
        <w:tc>
          <w:tcPr>
            <w:tcW w:w="1375" w:type="dxa"/>
            <w:vAlign w:val="center"/>
          </w:tcPr>
          <w:p w14:paraId="6432BACC">
            <w:pPr>
              <w:jc w:val="center"/>
              <w:rPr>
                <w:rFonts w:ascii="Times New Roman"/>
                <w:sz w:val="21"/>
                <w:szCs w:val="21"/>
              </w:rPr>
            </w:pPr>
            <w:r>
              <w:rPr>
                <w:rFonts w:ascii="Times New Roman"/>
                <w:sz w:val="21"/>
                <w:szCs w:val="21"/>
              </w:rPr>
              <w:t>500.0</w:t>
            </w:r>
          </w:p>
        </w:tc>
        <w:tc>
          <w:tcPr>
            <w:tcW w:w="1315" w:type="dxa"/>
            <w:vAlign w:val="center"/>
          </w:tcPr>
          <w:p w14:paraId="4EED6289">
            <w:pPr>
              <w:jc w:val="center"/>
              <w:rPr>
                <w:rFonts w:ascii="Times New Roman"/>
                <w:sz w:val="21"/>
                <w:szCs w:val="21"/>
              </w:rPr>
            </w:pPr>
            <w:r>
              <w:rPr>
                <w:rFonts w:hint="eastAsia" w:ascii="Times New Roman"/>
                <w:sz w:val="21"/>
                <w:szCs w:val="21"/>
              </w:rPr>
              <w:t>0.1624</w:t>
            </w:r>
          </w:p>
        </w:tc>
        <w:tc>
          <w:tcPr>
            <w:tcW w:w="1117" w:type="dxa"/>
            <w:gridSpan w:val="2"/>
            <w:vAlign w:val="center"/>
          </w:tcPr>
          <w:p w14:paraId="3091A268">
            <w:pPr>
              <w:jc w:val="center"/>
              <w:rPr>
                <w:rFonts w:ascii="Times New Roman"/>
                <w:sz w:val="21"/>
                <w:szCs w:val="21"/>
              </w:rPr>
            </w:pPr>
            <w:r>
              <w:rPr>
                <w:rFonts w:hint="eastAsia" w:ascii="Times New Roman"/>
                <w:sz w:val="21"/>
                <w:szCs w:val="21"/>
              </w:rPr>
              <w:t xml:space="preserve">0.04 </w:t>
            </w:r>
          </w:p>
        </w:tc>
        <w:tc>
          <w:tcPr>
            <w:tcW w:w="1315" w:type="dxa"/>
            <w:vAlign w:val="center"/>
          </w:tcPr>
          <w:p w14:paraId="2B20639A">
            <w:pPr>
              <w:jc w:val="center"/>
              <w:rPr>
                <w:rFonts w:ascii="Times New Roman"/>
                <w:sz w:val="21"/>
                <w:szCs w:val="21"/>
              </w:rPr>
            </w:pPr>
            <w:r>
              <w:rPr>
                <w:rFonts w:hint="eastAsia" w:ascii="Times New Roman"/>
                <w:sz w:val="21"/>
                <w:szCs w:val="21"/>
              </w:rPr>
              <w:t>0.1249</w:t>
            </w:r>
          </w:p>
        </w:tc>
        <w:tc>
          <w:tcPr>
            <w:tcW w:w="1198" w:type="dxa"/>
            <w:gridSpan w:val="2"/>
            <w:vAlign w:val="center"/>
          </w:tcPr>
          <w:p w14:paraId="66AC35FA">
            <w:pPr>
              <w:jc w:val="center"/>
              <w:rPr>
                <w:rFonts w:ascii="Times New Roman"/>
                <w:sz w:val="21"/>
                <w:szCs w:val="21"/>
              </w:rPr>
            </w:pPr>
            <w:r>
              <w:rPr>
                <w:rFonts w:hint="eastAsia" w:ascii="Times New Roman"/>
                <w:sz w:val="21"/>
                <w:szCs w:val="21"/>
              </w:rPr>
              <w:t xml:space="preserve">0.01 </w:t>
            </w:r>
          </w:p>
        </w:tc>
        <w:tc>
          <w:tcPr>
            <w:tcW w:w="1169" w:type="dxa"/>
            <w:vAlign w:val="center"/>
          </w:tcPr>
          <w:p w14:paraId="28B7983F">
            <w:pPr>
              <w:jc w:val="center"/>
              <w:rPr>
                <w:rFonts w:ascii="Times New Roman"/>
                <w:sz w:val="21"/>
                <w:szCs w:val="21"/>
              </w:rPr>
            </w:pPr>
            <w:r>
              <w:rPr>
                <w:rFonts w:hint="eastAsia" w:ascii="Times New Roman"/>
                <w:sz w:val="21"/>
                <w:szCs w:val="21"/>
              </w:rPr>
              <w:t>0.025</w:t>
            </w:r>
          </w:p>
        </w:tc>
        <w:tc>
          <w:tcPr>
            <w:tcW w:w="1050" w:type="dxa"/>
            <w:vAlign w:val="center"/>
          </w:tcPr>
          <w:p w14:paraId="66B9949F">
            <w:pPr>
              <w:jc w:val="center"/>
              <w:rPr>
                <w:rFonts w:ascii="Times New Roman"/>
                <w:sz w:val="21"/>
                <w:szCs w:val="21"/>
              </w:rPr>
            </w:pPr>
            <w:r>
              <w:rPr>
                <w:rFonts w:hint="eastAsia" w:ascii="Times New Roman"/>
                <w:sz w:val="21"/>
                <w:szCs w:val="21"/>
              </w:rPr>
              <w:t xml:space="preserve">0.01 </w:t>
            </w:r>
          </w:p>
        </w:tc>
      </w:tr>
      <w:tr w14:paraId="68736AF3">
        <w:tblPrEx>
          <w:tblCellMar>
            <w:top w:w="0" w:type="dxa"/>
            <w:left w:w="108" w:type="dxa"/>
            <w:bottom w:w="0" w:type="dxa"/>
            <w:right w:w="108" w:type="dxa"/>
          </w:tblCellMar>
        </w:tblPrEx>
        <w:trPr>
          <w:trHeight w:val="397" w:hRule="atLeast"/>
        </w:trPr>
        <w:tc>
          <w:tcPr>
            <w:tcW w:w="1375" w:type="dxa"/>
            <w:vAlign w:val="center"/>
          </w:tcPr>
          <w:p w14:paraId="7044FE09">
            <w:pPr>
              <w:jc w:val="center"/>
              <w:rPr>
                <w:rFonts w:ascii="Times New Roman"/>
                <w:sz w:val="21"/>
                <w:szCs w:val="21"/>
              </w:rPr>
            </w:pPr>
            <w:r>
              <w:rPr>
                <w:rFonts w:ascii="Times New Roman"/>
                <w:sz w:val="21"/>
                <w:szCs w:val="21"/>
              </w:rPr>
              <w:t>600.0</w:t>
            </w:r>
          </w:p>
        </w:tc>
        <w:tc>
          <w:tcPr>
            <w:tcW w:w="1315" w:type="dxa"/>
            <w:vAlign w:val="center"/>
          </w:tcPr>
          <w:p w14:paraId="3A4C6399">
            <w:pPr>
              <w:jc w:val="center"/>
              <w:rPr>
                <w:rFonts w:ascii="Times New Roman"/>
                <w:sz w:val="21"/>
                <w:szCs w:val="21"/>
              </w:rPr>
            </w:pPr>
            <w:r>
              <w:rPr>
                <w:rFonts w:hint="eastAsia" w:ascii="Times New Roman"/>
                <w:sz w:val="21"/>
                <w:szCs w:val="21"/>
              </w:rPr>
              <w:t>0.1424</w:t>
            </w:r>
          </w:p>
        </w:tc>
        <w:tc>
          <w:tcPr>
            <w:tcW w:w="1117" w:type="dxa"/>
            <w:gridSpan w:val="2"/>
            <w:vAlign w:val="center"/>
          </w:tcPr>
          <w:p w14:paraId="5205F7EE">
            <w:pPr>
              <w:jc w:val="center"/>
              <w:rPr>
                <w:rFonts w:ascii="Times New Roman"/>
                <w:sz w:val="21"/>
                <w:szCs w:val="21"/>
              </w:rPr>
            </w:pPr>
            <w:r>
              <w:rPr>
                <w:rFonts w:hint="eastAsia" w:ascii="Times New Roman"/>
                <w:sz w:val="21"/>
                <w:szCs w:val="21"/>
              </w:rPr>
              <w:t xml:space="preserve">0.04 </w:t>
            </w:r>
          </w:p>
        </w:tc>
        <w:tc>
          <w:tcPr>
            <w:tcW w:w="1315" w:type="dxa"/>
            <w:vAlign w:val="center"/>
          </w:tcPr>
          <w:p w14:paraId="60DA735B">
            <w:pPr>
              <w:jc w:val="center"/>
              <w:rPr>
                <w:rFonts w:ascii="Times New Roman"/>
                <w:sz w:val="21"/>
                <w:szCs w:val="21"/>
              </w:rPr>
            </w:pPr>
            <w:r>
              <w:rPr>
                <w:rFonts w:hint="eastAsia" w:ascii="Times New Roman"/>
                <w:sz w:val="21"/>
                <w:szCs w:val="21"/>
              </w:rPr>
              <w:t>0.1096</w:t>
            </w:r>
          </w:p>
        </w:tc>
        <w:tc>
          <w:tcPr>
            <w:tcW w:w="1198" w:type="dxa"/>
            <w:gridSpan w:val="2"/>
            <w:vAlign w:val="center"/>
          </w:tcPr>
          <w:p w14:paraId="1EADC3FB">
            <w:pPr>
              <w:jc w:val="center"/>
              <w:rPr>
                <w:rFonts w:ascii="Times New Roman"/>
                <w:sz w:val="21"/>
                <w:szCs w:val="21"/>
              </w:rPr>
            </w:pPr>
            <w:r>
              <w:rPr>
                <w:rFonts w:hint="eastAsia" w:ascii="Times New Roman"/>
                <w:sz w:val="21"/>
                <w:szCs w:val="21"/>
              </w:rPr>
              <w:t xml:space="preserve">0.01 </w:t>
            </w:r>
          </w:p>
        </w:tc>
        <w:tc>
          <w:tcPr>
            <w:tcW w:w="1169" w:type="dxa"/>
            <w:vAlign w:val="center"/>
          </w:tcPr>
          <w:p w14:paraId="1AF0CDBD">
            <w:pPr>
              <w:jc w:val="center"/>
              <w:rPr>
                <w:rFonts w:ascii="Times New Roman"/>
                <w:sz w:val="21"/>
                <w:szCs w:val="21"/>
              </w:rPr>
            </w:pPr>
            <w:r>
              <w:rPr>
                <w:rFonts w:hint="eastAsia" w:ascii="Times New Roman"/>
                <w:sz w:val="21"/>
                <w:szCs w:val="21"/>
              </w:rPr>
              <w:t>0.0219</w:t>
            </w:r>
          </w:p>
        </w:tc>
        <w:tc>
          <w:tcPr>
            <w:tcW w:w="1050" w:type="dxa"/>
            <w:vAlign w:val="center"/>
          </w:tcPr>
          <w:p w14:paraId="154E1AB7">
            <w:pPr>
              <w:jc w:val="center"/>
              <w:rPr>
                <w:rFonts w:ascii="Times New Roman"/>
                <w:sz w:val="21"/>
                <w:szCs w:val="21"/>
              </w:rPr>
            </w:pPr>
            <w:r>
              <w:rPr>
                <w:rFonts w:hint="eastAsia" w:ascii="Times New Roman"/>
                <w:sz w:val="21"/>
                <w:szCs w:val="21"/>
              </w:rPr>
              <w:t xml:space="preserve">0.00 </w:t>
            </w:r>
          </w:p>
        </w:tc>
      </w:tr>
      <w:tr w14:paraId="3F3552F0">
        <w:tblPrEx>
          <w:tblCellMar>
            <w:top w:w="0" w:type="dxa"/>
            <w:left w:w="108" w:type="dxa"/>
            <w:bottom w:w="0" w:type="dxa"/>
            <w:right w:w="108" w:type="dxa"/>
          </w:tblCellMar>
        </w:tblPrEx>
        <w:trPr>
          <w:trHeight w:val="397" w:hRule="atLeast"/>
        </w:trPr>
        <w:tc>
          <w:tcPr>
            <w:tcW w:w="1375" w:type="dxa"/>
            <w:vAlign w:val="center"/>
          </w:tcPr>
          <w:p w14:paraId="46C3436C">
            <w:pPr>
              <w:jc w:val="center"/>
              <w:rPr>
                <w:rFonts w:ascii="Times New Roman"/>
                <w:sz w:val="21"/>
                <w:szCs w:val="21"/>
              </w:rPr>
            </w:pPr>
            <w:r>
              <w:rPr>
                <w:rFonts w:ascii="Times New Roman"/>
                <w:sz w:val="21"/>
                <w:szCs w:val="21"/>
              </w:rPr>
              <w:t>700.0</w:t>
            </w:r>
          </w:p>
        </w:tc>
        <w:tc>
          <w:tcPr>
            <w:tcW w:w="1315" w:type="dxa"/>
            <w:vAlign w:val="center"/>
          </w:tcPr>
          <w:p w14:paraId="1FFE7B6A">
            <w:pPr>
              <w:jc w:val="center"/>
              <w:rPr>
                <w:rFonts w:ascii="Times New Roman"/>
                <w:sz w:val="21"/>
                <w:szCs w:val="21"/>
              </w:rPr>
            </w:pPr>
            <w:r>
              <w:rPr>
                <w:rFonts w:hint="eastAsia" w:ascii="Times New Roman"/>
                <w:sz w:val="21"/>
                <w:szCs w:val="21"/>
              </w:rPr>
              <w:t>0.125</w:t>
            </w:r>
          </w:p>
        </w:tc>
        <w:tc>
          <w:tcPr>
            <w:tcW w:w="1117" w:type="dxa"/>
            <w:gridSpan w:val="2"/>
            <w:vAlign w:val="center"/>
          </w:tcPr>
          <w:p w14:paraId="37D565C6">
            <w:pPr>
              <w:jc w:val="center"/>
              <w:rPr>
                <w:rFonts w:ascii="Times New Roman"/>
                <w:sz w:val="21"/>
                <w:szCs w:val="21"/>
              </w:rPr>
            </w:pPr>
            <w:r>
              <w:rPr>
                <w:rFonts w:hint="eastAsia" w:ascii="Times New Roman"/>
                <w:sz w:val="21"/>
                <w:szCs w:val="21"/>
              </w:rPr>
              <w:t xml:space="preserve">0.03 </w:t>
            </w:r>
          </w:p>
        </w:tc>
        <w:tc>
          <w:tcPr>
            <w:tcW w:w="1315" w:type="dxa"/>
            <w:vAlign w:val="center"/>
          </w:tcPr>
          <w:p w14:paraId="1D302A11">
            <w:pPr>
              <w:jc w:val="center"/>
              <w:rPr>
                <w:rFonts w:ascii="Times New Roman"/>
                <w:sz w:val="21"/>
                <w:szCs w:val="21"/>
              </w:rPr>
            </w:pPr>
            <w:r>
              <w:rPr>
                <w:rFonts w:hint="eastAsia" w:ascii="Times New Roman"/>
                <w:sz w:val="21"/>
                <w:szCs w:val="21"/>
              </w:rPr>
              <w:t>0.0962</w:t>
            </w:r>
          </w:p>
        </w:tc>
        <w:tc>
          <w:tcPr>
            <w:tcW w:w="1198" w:type="dxa"/>
            <w:gridSpan w:val="2"/>
            <w:vAlign w:val="center"/>
          </w:tcPr>
          <w:p w14:paraId="4E5FA548">
            <w:pPr>
              <w:jc w:val="center"/>
              <w:rPr>
                <w:rFonts w:ascii="Times New Roman"/>
                <w:sz w:val="21"/>
                <w:szCs w:val="21"/>
              </w:rPr>
            </w:pPr>
            <w:r>
              <w:rPr>
                <w:rFonts w:hint="eastAsia" w:ascii="Times New Roman"/>
                <w:sz w:val="21"/>
                <w:szCs w:val="21"/>
              </w:rPr>
              <w:t xml:space="preserve">0.01 </w:t>
            </w:r>
          </w:p>
        </w:tc>
        <w:tc>
          <w:tcPr>
            <w:tcW w:w="1169" w:type="dxa"/>
            <w:vAlign w:val="center"/>
          </w:tcPr>
          <w:p w14:paraId="6BA5CF2C">
            <w:pPr>
              <w:jc w:val="center"/>
              <w:rPr>
                <w:rFonts w:ascii="Times New Roman"/>
                <w:sz w:val="21"/>
                <w:szCs w:val="21"/>
              </w:rPr>
            </w:pPr>
            <w:r>
              <w:rPr>
                <w:rFonts w:hint="eastAsia" w:ascii="Times New Roman"/>
                <w:sz w:val="21"/>
                <w:szCs w:val="21"/>
              </w:rPr>
              <w:t>0.0192</w:t>
            </w:r>
          </w:p>
        </w:tc>
        <w:tc>
          <w:tcPr>
            <w:tcW w:w="1050" w:type="dxa"/>
            <w:vAlign w:val="center"/>
          </w:tcPr>
          <w:p w14:paraId="30B6721B">
            <w:pPr>
              <w:jc w:val="center"/>
              <w:rPr>
                <w:rFonts w:ascii="Times New Roman"/>
                <w:sz w:val="21"/>
                <w:szCs w:val="21"/>
              </w:rPr>
            </w:pPr>
            <w:r>
              <w:rPr>
                <w:rFonts w:hint="eastAsia" w:ascii="Times New Roman"/>
                <w:sz w:val="21"/>
                <w:szCs w:val="21"/>
              </w:rPr>
              <w:t xml:space="preserve">0.00 </w:t>
            </w:r>
          </w:p>
        </w:tc>
      </w:tr>
      <w:tr w14:paraId="4FC71142">
        <w:tblPrEx>
          <w:tblCellMar>
            <w:top w:w="0" w:type="dxa"/>
            <w:left w:w="108" w:type="dxa"/>
            <w:bottom w:w="0" w:type="dxa"/>
            <w:right w:w="108" w:type="dxa"/>
          </w:tblCellMar>
        </w:tblPrEx>
        <w:trPr>
          <w:trHeight w:val="397" w:hRule="atLeast"/>
        </w:trPr>
        <w:tc>
          <w:tcPr>
            <w:tcW w:w="1375" w:type="dxa"/>
            <w:vAlign w:val="center"/>
          </w:tcPr>
          <w:p w14:paraId="046322ED">
            <w:pPr>
              <w:jc w:val="center"/>
              <w:rPr>
                <w:rFonts w:ascii="Times New Roman"/>
                <w:sz w:val="21"/>
                <w:szCs w:val="21"/>
              </w:rPr>
            </w:pPr>
            <w:r>
              <w:rPr>
                <w:rFonts w:ascii="Times New Roman"/>
                <w:sz w:val="21"/>
                <w:szCs w:val="21"/>
              </w:rPr>
              <w:t>800.0</w:t>
            </w:r>
          </w:p>
        </w:tc>
        <w:tc>
          <w:tcPr>
            <w:tcW w:w="1315" w:type="dxa"/>
            <w:vAlign w:val="center"/>
          </w:tcPr>
          <w:p w14:paraId="6E8B1BF4">
            <w:pPr>
              <w:jc w:val="center"/>
              <w:rPr>
                <w:rFonts w:ascii="Times New Roman"/>
                <w:sz w:val="21"/>
                <w:szCs w:val="21"/>
              </w:rPr>
            </w:pPr>
            <w:r>
              <w:rPr>
                <w:rFonts w:hint="eastAsia" w:ascii="Times New Roman"/>
                <w:sz w:val="21"/>
                <w:szCs w:val="21"/>
              </w:rPr>
              <w:t>0.1104</w:t>
            </w:r>
          </w:p>
        </w:tc>
        <w:tc>
          <w:tcPr>
            <w:tcW w:w="1117" w:type="dxa"/>
            <w:gridSpan w:val="2"/>
            <w:vAlign w:val="center"/>
          </w:tcPr>
          <w:p w14:paraId="5BA42DF4">
            <w:pPr>
              <w:jc w:val="center"/>
              <w:rPr>
                <w:rFonts w:ascii="Times New Roman"/>
                <w:sz w:val="21"/>
                <w:szCs w:val="21"/>
              </w:rPr>
            </w:pPr>
            <w:r>
              <w:rPr>
                <w:rFonts w:hint="eastAsia" w:ascii="Times New Roman"/>
                <w:sz w:val="21"/>
                <w:szCs w:val="21"/>
              </w:rPr>
              <w:t xml:space="preserve">0.03 </w:t>
            </w:r>
          </w:p>
        </w:tc>
        <w:tc>
          <w:tcPr>
            <w:tcW w:w="1315" w:type="dxa"/>
            <w:vAlign w:val="center"/>
          </w:tcPr>
          <w:p w14:paraId="320183C0">
            <w:pPr>
              <w:jc w:val="center"/>
              <w:rPr>
                <w:rFonts w:ascii="Times New Roman"/>
                <w:sz w:val="21"/>
                <w:szCs w:val="21"/>
              </w:rPr>
            </w:pPr>
            <w:r>
              <w:rPr>
                <w:rFonts w:hint="eastAsia" w:ascii="Times New Roman"/>
                <w:sz w:val="21"/>
                <w:szCs w:val="21"/>
              </w:rPr>
              <w:t>0.0849</w:t>
            </w:r>
          </w:p>
        </w:tc>
        <w:tc>
          <w:tcPr>
            <w:tcW w:w="1198" w:type="dxa"/>
            <w:gridSpan w:val="2"/>
            <w:vAlign w:val="center"/>
          </w:tcPr>
          <w:p w14:paraId="4E45143F">
            <w:pPr>
              <w:jc w:val="center"/>
              <w:rPr>
                <w:rFonts w:ascii="Times New Roman"/>
                <w:sz w:val="21"/>
                <w:szCs w:val="21"/>
              </w:rPr>
            </w:pPr>
            <w:r>
              <w:rPr>
                <w:rFonts w:hint="eastAsia" w:ascii="Times New Roman"/>
                <w:sz w:val="21"/>
                <w:szCs w:val="21"/>
              </w:rPr>
              <w:t xml:space="preserve">0.00 </w:t>
            </w:r>
          </w:p>
        </w:tc>
        <w:tc>
          <w:tcPr>
            <w:tcW w:w="1169" w:type="dxa"/>
            <w:vAlign w:val="center"/>
          </w:tcPr>
          <w:p w14:paraId="7C806D45">
            <w:pPr>
              <w:jc w:val="center"/>
              <w:rPr>
                <w:rFonts w:ascii="Times New Roman"/>
                <w:sz w:val="21"/>
                <w:szCs w:val="21"/>
              </w:rPr>
            </w:pPr>
            <w:r>
              <w:rPr>
                <w:rFonts w:hint="eastAsia" w:ascii="Times New Roman"/>
                <w:sz w:val="21"/>
                <w:szCs w:val="21"/>
              </w:rPr>
              <w:t>0.017</w:t>
            </w:r>
          </w:p>
        </w:tc>
        <w:tc>
          <w:tcPr>
            <w:tcW w:w="1050" w:type="dxa"/>
            <w:vAlign w:val="center"/>
          </w:tcPr>
          <w:p w14:paraId="6080AF23">
            <w:pPr>
              <w:jc w:val="center"/>
              <w:rPr>
                <w:rFonts w:ascii="Times New Roman"/>
                <w:sz w:val="21"/>
                <w:szCs w:val="21"/>
              </w:rPr>
            </w:pPr>
            <w:r>
              <w:rPr>
                <w:rFonts w:hint="eastAsia" w:ascii="Times New Roman"/>
                <w:sz w:val="21"/>
                <w:szCs w:val="21"/>
              </w:rPr>
              <w:t xml:space="preserve">0.00 </w:t>
            </w:r>
          </w:p>
        </w:tc>
      </w:tr>
      <w:tr w14:paraId="73DEBD15">
        <w:tblPrEx>
          <w:tblCellMar>
            <w:top w:w="0" w:type="dxa"/>
            <w:left w:w="108" w:type="dxa"/>
            <w:bottom w:w="0" w:type="dxa"/>
            <w:right w:w="108" w:type="dxa"/>
          </w:tblCellMar>
        </w:tblPrEx>
        <w:trPr>
          <w:trHeight w:val="397" w:hRule="atLeast"/>
        </w:trPr>
        <w:tc>
          <w:tcPr>
            <w:tcW w:w="1375" w:type="dxa"/>
            <w:vAlign w:val="center"/>
          </w:tcPr>
          <w:p w14:paraId="12DA84C5">
            <w:pPr>
              <w:jc w:val="center"/>
              <w:rPr>
                <w:rFonts w:ascii="Times New Roman"/>
                <w:sz w:val="21"/>
                <w:szCs w:val="21"/>
              </w:rPr>
            </w:pPr>
            <w:r>
              <w:rPr>
                <w:rFonts w:ascii="Times New Roman"/>
                <w:sz w:val="21"/>
                <w:szCs w:val="21"/>
              </w:rPr>
              <w:t>900.0</w:t>
            </w:r>
          </w:p>
        </w:tc>
        <w:tc>
          <w:tcPr>
            <w:tcW w:w="1315" w:type="dxa"/>
            <w:vAlign w:val="center"/>
          </w:tcPr>
          <w:p w14:paraId="6662AEAE">
            <w:pPr>
              <w:jc w:val="center"/>
              <w:rPr>
                <w:rFonts w:ascii="Times New Roman"/>
                <w:sz w:val="21"/>
                <w:szCs w:val="21"/>
              </w:rPr>
            </w:pPr>
            <w:r>
              <w:rPr>
                <w:rFonts w:hint="eastAsia" w:ascii="Times New Roman"/>
                <w:sz w:val="21"/>
                <w:szCs w:val="21"/>
              </w:rPr>
              <w:t>0.0982</w:t>
            </w:r>
          </w:p>
        </w:tc>
        <w:tc>
          <w:tcPr>
            <w:tcW w:w="1117" w:type="dxa"/>
            <w:gridSpan w:val="2"/>
            <w:vAlign w:val="center"/>
          </w:tcPr>
          <w:p w14:paraId="4A6C821B">
            <w:pPr>
              <w:jc w:val="center"/>
              <w:rPr>
                <w:rFonts w:ascii="Times New Roman"/>
                <w:sz w:val="21"/>
                <w:szCs w:val="21"/>
              </w:rPr>
            </w:pPr>
            <w:r>
              <w:rPr>
                <w:rFonts w:hint="eastAsia" w:ascii="Times New Roman"/>
                <w:sz w:val="21"/>
                <w:szCs w:val="21"/>
              </w:rPr>
              <w:t xml:space="preserve">0.02 </w:t>
            </w:r>
          </w:p>
        </w:tc>
        <w:tc>
          <w:tcPr>
            <w:tcW w:w="1315" w:type="dxa"/>
            <w:vAlign w:val="center"/>
          </w:tcPr>
          <w:p w14:paraId="5F43A215">
            <w:pPr>
              <w:jc w:val="center"/>
              <w:rPr>
                <w:rFonts w:ascii="Times New Roman"/>
                <w:sz w:val="21"/>
                <w:szCs w:val="21"/>
              </w:rPr>
            </w:pPr>
            <w:r>
              <w:rPr>
                <w:rFonts w:hint="eastAsia" w:ascii="Times New Roman"/>
                <w:sz w:val="21"/>
                <w:szCs w:val="21"/>
              </w:rPr>
              <w:t>0.0755</w:t>
            </w:r>
          </w:p>
        </w:tc>
        <w:tc>
          <w:tcPr>
            <w:tcW w:w="1198" w:type="dxa"/>
            <w:gridSpan w:val="2"/>
            <w:vAlign w:val="center"/>
          </w:tcPr>
          <w:p w14:paraId="25BC1754">
            <w:pPr>
              <w:jc w:val="center"/>
              <w:rPr>
                <w:rFonts w:ascii="Times New Roman"/>
                <w:sz w:val="21"/>
                <w:szCs w:val="21"/>
              </w:rPr>
            </w:pPr>
            <w:r>
              <w:rPr>
                <w:rFonts w:hint="eastAsia" w:ascii="Times New Roman"/>
                <w:sz w:val="21"/>
                <w:szCs w:val="21"/>
              </w:rPr>
              <w:t xml:space="preserve">0.00 </w:t>
            </w:r>
          </w:p>
        </w:tc>
        <w:tc>
          <w:tcPr>
            <w:tcW w:w="1169" w:type="dxa"/>
            <w:vAlign w:val="center"/>
          </w:tcPr>
          <w:p w14:paraId="1F6FE772">
            <w:pPr>
              <w:jc w:val="center"/>
              <w:rPr>
                <w:rFonts w:ascii="Times New Roman"/>
                <w:sz w:val="21"/>
                <w:szCs w:val="21"/>
              </w:rPr>
            </w:pPr>
            <w:r>
              <w:rPr>
                <w:rFonts w:hint="eastAsia" w:ascii="Times New Roman"/>
                <w:sz w:val="21"/>
                <w:szCs w:val="21"/>
              </w:rPr>
              <w:t>0.0151</w:t>
            </w:r>
          </w:p>
        </w:tc>
        <w:tc>
          <w:tcPr>
            <w:tcW w:w="1050" w:type="dxa"/>
            <w:vAlign w:val="center"/>
          </w:tcPr>
          <w:p w14:paraId="5026AEC9">
            <w:pPr>
              <w:jc w:val="center"/>
              <w:rPr>
                <w:rFonts w:ascii="Times New Roman"/>
                <w:sz w:val="21"/>
                <w:szCs w:val="21"/>
              </w:rPr>
            </w:pPr>
            <w:r>
              <w:rPr>
                <w:rFonts w:hint="eastAsia" w:ascii="Times New Roman"/>
                <w:sz w:val="21"/>
                <w:szCs w:val="21"/>
              </w:rPr>
              <w:t xml:space="preserve">0.00 </w:t>
            </w:r>
          </w:p>
        </w:tc>
      </w:tr>
      <w:tr w14:paraId="3746276D">
        <w:tblPrEx>
          <w:tblCellMar>
            <w:top w:w="0" w:type="dxa"/>
            <w:left w:w="108" w:type="dxa"/>
            <w:bottom w:w="0" w:type="dxa"/>
            <w:right w:w="108" w:type="dxa"/>
          </w:tblCellMar>
        </w:tblPrEx>
        <w:trPr>
          <w:trHeight w:val="397" w:hRule="atLeast"/>
        </w:trPr>
        <w:tc>
          <w:tcPr>
            <w:tcW w:w="1375" w:type="dxa"/>
            <w:vAlign w:val="center"/>
          </w:tcPr>
          <w:p w14:paraId="46551FE0">
            <w:pPr>
              <w:jc w:val="center"/>
              <w:rPr>
                <w:rFonts w:ascii="Times New Roman"/>
                <w:sz w:val="21"/>
                <w:szCs w:val="21"/>
              </w:rPr>
            </w:pPr>
            <w:r>
              <w:rPr>
                <w:rFonts w:ascii="Times New Roman"/>
                <w:sz w:val="21"/>
                <w:szCs w:val="21"/>
              </w:rPr>
              <w:t>1000.0</w:t>
            </w:r>
          </w:p>
        </w:tc>
        <w:tc>
          <w:tcPr>
            <w:tcW w:w="1315" w:type="dxa"/>
            <w:vAlign w:val="center"/>
          </w:tcPr>
          <w:p w14:paraId="52ED5D25">
            <w:pPr>
              <w:jc w:val="center"/>
              <w:rPr>
                <w:rFonts w:ascii="Times New Roman"/>
                <w:sz w:val="21"/>
                <w:szCs w:val="21"/>
              </w:rPr>
            </w:pPr>
            <w:r>
              <w:rPr>
                <w:rFonts w:hint="eastAsia" w:ascii="Times New Roman"/>
                <w:sz w:val="21"/>
                <w:szCs w:val="21"/>
              </w:rPr>
              <w:t>0.0879</w:t>
            </w:r>
          </w:p>
        </w:tc>
        <w:tc>
          <w:tcPr>
            <w:tcW w:w="1117" w:type="dxa"/>
            <w:gridSpan w:val="2"/>
            <w:vAlign w:val="center"/>
          </w:tcPr>
          <w:p w14:paraId="558872B0">
            <w:pPr>
              <w:jc w:val="center"/>
              <w:rPr>
                <w:rFonts w:ascii="Times New Roman"/>
                <w:sz w:val="21"/>
                <w:szCs w:val="21"/>
              </w:rPr>
            </w:pPr>
            <w:r>
              <w:rPr>
                <w:rFonts w:hint="eastAsia" w:ascii="Times New Roman"/>
                <w:sz w:val="21"/>
                <w:szCs w:val="21"/>
              </w:rPr>
              <w:t xml:space="preserve">0.02 </w:t>
            </w:r>
          </w:p>
        </w:tc>
        <w:tc>
          <w:tcPr>
            <w:tcW w:w="1315" w:type="dxa"/>
            <w:vAlign w:val="center"/>
          </w:tcPr>
          <w:p w14:paraId="0ABC449B">
            <w:pPr>
              <w:jc w:val="center"/>
              <w:rPr>
                <w:rFonts w:ascii="Times New Roman"/>
                <w:sz w:val="21"/>
                <w:szCs w:val="21"/>
              </w:rPr>
            </w:pPr>
            <w:r>
              <w:rPr>
                <w:rFonts w:hint="eastAsia" w:ascii="Times New Roman"/>
                <w:sz w:val="21"/>
                <w:szCs w:val="21"/>
              </w:rPr>
              <w:t>0.0676</w:t>
            </w:r>
          </w:p>
        </w:tc>
        <w:tc>
          <w:tcPr>
            <w:tcW w:w="1198" w:type="dxa"/>
            <w:gridSpan w:val="2"/>
            <w:vAlign w:val="center"/>
          </w:tcPr>
          <w:p w14:paraId="11F4723E">
            <w:pPr>
              <w:jc w:val="center"/>
              <w:rPr>
                <w:rFonts w:ascii="Times New Roman"/>
                <w:sz w:val="21"/>
                <w:szCs w:val="21"/>
              </w:rPr>
            </w:pPr>
            <w:r>
              <w:rPr>
                <w:rFonts w:hint="eastAsia" w:ascii="Times New Roman"/>
                <w:sz w:val="21"/>
                <w:szCs w:val="21"/>
              </w:rPr>
              <w:t xml:space="preserve">0.00 </w:t>
            </w:r>
          </w:p>
        </w:tc>
        <w:tc>
          <w:tcPr>
            <w:tcW w:w="1169" w:type="dxa"/>
            <w:vAlign w:val="center"/>
          </w:tcPr>
          <w:p w14:paraId="5043A490">
            <w:pPr>
              <w:jc w:val="center"/>
              <w:rPr>
                <w:rFonts w:ascii="Times New Roman"/>
                <w:sz w:val="21"/>
                <w:szCs w:val="21"/>
              </w:rPr>
            </w:pPr>
            <w:r>
              <w:rPr>
                <w:rFonts w:hint="eastAsia" w:ascii="Times New Roman"/>
                <w:sz w:val="21"/>
                <w:szCs w:val="21"/>
              </w:rPr>
              <w:t>0.0135</w:t>
            </w:r>
          </w:p>
        </w:tc>
        <w:tc>
          <w:tcPr>
            <w:tcW w:w="1050" w:type="dxa"/>
            <w:vAlign w:val="center"/>
          </w:tcPr>
          <w:p w14:paraId="5D93A7FE">
            <w:pPr>
              <w:jc w:val="center"/>
              <w:rPr>
                <w:rFonts w:ascii="Times New Roman"/>
                <w:sz w:val="21"/>
                <w:szCs w:val="21"/>
              </w:rPr>
            </w:pPr>
            <w:r>
              <w:rPr>
                <w:rFonts w:hint="eastAsia" w:ascii="Times New Roman"/>
                <w:sz w:val="21"/>
                <w:szCs w:val="21"/>
              </w:rPr>
              <w:t xml:space="preserve">0.00 </w:t>
            </w:r>
          </w:p>
        </w:tc>
      </w:tr>
      <w:tr w14:paraId="0DE642AF">
        <w:tblPrEx>
          <w:tblCellMar>
            <w:top w:w="0" w:type="dxa"/>
            <w:left w:w="108" w:type="dxa"/>
            <w:bottom w:w="0" w:type="dxa"/>
            <w:right w:w="108" w:type="dxa"/>
          </w:tblCellMar>
        </w:tblPrEx>
        <w:trPr>
          <w:trHeight w:val="397" w:hRule="atLeast"/>
        </w:trPr>
        <w:tc>
          <w:tcPr>
            <w:tcW w:w="1375" w:type="dxa"/>
            <w:vAlign w:val="center"/>
          </w:tcPr>
          <w:p w14:paraId="0705EDE6">
            <w:pPr>
              <w:jc w:val="center"/>
              <w:rPr>
                <w:rFonts w:ascii="Times New Roman"/>
                <w:sz w:val="21"/>
                <w:szCs w:val="21"/>
              </w:rPr>
            </w:pPr>
            <w:r>
              <w:rPr>
                <w:rFonts w:ascii="Times New Roman"/>
                <w:sz w:val="21"/>
                <w:szCs w:val="21"/>
              </w:rPr>
              <w:t>1200.0</w:t>
            </w:r>
          </w:p>
        </w:tc>
        <w:tc>
          <w:tcPr>
            <w:tcW w:w="1315" w:type="dxa"/>
            <w:vAlign w:val="center"/>
          </w:tcPr>
          <w:p w14:paraId="2E63B76F">
            <w:pPr>
              <w:jc w:val="center"/>
              <w:rPr>
                <w:rFonts w:ascii="Times New Roman"/>
                <w:sz w:val="21"/>
                <w:szCs w:val="21"/>
              </w:rPr>
            </w:pPr>
            <w:r>
              <w:rPr>
                <w:rFonts w:hint="eastAsia" w:ascii="Times New Roman"/>
                <w:sz w:val="21"/>
                <w:szCs w:val="21"/>
              </w:rPr>
              <w:t>0.072</w:t>
            </w:r>
          </w:p>
        </w:tc>
        <w:tc>
          <w:tcPr>
            <w:tcW w:w="1117" w:type="dxa"/>
            <w:gridSpan w:val="2"/>
            <w:vAlign w:val="center"/>
          </w:tcPr>
          <w:p w14:paraId="78F73609">
            <w:pPr>
              <w:jc w:val="center"/>
              <w:rPr>
                <w:rFonts w:ascii="Times New Roman"/>
                <w:sz w:val="21"/>
                <w:szCs w:val="21"/>
              </w:rPr>
            </w:pPr>
            <w:r>
              <w:rPr>
                <w:rFonts w:hint="eastAsia" w:ascii="Times New Roman"/>
                <w:sz w:val="21"/>
                <w:szCs w:val="21"/>
              </w:rPr>
              <w:t xml:space="preserve">0.02 </w:t>
            </w:r>
          </w:p>
        </w:tc>
        <w:tc>
          <w:tcPr>
            <w:tcW w:w="1315" w:type="dxa"/>
            <w:vAlign w:val="center"/>
          </w:tcPr>
          <w:p w14:paraId="2C1FE8D2">
            <w:pPr>
              <w:jc w:val="center"/>
              <w:rPr>
                <w:rFonts w:ascii="Times New Roman"/>
                <w:sz w:val="21"/>
                <w:szCs w:val="21"/>
              </w:rPr>
            </w:pPr>
            <w:r>
              <w:rPr>
                <w:rFonts w:hint="eastAsia" w:ascii="Times New Roman"/>
                <w:sz w:val="21"/>
                <w:szCs w:val="21"/>
              </w:rPr>
              <w:t>0.0554</w:t>
            </w:r>
          </w:p>
        </w:tc>
        <w:tc>
          <w:tcPr>
            <w:tcW w:w="1198" w:type="dxa"/>
            <w:gridSpan w:val="2"/>
            <w:vAlign w:val="center"/>
          </w:tcPr>
          <w:p w14:paraId="1D126B9C">
            <w:pPr>
              <w:jc w:val="center"/>
              <w:rPr>
                <w:rFonts w:ascii="Times New Roman"/>
                <w:sz w:val="21"/>
                <w:szCs w:val="21"/>
              </w:rPr>
            </w:pPr>
            <w:r>
              <w:rPr>
                <w:rFonts w:hint="eastAsia" w:ascii="Times New Roman"/>
                <w:sz w:val="21"/>
                <w:szCs w:val="21"/>
              </w:rPr>
              <w:t xml:space="preserve">0.00 </w:t>
            </w:r>
          </w:p>
        </w:tc>
        <w:tc>
          <w:tcPr>
            <w:tcW w:w="1169" w:type="dxa"/>
            <w:vAlign w:val="center"/>
          </w:tcPr>
          <w:p w14:paraId="7A581823">
            <w:pPr>
              <w:jc w:val="center"/>
              <w:rPr>
                <w:rFonts w:ascii="Times New Roman"/>
                <w:sz w:val="21"/>
                <w:szCs w:val="21"/>
              </w:rPr>
            </w:pPr>
            <w:r>
              <w:rPr>
                <w:rFonts w:hint="eastAsia" w:ascii="Times New Roman"/>
                <w:sz w:val="21"/>
                <w:szCs w:val="21"/>
              </w:rPr>
              <w:t>0.0111</w:t>
            </w:r>
          </w:p>
        </w:tc>
        <w:tc>
          <w:tcPr>
            <w:tcW w:w="1050" w:type="dxa"/>
            <w:vAlign w:val="center"/>
          </w:tcPr>
          <w:p w14:paraId="5CAD5B8A">
            <w:pPr>
              <w:jc w:val="center"/>
              <w:rPr>
                <w:rFonts w:ascii="Times New Roman"/>
                <w:sz w:val="21"/>
                <w:szCs w:val="21"/>
              </w:rPr>
            </w:pPr>
            <w:r>
              <w:rPr>
                <w:rFonts w:hint="eastAsia" w:ascii="Times New Roman"/>
                <w:sz w:val="21"/>
                <w:szCs w:val="21"/>
              </w:rPr>
              <w:t xml:space="preserve">0.00 </w:t>
            </w:r>
          </w:p>
        </w:tc>
      </w:tr>
      <w:tr w14:paraId="678D96B7">
        <w:tblPrEx>
          <w:tblCellMar>
            <w:top w:w="0" w:type="dxa"/>
            <w:left w:w="108" w:type="dxa"/>
            <w:bottom w:w="0" w:type="dxa"/>
            <w:right w:w="108" w:type="dxa"/>
          </w:tblCellMar>
        </w:tblPrEx>
        <w:trPr>
          <w:trHeight w:val="397" w:hRule="atLeast"/>
        </w:trPr>
        <w:tc>
          <w:tcPr>
            <w:tcW w:w="1375" w:type="dxa"/>
            <w:vAlign w:val="center"/>
          </w:tcPr>
          <w:p w14:paraId="2DD87686">
            <w:pPr>
              <w:jc w:val="center"/>
              <w:rPr>
                <w:rFonts w:ascii="Times New Roman"/>
                <w:sz w:val="21"/>
                <w:szCs w:val="21"/>
              </w:rPr>
            </w:pPr>
            <w:r>
              <w:rPr>
                <w:rFonts w:ascii="Times New Roman"/>
                <w:sz w:val="21"/>
                <w:szCs w:val="21"/>
              </w:rPr>
              <w:t>1400.0</w:t>
            </w:r>
          </w:p>
        </w:tc>
        <w:tc>
          <w:tcPr>
            <w:tcW w:w="1315" w:type="dxa"/>
            <w:vAlign w:val="center"/>
          </w:tcPr>
          <w:p w14:paraId="71C40A87">
            <w:pPr>
              <w:jc w:val="center"/>
              <w:rPr>
                <w:rFonts w:ascii="Times New Roman"/>
                <w:sz w:val="21"/>
                <w:szCs w:val="21"/>
              </w:rPr>
            </w:pPr>
            <w:r>
              <w:rPr>
                <w:rFonts w:hint="eastAsia" w:ascii="Times New Roman"/>
                <w:sz w:val="21"/>
                <w:szCs w:val="21"/>
              </w:rPr>
              <w:t>0.0613</w:t>
            </w:r>
          </w:p>
        </w:tc>
        <w:tc>
          <w:tcPr>
            <w:tcW w:w="1117" w:type="dxa"/>
            <w:gridSpan w:val="2"/>
            <w:vAlign w:val="center"/>
          </w:tcPr>
          <w:p w14:paraId="2EB43AE4">
            <w:pPr>
              <w:jc w:val="center"/>
              <w:rPr>
                <w:rFonts w:ascii="Times New Roman"/>
                <w:sz w:val="21"/>
                <w:szCs w:val="21"/>
              </w:rPr>
            </w:pPr>
            <w:r>
              <w:rPr>
                <w:rFonts w:hint="eastAsia" w:ascii="Times New Roman"/>
                <w:sz w:val="21"/>
                <w:szCs w:val="21"/>
              </w:rPr>
              <w:t xml:space="preserve">0.02 </w:t>
            </w:r>
          </w:p>
        </w:tc>
        <w:tc>
          <w:tcPr>
            <w:tcW w:w="1315" w:type="dxa"/>
            <w:vAlign w:val="center"/>
          </w:tcPr>
          <w:p w14:paraId="41C396C1">
            <w:pPr>
              <w:jc w:val="center"/>
              <w:rPr>
                <w:rFonts w:ascii="Times New Roman"/>
                <w:sz w:val="21"/>
                <w:szCs w:val="21"/>
              </w:rPr>
            </w:pPr>
            <w:r>
              <w:rPr>
                <w:rFonts w:hint="eastAsia" w:ascii="Times New Roman"/>
                <w:sz w:val="21"/>
                <w:szCs w:val="21"/>
              </w:rPr>
              <w:t>0.0471</w:t>
            </w:r>
          </w:p>
        </w:tc>
        <w:tc>
          <w:tcPr>
            <w:tcW w:w="1198" w:type="dxa"/>
            <w:gridSpan w:val="2"/>
            <w:vAlign w:val="center"/>
          </w:tcPr>
          <w:p w14:paraId="7EA008F7">
            <w:pPr>
              <w:jc w:val="center"/>
              <w:rPr>
                <w:rFonts w:ascii="Times New Roman"/>
                <w:sz w:val="21"/>
                <w:szCs w:val="21"/>
              </w:rPr>
            </w:pPr>
            <w:r>
              <w:rPr>
                <w:rFonts w:hint="eastAsia" w:ascii="Times New Roman"/>
                <w:sz w:val="21"/>
                <w:szCs w:val="21"/>
              </w:rPr>
              <w:t xml:space="preserve">0.00 </w:t>
            </w:r>
          </w:p>
        </w:tc>
        <w:tc>
          <w:tcPr>
            <w:tcW w:w="1169" w:type="dxa"/>
            <w:vAlign w:val="center"/>
          </w:tcPr>
          <w:p w14:paraId="7B7FE83A">
            <w:pPr>
              <w:jc w:val="center"/>
              <w:rPr>
                <w:rFonts w:ascii="Times New Roman"/>
                <w:sz w:val="21"/>
                <w:szCs w:val="21"/>
              </w:rPr>
            </w:pPr>
            <w:r>
              <w:rPr>
                <w:rFonts w:hint="eastAsia" w:ascii="Times New Roman"/>
                <w:sz w:val="21"/>
                <w:szCs w:val="21"/>
              </w:rPr>
              <w:t>0.0094</w:t>
            </w:r>
          </w:p>
        </w:tc>
        <w:tc>
          <w:tcPr>
            <w:tcW w:w="1050" w:type="dxa"/>
            <w:vAlign w:val="center"/>
          </w:tcPr>
          <w:p w14:paraId="2376896E">
            <w:pPr>
              <w:jc w:val="center"/>
              <w:rPr>
                <w:rFonts w:ascii="Times New Roman"/>
                <w:sz w:val="21"/>
                <w:szCs w:val="21"/>
              </w:rPr>
            </w:pPr>
            <w:r>
              <w:rPr>
                <w:rFonts w:hint="eastAsia" w:ascii="Times New Roman"/>
                <w:sz w:val="21"/>
                <w:szCs w:val="21"/>
              </w:rPr>
              <w:t xml:space="preserve">0.00 </w:t>
            </w:r>
          </w:p>
        </w:tc>
      </w:tr>
      <w:tr w14:paraId="3978CD8F">
        <w:tblPrEx>
          <w:tblCellMar>
            <w:top w:w="0" w:type="dxa"/>
            <w:left w:w="108" w:type="dxa"/>
            <w:bottom w:w="0" w:type="dxa"/>
            <w:right w:w="108" w:type="dxa"/>
          </w:tblCellMar>
        </w:tblPrEx>
        <w:trPr>
          <w:trHeight w:val="397" w:hRule="atLeast"/>
        </w:trPr>
        <w:tc>
          <w:tcPr>
            <w:tcW w:w="1375" w:type="dxa"/>
            <w:vAlign w:val="center"/>
          </w:tcPr>
          <w:p w14:paraId="22D643AC">
            <w:pPr>
              <w:jc w:val="center"/>
              <w:rPr>
                <w:rFonts w:ascii="Times New Roman"/>
                <w:sz w:val="21"/>
                <w:szCs w:val="21"/>
              </w:rPr>
            </w:pPr>
            <w:r>
              <w:rPr>
                <w:rFonts w:ascii="Times New Roman"/>
                <w:sz w:val="21"/>
                <w:szCs w:val="21"/>
              </w:rPr>
              <w:t>1600.0</w:t>
            </w:r>
          </w:p>
        </w:tc>
        <w:tc>
          <w:tcPr>
            <w:tcW w:w="1315" w:type="dxa"/>
            <w:vAlign w:val="center"/>
          </w:tcPr>
          <w:p w14:paraId="5F45AE57">
            <w:pPr>
              <w:jc w:val="center"/>
              <w:rPr>
                <w:rFonts w:ascii="Times New Roman"/>
                <w:sz w:val="21"/>
                <w:szCs w:val="21"/>
              </w:rPr>
            </w:pPr>
            <w:r>
              <w:rPr>
                <w:rFonts w:hint="eastAsia" w:ascii="Times New Roman"/>
                <w:sz w:val="21"/>
                <w:szCs w:val="21"/>
              </w:rPr>
              <w:t>0.0529</w:t>
            </w:r>
          </w:p>
        </w:tc>
        <w:tc>
          <w:tcPr>
            <w:tcW w:w="1117" w:type="dxa"/>
            <w:gridSpan w:val="2"/>
            <w:vAlign w:val="center"/>
          </w:tcPr>
          <w:p w14:paraId="069ED5FC">
            <w:pPr>
              <w:jc w:val="center"/>
              <w:rPr>
                <w:rFonts w:ascii="Times New Roman"/>
                <w:sz w:val="21"/>
                <w:szCs w:val="21"/>
              </w:rPr>
            </w:pPr>
            <w:r>
              <w:rPr>
                <w:rFonts w:hint="eastAsia" w:ascii="Times New Roman"/>
                <w:sz w:val="21"/>
                <w:szCs w:val="21"/>
              </w:rPr>
              <w:t xml:space="preserve">0.01 </w:t>
            </w:r>
          </w:p>
        </w:tc>
        <w:tc>
          <w:tcPr>
            <w:tcW w:w="1315" w:type="dxa"/>
            <w:vAlign w:val="center"/>
          </w:tcPr>
          <w:p w14:paraId="23C21FF6">
            <w:pPr>
              <w:jc w:val="center"/>
              <w:rPr>
                <w:rFonts w:ascii="Times New Roman"/>
                <w:sz w:val="21"/>
                <w:szCs w:val="21"/>
              </w:rPr>
            </w:pPr>
            <w:r>
              <w:rPr>
                <w:rFonts w:hint="eastAsia" w:ascii="Times New Roman"/>
                <w:sz w:val="21"/>
                <w:szCs w:val="21"/>
              </w:rPr>
              <w:t>0.0407</w:t>
            </w:r>
          </w:p>
        </w:tc>
        <w:tc>
          <w:tcPr>
            <w:tcW w:w="1198" w:type="dxa"/>
            <w:gridSpan w:val="2"/>
            <w:vAlign w:val="center"/>
          </w:tcPr>
          <w:p w14:paraId="287B3734">
            <w:pPr>
              <w:jc w:val="center"/>
              <w:rPr>
                <w:rFonts w:ascii="Times New Roman"/>
                <w:sz w:val="21"/>
                <w:szCs w:val="21"/>
              </w:rPr>
            </w:pPr>
            <w:r>
              <w:rPr>
                <w:rFonts w:hint="eastAsia" w:ascii="Times New Roman"/>
                <w:sz w:val="21"/>
                <w:szCs w:val="21"/>
              </w:rPr>
              <w:t xml:space="preserve">0.00 </w:t>
            </w:r>
          </w:p>
        </w:tc>
        <w:tc>
          <w:tcPr>
            <w:tcW w:w="1169" w:type="dxa"/>
            <w:vAlign w:val="center"/>
          </w:tcPr>
          <w:p w14:paraId="4C48CAC0">
            <w:pPr>
              <w:jc w:val="center"/>
              <w:rPr>
                <w:rFonts w:ascii="Times New Roman"/>
                <w:sz w:val="21"/>
                <w:szCs w:val="21"/>
              </w:rPr>
            </w:pPr>
            <w:r>
              <w:rPr>
                <w:rFonts w:hint="eastAsia" w:ascii="Times New Roman"/>
                <w:sz w:val="21"/>
                <w:szCs w:val="21"/>
              </w:rPr>
              <w:t>0.0081</w:t>
            </w:r>
          </w:p>
        </w:tc>
        <w:tc>
          <w:tcPr>
            <w:tcW w:w="1050" w:type="dxa"/>
            <w:vAlign w:val="center"/>
          </w:tcPr>
          <w:p w14:paraId="13724668">
            <w:pPr>
              <w:jc w:val="center"/>
              <w:rPr>
                <w:rFonts w:ascii="Times New Roman"/>
                <w:sz w:val="21"/>
                <w:szCs w:val="21"/>
              </w:rPr>
            </w:pPr>
            <w:r>
              <w:rPr>
                <w:rFonts w:hint="eastAsia" w:ascii="Times New Roman"/>
                <w:sz w:val="21"/>
                <w:szCs w:val="21"/>
              </w:rPr>
              <w:t xml:space="preserve">0.00 </w:t>
            </w:r>
          </w:p>
        </w:tc>
      </w:tr>
      <w:tr w14:paraId="2B0812F6">
        <w:tblPrEx>
          <w:tblCellMar>
            <w:top w:w="0" w:type="dxa"/>
            <w:left w:w="108" w:type="dxa"/>
            <w:bottom w:w="0" w:type="dxa"/>
            <w:right w:w="108" w:type="dxa"/>
          </w:tblCellMar>
        </w:tblPrEx>
        <w:trPr>
          <w:trHeight w:val="397" w:hRule="atLeast"/>
        </w:trPr>
        <w:tc>
          <w:tcPr>
            <w:tcW w:w="1375" w:type="dxa"/>
            <w:vAlign w:val="center"/>
          </w:tcPr>
          <w:p w14:paraId="0FF15015">
            <w:pPr>
              <w:jc w:val="center"/>
              <w:rPr>
                <w:rFonts w:ascii="Times New Roman"/>
                <w:sz w:val="21"/>
                <w:szCs w:val="21"/>
              </w:rPr>
            </w:pPr>
            <w:r>
              <w:rPr>
                <w:rFonts w:ascii="Times New Roman"/>
                <w:sz w:val="21"/>
                <w:szCs w:val="21"/>
              </w:rPr>
              <w:t>1800.0</w:t>
            </w:r>
          </w:p>
        </w:tc>
        <w:tc>
          <w:tcPr>
            <w:tcW w:w="1315" w:type="dxa"/>
            <w:vAlign w:val="center"/>
          </w:tcPr>
          <w:p w14:paraId="55124A83">
            <w:pPr>
              <w:jc w:val="center"/>
              <w:rPr>
                <w:rFonts w:ascii="Times New Roman"/>
                <w:sz w:val="21"/>
                <w:szCs w:val="21"/>
              </w:rPr>
            </w:pPr>
            <w:r>
              <w:rPr>
                <w:rFonts w:hint="eastAsia" w:ascii="Times New Roman"/>
                <w:sz w:val="21"/>
                <w:szCs w:val="21"/>
              </w:rPr>
              <w:t>0.0462</w:t>
            </w:r>
          </w:p>
        </w:tc>
        <w:tc>
          <w:tcPr>
            <w:tcW w:w="1117" w:type="dxa"/>
            <w:gridSpan w:val="2"/>
            <w:vAlign w:val="center"/>
          </w:tcPr>
          <w:p w14:paraId="7F1583B0">
            <w:pPr>
              <w:jc w:val="center"/>
              <w:rPr>
                <w:rFonts w:ascii="Times New Roman"/>
                <w:sz w:val="21"/>
                <w:szCs w:val="21"/>
              </w:rPr>
            </w:pPr>
            <w:r>
              <w:rPr>
                <w:rFonts w:hint="eastAsia" w:ascii="Times New Roman"/>
                <w:sz w:val="21"/>
                <w:szCs w:val="21"/>
              </w:rPr>
              <w:t xml:space="preserve">0.01 </w:t>
            </w:r>
          </w:p>
        </w:tc>
        <w:tc>
          <w:tcPr>
            <w:tcW w:w="1315" w:type="dxa"/>
            <w:vAlign w:val="center"/>
          </w:tcPr>
          <w:p w14:paraId="784AC245">
            <w:pPr>
              <w:jc w:val="center"/>
              <w:rPr>
                <w:rFonts w:ascii="Times New Roman"/>
                <w:sz w:val="21"/>
                <w:szCs w:val="21"/>
              </w:rPr>
            </w:pPr>
            <w:r>
              <w:rPr>
                <w:rFonts w:hint="eastAsia" w:ascii="Times New Roman"/>
                <w:sz w:val="21"/>
                <w:szCs w:val="21"/>
              </w:rPr>
              <w:t>0.0356</w:t>
            </w:r>
          </w:p>
        </w:tc>
        <w:tc>
          <w:tcPr>
            <w:tcW w:w="1198" w:type="dxa"/>
            <w:gridSpan w:val="2"/>
            <w:vAlign w:val="center"/>
          </w:tcPr>
          <w:p w14:paraId="0D8B2FF6">
            <w:pPr>
              <w:jc w:val="center"/>
              <w:rPr>
                <w:rFonts w:ascii="Times New Roman"/>
                <w:sz w:val="21"/>
                <w:szCs w:val="21"/>
              </w:rPr>
            </w:pPr>
            <w:r>
              <w:rPr>
                <w:rFonts w:hint="eastAsia" w:ascii="Times New Roman"/>
                <w:sz w:val="21"/>
                <w:szCs w:val="21"/>
              </w:rPr>
              <w:t xml:space="preserve">0.00 </w:t>
            </w:r>
          </w:p>
        </w:tc>
        <w:tc>
          <w:tcPr>
            <w:tcW w:w="1169" w:type="dxa"/>
            <w:vAlign w:val="center"/>
          </w:tcPr>
          <w:p w14:paraId="28FBB545">
            <w:pPr>
              <w:jc w:val="center"/>
              <w:rPr>
                <w:rFonts w:ascii="Times New Roman"/>
                <w:sz w:val="21"/>
                <w:szCs w:val="21"/>
              </w:rPr>
            </w:pPr>
            <w:r>
              <w:rPr>
                <w:rFonts w:hint="eastAsia" w:ascii="Times New Roman"/>
                <w:sz w:val="21"/>
                <w:szCs w:val="21"/>
              </w:rPr>
              <w:t>0.0071</w:t>
            </w:r>
          </w:p>
        </w:tc>
        <w:tc>
          <w:tcPr>
            <w:tcW w:w="1050" w:type="dxa"/>
            <w:vAlign w:val="center"/>
          </w:tcPr>
          <w:p w14:paraId="76C58E52">
            <w:pPr>
              <w:jc w:val="center"/>
              <w:rPr>
                <w:rFonts w:ascii="Times New Roman"/>
                <w:sz w:val="21"/>
                <w:szCs w:val="21"/>
              </w:rPr>
            </w:pPr>
            <w:r>
              <w:rPr>
                <w:rFonts w:hint="eastAsia" w:ascii="Times New Roman"/>
                <w:sz w:val="21"/>
                <w:szCs w:val="21"/>
              </w:rPr>
              <w:t xml:space="preserve">0.00 </w:t>
            </w:r>
          </w:p>
        </w:tc>
      </w:tr>
      <w:tr w14:paraId="42AA3EA5">
        <w:tblPrEx>
          <w:tblCellMar>
            <w:top w:w="0" w:type="dxa"/>
            <w:left w:w="108" w:type="dxa"/>
            <w:bottom w:w="0" w:type="dxa"/>
            <w:right w:w="108" w:type="dxa"/>
          </w:tblCellMar>
        </w:tblPrEx>
        <w:trPr>
          <w:trHeight w:val="397" w:hRule="atLeast"/>
        </w:trPr>
        <w:tc>
          <w:tcPr>
            <w:tcW w:w="1375" w:type="dxa"/>
            <w:vAlign w:val="center"/>
          </w:tcPr>
          <w:p w14:paraId="2AC742FF">
            <w:pPr>
              <w:jc w:val="center"/>
              <w:rPr>
                <w:rFonts w:ascii="Times New Roman"/>
                <w:sz w:val="21"/>
                <w:szCs w:val="21"/>
              </w:rPr>
            </w:pPr>
            <w:r>
              <w:rPr>
                <w:rFonts w:ascii="Times New Roman"/>
                <w:sz w:val="21"/>
                <w:szCs w:val="21"/>
              </w:rPr>
              <w:t>2000.0</w:t>
            </w:r>
          </w:p>
        </w:tc>
        <w:tc>
          <w:tcPr>
            <w:tcW w:w="1315" w:type="dxa"/>
            <w:vAlign w:val="center"/>
          </w:tcPr>
          <w:p w14:paraId="1796BF81">
            <w:pPr>
              <w:jc w:val="center"/>
              <w:rPr>
                <w:rFonts w:ascii="Times New Roman"/>
                <w:sz w:val="21"/>
                <w:szCs w:val="21"/>
              </w:rPr>
            </w:pPr>
            <w:r>
              <w:rPr>
                <w:rFonts w:hint="eastAsia" w:ascii="Times New Roman"/>
                <w:sz w:val="21"/>
                <w:szCs w:val="21"/>
              </w:rPr>
              <w:t>0.0408</w:t>
            </w:r>
          </w:p>
        </w:tc>
        <w:tc>
          <w:tcPr>
            <w:tcW w:w="1117" w:type="dxa"/>
            <w:gridSpan w:val="2"/>
            <w:vAlign w:val="center"/>
          </w:tcPr>
          <w:p w14:paraId="62C38518">
            <w:pPr>
              <w:jc w:val="center"/>
              <w:rPr>
                <w:rFonts w:ascii="Times New Roman"/>
                <w:sz w:val="21"/>
                <w:szCs w:val="21"/>
              </w:rPr>
            </w:pPr>
            <w:r>
              <w:rPr>
                <w:rFonts w:hint="eastAsia" w:ascii="Times New Roman"/>
                <w:sz w:val="21"/>
                <w:szCs w:val="21"/>
              </w:rPr>
              <w:t xml:space="preserve">0.01 </w:t>
            </w:r>
          </w:p>
        </w:tc>
        <w:tc>
          <w:tcPr>
            <w:tcW w:w="1315" w:type="dxa"/>
            <w:vAlign w:val="center"/>
          </w:tcPr>
          <w:p w14:paraId="50FBDE4C">
            <w:pPr>
              <w:jc w:val="center"/>
              <w:rPr>
                <w:rFonts w:ascii="Times New Roman"/>
                <w:sz w:val="21"/>
                <w:szCs w:val="21"/>
              </w:rPr>
            </w:pPr>
            <w:r>
              <w:rPr>
                <w:rFonts w:hint="eastAsia" w:ascii="Times New Roman"/>
                <w:sz w:val="21"/>
                <w:szCs w:val="21"/>
              </w:rPr>
              <w:t>0.0314</w:t>
            </w:r>
          </w:p>
        </w:tc>
        <w:tc>
          <w:tcPr>
            <w:tcW w:w="1198" w:type="dxa"/>
            <w:gridSpan w:val="2"/>
            <w:vAlign w:val="center"/>
          </w:tcPr>
          <w:p w14:paraId="45675FF8">
            <w:pPr>
              <w:jc w:val="center"/>
              <w:rPr>
                <w:rFonts w:ascii="Times New Roman"/>
                <w:sz w:val="21"/>
                <w:szCs w:val="21"/>
              </w:rPr>
            </w:pPr>
            <w:r>
              <w:rPr>
                <w:rFonts w:hint="eastAsia" w:ascii="Times New Roman"/>
                <w:sz w:val="21"/>
                <w:szCs w:val="21"/>
              </w:rPr>
              <w:t xml:space="preserve">0.00 </w:t>
            </w:r>
          </w:p>
        </w:tc>
        <w:tc>
          <w:tcPr>
            <w:tcW w:w="1169" w:type="dxa"/>
            <w:vAlign w:val="center"/>
          </w:tcPr>
          <w:p w14:paraId="1BCD4487">
            <w:pPr>
              <w:jc w:val="center"/>
              <w:rPr>
                <w:rFonts w:ascii="Times New Roman"/>
                <w:sz w:val="21"/>
                <w:szCs w:val="21"/>
              </w:rPr>
            </w:pPr>
            <w:r>
              <w:rPr>
                <w:rFonts w:hint="eastAsia" w:ascii="Times New Roman"/>
                <w:sz w:val="21"/>
                <w:szCs w:val="21"/>
              </w:rPr>
              <w:t>0.0063</w:t>
            </w:r>
          </w:p>
        </w:tc>
        <w:tc>
          <w:tcPr>
            <w:tcW w:w="1050" w:type="dxa"/>
            <w:vAlign w:val="center"/>
          </w:tcPr>
          <w:p w14:paraId="1A62416D">
            <w:pPr>
              <w:jc w:val="center"/>
              <w:rPr>
                <w:rFonts w:ascii="Times New Roman"/>
                <w:sz w:val="21"/>
                <w:szCs w:val="21"/>
              </w:rPr>
            </w:pPr>
            <w:r>
              <w:rPr>
                <w:rFonts w:hint="eastAsia" w:ascii="Times New Roman"/>
                <w:sz w:val="21"/>
                <w:szCs w:val="21"/>
              </w:rPr>
              <w:t xml:space="preserve">0.00 </w:t>
            </w:r>
          </w:p>
        </w:tc>
      </w:tr>
      <w:tr w14:paraId="11AB99B3">
        <w:tblPrEx>
          <w:tblCellMar>
            <w:top w:w="0" w:type="dxa"/>
            <w:left w:w="108" w:type="dxa"/>
            <w:bottom w:w="0" w:type="dxa"/>
            <w:right w:w="108" w:type="dxa"/>
          </w:tblCellMar>
        </w:tblPrEx>
        <w:trPr>
          <w:trHeight w:val="397" w:hRule="atLeast"/>
        </w:trPr>
        <w:tc>
          <w:tcPr>
            <w:tcW w:w="1375" w:type="dxa"/>
            <w:vAlign w:val="center"/>
          </w:tcPr>
          <w:p w14:paraId="137DB4B5">
            <w:pPr>
              <w:jc w:val="center"/>
              <w:rPr>
                <w:rFonts w:ascii="Times New Roman"/>
                <w:sz w:val="21"/>
                <w:szCs w:val="21"/>
              </w:rPr>
            </w:pPr>
            <w:r>
              <w:rPr>
                <w:rFonts w:ascii="Times New Roman"/>
                <w:sz w:val="21"/>
                <w:szCs w:val="21"/>
              </w:rPr>
              <w:t>2500.0</w:t>
            </w:r>
          </w:p>
        </w:tc>
        <w:tc>
          <w:tcPr>
            <w:tcW w:w="1315" w:type="dxa"/>
            <w:vAlign w:val="center"/>
          </w:tcPr>
          <w:p w14:paraId="4240A9C5">
            <w:pPr>
              <w:jc w:val="center"/>
              <w:rPr>
                <w:rFonts w:ascii="Times New Roman"/>
                <w:sz w:val="21"/>
                <w:szCs w:val="21"/>
              </w:rPr>
            </w:pPr>
            <w:r>
              <w:rPr>
                <w:rFonts w:hint="eastAsia" w:ascii="Times New Roman"/>
                <w:sz w:val="21"/>
                <w:szCs w:val="21"/>
              </w:rPr>
              <w:t>0.0312</w:t>
            </w:r>
          </w:p>
        </w:tc>
        <w:tc>
          <w:tcPr>
            <w:tcW w:w="1117" w:type="dxa"/>
            <w:gridSpan w:val="2"/>
            <w:vAlign w:val="center"/>
          </w:tcPr>
          <w:p w14:paraId="43EC62FE">
            <w:pPr>
              <w:jc w:val="center"/>
              <w:rPr>
                <w:rFonts w:ascii="Times New Roman"/>
                <w:sz w:val="21"/>
                <w:szCs w:val="21"/>
              </w:rPr>
            </w:pPr>
            <w:r>
              <w:rPr>
                <w:rFonts w:hint="eastAsia" w:ascii="Times New Roman"/>
                <w:sz w:val="21"/>
                <w:szCs w:val="21"/>
              </w:rPr>
              <w:t xml:space="preserve">0.01 </w:t>
            </w:r>
          </w:p>
        </w:tc>
        <w:tc>
          <w:tcPr>
            <w:tcW w:w="1315" w:type="dxa"/>
            <w:vAlign w:val="center"/>
          </w:tcPr>
          <w:p w14:paraId="6681A6B3">
            <w:pPr>
              <w:jc w:val="center"/>
              <w:rPr>
                <w:rFonts w:ascii="Times New Roman"/>
                <w:sz w:val="21"/>
                <w:szCs w:val="21"/>
              </w:rPr>
            </w:pPr>
            <w:r>
              <w:rPr>
                <w:rFonts w:hint="eastAsia" w:ascii="Times New Roman"/>
                <w:sz w:val="21"/>
                <w:szCs w:val="21"/>
              </w:rPr>
              <w:t>0.024</w:t>
            </w:r>
          </w:p>
        </w:tc>
        <w:tc>
          <w:tcPr>
            <w:tcW w:w="1198" w:type="dxa"/>
            <w:gridSpan w:val="2"/>
            <w:vAlign w:val="center"/>
          </w:tcPr>
          <w:p w14:paraId="620A2299">
            <w:pPr>
              <w:jc w:val="center"/>
              <w:rPr>
                <w:rFonts w:ascii="Times New Roman"/>
                <w:sz w:val="21"/>
                <w:szCs w:val="21"/>
              </w:rPr>
            </w:pPr>
            <w:r>
              <w:rPr>
                <w:rFonts w:hint="eastAsia" w:ascii="Times New Roman"/>
                <w:sz w:val="21"/>
                <w:szCs w:val="21"/>
              </w:rPr>
              <w:t xml:space="preserve">0.00 </w:t>
            </w:r>
          </w:p>
        </w:tc>
        <w:tc>
          <w:tcPr>
            <w:tcW w:w="1169" w:type="dxa"/>
            <w:vAlign w:val="center"/>
          </w:tcPr>
          <w:p w14:paraId="7C5D14BF">
            <w:pPr>
              <w:jc w:val="center"/>
              <w:rPr>
                <w:rFonts w:ascii="Times New Roman"/>
                <w:sz w:val="21"/>
                <w:szCs w:val="21"/>
              </w:rPr>
            </w:pPr>
            <w:r>
              <w:rPr>
                <w:rFonts w:hint="eastAsia" w:ascii="Times New Roman"/>
                <w:sz w:val="21"/>
                <w:szCs w:val="21"/>
              </w:rPr>
              <w:t>0.0048</w:t>
            </w:r>
          </w:p>
        </w:tc>
        <w:tc>
          <w:tcPr>
            <w:tcW w:w="1050" w:type="dxa"/>
            <w:vAlign w:val="center"/>
          </w:tcPr>
          <w:p w14:paraId="61CA1FB8">
            <w:pPr>
              <w:jc w:val="center"/>
              <w:rPr>
                <w:rFonts w:ascii="Times New Roman"/>
                <w:sz w:val="21"/>
                <w:szCs w:val="21"/>
              </w:rPr>
            </w:pPr>
            <w:r>
              <w:rPr>
                <w:rFonts w:hint="eastAsia" w:ascii="Times New Roman"/>
                <w:sz w:val="21"/>
                <w:szCs w:val="21"/>
              </w:rPr>
              <w:t xml:space="preserve">0.00 </w:t>
            </w:r>
          </w:p>
        </w:tc>
      </w:tr>
      <w:tr w14:paraId="33597CBC">
        <w:tblPrEx>
          <w:tblCellMar>
            <w:top w:w="0" w:type="dxa"/>
            <w:left w:w="108" w:type="dxa"/>
            <w:bottom w:w="0" w:type="dxa"/>
            <w:right w:w="108" w:type="dxa"/>
          </w:tblCellMar>
        </w:tblPrEx>
        <w:trPr>
          <w:trHeight w:val="397" w:hRule="atLeast"/>
        </w:trPr>
        <w:tc>
          <w:tcPr>
            <w:tcW w:w="1375" w:type="dxa"/>
            <w:vAlign w:val="center"/>
          </w:tcPr>
          <w:p w14:paraId="334BAD8A">
            <w:pPr>
              <w:jc w:val="center"/>
              <w:rPr>
                <w:rFonts w:ascii="Times New Roman"/>
                <w:sz w:val="21"/>
                <w:szCs w:val="21"/>
              </w:rPr>
            </w:pPr>
            <w:r>
              <w:rPr>
                <w:rFonts w:ascii="Times New Roman"/>
                <w:sz w:val="21"/>
                <w:szCs w:val="21"/>
              </w:rPr>
              <w:t>3000.0</w:t>
            </w:r>
          </w:p>
        </w:tc>
        <w:tc>
          <w:tcPr>
            <w:tcW w:w="1315" w:type="dxa"/>
            <w:vAlign w:val="center"/>
          </w:tcPr>
          <w:p w14:paraId="6C2EB5C8">
            <w:pPr>
              <w:jc w:val="center"/>
              <w:rPr>
                <w:rFonts w:ascii="Times New Roman"/>
                <w:sz w:val="21"/>
                <w:szCs w:val="21"/>
              </w:rPr>
            </w:pPr>
            <w:r>
              <w:rPr>
                <w:rFonts w:hint="eastAsia" w:ascii="Times New Roman"/>
                <w:sz w:val="21"/>
                <w:szCs w:val="21"/>
              </w:rPr>
              <w:t>0.0248</w:t>
            </w:r>
          </w:p>
        </w:tc>
        <w:tc>
          <w:tcPr>
            <w:tcW w:w="1117" w:type="dxa"/>
            <w:gridSpan w:val="2"/>
            <w:vAlign w:val="center"/>
          </w:tcPr>
          <w:p w14:paraId="2F9F5F21">
            <w:pPr>
              <w:jc w:val="center"/>
              <w:rPr>
                <w:rFonts w:ascii="Times New Roman"/>
                <w:sz w:val="21"/>
                <w:szCs w:val="21"/>
              </w:rPr>
            </w:pPr>
            <w:r>
              <w:rPr>
                <w:rFonts w:hint="eastAsia" w:ascii="Times New Roman"/>
                <w:sz w:val="21"/>
                <w:szCs w:val="21"/>
              </w:rPr>
              <w:t xml:space="preserve">0.01 </w:t>
            </w:r>
          </w:p>
        </w:tc>
        <w:tc>
          <w:tcPr>
            <w:tcW w:w="1315" w:type="dxa"/>
            <w:vAlign w:val="center"/>
          </w:tcPr>
          <w:p w14:paraId="31868DF3">
            <w:pPr>
              <w:jc w:val="center"/>
              <w:rPr>
                <w:rFonts w:ascii="Times New Roman"/>
                <w:sz w:val="21"/>
                <w:szCs w:val="21"/>
              </w:rPr>
            </w:pPr>
            <w:r>
              <w:rPr>
                <w:rFonts w:hint="eastAsia" w:ascii="Times New Roman"/>
                <w:sz w:val="21"/>
                <w:szCs w:val="21"/>
              </w:rPr>
              <w:t>0.0191</w:t>
            </w:r>
          </w:p>
        </w:tc>
        <w:tc>
          <w:tcPr>
            <w:tcW w:w="1198" w:type="dxa"/>
            <w:gridSpan w:val="2"/>
            <w:vAlign w:val="center"/>
          </w:tcPr>
          <w:p w14:paraId="5612882D">
            <w:pPr>
              <w:jc w:val="center"/>
              <w:rPr>
                <w:rFonts w:ascii="Times New Roman"/>
                <w:sz w:val="21"/>
                <w:szCs w:val="21"/>
              </w:rPr>
            </w:pPr>
            <w:r>
              <w:rPr>
                <w:rFonts w:hint="eastAsia" w:ascii="Times New Roman"/>
                <w:sz w:val="21"/>
                <w:szCs w:val="21"/>
              </w:rPr>
              <w:t xml:space="preserve">0.00 </w:t>
            </w:r>
          </w:p>
        </w:tc>
        <w:tc>
          <w:tcPr>
            <w:tcW w:w="1169" w:type="dxa"/>
            <w:vAlign w:val="center"/>
          </w:tcPr>
          <w:p w14:paraId="1CDD2F62">
            <w:pPr>
              <w:jc w:val="center"/>
              <w:rPr>
                <w:rFonts w:ascii="Times New Roman"/>
                <w:sz w:val="21"/>
                <w:szCs w:val="21"/>
              </w:rPr>
            </w:pPr>
            <w:r>
              <w:rPr>
                <w:rFonts w:hint="eastAsia" w:ascii="Times New Roman"/>
                <w:sz w:val="21"/>
                <w:szCs w:val="21"/>
              </w:rPr>
              <w:t>0.0038</w:t>
            </w:r>
          </w:p>
        </w:tc>
        <w:tc>
          <w:tcPr>
            <w:tcW w:w="1050" w:type="dxa"/>
            <w:vAlign w:val="center"/>
          </w:tcPr>
          <w:p w14:paraId="70E7A870">
            <w:pPr>
              <w:jc w:val="center"/>
              <w:rPr>
                <w:rFonts w:ascii="Times New Roman"/>
                <w:sz w:val="21"/>
                <w:szCs w:val="21"/>
              </w:rPr>
            </w:pPr>
            <w:r>
              <w:rPr>
                <w:rFonts w:hint="eastAsia" w:ascii="Times New Roman"/>
                <w:sz w:val="21"/>
                <w:szCs w:val="21"/>
              </w:rPr>
              <w:t xml:space="preserve">0.00 </w:t>
            </w:r>
          </w:p>
        </w:tc>
      </w:tr>
      <w:tr w14:paraId="46EA708B">
        <w:tblPrEx>
          <w:tblCellMar>
            <w:top w:w="0" w:type="dxa"/>
            <w:left w:w="108" w:type="dxa"/>
            <w:bottom w:w="0" w:type="dxa"/>
            <w:right w:w="108" w:type="dxa"/>
          </w:tblCellMar>
        </w:tblPrEx>
        <w:trPr>
          <w:trHeight w:val="397" w:hRule="atLeast"/>
        </w:trPr>
        <w:tc>
          <w:tcPr>
            <w:tcW w:w="1375" w:type="dxa"/>
            <w:vAlign w:val="center"/>
          </w:tcPr>
          <w:p w14:paraId="7FF58207">
            <w:pPr>
              <w:jc w:val="center"/>
              <w:rPr>
                <w:rFonts w:ascii="Times New Roman"/>
                <w:sz w:val="21"/>
                <w:szCs w:val="21"/>
              </w:rPr>
            </w:pPr>
            <w:r>
              <w:rPr>
                <w:rFonts w:ascii="Times New Roman"/>
                <w:sz w:val="21"/>
                <w:szCs w:val="21"/>
              </w:rPr>
              <w:t>3500.0</w:t>
            </w:r>
          </w:p>
        </w:tc>
        <w:tc>
          <w:tcPr>
            <w:tcW w:w="1315" w:type="dxa"/>
            <w:vAlign w:val="center"/>
          </w:tcPr>
          <w:p w14:paraId="425D4FAB">
            <w:pPr>
              <w:jc w:val="center"/>
              <w:rPr>
                <w:rFonts w:ascii="Times New Roman"/>
                <w:sz w:val="21"/>
                <w:szCs w:val="21"/>
              </w:rPr>
            </w:pPr>
            <w:r>
              <w:rPr>
                <w:rFonts w:hint="eastAsia" w:ascii="Times New Roman"/>
                <w:sz w:val="21"/>
                <w:szCs w:val="21"/>
              </w:rPr>
              <w:t>0.0204</w:t>
            </w:r>
          </w:p>
        </w:tc>
        <w:tc>
          <w:tcPr>
            <w:tcW w:w="1117" w:type="dxa"/>
            <w:gridSpan w:val="2"/>
            <w:vAlign w:val="center"/>
          </w:tcPr>
          <w:p w14:paraId="51C7CB1B">
            <w:pPr>
              <w:jc w:val="center"/>
              <w:rPr>
                <w:rFonts w:ascii="Times New Roman"/>
                <w:sz w:val="21"/>
                <w:szCs w:val="21"/>
              </w:rPr>
            </w:pPr>
            <w:r>
              <w:rPr>
                <w:rFonts w:hint="eastAsia" w:ascii="Times New Roman"/>
                <w:sz w:val="21"/>
                <w:szCs w:val="21"/>
              </w:rPr>
              <w:t xml:space="preserve">0.01 </w:t>
            </w:r>
          </w:p>
        </w:tc>
        <w:tc>
          <w:tcPr>
            <w:tcW w:w="1315" w:type="dxa"/>
            <w:vAlign w:val="center"/>
          </w:tcPr>
          <w:p w14:paraId="3BF8410C">
            <w:pPr>
              <w:jc w:val="center"/>
              <w:rPr>
                <w:rFonts w:ascii="Times New Roman"/>
                <w:sz w:val="21"/>
                <w:szCs w:val="21"/>
              </w:rPr>
            </w:pPr>
            <w:r>
              <w:rPr>
                <w:rFonts w:hint="eastAsia" w:ascii="Times New Roman"/>
                <w:sz w:val="21"/>
                <w:szCs w:val="21"/>
              </w:rPr>
              <w:t>0.0157</w:t>
            </w:r>
          </w:p>
        </w:tc>
        <w:tc>
          <w:tcPr>
            <w:tcW w:w="1198" w:type="dxa"/>
            <w:gridSpan w:val="2"/>
            <w:vAlign w:val="center"/>
          </w:tcPr>
          <w:p w14:paraId="51AF1B08">
            <w:pPr>
              <w:jc w:val="center"/>
              <w:rPr>
                <w:rFonts w:ascii="Times New Roman"/>
                <w:sz w:val="21"/>
                <w:szCs w:val="21"/>
              </w:rPr>
            </w:pPr>
            <w:r>
              <w:rPr>
                <w:rFonts w:hint="eastAsia" w:ascii="Times New Roman"/>
                <w:sz w:val="21"/>
                <w:szCs w:val="21"/>
              </w:rPr>
              <w:t xml:space="preserve">0.00 </w:t>
            </w:r>
          </w:p>
        </w:tc>
        <w:tc>
          <w:tcPr>
            <w:tcW w:w="1169" w:type="dxa"/>
            <w:vAlign w:val="center"/>
          </w:tcPr>
          <w:p w14:paraId="1B10228D">
            <w:pPr>
              <w:jc w:val="center"/>
              <w:rPr>
                <w:rFonts w:ascii="Times New Roman"/>
                <w:sz w:val="21"/>
                <w:szCs w:val="21"/>
              </w:rPr>
            </w:pPr>
            <w:r>
              <w:rPr>
                <w:rFonts w:hint="eastAsia" w:ascii="Times New Roman"/>
                <w:sz w:val="21"/>
                <w:szCs w:val="21"/>
              </w:rPr>
              <w:t>0.0031</w:t>
            </w:r>
          </w:p>
        </w:tc>
        <w:tc>
          <w:tcPr>
            <w:tcW w:w="1050" w:type="dxa"/>
            <w:vAlign w:val="center"/>
          </w:tcPr>
          <w:p w14:paraId="367EA3B0">
            <w:pPr>
              <w:jc w:val="center"/>
              <w:rPr>
                <w:rFonts w:ascii="Times New Roman"/>
                <w:sz w:val="21"/>
                <w:szCs w:val="21"/>
              </w:rPr>
            </w:pPr>
            <w:r>
              <w:rPr>
                <w:rFonts w:hint="eastAsia" w:ascii="Times New Roman"/>
                <w:sz w:val="21"/>
                <w:szCs w:val="21"/>
              </w:rPr>
              <w:t xml:space="preserve">0.00 </w:t>
            </w:r>
          </w:p>
        </w:tc>
      </w:tr>
      <w:tr w14:paraId="649DB2E4">
        <w:tblPrEx>
          <w:tblCellMar>
            <w:top w:w="0" w:type="dxa"/>
            <w:left w:w="108" w:type="dxa"/>
            <w:bottom w:w="0" w:type="dxa"/>
            <w:right w:w="108" w:type="dxa"/>
          </w:tblCellMar>
        </w:tblPrEx>
        <w:trPr>
          <w:trHeight w:val="397" w:hRule="atLeast"/>
        </w:trPr>
        <w:tc>
          <w:tcPr>
            <w:tcW w:w="1375" w:type="dxa"/>
            <w:vAlign w:val="center"/>
          </w:tcPr>
          <w:p w14:paraId="4B9F7A1F">
            <w:pPr>
              <w:jc w:val="center"/>
              <w:rPr>
                <w:rFonts w:ascii="Times New Roman"/>
                <w:sz w:val="21"/>
                <w:szCs w:val="21"/>
              </w:rPr>
            </w:pPr>
            <w:r>
              <w:rPr>
                <w:rFonts w:ascii="Times New Roman"/>
                <w:sz w:val="21"/>
                <w:szCs w:val="21"/>
              </w:rPr>
              <w:t>4000.0</w:t>
            </w:r>
          </w:p>
        </w:tc>
        <w:tc>
          <w:tcPr>
            <w:tcW w:w="1315" w:type="dxa"/>
            <w:vAlign w:val="center"/>
          </w:tcPr>
          <w:p w14:paraId="4264BAFF">
            <w:pPr>
              <w:jc w:val="center"/>
              <w:rPr>
                <w:rFonts w:ascii="Times New Roman"/>
                <w:sz w:val="21"/>
                <w:szCs w:val="21"/>
              </w:rPr>
            </w:pPr>
            <w:r>
              <w:rPr>
                <w:rFonts w:hint="eastAsia" w:ascii="Times New Roman"/>
                <w:sz w:val="21"/>
                <w:szCs w:val="21"/>
              </w:rPr>
              <w:t>0.0171</w:t>
            </w:r>
          </w:p>
        </w:tc>
        <w:tc>
          <w:tcPr>
            <w:tcW w:w="1117" w:type="dxa"/>
            <w:gridSpan w:val="2"/>
            <w:vAlign w:val="center"/>
          </w:tcPr>
          <w:p w14:paraId="5D56F1D9">
            <w:pPr>
              <w:jc w:val="center"/>
              <w:rPr>
                <w:rFonts w:ascii="Times New Roman"/>
                <w:sz w:val="21"/>
                <w:szCs w:val="21"/>
              </w:rPr>
            </w:pPr>
            <w:r>
              <w:rPr>
                <w:rFonts w:hint="eastAsia" w:ascii="Times New Roman"/>
                <w:sz w:val="21"/>
                <w:szCs w:val="21"/>
              </w:rPr>
              <w:t xml:space="preserve">0.00 </w:t>
            </w:r>
          </w:p>
        </w:tc>
        <w:tc>
          <w:tcPr>
            <w:tcW w:w="1315" w:type="dxa"/>
            <w:vAlign w:val="center"/>
          </w:tcPr>
          <w:p w14:paraId="50B28EE2">
            <w:pPr>
              <w:jc w:val="center"/>
              <w:rPr>
                <w:rFonts w:ascii="Times New Roman"/>
                <w:sz w:val="21"/>
                <w:szCs w:val="21"/>
              </w:rPr>
            </w:pPr>
            <w:r>
              <w:rPr>
                <w:rFonts w:hint="eastAsia" w:ascii="Times New Roman"/>
                <w:sz w:val="21"/>
                <w:szCs w:val="21"/>
              </w:rPr>
              <w:t>0.0132</w:t>
            </w:r>
          </w:p>
        </w:tc>
        <w:tc>
          <w:tcPr>
            <w:tcW w:w="1198" w:type="dxa"/>
            <w:gridSpan w:val="2"/>
            <w:vAlign w:val="center"/>
          </w:tcPr>
          <w:p w14:paraId="74C88C28">
            <w:pPr>
              <w:jc w:val="center"/>
              <w:rPr>
                <w:rFonts w:ascii="Times New Roman"/>
                <w:sz w:val="21"/>
                <w:szCs w:val="21"/>
              </w:rPr>
            </w:pPr>
            <w:r>
              <w:rPr>
                <w:rFonts w:hint="eastAsia" w:ascii="Times New Roman"/>
                <w:sz w:val="21"/>
                <w:szCs w:val="21"/>
              </w:rPr>
              <w:t xml:space="preserve">0.00 </w:t>
            </w:r>
          </w:p>
        </w:tc>
        <w:tc>
          <w:tcPr>
            <w:tcW w:w="1169" w:type="dxa"/>
            <w:vAlign w:val="center"/>
          </w:tcPr>
          <w:p w14:paraId="40D66504">
            <w:pPr>
              <w:jc w:val="center"/>
              <w:rPr>
                <w:rFonts w:ascii="Times New Roman"/>
                <w:sz w:val="21"/>
                <w:szCs w:val="21"/>
              </w:rPr>
            </w:pPr>
            <w:r>
              <w:rPr>
                <w:rFonts w:hint="eastAsia" w:ascii="Times New Roman"/>
                <w:sz w:val="21"/>
                <w:szCs w:val="21"/>
              </w:rPr>
              <w:t>0.0026</w:t>
            </w:r>
          </w:p>
        </w:tc>
        <w:tc>
          <w:tcPr>
            <w:tcW w:w="1050" w:type="dxa"/>
            <w:vAlign w:val="center"/>
          </w:tcPr>
          <w:p w14:paraId="21CE95FB">
            <w:pPr>
              <w:jc w:val="center"/>
              <w:rPr>
                <w:rFonts w:ascii="Times New Roman"/>
                <w:sz w:val="21"/>
                <w:szCs w:val="21"/>
              </w:rPr>
            </w:pPr>
            <w:r>
              <w:rPr>
                <w:rFonts w:hint="eastAsia" w:ascii="Times New Roman"/>
                <w:sz w:val="21"/>
                <w:szCs w:val="21"/>
              </w:rPr>
              <w:t xml:space="preserve">0.00 </w:t>
            </w:r>
          </w:p>
        </w:tc>
      </w:tr>
      <w:tr w14:paraId="1FE13383">
        <w:tblPrEx>
          <w:tblCellMar>
            <w:top w:w="0" w:type="dxa"/>
            <w:left w:w="108" w:type="dxa"/>
            <w:bottom w:w="0" w:type="dxa"/>
            <w:right w:w="108" w:type="dxa"/>
          </w:tblCellMar>
        </w:tblPrEx>
        <w:trPr>
          <w:trHeight w:val="397" w:hRule="atLeast"/>
        </w:trPr>
        <w:tc>
          <w:tcPr>
            <w:tcW w:w="1375" w:type="dxa"/>
            <w:vAlign w:val="center"/>
          </w:tcPr>
          <w:p w14:paraId="294720DA">
            <w:pPr>
              <w:jc w:val="center"/>
              <w:rPr>
                <w:rFonts w:ascii="Times New Roman"/>
                <w:sz w:val="21"/>
                <w:szCs w:val="21"/>
              </w:rPr>
            </w:pPr>
            <w:r>
              <w:rPr>
                <w:rFonts w:ascii="Times New Roman"/>
                <w:sz w:val="21"/>
                <w:szCs w:val="21"/>
              </w:rPr>
              <w:t>4500.0</w:t>
            </w:r>
          </w:p>
        </w:tc>
        <w:tc>
          <w:tcPr>
            <w:tcW w:w="1315" w:type="dxa"/>
            <w:vAlign w:val="center"/>
          </w:tcPr>
          <w:p w14:paraId="73E599C7">
            <w:pPr>
              <w:jc w:val="center"/>
              <w:rPr>
                <w:rFonts w:ascii="Times New Roman"/>
                <w:sz w:val="21"/>
                <w:szCs w:val="21"/>
              </w:rPr>
            </w:pPr>
            <w:r>
              <w:rPr>
                <w:rFonts w:hint="eastAsia" w:ascii="Times New Roman"/>
                <w:sz w:val="21"/>
                <w:szCs w:val="21"/>
              </w:rPr>
              <w:t>0.0147</w:t>
            </w:r>
          </w:p>
        </w:tc>
        <w:tc>
          <w:tcPr>
            <w:tcW w:w="1117" w:type="dxa"/>
            <w:gridSpan w:val="2"/>
            <w:vAlign w:val="center"/>
          </w:tcPr>
          <w:p w14:paraId="6D154704">
            <w:pPr>
              <w:jc w:val="center"/>
              <w:rPr>
                <w:rFonts w:ascii="Times New Roman"/>
                <w:sz w:val="21"/>
                <w:szCs w:val="21"/>
              </w:rPr>
            </w:pPr>
            <w:r>
              <w:rPr>
                <w:rFonts w:hint="eastAsia" w:ascii="Times New Roman"/>
                <w:sz w:val="21"/>
                <w:szCs w:val="21"/>
              </w:rPr>
              <w:t xml:space="preserve">0.00 </w:t>
            </w:r>
          </w:p>
        </w:tc>
        <w:tc>
          <w:tcPr>
            <w:tcW w:w="1315" w:type="dxa"/>
            <w:vAlign w:val="center"/>
          </w:tcPr>
          <w:p w14:paraId="3C02FDEE">
            <w:pPr>
              <w:jc w:val="center"/>
              <w:rPr>
                <w:rFonts w:ascii="Times New Roman"/>
                <w:sz w:val="21"/>
                <w:szCs w:val="21"/>
              </w:rPr>
            </w:pPr>
            <w:r>
              <w:rPr>
                <w:rFonts w:hint="eastAsia" w:ascii="Times New Roman"/>
                <w:sz w:val="21"/>
                <w:szCs w:val="21"/>
              </w:rPr>
              <w:t>0.0113</w:t>
            </w:r>
          </w:p>
        </w:tc>
        <w:tc>
          <w:tcPr>
            <w:tcW w:w="1198" w:type="dxa"/>
            <w:gridSpan w:val="2"/>
            <w:vAlign w:val="center"/>
          </w:tcPr>
          <w:p w14:paraId="5ECC4F22">
            <w:pPr>
              <w:jc w:val="center"/>
              <w:rPr>
                <w:rFonts w:ascii="Times New Roman"/>
                <w:sz w:val="21"/>
                <w:szCs w:val="21"/>
              </w:rPr>
            </w:pPr>
            <w:r>
              <w:rPr>
                <w:rFonts w:hint="eastAsia" w:ascii="Times New Roman"/>
                <w:sz w:val="21"/>
                <w:szCs w:val="21"/>
              </w:rPr>
              <w:t xml:space="preserve">0.00 </w:t>
            </w:r>
          </w:p>
        </w:tc>
        <w:tc>
          <w:tcPr>
            <w:tcW w:w="1169" w:type="dxa"/>
            <w:vAlign w:val="center"/>
          </w:tcPr>
          <w:p w14:paraId="5C2A115B">
            <w:pPr>
              <w:jc w:val="center"/>
              <w:rPr>
                <w:rFonts w:ascii="Times New Roman"/>
                <w:sz w:val="21"/>
                <w:szCs w:val="21"/>
              </w:rPr>
            </w:pPr>
            <w:r>
              <w:rPr>
                <w:rFonts w:hint="eastAsia" w:ascii="Times New Roman"/>
                <w:sz w:val="21"/>
                <w:szCs w:val="21"/>
              </w:rPr>
              <w:t>0.0023</w:t>
            </w:r>
          </w:p>
        </w:tc>
        <w:tc>
          <w:tcPr>
            <w:tcW w:w="1050" w:type="dxa"/>
            <w:vAlign w:val="center"/>
          </w:tcPr>
          <w:p w14:paraId="409A9E82">
            <w:pPr>
              <w:jc w:val="center"/>
              <w:rPr>
                <w:rFonts w:ascii="Times New Roman"/>
                <w:sz w:val="21"/>
                <w:szCs w:val="21"/>
              </w:rPr>
            </w:pPr>
            <w:r>
              <w:rPr>
                <w:rFonts w:hint="eastAsia" w:ascii="Times New Roman"/>
                <w:sz w:val="21"/>
                <w:szCs w:val="21"/>
              </w:rPr>
              <w:t xml:space="preserve">0.00 </w:t>
            </w:r>
          </w:p>
        </w:tc>
      </w:tr>
      <w:tr w14:paraId="20352BE3">
        <w:tblPrEx>
          <w:tblCellMar>
            <w:top w:w="0" w:type="dxa"/>
            <w:left w:w="108" w:type="dxa"/>
            <w:bottom w:w="0" w:type="dxa"/>
            <w:right w:w="108" w:type="dxa"/>
          </w:tblCellMar>
        </w:tblPrEx>
        <w:trPr>
          <w:trHeight w:val="397" w:hRule="atLeast"/>
        </w:trPr>
        <w:tc>
          <w:tcPr>
            <w:tcW w:w="1375" w:type="dxa"/>
            <w:vAlign w:val="center"/>
          </w:tcPr>
          <w:p w14:paraId="23A70231">
            <w:pPr>
              <w:jc w:val="center"/>
              <w:rPr>
                <w:rFonts w:ascii="Times New Roman"/>
                <w:sz w:val="21"/>
                <w:szCs w:val="21"/>
              </w:rPr>
            </w:pPr>
            <w:r>
              <w:rPr>
                <w:rFonts w:ascii="Times New Roman"/>
                <w:sz w:val="21"/>
                <w:szCs w:val="21"/>
              </w:rPr>
              <w:t>5000.0</w:t>
            </w:r>
          </w:p>
        </w:tc>
        <w:tc>
          <w:tcPr>
            <w:tcW w:w="1315" w:type="dxa"/>
            <w:vAlign w:val="center"/>
          </w:tcPr>
          <w:p w14:paraId="41CA196B">
            <w:pPr>
              <w:jc w:val="center"/>
              <w:rPr>
                <w:rFonts w:ascii="Times New Roman"/>
                <w:sz w:val="21"/>
                <w:szCs w:val="21"/>
              </w:rPr>
            </w:pPr>
            <w:r>
              <w:rPr>
                <w:rFonts w:hint="eastAsia" w:ascii="Times New Roman"/>
                <w:sz w:val="21"/>
                <w:szCs w:val="21"/>
              </w:rPr>
              <w:t>0.0128</w:t>
            </w:r>
          </w:p>
        </w:tc>
        <w:tc>
          <w:tcPr>
            <w:tcW w:w="1117" w:type="dxa"/>
            <w:gridSpan w:val="2"/>
            <w:vAlign w:val="center"/>
          </w:tcPr>
          <w:p w14:paraId="4D168454">
            <w:pPr>
              <w:jc w:val="center"/>
              <w:rPr>
                <w:rFonts w:ascii="Times New Roman"/>
                <w:sz w:val="21"/>
                <w:szCs w:val="21"/>
              </w:rPr>
            </w:pPr>
            <w:r>
              <w:rPr>
                <w:rFonts w:hint="eastAsia" w:ascii="Times New Roman"/>
                <w:sz w:val="21"/>
                <w:szCs w:val="21"/>
              </w:rPr>
              <w:t xml:space="preserve">0.00 </w:t>
            </w:r>
          </w:p>
        </w:tc>
        <w:tc>
          <w:tcPr>
            <w:tcW w:w="1315" w:type="dxa"/>
            <w:vAlign w:val="center"/>
          </w:tcPr>
          <w:p w14:paraId="6BC56380">
            <w:pPr>
              <w:jc w:val="center"/>
              <w:rPr>
                <w:rFonts w:ascii="Times New Roman"/>
                <w:sz w:val="21"/>
                <w:szCs w:val="21"/>
              </w:rPr>
            </w:pPr>
            <w:r>
              <w:rPr>
                <w:rFonts w:hint="eastAsia" w:ascii="Times New Roman"/>
                <w:sz w:val="21"/>
                <w:szCs w:val="21"/>
              </w:rPr>
              <w:t>0.0098</w:t>
            </w:r>
          </w:p>
        </w:tc>
        <w:tc>
          <w:tcPr>
            <w:tcW w:w="1198" w:type="dxa"/>
            <w:gridSpan w:val="2"/>
            <w:vAlign w:val="center"/>
          </w:tcPr>
          <w:p w14:paraId="7BD58566">
            <w:pPr>
              <w:jc w:val="center"/>
              <w:rPr>
                <w:rFonts w:ascii="Times New Roman"/>
                <w:sz w:val="21"/>
                <w:szCs w:val="21"/>
              </w:rPr>
            </w:pPr>
            <w:r>
              <w:rPr>
                <w:rFonts w:hint="eastAsia" w:ascii="Times New Roman"/>
                <w:sz w:val="21"/>
                <w:szCs w:val="21"/>
              </w:rPr>
              <w:t xml:space="preserve">0.00 </w:t>
            </w:r>
          </w:p>
        </w:tc>
        <w:tc>
          <w:tcPr>
            <w:tcW w:w="1169" w:type="dxa"/>
            <w:vAlign w:val="center"/>
          </w:tcPr>
          <w:p w14:paraId="62705D98">
            <w:pPr>
              <w:jc w:val="center"/>
              <w:rPr>
                <w:rFonts w:ascii="Times New Roman"/>
                <w:sz w:val="21"/>
                <w:szCs w:val="21"/>
              </w:rPr>
            </w:pPr>
            <w:r>
              <w:rPr>
                <w:rFonts w:hint="eastAsia" w:ascii="Times New Roman"/>
                <w:sz w:val="21"/>
                <w:szCs w:val="21"/>
              </w:rPr>
              <w:t>0.002</w:t>
            </w:r>
          </w:p>
        </w:tc>
        <w:tc>
          <w:tcPr>
            <w:tcW w:w="1050" w:type="dxa"/>
            <w:vAlign w:val="center"/>
          </w:tcPr>
          <w:p w14:paraId="2A9C06A3">
            <w:pPr>
              <w:jc w:val="center"/>
              <w:rPr>
                <w:rFonts w:ascii="Times New Roman"/>
                <w:sz w:val="21"/>
                <w:szCs w:val="21"/>
              </w:rPr>
            </w:pPr>
            <w:r>
              <w:rPr>
                <w:rFonts w:hint="eastAsia" w:ascii="Times New Roman"/>
                <w:sz w:val="21"/>
                <w:szCs w:val="21"/>
              </w:rPr>
              <w:t xml:space="preserve">0.00 </w:t>
            </w:r>
          </w:p>
        </w:tc>
      </w:tr>
      <w:tr w14:paraId="0094FC7D">
        <w:tblPrEx>
          <w:tblCellMar>
            <w:top w:w="0" w:type="dxa"/>
            <w:left w:w="108" w:type="dxa"/>
            <w:bottom w:w="0" w:type="dxa"/>
            <w:right w:w="108" w:type="dxa"/>
          </w:tblCellMar>
        </w:tblPrEx>
        <w:trPr>
          <w:trHeight w:val="397" w:hRule="atLeast"/>
        </w:trPr>
        <w:tc>
          <w:tcPr>
            <w:tcW w:w="1375" w:type="dxa"/>
            <w:vAlign w:val="center"/>
          </w:tcPr>
          <w:p w14:paraId="4C33C74E">
            <w:pPr>
              <w:jc w:val="center"/>
              <w:rPr>
                <w:rFonts w:ascii="Times New Roman"/>
                <w:sz w:val="21"/>
                <w:szCs w:val="21"/>
              </w:rPr>
            </w:pPr>
            <w:r>
              <w:rPr>
                <w:rFonts w:ascii="Times New Roman"/>
                <w:sz w:val="21"/>
                <w:szCs w:val="21"/>
              </w:rPr>
              <w:t>10000.0</w:t>
            </w:r>
          </w:p>
        </w:tc>
        <w:tc>
          <w:tcPr>
            <w:tcW w:w="1315" w:type="dxa"/>
            <w:vAlign w:val="center"/>
          </w:tcPr>
          <w:p w14:paraId="143752AA">
            <w:pPr>
              <w:jc w:val="center"/>
              <w:rPr>
                <w:rFonts w:ascii="Times New Roman"/>
                <w:sz w:val="21"/>
                <w:szCs w:val="21"/>
              </w:rPr>
            </w:pPr>
            <w:r>
              <w:rPr>
                <w:rFonts w:hint="eastAsia" w:ascii="Times New Roman"/>
                <w:sz w:val="21"/>
                <w:szCs w:val="21"/>
              </w:rPr>
              <w:t>0.005</w:t>
            </w:r>
          </w:p>
        </w:tc>
        <w:tc>
          <w:tcPr>
            <w:tcW w:w="1117" w:type="dxa"/>
            <w:gridSpan w:val="2"/>
            <w:vAlign w:val="center"/>
          </w:tcPr>
          <w:p w14:paraId="023F0BF5">
            <w:pPr>
              <w:jc w:val="center"/>
              <w:rPr>
                <w:rFonts w:ascii="Times New Roman"/>
                <w:sz w:val="21"/>
                <w:szCs w:val="21"/>
              </w:rPr>
            </w:pPr>
            <w:r>
              <w:rPr>
                <w:rFonts w:hint="eastAsia" w:ascii="Times New Roman"/>
                <w:sz w:val="21"/>
                <w:szCs w:val="21"/>
              </w:rPr>
              <w:t xml:space="preserve">0.00 </w:t>
            </w:r>
          </w:p>
        </w:tc>
        <w:tc>
          <w:tcPr>
            <w:tcW w:w="1315" w:type="dxa"/>
            <w:vAlign w:val="center"/>
          </w:tcPr>
          <w:p w14:paraId="26321378">
            <w:pPr>
              <w:jc w:val="center"/>
              <w:rPr>
                <w:rFonts w:ascii="Times New Roman"/>
                <w:sz w:val="21"/>
                <w:szCs w:val="21"/>
              </w:rPr>
            </w:pPr>
            <w:r>
              <w:rPr>
                <w:rFonts w:hint="eastAsia" w:ascii="Times New Roman"/>
                <w:sz w:val="21"/>
                <w:szCs w:val="21"/>
              </w:rPr>
              <w:t>0.0039</w:t>
            </w:r>
          </w:p>
        </w:tc>
        <w:tc>
          <w:tcPr>
            <w:tcW w:w="1198" w:type="dxa"/>
            <w:gridSpan w:val="2"/>
            <w:vAlign w:val="center"/>
          </w:tcPr>
          <w:p w14:paraId="6F51528D">
            <w:pPr>
              <w:jc w:val="center"/>
              <w:rPr>
                <w:rFonts w:ascii="Times New Roman"/>
                <w:sz w:val="21"/>
                <w:szCs w:val="21"/>
              </w:rPr>
            </w:pPr>
            <w:r>
              <w:rPr>
                <w:rFonts w:hint="eastAsia" w:ascii="Times New Roman"/>
                <w:sz w:val="21"/>
                <w:szCs w:val="21"/>
              </w:rPr>
              <w:t xml:space="preserve">0.00 </w:t>
            </w:r>
          </w:p>
        </w:tc>
        <w:tc>
          <w:tcPr>
            <w:tcW w:w="1169" w:type="dxa"/>
            <w:vAlign w:val="center"/>
          </w:tcPr>
          <w:p w14:paraId="18757796">
            <w:pPr>
              <w:jc w:val="center"/>
              <w:rPr>
                <w:rFonts w:ascii="Times New Roman"/>
                <w:sz w:val="21"/>
                <w:szCs w:val="21"/>
              </w:rPr>
            </w:pPr>
            <w:r>
              <w:rPr>
                <w:rFonts w:hint="eastAsia" w:ascii="Times New Roman"/>
                <w:sz w:val="21"/>
                <w:szCs w:val="21"/>
              </w:rPr>
              <w:t>0.0008</w:t>
            </w:r>
          </w:p>
        </w:tc>
        <w:tc>
          <w:tcPr>
            <w:tcW w:w="1050" w:type="dxa"/>
            <w:vAlign w:val="center"/>
          </w:tcPr>
          <w:p w14:paraId="34E5DDAE">
            <w:pPr>
              <w:jc w:val="center"/>
              <w:rPr>
                <w:rFonts w:ascii="Times New Roman"/>
                <w:sz w:val="21"/>
                <w:szCs w:val="21"/>
              </w:rPr>
            </w:pPr>
            <w:r>
              <w:rPr>
                <w:rFonts w:hint="eastAsia" w:ascii="Times New Roman"/>
                <w:sz w:val="21"/>
                <w:szCs w:val="21"/>
              </w:rPr>
              <w:t xml:space="preserve">0.00 </w:t>
            </w:r>
          </w:p>
        </w:tc>
      </w:tr>
      <w:tr w14:paraId="54211198">
        <w:tblPrEx>
          <w:tblCellMar>
            <w:top w:w="0" w:type="dxa"/>
            <w:left w:w="108" w:type="dxa"/>
            <w:bottom w:w="0" w:type="dxa"/>
            <w:right w:w="108" w:type="dxa"/>
          </w:tblCellMar>
        </w:tblPrEx>
        <w:trPr>
          <w:trHeight w:val="397" w:hRule="atLeast"/>
        </w:trPr>
        <w:tc>
          <w:tcPr>
            <w:tcW w:w="1375" w:type="dxa"/>
            <w:vAlign w:val="center"/>
          </w:tcPr>
          <w:p w14:paraId="24FB757D">
            <w:pPr>
              <w:jc w:val="center"/>
              <w:rPr>
                <w:rFonts w:ascii="Times New Roman"/>
                <w:sz w:val="21"/>
                <w:szCs w:val="21"/>
              </w:rPr>
            </w:pPr>
            <w:r>
              <w:rPr>
                <w:rFonts w:ascii="Times New Roman"/>
                <w:sz w:val="21"/>
                <w:szCs w:val="21"/>
              </w:rPr>
              <w:t>11000.0</w:t>
            </w:r>
          </w:p>
        </w:tc>
        <w:tc>
          <w:tcPr>
            <w:tcW w:w="1315" w:type="dxa"/>
            <w:vAlign w:val="center"/>
          </w:tcPr>
          <w:p w14:paraId="3A41CE6F">
            <w:pPr>
              <w:jc w:val="center"/>
              <w:rPr>
                <w:rFonts w:ascii="Times New Roman"/>
                <w:sz w:val="21"/>
                <w:szCs w:val="21"/>
              </w:rPr>
            </w:pPr>
            <w:r>
              <w:rPr>
                <w:rFonts w:hint="eastAsia" w:ascii="Times New Roman"/>
                <w:sz w:val="21"/>
                <w:szCs w:val="21"/>
              </w:rPr>
              <w:t>0.0044</w:t>
            </w:r>
          </w:p>
        </w:tc>
        <w:tc>
          <w:tcPr>
            <w:tcW w:w="1117" w:type="dxa"/>
            <w:gridSpan w:val="2"/>
            <w:vAlign w:val="center"/>
          </w:tcPr>
          <w:p w14:paraId="2CB227B2">
            <w:pPr>
              <w:jc w:val="center"/>
              <w:rPr>
                <w:rFonts w:ascii="Times New Roman"/>
                <w:sz w:val="21"/>
                <w:szCs w:val="21"/>
              </w:rPr>
            </w:pPr>
            <w:r>
              <w:rPr>
                <w:rFonts w:hint="eastAsia" w:ascii="Times New Roman"/>
                <w:sz w:val="21"/>
                <w:szCs w:val="21"/>
              </w:rPr>
              <w:t xml:space="preserve">0.00 </w:t>
            </w:r>
          </w:p>
        </w:tc>
        <w:tc>
          <w:tcPr>
            <w:tcW w:w="1315" w:type="dxa"/>
            <w:vAlign w:val="center"/>
          </w:tcPr>
          <w:p w14:paraId="66EE523A">
            <w:pPr>
              <w:jc w:val="center"/>
              <w:rPr>
                <w:rFonts w:ascii="Times New Roman"/>
                <w:sz w:val="21"/>
                <w:szCs w:val="21"/>
              </w:rPr>
            </w:pPr>
            <w:r>
              <w:rPr>
                <w:rFonts w:hint="eastAsia" w:ascii="Times New Roman"/>
                <w:sz w:val="21"/>
                <w:szCs w:val="21"/>
              </w:rPr>
              <w:t>0.0034</w:t>
            </w:r>
          </w:p>
        </w:tc>
        <w:tc>
          <w:tcPr>
            <w:tcW w:w="1198" w:type="dxa"/>
            <w:gridSpan w:val="2"/>
            <w:vAlign w:val="center"/>
          </w:tcPr>
          <w:p w14:paraId="6BA24BD0">
            <w:pPr>
              <w:jc w:val="center"/>
              <w:rPr>
                <w:rFonts w:ascii="Times New Roman"/>
                <w:sz w:val="21"/>
                <w:szCs w:val="21"/>
              </w:rPr>
            </w:pPr>
            <w:r>
              <w:rPr>
                <w:rFonts w:hint="eastAsia" w:ascii="Times New Roman"/>
                <w:sz w:val="21"/>
                <w:szCs w:val="21"/>
              </w:rPr>
              <w:t xml:space="preserve">0.00 </w:t>
            </w:r>
          </w:p>
        </w:tc>
        <w:tc>
          <w:tcPr>
            <w:tcW w:w="1169" w:type="dxa"/>
            <w:vAlign w:val="center"/>
          </w:tcPr>
          <w:p w14:paraId="6A1CD135">
            <w:pPr>
              <w:jc w:val="center"/>
              <w:rPr>
                <w:rFonts w:ascii="Times New Roman"/>
                <w:sz w:val="21"/>
                <w:szCs w:val="21"/>
              </w:rPr>
            </w:pPr>
            <w:r>
              <w:rPr>
                <w:rFonts w:hint="eastAsia" w:ascii="Times New Roman"/>
                <w:sz w:val="21"/>
                <w:szCs w:val="21"/>
              </w:rPr>
              <w:t>0.0007</w:t>
            </w:r>
          </w:p>
        </w:tc>
        <w:tc>
          <w:tcPr>
            <w:tcW w:w="1050" w:type="dxa"/>
            <w:vAlign w:val="center"/>
          </w:tcPr>
          <w:p w14:paraId="624FE6BB">
            <w:pPr>
              <w:jc w:val="center"/>
              <w:rPr>
                <w:rFonts w:ascii="Times New Roman"/>
                <w:sz w:val="21"/>
                <w:szCs w:val="21"/>
              </w:rPr>
            </w:pPr>
            <w:r>
              <w:rPr>
                <w:rFonts w:hint="eastAsia" w:ascii="Times New Roman"/>
                <w:sz w:val="21"/>
                <w:szCs w:val="21"/>
              </w:rPr>
              <w:t xml:space="preserve">0.00 </w:t>
            </w:r>
          </w:p>
        </w:tc>
      </w:tr>
      <w:tr w14:paraId="6C52B990">
        <w:tblPrEx>
          <w:tblCellMar>
            <w:top w:w="0" w:type="dxa"/>
            <w:left w:w="108" w:type="dxa"/>
            <w:bottom w:w="0" w:type="dxa"/>
            <w:right w:w="108" w:type="dxa"/>
          </w:tblCellMar>
        </w:tblPrEx>
        <w:trPr>
          <w:trHeight w:val="397" w:hRule="atLeast"/>
        </w:trPr>
        <w:tc>
          <w:tcPr>
            <w:tcW w:w="1375" w:type="dxa"/>
            <w:vAlign w:val="center"/>
          </w:tcPr>
          <w:p w14:paraId="59300953">
            <w:pPr>
              <w:jc w:val="center"/>
              <w:rPr>
                <w:rFonts w:ascii="Times New Roman"/>
                <w:sz w:val="21"/>
                <w:szCs w:val="21"/>
              </w:rPr>
            </w:pPr>
            <w:r>
              <w:rPr>
                <w:rFonts w:ascii="Times New Roman"/>
                <w:sz w:val="21"/>
                <w:szCs w:val="21"/>
              </w:rPr>
              <w:t>12000.0</w:t>
            </w:r>
          </w:p>
        </w:tc>
        <w:tc>
          <w:tcPr>
            <w:tcW w:w="1315" w:type="dxa"/>
            <w:vAlign w:val="center"/>
          </w:tcPr>
          <w:p w14:paraId="5EA87CE4">
            <w:pPr>
              <w:jc w:val="center"/>
              <w:rPr>
                <w:rFonts w:ascii="Times New Roman"/>
                <w:sz w:val="21"/>
                <w:szCs w:val="21"/>
              </w:rPr>
            </w:pPr>
            <w:r>
              <w:rPr>
                <w:rFonts w:hint="eastAsia" w:ascii="Times New Roman"/>
                <w:sz w:val="21"/>
                <w:szCs w:val="21"/>
              </w:rPr>
              <w:t>0.0039</w:t>
            </w:r>
          </w:p>
        </w:tc>
        <w:tc>
          <w:tcPr>
            <w:tcW w:w="1117" w:type="dxa"/>
            <w:gridSpan w:val="2"/>
            <w:vAlign w:val="center"/>
          </w:tcPr>
          <w:p w14:paraId="118EFE81">
            <w:pPr>
              <w:jc w:val="center"/>
              <w:rPr>
                <w:rFonts w:ascii="Times New Roman"/>
                <w:sz w:val="21"/>
                <w:szCs w:val="21"/>
              </w:rPr>
            </w:pPr>
            <w:r>
              <w:rPr>
                <w:rFonts w:hint="eastAsia" w:ascii="Times New Roman"/>
                <w:sz w:val="21"/>
                <w:szCs w:val="21"/>
              </w:rPr>
              <w:t xml:space="preserve">0.00 </w:t>
            </w:r>
          </w:p>
        </w:tc>
        <w:tc>
          <w:tcPr>
            <w:tcW w:w="1315" w:type="dxa"/>
            <w:vAlign w:val="center"/>
          </w:tcPr>
          <w:p w14:paraId="022D9E7D">
            <w:pPr>
              <w:jc w:val="center"/>
              <w:rPr>
                <w:rFonts w:ascii="Times New Roman"/>
                <w:sz w:val="21"/>
                <w:szCs w:val="21"/>
              </w:rPr>
            </w:pPr>
            <w:r>
              <w:rPr>
                <w:rFonts w:hint="eastAsia" w:ascii="Times New Roman"/>
                <w:sz w:val="21"/>
                <w:szCs w:val="21"/>
              </w:rPr>
              <w:t>0.003</w:t>
            </w:r>
          </w:p>
        </w:tc>
        <w:tc>
          <w:tcPr>
            <w:tcW w:w="1198" w:type="dxa"/>
            <w:gridSpan w:val="2"/>
            <w:vAlign w:val="center"/>
          </w:tcPr>
          <w:p w14:paraId="24FC395A">
            <w:pPr>
              <w:jc w:val="center"/>
              <w:rPr>
                <w:rFonts w:ascii="Times New Roman"/>
                <w:sz w:val="21"/>
                <w:szCs w:val="21"/>
              </w:rPr>
            </w:pPr>
            <w:r>
              <w:rPr>
                <w:rFonts w:hint="eastAsia" w:ascii="Times New Roman"/>
                <w:sz w:val="21"/>
                <w:szCs w:val="21"/>
              </w:rPr>
              <w:t xml:space="preserve">0.00 </w:t>
            </w:r>
          </w:p>
        </w:tc>
        <w:tc>
          <w:tcPr>
            <w:tcW w:w="1169" w:type="dxa"/>
            <w:vAlign w:val="center"/>
          </w:tcPr>
          <w:p w14:paraId="711177E8">
            <w:pPr>
              <w:jc w:val="center"/>
              <w:rPr>
                <w:rFonts w:ascii="Times New Roman"/>
                <w:sz w:val="21"/>
                <w:szCs w:val="21"/>
              </w:rPr>
            </w:pPr>
            <w:r>
              <w:rPr>
                <w:rFonts w:hint="eastAsia" w:ascii="Times New Roman"/>
                <w:sz w:val="21"/>
                <w:szCs w:val="21"/>
              </w:rPr>
              <w:t>0.0006</w:t>
            </w:r>
          </w:p>
        </w:tc>
        <w:tc>
          <w:tcPr>
            <w:tcW w:w="1050" w:type="dxa"/>
            <w:vAlign w:val="center"/>
          </w:tcPr>
          <w:p w14:paraId="4BBB9A5F">
            <w:pPr>
              <w:jc w:val="center"/>
              <w:rPr>
                <w:rFonts w:ascii="Times New Roman"/>
                <w:sz w:val="21"/>
                <w:szCs w:val="21"/>
              </w:rPr>
            </w:pPr>
            <w:r>
              <w:rPr>
                <w:rFonts w:hint="eastAsia" w:ascii="Times New Roman"/>
                <w:sz w:val="21"/>
                <w:szCs w:val="21"/>
              </w:rPr>
              <w:t xml:space="preserve">0.00 </w:t>
            </w:r>
          </w:p>
        </w:tc>
      </w:tr>
      <w:tr w14:paraId="43F24686">
        <w:tblPrEx>
          <w:tblCellMar>
            <w:top w:w="0" w:type="dxa"/>
            <w:left w:w="108" w:type="dxa"/>
            <w:bottom w:w="0" w:type="dxa"/>
            <w:right w:w="108" w:type="dxa"/>
          </w:tblCellMar>
        </w:tblPrEx>
        <w:trPr>
          <w:trHeight w:val="397" w:hRule="atLeast"/>
        </w:trPr>
        <w:tc>
          <w:tcPr>
            <w:tcW w:w="1375" w:type="dxa"/>
            <w:vAlign w:val="center"/>
          </w:tcPr>
          <w:p w14:paraId="7A755823">
            <w:pPr>
              <w:jc w:val="center"/>
              <w:rPr>
                <w:rFonts w:ascii="Times New Roman"/>
                <w:sz w:val="21"/>
                <w:szCs w:val="21"/>
              </w:rPr>
            </w:pPr>
            <w:r>
              <w:rPr>
                <w:rFonts w:ascii="Times New Roman"/>
                <w:sz w:val="21"/>
                <w:szCs w:val="21"/>
              </w:rPr>
              <w:t>13000.0</w:t>
            </w:r>
          </w:p>
        </w:tc>
        <w:tc>
          <w:tcPr>
            <w:tcW w:w="1315" w:type="dxa"/>
            <w:vAlign w:val="center"/>
          </w:tcPr>
          <w:p w14:paraId="5AD8B254">
            <w:pPr>
              <w:jc w:val="center"/>
              <w:rPr>
                <w:rFonts w:ascii="Times New Roman"/>
                <w:sz w:val="21"/>
                <w:szCs w:val="21"/>
              </w:rPr>
            </w:pPr>
            <w:r>
              <w:rPr>
                <w:rFonts w:hint="eastAsia" w:ascii="Times New Roman"/>
                <w:sz w:val="21"/>
                <w:szCs w:val="21"/>
              </w:rPr>
              <w:t>0.0035</w:t>
            </w:r>
          </w:p>
        </w:tc>
        <w:tc>
          <w:tcPr>
            <w:tcW w:w="1117" w:type="dxa"/>
            <w:gridSpan w:val="2"/>
            <w:vAlign w:val="center"/>
          </w:tcPr>
          <w:p w14:paraId="6DE1B857">
            <w:pPr>
              <w:jc w:val="center"/>
              <w:rPr>
                <w:rFonts w:ascii="Times New Roman"/>
                <w:sz w:val="21"/>
                <w:szCs w:val="21"/>
              </w:rPr>
            </w:pPr>
            <w:r>
              <w:rPr>
                <w:rFonts w:hint="eastAsia" w:ascii="Times New Roman"/>
                <w:sz w:val="21"/>
                <w:szCs w:val="21"/>
              </w:rPr>
              <w:t xml:space="preserve">0.00 </w:t>
            </w:r>
          </w:p>
        </w:tc>
        <w:tc>
          <w:tcPr>
            <w:tcW w:w="1315" w:type="dxa"/>
            <w:vAlign w:val="center"/>
          </w:tcPr>
          <w:p w14:paraId="7BDD257A">
            <w:pPr>
              <w:jc w:val="center"/>
              <w:rPr>
                <w:rFonts w:ascii="Times New Roman"/>
                <w:sz w:val="21"/>
                <w:szCs w:val="21"/>
              </w:rPr>
            </w:pPr>
            <w:r>
              <w:rPr>
                <w:rFonts w:hint="eastAsia" w:ascii="Times New Roman"/>
                <w:sz w:val="21"/>
                <w:szCs w:val="21"/>
              </w:rPr>
              <w:t>0.0027</w:t>
            </w:r>
          </w:p>
        </w:tc>
        <w:tc>
          <w:tcPr>
            <w:tcW w:w="1198" w:type="dxa"/>
            <w:gridSpan w:val="2"/>
            <w:vAlign w:val="center"/>
          </w:tcPr>
          <w:p w14:paraId="542BC9DA">
            <w:pPr>
              <w:jc w:val="center"/>
              <w:rPr>
                <w:rFonts w:ascii="Times New Roman"/>
                <w:sz w:val="21"/>
                <w:szCs w:val="21"/>
              </w:rPr>
            </w:pPr>
            <w:r>
              <w:rPr>
                <w:rFonts w:hint="eastAsia" w:ascii="Times New Roman"/>
                <w:sz w:val="21"/>
                <w:szCs w:val="21"/>
              </w:rPr>
              <w:t xml:space="preserve">0.00 </w:t>
            </w:r>
          </w:p>
        </w:tc>
        <w:tc>
          <w:tcPr>
            <w:tcW w:w="1169" w:type="dxa"/>
            <w:vAlign w:val="center"/>
          </w:tcPr>
          <w:p w14:paraId="20BF53F4">
            <w:pPr>
              <w:jc w:val="center"/>
              <w:rPr>
                <w:rFonts w:ascii="Times New Roman"/>
                <w:sz w:val="21"/>
                <w:szCs w:val="21"/>
              </w:rPr>
            </w:pPr>
            <w:r>
              <w:rPr>
                <w:rFonts w:hint="eastAsia" w:ascii="Times New Roman"/>
                <w:sz w:val="21"/>
                <w:szCs w:val="21"/>
              </w:rPr>
              <w:t>0.0005</w:t>
            </w:r>
          </w:p>
        </w:tc>
        <w:tc>
          <w:tcPr>
            <w:tcW w:w="1050" w:type="dxa"/>
            <w:vAlign w:val="center"/>
          </w:tcPr>
          <w:p w14:paraId="7602C9E0">
            <w:pPr>
              <w:jc w:val="center"/>
              <w:rPr>
                <w:rFonts w:ascii="Times New Roman"/>
                <w:sz w:val="21"/>
                <w:szCs w:val="21"/>
              </w:rPr>
            </w:pPr>
            <w:r>
              <w:rPr>
                <w:rFonts w:hint="eastAsia" w:ascii="Times New Roman"/>
                <w:sz w:val="21"/>
                <w:szCs w:val="21"/>
              </w:rPr>
              <w:t xml:space="preserve">0.00 </w:t>
            </w:r>
          </w:p>
        </w:tc>
      </w:tr>
      <w:tr w14:paraId="2818F6C3">
        <w:tblPrEx>
          <w:tblCellMar>
            <w:top w:w="0" w:type="dxa"/>
            <w:left w:w="108" w:type="dxa"/>
            <w:bottom w:w="0" w:type="dxa"/>
            <w:right w:w="108" w:type="dxa"/>
          </w:tblCellMar>
        </w:tblPrEx>
        <w:trPr>
          <w:trHeight w:val="397" w:hRule="atLeast"/>
        </w:trPr>
        <w:tc>
          <w:tcPr>
            <w:tcW w:w="1375" w:type="dxa"/>
            <w:vAlign w:val="center"/>
          </w:tcPr>
          <w:p w14:paraId="78EC8CC0">
            <w:pPr>
              <w:jc w:val="center"/>
              <w:rPr>
                <w:rFonts w:ascii="Times New Roman"/>
                <w:sz w:val="21"/>
                <w:szCs w:val="21"/>
              </w:rPr>
            </w:pPr>
            <w:r>
              <w:rPr>
                <w:rFonts w:ascii="Times New Roman"/>
                <w:sz w:val="21"/>
                <w:szCs w:val="21"/>
              </w:rPr>
              <w:t>14000.0</w:t>
            </w:r>
          </w:p>
        </w:tc>
        <w:tc>
          <w:tcPr>
            <w:tcW w:w="1315" w:type="dxa"/>
            <w:vAlign w:val="center"/>
          </w:tcPr>
          <w:p w14:paraId="2401D136">
            <w:pPr>
              <w:jc w:val="center"/>
              <w:rPr>
                <w:rFonts w:ascii="Times New Roman"/>
                <w:sz w:val="21"/>
                <w:szCs w:val="21"/>
              </w:rPr>
            </w:pPr>
            <w:r>
              <w:rPr>
                <w:rFonts w:hint="eastAsia" w:ascii="Times New Roman"/>
                <w:sz w:val="21"/>
                <w:szCs w:val="21"/>
              </w:rPr>
              <w:t>0.0031</w:t>
            </w:r>
          </w:p>
        </w:tc>
        <w:tc>
          <w:tcPr>
            <w:tcW w:w="1117" w:type="dxa"/>
            <w:gridSpan w:val="2"/>
            <w:vAlign w:val="center"/>
          </w:tcPr>
          <w:p w14:paraId="59CFCF24">
            <w:pPr>
              <w:jc w:val="center"/>
              <w:rPr>
                <w:rFonts w:ascii="Times New Roman"/>
                <w:sz w:val="21"/>
                <w:szCs w:val="21"/>
              </w:rPr>
            </w:pPr>
            <w:r>
              <w:rPr>
                <w:rFonts w:hint="eastAsia" w:ascii="Times New Roman"/>
                <w:sz w:val="21"/>
                <w:szCs w:val="21"/>
              </w:rPr>
              <w:t xml:space="preserve">0.00 </w:t>
            </w:r>
          </w:p>
        </w:tc>
        <w:tc>
          <w:tcPr>
            <w:tcW w:w="1315" w:type="dxa"/>
            <w:vAlign w:val="center"/>
          </w:tcPr>
          <w:p w14:paraId="6F738F0D">
            <w:pPr>
              <w:jc w:val="center"/>
              <w:rPr>
                <w:rFonts w:ascii="Times New Roman"/>
                <w:sz w:val="21"/>
                <w:szCs w:val="21"/>
              </w:rPr>
            </w:pPr>
            <w:r>
              <w:rPr>
                <w:rFonts w:hint="eastAsia" w:ascii="Times New Roman"/>
                <w:sz w:val="21"/>
                <w:szCs w:val="21"/>
              </w:rPr>
              <w:t>0.0024</w:t>
            </w:r>
          </w:p>
        </w:tc>
        <w:tc>
          <w:tcPr>
            <w:tcW w:w="1198" w:type="dxa"/>
            <w:gridSpan w:val="2"/>
            <w:vAlign w:val="center"/>
          </w:tcPr>
          <w:p w14:paraId="0940A04D">
            <w:pPr>
              <w:jc w:val="center"/>
              <w:rPr>
                <w:rFonts w:ascii="Times New Roman"/>
                <w:sz w:val="21"/>
                <w:szCs w:val="21"/>
              </w:rPr>
            </w:pPr>
            <w:r>
              <w:rPr>
                <w:rFonts w:hint="eastAsia" w:ascii="Times New Roman"/>
                <w:sz w:val="21"/>
                <w:szCs w:val="21"/>
              </w:rPr>
              <w:t xml:space="preserve">0.00 </w:t>
            </w:r>
          </w:p>
        </w:tc>
        <w:tc>
          <w:tcPr>
            <w:tcW w:w="1169" w:type="dxa"/>
            <w:vAlign w:val="center"/>
          </w:tcPr>
          <w:p w14:paraId="3825B90F">
            <w:pPr>
              <w:jc w:val="center"/>
              <w:rPr>
                <w:rFonts w:ascii="Times New Roman"/>
                <w:sz w:val="21"/>
                <w:szCs w:val="21"/>
              </w:rPr>
            </w:pPr>
            <w:r>
              <w:rPr>
                <w:rFonts w:hint="eastAsia" w:ascii="Times New Roman"/>
                <w:sz w:val="21"/>
                <w:szCs w:val="21"/>
              </w:rPr>
              <w:t>0.0005</w:t>
            </w:r>
          </w:p>
        </w:tc>
        <w:tc>
          <w:tcPr>
            <w:tcW w:w="1050" w:type="dxa"/>
            <w:vAlign w:val="center"/>
          </w:tcPr>
          <w:p w14:paraId="3244EBF0">
            <w:pPr>
              <w:jc w:val="center"/>
              <w:rPr>
                <w:rFonts w:ascii="Times New Roman"/>
                <w:sz w:val="21"/>
                <w:szCs w:val="21"/>
              </w:rPr>
            </w:pPr>
            <w:r>
              <w:rPr>
                <w:rFonts w:hint="eastAsia" w:ascii="Times New Roman"/>
                <w:sz w:val="21"/>
                <w:szCs w:val="21"/>
              </w:rPr>
              <w:t xml:space="preserve">0.00 </w:t>
            </w:r>
          </w:p>
        </w:tc>
      </w:tr>
      <w:tr w14:paraId="6374B1B9">
        <w:tblPrEx>
          <w:tblCellMar>
            <w:top w:w="0" w:type="dxa"/>
            <w:left w:w="108" w:type="dxa"/>
            <w:bottom w:w="0" w:type="dxa"/>
            <w:right w:w="108" w:type="dxa"/>
          </w:tblCellMar>
        </w:tblPrEx>
        <w:trPr>
          <w:trHeight w:val="397" w:hRule="atLeast"/>
        </w:trPr>
        <w:tc>
          <w:tcPr>
            <w:tcW w:w="1375" w:type="dxa"/>
            <w:vAlign w:val="center"/>
          </w:tcPr>
          <w:p w14:paraId="77293CB1">
            <w:pPr>
              <w:jc w:val="center"/>
              <w:rPr>
                <w:rFonts w:ascii="Times New Roman"/>
                <w:sz w:val="21"/>
                <w:szCs w:val="21"/>
              </w:rPr>
            </w:pPr>
            <w:r>
              <w:rPr>
                <w:rFonts w:ascii="Times New Roman"/>
                <w:sz w:val="21"/>
                <w:szCs w:val="21"/>
              </w:rPr>
              <w:t>15000.0</w:t>
            </w:r>
          </w:p>
        </w:tc>
        <w:tc>
          <w:tcPr>
            <w:tcW w:w="1315" w:type="dxa"/>
            <w:vAlign w:val="center"/>
          </w:tcPr>
          <w:p w14:paraId="58F264B0">
            <w:pPr>
              <w:jc w:val="center"/>
              <w:rPr>
                <w:rFonts w:ascii="Times New Roman"/>
                <w:sz w:val="21"/>
                <w:szCs w:val="21"/>
              </w:rPr>
            </w:pPr>
            <w:r>
              <w:rPr>
                <w:rFonts w:hint="eastAsia" w:ascii="Times New Roman"/>
                <w:sz w:val="21"/>
                <w:szCs w:val="21"/>
              </w:rPr>
              <w:t>0.0028</w:t>
            </w:r>
          </w:p>
        </w:tc>
        <w:tc>
          <w:tcPr>
            <w:tcW w:w="1117" w:type="dxa"/>
            <w:gridSpan w:val="2"/>
            <w:vAlign w:val="center"/>
          </w:tcPr>
          <w:p w14:paraId="405021E7">
            <w:pPr>
              <w:jc w:val="center"/>
              <w:rPr>
                <w:rFonts w:ascii="Times New Roman"/>
                <w:sz w:val="21"/>
                <w:szCs w:val="21"/>
              </w:rPr>
            </w:pPr>
            <w:r>
              <w:rPr>
                <w:rFonts w:hint="eastAsia" w:ascii="Times New Roman"/>
                <w:sz w:val="21"/>
                <w:szCs w:val="21"/>
              </w:rPr>
              <w:t xml:space="preserve">0.00 </w:t>
            </w:r>
          </w:p>
        </w:tc>
        <w:tc>
          <w:tcPr>
            <w:tcW w:w="1315" w:type="dxa"/>
            <w:vAlign w:val="center"/>
          </w:tcPr>
          <w:p w14:paraId="746119EF">
            <w:pPr>
              <w:jc w:val="center"/>
              <w:rPr>
                <w:rFonts w:ascii="Times New Roman"/>
                <w:sz w:val="21"/>
                <w:szCs w:val="21"/>
              </w:rPr>
            </w:pPr>
            <w:r>
              <w:rPr>
                <w:rFonts w:hint="eastAsia" w:ascii="Times New Roman"/>
                <w:sz w:val="21"/>
                <w:szCs w:val="21"/>
              </w:rPr>
              <w:t>0.0022</w:t>
            </w:r>
          </w:p>
        </w:tc>
        <w:tc>
          <w:tcPr>
            <w:tcW w:w="1198" w:type="dxa"/>
            <w:gridSpan w:val="2"/>
            <w:vAlign w:val="center"/>
          </w:tcPr>
          <w:p w14:paraId="410C4C6F">
            <w:pPr>
              <w:jc w:val="center"/>
              <w:rPr>
                <w:rFonts w:ascii="Times New Roman"/>
                <w:sz w:val="21"/>
                <w:szCs w:val="21"/>
              </w:rPr>
            </w:pPr>
            <w:r>
              <w:rPr>
                <w:rFonts w:hint="eastAsia" w:ascii="Times New Roman"/>
                <w:sz w:val="21"/>
                <w:szCs w:val="21"/>
              </w:rPr>
              <w:t xml:space="preserve">0.00 </w:t>
            </w:r>
          </w:p>
        </w:tc>
        <w:tc>
          <w:tcPr>
            <w:tcW w:w="1169" w:type="dxa"/>
            <w:vAlign w:val="center"/>
          </w:tcPr>
          <w:p w14:paraId="454A06EA">
            <w:pPr>
              <w:jc w:val="center"/>
              <w:rPr>
                <w:rFonts w:ascii="Times New Roman"/>
                <w:sz w:val="21"/>
                <w:szCs w:val="21"/>
              </w:rPr>
            </w:pPr>
            <w:r>
              <w:rPr>
                <w:rFonts w:hint="eastAsia" w:ascii="Times New Roman"/>
                <w:sz w:val="21"/>
                <w:szCs w:val="21"/>
              </w:rPr>
              <w:t>0.0004</w:t>
            </w:r>
          </w:p>
        </w:tc>
        <w:tc>
          <w:tcPr>
            <w:tcW w:w="1050" w:type="dxa"/>
            <w:vAlign w:val="center"/>
          </w:tcPr>
          <w:p w14:paraId="701246E1">
            <w:pPr>
              <w:jc w:val="center"/>
              <w:rPr>
                <w:rFonts w:ascii="Times New Roman"/>
                <w:sz w:val="21"/>
                <w:szCs w:val="21"/>
              </w:rPr>
            </w:pPr>
            <w:r>
              <w:rPr>
                <w:rFonts w:hint="eastAsia" w:ascii="Times New Roman"/>
                <w:sz w:val="21"/>
                <w:szCs w:val="21"/>
              </w:rPr>
              <w:t xml:space="preserve">0.00 </w:t>
            </w:r>
          </w:p>
        </w:tc>
      </w:tr>
      <w:tr w14:paraId="36D862F8">
        <w:tblPrEx>
          <w:tblCellMar>
            <w:top w:w="0" w:type="dxa"/>
            <w:left w:w="108" w:type="dxa"/>
            <w:bottom w:w="0" w:type="dxa"/>
            <w:right w:w="108" w:type="dxa"/>
          </w:tblCellMar>
        </w:tblPrEx>
        <w:trPr>
          <w:trHeight w:val="397" w:hRule="atLeast"/>
        </w:trPr>
        <w:tc>
          <w:tcPr>
            <w:tcW w:w="1375" w:type="dxa"/>
            <w:vAlign w:val="center"/>
          </w:tcPr>
          <w:p w14:paraId="3974D308">
            <w:pPr>
              <w:jc w:val="center"/>
              <w:rPr>
                <w:rFonts w:ascii="Times New Roman"/>
                <w:sz w:val="21"/>
                <w:szCs w:val="21"/>
              </w:rPr>
            </w:pPr>
            <w:r>
              <w:rPr>
                <w:rFonts w:ascii="Times New Roman"/>
                <w:sz w:val="21"/>
                <w:szCs w:val="21"/>
              </w:rPr>
              <w:t>20000.0</w:t>
            </w:r>
          </w:p>
        </w:tc>
        <w:tc>
          <w:tcPr>
            <w:tcW w:w="1315" w:type="dxa"/>
            <w:vAlign w:val="center"/>
          </w:tcPr>
          <w:p w14:paraId="67E83E06">
            <w:pPr>
              <w:jc w:val="center"/>
              <w:rPr>
                <w:rFonts w:ascii="Times New Roman"/>
                <w:sz w:val="21"/>
                <w:szCs w:val="21"/>
              </w:rPr>
            </w:pPr>
            <w:r>
              <w:rPr>
                <w:rFonts w:hint="eastAsia" w:ascii="Times New Roman"/>
                <w:sz w:val="21"/>
                <w:szCs w:val="21"/>
              </w:rPr>
              <w:t>0.0018</w:t>
            </w:r>
          </w:p>
        </w:tc>
        <w:tc>
          <w:tcPr>
            <w:tcW w:w="1117" w:type="dxa"/>
            <w:gridSpan w:val="2"/>
            <w:vAlign w:val="center"/>
          </w:tcPr>
          <w:p w14:paraId="7E772A59">
            <w:pPr>
              <w:jc w:val="center"/>
              <w:rPr>
                <w:rFonts w:ascii="Times New Roman"/>
                <w:sz w:val="21"/>
                <w:szCs w:val="21"/>
              </w:rPr>
            </w:pPr>
            <w:r>
              <w:rPr>
                <w:rFonts w:hint="eastAsia" w:ascii="Times New Roman"/>
                <w:sz w:val="21"/>
                <w:szCs w:val="21"/>
              </w:rPr>
              <w:t xml:space="preserve">0.00 </w:t>
            </w:r>
          </w:p>
        </w:tc>
        <w:tc>
          <w:tcPr>
            <w:tcW w:w="1315" w:type="dxa"/>
            <w:vAlign w:val="center"/>
          </w:tcPr>
          <w:p w14:paraId="524816D8">
            <w:pPr>
              <w:jc w:val="center"/>
              <w:rPr>
                <w:rFonts w:ascii="Times New Roman"/>
                <w:sz w:val="21"/>
                <w:szCs w:val="21"/>
              </w:rPr>
            </w:pPr>
            <w:r>
              <w:rPr>
                <w:rFonts w:hint="eastAsia" w:ascii="Times New Roman"/>
                <w:sz w:val="21"/>
                <w:szCs w:val="21"/>
              </w:rPr>
              <w:t>0.0014</w:t>
            </w:r>
          </w:p>
        </w:tc>
        <w:tc>
          <w:tcPr>
            <w:tcW w:w="1198" w:type="dxa"/>
            <w:gridSpan w:val="2"/>
            <w:vAlign w:val="center"/>
          </w:tcPr>
          <w:p w14:paraId="69192814">
            <w:pPr>
              <w:jc w:val="center"/>
              <w:rPr>
                <w:rFonts w:ascii="Times New Roman"/>
                <w:sz w:val="21"/>
                <w:szCs w:val="21"/>
              </w:rPr>
            </w:pPr>
            <w:r>
              <w:rPr>
                <w:rFonts w:hint="eastAsia" w:ascii="Times New Roman"/>
                <w:sz w:val="21"/>
                <w:szCs w:val="21"/>
              </w:rPr>
              <w:t xml:space="preserve">0.00 </w:t>
            </w:r>
          </w:p>
        </w:tc>
        <w:tc>
          <w:tcPr>
            <w:tcW w:w="1169" w:type="dxa"/>
            <w:vAlign w:val="center"/>
          </w:tcPr>
          <w:p w14:paraId="549AD22B">
            <w:pPr>
              <w:jc w:val="center"/>
              <w:rPr>
                <w:rFonts w:ascii="Times New Roman"/>
                <w:sz w:val="21"/>
                <w:szCs w:val="21"/>
              </w:rPr>
            </w:pPr>
            <w:r>
              <w:rPr>
                <w:rFonts w:hint="eastAsia" w:ascii="Times New Roman"/>
                <w:sz w:val="21"/>
                <w:szCs w:val="21"/>
              </w:rPr>
              <w:t>0.0003</w:t>
            </w:r>
          </w:p>
        </w:tc>
        <w:tc>
          <w:tcPr>
            <w:tcW w:w="1050" w:type="dxa"/>
            <w:vAlign w:val="center"/>
          </w:tcPr>
          <w:p w14:paraId="370AEE6D">
            <w:pPr>
              <w:jc w:val="center"/>
              <w:rPr>
                <w:rFonts w:ascii="Times New Roman"/>
                <w:sz w:val="21"/>
                <w:szCs w:val="21"/>
              </w:rPr>
            </w:pPr>
            <w:r>
              <w:rPr>
                <w:rFonts w:hint="eastAsia" w:ascii="Times New Roman"/>
                <w:sz w:val="21"/>
                <w:szCs w:val="21"/>
              </w:rPr>
              <w:t xml:space="preserve">0.00 </w:t>
            </w:r>
          </w:p>
        </w:tc>
      </w:tr>
      <w:tr w14:paraId="362BAEF6">
        <w:tblPrEx>
          <w:tblCellMar>
            <w:top w:w="0" w:type="dxa"/>
            <w:left w:w="108" w:type="dxa"/>
            <w:bottom w:w="0" w:type="dxa"/>
            <w:right w:w="108" w:type="dxa"/>
          </w:tblCellMar>
        </w:tblPrEx>
        <w:trPr>
          <w:trHeight w:val="397" w:hRule="atLeast"/>
        </w:trPr>
        <w:tc>
          <w:tcPr>
            <w:tcW w:w="1375" w:type="dxa"/>
            <w:vAlign w:val="center"/>
          </w:tcPr>
          <w:p w14:paraId="273E55DE">
            <w:pPr>
              <w:jc w:val="center"/>
              <w:rPr>
                <w:rFonts w:ascii="Times New Roman"/>
                <w:sz w:val="21"/>
                <w:szCs w:val="21"/>
              </w:rPr>
            </w:pPr>
            <w:r>
              <w:rPr>
                <w:rFonts w:ascii="Times New Roman"/>
                <w:sz w:val="21"/>
                <w:szCs w:val="21"/>
              </w:rPr>
              <w:t>25000.0</w:t>
            </w:r>
          </w:p>
        </w:tc>
        <w:tc>
          <w:tcPr>
            <w:tcW w:w="1315" w:type="dxa"/>
            <w:vAlign w:val="center"/>
          </w:tcPr>
          <w:p w14:paraId="16EAEDAE">
            <w:pPr>
              <w:jc w:val="center"/>
              <w:rPr>
                <w:rFonts w:ascii="Times New Roman"/>
                <w:sz w:val="21"/>
                <w:szCs w:val="21"/>
              </w:rPr>
            </w:pPr>
            <w:r>
              <w:rPr>
                <w:rFonts w:hint="eastAsia" w:ascii="Times New Roman"/>
                <w:sz w:val="21"/>
                <w:szCs w:val="21"/>
              </w:rPr>
              <w:t>0.0013</w:t>
            </w:r>
          </w:p>
        </w:tc>
        <w:tc>
          <w:tcPr>
            <w:tcW w:w="1117" w:type="dxa"/>
            <w:gridSpan w:val="2"/>
            <w:vAlign w:val="center"/>
          </w:tcPr>
          <w:p w14:paraId="482FA99D">
            <w:pPr>
              <w:jc w:val="center"/>
              <w:rPr>
                <w:rFonts w:ascii="Times New Roman"/>
                <w:sz w:val="21"/>
                <w:szCs w:val="21"/>
              </w:rPr>
            </w:pPr>
            <w:r>
              <w:rPr>
                <w:rFonts w:hint="eastAsia" w:ascii="Times New Roman"/>
                <w:sz w:val="21"/>
                <w:szCs w:val="21"/>
              </w:rPr>
              <w:t xml:space="preserve">0.00 </w:t>
            </w:r>
          </w:p>
        </w:tc>
        <w:tc>
          <w:tcPr>
            <w:tcW w:w="1315" w:type="dxa"/>
            <w:vAlign w:val="center"/>
          </w:tcPr>
          <w:p w14:paraId="118C46FB">
            <w:pPr>
              <w:jc w:val="center"/>
              <w:rPr>
                <w:rFonts w:ascii="Times New Roman"/>
                <w:sz w:val="21"/>
                <w:szCs w:val="21"/>
              </w:rPr>
            </w:pPr>
            <w:r>
              <w:rPr>
                <w:rFonts w:hint="eastAsia" w:ascii="Times New Roman"/>
                <w:sz w:val="21"/>
                <w:szCs w:val="21"/>
              </w:rPr>
              <w:t>0.001</w:t>
            </w:r>
          </w:p>
        </w:tc>
        <w:tc>
          <w:tcPr>
            <w:tcW w:w="1198" w:type="dxa"/>
            <w:gridSpan w:val="2"/>
            <w:vAlign w:val="center"/>
          </w:tcPr>
          <w:p w14:paraId="5E6C3D74">
            <w:pPr>
              <w:jc w:val="center"/>
              <w:rPr>
                <w:rFonts w:ascii="Times New Roman"/>
                <w:sz w:val="21"/>
                <w:szCs w:val="21"/>
              </w:rPr>
            </w:pPr>
            <w:r>
              <w:rPr>
                <w:rFonts w:hint="eastAsia" w:ascii="Times New Roman"/>
                <w:sz w:val="21"/>
                <w:szCs w:val="21"/>
              </w:rPr>
              <w:t xml:space="preserve">0.00 </w:t>
            </w:r>
          </w:p>
        </w:tc>
        <w:tc>
          <w:tcPr>
            <w:tcW w:w="1169" w:type="dxa"/>
            <w:vAlign w:val="center"/>
          </w:tcPr>
          <w:p w14:paraId="4C07AC5A">
            <w:pPr>
              <w:jc w:val="center"/>
              <w:rPr>
                <w:rFonts w:ascii="Times New Roman"/>
                <w:sz w:val="21"/>
                <w:szCs w:val="21"/>
              </w:rPr>
            </w:pPr>
            <w:r>
              <w:rPr>
                <w:rFonts w:hint="eastAsia" w:ascii="Times New Roman"/>
                <w:sz w:val="21"/>
                <w:szCs w:val="21"/>
              </w:rPr>
              <w:t>0.0002</w:t>
            </w:r>
          </w:p>
        </w:tc>
        <w:tc>
          <w:tcPr>
            <w:tcW w:w="1050" w:type="dxa"/>
            <w:vAlign w:val="center"/>
          </w:tcPr>
          <w:p w14:paraId="4A322739">
            <w:pPr>
              <w:jc w:val="center"/>
              <w:rPr>
                <w:rFonts w:ascii="Times New Roman"/>
                <w:sz w:val="21"/>
                <w:szCs w:val="21"/>
              </w:rPr>
            </w:pPr>
            <w:r>
              <w:rPr>
                <w:rFonts w:hint="eastAsia" w:ascii="Times New Roman"/>
                <w:sz w:val="21"/>
                <w:szCs w:val="21"/>
              </w:rPr>
              <w:t xml:space="preserve">0.00 </w:t>
            </w:r>
          </w:p>
        </w:tc>
      </w:tr>
      <w:tr w14:paraId="7A622011">
        <w:tblPrEx>
          <w:tblCellMar>
            <w:top w:w="0" w:type="dxa"/>
            <w:left w:w="108" w:type="dxa"/>
            <w:bottom w:w="0" w:type="dxa"/>
            <w:right w:w="108" w:type="dxa"/>
          </w:tblCellMar>
        </w:tblPrEx>
        <w:trPr>
          <w:trHeight w:val="475" w:hRule="atLeast"/>
        </w:trPr>
        <w:tc>
          <w:tcPr>
            <w:tcW w:w="1375" w:type="dxa"/>
            <w:vAlign w:val="center"/>
          </w:tcPr>
          <w:p w14:paraId="408EA665">
            <w:pPr>
              <w:jc w:val="center"/>
              <w:rPr>
                <w:rFonts w:ascii="Times New Roman"/>
                <w:sz w:val="21"/>
                <w:szCs w:val="21"/>
              </w:rPr>
            </w:pPr>
            <w:r>
              <w:rPr>
                <w:rFonts w:ascii="Times New Roman"/>
                <w:sz w:val="21"/>
                <w:szCs w:val="21"/>
              </w:rPr>
              <w:t>下风向最大浓度</w:t>
            </w:r>
          </w:p>
        </w:tc>
        <w:tc>
          <w:tcPr>
            <w:tcW w:w="1315" w:type="dxa"/>
            <w:vAlign w:val="center"/>
          </w:tcPr>
          <w:p w14:paraId="3D10F3F9">
            <w:pPr>
              <w:jc w:val="center"/>
              <w:rPr>
                <w:rFonts w:ascii="Times New Roman"/>
                <w:sz w:val="21"/>
                <w:szCs w:val="21"/>
              </w:rPr>
            </w:pPr>
            <w:r>
              <w:rPr>
                <w:rFonts w:hint="eastAsia" w:ascii="Times New Roman"/>
                <w:sz w:val="21"/>
                <w:szCs w:val="21"/>
              </w:rPr>
              <w:t>0.3048</w:t>
            </w:r>
          </w:p>
        </w:tc>
        <w:tc>
          <w:tcPr>
            <w:tcW w:w="1117" w:type="dxa"/>
            <w:gridSpan w:val="2"/>
            <w:vAlign w:val="center"/>
          </w:tcPr>
          <w:p w14:paraId="2EE47D56">
            <w:pPr>
              <w:jc w:val="center"/>
              <w:rPr>
                <w:rFonts w:ascii="Times New Roman"/>
                <w:sz w:val="21"/>
                <w:szCs w:val="21"/>
              </w:rPr>
            </w:pPr>
            <w:r>
              <w:rPr>
                <w:rFonts w:ascii="Times New Roman"/>
                <w:sz w:val="21"/>
                <w:szCs w:val="21"/>
              </w:rPr>
              <w:t>0.0</w:t>
            </w:r>
            <w:r>
              <w:rPr>
                <w:rFonts w:hint="eastAsia" w:ascii="Times New Roman"/>
                <w:sz w:val="21"/>
                <w:szCs w:val="21"/>
              </w:rPr>
              <w:t>7</w:t>
            </w:r>
          </w:p>
        </w:tc>
        <w:tc>
          <w:tcPr>
            <w:tcW w:w="1315" w:type="dxa"/>
            <w:vAlign w:val="center"/>
          </w:tcPr>
          <w:p w14:paraId="56336F82">
            <w:pPr>
              <w:jc w:val="center"/>
              <w:rPr>
                <w:rFonts w:ascii="Times New Roman"/>
                <w:sz w:val="21"/>
                <w:szCs w:val="21"/>
              </w:rPr>
            </w:pPr>
            <w:r>
              <w:rPr>
                <w:rFonts w:hint="eastAsia" w:ascii="Times New Roman"/>
                <w:sz w:val="21"/>
                <w:szCs w:val="21"/>
              </w:rPr>
              <w:t>0.2345</w:t>
            </w:r>
          </w:p>
        </w:tc>
        <w:tc>
          <w:tcPr>
            <w:tcW w:w="1198" w:type="dxa"/>
            <w:gridSpan w:val="2"/>
            <w:vAlign w:val="center"/>
          </w:tcPr>
          <w:p w14:paraId="5350AD4A">
            <w:pPr>
              <w:jc w:val="center"/>
              <w:rPr>
                <w:rFonts w:ascii="Times New Roman"/>
                <w:sz w:val="21"/>
                <w:szCs w:val="21"/>
              </w:rPr>
            </w:pPr>
            <w:r>
              <w:rPr>
                <w:rFonts w:ascii="Times New Roman"/>
                <w:sz w:val="21"/>
                <w:szCs w:val="21"/>
              </w:rPr>
              <w:t>0.0</w:t>
            </w:r>
            <w:r>
              <w:rPr>
                <w:rFonts w:hint="eastAsia" w:ascii="Times New Roman"/>
                <w:sz w:val="21"/>
                <w:szCs w:val="21"/>
              </w:rPr>
              <w:t>1</w:t>
            </w:r>
          </w:p>
        </w:tc>
        <w:tc>
          <w:tcPr>
            <w:tcW w:w="1169" w:type="dxa"/>
            <w:vAlign w:val="center"/>
          </w:tcPr>
          <w:p w14:paraId="1C910980">
            <w:pPr>
              <w:jc w:val="center"/>
              <w:rPr>
                <w:rFonts w:ascii="Times New Roman"/>
                <w:sz w:val="21"/>
                <w:szCs w:val="21"/>
              </w:rPr>
            </w:pPr>
            <w:r>
              <w:rPr>
                <w:rFonts w:hint="eastAsia" w:ascii="Times New Roman"/>
                <w:sz w:val="21"/>
                <w:szCs w:val="21"/>
              </w:rPr>
              <w:t>0.0469</w:t>
            </w:r>
          </w:p>
        </w:tc>
        <w:tc>
          <w:tcPr>
            <w:tcW w:w="1050" w:type="dxa"/>
            <w:vAlign w:val="center"/>
          </w:tcPr>
          <w:p w14:paraId="4874A18C">
            <w:pPr>
              <w:jc w:val="center"/>
              <w:rPr>
                <w:rFonts w:ascii="Times New Roman"/>
                <w:sz w:val="21"/>
                <w:szCs w:val="21"/>
              </w:rPr>
            </w:pPr>
            <w:r>
              <w:rPr>
                <w:rFonts w:ascii="Times New Roman"/>
                <w:sz w:val="21"/>
                <w:szCs w:val="21"/>
              </w:rPr>
              <w:t>0.0</w:t>
            </w:r>
            <w:r>
              <w:rPr>
                <w:rFonts w:hint="eastAsia" w:ascii="Times New Roman"/>
                <w:sz w:val="21"/>
                <w:szCs w:val="21"/>
              </w:rPr>
              <w:t>1</w:t>
            </w:r>
          </w:p>
        </w:tc>
      </w:tr>
      <w:tr w14:paraId="088971DD">
        <w:tblPrEx>
          <w:tblCellMar>
            <w:top w:w="0" w:type="dxa"/>
            <w:left w:w="108" w:type="dxa"/>
            <w:bottom w:w="0" w:type="dxa"/>
            <w:right w:w="108" w:type="dxa"/>
          </w:tblCellMar>
        </w:tblPrEx>
        <w:trPr>
          <w:trHeight w:val="556" w:hRule="atLeast"/>
        </w:trPr>
        <w:tc>
          <w:tcPr>
            <w:tcW w:w="1375" w:type="dxa"/>
            <w:vAlign w:val="center"/>
          </w:tcPr>
          <w:p w14:paraId="02F36409">
            <w:pPr>
              <w:jc w:val="center"/>
              <w:rPr>
                <w:rFonts w:ascii="Times New Roman"/>
                <w:sz w:val="21"/>
                <w:szCs w:val="21"/>
              </w:rPr>
            </w:pPr>
            <w:r>
              <w:rPr>
                <w:rFonts w:ascii="Times New Roman"/>
                <w:sz w:val="21"/>
                <w:szCs w:val="21"/>
              </w:rPr>
              <w:t>下风向最大浓度出现距离</w:t>
            </w:r>
          </w:p>
        </w:tc>
        <w:tc>
          <w:tcPr>
            <w:tcW w:w="1315" w:type="dxa"/>
            <w:vAlign w:val="center"/>
          </w:tcPr>
          <w:p w14:paraId="05B3946E">
            <w:pPr>
              <w:jc w:val="center"/>
              <w:rPr>
                <w:rFonts w:ascii="Times New Roman"/>
                <w:sz w:val="21"/>
                <w:szCs w:val="21"/>
              </w:rPr>
            </w:pPr>
            <w:r>
              <w:rPr>
                <w:rFonts w:hint="eastAsia" w:ascii="Times New Roman"/>
                <w:sz w:val="21"/>
                <w:szCs w:val="21"/>
              </w:rPr>
              <w:t>32</w:t>
            </w:r>
            <w:r>
              <w:rPr>
                <w:rFonts w:ascii="Times New Roman"/>
                <w:sz w:val="21"/>
                <w:szCs w:val="21"/>
              </w:rPr>
              <w:t>.0</w:t>
            </w:r>
          </w:p>
        </w:tc>
        <w:tc>
          <w:tcPr>
            <w:tcW w:w="1117" w:type="dxa"/>
            <w:gridSpan w:val="2"/>
            <w:vAlign w:val="center"/>
          </w:tcPr>
          <w:p w14:paraId="1068A70B">
            <w:pPr>
              <w:jc w:val="center"/>
              <w:rPr>
                <w:rFonts w:ascii="Times New Roman"/>
                <w:sz w:val="21"/>
                <w:szCs w:val="21"/>
              </w:rPr>
            </w:pPr>
            <w:r>
              <w:rPr>
                <w:rFonts w:hint="eastAsia" w:ascii="Times New Roman"/>
                <w:sz w:val="21"/>
                <w:szCs w:val="21"/>
              </w:rPr>
              <w:t>32</w:t>
            </w:r>
            <w:r>
              <w:rPr>
                <w:rFonts w:ascii="Times New Roman"/>
                <w:sz w:val="21"/>
                <w:szCs w:val="21"/>
              </w:rPr>
              <w:t>.0</w:t>
            </w:r>
          </w:p>
        </w:tc>
        <w:tc>
          <w:tcPr>
            <w:tcW w:w="1315" w:type="dxa"/>
            <w:vAlign w:val="center"/>
          </w:tcPr>
          <w:p w14:paraId="7DFC1482">
            <w:pPr>
              <w:jc w:val="center"/>
              <w:rPr>
                <w:rFonts w:ascii="Times New Roman"/>
                <w:sz w:val="21"/>
                <w:szCs w:val="21"/>
              </w:rPr>
            </w:pPr>
            <w:r>
              <w:rPr>
                <w:rFonts w:hint="eastAsia" w:ascii="Times New Roman"/>
                <w:sz w:val="21"/>
                <w:szCs w:val="21"/>
              </w:rPr>
              <w:t>32</w:t>
            </w:r>
            <w:r>
              <w:rPr>
                <w:rFonts w:ascii="Times New Roman"/>
                <w:sz w:val="21"/>
                <w:szCs w:val="21"/>
              </w:rPr>
              <w:t>.0</w:t>
            </w:r>
          </w:p>
        </w:tc>
        <w:tc>
          <w:tcPr>
            <w:tcW w:w="1198" w:type="dxa"/>
            <w:gridSpan w:val="2"/>
            <w:vAlign w:val="center"/>
          </w:tcPr>
          <w:p w14:paraId="72174E39">
            <w:pPr>
              <w:jc w:val="center"/>
              <w:rPr>
                <w:rFonts w:ascii="Times New Roman"/>
                <w:sz w:val="21"/>
                <w:szCs w:val="21"/>
              </w:rPr>
            </w:pPr>
            <w:r>
              <w:rPr>
                <w:rFonts w:hint="eastAsia" w:ascii="Times New Roman"/>
                <w:sz w:val="21"/>
                <w:szCs w:val="21"/>
              </w:rPr>
              <w:t>32</w:t>
            </w:r>
            <w:r>
              <w:rPr>
                <w:rFonts w:ascii="Times New Roman"/>
                <w:sz w:val="21"/>
                <w:szCs w:val="21"/>
              </w:rPr>
              <w:t>.0</w:t>
            </w:r>
          </w:p>
        </w:tc>
        <w:tc>
          <w:tcPr>
            <w:tcW w:w="1169" w:type="dxa"/>
            <w:vAlign w:val="center"/>
          </w:tcPr>
          <w:p w14:paraId="1D086A50">
            <w:pPr>
              <w:jc w:val="center"/>
              <w:rPr>
                <w:rFonts w:ascii="Times New Roman"/>
                <w:sz w:val="21"/>
                <w:szCs w:val="21"/>
              </w:rPr>
            </w:pPr>
            <w:r>
              <w:rPr>
                <w:rFonts w:hint="eastAsia" w:ascii="Times New Roman"/>
                <w:sz w:val="21"/>
                <w:szCs w:val="21"/>
              </w:rPr>
              <w:t>32</w:t>
            </w:r>
            <w:r>
              <w:rPr>
                <w:rFonts w:ascii="Times New Roman"/>
                <w:sz w:val="21"/>
                <w:szCs w:val="21"/>
              </w:rPr>
              <w:t>.0</w:t>
            </w:r>
          </w:p>
        </w:tc>
        <w:tc>
          <w:tcPr>
            <w:tcW w:w="1050" w:type="dxa"/>
            <w:vAlign w:val="center"/>
          </w:tcPr>
          <w:p w14:paraId="49842F5B">
            <w:pPr>
              <w:jc w:val="center"/>
              <w:rPr>
                <w:rFonts w:ascii="Times New Roman"/>
                <w:sz w:val="21"/>
                <w:szCs w:val="21"/>
              </w:rPr>
            </w:pPr>
            <w:r>
              <w:rPr>
                <w:rFonts w:hint="eastAsia" w:ascii="Times New Roman"/>
                <w:sz w:val="21"/>
                <w:szCs w:val="21"/>
              </w:rPr>
              <w:t>32</w:t>
            </w:r>
            <w:r>
              <w:rPr>
                <w:rFonts w:ascii="Times New Roman"/>
                <w:sz w:val="21"/>
                <w:szCs w:val="21"/>
              </w:rPr>
              <w:t>.0</w:t>
            </w:r>
          </w:p>
        </w:tc>
      </w:tr>
      <w:tr w14:paraId="778CFBBB">
        <w:tblPrEx>
          <w:tblCellMar>
            <w:top w:w="0" w:type="dxa"/>
            <w:left w:w="108" w:type="dxa"/>
            <w:bottom w:w="0" w:type="dxa"/>
            <w:right w:w="108" w:type="dxa"/>
          </w:tblCellMar>
        </w:tblPrEx>
        <w:trPr>
          <w:trHeight w:val="478" w:hRule="atLeast"/>
        </w:trPr>
        <w:tc>
          <w:tcPr>
            <w:tcW w:w="1375" w:type="dxa"/>
            <w:vAlign w:val="center"/>
          </w:tcPr>
          <w:p w14:paraId="0896BFDC">
            <w:pPr>
              <w:jc w:val="center"/>
              <w:rPr>
                <w:rFonts w:ascii="Times New Roman"/>
                <w:sz w:val="21"/>
                <w:szCs w:val="21"/>
              </w:rPr>
            </w:pPr>
            <w:r>
              <w:rPr>
                <w:rFonts w:ascii="Times New Roman"/>
                <w:sz w:val="21"/>
                <w:szCs w:val="21"/>
              </w:rPr>
              <w:t>D10%最远距离</w:t>
            </w:r>
          </w:p>
        </w:tc>
        <w:tc>
          <w:tcPr>
            <w:tcW w:w="1315" w:type="dxa"/>
            <w:vAlign w:val="center"/>
          </w:tcPr>
          <w:p w14:paraId="529E6A7E">
            <w:pPr>
              <w:jc w:val="center"/>
              <w:rPr>
                <w:rFonts w:ascii="Times New Roman"/>
                <w:sz w:val="21"/>
                <w:szCs w:val="21"/>
              </w:rPr>
            </w:pPr>
            <w:r>
              <w:rPr>
                <w:rFonts w:ascii="Times New Roman"/>
                <w:sz w:val="21"/>
                <w:szCs w:val="21"/>
              </w:rPr>
              <w:t>/</w:t>
            </w:r>
          </w:p>
        </w:tc>
        <w:tc>
          <w:tcPr>
            <w:tcW w:w="1117" w:type="dxa"/>
            <w:gridSpan w:val="2"/>
            <w:vAlign w:val="center"/>
          </w:tcPr>
          <w:p w14:paraId="0FC66CBD">
            <w:pPr>
              <w:jc w:val="center"/>
              <w:rPr>
                <w:rFonts w:ascii="Times New Roman"/>
                <w:sz w:val="21"/>
                <w:szCs w:val="21"/>
              </w:rPr>
            </w:pPr>
            <w:r>
              <w:rPr>
                <w:rFonts w:ascii="Times New Roman"/>
                <w:sz w:val="21"/>
                <w:szCs w:val="21"/>
              </w:rPr>
              <w:t>/</w:t>
            </w:r>
          </w:p>
        </w:tc>
        <w:tc>
          <w:tcPr>
            <w:tcW w:w="1315" w:type="dxa"/>
            <w:vAlign w:val="center"/>
          </w:tcPr>
          <w:p w14:paraId="0B3CA5F5">
            <w:pPr>
              <w:jc w:val="center"/>
              <w:rPr>
                <w:rFonts w:ascii="Times New Roman"/>
                <w:sz w:val="21"/>
                <w:szCs w:val="21"/>
              </w:rPr>
            </w:pPr>
            <w:r>
              <w:rPr>
                <w:rFonts w:ascii="Times New Roman"/>
                <w:sz w:val="21"/>
                <w:szCs w:val="21"/>
              </w:rPr>
              <w:t>/</w:t>
            </w:r>
          </w:p>
        </w:tc>
        <w:tc>
          <w:tcPr>
            <w:tcW w:w="1198" w:type="dxa"/>
            <w:gridSpan w:val="2"/>
            <w:vAlign w:val="center"/>
          </w:tcPr>
          <w:p w14:paraId="4AE70B7B">
            <w:pPr>
              <w:jc w:val="center"/>
              <w:rPr>
                <w:rFonts w:ascii="Times New Roman"/>
                <w:sz w:val="21"/>
                <w:szCs w:val="21"/>
              </w:rPr>
            </w:pPr>
            <w:r>
              <w:rPr>
                <w:rFonts w:ascii="Times New Roman"/>
                <w:sz w:val="21"/>
                <w:szCs w:val="21"/>
              </w:rPr>
              <w:t>/</w:t>
            </w:r>
          </w:p>
        </w:tc>
        <w:tc>
          <w:tcPr>
            <w:tcW w:w="1169" w:type="dxa"/>
            <w:vAlign w:val="center"/>
          </w:tcPr>
          <w:p w14:paraId="4B463963">
            <w:pPr>
              <w:jc w:val="center"/>
              <w:rPr>
                <w:rFonts w:ascii="Times New Roman"/>
                <w:sz w:val="21"/>
                <w:szCs w:val="21"/>
              </w:rPr>
            </w:pPr>
            <w:r>
              <w:rPr>
                <w:rFonts w:ascii="Times New Roman"/>
                <w:sz w:val="21"/>
                <w:szCs w:val="21"/>
              </w:rPr>
              <w:t>/</w:t>
            </w:r>
          </w:p>
        </w:tc>
        <w:tc>
          <w:tcPr>
            <w:tcW w:w="1050" w:type="dxa"/>
            <w:vAlign w:val="center"/>
          </w:tcPr>
          <w:p w14:paraId="582E371F">
            <w:pPr>
              <w:jc w:val="center"/>
              <w:rPr>
                <w:rFonts w:ascii="Times New Roman"/>
                <w:sz w:val="21"/>
                <w:szCs w:val="21"/>
              </w:rPr>
            </w:pPr>
            <w:r>
              <w:rPr>
                <w:rFonts w:ascii="Times New Roman"/>
                <w:sz w:val="21"/>
                <w:szCs w:val="21"/>
              </w:rPr>
              <w:t>/</w:t>
            </w:r>
          </w:p>
        </w:tc>
      </w:tr>
      <w:tr w14:paraId="34331D9A">
        <w:tblPrEx>
          <w:tblCellMar>
            <w:top w:w="0" w:type="dxa"/>
            <w:left w:w="108" w:type="dxa"/>
            <w:bottom w:w="0" w:type="dxa"/>
            <w:right w:w="108" w:type="dxa"/>
          </w:tblCellMar>
        </w:tblPrEx>
        <w:trPr>
          <w:trHeight w:val="124" w:hRule="atLeast"/>
        </w:trPr>
        <w:tc>
          <w:tcPr>
            <w:tcW w:w="3214" w:type="dxa"/>
            <w:gridSpan w:val="3"/>
            <w:vMerge w:val="restart"/>
            <w:vAlign w:val="center"/>
          </w:tcPr>
          <w:p w14:paraId="2D2D37A7">
            <w:pPr>
              <w:jc w:val="center"/>
              <w:rPr>
                <w:rFonts w:ascii="Times New Roman"/>
                <w:sz w:val="21"/>
                <w:szCs w:val="21"/>
              </w:rPr>
            </w:pPr>
            <w:r>
              <w:rPr>
                <w:rFonts w:ascii="Times New Roman"/>
                <w:sz w:val="21"/>
                <w:szCs w:val="21"/>
              </w:rPr>
              <w:t>下风向距离</w:t>
            </w:r>
          </w:p>
        </w:tc>
        <w:tc>
          <w:tcPr>
            <w:tcW w:w="5325" w:type="dxa"/>
            <w:gridSpan w:val="6"/>
            <w:vAlign w:val="center"/>
          </w:tcPr>
          <w:p w14:paraId="0038C8CF">
            <w:pPr>
              <w:jc w:val="center"/>
              <w:rPr>
                <w:rFonts w:ascii="Times New Roman"/>
                <w:sz w:val="21"/>
                <w:szCs w:val="21"/>
              </w:rPr>
            </w:pPr>
            <w:r>
              <w:rPr>
                <w:rFonts w:ascii="Times New Roman"/>
                <w:sz w:val="21"/>
                <w:szCs w:val="21"/>
              </w:rPr>
              <w:t>喷塑后固化、强冷废气</w:t>
            </w:r>
            <w:r>
              <w:rPr>
                <w:rFonts w:ascii="Times New Roman" w:eastAsia="Times New Roman"/>
                <w:sz w:val="21"/>
                <w:szCs w:val="21"/>
              </w:rPr>
              <w:t>(</w:t>
            </w:r>
            <w:r>
              <w:rPr>
                <w:rFonts w:ascii="Times New Roman"/>
                <w:sz w:val="21"/>
                <w:szCs w:val="21"/>
              </w:rPr>
              <w:t>DA011</w:t>
            </w:r>
            <w:r>
              <w:rPr>
                <w:rFonts w:ascii="Times New Roman" w:eastAsia="Times New Roman"/>
                <w:sz w:val="21"/>
                <w:szCs w:val="21"/>
              </w:rPr>
              <w:t>)</w:t>
            </w:r>
          </w:p>
        </w:tc>
      </w:tr>
      <w:tr w14:paraId="67978F09">
        <w:tblPrEx>
          <w:tblCellMar>
            <w:top w:w="0" w:type="dxa"/>
            <w:left w:w="108" w:type="dxa"/>
            <w:bottom w:w="0" w:type="dxa"/>
            <w:right w:w="108" w:type="dxa"/>
          </w:tblCellMar>
        </w:tblPrEx>
        <w:trPr>
          <w:trHeight w:val="124" w:hRule="atLeast"/>
        </w:trPr>
        <w:tc>
          <w:tcPr>
            <w:tcW w:w="3214" w:type="dxa"/>
            <w:gridSpan w:val="3"/>
            <w:vMerge w:val="continue"/>
            <w:vAlign w:val="center"/>
          </w:tcPr>
          <w:p w14:paraId="696935DF">
            <w:pPr>
              <w:jc w:val="center"/>
              <w:rPr>
                <w:rFonts w:ascii="Times New Roman"/>
                <w:sz w:val="21"/>
                <w:szCs w:val="21"/>
              </w:rPr>
            </w:pPr>
          </w:p>
        </w:tc>
        <w:tc>
          <w:tcPr>
            <w:tcW w:w="3071" w:type="dxa"/>
            <w:gridSpan w:val="3"/>
            <w:vAlign w:val="center"/>
          </w:tcPr>
          <w:p w14:paraId="6A8D3912">
            <w:pPr>
              <w:jc w:val="center"/>
              <w:rPr>
                <w:rFonts w:ascii="Times New Roman"/>
                <w:sz w:val="21"/>
                <w:szCs w:val="21"/>
              </w:rPr>
            </w:pPr>
            <w:r>
              <w:rPr>
                <w:rFonts w:ascii="Times New Roman"/>
                <w:sz w:val="21"/>
                <w:szCs w:val="21"/>
              </w:rPr>
              <w:t>NO</w:t>
            </w:r>
            <w:r>
              <w:rPr>
                <w:rFonts w:hint="eastAsia" w:ascii="Times New Roman"/>
                <w:sz w:val="21"/>
                <w:szCs w:val="21"/>
                <w:vertAlign w:val="subscript"/>
              </w:rPr>
              <w:t>2</w:t>
            </w:r>
            <w:r>
              <w:rPr>
                <w:rFonts w:ascii="Times New Roman"/>
                <w:sz w:val="21"/>
                <w:szCs w:val="21"/>
              </w:rPr>
              <w:t>浓度(μg/m³)</w:t>
            </w:r>
          </w:p>
        </w:tc>
        <w:tc>
          <w:tcPr>
            <w:tcW w:w="2254" w:type="dxa"/>
            <w:gridSpan w:val="3"/>
            <w:vAlign w:val="center"/>
          </w:tcPr>
          <w:p w14:paraId="35107AA3">
            <w:pPr>
              <w:jc w:val="center"/>
              <w:rPr>
                <w:rFonts w:ascii="Times New Roman"/>
                <w:sz w:val="21"/>
                <w:szCs w:val="21"/>
              </w:rPr>
            </w:pPr>
            <w:r>
              <w:rPr>
                <w:rFonts w:ascii="Times New Roman"/>
                <w:sz w:val="21"/>
                <w:szCs w:val="21"/>
              </w:rPr>
              <w:t>NO</w:t>
            </w:r>
            <w:r>
              <w:rPr>
                <w:rFonts w:hint="eastAsia" w:ascii="Times New Roman"/>
                <w:sz w:val="21"/>
                <w:szCs w:val="21"/>
                <w:vertAlign w:val="subscript"/>
              </w:rPr>
              <w:t>2</w:t>
            </w:r>
            <w:r>
              <w:rPr>
                <w:rFonts w:ascii="Times New Roman"/>
                <w:sz w:val="21"/>
                <w:szCs w:val="21"/>
              </w:rPr>
              <w:t>占标率(%)</w:t>
            </w:r>
          </w:p>
        </w:tc>
      </w:tr>
      <w:tr w14:paraId="0F24F4DD">
        <w:tblPrEx>
          <w:tblCellMar>
            <w:top w:w="0" w:type="dxa"/>
            <w:left w:w="108" w:type="dxa"/>
            <w:bottom w:w="0" w:type="dxa"/>
            <w:right w:w="108" w:type="dxa"/>
          </w:tblCellMar>
        </w:tblPrEx>
        <w:trPr>
          <w:trHeight w:val="124" w:hRule="atLeast"/>
        </w:trPr>
        <w:tc>
          <w:tcPr>
            <w:tcW w:w="3214" w:type="dxa"/>
            <w:gridSpan w:val="3"/>
            <w:vAlign w:val="center"/>
          </w:tcPr>
          <w:p w14:paraId="778FF3DB">
            <w:pPr>
              <w:jc w:val="center"/>
              <w:rPr>
                <w:rFonts w:ascii="Times New Roman"/>
                <w:sz w:val="21"/>
                <w:szCs w:val="21"/>
              </w:rPr>
            </w:pPr>
            <w:r>
              <w:rPr>
                <w:rFonts w:ascii="Times New Roman"/>
                <w:sz w:val="21"/>
                <w:szCs w:val="21"/>
              </w:rPr>
              <w:t>50.0</w:t>
            </w:r>
          </w:p>
        </w:tc>
        <w:tc>
          <w:tcPr>
            <w:tcW w:w="3071" w:type="dxa"/>
            <w:gridSpan w:val="3"/>
            <w:vAlign w:val="center"/>
          </w:tcPr>
          <w:p w14:paraId="79F2EF17">
            <w:pPr>
              <w:jc w:val="center"/>
              <w:rPr>
                <w:rFonts w:ascii="Times New Roman"/>
                <w:sz w:val="21"/>
                <w:szCs w:val="21"/>
              </w:rPr>
            </w:pPr>
            <w:r>
              <w:rPr>
                <w:rFonts w:hint="eastAsia" w:ascii="Times New Roman"/>
                <w:sz w:val="21"/>
                <w:szCs w:val="21"/>
              </w:rPr>
              <w:t>0.7312</w:t>
            </w:r>
          </w:p>
        </w:tc>
        <w:tc>
          <w:tcPr>
            <w:tcW w:w="2254" w:type="dxa"/>
            <w:gridSpan w:val="3"/>
            <w:vAlign w:val="center"/>
          </w:tcPr>
          <w:p w14:paraId="158743D6">
            <w:pPr>
              <w:jc w:val="center"/>
              <w:rPr>
                <w:rFonts w:ascii="Times New Roman"/>
                <w:sz w:val="21"/>
                <w:szCs w:val="21"/>
              </w:rPr>
            </w:pPr>
            <w:r>
              <w:rPr>
                <w:rFonts w:hint="eastAsia" w:ascii="Times New Roman"/>
                <w:sz w:val="21"/>
                <w:szCs w:val="21"/>
              </w:rPr>
              <w:t xml:space="preserve">0.50 </w:t>
            </w:r>
          </w:p>
        </w:tc>
      </w:tr>
      <w:tr w14:paraId="358BA36F">
        <w:tblPrEx>
          <w:tblCellMar>
            <w:top w:w="0" w:type="dxa"/>
            <w:left w:w="108" w:type="dxa"/>
            <w:bottom w:w="0" w:type="dxa"/>
            <w:right w:w="108" w:type="dxa"/>
          </w:tblCellMar>
        </w:tblPrEx>
        <w:trPr>
          <w:trHeight w:val="124" w:hRule="atLeast"/>
        </w:trPr>
        <w:tc>
          <w:tcPr>
            <w:tcW w:w="3214" w:type="dxa"/>
            <w:gridSpan w:val="3"/>
            <w:vAlign w:val="center"/>
          </w:tcPr>
          <w:p w14:paraId="12D2827B">
            <w:pPr>
              <w:jc w:val="center"/>
              <w:rPr>
                <w:rFonts w:ascii="Times New Roman"/>
                <w:sz w:val="21"/>
                <w:szCs w:val="21"/>
              </w:rPr>
            </w:pPr>
            <w:r>
              <w:rPr>
                <w:rFonts w:ascii="Times New Roman"/>
                <w:sz w:val="21"/>
                <w:szCs w:val="21"/>
              </w:rPr>
              <w:t>100.0</w:t>
            </w:r>
          </w:p>
        </w:tc>
        <w:tc>
          <w:tcPr>
            <w:tcW w:w="3071" w:type="dxa"/>
            <w:gridSpan w:val="3"/>
            <w:vAlign w:val="center"/>
          </w:tcPr>
          <w:p w14:paraId="0DED1F75">
            <w:pPr>
              <w:jc w:val="center"/>
              <w:rPr>
                <w:rFonts w:ascii="Times New Roman"/>
                <w:sz w:val="21"/>
                <w:szCs w:val="21"/>
              </w:rPr>
            </w:pPr>
            <w:r>
              <w:rPr>
                <w:rFonts w:hint="eastAsia" w:ascii="Times New Roman"/>
                <w:sz w:val="21"/>
                <w:szCs w:val="21"/>
              </w:rPr>
              <w:t>0.68</w:t>
            </w:r>
          </w:p>
        </w:tc>
        <w:tc>
          <w:tcPr>
            <w:tcW w:w="2254" w:type="dxa"/>
            <w:gridSpan w:val="3"/>
            <w:vAlign w:val="center"/>
          </w:tcPr>
          <w:p w14:paraId="3698708D">
            <w:pPr>
              <w:jc w:val="center"/>
              <w:rPr>
                <w:rFonts w:ascii="Times New Roman"/>
                <w:sz w:val="21"/>
                <w:szCs w:val="21"/>
              </w:rPr>
            </w:pPr>
            <w:r>
              <w:rPr>
                <w:rFonts w:hint="eastAsia" w:ascii="Times New Roman"/>
                <w:sz w:val="21"/>
                <w:szCs w:val="21"/>
              </w:rPr>
              <w:t xml:space="preserve">0.37 </w:t>
            </w:r>
          </w:p>
        </w:tc>
      </w:tr>
      <w:tr w14:paraId="1C623502">
        <w:tblPrEx>
          <w:tblCellMar>
            <w:top w:w="0" w:type="dxa"/>
            <w:left w:w="108" w:type="dxa"/>
            <w:bottom w:w="0" w:type="dxa"/>
            <w:right w:w="108" w:type="dxa"/>
          </w:tblCellMar>
        </w:tblPrEx>
        <w:trPr>
          <w:trHeight w:val="124" w:hRule="atLeast"/>
        </w:trPr>
        <w:tc>
          <w:tcPr>
            <w:tcW w:w="3214" w:type="dxa"/>
            <w:gridSpan w:val="3"/>
            <w:vAlign w:val="center"/>
          </w:tcPr>
          <w:p w14:paraId="2C87E827">
            <w:pPr>
              <w:jc w:val="center"/>
              <w:rPr>
                <w:rFonts w:ascii="Times New Roman"/>
                <w:sz w:val="21"/>
                <w:szCs w:val="21"/>
              </w:rPr>
            </w:pPr>
            <w:r>
              <w:rPr>
                <w:rFonts w:ascii="Times New Roman"/>
                <w:sz w:val="21"/>
                <w:szCs w:val="21"/>
              </w:rPr>
              <w:t>200.0</w:t>
            </w:r>
          </w:p>
        </w:tc>
        <w:tc>
          <w:tcPr>
            <w:tcW w:w="3071" w:type="dxa"/>
            <w:gridSpan w:val="3"/>
            <w:vAlign w:val="center"/>
          </w:tcPr>
          <w:p w14:paraId="10416007">
            <w:pPr>
              <w:jc w:val="center"/>
              <w:rPr>
                <w:rFonts w:ascii="Times New Roman"/>
                <w:sz w:val="21"/>
                <w:szCs w:val="21"/>
              </w:rPr>
            </w:pPr>
            <w:r>
              <w:rPr>
                <w:rFonts w:hint="eastAsia" w:ascii="Times New Roman"/>
                <w:sz w:val="21"/>
                <w:szCs w:val="21"/>
              </w:rPr>
              <w:t>0.5094</w:t>
            </w:r>
          </w:p>
        </w:tc>
        <w:tc>
          <w:tcPr>
            <w:tcW w:w="2254" w:type="dxa"/>
            <w:gridSpan w:val="3"/>
            <w:vAlign w:val="center"/>
          </w:tcPr>
          <w:p w14:paraId="3BD0358F">
            <w:pPr>
              <w:jc w:val="center"/>
              <w:rPr>
                <w:rFonts w:ascii="Times New Roman"/>
                <w:sz w:val="21"/>
                <w:szCs w:val="21"/>
              </w:rPr>
            </w:pPr>
            <w:r>
              <w:rPr>
                <w:rFonts w:hint="eastAsia" w:ascii="Times New Roman"/>
                <w:sz w:val="21"/>
                <w:szCs w:val="21"/>
              </w:rPr>
              <w:t xml:space="preserve">0.34 </w:t>
            </w:r>
          </w:p>
        </w:tc>
      </w:tr>
      <w:tr w14:paraId="18E5DB88">
        <w:tblPrEx>
          <w:tblCellMar>
            <w:top w:w="0" w:type="dxa"/>
            <w:left w:w="108" w:type="dxa"/>
            <w:bottom w:w="0" w:type="dxa"/>
            <w:right w:w="108" w:type="dxa"/>
          </w:tblCellMar>
        </w:tblPrEx>
        <w:trPr>
          <w:trHeight w:val="124" w:hRule="atLeast"/>
        </w:trPr>
        <w:tc>
          <w:tcPr>
            <w:tcW w:w="3214" w:type="dxa"/>
            <w:gridSpan w:val="3"/>
            <w:vAlign w:val="center"/>
          </w:tcPr>
          <w:p w14:paraId="581D6B16">
            <w:pPr>
              <w:jc w:val="center"/>
              <w:rPr>
                <w:rFonts w:ascii="Times New Roman"/>
                <w:sz w:val="21"/>
                <w:szCs w:val="21"/>
              </w:rPr>
            </w:pPr>
            <w:r>
              <w:rPr>
                <w:rFonts w:ascii="Times New Roman"/>
                <w:sz w:val="21"/>
                <w:szCs w:val="21"/>
              </w:rPr>
              <w:t>300.0</w:t>
            </w:r>
          </w:p>
        </w:tc>
        <w:tc>
          <w:tcPr>
            <w:tcW w:w="3071" w:type="dxa"/>
            <w:gridSpan w:val="3"/>
            <w:vAlign w:val="center"/>
          </w:tcPr>
          <w:p w14:paraId="2B8EBF33">
            <w:pPr>
              <w:jc w:val="center"/>
              <w:rPr>
                <w:rFonts w:ascii="Times New Roman"/>
                <w:sz w:val="21"/>
                <w:szCs w:val="21"/>
              </w:rPr>
            </w:pPr>
            <w:r>
              <w:rPr>
                <w:rFonts w:hint="eastAsia" w:ascii="Times New Roman"/>
                <w:sz w:val="21"/>
                <w:szCs w:val="21"/>
              </w:rPr>
              <w:t>0.6405</w:t>
            </w:r>
          </w:p>
        </w:tc>
        <w:tc>
          <w:tcPr>
            <w:tcW w:w="2254" w:type="dxa"/>
            <w:gridSpan w:val="3"/>
            <w:vAlign w:val="center"/>
          </w:tcPr>
          <w:p w14:paraId="3A6F013F">
            <w:pPr>
              <w:jc w:val="center"/>
              <w:rPr>
                <w:rFonts w:ascii="Times New Roman"/>
                <w:sz w:val="21"/>
                <w:szCs w:val="21"/>
              </w:rPr>
            </w:pPr>
            <w:r>
              <w:rPr>
                <w:rFonts w:hint="eastAsia" w:ascii="Times New Roman"/>
                <w:sz w:val="21"/>
                <w:szCs w:val="21"/>
              </w:rPr>
              <w:t xml:space="preserve">0.25 </w:t>
            </w:r>
          </w:p>
        </w:tc>
      </w:tr>
      <w:tr w14:paraId="24065A93">
        <w:tblPrEx>
          <w:tblCellMar>
            <w:top w:w="0" w:type="dxa"/>
            <w:left w:w="108" w:type="dxa"/>
            <w:bottom w:w="0" w:type="dxa"/>
            <w:right w:w="108" w:type="dxa"/>
          </w:tblCellMar>
        </w:tblPrEx>
        <w:trPr>
          <w:trHeight w:val="124" w:hRule="atLeast"/>
        </w:trPr>
        <w:tc>
          <w:tcPr>
            <w:tcW w:w="3214" w:type="dxa"/>
            <w:gridSpan w:val="3"/>
            <w:vAlign w:val="center"/>
          </w:tcPr>
          <w:p w14:paraId="77B7BB38">
            <w:pPr>
              <w:jc w:val="center"/>
              <w:rPr>
                <w:rFonts w:ascii="Times New Roman"/>
                <w:sz w:val="21"/>
                <w:szCs w:val="21"/>
              </w:rPr>
            </w:pPr>
            <w:r>
              <w:rPr>
                <w:rFonts w:ascii="Times New Roman"/>
                <w:sz w:val="21"/>
                <w:szCs w:val="21"/>
              </w:rPr>
              <w:t>400.0</w:t>
            </w:r>
          </w:p>
        </w:tc>
        <w:tc>
          <w:tcPr>
            <w:tcW w:w="3071" w:type="dxa"/>
            <w:gridSpan w:val="3"/>
            <w:vAlign w:val="center"/>
          </w:tcPr>
          <w:p w14:paraId="4C762FC0">
            <w:pPr>
              <w:jc w:val="center"/>
              <w:rPr>
                <w:rFonts w:ascii="Times New Roman"/>
                <w:sz w:val="21"/>
                <w:szCs w:val="21"/>
              </w:rPr>
            </w:pPr>
            <w:r>
              <w:rPr>
                <w:rFonts w:hint="eastAsia" w:ascii="Times New Roman"/>
                <w:sz w:val="21"/>
                <w:szCs w:val="21"/>
              </w:rPr>
              <w:t>0.6044</w:t>
            </w:r>
          </w:p>
        </w:tc>
        <w:tc>
          <w:tcPr>
            <w:tcW w:w="2254" w:type="dxa"/>
            <w:gridSpan w:val="3"/>
            <w:vAlign w:val="center"/>
          </w:tcPr>
          <w:p w14:paraId="7C017A33">
            <w:pPr>
              <w:jc w:val="center"/>
              <w:rPr>
                <w:rFonts w:ascii="Times New Roman"/>
                <w:sz w:val="21"/>
                <w:szCs w:val="21"/>
              </w:rPr>
            </w:pPr>
            <w:r>
              <w:rPr>
                <w:rFonts w:hint="eastAsia" w:ascii="Times New Roman"/>
                <w:sz w:val="21"/>
                <w:szCs w:val="21"/>
              </w:rPr>
              <w:t xml:space="preserve">0.32 </w:t>
            </w:r>
          </w:p>
        </w:tc>
      </w:tr>
      <w:tr w14:paraId="56438DC2">
        <w:tblPrEx>
          <w:tblCellMar>
            <w:top w:w="0" w:type="dxa"/>
            <w:left w:w="108" w:type="dxa"/>
            <w:bottom w:w="0" w:type="dxa"/>
            <w:right w:w="108" w:type="dxa"/>
          </w:tblCellMar>
        </w:tblPrEx>
        <w:trPr>
          <w:trHeight w:val="124" w:hRule="atLeast"/>
        </w:trPr>
        <w:tc>
          <w:tcPr>
            <w:tcW w:w="3214" w:type="dxa"/>
            <w:gridSpan w:val="3"/>
            <w:vAlign w:val="center"/>
          </w:tcPr>
          <w:p w14:paraId="4C79D6D3">
            <w:pPr>
              <w:jc w:val="center"/>
              <w:rPr>
                <w:rFonts w:ascii="Times New Roman"/>
                <w:sz w:val="21"/>
                <w:szCs w:val="21"/>
              </w:rPr>
            </w:pPr>
            <w:r>
              <w:rPr>
                <w:rFonts w:ascii="Times New Roman"/>
                <w:sz w:val="21"/>
                <w:szCs w:val="21"/>
              </w:rPr>
              <w:t>500.0</w:t>
            </w:r>
          </w:p>
        </w:tc>
        <w:tc>
          <w:tcPr>
            <w:tcW w:w="3071" w:type="dxa"/>
            <w:gridSpan w:val="3"/>
            <w:vAlign w:val="center"/>
          </w:tcPr>
          <w:p w14:paraId="729BB0A3">
            <w:pPr>
              <w:jc w:val="center"/>
              <w:rPr>
                <w:rFonts w:ascii="Times New Roman"/>
                <w:sz w:val="21"/>
                <w:szCs w:val="21"/>
              </w:rPr>
            </w:pPr>
            <w:r>
              <w:rPr>
                <w:rFonts w:hint="eastAsia" w:ascii="Times New Roman"/>
                <w:sz w:val="21"/>
                <w:szCs w:val="21"/>
              </w:rPr>
              <w:t>0.5372</w:t>
            </w:r>
          </w:p>
        </w:tc>
        <w:tc>
          <w:tcPr>
            <w:tcW w:w="2254" w:type="dxa"/>
            <w:gridSpan w:val="3"/>
            <w:vAlign w:val="center"/>
          </w:tcPr>
          <w:p w14:paraId="53A72F90">
            <w:pPr>
              <w:jc w:val="center"/>
              <w:rPr>
                <w:rFonts w:ascii="Times New Roman"/>
                <w:sz w:val="21"/>
                <w:szCs w:val="21"/>
              </w:rPr>
            </w:pPr>
            <w:r>
              <w:rPr>
                <w:rFonts w:hint="eastAsia" w:ascii="Times New Roman"/>
                <w:sz w:val="21"/>
                <w:szCs w:val="21"/>
              </w:rPr>
              <w:t xml:space="preserve">0.30 </w:t>
            </w:r>
          </w:p>
        </w:tc>
      </w:tr>
      <w:tr w14:paraId="109D6026">
        <w:tblPrEx>
          <w:tblCellMar>
            <w:top w:w="0" w:type="dxa"/>
            <w:left w:w="108" w:type="dxa"/>
            <w:bottom w:w="0" w:type="dxa"/>
            <w:right w:w="108" w:type="dxa"/>
          </w:tblCellMar>
        </w:tblPrEx>
        <w:trPr>
          <w:trHeight w:val="124" w:hRule="atLeast"/>
        </w:trPr>
        <w:tc>
          <w:tcPr>
            <w:tcW w:w="3214" w:type="dxa"/>
            <w:gridSpan w:val="3"/>
            <w:vAlign w:val="center"/>
          </w:tcPr>
          <w:p w14:paraId="7FEEB078">
            <w:pPr>
              <w:jc w:val="center"/>
              <w:rPr>
                <w:rFonts w:ascii="Times New Roman"/>
                <w:sz w:val="21"/>
                <w:szCs w:val="21"/>
              </w:rPr>
            </w:pPr>
            <w:r>
              <w:rPr>
                <w:rFonts w:ascii="Times New Roman"/>
                <w:sz w:val="21"/>
                <w:szCs w:val="21"/>
              </w:rPr>
              <w:t>600.0</w:t>
            </w:r>
          </w:p>
        </w:tc>
        <w:tc>
          <w:tcPr>
            <w:tcW w:w="3071" w:type="dxa"/>
            <w:gridSpan w:val="3"/>
            <w:vAlign w:val="center"/>
          </w:tcPr>
          <w:p w14:paraId="2FFCA2F8">
            <w:pPr>
              <w:jc w:val="center"/>
              <w:rPr>
                <w:rFonts w:ascii="Times New Roman"/>
                <w:sz w:val="21"/>
                <w:szCs w:val="21"/>
              </w:rPr>
            </w:pPr>
            <w:r>
              <w:rPr>
                <w:rFonts w:hint="eastAsia" w:ascii="Times New Roman"/>
                <w:sz w:val="21"/>
                <w:szCs w:val="21"/>
              </w:rPr>
              <w:t>0.4711</w:t>
            </w:r>
          </w:p>
        </w:tc>
        <w:tc>
          <w:tcPr>
            <w:tcW w:w="2254" w:type="dxa"/>
            <w:gridSpan w:val="3"/>
            <w:vAlign w:val="center"/>
          </w:tcPr>
          <w:p w14:paraId="7909014E">
            <w:pPr>
              <w:jc w:val="center"/>
              <w:rPr>
                <w:rFonts w:ascii="Times New Roman"/>
                <w:sz w:val="21"/>
                <w:szCs w:val="21"/>
              </w:rPr>
            </w:pPr>
            <w:r>
              <w:rPr>
                <w:rFonts w:hint="eastAsia" w:ascii="Times New Roman"/>
                <w:sz w:val="21"/>
                <w:szCs w:val="21"/>
              </w:rPr>
              <w:t xml:space="preserve">0.27 </w:t>
            </w:r>
          </w:p>
        </w:tc>
      </w:tr>
      <w:tr w14:paraId="329E6B6A">
        <w:tblPrEx>
          <w:tblCellMar>
            <w:top w:w="0" w:type="dxa"/>
            <w:left w:w="108" w:type="dxa"/>
            <w:bottom w:w="0" w:type="dxa"/>
            <w:right w:w="108" w:type="dxa"/>
          </w:tblCellMar>
        </w:tblPrEx>
        <w:trPr>
          <w:trHeight w:val="124" w:hRule="atLeast"/>
        </w:trPr>
        <w:tc>
          <w:tcPr>
            <w:tcW w:w="3214" w:type="dxa"/>
            <w:gridSpan w:val="3"/>
            <w:vAlign w:val="center"/>
          </w:tcPr>
          <w:p w14:paraId="04FA276A">
            <w:pPr>
              <w:jc w:val="center"/>
              <w:rPr>
                <w:rFonts w:ascii="Times New Roman"/>
                <w:sz w:val="21"/>
                <w:szCs w:val="21"/>
              </w:rPr>
            </w:pPr>
            <w:r>
              <w:rPr>
                <w:rFonts w:ascii="Times New Roman"/>
                <w:sz w:val="21"/>
                <w:szCs w:val="21"/>
              </w:rPr>
              <w:t>700.0</w:t>
            </w:r>
          </w:p>
        </w:tc>
        <w:tc>
          <w:tcPr>
            <w:tcW w:w="3071" w:type="dxa"/>
            <w:gridSpan w:val="3"/>
            <w:vAlign w:val="center"/>
          </w:tcPr>
          <w:p w14:paraId="50B03396">
            <w:pPr>
              <w:jc w:val="center"/>
              <w:rPr>
                <w:rFonts w:ascii="Times New Roman"/>
                <w:sz w:val="21"/>
                <w:szCs w:val="21"/>
              </w:rPr>
            </w:pPr>
            <w:r>
              <w:rPr>
                <w:rFonts w:hint="eastAsia" w:ascii="Times New Roman"/>
                <w:sz w:val="21"/>
                <w:szCs w:val="21"/>
              </w:rPr>
              <w:t>0.4135</w:t>
            </w:r>
          </w:p>
        </w:tc>
        <w:tc>
          <w:tcPr>
            <w:tcW w:w="2254" w:type="dxa"/>
            <w:gridSpan w:val="3"/>
            <w:vAlign w:val="center"/>
          </w:tcPr>
          <w:p w14:paraId="33FCCADC">
            <w:pPr>
              <w:jc w:val="center"/>
              <w:rPr>
                <w:rFonts w:ascii="Times New Roman"/>
                <w:sz w:val="21"/>
                <w:szCs w:val="21"/>
              </w:rPr>
            </w:pPr>
            <w:r>
              <w:rPr>
                <w:rFonts w:hint="eastAsia" w:ascii="Times New Roman"/>
                <w:sz w:val="21"/>
                <w:szCs w:val="21"/>
              </w:rPr>
              <w:t xml:space="preserve">0.24 </w:t>
            </w:r>
          </w:p>
        </w:tc>
      </w:tr>
      <w:tr w14:paraId="7D1931E3">
        <w:tblPrEx>
          <w:tblCellMar>
            <w:top w:w="0" w:type="dxa"/>
            <w:left w:w="108" w:type="dxa"/>
            <w:bottom w:w="0" w:type="dxa"/>
            <w:right w:w="108" w:type="dxa"/>
          </w:tblCellMar>
        </w:tblPrEx>
        <w:trPr>
          <w:trHeight w:val="124" w:hRule="atLeast"/>
        </w:trPr>
        <w:tc>
          <w:tcPr>
            <w:tcW w:w="3214" w:type="dxa"/>
            <w:gridSpan w:val="3"/>
            <w:vAlign w:val="center"/>
          </w:tcPr>
          <w:p w14:paraId="65B8DC41">
            <w:pPr>
              <w:jc w:val="center"/>
              <w:rPr>
                <w:rFonts w:ascii="Times New Roman"/>
                <w:sz w:val="21"/>
                <w:szCs w:val="21"/>
              </w:rPr>
            </w:pPr>
            <w:r>
              <w:rPr>
                <w:rFonts w:ascii="Times New Roman"/>
                <w:sz w:val="21"/>
                <w:szCs w:val="21"/>
              </w:rPr>
              <w:t>800.0</w:t>
            </w:r>
          </w:p>
        </w:tc>
        <w:tc>
          <w:tcPr>
            <w:tcW w:w="3071" w:type="dxa"/>
            <w:gridSpan w:val="3"/>
            <w:vAlign w:val="center"/>
          </w:tcPr>
          <w:p w14:paraId="675BF746">
            <w:pPr>
              <w:jc w:val="center"/>
              <w:rPr>
                <w:rFonts w:ascii="Times New Roman"/>
                <w:sz w:val="21"/>
                <w:szCs w:val="21"/>
              </w:rPr>
            </w:pPr>
            <w:r>
              <w:rPr>
                <w:rFonts w:hint="eastAsia" w:ascii="Times New Roman"/>
                <w:sz w:val="21"/>
                <w:szCs w:val="21"/>
              </w:rPr>
              <w:t>0.3651</w:t>
            </w:r>
          </w:p>
        </w:tc>
        <w:tc>
          <w:tcPr>
            <w:tcW w:w="2254" w:type="dxa"/>
            <w:gridSpan w:val="3"/>
            <w:vAlign w:val="center"/>
          </w:tcPr>
          <w:p w14:paraId="22F0B6A7">
            <w:pPr>
              <w:jc w:val="center"/>
              <w:rPr>
                <w:rFonts w:ascii="Times New Roman"/>
                <w:sz w:val="21"/>
                <w:szCs w:val="21"/>
              </w:rPr>
            </w:pPr>
            <w:r>
              <w:rPr>
                <w:rFonts w:hint="eastAsia" w:ascii="Times New Roman"/>
                <w:sz w:val="21"/>
                <w:szCs w:val="21"/>
              </w:rPr>
              <w:t xml:space="preserve">0.21 </w:t>
            </w:r>
          </w:p>
        </w:tc>
      </w:tr>
      <w:tr w14:paraId="55860A5B">
        <w:tblPrEx>
          <w:tblCellMar>
            <w:top w:w="0" w:type="dxa"/>
            <w:left w:w="108" w:type="dxa"/>
            <w:bottom w:w="0" w:type="dxa"/>
            <w:right w:w="108" w:type="dxa"/>
          </w:tblCellMar>
        </w:tblPrEx>
        <w:trPr>
          <w:trHeight w:val="124" w:hRule="atLeast"/>
        </w:trPr>
        <w:tc>
          <w:tcPr>
            <w:tcW w:w="3214" w:type="dxa"/>
            <w:gridSpan w:val="3"/>
            <w:vAlign w:val="center"/>
          </w:tcPr>
          <w:p w14:paraId="0E998B38">
            <w:pPr>
              <w:jc w:val="center"/>
              <w:rPr>
                <w:rFonts w:ascii="Times New Roman"/>
                <w:sz w:val="21"/>
                <w:szCs w:val="21"/>
              </w:rPr>
            </w:pPr>
            <w:r>
              <w:rPr>
                <w:rFonts w:ascii="Times New Roman"/>
                <w:sz w:val="21"/>
                <w:szCs w:val="21"/>
              </w:rPr>
              <w:t>900.0</w:t>
            </w:r>
          </w:p>
        </w:tc>
        <w:tc>
          <w:tcPr>
            <w:tcW w:w="3071" w:type="dxa"/>
            <w:gridSpan w:val="3"/>
            <w:vAlign w:val="center"/>
          </w:tcPr>
          <w:p w14:paraId="604039F6">
            <w:pPr>
              <w:jc w:val="center"/>
              <w:rPr>
                <w:rFonts w:ascii="Times New Roman"/>
                <w:sz w:val="21"/>
                <w:szCs w:val="21"/>
              </w:rPr>
            </w:pPr>
            <w:r>
              <w:rPr>
                <w:rFonts w:hint="eastAsia" w:ascii="Times New Roman"/>
                <w:sz w:val="21"/>
                <w:szCs w:val="21"/>
              </w:rPr>
              <w:t>0.3247</w:t>
            </w:r>
          </w:p>
        </w:tc>
        <w:tc>
          <w:tcPr>
            <w:tcW w:w="2254" w:type="dxa"/>
            <w:gridSpan w:val="3"/>
            <w:vAlign w:val="center"/>
          </w:tcPr>
          <w:p w14:paraId="5DFC1A4F">
            <w:pPr>
              <w:jc w:val="center"/>
              <w:rPr>
                <w:rFonts w:ascii="Times New Roman"/>
                <w:sz w:val="21"/>
                <w:szCs w:val="21"/>
              </w:rPr>
            </w:pPr>
            <w:r>
              <w:rPr>
                <w:rFonts w:hint="eastAsia" w:ascii="Times New Roman"/>
                <w:sz w:val="21"/>
                <w:szCs w:val="21"/>
              </w:rPr>
              <w:t xml:space="preserve">0.18 </w:t>
            </w:r>
          </w:p>
        </w:tc>
      </w:tr>
      <w:tr w14:paraId="2E361385">
        <w:tblPrEx>
          <w:tblCellMar>
            <w:top w:w="0" w:type="dxa"/>
            <w:left w:w="108" w:type="dxa"/>
            <w:bottom w:w="0" w:type="dxa"/>
            <w:right w:w="108" w:type="dxa"/>
          </w:tblCellMar>
        </w:tblPrEx>
        <w:trPr>
          <w:trHeight w:val="124" w:hRule="atLeast"/>
        </w:trPr>
        <w:tc>
          <w:tcPr>
            <w:tcW w:w="3214" w:type="dxa"/>
            <w:gridSpan w:val="3"/>
            <w:vAlign w:val="center"/>
          </w:tcPr>
          <w:p w14:paraId="3BC2005F">
            <w:pPr>
              <w:jc w:val="center"/>
              <w:rPr>
                <w:rFonts w:ascii="Times New Roman"/>
                <w:sz w:val="21"/>
                <w:szCs w:val="21"/>
              </w:rPr>
            </w:pPr>
            <w:r>
              <w:rPr>
                <w:rFonts w:ascii="Times New Roman"/>
                <w:sz w:val="21"/>
                <w:szCs w:val="21"/>
              </w:rPr>
              <w:t>1000.0</w:t>
            </w:r>
          </w:p>
        </w:tc>
        <w:tc>
          <w:tcPr>
            <w:tcW w:w="3071" w:type="dxa"/>
            <w:gridSpan w:val="3"/>
            <w:vAlign w:val="center"/>
          </w:tcPr>
          <w:p w14:paraId="2F588392">
            <w:pPr>
              <w:jc w:val="center"/>
              <w:rPr>
                <w:rFonts w:ascii="Times New Roman"/>
                <w:sz w:val="21"/>
                <w:szCs w:val="21"/>
              </w:rPr>
            </w:pPr>
            <w:r>
              <w:rPr>
                <w:rFonts w:hint="eastAsia" w:ascii="Times New Roman"/>
                <w:sz w:val="21"/>
                <w:szCs w:val="21"/>
              </w:rPr>
              <w:t>0.2908</w:t>
            </w:r>
          </w:p>
        </w:tc>
        <w:tc>
          <w:tcPr>
            <w:tcW w:w="2254" w:type="dxa"/>
            <w:gridSpan w:val="3"/>
            <w:vAlign w:val="center"/>
          </w:tcPr>
          <w:p w14:paraId="0E1D7A35">
            <w:pPr>
              <w:jc w:val="center"/>
              <w:rPr>
                <w:rFonts w:ascii="Times New Roman"/>
                <w:sz w:val="21"/>
                <w:szCs w:val="21"/>
              </w:rPr>
            </w:pPr>
            <w:r>
              <w:rPr>
                <w:rFonts w:hint="eastAsia" w:ascii="Times New Roman"/>
                <w:sz w:val="21"/>
                <w:szCs w:val="21"/>
              </w:rPr>
              <w:t xml:space="preserve">0.16 </w:t>
            </w:r>
          </w:p>
        </w:tc>
      </w:tr>
      <w:tr w14:paraId="47E88B3B">
        <w:tblPrEx>
          <w:tblCellMar>
            <w:top w:w="0" w:type="dxa"/>
            <w:left w:w="108" w:type="dxa"/>
            <w:bottom w:w="0" w:type="dxa"/>
            <w:right w:w="108" w:type="dxa"/>
          </w:tblCellMar>
        </w:tblPrEx>
        <w:trPr>
          <w:trHeight w:val="124" w:hRule="atLeast"/>
        </w:trPr>
        <w:tc>
          <w:tcPr>
            <w:tcW w:w="3214" w:type="dxa"/>
            <w:gridSpan w:val="3"/>
            <w:vAlign w:val="center"/>
          </w:tcPr>
          <w:p w14:paraId="76702595">
            <w:pPr>
              <w:jc w:val="center"/>
              <w:rPr>
                <w:rFonts w:ascii="Times New Roman"/>
                <w:sz w:val="21"/>
                <w:szCs w:val="21"/>
              </w:rPr>
            </w:pPr>
            <w:r>
              <w:rPr>
                <w:rFonts w:ascii="Times New Roman"/>
                <w:sz w:val="21"/>
                <w:szCs w:val="21"/>
              </w:rPr>
              <w:t>1200.0</w:t>
            </w:r>
          </w:p>
        </w:tc>
        <w:tc>
          <w:tcPr>
            <w:tcW w:w="3071" w:type="dxa"/>
            <w:gridSpan w:val="3"/>
            <w:vAlign w:val="center"/>
          </w:tcPr>
          <w:p w14:paraId="7B698E9E">
            <w:pPr>
              <w:jc w:val="center"/>
              <w:rPr>
                <w:rFonts w:ascii="Times New Roman"/>
                <w:sz w:val="21"/>
                <w:szCs w:val="21"/>
              </w:rPr>
            </w:pPr>
            <w:r>
              <w:rPr>
                <w:rFonts w:hint="eastAsia" w:ascii="Times New Roman"/>
                <w:sz w:val="21"/>
                <w:szCs w:val="21"/>
              </w:rPr>
              <w:t>0.2382</w:t>
            </w:r>
          </w:p>
        </w:tc>
        <w:tc>
          <w:tcPr>
            <w:tcW w:w="2254" w:type="dxa"/>
            <w:gridSpan w:val="3"/>
            <w:vAlign w:val="center"/>
          </w:tcPr>
          <w:p w14:paraId="61DD48DB">
            <w:pPr>
              <w:jc w:val="center"/>
              <w:rPr>
                <w:rFonts w:ascii="Times New Roman"/>
                <w:sz w:val="21"/>
                <w:szCs w:val="21"/>
              </w:rPr>
            </w:pPr>
            <w:r>
              <w:rPr>
                <w:rFonts w:hint="eastAsia" w:ascii="Times New Roman"/>
                <w:sz w:val="21"/>
                <w:szCs w:val="21"/>
              </w:rPr>
              <w:t xml:space="preserve">0.15 </w:t>
            </w:r>
          </w:p>
        </w:tc>
      </w:tr>
      <w:tr w14:paraId="1743B2BE">
        <w:tblPrEx>
          <w:tblCellMar>
            <w:top w:w="0" w:type="dxa"/>
            <w:left w:w="108" w:type="dxa"/>
            <w:bottom w:w="0" w:type="dxa"/>
            <w:right w:w="108" w:type="dxa"/>
          </w:tblCellMar>
        </w:tblPrEx>
        <w:trPr>
          <w:trHeight w:val="124" w:hRule="atLeast"/>
        </w:trPr>
        <w:tc>
          <w:tcPr>
            <w:tcW w:w="3214" w:type="dxa"/>
            <w:gridSpan w:val="3"/>
            <w:vAlign w:val="center"/>
          </w:tcPr>
          <w:p w14:paraId="253AE5C1">
            <w:pPr>
              <w:jc w:val="center"/>
              <w:rPr>
                <w:rFonts w:ascii="Times New Roman"/>
                <w:sz w:val="21"/>
                <w:szCs w:val="21"/>
              </w:rPr>
            </w:pPr>
            <w:r>
              <w:rPr>
                <w:rFonts w:ascii="Times New Roman"/>
                <w:sz w:val="21"/>
                <w:szCs w:val="21"/>
              </w:rPr>
              <w:t>1400.0</w:t>
            </w:r>
          </w:p>
        </w:tc>
        <w:tc>
          <w:tcPr>
            <w:tcW w:w="3071" w:type="dxa"/>
            <w:gridSpan w:val="3"/>
            <w:vAlign w:val="center"/>
          </w:tcPr>
          <w:p w14:paraId="43CDC64F">
            <w:pPr>
              <w:jc w:val="center"/>
              <w:rPr>
                <w:rFonts w:ascii="Times New Roman"/>
                <w:sz w:val="21"/>
                <w:szCs w:val="21"/>
              </w:rPr>
            </w:pPr>
            <w:r>
              <w:rPr>
                <w:rFonts w:hint="eastAsia" w:ascii="Times New Roman"/>
                <w:sz w:val="21"/>
                <w:szCs w:val="21"/>
              </w:rPr>
              <w:t>0.2026</w:t>
            </w:r>
          </w:p>
        </w:tc>
        <w:tc>
          <w:tcPr>
            <w:tcW w:w="2254" w:type="dxa"/>
            <w:gridSpan w:val="3"/>
            <w:vAlign w:val="center"/>
          </w:tcPr>
          <w:p w14:paraId="2964A328">
            <w:pPr>
              <w:jc w:val="center"/>
              <w:rPr>
                <w:rFonts w:ascii="Times New Roman"/>
                <w:sz w:val="21"/>
                <w:szCs w:val="21"/>
              </w:rPr>
            </w:pPr>
            <w:r>
              <w:rPr>
                <w:rFonts w:hint="eastAsia" w:ascii="Times New Roman"/>
                <w:sz w:val="21"/>
                <w:szCs w:val="21"/>
              </w:rPr>
              <w:t xml:space="preserve">0.12 </w:t>
            </w:r>
          </w:p>
        </w:tc>
      </w:tr>
      <w:tr w14:paraId="09D095C8">
        <w:tblPrEx>
          <w:tblCellMar>
            <w:top w:w="0" w:type="dxa"/>
            <w:left w:w="108" w:type="dxa"/>
            <w:bottom w:w="0" w:type="dxa"/>
            <w:right w:w="108" w:type="dxa"/>
          </w:tblCellMar>
        </w:tblPrEx>
        <w:trPr>
          <w:trHeight w:val="124" w:hRule="atLeast"/>
        </w:trPr>
        <w:tc>
          <w:tcPr>
            <w:tcW w:w="3214" w:type="dxa"/>
            <w:gridSpan w:val="3"/>
            <w:vAlign w:val="center"/>
          </w:tcPr>
          <w:p w14:paraId="06D6A903">
            <w:pPr>
              <w:jc w:val="center"/>
              <w:rPr>
                <w:rFonts w:ascii="Times New Roman"/>
                <w:sz w:val="21"/>
                <w:szCs w:val="21"/>
              </w:rPr>
            </w:pPr>
            <w:r>
              <w:rPr>
                <w:rFonts w:ascii="Times New Roman"/>
                <w:sz w:val="21"/>
                <w:szCs w:val="21"/>
              </w:rPr>
              <w:t>1600.0</w:t>
            </w:r>
          </w:p>
        </w:tc>
        <w:tc>
          <w:tcPr>
            <w:tcW w:w="3071" w:type="dxa"/>
            <w:gridSpan w:val="3"/>
            <w:vAlign w:val="center"/>
          </w:tcPr>
          <w:p w14:paraId="59C4CEEC">
            <w:pPr>
              <w:jc w:val="center"/>
              <w:rPr>
                <w:rFonts w:ascii="Times New Roman"/>
                <w:sz w:val="21"/>
                <w:szCs w:val="21"/>
              </w:rPr>
            </w:pPr>
            <w:r>
              <w:rPr>
                <w:rFonts w:hint="eastAsia" w:ascii="Times New Roman"/>
                <w:sz w:val="21"/>
                <w:szCs w:val="21"/>
              </w:rPr>
              <w:t>0.1749</w:t>
            </w:r>
          </w:p>
        </w:tc>
        <w:tc>
          <w:tcPr>
            <w:tcW w:w="2254" w:type="dxa"/>
            <w:gridSpan w:val="3"/>
            <w:vAlign w:val="center"/>
          </w:tcPr>
          <w:p w14:paraId="33C5B3E0">
            <w:pPr>
              <w:jc w:val="center"/>
              <w:rPr>
                <w:rFonts w:ascii="Times New Roman"/>
                <w:sz w:val="21"/>
                <w:szCs w:val="21"/>
              </w:rPr>
            </w:pPr>
            <w:r>
              <w:rPr>
                <w:rFonts w:hint="eastAsia" w:ascii="Times New Roman"/>
                <w:sz w:val="21"/>
                <w:szCs w:val="21"/>
              </w:rPr>
              <w:t xml:space="preserve">0.10 </w:t>
            </w:r>
          </w:p>
        </w:tc>
      </w:tr>
      <w:tr w14:paraId="6D682472">
        <w:tblPrEx>
          <w:tblCellMar>
            <w:top w:w="0" w:type="dxa"/>
            <w:left w:w="108" w:type="dxa"/>
            <w:bottom w:w="0" w:type="dxa"/>
            <w:right w:w="108" w:type="dxa"/>
          </w:tblCellMar>
        </w:tblPrEx>
        <w:trPr>
          <w:trHeight w:val="124" w:hRule="atLeast"/>
        </w:trPr>
        <w:tc>
          <w:tcPr>
            <w:tcW w:w="3214" w:type="dxa"/>
            <w:gridSpan w:val="3"/>
            <w:vAlign w:val="center"/>
          </w:tcPr>
          <w:p w14:paraId="29DD58F5">
            <w:pPr>
              <w:jc w:val="center"/>
              <w:rPr>
                <w:rFonts w:ascii="Times New Roman"/>
                <w:sz w:val="21"/>
                <w:szCs w:val="21"/>
              </w:rPr>
            </w:pPr>
            <w:r>
              <w:rPr>
                <w:rFonts w:ascii="Times New Roman"/>
                <w:sz w:val="21"/>
                <w:szCs w:val="21"/>
              </w:rPr>
              <w:t>1800.0</w:t>
            </w:r>
          </w:p>
        </w:tc>
        <w:tc>
          <w:tcPr>
            <w:tcW w:w="3071" w:type="dxa"/>
            <w:gridSpan w:val="3"/>
            <w:vAlign w:val="center"/>
          </w:tcPr>
          <w:p w14:paraId="6E8B0DFD">
            <w:pPr>
              <w:jc w:val="center"/>
              <w:rPr>
                <w:rFonts w:ascii="Times New Roman"/>
                <w:sz w:val="21"/>
                <w:szCs w:val="21"/>
              </w:rPr>
            </w:pPr>
            <w:r>
              <w:rPr>
                <w:rFonts w:hint="eastAsia" w:ascii="Times New Roman"/>
                <w:sz w:val="21"/>
                <w:szCs w:val="21"/>
              </w:rPr>
              <w:t>0.1529</w:t>
            </w:r>
          </w:p>
        </w:tc>
        <w:tc>
          <w:tcPr>
            <w:tcW w:w="2254" w:type="dxa"/>
            <w:gridSpan w:val="3"/>
            <w:vAlign w:val="center"/>
          </w:tcPr>
          <w:p w14:paraId="33E37A4B">
            <w:pPr>
              <w:jc w:val="center"/>
              <w:rPr>
                <w:rFonts w:ascii="Times New Roman"/>
                <w:sz w:val="21"/>
                <w:szCs w:val="21"/>
              </w:rPr>
            </w:pPr>
            <w:r>
              <w:rPr>
                <w:rFonts w:hint="eastAsia" w:ascii="Times New Roman"/>
                <w:sz w:val="21"/>
                <w:szCs w:val="21"/>
              </w:rPr>
              <w:t xml:space="preserve">0.09 </w:t>
            </w:r>
          </w:p>
        </w:tc>
      </w:tr>
      <w:tr w14:paraId="670F7826">
        <w:tblPrEx>
          <w:tblCellMar>
            <w:top w:w="0" w:type="dxa"/>
            <w:left w:w="108" w:type="dxa"/>
            <w:bottom w:w="0" w:type="dxa"/>
            <w:right w:w="108" w:type="dxa"/>
          </w:tblCellMar>
        </w:tblPrEx>
        <w:trPr>
          <w:trHeight w:val="124" w:hRule="atLeast"/>
        </w:trPr>
        <w:tc>
          <w:tcPr>
            <w:tcW w:w="3214" w:type="dxa"/>
            <w:gridSpan w:val="3"/>
            <w:vAlign w:val="center"/>
          </w:tcPr>
          <w:p w14:paraId="32606E07">
            <w:pPr>
              <w:jc w:val="center"/>
              <w:rPr>
                <w:rFonts w:ascii="Times New Roman"/>
                <w:sz w:val="21"/>
                <w:szCs w:val="21"/>
              </w:rPr>
            </w:pPr>
            <w:r>
              <w:rPr>
                <w:rFonts w:ascii="Times New Roman"/>
                <w:sz w:val="21"/>
                <w:szCs w:val="21"/>
              </w:rPr>
              <w:t>2000.0</w:t>
            </w:r>
          </w:p>
        </w:tc>
        <w:tc>
          <w:tcPr>
            <w:tcW w:w="3071" w:type="dxa"/>
            <w:gridSpan w:val="3"/>
            <w:vAlign w:val="center"/>
          </w:tcPr>
          <w:p w14:paraId="31E08563">
            <w:pPr>
              <w:jc w:val="center"/>
              <w:rPr>
                <w:rFonts w:ascii="Times New Roman"/>
                <w:sz w:val="21"/>
                <w:szCs w:val="21"/>
              </w:rPr>
            </w:pPr>
            <w:r>
              <w:rPr>
                <w:rFonts w:hint="eastAsia" w:ascii="Times New Roman"/>
                <w:sz w:val="21"/>
                <w:szCs w:val="21"/>
              </w:rPr>
              <w:t>0.1351</w:t>
            </w:r>
          </w:p>
        </w:tc>
        <w:tc>
          <w:tcPr>
            <w:tcW w:w="2254" w:type="dxa"/>
            <w:gridSpan w:val="3"/>
            <w:vAlign w:val="center"/>
          </w:tcPr>
          <w:p w14:paraId="238F55EA">
            <w:pPr>
              <w:jc w:val="center"/>
              <w:rPr>
                <w:rFonts w:ascii="Times New Roman"/>
                <w:sz w:val="21"/>
                <w:szCs w:val="21"/>
              </w:rPr>
            </w:pPr>
            <w:r>
              <w:rPr>
                <w:rFonts w:hint="eastAsia" w:ascii="Times New Roman"/>
                <w:sz w:val="21"/>
                <w:szCs w:val="21"/>
              </w:rPr>
              <w:t xml:space="preserve">0.08 </w:t>
            </w:r>
          </w:p>
        </w:tc>
      </w:tr>
      <w:tr w14:paraId="2B7356EA">
        <w:tblPrEx>
          <w:tblCellMar>
            <w:top w:w="0" w:type="dxa"/>
            <w:left w:w="108" w:type="dxa"/>
            <w:bottom w:w="0" w:type="dxa"/>
            <w:right w:w="108" w:type="dxa"/>
          </w:tblCellMar>
        </w:tblPrEx>
        <w:trPr>
          <w:trHeight w:val="124" w:hRule="atLeast"/>
        </w:trPr>
        <w:tc>
          <w:tcPr>
            <w:tcW w:w="3214" w:type="dxa"/>
            <w:gridSpan w:val="3"/>
            <w:vAlign w:val="center"/>
          </w:tcPr>
          <w:p w14:paraId="14B8E61A">
            <w:pPr>
              <w:jc w:val="center"/>
              <w:rPr>
                <w:rFonts w:ascii="Times New Roman"/>
                <w:sz w:val="21"/>
                <w:szCs w:val="21"/>
              </w:rPr>
            </w:pPr>
            <w:r>
              <w:rPr>
                <w:rFonts w:ascii="Times New Roman"/>
                <w:sz w:val="21"/>
                <w:szCs w:val="21"/>
              </w:rPr>
              <w:t>2500.0</w:t>
            </w:r>
          </w:p>
        </w:tc>
        <w:tc>
          <w:tcPr>
            <w:tcW w:w="3071" w:type="dxa"/>
            <w:gridSpan w:val="3"/>
            <w:vAlign w:val="center"/>
          </w:tcPr>
          <w:p w14:paraId="72C72D09">
            <w:pPr>
              <w:jc w:val="center"/>
              <w:rPr>
                <w:rFonts w:ascii="Times New Roman"/>
                <w:sz w:val="21"/>
                <w:szCs w:val="21"/>
              </w:rPr>
            </w:pPr>
            <w:r>
              <w:rPr>
                <w:rFonts w:hint="eastAsia" w:ascii="Times New Roman"/>
                <w:sz w:val="21"/>
                <w:szCs w:val="21"/>
              </w:rPr>
              <w:t>0.1031</w:t>
            </w:r>
          </w:p>
        </w:tc>
        <w:tc>
          <w:tcPr>
            <w:tcW w:w="2254" w:type="dxa"/>
            <w:gridSpan w:val="3"/>
            <w:vAlign w:val="center"/>
          </w:tcPr>
          <w:p w14:paraId="526FC4E6">
            <w:pPr>
              <w:jc w:val="center"/>
              <w:rPr>
                <w:rFonts w:ascii="Times New Roman"/>
                <w:sz w:val="21"/>
                <w:szCs w:val="21"/>
              </w:rPr>
            </w:pPr>
            <w:r>
              <w:rPr>
                <w:rFonts w:hint="eastAsia" w:ascii="Times New Roman"/>
                <w:sz w:val="21"/>
                <w:szCs w:val="21"/>
              </w:rPr>
              <w:t xml:space="preserve">0.07 </w:t>
            </w:r>
          </w:p>
        </w:tc>
      </w:tr>
      <w:tr w14:paraId="4CAEFEA1">
        <w:tblPrEx>
          <w:tblCellMar>
            <w:top w:w="0" w:type="dxa"/>
            <w:left w:w="108" w:type="dxa"/>
            <w:bottom w:w="0" w:type="dxa"/>
            <w:right w:w="108" w:type="dxa"/>
          </w:tblCellMar>
        </w:tblPrEx>
        <w:trPr>
          <w:trHeight w:val="124" w:hRule="atLeast"/>
        </w:trPr>
        <w:tc>
          <w:tcPr>
            <w:tcW w:w="3214" w:type="dxa"/>
            <w:gridSpan w:val="3"/>
            <w:vAlign w:val="center"/>
          </w:tcPr>
          <w:p w14:paraId="4F20C07C">
            <w:pPr>
              <w:jc w:val="center"/>
              <w:rPr>
                <w:rFonts w:ascii="Times New Roman"/>
                <w:sz w:val="21"/>
                <w:szCs w:val="21"/>
              </w:rPr>
            </w:pPr>
            <w:r>
              <w:rPr>
                <w:rFonts w:ascii="Times New Roman"/>
                <w:sz w:val="21"/>
                <w:szCs w:val="21"/>
              </w:rPr>
              <w:t>3000.0</w:t>
            </w:r>
          </w:p>
        </w:tc>
        <w:tc>
          <w:tcPr>
            <w:tcW w:w="3071" w:type="dxa"/>
            <w:gridSpan w:val="3"/>
            <w:vAlign w:val="center"/>
          </w:tcPr>
          <w:p w14:paraId="6F92AAE6">
            <w:pPr>
              <w:jc w:val="center"/>
              <w:rPr>
                <w:rFonts w:ascii="Times New Roman"/>
                <w:sz w:val="21"/>
                <w:szCs w:val="21"/>
              </w:rPr>
            </w:pPr>
            <w:r>
              <w:rPr>
                <w:rFonts w:hint="eastAsia" w:ascii="Times New Roman"/>
                <w:sz w:val="21"/>
                <w:szCs w:val="21"/>
              </w:rPr>
              <w:t>0.0821</w:t>
            </w:r>
          </w:p>
        </w:tc>
        <w:tc>
          <w:tcPr>
            <w:tcW w:w="2254" w:type="dxa"/>
            <w:gridSpan w:val="3"/>
            <w:vAlign w:val="center"/>
          </w:tcPr>
          <w:p w14:paraId="6B3E75FA">
            <w:pPr>
              <w:jc w:val="center"/>
              <w:rPr>
                <w:rFonts w:ascii="Times New Roman"/>
                <w:sz w:val="21"/>
                <w:szCs w:val="21"/>
              </w:rPr>
            </w:pPr>
            <w:r>
              <w:rPr>
                <w:rFonts w:hint="eastAsia" w:ascii="Times New Roman"/>
                <w:sz w:val="21"/>
                <w:szCs w:val="21"/>
              </w:rPr>
              <w:t xml:space="preserve">0.05 </w:t>
            </w:r>
          </w:p>
        </w:tc>
      </w:tr>
      <w:tr w14:paraId="11B3A1DB">
        <w:tblPrEx>
          <w:tblCellMar>
            <w:top w:w="0" w:type="dxa"/>
            <w:left w:w="108" w:type="dxa"/>
            <w:bottom w:w="0" w:type="dxa"/>
            <w:right w:w="108" w:type="dxa"/>
          </w:tblCellMar>
        </w:tblPrEx>
        <w:trPr>
          <w:trHeight w:val="124" w:hRule="atLeast"/>
        </w:trPr>
        <w:tc>
          <w:tcPr>
            <w:tcW w:w="3214" w:type="dxa"/>
            <w:gridSpan w:val="3"/>
            <w:vAlign w:val="center"/>
          </w:tcPr>
          <w:p w14:paraId="28CFA70C">
            <w:pPr>
              <w:jc w:val="center"/>
              <w:rPr>
                <w:rFonts w:ascii="Times New Roman"/>
                <w:sz w:val="21"/>
                <w:szCs w:val="21"/>
              </w:rPr>
            </w:pPr>
            <w:r>
              <w:rPr>
                <w:rFonts w:ascii="Times New Roman"/>
                <w:sz w:val="21"/>
                <w:szCs w:val="21"/>
              </w:rPr>
              <w:t>3500.0</w:t>
            </w:r>
          </w:p>
        </w:tc>
        <w:tc>
          <w:tcPr>
            <w:tcW w:w="3071" w:type="dxa"/>
            <w:gridSpan w:val="3"/>
            <w:vAlign w:val="center"/>
          </w:tcPr>
          <w:p w14:paraId="07569407">
            <w:pPr>
              <w:jc w:val="center"/>
              <w:rPr>
                <w:rFonts w:ascii="Times New Roman"/>
                <w:sz w:val="21"/>
                <w:szCs w:val="21"/>
              </w:rPr>
            </w:pPr>
            <w:r>
              <w:rPr>
                <w:rFonts w:hint="eastAsia" w:ascii="Times New Roman"/>
                <w:sz w:val="21"/>
                <w:szCs w:val="21"/>
              </w:rPr>
              <w:t>0.0674</w:t>
            </w:r>
          </w:p>
        </w:tc>
        <w:tc>
          <w:tcPr>
            <w:tcW w:w="2254" w:type="dxa"/>
            <w:gridSpan w:val="3"/>
            <w:vAlign w:val="center"/>
          </w:tcPr>
          <w:p w14:paraId="56458400">
            <w:pPr>
              <w:jc w:val="center"/>
              <w:rPr>
                <w:rFonts w:ascii="Times New Roman"/>
                <w:sz w:val="21"/>
                <w:szCs w:val="21"/>
              </w:rPr>
            </w:pPr>
            <w:r>
              <w:rPr>
                <w:rFonts w:hint="eastAsia" w:ascii="Times New Roman"/>
                <w:sz w:val="21"/>
                <w:szCs w:val="21"/>
              </w:rPr>
              <w:t xml:space="preserve">0.04 </w:t>
            </w:r>
          </w:p>
        </w:tc>
      </w:tr>
      <w:tr w14:paraId="076E92E7">
        <w:tblPrEx>
          <w:tblCellMar>
            <w:top w:w="0" w:type="dxa"/>
            <w:left w:w="108" w:type="dxa"/>
            <w:bottom w:w="0" w:type="dxa"/>
            <w:right w:w="108" w:type="dxa"/>
          </w:tblCellMar>
        </w:tblPrEx>
        <w:trPr>
          <w:trHeight w:val="124" w:hRule="atLeast"/>
        </w:trPr>
        <w:tc>
          <w:tcPr>
            <w:tcW w:w="3214" w:type="dxa"/>
            <w:gridSpan w:val="3"/>
            <w:vAlign w:val="center"/>
          </w:tcPr>
          <w:p w14:paraId="1BB480A1">
            <w:pPr>
              <w:jc w:val="center"/>
              <w:rPr>
                <w:rFonts w:ascii="Times New Roman"/>
                <w:sz w:val="21"/>
                <w:szCs w:val="21"/>
              </w:rPr>
            </w:pPr>
            <w:r>
              <w:rPr>
                <w:rFonts w:ascii="Times New Roman"/>
                <w:sz w:val="21"/>
                <w:szCs w:val="21"/>
              </w:rPr>
              <w:t>4000.0</w:t>
            </w:r>
          </w:p>
        </w:tc>
        <w:tc>
          <w:tcPr>
            <w:tcW w:w="3071" w:type="dxa"/>
            <w:gridSpan w:val="3"/>
            <w:vAlign w:val="center"/>
          </w:tcPr>
          <w:p w14:paraId="50892F72">
            <w:pPr>
              <w:jc w:val="center"/>
              <w:rPr>
                <w:rFonts w:ascii="Times New Roman"/>
                <w:sz w:val="21"/>
                <w:szCs w:val="21"/>
              </w:rPr>
            </w:pPr>
            <w:r>
              <w:rPr>
                <w:rFonts w:hint="eastAsia" w:ascii="Times New Roman"/>
                <w:sz w:val="21"/>
                <w:szCs w:val="21"/>
              </w:rPr>
              <w:t>0.0567</w:t>
            </w:r>
          </w:p>
        </w:tc>
        <w:tc>
          <w:tcPr>
            <w:tcW w:w="2254" w:type="dxa"/>
            <w:gridSpan w:val="3"/>
            <w:vAlign w:val="center"/>
          </w:tcPr>
          <w:p w14:paraId="7E17A381">
            <w:pPr>
              <w:jc w:val="center"/>
              <w:rPr>
                <w:rFonts w:ascii="Times New Roman"/>
                <w:sz w:val="21"/>
                <w:szCs w:val="21"/>
              </w:rPr>
            </w:pPr>
            <w:r>
              <w:rPr>
                <w:rFonts w:hint="eastAsia" w:ascii="Times New Roman"/>
                <w:sz w:val="21"/>
                <w:szCs w:val="21"/>
              </w:rPr>
              <w:t xml:space="preserve">0.03 </w:t>
            </w:r>
          </w:p>
        </w:tc>
      </w:tr>
      <w:tr w14:paraId="62855958">
        <w:tblPrEx>
          <w:tblCellMar>
            <w:top w:w="0" w:type="dxa"/>
            <w:left w:w="108" w:type="dxa"/>
            <w:bottom w:w="0" w:type="dxa"/>
            <w:right w:w="108" w:type="dxa"/>
          </w:tblCellMar>
        </w:tblPrEx>
        <w:trPr>
          <w:trHeight w:val="124" w:hRule="atLeast"/>
        </w:trPr>
        <w:tc>
          <w:tcPr>
            <w:tcW w:w="3214" w:type="dxa"/>
            <w:gridSpan w:val="3"/>
            <w:vAlign w:val="center"/>
          </w:tcPr>
          <w:p w14:paraId="04D6B275">
            <w:pPr>
              <w:jc w:val="center"/>
              <w:rPr>
                <w:rFonts w:ascii="Times New Roman"/>
                <w:sz w:val="21"/>
                <w:szCs w:val="21"/>
              </w:rPr>
            </w:pPr>
            <w:r>
              <w:rPr>
                <w:rFonts w:ascii="Times New Roman"/>
                <w:sz w:val="21"/>
                <w:szCs w:val="21"/>
              </w:rPr>
              <w:t>4500.0</w:t>
            </w:r>
          </w:p>
        </w:tc>
        <w:tc>
          <w:tcPr>
            <w:tcW w:w="3071" w:type="dxa"/>
            <w:gridSpan w:val="3"/>
            <w:vAlign w:val="center"/>
          </w:tcPr>
          <w:p w14:paraId="34A6F6A4">
            <w:pPr>
              <w:jc w:val="center"/>
              <w:rPr>
                <w:rFonts w:ascii="Times New Roman"/>
                <w:sz w:val="21"/>
                <w:szCs w:val="21"/>
              </w:rPr>
            </w:pPr>
            <w:r>
              <w:rPr>
                <w:rFonts w:hint="eastAsia" w:ascii="Times New Roman"/>
                <w:sz w:val="21"/>
                <w:szCs w:val="21"/>
              </w:rPr>
              <w:t>0.0486</w:t>
            </w:r>
          </w:p>
        </w:tc>
        <w:tc>
          <w:tcPr>
            <w:tcW w:w="2254" w:type="dxa"/>
            <w:gridSpan w:val="3"/>
            <w:vAlign w:val="center"/>
          </w:tcPr>
          <w:p w14:paraId="629E3C96">
            <w:pPr>
              <w:jc w:val="center"/>
              <w:rPr>
                <w:rFonts w:ascii="Times New Roman"/>
                <w:sz w:val="21"/>
                <w:szCs w:val="21"/>
              </w:rPr>
            </w:pPr>
            <w:r>
              <w:rPr>
                <w:rFonts w:hint="eastAsia" w:ascii="Times New Roman"/>
                <w:sz w:val="21"/>
                <w:szCs w:val="21"/>
              </w:rPr>
              <w:t xml:space="preserve">0.03 </w:t>
            </w:r>
          </w:p>
        </w:tc>
      </w:tr>
      <w:tr w14:paraId="257893E1">
        <w:tblPrEx>
          <w:tblCellMar>
            <w:top w:w="0" w:type="dxa"/>
            <w:left w:w="108" w:type="dxa"/>
            <w:bottom w:w="0" w:type="dxa"/>
            <w:right w:w="108" w:type="dxa"/>
          </w:tblCellMar>
        </w:tblPrEx>
        <w:trPr>
          <w:trHeight w:val="124" w:hRule="atLeast"/>
        </w:trPr>
        <w:tc>
          <w:tcPr>
            <w:tcW w:w="3214" w:type="dxa"/>
            <w:gridSpan w:val="3"/>
            <w:vAlign w:val="center"/>
          </w:tcPr>
          <w:p w14:paraId="07528C76">
            <w:pPr>
              <w:jc w:val="center"/>
              <w:rPr>
                <w:rFonts w:ascii="Times New Roman"/>
                <w:sz w:val="21"/>
                <w:szCs w:val="21"/>
              </w:rPr>
            </w:pPr>
            <w:r>
              <w:rPr>
                <w:rFonts w:ascii="Times New Roman"/>
                <w:sz w:val="21"/>
                <w:szCs w:val="21"/>
              </w:rPr>
              <w:t>5000.0</w:t>
            </w:r>
          </w:p>
        </w:tc>
        <w:tc>
          <w:tcPr>
            <w:tcW w:w="3071" w:type="dxa"/>
            <w:gridSpan w:val="3"/>
            <w:vAlign w:val="center"/>
          </w:tcPr>
          <w:p w14:paraId="3B6D05FC">
            <w:pPr>
              <w:jc w:val="center"/>
              <w:rPr>
                <w:rFonts w:ascii="Times New Roman"/>
                <w:sz w:val="21"/>
                <w:szCs w:val="21"/>
              </w:rPr>
            </w:pPr>
            <w:r>
              <w:rPr>
                <w:rFonts w:hint="eastAsia" w:ascii="Times New Roman"/>
                <w:sz w:val="21"/>
                <w:szCs w:val="21"/>
              </w:rPr>
              <w:t>0.0422</w:t>
            </w:r>
          </w:p>
        </w:tc>
        <w:tc>
          <w:tcPr>
            <w:tcW w:w="2254" w:type="dxa"/>
            <w:gridSpan w:val="3"/>
            <w:vAlign w:val="center"/>
          </w:tcPr>
          <w:p w14:paraId="37604A9D">
            <w:pPr>
              <w:jc w:val="center"/>
              <w:rPr>
                <w:rFonts w:ascii="Times New Roman"/>
                <w:sz w:val="21"/>
                <w:szCs w:val="21"/>
              </w:rPr>
            </w:pPr>
            <w:r>
              <w:rPr>
                <w:rFonts w:hint="eastAsia" w:ascii="Times New Roman"/>
                <w:sz w:val="21"/>
                <w:szCs w:val="21"/>
              </w:rPr>
              <w:t xml:space="preserve">0.02 </w:t>
            </w:r>
          </w:p>
        </w:tc>
      </w:tr>
      <w:tr w14:paraId="708B1E92">
        <w:tblPrEx>
          <w:tblCellMar>
            <w:top w:w="0" w:type="dxa"/>
            <w:left w:w="108" w:type="dxa"/>
            <w:bottom w:w="0" w:type="dxa"/>
            <w:right w:w="108" w:type="dxa"/>
          </w:tblCellMar>
        </w:tblPrEx>
        <w:trPr>
          <w:trHeight w:val="124" w:hRule="atLeast"/>
        </w:trPr>
        <w:tc>
          <w:tcPr>
            <w:tcW w:w="3214" w:type="dxa"/>
            <w:gridSpan w:val="3"/>
            <w:vAlign w:val="center"/>
          </w:tcPr>
          <w:p w14:paraId="3F9C7F06">
            <w:pPr>
              <w:jc w:val="center"/>
              <w:rPr>
                <w:rFonts w:ascii="Times New Roman"/>
                <w:sz w:val="21"/>
                <w:szCs w:val="21"/>
              </w:rPr>
            </w:pPr>
            <w:r>
              <w:rPr>
                <w:rFonts w:ascii="Times New Roman"/>
                <w:sz w:val="21"/>
                <w:szCs w:val="21"/>
              </w:rPr>
              <w:t>10000.0</w:t>
            </w:r>
          </w:p>
        </w:tc>
        <w:tc>
          <w:tcPr>
            <w:tcW w:w="3071" w:type="dxa"/>
            <w:gridSpan w:val="3"/>
            <w:vAlign w:val="center"/>
          </w:tcPr>
          <w:p w14:paraId="170CAC17">
            <w:pPr>
              <w:jc w:val="center"/>
              <w:rPr>
                <w:rFonts w:ascii="Times New Roman"/>
                <w:sz w:val="21"/>
                <w:szCs w:val="21"/>
              </w:rPr>
            </w:pPr>
            <w:r>
              <w:rPr>
                <w:rFonts w:hint="eastAsia" w:ascii="Times New Roman"/>
                <w:sz w:val="21"/>
                <w:szCs w:val="21"/>
              </w:rPr>
              <w:t>0.0166</w:t>
            </w:r>
          </w:p>
        </w:tc>
        <w:tc>
          <w:tcPr>
            <w:tcW w:w="2254" w:type="dxa"/>
            <w:gridSpan w:val="3"/>
            <w:vAlign w:val="center"/>
          </w:tcPr>
          <w:p w14:paraId="0D86E086">
            <w:pPr>
              <w:jc w:val="center"/>
              <w:rPr>
                <w:rFonts w:ascii="Times New Roman"/>
                <w:sz w:val="21"/>
                <w:szCs w:val="21"/>
              </w:rPr>
            </w:pPr>
            <w:r>
              <w:rPr>
                <w:rFonts w:hint="eastAsia" w:ascii="Times New Roman"/>
                <w:sz w:val="21"/>
                <w:szCs w:val="21"/>
              </w:rPr>
              <w:t xml:space="preserve">0.02 </w:t>
            </w:r>
          </w:p>
        </w:tc>
      </w:tr>
      <w:tr w14:paraId="2F862533">
        <w:tblPrEx>
          <w:tblCellMar>
            <w:top w:w="0" w:type="dxa"/>
            <w:left w:w="108" w:type="dxa"/>
            <w:bottom w:w="0" w:type="dxa"/>
            <w:right w:w="108" w:type="dxa"/>
          </w:tblCellMar>
        </w:tblPrEx>
        <w:trPr>
          <w:trHeight w:val="124" w:hRule="atLeast"/>
        </w:trPr>
        <w:tc>
          <w:tcPr>
            <w:tcW w:w="3214" w:type="dxa"/>
            <w:gridSpan w:val="3"/>
            <w:vAlign w:val="center"/>
          </w:tcPr>
          <w:p w14:paraId="5D74DB07">
            <w:pPr>
              <w:jc w:val="center"/>
              <w:rPr>
                <w:rFonts w:ascii="Times New Roman"/>
                <w:sz w:val="21"/>
                <w:szCs w:val="21"/>
              </w:rPr>
            </w:pPr>
            <w:r>
              <w:rPr>
                <w:rFonts w:ascii="Times New Roman"/>
                <w:sz w:val="21"/>
                <w:szCs w:val="21"/>
              </w:rPr>
              <w:t>11000.0</w:t>
            </w:r>
          </w:p>
        </w:tc>
        <w:tc>
          <w:tcPr>
            <w:tcW w:w="3071" w:type="dxa"/>
            <w:gridSpan w:val="3"/>
            <w:vAlign w:val="center"/>
          </w:tcPr>
          <w:p w14:paraId="735517F9">
            <w:pPr>
              <w:jc w:val="center"/>
              <w:rPr>
                <w:rFonts w:ascii="Times New Roman"/>
                <w:sz w:val="21"/>
                <w:szCs w:val="21"/>
              </w:rPr>
            </w:pPr>
            <w:r>
              <w:rPr>
                <w:rFonts w:hint="eastAsia" w:ascii="Times New Roman"/>
                <w:sz w:val="21"/>
                <w:szCs w:val="21"/>
              </w:rPr>
              <w:t>0.0145</w:t>
            </w:r>
          </w:p>
        </w:tc>
        <w:tc>
          <w:tcPr>
            <w:tcW w:w="2254" w:type="dxa"/>
            <w:gridSpan w:val="3"/>
            <w:vAlign w:val="center"/>
          </w:tcPr>
          <w:p w14:paraId="0CDBCF93">
            <w:pPr>
              <w:jc w:val="center"/>
              <w:rPr>
                <w:rFonts w:ascii="Times New Roman"/>
                <w:sz w:val="21"/>
                <w:szCs w:val="21"/>
              </w:rPr>
            </w:pPr>
            <w:r>
              <w:rPr>
                <w:rFonts w:hint="eastAsia" w:ascii="Times New Roman"/>
                <w:sz w:val="21"/>
                <w:szCs w:val="21"/>
              </w:rPr>
              <w:t xml:space="preserve">0.01 </w:t>
            </w:r>
          </w:p>
        </w:tc>
      </w:tr>
      <w:tr w14:paraId="01961764">
        <w:tblPrEx>
          <w:tblCellMar>
            <w:top w:w="0" w:type="dxa"/>
            <w:left w:w="108" w:type="dxa"/>
            <w:bottom w:w="0" w:type="dxa"/>
            <w:right w:w="108" w:type="dxa"/>
          </w:tblCellMar>
        </w:tblPrEx>
        <w:trPr>
          <w:trHeight w:val="124" w:hRule="atLeast"/>
        </w:trPr>
        <w:tc>
          <w:tcPr>
            <w:tcW w:w="3214" w:type="dxa"/>
            <w:gridSpan w:val="3"/>
            <w:vAlign w:val="center"/>
          </w:tcPr>
          <w:p w14:paraId="6B4392EE">
            <w:pPr>
              <w:jc w:val="center"/>
              <w:rPr>
                <w:rFonts w:ascii="Times New Roman"/>
                <w:sz w:val="21"/>
                <w:szCs w:val="21"/>
              </w:rPr>
            </w:pPr>
            <w:r>
              <w:rPr>
                <w:rFonts w:ascii="Times New Roman"/>
                <w:sz w:val="21"/>
                <w:szCs w:val="21"/>
              </w:rPr>
              <w:t>12000.0</w:t>
            </w:r>
          </w:p>
        </w:tc>
        <w:tc>
          <w:tcPr>
            <w:tcW w:w="3071" w:type="dxa"/>
            <w:gridSpan w:val="3"/>
            <w:vAlign w:val="center"/>
          </w:tcPr>
          <w:p w14:paraId="50917041">
            <w:pPr>
              <w:jc w:val="center"/>
              <w:rPr>
                <w:rFonts w:ascii="Times New Roman"/>
                <w:sz w:val="21"/>
                <w:szCs w:val="21"/>
              </w:rPr>
            </w:pPr>
            <w:r>
              <w:rPr>
                <w:rFonts w:hint="eastAsia" w:ascii="Times New Roman"/>
                <w:sz w:val="21"/>
                <w:szCs w:val="21"/>
              </w:rPr>
              <w:t>0.0129</w:t>
            </w:r>
          </w:p>
        </w:tc>
        <w:tc>
          <w:tcPr>
            <w:tcW w:w="2254" w:type="dxa"/>
            <w:gridSpan w:val="3"/>
            <w:vAlign w:val="center"/>
          </w:tcPr>
          <w:p w14:paraId="246E179F">
            <w:pPr>
              <w:jc w:val="center"/>
              <w:rPr>
                <w:rFonts w:ascii="Times New Roman"/>
                <w:sz w:val="21"/>
                <w:szCs w:val="21"/>
              </w:rPr>
            </w:pPr>
            <w:r>
              <w:rPr>
                <w:rFonts w:hint="eastAsia" w:ascii="Times New Roman"/>
                <w:sz w:val="21"/>
                <w:szCs w:val="21"/>
              </w:rPr>
              <w:t xml:space="preserve">0.01 </w:t>
            </w:r>
          </w:p>
        </w:tc>
      </w:tr>
      <w:tr w14:paraId="1448BD6F">
        <w:tblPrEx>
          <w:tblCellMar>
            <w:top w:w="0" w:type="dxa"/>
            <w:left w:w="108" w:type="dxa"/>
            <w:bottom w:w="0" w:type="dxa"/>
            <w:right w:w="108" w:type="dxa"/>
          </w:tblCellMar>
        </w:tblPrEx>
        <w:trPr>
          <w:trHeight w:val="124" w:hRule="atLeast"/>
        </w:trPr>
        <w:tc>
          <w:tcPr>
            <w:tcW w:w="3214" w:type="dxa"/>
            <w:gridSpan w:val="3"/>
            <w:vAlign w:val="center"/>
          </w:tcPr>
          <w:p w14:paraId="3C309EB4">
            <w:pPr>
              <w:jc w:val="center"/>
              <w:rPr>
                <w:rFonts w:ascii="Times New Roman"/>
                <w:sz w:val="21"/>
                <w:szCs w:val="21"/>
              </w:rPr>
            </w:pPr>
            <w:r>
              <w:rPr>
                <w:rFonts w:ascii="Times New Roman"/>
                <w:sz w:val="21"/>
                <w:szCs w:val="21"/>
              </w:rPr>
              <w:t>13000.0</w:t>
            </w:r>
          </w:p>
        </w:tc>
        <w:tc>
          <w:tcPr>
            <w:tcW w:w="3071" w:type="dxa"/>
            <w:gridSpan w:val="3"/>
            <w:vAlign w:val="center"/>
          </w:tcPr>
          <w:p w14:paraId="0D5BA1EB">
            <w:pPr>
              <w:jc w:val="center"/>
              <w:rPr>
                <w:rFonts w:ascii="Times New Roman"/>
                <w:sz w:val="21"/>
                <w:szCs w:val="21"/>
              </w:rPr>
            </w:pPr>
            <w:r>
              <w:rPr>
                <w:rFonts w:hint="eastAsia" w:ascii="Times New Roman"/>
                <w:sz w:val="21"/>
                <w:szCs w:val="21"/>
              </w:rPr>
              <w:t>0.0115</w:t>
            </w:r>
          </w:p>
        </w:tc>
        <w:tc>
          <w:tcPr>
            <w:tcW w:w="2254" w:type="dxa"/>
            <w:gridSpan w:val="3"/>
            <w:vAlign w:val="center"/>
          </w:tcPr>
          <w:p w14:paraId="695E2ACC">
            <w:pPr>
              <w:jc w:val="center"/>
              <w:rPr>
                <w:rFonts w:ascii="Times New Roman"/>
                <w:sz w:val="21"/>
                <w:szCs w:val="21"/>
              </w:rPr>
            </w:pPr>
            <w:r>
              <w:rPr>
                <w:rFonts w:hint="eastAsia" w:ascii="Times New Roman"/>
                <w:sz w:val="21"/>
                <w:szCs w:val="21"/>
              </w:rPr>
              <w:t xml:space="preserve">0.01 </w:t>
            </w:r>
          </w:p>
        </w:tc>
      </w:tr>
      <w:tr w14:paraId="7C025B38">
        <w:tblPrEx>
          <w:tblCellMar>
            <w:top w:w="0" w:type="dxa"/>
            <w:left w:w="108" w:type="dxa"/>
            <w:bottom w:w="0" w:type="dxa"/>
            <w:right w:w="108" w:type="dxa"/>
          </w:tblCellMar>
        </w:tblPrEx>
        <w:trPr>
          <w:trHeight w:val="124" w:hRule="atLeast"/>
        </w:trPr>
        <w:tc>
          <w:tcPr>
            <w:tcW w:w="3214" w:type="dxa"/>
            <w:gridSpan w:val="3"/>
            <w:vAlign w:val="center"/>
          </w:tcPr>
          <w:p w14:paraId="1781BC48">
            <w:pPr>
              <w:jc w:val="center"/>
              <w:rPr>
                <w:rFonts w:ascii="Times New Roman"/>
                <w:sz w:val="21"/>
                <w:szCs w:val="21"/>
              </w:rPr>
            </w:pPr>
            <w:r>
              <w:rPr>
                <w:rFonts w:ascii="Times New Roman"/>
                <w:sz w:val="21"/>
                <w:szCs w:val="21"/>
              </w:rPr>
              <w:t>14000.0</w:t>
            </w:r>
          </w:p>
        </w:tc>
        <w:tc>
          <w:tcPr>
            <w:tcW w:w="3071" w:type="dxa"/>
            <w:gridSpan w:val="3"/>
            <w:vAlign w:val="center"/>
          </w:tcPr>
          <w:p w14:paraId="60C3DFC9">
            <w:pPr>
              <w:jc w:val="center"/>
              <w:rPr>
                <w:rFonts w:ascii="Times New Roman"/>
                <w:sz w:val="21"/>
                <w:szCs w:val="21"/>
              </w:rPr>
            </w:pPr>
            <w:r>
              <w:rPr>
                <w:rFonts w:hint="eastAsia" w:ascii="Times New Roman"/>
                <w:sz w:val="21"/>
                <w:szCs w:val="21"/>
              </w:rPr>
              <w:t>0.0103</w:t>
            </w:r>
          </w:p>
        </w:tc>
        <w:tc>
          <w:tcPr>
            <w:tcW w:w="2254" w:type="dxa"/>
            <w:gridSpan w:val="3"/>
            <w:vAlign w:val="center"/>
          </w:tcPr>
          <w:p w14:paraId="6635DDE4">
            <w:pPr>
              <w:jc w:val="center"/>
              <w:rPr>
                <w:rFonts w:ascii="Times New Roman"/>
                <w:sz w:val="21"/>
                <w:szCs w:val="21"/>
              </w:rPr>
            </w:pPr>
            <w:r>
              <w:rPr>
                <w:rFonts w:hint="eastAsia" w:ascii="Times New Roman"/>
                <w:sz w:val="21"/>
                <w:szCs w:val="21"/>
              </w:rPr>
              <w:t xml:space="preserve">0.01 </w:t>
            </w:r>
          </w:p>
        </w:tc>
      </w:tr>
      <w:tr w14:paraId="50E540E6">
        <w:tblPrEx>
          <w:tblCellMar>
            <w:top w:w="0" w:type="dxa"/>
            <w:left w:w="108" w:type="dxa"/>
            <w:bottom w:w="0" w:type="dxa"/>
            <w:right w:w="108" w:type="dxa"/>
          </w:tblCellMar>
        </w:tblPrEx>
        <w:trPr>
          <w:trHeight w:val="124" w:hRule="atLeast"/>
        </w:trPr>
        <w:tc>
          <w:tcPr>
            <w:tcW w:w="3214" w:type="dxa"/>
            <w:gridSpan w:val="3"/>
            <w:vAlign w:val="center"/>
          </w:tcPr>
          <w:p w14:paraId="01C4344D">
            <w:pPr>
              <w:jc w:val="center"/>
              <w:rPr>
                <w:rFonts w:ascii="Times New Roman"/>
                <w:sz w:val="21"/>
                <w:szCs w:val="21"/>
              </w:rPr>
            </w:pPr>
            <w:r>
              <w:rPr>
                <w:rFonts w:ascii="Times New Roman"/>
                <w:sz w:val="21"/>
                <w:szCs w:val="21"/>
              </w:rPr>
              <w:t>15000.0</w:t>
            </w:r>
          </w:p>
        </w:tc>
        <w:tc>
          <w:tcPr>
            <w:tcW w:w="3071" w:type="dxa"/>
            <w:gridSpan w:val="3"/>
            <w:vAlign w:val="center"/>
          </w:tcPr>
          <w:p w14:paraId="7D1D97E5">
            <w:pPr>
              <w:jc w:val="center"/>
              <w:rPr>
                <w:rFonts w:ascii="Times New Roman"/>
                <w:sz w:val="21"/>
                <w:szCs w:val="21"/>
              </w:rPr>
            </w:pPr>
            <w:r>
              <w:rPr>
                <w:rFonts w:hint="eastAsia" w:ascii="Times New Roman"/>
                <w:sz w:val="21"/>
                <w:szCs w:val="21"/>
              </w:rPr>
              <w:t>0.0093</w:t>
            </w:r>
          </w:p>
        </w:tc>
        <w:tc>
          <w:tcPr>
            <w:tcW w:w="2254" w:type="dxa"/>
            <w:gridSpan w:val="3"/>
            <w:vAlign w:val="center"/>
          </w:tcPr>
          <w:p w14:paraId="21C2AC79">
            <w:pPr>
              <w:jc w:val="center"/>
              <w:rPr>
                <w:rFonts w:ascii="Times New Roman"/>
                <w:sz w:val="21"/>
                <w:szCs w:val="21"/>
              </w:rPr>
            </w:pPr>
            <w:r>
              <w:rPr>
                <w:rFonts w:hint="eastAsia" w:ascii="Times New Roman"/>
                <w:sz w:val="21"/>
                <w:szCs w:val="21"/>
              </w:rPr>
              <w:t xml:space="preserve">0.01 </w:t>
            </w:r>
          </w:p>
        </w:tc>
      </w:tr>
      <w:tr w14:paraId="13CB018C">
        <w:tblPrEx>
          <w:tblCellMar>
            <w:top w:w="0" w:type="dxa"/>
            <w:left w:w="108" w:type="dxa"/>
            <w:bottom w:w="0" w:type="dxa"/>
            <w:right w:w="108" w:type="dxa"/>
          </w:tblCellMar>
        </w:tblPrEx>
        <w:trPr>
          <w:trHeight w:val="124" w:hRule="atLeast"/>
        </w:trPr>
        <w:tc>
          <w:tcPr>
            <w:tcW w:w="3214" w:type="dxa"/>
            <w:gridSpan w:val="3"/>
            <w:vAlign w:val="center"/>
          </w:tcPr>
          <w:p w14:paraId="2AA00B6D">
            <w:pPr>
              <w:jc w:val="center"/>
              <w:rPr>
                <w:rFonts w:ascii="Times New Roman"/>
                <w:sz w:val="21"/>
                <w:szCs w:val="21"/>
              </w:rPr>
            </w:pPr>
            <w:r>
              <w:rPr>
                <w:rFonts w:ascii="Times New Roman"/>
                <w:sz w:val="21"/>
                <w:szCs w:val="21"/>
              </w:rPr>
              <w:t>20000.0</w:t>
            </w:r>
          </w:p>
        </w:tc>
        <w:tc>
          <w:tcPr>
            <w:tcW w:w="3071" w:type="dxa"/>
            <w:gridSpan w:val="3"/>
            <w:vAlign w:val="center"/>
          </w:tcPr>
          <w:p w14:paraId="0540333E">
            <w:pPr>
              <w:jc w:val="center"/>
              <w:rPr>
                <w:rFonts w:ascii="Times New Roman"/>
                <w:sz w:val="21"/>
                <w:szCs w:val="21"/>
              </w:rPr>
            </w:pPr>
            <w:r>
              <w:rPr>
                <w:rFonts w:hint="eastAsia" w:ascii="Times New Roman"/>
                <w:sz w:val="21"/>
                <w:szCs w:val="21"/>
              </w:rPr>
              <w:t>0.0061</w:t>
            </w:r>
          </w:p>
        </w:tc>
        <w:tc>
          <w:tcPr>
            <w:tcW w:w="2254" w:type="dxa"/>
            <w:gridSpan w:val="3"/>
            <w:vAlign w:val="center"/>
          </w:tcPr>
          <w:p w14:paraId="4D51F97B">
            <w:pPr>
              <w:jc w:val="center"/>
              <w:rPr>
                <w:rFonts w:ascii="Times New Roman"/>
                <w:sz w:val="21"/>
                <w:szCs w:val="21"/>
              </w:rPr>
            </w:pPr>
            <w:r>
              <w:rPr>
                <w:rFonts w:hint="eastAsia" w:ascii="Times New Roman"/>
                <w:sz w:val="21"/>
                <w:szCs w:val="21"/>
              </w:rPr>
              <w:t xml:space="preserve">0.00 </w:t>
            </w:r>
          </w:p>
        </w:tc>
      </w:tr>
      <w:tr w14:paraId="50295684">
        <w:tblPrEx>
          <w:tblCellMar>
            <w:top w:w="0" w:type="dxa"/>
            <w:left w:w="108" w:type="dxa"/>
            <w:bottom w:w="0" w:type="dxa"/>
            <w:right w:w="108" w:type="dxa"/>
          </w:tblCellMar>
        </w:tblPrEx>
        <w:trPr>
          <w:trHeight w:val="124" w:hRule="atLeast"/>
        </w:trPr>
        <w:tc>
          <w:tcPr>
            <w:tcW w:w="3214" w:type="dxa"/>
            <w:gridSpan w:val="3"/>
            <w:vAlign w:val="center"/>
          </w:tcPr>
          <w:p w14:paraId="7A3929C3">
            <w:pPr>
              <w:jc w:val="center"/>
              <w:rPr>
                <w:rFonts w:ascii="Times New Roman"/>
                <w:sz w:val="21"/>
                <w:szCs w:val="21"/>
              </w:rPr>
            </w:pPr>
            <w:r>
              <w:rPr>
                <w:rFonts w:ascii="Times New Roman"/>
                <w:sz w:val="21"/>
                <w:szCs w:val="21"/>
              </w:rPr>
              <w:t>25000.0</w:t>
            </w:r>
          </w:p>
        </w:tc>
        <w:tc>
          <w:tcPr>
            <w:tcW w:w="3071" w:type="dxa"/>
            <w:gridSpan w:val="3"/>
            <w:vAlign w:val="center"/>
          </w:tcPr>
          <w:p w14:paraId="7A2BB120">
            <w:pPr>
              <w:jc w:val="center"/>
              <w:rPr>
                <w:rFonts w:ascii="Times New Roman"/>
                <w:sz w:val="21"/>
                <w:szCs w:val="21"/>
              </w:rPr>
            </w:pPr>
            <w:r>
              <w:rPr>
                <w:rFonts w:hint="eastAsia" w:ascii="Times New Roman"/>
                <w:sz w:val="21"/>
                <w:szCs w:val="21"/>
              </w:rPr>
              <w:t>0.0044</w:t>
            </w:r>
          </w:p>
        </w:tc>
        <w:tc>
          <w:tcPr>
            <w:tcW w:w="2254" w:type="dxa"/>
            <w:gridSpan w:val="3"/>
            <w:vAlign w:val="center"/>
          </w:tcPr>
          <w:p w14:paraId="1293A875">
            <w:pPr>
              <w:jc w:val="center"/>
              <w:rPr>
                <w:rFonts w:ascii="Times New Roman"/>
                <w:sz w:val="21"/>
                <w:szCs w:val="21"/>
              </w:rPr>
            </w:pPr>
            <w:r>
              <w:rPr>
                <w:rFonts w:hint="eastAsia" w:ascii="Times New Roman"/>
                <w:sz w:val="21"/>
                <w:szCs w:val="21"/>
              </w:rPr>
              <w:t xml:space="preserve">0.00 </w:t>
            </w:r>
          </w:p>
        </w:tc>
      </w:tr>
      <w:tr w14:paraId="659337AB">
        <w:tblPrEx>
          <w:tblCellMar>
            <w:top w:w="0" w:type="dxa"/>
            <w:left w:w="108" w:type="dxa"/>
            <w:bottom w:w="0" w:type="dxa"/>
            <w:right w:w="108" w:type="dxa"/>
          </w:tblCellMar>
        </w:tblPrEx>
        <w:trPr>
          <w:trHeight w:val="124" w:hRule="atLeast"/>
        </w:trPr>
        <w:tc>
          <w:tcPr>
            <w:tcW w:w="3214" w:type="dxa"/>
            <w:gridSpan w:val="3"/>
            <w:vAlign w:val="center"/>
          </w:tcPr>
          <w:p w14:paraId="3284BD07">
            <w:pPr>
              <w:jc w:val="center"/>
              <w:rPr>
                <w:rFonts w:ascii="Times New Roman"/>
                <w:sz w:val="21"/>
                <w:szCs w:val="21"/>
              </w:rPr>
            </w:pPr>
            <w:r>
              <w:rPr>
                <w:rFonts w:ascii="Times New Roman"/>
                <w:sz w:val="21"/>
                <w:szCs w:val="21"/>
              </w:rPr>
              <w:t>下风向最大浓度</w:t>
            </w:r>
          </w:p>
        </w:tc>
        <w:tc>
          <w:tcPr>
            <w:tcW w:w="3071" w:type="dxa"/>
            <w:gridSpan w:val="3"/>
            <w:vAlign w:val="center"/>
          </w:tcPr>
          <w:p w14:paraId="16C0F167">
            <w:pPr>
              <w:jc w:val="center"/>
              <w:rPr>
                <w:rFonts w:ascii="Times New Roman"/>
                <w:sz w:val="21"/>
                <w:szCs w:val="21"/>
              </w:rPr>
            </w:pPr>
            <w:r>
              <w:rPr>
                <w:rFonts w:hint="eastAsia" w:ascii="Times New Roman"/>
                <w:sz w:val="21"/>
                <w:szCs w:val="21"/>
              </w:rPr>
              <w:t>1.0082</w:t>
            </w:r>
          </w:p>
        </w:tc>
        <w:tc>
          <w:tcPr>
            <w:tcW w:w="2254" w:type="dxa"/>
            <w:gridSpan w:val="3"/>
            <w:vAlign w:val="center"/>
          </w:tcPr>
          <w:p w14:paraId="3469DD1B">
            <w:pPr>
              <w:jc w:val="center"/>
              <w:rPr>
                <w:rFonts w:ascii="Times New Roman"/>
                <w:sz w:val="21"/>
                <w:szCs w:val="21"/>
              </w:rPr>
            </w:pPr>
            <w:r>
              <w:rPr>
                <w:rFonts w:ascii="Times New Roman"/>
                <w:sz w:val="21"/>
                <w:szCs w:val="21"/>
              </w:rPr>
              <w:t>0.</w:t>
            </w:r>
            <w:r>
              <w:rPr>
                <w:rFonts w:hint="eastAsia" w:ascii="Times New Roman"/>
                <w:sz w:val="21"/>
                <w:szCs w:val="21"/>
              </w:rPr>
              <w:t>5</w:t>
            </w:r>
          </w:p>
        </w:tc>
      </w:tr>
      <w:tr w14:paraId="6BD4A24E">
        <w:tblPrEx>
          <w:tblCellMar>
            <w:top w:w="0" w:type="dxa"/>
            <w:left w:w="108" w:type="dxa"/>
            <w:bottom w:w="0" w:type="dxa"/>
            <w:right w:w="108" w:type="dxa"/>
          </w:tblCellMar>
        </w:tblPrEx>
        <w:trPr>
          <w:trHeight w:val="124" w:hRule="atLeast"/>
        </w:trPr>
        <w:tc>
          <w:tcPr>
            <w:tcW w:w="3214" w:type="dxa"/>
            <w:gridSpan w:val="3"/>
            <w:vAlign w:val="center"/>
          </w:tcPr>
          <w:p w14:paraId="6A5FE3CE">
            <w:pPr>
              <w:jc w:val="center"/>
              <w:rPr>
                <w:rFonts w:ascii="Times New Roman"/>
                <w:sz w:val="21"/>
                <w:szCs w:val="21"/>
              </w:rPr>
            </w:pPr>
            <w:r>
              <w:rPr>
                <w:rFonts w:ascii="Times New Roman"/>
                <w:sz w:val="21"/>
                <w:szCs w:val="21"/>
              </w:rPr>
              <w:t>下风向最大浓度出现距离</w:t>
            </w:r>
          </w:p>
        </w:tc>
        <w:tc>
          <w:tcPr>
            <w:tcW w:w="3071" w:type="dxa"/>
            <w:gridSpan w:val="3"/>
            <w:vAlign w:val="center"/>
          </w:tcPr>
          <w:p w14:paraId="375952DC">
            <w:pPr>
              <w:jc w:val="center"/>
              <w:rPr>
                <w:rFonts w:ascii="Times New Roman"/>
                <w:sz w:val="21"/>
                <w:szCs w:val="21"/>
              </w:rPr>
            </w:pPr>
            <w:r>
              <w:rPr>
                <w:rFonts w:hint="eastAsia" w:ascii="Times New Roman"/>
                <w:sz w:val="21"/>
                <w:szCs w:val="21"/>
              </w:rPr>
              <w:t>32</w:t>
            </w:r>
            <w:r>
              <w:rPr>
                <w:rFonts w:ascii="Times New Roman"/>
                <w:sz w:val="21"/>
                <w:szCs w:val="21"/>
              </w:rPr>
              <w:t>.0</w:t>
            </w:r>
          </w:p>
        </w:tc>
        <w:tc>
          <w:tcPr>
            <w:tcW w:w="2254" w:type="dxa"/>
            <w:gridSpan w:val="3"/>
            <w:vAlign w:val="center"/>
          </w:tcPr>
          <w:p w14:paraId="1FAFC8AB">
            <w:pPr>
              <w:jc w:val="center"/>
              <w:rPr>
                <w:rFonts w:ascii="Times New Roman"/>
                <w:sz w:val="21"/>
                <w:szCs w:val="21"/>
              </w:rPr>
            </w:pPr>
            <w:r>
              <w:rPr>
                <w:rFonts w:hint="eastAsia" w:ascii="Times New Roman"/>
                <w:sz w:val="21"/>
                <w:szCs w:val="21"/>
              </w:rPr>
              <w:t>32</w:t>
            </w:r>
            <w:r>
              <w:rPr>
                <w:rFonts w:ascii="Times New Roman"/>
                <w:sz w:val="21"/>
                <w:szCs w:val="21"/>
              </w:rPr>
              <w:t>.0</w:t>
            </w:r>
          </w:p>
        </w:tc>
      </w:tr>
      <w:tr w14:paraId="4FB54F56">
        <w:tblPrEx>
          <w:tblCellMar>
            <w:top w:w="0" w:type="dxa"/>
            <w:left w:w="108" w:type="dxa"/>
            <w:bottom w:w="0" w:type="dxa"/>
            <w:right w:w="108" w:type="dxa"/>
          </w:tblCellMar>
        </w:tblPrEx>
        <w:trPr>
          <w:trHeight w:val="125" w:hRule="atLeast"/>
        </w:trPr>
        <w:tc>
          <w:tcPr>
            <w:tcW w:w="3214" w:type="dxa"/>
            <w:gridSpan w:val="3"/>
            <w:vAlign w:val="center"/>
          </w:tcPr>
          <w:p w14:paraId="5019AE0B">
            <w:pPr>
              <w:jc w:val="center"/>
              <w:rPr>
                <w:rFonts w:ascii="Times New Roman"/>
                <w:sz w:val="21"/>
                <w:szCs w:val="21"/>
              </w:rPr>
            </w:pPr>
            <w:r>
              <w:rPr>
                <w:rFonts w:ascii="Times New Roman"/>
                <w:sz w:val="21"/>
                <w:szCs w:val="21"/>
              </w:rPr>
              <w:t>D10%最远距离</w:t>
            </w:r>
          </w:p>
        </w:tc>
        <w:tc>
          <w:tcPr>
            <w:tcW w:w="3071" w:type="dxa"/>
            <w:gridSpan w:val="3"/>
            <w:vAlign w:val="center"/>
          </w:tcPr>
          <w:p w14:paraId="14E8E3B4">
            <w:pPr>
              <w:jc w:val="center"/>
              <w:rPr>
                <w:rFonts w:ascii="Times New Roman"/>
                <w:sz w:val="21"/>
                <w:szCs w:val="21"/>
              </w:rPr>
            </w:pPr>
            <w:r>
              <w:rPr>
                <w:rFonts w:ascii="Times New Roman"/>
                <w:sz w:val="21"/>
                <w:szCs w:val="21"/>
              </w:rPr>
              <w:t>/</w:t>
            </w:r>
          </w:p>
        </w:tc>
        <w:tc>
          <w:tcPr>
            <w:tcW w:w="2254" w:type="dxa"/>
            <w:gridSpan w:val="3"/>
            <w:vAlign w:val="center"/>
          </w:tcPr>
          <w:p w14:paraId="24C783BC">
            <w:pPr>
              <w:jc w:val="center"/>
              <w:rPr>
                <w:rFonts w:ascii="Times New Roman"/>
                <w:sz w:val="21"/>
                <w:szCs w:val="21"/>
              </w:rPr>
            </w:pPr>
            <w:r>
              <w:rPr>
                <w:rFonts w:ascii="Times New Roman"/>
                <w:sz w:val="21"/>
                <w:szCs w:val="21"/>
              </w:rPr>
              <w:t>/</w:t>
            </w:r>
          </w:p>
        </w:tc>
      </w:tr>
    </w:tbl>
    <w:p w14:paraId="0164F794">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519" w:type="dxa"/>
        <w:tblInd w:w="0" w:type="dxa"/>
        <w:tblLayout w:type="autofit"/>
        <w:tblCellMar>
          <w:top w:w="0" w:type="dxa"/>
          <w:left w:w="108" w:type="dxa"/>
          <w:bottom w:w="0" w:type="dxa"/>
          <w:right w:w="108" w:type="dxa"/>
        </w:tblCellMar>
      </w:tblPr>
      <w:tblGrid>
        <w:gridCol w:w="2875"/>
        <w:gridCol w:w="1616"/>
        <w:gridCol w:w="1400"/>
        <w:gridCol w:w="1397"/>
        <w:gridCol w:w="1231"/>
      </w:tblGrid>
      <w:tr w14:paraId="6E4109C5">
        <w:tblPrEx>
          <w:tblCellMar>
            <w:top w:w="0" w:type="dxa"/>
            <w:left w:w="108" w:type="dxa"/>
            <w:bottom w:w="0" w:type="dxa"/>
            <w:right w:w="108" w:type="dxa"/>
          </w:tblCellMar>
        </w:tblPrEx>
        <w:trPr>
          <w:trHeight w:val="116" w:hRule="atLeast"/>
        </w:trPr>
        <w:tc>
          <w:tcPr>
            <w:tcW w:w="2875" w:type="dxa"/>
            <w:vMerge w:val="restart"/>
            <w:vAlign w:val="center"/>
          </w:tcPr>
          <w:p w14:paraId="6E9C8F0A">
            <w:pPr>
              <w:jc w:val="center"/>
              <w:rPr>
                <w:rFonts w:ascii="Times New Roman"/>
                <w:sz w:val="21"/>
                <w:szCs w:val="21"/>
              </w:rPr>
            </w:pPr>
            <w:r>
              <w:rPr>
                <w:rFonts w:ascii="Times New Roman"/>
                <w:sz w:val="21"/>
                <w:szCs w:val="21"/>
              </w:rPr>
              <w:t>下风向距离</w:t>
            </w:r>
          </w:p>
        </w:tc>
        <w:tc>
          <w:tcPr>
            <w:tcW w:w="5644" w:type="dxa"/>
            <w:gridSpan w:val="4"/>
            <w:vAlign w:val="center"/>
          </w:tcPr>
          <w:p w14:paraId="697E5CA6">
            <w:pPr>
              <w:jc w:val="center"/>
              <w:rPr>
                <w:rFonts w:ascii="Times New Roman"/>
                <w:sz w:val="21"/>
                <w:szCs w:val="21"/>
              </w:rPr>
            </w:pPr>
            <w:r>
              <w:rPr>
                <w:rFonts w:ascii="Times New Roman"/>
                <w:kern w:val="0"/>
                <w:sz w:val="21"/>
                <w:szCs w:val="21"/>
              </w:rPr>
              <w:t>托辊及装配厂房</w:t>
            </w:r>
            <w:r>
              <w:rPr>
                <w:rFonts w:hint="eastAsia" w:ascii="Times New Roman"/>
                <w:kern w:val="0"/>
                <w:sz w:val="21"/>
                <w:szCs w:val="21"/>
              </w:rPr>
              <w:t>（无组织废气）</w:t>
            </w:r>
          </w:p>
        </w:tc>
      </w:tr>
      <w:tr w14:paraId="34069AFC">
        <w:tblPrEx>
          <w:tblCellMar>
            <w:top w:w="0" w:type="dxa"/>
            <w:left w:w="108" w:type="dxa"/>
            <w:bottom w:w="0" w:type="dxa"/>
            <w:right w:w="108" w:type="dxa"/>
          </w:tblCellMar>
        </w:tblPrEx>
        <w:trPr>
          <w:trHeight w:val="116" w:hRule="atLeast"/>
        </w:trPr>
        <w:tc>
          <w:tcPr>
            <w:tcW w:w="2875" w:type="dxa"/>
            <w:vMerge w:val="continue"/>
            <w:vAlign w:val="center"/>
          </w:tcPr>
          <w:p w14:paraId="11AAFAA2">
            <w:pPr>
              <w:jc w:val="center"/>
              <w:rPr>
                <w:rFonts w:ascii="Times New Roman"/>
                <w:sz w:val="21"/>
                <w:szCs w:val="21"/>
              </w:rPr>
            </w:pPr>
          </w:p>
        </w:tc>
        <w:tc>
          <w:tcPr>
            <w:tcW w:w="1616" w:type="dxa"/>
            <w:vAlign w:val="center"/>
          </w:tcPr>
          <w:p w14:paraId="78676D6D">
            <w:pPr>
              <w:jc w:val="center"/>
              <w:rPr>
                <w:rFonts w:ascii="Times New Roman"/>
                <w:sz w:val="21"/>
                <w:szCs w:val="21"/>
              </w:rPr>
            </w:pPr>
            <w:r>
              <w:rPr>
                <w:rFonts w:ascii="Times New Roman"/>
                <w:sz w:val="21"/>
                <w:szCs w:val="21"/>
              </w:rPr>
              <w:t>NMHC浓度(μg/m³)</w:t>
            </w:r>
          </w:p>
        </w:tc>
        <w:tc>
          <w:tcPr>
            <w:tcW w:w="1400" w:type="dxa"/>
            <w:vAlign w:val="center"/>
          </w:tcPr>
          <w:p w14:paraId="365EDAB0">
            <w:pPr>
              <w:jc w:val="center"/>
              <w:rPr>
                <w:rFonts w:ascii="Times New Roman"/>
                <w:sz w:val="21"/>
                <w:szCs w:val="21"/>
              </w:rPr>
            </w:pPr>
            <w:r>
              <w:rPr>
                <w:rFonts w:ascii="Times New Roman"/>
                <w:sz w:val="21"/>
                <w:szCs w:val="21"/>
              </w:rPr>
              <w:t>NMHC占标率(%)</w:t>
            </w:r>
          </w:p>
        </w:tc>
        <w:tc>
          <w:tcPr>
            <w:tcW w:w="1397" w:type="dxa"/>
            <w:vAlign w:val="center"/>
          </w:tcPr>
          <w:p w14:paraId="43DC5B8C">
            <w:pPr>
              <w:jc w:val="center"/>
              <w:rPr>
                <w:rFonts w:ascii="Times New Roman"/>
                <w:sz w:val="21"/>
                <w:szCs w:val="21"/>
              </w:rPr>
            </w:pPr>
            <w:r>
              <w:rPr>
                <w:rFonts w:ascii="Times New Roman"/>
                <w:sz w:val="21"/>
                <w:szCs w:val="21"/>
              </w:rPr>
              <w:t>TSP浓度(μg/m³)</w:t>
            </w:r>
          </w:p>
        </w:tc>
        <w:tc>
          <w:tcPr>
            <w:tcW w:w="1231" w:type="dxa"/>
            <w:vAlign w:val="center"/>
          </w:tcPr>
          <w:p w14:paraId="2070D323">
            <w:pPr>
              <w:jc w:val="center"/>
              <w:rPr>
                <w:rFonts w:ascii="Times New Roman"/>
                <w:sz w:val="21"/>
                <w:szCs w:val="21"/>
              </w:rPr>
            </w:pPr>
            <w:r>
              <w:rPr>
                <w:rFonts w:ascii="Times New Roman"/>
                <w:sz w:val="21"/>
                <w:szCs w:val="21"/>
              </w:rPr>
              <w:t>TSP占标率(%)</w:t>
            </w:r>
          </w:p>
        </w:tc>
      </w:tr>
      <w:tr w14:paraId="737BE5C5">
        <w:tblPrEx>
          <w:tblCellMar>
            <w:top w:w="0" w:type="dxa"/>
            <w:left w:w="108" w:type="dxa"/>
            <w:bottom w:w="0" w:type="dxa"/>
            <w:right w:w="108" w:type="dxa"/>
          </w:tblCellMar>
        </w:tblPrEx>
        <w:trPr>
          <w:trHeight w:val="116" w:hRule="atLeast"/>
        </w:trPr>
        <w:tc>
          <w:tcPr>
            <w:tcW w:w="2875" w:type="dxa"/>
            <w:vAlign w:val="center"/>
          </w:tcPr>
          <w:p w14:paraId="6691F915">
            <w:pPr>
              <w:jc w:val="center"/>
              <w:rPr>
                <w:rFonts w:ascii="Times New Roman"/>
                <w:sz w:val="21"/>
                <w:szCs w:val="21"/>
              </w:rPr>
            </w:pPr>
            <w:r>
              <w:rPr>
                <w:rFonts w:ascii="Times New Roman"/>
                <w:sz w:val="21"/>
                <w:szCs w:val="21"/>
              </w:rPr>
              <w:t>50.0</w:t>
            </w:r>
          </w:p>
        </w:tc>
        <w:tc>
          <w:tcPr>
            <w:tcW w:w="1616" w:type="dxa"/>
            <w:vAlign w:val="center"/>
          </w:tcPr>
          <w:p w14:paraId="2A145010">
            <w:pPr>
              <w:jc w:val="center"/>
              <w:rPr>
                <w:rFonts w:ascii="Times New Roman"/>
                <w:sz w:val="21"/>
                <w:szCs w:val="21"/>
              </w:rPr>
            </w:pPr>
            <w:r>
              <w:rPr>
                <w:rFonts w:hint="eastAsia" w:ascii="Times New Roman"/>
                <w:sz w:val="21"/>
                <w:szCs w:val="21"/>
              </w:rPr>
              <w:t>0.0271</w:t>
            </w:r>
          </w:p>
        </w:tc>
        <w:tc>
          <w:tcPr>
            <w:tcW w:w="1400" w:type="dxa"/>
            <w:vAlign w:val="center"/>
          </w:tcPr>
          <w:p w14:paraId="0AC63D92">
            <w:pPr>
              <w:jc w:val="center"/>
              <w:rPr>
                <w:rFonts w:ascii="Times New Roman"/>
                <w:sz w:val="21"/>
                <w:szCs w:val="21"/>
              </w:rPr>
            </w:pPr>
            <w:r>
              <w:rPr>
                <w:rFonts w:hint="eastAsia" w:ascii="Times New Roman"/>
                <w:sz w:val="21"/>
                <w:szCs w:val="21"/>
              </w:rPr>
              <w:t>0</w:t>
            </w:r>
          </w:p>
        </w:tc>
        <w:tc>
          <w:tcPr>
            <w:tcW w:w="1397" w:type="dxa"/>
            <w:vAlign w:val="center"/>
          </w:tcPr>
          <w:p w14:paraId="5C345E31">
            <w:pPr>
              <w:jc w:val="center"/>
              <w:rPr>
                <w:rFonts w:ascii="Times New Roman"/>
                <w:sz w:val="21"/>
                <w:szCs w:val="21"/>
              </w:rPr>
            </w:pPr>
            <w:r>
              <w:rPr>
                <w:rFonts w:hint="eastAsia" w:ascii="Times New Roman"/>
                <w:sz w:val="21"/>
                <w:szCs w:val="21"/>
              </w:rPr>
              <w:t>19.787</w:t>
            </w:r>
          </w:p>
        </w:tc>
        <w:tc>
          <w:tcPr>
            <w:tcW w:w="1231" w:type="dxa"/>
            <w:vAlign w:val="center"/>
          </w:tcPr>
          <w:p w14:paraId="34C82A3E">
            <w:pPr>
              <w:jc w:val="center"/>
              <w:rPr>
                <w:rFonts w:ascii="Times New Roman"/>
                <w:sz w:val="21"/>
                <w:szCs w:val="21"/>
              </w:rPr>
            </w:pPr>
            <w:r>
              <w:rPr>
                <w:rFonts w:hint="eastAsia" w:ascii="Times New Roman"/>
                <w:sz w:val="21"/>
                <w:szCs w:val="21"/>
              </w:rPr>
              <w:t>2.2</w:t>
            </w:r>
          </w:p>
        </w:tc>
      </w:tr>
      <w:tr w14:paraId="15CFC653">
        <w:tblPrEx>
          <w:tblCellMar>
            <w:top w:w="0" w:type="dxa"/>
            <w:left w:w="108" w:type="dxa"/>
            <w:bottom w:w="0" w:type="dxa"/>
            <w:right w:w="108" w:type="dxa"/>
          </w:tblCellMar>
        </w:tblPrEx>
        <w:trPr>
          <w:trHeight w:val="116" w:hRule="atLeast"/>
        </w:trPr>
        <w:tc>
          <w:tcPr>
            <w:tcW w:w="2875" w:type="dxa"/>
            <w:vAlign w:val="center"/>
          </w:tcPr>
          <w:p w14:paraId="6D91066D">
            <w:pPr>
              <w:jc w:val="center"/>
              <w:rPr>
                <w:rFonts w:ascii="Times New Roman"/>
                <w:sz w:val="21"/>
                <w:szCs w:val="21"/>
              </w:rPr>
            </w:pPr>
            <w:r>
              <w:rPr>
                <w:rFonts w:ascii="Times New Roman"/>
                <w:sz w:val="21"/>
                <w:szCs w:val="21"/>
              </w:rPr>
              <w:t>100.0</w:t>
            </w:r>
          </w:p>
        </w:tc>
        <w:tc>
          <w:tcPr>
            <w:tcW w:w="1616" w:type="dxa"/>
            <w:vAlign w:val="center"/>
          </w:tcPr>
          <w:p w14:paraId="2BBCB4E3">
            <w:pPr>
              <w:jc w:val="center"/>
              <w:rPr>
                <w:rFonts w:ascii="Times New Roman"/>
                <w:sz w:val="21"/>
                <w:szCs w:val="21"/>
              </w:rPr>
            </w:pPr>
            <w:r>
              <w:rPr>
                <w:rFonts w:hint="eastAsia" w:ascii="Times New Roman"/>
                <w:sz w:val="21"/>
                <w:szCs w:val="21"/>
              </w:rPr>
              <w:t>0.0332</w:t>
            </w:r>
          </w:p>
        </w:tc>
        <w:tc>
          <w:tcPr>
            <w:tcW w:w="1400" w:type="dxa"/>
            <w:vAlign w:val="center"/>
          </w:tcPr>
          <w:p w14:paraId="1C5924A8">
            <w:pPr>
              <w:jc w:val="center"/>
              <w:rPr>
                <w:rFonts w:ascii="Times New Roman"/>
                <w:sz w:val="21"/>
                <w:szCs w:val="21"/>
              </w:rPr>
            </w:pPr>
            <w:r>
              <w:rPr>
                <w:rFonts w:hint="eastAsia" w:ascii="Times New Roman"/>
                <w:sz w:val="21"/>
                <w:szCs w:val="21"/>
              </w:rPr>
              <w:t>0</w:t>
            </w:r>
          </w:p>
        </w:tc>
        <w:tc>
          <w:tcPr>
            <w:tcW w:w="1397" w:type="dxa"/>
            <w:vAlign w:val="center"/>
          </w:tcPr>
          <w:p w14:paraId="33152FAE">
            <w:pPr>
              <w:jc w:val="center"/>
              <w:rPr>
                <w:rFonts w:ascii="Times New Roman"/>
                <w:sz w:val="21"/>
                <w:szCs w:val="21"/>
              </w:rPr>
            </w:pPr>
            <w:r>
              <w:rPr>
                <w:rFonts w:hint="eastAsia" w:ascii="Times New Roman"/>
                <w:sz w:val="21"/>
                <w:szCs w:val="21"/>
              </w:rPr>
              <w:t>24.285</w:t>
            </w:r>
          </w:p>
        </w:tc>
        <w:tc>
          <w:tcPr>
            <w:tcW w:w="1231" w:type="dxa"/>
            <w:vAlign w:val="center"/>
          </w:tcPr>
          <w:p w14:paraId="0F3A95E0">
            <w:pPr>
              <w:jc w:val="center"/>
              <w:rPr>
                <w:rFonts w:ascii="Times New Roman"/>
                <w:sz w:val="21"/>
                <w:szCs w:val="21"/>
              </w:rPr>
            </w:pPr>
            <w:r>
              <w:rPr>
                <w:rFonts w:hint="eastAsia" w:ascii="Times New Roman"/>
                <w:sz w:val="21"/>
                <w:szCs w:val="21"/>
              </w:rPr>
              <w:t>2.7</w:t>
            </w:r>
          </w:p>
        </w:tc>
      </w:tr>
      <w:tr w14:paraId="3D224EDD">
        <w:tblPrEx>
          <w:tblCellMar>
            <w:top w:w="0" w:type="dxa"/>
            <w:left w:w="108" w:type="dxa"/>
            <w:bottom w:w="0" w:type="dxa"/>
            <w:right w:w="108" w:type="dxa"/>
          </w:tblCellMar>
        </w:tblPrEx>
        <w:trPr>
          <w:trHeight w:val="116" w:hRule="atLeast"/>
        </w:trPr>
        <w:tc>
          <w:tcPr>
            <w:tcW w:w="2875" w:type="dxa"/>
            <w:vAlign w:val="center"/>
          </w:tcPr>
          <w:p w14:paraId="5F093622">
            <w:pPr>
              <w:jc w:val="center"/>
              <w:rPr>
                <w:rFonts w:ascii="Times New Roman"/>
                <w:sz w:val="21"/>
                <w:szCs w:val="21"/>
              </w:rPr>
            </w:pPr>
            <w:r>
              <w:rPr>
                <w:rFonts w:ascii="Times New Roman"/>
                <w:sz w:val="21"/>
                <w:szCs w:val="21"/>
              </w:rPr>
              <w:t>200.0</w:t>
            </w:r>
          </w:p>
        </w:tc>
        <w:tc>
          <w:tcPr>
            <w:tcW w:w="1616" w:type="dxa"/>
            <w:vAlign w:val="center"/>
          </w:tcPr>
          <w:p w14:paraId="449182DF">
            <w:pPr>
              <w:jc w:val="center"/>
              <w:rPr>
                <w:rFonts w:ascii="Times New Roman"/>
                <w:sz w:val="21"/>
                <w:szCs w:val="21"/>
              </w:rPr>
            </w:pPr>
            <w:r>
              <w:rPr>
                <w:rFonts w:hint="eastAsia" w:ascii="Times New Roman"/>
                <w:sz w:val="21"/>
                <w:szCs w:val="21"/>
              </w:rPr>
              <w:t>0.0264</w:t>
            </w:r>
          </w:p>
        </w:tc>
        <w:tc>
          <w:tcPr>
            <w:tcW w:w="1400" w:type="dxa"/>
            <w:vAlign w:val="center"/>
          </w:tcPr>
          <w:p w14:paraId="02C54BF6">
            <w:pPr>
              <w:jc w:val="center"/>
              <w:rPr>
                <w:rFonts w:ascii="Times New Roman"/>
                <w:sz w:val="21"/>
                <w:szCs w:val="21"/>
              </w:rPr>
            </w:pPr>
            <w:r>
              <w:rPr>
                <w:rFonts w:hint="eastAsia" w:ascii="Times New Roman"/>
                <w:sz w:val="21"/>
                <w:szCs w:val="21"/>
              </w:rPr>
              <w:t>0</w:t>
            </w:r>
          </w:p>
        </w:tc>
        <w:tc>
          <w:tcPr>
            <w:tcW w:w="1397" w:type="dxa"/>
            <w:vAlign w:val="center"/>
          </w:tcPr>
          <w:p w14:paraId="5FB5EA01">
            <w:pPr>
              <w:jc w:val="center"/>
              <w:rPr>
                <w:rFonts w:ascii="Times New Roman"/>
                <w:sz w:val="21"/>
                <w:szCs w:val="21"/>
              </w:rPr>
            </w:pPr>
            <w:r>
              <w:rPr>
                <w:rFonts w:hint="eastAsia" w:ascii="Times New Roman"/>
                <w:sz w:val="21"/>
                <w:szCs w:val="21"/>
              </w:rPr>
              <w:t>19.309</w:t>
            </w:r>
          </w:p>
        </w:tc>
        <w:tc>
          <w:tcPr>
            <w:tcW w:w="1231" w:type="dxa"/>
            <w:vAlign w:val="center"/>
          </w:tcPr>
          <w:p w14:paraId="3E089F55">
            <w:pPr>
              <w:jc w:val="center"/>
              <w:rPr>
                <w:rFonts w:ascii="Times New Roman"/>
                <w:sz w:val="21"/>
                <w:szCs w:val="21"/>
              </w:rPr>
            </w:pPr>
            <w:r>
              <w:rPr>
                <w:rFonts w:hint="eastAsia" w:ascii="Times New Roman"/>
                <w:sz w:val="21"/>
                <w:szCs w:val="21"/>
              </w:rPr>
              <w:t>2.15</w:t>
            </w:r>
          </w:p>
        </w:tc>
      </w:tr>
      <w:tr w14:paraId="0C46CD00">
        <w:tblPrEx>
          <w:tblCellMar>
            <w:top w:w="0" w:type="dxa"/>
            <w:left w:w="108" w:type="dxa"/>
            <w:bottom w:w="0" w:type="dxa"/>
            <w:right w:w="108" w:type="dxa"/>
          </w:tblCellMar>
        </w:tblPrEx>
        <w:trPr>
          <w:trHeight w:val="116" w:hRule="atLeast"/>
        </w:trPr>
        <w:tc>
          <w:tcPr>
            <w:tcW w:w="2875" w:type="dxa"/>
            <w:vAlign w:val="center"/>
          </w:tcPr>
          <w:p w14:paraId="4BC0B476">
            <w:pPr>
              <w:jc w:val="center"/>
              <w:rPr>
                <w:rFonts w:ascii="Times New Roman"/>
                <w:sz w:val="21"/>
                <w:szCs w:val="21"/>
              </w:rPr>
            </w:pPr>
            <w:r>
              <w:rPr>
                <w:rFonts w:ascii="Times New Roman"/>
                <w:sz w:val="21"/>
                <w:szCs w:val="21"/>
              </w:rPr>
              <w:t>300.0</w:t>
            </w:r>
          </w:p>
        </w:tc>
        <w:tc>
          <w:tcPr>
            <w:tcW w:w="1616" w:type="dxa"/>
            <w:vAlign w:val="center"/>
          </w:tcPr>
          <w:p w14:paraId="6B003E60">
            <w:pPr>
              <w:jc w:val="center"/>
              <w:rPr>
                <w:rFonts w:ascii="Times New Roman"/>
                <w:sz w:val="21"/>
                <w:szCs w:val="21"/>
              </w:rPr>
            </w:pPr>
            <w:r>
              <w:rPr>
                <w:rFonts w:hint="eastAsia" w:ascii="Times New Roman"/>
                <w:sz w:val="21"/>
                <w:szCs w:val="21"/>
              </w:rPr>
              <w:t>0.0224</w:t>
            </w:r>
          </w:p>
        </w:tc>
        <w:tc>
          <w:tcPr>
            <w:tcW w:w="1400" w:type="dxa"/>
            <w:vAlign w:val="center"/>
          </w:tcPr>
          <w:p w14:paraId="759DBCF5">
            <w:pPr>
              <w:jc w:val="center"/>
              <w:rPr>
                <w:rFonts w:ascii="Times New Roman"/>
                <w:sz w:val="21"/>
                <w:szCs w:val="21"/>
              </w:rPr>
            </w:pPr>
            <w:r>
              <w:rPr>
                <w:rFonts w:hint="eastAsia" w:ascii="Times New Roman"/>
                <w:sz w:val="21"/>
                <w:szCs w:val="21"/>
              </w:rPr>
              <w:t>0</w:t>
            </w:r>
          </w:p>
        </w:tc>
        <w:tc>
          <w:tcPr>
            <w:tcW w:w="1397" w:type="dxa"/>
            <w:vAlign w:val="center"/>
          </w:tcPr>
          <w:p w14:paraId="11DC6B2F">
            <w:pPr>
              <w:jc w:val="center"/>
              <w:rPr>
                <w:rFonts w:ascii="Times New Roman"/>
                <w:sz w:val="21"/>
                <w:szCs w:val="21"/>
              </w:rPr>
            </w:pPr>
            <w:r>
              <w:rPr>
                <w:rFonts w:hint="eastAsia" w:ascii="Times New Roman"/>
                <w:sz w:val="21"/>
                <w:szCs w:val="21"/>
              </w:rPr>
              <w:t>16.389</w:t>
            </w:r>
          </w:p>
        </w:tc>
        <w:tc>
          <w:tcPr>
            <w:tcW w:w="1231" w:type="dxa"/>
            <w:vAlign w:val="center"/>
          </w:tcPr>
          <w:p w14:paraId="6BA33D99">
            <w:pPr>
              <w:jc w:val="center"/>
              <w:rPr>
                <w:rFonts w:ascii="Times New Roman"/>
                <w:sz w:val="21"/>
                <w:szCs w:val="21"/>
              </w:rPr>
            </w:pPr>
            <w:r>
              <w:rPr>
                <w:rFonts w:hint="eastAsia" w:ascii="Times New Roman"/>
                <w:sz w:val="21"/>
                <w:szCs w:val="21"/>
              </w:rPr>
              <w:t>1.82</w:t>
            </w:r>
          </w:p>
        </w:tc>
      </w:tr>
      <w:tr w14:paraId="21ACE61F">
        <w:tblPrEx>
          <w:tblCellMar>
            <w:top w:w="0" w:type="dxa"/>
            <w:left w:w="108" w:type="dxa"/>
            <w:bottom w:w="0" w:type="dxa"/>
            <w:right w:w="108" w:type="dxa"/>
          </w:tblCellMar>
        </w:tblPrEx>
        <w:trPr>
          <w:trHeight w:val="116" w:hRule="atLeast"/>
        </w:trPr>
        <w:tc>
          <w:tcPr>
            <w:tcW w:w="2875" w:type="dxa"/>
            <w:vAlign w:val="center"/>
          </w:tcPr>
          <w:p w14:paraId="00F6FEA7">
            <w:pPr>
              <w:jc w:val="center"/>
              <w:rPr>
                <w:rFonts w:ascii="Times New Roman"/>
                <w:sz w:val="21"/>
                <w:szCs w:val="21"/>
              </w:rPr>
            </w:pPr>
            <w:r>
              <w:rPr>
                <w:rFonts w:ascii="Times New Roman"/>
                <w:sz w:val="21"/>
                <w:szCs w:val="21"/>
              </w:rPr>
              <w:t>400.0</w:t>
            </w:r>
          </w:p>
        </w:tc>
        <w:tc>
          <w:tcPr>
            <w:tcW w:w="1616" w:type="dxa"/>
            <w:vAlign w:val="center"/>
          </w:tcPr>
          <w:p w14:paraId="07F8D0E7">
            <w:pPr>
              <w:jc w:val="center"/>
              <w:rPr>
                <w:rFonts w:ascii="Times New Roman"/>
                <w:sz w:val="21"/>
                <w:szCs w:val="21"/>
              </w:rPr>
            </w:pPr>
            <w:r>
              <w:rPr>
                <w:rFonts w:hint="eastAsia" w:ascii="Times New Roman"/>
                <w:sz w:val="21"/>
                <w:szCs w:val="21"/>
              </w:rPr>
              <w:t>0.0184</w:t>
            </w:r>
          </w:p>
        </w:tc>
        <w:tc>
          <w:tcPr>
            <w:tcW w:w="1400" w:type="dxa"/>
            <w:vAlign w:val="center"/>
          </w:tcPr>
          <w:p w14:paraId="6092B521">
            <w:pPr>
              <w:jc w:val="center"/>
              <w:rPr>
                <w:rFonts w:ascii="Times New Roman"/>
                <w:sz w:val="21"/>
                <w:szCs w:val="21"/>
              </w:rPr>
            </w:pPr>
            <w:r>
              <w:rPr>
                <w:rFonts w:hint="eastAsia" w:ascii="Times New Roman"/>
                <w:sz w:val="21"/>
                <w:szCs w:val="21"/>
              </w:rPr>
              <w:t>0</w:t>
            </w:r>
          </w:p>
        </w:tc>
        <w:tc>
          <w:tcPr>
            <w:tcW w:w="1397" w:type="dxa"/>
            <w:vAlign w:val="center"/>
          </w:tcPr>
          <w:p w14:paraId="7E46076A">
            <w:pPr>
              <w:jc w:val="center"/>
              <w:rPr>
                <w:rFonts w:ascii="Times New Roman"/>
                <w:sz w:val="21"/>
                <w:szCs w:val="21"/>
              </w:rPr>
            </w:pPr>
            <w:r>
              <w:rPr>
                <w:rFonts w:hint="eastAsia" w:ascii="Times New Roman"/>
                <w:sz w:val="21"/>
                <w:szCs w:val="21"/>
              </w:rPr>
              <w:t>13.468</w:t>
            </w:r>
          </w:p>
        </w:tc>
        <w:tc>
          <w:tcPr>
            <w:tcW w:w="1231" w:type="dxa"/>
            <w:vAlign w:val="center"/>
          </w:tcPr>
          <w:p w14:paraId="123D7837">
            <w:pPr>
              <w:jc w:val="center"/>
              <w:rPr>
                <w:rFonts w:ascii="Times New Roman"/>
                <w:sz w:val="21"/>
                <w:szCs w:val="21"/>
              </w:rPr>
            </w:pPr>
            <w:r>
              <w:rPr>
                <w:rFonts w:hint="eastAsia" w:ascii="Times New Roman"/>
                <w:sz w:val="21"/>
                <w:szCs w:val="21"/>
              </w:rPr>
              <w:t>1.5</w:t>
            </w:r>
          </w:p>
        </w:tc>
      </w:tr>
      <w:tr w14:paraId="3D44F8FE">
        <w:tblPrEx>
          <w:tblCellMar>
            <w:top w:w="0" w:type="dxa"/>
            <w:left w:w="108" w:type="dxa"/>
            <w:bottom w:w="0" w:type="dxa"/>
            <w:right w:w="108" w:type="dxa"/>
          </w:tblCellMar>
        </w:tblPrEx>
        <w:trPr>
          <w:trHeight w:val="116" w:hRule="atLeast"/>
        </w:trPr>
        <w:tc>
          <w:tcPr>
            <w:tcW w:w="2875" w:type="dxa"/>
            <w:vAlign w:val="center"/>
          </w:tcPr>
          <w:p w14:paraId="4B6F4171">
            <w:pPr>
              <w:jc w:val="center"/>
              <w:rPr>
                <w:rFonts w:ascii="Times New Roman"/>
                <w:sz w:val="21"/>
                <w:szCs w:val="21"/>
              </w:rPr>
            </w:pPr>
            <w:r>
              <w:rPr>
                <w:rFonts w:ascii="Times New Roman"/>
                <w:sz w:val="21"/>
                <w:szCs w:val="21"/>
              </w:rPr>
              <w:t>500.0</w:t>
            </w:r>
          </w:p>
        </w:tc>
        <w:tc>
          <w:tcPr>
            <w:tcW w:w="1616" w:type="dxa"/>
            <w:vAlign w:val="center"/>
          </w:tcPr>
          <w:p w14:paraId="18C6A78D">
            <w:pPr>
              <w:jc w:val="center"/>
              <w:rPr>
                <w:rFonts w:ascii="Times New Roman"/>
                <w:sz w:val="21"/>
                <w:szCs w:val="21"/>
              </w:rPr>
            </w:pPr>
            <w:r>
              <w:rPr>
                <w:rFonts w:hint="eastAsia" w:ascii="Times New Roman"/>
                <w:sz w:val="21"/>
                <w:szCs w:val="21"/>
              </w:rPr>
              <w:t>0.0153</w:t>
            </w:r>
          </w:p>
        </w:tc>
        <w:tc>
          <w:tcPr>
            <w:tcW w:w="1400" w:type="dxa"/>
            <w:vAlign w:val="center"/>
          </w:tcPr>
          <w:p w14:paraId="36DCEE27">
            <w:pPr>
              <w:jc w:val="center"/>
              <w:rPr>
                <w:rFonts w:ascii="Times New Roman"/>
                <w:sz w:val="21"/>
                <w:szCs w:val="21"/>
              </w:rPr>
            </w:pPr>
            <w:r>
              <w:rPr>
                <w:rFonts w:hint="eastAsia" w:ascii="Times New Roman"/>
                <w:sz w:val="21"/>
                <w:szCs w:val="21"/>
              </w:rPr>
              <w:t>0</w:t>
            </w:r>
          </w:p>
        </w:tc>
        <w:tc>
          <w:tcPr>
            <w:tcW w:w="1397" w:type="dxa"/>
            <w:vAlign w:val="center"/>
          </w:tcPr>
          <w:p w14:paraId="53D67D06">
            <w:pPr>
              <w:jc w:val="center"/>
              <w:rPr>
                <w:rFonts w:ascii="Times New Roman"/>
                <w:sz w:val="21"/>
                <w:szCs w:val="21"/>
              </w:rPr>
            </w:pPr>
            <w:r>
              <w:rPr>
                <w:rFonts w:hint="eastAsia" w:ascii="Times New Roman"/>
                <w:sz w:val="21"/>
                <w:szCs w:val="21"/>
              </w:rPr>
              <w:t>11.16</w:t>
            </w:r>
          </w:p>
        </w:tc>
        <w:tc>
          <w:tcPr>
            <w:tcW w:w="1231" w:type="dxa"/>
            <w:vAlign w:val="center"/>
          </w:tcPr>
          <w:p w14:paraId="1E78AA41">
            <w:pPr>
              <w:jc w:val="center"/>
              <w:rPr>
                <w:rFonts w:ascii="Times New Roman"/>
                <w:sz w:val="21"/>
                <w:szCs w:val="21"/>
              </w:rPr>
            </w:pPr>
            <w:r>
              <w:rPr>
                <w:rFonts w:hint="eastAsia" w:ascii="Times New Roman"/>
                <w:sz w:val="21"/>
                <w:szCs w:val="21"/>
              </w:rPr>
              <w:t>1.24</w:t>
            </w:r>
          </w:p>
        </w:tc>
      </w:tr>
      <w:tr w14:paraId="1BD96F18">
        <w:tblPrEx>
          <w:tblCellMar>
            <w:top w:w="0" w:type="dxa"/>
            <w:left w:w="108" w:type="dxa"/>
            <w:bottom w:w="0" w:type="dxa"/>
            <w:right w:w="108" w:type="dxa"/>
          </w:tblCellMar>
        </w:tblPrEx>
        <w:trPr>
          <w:trHeight w:val="116" w:hRule="atLeast"/>
        </w:trPr>
        <w:tc>
          <w:tcPr>
            <w:tcW w:w="2875" w:type="dxa"/>
            <w:vAlign w:val="center"/>
          </w:tcPr>
          <w:p w14:paraId="43C2D9FF">
            <w:pPr>
              <w:jc w:val="center"/>
              <w:rPr>
                <w:rFonts w:ascii="Times New Roman"/>
                <w:sz w:val="21"/>
                <w:szCs w:val="21"/>
              </w:rPr>
            </w:pPr>
            <w:r>
              <w:rPr>
                <w:rFonts w:ascii="Times New Roman"/>
                <w:sz w:val="21"/>
                <w:szCs w:val="21"/>
              </w:rPr>
              <w:t>600.0</w:t>
            </w:r>
          </w:p>
        </w:tc>
        <w:tc>
          <w:tcPr>
            <w:tcW w:w="1616" w:type="dxa"/>
            <w:vAlign w:val="center"/>
          </w:tcPr>
          <w:p w14:paraId="5015B97E">
            <w:pPr>
              <w:jc w:val="center"/>
              <w:rPr>
                <w:rFonts w:ascii="Times New Roman"/>
                <w:sz w:val="21"/>
                <w:szCs w:val="21"/>
              </w:rPr>
            </w:pPr>
            <w:r>
              <w:rPr>
                <w:rFonts w:hint="eastAsia" w:ascii="Times New Roman"/>
                <w:sz w:val="21"/>
                <w:szCs w:val="21"/>
              </w:rPr>
              <w:t>0.0129</w:t>
            </w:r>
          </w:p>
        </w:tc>
        <w:tc>
          <w:tcPr>
            <w:tcW w:w="1400" w:type="dxa"/>
            <w:vAlign w:val="center"/>
          </w:tcPr>
          <w:p w14:paraId="6747FDE3">
            <w:pPr>
              <w:jc w:val="center"/>
              <w:rPr>
                <w:rFonts w:ascii="Times New Roman"/>
                <w:sz w:val="21"/>
                <w:szCs w:val="21"/>
              </w:rPr>
            </w:pPr>
            <w:r>
              <w:rPr>
                <w:rFonts w:hint="eastAsia" w:ascii="Times New Roman"/>
                <w:sz w:val="21"/>
                <w:szCs w:val="21"/>
              </w:rPr>
              <w:t>0</w:t>
            </w:r>
          </w:p>
        </w:tc>
        <w:tc>
          <w:tcPr>
            <w:tcW w:w="1397" w:type="dxa"/>
            <w:vAlign w:val="center"/>
          </w:tcPr>
          <w:p w14:paraId="4E617266">
            <w:pPr>
              <w:jc w:val="center"/>
              <w:rPr>
                <w:rFonts w:ascii="Times New Roman"/>
                <w:sz w:val="21"/>
                <w:szCs w:val="21"/>
              </w:rPr>
            </w:pPr>
            <w:r>
              <w:rPr>
                <w:rFonts w:hint="eastAsia" w:ascii="Times New Roman"/>
                <w:sz w:val="21"/>
                <w:szCs w:val="21"/>
              </w:rPr>
              <w:t>9.408</w:t>
            </w:r>
          </w:p>
        </w:tc>
        <w:tc>
          <w:tcPr>
            <w:tcW w:w="1231" w:type="dxa"/>
            <w:vAlign w:val="center"/>
          </w:tcPr>
          <w:p w14:paraId="1BD273B7">
            <w:pPr>
              <w:jc w:val="center"/>
              <w:rPr>
                <w:rFonts w:ascii="Times New Roman"/>
                <w:sz w:val="21"/>
                <w:szCs w:val="21"/>
              </w:rPr>
            </w:pPr>
            <w:r>
              <w:rPr>
                <w:rFonts w:hint="eastAsia" w:ascii="Times New Roman"/>
                <w:sz w:val="21"/>
                <w:szCs w:val="21"/>
              </w:rPr>
              <w:t>1.05</w:t>
            </w:r>
          </w:p>
        </w:tc>
      </w:tr>
      <w:tr w14:paraId="5C313350">
        <w:tblPrEx>
          <w:tblCellMar>
            <w:top w:w="0" w:type="dxa"/>
            <w:left w:w="108" w:type="dxa"/>
            <w:bottom w:w="0" w:type="dxa"/>
            <w:right w:w="108" w:type="dxa"/>
          </w:tblCellMar>
        </w:tblPrEx>
        <w:trPr>
          <w:trHeight w:val="116" w:hRule="atLeast"/>
        </w:trPr>
        <w:tc>
          <w:tcPr>
            <w:tcW w:w="2875" w:type="dxa"/>
            <w:vAlign w:val="center"/>
          </w:tcPr>
          <w:p w14:paraId="512685C0">
            <w:pPr>
              <w:jc w:val="center"/>
              <w:rPr>
                <w:rFonts w:ascii="Times New Roman"/>
                <w:sz w:val="21"/>
                <w:szCs w:val="21"/>
              </w:rPr>
            </w:pPr>
            <w:r>
              <w:rPr>
                <w:rFonts w:ascii="Times New Roman"/>
                <w:sz w:val="21"/>
                <w:szCs w:val="21"/>
              </w:rPr>
              <w:t>700.0</w:t>
            </w:r>
          </w:p>
        </w:tc>
        <w:tc>
          <w:tcPr>
            <w:tcW w:w="1616" w:type="dxa"/>
            <w:vAlign w:val="center"/>
          </w:tcPr>
          <w:p w14:paraId="090F40BA">
            <w:pPr>
              <w:jc w:val="center"/>
              <w:rPr>
                <w:rFonts w:ascii="Times New Roman"/>
                <w:sz w:val="21"/>
                <w:szCs w:val="21"/>
              </w:rPr>
            </w:pPr>
            <w:r>
              <w:rPr>
                <w:rFonts w:hint="eastAsia" w:ascii="Times New Roman"/>
                <w:sz w:val="21"/>
                <w:szCs w:val="21"/>
              </w:rPr>
              <w:t>0.011</w:t>
            </w:r>
          </w:p>
        </w:tc>
        <w:tc>
          <w:tcPr>
            <w:tcW w:w="1400" w:type="dxa"/>
            <w:vAlign w:val="center"/>
          </w:tcPr>
          <w:p w14:paraId="5B370E36">
            <w:pPr>
              <w:jc w:val="center"/>
              <w:rPr>
                <w:rFonts w:ascii="Times New Roman"/>
                <w:sz w:val="21"/>
                <w:szCs w:val="21"/>
              </w:rPr>
            </w:pPr>
            <w:r>
              <w:rPr>
                <w:rFonts w:hint="eastAsia" w:ascii="Times New Roman"/>
                <w:sz w:val="21"/>
                <w:szCs w:val="21"/>
              </w:rPr>
              <w:t>0</w:t>
            </w:r>
          </w:p>
        </w:tc>
        <w:tc>
          <w:tcPr>
            <w:tcW w:w="1397" w:type="dxa"/>
            <w:vAlign w:val="center"/>
          </w:tcPr>
          <w:p w14:paraId="3B5884FA">
            <w:pPr>
              <w:jc w:val="center"/>
              <w:rPr>
                <w:rFonts w:ascii="Times New Roman"/>
                <w:sz w:val="21"/>
                <w:szCs w:val="21"/>
              </w:rPr>
            </w:pPr>
            <w:r>
              <w:rPr>
                <w:rFonts w:hint="eastAsia" w:ascii="Times New Roman"/>
                <w:sz w:val="21"/>
                <w:szCs w:val="21"/>
              </w:rPr>
              <w:t>8.0558</w:t>
            </w:r>
          </w:p>
        </w:tc>
        <w:tc>
          <w:tcPr>
            <w:tcW w:w="1231" w:type="dxa"/>
            <w:vAlign w:val="center"/>
          </w:tcPr>
          <w:p w14:paraId="5DAAC4A0">
            <w:pPr>
              <w:jc w:val="center"/>
              <w:rPr>
                <w:rFonts w:ascii="Times New Roman"/>
                <w:sz w:val="21"/>
                <w:szCs w:val="21"/>
              </w:rPr>
            </w:pPr>
            <w:r>
              <w:rPr>
                <w:rFonts w:hint="eastAsia" w:ascii="Times New Roman"/>
                <w:sz w:val="21"/>
                <w:szCs w:val="21"/>
              </w:rPr>
              <w:t>0.9</w:t>
            </w:r>
          </w:p>
        </w:tc>
      </w:tr>
      <w:tr w14:paraId="143E6D90">
        <w:tblPrEx>
          <w:tblCellMar>
            <w:top w:w="0" w:type="dxa"/>
            <w:left w:w="108" w:type="dxa"/>
            <w:bottom w:w="0" w:type="dxa"/>
            <w:right w:w="108" w:type="dxa"/>
          </w:tblCellMar>
        </w:tblPrEx>
        <w:trPr>
          <w:trHeight w:val="116" w:hRule="atLeast"/>
        </w:trPr>
        <w:tc>
          <w:tcPr>
            <w:tcW w:w="2875" w:type="dxa"/>
            <w:vAlign w:val="center"/>
          </w:tcPr>
          <w:p w14:paraId="2D44083E">
            <w:pPr>
              <w:jc w:val="center"/>
              <w:rPr>
                <w:rFonts w:ascii="Times New Roman"/>
                <w:sz w:val="21"/>
                <w:szCs w:val="21"/>
              </w:rPr>
            </w:pPr>
            <w:r>
              <w:rPr>
                <w:rFonts w:ascii="Times New Roman"/>
                <w:sz w:val="21"/>
                <w:szCs w:val="21"/>
              </w:rPr>
              <w:t>800.0</w:t>
            </w:r>
          </w:p>
        </w:tc>
        <w:tc>
          <w:tcPr>
            <w:tcW w:w="1616" w:type="dxa"/>
            <w:vAlign w:val="center"/>
          </w:tcPr>
          <w:p w14:paraId="363C602A">
            <w:pPr>
              <w:jc w:val="center"/>
              <w:rPr>
                <w:rFonts w:ascii="Times New Roman"/>
                <w:sz w:val="21"/>
                <w:szCs w:val="21"/>
              </w:rPr>
            </w:pPr>
            <w:r>
              <w:rPr>
                <w:rFonts w:hint="eastAsia" w:ascii="Times New Roman"/>
                <w:sz w:val="21"/>
                <w:szCs w:val="21"/>
              </w:rPr>
              <w:t>0.0096</w:t>
            </w:r>
          </w:p>
        </w:tc>
        <w:tc>
          <w:tcPr>
            <w:tcW w:w="1400" w:type="dxa"/>
            <w:vAlign w:val="center"/>
          </w:tcPr>
          <w:p w14:paraId="38FAB0F2">
            <w:pPr>
              <w:jc w:val="center"/>
              <w:rPr>
                <w:rFonts w:ascii="Times New Roman"/>
                <w:sz w:val="21"/>
                <w:szCs w:val="21"/>
              </w:rPr>
            </w:pPr>
            <w:r>
              <w:rPr>
                <w:rFonts w:hint="eastAsia" w:ascii="Times New Roman"/>
                <w:sz w:val="21"/>
                <w:szCs w:val="21"/>
              </w:rPr>
              <w:t>0</w:t>
            </w:r>
          </w:p>
        </w:tc>
        <w:tc>
          <w:tcPr>
            <w:tcW w:w="1397" w:type="dxa"/>
            <w:vAlign w:val="center"/>
          </w:tcPr>
          <w:p w14:paraId="5799954C">
            <w:pPr>
              <w:jc w:val="center"/>
              <w:rPr>
                <w:rFonts w:ascii="Times New Roman"/>
                <w:sz w:val="21"/>
                <w:szCs w:val="21"/>
              </w:rPr>
            </w:pPr>
            <w:r>
              <w:rPr>
                <w:rFonts w:hint="eastAsia" w:ascii="Times New Roman"/>
                <w:sz w:val="21"/>
                <w:szCs w:val="21"/>
              </w:rPr>
              <w:t>6.9949</w:t>
            </w:r>
          </w:p>
        </w:tc>
        <w:tc>
          <w:tcPr>
            <w:tcW w:w="1231" w:type="dxa"/>
            <w:vAlign w:val="center"/>
          </w:tcPr>
          <w:p w14:paraId="691F0EB6">
            <w:pPr>
              <w:jc w:val="center"/>
              <w:rPr>
                <w:rFonts w:ascii="Times New Roman"/>
                <w:sz w:val="21"/>
                <w:szCs w:val="21"/>
              </w:rPr>
            </w:pPr>
            <w:r>
              <w:rPr>
                <w:rFonts w:hint="eastAsia" w:ascii="Times New Roman"/>
                <w:sz w:val="21"/>
                <w:szCs w:val="21"/>
              </w:rPr>
              <w:t>0.78</w:t>
            </w:r>
          </w:p>
        </w:tc>
      </w:tr>
      <w:tr w14:paraId="21C511E3">
        <w:tblPrEx>
          <w:tblCellMar>
            <w:top w:w="0" w:type="dxa"/>
            <w:left w:w="108" w:type="dxa"/>
            <w:bottom w:w="0" w:type="dxa"/>
            <w:right w:w="108" w:type="dxa"/>
          </w:tblCellMar>
        </w:tblPrEx>
        <w:trPr>
          <w:trHeight w:val="116" w:hRule="atLeast"/>
        </w:trPr>
        <w:tc>
          <w:tcPr>
            <w:tcW w:w="2875" w:type="dxa"/>
            <w:vAlign w:val="center"/>
          </w:tcPr>
          <w:p w14:paraId="23A1D744">
            <w:pPr>
              <w:jc w:val="center"/>
              <w:rPr>
                <w:rFonts w:ascii="Times New Roman"/>
                <w:sz w:val="21"/>
                <w:szCs w:val="21"/>
              </w:rPr>
            </w:pPr>
            <w:r>
              <w:rPr>
                <w:rFonts w:ascii="Times New Roman"/>
                <w:sz w:val="21"/>
                <w:szCs w:val="21"/>
              </w:rPr>
              <w:t>900.0</w:t>
            </w:r>
          </w:p>
        </w:tc>
        <w:tc>
          <w:tcPr>
            <w:tcW w:w="1616" w:type="dxa"/>
            <w:vAlign w:val="center"/>
          </w:tcPr>
          <w:p w14:paraId="72D2C8FA">
            <w:pPr>
              <w:jc w:val="center"/>
              <w:rPr>
                <w:rFonts w:ascii="Times New Roman"/>
                <w:sz w:val="21"/>
                <w:szCs w:val="21"/>
              </w:rPr>
            </w:pPr>
            <w:r>
              <w:rPr>
                <w:rFonts w:hint="eastAsia" w:ascii="Times New Roman"/>
                <w:sz w:val="21"/>
                <w:szCs w:val="21"/>
              </w:rPr>
              <w:t>0.0084</w:t>
            </w:r>
          </w:p>
        </w:tc>
        <w:tc>
          <w:tcPr>
            <w:tcW w:w="1400" w:type="dxa"/>
            <w:vAlign w:val="center"/>
          </w:tcPr>
          <w:p w14:paraId="6313CC1E">
            <w:pPr>
              <w:jc w:val="center"/>
              <w:rPr>
                <w:rFonts w:ascii="Times New Roman"/>
                <w:sz w:val="21"/>
                <w:szCs w:val="21"/>
              </w:rPr>
            </w:pPr>
            <w:r>
              <w:rPr>
                <w:rFonts w:hint="eastAsia" w:ascii="Times New Roman"/>
                <w:sz w:val="21"/>
                <w:szCs w:val="21"/>
              </w:rPr>
              <w:t>0</w:t>
            </w:r>
          </w:p>
        </w:tc>
        <w:tc>
          <w:tcPr>
            <w:tcW w:w="1397" w:type="dxa"/>
            <w:vAlign w:val="center"/>
          </w:tcPr>
          <w:p w14:paraId="2B90E649">
            <w:pPr>
              <w:jc w:val="center"/>
              <w:rPr>
                <w:rFonts w:ascii="Times New Roman"/>
                <w:sz w:val="21"/>
                <w:szCs w:val="21"/>
              </w:rPr>
            </w:pPr>
            <w:r>
              <w:rPr>
                <w:rFonts w:hint="eastAsia" w:ascii="Times New Roman"/>
                <w:sz w:val="21"/>
                <w:szCs w:val="21"/>
              </w:rPr>
              <w:t>6.1418</w:t>
            </w:r>
          </w:p>
        </w:tc>
        <w:tc>
          <w:tcPr>
            <w:tcW w:w="1231" w:type="dxa"/>
            <w:vAlign w:val="center"/>
          </w:tcPr>
          <w:p w14:paraId="6634D35B">
            <w:pPr>
              <w:jc w:val="center"/>
              <w:rPr>
                <w:rFonts w:ascii="Times New Roman"/>
                <w:sz w:val="21"/>
                <w:szCs w:val="21"/>
              </w:rPr>
            </w:pPr>
            <w:r>
              <w:rPr>
                <w:rFonts w:hint="eastAsia" w:ascii="Times New Roman"/>
                <w:sz w:val="21"/>
                <w:szCs w:val="21"/>
              </w:rPr>
              <w:t>0.68</w:t>
            </w:r>
          </w:p>
        </w:tc>
      </w:tr>
      <w:tr w14:paraId="7F0F90DF">
        <w:tblPrEx>
          <w:tblCellMar>
            <w:top w:w="0" w:type="dxa"/>
            <w:left w:w="108" w:type="dxa"/>
            <w:bottom w:w="0" w:type="dxa"/>
            <w:right w:w="108" w:type="dxa"/>
          </w:tblCellMar>
        </w:tblPrEx>
        <w:trPr>
          <w:trHeight w:val="116" w:hRule="atLeast"/>
        </w:trPr>
        <w:tc>
          <w:tcPr>
            <w:tcW w:w="2875" w:type="dxa"/>
            <w:vAlign w:val="center"/>
          </w:tcPr>
          <w:p w14:paraId="0579E704">
            <w:pPr>
              <w:jc w:val="center"/>
              <w:rPr>
                <w:rFonts w:ascii="Times New Roman"/>
                <w:sz w:val="21"/>
                <w:szCs w:val="21"/>
              </w:rPr>
            </w:pPr>
            <w:r>
              <w:rPr>
                <w:rFonts w:ascii="Times New Roman"/>
                <w:sz w:val="21"/>
                <w:szCs w:val="21"/>
              </w:rPr>
              <w:t>1000.0</w:t>
            </w:r>
          </w:p>
        </w:tc>
        <w:tc>
          <w:tcPr>
            <w:tcW w:w="1616" w:type="dxa"/>
            <w:vAlign w:val="center"/>
          </w:tcPr>
          <w:p w14:paraId="1FB42D73">
            <w:pPr>
              <w:jc w:val="center"/>
              <w:rPr>
                <w:rFonts w:ascii="Times New Roman"/>
                <w:sz w:val="21"/>
                <w:szCs w:val="21"/>
              </w:rPr>
            </w:pPr>
            <w:r>
              <w:rPr>
                <w:rFonts w:hint="eastAsia" w:ascii="Times New Roman"/>
                <w:sz w:val="21"/>
                <w:szCs w:val="21"/>
              </w:rPr>
              <w:t>0.0075</w:t>
            </w:r>
          </w:p>
        </w:tc>
        <w:tc>
          <w:tcPr>
            <w:tcW w:w="1400" w:type="dxa"/>
            <w:vAlign w:val="center"/>
          </w:tcPr>
          <w:p w14:paraId="7C20EB82">
            <w:pPr>
              <w:jc w:val="center"/>
              <w:rPr>
                <w:rFonts w:ascii="Times New Roman"/>
                <w:sz w:val="21"/>
                <w:szCs w:val="21"/>
              </w:rPr>
            </w:pPr>
            <w:r>
              <w:rPr>
                <w:rFonts w:hint="eastAsia" w:ascii="Times New Roman"/>
                <w:sz w:val="21"/>
                <w:szCs w:val="21"/>
              </w:rPr>
              <w:t>0</w:t>
            </w:r>
          </w:p>
        </w:tc>
        <w:tc>
          <w:tcPr>
            <w:tcW w:w="1397" w:type="dxa"/>
            <w:vAlign w:val="center"/>
          </w:tcPr>
          <w:p w14:paraId="103812E0">
            <w:pPr>
              <w:jc w:val="center"/>
              <w:rPr>
                <w:rFonts w:ascii="Times New Roman"/>
                <w:sz w:val="21"/>
                <w:szCs w:val="21"/>
              </w:rPr>
            </w:pPr>
            <w:r>
              <w:rPr>
                <w:rFonts w:hint="eastAsia" w:ascii="Times New Roman"/>
                <w:sz w:val="21"/>
                <w:szCs w:val="21"/>
              </w:rPr>
              <w:t>5.4523</w:t>
            </w:r>
          </w:p>
        </w:tc>
        <w:tc>
          <w:tcPr>
            <w:tcW w:w="1231" w:type="dxa"/>
            <w:vAlign w:val="center"/>
          </w:tcPr>
          <w:p w14:paraId="4D932EEE">
            <w:pPr>
              <w:jc w:val="center"/>
              <w:rPr>
                <w:rFonts w:ascii="Times New Roman"/>
                <w:sz w:val="21"/>
                <w:szCs w:val="21"/>
              </w:rPr>
            </w:pPr>
            <w:r>
              <w:rPr>
                <w:rFonts w:hint="eastAsia" w:ascii="Times New Roman"/>
                <w:sz w:val="21"/>
                <w:szCs w:val="21"/>
              </w:rPr>
              <w:t>0.61</w:t>
            </w:r>
          </w:p>
        </w:tc>
      </w:tr>
      <w:tr w14:paraId="69D605D8">
        <w:tblPrEx>
          <w:tblCellMar>
            <w:top w:w="0" w:type="dxa"/>
            <w:left w:w="108" w:type="dxa"/>
            <w:bottom w:w="0" w:type="dxa"/>
            <w:right w:w="108" w:type="dxa"/>
          </w:tblCellMar>
        </w:tblPrEx>
        <w:trPr>
          <w:trHeight w:val="116" w:hRule="atLeast"/>
        </w:trPr>
        <w:tc>
          <w:tcPr>
            <w:tcW w:w="2875" w:type="dxa"/>
            <w:vAlign w:val="center"/>
          </w:tcPr>
          <w:p w14:paraId="400D25D9">
            <w:pPr>
              <w:jc w:val="center"/>
              <w:rPr>
                <w:rFonts w:ascii="Times New Roman"/>
                <w:sz w:val="21"/>
                <w:szCs w:val="21"/>
              </w:rPr>
            </w:pPr>
            <w:r>
              <w:rPr>
                <w:rFonts w:ascii="Times New Roman"/>
                <w:sz w:val="21"/>
                <w:szCs w:val="21"/>
              </w:rPr>
              <w:t>1200.0</w:t>
            </w:r>
          </w:p>
        </w:tc>
        <w:tc>
          <w:tcPr>
            <w:tcW w:w="1616" w:type="dxa"/>
            <w:vAlign w:val="center"/>
          </w:tcPr>
          <w:p w14:paraId="65526FA5">
            <w:pPr>
              <w:jc w:val="center"/>
              <w:rPr>
                <w:rFonts w:ascii="Times New Roman"/>
                <w:sz w:val="21"/>
                <w:szCs w:val="21"/>
              </w:rPr>
            </w:pPr>
            <w:r>
              <w:rPr>
                <w:rFonts w:hint="eastAsia" w:ascii="Times New Roman"/>
                <w:sz w:val="21"/>
                <w:szCs w:val="21"/>
              </w:rPr>
              <w:t>0.006</w:t>
            </w:r>
          </w:p>
        </w:tc>
        <w:tc>
          <w:tcPr>
            <w:tcW w:w="1400" w:type="dxa"/>
            <w:vAlign w:val="center"/>
          </w:tcPr>
          <w:p w14:paraId="7D968C77">
            <w:pPr>
              <w:jc w:val="center"/>
              <w:rPr>
                <w:rFonts w:ascii="Times New Roman"/>
                <w:sz w:val="21"/>
                <w:szCs w:val="21"/>
              </w:rPr>
            </w:pPr>
            <w:r>
              <w:rPr>
                <w:rFonts w:hint="eastAsia" w:ascii="Times New Roman"/>
                <w:sz w:val="21"/>
                <w:szCs w:val="21"/>
              </w:rPr>
              <w:t>0</w:t>
            </w:r>
          </w:p>
        </w:tc>
        <w:tc>
          <w:tcPr>
            <w:tcW w:w="1397" w:type="dxa"/>
            <w:vAlign w:val="center"/>
          </w:tcPr>
          <w:p w14:paraId="09BC8E1B">
            <w:pPr>
              <w:jc w:val="center"/>
              <w:rPr>
                <w:rFonts w:ascii="Times New Roman"/>
                <w:sz w:val="21"/>
                <w:szCs w:val="21"/>
              </w:rPr>
            </w:pPr>
            <w:r>
              <w:rPr>
                <w:rFonts w:hint="eastAsia" w:ascii="Times New Roman"/>
                <w:sz w:val="21"/>
                <w:szCs w:val="21"/>
              </w:rPr>
              <w:t>4.412</w:t>
            </w:r>
          </w:p>
        </w:tc>
        <w:tc>
          <w:tcPr>
            <w:tcW w:w="1231" w:type="dxa"/>
            <w:vAlign w:val="center"/>
          </w:tcPr>
          <w:p w14:paraId="35D6C098">
            <w:pPr>
              <w:jc w:val="center"/>
              <w:rPr>
                <w:rFonts w:ascii="Times New Roman"/>
                <w:sz w:val="21"/>
                <w:szCs w:val="21"/>
              </w:rPr>
            </w:pPr>
            <w:r>
              <w:rPr>
                <w:rFonts w:hint="eastAsia" w:ascii="Times New Roman"/>
                <w:sz w:val="21"/>
                <w:szCs w:val="21"/>
              </w:rPr>
              <w:t>0.49</w:t>
            </w:r>
          </w:p>
        </w:tc>
      </w:tr>
      <w:tr w14:paraId="70F84D32">
        <w:tblPrEx>
          <w:tblCellMar>
            <w:top w:w="0" w:type="dxa"/>
            <w:left w:w="108" w:type="dxa"/>
            <w:bottom w:w="0" w:type="dxa"/>
            <w:right w:w="108" w:type="dxa"/>
          </w:tblCellMar>
        </w:tblPrEx>
        <w:trPr>
          <w:trHeight w:val="116" w:hRule="atLeast"/>
        </w:trPr>
        <w:tc>
          <w:tcPr>
            <w:tcW w:w="2875" w:type="dxa"/>
            <w:vAlign w:val="center"/>
          </w:tcPr>
          <w:p w14:paraId="4061EEAE">
            <w:pPr>
              <w:jc w:val="center"/>
              <w:rPr>
                <w:rFonts w:ascii="Times New Roman"/>
                <w:sz w:val="21"/>
                <w:szCs w:val="21"/>
              </w:rPr>
            </w:pPr>
            <w:r>
              <w:rPr>
                <w:rFonts w:ascii="Times New Roman"/>
                <w:sz w:val="21"/>
                <w:szCs w:val="21"/>
              </w:rPr>
              <w:t>1400.0</w:t>
            </w:r>
          </w:p>
        </w:tc>
        <w:tc>
          <w:tcPr>
            <w:tcW w:w="1616" w:type="dxa"/>
            <w:vAlign w:val="center"/>
          </w:tcPr>
          <w:p w14:paraId="1C2D5503">
            <w:pPr>
              <w:jc w:val="center"/>
              <w:rPr>
                <w:rFonts w:ascii="Times New Roman"/>
                <w:sz w:val="21"/>
                <w:szCs w:val="21"/>
              </w:rPr>
            </w:pPr>
            <w:r>
              <w:rPr>
                <w:rFonts w:hint="eastAsia" w:ascii="Times New Roman"/>
                <w:sz w:val="21"/>
                <w:szCs w:val="21"/>
              </w:rPr>
              <w:t>0.005</w:t>
            </w:r>
          </w:p>
        </w:tc>
        <w:tc>
          <w:tcPr>
            <w:tcW w:w="1400" w:type="dxa"/>
            <w:vAlign w:val="center"/>
          </w:tcPr>
          <w:p w14:paraId="15ECE73C">
            <w:pPr>
              <w:jc w:val="center"/>
              <w:rPr>
                <w:rFonts w:ascii="Times New Roman"/>
                <w:sz w:val="21"/>
                <w:szCs w:val="21"/>
              </w:rPr>
            </w:pPr>
            <w:r>
              <w:rPr>
                <w:rFonts w:hint="eastAsia" w:ascii="Times New Roman"/>
                <w:sz w:val="21"/>
                <w:szCs w:val="21"/>
              </w:rPr>
              <w:t>0</w:t>
            </w:r>
          </w:p>
        </w:tc>
        <w:tc>
          <w:tcPr>
            <w:tcW w:w="1397" w:type="dxa"/>
            <w:vAlign w:val="center"/>
          </w:tcPr>
          <w:p w14:paraId="7C81F423">
            <w:pPr>
              <w:jc w:val="center"/>
              <w:rPr>
                <w:rFonts w:ascii="Times New Roman"/>
                <w:sz w:val="21"/>
                <w:szCs w:val="21"/>
              </w:rPr>
            </w:pPr>
            <w:r>
              <w:rPr>
                <w:rFonts w:hint="eastAsia" w:ascii="Times New Roman"/>
                <w:sz w:val="21"/>
                <w:szCs w:val="21"/>
              </w:rPr>
              <w:t>3.6681</w:t>
            </w:r>
          </w:p>
        </w:tc>
        <w:tc>
          <w:tcPr>
            <w:tcW w:w="1231" w:type="dxa"/>
            <w:vAlign w:val="center"/>
          </w:tcPr>
          <w:p w14:paraId="7DD7162B">
            <w:pPr>
              <w:jc w:val="center"/>
              <w:rPr>
                <w:rFonts w:ascii="Times New Roman"/>
                <w:sz w:val="21"/>
                <w:szCs w:val="21"/>
              </w:rPr>
            </w:pPr>
            <w:r>
              <w:rPr>
                <w:rFonts w:hint="eastAsia" w:ascii="Times New Roman"/>
                <w:sz w:val="21"/>
                <w:szCs w:val="21"/>
              </w:rPr>
              <w:t>0.41</w:t>
            </w:r>
          </w:p>
        </w:tc>
      </w:tr>
      <w:tr w14:paraId="2F0739C4">
        <w:tblPrEx>
          <w:tblCellMar>
            <w:top w:w="0" w:type="dxa"/>
            <w:left w:w="108" w:type="dxa"/>
            <w:bottom w:w="0" w:type="dxa"/>
            <w:right w:w="108" w:type="dxa"/>
          </w:tblCellMar>
        </w:tblPrEx>
        <w:trPr>
          <w:trHeight w:val="116" w:hRule="atLeast"/>
        </w:trPr>
        <w:tc>
          <w:tcPr>
            <w:tcW w:w="2875" w:type="dxa"/>
            <w:vAlign w:val="center"/>
          </w:tcPr>
          <w:p w14:paraId="0F94056C">
            <w:pPr>
              <w:jc w:val="center"/>
              <w:rPr>
                <w:rFonts w:ascii="Times New Roman"/>
                <w:sz w:val="21"/>
                <w:szCs w:val="21"/>
              </w:rPr>
            </w:pPr>
            <w:r>
              <w:rPr>
                <w:rFonts w:ascii="Times New Roman"/>
                <w:sz w:val="21"/>
                <w:szCs w:val="21"/>
              </w:rPr>
              <w:t>1600.0</w:t>
            </w:r>
          </w:p>
        </w:tc>
        <w:tc>
          <w:tcPr>
            <w:tcW w:w="1616" w:type="dxa"/>
            <w:vAlign w:val="center"/>
          </w:tcPr>
          <w:p w14:paraId="2E3B22CB">
            <w:pPr>
              <w:jc w:val="center"/>
              <w:rPr>
                <w:rFonts w:ascii="Times New Roman"/>
                <w:sz w:val="21"/>
                <w:szCs w:val="21"/>
              </w:rPr>
            </w:pPr>
            <w:r>
              <w:rPr>
                <w:rFonts w:hint="eastAsia" w:ascii="Times New Roman"/>
                <w:sz w:val="21"/>
                <w:szCs w:val="21"/>
              </w:rPr>
              <w:t>0.0043</w:t>
            </w:r>
          </w:p>
        </w:tc>
        <w:tc>
          <w:tcPr>
            <w:tcW w:w="1400" w:type="dxa"/>
            <w:vAlign w:val="center"/>
          </w:tcPr>
          <w:p w14:paraId="28D1534E">
            <w:pPr>
              <w:jc w:val="center"/>
              <w:rPr>
                <w:rFonts w:ascii="Times New Roman"/>
                <w:sz w:val="21"/>
                <w:szCs w:val="21"/>
              </w:rPr>
            </w:pPr>
            <w:r>
              <w:rPr>
                <w:rFonts w:hint="eastAsia" w:ascii="Times New Roman"/>
                <w:sz w:val="21"/>
                <w:szCs w:val="21"/>
              </w:rPr>
              <w:t>0</w:t>
            </w:r>
          </w:p>
        </w:tc>
        <w:tc>
          <w:tcPr>
            <w:tcW w:w="1397" w:type="dxa"/>
            <w:vAlign w:val="center"/>
          </w:tcPr>
          <w:p w14:paraId="44928B2F">
            <w:pPr>
              <w:jc w:val="center"/>
              <w:rPr>
                <w:rFonts w:ascii="Times New Roman"/>
                <w:sz w:val="21"/>
                <w:szCs w:val="21"/>
              </w:rPr>
            </w:pPr>
            <w:r>
              <w:rPr>
                <w:rFonts w:hint="eastAsia" w:ascii="Times New Roman"/>
                <w:sz w:val="21"/>
                <w:szCs w:val="21"/>
              </w:rPr>
              <w:t>3.1166</w:t>
            </w:r>
          </w:p>
        </w:tc>
        <w:tc>
          <w:tcPr>
            <w:tcW w:w="1231" w:type="dxa"/>
            <w:vAlign w:val="center"/>
          </w:tcPr>
          <w:p w14:paraId="4596BF93">
            <w:pPr>
              <w:jc w:val="center"/>
              <w:rPr>
                <w:rFonts w:ascii="Times New Roman"/>
                <w:sz w:val="21"/>
                <w:szCs w:val="21"/>
              </w:rPr>
            </w:pPr>
            <w:r>
              <w:rPr>
                <w:rFonts w:hint="eastAsia" w:ascii="Times New Roman"/>
                <w:sz w:val="21"/>
                <w:szCs w:val="21"/>
              </w:rPr>
              <w:t>0.35</w:t>
            </w:r>
          </w:p>
        </w:tc>
      </w:tr>
      <w:tr w14:paraId="463EBC9B">
        <w:tblPrEx>
          <w:tblCellMar>
            <w:top w:w="0" w:type="dxa"/>
            <w:left w:w="108" w:type="dxa"/>
            <w:bottom w:w="0" w:type="dxa"/>
            <w:right w:w="108" w:type="dxa"/>
          </w:tblCellMar>
        </w:tblPrEx>
        <w:trPr>
          <w:trHeight w:val="116" w:hRule="atLeast"/>
        </w:trPr>
        <w:tc>
          <w:tcPr>
            <w:tcW w:w="2875" w:type="dxa"/>
            <w:vAlign w:val="center"/>
          </w:tcPr>
          <w:p w14:paraId="08B6DDB2">
            <w:pPr>
              <w:jc w:val="center"/>
              <w:rPr>
                <w:rFonts w:ascii="Times New Roman"/>
                <w:sz w:val="21"/>
                <w:szCs w:val="21"/>
              </w:rPr>
            </w:pPr>
            <w:r>
              <w:rPr>
                <w:rFonts w:ascii="Times New Roman"/>
                <w:sz w:val="21"/>
                <w:szCs w:val="21"/>
              </w:rPr>
              <w:t>1800.0</w:t>
            </w:r>
          </w:p>
        </w:tc>
        <w:tc>
          <w:tcPr>
            <w:tcW w:w="1616" w:type="dxa"/>
            <w:vAlign w:val="center"/>
          </w:tcPr>
          <w:p w14:paraId="5F74A2A0">
            <w:pPr>
              <w:jc w:val="center"/>
              <w:rPr>
                <w:rFonts w:ascii="Times New Roman"/>
                <w:sz w:val="21"/>
                <w:szCs w:val="21"/>
              </w:rPr>
            </w:pPr>
            <w:r>
              <w:rPr>
                <w:rFonts w:hint="eastAsia" w:ascii="Times New Roman"/>
                <w:sz w:val="21"/>
                <w:szCs w:val="21"/>
              </w:rPr>
              <w:t>0.0037</w:t>
            </w:r>
          </w:p>
        </w:tc>
        <w:tc>
          <w:tcPr>
            <w:tcW w:w="1400" w:type="dxa"/>
            <w:vAlign w:val="center"/>
          </w:tcPr>
          <w:p w14:paraId="48829E38">
            <w:pPr>
              <w:jc w:val="center"/>
              <w:rPr>
                <w:rFonts w:ascii="Times New Roman"/>
                <w:sz w:val="21"/>
                <w:szCs w:val="21"/>
              </w:rPr>
            </w:pPr>
            <w:r>
              <w:rPr>
                <w:rFonts w:hint="eastAsia" w:ascii="Times New Roman"/>
                <w:sz w:val="21"/>
                <w:szCs w:val="21"/>
              </w:rPr>
              <w:t>0</w:t>
            </w:r>
          </w:p>
        </w:tc>
        <w:tc>
          <w:tcPr>
            <w:tcW w:w="1397" w:type="dxa"/>
            <w:vAlign w:val="center"/>
          </w:tcPr>
          <w:p w14:paraId="449200FF">
            <w:pPr>
              <w:jc w:val="center"/>
              <w:rPr>
                <w:rFonts w:ascii="Times New Roman"/>
                <w:sz w:val="21"/>
                <w:szCs w:val="21"/>
              </w:rPr>
            </w:pPr>
            <w:r>
              <w:rPr>
                <w:rFonts w:hint="eastAsia" w:ascii="Times New Roman"/>
                <w:sz w:val="21"/>
                <w:szCs w:val="21"/>
              </w:rPr>
              <w:t>2.6946</w:t>
            </w:r>
          </w:p>
        </w:tc>
        <w:tc>
          <w:tcPr>
            <w:tcW w:w="1231" w:type="dxa"/>
            <w:vAlign w:val="center"/>
          </w:tcPr>
          <w:p w14:paraId="70048B65">
            <w:pPr>
              <w:jc w:val="center"/>
              <w:rPr>
                <w:rFonts w:ascii="Times New Roman"/>
                <w:sz w:val="21"/>
                <w:szCs w:val="21"/>
              </w:rPr>
            </w:pPr>
            <w:r>
              <w:rPr>
                <w:rFonts w:hint="eastAsia" w:ascii="Times New Roman"/>
                <w:sz w:val="21"/>
                <w:szCs w:val="21"/>
              </w:rPr>
              <w:t>0.3</w:t>
            </w:r>
          </w:p>
        </w:tc>
      </w:tr>
      <w:tr w14:paraId="18C8D238">
        <w:tblPrEx>
          <w:tblCellMar>
            <w:top w:w="0" w:type="dxa"/>
            <w:left w:w="108" w:type="dxa"/>
            <w:bottom w:w="0" w:type="dxa"/>
            <w:right w:w="108" w:type="dxa"/>
          </w:tblCellMar>
        </w:tblPrEx>
        <w:trPr>
          <w:trHeight w:val="116" w:hRule="atLeast"/>
        </w:trPr>
        <w:tc>
          <w:tcPr>
            <w:tcW w:w="2875" w:type="dxa"/>
            <w:vAlign w:val="center"/>
          </w:tcPr>
          <w:p w14:paraId="0AF63E51">
            <w:pPr>
              <w:jc w:val="center"/>
              <w:rPr>
                <w:rFonts w:ascii="Times New Roman"/>
                <w:sz w:val="21"/>
                <w:szCs w:val="21"/>
              </w:rPr>
            </w:pPr>
            <w:r>
              <w:rPr>
                <w:rFonts w:ascii="Times New Roman"/>
                <w:sz w:val="21"/>
                <w:szCs w:val="21"/>
              </w:rPr>
              <w:t>2000.0</w:t>
            </w:r>
          </w:p>
        </w:tc>
        <w:tc>
          <w:tcPr>
            <w:tcW w:w="1616" w:type="dxa"/>
            <w:vAlign w:val="center"/>
          </w:tcPr>
          <w:p w14:paraId="165A7B0E">
            <w:pPr>
              <w:jc w:val="center"/>
              <w:rPr>
                <w:rFonts w:ascii="Times New Roman"/>
                <w:sz w:val="21"/>
                <w:szCs w:val="21"/>
              </w:rPr>
            </w:pPr>
            <w:r>
              <w:rPr>
                <w:rFonts w:hint="eastAsia" w:ascii="Times New Roman"/>
                <w:sz w:val="21"/>
                <w:szCs w:val="21"/>
              </w:rPr>
              <w:t>0.0032</w:t>
            </w:r>
          </w:p>
        </w:tc>
        <w:tc>
          <w:tcPr>
            <w:tcW w:w="1400" w:type="dxa"/>
            <w:vAlign w:val="center"/>
          </w:tcPr>
          <w:p w14:paraId="3A43DFE8">
            <w:pPr>
              <w:jc w:val="center"/>
              <w:rPr>
                <w:rFonts w:ascii="Times New Roman"/>
                <w:sz w:val="21"/>
                <w:szCs w:val="21"/>
              </w:rPr>
            </w:pPr>
            <w:r>
              <w:rPr>
                <w:rFonts w:hint="eastAsia" w:ascii="Times New Roman"/>
                <w:sz w:val="21"/>
                <w:szCs w:val="21"/>
              </w:rPr>
              <w:t>0</w:t>
            </w:r>
          </w:p>
        </w:tc>
        <w:tc>
          <w:tcPr>
            <w:tcW w:w="1397" w:type="dxa"/>
            <w:vAlign w:val="center"/>
          </w:tcPr>
          <w:p w14:paraId="2E4EFEB0">
            <w:pPr>
              <w:jc w:val="center"/>
              <w:rPr>
                <w:rFonts w:ascii="Times New Roman"/>
                <w:sz w:val="21"/>
                <w:szCs w:val="21"/>
              </w:rPr>
            </w:pPr>
            <w:r>
              <w:rPr>
                <w:rFonts w:hint="eastAsia" w:ascii="Times New Roman"/>
                <w:sz w:val="21"/>
                <w:szCs w:val="21"/>
              </w:rPr>
              <w:t>2.3632</w:t>
            </w:r>
          </w:p>
        </w:tc>
        <w:tc>
          <w:tcPr>
            <w:tcW w:w="1231" w:type="dxa"/>
            <w:vAlign w:val="center"/>
          </w:tcPr>
          <w:p w14:paraId="2B67FE04">
            <w:pPr>
              <w:jc w:val="center"/>
              <w:rPr>
                <w:rFonts w:ascii="Times New Roman"/>
                <w:sz w:val="21"/>
                <w:szCs w:val="21"/>
              </w:rPr>
            </w:pPr>
            <w:r>
              <w:rPr>
                <w:rFonts w:hint="eastAsia" w:ascii="Times New Roman"/>
                <w:sz w:val="21"/>
                <w:szCs w:val="21"/>
              </w:rPr>
              <w:t>0.26</w:t>
            </w:r>
          </w:p>
        </w:tc>
      </w:tr>
      <w:tr w14:paraId="7A2535B7">
        <w:tblPrEx>
          <w:tblCellMar>
            <w:top w:w="0" w:type="dxa"/>
            <w:left w:w="108" w:type="dxa"/>
            <w:bottom w:w="0" w:type="dxa"/>
            <w:right w:w="108" w:type="dxa"/>
          </w:tblCellMar>
        </w:tblPrEx>
        <w:trPr>
          <w:trHeight w:val="116" w:hRule="atLeast"/>
        </w:trPr>
        <w:tc>
          <w:tcPr>
            <w:tcW w:w="2875" w:type="dxa"/>
            <w:vAlign w:val="center"/>
          </w:tcPr>
          <w:p w14:paraId="15C1C5C3">
            <w:pPr>
              <w:jc w:val="center"/>
              <w:rPr>
                <w:rFonts w:ascii="Times New Roman"/>
                <w:sz w:val="21"/>
                <w:szCs w:val="21"/>
              </w:rPr>
            </w:pPr>
            <w:r>
              <w:rPr>
                <w:rFonts w:ascii="Times New Roman"/>
                <w:sz w:val="21"/>
                <w:szCs w:val="21"/>
              </w:rPr>
              <w:t>2500.0</w:t>
            </w:r>
          </w:p>
        </w:tc>
        <w:tc>
          <w:tcPr>
            <w:tcW w:w="1616" w:type="dxa"/>
            <w:vAlign w:val="center"/>
          </w:tcPr>
          <w:p w14:paraId="7C86D2B7">
            <w:pPr>
              <w:jc w:val="center"/>
              <w:rPr>
                <w:rFonts w:ascii="Times New Roman"/>
                <w:sz w:val="21"/>
                <w:szCs w:val="21"/>
              </w:rPr>
            </w:pPr>
            <w:r>
              <w:rPr>
                <w:rFonts w:hint="eastAsia" w:ascii="Times New Roman"/>
                <w:sz w:val="21"/>
                <w:szCs w:val="21"/>
              </w:rPr>
              <w:t>0.0024</w:t>
            </w:r>
          </w:p>
        </w:tc>
        <w:tc>
          <w:tcPr>
            <w:tcW w:w="1400" w:type="dxa"/>
            <w:vAlign w:val="center"/>
          </w:tcPr>
          <w:p w14:paraId="533C08A2">
            <w:pPr>
              <w:jc w:val="center"/>
              <w:rPr>
                <w:rFonts w:ascii="Times New Roman"/>
                <w:sz w:val="21"/>
                <w:szCs w:val="21"/>
              </w:rPr>
            </w:pPr>
            <w:r>
              <w:rPr>
                <w:rFonts w:hint="eastAsia" w:ascii="Times New Roman"/>
                <w:sz w:val="21"/>
                <w:szCs w:val="21"/>
              </w:rPr>
              <w:t>0</w:t>
            </w:r>
          </w:p>
        </w:tc>
        <w:tc>
          <w:tcPr>
            <w:tcW w:w="1397" w:type="dxa"/>
            <w:vAlign w:val="center"/>
          </w:tcPr>
          <w:p w14:paraId="05DE70F2">
            <w:pPr>
              <w:jc w:val="center"/>
              <w:rPr>
                <w:rFonts w:ascii="Times New Roman"/>
                <w:sz w:val="21"/>
                <w:szCs w:val="21"/>
              </w:rPr>
            </w:pPr>
            <w:r>
              <w:rPr>
                <w:rFonts w:hint="eastAsia" w:ascii="Times New Roman"/>
                <w:sz w:val="21"/>
                <w:szCs w:val="21"/>
              </w:rPr>
              <w:t>1.7878</w:t>
            </w:r>
          </w:p>
        </w:tc>
        <w:tc>
          <w:tcPr>
            <w:tcW w:w="1231" w:type="dxa"/>
            <w:vAlign w:val="center"/>
          </w:tcPr>
          <w:p w14:paraId="2BAB491E">
            <w:pPr>
              <w:jc w:val="center"/>
              <w:rPr>
                <w:rFonts w:ascii="Times New Roman"/>
                <w:sz w:val="21"/>
                <w:szCs w:val="21"/>
              </w:rPr>
            </w:pPr>
            <w:r>
              <w:rPr>
                <w:rFonts w:hint="eastAsia" w:ascii="Times New Roman"/>
                <w:sz w:val="21"/>
                <w:szCs w:val="21"/>
              </w:rPr>
              <w:t>0.2</w:t>
            </w:r>
          </w:p>
        </w:tc>
      </w:tr>
      <w:tr w14:paraId="69AE00BA">
        <w:tblPrEx>
          <w:tblCellMar>
            <w:top w:w="0" w:type="dxa"/>
            <w:left w:w="108" w:type="dxa"/>
            <w:bottom w:w="0" w:type="dxa"/>
            <w:right w:w="108" w:type="dxa"/>
          </w:tblCellMar>
        </w:tblPrEx>
        <w:trPr>
          <w:trHeight w:val="116" w:hRule="atLeast"/>
        </w:trPr>
        <w:tc>
          <w:tcPr>
            <w:tcW w:w="2875" w:type="dxa"/>
            <w:vAlign w:val="center"/>
          </w:tcPr>
          <w:p w14:paraId="7D5705D8">
            <w:pPr>
              <w:jc w:val="center"/>
              <w:rPr>
                <w:rFonts w:ascii="Times New Roman"/>
                <w:sz w:val="21"/>
                <w:szCs w:val="21"/>
              </w:rPr>
            </w:pPr>
            <w:r>
              <w:rPr>
                <w:rFonts w:ascii="Times New Roman"/>
                <w:sz w:val="21"/>
                <w:szCs w:val="21"/>
              </w:rPr>
              <w:t>3000.0</w:t>
            </w:r>
          </w:p>
        </w:tc>
        <w:tc>
          <w:tcPr>
            <w:tcW w:w="1616" w:type="dxa"/>
            <w:vAlign w:val="center"/>
          </w:tcPr>
          <w:p w14:paraId="671EB6AD">
            <w:pPr>
              <w:jc w:val="center"/>
              <w:rPr>
                <w:rFonts w:ascii="Times New Roman"/>
                <w:sz w:val="21"/>
                <w:szCs w:val="21"/>
              </w:rPr>
            </w:pPr>
            <w:r>
              <w:rPr>
                <w:rFonts w:hint="eastAsia" w:ascii="Times New Roman"/>
                <w:sz w:val="21"/>
                <w:szCs w:val="21"/>
              </w:rPr>
              <w:t>0.0019</w:t>
            </w:r>
          </w:p>
        </w:tc>
        <w:tc>
          <w:tcPr>
            <w:tcW w:w="1400" w:type="dxa"/>
            <w:vAlign w:val="center"/>
          </w:tcPr>
          <w:p w14:paraId="775EA2CA">
            <w:pPr>
              <w:jc w:val="center"/>
              <w:rPr>
                <w:rFonts w:ascii="Times New Roman"/>
                <w:sz w:val="21"/>
                <w:szCs w:val="21"/>
              </w:rPr>
            </w:pPr>
            <w:r>
              <w:rPr>
                <w:rFonts w:hint="eastAsia" w:ascii="Times New Roman"/>
                <w:sz w:val="21"/>
                <w:szCs w:val="21"/>
              </w:rPr>
              <w:t>0</w:t>
            </w:r>
          </w:p>
        </w:tc>
        <w:tc>
          <w:tcPr>
            <w:tcW w:w="1397" w:type="dxa"/>
            <w:vAlign w:val="center"/>
          </w:tcPr>
          <w:p w14:paraId="342F62A5">
            <w:pPr>
              <w:jc w:val="center"/>
              <w:rPr>
                <w:rFonts w:ascii="Times New Roman"/>
                <w:sz w:val="21"/>
                <w:szCs w:val="21"/>
              </w:rPr>
            </w:pPr>
            <w:r>
              <w:rPr>
                <w:rFonts w:hint="eastAsia" w:ascii="Times New Roman"/>
                <w:sz w:val="21"/>
                <w:szCs w:val="21"/>
              </w:rPr>
              <w:t>1.4134</w:t>
            </w:r>
          </w:p>
        </w:tc>
        <w:tc>
          <w:tcPr>
            <w:tcW w:w="1231" w:type="dxa"/>
            <w:vAlign w:val="center"/>
          </w:tcPr>
          <w:p w14:paraId="79820515">
            <w:pPr>
              <w:jc w:val="center"/>
              <w:rPr>
                <w:rFonts w:ascii="Times New Roman"/>
                <w:sz w:val="21"/>
                <w:szCs w:val="21"/>
              </w:rPr>
            </w:pPr>
            <w:r>
              <w:rPr>
                <w:rFonts w:hint="eastAsia" w:ascii="Times New Roman"/>
                <w:sz w:val="21"/>
                <w:szCs w:val="21"/>
              </w:rPr>
              <w:t>0.16</w:t>
            </w:r>
          </w:p>
        </w:tc>
      </w:tr>
      <w:tr w14:paraId="7A114E43">
        <w:tblPrEx>
          <w:tblCellMar>
            <w:top w:w="0" w:type="dxa"/>
            <w:left w:w="108" w:type="dxa"/>
            <w:bottom w:w="0" w:type="dxa"/>
            <w:right w:w="108" w:type="dxa"/>
          </w:tblCellMar>
        </w:tblPrEx>
        <w:trPr>
          <w:trHeight w:val="116" w:hRule="atLeast"/>
        </w:trPr>
        <w:tc>
          <w:tcPr>
            <w:tcW w:w="2875" w:type="dxa"/>
            <w:vAlign w:val="center"/>
          </w:tcPr>
          <w:p w14:paraId="1EAF3D73">
            <w:pPr>
              <w:jc w:val="center"/>
              <w:rPr>
                <w:rFonts w:ascii="Times New Roman"/>
                <w:sz w:val="21"/>
                <w:szCs w:val="21"/>
              </w:rPr>
            </w:pPr>
            <w:r>
              <w:rPr>
                <w:rFonts w:ascii="Times New Roman"/>
                <w:sz w:val="21"/>
                <w:szCs w:val="21"/>
              </w:rPr>
              <w:t>3500.0</w:t>
            </w:r>
          </w:p>
        </w:tc>
        <w:tc>
          <w:tcPr>
            <w:tcW w:w="1616" w:type="dxa"/>
            <w:vAlign w:val="center"/>
          </w:tcPr>
          <w:p w14:paraId="5D0FB033">
            <w:pPr>
              <w:jc w:val="center"/>
              <w:rPr>
                <w:rFonts w:ascii="Times New Roman"/>
                <w:sz w:val="21"/>
                <w:szCs w:val="21"/>
              </w:rPr>
            </w:pPr>
            <w:r>
              <w:rPr>
                <w:rFonts w:hint="eastAsia" w:ascii="Times New Roman"/>
                <w:sz w:val="21"/>
                <w:szCs w:val="21"/>
              </w:rPr>
              <w:t>0.0016</w:t>
            </w:r>
          </w:p>
        </w:tc>
        <w:tc>
          <w:tcPr>
            <w:tcW w:w="1400" w:type="dxa"/>
            <w:vAlign w:val="center"/>
          </w:tcPr>
          <w:p w14:paraId="65BE9D07">
            <w:pPr>
              <w:jc w:val="center"/>
              <w:rPr>
                <w:rFonts w:ascii="Times New Roman"/>
                <w:sz w:val="21"/>
                <w:szCs w:val="21"/>
              </w:rPr>
            </w:pPr>
            <w:r>
              <w:rPr>
                <w:rFonts w:hint="eastAsia" w:ascii="Times New Roman"/>
                <w:sz w:val="21"/>
                <w:szCs w:val="21"/>
              </w:rPr>
              <w:t>0</w:t>
            </w:r>
          </w:p>
        </w:tc>
        <w:tc>
          <w:tcPr>
            <w:tcW w:w="1397" w:type="dxa"/>
            <w:vAlign w:val="center"/>
          </w:tcPr>
          <w:p w14:paraId="6D769DF7">
            <w:pPr>
              <w:jc w:val="center"/>
              <w:rPr>
                <w:rFonts w:ascii="Times New Roman"/>
                <w:sz w:val="21"/>
                <w:szCs w:val="21"/>
              </w:rPr>
            </w:pPr>
            <w:r>
              <w:rPr>
                <w:rFonts w:hint="eastAsia" w:ascii="Times New Roman"/>
                <w:sz w:val="21"/>
                <w:szCs w:val="21"/>
              </w:rPr>
              <w:t>1.1581</w:t>
            </w:r>
          </w:p>
        </w:tc>
        <w:tc>
          <w:tcPr>
            <w:tcW w:w="1231" w:type="dxa"/>
            <w:vAlign w:val="center"/>
          </w:tcPr>
          <w:p w14:paraId="646F89C9">
            <w:pPr>
              <w:jc w:val="center"/>
              <w:rPr>
                <w:rFonts w:ascii="Times New Roman"/>
                <w:sz w:val="21"/>
                <w:szCs w:val="21"/>
              </w:rPr>
            </w:pPr>
            <w:r>
              <w:rPr>
                <w:rFonts w:hint="eastAsia" w:ascii="Times New Roman"/>
                <w:sz w:val="21"/>
                <w:szCs w:val="21"/>
              </w:rPr>
              <w:t>0.13</w:t>
            </w:r>
          </w:p>
        </w:tc>
      </w:tr>
      <w:tr w14:paraId="42A4232B">
        <w:tblPrEx>
          <w:tblCellMar>
            <w:top w:w="0" w:type="dxa"/>
            <w:left w:w="108" w:type="dxa"/>
            <w:bottom w:w="0" w:type="dxa"/>
            <w:right w:w="108" w:type="dxa"/>
          </w:tblCellMar>
        </w:tblPrEx>
        <w:trPr>
          <w:trHeight w:val="116" w:hRule="atLeast"/>
        </w:trPr>
        <w:tc>
          <w:tcPr>
            <w:tcW w:w="2875" w:type="dxa"/>
            <w:vAlign w:val="center"/>
          </w:tcPr>
          <w:p w14:paraId="43F7020D">
            <w:pPr>
              <w:jc w:val="center"/>
              <w:rPr>
                <w:rFonts w:ascii="Times New Roman"/>
                <w:sz w:val="21"/>
                <w:szCs w:val="21"/>
              </w:rPr>
            </w:pPr>
            <w:r>
              <w:rPr>
                <w:rFonts w:ascii="Times New Roman"/>
                <w:sz w:val="21"/>
                <w:szCs w:val="21"/>
              </w:rPr>
              <w:t>4000.0</w:t>
            </w:r>
          </w:p>
        </w:tc>
        <w:tc>
          <w:tcPr>
            <w:tcW w:w="1616" w:type="dxa"/>
            <w:vAlign w:val="center"/>
          </w:tcPr>
          <w:p w14:paraId="0DAC9E28">
            <w:pPr>
              <w:jc w:val="center"/>
              <w:rPr>
                <w:rFonts w:ascii="Times New Roman"/>
                <w:sz w:val="21"/>
                <w:szCs w:val="21"/>
              </w:rPr>
            </w:pPr>
            <w:r>
              <w:rPr>
                <w:rFonts w:hint="eastAsia" w:ascii="Times New Roman"/>
                <w:sz w:val="21"/>
                <w:szCs w:val="21"/>
              </w:rPr>
              <w:t>0.0013</w:t>
            </w:r>
          </w:p>
        </w:tc>
        <w:tc>
          <w:tcPr>
            <w:tcW w:w="1400" w:type="dxa"/>
            <w:vAlign w:val="center"/>
          </w:tcPr>
          <w:p w14:paraId="21DE815A">
            <w:pPr>
              <w:jc w:val="center"/>
              <w:rPr>
                <w:rFonts w:ascii="Times New Roman"/>
                <w:sz w:val="21"/>
                <w:szCs w:val="21"/>
              </w:rPr>
            </w:pPr>
            <w:r>
              <w:rPr>
                <w:rFonts w:hint="eastAsia" w:ascii="Times New Roman"/>
                <w:sz w:val="21"/>
                <w:szCs w:val="21"/>
              </w:rPr>
              <w:t>0</w:t>
            </w:r>
          </w:p>
        </w:tc>
        <w:tc>
          <w:tcPr>
            <w:tcW w:w="1397" w:type="dxa"/>
            <w:vAlign w:val="center"/>
          </w:tcPr>
          <w:p w14:paraId="1F0B7CF3">
            <w:pPr>
              <w:jc w:val="center"/>
              <w:rPr>
                <w:rFonts w:ascii="Times New Roman"/>
                <w:sz w:val="21"/>
                <w:szCs w:val="21"/>
              </w:rPr>
            </w:pPr>
            <w:r>
              <w:rPr>
                <w:rFonts w:hint="eastAsia" w:ascii="Times New Roman"/>
                <w:sz w:val="21"/>
                <w:szCs w:val="21"/>
              </w:rPr>
              <w:t>0.9745</w:t>
            </w:r>
          </w:p>
        </w:tc>
        <w:tc>
          <w:tcPr>
            <w:tcW w:w="1231" w:type="dxa"/>
            <w:vAlign w:val="center"/>
          </w:tcPr>
          <w:p w14:paraId="0A2A3E7A">
            <w:pPr>
              <w:jc w:val="center"/>
              <w:rPr>
                <w:rFonts w:ascii="Times New Roman"/>
                <w:sz w:val="21"/>
                <w:szCs w:val="21"/>
              </w:rPr>
            </w:pPr>
            <w:r>
              <w:rPr>
                <w:rFonts w:hint="eastAsia" w:ascii="Times New Roman"/>
                <w:sz w:val="21"/>
                <w:szCs w:val="21"/>
              </w:rPr>
              <w:t>0.11</w:t>
            </w:r>
          </w:p>
        </w:tc>
      </w:tr>
      <w:tr w14:paraId="38B2131B">
        <w:tblPrEx>
          <w:tblCellMar>
            <w:top w:w="0" w:type="dxa"/>
            <w:left w:w="108" w:type="dxa"/>
            <w:bottom w:w="0" w:type="dxa"/>
            <w:right w:w="108" w:type="dxa"/>
          </w:tblCellMar>
        </w:tblPrEx>
        <w:trPr>
          <w:trHeight w:val="116" w:hRule="atLeast"/>
        </w:trPr>
        <w:tc>
          <w:tcPr>
            <w:tcW w:w="2875" w:type="dxa"/>
            <w:vAlign w:val="center"/>
          </w:tcPr>
          <w:p w14:paraId="7E9CFCAB">
            <w:pPr>
              <w:jc w:val="center"/>
              <w:rPr>
                <w:rFonts w:ascii="Times New Roman"/>
                <w:sz w:val="21"/>
                <w:szCs w:val="21"/>
              </w:rPr>
            </w:pPr>
            <w:r>
              <w:rPr>
                <w:rFonts w:ascii="Times New Roman"/>
                <w:sz w:val="21"/>
                <w:szCs w:val="21"/>
              </w:rPr>
              <w:t>4500.0</w:t>
            </w:r>
          </w:p>
        </w:tc>
        <w:tc>
          <w:tcPr>
            <w:tcW w:w="1616" w:type="dxa"/>
            <w:vAlign w:val="center"/>
          </w:tcPr>
          <w:p w14:paraId="1CE3568C">
            <w:pPr>
              <w:jc w:val="center"/>
              <w:rPr>
                <w:rFonts w:ascii="Times New Roman"/>
                <w:sz w:val="21"/>
                <w:szCs w:val="21"/>
              </w:rPr>
            </w:pPr>
            <w:r>
              <w:rPr>
                <w:rFonts w:hint="eastAsia" w:ascii="Times New Roman"/>
                <w:sz w:val="21"/>
                <w:szCs w:val="21"/>
              </w:rPr>
              <w:t>0.0011</w:t>
            </w:r>
          </w:p>
        </w:tc>
        <w:tc>
          <w:tcPr>
            <w:tcW w:w="1400" w:type="dxa"/>
            <w:vAlign w:val="center"/>
          </w:tcPr>
          <w:p w14:paraId="790E75DF">
            <w:pPr>
              <w:jc w:val="center"/>
              <w:rPr>
                <w:rFonts w:ascii="Times New Roman"/>
                <w:sz w:val="21"/>
                <w:szCs w:val="21"/>
              </w:rPr>
            </w:pPr>
            <w:r>
              <w:rPr>
                <w:rFonts w:hint="eastAsia" w:ascii="Times New Roman"/>
                <w:sz w:val="21"/>
                <w:szCs w:val="21"/>
              </w:rPr>
              <w:t>0</w:t>
            </w:r>
          </w:p>
        </w:tc>
        <w:tc>
          <w:tcPr>
            <w:tcW w:w="1397" w:type="dxa"/>
            <w:vAlign w:val="center"/>
          </w:tcPr>
          <w:p w14:paraId="499C6E19">
            <w:pPr>
              <w:jc w:val="center"/>
              <w:rPr>
                <w:rFonts w:ascii="Times New Roman"/>
                <w:sz w:val="21"/>
                <w:szCs w:val="21"/>
              </w:rPr>
            </w:pPr>
            <w:r>
              <w:rPr>
                <w:rFonts w:hint="eastAsia" w:ascii="Times New Roman"/>
                <w:sz w:val="21"/>
                <w:szCs w:val="21"/>
              </w:rPr>
              <w:t>0.8351</w:t>
            </w:r>
          </w:p>
        </w:tc>
        <w:tc>
          <w:tcPr>
            <w:tcW w:w="1231" w:type="dxa"/>
            <w:vAlign w:val="center"/>
          </w:tcPr>
          <w:p w14:paraId="09DDDD32">
            <w:pPr>
              <w:jc w:val="center"/>
              <w:rPr>
                <w:rFonts w:ascii="Times New Roman"/>
                <w:sz w:val="21"/>
                <w:szCs w:val="21"/>
              </w:rPr>
            </w:pPr>
            <w:r>
              <w:rPr>
                <w:rFonts w:hint="eastAsia" w:ascii="Times New Roman"/>
                <w:sz w:val="21"/>
                <w:szCs w:val="21"/>
              </w:rPr>
              <w:t>0.09</w:t>
            </w:r>
          </w:p>
        </w:tc>
      </w:tr>
      <w:tr w14:paraId="5204DAC2">
        <w:tblPrEx>
          <w:tblCellMar>
            <w:top w:w="0" w:type="dxa"/>
            <w:left w:w="108" w:type="dxa"/>
            <w:bottom w:w="0" w:type="dxa"/>
            <w:right w:w="108" w:type="dxa"/>
          </w:tblCellMar>
        </w:tblPrEx>
        <w:trPr>
          <w:trHeight w:val="116" w:hRule="atLeast"/>
        </w:trPr>
        <w:tc>
          <w:tcPr>
            <w:tcW w:w="2875" w:type="dxa"/>
            <w:vAlign w:val="center"/>
          </w:tcPr>
          <w:p w14:paraId="4D1E48D4">
            <w:pPr>
              <w:jc w:val="center"/>
              <w:rPr>
                <w:rFonts w:ascii="Times New Roman"/>
                <w:sz w:val="21"/>
                <w:szCs w:val="21"/>
              </w:rPr>
            </w:pPr>
            <w:r>
              <w:rPr>
                <w:rFonts w:ascii="Times New Roman"/>
                <w:sz w:val="21"/>
                <w:szCs w:val="21"/>
              </w:rPr>
              <w:t>5000.0</w:t>
            </w:r>
          </w:p>
        </w:tc>
        <w:tc>
          <w:tcPr>
            <w:tcW w:w="1616" w:type="dxa"/>
            <w:vAlign w:val="center"/>
          </w:tcPr>
          <w:p w14:paraId="7DA8C175">
            <w:pPr>
              <w:jc w:val="center"/>
              <w:rPr>
                <w:rFonts w:ascii="Times New Roman"/>
                <w:sz w:val="21"/>
                <w:szCs w:val="21"/>
              </w:rPr>
            </w:pPr>
            <w:r>
              <w:rPr>
                <w:rFonts w:hint="eastAsia" w:ascii="Times New Roman"/>
                <w:sz w:val="21"/>
                <w:szCs w:val="21"/>
              </w:rPr>
              <w:t>0.001</w:t>
            </w:r>
          </w:p>
        </w:tc>
        <w:tc>
          <w:tcPr>
            <w:tcW w:w="1400" w:type="dxa"/>
            <w:vAlign w:val="center"/>
          </w:tcPr>
          <w:p w14:paraId="0BB96FEF">
            <w:pPr>
              <w:jc w:val="center"/>
              <w:rPr>
                <w:rFonts w:ascii="Times New Roman"/>
                <w:sz w:val="21"/>
                <w:szCs w:val="21"/>
              </w:rPr>
            </w:pPr>
            <w:r>
              <w:rPr>
                <w:rFonts w:hint="eastAsia" w:ascii="Times New Roman"/>
                <w:sz w:val="21"/>
                <w:szCs w:val="21"/>
              </w:rPr>
              <w:t>0</w:t>
            </w:r>
          </w:p>
        </w:tc>
        <w:tc>
          <w:tcPr>
            <w:tcW w:w="1397" w:type="dxa"/>
            <w:vAlign w:val="center"/>
          </w:tcPr>
          <w:p w14:paraId="2F262A1E">
            <w:pPr>
              <w:jc w:val="center"/>
              <w:rPr>
                <w:rFonts w:ascii="Times New Roman"/>
                <w:sz w:val="21"/>
                <w:szCs w:val="21"/>
              </w:rPr>
            </w:pPr>
            <w:r>
              <w:rPr>
                <w:rFonts w:hint="eastAsia" w:ascii="Times New Roman"/>
                <w:sz w:val="21"/>
                <w:szCs w:val="21"/>
              </w:rPr>
              <w:t>0.7271</w:t>
            </w:r>
          </w:p>
        </w:tc>
        <w:tc>
          <w:tcPr>
            <w:tcW w:w="1231" w:type="dxa"/>
            <w:vAlign w:val="center"/>
          </w:tcPr>
          <w:p w14:paraId="0977A231">
            <w:pPr>
              <w:jc w:val="center"/>
              <w:rPr>
                <w:rFonts w:ascii="Times New Roman"/>
                <w:sz w:val="21"/>
                <w:szCs w:val="21"/>
              </w:rPr>
            </w:pPr>
            <w:r>
              <w:rPr>
                <w:rFonts w:hint="eastAsia" w:ascii="Times New Roman"/>
                <w:sz w:val="21"/>
                <w:szCs w:val="21"/>
              </w:rPr>
              <w:t>0.08</w:t>
            </w:r>
          </w:p>
        </w:tc>
      </w:tr>
      <w:tr w14:paraId="730E9DC2">
        <w:tblPrEx>
          <w:tblCellMar>
            <w:top w:w="0" w:type="dxa"/>
            <w:left w:w="108" w:type="dxa"/>
            <w:bottom w:w="0" w:type="dxa"/>
            <w:right w:w="108" w:type="dxa"/>
          </w:tblCellMar>
        </w:tblPrEx>
        <w:trPr>
          <w:trHeight w:val="116" w:hRule="atLeast"/>
        </w:trPr>
        <w:tc>
          <w:tcPr>
            <w:tcW w:w="2875" w:type="dxa"/>
            <w:vAlign w:val="center"/>
          </w:tcPr>
          <w:p w14:paraId="2FC6C0C0">
            <w:pPr>
              <w:jc w:val="center"/>
              <w:rPr>
                <w:rFonts w:ascii="Times New Roman"/>
                <w:sz w:val="21"/>
                <w:szCs w:val="21"/>
              </w:rPr>
            </w:pPr>
            <w:r>
              <w:rPr>
                <w:rFonts w:ascii="Times New Roman"/>
                <w:sz w:val="21"/>
                <w:szCs w:val="21"/>
              </w:rPr>
              <w:t>10000.0</w:t>
            </w:r>
          </w:p>
        </w:tc>
        <w:tc>
          <w:tcPr>
            <w:tcW w:w="1616" w:type="dxa"/>
            <w:vAlign w:val="center"/>
          </w:tcPr>
          <w:p w14:paraId="2457D0E2">
            <w:pPr>
              <w:jc w:val="center"/>
              <w:rPr>
                <w:rFonts w:ascii="Times New Roman"/>
                <w:sz w:val="21"/>
                <w:szCs w:val="21"/>
              </w:rPr>
            </w:pPr>
            <w:r>
              <w:rPr>
                <w:rFonts w:hint="eastAsia" w:ascii="Times New Roman"/>
                <w:sz w:val="21"/>
                <w:szCs w:val="21"/>
              </w:rPr>
              <w:t>0.0004</w:t>
            </w:r>
          </w:p>
        </w:tc>
        <w:tc>
          <w:tcPr>
            <w:tcW w:w="1400" w:type="dxa"/>
            <w:vAlign w:val="center"/>
          </w:tcPr>
          <w:p w14:paraId="327EFD83">
            <w:pPr>
              <w:jc w:val="center"/>
              <w:rPr>
                <w:rFonts w:ascii="Times New Roman"/>
                <w:sz w:val="21"/>
                <w:szCs w:val="21"/>
              </w:rPr>
            </w:pPr>
            <w:r>
              <w:rPr>
                <w:rFonts w:hint="eastAsia" w:ascii="Times New Roman"/>
                <w:sz w:val="21"/>
                <w:szCs w:val="21"/>
              </w:rPr>
              <w:t>0</w:t>
            </w:r>
          </w:p>
        </w:tc>
        <w:tc>
          <w:tcPr>
            <w:tcW w:w="1397" w:type="dxa"/>
            <w:vAlign w:val="center"/>
          </w:tcPr>
          <w:p w14:paraId="6A692485">
            <w:pPr>
              <w:jc w:val="center"/>
              <w:rPr>
                <w:rFonts w:ascii="Times New Roman"/>
                <w:sz w:val="21"/>
                <w:szCs w:val="21"/>
              </w:rPr>
            </w:pPr>
            <w:r>
              <w:rPr>
                <w:rFonts w:hint="eastAsia" w:ascii="Times New Roman"/>
                <w:sz w:val="21"/>
                <w:szCs w:val="21"/>
              </w:rPr>
              <w:t>0.2901</w:t>
            </w:r>
          </w:p>
        </w:tc>
        <w:tc>
          <w:tcPr>
            <w:tcW w:w="1231" w:type="dxa"/>
            <w:vAlign w:val="center"/>
          </w:tcPr>
          <w:p w14:paraId="4C365A94">
            <w:pPr>
              <w:jc w:val="center"/>
              <w:rPr>
                <w:rFonts w:ascii="Times New Roman"/>
                <w:sz w:val="21"/>
                <w:szCs w:val="21"/>
              </w:rPr>
            </w:pPr>
            <w:r>
              <w:rPr>
                <w:rFonts w:hint="eastAsia" w:ascii="Times New Roman"/>
                <w:sz w:val="21"/>
                <w:szCs w:val="21"/>
              </w:rPr>
              <w:t>0.03</w:t>
            </w:r>
          </w:p>
        </w:tc>
      </w:tr>
      <w:tr w14:paraId="7314885C">
        <w:tblPrEx>
          <w:tblCellMar>
            <w:top w:w="0" w:type="dxa"/>
            <w:left w:w="108" w:type="dxa"/>
            <w:bottom w:w="0" w:type="dxa"/>
            <w:right w:w="108" w:type="dxa"/>
          </w:tblCellMar>
        </w:tblPrEx>
        <w:trPr>
          <w:trHeight w:val="116" w:hRule="atLeast"/>
        </w:trPr>
        <w:tc>
          <w:tcPr>
            <w:tcW w:w="2875" w:type="dxa"/>
            <w:vAlign w:val="center"/>
          </w:tcPr>
          <w:p w14:paraId="65F35739">
            <w:pPr>
              <w:jc w:val="center"/>
              <w:rPr>
                <w:rFonts w:ascii="Times New Roman"/>
                <w:sz w:val="21"/>
                <w:szCs w:val="21"/>
              </w:rPr>
            </w:pPr>
            <w:r>
              <w:rPr>
                <w:rFonts w:ascii="Times New Roman"/>
                <w:sz w:val="21"/>
                <w:szCs w:val="21"/>
              </w:rPr>
              <w:t>11000.0</w:t>
            </w:r>
          </w:p>
        </w:tc>
        <w:tc>
          <w:tcPr>
            <w:tcW w:w="1616" w:type="dxa"/>
            <w:vAlign w:val="center"/>
          </w:tcPr>
          <w:p w14:paraId="6074EED7">
            <w:pPr>
              <w:jc w:val="center"/>
              <w:rPr>
                <w:rFonts w:ascii="Times New Roman"/>
                <w:sz w:val="21"/>
                <w:szCs w:val="21"/>
              </w:rPr>
            </w:pPr>
            <w:r>
              <w:rPr>
                <w:rFonts w:hint="eastAsia" w:ascii="Times New Roman"/>
                <w:sz w:val="21"/>
                <w:szCs w:val="21"/>
              </w:rPr>
              <w:t>0.0003</w:t>
            </w:r>
          </w:p>
        </w:tc>
        <w:tc>
          <w:tcPr>
            <w:tcW w:w="1400" w:type="dxa"/>
            <w:vAlign w:val="center"/>
          </w:tcPr>
          <w:p w14:paraId="58F0AECD">
            <w:pPr>
              <w:jc w:val="center"/>
              <w:rPr>
                <w:rFonts w:ascii="Times New Roman"/>
                <w:sz w:val="21"/>
                <w:szCs w:val="21"/>
              </w:rPr>
            </w:pPr>
            <w:r>
              <w:rPr>
                <w:rFonts w:hint="eastAsia" w:ascii="Times New Roman"/>
                <w:sz w:val="21"/>
                <w:szCs w:val="21"/>
              </w:rPr>
              <w:t>0</w:t>
            </w:r>
          </w:p>
        </w:tc>
        <w:tc>
          <w:tcPr>
            <w:tcW w:w="1397" w:type="dxa"/>
            <w:vAlign w:val="center"/>
          </w:tcPr>
          <w:p w14:paraId="58703E11">
            <w:pPr>
              <w:jc w:val="center"/>
              <w:rPr>
                <w:rFonts w:ascii="Times New Roman"/>
                <w:sz w:val="21"/>
                <w:szCs w:val="21"/>
              </w:rPr>
            </w:pPr>
            <w:r>
              <w:rPr>
                <w:rFonts w:hint="eastAsia" w:ascii="Times New Roman"/>
                <w:sz w:val="21"/>
                <w:szCs w:val="21"/>
              </w:rPr>
              <w:t>0.2555</w:t>
            </w:r>
          </w:p>
        </w:tc>
        <w:tc>
          <w:tcPr>
            <w:tcW w:w="1231" w:type="dxa"/>
            <w:vAlign w:val="center"/>
          </w:tcPr>
          <w:p w14:paraId="71354AF5">
            <w:pPr>
              <w:jc w:val="center"/>
              <w:rPr>
                <w:rFonts w:ascii="Times New Roman"/>
                <w:sz w:val="21"/>
                <w:szCs w:val="21"/>
              </w:rPr>
            </w:pPr>
            <w:r>
              <w:rPr>
                <w:rFonts w:hint="eastAsia" w:ascii="Times New Roman"/>
                <w:sz w:val="21"/>
                <w:szCs w:val="21"/>
              </w:rPr>
              <w:t>0.03</w:t>
            </w:r>
          </w:p>
        </w:tc>
      </w:tr>
      <w:tr w14:paraId="6A8AB4DF">
        <w:tblPrEx>
          <w:tblCellMar>
            <w:top w:w="0" w:type="dxa"/>
            <w:left w:w="108" w:type="dxa"/>
            <w:bottom w:w="0" w:type="dxa"/>
            <w:right w:w="108" w:type="dxa"/>
          </w:tblCellMar>
        </w:tblPrEx>
        <w:trPr>
          <w:trHeight w:val="116" w:hRule="atLeast"/>
        </w:trPr>
        <w:tc>
          <w:tcPr>
            <w:tcW w:w="2875" w:type="dxa"/>
            <w:vAlign w:val="center"/>
          </w:tcPr>
          <w:p w14:paraId="2136E006">
            <w:pPr>
              <w:jc w:val="center"/>
              <w:rPr>
                <w:rFonts w:ascii="Times New Roman"/>
                <w:sz w:val="21"/>
                <w:szCs w:val="21"/>
              </w:rPr>
            </w:pPr>
            <w:r>
              <w:rPr>
                <w:rFonts w:ascii="Times New Roman"/>
                <w:sz w:val="21"/>
                <w:szCs w:val="21"/>
              </w:rPr>
              <w:t>12000.0</w:t>
            </w:r>
          </w:p>
        </w:tc>
        <w:tc>
          <w:tcPr>
            <w:tcW w:w="1616" w:type="dxa"/>
            <w:vAlign w:val="center"/>
          </w:tcPr>
          <w:p w14:paraId="51AE561C">
            <w:pPr>
              <w:jc w:val="center"/>
              <w:rPr>
                <w:rFonts w:ascii="Times New Roman"/>
                <w:sz w:val="21"/>
                <w:szCs w:val="21"/>
              </w:rPr>
            </w:pPr>
            <w:r>
              <w:rPr>
                <w:rFonts w:hint="eastAsia" w:ascii="Times New Roman"/>
                <w:sz w:val="21"/>
                <w:szCs w:val="21"/>
              </w:rPr>
              <w:t>0.0003</w:t>
            </w:r>
          </w:p>
        </w:tc>
        <w:tc>
          <w:tcPr>
            <w:tcW w:w="1400" w:type="dxa"/>
            <w:vAlign w:val="center"/>
          </w:tcPr>
          <w:p w14:paraId="5D6C8B09">
            <w:pPr>
              <w:jc w:val="center"/>
              <w:rPr>
                <w:rFonts w:ascii="Times New Roman"/>
                <w:sz w:val="21"/>
                <w:szCs w:val="21"/>
              </w:rPr>
            </w:pPr>
            <w:r>
              <w:rPr>
                <w:rFonts w:hint="eastAsia" w:ascii="Times New Roman"/>
                <w:sz w:val="21"/>
                <w:szCs w:val="21"/>
              </w:rPr>
              <w:t>0</w:t>
            </w:r>
          </w:p>
        </w:tc>
        <w:tc>
          <w:tcPr>
            <w:tcW w:w="1397" w:type="dxa"/>
            <w:vAlign w:val="center"/>
          </w:tcPr>
          <w:p w14:paraId="5BFAEFD7">
            <w:pPr>
              <w:jc w:val="center"/>
              <w:rPr>
                <w:rFonts w:ascii="Times New Roman"/>
                <w:sz w:val="21"/>
                <w:szCs w:val="21"/>
              </w:rPr>
            </w:pPr>
            <w:r>
              <w:rPr>
                <w:rFonts w:hint="eastAsia" w:ascii="Times New Roman"/>
                <w:sz w:val="21"/>
                <w:szCs w:val="21"/>
              </w:rPr>
              <w:t>0.2275</w:t>
            </w:r>
          </w:p>
        </w:tc>
        <w:tc>
          <w:tcPr>
            <w:tcW w:w="1231" w:type="dxa"/>
            <w:vAlign w:val="center"/>
          </w:tcPr>
          <w:p w14:paraId="108B52C0">
            <w:pPr>
              <w:jc w:val="center"/>
              <w:rPr>
                <w:rFonts w:ascii="Times New Roman"/>
                <w:sz w:val="21"/>
                <w:szCs w:val="21"/>
              </w:rPr>
            </w:pPr>
            <w:r>
              <w:rPr>
                <w:rFonts w:hint="eastAsia" w:ascii="Times New Roman"/>
                <w:sz w:val="21"/>
                <w:szCs w:val="21"/>
              </w:rPr>
              <w:t>0.03</w:t>
            </w:r>
          </w:p>
        </w:tc>
      </w:tr>
      <w:tr w14:paraId="1E8781D4">
        <w:tblPrEx>
          <w:tblCellMar>
            <w:top w:w="0" w:type="dxa"/>
            <w:left w:w="108" w:type="dxa"/>
            <w:bottom w:w="0" w:type="dxa"/>
            <w:right w:w="108" w:type="dxa"/>
          </w:tblCellMar>
        </w:tblPrEx>
        <w:trPr>
          <w:trHeight w:val="116" w:hRule="atLeast"/>
        </w:trPr>
        <w:tc>
          <w:tcPr>
            <w:tcW w:w="2875" w:type="dxa"/>
            <w:vAlign w:val="center"/>
          </w:tcPr>
          <w:p w14:paraId="38C326BD">
            <w:pPr>
              <w:jc w:val="center"/>
              <w:rPr>
                <w:rFonts w:ascii="Times New Roman"/>
                <w:sz w:val="21"/>
                <w:szCs w:val="21"/>
              </w:rPr>
            </w:pPr>
            <w:r>
              <w:rPr>
                <w:rFonts w:ascii="Times New Roman"/>
                <w:sz w:val="21"/>
                <w:szCs w:val="21"/>
              </w:rPr>
              <w:t>13000.0</w:t>
            </w:r>
          </w:p>
        </w:tc>
        <w:tc>
          <w:tcPr>
            <w:tcW w:w="1616" w:type="dxa"/>
            <w:vAlign w:val="center"/>
          </w:tcPr>
          <w:p w14:paraId="00F70A8A">
            <w:pPr>
              <w:jc w:val="center"/>
              <w:rPr>
                <w:rFonts w:ascii="Times New Roman"/>
                <w:sz w:val="21"/>
                <w:szCs w:val="21"/>
              </w:rPr>
            </w:pPr>
            <w:r>
              <w:rPr>
                <w:rFonts w:hint="eastAsia" w:ascii="Times New Roman"/>
                <w:sz w:val="21"/>
                <w:szCs w:val="21"/>
              </w:rPr>
              <w:t>0.0003</w:t>
            </w:r>
          </w:p>
        </w:tc>
        <w:tc>
          <w:tcPr>
            <w:tcW w:w="1400" w:type="dxa"/>
            <w:vAlign w:val="center"/>
          </w:tcPr>
          <w:p w14:paraId="79A41219">
            <w:pPr>
              <w:jc w:val="center"/>
              <w:rPr>
                <w:rFonts w:ascii="Times New Roman"/>
                <w:sz w:val="21"/>
                <w:szCs w:val="21"/>
              </w:rPr>
            </w:pPr>
            <w:r>
              <w:rPr>
                <w:rFonts w:hint="eastAsia" w:ascii="Times New Roman"/>
                <w:sz w:val="21"/>
                <w:szCs w:val="21"/>
              </w:rPr>
              <w:t>0</w:t>
            </w:r>
          </w:p>
        </w:tc>
        <w:tc>
          <w:tcPr>
            <w:tcW w:w="1397" w:type="dxa"/>
            <w:vAlign w:val="center"/>
          </w:tcPr>
          <w:p w14:paraId="643F819F">
            <w:pPr>
              <w:jc w:val="center"/>
              <w:rPr>
                <w:rFonts w:ascii="Times New Roman"/>
                <w:sz w:val="21"/>
                <w:szCs w:val="21"/>
              </w:rPr>
            </w:pPr>
            <w:r>
              <w:rPr>
                <w:rFonts w:hint="eastAsia" w:ascii="Times New Roman"/>
                <w:sz w:val="21"/>
                <w:szCs w:val="21"/>
              </w:rPr>
              <w:t>0.2045</w:t>
            </w:r>
          </w:p>
        </w:tc>
        <w:tc>
          <w:tcPr>
            <w:tcW w:w="1231" w:type="dxa"/>
            <w:vAlign w:val="center"/>
          </w:tcPr>
          <w:p w14:paraId="1F1910D3">
            <w:pPr>
              <w:jc w:val="center"/>
              <w:rPr>
                <w:rFonts w:ascii="Times New Roman"/>
                <w:sz w:val="21"/>
                <w:szCs w:val="21"/>
              </w:rPr>
            </w:pPr>
            <w:r>
              <w:rPr>
                <w:rFonts w:hint="eastAsia" w:ascii="Times New Roman"/>
                <w:sz w:val="21"/>
                <w:szCs w:val="21"/>
              </w:rPr>
              <w:t>0.02</w:t>
            </w:r>
          </w:p>
        </w:tc>
      </w:tr>
      <w:tr w14:paraId="034C8F86">
        <w:tblPrEx>
          <w:tblCellMar>
            <w:top w:w="0" w:type="dxa"/>
            <w:left w:w="108" w:type="dxa"/>
            <w:bottom w:w="0" w:type="dxa"/>
            <w:right w:w="108" w:type="dxa"/>
          </w:tblCellMar>
        </w:tblPrEx>
        <w:trPr>
          <w:trHeight w:val="116" w:hRule="atLeast"/>
        </w:trPr>
        <w:tc>
          <w:tcPr>
            <w:tcW w:w="2875" w:type="dxa"/>
            <w:vAlign w:val="center"/>
          </w:tcPr>
          <w:p w14:paraId="1F87A924">
            <w:pPr>
              <w:jc w:val="center"/>
              <w:rPr>
                <w:rFonts w:ascii="Times New Roman"/>
                <w:sz w:val="21"/>
                <w:szCs w:val="21"/>
              </w:rPr>
            </w:pPr>
            <w:r>
              <w:rPr>
                <w:rFonts w:ascii="Times New Roman"/>
                <w:sz w:val="21"/>
                <w:szCs w:val="21"/>
              </w:rPr>
              <w:t>14000.0</w:t>
            </w:r>
          </w:p>
        </w:tc>
        <w:tc>
          <w:tcPr>
            <w:tcW w:w="1616" w:type="dxa"/>
            <w:vAlign w:val="center"/>
          </w:tcPr>
          <w:p w14:paraId="2CD33233">
            <w:pPr>
              <w:jc w:val="center"/>
              <w:rPr>
                <w:rFonts w:ascii="Times New Roman"/>
                <w:sz w:val="21"/>
                <w:szCs w:val="21"/>
              </w:rPr>
            </w:pPr>
            <w:r>
              <w:rPr>
                <w:rFonts w:hint="eastAsia" w:ascii="Times New Roman"/>
                <w:sz w:val="21"/>
                <w:szCs w:val="21"/>
              </w:rPr>
              <w:t>0.0003</w:t>
            </w:r>
          </w:p>
        </w:tc>
        <w:tc>
          <w:tcPr>
            <w:tcW w:w="1400" w:type="dxa"/>
            <w:vAlign w:val="center"/>
          </w:tcPr>
          <w:p w14:paraId="0DFF62F9">
            <w:pPr>
              <w:jc w:val="center"/>
              <w:rPr>
                <w:rFonts w:ascii="Times New Roman"/>
                <w:sz w:val="21"/>
                <w:szCs w:val="21"/>
              </w:rPr>
            </w:pPr>
            <w:r>
              <w:rPr>
                <w:rFonts w:hint="eastAsia" w:ascii="Times New Roman"/>
                <w:sz w:val="21"/>
                <w:szCs w:val="21"/>
              </w:rPr>
              <w:t>0</w:t>
            </w:r>
          </w:p>
        </w:tc>
        <w:tc>
          <w:tcPr>
            <w:tcW w:w="1397" w:type="dxa"/>
            <w:vAlign w:val="center"/>
          </w:tcPr>
          <w:p w14:paraId="42400248">
            <w:pPr>
              <w:jc w:val="center"/>
              <w:rPr>
                <w:rFonts w:ascii="Times New Roman"/>
                <w:sz w:val="21"/>
                <w:szCs w:val="21"/>
              </w:rPr>
            </w:pPr>
            <w:r>
              <w:rPr>
                <w:rFonts w:hint="eastAsia" w:ascii="Times New Roman"/>
                <w:sz w:val="21"/>
                <w:szCs w:val="21"/>
              </w:rPr>
              <w:t>0.1852</w:t>
            </w:r>
          </w:p>
        </w:tc>
        <w:tc>
          <w:tcPr>
            <w:tcW w:w="1231" w:type="dxa"/>
            <w:vAlign w:val="center"/>
          </w:tcPr>
          <w:p w14:paraId="01118CAB">
            <w:pPr>
              <w:jc w:val="center"/>
              <w:rPr>
                <w:rFonts w:ascii="Times New Roman"/>
                <w:sz w:val="21"/>
                <w:szCs w:val="21"/>
              </w:rPr>
            </w:pPr>
            <w:r>
              <w:rPr>
                <w:rFonts w:hint="eastAsia" w:ascii="Times New Roman"/>
                <w:sz w:val="21"/>
                <w:szCs w:val="21"/>
              </w:rPr>
              <w:t>0.02</w:t>
            </w:r>
          </w:p>
        </w:tc>
      </w:tr>
      <w:tr w14:paraId="2A690D40">
        <w:tblPrEx>
          <w:tblCellMar>
            <w:top w:w="0" w:type="dxa"/>
            <w:left w:w="108" w:type="dxa"/>
            <w:bottom w:w="0" w:type="dxa"/>
            <w:right w:w="108" w:type="dxa"/>
          </w:tblCellMar>
        </w:tblPrEx>
        <w:trPr>
          <w:trHeight w:val="116" w:hRule="atLeast"/>
        </w:trPr>
        <w:tc>
          <w:tcPr>
            <w:tcW w:w="2875" w:type="dxa"/>
            <w:vAlign w:val="center"/>
          </w:tcPr>
          <w:p w14:paraId="61C4F8BA">
            <w:pPr>
              <w:jc w:val="center"/>
              <w:rPr>
                <w:rFonts w:ascii="Times New Roman"/>
                <w:sz w:val="21"/>
                <w:szCs w:val="21"/>
              </w:rPr>
            </w:pPr>
            <w:r>
              <w:rPr>
                <w:rFonts w:ascii="Times New Roman"/>
                <w:sz w:val="21"/>
                <w:szCs w:val="21"/>
              </w:rPr>
              <w:t>15000.0</w:t>
            </w:r>
          </w:p>
        </w:tc>
        <w:tc>
          <w:tcPr>
            <w:tcW w:w="1616" w:type="dxa"/>
            <w:vAlign w:val="center"/>
          </w:tcPr>
          <w:p w14:paraId="0F701848">
            <w:pPr>
              <w:jc w:val="center"/>
              <w:rPr>
                <w:rFonts w:ascii="Times New Roman"/>
                <w:sz w:val="21"/>
                <w:szCs w:val="21"/>
              </w:rPr>
            </w:pPr>
            <w:r>
              <w:rPr>
                <w:rFonts w:hint="eastAsia" w:ascii="Times New Roman"/>
                <w:sz w:val="21"/>
                <w:szCs w:val="21"/>
              </w:rPr>
              <w:t>0.0002</w:t>
            </w:r>
          </w:p>
        </w:tc>
        <w:tc>
          <w:tcPr>
            <w:tcW w:w="1400" w:type="dxa"/>
            <w:vAlign w:val="center"/>
          </w:tcPr>
          <w:p w14:paraId="053F84BB">
            <w:pPr>
              <w:jc w:val="center"/>
              <w:rPr>
                <w:rFonts w:ascii="Times New Roman"/>
                <w:sz w:val="21"/>
                <w:szCs w:val="21"/>
              </w:rPr>
            </w:pPr>
            <w:r>
              <w:rPr>
                <w:rFonts w:hint="eastAsia" w:ascii="Times New Roman"/>
                <w:sz w:val="21"/>
                <w:szCs w:val="21"/>
              </w:rPr>
              <w:t>0</w:t>
            </w:r>
          </w:p>
        </w:tc>
        <w:tc>
          <w:tcPr>
            <w:tcW w:w="1397" w:type="dxa"/>
            <w:vAlign w:val="center"/>
          </w:tcPr>
          <w:p w14:paraId="52BC936F">
            <w:pPr>
              <w:jc w:val="center"/>
              <w:rPr>
                <w:rFonts w:ascii="Times New Roman"/>
                <w:sz w:val="21"/>
                <w:szCs w:val="21"/>
              </w:rPr>
            </w:pPr>
            <w:r>
              <w:rPr>
                <w:rFonts w:hint="eastAsia" w:ascii="Times New Roman"/>
                <w:sz w:val="21"/>
                <w:szCs w:val="21"/>
              </w:rPr>
              <w:t>0.1689</w:t>
            </w:r>
          </w:p>
        </w:tc>
        <w:tc>
          <w:tcPr>
            <w:tcW w:w="1231" w:type="dxa"/>
            <w:vAlign w:val="center"/>
          </w:tcPr>
          <w:p w14:paraId="4A45B3B2">
            <w:pPr>
              <w:jc w:val="center"/>
              <w:rPr>
                <w:rFonts w:ascii="Times New Roman"/>
                <w:sz w:val="21"/>
                <w:szCs w:val="21"/>
              </w:rPr>
            </w:pPr>
            <w:r>
              <w:rPr>
                <w:rFonts w:hint="eastAsia" w:ascii="Times New Roman"/>
                <w:sz w:val="21"/>
                <w:szCs w:val="21"/>
              </w:rPr>
              <w:t>0.02</w:t>
            </w:r>
          </w:p>
        </w:tc>
      </w:tr>
      <w:tr w14:paraId="1017996B">
        <w:tblPrEx>
          <w:tblCellMar>
            <w:top w:w="0" w:type="dxa"/>
            <w:left w:w="108" w:type="dxa"/>
            <w:bottom w:w="0" w:type="dxa"/>
            <w:right w:w="108" w:type="dxa"/>
          </w:tblCellMar>
        </w:tblPrEx>
        <w:trPr>
          <w:trHeight w:val="116" w:hRule="atLeast"/>
        </w:trPr>
        <w:tc>
          <w:tcPr>
            <w:tcW w:w="2875" w:type="dxa"/>
            <w:vAlign w:val="center"/>
          </w:tcPr>
          <w:p w14:paraId="3A26AD75">
            <w:pPr>
              <w:jc w:val="center"/>
              <w:rPr>
                <w:rFonts w:ascii="Times New Roman"/>
                <w:sz w:val="21"/>
                <w:szCs w:val="21"/>
              </w:rPr>
            </w:pPr>
            <w:r>
              <w:rPr>
                <w:rFonts w:ascii="Times New Roman"/>
                <w:sz w:val="21"/>
                <w:szCs w:val="21"/>
              </w:rPr>
              <w:t>20000.0</w:t>
            </w:r>
          </w:p>
        </w:tc>
        <w:tc>
          <w:tcPr>
            <w:tcW w:w="1616" w:type="dxa"/>
            <w:vAlign w:val="center"/>
          </w:tcPr>
          <w:p w14:paraId="7A89C5B7">
            <w:pPr>
              <w:jc w:val="center"/>
              <w:rPr>
                <w:rFonts w:ascii="Times New Roman"/>
                <w:sz w:val="21"/>
                <w:szCs w:val="21"/>
              </w:rPr>
            </w:pPr>
            <w:r>
              <w:rPr>
                <w:rFonts w:hint="eastAsia" w:ascii="Times New Roman"/>
                <w:sz w:val="21"/>
                <w:szCs w:val="21"/>
              </w:rPr>
              <w:t>0.0002</w:t>
            </w:r>
          </w:p>
        </w:tc>
        <w:tc>
          <w:tcPr>
            <w:tcW w:w="1400" w:type="dxa"/>
            <w:vAlign w:val="center"/>
          </w:tcPr>
          <w:p w14:paraId="42C1BA9E">
            <w:pPr>
              <w:jc w:val="center"/>
              <w:rPr>
                <w:rFonts w:ascii="Times New Roman"/>
                <w:sz w:val="21"/>
                <w:szCs w:val="21"/>
              </w:rPr>
            </w:pPr>
            <w:r>
              <w:rPr>
                <w:rFonts w:hint="eastAsia" w:ascii="Times New Roman"/>
                <w:sz w:val="21"/>
                <w:szCs w:val="21"/>
              </w:rPr>
              <w:t>0</w:t>
            </w:r>
          </w:p>
        </w:tc>
        <w:tc>
          <w:tcPr>
            <w:tcW w:w="1397" w:type="dxa"/>
            <w:vAlign w:val="center"/>
          </w:tcPr>
          <w:p w14:paraId="40858036">
            <w:pPr>
              <w:jc w:val="center"/>
              <w:rPr>
                <w:rFonts w:ascii="Times New Roman"/>
                <w:sz w:val="21"/>
                <w:szCs w:val="21"/>
              </w:rPr>
            </w:pPr>
            <w:r>
              <w:rPr>
                <w:rFonts w:hint="eastAsia" w:ascii="Times New Roman"/>
                <w:sz w:val="21"/>
                <w:szCs w:val="21"/>
              </w:rPr>
              <w:t>0.1149</w:t>
            </w:r>
          </w:p>
        </w:tc>
        <w:tc>
          <w:tcPr>
            <w:tcW w:w="1231" w:type="dxa"/>
            <w:vAlign w:val="center"/>
          </w:tcPr>
          <w:p w14:paraId="11058D03">
            <w:pPr>
              <w:jc w:val="center"/>
              <w:rPr>
                <w:rFonts w:ascii="Times New Roman"/>
                <w:sz w:val="21"/>
                <w:szCs w:val="21"/>
              </w:rPr>
            </w:pPr>
            <w:r>
              <w:rPr>
                <w:rFonts w:hint="eastAsia" w:ascii="Times New Roman"/>
                <w:sz w:val="21"/>
                <w:szCs w:val="21"/>
              </w:rPr>
              <w:t>0.01</w:t>
            </w:r>
          </w:p>
        </w:tc>
      </w:tr>
      <w:tr w14:paraId="36BBA5F8">
        <w:tblPrEx>
          <w:tblCellMar>
            <w:top w:w="0" w:type="dxa"/>
            <w:left w:w="108" w:type="dxa"/>
            <w:bottom w:w="0" w:type="dxa"/>
            <w:right w:w="108" w:type="dxa"/>
          </w:tblCellMar>
        </w:tblPrEx>
        <w:trPr>
          <w:trHeight w:val="116" w:hRule="atLeast"/>
        </w:trPr>
        <w:tc>
          <w:tcPr>
            <w:tcW w:w="2875" w:type="dxa"/>
            <w:vAlign w:val="center"/>
          </w:tcPr>
          <w:p w14:paraId="6C06C755">
            <w:pPr>
              <w:jc w:val="center"/>
              <w:rPr>
                <w:rFonts w:ascii="Times New Roman"/>
                <w:sz w:val="21"/>
                <w:szCs w:val="21"/>
              </w:rPr>
            </w:pPr>
            <w:r>
              <w:rPr>
                <w:rFonts w:ascii="Times New Roman"/>
                <w:sz w:val="21"/>
                <w:szCs w:val="21"/>
              </w:rPr>
              <w:t>25000.0</w:t>
            </w:r>
          </w:p>
        </w:tc>
        <w:tc>
          <w:tcPr>
            <w:tcW w:w="1616" w:type="dxa"/>
            <w:vAlign w:val="center"/>
          </w:tcPr>
          <w:p w14:paraId="1B295150">
            <w:pPr>
              <w:jc w:val="center"/>
              <w:rPr>
                <w:rFonts w:ascii="Times New Roman"/>
                <w:sz w:val="21"/>
                <w:szCs w:val="21"/>
              </w:rPr>
            </w:pPr>
            <w:r>
              <w:rPr>
                <w:rFonts w:hint="eastAsia" w:ascii="Times New Roman"/>
                <w:sz w:val="21"/>
                <w:szCs w:val="21"/>
              </w:rPr>
              <w:t>0.0001</w:t>
            </w:r>
          </w:p>
        </w:tc>
        <w:tc>
          <w:tcPr>
            <w:tcW w:w="1400" w:type="dxa"/>
            <w:vAlign w:val="center"/>
          </w:tcPr>
          <w:p w14:paraId="41CC5785">
            <w:pPr>
              <w:jc w:val="center"/>
              <w:rPr>
                <w:rFonts w:ascii="Times New Roman"/>
                <w:sz w:val="21"/>
                <w:szCs w:val="21"/>
              </w:rPr>
            </w:pPr>
            <w:r>
              <w:rPr>
                <w:rFonts w:hint="eastAsia" w:ascii="Times New Roman"/>
                <w:sz w:val="21"/>
                <w:szCs w:val="21"/>
              </w:rPr>
              <w:t>0</w:t>
            </w:r>
          </w:p>
        </w:tc>
        <w:tc>
          <w:tcPr>
            <w:tcW w:w="1397" w:type="dxa"/>
            <w:vAlign w:val="center"/>
          </w:tcPr>
          <w:p w14:paraId="311E5795">
            <w:pPr>
              <w:jc w:val="center"/>
              <w:rPr>
                <w:rFonts w:ascii="Times New Roman"/>
                <w:sz w:val="21"/>
                <w:szCs w:val="21"/>
              </w:rPr>
            </w:pPr>
            <w:r>
              <w:rPr>
                <w:rFonts w:hint="eastAsia" w:ascii="Times New Roman"/>
                <w:sz w:val="21"/>
                <w:szCs w:val="21"/>
              </w:rPr>
              <w:t>0.0852</w:t>
            </w:r>
          </w:p>
        </w:tc>
        <w:tc>
          <w:tcPr>
            <w:tcW w:w="1231" w:type="dxa"/>
            <w:vAlign w:val="center"/>
          </w:tcPr>
          <w:p w14:paraId="161B7E56">
            <w:pPr>
              <w:jc w:val="center"/>
              <w:rPr>
                <w:rFonts w:ascii="Times New Roman"/>
                <w:sz w:val="21"/>
                <w:szCs w:val="21"/>
              </w:rPr>
            </w:pPr>
            <w:r>
              <w:rPr>
                <w:rFonts w:hint="eastAsia" w:ascii="Times New Roman"/>
                <w:sz w:val="21"/>
                <w:szCs w:val="21"/>
              </w:rPr>
              <w:t>0.01</w:t>
            </w:r>
          </w:p>
        </w:tc>
      </w:tr>
      <w:tr w14:paraId="1618D214">
        <w:tblPrEx>
          <w:tblCellMar>
            <w:top w:w="0" w:type="dxa"/>
            <w:left w:w="108" w:type="dxa"/>
            <w:bottom w:w="0" w:type="dxa"/>
            <w:right w:w="108" w:type="dxa"/>
          </w:tblCellMar>
        </w:tblPrEx>
        <w:trPr>
          <w:trHeight w:val="116" w:hRule="atLeast"/>
        </w:trPr>
        <w:tc>
          <w:tcPr>
            <w:tcW w:w="2875" w:type="dxa"/>
            <w:vAlign w:val="center"/>
          </w:tcPr>
          <w:p w14:paraId="6DA9C590">
            <w:pPr>
              <w:jc w:val="center"/>
              <w:rPr>
                <w:rFonts w:ascii="Times New Roman"/>
                <w:sz w:val="21"/>
                <w:szCs w:val="21"/>
              </w:rPr>
            </w:pPr>
            <w:r>
              <w:rPr>
                <w:rFonts w:ascii="Times New Roman"/>
                <w:sz w:val="21"/>
                <w:szCs w:val="21"/>
              </w:rPr>
              <w:t>下风向最大浓度</w:t>
            </w:r>
          </w:p>
        </w:tc>
        <w:tc>
          <w:tcPr>
            <w:tcW w:w="1616" w:type="dxa"/>
            <w:vAlign w:val="center"/>
          </w:tcPr>
          <w:p w14:paraId="4E53B201">
            <w:pPr>
              <w:jc w:val="center"/>
              <w:rPr>
                <w:rFonts w:ascii="Times New Roman"/>
                <w:sz w:val="21"/>
                <w:szCs w:val="21"/>
              </w:rPr>
            </w:pPr>
            <w:r>
              <w:rPr>
                <w:rFonts w:hint="eastAsia" w:ascii="Times New Roman"/>
                <w:sz w:val="21"/>
                <w:szCs w:val="21"/>
              </w:rPr>
              <w:t>0.0334</w:t>
            </w:r>
          </w:p>
        </w:tc>
        <w:tc>
          <w:tcPr>
            <w:tcW w:w="1400" w:type="dxa"/>
            <w:vAlign w:val="center"/>
          </w:tcPr>
          <w:p w14:paraId="7C9E985D">
            <w:pPr>
              <w:jc w:val="center"/>
              <w:rPr>
                <w:rFonts w:ascii="Times New Roman"/>
                <w:sz w:val="21"/>
                <w:szCs w:val="21"/>
              </w:rPr>
            </w:pPr>
            <w:r>
              <w:rPr>
                <w:rFonts w:hint="eastAsia" w:ascii="Times New Roman"/>
                <w:sz w:val="21"/>
                <w:szCs w:val="21"/>
              </w:rPr>
              <w:t>0.00</w:t>
            </w:r>
          </w:p>
        </w:tc>
        <w:tc>
          <w:tcPr>
            <w:tcW w:w="1397" w:type="dxa"/>
            <w:vAlign w:val="center"/>
          </w:tcPr>
          <w:p w14:paraId="3CCE758C">
            <w:pPr>
              <w:jc w:val="center"/>
              <w:rPr>
                <w:rFonts w:ascii="Times New Roman"/>
                <w:sz w:val="21"/>
                <w:szCs w:val="21"/>
              </w:rPr>
            </w:pPr>
            <w:r>
              <w:rPr>
                <w:rFonts w:hint="eastAsia" w:ascii="Times New Roman"/>
                <w:sz w:val="21"/>
                <w:szCs w:val="21"/>
              </w:rPr>
              <w:t>24.3720</w:t>
            </w:r>
          </w:p>
        </w:tc>
        <w:tc>
          <w:tcPr>
            <w:tcW w:w="1231" w:type="dxa"/>
            <w:vAlign w:val="center"/>
          </w:tcPr>
          <w:p w14:paraId="5A18889E">
            <w:pPr>
              <w:jc w:val="center"/>
              <w:rPr>
                <w:rFonts w:ascii="Times New Roman"/>
                <w:sz w:val="21"/>
                <w:szCs w:val="21"/>
              </w:rPr>
            </w:pPr>
            <w:r>
              <w:rPr>
                <w:rFonts w:hint="eastAsia" w:ascii="Times New Roman"/>
                <w:sz w:val="21"/>
                <w:szCs w:val="21"/>
              </w:rPr>
              <w:t>2.71</w:t>
            </w:r>
          </w:p>
        </w:tc>
      </w:tr>
      <w:tr w14:paraId="7228A27C">
        <w:tblPrEx>
          <w:tblCellMar>
            <w:top w:w="0" w:type="dxa"/>
            <w:left w:w="108" w:type="dxa"/>
            <w:bottom w:w="0" w:type="dxa"/>
            <w:right w:w="108" w:type="dxa"/>
          </w:tblCellMar>
        </w:tblPrEx>
        <w:trPr>
          <w:trHeight w:val="116" w:hRule="atLeast"/>
        </w:trPr>
        <w:tc>
          <w:tcPr>
            <w:tcW w:w="2875" w:type="dxa"/>
            <w:vAlign w:val="center"/>
          </w:tcPr>
          <w:p w14:paraId="69333F3E">
            <w:pPr>
              <w:jc w:val="center"/>
              <w:rPr>
                <w:rFonts w:ascii="Times New Roman"/>
                <w:sz w:val="21"/>
                <w:szCs w:val="21"/>
              </w:rPr>
            </w:pPr>
            <w:r>
              <w:rPr>
                <w:rFonts w:ascii="Times New Roman"/>
                <w:sz w:val="21"/>
                <w:szCs w:val="21"/>
              </w:rPr>
              <w:t>下风向最大浓度出现距离</w:t>
            </w:r>
          </w:p>
        </w:tc>
        <w:tc>
          <w:tcPr>
            <w:tcW w:w="1616" w:type="dxa"/>
            <w:vAlign w:val="center"/>
          </w:tcPr>
          <w:p w14:paraId="4B643927">
            <w:pPr>
              <w:jc w:val="center"/>
              <w:rPr>
                <w:rFonts w:ascii="Times New Roman"/>
                <w:sz w:val="21"/>
                <w:szCs w:val="21"/>
              </w:rPr>
            </w:pPr>
            <w:r>
              <w:rPr>
                <w:rFonts w:hint="eastAsia" w:ascii="Times New Roman"/>
                <w:sz w:val="21"/>
                <w:szCs w:val="21"/>
              </w:rPr>
              <w:t>96</w:t>
            </w:r>
            <w:r>
              <w:rPr>
                <w:rFonts w:ascii="Times New Roman"/>
                <w:sz w:val="21"/>
                <w:szCs w:val="21"/>
              </w:rPr>
              <w:t>.0</w:t>
            </w:r>
          </w:p>
        </w:tc>
        <w:tc>
          <w:tcPr>
            <w:tcW w:w="1400" w:type="dxa"/>
            <w:vAlign w:val="center"/>
          </w:tcPr>
          <w:p w14:paraId="497CA3B1">
            <w:pPr>
              <w:jc w:val="center"/>
              <w:rPr>
                <w:rFonts w:ascii="Times New Roman"/>
                <w:sz w:val="21"/>
                <w:szCs w:val="21"/>
              </w:rPr>
            </w:pPr>
            <w:r>
              <w:rPr>
                <w:rFonts w:hint="eastAsia" w:ascii="Times New Roman"/>
                <w:sz w:val="21"/>
                <w:szCs w:val="21"/>
              </w:rPr>
              <w:t>96</w:t>
            </w:r>
            <w:r>
              <w:rPr>
                <w:rFonts w:ascii="Times New Roman"/>
                <w:sz w:val="21"/>
                <w:szCs w:val="21"/>
              </w:rPr>
              <w:t>.0</w:t>
            </w:r>
          </w:p>
        </w:tc>
        <w:tc>
          <w:tcPr>
            <w:tcW w:w="1397" w:type="dxa"/>
            <w:vAlign w:val="center"/>
          </w:tcPr>
          <w:p w14:paraId="268D98EC">
            <w:pPr>
              <w:jc w:val="center"/>
              <w:rPr>
                <w:rFonts w:ascii="Times New Roman"/>
                <w:sz w:val="21"/>
                <w:szCs w:val="21"/>
              </w:rPr>
            </w:pPr>
            <w:r>
              <w:rPr>
                <w:rFonts w:hint="eastAsia" w:ascii="Times New Roman"/>
                <w:sz w:val="21"/>
                <w:szCs w:val="21"/>
              </w:rPr>
              <w:t>96</w:t>
            </w:r>
            <w:r>
              <w:rPr>
                <w:rFonts w:ascii="Times New Roman"/>
                <w:sz w:val="21"/>
                <w:szCs w:val="21"/>
              </w:rPr>
              <w:t>.0</w:t>
            </w:r>
          </w:p>
        </w:tc>
        <w:tc>
          <w:tcPr>
            <w:tcW w:w="1231" w:type="dxa"/>
            <w:vAlign w:val="center"/>
          </w:tcPr>
          <w:p w14:paraId="5129A86E">
            <w:pPr>
              <w:jc w:val="center"/>
              <w:rPr>
                <w:rFonts w:ascii="Times New Roman"/>
                <w:sz w:val="21"/>
                <w:szCs w:val="21"/>
              </w:rPr>
            </w:pPr>
            <w:r>
              <w:rPr>
                <w:rFonts w:hint="eastAsia" w:ascii="Times New Roman"/>
                <w:sz w:val="21"/>
                <w:szCs w:val="21"/>
              </w:rPr>
              <w:t>96</w:t>
            </w:r>
            <w:r>
              <w:rPr>
                <w:rFonts w:ascii="Times New Roman"/>
                <w:sz w:val="21"/>
                <w:szCs w:val="21"/>
              </w:rPr>
              <w:t>.0</w:t>
            </w:r>
          </w:p>
        </w:tc>
      </w:tr>
      <w:tr w14:paraId="02E6D21F">
        <w:tblPrEx>
          <w:tblCellMar>
            <w:top w:w="0" w:type="dxa"/>
            <w:left w:w="108" w:type="dxa"/>
            <w:bottom w:w="0" w:type="dxa"/>
            <w:right w:w="108" w:type="dxa"/>
          </w:tblCellMar>
        </w:tblPrEx>
        <w:trPr>
          <w:trHeight w:val="117" w:hRule="atLeast"/>
        </w:trPr>
        <w:tc>
          <w:tcPr>
            <w:tcW w:w="2875" w:type="dxa"/>
            <w:vAlign w:val="center"/>
          </w:tcPr>
          <w:p w14:paraId="37F56FA5">
            <w:pPr>
              <w:jc w:val="center"/>
              <w:rPr>
                <w:rFonts w:ascii="Times New Roman"/>
                <w:sz w:val="21"/>
                <w:szCs w:val="21"/>
              </w:rPr>
            </w:pPr>
            <w:r>
              <w:rPr>
                <w:rFonts w:ascii="Times New Roman"/>
                <w:sz w:val="21"/>
                <w:szCs w:val="21"/>
              </w:rPr>
              <w:t>D10%最远距离</w:t>
            </w:r>
          </w:p>
        </w:tc>
        <w:tc>
          <w:tcPr>
            <w:tcW w:w="1616" w:type="dxa"/>
            <w:vAlign w:val="center"/>
          </w:tcPr>
          <w:p w14:paraId="642EE8C3">
            <w:pPr>
              <w:jc w:val="center"/>
              <w:rPr>
                <w:rFonts w:ascii="Times New Roman"/>
                <w:sz w:val="21"/>
                <w:szCs w:val="21"/>
              </w:rPr>
            </w:pPr>
            <w:r>
              <w:rPr>
                <w:rFonts w:ascii="Times New Roman"/>
                <w:sz w:val="21"/>
                <w:szCs w:val="21"/>
              </w:rPr>
              <w:t>/</w:t>
            </w:r>
          </w:p>
        </w:tc>
        <w:tc>
          <w:tcPr>
            <w:tcW w:w="1400" w:type="dxa"/>
            <w:vAlign w:val="center"/>
          </w:tcPr>
          <w:p w14:paraId="6CD6E9EB">
            <w:pPr>
              <w:jc w:val="center"/>
              <w:rPr>
                <w:rFonts w:ascii="Times New Roman"/>
                <w:sz w:val="21"/>
                <w:szCs w:val="21"/>
              </w:rPr>
            </w:pPr>
            <w:r>
              <w:rPr>
                <w:rFonts w:ascii="Times New Roman"/>
                <w:sz w:val="21"/>
                <w:szCs w:val="21"/>
              </w:rPr>
              <w:t>/</w:t>
            </w:r>
          </w:p>
        </w:tc>
        <w:tc>
          <w:tcPr>
            <w:tcW w:w="1397" w:type="dxa"/>
            <w:vAlign w:val="center"/>
          </w:tcPr>
          <w:p w14:paraId="35139361">
            <w:pPr>
              <w:jc w:val="center"/>
              <w:rPr>
                <w:rFonts w:ascii="Times New Roman"/>
                <w:sz w:val="21"/>
                <w:szCs w:val="21"/>
              </w:rPr>
            </w:pPr>
            <w:r>
              <w:rPr>
                <w:rFonts w:ascii="Times New Roman"/>
                <w:sz w:val="21"/>
                <w:szCs w:val="21"/>
              </w:rPr>
              <w:t>/</w:t>
            </w:r>
          </w:p>
        </w:tc>
        <w:tc>
          <w:tcPr>
            <w:tcW w:w="1231" w:type="dxa"/>
            <w:vAlign w:val="center"/>
          </w:tcPr>
          <w:p w14:paraId="69AC8406">
            <w:pPr>
              <w:jc w:val="center"/>
              <w:rPr>
                <w:rFonts w:ascii="Times New Roman"/>
                <w:sz w:val="21"/>
                <w:szCs w:val="21"/>
              </w:rPr>
            </w:pPr>
            <w:r>
              <w:rPr>
                <w:rFonts w:ascii="Times New Roman"/>
                <w:sz w:val="21"/>
                <w:szCs w:val="21"/>
              </w:rPr>
              <w:t>/</w:t>
            </w:r>
          </w:p>
        </w:tc>
      </w:tr>
    </w:tbl>
    <w:p w14:paraId="7463DBB2">
      <w:pPr>
        <w:spacing w:line="360" w:lineRule="auto"/>
        <w:jc w:val="center"/>
        <w:rPr>
          <w:rFonts w:ascii="Times New Roman"/>
          <w:b/>
          <w:bCs/>
          <w:sz w:val="24"/>
          <w:szCs w:val="24"/>
        </w:rPr>
      </w:pPr>
      <w:r>
        <w:rPr>
          <w:rFonts w:hint="eastAsia" w:ascii="Times New Roman"/>
          <w:b/>
          <w:bCs/>
          <w:sz w:val="24"/>
          <w:szCs w:val="24"/>
        </w:rPr>
        <w:t>续</w:t>
      </w:r>
      <w:r>
        <w:rPr>
          <w:rFonts w:ascii="Times New Roman"/>
          <w:b/>
          <w:sz w:val="24"/>
          <w:szCs w:val="24"/>
        </w:rPr>
        <w:t>表</w:t>
      </w:r>
      <w:r>
        <w:rPr>
          <w:rFonts w:hint="eastAsia" w:ascii="Times New Roman"/>
          <w:b/>
          <w:sz w:val="24"/>
          <w:szCs w:val="24"/>
        </w:rPr>
        <w:t>5.2.1</w:t>
      </w:r>
      <w:r>
        <w:rPr>
          <w:rFonts w:ascii="Times New Roman"/>
          <w:b/>
          <w:sz w:val="24"/>
          <w:szCs w:val="24"/>
        </w:rPr>
        <w:t>-</w:t>
      </w:r>
      <w:r>
        <w:rPr>
          <w:rFonts w:hint="eastAsia" w:ascii="Times New Roman"/>
          <w:b/>
          <w:sz w:val="24"/>
          <w:szCs w:val="24"/>
        </w:rPr>
        <w:t>5</w:t>
      </w:r>
      <w:r>
        <w:rPr>
          <w:rFonts w:ascii="Times New Roman"/>
          <w:b/>
          <w:sz w:val="24"/>
          <w:szCs w:val="24"/>
        </w:rPr>
        <w:t xml:space="preserve">  </w:t>
      </w:r>
      <w:r>
        <w:rPr>
          <w:rFonts w:hint="eastAsia" w:ascii="Times New Roman"/>
          <w:b/>
          <w:sz w:val="24"/>
          <w:szCs w:val="24"/>
        </w:rPr>
        <w:t>主要污染源预测</w:t>
      </w:r>
      <w:r>
        <w:rPr>
          <w:rFonts w:ascii="Times New Roman"/>
          <w:b/>
          <w:sz w:val="24"/>
          <w:szCs w:val="24"/>
        </w:rPr>
        <w:t>结果一览表</w:t>
      </w:r>
    </w:p>
    <w:tbl>
      <w:tblPr>
        <w:tblStyle w:val="84"/>
        <w:tblW w:w="8519" w:type="dxa"/>
        <w:tblInd w:w="0" w:type="dxa"/>
        <w:tblLayout w:type="autofit"/>
        <w:tblCellMar>
          <w:top w:w="0" w:type="dxa"/>
          <w:left w:w="108" w:type="dxa"/>
          <w:bottom w:w="0" w:type="dxa"/>
          <w:right w:w="108" w:type="dxa"/>
        </w:tblCellMar>
      </w:tblPr>
      <w:tblGrid>
        <w:gridCol w:w="1346"/>
        <w:gridCol w:w="1286"/>
        <w:gridCol w:w="1268"/>
        <w:gridCol w:w="1286"/>
        <w:gridCol w:w="1021"/>
        <w:gridCol w:w="1287"/>
        <w:gridCol w:w="1025"/>
      </w:tblGrid>
      <w:tr w14:paraId="47F72D14">
        <w:tblPrEx>
          <w:tblCellMar>
            <w:top w:w="0" w:type="dxa"/>
            <w:left w:w="108" w:type="dxa"/>
            <w:bottom w:w="0" w:type="dxa"/>
            <w:right w:w="108" w:type="dxa"/>
          </w:tblCellMar>
        </w:tblPrEx>
        <w:trPr>
          <w:trHeight w:val="224" w:hRule="atLeast"/>
        </w:trPr>
        <w:tc>
          <w:tcPr>
            <w:tcW w:w="1346" w:type="dxa"/>
            <w:vMerge w:val="restart"/>
            <w:vAlign w:val="center"/>
          </w:tcPr>
          <w:p w14:paraId="424E91D6">
            <w:pPr>
              <w:jc w:val="center"/>
              <w:rPr>
                <w:rFonts w:ascii="Times New Roman"/>
                <w:sz w:val="21"/>
                <w:szCs w:val="21"/>
              </w:rPr>
            </w:pPr>
            <w:r>
              <w:rPr>
                <w:rFonts w:ascii="Times New Roman"/>
                <w:sz w:val="21"/>
                <w:szCs w:val="21"/>
              </w:rPr>
              <w:t>下风向距离</w:t>
            </w:r>
          </w:p>
        </w:tc>
        <w:tc>
          <w:tcPr>
            <w:tcW w:w="7173" w:type="dxa"/>
            <w:gridSpan w:val="6"/>
            <w:vAlign w:val="center"/>
          </w:tcPr>
          <w:p w14:paraId="33B30771">
            <w:pPr>
              <w:jc w:val="center"/>
              <w:rPr>
                <w:rFonts w:ascii="Times New Roman"/>
                <w:sz w:val="21"/>
                <w:szCs w:val="21"/>
              </w:rPr>
            </w:pPr>
            <w:r>
              <w:rPr>
                <w:rFonts w:ascii="Times New Roman"/>
                <w:kern w:val="0"/>
                <w:sz w:val="21"/>
                <w:szCs w:val="21"/>
              </w:rPr>
              <w:t>联合厂房</w:t>
            </w:r>
            <w:r>
              <w:rPr>
                <w:rFonts w:hint="eastAsia" w:ascii="Times New Roman"/>
                <w:kern w:val="0"/>
                <w:sz w:val="21"/>
                <w:szCs w:val="21"/>
              </w:rPr>
              <w:t>（无组织废气）</w:t>
            </w:r>
          </w:p>
        </w:tc>
      </w:tr>
      <w:tr w14:paraId="64C36D67">
        <w:tblPrEx>
          <w:tblCellMar>
            <w:top w:w="0" w:type="dxa"/>
            <w:left w:w="108" w:type="dxa"/>
            <w:bottom w:w="0" w:type="dxa"/>
            <w:right w:w="108" w:type="dxa"/>
          </w:tblCellMar>
        </w:tblPrEx>
        <w:trPr>
          <w:trHeight w:val="262" w:hRule="atLeast"/>
        </w:trPr>
        <w:tc>
          <w:tcPr>
            <w:tcW w:w="1346" w:type="dxa"/>
            <w:vMerge w:val="continue"/>
            <w:vAlign w:val="center"/>
          </w:tcPr>
          <w:p w14:paraId="398E4C2C">
            <w:pPr>
              <w:jc w:val="center"/>
              <w:rPr>
                <w:rFonts w:ascii="Times New Roman"/>
                <w:sz w:val="21"/>
                <w:szCs w:val="21"/>
              </w:rPr>
            </w:pPr>
          </w:p>
        </w:tc>
        <w:tc>
          <w:tcPr>
            <w:tcW w:w="1286" w:type="dxa"/>
            <w:vAlign w:val="center"/>
          </w:tcPr>
          <w:p w14:paraId="0339E086">
            <w:pPr>
              <w:jc w:val="center"/>
              <w:rPr>
                <w:rFonts w:ascii="Times New Roman"/>
                <w:sz w:val="21"/>
                <w:szCs w:val="21"/>
              </w:rPr>
            </w:pPr>
            <w:r>
              <w:rPr>
                <w:rFonts w:ascii="Times New Roman"/>
                <w:sz w:val="21"/>
                <w:szCs w:val="21"/>
              </w:rPr>
              <w:t>NMHC浓度(μg/m³)</w:t>
            </w:r>
          </w:p>
        </w:tc>
        <w:tc>
          <w:tcPr>
            <w:tcW w:w="1268" w:type="dxa"/>
            <w:vAlign w:val="center"/>
          </w:tcPr>
          <w:p w14:paraId="64A5AE1F">
            <w:pPr>
              <w:jc w:val="center"/>
              <w:rPr>
                <w:rFonts w:ascii="Times New Roman"/>
                <w:sz w:val="21"/>
                <w:szCs w:val="21"/>
              </w:rPr>
            </w:pPr>
            <w:r>
              <w:rPr>
                <w:rFonts w:ascii="Times New Roman"/>
                <w:sz w:val="21"/>
                <w:szCs w:val="21"/>
              </w:rPr>
              <w:t>NMHC占标率(%)</w:t>
            </w:r>
          </w:p>
        </w:tc>
        <w:tc>
          <w:tcPr>
            <w:tcW w:w="1286" w:type="dxa"/>
            <w:vAlign w:val="center"/>
          </w:tcPr>
          <w:p w14:paraId="0C3107F2">
            <w:pPr>
              <w:jc w:val="center"/>
              <w:rPr>
                <w:rFonts w:ascii="Times New Roman"/>
                <w:sz w:val="21"/>
                <w:szCs w:val="21"/>
              </w:rPr>
            </w:pPr>
            <w:r>
              <w:rPr>
                <w:rFonts w:ascii="Times New Roman"/>
                <w:sz w:val="21"/>
                <w:szCs w:val="21"/>
              </w:rPr>
              <w:t>二甲苯浓度(μg/m³)</w:t>
            </w:r>
          </w:p>
        </w:tc>
        <w:tc>
          <w:tcPr>
            <w:tcW w:w="1021" w:type="dxa"/>
            <w:vAlign w:val="center"/>
          </w:tcPr>
          <w:p w14:paraId="4653AB92">
            <w:pPr>
              <w:jc w:val="center"/>
              <w:rPr>
                <w:rFonts w:ascii="Times New Roman"/>
                <w:sz w:val="21"/>
                <w:szCs w:val="21"/>
              </w:rPr>
            </w:pPr>
            <w:r>
              <w:rPr>
                <w:rFonts w:ascii="Times New Roman"/>
                <w:sz w:val="21"/>
                <w:szCs w:val="21"/>
              </w:rPr>
              <w:t>二甲苯占标率(%)</w:t>
            </w:r>
          </w:p>
        </w:tc>
        <w:tc>
          <w:tcPr>
            <w:tcW w:w="1287" w:type="dxa"/>
            <w:vAlign w:val="center"/>
          </w:tcPr>
          <w:p w14:paraId="203301F3">
            <w:pPr>
              <w:jc w:val="center"/>
              <w:rPr>
                <w:rFonts w:ascii="Times New Roman"/>
                <w:sz w:val="21"/>
                <w:szCs w:val="21"/>
              </w:rPr>
            </w:pPr>
            <w:r>
              <w:rPr>
                <w:rFonts w:ascii="Times New Roman"/>
                <w:sz w:val="21"/>
                <w:szCs w:val="21"/>
              </w:rPr>
              <w:t>TSP浓度(μg/m³)</w:t>
            </w:r>
          </w:p>
        </w:tc>
        <w:tc>
          <w:tcPr>
            <w:tcW w:w="1025" w:type="dxa"/>
            <w:vAlign w:val="center"/>
          </w:tcPr>
          <w:p w14:paraId="58737FD2">
            <w:pPr>
              <w:jc w:val="center"/>
              <w:rPr>
                <w:rFonts w:ascii="Times New Roman"/>
                <w:sz w:val="21"/>
                <w:szCs w:val="21"/>
              </w:rPr>
            </w:pPr>
            <w:r>
              <w:rPr>
                <w:rFonts w:ascii="Times New Roman"/>
                <w:sz w:val="21"/>
                <w:szCs w:val="21"/>
              </w:rPr>
              <w:t>TSP占标率(%)</w:t>
            </w:r>
          </w:p>
        </w:tc>
      </w:tr>
      <w:tr w14:paraId="5F09F3E1">
        <w:tblPrEx>
          <w:tblCellMar>
            <w:top w:w="0" w:type="dxa"/>
            <w:left w:w="108" w:type="dxa"/>
            <w:bottom w:w="0" w:type="dxa"/>
            <w:right w:w="108" w:type="dxa"/>
          </w:tblCellMar>
        </w:tblPrEx>
        <w:trPr>
          <w:trHeight w:val="224" w:hRule="atLeast"/>
        </w:trPr>
        <w:tc>
          <w:tcPr>
            <w:tcW w:w="1346" w:type="dxa"/>
            <w:vAlign w:val="center"/>
          </w:tcPr>
          <w:p w14:paraId="69614E43">
            <w:pPr>
              <w:jc w:val="center"/>
              <w:rPr>
                <w:rFonts w:ascii="Times New Roman"/>
                <w:sz w:val="21"/>
                <w:szCs w:val="21"/>
              </w:rPr>
            </w:pPr>
            <w:r>
              <w:rPr>
                <w:rFonts w:ascii="Times New Roman"/>
                <w:sz w:val="21"/>
                <w:szCs w:val="21"/>
              </w:rPr>
              <w:t>50.0</w:t>
            </w:r>
          </w:p>
        </w:tc>
        <w:tc>
          <w:tcPr>
            <w:tcW w:w="1286" w:type="dxa"/>
            <w:vAlign w:val="center"/>
          </w:tcPr>
          <w:p w14:paraId="7CCC4E6C">
            <w:pPr>
              <w:jc w:val="center"/>
              <w:rPr>
                <w:rFonts w:ascii="Times New Roman"/>
                <w:sz w:val="21"/>
                <w:szCs w:val="21"/>
              </w:rPr>
            </w:pPr>
            <w:r>
              <w:rPr>
                <w:rFonts w:hint="eastAsia" w:ascii="Times New Roman"/>
                <w:sz w:val="21"/>
                <w:szCs w:val="21"/>
              </w:rPr>
              <w:t>32.8699</w:t>
            </w:r>
          </w:p>
        </w:tc>
        <w:tc>
          <w:tcPr>
            <w:tcW w:w="1268" w:type="dxa"/>
            <w:vAlign w:val="center"/>
          </w:tcPr>
          <w:p w14:paraId="52BEF47E">
            <w:pPr>
              <w:jc w:val="center"/>
              <w:rPr>
                <w:rFonts w:ascii="Times New Roman"/>
                <w:sz w:val="21"/>
                <w:szCs w:val="21"/>
              </w:rPr>
            </w:pPr>
            <w:r>
              <w:rPr>
                <w:rFonts w:hint="eastAsia" w:ascii="Times New Roman"/>
                <w:sz w:val="21"/>
                <w:szCs w:val="21"/>
              </w:rPr>
              <w:t xml:space="preserve">1.64 </w:t>
            </w:r>
          </w:p>
        </w:tc>
        <w:tc>
          <w:tcPr>
            <w:tcW w:w="1286" w:type="dxa"/>
            <w:vAlign w:val="center"/>
          </w:tcPr>
          <w:p w14:paraId="50A6FA24">
            <w:pPr>
              <w:jc w:val="center"/>
              <w:rPr>
                <w:rFonts w:ascii="Times New Roman"/>
                <w:sz w:val="21"/>
                <w:szCs w:val="21"/>
              </w:rPr>
            </w:pPr>
            <w:r>
              <w:rPr>
                <w:rFonts w:hint="eastAsia" w:ascii="Times New Roman"/>
                <w:sz w:val="21"/>
                <w:szCs w:val="21"/>
              </w:rPr>
              <w:t>9.0979</w:t>
            </w:r>
          </w:p>
        </w:tc>
        <w:tc>
          <w:tcPr>
            <w:tcW w:w="1021" w:type="dxa"/>
            <w:vAlign w:val="center"/>
          </w:tcPr>
          <w:p w14:paraId="2623E798">
            <w:pPr>
              <w:jc w:val="center"/>
              <w:rPr>
                <w:rFonts w:ascii="Times New Roman"/>
                <w:sz w:val="21"/>
                <w:szCs w:val="21"/>
              </w:rPr>
            </w:pPr>
            <w:r>
              <w:rPr>
                <w:rFonts w:hint="eastAsia" w:ascii="Times New Roman"/>
                <w:sz w:val="21"/>
                <w:szCs w:val="21"/>
              </w:rPr>
              <w:t>4.55</w:t>
            </w:r>
          </w:p>
        </w:tc>
        <w:tc>
          <w:tcPr>
            <w:tcW w:w="1287" w:type="dxa"/>
            <w:vAlign w:val="center"/>
          </w:tcPr>
          <w:p w14:paraId="729E9D89">
            <w:pPr>
              <w:jc w:val="center"/>
              <w:rPr>
                <w:rFonts w:ascii="Times New Roman"/>
                <w:sz w:val="21"/>
                <w:szCs w:val="21"/>
              </w:rPr>
            </w:pPr>
            <w:r>
              <w:rPr>
                <w:rFonts w:hint="eastAsia" w:ascii="Times New Roman"/>
                <w:sz w:val="21"/>
                <w:szCs w:val="21"/>
              </w:rPr>
              <w:t>39.033</w:t>
            </w:r>
          </w:p>
        </w:tc>
        <w:tc>
          <w:tcPr>
            <w:tcW w:w="1025" w:type="dxa"/>
            <w:vAlign w:val="center"/>
          </w:tcPr>
          <w:p w14:paraId="41601DDB">
            <w:pPr>
              <w:jc w:val="center"/>
              <w:rPr>
                <w:rFonts w:ascii="Times New Roman"/>
                <w:sz w:val="21"/>
                <w:szCs w:val="21"/>
              </w:rPr>
            </w:pPr>
            <w:r>
              <w:rPr>
                <w:rFonts w:hint="eastAsia" w:ascii="Times New Roman"/>
                <w:sz w:val="21"/>
                <w:szCs w:val="21"/>
              </w:rPr>
              <w:t>4.34</w:t>
            </w:r>
          </w:p>
        </w:tc>
      </w:tr>
      <w:tr w14:paraId="539FA53D">
        <w:tblPrEx>
          <w:tblCellMar>
            <w:top w:w="0" w:type="dxa"/>
            <w:left w:w="108" w:type="dxa"/>
            <w:bottom w:w="0" w:type="dxa"/>
            <w:right w:w="108" w:type="dxa"/>
          </w:tblCellMar>
        </w:tblPrEx>
        <w:trPr>
          <w:trHeight w:val="224" w:hRule="atLeast"/>
        </w:trPr>
        <w:tc>
          <w:tcPr>
            <w:tcW w:w="1346" w:type="dxa"/>
            <w:vAlign w:val="center"/>
          </w:tcPr>
          <w:p w14:paraId="00833CD9">
            <w:pPr>
              <w:jc w:val="center"/>
              <w:rPr>
                <w:rFonts w:ascii="Times New Roman"/>
                <w:sz w:val="21"/>
                <w:szCs w:val="21"/>
              </w:rPr>
            </w:pPr>
            <w:r>
              <w:rPr>
                <w:rFonts w:ascii="Times New Roman"/>
                <w:sz w:val="21"/>
                <w:szCs w:val="21"/>
              </w:rPr>
              <w:t>100.0</w:t>
            </w:r>
          </w:p>
        </w:tc>
        <w:tc>
          <w:tcPr>
            <w:tcW w:w="1286" w:type="dxa"/>
            <w:vAlign w:val="center"/>
          </w:tcPr>
          <w:p w14:paraId="22D10E83">
            <w:pPr>
              <w:jc w:val="center"/>
              <w:rPr>
                <w:rFonts w:ascii="Times New Roman"/>
                <w:sz w:val="21"/>
                <w:szCs w:val="21"/>
              </w:rPr>
            </w:pPr>
            <w:r>
              <w:rPr>
                <w:rFonts w:hint="eastAsia" w:ascii="Times New Roman"/>
                <w:sz w:val="21"/>
                <w:szCs w:val="21"/>
              </w:rPr>
              <w:t>37.2488</w:t>
            </w:r>
          </w:p>
        </w:tc>
        <w:tc>
          <w:tcPr>
            <w:tcW w:w="1268" w:type="dxa"/>
            <w:vAlign w:val="center"/>
          </w:tcPr>
          <w:p w14:paraId="3F720D5C">
            <w:pPr>
              <w:jc w:val="center"/>
              <w:rPr>
                <w:rFonts w:ascii="Times New Roman"/>
                <w:sz w:val="21"/>
                <w:szCs w:val="21"/>
              </w:rPr>
            </w:pPr>
            <w:r>
              <w:rPr>
                <w:rFonts w:hint="eastAsia" w:ascii="Times New Roman"/>
                <w:sz w:val="21"/>
                <w:szCs w:val="21"/>
              </w:rPr>
              <w:t xml:space="preserve">1.86 </w:t>
            </w:r>
          </w:p>
        </w:tc>
        <w:tc>
          <w:tcPr>
            <w:tcW w:w="1286" w:type="dxa"/>
            <w:vAlign w:val="center"/>
          </w:tcPr>
          <w:p w14:paraId="1C0549E3">
            <w:pPr>
              <w:jc w:val="center"/>
              <w:rPr>
                <w:rFonts w:ascii="Times New Roman"/>
                <w:sz w:val="21"/>
                <w:szCs w:val="21"/>
              </w:rPr>
            </w:pPr>
            <w:r>
              <w:rPr>
                <w:rFonts w:hint="eastAsia" w:ascii="Times New Roman"/>
                <w:sz w:val="21"/>
                <w:szCs w:val="21"/>
              </w:rPr>
              <w:t>10.31</w:t>
            </w:r>
          </w:p>
        </w:tc>
        <w:tc>
          <w:tcPr>
            <w:tcW w:w="1021" w:type="dxa"/>
            <w:vAlign w:val="center"/>
          </w:tcPr>
          <w:p w14:paraId="1CB2F01B">
            <w:pPr>
              <w:jc w:val="center"/>
              <w:rPr>
                <w:rFonts w:ascii="Times New Roman"/>
                <w:sz w:val="21"/>
                <w:szCs w:val="21"/>
              </w:rPr>
            </w:pPr>
            <w:r>
              <w:rPr>
                <w:rFonts w:hint="eastAsia" w:ascii="Times New Roman"/>
                <w:sz w:val="21"/>
                <w:szCs w:val="21"/>
              </w:rPr>
              <w:t>5.15</w:t>
            </w:r>
          </w:p>
        </w:tc>
        <w:tc>
          <w:tcPr>
            <w:tcW w:w="1287" w:type="dxa"/>
            <w:vAlign w:val="center"/>
          </w:tcPr>
          <w:p w14:paraId="584C01F5">
            <w:pPr>
              <w:jc w:val="center"/>
              <w:rPr>
                <w:rFonts w:ascii="Times New Roman"/>
                <w:sz w:val="21"/>
                <w:szCs w:val="21"/>
              </w:rPr>
            </w:pPr>
            <w:r>
              <w:rPr>
                <w:rFonts w:hint="eastAsia" w:ascii="Times New Roman"/>
                <w:sz w:val="21"/>
                <w:szCs w:val="21"/>
              </w:rPr>
              <w:t>44.233</w:t>
            </w:r>
          </w:p>
        </w:tc>
        <w:tc>
          <w:tcPr>
            <w:tcW w:w="1025" w:type="dxa"/>
            <w:vAlign w:val="center"/>
          </w:tcPr>
          <w:p w14:paraId="0F25178C">
            <w:pPr>
              <w:jc w:val="center"/>
              <w:rPr>
                <w:rFonts w:ascii="Times New Roman"/>
                <w:sz w:val="21"/>
                <w:szCs w:val="21"/>
              </w:rPr>
            </w:pPr>
            <w:r>
              <w:rPr>
                <w:rFonts w:hint="eastAsia" w:ascii="Times New Roman"/>
                <w:sz w:val="21"/>
                <w:szCs w:val="21"/>
              </w:rPr>
              <w:t>4.91</w:t>
            </w:r>
          </w:p>
        </w:tc>
      </w:tr>
      <w:tr w14:paraId="5397AF14">
        <w:tblPrEx>
          <w:tblCellMar>
            <w:top w:w="0" w:type="dxa"/>
            <w:left w:w="108" w:type="dxa"/>
            <w:bottom w:w="0" w:type="dxa"/>
            <w:right w:w="108" w:type="dxa"/>
          </w:tblCellMar>
        </w:tblPrEx>
        <w:trPr>
          <w:trHeight w:val="224" w:hRule="atLeast"/>
        </w:trPr>
        <w:tc>
          <w:tcPr>
            <w:tcW w:w="1346" w:type="dxa"/>
            <w:vAlign w:val="center"/>
          </w:tcPr>
          <w:p w14:paraId="6810E4CB">
            <w:pPr>
              <w:jc w:val="center"/>
              <w:rPr>
                <w:rFonts w:ascii="Times New Roman"/>
                <w:sz w:val="21"/>
                <w:szCs w:val="21"/>
              </w:rPr>
            </w:pPr>
            <w:r>
              <w:rPr>
                <w:rFonts w:ascii="Times New Roman"/>
                <w:sz w:val="21"/>
                <w:szCs w:val="21"/>
              </w:rPr>
              <w:t>200.0</w:t>
            </w:r>
          </w:p>
        </w:tc>
        <w:tc>
          <w:tcPr>
            <w:tcW w:w="1286" w:type="dxa"/>
            <w:vAlign w:val="center"/>
          </w:tcPr>
          <w:p w14:paraId="2A793EA4">
            <w:pPr>
              <w:jc w:val="center"/>
              <w:rPr>
                <w:rFonts w:ascii="Times New Roman"/>
                <w:sz w:val="21"/>
                <w:szCs w:val="21"/>
              </w:rPr>
            </w:pPr>
            <w:r>
              <w:rPr>
                <w:rFonts w:hint="eastAsia" w:ascii="Times New Roman"/>
                <w:sz w:val="21"/>
                <w:szCs w:val="21"/>
              </w:rPr>
              <w:t>51.883</w:t>
            </w:r>
          </w:p>
        </w:tc>
        <w:tc>
          <w:tcPr>
            <w:tcW w:w="1268" w:type="dxa"/>
            <w:vAlign w:val="center"/>
          </w:tcPr>
          <w:p w14:paraId="28EE99B6">
            <w:pPr>
              <w:jc w:val="center"/>
              <w:rPr>
                <w:rFonts w:ascii="Times New Roman"/>
                <w:sz w:val="21"/>
                <w:szCs w:val="21"/>
              </w:rPr>
            </w:pPr>
            <w:r>
              <w:rPr>
                <w:rFonts w:hint="eastAsia" w:ascii="Times New Roman"/>
                <w:sz w:val="21"/>
                <w:szCs w:val="21"/>
              </w:rPr>
              <w:t xml:space="preserve">2.59 </w:t>
            </w:r>
          </w:p>
        </w:tc>
        <w:tc>
          <w:tcPr>
            <w:tcW w:w="1286" w:type="dxa"/>
            <w:vAlign w:val="center"/>
          </w:tcPr>
          <w:p w14:paraId="33BEE8D1">
            <w:pPr>
              <w:jc w:val="center"/>
              <w:rPr>
                <w:rFonts w:ascii="Times New Roman"/>
                <w:sz w:val="21"/>
                <w:szCs w:val="21"/>
              </w:rPr>
            </w:pPr>
            <w:r>
              <w:rPr>
                <w:rFonts w:hint="eastAsia" w:ascii="Times New Roman"/>
                <w:sz w:val="21"/>
                <w:szCs w:val="21"/>
              </w:rPr>
              <w:t>14.3605</w:t>
            </w:r>
          </w:p>
        </w:tc>
        <w:tc>
          <w:tcPr>
            <w:tcW w:w="1021" w:type="dxa"/>
            <w:vAlign w:val="center"/>
          </w:tcPr>
          <w:p w14:paraId="14049595">
            <w:pPr>
              <w:jc w:val="center"/>
              <w:rPr>
                <w:rFonts w:ascii="Times New Roman"/>
                <w:sz w:val="21"/>
                <w:szCs w:val="21"/>
              </w:rPr>
            </w:pPr>
            <w:r>
              <w:rPr>
                <w:rFonts w:hint="eastAsia" w:ascii="Times New Roman"/>
                <w:sz w:val="21"/>
                <w:szCs w:val="21"/>
              </w:rPr>
              <w:t>7.18</w:t>
            </w:r>
          </w:p>
        </w:tc>
        <w:tc>
          <w:tcPr>
            <w:tcW w:w="1287" w:type="dxa"/>
            <w:vAlign w:val="center"/>
          </w:tcPr>
          <w:p w14:paraId="75105173">
            <w:pPr>
              <w:jc w:val="center"/>
              <w:rPr>
                <w:rFonts w:ascii="Times New Roman"/>
                <w:sz w:val="21"/>
                <w:szCs w:val="21"/>
              </w:rPr>
            </w:pPr>
            <w:r>
              <w:rPr>
                <w:rFonts w:hint="eastAsia" w:ascii="Times New Roman"/>
                <w:sz w:val="21"/>
                <w:szCs w:val="21"/>
              </w:rPr>
              <w:t>61.611</w:t>
            </w:r>
          </w:p>
        </w:tc>
        <w:tc>
          <w:tcPr>
            <w:tcW w:w="1025" w:type="dxa"/>
            <w:vAlign w:val="center"/>
          </w:tcPr>
          <w:p w14:paraId="17972222">
            <w:pPr>
              <w:jc w:val="center"/>
              <w:rPr>
                <w:rFonts w:ascii="Times New Roman"/>
                <w:sz w:val="21"/>
                <w:szCs w:val="21"/>
              </w:rPr>
            </w:pPr>
            <w:r>
              <w:rPr>
                <w:rFonts w:hint="eastAsia" w:ascii="Times New Roman"/>
                <w:sz w:val="21"/>
                <w:szCs w:val="21"/>
              </w:rPr>
              <w:t>6.85</w:t>
            </w:r>
          </w:p>
        </w:tc>
      </w:tr>
      <w:tr w14:paraId="7FD26DEF">
        <w:tblPrEx>
          <w:tblCellMar>
            <w:top w:w="0" w:type="dxa"/>
            <w:left w:w="108" w:type="dxa"/>
            <w:bottom w:w="0" w:type="dxa"/>
            <w:right w:w="108" w:type="dxa"/>
          </w:tblCellMar>
        </w:tblPrEx>
        <w:trPr>
          <w:trHeight w:val="224" w:hRule="atLeast"/>
        </w:trPr>
        <w:tc>
          <w:tcPr>
            <w:tcW w:w="1346" w:type="dxa"/>
            <w:vAlign w:val="center"/>
          </w:tcPr>
          <w:p w14:paraId="128CF660">
            <w:pPr>
              <w:jc w:val="center"/>
              <w:rPr>
                <w:rFonts w:ascii="Times New Roman"/>
                <w:sz w:val="21"/>
                <w:szCs w:val="21"/>
              </w:rPr>
            </w:pPr>
            <w:r>
              <w:rPr>
                <w:rFonts w:ascii="Times New Roman"/>
                <w:sz w:val="21"/>
                <w:szCs w:val="21"/>
              </w:rPr>
              <w:t>300.0</w:t>
            </w:r>
          </w:p>
        </w:tc>
        <w:tc>
          <w:tcPr>
            <w:tcW w:w="1286" w:type="dxa"/>
            <w:vAlign w:val="center"/>
          </w:tcPr>
          <w:p w14:paraId="47C73331">
            <w:pPr>
              <w:jc w:val="center"/>
              <w:rPr>
                <w:rFonts w:ascii="Times New Roman"/>
                <w:sz w:val="21"/>
                <w:szCs w:val="21"/>
              </w:rPr>
            </w:pPr>
            <w:r>
              <w:rPr>
                <w:rFonts w:hint="eastAsia" w:ascii="Times New Roman"/>
                <w:sz w:val="21"/>
                <w:szCs w:val="21"/>
              </w:rPr>
              <w:t>57.9015</w:t>
            </w:r>
          </w:p>
        </w:tc>
        <w:tc>
          <w:tcPr>
            <w:tcW w:w="1268" w:type="dxa"/>
            <w:vAlign w:val="center"/>
          </w:tcPr>
          <w:p w14:paraId="2D9514E3">
            <w:pPr>
              <w:jc w:val="center"/>
              <w:rPr>
                <w:rFonts w:ascii="Times New Roman"/>
                <w:sz w:val="21"/>
                <w:szCs w:val="21"/>
              </w:rPr>
            </w:pPr>
            <w:r>
              <w:rPr>
                <w:rFonts w:hint="eastAsia" w:ascii="Times New Roman"/>
                <w:sz w:val="21"/>
                <w:szCs w:val="21"/>
              </w:rPr>
              <w:t xml:space="preserve">2.90 </w:t>
            </w:r>
          </w:p>
        </w:tc>
        <w:tc>
          <w:tcPr>
            <w:tcW w:w="1286" w:type="dxa"/>
            <w:vAlign w:val="center"/>
          </w:tcPr>
          <w:p w14:paraId="0C0397C3">
            <w:pPr>
              <w:jc w:val="center"/>
              <w:rPr>
                <w:rFonts w:ascii="Times New Roman"/>
                <w:sz w:val="21"/>
                <w:szCs w:val="21"/>
              </w:rPr>
            </w:pPr>
            <w:r>
              <w:rPr>
                <w:rFonts w:hint="eastAsia" w:ascii="Times New Roman"/>
                <w:sz w:val="21"/>
                <w:szCs w:val="21"/>
              </w:rPr>
              <w:t>16.0263</w:t>
            </w:r>
          </w:p>
        </w:tc>
        <w:tc>
          <w:tcPr>
            <w:tcW w:w="1021" w:type="dxa"/>
            <w:vAlign w:val="center"/>
          </w:tcPr>
          <w:p w14:paraId="4F18D041">
            <w:pPr>
              <w:jc w:val="center"/>
              <w:rPr>
                <w:rFonts w:ascii="Times New Roman"/>
                <w:sz w:val="21"/>
                <w:szCs w:val="21"/>
              </w:rPr>
            </w:pPr>
            <w:r>
              <w:rPr>
                <w:rFonts w:hint="eastAsia" w:ascii="Times New Roman"/>
                <w:sz w:val="21"/>
                <w:szCs w:val="21"/>
              </w:rPr>
              <w:t>8.01</w:t>
            </w:r>
          </w:p>
        </w:tc>
        <w:tc>
          <w:tcPr>
            <w:tcW w:w="1287" w:type="dxa"/>
            <w:vAlign w:val="center"/>
          </w:tcPr>
          <w:p w14:paraId="6249977A">
            <w:pPr>
              <w:jc w:val="center"/>
              <w:rPr>
                <w:rFonts w:ascii="Times New Roman"/>
                <w:sz w:val="21"/>
                <w:szCs w:val="21"/>
              </w:rPr>
            </w:pPr>
            <w:r>
              <w:rPr>
                <w:rFonts w:hint="eastAsia" w:ascii="Times New Roman"/>
                <w:sz w:val="21"/>
                <w:szCs w:val="21"/>
              </w:rPr>
              <w:t>68.758</w:t>
            </w:r>
          </w:p>
        </w:tc>
        <w:tc>
          <w:tcPr>
            <w:tcW w:w="1025" w:type="dxa"/>
            <w:vAlign w:val="center"/>
          </w:tcPr>
          <w:p w14:paraId="43C1C291">
            <w:pPr>
              <w:jc w:val="center"/>
              <w:rPr>
                <w:rFonts w:ascii="Times New Roman"/>
                <w:sz w:val="21"/>
                <w:szCs w:val="21"/>
              </w:rPr>
            </w:pPr>
            <w:r>
              <w:rPr>
                <w:rFonts w:hint="eastAsia" w:ascii="Times New Roman"/>
                <w:sz w:val="21"/>
                <w:szCs w:val="21"/>
              </w:rPr>
              <w:t>7.64</w:t>
            </w:r>
          </w:p>
        </w:tc>
      </w:tr>
      <w:tr w14:paraId="646BE1D1">
        <w:tblPrEx>
          <w:tblCellMar>
            <w:top w:w="0" w:type="dxa"/>
            <w:left w:w="108" w:type="dxa"/>
            <w:bottom w:w="0" w:type="dxa"/>
            <w:right w:w="108" w:type="dxa"/>
          </w:tblCellMar>
        </w:tblPrEx>
        <w:trPr>
          <w:trHeight w:val="224" w:hRule="atLeast"/>
        </w:trPr>
        <w:tc>
          <w:tcPr>
            <w:tcW w:w="1346" w:type="dxa"/>
            <w:vAlign w:val="center"/>
          </w:tcPr>
          <w:p w14:paraId="312F825C">
            <w:pPr>
              <w:jc w:val="center"/>
              <w:rPr>
                <w:rFonts w:ascii="Times New Roman"/>
                <w:sz w:val="21"/>
                <w:szCs w:val="21"/>
              </w:rPr>
            </w:pPr>
            <w:r>
              <w:rPr>
                <w:rFonts w:ascii="Times New Roman"/>
                <w:sz w:val="21"/>
                <w:szCs w:val="21"/>
              </w:rPr>
              <w:t>400.0</w:t>
            </w:r>
          </w:p>
        </w:tc>
        <w:tc>
          <w:tcPr>
            <w:tcW w:w="1286" w:type="dxa"/>
            <w:vAlign w:val="center"/>
          </w:tcPr>
          <w:p w14:paraId="34F8285D">
            <w:pPr>
              <w:jc w:val="center"/>
              <w:rPr>
                <w:rFonts w:ascii="Times New Roman"/>
                <w:sz w:val="21"/>
                <w:szCs w:val="21"/>
              </w:rPr>
            </w:pPr>
            <w:r>
              <w:rPr>
                <w:rFonts w:hint="eastAsia" w:ascii="Times New Roman"/>
                <w:sz w:val="21"/>
                <w:szCs w:val="21"/>
              </w:rPr>
              <w:t>53.9806</w:t>
            </w:r>
          </w:p>
        </w:tc>
        <w:tc>
          <w:tcPr>
            <w:tcW w:w="1268" w:type="dxa"/>
            <w:vAlign w:val="center"/>
          </w:tcPr>
          <w:p w14:paraId="40ADC5E1">
            <w:pPr>
              <w:jc w:val="center"/>
              <w:rPr>
                <w:rFonts w:ascii="Times New Roman"/>
                <w:sz w:val="21"/>
                <w:szCs w:val="21"/>
              </w:rPr>
            </w:pPr>
            <w:r>
              <w:rPr>
                <w:rFonts w:hint="eastAsia" w:ascii="Times New Roman"/>
                <w:sz w:val="21"/>
                <w:szCs w:val="21"/>
              </w:rPr>
              <w:t xml:space="preserve">2.70 </w:t>
            </w:r>
          </w:p>
        </w:tc>
        <w:tc>
          <w:tcPr>
            <w:tcW w:w="1286" w:type="dxa"/>
            <w:vAlign w:val="center"/>
          </w:tcPr>
          <w:p w14:paraId="37D9D907">
            <w:pPr>
              <w:jc w:val="center"/>
              <w:rPr>
                <w:rFonts w:ascii="Times New Roman"/>
                <w:sz w:val="21"/>
                <w:szCs w:val="21"/>
              </w:rPr>
            </w:pPr>
            <w:r>
              <w:rPr>
                <w:rFonts w:hint="eastAsia" w:ascii="Times New Roman"/>
                <w:sz w:val="21"/>
                <w:szCs w:val="21"/>
              </w:rPr>
              <w:t>14.9411</w:t>
            </w:r>
          </w:p>
        </w:tc>
        <w:tc>
          <w:tcPr>
            <w:tcW w:w="1021" w:type="dxa"/>
            <w:vAlign w:val="center"/>
          </w:tcPr>
          <w:p w14:paraId="3195FD3C">
            <w:pPr>
              <w:jc w:val="center"/>
              <w:rPr>
                <w:rFonts w:ascii="Times New Roman"/>
                <w:sz w:val="21"/>
                <w:szCs w:val="21"/>
              </w:rPr>
            </w:pPr>
            <w:r>
              <w:rPr>
                <w:rFonts w:hint="eastAsia" w:ascii="Times New Roman"/>
                <w:sz w:val="21"/>
                <w:szCs w:val="21"/>
              </w:rPr>
              <w:t>7.47</w:t>
            </w:r>
          </w:p>
        </w:tc>
        <w:tc>
          <w:tcPr>
            <w:tcW w:w="1287" w:type="dxa"/>
            <w:vAlign w:val="center"/>
          </w:tcPr>
          <w:p w14:paraId="0BC59A4B">
            <w:pPr>
              <w:jc w:val="center"/>
              <w:rPr>
                <w:rFonts w:ascii="Times New Roman"/>
                <w:sz w:val="21"/>
                <w:szCs w:val="21"/>
              </w:rPr>
            </w:pPr>
            <w:r>
              <w:rPr>
                <w:rFonts w:hint="eastAsia" w:ascii="Times New Roman"/>
                <w:sz w:val="21"/>
                <w:szCs w:val="21"/>
              </w:rPr>
              <w:t>64.102</w:t>
            </w:r>
          </w:p>
        </w:tc>
        <w:tc>
          <w:tcPr>
            <w:tcW w:w="1025" w:type="dxa"/>
            <w:vAlign w:val="center"/>
          </w:tcPr>
          <w:p w14:paraId="4D0CB671">
            <w:pPr>
              <w:jc w:val="center"/>
              <w:rPr>
                <w:rFonts w:ascii="Times New Roman"/>
                <w:sz w:val="21"/>
                <w:szCs w:val="21"/>
              </w:rPr>
            </w:pPr>
            <w:r>
              <w:rPr>
                <w:rFonts w:hint="eastAsia" w:ascii="Times New Roman"/>
                <w:sz w:val="21"/>
                <w:szCs w:val="21"/>
              </w:rPr>
              <w:t>7.12</w:t>
            </w:r>
          </w:p>
        </w:tc>
      </w:tr>
      <w:tr w14:paraId="602FE1E5">
        <w:tblPrEx>
          <w:tblCellMar>
            <w:top w:w="0" w:type="dxa"/>
            <w:left w:w="108" w:type="dxa"/>
            <w:bottom w:w="0" w:type="dxa"/>
            <w:right w:w="108" w:type="dxa"/>
          </w:tblCellMar>
        </w:tblPrEx>
        <w:trPr>
          <w:trHeight w:val="224" w:hRule="atLeast"/>
        </w:trPr>
        <w:tc>
          <w:tcPr>
            <w:tcW w:w="1346" w:type="dxa"/>
            <w:vAlign w:val="center"/>
          </w:tcPr>
          <w:p w14:paraId="7237B715">
            <w:pPr>
              <w:jc w:val="center"/>
              <w:rPr>
                <w:rFonts w:ascii="Times New Roman"/>
                <w:sz w:val="21"/>
                <w:szCs w:val="21"/>
              </w:rPr>
            </w:pPr>
            <w:r>
              <w:rPr>
                <w:rFonts w:ascii="Times New Roman"/>
                <w:sz w:val="21"/>
                <w:szCs w:val="21"/>
              </w:rPr>
              <w:t>500.0</w:t>
            </w:r>
          </w:p>
        </w:tc>
        <w:tc>
          <w:tcPr>
            <w:tcW w:w="1286" w:type="dxa"/>
            <w:vAlign w:val="center"/>
          </w:tcPr>
          <w:p w14:paraId="66B49192">
            <w:pPr>
              <w:jc w:val="center"/>
              <w:rPr>
                <w:rFonts w:ascii="Times New Roman"/>
                <w:sz w:val="21"/>
                <w:szCs w:val="21"/>
              </w:rPr>
            </w:pPr>
            <w:r>
              <w:rPr>
                <w:rFonts w:hint="eastAsia" w:ascii="Times New Roman"/>
                <w:sz w:val="21"/>
                <w:szCs w:val="21"/>
              </w:rPr>
              <w:t>48.0278</w:t>
            </w:r>
          </w:p>
        </w:tc>
        <w:tc>
          <w:tcPr>
            <w:tcW w:w="1268" w:type="dxa"/>
            <w:vAlign w:val="center"/>
          </w:tcPr>
          <w:p w14:paraId="68273CEE">
            <w:pPr>
              <w:jc w:val="center"/>
              <w:rPr>
                <w:rFonts w:ascii="Times New Roman"/>
                <w:sz w:val="21"/>
                <w:szCs w:val="21"/>
              </w:rPr>
            </w:pPr>
            <w:r>
              <w:rPr>
                <w:rFonts w:hint="eastAsia" w:ascii="Times New Roman"/>
                <w:sz w:val="21"/>
                <w:szCs w:val="21"/>
              </w:rPr>
              <w:t xml:space="preserve">2.40 </w:t>
            </w:r>
          </w:p>
        </w:tc>
        <w:tc>
          <w:tcPr>
            <w:tcW w:w="1286" w:type="dxa"/>
            <w:vAlign w:val="center"/>
          </w:tcPr>
          <w:p w14:paraId="3E56AA24">
            <w:pPr>
              <w:jc w:val="center"/>
              <w:rPr>
                <w:rFonts w:ascii="Times New Roman"/>
                <w:sz w:val="21"/>
                <w:szCs w:val="21"/>
              </w:rPr>
            </w:pPr>
            <w:r>
              <w:rPr>
                <w:rFonts w:hint="eastAsia" w:ascii="Times New Roman"/>
                <w:sz w:val="21"/>
                <w:szCs w:val="21"/>
              </w:rPr>
              <w:t>13.2934</w:t>
            </w:r>
          </w:p>
        </w:tc>
        <w:tc>
          <w:tcPr>
            <w:tcW w:w="1021" w:type="dxa"/>
            <w:vAlign w:val="center"/>
          </w:tcPr>
          <w:p w14:paraId="0564A4DB">
            <w:pPr>
              <w:jc w:val="center"/>
              <w:rPr>
                <w:rFonts w:ascii="Times New Roman"/>
                <w:sz w:val="21"/>
                <w:szCs w:val="21"/>
              </w:rPr>
            </w:pPr>
            <w:r>
              <w:rPr>
                <w:rFonts w:hint="eastAsia" w:ascii="Times New Roman"/>
                <w:sz w:val="21"/>
                <w:szCs w:val="21"/>
              </w:rPr>
              <w:t>6.65</w:t>
            </w:r>
          </w:p>
        </w:tc>
        <w:tc>
          <w:tcPr>
            <w:tcW w:w="1287" w:type="dxa"/>
            <w:vAlign w:val="center"/>
          </w:tcPr>
          <w:p w14:paraId="629446D9">
            <w:pPr>
              <w:jc w:val="center"/>
              <w:rPr>
                <w:rFonts w:ascii="Times New Roman"/>
                <w:sz w:val="21"/>
                <w:szCs w:val="21"/>
              </w:rPr>
            </w:pPr>
            <w:r>
              <w:rPr>
                <w:rFonts w:hint="eastAsia" w:ascii="Times New Roman"/>
                <w:sz w:val="21"/>
                <w:szCs w:val="21"/>
              </w:rPr>
              <w:t>57.033</w:t>
            </w:r>
          </w:p>
        </w:tc>
        <w:tc>
          <w:tcPr>
            <w:tcW w:w="1025" w:type="dxa"/>
            <w:vAlign w:val="center"/>
          </w:tcPr>
          <w:p w14:paraId="6A045939">
            <w:pPr>
              <w:jc w:val="center"/>
              <w:rPr>
                <w:rFonts w:ascii="Times New Roman"/>
                <w:sz w:val="21"/>
                <w:szCs w:val="21"/>
              </w:rPr>
            </w:pPr>
            <w:r>
              <w:rPr>
                <w:rFonts w:hint="eastAsia" w:ascii="Times New Roman"/>
                <w:sz w:val="21"/>
                <w:szCs w:val="21"/>
              </w:rPr>
              <w:t>6.34</w:t>
            </w:r>
          </w:p>
        </w:tc>
      </w:tr>
      <w:tr w14:paraId="1FAA2781">
        <w:tblPrEx>
          <w:tblCellMar>
            <w:top w:w="0" w:type="dxa"/>
            <w:left w:w="108" w:type="dxa"/>
            <w:bottom w:w="0" w:type="dxa"/>
            <w:right w:w="108" w:type="dxa"/>
          </w:tblCellMar>
        </w:tblPrEx>
        <w:trPr>
          <w:trHeight w:val="224" w:hRule="atLeast"/>
        </w:trPr>
        <w:tc>
          <w:tcPr>
            <w:tcW w:w="1346" w:type="dxa"/>
            <w:vAlign w:val="center"/>
          </w:tcPr>
          <w:p w14:paraId="24778CCB">
            <w:pPr>
              <w:jc w:val="center"/>
              <w:rPr>
                <w:rFonts w:ascii="Times New Roman"/>
                <w:sz w:val="21"/>
                <w:szCs w:val="21"/>
              </w:rPr>
            </w:pPr>
            <w:r>
              <w:rPr>
                <w:rFonts w:ascii="Times New Roman"/>
                <w:sz w:val="21"/>
                <w:szCs w:val="21"/>
              </w:rPr>
              <w:t>600.0</w:t>
            </w:r>
          </w:p>
        </w:tc>
        <w:tc>
          <w:tcPr>
            <w:tcW w:w="1286" w:type="dxa"/>
            <w:vAlign w:val="center"/>
          </w:tcPr>
          <w:p w14:paraId="4810FBE7">
            <w:pPr>
              <w:jc w:val="center"/>
              <w:rPr>
                <w:rFonts w:ascii="Times New Roman"/>
                <w:sz w:val="21"/>
                <w:szCs w:val="21"/>
              </w:rPr>
            </w:pPr>
            <w:r>
              <w:rPr>
                <w:rFonts w:hint="eastAsia" w:ascii="Times New Roman"/>
                <w:sz w:val="21"/>
                <w:szCs w:val="21"/>
              </w:rPr>
              <w:t>42.3907</w:t>
            </w:r>
          </w:p>
        </w:tc>
        <w:tc>
          <w:tcPr>
            <w:tcW w:w="1268" w:type="dxa"/>
            <w:vAlign w:val="center"/>
          </w:tcPr>
          <w:p w14:paraId="22370865">
            <w:pPr>
              <w:jc w:val="center"/>
              <w:rPr>
                <w:rFonts w:ascii="Times New Roman"/>
                <w:sz w:val="21"/>
                <w:szCs w:val="21"/>
              </w:rPr>
            </w:pPr>
            <w:r>
              <w:rPr>
                <w:rFonts w:hint="eastAsia" w:ascii="Times New Roman"/>
                <w:sz w:val="21"/>
                <w:szCs w:val="21"/>
              </w:rPr>
              <w:t xml:space="preserve">2.12 </w:t>
            </w:r>
          </w:p>
        </w:tc>
        <w:tc>
          <w:tcPr>
            <w:tcW w:w="1286" w:type="dxa"/>
            <w:vAlign w:val="center"/>
          </w:tcPr>
          <w:p w14:paraId="7273BAA1">
            <w:pPr>
              <w:jc w:val="center"/>
              <w:rPr>
                <w:rFonts w:ascii="Times New Roman"/>
                <w:sz w:val="21"/>
                <w:szCs w:val="21"/>
              </w:rPr>
            </w:pPr>
            <w:r>
              <w:rPr>
                <w:rFonts w:hint="eastAsia" w:ascii="Times New Roman"/>
                <w:sz w:val="21"/>
                <w:szCs w:val="21"/>
              </w:rPr>
              <w:t>11.7332</w:t>
            </w:r>
          </w:p>
        </w:tc>
        <w:tc>
          <w:tcPr>
            <w:tcW w:w="1021" w:type="dxa"/>
            <w:vAlign w:val="center"/>
          </w:tcPr>
          <w:p w14:paraId="1E5C50B9">
            <w:pPr>
              <w:jc w:val="center"/>
              <w:rPr>
                <w:rFonts w:ascii="Times New Roman"/>
                <w:sz w:val="21"/>
                <w:szCs w:val="21"/>
              </w:rPr>
            </w:pPr>
            <w:r>
              <w:rPr>
                <w:rFonts w:hint="eastAsia" w:ascii="Times New Roman"/>
                <w:sz w:val="21"/>
                <w:szCs w:val="21"/>
              </w:rPr>
              <w:t>5.87</w:t>
            </w:r>
          </w:p>
        </w:tc>
        <w:tc>
          <w:tcPr>
            <w:tcW w:w="1287" w:type="dxa"/>
            <w:vAlign w:val="center"/>
          </w:tcPr>
          <w:p w14:paraId="7D157EFE">
            <w:pPr>
              <w:jc w:val="center"/>
              <w:rPr>
                <w:rFonts w:ascii="Times New Roman"/>
                <w:sz w:val="21"/>
                <w:szCs w:val="21"/>
              </w:rPr>
            </w:pPr>
            <w:r>
              <w:rPr>
                <w:rFonts w:hint="eastAsia" w:ascii="Times New Roman"/>
                <w:sz w:val="21"/>
                <w:szCs w:val="21"/>
              </w:rPr>
              <w:t>50.339</w:t>
            </w:r>
          </w:p>
        </w:tc>
        <w:tc>
          <w:tcPr>
            <w:tcW w:w="1025" w:type="dxa"/>
            <w:vAlign w:val="center"/>
          </w:tcPr>
          <w:p w14:paraId="4A6E5F7E">
            <w:pPr>
              <w:jc w:val="center"/>
              <w:rPr>
                <w:rFonts w:ascii="Times New Roman"/>
                <w:sz w:val="21"/>
                <w:szCs w:val="21"/>
              </w:rPr>
            </w:pPr>
            <w:r>
              <w:rPr>
                <w:rFonts w:hint="eastAsia" w:ascii="Times New Roman"/>
                <w:sz w:val="21"/>
                <w:szCs w:val="21"/>
              </w:rPr>
              <w:t>5.59</w:t>
            </w:r>
          </w:p>
        </w:tc>
      </w:tr>
      <w:tr w14:paraId="4D804213">
        <w:tblPrEx>
          <w:tblCellMar>
            <w:top w:w="0" w:type="dxa"/>
            <w:left w:w="108" w:type="dxa"/>
            <w:bottom w:w="0" w:type="dxa"/>
            <w:right w:w="108" w:type="dxa"/>
          </w:tblCellMar>
        </w:tblPrEx>
        <w:trPr>
          <w:trHeight w:val="224" w:hRule="atLeast"/>
        </w:trPr>
        <w:tc>
          <w:tcPr>
            <w:tcW w:w="1346" w:type="dxa"/>
            <w:vAlign w:val="center"/>
          </w:tcPr>
          <w:p w14:paraId="557F8E68">
            <w:pPr>
              <w:jc w:val="center"/>
              <w:rPr>
                <w:rFonts w:ascii="Times New Roman"/>
                <w:sz w:val="21"/>
                <w:szCs w:val="21"/>
              </w:rPr>
            </w:pPr>
            <w:r>
              <w:rPr>
                <w:rFonts w:ascii="Times New Roman"/>
                <w:sz w:val="21"/>
                <w:szCs w:val="21"/>
              </w:rPr>
              <w:t>700.0</w:t>
            </w:r>
          </w:p>
        </w:tc>
        <w:tc>
          <w:tcPr>
            <w:tcW w:w="1286" w:type="dxa"/>
            <w:vAlign w:val="center"/>
          </w:tcPr>
          <w:p w14:paraId="5CA7BBB0">
            <w:pPr>
              <w:jc w:val="center"/>
              <w:rPr>
                <w:rFonts w:ascii="Times New Roman"/>
                <w:sz w:val="21"/>
                <w:szCs w:val="21"/>
              </w:rPr>
            </w:pPr>
            <w:r>
              <w:rPr>
                <w:rFonts w:hint="eastAsia" w:ascii="Times New Roman"/>
                <w:sz w:val="21"/>
                <w:szCs w:val="21"/>
              </w:rPr>
              <w:t>37.4863</w:t>
            </w:r>
          </w:p>
        </w:tc>
        <w:tc>
          <w:tcPr>
            <w:tcW w:w="1268" w:type="dxa"/>
            <w:vAlign w:val="center"/>
          </w:tcPr>
          <w:p w14:paraId="7D11FC59">
            <w:pPr>
              <w:jc w:val="center"/>
              <w:rPr>
                <w:rFonts w:ascii="Times New Roman"/>
                <w:sz w:val="21"/>
                <w:szCs w:val="21"/>
              </w:rPr>
            </w:pPr>
            <w:r>
              <w:rPr>
                <w:rFonts w:hint="eastAsia" w:ascii="Times New Roman"/>
                <w:sz w:val="21"/>
                <w:szCs w:val="21"/>
              </w:rPr>
              <w:t xml:space="preserve">1.87 </w:t>
            </w:r>
          </w:p>
        </w:tc>
        <w:tc>
          <w:tcPr>
            <w:tcW w:w="1286" w:type="dxa"/>
            <w:vAlign w:val="center"/>
          </w:tcPr>
          <w:p w14:paraId="43EBE7C4">
            <w:pPr>
              <w:jc w:val="center"/>
              <w:rPr>
                <w:rFonts w:ascii="Times New Roman"/>
                <w:sz w:val="21"/>
                <w:szCs w:val="21"/>
              </w:rPr>
            </w:pPr>
            <w:r>
              <w:rPr>
                <w:rFonts w:hint="eastAsia" w:ascii="Times New Roman"/>
                <w:sz w:val="21"/>
                <w:szCs w:val="21"/>
              </w:rPr>
              <w:t>10.3757</w:t>
            </w:r>
          </w:p>
        </w:tc>
        <w:tc>
          <w:tcPr>
            <w:tcW w:w="1021" w:type="dxa"/>
            <w:vAlign w:val="center"/>
          </w:tcPr>
          <w:p w14:paraId="33323C6B">
            <w:pPr>
              <w:jc w:val="center"/>
              <w:rPr>
                <w:rFonts w:ascii="Times New Roman"/>
                <w:sz w:val="21"/>
                <w:szCs w:val="21"/>
              </w:rPr>
            </w:pPr>
            <w:r>
              <w:rPr>
                <w:rFonts w:hint="eastAsia" w:ascii="Times New Roman"/>
                <w:sz w:val="21"/>
                <w:szCs w:val="21"/>
              </w:rPr>
              <w:t>5.19</w:t>
            </w:r>
          </w:p>
        </w:tc>
        <w:tc>
          <w:tcPr>
            <w:tcW w:w="1287" w:type="dxa"/>
            <w:vAlign w:val="center"/>
          </w:tcPr>
          <w:p w14:paraId="077BC6DA">
            <w:pPr>
              <w:jc w:val="center"/>
              <w:rPr>
                <w:rFonts w:ascii="Times New Roman"/>
                <w:sz w:val="21"/>
                <w:szCs w:val="21"/>
              </w:rPr>
            </w:pPr>
            <w:r>
              <w:rPr>
                <w:rFonts w:hint="eastAsia" w:ascii="Times New Roman"/>
                <w:sz w:val="21"/>
                <w:szCs w:val="21"/>
              </w:rPr>
              <w:t>44.515</w:t>
            </w:r>
          </w:p>
        </w:tc>
        <w:tc>
          <w:tcPr>
            <w:tcW w:w="1025" w:type="dxa"/>
            <w:vAlign w:val="center"/>
          </w:tcPr>
          <w:p w14:paraId="2BD828CF">
            <w:pPr>
              <w:jc w:val="center"/>
              <w:rPr>
                <w:rFonts w:ascii="Times New Roman"/>
                <w:sz w:val="21"/>
                <w:szCs w:val="21"/>
              </w:rPr>
            </w:pPr>
            <w:r>
              <w:rPr>
                <w:rFonts w:hint="eastAsia" w:ascii="Times New Roman"/>
                <w:sz w:val="21"/>
                <w:szCs w:val="21"/>
              </w:rPr>
              <w:t>4.95</w:t>
            </w:r>
          </w:p>
        </w:tc>
      </w:tr>
      <w:tr w14:paraId="1BEBFC46">
        <w:tblPrEx>
          <w:tblCellMar>
            <w:top w:w="0" w:type="dxa"/>
            <w:left w:w="108" w:type="dxa"/>
            <w:bottom w:w="0" w:type="dxa"/>
            <w:right w:w="108" w:type="dxa"/>
          </w:tblCellMar>
        </w:tblPrEx>
        <w:trPr>
          <w:trHeight w:val="224" w:hRule="atLeast"/>
        </w:trPr>
        <w:tc>
          <w:tcPr>
            <w:tcW w:w="1346" w:type="dxa"/>
            <w:vAlign w:val="center"/>
          </w:tcPr>
          <w:p w14:paraId="7ED11D19">
            <w:pPr>
              <w:jc w:val="center"/>
              <w:rPr>
                <w:rFonts w:ascii="Times New Roman"/>
                <w:sz w:val="21"/>
                <w:szCs w:val="21"/>
              </w:rPr>
            </w:pPr>
            <w:r>
              <w:rPr>
                <w:rFonts w:ascii="Times New Roman"/>
                <w:sz w:val="21"/>
                <w:szCs w:val="21"/>
              </w:rPr>
              <w:t>800.0</w:t>
            </w:r>
          </w:p>
        </w:tc>
        <w:tc>
          <w:tcPr>
            <w:tcW w:w="1286" w:type="dxa"/>
            <w:vAlign w:val="center"/>
          </w:tcPr>
          <w:p w14:paraId="4361A4F8">
            <w:pPr>
              <w:jc w:val="center"/>
              <w:rPr>
                <w:rFonts w:ascii="Times New Roman"/>
                <w:sz w:val="21"/>
                <w:szCs w:val="21"/>
              </w:rPr>
            </w:pPr>
            <w:r>
              <w:rPr>
                <w:rFonts w:hint="eastAsia" w:ascii="Times New Roman"/>
                <w:sz w:val="21"/>
                <w:szCs w:val="21"/>
              </w:rPr>
              <w:t>33.3718</w:t>
            </w:r>
          </w:p>
        </w:tc>
        <w:tc>
          <w:tcPr>
            <w:tcW w:w="1268" w:type="dxa"/>
            <w:vAlign w:val="center"/>
          </w:tcPr>
          <w:p w14:paraId="1524BA1B">
            <w:pPr>
              <w:jc w:val="center"/>
              <w:rPr>
                <w:rFonts w:ascii="Times New Roman"/>
                <w:sz w:val="21"/>
                <w:szCs w:val="21"/>
              </w:rPr>
            </w:pPr>
            <w:r>
              <w:rPr>
                <w:rFonts w:hint="eastAsia" w:ascii="Times New Roman"/>
                <w:sz w:val="21"/>
                <w:szCs w:val="21"/>
              </w:rPr>
              <w:t xml:space="preserve">1.67 </w:t>
            </w:r>
          </w:p>
        </w:tc>
        <w:tc>
          <w:tcPr>
            <w:tcW w:w="1286" w:type="dxa"/>
            <w:vAlign w:val="center"/>
          </w:tcPr>
          <w:p w14:paraId="207D32A6">
            <w:pPr>
              <w:jc w:val="center"/>
              <w:rPr>
                <w:rFonts w:ascii="Times New Roman"/>
                <w:sz w:val="21"/>
                <w:szCs w:val="21"/>
              </w:rPr>
            </w:pPr>
            <w:r>
              <w:rPr>
                <w:rFonts w:hint="eastAsia" w:ascii="Times New Roman"/>
                <w:sz w:val="21"/>
                <w:szCs w:val="21"/>
              </w:rPr>
              <w:t>9.2368</w:t>
            </w:r>
          </w:p>
        </w:tc>
        <w:tc>
          <w:tcPr>
            <w:tcW w:w="1021" w:type="dxa"/>
            <w:vAlign w:val="center"/>
          </w:tcPr>
          <w:p w14:paraId="691ECD08">
            <w:pPr>
              <w:jc w:val="center"/>
              <w:rPr>
                <w:rFonts w:ascii="Times New Roman"/>
                <w:sz w:val="21"/>
                <w:szCs w:val="21"/>
              </w:rPr>
            </w:pPr>
            <w:r>
              <w:rPr>
                <w:rFonts w:hint="eastAsia" w:ascii="Times New Roman"/>
                <w:sz w:val="21"/>
                <w:szCs w:val="21"/>
              </w:rPr>
              <w:t>4.62</w:t>
            </w:r>
          </w:p>
        </w:tc>
        <w:tc>
          <w:tcPr>
            <w:tcW w:w="1287" w:type="dxa"/>
            <w:vAlign w:val="center"/>
          </w:tcPr>
          <w:p w14:paraId="6E17D5B4">
            <w:pPr>
              <w:jc w:val="center"/>
              <w:rPr>
                <w:rFonts w:ascii="Times New Roman"/>
                <w:sz w:val="21"/>
                <w:szCs w:val="21"/>
              </w:rPr>
            </w:pPr>
            <w:r>
              <w:rPr>
                <w:rFonts w:hint="eastAsia" w:ascii="Times New Roman"/>
                <w:sz w:val="21"/>
                <w:szCs w:val="21"/>
              </w:rPr>
              <w:t>39.629</w:t>
            </w:r>
          </w:p>
        </w:tc>
        <w:tc>
          <w:tcPr>
            <w:tcW w:w="1025" w:type="dxa"/>
            <w:vAlign w:val="center"/>
          </w:tcPr>
          <w:p w14:paraId="70A574C3">
            <w:pPr>
              <w:jc w:val="center"/>
              <w:rPr>
                <w:rFonts w:ascii="Times New Roman"/>
                <w:sz w:val="21"/>
                <w:szCs w:val="21"/>
              </w:rPr>
            </w:pPr>
            <w:r>
              <w:rPr>
                <w:rFonts w:hint="eastAsia" w:ascii="Times New Roman"/>
                <w:sz w:val="21"/>
                <w:szCs w:val="21"/>
              </w:rPr>
              <w:t>4.4</w:t>
            </w:r>
          </w:p>
        </w:tc>
      </w:tr>
      <w:tr w14:paraId="28B749A2">
        <w:tblPrEx>
          <w:tblCellMar>
            <w:top w:w="0" w:type="dxa"/>
            <w:left w:w="108" w:type="dxa"/>
            <w:bottom w:w="0" w:type="dxa"/>
            <w:right w:w="108" w:type="dxa"/>
          </w:tblCellMar>
        </w:tblPrEx>
        <w:trPr>
          <w:trHeight w:val="224" w:hRule="atLeast"/>
        </w:trPr>
        <w:tc>
          <w:tcPr>
            <w:tcW w:w="1346" w:type="dxa"/>
            <w:vAlign w:val="center"/>
          </w:tcPr>
          <w:p w14:paraId="2274F06B">
            <w:pPr>
              <w:jc w:val="center"/>
              <w:rPr>
                <w:rFonts w:ascii="Times New Roman"/>
                <w:sz w:val="21"/>
                <w:szCs w:val="21"/>
              </w:rPr>
            </w:pPr>
            <w:r>
              <w:rPr>
                <w:rFonts w:ascii="Times New Roman"/>
                <w:sz w:val="21"/>
                <w:szCs w:val="21"/>
              </w:rPr>
              <w:t>900.0</w:t>
            </w:r>
          </w:p>
        </w:tc>
        <w:tc>
          <w:tcPr>
            <w:tcW w:w="1286" w:type="dxa"/>
            <w:vAlign w:val="center"/>
          </w:tcPr>
          <w:p w14:paraId="432C066E">
            <w:pPr>
              <w:jc w:val="center"/>
              <w:rPr>
                <w:rFonts w:ascii="Times New Roman"/>
                <w:sz w:val="21"/>
                <w:szCs w:val="21"/>
              </w:rPr>
            </w:pPr>
            <w:r>
              <w:rPr>
                <w:rFonts w:hint="eastAsia" w:ascii="Times New Roman"/>
                <w:sz w:val="21"/>
                <w:szCs w:val="21"/>
              </w:rPr>
              <w:t>29.9234</w:t>
            </w:r>
          </w:p>
        </w:tc>
        <w:tc>
          <w:tcPr>
            <w:tcW w:w="1268" w:type="dxa"/>
            <w:vAlign w:val="center"/>
          </w:tcPr>
          <w:p w14:paraId="4BDD66DB">
            <w:pPr>
              <w:jc w:val="center"/>
              <w:rPr>
                <w:rFonts w:ascii="Times New Roman"/>
                <w:sz w:val="21"/>
                <w:szCs w:val="21"/>
              </w:rPr>
            </w:pPr>
            <w:r>
              <w:rPr>
                <w:rFonts w:hint="eastAsia" w:ascii="Times New Roman"/>
                <w:sz w:val="21"/>
                <w:szCs w:val="21"/>
              </w:rPr>
              <w:t xml:space="preserve">1.50 </w:t>
            </w:r>
          </w:p>
        </w:tc>
        <w:tc>
          <w:tcPr>
            <w:tcW w:w="1286" w:type="dxa"/>
            <w:vAlign w:val="center"/>
          </w:tcPr>
          <w:p w14:paraId="01281F3A">
            <w:pPr>
              <w:jc w:val="center"/>
              <w:rPr>
                <w:rFonts w:ascii="Times New Roman"/>
                <w:sz w:val="21"/>
                <w:szCs w:val="21"/>
              </w:rPr>
            </w:pPr>
            <w:r>
              <w:rPr>
                <w:rFonts w:hint="eastAsia" w:ascii="Times New Roman"/>
                <w:sz w:val="21"/>
                <w:szCs w:val="21"/>
              </w:rPr>
              <w:t>8.2824</w:t>
            </w:r>
          </w:p>
        </w:tc>
        <w:tc>
          <w:tcPr>
            <w:tcW w:w="1021" w:type="dxa"/>
            <w:vAlign w:val="center"/>
          </w:tcPr>
          <w:p w14:paraId="1CB73B4D">
            <w:pPr>
              <w:jc w:val="center"/>
              <w:rPr>
                <w:rFonts w:ascii="Times New Roman"/>
                <w:sz w:val="21"/>
                <w:szCs w:val="21"/>
              </w:rPr>
            </w:pPr>
            <w:r>
              <w:rPr>
                <w:rFonts w:hint="eastAsia" w:ascii="Times New Roman"/>
                <w:sz w:val="21"/>
                <w:szCs w:val="21"/>
              </w:rPr>
              <w:t>4.14</w:t>
            </w:r>
          </w:p>
        </w:tc>
        <w:tc>
          <w:tcPr>
            <w:tcW w:w="1287" w:type="dxa"/>
            <w:vAlign w:val="center"/>
          </w:tcPr>
          <w:p w14:paraId="3423BA06">
            <w:pPr>
              <w:jc w:val="center"/>
              <w:rPr>
                <w:rFonts w:ascii="Times New Roman"/>
                <w:sz w:val="21"/>
                <w:szCs w:val="21"/>
              </w:rPr>
            </w:pPr>
            <w:r>
              <w:rPr>
                <w:rFonts w:hint="eastAsia" w:ascii="Times New Roman"/>
                <w:sz w:val="21"/>
                <w:szCs w:val="21"/>
              </w:rPr>
              <w:t>35.534</w:t>
            </w:r>
          </w:p>
        </w:tc>
        <w:tc>
          <w:tcPr>
            <w:tcW w:w="1025" w:type="dxa"/>
            <w:vAlign w:val="center"/>
          </w:tcPr>
          <w:p w14:paraId="4B6555AD">
            <w:pPr>
              <w:jc w:val="center"/>
              <w:rPr>
                <w:rFonts w:ascii="Times New Roman"/>
                <w:sz w:val="21"/>
                <w:szCs w:val="21"/>
              </w:rPr>
            </w:pPr>
            <w:r>
              <w:rPr>
                <w:rFonts w:hint="eastAsia" w:ascii="Times New Roman"/>
                <w:sz w:val="21"/>
                <w:szCs w:val="21"/>
              </w:rPr>
              <w:t>3.95</w:t>
            </w:r>
          </w:p>
        </w:tc>
      </w:tr>
      <w:tr w14:paraId="7C797D6C">
        <w:tblPrEx>
          <w:tblCellMar>
            <w:top w:w="0" w:type="dxa"/>
            <w:left w:w="108" w:type="dxa"/>
            <w:bottom w:w="0" w:type="dxa"/>
            <w:right w:w="108" w:type="dxa"/>
          </w:tblCellMar>
        </w:tblPrEx>
        <w:trPr>
          <w:trHeight w:val="224" w:hRule="atLeast"/>
        </w:trPr>
        <w:tc>
          <w:tcPr>
            <w:tcW w:w="1346" w:type="dxa"/>
            <w:vAlign w:val="center"/>
          </w:tcPr>
          <w:p w14:paraId="7040C2CB">
            <w:pPr>
              <w:jc w:val="center"/>
              <w:rPr>
                <w:rFonts w:ascii="Times New Roman"/>
                <w:sz w:val="21"/>
                <w:szCs w:val="21"/>
              </w:rPr>
            </w:pPr>
            <w:r>
              <w:rPr>
                <w:rFonts w:ascii="Times New Roman"/>
                <w:sz w:val="21"/>
                <w:szCs w:val="21"/>
              </w:rPr>
              <w:t>1000.0</w:t>
            </w:r>
          </w:p>
        </w:tc>
        <w:tc>
          <w:tcPr>
            <w:tcW w:w="1286" w:type="dxa"/>
            <w:vAlign w:val="center"/>
          </w:tcPr>
          <w:p w14:paraId="2511FD0E">
            <w:pPr>
              <w:jc w:val="center"/>
              <w:rPr>
                <w:rFonts w:ascii="Times New Roman"/>
                <w:sz w:val="21"/>
                <w:szCs w:val="21"/>
              </w:rPr>
            </w:pPr>
            <w:r>
              <w:rPr>
                <w:rFonts w:hint="eastAsia" w:ascii="Times New Roman"/>
                <w:sz w:val="21"/>
                <w:szCs w:val="21"/>
              </w:rPr>
              <w:t>27.0004</w:t>
            </w:r>
          </w:p>
        </w:tc>
        <w:tc>
          <w:tcPr>
            <w:tcW w:w="1268" w:type="dxa"/>
            <w:vAlign w:val="center"/>
          </w:tcPr>
          <w:p w14:paraId="70E25073">
            <w:pPr>
              <w:jc w:val="center"/>
              <w:rPr>
                <w:rFonts w:ascii="Times New Roman"/>
                <w:sz w:val="21"/>
                <w:szCs w:val="21"/>
              </w:rPr>
            </w:pPr>
            <w:r>
              <w:rPr>
                <w:rFonts w:hint="eastAsia" w:ascii="Times New Roman"/>
                <w:sz w:val="21"/>
                <w:szCs w:val="21"/>
              </w:rPr>
              <w:t xml:space="preserve">1.35 </w:t>
            </w:r>
          </w:p>
        </w:tc>
        <w:tc>
          <w:tcPr>
            <w:tcW w:w="1286" w:type="dxa"/>
            <w:vAlign w:val="center"/>
          </w:tcPr>
          <w:p w14:paraId="7CDFA4F4">
            <w:pPr>
              <w:jc w:val="center"/>
              <w:rPr>
                <w:rFonts w:ascii="Times New Roman"/>
                <w:sz w:val="21"/>
                <w:szCs w:val="21"/>
              </w:rPr>
            </w:pPr>
            <w:r>
              <w:rPr>
                <w:rFonts w:hint="eastAsia" w:ascii="Times New Roman"/>
                <w:sz w:val="21"/>
                <w:szCs w:val="21"/>
              </w:rPr>
              <w:t>7.4733</w:t>
            </w:r>
          </w:p>
        </w:tc>
        <w:tc>
          <w:tcPr>
            <w:tcW w:w="1021" w:type="dxa"/>
            <w:vAlign w:val="center"/>
          </w:tcPr>
          <w:p w14:paraId="0610CF1F">
            <w:pPr>
              <w:jc w:val="center"/>
              <w:rPr>
                <w:rFonts w:ascii="Times New Roman"/>
                <w:sz w:val="21"/>
                <w:szCs w:val="21"/>
              </w:rPr>
            </w:pPr>
            <w:r>
              <w:rPr>
                <w:rFonts w:hint="eastAsia" w:ascii="Times New Roman"/>
                <w:sz w:val="21"/>
                <w:szCs w:val="21"/>
              </w:rPr>
              <w:t>3.74</w:t>
            </w:r>
          </w:p>
        </w:tc>
        <w:tc>
          <w:tcPr>
            <w:tcW w:w="1287" w:type="dxa"/>
            <w:vAlign w:val="center"/>
          </w:tcPr>
          <w:p w14:paraId="29341AD7">
            <w:pPr>
              <w:jc w:val="center"/>
              <w:rPr>
                <w:rFonts w:ascii="Times New Roman"/>
                <w:sz w:val="21"/>
                <w:szCs w:val="21"/>
              </w:rPr>
            </w:pPr>
            <w:r>
              <w:rPr>
                <w:rFonts w:hint="eastAsia" w:ascii="Times New Roman"/>
                <w:sz w:val="21"/>
                <w:szCs w:val="21"/>
              </w:rPr>
              <w:t>32.063</w:t>
            </w:r>
          </w:p>
        </w:tc>
        <w:tc>
          <w:tcPr>
            <w:tcW w:w="1025" w:type="dxa"/>
            <w:vAlign w:val="center"/>
          </w:tcPr>
          <w:p w14:paraId="4BCDA081">
            <w:pPr>
              <w:jc w:val="center"/>
              <w:rPr>
                <w:rFonts w:ascii="Times New Roman"/>
                <w:sz w:val="21"/>
                <w:szCs w:val="21"/>
              </w:rPr>
            </w:pPr>
            <w:r>
              <w:rPr>
                <w:rFonts w:hint="eastAsia" w:ascii="Times New Roman"/>
                <w:sz w:val="21"/>
                <w:szCs w:val="21"/>
              </w:rPr>
              <w:t>3.56</w:t>
            </w:r>
          </w:p>
        </w:tc>
      </w:tr>
      <w:tr w14:paraId="31F10F65">
        <w:tblPrEx>
          <w:tblCellMar>
            <w:top w:w="0" w:type="dxa"/>
            <w:left w:w="108" w:type="dxa"/>
            <w:bottom w:w="0" w:type="dxa"/>
            <w:right w:w="108" w:type="dxa"/>
          </w:tblCellMar>
        </w:tblPrEx>
        <w:trPr>
          <w:trHeight w:val="224" w:hRule="atLeast"/>
        </w:trPr>
        <w:tc>
          <w:tcPr>
            <w:tcW w:w="1346" w:type="dxa"/>
            <w:vAlign w:val="center"/>
          </w:tcPr>
          <w:p w14:paraId="784F7EC8">
            <w:pPr>
              <w:jc w:val="center"/>
              <w:rPr>
                <w:rFonts w:ascii="Times New Roman"/>
                <w:sz w:val="21"/>
                <w:szCs w:val="21"/>
              </w:rPr>
            </w:pPr>
            <w:r>
              <w:rPr>
                <w:rFonts w:ascii="Times New Roman"/>
                <w:sz w:val="21"/>
                <w:szCs w:val="21"/>
              </w:rPr>
              <w:t>1200.0</w:t>
            </w:r>
          </w:p>
        </w:tc>
        <w:tc>
          <w:tcPr>
            <w:tcW w:w="1286" w:type="dxa"/>
            <w:vAlign w:val="center"/>
          </w:tcPr>
          <w:p w14:paraId="0764CEE0">
            <w:pPr>
              <w:jc w:val="center"/>
              <w:rPr>
                <w:rFonts w:ascii="Times New Roman"/>
                <w:sz w:val="21"/>
                <w:szCs w:val="21"/>
              </w:rPr>
            </w:pPr>
            <w:r>
              <w:rPr>
                <w:rFonts w:hint="eastAsia" w:ascii="Times New Roman"/>
                <w:sz w:val="21"/>
                <w:szCs w:val="21"/>
              </w:rPr>
              <w:t>22.3672</w:t>
            </w:r>
          </w:p>
        </w:tc>
        <w:tc>
          <w:tcPr>
            <w:tcW w:w="1268" w:type="dxa"/>
            <w:vAlign w:val="center"/>
          </w:tcPr>
          <w:p w14:paraId="3225380B">
            <w:pPr>
              <w:jc w:val="center"/>
              <w:rPr>
                <w:rFonts w:ascii="Times New Roman"/>
                <w:sz w:val="21"/>
                <w:szCs w:val="21"/>
              </w:rPr>
            </w:pPr>
            <w:r>
              <w:rPr>
                <w:rFonts w:hint="eastAsia" w:ascii="Times New Roman"/>
                <w:sz w:val="21"/>
                <w:szCs w:val="21"/>
              </w:rPr>
              <w:t xml:space="preserve">1.12 </w:t>
            </w:r>
          </w:p>
        </w:tc>
        <w:tc>
          <w:tcPr>
            <w:tcW w:w="1286" w:type="dxa"/>
            <w:vAlign w:val="center"/>
          </w:tcPr>
          <w:p w14:paraId="2E71B379">
            <w:pPr>
              <w:jc w:val="center"/>
              <w:rPr>
                <w:rFonts w:ascii="Times New Roman"/>
                <w:sz w:val="21"/>
                <w:szCs w:val="21"/>
              </w:rPr>
            </w:pPr>
            <w:r>
              <w:rPr>
                <w:rFonts w:hint="eastAsia" w:ascii="Times New Roman"/>
                <w:sz w:val="21"/>
                <w:szCs w:val="21"/>
              </w:rPr>
              <w:t>6.1909</w:t>
            </w:r>
          </w:p>
        </w:tc>
        <w:tc>
          <w:tcPr>
            <w:tcW w:w="1021" w:type="dxa"/>
            <w:vAlign w:val="center"/>
          </w:tcPr>
          <w:p w14:paraId="743C181D">
            <w:pPr>
              <w:jc w:val="center"/>
              <w:rPr>
                <w:rFonts w:ascii="Times New Roman"/>
                <w:sz w:val="21"/>
                <w:szCs w:val="21"/>
              </w:rPr>
            </w:pPr>
            <w:r>
              <w:rPr>
                <w:rFonts w:hint="eastAsia" w:ascii="Times New Roman"/>
                <w:sz w:val="21"/>
                <w:szCs w:val="21"/>
              </w:rPr>
              <w:t>3.1</w:t>
            </w:r>
          </w:p>
        </w:tc>
        <w:tc>
          <w:tcPr>
            <w:tcW w:w="1287" w:type="dxa"/>
            <w:vAlign w:val="center"/>
          </w:tcPr>
          <w:p w14:paraId="0B835877">
            <w:pPr>
              <w:jc w:val="center"/>
              <w:rPr>
                <w:rFonts w:ascii="Times New Roman"/>
                <w:sz w:val="21"/>
                <w:szCs w:val="21"/>
              </w:rPr>
            </w:pPr>
            <w:r>
              <w:rPr>
                <w:rFonts w:hint="eastAsia" w:ascii="Times New Roman"/>
                <w:sz w:val="21"/>
                <w:szCs w:val="21"/>
              </w:rPr>
              <w:t>26.561</w:t>
            </w:r>
          </w:p>
        </w:tc>
        <w:tc>
          <w:tcPr>
            <w:tcW w:w="1025" w:type="dxa"/>
            <w:vAlign w:val="center"/>
          </w:tcPr>
          <w:p w14:paraId="44691ABB">
            <w:pPr>
              <w:jc w:val="center"/>
              <w:rPr>
                <w:rFonts w:ascii="Times New Roman"/>
                <w:sz w:val="21"/>
                <w:szCs w:val="21"/>
              </w:rPr>
            </w:pPr>
            <w:r>
              <w:rPr>
                <w:rFonts w:hint="eastAsia" w:ascii="Times New Roman"/>
                <w:sz w:val="21"/>
                <w:szCs w:val="21"/>
              </w:rPr>
              <w:t>2.95</w:t>
            </w:r>
          </w:p>
        </w:tc>
      </w:tr>
      <w:tr w14:paraId="47017981">
        <w:tblPrEx>
          <w:tblCellMar>
            <w:top w:w="0" w:type="dxa"/>
            <w:left w:w="108" w:type="dxa"/>
            <w:bottom w:w="0" w:type="dxa"/>
            <w:right w:w="108" w:type="dxa"/>
          </w:tblCellMar>
        </w:tblPrEx>
        <w:trPr>
          <w:trHeight w:val="224" w:hRule="atLeast"/>
        </w:trPr>
        <w:tc>
          <w:tcPr>
            <w:tcW w:w="1346" w:type="dxa"/>
            <w:vAlign w:val="center"/>
          </w:tcPr>
          <w:p w14:paraId="273299C7">
            <w:pPr>
              <w:jc w:val="center"/>
              <w:rPr>
                <w:rFonts w:ascii="Times New Roman"/>
                <w:sz w:val="21"/>
                <w:szCs w:val="21"/>
              </w:rPr>
            </w:pPr>
            <w:r>
              <w:rPr>
                <w:rFonts w:ascii="Times New Roman"/>
                <w:sz w:val="21"/>
                <w:szCs w:val="21"/>
              </w:rPr>
              <w:t>1400.0</w:t>
            </w:r>
          </w:p>
        </w:tc>
        <w:tc>
          <w:tcPr>
            <w:tcW w:w="1286" w:type="dxa"/>
            <w:vAlign w:val="center"/>
          </w:tcPr>
          <w:p w14:paraId="13E8174C">
            <w:pPr>
              <w:jc w:val="center"/>
              <w:rPr>
                <w:rFonts w:ascii="Times New Roman"/>
                <w:sz w:val="21"/>
                <w:szCs w:val="21"/>
              </w:rPr>
            </w:pPr>
            <w:r>
              <w:rPr>
                <w:rFonts w:hint="eastAsia" w:ascii="Times New Roman"/>
                <w:sz w:val="21"/>
                <w:szCs w:val="21"/>
              </w:rPr>
              <w:t>18.8884</w:t>
            </w:r>
          </w:p>
        </w:tc>
        <w:tc>
          <w:tcPr>
            <w:tcW w:w="1268" w:type="dxa"/>
            <w:vAlign w:val="center"/>
          </w:tcPr>
          <w:p w14:paraId="265A0886">
            <w:pPr>
              <w:jc w:val="center"/>
              <w:rPr>
                <w:rFonts w:ascii="Times New Roman"/>
                <w:sz w:val="21"/>
                <w:szCs w:val="21"/>
              </w:rPr>
            </w:pPr>
            <w:r>
              <w:rPr>
                <w:rFonts w:hint="eastAsia" w:ascii="Times New Roman"/>
                <w:sz w:val="21"/>
                <w:szCs w:val="21"/>
              </w:rPr>
              <w:t xml:space="preserve">0.94 </w:t>
            </w:r>
          </w:p>
        </w:tc>
        <w:tc>
          <w:tcPr>
            <w:tcW w:w="1286" w:type="dxa"/>
            <w:vAlign w:val="center"/>
          </w:tcPr>
          <w:p w14:paraId="159A6DF3">
            <w:pPr>
              <w:jc w:val="center"/>
              <w:rPr>
                <w:rFonts w:ascii="Times New Roman"/>
                <w:sz w:val="21"/>
                <w:szCs w:val="21"/>
              </w:rPr>
            </w:pPr>
            <w:r>
              <w:rPr>
                <w:rFonts w:hint="eastAsia" w:ascii="Times New Roman"/>
                <w:sz w:val="21"/>
                <w:szCs w:val="21"/>
              </w:rPr>
              <w:t>5.228</w:t>
            </w:r>
          </w:p>
        </w:tc>
        <w:tc>
          <w:tcPr>
            <w:tcW w:w="1021" w:type="dxa"/>
            <w:vAlign w:val="center"/>
          </w:tcPr>
          <w:p w14:paraId="0612A72A">
            <w:pPr>
              <w:jc w:val="center"/>
              <w:rPr>
                <w:rFonts w:ascii="Times New Roman"/>
                <w:sz w:val="21"/>
                <w:szCs w:val="21"/>
              </w:rPr>
            </w:pPr>
            <w:r>
              <w:rPr>
                <w:rFonts w:hint="eastAsia" w:ascii="Times New Roman"/>
                <w:sz w:val="21"/>
                <w:szCs w:val="21"/>
              </w:rPr>
              <w:t>2.61</w:t>
            </w:r>
          </w:p>
        </w:tc>
        <w:tc>
          <w:tcPr>
            <w:tcW w:w="1287" w:type="dxa"/>
            <w:vAlign w:val="center"/>
          </w:tcPr>
          <w:p w14:paraId="6E28416D">
            <w:pPr>
              <w:jc w:val="center"/>
              <w:rPr>
                <w:rFonts w:ascii="Times New Roman"/>
                <w:sz w:val="21"/>
                <w:szCs w:val="21"/>
              </w:rPr>
            </w:pPr>
            <w:r>
              <w:rPr>
                <w:rFonts w:hint="eastAsia" w:ascii="Times New Roman"/>
                <w:sz w:val="21"/>
                <w:szCs w:val="21"/>
              </w:rPr>
              <w:t>22.43</w:t>
            </w:r>
          </w:p>
        </w:tc>
        <w:tc>
          <w:tcPr>
            <w:tcW w:w="1025" w:type="dxa"/>
            <w:vAlign w:val="center"/>
          </w:tcPr>
          <w:p w14:paraId="4A5EF692">
            <w:pPr>
              <w:jc w:val="center"/>
              <w:rPr>
                <w:rFonts w:ascii="Times New Roman"/>
                <w:sz w:val="21"/>
                <w:szCs w:val="21"/>
              </w:rPr>
            </w:pPr>
            <w:r>
              <w:rPr>
                <w:rFonts w:hint="eastAsia" w:ascii="Times New Roman"/>
                <w:sz w:val="21"/>
                <w:szCs w:val="21"/>
              </w:rPr>
              <w:t>2.49</w:t>
            </w:r>
          </w:p>
        </w:tc>
      </w:tr>
      <w:tr w14:paraId="70376B0A">
        <w:tblPrEx>
          <w:tblCellMar>
            <w:top w:w="0" w:type="dxa"/>
            <w:left w:w="108" w:type="dxa"/>
            <w:bottom w:w="0" w:type="dxa"/>
            <w:right w:w="108" w:type="dxa"/>
          </w:tblCellMar>
        </w:tblPrEx>
        <w:trPr>
          <w:trHeight w:val="224" w:hRule="atLeast"/>
        </w:trPr>
        <w:tc>
          <w:tcPr>
            <w:tcW w:w="1346" w:type="dxa"/>
            <w:vAlign w:val="center"/>
          </w:tcPr>
          <w:p w14:paraId="5E44C469">
            <w:pPr>
              <w:jc w:val="center"/>
              <w:rPr>
                <w:rFonts w:ascii="Times New Roman"/>
                <w:sz w:val="21"/>
                <w:szCs w:val="21"/>
              </w:rPr>
            </w:pPr>
            <w:r>
              <w:rPr>
                <w:rFonts w:ascii="Times New Roman"/>
                <w:sz w:val="21"/>
                <w:szCs w:val="21"/>
              </w:rPr>
              <w:t>1600.0</w:t>
            </w:r>
          </w:p>
        </w:tc>
        <w:tc>
          <w:tcPr>
            <w:tcW w:w="1286" w:type="dxa"/>
            <w:vAlign w:val="center"/>
          </w:tcPr>
          <w:p w14:paraId="5F29E3D2">
            <w:pPr>
              <w:jc w:val="center"/>
              <w:rPr>
                <w:rFonts w:ascii="Times New Roman"/>
                <w:sz w:val="21"/>
                <w:szCs w:val="21"/>
              </w:rPr>
            </w:pPr>
            <w:r>
              <w:rPr>
                <w:rFonts w:hint="eastAsia" w:ascii="Times New Roman"/>
                <w:sz w:val="21"/>
                <w:szCs w:val="21"/>
              </w:rPr>
              <w:t>16.2307</w:t>
            </w:r>
          </w:p>
        </w:tc>
        <w:tc>
          <w:tcPr>
            <w:tcW w:w="1268" w:type="dxa"/>
            <w:vAlign w:val="center"/>
          </w:tcPr>
          <w:p w14:paraId="1292DCC2">
            <w:pPr>
              <w:jc w:val="center"/>
              <w:rPr>
                <w:rFonts w:ascii="Times New Roman"/>
                <w:sz w:val="21"/>
                <w:szCs w:val="21"/>
              </w:rPr>
            </w:pPr>
            <w:r>
              <w:rPr>
                <w:rFonts w:hint="eastAsia" w:ascii="Times New Roman"/>
                <w:sz w:val="21"/>
                <w:szCs w:val="21"/>
              </w:rPr>
              <w:t xml:space="preserve">0.81 </w:t>
            </w:r>
          </w:p>
        </w:tc>
        <w:tc>
          <w:tcPr>
            <w:tcW w:w="1286" w:type="dxa"/>
            <w:vAlign w:val="center"/>
          </w:tcPr>
          <w:p w14:paraId="07BC48B2">
            <w:pPr>
              <w:jc w:val="center"/>
              <w:rPr>
                <w:rFonts w:ascii="Times New Roman"/>
                <w:sz w:val="21"/>
                <w:szCs w:val="21"/>
              </w:rPr>
            </w:pPr>
            <w:r>
              <w:rPr>
                <w:rFonts w:hint="eastAsia" w:ascii="Times New Roman"/>
                <w:sz w:val="21"/>
                <w:szCs w:val="21"/>
              </w:rPr>
              <w:t>4.4924</w:t>
            </w:r>
          </w:p>
        </w:tc>
        <w:tc>
          <w:tcPr>
            <w:tcW w:w="1021" w:type="dxa"/>
            <w:vAlign w:val="center"/>
          </w:tcPr>
          <w:p w14:paraId="785060F5">
            <w:pPr>
              <w:jc w:val="center"/>
              <w:rPr>
                <w:rFonts w:ascii="Times New Roman"/>
                <w:sz w:val="21"/>
                <w:szCs w:val="21"/>
              </w:rPr>
            </w:pPr>
            <w:r>
              <w:rPr>
                <w:rFonts w:hint="eastAsia" w:ascii="Times New Roman"/>
                <w:sz w:val="21"/>
                <w:szCs w:val="21"/>
              </w:rPr>
              <w:t>2.25</w:t>
            </w:r>
          </w:p>
        </w:tc>
        <w:tc>
          <w:tcPr>
            <w:tcW w:w="1287" w:type="dxa"/>
            <w:vAlign w:val="center"/>
          </w:tcPr>
          <w:p w14:paraId="29D2C5AC">
            <w:pPr>
              <w:jc w:val="center"/>
              <w:rPr>
                <w:rFonts w:ascii="Times New Roman"/>
                <w:sz w:val="21"/>
                <w:szCs w:val="21"/>
              </w:rPr>
            </w:pPr>
            <w:r>
              <w:rPr>
                <w:rFonts w:hint="eastAsia" w:ascii="Times New Roman"/>
                <w:sz w:val="21"/>
                <w:szCs w:val="21"/>
              </w:rPr>
              <w:t>19.274</w:t>
            </w:r>
          </w:p>
        </w:tc>
        <w:tc>
          <w:tcPr>
            <w:tcW w:w="1025" w:type="dxa"/>
            <w:vAlign w:val="center"/>
          </w:tcPr>
          <w:p w14:paraId="5D1FE6DE">
            <w:pPr>
              <w:jc w:val="center"/>
              <w:rPr>
                <w:rFonts w:ascii="Times New Roman"/>
                <w:sz w:val="21"/>
                <w:szCs w:val="21"/>
              </w:rPr>
            </w:pPr>
            <w:r>
              <w:rPr>
                <w:rFonts w:hint="eastAsia" w:ascii="Times New Roman"/>
                <w:sz w:val="21"/>
                <w:szCs w:val="21"/>
              </w:rPr>
              <w:t>2.14</w:t>
            </w:r>
          </w:p>
        </w:tc>
      </w:tr>
      <w:tr w14:paraId="3C19584C">
        <w:tblPrEx>
          <w:tblCellMar>
            <w:top w:w="0" w:type="dxa"/>
            <w:left w:w="108" w:type="dxa"/>
            <w:bottom w:w="0" w:type="dxa"/>
            <w:right w:w="108" w:type="dxa"/>
          </w:tblCellMar>
        </w:tblPrEx>
        <w:trPr>
          <w:trHeight w:val="224" w:hRule="atLeast"/>
        </w:trPr>
        <w:tc>
          <w:tcPr>
            <w:tcW w:w="1346" w:type="dxa"/>
            <w:vAlign w:val="center"/>
          </w:tcPr>
          <w:p w14:paraId="483197EF">
            <w:pPr>
              <w:jc w:val="center"/>
              <w:rPr>
                <w:rFonts w:ascii="Times New Roman"/>
                <w:sz w:val="21"/>
                <w:szCs w:val="21"/>
              </w:rPr>
            </w:pPr>
            <w:r>
              <w:rPr>
                <w:rFonts w:ascii="Times New Roman"/>
                <w:sz w:val="21"/>
                <w:szCs w:val="21"/>
              </w:rPr>
              <w:t>1800.0</w:t>
            </w:r>
          </w:p>
        </w:tc>
        <w:tc>
          <w:tcPr>
            <w:tcW w:w="1286" w:type="dxa"/>
            <w:vAlign w:val="center"/>
          </w:tcPr>
          <w:p w14:paraId="0BB2F7B7">
            <w:pPr>
              <w:jc w:val="center"/>
              <w:rPr>
                <w:rFonts w:ascii="Times New Roman"/>
                <w:sz w:val="21"/>
                <w:szCs w:val="21"/>
              </w:rPr>
            </w:pPr>
            <w:r>
              <w:rPr>
                <w:rFonts w:hint="eastAsia" w:ascii="Times New Roman"/>
                <w:sz w:val="21"/>
                <w:szCs w:val="21"/>
              </w:rPr>
              <w:t>14.1465</w:t>
            </w:r>
          </w:p>
        </w:tc>
        <w:tc>
          <w:tcPr>
            <w:tcW w:w="1268" w:type="dxa"/>
            <w:vAlign w:val="center"/>
          </w:tcPr>
          <w:p w14:paraId="674C736F">
            <w:pPr>
              <w:jc w:val="center"/>
              <w:rPr>
                <w:rFonts w:ascii="Times New Roman"/>
                <w:sz w:val="21"/>
                <w:szCs w:val="21"/>
              </w:rPr>
            </w:pPr>
            <w:r>
              <w:rPr>
                <w:rFonts w:hint="eastAsia" w:ascii="Times New Roman"/>
                <w:sz w:val="21"/>
                <w:szCs w:val="21"/>
              </w:rPr>
              <w:t xml:space="preserve">0.71 </w:t>
            </w:r>
          </w:p>
        </w:tc>
        <w:tc>
          <w:tcPr>
            <w:tcW w:w="1286" w:type="dxa"/>
            <w:vAlign w:val="center"/>
          </w:tcPr>
          <w:p w14:paraId="12C4196C">
            <w:pPr>
              <w:jc w:val="center"/>
              <w:rPr>
                <w:rFonts w:ascii="Times New Roman"/>
                <w:sz w:val="21"/>
                <w:szCs w:val="21"/>
              </w:rPr>
            </w:pPr>
            <w:r>
              <w:rPr>
                <w:rFonts w:hint="eastAsia" w:ascii="Times New Roman"/>
                <w:sz w:val="21"/>
                <w:szCs w:val="21"/>
              </w:rPr>
              <w:t>3.9156</w:t>
            </w:r>
          </w:p>
        </w:tc>
        <w:tc>
          <w:tcPr>
            <w:tcW w:w="1021" w:type="dxa"/>
            <w:vAlign w:val="center"/>
          </w:tcPr>
          <w:p w14:paraId="09BBD270">
            <w:pPr>
              <w:jc w:val="center"/>
              <w:rPr>
                <w:rFonts w:ascii="Times New Roman"/>
                <w:sz w:val="21"/>
                <w:szCs w:val="21"/>
              </w:rPr>
            </w:pPr>
            <w:r>
              <w:rPr>
                <w:rFonts w:hint="eastAsia" w:ascii="Times New Roman"/>
                <w:sz w:val="21"/>
                <w:szCs w:val="21"/>
              </w:rPr>
              <w:t>1.96</w:t>
            </w:r>
          </w:p>
        </w:tc>
        <w:tc>
          <w:tcPr>
            <w:tcW w:w="1287" w:type="dxa"/>
            <w:vAlign w:val="center"/>
          </w:tcPr>
          <w:p w14:paraId="095C78F1">
            <w:pPr>
              <w:jc w:val="center"/>
              <w:rPr>
                <w:rFonts w:ascii="Times New Roman"/>
                <w:sz w:val="21"/>
                <w:szCs w:val="21"/>
              </w:rPr>
            </w:pPr>
            <w:r>
              <w:rPr>
                <w:rFonts w:hint="eastAsia" w:ascii="Times New Roman"/>
                <w:sz w:val="21"/>
                <w:szCs w:val="21"/>
              </w:rPr>
              <w:t>16.799</w:t>
            </w:r>
          </w:p>
        </w:tc>
        <w:tc>
          <w:tcPr>
            <w:tcW w:w="1025" w:type="dxa"/>
            <w:vAlign w:val="center"/>
          </w:tcPr>
          <w:p w14:paraId="72F19F3C">
            <w:pPr>
              <w:jc w:val="center"/>
              <w:rPr>
                <w:rFonts w:ascii="Times New Roman"/>
                <w:sz w:val="21"/>
                <w:szCs w:val="21"/>
              </w:rPr>
            </w:pPr>
            <w:r>
              <w:rPr>
                <w:rFonts w:hint="eastAsia" w:ascii="Times New Roman"/>
                <w:sz w:val="21"/>
                <w:szCs w:val="21"/>
              </w:rPr>
              <w:t>1.87</w:t>
            </w:r>
          </w:p>
        </w:tc>
      </w:tr>
      <w:tr w14:paraId="40A9B731">
        <w:tblPrEx>
          <w:tblCellMar>
            <w:top w:w="0" w:type="dxa"/>
            <w:left w:w="108" w:type="dxa"/>
            <w:bottom w:w="0" w:type="dxa"/>
            <w:right w:w="108" w:type="dxa"/>
          </w:tblCellMar>
        </w:tblPrEx>
        <w:trPr>
          <w:trHeight w:val="224" w:hRule="atLeast"/>
        </w:trPr>
        <w:tc>
          <w:tcPr>
            <w:tcW w:w="1346" w:type="dxa"/>
            <w:vAlign w:val="center"/>
          </w:tcPr>
          <w:p w14:paraId="4E973CB3">
            <w:pPr>
              <w:jc w:val="center"/>
              <w:rPr>
                <w:rFonts w:ascii="Times New Roman"/>
                <w:sz w:val="21"/>
                <w:szCs w:val="21"/>
              </w:rPr>
            </w:pPr>
            <w:r>
              <w:rPr>
                <w:rFonts w:ascii="Times New Roman"/>
                <w:sz w:val="21"/>
                <w:szCs w:val="21"/>
              </w:rPr>
              <w:t>2000.0</w:t>
            </w:r>
          </w:p>
        </w:tc>
        <w:tc>
          <w:tcPr>
            <w:tcW w:w="1286" w:type="dxa"/>
            <w:vAlign w:val="center"/>
          </w:tcPr>
          <w:p w14:paraId="63D9C8C2">
            <w:pPr>
              <w:jc w:val="center"/>
              <w:rPr>
                <w:rFonts w:ascii="Times New Roman"/>
                <w:sz w:val="21"/>
                <w:szCs w:val="21"/>
              </w:rPr>
            </w:pPr>
            <w:r>
              <w:rPr>
                <w:rFonts w:hint="eastAsia" w:ascii="Times New Roman"/>
                <w:sz w:val="21"/>
                <w:szCs w:val="21"/>
              </w:rPr>
              <w:t>12.4808</w:t>
            </w:r>
          </w:p>
        </w:tc>
        <w:tc>
          <w:tcPr>
            <w:tcW w:w="1268" w:type="dxa"/>
            <w:vAlign w:val="center"/>
          </w:tcPr>
          <w:p w14:paraId="13D3813C">
            <w:pPr>
              <w:jc w:val="center"/>
              <w:rPr>
                <w:rFonts w:ascii="Times New Roman"/>
                <w:sz w:val="21"/>
                <w:szCs w:val="21"/>
              </w:rPr>
            </w:pPr>
            <w:r>
              <w:rPr>
                <w:rFonts w:hint="eastAsia" w:ascii="Times New Roman"/>
                <w:sz w:val="21"/>
                <w:szCs w:val="21"/>
              </w:rPr>
              <w:t xml:space="preserve">0.62 </w:t>
            </w:r>
          </w:p>
        </w:tc>
        <w:tc>
          <w:tcPr>
            <w:tcW w:w="1286" w:type="dxa"/>
            <w:vAlign w:val="center"/>
          </w:tcPr>
          <w:p w14:paraId="56F484D0">
            <w:pPr>
              <w:jc w:val="center"/>
              <w:rPr>
                <w:rFonts w:ascii="Times New Roman"/>
                <w:sz w:val="21"/>
                <w:szCs w:val="21"/>
              </w:rPr>
            </w:pPr>
            <w:r>
              <w:rPr>
                <w:rFonts w:hint="eastAsia" w:ascii="Times New Roman"/>
                <w:sz w:val="21"/>
                <w:szCs w:val="21"/>
              </w:rPr>
              <w:t>3.4545</w:t>
            </w:r>
          </w:p>
        </w:tc>
        <w:tc>
          <w:tcPr>
            <w:tcW w:w="1021" w:type="dxa"/>
            <w:vAlign w:val="center"/>
          </w:tcPr>
          <w:p w14:paraId="75862355">
            <w:pPr>
              <w:jc w:val="center"/>
              <w:rPr>
                <w:rFonts w:ascii="Times New Roman"/>
                <w:sz w:val="21"/>
                <w:szCs w:val="21"/>
              </w:rPr>
            </w:pPr>
            <w:r>
              <w:rPr>
                <w:rFonts w:hint="eastAsia" w:ascii="Times New Roman"/>
                <w:sz w:val="21"/>
                <w:szCs w:val="21"/>
              </w:rPr>
              <w:t>1.73</w:t>
            </w:r>
          </w:p>
        </w:tc>
        <w:tc>
          <w:tcPr>
            <w:tcW w:w="1287" w:type="dxa"/>
            <w:vAlign w:val="center"/>
          </w:tcPr>
          <w:p w14:paraId="5C229910">
            <w:pPr>
              <w:jc w:val="center"/>
              <w:rPr>
                <w:rFonts w:ascii="Times New Roman"/>
                <w:sz w:val="21"/>
                <w:szCs w:val="21"/>
              </w:rPr>
            </w:pPr>
            <w:r>
              <w:rPr>
                <w:rFonts w:hint="eastAsia" w:ascii="Times New Roman"/>
                <w:sz w:val="21"/>
                <w:szCs w:val="21"/>
              </w:rPr>
              <w:t>14.821</w:t>
            </w:r>
          </w:p>
        </w:tc>
        <w:tc>
          <w:tcPr>
            <w:tcW w:w="1025" w:type="dxa"/>
            <w:vAlign w:val="center"/>
          </w:tcPr>
          <w:p w14:paraId="776563C3">
            <w:pPr>
              <w:jc w:val="center"/>
              <w:rPr>
                <w:rFonts w:ascii="Times New Roman"/>
                <w:sz w:val="21"/>
                <w:szCs w:val="21"/>
              </w:rPr>
            </w:pPr>
            <w:r>
              <w:rPr>
                <w:rFonts w:hint="eastAsia" w:ascii="Times New Roman"/>
                <w:sz w:val="21"/>
                <w:szCs w:val="21"/>
              </w:rPr>
              <w:t>1.65</w:t>
            </w:r>
          </w:p>
        </w:tc>
      </w:tr>
      <w:tr w14:paraId="7F888C85">
        <w:tblPrEx>
          <w:tblCellMar>
            <w:top w:w="0" w:type="dxa"/>
            <w:left w:w="108" w:type="dxa"/>
            <w:bottom w:w="0" w:type="dxa"/>
            <w:right w:w="108" w:type="dxa"/>
          </w:tblCellMar>
        </w:tblPrEx>
        <w:trPr>
          <w:trHeight w:val="224" w:hRule="atLeast"/>
        </w:trPr>
        <w:tc>
          <w:tcPr>
            <w:tcW w:w="1346" w:type="dxa"/>
            <w:vAlign w:val="center"/>
          </w:tcPr>
          <w:p w14:paraId="6EF2FB4C">
            <w:pPr>
              <w:jc w:val="center"/>
              <w:rPr>
                <w:rFonts w:ascii="Times New Roman"/>
                <w:sz w:val="21"/>
                <w:szCs w:val="21"/>
              </w:rPr>
            </w:pPr>
            <w:r>
              <w:rPr>
                <w:rFonts w:ascii="Times New Roman"/>
                <w:sz w:val="21"/>
                <w:szCs w:val="21"/>
              </w:rPr>
              <w:t>2500.0</w:t>
            </w:r>
          </w:p>
        </w:tc>
        <w:tc>
          <w:tcPr>
            <w:tcW w:w="1286" w:type="dxa"/>
            <w:vAlign w:val="center"/>
          </w:tcPr>
          <w:p w14:paraId="5B4C453C">
            <w:pPr>
              <w:jc w:val="center"/>
              <w:rPr>
                <w:rFonts w:ascii="Times New Roman"/>
                <w:sz w:val="21"/>
                <w:szCs w:val="21"/>
              </w:rPr>
            </w:pPr>
            <w:r>
              <w:rPr>
                <w:rFonts w:hint="eastAsia" w:ascii="Times New Roman"/>
                <w:sz w:val="21"/>
                <w:szCs w:val="21"/>
              </w:rPr>
              <w:t>9.5057</w:t>
            </w:r>
          </w:p>
        </w:tc>
        <w:tc>
          <w:tcPr>
            <w:tcW w:w="1268" w:type="dxa"/>
            <w:vAlign w:val="center"/>
          </w:tcPr>
          <w:p w14:paraId="60E3FEC8">
            <w:pPr>
              <w:jc w:val="center"/>
              <w:rPr>
                <w:rFonts w:ascii="Times New Roman"/>
                <w:sz w:val="21"/>
                <w:szCs w:val="21"/>
              </w:rPr>
            </w:pPr>
            <w:r>
              <w:rPr>
                <w:rFonts w:hint="eastAsia" w:ascii="Times New Roman"/>
                <w:sz w:val="21"/>
                <w:szCs w:val="21"/>
              </w:rPr>
              <w:t xml:space="preserve">0.48 </w:t>
            </w:r>
          </w:p>
        </w:tc>
        <w:tc>
          <w:tcPr>
            <w:tcW w:w="1286" w:type="dxa"/>
            <w:vAlign w:val="center"/>
          </w:tcPr>
          <w:p w14:paraId="49164B06">
            <w:pPr>
              <w:jc w:val="center"/>
              <w:rPr>
                <w:rFonts w:ascii="Times New Roman"/>
                <w:sz w:val="21"/>
                <w:szCs w:val="21"/>
              </w:rPr>
            </w:pPr>
            <w:r>
              <w:rPr>
                <w:rFonts w:hint="eastAsia" w:ascii="Times New Roman"/>
                <w:sz w:val="21"/>
                <w:szCs w:val="21"/>
              </w:rPr>
              <w:t>2.631</w:t>
            </w:r>
          </w:p>
        </w:tc>
        <w:tc>
          <w:tcPr>
            <w:tcW w:w="1021" w:type="dxa"/>
            <w:vAlign w:val="center"/>
          </w:tcPr>
          <w:p w14:paraId="70BA14FB">
            <w:pPr>
              <w:jc w:val="center"/>
              <w:rPr>
                <w:rFonts w:ascii="Times New Roman"/>
                <w:sz w:val="21"/>
                <w:szCs w:val="21"/>
              </w:rPr>
            </w:pPr>
            <w:r>
              <w:rPr>
                <w:rFonts w:hint="eastAsia" w:ascii="Times New Roman"/>
                <w:sz w:val="21"/>
                <w:szCs w:val="21"/>
              </w:rPr>
              <w:t>1.32</w:t>
            </w:r>
          </w:p>
        </w:tc>
        <w:tc>
          <w:tcPr>
            <w:tcW w:w="1287" w:type="dxa"/>
            <w:vAlign w:val="center"/>
          </w:tcPr>
          <w:p w14:paraId="7DD58CDB">
            <w:pPr>
              <w:jc w:val="center"/>
              <w:rPr>
                <w:rFonts w:ascii="Times New Roman"/>
                <w:sz w:val="21"/>
                <w:szCs w:val="21"/>
              </w:rPr>
            </w:pPr>
            <w:r>
              <w:rPr>
                <w:rFonts w:hint="eastAsia" w:ascii="Times New Roman"/>
                <w:sz w:val="21"/>
                <w:szCs w:val="21"/>
              </w:rPr>
              <w:t>11.288</w:t>
            </w:r>
          </w:p>
        </w:tc>
        <w:tc>
          <w:tcPr>
            <w:tcW w:w="1025" w:type="dxa"/>
            <w:vAlign w:val="center"/>
          </w:tcPr>
          <w:p w14:paraId="0F5916E4">
            <w:pPr>
              <w:jc w:val="center"/>
              <w:rPr>
                <w:rFonts w:ascii="Times New Roman"/>
                <w:sz w:val="21"/>
                <w:szCs w:val="21"/>
              </w:rPr>
            </w:pPr>
            <w:r>
              <w:rPr>
                <w:rFonts w:hint="eastAsia" w:ascii="Times New Roman"/>
                <w:sz w:val="21"/>
                <w:szCs w:val="21"/>
              </w:rPr>
              <w:t>1.25</w:t>
            </w:r>
          </w:p>
        </w:tc>
      </w:tr>
      <w:tr w14:paraId="1B315097">
        <w:tblPrEx>
          <w:tblCellMar>
            <w:top w:w="0" w:type="dxa"/>
            <w:left w:w="108" w:type="dxa"/>
            <w:bottom w:w="0" w:type="dxa"/>
            <w:right w:w="108" w:type="dxa"/>
          </w:tblCellMar>
        </w:tblPrEx>
        <w:trPr>
          <w:trHeight w:val="224" w:hRule="atLeast"/>
        </w:trPr>
        <w:tc>
          <w:tcPr>
            <w:tcW w:w="1346" w:type="dxa"/>
            <w:vAlign w:val="center"/>
          </w:tcPr>
          <w:p w14:paraId="73EC5684">
            <w:pPr>
              <w:jc w:val="center"/>
              <w:rPr>
                <w:rFonts w:ascii="Times New Roman"/>
                <w:sz w:val="21"/>
                <w:szCs w:val="21"/>
              </w:rPr>
            </w:pPr>
            <w:r>
              <w:rPr>
                <w:rFonts w:ascii="Times New Roman"/>
                <w:sz w:val="21"/>
                <w:szCs w:val="21"/>
              </w:rPr>
              <w:t>3000.0</w:t>
            </w:r>
          </w:p>
        </w:tc>
        <w:tc>
          <w:tcPr>
            <w:tcW w:w="1286" w:type="dxa"/>
            <w:vAlign w:val="center"/>
          </w:tcPr>
          <w:p w14:paraId="0E5586BF">
            <w:pPr>
              <w:jc w:val="center"/>
              <w:rPr>
                <w:rFonts w:ascii="Times New Roman"/>
                <w:sz w:val="21"/>
                <w:szCs w:val="21"/>
              </w:rPr>
            </w:pPr>
            <w:r>
              <w:rPr>
                <w:rFonts w:hint="eastAsia" w:ascii="Times New Roman"/>
                <w:sz w:val="21"/>
                <w:szCs w:val="21"/>
              </w:rPr>
              <w:t>7.5749</w:t>
            </w:r>
          </w:p>
        </w:tc>
        <w:tc>
          <w:tcPr>
            <w:tcW w:w="1268" w:type="dxa"/>
            <w:vAlign w:val="center"/>
          </w:tcPr>
          <w:p w14:paraId="34C7D22F">
            <w:pPr>
              <w:jc w:val="center"/>
              <w:rPr>
                <w:rFonts w:ascii="Times New Roman"/>
                <w:sz w:val="21"/>
                <w:szCs w:val="21"/>
              </w:rPr>
            </w:pPr>
            <w:r>
              <w:rPr>
                <w:rFonts w:hint="eastAsia" w:ascii="Times New Roman"/>
                <w:sz w:val="21"/>
                <w:szCs w:val="21"/>
              </w:rPr>
              <w:t xml:space="preserve">0.38 </w:t>
            </w:r>
          </w:p>
        </w:tc>
        <w:tc>
          <w:tcPr>
            <w:tcW w:w="1286" w:type="dxa"/>
            <w:vAlign w:val="center"/>
          </w:tcPr>
          <w:p w14:paraId="1CD3036D">
            <w:pPr>
              <w:jc w:val="center"/>
              <w:rPr>
                <w:rFonts w:ascii="Times New Roman"/>
                <w:sz w:val="21"/>
                <w:szCs w:val="21"/>
              </w:rPr>
            </w:pPr>
            <w:r>
              <w:rPr>
                <w:rFonts w:hint="eastAsia" w:ascii="Times New Roman"/>
                <w:sz w:val="21"/>
                <w:szCs w:val="21"/>
              </w:rPr>
              <w:t>2.0966</w:t>
            </w:r>
          </w:p>
        </w:tc>
        <w:tc>
          <w:tcPr>
            <w:tcW w:w="1021" w:type="dxa"/>
            <w:vAlign w:val="center"/>
          </w:tcPr>
          <w:p w14:paraId="37215E16">
            <w:pPr>
              <w:jc w:val="center"/>
              <w:rPr>
                <w:rFonts w:ascii="Times New Roman"/>
                <w:sz w:val="21"/>
                <w:szCs w:val="21"/>
              </w:rPr>
            </w:pPr>
            <w:r>
              <w:rPr>
                <w:rFonts w:hint="eastAsia" w:ascii="Times New Roman"/>
                <w:sz w:val="21"/>
                <w:szCs w:val="21"/>
              </w:rPr>
              <w:t>1.05</w:t>
            </w:r>
          </w:p>
        </w:tc>
        <w:tc>
          <w:tcPr>
            <w:tcW w:w="1287" w:type="dxa"/>
            <w:vAlign w:val="center"/>
          </w:tcPr>
          <w:p w14:paraId="00CA2FC7">
            <w:pPr>
              <w:jc w:val="center"/>
              <w:rPr>
                <w:rFonts w:ascii="Times New Roman"/>
                <w:sz w:val="21"/>
                <w:szCs w:val="21"/>
              </w:rPr>
            </w:pPr>
            <w:r>
              <w:rPr>
                <w:rFonts w:hint="eastAsia" w:ascii="Times New Roman"/>
                <w:sz w:val="21"/>
                <w:szCs w:val="21"/>
              </w:rPr>
              <w:t>8.9952</w:t>
            </w:r>
          </w:p>
        </w:tc>
        <w:tc>
          <w:tcPr>
            <w:tcW w:w="1025" w:type="dxa"/>
            <w:vAlign w:val="center"/>
          </w:tcPr>
          <w:p w14:paraId="2F0AF4D8">
            <w:pPr>
              <w:jc w:val="center"/>
              <w:rPr>
                <w:rFonts w:ascii="Times New Roman"/>
                <w:sz w:val="21"/>
                <w:szCs w:val="21"/>
              </w:rPr>
            </w:pPr>
            <w:r>
              <w:rPr>
                <w:rFonts w:hint="eastAsia" w:ascii="Times New Roman"/>
                <w:sz w:val="21"/>
                <w:szCs w:val="21"/>
              </w:rPr>
              <w:t>1</w:t>
            </w:r>
          </w:p>
        </w:tc>
      </w:tr>
      <w:tr w14:paraId="3365DAAD">
        <w:tblPrEx>
          <w:tblCellMar>
            <w:top w:w="0" w:type="dxa"/>
            <w:left w:w="108" w:type="dxa"/>
            <w:bottom w:w="0" w:type="dxa"/>
            <w:right w:w="108" w:type="dxa"/>
          </w:tblCellMar>
        </w:tblPrEx>
        <w:trPr>
          <w:trHeight w:val="224" w:hRule="atLeast"/>
        </w:trPr>
        <w:tc>
          <w:tcPr>
            <w:tcW w:w="1346" w:type="dxa"/>
            <w:vAlign w:val="center"/>
          </w:tcPr>
          <w:p w14:paraId="27A96734">
            <w:pPr>
              <w:jc w:val="center"/>
              <w:rPr>
                <w:rFonts w:ascii="Times New Roman"/>
                <w:sz w:val="21"/>
                <w:szCs w:val="21"/>
              </w:rPr>
            </w:pPr>
            <w:r>
              <w:rPr>
                <w:rFonts w:ascii="Times New Roman"/>
                <w:sz w:val="21"/>
                <w:szCs w:val="21"/>
              </w:rPr>
              <w:t>3500.0</w:t>
            </w:r>
          </w:p>
        </w:tc>
        <w:tc>
          <w:tcPr>
            <w:tcW w:w="1286" w:type="dxa"/>
            <w:vAlign w:val="center"/>
          </w:tcPr>
          <w:p w14:paraId="51A18E22">
            <w:pPr>
              <w:jc w:val="center"/>
              <w:rPr>
                <w:rFonts w:ascii="Times New Roman"/>
                <w:sz w:val="21"/>
                <w:szCs w:val="21"/>
              </w:rPr>
            </w:pPr>
            <w:r>
              <w:rPr>
                <w:rFonts w:hint="eastAsia" w:ascii="Times New Roman"/>
                <w:sz w:val="21"/>
                <w:szCs w:val="21"/>
              </w:rPr>
              <w:t>6.238</w:t>
            </w:r>
          </w:p>
        </w:tc>
        <w:tc>
          <w:tcPr>
            <w:tcW w:w="1268" w:type="dxa"/>
            <w:vAlign w:val="center"/>
          </w:tcPr>
          <w:p w14:paraId="0F70B8A0">
            <w:pPr>
              <w:jc w:val="center"/>
              <w:rPr>
                <w:rFonts w:ascii="Times New Roman"/>
                <w:sz w:val="21"/>
                <w:szCs w:val="21"/>
              </w:rPr>
            </w:pPr>
            <w:r>
              <w:rPr>
                <w:rFonts w:hint="eastAsia" w:ascii="Times New Roman"/>
                <w:sz w:val="21"/>
                <w:szCs w:val="21"/>
              </w:rPr>
              <w:t xml:space="preserve">0.31 </w:t>
            </w:r>
          </w:p>
        </w:tc>
        <w:tc>
          <w:tcPr>
            <w:tcW w:w="1286" w:type="dxa"/>
            <w:vAlign w:val="center"/>
          </w:tcPr>
          <w:p w14:paraId="600B66F9">
            <w:pPr>
              <w:jc w:val="center"/>
              <w:rPr>
                <w:rFonts w:ascii="Times New Roman"/>
                <w:sz w:val="21"/>
                <w:szCs w:val="21"/>
              </w:rPr>
            </w:pPr>
            <w:r>
              <w:rPr>
                <w:rFonts w:hint="eastAsia" w:ascii="Times New Roman"/>
                <w:sz w:val="21"/>
                <w:szCs w:val="21"/>
              </w:rPr>
              <w:t>1.7266</w:t>
            </w:r>
          </w:p>
        </w:tc>
        <w:tc>
          <w:tcPr>
            <w:tcW w:w="1021" w:type="dxa"/>
            <w:vAlign w:val="center"/>
          </w:tcPr>
          <w:p w14:paraId="033CE884">
            <w:pPr>
              <w:jc w:val="center"/>
              <w:rPr>
                <w:rFonts w:ascii="Times New Roman"/>
                <w:sz w:val="21"/>
                <w:szCs w:val="21"/>
              </w:rPr>
            </w:pPr>
            <w:r>
              <w:rPr>
                <w:rFonts w:hint="eastAsia" w:ascii="Times New Roman"/>
                <w:sz w:val="21"/>
                <w:szCs w:val="21"/>
              </w:rPr>
              <w:t>0.86</w:t>
            </w:r>
          </w:p>
        </w:tc>
        <w:tc>
          <w:tcPr>
            <w:tcW w:w="1287" w:type="dxa"/>
            <w:vAlign w:val="center"/>
          </w:tcPr>
          <w:p w14:paraId="34C48F20">
            <w:pPr>
              <w:jc w:val="center"/>
              <w:rPr>
                <w:rFonts w:ascii="Times New Roman"/>
                <w:sz w:val="21"/>
                <w:szCs w:val="21"/>
              </w:rPr>
            </w:pPr>
            <w:r>
              <w:rPr>
                <w:rFonts w:hint="eastAsia" w:ascii="Times New Roman"/>
                <w:sz w:val="21"/>
                <w:szCs w:val="21"/>
              </w:rPr>
              <w:t>7.4076</w:t>
            </w:r>
          </w:p>
        </w:tc>
        <w:tc>
          <w:tcPr>
            <w:tcW w:w="1025" w:type="dxa"/>
            <w:vAlign w:val="center"/>
          </w:tcPr>
          <w:p w14:paraId="22A920DC">
            <w:pPr>
              <w:jc w:val="center"/>
              <w:rPr>
                <w:rFonts w:ascii="Times New Roman"/>
                <w:sz w:val="21"/>
                <w:szCs w:val="21"/>
              </w:rPr>
            </w:pPr>
            <w:r>
              <w:rPr>
                <w:rFonts w:hint="eastAsia" w:ascii="Times New Roman"/>
                <w:sz w:val="21"/>
                <w:szCs w:val="21"/>
              </w:rPr>
              <w:t>0.82</w:t>
            </w:r>
          </w:p>
        </w:tc>
      </w:tr>
      <w:tr w14:paraId="1783C6BE">
        <w:tblPrEx>
          <w:tblCellMar>
            <w:top w:w="0" w:type="dxa"/>
            <w:left w:w="108" w:type="dxa"/>
            <w:bottom w:w="0" w:type="dxa"/>
            <w:right w:w="108" w:type="dxa"/>
          </w:tblCellMar>
        </w:tblPrEx>
        <w:trPr>
          <w:trHeight w:val="224" w:hRule="atLeast"/>
        </w:trPr>
        <w:tc>
          <w:tcPr>
            <w:tcW w:w="1346" w:type="dxa"/>
            <w:vAlign w:val="center"/>
          </w:tcPr>
          <w:p w14:paraId="6DB5DCCE">
            <w:pPr>
              <w:jc w:val="center"/>
              <w:rPr>
                <w:rFonts w:ascii="Times New Roman"/>
                <w:sz w:val="21"/>
                <w:szCs w:val="21"/>
              </w:rPr>
            </w:pPr>
            <w:r>
              <w:rPr>
                <w:rFonts w:ascii="Times New Roman"/>
                <w:sz w:val="21"/>
                <w:szCs w:val="21"/>
              </w:rPr>
              <w:t>4000.0</w:t>
            </w:r>
          </w:p>
        </w:tc>
        <w:tc>
          <w:tcPr>
            <w:tcW w:w="1286" w:type="dxa"/>
            <w:vAlign w:val="center"/>
          </w:tcPr>
          <w:p w14:paraId="4CDCB934">
            <w:pPr>
              <w:jc w:val="center"/>
              <w:rPr>
                <w:rFonts w:ascii="Times New Roman"/>
                <w:sz w:val="21"/>
                <w:szCs w:val="21"/>
              </w:rPr>
            </w:pPr>
            <w:r>
              <w:rPr>
                <w:rFonts w:hint="eastAsia" w:ascii="Times New Roman"/>
                <w:sz w:val="21"/>
                <w:szCs w:val="21"/>
              </w:rPr>
              <w:t>5.2673</w:t>
            </w:r>
          </w:p>
        </w:tc>
        <w:tc>
          <w:tcPr>
            <w:tcW w:w="1268" w:type="dxa"/>
            <w:vAlign w:val="center"/>
          </w:tcPr>
          <w:p w14:paraId="658C8928">
            <w:pPr>
              <w:jc w:val="center"/>
              <w:rPr>
                <w:rFonts w:ascii="Times New Roman"/>
                <w:sz w:val="21"/>
                <w:szCs w:val="21"/>
              </w:rPr>
            </w:pPr>
            <w:r>
              <w:rPr>
                <w:rFonts w:hint="eastAsia" w:ascii="Times New Roman"/>
                <w:sz w:val="21"/>
                <w:szCs w:val="21"/>
              </w:rPr>
              <w:t xml:space="preserve">0.26 </w:t>
            </w:r>
          </w:p>
        </w:tc>
        <w:tc>
          <w:tcPr>
            <w:tcW w:w="1286" w:type="dxa"/>
            <w:vAlign w:val="center"/>
          </w:tcPr>
          <w:p w14:paraId="0B4C60EA">
            <w:pPr>
              <w:jc w:val="center"/>
              <w:rPr>
                <w:rFonts w:ascii="Times New Roman"/>
                <w:sz w:val="21"/>
                <w:szCs w:val="21"/>
              </w:rPr>
            </w:pPr>
            <w:r>
              <w:rPr>
                <w:rFonts w:hint="eastAsia" w:ascii="Times New Roman"/>
                <w:sz w:val="21"/>
                <w:szCs w:val="21"/>
              </w:rPr>
              <w:t>1.4579</w:t>
            </w:r>
          </w:p>
        </w:tc>
        <w:tc>
          <w:tcPr>
            <w:tcW w:w="1021" w:type="dxa"/>
            <w:vAlign w:val="center"/>
          </w:tcPr>
          <w:p w14:paraId="418E1294">
            <w:pPr>
              <w:jc w:val="center"/>
              <w:rPr>
                <w:rFonts w:ascii="Times New Roman"/>
                <w:sz w:val="21"/>
                <w:szCs w:val="21"/>
              </w:rPr>
            </w:pPr>
            <w:r>
              <w:rPr>
                <w:rFonts w:hint="eastAsia" w:ascii="Times New Roman"/>
                <w:sz w:val="21"/>
                <w:szCs w:val="21"/>
              </w:rPr>
              <w:t>0.73</w:t>
            </w:r>
          </w:p>
        </w:tc>
        <w:tc>
          <w:tcPr>
            <w:tcW w:w="1287" w:type="dxa"/>
            <w:vAlign w:val="center"/>
          </w:tcPr>
          <w:p w14:paraId="059E0D62">
            <w:pPr>
              <w:jc w:val="center"/>
              <w:rPr>
                <w:rFonts w:ascii="Times New Roman"/>
                <w:sz w:val="21"/>
                <w:szCs w:val="21"/>
              </w:rPr>
            </w:pPr>
            <w:r>
              <w:rPr>
                <w:rFonts w:hint="eastAsia" w:ascii="Times New Roman"/>
                <w:sz w:val="21"/>
                <w:szCs w:val="21"/>
              </w:rPr>
              <w:t>6.2549</w:t>
            </w:r>
          </w:p>
        </w:tc>
        <w:tc>
          <w:tcPr>
            <w:tcW w:w="1025" w:type="dxa"/>
            <w:vAlign w:val="center"/>
          </w:tcPr>
          <w:p w14:paraId="6D0AF214">
            <w:pPr>
              <w:jc w:val="center"/>
              <w:rPr>
                <w:rFonts w:ascii="Times New Roman"/>
                <w:sz w:val="21"/>
                <w:szCs w:val="21"/>
              </w:rPr>
            </w:pPr>
            <w:r>
              <w:rPr>
                <w:rFonts w:hint="eastAsia" w:ascii="Times New Roman"/>
                <w:sz w:val="21"/>
                <w:szCs w:val="21"/>
              </w:rPr>
              <w:t>0.69</w:t>
            </w:r>
          </w:p>
        </w:tc>
      </w:tr>
      <w:tr w14:paraId="44FF733F">
        <w:tblPrEx>
          <w:tblCellMar>
            <w:top w:w="0" w:type="dxa"/>
            <w:left w:w="108" w:type="dxa"/>
            <w:bottom w:w="0" w:type="dxa"/>
            <w:right w:w="108" w:type="dxa"/>
          </w:tblCellMar>
        </w:tblPrEx>
        <w:trPr>
          <w:trHeight w:val="224" w:hRule="atLeast"/>
        </w:trPr>
        <w:tc>
          <w:tcPr>
            <w:tcW w:w="1346" w:type="dxa"/>
            <w:vAlign w:val="center"/>
          </w:tcPr>
          <w:p w14:paraId="22DFF82C">
            <w:pPr>
              <w:jc w:val="center"/>
              <w:rPr>
                <w:rFonts w:ascii="Times New Roman"/>
                <w:sz w:val="21"/>
                <w:szCs w:val="21"/>
              </w:rPr>
            </w:pPr>
            <w:r>
              <w:rPr>
                <w:rFonts w:ascii="Times New Roman"/>
                <w:sz w:val="21"/>
                <w:szCs w:val="21"/>
              </w:rPr>
              <w:t>4500.0</w:t>
            </w:r>
          </w:p>
        </w:tc>
        <w:tc>
          <w:tcPr>
            <w:tcW w:w="1286" w:type="dxa"/>
            <w:vAlign w:val="center"/>
          </w:tcPr>
          <w:p w14:paraId="1261226C">
            <w:pPr>
              <w:jc w:val="center"/>
              <w:rPr>
                <w:rFonts w:ascii="Times New Roman"/>
                <w:sz w:val="21"/>
                <w:szCs w:val="21"/>
              </w:rPr>
            </w:pPr>
            <w:r>
              <w:rPr>
                <w:rFonts w:hint="eastAsia" w:ascii="Times New Roman"/>
                <w:sz w:val="21"/>
                <w:szCs w:val="21"/>
              </w:rPr>
              <w:t>4.526</w:t>
            </w:r>
          </w:p>
        </w:tc>
        <w:tc>
          <w:tcPr>
            <w:tcW w:w="1268" w:type="dxa"/>
            <w:vAlign w:val="center"/>
          </w:tcPr>
          <w:p w14:paraId="7E0F8658">
            <w:pPr>
              <w:jc w:val="center"/>
              <w:rPr>
                <w:rFonts w:ascii="Times New Roman"/>
                <w:sz w:val="21"/>
                <w:szCs w:val="21"/>
              </w:rPr>
            </w:pPr>
            <w:r>
              <w:rPr>
                <w:rFonts w:hint="eastAsia" w:ascii="Times New Roman"/>
                <w:sz w:val="21"/>
                <w:szCs w:val="21"/>
              </w:rPr>
              <w:t xml:space="preserve">0.23 </w:t>
            </w:r>
          </w:p>
        </w:tc>
        <w:tc>
          <w:tcPr>
            <w:tcW w:w="1286" w:type="dxa"/>
            <w:vAlign w:val="center"/>
          </w:tcPr>
          <w:p w14:paraId="7E956979">
            <w:pPr>
              <w:jc w:val="center"/>
              <w:rPr>
                <w:rFonts w:ascii="Times New Roman"/>
                <w:sz w:val="21"/>
                <w:szCs w:val="21"/>
              </w:rPr>
            </w:pPr>
            <w:r>
              <w:rPr>
                <w:rFonts w:hint="eastAsia" w:ascii="Times New Roman"/>
                <w:sz w:val="21"/>
                <w:szCs w:val="21"/>
              </w:rPr>
              <w:t>1.2527</w:t>
            </w:r>
          </w:p>
        </w:tc>
        <w:tc>
          <w:tcPr>
            <w:tcW w:w="1021" w:type="dxa"/>
            <w:vAlign w:val="center"/>
          </w:tcPr>
          <w:p w14:paraId="614F1FEF">
            <w:pPr>
              <w:jc w:val="center"/>
              <w:rPr>
                <w:rFonts w:ascii="Times New Roman"/>
                <w:sz w:val="21"/>
                <w:szCs w:val="21"/>
              </w:rPr>
            </w:pPr>
            <w:r>
              <w:rPr>
                <w:rFonts w:hint="eastAsia" w:ascii="Times New Roman"/>
                <w:sz w:val="21"/>
                <w:szCs w:val="21"/>
              </w:rPr>
              <w:t>0.63</w:t>
            </w:r>
          </w:p>
        </w:tc>
        <w:tc>
          <w:tcPr>
            <w:tcW w:w="1287" w:type="dxa"/>
            <w:vAlign w:val="center"/>
          </w:tcPr>
          <w:p w14:paraId="60F1C078">
            <w:pPr>
              <w:jc w:val="center"/>
              <w:rPr>
                <w:rFonts w:ascii="Times New Roman"/>
                <w:sz w:val="21"/>
                <w:szCs w:val="21"/>
              </w:rPr>
            </w:pPr>
            <w:r>
              <w:rPr>
                <w:rFonts w:hint="eastAsia" w:ascii="Times New Roman"/>
                <w:sz w:val="21"/>
                <w:szCs w:val="21"/>
              </w:rPr>
              <w:t>5.3746</w:t>
            </w:r>
          </w:p>
        </w:tc>
        <w:tc>
          <w:tcPr>
            <w:tcW w:w="1025" w:type="dxa"/>
            <w:vAlign w:val="center"/>
          </w:tcPr>
          <w:p w14:paraId="48FC439E">
            <w:pPr>
              <w:jc w:val="center"/>
              <w:rPr>
                <w:rFonts w:ascii="Times New Roman"/>
                <w:sz w:val="21"/>
                <w:szCs w:val="21"/>
              </w:rPr>
            </w:pPr>
            <w:r>
              <w:rPr>
                <w:rFonts w:hint="eastAsia" w:ascii="Times New Roman"/>
                <w:sz w:val="21"/>
                <w:szCs w:val="21"/>
              </w:rPr>
              <w:t>0.6</w:t>
            </w:r>
          </w:p>
        </w:tc>
      </w:tr>
      <w:tr w14:paraId="307BB7C7">
        <w:tblPrEx>
          <w:tblCellMar>
            <w:top w:w="0" w:type="dxa"/>
            <w:left w:w="108" w:type="dxa"/>
            <w:bottom w:w="0" w:type="dxa"/>
            <w:right w:w="108" w:type="dxa"/>
          </w:tblCellMar>
        </w:tblPrEx>
        <w:trPr>
          <w:trHeight w:val="224" w:hRule="atLeast"/>
        </w:trPr>
        <w:tc>
          <w:tcPr>
            <w:tcW w:w="1346" w:type="dxa"/>
            <w:vAlign w:val="center"/>
          </w:tcPr>
          <w:p w14:paraId="643AF375">
            <w:pPr>
              <w:jc w:val="center"/>
              <w:rPr>
                <w:rFonts w:ascii="Times New Roman"/>
                <w:sz w:val="21"/>
                <w:szCs w:val="21"/>
              </w:rPr>
            </w:pPr>
            <w:r>
              <w:rPr>
                <w:rFonts w:ascii="Times New Roman"/>
                <w:sz w:val="21"/>
                <w:szCs w:val="21"/>
              </w:rPr>
              <w:t>5000.0</w:t>
            </w:r>
          </w:p>
        </w:tc>
        <w:tc>
          <w:tcPr>
            <w:tcW w:w="1286" w:type="dxa"/>
            <w:vAlign w:val="center"/>
          </w:tcPr>
          <w:p w14:paraId="00BE8BC4">
            <w:pPr>
              <w:jc w:val="center"/>
              <w:rPr>
                <w:rFonts w:ascii="Times New Roman"/>
                <w:sz w:val="21"/>
                <w:szCs w:val="21"/>
              </w:rPr>
            </w:pPr>
            <w:r>
              <w:rPr>
                <w:rFonts w:hint="eastAsia" w:ascii="Times New Roman"/>
                <w:sz w:val="21"/>
                <w:szCs w:val="21"/>
              </w:rPr>
              <w:t>3.9496</w:t>
            </w:r>
          </w:p>
        </w:tc>
        <w:tc>
          <w:tcPr>
            <w:tcW w:w="1268" w:type="dxa"/>
            <w:vAlign w:val="center"/>
          </w:tcPr>
          <w:p w14:paraId="4371460A">
            <w:pPr>
              <w:jc w:val="center"/>
              <w:rPr>
                <w:rFonts w:ascii="Times New Roman"/>
                <w:sz w:val="21"/>
                <w:szCs w:val="21"/>
              </w:rPr>
            </w:pPr>
            <w:r>
              <w:rPr>
                <w:rFonts w:hint="eastAsia" w:ascii="Times New Roman"/>
                <w:sz w:val="21"/>
                <w:szCs w:val="21"/>
              </w:rPr>
              <w:t xml:space="preserve">0.20 </w:t>
            </w:r>
          </w:p>
        </w:tc>
        <w:tc>
          <w:tcPr>
            <w:tcW w:w="1286" w:type="dxa"/>
            <w:vAlign w:val="center"/>
          </w:tcPr>
          <w:p w14:paraId="32B98881">
            <w:pPr>
              <w:jc w:val="center"/>
              <w:rPr>
                <w:rFonts w:ascii="Times New Roman"/>
                <w:sz w:val="21"/>
                <w:szCs w:val="21"/>
              </w:rPr>
            </w:pPr>
            <w:r>
              <w:rPr>
                <w:rFonts w:hint="eastAsia" w:ascii="Times New Roman"/>
                <w:sz w:val="21"/>
                <w:szCs w:val="21"/>
              </w:rPr>
              <w:t>1.0932</w:t>
            </w:r>
          </w:p>
        </w:tc>
        <w:tc>
          <w:tcPr>
            <w:tcW w:w="1021" w:type="dxa"/>
            <w:vAlign w:val="center"/>
          </w:tcPr>
          <w:p w14:paraId="3465628C">
            <w:pPr>
              <w:jc w:val="center"/>
              <w:rPr>
                <w:rFonts w:ascii="Times New Roman"/>
                <w:sz w:val="21"/>
                <w:szCs w:val="21"/>
              </w:rPr>
            </w:pPr>
            <w:r>
              <w:rPr>
                <w:rFonts w:hint="eastAsia" w:ascii="Times New Roman"/>
                <w:sz w:val="21"/>
                <w:szCs w:val="21"/>
              </w:rPr>
              <w:t>0.55</w:t>
            </w:r>
          </w:p>
        </w:tc>
        <w:tc>
          <w:tcPr>
            <w:tcW w:w="1287" w:type="dxa"/>
            <w:vAlign w:val="center"/>
          </w:tcPr>
          <w:p w14:paraId="2CF6FCD7">
            <w:pPr>
              <w:jc w:val="center"/>
              <w:rPr>
                <w:rFonts w:ascii="Times New Roman"/>
                <w:sz w:val="21"/>
                <w:szCs w:val="21"/>
              </w:rPr>
            </w:pPr>
            <w:r>
              <w:rPr>
                <w:rFonts w:hint="eastAsia" w:ascii="Times New Roman"/>
                <w:sz w:val="21"/>
                <w:szCs w:val="21"/>
              </w:rPr>
              <w:t>4.6901</w:t>
            </w:r>
          </w:p>
        </w:tc>
        <w:tc>
          <w:tcPr>
            <w:tcW w:w="1025" w:type="dxa"/>
            <w:vAlign w:val="center"/>
          </w:tcPr>
          <w:p w14:paraId="369D5D15">
            <w:pPr>
              <w:jc w:val="center"/>
              <w:rPr>
                <w:rFonts w:ascii="Times New Roman"/>
                <w:sz w:val="21"/>
                <w:szCs w:val="21"/>
              </w:rPr>
            </w:pPr>
            <w:r>
              <w:rPr>
                <w:rFonts w:hint="eastAsia" w:ascii="Times New Roman"/>
                <w:sz w:val="21"/>
                <w:szCs w:val="21"/>
              </w:rPr>
              <w:t>0.52</w:t>
            </w:r>
          </w:p>
        </w:tc>
      </w:tr>
      <w:tr w14:paraId="64798837">
        <w:tblPrEx>
          <w:tblCellMar>
            <w:top w:w="0" w:type="dxa"/>
            <w:left w:w="108" w:type="dxa"/>
            <w:bottom w:w="0" w:type="dxa"/>
            <w:right w:w="108" w:type="dxa"/>
          </w:tblCellMar>
        </w:tblPrEx>
        <w:trPr>
          <w:trHeight w:val="224" w:hRule="atLeast"/>
        </w:trPr>
        <w:tc>
          <w:tcPr>
            <w:tcW w:w="1346" w:type="dxa"/>
            <w:vAlign w:val="center"/>
          </w:tcPr>
          <w:p w14:paraId="17FE7B9A">
            <w:pPr>
              <w:jc w:val="center"/>
              <w:rPr>
                <w:rFonts w:ascii="Times New Roman"/>
                <w:sz w:val="21"/>
                <w:szCs w:val="21"/>
              </w:rPr>
            </w:pPr>
            <w:r>
              <w:rPr>
                <w:rFonts w:ascii="Times New Roman"/>
                <w:sz w:val="21"/>
                <w:szCs w:val="21"/>
              </w:rPr>
              <w:t>10000.0</w:t>
            </w:r>
          </w:p>
        </w:tc>
        <w:tc>
          <w:tcPr>
            <w:tcW w:w="1286" w:type="dxa"/>
            <w:vAlign w:val="center"/>
          </w:tcPr>
          <w:p w14:paraId="2217FAED">
            <w:pPr>
              <w:jc w:val="center"/>
              <w:rPr>
                <w:rFonts w:ascii="Times New Roman"/>
                <w:sz w:val="21"/>
                <w:szCs w:val="21"/>
              </w:rPr>
            </w:pPr>
            <w:r>
              <w:rPr>
                <w:rFonts w:hint="eastAsia" w:ascii="Times New Roman"/>
                <w:sz w:val="21"/>
                <w:szCs w:val="21"/>
              </w:rPr>
              <w:t>1.5981</w:t>
            </w:r>
          </w:p>
        </w:tc>
        <w:tc>
          <w:tcPr>
            <w:tcW w:w="1268" w:type="dxa"/>
            <w:vAlign w:val="center"/>
          </w:tcPr>
          <w:p w14:paraId="2AC88FBC">
            <w:pPr>
              <w:jc w:val="center"/>
              <w:rPr>
                <w:rFonts w:ascii="Times New Roman"/>
                <w:sz w:val="21"/>
                <w:szCs w:val="21"/>
              </w:rPr>
            </w:pPr>
            <w:r>
              <w:rPr>
                <w:rFonts w:hint="eastAsia" w:ascii="Times New Roman"/>
                <w:sz w:val="21"/>
                <w:szCs w:val="21"/>
              </w:rPr>
              <w:t xml:space="preserve">0.08 </w:t>
            </w:r>
          </w:p>
        </w:tc>
        <w:tc>
          <w:tcPr>
            <w:tcW w:w="1286" w:type="dxa"/>
            <w:vAlign w:val="center"/>
          </w:tcPr>
          <w:p w14:paraId="66BD0F2F">
            <w:pPr>
              <w:jc w:val="center"/>
              <w:rPr>
                <w:rFonts w:ascii="Times New Roman"/>
                <w:sz w:val="21"/>
                <w:szCs w:val="21"/>
              </w:rPr>
            </w:pPr>
            <w:r>
              <w:rPr>
                <w:rFonts w:hint="eastAsia" w:ascii="Times New Roman"/>
                <w:sz w:val="21"/>
                <w:szCs w:val="21"/>
              </w:rPr>
              <w:t>0.4423</w:t>
            </w:r>
          </w:p>
        </w:tc>
        <w:tc>
          <w:tcPr>
            <w:tcW w:w="1021" w:type="dxa"/>
            <w:vAlign w:val="center"/>
          </w:tcPr>
          <w:p w14:paraId="7EA069FA">
            <w:pPr>
              <w:jc w:val="center"/>
              <w:rPr>
                <w:rFonts w:ascii="Times New Roman"/>
                <w:sz w:val="21"/>
                <w:szCs w:val="21"/>
              </w:rPr>
            </w:pPr>
            <w:r>
              <w:rPr>
                <w:rFonts w:hint="eastAsia" w:ascii="Times New Roman"/>
                <w:sz w:val="21"/>
                <w:szCs w:val="21"/>
              </w:rPr>
              <w:t>0.22</w:t>
            </w:r>
          </w:p>
        </w:tc>
        <w:tc>
          <w:tcPr>
            <w:tcW w:w="1287" w:type="dxa"/>
            <w:vAlign w:val="center"/>
          </w:tcPr>
          <w:p w14:paraId="4708A60A">
            <w:pPr>
              <w:jc w:val="center"/>
              <w:rPr>
                <w:rFonts w:ascii="Times New Roman"/>
                <w:sz w:val="21"/>
                <w:szCs w:val="21"/>
              </w:rPr>
            </w:pPr>
            <w:r>
              <w:rPr>
                <w:rFonts w:hint="eastAsia" w:ascii="Times New Roman"/>
                <w:sz w:val="21"/>
                <w:szCs w:val="21"/>
              </w:rPr>
              <w:t>1.8977</w:t>
            </w:r>
          </w:p>
        </w:tc>
        <w:tc>
          <w:tcPr>
            <w:tcW w:w="1025" w:type="dxa"/>
            <w:vAlign w:val="center"/>
          </w:tcPr>
          <w:p w14:paraId="60EFD57A">
            <w:pPr>
              <w:jc w:val="center"/>
              <w:rPr>
                <w:rFonts w:ascii="Times New Roman"/>
                <w:sz w:val="21"/>
                <w:szCs w:val="21"/>
              </w:rPr>
            </w:pPr>
            <w:r>
              <w:rPr>
                <w:rFonts w:hint="eastAsia" w:ascii="Times New Roman"/>
                <w:sz w:val="21"/>
                <w:szCs w:val="21"/>
              </w:rPr>
              <w:t>0.21</w:t>
            </w:r>
          </w:p>
        </w:tc>
      </w:tr>
      <w:tr w14:paraId="27ED6DED">
        <w:tblPrEx>
          <w:tblCellMar>
            <w:top w:w="0" w:type="dxa"/>
            <w:left w:w="108" w:type="dxa"/>
            <w:bottom w:w="0" w:type="dxa"/>
            <w:right w:w="108" w:type="dxa"/>
          </w:tblCellMar>
        </w:tblPrEx>
        <w:trPr>
          <w:trHeight w:val="224" w:hRule="atLeast"/>
        </w:trPr>
        <w:tc>
          <w:tcPr>
            <w:tcW w:w="1346" w:type="dxa"/>
            <w:vAlign w:val="center"/>
          </w:tcPr>
          <w:p w14:paraId="68BE051C">
            <w:pPr>
              <w:jc w:val="center"/>
              <w:rPr>
                <w:rFonts w:ascii="Times New Roman"/>
                <w:sz w:val="21"/>
                <w:szCs w:val="21"/>
              </w:rPr>
            </w:pPr>
            <w:r>
              <w:rPr>
                <w:rFonts w:ascii="Times New Roman"/>
                <w:sz w:val="21"/>
                <w:szCs w:val="21"/>
              </w:rPr>
              <w:t>11000.0</w:t>
            </w:r>
          </w:p>
        </w:tc>
        <w:tc>
          <w:tcPr>
            <w:tcW w:w="1286" w:type="dxa"/>
            <w:vAlign w:val="center"/>
          </w:tcPr>
          <w:p w14:paraId="0E7E70D2">
            <w:pPr>
              <w:jc w:val="center"/>
              <w:rPr>
                <w:rFonts w:ascii="Times New Roman"/>
                <w:sz w:val="21"/>
                <w:szCs w:val="21"/>
              </w:rPr>
            </w:pPr>
            <w:r>
              <w:rPr>
                <w:rFonts w:hint="eastAsia" w:ascii="Times New Roman"/>
                <w:sz w:val="21"/>
                <w:szCs w:val="21"/>
              </w:rPr>
              <w:t>1.4074</w:t>
            </w:r>
          </w:p>
        </w:tc>
        <w:tc>
          <w:tcPr>
            <w:tcW w:w="1268" w:type="dxa"/>
            <w:vAlign w:val="center"/>
          </w:tcPr>
          <w:p w14:paraId="7209DC38">
            <w:pPr>
              <w:jc w:val="center"/>
              <w:rPr>
                <w:rFonts w:ascii="Times New Roman"/>
                <w:sz w:val="21"/>
                <w:szCs w:val="21"/>
              </w:rPr>
            </w:pPr>
            <w:r>
              <w:rPr>
                <w:rFonts w:hint="eastAsia" w:ascii="Times New Roman"/>
                <w:sz w:val="21"/>
                <w:szCs w:val="21"/>
              </w:rPr>
              <w:t xml:space="preserve">0.07 </w:t>
            </w:r>
          </w:p>
        </w:tc>
        <w:tc>
          <w:tcPr>
            <w:tcW w:w="1286" w:type="dxa"/>
            <w:vAlign w:val="center"/>
          </w:tcPr>
          <w:p w14:paraId="3EFB584F">
            <w:pPr>
              <w:jc w:val="center"/>
              <w:rPr>
                <w:rFonts w:ascii="Times New Roman"/>
                <w:sz w:val="21"/>
                <w:szCs w:val="21"/>
              </w:rPr>
            </w:pPr>
            <w:r>
              <w:rPr>
                <w:rFonts w:hint="eastAsia" w:ascii="Times New Roman"/>
                <w:sz w:val="21"/>
                <w:szCs w:val="21"/>
              </w:rPr>
              <w:t>0.3896</w:t>
            </w:r>
          </w:p>
        </w:tc>
        <w:tc>
          <w:tcPr>
            <w:tcW w:w="1021" w:type="dxa"/>
            <w:vAlign w:val="center"/>
          </w:tcPr>
          <w:p w14:paraId="678A7998">
            <w:pPr>
              <w:jc w:val="center"/>
              <w:rPr>
                <w:rFonts w:ascii="Times New Roman"/>
                <w:sz w:val="21"/>
                <w:szCs w:val="21"/>
              </w:rPr>
            </w:pPr>
            <w:r>
              <w:rPr>
                <w:rFonts w:hint="eastAsia" w:ascii="Times New Roman"/>
                <w:sz w:val="21"/>
                <w:szCs w:val="21"/>
              </w:rPr>
              <w:t>0.19</w:t>
            </w:r>
          </w:p>
        </w:tc>
        <w:tc>
          <w:tcPr>
            <w:tcW w:w="1287" w:type="dxa"/>
            <w:vAlign w:val="center"/>
          </w:tcPr>
          <w:p w14:paraId="6E8B033A">
            <w:pPr>
              <w:jc w:val="center"/>
              <w:rPr>
                <w:rFonts w:ascii="Times New Roman"/>
                <w:sz w:val="21"/>
                <w:szCs w:val="21"/>
              </w:rPr>
            </w:pPr>
            <w:r>
              <w:rPr>
                <w:rFonts w:hint="eastAsia" w:ascii="Times New Roman"/>
                <w:sz w:val="21"/>
                <w:szCs w:val="21"/>
              </w:rPr>
              <w:t>1.6713</w:t>
            </w:r>
          </w:p>
        </w:tc>
        <w:tc>
          <w:tcPr>
            <w:tcW w:w="1025" w:type="dxa"/>
            <w:vAlign w:val="center"/>
          </w:tcPr>
          <w:p w14:paraId="485A52E0">
            <w:pPr>
              <w:jc w:val="center"/>
              <w:rPr>
                <w:rFonts w:ascii="Times New Roman"/>
                <w:sz w:val="21"/>
                <w:szCs w:val="21"/>
              </w:rPr>
            </w:pPr>
            <w:r>
              <w:rPr>
                <w:rFonts w:hint="eastAsia" w:ascii="Times New Roman"/>
                <w:sz w:val="21"/>
                <w:szCs w:val="21"/>
              </w:rPr>
              <w:t>0.19</w:t>
            </w:r>
          </w:p>
        </w:tc>
      </w:tr>
      <w:tr w14:paraId="6378F1EA">
        <w:tblPrEx>
          <w:tblCellMar>
            <w:top w:w="0" w:type="dxa"/>
            <w:left w:w="108" w:type="dxa"/>
            <w:bottom w:w="0" w:type="dxa"/>
            <w:right w:w="108" w:type="dxa"/>
          </w:tblCellMar>
        </w:tblPrEx>
        <w:trPr>
          <w:trHeight w:val="224" w:hRule="atLeast"/>
        </w:trPr>
        <w:tc>
          <w:tcPr>
            <w:tcW w:w="1346" w:type="dxa"/>
            <w:vAlign w:val="center"/>
          </w:tcPr>
          <w:p w14:paraId="17CFE2E9">
            <w:pPr>
              <w:jc w:val="center"/>
              <w:rPr>
                <w:rFonts w:ascii="Times New Roman"/>
                <w:sz w:val="21"/>
                <w:szCs w:val="21"/>
              </w:rPr>
            </w:pPr>
            <w:r>
              <w:rPr>
                <w:rFonts w:ascii="Times New Roman"/>
                <w:sz w:val="21"/>
                <w:szCs w:val="21"/>
              </w:rPr>
              <w:t>12000.0</w:t>
            </w:r>
          </w:p>
        </w:tc>
        <w:tc>
          <w:tcPr>
            <w:tcW w:w="1286" w:type="dxa"/>
            <w:vAlign w:val="center"/>
          </w:tcPr>
          <w:p w14:paraId="71E151A7">
            <w:pPr>
              <w:jc w:val="center"/>
              <w:rPr>
                <w:rFonts w:ascii="Times New Roman"/>
                <w:sz w:val="21"/>
                <w:szCs w:val="21"/>
              </w:rPr>
            </w:pPr>
            <w:r>
              <w:rPr>
                <w:rFonts w:hint="eastAsia" w:ascii="Times New Roman"/>
                <w:sz w:val="21"/>
                <w:szCs w:val="21"/>
              </w:rPr>
              <w:t>1.2531</w:t>
            </w:r>
          </w:p>
        </w:tc>
        <w:tc>
          <w:tcPr>
            <w:tcW w:w="1268" w:type="dxa"/>
            <w:vAlign w:val="center"/>
          </w:tcPr>
          <w:p w14:paraId="47244664">
            <w:pPr>
              <w:jc w:val="center"/>
              <w:rPr>
                <w:rFonts w:ascii="Times New Roman"/>
                <w:sz w:val="21"/>
                <w:szCs w:val="21"/>
              </w:rPr>
            </w:pPr>
            <w:r>
              <w:rPr>
                <w:rFonts w:hint="eastAsia" w:ascii="Times New Roman"/>
                <w:sz w:val="21"/>
                <w:szCs w:val="21"/>
              </w:rPr>
              <w:t xml:space="preserve">0.06 </w:t>
            </w:r>
          </w:p>
        </w:tc>
        <w:tc>
          <w:tcPr>
            <w:tcW w:w="1286" w:type="dxa"/>
            <w:vAlign w:val="center"/>
          </w:tcPr>
          <w:p w14:paraId="61D610A2">
            <w:pPr>
              <w:jc w:val="center"/>
              <w:rPr>
                <w:rFonts w:ascii="Times New Roman"/>
                <w:sz w:val="21"/>
                <w:szCs w:val="21"/>
              </w:rPr>
            </w:pPr>
            <w:r>
              <w:rPr>
                <w:rFonts w:hint="eastAsia" w:ascii="Times New Roman"/>
                <w:sz w:val="21"/>
                <w:szCs w:val="21"/>
              </w:rPr>
              <w:t>0.3469</w:t>
            </w:r>
          </w:p>
        </w:tc>
        <w:tc>
          <w:tcPr>
            <w:tcW w:w="1021" w:type="dxa"/>
            <w:vAlign w:val="center"/>
          </w:tcPr>
          <w:p w14:paraId="6514417B">
            <w:pPr>
              <w:jc w:val="center"/>
              <w:rPr>
                <w:rFonts w:ascii="Times New Roman"/>
                <w:sz w:val="21"/>
                <w:szCs w:val="21"/>
              </w:rPr>
            </w:pPr>
            <w:r>
              <w:rPr>
                <w:rFonts w:hint="eastAsia" w:ascii="Times New Roman"/>
                <w:sz w:val="21"/>
                <w:szCs w:val="21"/>
              </w:rPr>
              <w:t>0.17</w:t>
            </w:r>
          </w:p>
        </w:tc>
        <w:tc>
          <w:tcPr>
            <w:tcW w:w="1287" w:type="dxa"/>
            <w:vAlign w:val="center"/>
          </w:tcPr>
          <w:p w14:paraId="4F484448">
            <w:pPr>
              <w:jc w:val="center"/>
              <w:rPr>
                <w:rFonts w:ascii="Times New Roman"/>
                <w:sz w:val="21"/>
                <w:szCs w:val="21"/>
              </w:rPr>
            </w:pPr>
            <w:r>
              <w:rPr>
                <w:rFonts w:hint="eastAsia" w:ascii="Times New Roman"/>
                <w:sz w:val="21"/>
                <w:szCs w:val="21"/>
              </w:rPr>
              <w:t>1.4881</w:t>
            </w:r>
          </w:p>
        </w:tc>
        <w:tc>
          <w:tcPr>
            <w:tcW w:w="1025" w:type="dxa"/>
            <w:vAlign w:val="center"/>
          </w:tcPr>
          <w:p w14:paraId="647AF576">
            <w:pPr>
              <w:jc w:val="center"/>
              <w:rPr>
                <w:rFonts w:ascii="Times New Roman"/>
                <w:sz w:val="21"/>
                <w:szCs w:val="21"/>
              </w:rPr>
            </w:pPr>
            <w:r>
              <w:rPr>
                <w:rFonts w:hint="eastAsia" w:ascii="Times New Roman"/>
                <w:sz w:val="21"/>
                <w:szCs w:val="21"/>
              </w:rPr>
              <w:t>0.17</w:t>
            </w:r>
          </w:p>
        </w:tc>
      </w:tr>
      <w:tr w14:paraId="01655225">
        <w:tblPrEx>
          <w:tblCellMar>
            <w:top w:w="0" w:type="dxa"/>
            <w:left w:w="108" w:type="dxa"/>
            <w:bottom w:w="0" w:type="dxa"/>
            <w:right w:w="108" w:type="dxa"/>
          </w:tblCellMar>
        </w:tblPrEx>
        <w:trPr>
          <w:trHeight w:val="224" w:hRule="atLeast"/>
        </w:trPr>
        <w:tc>
          <w:tcPr>
            <w:tcW w:w="1346" w:type="dxa"/>
            <w:vAlign w:val="center"/>
          </w:tcPr>
          <w:p w14:paraId="6779D589">
            <w:pPr>
              <w:jc w:val="center"/>
              <w:rPr>
                <w:rFonts w:ascii="Times New Roman"/>
                <w:sz w:val="21"/>
                <w:szCs w:val="21"/>
              </w:rPr>
            </w:pPr>
            <w:r>
              <w:rPr>
                <w:rFonts w:ascii="Times New Roman"/>
                <w:sz w:val="21"/>
                <w:szCs w:val="21"/>
              </w:rPr>
              <w:t>13000.0</w:t>
            </w:r>
          </w:p>
        </w:tc>
        <w:tc>
          <w:tcPr>
            <w:tcW w:w="1286" w:type="dxa"/>
            <w:vAlign w:val="center"/>
          </w:tcPr>
          <w:p w14:paraId="373FC52D">
            <w:pPr>
              <w:jc w:val="center"/>
              <w:rPr>
                <w:rFonts w:ascii="Times New Roman"/>
                <w:sz w:val="21"/>
                <w:szCs w:val="21"/>
              </w:rPr>
            </w:pPr>
            <w:r>
              <w:rPr>
                <w:rFonts w:hint="eastAsia" w:ascii="Times New Roman"/>
                <w:sz w:val="21"/>
                <w:szCs w:val="21"/>
              </w:rPr>
              <w:t>1.1261</w:t>
            </w:r>
          </w:p>
        </w:tc>
        <w:tc>
          <w:tcPr>
            <w:tcW w:w="1268" w:type="dxa"/>
            <w:vAlign w:val="center"/>
          </w:tcPr>
          <w:p w14:paraId="03E1C96F">
            <w:pPr>
              <w:jc w:val="center"/>
              <w:rPr>
                <w:rFonts w:ascii="Times New Roman"/>
                <w:sz w:val="21"/>
                <w:szCs w:val="21"/>
              </w:rPr>
            </w:pPr>
            <w:r>
              <w:rPr>
                <w:rFonts w:hint="eastAsia" w:ascii="Times New Roman"/>
                <w:sz w:val="21"/>
                <w:szCs w:val="21"/>
              </w:rPr>
              <w:t xml:space="preserve">0.06 </w:t>
            </w:r>
          </w:p>
        </w:tc>
        <w:tc>
          <w:tcPr>
            <w:tcW w:w="1286" w:type="dxa"/>
            <w:vAlign w:val="center"/>
          </w:tcPr>
          <w:p w14:paraId="4FF7EAFA">
            <w:pPr>
              <w:jc w:val="center"/>
              <w:rPr>
                <w:rFonts w:ascii="Times New Roman"/>
                <w:sz w:val="21"/>
                <w:szCs w:val="21"/>
              </w:rPr>
            </w:pPr>
            <w:r>
              <w:rPr>
                <w:rFonts w:hint="eastAsia" w:ascii="Times New Roman"/>
                <w:sz w:val="21"/>
                <w:szCs w:val="21"/>
              </w:rPr>
              <w:t>0.3117</w:t>
            </w:r>
          </w:p>
        </w:tc>
        <w:tc>
          <w:tcPr>
            <w:tcW w:w="1021" w:type="dxa"/>
            <w:vAlign w:val="center"/>
          </w:tcPr>
          <w:p w14:paraId="1D2148B6">
            <w:pPr>
              <w:jc w:val="center"/>
              <w:rPr>
                <w:rFonts w:ascii="Times New Roman"/>
                <w:sz w:val="21"/>
                <w:szCs w:val="21"/>
              </w:rPr>
            </w:pPr>
            <w:r>
              <w:rPr>
                <w:rFonts w:hint="eastAsia" w:ascii="Times New Roman"/>
                <w:sz w:val="21"/>
                <w:szCs w:val="21"/>
              </w:rPr>
              <w:t>0.16</w:t>
            </w:r>
          </w:p>
        </w:tc>
        <w:tc>
          <w:tcPr>
            <w:tcW w:w="1287" w:type="dxa"/>
            <w:vAlign w:val="center"/>
          </w:tcPr>
          <w:p w14:paraId="46FDAF6B">
            <w:pPr>
              <w:jc w:val="center"/>
              <w:rPr>
                <w:rFonts w:ascii="Times New Roman"/>
                <w:sz w:val="21"/>
                <w:szCs w:val="21"/>
              </w:rPr>
            </w:pPr>
            <w:r>
              <w:rPr>
                <w:rFonts w:hint="eastAsia" w:ascii="Times New Roman"/>
                <w:sz w:val="21"/>
                <w:szCs w:val="21"/>
              </w:rPr>
              <w:t>1.3373</w:t>
            </w:r>
          </w:p>
        </w:tc>
        <w:tc>
          <w:tcPr>
            <w:tcW w:w="1025" w:type="dxa"/>
            <w:vAlign w:val="center"/>
          </w:tcPr>
          <w:p w14:paraId="5C37AB24">
            <w:pPr>
              <w:jc w:val="center"/>
              <w:rPr>
                <w:rFonts w:ascii="Times New Roman"/>
                <w:sz w:val="21"/>
                <w:szCs w:val="21"/>
              </w:rPr>
            </w:pPr>
            <w:r>
              <w:rPr>
                <w:rFonts w:hint="eastAsia" w:ascii="Times New Roman"/>
                <w:sz w:val="21"/>
                <w:szCs w:val="21"/>
              </w:rPr>
              <w:t>0.15</w:t>
            </w:r>
          </w:p>
        </w:tc>
      </w:tr>
      <w:tr w14:paraId="52D36CC7">
        <w:tblPrEx>
          <w:tblCellMar>
            <w:top w:w="0" w:type="dxa"/>
            <w:left w:w="108" w:type="dxa"/>
            <w:bottom w:w="0" w:type="dxa"/>
            <w:right w:w="108" w:type="dxa"/>
          </w:tblCellMar>
        </w:tblPrEx>
        <w:trPr>
          <w:trHeight w:val="224" w:hRule="atLeast"/>
        </w:trPr>
        <w:tc>
          <w:tcPr>
            <w:tcW w:w="1346" w:type="dxa"/>
            <w:vAlign w:val="center"/>
          </w:tcPr>
          <w:p w14:paraId="4B3516F4">
            <w:pPr>
              <w:jc w:val="center"/>
              <w:rPr>
                <w:rFonts w:ascii="Times New Roman"/>
                <w:sz w:val="21"/>
                <w:szCs w:val="21"/>
              </w:rPr>
            </w:pPr>
            <w:r>
              <w:rPr>
                <w:rFonts w:ascii="Times New Roman"/>
                <w:sz w:val="21"/>
                <w:szCs w:val="21"/>
              </w:rPr>
              <w:t>14000.0</w:t>
            </w:r>
          </w:p>
        </w:tc>
        <w:tc>
          <w:tcPr>
            <w:tcW w:w="1286" w:type="dxa"/>
            <w:vAlign w:val="center"/>
          </w:tcPr>
          <w:p w14:paraId="51A27307">
            <w:pPr>
              <w:jc w:val="center"/>
              <w:rPr>
                <w:rFonts w:ascii="Times New Roman"/>
                <w:sz w:val="21"/>
                <w:szCs w:val="21"/>
              </w:rPr>
            </w:pPr>
            <w:r>
              <w:rPr>
                <w:rFonts w:hint="eastAsia" w:ascii="Times New Roman"/>
                <w:sz w:val="21"/>
                <w:szCs w:val="21"/>
              </w:rPr>
              <w:t>1.02</w:t>
            </w:r>
          </w:p>
        </w:tc>
        <w:tc>
          <w:tcPr>
            <w:tcW w:w="1268" w:type="dxa"/>
            <w:vAlign w:val="center"/>
          </w:tcPr>
          <w:p w14:paraId="50745047">
            <w:pPr>
              <w:jc w:val="center"/>
              <w:rPr>
                <w:rFonts w:ascii="Times New Roman"/>
                <w:sz w:val="21"/>
                <w:szCs w:val="21"/>
              </w:rPr>
            </w:pPr>
            <w:r>
              <w:rPr>
                <w:rFonts w:hint="eastAsia" w:ascii="Times New Roman"/>
                <w:sz w:val="21"/>
                <w:szCs w:val="21"/>
              </w:rPr>
              <w:t xml:space="preserve">0.05 </w:t>
            </w:r>
          </w:p>
        </w:tc>
        <w:tc>
          <w:tcPr>
            <w:tcW w:w="1286" w:type="dxa"/>
            <w:vAlign w:val="center"/>
          </w:tcPr>
          <w:p w14:paraId="6BCEB721">
            <w:pPr>
              <w:jc w:val="center"/>
              <w:rPr>
                <w:rFonts w:ascii="Times New Roman"/>
                <w:sz w:val="21"/>
                <w:szCs w:val="21"/>
              </w:rPr>
            </w:pPr>
            <w:r>
              <w:rPr>
                <w:rFonts w:hint="eastAsia" w:ascii="Times New Roman"/>
                <w:sz w:val="21"/>
                <w:szCs w:val="21"/>
              </w:rPr>
              <w:t>0.2823</w:t>
            </w:r>
          </w:p>
        </w:tc>
        <w:tc>
          <w:tcPr>
            <w:tcW w:w="1021" w:type="dxa"/>
            <w:vAlign w:val="center"/>
          </w:tcPr>
          <w:p w14:paraId="427A3738">
            <w:pPr>
              <w:jc w:val="center"/>
              <w:rPr>
                <w:rFonts w:ascii="Times New Roman"/>
                <w:sz w:val="21"/>
                <w:szCs w:val="21"/>
              </w:rPr>
            </w:pPr>
            <w:r>
              <w:rPr>
                <w:rFonts w:hint="eastAsia" w:ascii="Times New Roman"/>
                <w:sz w:val="21"/>
                <w:szCs w:val="21"/>
              </w:rPr>
              <w:t>0.14</w:t>
            </w:r>
          </w:p>
        </w:tc>
        <w:tc>
          <w:tcPr>
            <w:tcW w:w="1287" w:type="dxa"/>
            <w:vAlign w:val="center"/>
          </w:tcPr>
          <w:p w14:paraId="0E24274E">
            <w:pPr>
              <w:jc w:val="center"/>
              <w:rPr>
                <w:rFonts w:ascii="Times New Roman"/>
                <w:sz w:val="21"/>
                <w:szCs w:val="21"/>
              </w:rPr>
            </w:pPr>
            <w:r>
              <w:rPr>
                <w:rFonts w:hint="eastAsia" w:ascii="Times New Roman"/>
                <w:sz w:val="21"/>
                <w:szCs w:val="21"/>
              </w:rPr>
              <w:t>1.2112</w:t>
            </w:r>
          </w:p>
        </w:tc>
        <w:tc>
          <w:tcPr>
            <w:tcW w:w="1025" w:type="dxa"/>
            <w:vAlign w:val="center"/>
          </w:tcPr>
          <w:p w14:paraId="4692B662">
            <w:pPr>
              <w:jc w:val="center"/>
              <w:rPr>
                <w:rFonts w:ascii="Times New Roman"/>
                <w:sz w:val="21"/>
                <w:szCs w:val="21"/>
              </w:rPr>
            </w:pPr>
            <w:r>
              <w:rPr>
                <w:rFonts w:hint="eastAsia" w:ascii="Times New Roman"/>
                <w:sz w:val="21"/>
                <w:szCs w:val="21"/>
              </w:rPr>
              <w:t>0.13</w:t>
            </w:r>
          </w:p>
        </w:tc>
      </w:tr>
      <w:tr w14:paraId="2066A2F3">
        <w:tblPrEx>
          <w:tblCellMar>
            <w:top w:w="0" w:type="dxa"/>
            <w:left w:w="108" w:type="dxa"/>
            <w:bottom w:w="0" w:type="dxa"/>
            <w:right w:w="108" w:type="dxa"/>
          </w:tblCellMar>
        </w:tblPrEx>
        <w:trPr>
          <w:trHeight w:val="224" w:hRule="atLeast"/>
        </w:trPr>
        <w:tc>
          <w:tcPr>
            <w:tcW w:w="1346" w:type="dxa"/>
            <w:vAlign w:val="center"/>
          </w:tcPr>
          <w:p w14:paraId="4E508D19">
            <w:pPr>
              <w:jc w:val="center"/>
              <w:rPr>
                <w:rFonts w:ascii="Times New Roman"/>
                <w:sz w:val="21"/>
                <w:szCs w:val="21"/>
              </w:rPr>
            </w:pPr>
            <w:r>
              <w:rPr>
                <w:rFonts w:ascii="Times New Roman"/>
                <w:sz w:val="21"/>
                <w:szCs w:val="21"/>
              </w:rPr>
              <w:t>15000.0</w:t>
            </w:r>
          </w:p>
        </w:tc>
        <w:tc>
          <w:tcPr>
            <w:tcW w:w="1286" w:type="dxa"/>
            <w:vAlign w:val="center"/>
          </w:tcPr>
          <w:p w14:paraId="3A84035A">
            <w:pPr>
              <w:jc w:val="center"/>
              <w:rPr>
                <w:rFonts w:ascii="Times New Roman"/>
                <w:sz w:val="21"/>
                <w:szCs w:val="21"/>
              </w:rPr>
            </w:pPr>
            <w:r>
              <w:rPr>
                <w:rFonts w:hint="eastAsia" w:ascii="Times New Roman"/>
                <w:sz w:val="21"/>
                <w:szCs w:val="21"/>
              </w:rPr>
              <w:t>0.9301</w:t>
            </w:r>
          </w:p>
        </w:tc>
        <w:tc>
          <w:tcPr>
            <w:tcW w:w="1268" w:type="dxa"/>
            <w:vAlign w:val="center"/>
          </w:tcPr>
          <w:p w14:paraId="3B1BC5AF">
            <w:pPr>
              <w:jc w:val="center"/>
              <w:rPr>
                <w:rFonts w:ascii="Times New Roman"/>
                <w:sz w:val="21"/>
                <w:szCs w:val="21"/>
              </w:rPr>
            </w:pPr>
            <w:r>
              <w:rPr>
                <w:rFonts w:hint="eastAsia" w:ascii="Times New Roman"/>
                <w:sz w:val="21"/>
                <w:szCs w:val="21"/>
              </w:rPr>
              <w:t xml:space="preserve">0.05 </w:t>
            </w:r>
          </w:p>
        </w:tc>
        <w:tc>
          <w:tcPr>
            <w:tcW w:w="1286" w:type="dxa"/>
            <w:vAlign w:val="center"/>
          </w:tcPr>
          <w:p w14:paraId="734C8C73">
            <w:pPr>
              <w:jc w:val="center"/>
              <w:rPr>
                <w:rFonts w:ascii="Times New Roman"/>
                <w:sz w:val="21"/>
                <w:szCs w:val="21"/>
              </w:rPr>
            </w:pPr>
            <w:r>
              <w:rPr>
                <w:rFonts w:hint="eastAsia" w:ascii="Times New Roman"/>
                <w:sz w:val="21"/>
                <w:szCs w:val="21"/>
              </w:rPr>
              <w:t>0.2574</w:t>
            </w:r>
          </w:p>
        </w:tc>
        <w:tc>
          <w:tcPr>
            <w:tcW w:w="1021" w:type="dxa"/>
            <w:vAlign w:val="center"/>
          </w:tcPr>
          <w:p w14:paraId="70D97B24">
            <w:pPr>
              <w:jc w:val="center"/>
              <w:rPr>
                <w:rFonts w:ascii="Times New Roman"/>
                <w:sz w:val="21"/>
                <w:szCs w:val="21"/>
              </w:rPr>
            </w:pPr>
            <w:r>
              <w:rPr>
                <w:rFonts w:hint="eastAsia" w:ascii="Times New Roman"/>
                <w:sz w:val="21"/>
                <w:szCs w:val="21"/>
              </w:rPr>
              <w:t>0.13</w:t>
            </w:r>
          </w:p>
        </w:tc>
        <w:tc>
          <w:tcPr>
            <w:tcW w:w="1287" w:type="dxa"/>
            <w:vAlign w:val="center"/>
          </w:tcPr>
          <w:p w14:paraId="3470E879">
            <w:pPr>
              <w:jc w:val="center"/>
              <w:rPr>
                <w:rFonts w:ascii="Times New Roman"/>
                <w:sz w:val="21"/>
                <w:szCs w:val="21"/>
              </w:rPr>
            </w:pPr>
            <w:r>
              <w:rPr>
                <w:rFonts w:hint="eastAsia" w:ascii="Times New Roman"/>
                <w:sz w:val="21"/>
                <w:szCs w:val="21"/>
              </w:rPr>
              <w:t>1.1045</w:t>
            </w:r>
          </w:p>
        </w:tc>
        <w:tc>
          <w:tcPr>
            <w:tcW w:w="1025" w:type="dxa"/>
            <w:vAlign w:val="center"/>
          </w:tcPr>
          <w:p w14:paraId="4D99D05A">
            <w:pPr>
              <w:jc w:val="center"/>
              <w:rPr>
                <w:rFonts w:ascii="Times New Roman"/>
                <w:sz w:val="21"/>
                <w:szCs w:val="21"/>
              </w:rPr>
            </w:pPr>
            <w:r>
              <w:rPr>
                <w:rFonts w:hint="eastAsia" w:ascii="Times New Roman"/>
                <w:sz w:val="21"/>
                <w:szCs w:val="21"/>
              </w:rPr>
              <w:t>0.12</w:t>
            </w:r>
          </w:p>
        </w:tc>
      </w:tr>
      <w:tr w14:paraId="44DF2EA5">
        <w:tblPrEx>
          <w:tblCellMar>
            <w:top w:w="0" w:type="dxa"/>
            <w:left w:w="108" w:type="dxa"/>
            <w:bottom w:w="0" w:type="dxa"/>
            <w:right w:w="108" w:type="dxa"/>
          </w:tblCellMar>
        </w:tblPrEx>
        <w:trPr>
          <w:trHeight w:val="224" w:hRule="atLeast"/>
        </w:trPr>
        <w:tc>
          <w:tcPr>
            <w:tcW w:w="1346" w:type="dxa"/>
            <w:vAlign w:val="center"/>
          </w:tcPr>
          <w:p w14:paraId="764B9EED">
            <w:pPr>
              <w:jc w:val="center"/>
              <w:rPr>
                <w:rFonts w:ascii="Times New Roman"/>
                <w:sz w:val="21"/>
                <w:szCs w:val="21"/>
              </w:rPr>
            </w:pPr>
            <w:r>
              <w:rPr>
                <w:rFonts w:ascii="Times New Roman"/>
                <w:sz w:val="21"/>
                <w:szCs w:val="21"/>
              </w:rPr>
              <w:t>20000.0</w:t>
            </w:r>
          </w:p>
        </w:tc>
        <w:tc>
          <w:tcPr>
            <w:tcW w:w="1286" w:type="dxa"/>
            <w:vAlign w:val="center"/>
          </w:tcPr>
          <w:p w14:paraId="1CB56CB8">
            <w:pPr>
              <w:jc w:val="center"/>
              <w:rPr>
                <w:rFonts w:ascii="Times New Roman"/>
                <w:sz w:val="21"/>
                <w:szCs w:val="21"/>
              </w:rPr>
            </w:pPr>
            <w:r>
              <w:rPr>
                <w:rFonts w:hint="eastAsia" w:ascii="Times New Roman"/>
                <w:sz w:val="21"/>
                <w:szCs w:val="21"/>
              </w:rPr>
              <w:t>0.6328</w:t>
            </w:r>
          </w:p>
        </w:tc>
        <w:tc>
          <w:tcPr>
            <w:tcW w:w="1268" w:type="dxa"/>
            <w:vAlign w:val="center"/>
          </w:tcPr>
          <w:p w14:paraId="203EB17F">
            <w:pPr>
              <w:jc w:val="center"/>
              <w:rPr>
                <w:rFonts w:ascii="Times New Roman"/>
                <w:sz w:val="21"/>
                <w:szCs w:val="21"/>
              </w:rPr>
            </w:pPr>
            <w:r>
              <w:rPr>
                <w:rFonts w:hint="eastAsia" w:ascii="Times New Roman"/>
                <w:sz w:val="21"/>
                <w:szCs w:val="21"/>
              </w:rPr>
              <w:t xml:space="preserve">0.03 </w:t>
            </w:r>
          </w:p>
        </w:tc>
        <w:tc>
          <w:tcPr>
            <w:tcW w:w="1286" w:type="dxa"/>
            <w:vAlign w:val="center"/>
          </w:tcPr>
          <w:p w14:paraId="3C7216EF">
            <w:pPr>
              <w:jc w:val="center"/>
              <w:rPr>
                <w:rFonts w:ascii="Times New Roman"/>
                <w:sz w:val="21"/>
                <w:szCs w:val="21"/>
              </w:rPr>
            </w:pPr>
            <w:r>
              <w:rPr>
                <w:rFonts w:hint="eastAsia" w:ascii="Times New Roman"/>
                <w:sz w:val="21"/>
                <w:szCs w:val="21"/>
              </w:rPr>
              <w:t>0.1752</w:t>
            </w:r>
          </w:p>
        </w:tc>
        <w:tc>
          <w:tcPr>
            <w:tcW w:w="1021" w:type="dxa"/>
            <w:vAlign w:val="center"/>
          </w:tcPr>
          <w:p w14:paraId="1EBBB121">
            <w:pPr>
              <w:jc w:val="center"/>
              <w:rPr>
                <w:rFonts w:ascii="Times New Roman"/>
                <w:sz w:val="21"/>
                <w:szCs w:val="21"/>
              </w:rPr>
            </w:pPr>
            <w:r>
              <w:rPr>
                <w:rFonts w:hint="eastAsia" w:ascii="Times New Roman"/>
                <w:sz w:val="21"/>
                <w:szCs w:val="21"/>
              </w:rPr>
              <w:t>0.09</w:t>
            </w:r>
          </w:p>
        </w:tc>
        <w:tc>
          <w:tcPr>
            <w:tcW w:w="1287" w:type="dxa"/>
            <w:vAlign w:val="center"/>
          </w:tcPr>
          <w:p w14:paraId="25F84B1B">
            <w:pPr>
              <w:jc w:val="center"/>
              <w:rPr>
                <w:rFonts w:ascii="Times New Roman"/>
                <w:sz w:val="21"/>
                <w:szCs w:val="21"/>
              </w:rPr>
            </w:pPr>
            <w:r>
              <w:rPr>
                <w:rFonts w:hint="eastAsia" w:ascii="Times New Roman"/>
                <w:sz w:val="21"/>
                <w:szCs w:val="21"/>
              </w:rPr>
              <w:t>0.7515</w:t>
            </w:r>
          </w:p>
        </w:tc>
        <w:tc>
          <w:tcPr>
            <w:tcW w:w="1025" w:type="dxa"/>
            <w:vAlign w:val="center"/>
          </w:tcPr>
          <w:p w14:paraId="5882B3B5">
            <w:pPr>
              <w:jc w:val="center"/>
              <w:rPr>
                <w:rFonts w:ascii="Times New Roman"/>
                <w:sz w:val="21"/>
                <w:szCs w:val="21"/>
              </w:rPr>
            </w:pPr>
            <w:r>
              <w:rPr>
                <w:rFonts w:hint="eastAsia" w:ascii="Times New Roman"/>
                <w:sz w:val="21"/>
                <w:szCs w:val="21"/>
              </w:rPr>
              <w:t>0.08</w:t>
            </w:r>
          </w:p>
        </w:tc>
      </w:tr>
      <w:tr w14:paraId="55CC61C3">
        <w:tblPrEx>
          <w:tblCellMar>
            <w:top w:w="0" w:type="dxa"/>
            <w:left w:w="108" w:type="dxa"/>
            <w:bottom w:w="0" w:type="dxa"/>
            <w:right w:w="108" w:type="dxa"/>
          </w:tblCellMar>
        </w:tblPrEx>
        <w:trPr>
          <w:trHeight w:val="224" w:hRule="atLeast"/>
        </w:trPr>
        <w:tc>
          <w:tcPr>
            <w:tcW w:w="1346" w:type="dxa"/>
            <w:vAlign w:val="center"/>
          </w:tcPr>
          <w:p w14:paraId="49335702">
            <w:pPr>
              <w:jc w:val="center"/>
              <w:rPr>
                <w:rFonts w:ascii="Times New Roman"/>
                <w:sz w:val="21"/>
                <w:szCs w:val="21"/>
              </w:rPr>
            </w:pPr>
            <w:r>
              <w:rPr>
                <w:rFonts w:ascii="Times New Roman"/>
                <w:sz w:val="21"/>
                <w:szCs w:val="21"/>
              </w:rPr>
              <w:t>25000.0</w:t>
            </w:r>
          </w:p>
        </w:tc>
        <w:tc>
          <w:tcPr>
            <w:tcW w:w="1286" w:type="dxa"/>
            <w:vAlign w:val="center"/>
          </w:tcPr>
          <w:p w14:paraId="71A26ECF">
            <w:pPr>
              <w:jc w:val="center"/>
              <w:rPr>
                <w:rFonts w:ascii="Times New Roman"/>
                <w:sz w:val="21"/>
                <w:szCs w:val="21"/>
              </w:rPr>
            </w:pPr>
            <w:r>
              <w:rPr>
                <w:rFonts w:hint="eastAsia" w:ascii="Times New Roman"/>
                <w:sz w:val="21"/>
                <w:szCs w:val="21"/>
              </w:rPr>
              <w:t>0.4692</w:t>
            </w:r>
          </w:p>
        </w:tc>
        <w:tc>
          <w:tcPr>
            <w:tcW w:w="1268" w:type="dxa"/>
            <w:vAlign w:val="center"/>
          </w:tcPr>
          <w:p w14:paraId="596C9928">
            <w:pPr>
              <w:jc w:val="center"/>
              <w:rPr>
                <w:rFonts w:ascii="Times New Roman"/>
                <w:sz w:val="21"/>
                <w:szCs w:val="21"/>
              </w:rPr>
            </w:pPr>
            <w:r>
              <w:rPr>
                <w:rFonts w:hint="eastAsia" w:ascii="Times New Roman"/>
                <w:sz w:val="21"/>
                <w:szCs w:val="21"/>
              </w:rPr>
              <w:t xml:space="preserve">0.02 </w:t>
            </w:r>
          </w:p>
        </w:tc>
        <w:tc>
          <w:tcPr>
            <w:tcW w:w="1286" w:type="dxa"/>
            <w:vAlign w:val="center"/>
          </w:tcPr>
          <w:p w14:paraId="264B4AF8">
            <w:pPr>
              <w:jc w:val="center"/>
              <w:rPr>
                <w:rFonts w:ascii="Times New Roman"/>
                <w:sz w:val="21"/>
                <w:szCs w:val="21"/>
              </w:rPr>
            </w:pPr>
            <w:r>
              <w:rPr>
                <w:rFonts w:hint="eastAsia" w:ascii="Times New Roman"/>
                <w:sz w:val="21"/>
                <w:szCs w:val="21"/>
              </w:rPr>
              <w:t>0.1299</w:t>
            </w:r>
          </w:p>
        </w:tc>
        <w:tc>
          <w:tcPr>
            <w:tcW w:w="1021" w:type="dxa"/>
            <w:vAlign w:val="center"/>
          </w:tcPr>
          <w:p w14:paraId="462C3384">
            <w:pPr>
              <w:jc w:val="center"/>
              <w:rPr>
                <w:rFonts w:ascii="Times New Roman"/>
                <w:sz w:val="21"/>
                <w:szCs w:val="21"/>
              </w:rPr>
            </w:pPr>
            <w:r>
              <w:rPr>
                <w:rFonts w:hint="eastAsia" w:ascii="Times New Roman"/>
                <w:sz w:val="21"/>
                <w:szCs w:val="21"/>
              </w:rPr>
              <w:t>0.06</w:t>
            </w:r>
          </w:p>
        </w:tc>
        <w:tc>
          <w:tcPr>
            <w:tcW w:w="1287" w:type="dxa"/>
            <w:vAlign w:val="center"/>
          </w:tcPr>
          <w:p w14:paraId="6F3FF8B7">
            <w:pPr>
              <w:jc w:val="center"/>
              <w:rPr>
                <w:rFonts w:ascii="Times New Roman"/>
                <w:sz w:val="21"/>
                <w:szCs w:val="21"/>
              </w:rPr>
            </w:pPr>
            <w:r>
              <w:rPr>
                <w:rFonts w:hint="eastAsia" w:ascii="Times New Roman"/>
                <w:sz w:val="21"/>
                <w:szCs w:val="21"/>
              </w:rPr>
              <w:t>0.5572</w:t>
            </w:r>
          </w:p>
        </w:tc>
        <w:tc>
          <w:tcPr>
            <w:tcW w:w="1025" w:type="dxa"/>
            <w:vAlign w:val="center"/>
          </w:tcPr>
          <w:p w14:paraId="0A99C99F">
            <w:pPr>
              <w:jc w:val="center"/>
              <w:rPr>
                <w:rFonts w:ascii="Times New Roman"/>
                <w:sz w:val="21"/>
                <w:szCs w:val="21"/>
              </w:rPr>
            </w:pPr>
            <w:r>
              <w:rPr>
                <w:rFonts w:hint="eastAsia" w:ascii="Times New Roman"/>
                <w:sz w:val="21"/>
                <w:szCs w:val="21"/>
              </w:rPr>
              <w:t>0.06</w:t>
            </w:r>
          </w:p>
        </w:tc>
      </w:tr>
      <w:tr w14:paraId="675E9E23">
        <w:tblPrEx>
          <w:tblCellMar>
            <w:top w:w="0" w:type="dxa"/>
            <w:left w:w="108" w:type="dxa"/>
            <w:bottom w:w="0" w:type="dxa"/>
            <w:right w:w="108" w:type="dxa"/>
          </w:tblCellMar>
        </w:tblPrEx>
        <w:trPr>
          <w:trHeight w:val="224" w:hRule="atLeast"/>
        </w:trPr>
        <w:tc>
          <w:tcPr>
            <w:tcW w:w="1346" w:type="dxa"/>
            <w:vAlign w:val="center"/>
          </w:tcPr>
          <w:p w14:paraId="7ECD64AD">
            <w:pPr>
              <w:jc w:val="center"/>
              <w:rPr>
                <w:rFonts w:ascii="Times New Roman"/>
                <w:sz w:val="21"/>
                <w:szCs w:val="21"/>
              </w:rPr>
            </w:pPr>
            <w:r>
              <w:rPr>
                <w:rFonts w:ascii="Times New Roman"/>
                <w:sz w:val="21"/>
                <w:szCs w:val="21"/>
              </w:rPr>
              <w:t>下风向最大浓度</w:t>
            </w:r>
          </w:p>
        </w:tc>
        <w:tc>
          <w:tcPr>
            <w:tcW w:w="1286" w:type="dxa"/>
            <w:vAlign w:val="center"/>
          </w:tcPr>
          <w:p w14:paraId="46982716">
            <w:pPr>
              <w:jc w:val="center"/>
              <w:rPr>
                <w:rFonts w:ascii="Times New Roman"/>
                <w:sz w:val="21"/>
                <w:szCs w:val="21"/>
              </w:rPr>
            </w:pPr>
            <w:r>
              <w:rPr>
                <w:rFonts w:hint="eastAsia" w:ascii="Times New Roman"/>
                <w:sz w:val="21"/>
                <w:szCs w:val="21"/>
              </w:rPr>
              <w:t>57.9520</w:t>
            </w:r>
          </w:p>
        </w:tc>
        <w:tc>
          <w:tcPr>
            <w:tcW w:w="1268" w:type="dxa"/>
            <w:shd w:val="clear" w:color="auto" w:fill="auto"/>
            <w:vAlign w:val="center"/>
          </w:tcPr>
          <w:p w14:paraId="66183F06">
            <w:pPr>
              <w:jc w:val="center"/>
              <w:rPr>
                <w:rFonts w:ascii="Times New Roman"/>
                <w:sz w:val="21"/>
                <w:szCs w:val="21"/>
              </w:rPr>
            </w:pPr>
            <w:r>
              <w:rPr>
                <w:rFonts w:hint="eastAsia" w:ascii="Times New Roman"/>
                <w:sz w:val="21"/>
                <w:szCs w:val="21"/>
              </w:rPr>
              <w:t xml:space="preserve">2.90 </w:t>
            </w:r>
          </w:p>
        </w:tc>
        <w:tc>
          <w:tcPr>
            <w:tcW w:w="1286" w:type="dxa"/>
            <w:shd w:val="clear" w:color="auto" w:fill="auto"/>
            <w:vAlign w:val="center"/>
          </w:tcPr>
          <w:p w14:paraId="095302E3">
            <w:pPr>
              <w:jc w:val="center"/>
              <w:rPr>
                <w:rFonts w:ascii="Times New Roman"/>
                <w:sz w:val="21"/>
                <w:szCs w:val="21"/>
              </w:rPr>
            </w:pPr>
            <w:r>
              <w:rPr>
                <w:rFonts w:hint="eastAsia" w:ascii="Times New Roman"/>
                <w:sz w:val="21"/>
                <w:szCs w:val="21"/>
              </w:rPr>
              <w:t>16.0403</w:t>
            </w:r>
          </w:p>
        </w:tc>
        <w:tc>
          <w:tcPr>
            <w:tcW w:w="1021" w:type="dxa"/>
            <w:shd w:val="clear" w:color="auto" w:fill="auto"/>
            <w:vAlign w:val="center"/>
          </w:tcPr>
          <w:p w14:paraId="3F703266">
            <w:pPr>
              <w:jc w:val="center"/>
              <w:rPr>
                <w:rFonts w:ascii="Times New Roman"/>
                <w:sz w:val="21"/>
                <w:szCs w:val="21"/>
              </w:rPr>
            </w:pPr>
            <w:r>
              <w:rPr>
                <w:rFonts w:hint="eastAsia" w:ascii="Times New Roman"/>
                <w:sz w:val="21"/>
                <w:szCs w:val="21"/>
              </w:rPr>
              <w:t>8.02</w:t>
            </w:r>
          </w:p>
        </w:tc>
        <w:tc>
          <w:tcPr>
            <w:tcW w:w="1287" w:type="dxa"/>
            <w:vAlign w:val="center"/>
          </w:tcPr>
          <w:p w14:paraId="3486E183">
            <w:pPr>
              <w:jc w:val="center"/>
              <w:rPr>
                <w:rFonts w:ascii="Times New Roman"/>
                <w:sz w:val="21"/>
                <w:szCs w:val="21"/>
              </w:rPr>
            </w:pPr>
            <w:r>
              <w:rPr>
                <w:rFonts w:hint="eastAsia" w:ascii="Times New Roman"/>
                <w:sz w:val="21"/>
                <w:szCs w:val="21"/>
              </w:rPr>
              <w:t>68.8180</w:t>
            </w:r>
          </w:p>
        </w:tc>
        <w:tc>
          <w:tcPr>
            <w:tcW w:w="1025" w:type="dxa"/>
            <w:vAlign w:val="center"/>
          </w:tcPr>
          <w:p w14:paraId="5E515A02">
            <w:pPr>
              <w:jc w:val="center"/>
              <w:rPr>
                <w:rFonts w:ascii="Times New Roman"/>
                <w:sz w:val="21"/>
                <w:szCs w:val="21"/>
              </w:rPr>
            </w:pPr>
            <w:r>
              <w:rPr>
                <w:rFonts w:hint="eastAsia" w:ascii="Times New Roman"/>
                <w:sz w:val="21"/>
                <w:szCs w:val="21"/>
              </w:rPr>
              <w:t>7.65</w:t>
            </w:r>
          </w:p>
        </w:tc>
      </w:tr>
      <w:tr w14:paraId="748317B1">
        <w:tblPrEx>
          <w:tblCellMar>
            <w:top w:w="0" w:type="dxa"/>
            <w:left w:w="108" w:type="dxa"/>
            <w:bottom w:w="0" w:type="dxa"/>
            <w:right w:w="108" w:type="dxa"/>
          </w:tblCellMar>
        </w:tblPrEx>
        <w:trPr>
          <w:trHeight w:val="262" w:hRule="atLeast"/>
        </w:trPr>
        <w:tc>
          <w:tcPr>
            <w:tcW w:w="1346" w:type="dxa"/>
            <w:vAlign w:val="center"/>
          </w:tcPr>
          <w:p w14:paraId="3719B5A8">
            <w:pPr>
              <w:jc w:val="center"/>
              <w:rPr>
                <w:rFonts w:ascii="Times New Roman"/>
                <w:sz w:val="21"/>
                <w:szCs w:val="21"/>
              </w:rPr>
            </w:pPr>
            <w:r>
              <w:rPr>
                <w:rFonts w:ascii="Times New Roman"/>
                <w:sz w:val="21"/>
                <w:szCs w:val="21"/>
              </w:rPr>
              <w:t>下风向最大浓度出现距离</w:t>
            </w:r>
          </w:p>
        </w:tc>
        <w:tc>
          <w:tcPr>
            <w:tcW w:w="1286" w:type="dxa"/>
            <w:vAlign w:val="center"/>
          </w:tcPr>
          <w:p w14:paraId="6B53D83C">
            <w:pPr>
              <w:jc w:val="center"/>
              <w:rPr>
                <w:rFonts w:ascii="Times New Roman"/>
                <w:sz w:val="21"/>
                <w:szCs w:val="21"/>
              </w:rPr>
            </w:pPr>
            <w:r>
              <w:rPr>
                <w:rFonts w:hint="eastAsia" w:ascii="Times New Roman"/>
                <w:sz w:val="21"/>
                <w:szCs w:val="21"/>
              </w:rPr>
              <w:t>291</w:t>
            </w:r>
            <w:r>
              <w:rPr>
                <w:rFonts w:ascii="Times New Roman"/>
                <w:sz w:val="21"/>
                <w:szCs w:val="21"/>
              </w:rPr>
              <w:t>.0</w:t>
            </w:r>
          </w:p>
        </w:tc>
        <w:tc>
          <w:tcPr>
            <w:tcW w:w="1268" w:type="dxa"/>
            <w:vAlign w:val="center"/>
          </w:tcPr>
          <w:p w14:paraId="0499128D">
            <w:pPr>
              <w:jc w:val="center"/>
              <w:rPr>
                <w:rFonts w:ascii="Times New Roman"/>
                <w:sz w:val="21"/>
                <w:szCs w:val="21"/>
              </w:rPr>
            </w:pPr>
            <w:r>
              <w:rPr>
                <w:rFonts w:hint="eastAsia" w:ascii="Times New Roman"/>
                <w:sz w:val="21"/>
                <w:szCs w:val="21"/>
              </w:rPr>
              <w:t>291</w:t>
            </w:r>
            <w:r>
              <w:rPr>
                <w:rFonts w:ascii="Times New Roman"/>
                <w:sz w:val="21"/>
                <w:szCs w:val="21"/>
              </w:rPr>
              <w:t>.0</w:t>
            </w:r>
          </w:p>
        </w:tc>
        <w:tc>
          <w:tcPr>
            <w:tcW w:w="1286" w:type="dxa"/>
            <w:vAlign w:val="center"/>
          </w:tcPr>
          <w:p w14:paraId="50D0E1A2">
            <w:pPr>
              <w:jc w:val="center"/>
              <w:rPr>
                <w:rFonts w:ascii="Times New Roman"/>
                <w:sz w:val="21"/>
                <w:szCs w:val="21"/>
              </w:rPr>
            </w:pPr>
            <w:r>
              <w:rPr>
                <w:rFonts w:hint="eastAsia" w:ascii="Times New Roman"/>
                <w:sz w:val="21"/>
                <w:szCs w:val="21"/>
              </w:rPr>
              <w:t>291</w:t>
            </w:r>
            <w:r>
              <w:rPr>
                <w:rFonts w:ascii="Times New Roman"/>
                <w:sz w:val="21"/>
                <w:szCs w:val="21"/>
              </w:rPr>
              <w:t>.0</w:t>
            </w:r>
          </w:p>
        </w:tc>
        <w:tc>
          <w:tcPr>
            <w:tcW w:w="1021" w:type="dxa"/>
            <w:vAlign w:val="center"/>
          </w:tcPr>
          <w:p w14:paraId="64EE253C">
            <w:pPr>
              <w:jc w:val="center"/>
              <w:rPr>
                <w:rFonts w:ascii="Times New Roman"/>
                <w:sz w:val="21"/>
                <w:szCs w:val="21"/>
              </w:rPr>
            </w:pPr>
            <w:r>
              <w:rPr>
                <w:rFonts w:hint="eastAsia" w:ascii="Times New Roman"/>
                <w:sz w:val="21"/>
                <w:szCs w:val="21"/>
              </w:rPr>
              <w:t>291</w:t>
            </w:r>
            <w:r>
              <w:rPr>
                <w:rFonts w:ascii="Times New Roman"/>
                <w:sz w:val="21"/>
                <w:szCs w:val="21"/>
              </w:rPr>
              <w:t>.0</w:t>
            </w:r>
          </w:p>
        </w:tc>
        <w:tc>
          <w:tcPr>
            <w:tcW w:w="1287" w:type="dxa"/>
            <w:vAlign w:val="center"/>
          </w:tcPr>
          <w:p w14:paraId="7C1B618B">
            <w:pPr>
              <w:jc w:val="center"/>
              <w:rPr>
                <w:rFonts w:ascii="Times New Roman"/>
                <w:sz w:val="21"/>
                <w:szCs w:val="21"/>
              </w:rPr>
            </w:pPr>
            <w:r>
              <w:rPr>
                <w:rFonts w:hint="eastAsia" w:ascii="Times New Roman"/>
                <w:sz w:val="21"/>
                <w:szCs w:val="21"/>
              </w:rPr>
              <w:t>291</w:t>
            </w:r>
            <w:r>
              <w:rPr>
                <w:rFonts w:ascii="Times New Roman"/>
                <w:sz w:val="21"/>
                <w:szCs w:val="21"/>
              </w:rPr>
              <w:t>.0</w:t>
            </w:r>
          </w:p>
        </w:tc>
        <w:tc>
          <w:tcPr>
            <w:tcW w:w="1025" w:type="dxa"/>
            <w:vAlign w:val="center"/>
          </w:tcPr>
          <w:p w14:paraId="7289CC13">
            <w:pPr>
              <w:jc w:val="center"/>
              <w:rPr>
                <w:rFonts w:ascii="Times New Roman"/>
                <w:sz w:val="21"/>
                <w:szCs w:val="21"/>
              </w:rPr>
            </w:pPr>
            <w:r>
              <w:rPr>
                <w:rFonts w:hint="eastAsia" w:ascii="Times New Roman"/>
                <w:sz w:val="21"/>
                <w:szCs w:val="21"/>
              </w:rPr>
              <w:t>291</w:t>
            </w:r>
            <w:r>
              <w:rPr>
                <w:rFonts w:ascii="Times New Roman"/>
                <w:sz w:val="21"/>
                <w:szCs w:val="21"/>
              </w:rPr>
              <w:t>.0</w:t>
            </w:r>
          </w:p>
        </w:tc>
      </w:tr>
      <w:tr w14:paraId="74A772CB">
        <w:tblPrEx>
          <w:tblCellMar>
            <w:top w:w="0" w:type="dxa"/>
            <w:left w:w="108" w:type="dxa"/>
            <w:bottom w:w="0" w:type="dxa"/>
            <w:right w:w="108" w:type="dxa"/>
          </w:tblCellMar>
        </w:tblPrEx>
        <w:trPr>
          <w:trHeight w:val="226" w:hRule="atLeast"/>
        </w:trPr>
        <w:tc>
          <w:tcPr>
            <w:tcW w:w="1346" w:type="dxa"/>
            <w:vAlign w:val="center"/>
          </w:tcPr>
          <w:p w14:paraId="1085F721">
            <w:pPr>
              <w:jc w:val="center"/>
              <w:rPr>
                <w:rFonts w:ascii="Times New Roman"/>
                <w:sz w:val="21"/>
                <w:szCs w:val="21"/>
              </w:rPr>
            </w:pPr>
            <w:r>
              <w:rPr>
                <w:rFonts w:ascii="Times New Roman"/>
                <w:sz w:val="21"/>
                <w:szCs w:val="21"/>
              </w:rPr>
              <w:t>D10%最远距离</w:t>
            </w:r>
          </w:p>
        </w:tc>
        <w:tc>
          <w:tcPr>
            <w:tcW w:w="1286" w:type="dxa"/>
            <w:vAlign w:val="center"/>
          </w:tcPr>
          <w:p w14:paraId="275646BC">
            <w:pPr>
              <w:jc w:val="center"/>
              <w:rPr>
                <w:rFonts w:ascii="Times New Roman"/>
                <w:sz w:val="21"/>
                <w:szCs w:val="21"/>
              </w:rPr>
            </w:pPr>
            <w:r>
              <w:rPr>
                <w:rFonts w:ascii="Times New Roman"/>
                <w:sz w:val="21"/>
                <w:szCs w:val="21"/>
              </w:rPr>
              <w:t>/</w:t>
            </w:r>
          </w:p>
        </w:tc>
        <w:tc>
          <w:tcPr>
            <w:tcW w:w="1268" w:type="dxa"/>
            <w:vAlign w:val="center"/>
          </w:tcPr>
          <w:p w14:paraId="696AE219">
            <w:pPr>
              <w:jc w:val="center"/>
              <w:rPr>
                <w:rFonts w:ascii="Times New Roman"/>
                <w:sz w:val="21"/>
                <w:szCs w:val="21"/>
              </w:rPr>
            </w:pPr>
            <w:r>
              <w:rPr>
                <w:rFonts w:ascii="Times New Roman"/>
                <w:sz w:val="21"/>
                <w:szCs w:val="21"/>
              </w:rPr>
              <w:t>/</w:t>
            </w:r>
          </w:p>
        </w:tc>
        <w:tc>
          <w:tcPr>
            <w:tcW w:w="1286" w:type="dxa"/>
            <w:vAlign w:val="center"/>
          </w:tcPr>
          <w:p w14:paraId="6DA2E493">
            <w:pPr>
              <w:jc w:val="center"/>
              <w:rPr>
                <w:rFonts w:ascii="Times New Roman"/>
                <w:sz w:val="21"/>
                <w:szCs w:val="21"/>
              </w:rPr>
            </w:pPr>
            <w:r>
              <w:rPr>
                <w:rFonts w:ascii="Times New Roman"/>
                <w:sz w:val="21"/>
                <w:szCs w:val="21"/>
              </w:rPr>
              <w:t>/</w:t>
            </w:r>
          </w:p>
        </w:tc>
        <w:tc>
          <w:tcPr>
            <w:tcW w:w="1021" w:type="dxa"/>
            <w:vAlign w:val="center"/>
          </w:tcPr>
          <w:p w14:paraId="08731C37">
            <w:pPr>
              <w:jc w:val="center"/>
              <w:rPr>
                <w:rFonts w:ascii="Times New Roman"/>
                <w:sz w:val="21"/>
                <w:szCs w:val="21"/>
              </w:rPr>
            </w:pPr>
            <w:r>
              <w:rPr>
                <w:rFonts w:ascii="Times New Roman"/>
                <w:sz w:val="21"/>
                <w:szCs w:val="21"/>
              </w:rPr>
              <w:t>/</w:t>
            </w:r>
          </w:p>
        </w:tc>
        <w:tc>
          <w:tcPr>
            <w:tcW w:w="1287" w:type="dxa"/>
            <w:vAlign w:val="center"/>
          </w:tcPr>
          <w:p w14:paraId="6A13A344">
            <w:pPr>
              <w:jc w:val="center"/>
              <w:rPr>
                <w:rFonts w:ascii="Times New Roman"/>
                <w:sz w:val="21"/>
                <w:szCs w:val="21"/>
              </w:rPr>
            </w:pPr>
            <w:r>
              <w:rPr>
                <w:rFonts w:ascii="Times New Roman"/>
                <w:sz w:val="21"/>
                <w:szCs w:val="21"/>
              </w:rPr>
              <w:t>/</w:t>
            </w:r>
          </w:p>
        </w:tc>
        <w:tc>
          <w:tcPr>
            <w:tcW w:w="1025" w:type="dxa"/>
            <w:vAlign w:val="center"/>
          </w:tcPr>
          <w:p w14:paraId="074F11ED">
            <w:pPr>
              <w:jc w:val="center"/>
              <w:rPr>
                <w:rFonts w:ascii="Times New Roman"/>
                <w:sz w:val="21"/>
                <w:szCs w:val="21"/>
              </w:rPr>
            </w:pPr>
            <w:r>
              <w:rPr>
                <w:rFonts w:ascii="Times New Roman"/>
                <w:sz w:val="21"/>
                <w:szCs w:val="21"/>
              </w:rPr>
              <w:t>/</w:t>
            </w:r>
          </w:p>
        </w:tc>
      </w:tr>
    </w:tbl>
    <w:p w14:paraId="74663B65">
      <w:pPr>
        <w:spacing w:line="440" w:lineRule="exact"/>
        <w:ind w:firstLine="482"/>
        <w:jc w:val="center"/>
        <w:rPr>
          <w:rFonts w:ascii="Times New Roman"/>
          <w:b/>
          <w:sz w:val="24"/>
          <w:szCs w:val="24"/>
        </w:rPr>
      </w:pPr>
      <w:r>
        <w:rPr>
          <w:rFonts w:ascii="Times New Roman"/>
          <w:b/>
          <w:sz w:val="24"/>
          <w:szCs w:val="24"/>
        </w:rPr>
        <w:t>表5.2</w:t>
      </w:r>
      <w:r>
        <w:rPr>
          <w:rFonts w:hint="eastAsia" w:ascii="Times New Roman"/>
          <w:b/>
          <w:sz w:val="24"/>
          <w:szCs w:val="24"/>
        </w:rPr>
        <w:t>.1</w:t>
      </w:r>
      <w:r>
        <w:rPr>
          <w:rFonts w:ascii="Times New Roman"/>
          <w:b/>
          <w:sz w:val="24"/>
          <w:szCs w:val="24"/>
        </w:rPr>
        <w:t>-</w:t>
      </w:r>
      <w:r>
        <w:rPr>
          <w:rFonts w:hint="eastAsia" w:ascii="Times New Roman"/>
          <w:b/>
          <w:sz w:val="24"/>
          <w:szCs w:val="24"/>
        </w:rPr>
        <w:t>6</w:t>
      </w:r>
      <w:r>
        <w:rPr>
          <w:rFonts w:ascii="Times New Roman"/>
          <w:b/>
          <w:sz w:val="24"/>
          <w:szCs w:val="24"/>
        </w:rPr>
        <w:t xml:space="preserve">  Pmax和D</w:t>
      </w:r>
      <w:r>
        <w:rPr>
          <w:rFonts w:ascii="Times New Roman"/>
          <w:b/>
          <w:sz w:val="24"/>
          <w:szCs w:val="24"/>
          <w:vertAlign w:val="subscript"/>
        </w:rPr>
        <w:t>10%</w:t>
      </w:r>
      <w:r>
        <w:rPr>
          <w:rFonts w:ascii="Times New Roman"/>
          <w:b/>
          <w:sz w:val="24"/>
          <w:szCs w:val="24"/>
        </w:rPr>
        <w:t>预测和计算结果一览表</w:t>
      </w:r>
    </w:p>
    <w:tbl>
      <w:tblPr>
        <w:tblStyle w:val="84"/>
        <w:tblW w:w="4998" w:type="pct"/>
        <w:jc w:val="center"/>
        <w:tblLayout w:type="autofit"/>
        <w:tblCellMar>
          <w:top w:w="0" w:type="dxa"/>
          <w:left w:w="108" w:type="dxa"/>
          <w:bottom w:w="0" w:type="dxa"/>
          <w:right w:w="108" w:type="dxa"/>
        </w:tblCellMar>
      </w:tblPr>
      <w:tblGrid>
        <w:gridCol w:w="1603"/>
        <w:gridCol w:w="1454"/>
        <w:gridCol w:w="1747"/>
        <w:gridCol w:w="1456"/>
        <w:gridCol w:w="1164"/>
        <w:gridCol w:w="1095"/>
      </w:tblGrid>
      <w:tr w14:paraId="28C37EEA">
        <w:tblPrEx>
          <w:tblCellMar>
            <w:top w:w="0" w:type="dxa"/>
            <w:left w:w="108" w:type="dxa"/>
            <w:bottom w:w="0" w:type="dxa"/>
            <w:right w:w="108" w:type="dxa"/>
          </w:tblCellMar>
        </w:tblPrEx>
        <w:trPr>
          <w:trHeight w:val="363" w:hRule="atLeast"/>
          <w:jc w:val="center"/>
        </w:trPr>
        <w:tc>
          <w:tcPr>
            <w:tcW w:w="940" w:type="pct"/>
            <w:vAlign w:val="center"/>
          </w:tcPr>
          <w:p w14:paraId="37B4CEB8">
            <w:pPr>
              <w:spacing w:line="320" w:lineRule="exact"/>
              <w:jc w:val="center"/>
              <w:rPr>
                <w:rFonts w:ascii="Times New Roman"/>
                <w:sz w:val="21"/>
                <w:szCs w:val="21"/>
              </w:rPr>
            </w:pPr>
            <w:r>
              <w:rPr>
                <w:rFonts w:ascii="Times New Roman"/>
                <w:sz w:val="21"/>
                <w:szCs w:val="21"/>
              </w:rPr>
              <w:t>污染源名称</w:t>
            </w:r>
          </w:p>
        </w:tc>
        <w:tc>
          <w:tcPr>
            <w:tcW w:w="853" w:type="pct"/>
            <w:vAlign w:val="center"/>
          </w:tcPr>
          <w:p w14:paraId="6A3C540A">
            <w:pPr>
              <w:spacing w:line="320" w:lineRule="exact"/>
              <w:jc w:val="center"/>
              <w:rPr>
                <w:rFonts w:ascii="Times New Roman"/>
                <w:sz w:val="21"/>
                <w:szCs w:val="21"/>
              </w:rPr>
            </w:pPr>
            <w:r>
              <w:rPr>
                <w:rFonts w:ascii="Times New Roman"/>
                <w:sz w:val="21"/>
                <w:szCs w:val="21"/>
              </w:rPr>
              <w:t>评价因子</w:t>
            </w:r>
          </w:p>
        </w:tc>
        <w:tc>
          <w:tcPr>
            <w:tcW w:w="1025" w:type="pct"/>
            <w:vAlign w:val="center"/>
          </w:tcPr>
          <w:p w14:paraId="4E746A85">
            <w:pPr>
              <w:spacing w:line="320" w:lineRule="exact"/>
              <w:jc w:val="center"/>
              <w:rPr>
                <w:rFonts w:ascii="Times New Roman"/>
                <w:sz w:val="21"/>
                <w:szCs w:val="21"/>
              </w:rPr>
            </w:pPr>
            <w:r>
              <w:rPr>
                <w:rFonts w:ascii="Times New Roman"/>
                <w:sz w:val="21"/>
                <w:szCs w:val="21"/>
              </w:rPr>
              <w:t>评价标准(μg/m³)</w:t>
            </w:r>
          </w:p>
        </w:tc>
        <w:tc>
          <w:tcPr>
            <w:tcW w:w="854" w:type="pct"/>
            <w:vAlign w:val="center"/>
          </w:tcPr>
          <w:p w14:paraId="60BFF5F5">
            <w:pPr>
              <w:spacing w:line="320" w:lineRule="exact"/>
              <w:jc w:val="center"/>
              <w:rPr>
                <w:rFonts w:ascii="Times New Roman"/>
                <w:sz w:val="21"/>
                <w:szCs w:val="21"/>
              </w:rPr>
            </w:pPr>
            <w:r>
              <w:rPr>
                <w:rFonts w:ascii="Times New Roman"/>
                <w:sz w:val="21"/>
                <w:szCs w:val="21"/>
              </w:rPr>
              <w:t>Cmax(μg/m³)</w:t>
            </w:r>
          </w:p>
        </w:tc>
        <w:tc>
          <w:tcPr>
            <w:tcW w:w="683" w:type="pct"/>
            <w:vAlign w:val="center"/>
          </w:tcPr>
          <w:p w14:paraId="190E24D4">
            <w:pPr>
              <w:spacing w:line="320" w:lineRule="exact"/>
              <w:jc w:val="center"/>
              <w:rPr>
                <w:rFonts w:ascii="Times New Roman"/>
                <w:sz w:val="21"/>
                <w:szCs w:val="21"/>
              </w:rPr>
            </w:pPr>
            <w:r>
              <w:rPr>
                <w:rFonts w:ascii="Times New Roman"/>
                <w:sz w:val="21"/>
                <w:szCs w:val="21"/>
              </w:rPr>
              <w:t>Pmax(%)</w:t>
            </w:r>
          </w:p>
        </w:tc>
        <w:tc>
          <w:tcPr>
            <w:tcW w:w="642" w:type="pct"/>
            <w:vAlign w:val="center"/>
          </w:tcPr>
          <w:p w14:paraId="59F7CE67">
            <w:pPr>
              <w:spacing w:line="320" w:lineRule="exact"/>
              <w:jc w:val="center"/>
              <w:rPr>
                <w:rFonts w:ascii="Times New Roman"/>
                <w:sz w:val="21"/>
                <w:szCs w:val="21"/>
              </w:rPr>
            </w:pPr>
            <w:r>
              <w:rPr>
                <w:rFonts w:ascii="Times New Roman"/>
                <w:sz w:val="21"/>
                <w:szCs w:val="21"/>
              </w:rPr>
              <w:t>D10%(m)</w:t>
            </w:r>
          </w:p>
        </w:tc>
      </w:tr>
      <w:tr w14:paraId="00D36C6F">
        <w:tblPrEx>
          <w:tblCellMar>
            <w:top w:w="0" w:type="dxa"/>
            <w:left w:w="108" w:type="dxa"/>
            <w:bottom w:w="0" w:type="dxa"/>
            <w:right w:w="108" w:type="dxa"/>
          </w:tblCellMar>
        </w:tblPrEx>
        <w:trPr>
          <w:trHeight w:val="363" w:hRule="atLeast"/>
          <w:jc w:val="center"/>
        </w:trPr>
        <w:tc>
          <w:tcPr>
            <w:tcW w:w="940" w:type="pct"/>
            <w:vAlign w:val="center"/>
          </w:tcPr>
          <w:p w14:paraId="38614A9F">
            <w:pPr>
              <w:spacing w:line="320" w:lineRule="exact"/>
              <w:jc w:val="center"/>
              <w:rPr>
                <w:rFonts w:ascii="Times New Roman"/>
                <w:sz w:val="21"/>
                <w:szCs w:val="21"/>
              </w:rPr>
            </w:pPr>
            <w:r>
              <w:rPr>
                <w:rFonts w:hint="eastAsia" w:ascii="Times New Roman"/>
                <w:sz w:val="21"/>
                <w:szCs w:val="21"/>
              </w:rPr>
              <w:t>DA00</w:t>
            </w:r>
            <w:r>
              <w:rPr>
                <w:rFonts w:ascii="Times New Roman"/>
                <w:sz w:val="21"/>
                <w:szCs w:val="21"/>
              </w:rPr>
              <w:t>1</w:t>
            </w:r>
          </w:p>
        </w:tc>
        <w:tc>
          <w:tcPr>
            <w:tcW w:w="853" w:type="pct"/>
            <w:vAlign w:val="center"/>
          </w:tcPr>
          <w:p w14:paraId="7359EBC4">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38157ED1">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7EFA6DB0">
            <w:pPr>
              <w:jc w:val="center"/>
              <w:rPr>
                <w:rFonts w:ascii="Times New Roman"/>
                <w:sz w:val="21"/>
                <w:szCs w:val="21"/>
              </w:rPr>
            </w:pPr>
            <w:r>
              <w:rPr>
                <w:rFonts w:hint="eastAsia" w:ascii="Times New Roman"/>
                <w:sz w:val="21"/>
                <w:szCs w:val="21"/>
              </w:rPr>
              <w:t>7.6258</w:t>
            </w:r>
          </w:p>
        </w:tc>
        <w:tc>
          <w:tcPr>
            <w:tcW w:w="683" w:type="pct"/>
            <w:shd w:val="clear" w:color="auto" w:fill="auto"/>
            <w:vAlign w:val="center"/>
          </w:tcPr>
          <w:p w14:paraId="6F95F806">
            <w:pPr>
              <w:jc w:val="center"/>
              <w:rPr>
                <w:rFonts w:ascii="Times New Roman"/>
                <w:sz w:val="21"/>
                <w:szCs w:val="21"/>
              </w:rPr>
            </w:pPr>
            <w:r>
              <w:rPr>
                <w:rFonts w:hint="eastAsia" w:ascii="Times New Roman"/>
                <w:sz w:val="21"/>
                <w:szCs w:val="21"/>
              </w:rPr>
              <w:t>1.69</w:t>
            </w:r>
          </w:p>
        </w:tc>
        <w:tc>
          <w:tcPr>
            <w:tcW w:w="642" w:type="pct"/>
            <w:vAlign w:val="center"/>
          </w:tcPr>
          <w:p w14:paraId="01E1E8D6">
            <w:pPr>
              <w:spacing w:line="320" w:lineRule="exact"/>
              <w:jc w:val="center"/>
              <w:rPr>
                <w:rFonts w:ascii="Times New Roman"/>
                <w:sz w:val="21"/>
                <w:szCs w:val="21"/>
              </w:rPr>
            </w:pPr>
            <w:r>
              <w:rPr>
                <w:rFonts w:ascii="Times New Roman"/>
                <w:sz w:val="21"/>
                <w:szCs w:val="21"/>
              </w:rPr>
              <w:t>/</w:t>
            </w:r>
          </w:p>
        </w:tc>
      </w:tr>
      <w:tr w14:paraId="0BEE1D66">
        <w:tblPrEx>
          <w:tblCellMar>
            <w:top w:w="0" w:type="dxa"/>
            <w:left w:w="108" w:type="dxa"/>
            <w:bottom w:w="0" w:type="dxa"/>
            <w:right w:w="108" w:type="dxa"/>
          </w:tblCellMar>
        </w:tblPrEx>
        <w:trPr>
          <w:trHeight w:val="363" w:hRule="atLeast"/>
          <w:jc w:val="center"/>
        </w:trPr>
        <w:tc>
          <w:tcPr>
            <w:tcW w:w="940" w:type="pct"/>
            <w:tcBorders>
              <w:bottom w:val="single" w:color="auto" w:sz="4" w:space="0"/>
            </w:tcBorders>
            <w:vAlign w:val="center"/>
          </w:tcPr>
          <w:p w14:paraId="78DADD70">
            <w:pPr>
              <w:spacing w:line="320" w:lineRule="exact"/>
              <w:jc w:val="center"/>
              <w:rPr>
                <w:rFonts w:ascii="Times New Roman"/>
                <w:sz w:val="21"/>
                <w:szCs w:val="21"/>
              </w:rPr>
            </w:pPr>
            <w:r>
              <w:rPr>
                <w:rFonts w:hint="eastAsia" w:ascii="Times New Roman"/>
                <w:sz w:val="21"/>
                <w:szCs w:val="21"/>
              </w:rPr>
              <w:t>DA002</w:t>
            </w:r>
          </w:p>
        </w:tc>
        <w:tc>
          <w:tcPr>
            <w:tcW w:w="853" w:type="pct"/>
            <w:tcBorders>
              <w:bottom w:val="single" w:color="auto" w:sz="4" w:space="0"/>
            </w:tcBorders>
            <w:vAlign w:val="center"/>
          </w:tcPr>
          <w:p w14:paraId="75E01D70">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481DAF70">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6CF1C3EA">
            <w:pPr>
              <w:jc w:val="center"/>
              <w:rPr>
                <w:rFonts w:ascii="Times New Roman"/>
                <w:sz w:val="21"/>
                <w:szCs w:val="21"/>
              </w:rPr>
            </w:pPr>
            <w:r>
              <w:rPr>
                <w:rFonts w:hint="eastAsia" w:ascii="Times New Roman"/>
                <w:sz w:val="21"/>
                <w:szCs w:val="21"/>
              </w:rPr>
              <w:t>0.1146</w:t>
            </w:r>
          </w:p>
        </w:tc>
        <w:tc>
          <w:tcPr>
            <w:tcW w:w="683" w:type="pct"/>
            <w:shd w:val="clear" w:color="auto" w:fill="auto"/>
            <w:vAlign w:val="center"/>
          </w:tcPr>
          <w:p w14:paraId="15413B05">
            <w:pPr>
              <w:jc w:val="center"/>
              <w:rPr>
                <w:rFonts w:ascii="Times New Roman"/>
                <w:sz w:val="21"/>
                <w:szCs w:val="21"/>
              </w:rPr>
            </w:pPr>
            <w:r>
              <w:rPr>
                <w:rFonts w:hint="eastAsia" w:ascii="Times New Roman"/>
                <w:sz w:val="21"/>
                <w:szCs w:val="21"/>
              </w:rPr>
              <w:t>0.03</w:t>
            </w:r>
          </w:p>
        </w:tc>
        <w:tc>
          <w:tcPr>
            <w:tcW w:w="642" w:type="pct"/>
            <w:vAlign w:val="center"/>
          </w:tcPr>
          <w:p w14:paraId="5D2CDC86">
            <w:pPr>
              <w:spacing w:line="320" w:lineRule="exact"/>
              <w:jc w:val="center"/>
              <w:rPr>
                <w:rFonts w:ascii="Times New Roman"/>
                <w:sz w:val="21"/>
                <w:szCs w:val="21"/>
              </w:rPr>
            </w:pPr>
            <w:r>
              <w:rPr>
                <w:rFonts w:ascii="Times New Roman"/>
                <w:sz w:val="21"/>
                <w:szCs w:val="21"/>
              </w:rPr>
              <w:t>/</w:t>
            </w:r>
          </w:p>
        </w:tc>
      </w:tr>
      <w:tr w14:paraId="7152AABF">
        <w:tblPrEx>
          <w:tblCellMar>
            <w:top w:w="0" w:type="dxa"/>
            <w:left w:w="108" w:type="dxa"/>
            <w:bottom w:w="0" w:type="dxa"/>
            <w:right w:w="108" w:type="dxa"/>
          </w:tblCellMar>
        </w:tblPrEx>
        <w:trPr>
          <w:trHeight w:val="363" w:hRule="atLeast"/>
          <w:jc w:val="center"/>
        </w:trPr>
        <w:tc>
          <w:tcPr>
            <w:tcW w:w="940" w:type="pct"/>
            <w:tcBorders>
              <w:top w:val="single" w:color="auto" w:sz="4" w:space="0"/>
              <w:bottom w:val="single" w:color="auto" w:sz="4" w:space="0"/>
            </w:tcBorders>
            <w:vAlign w:val="center"/>
          </w:tcPr>
          <w:p w14:paraId="229054BA">
            <w:pPr>
              <w:spacing w:line="320" w:lineRule="exact"/>
              <w:jc w:val="center"/>
              <w:rPr>
                <w:rFonts w:ascii="Times New Roman"/>
                <w:sz w:val="21"/>
                <w:szCs w:val="21"/>
              </w:rPr>
            </w:pPr>
            <w:r>
              <w:rPr>
                <w:rFonts w:hint="eastAsia" w:ascii="Times New Roman"/>
                <w:sz w:val="21"/>
                <w:szCs w:val="21"/>
              </w:rPr>
              <w:t>DA003</w:t>
            </w:r>
          </w:p>
        </w:tc>
        <w:tc>
          <w:tcPr>
            <w:tcW w:w="853" w:type="pct"/>
            <w:tcBorders>
              <w:top w:val="single" w:color="auto" w:sz="4" w:space="0"/>
              <w:bottom w:val="single" w:color="auto" w:sz="4" w:space="0"/>
            </w:tcBorders>
            <w:vAlign w:val="center"/>
          </w:tcPr>
          <w:p w14:paraId="65CABDF5">
            <w:pPr>
              <w:spacing w:line="32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p>
        </w:tc>
        <w:tc>
          <w:tcPr>
            <w:tcW w:w="1025" w:type="pct"/>
            <w:shd w:val="clear" w:color="auto" w:fill="auto"/>
            <w:vAlign w:val="center"/>
          </w:tcPr>
          <w:p w14:paraId="6D925EA2">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2A4E2618">
            <w:pPr>
              <w:jc w:val="center"/>
              <w:rPr>
                <w:rFonts w:ascii="Times New Roman"/>
                <w:sz w:val="21"/>
                <w:szCs w:val="21"/>
              </w:rPr>
            </w:pPr>
            <w:r>
              <w:rPr>
                <w:rFonts w:hint="eastAsia" w:ascii="Times New Roman"/>
                <w:sz w:val="21"/>
                <w:szCs w:val="21"/>
              </w:rPr>
              <w:t>0.1146</w:t>
            </w:r>
          </w:p>
        </w:tc>
        <w:tc>
          <w:tcPr>
            <w:tcW w:w="683" w:type="pct"/>
            <w:shd w:val="clear" w:color="auto" w:fill="auto"/>
            <w:vAlign w:val="center"/>
          </w:tcPr>
          <w:p w14:paraId="56503BCD">
            <w:pPr>
              <w:jc w:val="center"/>
              <w:rPr>
                <w:rFonts w:ascii="Times New Roman"/>
                <w:sz w:val="21"/>
                <w:szCs w:val="21"/>
              </w:rPr>
            </w:pPr>
            <w:r>
              <w:rPr>
                <w:rFonts w:hint="eastAsia" w:ascii="Times New Roman"/>
                <w:sz w:val="21"/>
                <w:szCs w:val="21"/>
              </w:rPr>
              <w:t>0.03</w:t>
            </w:r>
          </w:p>
        </w:tc>
        <w:tc>
          <w:tcPr>
            <w:tcW w:w="642" w:type="pct"/>
            <w:vAlign w:val="center"/>
          </w:tcPr>
          <w:p w14:paraId="6A6560E7">
            <w:pPr>
              <w:spacing w:line="320" w:lineRule="exact"/>
              <w:jc w:val="center"/>
              <w:rPr>
                <w:rFonts w:ascii="Times New Roman"/>
                <w:sz w:val="21"/>
                <w:szCs w:val="21"/>
              </w:rPr>
            </w:pPr>
            <w:r>
              <w:rPr>
                <w:rFonts w:ascii="Times New Roman"/>
                <w:sz w:val="21"/>
                <w:szCs w:val="21"/>
              </w:rPr>
              <w:t>/</w:t>
            </w:r>
          </w:p>
        </w:tc>
      </w:tr>
      <w:tr w14:paraId="3D3E8390">
        <w:tblPrEx>
          <w:tblCellMar>
            <w:top w:w="0" w:type="dxa"/>
            <w:left w:w="108" w:type="dxa"/>
            <w:bottom w:w="0" w:type="dxa"/>
            <w:right w:w="108" w:type="dxa"/>
          </w:tblCellMar>
        </w:tblPrEx>
        <w:trPr>
          <w:trHeight w:val="363" w:hRule="atLeast"/>
          <w:jc w:val="center"/>
        </w:trPr>
        <w:tc>
          <w:tcPr>
            <w:tcW w:w="940" w:type="pct"/>
            <w:tcBorders>
              <w:top w:val="single" w:color="auto" w:sz="4" w:space="0"/>
              <w:bottom w:val="single" w:color="auto" w:sz="4" w:space="0"/>
            </w:tcBorders>
            <w:vAlign w:val="center"/>
          </w:tcPr>
          <w:p w14:paraId="0B7E5B5A">
            <w:pPr>
              <w:spacing w:line="320" w:lineRule="exact"/>
              <w:jc w:val="center"/>
              <w:rPr>
                <w:rFonts w:ascii="Times New Roman"/>
                <w:sz w:val="21"/>
                <w:szCs w:val="21"/>
              </w:rPr>
            </w:pPr>
            <w:r>
              <w:rPr>
                <w:rFonts w:hint="eastAsia" w:ascii="Times New Roman"/>
                <w:sz w:val="21"/>
                <w:szCs w:val="21"/>
              </w:rPr>
              <w:t>DA004</w:t>
            </w:r>
          </w:p>
        </w:tc>
        <w:tc>
          <w:tcPr>
            <w:tcW w:w="853" w:type="pct"/>
            <w:tcBorders>
              <w:top w:val="single" w:color="auto" w:sz="4" w:space="0"/>
              <w:bottom w:val="single" w:color="auto" w:sz="4" w:space="0"/>
            </w:tcBorders>
            <w:vAlign w:val="center"/>
          </w:tcPr>
          <w:p w14:paraId="7B1541EC">
            <w:pPr>
              <w:spacing w:line="32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p>
        </w:tc>
        <w:tc>
          <w:tcPr>
            <w:tcW w:w="1025" w:type="pct"/>
            <w:shd w:val="clear" w:color="auto" w:fill="auto"/>
            <w:vAlign w:val="center"/>
          </w:tcPr>
          <w:p w14:paraId="4E440A92">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162D995C">
            <w:pPr>
              <w:jc w:val="center"/>
              <w:rPr>
                <w:rFonts w:ascii="Times New Roman"/>
                <w:sz w:val="21"/>
                <w:szCs w:val="21"/>
              </w:rPr>
            </w:pPr>
            <w:r>
              <w:rPr>
                <w:rFonts w:hint="eastAsia" w:ascii="Times New Roman"/>
                <w:sz w:val="21"/>
                <w:szCs w:val="21"/>
              </w:rPr>
              <w:t>0.1146</w:t>
            </w:r>
          </w:p>
        </w:tc>
        <w:tc>
          <w:tcPr>
            <w:tcW w:w="683" w:type="pct"/>
            <w:shd w:val="clear" w:color="auto" w:fill="auto"/>
            <w:vAlign w:val="center"/>
          </w:tcPr>
          <w:p w14:paraId="231E5C0B">
            <w:pPr>
              <w:jc w:val="center"/>
              <w:rPr>
                <w:rFonts w:ascii="Times New Roman"/>
                <w:sz w:val="21"/>
                <w:szCs w:val="21"/>
              </w:rPr>
            </w:pPr>
            <w:r>
              <w:rPr>
                <w:rFonts w:hint="eastAsia" w:ascii="Times New Roman"/>
                <w:sz w:val="21"/>
                <w:szCs w:val="21"/>
              </w:rPr>
              <w:t>0.03</w:t>
            </w:r>
          </w:p>
        </w:tc>
        <w:tc>
          <w:tcPr>
            <w:tcW w:w="642" w:type="pct"/>
            <w:shd w:val="clear" w:color="auto" w:fill="auto"/>
            <w:vAlign w:val="center"/>
          </w:tcPr>
          <w:p w14:paraId="0A55629D">
            <w:pPr>
              <w:spacing w:line="320" w:lineRule="exact"/>
              <w:jc w:val="center"/>
              <w:rPr>
                <w:rFonts w:ascii="Times New Roman"/>
                <w:sz w:val="21"/>
                <w:szCs w:val="21"/>
              </w:rPr>
            </w:pPr>
            <w:r>
              <w:rPr>
                <w:rFonts w:ascii="Times New Roman"/>
                <w:sz w:val="21"/>
                <w:szCs w:val="21"/>
              </w:rPr>
              <w:t>/</w:t>
            </w:r>
          </w:p>
        </w:tc>
      </w:tr>
      <w:tr w14:paraId="1565ED7C">
        <w:tblPrEx>
          <w:tblCellMar>
            <w:top w:w="0" w:type="dxa"/>
            <w:left w:w="108" w:type="dxa"/>
            <w:bottom w:w="0" w:type="dxa"/>
            <w:right w:w="108" w:type="dxa"/>
          </w:tblCellMar>
        </w:tblPrEx>
        <w:trPr>
          <w:trHeight w:val="363" w:hRule="atLeast"/>
          <w:jc w:val="center"/>
        </w:trPr>
        <w:tc>
          <w:tcPr>
            <w:tcW w:w="940" w:type="pct"/>
            <w:vMerge w:val="restart"/>
            <w:tcBorders>
              <w:top w:val="single" w:color="auto" w:sz="4" w:space="0"/>
            </w:tcBorders>
            <w:vAlign w:val="center"/>
          </w:tcPr>
          <w:p w14:paraId="49499A72">
            <w:pPr>
              <w:spacing w:line="320" w:lineRule="exact"/>
              <w:jc w:val="center"/>
              <w:rPr>
                <w:rFonts w:ascii="Times New Roman"/>
                <w:sz w:val="21"/>
                <w:szCs w:val="21"/>
              </w:rPr>
            </w:pPr>
            <w:r>
              <w:rPr>
                <w:rFonts w:hint="eastAsia" w:ascii="Times New Roman"/>
                <w:sz w:val="21"/>
                <w:szCs w:val="21"/>
              </w:rPr>
              <w:t>DA005</w:t>
            </w:r>
          </w:p>
        </w:tc>
        <w:tc>
          <w:tcPr>
            <w:tcW w:w="853" w:type="pct"/>
            <w:tcBorders>
              <w:top w:val="single" w:color="auto" w:sz="4" w:space="0"/>
              <w:bottom w:val="single" w:color="auto" w:sz="4" w:space="0"/>
            </w:tcBorders>
            <w:vAlign w:val="center"/>
          </w:tcPr>
          <w:p w14:paraId="71995040">
            <w:pPr>
              <w:spacing w:line="320" w:lineRule="exact"/>
              <w:jc w:val="center"/>
              <w:rPr>
                <w:rFonts w:ascii="Times New Roman"/>
                <w:sz w:val="21"/>
                <w:szCs w:val="21"/>
              </w:rPr>
            </w:pPr>
            <w:r>
              <w:rPr>
                <w:rFonts w:ascii="Times New Roman"/>
                <w:sz w:val="21"/>
                <w:szCs w:val="21"/>
              </w:rPr>
              <w:t>PM</w:t>
            </w:r>
            <w:r>
              <w:rPr>
                <w:rFonts w:hint="eastAsia" w:ascii="Times New Roman"/>
                <w:sz w:val="21"/>
                <w:szCs w:val="21"/>
                <w:vertAlign w:val="subscript"/>
              </w:rPr>
              <w:t>10</w:t>
            </w:r>
          </w:p>
        </w:tc>
        <w:tc>
          <w:tcPr>
            <w:tcW w:w="1025" w:type="pct"/>
            <w:vAlign w:val="center"/>
          </w:tcPr>
          <w:p w14:paraId="56BE8196">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02ECD445">
            <w:pPr>
              <w:jc w:val="center"/>
              <w:rPr>
                <w:rFonts w:ascii="Times New Roman"/>
                <w:sz w:val="21"/>
                <w:szCs w:val="21"/>
              </w:rPr>
            </w:pPr>
            <w:r>
              <w:rPr>
                <w:rFonts w:hint="eastAsia" w:ascii="Times New Roman"/>
                <w:sz w:val="21"/>
                <w:szCs w:val="21"/>
              </w:rPr>
              <w:t>1.3203</w:t>
            </w:r>
          </w:p>
        </w:tc>
        <w:tc>
          <w:tcPr>
            <w:tcW w:w="683" w:type="pct"/>
            <w:shd w:val="clear" w:color="auto" w:fill="auto"/>
            <w:vAlign w:val="center"/>
          </w:tcPr>
          <w:p w14:paraId="7A248254">
            <w:pPr>
              <w:jc w:val="center"/>
              <w:rPr>
                <w:rFonts w:ascii="Times New Roman"/>
                <w:sz w:val="21"/>
                <w:szCs w:val="21"/>
              </w:rPr>
            </w:pPr>
            <w:r>
              <w:rPr>
                <w:rFonts w:hint="eastAsia" w:ascii="Times New Roman"/>
                <w:sz w:val="21"/>
                <w:szCs w:val="21"/>
              </w:rPr>
              <w:t>0.29</w:t>
            </w:r>
          </w:p>
        </w:tc>
        <w:tc>
          <w:tcPr>
            <w:tcW w:w="642" w:type="pct"/>
            <w:shd w:val="clear" w:color="auto" w:fill="auto"/>
            <w:vAlign w:val="center"/>
          </w:tcPr>
          <w:p w14:paraId="56A7A83E">
            <w:pPr>
              <w:spacing w:line="320" w:lineRule="exact"/>
              <w:jc w:val="center"/>
              <w:rPr>
                <w:rFonts w:ascii="Times New Roman"/>
                <w:sz w:val="21"/>
                <w:szCs w:val="21"/>
              </w:rPr>
            </w:pPr>
            <w:r>
              <w:rPr>
                <w:rFonts w:ascii="Times New Roman"/>
                <w:sz w:val="21"/>
                <w:szCs w:val="21"/>
              </w:rPr>
              <w:t>/</w:t>
            </w:r>
          </w:p>
        </w:tc>
      </w:tr>
      <w:tr w14:paraId="2B98315B">
        <w:tblPrEx>
          <w:tblCellMar>
            <w:top w:w="0" w:type="dxa"/>
            <w:left w:w="108" w:type="dxa"/>
            <w:bottom w:w="0" w:type="dxa"/>
            <w:right w:w="108" w:type="dxa"/>
          </w:tblCellMar>
        </w:tblPrEx>
        <w:trPr>
          <w:trHeight w:val="363" w:hRule="atLeast"/>
          <w:jc w:val="center"/>
        </w:trPr>
        <w:tc>
          <w:tcPr>
            <w:tcW w:w="940" w:type="pct"/>
            <w:vMerge w:val="continue"/>
            <w:vAlign w:val="center"/>
          </w:tcPr>
          <w:p w14:paraId="2C3E8200">
            <w:pPr>
              <w:spacing w:line="320" w:lineRule="exact"/>
              <w:jc w:val="center"/>
              <w:rPr>
                <w:rFonts w:ascii="Times New Roman"/>
                <w:sz w:val="21"/>
                <w:szCs w:val="21"/>
              </w:rPr>
            </w:pPr>
          </w:p>
        </w:tc>
        <w:tc>
          <w:tcPr>
            <w:tcW w:w="853" w:type="pct"/>
            <w:tcBorders>
              <w:top w:val="single" w:color="auto" w:sz="4" w:space="0"/>
              <w:bottom w:val="single" w:color="auto" w:sz="4" w:space="0"/>
            </w:tcBorders>
            <w:vAlign w:val="center"/>
          </w:tcPr>
          <w:p w14:paraId="2AAA8AAC">
            <w:pPr>
              <w:spacing w:line="32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025" w:type="pct"/>
            <w:vAlign w:val="center"/>
          </w:tcPr>
          <w:p w14:paraId="7E25BC52">
            <w:pPr>
              <w:spacing w:line="320" w:lineRule="exact"/>
              <w:jc w:val="center"/>
              <w:rPr>
                <w:rFonts w:ascii="Times New Roman"/>
                <w:sz w:val="21"/>
                <w:szCs w:val="21"/>
              </w:rPr>
            </w:pPr>
            <w:r>
              <w:rPr>
                <w:rFonts w:ascii="Times New Roman"/>
                <w:sz w:val="21"/>
                <w:szCs w:val="21"/>
              </w:rPr>
              <w:t>500.0</w:t>
            </w:r>
          </w:p>
        </w:tc>
        <w:tc>
          <w:tcPr>
            <w:tcW w:w="854" w:type="pct"/>
            <w:shd w:val="clear" w:color="auto" w:fill="auto"/>
            <w:vAlign w:val="center"/>
          </w:tcPr>
          <w:p w14:paraId="2777A48B">
            <w:pPr>
              <w:jc w:val="center"/>
              <w:rPr>
                <w:rFonts w:ascii="Times New Roman"/>
                <w:sz w:val="21"/>
                <w:szCs w:val="21"/>
              </w:rPr>
            </w:pPr>
            <w:r>
              <w:rPr>
                <w:rFonts w:hint="eastAsia" w:ascii="Times New Roman"/>
                <w:sz w:val="21"/>
                <w:szCs w:val="21"/>
              </w:rPr>
              <w:t>0.0378</w:t>
            </w:r>
          </w:p>
        </w:tc>
        <w:tc>
          <w:tcPr>
            <w:tcW w:w="683" w:type="pct"/>
            <w:shd w:val="clear" w:color="auto" w:fill="auto"/>
            <w:vAlign w:val="center"/>
          </w:tcPr>
          <w:p w14:paraId="431BB478">
            <w:pPr>
              <w:jc w:val="center"/>
              <w:rPr>
                <w:rFonts w:ascii="Times New Roman"/>
                <w:sz w:val="21"/>
                <w:szCs w:val="21"/>
              </w:rPr>
            </w:pPr>
            <w:r>
              <w:rPr>
                <w:rFonts w:hint="eastAsia" w:ascii="Times New Roman"/>
                <w:sz w:val="21"/>
                <w:szCs w:val="21"/>
              </w:rPr>
              <w:t>0.01</w:t>
            </w:r>
          </w:p>
        </w:tc>
        <w:tc>
          <w:tcPr>
            <w:tcW w:w="642" w:type="pct"/>
            <w:shd w:val="clear" w:color="auto" w:fill="auto"/>
            <w:vAlign w:val="center"/>
          </w:tcPr>
          <w:p w14:paraId="0C2D0EC9">
            <w:pPr>
              <w:spacing w:line="320" w:lineRule="exact"/>
              <w:jc w:val="center"/>
              <w:rPr>
                <w:rFonts w:ascii="Times New Roman"/>
                <w:sz w:val="21"/>
                <w:szCs w:val="21"/>
              </w:rPr>
            </w:pPr>
            <w:r>
              <w:rPr>
                <w:rFonts w:ascii="Times New Roman"/>
                <w:sz w:val="21"/>
                <w:szCs w:val="21"/>
              </w:rPr>
              <w:t>/</w:t>
            </w:r>
          </w:p>
        </w:tc>
      </w:tr>
      <w:tr w14:paraId="61E4267D">
        <w:tblPrEx>
          <w:tblCellMar>
            <w:top w:w="0" w:type="dxa"/>
            <w:left w:w="108" w:type="dxa"/>
            <w:bottom w:w="0" w:type="dxa"/>
            <w:right w:w="108" w:type="dxa"/>
          </w:tblCellMar>
        </w:tblPrEx>
        <w:trPr>
          <w:trHeight w:val="363" w:hRule="atLeast"/>
          <w:jc w:val="center"/>
        </w:trPr>
        <w:tc>
          <w:tcPr>
            <w:tcW w:w="940" w:type="pct"/>
            <w:vMerge w:val="continue"/>
            <w:vAlign w:val="center"/>
          </w:tcPr>
          <w:p w14:paraId="4307734B">
            <w:pPr>
              <w:spacing w:line="320" w:lineRule="exact"/>
              <w:jc w:val="center"/>
              <w:rPr>
                <w:rFonts w:ascii="Times New Roman"/>
                <w:sz w:val="21"/>
                <w:szCs w:val="21"/>
              </w:rPr>
            </w:pPr>
          </w:p>
        </w:tc>
        <w:tc>
          <w:tcPr>
            <w:tcW w:w="853" w:type="pct"/>
            <w:tcBorders>
              <w:top w:val="single" w:color="auto" w:sz="4" w:space="0"/>
            </w:tcBorders>
            <w:vAlign w:val="center"/>
          </w:tcPr>
          <w:p w14:paraId="078B177A">
            <w:pPr>
              <w:spacing w:line="320" w:lineRule="exac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025" w:type="pct"/>
            <w:vAlign w:val="center"/>
          </w:tcPr>
          <w:p w14:paraId="7559A2A4">
            <w:pPr>
              <w:spacing w:line="320" w:lineRule="exact"/>
              <w:jc w:val="center"/>
              <w:rPr>
                <w:rFonts w:ascii="Times New Roman"/>
                <w:sz w:val="21"/>
                <w:szCs w:val="21"/>
              </w:rPr>
            </w:pPr>
            <w:r>
              <w:rPr>
                <w:rFonts w:ascii="Times New Roman"/>
                <w:sz w:val="21"/>
                <w:szCs w:val="21"/>
              </w:rPr>
              <w:t>200.0</w:t>
            </w:r>
          </w:p>
        </w:tc>
        <w:tc>
          <w:tcPr>
            <w:tcW w:w="854" w:type="pct"/>
            <w:shd w:val="clear" w:color="auto" w:fill="auto"/>
            <w:vAlign w:val="center"/>
          </w:tcPr>
          <w:p w14:paraId="070A301D">
            <w:pPr>
              <w:jc w:val="center"/>
              <w:rPr>
                <w:rFonts w:ascii="Times New Roman"/>
                <w:sz w:val="21"/>
                <w:szCs w:val="21"/>
              </w:rPr>
            </w:pPr>
            <w:r>
              <w:rPr>
                <w:rFonts w:hint="eastAsia" w:ascii="Times New Roman"/>
                <w:sz w:val="21"/>
                <w:szCs w:val="21"/>
              </w:rPr>
              <w:t>4.3467</w:t>
            </w:r>
          </w:p>
        </w:tc>
        <w:tc>
          <w:tcPr>
            <w:tcW w:w="683" w:type="pct"/>
            <w:shd w:val="clear" w:color="auto" w:fill="auto"/>
            <w:vAlign w:val="center"/>
          </w:tcPr>
          <w:p w14:paraId="4A04BC82">
            <w:pPr>
              <w:jc w:val="center"/>
              <w:rPr>
                <w:rFonts w:ascii="Times New Roman"/>
                <w:sz w:val="21"/>
                <w:szCs w:val="21"/>
              </w:rPr>
            </w:pPr>
            <w:r>
              <w:rPr>
                <w:rFonts w:hint="eastAsia" w:ascii="Times New Roman"/>
                <w:sz w:val="21"/>
                <w:szCs w:val="21"/>
              </w:rPr>
              <w:t>1.74</w:t>
            </w:r>
          </w:p>
        </w:tc>
        <w:tc>
          <w:tcPr>
            <w:tcW w:w="642" w:type="pct"/>
            <w:vAlign w:val="center"/>
          </w:tcPr>
          <w:p w14:paraId="031D8B6D">
            <w:pPr>
              <w:spacing w:line="320" w:lineRule="exact"/>
              <w:jc w:val="center"/>
              <w:rPr>
                <w:rFonts w:ascii="Times New Roman"/>
                <w:sz w:val="21"/>
                <w:szCs w:val="21"/>
              </w:rPr>
            </w:pPr>
            <w:r>
              <w:rPr>
                <w:rFonts w:hint="eastAsia" w:ascii="Times New Roman"/>
                <w:sz w:val="21"/>
                <w:szCs w:val="21"/>
              </w:rPr>
              <w:t>/</w:t>
            </w:r>
          </w:p>
        </w:tc>
      </w:tr>
      <w:tr w14:paraId="2DA7E3BE">
        <w:tblPrEx>
          <w:tblCellMar>
            <w:top w:w="0" w:type="dxa"/>
            <w:left w:w="108" w:type="dxa"/>
            <w:bottom w:w="0" w:type="dxa"/>
            <w:right w:w="108" w:type="dxa"/>
          </w:tblCellMar>
        </w:tblPrEx>
        <w:trPr>
          <w:trHeight w:val="363" w:hRule="atLeast"/>
          <w:jc w:val="center"/>
        </w:trPr>
        <w:tc>
          <w:tcPr>
            <w:tcW w:w="940" w:type="pct"/>
            <w:vMerge w:val="restart"/>
            <w:vAlign w:val="center"/>
          </w:tcPr>
          <w:p w14:paraId="6C9ECF58">
            <w:pPr>
              <w:spacing w:line="320" w:lineRule="exact"/>
              <w:jc w:val="center"/>
              <w:rPr>
                <w:rFonts w:ascii="Times New Roman"/>
                <w:sz w:val="21"/>
                <w:szCs w:val="21"/>
              </w:rPr>
            </w:pPr>
            <w:r>
              <w:rPr>
                <w:rFonts w:hint="eastAsia" w:ascii="Times New Roman"/>
                <w:sz w:val="21"/>
                <w:szCs w:val="21"/>
              </w:rPr>
              <w:t>DA006</w:t>
            </w:r>
          </w:p>
        </w:tc>
        <w:tc>
          <w:tcPr>
            <w:tcW w:w="853" w:type="pct"/>
            <w:vAlign w:val="center"/>
          </w:tcPr>
          <w:p w14:paraId="01984D05">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70E61B79">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7E7DAB98">
            <w:pPr>
              <w:jc w:val="center"/>
              <w:rPr>
                <w:rFonts w:ascii="Times New Roman"/>
                <w:sz w:val="21"/>
                <w:szCs w:val="21"/>
              </w:rPr>
            </w:pPr>
            <w:r>
              <w:rPr>
                <w:rFonts w:hint="eastAsia" w:ascii="Times New Roman"/>
                <w:sz w:val="21"/>
                <w:szCs w:val="21"/>
              </w:rPr>
              <w:t>1.817</w:t>
            </w:r>
          </w:p>
        </w:tc>
        <w:tc>
          <w:tcPr>
            <w:tcW w:w="683" w:type="pct"/>
            <w:shd w:val="clear" w:color="auto" w:fill="auto"/>
            <w:vAlign w:val="center"/>
          </w:tcPr>
          <w:p w14:paraId="1446E4D1">
            <w:pPr>
              <w:jc w:val="center"/>
              <w:rPr>
                <w:rFonts w:ascii="Times New Roman"/>
                <w:sz w:val="21"/>
                <w:szCs w:val="21"/>
              </w:rPr>
            </w:pPr>
            <w:r>
              <w:rPr>
                <w:rFonts w:hint="eastAsia" w:ascii="Times New Roman"/>
                <w:sz w:val="21"/>
                <w:szCs w:val="21"/>
              </w:rPr>
              <w:t>0.40</w:t>
            </w:r>
          </w:p>
        </w:tc>
        <w:tc>
          <w:tcPr>
            <w:tcW w:w="642" w:type="pct"/>
            <w:vAlign w:val="center"/>
          </w:tcPr>
          <w:p w14:paraId="07386B01">
            <w:pPr>
              <w:spacing w:line="320" w:lineRule="exact"/>
              <w:jc w:val="center"/>
              <w:rPr>
                <w:rFonts w:ascii="Times New Roman"/>
                <w:sz w:val="21"/>
                <w:szCs w:val="21"/>
              </w:rPr>
            </w:pPr>
            <w:r>
              <w:rPr>
                <w:rFonts w:ascii="Times New Roman"/>
                <w:sz w:val="21"/>
                <w:szCs w:val="21"/>
              </w:rPr>
              <w:t>/</w:t>
            </w:r>
          </w:p>
        </w:tc>
      </w:tr>
      <w:tr w14:paraId="334C77CE">
        <w:tblPrEx>
          <w:tblCellMar>
            <w:top w:w="0" w:type="dxa"/>
            <w:left w:w="108" w:type="dxa"/>
            <w:bottom w:w="0" w:type="dxa"/>
            <w:right w:w="108" w:type="dxa"/>
          </w:tblCellMar>
        </w:tblPrEx>
        <w:trPr>
          <w:trHeight w:val="363" w:hRule="atLeast"/>
          <w:jc w:val="center"/>
        </w:trPr>
        <w:tc>
          <w:tcPr>
            <w:tcW w:w="940" w:type="pct"/>
            <w:vMerge w:val="continue"/>
            <w:vAlign w:val="center"/>
          </w:tcPr>
          <w:p w14:paraId="6F410FF2">
            <w:pPr>
              <w:spacing w:line="320" w:lineRule="exact"/>
              <w:jc w:val="center"/>
              <w:rPr>
                <w:rFonts w:ascii="Times New Roman"/>
                <w:sz w:val="21"/>
                <w:szCs w:val="21"/>
              </w:rPr>
            </w:pPr>
          </w:p>
        </w:tc>
        <w:tc>
          <w:tcPr>
            <w:tcW w:w="853" w:type="pct"/>
            <w:vAlign w:val="center"/>
          </w:tcPr>
          <w:p w14:paraId="4FB78F55">
            <w:pPr>
              <w:spacing w:line="320" w:lineRule="exact"/>
              <w:jc w:val="center"/>
              <w:rPr>
                <w:rFonts w:ascii="Times New Roman"/>
                <w:sz w:val="21"/>
                <w:szCs w:val="21"/>
              </w:rPr>
            </w:pPr>
            <w:r>
              <w:rPr>
                <w:rFonts w:ascii="Times New Roman"/>
                <w:sz w:val="21"/>
                <w:szCs w:val="21"/>
              </w:rPr>
              <w:t>非甲烷总烃</w:t>
            </w:r>
          </w:p>
        </w:tc>
        <w:tc>
          <w:tcPr>
            <w:tcW w:w="1025" w:type="pct"/>
            <w:vAlign w:val="center"/>
          </w:tcPr>
          <w:p w14:paraId="6C6E26E5">
            <w:pPr>
              <w:spacing w:line="320" w:lineRule="exact"/>
              <w:jc w:val="center"/>
              <w:rPr>
                <w:rFonts w:ascii="Times New Roman"/>
                <w:sz w:val="21"/>
                <w:szCs w:val="21"/>
              </w:rPr>
            </w:pPr>
            <w:r>
              <w:rPr>
                <w:rFonts w:ascii="Times New Roman"/>
                <w:sz w:val="21"/>
                <w:szCs w:val="21"/>
              </w:rPr>
              <w:t>2000.0</w:t>
            </w:r>
          </w:p>
        </w:tc>
        <w:tc>
          <w:tcPr>
            <w:tcW w:w="854" w:type="pct"/>
            <w:shd w:val="clear" w:color="auto" w:fill="auto"/>
            <w:vAlign w:val="center"/>
          </w:tcPr>
          <w:p w14:paraId="4A55297E">
            <w:pPr>
              <w:jc w:val="center"/>
              <w:rPr>
                <w:rFonts w:ascii="Times New Roman"/>
                <w:sz w:val="21"/>
                <w:szCs w:val="21"/>
              </w:rPr>
            </w:pPr>
            <w:r>
              <w:rPr>
                <w:rFonts w:hint="eastAsia" w:ascii="Times New Roman"/>
                <w:sz w:val="21"/>
                <w:szCs w:val="21"/>
              </w:rPr>
              <w:t>0.0001</w:t>
            </w:r>
          </w:p>
        </w:tc>
        <w:tc>
          <w:tcPr>
            <w:tcW w:w="683" w:type="pct"/>
            <w:shd w:val="clear" w:color="auto" w:fill="auto"/>
            <w:vAlign w:val="center"/>
          </w:tcPr>
          <w:p w14:paraId="74E438E8">
            <w:pPr>
              <w:jc w:val="center"/>
              <w:rPr>
                <w:rFonts w:ascii="Times New Roman"/>
                <w:sz w:val="21"/>
                <w:szCs w:val="21"/>
              </w:rPr>
            </w:pPr>
            <w:r>
              <w:rPr>
                <w:rFonts w:hint="eastAsia" w:ascii="Times New Roman"/>
                <w:sz w:val="21"/>
                <w:szCs w:val="21"/>
              </w:rPr>
              <w:t>0.00</w:t>
            </w:r>
          </w:p>
        </w:tc>
        <w:tc>
          <w:tcPr>
            <w:tcW w:w="642" w:type="pct"/>
            <w:vAlign w:val="center"/>
          </w:tcPr>
          <w:p w14:paraId="14DB7483">
            <w:pPr>
              <w:spacing w:line="320" w:lineRule="exact"/>
              <w:jc w:val="center"/>
              <w:rPr>
                <w:rFonts w:ascii="Times New Roman"/>
                <w:sz w:val="21"/>
                <w:szCs w:val="21"/>
              </w:rPr>
            </w:pPr>
            <w:r>
              <w:rPr>
                <w:rFonts w:ascii="Times New Roman"/>
                <w:sz w:val="21"/>
                <w:szCs w:val="21"/>
              </w:rPr>
              <w:t>/</w:t>
            </w:r>
          </w:p>
        </w:tc>
      </w:tr>
      <w:tr w14:paraId="4400390B">
        <w:tblPrEx>
          <w:tblCellMar>
            <w:top w:w="0" w:type="dxa"/>
            <w:left w:w="108" w:type="dxa"/>
            <w:bottom w:w="0" w:type="dxa"/>
            <w:right w:w="108" w:type="dxa"/>
          </w:tblCellMar>
        </w:tblPrEx>
        <w:trPr>
          <w:trHeight w:val="363" w:hRule="atLeast"/>
          <w:jc w:val="center"/>
        </w:trPr>
        <w:tc>
          <w:tcPr>
            <w:tcW w:w="940" w:type="pct"/>
            <w:vAlign w:val="center"/>
          </w:tcPr>
          <w:p w14:paraId="255C0650">
            <w:pPr>
              <w:spacing w:line="320" w:lineRule="exact"/>
              <w:jc w:val="center"/>
              <w:rPr>
                <w:rFonts w:ascii="Times New Roman"/>
                <w:sz w:val="21"/>
                <w:szCs w:val="21"/>
              </w:rPr>
            </w:pPr>
            <w:r>
              <w:rPr>
                <w:rFonts w:hint="eastAsia" w:ascii="Times New Roman"/>
                <w:sz w:val="21"/>
                <w:szCs w:val="21"/>
              </w:rPr>
              <w:t>DA007</w:t>
            </w:r>
          </w:p>
        </w:tc>
        <w:tc>
          <w:tcPr>
            <w:tcW w:w="853" w:type="pct"/>
            <w:vAlign w:val="center"/>
          </w:tcPr>
          <w:p w14:paraId="5526A2D0">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1A3D0FB2">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163EBE9B">
            <w:pPr>
              <w:jc w:val="center"/>
              <w:rPr>
                <w:rFonts w:ascii="Times New Roman"/>
                <w:sz w:val="21"/>
                <w:szCs w:val="21"/>
              </w:rPr>
            </w:pPr>
            <w:r>
              <w:rPr>
                <w:rFonts w:hint="eastAsia" w:ascii="Times New Roman"/>
                <w:sz w:val="21"/>
                <w:szCs w:val="21"/>
              </w:rPr>
              <w:t>3.7099</w:t>
            </w:r>
          </w:p>
        </w:tc>
        <w:tc>
          <w:tcPr>
            <w:tcW w:w="683" w:type="pct"/>
            <w:shd w:val="clear" w:color="auto" w:fill="auto"/>
            <w:vAlign w:val="center"/>
          </w:tcPr>
          <w:p w14:paraId="1A5531E6">
            <w:pPr>
              <w:jc w:val="center"/>
              <w:rPr>
                <w:rFonts w:ascii="Times New Roman"/>
                <w:sz w:val="21"/>
                <w:szCs w:val="21"/>
              </w:rPr>
            </w:pPr>
            <w:r>
              <w:rPr>
                <w:rFonts w:hint="eastAsia" w:ascii="Times New Roman"/>
                <w:sz w:val="21"/>
                <w:szCs w:val="21"/>
              </w:rPr>
              <w:t>0.82</w:t>
            </w:r>
          </w:p>
        </w:tc>
        <w:tc>
          <w:tcPr>
            <w:tcW w:w="642" w:type="pct"/>
            <w:vAlign w:val="center"/>
          </w:tcPr>
          <w:p w14:paraId="262326AB">
            <w:pPr>
              <w:spacing w:line="320" w:lineRule="exact"/>
              <w:jc w:val="center"/>
              <w:rPr>
                <w:rFonts w:ascii="Times New Roman"/>
                <w:sz w:val="21"/>
                <w:szCs w:val="21"/>
              </w:rPr>
            </w:pPr>
            <w:r>
              <w:rPr>
                <w:rFonts w:ascii="Times New Roman"/>
                <w:sz w:val="21"/>
                <w:szCs w:val="21"/>
              </w:rPr>
              <w:t>/</w:t>
            </w:r>
          </w:p>
        </w:tc>
      </w:tr>
      <w:tr w14:paraId="65CBEE9B">
        <w:tblPrEx>
          <w:tblCellMar>
            <w:top w:w="0" w:type="dxa"/>
            <w:left w:w="108" w:type="dxa"/>
            <w:bottom w:w="0" w:type="dxa"/>
            <w:right w:w="108" w:type="dxa"/>
          </w:tblCellMar>
        </w:tblPrEx>
        <w:trPr>
          <w:trHeight w:val="363" w:hRule="atLeast"/>
          <w:jc w:val="center"/>
        </w:trPr>
        <w:tc>
          <w:tcPr>
            <w:tcW w:w="940" w:type="pct"/>
            <w:vAlign w:val="center"/>
          </w:tcPr>
          <w:p w14:paraId="4B7DD3FC">
            <w:pPr>
              <w:spacing w:line="320" w:lineRule="exact"/>
              <w:jc w:val="center"/>
              <w:rPr>
                <w:rFonts w:ascii="Times New Roman"/>
                <w:sz w:val="21"/>
                <w:szCs w:val="21"/>
              </w:rPr>
            </w:pPr>
            <w:r>
              <w:rPr>
                <w:rFonts w:hint="eastAsia" w:ascii="Times New Roman"/>
                <w:sz w:val="21"/>
                <w:szCs w:val="21"/>
              </w:rPr>
              <w:t>DA008</w:t>
            </w:r>
          </w:p>
        </w:tc>
        <w:tc>
          <w:tcPr>
            <w:tcW w:w="853" w:type="pct"/>
            <w:vAlign w:val="center"/>
          </w:tcPr>
          <w:p w14:paraId="22FAD9E8">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783084D5">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043A9597">
            <w:pPr>
              <w:jc w:val="center"/>
              <w:rPr>
                <w:rFonts w:ascii="Times New Roman"/>
                <w:sz w:val="21"/>
                <w:szCs w:val="21"/>
              </w:rPr>
            </w:pPr>
            <w:r>
              <w:rPr>
                <w:rFonts w:hint="eastAsia" w:ascii="Times New Roman"/>
                <w:sz w:val="21"/>
                <w:szCs w:val="21"/>
              </w:rPr>
              <w:t>6.8014</w:t>
            </w:r>
          </w:p>
        </w:tc>
        <w:tc>
          <w:tcPr>
            <w:tcW w:w="683" w:type="pct"/>
            <w:shd w:val="clear" w:color="auto" w:fill="auto"/>
            <w:vAlign w:val="center"/>
          </w:tcPr>
          <w:p w14:paraId="3A81D1AD">
            <w:pPr>
              <w:jc w:val="center"/>
              <w:rPr>
                <w:rFonts w:ascii="Times New Roman"/>
                <w:sz w:val="21"/>
                <w:szCs w:val="21"/>
              </w:rPr>
            </w:pPr>
            <w:r>
              <w:rPr>
                <w:rFonts w:hint="eastAsia" w:ascii="Times New Roman"/>
                <w:sz w:val="21"/>
                <w:szCs w:val="21"/>
              </w:rPr>
              <w:t>1.51</w:t>
            </w:r>
          </w:p>
        </w:tc>
        <w:tc>
          <w:tcPr>
            <w:tcW w:w="642" w:type="pct"/>
            <w:vAlign w:val="center"/>
          </w:tcPr>
          <w:p w14:paraId="588582EB">
            <w:pPr>
              <w:spacing w:line="320" w:lineRule="exact"/>
              <w:jc w:val="center"/>
              <w:rPr>
                <w:rFonts w:ascii="Times New Roman"/>
                <w:sz w:val="21"/>
                <w:szCs w:val="21"/>
              </w:rPr>
            </w:pPr>
            <w:r>
              <w:rPr>
                <w:rFonts w:ascii="Times New Roman"/>
                <w:sz w:val="21"/>
                <w:szCs w:val="21"/>
              </w:rPr>
              <w:t>/</w:t>
            </w:r>
          </w:p>
        </w:tc>
      </w:tr>
      <w:tr w14:paraId="545C1D05">
        <w:tblPrEx>
          <w:tblCellMar>
            <w:top w:w="0" w:type="dxa"/>
            <w:left w:w="108" w:type="dxa"/>
            <w:bottom w:w="0" w:type="dxa"/>
            <w:right w:w="108" w:type="dxa"/>
          </w:tblCellMar>
        </w:tblPrEx>
        <w:trPr>
          <w:trHeight w:val="363" w:hRule="atLeast"/>
          <w:jc w:val="center"/>
        </w:trPr>
        <w:tc>
          <w:tcPr>
            <w:tcW w:w="940" w:type="pct"/>
            <w:vMerge w:val="restart"/>
            <w:vAlign w:val="center"/>
          </w:tcPr>
          <w:p w14:paraId="6907FC0B">
            <w:pPr>
              <w:spacing w:line="320" w:lineRule="exact"/>
              <w:jc w:val="center"/>
              <w:rPr>
                <w:rFonts w:ascii="Times New Roman"/>
                <w:sz w:val="21"/>
                <w:szCs w:val="21"/>
              </w:rPr>
            </w:pPr>
            <w:r>
              <w:rPr>
                <w:rFonts w:hint="eastAsia" w:ascii="Times New Roman"/>
                <w:sz w:val="21"/>
                <w:szCs w:val="21"/>
              </w:rPr>
              <w:t>DA009</w:t>
            </w:r>
          </w:p>
        </w:tc>
        <w:tc>
          <w:tcPr>
            <w:tcW w:w="853" w:type="pct"/>
            <w:vAlign w:val="center"/>
          </w:tcPr>
          <w:p w14:paraId="1B552A15">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1A60E03F">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6A805A10">
            <w:pPr>
              <w:jc w:val="center"/>
              <w:rPr>
                <w:rFonts w:ascii="Times New Roman"/>
                <w:sz w:val="21"/>
                <w:szCs w:val="21"/>
              </w:rPr>
            </w:pPr>
            <w:r>
              <w:rPr>
                <w:rFonts w:hint="eastAsia" w:ascii="Times New Roman"/>
                <w:sz w:val="21"/>
                <w:szCs w:val="21"/>
              </w:rPr>
              <w:t>6.9505</w:t>
            </w:r>
          </w:p>
        </w:tc>
        <w:tc>
          <w:tcPr>
            <w:tcW w:w="683" w:type="pct"/>
            <w:shd w:val="clear" w:color="auto" w:fill="auto"/>
            <w:vAlign w:val="center"/>
          </w:tcPr>
          <w:p w14:paraId="165B22BB">
            <w:pPr>
              <w:jc w:val="center"/>
              <w:rPr>
                <w:rFonts w:ascii="Times New Roman"/>
                <w:sz w:val="21"/>
                <w:szCs w:val="21"/>
              </w:rPr>
            </w:pPr>
            <w:r>
              <w:rPr>
                <w:rFonts w:hint="eastAsia" w:ascii="Times New Roman"/>
                <w:sz w:val="21"/>
                <w:szCs w:val="21"/>
              </w:rPr>
              <w:t>1.54</w:t>
            </w:r>
          </w:p>
        </w:tc>
        <w:tc>
          <w:tcPr>
            <w:tcW w:w="642" w:type="pct"/>
            <w:vAlign w:val="center"/>
          </w:tcPr>
          <w:p w14:paraId="7F747743">
            <w:pPr>
              <w:spacing w:line="320" w:lineRule="exact"/>
              <w:jc w:val="center"/>
              <w:rPr>
                <w:rFonts w:ascii="Times New Roman"/>
                <w:sz w:val="21"/>
                <w:szCs w:val="21"/>
              </w:rPr>
            </w:pPr>
            <w:r>
              <w:rPr>
                <w:rFonts w:ascii="Times New Roman"/>
                <w:sz w:val="21"/>
                <w:szCs w:val="21"/>
              </w:rPr>
              <w:t>/</w:t>
            </w:r>
          </w:p>
        </w:tc>
      </w:tr>
      <w:tr w14:paraId="04F31DD4">
        <w:tblPrEx>
          <w:tblCellMar>
            <w:top w:w="0" w:type="dxa"/>
            <w:left w:w="108" w:type="dxa"/>
            <w:bottom w:w="0" w:type="dxa"/>
            <w:right w:w="108" w:type="dxa"/>
          </w:tblCellMar>
        </w:tblPrEx>
        <w:trPr>
          <w:trHeight w:val="363" w:hRule="atLeast"/>
          <w:jc w:val="center"/>
        </w:trPr>
        <w:tc>
          <w:tcPr>
            <w:tcW w:w="940" w:type="pct"/>
            <w:vMerge w:val="continue"/>
            <w:vAlign w:val="center"/>
          </w:tcPr>
          <w:p w14:paraId="50CF9CCA">
            <w:pPr>
              <w:spacing w:line="320" w:lineRule="exact"/>
              <w:jc w:val="center"/>
              <w:rPr>
                <w:rFonts w:ascii="Times New Roman"/>
                <w:sz w:val="21"/>
                <w:szCs w:val="21"/>
              </w:rPr>
            </w:pPr>
          </w:p>
        </w:tc>
        <w:tc>
          <w:tcPr>
            <w:tcW w:w="853" w:type="pct"/>
            <w:vAlign w:val="center"/>
          </w:tcPr>
          <w:p w14:paraId="0AFCE73B">
            <w:pPr>
              <w:spacing w:line="320" w:lineRule="exact"/>
              <w:jc w:val="center"/>
              <w:rPr>
                <w:rFonts w:ascii="Times New Roman"/>
                <w:sz w:val="21"/>
                <w:szCs w:val="21"/>
              </w:rPr>
            </w:pPr>
            <w:r>
              <w:rPr>
                <w:rFonts w:ascii="Times New Roman"/>
                <w:sz w:val="21"/>
                <w:szCs w:val="21"/>
              </w:rPr>
              <w:t>非甲烷总烃</w:t>
            </w:r>
          </w:p>
        </w:tc>
        <w:tc>
          <w:tcPr>
            <w:tcW w:w="1025" w:type="pct"/>
            <w:shd w:val="clear" w:color="auto" w:fill="auto"/>
            <w:vAlign w:val="center"/>
          </w:tcPr>
          <w:p w14:paraId="7E11EB26">
            <w:pPr>
              <w:spacing w:line="320" w:lineRule="exact"/>
              <w:jc w:val="center"/>
              <w:rPr>
                <w:rFonts w:ascii="Times New Roman"/>
                <w:sz w:val="21"/>
                <w:szCs w:val="21"/>
              </w:rPr>
            </w:pPr>
            <w:r>
              <w:rPr>
                <w:rFonts w:ascii="Times New Roman"/>
                <w:sz w:val="21"/>
                <w:szCs w:val="21"/>
              </w:rPr>
              <w:t>2000.0</w:t>
            </w:r>
          </w:p>
        </w:tc>
        <w:tc>
          <w:tcPr>
            <w:tcW w:w="854" w:type="pct"/>
            <w:shd w:val="clear" w:color="auto" w:fill="auto"/>
            <w:vAlign w:val="center"/>
          </w:tcPr>
          <w:p w14:paraId="5D4D3539">
            <w:pPr>
              <w:jc w:val="center"/>
              <w:rPr>
                <w:rFonts w:ascii="Times New Roman"/>
                <w:sz w:val="21"/>
                <w:szCs w:val="21"/>
              </w:rPr>
            </w:pPr>
            <w:r>
              <w:rPr>
                <w:rFonts w:hint="eastAsia" w:ascii="Times New Roman"/>
                <w:sz w:val="21"/>
                <w:szCs w:val="21"/>
              </w:rPr>
              <w:t>0.0192</w:t>
            </w:r>
          </w:p>
        </w:tc>
        <w:tc>
          <w:tcPr>
            <w:tcW w:w="683" w:type="pct"/>
            <w:shd w:val="clear" w:color="auto" w:fill="auto"/>
            <w:vAlign w:val="center"/>
          </w:tcPr>
          <w:p w14:paraId="6DB54F8E">
            <w:pPr>
              <w:jc w:val="center"/>
              <w:rPr>
                <w:rFonts w:ascii="Times New Roman"/>
                <w:sz w:val="21"/>
                <w:szCs w:val="21"/>
              </w:rPr>
            </w:pPr>
            <w:r>
              <w:rPr>
                <w:rFonts w:hint="eastAsia" w:ascii="Times New Roman"/>
                <w:sz w:val="21"/>
                <w:szCs w:val="21"/>
              </w:rPr>
              <w:t>0.00</w:t>
            </w:r>
          </w:p>
        </w:tc>
        <w:tc>
          <w:tcPr>
            <w:tcW w:w="642" w:type="pct"/>
            <w:vAlign w:val="center"/>
          </w:tcPr>
          <w:p w14:paraId="518DEAEF">
            <w:pPr>
              <w:spacing w:line="320" w:lineRule="exact"/>
              <w:jc w:val="center"/>
              <w:rPr>
                <w:rFonts w:ascii="Times New Roman"/>
                <w:sz w:val="21"/>
                <w:szCs w:val="21"/>
              </w:rPr>
            </w:pPr>
            <w:r>
              <w:rPr>
                <w:rFonts w:ascii="Times New Roman"/>
                <w:sz w:val="21"/>
                <w:szCs w:val="21"/>
              </w:rPr>
              <w:t>/</w:t>
            </w:r>
          </w:p>
        </w:tc>
      </w:tr>
      <w:tr w14:paraId="650CCFA1">
        <w:tblPrEx>
          <w:tblCellMar>
            <w:top w:w="0" w:type="dxa"/>
            <w:left w:w="108" w:type="dxa"/>
            <w:bottom w:w="0" w:type="dxa"/>
            <w:right w:w="108" w:type="dxa"/>
          </w:tblCellMar>
        </w:tblPrEx>
        <w:trPr>
          <w:trHeight w:val="363" w:hRule="atLeast"/>
          <w:jc w:val="center"/>
        </w:trPr>
        <w:tc>
          <w:tcPr>
            <w:tcW w:w="940" w:type="pct"/>
            <w:vMerge w:val="continue"/>
            <w:vAlign w:val="center"/>
          </w:tcPr>
          <w:p w14:paraId="63087164">
            <w:pPr>
              <w:spacing w:line="320" w:lineRule="exact"/>
              <w:jc w:val="center"/>
              <w:rPr>
                <w:rFonts w:ascii="Times New Roman"/>
                <w:sz w:val="21"/>
                <w:szCs w:val="21"/>
              </w:rPr>
            </w:pPr>
          </w:p>
        </w:tc>
        <w:tc>
          <w:tcPr>
            <w:tcW w:w="853" w:type="pct"/>
            <w:vAlign w:val="center"/>
          </w:tcPr>
          <w:p w14:paraId="61FBCEC0">
            <w:pPr>
              <w:spacing w:line="320" w:lineRule="exact"/>
              <w:jc w:val="center"/>
              <w:rPr>
                <w:rFonts w:ascii="Times New Roman"/>
                <w:sz w:val="21"/>
                <w:szCs w:val="21"/>
              </w:rPr>
            </w:pPr>
            <w:r>
              <w:rPr>
                <w:rFonts w:hint="eastAsia" w:ascii="Times New Roman"/>
                <w:sz w:val="21"/>
                <w:szCs w:val="21"/>
              </w:rPr>
              <w:t>二甲苯</w:t>
            </w:r>
          </w:p>
        </w:tc>
        <w:tc>
          <w:tcPr>
            <w:tcW w:w="1025" w:type="pct"/>
            <w:shd w:val="clear" w:color="auto" w:fill="auto"/>
            <w:vAlign w:val="center"/>
          </w:tcPr>
          <w:p w14:paraId="12A5796F">
            <w:pPr>
              <w:spacing w:line="320" w:lineRule="exact"/>
              <w:jc w:val="center"/>
              <w:rPr>
                <w:rFonts w:ascii="Times New Roman"/>
                <w:sz w:val="21"/>
                <w:szCs w:val="21"/>
              </w:rPr>
            </w:pPr>
            <w:r>
              <w:rPr>
                <w:rFonts w:ascii="Times New Roman"/>
                <w:sz w:val="21"/>
                <w:szCs w:val="21"/>
              </w:rPr>
              <w:t>200.0</w:t>
            </w:r>
          </w:p>
        </w:tc>
        <w:tc>
          <w:tcPr>
            <w:tcW w:w="854" w:type="pct"/>
            <w:shd w:val="clear" w:color="auto" w:fill="auto"/>
            <w:vAlign w:val="center"/>
          </w:tcPr>
          <w:p w14:paraId="5A52289A">
            <w:pPr>
              <w:jc w:val="center"/>
              <w:rPr>
                <w:rFonts w:ascii="Times New Roman"/>
                <w:sz w:val="21"/>
                <w:szCs w:val="21"/>
              </w:rPr>
            </w:pPr>
            <w:r>
              <w:rPr>
                <w:rFonts w:hint="eastAsia" w:ascii="Times New Roman"/>
                <w:sz w:val="21"/>
                <w:szCs w:val="21"/>
              </w:rPr>
              <w:t>2.2497</w:t>
            </w:r>
          </w:p>
        </w:tc>
        <w:tc>
          <w:tcPr>
            <w:tcW w:w="683" w:type="pct"/>
            <w:shd w:val="clear" w:color="auto" w:fill="auto"/>
            <w:vAlign w:val="center"/>
          </w:tcPr>
          <w:p w14:paraId="04145584">
            <w:pPr>
              <w:jc w:val="center"/>
              <w:rPr>
                <w:rFonts w:ascii="Times New Roman"/>
                <w:sz w:val="21"/>
                <w:szCs w:val="21"/>
              </w:rPr>
            </w:pPr>
            <w:r>
              <w:rPr>
                <w:rFonts w:hint="eastAsia" w:ascii="Times New Roman"/>
                <w:sz w:val="21"/>
                <w:szCs w:val="21"/>
              </w:rPr>
              <w:t>1.12</w:t>
            </w:r>
          </w:p>
        </w:tc>
        <w:tc>
          <w:tcPr>
            <w:tcW w:w="642" w:type="pct"/>
            <w:vAlign w:val="center"/>
          </w:tcPr>
          <w:p w14:paraId="132F31E4">
            <w:pPr>
              <w:spacing w:line="320" w:lineRule="exact"/>
              <w:jc w:val="center"/>
              <w:rPr>
                <w:rFonts w:ascii="Times New Roman"/>
                <w:sz w:val="21"/>
                <w:szCs w:val="21"/>
              </w:rPr>
            </w:pPr>
            <w:r>
              <w:rPr>
                <w:rFonts w:ascii="Times New Roman"/>
                <w:sz w:val="21"/>
                <w:szCs w:val="21"/>
              </w:rPr>
              <w:t>/</w:t>
            </w:r>
          </w:p>
        </w:tc>
      </w:tr>
      <w:tr w14:paraId="13C5B665">
        <w:tblPrEx>
          <w:tblCellMar>
            <w:top w:w="0" w:type="dxa"/>
            <w:left w:w="108" w:type="dxa"/>
            <w:bottom w:w="0" w:type="dxa"/>
            <w:right w:w="108" w:type="dxa"/>
          </w:tblCellMar>
        </w:tblPrEx>
        <w:trPr>
          <w:trHeight w:val="363" w:hRule="atLeast"/>
          <w:jc w:val="center"/>
        </w:trPr>
        <w:tc>
          <w:tcPr>
            <w:tcW w:w="940" w:type="pct"/>
            <w:vMerge w:val="continue"/>
            <w:vAlign w:val="center"/>
          </w:tcPr>
          <w:p w14:paraId="482F561F">
            <w:pPr>
              <w:spacing w:line="320" w:lineRule="exact"/>
              <w:jc w:val="center"/>
              <w:rPr>
                <w:rFonts w:ascii="Times New Roman"/>
                <w:sz w:val="21"/>
                <w:szCs w:val="21"/>
              </w:rPr>
            </w:pPr>
          </w:p>
        </w:tc>
        <w:tc>
          <w:tcPr>
            <w:tcW w:w="853" w:type="pct"/>
            <w:vAlign w:val="center"/>
          </w:tcPr>
          <w:p w14:paraId="4ABF539B">
            <w:pPr>
              <w:spacing w:line="32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025" w:type="pct"/>
            <w:vAlign w:val="center"/>
          </w:tcPr>
          <w:p w14:paraId="2C402019">
            <w:pPr>
              <w:spacing w:line="320" w:lineRule="exact"/>
              <w:jc w:val="center"/>
              <w:rPr>
                <w:rFonts w:ascii="Times New Roman"/>
                <w:sz w:val="21"/>
                <w:szCs w:val="21"/>
              </w:rPr>
            </w:pPr>
            <w:r>
              <w:rPr>
                <w:rFonts w:ascii="Times New Roman"/>
                <w:sz w:val="21"/>
                <w:szCs w:val="21"/>
              </w:rPr>
              <w:t>500.0</w:t>
            </w:r>
          </w:p>
        </w:tc>
        <w:tc>
          <w:tcPr>
            <w:tcW w:w="854" w:type="pct"/>
            <w:shd w:val="clear" w:color="auto" w:fill="auto"/>
            <w:vAlign w:val="center"/>
          </w:tcPr>
          <w:p w14:paraId="54034FA4">
            <w:pPr>
              <w:jc w:val="center"/>
              <w:rPr>
                <w:rFonts w:ascii="Times New Roman"/>
                <w:sz w:val="21"/>
                <w:szCs w:val="21"/>
              </w:rPr>
            </w:pPr>
            <w:r>
              <w:rPr>
                <w:rFonts w:hint="eastAsia" w:ascii="Times New Roman"/>
                <w:sz w:val="21"/>
                <w:szCs w:val="21"/>
              </w:rPr>
              <w:t>11.0853</w:t>
            </w:r>
          </w:p>
        </w:tc>
        <w:tc>
          <w:tcPr>
            <w:tcW w:w="683" w:type="pct"/>
            <w:shd w:val="clear" w:color="auto" w:fill="auto"/>
            <w:vAlign w:val="center"/>
          </w:tcPr>
          <w:p w14:paraId="78E03EBC">
            <w:pPr>
              <w:jc w:val="center"/>
              <w:rPr>
                <w:rFonts w:ascii="Times New Roman"/>
                <w:sz w:val="21"/>
                <w:szCs w:val="21"/>
              </w:rPr>
            </w:pPr>
            <w:r>
              <w:rPr>
                <w:rFonts w:hint="eastAsia" w:ascii="Times New Roman"/>
                <w:sz w:val="21"/>
                <w:szCs w:val="21"/>
              </w:rPr>
              <w:t xml:space="preserve">0.55 </w:t>
            </w:r>
          </w:p>
        </w:tc>
        <w:tc>
          <w:tcPr>
            <w:tcW w:w="642" w:type="pct"/>
            <w:vAlign w:val="center"/>
          </w:tcPr>
          <w:p w14:paraId="69EB45FB">
            <w:pPr>
              <w:spacing w:line="320" w:lineRule="exact"/>
              <w:jc w:val="center"/>
              <w:rPr>
                <w:rFonts w:ascii="Times New Roman"/>
                <w:sz w:val="21"/>
                <w:szCs w:val="21"/>
              </w:rPr>
            </w:pPr>
            <w:r>
              <w:rPr>
                <w:rFonts w:ascii="Times New Roman"/>
                <w:sz w:val="21"/>
                <w:szCs w:val="21"/>
              </w:rPr>
              <w:t>/</w:t>
            </w:r>
          </w:p>
        </w:tc>
      </w:tr>
      <w:tr w14:paraId="3288EDC1">
        <w:tblPrEx>
          <w:tblCellMar>
            <w:top w:w="0" w:type="dxa"/>
            <w:left w:w="108" w:type="dxa"/>
            <w:bottom w:w="0" w:type="dxa"/>
            <w:right w:w="108" w:type="dxa"/>
          </w:tblCellMar>
        </w:tblPrEx>
        <w:trPr>
          <w:trHeight w:val="363" w:hRule="atLeast"/>
          <w:jc w:val="center"/>
        </w:trPr>
        <w:tc>
          <w:tcPr>
            <w:tcW w:w="940" w:type="pct"/>
            <w:vMerge w:val="continue"/>
            <w:vAlign w:val="center"/>
          </w:tcPr>
          <w:p w14:paraId="3C057B5F">
            <w:pPr>
              <w:spacing w:line="320" w:lineRule="exact"/>
              <w:jc w:val="center"/>
              <w:rPr>
                <w:rFonts w:ascii="Times New Roman"/>
                <w:sz w:val="21"/>
                <w:szCs w:val="21"/>
              </w:rPr>
            </w:pPr>
          </w:p>
        </w:tc>
        <w:tc>
          <w:tcPr>
            <w:tcW w:w="853" w:type="pct"/>
            <w:vAlign w:val="center"/>
          </w:tcPr>
          <w:p w14:paraId="7262F779">
            <w:pPr>
              <w:spacing w:line="320" w:lineRule="exac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025" w:type="pct"/>
            <w:vAlign w:val="center"/>
          </w:tcPr>
          <w:p w14:paraId="705D60F1">
            <w:pPr>
              <w:spacing w:line="320" w:lineRule="exact"/>
              <w:jc w:val="center"/>
              <w:rPr>
                <w:rFonts w:ascii="Times New Roman"/>
                <w:sz w:val="21"/>
                <w:szCs w:val="21"/>
              </w:rPr>
            </w:pPr>
            <w:r>
              <w:rPr>
                <w:rFonts w:ascii="Times New Roman"/>
                <w:sz w:val="21"/>
                <w:szCs w:val="21"/>
              </w:rPr>
              <w:t>200.0</w:t>
            </w:r>
          </w:p>
        </w:tc>
        <w:tc>
          <w:tcPr>
            <w:tcW w:w="854" w:type="pct"/>
            <w:shd w:val="clear" w:color="auto" w:fill="auto"/>
            <w:vAlign w:val="center"/>
          </w:tcPr>
          <w:p w14:paraId="4C2CE297">
            <w:pPr>
              <w:jc w:val="center"/>
              <w:rPr>
                <w:rFonts w:ascii="Times New Roman"/>
                <w:sz w:val="21"/>
                <w:szCs w:val="21"/>
              </w:rPr>
            </w:pPr>
            <w:r>
              <w:rPr>
                <w:rFonts w:hint="eastAsia" w:ascii="Times New Roman"/>
                <w:sz w:val="21"/>
                <w:szCs w:val="21"/>
              </w:rPr>
              <w:t>3.0555</w:t>
            </w:r>
          </w:p>
        </w:tc>
        <w:tc>
          <w:tcPr>
            <w:tcW w:w="683" w:type="pct"/>
            <w:shd w:val="clear" w:color="auto" w:fill="auto"/>
            <w:vAlign w:val="center"/>
          </w:tcPr>
          <w:p w14:paraId="6307E261">
            <w:pPr>
              <w:jc w:val="center"/>
              <w:rPr>
                <w:rFonts w:ascii="Times New Roman"/>
                <w:sz w:val="21"/>
                <w:szCs w:val="21"/>
              </w:rPr>
            </w:pPr>
            <w:r>
              <w:rPr>
                <w:rFonts w:ascii="Times New Roman"/>
                <w:sz w:val="21"/>
                <w:szCs w:val="21"/>
              </w:rPr>
              <w:t>1.5</w:t>
            </w:r>
            <w:r>
              <w:rPr>
                <w:rFonts w:hint="eastAsia" w:ascii="Times New Roman"/>
                <w:sz w:val="21"/>
                <w:szCs w:val="21"/>
              </w:rPr>
              <w:t>3</w:t>
            </w:r>
          </w:p>
        </w:tc>
        <w:tc>
          <w:tcPr>
            <w:tcW w:w="642" w:type="pct"/>
            <w:vAlign w:val="center"/>
          </w:tcPr>
          <w:p w14:paraId="6F3AEEC7">
            <w:pPr>
              <w:spacing w:line="320" w:lineRule="exact"/>
              <w:jc w:val="center"/>
              <w:rPr>
                <w:rFonts w:ascii="Times New Roman"/>
                <w:sz w:val="21"/>
                <w:szCs w:val="21"/>
              </w:rPr>
            </w:pPr>
            <w:r>
              <w:rPr>
                <w:rFonts w:ascii="Times New Roman"/>
                <w:sz w:val="21"/>
                <w:szCs w:val="21"/>
              </w:rPr>
              <w:t>/</w:t>
            </w:r>
          </w:p>
        </w:tc>
      </w:tr>
      <w:tr w14:paraId="7005B429">
        <w:tblPrEx>
          <w:tblCellMar>
            <w:top w:w="0" w:type="dxa"/>
            <w:left w:w="108" w:type="dxa"/>
            <w:bottom w:w="0" w:type="dxa"/>
            <w:right w:w="108" w:type="dxa"/>
          </w:tblCellMar>
        </w:tblPrEx>
        <w:trPr>
          <w:trHeight w:val="343" w:hRule="atLeast"/>
          <w:jc w:val="center"/>
        </w:trPr>
        <w:tc>
          <w:tcPr>
            <w:tcW w:w="940" w:type="pct"/>
            <w:vAlign w:val="center"/>
          </w:tcPr>
          <w:p w14:paraId="0D8C4C05">
            <w:pPr>
              <w:spacing w:line="320" w:lineRule="exact"/>
              <w:jc w:val="center"/>
              <w:rPr>
                <w:rFonts w:ascii="Times New Roman"/>
                <w:sz w:val="21"/>
                <w:szCs w:val="21"/>
              </w:rPr>
            </w:pPr>
            <w:r>
              <w:rPr>
                <w:rFonts w:hint="eastAsia" w:ascii="Times New Roman"/>
                <w:sz w:val="21"/>
                <w:szCs w:val="21"/>
              </w:rPr>
              <w:t>DA010</w:t>
            </w:r>
          </w:p>
        </w:tc>
        <w:tc>
          <w:tcPr>
            <w:tcW w:w="853" w:type="pct"/>
            <w:shd w:val="clear" w:color="auto" w:fill="auto"/>
            <w:vAlign w:val="center"/>
          </w:tcPr>
          <w:p w14:paraId="2F731034">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shd w:val="clear" w:color="auto" w:fill="auto"/>
            <w:vAlign w:val="center"/>
          </w:tcPr>
          <w:p w14:paraId="4BDF1889">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2C79EED6">
            <w:pPr>
              <w:jc w:val="center"/>
              <w:rPr>
                <w:rFonts w:ascii="Times New Roman"/>
                <w:sz w:val="21"/>
                <w:szCs w:val="21"/>
              </w:rPr>
            </w:pPr>
            <w:r>
              <w:rPr>
                <w:rFonts w:hint="eastAsia" w:ascii="Times New Roman"/>
                <w:sz w:val="21"/>
                <w:szCs w:val="21"/>
              </w:rPr>
              <w:t>4.7404</w:t>
            </w:r>
          </w:p>
        </w:tc>
        <w:tc>
          <w:tcPr>
            <w:tcW w:w="683" w:type="pct"/>
            <w:shd w:val="clear" w:color="auto" w:fill="auto"/>
            <w:vAlign w:val="center"/>
          </w:tcPr>
          <w:p w14:paraId="3F3D07A6">
            <w:pPr>
              <w:jc w:val="center"/>
              <w:rPr>
                <w:rFonts w:ascii="Times New Roman"/>
                <w:sz w:val="21"/>
                <w:szCs w:val="21"/>
              </w:rPr>
            </w:pPr>
            <w:r>
              <w:rPr>
                <w:rFonts w:hint="eastAsia" w:ascii="Times New Roman"/>
                <w:sz w:val="21"/>
                <w:szCs w:val="21"/>
              </w:rPr>
              <w:t>1.05</w:t>
            </w:r>
          </w:p>
        </w:tc>
        <w:tc>
          <w:tcPr>
            <w:tcW w:w="642" w:type="pct"/>
            <w:shd w:val="clear" w:color="auto" w:fill="auto"/>
            <w:vAlign w:val="center"/>
          </w:tcPr>
          <w:p w14:paraId="635C5D97">
            <w:pPr>
              <w:spacing w:line="320" w:lineRule="exact"/>
              <w:jc w:val="center"/>
              <w:rPr>
                <w:rFonts w:ascii="Times New Roman"/>
                <w:sz w:val="21"/>
                <w:szCs w:val="21"/>
              </w:rPr>
            </w:pPr>
            <w:r>
              <w:rPr>
                <w:rFonts w:ascii="Times New Roman"/>
                <w:sz w:val="21"/>
                <w:szCs w:val="21"/>
              </w:rPr>
              <w:t>/</w:t>
            </w:r>
          </w:p>
        </w:tc>
      </w:tr>
      <w:tr w14:paraId="37A48A10">
        <w:tblPrEx>
          <w:tblCellMar>
            <w:top w:w="0" w:type="dxa"/>
            <w:left w:w="108" w:type="dxa"/>
            <w:bottom w:w="0" w:type="dxa"/>
            <w:right w:w="108" w:type="dxa"/>
          </w:tblCellMar>
        </w:tblPrEx>
        <w:trPr>
          <w:trHeight w:val="343" w:hRule="atLeast"/>
          <w:jc w:val="center"/>
        </w:trPr>
        <w:tc>
          <w:tcPr>
            <w:tcW w:w="940" w:type="pct"/>
            <w:vMerge w:val="restart"/>
            <w:vAlign w:val="center"/>
          </w:tcPr>
          <w:p w14:paraId="45E8C0CA">
            <w:pPr>
              <w:spacing w:line="320" w:lineRule="exact"/>
              <w:jc w:val="center"/>
              <w:rPr>
                <w:rFonts w:ascii="Times New Roman"/>
                <w:sz w:val="21"/>
                <w:szCs w:val="21"/>
              </w:rPr>
            </w:pPr>
            <w:r>
              <w:rPr>
                <w:rFonts w:hint="eastAsia" w:ascii="Times New Roman"/>
                <w:sz w:val="21"/>
                <w:szCs w:val="21"/>
              </w:rPr>
              <w:t>DA011</w:t>
            </w:r>
          </w:p>
        </w:tc>
        <w:tc>
          <w:tcPr>
            <w:tcW w:w="853" w:type="pct"/>
            <w:vAlign w:val="center"/>
          </w:tcPr>
          <w:p w14:paraId="314F99CA">
            <w:pPr>
              <w:spacing w:line="320" w:lineRule="exact"/>
              <w:jc w:val="center"/>
              <w:rPr>
                <w:rFonts w:ascii="Times New Roman"/>
                <w:sz w:val="21"/>
                <w:szCs w:val="21"/>
              </w:rPr>
            </w:pPr>
            <w:r>
              <w:rPr>
                <w:rFonts w:ascii="Times New Roman"/>
                <w:sz w:val="21"/>
                <w:szCs w:val="21"/>
              </w:rPr>
              <w:t>PM</w:t>
            </w:r>
            <w:r>
              <w:rPr>
                <w:rFonts w:ascii="Times New Roman"/>
                <w:sz w:val="21"/>
                <w:szCs w:val="21"/>
                <w:vertAlign w:val="subscript"/>
              </w:rPr>
              <w:t>10</w:t>
            </w:r>
          </w:p>
        </w:tc>
        <w:tc>
          <w:tcPr>
            <w:tcW w:w="1025" w:type="pct"/>
            <w:vAlign w:val="center"/>
          </w:tcPr>
          <w:p w14:paraId="240A8BFE">
            <w:pPr>
              <w:spacing w:line="320" w:lineRule="exact"/>
              <w:jc w:val="center"/>
              <w:rPr>
                <w:rFonts w:ascii="Times New Roman"/>
                <w:sz w:val="21"/>
                <w:szCs w:val="21"/>
              </w:rPr>
            </w:pPr>
            <w:r>
              <w:rPr>
                <w:rFonts w:ascii="Times New Roman"/>
                <w:sz w:val="21"/>
                <w:szCs w:val="21"/>
              </w:rPr>
              <w:t>450.0</w:t>
            </w:r>
          </w:p>
        </w:tc>
        <w:tc>
          <w:tcPr>
            <w:tcW w:w="854" w:type="pct"/>
            <w:shd w:val="clear" w:color="auto" w:fill="auto"/>
            <w:vAlign w:val="center"/>
          </w:tcPr>
          <w:p w14:paraId="42647411">
            <w:pPr>
              <w:jc w:val="center"/>
              <w:rPr>
                <w:rFonts w:ascii="Times New Roman"/>
                <w:sz w:val="21"/>
                <w:szCs w:val="21"/>
              </w:rPr>
            </w:pPr>
            <w:r>
              <w:rPr>
                <w:rFonts w:hint="eastAsia" w:ascii="Times New Roman"/>
                <w:sz w:val="21"/>
                <w:szCs w:val="21"/>
              </w:rPr>
              <w:t>0.3048</w:t>
            </w:r>
          </w:p>
        </w:tc>
        <w:tc>
          <w:tcPr>
            <w:tcW w:w="683" w:type="pct"/>
            <w:shd w:val="clear" w:color="auto" w:fill="auto"/>
            <w:vAlign w:val="center"/>
          </w:tcPr>
          <w:p w14:paraId="6EB3ECBC">
            <w:pPr>
              <w:jc w:val="center"/>
              <w:rPr>
                <w:rFonts w:ascii="Times New Roman"/>
                <w:sz w:val="21"/>
                <w:szCs w:val="21"/>
              </w:rPr>
            </w:pPr>
            <w:r>
              <w:rPr>
                <w:rFonts w:ascii="Times New Roman"/>
                <w:sz w:val="21"/>
                <w:szCs w:val="21"/>
              </w:rPr>
              <w:t>0.0</w:t>
            </w:r>
            <w:r>
              <w:rPr>
                <w:rFonts w:hint="eastAsia" w:ascii="Times New Roman"/>
                <w:sz w:val="21"/>
                <w:szCs w:val="21"/>
              </w:rPr>
              <w:t>7</w:t>
            </w:r>
          </w:p>
        </w:tc>
        <w:tc>
          <w:tcPr>
            <w:tcW w:w="642" w:type="pct"/>
            <w:shd w:val="clear" w:color="auto" w:fill="auto"/>
            <w:vAlign w:val="center"/>
          </w:tcPr>
          <w:p w14:paraId="34E61D5B">
            <w:pPr>
              <w:spacing w:line="320" w:lineRule="exact"/>
              <w:jc w:val="center"/>
              <w:rPr>
                <w:rFonts w:ascii="Times New Roman"/>
                <w:sz w:val="21"/>
                <w:szCs w:val="21"/>
              </w:rPr>
            </w:pPr>
            <w:r>
              <w:rPr>
                <w:rFonts w:ascii="Times New Roman"/>
                <w:sz w:val="21"/>
                <w:szCs w:val="21"/>
              </w:rPr>
              <w:t>/</w:t>
            </w:r>
          </w:p>
        </w:tc>
      </w:tr>
      <w:tr w14:paraId="43B4619F">
        <w:tblPrEx>
          <w:tblCellMar>
            <w:top w:w="0" w:type="dxa"/>
            <w:left w:w="108" w:type="dxa"/>
            <w:bottom w:w="0" w:type="dxa"/>
            <w:right w:w="108" w:type="dxa"/>
          </w:tblCellMar>
        </w:tblPrEx>
        <w:trPr>
          <w:trHeight w:val="363" w:hRule="atLeast"/>
          <w:jc w:val="center"/>
        </w:trPr>
        <w:tc>
          <w:tcPr>
            <w:tcW w:w="940" w:type="pct"/>
            <w:vMerge w:val="continue"/>
            <w:vAlign w:val="center"/>
          </w:tcPr>
          <w:p w14:paraId="55E6816D">
            <w:pPr>
              <w:spacing w:line="320" w:lineRule="exact"/>
              <w:jc w:val="center"/>
              <w:rPr>
                <w:rFonts w:ascii="Times New Roman"/>
                <w:sz w:val="21"/>
                <w:szCs w:val="21"/>
              </w:rPr>
            </w:pPr>
          </w:p>
        </w:tc>
        <w:tc>
          <w:tcPr>
            <w:tcW w:w="853" w:type="pct"/>
            <w:shd w:val="clear" w:color="auto" w:fill="auto"/>
            <w:vAlign w:val="center"/>
          </w:tcPr>
          <w:p w14:paraId="2BF6A22A">
            <w:pPr>
              <w:spacing w:line="320" w:lineRule="exact"/>
              <w:jc w:val="center"/>
              <w:rPr>
                <w:rFonts w:ascii="Times New Roman"/>
                <w:sz w:val="21"/>
                <w:szCs w:val="21"/>
              </w:rPr>
            </w:pPr>
            <w:r>
              <w:rPr>
                <w:rFonts w:ascii="Times New Roman"/>
                <w:sz w:val="21"/>
                <w:szCs w:val="21"/>
              </w:rPr>
              <w:t>非甲烷总烃</w:t>
            </w:r>
          </w:p>
        </w:tc>
        <w:tc>
          <w:tcPr>
            <w:tcW w:w="1025" w:type="pct"/>
            <w:shd w:val="clear" w:color="auto" w:fill="auto"/>
            <w:vAlign w:val="center"/>
          </w:tcPr>
          <w:p w14:paraId="3867561D">
            <w:pPr>
              <w:spacing w:line="320" w:lineRule="exact"/>
              <w:jc w:val="center"/>
              <w:rPr>
                <w:rFonts w:ascii="Times New Roman"/>
                <w:sz w:val="21"/>
                <w:szCs w:val="21"/>
              </w:rPr>
            </w:pPr>
            <w:r>
              <w:rPr>
                <w:rFonts w:ascii="Times New Roman"/>
                <w:sz w:val="21"/>
                <w:szCs w:val="21"/>
              </w:rPr>
              <w:t>2000.0</w:t>
            </w:r>
          </w:p>
        </w:tc>
        <w:tc>
          <w:tcPr>
            <w:tcW w:w="854" w:type="pct"/>
            <w:shd w:val="clear" w:color="auto" w:fill="auto"/>
            <w:vAlign w:val="center"/>
          </w:tcPr>
          <w:p w14:paraId="3F6310E0">
            <w:pPr>
              <w:jc w:val="center"/>
              <w:rPr>
                <w:rFonts w:ascii="Times New Roman"/>
                <w:sz w:val="21"/>
                <w:szCs w:val="21"/>
              </w:rPr>
            </w:pPr>
            <w:r>
              <w:rPr>
                <w:rFonts w:hint="eastAsia" w:ascii="Times New Roman"/>
                <w:sz w:val="21"/>
                <w:szCs w:val="21"/>
              </w:rPr>
              <w:t>0.0469</w:t>
            </w:r>
          </w:p>
        </w:tc>
        <w:tc>
          <w:tcPr>
            <w:tcW w:w="683" w:type="pct"/>
            <w:shd w:val="clear" w:color="auto" w:fill="auto"/>
            <w:vAlign w:val="center"/>
          </w:tcPr>
          <w:p w14:paraId="3414E87F">
            <w:pPr>
              <w:jc w:val="center"/>
              <w:rPr>
                <w:rFonts w:ascii="Times New Roman"/>
                <w:sz w:val="21"/>
                <w:szCs w:val="21"/>
              </w:rPr>
            </w:pPr>
            <w:r>
              <w:rPr>
                <w:rFonts w:ascii="Times New Roman"/>
                <w:sz w:val="21"/>
                <w:szCs w:val="21"/>
              </w:rPr>
              <w:t>0.0</w:t>
            </w:r>
            <w:r>
              <w:rPr>
                <w:rFonts w:hint="eastAsia" w:ascii="Times New Roman"/>
                <w:sz w:val="21"/>
                <w:szCs w:val="21"/>
              </w:rPr>
              <w:t>1</w:t>
            </w:r>
          </w:p>
        </w:tc>
        <w:tc>
          <w:tcPr>
            <w:tcW w:w="642" w:type="pct"/>
            <w:shd w:val="clear" w:color="auto" w:fill="auto"/>
            <w:vAlign w:val="center"/>
          </w:tcPr>
          <w:p w14:paraId="3A6B14B2">
            <w:pPr>
              <w:spacing w:line="320" w:lineRule="exact"/>
              <w:jc w:val="center"/>
              <w:rPr>
                <w:rFonts w:ascii="Times New Roman"/>
                <w:sz w:val="21"/>
                <w:szCs w:val="21"/>
              </w:rPr>
            </w:pPr>
            <w:r>
              <w:rPr>
                <w:rFonts w:ascii="Times New Roman"/>
                <w:sz w:val="21"/>
                <w:szCs w:val="21"/>
              </w:rPr>
              <w:t>/</w:t>
            </w:r>
          </w:p>
        </w:tc>
      </w:tr>
      <w:tr w14:paraId="2870599C">
        <w:tblPrEx>
          <w:tblCellMar>
            <w:top w:w="0" w:type="dxa"/>
            <w:left w:w="108" w:type="dxa"/>
            <w:bottom w:w="0" w:type="dxa"/>
            <w:right w:w="108" w:type="dxa"/>
          </w:tblCellMar>
        </w:tblPrEx>
        <w:trPr>
          <w:trHeight w:val="363" w:hRule="atLeast"/>
          <w:jc w:val="center"/>
        </w:trPr>
        <w:tc>
          <w:tcPr>
            <w:tcW w:w="940" w:type="pct"/>
            <w:vMerge w:val="continue"/>
            <w:vAlign w:val="center"/>
          </w:tcPr>
          <w:p w14:paraId="17A518A7">
            <w:pPr>
              <w:spacing w:line="320" w:lineRule="exact"/>
              <w:jc w:val="center"/>
              <w:rPr>
                <w:rFonts w:ascii="Times New Roman"/>
                <w:sz w:val="21"/>
                <w:szCs w:val="21"/>
              </w:rPr>
            </w:pPr>
          </w:p>
        </w:tc>
        <w:tc>
          <w:tcPr>
            <w:tcW w:w="853" w:type="pct"/>
            <w:shd w:val="clear" w:color="auto" w:fill="auto"/>
            <w:vAlign w:val="center"/>
          </w:tcPr>
          <w:p w14:paraId="690E9B46">
            <w:pPr>
              <w:spacing w:line="320" w:lineRule="exact"/>
              <w:jc w:val="center"/>
              <w:rPr>
                <w:rFonts w:ascii="Times New Roman"/>
                <w:sz w:val="21"/>
                <w:szCs w:val="21"/>
              </w:rPr>
            </w:pPr>
            <w:r>
              <w:rPr>
                <w:rFonts w:ascii="Times New Roman"/>
                <w:sz w:val="21"/>
                <w:szCs w:val="21"/>
              </w:rPr>
              <w:t>SO</w:t>
            </w:r>
            <w:r>
              <w:rPr>
                <w:rFonts w:ascii="Times New Roman"/>
                <w:sz w:val="21"/>
                <w:szCs w:val="21"/>
                <w:vertAlign w:val="subscript"/>
              </w:rPr>
              <w:t>2</w:t>
            </w:r>
          </w:p>
        </w:tc>
        <w:tc>
          <w:tcPr>
            <w:tcW w:w="1025" w:type="pct"/>
            <w:shd w:val="clear" w:color="auto" w:fill="auto"/>
            <w:vAlign w:val="center"/>
          </w:tcPr>
          <w:p w14:paraId="19A47C1F">
            <w:pPr>
              <w:spacing w:line="320" w:lineRule="exact"/>
              <w:jc w:val="center"/>
              <w:rPr>
                <w:rFonts w:ascii="Times New Roman"/>
                <w:sz w:val="21"/>
                <w:szCs w:val="21"/>
              </w:rPr>
            </w:pPr>
            <w:r>
              <w:rPr>
                <w:rFonts w:ascii="Times New Roman"/>
                <w:sz w:val="21"/>
                <w:szCs w:val="21"/>
              </w:rPr>
              <w:t>500.0</w:t>
            </w:r>
          </w:p>
        </w:tc>
        <w:tc>
          <w:tcPr>
            <w:tcW w:w="854" w:type="pct"/>
            <w:shd w:val="clear" w:color="auto" w:fill="auto"/>
            <w:vAlign w:val="center"/>
          </w:tcPr>
          <w:p w14:paraId="1A9E7B90">
            <w:pPr>
              <w:jc w:val="center"/>
              <w:rPr>
                <w:rFonts w:ascii="Times New Roman"/>
                <w:sz w:val="21"/>
                <w:szCs w:val="21"/>
              </w:rPr>
            </w:pPr>
            <w:r>
              <w:rPr>
                <w:rFonts w:hint="eastAsia" w:ascii="Times New Roman"/>
                <w:sz w:val="21"/>
                <w:szCs w:val="21"/>
              </w:rPr>
              <w:t>1.0082</w:t>
            </w:r>
          </w:p>
        </w:tc>
        <w:tc>
          <w:tcPr>
            <w:tcW w:w="683" w:type="pct"/>
            <w:shd w:val="clear" w:color="auto" w:fill="auto"/>
            <w:vAlign w:val="center"/>
          </w:tcPr>
          <w:p w14:paraId="39982909">
            <w:pPr>
              <w:jc w:val="center"/>
              <w:rPr>
                <w:rFonts w:ascii="Times New Roman"/>
                <w:sz w:val="21"/>
                <w:szCs w:val="21"/>
              </w:rPr>
            </w:pPr>
            <w:r>
              <w:rPr>
                <w:rFonts w:ascii="Times New Roman"/>
                <w:sz w:val="21"/>
                <w:szCs w:val="21"/>
              </w:rPr>
              <w:t>0.</w:t>
            </w:r>
            <w:r>
              <w:rPr>
                <w:rFonts w:hint="eastAsia" w:ascii="Times New Roman"/>
                <w:sz w:val="21"/>
                <w:szCs w:val="21"/>
              </w:rPr>
              <w:t>5</w:t>
            </w:r>
          </w:p>
        </w:tc>
        <w:tc>
          <w:tcPr>
            <w:tcW w:w="642" w:type="pct"/>
            <w:vAlign w:val="center"/>
          </w:tcPr>
          <w:p w14:paraId="5AA42276">
            <w:pPr>
              <w:spacing w:line="320" w:lineRule="exact"/>
              <w:jc w:val="center"/>
              <w:rPr>
                <w:rFonts w:ascii="Times New Roman"/>
                <w:sz w:val="21"/>
                <w:szCs w:val="21"/>
              </w:rPr>
            </w:pPr>
            <w:r>
              <w:rPr>
                <w:rFonts w:ascii="Times New Roman"/>
                <w:sz w:val="21"/>
                <w:szCs w:val="21"/>
              </w:rPr>
              <w:t>/</w:t>
            </w:r>
          </w:p>
        </w:tc>
      </w:tr>
      <w:tr w14:paraId="625FEF5D">
        <w:tblPrEx>
          <w:tblCellMar>
            <w:top w:w="0" w:type="dxa"/>
            <w:left w:w="108" w:type="dxa"/>
            <w:bottom w:w="0" w:type="dxa"/>
            <w:right w:w="108" w:type="dxa"/>
          </w:tblCellMar>
        </w:tblPrEx>
        <w:trPr>
          <w:trHeight w:val="90" w:hRule="atLeast"/>
          <w:jc w:val="center"/>
        </w:trPr>
        <w:tc>
          <w:tcPr>
            <w:tcW w:w="940" w:type="pct"/>
            <w:vMerge w:val="continue"/>
            <w:vAlign w:val="center"/>
          </w:tcPr>
          <w:p w14:paraId="705E20AC">
            <w:pPr>
              <w:spacing w:line="320" w:lineRule="exact"/>
              <w:jc w:val="center"/>
              <w:rPr>
                <w:rFonts w:ascii="Times New Roman"/>
                <w:sz w:val="21"/>
                <w:szCs w:val="21"/>
              </w:rPr>
            </w:pPr>
          </w:p>
        </w:tc>
        <w:tc>
          <w:tcPr>
            <w:tcW w:w="853" w:type="pct"/>
            <w:shd w:val="clear" w:color="auto" w:fill="auto"/>
            <w:vAlign w:val="center"/>
          </w:tcPr>
          <w:p w14:paraId="4D8E1978">
            <w:pPr>
              <w:spacing w:line="320" w:lineRule="exact"/>
              <w:jc w:val="center"/>
              <w:rPr>
                <w:rFonts w:ascii="Times New Roman"/>
                <w:sz w:val="21"/>
                <w:szCs w:val="21"/>
              </w:rPr>
            </w:pPr>
            <w:r>
              <w:rPr>
                <w:rFonts w:ascii="Times New Roman"/>
                <w:sz w:val="21"/>
                <w:szCs w:val="21"/>
              </w:rPr>
              <w:t>NO</w:t>
            </w:r>
            <w:r>
              <w:rPr>
                <w:rFonts w:ascii="Times New Roman"/>
                <w:sz w:val="21"/>
                <w:szCs w:val="21"/>
                <w:vertAlign w:val="subscript"/>
              </w:rPr>
              <w:t>2</w:t>
            </w:r>
          </w:p>
        </w:tc>
        <w:tc>
          <w:tcPr>
            <w:tcW w:w="1025" w:type="pct"/>
            <w:shd w:val="clear" w:color="auto" w:fill="auto"/>
            <w:vAlign w:val="center"/>
          </w:tcPr>
          <w:p w14:paraId="2AB28B52">
            <w:pPr>
              <w:spacing w:line="320" w:lineRule="exact"/>
              <w:jc w:val="center"/>
              <w:rPr>
                <w:rFonts w:ascii="Times New Roman"/>
                <w:sz w:val="21"/>
                <w:szCs w:val="21"/>
              </w:rPr>
            </w:pPr>
            <w:r>
              <w:rPr>
                <w:rFonts w:ascii="Times New Roman"/>
                <w:sz w:val="21"/>
                <w:szCs w:val="21"/>
              </w:rPr>
              <w:t>200.0</w:t>
            </w:r>
          </w:p>
        </w:tc>
        <w:tc>
          <w:tcPr>
            <w:tcW w:w="854" w:type="pct"/>
            <w:shd w:val="clear" w:color="auto" w:fill="auto"/>
            <w:vAlign w:val="center"/>
          </w:tcPr>
          <w:p w14:paraId="27013BCF">
            <w:pPr>
              <w:jc w:val="center"/>
              <w:rPr>
                <w:rFonts w:ascii="Times New Roman"/>
                <w:sz w:val="21"/>
                <w:szCs w:val="21"/>
              </w:rPr>
            </w:pPr>
            <w:r>
              <w:rPr>
                <w:rFonts w:hint="eastAsia" w:ascii="Times New Roman"/>
                <w:sz w:val="21"/>
                <w:szCs w:val="21"/>
              </w:rPr>
              <w:t>0.2345</w:t>
            </w:r>
          </w:p>
        </w:tc>
        <w:tc>
          <w:tcPr>
            <w:tcW w:w="683" w:type="pct"/>
            <w:shd w:val="clear" w:color="auto" w:fill="auto"/>
            <w:vAlign w:val="center"/>
          </w:tcPr>
          <w:p w14:paraId="0506196A">
            <w:pPr>
              <w:jc w:val="center"/>
              <w:rPr>
                <w:rFonts w:ascii="Times New Roman"/>
                <w:sz w:val="21"/>
                <w:szCs w:val="21"/>
              </w:rPr>
            </w:pPr>
            <w:r>
              <w:rPr>
                <w:rFonts w:hint="eastAsia" w:ascii="Times New Roman"/>
                <w:sz w:val="21"/>
                <w:szCs w:val="21"/>
              </w:rPr>
              <w:t>0.01</w:t>
            </w:r>
          </w:p>
        </w:tc>
        <w:tc>
          <w:tcPr>
            <w:tcW w:w="642" w:type="pct"/>
            <w:vAlign w:val="center"/>
          </w:tcPr>
          <w:p w14:paraId="3F533930">
            <w:pPr>
              <w:spacing w:line="320" w:lineRule="exact"/>
              <w:jc w:val="center"/>
              <w:rPr>
                <w:rFonts w:ascii="Times New Roman"/>
                <w:sz w:val="21"/>
                <w:szCs w:val="21"/>
              </w:rPr>
            </w:pPr>
            <w:r>
              <w:rPr>
                <w:rFonts w:ascii="Times New Roman"/>
                <w:sz w:val="21"/>
                <w:szCs w:val="21"/>
              </w:rPr>
              <w:t>/</w:t>
            </w:r>
          </w:p>
        </w:tc>
      </w:tr>
      <w:tr w14:paraId="13BE886A">
        <w:tblPrEx>
          <w:tblCellMar>
            <w:top w:w="0" w:type="dxa"/>
            <w:left w:w="108" w:type="dxa"/>
            <w:bottom w:w="0" w:type="dxa"/>
            <w:right w:w="108" w:type="dxa"/>
          </w:tblCellMar>
        </w:tblPrEx>
        <w:trPr>
          <w:trHeight w:val="363" w:hRule="atLeast"/>
          <w:jc w:val="center"/>
        </w:trPr>
        <w:tc>
          <w:tcPr>
            <w:tcW w:w="940" w:type="pct"/>
            <w:vMerge w:val="restart"/>
            <w:shd w:val="clear" w:color="auto" w:fill="auto"/>
            <w:vAlign w:val="center"/>
          </w:tcPr>
          <w:p w14:paraId="7EC3681C">
            <w:pPr>
              <w:spacing w:line="320" w:lineRule="exact"/>
              <w:jc w:val="center"/>
              <w:rPr>
                <w:rFonts w:ascii="Times New Roman"/>
                <w:sz w:val="21"/>
                <w:szCs w:val="21"/>
              </w:rPr>
            </w:pPr>
            <w:r>
              <w:rPr>
                <w:rFonts w:ascii="Times New Roman"/>
                <w:kern w:val="0"/>
                <w:sz w:val="21"/>
                <w:szCs w:val="21"/>
              </w:rPr>
              <w:t>托辊及装配厂房</w:t>
            </w:r>
          </w:p>
        </w:tc>
        <w:tc>
          <w:tcPr>
            <w:tcW w:w="853" w:type="pct"/>
            <w:vAlign w:val="center"/>
          </w:tcPr>
          <w:p w14:paraId="78B6B31E">
            <w:pPr>
              <w:spacing w:line="320" w:lineRule="exact"/>
              <w:jc w:val="center"/>
              <w:rPr>
                <w:rFonts w:ascii="Times New Roman"/>
                <w:sz w:val="21"/>
                <w:szCs w:val="21"/>
              </w:rPr>
            </w:pPr>
            <w:r>
              <w:rPr>
                <w:rFonts w:ascii="Times New Roman"/>
                <w:sz w:val="21"/>
                <w:szCs w:val="21"/>
              </w:rPr>
              <w:t>TSP</w:t>
            </w:r>
          </w:p>
        </w:tc>
        <w:tc>
          <w:tcPr>
            <w:tcW w:w="1025" w:type="pct"/>
            <w:vAlign w:val="center"/>
          </w:tcPr>
          <w:p w14:paraId="5140F5E2">
            <w:pPr>
              <w:spacing w:line="320" w:lineRule="exact"/>
              <w:jc w:val="center"/>
              <w:rPr>
                <w:rFonts w:ascii="Times New Roman"/>
                <w:sz w:val="21"/>
                <w:szCs w:val="21"/>
              </w:rPr>
            </w:pPr>
            <w:r>
              <w:rPr>
                <w:rFonts w:ascii="Times New Roman"/>
                <w:sz w:val="21"/>
                <w:szCs w:val="21"/>
              </w:rPr>
              <w:t>900.0</w:t>
            </w:r>
          </w:p>
        </w:tc>
        <w:tc>
          <w:tcPr>
            <w:tcW w:w="854" w:type="pct"/>
            <w:shd w:val="clear" w:color="auto" w:fill="auto"/>
            <w:vAlign w:val="center"/>
          </w:tcPr>
          <w:p w14:paraId="51BFE6EC">
            <w:pPr>
              <w:jc w:val="center"/>
              <w:rPr>
                <w:rFonts w:ascii="Times New Roman"/>
                <w:sz w:val="21"/>
                <w:szCs w:val="21"/>
              </w:rPr>
            </w:pPr>
            <w:r>
              <w:rPr>
                <w:rFonts w:hint="eastAsia" w:ascii="Times New Roman"/>
                <w:sz w:val="21"/>
                <w:szCs w:val="21"/>
              </w:rPr>
              <w:t>24.3720</w:t>
            </w:r>
          </w:p>
        </w:tc>
        <w:tc>
          <w:tcPr>
            <w:tcW w:w="683" w:type="pct"/>
            <w:shd w:val="clear" w:color="auto" w:fill="auto"/>
            <w:vAlign w:val="center"/>
          </w:tcPr>
          <w:p w14:paraId="1C256473">
            <w:pPr>
              <w:jc w:val="center"/>
              <w:rPr>
                <w:rFonts w:ascii="Times New Roman"/>
                <w:sz w:val="21"/>
                <w:szCs w:val="21"/>
              </w:rPr>
            </w:pPr>
            <w:r>
              <w:rPr>
                <w:rFonts w:hint="eastAsia" w:ascii="Times New Roman"/>
                <w:sz w:val="21"/>
                <w:szCs w:val="21"/>
              </w:rPr>
              <w:t>2.71</w:t>
            </w:r>
          </w:p>
        </w:tc>
        <w:tc>
          <w:tcPr>
            <w:tcW w:w="642" w:type="pct"/>
            <w:vAlign w:val="center"/>
          </w:tcPr>
          <w:p w14:paraId="731338C5">
            <w:pPr>
              <w:spacing w:line="320" w:lineRule="exact"/>
              <w:jc w:val="center"/>
              <w:rPr>
                <w:rFonts w:ascii="Times New Roman"/>
                <w:sz w:val="21"/>
                <w:szCs w:val="21"/>
              </w:rPr>
            </w:pPr>
            <w:r>
              <w:rPr>
                <w:rFonts w:ascii="Times New Roman"/>
                <w:sz w:val="21"/>
                <w:szCs w:val="21"/>
              </w:rPr>
              <w:t>/</w:t>
            </w:r>
          </w:p>
        </w:tc>
      </w:tr>
      <w:tr w14:paraId="1F42436B">
        <w:tblPrEx>
          <w:tblCellMar>
            <w:top w:w="0" w:type="dxa"/>
            <w:left w:w="108" w:type="dxa"/>
            <w:bottom w:w="0" w:type="dxa"/>
            <w:right w:w="108" w:type="dxa"/>
          </w:tblCellMar>
        </w:tblPrEx>
        <w:trPr>
          <w:trHeight w:val="238" w:hRule="atLeast"/>
          <w:jc w:val="center"/>
        </w:trPr>
        <w:tc>
          <w:tcPr>
            <w:tcW w:w="940" w:type="pct"/>
            <w:vMerge w:val="continue"/>
            <w:vAlign w:val="center"/>
          </w:tcPr>
          <w:p w14:paraId="118A698D">
            <w:pPr>
              <w:spacing w:line="320" w:lineRule="exact"/>
              <w:jc w:val="center"/>
              <w:rPr>
                <w:rFonts w:ascii="Times New Roman"/>
                <w:sz w:val="21"/>
                <w:szCs w:val="21"/>
              </w:rPr>
            </w:pPr>
          </w:p>
        </w:tc>
        <w:tc>
          <w:tcPr>
            <w:tcW w:w="853" w:type="pct"/>
            <w:vAlign w:val="center"/>
          </w:tcPr>
          <w:p w14:paraId="3F3BF284">
            <w:pPr>
              <w:spacing w:line="320" w:lineRule="exact"/>
              <w:jc w:val="center"/>
              <w:rPr>
                <w:rFonts w:ascii="Times New Roman"/>
                <w:sz w:val="21"/>
                <w:szCs w:val="21"/>
              </w:rPr>
            </w:pPr>
            <w:r>
              <w:rPr>
                <w:rFonts w:ascii="Times New Roman"/>
                <w:sz w:val="21"/>
                <w:szCs w:val="21"/>
              </w:rPr>
              <w:t>非甲烷总烃</w:t>
            </w:r>
          </w:p>
        </w:tc>
        <w:tc>
          <w:tcPr>
            <w:tcW w:w="1025" w:type="pct"/>
            <w:vAlign w:val="center"/>
          </w:tcPr>
          <w:p w14:paraId="1857E83B">
            <w:pPr>
              <w:spacing w:line="320" w:lineRule="exact"/>
              <w:jc w:val="center"/>
              <w:rPr>
                <w:rFonts w:ascii="Times New Roman"/>
                <w:sz w:val="21"/>
                <w:szCs w:val="21"/>
              </w:rPr>
            </w:pPr>
            <w:r>
              <w:rPr>
                <w:rFonts w:ascii="Times New Roman"/>
                <w:sz w:val="21"/>
                <w:szCs w:val="21"/>
              </w:rPr>
              <w:t>2000.0</w:t>
            </w:r>
          </w:p>
        </w:tc>
        <w:tc>
          <w:tcPr>
            <w:tcW w:w="854" w:type="pct"/>
            <w:shd w:val="clear" w:color="auto" w:fill="auto"/>
            <w:vAlign w:val="center"/>
          </w:tcPr>
          <w:p w14:paraId="1E17E66C">
            <w:pPr>
              <w:jc w:val="center"/>
              <w:rPr>
                <w:rFonts w:ascii="Times New Roman"/>
                <w:sz w:val="21"/>
                <w:szCs w:val="21"/>
              </w:rPr>
            </w:pPr>
            <w:r>
              <w:rPr>
                <w:rFonts w:hint="eastAsia" w:ascii="Times New Roman"/>
                <w:sz w:val="21"/>
                <w:szCs w:val="21"/>
              </w:rPr>
              <w:t>0.0334</w:t>
            </w:r>
          </w:p>
        </w:tc>
        <w:tc>
          <w:tcPr>
            <w:tcW w:w="683" w:type="pct"/>
            <w:shd w:val="clear" w:color="auto" w:fill="auto"/>
            <w:vAlign w:val="center"/>
          </w:tcPr>
          <w:p w14:paraId="3B46F85D">
            <w:pPr>
              <w:jc w:val="center"/>
              <w:rPr>
                <w:rFonts w:ascii="Times New Roman"/>
                <w:sz w:val="21"/>
                <w:szCs w:val="21"/>
              </w:rPr>
            </w:pPr>
            <w:r>
              <w:rPr>
                <w:rFonts w:hint="eastAsia" w:ascii="Times New Roman"/>
                <w:sz w:val="21"/>
                <w:szCs w:val="21"/>
              </w:rPr>
              <w:t>0.00</w:t>
            </w:r>
          </w:p>
        </w:tc>
        <w:tc>
          <w:tcPr>
            <w:tcW w:w="642" w:type="pct"/>
            <w:vAlign w:val="center"/>
          </w:tcPr>
          <w:p w14:paraId="68B3D9F4">
            <w:pPr>
              <w:spacing w:line="320" w:lineRule="exact"/>
              <w:jc w:val="center"/>
              <w:rPr>
                <w:rFonts w:ascii="Times New Roman"/>
                <w:sz w:val="21"/>
                <w:szCs w:val="21"/>
              </w:rPr>
            </w:pPr>
            <w:r>
              <w:rPr>
                <w:rFonts w:ascii="Times New Roman"/>
                <w:sz w:val="21"/>
                <w:szCs w:val="21"/>
              </w:rPr>
              <w:t>/</w:t>
            </w:r>
          </w:p>
        </w:tc>
      </w:tr>
      <w:tr w14:paraId="71835406">
        <w:tblPrEx>
          <w:tblCellMar>
            <w:top w:w="0" w:type="dxa"/>
            <w:left w:w="108" w:type="dxa"/>
            <w:bottom w:w="0" w:type="dxa"/>
            <w:right w:w="108" w:type="dxa"/>
          </w:tblCellMar>
        </w:tblPrEx>
        <w:trPr>
          <w:trHeight w:val="363" w:hRule="atLeast"/>
          <w:jc w:val="center"/>
        </w:trPr>
        <w:tc>
          <w:tcPr>
            <w:tcW w:w="940" w:type="pct"/>
            <w:vMerge w:val="restart"/>
            <w:shd w:val="clear" w:color="auto" w:fill="auto"/>
            <w:vAlign w:val="center"/>
          </w:tcPr>
          <w:p w14:paraId="67A45C48">
            <w:pPr>
              <w:spacing w:line="320" w:lineRule="exact"/>
              <w:jc w:val="center"/>
              <w:rPr>
                <w:rFonts w:ascii="Times New Roman"/>
                <w:sz w:val="21"/>
                <w:szCs w:val="21"/>
              </w:rPr>
            </w:pPr>
            <w:r>
              <w:rPr>
                <w:rFonts w:ascii="Times New Roman"/>
                <w:kern w:val="0"/>
                <w:sz w:val="21"/>
                <w:szCs w:val="21"/>
              </w:rPr>
              <w:t>联合厂房</w:t>
            </w:r>
          </w:p>
        </w:tc>
        <w:tc>
          <w:tcPr>
            <w:tcW w:w="853" w:type="pct"/>
            <w:vAlign w:val="center"/>
          </w:tcPr>
          <w:p w14:paraId="5C402EFE">
            <w:pPr>
              <w:spacing w:line="320" w:lineRule="exact"/>
              <w:jc w:val="center"/>
              <w:rPr>
                <w:rFonts w:ascii="Times New Roman"/>
                <w:sz w:val="21"/>
                <w:szCs w:val="21"/>
              </w:rPr>
            </w:pPr>
            <w:r>
              <w:rPr>
                <w:rFonts w:ascii="Times New Roman"/>
                <w:sz w:val="21"/>
                <w:szCs w:val="21"/>
              </w:rPr>
              <w:t>TSP</w:t>
            </w:r>
          </w:p>
        </w:tc>
        <w:tc>
          <w:tcPr>
            <w:tcW w:w="1025" w:type="pct"/>
            <w:vAlign w:val="center"/>
          </w:tcPr>
          <w:p w14:paraId="5E01C9C5">
            <w:pPr>
              <w:spacing w:line="320" w:lineRule="exact"/>
              <w:jc w:val="center"/>
              <w:rPr>
                <w:rFonts w:ascii="Times New Roman"/>
                <w:sz w:val="21"/>
                <w:szCs w:val="21"/>
              </w:rPr>
            </w:pPr>
            <w:r>
              <w:rPr>
                <w:rFonts w:ascii="Times New Roman"/>
                <w:sz w:val="21"/>
                <w:szCs w:val="21"/>
              </w:rPr>
              <w:t>900.0</w:t>
            </w:r>
          </w:p>
        </w:tc>
        <w:tc>
          <w:tcPr>
            <w:tcW w:w="854" w:type="pct"/>
            <w:shd w:val="clear" w:color="auto" w:fill="auto"/>
            <w:vAlign w:val="center"/>
          </w:tcPr>
          <w:p w14:paraId="12F66CDF">
            <w:pPr>
              <w:jc w:val="center"/>
              <w:rPr>
                <w:rFonts w:ascii="Times New Roman"/>
                <w:sz w:val="21"/>
                <w:szCs w:val="21"/>
              </w:rPr>
            </w:pPr>
            <w:r>
              <w:rPr>
                <w:rFonts w:hint="eastAsia" w:ascii="Times New Roman"/>
                <w:sz w:val="21"/>
                <w:szCs w:val="21"/>
              </w:rPr>
              <w:t>68.8180</w:t>
            </w:r>
          </w:p>
        </w:tc>
        <w:tc>
          <w:tcPr>
            <w:tcW w:w="683" w:type="pct"/>
            <w:shd w:val="clear" w:color="auto" w:fill="auto"/>
            <w:vAlign w:val="center"/>
          </w:tcPr>
          <w:p w14:paraId="7DE77D3D">
            <w:pPr>
              <w:jc w:val="center"/>
              <w:rPr>
                <w:rFonts w:ascii="Times New Roman"/>
                <w:sz w:val="21"/>
                <w:szCs w:val="21"/>
              </w:rPr>
            </w:pPr>
            <w:r>
              <w:rPr>
                <w:rFonts w:hint="eastAsia" w:ascii="Times New Roman"/>
                <w:sz w:val="21"/>
                <w:szCs w:val="21"/>
              </w:rPr>
              <w:t>7.65</w:t>
            </w:r>
          </w:p>
        </w:tc>
        <w:tc>
          <w:tcPr>
            <w:tcW w:w="642" w:type="pct"/>
            <w:vAlign w:val="center"/>
          </w:tcPr>
          <w:p w14:paraId="5ABCA952">
            <w:pPr>
              <w:spacing w:line="320" w:lineRule="exact"/>
              <w:jc w:val="center"/>
              <w:rPr>
                <w:rFonts w:ascii="Times New Roman"/>
                <w:sz w:val="21"/>
                <w:szCs w:val="21"/>
              </w:rPr>
            </w:pPr>
            <w:r>
              <w:rPr>
                <w:rFonts w:ascii="Times New Roman"/>
                <w:sz w:val="21"/>
                <w:szCs w:val="21"/>
              </w:rPr>
              <w:t>/</w:t>
            </w:r>
          </w:p>
        </w:tc>
      </w:tr>
      <w:tr w14:paraId="2302E415">
        <w:tblPrEx>
          <w:tblCellMar>
            <w:top w:w="0" w:type="dxa"/>
            <w:left w:w="108" w:type="dxa"/>
            <w:bottom w:w="0" w:type="dxa"/>
            <w:right w:w="108" w:type="dxa"/>
          </w:tblCellMar>
        </w:tblPrEx>
        <w:trPr>
          <w:trHeight w:val="363" w:hRule="atLeast"/>
          <w:jc w:val="center"/>
        </w:trPr>
        <w:tc>
          <w:tcPr>
            <w:tcW w:w="940" w:type="pct"/>
            <w:vMerge w:val="continue"/>
            <w:vAlign w:val="center"/>
          </w:tcPr>
          <w:p w14:paraId="515311A4">
            <w:pPr>
              <w:spacing w:line="320" w:lineRule="exact"/>
              <w:jc w:val="center"/>
              <w:rPr>
                <w:rFonts w:ascii="Times New Roman"/>
                <w:sz w:val="21"/>
                <w:szCs w:val="21"/>
              </w:rPr>
            </w:pPr>
          </w:p>
        </w:tc>
        <w:tc>
          <w:tcPr>
            <w:tcW w:w="853" w:type="pct"/>
            <w:vAlign w:val="center"/>
          </w:tcPr>
          <w:p w14:paraId="0A16DC96">
            <w:pPr>
              <w:spacing w:line="320" w:lineRule="exact"/>
              <w:jc w:val="center"/>
              <w:rPr>
                <w:rFonts w:ascii="Times New Roman"/>
                <w:sz w:val="21"/>
                <w:szCs w:val="21"/>
              </w:rPr>
            </w:pPr>
            <w:r>
              <w:rPr>
                <w:rFonts w:ascii="Times New Roman"/>
                <w:sz w:val="21"/>
                <w:szCs w:val="21"/>
              </w:rPr>
              <w:t>非甲烷总烃</w:t>
            </w:r>
          </w:p>
        </w:tc>
        <w:tc>
          <w:tcPr>
            <w:tcW w:w="1025" w:type="pct"/>
            <w:vAlign w:val="center"/>
          </w:tcPr>
          <w:p w14:paraId="49CEE3F6">
            <w:pPr>
              <w:spacing w:line="320" w:lineRule="exact"/>
              <w:jc w:val="center"/>
              <w:rPr>
                <w:rFonts w:ascii="Times New Roman"/>
                <w:sz w:val="21"/>
                <w:szCs w:val="21"/>
              </w:rPr>
            </w:pPr>
            <w:r>
              <w:rPr>
                <w:rFonts w:ascii="Times New Roman"/>
                <w:sz w:val="21"/>
                <w:szCs w:val="21"/>
              </w:rPr>
              <w:t>2000.0</w:t>
            </w:r>
          </w:p>
        </w:tc>
        <w:tc>
          <w:tcPr>
            <w:tcW w:w="854" w:type="pct"/>
            <w:shd w:val="clear" w:color="auto" w:fill="auto"/>
            <w:vAlign w:val="center"/>
          </w:tcPr>
          <w:p w14:paraId="2CA8B3BA">
            <w:pPr>
              <w:jc w:val="center"/>
              <w:rPr>
                <w:rFonts w:ascii="Times New Roman"/>
                <w:sz w:val="21"/>
                <w:szCs w:val="21"/>
              </w:rPr>
            </w:pPr>
            <w:r>
              <w:rPr>
                <w:rFonts w:hint="eastAsia" w:ascii="Times New Roman"/>
                <w:sz w:val="21"/>
                <w:szCs w:val="21"/>
              </w:rPr>
              <w:t>57.9520</w:t>
            </w:r>
          </w:p>
        </w:tc>
        <w:tc>
          <w:tcPr>
            <w:tcW w:w="683" w:type="pct"/>
            <w:shd w:val="clear" w:color="auto" w:fill="auto"/>
            <w:vAlign w:val="center"/>
          </w:tcPr>
          <w:p w14:paraId="4B0ED838">
            <w:pPr>
              <w:jc w:val="center"/>
              <w:rPr>
                <w:rFonts w:ascii="Times New Roman"/>
                <w:sz w:val="21"/>
                <w:szCs w:val="21"/>
              </w:rPr>
            </w:pPr>
            <w:r>
              <w:rPr>
                <w:rFonts w:hint="eastAsia" w:ascii="Times New Roman"/>
                <w:sz w:val="21"/>
                <w:szCs w:val="21"/>
              </w:rPr>
              <w:t>2.90</w:t>
            </w:r>
          </w:p>
        </w:tc>
        <w:tc>
          <w:tcPr>
            <w:tcW w:w="642" w:type="pct"/>
            <w:vAlign w:val="center"/>
          </w:tcPr>
          <w:p w14:paraId="510A6E4C">
            <w:pPr>
              <w:spacing w:line="320" w:lineRule="exact"/>
              <w:jc w:val="center"/>
              <w:rPr>
                <w:rFonts w:ascii="Times New Roman"/>
                <w:sz w:val="21"/>
                <w:szCs w:val="21"/>
              </w:rPr>
            </w:pPr>
            <w:r>
              <w:rPr>
                <w:rFonts w:ascii="Times New Roman"/>
                <w:sz w:val="21"/>
                <w:szCs w:val="21"/>
              </w:rPr>
              <w:t>/</w:t>
            </w:r>
          </w:p>
        </w:tc>
      </w:tr>
      <w:tr w14:paraId="28A69CDF">
        <w:tblPrEx>
          <w:tblCellMar>
            <w:top w:w="0" w:type="dxa"/>
            <w:left w:w="108" w:type="dxa"/>
            <w:bottom w:w="0" w:type="dxa"/>
            <w:right w:w="108" w:type="dxa"/>
          </w:tblCellMar>
        </w:tblPrEx>
        <w:trPr>
          <w:trHeight w:val="363" w:hRule="atLeast"/>
          <w:jc w:val="center"/>
        </w:trPr>
        <w:tc>
          <w:tcPr>
            <w:tcW w:w="940" w:type="pct"/>
            <w:vMerge w:val="continue"/>
            <w:vAlign w:val="center"/>
          </w:tcPr>
          <w:p w14:paraId="0673C543">
            <w:pPr>
              <w:spacing w:line="320" w:lineRule="exact"/>
              <w:jc w:val="center"/>
              <w:rPr>
                <w:rFonts w:ascii="Times New Roman"/>
                <w:sz w:val="21"/>
                <w:szCs w:val="21"/>
              </w:rPr>
            </w:pPr>
          </w:p>
        </w:tc>
        <w:tc>
          <w:tcPr>
            <w:tcW w:w="853" w:type="pct"/>
            <w:vAlign w:val="center"/>
          </w:tcPr>
          <w:p w14:paraId="13D2CF70">
            <w:pPr>
              <w:spacing w:line="320" w:lineRule="exact"/>
              <w:jc w:val="center"/>
              <w:rPr>
                <w:rFonts w:ascii="Times New Roman"/>
                <w:sz w:val="21"/>
                <w:szCs w:val="21"/>
              </w:rPr>
            </w:pPr>
            <w:r>
              <w:rPr>
                <w:rFonts w:ascii="Times New Roman"/>
                <w:sz w:val="21"/>
                <w:szCs w:val="21"/>
              </w:rPr>
              <w:t>二甲苯</w:t>
            </w:r>
          </w:p>
        </w:tc>
        <w:tc>
          <w:tcPr>
            <w:tcW w:w="1025" w:type="pct"/>
            <w:vAlign w:val="center"/>
          </w:tcPr>
          <w:p w14:paraId="07006A05">
            <w:pPr>
              <w:spacing w:line="320" w:lineRule="exact"/>
              <w:jc w:val="center"/>
              <w:rPr>
                <w:rFonts w:ascii="Times New Roman"/>
                <w:sz w:val="21"/>
                <w:szCs w:val="21"/>
              </w:rPr>
            </w:pPr>
            <w:r>
              <w:rPr>
                <w:rFonts w:ascii="Times New Roman"/>
                <w:sz w:val="21"/>
                <w:szCs w:val="21"/>
              </w:rPr>
              <w:t>200.0</w:t>
            </w:r>
          </w:p>
        </w:tc>
        <w:tc>
          <w:tcPr>
            <w:tcW w:w="854" w:type="pct"/>
            <w:shd w:val="clear" w:color="auto" w:fill="auto"/>
            <w:vAlign w:val="center"/>
          </w:tcPr>
          <w:p w14:paraId="0D9D7C6D">
            <w:pPr>
              <w:jc w:val="center"/>
              <w:rPr>
                <w:rFonts w:ascii="Times New Roman"/>
                <w:sz w:val="21"/>
                <w:szCs w:val="21"/>
              </w:rPr>
            </w:pPr>
            <w:r>
              <w:rPr>
                <w:rFonts w:hint="eastAsia" w:ascii="Times New Roman"/>
                <w:sz w:val="21"/>
                <w:szCs w:val="21"/>
              </w:rPr>
              <w:t>16.0403</w:t>
            </w:r>
          </w:p>
        </w:tc>
        <w:tc>
          <w:tcPr>
            <w:tcW w:w="683" w:type="pct"/>
            <w:shd w:val="clear" w:color="auto" w:fill="auto"/>
            <w:vAlign w:val="center"/>
          </w:tcPr>
          <w:p w14:paraId="5B7A866A">
            <w:pPr>
              <w:jc w:val="center"/>
              <w:rPr>
                <w:rFonts w:ascii="Times New Roman"/>
                <w:sz w:val="21"/>
                <w:szCs w:val="21"/>
              </w:rPr>
            </w:pPr>
            <w:r>
              <w:rPr>
                <w:rFonts w:hint="eastAsia" w:ascii="Times New Roman"/>
                <w:sz w:val="21"/>
                <w:szCs w:val="21"/>
              </w:rPr>
              <w:t>8.02</w:t>
            </w:r>
          </w:p>
        </w:tc>
        <w:tc>
          <w:tcPr>
            <w:tcW w:w="642" w:type="pct"/>
            <w:vAlign w:val="center"/>
          </w:tcPr>
          <w:p w14:paraId="5609E26C">
            <w:pPr>
              <w:spacing w:line="320" w:lineRule="exact"/>
              <w:jc w:val="center"/>
              <w:rPr>
                <w:rFonts w:ascii="Times New Roman"/>
                <w:sz w:val="21"/>
                <w:szCs w:val="21"/>
              </w:rPr>
            </w:pPr>
            <w:r>
              <w:rPr>
                <w:rFonts w:ascii="Times New Roman"/>
                <w:sz w:val="21"/>
                <w:szCs w:val="21"/>
              </w:rPr>
              <w:t>/</w:t>
            </w:r>
          </w:p>
        </w:tc>
      </w:tr>
    </w:tbl>
    <w:p w14:paraId="5F1BCF22">
      <w:pPr>
        <w:snapToGrid w:val="0"/>
        <w:spacing w:line="360" w:lineRule="auto"/>
        <w:ind w:firstLine="480" w:firstLineChars="200"/>
        <w:rPr>
          <w:rFonts w:ascii="Times New Roman"/>
          <w:bCs/>
          <w:sz w:val="24"/>
          <w:szCs w:val="24"/>
        </w:rPr>
      </w:pPr>
      <w:r>
        <w:rPr>
          <w:rFonts w:ascii="Times New Roman"/>
          <w:bCs/>
          <w:sz w:val="24"/>
          <w:szCs w:val="24"/>
        </w:rPr>
        <w:t>根据预测，</w:t>
      </w:r>
      <w:r>
        <w:rPr>
          <w:rFonts w:ascii="Times New Roman"/>
          <w:sz w:val="24"/>
        </w:rPr>
        <w:t>本项目Pmax最大值出现为联合厂房排放的</w:t>
      </w:r>
      <w:r>
        <w:rPr>
          <w:rFonts w:hint="eastAsia" w:ascii="Times New Roman"/>
          <w:sz w:val="24"/>
        </w:rPr>
        <w:t>二甲苯，</w:t>
      </w:r>
      <w:r>
        <w:rPr>
          <w:rFonts w:ascii="Times New Roman"/>
          <w:sz w:val="24"/>
        </w:rPr>
        <w:t>Pmax值为</w:t>
      </w:r>
      <w:r>
        <w:rPr>
          <w:rFonts w:hint="eastAsia" w:ascii="Times New Roman"/>
          <w:sz w:val="24"/>
        </w:rPr>
        <w:t>8.02</w:t>
      </w:r>
      <w:r>
        <w:rPr>
          <w:rFonts w:ascii="Times New Roman"/>
          <w:sz w:val="24"/>
        </w:rPr>
        <w:t>%，Cmax为</w:t>
      </w:r>
      <w:r>
        <w:rPr>
          <w:rFonts w:hint="eastAsia" w:ascii="Times New Roman"/>
          <w:sz w:val="24"/>
        </w:rPr>
        <w:t>16.0403</w:t>
      </w:r>
      <w:r>
        <w:rPr>
          <w:rFonts w:ascii="Times New Roman"/>
          <w:sz w:val="24"/>
        </w:rPr>
        <w:t>μg/m</w:t>
      </w:r>
      <w:r>
        <w:rPr>
          <w:rFonts w:hint="eastAsia" w:ascii="Times New Roman"/>
          <w:sz w:val="24"/>
          <w:vertAlign w:val="superscript"/>
        </w:rPr>
        <w:t>3</w:t>
      </w:r>
      <w:r>
        <w:rPr>
          <w:rFonts w:ascii="Times New Roman"/>
          <w:sz w:val="24"/>
        </w:rPr>
        <w:t>。根据《环境影响评价技术导则 大气环境》（HJ2.2-2018）分级判据，确定本项目大气环境影响评价工作等级为二级。</w:t>
      </w:r>
    </w:p>
    <w:p w14:paraId="53646910">
      <w:pPr>
        <w:snapToGrid w:val="0"/>
        <w:spacing w:line="360" w:lineRule="auto"/>
        <w:ind w:firstLine="500" w:firstLineChars="200"/>
        <w:rPr>
          <w:rFonts w:ascii="Times New Roman"/>
        </w:rPr>
      </w:pPr>
      <w:r>
        <w:rPr>
          <w:rFonts w:hint="eastAsia" w:ascii="Times New Roman"/>
        </w:rPr>
        <w:t>（2）</w:t>
      </w:r>
      <w:r>
        <w:rPr>
          <w:rFonts w:ascii="Times New Roman"/>
        </w:rPr>
        <w:t>项目厂界无组织排放预测</w:t>
      </w:r>
    </w:p>
    <w:p w14:paraId="010D1FD8">
      <w:pPr>
        <w:spacing w:line="360" w:lineRule="auto"/>
        <w:ind w:firstLine="482"/>
        <w:rPr>
          <w:rFonts w:ascii="Times New Roman"/>
          <w:b/>
        </w:rPr>
      </w:pPr>
      <w:r>
        <w:rPr>
          <w:rFonts w:ascii="Times New Roman"/>
        </w:rPr>
        <w:t>本项目无组织排放污染物主要为颗粒物、非甲烷总烃、硫化氢和臭气浓度，经预测项目建成后，全厂无组织排放到厂界的贡献浓度见表</w:t>
      </w:r>
      <w:r>
        <w:rPr>
          <w:rFonts w:hint="eastAsia" w:ascii="Times New Roman"/>
        </w:rPr>
        <w:t>5.2.1-7</w:t>
      </w:r>
      <w:r>
        <w:rPr>
          <w:rFonts w:ascii="Times New Roman"/>
        </w:rPr>
        <w:t>。</w:t>
      </w:r>
    </w:p>
    <w:p w14:paraId="4D076C01">
      <w:pPr>
        <w:jc w:val="center"/>
        <w:rPr>
          <w:rFonts w:ascii="Times New Roman"/>
          <w:b/>
          <w:bCs/>
          <w:vertAlign w:val="superscript"/>
        </w:rPr>
      </w:pPr>
      <w:r>
        <w:rPr>
          <w:rFonts w:ascii="Times New Roman"/>
          <w:b/>
          <w:bCs/>
        </w:rPr>
        <w:t>表</w:t>
      </w:r>
      <w:r>
        <w:rPr>
          <w:rFonts w:hint="eastAsia" w:ascii="Times New Roman"/>
          <w:b/>
          <w:bCs/>
        </w:rPr>
        <w:t>5.2.1</w:t>
      </w:r>
      <w:r>
        <w:rPr>
          <w:rFonts w:ascii="Times New Roman"/>
          <w:b/>
          <w:bCs/>
        </w:rPr>
        <w:t>-</w:t>
      </w:r>
      <w:r>
        <w:rPr>
          <w:rFonts w:hint="eastAsia" w:ascii="Times New Roman"/>
          <w:b/>
          <w:bCs/>
        </w:rPr>
        <w:t>7</w:t>
      </w:r>
      <w:r>
        <w:rPr>
          <w:rFonts w:ascii="Times New Roman"/>
          <w:b/>
          <w:bCs/>
        </w:rPr>
        <w:t xml:space="preserve">  无组织排放厂界贡献浓度值一览表    单位：μg/m</w:t>
      </w:r>
      <w:r>
        <w:rPr>
          <w:rFonts w:ascii="Times New Roman"/>
          <w:b/>
          <w:bCs/>
          <w:vertAlign w:val="superscript"/>
        </w:rPr>
        <w:t>3</w:t>
      </w:r>
    </w:p>
    <w:tbl>
      <w:tblPr>
        <w:tblStyle w:val="84"/>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4"/>
        <w:gridCol w:w="1279"/>
        <w:gridCol w:w="1269"/>
        <w:gridCol w:w="1291"/>
        <w:gridCol w:w="1245"/>
        <w:gridCol w:w="819"/>
        <w:gridCol w:w="1554"/>
      </w:tblGrid>
      <w:tr w14:paraId="034F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2" w:type="pct"/>
            <w:vAlign w:val="center"/>
          </w:tcPr>
          <w:p w14:paraId="6E0412A0">
            <w:pPr>
              <w:adjustRightInd w:val="0"/>
              <w:snapToGrid w:val="0"/>
              <w:jc w:val="center"/>
              <w:rPr>
                <w:rFonts w:ascii="Times New Roman"/>
                <w:sz w:val="21"/>
                <w:szCs w:val="21"/>
              </w:rPr>
            </w:pPr>
            <w:r>
              <w:rPr>
                <w:rFonts w:ascii="Times New Roman"/>
                <w:sz w:val="21"/>
                <w:szCs w:val="21"/>
              </w:rPr>
              <w:t>污染物</w:t>
            </w:r>
          </w:p>
        </w:tc>
        <w:tc>
          <w:tcPr>
            <w:tcW w:w="759" w:type="pct"/>
            <w:tcMar>
              <w:left w:w="28" w:type="dxa"/>
              <w:right w:w="28" w:type="dxa"/>
            </w:tcMar>
            <w:vAlign w:val="center"/>
          </w:tcPr>
          <w:p w14:paraId="2BD10AFA">
            <w:pPr>
              <w:adjustRightInd w:val="0"/>
              <w:snapToGrid w:val="0"/>
              <w:jc w:val="center"/>
              <w:rPr>
                <w:rFonts w:ascii="Times New Roman"/>
                <w:sz w:val="21"/>
                <w:szCs w:val="21"/>
              </w:rPr>
            </w:pPr>
            <w:r>
              <w:rPr>
                <w:rFonts w:ascii="Times New Roman"/>
                <w:sz w:val="21"/>
                <w:szCs w:val="21"/>
              </w:rPr>
              <w:t>东厂界</w:t>
            </w:r>
          </w:p>
        </w:tc>
        <w:tc>
          <w:tcPr>
            <w:tcW w:w="753" w:type="pct"/>
            <w:tcMar>
              <w:left w:w="28" w:type="dxa"/>
              <w:right w:w="28" w:type="dxa"/>
            </w:tcMar>
            <w:vAlign w:val="center"/>
          </w:tcPr>
          <w:p w14:paraId="3DCFBAB8">
            <w:pPr>
              <w:adjustRightInd w:val="0"/>
              <w:snapToGrid w:val="0"/>
              <w:jc w:val="center"/>
              <w:rPr>
                <w:rFonts w:ascii="Times New Roman"/>
                <w:sz w:val="21"/>
                <w:szCs w:val="21"/>
              </w:rPr>
            </w:pPr>
            <w:r>
              <w:rPr>
                <w:rFonts w:ascii="Times New Roman"/>
                <w:sz w:val="21"/>
                <w:szCs w:val="21"/>
              </w:rPr>
              <w:t>南厂界</w:t>
            </w:r>
          </w:p>
        </w:tc>
        <w:tc>
          <w:tcPr>
            <w:tcW w:w="766" w:type="pct"/>
            <w:tcMar>
              <w:left w:w="28" w:type="dxa"/>
              <w:right w:w="28" w:type="dxa"/>
            </w:tcMar>
            <w:vAlign w:val="center"/>
          </w:tcPr>
          <w:p w14:paraId="5BF7B98E">
            <w:pPr>
              <w:adjustRightInd w:val="0"/>
              <w:snapToGrid w:val="0"/>
              <w:jc w:val="center"/>
              <w:rPr>
                <w:rFonts w:ascii="Times New Roman"/>
                <w:sz w:val="21"/>
                <w:szCs w:val="21"/>
              </w:rPr>
            </w:pPr>
            <w:r>
              <w:rPr>
                <w:rFonts w:ascii="Times New Roman"/>
                <w:sz w:val="21"/>
                <w:szCs w:val="21"/>
              </w:rPr>
              <w:t>西厂界</w:t>
            </w:r>
          </w:p>
        </w:tc>
        <w:tc>
          <w:tcPr>
            <w:tcW w:w="739" w:type="pct"/>
            <w:tcMar>
              <w:left w:w="28" w:type="dxa"/>
              <w:right w:w="28" w:type="dxa"/>
            </w:tcMar>
            <w:vAlign w:val="center"/>
          </w:tcPr>
          <w:p w14:paraId="210F8A93">
            <w:pPr>
              <w:adjustRightInd w:val="0"/>
              <w:snapToGrid w:val="0"/>
              <w:jc w:val="center"/>
              <w:rPr>
                <w:rFonts w:ascii="Times New Roman"/>
                <w:sz w:val="21"/>
                <w:szCs w:val="21"/>
              </w:rPr>
            </w:pPr>
            <w:r>
              <w:rPr>
                <w:rFonts w:ascii="Times New Roman"/>
                <w:sz w:val="21"/>
                <w:szCs w:val="21"/>
              </w:rPr>
              <w:t>北厂界</w:t>
            </w:r>
          </w:p>
        </w:tc>
        <w:tc>
          <w:tcPr>
            <w:tcW w:w="486" w:type="pct"/>
            <w:tcMar>
              <w:left w:w="28" w:type="dxa"/>
              <w:right w:w="28" w:type="dxa"/>
            </w:tcMar>
            <w:vAlign w:val="center"/>
          </w:tcPr>
          <w:p w14:paraId="03646A96">
            <w:pPr>
              <w:adjustRightInd w:val="0"/>
              <w:snapToGrid w:val="0"/>
              <w:jc w:val="center"/>
              <w:rPr>
                <w:rFonts w:ascii="Times New Roman"/>
                <w:sz w:val="21"/>
                <w:szCs w:val="21"/>
              </w:rPr>
            </w:pPr>
            <w:r>
              <w:rPr>
                <w:rFonts w:ascii="Times New Roman"/>
                <w:sz w:val="21"/>
                <w:szCs w:val="21"/>
              </w:rPr>
              <w:t>厂区内</w:t>
            </w:r>
          </w:p>
        </w:tc>
        <w:tc>
          <w:tcPr>
            <w:tcW w:w="922" w:type="pct"/>
            <w:vAlign w:val="center"/>
          </w:tcPr>
          <w:p w14:paraId="0D11EC1A">
            <w:pPr>
              <w:adjustRightInd w:val="0"/>
              <w:snapToGrid w:val="0"/>
              <w:jc w:val="center"/>
              <w:rPr>
                <w:rFonts w:ascii="Times New Roman"/>
                <w:sz w:val="21"/>
                <w:szCs w:val="21"/>
              </w:rPr>
            </w:pPr>
            <w:r>
              <w:rPr>
                <w:rFonts w:ascii="Times New Roman"/>
                <w:sz w:val="21"/>
                <w:szCs w:val="21"/>
              </w:rPr>
              <w:t>标准</w:t>
            </w:r>
          </w:p>
        </w:tc>
      </w:tr>
      <w:tr w14:paraId="6823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2" w:type="pct"/>
            <w:vAlign w:val="center"/>
          </w:tcPr>
          <w:p w14:paraId="47B74D19">
            <w:pPr>
              <w:pStyle w:val="1122"/>
              <w:adjustRightInd w:val="0"/>
              <w:snapToGrid w:val="0"/>
              <w:spacing w:line="240" w:lineRule="auto"/>
              <w:rPr>
                <w:rFonts w:cs="Times New Roman"/>
                <w:szCs w:val="21"/>
              </w:rPr>
            </w:pPr>
            <w:r>
              <w:rPr>
                <w:rFonts w:cs="Times New Roman"/>
                <w:szCs w:val="21"/>
              </w:rPr>
              <w:t>颗粒物</w:t>
            </w:r>
          </w:p>
        </w:tc>
        <w:tc>
          <w:tcPr>
            <w:tcW w:w="759" w:type="pct"/>
            <w:tcMar>
              <w:left w:w="28" w:type="dxa"/>
              <w:right w:w="28" w:type="dxa"/>
            </w:tcMar>
            <w:vAlign w:val="center"/>
          </w:tcPr>
          <w:p w14:paraId="5614CAE8">
            <w:pPr>
              <w:widowControl/>
              <w:adjustRightInd w:val="0"/>
              <w:snapToGrid w:val="0"/>
              <w:jc w:val="center"/>
              <w:rPr>
                <w:rFonts w:ascii="Times New Roman"/>
                <w:kern w:val="0"/>
                <w:sz w:val="21"/>
                <w:szCs w:val="21"/>
              </w:rPr>
            </w:pPr>
            <w:r>
              <w:rPr>
                <w:rFonts w:hint="eastAsia" w:ascii="Times New Roman"/>
                <w:kern w:val="0"/>
                <w:sz w:val="21"/>
                <w:szCs w:val="21"/>
              </w:rPr>
              <w:t>56</w:t>
            </w:r>
          </w:p>
        </w:tc>
        <w:tc>
          <w:tcPr>
            <w:tcW w:w="753" w:type="pct"/>
            <w:tcMar>
              <w:left w:w="28" w:type="dxa"/>
              <w:right w:w="28" w:type="dxa"/>
            </w:tcMar>
            <w:vAlign w:val="center"/>
          </w:tcPr>
          <w:p w14:paraId="036FD099">
            <w:pPr>
              <w:widowControl/>
              <w:adjustRightInd w:val="0"/>
              <w:snapToGrid w:val="0"/>
              <w:jc w:val="center"/>
              <w:rPr>
                <w:rFonts w:ascii="Times New Roman"/>
                <w:kern w:val="0"/>
                <w:sz w:val="21"/>
                <w:szCs w:val="21"/>
              </w:rPr>
            </w:pPr>
            <w:r>
              <w:rPr>
                <w:rFonts w:hint="eastAsia" w:ascii="Times New Roman"/>
                <w:kern w:val="0"/>
                <w:sz w:val="21"/>
                <w:szCs w:val="21"/>
              </w:rPr>
              <w:t>58</w:t>
            </w:r>
          </w:p>
        </w:tc>
        <w:tc>
          <w:tcPr>
            <w:tcW w:w="766" w:type="pct"/>
            <w:tcMar>
              <w:left w:w="28" w:type="dxa"/>
              <w:right w:w="28" w:type="dxa"/>
            </w:tcMar>
            <w:vAlign w:val="center"/>
          </w:tcPr>
          <w:p w14:paraId="65055F6B">
            <w:pPr>
              <w:widowControl/>
              <w:adjustRightInd w:val="0"/>
              <w:snapToGrid w:val="0"/>
              <w:jc w:val="center"/>
              <w:rPr>
                <w:rFonts w:ascii="Times New Roman"/>
                <w:kern w:val="0"/>
                <w:sz w:val="21"/>
                <w:szCs w:val="21"/>
              </w:rPr>
            </w:pPr>
            <w:r>
              <w:rPr>
                <w:rFonts w:hint="eastAsia" w:ascii="Times New Roman"/>
                <w:kern w:val="0"/>
                <w:sz w:val="21"/>
                <w:szCs w:val="21"/>
              </w:rPr>
              <w:t>42</w:t>
            </w:r>
          </w:p>
        </w:tc>
        <w:tc>
          <w:tcPr>
            <w:tcW w:w="739" w:type="pct"/>
            <w:tcMar>
              <w:left w:w="28" w:type="dxa"/>
              <w:right w:w="28" w:type="dxa"/>
            </w:tcMar>
            <w:vAlign w:val="center"/>
          </w:tcPr>
          <w:p w14:paraId="30C98F1A">
            <w:pPr>
              <w:adjustRightInd w:val="0"/>
              <w:snapToGrid w:val="0"/>
              <w:jc w:val="center"/>
              <w:rPr>
                <w:rFonts w:ascii="Times New Roman"/>
                <w:sz w:val="21"/>
                <w:szCs w:val="21"/>
              </w:rPr>
            </w:pPr>
            <w:r>
              <w:rPr>
                <w:rFonts w:hint="eastAsia" w:ascii="Times New Roman"/>
                <w:kern w:val="0"/>
                <w:sz w:val="21"/>
                <w:szCs w:val="21"/>
              </w:rPr>
              <w:t>65</w:t>
            </w:r>
          </w:p>
        </w:tc>
        <w:tc>
          <w:tcPr>
            <w:tcW w:w="486" w:type="pct"/>
            <w:tcMar>
              <w:left w:w="28" w:type="dxa"/>
              <w:right w:w="28" w:type="dxa"/>
            </w:tcMar>
            <w:vAlign w:val="center"/>
          </w:tcPr>
          <w:p w14:paraId="0C8049E0">
            <w:pPr>
              <w:adjustRightInd w:val="0"/>
              <w:snapToGrid w:val="0"/>
              <w:jc w:val="center"/>
              <w:rPr>
                <w:rFonts w:ascii="Times New Roman"/>
                <w:kern w:val="0"/>
                <w:sz w:val="21"/>
                <w:szCs w:val="21"/>
              </w:rPr>
            </w:pPr>
            <w:r>
              <w:rPr>
                <w:rFonts w:ascii="Times New Roman"/>
                <w:kern w:val="0"/>
                <w:sz w:val="21"/>
                <w:szCs w:val="21"/>
              </w:rPr>
              <w:t>/</w:t>
            </w:r>
          </w:p>
        </w:tc>
        <w:tc>
          <w:tcPr>
            <w:tcW w:w="922" w:type="pct"/>
            <w:vAlign w:val="center"/>
          </w:tcPr>
          <w:p w14:paraId="7BC37C67">
            <w:pPr>
              <w:adjustRightInd w:val="0"/>
              <w:snapToGrid w:val="0"/>
              <w:jc w:val="center"/>
              <w:rPr>
                <w:rFonts w:ascii="Times New Roman"/>
                <w:sz w:val="21"/>
                <w:szCs w:val="21"/>
              </w:rPr>
            </w:pPr>
            <w:r>
              <w:rPr>
                <w:rFonts w:ascii="Times New Roman"/>
                <w:sz w:val="21"/>
                <w:szCs w:val="21"/>
              </w:rPr>
              <w:t>1000</w:t>
            </w:r>
          </w:p>
        </w:tc>
      </w:tr>
      <w:tr w14:paraId="5FD5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2" w:type="pct"/>
            <w:vMerge w:val="restart"/>
            <w:vAlign w:val="center"/>
          </w:tcPr>
          <w:p w14:paraId="030E4E54">
            <w:pPr>
              <w:pStyle w:val="1122"/>
              <w:adjustRightInd w:val="0"/>
              <w:snapToGrid w:val="0"/>
              <w:spacing w:line="240" w:lineRule="auto"/>
              <w:rPr>
                <w:rFonts w:cs="Times New Roman"/>
                <w:szCs w:val="21"/>
              </w:rPr>
            </w:pPr>
            <w:r>
              <w:rPr>
                <w:rFonts w:cs="Times New Roman"/>
                <w:szCs w:val="21"/>
              </w:rPr>
              <w:t>非甲烷总烃</w:t>
            </w:r>
          </w:p>
        </w:tc>
        <w:tc>
          <w:tcPr>
            <w:tcW w:w="759" w:type="pct"/>
            <w:tcMar>
              <w:left w:w="28" w:type="dxa"/>
              <w:right w:w="28" w:type="dxa"/>
            </w:tcMar>
            <w:vAlign w:val="center"/>
          </w:tcPr>
          <w:p w14:paraId="48DFF4A4">
            <w:pPr>
              <w:widowControl/>
              <w:adjustRightInd w:val="0"/>
              <w:snapToGrid w:val="0"/>
              <w:jc w:val="center"/>
              <w:rPr>
                <w:rFonts w:ascii="Times New Roman"/>
                <w:kern w:val="0"/>
                <w:sz w:val="21"/>
                <w:szCs w:val="21"/>
              </w:rPr>
            </w:pPr>
            <w:r>
              <w:rPr>
                <w:rFonts w:hint="eastAsia" w:ascii="Times New Roman"/>
                <w:kern w:val="0"/>
                <w:sz w:val="21"/>
                <w:szCs w:val="21"/>
              </w:rPr>
              <w:t>48</w:t>
            </w:r>
          </w:p>
        </w:tc>
        <w:tc>
          <w:tcPr>
            <w:tcW w:w="753" w:type="pct"/>
            <w:tcMar>
              <w:left w:w="28" w:type="dxa"/>
              <w:right w:w="28" w:type="dxa"/>
            </w:tcMar>
            <w:vAlign w:val="center"/>
          </w:tcPr>
          <w:p w14:paraId="3D60150D">
            <w:pPr>
              <w:widowControl/>
              <w:adjustRightInd w:val="0"/>
              <w:snapToGrid w:val="0"/>
              <w:jc w:val="center"/>
              <w:rPr>
                <w:rFonts w:ascii="Times New Roman"/>
                <w:kern w:val="0"/>
                <w:sz w:val="21"/>
                <w:szCs w:val="21"/>
              </w:rPr>
            </w:pPr>
            <w:r>
              <w:rPr>
                <w:rFonts w:hint="eastAsia" w:ascii="Times New Roman"/>
                <w:kern w:val="0"/>
                <w:sz w:val="21"/>
                <w:szCs w:val="21"/>
              </w:rPr>
              <w:t>42</w:t>
            </w:r>
          </w:p>
        </w:tc>
        <w:tc>
          <w:tcPr>
            <w:tcW w:w="766" w:type="pct"/>
            <w:tcMar>
              <w:left w:w="28" w:type="dxa"/>
              <w:right w:w="28" w:type="dxa"/>
            </w:tcMar>
            <w:vAlign w:val="center"/>
          </w:tcPr>
          <w:p w14:paraId="2344B879">
            <w:pPr>
              <w:widowControl/>
              <w:adjustRightInd w:val="0"/>
              <w:snapToGrid w:val="0"/>
              <w:jc w:val="center"/>
              <w:rPr>
                <w:rFonts w:ascii="Times New Roman"/>
                <w:kern w:val="0"/>
                <w:sz w:val="21"/>
                <w:szCs w:val="21"/>
              </w:rPr>
            </w:pPr>
            <w:r>
              <w:rPr>
                <w:rFonts w:hint="eastAsia" w:ascii="Times New Roman"/>
                <w:kern w:val="0"/>
                <w:sz w:val="21"/>
                <w:szCs w:val="21"/>
              </w:rPr>
              <w:t>36</w:t>
            </w:r>
          </w:p>
        </w:tc>
        <w:tc>
          <w:tcPr>
            <w:tcW w:w="739" w:type="pct"/>
            <w:tcMar>
              <w:left w:w="28" w:type="dxa"/>
              <w:right w:w="28" w:type="dxa"/>
            </w:tcMar>
            <w:vAlign w:val="center"/>
          </w:tcPr>
          <w:p w14:paraId="0FC748B8">
            <w:pPr>
              <w:adjustRightInd w:val="0"/>
              <w:snapToGrid w:val="0"/>
              <w:jc w:val="center"/>
              <w:rPr>
                <w:rFonts w:ascii="Times New Roman"/>
                <w:sz w:val="21"/>
                <w:szCs w:val="21"/>
              </w:rPr>
            </w:pPr>
            <w:r>
              <w:rPr>
                <w:rFonts w:hint="eastAsia" w:ascii="Times New Roman"/>
                <w:kern w:val="0"/>
                <w:sz w:val="21"/>
                <w:szCs w:val="21"/>
              </w:rPr>
              <w:t>45</w:t>
            </w:r>
          </w:p>
        </w:tc>
        <w:tc>
          <w:tcPr>
            <w:tcW w:w="486" w:type="pct"/>
            <w:tcMar>
              <w:left w:w="28" w:type="dxa"/>
              <w:right w:w="28" w:type="dxa"/>
            </w:tcMar>
            <w:vAlign w:val="center"/>
          </w:tcPr>
          <w:p w14:paraId="3BD01E00">
            <w:pPr>
              <w:adjustRightInd w:val="0"/>
              <w:snapToGrid w:val="0"/>
              <w:jc w:val="center"/>
              <w:rPr>
                <w:rFonts w:ascii="Times New Roman"/>
                <w:kern w:val="0"/>
                <w:sz w:val="21"/>
                <w:szCs w:val="21"/>
              </w:rPr>
            </w:pPr>
            <w:r>
              <w:rPr>
                <w:rFonts w:ascii="Times New Roman"/>
                <w:kern w:val="0"/>
                <w:sz w:val="21"/>
                <w:szCs w:val="21"/>
              </w:rPr>
              <w:t>/</w:t>
            </w:r>
          </w:p>
        </w:tc>
        <w:tc>
          <w:tcPr>
            <w:tcW w:w="922" w:type="pct"/>
            <w:vAlign w:val="center"/>
          </w:tcPr>
          <w:p w14:paraId="6D72DCC4">
            <w:pPr>
              <w:adjustRightInd w:val="0"/>
              <w:snapToGrid w:val="0"/>
              <w:jc w:val="center"/>
              <w:rPr>
                <w:rFonts w:ascii="Times New Roman"/>
                <w:sz w:val="21"/>
                <w:szCs w:val="21"/>
              </w:rPr>
            </w:pPr>
            <w:r>
              <w:rPr>
                <w:rFonts w:ascii="Times New Roman"/>
                <w:sz w:val="21"/>
                <w:szCs w:val="21"/>
              </w:rPr>
              <w:t>2000</w:t>
            </w:r>
          </w:p>
        </w:tc>
      </w:tr>
      <w:tr w14:paraId="48A2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2" w:type="pct"/>
            <w:vMerge w:val="continue"/>
            <w:vAlign w:val="center"/>
          </w:tcPr>
          <w:p w14:paraId="4BCE98D5">
            <w:pPr>
              <w:pStyle w:val="1122"/>
              <w:adjustRightInd w:val="0"/>
              <w:snapToGrid w:val="0"/>
              <w:spacing w:line="240" w:lineRule="auto"/>
              <w:rPr>
                <w:rFonts w:cs="Times New Roman"/>
                <w:szCs w:val="21"/>
              </w:rPr>
            </w:pPr>
          </w:p>
        </w:tc>
        <w:tc>
          <w:tcPr>
            <w:tcW w:w="759" w:type="pct"/>
            <w:vMerge w:val="restart"/>
            <w:tcMar>
              <w:left w:w="28" w:type="dxa"/>
              <w:right w:w="28" w:type="dxa"/>
            </w:tcMar>
            <w:vAlign w:val="center"/>
          </w:tcPr>
          <w:p w14:paraId="69713249">
            <w:pPr>
              <w:widowControl/>
              <w:adjustRightInd w:val="0"/>
              <w:snapToGrid w:val="0"/>
              <w:jc w:val="center"/>
              <w:rPr>
                <w:rFonts w:ascii="Times New Roman"/>
                <w:kern w:val="0"/>
                <w:sz w:val="21"/>
                <w:szCs w:val="21"/>
              </w:rPr>
            </w:pPr>
            <w:r>
              <w:rPr>
                <w:rFonts w:ascii="Times New Roman"/>
                <w:kern w:val="0"/>
                <w:sz w:val="21"/>
                <w:szCs w:val="21"/>
              </w:rPr>
              <w:t>/</w:t>
            </w:r>
          </w:p>
        </w:tc>
        <w:tc>
          <w:tcPr>
            <w:tcW w:w="753" w:type="pct"/>
            <w:vMerge w:val="restart"/>
            <w:tcMar>
              <w:left w:w="28" w:type="dxa"/>
              <w:right w:w="28" w:type="dxa"/>
            </w:tcMar>
            <w:vAlign w:val="center"/>
          </w:tcPr>
          <w:p w14:paraId="160D3E0C">
            <w:pPr>
              <w:widowControl/>
              <w:adjustRightInd w:val="0"/>
              <w:snapToGrid w:val="0"/>
              <w:jc w:val="center"/>
              <w:rPr>
                <w:rFonts w:ascii="Times New Roman"/>
                <w:kern w:val="0"/>
                <w:sz w:val="21"/>
                <w:szCs w:val="21"/>
              </w:rPr>
            </w:pPr>
            <w:r>
              <w:rPr>
                <w:rFonts w:ascii="Times New Roman"/>
                <w:kern w:val="0"/>
                <w:sz w:val="21"/>
                <w:szCs w:val="21"/>
              </w:rPr>
              <w:t>/</w:t>
            </w:r>
          </w:p>
        </w:tc>
        <w:tc>
          <w:tcPr>
            <w:tcW w:w="766" w:type="pct"/>
            <w:vMerge w:val="restart"/>
            <w:tcMar>
              <w:left w:w="28" w:type="dxa"/>
              <w:right w:w="28" w:type="dxa"/>
            </w:tcMar>
            <w:vAlign w:val="center"/>
          </w:tcPr>
          <w:p w14:paraId="65ADC94B">
            <w:pPr>
              <w:widowControl/>
              <w:adjustRightInd w:val="0"/>
              <w:snapToGrid w:val="0"/>
              <w:jc w:val="center"/>
              <w:rPr>
                <w:rFonts w:ascii="Times New Roman"/>
                <w:kern w:val="0"/>
                <w:sz w:val="21"/>
                <w:szCs w:val="21"/>
              </w:rPr>
            </w:pPr>
            <w:r>
              <w:rPr>
                <w:rFonts w:ascii="Times New Roman"/>
                <w:kern w:val="0"/>
                <w:sz w:val="21"/>
                <w:szCs w:val="21"/>
              </w:rPr>
              <w:t>/</w:t>
            </w:r>
          </w:p>
        </w:tc>
        <w:tc>
          <w:tcPr>
            <w:tcW w:w="739" w:type="pct"/>
            <w:vMerge w:val="restart"/>
            <w:tcMar>
              <w:left w:w="28" w:type="dxa"/>
              <w:right w:w="28" w:type="dxa"/>
            </w:tcMar>
            <w:vAlign w:val="center"/>
          </w:tcPr>
          <w:p w14:paraId="0E76C540">
            <w:pPr>
              <w:adjustRightInd w:val="0"/>
              <w:snapToGrid w:val="0"/>
              <w:jc w:val="center"/>
              <w:rPr>
                <w:rFonts w:ascii="Times New Roman"/>
                <w:kern w:val="0"/>
                <w:sz w:val="21"/>
                <w:szCs w:val="21"/>
              </w:rPr>
            </w:pPr>
            <w:r>
              <w:rPr>
                <w:rFonts w:ascii="Times New Roman"/>
                <w:kern w:val="0"/>
                <w:sz w:val="21"/>
                <w:szCs w:val="21"/>
              </w:rPr>
              <w:t>/</w:t>
            </w:r>
          </w:p>
        </w:tc>
        <w:tc>
          <w:tcPr>
            <w:tcW w:w="486" w:type="pct"/>
            <w:vMerge w:val="restart"/>
            <w:tcMar>
              <w:left w:w="28" w:type="dxa"/>
              <w:right w:w="28" w:type="dxa"/>
            </w:tcMar>
            <w:vAlign w:val="center"/>
          </w:tcPr>
          <w:p w14:paraId="30E0D22D">
            <w:pPr>
              <w:adjustRightInd w:val="0"/>
              <w:snapToGrid w:val="0"/>
              <w:jc w:val="center"/>
              <w:rPr>
                <w:rFonts w:ascii="Times New Roman"/>
                <w:kern w:val="0"/>
                <w:sz w:val="21"/>
                <w:szCs w:val="21"/>
              </w:rPr>
            </w:pPr>
            <w:r>
              <w:rPr>
                <w:rFonts w:hint="eastAsia" w:ascii="Times New Roman"/>
                <w:kern w:val="0"/>
                <w:sz w:val="21"/>
                <w:szCs w:val="21"/>
              </w:rPr>
              <w:t>56</w:t>
            </w:r>
          </w:p>
        </w:tc>
        <w:tc>
          <w:tcPr>
            <w:tcW w:w="922" w:type="pct"/>
            <w:vAlign w:val="center"/>
          </w:tcPr>
          <w:p w14:paraId="60A975E1">
            <w:pPr>
              <w:adjustRightInd w:val="0"/>
              <w:snapToGrid w:val="0"/>
              <w:jc w:val="center"/>
              <w:rPr>
                <w:rFonts w:ascii="Times New Roman"/>
                <w:sz w:val="21"/>
                <w:szCs w:val="21"/>
              </w:rPr>
            </w:pPr>
            <w:r>
              <w:rPr>
                <w:rFonts w:ascii="Times New Roman"/>
                <w:sz w:val="21"/>
                <w:szCs w:val="21"/>
              </w:rPr>
              <w:t>1h平均：6000</w:t>
            </w:r>
          </w:p>
        </w:tc>
      </w:tr>
      <w:tr w14:paraId="72D5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2" w:type="pct"/>
            <w:vMerge w:val="continue"/>
            <w:vAlign w:val="center"/>
          </w:tcPr>
          <w:p w14:paraId="08E61B9A">
            <w:pPr>
              <w:pStyle w:val="1122"/>
              <w:adjustRightInd w:val="0"/>
              <w:snapToGrid w:val="0"/>
              <w:spacing w:line="240" w:lineRule="auto"/>
              <w:rPr>
                <w:rFonts w:cs="Times New Roman"/>
                <w:szCs w:val="21"/>
              </w:rPr>
            </w:pPr>
          </w:p>
        </w:tc>
        <w:tc>
          <w:tcPr>
            <w:tcW w:w="759" w:type="pct"/>
            <w:vMerge w:val="continue"/>
            <w:tcMar>
              <w:left w:w="28" w:type="dxa"/>
              <w:right w:w="28" w:type="dxa"/>
            </w:tcMar>
            <w:vAlign w:val="center"/>
          </w:tcPr>
          <w:p w14:paraId="41114297">
            <w:pPr>
              <w:widowControl/>
              <w:adjustRightInd w:val="0"/>
              <w:snapToGrid w:val="0"/>
              <w:jc w:val="center"/>
              <w:rPr>
                <w:rFonts w:ascii="Times New Roman"/>
                <w:kern w:val="0"/>
                <w:sz w:val="21"/>
                <w:szCs w:val="21"/>
              </w:rPr>
            </w:pPr>
          </w:p>
        </w:tc>
        <w:tc>
          <w:tcPr>
            <w:tcW w:w="753" w:type="pct"/>
            <w:vMerge w:val="continue"/>
            <w:tcMar>
              <w:left w:w="28" w:type="dxa"/>
              <w:right w:w="28" w:type="dxa"/>
            </w:tcMar>
            <w:vAlign w:val="center"/>
          </w:tcPr>
          <w:p w14:paraId="59B06883">
            <w:pPr>
              <w:widowControl/>
              <w:adjustRightInd w:val="0"/>
              <w:snapToGrid w:val="0"/>
              <w:jc w:val="center"/>
              <w:rPr>
                <w:rFonts w:ascii="Times New Roman"/>
                <w:kern w:val="0"/>
                <w:sz w:val="21"/>
                <w:szCs w:val="21"/>
              </w:rPr>
            </w:pPr>
          </w:p>
        </w:tc>
        <w:tc>
          <w:tcPr>
            <w:tcW w:w="766" w:type="pct"/>
            <w:vMerge w:val="continue"/>
            <w:tcMar>
              <w:left w:w="28" w:type="dxa"/>
              <w:right w:w="28" w:type="dxa"/>
            </w:tcMar>
            <w:vAlign w:val="center"/>
          </w:tcPr>
          <w:p w14:paraId="1EC94E39">
            <w:pPr>
              <w:widowControl/>
              <w:adjustRightInd w:val="0"/>
              <w:snapToGrid w:val="0"/>
              <w:jc w:val="center"/>
              <w:rPr>
                <w:rFonts w:ascii="Times New Roman"/>
                <w:kern w:val="0"/>
                <w:sz w:val="21"/>
                <w:szCs w:val="21"/>
              </w:rPr>
            </w:pPr>
          </w:p>
        </w:tc>
        <w:tc>
          <w:tcPr>
            <w:tcW w:w="739" w:type="pct"/>
            <w:vMerge w:val="continue"/>
            <w:tcMar>
              <w:left w:w="28" w:type="dxa"/>
              <w:right w:w="28" w:type="dxa"/>
            </w:tcMar>
            <w:vAlign w:val="center"/>
          </w:tcPr>
          <w:p w14:paraId="3F3B7533">
            <w:pPr>
              <w:adjustRightInd w:val="0"/>
              <w:snapToGrid w:val="0"/>
              <w:jc w:val="center"/>
              <w:rPr>
                <w:rFonts w:ascii="Times New Roman"/>
                <w:kern w:val="0"/>
                <w:sz w:val="21"/>
                <w:szCs w:val="21"/>
              </w:rPr>
            </w:pPr>
          </w:p>
        </w:tc>
        <w:tc>
          <w:tcPr>
            <w:tcW w:w="486" w:type="pct"/>
            <w:vMerge w:val="continue"/>
            <w:tcMar>
              <w:left w:w="28" w:type="dxa"/>
              <w:right w:w="28" w:type="dxa"/>
            </w:tcMar>
            <w:vAlign w:val="center"/>
          </w:tcPr>
          <w:p w14:paraId="2F324628">
            <w:pPr>
              <w:adjustRightInd w:val="0"/>
              <w:snapToGrid w:val="0"/>
              <w:jc w:val="center"/>
              <w:rPr>
                <w:rFonts w:ascii="Times New Roman"/>
                <w:kern w:val="0"/>
                <w:sz w:val="21"/>
                <w:szCs w:val="21"/>
              </w:rPr>
            </w:pPr>
          </w:p>
        </w:tc>
        <w:tc>
          <w:tcPr>
            <w:tcW w:w="922" w:type="pct"/>
            <w:vAlign w:val="center"/>
          </w:tcPr>
          <w:p w14:paraId="35383194">
            <w:pPr>
              <w:adjustRightInd w:val="0"/>
              <w:snapToGrid w:val="0"/>
              <w:jc w:val="center"/>
              <w:rPr>
                <w:rFonts w:ascii="Times New Roman"/>
                <w:sz w:val="21"/>
                <w:szCs w:val="21"/>
              </w:rPr>
            </w:pPr>
            <w:r>
              <w:rPr>
                <w:rFonts w:ascii="Times New Roman"/>
                <w:sz w:val="21"/>
                <w:szCs w:val="21"/>
              </w:rPr>
              <w:t>任意值：20000</w:t>
            </w:r>
          </w:p>
        </w:tc>
      </w:tr>
      <w:tr w14:paraId="484B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2" w:type="pct"/>
            <w:vAlign w:val="center"/>
          </w:tcPr>
          <w:p w14:paraId="6285FD3F">
            <w:pPr>
              <w:pStyle w:val="1122"/>
              <w:adjustRightInd w:val="0"/>
              <w:snapToGrid w:val="0"/>
              <w:spacing w:line="240" w:lineRule="auto"/>
              <w:rPr>
                <w:rFonts w:cs="Times New Roman"/>
                <w:szCs w:val="21"/>
              </w:rPr>
            </w:pPr>
            <w:r>
              <w:rPr>
                <w:rFonts w:hint="eastAsia" w:cs="Times New Roman"/>
                <w:szCs w:val="21"/>
              </w:rPr>
              <w:t>二甲苯</w:t>
            </w:r>
          </w:p>
        </w:tc>
        <w:tc>
          <w:tcPr>
            <w:tcW w:w="759" w:type="pct"/>
            <w:tcMar>
              <w:left w:w="28" w:type="dxa"/>
              <w:right w:w="28" w:type="dxa"/>
            </w:tcMar>
            <w:vAlign w:val="center"/>
          </w:tcPr>
          <w:p w14:paraId="10D7866C">
            <w:pPr>
              <w:widowControl/>
              <w:adjustRightInd w:val="0"/>
              <w:snapToGrid w:val="0"/>
              <w:jc w:val="center"/>
              <w:rPr>
                <w:rFonts w:ascii="Times New Roman"/>
                <w:kern w:val="0"/>
                <w:sz w:val="21"/>
                <w:szCs w:val="21"/>
              </w:rPr>
            </w:pPr>
            <w:r>
              <w:rPr>
                <w:rFonts w:hint="eastAsia" w:ascii="Times New Roman"/>
                <w:kern w:val="0"/>
                <w:sz w:val="21"/>
                <w:szCs w:val="21"/>
              </w:rPr>
              <w:t>11</w:t>
            </w:r>
          </w:p>
        </w:tc>
        <w:tc>
          <w:tcPr>
            <w:tcW w:w="753" w:type="pct"/>
            <w:tcMar>
              <w:left w:w="28" w:type="dxa"/>
              <w:right w:w="28" w:type="dxa"/>
            </w:tcMar>
            <w:vAlign w:val="center"/>
          </w:tcPr>
          <w:p w14:paraId="30B9A605">
            <w:pPr>
              <w:widowControl/>
              <w:adjustRightInd w:val="0"/>
              <w:snapToGrid w:val="0"/>
              <w:jc w:val="center"/>
              <w:rPr>
                <w:rFonts w:ascii="Times New Roman"/>
                <w:kern w:val="0"/>
                <w:sz w:val="21"/>
                <w:szCs w:val="21"/>
              </w:rPr>
            </w:pPr>
            <w:r>
              <w:rPr>
                <w:rFonts w:hint="eastAsia" w:ascii="Times New Roman"/>
                <w:kern w:val="0"/>
                <w:sz w:val="21"/>
                <w:szCs w:val="21"/>
              </w:rPr>
              <w:t>12</w:t>
            </w:r>
          </w:p>
        </w:tc>
        <w:tc>
          <w:tcPr>
            <w:tcW w:w="766" w:type="pct"/>
            <w:tcMar>
              <w:left w:w="28" w:type="dxa"/>
              <w:right w:w="28" w:type="dxa"/>
            </w:tcMar>
            <w:vAlign w:val="center"/>
          </w:tcPr>
          <w:p w14:paraId="53E4D62C">
            <w:pPr>
              <w:widowControl/>
              <w:adjustRightInd w:val="0"/>
              <w:snapToGrid w:val="0"/>
              <w:jc w:val="center"/>
              <w:rPr>
                <w:rFonts w:ascii="Times New Roman"/>
                <w:kern w:val="0"/>
                <w:sz w:val="21"/>
                <w:szCs w:val="21"/>
              </w:rPr>
            </w:pPr>
            <w:r>
              <w:rPr>
                <w:rFonts w:hint="eastAsia" w:ascii="Times New Roman"/>
                <w:kern w:val="0"/>
                <w:sz w:val="21"/>
                <w:szCs w:val="21"/>
              </w:rPr>
              <w:t>8</w:t>
            </w:r>
          </w:p>
        </w:tc>
        <w:tc>
          <w:tcPr>
            <w:tcW w:w="739" w:type="pct"/>
            <w:tcMar>
              <w:left w:w="28" w:type="dxa"/>
              <w:right w:w="28" w:type="dxa"/>
            </w:tcMar>
            <w:vAlign w:val="center"/>
          </w:tcPr>
          <w:p w14:paraId="0DBD541C">
            <w:pPr>
              <w:adjustRightInd w:val="0"/>
              <w:snapToGrid w:val="0"/>
              <w:jc w:val="center"/>
              <w:rPr>
                <w:rFonts w:ascii="Times New Roman"/>
                <w:sz w:val="21"/>
                <w:szCs w:val="21"/>
              </w:rPr>
            </w:pPr>
            <w:r>
              <w:rPr>
                <w:rFonts w:hint="eastAsia" w:ascii="Times New Roman"/>
                <w:sz w:val="21"/>
                <w:szCs w:val="21"/>
              </w:rPr>
              <w:t>14</w:t>
            </w:r>
          </w:p>
        </w:tc>
        <w:tc>
          <w:tcPr>
            <w:tcW w:w="486" w:type="pct"/>
            <w:tcMar>
              <w:left w:w="28" w:type="dxa"/>
              <w:right w:w="28" w:type="dxa"/>
            </w:tcMar>
            <w:vAlign w:val="center"/>
          </w:tcPr>
          <w:p w14:paraId="1B29F3AF">
            <w:pPr>
              <w:adjustRightInd w:val="0"/>
              <w:snapToGrid w:val="0"/>
              <w:jc w:val="center"/>
              <w:rPr>
                <w:rFonts w:ascii="Times New Roman"/>
                <w:kern w:val="0"/>
                <w:sz w:val="21"/>
                <w:szCs w:val="21"/>
              </w:rPr>
            </w:pPr>
            <w:r>
              <w:rPr>
                <w:rFonts w:ascii="Times New Roman"/>
                <w:kern w:val="0"/>
                <w:sz w:val="21"/>
                <w:szCs w:val="21"/>
              </w:rPr>
              <w:t>/</w:t>
            </w:r>
          </w:p>
        </w:tc>
        <w:tc>
          <w:tcPr>
            <w:tcW w:w="922" w:type="pct"/>
            <w:vAlign w:val="center"/>
          </w:tcPr>
          <w:p w14:paraId="0C5BA408">
            <w:pPr>
              <w:adjustRightInd w:val="0"/>
              <w:snapToGrid w:val="0"/>
              <w:jc w:val="center"/>
              <w:rPr>
                <w:rFonts w:ascii="Times New Roman"/>
                <w:sz w:val="21"/>
                <w:szCs w:val="21"/>
              </w:rPr>
            </w:pPr>
            <w:r>
              <w:rPr>
                <w:rFonts w:hint="eastAsia" w:ascii="Times New Roman"/>
                <w:sz w:val="21"/>
                <w:szCs w:val="21"/>
              </w:rPr>
              <w:t>200</w:t>
            </w:r>
          </w:p>
        </w:tc>
      </w:tr>
    </w:tbl>
    <w:p w14:paraId="35A9211F">
      <w:pPr>
        <w:snapToGrid w:val="0"/>
        <w:spacing w:line="360" w:lineRule="auto"/>
        <w:ind w:firstLine="500" w:firstLineChars="200"/>
        <w:rPr>
          <w:rFonts w:ascii="Times New Roman"/>
        </w:rPr>
      </w:pPr>
      <w:r>
        <w:rPr>
          <w:rFonts w:ascii="Times New Roman"/>
        </w:rPr>
        <w:t>由上表得知，厂界非甲烷总烃</w:t>
      </w:r>
      <w:r>
        <w:rPr>
          <w:rFonts w:hint="eastAsia" w:ascii="Times New Roman"/>
        </w:rPr>
        <w:t>、二甲苯</w:t>
      </w:r>
      <w:r>
        <w:rPr>
          <w:rFonts w:ascii="Times New Roman"/>
        </w:rPr>
        <w:t>贡献浓度满足</w:t>
      </w:r>
      <w:r>
        <w:rPr>
          <w:rFonts w:ascii="Times New Roman"/>
          <w:kern w:val="0"/>
          <w:szCs w:val="24"/>
        </w:rPr>
        <w:t>《工业企业挥发性有机物排放控制标准》(GB13/2322-2016)表2其他企业标准，</w:t>
      </w:r>
      <w:r>
        <w:rPr>
          <w:rFonts w:ascii="Times New Roman"/>
          <w:sz w:val="24"/>
          <w:szCs w:val="24"/>
        </w:rPr>
        <w:t>厂区内非甲烷总烃无组织排放满足《挥发性有机物无组织排放控制标准》（GB37822-2019）</w:t>
      </w:r>
      <w:r>
        <w:rPr>
          <w:rFonts w:ascii="Times New Roman"/>
          <w:kern w:val="0"/>
          <w:szCs w:val="24"/>
        </w:rPr>
        <w:t>；</w:t>
      </w:r>
      <w:r>
        <w:rPr>
          <w:rFonts w:ascii="Times New Roman"/>
        </w:rPr>
        <w:t>颗粒物贡献浓度满足《钢铁工业大气污染物超低排放标准》（DB13/2169-2018）表5企业大气污染物无组织排放浓度</w:t>
      </w:r>
      <w:r>
        <w:rPr>
          <w:rFonts w:hint="eastAsia" w:ascii="Times New Roman"/>
        </w:rPr>
        <w:t>要求</w:t>
      </w:r>
      <w:r>
        <w:rPr>
          <w:rFonts w:ascii="Times New Roman"/>
          <w:kern w:val="0"/>
          <w:szCs w:val="24"/>
        </w:rPr>
        <w:t>。</w:t>
      </w:r>
    </w:p>
    <w:p w14:paraId="008D93EE">
      <w:pPr>
        <w:snapToGrid w:val="0"/>
        <w:spacing w:line="360" w:lineRule="auto"/>
        <w:ind w:firstLine="500" w:firstLineChars="200"/>
        <w:rPr>
          <w:rFonts w:ascii="Times New Roman"/>
        </w:rPr>
      </w:pPr>
      <w:r>
        <w:rPr>
          <w:rFonts w:ascii="Times New Roman"/>
        </w:rPr>
        <w:t>（</w:t>
      </w:r>
      <w:r>
        <w:rPr>
          <w:rFonts w:hint="eastAsia" w:ascii="Times New Roman"/>
        </w:rPr>
        <w:t>3</w:t>
      </w:r>
      <w:r>
        <w:rPr>
          <w:rFonts w:ascii="Times New Roman"/>
        </w:rPr>
        <w:t>）</w:t>
      </w:r>
      <w:r>
        <w:rPr>
          <w:rFonts w:ascii="Times New Roman"/>
          <w:szCs w:val="22"/>
        </w:rPr>
        <w:t>大气环境防护距离</w:t>
      </w:r>
    </w:p>
    <w:p w14:paraId="32B9AE47">
      <w:pPr>
        <w:pStyle w:val="154"/>
        <w:spacing w:line="360" w:lineRule="auto"/>
        <w:ind w:firstLine="480" w:firstLineChars="200"/>
        <w:jc w:val="both"/>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根据《环境影响评价技术导则 大气导则》（HJ2.2-2018）8.7.5，对于项目厂界浓度满足大气污染物厂界浓度限值，但厂界外大气环境污染物短期浓度贡献值超过质量浓度限值的，可自厂界向外设置一定范围的大气环境防护区域，以确保大气环境防护区域外的污染物贡献浓度满足环境质量标准。</w:t>
      </w:r>
    </w:p>
    <w:p w14:paraId="58E8BD99">
      <w:pPr>
        <w:pStyle w:val="154"/>
        <w:spacing w:line="360" w:lineRule="auto"/>
        <w:ind w:firstLine="480" w:firstLineChars="200"/>
        <w:jc w:val="both"/>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正常工况下，本项目各污染物在厂界外短期贡献浓度均满足相关质量标准，项目无需设置大气环境防护距离。</w:t>
      </w:r>
    </w:p>
    <w:p w14:paraId="15DD8F8E">
      <w:pPr>
        <w:pStyle w:val="6"/>
        <w:spacing w:beforeLines="0" w:afterLines="0" w:line="360" w:lineRule="auto"/>
        <w:rPr>
          <w:rFonts w:ascii="Times New Roman" w:hAnsi="Times New Roman" w:eastAsia="宋体"/>
          <w:b/>
          <w:color w:val="auto"/>
        </w:rPr>
      </w:pPr>
      <w:r>
        <w:rPr>
          <w:rFonts w:ascii="Times New Roman" w:hAnsi="Times New Roman" w:eastAsia="宋体"/>
          <w:b/>
          <w:color w:val="auto"/>
        </w:rPr>
        <w:t>5.2.1.4大气污染物排放量核算</w:t>
      </w:r>
    </w:p>
    <w:p w14:paraId="767633B3">
      <w:pPr>
        <w:spacing w:line="360" w:lineRule="auto"/>
        <w:ind w:firstLine="480" w:firstLineChars="200"/>
        <w:rPr>
          <w:rFonts w:ascii="Times New Roman"/>
          <w:sz w:val="24"/>
          <w:szCs w:val="24"/>
        </w:rPr>
      </w:pPr>
      <w:r>
        <w:rPr>
          <w:rFonts w:ascii="Times New Roman"/>
          <w:sz w:val="24"/>
          <w:szCs w:val="24"/>
        </w:rPr>
        <w:t>大气污染物有组织排放量核算见表5.2</w:t>
      </w:r>
      <w:r>
        <w:rPr>
          <w:rFonts w:hint="eastAsia" w:ascii="Times New Roman"/>
          <w:sz w:val="24"/>
          <w:szCs w:val="24"/>
        </w:rPr>
        <w:t>.1</w:t>
      </w:r>
      <w:r>
        <w:rPr>
          <w:rFonts w:ascii="Times New Roman"/>
          <w:sz w:val="24"/>
          <w:szCs w:val="24"/>
        </w:rPr>
        <w:t>-</w:t>
      </w:r>
      <w:r>
        <w:rPr>
          <w:rFonts w:hint="eastAsia" w:ascii="Times New Roman"/>
          <w:sz w:val="24"/>
          <w:szCs w:val="24"/>
        </w:rPr>
        <w:t>8</w:t>
      </w:r>
      <w:r>
        <w:rPr>
          <w:rFonts w:ascii="Times New Roman"/>
          <w:sz w:val="24"/>
          <w:szCs w:val="24"/>
        </w:rPr>
        <w:t>，大气污染物无组织排放量核算见表5.2</w:t>
      </w:r>
      <w:r>
        <w:rPr>
          <w:rFonts w:hint="eastAsia" w:ascii="Times New Roman"/>
          <w:sz w:val="24"/>
          <w:szCs w:val="24"/>
        </w:rPr>
        <w:t>.1</w:t>
      </w:r>
      <w:r>
        <w:rPr>
          <w:rFonts w:ascii="Times New Roman"/>
          <w:sz w:val="24"/>
          <w:szCs w:val="24"/>
        </w:rPr>
        <w:t>-</w:t>
      </w:r>
      <w:r>
        <w:rPr>
          <w:rFonts w:hint="eastAsia" w:ascii="Times New Roman"/>
          <w:sz w:val="24"/>
          <w:szCs w:val="24"/>
        </w:rPr>
        <w:t>9</w:t>
      </w:r>
      <w:r>
        <w:rPr>
          <w:rFonts w:ascii="Times New Roman"/>
          <w:sz w:val="24"/>
          <w:szCs w:val="24"/>
        </w:rPr>
        <w:t>，大气污染物年排放量核算见表5.2</w:t>
      </w:r>
      <w:r>
        <w:rPr>
          <w:rFonts w:hint="eastAsia" w:ascii="Times New Roman"/>
          <w:sz w:val="24"/>
          <w:szCs w:val="24"/>
        </w:rPr>
        <w:t>.1</w:t>
      </w:r>
      <w:r>
        <w:rPr>
          <w:rFonts w:ascii="Times New Roman"/>
          <w:sz w:val="24"/>
          <w:szCs w:val="24"/>
        </w:rPr>
        <w:t>-</w:t>
      </w:r>
      <w:r>
        <w:rPr>
          <w:rFonts w:hint="eastAsia" w:ascii="Times New Roman"/>
          <w:sz w:val="24"/>
          <w:szCs w:val="24"/>
        </w:rPr>
        <w:t>10</w:t>
      </w:r>
      <w:r>
        <w:rPr>
          <w:rFonts w:ascii="Times New Roman"/>
          <w:sz w:val="24"/>
          <w:szCs w:val="24"/>
        </w:rPr>
        <w:t>。</w:t>
      </w:r>
    </w:p>
    <w:p w14:paraId="20A02E3F">
      <w:pPr>
        <w:snapToGrid w:val="0"/>
        <w:spacing w:line="360" w:lineRule="auto"/>
        <w:ind w:firstLine="482" w:firstLineChars="200"/>
        <w:contextualSpacing/>
        <w:jc w:val="center"/>
        <w:rPr>
          <w:rFonts w:ascii="Times New Roman"/>
          <w:b/>
          <w:bCs/>
          <w:sz w:val="24"/>
          <w:szCs w:val="24"/>
        </w:rPr>
      </w:pPr>
      <w:r>
        <w:rPr>
          <w:rFonts w:ascii="Times New Roman"/>
          <w:b/>
          <w:sz w:val="24"/>
          <w:szCs w:val="24"/>
        </w:rPr>
        <w:t>表5.2</w:t>
      </w:r>
      <w:r>
        <w:rPr>
          <w:rFonts w:hint="eastAsia" w:ascii="Times New Roman"/>
          <w:b/>
          <w:sz w:val="24"/>
          <w:szCs w:val="24"/>
        </w:rPr>
        <w:t>.1</w:t>
      </w:r>
      <w:r>
        <w:rPr>
          <w:rFonts w:ascii="Times New Roman"/>
          <w:b/>
          <w:sz w:val="24"/>
          <w:szCs w:val="24"/>
        </w:rPr>
        <w:t>-</w:t>
      </w:r>
      <w:r>
        <w:rPr>
          <w:rFonts w:hint="eastAsia" w:ascii="Times New Roman"/>
          <w:b/>
          <w:sz w:val="24"/>
          <w:szCs w:val="24"/>
        </w:rPr>
        <w:t>8</w:t>
      </w:r>
      <w:r>
        <w:rPr>
          <w:rFonts w:ascii="Times New Roman"/>
          <w:b/>
          <w:sz w:val="24"/>
          <w:szCs w:val="24"/>
        </w:rPr>
        <w:t xml:space="preserve">  </w:t>
      </w:r>
      <w:r>
        <w:rPr>
          <w:rFonts w:ascii="Times New Roman"/>
          <w:b/>
          <w:bCs/>
          <w:sz w:val="24"/>
          <w:szCs w:val="24"/>
        </w:rPr>
        <w:t>大气污染物有组织排放量核算表</w:t>
      </w:r>
    </w:p>
    <w:tbl>
      <w:tblPr>
        <w:tblStyle w:val="84"/>
        <w:tblW w:w="48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274"/>
        <w:gridCol w:w="1286"/>
        <w:gridCol w:w="1610"/>
        <w:gridCol w:w="1945"/>
        <w:gridCol w:w="1533"/>
      </w:tblGrid>
      <w:tr w14:paraId="36B0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396" w:type="pct"/>
            <w:shd w:val="clear" w:color="auto" w:fill="auto"/>
            <w:vAlign w:val="center"/>
          </w:tcPr>
          <w:p w14:paraId="46B34037">
            <w:pPr>
              <w:snapToGrid w:val="0"/>
              <w:spacing w:line="320" w:lineRule="exact"/>
              <w:contextualSpacing/>
              <w:jc w:val="center"/>
              <w:rPr>
                <w:rFonts w:ascii="Times New Roman"/>
                <w:sz w:val="21"/>
                <w:szCs w:val="21"/>
              </w:rPr>
            </w:pPr>
            <w:r>
              <w:rPr>
                <w:rFonts w:ascii="Times New Roman"/>
                <w:sz w:val="21"/>
                <w:szCs w:val="21"/>
              </w:rPr>
              <w:t>序号</w:t>
            </w:r>
          </w:p>
        </w:tc>
        <w:tc>
          <w:tcPr>
            <w:tcW w:w="766" w:type="pct"/>
            <w:shd w:val="clear" w:color="auto" w:fill="auto"/>
            <w:vAlign w:val="center"/>
          </w:tcPr>
          <w:p w14:paraId="6781CC56">
            <w:pPr>
              <w:snapToGrid w:val="0"/>
              <w:spacing w:line="320" w:lineRule="exact"/>
              <w:contextualSpacing/>
              <w:jc w:val="center"/>
              <w:rPr>
                <w:rFonts w:ascii="Times New Roman"/>
                <w:sz w:val="21"/>
                <w:szCs w:val="21"/>
              </w:rPr>
            </w:pPr>
            <w:r>
              <w:rPr>
                <w:rFonts w:ascii="Times New Roman"/>
                <w:sz w:val="21"/>
                <w:szCs w:val="21"/>
              </w:rPr>
              <w:t>排放口编号</w:t>
            </w:r>
          </w:p>
        </w:tc>
        <w:tc>
          <w:tcPr>
            <w:tcW w:w="774" w:type="pct"/>
            <w:shd w:val="clear" w:color="auto" w:fill="auto"/>
            <w:vAlign w:val="center"/>
          </w:tcPr>
          <w:p w14:paraId="31D1B6CB">
            <w:pPr>
              <w:snapToGrid w:val="0"/>
              <w:spacing w:line="320" w:lineRule="exact"/>
              <w:contextualSpacing/>
              <w:jc w:val="center"/>
              <w:rPr>
                <w:rFonts w:ascii="Times New Roman"/>
                <w:sz w:val="21"/>
                <w:szCs w:val="21"/>
              </w:rPr>
            </w:pPr>
            <w:r>
              <w:rPr>
                <w:rFonts w:ascii="Times New Roman"/>
                <w:sz w:val="21"/>
                <w:szCs w:val="21"/>
              </w:rPr>
              <w:t>污染物</w:t>
            </w:r>
          </w:p>
        </w:tc>
        <w:tc>
          <w:tcPr>
            <w:tcW w:w="969" w:type="pct"/>
            <w:shd w:val="clear" w:color="auto" w:fill="auto"/>
            <w:vAlign w:val="center"/>
          </w:tcPr>
          <w:p w14:paraId="2E3B4886">
            <w:pPr>
              <w:snapToGrid w:val="0"/>
              <w:spacing w:line="320" w:lineRule="exact"/>
              <w:contextualSpacing/>
              <w:jc w:val="center"/>
              <w:rPr>
                <w:rFonts w:ascii="Times New Roman"/>
                <w:sz w:val="21"/>
                <w:szCs w:val="21"/>
              </w:rPr>
            </w:pPr>
            <w:r>
              <w:rPr>
                <w:rFonts w:ascii="Times New Roman"/>
                <w:sz w:val="21"/>
                <w:szCs w:val="21"/>
              </w:rPr>
              <w:t>核算排放浓度/（mg/m</w:t>
            </w:r>
            <w:r>
              <w:rPr>
                <w:rFonts w:ascii="Times New Roman"/>
                <w:sz w:val="21"/>
                <w:szCs w:val="21"/>
                <w:vertAlign w:val="superscript"/>
              </w:rPr>
              <w:t>3</w:t>
            </w:r>
            <w:r>
              <w:rPr>
                <w:rFonts w:ascii="Times New Roman"/>
                <w:sz w:val="21"/>
                <w:szCs w:val="21"/>
              </w:rPr>
              <w:t>）</w:t>
            </w:r>
          </w:p>
        </w:tc>
        <w:tc>
          <w:tcPr>
            <w:tcW w:w="1170" w:type="pct"/>
            <w:shd w:val="clear" w:color="auto" w:fill="auto"/>
            <w:vAlign w:val="center"/>
          </w:tcPr>
          <w:p w14:paraId="1BBE30E7">
            <w:pPr>
              <w:snapToGrid w:val="0"/>
              <w:spacing w:line="320" w:lineRule="exact"/>
              <w:contextualSpacing/>
              <w:jc w:val="center"/>
              <w:rPr>
                <w:rFonts w:ascii="Times New Roman"/>
                <w:sz w:val="21"/>
                <w:szCs w:val="21"/>
              </w:rPr>
            </w:pPr>
            <w:r>
              <w:rPr>
                <w:rFonts w:ascii="Times New Roman"/>
                <w:sz w:val="21"/>
                <w:szCs w:val="21"/>
              </w:rPr>
              <w:t>核算排放速率/（kg/h）</w:t>
            </w:r>
          </w:p>
        </w:tc>
        <w:tc>
          <w:tcPr>
            <w:tcW w:w="922" w:type="pct"/>
            <w:shd w:val="clear" w:color="auto" w:fill="auto"/>
            <w:vAlign w:val="center"/>
          </w:tcPr>
          <w:p w14:paraId="1D3A09AF">
            <w:pPr>
              <w:snapToGrid w:val="0"/>
              <w:spacing w:line="320" w:lineRule="exact"/>
              <w:contextualSpacing/>
              <w:jc w:val="center"/>
              <w:rPr>
                <w:rFonts w:ascii="Times New Roman"/>
                <w:sz w:val="21"/>
                <w:szCs w:val="21"/>
              </w:rPr>
            </w:pPr>
            <w:r>
              <w:rPr>
                <w:rFonts w:ascii="Times New Roman"/>
                <w:sz w:val="21"/>
                <w:szCs w:val="21"/>
              </w:rPr>
              <w:t>核算年排放量/（t/a）</w:t>
            </w:r>
          </w:p>
        </w:tc>
      </w:tr>
      <w:tr w14:paraId="6383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6"/>
            <w:shd w:val="clear" w:color="auto" w:fill="auto"/>
            <w:vAlign w:val="center"/>
          </w:tcPr>
          <w:p w14:paraId="32285AEB">
            <w:pPr>
              <w:snapToGrid w:val="0"/>
              <w:spacing w:line="320" w:lineRule="exact"/>
              <w:contextualSpacing/>
              <w:jc w:val="center"/>
              <w:rPr>
                <w:rFonts w:ascii="Times New Roman"/>
                <w:sz w:val="21"/>
                <w:szCs w:val="21"/>
              </w:rPr>
            </w:pPr>
            <w:r>
              <w:rPr>
                <w:rFonts w:ascii="Times New Roman"/>
                <w:sz w:val="21"/>
                <w:szCs w:val="21"/>
              </w:rPr>
              <w:t>一般排放口</w:t>
            </w:r>
          </w:p>
        </w:tc>
      </w:tr>
      <w:tr w14:paraId="14FA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shd w:val="clear" w:color="auto" w:fill="auto"/>
            <w:vAlign w:val="center"/>
          </w:tcPr>
          <w:p w14:paraId="7DCF83C1">
            <w:pPr>
              <w:snapToGrid w:val="0"/>
              <w:spacing w:line="320" w:lineRule="exact"/>
              <w:contextualSpacing/>
              <w:jc w:val="center"/>
              <w:rPr>
                <w:rFonts w:ascii="Times New Roman"/>
                <w:sz w:val="21"/>
                <w:szCs w:val="21"/>
              </w:rPr>
            </w:pPr>
            <w:r>
              <w:rPr>
                <w:rFonts w:ascii="Times New Roman"/>
                <w:sz w:val="21"/>
                <w:szCs w:val="21"/>
              </w:rPr>
              <w:t>1</w:t>
            </w:r>
          </w:p>
        </w:tc>
        <w:tc>
          <w:tcPr>
            <w:tcW w:w="766" w:type="pct"/>
            <w:shd w:val="clear" w:color="auto" w:fill="auto"/>
            <w:vAlign w:val="center"/>
          </w:tcPr>
          <w:p w14:paraId="2902B1FD">
            <w:pPr>
              <w:snapToGrid w:val="0"/>
              <w:spacing w:line="320" w:lineRule="exact"/>
              <w:contextualSpacing/>
              <w:jc w:val="center"/>
              <w:rPr>
                <w:rFonts w:ascii="Times New Roman"/>
                <w:sz w:val="21"/>
                <w:szCs w:val="21"/>
              </w:rPr>
            </w:pPr>
            <w:r>
              <w:rPr>
                <w:rFonts w:hint="eastAsia" w:ascii="Times New Roman"/>
                <w:sz w:val="21"/>
                <w:szCs w:val="21"/>
              </w:rPr>
              <w:t>DA001</w:t>
            </w:r>
          </w:p>
        </w:tc>
        <w:tc>
          <w:tcPr>
            <w:tcW w:w="774" w:type="pct"/>
            <w:shd w:val="clear" w:color="auto" w:fill="auto"/>
            <w:vAlign w:val="center"/>
          </w:tcPr>
          <w:p w14:paraId="621A0AF1">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32B566A5">
            <w:pPr>
              <w:jc w:val="center"/>
              <w:rPr>
                <w:rFonts w:ascii="Times New Roman"/>
                <w:sz w:val="21"/>
                <w:szCs w:val="21"/>
                <w:lang w:bidi="zh-TW"/>
              </w:rPr>
            </w:pPr>
            <w:r>
              <w:rPr>
                <w:rFonts w:ascii="Times New Roman"/>
                <w:sz w:val="21"/>
                <w:szCs w:val="21"/>
                <w:lang w:bidi="zh-TW"/>
              </w:rPr>
              <w:t>6.</w:t>
            </w:r>
            <w:r>
              <w:rPr>
                <w:rFonts w:hint="eastAsia" w:ascii="Times New Roman"/>
                <w:sz w:val="21"/>
                <w:szCs w:val="21"/>
                <w:lang w:bidi="zh-TW"/>
              </w:rPr>
              <w:t>581</w:t>
            </w:r>
          </w:p>
        </w:tc>
        <w:tc>
          <w:tcPr>
            <w:tcW w:w="1170" w:type="pct"/>
            <w:shd w:val="clear" w:color="auto" w:fill="auto"/>
            <w:vAlign w:val="center"/>
          </w:tcPr>
          <w:p w14:paraId="03BDA8AB">
            <w:pPr>
              <w:jc w:val="center"/>
              <w:rPr>
                <w:rFonts w:ascii="Times New Roman"/>
                <w:sz w:val="21"/>
                <w:szCs w:val="21"/>
                <w:lang w:bidi="zh-TW"/>
              </w:rPr>
            </w:pPr>
            <w:r>
              <w:rPr>
                <w:rFonts w:ascii="Times New Roman"/>
                <w:sz w:val="21"/>
                <w:szCs w:val="21"/>
              </w:rPr>
              <w:t>0.13</w:t>
            </w:r>
            <w:r>
              <w:rPr>
                <w:rFonts w:hint="eastAsia" w:ascii="Times New Roman"/>
                <w:sz w:val="21"/>
                <w:szCs w:val="21"/>
              </w:rPr>
              <w:t>2</w:t>
            </w:r>
          </w:p>
        </w:tc>
        <w:tc>
          <w:tcPr>
            <w:tcW w:w="922" w:type="pct"/>
            <w:shd w:val="clear" w:color="auto" w:fill="auto"/>
            <w:vAlign w:val="center"/>
          </w:tcPr>
          <w:p w14:paraId="2F6E82D7">
            <w:pPr>
              <w:jc w:val="center"/>
              <w:rPr>
                <w:rFonts w:ascii="Times New Roman"/>
                <w:sz w:val="21"/>
                <w:szCs w:val="21"/>
                <w:lang w:bidi="zh-TW"/>
              </w:rPr>
            </w:pPr>
            <w:r>
              <w:rPr>
                <w:rFonts w:ascii="Times New Roman"/>
                <w:sz w:val="21"/>
                <w:szCs w:val="21"/>
                <w:lang w:bidi="zh-TW"/>
              </w:rPr>
              <w:t>0.9</w:t>
            </w:r>
            <w:r>
              <w:rPr>
                <w:rFonts w:hint="eastAsia" w:ascii="Times New Roman"/>
                <w:sz w:val="21"/>
                <w:szCs w:val="21"/>
                <w:lang w:bidi="zh-TW"/>
              </w:rPr>
              <w:t>48</w:t>
            </w:r>
          </w:p>
        </w:tc>
      </w:tr>
      <w:tr w14:paraId="2552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shd w:val="clear" w:color="auto" w:fill="auto"/>
            <w:vAlign w:val="center"/>
          </w:tcPr>
          <w:p w14:paraId="767D5635">
            <w:pPr>
              <w:snapToGrid w:val="0"/>
              <w:spacing w:line="320" w:lineRule="exact"/>
              <w:contextualSpacing/>
              <w:jc w:val="center"/>
              <w:rPr>
                <w:rFonts w:ascii="Times New Roman"/>
                <w:sz w:val="21"/>
                <w:szCs w:val="21"/>
              </w:rPr>
            </w:pPr>
            <w:r>
              <w:rPr>
                <w:rFonts w:ascii="Times New Roman"/>
                <w:sz w:val="21"/>
                <w:szCs w:val="21"/>
              </w:rPr>
              <w:t>2</w:t>
            </w:r>
          </w:p>
        </w:tc>
        <w:tc>
          <w:tcPr>
            <w:tcW w:w="766" w:type="pct"/>
            <w:shd w:val="clear" w:color="auto" w:fill="auto"/>
            <w:vAlign w:val="center"/>
          </w:tcPr>
          <w:p w14:paraId="3C4A37B8">
            <w:pPr>
              <w:snapToGrid w:val="0"/>
              <w:spacing w:line="320" w:lineRule="exact"/>
              <w:contextualSpacing/>
              <w:jc w:val="center"/>
              <w:rPr>
                <w:rFonts w:ascii="Times New Roman"/>
                <w:sz w:val="21"/>
                <w:szCs w:val="21"/>
              </w:rPr>
            </w:pPr>
            <w:r>
              <w:rPr>
                <w:rFonts w:hint="eastAsia" w:ascii="Times New Roman"/>
                <w:sz w:val="21"/>
                <w:szCs w:val="21"/>
              </w:rPr>
              <w:t>DA002</w:t>
            </w:r>
          </w:p>
        </w:tc>
        <w:tc>
          <w:tcPr>
            <w:tcW w:w="774" w:type="pct"/>
            <w:shd w:val="clear" w:color="auto" w:fill="auto"/>
            <w:vAlign w:val="center"/>
          </w:tcPr>
          <w:p w14:paraId="65E65EDA">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1452F9C1">
            <w:pPr>
              <w:jc w:val="center"/>
              <w:rPr>
                <w:rFonts w:ascii="Times New Roman"/>
                <w:sz w:val="21"/>
                <w:szCs w:val="21"/>
                <w:lang w:bidi="zh-TW"/>
              </w:rPr>
            </w:pPr>
            <w:r>
              <w:rPr>
                <w:rFonts w:hint="eastAsia" w:ascii="Times New Roman"/>
                <w:sz w:val="21"/>
                <w:szCs w:val="21"/>
              </w:rPr>
              <w:t>0.126</w:t>
            </w:r>
          </w:p>
        </w:tc>
        <w:tc>
          <w:tcPr>
            <w:tcW w:w="1170" w:type="pct"/>
            <w:shd w:val="clear" w:color="auto" w:fill="auto"/>
            <w:vAlign w:val="center"/>
          </w:tcPr>
          <w:p w14:paraId="00D3A7B3">
            <w:pPr>
              <w:jc w:val="center"/>
              <w:rPr>
                <w:rFonts w:ascii="Times New Roman"/>
                <w:sz w:val="21"/>
                <w:szCs w:val="21"/>
                <w:lang w:bidi="zh-TW"/>
              </w:rPr>
            </w:pPr>
            <w:r>
              <w:rPr>
                <w:rFonts w:hint="eastAsia" w:ascii="Times New Roman"/>
                <w:sz w:val="21"/>
                <w:szCs w:val="21"/>
                <w:lang w:bidi="zh-TW"/>
              </w:rPr>
              <w:t>0.002</w:t>
            </w:r>
          </w:p>
        </w:tc>
        <w:tc>
          <w:tcPr>
            <w:tcW w:w="922" w:type="pct"/>
            <w:shd w:val="clear" w:color="auto" w:fill="auto"/>
            <w:vAlign w:val="center"/>
          </w:tcPr>
          <w:p w14:paraId="0CA45ACD">
            <w:pPr>
              <w:jc w:val="center"/>
              <w:rPr>
                <w:rFonts w:ascii="Times New Roman"/>
                <w:sz w:val="21"/>
                <w:szCs w:val="21"/>
                <w:lang w:bidi="zh-TW"/>
              </w:rPr>
            </w:pPr>
            <w:r>
              <w:rPr>
                <w:rFonts w:hint="eastAsia" w:ascii="Times New Roman"/>
                <w:sz w:val="21"/>
                <w:szCs w:val="21"/>
              </w:rPr>
              <w:t>0.014</w:t>
            </w:r>
          </w:p>
        </w:tc>
      </w:tr>
      <w:tr w14:paraId="605F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shd w:val="clear" w:color="auto" w:fill="auto"/>
            <w:vAlign w:val="center"/>
          </w:tcPr>
          <w:p w14:paraId="12B23937">
            <w:pPr>
              <w:snapToGrid w:val="0"/>
              <w:spacing w:line="320" w:lineRule="exact"/>
              <w:contextualSpacing/>
              <w:jc w:val="center"/>
              <w:rPr>
                <w:rFonts w:ascii="Times New Roman"/>
                <w:sz w:val="21"/>
                <w:szCs w:val="21"/>
              </w:rPr>
            </w:pPr>
            <w:r>
              <w:rPr>
                <w:rFonts w:hint="eastAsia" w:ascii="Times New Roman"/>
                <w:sz w:val="21"/>
                <w:szCs w:val="21"/>
              </w:rPr>
              <w:t>3</w:t>
            </w:r>
          </w:p>
        </w:tc>
        <w:tc>
          <w:tcPr>
            <w:tcW w:w="766" w:type="pct"/>
            <w:shd w:val="clear" w:color="auto" w:fill="auto"/>
            <w:vAlign w:val="center"/>
          </w:tcPr>
          <w:p w14:paraId="72CDE584">
            <w:pPr>
              <w:snapToGrid w:val="0"/>
              <w:spacing w:line="320" w:lineRule="exact"/>
              <w:contextualSpacing/>
              <w:jc w:val="center"/>
              <w:rPr>
                <w:rFonts w:ascii="Times New Roman"/>
                <w:sz w:val="21"/>
                <w:szCs w:val="21"/>
              </w:rPr>
            </w:pPr>
            <w:r>
              <w:rPr>
                <w:rFonts w:hint="eastAsia" w:ascii="Times New Roman"/>
                <w:sz w:val="21"/>
                <w:szCs w:val="21"/>
              </w:rPr>
              <w:t>DA003</w:t>
            </w:r>
          </w:p>
        </w:tc>
        <w:tc>
          <w:tcPr>
            <w:tcW w:w="774" w:type="pct"/>
            <w:shd w:val="clear" w:color="auto" w:fill="auto"/>
            <w:vAlign w:val="center"/>
          </w:tcPr>
          <w:p w14:paraId="366E12FD">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2FC8C821">
            <w:pPr>
              <w:jc w:val="center"/>
              <w:rPr>
                <w:rFonts w:ascii="Times New Roman"/>
                <w:sz w:val="21"/>
                <w:szCs w:val="21"/>
                <w:lang w:bidi="zh-TW"/>
              </w:rPr>
            </w:pPr>
            <w:r>
              <w:rPr>
                <w:rFonts w:hint="eastAsia" w:ascii="Times New Roman"/>
                <w:sz w:val="21"/>
                <w:szCs w:val="21"/>
              </w:rPr>
              <w:t>0.153</w:t>
            </w:r>
          </w:p>
        </w:tc>
        <w:tc>
          <w:tcPr>
            <w:tcW w:w="1170" w:type="pct"/>
            <w:shd w:val="clear" w:color="auto" w:fill="auto"/>
            <w:vAlign w:val="center"/>
          </w:tcPr>
          <w:p w14:paraId="65CA285D">
            <w:pPr>
              <w:jc w:val="center"/>
              <w:rPr>
                <w:rFonts w:ascii="Times New Roman"/>
                <w:sz w:val="21"/>
                <w:szCs w:val="21"/>
                <w:lang w:bidi="zh-TW"/>
              </w:rPr>
            </w:pPr>
            <w:r>
              <w:rPr>
                <w:rFonts w:hint="eastAsia" w:ascii="Times New Roman"/>
                <w:sz w:val="21"/>
                <w:szCs w:val="21"/>
                <w:lang w:bidi="zh-TW"/>
              </w:rPr>
              <w:t>0.002</w:t>
            </w:r>
          </w:p>
        </w:tc>
        <w:tc>
          <w:tcPr>
            <w:tcW w:w="922" w:type="pct"/>
            <w:shd w:val="clear" w:color="auto" w:fill="auto"/>
            <w:vAlign w:val="center"/>
          </w:tcPr>
          <w:p w14:paraId="6EC4AD55">
            <w:pPr>
              <w:jc w:val="center"/>
              <w:rPr>
                <w:rFonts w:ascii="Times New Roman"/>
                <w:sz w:val="21"/>
                <w:szCs w:val="21"/>
                <w:lang w:bidi="zh-TW"/>
              </w:rPr>
            </w:pPr>
            <w:r>
              <w:rPr>
                <w:rFonts w:hint="eastAsia" w:ascii="Times New Roman"/>
                <w:sz w:val="21"/>
                <w:szCs w:val="21"/>
              </w:rPr>
              <w:t>0.016</w:t>
            </w:r>
          </w:p>
        </w:tc>
      </w:tr>
      <w:tr w14:paraId="6E56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shd w:val="clear" w:color="auto" w:fill="auto"/>
            <w:vAlign w:val="center"/>
          </w:tcPr>
          <w:p w14:paraId="0E3E9D59">
            <w:pPr>
              <w:snapToGrid w:val="0"/>
              <w:spacing w:line="320" w:lineRule="exact"/>
              <w:contextualSpacing/>
              <w:jc w:val="center"/>
              <w:rPr>
                <w:rFonts w:ascii="Times New Roman"/>
                <w:sz w:val="21"/>
                <w:szCs w:val="21"/>
              </w:rPr>
            </w:pPr>
            <w:r>
              <w:rPr>
                <w:rFonts w:hint="eastAsia" w:ascii="Times New Roman"/>
                <w:sz w:val="21"/>
                <w:szCs w:val="21"/>
              </w:rPr>
              <w:t>4</w:t>
            </w:r>
          </w:p>
        </w:tc>
        <w:tc>
          <w:tcPr>
            <w:tcW w:w="766" w:type="pct"/>
            <w:shd w:val="clear" w:color="auto" w:fill="auto"/>
            <w:vAlign w:val="center"/>
          </w:tcPr>
          <w:p w14:paraId="659255E5">
            <w:pPr>
              <w:snapToGrid w:val="0"/>
              <w:spacing w:line="320" w:lineRule="exact"/>
              <w:contextualSpacing/>
              <w:jc w:val="center"/>
              <w:rPr>
                <w:rFonts w:ascii="Times New Roman"/>
                <w:sz w:val="21"/>
                <w:szCs w:val="21"/>
              </w:rPr>
            </w:pPr>
            <w:r>
              <w:rPr>
                <w:rFonts w:hint="eastAsia" w:ascii="Times New Roman"/>
                <w:sz w:val="21"/>
                <w:szCs w:val="21"/>
              </w:rPr>
              <w:t>DA004</w:t>
            </w:r>
          </w:p>
        </w:tc>
        <w:tc>
          <w:tcPr>
            <w:tcW w:w="774" w:type="pct"/>
            <w:shd w:val="clear" w:color="auto" w:fill="auto"/>
            <w:vAlign w:val="center"/>
          </w:tcPr>
          <w:p w14:paraId="3F8FC8C7">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59803031">
            <w:pPr>
              <w:jc w:val="center"/>
              <w:rPr>
                <w:rFonts w:ascii="Times New Roman"/>
                <w:sz w:val="21"/>
                <w:szCs w:val="21"/>
                <w:lang w:bidi="zh-TW"/>
              </w:rPr>
            </w:pPr>
            <w:r>
              <w:rPr>
                <w:rFonts w:hint="eastAsia" w:ascii="Times New Roman"/>
                <w:sz w:val="21"/>
                <w:szCs w:val="21"/>
              </w:rPr>
              <w:t>0.130</w:t>
            </w:r>
          </w:p>
        </w:tc>
        <w:tc>
          <w:tcPr>
            <w:tcW w:w="1170" w:type="pct"/>
            <w:shd w:val="clear" w:color="auto" w:fill="auto"/>
            <w:vAlign w:val="center"/>
          </w:tcPr>
          <w:p w14:paraId="4E24819A">
            <w:pPr>
              <w:jc w:val="center"/>
              <w:rPr>
                <w:rFonts w:ascii="Times New Roman"/>
                <w:sz w:val="21"/>
                <w:szCs w:val="21"/>
                <w:lang w:bidi="zh-TW"/>
              </w:rPr>
            </w:pPr>
            <w:r>
              <w:rPr>
                <w:rFonts w:hint="eastAsia" w:ascii="Times New Roman"/>
                <w:sz w:val="21"/>
                <w:szCs w:val="21"/>
                <w:lang w:bidi="zh-TW"/>
              </w:rPr>
              <w:t>0.002</w:t>
            </w:r>
          </w:p>
        </w:tc>
        <w:tc>
          <w:tcPr>
            <w:tcW w:w="922" w:type="pct"/>
            <w:shd w:val="clear" w:color="auto" w:fill="auto"/>
            <w:vAlign w:val="center"/>
          </w:tcPr>
          <w:p w14:paraId="17C35EDD">
            <w:pPr>
              <w:jc w:val="center"/>
              <w:rPr>
                <w:rFonts w:ascii="Times New Roman"/>
                <w:sz w:val="21"/>
                <w:szCs w:val="21"/>
                <w:lang w:bidi="zh-TW"/>
              </w:rPr>
            </w:pPr>
            <w:r>
              <w:rPr>
                <w:rFonts w:hint="eastAsia" w:ascii="Times New Roman"/>
                <w:sz w:val="21"/>
                <w:szCs w:val="21"/>
              </w:rPr>
              <w:t>0.014</w:t>
            </w:r>
          </w:p>
        </w:tc>
      </w:tr>
      <w:tr w14:paraId="16AB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restart"/>
            <w:shd w:val="clear" w:color="auto" w:fill="auto"/>
            <w:vAlign w:val="center"/>
          </w:tcPr>
          <w:p w14:paraId="6672C8E2">
            <w:pPr>
              <w:snapToGrid w:val="0"/>
              <w:spacing w:line="320" w:lineRule="exact"/>
              <w:contextualSpacing/>
              <w:jc w:val="center"/>
              <w:rPr>
                <w:rFonts w:ascii="Times New Roman"/>
                <w:sz w:val="21"/>
                <w:szCs w:val="21"/>
              </w:rPr>
            </w:pPr>
            <w:r>
              <w:rPr>
                <w:rFonts w:hint="eastAsia" w:ascii="Times New Roman"/>
                <w:sz w:val="21"/>
                <w:szCs w:val="21"/>
              </w:rPr>
              <w:t>5</w:t>
            </w:r>
          </w:p>
        </w:tc>
        <w:tc>
          <w:tcPr>
            <w:tcW w:w="766" w:type="pct"/>
            <w:vMerge w:val="restart"/>
            <w:shd w:val="clear" w:color="auto" w:fill="auto"/>
            <w:vAlign w:val="center"/>
          </w:tcPr>
          <w:p w14:paraId="60D52B1C">
            <w:pPr>
              <w:snapToGrid w:val="0"/>
              <w:spacing w:line="320" w:lineRule="exact"/>
              <w:contextualSpacing/>
              <w:jc w:val="center"/>
              <w:rPr>
                <w:rFonts w:ascii="Times New Roman"/>
                <w:sz w:val="21"/>
                <w:szCs w:val="21"/>
              </w:rPr>
            </w:pPr>
            <w:r>
              <w:rPr>
                <w:rFonts w:hint="eastAsia" w:ascii="Times New Roman"/>
                <w:sz w:val="21"/>
                <w:szCs w:val="21"/>
              </w:rPr>
              <w:t>DA005</w:t>
            </w:r>
          </w:p>
        </w:tc>
        <w:tc>
          <w:tcPr>
            <w:tcW w:w="774" w:type="pct"/>
            <w:shd w:val="clear" w:color="auto" w:fill="auto"/>
            <w:vAlign w:val="center"/>
          </w:tcPr>
          <w:p w14:paraId="30F4FAD6">
            <w:pPr>
              <w:tabs>
                <w:tab w:val="left" w:pos="1680"/>
              </w:tabs>
              <w:spacing w:line="320" w:lineRule="exact"/>
              <w:jc w:val="center"/>
              <w:rPr>
                <w:rFonts w:ascii="Times New Roman"/>
                <w:sz w:val="21"/>
                <w:szCs w:val="21"/>
              </w:rPr>
            </w:pPr>
            <w:r>
              <w:rPr>
                <w:rFonts w:ascii="Times New Roman"/>
                <w:snapToGrid w:val="0"/>
                <w:sz w:val="21"/>
                <w:szCs w:val="21"/>
              </w:rPr>
              <w:t>颗粒物</w:t>
            </w:r>
          </w:p>
        </w:tc>
        <w:tc>
          <w:tcPr>
            <w:tcW w:w="969" w:type="pct"/>
            <w:shd w:val="clear" w:color="auto" w:fill="auto"/>
            <w:vAlign w:val="center"/>
          </w:tcPr>
          <w:p w14:paraId="2A80A905">
            <w:pPr>
              <w:jc w:val="center"/>
              <w:rPr>
                <w:rFonts w:ascii="Times New Roman"/>
                <w:sz w:val="21"/>
                <w:szCs w:val="21"/>
                <w:lang w:bidi="zh-TW"/>
              </w:rPr>
            </w:pPr>
            <w:r>
              <w:rPr>
                <w:rFonts w:ascii="Times New Roman"/>
                <w:sz w:val="21"/>
                <w:szCs w:val="21"/>
              </w:rPr>
              <w:t>21.036</w:t>
            </w:r>
          </w:p>
        </w:tc>
        <w:tc>
          <w:tcPr>
            <w:tcW w:w="1170" w:type="pct"/>
            <w:shd w:val="clear" w:color="auto" w:fill="auto"/>
            <w:vAlign w:val="center"/>
          </w:tcPr>
          <w:p w14:paraId="6F76D3E0">
            <w:pPr>
              <w:jc w:val="center"/>
              <w:rPr>
                <w:rFonts w:ascii="Times New Roman"/>
                <w:sz w:val="21"/>
                <w:szCs w:val="21"/>
                <w:lang w:bidi="zh-TW"/>
              </w:rPr>
            </w:pPr>
            <w:r>
              <w:rPr>
                <w:rFonts w:hint="eastAsia" w:ascii="Times New Roman"/>
                <w:sz w:val="21"/>
                <w:szCs w:val="21"/>
                <w:lang w:bidi="zh-TW"/>
              </w:rPr>
              <w:t>0.035</w:t>
            </w:r>
          </w:p>
        </w:tc>
        <w:tc>
          <w:tcPr>
            <w:tcW w:w="922" w:type="pct"/>
            <w:shd w:val="clear" w:color="auto" w:fill="auto"/>
            <w:vAlign w:val="center"/>
          </w:tcPr>
          <w:p w14:paraId="7BD07178">
            <w:pPr>
              <w:jc w:val="center"/>
              <w:rPr>
                <w:rFonts w:ascii="Times New Roman"/>
                <w:sz w:val="21"/>
                <w:szCs w:val="21"/>
                <w:lang w:bidi="zh-TW"/>
              </w:rPr>
            </w:pPr>
            <w:r>
              <w:rPr>
                <w:rFonts w:ascii="Times New Roman"/>
                <w:sz w:val="21"/>
                <w:szCs w:val="21"/>
              </w:rPr>
              <w:t>0.254</w:t>
            </w:r>
          </w:p>
        </w:tc>
      </w:tr>
      <w:tr w14:paraId="0510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3F04F889">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6F00862D">
            <w:pPr>
              <w:snapToGrid w:val="0"/>
              <w:spacing w:line="320" w:lineRule="exact"/>
              <w:contextualSpacing/>
              <w:jc w:val="center"/>
              <w:rPr>
                <w:rFonts w:ascii="Times New Roman"/>
                <w:sz w:val="21"/>
                <w:szCs w:val="21"/>
              </w:rPr>
            </w:pPr>
          </w:p>
        </w:tc>
        <w:tc>
          <w:tcPr>
            <w:tcW w:w="774" w:type="pct"/>
            <w:shd w:val="clear" w:color="auto" w:fill="auto"/>
            <w:vAlign w:val="center"/>
          </w:tcPr>
          <w:p w14:paraId="420AE14D">
            <w:pPr>
              <w:tabs>
                <w:tab w:val="left" w:pos="1680"/>
              </w:tabs>
              <w:spacing w:line="32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969" w:type="pct"/>
            <w:shd w:val="clear" w:color="auto" w:fill="auto"/>
            <w:vAlign w:val="center"/>
          </w:tcPr>
          <w:p w14:paraId="0B9280A4">
            <w:pPr>
              <w:jc w:val="center"/>
              <w:rPr>
                <w:rFonts w:ascii="Times New Roman"/>
                <w:sz w:val="21"/>
                <w:szCs w:val="21"/>
                <w:lang w:bidi="zh-TW"/>
              </w:rPr>
            </w:pPr>
            <w:r>
              <w:rPr>
                <w:rFonts w:ascii="Times New Roman"/>
                <w:sz w:val="21"/>
                <w:szCs w:val="21"/>
              </w:rPr>
              <w:t>2.982</w:t>
            </w:r>
          </w:p>
        </w:tc>
        <w:tc>
          <w:tcPr>
            <w:tcW w:w="1170" w:type="pct"/>
            <w:shd w:val="clear" w:color="auto" w:fill="auto"/>
            <w:vAlign w:val="center"/>
          </w:tcPr>
          <w:p w14:paraId="18C4BF92">
            <w:pPr>
              <w:jc w:val="center"/>
              <w:rPr>
                <w:rFonts w:ascii="Times New Roman"/>
                <w:sz w:val="21"/>
                <w:szCs w:val="21"/>
                <w:lang w:bidi="zh-TW"/>
              </w:rPr>
            </w:pPr>
            <w:r>
              <w:rPr>
                <w:rFonts w:hint="eastAsia" w:ascii="Times New Roman"/>
                <w:sz w:val="21"/>
                <w:szCs w:val="21"/>
                <w:lang w:bidi="zh-TW"/>
              </w:rPr>
              <w:t>0.001</w:t>
            </w:r>
          </w:p>
        </w:tc>
        <w:tc>
          <w:tcPr>
            <w:tcW w:w="922" w:type="pct"/>
            <w:shd w:val="clear" w:color="auto" w:fill="auto"/>
            <w:vAlign w:val="center"/>
          </w:tcPr>
          <w:p w14:paraId="1B025909">
            <w:pPr>
              <w:jc w:val="center"/>
              <w:rPr>
                <w:rFonts w:ascii="Times New Roman"/>
                <w:sz w:val="21"/>
                <w:szCs w:val="21"/>
                <w:lang w:bidi="zh-TW"/>
              </w:rPr>
            </w:pPr>
            <w:r>
              <w:rPr>
                <w:rFonts w:ascii="Times New Roman"/>
                <w:sz w:val="21"/>
                <w:szCs w:val="21"/>
              </w:rPr>
              <w:t>0.036</w:t>
            </w:r>
          </w:p>
        </w:tc>
      </w:tr>
      <w:tr w14:paraId="040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716A50CF">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386A1E15">
            <w:pPr>
              <w:snapToGrid w:val="0"/>
              <w:spacing w:line="320" w:lineRule="exact"/>
              <w:contextualSpacing/>
              <w:jc w:val="center"/>
              <w:rPr>
                <w:rFonts w:ascii="Times New Roman"/>
                <w:sz w:val="21"/>
                <w:szCs w:val="21"/>
              </w:rPr>
            </w:pPr>
          </w:p>
        </w:tc>
        <w:tc>
          <w:tcPr>
            <w:tcW w:w="774" w:type="pct"/>
            <w:shd w:val="clear" w:color="auto" w:fill="auto"/>
            <w:vAlign w:val="center"/>
          </w:tcPr>
          <w:p w14:paraId="4B9E39B6">
            <w:pPr>
              <w:tabs>
                <w:tab w:val="left" w:pos="1680"/>
              </w:tabs>
              <w:spacing w:line="320" w:lineRule="exact"/>
              <w:jc w:val="center"/>
              <w:rPr>
                <w:rFonts w:ascii="Times New Roman"/>
                <w:sz w:val="21"/>
                <w:szCs w:val="21"/>
              </w:rPr>
            </w:pPr>
            <w:r>
              <w:rPr>
                <w:rFonts w:ascii="Times New Roman"/>
                <w:snapToGrid w:val="0"/>
                <w:sz w:val="21"/>
                <w:szCs w:val="21"/>
              </w:rPr>
              <w:t>NOx</w:t>
            </w:r>
          </w:p>
        </w:tc>
        <w:tc>
          <w:tcPr>
            <w:tcW w:w="969" w:type="pct"/>
            <w:shd w:val="clear" w:color="auto" w:fill="auto"/>
            <w:vAlign w:val="center"/>
          </w:tcPr>
          <w:p w14:paraId="57804CBB">
            <w:pPr>
              <w:jc w:val="center"/>
              <w:rPr>
                <w:rFonts w:ascii="Times New Roman"/>
                <w:sz w:val="21"/>
                <w:szCs w:val="21"/>
                <w:lang w:bidi="zh-TW"/>
              </w:rPr>
            </w:pPr>
            <w:r>
              <w:rPr>
                <w:rFonts w:hint="eastAsia" w:ascii="Times New Roman"/>
                <w:sz w:val="21"/>
                <w:szCs w:val="21"/>
              </w:rPr>
              <w:t>68.782</w:t>
            </w:r>
          </w:p>
        </w:tc>
        <w:tc>
          <w:tcPr>
            <w:tcW w:w="1170" w:type="pct"/>
            <w:shd w:val="clear" w:color="auto" w:fill="auto"/>
            <w:vAlign w:val="center"/>
          </w:tcPr>
          <w:p w14:paraId="0F75AA92">
            <w:pPr>
              <w:jc w:val="center"/>
              <w:rPr>
                <w:rFonts w:ascii="Times New Roman"/>
                <w:sz w:val="21"/>
                <w:szCs w:val="21"/>
                <w:lang w:bidi="zh-TW"/>
              </w:rPr>
            </w:pPr>
            <w:r>
              <w:rPr>
                <w:rFonts w:hint="eastAsia" w:ascii="Times New Roman"/>
                <w:sz w:val="21"/>
                <w:szCs w:val="21"/>
                <w:lang w:bidi="zh-TW"/>
              </w:rPr>
              <w:t>0.115</w:t>
            </w:r>
          </w:p>
        </w:tc>
        <w:tc>
          <w:tcPr>
            <w:tcW w:w="922" w:type="pct"/>
            <w:shd w:val="clear" w:color="auto" w:fill="auto"/>
            <w:vAlign w:val="center"/>
          </w:tcPr>
          <w:p w14:paraId="30471458">
            <w:pPr>
              <w:jc w:val="center"/>
              <w:rPr>
                <w:rFonts w:ascii="Times New Roman"/>
                <w:sz w:val="21"/>
                <w:szCs w:val="21"/>
                <w:lang w:bidi="zh-TW"/>
              </w:rPr>
            </w:pPr>
            <w:r>
              <w:rPr>
                <w:rFonts w:hint="eastAsia" w:ascii="Times New Roman"/>
                <w:sz w:val="21"/>
                <w:szCs w:val="21"/>
              </w:rPr>
              <w:t>0.831</w:t>
            </w:r>
          </w:p>
        </w:tc>
      </w:tr>
      <w:tr w14:paraId="6A59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64AE9D7D">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52EF8295">
            <w:pPr>
              <w:snapToGrid w:val="0"/>
              <w:spacing w:line="320" w:lineRule="exact"/>
              <w:contextualSpacing/>
              <w:jc w:val="center"/>
              <w:rPr>
                <w:rFonts w:ascii="Times New Roman"/>
                <w:sz w:val="21"/>
                <w:szCs w:val="21"/>
              </w:rPr>
            </w:pPr>
          </w:p>
        </w:tc>
        <w:tc>
          <w:tcPr>
            <w:tcW w:w="774" w:type="pct"/>
            <w:shd w:val="clear" w:color="auto" w:fill="auto"/>
            <w:vAlign w:val="center"/>
          </w:tcPr>
          <w:p w14:paraId="6EEF73AA">
            <w:pPr>
              <w:tabs>
                <w:tab w:val="left" w:pos="1680"/>
              </w:tabs>
              <w:spacing w:line="320" w:lineRule="exact"/>
              <w:jc w:val="center"/>
              <w:rPr>
                <w:rFonts w:ascii="Times New Roman"/>
                <w:snapToGrid w:val="0"/>
                <w:sz w:val="21"/>
                <w:szCs w:val="21"/>
              </w:rPr>
            </w:pPr>
            <w:r>
              <w:rPr>
                <w:rFonts w:ascii="Times New Roman"/>
                <w:sz w:val="21"/>
                <w:szCs w:val="21"/>
              </w:rPr>
              <w:t>烟气黑度</w:t>
            </w:r>
          </w:p>
        </w:tc>
        <w:tc>
          <w:tcPr>
            <w:tcW w:w="969" w:type="pct"/>
            <w:shd w:val="clear" w:color="auto" w:fill="auto"/>
            <w:vAlign w:val="center"/>
          </w:tcPr>
          <w:p w14:paraId="77CA1A34">
            <w:pPr>
              <w:jc w:val="center"/>
              <w:rPr>
                <w:rFonts w:ascii="Times New Roman"/>
                <w:sz w:val="21"/>
                <w:szCs w:val="21"/>
                <w:lang w:bidi="zh-TW"/>
              </w:rPr>
            </w:pPr>
            <w:r>
              <w:rPr>
                <w:rFonts w:ascii="Times New Roman"/>
                <w:sz w:val="21"/>
                <w:szCs w:val="21"/>
                <w:lang w:bidi="zh-TW"/>
              </w:rPr>
              <w:t>≤</w:t>
            </w:r>
            <w:r>
              <w:rPr>
                <w:rFonts w:ascii="Times New Roman"/>
                <w:sz w:val="21"/>
                <w:szCs w:val="21"/>
              </w:rPr>
              <w:t>1级</w:t>
            </w:r>
          </w:p>
        </w:tc>
        <w:tc>
          <w:tcPr>
            <w:tcW w:w="1170" w:type="pct"/>
            <w:shd w:val="clear" w:color="auto" w:fill="auto"/>
            <w:vAlign w:val="center"/>
          </w:tcPr>
          <w:p w14:paraId="0054481F">
            <w:pPr>
              <w:jc w:val="center"/>
              <w:rPr>
                <w:rFonts w:ascii="Times New Roman"/>
                <w:sz w:val="21"/>
                <w:szCs w:val="21"/>
                <w:lang w:bidi="zh-TW"/>
              </w:rPr>
            </w:pPr>
            <w:r>
              <w:rPr>
                <w:rFonts w:hint="eastAsia" w:ascii="Times New Roman"/>
                <w:sz w:val="21"/>
                <w:szCs w:val="21"/>
                <w:lang w:bidi="zh-TW"/>
              </w:rPr>
              <w:t>/</w:t>
            </w:r>
          </w:p>
        </w:tc>
        <w:tc>
          <w:tcPr>
            <w:tcW w:w="922" w:type="pct"/>
            <w:shd w:val="clear" w:color="auto" w:fill="auto"/>
            <w:vAlign w:val="center"/>
          </w:tcPr>
          <w:p w14:paraId="503D431E">
            <w:pPr>
              <w:jc w:val="center"/>
              <w:rPr>
                <w:rFonts w:ascii="Times New Roman"/>
                <w:sz w:val="21"/>
                <w:szCs w:val="21"/>
                <w:lang w:bidi="zh-TW"/>
              </w:rPr>
            </w:pPr>
            <w:r>
              <w:rPr>
                <w:rFonts w:hint="eastAsia" w:ascii="Times New Roman"/>
                <w:sz w:val="21"/>
                <w:szCs w:val="21"/>
                <w:lang w:bidi="zh-TW"/>
              </w:rPr>
              <w:t>/</w:t>
            </w:r>
          </w:p>
        </w:tc>
      </w:tr>
      <w:tr w14:paraId="1122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restart"/>
            <w:shd w:val="clear" w:color="auto" w:fill="auto"/>
            <w:vAlign w:val="center"/>
          </w:tcPr>
          <w:p w14:paraId="21924169">
            <w:pPr>
              <w:snapToGrid w:val="0"/>
              <w:spacing w:line="320" w:lineRule="exact"/>
              <w:contextualSpacing/>
              <w:jc w:val="center"/>
              <w:rPr>
                <w:rFonts w:ascii="Times New Roman"/>
                <w:sz w:val="21"/>
                <w:szCs w:val="21"/>
              </w:rPr>
            </w:pPr>
            <w:r>
              <w:rPr>
                <w:rFonts w:hint="eastAsia" w:ascii="Times New Roman"/>
                <w:sz w:val="21"/>
                <w:szCs w:val="21"/>
              </w:rPr>
              <w:t>6</w:t>
            </w:r>
          </w:p>
        </w:tc>
        <w:tc>
          <w:tcPr>
            <w:tcW w:w="766" w:type="pct"/>
            <w:vMerge w:val="restart"/>
            <w:shd w:val="clear" w:color="auto" w:fill="auto"/>
            <w:vAlign w:val="center"/>
          </w:tcPr>
          <w:p w14:paraId="59987691">
            <w:pPr>
              <w:snapToGrid w:val="0"/>
              <w:spacing w:line="320" w:lineRule="exact"/>
              <w:contextualSpacing/>
              <w:jc w:val="center"/>
              <w:rPr>
                <w:rFonts w:ascii="Times New Roman"/>
                <w:sz w:val="21"/>
                <w:szCs w:val="21"/>
              </w:rPr>
            </w:pPr>
            <w:r>
              <w:rPr>
                <w:rFonts w:hint="eastAsia" w:ascii="Times New Roman"/>
                <w:sz w:val="21"/>
                <w:szCs w:val="21"/>
              </w:rPr>
              <w:t>DA006</w:t>
            </w:r>
          </w:p>
        </w:tc>
        <w:tc>
          <w:tcPr>
            <w:tcW w:w="774" w:type="pct"/>
            <w:shd w:val="clear" w:color="auto" w:fill="auto"/>
            <w:vAlign w:val="center"/>
          </w:tcPr>
          <w:p w14:paraId="201DB272">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2B5B409F">
            <w:pPr>
              <w:jc w:val="center"/>
              <w:rPr>
                <w:rFonts w:ascii="Times New Roman"/>
                <w:sz w:val="21"/>
                <w:szCs w:val="21"/>
              </w:rPr>
            </w:pPr>
            <w:r>
              <w:rPr>
                <w:rFonts w:hint="eastAsia" w:ascii="Times New Roman"/>
                <w:sz w:val="21"/>
                <w:szCs w:val="21"/>
              </w:rPr>
              <w:t>11.875</w:t>
            </w:r>
          </w:p>
        </w:tc>
        <w:tc>
          <w:tcPr>
            <w:tcW w:w="1170" w:type="pct"/>
            <w:shd w:val="clear" w:color="auto" w:fill="auto"/>
            <w:vAlign w:val="center"/>
          </w:tcPr>
          <w:p w14:paraId="5389149C">
            <w:pPr>
              <w:jc w:val="center"/>
              <w:rPr>
                <w:rFonts w:ascii="Times New Roman"/>
                <w:sz w:val="21"/>
                <w:szCs w:val="21"/>
              </w:rPr>
            </w:pPr>
            <w:r>
              <w:rPr>
                <w:rFonts w:ascii="Times New Roman"/>
                <w:sz w:val="21"/>
                <w:szCs w:val="21"/>
              </w:rPr>
              <w:t>0.</w:t>
            </w:r>
            <w:r>
              <w:rPr>
                <w:rFonts w:hint="eastAsia" w:ascii="Times New Roman"/>
                <w:sz w:val="21"/>
                <w:szCs w:val="21"/>
              </w:rPr>
              <w:t>059</w:t>
            </w:r>
          </w:p>
        </w:tc>
        <w:tc>
          <w:tcPr>
            <w:tcW w:w="922" w:type="pct"/>
            <w:shd w:val="clear" w:color="auto" w:fill="auto"/>
            <w:vAlign w:val="center"/>
          </w:tcPr>
          <w:p w14:paraId="543F1FBE">
            <w:pPr>
              <w:jc w:val="center"/>
              <w:rPr>
                <w:rFonts w:ascii="Times New Roman"/>
                <w:sz w:val="21"/>
                <w:szCs w:val="21"/>
              </w:rPr>
            </w:pPr>
            <w:r>
              <w:rPr>
                <w:rFonts w:hint="eastAsia" w:ascii="Times New Roman"/>
                <w:sz w:val="21"/>
                <w:szCs w:val="21"/>
              </w:rPr>
              <w:t>1.520</w:t>
            </w:r>
          </w:p>
        </w:tc>
      </w:tr>
      <w:tr w14:paraId="0942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4E91A019">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094E3533">
            <w:pPr>
              <w:snapToGrid w:val="0"/>
              <w:spacing w:line="320" w:lineRule="exact"/>
              <w:contextualSpacing/>
              <w:jc w:val="center"/>
              <w:rPr>
                <w:rFonts w:ascii="Times New Roman"/>
                <w:sz w:val="21"/>
                <w:szCs w:val="21"/>
              </w:rPr>
            </w:pPr>
          </w:p>
        </w:tc>
        <w:tc>
          <w:tcPr>
            <w:tcW w:w="774" w:type="pct"/>
            <w:shd w:val="clear" w:color="auto" w:fill="auto"/>
            <w:vAlign w:val="center"/>
          </w:tcPr>
          <w:p w14:paraId="3C90CC45">
            <w:pPr>
              <w:tabs>
                <w:tab w:val="left" w:pos="1680"/>
              </w:tabs>
              <w:spacing w:line="320" w:lineRule="exact"/>
              <w:jc w:val="center"/>
              <w:rPr>
                <w:rFonts w:ascii="Times New Roman"/>
                <w:sz w:val="21"/>
                <w:szCs w:val="21"/>
              </w:rPr>
            </w:pPr>
            <w:r>
              <w:rPr>
                <w:rFonts w:ascii="Times New Roman"/>
                <w:sz w:val="21"/>
                <w:szCs w:val="21"/>
              </w:rPr>
              <w:t>非甲烷总烃</w:t>
            </w:r>
          </w:p>
        </w:tc>
        <w:tc>
          <w:tcPr>
            <w:tcW w:w="969" w:type="pct"/>
            <w:shd w:val="clear" w:color="auto" w:fill="auto"/>
            <w:vAlign w:val="center"/>
          </w:tcPr>
          <w:p w14:paraId="44244B4D">
            <w:pPr>
              <w:jc w:val="center"/>
              <w:rPr>
                <w:rFonts w:ascii="Times New Roman"/>
                <w:sz w:val="21"/>
                <w:szCs w:val="21"/>
              </w:rPr>
            </w:pPr>
            <w:r>
              <w:rPr>
                <w:rFonts w:hint="eastAsia" w:ascii="Times New Roman"/>
                <w:sz w:val="21"/>
                <w:szCs w:val="21"/>
              </w:rPr>
              <w:t>0.002</w:t>
            </w:r>
          </w:p>
        </w:tc>
        <w:tc>
          <w:tcPr>
            <w:tcW w:w="1170" w:type="pct"/>
            <w:shd w:val="clear" w:color="auto" w:fill="auto"/>
            <w:vAlign w:val="center"/>
          </w:tcPr>
          <w:p w14:paraId="11B5CBFC">
            <w:pPr>
              <w:jc w:val="center"/>
              <w:rPr>
                <w:rFonts w:ascii="Times New Roman"/>
                <w:sz w:val="21"/>
                <w:szCs w:val="21"/>
              </w:rPr>
            </w:pPr>
            <w:r>
              <w:rPr>
                <w:rFonts w:hint="eastAsia" w:ascii="Times New Roman"/>
                <w:sz w:val="21"/>
                <w:szCs w:val="21"/>
              </w:rPr>
              <w:t>0.000004</w:t>
            </w:r>
          </w:p>
        </w:tc>
        <w:tc>
          <w:tcPr>
            <w:tcW w:w="922" w:type="pct"/>
            <w:shd w:val="clear" w:color="auto" w:fill="auto"/>
            <w:vAlign w:val="center"/>
          </w:tcPr>
          <w:p w14:paraId="44FA0EB9">
            <w:pPr>
              <w:jc w:val="center"/>
              <w:rPr>
                <w:rFonts w:ascii="Times New Roman"/>
                <w:sz w:val="21"/>
                <w:szCs w:val="21"/>
              </w:rPr>
            </w:pPr>
            <w:r>
              <w:rPr>
                <w:rFonts w:hint="eastAsia" w:ascii="Times New Roman"/>
                <w:sz w:val="21"/>
                <w:szCs w:val="21"/>
              </w:rPr>
              <w:t>0.0003</w:t>
            </w:r>
          </w:p>
        </w:tc>
      </w:tr>
      <w:tr w14:paraId="3640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96" w:type="pct"/>
            <w:shd w:val="clear" w:color="auto" w:fill="auto"/>
            <w:vAlign w:val="center"/>
          </w:tcPr>
          <w:p w14:paraId="28706D42">
            <w:pPr>
              <w:snapToGrid w:val="0"/>
              <w:spacing w:line="320" w:lineRule="exact"/>
              <w:contextualSpacing/>
              <w:jc w:val="center"/>
              <w:rPr>
                <w:rFonts w:ascii="Times New Roman"/>
                <w:sz w:val="21"/>
                <w:szCs w:val="21"/>
              </w:rPr>
            </w:pPr>
            <w:r>
              <w:rPr>
                <w:rFonts w:hint="eastAsia" w:ascii="Times New Roman"/>
                <w:sz w:val="21"/>
                <w:szCs w:val="21"/>
              </w:rPr>
              <w:t>7</w:t>
            </w:r>
          </w:p>
        </w:tc>
        <w:tc>
          <w:tcPr>
            <w:tcW w:w="766" w:type="pct"/>
            <w:shd w:val="clear" w:color="auto" w:fill="auto"/>
            <w:vAlign w:val="center"/>
          </w:tcPr>
          <w:p w14:paraId="14DD7BEA">
            <w:pPr>
              <w:snapToGrid w:val="0"/>
              <w:spacing w:line="320" w:lineRule="exact"/>
              <w:contextualSpacing/>
              <w:jc w:val="center"/>
              <w:rPr>
                <w:rFonts w:ascii="Times New Roman"/>
                <w:sz w:val="21"/>
                <w:szCs w:val="21"/>
              </w:rPr>
            </w:pPr>
            <w:r>
              <w:rPr>
                <w:rFonts w:hint="eastAsia" w:ascii="Times New Roman"/>
                <w:sz w:val="21"/>
                <w:szCs w:val="21"/>
              </w:rPr>
              <w:t>DA007</w:t>
            </w:r>
          </w:p>
        </w:tc>
        <w:tc>
          <w:tcPr>
            <w:tcW w:w="774" w:type="pct"/>
            <w:shd w:val="clear" w:color="auto" w:fill="auto"/>
            <w:vAlign w:val="center"/>
          </w:tcPr>
          <w:p w14:paraId="0E46D36E">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77045D5F">
            <w:pPr>
              <w:jc w:val="center"/>
              <w:rPr>
                <w:rFonts w:ascii="Times New Roman" w:eastAsia="Times New Roman"/>
                <w:sz w:val="21"/>
                <w:szCs w:val="21"/>
              </w:rPr>
            </w:pPr>
            <w:r>
              <w:rPr>
                <w:rFonts w:hint="eastAsia" w:ascii="Times New Roman" w:eastAsia="Times New Roman"/>
                <w:sz w:val="21"/>
                <w:szCs w:val="21"/>
              </w:rPr>
              <w:t>3.194</w:t>
            </w:r>
          </w:p>
        </w:tc>
        <w:tc>
          <w:tcPr>
            <w:tcW w:w="1170" w:type="pct"/>
            <w:shd w:val="clear" w:color="auto" w:fill="auto"/>
            <w:vAlign w:val="center"/>
          </w:tcPr>
          <w:p w14:paraId="6863AC89">
            <w:pPr>
              <w:jc w:val="center"/>
              <w:rPr>
                <w:rFonts w:ascii="Times New Roman" w:eastAsia="Times New Roman"/>
                <w:sz w:val="21"/>
                <w:szCs w:val="21"/>
              </w:rPr>
            </w:pPr>
            <w:r>
              <w:rPr>
                <w:rFonts w:ascii="Times New Roman" w:eastAsia="Times New Roman"/>
                <w:sz w:val="21"/>
                <w:szCs w:val="21"/>
              </w:rPr>
              <w:t>0.06</w:t>
            </w:r>
            <w:r>
              <w:rPr>
                <w:rFonts w:hint="eastAsia" w:ascii="Times New Roman" w:eastAsia="Times New Roman"/>
                <w:sz w:val="21"/>
                <w:szCs w:val="21"/>
              </w:rPr>
              <w:t>4</w:t>
            </w:r>
          </w:p>
        </w:tc>
        <w:tc>
          <w:tcPr>
            <w:tcW w:w="922" w:type="pct"/>
            <w:shd w:val="clear" w:color="auto" w:fill="auto"/>
            <w:vAlign w:val="center"/>
          </w:tcPr>
          <w:p w14:paraId="6CBCF18D">
            <w:pPr>
              <w:jc w:val="center"/>
              <w:rPr>
                <w:rFonts w:ascii="Times New Roman" w:eastAsia="Times New Roman"/>
                <w:sz w:val="21"/>
                <w:szCs w:val="21"/>
              </w:rPr>
            </w:pPr>
            <w:r>
              <w:rPr>
                <w:rFonts w:hint="eastAsia" w:ascii="Times New Roman" w:eastAsia="Times New Roman"/>
                <w:sz w:val="21"/>
                <w:szCs w:val="21"/>
              </w:rPr>
              <w:t>0.153</w:t>
            </w:r>
          </w:p>
        </w:tc>
      </w:tr>
      <w:tr w14:paraId="1174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shd w:val="clear" w:color="auto" w:fill="auto"/>
            <w:vAlign w:val="center"/>
          </w:tcPr>
          <w:p w14:paraId="5C8393CE">
            <w:pPr>
              <w:snapToGrid w:val="0"/>
              <w:spacing w:line="320" w:lineRule="exact"/>
              <w:contextualSpacing/>
              <w:jc w:val="center"/>
              <w:rPr>
                <w:rFonts w:ascii="Times New Roman"/>
                <w:sz w:val="21"/>
                <w:szCs w:val="21"/>
              </w:rPr>
            </w:pPr>
            <w:r>
              <w:rPr>
                <w:rFonts w:hint="eastAsia" w:ascii="Times New Roman"/>
                <w:sz w:val="21"/>
                <w:szCs w:val="21"/>
              </w:rPr>
              <w:t>8</w:t>
            </w:r>
          </w:p>
        </w:tc>
        <w:tc>
          <w:tcPr>
            <w:tcW w:w="766" w:type="pct"/>
            <w:shd w:val="clear" w:color="auto" w:fill="auto"/>
            <w:vAlign w:val="center"/>
          </w:tcPr>
          <w:p w14:paraId="16008B48">
            <w:pPr>
              <w:snapToGrid w:val="0"/>
              <w:spacing w:line="320" w:lineRule="exact"/>
              <w:contextualSpacing/>
              <w:jc w:val="center"/>
              <w:rPr>
                <w:rFonts w:ascii="Times New Roman"/>
                <w:sz w:val="21"/>
                <w:szCs w:val="21"/>
              </w:rPr>
            </w:pPr>
            <w:r>
              <w:rPr>
                <w:rFonts w:hint="eastAsia" w:ascii="Times New Roman"/>
                <w:sz w:val="21"/>
                <w:szCs w:val="21"/>
              </w:rPr>
              <w:t>DA008</w:t>
            </w:r>
          </w:p>
        </w:tc>
        <w:tc>
          <w:tcPr>
            <w:tcW w:w="774" w:type="pct"/>
            <w:shd w:val="clear" w:color="auto" w:fill="auto"/>
            <w:vAlign w:val="center"/>
          </w:tcPr>
          <w:p w14:paraId="7C80784E">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7FECFF9A">
            <w:pPr>
              <w:jc w:val="center"/>
              <w:rPr>
                <w:rFonts w:ascii="Times New Roman" w:eastAsia="Times New Roman"/>
                <w:sz w:val="21"/>
                <w:szCs w:val="21"/>
              </w:rPr>
            </w:pPr>
            <w:r>
              <w:rPr>
                <w:rFonts w:hint="eastAsia" w:ascii="Times New Roman" w:eastAsia="Times New Roman"/>
                <w:sz w:val="21"/>
                <w:szCs w:val="21"/>
              </w:rPr>
              <w:t>7.917</w:t>
            </w:r>
          </w:p>
        </w:tc>
        <w:tc>
          <w:tcPr>
            <w:tcW w:w="1170" w:type="pct"/>
            <w:shd w:val="clear" w:color="auto" w:fill="auto"/>
            <w:vAlign w:val="center"/>
          </w:tcPr>
          <w:p w14:paraId="31A890C3">
            <w:pPr>
              <w:jc w:val="center"/>
              <w:rPr>
                <w:rFonts w:ascii="Times New Roman" w:eastAsia="Times New Roman"/>
                <w:sz w:val="21"/>
                <w:szCs w:val="21"/>
              </w:rPr>
            </w:pPr>
            <w:r>
              <w:rPr>
                <w:rFonts w:hint="eastAsia" w:ascii="Times New Roman" w:eastAsia="Times New Roman"/>
                <w:sz w:val="21"/>
                <w:szCs w:val="21"/>
              </w:rPr>
              <w:t>0.119</w:t>
            </w:r>
          </w:p>
        </w:tc>
        <w:tc>
          <w:tcPr>
            <w:tcW w:w="922" w:type="pct"/>
            <w:shd w:val="clear" w:color="auto" w:fill="auto"/>
            <w:vAlign w:val="center"/>
          </w:tcPr>
          <w:p w14:paraId="3DA2BB69">
            <w:pPr>
              <w:jc w:val="center"/>
              <w:rPr>
                <w:rFonts w:ascii="Times New Roman" w:eastAsia="Times New Roman"/>
                <w:sz w:val="21"/>
                <w:szCs w:val="21"/>
              </w:rPr>
            </w:pPr>
            <w:r>
              <w:rPr>
                <w:rFonts w:hint="eastAsia" w:ascii="Times New Roman" w:eastAsia="Times New Roman"/>
                <w:sz w:val="21"/>
                <w:szCs w:val="21"/>
              </w:rPr>
              <w:t>0.855</w:t>
            </w:r>
          </w:p>
        </w:tc>
      </w:tr>
      <w:tr w14:paraId="5D53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restart"/>
            <w:shd w:val="clear" w:color="auto" w:fill="auto"/>
            <w:vAlign w:val="center"/>
          </w:tcPr>
          <w:p w14:paraId="4026B5B8">
            <w:pPr>
              <w:snapToGrid w:val="0"/>
              <w:spacing w:line="320" w:lineRule="exact"/>
              <w:contextualSpacing/>
              <w:jc w:val="center"/>
              <w:rPr>
                <w:rFonts w:ascii="Times New Roman"/>
                <w:sz w:val="21"/>
                <w:szCs w:val="21"/>
              </w:rPr>
            </w:pPr>
            <w:r>
              <w:rPr>
                <w:rFonts w:hint="eastAsia" w:ascii="Times New Roman"/>
                <w:sz w:val="21"/>
                <w:szCs w:val="21"/>
              </w:rPr>
              <w:t>9</w:t>
            </w:r>
          </w:p>
        </w:tc>
        <w:tc>
          <w:tcPr>
            <w:tcW w:w="766" w:type="pct"/>
            <w:vMerge w:val="restart"/>
            <w:shd w:val="clear" w:color="auto" w:fill="auto"/>
            <w:vAlign w:val="center"/>
          </w:tcPr>
          <w:p w14:paraId="3F85587C">
            <w:pPr>
              <w:snapToGrid w:val="0"/>
              <w:spacing w:line="320" w:lineRule="exact"/>
              <w:contextualSpacing/>
              <w:jc w:val="center"/>
              <w:rPr>
                <w:rFonts w:ascii="Times New Roman"/>
                <w:sz w:val="21"/>
                <w:szCs w:val="21"/>
              </w:rPr>
            </w:pPr>
            <w:r>
              <w:rPr>
                <w:rFonts w:hint="eastAsia" w:ascii="Times New Roman"/>
                <w:sz w:val="21"/>
                <w:szCs w:val="21"/>
              </w:rPr>
              <w:t>DA009</w:t>
            </w:r>
          </w:p>
        </w:tc>
        <w:tc>
          <w:tcPr>
            <w:tcW w:w="774" w:type="pct"/>
            <w:shd w:val="clear" w:color="auto" w:fill="auto"/>
            <w:vAlign w:val="center"/>
          </w:tcPr>
          <w:p w14:paraId="463712F2">
            <w:pPr>
              <w:jc w:val="center"/>
              <w:rPr>
                <w:rFonts w:ascii="Times New Roman"/>
                <w:sz w:val="21"/>
                <w:szCs w:val="21"/>
              </w:rPr>
            </w:pPr>
            <w:r>
              <w:rPr>
                <w:rFonts w:ascii="Times New Roman"/>
                <w:sz w:val="21"/>
                <w:szCs w:val="21"/>
              </w:rPr>
              <w:t>非甲烷总烃</w:t>
            </w:r>
          </w:p>
        </w:tc>
        <w:tc>
          <w:tcPr>
            <w:tcW w:w="969" w:type="pct"/>
            <w:shd w:val="clear" w:color="auto" w:fill="auto"/>
            <w:vAlign w:val="center"/>
          </w:tcPr>
          <w:p w14:paraId="4C54DB3B">
            <w:pPr>
              <w:jc w:val="center"/>
              <w:rPr>
                <w:rFonts w:ascii="Times New Roman" w:eastAsia="Times New Roman"/>
                <w:sz w:val="21"/>
                <w:szCs w:val="21"/>
              </w:rPr>
            </w:pPr>
            <w:r>
              <w:rPr>
                <w:rFonts w:hint="eastAsia" w:ascii="Times New Roman" w:eastAsia="Times New Roman"/>
                <w:sz w:val="21"/>
                <w:szCs w:val="21"/>
              </w:rPr>
              <w:t>9.215</w:t>
            </w:r>
          </w:p>
        </w:tc>
        <w:tc>
          <w:tcPr>
            <w:tcW w:w="1170" w:type="pct"/>
            <w:shd w:val="clear" w:color="auto" w:fill="auto"/>
            <w:vAlign w:val="center"/>
          </w:tcPr>
          <w:p w14:paraId="409546DA">
            <w:pPr>
              <w:jc w:val="center"/>
              <w:rPr>
                <w:rFonts w:ascii="Times New Roman" w:eastAsia="Times New Roman"/>
                <w:sz w:val="21"/>
                <w:szCs w:val="21"/>
              </w:rPr>
            </w:pPr>
            <w:r>
              <w:rPr>
                <w:rFonts w:hint="eastAsia" w:ascii="Times New Roman" w:eastAsia="Times New Roman"/>
                <w:sz w:val="21"/>
                <w:szCs w:val="21"/>
              </w:rPr>
              <w:t>2.311</w:t>
            </w:r>
          </w:p>
        </w:tc>
        <w:tc>
          <w:tcPr>
            <w:tcW w:w="922" w:type="pct"/>
            <w:shd w:val="clear" w:color="auto" w:fill="auto"/>
            <w:vAlign w:val="center"/>
          </w:tcPr>
          <w:p w14:paraId="405BF462">
            <w:pPr>
              <w:jc w:val="center"/>
              <w:rPr>
                <w:rFonts w:ascii="Times New Roman"/>
                <w:sz w:val="21"/>
                <w:szCs w:val="21"/>
                <w:lang w:bidi="zh-TW"/>
              </w:rPr>
            </w:pPr>
            <w:r>
              <w:rPr>
                <w:rFonts w:hint="eastAsia" w:ascii="Times New Roman"/>
                <w:sz w:val="21"/>
                <w:szCs w:val="21"/>
              </w:rPr>
              <w:t>16.641</w:t>
            </w:r>
          </w:p>
        </w:tc>
      </w:tr>
      <w:tr w14:paraId="7DD8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2B892F30">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591193FF">
            <w:pPr>
              <w:snapToGrid w:val="0"/>
              <w:spacing w:line="320" w:lineRule="exact"/>
              <w:contextualSpacing/>
              <w:jc w:val="center"/>
              <w:rPr>
                <w:rFonts w:ascii="Times New Roman"/>
                <w:sz w:val="21"/>
                <w:szCs w:val="21"/>
              </w:rPr>
            </w:pPr>
          </w:p>
        </w:tc>
        <w:tc>
          <w:tcPr>
            <w:tcW w:w="774" w:type="pct"/>
            <w:shd w:val="clear" w:color="auto" w:fill="auto"/>
            <w:vAlign w:val="center"/>
          </w:tcPr>
          <w:p w14:paraId="052B4525">
            <w:pPr>
              <w:jc w:val="center"/>
              <w:rPr>
                <w:rFonts w:ascii="Times New Roman"/>
                <w:sz w:val="21"/>
                <w:szCs w:val="21"/>
              </w:rPr>
            </w:pPr>
            <w:r>
              <w:rPr>
                <w:rFonts w:ascii="Times New Roman"/>
                <w:sz w:val="21"/>
                <w:szCs w:val="21"/>
              </w:rPr>
              <w:t>甲苯与二甲苯合计</w:t>
            </w:r>
          </w:p>
        </w:tc>
        <w:tc>
          <w:tcPr>
            <w:tcW w:w="969" w:type="pct"/>
            <w:shd w:val="clear" w:color="auto" w:fill="auto"/>
            <w:vAlign w:val="center"/>
          </w:tcPr>
          <w:p w14:paraId="6F3B1402">
            <w:pPr>
              <w:jc w:val="center"/>
              <w:rPr>
                <w:rFonts w:ascii="Times New Roman" w:eastAsia="Times New Roman"/>
                <w:sz w:val="21"/>
                <w:szCs w:val="21"/>
              </w:rPr>
            </w:pPr>
            <w:r>
              <w:rPr>
                <w:rFonts w:hint="eastAsia" w:ascii="Times New Roman" w:eastAsia="Times New Roman"/>
                <w:sz w:val="21"/>
                <w:szCs w:val="21"/>
              </w:rPr>
              <w:t>46.680</w:t>
            </w:r>
          </w:p>
        </w:tc>
        <w:tc>
          <w:tcPr>
            <w:tcW w:w="1170" w:type="pct"/>
            <w:shd w:val="clear" w:color="auto" w:fill="auto"/>
            <w:vAlign w:val="center"/>
          </w:tcPr>
          <w:p w14:paraId="6A31F66C">
            <w:pPr>
              <w:jc w:val="center"/>
              <w:rPr>
                <w:rFonts w:ascii="Times New Roman" w:eastAsia="Times New Roman"/>
                <w:sz w:val="21"/>
                <w:szCs w:val="21"/>
              </w:rPr>
            </w:pPr>
            <w:r>
              <w:rPr>
                <w:rFonts w:hint="eastAsia" w:ascii="Times New Roman" w:eastAsia="Times New Roman"/>
                <w:sz w:val="21"/>
                <w:szCs w:val="21"/>
              </w:rPr>
              <w:t>0.637</w:t>
            </w:r>
          </w:p>
        </w:tc>
        <w:tc>
          <w:tcPr>
            <w:tcW w:w="922" w:type="pct"/>
            <w:shd w:val="clear" w:color="auto" w:fill="auto"/>
            <w:vAlign w:val="center"/>
          </w:tcPr>
          <w:p w14:paraId="2C807B53">
            <w:pPr>
              <w:jc w:val="center"/>
              <w:rPr>
                <w:rFonts w:ascii="Times New Roman"/>
                <w:sz w:val="21"/>
                <w:szCs w:val="21"/>
                <w:lang w:bidi="zh-TW"/>
              </w:rPr>
            </w:pPr>
            <w:r>
              <w:rPr>
                <w:rFonts w:hint="eastAsia" w:ascii="Times New Roman"/>
                <w:sz w:val="21"/>
                <w:szCs w:val="21"/>
              </w:rPr>
              <w:t>4.587</w:t>
            </w:r>
          </w:p>
        </w:tc>
      </w:tr>
      <w:tr w14:paraId="7958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1C70B212">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1C5E177E">
            <w:pPr>
              <w:snapToGrid w:val="0"/>
              <w:spacing w:line="320" w:lineRule="exact"/>
              <w:contextualSpacing/>
              <w:jc w:val="center"/>
              <w:rPr>
                <w:rFonts w:ascii="Times New Roman"/>
                <w:sz w:val="21"/>
                <w:szCs w:val="21"/>
              </w:rPr>
            </w:pPr>
          </w:p>
        </w:tc>
        <w:tc>
          <w:tcPr>
            <w:tcW w:w="774" w:type="pct"/>
            <w:shd w:val="clear" w:color="auto" w:fill="auto"/>
            <w:vAlign w:val="center"/>
          </w:tcPr>
          <w:p w14:paraId="119EFE7D">
            <w:pPr>
              <w:jc w:val="center"/>
              <w:rPr>
                <w:rFonts w:ascii="Times New Roman"/>
                <w:sz w:val="21"/>
                <w:szCs w:val="21"/>
              </w:rPr>
            </w:pPr>
            <w:r>
              <w:rPr>
                <w:rFonts w:ascii="Times New Roman"/>
                <w:sz w:val="21"/>
                <w:szCs w:val="21"/>
              </w:rPr>
              <w:t>颗粒物</w:t>
            </w:r>
          </w:p>
        </w:tc>
        <w:tc>
          <w:tcPr>
            <w:tcW w:w="969" w:type="pct"/>
            <w:shd w:val="clear" w:color="auto" w:fill="auto"/>
            <w:vAlign w:val="center"/>
          </w:tcPr>
          <w:p w14:paraId="738C134F">
            <w:pPr>
              <w:jc w:val="center"/>
              <w:rPr>
                <w:rFonts w:ascii="Times New Roman"/>
                <w:sz w:val="21"/>
                <w:szCs w:val="21"/>
                <w:lang w:bidi="zh-TW"/>
              </w:rPr>
            </w:pPr>
            <w:r>
              <w:rPr>
                <w:rFonts w:hint="eastAsia" w:ascii="Times New Roman"/>
                <w:sz w:val="21"/>
                <w:szCs w:val="21"/>
                <w:lang w:bidi="zh-TW"/>
              </w:rPr>
              <w:t>66.936</w:t>
            </w:r>
          </w:p>
        </w:tc>
        <w:tc>
          <w:tcPr>
            <w:tcW w:w="1170" w:type="pct"/>
            <w:shd w:val="clear" w:color="auto" w:fill="auto"/>
            <w:vAlign w:val="center"/>
          </w:tcPr>
          <w:p w14:paraId="07958B64">
            <w:pPr>
              <w:jc w:val="center"/>
              <w:rPr>
                <w:rFonts w:ascii="Times New Roman"/>
                <w:sz w:val="21"/>
                <w:szCs w:val="21"/>
                <w:lang w:bidi="zh-TW"/>
              </w:rPr>
            </w:pPr>
            <w:r>
              <w:rPr>
                <w:rFonts w:hint="eastAsia" w:ascii="Times New Roman"/>
                <w:sz w:val="21"/>
                <w:szCs w:val="21"/>
                <w:lang w:bidi="zh-TW"/>
              </w:rPr>
              <w:t>1.449</w:t>
            </w:r>
          </w:p>
        </w:tc>
        <w:tc>
          <w:tcPr>
            <w:tcW w:w="922" w:type="pct"/>
            <w:shd w:val="clear" w:color="auto" w:fill="auto"/>
            <w:vAlign w:val="center"/>
          </w:tcPr>
          <w:p w14:paraId="16123ED7">
            <w:pPr>
              <w:jc w:val="center"/>
              <w:rPr>
                <w:rFonts w:ascii="Times New Roman"/>
                <w:sz w:val="21"/>
                <w:szCs w:val="21"/>
                <w:lang w:bidi="zh-TW"/>
              </w:rPr>
            </w:pPr>
            <w:r>
              <w:rPr>
                <w:rFonts w:hint="eastAsia" w:ascii="Times New Roman"/>
                <w:sz w:val="21"/>
                <w:szCs w:val="21"/>
              </w:rPr>
              <w:t>10.433</w:t>
            </w:r>
          </w:p>
        </w:tc>
      </w:tr>
      <w:tr w14:paraId="3D5D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543A4A76">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7ECEB763">
            <w:pPr>
              <w:snapToGrid w:val="0"/>
              <w:spacing w:line="320" w:lineRule="exact"/>
              <w:contextualSpacing/>
              <w:jc w:val="center"/>
              <w:rPr>
                <w:rFonts w:ascii="Times New Roman"/>
                <w:sz w:val="21"/>
                <w:szCs w:val="21"/>
              </w:rPr>
            </w:pPr>
          </w:p>
        </w:tc>
        <w:tc>
          <w:tcPr>
            <w:tcW w:w="774" w:type="pct"/>
            <w:shd w:val="clear" w:color="auto" w:fill="auto"/>
            <w:vAlign w:val="center"/>
          </w:tcPr>
          <w:p w14:paraId="020B17D9">
            <w:pPr>
              <w:tabs>
                <w:tab w:val="left" w:pos="1680"/>
              </w:tabs>
              <w:spacing w:line="32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969" w:type="pct"/>
            <w:shd w:val="clear" w:color="auto" w:fill="auto"/>
            <w:vAlign w:val="center"/>
          </w:tcPr>
          <w:p w14:paraId="1A111560">
            <w:pPr>
              <w:jc w:val="center"/>
              <w:rPr>
                <w:rFonts w:ascii="Times New Roman"/>
                <w:sz w:val="21"/>
                <w:szCs w:val="21"/>
                <w:lang w:bidi="zh-TW"/>
              </w:rPr>
            </w:pPr>
            <w:r>
              <w:rPr>
                <w:rFonts w:hint="eastAsia" w:ascii="Times New Roman"/>
                <w:sz w:val="21"/>
                <w:szCs w:val="21"/>
                <w:lang w:bidi="zh-TW"/>
              </w:rPr>
              <w:t>0.651</w:t>
            </w:r>
          </w:p>
        </w:tc>
        <w:tc>
          <w:tcPr>
            <w:tcW w:w="1170" w:type="pct"/>
            <w:shd w:val="clear" w:color="auto" w:fill="auto"/>
            <w:vAlign w:val="center"/>
          </w:tcPr>
          <w:p w14:paraId="201BFD68">
            <w:pPr>
              <w:jc w:val="center"/>
              <w:rPr>
                <w:rFonts w:ascii="Times New Roman"/>
                <w:sz w:val="21"/>
                <w:szCs w:val="21"/>
                <w:lang w:bidi="zh-TW"/>
              </w:rPr>
            </w:pPr>
            <w:r>
              <w:rPr>
                <w:rFonts w:hint="eastAsia" w:ascii="Times New Roman"/>
                <w:sz w:val="21"/>
                <w:szCs w:val="21"/>
                <w:lang w:bidi="zh-TW"/>
              </w:rPr>
              <w:t>0.004</w:t>
            </w:r>
          </w:p>
        </w:tc>
        <w:tc>
          <w:tcPr>
            <w:tcW w:w="922" w:type="pct"/>
            <w:shd w:val="clear" w:color="auto" w:fill="auto"/>
            <w:vAlign w:val="center"/>
          </w:tcPr>
          <w:p w14:paraId="600A48C9">
            <w:pPr>
              <w:jc w:val="center"/>
              <w:rPr>
                <w:rFonts w:ascii="Times New Roman"/>
                <w:sz w:val="21"/>
                <w:szCs w:val="21"/>
                <w:lang w:bidi="zh-TW"/>
              </w:rPr>
            </w:pPr>
            <w:r>
              <w:rPr>
                <w:rFonts w:hint="eastAsia" w:ascii="Times New Roman"/>
                <w:sz w:val="21"/>
                <w:szCs w:val="21"/>
              </w:rPr>
              <w:t>0.032</w:t>
            </w:r>
          </w:p>
        </w:tc>
      </w:tr>
      <w:tr w14:paraId="232C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645AC95C">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31E5B2D6">
            <w:pPr>
              <w:snapToGrid w:val="0"/>
              <w:spacing w:line="320" w:lineRule="exact"/>
              <w:contextualSpacing/>
              <w:jc w:val="center"/>
              <w:rPr>
                <w:rFonts w:ascii="Times New Roman"/>
                <w:sz w:val="21"/>
                <w:szCs w:val="21"/>
              </w:rPr>
            </w:pPr>
          </w:p>
        </w:tc>
        <w:tc>
          <w:tcPr>
            <w:tcW w:w="774" w:type="pct"/>
            <w:shd w:val="clear" w:color="auto" w:fill="auto"/>
            <w:vAlign w:val="center"/>
          </w:tcPr>
          <w:p w14:paraId="644488FB">
            <w:pPr>
              <w:tabs>
                <w:tab w:val="left" w:pos="1680"/>
              </w:tabs>
              <w:spacing w:line="320" w:lineRule="exact"/>
              <w:jc w:val="center"/>
              <w:rPr>
                <w:rFonts w:ascii="Times New Roman"/>
                <w:snapToGrid w:val="0"/>
                <w:sz w:val="21"/>
                <w:szCs w:val="21"/>
              </w:rPr>
            </w:pPr>
            <w:r>
              <w:rPr>
                <w:rFonts w:ascii="Times New Roman"/>
                <w:snapToGrid w:val="0"/>
                <w:sz w:val="21"/>
                <w:szCs w:val="21"/>
              </w:rPr>
              <w:t>NOx</w:t>
            </w:r>
          </w:p>
        </w:tc>
        <w:tc>
          <w:tcPr>
            <w:tcW w:w="969" w:type="pct"/>
            <w:shd w:val="clear" w:color="auto" w:fill="auto"/>
            <w:vAlign w:val="center"/>
          </w:tcPr>
          <w:p w14:paraId="46664ABE">
            <w:pPr>
              <w:jc w:val="center"/>
              <w:rPr>
                <w:rFonts w:ascii="Times New Roman"/>
                <w:sz w:val="21"/>
                <w:szCs w:val="21"/>
                <w:lang w:bidi="zh-TW"/>
              </w:rPr>
            </w:pPr>
            <w:r>
              <w:rPr>
                <w:rFonts w:hint="eastAsia" w:ascii="Times New Roman"/>
                <w:sz w:val="21"/>
                <w:szCs w:val="21"/>
                <w:lang w:bidi="zh-TW"/>
              </w:rPr>
              <w:t>68.752</w:t>
            </w:r>
          </w:p>
        </w:tc>
        <w:tc>
          <w:tcPr>
            <w:tcW w:w="1170" w:type="pct"/>
            <w:shd w:val="clear" w:color="auto" w:fill="auto"/>
            <w:vAlign w:val="center"/>
          </w:tcPr>
          <w:p w14:paraId="0A89D64B">
            <w:pPr>
              <w:jc w:val="center"/>
              <w:rPr>
                <w:rFonts w:ascii="Times New Roman"/>
                <w:sz w:val="21"/>
                <w:szCs w:val="21"/>
                <w:lang w:bidi="zh-TW"/>
              </w:rPr>
            </w:pPr>
            <w:r>
              <w:rPr>
                <w:rFonts w:hint="eastAsia" w:ascii="Times New Roman"/>
                <w:sz w:val="21"/>
                <w:szCs w:val="21"/>
                <w:lang w:bidi="zh-TW"/>
              </w:rPr>
              <w:t>0.469</w:t>
            </w:r>
          </w:p>
        </w:tc>
        <w:tc>
          <w:tcPr>
            <w:tcW w:w="922" w:type="pct"/>
            <w:shd w:val="clear" w:color="auto" w:fill="auto"/>
            <w:vAlign w:val="center"/>
          </w:tcPr>
          <w:p w14:paraId="688B3D54">
            <w:pPr>
              <w:jc w:val="center"/>
              <w:rPr>
                <w:rFonts w:ascii="Times New Roman"/>
                <w:sz w:val="21"/>
                <w:szCs w:val="21"/>
                <w:lang w:bidi="zh-TW"/>
              </w:rPr>
            </w:pPr>
            <w:r>
              <w:rPr>
                <w:rFonts w:hint="eastAsia" w:ascii="Times New Roman"/>
                <w:sz w:val="21"/>
                <w:szCs w:val="21"/>
                <w:lang w:bidi="zh-TW"/>
              </w:rPr>
              <w:t>3.378</w:t>
            </w:r>
          </w:p>
        </w:tc>
      </w:tr>
      <w:tr w14:paraId="15D5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026C0BE4">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28A24623">
            <w:pPr>
              <w:snapToGrid w:val="0"/>
              <w:spacing w:line="320" w:lineRule="exact"/>
              <w:contextualSpacing/>
              <w:jc w:val="center"/>
              <w:rPr>
                <w:rFonts w:ascii="Times New Roman"/>
                <w:sz w:val="21"/>
                <w:szCs w:val="21"/>
              </w:rPr>
            </w:pPr>
          </w:p>
        </w:tc>
        <w:tc>
          <w:tcPr>
            <w:tcW w:w="774" w:type="pct"/>
            <w:shd w:val="clear" w:color="auto" w:fill="auto"/>
            <w:vAlign w:val="center"/>
          </w:tcPr>
          <w:p w14:paraId="10326D20">
            <w:pPr>
              <w:tabs>
                <w:tab w:val="left" w:pos="1680"/>
              </w:tabs>
              <w:spacing w:line="320" w:lineRule="exact"/>
              <w:jc w:val="center"/>
              <w:rPr>
                <w:rFonts w:ascii="Times New Roman"/>
                <w:snapToGrid w:val="0"/>
                <w:sz w:val="21"/>
                <w:szCs w:val="21"/>
              </w:rPr>
            </w:pPr>
            <w:r>
              <w:rPr>
                <w:rFonts w:ascii="Times New Roman"/>
                <w:sz w:val="21"/>
                <w:szCs w:val="21"/>
              </w:rPr>
              <w:t>烟气黑度</w:t>
            </w:r>
          </w:p>
        </w:tc>
        <w:tc>
          <w:tcPr>
            <w:tcW w:w="969" w:type="pct"/>
            <w:shd w:val="clear" w:color="auto" w:fill="auto"/>
            <w:vAlign w:val="center"/>
          </w:tcPr>
          <w:p w14:paraId="44748BDD">
            <w:pPr>
              <w:jc w:val="center"/>
              <w:rPr>
                <w:rFonts w:ascii="Times New Roman"/>
                <w:sz w:val="21"/>
                <w:szCs w:val="21"/>
                <w:lang w:bidi="zh-TW"/>
              </w:rPr>
            </w:pPr>
            <w:r>
              <w:rPr>
                <w:rFonts w:ascii="Times New Roman"/>
                <w:sz w:val="21"/>
                <w:szCs w:val="21"/>
                <w:lang w:bidi="zh-TW"/>
              </w:rPr>
              <w:t>≤</w:t>
            </w:r>
            <w:r>
              <w:rPr>
                <w:rFonts w:ascii="Times New Roman"/>
                <w:sz w:val="21"/>
                <w:szCs w:val="21"/>
              </w:rPr>
              <w:t>1级</w:t>
            </w:r>
          </w:p>
        </w:tc>
        <w:tc>
          <w:tcPr>
            <w:tcW w:w="1170" w:type="pct"/>
            <w:shd w:val="clear" w:color="auto" w:fill="auto"/>
            <w:vAlign w:val="center"/>
          </w:tcPr>
          <w:p w14:paraId="2676C245">
            <w:pPr>
              <w:jc w:val="center"/>
              <w:rPr>
                <w:rFonts w:ascii="Times New Roman"/>
                <w:sz w:val="21"/>
                <w:szCs w:val="21"/>
                <w:lang w:bidi="zh-TW"/>
              </w:rPr>
            </w:pPr>
            <w:r>
              <w:rPr>
                <w:rFonts w:hint="eastAsia" w:ascii="Times New Roman"/>
                <w:sz w:val="21"/>
                <w:szCs w:val="21"/>
                <w:lang w:bidi="zh-TW"/>
              </w:rPr>
              <w:t>/</w:t>
            </w:r>
          </w:p>
        </w:tc>
        <w:tc>
          <w:tcPr>
            <w:tcW w:w="922" w:type="pct"/>
            <w:shd w:val="clear" w:color="auto" w:fill="auto"/>
            <w:vAlign w:val="center"/>
          </w:tcPr>
          <w:p w14:paraId="52D9A7A2">
            <w:pPr>
              <w:jc w:val="center"/>
              <w:rPr>
                <w:rFonts w:ascii="Times New Roman"/>
                <w:sz w:val="21"/>
                <w:szCs w:val="21"/>
                <w:lang w:bidi="zh-TW"/>
              </w:rPr>
            </w:pPr>
            <w:r>
              <w:rPr>
                <w:rFonts w:hint="eastAsia" w:ascii="Times New Roman"/>
                <w:sz w:val="21"/>
                <w:szCs w:val="21"/>
                <w:lang w:bidi="zh-TW"/>
              </w:rPr>
              <w:t>/</w:t>
            </w:r>
          </w:p>
        </w:tc>
      </w:tr>
      <w:tr w14:paraId="5943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96" w:type="pct"/>
            <w:shd w:val="clear" w:color="auto" w:fill="auto"/>
            <w:vAlign w:val="center"/>
          </w:tcPr>
          <w:p w14:paraId="5790CB41">
            <w:pPr>
              <w:snapToGrid w:val="0"/>
              <w:spacing w:line="320" w:lineRule="exact"/>
              <w:contextualSpacing/>
              <w:jc w:val="center"/>
              <w:rPr>
                <w:rFonts w:ascii="Times New Roman"/>
                <w:sz w:val="21"/>
                <w:szCs w:val="21"/>
              </w:rPr>
            </w:pPr>
            <w:r>
              <w:rPr>
                <w:rFonts w:hint="eastAsia" w:ascii="Times New Roman"/>
                <w:sz w:val="21"/>
                <w:szCs w:val="21"/>
              </w:rPr>
              <w:t>10</w:t>
            </w:r>
          </w:p>
        </w:tc>
        <w:tc>
          <w:tcPr>
            <w:tcW w:w="766" w:type="pct"/>
            <w:shd w:val="clear" w:color="auto" w:fill="auto"/>
            <w:vAlign w:val="center"/>
          </w:tcPr>
          <w:p w14:paraId="23B69879">
            <w:pPr>
              <w:snapToGrid w:val="0"/>
              <w:spacing w:line="320" w:lineRule="exact"/>
              <w:contextualSpacing/>
              <w:jc w:val="center"/>
              <w:rPr>
                <w:rFonts w:ascii="Times New Roman"/>
                <w:sz w:val="21"/>
                <w:szCs w:val="21"/>
              </w:rPr>
            </w:pPr>
            <w:r>
              <w:rPr>
                <w:rFonts w:hint="eastAsia" w:ascii="Times New Roman"/>
                <w:sz w:val="21"/>
                <w:szCs w:val="21"/>
              </w:rPr>
              <w:t>DA010</w:t>
            </w:r>
          </w:p>
        </w:tc>
        <w:tc>
          <w:tcPr>
            <w:tcW w:w="774" w:type="pct"/>
            <w:shd w:val="clear" w:color="auto" w:fill="auto"/>
            <w:vAlign w:val="center"/>
          </w:tcPr>
          <w:p w14:paraId="333F534E">
            <w:pPr>
              <w:tabs>
                <w:tab w:val="left" w:pos="1680"/>
              </w:tabs>
              <w:spacing w:line="320" w:lineRule="exact"/>
              <w:jc w:val="center"/>
              <w:rPr>
                <w:rFonts w:ascii="Times New Roman"/>
                <w:snapToGrid w:val="0"/>
                <w:sz w:val="21"/>
                <w:szCs w:val="21"/>
              </w:rPr>
            </w:pPr>
            <w:r>
              <w:rPr>
                <w:rFonts w:ascii="Times New Roman"/>
                <w:sz w:val="21"/>
                <w:szCs w:val="21"/>
              </w:rPr>
              <w:t>颗粒物</w:t>
            </w:r>
          </w:p>
        </w:tc>
        <w:tc>
          <w:tcPr>
            <w:tcW w:w="969" w:type="pct"/>
            <w:shd w:val="clear" w:color="auto" w:fill="auto"/>
            <w:vAlign w:val="center"/>
          </w:tcPr>
          <w:p w14:paraId="05557007">
            <w:pPr>
              <w:jc w:val="center"/>
              <w:rPr>
                <w:rFonts w:ascii="Times New Roman"/>
                <w:sz w:val="21"/>
                <w:szCs w:val="21"/>
              </w:rPr>
            </w:pPr>
            <w:r>
              <w:rPr>
                <w:rFonts w:hint="eastAsia" w:ascii="Times New Roman"/>
                <w:sz w:val="21"/>
                <w:szCs w:val="21"/>
              </w:rPr>
              <w:t>8.312</w:t>
            </w:r>
          </w:p>
        </w:tc>
        <w:tc>
          <w:tcPr>
            <w:tcW w:w="1170" w:type="pct"/>
            <w:shd w:val="clear" w:color="auto" w:fill="auto"/>
            <w:vAlign w:val="center"/>
          </w:tcPr>
          <w:p w14:paraId="5BD342C6">
            <w:pPr>
              <w:jc w:val="center"/>
              <w:rPr>
                <w:rFonts w:ascii="Times New Roman"/>
                <w:sz w:val="21"/>
                <w:szCs w:val="21"/>
              </w:rPr>
            </w:pPr>
            <w:r>
              <w:rPr>
                <w:rFonts w:ascii="Times New Roman"/>
                <w:sz w:val="21"/>
                <w:szCs w:val="21"/>
              </w:rPr>
              <w:t>0.</w:t>
            </w:r>
            <w:r>
              <w:rPr>
                <w:rFonts w:hint="eastAsia" w:ascii="Times New Roman"/>
                <w:sz w:val="21"/>
                <w:szCs w:val="21"/>
              </w:rPr>
              <w:t>083</w:t>
            </w:r>
          </w:p>
        </w:tc>
        <w:tc>
          <w:tcPr>
            <w:tcW w:w="922" w:type="pct"/>
            <w:shd w:val="clear" w:color="auto" w:fill="auto"/>
            <w:vAlign w:val="center"/>
          </w:tcPr>
          <w:p w14:paraId="19B71D31">
            <w:pPr>
              <w:jc w:val="center"/>
              <w:rPr>
                <w:rFonts w:ascii="Times New Roman"/>
                <w:sz w:val="21"/>
                <w:szCs w:val="21"/>
              </w:rPr>
            </w:pPr>
            <w:r>
              <w:rPr>
                <w:rFonts w:hint="eastAsia" w:ascii="Times New Roman"/>
                <w:sz w:val="21"/>
                <w:szCs w:val="21"/>
              </w:rPr>
              <w:t>0.200</w:t>
            </w:r>
          </w:p>
        </w:tc>
      </w:tr>
      <w:tr w14:paraId="5392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restart"/>
            <w:shd w:val="clear" w:color="auto" w:fill="auto"/>
            <w:vAlign w:val="center"/>
          </w:tcPr>
          <w:p w14:paraId="725C6FA7">
            <w:pPr>
              <w:snapToGrid w:val="0"/>
              <w:spacing w:line="320" w:lineRule="exact"/>
              <w:contextualSpacing/>
              <w:jc w:val="center"/>
              <w:rPr>
                <w:rFonts w:ascii="Times New Roman"/>
                <w:sz w:val="21"/>
                <w:szCs w:val="21"/>
              </w:rPr>
            </w:pPr>
            <w:r>
              <w:rPr>
                <w:rFonts w:hint="eastAsia" w:ascii="Times New Roman"/>
                <w:sz w:val="21"/>
                <w:szCs w:val="21"/>
              </w:rPr>
              <w:t>11</w:t>
            </w:r>
          </w:p>
        </w:tc>
        <w:tc>
          <w:tcPr>
            <w:tcW w:w="766" w:type="pct"/>
            <w:vMerge w:val="restart"/>
            <w:shd w:val="clear" w:color="auto" w:fill="auto"/>
            <w:vAlign w:val="center"/>
          </w:tcPr>
          <w:p w14:paraId="6ECDC43E">
            <w:pPr>
              <w:snapToGrid w:val="0"/>
              <w:spacing w:line="320" w:lineRule="exact"/>
              <w:contextualSpacing/>
              <w:jc w:val="center"/>
              <w:rPr>
                <w:rFonts w:ascii="Times New Roman"/>
                <w:sz w:val="21"/>
                <w:szCs w:val="21"/>
              </w:rPr>
            </w:pPr>
            <w:r>
              <w:rPr>
                <w:rFonts w:hint="eastAsia" w:ascii="Times New Roman"/>
                <w:sz w:val="21"/>
                <w:szCs w:val="21"/>
              </w:rPr>
              <w:t>DA011</w:t>
            </w:r>
          </w:p>
        </w:tc>
        <w:tc>
          <w:tcPr>
            <w:tcW w:w="774" w:type="pct"/>
            <w:shd w:val="clear" w:color="auto" w:fill="auto"/>
            <w:vAlign w:val="center"/>
          </w:tcPr>
          <w:p w14:paraId="4024AD3F">
            <w:pPr>
              <w:tabs>
                <w:tab w:val="left" w:pos="1680"/>
              </w:tabs>
              <w:spacing w:line="320" w:lineRule="exact"/>
              <w:jc w:val="center"/>
              <w:rPr>
                <w:rFonts w:ascii="Times New Roman"/>
                <w:sz w:val="21"/>
                <w:szCs w:val="21"/>
              </w:rPr>
            </w:pPr>
            <w:r>
              <w:rPr>
                <w:rFonts w:ascii="Times New Roman"/>
                <w:sz w:val="21"/>
                <w:szCs w:val="21"/>
              </w:rPr>
              <w:t>非甲烷总烃</w:t>
            </w:r>
          </w:p>
        </w:tc>
        <w:tc>
          <w:tcPr>
            <w:tcW w:w="969" w:type="pct"/>
            <w:shd w:val="clear" w:color="auto" w:fill="auto"/>
            <w:vAlign w:val="center"/>
          </w:tcPr>
          <w:p w14:paraId="2D2DCAB7">
            <w:pPr>
              <w:jc w:val="center"/>
              <w:rPr>
                <w:rFonts w:ascii="Times New Roman"/>
                <w:sz w:val="21"/>
                <w:szCs w:val="21"/>
              </w:rPr>
            </w:pPr>
            <w:r>
              <w:rPr>
                <w:rFonts w:hint="eastAsia" w:ascii="Times New Roman"/>
                <w:sz w:val="21"/>
                <w:szCs w:val="21"/>
              </w:rPr>
              <w:t>1.247</w:t>
            </w:r>
          </w:p>
        </w:tc>
        <w:tc>
          <w:tcPr>
            <w:tcW w:w="1170" w:type="pct"/>
            <w:shd w:val="clear" w:color="auto" w:fill="auto"/>
            <w:vAlign w:val="center"/>
          </w:tcPr>
          <w:p w14:paraId="5C69979A">
            <w:pPr>
              <w:jc w:val="center"/>
              <w:rPr>
                <w:rFonts w:ascii="Times New Roman"/>
                <w:sz w:val="21"/>
                <w:szCs w:val="21"/>
              </w:rPr>
            </w:pPr>
            <w:r>
              <w:rPr>
                <w:rFonts w:hint="eastAsia" w:ascii="Times New Roman"/>
                <w:sz w:val="21"/>
                <w:szCs w:val="21"/>
              </w:rPr>
              <w:t>0.010</w:t>
            </w:r>
          </w:p>
        </w:tc>
        <w:tc>
          <w:tcPr>
            <w:tcW w:w="922" w:type="pct"/>
            <w:shd w:val="clear" w:color="auto" w:fill="auto"/>
            <w:vAlign w:val="center"/>
          </w:tcPr>
          <w:p w14:paraId="1B1A146A">
            <w:pPr>
              <w:jc w:val="center"/>
              <w:rPr>
                <w:rFonts w:ascii="Times New Roman"/>
                <w:sz w:val="21"/>
                <w:szCs w:val="21"/>
              </w:rPr>
            </w:pPr>
            <w:r>
              <w:rPr>
                <w:rFonts w:hint="eastAsia" w:ascii="Times New Roman"/>
                <w:sz w:val="21"/>
                <w:szCs w:val="21"/>
              </w:rPr>
              <w:t>0.024</w:t>
            </w:r>
          </w:p>
        </w:tc>
      </w:tr>
      <w:tr w14:paraId="3376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14F0431C">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4B9CD379">
            <w:pPr>
              <w:snapToGrid w:val="0"/>
              <w:spacing w:line="320" w:lineRule="exact"/>
              <w:contextualSpacing/>
              <w:jc w:val="center"/>
              <w:rPr>
                <w:rFonts w:ascii="Times New Roman"/>
                <w:sz w:val="21"/>
                <w:szCs w:val="21"/>
              </w:rPr>
            </w:pPr>
          </w:p>
        </w:tc>
        <w:tc>
          <w:tcPr>
            <w:tcW w:w="774" w:type="pct"/>
            <w:shd w:val="clear" w:color="auto" w:fill="auto"/>
            <w:vAlign w:val="center"/>
          </w:tcPr>
          <w:p w14:paraId="7914E456">
            <w:pPr>
              <w:tabs>
                <w:tab w:val="left" w:pos="1680"/>
              </w:tabs>
              <w:spacing w:line="320" w:lineRule="exact"/>
              <w:jc w:val="center"/>
              <w:rPr>
                <w:rFonts w:ascii="Times New Roman"/>
                <w:sz w:val="21"/>
                <w:szCs w:val="21"/>
              </w:rPr>
            </w:pPr>
            <w:r>
              <w:rPr>
                <w:rFonts w:ascii="Times New Roman"/>
                <w:sz w:val="21"/>
                <w:szCs w:val="21"/>
              </w:rPr>
              <w:t>颗粒物</w:t>
            </w:r>
          </w:p>
        </w:tc>
        <w:tc>
          <w:tcPr>
            <w:tcW w:w="969" w:type="pct"/>
            <w:shd w:val="clear" w:color="auto" w:fill="auto"/>
            <w:vAlign w:val="center"/>
          </w:tcPr>
          <w:p w14:paraId="25994A20">
            <w:pPr>
              <w:jc w:val="center"/>
              <w:rPr>
                <w:rFonts w:ascii="Times New Roman"/>
                <w:sz w:val="21"/>
                <w:szCs w:val="21"/>
                <w:lang w:bidi="zh-TW"/>
              </w:rPr>
            </w:pPr>
            <w:r>
              <w:rPr>
                <w:rFonts w:hint="eastAsia" w:ascii="Times New Roman"/>
                <w:sz w:val="21"/>
                <w:szCs w:val="21"/>
                <w:lang w:bidi="zh-TW"/>
              </w:rPr>
              <w:t>1.667</w:t>
            </w:r>
          </w:p>
        </w:tc>
        <w:tc>
          <w:tcPr>
            <w:tcW w:w="1170" w:type="pct"/>
            <w:shd w:val="clear" w:color="auto" w:fill="auto"/>
            <w:vAlign w:val="center"/>
          </w:tcPr>
          <w:p w14:paraId="3822A2BA">
            <w:pPr>
              <w:jc w:val="center"/>
              <w:rPr>
                <w:rFonts w:ascii="Times New Roman"/>
                <w:sz w:val="21"/>
                <w:szCs w:val="21"/>
                <w:lang w:bidi="zh-TW"/>
              </w:rPr>
            </w:pPr>
            <w:r>
              <w:rPr>
                <w:rFonts w:hint="eastAsia" w:ascii="Times New Roman"/>
                <w:sz w:val="21"/>
                <w:szCs w:val="21"/>
                <w:lang w:bidi="zh-TW"/>
              </w:rPr>
              <w:t>0.013</w:t>
            </w:r>
          </w:p>
        </w:tc>
        <w:tc>
          <w:tcPr>
            <w:tcW w:w="922" w:type="pct"/>
            <w:shd w:val="clear" w:color="auto" w:fill="auto"/>
            <w:vAlign w:val="center"/>
          </w:tcPr>
          <w:p w14:paraId="50FAC009">
            <w:pPr>
              <w:jc w:val="center"/>
              <w:rPr>
                <w:rFonts w:ascii="Times New Roman"/>
                <w:sz w:val="21"/>
                <w:szCs w:val="21"/>
                <w:lang w:bidi="zh-TW"/>
              </w:rPr>
            </w:pPr>
            <w:r>
              <w:rPr>
                <w:rFonts w:hint="eastAsia" w:ascii="Times New Roman"/>
                <w:sz w:val="21"/>
                <w:szCs w:val="21"/>
                <w:lang w:bidi="zh-TW"/>
              </w:rPr>
              <w:t>0.032</w:t>
            </w:r>
          </w:p>
        </w:tc>
      </w:tr>
      <w:tr w14:paraId="1939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5A1EB57B">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02CE3027">
            <w:pPr>
              <w:snapToGrid w:val="0"/>
              <w:spacing w:line="320" w:lineRule="exact"/>
              <w:contextualSpacing/>
              <w:jc w:val="center"/>
              <w:rPr>
                <w:rFonts w:ascii="Times New Roman"/>
                <w:sz w:val="21"/>
                <w:szCs w:val="21"/>
              </w:rPr>
            </w:pPr>
          </w:p>
        </w:tc>
        <w:tc>
          <w:tcPr>
            <w:tcW w:w="774" w:type="pct"/>
            <w:shd w:val="clear" w:color="auto" w:fill="auto"/>
            <w:vAlign w:val="center"/>
          </w:tcPr>
          <w:p w14:paraId="355B4954">
            <w:pPr>
              <w:tabs>
                <w:tab w:val="left" w:pos="1680"/>
              </w:tabs>
              <w:spacing w:line="32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969" w:type="pct"/>
            <w:shd w:val="clear" w:color="auto" w:fill="auto"/>
            <w:vAlign w:val="center"/>
          </w:tcPr>
          <w:p w14:paraId="2BD52E8B">
            <w:pPr>
              <w:jc w:val="center"/>
              <w:rPr>
                <w:rFonts w:ascii="Times New Roman"/>
                <w:sz w:val="21"/>
                <w:szCs w:val="21"/>
                <w:lang w:bidi="zh-TW"/>
              </w:rPr>
            </w:pPr>
            <w:r>
              <w:rPr>
                <w:rFonts w:hint="eastAsia" w:ascii="Times New Roman"/>
                <w:sz w:val="21"/>
                <w:szCs w:val="21"/>
                <w:lang w:bidi="zh-TW"/>
              </w:rPr>
              <w:t>0.208</w:t>
            </w:r>
          </w:p>
        </w:tc>
        <w:tc>
          <w:tcPr>
            <w:tcW w:w="1170" w:type="pct"/>
            <w:shd w:val="clear" w:color="auto" w:fill="auto"/>
            <w:vAlign w:val="center"/>
          </w:tcPr>
          <w:p w14:paraId="56D1F1FC">
            <w:pPr>
              <w:jc w:val="center"/>
              <w:rPr>
                <w:rFonts w:ascii="Times New Roman"/>
                <w:sz w:val="21"/>
                <w:szCs w:val="21"/>
                <w:lang w:bidi="zh-TW"/>
              </w:rPr>
            </w:pPr>
            <w:r>
              <w:rPr>
                <w:rFonts w:hint="eastAsia" w:ascii="Times New Roman"/>
                <w:sz w:val="21"/>
                <w:szCs w:val="21"/>
                <w:lang w:bidi="zh-TW"/>
              </w:rPr>
              <w:t>0.002</w:t>
            </w:r>
          </w:p>
        </w:tc>
        <w:tc>
          <w:tcPr>
            <w:tcW w:w="922" w:type="pct"/>
            <w:shd w:val="clear" w:color="auto" w:fill="auto"/>
            <w:vAlign w:val="center"/>
          </w:tcPr>
          <w:p w14:paraId="0F137894">
            <w:pPr>
              <w:jc w:val="center"/>
              <w:rPr>
                <w:rFonts w:ascii="Times New Roman"/>
                <w:sz w:val="21"/>
                <w:szCs w:val="21"/>
                <w:lang w:bidi="zh-TW"/>
              </w:rPr>
            </w:pPr>
            <w:r>
              <w:rPr>
                <w:rFonts w:hint="eastAsia" w:ascii="Times New Roman"/>
                <w:sz w:val="21"/>
                <w:szCs w:val="21"/>
                <w:lang w:bidi="zh-TW"/>
              </w:rPr>
              <w:t>0.004</w:t>
            </w:r>
          </w:p>
        </w:tc>
      </w:tr>
      <w:tr w14:paraId="0652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7761F159">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40375364">
            <w:pPr>
              <w:snapToGrid w:val="0"/>
              <w:spacing w:line="320" w:lineRule="exact"/>
              <w:contextualSpacing/>
              <w:jc w:val="center"/>
              <w:rPr>
                <w:rFonts w:ascii="Times New Roman"/>
                <w:sz w:val="21"/>
                <w:szCs w:val="21"/>
              </w:rPr>
            </w:pPr>
          </w:p>
        </w:tc>
        <w:tc>
          <w:tcPr>
            <w:tcW w:w="774" w:type="pct"/>
            <w:shd w:val="clear" w:color="auto" w:fill="auto"/>
            <w:vAlign w:val="center"/>
          </w:tcPr>
          <w:p w14:paraId="62F6C80E">
            <w:pPr>
              <w:tabs>
                <w:tab w:val="left" w:pos="1680"/>
              </w:tabs>
              <w:spacing w:line="320" w:lineRule="exact"/>
              <w:jc w:val="center"/>
              <w:rPr>
                <w:rFonts w:ascii="Times New Roman"/>
                <w:snapToGrid w:val="0"/>
                <w:sz w:val="21"/>
                <w:szCs w:val="21"/>
              </w:rPr>
            </w:pPr>
            <w:r>
              <w:rPr>
                <w:rFonts w:ascii="Times New Roman"/>
                <w:snapToGrid w:val="0"/>
                <w:sz w:val="21"/>
                <w:szCs w:val="21"/>
              </w:rPr>
              <w:t>NOx</w:t>
            </w:r>
          </w:p>
        </w:tc>
        <w:tc>
          <w:tcPr>
            <w:tcW w:w="969" w:type="pct"/>
            <w:shd w:val="clear" w:color="auto" w:fill="auto"/>
            <w:vAlign w:val="center"/>
          </w:tcPr>
          <w:p w14:paraId="75E5611A">
            <w:pPr>
              <w:jc w:val="center"/>
              <w:rPr>
                <w:rFonts w:ascii="Times New Roman"/>
                <w:sz w:val="21"/>
                <w:szCs w:val="21"/>
                <w:lang w:bidi="zh-TW"/>
              </w:rPr>
            </w:pPr>
            <w:r>
              <w:rPr>
                <w:rFonts w:hint="eastAsia" w:ascii="Times New Roman"/>
                <w:sz w:val="21"/>
                <w:szCs w:val="21"/>
                <w:lang w:bidi="zh-TW"/>
              </w:rPr>
              <w:t>5.417</w:t>
            </w:r>
          </w:p>
        </w:tc>
        <w:tc>
          <w:tcPr>
            <w:tcW w:w="1170" w:type="pct"/>
            <w:shd w:val="clear" w:color="auto" w:fill="auto"/>
            <w:vAlign w:val="center"/>
          </w:tcPr>
          <w:p w14:paraId="2DA5EE52">
            <w:pPr>
              <w:jc w:val="center"/>
              <w:rPr>
                <w:rFonts w:ascii="Times New Roman"/>
                <w:sz w:val="21"/>
                <w:szCs w:val="21"/>
                <w:lang w:bidi="zh-TW"/>
              </w:rPr>
            </w:pPr>
            <w:r>
              <w:rPr>
                <w:rFonts w:hint="eastAsia" w:ascii="Times New Roman"/>
                <w:sz w:val="21"/>
                <w:szCs w:val="21"/>
                <w:lang w:bidi="zh-TW"/>
              </w:rPr>
              <w:t>0.043</w:t>
            </w:r>
          </w:p>
        </w:tc>
        <w:tc>
          <w:tcPr>
            <w:tcW w:w="922" w:type="pct"/>
            <w:shd w:val="clear" w:color="auto" w:fill="auto"/>
            <w:vAlign w:val="center"/>
          </w:tcPr>
          <w:p w14:paraId="027F1627">
            <w:pPr>
              <w:jc w:val="center"/>
              <w:rPr>
                <w:rFonts w:ascii="Times New Roman"/>
                <w:sz w:val="21"/>
                <w:szCs w:val="21"/>
                <w:lang w:bidi="zh-TW"/>
              </w:rPr>
            </w:pPr>
            <w:r>
              <w:rPr>
                <w:rFonts w:hint="eastAsia" w:ascii="Times New Roman"/>
                <w:sz w:val="21"/>
                <w:szCs w:val="21"/>
                <w:lang w:bidi="zh-TW"/>
              </w:rPr>
              <w:t>0.104</w:t>
            </w:r>
          </w:p>
        </w:tc>
      </w:tr>
      <w:tr w14:paraId="5925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96" w:type="pct"/>
            <w:vMerge w:val="continue"/>
            <w:shd w:val="clear" w:color="auto" w:fill="auto"/>
            <w:vAlign w:val="center"/>
          </w:tcPr>
          <w:p w14:paraId="61D99960">
            <w:pPr>
              <w:snapToGrid w:val="0"/>
              <w:spacing w:line="320" w:lineRule="exact"/>
              <w:contextualSpacing/>
              <w:jc w:val="center"/>
              <w:rPr>
                <w:rFonts w:ascii="Times New Roman"/>
                <w:sz w:val="21"/>
                <w:szCs w:val="21"/>
              </w:rPr>
            </w:pPr>
          </w:p>
        </w:tc>
        <w:tc>
          <w:tcPr>
            <w:tcW w:w="766" w:type="pct"/>
            <w:vMerge w:val="continue"/>
            <w:shd w:val="clear" w:color="auto" w:fill="auto"/>
            <w:vAlign w:val="center"/>
          </w:tcPr>
          <w:p w14:paraId="65255D85">
            <w:pPr>
              <w:snapToGrid w:val="0"/>
              <w:spacing w:line="320" w:lineRule="exact"/>
              <w:contextualSpacing/>
              <w:jc w:val="center"/>
              <w:rPr>
                <w:rFonts w:ascii="Times New Roman"/>
                <w:sz w:val="21"/>
                <w:szCs w:val="21"/>
              </w:rPr>
            </w:pPr>
          </w:p>
        </w:tc>
        <w:tc>
          <w:tcPr>
            <w:tcW w:w="774" w:type="pct"/>
            <w:shd w:val="clear" w:color="auto" w:fill="auto"/>
            <w:vAlign w:val="center"/>
          </w:tcPr>
          <w:p w14:paraId="2E8BE27E">
            <w:pPr>
              <w:tabs>
                <w:tab w:val="left" w:pos="1680"/>
              </w:tabs>
              <w:spacing w:line="320" w:lineRule="exact"/>
              <w:jc w:val="center"/>
              <w:rPr>
                <w:rFonts w:ascii="Times New Roman"/>
                <w:sz w:val="21"/>
                <w:szCs w:val="21"/>
              </w:rPr>
            </w:pPr>
            <w:r>
              <w:rPr>
                <w:rFonts w:ascii="Times New Roman"/>
                <w:sz w:val="21"/>
                <w:szCs w:val="21"/>
              </w:rPr>
              <w:t>烟气黑度</w:t>
            </w:r>
          </w:p>
        </w:tc>
        <w:tc>
          <w:tcPr>
            <w:tcW w:w="969" w:type="pct"/>
            <w:shd w:val="clear" w:color="auto" w:fill="auto"/>
            <w:vAlign w:val="center"/>
          </w:tcPr>
          <w:p w14:paraId="26DE550D">
            <w:pPr>
              <w:jc w:val="center"/>
              <w:rPr>
                <w:rFonts w:ascii="Times New Roman"/>
                <w:sz w:val="21"/>
                <w:szCs w:val="21"/>
                <w:lang w:bidi="zh-TW"/>
              </w:rPr>
            </w:pPr>
            <w:r>
              <w:rPr>
                <w:rFonts w:ascii="Times New Roman"/>
                <w:sz w:val="21"/>
                <w:szCs w:val="21"/>
                <w:lang w:bidi="zh-TW"/>
              </w:rPr>
              <w:t>≤1级</w:t>
            </w:r>
          </w:p>
        </w:tc>
        <w:tc>
          <w:tcPr>
            <w:tcW w:w="1170" w:type="pct"/>
            <w:shd w:val="clear" w:color="auto" w:fill="auto"/>
            <w:vAlign w:val="center"/>
          </w:tcPr>
          <w:p w14:paraId="49631086">
            <w:pPr>
              <w:jc w:val="center"/>
              <w:rPr>
                <w:rFonts w:ascii="Times New Roman"/>
                <w:sz w:val="21"/>
                <w:szCs w:val="21"/>
                <w:lang w:bidi="zh-TW"/>
              </w:rPr>
            </w:pPr>
            <w:r>
              <w:rPr>
                <w:rFonts w:hint="eastAsia" w:ascii="Times New Roman"/>
                <w:sz w:val="21"/>
                <w:szCs w:val="21"/>
                <w:lang w:bidi="zh-TW"/>
              </w:rPr>
              <w:t>/</w:t>
            </w:r>
          </w:p>
        </w:tc>
        <w:tc>
          <w:tcPr>
            <w:tcW w:w="922" w:type="pct"/>
            <w:shd w:val="clear" w:color="auto" w:fill="auto"/>
            <w:vAlign w:val="center"/>
          </w:tcPr>
          <w:p w14:paraId="57AB1B8F">
            <w:pPr>
              <w:jc w:val="center"/>
              <w:rPr>
                <w:rFonts w:ascii="Times New Roman"/>
                <w:sz w:val="21"/>
                <w:szCs w:val="21"/>
                <w:lang w:bidi="zh-TW"/>
              </w:rPr>
            </w:pPr>
            <w:r>
              <w:rPr>
                <w:rFonts w:hint="eastAsia" w:ascii="Times New Roman"/>
                <w:sz w:val="21"/>
                <w:szCs w:val="21"/>
                <w:lang w:bidi="zh-TW"/>
              </w:rPr>
              <w:t>/</w:t>
            </w:r>
          </w:p>
        </w:tc>
      </w:tr>
      <w:tr w14:paraId="19DB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000" w:type="pct"/>
            <w:gridSpan w:val="6"/>
            <w:shd w:val="clear" w:color="auto" w:fill="auto"/>
            <w:vAlign w:val="center"/>
          </w:tcPr>
          <w:p w14:paraId="6293F340">
            <w:pPr>
              <w:snapToGrid w:val="0"/>
              <w:spacing w:line="320" w:lineRule="exact"/>
              <w:contextualSpacing/>
              <w:jc w:val="center"/>
              <w:rPr>
                <w:rFonts w:ascii="Times New Roman"/>
                <w:sz w:val="21"/>
                <w:szCs w:val="21"/>
              </w:rPr>
            </w:pPr>
            <w:r>
              <w:rPr>
                <w:rFonts w:ascii="Times New Roman"/>
                <w:sz w:val="21"/>
                <w:szCs w:val="21"/>
              </w:rPr>
              <w:t>有组织排放总计</w:t>
            </w:r>
          </w:p>
        </w:tc>
      </w:tr>
      <w:tr w14:paraId="5C2E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63" w:type="pct"/>
            <w:gridSpan w:val="2"/>
            <w:vMerge w:val="restart"/>
            <w:shd w:val="clear" w:color="auto" w:fill="auto"/>
            <w:vAlign w:val="center"/>
          </w:tcPr>
          <w:p w14:paraId="7D3CB7F7">
            <w:pPr>
              <w:snapToGrid w:val="0"/>
              <w:spacing w:line="320" w:lineRule="exact"/>
              <w:contextualSpacing/>
              <w:jc w:val="center"/>
              <w:rPr>
                <w:rFonts w:ascii="Times New Roman"/>
                <w:sz w:val="21"/>
                <w:szCs w:val="21"/>
              </w:rPr>
            </w:pPr>
            <w:r>
              <w:rPr>
                <w:rFonts w:ascii="Times New Roman"/>
                <w:sz w:val="21"/>
                <w:szCs w:val="21"/>
              </w:rPr>
              <w:t>有组织排放总计</w:t>
            </w:r>
          </w:p>
        </w:tc>
        <w:tc>
          <w:tcPr>
            <w:tcW w:w="2914" w:type="pct"/>
            <w:gridSpan w:val="3"/>
            <w:tcBorders>
              <w:bottom w:val="single" w:color="auto" w:sz="4" w:space="0"/>
            </w:tcBorders>
            <w:shd w:val="clear" w:color="auto" w:fill="auto"/>
            <w:vAlign w:val="center"/>
          </w:tcPr>
          <w:p w14:paraId="187BD577">
            <w:pPr>
              <w:pStyle w:val="20"/>
              <w:spacing w:line="320" w:lineRule="exact"/>
              <w:ind w:firstLine="0"/>
              <w:jc w:val="center"/>
              <w:rPr>
                <w:rFonts w:eastAsia="宋体"/>
                <w:szCs w:val="21"/>
              </w:rPr>
            </w:pPr>
            <w:r>
              <w:rPr>
                <w:rFonts w:eastAsia="宋体"/>
                <w:szCs w:val="21"/>
              </w:rPr>
              <w:t>颗粒物</w:t>
            </w:r>
          </w:p>
        </w:tc>
        <w:tc>
          <w:tcPr>
            <w:tcW w:w="922" w:type="pct"/>
            <w:shd w:val="clear" w:color="auto" w:fill="auto"/>
            <w:vAlign w:val="center"/>
          </w:tcPr>
          <w:p w14:paraId="1582D7ED">
            <w:pPr>
              <w:jc w:val="center"/>
              <w:rPr>
                <w:rFonts w:ascii="Times New Roman"/>
                <w:sz w:val="21"/>
                <w:szCs w:val="21"/>
                <w:lang w:bidi="zh-TW"/>
              </w:rPr>
            </w:pPr>
            <w:r>
              <w:rPr>
                <w:rFonts w:hint="eastAsia" w:ascii="Times New Roman"/>
                <w:sz w:val="21"/>
                <w:szCs w:val="21"/>
                <w:lang w:bidi="zh-TW"/>
              </w:rPr>
              <w:t>14.431</w:t>
            </w:r>
          </w:p>
        </w:tc>
      </w:tr>
      <w:tr w14:paraId="6EAC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63" w:type="pct"/>
            <w:gridSpan w:val="2"/>
            <w:vMerge w:val="continue"/>
            <w:shd w:val="clear" w:color="auto" w:fill="auto"/>
            <w:vAlign w:val="center"/>
          </w:tcPr>
          <w:p w14:paraId="611EA8B0">
            <w:pPr>
              <w:snapToGrid w:val="0"/>
              <w:spacing w:line="320" w:lineRule="exact"/>
              <w:contextualSpacing/>
              <w:jc w:val="center"/>
              <w:rPr>
                <w:rFonts w:ascii="Times New Roman"/>
                <w:sz w:val="21"/>
                <w:szCs w:val="21"/>
              </w:rPr>
            </w:pPr>
          </w:p>
        </w:tc>
        <w:tc>
          <w:tcPr>
            <w:tcW w:w="2914" w:type="pct"/>
            <w:gridSpan w:val="3"/>
            <w:tcBorders>
              <w:bottom w:val="single" w:color="auto" w:sz="4" w:space="0"/>
            </w:tcBorders>
            <w:shd w:val="clear" w:color="auto" w:fill="auto"/>
            <w:vAlign w:val="center"/>
          </w:tcPr>
          <w:p w14:paraId="30FB95C1">
            <w:pPr>
              <w:pStyle w:val="20"/>
              <w:spacing w:line="320" w:lineRule="exact"/>
              <w:ind w:firstLine="0"/>
              <w:jc w:val="center"/>
              <w:rPr>
                <w:rFonts w:eastAsia="宋体"/>
                <w:szCs w:val="21"/>
              </w:rPr>
            </w:pPr>
            <w:r>
              <w:rPr>
                <w:rFonts w:eastAsia="宋体"/>
                <w:szCs w:val="21"/>
              </w:rPr>
              <w:t>SO</w:t>
            </w:r>
            <w:r>
              <w:rPr>
                <w:rFonts w:eastAsia="宋体"/>
                <w:szCs w:val="21"/>
                <w:vertAlign w:val="subscript"/>
              </w:rPr>
              <w:t>2</w:t>
            </w:r>
          </w:p>
        </w:tc>
        <w:tc>
          <w:tcPr>
            <w:tcW w:w="922" w:type="pct"/>
            <w:shd w:val="clear" w:color="auto" w:fill="auto"/>
            <w:vAlign w:val="center"/>
          </w:tcPr>
          <w:p w14:paraId="481D9BED">
            <w:pPr>
              <w:jc w:val="center"/>
              <w:rPr>
                <w:rFonts w:ascii="Times New Roman"/>
                <w:sz w:val="21"/>
                <w:szCs w:val="21"/>
                <w:lang w:bidi="zh-TW"/>
              </w:rPr>
            </w:pPr>
            <w:r>
              <w:rPr>
                <w:rFonts w:hint="eastAsia" w:ascii="Times New Roman"/>
                <w:sz w:val="21"/>
                <w:szCs w:val="21"/>
                <w:lang w:bidi="zh-TW"/>
              </w:rPr>
              <w:t>0.072</w:t>
            </w:r>
          </w:p>
        </w:tc>
      </w:tr>
      <w:tr w14:paraId="227E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63" w:type="pct"/>
            <w:gridSpan w:val="2"/>
            <w:vMerge w:val="continue"/>
            <w:shd w:val="clear" w:color="auto" w:fill="auto"/>
            <w:vAlign w:val="center"/>
          </w:tcPr>
          <w:p w14:paraId="0D517092">
            <w:pPr>
              <w:snapToGrid w:val="0"/>
              <w:spacing w:line="320" w:lineRule="exact"/>
              <w:contextualSpacing/>
              <w:jc w:val="center"/>
              <w:rPr>
                <w:rFonts w:ascii="Times New Roman"/>
                <w:sz w:val="21"/>
                <w:szCs w:val="21"/>
              </w:rPr>
            </w:pPr>
          </w:p>
        </w:tc>
        <w:tc>
          <w:tcPr>
            <w:tcW w:w="2914" w:type="pct"/>
            <w:gridSpan w:val="3"/>
            <w:tcBorders>
              <w:bottom w:val="single" w:color="auto" w:sz="4" w:space="0"/>
            </w:tcBorders>
            <w:shd w:val="clear" w:color="auto" w:fill="auto"/>
            <w:vAlign w:val="center"/>
          </w:tcPr>
          <w:p w14:paraId="658C48E8">
            <w:pPr>
              <w:pStyle w:val="20"/>
              <w:spacing w:line="320" w:lineRule="exact"/>
              <w:ind w:firstLine="0"/>
              <w:jc w:val="center"/>
              <w:rPr>
                <w:rFonts w:eastAsia="宋体"/>
                <w:szCs w:val="21"/>
              </w:rPr>
            </w:pPr>
            <w:r>
              <w:rPr>
                <w:rFonts w:eastAsia="宋体"/>
                <w:szCs w:val="21"/>
              </w:rPr>
              <w:t>NOx</w:t>
            </w:r>
          </w:p>
        </w:tc>
        <w:tc>
          <w:tcPr>
            <w:tcW w:w="922" w:type="pct"/>
            <w:shd w:val="clear" w:color="auto" w:fill="auto"/>
            <w:vAlign w:val="center"/>
          </w:tcPr>
          <w:p w14:paraId="29AB1592">
            <w:pPr>
              <w:jc w:val="center"/>
              <w:rPr>
                <w:rFonts w:ascii="Times New Roman"/>
                <w:sz w:val="21"/>
                <w:szCs w:val="21"/>
                <w:lang w:bidi="zh-TW"/>
              </w:rPr>
            </w:pPr>
            <w:r>
              <w:rPr>
                <w:rFonts w:hint="eastAsia" w:ascii="Times New Roman"/>
                <w:sz w:val="21"/>
                <w:szCs w:val="21"/>
                <w:lang w:bidi="zh-TW"/>
              </w:rPr>
              <w:t>4.313</w:t>
            </w:r>
          </w:p>
        </w:tc>
      </w:tr>
      <w:tr w14:paraId="0F76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63" w:type="pct"/>
            <w:gridSpan w:val="2"/>
            <w:vMerge w:val="continue"/>
            <w:shd w:val="clear" w:color="auto" w:fill="auto"/>
            <w:vAlign w:val="center"/>
          </w:tcPr>
          <w:p w14:paraId="2CF213D4">
            <w:pPr>
              <w:snapToGrid w:val="0"/>
              <w:spacing w:line="320" w:lineRule="exact"/>
              <w:contextualSpacing/>
              <w:jc w:val="center"/>
              <w:rPr>
                <w:rFonts w:ascii="Times New Roman"/>
                <w:sz w:val="21"/>
                <w:szCs w:val="21"/>
              </w:rPr>
            </w:pPr>
          </w:p>
        </w:tc>
        <w:tc>
          <w:tcPr>
            <w:tcW w:w="2914" w:type="pct"/>
            <w:gridSpan w:val="3"/>
            <w:tcBorders>
              <w:bottom w:val="single" w:color="auto" w:sz="4" w:space="0"/>
            </w:tcBorders>
            <w:shd w:val="clear" w:color="auto" w:fill="auto"/>
            <w:vAlign w:val="center"/>
          </w:tcPr>
          <w:p w14:paraId="1B597131">
            <w:pPr>
              <w:pStyle w:val="20"/>
              <w:spacing w:line="320" w:lineRule="exact"/>
              <w:ind w:firstLine="0"/>
              <w:jc w:val="center"/>
              <w:rPr>
                <w:rFonts w:eastAsia="宋体"/>
                <w:szCs w:val="21"/>
              </w:rPr>
            </w:pPr>
            <w:r>
              <w:rPr>
                <w:rFonts w:eastAsia="宋体"/>
                <w:szCs w:val="21"/>
              </w:rPr>
              <w:t>非甲烷总烃</w:t>
            </w:r>
          </w:p>
        </w:tc>
        <w:tc>
          <w:tcPr>
            <w:tcW w:w="922" w:type="pct"/>
            <w:shd w:val="clear" w:color="auto" w:fill="auto"/>
            <w:vAlign w:val="center"/>
          </w:tcPr>
          <w:p w14:paraId="1969FD4E">
            <w:pPr>
              <w:jc w:val="center"/>
              <w:rPr>
                <w:rFonts w:ascii="Times New Roman"/>
                <w:sz w:val="21"/>
                <w:szCs w:val="21"/>
                <w:lang w:bidi="zh-TW"/>
              </w:rPr>
            </w:pPr>
            <w:r>
              <w:rPr>
                <w:rFonts w:hint="eastAsia" w:ascii="Times New Roman"/>
                <w:sz w:val="21"/>
                <w:szCs w:val="21"/>
                <w:lang w:bidi="zh-TW"/>
              </w:rPr>
              <w:t>16.673</w:t>
            </w:r>
          </w:p>
        </w:tc>
      </w:tr>
      <w:tr w14:paraId="7D22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63" w:type="pct"/>
            <w:gridSpan w:val="2"/>
            <w:vMerge w:val="continue"/>
            <w:shd w:val="clear" w:color="auto" w:fill="auto"/>
            <w:vAlign w:val="center"/>
          </w:tcPr>
          <w:p w14:paraId="5FE15194">
            <w:pPr>
              <w:snapToGrid w:val="0"/>
              <w:spacing w:line="320" w:lineRule="exact"/>
              <w:contextualSpacing/>
              <w:jc w:val="center"/>
              <w:rPr>
                <w:rFonts w:ascii="Times New Roman"/>
                <w:sz w:val="21"/>
                <w:szCs w:val="21"/>
              </w:rPr>
            </w:pPr>
          </w:p>
        </w:tc>
        <w:tc>
          <w:tcPr>
            <w:tcW w:w="2914" w:type="pct"/>
            <w:gridSpan w:val="3"/>
            <w:tcBorders>
              <w:bottom w:val="single" w:color="auto" w:sz="4" w:space="0"/>
            </w:tcBorders>
            <w:shd w:val="clear" w:color="auto" w:fill="auto"/>
            <w:vAlign w:val="center"/>
          </w:tcPr>
          <w:p w14:paraId="52D4626A">
            <w:pPr>
              <w:tabs>
                <w:tab w:val="left" w:pos="1680"/>
              </w:tabs>
              <w:spacing w:line="320" w:lineRule="exact"/>
              <w:jc w:val="center"/>
              <w:rPr>
                <w:rFonts w:ascii="Times New Roman"/>
                <w:sz w:val="21"/>
                <w:szCs w:val="21"/>
              </w:rPr>
            </w:pPr>
            <w:r>
              <w:rPr>
                <w:rFonts w:ascii="Times New Roman"/>
                <w:sz w:val="21"/>
                <w:szCs w:val="21"/>
              </w:rPr>
              <w:t>甲苯与二甲苯合计</w:t>
            </w:r>
          </w:p>
        </w:tc>
        <w:tc>
          <w:tcPr>
            <w:tcW w:w="922" w:type="pct"/>
            <w:shd w:val="clear" w:color="auto" w:fill="auto"/>
            <w:vAlign w:val="center"/>
          </w:tcPr>
          <w:p w14:paraId="49622489">
            <w:pPr>
              <w:pStyle w:val="20"/>
              <w:spacing w:line="260" w:lineRule="exact"/>
              <w:ind w:firstLine="0"/>
              <w:jc w:val="center"/>
              <w:rPr>
                <w:szCs w:val="21"/>
              </w:rPr>
            </w:pPr>
            <w:r>
              <w:rPr>
                <w:rFonts w:hint="eastAsia"/>
                <w:szCs w:val="21"/>
              </w:rPr>
              <w:t>4.587</w:t>
            </w:r>
          </w:p>
        </w:tc>
      </w:tr>
    </w:tbl>
    <w:p w14:paraId="0DD3D9B4">
      <w:pPr>
        <w:snapToGrid w:val="0"/>
        <w:spacing w:line="480" w:lineRule="exact"/>
        <w:ind w:firstLine="482" w:firstLineChars="200"/>
        <w:contextualSpacing/>
        <w:jc w:val="center"/>
        <w:rPr>
          <w:rFonts w:ascii="Times New Roman"/>
          <w:b/>
          <w:bCs/>
          <w:sz w:val="24"/>
          <w:szCs w:val="24"/>
        </w:rPr>
      </w:pPr>
    </w:p>
    <w:p w14:paraId="52E537EC">
      <w:pPr>
        <w:snapToGrid w:val="0"/>
        <w:spacing w:line="480" w:lineRule="exact"/>
        <w:ind w:firstLine="482" w:firstLineChars="200"/>
        <w:contextualSpacing/>
        <w:jc w:val="center"/>
        <w:rPr>
          <w:rFonts w:ascii="Times New Roman"/>
          <w:b/>
          <w:bCs/>
          <w:sz w:val="24"/>
          <w:szCs w:val="24"/>
        </w:rPr>
      </w:pPr>
      <w:r>
        <w:rPr>
          <w:rFonts w:ascii="Times New Roman"/>
          <w:b/>
          <w:bCs/>
          <w:sz w:val="24"/>
          <w:szCs w:val="24"/>
        </w:rPr>
        <w:t>表5.2</w:t>
      </w:r>
      <w:r>
        <w:rPr>
          <w:rFonts w:hint="eastAsia" w:ascii="Times New Roman"/>
          <w:b/>
          <w:bCs/>
          <w:sz w:val="24"/>
          <w:szCs w:val="24"/>
        </w:rPr>
        <w:t>.1</w:t>
      </w:r>
      <w:r>
        <w:rPr>
          <w:rFonts w:ascii="Times New Roman"/>
          <w:b/>
          <w:bCs/>
          <w:sz w:val="24"/>
          <w:szCs w:val="24"/>
        </w:rPr>
        <w:t>-</w:t>
      </w:r>
      <w:r>
        <w:rPr>
          <w:rFonts w:hint="eastAsia" w:ascii="Times New Roman"/>
          <w:b/>
          <w:bCs/>
          <w:sz w:val="24"/>
          <w:szCs w:val="24"/>
        </w:rPr>
        <w:t>9</w:t>
      </w:r>
      <w:r>
        <w:rPr>
          <w:rFonts w:ascii="Times New Roman"/>
          <w:b/>
          <w:bCs/>
          <w:sz w:val="24"/>
          <w:szCs w:val="24"/>
        </w:rPr>
        <w:t xml:space="preserve">  大气污染物无组织排放量核算表</w:t>
      </w:r>
    </w:p>
    <w:tbl>
      <w:tblPr>
        <w:tblStyle w:val="84"/>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561"/>
        <w:gridCol w:w="449"/>
        <w:gridCol w:w="196"/>
        <w:gridCol w:w="1135"/>
        <w:gridCol w:w="992"/>
        <w:gridCol w:w="2321"/>
        <w:gridCol w:w="1223"/>
        <w:gridCol w:w="944"/>
      </w:tblGrid>
      <w:tr w14:paraId="219E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293" w:type="pct"/>
            <w:vMerge w:val="restart"/>
            <w:shd w:val="clear" w:color="auto" w:fill="auto"/>
            <w:vAlign w:val="center"/>
          </w:tcPr>
          <w:p w14:paraId="31A04C0C">
            <w:pPr>
              <w:snapToGrid w:val="0"/>
              <w:spacing w:line="320" w:lineRule="exact"/>
              <w:contextualSpacing/>
              <w:jc w:val="center"/>
              <w:rPr>
                <w:rFonts w:ascii="Times New Roman"/>
                <w:sz w:val="21"/>
                <w:szCs w:val="21"/>
              </w:rPr>
            </w:pPr>
            <w:r>
              <w:rPr>
                <w:rFonts w:ascii="Times New Roman"/>
                <w:sz w:val="21"/>
                <w:szCs w:val="21"/>
              </w:rPr>
              <w:t>序号</w:t>
            </w:r>
          </w:p>
        </w:tc>
        <w:tc>
          <w:tcPr>
            <w:tcW w:w="338" w:type="pct"/>
            <w:vMerge w:val="restart"/>
            <w:shd w:val="clear" w:color="auto" w:fill="auto"/>
            <w:vAlign w:val="center"/>
          </w:tcPr>
          <w:p w14:paraId="2F459DAE">
            <w:pPr>
              <w:snapToGrid w:val="0"/>
              <w:spacing w:line="320" w:lineRule="exact"/>
              <w:contextualSpacing/>
              <w:jc w:val="center"/>
              <w:rPr>
                <w:rFonts w:ascii="Times New Roman"/>
                <w:sz w:val="21"/>
                <w:szCs w:val="21"/>
              </w:rPr>
            </w:pPr>
            <w:r>
              <w:rPr>
                <w:rFonts w:ascii="Times New Roman"/>
                <w:sz w:val="21"/>
                <w:szCs w:val="21"/>
              </w:rPr>
              <w:t>排放口编号</w:t>
            </w:r>
          </w:p>
        </w:tc>
        <w:tc>
          <w:tcPr>
            <w:tcW w:w="388" w:type="pct"/>
            <w:gridSpan w:val="2"/>
            <w:vMerge w:val="restart"/>
            <w:shd w:val="clear" w:color="auto" w:fill="auto"/>
            <w:vAlign w:val="center"/>
          </w:tcPr>
          <w:p w14:paraId="2F109FE3">
            <w:pPr>
              <w:snapToGrid w:val="0"/>
              <w:spacing w:line="320" w:lineRule="exact"/>
              <w:contextualSpacing/>
              <w:jc w:val="center"/>
              <w:rPr>
                <w:rFonts w:ascii="Times New Roman"/>
                <w:sz w:val="21"/>
                <w:szCs w:val="21"/>
              </w:rPr>
            </w:pPr>
            <w:r>
              <w:rPr>
                <w:rFonts w:ascii="Times New Roman"/>
                <w:sz w:val="21"/>
                <w:szCs w:val="21"/>
              </w:rPr>
              <w:t>产污环节</w:t>
            </w:r>
          </w:p>
        </w:tc>
        <w:tc>
          <w:tcPr>
            <w:tcW w:w="683" w:type="pct"/>
            <w:vMerge w:val="restart"/>
            <w:shd w:val="clear" w:color="auto" w:fill="auto"/>
            <w:vAlign w:val="center"/>
          </w:tcPr>
          <w:p w14:paraId="7241FCAC">
            <w:pPr>
              <w:snapToGrid w:val="0"/>
              <w:spacing w:line="320" w:lineRule="exact"/>
              <w:contextualSpacing/>
              <w:jc w:val="center"/>
              <w:rPr>
                <w:rFonts w:ascii="Times New Roman"/>
                <w:sz w:val="21"/>
                <w:szCs w:val="21"/>
              </w:rPr>
            </w:pPr>
            <w:r>
              <w:rPr>
                <w:rFonts w:ascii="Times New Roman"/>
                <w:sz w:val="21"/>
                <w:szCs w:val="21"/>
              </w:rPr>
              <w:t>污染物</w:t>
            </w:r>
          </w:p>
        </w:tc>
        <w:tc>
          <w:tcPr>
            <w:tcW w:w="597" w:type="pct"/>
            <w:vMerge w:val="restart"/>
            <w:shd w:val="clear" w:color="auto" w:fill="auto"/>
            <w:vAlign w:val="center"/>
          </w:tcPr>
          <w:p w14:paraId="17673287">
            <w:pPr>
              <w:snapToGrid w:val="0"/>
              <w:spacing w:line="320" w:lineRule="exact"/>
              <w:contextualSpacing/>
              <w:jc w:val="center"/>
              <w:rPr>
                <w:rFonts w:ascii="Times New Roman"/>
                <w:sz w:val="21"/>
                <w:szCs w:val="21"/>
              </w:rPr>
            </w:pPr>
            <w:r>
              <w:rPr>
                <w:rFonts w:ascii="Times New Roman"/>
                <w:sz w:val="21"/>
                <w:szCs w:val="21"/>
              </w:rPr>
              <w:t>主要污染防治措施</w:t>
            </w:r>
          </w:p>
        </w:tc>
        <w:tc>
          <w:tcPr>
            <w:tcW w:w="2133" w:type="pct"/>
            <w:gridSpan w:val="2"/>
            <w:shd w:val="clear" w:color="auto" w:fill="auto"/>
            <w:vAlign w:val="center"/>
          </w:tcPr>
          <w:p w14:paraId="17CD665A">
            <w:pPr>
              <w:snapToGrid w:val="0"/>
              <w:spacing w:line="320" w:lineRule="exact"/>
              <w:contextualSpacing/>
              <w:jc w:val="center"/>
              <w:rPr>
                <w:rFonts w:ascii="Times New Roman"/>
                <w:sz w:val="21"/>
                <w:szCs w:val="21"/>
              </w:rPr>
            </w:pPr>
            <w:r>
              <w:rPr>
                <w:rFonts w:ascii="Times New Roman"/>
                <w:sz w:val="21"/>
                <w:szCs w:val="21"/>
              </w:rPr>
              <w:t>国家或地方污染物排放标准</w:t>
            </w:r>
          </w:p>
        </w:tc>
        <w:tc>
          <w:tcPr>
            <w:tcW w:w="565" w:type="pct"/>
            <w:vMerge w:val="restart"/>
            <w:shd w:val="clear" w:color="auto" w:fill="auto"/>
            <w:vAlign w:val="center"/>
          </w:tcPr>
          <w:p w14:paraId="1B9E3E58">
            <w:pPr>
              <w:snapToGrid w:val="0"/>
              <w:spacing w:line="320" w:lineRule="exact"/>
              <w:contextualSpacing/>
              <w:jc w:val="center"/>
              <w:rPr>
                <w:rFonts w:ascii="Times New Roman"/>
                <w:sz w:val="21"/>
                <w:szCs w:val="21"/>
              </w:rPr>
            </w:pPr>
            <w:r>
              <w:rPr>
                <w:rFonts w:ascii="Times New Roman"/>
                <w:sz w:val="21"/>
                <w:szCs w:val="21"/>
              </w:rPr>
              <w:t>年排放量/（t/a）</w:t>
            </w:r>
          </w:p>
        </w:tc>
      </w:tr>
      <w:tr w14:paraId="22A8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293" w:type="pct"/>
            <w:vMerge w:val="continue"/>
            <w:vAlign w:val="center"/>
          </w:tcPr>
          <w:p w14:paraId="5C5C6809">
            <w:pPr>
              <w:snapToGrid w:val="0"/>
              <w:spacing w:line="320" w:lineRule="exact"/>
              <w:contextualSpacing/>
              <w:jc w:val="center"/>
              <w:rPr>
                <w:rFonts w:ascii="Times New Roman"/>
                <w:sz w:val="21"/>
                <w:szCs w:val="21"/>
              </w:rPr>
            </w:pPr>
          </w:p>
        </w:tc>
        <w:tc>
          <w:tcPr>
            <w:tcW w:w="338" w:type="pct"/>
            <w:vMerge w:val="continue"/>
            <w:vAlign w:val="center"/>
          </w:tcPr>
          <w:p w14:paraId="3A616FFA">
            <w:pPr>
              <w:snapToGrid w:val="0"/>
              <w:spacing w:line="320" w:lineRule="exact"/>
              <w:contextualSpacing/>
              <w:jc w:val="center"/>
              <w:rPr>
                <w:rFonts w:ascii="Times New Roman"/>
                <w:sz w:val="21"/>
                <w:szCs w:val="21"/>
              </w:rPr>
            </w:pPr>
          </w:p>
        </w:tc>
        <w:tc>
          <w:tcPr>
            <w:tcW w:w="388" w:type="pct"/>
            <w:gridSpan w:val="2"/>
            <w:vMerge w:val="continue"/>
            <w:vAlign w:val="center"/>
          </w:tcPr>
          <w:p w14:paraId="6B281AD3">
            <w:pPr>
              <w:snapToGrid w:val="0"/>
              <w:spacing w:line="320" w:lineRule="exact"/>
              <w:contextualSpacing/>
              <w:jc w:val="center"/>
              <w:rPr>
                <w:rFonts w:ascii="Times New Roman"/>
                <w:sz w:val="21"/>
                <w:szCs w:val="21"/>
              </w:rPr>
            </w:pPr>
          </w:p>
        </w:tc>
        <w:tc>
          <w:tcPr>
            <w:tcW w:w="683" w:type="pct"/>
            <w:vMerge w:val="continue"/>
            <w:vAlign w:val="center"/>
          </w:tcPr>
          <w:p w14:paraId="0442BC1A">
            <w:pPr>
              <w:snapToGrid w:val="0"/>
              <w:spacing w:line="320" w:lineRule="exact"/>
              <w:contextualSpacing/>
              <w:jc w:val="center"/>
              <w:rPr>
                <w:rFonts w:ascii="Times New Roman"/>
                <w:sz w:val="21"/>
                <w:szCs w:val="21"/>
              </w:rPr>
            </w:pPr>
          </w:p>
        </w:tc>
        <w:tc>
          <w:tcPr>
            <w:tcW w:w="597" w:type="pct"/>
            <w:vMerge w:val="continue"/>
            <w:vAlign w:val="center"/>
          </w:tcPr>
          <w:p w14:paraId="215BA3F8">
            <w:pPr>
              <w:snapToGrid w:val="0"/>
              <w:spacing w:line="320" w:lineRule="exact"/>
              <w:contextualSpacing/>
              <w:jc w:val="center"/>
              <w:rPr>
                <w:rFonts w:ascii="Times New Roman"/>
                <w:sz w:val="21"/>
                <w:szCs w:val="21"/>
              </w:rPr>
            </w:pPr>
          </w:p>
        </w:tc>
        <w:tc>
          <w:tcPr>
            <w:tcW w:w="1396" w:type="pct"/>
            <w:shd w:val="clear" w:color="auto" w:fill="auto"/>
            <w:vAlign w:val="center"/>
          </w:tcPr>
          <w:p w14:paraId="69D05C44">
            <w:pPr>
              <w:snapToGrid w:val="0"/>
              <w:spacing w:line="320" w:lineRule="exact"/>
              <w:contextualSpacing/>
              <w:jc w:val="center"/>
              <w:rPr>
                <w:rFonts w:ascii="Times New Roman"/>
                <w:sz w:val="21"/>
                <w:szCs w:val="21"/>
              </w:rPr>
            </w:pPr>
            <w:r>
              <w:rPr>
                <w:rFonts w:ascii="Times New Roman"/>
                <w:sz w:val="21"/>
                <w:szCs w:val="21"/>
              </w:rPr>
              <w:t>标准名称</w:t>
            </w:r>
          </w:p>
        </w:tc>
        <w:tc>
          <w:tcPr>
            <w:tcW w:w="736" w:type="pct"/>
            <w:shd w:val="clear" w:color="auto" w:fill="auto"/>
            <w:vAlign w:val="center"/>
          </w:tcPr>
          <w:p w14:paraId="684006ED">
            <w:pPr>
              <w:snapToGrid w:val="0"/>
              <w:spacing w:line="320" w:lineRule="exact"/>
              <w:contextualSpacing/>
              <w:jc w:val="center"/>
              <w:rPr>
                <w:rFonts w:ascii="Times New Roman"/>
                <w:sz w:val="21"/>
                <w:szCs w:val="21"/>
              </w:rPr>
            </w:pPr>
            <w:r>
              <w:rPr>
                <w:rFonts w:ascii="Times New Roman"/>
                <w:sz w:val="21"/>
                <w:szCs w:val="21"/>
              </w:rPr>
              <w:t>浓度限值/mg/m</w:t>
            </w:r>
            <w:r>
              <w:rPr>
                <w:rFonts w:ascii="Times New Roman"/>
                <w:sz w:val="21"/>
                <w:szCs w:val="21"/>
                <w:vertAlign w:val="superscript"/>
              </w:rPr>
              <w:t>3</w:t>
            </w:r>
          </w:p>
        </w:tc>
        <w:tc>
          <w:tcPr>
            <w:tcW w:w="565" w:type="pct"/>
            <w:vMerge w:val="continue"/>
            <w:vAlign w:val="center"/>
          </w:tcPr>
          <w:p w14:paraId="02D73D09">
            <w:pPr>
              <w:snapToGrid w:val="0"/>
              <w:spacing w:line="320" w:lineRule="exact"/>
              <w:contextualSpacing/>
              <w:jc w:val="center"/>
              <w:rPr>
                <w:rFonts w:ascii="Times New Roman"/>
                <w:sz w:val="21"/>
                <w:szCs w:val="21"/>
              </w:rPr>
            </w:pPr>
          </w:p>
        </w:tc>
      </w:tr>
      <w:tr w14:paraId="7672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7" w:hRule="atLeast"/>
          <w:jc w:val="center"/>
        </w:trPr>
        <w:tc>
          <w:tcPr>
            <w:tcW w:w="293" w:type="pct"/>
            <w:shd w:val="clear" w:color="auto" w:fill="auto"/>
            <w:vAlign w:val="center"/>
          </w:tcPr>
          <w:p w14:paraId="60849BDF">
            <w:pPr>
              <w:snapToGrid w:val="0"/>
              <w:spacing w:line="320" w:lineRule="exact"/>
              <w:contextualSpacing/>
              <w:jc w:val="center"/>
              <w:rPr>
                <w:rFonts w:ascii="Times New Roman"/>
                <w:sz w:val="21"/>
                <w:szCs w:val="21"/>
              </w:rPr>
            </w:pPr>
            <w:r>
              <w:rPr>
                <w:rFonts w:ascii="Times New Roman"/>
                <w:sz w:val="21"/>
                <w:szCs w:val="21"/>
              </w:rPr>
              <w:t>1</w:t>
            </w:r>
          </w:p>
        </w:tc>
        <w:tc>
          <w:tcPr>
            <w:tcW w:w="338" w:type="pct"/>
            <w:shd w:val="clear" w:color="auto" w:fill="auto"/>
            <w:vAlign w:val="center"/>
          </w:tcPr>
          <w:p w14:paraId="54A88657">
            <w:pPr>
              <w:snapToGrid w:val="0"/>
              <w:spacing w:line="320" w:lineRule="exact"/>
              <w:contextualSpacing/>
              <w:jc w:val="center"/>
              <w:rPr>
                <w:rFonts w:ascii="Times New Roman"/>
                <w:sz w:val="21"/>
                <w:szCs w:val="21"/>
              </w:rPr>
            </w:pPr>
            <w:r>
              <w:rPr>
                <w:rFonts w:ascii="Times New Roman"/>
                <w:sz w:val="21"/>
                <w:szCs w:val="21"/>
              </w:rPr>
              <w:t>--</w:t>
            </w:r>
          </w:p>
        </w:tc>
        <w:tc>
          <w:tcPr>
            <w:tcW w:w="388" w:type="pct"/>
            <w:gridSpan w:val="2"/>
            <w:vMerge w:val="restart"/>
            <w:shd w:val="clear" w:color="auto" w:fill="auto"/>
            <w:vAlign w:val="center"/>
          </w:tcPr>
          <w:p w14:paraId="2D4EA643">
            <w:pPr>
              <w:snapToGrid w:val="0"/>
              <w:spacing w:line="320" w:lineRule="exact"/>
              <w:contextualSpacing/>
              <w:jc w:val="center"/>
              <w:rPr>
                <w:rFonts w:ascii="Times New Roman"/>
                <w:sz w:val="21"/>
                <w:szCs w:val="21"/>
              </w:rPr>
            </w:pPr>
            <w:r>
              <w:rPr>
                <w:rFonts w:ascii="Times New Roman"/>
                <w:kern w:val="0"/>
                <w:sz w:val="21"/>
                <w:szCs w:val="21"/>
              </w:rPr>
              <w:t>托辊及装配厂房</w:t>
            </w:r>
          </w:p>
        </w:tc>
        <w:tc>
          <w:tcPr>
            <w:tcW w:w="683" w:type="pct"/>
            <w:shd w:val="clear" w:color="auto" w:fill="auto"/>
            <w:vAlign w:val="center"/>
          </w:tcPr>
          <w:p w14:paraId="0E424F5D">
            <w:pPr>
              <w:snapToGrid w:val="0"/>
              <w:spacing w:line="320" w:lineRule="exact"/>
              <w:jc w:val="center"/>
              <w:rPr>
                <w:rFonts w:ascii="Times New Roman"/>
                <w:sz w:val="21"/>
                <w:szCs w:val="21"/>
              </w:rPr>
            </w:pPr>
            <w:r>
              <w:rPr>
                <w:rFonts w:ascii="Times New Roman"/>
                <w:snapToGrid w:val="0"/>
                <w:sz w:val="21"/>
                <w:szCs w:val="21"/>
              </w:rPr>
              <w:t>颗粒物</w:t>
            </w:r>
          </w:p>
        </w:tc>
        <w:tc>
          <w:tcPr>
            <w:tcW w:w="597" w:type="pct"/>
            <w:vMerge w:val="restart"/>
            <w:shd w:val="clear" w:color="auto" w:fill="auto"/>
            <w:vAlign w:val="center"/>
          </w:tcPr>
          <w:p w14:paraId="0ACF83AF">
            <w:pPr>
              <w:spacing w:line="320" w:lineRule="exact"/>
              <w:jc w:val="center"/>
              <w:rPr>
                <w:rFonts w:ascii="Times New Roman"/>
                <w:sz w:val="21"/>
                <w:szCs w:val="21"/>
              </w:rPr>
            </w:pPr>
            <w:r>
              <w:rPr>
                <w:rFonts w:ascii="Times New Roman"/>
                <w:sz w:val="21"/>
                <w:szCs w:val="21"/>
              </w:rPr>
              <w:t>增加收集效率，安装挥发性有机物超标报警传感装置</w:t>
            </w:r>
          </w:p>
        </w:tc>
        <w:tc>
          <w:tcPr>
            <w:tcW w:w="1396" w:type="pct"/>
            <w:shd w:val="clear" w:color="auto" w:fill="auto"/>
            <w:vAlign w:val="center"/>
          </w:tcPr>
          <w:p w14:paraId="41BC0DC3">
            <w:pPr>
              <w:snapToGrid w:val="0"/>
              <w:spacing w:line="320" w:lineRule="exact"/>
              <w:contextualSpacing/>
              <w:jc w:val="center"/>
              <w:rPr>
                <w:rFonts w:ascii="Times New Roman"/>
                <w:sz w:val="21"/>
                <w:szCs w:val="21"/>
              </w:rPr>
            </w:pPr>
            <w:r>
              <w:rPr>
                <w:rFonts w:ascii="Times New Roman"/>
                <w:sz w:val="21"/>
                <w:szCs w:val="21"/>
                <w:lang w:val="zh-CN"/>
              </w:rPr>
              <w:t>《钢铁工业大气污染物超低排放标准》（DB13/2169-201</w:t>
            </w:r>
            <w:r>
              <w:rPr>
                <w:rFonts w:ascii="Times New Roman"/>
                <w:sz w:val="21"/>
                <w:szCs w:val="21"/>
              </w:rPr>
              <w:t>8</w:t>
            </w:r>
            <w:r>
              <w:rPr>
                <w:rFonts w:ascii="Times New Roman"/>
                <w:sz w:val="21"/>
                <w:szCs w:val="21"/>
                <w:lang w:val="zh-CN"/>
              </w:rPr>
              <w:t>）表</w:t>
            </w:r>
            <w:r>
              <w:rPr>
                <w:rFonts w:ascii="Times New Roman"/>
                <w:sz w:val="21"/>
                <w:szCs w:val="21"/>
              </w:rPr>
              <w:t>5企业大气污染物</w:t>
            </w:r>
            <w:r>
              <w:rPr>
                <w:rFonts w:ascii="Times New Roman"/>
                <w:sz w:val="21"/>
                <w:szCs w:val="21"/>
                <w:lang w:val="zh-CN"/>
              </w:rPr>
              <w:t>无组织排放浓度限值</w:t>
            </w:r>
          </w:p>
        </w:tc>
        <w:tc>
          <w:tcPr>
            <w:tcW w:w="736" w:type="pct"/>
            <w:shd w:val="clear" w:color="auto" w:fill="auto"/>
            <w:vAlign w:val="center"/>
          </w:tcPr>
          <w:p w14:paraId="44375F08">
            <w:pPr>
              <w:snapToGrid w:val="0"/>
              <w:spacing w:line="320" w:lineRule="exact"/>
              <w:contextualSpacing/>
              <w:jc w:val="center"/>
              <w:rPr>
                <w:rFonts w:ascii="Times New Roman"/>
                <w:sz w:val="21"/>
                <w:szCs w:val="21"/>
              </w:rPr>
            </w:pPr>
            <w:r>
              <w:rPr>
                <w:rFonts w:ascii="Times New Roman"/>
                <w:sz w:val="21"/>
                <w:szCs w:val="21"/>
              </w:rPr>
              <w:t>1.0</w:t>
            </w:r>
          </w:p>
        </w:tc>
        <w:tc>
          <w:tcPr>
            <w:tcW w:w="565" w:type="pct"/>
            <w:shd w:val="clear" w:color="auto" w:fill="auto"/>
            <w:vAlign w:val="center"/>
          </w:tcPr>
          <w:p w14:paraId="08DD5013">
            <w:pPr>
              <w:jc w:val="center"/>
              <w:rPr>
                <w:rFonts w:ascii="Times New Roman"/>
                <w:sz w:val="21"/>
                <w:szCs w:val="21"/>
              </w:rPr>
            </w:pPr>
            <w:r>
              <w:rPr>
                <w:rFonts w:hint="eastAsia" w:ascii="Times New Roman"/>
                <w:sz w:val="21"/>
                <w:szCs w:val="21"/>
              </w:rPr>
              <w:t>1.05</w:t>
            </w:r>
          </w:p>
        </w:tc>
      </w:tr>
      <w:tr w14:paraId="2D09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293" w:type="pct"/>
            <w:shd w:val="clear" w:color="auto" w:fill="auto"/>
            <w:vAlign w:val="center"/>
          </w:tcPr>
          <w:p w14:paraId="7697D121">
            <w:pPr>
              <w:snapToGrid w:val="0"/>
              <w:spacing w:line="320" w:lineRule="exact"/>
              <w:contextualSpacing/>
              <w:jc w:val="center"/>
              <w:rPr>
                <w:rFonts w:ascii="Times New Roman"/>
                <w:sz w:val="21"/>
                <w:szCs w:val="21"/>
              </w:rPr>
            </w:pPr>
            <w:r>
              <w:rPr>
                <w:rFonts w:ascii="Times New Roman"/>
                <w:sz w:val="21"/>
                <w:szCs w:val="21"/>
              </w:rPr>
              <w:t>2</w:t>
            </w:r>
          </w:p>
        </w:tc>
        <w:tc>
          <w:tcPr>
            <w:tcW w:w="338" w:type="pct"/>
            <w:shd w:val="clear" w:color="auto" w:fill="auto"/>
            <w:vAlign w:val="center"/>
          </w:tcPr>
          <w:p w14:paraId="59E0D0D1">
            <w:pPr>
              <w:snapToGrid w:val="0"/>
              <w:spacing w:line="320" w:lineRule="exact"/>
              <w:contextualSpacing/>
              <w:jc w:val="center"/>
              <w:rPr>
                <w:rFonts w:ascii="Times New Roman"/>
                <w:sz w:val="21"/>
                <w:szCs w:val="21"/>
              </w:rPr>
            </w:pPr>
            <w:r>
              <w:rPr>
                <w:rFonts w:ascii="Times New Roman"/>
                <w:sz w:val="21"/>
                <w:szCs w:val="21"/>
              </w:rPr>
              <w:t>--</w:t>
            </w:r>
          </w:p>
        </w:tc>
        <w:tc>
          <w:tcPr>
            <w:tcW w:w="388" w:type="pct"/>
            <w:gridSpan w:val="2"/>
            <w:vMerge w:val="continue"/>
            <w:shd w:val="clear" w:color="auto" w:fill="auto"/>
            <w:vAlign w:val="center"/>
          </w:tcPr>
          <w:p w14:paraId="55EA8838">
            <w:pPr>
              <w:snapToGrid w:val="0"/>
              <w:spacing w:line="320" w:lineRule="exact"/>
              <w:contextualSpacing/>
              <w:jc w:val="center"/>
              <w:rPr>
                <w:rFonts w:ascii="Times New Roman"/>
                <w:sz w:val="21"/>
                <w:szCs w:val="21"/>
              </w:rPr>
            </w:pPr>
          </w:p>
        </w:tc>
        <w:tc>
          <w:tcPr>
            <w:tcW w:w="683" w:type="pct"/>
            <w:shd w:val="clear" w:color="auto" w:fill="auto"/>
            <w:vAlign w:val="center"/>
          </w:tcPr>
          <w:p w14:paraId="6D84A507">
            <w:pPr>
              <w:snapToGrid w:val="0"/>
              <w:spacing w:line="320" w:lineRule="exact"/>
              <w:jc w:val="center"/>
              <w:rPr>
                <w:rFonts w:ascii="Times New Roman"/>
                <w:sz w:val="21"/>
                <w:szCs w:val="21"/>
              </w:rPr>
            </w:pPr>
            <w:r>
              <w:rPr>
                <w:rFonts w:ascii="Times New Roman"/>
                <w:sz w:val="21"/>
                <w:szCs w:val="21"/>
              </w:rPr>
              <w:t>非甲烷总烃</w:t>
            </w:r>
          </w:p>
        </w:tc>
        <w:tc>
          <w:tcPr>
            <w:tcW w:w="597" w:type="pct"/>
            <w:vMerge w:val="continue"/>
            <w:shd w:val="clear" w:color="auto" w:fill="auto"/>
            <w:vAlign w:val="center"/>
          </w:tcPr>
          <w:p w14:paraId="56D87906">
            <w:pPr>
              <w:spacing w:line="320" w:lineRule="exact"/>
              <w:jc w:val="center"/>
              <w:rPr>
                <w:rFonts w:ascii="Times New Roman"/>
                <w:sz w:val="21"/>
                <w:szCs w:val="21"/>
              </w:rPr>
            </w:pPr>
          </w:p>
        </w:tc>
        <w:tc>
          <w:tcPr>
            <w:tcW w:w="1396" w:type="pct"/>
            <w:shd w:val="clear" w:color="auto" w:fill="auto"/>
            <w:vAlign w:val="center"/>
          </w:tcPr>
          <w:p w14:paraId="38D0504B">
            <w:pPr>
              <w:snapToGrid w:val="0"/>
              <w:spacing w:line="320" w:lineRule="exact"/>
              <w:contextualSpacing/>
              <w:jc w:val="center"/>
              <w:rPr>
                <w:rFonts w:ascii="Times New Roman"/>
                <w:bCs/>
                <w:sz w:val="21"/>
                <w:szCs w:val="21"/>
              </w:rPr>
            </w:pPr>
            <w:r>
              <w:rPr>
                <w:rFonts w:ascii="Times New Roman"/>
                <w:bCs/>
                <w:sz w:val="21"/>
                <w:szCs w:val="21"/>
              </w:rPr>
              <w:t>《工业企业挥发性有机物排放控制标准》(DB13/2322-2016)表2企业边界大气污染物浓度限值要求及《挥发性有机物无组织排放控制标准》（GB 37822-2019）标准要求</w:t>
            </w:r>
          </w:p>
        </w:tc>
        <w:tc>
          <w:tcPr>
            <w:tcW w:w="736" w:type="pct"/>
            <w:shd w:val="clear" w:color="auto" w:fill="auto"/>
            <w:vAlign w:val="center"/>
          </w:tcPr>
          <w:p w14:paraId="5F2523B5">
            <w:pPr>
              <w:snapToGrid w:val="0"/>
              <w:spacing w:line="320" w:lineRule="exact"/>
              <w:contextualSpacing/>
              <w:jc w:val="center"/>
              <w:rPr>
                <w:rFonts w:ascii="Times New Roman"/>
                <w:sz w:val="21"/>
                <w:szCs w:val="21"/>
              </w:rPr>
            </w:pPr>
            <w:r>
              <w:rPr>
                <w:rFonts w:ascii="Times New Roman"/>
                <w:sz w:val="21"/>
                <w:szCs w:val="21"/>
              </w:rPr>
              <w:t>2.0</w:t>
            </w:r>
          </w:p>
        </w:tc>
        <w:tc>
          <w:tcPr>
            <w:tcW w:w="565" w:type="pct"/>
            <w:shd w:val="clear" w:color="auto" w:fill="auto"/>
            <w:vAlign w:val="center"/>
          </w:tcPr>
          <w:p w14:paraId="21D3A54B">
            <w:pPr>
              <w:jc w:val="center"/>
              <w:rPr>
                <w:rFonts w:ascii="Times New Roman"/>
                <w:sz w:val="21"/>
                <w:szCs w:val="21"/>
              </w:rPr>
            </w:pPr>
            <w:r>
              <w:rPr>
                <w:rFonts w:hint="eastAsia" w:ascii="Times New Roman"/>
                <w:sz w:val="21"/>
                <w:szCs w:val="21"/>
              </w:rPr>
              <w:t>0.004</w:t>
            </w:r>
          </w:p>
        </w:tc>
      </w:tr>
      <w:tr w14:paraId="6326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0" w:hRule="atLeast"/>
          <w:jc w:val="center"/>
        </w:trPr>
        <w:tc>
          <w:tcPr>
            <w:tcW w:w="293" w:type="pct"/>
            <w:shd w:val="clear" w:color="auto" w:fill="auto"/>
            <w:vAlign w:val="center"/>
          </w:tcPr>
          <w:p w14:paraId="71F8D03A">
            <w:pPr>
              <w:snapToGrid w:val="0"/>
              <w:spacing w:line="320" w:lineRule="exact"/>
              <w:contextualSpacing/>
              <w:jc w:val="center"/>
              <w:rPr>
                <w:rFonts w:ascii="Times New Roman"/>
                <w:sz w:val="21"/>
                <w:szCs w:val="21"/>
              </w:rPr>
            </w:pPr>
            <w:r>
              <w:rPr>
                <w:rFonts w:ascii="Times New Roman"/>
                <w:sz w:val="21"/>
                <w:szCs w:val="21"/>
              </w:rPr>
              <w:t>3</w:t>
            </w:r>
          </w:p>
        </w:tc>
        <w:tc>
          <w:tcPr>
            <w:tcW w:w="338" w:type="pct"/>
            <w:shd w:val="clear" w:color="auto" w:fill="auto"/>
            <w:vAlign w:val="center"/>
          </w:tcPr>
          <w:p w14:paraId="6390DC63">
            <w:pPr>
              <w:snapToGrid w:val="0"/>
              <w:spacing w:line="320" w:lineRule="exact"/>
              <w:contextualSpacing/>
              <w:jc w:val="center"/>
              <w:rPr>
                <w:rFonts w:ascii="Times New Roman"/>
                <w:sz w:val="21"/>
                <w:szCs w:val="21"/>
              </w:rPr>
            </w:pPr>
            <w:r>
              <w:rPr>
                <w:rFonts w:ascii="Times New Roman"/>
                <w:sz w:val="21"/>
                <w:szCs w:val="21"/>
              </w:rPr>
              <w:t>--</w:t>
            </w:r>
          </w:p>
        </w:tc>
        <w:tc>
          <w:tcPr>
            <w:tcW w:w="388" w:type="pct"/>
            <w:gridSpan w:val="2"/>
            <w:vMerge w:val="restart"/>
            <w:shd w:val="clear" w:color="auto" w:fill="auto"/>
            <w:vAlign w:val="center"/>
          </w:tcPr>
          <w:p w14:paraId="68DB7B50">
            <w:pPr>
              <w:snapToGrid w:val="0"/>
              <w:spacing w:line="320" w:lineRule="exact"/>
              <w:contextualSpacing/>
              <w:jc w:val="center"/>
              <w:rPr>
                <w:rFonts w:ascii="Times New Roman"/>
                <w:sz w:val="21"/>
                <w:szCs w:val="21"/>
              </w:rPr>
            </w:pPr>
            <w:r>
              <w:rPr>
                <w:rFonts w:ascii="Times New Roman"/>
                <w:kern w:val="0"/>
                <w:sz w:val="21"/>
                <w:szCs w:val="21"/>
              </w:rPr>
              <w:t>联合厂房</w:t>
            </w:r>
          </w:p>
        </w:tc>
        <w:tc>
          <w:tcPr>
            <w:tcW w:w="683" w:type="pct"/>
            <w:shd w:val="clear" w:color="auto" w:fill="auto"/>
            <w:vAlign w:val="center"/>
          </w:tcPr>
          <w:p w14:paraId="139D50C5">
            <w:pPr>
              <w:snapToGrid w:val="0"/>
              <w:spacing w:line="320" w:lineRule="exact"/>
              <w:jc w:val="center"/>
              <w:rPr>
                <w:rFonts w:ascii="Times New Roman"/>
                <w:sz w:val="21"/>
                <w:szCs w:val="21"/>
              </w:rPr>
            </w:pPr>
            <w:r>
              <w:rPr>
                <w:rFonts w:ascii="Times New Roman"/>
                <w:snapToGrid w:val="0"/>
                <w:sz w:val="21"/>
                <w:szCs w:val="21"/>
              </w:rPr>
              <w:t>颗粒物</w:t>
            </w:r>
          </w:p>
        </w:tc>
        <w:tc>
          <w:tcPr>
            <w:tcW w:w="597" w:type="pct"/>
            <w:vMerge w:val="restart"/>
            <w:shd w:val="clear" w:color="auto" w:fill="auto"/>
            <w:vAlign w:val="center"/>
          </w:tcPr>
          <w:p w14:paraId="19290CD9">
            <w:pPr>
              <w:spacing w:line="320" w:lineRule="exact"/>
              <w:jc w:val="center"/>
              <w:rPr>
                <w:rFonts w:ascii="Times New Roman"/>
                <w:sz w:val="21"/>
                <w:szCs w:val="21"/>
              </w:rPr>
            </w:pPr>
            <w:r>
              <w:rPr>
                <w:rFonts w:ascii="Times New Roman"/>
                <w:sz w:val="21"/>
                <w:szCs w:val="21"/>
              </w:rPr>
              <w:t>增加收集效率，安装挥发性有机物在线监测设施</w:t>
            </w:r>
            <w:r>
              <w:rPr>
                <w:rFonts w:hint="eastAsia" w:ascii="Times New Roman"/>
                <w:sz w:val="21"/>
                <w:szCs w:val="21"/>
              </w:rPr>
              <w:t>，车间出入口安装</w:t>
            </w:r>
            <w:r>
              <w:rPr>
                <w:rFonts w:ascii="Times New Roman"/>
                <w:sz w:val="21"/>
                <w:szCs w:val="21"/>
              </w:rPr>
              <w:t>挥发性有机物超标报警传感装置</w:t>
            </w:r>
          </w:p>
        </w:tc>
        <w:tc>
          <w:tcPr>
            <w:tcW w:w="1396" w:type="pct"/>
            <w:shd w:val="clear" w:color="auto" w:fill="auto"/>
            <w:vAlign w:val="center"/>
          </w:tcPr>
          <w:p w14:paraId="77F966AD">
            <w:pPr>
              <w:snapToGrid w:val="0"/>
              <w:spacing w:line="320" w:lineRule="exact"/>
              <w:contextualSpacing/>
              <w:jc w:val="center"/>
              <w:rPr>
                <w:rFonts w:ascii="Times New Roman"/>
                <w:sz w:val="21"/>
                <w:szCs w:val="21"/>
              </w:rPr>
            </w:pPr>
            <w:r>
              <w:rPr>
                <w:rFonts w:ascii="Times New Roman"/>
                <w:sz w:val="21"/>
                <w:szCs w:val="21"/>
                <w:lang w:val="zh-CN"/>
              </w:rPr>
              <w:t>《钢铁工业大气污染物超低排放标准》（DB13/2169-201</w:t>
            </w:r>
            <w:r>
              <w:rPr>
                <w:rFonts w:ascii="Times New Roman"/>
                <w:sz w:val="21"/>
                <w:szCs w:val="21"/>
              </w:rPr>
              <w:t>8</w:t>
            </w:r>
            <w:r>
              <w:rPr>
                <w:rFonts w:ascii="Times New Roman"/>
                <w:sz w:val="21"/>
                <w:szCs w:val="21"/>
                <w:lang w:val="zh-CN"/>
              </w:rPr>
              <w:t>）表</w:t>
            </w:r>
            <w:r>
              <w:rPr>
                <w:rFonts w:ascii="Times New Roman"/>
                <w:sz w:val="21"/>
                <w:szCs w:val="21"/>
              </w:rPr>
              <w:t>5企业大气污染物</w:t>
            </w:r>
            <w:r>
              <w:rPr>
                <w:rFonts w:ascii="Times New Roman"/>
                <w:sz w:val="21"/>
                <w:szCs w:val="21"/>
                <w:lang w:val="zh-CN"/>
              </w:rPr>
              <w:t>无组织排放浓度限值</w:t>
            </w:r>
          </w:p>
        </w:tc>
        <w:tc>
          <w:tcPr>
            <w:tcW w:w="736" w:type="pct"/>
            <w:shd w:val="clear" w:color="auto" w:fill="auto"/>
            <w:vAlign w:val="center"/>
          </w:tcPr>
          <w:p w14:paraId="1C292A95">
            <w:pPr>
              <w:snapToGrid w:val="0"/>
              <w:spacing w:line="320" w:lineRule="exact"/>
              <w:contextualSpacing/>
              <w:jc w:val="center"/>
              <w:rPr>
                <w:rFonts w:ascii="Times New Roman"/>
                <w:sz w:val="21"/>
                <w:szCs w:val="21"/>
              </w:rPr>
            </w:pPr>
            <w:r>
              <w:rPr>
                <w:rFonts w:ascii="Times New Roman"/>
                <w:sz w:val="21"/>
                <w:szCs w:val="21"/>
              </w:rPr>
              <w:t>1.0</w:t>
            </w:r>
          </w:p>
        </w:tc>
        <w:tc>
          <w:tcPr>
            <w:tcW w:w="565" w:type="pct"/>
            <w:shd w:val="clear" w:color="auto" w:fill="auto"/>
            <w:vAlign w:val="center"/>
          </w:tcPr>
          <w:p w14:paraId="61A94704">
            <w:pPr>
              <w:jc w:val="center"/>
              <w:rPr>
                <w:rFonts w:ascii="Times New Roman"/>
                <w:sz w:val="21"/>
                <w:szCs w:val="21"/>
              </w:rPr>
            </w:pPr>
            <w:r>
              <w:rPr>
                <w:rFonts w:hint="eastAsia" w:ascii="Times New Roman"/>
                <w:sz w:val="21"/>
                <w:szCs w:val="21"/>
              </w:rPr>
              <w:t>20.67</w:t>
            </w:r>
          </w:p>
        </w:tc>
      </w:tr>
      <w:tr w14:paraId="5E03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93" w:type="pct"/>
            <w:vMerge w:val="restart"/>
            <w:shd w:val="clear" w:color="auto" w:fill="auto"/>
            <w:vAlign w:val="center"/>
          </w:tcPr>
          <w:p w14:paraId="4745ABC8">
            <w:pPr>
              <w:snapToGrid w:val="0"/>
              <w:spacing w:line="320" w:lineRule="exact"/>
              <w:contextualSpacing/>
              <w:jc w:val="center"/>
              <w:rPr>
                <w:rFonts w:ascii="Times New Roman"/>
                <w:sz w:val="21"/>
                <w:szCs w:val="21"/>
              </w:rPr>
            </w:pPr>
            <w:r>
              <w:rPr>
                <w:rFonts w:ascii="Times New Roman"/>
                <w:sz w:val="21"/>
                <w:szCs w:val="21"/>
              </w:rPr>
              <w:t>4</w:t>
            </w:r>
          </w:p>
        </w:tc>
        <w:tc>
          <w:tcPr>
            <w:tcW w:w="338" w:type="pct"/>
            <w:vMerge w:val="restart"/>
            <w:shd w:val="clear" w:color="auto" w:fill="auto"/>
            <w:vAlign w:val="center"/>
          </w:tcPr>
          <w:p w14:paraId="35BABA35">
            <w:pPr>
              <w:snapToGrid w:val="0"/>
              <w:spacing w:line="320" w:lineRule="exact"/>
              <w:contextualSpacing/>
              <w:jc w:val="center"/>
              <w:rPr>
                <w:rFonts w:ascii="Times New Roman"/>
                <w:sz w:val="21"/>
                <w:szCs w:val="21"/>
              </w:rPr>
            </w:pPr>
            <w:r>
              <w:rPr>
                <w:rFonts w:ascii="Times New Roman"/>
                <w:sz w:val="21"/>
                <w:szCs w:val="21"/>
              </w:rPr>
              <w:t>--</w:t>
            </w:r>
          </w:p>
        </w:tc>
        <w:tc>
          <w:tcPr>
            <w:tcW w:w="388" w:type="pct"/>
            <w:gridSpan w:val="2"/>
            <w:vMerge w:val="continue"/>
            <w:shd w:val="clear" w:color="auto" w:fill="auto"/>
            <w:vAlign w:val="center"/>
          </w:tcPr>
          <w:p w14:paraId="2E920C95">
            <w:pPr>
              <w:snapToGrid w:val="0"/>
              <w:spacing w:line="320" w:lineRule="exact"/>
              <w:contextualSpacing/>
              <w:jc w:val="center"/>
              <w:rPr>
                <w:rFonts w:ascii="Times New Roman"/>
                <w:sz w:val="21"/>
                <w:szCs w:val="21"/>
              </w:rPr>
            </w:pPr>
          </w:p>
        </w:tc>
        <w:tc>
          <w:tcPr>
            <w:tcW w:w="683" w:type="pct"/>
            <w:shd w:val="clear" w:color="auto" w:fill="auto"/>
            <w:vAlign w:val="center"/>
          </w:tcPr>
          <w:p w14:paraId="049D1400">
            <w:pPr>
              <w:snapToGrid w:val="0"/>
              <w:spacing w:line="320" w:lineRule="exact"/>
              <w:jc w:val="center"/>
              <w:rPr>
                <w:rFonts w:ascii="Times New Roman"/>
                <w:sz w:val="21"/>
                <w:szCs w:val="21"/>
              </w:rPr>
            </w:pPr>
            <w:r>
              <w:rPr>
                <w:rFonts w:ascii="Times New Roman"/>
                <w:sz w:val="21"/>
                <w:szCs w:val="21"/>
              </w:rPr>
              <w:t>非甲烷总烃</w:t>
            </w:r>
          </w:p>
        </w:tc>
        <w:tc>
          <w:tcPr>
            <w:tcW w:w="597" w:type="pct"/>
            <w:vMerge w:val="continue"/>
            <w:shd w:val="clear" w:color="auto" w:fill="auto"/>
            <w:vAlign w:val="center"/>
          </w:tcPr>
          <w:p w14:paraId="3332083A">
            <w:pPr>
              <w:spacing w:line="320" w:lineRule="exact"/>
              <w:jc w:val="center"/>
              <w:rPr>
                <w:rFonts w:ascii="Times New Roman"/>
                <w:sz w:val="21"/>
                <w:szCs w:val="21"/>
              </w:rPr>
            </w:pPr>
          </w:p>
        </w:tc>
        <w:tc>
          <w:tcPr>
            <w:tcW w:w="1396" w:type="pct"/>
            <w:vMerge w:val="restart"/>
            <w:shd w:val="clear" w:color="auto" w:fill="auto"/>
            <w:vAlign w:val="center"/>
          </w:tcPr>
          <w:p w14:paraId="64454E33">
            <w:pPr>
              <w:snapToGrid w:val="0"/>
              <w:spacing w:line="320" w:lineRule="exact"/>
              <w:contextualSpacing/>
              <w:rPr>
                <w:rFonts w:ascii="Times New Roman"/>
                <w:sz w:val="21"/>
                <w:szCs w:val="21"/>
              </w:rPr>
            </w:pPr>
            <w:r>
              <w:rPr>
                <w:rFonts w:ascii="Times New Roman"/>
                <w:bCs/>
                <w:sz w:val="21"/>
                <w:szCs w:val="21"/>
              </w:rPr>
              <w:t>《工业企业挥发性有机物排放控制标准》(DB13/2322-2016)表2企业边界大气污染物浓度限值要求</w:t>
            </w:r>
          </w:p>
        </w:tc>
        <w:tc>
          <w:tcPr>
            <w:tcW w:w="736" w:type="pct"/>
            <w:shd w:val="clear" w:color="auto" w:fill="auto"/>
            <w:vAlign w:val="center"/>
          </w:tcPr>
          <w:p w14:paraId="131FC707">
            <w:pPr>
              <w:snapToGrid w:val="0"/>
              <w:spacing w:line="320" w:lineRule="exact"/>
              <w:contextualSpacing/>
              <w:jc w:val="center"/>
              <w:rPr>
                <w:rFonts w:ascii="Times New Roman"/>
                <w:sz w:val="21"/>
                <w:szCs w:val="21"/>
              </w:rPr>
            </w:pPr>
            <w:r>
              <w:rPr>
                <w:rFonts w:ascii="Times New Roman"/>
                <w:sz w:val="21"/>
                <w:szCs w:val="21"/>
              </w:rPr>
              <w:t>2.0</w:t>
            </w:r>
          </w:p>
        </w:tc>
        <w:tc>
          <w:tcPr>
            <w:tcW w:w="565" w:type="pct"/>
            <w:shd w:val="clear" w:color="auto" w:fill="auto"/>
            <w:vAlign w:val="center"/>
          </w:tcPr>
          <w:p w14:paraId="5EFD89E5">
            <w:pPr>
              <w:jc w:val="center"/>
              <w:rPr>
                <w:rFonts w:ascii="Times New Roman"/>
                <w:sz w:val="21"/>
                <w:szCs w:val="21"/>
              </w:rPr>
            </w:pPr>
            <w:r>
              <w:rPr>
                <w:rFonts w:hint="eastAsia" w:ascii="Times New Roman"/>
                <w:sz w:val="21"/>
                <w:szCs w:val="21"/>
              </w:rPr>
              <w:t>17.426</w:t>
            </w:r>
          </w:p>
        </w:tc>
      </w:tr>
      <w:tr w14:paraId="6EEC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93" w:type="pct"/>
            <w:vMerge w:val="continue"/>
            <w:shd w:val="clear" w:color="auto" w:fill="auto"/>
            <w:vAlign w:val="center"/>
          </w:tcPr>
          <w:p w14:paraId="09C67955">
            <w:pPr>
              <w:snapToGrid w:val="0"/>
              <w:spacing w:line="320" w:lineRule="exact"/>
              <w:jc w:val="center"/>
              <w:rPr>
                <w:rFonts w:ascii="Times New Roman"/>
                <w:sz w:val="21"/>
                <w:szCs w:val="21"/>
              </w:rPr>
            </w:pPr>
          </w:p>
        </w:tc>
        <w:tc>
          <w:tcPr>
            <w:tcW w:w="338" w:type="pct"/>
            <w:vMerge w:val="continue"/>
            <w:shd w:val="clear" w:color="auto" w:fill="auto"/>
            <w:vAlign w:val="center"/>
          </w:tcPr>
          <w:p w14:paraId="58095D37">
            <w:pPr>
              <w:snapToGrid w:val="0"/>
              <w:spacing w:line="320" w:lineRule="exact"/>
              <w:jc w:val="center"/>
              <w:rPr>
                <w:rFonts w:ascii="Times New Roman"/>
                <w:sz w:val="21"/>
                <w:szCs w:val="21"/>
              </w:rPr>
            </w:pPr>
          </w:p>
        </w:tc>
        <w:tc>
          <w:tcPr>
            <w:tcW w:w="388" w:type="pct"/>
            <w:gridSpan w:val="2"/>
            <w:vMerge w:val="continue"/>
            <w:shd w:val="clear" w:color="auto" w:fill="auto"/>
            <w:vAlign w:val="center"/>
          </w:tcPr>
          <w:p w14:paraId="2F80E4EE">
            <w:pPr>
              <w:snapToGrid w:val="0"/>
              <w:spacing w:line="320" w:lineRule="exact"/>
              <w:jc w:val="center"/>
              <w:rPr>
                <w:rFonts w:ascii="Times New Roman"/>
                <w:sz w:val="21"/>
                <w:szCs w:val="21"/>
              </w:rPr>
            </w:pPr>
          </w:p>
        </w:tc>
        <w:tc>
          <w:tcPr>
            <w:tcW w:w="683" w:type="pct"/>
            <w:shd w:val="clear" w:color="auto" w:fill="auto"/>
            <w:vAlign w:val="center"/>
          </w:tcPr>
          <w:p w14:paraId="7E79E091">
            <w:pPr>
              <w:snapToGrid w:val="0"/>
              <w:spacing w:line="320" w:lineRule="exact"/>
              <w:jc w:val="center"/>
              <w:rPr>
                <w:rFonts w:ascii="Times New Roman"/>
                <w:sz w:val="21"/>
                <w:szCs w:val="21"/>
              </w:rPr>
            </w:pPr>
            <w:r>
              <w:rPr>
                <w:rFonts w:ascii="Times New Roman"/>
                <w:sz w:val="21"/>
                <w:szCs w:val="21"/>
              </w:rPr>
              <w:t>二甲苯</w:t>
            </w:r>
          </w:p>
        </w:tc>
        <w:tc>
          <w:tcPr>
            <w:tcW w:w="597" w:type="pct"/>
            <w:vMerge w:val="continue"/>
            <w:shd w:val="clear" w:color="auto" w:fill="auto"/>
            <w:vAlign w:val="center"/>
          </w:tcPr>
          <w:p w14:paraId="6B411787">
            <w:pPr>
              <w:snapToGrid w:val="0"/>
              <w:spacing w:line="320" w:lineRule="exact"/>
              <w:jc w:val="center"/>
              <w:rPr>
                <w:rFonts w:ascii="Times New Roman"/>
                <w:sz w:val="21"/>
                <w:szCs w:val="21"/>
              </w:rPr>
            </w:pPr>
          </w:p>
        </w:tc>
        <w:tc>
          <w:tcPr>
            <w:tcW w:w="1396" w:type="pct"/>
            <w:vMerge w:val="continue"/>
            <w:shd w:val="clear" w:color="auto" w:fill="auto"/>
            <w:vAlign w:val="center"/>
          </w:tcPr>
          <w:p w14:paraId="55DE8D4B">
            <w:pPr>
              <w:snapToGrid w:val="0"/>
              <w:spacing w:line="320" w:lineRule="exact"/>
              <w:jc w:val="center"/>
              <w:rPr>
                <w:rFonts w:ascii="Times New Roman"/>
                <w:sz w:val="21"/>
                <w:szCs w:val="21"/>
              </w:rPr>
            </w:pPr>
          </w:p>
        </w:tc>
        <w:tc>
          <w:tcPr>
            <w:tcW w:w="736" w:type="pct"/>
            <w:shd w:val="clear" w:color="auto" w:fill="auto"/>
            <w:vAlign w:val="center"/>
          </w:tcPr>
          <w:p w14:paraId="58F996DA">
            <w:pPr>
              <w:snapToGrid w:val="0"/>
              <w:spacing w:line="320" w:lineRule="exact"/>
              <w:jc w:val="center"/>
              <w:rPr>
                <w:rFonts w:ascii="Times New Roman"/>
                <w:sz w:val="21"/>
                <w:szCs w:val="21"/>
              </w:rPr>
            </w:pPr>
            <w:r>
              <w:rPr>
                <w:rFonts w:ascii="Times New Roman"/>
                <w:sz w:val="21"/>
                <w:szCs w:val="21"/>
              </w:rPr>
              <w:t>0.2</w:t>
            </w:r>
          </w:p>
        </w:tc>
        <w:tc>
          <w:tcPr>
            <w:tcW w:w="565" w:type="pct"/>
            <w:shd w:val="clear" w:color="auto" w:fill="auto"/>
            <w:vAlign w:val="center"/>
          </w:tcPr>
          <w:p w14:paraId="5862F058">
            <w:pPr>
              <w:jc w:val="center"/>
              <w:rPr>
                <w:rFonts w:ascii="Times New Roman"/>
                <w:sz w:val="21"/>
                <w:szCs w:val="21"/>
              </w:rPr>
            </w:pPr>
            <w:r>
              <w:rPr>
                <w:rFonts w:hint="eastAsia" w:ascii="Times New Roman"/>
                <w:sz w:val="21"/>
                <w:szCs w:val="21"/>
              </w:rPr>
              <w:t>4.828</w:t>
            </w:r>
          </w:p>
        </w:tc>
      </w:tr>
      <w:tr w14:paraId="3F59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5000" w:type="pct"/>
            <w:gridSpan w:val="9"/>
            <w:shd w:val="clear" w:color="auto" w:fill="auto"/>
            <w:vAlign w:val="center"/>
          </w:tcPr>
          <w:p w14:paraId="0E855DD3">
            <w:pPr>
              <w:snapToGrid w:val="0"/>
              <w:spacing w:line="320" w:lineRule="exact"/>
              <w:contextualSpacing/>
              <w:jc w:val="center"/>
              <w:rPr>
                <w:rFonts w:ascii="Times New Roman"/>
                <w:sz w:val="21"/>
                <w:szCs w:val="21"/>
              </w:rPr>
            </w:pPr>
            <w:r>
              <w:rPr>
                <w:rFonts w:ascii="Times New Roman"/>
                <w:sz w:val="21"/>
                <w:szCs w:val="21"/>
              </w:rPr>
              <w:t>无组织排放总计</w:t>
            </w:r>
          </w:p>
        </w:tc>
      </w:tr>
      <w:tr w14:paraId="0AE9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901" w:type="pct"/>
            <w:gridSpan w:val="3"/>
            <w:vMerge w:val="restart"/>
            <w:tcBorders>
              <w:bottom w:val="single" w:color="auto" w:sz="4" w:space="0"/>
            </w:tcBorders>
            <w:shd w:val="clear" w:color="auto" w:fill="auto"/>
            <w:vAlign w:val="center"/>
          </w:tcPr>
          <w:p w14:paraId="7A5F07BA">
            <w:pPr>
              <w:snapToGrid w:val="0"/>
              <w:spacing w:line="320" w:lineRule="exact"/>
              <w:contextualSpacing/>
              <w:jc w:val="center"/>
              <w:rPr>
                <w:rFonts w:ascii="Times New Roman"/>
                <w:sz w:val="21"/>
                <w:szCs w:val="21"/>
              </w:rPr>
            </w:pPr>
            <w:r>
              <w:rPr>
                <w:rFonts w:ascii="Times New Roman"/>
                <w:sz w:val="21"/>
                <w:szCs w:val="21"/>
              </w:rPr>
              <w:t>无组织排放统计</w:t>
            </w:r>
          </w:p>
        </w:tc>
        <w:tc>
          <w:tcPr>
            <w:tcW w:w="2795" w:type="pct"/>
            <w:gridSpan w:val="4"/>
            <w:shd w:val="clear" w:color="auto" w:fill="auto"/>
            <w:vAlign w:val="center"/>
          </w:tcPr>
          <w:p w14:paraId="539D8336">
            <w:pPr>
              <w:snapToGrid w:val="0"/>
              <w:spacing w:line="320" w:lineRule="exact"/>
              <w:jc w:val="center"/>
              <w:rPr>
                <w:rFonts w:ascii="Times New Roman"/>
                <w:sz w:val="21"/>
                <w:szCs w:val="21"/>
              </w:rPr>
            </w:pPr>
            <w:r>
              <w:rPr>
                <w:rFonts w:ascii="Times New Roman"/>
                <w:snapToGrid w:val="0"/>
                <w:sz w:val="21"/>
                <w:szCs w:val="21"/>
              </w:rPr>
              <w:t>颗粒物</w:t>
            </w:r>
          </w:p>
        </w:tc>
        <w:tc>
          <w:tcPr>
            <w:tcW w:w="1302" w:type="pct"/>
            <w:gridSpan w:val="2"/>
            <w:shd w:val="clear" w:color="auto" w:fill="auto"/>
            <w:vAlign w:val="center"/>
          </w:tcPr>
          <w:p w14:paraId="16200268">
            <w:pPr>
              <w:snapToGrid w:val="0"/>
              <w:spacing w:line="320" w:lineRule="exact"/>
              <w:jc w:val="center"/>
              <w:rPr>
                <w:rFonts w:ascii="Times New Roman"/>
                <w:kern w:val="0"/>
                <w:sz w:val="21"/>
                <w:szCs w:val="21"/>
              </w:rPr>
            </w:pPr>
            <w:r>
              <w:rPr>
                <w:rFonts w:hint="eastAsia" w:ascii="Times New Roman"/>
                <w:kern w:val="0"/>
                <w:sz w:val="21"/>
                <w:szCs w:val="21"/>
              </w:rPr>
              <w:t>21.720</w:t>
            </w:r>
          </w:p>
        </w:tc>
      </w:tr>
      <w:tr w14:paraId="0A5B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901" w:type="pct"/>
            <w:gridSpan w:val="3"/>
            <w:vMerge w:val="continue"/>
            <w:tcBorders>
              <w:bottom w:val="single" w:color="auto" w:sz="4" w:space="0"/>
            </w:tcBorders>
            <w:shd w:val="clear" w:color="auto" w:fill="auto"/>
            <w:vAlign w:val="center"/>
          </w:tcPr>
          <w:p w14:paraId="27E75C9D">
            <w:pPr>
              <w:snapToGrid w:val="0"/>
              <w:spacing w:line="320" w:lineRule="exact"/>
              <w:contextualSpacing/>
              <w:jc w:val="center"/>
              <w:rPr>
                <w:rFonts w:ascii="Times New Roman"/>
                <w:sz w:val="21"/>
                <w:szCs w:val="21"/>
              </w:rPr>
            </w:pPr>
          </w:p>
        </w:tc>
        <w:tc>
          <w:tcPr>
            <w:tcW w:w="2795" w:type="pct"/>
            <w:gridSpan w:val="4"/>
            <w:shd w:val="clear" w:color="auto" w:fill="auto"/>
            <w:vAlign w:val="center"/>
          </w:tcPr>
          <w:p w14:paraId="3849053C">
            <w:pPr>
              <w:snapToGrid w:val="0"/>
              <w:spacing w:line="320" w:lineRule="exact"/>
              <w:jc w:val="center"/>
              <w:rPr>
                <w:rFonts w:ascii="Times New Roman"/>
                <w:sz w:val="21"/>
                <w:szCs w:val="21"/>
              </w:rPr>
            </w:pPr>
            <w:r>
              <w:rPr>
                <w:rFonts w:ascii="Times New Roman"/>
                <w:sz w:val="21"/>
                <w:szCs w:val="21"/>
              </w:rPr>
              <w:t>非甲烷总烃</w:t>
            </w:r>
          </w:p>
        </w:tc>
        <w:tc>
          <w:tcPr>
            <w:tcW w:w="1302" w:type="pct"/>
            <w:gridSpan w:val="2"/>
            <w:shd w:val="clear" w:color="auto" w:fill="auto"/>
            <w:vAlign w:val="center"/>
          </w:tcPr>
          <w:p w14:paraId="6B410EE3">
            <w:pPr>
              <w:snapToGrid w:val="0"/>
              <w:spacing w:line="320" w:lineRule="exact"/>
              <w:jc w:val="center"/>
              <w:rPr>
                <w:rFonts w:ascii="Times New Roman"/>
                <w:kern w:val="0"/>
                <w:sz w:val="21"/>
                <w:szCs w:val="21"/>
              </w:rPr>
            </w:pPr>
            <w:r>
              <w:rPr>
                <w:rFonts w:hint="eastAsia" w:ascii="Times New Roman"/>
                <w:kern w:val="0"/>
                <w:sz w:val="21"/>
                <w:szCs w:val="21"/>
              </w:rPr>
              <w:t>17.430</w:t>
            </w:r>
          </w:p>
        </w:tc>
      </w:tr>
      <w:tr w14:paraId="458F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901" w:type="pct"/>
            <w:gridSpan w:val="3"/>
            <w:vMerge w:val="continue"/>
            <w:tcBorders>
              <w:bottom w:val="single" w:color="auto" w:sz="4" w:space="0"/>
            </w:tcBorders>
            <w:shd w:val="clear" w:color="auto" w:fill="auto"/>
            <w:vAlign w:val="center"/>
          </w:tcPr>
          <w:p w14:paraId="0F566285">
            <w:pPr>
              <w:snapToGrid w:val="0"/>
              <w:spacing w:line="320" w:lineRule="exact"/>
              <w:contextualSpacing/>
              <w:jc w:val="center"/>
              <w:rPr>
                <w:rFonts w:ascii="Times New Roman"/>
                <w:sz w:val="21"/>
                <w:szCs w:val="21"/>
              </w:rPr>
            </w:pPr>
          </w:p>
        </w:tc>
        <w:tc>
          <w:tcPr>
            <w:tcW w:w="2795" w:type="pct"/>
            <w:gridSpan w:val="4"/>
            <w:shd w:val="clear" w:color="auto" w:fill="auto"/>
            <w:vAlign w:val="center"/>
          </w:tcPr>
          <w:p w14:paraId="76952842">
            <w:pPr>
              <w:snapToGrid w:val="0"/>
              <w:spacing w:line="320" w:lineRule="exact"/>
              <w:jc w:val="center"/>
              <w:rPr>
                <w:rFonts w:ascii="Times New Roman"/>
                <w:sz w:val="21"/>
                <w:szCs w:val="21"/>
              </w:rPr>
            </w:pPr>
            <w:r>
              <w:rPr>
                <w:rFonts w:ascii="Times New Roman"/>
                <w:sz w:val="21"/>
                <w:szCs w:val="21"/>
              </w:rPr>
              <w:t>二甲苯</w:t>
            </w:r>
          </w:p>
        </w:tc>
        <w:tc>
          <w:tcPr>
            <w:tcW w:w="1302" w:type="pct"/>
            <w:gridSpan w:val="2"/>
            <w:shd w:val="clear" w:color="auto" w:fill="auto"/>
            <w:vAlign w:val="center"/>
          </w:tcPr>
          <w:p w14:paraId="361F1287">
            <w:pPr>
              <w:snapToGrid w:val="0"/>
              <w:spacing w:line="320" w:lineRule="exact"/>
              <w:jc w:val="center"/>
              <w:rPr>
                <w:rFonts w:ascii="Times New Roman"/>
                <w:kern w:val="0"/>
                <w:sz w:val="21"/>
                <w:szCs w:val="21"/>
              </w:rPr>
            </w:pPr>
            <w:r>
              <w:rPr>
                <w:rFonts w:hint="eastAsia" w:ascii="Times New Roman"/>
                <w:kern w:val="0"/>
                <w:sz w:val="21"/>
                <w:szCs w:val="21"/>
              </w:rPr>
              <w:t>4.828</w:t>
            </w:r>
          </w:p>
        </w:tc>
      </w:tr>
    </w:tbl>
    <w:p w14:paraId="0831B5D3">
      <w:pPr>
        <w:snapToGrid w:val="0"/>
        <w:spacing w:line="480" w:lineRule="exact"/>
        <w:ind w:firstLine="482" w:firstLineChars="200"/>
        <w:contextualSpacing/>
        <w:jc w:val="center"/>
        <w:rPr>
          <w:rFonts w:ascii="Times New Roman"/>
          <w:b/>
          <w:bCs/>
          <w:sz w:val="24"/>
          <w:szCs w:val="24"/>
        </w:rPr>
      </w:pPr>
      <w:r>
        <w:rPr>
          <w:rFonts w:ascii="Times New Roman"/>
          <w:b/>
          <w:bCs/>
          <w:sz w:val="24"/>
          <w:szCs w:val="24"/>
        </w:rPr>
        <w:t>表5.2</w:t>
      </w:r>
      <w:r>
        <w:rPr>
          <w:rFonts w:hint="eastAsia" w:ascii="Times New Roman"/>
          <w:b/>
          <w:bCs/>
          <w:sz w:val="24"/>
          <w:szCs w:val="24"/>
        </w:rPr>
        <w:t>.1</w:t>
      </w:r>
      <w:r>
        <w:rPr>
          <w:rFonts w:ascii="Times New Roman"/>
          <w:b/>
          <w:bCs/>
          <w:sz w:val="24"/>
          <w:szCs w:val="24"/>
        </w:rPr>
        <w:t>-</w:t>
      </w:r>
      <w:r>
        <w:rPr>
          <w:rFonts w:hint="eastAsia" w:ascii="Times New Roman"/>
          <w:b/>
          <w:bCs/>
          <w:sz w:val="24"/>
          <w:szCs w:val="24"/>
        </w:rPr>
        <w:t>10</w:t>
      </w:r>
      <w:r>
        <w:rPr>
          <w:rFonts w:ascii="Times New Roman"/>
          <w:b/>
          <w:bCs/>
          <w:sz w:val="24"/>
          <w:szCs w:val="24"/>
        </w:rPr>
        <w:t xml:space="preserve">  大气污染物年排放量核算表</w:t>
      </w:r>
    </w:p>
    <w:tbl>
      <w:tblPr>
        <w:tblStyle w:val="84"/>
        <w:tblW w:w="8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3348"/>
        <w:gridCol w:w="2814"/>
      </w:tblGrid>
      <w:tr w14:paraId="09A8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5" w:type="dxa"/>
            <w:shd w:val="clear" w:color="auto" w:fill="auto"/>
            <w:vAlign w:val="center"/>
          </w:tcPr>
          <w:p w14:paraId="3E016094">
            <w:pPr>
              <w:snapToGrid w:val="0"/>
              <w:spacing w:line="320" w:lineRule="exact"/>
              <w:jc w:val="center"/>
              <w:rPr>
                <w:rFonts w:ascii="Times New Roman"/>
                <w:sz w:val="21"/>
                <w:szCs w:val="21"/>
              </w:rPr>
            </w:pPr>
            <w:r>
              <w:rPr>
                <w:rFonts w:ascii="Times New Roman"/>
                <w:sz w:val="21"/>
                <w:szCs w:val="21"/>
              </w:rPr>
              <w:t>序号</w:t>
            </w:r>
          </w:p>
        </w:tc>
        <w:tc>
          <w:tcPr>
            <w:tcW w:w="3348" w:type="dxa"/>
            <w:shd w:val="clear" w:color="auto" w:fill="auto"/>
            <w:vAlign w:val="center"/>
          </w:tcPr>
          <w:p w14:paraId="59D17EA5">
            <w:pPr>
              <w:snapToGrid w:val="0"/>
              <w:spacing w:line="320" w:lineRule="exact"/>
              <w:jc w:val="center"/>
              <w:rPr>
                <w:rFonts w:ascii="Times New Roman"/>
                <w:sz w:val="21"/>
                <w:szCs w:val="21"/>
              </w:rPr>
            </w:pPr>
            <w:r>
              <w:rPr>
                <w:rFonts w:ascii="Times New Roman"/>
                <w:sz w:val="21"/>
                <w:szCs w:val="21"/>
              </w:rPr>
              <w:t>污染物</w:t>
            </w:r>
          </w:p>
        </w:tc>
        <w:tc>
          <w:tcPr>
            <w:tcW w:w="2814" w:type="dxa"/>
            <w:shd w:val="clear" w:color="auto" w:fill="auto"/>
            <w:vAlign w:val="center"/>
          </w:tcPr>
          <w:p w14:paraId="166AAF16">
            <w:pPr>
              <w:snapToGrid w:val="0"/>
              <w:spacing w:line="320" w:lineRule="exact"/>
              <w:jc w:val="center"/>
              <w:rPr>
                <w:rFonts w:ascii="Times New Roman"/>
                <w:sz w:val="21"/>
                <w:szCs w:val="21"/>
              </w:rPr>
            </w:pPr>
            <w:r>
              <w:rPr>
                <w:rFonts w:ascii="Times New Roman"/>
                <w:sz w:val="21"/>
                <w:szCs w:val="21"/>
              </w:rPr>
              <w:t>年排放量/（t/a）</w:t>
            </w:r>
          </w:p>
        </w:tc>
      </w:tr>
      <w:tr w14:paraId="7844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5" w:type="dxa"/>
            <w:tcBorders>
              <w:bottom w:val="single" w:color="auto" w:sz="4" w:space="0"/>
            </w:tcBorders>
            <w:shd w:val="clear" w:color="auto" w:fill="auto"/>
            <w:vAlign w:val="center"/>
          </w:tcPr>
          <w:p w14:paraId="50DAC7AD">
            <w:pPr>
              <w:snapToGrid w:val="0"/>
              <w:spacing w:line="320" w:lineRule="exact"/>
              <w:jc w:val="center"/>
              <w:rPr>
                <w:rFonts w:ascii="Times New Roman"/>
                <w:sz w:val="21"/>
                <w:szCs w:val="21"/>
              </w:rPr>
            </w:pPr>
            <w:r>
              <w:rPr>
                <w:rFonts w:ascii="Times New Roman"/>
                <w:sz w:val="21"/>
                <w:szCs w:val="21"/>
              </w:rPr>
              <w:t>1</w:t>
            </w:r>
          </w:p>
        </w:tc>
        <w:tc>
          <w:tcPr>
            <w:tcW w:w="3348" w:type="dxa"/>
            <w:tcBorders>
              <w:bottom w:val="single" w:color="auto" w:sz="4" w:space="0"/>
            </w:tcBorders>
            <w:shd w:val="clear" w:color="auto" w:fill="auto"/>
            <w:vAlign w:val="center"/>
          </w:tcPr>
          <w:p w14:paraId="5C7715EF">
            <w:pPr>
              <w:snapToGrid w:val="0"/>
              <w:spacing w:line="320" w:lineRule="exact"/>
              <w:jc w:val="center"/>
              <w:rPr>
                <w:rFonts w:ascii="Times New Roman"/>
                <w:sz w:val="21"/>
                <w:szCs w:val="21"/>
              </w:rPr>
            </w:pPr>
            <w:r>
              <w:rPr>
                <w:rFonts w:ascii="Times New Roman"/>
                <w:snapToGrid w:val="0"/>
                <w:sz w:val="21"/>
                <w:szCs w:val="21"/>
              </w:rPr>
              <w:t>颗粒物</w:t>
            </w:r>
          </w:p>
        </w:tc>
        <w:tc>
          <w:tcPr>
            <w:tcW w:w="2814" w:type="dxa"/>
            <w:shd w:val="clear" w:color="auto" w:fill="auto"/>
            <w:vAlign w:val="center"/>
          </w:tcPr>
          <w:p w14:paraId="765811FA">
            <w:pPr>
              <w:tabs>
                <w:tab w:val="left" w:pos="1680"/>
              </w:tabs>
              <w:snapToGrid w:val="0"/>
              <w:spacing w:line="320" w:lineRule="exact"/>
              <w:jc w:val="center"/>
              <w:rPr>
                <w:rFonts w:ascii="Times New Roman"/>
                <w:sz w:val="21"/>
                <w:szCs w:val="21"/>
              </w:rPr>
            </w:pPr>
            <w:r>
              <w:rPr>
                <w:rFonts w:hint="eastAsia" w:ascii="Times New Roman"/>
                <w:sz w:val="21"/>
                <w:szCs w:val="21"/>
              </w:rPr>
              <w:t>36.151</w:t>
            </w:r>
          </w:p>
        </w:tc>
      </w:tr>
      <w:tr w14:paraId="2B35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5" w:type="dxa"/>
            <w:shd w:val="clear" w:color="auto" w:fill="auto"/>
            <w:vAlign w:val="center"/>
          </w:tcPr>
          <w:p w14:paraId="015CD0AC">
            <w:pPr>
              <w:snapToGrid w:val="0"/>
              <w:spacing w:line="320" w:lineRule="exact"/>
              <w:jc w:val="center"/>
              <w:rPr>
                <w:rFonts w:ascii="Times New Roman"/>
                <w:sz w:val="21"/>
                <w:szCs w:val="21"/>
              </w:rPr>
            </w:pPr>
            <w:r>
              <w:rPr>
                <w:rFonts w:ascii="Times New Roman"/>
                <w:sz w:val="21"/>
                <w:szCs w:val="21"/>
              </w:rPr>
              <w:t>2</w:t>
            </w:r>
          </w:p>
        </w:tc>
        <w:tc>
          <w:tcPr>
            <w:tcW w:w="3348" w:type="dxa"/>
            <w:shd w:val="clear" w:color="auto" w:fill="auto"/>
            <w:vAlign w:val="center"/>
          </w:tcPr>
          <w:p w14:paraId="05FBE5BC">
            <w:pPr>
              <w:tabs>
                <w:tab w:val="left" w:pos="1680"/>
              </w:tabs>
              <w:snapToGrid w:val="0"/>
              <w:spacing w:line="320" w:lineRule="exact"/>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2814" w:type="dxa"/>
            <w:shd w:val="clear" w:color="auto" w:fill="auto"/>
            <w:vAlign w:val="center"/>
          </w:tcPr>
          <w:p w14:paraId="47C23C19">
            <w:pPr>
              <w:jc w:val="center"/>
              <w:rPr>
                <w:rFonts w:ascii="Times New Roman"/>
                <w:sz w:val="21"/>
                <w:szCs w:val="21"/>
                <w:lang w:bidi="zh-TW"/>
              </w:rPr>
            </w:pPr>
            <w:r>
              <w:rPr>
                <w:rFonts w:hint="eastAsia" w:ascii="Times New Roman"/>
                <w:sz w:val="21"/>
                <w:szCs w:val="21"/>
                <w:lang w:bidi="zh-TW"/>
              </w:rPr>
              <w:t>0.072</w:t>
            </w:r>
          </w:p>
        </w:tc>
      </w:tr>
      <w:tr w14:paraId="1F62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5" w:type="dxa"/>
            <w:shd w:val="clear" w:color="auto" w:fill="auto"/>
            <w:vAlign w:val="center"/>
          </w:tcPr>
          <w:p w14:paraId="17B57397">
            <w:pPr>
              <w:snapToGrid w:val="0"/>
              <w:spacing w:line="320" w:lineRule="exact"/>
              <w:jc w:val="center"/>
              <w:rPr>
                <w:rFonts w:ascii="Times New Roman"/>
                <w:sz w:val="21"/>
                <w:szCs w:val="21"/>
              </w:rPr>
            </w:pPr>
            <w:r>
              <w:rPr>
                <w:rFonts w:ascii="Times New Roman"/>
                <w:sz w:val="21"/>
                <w:szCs w:val="21"/>
              </w:rPr>
              <w:t>3</w:t>
            </w:r>
          </w:p>
        </w:tc>
        <w:tc>
          <w:tcPr>
            <w:tcW w:w="3348" w:type="dxa"/>
            <w:shd w:val="clear" w:color="auto" w:fill="auto"/>
            <w:vAlign w:val="center"/>
          </w:tcPr>
          <w:p w14:paraId="584CBA24">
            <w:pPr>
              <w:tabs>
                <w:tab w:val="left" w:pos="1680"/>
              </w:tabs>
              <w:snapToGrid w:val="0"/>
              <w:spacing w:line="320" w:lineRule="exact"/>
              <w:jc w:val="center"/>
              <w:rPr>
                <w:rFonts w:ascii="Times New Roman"/>
                <w:sz w:val="21"/>
                <w:szCs w:val="21"/>
              </w:rPr>
            </w:pPr>
            <w:r>
              <w:rPr>
                <w:rFonts w:ascii="Times New Roman"/>
                <w:snapToGrid w:val="0"/>
                <w:sz w:val="21"/>
                <w:szCs w:val="21"/>
              </w:rPr>
              <w:t>NOx</w:t>
            </w:r>
          </w:p>
        </w:tc>
        <w:tc>
          <w:tcPr>
            <w:tcW w:w="2814" w:type="dxa"/>
            <w:shd w:val="clear" w:color="auto" w:fill="auto"/>
            <w:vAlign w:val="center"/>
          </w:tcPr>
          <w:p w14:paraId="6F6A990C">
            <w:pPr>
              <w:jc w:val="center"/>
              <w:rPr>
                <w:rFonts w:ascii="Times New Roman"/>
                <w:sz w:val="21"/>
                <w:szCs w:val="21"/>
                <w:lang w:bidi="zh-TW"/>
              </w:rPr>
            </w:pPr>
            <w:r>
              <w:rPr>
                <w:rFonts w:hint="eastAsia" w:ascii="Times New Roman"/>
                <w:sz w:val="21"/>
                <w:szCs w:val="21"/>
                <w:lang w:bidi="zh-TW"/>
              </w:rPr>
              <w:t>4.313</w:t>
            </w:r>
          </w:p>
        </w:tc>
      </w:tr>
      <w:tr w14:paraId="2B4F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5" w:type="dxa"/>
            <w:shd w:val="clear" w:color="auto" w:fill="auto"/>
            <w:vAlign w:val="center"/>
          </w:tcPr>
          <w:p w14:paraId="72B1FAB8">
            <w:pPr>
              <w:snapToGrid w:val="0"/>
              <w:spacing w:line="320" w:lineRule="exact"/>
              <w:jc w:val="center"/>
              <w:rPr>
                <w:rFonts w:ascii="Times New Roman"/>
                <w:sz w:val="21"/>
                <w:szCs w:val="21"/>
              </w:rPr>
            </w:pPr>
            <w:r>
              <w:rPr>
                <w:rFonts w:ascii="Times New Roman"/>
                <w:sz w:val="21"/>
                <w:szCs w:val="21"/>
              </w:rPr>
              <w:t>4</w:t>
            </w:r>
          </w:p>
        </w:tc>
        <w:tc>
          <w:tcPr>
            <w:tcW w:w="3348" w:type="dxa"/>
            <w:shd w:val="clear" w:color="auto" w:fill="auto"/>
            <w:vAlign w:val="center"/>
          </w:tcPr>
          <w:p w14:paraId="134EA26C">
            <w:pPr>
              <w:tabs>
                <w:tab w:val="left" w:pos="1680"/>
              </w:tabs>
              <w:snapToGrid w:val="0"/>
              <w:spacing w:line="320" w:lineRule="exact"/>
              <w:jc w:val="center"/>
              <w:rPr>
                <w:rFonts w:ascii="Times New Roman"/>
                <w:sz w:val="21"/>
                <w:szCs w:val="21"/>
              </w:rPr>
            </w:pPr>
            <w:r>
              <w:rPr>
                <w:rFonts w:ascii="Times New Roman"/>
                <w:sz w:val="21"/>
                <w:szCs w:val="21"/>
              </w:rPr>
              <w:t>非甲烷总烃</w:t>
            </w:r>
          </w:p>
        </w:tc>
        <w:tc>
          <w:tcPr>
            <w:tcW w:w="2814" w:type="dxa"/>
            <w:shd w:val="clear" w:color="auto" w:fill="auto"/>
            <w:vAlign w:val="center"/>
          </w:tcPr>
          <w:p w14:paraId="038970D5">
            <w:pPr>
              <w:tabs>
                <w:tab w:val="left" w:pos="1680"/>
              </w:tabs>
              <w:snapToGrid w:val="0"/>
              <w:spacing w:line="320" w:lineRule="exact"/>
              <w:jc w:val="center"/>
              <w:rPr>
                <w:rFonts w:ascii="Times New Roman"/>
                <w:sz w:val="21"/>
                <w:szCs w:val="21"/>
              </w:rPr>
            </w:pPr>
            <w:r>
              <w:rPr>
                <w:rFonts w:hint="eastAsia" w:ascii="Times New Roman"/>
                <w:sz w:val="21"/>
                <w:szCs w:val="21"/>
              </w:rPr>
              <w:t>34.103</w:t>
            </w:r>
          </w:p>
        </w:tc>
      </w:tr>
      <w:tr w14:paraId="7EE5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5" w:type="dxa"/>
            <w:shd w:val="clear" w:color="auto" w:fill="auto"/>
            <w:vAlign w:val="center"/>
          </w:tcPr>
          <w:p w14:paraId="4F05C526">
            <w:pPr>
              <w:snapToGrid w:val="0"/>
              <w:spacing w:line="320" w:lineRule="exact"/>
              <w:jc w:val="center"/>
              <w:rPr>
                <w:rFonts w:ascii="Times New Roman"/>
                <w:sz w:val="21"/>
                <w:szCs w:val="21"/>
              </w:rPr>
            </w:pPr>
            <w:r>
              <w:rPr>
                <w:rFonts w:ascii="Times New Roman"/>
                <w:sz w:val="21"/>
                <w:szCs w:val="21"/>
              </w:rPr>
              <w:t>5</w:t>
            </w:r>
          </w:p>
        </w:tc>
        <w:tc>
          <w:tcPr>
            <w:tcW w:w="3348" w:type="dxa"/>
            <w:shd w:val="clear" w:color="auto" w:fill="auto"/>
            <w:vAlign w:val="center"/>
          </w:tcPr>
          <w:p w14:paraId="0F8759E4">
            <w:pPr>
              <w:tabs>
                <w:tab w:val="left" w:pos="1680"/>
              </w:tabs>
              <w:snapToGrid w:val="0"/>
              <w:spacing w:line="320" w:lineRule="exact"/>
              <w:jc w:val="center"/>
              <w:rPr>
                <w:rFonts w:ascii="Times New Roman"/>
                <w:sz w:val="21"/>
                <w:szCs w:val="21"/>
              </w:rPr>
            </w:pPr>
            <w:r>
              <w:rPr>
                <w:rFonts w:ascii="Times New Roman"/>
                <w:sz w:val="21"/>
                <w:szCs w:val="21"/>
              </w:rPr>
              <w:t>二甲苯</w:t>
            </w:r>
          </w:p>
        </w:tc>
        <w:tc>
          <w:tcPr>
            <w:tcW w:w="2814" w:type="dxa"/>
            <w:shd w:val="clear" w:color="auto" w:fill="auto"/>
            <w:vAlign w:val="center"/>
          </w:tcPr>
          <w:p w14:paraId="4035B937">
            <w:pPr>
              <w:tabs>
                <w:tab w:val="left" w:pos="1680"/>
              </w:tabs>
              <w:snapToGrid w:val="0"/>
              <w:spacing w:line="320" w:lineRule="exact"/>
              <w:jc w:val="center"/>
              <w:rPr>
                <w:rFonts w:ascii="Times New Roman"/>
                <w:sz w:val="21"/>
                <w:szCs w:val="21"/>
              </w:rPr>
            </w:pPr>
            <w:r>
              <w:rPr>
                <w:rFonts w:hint="eastAsia" w:ascii="Times New Roman"/>
                <w:sz w:val="21"/>
                <w:szCs w:val="21"/>
              </w:rPr>
              <w:t>9.415</w:t>
            </w:r>
          </w:p>
        </w:tc>
      </w:tr>
    </w:tbl>
    <w:p w14:paraId="2340A419">
      <w:pPr>
        <w:pStyle w:val="6"/>
        <w:spacing w:before="170" w:after="170"/>
        <w:rPr>
          <w:rFonts w:ascii="Times New Roman" w:hAnsi="Times New Roman" w:eastAsia="宋体"/>
          <w:b/>
          <w:color w:val="auto"/>
        </w:rPr>
      </w:pPr>
      <w:r>
        <w:rPr>
          <w:rFonts w:ascii="Times New Roman" w:hAnsi="Times New Roman" w:eastAsia="宋体"/>
          <w:b/>
          <w:color w:val="auto"/>
        </w:rPr>
        <w:t>5.2.1.5大气环境影响评价自查表</w:t>
      </w:r>
    </w:p>
    <w:p w14:paraId="1A1C7F9D">
      <w:pPr>
        <w:snapToGrid w:val="0"/>
        <w:spacing w:line="480" w:lineRule="exact"/>
        <w:ind w:firstLine="480" w:firstLineChars="200"/>
        <w:rPr>
          <w:rFonts w:ascii="Times New Roman"/>
          <w:sz w:val="24"/>
        </w:rPr>
      </w:pPr>
      <w:r>
        <w:rPr>
          <w:rFonts w:ascii="Times New Roman"/>
          <w:sz w:val="24"/>
        </w:rPr>
        <w:t>建设项目大气环境影响评价自查表见表5.2</w:t>
      </w:r>
      <w:r>
        <w:rPr>
          <w:rFonts w:hint="eastAsia" w:ascii="Times New Roman"/>
          <w:sz w:val="24"/>
        </w:rPr>
        <w:t>.1</w:t>
      </w:r>
      <w:r>
        <w:rPr>
          <w:rFonts w:ascii="Times New Roman"/>
          <w:sz w:val="24"/>
        </w:rPr>
        <w:t>-</w:t>
      </w:r>
      <w:r>
        <w:rPr>
          <w:rFonts w:hint="eastAsia" w:ascii="Times New Roman"/>
          <w:sz w:val="24"/>
        </w:rPr>
        <w:t>11</w:t>
      </w:r>
      <w:r>
        <w:rPr>
          <w:rFonts w:ascii="Times New Roman"/>
          <w:sz w:val="24"/>
        </w:rPr>
        <w:t>。</w:t>
      </w:r>
    </w:p>
    <w:p w14:paraId="595FF92B">
      <w:pPr>
        <w:snapToGrid w:val="0"/>
        <w:spacing w:line="480" w:lineRule="exact"/>
        <w:jc w:val="center"/>
        <w:rPr>
          <w:rFonts w:ascii="Times New Roman"/>
          <w:sz w:val="24"/>
        </w:rPr>
      </w:pPr>
      <w:r>
        <w:rPr>
          <w:rFonts w:ascii="Times New Roman"/>
          <w:b/>
          <w:sz w:val="24"/>
        </w:rPr>
        <w:t>表5.2</w:t>
      </w:r>
      <w:r>
        <w:rPr>
          <w:rFonts w:hint="eastAsia" w:ascii="Times New Roman"/>
          <w:b/>
          <w:sz w:val="24"/>
        </w:rPr>
        <w:t>.1</w:t>
      </w:r>
      <w:r>
        <w:rPr>
          <w:rFonts w:ascii="Times New Roman"/>
          <w:b/>
          <w:sz w:val="24"/>
        </w:rPr>
        <w:t>-</w:t>
      </w:r>
      <w:r>
        <w:rPr>
          <w:rFonts w:hint="eastAsia" w:ascii="Times New Roman"/>
          <w:b/>
          <w:sz w:val="24"/>
        </w:rPr>
        <w:t>11</w:t>
      </w:r>
      <w:r>
        <w:rPr>
          <w:rFonts w:ascii="Times New Roman"/>
          <w:b/>
          <w:sz w:val="24"/>
        </w:rPr>
        <w:t xml:space="preserve">   项目大气环境影响评价自查表</w:t>
      </w:r>
    </w:p>
    <w:tbl>
      <w:tblPr>
        <w:tblStyle w:val="84"/>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581"/>
        <w:gridCol w:w="782"/>
        <w:gridCol w:w="253"/>
        <w:gridCol w:w="304"/>
        <w:gridCol w:w="311"/>
        <w:gridCol w:w="409"/>
        <w:gridCol w:w="93"/>
        <w:gridCol w:w="128"/>
        <w:gridCol w:w="318"/>
        <w:gridCol w:w="547"/>
        <w:gridCol w:w="248"/>
        <w:gridCol w:w="657"/>
        <w:gridCol w:w="143"/>
        <w:gridCol w:w="419"/>
        <w:gridCol w:w="290"/>
        <w:gridCol w:w="789"/>
      </w:tblGrid>
      <w:tr w14:paraId="5026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79" w:type="pct"/>
            <w:gridSpan w:val="2"/>
            <w:shd w:val="clear" w:color="auto" w:fill="auto"/>
            <w:noWrap/>
            <w:vAlign w:val="center"/>
          </w:tcPr>
          <w:p w14:paraId="23B3270F">
            <w:pPr>
              <w:spacing w:line="280" w:lineRule="exact"/>
              <w:jc w:val="center"/>
              <w:rPr>
                <w:rFonts w:ascii="Times New Roman"/>
                <w:b/>
                <w:sz w:val="21"/>
                <w:szCs w:val="21"/>
              </w:rPr>
            </w:pPr>
            <w:r>
              <w:rPr>
                <w:rFonts w:ascii="Times New Roman"/>
                <w:sz w:val="21"/>
                <w:szCs w:val="21"/>
              </w:rPr>
              <w:t>工作内容</w:t>
            </w:r>
          </w:p>
        </w:tc>
        <w:tc>
          <w:tcPr>
            <w:tcW w:w="3420" w:type="pct"/>
            <w:gridSpan w:val="15"/>
            <w:shd w:val="clear" w:color="auto" w:fill="auto"/>
            <w:noWrap/>
            <w:vAlign w:val="center"/>
          </w:tcPr>
          <w:p w14:paraId="1F3B19D2">
            <w:pPr>
              <w:spacing w:line="280" w:lineRule="exact"/>
              <w:jc w:val="center"/>
              <w:rPr>
                <w:rFonts w:ascii="Times New Roman"/>
                <w:b/>
                <w:sz w:val="21"/>
                <w:szCs w:val="21"/>
              </w:rPr>
            </w:pPr>
            <w:r>
              <w:rPr>
                <w:rFonts w:ascii="Times New Roman"/>
                <w:sz w:val="21"/>
                <w:szCs w:val="21"/>
              </w:rPr>
              <w:t>自查项目</w:t>
            </w:r>
          </w:p>
        </w:tc>
      </w:tr>
      <w:tr w14:paraId="2221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9" w:type="pct"/>
            <w:vMerge w:val="restart"/>
            <w:shd w:val="clear" w:color="auto" w:fill="auto"/>
            <w:noWrap/>
            <w:vAlign w:val="center"/>
          </w:tcPr>
          <w:p w14:paraId="32B5E2C3">
            <w:pPr>
              <w:spacing w:line="280" w:lineRule="exact"/>
              <w:jc w:val="center"/>
              <w:rPr>
                <w:rFonts w:ascii="Times New Roman"/>
                <w:sz w:val="21"/>
                <w:szCs w:val="21"/>
              </w:rPr>
            </w:pPr>
            <w:r>
              <w:rPr>
                <w:rFonts w:ascii="Times New Roman"/>
                <w:sz w:val="21"/>
                <w:szCs w:val="21"/>
              </w:rPr>
              <w:t>评价等级与范围</w:t>
            </w:r>
          </w:p>
        </w:tc>
        <w:tc>
          <w:tcPr>
            <w:tcW w:w="949" w:type="pct"/>
            <w:shd w:val="clear" w:color="auto" w:fill="auto"/>
            <w:noWrap/>
            <w:vAlign w:val="center"/>
          </w:tcPr>
          <w:p w14:paraId="6C3ECA73">
            <w:pPr>
              <w:spacing w:line="280" w:lineRule="exact"/>
              <w:jc w:val="center"/>
              <w:rPr>
                <w:rFonts w:ascii="Times New Roman"/>
                <w:b/>
                <w:sz w:val="21"/>
                <w:szCs w:val="21"/>
              </w:rPr>
            </w:pPr>
            <w:r>
              <w:rPr>
                <w:rFonts w:ascii="Times New Roman"/>
                <w:sz w:val="21"/>
                <w:szCs w:val="21"/>
              </w:rPr>
              <w:t>评价等级</w:t>
            </w:r>
          </w:p>
        </w:tc>
        <w:tc>
          <w:tcPr>
            <w:tcW w:w="1371" w:type="pct"/>
            <w:gridSpan w:val="7"/>
            <w:shd w:val="clear" w:color="auto" w:fill="auto"/>
            <w:noWrap/>
            <w:vAlign w:val="center"/>
          </w:tcPr>
          <w:p w14:paraId="0408DA3F">
            <w:pPr>
              <w:spacing w:line="280" w:lineRule="exact"/>
              <w:jc w:val="center"/>
              <w:rPr>
                <w:rFonts w:ascii="Times New Roman"/>
                <w:b/>
                <w:sz w:val="21"/>
                <w:szCs w:val="21"/>
              </w:rPr>
            </w:pPr>
            <w:r>
              <w:rPr>
                <w:rFonts w:ascii="Times New Roman"/>
                <w:sz w:val="21"/>
                <w:szCs w:val="21"/>
              </w:rPr>
              <w:t>一级□</w:t>
            </w:r>
          </w:p>
        </w:tc>
        <w:tc>
          <w:tcPr>
            <w:tcW w:w="1149" w:type="pct"/>
            <w:gridSpan w:val="5"/>
            <w:shd w:val="clear" w:color="auto" w:fill="auto"/>
            <w:noWrap/>
            <w:vAlign w:val="center"/>
          </w:tcPr>
          <w:p w14:paraId="29FC4189">
            <w:pPr>
              <w:spacing w:line="280" w:lineRule="exact"/>
              <w:jc w:val="center"/>
              <w:rPr>
                <w:rFonts w:ascii="Times New Roman"/>
                <w:b/>
                <w:sz w:val="21"/>
                <w:szCs w:val="21"/>
              </w:rPr>
            </w:pPr>
            <w:r>
              <w:rPr>
                <w:rFonts w:ascii="Times New Roman"/>
                <w:sz w:val="21"/>
                <w:szCs w:val="21"/>
              </w:rPr>
              <w:t>二级☑</w:t>
            </w:r>
          </w:p>
        </w:tc>
        <w:tc>
          <w:tcPr>
            <w:tcW w:w="899" w:type="pct"/>
            <w:gridSpan w:val="3"/>
            <w:shd w:val="clear" w:color="auto" w:fill="auto"/>
            <w:noWrap/>
            <w:vAlign w:val="center"/>
          </w:tcPr>
          <w:p w14:paraId="454146F7">
            <w:pPr>
              <w:spacing w:line="280" w:lineRule="exact"/>
              <w:jc w:val="center"/>
              <w:rPr>
                <w:rFonts w:ascii="Times New Roman"/>
                <w:b/>
                <w:sz w:val="21"/>
                <w:szCs w:val="21"/>
              </w:rPr>
            </w:pPr>
            <w:r>
              <w:rPr>
                <w:rFonts w:ascii="Times New Roman"/>
                <w:sz w:val="21"/>
                <w:szCs w:val="21"/>
              </w:rPr>
              <w:t>三级</w:t>
            </w:r>
            <w:r>
              <w:rPr>
                <w:rFonts w:ascii="Times New Roman"/>
                <w:b/>
                <w:sz w:val="21"/>
                <w:szCs w:val="21"/>
              </w:rPr>
              <w:t>□</w:t>
            </w:r>
          </w:p>
        </w:tc>
      </w:tr>
      <w:tr w14:paraId="17A6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29" w:type="pct"/>
            <w:vMerge w:val="continue"/>
            <w:shd w:val="clear" w:color="auto" w:fill="auto"/>
            <w:noWrap/>
            <w:vAlign w:val="center"/>
          </w:tcPr>
          <w:p w14:paraId="6C815E08">
            <w:pPr>
              <w:spacing w:line="280" w:lineRule="exact"/>
              <w:ind w:firstLine="422"/>
              <w:jc w:val="center"/>
              <w:rPr>
                <w:rFonts w:ascii="Times New Roman"/>
                <w:b/>
                <w:sz w:val="21"/>
                <w:szCs w:val="21"/>
              </w:rPr>
            </w:pPr>
          </w:p>
        </w:tc>
        <w:tc>
          <w:tcPr>
            <w:tcW w:w="949" w:type="pct"/>
            <w:shd w:val="clear" w:color="auto" w:fill="auto"/>
            <w:noWrap/>
            <w:vAlign w:val="center"/>
          </w:tcPr>
          <w:p w14:paraId="70A5430B">
            <w:pPr>
              <w:spacing w:line="280" w:lineRule="exact"/>
              <w:jc w:val="center"/>
              <w:rPr>
                <w:rFonts w:ascii="Times New Roman"/>
                <w:b/>
                <w:sz w:val="21"/>
                <w:szCs w:val="21"/>
              </w:rPr>
            </w:pPr>
            <w:r>
              <w:rPr>
                <w:rFonts w:ascii="Times New Roman"/>
                <w:sz w:val="21"/>
                <w:szCs w:val="21"/>
              </w:rPr>
              <w:t>评价范围</w:t>
            </w:r>
          </w:p>
        </w:tc>
        <w:tc>
          <w:tcPr>
            <w:tcW w:w="1371" w:type="pct"/>
            <w:gridSpan w:val="7"/>
            <w:shd w:val="clear" w:color="auto" w:fill="auto"/>
            <w:noWrap/>
            <w:vAlign w:val="center"/>
          </w:tcPr>
          <w:p w14:paraId="0B875DE0">
            <w:pPr>
              <w:spacing w:line="280" w:lineRule="exact"/>
              <w:jc w:val="center"/>
              <w:rPr>
                <w:rFonts w:ascii="Times New Roman"/>
                <w:b/>
                <w:sz w:val="21"/>
                <w:szCs w:val="21"/>
              </w:rPr>
            </w:pPr>
            <w:r>
              <w:rPr>
                <w:rFonts w:ascii="Times New Roman"/>
                <w:sz w:val="21"/>
                <w:szCs w:val="21"/>
              </w:rPr>
              <w:t>边长=5km□</w:t>
            </w:r>
          </w:p>
        </w:tc>
        <w:tc>
          <w:tcPr>
            <w:tcW w:w="1149" w:type="pct"/>
            <w:gridSpan w:val="5"/>
            <w:shd w:val="clear" w:color="auto" w:fill="auto"/>
            <w:noWrap/>
            <w:vAlign w:val="center"/>
          </w:tcPr>
          <w:p w14:paraId="0E884E11">
            <w:pPr>
              <w:spacing w:line="280" w:lineRule="exact"/>
              <w:jc w:val="center"/>
              <w:rPr>
                <w:rFonts w:ascii="Times New Roman"/>
                <w:b/>
                <w:sz w:val="21"/>
                <w:szCs w:val="21"/>
              </w:rPr>
            </w:pPr>
            <w:r>
              <w:rPr>
                <w:rFonts w:ascii="Times New Roman"/>
                <w:sz w:val="21"/>
                <w:szCs w:val="21"/>
              </w:rPr>
              <w:t>边长5～50 km□</w:t>
            </w:r>
          </w:p>
        </w:tc>
        <w:tc>
          <w:tcPr>
            <w:tcW w:w="899" w:type="pct"/>
            <w:gridSpan w:val="3"/>
            <w:shd w:val="clear" w:color="auto" w:fill="auto"/>
            <w:noWrap/>
            <w:vAlign w:val="center"/>
          </w:tcPr>
          <w:p w14:paraId="68363EAA">
            <w:pPr>
              <w:spacing w:line="280" w:lineRule="exact"/>
              <w:jc w:val="center"/>
              <w:rPr>
                <w:rFonts w:ascii="Times New Roman"/>
                <w:b/>
                <w:sz w:val="21"/>
                <w:szCs w:val="21"/>
              </w:rPr>
            </w:pPr>
            <w:r>
              <w:rPr>
                <w:rFonts w:ascii="Times New Roman"/>
                <w:sz w:val="21"/>
                <w:szCs w:val="21"/>
              </w:rPr>
              <w:t>边长=5km☑</w:t>
            </w:r>
          </w:p>
        </w:tc>
      </w:tr>
      <w:tr w14:paraId="6B59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restart"/>
            <w:shd w:val="clear" w:color="auto" w:fill="auto"/>
            <w:noWrap/>
            <w:vAlign w:val="center"/>
          </w:tcPr>
          <w:p w14:paraId="03F678FF">
            <w:pPr>
              <w:spacing w:line="280" w:lineRule="exact"/>
              <w:jc w:val="center"/>
              <w:rPr>
                <w:rFonts w:ascii="Times New Roman"/>
                <w:b/>
                <w:sz w:val="21"/>
                <w:szCs w:val="21"/>
              </w:rPr>
            </w:pPr>
            <w:r>
              <w:rPr>
                <w:rFonts w:ascii="Times New Roman"/>
                <w:sz w:val="21"/>
                <w:szCs w:val="21"/>
              </w:rPr>
              <w:t>评价因子</w:t>
            </w:r>
          </w:p>
        </w:tc>
        <w:tc>
          <w:tcPr>
            <w:tcW w:w="949" w:type="pct"/>
            <w:shd w:val="clear" w:color="auto" w:fill="auto"/>
            <w:noWrap/>
            <w:vAlign w:val="center"/>
          </w:tcPr>
          <w:p w14:paraId="7B1C781C">
            <w:pPr>
              <w:spacing w:line="280" w:lineRule="exact"/>
              <w:jc w:val="center"/>
              <w:rPr>
                <w:rFonts w:ascii="Times New Roman"/>
                <w:b/>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 xml:space="preserve"> +NO</w:t>
            </w:r>
            <w:r>
              <w:rPr>
                <w:rFonts w:ascii="Times New Roman"/>
                <w:i/>
                <w:iCs/>
                <w:sz w:val="21"/>
                <w:szCs w:val="21"/>
                <w:vertAlign w:val="subscript"/>
              </w:rPr>
              <w:t>x</w:t>
            </w:r>
            <w:r>
              <w:rPr>
                <w:rFonts w:ascii="Times New Roman"/>
                <w:sz w:val="21"/>
                <w:szCs w:val="21"/>
              </w:rPr>
              <w:t>排放量</w:t>
            </w:r>
          </w:p>
        </w:tc>
        <w:tc>
          <w:tcPr>
            <w:tcW w:w="1371" w:type="pct"/>
            <w:gridSpan w:val="7"/>
            <w:shd w:val="clear" w:color="auto" w:fill="auto"/>
            <w:noWrap/>
            <w:vAlign w:val="center"/>
          </w:tcPr>
          <w:p w14:paraId="2C70EAE7">
            <w:pPr>
              <w:spacing w:line="280" w:lineRule="exact"/>
              <w:jc w:val="center"/>
              <w:rPr>
                <w:rFonts w:ascii="Times New Roman"/>
                <w:b/>
                <w:sz w:val="21"/>
                <w:szCs w:val="21"/>
              </w:rPr>
            </w:pPr>
            <w:r>
              <w:rPr>
                <w:rFonts w:ascii="Times New Roman"/>
                <w:sz w:val="21"/>
                <w:szCs w:val="21"/>
              </w:rPr>
              <w:t>≥2000t/a□</w:t>
            </w:r>
          </w:p>
        </w:tc>
        <w:tc>
          <w:tcPr>
            <w:tcW w:w="1149" w:type="pct"/>
            <w:gridSpan w:val="5"/>
            <w:shd w:val="clear" w:color="auto" w:fill="auto"/>
            <w:noWrap/>
            <w:vAlign w:val="center"/>
          </w:tcPr>
          <w:p w14:paraId="71B66D02">
            <w:pPr>
              <w:spacing w:line="280" w:lineRule="exact"/>
              <w:jc w:val="center"/>
              <w:rPr>
                <w:rFonts w:ascii="Times New Roman"/>
                <w:b/>
                <w:sz w:val="21"/>
                <w:szCs w:val="21"/>
              </w:rPr>
            </w:pPr>
            <w:r>
              <w:rPr>
                <w:rFonts w:ascii="Times New Roman"/>
                <w:sz w:val="21"/>
                <w:szCs w:val="21"/>
              </w:rPr>
              <w:t>500～2000t/a□</w:t>
            </w:r>
          </w:p>
        </w:tc>
        <w:tc>
          <w:tcPr>
            <w:tcW w:w="899" w:type="pct"/>
            <w:gridSpan w:val="3"/>
            <w:shd w:val="clear" w:color="auto" w:fill="auto"/>
            <w:noWrap/>
            <w:vAlign w:val="center"/>
          </w:tcPr>
          <w:p w14:paraId="2F3F2CB0">
            <w:pPr>
              <w:spacing w:line="280" w:lineRule="exact"/>
              <w:jc w:val="center"/>
              <w:rPr>
                <w:rFonts w:ascii="Times New Roman"/>
                <w:b/>
                <w:sz w:val="21"/>
                <w:szCs w:val="21"/>
              </w:rPr>
            </w:pPr>
            <w:r>
              <w:rPr>
                <w:rFonts w:ascii="Times New Roman"/>
                <w:sz w:val="21"/>
                <w:szCs w:val="21"/>
              </w:rPr>
              <w:t>＜500t/a☑</w:t>
            </w:r>
          </w:p>
        </w:tc>
      </w:tr>
      <w:tr w14:paraId="1904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29" w:type="pct"/>
            <w:vMerge w:val="continue"/>
            <w:shd w:val="clear" w:color="auto" w:fill="auto"/>
            <w:noWrap/>
            <w:vAlign w:val="center"/>
          </w:tcPr>
          <w:p w14:paraId="15127C9E">
            <w:pPr>
              <w:spacing w:line="280" w:lineRule="exact"/>
              <w:ind w:firstLine="422"/>
              <w:jc w:val="center"/>
              <w:rPr>
                <w:rFonts w:ascii="Times New Roman"/>
                <w:b/>
                <w:sz w:val="21"/>
                <w:szCs w:val="21"/>
              </w:rPr>
            </w:pPr>
          </w:p>
        </w:tc>
        <w:tc>
          <w:tcPr>
            <w:tcW w:w="949" w:type="pct"/>
            <w:shd w:val="clear" w:color="auto" w:fill="auto"/>
            <w:noWrap/>
            <w:vAlign w:val="center"/>
          </w:tcPr>
          <w:p w14:paraId="5D03ADE1">
            <w:pPr>
              <w:spacing w:line="280" w:lineRule="exact"/>
              <w:jc w:val="center"/>
              <w:rPr>
                <w:rFonts w:ascii="Times New Roman"/>
                <w:b/>
                <w:sz w:val="21"/>
                <w:szCs w:val="21"/>
              </w:rPr>
            </w:pPr>
            <w:r>
              <w:rPr>
                <w:rFonts w:ascii="Times New Roman"/>
                <w:sz w:val="21"/>
                <w:szCs w:val="21"/>
              </w:rPr>
              <w:t>评价因子</w:t>
            </w:r>
          </w:p>
        </w:tc>
        <w:tc>
          <w:tcPr>
            <w:tcW w:w="2040" w:type="pct"/>
            <w:gridSpan w:val="10"/>
            <w:shd w:val="clear" w:color="auto" w:fill="auto"/>
            <w:noWrap/>
            <w:vAlign w:val="center"/>
          </w:tcPr>
          <w:p w14:paraId="37A7AA8E">
            <w:pPr>
              <w:spacing w:line="280" w:lineRule="exact"/>
              <w:jc w:val="center"/>
              <w:rPr>
                <w:rFonts w:ascii="Times New Roman"/>
                <w:sz w:val="21"/>
                <w:szCs w:val="21"/>
              </w:rPr>
            </w:pPr>
            <w:r>
              <w:rPr>
                <w:rFonts w:ascii="Times New Roman"/>
                <w:sz w:val="21"/>
                <w:szCs w:val="21"/>
              </w:rPr>
              <w:t>基本污染物（SO</w:t>
            </w:r>
            <w:r>
              <w:rPr>
                <w:rFonts w:ascii="Times New Roman"/>
                <w:sz w:val="21"/>
                <w:szCs w:val="21"/>
                <w:vertAlign w:val="subscript"/>
              </w:rPr>
              <w:t>2</w:t>
            </w:r>
            <w:r>
              <w:rPr>
                <w:rFonts w:ascii="Times New Roman"/>
                <w:sz w:val="21"/>
                <w:szCs w:val="21"/>
              </w:rPr>
              <w:t>、NO</w:t>
            </w:r>
            <w:r>
              <w:rPr>
                <w:rFonts w:hint="eastAsia" w:ascii="Times New Roman"/>
                <w:sz w:val="21"/>
                <w:szCs w:val="21"/>
                <w:vertAlign w:val="subscript"/>
              </w:rPr>
              <w:t>2</w:t>
            </w:r>
            <w:r>
              <w:rPr>
                <w:rFonts w:ascii="Times New Roman"/>
                <w:sz w:val="21"/>
                <w:szCs w:val="21"/>
              </w:rPr>
              <w:t>、PM</w:t>
            </w:r>
            <w:r>
              <w:rPr>
                <w:rFonts w:ascii="Times New Roman"/>
                <w:sz w:val="21"/>
                <w:szCs w:val="21"/>
                <w:vertAlign w:val="subscript"/>
              </w:rPr>
              <w:t>10</w:t>
            </w:r>
            <w:r>
              <w:rPr>
                <w:rFonts w:ascii="Times New Roman"/>
                <w:sz w:val="21"/>
                <w:szCs w:val="21"/>
              </w:rPr>
              <w:t>）</w:t>
            </w:r>
          </w:p>
          <w:p w14:paraId="532A413D">
            <w:pPr>
              <w:spacing w:line="280" w:lineRule="exact"/>
              <w:jc w:val="center"/>
              <w:rPr>
                <w:rFonts w:ascii="Times New Roman"/>
                <w:sz w:val="21"/>
                <w:szCs w:val="21"/>
              </w:rPr>
            </w:pPr>
            <w:r>
              <w:rPr>
                <w:rFonts w:ascii="Times New Roman"/>
                <w:sz w:val="21"/>
                <w:szCs w:val="21"/>
              </w:rPr>
              <w:t>其他污染物（</w:t>
            </w:r>
            <w:r>
              <w:rPr>
                <w:rFonts w:hint="eastAsia" w:ascii="Times New Roman"/>
                <w:sz w:val="21"/>
                <w:szCs w:val="21"/>
              </w:rPr>
              <w:t>TSP、</w:t>
            </w:r>
            <w:r>
              <w:rPr>
                <w:rFonts w:ascii="Times New Roman"/>
                <w:sz w:val="21"/>
                <w:szCs w:val="21"/>
              </w:rPr>
              <w:t>非甲烷总烃、二甲苯）</w:t>
            </w:r>
          </w:p>
        </w:tc>
        <w:tc>
          <w:tcPr>
            <w:tcW w:w="1379" w:type="pct"/>
            <w:gridSpan w:val="5"/>
            <w:shd w:val="clear" w:color="auto" w:fill="auto"/>
            <w:noWrap/>
            <w:vAlign w:val="center"/>
          </w:tcPr>
          <w:p w14:paraId="2ADC4F29">
            <w:pPr>
              <w:autoSpaceDE w:val="0"/>
              <w:autoSpaceDN w:val="0"/>
              <w:spacing w:line="280" w:lineRule="exact"/>
              <w:ind w:right="360"/>
              <w:jc w:val="center"/>
              <w:rPr>
                <w:rFonts w:ascii="Times New Roman"/>
                <w:sz w:val="21"/>
                <w:szCs w:val="21"/>
              </w:rPr>
            </w:pPr>
            <w:r>
              <w:rPr>
                <w:rFonts w:ascii="Times New Roman"/>
                <w:sz w:val="21"/>
                <w:szCs w:val="21"/>
              </w:rPr>
              <w:t>包括二次PM</w:t>
            </w:r>
            <w:r>
              <w:rPr>
                <w:rFonts w:ascii="Times New Roman"/>
                <w:sz w:val="21"/>
                <w:szCs w:val="21"/>
                <w:vertAlign w:val="subscript"/>
              </w:rPr>
              <w:t>2.5</w:t>
            </w:r>
            <w:r>
              <w:rPr>
                <w:rFonts w:hint="eastAsia" w:ascii="Times New Roman"/>
                <w:sz w:val="21"/>
                <w:szCs w:val="21"/>
              </w:rPr>
              <w:t>□</w:t>
            </w:r>
          </w:p>
          <w:p w14:paraId="09760775">
            <w:pPr>
              <w:autoSpaceDE w:val="0"/>
              <w:autoSpaceDN w:val="0"/>
              <w:spacing w:line="280" w:lineRule="exact"/>
              <w:ind w:right="360"/>
              <w:jc w:val="center"/>
              <w:rPr>
                <w:rFonts w:ascii="Times New Roman"/>
                <w:sz w:val="21"/>
                <w:szCs w:val="21"/>
              </w:rPr>
            </w:pPr>
            <w:r>
              <w:rPr>
                <w:rFonts w:ascii="Times New Roman"/>
                <w:sz w:val="21"/>
                <w:szCs w:val="21"/>
              </w:rPr>
              <w:t>不包括二次P</w:t>
            </w:r>
            <w:r>
              <w:rPr>
                <w:rFonts w:ascii="Times New Roman"/>
                <w:sz w:val="21"/>
                <w:szCs w:val="21"/>
                <w:vertAlign w:val="subscript"/>
              </w:rPr>
              <w:t>M2.5</w:t>
            </w:r>
            <w:r>
              <w:rPr>
                <w:rFonts w:hint="eastAsia" w:ascii="Times New Roman"/>
                <w:sz w:val="21"/>
                <w:szCs w:val="21"/>
              </w:rPr>
              <w:t>☑</w:t>
            </w:r>
          </w:p>
        </w:tc>
      </w:tr>
      <w:tr w14:paraId="1511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shd w:val="clear" w:color="auto" w:fill="auto"/>
            <w:noWrap/>
            <w:vAlign w:val="center"/>
          </w:tcPr>
          <w:p w14:paraId="5173555D">
            <w:pPr>
              <w:spacing w:line="280" w:lineRule="exact"/>
              <w:jc w:val="center"/>
              <w:rPr>
                <w:rFonts w:ascii="Times New Roman"/>
                <w:b/>
                <w:sz w:val="21"/>
                <w:szCs w:val="21"/>
              </w:rPr>
            </w:pPr>
            <w:r>
              <w:rPr>
                <w:rFonts w:ascii="Times New Roman"/>
                <w:sz w:val="21"/>
                <w:szCs w:val="21"/>
              </w:rPr>
              <w:t>评价标准</w:t>
            </w:r>
          </w:p>
        </w:tc>
        <w:tc>
          <w:tcPr>
            <w:tcW w:w="949" w:type="pct"/>
            <w:shd w:val="clear" w:color="auto" w:fill="auto"/>
            <w:noWrap/>
            <w:vAlign w:val="center"/>
          </w:tcPr>
          <w:p w14:paraId="7E9EE698">
            <w:pPr>
              <w:spacing w:line="280" w:lineRule="exact"/>
              <w:jc w:val="center"/>
              <w:rPr>
                <w:rFonts w:ascii="Times New Roman"/>
                <w:sz w:val="21"/>
                <w:szCs w:val="21"/>
              </w:rPr>
            </w:pPr>
            <w:r>
              <w:rPr>
                <w:rFonts w:ascii="Times New Roman"/>
                <w:sz w:val="21"/>
                <w:szCs w:val="21"/>
              </w:rPr>
              <w:t>评价标准</w:t>
            </w:r>
          </w:p>
        </w:tc>
        <w:tc>
          <w:tcPr>
            <w:tcW w:w="622" w:type="pct"/>
            <w:gridSpan w:val="2"/>
            <w:shd w:val="clear" w:color="auto" w:fill="auto"/>
            <w:noWrap/>
            <w:vAlign w:val="center"/>
          </w:tcPr>
          <w:p w14:paraId="1B7119AF">
            <w:pPr>
              <w:autoSpaceDE w:val="0"/>
              <w:autoSpaceDN w:val="0"/>
              <w:spacing w:line="280" w:lineRule="exact"/>
              <w:jc w:val="center"/>
              <w:rPr>
                <w:rFonts w:ascii="Times New Roman"/>
                <w:sz w:val="21"/>
                <w:szCs w:val="21"/>
              </w:rPr>
            </w:pPr>
            <w:r>
              <w:rPr>
                <w:rFonts w:ascii="Times New Roman"/>
                <w:sz w:val="21"/>
                <w:szCs w:val="21"/>
              </w:rPr>
              <w:t>国家标准☑</w:t>
            </w:r>
          </w:p>
        </w:tc>
        <w:tc>
          <w:tcPr>
            <w:tcW w:w="1417" w:type="pct"/>
            <w:gridSpan w:val="8"/>
            <w:shd w:val="clear" w:color="auto" w:fill="auto"/>
            <w:noWrap/>
            <w:vAlign w:val="center"/>
          </w:tcPr>
          <w:p w14:paraId="519108E3">
            <w:pPr>
              <w:autoSpaceDE w:val="0"/>
              <w:autoSpaceDN w:val="0"/>
              <w:spacing w:line="280" w:lineRule="exact"/>
              <w:jc w:val="center"/>
              <w:rPr>
                <w:rFonts w:ascii="Times New Roman"/>
                <w:sz w:val="21"/>
                <w:szCs w:val="21"/>
              </w:rPr>
            </w:pPr>
            <w:r>
              <w:rPr>
                <w:rFonts w:ascii="Times New Roman"/>
                <w:sz w:val="21"/>
                <w:szCs w:val="21"/>
              </w:rPr>
              <w:t>地方标准☑</w:t>
            </w:r>
          </w:p>
        </w:tc>
        <w:tc>
          <w:tcPr>
            <w:tcW w:w="733" w:type="pct"/>
            <w:gridSpan w:val="3"/>
            <w:shd w:val="clear" w:color="auto" w:fill="auto"/>
            <w:noWrap/>
            <w:vAlign w:val="center"/>
          </w:tcPr>
          <w:p w14:paraId="3AB0E079">
            <w:pPr>
              <w:autoSpaceDE w:val="0"/>
              <w:autoSpaceDN w:val="0"/>
              <w:spacing w:line="280" w:lineRule="exact"/>
              <w:jc w:val="center"/>
              <w:rPr>
                <w:rFonts w:ascii="Times New Roman"/>
                <w:sz w:val="21"/>
                <w:szCs w:val="21"/>
              </w:rPr>
            </w:pPr>
            <w:r>
              <w:rPr>
                <w:rFonts w:ascii="Times New Roman"/>
                <w:sz w:val="21"/>
                <w:szCs w:val="21"/>
              </w:rPr>
              <w:t>附录☑</w:t>
            </w:r>
          </w:p>
        </w:tc>
        <w:tc>
          <w:tcPr>
            <w:tcW w:w="646" w:type="pct"/>
            <w:gridSpan w:val="2"/>
            <w:shd w:val="clear" w:color="auto" w:fill="auto"/>
            <w:noWrap/>
            <w:vAlign w:val="center"/>
          </w:tcPr>
          <w:p w14:paraId="370CC628">
            <w:pPr>
              <w:autoSpaceDE w:val="0"/>
              <w:autoSpaceDN w:val="0"/>
              <w:spacing w:line="280" w:lineRule="exact"/>
              <w:jc w:val="center"/>
              <w:rPr>
                <w:rFonts w:ascii="Times New Roman"/>
                <w:sz w:val="21"/>
                <w:szCs w:val="21"/>
              </w:rPr>
            </w:pPr>
            <w:r>
              <w:rPr>
                <w:rFonts w:ascii="Times New Roman"/>
                <w:sz w:val="21"/>
                <w:szCs w:val="21"/>
              </w:rPr>
              <w:t>其他标准□</w:t>
            </w:r>
          </w:p>
        </w:tc>
      </w:tr>
      <w:tr w14:paraId="4DAA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restart"/>
            <w:shd w:val="clear" w:color="auto" w:fill="auto"/>
            <w:noWrap/>
            <w:vAlign w:val="center"/>
          </w:tcPr>
          <w:p w14:paraId="415448D6">
            <w:pPr>
              <w:spacing w:line="280" w:lineRule="exact"/>
              <w:jc w:val="center"/>
              <w:rPr>
                <w:rFonts w:ascii="Times New Roman"/>
                <w:b/>
                <w:sz w:val="21"/>
                <w:szCs w:val="21"/>
              </w:rPr>
            </w:pPr>
            <w:r>
              <w:rPr>
                <w:rFonts w:ascii="Times New Roman"/>
                <w:sz w:val="21"/>
                <w:szCs w:val="21"/>
              </w:rPr>
              <w:t>现状评价</w:t>
            </w:r>
          </w:p>
        </w:tc>
        <w:tc>
          <w:tcPr>
            <w:tcW w:w="949" w:type="pct"/>
            <w:shd w:val="clear" w:color="auto" w:fill="auto"/>
            <w:noWrap/>
            <w:vAlign w:val="center"/>
          </w:tcPr>
          <w:p w14:paraId="3652E183">
            <w:pPr>
              <w:spacing w:line="280" w:lineRule="exact"/>
              <w:jc w:val="center"/>
              <w:rPr>
                <w:rFonts w:ascii="Times New Roman"/>
                <w:b/>
                <w:sz w:val="21"/>
                <w:szCs w:val="21"/>
              </w:rPr>
            </w:pPr>
            <w:r>
              <w:rPr>
                <w:rFonts w:ascii="Times New Roman"/>
                <w:sz w:val="21"/>
                <w:szCs w:val="21"/>
              </w:rPr>
              <w:t>环境功能区</w:t>
            </w:r>
          </w:p>
        </w:tc>
        <w:tc>
          <w:tcPr>
            <w:tcW w:w="1238" w:type="pct"/>
            <w:gridSpan w:val="5"/>
            <w:shd w:val="clear" w:color="auto" w:fill="auto"/>
            <w:noWrap/>
            <w:vAlign w:val="center"/>
          </w:tcPr>
          <w:p w14:paraId="26DF833E">
            <w:pPr>
              <w:spacing w:line="280" w:lineRule="exact"/>
              <w:jc w:val="center"/>
              <w:rPr>
                <w:rFonts w:ascii="Times New Roman"/>
                <w:b/>
                <w:sz w:val="21"/>
                <w:szCs w:val="21"/>
              </w:rPr>
            </w:pPr>
            <w:r>
              <w:rPr>
                <w:rFonts w:ascii="Times New Roman"/>
                <w:sz w:val="21"/>
                <w:szCs w:val="21"/>
              </w:rPr>
              <w:t>一类区□</w:t>
            </w:r>
          </w:p>
        </w:tc>
        <w:tc>
          <w:tcPr>
            <w:tcW w:w="1197" w:type="pct"/>
            <w:gridSpan w:val="6"/>
            <w:shd w:val="clear" w:color="auto" w:fill="auto"/>
            <w:noWrap/>
            <w:vAlign w:val="center"/>
          </w:tcPr>
          <w:p w14:paraId="14A3994D">
            <w:pPr>
              <w:spacing w:line="280" w:lineRule="exact"/>
              <w:jc w:val="center"/>
              <w:rPr>
                <w:rFonts w:ascii="Times New Roman"/>
                <w:b/>
                <w:sz w:val="21"/>
                <w:szCs w:val="21"/>
              </w:rPr>
            </w:pPr>
            <w:r>
              <w:rPr>
                <w:rFonts w:ascii="Times New Roman"/>
                <w:sz w:val="21"/>
                <w:szCs w:val="21"/>
              </w:rPr>
              <w:t>二类区☑</w:t>
            </w:r>
          </w:p>
        </w:tc>
        <w:tc>
          <w:tcPr>
            <w:tcW w:w="984" w:type="pct"/>
            <w:gridSpan w:val="4"/>
            <w:shd w:val="clear" w:color="auto" w:fill="auto"/>
            <w:noWrap/>
            <w:vAlign w:val="center"/>
          </w:tcPr>
          <w:p w14:paraId="637B3AB0">
            <w:pPr>
              <w:spacing w:line="280" w:lineRule="exact"/>
              <w:jc w:val="center"/>
              <w:rPr>
                <w:rFonts w:ascii="Times New Roman"/>
                <w:b/>
                <w:sz w:val="21"/>
                <w:szCs w:val="21"/>
              </w:rPr>
            </w:pPr>
            <w:r>
              <w:rPr>
                <w:rFonts w:ascii="Times New Roman"/>
                <w:sz w:val="21"/>
                <w:szCs w:val="21"/>
              </w:rPr>
              <w:t>一类区和二类区□</w:t>
            </w:r>
          </w:p>
        </w:tc>
      </w:tr>
      <w:tr w14:paraId="00F9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9" w:type="pct"/>
            <w:vMerge w:val="continue"/>
            <w:shd w:val="clear" w:color="auto" w:fill="auto"/>
            <w:noWrap/>
            <w:vAlign w:val="center"/>
          </w:tcPr>
          <w:p w14:paraId="1935D7DF">
            <w:pPr>
              <w:spacing w:line="280" w:lineRule="exact"/>
              <w:ind w:firstLine="422"/>
              <w:jc w:val="center"/>
              <w:rPr>
                <w:rFonts w:ascii="Times New Roman"/>
                <w:b/>
                <w:sz w:val="21"/>
                <w:szCs w:val="21"/>
              </w:rPr>
            </w:pPr>
          </w:p>
        </w:tc>
        <w:tc>
          <w:tcPr>
            <w:tcW w:w="949" w:type="pct"/>
            <w:shd w:val="clear" w:color="auto" w:fill="auto"/>
            <w:noWrap/>
            <w:vAlign w:val="center"/>
          </w:tcPr>
          <w:p w14:paraId="04208669">
            <w:pPr>
              <w:spacing w:line="280" w:lineRule="exact"/>
              <w:jc w:val="center"/>
              <w:rPr>
                <w:rFonts w:ascii="Times New Roman"/>
                <w:b/>
                <w:sz w:val="21"/>
                <w:szCs w:val="21"/>
              </w:rPr>
            </w:pPr>
            <w:r>
              <w:rPr>
                <w:rFonts w:ascii="Times New Roman"/>
                <w:sz w:val="21"/>
                <w:szCs w:val="21"/>
              </w:rPr>
              <w:t>评价基准年</w:t>
            </w:r>
          </w:p>
        </w:tc>
        <w:tc>
          <w:tcPr>
            <w:tcW w:w="3420" w:type="pct"/>
            <w:gridSpan w:val="15"/>
            <w:shd w:val="clear" w:color="auto" w:fill="auto"/>
            <w:noWrap/>
            <w:vAlign w:val="center"/>
          </w:tcPr>
          <w:p w14:paraId="117EB236">
            <w:pPr>
              <w:spacing w:line="280" w:lineRule="exact"/>
              <w:jc w:val="center"/>
              <w:rPr>
                <w:rFonts w:ascii="Times New Roman"/>
                <w:b/>
                <w:sz w:val="21"/>
                <w:szCs w:val="21"/>
              </w:rPr>
            </w:pPr>
            <w:r>
              <w:rPr>
                <w:rFonts w:hint="eastAsia" w:ascii="Times New Roman"/>
                <w:sz w:val="21"/>
                <w:szCs w:val="21"/>
              </w:rPr>
              <w:t>/</w:t>
            </w:r>
          </w:p>
        </w:tc>
      </w:tr>
      <w:tr w14:paraId="4027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29" w:type="pct"/>
            <w:vMerge w:val="continue"/>
            <w:shd w:val="clear" w:color="auto" w:fill="auto"/>
            <w:noWrap/>
            <w:vAlign w:val="center"/>
          </w:tcPr>
          <w:p w14:paraId="6DD0FC84">
            <w:pPr>
              <w:spacing w:line="280" w:lineRule="exact"/>
              <w:ind w:firstLine="422"/>
              <w:jc w:val="center"/>
              <w:rPr>
                <w:rFonts w:ascii="Times New Roman"/>
                <w:b/>
                <w:sz w:val="21"/>
                <w:szCs w:val="21"/>
              </w:rPr>
            </w:pPr>
          </w:p>
        </w:tc>
        <w:tc>
          <w:tcPr>
            <w:tcW w:w="949" w:type="pct"/>
            <w:shd w:val="clear" w:color="auto" w:fill="auto"/>
            <w:noWrap/>
            <w:vAlign w:val="center"/>
          </w:tcPr>
          <w:p w14:paraId="004AC2C5">
            <w:pPr>
              <w:autoSpaceDE w:val="0"/>
              <w:autoSpaceDN w:val="0"/>
              <w:spacing w:line="280" w:lineRule="exact"/>
              <w:jc w:val="center"/>
              <w:rPr>
                <w:rFonts w:ascii="Times New Roman"/>
                <w:sz w:val="21"/>
                <w:szCs w:val="21"/>
              </w:rPr>
            </w:pPr>
            <w:r>
              <w:rPr>
                <w:rFonts w:ascii="Times New Roman"/>
                <w:sz w:val="21"/>
                <w:szCs w:val="21"/>
              </w:rPr>
              <w:t>环境空气质量现状调查数据来源</w:t>
            </w:r>
          </w:p>
        </w:tc>
        <w:tc>
          <w:tcPr>
            <w:tcW w:w="1238" w:type="pct"/>
            <w:gridSpan w:val="5"/>
            <w:shd w:val="clear" w:color="auto" w:fill="auto"/>
            <w:noWrap/>
            <w:vAlign w:val="center"/>
          </w:tcPr>
          <w:p w14:paraId="489FA300">
            <w:pPr>
              <w:spacing w:line="280" w:lineRule="exact"/>
              <w:jc w:val="center"/>
              <w:rPr>
                <w:rFonts w:ascii="Times New Roman"/>
                <w:b/>
                <w:sz w:val="21"/>
                <w:szCs w:val="21"/>
              </w:rPr>
            </w:pPr>
            <w:r>
              <w:rPr>
                <w:rFonts w:ascii="Times New Roman"/>
                <w:sz w:val="21"/>
                <w:szCs w:val="21"/>
              </w:rPr>
              <w:t>长期例行监测数据□</w:t>
            </w:r>
          </w:p>
        </w:tc>
        <w:tc>
          <w:tcPr>
            <w:tcW w:w="1282" w:type="pct"/>
            <w:gridSpan w:val="7"/>
            <w:shd w:val="clear" w:color="auto" w:fill="auto"/>
            <w:noWrap/>
            <w:vAlign w:val="center"/>
          </w:tcPr>
          <w:p w14:paraId="5FA35F10">
            <w:pPr>
              <w:spacing w:line="280" w:lineRule="exact"/>
              <w:jc w:val="center"/>
              <w:rPr>
                <w:rFonts w:ascii="Times New Roman"/>
                <w:b/>
                <w:sz w:val="21"/>
                <w:szCs w:val="21"/>
              </w:rPr>
            </w:pPr>
            <w:r>
              <w:rPr>
                <w:rFonts w:ascii="Times New Roman"/>
                <w:sz w:val="21"/>
                <w:szCs w:val="21"/>
              </w:rPr>
              <w:t>主管部门发布的数据☑</w:t>
            </w:r>
          </w:p>
        </w:tc>
        <w:tc>
          <w:tcPr>
            <w:tcW w:w="899" w:type="pct"/>
            <w:gridSpan w:val="3"/>
            <w:shd w:val="clear" w:color="auto" w:fill="auto"/>
            <w:noWrap/>
            <w:vAlign w:val="center"/>
          </w:tcPr>
          <w:p w14:paraId="4846121A">
            <w:pPr>
              <w:spacing w:line="280" w:lineRule="exact"/>
              <w:jc w:val="center"/>
              <w:rPr>
                <w:rFonts w:ascii="Times New Roman"/>
                <w:b/>
                <w:sz w:val="21"/>
                <w:szCs w:val="21"/>
              </w:rPr>
            </w:pPr>
            <w:r>
              <w:rPr>
                <w:rFonts w:ascii="Times New Roman"/>
                <w:sz w:val="21"/>
                <w:szCs w:val="21"/>
              </w:rPr>
              <w:t>现状补充监测☑</w:t>
            </w:r>
          </w:p>
        </w:tc>
      </w:tr>
      <w:tr w14:paraId="14F1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9" w:type="pct"/>
            <w:vMerge w:val="continue"/>
            <w:shd w:val="clear" w:color="auto" w:fill="auto"/>
            <w:noWrap/>
            <w:vAlign w:val="center"/>
          </w:tcPr>
          <w:p w14:paraId="3018DFEB">
            <w:pPr>
              <w:spacing w:line="280" w:lineRule="exact"/>
              <w:ind w:firstLine="422"/>
              <w:jc w:val="center"/>
              <w:rPr>
                <w:rFonts w:ascii="Times New Roman"/>
                <w:b/>
                <w:sz w:val="21"/>
                <w:szCs w:val="21"/>
              </w:rPr>
            </w:pPr>
          </w:p>
        </w:tc>
        <w:tc>
          <w:tcPr>
            <w:tcW w:w="949" w:type="pct"/>
            <w:shd w:val="clear" w:color="auto" w:fill="auto"/>
            <w:noWrap/>
            <w:vAlign w:val="center"/>
          </w:tcPr>
          <w:p w14:paraId="77E6A975">
            <w:pPr>
              <w:spacing w:line="280" w:lineRule="exact"/>
              <w:jc w:val="center"/>
              <w:rPr>
                <w:rFonts w:ascii="Times New Roman"/>
                <w:b/>
                <w:sz w:val="21"/>
                <w:szCs w:val="21"/>
              </w:rPr>
            </w:pPr>
            <w:r>
              <w:rPr>
                <w:rFonts w:ascii="Times New Roman"/>
                <w:sz w:val="21"/>
                <w:szCs w:val="21"/>
              </w:rPr>
              <w:t>现状评价</w:t>
            </w:r>
          </w:p>
        </w:tc>
        <w:tc>
          <w:tcPr>
            <w:tcW w:w="2040" w:type="pct"/>
            <w:gridSpan w:val="10"/>
            <w:shd w:val="clear" w:color="auto" w:fill="auto"/>
            <w:noWrap/>
            <w:vAlign w:val="center"/>
          </w:tcPr>
          <w:p w14:paraId="3BEB8ACD">
            <w:pPr>
              <w:spacing w:line="280" w:lineRule="exact"/>
              <w:jc w:val="center"/>
              <w:rPr>
                <w:rFonts w:ascii="Times New Roman"/>
                <w:b/>
                <w:sz w:val="21"/>
                <w:szCs w:val="21"/>
              </w:rPr>
            </w:pPr>
            <w:r>
              <w:rPr>
                <w:rFonts w:ascii="Times New Roman"/>
                <w:sz w:val="21"/>
                <w:szCs w:val="21"/>
              </w:rPr>
              <w:t>达标区□</w:t>
            </w:r>
          </w:p>
        </w:tc>
        <w:tc>
          <w:tcPr>
            <w:tcW w:w="1379" w:type="pct"/>
            <w:gridSpan w:val="5"/>
            <w:shd w:val="clear" w:color="auto" w:fill="auto"/>
            <w:noWrap/>
            <w:vAlign w:val="center"/>
          </w:tcPr>
          <w:p w14:paraId="639D5B2B">
            <w:pPr>
              <w:spacing w:line="280" w:lineRule="exact"/>
              <w:jc w:val="center"/>
              <w:rPr>
                <w:rFonts w:ascii="Times New Roman"/>
                <w:b/>
                <w:sz w:val="21"/>
                <w:szCs w:val="21"/>
              </w:rPr>
            </w:pPr>
            <w:r>
              <w:rPr>
                <w:rFonts w:ascii="Times New Roman"/>
                <w:sz w:val="21"/>
                <w:szCs w:val="21"/>
              </w:rPr>
              <w:t>不达标区√</w:t>
            </w:r>
          </w:p>
        </w:tc>
      </w:tr>
      <w:tr w14:paraId="357E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29" w:type="pct"/>
            <w:shd w:val="clear" w:color="auto" w:fill="auto"/>
            <w:noWrap/>
            <w:vAlign w:val="center"/>
          </w:tcPr>
          <w:p w14:paraId="31B852B0">
            <w:pPr>
              <w:autoSpaceDE w:val="0"/>
              <w:autoSpaceDN w:val="0"/>
              <w:spacing w:line="280" w:lineRule="exact"/>
              <w:jc w:val="center"/>
              <w:rPr>
                <w:rFonts w:ascii="Times New Roman"/>
                <w:sz w:val="21"/>
                <w:szCs w:val="21"/>
              </w:rPr>
            </w:pPr>
            <w:r>
              <w:rPr>
                <w:rFonts w:ascii="Times New Roman"/>
                <w:sz w:val="21"/>
                <w:szCs w:val="21"/>
              </w:rPr>
              <w:t>污染源调查</w:t>
            </w:r>
          </w:p>
        </w:tc>
        <w:tc>
          <w:tcPr>
            <w:tcW w:w="949" w:type="pct"/>
            <w:shd w:val="clear" w:color="auto" w:fill="auto"/>
            <w:noWrap/>
            <w:vAlign w:val="center"/>
          </w:tcPr>
          <w:p w14:paraId="7AC86CD5">
            <w:pPr>
              <w:spacing w:line="280" w:lineRule="exact"/>
              <w:jc w:val="center"/>
              <w:rPr>
                <w:rFonts w:ascii="Times New Roman"/>
                <w:b/>
                <w:sz w:val="21"/>
                <w:szCs w:val="21"/>
              </w:rPr>
            </w:pPr>
            <w:r>
              <w:rPr>
                <w:rFonts w:ascii="Times New Roman"/>
                <w:sz w:val="21"/>
                <w:szCs w:val="21"/>
              </w:rPr>
              <w:t>调查内容</w:t>
            </w:r>
          </w:p>
        </w:tc>
        <w:tc>
          <w:tcPr>
            <w:tcW w:w="1238" w:type="pct"/>
            <w:gridSpan w:val="5"/>
            <w:shd w:val="clear" w:color="auto" w:fill="auto"/>
            <w:noWrap/>
            <w:vAlign w:val="center"/>
          </w:tcPr>
          <w:p w14:paraId="1D1E3288">
            <w:pPr>
              <w:autoSpaceDE w:val="0"/>
              <w:autoSpaceDN w:val="0"/>
              <w:spacing w:line="280" w:lineRule="exact"/>
              <w:jc w:val="center"/>
              <w:rPr>
                <w:rFonts w:ascii="Times New Roman"/>
                <w:kern w:val="21"/>
                <w:sz w:val="21"/>
                <w:szCs w:val="21"/>
              </w:rPr>
            </w:pPr>
            <w:r>
              <w:rPr>
                <w:rFonts w:ascii="Times New Roman"/>
                <w:kern w:val="21"/>
                <w:sz w:val="21"/>
                <w:szCs w:val="21"/>
              </w:rPr>
              <w:t>本项目正常排放源</w:t>
            </w:r>
            <w:r>
              <w:rPr>
                <w:rFonts w:ascii="Times New Roman"/>
                <w:sz w:val="21"/>
                <w:szCs w:val="21"/>
              </w:rPr>
              <w:t>√</w:t>
            </w:r>
          </w:p>
          <w:p w14:paraId="6A290530">
            <w:pPr>
              <w:autoSpaceDE w:val="0"/>
              <w:autoSpaceDN w:val="0"/>
              <w:spacing w:line="280" w:lineRule="exact"/>
              <w:jc w:val="center"/>
              <w:rPr>
                <w:rFonts w:ascii="Times New Roman"/>
                <w:kern w:val="21"/>
                <w:sz w:val="21"/>
                <w:szCs w:val="21"/>
              </w:rPr>
            </w:pPr>
            <w:r>
              <w:rPr>
                <w:rFonts w:ascii="Times New Roman"/>
                <w:kern w:val="21"/>
                <w:sz w:val="21"/>
                <w:szCs w:val="21"/>
              </w:rPr>
              <w:t>本项目非正常排放源</w:t>
            </w:r>
            <w:r>
              <w:rPr>
                <w:rFonts w:ascii="Times New Roman"/>
                <w:sz w:val="21"/>
                <w:szCs w:val="21"/>
              </w:rPr>
              <w:t>√</w:t>
            </w:r>
          </w:p>
          <w:p w14:paraId="108C77C5">
            <w:pPr>
              <w:spacing w:line="280" w:lineRule="exact"/>
              <w:jc w:val="center"/>
              <w:rPr>
                <w:rFonts w:ascii="Times New Roman"/>
                <w:b/>
                <w:sz w:val="21"/>
                <w:szCs w:val="21"/>
              </w:rPr>
            </w:pPr>
            <w:r>
              <w:rPr>
                <w:rFonts w:ascii="Times New Roman"/>
                <w:kern w:val="21"/>
                <w:sz w:val="21"/>
                <w:szCs w:val="21"/>
              </w:rPr>
              <w:t>现有污染源□</w:t>
            </w:r>
          </w:p>
        </w:tc>
        <w:tc>
          <w:tcPr>
            <w:tcW w:w="801" w:type="pct"/>
            <w:gridSpan w:val="5"/>
            <w:shd w:val="clear" w:color="auto" w:fill="auto"/>
            <w:noWrap/>
            <w:vAlign w:val="center"/>
          </w:tcPr>
          <w:p w14:paraId="250DB18F">
            <w:pPr>
              <w:spacing w:line="280" w:lineRule="exact"/>
              <w:jc w:val="center"/>
              <w:rPr>
                <w:rFonts w:ascii="Times New Roman"/>
                <w:b/>
                <w:sz w:val="21"/>
                <w:szCs w:val="21"/>
              </w:rPr>
            </w:pPr>
            <w:r>
              <w:rPr>
                <w:rFonts w:ascii="Times New Roman"/>
                <w:sz w:val="21"/>
                <w:szCs w:val="21"/>
              </w:rPr>
              <w:t>拟替代的污染源□</w:t>
            </w:r>
          </w:p>
        </w:tc>
        <w:tc>
          <w:tcPr>
            <w:tcW w:w="906" w:type="pct"/>
            <w:gridSpan w:val="4"/>
            <w:shd w:val="clear" w:color="auto" w:fill="auto"/>
            <w:noWrap/>
            <w:vAlign w:val="center"/>
          </w:tcPr>
          <w:p w14:paraId="69A53D16">
            <w:pPr>
              <w:autoSpaceDE w:val="0"/>
              <w:autoSpaceDN w:val="0"/>
              <w:spacing w:line="280" w:lineRule="exact"/>
              <w:jc w:val="center"/>
              <w:rPr>
                <w:rFonts w:ascii="Times New Roman"/>
                <w:kern w:val="21"/>
                <w:sz w:val="21"/>
                <w:szCs w:val="21"/>
              </w:rPr>
            </w:pPr>
            <w:r>
              <w:rPr>
                <w:rFonts w:ascii="Times New Roman"/>
                <w:kern w:val="21"/>
                <w:sz w:val="21"/>
                <w:szCs w:val="21"/>
              </w:rPr>
              <w:t>其他在建、拟建项目污染源□</w:t>
            </w:r>
          </w:p>
        </w:tc>
        <w:tc>
          <w:tcPr>
            <w:tcW w:w="473" w:type="pct"/>
            <w:shd w:val="clear" w:color="auto" w:fill="auto"/>
            <w:noWrap/>
            <w:vAlign w:val="center"/>
          </w:tcPr>
          <w:p w14:paraId="7FC4267B">
            <w:pPr>
              <w:spacing w:line="280" w:lineRule="exact"/>
              <w:jc w:val="center"/>
              <w:rPr>
                <w:rFonts w:ascii="Times New Roman"/>
                <w:b/>
                <w:kern w:val="21"/>
                <w:sz w:val="21"/>
                <w:szCs w:val="21"/>
              </w:rPr>
            </w:pPr>
            <w:r>
              <w:rPr>
                <w:rFonts w:ascii="Times New Roman"/>
                <w:kern w:val="21"/>
                <w:sz w:val="21"/>
                <w:szCs w:val="21"/>
              </w:rPr>
              <w:t>区域污染源□</w:t>
            </w:r>
          </w:p>
        </w:tc>
      </w:tr>
      <w:tr w14:paraId="68AE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29" w:type="pct"/>
            <w:vMerge w:val="restart"/>
            <w:shd w:val="clear" w:color="auto" w:fill="auto"/>
            <w:noWrap/>
            <w:vAlign w:val="center"/>
          </w:tcPr>
          <w:p w14:paraId="7F1CF138">
            <w:pPr>
              <w:autoSpaceDE w:val="0"/>
              <w:autoSpaceDN w:val="0"/>
              <w:spacing w:line="280" w:lineRule="exact"/>
              <w:jc w:val="center"/>
              <w:rPr>
                <w:rFonts w:ascii="Times New Roman"/>
                <w:sz w:val="21"/>
                <w:szCs w:val="21"/>
              </w:rPr>
            </w:pPr>
            <w:r>
              <w:rPr>
                <w:rFonts w:ascii="Times New Roman"/>
                <w:sz w:val="21"/>
                <w:szCs w:val="21"/>
              </w:rPr>
              <w:t>大气环境影响预测与评价</w:t>
            </w:r>
          </w:p>
        </w:tc>
        <w:tc>
          <w:tcPr>
            <w:tcW w:w="949" w:type="pct"/>
            <w:shd w:val="clear" w:color="auto" w:fill="auto"/>
            <w:noWrap/>
            <w:vAlign w:val="center"/>
          </w:tcPr>
          <w:p w14:paraId="6551012B">
            <w:pPr>
              <w:spacing w:line="280" w:lineRule="exact"/>
              <w:jc w:val="center"/>
              <w:rPr>
                <w:rFonts w:ascii="Times New Roman"/>
                <w:b/>
                <w:sz w:val="21"/>
                <w:szCs w:val="21"/>
              </w:rPr>
            </w:pPr>
            <w:r>
              <w:rPr>
                <w:rFonts w:ascii="Times New Roman"/>
                <w:sz w:val="21"/>
                <w:szCs w:val="21"/>
              </w:rPr>
              <w:t>预测模型</w:t>
            </w:r>
          </w:p>
        </w:tc>
        <w:tc>
          <w:tcPr>
            <w:tcW w:w="470" w:type="pct"/>
            <w:shd w:val="clear" w:color="auto" w:fill="auto"/>
            <w:noWrap/>
            <w:vAlign w:val="center"/>
          </w:tcPr>
          <w:p w14:paraId="79002D9A">
            <w:pPr>
              <w:autoSpaceDE w:val="0"/>
              <w:autoSpaceDN w:val="0"/>
              <w:spacing w:line="280" w:lineRule="exact"/>
              <w:jc w:val="center"/>
              <w:rPr>
                <w:rFonts w:ascii="Times New Roman"/>
                <w:sz w:val="21"/>
                <w:szCs w:val="21"/>
              </w:rPr>
            </w:pPr>
            <w:r>
              <w:rPr>
                <w:rFonts w:ascii="Times New Roman"/>
                <w:sz w:val="21"/>
                <w:szCs w:val="21"/>
              </w:rPr>
              <w:t>AERMOD□</w:t>
            </w:r>
          </w:p>
        </w:tc>
        <w:tc>
          <w:tcPr>
            <w:tcW w:w="521" w:type="pct"/>
            <w:gridSpan w:val="3"/>
            <w:shd w:val="clear" w:color="auto" w:fill="auto"/>
            <w:noWrap/>
            <w:vAlign w:val="center"/>
          </w:tcPr>
          <w:p w14:paraId="547A09B8">
            <w:pPr>
              <w:autoSpaceDE w:val="0"/>
              <w:autoSpaceDN w:val="0"/>
              <w:spacing w:line="280" w:lineRule="exact"/>
              <w:jc w:val="center"/>
              <w:rPr>
                <w:rFonts w:ascii="Times New Roman"/>
                <w:sz w:val="21"/>
                <w:szCs w:val="21"/>
              </w:rPr>
            </w:pPr>
            <w:r>
              <w:rPr>
                <w:rFonts w:ascii="Times New Roman"/>
                <w:sz w:val="21"/>
                <w:szCs w:val="21"/>
              </w:rPr>
              <w:t>ADMS</w:t>
            </w:r>
            <w:r>
              <w:rPr>
                <w:rFonts w:ascii="Times New Roman"/>
                <w:kern w:val="21"/>
                <w:sz w:val="21"/>
                <w:szCs w:val="21"/>
              </w:rPr>
              <w:t>□</w:t>
            </w:r>
          </w:p>
        </w:tc>
        <w:tc>
          <w:tcPr>
            <w:tcW w:w="569" w:type="pct"/>
            <w:gridSpan w:val="4"/>
            <w:shd w:val="clear" w:color="auto" w:fill="auto"/>
            <w:noWrap/>
            <w:vAlign w:val="center"/>
          </w:tcPr>
          <w:p w14:paraId="25E840FE">
            <w:pPr>
              <w:autoSpaceDE w:val="0"/>
              <w:autoSpaceDN w:val="0"/>
              <w:spacing w:line="280" w:lineRule="exact"/>
              <w:jc w:val="center"/>
              <w:rPr>
                <w:rFonts w:ascii="Times New Roman"/>
                <w:sz w:val="21"/>
                <w:szCs w:val="21"/>
              </w:rPr>
            </w:pPr>
            <w:r>
              <w:rPr>
                <w:rFonts w:ascii="Times New Roman"/>
                <w:sz w:val="21"/>
                <w:szCs w:val="21"/>
              </w:rPr>
              <w:t>AUSTAL2000</w:t>
            </w:r>
            <w:r>
              <w:rPr>
                <w:rFonts w:ascii="Times New Roman"/>
                <w:kern w:val="21"/>
                <w:sz w:val="21"/>
                <w:szCs w:val="21"/>
              </w:rPr>
              <w:t>□</w:t>
            </w:r>
          </w:p>
        </w:tc>
        <w:tc>
          <w:tcPr>
            <w:tcW w:w="478" w:type="pct"/>
            <w:gridSpan w:val="2"/>
            <w:shd w:val="clear" w:color="auto" w:fill="auto"/>
            <w:noWrap/>
            <w:vAlign w:val="center"/>
          </w:tcPr>
          <w:p w14:paraId="4D1B6BCD">
            <w:pPr>
              <w:autoSpaceDE w:val="0"/>
              <w:autoSpaceDN w:val="0"/>
              <w:spacing w:line="280" w:lineRule="exact"/>
              <w:jc w:val="center"/>
              <w:rPr>
                <w:rFonts w:ascii="Times New Roman"/>
                <w:sz w:val="21"/>
                <w:szCs w:val="21"/>
              </w:rPr>
            </w:pPr>
            <w:r>
              <w:rPr>
                <w:rFonts w:ascii="Times New Roman"/>
                <w:sz w:val="21"/>
                <w:szCs w:val="21"/>
              </w:rPr>
              <w:t>EDMS/AEDT</w:t>
            </w:r>
            <w:r>
              <w:rPr>
                <w:rFonts w:ascii="Times New Roman"/>
                <w:kern w:val="21"/>
                <w:sz w:val="21"/>
                <w:szCs w:val="21"/>
              </w:rPr>
              <w:t>□</w:t>
            </w:r>
          </w:p>
        </w:tc>
        <w:tc>
          <w:tcPr>
            <w:tcW w:w="480" w:type="pct"/>
            <w:gridSpan w:val="2"/>
            <w:shd w:val="clear" w:color="auto" w:fill="auto"/>
            <w:noWrap/>
            <w:vAlign w:val="center"/>
          </w:tcPr>
          <w:p w14:paraId="6F2203D0">
            <w:pPr>
              <w:autoSpaceDE w:val="0"/>
              <w:autoSpaceDN w:val="0"/>
              <w:spacing w:line="280" w:lineRule="exact"/>
              <w:jc w:val="center"/>
              <w:rPr>
                <w:rFonts w:ascii="Times New Roman"/>
                <w:sz w:val="21"/>
                <w:szCs w:val="21"/>
              </w:rPr>
            </w:pPr>
            <w:r>
              <w:rPr>
                <w:rFonts w:ascii="Times New Roman"/>
                <w:sz w:val="21"/>
                <w:szCs w:val="21"/>
              </w:rPr>
              <w:t>CALPUFF</w:t>
            </w:r>
            <w:r>
              <w:rPr>
                <w:rFonts w:ascii="Times New Roman"/>
                <w:kern w:val="21"/>
                <w:sz w:val="21"/>
                <w:szCs w:val="21"/>
              </w:rPr>
              <w:t>□</w:t>
            </w:r>
          </w:p>
        </w:tc>
        <w:tc>
          <w:tcPr>
            <w:tcW w:w="426" w:type="pct"/>
            <w:gridSpan w:val="2"/>
            <w:shd w:val="clear" w:color="auto" w:fill="auto"/>
            <w:noWrap/>
            <w:vAlign w:val="center"/>
          </w:tcPr>
          <w:p w14:paraId="6E272224">
            <w:pPr>
              <w:autoSpaceDE w:val="0"/>
              <w:autoSpaceDN w:val="0"/>
              <w:spacing w:line="280" w:lineRule="exact"/>
              <w:jc w:val="center"/>
              <w:rPr>
                <w:rFonts w:ascii="Times New Roman"/>
                <w:sz w:val="21"/>
                <w:szCs w:val="21"/>
              </w:rPr>
            </w:pPr>
            <w:r>
              <w:rPr>
                <w:rFonts w:ascii="Times New Roman"/>
                <w:sz w:val="21"/>
                <w:szCs w:val="21"/>
              </w:rPr>
              <w:t>网格模型</w:t>
            </w:r>
            <w:r>
              <w:rPr>
                <w:rFonts w:ascii="Times New Roman"/>
                <w:kern w:val="21"/>
                <w:sz w:val="21"/>
                <w:szCs w:val="21"/>
              </w:rPr>
              <w:t>□</w:t>
            </w:r>
          </w:p>
        </w:tc>
        <w:tc>
          <w:tcPr>
            <w:tcW w:w="473" w:type="pct"/>
            <w:shd w:val="clear" w:color="auto" w:fill="auto"/>
            <w:noWrap/>
            <w:vAlign w:val="center"/>
          </w:tcPr>
          <w:p w14:paraId="588C4388">
            <w:pPr>
              <w:autoSpaceDE w:val="0"/>
              <w:autoSpaceDN w:val="0"/>
              <w:spacing w:line="280" w:lineRule="exact"/>
              <w:jc w:val="center"/>
              <w:rPr>
                <w:rFonts w:ascii="Times New Roman"/>
                <w:sz w:val="21"/>
                <w:szCs w:val="21"/>
              </w:rPr>
            </w:pPr>
            <w:r>
              <w:rPr>
                <w:rFonts w:ascii="Times New Roman"/>
                <w:sz w:val="21"/>
                <w:szCs w:val="21"/>
              </w:rPr>
              <w:t>其他</w:t>
            </w:r>
            <w:r>
              <w:rPr>
                <w:rFonts w:ascii="Times New Roman"/>
                <w:kern w:val="21"/>
                <w:sz w:val="21"/>
                <w:szCs w:val="21"/>
              </w:rPr>
              <w:t>□</w:t>
            </w:r>
          </w:p>
        </w:tc>
      </w:tr>
      <w:tr w14:paraId="051F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9" w:type="pct"/>
            <w:vMerge w:val="continue"/>
            <w:shd w:val="clear" w:color="auto" w:fill="auto"/>
            <w:noWrap/>
            <w:vAlign w:val="center"/>
          </w:tcPr>
          <w:p w14:paraId="76B94ADF">
            <w:pPr>
              <w:spacing w:line="280" w:lineRule="exact"/>
              <w:ind w:firstLine="422"/>
              <w:jc w:val="center"/>
              <w:rPr>
                <w:rFonts w:ascii="Times New Roman"/>
                <w:b/>
                <w:sz w:val="21"/>
                <w:szCs w:val="21"/>
              </w:rPr>
            </w:pPr>
          </w:p>
        </w:tc>
        <w:tc>
          <w:tcPr>
            <w:tcW w:w="949" w:type="pct"/>
            <w:shd w:val="clear" w:color="auto" w:fill="auto"/>
            <w:noWrap/>
            <w:vAlign w:val="center"/>
          </w:tcPr>
          <w:p w14:paraId="33D4F5BB">
            <w:pPr>
              <w:spacing w:line="280" w:lineRule="exact"/>
              <w:jc w:val="center"/>
              <w:rPr>
                <w:rFonts w:ascii="Times New Roman"/>
                <w:b/>
                <w:sz w:val="21"/>
                <w:szCs w:val="21"/>
              </w:rPr>
            </w:pPr>
            <w:r>
              <w:rPr>
                <w:rFonts w:ascii="Times New Roman"/>
                <w:sz w:val="21"/>
                <w:szCs w:val="21"/>
              </w:rPr>
              <w:t>预测范围</w:t>
            </w:r>
          </w:p>
        </w:tc>
        <w:tc>
          <w:tcPr>
            <w:tcW w:w="992" w:type="pct"/>
            <w:gridSpan w:val="4"/>
            <w:shd w:val="clear" w:color="auto" w:fill="auto"/>
            <w:noWrap/>
            <w:vAlign w:val="center"/>
          </w:tcPr>
          <w:p w14:paraId="6B774FB4">
            <w:pPr>
              <w:spacing w:line="280" w:lineRule="exact"/>
              <w:jc w:val="center"/>
              <w:rPr>
                <w:rFonts w:ascii="Times New Roman"/>
                <w:b/>
                <w:sz w:val="21"/>
                <w:szCs w:val="21"/>
              </w:rPr>
            </w:pPr>
            <w:r>
              <w:rPr>
                <w:rFonts w:ascii="Times New Roman"/>
                <w:sz w:val="21"/>
                <w:szCs w:val="21"/>
              </w:rPr>
              <w:t>边长≥50km</w:t>
            </w:r>
            <w:r>
              <w:rPr>
                <w:rFonts w:ascii="Times New Roman"/>
                <w:kern w:val="21"/>
                <w:sz w:val="21"/>
                <w:szCs w:val="21"/>
              </w:rPr>
              <w:t>□</w:t>
            </w:r>
          </w:p>
        </w:tc>
        <w:tc>
          <w:tcPr>
            <w:tcW w:w="1529" w:type="pct"/>
            <w:gridSpan w:val="8"/>
            <w:shd w:val="clear" w:color="auto" w:fill="auto"/>
            <w:noWrap/>
            <w:vAlign w:val="center"/>
          </w:tcPr>
          <w:p w14:paraId="0F5351B7">
            <w:pPr>
              <w:spacing w:line="280" w:lineRule="exact"/>
              <w:jc w:val="center"/>
              <w:rPr>
                <w:rFonts w:ascii="Times New Roman"/>
                <w:b/>
                <w:sz w:val="21"/>
                <w:szCs w:val="21"/>
              </w:rPr>
            </w:pPr>
            <w:r>
              <w:rPr>
                <w:rFonts w:ascii="Times New Roman"/>
                <w:sz w:val="21"/>
                <w:szCs w:val="21"/>
              </w:rPr>
              <w:t>边长5～50km</w:t>
            </w:r>
            <w:r>
              <w:rPr>
                <w:rFonts w:ascii="Times New Roman"/>
                <w:kern w:val="21"/>
                <w:sz w:val="21"/>
                <w:szCs w:val="21"/>
              </w:rPr>
              <w:t>□</w:t>
            </w:r>
          </w:p>
        </w:tc>
        <w:tc>
          <w:tcPr>
            <w:tcW w:w="899" w:type="pct"/>
            <w:gridSpan w:val="3"/>
            <w:shd w:val="clear" w:color="auto" w:fill="auto"/>
            <w:noWrap/>
            <w:vAlign w:val="center"/>
          </w:tcPr>
          <w:p w14:paraId="7D3BD5B9">
            <w:pPr>
              <w:spacing w:line="280" w:lineRule="exact"/>
              <w:jc w:val="center"/>
              <w:rPr>
                <w:rFonts w:ascii="Times New Roman"/>
                <w:b/>
                <w:sz w:val="21"/>
                <w:szCs w:val="21"/>
              </w:rPr>
            </w:pPr>
            <w:r>
              <w:rPr>
                <w:rFonts w:ascii="Times New Roman"/>
                <w:sz w:val="21"/>
                <w:szCs w:val="21"/>
              </w:rPr>
              <w:t>边长=5km</w:t>
            </w:r>
            <w:r>
              <w:rPr>
                <w:rFonts w:ascii="Times New Roman"/>
                <w:kern w:val="21"/>
                <w:sz w:val="21"/>
                <w:szCs w:val="21"/>
              </w:rPr>
              <w:t>□</w:t>
            </w:r>
          </w:p>
        </w:tc>
      </w:tr>
      <w:tr w14:paraId="342C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0EB70E73">
            <w:pPr>
              <w:spacing w:line="280" w:lineRule="exact"/>
              <w:ind w:firstLine="422"/>
              <w:jc w:val="center"/>
              <w:rPr>
                <w:rFonts w:ascii="Times New Roman"/>
                <w:b/>
                <w:sz w:val="21"/>
                <w:szCs w:val="21"/>
              </w:rPr>
            </w:pPr>
          </w:p>
        </w:tc>
        <w:tc>
          <w:tcPr>
            <w:tcW w:w="949" w:type="pct"/>
            <w:shd w:val="clear" w:color="auto" w:fill="auto"/>
            <w:noWrap/>
            <w:vAlign w:val="center"/>
          </w:tcPr>
          <w:p w14:paraId="3E0DA384">
            <w:pPr>
              <w:spacing w:line="280" w:lineRule="exact"/>
              <w:jc w:val="center"/>
              <w:rPr>
                <w:rFonts w:ascii="Times New Roman"/>
                <w:b/>
                <w:sz w:val="21"/>
                <w:szCs w:val="21"/>
              </w:rPr>
            </w:pPr>
            <w:r>
              <w:rPr>
                <w:rFonts w:ascii="Times New Roman"/>
                <w:sz w:val="21"/>
                <w:szCs w:val="21"/>
              </w:rPr>
              <w:t>预测因子</w:t>
            </w:r>
          </w:p>
        </w:tc>
        <w:tc>
          <w:tcPr>
            <w:tcW w:w="1891" w:type="pct"/>
            <w:gridSpan w:val="9"/>
            <w:shd w:val="clear" w:color="auto" w:fill="auto"/>
            <w:noWrap/>
            <w:vAlign w:val="center"/>
          </w:tcPr>
          <w:p w14:paraId="527D6E89">
            <w:pPr>
              <w:spacing w:line="280" w:lineRule="exact"/>
              <w:jc w:val="center"/>
              <w:rPr>
                <w:rFonts w:ascii="Times New Roman"/>
                <w:b/>
                <w:sz w:val="21"/>
                <w:szCs w:val="21"/>
              </w:rPr>
            </w:pPr>
            <w:r>
              <w:rPr>
                <w:rFonts w:ascii="Times New Roman"/>
                <w:sz w:val="21"/>
                <w:szCs w:val="21"/>
              </w:rPr>
              <w:t>预测因子（）</w:t>
            </w:r>
          </w:p>
        </w:tc>
        <w:tc>
          <w:tcPr>
            <w:tcW w:w="1529" w:type="pct"/>
            <w:gridSpan w:val="6"/>
            <w:shd w:val="clear" w:color="auto" w:fill="auto"/>
            <w:noWrap/>
            <w:vAlign w:val="center"/>
          </w:tcPr>
          <w:p w14:paraId="5C69CD25">
            <w:pPr>
              <w:autoSpaceDE w:val="0"/>
              <w:autoSpaceDN w:val="0"/>
              <w:spacing w:line="280" w:lineRule="exact"/>
              <w:ind w:firstLine="630" w:firstLineChars="300"/>
              <w:jc w:val="center"/>
              <w:rPr>
                <w:rFonts w:ascii="Times New Roman"/>
                <w:sz w:val="21"/>
                <w:szCs w:val="21"/>
              </w:rPr>
            </w:pPr>
            <w:r>
              <w:rPr>
                <w:rFonts w:ascii="Times New Roman"/>
                <w:sz w:val="21"/>
                <w:szCs w:val="21"/>
              </w:rPr>
              <w:t>包括二次PM2.5</w:t>
            </w:r>
            <w:r>
              <w:rPr>
                <w:rFonts w:ascii="Times New Roman"/>
                <w:kern w:val="21"/>
                <w:sz w:val="21"/>
                <w:szCs w:val="21"/>
              </w:rPr>
              <w:t>□</w:t>
            </w:r>
          </w:p>
          <w:p w14:paraId="51874750">
            <w:pPr>
              <w:spacing w:line="280" w:lineRule="exact"/>
              <w:ind w:firstLine="420"/>
              <w:jc w:val="center"/>
              <w:rPr>
                <w:rFonts w:ascii="Times New Roman"/>
                <w:b/>
                <w:sz w:val="21"/>
                <w:szCs w:val="21"/>
              </w:rPr>
            </w:pPr>
            <w:r>
              <w:rPr>
                <w:rFonts w:ascii="Times New Roman"/>
                <w:sz w:val="21"/>
                <w:szCs w:val="21"/>
              </w:rPr>
              <w:t>不包括二次PM2.5</w:t>
            </w:r>
            <w:r>
              <w:rPr>
                <w:rFonts w:hint="eastAsia" w:ascii="Times New Roman"/>
                <w:kern w:val="21"/>
                <w:sz w:val="21"/>
                <w:szCs w:val="21"/>
              </w:rPr>
              <w:t>☑</w:t>
            </w:r>
          </w:p>
        </w:tc>
      </w:tr>
      <w:tr w14:paraId="6023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3B11C850">
            <w:pPr>
              <w:spacing w:line="280" w:lineRule="exact"/>
              <w:ind w:firstLine="422"/>
              <w:jc w:val="center"/>
              <w:rPr>
                <w:rFonts w:ascii="Times New Roman"/>
                <w:b/>
                <w:sz w:val="21"/>
                <w:szCs w:val="21"/>
              </w:rPr>
            </w:pPr>
          </w:p>
        </w:tc>
        <w:tc>
          <w:tcPr>
            <w:tcW w:w="949" w:type="pct"/>
            <w:shd w:val="clear" w:color="auto" w:fill="auto"/>
            <w:noWrap/>
            <w:vAlign w:val="center"/>
          </w:tcPr>
          <w:p w14:paraId="32A2518E">
            <w:pPr>
              <w:autoSpaceDE w:val="0"/>
              <w:autoSpaceDN w:val="0"/>
              <w:spacing w:line="280" w:lineRule="exact"/>
              <w:jc w:val="center"/>
              <w:rPr>
                <w:rFonts w:ascii="Times New Roman"/>
                <w:sz w:val="21"/>
                <w:szCs w:val="21"/>
              </w:rPr>
            </w:pPr>
            <w:r>
              <w:rPr>
                <w:rFonts w:ascii="Times New Roman"/>
                <w:sz w:val="21"/>
                <w:szCs w:val="21"/>
              </w:rPr>
              <w:t>正常排放短期浓度贡献值</w:t>
            </w:r>
          </w:p>
        </w:tc>
        <w:tc>
          <w:tcPr>
            <w:tcW w:w="1891" w:type="pct"/>
            <w:gridSpan w:val="9"/>
            <w:shd w:val="clear" w:color="auto" w:fill="auto"/>
            <w:noWrap/>
            <w:vAlign w:val="center"/>
          </w:tcPr>
          <w:p w14:paraId="0A7C0528">
            <w:pPr>
              <w:spacing w:line="280" w:lineRule="exact"/>
              <w:ind w:firstLine="420"/>
              <w:jc w:val="center"/>
              <w:rPr>
                <w:rFonts w:ascii="Times New Roman"/>
                <w:b/>
                <w:sz w:val="21"/>
                <w:szCs w:val="21"/>
              </w:rPr>
            </w:pPr>
            <w:r>
              <w:rPr>
                <w:rFonts w:ascii="Times New Roman"/>
                <w:iCs/>
                <w:sz w:val="21"/>
                <w:szCs w:val="21"/>
              </w:rPr>
              <w:t>C</w:t>
            </w:r>
            <w:r>
              <w:rPr>
                <w:rFonts w:ascii="Times New Roman"/>
                <w:sz w:val="21"/>
                <w:szCs w:val="21"/>
                <w:vertAlign w:val="subscript"/>
              </w:rPr>
              <w:t>本项目</w:t>
            </w:r>
            <w:r>
              <w:rPr>
                <w:rFonts w:ascii="Times New Roman"/>
                <w:sz w:val="21"/>
                <w:szCs w:val="21"/>
              </w:rPr>
              <w:t>最大占标率≤100%</w:t>
            </w:r>
            <w:r>
              <w:rPr>
                <w:rFonts w:ascii="Times New Roman"/>
                <w:kern w:val="21"/>
                <w:sz w:val="21"/>
                <w:szCs w:val="21"/>
              </w:rPr>
              <w:t>□</w:t>
            </w:r>
          </w:p>
        </w:tc>
        <w:tc>
          <w:tcPr>
            <w:tcW w:w="1529" w:type="pct"/>
            <w:gridSpan w:val="6"/>
            <w:shd w:val="clear" w:color="auto" w:fill="auto"/>
            <w:noWrap/>
            <w:vAlign w:val="center"/>
          </w:tcPr>
          <w:p w14:paraId="011F8D65">
            <w:pPr>
              <w:spacing w:line="280" w:lineRule="exact"/>
              <w:jc w:val="center"/>
              <w:rPr>
                <w:rFonts w:ascii="Times New Roman"/>
                <w:b/>
                <w:sz w:val="21"/>
                <w:szCs w:val="21"/>
              </w:rPr>
            </w:pPr>
            <w:r>
              <w:rPr>
                <w:rFonts w:ascii="Times New Roman"/>
                <w:iCs/>
                <w:sz w:val="21"/>
                <w:szCs w:val="21"/>
              </w:rPr>
              <w:t>C</w:t>
            </w:r>
            <w:r>
              <w:rPr>
                <w:rFonts w:ascii="Times New Roman"/>
                <w:sz w:val="21"/>
                <w:szCs w:val="21"/>
                <w:vertAlign w:val="subscript"/>
              </w:rPr>
              <w:t>本项目</w:t>
            </w:r>
            <w:r>
              <w:rPr>
                <w:rFonts w:ascii="Times New Roman"/>
                <w:sz w:val="21"/>
                <w:szCs w:val="21"/>
              </w:rPr>
              <w:t>最大占标率＞100%</w:t>
            </w:r>
            <w:r>
              <w:rPr>
                <w:rFonts w:ascii="Times New Roman"/>
                <w:kern w:val="21"/>
                <w:sz w:val="21"/>
                <w:szCs w:val="21"/>
              </w:rPr>
              <w:t>□</w:t>
            </w:r>
          </w:p>
        </w:tc>
      </w:tr>
      <w:tr w14:paraId="2545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39A6D9FF">
            <w:pPr>
              <w:spacing w:line="280" w:lineRule="exact"/>
              <w:ind w:firstLine="422"/>
              <w:jc w:val="center"/>
              <w:rPr>
                <w:rFonts w:ascii="Times New Roman"/>
                <w:b/>
                <w:sz w:val="21"/>
                <w:szCs w:val="21"/>
              </w:rPr>
            </w:pPr>
          </w:p>
        </w:tc>
        <w:tc>
          <w:tcPr>
            <w:tcW w:w="949" w:type="pct"/>
            <w:vMerge w:val="restart"/>
            <w:shd w:val="clear" w:color="auto" w:fill="auto"/>
            <w:noWrap/>
            <w:vAlign w:val="center"/>
          </w:tcPr>
          <w:p w14:paraId="54D1A748">
            <w:pPr>
              <w:autoSpaceDE w:val="0"/>
              <w:autoSpaceDN w:val="0"/>
              <w:spacing w:line="280" w:lineRule="exact"/>
              <w:jc w:val="center"/>
              <w:rPr>
                <w:rFonts w:ascii="Times New Roman"/>
                <w:b/>
                <w:sz w:val="21"/>
                <w:szCs w:val="21"/>
              </w:rPr>
            </w:pPr>
            <w:r>
              <w:rPr>
                <w:rFonts w:ascii="Times New Roman"/>
                <w:sz w:val="21"/>
                <w:szCs w:val="21"/>
              </w:rPr>
              <w:t>正常排放年均浓度</w:t>
            </w:r>
          </w:p>
        </w:tc>
        <w:tc>
          <w:tcPr>
            <w:tcW w:w="470" w:type="pct"/>
            <w:shd w:val="clear" w:color="auto" w:fill="auto"/>
            <w:noWrap/>
            <w:vAlign w:val="center"/>
          </w:tcPr>
          <w:p w14:paraId="07152028">
            <w:pPr>
              <w:spacing w:line="280" w:lineRule="exact"/>
              <w:jc w:val="center"/>
              <w:rPr>
                <w:rFonts w:ascii="Times New Roman"/>
                <w:b/>
                <w:sz w:val="21"/>
                <w:szCs w:val="21"/>
              </w:rPr>
            </w:pPr>
            <w:r>
              <w:rPr>
                <w:rFonts w:ascii="Times New Roman"/>
                <w:sz w:val="21"/>
                <w:szCs w:val="21"/>
              </w:rPr>
              <w:t>一类区</w:t>
            </w:r>
          </w:p>
        </w:tc>
        <w:tc>
          <w:tcPr>
            <w:tcW w:w="1420" w:type="pct"/>
            <w:gridSpan w:val="8"/>
            <w:shd w:val="clear" w:color="auto" w:fill="auto"/>
            <w:noWrap/>
            <w:vAlign w:val="center"/>
          </w:tcPr>
          <w:p w14:paraId="2741F3EB">
            <w:pPr>
              <w:spacing w:line="280" w:lineRule="exact"/>
              <w:jc w:val="center"/>
              <w:rPr>
                <w:rFonts w:ascii="Times New Roman"/>
                <w:b/>
                <w:sz w:val="21"/>
                <w:szCs w:val="21"/>
              </w:rPr>
            </w:pPr>
            <w:r>
              <w:rPr>
                <w:rFonts w:ascii="Times New Roman"/>
                <w:iCs/>
                <w:sz w:val="21"/>
                <w:szCs w:val="21"/>
              </w:rPr>
              <w:t xml:space="preserve">C </w:t>
            </w:r>
            <w:r>
              <w:rPr>
                <w:rFonts w:ascii="Times New Roman"/>
                <w:sz w:val="21"/>
                <w:szCs w:val="21"/>
              </w:rPr>
              <w:t>本项目最大占标率≤10%</w:t>
            </w:r>
            <w:r>
              <w:rPr>
                <w:rFonts w:ascii="Times New Roman"/>
                <w:kern w:val="21"/>
                <w:sz w:val="21"/>
                <w:szCs w:val="21"/>
              </w:rPr>
              <w:t>□</w:t>
            </w:r>
          </w:p>
        </w:tc>
        <w:tc>
          <w:tcPr>
            <w:tcW w:w="1529" w:type="pct"/>
            <w:gridSpan w:val="6"/>
            <w:shd w:val="clear" w:color="auto" w:fill="auto"/>
            <w:noWrap/>
            <w:vAlign w:val="center"/>
          </w:tcPr>
          <w:p w14:paraId="3440228B">
            <w:pPr>
              <w:spacing w:line="280" w:lineRule="exact"/>
              <w:jc w:val="center"/>
              <w:rPr>
                <w:rFonts w:ascii="Times New Roman"/>
                <w:b/>
                <w:sz w:val="21"/>
                <w:szCs w:val="21"/>
              </w:rPr>
            </w:pPr>
            <w:r>
              <w:rPr>
                <w:rFonts w:ascii="Times New Roman"/>
                <w:iCs/>
                <w:sz w:val="21"/>
                <w:szCs w:val="21"/>
              </w:rPr>
              <w:t xml:space="preserve">C </w:t>
            </w:r>
            <w:r>
              <w:rPr>
                <w:rFonts w:ascii="Times New Roman"/>
                <w:sz w:val="21"/>
                <w:szCs w:val="21"/>
              </w:rPr>
              <w:t>本项目最大占标率＞10%</w:t>
            </w:r>
            <w:r>
              <w:rPr>
                <w:rFonts w:ascii="Times New Roman"/>
                <w:kern w:val="21"/>
                <w:sz w:val="21"/>
                <w:szCs w:val="21"/>
              </w:rPr>
              <w:t>□</w:t>
            </w:r>
          </w:p>
        </w:tc>
      </w:tr>
      <w:tr w14:paraId="7D25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21486E3E">
            <w:pPr>
              <w:spacing w:line="280" w:lineRule="exact"/>
              <w:ind w:firstLine="422"/>
              <w:jc w:val="center"/>
              <w:rPr>
                <w:rFonts w:ascii="Times New Roman"/>
                <w:b/>
                <w:sz w:val="21"/>
                <w:szCs w:val="21"/>
              </w:rPr>
            </w:pPr>
          </w:p>
        </w:tc>
        <w:tc>
          <w:tcPr>
            <w:tcW w:w="949" w:type="pct"/>
            <w:vMerge w:val="continue"/>
            <w:shd w:val="clear" w:color="auto" w:fill="auto"/>
            <w:noWrap/>
            <w:vAlign w:val="center"/>
          </w:tcPr>
          <w:p w14:paraId="51860D8B">
            <w:pPr>
              <w:spacing w:line="280" w:lineRule="exact"/>
              <w:ind w:firstLine="422"/>
              <w:jc w:val="center"/>
              <w:rPr>
                <w:rFonts w:ascii="Times New Roman"/>
                <w:b/>
                <w:sz w:val="21"/>
                <w:szCs w:val="21"/>
              </w:rPr>
            </w:pPr>
          </w:p>
        </w:tc>
        <w:tc>
          <w:tcPr>
            <w:tcW w:w="470" w:type="pct"/>
            <w:shd w:val="clear" w:color="auto" w:fill="auto"/>
            <w:noWrap/>
            <w:vAlign w:val="center"/>
          </w:tcPr>
          <w:p w14:paraId="66557C6E">
            <w:pPr>
              <w:spacing w:line="280" w:lineRule="exact"/>
              <w:jc w:val="center"/>
              <w:rPr>
                <w:rFonts w:ascii="Times New Roman"/>
                <w:b/>
                <w:sz w:val="21"/>
                <w:szCs w:val="21"/>
              </w:rPr>
            </w:pPr>
            <w:r>
              <w:rPr>
                <w:rFonts w:ascii="Times New Roman"/>
                <w:sz w:val="21"/>
                <w:szCs w:val="21"/>
              </w:rPr>
              <w:t>二类区</w:t>
            </w:r>
          </w:p>
        </w:tc>
        <w:tc>
          <w:tcPr>
            <w:tcW w:w="1420" w:type="pct"/>
            <w:gridSpan w:val="8"/>
            <w:shd w:val="clear" w:color="auto" w:fill="auto"/>
            <w:noWrap/>
            <w:vAlign w:val="center"/>
          </w:tcPr>
          <w:p w14:paraId="3485B89F">
            <w:pPr>
              <w:spacing w:line="280" w:lineRule="exact"/>
              <w:jc w:val="center"/>
              <w:rPr>
                <w:rFonts w:ascii="Times New Roman"/>
                <w:b/>
                <w:sz w:val="21"/>
                <w:szCs w:val="21"/>
              </w:rPr>
            </w:pPr>
            <w:r>
              <w:rPr>
                <w:rFonts w:ascii="Times New Roman"/>
                <w:iCs/>
                <w:sz w:val="21"/>
                <w:szCs w:val="21"/>
              </w:rPr>
              <w:t>C 本项目最大占标率≤30%</w:t>
            </w:r>
            <w:r>
              <w:rPr>
                <w:rFonts w:ascii="Times New Roman"/>
                <w:kern w:val="21"/>
                <w:sz w:val="21"/>
                <w:szCs w:val="21"/>
              </w:rPr>
              <w:t>□</w:t>
            </w:r>
          </w:p>
        </w:tc>
        <w:tc>
          <w:tcPr>
            <w:tcW w:w="1529" w:type="pct"/>
            <w:gridSpan w:val="6"/>
            <w:shd w:val="clear" w:color="auto" w:fill="auto"/>
            <w:noWrap/>
            <w:vAlign w:val="center"/>
          </w:tcPr>
          <w:p w14:paraId="3EE8B988">
            <w:pPr>
              <w:spacing w:line="280" w:lineRule="exact"/>
              <w:jc w:val="center"/>
              <w:rPr>
                <w:rFonts w:ascii="Times New Roman"/>
                <w:b/>
                <w:sz w:val="21"/>
                <w:szCs w:val="21"/>
              </w:rPr>
            </w:pPr>
            <w:r>
              <w:rPr>
                <w:rFonts w:ascii="Times New Roman"/>
                <w:iCs/>
                <w:sz w:val="21"/>
                <w:szCs w:val="21"/>
              </w:rPr>
              <w:t xml:space="preserve">C </w:t>
            </w:r>
            <w:r>
              <w:rPr>
                <w:rFonts w:ascii="Times New Roman"/>
                <w:sz w:val="21"/>
                <w:szCs w:val="21"/>
              </w:rPr>
              <w:t>本项目最大占标率＞30%</w:t>
            </w:r>
            <w:r>
              <w:rPr>
                <w:rFonts w:ascii="Times New Roman"/>
                <w:kern w:val="21"/>
                <w:sz w:val="21"/>
                <w:szCs w:val="21"/>
              </w:rPr>
              <w:t>□</w:t>
            </w:r>
          </w:p>
        </w:tc>
      </w:tr>
      <w:tr w14:paraId="2F18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3F8C1B31">
            <w:pPr>
              <w:spacing w:line="280" w:lineRule="exact"/>
              <w:ind w:firstLine="422"/>
              <w:jc w:val="center"/>
              <w:rPr>
                <w:rFonts w:ascii="Times New Roman"/>
                <w:b/>
                <w:sz w:val="21"/>
                <w:szCs w:val="21"/>
              </w:rPr>
            </w:pPr>
          </w:p>
        </w:tc>
        <w:tc>
          <w:tcPr>
            <w:tcW w:w="949" w:type="pct"/>
            <w:shd w:val="clear" w:color="auto" w:fill="auto"/>
            <w:noWrap/>
            <w:vAlign w:val="center"/>
          </w:tcPr>
          <w:p w14:paraId="4AD47001">
            <w:pPr>
              <w:autoSpaceDE w:val="0"/>
              <w:autoSpaceDN w:val="0"/>
              <w:spacing w:line="280" w:lineRule="exact"/>
              <w:jc w:val="center"/>
              <w:rPr>
                <w:rFonts w:ascii="Times New Roman"/>
                <w:sz w:val="21"/>
                <w:szCs w:val="21"/>
              </w:rPr>
            </w:pPr>
            <w:r>
              <w:rPr>
                <w:rFonts w:ascii="Times New Roman"/>
                <w:sz w:val="21"/>
                <w:szCs w:val="21"/>
              </w:rPr>
              <w:t>非正常排放1 h浓度贡献值</w:t>
            </w:r>
          </w:p>
        </w:tc>
        <w:tc>
          <w:tcPr>
            <w:tcW w:w="805" w:type="pct"/>
            <w:gridSpan w:val="3"/>
            <w:shd w:val="clear" w:color="auto" w:fill="auto"/>
            <w:noWrap/>
            <w:vAlign w:val="center"/>
          </w:tcPr>
          <w:p w14:paraId="541C546A">
            <w:pPr>
              <w:autoSpaceDE w:val="0"/>
              <w:autoSpaceDN w:val="0"/>
              <w:spacing w:line="280" w:lineRule="exact"/>
              <w:jc w:val="center"/>
              <w:rPr>
                <w:rFonts w:ascii="Times New Roman"/>
                <w:sz w:val="21"/>
                <w:szCs w:val="21"/>
              </w:rPr>
            </w:pPr>
            <w:r>
              <w:rPr>
                <w:rFonts w:ascii="Times New Roman"/>
                <w:sz w:val="21"/>
                <w:szCs w:val="21"/>
              </w:rPr>
              <w:t>非正常持续时长（/）h</w:t>
            </w:r>
          </w:p>
        </w:tc>
        <w:tc>
          <w:tcPr>
            <w:tcW w:w="1630" w:type="pct"/>
            <w:gridSpan w:val="8"/>
            <w:shd w:val="clear" w:color="auto" w:fill="auto"/>
            <w:noWrap/>
            <w:vAlign w:val="center"/>
          </w:tcPr>
          <w:p w14:paraId="1BB910D3">
            <w:pPr>
              <w:spacing w:line="280" w:lineRule="exact"/>
              <w:jc w:val="center"/>
              <w:rPr>
                <w:rFonts w:ascii="Times New Roman"/>
                <w:b/>
                <w:sz w:val="21"/>
                <w:szCs w:val="21"/>
              </w:rPr>
            </w:pPr>
            <w:r>
              <w:rPr>
                <w:rFonts w:ascii="Times New Roman"/>
                <w:i/>
                <w:iCs/>
                <w:sz w:val="21"/>
                <w:szCs w:val="21"/>
              </w:rPr>
              <w:t xml:space="preserve">C </w:t>
            </w:r>
            <w:r>
              <w:rPr>
                <w:rFonts w:ascii="Times New Roman"/>
                <w:sz w:val="21"/>
                <w:szCs w:val="21"/>
              </w:rPr>
              <w:t>非正常占标率≤100%</w:t>
            </w:r>
          </w:p>
        </w:tc>
        <w:tc>
          <w:tcPr>
            <w:tcW w:w="984" w:type="pct"/>
            <w:gridSpan w:val="4"/>
            <w:shd w:val="clear" w:color="auto" w:fill="auto"/>
            <w:noWrap/>
            <w:vAlign w:val="center"/>
          </w:tcPr>
          <w:p w14:paraId="16D47866">
            <w:pPr>
              <w:spacing w:line="280" w:lineRule="exact"/>
              <w:jc w:val="center"/>
              <w:rPr>
                <w:rFonts w:ascii="Times New Roman"/>
                <w:b/>
                <w:sz w:val="21"/>
                <w:szCs w:val="21"/>
              </w:rPr>
            </w:pPr>
            <w:r>
              <w:rPr>
                <w:rFonts w:ascii="Times New Roman"/>
                <w:i/>
                <w:iCs/>
                <w:sz w:val="21"/>
                <w:szCs w:val="21"/>
              </w:rPr>
              <w:t xml:space="preserve">C </w:t>
            </w:r>
            <w:r>
              <w:rPr>
                <w:rFonts w:ascii="Times New Roman"/>
                <w:sz w:val="21"/>
                <w:szCs w:val="21"/>
              </w:rPr>
              <w:t>非正常占标率＞100%</w:t>
            </w:r>
            <w:r>
              <w:rPr>
                <w:rFonts w:ascii="Times New Roman"/>
                <w:kern w:val="21"/>
                <w:sz w:val="21"/>
                <w:szCs w:val="21"/>
              </w:rPr>
              <w:t>□</w:t>
            </w:r>
          </w:p>
        </w:tc>
      </w:tr>
      <w:tr w14:paraId="6FAC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29" w:type="pct"/>
            <w:vMerge w:val="continue"/>
            <w:shd w:val="clear" w:color="auto" w:fill="auto"/>
            <w:noWrap/>
            <w:vAlign w:val="center"/>
          </w:tcPr>
          <w:p w14:paraId="06867901">
            <w:pPr>
              <w:spacing w:line="280" w:lineRule="exact"/>
              <w:ind w:firstLine="422"/>
              <w:jc w:val="center"/>
              <w:rPr>
                <w:rFonts w:ascii="Times New Roman"/>
                <w:b/>
                <w:sz w:val="21"/>
                <w:szCs w:val="21"/>
              </w:rPr>
            </w:pPr>
          </w:p>
        </w:tc>
        <w:tc>
          <w:tcPr>
            <w:tcW w:w="949" w:type="pct"/>
            <w:shd w:val="clear" w:color="auto" w:fill="auto"/>
            <w:noWrap/>
            <w:vAlign w:val="center"/>
          </w:tcPr>
          <w:p w14:paraId="61D575E9">
            <w:pPr>
              <w:autoSpaceDE w:val="0"/>
              <w:autoSpaceDN w:val="0"/>
              <w:spacing w:line="280" w:lineRule="exact"/>
              <w:jc w:val="center"/>
              <w:rPr>
                <w:rFonts w:ascii="Times New Roman"/>
                <w:sz w:val="21"/>
                <w:szCs w:val="21"/>
              </w:rPr>
            </w:pPr>
            <w:r>
              <w:rPr>
                <w:rFonts w:ascii="Times New Roman"/>
                <w:sz w:val="21"/>
                <w:szCs w:val="21"/>
              </w:rPr>
              <w:t>保证率日平均浓度和年平均浓度叠加值</w:t>
            </w:r>
          </w:p>
        </w:tc>
        <w:tc>
          <w:tcPr>
            <w:tcW w:w="1562" w:type="pct"/>
            <w:gridSpan w:val="8"/>
            <w:shd w:val="clear" w:color="auto" w:fill="auto"/>
            <w:noWrap/>
            <w:vAlign w:val="center"/>
          </w:tcPr>
          <w:p w14:paraId="3AB3A232">
            <w:pPr>
              <w:spacing w:line="280" w:lineRule="exact"/>
              <w:jc w:val="center"/>
              <w:rPr>
                <w:rFonts w:ascii="Times New Roman"/>
                <w:b/>
                <w:sz w:val="21"/>
                <w:szCs w:val="21"/>
              </w:rPr>
            </w:pPr>
            <w:r>
              <w:rPr>
                <w:rFonts w:ascii="Times New Roman"/>
                <w:i/>
                <w:iCs/>
                <w:sz w:val="21"/>
                <w:szCs w:val="21"/>
              </w:rPr>
              <w:t xml:space="preserve">C </w:t>
            </w:r>
            <w:r>
              <w:rPr>
                <w:rFonts w:ascii="Times New Roman"/>
                <w:sz w:val="21"/>
                <w:szCs w:val="21"/>
                <w:vertAlign w:val="subscript"/>
              </w:rPr>
              <w:t>叠加</w:t>
            </w:r>
            <w:r>
              <w:rPr>
                <w:rFonts w:ascii="Times New Roman"/>
                <w:sz w:val="21"/>
                <w:szCs w:val="21"/>
              </w:rPr>
              <w:t>达标</w:t>
            </w:r>
            <w:r>
              <w:rPr>
                <w:rFonts w:ascii="Times New Roman"/>
                <w:kern w:val="21"/>
                <w:sz w:val="21"/>
                <w:szCs w:val="21"/>
              </w:rPr>
              <w:t>□</w:t>
            </w:r>
          </w:p>
        </w:tc>
        <w:tc>
          <w:tcPr>
            <w:tcW w:w="1858" w:type="pct"/>
            <w:gridSpan w:val="7"/>
            <w:shd w:val="clear" w:color="auto" w:fill="auto"/>
            <w:noWrap/>
            <w:vAlign w:val="center"/>
          </w:tcPr>
          <w:p w14:paraId="3E9ED327">
            <w:pPr>
              <w:spacing w:line="280" w:lineRule="exact"/>
              <w:jc w:val="center"/>
              <w:rPr>
                <w:rFonts w:ascii="Times New Roman"/>
                <w:b/>
                <w:sz w:val="21"/>
                <w:szCs w:val="21"/>
              </w:rPr>
            </w:pPr>
            <w:r>
              <w:rPr>
                <w:rFonts w:ascii="Times New Roman"/>
                <w:i/>
                <w:iCs/>
                <w:sz w:val="21"/>
                <w:szCs w:val="21"/>
              </w:rPr>
              <w:t xml:space="preserve">C </w:t>
            </w:r>
            <w:r>
              <w:rPr>
                <w:rFonts w:ascii="Times New Roman"/>
                <w:sz w:val="21"/>
                <w:szCs w:val="21"/>
                <w:vertAlign w:val="subscript"/>
              </w:rPr>
              <w:t>叠加</w:t>
            </w:r>
            <w:r>
              <w:rPr>
                <w:rFonts w:ascii="Times New Roman"/>
                <w:sz w:val="21"/>
                <w:szCs w:val="21"/>
              </w:rPr>
              <w:t>不达标</w:t>
            </w:r>
            <w:r>
              <w:rPr>
                <w:rFonts w:ascii="Times New Roman"/>
                <w:kern w:val="21"/>
                <w:sz w:val="21"/>
                <w:szCs w:val="21"/>
              </w:rPr>
              <w:t>□</w:t>
            </w:r>
          </w:p>
        </w:tc>
      </w:tr>
      <w:tr w14:paraId="7D1F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29" w:type="pct"/>
            <w:vMerge w:val="continue"/>
            <w:shd w:val="clear" w:color="auto" w:fill="auto"/>
            <w:noWrap/>
            <w:vAlign w:val="center"/>
          </w:tcPr>
          <w:p w14:paraId="4EA5EDDA">
            <w:pPr>
              <w:spacing w:line="280" w:lineRule="exact"/>
              <w:ind w:firstLine="422"/>
              <w:jc w:val="center"/>
              <w:rPr>
                <w:rFonts w:ascii="Times New Roman"/>
                <w:b/>
                <w:sz w:val="21"/>
                <w:szCs w:val="21"/>
              </w:rPr>
            </w:pPr>
          </w:p>
        </w:tc>
        <w:tc>
          <w:tcPr>
            <w:tcW w:w="949" w:type="pct"/>
            <w:shd w:val="clear" w:color="auto" w:fill="auto"/>
            <w:noWrap/>
            <w:vAlign w:val="center"/>
          </w:tcPr>
          <w:p w14:paraId="18CFDE23">
            <w:pPr>
              <w:autoSpaceDE w:val="0"/>
              <w:autoSpaceDN w:val="0"/>
              <w:spacing w:line="280" w:lineRule="exact"/>
              <w:jc w:val="center"/>
              <w:rPr>
                <w:rFonts w:ascii="Times New Roman"/>
                <w:sz w:val="21"/>
                <w:szCs w:val="21"/>
              </w:rPr>
            </w:pPr>
            <w:r>
              <w:rPr>
                <w:rFonts w:ascii="Times New Roman"/>
                <w:sz w:val="21"/>
                <w:szCs w:val="21"/>
              </w:rPr>
              <w:t>区域环境质量的整体变化情况</w:t>
            </w:r>
          </w:p>
        </w:tc>
        <w:tc>
          <w:tcPr>
            <w:tcW w:w="1562" w:type="pct"/>
            <w:gridSpan w:val="8"/>
            <w:shd w:val="clear" w:color="auto" w:fill="auto"/>
            <w:noWrap/>
            <w:vAlign w:val="center"/>
          </w:tcPr>
          <w:p w14:paraId="3A36F5DE">
            <w:pPr>
              <w:spacing w:line="280" w:lineRule="exact"/>
              <w:jc w:val="center"/>
              <w:rPr>
                <w:rFonts w:ascii="Times New Roman"/>
                <w:b/>
                <w:sz w:val="21"/>
                <w:szCs w:val="21"/>
              </w:rPr>
            </w:pPr>
            <w:r>
              <w:rPr>
                <w:rFonts w:ascii="Times New Roman"/>
                <w:i/>
                <w:iCs/>
                <w:sz w:val="21"/>
                <w:szCs w:val="21"/>
              </w:rPr>
              <w:t xml:space="preserve">k </w:t>
            </w:r>
            <w:r>
              <w:rPr>
                <w:rFonts w:ascii="Times New Roman"/>
                <w:sz w:val="21"/>
                <w:szCs w:val="21"/>
              </w:rPr>
              <w:t>≤−20%</w:t>
            </w:r>
            <w:r>
              <w:rPr>
                <w:rFonts w:ascii="Times New Roman"/>
                <w:kern w:val="21"/>
                <w:sz w:val="21"/>
                <w:szCs w:val="21"/>
              </w:rPr>
              <w:t>□</w:t>
            </w:r>
          </w:p>
        </w:tc>
        <w:tc>
          <w:tcPr>
            <w:tcW w:w="1858" w:type="pct"/>
            <w:gridSpan w:val="7"/>
            <w:shd w:val="clear" w:color="auto" w:fill="auto"/>
            <w:noWrap/>
            <w:vAlign w:val="center"/>
          </w:tcPr>
          <w:p w14:paraId="1337ACD2">
            <w:pPr>
              <w:spacing w:line="280" w:lineRule="exact"/>
              <w:jc w:val="center"/>
              <w:rPr>
                <w:rFonts w:ascii="Times New Roman"/>
                <w:b/>
                <w:sz w:val="21"/>
                <w:szCs w:val="21"/>
              </w:rPr>
            </w:pPr>
            <w:r>
              <w:rPr>
                <w:rFonts w:ascii="Times New Roman"/>
                <w:i/>
                <w:iCs/>
                <w:sz w:val="21"/>
                <w:szCs w:val="21"/>
              </w:rPr>
              <w:t>k</w:t>
            </w:r>
            <w:r>
              <w:rPr>
                <w:rFonts w:ascii="Times New Roman"/>
                <w:sz w:val="21"/>
                <w:szCs w:val="21"/>
              </w:rPr>
              <w:t>＞−20%</w:t>
            </w:r>
            <w:r>
              <w:rPr>
                <w:rFonts w:ascii="Times New Roman"/>
                <w:kern w:val="21"/>
                <w:sz w:val="21"/>
                <w:szCs w:val="21"/>
              </w:rPr>
              <w:t>□</w:t>
            </w:r>
          </w:p>
        </w:tc>
      </w:tr>
      <w:tr w14:paraId="37FA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restart"/>
            <w:shd w:val="clear" w:color="auto" w:fill="auto"/>
            <w:noWrap/>
            <w:vAlign w:val="center"/>
          </w:tcPr>
          <w:p w14:paraId="5D9974E8">
            <w:pPr>
              <w:autoSpaceDE w:val="0"/>
              <w:autoSpaceDN w:val="0"/>
              <w:spacing w:line="280" w:lineRule="exact"/>
              <w:jc w:val="center"/>
              <w:rPr>
                <w:rFonts w:ascii="Times New Roman"/>
                <w:b/>
                <w:sz w:val="21"/>
                <w:szCs w:val="21"/>
              </w:rPr>
            </w:pPr>
            <w:r>
              <w:rPr>
                <w:rFonts w:ascii="Times New Roman"/>
                <w:sz w:val="21"/>
                <w:szCs w:val="21"/>
              </w:rPr>
              <w:t>环境监测计划</w:t>
            </w:r>
          </w:p>
        </w:tc>
        <w:tc>
          <w:tcPr>
            <w:tcW w:w="949" w:type="pct"/>
            <w:shd w:val="clear" w:color="auto" w:fill="auto"/>
            <w:noWrap/>
            <w:vAlign w:val="center"/>
          </w:tcPr>
          <w:p w14:paraId="572F511F">
            <w:pPr>
              <w:spacing w:line="280" w:lineRule="exact"/>
              <w:jc w:val="center"/>
              <w:rPr>
                <w:rFonts w:ascii="Times New Roman"/>
                <w:b/>
                <w:sz w:val="21"/>
                <w:szCs w:val="21"/>
              </w:rPr>
            </w:pPr>
            <w:r>
              <w:rPr>
                <w:rFonts w:ascii="Times New Roman"/>
                <w:sz w:val="21"/>
                <w:szCs w:val="21"/>
              </w:rPr>
              <w:t>污染源监测</w:t>
            </w:r>
          </w:p>
        </w:tc>
        <w:tc>
          <w:tcPr>
            <w:tcW w:w="1562" w:type="pct"/>
            <w:gridSpan w:val="8"/>
            <w:shd w:val="clear" w:color="auto" w:fill="auto"/>
            <w:noWrap/>
            <w:vAlign w:val="center"/>
          </w:tcPr>
          <w:p w14:paraId="464501EF">
            <w:pPr>
              <w:spacing w:line="280" w:lineRule="exact"/>
              <w:rPr>
                <w:rFonts w:ascii="Times New Roman"/>
                <w:b/>
                <w:sz w:val="21"/>
                <w:szCs w:val="21"/>
              </w:rPr>
            </w:pPr>
            <w:r>
              <w:rPr>
                <w:rFonts w:ascii="Times New Roman"/>
                <w:sz w:val="21"/>
                <w:szCs w:val="21"/>
              </w:rPr>
              <w:t>监测因子：（颗粒物、SO</w:t>
            </w:r>
            <w:r>
              <w:rPr>
                <w:rFonts w:ascii="Times New Roman"/>
                <w:sz w:val="21"/>
                <w:szCs w:val="21"/>
                <w:vertAlign w:val="subscript"/>
              </w:rPr>
              <w:t>2</w:t>
            </w:r>
            <w:r>
              <w:rPr>
                <w:rFonts w:ascii="Times New Roman"/>
                <w:sz w:val="21"/>
                <w:szCs w:val="21"/>
              </w:rPr>
              <w:t>、NO</w:t>
            </w:r>
            <w:r>
              <w:rPr>
                <w:rFonts w:hint="eastAsia" w:ascii="Times New Roman"/>
                <w:sz w:val="21"/>
                <w:szCs w:val="21"/>
                <w:vertAlign w:val="subscript"/>
              </w:rPr>
              <w:t>x</w:t>
            </w:r>
            <w:r>
              <w:rPr>
                <w:rFonts w:ascii="Times New Roman"/>
                <w:sz w:val="21"/>
                <w:szCs w:val="21"/>
              </w:rPr>
              <w:t>、非甲烷总烃、二甲苯）</w:t>
            </w:r>
          </w:p>
        </w:tc>
        <w:tc>
          <w:tcPr>
            <w:tcW w:w="1385" w:type="pct"/>
            <w:gridSpan w:val="6"/>
            <w:shd w:val="clear" w:color="auto" w:fill="auto"/>
            <w:noWrap/>
            <w:vAlign w:val="center"/>
          </w:tcPr>
          <w:p w14:paraId="55EDCCE2">
            <w:pPr>
              <w:autoSpaceDE w:val="0"/>
              <w:autoSpaceDN w:val="0"/>
              <w:spacing w:line="280" w:lineRule="exact"/>
              <w:jc w:val="center"/>
              <w:rPr>
                <w:rFonts w:ascii="Times New Roman"/>
                <w:sz w:val="21"/>
                <w:szCs w:val="21"/>
              </w:rPr>
            </w:pPr>
            <w:r>
              <w:rPr>
                <w:rFonts w:ascii="Times New Roman"/>
                <w:sz w:val="21"/>
                <w:szCs w:val="21"/>
              </w:rPr>
              <w:t>有组织废气监测☑</w:t>
            </w:r>
          </w:p>
          <w:p w14:paraId="7012264F">
            <w:pPr>
              <w:spacing w:line="280" w:lineRule="exact"/>
              <w:jc w:val="center"/>
              <w:rPr>
                <w:rFonts w:ascii="Times New Roman"/>
                <w:b/>
                <w:sz w:val="21"/>
                <w:szCs w:val="21"/>
              </w:rPr>
            </w:pPr>
            <w:r>
              <w:rPr>
                <w:rFonts w:ascii="Times New Roman"/>
                <w:sz w:val="21"/>
                <w:szCs w:val="21"/>
              </w:rPr>
              <w:t>无组织废气监测☑</w:t>
            </w:r>
          </w:p>
        </w:tc>
        <w:tc>
          <w:tcPr>
            <w:tcW w:w="473" w:type="pct"/>
            <w:shd w:val="clear" w:color="auto" w:fill="auto"/>
            <w:noWrap/>
            <w:vAlign w:val="center"/>
          </w:tcPr>
          <w:p w14:paraId="7E656725">
            <w:pPr>
              <w:spacing w:line="280" w:lineRule="exact"/>
              <w:jc w:val="center"/>
              <w:rPr>
                <w:rFonts w:ascii="Times New Roman"/>
                <w:sz w:val="21"/>
                <w:szCs w:val="21"/>
              </w:rPr>
            </w:pPr>
            <w:r>
              <w:rPr>
                <w:rFonts w:ascii="Times New Roman"/>
                <w:sz w:val="21"/>
                <w:szCs w:val="21"/>
              </w:rPr>
              <w:t>无监测</w:t>
            </w:r>
            <w:r>
              <w:rPr>
                <w:rFonts w:ascii="Times New Roman"/>
                <w:kern w:val="21"/>
                <w:sz w:val="21"/>
                <w:szCs w:val="21"/>
              </w:rPr>
              <w:t>□</w:t>
            </w:r>
          </w:p>
        </w:tc>
      </w:tr>
      <w:tr w14:paraId="797B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2F879D02">
            <w:pPr>
              <w:spacing w:line="280" w:lineRule="exact"/>
              <w:ind w:firstLine="422"/>
              <w:jc w:val="center"/>
              <w:rPr>
                <w:rFonts w:ascii="Times New Roman"/>
                <w:b/>
                <w:sz w:val="21"/>
                <w:szCs w:val="21"/>
              </w:rPr>
            </w:pPr>
          </w:p>
        </w:tc>
        <w:tc>
          <w:tcPr>
            <w:tcW w:w="949" w:type="pct"/>
            <w:shd w:val="clear" w:color="auto" w:fill="auto"/>
            <w:noWrap/>
            <w:vAlign w:val="center"/>
          </w:tcPr>
          <w:p w14:paraId="39AA7BE0">
            <w:pPr>
              <w:spacing w:line="280" w:lineRule="exact"/>
              <w:jc w:val="center"/>
              <w:rPr>
                <w:rFonts w:ascii="Times New Roman"/>
                <w:b/>
                <w:sz w:val="21"/>
                <w:szCs w:val="21"/>
              </w:rPr>
            </w:pPr>
            <w:r>
              <w:rPr>
                <w:rFonts w:ascii="Times New Roman"/>
                <w:sz w:val="21"/>
                <w:szCs w:val="21"/>
              </w:rPr>
              <w:t>环境质量监测</w:t>
            </w:r>
          </w:p>
        </w:tc>
        <w:tc>
          <w:tcPr>
            <w:tcW w:w="1562" w:type="pct"/>
            <w:gridSpan w:val="8"/>
            <w:shd w:val="clear" w:color="auto" w:fill="auto"/>
            <w:noWrap/>
            <w:vAlign w:val="center"/>
          </w:tcPr>
          <w:p w14:paraId="777B594B">
            <w:pPr>
              <w:spacing w:line="280" w:lineRule="exact"/>
              <w:jc w:val="left"/>
              <w:rPr>
                <w:rFonts w:ascii="Times New Roman"/>
                <w:b/>
                <w:sz w:val="21"/>
                <w:szCs w:val="21"/>
              </w:rPr>
            </w:pPr>
            <w:r>
              <w:rPr>
                <w:rFonts w:ascii="Times New Roman"/>
                <w:sz w:val="21"/>
                <w:szCs w:val="21"/>
              </w:rPr>
              <w:t>监测因子：</w:t>
            </w:r>
          </w:p>
        </w:tc>
        <w:tc>
          <w:tcPr>
            <w:tcW w:w="1385" w:type="pct"/>
            <w:gridSpan w:val="6"/>
            <w:shd w:val="clear" w:color="auto" w:fill="auto"/>
            <w:noWrap/>
            <w:vAlign w:val="center"/>
          </w:tcPr>
          <w:p w14:paraId="711D6603">
            <w:pPr>
              <w:spacing w:line="280" w:lineRule="exact"/>
              <w:jc w:val="center"/>
              <w:rPr>
                <w:rFonts w:ascii="Times New Roman"/>
                <w:b/>
                <w:sz w:val="21"/>
                <w:szCs w:val="21"/>
              </w:rPr>
            </w:pPr>
            <w:r>
              <w:rPr>
                <w:rFonts w:ascii="Times New Roman"/>
                <w:sz w:val="21"/>
                <w:szCs w:val="21"/>
              </w:rPr>
              <w:t>监测点位数（</w:t>
            </w:r>
            <w:r>
              <w:rPr>
                <w:rFonts w:hint="eastAsia" w:ascii="Times New Roman"/>
                <w:sz w:val="21"/>
                <w:szCs w:val="21"/>
              </w:rPr>
              <w:t xml:space="preserve"> </w:t>
            </w:r>
            <w:r>
              <w:rPr>
                <w:rFonts w:ascii="Times New Roman"/>
                <w:sz w:val="21"/>
                <w:szCs w:val="21"/>
              </w:rPr>
              <w:t>）</w:t>
            </w:r>
          </w:p>
        </w:tc>
        <w:tc>
          <w:tcPr>
            <w:tcW w:w="473" w:type="pct"/>
            <w:shd w:val="clear" w:color="auto" w:fill="auto"/>
            <w:noWrap/>
            <w:vAlign w:val="center"/>
          </w:tcPr>
          <w:p w14:paraId="4ACC57F1">
            <w:pPr>
              <w:spacing w:line="280" w:lineRule="exact"/>
              <w:jc w:val="center"/>
              <w:rPr>
                <w:rFonts w:ascii="Times New Roman"/>
                <w:b/>
                <w:sz w:val="21"/>
                <w:szCs w:val="21"/>
              </w:rPr>
            </w:pPr>
            <w:r>
              <w:rPr>
                <w:rFonts w:ascii="Times New Roman"/>
                <w:sz w:val="21"/>
                <w:szCs w:val="21"/>
              </w:rPr>
              <w:t>无监测</w:t>
            </w:r>
            <w:r>
              <w:rPr>
                <w:rFonts w:ascii="Times New Roman"/>
                <w:kern w:val="21"/>
                <w:sz w:val="21"/>
                <w:szCs w:val="21"/>
              </w:rPr>
              <w:t>□</w:t>
            </w:r>
          </w:p>
        </w:tc>
      </w:tr>
      <w:tr w14:paraId="3F9A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9" w:type="pct"/>
            <w:vMerge w:val="restart"/>
            <w:shd w:val="clear" w:color="auto" w:fill="auto"/>
            <w:noWrap/>
            <w:vAlign w:val="center"/>
          </w:tcPr>
          <w:p w14:paraId="4C0ED46E">
            <w:pPr>
              <w:spacing w:line="280" w:lineRule="exact"/>
              <w:jc w:val="center"/>
              <w:rPr>
                <w:rFonts w:ascii="Times New Roman"/>
                <w:b/>
                <w:sz w:val="21"/>
                <w:szCs w:val="21"/>
              </w:rPr>
            </w:pPr>
            <w:r>
              <w:rPr>
                <w:rFonts w:ascii="Times New Roman"/>
                <w:sz w:val="21"/>
                <w:szCs w:val="21"/>
              </w:rPr>
              <w:t>评价结论</w:t>
            </w:r>
          </w:p>
        </w:tc>
        <w:tc>
          <w:tcPr>
            <w:tcW w:w="949" w:type="pct"/>
            <w:shd w:val="clear" w:color="auto" w:fill="auto"/>
            <w:noWrap/>
            <w:vAlign w:val="center"/>
          </w:tcPr>
          <w:p w14:paraId="67EC7CBA">
            <w:pPr>
              <w:spacing w:line="280" w:lineRule="exact"/>
              <w:jc w:val="center"/>
              <w:rPr>
                <w:rFonts w:ascii="Times New Roman"/>
                <w:b/>
                <w:sz w:val="21"/>
                <w:szCs w:val="21"/>
              </w:rPr>
            </w:pPr>
            <w:r>
              <w:rPr>
                <w:rFonts w:ascii="Times New Roman"/>
                <w:sz w:val="21"/>
                <w:szCs w:val="21"/>
              </w:rPr>
              <w:t>环境影响</w:t>
            </w:r>
          </w:p>
        </w:tc>
        <w:tc>
          <w:tcPr>
            <w:tcW w:w="3420" w:type="pct"/>
            <w:gridSpan w:val="15"/>
            <w:shd w:val="clear" w:color="auto" w:fill="auto"/>
            <w:noWrap/>
            <w:vAlign w:val="center"/>
          </w:tcPr>
          <w:p w14:paraId="0AB1EB16">
            <w:pPr>
              <w:spacing w:line="280" w:lineRule="exact"/>
              <w:jc w:val="center"/>
              <w:rPr>
                <w:rFonts w:ascii="Times New Roman"/>
                <w:b/>
                <w:sz w:val="21"/>
                <w:szCs w:val="21"/>
              </w:rPr>
            </w:pPr>
            <w:r>
              <w:rPr>
                <w:rFonts w:ascii="Times New Roman"/>
                <w:sz w:val="21"/>
                <w:szCs w:val="21"/>
              </w:rPr>
              <w:t>可以接受√ 不可以接受</w:t>
            </w:r>
            <w:r>
              <w:rPr>
                <w:rFonts w:ascii="Times New Roman"/>
                <w:kern w:val="21"/>
                <w:sz w:val="21"/>
                <w:szCs w:val="21"/>
              </w:rPr>
              <w:t>□</w:t>
            </w:r>
          </w:p>
        </w:tc>
      </w:tr>
      <w:tr w14:paraId="173A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pct"/>
            <w:vMerge w:val="continue"/>
            <w:shd w:val="clear" w:color="auto" w:fill="auto"/>
            <w:noWrap/>
            <w:vAlign w:val="center"/>
          </w:tcPr>
          <w:p w14:paraId="0A9D22F1">
            <w:pPr>
              <w:spacing w:line="280" w:lineRule="exact"/>
              <w:ind w:firstLine="422"/>
              <w:jc w:val="center"/>
              <w:rPr>
                <w:rFonts w:ascii="Times New Roman"/>
                <w:b/>
                <w:sz w:val="21"/>
                <w:szCs w:val="21"/>
              </w:rPr>
            </w:pPr>
          </w:p>
        </w:tc>
        <w:tc>
          <w:tcPr>
            <w:tcW w:w="949" w:type="pct"/>
            <w:shd w:val="clear" w:color="auto" w:fill="auto"/>
            <w:noWrap/>
            <w:vAlign w:val="center"/>
          </w:tcPr>
          <w:p w14:paraId="2DDC6AB6">
            <w:pPr>
              <w:spacing w:line="280" w:lineRule="exact"/>
              <w:jc w:val="center"/>
              <w:rPr>
                <w:rFonts w:ascii="Times New Roman"/>
                <w:b/>
                <w:sz w:val="21"/>
                <w:szCs w:val="21"/>
              </w:rPr>
            </w:pPr>
            <w:r>
              <w:rPr>
                <w:rFonts w:ascii="Times New Roman"/>
                <w:sz w:val="21"/>
                <w:szCs w:val="21"/>
              </w:rPr>
              <w:t>大气环境防护距离</w:t>
            </w:r>
          </w:p>
        </w:tc>
        <w:tc>
          <w:tcPr>
            <w:tcW w:w="3420" w:type="pct"/>
            <w:gridSpan w:val="15"/>
            <w:shd w:val="clear" w:color="auto" w:fill="auto"/>
            <w:noWrap/>
            <w:vAlign w:val="center"/>
          </w:tcPr>
          <w:p w14:paraId="22C2D65A">
            <w:pPr>
              <w:spacing w:line="280" w:lineRule="exact"/>
              <w:jc w:val="center"/>
              <w:rPr>
                <w:rFonts w:ascii="Times New Roman"/>
                <w:b/>
                <w:sz w:val="21"/>
                <w:szCs w:val="21"/>
              </w:rPr>
            </w:pPr>
            <w:r>
              <w:rPr>
                <w:rFonts w:ascii="Times New Roman"/>
                <w:sz w:val="21"/>
                <w:szCs w:val="21"/>
              </w:rPr>
              <w:t>距（ ）厂界最远（ ）m</w:t>
            </w:r>
          </w:p>
        </w:tc>
      </w:tr>
      <w:tr w14:paraId="6E6E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29" w:type="pct"/>
            <w:vMerge w:val="continue"/>
            <w:shd w:val="clear" w:color="auto" w:fill="auto"/>
            <w:noWrap/>
            <w:vAlign w:val="center"/>
          </w:tcPr>
          <w:p w14:paraId="09B53F4A">
            <w:pPr>
              <w:spacing w:line="280" w:lineRule="exact"/>
              <w:ind w:firstLine="422"/>
              <w:jc w:val="center"/>
              <w:rPr>
                <w:rFonts w:ascii="Times New Roman"/>
                <w:b/>
                <w:sz w:val="21"/>
                <w:szCs w:val="21"/>
              </w:rPr>
            </w:pPr>
          </w:p>
        </w:tc>
        <w:tc>
          <w:tcPr>
            <w:tcW w:w="949" w:type="pct"/>
            <w:shd w:val="clear" w:color="auto" w:fill="auto"/>
            <w:noWrap/>
            <w:vAlign w:val="center"/>
          </w:tcPr>
          <w:p w14:paraId="72CB757F">
            <w:pPr>
              <w:spacing w:line="280" w:lineRule="exact"/>
              <w:jc w:val="center"/>
              <w:rPr>
                <w:rFonts w:ascii="Times New Roman"/>
                <w:b/>
                <w:sz w:val="21"/>
                <w:szCs w:val="21"/>
              </w:rPr>
            </w:pPr>
            <w:r>
              <w:rPr>
                <w:rFonts w:ascii="Times New Roman"/>
                <w:sz w:val="21"/>
                <w:szCs w:val="21"/>
              </w:rPr>
              <w:t>污染源年排放量</w:t>
            </w:r>
          </w:p>
        </w:tc>
        <w:tc>
          <w:tcPr>
            <w:tcW w:w="622" w:type="pct"/>
            <w:gridSpan w:val="2"/>
            <w:shd w:val="clear" w:color="auto" w:fill="auto"/>
            <w:noWrap/>
            <w:vAlign w:val="center"/>
          </w:tcPr>
          <w:p w14:paraId="0E835F80">
            <w:pPr>
              <w:spacing w:line="320" w:lineRule="exact"/>
              <w:ind w:left="-125" w:leftChars="-50" w:right="-125" w:rightChars="-50"/>
              <w:jc w:val="center"/>
              <w:rPr>
                <w:rFonts w:ascii="Times New Roman"/>
                <w:sz w:val="21"/>
                <w:szCs w:val="21"/>
              </w:rPr>
            </w:pPr>
            <w:r>
              <w:rPr>
                <w:rFonts w:ascii="Times New Roman"/>
                <w:sz w:val="21"/>
                <w:szCs w:val="21"/>
              </w:rPr>
              <w:t>SO</w:t>
            </w:r>
            <w:r>
              <w:rPr>
                <w:rFonts w:ascii="Times New Roman"/>
                <w:sz w:val="21"/>
                <w:szCs w:val="21"/>
                <w:vertAlign w:val="subscript"/>
              </w:rPr>
              <w:t>2</w:t>
            </w:r>
            <w:r>
              <w:rPr>
                <w:rFonts w:ascii="Times New Roman"/>
                <w:sz w:val="21"/>
                <w:szCs w:val="21"/>
              </w:rPr>
              <w:t>：</w:t>
            </w:r>
          </w:p>
          <w:p w14:paraId="1B82D0F8">
            <w:pPr>
              <w:spacing w:line="320" w:lineRule="exact"/>
              <w:ind w:left="-125" w:leftChars="-50" w:right="-125" w:rightChars="-50"/>
              <w:jc w:val="center"/>
              <w:rPr>
                <w:rFonts w:ascii="Times New Roman"/>
                <w:b/>
                <w:sz w:val="21"/>
                <w:szCs w:val="21"/>
              </w:rPr>
            </w:pPr>
            <w:r>
              <w:rPr>
                <w:rFonts w:ascii="Times New Roman"/>
                <w:sz w:val="21"/>
                <w:szCs w:val="21"/>
              </w:rPr>
              <w:t>（</w:t>
            </w:r>
            <w:r>
              <w:rPr>
                <w:rFonts w:hint="eastAsia" w:ascii="Times New Roman"/>
                <w:sz w:val="21"/>
                <w:szCs w:val="21"/>
              </w:rPr>
              <w:t>0.072</w:t>
            </w:r>
            <w:r>
              <w:rPr>
                <w:rFonts w:ascii="Times New Roman"/>
                <w:sz w:val="21"/>
                <w:szCs w:val="21"/>
              </w:rPr>
              <w:t>）t/a</w:t>
            </w:r>
          </w:p>
        </w:tc>
        <w:tc>
          <w:tcPr>
            <w:tcW w:w="672" w:type="pct"/>
            <w:gridSpan w:val="4"/>
            <w:shd w:val="clear" w:color="auto" w:fill="auto"/>
            <w:noWrap/>
            <w:vAlign w:val="center"/>
          </w:tcPr>
          <w:p w14:paraId="5883D50A">
            <w:pPr>
              <w:spacing w:line="320" w:lineRule="exact"/>
              <w:ind w:left="-125" w:leftChars="-50" w:right="-125" w:rightChars="-50"/>
              <w:jc w:val="center"/>
              <w:rPr>
                <w:rFonts w:ascii="Times New Roman"/>
                <w:sz w:val="21"/>
                <w:szCs w:val="21"/>
              </w:rPr>
            </w:pPr>
            <w:r>
              <w:rPr>
                <w:rFonts w:ascii="Times New Roman"/>
                <w:sz w:val="21"/>
                <w:szCs w:val="21"/>
              </w:rPr>
              <w:t>NO</w:t>
            </w:r>
            <w:r>
              <w:rPr>
                <w:rFonts w:ascii="Times New Roman"/>
                <w:i/>
                <w:iCs/>
                <w:sz w:val="21"/>
                <w:szCs w:val="21"/>
              </w:rPr>
              <w:t>x</w:t>
            </w:r>
            <w:r>
              <w:rPr>
                <w:rFonts w:ascii="Times New Roman"/>
                <w:sz w:val="21"/>
                <w:szCs w:val="21"/>
              </w:rPr>
              <w:t>：</w:t>
            </w:r>
          </w:p>
          <w:p w14:paraId="23E81EFC">
            <w:pPr>
              <w:spacing w:line="320" w:lineRule="exact"/>
              <w:ind w:left="-125" w:leftChars="-50" w:right="-125" w:rightChars="-50"/>
              <w:jc w:val="center"/>
              <w:rPr>
                <w:rFonts w:ascii="Times New Roman"/>
                <w:b/>
                <w:sz w:val="21"/>
                <w:szCs w:val="21"/>
              </w:rPr>
            </w:pPr>
            <w:r>
              <w:rPr>
                <w:rFonts w:ascii="Times New Roman"/>
                <w:sz w:val="21"/>
                <w:szCs w:val="21"/>
              </w:rPr>
              <w:t>（</w:t>
            </w:r>
            <w:r>
              <w:rPr>
                <w:rFonts w:hint="eastAsia" w:ascii="Times New Roman"/>
                <w:sz w:val="21"/>
                <w:szCs w:val="21"/>
              </w:rPr>
              <w:t>4.313</w:t>
            </w:r>
            <w:r>
              <w:rPr>
                <w:rFonts w:ascii="Times New Roman"/>
                <w:sz w:val="21"/>
                <w:szCs w:val="21"/>
              </w:rPr>
              <w:t>）t/a</w:t>
            </w:r>
          </w:p>
        </w:tc>
        <w:tc>
          <w:tcPr>
            <w:tcW w:w="745" w:type="pct"/>
            <w:gridSpan w:val="4"/>
            <w:shd w:val="clear" w:color="auto" w:fill="auto"/>
            <w:noWrap/>
            <w:vAlign w:val="center"/>
          </w:tcPr>
          <w:p w14:paraId="5DD0E32D">
            <w:pPr>
              <w:spacing w:line="320" w:lineRule="exact"/>
              <w:ind w:left="-125" w:leftChars="-50" w:right="-125" w:rightChars="-50"/>
              <w:jc w:val="center"/>
              <w:rPr>
                <w:rFonts w:ascii="Times New Roman"/>
                <w:sz w:val="21"/>
                <w:szCs w:val="21"/>
              </w:rPr>
            </w:pPr>
            <w:r>
              <w:rPr>
                <w:rFonts w:ascii="Times New Roman"/>
                <w:sz w:val="21"/>
                <w:szCs w:val="21"/>
              </w:rPr>
              <w:t>颗粒物：</w:t>
            </w:r>
          </w:p>
          <w:p w14:paraId="28028EF7">
            <w:pPr>
              <w:spacing w:line="320" w:lineRule="exact"/>
              <w:ind w:left="-125" w:leftChars="-50" w:right="-125" w:rightChars="-50"/>
              <w:jc w:val="center"/>
              <w:rPr>
                <w:rFonts w:ascii="Times New Roman"/>
                <w:b/>
                <w:sz w:val="21"/>
                <w:szCs w:val="21"/>
              </w:rPr>
            </w:pPr>
            <w:r>
              <w:rPr>
                <w:rFonts w:ascii="Times New Roman"/>
                <w:sz w:val="21"/>
                <w:szCs w:val="21"/>
              </w:rPr>
              <w:t>（</w:t>
            </w:r>
            <w:r>
              <w:rPr>
                <w:rFonts w:hint="eastAsia" w:ascii="Times New Roman"/>
                <w:sz w:val="21"/>
                <w:szCs w:val="21"/>
              </w:rPr>
              <w:t>36.151</w:t>
            </w:r>
            <w:r>
              <w:rPr>
                <w:rFonts w:ascii="Times New Roman"/>
                <w:sz w:val="21"/>
                <w:szCs w:val="21"/>
              </w:rPr>
              <w:t>）t/a</w:t>
            </w:r>
          </w:p>
        </w:tc>
        <w:tc>
          <w:tcPr>
            <w:tcW w:w="733" w:type="pct"/>
            <w:gridSpan w:val="3"/>
            <w:shd w:val="clear" w:color="auto" w:fill="auto"/>
            <w:noWrap/>
            <w:vAlign w:val="center"/>
          </w:tcPr>
          <w:p w14:paraId="3C39AB5D">
            <w:pPr>
              <w:spacing w:line="280" w:lineRule="exact"/>
              <w:ind w:left="-125" w:leftChars="-50" w:right="-125" w:rightChars="-50"/>
              <w:jc w:val="center"/>
              <w:rPr>
                <w:rFonts w:ascii="Times New Roman"/>
                <w:sz w:val="21"/>
                <w:szCs w:val="21"/>
              </w:rPr>
            </w:pPr>
            <w:r>
              <w:rPr>
                <w:rFonts w:ascii="Times New Roman"/>
                <w:sz w:val="21"/>
                <w:szCs w:val="21"/>
              </w:rPr>
              <w:t>VOCs：</w:t>
            </w:r>
          </w:p>
          <w:p w14:paraId="15391FF0">
            <w:pPr>
              <w:spacing w:line="280" w:lineRule="exact"/>
              <w:ind w:left="-125" w:leftChars="-50" w:right="-125" w:rightChars="-50"/>
              <w:jc w:val="center"/>
              <w:rPr>
                <w:rFonts w:ascii="Times New Roman"/>
                <w:b/>
                <w:sz w:val="21"/>
                <w:szCs w:val="21"/>
              </w:rPr>
            </w:pPr>
            <w:r>
              <w:rPr>
                <w:rFonts w:ascii="Times New Roman"/>
                <w:sz w:val="21"/>
                <w:szCs w:val="21"/>
              </w:rPr>
              <w:t>（</w:t>
            </w:r>
            <w:r>
              <w:rPr>
                <w:rFonts w:hint="eastAsia" w:ascii="Times New Roman"/>
                <w:sz w:val="21"/>
                <w:szCs w:val="21"/>
              </w:rPr>
              <w:t>34.103</w:t>
            </w:r>
            <w:r>
              <w:rPr>
                <w:rFonts w:ascii="Times New Roman"/>
                <w:sz w:val="21"/>
                <w:szCs w:val="21"/>
              </w:rPr>
              <w:t>）t/a</w:t>
            </w:r>
          </w:p>
        </w:tc>
        <w:tc>
          <w:tcPr>
            <w:tcW w:w="646" w:type="pct"/>
            <w:gridSpan w:val="2"/>
            <w:shd w:val="clear" w:color="auto" w:fill="auto"/>
            <w:noWrap/>
            <w:vAlign w:val="center"/>
          </w:tcPr>
          <w:p w14:paraId="2BA7D09D">
            <w:pPr>
              <w:spacing w:line="320" w:lineRule="exact"/>
              <w:ind w:left="-125" w:leftChars="-50" w:right="-125" w:rightChars="-50"/>
              <w:jc w:val="center"/>
              <w:rPr>
                <w:rFonts w:ascii="Times New Roman"/>
                <w:sz w:val="21"/>
                <w:szCs w:val="21"/>
              </w:rPr>
            </w:pPr>
            <w:r>
              <w:rPr>
                <w:rFonts w:hint="eastAsia" w:ascii="Times New Roman"/>
                <w:sz w:val="21"/>
                <w:szCs w:val="21"/>
              </w:rPr>
              <w:t>二甲苯</w:t>
            </w:r>
            <w:r>
              <w:rPr>
                <w:rFonts w:ascii="Times New Roman"/>
                <w:sz w:val="21"/>
                <w:szCs w:val="21"/>
              </w:rPr>
              <w:t>：</w:t>
            </w:r>
          </w:p>
          <w:p w14:paraId="2017C802">
            <w:pPr>
              <w:spacing w:line="280" w:lineRule="exact"/>
              <w:ind w:left="-125" w:leftChars="-50" w:right="-125" w:rightChars="-50"/>
              <w:jc w:val="center"/>
              <w:rPr>
                <w:rFonts w:ascii="Times New Roman"/>
                <w:sz w:val="21"/>
                <w:szCs w:val="21"/>
              </w:rPr>
            </w:pPr>
            <w:r>
              <w:rPr>
                <w:rFonts w:ascii="Times New Roman"/>
                <w:sz w:val="21"/>
                <w:szCs w:val="21"/>
              </w:rPr>
              <w:t>（</w:t>
            </w:r>
            <w:r>
              <w:rPr>
                <w:rFonts w:hint="eastAsia" w:ascii="Times New Roman"/>
                <w:sz w:val="21"/>
                <w:szCs w:val="21"/>
              </w:rPr>
              <w:t>9.415</w:t>
            </w:r>
            <w:r>
              <w:rPr>
                <w:rFonts w:ascii="Times New Roman"/>
                <w:sz w:val="21"/>
                <w:szCs w:val="21"/>
              </w:rPr>
              <w:t>）t/a</w:t>
            </w:r>
          </w:p>
        </w:tc>
      </w:tr>
      <w:tr w14:paraId="0264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000" w:type="pct"/>
            <w:gridSpan w:val="17"/>
            <w:shd w:val="clear" w:color="auto" w:fill="auto"/>
            <w:noWrap/>
            <w:vAlign w:val="center"/>
          </w:tcPr>
          <w:p w14:paraId="2F2A2394">
            <w:pPr>
              <w:spacing w:line="280" w:lineRule="exact"/>
              <w:jc w:val="left"/>
              <w:rPr>
                <w:rFonts w:ascii="Times New Roman"/>
                <w:b/>
                <w:sz w:val="21"/>
                <w:szCs w:val="21"/>
              </w:rPr>
            </w:pPr>
            <w:r>
              <w:rPr>
                <w:rFonts w:ascii="Times New Roman"/>
                <w:sz w:val="21"/>
                <w:szCs w:val="21"/>
              </w:rPr>
              <w:t>注：“□” 为勾选项，填“√”；“（ ）” 为内容填写项。</w:t>
            </w:r>
          </w:p>
        </w:tc>
      </w:tr>
    </w:tbl>
    <w:p w14:paraId="32E70BC6">
      <w:pPr>
        <w:tabs>
          <w:tab w:val="left" w:pos="1170"/>
        </w:tabs>
        <w:spacing w:line="360" w:lineRule="auto"/>
        <w:outlineLvl w:val="2"/>
        <w:rPr>
          <w:rFonts w:ascii="Times New Roman"/>
          <w:b/>
          <w:sz w:val="28"/>
          <w:szCs w:val="28"/>
        </w:rPr>
      </w:pPr>
      <w:r>
        <w:rPr>
          <w:rFonts w:ascii="Times New Roman"/>
          <w:b/>
          <w:sz w:val="28"/>
          <w:szCs w:val="28"/>
        </w:rPr>
        <w:t>5.2.2地表水环境影响分析</w:t>
      </w:r>
    </w:p>
    <w:p w14:paraId="3CC8704C">
      <w:pPr>
        <w:pStyle w:val="20"/>
        <w:tabs>
          <w:tab w:val="left" w:pos="0"/>
        </w:tabs>
        <w:spacing w:line="360" w:lineRule="auto"/>
        <w:ind w:firstLine="480" w:firstLineChars="200"/>
        <w:rPr>
          <w:rFonts w:eastAsia="宋体"/>
          <w:sz w:val="24"/>
        </w:rPr>
      </w:pPr>
      <w:r>
        <w:rPr>
          <w:rFonts w:eastAsia="宋体"/>
          <w:sz w:val="24"/>
        </w:rPr>
        <w:t>项目废水主要为</w:t>
      </w:r>
      <w:r>
        <w:rPr>
          <w:rFonts w:hint="eastAsia" w:eastAsia="宋体"/>
          <w:sz w:val="24"/>
        </w:rPr>
        <w:t>生产废水和</w:t>
      </w:r>
      <w:r>
        <w:rPr>
          <w:rFonts w:eastAsia="宋体"/>
          <w:sz w:val="24"/>
        </w:rPr>
        <w:t>生活污水</w:t>
      </w:r>
      <w:r>
        <w:rPr>
          <w:rFonts w:hint="eastAsia" w:eastAsia="宋体"/>
          <w:sz w:val="24"/>
        </w:rPr>
        <w:t>。</w:t>
      </w:r>
      <w:r>
        <w:rPr>
          <w:rFonts w:eastAsia="宋体"/>
          <w:sz w:val="24"/>
        </w:rPr>
        <w:t>生活污水经化粪池处理后排入市政污水管网，最终排入曹妃甸装备制造园区</w:t>
      </w:r>
      <w:r>
        <w:rPr>
          <w:rFonts w:hint="eastAsia" w:eastAsia="宋体"/>
          <w:sz w:val="24"/>
        </w:rPr>
        <w:t>污水处理站</w:t>
      </w:r>
      <w:r>
        <w:rPr>
          <w:rFonts w:eastAsia="宋体"/>
          <w:sz w:val="24"/>
        </w:rPr>
        <w:t>进一步处理</w:t>
      </w:r>
      <w:r>
        <w:rPr>
          <w:rFonts w:hint="eastAsia" w:eastAsia="宋体"/>
          <w:sz w:val="24"/>
        </w:rPr>
        <w:t>；生产废水经厂区内污水处理站处理后</w:t>
      </w:r>
      <w:r>
        <w:rPr>
          <w:rFonts w:eastAsia="宋体"/>
          <w:sz w:val="24"/>
        </w:rPr>
        <w:t>排入曹妃甸装备制造园区</w:t>
      </w:r>
      <w:r>
        <w:rPr>
          <w:rFonts w:hint="eastAsia" w:eastAsia="宋体"/>
          <w:sz w:val="24"/>
        </w:rPr>
        <w:t>污水处理站</w:t>
      </w:r>
      <w:r>
        <w:rPr>
          <w:rFonts w:eastAsia="宋体"/>
          <w:sz w:val="24"/>
        </w:rPr>
        <w:t>进一步处理。属于间接排放建设项目，根据《环境影响评价技术导则  地表水环境》（HJ2.3－2018）的相关规定，本项目地表水评价等级为三级B，可不进行水污染环境预测，主要对水污染控制和水环境影响减缓措施有效性、依托污水处理设施的环境可行性进行分析：</w:t>
      </w:r>
    </w:p>
    <w:p w14:paraId="5C672F54">
      <w:pPr>
        <w:spacing w:line="360" w:lineRule="auto"/>
        <w:ind w:firstLine="480" w:firstLineChars="200"/>
        <w:rPr>
          <w:rFonts w:ascii="Times New Roman"/>
          <w:sz w:val="24"/>
          <w:szCs w:val="24"/>
        </w:rPr>
      </w:pPr>
      <w:r>
        <w:rPr>
          <w:rFonts w:ascii="Times New Roman"/>
          <w:sz w:val="24"/>
          <w:szCs w:val="24"/>
        </w:rPr>
        <w:t>（1）</w:t>
      </w:r>
      <w:r>
        <w:rPr>
          <w:rFonts w:ascii="Times New Roman"/>
        </w:rPr>
        <w:t>水污染控制和水环境影响减缓措施有效性评价</w:t>
      </w:r>
    </w:p>
    <w:p w14:paraId="1A315050">
      <w:pPr>
        <w:autoSpaceDE w:val="0"/>
        <w:autoSpaceDN w:val="0"/>
        <w:adjustRightInd w:val="0"/>
        <w:snapToGrid w:val="0"/>
        <w:spacing w:line="360" w:lineRule="auto"/>
        <w:ind w:firstLine="480" w:firstLineChars="200"/>
        <w:rPr>
          <w:rFonts w:ascii="Times New Roman"/>
          <w:sz w:val="24"/>
          <w:szCs w:val="24"/>
        </w:rPr>
      </w:pPr>
      <w:r>
        <w:rPr>
          <w:rFonts w:ascii="Times New Roman"/>
          <w:bCs/>
          <w:sz w:val="24"/>
          <w:szCs w:val="24"/>
        </w:rPr>
        <w:t>项目废水主要为生产废水和生活废水，项目产生的职工生活污水</w:t>
      </w:r>
      <w:r>
        <w:rPr>
          <w:rFonts w:ascii="Times New Roman"/>
          <w:sz w:val="24"/>
          <w:szCs w:val="24"/>
        </w:rPr>
        <w:t>量按用水量的80%计，则生活废水（含食堂废水）量为32m</w:t>
      </w:r>
      <w:r>
        <w:rPr>
          <w:rFonts w:ascii="Times New Roman"/>
          <w:sz w:val="24"/>
          <w:szCs w:val="24"/>
          <w:vertAlign w:val="superscript"/>
        </w:rPr>
        <w:t>3</w:t>
      </w:r>
      <w:r>
        <w:rPr>
          <w:rFonts w:ascii="Times New Roman"/>
          <w:sz w:val="24"/>
          <w:szCs w:val="24"/>
        </w:rPr>
        <w:t>/d</w:t>
      </w:r>
      <w:r>
        <w:rPr>
          <w:rFonts w:ascii="Times New Roman"/>
          <w:kern w:val="0"/>
          <w:sz w:val="24"/>
          <w:szCs w:val="24"/>
        </w:rPr>
        <w:t>（9600m</w:t>
      </w:r>
      <w:r>
        <w:rPr>
          <w:rFonts w:ascii="Times New Roman"/>
          <w:kern w:val="0"/>
          <w:sz w:val="24"/>
          <w:szCs w:val="24"/>
          <w:vertAlign w:val="superscript"/>
        </w:rPr>
        <w:t>3</w:t>
      </w:r>
      <w:r>
        <w:rPr>
          <w:rFonts w:ascii="Times New Roman"/>
          <w:kern w:val="0"/>
          <w:sz w:val="24"/>
          <w:szCs w:val="24"/>
        </w:rPr>
        <w:t>/a）</w:t>
      </w:r>
      <w:r>
        <w:rPr>
          <w:rFonts w:ascii="Times New Roman"/>
          <w:sz w:val="24"/>
          <w:szCs w:val="24"/>
        </w:rPr>
        <w:t>，食堂废水采用隔油池预处理后，与日常生活污水一并入化粪池处理，</w:t>
      </w:r>
      <w:r>
        <w:rPr>
          <w:rFonts w:hint="eastAsia" w:ascii="Times New Roman"/>
          <w:sz w:val="24"/>
          <w:szCs w:val="24"/>
        </w:rPr>
        <w:t>后经</w:t>
      </w:r>
      <w:r>
        <w:rPr>
          <w:rFonts w:ascii="Times New Roman"/>
          <w:sz w:val="24"/>
          <w:szCs w:val="24"/>
        </w:rPr>
        <w:t>园区污水管网</w:t>
      </w:r>
      <w:r>
        <w:rPr>
          <w:rFonts w:hint="eastAsia" w:ascii="Times New Roman"/>
          <w:sz w:val="24"/>
          <w:szCs w:val="24"/>
        </w:rPr>
        <w:t>排</w:t>
      </w:r>
      <w:r>
        <w:rPr>
          <w:rFonts w:ascii="Times New Roman"/>
          <w:sz w:val="24"/>
          <w:szCs w:val="24"/>
        </w:rPr>
        <w:t>入园区污水处理厂进一步处理。</w:t>
      </w:r>
    </w:p>
    <w:p w14:paraId="1C2CB138">
      <w:pPr>
        <w:autoSpaceDE w:val="0"/>
        <w:autoSpaceDN w:val="0"/>
        <w:adjustRightInd w:val="0"/>
        <w:snapToGrid w:val="0"/>
        <w:spacing w:line="360" w:lineRule="auto"/>
        <w:ind w:firstLine="500" w:firstLineChars="200"/>
        <w:rPr>
          <w:rFonts w:ascii="Times New Roman"/>
          <w:bCs/>
          <w:sz w:val="24"/>
          <w:szCs w:val="24"/>
        </w:rPr>
      </w:pPr>
      <w:r>
        <w:rPr>
          <w:rFonts w:hint="eastAsia"/>
        </w:rPr>
        <w:t>水洗</w:t>
      </w:r>
      <w:r>
        <w:rPr>
          <w:rFonts w:ascii="Times New Roman"/>
          <w:kern w:val="0"/>
          <w:sz w:val="24"/>
          <w:szCs w:val="24"/>
        </w:rPr>
        <w:t>（</w:t>
      </w:r>
      <w:r>
        <w:rPr>
          <w:rFonts w:hint="eastAsia" w:ascii="Times New Roman"/>
          <w:kern w:val="0"/>
          <w:sz w:val="24"/>
          <w:szCs w:val="24"/>
        </w:rPr>
        <w:t>140.6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、纯水洗2</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、电泳槽清洗</w:t>
      </w:r>
      <w:r>
        <w:rPr>
          <w:rFonts w:ascii="Times New Roman"/>
          <w:kern w:val="0"/>
          <w:sz w:val="24"/>
          <w:szCs w:val="24"/>
        </w:rPr>
        <w:t>（</w:t>
      </w:r>
      <w:r>
        <w:rPr>
          <w:rFonts w:hint="eastAsia" w:ascii="Times New Roman"/>
          <w:kern w:val="0"/>
          <w:sz w:val="24"/>
          <w:szCs w:val="24"/>
        </w:rPr>
        <w:t>12.744</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废水先经预处理反应斜管沉淀槽处理后，热水洗</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与预脱脂、脱脂、</w:t>
      </w:r>
      <w:r>
        <w:rPr>
          <w:rFonts w:hint="eastAsia" w:ascii="Times New Roman"/>
          <w:bCs/>
          <w:sz w:val="24"/>
          <w:szCs w:val="24"/>
        </w:rPr>
        <w:t>硅烷化</w:t>
      </w:r>
      <w:r>
        <w:rPr>
          <w:rFonts w:ascii="Times New Roman"/>
          <w:bCs/>
          <w:sz w:val="24"/>
          <w:szCs w:val="24"/>
        </w:rPr>
        <w:t>槽体清洗废水</w:t>
      </w:r>
      <w:r>
        <w:rPr>
          <w:rFonts w:ascii="Times New Roman"/>
          <w:kern w:val="0"/>
          <w:sz w:val="24"/>
          <w:szCs w:val="24"/>
        </w:rPr>
        <w:t>（</w:t>
      </w:r>
      <w:r>
        <w:rPr>
          <w:rFonts w:hint="eastAsia" w:ascii="Times New Roman"/>
          <w:kern w:val="0"/>
          <w:sz w:val="24"/>
          <w:szCs w:val="24"/>
        </w:rPr>
        <w:t>38.232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一同进入污水处理站“一体化气浮槽+综合反应斜管沉淀槽+综合芬顿反应槽+多介质过滤器+活性炭过滤器”系统进行处理，处理达标后由园区污水管网，入园区污水处理厂进一步处理。</w:t>
      </w:r>
    </w:p>
    <w:p w14:paraId="0F3C53B5">
      <w:pPr>
        <w:spacing w:line="360" w:lineRule="auto"/>
        <w:ind w:firstLine="480" w:firstLineChars="200"/>
        <w:rPr>
          <w:rFonts w:ascii="Times New Roman"/>
          <w:bCs/>
          <w:sz w:val="24"/>
          <w:szCs w:val="24"/>
        </w:rPr>
        <w:sectPr>
          <w:headerReference r:id="rId16" w:type="first"/>
          <w:footerReference r:id="rId17" w:type="even"/>
          <w:pgSz w:w="11906" w:h="16838"/>
          <w:pgMar w:top="1440" w:right="1800" w:bottom="1440" w:left="1800" w:header="1134" w:footer="1134" w:gutter="0"/>
          <w:cols w:space="425" w:num="1"/>
          <w:docGrid w:type="lines" w:linePitch="340" w:charSpace="0"/>
        </w:sectPr>
      </w:pPr>
      <w:r>
        <w:rPr>
          <w:rFonts w:ascii="Times New Roman"/>
          <w:bCs/>
          <w:sz w:val="24"/>
          <w:szCs w:val="24"/>
        </w:rPr>
        <w:t>纯水制备废水</w:t>
      </w:r>
      <w:r>
        <w:rPr>
          <w:rFonts w:hint="eastAsia" w:ascii="Times New Roman"/>
          <w:bCs/>
          <w:sz w:val="24"/>
          <w:szCs w:val="24"/>
        </w:rPr>
        <w:t>(</w:t>
      </w:r>
      <w:r>
        <w:rPr>
          <w:rFonts w:hint="eastAsia" w:ascii="Times New Roman"/>
          <w:sz w:val="24"/>
          <w:szCs w:val="24"/>
        </w:rPr>
        <w:t>8145.49</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bCs/>
          <w:sz w:val="24"/>
          <w:szCs w:val="24"/>
        </w:rPr>
        <w:t>，直接由园区污水管网，入园区污水处理厂处理</w:t>
      </w:r>
      <w:r>
        <w:rPr>
          <w:rFonts w:hint="eastAsia" w:ascii="Times New Roman"/>
          <w:bCs/>
          <w:sz w:val="24"/>
          <w:szCs w:val="24"/>
        </w:rPr>
        <w:t>。</w:t>
      </w:r>
    </w:p>
    <w:p w14:paraId="0CC1D999">
      <w:pPr>
        <w:adjustRightInd w:val="0"/>
        <w:jc w:val="center"/>
        <w:rPr>
          <w:rFonts w:ascii="Times New Roman"/>
          <w:b/>
          <w:bCs/>
          <w:sz w:val="24"/>
          <w:szCs w:val="24"/>
        </w:rPr>
      </w:pPr>
      <w:r>
        <w:rPr>
          <w:rFonts w:ascii="Times New Roman"/>
          <w:b/>
          <w:bCs/>
          <w:sz w:val="24"/>
          <w:szCs w:val="24"/>
        </w:rPr>
        <w:t>表5.2</w:t>
      </w:r>
      <w:r>
        <w:rPr>
          <w:rFonts w:hint="eastAsia" w:ascii="Times New Roman"/>
          <w:b/>
          <w:bCs/>
          <w:sz w:val="24"/>
          <w:szCs w:val="24"/>
        </w:rPr>
        <w:t>.2</w:t>
      </w:r>
      <w:r>
        <w:rPr>
          <w:rFonts w:ascii="Times New Roman"/>
          <w:b/>
          <w:bCs/>
          <w:sz w:val="24"/>
          <w:szCs w:val="24"/>
        </w:rPr>
        <w:t>-1  废水主要污染物及预计排放情况</w:t>
      </w:r>
    </w:p>
    <w:tbl>
      <w:tblPr>
        <w:tblStyle w:val="8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83"/>
        <w:gridCol w:w="1234"/>
        <w:gridCol w:w="1254"/>
        <w:gridCol w:w="1242"/>
        <w:gridCol w:w="1310"/>
        <w:gridCol w:w="1225"/>
        <w:gridCol w:w="1205"/>
        <w:gridCol w:w="1132"/>
        <w:gridCol w:w="1129"/>
        <w:gridCol w:w="1154"/>
        <w:gridCol w:w="990"/>
      </w:tblGrid>
      <w:tr w14:paraId="6812A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1767987E">
            <w:pPr>
              <w:jc w:val="center"/>
              <w:rPr>
                <w:rFonts w:ascii="Times New Roman"/>
                <w:b/>
                <w:bCs/>
                <w:sz w:val="21"/>
                <w:szCs w:val="21"/>
              </w:rPr>
            </w:pPr>
            <w:r>
              <w:rPr>
                <w:rFonts w:ascii="Times New Roman"/>
                <w:b/>
                <w:bCs/>
                <w:sz w:val="21"/>
                <w:szCs w:val="21"/>
              </w:rPr>
              <w:t>项目</w:t>
            </w:r>
          </w:p>
        </w:tc>
        <w:tc>
          <w:tcPr>
            <w:tcW w:w="435" w:type="pct"/>
            <w:vAlign w:val="center"/>
          </w:tcPr>
          <w:p w14:paraId="523447F0">
            <w:pPr>
              <w:jc w:val="center"/>
              <w:rPr>
                <w:rFonts w:ascii="Times New Roman"/>
                <w:b/>
                <w:bCs/>
                <w:sz w:val="21"/>
                <w:szCs w:val="21"/>
              </w:rPr>
            </w:pPr>
            <w:r>
              <w:rPr>
                <w:rFonts w:ascii="Times New Roman"/>
                <w:b/>
                <w:bCs/>
                <w:sz w:val="21"/>
                <w:szCs w:val="21"/>
              </w:rPr>
              <w:t>水量（m</w:t>
            </w:r>
            <w:r>
              <w:rPr>
                <w:rFonts w:ascii="Times New Roman"/>
                <w:b/>
                <w:bCs/>
                <w:sz w:val="21"/>
                <w:szCs w:val="21"/>
                <w:vertAlign w:val="superscript"/>
              </w:rPr>
              <w:t>3</w:t>
            </w:r>
            <w:r>
              <w:rPr>
                <w:rFonts w:ascii="Times New Roman"/>
                <w:b/>
                <w:bCs/>
                <w:sz w:val="21"/>
                <w:szCs w:val="21"/>
              </w:rPr>
              <w:t>/a）</w:t>
            </w:r>
          </w:p>
        </w:tc>
        <w:tc>
          <w:tcPr>
            <w:tcW w:w="442" w:type="pct"/>
            <w:vAlign w:val="center"/>
          </w:tcPr>
          <w:p w14:paraId="04372B01">
            <w:pPr>
              <w:jc w:val="center"/>
              <w:rPr>
                <w:rFonts w:ascii="Times New Roman"/>
                <w:b/>
                <w:bCs/>
                <w:sz w:val="21"/>
                <w:szCs w:val="21"/>
              </w:rPr>
            </w:pPr>
            <w:r>
              <w:rPr>
                <w:rFonts w:ascii="Times New Roman"/>
                <w:b/>
                <w:bCs/>
                <w:sz w:val="21"/>
                <w:szCs w:val="21"/>
              </w:rPr>
              <w:t>pH</w:t>
            </w:r>
          </w:p>
          <w:p w14:paraId="4950D13C">
            <w:pPr>
              <w:jc w:val="center"/>
              <w:rPr>
                <w:rFonts w:ascii="Times New Roman"/>
                <w:b/>
                <w:bCs/>
                <w:sz w:val="21"/>
                <w:szCs w:val="21"/>
              </w:rPr>
            </w:pPr>
            <w:r>
              <w:rPr>
                <w:rFonts w:ascii="Times New Roman"/>
                <w:b/>
                <w:bCs/>
                <w:sz w:val="21"/>
                <w:szCs w:val="21"/>
              </w:rPr>
              <w:t>（无量纲）</w:t>
            </w:r>
          </w:p>
        </w:tc>
        <w:tc>
          <w:tcPr>
            <w:tcW w:w="438" w:type="pct"/>
            <w:vAlign w:val="center"/>
          </w:tcPr>
          <w:p w14:paraId="5B91864E">
            <w:pPr>
              <w:jc w:val="center"/>
              <w:rPr>
                <w:rFonts w:ascii="Times New Roman"/>
                <w:b/>
                <w:bCs/>
                <w:sz w:val="21"/>
                <w:szCs w:val="21"/>
              </w:rPr>
            </w:pPr>
            <w:r>
              <w:rPr>
                <w:rFonts w:ascii="Times New Roman"/>
                <w:b/>
                <w:bCs/>
                <w:sz w:val="21"/>
                <w:szCs w:val="21"/>
              </w:rPr>
              <w:t>COD</w:t>
            </w:r>
          </w:p>
        </w:tc>
        <w:tc>
          <w:tcPr>
            <w:tcW w:w="462" w:type="pct"/>
            <w:vAlign w:val="center"/>
          </w:tcPr>
          <w:p w14:paraId="1002E82A">
            <w:pPr>
              <w:jc w:val="center"/>
              <w:rPr>
                <w:rFonts w:ascii="Times New Roman"/>
                <w:b/>
                <w:bCs/>
                <w:sz w:val="21"/>
                <w:szCs w:val="21"/>
              </w:rPr>
            </w:pPr>
            <w:r>
              <w:rPr>
                <w:rFonts w:ascii="Times New Roman"/>
                <w:b/>
                <w:bCs/>
                <w:sz w:val="21"/>
                <w:szCs w:val="21"/>
              </w:rPr>
              <w:t>BOD</w:t>
            </w:r>
            <w:r>
              <w:rPr>
                <w:rFonts w:ascii="Times New Roman"/>
                <w:b/>
                <w:bCs/>
                <w:sz w:val="21"/>
                <w:szCs w:val="21"/>
                <w:vertAlign w:val="subscript"/>
              </w:rPr>
              <w:t>5</w:t>
            </w:r>
          </w:p>
        </w:tc>
        <w:tc>
          <w:tcPr>
            <w:tcW w:w="432" w:type="pct"/>
            <w:vAlign w:val="center"/>
          </w:tcPr>
          <w:p w14:paraId="44674833">
            <w:pPr>
              <w:jc w:val="center"/>
              <w:rPr>
                <w:rFonts w:ascii="Times New Roman"/>
                <w:b/>
                <w:bCs/>
                <w:sz w:val="21"/>
                <w:szCs w:val="21"/>
              </w:rPr>
            </w:pPr>
            <w:r>
              <w:rPr>
                <w:rFonts w:ascii="Times New Roman"/>
                <w:b/>
                <w:bCs/>
                <w:sz w:val="21"/>
                <w:szCs w:val="21"/>
              </w:rPr>
              <w:t>SS</w:t>
            </w:r>
          </w:p>
        </w:tc>
        <w:tc>
          <w:tcPr>
            <w:tcW w:w="425" w:type="pct"/>
            <w:vAlign w:val="center"/>
          </w:tcPr>
          <w:p w14:paraId="43F91540">
            <w:pPr>
              <w:jc w:val="center"/>
              <w:rPr>
                <w:rFonts w:ascii="Times New Roman"/>
                <w:b/>
                <w:kern w:val="0"/>
                <w:sz w:val="21"/>
                <w:szCs w:val="21"/>
              </w:rPr>
            </w:pPr>
            <w:r>
              <w:rPr>
                <w:rFonts w:ascii="Times New Roman"/>
                <w:b/>
                <w:kern w:val="0"/>
                <w:sz w:val="21"/>
                <w:szCs w:val="21"/>
              </w:rPr>
              <w:t>NH</w:t>
            </w:r>
            <w:r>
              <w:rPr>
                <w:rFonts w:ascii="Times New Roman"/>
                <w:b/>
                <w:kern w:val="0"/>
                <w:sz w:val="21"/>
                <w:szCs w:val="21"/>
                <w:vertAlign w:val="subscript"/>
              </w:rPr>
              <w:t>3</w:t>
            </w:r>
            <w:r>
              <w:rPr>
                <w:rFonts w:ascii="Times New Roman"/>
                <w:b/>
                <w:kern w:val="0"/>
                <w:sz w:val="21"/>
                <w:szCs w:val="21"/>
              </w:rPr>
              <w:t>-N</w:t>
            </w:r>
          </w:p>
        </w:tc>
        <w:tc>
          <w:tcPr>
            <w:tcW w:w="399" w:type="pct"/>
            <w:vAlign w:val="center"/>
          </w:tcPr>
          <w:p w14:paraId="27E144DC">
            <w:pPr>
              <w:jc w:val="center"/>
              <w:rPr>
                <w:rFonts w:ascii="Times New Roman"/>
                <w:b/>
                <w:bCs/>
                <w:sz w:val="21"/>
                <w:szCs w:val="21"/>
              </w:rPr>
            </w:pPr>
            <w:r>
              <w:rPr>
                <w:rFonts w:ascii="Times New Roman"/>
                <w:b/>
                <w:kern w:val="0"/>
                <w:sz w:val="21"/>
                <w:szCs w:val="21"/>
              </w:rPr>
              <w:t>TP</w:t>
            </w:r>
          </w:p>
        </w:tc>
        <w:tc>
          <w:tcPr>
            <w:tcW w:w="398" w:type="pct"/>
            <w:vAlign w:val="center"/>
          </w:tcPr>
          <w:p w14:paraId="392D11DC">
            <w:pPr>
              <w:jc w:val="center"/>
              <w:rPr>
                <w:rFonts w:ascii="Times New Roman"/>
                <w:b/>
                <w:bCs/>
                <w:sz w:val="21"/>
                <w:szCs w:val="21"/>
              </w:rPr>
            </w:pPr>
            <w:r>
              <w:rPr>
                <w:rFonts w:ascii="Times New Roman"/>
                <w:b/>
                <w:kern w:val="0"/>
                <w:sz w:val="21"/>
                <w:szCs w:val="21"/>
              </w:rPr>
              <w:t>TN</w:t>
            </w:r>
          </w:p>
        </w:tc>
        <w:tc>
          <w:tcPr>
            <w:tcW w:w="407" w:type="pct"/>
            <w:vAlign w:val="center"/>
          </w:tcPr>
          <w:p w14:paraId="22C63B4D">
            <w:pPr>
              <w:jc w:val="center"/>
              <w:rPr>
                <w:rFonts w:ascii="Times New Roman"/>
                <w:b/>
                <w:kern w:val="0"/>
                <w:sz w:val="21"/>
                <w:szCs w:val="21"/>
              </w:rPr>
            </w:pPr>
            <w:r>
              <w:rPr>
                <w:rFonts w:ascii="Times New Roman"/>
                <w:b/>
                <w:kern w:val="0"/>
                <w:sz w:val="21"/>
                <w:szCs w:val="21"/>
              </w:rPr>
              <w:t>动植物油</w:t>
            </w:r>
          </w:p>
        </w:tc>
        <w:tc>
          <w:tcPr>
            <w:tcW w:w="349" w:type="pct"/>
            <w:vAlign w:val="center"/>
          </w:tcPr>
          <w:p w14:paraId="26E5071E">
            <w:pPr>
              <w:jc w:val="center"/>
              <w:rPr>
                <w:rFonts w:ascii="Times New Roman"/>
                <w:b/>
                <w:kern w:val="0"/>
                <w:sz w:val="21"/>
                <w:szCs w:val="21"/>
              </w:rPr>
            </w:pPr>
            <w:r>
              <w:rPr>
                <w:rFonts w:hint="eastAsia" w:ascii="Times New Roman"/>
                <w:b/>
                <w:kern w:val="0"/>
                <w:sz w:val="21"/>
                <w:szCs w:val="21"/>
              </w:rPr>
              <w:t>石油类</w:t>
            </w:r>
          </w:p>
        </w:tc>
      </w:tr>
      <w:tr w14:paraId="5B107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5641B601">
            <w:pPr>
              <w:jc w:val="center"/>
              <w:rPr>
                <w:rFonts w:ascii="Times New Roman"/>
                <w:sz w:val="21"/>
                <w:szCs w:val="21"/>
              </w:rPr>
            </w:pPr>
            <w:r>
              <w:rPr>
                <w:rFonts w:hint="eastAsia" w:ascii="Times New Roman"/>
                <w:sz w:val="21"/>
                <w:szCs w:val="21"/>
              </w:rPr>
              <w:t>电泳生产线</w:t>
            </w:r>
            <w:r>
              <w:rPr>
                <w:rFonts w:ascii="Times New Roman"/>
                <w:sz w:val="21"/>
                <w:szCs w:val="21"/>
              </w:rPr>
              <w:t>废水</w:t>
            </w:r>
          </w:p>
        </w:tc>
        <w:tc>
          <w:tcPr>
            <w:tcW w:w="435" w:type="pct"/>
            <w:shd w:val="clear" w:color="auto" w:fill="auto"/>
            <w:vAlign w:val="center"/>
          </w:tcPr>
          <w:p w14:paraId="2C7E8161">
            <w:pPr>
              <w:jc w:val="center"/>
              <w:rPr>
                <w:rFonts w:ascii="Times New Roman"/>
                <w:sz w:val="21"/>
                <w:szCs w:val="21"/>
              </w:rPr>
            </w:pPr>
            <w:r>
              <w:rPr>
                <w:rFonts w:hint="eastAsia" w:ascii="Times New Roman"/>
                <w:sz w:val="21"/>
                <w:szCs w:val="21"/>
              </w:rPr>
              <w:t>20351.576</w:t>
            </w:r>
          </w:p>
        </w:tc>
        <w:tc>
          <w:tcPr>
            <w:tcW w:w="442" w:type="pct"/>
            <w:vAlign w:val="center"/>
          </w:tcPr>
          <w:p w14:paraId="4B584F15">
            <w:pPr>
              <w:jc w:val="center"/>
              <w:rPr>
                <w:rFonts w:ascii="Times New Roman"/>
                <w:sz w:val="21"/>
                <w:szCs w:val="21"/>
              </w:rPr>
            </w:pPr>
            <w:r>
              <w:rPr>
                <w:rFonts w:hint="eastAsia" w:ascii="Times New Roman"/>
                <w:sz w:val="21"/>
                <w:szCs w:val="21"/>
              </w:rPr>
              <w:t>10</w:t>
            </w:r>
          </w:p>
        </w:tc>
        <w:tc>
          <w:tcPr>
            <w:tcW w:w="438" w:type="pct"/>
            <w:vAlign w:val="center"/>
          </w:tcPr>
          <w:p w14:paraId="09AB8FCD">
            <w:pPr>
              <w:jc w:val="center"/>
              <w:rPr>
                <w:rFonts w:ascii="Times New Roman"/>
                <w:sz w:val="21"/>
                <w:szCs w:val="21"/>
              </w:rPr>
            </w:pPr>
            <w:r>
              <w:rPr>
                <w:rFonts w:hint="eastAsia" w:ascii="Times New Roman"/>
                <w:sz w:val="21"/>
                <w:szCs w:val="21"/>
              </w:rPr>
              <w:t>6</w:t>
            </w:r>
            <w:r>
              <w:rPr>
                <w:rFonts w:ascii="Times New Roman"/>
                <w:sz w:val="21"/>
                <w:szCs w:val="21"/>
              </w:rPr>
              <w:t>00</w:t>
            </w:r>
          </w:p>
        </w:tc>
        <w:tc>
          <w:tcPr>
            <w:tcW w:w="462" w:type="pct"/>
            <w:vAlign w:val="center"/>
          </w:tcPr>
          <w:p w14:paraId="4679284E">
            <w:pPr>
              <w:jc w:val="center"/>
              <w:rPr>
                <w:rFonts w:ascii="Times New Roman"/>
                <w:sz w:val="21"/>
                <w:szCs w:val="21"/>
              </w:rPr>
            </w:pPr>
            <w:r>
              <w:rPr>
                <w:rFonts w:hint="eastAsia" w:ascii="Times New Roman"/>
                <w:sz w:val="21"/>
                <w:szCs w:val="21"/>
              </w:rPr>
              <w:t>/</w:t>
            </w:r>
          </w:p>
        </w:tc>
        <w:tc>
          <w:tcPr>
            <w:tcW w:w="432" w:type="pct"/>
            <w:vAlign w:val="center"/>
          </w:tcPr>
          <w:p w14:paraId="78CFA931">
            <w:pPr>
              <w:jc w:val="center"/>
              <w:rPr>
                <w:rFonts w:ascii="Times New Roman"/>
                <w:sz w:val="21"/>
                <w:szCs w:val="21"/>
              </w:rPr>
            </w:pPr>
            <w:r>
              <w:rPr>
                <w:rFonts w:ascii="Times New Roman"/>
                <w:sz w:val="21"/>
                <w:szCs w:val="21"/>
              </w:rPr>
              <w:t>400</w:t>
            </w:r>
          </w:p>
        </w:tc>
        <w:tc>
          <w:tcPr>
            <w:tcW w:w="425" w:type="pct"/>
            <w:vAlign w:val="center"/>
          </w:tcPr>
          <w:p w14:paraId="4FADC4BF">
            <w:pPr>
              <w:jc w:val="center"/>
              <w:rPr>
                <w:rFonts w:ascii="Times New Roman"/>
                <w:sz w:val="21"/>
                <w:szCs w:val="21"/>
              </w:rPr>
            </w:pPr>
            <w:r>
              <w:rPr>
                <w:rFonts w:hint="eastAsia" w:ascii="Times New Roman"/>
                <w:sz w:val="21"/>
                <w:szCs w:val="21"/>
              </w:rPr>
              <w:t>/</w:t>
            </w:r>
          </w:p>
        </w:tc>
        <w:tc>
          <w:tcPr>
            <w:tcW w:w="399" w:type="pct"/>
            <w:vAlign w:val="center"/>
          </w:tcPr>
          <w:p w14:paraId="62A33414">
            <w:pPr>
              <w:jc w:val="center"/>
              <w:rPr>
                <w:rFonts w:ascii="Times New Roman"/>
                <w:sz w:val="21"/>
                <w:szCs w:val="21"/>
              </w:rPr>
            </w:pPr>
            <w:r>
              <w:rPr>
                <w:rFonts w:hint="eastAsia" w:ascii="Times New Roman"/>
                <w:sz w:val="21"/>
                <w:szCs w:val="21"/>
              </w:rPr>
              <w:t>10</w:t>
            </w:r>
          </w:p>
        </w:tc>
        <w:tc>
          <w:tcPr>
            <w:tcW w:w="398" w:type="pct"/>
            <w:vAlign w:val="center"/>
          </w:tcPr>
          <w:p w14:paraId="5EB1374B">
            <w:pPr>
              <w:jc w:val="center"/>
              <w:rPr>
                <w:rFonts w:ascii="Times New Roman"/>
                <w:sz w:val="21"/>
                <w:szCs w:val="21"/>
              </w:rPr>
            </w:pPr>
            <w:r>
              <w:rPr>
                <w:rFonts w:hint="eastAsia" w:ascii="Times New Roman"/>
                <w:sz w:val="21"/>
                <w:szCs w:val="21"/>
              </w:rPr>
              <w:t>/</w:t>
            </w:r>
          </w:p>
        </w:tc>
        <w:tc>
          <w:tcPr>
            <w:tcW w:w="407" w:type="pct"/>
            <w:vAlign w:val="center"/>
          </w:tcPr>
          <w:p w14:paraId="734C2C8A">
            <w:pPr>
              <w:jc w:val="center"/>
              <w:rPr>
                <w:rFonts w:ascii="Times New Roman"/>
                <w:sz w:val="21"/>
                <w:szCs w:val="21"/>
              </w:rPr>
            </w:pPr>
            <w:r>
              <w:rPr>
                <w:rFonts w:ascii="Times New Roman"/>
                <w:sz w:val="21"/>
                <w:szCs w:val="21"/>
              </w:rPr>
              <w:t>/</w:t>
            </w:r>
          </w:p>
        </w:tc>
        <w:tc>
          <w:tcPr>
            <w:tcW w:w="349" w:type="pct"/>
            <w:vAlign w:val="center"/>
          </w:tcPr>
          <w:p w14:paraId="029FA2C6">
            <w:pPr>
              <w:jc w:val="center"/>
              <w:rPr>
                <w:rFonts w:ascii="Times New Roman"/>
                <w:sz w:val="21"/>
                <w:szCs w:val="21"/>
              </w:rPr>
            </w:pPr>
            <w:r>
              <w:rPr>
                <w:rFonts w:hint="eastAsia" w:ascii="Times New Roman"/>
                <w:sz w:val="21"/>
                <w:szCs w:val="21"/>
              </w:rPr>
              <w:t>15</w:t>
            </w:r>
          </w:p>
        </w:tc>
      </w:tr>
      <w:tr w14:paraId="7640C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56A6B2C0">
            <w:pPr>
              <w:jc w:val="center"/>
              <w:rPr>
                <w:rFonts w:ascii="Times New Roman"/>
                <w:sz w:val="21"/>
                <w:szCs w:val="21"/>
              </w:rPr>
            </w:pPr>
            <w:r>
              <w:rPr>
                <w:rFonts w:hint="eastAsia" w:ascii="Times New Roman"/>
                <w:sz w:val="21"/>
                <w:szCs w:val="21"/>
              </w:rPr>
              <w:t>车间地面清洁</w:t>
            </w:r>
            <w:r>
              <w:rPr>
                <w:rFonts w:ascii="Times New Roman"/>
                <w:sz w:val="21"/>
                <w:szCs w:val="21"/>
              </w:rPr>
              <w:t>废水</w:t>
            </w:r>
          </w:p>
        </w:tc>
        <w:tc>
          <w:tcPr>
            <w:tcW w:w="435" w:type="pct"/>
            <w:shd w:val="clear" w:color="auto" w:fill="auto"/>
            <w:vAlign w:val="center"/>
          </w:tcPr>
          <w:p w14:paraId="3AA22A44">
            <w:pPr>
              <w:jc w:val="center"/>
              <w:rPr>
                <w:rFonts w:ascii="Times New Roman"/>
                <w:sz w:val="21"/>
                <w:szCs w:val="21"/>
              </w:rPr>
            </w:pPr>
            <w:r>
              <w:rPr>
                <w:rFonts w:hint="eastAsia" w:ascii="Times New Roman"/>
                <w:sz w:val="21"/>
                <w:szCs w:val="21"/>
              </w:rPr>
              <w:t>720</w:t>
            </w:r>
          </w:p>
        </w:tc>
        <w:tc>
          <w:tcPr>
            <w:tcW w:w="442" w:type="pct"/>
            <w:vAlign w:val="center"/>
          </w:tcPr>
          <w:p w14:paraId="6C040EA0">
            <w:pPr>
              <w:jc w:val="center"/>
              <w:rPr>
                <w:rFonts w:ascii="Times New Roman"/>
                <w:sz w:val="21"/>
                <w:szCs w:val="21"/>
              </w:rPr>
            </w:pPr>
            <w:r>
              <w:rPr>
                <w:rFonts w:ascii="Times New Roman"/>
                <w:sz w:val="21"/>
                <w:szCs w:val="21"/>
              </w:rPr>
              <w:t>6~9</w:t>
            </w:r>
          </w:p>
        </w:tc>
        <w:tc>
          <w:tcPr>
            <w:tcW w:w="438" w:type="pct"/>
            <w:vAlign w:val="center"/>
          </w:tcPr>
          <w:p w14:paraId="41D1C699">
            <w:pPr>
              <w:jc w:val="center"/>
              <w:rPr>
                <w:rFonts w:ascii="Times New Roman"/>
                <w:sz w:val="21"/>
                <w:szCs w:val="21"/>
              </w:rPr>
            </w:pPr>
            <w:r>
              <w:rPr>
                <w:rFonts w:hint="eastAsia" w:ascii="Times New Roman"/>
                <w:sz w:val="21"/>
                <w:szCs w:val="21"/>
              </w:rPr>
              <w:t>200</w:t>
            </w:r>
          </w:p>
        </w:tc>
        <w:tc>
          <w:tcPr>
            <w:tcW w:w="462" w:type="pct"/>
            <w:vAlign w:val="center"/>
          </w:tcPr>
          <w:p w14:paraId="1A8007B8">
            <w:pPr>
              <w:jc w:val="center"/>
              <w:rPr>
                <w:rFonts w:ascii="Times New Roman"/>
                <w:sz w:val="21"/>
                <w:szCs w:val="21"/>
              </w:rPr>
            </w:pPr>
            <w:r>
              <w:rPr>
                <w:rFonts w:hint="eastAsia" w:ascii="Times New Roman"/>
                <w:sz w:val="21"/>
                <w:szCs w:val="21"/>
              </w:rPr>
              <w:t>/</w:t>
            </w:r>
          </w:p>
        </w:tc>
        <w:tc>
          <w:tcPr>
            <w:tcW w:w="432" w:type="pct"/>
            <w:vAlign w:val="center"/>
          </w:tcPr>
          <w:p w14:paraId="406748EF">
            <w:pPr>
              <w:jc w:val="center"/>
              <w:rPr>
                <w:rFonts w:ascii="Times New Roman"/>
                <w:sz w:val="21"/>
                <w:szCs w:val="21"/>
              </w:rPr>
            </w:pPr>
            <w:r>
              <w:rPr>
                <w:rFonts w:hint="eastAsia" w:ascii="Times New Roman"/>
                <w:sz w:val="21"/>
                <w:szCs w:val="21"/>
              </w:rPr>
              <w:t>400</w:t>
            </w:r>
          </w:p>
        </w:tc>
        <w:tc>
          <w:tcPr>
            <w:tcW w:w="425" w:type="pct"/>
            <w:vAlign w:val="center"/>
          </w:tcPr>
          <w:p w14:paraId="03122AA6">
            <w:pPr>
              <w:jc w:val="center"/>
              <w:rPr>
                <w:rFonts w:ascii="Times New Roman"/>
                <w:sz w:val="21"/>
                <w:szCs w:val="21"/>
              </w:rPr>
            </w:pPr>
            <w:r>
              <w:rPr>
                <w:rFonts w:hint="eastAsia" w:ascii="Times New Roman"/>
                <w:sz w:val="21"/>
                <w:szCs w:val="21"/>
              </w:rPr>
              <w:t>/</w:t>
            </w:r>
          </w:p>
        </w:tc>
        <w:tc>
          <w:tcPr>
            <w:tcW w:w="399" w:type="pct"/>
            <w:vAlign w:val="center"/>
          </w:tcPr>
          <w:p w14:paraId="02421B67">
            <w:pPr>
              <w:jc w:val="center"/>
              <w:rPr>
                <w:rFonts w:ascii="Times New Roman"/>
                <w:sz w:val="21"/>
                <w:szCs w:val="21"/>
              </w:rPr>
            </w:pPr>
            <w:r>
              <w:rPr>
                <w:rFonts w:hint="eastAsia" w:ascii="Times New Roman"/>
                <w:sz w:val="21"/>
                <w:szCs w:val="21"/>
              </w:rPr>
              <w:t>/</w:t>
            </w:r>
          </w:p>
        </w:tc>
        <w:tc>
          <w:tcPr>
            <w:tcW w:w="398" w:type="pct"/>
            <w:vAlign w:val="center"/>
          </w:tcPr>
          <w:p w14:paraId="6D92345D">
            <w:pPr>
              <w:jc w:val="center"/>
              <w:rPr>
                <w:rFonts w:ascii="Times New Roman"/>
                <w:sz w:val="21"/>
                <w:szCs w:val="21"/>
              </w:rPr>
            </w:pPr>
            <w:r>
              <w:rPr>
                <w:rFonts w:hint="eastAsia" w:ascii="Times New Roman"/>
                <w:sz w:val="21"/>
                <w:szCs w:val="21"/>
              </w:rPr>
              <w:t>/</w:t>
            </w:r>
          </w:p>
        </w:tc>
        <w:tc>
          <w:tcPr>
            <w:tcW w:w="407" w:type="pct"/>
            <w:vAlign w:val="center"/>
          </w:tcPr>
          <w:p w14:paraId="7FC4C91F">
            <w:pPr>
              <w:jc w:val="center"/>
              <w:rPr>
                <w:rFonts w:ascii="Times New Roman"/>
                <w:sz w:val="21"/>
                <w:szCs w:val="21"/>
              </w:rPr>
            </w:pPr>
            <w:r>
              <w:rPr>
                <w:rFonts w:hint="eastAsia" w:ascii="Times New Roman"/>
                <w:sz w:val="21"/>
                <w:szCs w:val="21"/>
              </w:rPr>
              <w:t>/</w:t>
            </w:r>
          </w:p>
        </w:tc>
        <w:tc>
          <w:tcPr>
            <w:tcW w:w="349" w:type="pct"/>
            <w:vAlign w:val="center"/>
          </w:tcPr>
          <w:p w14:paraId="768C0988">
            <w:pPr>
              <w:jc w:val="center"/>
              <w:rPr>
                <w:rFonts w:ascii="Times New Roman"/>
                <w:sz w:val="21"/>
                <w:szCs w:val="21"/>
              </w:rPr>
            </w:pPr>
            <w:r>
              <w:rPr>
                <w:rFonts w:hint="eastAsia" w:ascii="Times New Roman"/>
                <w:sz w:val="21"/>
                <w:szCs w:val="21"/>
              </w:rPr>
              <w:t>/</w:t>
            </w:r>
          </w:p>
        </w:tc>
      </w:tr>
      <w:tr w14:paraId="714C1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14:paraId="6643B3FA">
            <w:pPr>
              <w:jc w:val="center"/>
              <w:rPr>
                <w:rFonts w:ascii="Times New Roman"/>
                <w:sz w:val="21"/>
                <w:szCs w:val="21"/>
              </w:rPr>
            </w:pPr>
            <w:r>
              <w:rPr>
                <w:rFonts w:ascii="Times New Roman"/>
                <w:sz w:val="21"/>
                <w:szCs w:val="21"/>
              </w:rPr>
              <w:t>污水处理设施</w:t>
            </w:r>
          </w:p>
        </w:tc>
        <w:tc>
          <w:tcPr>
            <w:tcW w:w="417" w:type="pct"/>
            <w:shd w:val="clear" w:color="auto" w:fill="auto"/>
            <w:vAlign w:val="center"/>
          </w:tcPr>
          <w:p w14:paraId="67893A37">
            <w:pPr>
              <w:jc w:val="center"/>
              <w:rPr>
                <w:rFonts w:ascii="Times New Roman"/>
                <w:sz w:val="21"/>
                <w:szCs w:val="21"/>
              </w:rPr>
            </w:pPr>
            <w:r>
              <w:rPr>
                <w:rFonts w:ascii="Times New Roman"/>
                <w:sz w:val="21"/>
                <w:szCs w:val="21"/>
              </w:rPr>
              <w:t>处理效率</w:t>
            </w:r>
          </w:p>
        </w:tc>
        <w:tc>
          <w:tcPr>
            <w:tcW w:w="435" w:type="pct"/>
            <w:shd w:val="clear" w:color="auto" w:fill="auto"/>
            <w:vAlign w:val="center"/>
          </w:tcPr>
          <w:p w14:paraId="00CC2279">
            <w:pPr>
              <w:jc w:val="center"/>
              <w:rPr>
                <w:rFonts w:ascii="Times New Roman"/>
                <w:sz w:val="21"/>
                <w:szCs w:val="21"/>
              </w:rPr>
            </w:pPr>
            <w:r>
              <w:rPr>
                <w:rFonts w:ascii="Times New Roman"/>
                <w:sz w:val="21"/>
                <w:szCs w:val="21"/>
              </w:rPr>
              <w:t>/</w:t>
            </w:r>
          </w:p>
        </w:tc>
        <w:tc>
          <w:tcPr>
            <w:tcW w:w="442" w:type="pct"/>
            <w:vAlign w:val="center"/>
          </w:tcPr>
          <w:p w14:paraId="4E67953F">
            <w:pPr>
              <w:jc w:val="center"/>
              <w:rPr>
                <w:rFonts w:ascii="Times New Roman"/>
                <w:sz w:val="21"/>
                <w:szCs w:val="21"/>
              </w:rPr>
            </w:pPr>
            <w:r>
              <w:rPr>
                <w:rFonts w:ascii="Times New Roman"/>
                <w:sz w:val="21"/>
                <w:szCs w:val="21"/>
              </w:rPr>
              <w:t>/</w:t>
            </w:r>
          </w:p>
        </w:tc>
        <w:tc>
          <w:tcPr>
            <w:tcW w:w="438" w:type="pct"/>
            <w:vAlign w:val="center"/>
          </w:tcPr>
          <w:p w14:paraId="5F646142">
            <w:pPr>
              <w:jc w:val="center"/>
              <w:rPr>
                <w:rFonts w:ascii="Times New Roman"/>
                <w:sz w:val="21"/>
                <w:szCs w:val="21"/>
              </w:rPr>
            </w:pPr>
            <w:r>
              <w:rPr>
                <w:rFonts w:ascii="Times New Roman"/>
                <w:sz w:val="21"/>
                <w:szCs w:val="21"/>
              </w:rPr>
              <w:t>80%</w:t>
            </w:r>
          </w:p>
        </w:tc>
        <w:tc>
          <w:tcPr>
            <w:tcW w:w="462" w:type="pct"/>
            <w:vAlign w:val="center"/>
          </w:tcPr>
          <w:p w14:paraId="274E794F">
            <w:pPr>
              <w:jc w:val="center"/>
              <w:rPr>
                <w:rFonts w:ascii="Times New Roman"/>
                <w:sz w:val="21"/>
                <w:szCs w:val="21"/>
              </w:rPr>
            </w:pPr>
            <w:r>
              <w:rPr>
                <w:rFonts w:hint="eastAsia" w:ascii="Times New Roman"/>
                <w:sz w:val="21"/>
                <w:szCs w:val="21"/>
              </w:rPr>
              <w:t>/</w:t>
            </w:r>
          </w:p>
        </w:tc>
        <w:tc>
          <w:tcPr>
            <w:tcW w:w="432" w:type="pct"/>
            <w:vAlign w:val="center"/>
          </w:tcPr>
          <w:p w14:paraId="6935C9D7">
            <w:pPr>
              <w:jc w:val="center"/>
              <w:rPr>
                <w:rFonts w:ascii="Times New Roman"/>
                <w:sz w:val="21"/>
                <w:szCs w:val="21"/>
              </w:rPr>
            </w:pPr>
            <w:r>
              <w:rPr>
                <w:rFonts w:ascii="Times New Roman"/>
                <w:sz w:val="21"/>
                <w:szCs w:val="21"/>
              </w:rPr>
              <w:t>78%</w:t>
            </w:r>
          </w:p>
        </w:tc>
        <w:tc>
          <w:tcPr>
            <w:tcW w:w="425" w:type="pct"/>
            <w:shd w:val="clear" w:color="auto" w:fill="auto"/>
            <w:vAlign w:val="center"/>
          </w:tcPr>
          <w:p w14:paraId="077F3B87">
            <w:pPr>
              <w:jc w:val="center"/>
              <w:rPr>
                <w:rFonts w:ascii="Times New Roman"/>
                <w:sz w:val="21"/>
                <w:szCs w:val="21"/>
              </w:rPr>
            </w:pPr>
            <w:r>
              <w:rPr>
                <w:rFonts w:hint="eastAsia" w:ascii="Times New Roman"/>
                <w:sz w:val="21"/>
                <w:szCs w:val="21"/>
              </w:rPr>
              <w:t>/</w:t>
            </w:r>
          </w:p>
        </w:tc>
        <w:tc>
          <w:tcPr>
            <w:tcW w:w="399" w:type="pct"/>
            <w:vAlign w:val="center"/>
          </w:tcPr>
          <w:p w14:paraId="4E64AC06">
            <w:pPr>
              <w:jc w:val="center"/>
              <w:rPr>
                <w:rFonts w:ascii="Times New Roman"/>
                <w:sz w:val="21"/>
                <w:szCs w:val="21"/>
              </w:rPr>
            </w:pPr>
            <w:r>
              <w:rPr>
                <w:rFonts w:ascii="Times New Roman"/>
                <w:sz w:val="21"/>
                <w:szCs w:val="21"/>
              </w:rPr>
              <w:t>58%</w:t>
            </w:r>
          </w:p>
        </w:tc>
        <w:tc>
          <w:tcPr>
            <w:tcW w:w="398" w:type="pct"/>
            <w:shd w:val="clear" w:color="auto" w:fill="auto"/>
            <w:vAlign w:val="center"/>
          </w:tcPr>
          <w:p w14:paraId="45A5F5DB">
            <w:pPr>
              <w:jc w:val="center"/>
              <w:rPr>
                <w:rFonts w:ascii="Times New Roman"/>
                <w:sz w:val="21"/>
                <w:szCs w:val="21"/>
              </w:rPr>
            </w:pPr>
            <w:r>
              <w:rPr>
                <w:rFonts w:ascii="Times New Roman"/>
                <w:sz w:val="21"/>
                <w:szCs w:val="21"/>
              </w:rPr>
              <w:t>/</w:t>
            </w:r>
          </w:p>
        </w:tc>
        <w:tc>
          <w:tcPr>
            <w:tcW w:w="407" w:type="pct"/>
            <w:vAlign w:val="center"/>
          </w:tcPr>
          <w:p w14:paraId="763A8AC2">
            <w:pPr>
              <w:jc w:val="center"/>
              <w:rPr>
                <w:rFonts w:ascii="Times New Roman"/>
                <w:sz w:val="21"/>
                <w:szCs w:val="21"/>
              </w:rPr>
            </w:pPr>
            <w:r>
              <w:rPr>
                <w:rFonts w:ascii="Times New Roman"/>
                <w:sz w:val="21"/>
                <w:szCs w:val="21"/>
              </w:rPr>
              <w:t>/</w:t>
            </w:r>
          </w:p>
        </w:tc>
        <w:tc>
          <w:tcPr>
            <w:tcW w:w="349" w:type="pct"/>
            <w:vAlign w:val="center"/>
          </w:tcPr>
          <w:p w14:paraId="4A316C73">
            <w:pPr>
              <w:jc w:val="center"/>
              <w:rPr>
                <w:rFonts w:ascii="Times New Roman"/>
                <w:sz w:val="21"/>
                <w:szCs w:val="21"/>
              </w:rPr>
            </w:pPr>
            <w:r>
              <w:rPr>
                <w:rFonts w:hint="eastAsia" w:ascii="Times New Roman"/>
                <w:sz w:val="21"/>
                <w:szCs w:val="21"/>
              </w:rPr>
              <w:t>40%</w:t>
            </w:r>
          </w:p>
        </w:tc>
      </w:tr>
      <w:tr w14:paraId="12C7D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Merge w:val="continue"/>
            <w:vAlign w:val="center"/>
          </w:tcPr>
          <w:p w14:paraId="06442FB4">
            <w:pPr>
              <w:jc w:val="center"/>
              <w:rPr>
                <w:rFonts w:ascii="Times New Roman"/>
                <w:sz w:val="21"/>
                <w:szCs w:val="21"/>
              </w:rPr>
            </w:pPr>
          </w:p>
        </w:tc>
        <w:tc>
          <w:tcPr>
            <w:tcW w:w="417" w:type="pct"/>
            <w:shd w:val="clear" w:color="auto" w:fill="auto"/>
            <w:vAlign w:val="center"/>
          </w:tcPr>
          <w:p w14:paraId="7589363C">
            <w:pPr>
              <w:jc w:val="center"/>
              <w:rPr>
                <w:rFonts w:ascii="Times New Roman"/>
                <w:sz w:val="21"/>
                <w:szCs w:val="21"/>
              </w:rPr>
            </w:pPr>
            <w:r>
              <w:rPr>
                <w:rFonts w:ascii="Times New Roman"/>
                <w:sz w:val="21"/>
                <w:szCs w:val="21"/>
              </w:rPr>
              <w:t>处理后</w:t>
            </w:r>
          </w:p>
        </w:tc>
        <w:tc>
          <w:tcPr>
            <w:tcW w:w="435" w:type="pct"/>
            <w:shd w:val="clear" w:color="auto" w:fill="auto"/>
            <w:vAlign w:val="center"/>
          </w:tcPr>
          <w:p w14:paraId="083D5428">
            <w:pPr>
              <w:jc w:val="center"/>
              <w:rPr>
                <w:rFonts w:ascii="Times New Roman"/>
                <w:sz w:val="21"/>
                <w:szCs w:val="21"/>
              </w:rPr>
            </w:pPr>
            <w:r>
              <w:rPr>
                <w:rFonts w:hint="eastAsia" w:ascii="Times New Roman"/>
                <w:sz w:val="21"/>
                <w:szCs w:val="21"/>
              </w:rPr>
              <w:t>21071.576</w:t>
            </w:r>
          </w:p>
        </w:tc>
        <w:tc>
          <w:tcPr>
            <w:tcW w:w="442" w:type="pct"/>
            <w:vAlign w:val="center"/>
          </w:tcPr>
          <w:p w14:paraId="15DF6C35">
            <w:pPr>
              <w:jc w:val="center"/>
              <w:rPr>
                <w:rFonts w:ascii="Times New Roman"/>
                <w:sz w:val="21"/>
                <w:szCs w:val="21"/>
              </w:rPr>
            </w:pPr>
            <w:r>
              <w:rPr>
                <w:rFonts w:ascii="Times New Roman"/>
                <w:sz w:val="21"/>
                <w:szCs w:val="21"/>
              </w:rPr>
              <w:t>6~9</w:t>
            </w:r>
          </w:p>
        </w:tc>
        <w:tc>
          <w:tcPr>
            <w:tcW w:w="438" w:type="pct"/>
            <w:shd w:val="clear" w:color="auto" w:fill="auto"/>
            <w:vAlign w:val="center"/>
          </w:tcPr>
          <w:p w14:paraId="737A42BA">
            <w:pPr>
              <w:jc w:val="center"/>
              <w:rPr>
                <w:rFonts w:ascii="Times New Roman"/>
                <w:sz w:val="21"/>
                <w:szCs w:val="21"/>
              </w:rPr>
            </w:pPr>
            <w:r>
              <w:rPr>
                <w:rFonts w:ascii="Times New Roman"/>
                <w:sz w:val="21"/>
                <w:szCs w:val="21"/>
              </w:rPr>
              <w:t>1</w:t>
            </w:r>
            <w:r>
              <w:rPr>
                <w:rFonts w:hint="eastAsia" w:ascii="Times New Roman"/>
                <w:sz w:val="21"/>
                <w:szCs w:val="21"/>
              </w:rPr>
              <w:t>17.3</w:t>
            </w:r>
          </w:p>
        </w:tc>
        <w:tc>
          <w:tcPr>
            <w:tcW w:w="462" w:type="pct"/>
            <w:shd w:val="clear" w:color="auto" w:fill="auto"/>
            <w:vAlign w:val="center"/>
          </w:tcPr>
          <w:p w14:paraId="6B0D0121">
            <w:pPr>
              <w:jc w:val="center"/>
              <w:rPr>
                <w:rFonts w:ascii="Times New Roman"/>
                <w:sz w:val="21"/>
                <w:szCs w:val="21"/>
              </w:rPr>
            </w:pPr>
            <w:r>
              <w:rPr>
                <w:rFonts w:hint="eastAsia" w:ascii="Times New Roman"/>
                <w:sz w:val="21"/>
                <w:szCs w:val="21"/>
              </w:rPr>
              <w:t>/</w:t>
            </w:r>
          </w:p>
        </w:tc>
        <w:tc>
          <w:tcPr>
            <w:tcW w:w="432" w:type="pct"/>
            <w:shd w:val="clear" w:color="auto" w:fill="auto"/>
            <w:vAlign w:val="center"/>
          </w:tcPr>
          <w:p w14:paraId="6D17204A">
            <w:pPr>
              <w:jc w:val="center"/>
              <w:rPr>
                <w:rFonts w:ascii="Times New Roman"/>
                <w:sz w:val="21"/>
                <w:szCs w:val="21"/>
              </w:rPr>
            </w:pPr>
            <w:r>
              <w:rPr>
                <w:rFonts w:ascii="Times New Roman"/>
                <w:sz w:val="21"/>
                <w:szCs w:val="21"/>
              </w:rPr>
              <w:t>88</w:t>
            </w:r>
          </w:p>
        </w:tc>
        <w:tc>
          <w:tcPr>
            <w:tcW w:w="425" w:type="pct"/>
            <w:shd w:val="clear" w:color="auto" w:fill="auto"/>
            <w:vAlign w:val="center"/>
          </w:tcPr>
          <w:p w14:paraId="34B8AF68">
            <w:pPr>
              <w:jc w:val="center"/>
              <w:rPr>
                <w:rFonts w:ascii="Times New Roman"/>
                <w:sz w:val="21"/>
                <w:szCs w:val="21"/>
              </w:rPr>
            </w:pPr>
            <w:r>
              <w:rPr>
                <w:rFonts w:hint="eastAsia" w:ascii="Times New Roman"/>
                <w:sz w:val="21"/>
                <w:szCs w:val="21"/>
              </w:rPr>
              <w:t>/</w:t>
            </w:r>
          </w:p>
        </w:tc>
        <w:tc>
          <w:tcPr>
            <w:tcW w:w="399" w:type="pct"/>
            <w:shd w:val="clear" w:color="auto" w:fill="auto"/>
            <w:vAlign w:val="center"/>
          </w:tcPr>
          <w:p w14:paraId="678F083F">
            <w:pPr>
              <w:jc w:val="center"/>
              <w:rPr>
                <w:rFonts w:ascii="Times New Roman"/>
                <w:sz w:val="21"/>
                <w:szCs w:val="21"/>
              </w:rPr>
            </w:pPr>
            <w:r>
              <w:rPr>
                <w:rFonts w:hint="eastAsia" w:ascii="Times New Roman"/>
                <w:sz w:val="21"/>
                <w:szCs w:val="21"/>
              </w:rPr>
              <w:t>4.1</w:t>
            </w:r>
          </w:p>
        </w:tc>
        <w:tc>
          <w:tcPr>
            <w:tcW w:w="398" w:type="pct"/>
            <w:shd w:val="clear" w:color="auto" w:fill="auto"/>
            <w:vAlign w:val="center"/>
          </w:tcPr>
          <w:p w14:paraId="3A5DC057">
            <w:pPr>
              <w:jc w:val="center"/>
              <w:rPr>
                <w:rFonts w:ascii="Times New Roman"/>
                <w:sz w:val="21"/>
                <w:szCs w:val="21"/>
              </w:rPr>
            </w:pPr>
            <w:r>
              <w:rPr>
                <w:rFonts w:hint="eastAsia" w:ascii="Times New Roman"/>
                <w:sz w:val="21"/>
                <w:szCs w:val="21"/>
              </w:rPr>
              <w:t>/</w:t>
            </w:r>
          </w:p>
        </w:tc>
        <w:tc>
          <w:tcPr>
            <w:tcW w:w="407" w:type="pct"/>
            <w:shd w:val="clear" w:color="auto" w:fill="auto"/>
            <w:vAlign w:val="center"/>
          </w:tcPr>
          <w:p w14:paraId="1BBE6DE5">
            <w:pPr>
              <w:jc w:val="center"/>
              <w:rPr>
                <w:rFonts w:ascii="Times New Roman"/>
                <w:sz w:val="21"/>
                <w:szCs w:val="21"/>
              </w:rPr>
            </w:pPr>
            <w:r>
              <w:rPr>
                <w:rFonts w:ascii="Times New Roman"/>
                <w:sz w:val="21"/>
                <w:szCs w:val="21"/>
              </w:rPr>
              <w:t>/</w:t>
            </w:r>
          </w:p>
        </w:tc>
        <w:tc>
          <w:tcPr>
            <w:tcW w:w="349" w:type="pct"/>
            <w:shd w:val="clear" w:color="auto" w:fill="auto"/>
            <w:vAlign w:val="center"/>
          </w:tcPr>
          <w:p w14:paraId="3B612C45">
            <w:pPr>
              <w:jc w:val="center"/>
              <w:rPr>
                <w:rFonts w:ascii="Times New Roman"/>
                <w:sz w:val="21"/>
                <w:szCs w:val="21"/>
              </w:rPr>
            </w:pPr>
            <w:r>
              <w:rPr>
                <w:rFonts w:hint="eastAsia" w:ascii="Times New Roman"/>
                <w:sz w:val="21"/>
                <w:szCs w:val="21"/>
              </w:rPr>
              <w:t>8.7</w:t>
            </w:r>
          </w:p>
        </w:tc>
      </w:tr>
      <w:tr w14:paraId="2CBA6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06AEF30B">
            <w:pPr>
              <w:rPr>
                <w:rFonts w:ascii="Times New Roman"/>
                <w:sz w:val="21"/>
                <w:szCs w:val="21"/>
              </w:rPr>
            </w:pPr>
            <w:r>
              <w:rPr>
                <w:rFonts w:hint="eastAsia"/>
                <w:sz w:val="21"/>
                <w:szCs w:val="21"/>
              </w:rPr>
              <w:t>纯</w:t>
            </w:r>
            <w:r>
              <w:rPr>
                <w:rFonts w:ascii="Times New Roman"/>
                <w:sz w:val="21"/>
                <w:szCs w:val="21"/>
              </w:rPr>
              <w:t>水制备废水</w:t>
            </w:r>
          </w:p>
        </w:tc>
        <w:tc>
          <w:tcPr>
            <w:tcW w:w="435" w:type="pct"/>
            <w:shd w:val="clear" w:color="auto" w:fill="auto"/>
            <w:vAlign w:val="center"/>
          </w:tcPr>
          <w:p w14:paraId="59BED75D">
            <w:pPr>
              <w:jc w:val="center"/>
              <w:rPr>
                <w:rFonts w:ascii="Times New Roman"/>
                <w:sz w:val="21"/>
                <w:szCs w:val="21"/>
              </w:rPr>
            </w:pPr>
            <w:r>
              <w:rPr>
                <w:rFonts w:ascii="Times New Roman"/>
                <w:sz w:val="21"/>
                <w:szCs w:val="21"/>
              </w:rPr>
              <w:t>8145.49</w:t>
            </w:r>
          </w:p>
        </w:tc>
        <w:tc>
          <w:tcPr>
            <w:tcW w:w="442" w:type="pct"/>
            <w:vAlign w:val="center"/>
          </w:tcPr>
          <w:p w14:paraId="5D1A54C6">
            <w:pPr>
              <w:jc w:val="center"/>
              <w:rPr>
                <w:rFonts w:ascii="Times New Roman"/>
                <w:sz w:val="21"/>
                <w:szCs w:val="21"/>
              </w:rPr>
            </w:pPr>
            <w:r>
              <w:rPr>
                <w:rFonts w:ascii="Times New Roman"/>
                <w:sz w:val="21"/>
                <w:szCs w:val="21"/>
              </w:rPr>
              <w:t>6~9</w:t>
            </w:r>
          </w:p>
        </w:tc>
        <w:tc>
          <w:tcPr>
            <w:tcW w:w="438" w:type="pct"/>
            <w:vAlign w:val="center"/>
          </w:tcPr>
          <w:p w14:paraId="60AA73D4">
            <w:pPr>
              <w:jc w:val="center"/>
              <w:rPr>
                <w:rFonts w:ascii="Times New Roman"/>
                <w:sz w:val="21"/>
                <w:szCs w:val="21"/>
              </w:rPr>
            </w:pPr>
            <w:r>
              <w:rPr>
                <w:rFonts w:ascii="Times New Roman"/>
                <w:sz w:val="21"/>
                <w:szCs w:val="21"/>
              </w:rPr>
              <w:t>40</w:t>
            </w:r>
          </w:p>
        </w:tc>
        <w:tc>
          <w:tcPr>
            <w:tcW w:w="462" w:type="pct"/>
            <w:vAlign w:val="center"/>
          </w:tcPr>
          <w:p w14:paraId="735323A0">
            <w:pPr>
              <w:jc w:val="center"/>
              <w:rPr>
                <w:rFonts w:ascii="Times New Roman"/>
                <w:sz w:val="21"/>
                <w:szCs w:val="21"/>
              </w:rPr>
            </w:pPr>
            <w:r>
              <w:rPr>
                <w:rFonts w:ascii="Times New Roman"/>
                <w:sz w:val="21"/>
                <w:szCs w:val="21"/>
              </w:rPr>
              <w:t>/</w:t>
            </w:r>
          </w:p>
        </w:tc>
        <w:tc>
          <w:tcPr>
            <w:tcW w:w="432" w:type="pct"/>
            <w:vAlign w:val="center"/>
          </w:tcPr>
          <w:p w14:paraId="450E19FA">
            <w:pPr>
              <w:jc w:val="center"/>
              <w:rPr>
                <w:rFonts w:ascii="Times New Roman"/>
                <w:sz w:val="21"/>
                <w:szCs w:val="21"/>
              </w:rPr>
            </w:pPr>
            <w:r>
              <w:rPr>
                <w:rFonts w:ascii="Times New Roman"/>
                <w:sz w:val="21"/>
                <w:szCs w:val="21"/>
              </w:rPr>
              <w:t>60</w:t>
            </w:r>
          </w:p>
        </w:tc>
        <w:tc>
          <w:tcPr>
            <w:tcW w:w="425" w:type="pct"/>
            <w:vAlign w:val="center"/>
          </w:tcPr>
          <w:p w14:paraId="13744A6F">
            <w:pPr>
              <w:jc w:val="center"/>
              <w:rPr>
                <w:rFonts w:ascii="Times New Roman"/>
                <w:sz w:val="21"/>
                <w:szCs w:val="21"/>
              </w:rPr>
            </w:pPr>
            <w:r>
              <w:rPr>
                <w:rFonts w:ascii="Times New Roman"/>
                <w:sz w:val="21"/>
                <w:szCs w:val="21"/>
              </w:rPr>
              <w:t>/</w:t>
            </w:r>
          </w:p>
        </w:tc>
        <w:tc>
          <w:tcPr>
            <w:tcW w:w="399" w:type="pct"/>
            <w:vAlign w:val="center"/>
          </w:tcPr>
          <w:p w14:paraId="2B79BB2C">
            <w:pPr>
              <w:jc w:val="center"/>
              <w:rPr>
                <w:rFonts w:ascii="Times New Roman"/>
                <w:sz w:val="21"/>
                <w:szCs w:val="21"/>
              </w:rPr>
            </w:pPr>
            <w:r>
              <w:rPr>
                <w:rFonts w:ascii="Times New Roman"/>
                <w:sz w:val="21"/>
                <w:szCs w:val="21"/>
              </w:rPr>
              <w:t>/</w:t>
            </w:r>
          </w:p>
        </w:tc>
        <w:tc>
          <w:tcPr>
            <w:tcW w:w="398" w:type="pct"/>
            <w:shd w:val="clear" w:color="auto" w:fill="auto"/>
            <w:vAlign w:val="center"/>
          </w:tcPr>
          <w:p w14:paraId="1B76F1AD">
            <w:pPr>
              <w:jc w:val="center"/>
              <w:rPr>
                <w:rFonts w:ascii="Times New Roman"/>
                <w:sz w:val="21"/>
                <w:szCs w:val="21"/>
              </w:rPr>
            </w:pPr>
            <w:r>
              <w:rPr>
                <w:rFonts w:ascii="Times New Roman"/>
                <w:sz w:val="21"/>
                <w:szCs w:val="21"/>
              </w:rPr>
              <w:t>/</w:t>
            </w:r>
          </w:p>
        </w:tc>
        <w:tc>
          <w:tcPr>
            <w:tcW w:w="407" w:type="pct"/>
            <w:shd w:val="clear" w:color="auto" w:fill="auto"/>
            <w:vAlign w:val="center"/>
          </w:tcPr>
          <w:p w14:paraId="58DEC29B">
            <w:pPr>
              <w:jc w:val="center"/>
              <w:rPr>
                <w:rFonts w:ascii="Times New Roman"/>
                <w:sz w:val="21"/>
                <w:szCs w:val="21"/>
              </w:rPr>
            </w:pPr>
            <w:r>
              <w:rPr>
                <w:rFonts w:ascii="Times New Roman"/>
                <w:sz w:val="21"/>
                <w:szCs w:val="21"/>
              </w:rPr>
              <w:t>/</w:t>
            </w:r>
          </w:p>
        </w:tc>
        <w:tc>
          <w:tcPr>
            <w:tcW w:w="349" w:type="pct"/>
            <w:vAlign w:val="center"/>
          </w:tcPr>
          <w:p w14:paraId="00E3FD0E">
            <w:pPr>
              <w:jc w:val="center"/>
              <w:rPr>
                <w:rFonts w:ascii="Times New Roman"/>
                <w:sz w:val="21"/>
                <w:szCs w:val="21"/>
              </w:rPr>
            </w:pPr>
            <w:r>
              <w:rPr>
                <w:rFonts w:hint="eastAsia" w:ascii="Times New Roman"/>
                <w:sz w:val="21"/>
                <w:szCs w:val="21"/>
              </w:rPr>
              <w:t>/</w:t>
            </w:r>
          </w:p>
        </w:tc>
      </w:tr>
      <w:tr w14:paraId="644DD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07" w:type="pct"/>
            <w:gridSpan w:val="2"/>
            <w:vMerge w:val="restart"/>
            <w:vAlign w:val="center"/>
          </w:tcPr>
          <w:p w14:paraId="007260B3">
            <w:pPr>
              <w:jc w:val="center"/>
              <w:rPr>
                <w:rFonts w:ascii="Times New Roman"/>
                <w:sz w:val="21"/>
                <w:szCs w:val="21"/>
              </w:rPr>
            </w:pPr>
            <w:r>
              <w:rPr>
                <w:rFonts w:ascii="Times New Roman"/>
                <w:b/>
                <w:bCs/>
                <w:sz w:val="21"/>
                <w:szCs w:val="21"/>
              </w:rPr>
              <w:t>本项目外排生产废水</w:t>
            </w:r>
          </w:p>
        </w:tc>
        <w:tc>
          <w:tcPr>
            <w:tcW w:w="435" w:type="pct"/>
            <w:vMerge w:val="restart"/>
            <w:shd w:val="clear" w:color="auto" w:fill="auto"/>
            <w:vAlign w:val="center"/>
          </w:tcPr>
          <w:p w14:paraId="7537D568">
            <w:pPr>
              <w:jc w:val="center"/>
              <w:rPr>
                <w:rFonts w:ascii="Times New Roman"/>
                <w:sz w:val="21"/>
                <w:szCs w:val="21"/>
              </w:rPr>
            </w:pPr>
            <w:r>
              <w:rPr>
                <w:rFonts w:hint="eastAsia" w:ascii="Times New Roman"/>
                <w:sz w:val="21"/>
                <w:szCs w:val="21"/>
              </w:rPr>
              <w:t>29217.066</w:t>
            </w:r>
          </w:p>
        </w:tc>
        <w:tc>
          <w:tcPr>
            <w:tcW w:w="442" w:type="pct"/>
            <w:vAlign w:val="center"/>
          </w:tcPr>
          <w:p w14:paraId="7DEE0184">
            <w:pPr>
              <w:jc w:val="center"/>
              <w:rPr>
                <w:rFonts w:ascii="Times New Roman"/>
                <w:sz w:val="21"/>
                <w:szCs w:val="21"/>
              </w:rPr>
            </w:pPr>
            <w:r>
              <w:rPr>
                <w:rFonts w:ascii="Times New Roman"/>
                <w:sz w:val="21"/>
                <w:szCs w:val="21"/>
              </w:rPr>
              <w:t>6~9</w:t>
            </w:r>
          </w:p>
        </w:tc>
        <w:tc>
          <w:tcPr>
            <w:tcW w:w="438" w:type="pct"/>
            <w:shd w:val="clear" w:color="auto" w:fill="auto"/>
            <w:vAlign w:val="center"/>
          </w:tcPr>
          <w:p w14:paraId="3E0A10CC">
            <w:pPr>
              <w:jc w:val="center"/>
              <w:rPr>
                <w:rFonts w:ascii="Times New Roman"/>
                <w:sz w:val="21"/>
                <w:szCs w:val="21"/>
              </w:rPr>
            </w:pPr>
            <w:r>
              <w:rPr>
                <w:rFonts w:hint="eastAsia" w:ascii="Times New Roman"/>
                <w:sz w:val="21"/>
                <w:szCs w:val="21"/>
              </w:rPr>
              <w:t>95.7</w:t>
            </w:r>
          </w:p>
        </w:tc>
        <w:tc>
          <w:tcPr>
            <w:tcW w:w="462" w:type="pct"/>
            <w:shd w:val="clear" w:color="auto" w:fill="auto"/>
            <w:vAlign w:val="center"/>
          </w:tcPr>
          <w:p w14:paraId="65FD1752">
            <w:pPr>
              <w:jc w:val="center"/>
              <w:rPr>
                <w:rFonts w:ascii="Times New Roman"/>
                <w:sz w:val="21"/>
                <w:szCs w:val="21"/>
              </w:rPr>
            </w:pPr>
            <w:r>
              <w:rPr>
                <w:rFonts w:hint="eastAsia" w:ascii="Times New Roman"/>
                <w:sz w:val="21"/>
                <w:szCs w:val="21"/>
              </w:rPr>
              <w:t>/</w:t>
            </w:r>
          </w:p>
        </w:tc>
        <w:tc>
          <w:tcPr>
            <w:tcW w:w="432" w:type="pct"/>
            <w:shd w:val="clear" w:color="auto" w:fill="auto"/>
            <w:vAlign w:val="center"/>
          </w:tcPr>
          <w:p w14:paraId="3A0FD51F">
            <w:pPr>
              <w:jc w:val="center"/>
              <w:rPr>
                <w:rFonts w:ascii="Times New Roman"/>
                <w:sz w:val="21"/>
                <w:szCs w:val="21"/>
              </w:rPr>
            </w:pPr>
            <w:r>
              <w:rPr>
                <w:rFonts w:ascii="Times New Roman"/>
                <w:sz w:val="21"/>
                <w:szCs w:val="21"/>
              </w:rPr>
              <w:t>80</w:t>
            </w:r>
            <w:r>
              <w:rPr>
                <w:rFonts w:hint="eastAsia" w:ascii="Times New Roman"/>
                <w:sz w:val="21"/>
                <w:szCs w:val="21"/>
              </w:rPr>
              <w:t>.2</w:t>
            </w:r>
          </w:p>
        </w:tc>
        <w:tc>
          <w:tcPr>
            <w:tcW w:w="425" w:type="pct"/>
            <w:shd w:val="clear" w:color="auto" w:fill="auto"/>
            <w:vAlign w:val="center"/>
          </w:tcPr>
          <w:p w14:paraId="1BA72583">
            <w:pPr>
              <w:jc w:val="center"/>
              <w:rPr>
                <w:rFonts w:ascii="Times New Roman"/>
                <w:sz w:val="21"/>
                <w:szCs w:val="21"/>
              </w:rPr>
            </w:pPr>
            <w:r>
              <w:rPr>
                <w:rFonts w:hint="eastAsia" w:ascii="Times New Roman"/>
                <w:sz w:val="21"/>
                <w:szCs w:val="21"/>
              </w:rPr>
              <w:t>/</w:t>
            </w:r>
          </w:p>
        </w:tc>
        <w:tc>
          <w:tcPr>
            <w:tcW w:w="399" w:type="pct"/>
            <w:shd w:val="clear" w:color="auto" w:fill="auto"/>
            <w:vAlign w:val="center"/>
          </w:tcPr>
          <w:p w14:paraId="4EA48531">
            <w:pPr>
              <w:jc w:val="center"/>
              <w:rPr>
                <w:rFonts w:ascii="Times New Roman"/>
                <w:sz w:val="21"/>
                <w:szCs w:val="21"/>
              </w:rPr>
            </w:pPr>
            <w:r>
              <w:rPr>
                <w:rFonts w:hint="eastAsia" w:ascii="Times New Roman"/>
                <w:sz w:val="21"/>
                <w:szCs w:val="21"/>
              </w:rPr>
              <w:t>2.9</w:t>
            </w:r>
          </w:p>
        </w:tc>
        <w:tc>
          <w:tcPr>
            <w:tcW w:w="398" w:type="pct"/>
            <w:shd w:val="clear" w:color="auto" w:fill="auto"/>
            <w:vAlign w:val="center"/>
          </w:tcPr>
          <w:p w14:paraId="345A71DC">
            <w:pPr>
              <w:jc w:val="center"/>
              <w:rPr>
                <w:rFonts w:ascii="Times New Roman"/>
                <w:sz w:val="21"/>
                <w:szCs w:val="21"/>
              </w:rPr>
            </w:pPr>
            <w:r>
              <w:rPr>
                <w:rFonts w:hint="eastAsia" w:ascii="Times New Roman"/>
                <w:sz w:val="21"/>
                <w:szCs w:val="21"/>
              </w:rPr>
              <w:t>/</w:t>
            </w:r>
          </w:p>
        </w:tc>
        <w:tc>
          <w:tcPr>
            <w:tcW w:w="407" w:type="pct"/>
            <w:shd w:val="clear" w:color="auto" w:fill="auto"/>
            <w:vAlign w:val="center"/>
          </w:tcPr>
          <w:p w14:paraId="27EB4927">
            <w:pPr>
              <w:jc w:val="center"/>
              <w:rPr>
                <w:rFonts w:ascii="Times New Roman"/>
                <w:sz w:val="21"/>
                <w:szCs w:val="21"/>
              </w:rPr>
            </w:pPr>
            <w:r>
              <w:rPr>
                <w:rFonts w:ascii="Times New Roman"/>
                <w:sz w:val="21"/>
                <w:szCs w:val="21"/>
              </w:rPr>
              <w:t>/</w:t>
            </w:r>
          </w:p>
        </w:tc>
        <w:tc>
          <w:tcPr>
            <w:tcW w:w="349" w:type="pct"/>
            <w:shd w:val="clear" w:color="auto" w:fill="auto"/>
            <w:vAlign w:val="center"/>
          </w:tcPr>
          <w:p w14:paraId="40FB5B17">
            <w:pPr>
              <w:jc w:val="center"/>
              <w:rPr>
                <w:rFonts w:ascii="Times New Roman"/>
                <w:sz w:val="21"/>
                <w:szCs w:val="21"/>
              </w:rPr>
            </w:pPr>
            <w:r>
              <w:rPr>
                <w:rFonts w:hint="eastAsia" w:ascii="Times New Roman"/>
                <w:sz w:val="21"/>
                <w:szCs w:val="21"/>
              </w:rPr>
              <w:t>6.3</w:t>
            </w:r>
          </w:p>
        </w:tc>
      </w:tr>
      <w:tr w14:paraId="0AC86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Merge w:val="continue"/>
            <w:vAlign w:val="center"/>
          </w:tcPr>
          <w:p w14:paraId="122F4FC4">
            <w:pPr>
              <w:jc w:val="center"/>
              <w:rPr>
                <w:rFonts w:ascii="Times New Roman"/>
                <w:sz w:val="21"/>
                <w:szCs w:val="21"/>
              </w:rPr>
            </w:pPr>
          </w:p>
        </w:tc>
        <w:tc>
          <w:tcPr>
            <w:tcW w:w="435" w:type="pct"/>
            <w:vMerge w:val="continue"/>
            <w:vAlign w:val="center"/>
          </w:tcPr>
          <w:p w14:paraId="4BBE1A2D">
            <w:pPr>
              <w:jc w:val="center"/>
              <w:rPr>
                <w:rFonts w:ascii="Times New Roman"/>
                <w:sz w:val="21"/>
                <w:szCs w:val="21"/>
              </w:rPr>
            </w:pPr>
          </w:p>
        </w:tc>
        <w:tc>
          <w:tcPr>
            <w:tcW w:w="442" w:type="pct"/>
            <w:vAlign w:val="center"/>
          </w:tcPr>
          <w:p w14:paraId="36590C27">
            <w:pPr>
              <w:jc w:val="center"/>
              <w:rPr>
                <w:rFonts w:ascii="Times New Roman"/>
                <w:sz w:val="21"/>
                <w:szCs w:val="21"/>
              </w:rPr>
            </w:pPr>
            <w:r>
              <w:rPr>
                <w:rFonts w:ascii="Times New Roman"/>
                <w:sz w:val="21"/>
                <w:szCs w:val="21"/>
              </w:rPr>
              <w:t>/</w:t>
            </w:r>
          </w:p>
        </w:tc>
        <w:tc>
          <w:tcPr>
            <w:tcW w:w="438" w:type="pct"/>
            <w:shd w:val="clear" w:color="auto" w:fill="auto"/>
            <w:vAlign w:val="center"/>
          </w:tcPr>
          <w:p w14:paraId="21763A03">
            <w:pPr>
              <w:jc w:val="center"/>
              <w:rPr>
                <w:rFonts w:ascii="Times New Roman"/>
                <w:sz w:val="21"/>
                <w:szCs w:val="21"/>
              </w:rPr>
            </w:pPr>
            <w:r>
              <w:rPr>
                <w:rFonts w:hint="eastAsia" w:ascii="Times New Roman"/>
                <w:sz w:val="21"/>
                <w:szCs w:val="21"/>
              </w:rPr>
              <w:t>2.797</w:t>
            </w:r>
            <w:r>
              <w:rPr>
                <w:rFonts w:ascii="Times New Roman"/>
                <w:sz w:val="21"/>
                <w:szCs w:val="21"/>
              </w:rPr>
              <w:t>t/a</w:t>
            </w:r>
          </w:p>
        </w:tc>
        <w:tc>
          <w:tcPr>
            <w:tcW w:w="462" w:type="pct"/>
            <w:shd w:val="clear" w:color="auto" w:fill="auto"/>
            <w:vAlign w:val="center"/>
          </w:tcPr>
          <w:p w14:paraId="012AB381">
            <w:pPr>
              <w:jc w:val="center"/>
              <w:rPr>
                <w:rFonts w:ascii="Times New Roman"/>
                <w:sz w:val="21"/>
                <w:szCs w:val="21"/>
              </w:rPr>
            </w:pPr>
            <w:r>
              <w:rPr>
                <w:rFonts w:hint="eastAsia" w:ascii="Times New Roman"/>
                <w:sz w:val="21"/>
                <w:szCs w:val="21"/>
              </w:rPr>
              <w:t>/</w:t>
            </w:r>
          </w:p>
        </w:tc>
        <w:tc>
          <w:tcPr>
            <w:tcW w:w="432" w:type="pct"/>
            <w:shd w:val="clear" w:color="auto" w:fill="auto"/>
            <w:vAlign w:val="center"/>
          </w:tcPr>
          <w:p w14:paraId="45AF78C9">
            <w:pPr>
              <w:jc w:val="center"/>
              <w:rPr>
                <w:rFonts w:ascii="Times New Roman"/>
                <w:sz w:val="21"/>
                <w:szCs w:val="21"/>
              </w:rPr>
            </w:pPr>
            <w:r>
              <w:rPr>
                <w:rFonts w:hint="eastAsia" w:ascii="Times New Roman"/>
                <w:sz w:val="21"/>
                <w:szCs w:val="21"/>
              </w:rPr>
              <w:t>2.343</w:t>
            </w:r>
            <w:r>
              <w:rPr>
                <w:rFonts w:ascii="Times New Roman"/>
                <w:sz w:val="21"/>
                <w:szCs w:val="21"/>
              </w:rPr>
              <w:t>t/a</w:t>
            </w:r>
          </w:p>
        </w:tc>
        <w:tc>
          <w:tcPr>
            <w:tcW w:w="425" w:type="pct"/>
            <w:shd w:val="clear" w:color="auto" w:fill="auto"/>
            <w:vAlign w:val="center"/>
          </w:tcPr>
          <w:p w14:paraId="56F3D026">
            <w:pPr>
              <w:jc w:val="center"/>
              <w:rPr>
                <w:rFonts w:ascii="Times New Roman"/>
                <w:sz w:val="21"/>
                <w:szCs w:val="21"/>
              </w:rPr>
            </w:pPr>
            <w:r>
              <w:rPr>
                <w:rFonts w:hint="eastAsia" w:ascii="Times New Roman"/>
                <w:sz w:val="21"/>
                <w:szCs w:val="21"/>
              </w:rPr>
              <w:t>/</w:t>
            </w:r>
          </w:p>
        </w:tc>
        <w:tc>
          <w:tcPr>
            <w:tcW w:w="399" w:type="pct"/>
            <w:shd w:val="clear" w:color="auto" w:fill="auto"/>
            <w:vAlign w:val="center"/>
          </w:tcPr>
          <w:p w14:paraId="435272A4">
            <w:pPr>
              <w:jc w:val="center"/>
              <w:rPr>
                <w:rFonts w:ascii="Times New Roman"/>
                <w:sz w:val="21"/>
                <w:szCs w:val="21"/>
              </w:rPr>
            </w:pPr>
            <w:r>
              <w:rPr>
                <w:rFonts w:ascii="Times New Roman"/>
                <w:sz w:val="21"/>
                <w:szCs w:val="21"/>
              </w:rPr>
              <w:t>0.</w:t>
            </w:r>
            <w:r>
              <w:rPr>
                <w:rFonts w:hint="eastAsia" w:ascii="Times New Roman"/>
                <w:sz w:val="21"/>
                <w:szCs w:val="21"/>
              </w:rPr>
              <w:t>085</w:t>
            </w:r>
            <w:r>
              <w:rPr>
                <w:rFonts w:ascii="Times New Roman"/>
                <w:sz w:val="21"/>
                <w:szCs w:val="21"/>
              </w:rPr>
              <w:t>t/a</w:t>
            </w:r>
          </w:p>
        </w:tc>
        <w:tc>
          <w:tcPr>
            <w:tcW w:w="398" w:type="pct"/>
            <w:shd w:val="clear" w:color="auto" w:fill="auto"/>
            <w:vAlign w:val="center"/>
          </w:tcPr>
          <w:p w14:paraId="6214A959">
            <w:pPr>
              <w:jc w:val="center"/>
              <w:rPr>
                <w:rFonts w:ascii="Times New Roman"/>
                <w:sz w:val="21"/>
                <w:szCs w:val="21"/>
              </w:rPr>
            </w:pPr>
            <w:r>
              <w:rPr>
                <w:rFonts w:hint="eastAsia" w:ascii="Times New Roman"/>
                <w:sz w:val="21"/>
                <w:szCs w:val="21"/>
              </w:rPr>
              <w:t>/</w:t>
            </w:r>
          </w:p>
        </w:tc>
        <w:tc>
          <w:tcPr>
            <w:tcW w:w="407" w:type="pct"/>
            <w:shd w:val="clear" w:color="auto" w:fill="auto"/>
            <w:vAlign w:val="center"/>
          </w:tcPr>
          <w:p w14:paraId="592EDB26">
            <w:pPr>
              <w:jc w:val="center"/>
              <w:rPr>
                <w:rFonts w:ascii="Times New Roman"/>
                <w:sz w:val="21"/>
                <w:szCs w:val="21"/>
              </w:rPr>
            </w:pPr>
            <w:r>
              <w:rPr>
                <w:rFonts w:hint="eastAsia" w:ascii="Times New Roman"/>
                <w:sz w:val="21"/>
                <w:szCs w:val="21"/>
              </w:rPr>
              <w:t>/</w:t>
            </w:r>
          </w:p>
        </w:tc>
        <w:tc>
          <w:tcPr>
            <w:tcW w:w="349" w:type="pct"/>
            <w:shd w:val="clear" w:color="auto" w:fill="auto"/>
            <w:vAlign w:val="center"/>
          </w:tcPr>
          <w:p w14:paraId="08A8C223">
            <w:pPr>
              <w:jc w:val="center"/>
              <w:rPr>
                <w:rFonts w:ascii="Times New Roman"/>
                <w:sz w:val="21"/>
                <w:szCs w:val="21"/>
              </w:rPr>
            </w:pPr>
            <w:r>
              <w:rPr>
                <w:rFonts w:hint="eastAsia" w:ascii="Times New Roman"/>
                <w:sz w:val="21"/>
                <w:szCs w:val="21"/>
              </w:rPr>
              <w:t>0.183</w:t>
            </w:r>
            <w:r>
              <w:rPr>
                <w:rFonts w:ascii="Times New Roman"/>
                <w:sz w:val="21"/>
                <w:szCs w:val="21"/>
              </w:rPr>
              <w:t>t/a</w:t>
            </w:r>
          </w:p>
        </w:tc>
      </w:tr>
      <w:tr w14:paraId="14CF3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4F54D9B8">
            <w:pPr>
              <w:jc w:val="center"/>
              <w:rPr>
                <w:rFonts w:ascii="Times New Roman"/>
                <w:sz w:val="21"/>
                <w:szCs w:val="21"/>
              </w:rPr>
            </w:pPr>
            <w:r>
              <w:rPr>
                <w:rFonts w:ascii="Times New Roman"/>
                <w:sz w:val="21"/>
                <w:szCs w:val="21"/>
              </w:rPr>
              <w:t>生活污水</w:t>
            </w:r>
          </w:p>
        </w:tc>
        <w:tc>
          <w:tcPr>
            <w:tcW w:w="435" w:type="pct"/>
            <w:vAlign w:val="center"/>
          </w:tcPr>
          <w:p w14:paraId="1D663C0B">
            <w:pPr>
              <w:jc w:val="center"/>
              <w:rPr>
                <w:rFonts w:ascii="Times New Roman"/>
                <w:sz w:val="21"/>
                <w:szCs w:val="21"/>
              </w:rPr>
            </w:pPr>
            <w:r>
              <w:rPr>
                <w:rFonts w:hint="eastAsia" w:ascii="Times New Roman"/>
                <w:sz w:val="21"/>
                <w:szCs w:val="21"/>
              </w:rPr>
              <w:t>9600</w:t>
            </w:r>
          </w:p>
        </w:tc>
        <w:tc>
          <w:tcPr>
            <w:tcW w:w="442" w:type="pct"/>
            <w:vAlign w:val="center"/>
          </w:tcPr>
          <w:p w14:paraId="0F401758">
            <w:pPr>
              <w:jc w:val="center"/>
              <w:rPr>
                <w:rFonts w:ascii="Times New Roman"/>
                <w:sz w:val="21"/>
                <w:szCs w:val="21"/>
              </w:rPr>
            </w:pPr>
            <w:r>
              <w:rPr>
                <w:rFonts w:ascii="Times New Roman"/>
                <w:sz w:val="21"/>
                <w:szCs w:val="21"/>
              </w:rPr>
              <w:t>6~9</w:t>
            </w:r>
          </w:p>
        </w:tc>
        <w:tc>
          <w:tcPr>
            <w:tcW w:w="438" w:type="pct"/>
            <w:vAlign w:val="center"/>
          </w:tcPr>
          <w:p w14:paraId="5A87D611">
            <w:pPr>
              <w:jc w:val="center"/>
              <w:rPr>
                <w:rFonts w:ascii="Times New Roman"/>
                <w:sz w:val="21"/>
                <w:szCs w:val="21"/>
              </w:rPr>
            </w:pPr>
            <w:r>
              <w:rPr>
                <w:rFonts w:ascii="Times New Roman"/>
                <w:sz w:val="21"/>
                <w:szCs w:val="21"/>
              </w:rPr>
              <w:t>350</w:t>
            </w:r>
          </w:p>
        </w:tc>
        <w:tc>
          <w:tcPr>
            <w:tcW w:w="462" w:type="pct"/>
            <w:vAlign w:val="center"/>
          </w:tcPr>
          <w:p w14:paraId="34D02BC9">
            <w:pPr>
              <w:jc w:val="center"/>
              <w:rPr>
                <w:rFonts w:ascii="Times New Roman"/>
                <w:sz w:val="21"/>
                <w:szCs w:val="21"/>
              </w:rPr>
            </w:pPr>
            <w:r>
              <w:rPr>
                <w:rFonts w:ascii="Times New Roman"/>
                <w:sz w:val="21"/>
                <w:szCs w:val="21"/>
              </w:rPr>
              <w:t>2</w:t>
            </w:r>
            <w:r>
              <w:rPr>
                <w:rFonts w:hint="eastAsia" w:ascii="Times New Roman"/>
                <w:sz w:val="21"/>
                <w:szCs w:val="21"/>
              </w:rPr>
              <w:t>0</w:t>
            </w:r>
            <w:r>
              <w:rPr>
                <w:rFonts w:ascii="Times New Roman"/>
                <w:sz w:val="21"/>
                <w:szCs w:val="21"/>
              </w:rPr>
              <w:t>0</w:t>
            </w:r>
          </w:p>
        </w:tc>
        <w:tc>
          <w:tcPr>
            <w:tcW w:w="432" w:type="pct"/>
            <w:vAlign w:val="center"/>
          </w:tcPr>
          <w:p w14:paraId="5F42F297">
            <w:pPr>
              <w:jc w:val="center"/>
              <w:rPr>
                <w:rFonts w:ascii="Times New Roman"/>
                <w:sz w:val="21"/>
                <w:szCs w:val="21"/>
              </w:rPr>
            </w:pPr>
            <w:r>
              <w:rPr>
                <w:rFonts w:ascii="Times New Roman"/>
                <w:sz w:val="21"/>
                <w:szCs w:val="21"/>
              </w:rPr>
              <w:t>2</w:t>
            </w:r>
            <w:r>
              <w:rPr>
                <w:rFonts w:hint="eastAsia" w:ascii="Times New Roman"/>
                <w:sz w:val="21"/>
                <w:szCs w:val="21"/>
              </w:rPr>
              <w:t>5</w:t>
            </w:r>
            <w:r>
              <w:rPr>
                <w:rFonts w:ascii="Times New Roman"/>
                <w:sz w:val="21"/>
                <w:szCs w:val="21"/>
              </w:rPr>
              <w:t>0</w:t>
            </w:r>
          </w:p>
        </w:tc>
        <w:tc>
          <w:tcPr>
            <w:tcW w:w="425" w:type="pct"/>
            <w:vAlign w:val="center"/>
          </w:tcPr>
          <w:p w14:paraId="1C92544D">
            <w:pPr>
              <w:jc w:val="center"/>
              <w:rPr>
                <w:rFonts w:ascii="Times New Roman"/>
                <w:sz w:val="21"/>
                <w:szCs w:val="21"/>
              </w:rPr>
            </w:pPr>
            <w:r>
              <w:rPr>
                <w:rFonts w:hint="eastAsia" w:ascii="Times New Roman"/>
                <w:sz w:val="21"/>
                <w:szCs w:val="21"/>
              </w:rPr>
              <w:t>30</w:t>
            </w:r>
          </w:p>
        </w:tc>
        <w:tc>
          <w:tcPr>
            <w:tcW w:w="399" w:type="pct"/>
            <w:vAlign w:val="center"/>
          </w:tcPr>
          <w:p w14:paraId="35819532">
            <w:pPr>
              <w:jc w:val="center"/>
              <w:rPr>
                <w:rFonts w:ascii="Times New Roman"/>
                <w:sz w:val="21"/>
                <w:szCs w:val="21"/>
              </w:rPr>
            </w:pPr>
            <w:r>
              <w:rPr>
                <w:rFonts w:hint="eastAsia" w:ascii="Times New Roman"/>
                <w:sz w:val="21"/>
                <w:szCs w:val="21"/>
              </w:rPr>
              <w:t>5</w:t>
            </w:r>
          </w:p>
        </w:tc>
        <w:tc>
          <w:tcPr>
            <w:tcW w:w="398" w:type="pct"/>
            <w:vAlign w:val="center"/>
          </w:tcPr>
          <w:p w14:paraId="1D36626C">
            <w:pPr>
              <w:jc w:val="center"/>
              <w:rPr>
                <w:rFonts w:ascii="Times New Roman"/>
                <w:sz w:val="21"/>
                <w:szCs w:val="21"/>
              </w:rPr>
            </w:pPr>
            <w:r>
              <w:rPr>
                <w:rFonts w:hint="eastAsia" w:ascii="Times New Roman"/>
                <w:sz w:val="21"/>
                <w:szCs w:val="21"/>
              </w:rPr>
              <w:t>45</w:t>
            </w:r>
          </w:p>
        </w:tc>
        <w:tc>
          <w:tcPr>
            <w:tcW w:w="407" w:type="pct"/>
            <w:vAlign w:val="center"/>
          </w:tcPr>
          <w:p w14:paraId="379DE088">
            <w:pPr>
              <w:jc w:val="center"/>
              <w:rPr>
                <w:rFonts w:ascii="Times New Roman"/>
                <w:sz w:val="21"/>
                <w:szCs w:val="21"/>
              </w:rPr>
            </w:pPr>
            <w:r>
              <w:rPr>
                <w:rFonts w:hint="eastAsia" w:ascii="Times New Roman"/>
                <w:sz w:val="21"/>
                <w:szCs w:val="21"/>
              </w:rPr>
              <w:t>50</w:t>
            </w:r>
          </w:p>
        </w:tc>
        <w:tc>
          <w:tcPr>
            <w:tcW w:w="349" w:type="pct"/>
            <w:vAlign w:val="center"/>
          </w:tcPr>
          <w:p w14:paraId="6B9B6A54">
            <w:pPr>
              <w:jc w:val="center"/>
              <w:rPr>
                <w:rFonts w:ascii="Times New Roman"/>
                <w:sz w:val="21"/>
                <w:szCs w:val="21"/>
              </w:rPr>
            </w:pPr>
            <w:r>
              <w:rPr>
                <w:rFonts w:hint="eastAsia" w:ascii="Times New Roman"/>
                <w:sz w:val="21"/>
                <w:szCs w:val="21"/>
              </w:rPr>
              <w:t>/</w:t>
            </w:r>
          </w:p>
        </w:tc>
      </w:tr>
      <w:tr w14:paraId="22614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14:paraId="6F6BBC3E">
            <w:pPr>
              <w:jc w:val="center"/>
              <w:rPr>
                <w:rFonts w:ascii="Times New Roman"/>
                <w:sz w:val="21"/>
                <w:szCs w:val="21"/>
              </w:rPr>
            </w:pPr>
            <w:r>
              <w:rPr>
                <w:rFonts w:hint="eastAsia" w:ascii="Times New Roman"/>
                <w:sz w:val="21"/>
                <w:szCs w:val="21"/>
              </w:rPr>
              <w:t>隔油池+</w:t>
            </w:r>
            <w:r>
              <w:rPr>
                <w:rFonts w:ascii="Times New Roman"/>
                <w:sz w:val="21"/>
                <w:szCs w:val="21"/>
              </w:rPr>
              <w:t>化粪池</w:t>
            </w:r>
          </w:p>
        </w:tc>
        <w:tc>
          <w:tcPr>
            <w:tcW w:w="417" w:type="pct"/>
            <w:vAlign w:val="center"/>
          </w:tcPr>
          <w:p w14:paraId="0C32750E">
            <w:pPr>
              <w:jc w:val="center"/>
              <w:rPr>
                <w:rFonts w:ascii="Times New Roman"/>
                <w:sz w:val="21"/>
                <w:szCs w:val="21"/>
              </w:rPr>
            </w:pPr>
            <w:r>
              <w:rPr>
                <w:rFonts w:ascii="Times New Roman"/>
                <w:sz w:val="21"/>
                <w:szCs w:val="21"/>
              </w:rPr>
              <w:t>处理效率</w:t>
            </w:r>
          </w:p>
        </w:tc>
        <w:tc>
          <w:tcPr>
            <w:tcW w:w="435" w:type="pct"/>
            <w:vAlign w:val="center"/>
          </w:tcPr>
          <w:p w14:paraId="1C91694E">
            <w:pPr>
              <w:jc w:val="center"/>
              <w:rPr>
                <w:rFonts w:ascii="Times New Roman"/>
                <w:sz w:val="21"/>
                <w:szCs w:val="21"/>
              </w:rPr>
            </w:pPr>
            <w:r>
              <w:rPr>
                <w:rFonts w:ascii="Times New Roman"/>
                <w:sz w:val="21"/>
                <w:szCs w:val="21"/>
              </w:rPr>
              <w:t>/</w:t>
            </w:r>
          </w:p>
        </w:tc>
        <w:tc>
          <w:tcPr>
            <w:tcW w:w="442" w:type="pct"/>
            <w:vAlign w:val="center"/>
          </w:tcPr>
          <w:p w14:paraId="4F6EC864">
            <w:pPr>
              <w:jc w:val="center"/>
              <w:rPr>
                <w:rFonts w:ascii="Times New Roman"/>
                <w:sz w:val="21"/>
                <w:szCs w:val="21"/>
              </w:rPr>
            </w:pPr>
            <w:r>
              <w:rPr>
                <w:rFonts w:ascii="Times New Roman"/>
                <w:sz w:val="21"/>
                <w:szCs w:val="21"/>
              </w:rPr>
              <w:t>/</w:t>
            </w:r>
          </w:p>
        </w:tc>
        <w:tc>
          <w:tcPr>
            <w:tcW w:w="438" w:type="pct"/>
            <w:vAlign w:val="center"/>
          </w:tcPr>
          <w:p w14:paraId="7AB7EC41">
            <w:pPr>
              <w:jc w:val="center"/>
              <w:rPr>
                <w:rFonts w:ascii="Times New Roman"/>
                <w:sz w:val="21"/>
                <w:szCs w:val="21"/>
              </w:rPr>
            </w:pPr>
            <w:r>
              <w:rPr>
                <w:rFonts w:ascii="Times New Roman"/>
                <w:sz w:val="21"/>
                <w:szCs w:val="21"/>
              </w:rPr>
              <w:t>14.3</w:t>
            </w:r>
            <w:r>
              <w:rPr>
                <w:rFonts w:hint="eastAsia" w:ascii="Times New Roman"/>
                <w:sz w:val="21"/>
                <w:szCs w:val="21"/>
              </w:rPr>
              <w:t>%</w:t>
            </w:r>
          </w:p>
        </w:tc>
        <w:tc>
          <w:tcPr>
            <w:tcW w:w="462" w:type="pct"/>
            <w:vAlign w:val="center"/>
          </w:tcPr>
          <w:p w14:paraId="09FDE770">
            <w:pPr>
              <w:jc w:val="center"/>
              <w:rPr>
                <w:rFonts w:ascii="Times New Roman"/>
                <w:sz w:val="21"/>
                <w:szCs w:val="21"/>
              </w:rPr>
            </w:pPr>
            <w:r>
              <w:rPr>
                <w:rFonts w:hint="eastAsia" w:ascii="Times New Roman"/>
                <w:sz w:val="21"/>
                <w:szCs w:val="21"/>
              </w:rPr>
              <w:t>2</w:t>
            </w:r>
            <w:r>
              <w:rPr>
                <w:rFonts w:ascii="Times New Roman"/>
                <w:sz w:val="21"/>
                <w:szCs w:val="21"/>
              </w:rPr>
              <w:t>0</w:t>
            </w:r>
            <w:r>
              <w:rPr>
                <w:rFonts w:hint="eastAsia" w:ascii="Times New Roman"/>
                <w:sz w:val="21"/>
                <w:szCs w:val="21"/>
              </w:rPr>
              <w:t>%</w:t>
            </w:r>
          </w:p>
        </w:tc>
        <w:tc>
          <w:tcPr>
            <w:tcW w:w="432" w:type="pct"/>
            <w:vAlign w:val="center"/>
          </w:tcPr>
          <w:p w14:paraId="53B696D0">
            <w:pPr>
              <w:jc w:val="center"/>
              <w:rPr>
                <w:rFonts w:ascii="Times New Roman"/>
                <w:sz w:val="21"/>
                <w:szCs w:val="21"/>
              </w:rPr>
            </w:pPr>
            <w:r>
              <w:rPr>
                <w:rFonts w:hint="eastAsia" w:ascii="Times New Roman"/>
                <w:sz w:val="21"/>
                <w:szCs w:val="21"/>
              </w:rPr>
              <w:t>40%</w:t>
            </w:r>
          </w:p>
        </w:tc>
        <w:tc>
          <w:tcPr>
            <w:tcW w:w="425" w:type="pct"/>
            <w:vAlign w:val="center"/>
          </w:tcPr>
          <w:p w14:paraId="18CEF69B">
            <w:pPr>
              <w:jc w:val="center"/>
              <w:rPr>
                <w:rFonts w:ascii="Times New Roman"/>
                <w:sz w:val="21"/>
                <w:szCs w:val="21"/>
              </w:rPr>
            </w:pPr>
            <w:r>
              <w:rPr>
                <w:rFonts w:hint="eastAsia" w:ascii="Times New Roman"/>
                <w:sz w:val="21"/>
                <w:szCs w:val="21"/>
              </w:rPr>
              <w:t>16.7%</w:t>
            </w:r>
          </w:p>
        </w:tc>
        <w:tc>
          <w:tcPr>
            <w:tcW w:w="399" w:type="pct"/>
            <w:vAlign w:val="center"/>
          </w:tcPr>
          <w:p w14:paraId="65181F97">
            <w:pPr>
              <w:jc w:val="center"/>
              <w:rPr>
                <w:rFonts w:ascii="Times New Roman"/>
                <w:sz w:val="21"/>
                <w:szCs w:val="21"/>
              </w:rPr>
            </w:pPr>
            <w:r>
              <w:rPr>
                <w:rFonts w:ascii="Times New Roman"/>
                <w:sz w:val="21"/>
                <w:szCs w:val="21"/>
              </w:rPr>
              <w:t>/</w:t>
            </w:r>
          </w:p>
        </w:tc>
        <w:tc>
          <w:tcPr>
            <w:tcW w:w="398" w:type="pct"/>
            <w:vAlign w:val="center"/>
          </w:tcPr>
          <w:p w14:paraId="3D4AD8D0">
            <w:pPr>
              <w:jc w:val="center"/>
              <w:rPr>
                <w:rFonts w:ascii="Times New Roman"/>
                <w:sz w:val="21"/>
                <w:szCs w:val="21"/>
              </w:rPr>
            </w:pPr>
            <w:r>
              <w:rPr>
                <w:rFonts w:hint="eastAsia" w:ascii="Times New Roman"/>
                <w:sz w:val="21"/>
                <w:szCs w:val="21"/>
              </w:rPr>
              <w:t>22.2%</w:t>
            </w:r>
          </w:p>
        </w:tc>
        <w:tc>
          <w:tcPr>
            <w:tcW w:w="407" w:type="pct"/>
            <w:vAlign w:val="center"/>
          </w:tcPr>
          <w:p w14:paraId="21FB67A5">
            <w:pPr>
              <w:jc w:val="center"/>
              <w:rPr>
                <w:rFonts w:ascii="Times New Roman"/>
                <w:sz w:val="21"/>
                <w:szCs w:val="21"/>
              </w:rPr>
            </w:pPr>
            <w:r>
              <w:rPr>
                <w:rFonts w:hint="eastAsia" w:ascii="Times New Roman"/>
                <w:sz w:val="21"/>
                <w:szCs w:val="21"/>
              </w:rPr>
              <w:t>80%</w:t>
            </w:r>
          </w:p>
        </w:tc>
        <w:tc>
          <w:tcPr>
            <w:tcW w:w="349" w:type="pct"/>
            <w:vAlign w:val="center"/>
          </w:tcPr>
          <w:p w14:paraId="687B37A8">
            <w:pPr>
              <w:jc w:val="center"/>
              <w:rPr>
                <w:rFonts w:ascii="Times New Roman"/>
                <w:sz w:val="21"/>
                <w:szCs w:val="21"/>
              </w:rPr>
            </w:pPr>
            <w:r>
              <w:rPr>
                <w:rFonts w:hint="eastAsia" w:ascii="Times New Roman"/>
                <w:sz w:val="21"/>
                <w:szCs w:val="21"/>
              </w:rPr>
              <w:t>/</w:t>
            </w:r>
          </w:p>
        </w:tc>
      </w:tr>
      <w:tr w14:paraId="3FC7B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14:paraId="02DA8402">
            <w:pPr>
              <w:jc w:val="center"/>
              <w:rPr>
                <w:rFonts w:ascii="Times New Roman"/>
                <w:sz w:val="21"/>
                <w:szCs w:val="21"/>
              </w:rPr>
            </w:pPr>
          </w:p>
        </w:tc>
        <w:tc>
          <w:tcPr>
            <w:tcW w:w="417" w:type="pct"/>
            <w:vAlign w:val="center"/>
          </w:tcPr>
          <w:p w14:paraId="10206C23">
            <w:pPr>
              <w:jc w:val="center"/>
              <w:rPr>
                <w:rFonts w:ascii="Times New Roman"/>
                <w:sz w:val="21"/>
                <w:szCs w:val="21"/>
              </w:rPr>
            </w:pPr>
            <w:r>
              <w:rPr>
                <w:rFonts w:ascii="Times New Roman"/>
                <w:sz w:val="21"/>
                <w:szCs w:val="21"/>
              </w:rPr>
              <w:t>处理后</w:t>
            </w:r>
          </w:p>
        </w:tc>
        <w:tc>
          <w:tcPr>
            <w:tcW w:w="435" w:type="pct"/>
            <w:vAlign w:val="center"/>
          </w:tcPr>
          <w:p w14:paraId="2A34F46A">
            <w:pPr>
              <w:jc w:val="center"/>
              <w:rPr>
                <w:rFonts w:ascii="Times New Roman"/>
                <w:sz w:val="21"/>
                <w:szCs w:val="21"/>
              </w:rPr>
            </w:pPr>
            <w:r>
              <w:rPr>
                <w:rFonts w:hint="eastAsia" w:ascii="Times New Roman"/>
                <w:sz w:val="21"/>
                <w:szCs w:val="21"/>
              </w:rPr>
              <w:t>9600</w:t>
            </w:r>
          </w:p>
        </w:tc>
        <w:tc>
          <w:tcPr>
            <w:tcW w:w="442" w:type="pct"/>
            <w:vAlign w:val="center"/>
          </w:tcPr>
          <w:p w14:paraId="6CB7A4D8">
            <w:pPr>
              <w:jc w:val="center"/>
              <w:rPr>
                <w:rFonts w:ascii="Times New Roman"/>
                <w:sz w:val="21"/>
                <w:szCs w:val="21"/>
              </w:rPr>
            </w:pPr>
            <w:r>
              <w:rPr>
                <w:rFonts w:ascii="Times New Roman"/>
                <w:sz w:val="21"/>
                <w:szCs w:val="21"/>
              </w:rPr>
              <w:t>6~9</w:t>
            </w:r>
          </w:p>
        </w:tc>
        <w:tc>
          <w:tcPr>
            <w:tcW w:w="438" w:type="pct"/>
            <w:vAlign w:val="center"/>
          </w:tcPr>
          <w:p w14:paraId="79A9C41D">
            <w:pPr>
              <w:jc w:val="center"/>
              <w:rPr>
                <w:rFonts w:ascii="Times New Roman"/>
                <w:sz w:val="21"/>
                <w:szCs w:val="21"/>
              </w:rPr>
            </w:pPr>
            <w:r>
              <w:rPr>
                <w:rFonts w:ascii="Times New Roman"/>
                <w:sz w:val="21"/>
                <w:szCs w:val="21"/>
              </w:rPr>
              <w:t>300</w:t>
            </w:r>
          </w:p>
        </w:tc>
        <w:tc>
          <w:tcPr>
            <w:tcW w:w="462" w:type="pct"/>
            <w:vAlign w:val="center"/>
          </w:tcPr>
          <w:p w14:paraId="5BBA6B13">
            <w:pPr>
              <w:jc w:val="center"/>
              <w:rPr>
                <w:rFonts w:ascii="Times New Roman"/>
                <w:sz w:val="21"/>
                <w:szCs w:val="21"/>
              </w:rPr>
            </w:pPr>
            <w:r>
              <w:rPr>
                <w:rFonts w:ascii="Times New Roman"/>
                <w:sz w:val="21"/>
                <w:szCs w:val="21"/>
              </w:rPr>
              <w:t>1</w:t>
            </w:r>
            <w:r>
              <w:rPr>
                <w:rFonts w:hint="eastAsia" w:ascii="Times New Roman"/>
                <w:sz w:val="21"/>
                <w:szCs w:val="21"/>
              </w:rPr>
              <w:t>6</w:t>
            </w:r>
            <w:r>
              <w:rPr>
                <w:rFonts w:ascii="Times New Roman"/>
                <w:sz w:val="21"/>
                <w:szCs w:val="21"/>
              </w:rPr>
              <w:t>0</w:t>
            </w:r>
          </w:p>
        </w:tc>
        <w:tc>
          <w:tcPr>
            <w:tcW w:w="432" w:type="pct"/>
            <w:vAlign w:val="center"/>
          </w:tcPr>
          <w:p w14:paraId="7A293047">
            <w:pPr>
              <w:jc w:val="center"/>
              <w:rPr>
                <w:rFonts w:ascii="Times New Roman"/>
                <w:sz w:val="21"/>
                <w:szCs w:val="21"/>
              </w:rPr>
            </w:pPr>
            <w:r>
              <w:rPr>
                <w:rFonts w:ascii="Times New Roman"/>
                <w:sz w:val="21"/>
                <w:szCs w:val="21"/>
              </w:rPr>
              <w:t>150</w:t>
            </w:r>
          </w:p>
        </w:tc>
        <w:tc>
          <w:tcPr>
            <w:tcW w:w="425" w:type="pct"/>
            <w:vAlign w:val="center"/>
          </w:tcPr>
          <w:p w14:paraId="0A9F6DF5">
            <w:pPr>
              <w:jc w:val="center"/>
              <w:rPr>
                <w:rFonts w:ascii="Times New Roman"/>
                <w:sz w:val="21"/>
                <w:szCs w:val="21"/>
              </w:rPr>
            </w:pPr>
            <w:r>
              <w:rPr>
                <w:rFonts w:ascii="Times New Roman"/>
                <w:sz w:val="21"/>
                <w:szCs w:val="21"/>
              </w:rPr>
              <w:t>25</w:t>
            </w:r>
          </w:p>
        </w:tc>
        <w:tc>
          <w:tcPr>
            <w:tcW w:w="399" w:type="pct"/>
            <w:vAlign w:val="center"/>
          </w:tcPr>
          <w:p w14:paraId="119B90B0">
            <w:pPr>
              <w:jc w:val="center"/>
              <w:rPr>
                <w:rFonts w:ascii="Times New Roman"/>
                <w:sz w:val="21"/>
                <w:szCs w:val="21"/>
              </w:rPr>
            </w:pPr>
            <w:r>
              <w:rPr>
                <w:rFonts w:hint="eastAsia" w:ascii="Times New Roman"/>
                <w:sz w:val="21"/>
                <w:szCs w:val="21"/>
              </w:rPr>
              <w:t>5</w:t>
            </w:r>
          </w:p>
        </w:tc>
        <w:tc>
          <w:tcPr>
            <w:tcW w:w="398" w:type="pct"/>
            <w:vAlign w:val="center"/>
          </w:tcPr>
          <w:p w14:paraId="1349F12F">
            <w:pPr>
              <w:jc w:val="center"/>
              <w:rPr>
                <w:rFonts w:ascii="Times New Roman"/>
                <w:sz w:val="21"/>
                <w:szCs w:val="21"/>
              </w:rPr>
            </w:pPr>
            <w:r>
              <w:rPr>
                <w:rFonts w:hint="eastAsia" w:ascii="Times New Roman"/>
                <w:sz w:val="21"/>
                <w:szCs w:val="21"/>
              </w:rPr>
              <w:t>35</w:t>
            </w:r>
          </w:p>
        </w:tc>
        <w:tc>
          <w:tcPr>
            <w:tcW w:w="407" w:type="pct"/>
            <w:vAlign w:val="center"/>
          </w:tcPr>
          <w:p w14:paraId="6C7185F4">
            <w:pPr>
              <w:jc w:val="center"/>
              <w:rPr>
                <w:rFonts w:ascii="Times New Roman"/>
                <w:sz w:val="21"/>
                <w:szCs w:val="21"/>
              </w:rPr>
            </w:pPr>
            <w:r>
              <w:rPr>
                <w:rFonts w:hint="eastAsia" w:ascii="Times New Roman"/>
                <w:sz w:val="21"/>
                <w:szCs w:val="21"/>
              </w:rPr>
              <w:t>10</w:t>
            </w:r>
          </w:p>
        </w:tc>
        <w:tc>
          <w:tcPr>
            <w:tcW w:w="349" w:type="pct"/>
            <w:vAlign w:val="center"/>
          </w:tcPr>
          <w:p w14:paraId="4F067205">
            <w:pPr>
              <w:jc w:val="center"/>
              <w:rPr>
                <w:rFonts w:ascii="Times New Roman"/>
                <w:sz w:val="21"/>
                <w:szCs w:val="21"/>
              </w:rPr>
            </w:pPr>
            <w:r>
              <w:rPr>
                <w:rFonts w:hint="eastAsia" w:ascii="Times New Roman"/>
                <w:sz w:val="21"/>
                <w:szCs w:val="21"/>
              </w:rPr>
              <w:t>/</w:t>
            </w:r>
          </w:p>
        </w:tc>
      </w:tr>
      <w:tr w14:paraId="63D64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7" w:type="pct"/>
            <w:gridSpan w:val="2"/>
            <w:vMerge w:val="restart"/>
            <w:vAlign w:val="center"/>
          </w:tcPr>
          <w:p w14:paraId="67CBC368">
            <w:pPr>
              <w:jc w:val="center"/>
              <w:rPr>
                <w:rFonts w:ascii="Times New Roman"/>
                <w:sz w:val="21"/>
                <w:szCs w:val="21"/>
              </w:rPr>
            </w:pPr>
            <w:r>
              <w:rPr>
                <w:rFonts w:ascii="Times New Roman"/>
                <w:b/>
                <w:bCs/>
                <w:sz w:val="21"/>
                <w:szCs w:val="21"/>
              </w:rPr>
              <w:t>本项目外排生活废水</w:t>
            </w:r>
          </w:p>
        </w:tc>
        <w:tc>
          <w:tcPr>
            <w:tcW w:w="435" w:type="pct"/>
            <w:vMerge w:val="restart"/>
            <w:vAlign w:val="center"/>
          </w:tcPr>
          <w:p w14:paraId="4D678516">
            <w:pPr>
              <w:jc w:val="center"/>
              <w:rPr>
                <w:rFonts w:ascii="Times New Roman"/>
                <w:sz w:val="21"/>
                <w:szCs w:val="21"/>
              </w:rPr>
            </w:pPr>
            <w:r>
              <w:rPr>
                <w:rFonts w:hint="eastAsia" w:ascii="Times New Roman"/>
                <w:sz w:val="21"/>
                <w:szCs w:val="21"/>
              </w:rPr>
              <w:t>9600</w:t>
            </w:r>
          </w:p>
        </w:tc>
        <w:tc>
          <w:tcPr>
            <w:tcW w:w="442" w:type="pct"/>
            <w:vAlign w:val="center"/>
          </w:tcPr>
          <w:p w14:paraId="37763E4E">
            <w:pPr>
              <w:jc w:val="center"/>
              <w:rPr>
                <w:rFonts w:ascii="Times New Roman"/>
                <w:sz w:val="21"/>
                <w:szCs w:val="21"/>
              </w:rPr>
            </w:pPr>
            <w:r>
              <w:rPr>
                <w:rFonts w:ascii="Times New Roman"/>
                <w:sz w:val="21"/>
                <w:szCs w:val="21"/>
              </w:rPr>
              <w:t>6~9</w:t>
            </w:r>
          </w:p>
        </w:tc>
        <w:tc>
          <w:tcPr>
            <w:tcW w:w="438" w:type="pct"/>
            <w:shd w:val="clear" w:color="auto" w:fill="auto"/>
            <w:vAlign w:val="center"/>
          </w:tcPr>
          <w:p w14:paraId="519F68E6">
            <w:pPr>
              <w:jc w:val="center"/>
              <w:rPr>
                <w:rFonts w:ascii="Times New Roman"/>
                <w:sz w:val="21"/>
                <w:szCs w:val="21"/>
              </w:rPr>
            </w:pPr>
            <w:r>
              <w:rPr>
                <w:rFonts w:ascii="Times New Roman"/>
                <w:sz w:val="21"/>
                <w:szCs w:val="21"/>
              </w:rPr>
              <w:t>300</w:t>
            </w:r>
          </w:p>
        </w:tc>
        <w:tc>
          <w:tcPr>
            <w:tcW w:w="462" w:type="pct"/>
            <w:shd w:val="clear" w:color="auto" w:fill="auto"/>
            <w:vAlign w:val="center"/>
          </w:tcPr>
          <w:p w14:paraId="135ABBD1">
            <w:pPr>
              <w:jc w:val="center"/>
              <w:rPr>
                <w:rFonts w:ascii="Times New Roman"/>
                <w:sz w:val="21"/>
                <w:szCs w:val="21"/>
              </w:rPr>
            </w:pPr>
            <w:r>
              <w:rPr>
                <w:rFonts w:ascii="Times New Roman"/>
                <w:sz w:val="21"/>
                <w:szCs w:val="21"/>
              </w:rPr>
              <w:t>1</w:t>
            </w:r>
            <w:r>
              <w:rPr>
                <w:rFonts w:hint="eastAsia" w:ascii="Times New Roman"/>
                <w:sz w:val="21"/>
                <w:szCs w:val="21"/>
              </w:rPr>
              <w:t>6</w:t>
            </w:r>
            <w:r>
              <w:rPr>
                <w:rFonts w:ascii="Times New Roman"/>
                <w:sz w:val="21"/>
                <w:szCs w:val="21"/>
              </w:rPr>
              <w:t>0</w:t>
            </w:r>
          </w:p>
        </w:tc>
        <w:tc>
          <w:tcPr>
            <w:tcW w:w="432" w:type="pct"/>
            <w:shd w:val="clear" w:color="auto" w:fill="auto"/>
            <w:vAlign w:val="center"/>
          </w:tcPr>
          <w:p w14:paraId="77EF197C">
            <w:pPr>
              <w:jc w:val="center"/>
              <w:rPr>
                <w:rFonts w:ascii="Times New Roman"/>
                <w:sz w:val="21"/>
                <w:szCs w:val="21"/>
              </w:rPr>
            </w:pPr>
            <w:r>
              <w:rPr>
                <w:rFonts w:ascii="Times New Roman"/>
                <w:sz w:val="21"/>
                <w:szCs w:val="21"/>
              </w:rPr>
              <w:t>150</w:t>
            </w:r>
          </w:p>
        </w:tc>
        <w:tc>
          <w:tcPr>
            <w:tcW w:w="425" w:type="pct"/>
            <w:shd w:val="clear" w:color="auto" w:fill="auto"/>
            <w:vAlign w:val="center"/>
          </w:tcPr>
          <w:p w14:paraId="68850645">
            <w:pPr>
              <w:jc w:val="center"/>
              <w:rPr>
                <w:rFonts w:ascii="Times New Roman"/>
                <w:sz w:val="21"/>
                <w:szCs w:val="21"/>
              </w:rPr>
            </w:pPr>
            <w:r>
              <w:rPr>
                <w:rFonts w:ascii="Times New Roman"/>
                <w:sz w:val="21"/>
                <w:szCs w:val="21"/>
              </w:rPr>
              <w:t>25</w:t>
            </w:r>
          </w:p>
        </w:tc>
        <w:tc>
          <w:tcPr>
            <w:tcW w:w="399" w:type="pct"/>
            <w:shd w:val="clear" w:color="auto" w:fill="auto"/>
            <w:vAlign w:val="center"/>
          </w:tcPr>
          <w:p w14:paraId="3D356AFB">
            <w:pPr>
              <w:jc w:val="center"/>
              <w:rPr>
                <w:rFonts w:ascii="Times New Roman"/>
                <w:sz w:val="21"/>
                <w:szCs w:val="21"/>
              </w:rPr>
            </w:pPr>
            <w:r>
              <w:rPr>
                <w:rFonts w:hint="eastAsia" w:ascii="Times New Roman"/>
                <w:sz w:val="21"/>
                <w:szCs w:val="21"/>
              </w:rPr>
              <w:t>5</w:t>
            </w:r>
          </w:p>
        </w:tc>
        <w:tc>
          <w:tcPr>
            <w:tcW w:w="398" w:type="pct"/>
            <w:shd w:val="clear" w:color="auto" w:fill="auto"/>
            <w:vAlign w:val="center"/>
          </w:tcPr>
          <w:p w14:paraId="765917BB">
            <w:pPr>
              <w:jc w:val="center"/>
              <w:rPr>
                <w:rFonts w:ascii="Times New Roman"/>
                <w:sz w:val="21"/>
                <w:szCs w:val="21"/>
              </w:rPr>
            </w:pPr>
            <w:r>
              <w:rPr>
                <w:rFonts w:hint="eastAsia" w:ascii="Times New Roman"/>
                <w:sz w:val="21"/>
                <w:szCs w:val="21"/>
              </w:rPr>
              <w:t>35</w:t>
            </w:r>
          </w:p>
        </w:tc>
        <w:tc>
          <w:tcPr>
            <w:tcW w:w="407" w:type="pct"/>
            <w:shd w:val="clear" w:color="auto" w:fill="auto"/>
            <w:vAlign w:val="center"/>
          </w:tcPr>
          <w:p w14:paraId="2AF326BA">
            <w:pPr>
              <w:jc w:val="center"/>
              <w:rPr>
                <w:rFonts w:ascii="Times New Roman"/>
                <w:sz w:val="21"/>
                <w:szCs w:val="21"/>
              </w:rPr>
            </w:pPr>
            <w:r>
              <w:rPr>
                <w:rFonts w:hint="eastAsia" w:ascii="Times New Roman"/>
                <w:sz w:val="21"/>
                <w:szCs w:val="21"/>
              </w:rPr>
              <w:t>10</w:t>
            </w:r>
          </w:p>
        </w:tc>
        <w:tc>
          <w:tcPr>
            <w:tcW w:w="349" w:type="pct"/>
            <w:vAlign w:val="center"/>
          </w:tcPr>
          <w:p w14:paraId="79862971">
            <w:pPr>
              <w:jc w:val="center"/>
              <w:rPr>
                <w:rFonts w:ascii="Times New Roman"/>
                <w:sz w:val="21"/>
                <w:szCs w:val="21"/>
              </w:rPr>
            </w:pPr>
            <w:r>
              <w:rPr>
                <w:rFonts w:hint="eastAsia" w:ascii="Times New Roman"/>
                <w:sz w:val="21"/>
                <w:szCs w:val="21"/>
              </w:rPr>
              <w:t>/</w:t>
            </w:r>
          </w:p>
        </w:tc>
      </w:tr>
      <w:tr w14:paraId="05CDB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07" w:type="pct"/>
            <w:gridSpan w:val="2"/>
            <w:vMerge w:val="continue"/>
            <w:vAlign w:val="center"/>
          </w:tcPr>
          <w:p w14:paraId="7FA60100">
            <w:pPr>
              <w:jc w:val="center"/>
              <w:rPr>
                <w:rFonts w:ascii="Times New Roman"/>
                <w:sz w:val="21"/>
                <w:szCs w:val="21"/>
              </w:rPr>
            </w:pPr>
          </w:p>
        </w:tc>
        <w:tc>
          <w:tcPr>
            <w:tcW w:w="435" w:type="pct"/>
            <w:vMerge w:val="continue"/>
            <w:vAlign w:val="center"/>
          </w:tcPr>
          <w:p w14:paraId="63168E49">
            <w:pPr>
              <w:jc w:val="center"/>
              <w:rPr>
                <w:rFonts w:ascii="Times New Roman"/>
                <w:sz w:val="21"/>
                <w:szCs w:val="21"/>
              </w:rPr>
            </w:pPr>
          </w:p>
        </w:tc>
        <w:tc>
          <w:tcPr>
            <w:tcW w:w="442" w:type="pct"/>
            <w:vAlign w:val="center"/>
          </w:tcPr>
          <w:p w14:paraId="6241631E">
            <w:pPr>
              <w:jc w:val="center"/>
              <w:rPr>
                <w:rFonts w:ascii="Times New Roman"/>
                <w:sz w:val="21"/>
                <w:szCs w:val="21"/>
              </w:rPr>
            </w:pPr>
            <w:r>
              <w:rPr>
                <w:rFonts w:ascii="Times New Roman"/>
                <w:sz w:val="21"/>
                <w:szCs w:val="21"/>
              </w:rPr>
              <w:t>/</w:t>
            </w:r>
          </w:p>
        </w:tc>
        <w:tc>
          <w:tcPr>
            <w:tcW w:w="438" w:type="pct"/>
            <w:vAlign w:val="center"/>
          </w:tcPr>
          <w:p w14:paraId="3B95EF3B">
            <w:pPr>
              <w:jc w:val="center"/>
              <w:rPr>
                <w:rFonts w:ascii="Times New Roman"/>
                <w:sz w:val="21"/>
                <w:szCs w:val="21"/>
              </w:rPr>
            </w:pPr>
            <w:r>
              <w:rPr>
                <w:rFonts w:hint="eastAsia" w:ascii="Times New Roman"/>
                <w:sz w:val="21"/>
                <w:szCs w:val="21"/>
              </w:rPr>
              <w:t>2.88</w:t>
            </w:r>
            <w:r>
              <w:rPr>
                <w:rFonts w:ascii="Times New Roman"/>
                <w:sz w:val="21"/>
                <w:szCs w:val="21"/>
              </w:rPr>
              <w:t>t/a</w:t>
            </w:r>
          </w:p>
        </w:tc>
        <w:tc>
          <w:tcPr>
            <w:tcW w:w="462" w:type="pct"/>
            <w:vAlign w:val="center"/>
          </w:tcPr>
          <w:p w14:paraId="5BA9AD26">
            <w:pPr>
              <w:jc w:val="center"/>
              <w:rPr>
                <w:rFonts w:ascii="Times New Roman"/>
                <w:sz w:val="21"/>
                <w:szCs w:val="21"/>
              </w:rPr>
            </w:pPr>
            <w:r>
              <w:rPr>
                <w:rFonts w:hint="eastAsia" w:ascii="Times New Roman"/>
                <w:sz w:val="21"/>
                <w:szCs w:val="21"/>
              </w:rPr>
              <w:t>1.536</w:t>
            </w:r>
            <w:r>
              <w:rPr>
                <w:rFonts w:ascii="Times New Roman"/>
                <w:sz w:val="21"/>
                <w:szCs w:val="21"/>
              </w:rPr>
              <w:t>t/a</w:t>
            </w:r>
          </w:p>
        </w:tc>
        <w:tc>
          <w:tcPr>
            <w:tcW w:w="432" w:type="pct"/>
            <w:vAlign w:val="center"/>
          </w:tcPr>
          <w:p w14:paraId="363DE362">
            <w:pPr>
              <w:jc w:val="center"/>
              <w:rPr>
                <w:rFonts w:ascii="Times New Roman"/>
                <w:sz w:val="21"/>
                <w:szCs w:val="21"/>
              </w:rPr>
            </w:pPr>
            <w:r>
              <w:rPr>
                <w:rFonts w:hint="eastAsia" w:ascii="Times New Roman"/>
                <w:sz w:val="21"/>
                <w:szCs w:val="21"/>
              </w:rPr>
              <w:t>1.44</w:t>
            </w:r>
            <w:r>
              <w:rPr>
                <w:rFonts w:ascii="Times New Roman"/>
                <w:sz w:val="21"/>
                <w:szCs w:val="21"/>
              </w:rPr>
              <w:t>t/a</w:t>
            </w:r>
          </w:p>
        </w:tc>
        <w:tc>
          <w:tcPr>
            <w:tcW w:w="425" w:type="pct"/>
            <w:vAlign w:val="center"/>
          </w:tcPr>
          <w:p w14:paraId="466BB68C">
            <w:pPr>
              <w:jc w:val="center"/>
              <w:rPr>
                <w:rFonts w:ascii="Times New Roman"/>
                <w:sz w:val="21"/>
                <w:szCs w:val="21"/>
              </w:rPr>
            </w:pPr>
            <w:r>
              <w:rPr>
                <w:rFonts w:ascii="Times New Roman"/>
                <w:sz w:val="21"/>
                <w:szCs w:val="21"/>
              </w:rPr>
              <w:t>0.</w:t>
            </w:r>
            <w:r>
              <w:rPr>
                <w:rFonts w:hint="eastAsia" w:ascii="Times New Roman"/>
                <w:sz w:val="21"/>
                <w:szCs w:val="21"/>
              </w:rPr>
              <w:t>24</w:t>
            </w:r>
            <w:r>
              <w:rPr>
                <w:rFonts w:ascii="Times New Roman"/>
                <w:sz w:val="21"/>
                <w:szCs w:val="21"/>
              </w:rPr>
              <w:t>t/a</w:t>
            </w:r>
          </w:p>
        </w:tc>
        <w:tc>
          <w:tcPr>
            <w:tcW w:w="399" w:type="pct"/>
            <w:vAlign w:val="center"/>
          </w:tcPr>
          <w:p w14:paraId="77FDFC7D">
            <w:pPr>
              <w:jc w:val="center"/>
              <w:rPr>
                <w:rFonts w:ascii="Times New Roman"/>
                <w:sz w:val="21"/>
                <w:szCs w:val="21"/>
              </w:rPr>
            </w:pPr>
            <w:r>
              <w:rPr>
                <w:rFonts w:hint="eastAsia" w:ascii="Times New Roman"/>
                <w:sz w:val="21"/>
                <w:szCs w:val="21"/>
              </w:rPr>
              <w:t>0.048</w:t>
            </w:r>
            <w:r>
              <w:rPr>
                <w:rFonts w:ascii="Times New Roman"/>
                <w:sz w:val="21"/>
                <w:szCs w:val="21"/>
              </w:rPr>
              <w:t>t/a</w:t>
            </w:r>
          </w:p>
        </w:tc>
        <w:tc>
          <w:tcPr>
            <w:tcW w:w="398" w:type="pct"/>
            <w:vAlign w:val="center"/>
          </w:tcPr>
          <w:p w14:paraId="4A8B42CC">
            <w:pPr>
              <w:jc w:val="center"/>
              <w:rPr>
                <w:rFonts w:ascii="Times New Roman"/>
                <w:sz w:val="21"/>
                <w:szCs w:val="21"/>
              </w:rPr>
            </w:pPr>
            <w:r>
              <w:rPr>
                <w:rFonts w:hint="eastAsia" w:ascii="Times New Roman"/>
                <w:sz w:val="21"/>
                <w:szCs w:val="21"/>
              </w:rPr>
              <w:t>0.336</w:t>
            </w:r>
            <w:r>
              <w:rPr>
                <w:rFonts w:ascii="Times New Roman"/>
                <w:sz w:val="21"/>
                <w:szCs w:val="21"/>
              </w:rPr>
              <w:t>t/a</w:t>
            </w:r>
          </w:p>
        </w:tc>
        <w:tc>
          <w:tcPr>
            <w:tcW w:w="407" w:type="pct"/>
            <w:vAlign w:val="center"/>
          </w:tcPr>
          <w:p w14:paraId="689A4CF1">
            <w:pPr>
              <w:jc w:val="center"/>
              <w:rPr>
                <w:rFonts w:ascii="Times New Roman"/>
                <w:sz w:val="21"/>
                <w:szCs w:val="21"/>
              </w:rPr>
            </w:pPr>
            <w:r>
              <w:rPr>
                <w:rFonts w:hint="eastAsia" w:ascii="Times New Roman"/>
                <w:sz w:val="21"/>
                <w:szCs w:val="21"/>
              </w:rPr>
              <w:t>0.096</w:t>
            </w:r>
            <w:r>
              <w:rPr>
                <w:rFonts w:ascii="Times New Roman"/>
                <w:sz w:val="21"/>
                <w:szCs w:val="21"/>
              </w:rPr>
              <w:t>t/a</w:t>
            </w:r>
          </w:p>
        </w:tc>
        <w:tc>
          <w:tcPr>
            <w:tcW w:w="349" w:type="pct"/>
            <w:vAlign w:val="center"/>
          </w:tcPr>
          <w:p w14:paraId="42134048">
            <w:pPr>
              <w:jc w:val="center"/>
              <w:rPr>
                <w:rFonts w:ascii="Times New Roman"/>
                <w:sz w:val="21"/>
                <w:szCs w:val="21"/>
              </w:rPr>
            </w:pPr>
            <w:r>
              <w:rPr>
                <w:rFonts w:hint="eastAsia" w:ascii="Times New Roman"/>
                <w:sz w:val="21"/>
                <w:szCs w:val="21"/>
              </w:rPr>
              <w:t>/</w:t>
            </w:r>
          </w:p>
        </w:tc>
      </w:tr>
      <w:tr w14:paraId="02BBF8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07" w:type="pct"/>
            <w:gridSpan w:val="2"/>
            <w:vMerge w:val="restart"/>
            <w:vAlign w:val="center"/>
          </w:tcPr>
          <w:p w14:paraId="0675D1FD">
            <w:pPr>
              <w:jc w:val="center"/>
              <w:rPr>
                <w:rFonts w:ascii="Times New Roman"/>
                <w:sz w:val="21"/>
                <w:szCs w:val="21"/>
              </w:rPr>
            </w:pPr>
            <w:r>
              <w:rPr>
                <w:rFonts w:hint="eastAsia" w:ascii="Times New Roman"/>
                <w:b/>
                <w:bCs/>
                <w:sz w:val="21"/>
                <w:szCs w:val="21"/>
              </w:rPr>
              <w:t>厂区总排口DW001</w:t>
            </w:r>
          </w:p>
        </w:tc>
        <w:tc>
          <w:tcPr>
            <w:tcW w:w="435" w:type="pct"/>
            <w:vMerge w:val="restart"/>
            <w:vAlign w:val="center"/>
          </w:tcPr>
          <w:p w14:paraId="6BD02911">
            <w:pPr>
              <w:jc w:val="center"/>
              <w:rPr>
                <w:rFonts w:ascii="Times New Roman"/>
                <w:sz w:val="21"/>
                <w:szCs w:val="21"/>
              </w:rPr>
            </w:pPr>
            <w:r>
              <w:rPr>
                <w:rFonts w:hint="eastAsia" w:ascii="Times New Roman"/>
                <w:sz w:val="21"/>
                <w:szCs w:val="21"/>
              </w:rPr>
              <w:t>38817.066</w:t>
            </w:r>
          </w:p>
        </w:tc>
        <w:tc>
          <w:tcPr>
            <w:tcW w:w="442" w:type="pct"/>
            <w:shd w:val="clear" w:color="auto" w:fill="auto"/>
            <w:vAlign w:val="center"/>
          </w:tcPr>
          <w:p w14:paraId="5075CF64">
            <w:pPr>
              <w:jc w:val="center"/>
              <w:rPr>
                <w:rFonts w:ascii="Times New Roman"/>
                <w:sz w:val="21"/>
                <w:szCs w:val="21"/>
              </w:rPr>
            </w:pPr>
            <w:r>
              <w:rPr>
                <w:rFonts w:ascii="Times New Roman"/>
                <w:sz w:val="21"/>
                <w:szCs w:val="21"/>
              </w:rPr>
              <w:t>6~9</w:t>
            </w:r>
          </w:p>
        </w:tc>
        <w:tc>
          <w:tcPr>
            <w:tcW w:w="438" w:type="pct"/>
            <w:vAlign w:val="center"/>
          </w:tcPr>
          <w:p w14:paraId="4F348699">
            <w:pPr>
              <w:jc w:val="center"/>
              <w:rPr>
                <w:rFonts w:ascii="Times New Roman"/>
                <w:sz w:val="21"/>
                <w:szCs w:val="21"/>
              </w:rPr>
            </w:pPr>
            <w:r>
              <w:rPr>
                <w:rFonts w:hint="eastAsia" w:ascii="Times New Roman"/>
                <w:sz w:val="21"/>
                <w:szCs w:val="21"/>
              </w:rPr>
              <w:t>146.2</w:t>
            </w:r>
          </w:p>
        </w:tc>
        <w:tc>
          <w:tcPr>
            <w:tcW w:w="462" w:type="pct"/>
            <w:vAlign w:val="center"/>
          </w:tcPr>
          <w:p w14:paraId="1BCA6EE8">
            <w:pPr>
              <w:jc w:val="center"/>
              <w:rPr>
                <w:rFonts w:ascii="Times New Roman"/>
                <w:sz w:val="21"/>
                <w:szCs w:val="21"/>
              </w:rPr>
            </w:pPr>
            <w:r>
              <w:rPr>
                <w:rFonts w:hint="eastAsia" w:ascii="Times New Roman"/>
                <w:sz w:val="21"/>
                <w:szCs w:val="21"/>
              </w:rPr>
              <w:t>39.6</w:t>
            </w:r>
          </w:p>
        </w:tc>
        <w:tc>
          <w:tcPr>
            <w:tcW w:w="432" w:type="pct"/>
            <w:vAlign w:val="center"/>
          </w:tcPr>
          <w:p w14:paraId="41DFB8F6">
            <w:pPr>
              <w:jc w:val="center"/>
              <w:rPr>
                <w:rFonts w:ascii="Times New Roman"/>
                <w:sz w:val="21"/>
                <w:szCs w:val="21"/>
              </w:rPr>
            </w:pPr>
            <w:r>
              <w:rPr>
                <w:rFonts w:hint="eastAsia" w:ascii="Times New Roman"/>
                <w:sz w:val="21"/>
                <w:szCs w:val="21"/>
              </w:rPr>
              <w:t>97.4</w:t>
            </w:r>
          </w:p>
        </w:tc>
        <w:tc>
          <w:tcPr>
            <w:tcW w:w="425" w:type="pct"/>
            <w:vAlign w:val="center"/>
          </w:tcPr>
          <w:p w14:paraId="7054FE19">
            <w:pPr>
              <w:jc w:val="center"/>
              <w:rPr>
                <w:rFonts w:ascii="Times New Roman"/>
                <w:sz w:val="21"/>
                <w:szCs w:val="21"/>
              </w:rPr>
            </w:pPr>
            <w:r>
              <w:rPr>
                <w:rFonts w:hint="eastAsia" w:ascii="Times New Roman"/>
                <w:sz w:val="21"/>
                <w:szCs w:val="21"/>
              </w:rPr>
              <w:t>6.2</w:t>
            </w:r>
          </w:p>
        </w:tc>
        <w:tc>
          <w:tcPr>
            <w:tcW w:w="399" w:type="pct"/>
            <w:vAlign w:val="center"/>
          </w:tcPr>
          <w:p w14:paraId="668954BA">
            <w:pPr>
              <w:jc w:val="center"/>
              <w:rPr>
                <w:rFonts w:ascii="Times New Roman"/>
                <w:sz w:val="21"/>
                <w:szCs w:val="21"/>
              </w:rPr>
            </w:pPr>
            <w:r>
              <w:rPr>
                <w:rFonts w:hint="eastAsia" w:ascii="Times New Roman"/>
                <w:sz w:val="21"/>
                <w:szCs w:val="21"/>
              </w:rPr>
              <w:t>3.4</w:t>
            </w:r>
          </w:p>
        </w:tc>
        <w:tc>
          <w:tcPr>
            <w:tcW w:w="398" w:type="pct"/>
            <w:vAlign w:val="center"/>
          </w:tcPr>
          <w:p w14:paraId="1BE47BBB">
            <w:pPr>
              <w:jc w:val="center"/>
              <w:rPr>
                <w:rFonts w:ascii="Times New Roman"/>
                <w:sz w:val="21"/>
                <w:szCs w:val="21"/>
              </w:rPr>
            </w:pPr>
            <w:r>
              <w:rPr>
                <w:rFonts w:hint="eastAsia" w:ascii="Times New Roman"/>
                <w:sz w:val="21"/>
                <w:szCs w:val="21"/>
              </w:rPr>
              <w:t>8.6</w:t>
            </w:r>
          </w:p>
        </w:tc>
        <w:tc>
          <w:tcPr>
            <w:tcW w:w="407" w:type="pct"/>
            <w:vAlign w:val="center"/>
          </w:tcPr>
          <w:p w14:paraId="2CC2FE60">
            <w:pPr>
              <w:jc w:val="center"/>
              <w:rPr>
                <w:rFonts w:ascii="Times New Roman"/>
                <w:sz w:val="21"/>
                <w:szCs w:val="21"/>
              </w:rPr>
            </w:pPr>
            <w:r>
              <w:rPr>
                <w:rFonts w:hint="eastAsia" w:ascii="Times New Roman"/>
                <w:sz w:val="21"/>
                <w:szCs w:val="21"/>
              </w:rPr>
              <w:t>2.5</w:t>
            </w:r>
          </w:p>
        </w:tc>
        <w:tc>
          <w:tcPr>
            <w:tcW w:w="349" w:type="pct"/>
            <w:vAlign w:val="center"/>
          </w:tcPr>
          <w:p w14:paraId="287535ED">
            <w:pPr>
              <w:jc w:val="center"/>
              <w:rPr>
                <w:rFonts w:ascii="Times New Roman"/>
                <w:sz w:val="21"/>
                <w:szCs w:val="21"/>
              </w:rPr>
            </w:pPr>
            <w:r>
              <w:rPr>
                <w:rFonts w:hint="eastAsia" w:ascii="Times New Roman"/>
                <w:sz w:val="21"/>
                <w:szCs w:val="21"/>
              </w:rPr>
              <w:t>4.7</w:t>
            </w:r>
          </w:p>
        </w:tc>
      </w:tr>
      <w:tr w14:paraId="75C05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07" w:type="pct"/>
            <w:gridSpan w:val="2"/>
            <w:vMerge w:val="continue"/>
            <w:vAlign w:val="center"/>
          </w:tcPr>
          <w:p w14:paraId="699A5F7D">
            <w:pPr>
              <w:jc w:val="center"/>
              <w:rPr>
                <w:rFonts w:ascii="Times New Roman"/>
                <w:sz w:val="21"/>
                <w:szCs w:val="21"/>
              </w:rPr>
            </w:pPr>
          </w:p>
        </w:tc>
        <w:tc>
          <w:tcPr>
            <w:tcW w:w="435" w:type="pct"/>
            <w:vMerge w:val="continue"/>
            <w:vAlign w:val="center"/>
          </w:tcPr>
          <w:p w14:paraId="6A1E10B1">
            <w:pPr>
              <w:jc w:val="center"/>
              <w:rPr>
                <w:rFonts w:ascii="Times New Roman"/>
                <w:sz w:val="21"/>
                <w:szCs w:val="21"/>
              </w:rPr>
            </w:pPr>
          </w:p>
        </w:tc>
        <w:tc>
          <w:tcPr>
            <w:tcW w:w="442" w:type="pct"/>
            <w:shd w:val="clear" w:color="auto" w:fill="auto"/>
            <w:vAlign w:val="center"/>
          </w:tcPr>
          <w:p w14:paraId="2F833F22">
            <w:pPr>
              <w:jc w:val="center"/>
              <w:rPr>
                <w:rFonts w:ascii="Times New Roman"/>
                <w:sz w:val="21"/>
                <w:szCs w:val="21"/>
              </w:rPr>
            </w:pPr>
            <w:r>
              <w:rPr>
                <w:rFonts w:ascii="Times New Roman"/>
                <w:sz w:val="21"/>
                <w:szCs w:val="21"/>
              </w:rPr>
              <w:t>/</w:t>
            </w:r>
          </w:p>
        </w:tc>
        <w:tc>
          <w:tcPr>
            <w:tcW w:w="438" w:type="pct"/>
            <w:vAlign w:val="center"/>
          </w:tcPr>
          <w:p w14:paraId="1206BA99">
            <w:pPr>
              <w:jc w:val="center"/>
              <w:rPr>
                <w:rFonts w:ascii="Times New Roman"/>
                <w:sz w:val="21"/>
                <w:szCs w:val="21"/>
              </w:rPr>
            </w:pPr>
            <w:r>
              <w:rPr>
                <w:rFonts w:hint="eastAsia" w:ascii="Times New Roman"/>
                <w:sz w:val="21"/>
                <w:szCs w:val="21"/>
              </w:rPr>
              <w:t>5.677</w:t>
            </w:r>
            <w:r>
              <w:rPr>
                <w:rFonts w:ascii="Times New Roman"/>
                <w:sz w:val="21"/>
                <w:szCs w:val="21"/>
              </w:rPr>
              <w:t>t/a</w:t>
            </w:r>
          </w:p>
        </w:tc>
        <w:tc>
          <w:tcPr>
            <w:tcW w:w="462" w:type="pct"/>
            <w:vAlign w:val="center"/>
          </w:tcPr>
          <w:p w14:paraId="0D2B78B4">
            <w:pPr>
              <w:jc w:val="center"/>
              <w:rPr>
                <w:rFonts w:ascii="Times New Roman"/>
                <w:sz w:val="21"/>
                <w:szCs w:val="21"/>
              </w:rPr>
            </w:pPr>
            <w:r>
              <w:rPr>
                <w:rFonts w:hint="eastAsia" w:ascii="Times New Roman"/>
                <w:sz w:val="21"/>
                <w:szCs w:val="21"/>
              </w:rPr>
              <w:t>1.536</w:t>
            </w:r>
            <w:r>
              <w:rPr>
                <w:rFonts w:ascii="Times New Roman"/>
                <w:sz w:val="21"/>
                <w:szCs w:val="21"/>
              </w:rPr>
              <w:t>t/a</w:t>
            </w:r>
          </w:p>
        </w:tc>
        <w:tc>
          <w:tcPr>
            <w:tcW w:w="432" w:type="pct"/>
            <w:vAlign w:val="center"/>
          </w:tcPr>
          <w:p w14:paraId="74EF3FDB">
            <w:pPr>
              <w:jc w:val="center"/>
              <w:rPr>
                <w:rFonts w:ascii="Times New Roman"/>
                <w:sz w:val="21"/>
                <w:szCs w:val="21"/>
              </w:rPr>
            </w:pPr>
            <w:r>
              <w:rPr>
                <w:rFonts w:hint="eastAsia" w:ascii="Times New Roman"/>
                <w:sz w:val="21"/>
                <w:szCs w:val="21"/>
              </w:rPr>
              <w:t>3.783</w:t>
            </w:r>
            <w:r>
              <w:rPr>
                <w:rFonts w:ascii="Times New Roman"/>
                <w:sz w:val="21"/>
                <w:szCs w:val="21"/>
              </w:rPr>
              <w:t>t/a</w:t>
            </w:r>
          </w:p>
        </w:tc>
        <w:tc>
          <w:tcPr>
            <w:tcW w:w="425" w:type="pct"/>
            <w:vAlign w:val="center"/>
          </w:tcPr>
          <w:p w14:paraId="2888E327">
            <w:pPr>
              <w:jc w:val="center"/>
              <w:rPr>
                <w:rFonts w:ascii="Times New Roman"/>
                <w:sz w:val="21"/>
                <w:szCs w:val="21"/>
              </w:rPr>
            </w:pPr>
            <w:r>
              <w:rPr>
                <w:rFonts w:hint="eastAsia" w:ascii="Times New Roman"/>
                <w:sz w:val="21"/>
                <w:szCs w:val="21"/>
              </w:rPr>
              <w:t>0.240</w:t>
            </w:r>
            <w:r>
              <w:rPr>
                <w:rFonts w:ascii="Times New Roman"/>
                <w:sz w:val="21"/>
                <w:szCs w:val="21"/>
              </w:rPr>
              <w:t>t/a</w:t>
            </w:r>
          </w:p>
        </w:tc>
        <w:tc>
          <w:tcPr>
            <w:tcW w:w="399" w:type="pct"/>
            <w:vAlign w:val="center"/>
          </w:tcPr>
          <w:p w14:paraId="3F72AECA">
            <w:pPr>
              <w:jc w:val="center"/>
              <w:rPr>
                <w:rFonts w:ascii="Times New Roman"/>
                <w:sz w:val="21"/>
                <w:szCs w:val="21"/>
              </w:rPr>
            </w:pPr>
            <w:r>
              <w:rPr>
                <w:rFonts w:hint="eastAsia" w:ascii="Times New Roman"/>
                <w:sz w:val="21"/>
                <w:szCs w:val="21"/>
              </w:rPr>
              <w:t>0.133</w:t>
            </w:r>
            <w:r>
              <w:rPr>
                <w:rFonts w:ascii="Times New Roman"/>
                <w:sz w:val="21"/>
                <w:szCs w:val="21"/>
              </w:rPr>
              <w:t>t/a</w:t>
            </w:r>
          </w:p>
        </w:tc>
        <w:tc>
          <w:tcPr>
            <w:tcW w:w="398" w:type="pct"/>
            <w:vAlign w:val="center"/>
          </w:tcPr>
          <w:p w14:paraId="403B809A">
            <w:pPr>
              <w:jc w:val="center"/>
              <w:rPr>
                <w:rFonts w:ascii="Times New Roman"/>
                <w:sz w:val="21"/>
                <w:szCs w:val="21"/>
              </w:rPr>
            </w:pPr>
            <w:r>
              <w:rPr>
                <w:rFonts w:hint="eastAsia" w:ascii="Times New Roman"/>
                <w:sz w:val="21"/>
                <w:szCs w:val="21"/>
              </w:rPr>
              <w:t>0.336</w:t>
            </w:r>
            <w:r>
              <w:rPr>
                <w:rFonts w:ascii="Times New Roman"/>
                <w:sz w:val="21"/>
                <w:szCs w:val="21"/>
              </w:rPr>
              <w:t>t/a</w:t>
            </w:r>
          </w:p>
        </w:tc>
        <w:tc>
          <w:tcPr>
            <w:tcW w:w="407" w:type="pct"/>
            <w:vAlign w:val="center"/>
          </w:tcPr>
          <w:p w14:paraId="40CECE07">
            <w:pPr>
              <w:jc w:val="center"/>
              <w:rPr>
                <w:rFonts w:ascii="Times New Roman"/>
                <w:sz w:val="21"/>
                <w:szCs w:val="21"/>
              </w:rPr>
            </w:pPr>
            <w:r>
              <w:rPr>
                <w:rFonts w:hint="eastAsia" w:ascii="Times New Roman"/>
                <w:sz w:val="21"/>
                <w:szCs w:val="21"/>
              </w:rPr>
              <w:t>0.096</w:t>
            </w:r>
            <w:r>
              <w:rPr>
                <w:rFonts w:ascii="Times New Roman"/>
                <w:sz w:val="21"/>
                <w:szCs w:val="21"/>
              </w:rPr>
              <w:t>t/a</w:t>
            </w:r>
          </w:p>
        </w:tc>
        <w:tc>
          <w:tcPr>
            <w:tcW w:w="349" w:type="pct"/>
            <w:vAlign w:val="center"/>
          </w:tcPr>
          <w:p w14:paraId="5CF0C615">
            <w:pPr>
              <w:jc w:val="center"/>
              <w:rPr>
                <w:rFonts w:ascii="Times New Roman"/>
                <w:sz w:val="21"/>
                <w:szCs w:val="21"/>
              </w:rPr>
            </w:pPr>
            <w:r>
              <w:rPr>
                <w:rFonts w:hint="eastAsia" w:ascii="Times New Roman"/>
                <w:sz w:val="21"/>
                <w:szCs w:val="21"/>
              </w:rPr>
              <w:t>0.183</w:t>
            </w:r>
            <w:r>
              <w:rPr>
                <w:rFonts w:ascii="Times New Roman"/>
                <w:sz w:val="21"/>
                <w:szCs w:val="21"/>
              </w:rPr>
              <w:t>t/a</w:t>
            </w:r>
          </w:p>
        </w:tc>
      </w:tr>
      <w:tr w14:paraId="26729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5B656BD7">
            <w:pPr>
              <w:jc w:val="center"/>
              <w:rPr>
                <w:rFonts w:ascii="Times New Roman"/>
                <w:sz w:val="21"/>
                <w:szCs w:val="21"/>
              </w:rPr>
            </w:pPr>
            <w:r>
              <w:rPr>
                <w:rFonts w:ascii="Times New Roman"/>
                <w:sz w:val="21"/>
                <w:szCs w:val="21"/>
              </w:rPr>
              <w:t>曹妃甸装备制造园区污水处理站收水标准</w:t>
            </w:r>
          </w:p>
        </w:tc>
        <w:tc>
          <w:tcPr>
            <w:tcW w:w="435" w:type="pct"/>
            <w:vAlign w:val="center"/>
          </w:tcPr>
          <w:p w14:paraId="10731690">
            <w:pPr>
              <w:jc w:val="center"/>
              <w:rPr>
                <w:rFonts w:ascii="Times New Roman"/>
                <w:sz w:val="21"/>
                <w:szCs w:val="21"/>
              </w:rPr>
            </w:pPr>
            <w:r>
              <w:rPr>
                <w:rFonts w:ascii="Times New Roman"/>
                <w:sz w:val="21"/>
                <w:szCs w:val="21"/>
              </w:rPr>
              <w:t>/</w:t>
            </w:r>
          </w:p>
        </w:tc>
        <w:tc>
          <w:tcPr>
            <w:tcW w:w="442" w:type="pct"/>
            <w:vAlign w:val="center"/>
          </w:tcPr>
          <w:p w14:paraId="4AE75F5D">
            <w:pPr>
              <w:jc w:val="center"/>
              <w:rPr>
                <w:rFonts w:ascii="Times New Roman"/>
                <w:sz w:val="21"/>
                <w:szCs w:val="21"/>
              </w:rPr>
            </w:pPr>
            <w:r>
              <w:rPr>
                <w:rFonts w:ascii="Times New Roman"/>
                <w:sz w:val="21"/>
                <w:szCs w:val="21"/>
              </w:rPr>
              <w:t>6~9</w:t>
            </w:r>
          </w:p>
        </w:tc>
        <w:tc>
          <w:tcPr>
            <w:tcW w:w="438" w:type="pct"/>
            <w:vAlign w:val="center"/>
          </w:tcPr>
          <w:p w14:paraId="411BE441">
            <w:pPr>
              <w:jc w:val="center"/>
              <w:rPr>
                <w:rFonts w:ascii="Times New Roman"/>
                <w:sz w:val="21"/>
                <w:szCs w:val="21"/>
              </w:rPr>
            </w:pPr>
            <w:r>
              <w:rPr>
                <w:rFonts w:ascii="Times New Roman"/>
                <w:sz w:val="21"/>
                <w:szCs w:val="21"/>
              </w:rPr>
              <w:t>3</w:t>
            </w:r>
            <w:r>
              <w:rPr>
                <w:rFonts w:hint="eastAsia" w:ascii="Times New Roman"/>
                <w:sz w:val="21"/>
                <w:szCs w:val="21"/>
              </w:rPr>
              <w:t>5</w:t>
            </w:r>
            <w:r>
              <w:rPr>
                <w:rFonts w:ascii="Times New Roman"/>
                <w:sz w:val="21"/>
                <w:szCs w:val="21"/>
              </w:rPr>
              <w:t>0</w:t>
            </w:r>
          </w:p>
        </w:tc>
        <w:tc>
          <w:tcPr>
            <w:tcW w:w="462" w:type="pct"/>
            <w:vAlign w:val="center"/>
          </w:tcPr>
          <w:p w14:paraId="30EBCF73">
            <w:pPr>
              <w:jc w:val="center"/>
              <w:rPr>
                <w:rFonts w:ascii="Times New Roman"/>
                <w:sz w:val="21"/>
                <w:szCs w:val="21"/>
              </w:rPr>
            </w:pPr>
            <w:r>
              <w:rPr>
                <w:rFonts w:hint="eastAsia" w:ascii="Times New Roman"/>
                <w:sz w:val="21"/>
                <w:szCs w:val="21"/>
              </w:rPr>
              <w:t>15</w:t>
            </w:r>
            <w:r>
              <w:rPr>
                <w:rFonts w:ascii="Times New Roman"/>
                <w:sz w:val="21"/>
                <w:szCs w:val="21"/>
              </w:rPr>
              <w:t>0</w:t>
            </w:r>
          </w:p>
        </w:tc>
        <w:tc>
          <w:tcPr>
            <w:tcW w:w="432" w:type="pct"/>
            <w:vAlign w:val="center"/>
          </w:tcPr>
          <w:p w14:paraId="7987F21A">
            <w:pPr>
              <w:jc w:val="center"/>
              <w:rPr>
                <w:rFonts w:ascii="Times New Roman"/>
                <w:sz w:val="21"/>
                <w:szCs w:val="21"/>
              </w:rPr>
            </w:pPr>
            <w:r>
              <w:rPr>
                <w:rFonts w:ascii="Times New Roman"/>
                <w:sz w:val="21"/>
                <w:szCs w:val="21"/>
              </w:rPr>
              <w:t>3</w:t>
            </w:r>
            <w:r>
              <w:rPr>
                <w:rFonts w:hint="eastAsia" w:ascii="Times New Roman"/>
                <w:sz w:val="21"/>
                <w:szCs w:val="21"/>
              </w:rPr>
              <w:t>9</w:t>
            </w:r>
            <w:r>
              <w:rPr>
                <w:rFonts w:ascii="Times New Roman"/>
                <w:sz w:val="21"/>
                <w:szCs w:val="21"/>
              </w:rPr>
              <w:t>0</w:t>
            </w:r>
          </w:p>
        </w:tc>
        <w:tc>
          <w:tcPr>
            <w:tcW w:w="425" w:type="pct"/>
            <w:vAlign w:val="center"/>
          </w:tcPr>
          <w:p w14:paraId="66902149">
            <w:pPr>
              <w:jc w:val="center"/>
              <w:rPr>
                <w:rFonts w:ascii="Times New Roman"/>
                <w:sz w:val="21"/>
                <w:szCs w:val="21"/>
              </w:rPr>
            </w:pPr>
            <w:r>
              <w:rPr>
                <w:rFonts w:ascii="Times New Roman"/>
                <w:sz w:val="21"/>
                <w:szCs w:val="21"/>
              </w:rPr>
              <w:t>35</w:t>
            </w:r>
          </w:p>
        </w:tc>
        <w:tc>
          <w:tcPr>
            <w:tcW w:w="399" w:type="pct"/>
            <w:vAlign w:val="center"/>
          </w:tcPr>
          <w:p w14:paraId="525B3BD1">
            <w:pPr>
              <w:jc w:val="center"/>
              <w:rPr>
                <w:rFonts w:ascii="Times New Roman"/>
                <w:sz w:val="21"/>
                <w:szCs w:val="21"/>
              </w:rPr>
            </w:pPr>
            <w:r>
              <w:rPr>
                <w:rFonts w:hint="eastAsia" w:ascii="Times New Roman"/>
                <w:sz w:val="21"/>
                <w:szCs w:val="21"/>
              </w:rPr>
              <w:t>6</w:t>
            </w:r>
          </w:p>
        </w:tc>
        <w:tc>
          <w:tcPr>
            <w:tcW w:w="398" w:type="pct"/>
            <w:vAlign w:val="center"/>
          </w:tcPr>
          <w:p w14:paraId="5DE70AB1">
            <w:pPr>
              <w:jc w:val="center"/>
              <w:rPr>
                <w:rFonts w:ascii="Times New Roman"/>
                <w:sz w:val="21"/>
                <w:szCs w:val="21"/>
              </w:rPr>
            </w:pPr>
            <w:r>
              <w:rPr>
                <w:rFonts w:ascii="Times New Roman"/>
                <w:sz w:val="21"/>
                <w:szCs w:val="21"/>
              </w:rPr>
              <w:t>40</w:t>
            </w:r>
          </w:p>
        </w:tc>
        <w:tc>
          <w:tcPr>
            <w:tcW w:w="407" w:type="pct"/>
            <w:vAlign w:val="center"/>
          </w:tcPr>
          <w:p w14:paraId="2DE06CDE">
            <w:pPr>
              <w:jc w:val="center"/>
              <w:rPr>
                <w:rFonts w:ascii="Times New Roman"/>
                <w:sz w:val="21"/>
                <w:szCs w:val="21"/>
              </w:rPr>
            </w:pPr>
            <w:r>
              <w:rPr>
                <w:rFonts w:ascii="Times New Roman"/>
                <w:sz w:val="21"/>
                <w:szCs w:val="21"/>
              </w:rPr>
              <w:t>/</w:t>
            </w:r>
          </w:p>
        </w:tc>
        <w:tc>
          <w:tcPr>
            <w:tcW w:w="349" w:type="pct"/>
            <w:vAlign w:val="center"/>
          </w:tcPr>
          <w:p w14:paraId="42080C7A">
            <w:pPr>
              <w:jc w:val="center"/>
              <w:rPr>
                <w:rFonts w:ascii="Times New Roman"/>
                <w:sz w:val="21"/>
                <w:szCs w:val="21"/>
              </w:rPr>
            </w:pPr>
            <w:r>
              <w:rPr>
                <w:rFonts w:hint="eastAsia" w:ascii="Times New Roman"/>
                <w:sz w:val="21"/>
                <w:szCs w:val="21"/>
              </w:rPr>
              <w:t>/</w:t>
            </w:r>
          </w:p>
        </w:tc>
      </w:tr>
      <w:tr w14:paraId="5F4FF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gridSpan w:val="2"/>
            <w:vAlign w:val="center"/>
          </w:tcPr>
          <w:p w14:paraId="65CEAB43">
            <w:pPr>
              <w:jc w:val="center"/>
              <w:rPr>
                <w:rFonts w:ascii="Times New Roman"/>
                <w:sz w:val="21"/>
                <w:szCs w:val="21"/>
              </w:rPr>
            </w:pPr>
            <w:r>
              <w:rPr>
                <w:rFonts w:ascii="Times New Roman"/>
                <w:sz w:val="21"/>
                <w:szCs w:val="21"/>
              </w:rPr>
              <w:t>《污水综合排放标准》（GB8978-1996）表4-三级标准</w:t>
            </w:r>
          </w:p>
        </w:tc>
        <w:tc>
          <w:tcPr>
            <w:tcW w:w="435" w:type="pct"/>
            <w:vAlign w:val="center"/>
          </w:tcPr>
          <w:p w14:paraId="705CD834">
            <w:pPr>
              <w:jc w:val="center"/>
              <w:rPr>
                <w:rFonts w:ascii="Times New Roman"/>
                <w:sz w:val="21"/>
                <w:szCs w:val="21"/>
              </w:rPr>
            </w:pPr>
            <w:r>
              <w:rPr>
                <w:rFonts w:ascii="Times New Roman"/>
                <w:sz w:val="21"/>
                <w:szCs w:val="21"/>
              </w:rPr>
              <w:t>/</w:t>
            </w:r>
          </w:p>
        </w:tc>
        <w:tc>
          <w:tcPr>
            <w:tcW w:w="442" w:type="pct"/>
            <w:vAlign w:val="center"/>
          </w:tcPr>
          <w:p w14:paraId="4E480BEE">
            <w:pPr>
              <w:jc w:val="center"/>
              <w:rPr>
                <w:rFonts w:ascii="Times New Roman"/>
                <w:sz w:val="21"/>
                <w:szCs w:val="21"/>
              </w:rPr>
            </w:pPr>
            <w:r>
              <w:rPr>
                <w:rFonts w:ascii="Times New Roman"/>
                <w:sz w:val="21"/>
                <w:szCs w:val="21"/>
              </w:rPr>
              <w:t>6~9</w:t>
            </w:r>
          </w:p>
        </w:tc>
        <w:tc>
          <w:tcPr>
            <w:tcW w:w="438" w:type="pct"/>
            <w:vAlign w:val="center"/>
          </w:tcPr>
          <w:p w14:paraId="085E95FD">
            <w:pPr>
              <w:jc w:val="center"/>
              <w:rPr>
                <w:rFonts w:ascii="Times New Roman"/>
                <w:sz w:val="21"/>
                <w:szCs w:val="21"/>
              </w:rPr>
            </w:pPr>
            <w:r>
              <w:rPr>
                <w:rFonts w:ascii="Times New Roman"/>
                <w:sz w:val="21"/>
                <w:szCs w:val="21"/>
              </w:rPr>
              <w:t>500</w:t>
            </w:r>
          </w:p>
        </w:tc>
        <w:tc>
          <w:tcPr>
            <w:tcW w:w="462" w:type="pct"/>
            <w:vAlign w:val="center"/>
          </w:tcPr>
          <w:p w14:paraId="1A6977B8">
            <w:pPr>
              <w:jc w:val="center"/>
              <w:rPr>
                <w:rFonts w:ascii="Times New Roman"/>
                <w:sz w:val="21"/>
                <w:szCs w:val="21"/>
              </w:rPr>
            </w:pPr>
            <w:r>
              <w:rPr>
                <w:rFonts w:ascii="Times New Roman"/>
                <w:sz w:val="21"/>
                <w:szCs w:val="21"/>
              </w:rPr>
              <w:t>300</w:t>
            </w:r>
          </w:p>
        </w:tc>
        <w:tc>
          <w:tcPr>
            <w:tcW w:w="432" w:type="pct"/>
            <w:vAlign w:val="center"/>
          </w:tcPr>
          <w:p w14:paraId="626CC152">
            <w:pPr>
              <w:jc w:val="center"/>
              <w:rPr>
                <w:rFonts w:ascii="Times New Roman"/>
                <w:sz w:val="21"/>
                <w:szCs w:val="21"/>
              </w:rPr>
            </w:pPr>
            <w:r>
              <w:rPr>
                <w:rFonts w:ascii="Times New Roman"/>
                <w:sz w:val="21"/>
                <w:szCs w:val="21"/>
              </w:rPr>
              <w:t>400</w:t>
            </w:r>
          </w:p>
        </w:tc>
        <w:tc>
          <w:tcPr>
            <w:tcW w:w="425" w:type="pct"/>
            <w:vAlign w:val="center"/>
          </w:tcPr>
          <w:p w14:paraId="131692D5">
            <w:pPr>
              <w:jc w:val="center"/>
              <w:rPr>
                <w:rFonts w:ascii="Times New Roman"/>
                <w:sz w:val="21"/>
                <w:szCs w:val="21"/>
              </w:rPr>
            </w:pPr>
            <w:r>
              <w:rPr>
                <w:rFonts w:ascii="Times New Roman"/>
                <w:sz w:val="21"/>
                <w:szCs w:val="21"/>
              </w:rPr>
              <w:t>/</w:t>
            </w:r>
          </w:p>
        </w:tc>
        <w:tc>
          <w:tcPr>
            <w:tcW w:w="399" w:type="pct"/>
            <w:vAlign w:val="center"/>
          </w:tcPr>
          <w:p w14:paraId="7D32D5D6">
            <w:pPr>
              <w:jc w:val="center"/>
              <w:rPr>
                <w:rFonts w:ascii="Times New Roman"/>
                <w:sz w:val="21"/>
                <w:szCs w:val="21"/>
              </w:rPr>
            </w:pPr>
            <w:r>
              <w:rPr>
                <w:rFonts w:ascii="Times New Roman"/>
                <w:sz w:val="21"/>
                <w:szCs w:val="21"/>
              </w:rPr>
              <w:t>/</w:t>
            </w:r>
          </w:p>
        </w:tc>
        <w:tc>
          <w:tcPr>
            <w:tcW w:w="398" w:type="pct"/>
            <w:vAlign w:val="center"/>
          </w:tcPr>
          <w:p w14:paraId="71AD6BEB">
            <w:pPr>
              <w:jc w:val="center"/>
              <w:rPr>
                <w:rFonts w:ascii="Times New Roman"/>
                <w:sz w:val="21"/>
                <w:szCs w:val="21"/>
              </w:rPr>
            </w:pPr>
            <w:r>
              <w:rPr>
                <w:rFonts w:ascii="Times New Roman"/>
                <w:sz w:val="21"/>
                <w:szCs w:val="21"/>
              </w:rPr>
              <w:t>/</w:t>
            </w:r>
          </w:p>
        </w:tc>
        <w:tc>
          <w:tcPr>
            <w:tcW w:w="407" w:type="pct"/>
            <w:vAlign w:val="center"/>
          </w:tcPr>
          <w:p w14:paraId="7985884E">
            <w:pPr>
              <w:jc w:val="center"/>
              <w:rPr>
                <w:rFonts w:ascii="Times New Roman"/>
                <w:sz w:val="21"/>
                <w:szCs w:val="21"/>
              </w:rPr>
            </w:pPr>
            <w:r>
              <w:rPr>
                <w:rFonts w:hint="eastAsia" w:ascii="Times New Roman"/>
                <w:sz w:val="21"/>
                <w:szCs w:val="21"/>
              </w:rPr>
              <w:t>100</w:t>
            </w:r>
          </w:p>
        </w:tc>
        <w:tc>
          <w:tcPr>
            <w:tcW w:w="349" w:type="pct"/>
            <w:vAlign w:val="center"/>
          </w:tcPr>
          <w:p w14:paraId="718FB915">
            <w:pPr>
              <w:jc w:val="center"/>
              <w:rPr>
                <w:rFonts w:ascii="Times New Roman"/>
                <w:sz w:val="21"/>
                <w:szCs w:val="21"/>
              </w:rPr>
            </w:pPr>
            <w:r>
              <w:rPr>
                <w:rFonts w:hint="eastAsia" w:ascii="Times New Roman"/>
                <w:sz w:val="21"/>
                <w:szCs w:val="21"/>
              </w:rPr>
              <w:t>20</w:t>
            </w:r>
          </w:p>
        </w:tc>
      </w:tr>
    </w:tbl>
    <w:p w14:paraId="56957351">
      <w:pPr>
        <w:spacing w:line="480" w:lineRule="exact"/>
        <w:ind w:firstLine="480" w:firstLineChars="200"/>
        <w:rPr>
          <w:rFonts w:ascii="Times New Roman"/>
          <w:bCs/>
          <w:sz w:val="24"/>
        </w:rPr>
        <w:sectPr>
          <w:pgSz w:w="16838" w:h="11906" w:orient="landscape"/>
          <w:pgMar w:top="1800" w:right="1440" w:bottom="1800" w:left="1440" w:header="1134" w:footer="1134" w:gutter="0"/>
          <w:cols w:space="425" w:num="1"/>
          <w:docGrid w:type="lines" w:linePitch="340" w:charSpace="0"/>
        </w:sectPr>
      </w:pPr>
    </w:p>
    <w:p w14:paraId="3FBDA546">
      <w:pPr>
        <w:spacing w:line="480" w:lineRule="exact"/>
        <w:ind w:firstLine="480" w:firstLineChars="200"/>
        <w:rPr>
          <w:rFonts w:ascii="Times New Roman"/>
          <w:sz w:val="24"/>
          <w:szCs w:val="20"/>
        </w:rPr>
      </w:pPr>
      <w:r>
        <w:rPr>
          <w:rFonts w:hint="eastAsia" w:ascii="Times New Roman"/>
          <w:bCs/>
          <w:sz w:val="24"/>
        </w:rPr>
        <w:t>由上表可知，</w:t>
      </w:r>
      <w:r>
        <w:rPr>
          <w:rFonts w:ascii="Times New Roman"/>
          <w:sz w:val="24"/>
          <w:szCs w:val="24"/>
        </w:rPr>
        <w:t>项目废水全部得到有效收集和合理处置，项目无废水直接外排地表水体，项目水污染控制和水环境影响减缓措施可行。</w:t>
      </w:r>
    </w:p>
    <w:p w14:paraId="6D6256C9">
      <w:pPr>
        <w:spacing w:line="500" w:lineRule="exact"/>
        <w:ind w:firstLine="480" w:firstLineChars="200"/>
        <w:rPr>
          <w:rFonts w:ascii="Times New Roman"/>
          <w:sz w:val="24"/>
          <w:szCs w:val="24"/>
        </w:rPr>
      </w:pPr>
      <w:r>
        <w:rPr>
          <w:rFonts w:ascii="Times New Roman"/>
          <w:sz w:val="24"/>
          <w:szCs w:val="24"/>
        </w:rPr>
        <w:t>（2）依托污水处理设施的环境可行性分析</w:t>
      </w:r>
    </w:p>
    <w:p w14:paraId="745A60FF">
      <w:pPr>
        <w:spacing w:line="500" w:lineRule="exact"/>
        <w:ind w:firstLine="480" w:firstLineChars="200"/>
        <w:rPr>
          <w:rFonts w:ascii="Times New Roman"/>
          <w:sz w:val="24"/>
          <w:szCs w:val="24"/>
        </w:rPr>
      </w:pPr>
      <w:r>
        <w:rPr>
          <w:rFonts w:ascii="Times New Roman"/>
          <w:sz w:val="24"/>
          <w:szCs w:val="24"/>
        </w:rPr>
        <w:t>曹妃甸工业区装备制造区污水处理站位于曹妃甸装备园区A6路以东，装备道以北，占地面积2000平方米，污水处理规模为1500m</w:t>
      </w:r>
      <w:r>
        <w:rPr>
          <w:rFonts w:ascii="Times New Roman"/>
          <w:sz w:val="24"/>
          <w:szCs w:val="24"/>
          <w:vertAlign w:val="superscript"/>
        </w:rPr>
        <w:t>3</w:t>
      </w:r>
      <w:r>
        <w:rPr>
          <w:rFonts w:ascii="Times New Roman"/>
          <w:sz w:val="24"/>
          <w:szCs w:val="24"/>
        </w:rPr>
        <w:t>/d，服务范围为曹妃甸工业区装备区（含综合保税区）。污水处理站总体工艺流程包括：一级预处理段（格栅+细格栅+调节池）、二级生物处理段（生物流化床技术（MBBR），包含厌氧+缺氧+好氧）、三级深度处理段（斜管沉淀池+砂滤池）、消毒处理（次氯酸钠消毒工艺）、污泥处理段，出水达到《城镇污水处理厂污染物排放标准》（GB18918-2002）中一级A标准要求，同时达到《城镇污水再生利用城市杂用水水质》（GB/T18920-2002）表1标准。</w:t>
      </w:r>
    </w:p>
    <w:p w14:paraId="0BDB0C0A">
      <w:pPr>
        <w:spacing w:line="500" w:lineRule="exact"/>
        <w:ind w:firstLine="480" w:firstLineChars="200"/>
        <w:rPr>
          <w:rFonts w:ascii="Times New Roman"/>
          <w:sz w:val="24"/>
          <w:szCs w:val="24"/>
        </w:rPr>
      </w:pPr>
      <w:r>
        <w:rPr>
          <w:rFonts w:ascii="Times New Roman"/>
          <w:sz w:val="24"/>
          <w:szCs w:val="24"/>
        </w:rPr>
        <w:t>目前园区污水处理厂及配套管网已建成，收水管网已覆盖项目区域，且企业已于园区管委会签订投资协议，同意且支持项目项目建设，即项目外排废水从水质及水量上不会对园区污水处理厂的运行造成不良影响。</w:t>
      </w:r>
    </w:p>
    <w:p w14:paraId="132F95A5">
      <w:pPr>
        <w:spacing w:line="480" w:lineRule="exact"/>
        <w:ind w:firstLine="480" w:firstLineChars="200"/>
        <w:rPr>
          <w:rFonts w:ascii="Times New Roman"/>
          <w:sz w:val="24"/>
          <w:szCs w:val="20"/>
        </w:rPr>
      </w:pPr>
      <w:r>
        <w:rPr>
          <w:rFonts w:ascii="Times New Roman"/>
          <w:sz w:val="24"/>
          <w:szCs w:val="24"/>
        </w:rPr>
        <w:t>综上所述，本项目实施后不会对周围地表</w:t>
      </w:r>
      <w:r>
        <w:rPr>
          <w:rFonts w:ascii="Times New Roman"/>
        </w:rPr>
        <w:t>水环境产生明显影响。</w:t>
      </w:r>
    </w:p>
    <w:p w14:paraId="5A90D9CC">
      <w:pPr>
        <w:spacing w:line="480" w:lineRule="exact"/>
        <w:ind w:firstLine="480" w:firstLineChars="200"/>
        <w:rPr>
          <w:rFonts w:ascii="Times New Roman"/>
          <w:sz w:val="24"/>
          <w:szCs w:val="24"/>
        </w:rPr>
      </w:pPr>
      <w:r>
        <w:rPr>
          <w:rFonts w:ascii="Times New Roman"/>
          <w:sz w:val="24"/>
          <w:szCs w:val="24"/>
        </w:rPr>
        <w:t>废水类别、污染物及污染治理设施信息见</w:t>
      </w:r>
      <w:r>
        <w:rPr>
          <w:rFonts w:hint="eastAsia" w:ascii="Times New Roman"/>
          <w:sz w:val="24"/>
          <w:szCs w:val="24"/>
        </w:rPr>
        <w:t>下</w:t>
      </w:r>
      <w:r>
        <w:rPr>
          <w:rFonts w:ascii="Times New Roman"/>
          <w:sz w:val="24"/>
          <w:szCs w:val="24"/>
        </w:rPr>
        <w:t>表。</w:t>
      </w:r>
    </w:p>
    <w:p w14:paraId="450F089E">
      <w:pPr>
        <w:adjustRightInd w:val="0"/>
        <w:spacing w:line="480" w:lineRule="exact"/>
        <w:jc w:val="center"/>
        <w:textAlignment w:val="baseline"/>
        <w:rPr>
          <w:rFonts w:ascii="Times New Roman"/>
          <w:b/>
          <w:sz w:val="24"/>
          <w:szCs w:val="24"/>
        </w:rPr>
        <w:sectPr>
          <w:pgSz w:w="11906" w:h="16838"/>
          <w:pgMar w:top="1440" w:right="1800" w:bottom="1440" w:left="1800" w:header="1134" w:footer="1134" w:gutter="0"/>
          <w:cols w:space="425" w:num="1"/>
          <w:docGrid w:type="lines" w:linePitch="340" w:charSpace="0"/>
        </w:sectPr>
      </w:pPr>
    </w:p>
    <w:p w14:paraId="221D9DC0">
      <w:pPr>
        <w:adjustRightInd w:val="0"/>
        <w:spacing w:line="480" w:lineRule="exact"/>
        <w:jc w:val="center"/>
        <w:textAlignment w:val="baseline"/>
        <w:rPr>
          <w:rFonts w:ascii="Times New Roman"/>
          <w:b/>
          <w:sz w:val="24"/>
          <w:szCs w:val="24"/>
        </w:rPr>
      </w:pPr>
      <w:r>
        <w:rPr>
          <w:rFonts w:ascii="Times New Roman"/>
          <w:b/>
          <w:bCs/>
          <w:sz w:val="24"/>
          <w:szCs w:val="24"/>
        </w:rPr>
        <w:t>表5.2</w:t>
      </w:r>
      <w:r>
        <w:rPr>
          <w:rFonts w:hint="eastAsia" w:ascii="Times New Roman"/>
          <w:b/>
          <w:bCs/>
          <w:sz w:val="24"/>
          <w:szCs w:val="24"/>
        </w:rPr>
        <w:t>.2</w:t>
      </w:r>
      <w:r>
        <w:rPr>
          <w:rFonts w:ascii="Times New Roman"/>
          <w:b/>
          <w:sz w:val="24"/>
          <w:szCs w:val="24"/>
        </w:rPr>
        <w:t>-</w:t>
      </w:r>
      <w:r>
        <w:rPr>
          <w:rFonts w:hint="eastAsia" w:ascii="Times New Roman"/>
          <w:b/>
          <w:sz w:val="24"/>
          <w:szCs w:val="24"/>
        </w:rPr>
        <w:t>2</w:t>
      </w:r>
      <w:r>
        <w:rPr>
          <w:rFonts w:ascii="Times New Roman"/>
          <w:b/>
          <w:sz w:val="24"/>
          <w:szCs w:val="24"/>
        </w:rPr>
        <w:t xml:space="preserve">  废水类别、污染物及污染治理设施信息表</w:t>
      </w:r>
    </w:p>
    <w:tbl>
      <w:tblPr>
        <w:tblStyle w:val="84"/>
        <w:tblW w:w="50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1"/>
        <w:gridCol w:w="1133"/>
        <w:gridCol w:w="1127"/>
        <w:gridCol w:w="1254"/>
        <w:gridCol w:w="1277"/>
        <w:gridCol w:w="884"/>
        <w:gridCol w:w="1068"/>
        <w:gridCol w:w="1927"/>
        <w:gridCol w:w="790"/>
        <w:gridCol w:w="1225"/>
        <w:gridCol w:w="2814"/>
      </w:tblGrid>
      <w:tr w14:paraId="5748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16" w:type="pct"/>
            <w:vMerge w:val="restart"/>
            <w:vAlign w:val="center"/>
          </w:tcPr>
          <w:p w14:paraId="1168E147">
            <w:pPr>
              <w:adjustRightInd w:val="0"/>
              <w:spacing w:line="360" w:lineRule="exact"/>
              <w:jc w:val="center"/>
              <w:textAlignment w:val="baseline"/>
              <w:rPr>
                <w:rFonts w:ascii="Times New Roman"/>
                <w:b/>
                <w:bCs/>
                <w:sz w:val="21"/>
                <w:szCs w:val="21"/>
              </w:rPr>
            </w:pPr>
            <w:r>
              <w:rPr>
                <w:rFonts w:ascii="Times New Roman"/>
                <w:b/>
                <w:bCs/>
                <w:sz w:val="21"/>
                <w:szCs w:val="21"/>
              </w:rPr>
              <w:t>序</w:t>
            </w:r>
          </w:p>
          <w:p w14:paraId="746FF2DE">
            <w:pPr>
              <w:adjustRightInd w:val="0"/>
              <w:spacing w:line="360" w:lineRule="exact"/>
              <w:jc w:val="center"/>
              <w:textAlignment w:val="baseline"/>
              <w:rPr>
                <w:rFonts w:ascii="Times New Roman"/>
                <w:b/>
                <w:bCs/>
                <w:sz w:val="21"/>
                <w:szCs w:val="21"/>
              </w:rPr>
            </w:pPr>
            <w:r>
              <w:rPr>
                <w:rFonts w:ascii="Times New Roman"/>
                <w:b/>
                <w:bCs/>
                <w:sz w:val="21"/>
                <w:szCs w:val="21"/>
              </w:rPr>
              <w:t>号</w:t>
            </w:r>
          </w:p>
        </w:tc>
        <w:tc>
          <w:tcPr>
            <w:tcW w:w="401" w:type="pct"/>
            <w:vMerge w:val="restart"/>
            <w:vAlign w:val="center"/>
          </w:tcPr>
          <w:p w14:paraId="3260479F">
            <w:pPr>
              <w:adjustRightInd w:val="0"/>
              <w:spacing w:line="360" w:lineRule="exact"/>
              <w:jc w:val="center"/>
              <w:textAlignment w:val="baseline"/>
              <w:rPr>
                <w:rFonts w:ascii="Times New Roman"/>
                <w:b/>
                <w:bCs/>
                <w:sz w:val="21"/>
                <w:szCs w:val="21"/>
              </w:rPr>
            </w:pPr>
            <w:r>
              <w:rPr>
                <w:rFonts w:ascii="Times New Roman"/>
                <w:b/>
                <w:bCs/>
                <w:sz w:val="21"/>
                <w:szCs w:val="21"/>
              </w:rPr>
              <w:t>废水</w:t>
            </w:r>
          </w:p>
          <w:p w14:paraId="35817303">
            <w:pPr>
              <w:adjustRightInd w:val="0"/>
              <w:spacing w:line="360" w:lineRule="exact"/>
              <w:jc w:val="center"/>
              <w:textAlignment w:val="baseline"/>
              <w:rPr>
                <w:rFonts w:ascii="Times New Roman"/>
                <w:b/>
                <w:bCs/>
                <w:sz w:val="21"/>
                <w:szCs w:val="21"/>
              </w:rPr>
            </w:pPr>
            <w:r>
              <w:rPr>
                <w:rFonts w:ascii="Times New Roman"/>
                <w:b/>
                <w:bCs/>
                <w:sz w:val="21"/>
                <w:szCs w:val="21"/>
              </w:rPr>
              <w:t>类别</w:t>
            </w:r>
          </w:p>
        </w:tc>
        <w:tc>
          <w:tcPr>
            <w:tcW w:w="399" w:type="pct"/>
            <w:vMerge w:val="restart"/>
            <w:vAlign w:val="center"/>
          </w:tcPr>
          <w:p w14:paraId="34008ED1">
            <w:pPr>
              <w:adjustRightInd w:val="0"/>
              <w:spacing w:line="360" w:lineRule="exact"/>
              <w:jc w:val="center"/>
              <w:textAlignment w:val="baseline"/>
              <w:rPr>
                <w:rFonts w:ascii="Times New Roman"/>
                <w:b/>
                <w:bCs/>
                <w:sz w:val="21"/>
                <w:szCs w:val="21"/>
              </w:rPr>
            </w:pPr>
            <w:r>
              <w:rPr>
                <w:rFonts w:ascii="Times New Roman"/>
                <w:b/>
                <w:bCs/>
                <w:sz w:val="21"/>
                <w:szCs w:val="21"/>
              </w:rPr>
              <w:t>污染物</w:t>
            </w:r>
          </w:p>
          <w:p w14:paraId="7A2E7122">
            <w:pPr>
              <w:adjustRightInd w:val="0"/>
              <w:spacing w:line="360" w:lineRule="exact"/>
              <w:jc w:val="center"/>
              <w:textAlignment w:val="baseline"/>
              <w:rPr>
                <w:rFonts w:ascii="Times New Roman"/>
                <w:b/>
                <w:bCs/>
                <w:sz w:val="21"/>
                <w:szCs w:val="21"/>
              </w:rPr>
            </w:pPr>
            <w:r>
              <w:rPr>
                <w:rFonts w:ascii="Times New Roman"/>
                <w:b/>
                <w:bCs/>
                <w:sz w:val="21"/>
                <w:szCs w:val="21"/>
              </w:rPr>
              <w:t>种类</w:t>
            </w:r>
          </w:p>
        </w:tc>
        <w:tc>
          <w:tcPr>
            <w:tcW w:w="444" w:type="pct"/>
            <w:vMerge w:val="restart"/>
            <w:vAlign w:val="center"/>
          </w:tcPr>
          <w:p w14:paraId="131B6C6A">
            <w:pPr>
              <w:adjustRightInd w:val="0"/>
              <w:spacing w:line="360" w:lineRule="exact"/>
              <w:jc w:val="center"/>
              <w:textAlignment w:val="baseline"/>
              <w:rPr>
                <w:rFonts w:ascii="Times New Roman"/>
                <w:b/>
                <w:bCs/>
                <w:sz w:val="21"/>
                <w:szCs w:val="21"/>
              </w:rPr>
            </w:pPr>
            <w:r>
              <w:rPr>
                <w:rFonts w:ascii="Times New Roman"/>
                <w:b/>
                <w:bCs/>
                <w:sz w:val="21"/>
                <w:szCs w:val="21"/>
              </w:rPr>
              <w:t>排放</w:t>
            </w:r>
          </w:p>
          <w:p w14:paraId="3639D5BA">
            <w:pPr>
              <w:adjustRightInd w:val="0"/>
              <w:spacing w:line="360" w:lineRule="exact"/>
              <w:jc w:val="center"/>
              <w:textAlignment w:val="baseline"/>
              <w:rPr>
                <w:rFonts w:ascii="Times New Roman"/>
                <w:b/>
                <w:bCs/>
                <w:sz w:val="21"/>
                <w:szCs w:val="21"/>
              </w:rPr>
            </w:pPr>
            <w:r>
              <w:rPr>
                <w:rFonts w:ascii="Times New Roman"/>
                <w:b/>
                <w:bCs/>
                <w:sz w:val="21"/>
                <w:szCs w:val="21"/>
              </w:rPr>
              <w:t>去向</w:t>
            </w:r>
          </w:p>
        </w:tc>
        <w:tc>
          <w:tcPr>
            <w:tcW w:w="452" w:type="pct"/>
            <w:vMerge w:val="restart"/>
            <w:vAlign w:val="center"/>
          </w:tcPr>
          <w:p w14:paraId="74F512A1">
            <w:pPr>
              <w:adjustRightInd w:val="0"/>
              <w:spacing w:line="360" w:lineRule="exact"/>
              <w:jc w:val="center"/>
              <w:textAlignment w:val="baseline"/>
              <w:rPr>
                <w:rFonts w:ascii="Times New Roman"/>
                <w:b/>
                <w:bCs/>
                <w:sz w:val="21"/>
                <w:szCs w:val="21"/>
              </w:rPr>
            </w:pPr>
            <w:r>
              <w:rPr>
                <w:rFonts w:ascii="Times New Roman"/>
                <w:b/>
                <w:bCs/>
                <w:sz w:val="21"/>
                <w:szCs w:val="21"/>
              </w:rPr>
              <w:t>排放规律</w:t>
            </w:r>
          </w:p>
        </w:tc>
        <w:tc>
          <w:tcPr>
            <w:tcW w:w="1373" w:type="pct"/>
            <w:gridSpan w:val="3"/>
            <w:vAlign w:val="center"/>
          </w:tcPr>
          <w:p w14:paraId="7B4F3E1E">
            <w:pPr>
              <w:adjustRightInd w:val="0"/>
              <w:spacing w:line="360" w:lineRule="exact"/>
              <w:jc w:val="center"/>
              <w:textAlignment w:val="baseline"/>
              <w:rPr>
                <w:rFonts w:ascii="Times New Roman"/>
                <w:b/>
                <w:bCs/>
                <w:sz w:val="21"/>
                <w:szCs w:val="21"/>
              </w:rPr>
            </w:pPr>
            <w:r>
              <w:rPr>
                <w:rFonts w:ascii="Times New Roman"/>
                <w:b/>
                <w:bCs/>
                <w:sz w:val="21"/>
                <w:szCs w:val="21"/>
              </w:rPr>
              <w:t>污染治理设施</w:t>
            </w:r>
          </w:p>
        </w:tc>
        <w:tc>
          <w:tcPr>
            <w:tcW w:w="280" w:type="pct"/>
            <w:vMerge w:val="restart"/>
            <w:vAlign w:val="center"/>
          </w:tcPr>
          <w:p w14:paraId="19FFC074">
            <w:pPr>
              <w:adjustRightInd w:val="0"/>
              <w:spacing w:line="360" w:lineRule="exact"/>
              <w:jc w:val="center"/>
              <w:textAlignment w:val="baseline"/>
              <w:rPr>
                <w:rFonts w:ascii="Times New Roman"/>
                <w:b/>
                <w:bCs/>
                <w:sz w:val="21"/>
                <w:szCs w:val="21"/>
              </w:rPr>
            </w:pPr>
            <w:r>
              <w:rPr>
                <w:rFonts w:ascii="Times New Roman"/>
                <w:b/>
                <w:bCs/>
                <w:sz w:val="21"/>
                <w:szCs w:val="21"/>
              </w:rPr>
              <w:t>排放口编号</w:t>
            </w:r>
          </w:p>
        </w:tc>
        <w:tc>
          <w:tcPr>
            <w:tcW w:w="434" w:type="pct"/>
            <w:vMerge w:val="restart"/>
            <w:vAlign w:val="center"/>
          </w:tcPr>
          <w:p w14:paraId="3E6123EF">
            <w:pPr>
              <w:adjustRightInd w:val="0"/>
              <w:spacing w:line="360" w:lineRule="exact"/>
              <w:jc w:val="center"/>
              <w:textAlignment w:val="baseline"/>
              <w:rPr>
                <w:rFonts w:ascii="Times New Roman"/>
                <w:b/>
                <w:bCs/>
                <w:sz w:val="21"/>
                <w:szCs w:val="21"/>
              </w:rPr>
            </w:pPr>
            <w:r>
              <w:rPr>
                <w:rFonts w:ascii="Times New Roman"/>
                <w:b/>
                <w:bCs/>
                <w:sz w:val="21"/>
                <w:szCs w:val="21"/>
              </w:rPr>
              <w:t>排放口设置是否符合要求</w:t>
            </w:r>
          </w:p>
        </w:tc>
        <w:tc>
          <w:tcPr>
            <w:tcW w:w="996" w:type="pct"/>
            <w:vMerge w:val="restart"/>
            <w:vAlign w:val="center"/>
          </w:tcPr>
          <w:p w14:paraId="0E88CEB2">
            <w:pPr>
              <w:adjustRightInd w:val="0"/>
              <w:spacing w:line="360" w:lineRule="exact"/>
              <w:jc w:val="center"/>
              <w:textAlignment w:val="baseline"/>
              <w:rPr>
                <w:rFonts w:ascii="Times New Roman"/>
                <w:b/>
                <w:bCs/>
                <w:sz w:val="21"/>
                <w:szCs w:val="21"/>
              </w:rPr>
            </w:pPr>
            <w:r>
              <w:rPr>
                <w:rFonts w:ascii="Times New Roman"/>
                <w:b/>
                <w:bCs/>
                <w:sz w:val="21"/>
                <w:szCs w:val="21"/>
              </w:rPr>
              <w:t>排放口类型</w:t>
            </w:r>
          </w:p>
        </w:tc>
      </w:tr>
      <w:tr w14:paraId="1E69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16" w:type="pct"/>
            <w:vMerge w:val="continue"/>
            <w:vAlign w:val="center"/>
          </w:tcPr>
          <w:p w14:paraId="21E2241D">
            <w:pPr>
              <w:adjustRightInd w:val="0"/>
              <w:spacing w:line="360" w:lineRule="exact"/>
              <w:jc w:val="center"/>
              <w:textAlignment w:val="baseline"/>
              <w:rPr>
                <w:rFonts w:ascii="Times New Roman"/>
                <w:b/>
                <w:bCs/>
                <w:sz w:val="21"/>
                <w:szCs w:val="21"/>
              </w:rPr>
            </w:pPr>
          </w:p>
        </w:tc>
        <w:tc>
          <w:tcPr>
            <w:tcW w:w="401" w:type="pct"/>
            <w:vMerge w:val="continue"/>
            <w:vAlign w:val="center"/>
          </w:tcPr>
          <w:p w14:paraId="75D4BDEF">
            <w:pPr>
              <w:adjustRightInd w:val="0"/>
              <w:spacing w:line="360" w:lineRule="exact"/>
              <w:jc w:val="center"/>
              <w:textAlignment w:val="baseline"/>
              <w:rPr>
                <w:rFonts w:ascii="Times New Roman"/>
                <w:b/>
                <w:bCs/>
                <w:sz w:val="21"/>
                <w:szCs w:val="21"/>
              </w:rPr>
            </w:pPr>
          </w:p>
        </w:tc>
        <w:tc>
          <w:tcPr>
            <w:tcW w:w="399" w:type="pct"/>
            <w:vMerge w:val="continue"/>
            <w:vAlign w:val="center"/>
          </w:tcPr>
          <w:p w14:paraId="7F93C407">
            <w:pPr>
              <w:adjustRightInd w:val="0"/>
              <w:spacing w:line="360" w:lineRule="exact"/>
              <w:jc w:val="center"/>
              <w:textAlignment w:val="baseline"/>
              <w:rPr>
                <w:rFonts w:ascii="Times New Roman"/>
                <w:b/>
                <w:bCs/>
                <w:sz w:val="21"/>
                <w:szCs w:val="21"/>
              </w:rPr>
            </w:pPr>
          </w:p>
        </w:tc>
        <w:tc>
          <w:tcPr>
            <w:tcW w:w="444" w:type="pct"/>
            <w:vMerge w:val="continue"/>
            <w:vAlign w:val="center"/>
          </w:tcPr>
          <w:p w14:paraId="63BC966C">
            <w:pPr>
              <w:adjustRightInd w:val="0"/>
              <w:spacing w:line="360" w:lineRule="exact"/>
              <w:jc w:val="center"/>
              <w:textAlignment w:val="baseline"/>
              <w:rPr>
                <w:rFonts w:ascii="Times New Roman"/>
                <w:b/>
                <w:bCs/>
                <w:sz w:val="21"/>
                <w:szCs w:val="21"/>
              </w:rPr>
            </w:pPr>
          </w:p>
        </w:tc>
        <w:tc>
          <w:tcPr>
            <w:tcW w:w="452" w:type="pct"/>
            <w:vMerge w:val="continue"/>
            <w:vAlign w:val="center"/>
          </w:tcPr>
          <w:p w14:paraId="6065AC9B">
            <w:pPr>
              <w:adjustRightInd w:val="0"/>
              <w:spacing w:line="360" w:lineRule="exact"/>
              <w:jc w:val="center"/>
              <w:textAlignment w:val="baseline"/>
              <w:rPr>
                <w:rFonts w:ascii="Times New Roman"/>
                <w:b/>
                <w:bCs/>
                <w:sz w:val="21"/>
                <w:szCs w:val="21"/>
              </w:rPr>
            </w:pPr>
          </w:p>
        </w:tc>
        <w:tc>
          <w:tcPr>
            <w:tcW w:w="313" w:type="pct"/>
            <w:vAlign w:val="center"/>
          </w:tcPr>
          <w:p w14:paraId="4229ADD7">
            <w:pPr>
              <w:adjustRightInd w:val="0"/>
              <w:spacing w:line="360" w:lineRule="exact"/>
              <w:jc w:val="center"/>
              <w:textAlignment w:val="baseline"/>
              <w:rPr>
                <w:rFonts w:ascii="Times New Roman"/>
                <w:b/>
                <w:bCs/>
                <w:sz w:val="21"/>
                <w:szCs w:val="21"/>
              </w:rPr>
            </w:pPr>
            <w:r>
              <w:rPr>
                <w:rFonts w:ascii="Times New Roman"/>
                <w:b/>
                <w:bCs/>
                <w:sz w:val="21"/>
                <w:szCs w:val="21"/>
              </w:rPr>
              <w:t>污染治理设施编号</w:t>
            </w:r>
          </w:p>
        </w:tc>
        <w:tc>
          <w:tcPr>
            <w:tcW w:w="378" w:type="pct"/>
            <w:vAlign w:val="center"/>
          </w:tcPr>
          <w:p w14:paraId="27D1B6ED">
            <w:pPr>
              <w:adjustRightInd w:val="0"/>
              <w:spacing w:line="360" w:lineRule="exact"/>
              <w:jc w:val="center"/>
              <w:textAlignment w:val="baseline"/>
              <w:rPr>
                <w:rFonts w:ascii="Times New Roman"/>
                <w:b/>
                <w:bCs/>
                <w:sz w:val="21"/>
                <w:szCs w:val="21"/>
              </w:rPr>
            </w:pPr>
            <w:r>
              <w:rPr>
                <w:rFonts w:ascii="Times New Roman"/>
                <w:b/>
                <w:bCs/>
                <w:sz w:val="21"/>
                <w:szCs w:val="21"/>
              </w:rPr>
              <w:t>污染治理设施名称</w:t>
            </w:r>
          </w:p>
        </w:tc>
        <w:tc>
          <w:tcPr>
            <w:tcW w:w="681" w:type="pct"/>
            <w:vAlign w:val="center"/>
          </w:tcPr>
          <w:p w14:paraId="5D32A8CD">
            <w:pPr>
              <w:adjustRightInd w:val="0"/>
              <w:spacing w:line="360" w:lineRule="exact"/>
              <w:jc w:val="center"/>
              <w:textAlignment w:val="baseline"/>
              <w:rPr>
                <w:rFonts w:ascii="Times New Roman"/>
                <w:b/>
                <w:bCs/>
                <w:sz w:val="21"/>
                <w:szCs w:val="21"/>
              </w:rPr>
            </w:pPr>
            <w:r>
              <w:rPr>
                <w:rFonts w:ascii="Times New Roman"/>
                <w:b/>
                <w:bCs/>
                <w:sz w:val="21"/>
                <w:szCs w:val="21"/>
              </w:rPr>
              <w:t>污染治理设施工艺</w:t>
            </w:r>
          </w:p>
        </w:tc>
        <w:tc>
          <w:tcPr>
            <w:tcW w:w="280" w:type="pct"/>
            <w:vMerge w:val="continue"/>
            <w:vAlign w:val="center"/>
          </w:tcPr>
          <w:p w14:paraId="712CE560">
            <w:pPr>
              <w:adjustRightInd w:val="0"/>
              <w:spacing w:line="360" w:lineRule="exact"/>
              <w:jc w:val="center"/>
              <w:textAlignment w:val="baseline"/>
              <w:rPr>
                <w:rFonts w:ascii="Times New Roman"/>
                <w:sz w:val="21"/>
                <w:szCs w:val="21"/>
              </w:rPr>
            </w:pPr>
          </w:p>
        </w:tc>
        <w:tc>
          <w:tcPr>
            <w:tcW w:w="434" w:type="pct"/>
            <w:vMerge w:val="continue"/>
            <w:vAlign w:val="center"/>
          </w:tcPr>
          <w:p w14:paraId="5DFF4567">
            <w:pPr>
              <w:adjustRightInd w:val="0"/>
              <w:spacing w:line="360" w:lineRule="exact"/>
              <w:jc w:val="center"/>
              <w:textAlignment w:val="baseline"/>
              <w:rPr>
                <w:rFonts w:ascii="Times New Roman"/>
                <w:sz w:val="21"/>
                <w:szCs w:val="21"/>
              </w:rPr>
            </w:pPr>
          </w:p>
        </w:tc>
        <w:tc>
          <w:tcPr>
            <w:tcW w:w="996" w:type="pct"/>
            <w:vMerge w:val="continue"/>
            <w:vAlign w:val="center"/>
          </w:tcPr>
          <w:p w14:paraId="0BC52A87">
            <w:pPr>
              <w:adjustRightInd w:val="0"/>
              <w:spacing w:line="360" w:lineRule="exact"/>
              <w:jc w:val="center"/>
              <w:textAlignment w:val="baseline"/>
              <w:rPr>
                <w:rFonts w:ascii="Times New Roman"/>
                <w:sz w:val="21"/>
                <w:szCs w:val="21"/>
              </w:rPr>
            </w:pPr>
          </w:p>
        </w:tc>
      </w:tr>
      <w:tr w14:paraId="5114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216" w:type="pct"/>
            <w:vAlign w:val="center"/>
          </w:tcPr>
          <w:p w14:paraId="5263932B">
            <w:pPr>
              <w:adjustRightInd w:val="0"/>
              <w:spacing w:line="360" w:lineRule="exact"/>
              <w:jc w:val="center"/>
              <w:textAlignment w:val="baseline"/>
              <w:rPr>
                <w:rFonts w:ascii="Times New Roman"/>
                <w:sz w:val="21"/>
                <w:szCs w:val="21"/>
              </w:rPr>
            </w:pPr>
            <w:r>
              <w:rPr>
                <w:rFonts w:ascii="Times New Roman"/>
                <w:sz w:val="21"/>
                <w:szCs w:val="21"/>
              </w:rPr>
              <w:t>1</w:t>
            </w:r>
          </w:p>
        </w:tc>
        <w:tc>
          <w:tcPr>
            <w:tcW w:w="401" w:type="pct"/>
            <w:vAlign w:val="center"/>
          </w:tcPr>
          <w:p w14:paraId="2AACF3DD">
            <w:pPr>
              <w:adjustRightInd w:val="0"/>
              <w:spacing w:line="360" w:lineRule="exact"/>
              <w:jc w:val="center"/>
              <w:textAlignment w:val="baseline"/>
              <w:rPr>
                <w:rFonts w:ascii="Times New Roman"/>
                <w:sz w:val="21"/>
                <w:szCs w:val="21"/>
              </w:rPr>
            </w:pPr>
            <w:r>
              <w:rPr>
                <w:rFonts w:hint="eastAsia" w:ascii="Times New Roman"/>
                <w:sz w:val="21"/>
                <w:szCs w:val="21"/>
              </w:rPr>
              <w:t>电泳生产线</w:t>
            </w:r>
            <w:r>
              <w:rPr>
                <w:rFonts w:ascii="Times New Roman"/>
                <w:sz w:val="21"/>
                <w:szCs w:val="21"/>
              </w:rPr>
              <w:t>废水</w:t>
            </w:r>
            <w:r>
              <w:rPr>
                <w:rFonts w:hint="eastAsia" w:ascii="Times New Roman"/>
                <w:sz w:val="21"/>
                <w:szCs w:val="21"/>
              </w:rPr>
              <w:t>、</w:t>
            </w:r>
            <w:r>
              <w:rPr>
                <w:rFonts w:ascii="Times New Roman"/>
                <w:sz w:val="21"/>
                <w:szCs w:val="21"/>
              </w:rPr>
              <w:t>车间地面清洁废水</w:t>
            </w:r>
          </w:p>
        </w:tc>
        <w:tc>
          <w:tcPr>
            <w:tcW w:w="399" w:type="pct"/>
            <w:vAlign w:val="center"/>
          </w:tcPr>
          <w:p w14:paraId="1BE24E45">
            <w:pPr>
              <w:adjustRightInd w:val="0"/>
              <w:textAlignment w:val="baseline"/>
              <w:rPr>
                <w:rFonts w:ascii="Times New Roman"/>
                <w:sz w:val="21"/>
                <w:szCs w:val="21"/>
              </w:rPr>
            </w:pPr>
            <w:r>
              <w:rPr>
                <w:rFonts w:ascii="Times New Roman"/>
                <w:sz w:val="21"/>
                <w:szCs w:val="21"/>
              </w:rPr>
              <w:t>pH、COD、SS、</w:t>
            </w:r>
            <w:r>
              <w:rPr>
                <w:rFonts w:hint="eastAsia" w:ascii="Times New Roman"/>
                <w:sz w:val="21"/>
                <w:szCs w:val="21"/>
              </w:rPr>
              <w:t>TP、</w:t>
            </w:r>
            <w:r>
              <w:rPr>
                <w:rFonts w:ascii="Times New Roman"/>
                <w:sz w:val="21"/>
                <w:szCs w:val="21"/>
              </w:rPr>
              <w:t>石油类</w:t>
            </w:r>
          </w:p>
        </w:tc>
        <w:tc>
          <w:tcPr>
            <w:tcW w:w="444" w:type="pct"/>
            <w:shd w:val="clear" w:color="auto" w:fill="auto"/>
            <w:vAlign w:val="center"/>
          </w:tcPr>
          <w:p w14:paraId="01F4DF2D">
            <w:pPr>
              <w:adjustRightInd w:val="0"/>
              <w:spacing w:line="360" w:lineRule="exact"/>
              <w:jc w:val="center"/>
              <w:textAlignment w:val="baseline"/>
              <w:rPr>
                <w:rFonts w:ascii="Times New Roman"/>
                <w:sz w:val="21"/>
                <w:szCs w:val="21"/>
              </w:rPr>
            </w:pPr>
            <w:r>
              <w:rPr>
                <w:rFonts w:ascii="Times New Roman"/>
                <w:sz w:val="21"/>
                <w:szCs w:val="24"/>
              </w:rPr>
              <w:t>曹妃甸装备制造园区</w:t>
            </w:r>
            <w:r>
              <w:rPr>
                <w:rFonts w:hint="eastAsia" w:ascii="Times New Roman"/>
                <w:sz w:val="21"/>
                <w:szCs w:val="24"/>
              </w:rPr>
              <w:t>污水处理站</w:t>
            </w:r>
          </w:p>
        </w:tc>
        <w:tc>
          <w:tcPr>
            <w:tcW w:w="452" w:type="pct"/>
            <w:shd w:val="clear" w:color="auto" w:fill="auto"/>
            <w:vAlign w:val="center"/>
          </w:tcPr>
          <w:p w14:paraId="0DE6C0DB">
            <w:pPr>
              <w:adjustRightInd w:val="0"/>
              <w:spacing w:line="360" w:lineRule="exact"/>
              <w:jc w:val="center"/>
              <w:textAlignment w:val="baseline"/>
              <w:rPr>
                <w:rFonts w:ascii="Times New Roman"/>
                <w:sz w:val="21"/>
                <w:szCs w:val="21"/>
              </w:rPr>
            </w:pPr>
            <w:r>
              <w:rPr>
                <w:rFonts w:ascii="Times New Roman"/>
                <w:sz w:val="21"/>
                <w:szCs w:val="24"/>
              </w:rPr>
              <w:t>连续排放，排放期间流量不稳定，但有规律，不属于周期性规律</w:t>
            </w:r>
          </w:p>
        </w:tc>
        <w:tc>
          <w:tcPr>
            <w:tcW w:w="313" w:type="pct"/>
            <w:shd w:val="clear" w:color="auto" w:fill="auto"/>
            <w:vAlign w:val="center"/>
          </w:tcPr>
          <w:p w14:paraId="768E14FD">
            <w:pPr>
              <w:adjustRightInd w:val="0"/>
              <w:spacing w:line="360" w:lineRule="exact"/>
              <w:jc w:val="center"/>
              <w:textAlignment w:val="baseline"/>
              <w:rPr>
                <w:rFonts w:ascii="Times New Roman"/>
                <w:sz w:val="21"/>
                <w:szCs w:val="21"/>
              </w:rPr>
            </w:pPr>
            <w:r>
              <w:rPr>
                <w:rFonts w:ascii="Times New Roman"/>
                <w:sz w:val="21"/>
                <w:szCs w:val="21"/>
              </w:rPr>
              <w:t>TW001</w:t>
            </w:r>
          </w:p>
        </w:tc>
        <w:tc>
          <w:tcPr>
            <w:tcW w:w="378" w:type="pct"/>
            <w:vAlign w:val="center"/>
          </w:tcPr>
          <w:p w14:paraId="068EA7DE">
            <w:pPr>
              <w:adjustRightInd w:val="0"/>
              <w:spacing w:line="360" w:lineRule="exact"/>
              <w:jc w:val="center"/>
              <w:textAlignment w:val="baseline"/>
              <w:rPr>
                <w:rFonts w:ascii="Times New Roman"/>
                <w:sz w:val="21"/>
                <w:szCs w:val="21"/>
              </w:rPr>
            </w:pPr>
            <w:r>
              <w:rPr>
                <w:rFonts w:ascii="Times New Roman"/>
                <w:sz w:val="21"/>
                <w:szCs w:val="21"/>
              </w:rPr>
              <w:t>“一体化气浮槽+综合反应斜管沉淀槽+综合芬顿反应槽+多介质过滤器+活性炭过滤器”</w:t>
            </w:r>
          </w:p>
        </w:tc>
        <w:tc>
          <w:tcPr>
            <w:tcW w:w="681" w:type="pct"/>
            <w:vAlign w:val="center"/>
          </w:tcPr>
          <w:p w14:paraId="78A0AA4F">
            <w:pPr>
              <w:adjustRightInd w:val="0"/>
              <w:spacing w:line="280" w:lineRule="exact"/>
              <w:jc w:val="center"/>
              <w:textAlignment w:val="baseline"/>
              <w:rPr>
                <w:rFonts w:ascii="Times New Roman"/>
                <w:sz w:val="21"/>
                <w:szCs w:val="21"/>
              </w:rPr>
            </w:pPr>
            <w:r>
              <w:rPr>
                <w:rFonts w:hint="eastAsia" w:ascii="Times New Roman"/>
                <w:sz w:val="21"/>
                <w:szCs w:val="21"/>
              </w:rPr>
              <w:t>气浮+</w:t>
            </w:r>
            <w:r>
              <w:rPr>
                <w:rFonts w:ascii="Times New Roman"/>
                <w:sz w:val="21"/>
                <w:szCs w:val="21"/>
              </w:rPr>
              <w:t>斜管沉淀</w:t>
            </w:r>
            <w:r>
              <w:rPr>
                <w:rFonts w:hint="eastAsia" w:ascii="Times New Roman"/>
                <w:sz w:val="21"/>
                <w:szCs w:val="21"/>
              </w:rPr>
              <w:t>+</w:t>
            </w:r>
            <w:r>
              <w:rPr>
                <w:rFonts w:ascii="Times New Roman"/>
                <w:sz w:val="21"/>
                <w:szCs w:val="21"/>
              </w:rPr>
              <w:t>芬顿反应</w:t>
            </w:r>
            <w:r>
              <w:rPr>
                <w:rFonts w:hint="eastAsia" w:ascii="Times New Roman"/>
                <w:sz w:val="21"/>
                <w:szCs w:val="21"/>
              </w:rPr>
              <w:t>+</w:t>
            </w:r>
            <w:r>
              <w:rPr>
                <w:rFonts w:ascii="Times New Roman"/>
                <w:sz w:val="21"/>
                <w:szCs w:val="21"/>
              </w:rPr>
              <w:t>多介质过滤</w:t>
            </w:r>
            <w:r>
              <w:rPr>
                <w:rFonts w:hint="eastAsia" w:ascii="Times New Roman"/>
                <w:sz w:val="21"/>
                <w:szCs w:val="21"/>
              </w:rPr>
              <w:t>+</w:t>
            </w:r>
            <w:r>
              <w:rPr>
                <w:rFonts w:ascii="Times New Roman"/>
                <w:sz w:val="21"/>
                <w:szCs w:val="21"/>
              </w:rPr>
              <w:t>活性炭过滤</w:t>
            </w:r>
          </w:p>
        </w:tc>
        <w:tc>
          <w:tcPr>
            <w:tcW w:w="280" w:type="pct"/>
            <w:shd w:val="clear" w:color="auto" w:fill="auto"/>
            <w:vAlign w:val="center"/>
          </w:tcPr>
          <w:p w14:paraId="66B38B79">
            <w:pPr>
              <w:adjustRightInd w:val="0"/>
              <w:spacing w:line="360" w:lineRule="exact"/>
              <w:jc w:val="center"/>
              <w:textAlignment w:val="baseline"/>
              <w:rPr>
                <w:rFonts w:ascii="Times New Roman"/>
                <w:sz w:val="21"/>
                <w:szCs w:val="21"/>
              </w:rPr>
            </w:pPr>
            <w:r>
              <w:rPr>
                <w:rFonts w:ascii="Times New Roman"/>
                <w:sz w:val="21"/>
                <w:szCs w:val="21"/>
              </w:rPr>
              <w:t>DW001</w:t>
            </w:r>
          </w:p>
        </w:tc>
        <w:tc>
          <w:tcPr>
            <w:tcW w:w="434" w:type="pct"/>
            <w:shd w:val="clear" w:color="auto" w:fill="auto"/>
            <w:vAlign w:val="center"/>
          </w:tcPr>
          <w:p w14:paraId="71892152">
            <w:pPr>
              <w:adjustRightInd w:val="0"/>
              <w:spacing w:line="360" w:lineRule="exact"/>
              <w:jc w:val="center"/>
              <w:textAlignment w:val="baseline"/>
              <w:rPr>
                <w:rFonts w:ascii="Times New Roman"/>
                <w:sz w:val="21"/>
                <w:szCs w:val="21"/>
              </w:rPr>
            </w:pPr>
            <w:r>
              <w:rPr>
                <w:rFonts w:hint="eastAsia" w:ascii="Times New Roman"/>
                <w:sz w:val="21"/>
                <w:szCs w:val="21"/>
              </w:rPr>
              <w:t>☑</w:t>
            </w:r>
            <w:r>
              <w:rPr>
                <w:rFonts w:ascii="Times New Roman"/>
                <w:sz w:val="21"/>
                <w:szCs w:val="21"/>
              </w:rPr>
              <w:t>是</w:t>
            </w:r>
          </w:p>
          <w:p w14:paraId="3DD2A7BA">
            <w:pPr>
              <w:adjustRightInd w:val="0"/>
              <w:spacing w:line="360" w:lineRule="exact"/>
              <w:jc w:val="center"/>
              <w:textAlignment w:val="baseline"/>
              <w:rPr>
                <w:rFonts w:ascii="Times New Roman"/>
                <w:sz w:val="21"/>
                <w:szCs w:val="21"/>
              </w:rPr>
            </w:pPr>
            <w:r>
              <w:rPr>
                <w:rFonts w:ascii="Times New Roman"/>
                <w:sz w:val="21"/>
                <w:szCs w:val="21"/>
              </w:rPr>
              <w:t>□否</w:t>
            </w:r>
          </w:p>
        </w:tc>
        <w:tc>
          <w:tcPr>
            <w:tcW w:w="996" w:type="pct"/>
            <w:shd w:val="clear" w:color="auto" w:fill="auto"/>
            <w:vAlign w:val="center"/>
          </w:tcPr>
          <w:p w14:paraId="599BF0C8">
            <w:pPr>
              <w:adjustRightInd w:val="0"/>
              <w:spacing w:line="360" w:lineRule="exact"/>
              <w:textAlignment w:val="baseline"/>
              <w:rPr>
                <w:rFonts w:ascii="Times New Roman"/>
                <w:sz w:val="21"/>
                <w:szCs w:val="21"/>
              </w:rPr>
            </w:pPr>
            <w:r>
              <w:rPr>
                <w:rFonts w:ascii="Times New Roman"/>
                <w:sz w:val="21"/>
                <w:szCs w:val="21"/>
              </w:rPr>
              <w:sym w:font="Wingdings 2" w:char="0052"/>
            </w:r>
            <w:r>
              <w:rPr>
                <w:rFonts w:ascii="Times New Roman"/>
                <w:sz w:val="21"/>
                <w:szCs w:val="21"/>
              </w:rPr>
              <w:t>企业总排</w:t>
            </w:r>
          </w:p>
          <w:p w14:paraId="515DEB97">
            <w:pPr>
              <w:adjustRightInd w:val="0"/>
              <w:spacing w:line="360" w:lineRule="exact"/>
              <w:textAlignment w:val="baseline"/>
              <w:rPr>
                <w:rFonts w:ascii="Times New Roman"/>
                <w:sz w:val="21"/>
                <w:szCs w:val="21"/>
              </w:rPr>
            </w:pPr>
            <w:r>
              <w:rPr>
                <w:rFonts w:ascii="Times New Roman"/>
                <w:sz w:val="21"/>
                <w:szCs w:val="21"/>
              </w:rPr>
              <w:t>□雨水排放</w:t>
            </w:r>
          </w:p>
          <w:p w14:paraId="71878558">
            <w:pPr>
              <w:adjustRightInd w:val="0"/>
              <w:spacing w:line="360" w:lineRule="exact"/>
              <w:textAlignment w:val="baseline"/>
              <w:rPr>
                <w:rFonts w:ascii="Times New Roman"/>
                <w:sz w:val="21"/>
                <w:szCs w:val="21"/>
              </w:rPr>
            </w:pPr>
            <w:r>
              <w:rPr>
                <w:rFonts w:ascii="Times New Roman"/>
                <w:sz w:val="21"/>
                <w:szCs w:val="21"/>
              </w:rPr>
              <w:t>□清净下水排放</w:t>
            </w:r>
          </w:p>
          <w:p w14:paraId="35DBBFF1">
            <w:pPr>
              <w:adjustRightInd w:val="0"/>
              <w:spacing w:line="360" w:lineRule="exact"/>
              <w:textAlignment w:val="baseline"/>
              <w:rPr>
                <w:rFonts w:ascii="Times New Roman"/>
                <w:sz w:val="21"/>
                <w:szCs w:val="21"/>
              </w:rPr>
            </w:pPr>
            <w:r>
              <w:rPr>
                <w:rFonts w:ascii="Times New Roman"/>
                <w:sz w:val="21"/>
                <w:szCs w:val="21"/>
              </w:rPr>
              <w:t>□温排水排放</w:t>
            </w:r>
          </w:p>
          <w:p w14:paraId="2AD8F526">
            <w:pPr>
              <w:adjustRightInd w:val="0"/>
              <w:spacing w:line="360" w:lineRule="exact"/>
              <w:textAlignment w:val="baseline"/>
              <w:rPr>
                <w:rFonts w:ascii="Times New Roman"/>
                <w:sz w:val="21"/>
                <w:szCs w:val="21"/>
              </w:rPr>
            </w:pPr>
            <w:r>
              <w:rPr>
                <w:rFonts w:ascii="Times New Roman"/>
                <w:sz w:val="21"/>
                <w:szCs w:val="21"/>
              </w:rPr>
              <w:t>□车间或车间处理设施排放口</w:t>
            </w:r>
          </w:p>
        </w:tc>
      </w:tr>
      <w:tr w14:paraId="0094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216" w:type="pct"/>
            <w:vAlign w:val="center"/>
          </w:tcPr>
          <w:p w14:paraId="3DAC1B7E">
            <w:pPr>
              <w:adjustRightInd w:val="0"/>
              <w:spacing w:line="360" w:lineRule="exact"/>
              <w:jc w:val="center"/>
              <w:textAlignment w:val="baseline"/>
              <w:rPr>
                <w:rFonts w:ascii="Times New Roman"/>
                <w:sz w:val="21"/>
                <w:szCs w:val="21"/>
              </w:rPr>
            </w:pPr>
            <w:r>
              <w:rPr>
                <w:rFonts w:hint="eastAsia" w:ascii="Times New Roman"/>
                <w:sz w:val="21"/>
                <w:szCs w:val="21"/>
              </w:rPr>
              <w:t>2</w:t>
            </w:r>
          </w:p>
        </w:tc>
        <w:tc>
          <w:tcPr>
            <w:tcW w:w="401" w:type="pct"/>
            <w:vAlign w:val="center"/>
          </w:tcPr>
          <w:p w14:paraId="529ED6C4">
            <w:pPr>
              <w:adjustRightInd w:val="0"/>
              <w:spacing w:line="360" w:lineRule="exact"/>
              <w:jc w:val="center"/>
              <w:textAlignment w:val="baseline"/>
              <w:rPr>
                <w:rFonts w:ascii="Times New Roman"/>
                <w:sz w:val="21"/>
                <w:szCs w:val="21"/>
              </w:rPr>
            </w:pPr>
            <w:r>
              <w:rPr>
                <w:rFonts w:hint="eastAsia"/>
                <w:sz w:val="21"/>
                <w:szCs w:val="21"/>
              </w:rPr>
              <w:t>纯</w:t>
            </w:r>
            <w:r>
              <w:rPr>
                <w:rFonts w:ascii="Times New Roman"/>
                <w:sz w:val="21"/>
                <w:szCs w:val="21"/>
              </w:rPr>
              <w:t>水制备废水</w:t>
            </w:r>
          </w:p>
        </w:tc>
        <w:tc>
          <w:tcPr>
            <w:tcW w:w="399" w:type="pct"/>
            <w:vAlign w:val="center"/>
          </w:tcPr>
          <w:p w14:paraId="3F855945">
            <w:pPr>
              <w:adjustRightInd w:val="0"/>
              <w:textAlignment w:val="baseline"/>
              <w:rPr>
                <w:rFonts w:ascii="Times New Roman"/>
                <w:sz w:val="21"/>
                <w:szCs w:val="21"/>
              </w:rPr>
            </w:pPr>
            <w:r>
              <w:rPr>
                <w:rFonts w:ascii="Times New Roman"/>
                <w:sz w:val="21"/>
                <w:szCs w:val="21"/>
              </w:rPr>
              <w:t>pH、COD、SS</w:t>
            </w:r>
          </w:p>
        </w:tc>
        <w:tc>
          <w:tcPr>
            <w:tcW w:w="444" w:type="pct"/>
            <w:shd w:val="clear" w:color="auto" w:fill="auto"/>
            <w:vAlign w:val="center"/>
          </w:tcPr>
          <w:p w14:paraId="23C3F4A3">
            <w:pPr>
              <w:adjustRightInd w:val="0"/>
              <w:spacing w:line="360" w:lineRule="exact"/>
              <w:jc w:val="center"/>
              <w:textAlignment w:val="baseline"/>
              <w:rPr>
                <w:rFonts w:ascii="Times New Roman"/>
                <w:sz w:val="21"/>
                <w:szCs w:val="21"/>
              </w:rPr>
            </w:pPr>
            <w:r>
              <w:rPr>
                <w:rFonts w:ascii="Times New Roman"/>
                <w:sz w:val="21"/>
                <w:szCs w:val="24"/>
              </w:rPr>
              <w:t>曹妃甸装备制造园区</w:t>
            </w:r>
            <w:r>
              <w:rPr>
                <w:rFonts w:hint="eastAsia" w:ascii="Times New Roman"/>
                <w:sz w:val="21"/>
                <w:szCs w:val="24"/>
              </w:rPr>
              <w:t>污水处理站</w:t>
            </w:r>
          </w:p>
        </w:tc>
        <w:tc>
          <w:tcPr>
            <w:tcW w:w="452" w:type="pct"/>
            <w:shd w:val="clear" w:color="auto" w:fill="auto"/>
            <w:vAlign w:val="center"/>
          </w:tcPr>
          <w:p w14:paraId="233611FD">
            <w:pPr>
              <w:adjustRightInd w:val="0"/>
              <w:spacing w:line="360" w:lineRule="exact"/>
              <w:jc w:val="center"/>
              <w:textAlignment w:val="baseline"/>
              <w:rPr>
                <w:rFonts w:ascii="Times New Roman"/>
                <w:sz w:val="21"/>
                <w:szCs w:val="21"/>
              </w:rPr>
            </w:pPr>
            <w:r>
              <w:rPr>
                <w:rFonts w:ascii="Times New Roman"/>
                <w:sz w:val="21"/>
                <w:szCs w:val="24"/>
              </w:rPr>
              <w:t>连续排放，排放期间流量不稳定，但有规律，不属于周期性规律</w:t>
            </w:r>
          </w:p>
        </w:tc>
        <w:tc>
          <w:tcPr>
            <w:tcW w:w="313" w:type="pct"/>
            <w:vAlign w:val="center"/>
          </w:tcPr>
          <w:p w14:paraId="62E82D8E">
            <w:pPr>
              <w:adjustRightInd w:val="0"/>
              <w:spacing w:line="360" w:lineRule="exact"/>
              <w:jc w:val="center"/>
              <w:textAlignment w:val="baseline"/>
              <w:rPr>
                <w:rFonts w:ascii="Times New Roman"/>
                <w:sz w:val="21"/>
                <w:szCs w:val="21"/>
              </w:rPr>
            </w:pPr>
            <w:r>
              <w:rPr>
                <w:rFonts w:hint="eastAsia" w:ascii="Times New Roman"/>
                <w:sz w:val="21"/>
                <w:szCs w:val="21"/>
              </w:rPr>
              <w:t>/</w:t>
            </w:r>
          </w:p>
        </w:tc>
        <w:tc>
          <w:tcPr>
            <w:tcW w:w="378" w:type="pct"/>
            <w:vAlign w:val="center"/>
          </w:tcPr>
          <w:p w14:paraId="00558053">
            <w:pPr>
              <w:adjustRightInd w:val="0"/>
              <w:spacing w:line="360" w:lineRule="exact"/>
              <w:jc w:val="center"/>
              <w:textAlignment w:val="baseline"/>
              <w:rPr>
                <w:rFonts w:ascii="Times New Roman"/>
                <w:sz w:val="21"/>
                <w:szCs w:val="21"/>
              </w:rPr>
            </w:pPr>
            <w:r>
              <w:rPr>
                <w:rFonts w:hint="eastAsia" w:ascii="Times New Roman"/>
                <w:sz w:val="21"/>
                <w:szCs w:val="21"/>
              </w:rPr>
              <w:t>/</w:t>
            </w:r>
          </w:p>
        </w:tc>
        <w:tc>
          <w:tcPr>
            <w:tcW w:w="681" w:type="pct"/>
            <w:vAlign w:val="center"/>
          </w:tcPr>
          <w:p w14:paraId="4B578EFD">
            <w:pPr>
              <w:adjustRightInd w:val="0"/>
              <w:spacing w:line="280" w:lineRule="exact"/>
              <w:jc w:val="center"/>
              <w:textAlignment w:val="baseline"/>
              <w:rPr>
                <w:rFonts w:ascii="Times New Roman"/>
                <w:sz w:val="21"/>
                <w:szCs w:val="21"/>
              </w:rPr>
            </w:pPr>
            <w:r>
              <w:rPr>
                <w:rFonts w:hint="eastAsia" w:ascii="Times New Roman"/>
                <w:sz w:val="21"/>
                <w:szCs w:val="21"/>
              </w:rPr>
              <w:t>/</w:t>
            </w:r>
          </w:p>
        </w:tc>
        <w:tc>
          <w:tcPr>
            <w:tcW w:w="280" w:type="pct"/>
            <w:shd w:val="clear" w:color="auto" w:fill="auto"/>
            <w:vAlign w:val="center"/>
          </w:tcPr>
          <w:p w14:paraId="33A9A6FF">
            <w:pPr>
              <w:adjustRightInd w:val="0"/>
              <w:spacing w:line="360" w:lineRule="exact"/>
              <w:jc w:val="center"/>
              <w:textAlignment w:val="baseline"/>
              <w:rPr>
                <w:rFonts w:ascii="Times New Roman"/>
                <w:sz w:val="21"/>
                <w:szCs w:val="21"/>
              </w:rPr>
            </w:pPr>
            <w:r>
              <w:rPr>
                <w:rFonts w:ascii="Times New Roman"/>
                <w:sz w:val="21"/>
                <w:szCs w:val="21"/>
              </w:rPr>
              <w:t>DW001</w:t>
            </w:r>
          </w:p>
        </w:tc>
        <w:tc>
          <w:tcPr>
            <w:tcW w:w="434" w:type="pct"/>
            <w:shd w:val="clear" w:color="auto" w:fill="auto"/>
            <w:vAlign w:val="center"/>
          </w:tcPr>
          <w:p w14:paraId="59B41D95">
            <w:pPr>
              <w:adjustRightInd w:val="0"/>
              <w:spacing w:line="360" w:lineRule="exact"/>
              <w:jc w:val="center"/>
              <w:textAlignment w:val="baseline"/>
              <w:rPr>
                <w:rFonts w:ascii="Times New Roman"/>
                <w:sz w:val="21"/>
                <w:szCs w:val="21"/>
              </w:rPr>
            </w:pPr>
            <w:r>
              <w:rPr>
                <w:rFonts w:hint="eastAsia" w:ascii="Times New Roman"/>
                <w:sz w:val="21"/>
                <w:szCs w:val="21"/>
              </w:rPr>
              <w:t>☑</w:t>
            </w:r>
            <w:r>
              <w:rPr>
                <w:rFonts w:ascii="Times New Roman"/>
                <w:sz w:val="21"/>
                <w:szCs w:val="21"/>
              </w:rPr>
              <w:t>是</w:t>
            </w:r>
          </w:p>
          <w:p w14:paraId="2ABDC4C5">
            <w:pPr>
              <w:adjustRightInd w:val="0"/>
              <w:spacing w:line="360" w:lineRule="exact"/>
              <w:jc w:val="center"/>
              <w:textAlignment w:val="baseline"/>
              <w:rPr>
                <w:rFonts w:ascii="Times New Roman"/>
                <w:sz w:val="21"/>
                <w:szCs w:val="21"/>
              </w:rPr>
            </w:pPr>
            <w:r>
              <w:rPr>
                <w:rFonts w:ascii="Times New Roman"/>
                <w:sz w:val="21"/>
                <w:szCs w:val="21"/>
              </w:rPr>
              <w:t>□否</w:t>
            </w:r>
          </w:p>
        </w:tc>
        <w:tc>
          <w:tcPr>
            <w:tcW w:w="996" w:type="pct"/>
            <w:shd w:val="clear" w:color="auto" w:fill="auto"/>
            <w:vAlign w:val="center"/>
          </w:tcPr>
          <w:p w14:paraId="70511C95">
            <w:pPr>
              <w:adjustRightInd w:val="0"/>
              <w:spacing w:line="360" w:lineRule="exact"/>
              <w:textAlignment w:val="baseline"/>
              <w:rPr>
                <w:rFonts w:ascii="Times New Roman"/>
                <w:sz w:val="21"/>
                <w:szCs w:val="21"/>
              </w:rPr>
            </w:pPr>
            <w:r>
              <w:rPr>
                <w:rFonts w:ascii="Times New Roman"/>
                <w:sz w:val="21"/>
                <w:szCs w:val="21"/>
              </w:rPr>
              <w:sym w:font="Wingdings 2" w:char="0052"/>
            </w:r>
            <w:r>
              <w:rPr>
                <w:rFonts w:ascii="Times New Roman"/>
                <w:sz w:val="21"/>
                <w:szCs w:val="21"/>
              </w:rPr>
              <w:t>企业总排</w:t>
            </w:r>
          </w:p>
          <w:p w14:paraId="5A01B7EC">
            <w:pPr>
              <w:adjustRightInd w:val="0"/>
              <w:spacing w:line="360" w:lineRule="exact"/>
              <w:textAlignment w:val="baseline"/>
              <w:rPr>
                <w:rFonts w:ascii="Times New Roman"/>
                <w:sz w:val="21"/>
                <w:szCs w:val="21"/>
              </w:rPr>
            </w:pPr>
            <w:r>
              <w:rPr>
                <w:rFonts w:ascii="Times New Roman"/>
                <w:sz w:val="21"/>
                <w:szCs w:val="21"/>
              </w:rPr>
              <w:t>□雨水排放</w:t>
            </w:r>
          </w:p>
          <w:p w14:paraId="7B9A149C">
            <w:pPr>
              <w:adjustRightInd w:val="0"/>
              <w:spacing w:line="360" w:lineRule="exact"/>
              <w:textAlignment w:val="baseline"/>
              <w:rPr>
                <w:rFonts w:ascii="Times New Roman"/>
                <w:sz w:val="21"/>
                <w:szCs w:val="21"/>
              </w:rPr>
            </w:pPr>
            <w:r>
              <w:rPr>
                <w:rFonts w:ascii="Times New Roman"/>
                <w:sz w:val="21"/>
                <w:szCs w:val="21"/>
              </w:rPr>
              <w:t>□清净下水排放</w:t>
            </w:r>
          </w:p>
          <w:p w14:paraId="51DE8459">
            <w:pPr>
              <w:adjustRightInd w:val="0"/>
              <w:spacing w:line="360" w:lineRule="exact"/>
              <w:textAlignment w:val="baseline"/>
              <w:rPr>
                <w:rFonts w:ascii="Times New Roman"/>
                <w:sz w:val="21"/>
                <w:szCs w:val="21"/>
              </w:rPr>
            </w:pPr>
            <w:r>
              <w:rPr>
                <w:rFonts w:ascii="Times New Roman"/>
                <w:sz w:val="21"/>
                <w:szCs w:val="21"/>
              </w:rPr>
              <w:t>□温排水排放</w:t>
            </w:r>
          </w:p>
          <w:p w14:paraId="53D822FD">
            <w:pPr>
              <w:adjustRightInd w:val="0"/>
              <w:spacing w:line="360" w:lineRule="exact"/>
              <w:textAlignment w:val="baseline"/>
              <w:rPr>
                <w:rFonts w:ascii="Times New Roman"/>
                <w:sz w:val="21"/>
                <w:szCs w:val="21"/>
              </w:rPr>
            </w:pPr>
            <w:r>
              <w:rPr>
                <w:rFonts w:ascii="Times New Roman"/>
                <w:sz w:val="21"/>
                <w:szCs w:val="21"/>
              </w:rPr>
              <w:t>□车间或车间处理设施排放口</w:t>
            </w:r>
          </w:p>
        </w:tc>
      </w:tr>
      <w:tr w14:paraId="1635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216" w:type="pct"/>
            <w:vAlign w:val="center"/>
          </w:tcPr>
          <w:p w14:paraId="06532CC6">
            <w:pPr>
              <w:adjustRightInd w:val="0"/>
              <w:spacing w:line="360" w:lineRule="exact"/>
              <w:jc w:val="center"/>
              <w:textAlignment w:val="baseline"/>
              <w:rPr>
                <w:rFonts w:ascii="Times New Roman"/>
                <w:sz w:val="21"/>
                <w:szCs w:val="21"/>
              </w:rPr>
            </w:pPr>
            <w:r>
              <w:rPr>
                <w:rFonts w:hint="eastAsia" w:ascii="Times New Roman"/>
                <w:sz w:val="21"/>
                <w:szCs w:val="21"/>
              </w:rPr>
              <w:t>3</w:t>
            </w:r>
          </w:p>
        </w:tc>
        <w:tc>
          <w:tcPr>
            <w:tcW w:w="401" w:type="pct"/>
            <w:vAlign w:val="center"/>
          </w:tcPr>
          <w:p w14:paraId="7897A82A">
            <w:pPr>
              <w:adjustRightInd w:val="0"/>
              <w:spacing w:line="360" w:lineRule="exact"/>
              <w:jc w:val="center"/>
              <w:textAlignment w:val="baseline"/>
              <w:rPr>
                <w:rFonts w:ascii="Times New Roman"/>
                <w:sz w:val="21"/>
                <w:szCs w:val="21"/>
              </w:rPr>
            </w:pPr>
            <w:r>
              <w:rPr>
                <w:rFonts w:ascii="Times New Roman"/>
                <w:sz w:val="21"/>
                <w:szCs w:val="21"/>
              </w:rPr>
              <w:t>生活污水</w:t>
            </w:r>
          </w:p>
        </w:tc>
        <w:tc>
          <w:tcPr>
            <w:tcW w:w="399" w:type="pct"/>
            <w:vAlign w:val="center"/>
          </w:tcPr>
          <w:p w14:paraId="08216F95">
            <w:pPr>
              <w:adjustRightInd w:val="0"/>
              <w:textAlignment w:val="baseline"/>
              <w:rPr>
                <w:rFonts w:ascii="Times New Roman"/>
                <w:sz w:val="21"/>
                <w:szCs w:val="21"/>
              </w:rPr>
            </w:pPr>
            <w:r>
              <w:rPr>
                <w:rFonts w:ascii="Times New Roman"/>
                <w:sz w:val="21"/>
                <w:szCs w:val="21"/>
              </w:rPr>
              <w:t>COD、氨氮、BOD</w:t>
            </w:r>
            <w:r>
              <w:rPr>
                <w:rFonts w:ascii="Times New Roman"/>
                <w:sz w:val="21"/>
                <w:szCs w:val="21"/>
                <w:vertAlign w:val="subscript"/>
              </w:rPr>
              <w:t>5</w:t>
            </w:r>
            <w:r>
              <w:rPr>
                <w:rFonts w:ascii="Times New Roman"/>
                <w:sz w:val="21"/>
                <w:szCs w:val="21"/>
              </w:rPr>
              <w:t>、SS、总氮、总磷</w:t>
            </w:r>
            <w:r>
              <w:rPr>
                <w:rFonts w:hint="eastAsia" w:ascii="Times New Roman"/>
                <w:sz w:val="21"/>
                <w:szCs w:val="21"/>
              </w:rPr>
              <w:t>、动植物油</w:t>
            </w:r>
          </w:p>
        </w:tc>
        <w:tc>
          <w:tcPr>
            <w:tcW w:w="444" w:type="pct"/>
            <w:vAlign w:val="center"/>
          </w:tcPr>
          <w:p w14:paraId="50B1353B">
            <w:pPr>
              <w:adjustRightInd w:val="0"/>
              <w:spacing w:line="360" w:lineRule="exact"/>
              <w:jc w:val="center"/>
              <w:textAlignment w:val="baseline"/>
              <w:rPr>
                <w:rFonts w:ascii="Times New Roman"/>
                <w:sz w:val="21"/>
                <w:szCs w:val="21"/>
              </w:rPr>
            </w:pPr>
            <w:r>
              <w:rPr>
                <w:rFonts w:ascii="Times New Roman"/>
                <w:sz w:val="21"/>
                <w:szCs w:val="24"/>
              </w:rPr>
              <w:t>曹妃甸装备制造园区</w:t>
            </w:r>
            <w:r>
              <w:rPr>
                <w:rFonts w:hint="eastAsia" w:ascii="Times New Roman"/>
                <w:sz w:val="21"/>
                <w:szCs w:val="24"/>
              </w:rPr>
              <w:t>污水处理站</w:t>
            </w:r>
          </w:p>
        </w:tc>
        <w:tc>
          <w:tcPr>
            <w:tcW w:w="452" w:type="pct"/>
            <w:vAlign w:val="center"/>
          </w:tcPr>
          <w:p w14:paraId="58B2974D">
            <w:pPr>
              <w:adjustRightInd w:val="0"/>
              <w:spacing w:line="360" w:lineRule="exact"/>
              <w:jc w:val="center"/>
              <w:textAlignment w:val="baseline"/>
              <w:rPr>
                <w:rFonts w:ascii="Times New Roman"/>
                <w:sz w:val="21"/>
                <w:szCs w:val="21"/>
              </w:rPr>
            </w:pPr>
            <w:r>
              <w:rPr>
                <w:rFonts w:ascii="Times New Roman"/>
                <w:sz w:val="21"/>
                <w:szCs w:val="24"/>
              </w:rPr>
              <w:t>连续排放，排放期间流量不稳定，但有规律，不属于周期性规律</w:t>
            </w:r>
          </w:p>
        </w:tc>
        <w:tc>
          <w:tcPr>
            <w:tcW w:w="313" w:type="pct"/>
            <w:vAlign w:val="center"/>
          </w:tcPr>
          <w:p w14:paraId="5F3E5016">
            <w:pPr>
              <w:adjustRightInd w:val="0"/>
              <w:spacing w:line="360" w:lineRule="exact"/>
              <w:jc w:val="center"/>
              <w:textAlignment w:val="baseline"/>
              <w:rPr>
                <w:rFonts w:ascii="Times New Roman"/>
                <w:sz w:val="21"/>
                <w:szCs w:val="21"/>
              </w:rPr>
            </w:pPr>
            <w:r>
              <w:rPr>
                <w:rFonts w:ascii="Times New Roman"/>
                <w:sz w:val="21"/>
                <w:szCs w:val="21"/>
              </w:rPr>
              <w:t>TW00</w:t>
            </w:r>
            <w:r>
              <w:rPr>
                <w:rFonts w:hint="eastAsia" w:ascii="Times New Roman"/>
                <w:sz w:val="21"/>
                <w:szCs w:val="21"/>
              </w:rPr>
              <w:t>2</w:t>
            </w:r>
          </w:p>
        </w:tc>
        <w:tc>
          <w:tcPr>
            <w:tcW w:w="378" w:type="pct"/>
            <w:vAlign w:val="center"/>
          </w:tcPr>
          <w:p w14:paraId="4BECBBBB">
            <w:pPr>
              <w:adjustRightInd w:val="0"/>
              <w:spacing w:line="360" w:lineRule="exact"/>
              <w:jc w:val="center"/>
              <w:textAlignment w:val="baseline"/>
              <w:rPr>
                <w:rFonts w:ascii="Times New Roman"/>
                <w:sz w:val="21"/>
                <w:szCs w:val="21"/>
              </w:rPr>
            </w:pPr>
            <w:r>
              <w:rPr>
                <w:rFonts w:hint="eastAsia" w:ascii="Times New Roman"/>
                <w:sz w:val="21"/>
                <w:szCs w:val="21"/>
              </w:rPr>
              <w:t>隔油池+</w:t>
            </w:r>
            <w:r>
              <w:rPr>
                <w:rFonts w:ascii="Times New Roman"/>
                <w:sz w:val="21"/>
                <w:szCs w:val="21"/>
              </w:rPr>
              <w:t>化粪池</w:t>
            </w:r>
          </w:p>
        </w:tc>
        <w:tc>
          <w:tcPr>
            <w:tcW w:w="681" w:type="pct"/>
            <w:vAlign w:val="center"/>
          </w:tcPr>
          <w:p w14:paraId="41FFAF49">
            <w:pPr>
              <w:adjustRightInd w:val="0"/>
              <w:spacing w:line="280" w:lineRule="exact"/>
              <w:jc w:val="center"/>
              <w:textAlignment w:val="baseline"/>
              <w:rPr>
                <w:rFonts w:ascii="Times New Roman"/>
                <w:sz w:val="21"/>
                <w:szCs w:val="21"/>
              </w:rPr>
            </w:pPr>
            <w:r>
              <w:rPr>
                <w:rFonts w:hint="eastAsia" w:ascii="Times New Roman"/>
                <w:sz w:val="21"/>
                <w:szCs w:val="21"/>
              </w:rPr>
              <w:t>隔油池+</w:t>
            </w:r>
            <w:r>
              <w:rPr>
                <w:rFonts w:ascii="Times New Roman"/>
                <w:sz w:val="21"/>
                <w:szCs w:val="21"/>
              </w:rPr>
              <w:t>化粪池</w:t>
            </w:r>
          </w:p>
        </w:tc>
        <w:tc>
          <w:tcPr>
            <w:tcW w:w="280" w:type="pct"/>
            <w:vAlign w:val="center"/>
          </w:tcPr>
          <w:p w14:paraId="510B70D2">
            <w:pPr>
              <w:adjustRightInd w:val="0"/>
              <w:spacing w:line="360" w:lineRule="exact"/>
              <w:jc w:val="center"/>
              <w:textAlignment w:val="baseline"/>
              <w:rPr>
                <w:rFonts w:ascii="Times New Roman"/>
                <w:sz w:val="21"/>
                <w:szCs w:val="21"/>
              </w:rPr>
            </w:pPr>
            <w:r>
              <w:rPr>
                <w:rFonts w:ascii="Times New Roman"/>
                <w:sz w:val="21"/>
                <w:szCs w:val="21"/>
              </w:rPr>
              <w:t>DW001</w:t>
            </w:r>
          </w:p>
        </w:tc>
        <w:tc>
          <w:tcPr>
            <w:tcW w:w="434" w:type="pct"/>
            <w:vAlign w:val="center"/>
          </w:tcPr>
          <w:p w14:paraId="036A43BB">
            <w:pPr>
              <w:adjustRightInd w:val="0"/>
              <w:spacing w:line="360" w:lineRule="exact"/>
              <w:jc w:val="center"/>
              <w:textAlignment w:val="baseline"/>
              <w:rPr>
                <w:rFonts w:ascii="Times New Roman"/>
                <w:sz w:val="21"/>
                <w:szCs w:val="21"/>
              </w:rPr>
            </w:pPr>
            <w:r>
              <w:rPr>
                <w:rFonts w:hint="eastAsia" w:ascii="Times New Roman"/>
                <w:sz w:val="21"/>
                <w:szCs w:val="21"/>
              </w:rPr>
              <w:t>☑</w:t>
            </w:r>
            <w:r>
              <w:rPr>
                <w:rFonts w:ascii="Times New Roman"/>
                <w:sz w:val="21"/>
                <w:szCs w:val="21"/>
              </w:rPr>
              <w:t>是</w:t>
            </w:r>
          </w:p>
          <w:p w14:paraId="5A8AA415">
            <w:pPr>
              <w:adjustRightInd w:val="0"/>
              <w:spacing w:line="360" w:lineRule="exact"/>
              <w:jc w:val="center"/>
              <w:textAlignment w:val="baseline"/>
              <w:rPr>
                <w:rFonts w:ascii="Times New Roman"/>
                <w:sz w:val="21"/>
                <w:szCs w:val="21"/>
              </w:rPr>
            </w:pPr>
            <w:r>
              <w:rPr>
                <w:rFonts w:ascii="Times New Roman"/>
                <w:sz w:val="21"/>
                <w:szCs w:val="21"/>
              </w:rPr>
              <w:t>□否</w:t>
            </w:r>
          </w:p>
        </w:tc>
        <w:tc>
          <w:tcPr>
            <w:tcW w:w="996" w:type="pct"/>
            <w:vAlign w:val="center"/>
          </w:tcPr>
          <w:p w14:paraId="0D3C6274">
            <w:pPr>
              <w:adjustRightInd w:val="0"/>
              <w:spacing w:line="360" w:lineRule="exact"/>
              <w:textAlignment w:val="baseline"/>
              <w:rPr>
                <w:rFonts w:ascii="Times New Roman"/>
                <w:sz w:val="21"/>
                <w:szCs w:val="21"/>
              </w:rPr>
            </w:pPr>
            <w:r>
              <w:rPr>
                <w:rFonts w:ascii="Times New Roman"/>
                <w:sz w:val="21"/>
                <w:szCs w:val="21"/>
              </w:rPr>
              <w:sym w:font="Wingdings 2" w:char="0052"/>
            </w:r>
            <w:r>
              <w:rPr>
                <w:rFonts w:ascii="Times New Roman"/>
                <w:sz w:val="21"/>
                <w:szCs w:val="21"/>
              </w:rPr>
              <w:t>企业总排</w:t>
            </w:r>
          </w:p>
          <w:p w14:paraId="02D4CF1F">
            <w:pPr>
              <w:adjustRightInd w:val="0"/>
              <w:spacing w:line="360" w:lineRule="exact"/>
              <w:textAlignment w:val="baseline"/>
              <w:rPr>
                <w:rFonts w:ascii="Times New Roman"/>
                <w:sz w:val="21"/>
                <w:szCs w:val="21"/>
              </w:rPr>
            </w:pPr>
            <w:r>
              <w:rPr>
                <w:rFonts w:ascii="Times New Roman"/>
                <w:sz w:val="21"/>
                <w:szCs w:val="21"/>
              </w:rPr>
              <w:t>□雨水排放</w:t>
            </w:r>
          </w:p>
          <w:p w14:paraId="67793ECA">
            <w:pPr>
              <w:adjustRightInd w:val="0"/>
              <w:spacing w:line="360" w:lineRule="exact"/>
              <w:textAlignment w:val="baseline"/>
              <w:rPr>
                <w:rFonts w:ascii="Times New Roman"/>
                <w:sz w:val="21"/>
                <w:szCs w:val="21"/>
              </w:rPr>
            </w:pPr>
            <w:r>
              <w:rPr>
                <w:rFonts w:ascii="Times New Roman"/>
                <w:sz w:val="21"/>
                <w:szCs w:val="21"/>
              </w:rPr>
              <w:t>□清净下水排放</w:t>
            </w:r>
          </w:p>
          <w:p w14:paraId="2F6CBC35">
            <w:pPr>
              <w:adjustRightInd w:val="0"/>
              <w:spacing w:line="360" w:lineRule="exact"/>
              <w:textAlignment w:val="baseline"/>
              <w:rPr>
                <w:rFonts w:ascii="Times New Roman"/>
                <w:sz w:val="21"/>
                <w:szCs w:val="21"/>
              </w:rPr>
            </w:pPr>
            <w:r>
              <w:rPr>
                <w:rFonts w:ascii="Times New Roman"/>
                <w:sz w:val="21"/>
                <w:szCs w:val="21"/>
              </w:rPr>
              <w:t>□温排水排放</w:t>
            </w:r>
          </w:p>
          <w:p w14:paraId="112BE846">
            <w:pPr>
              <w:adjustRightInd w:val="0"/>
              <w:spacing w:line="360" w:lineRule="exact"/>
              <w:textAlignment w:val="baseline"/>
              <w:rPr>
                <w:rFonts w:ascii="Times New Roman"/>
                <w:sz w:val="21"/>
                <w:szCs w:val="21"/>
              </w:rPr>
            </w:pPr>
            <w:r>
              <w:rPr>
                <w:rFonts w:ascii="Times New Roman"/>
                <w:sz w:val="21"/>
                <w:szCs w:val="21"/>
              </w:rPr>
              <w:t>□车间或车间处理设施排放口</w:t>
            </w:r>
          </w:p>
        </w:tc>
      </w:tr>
    </w:tbl>
    <w:p w14:paraId="6D5B430D">
      <w:pPr>
        <w:spacing w:line="440" w:lineRule="exact"/>
        <w:ind w:firstLine="480" w:firstLineChars="200"/>
        <w:jc w:val="left"/>
        <w:rPr>
          <w:rFonts w:ascii="Times New Roman"/>
          <w:sz w:val="24"/>
          <w:szCs w:val="24"/>
        </w:rPr>
      </w:pPr>
      <w:r>
        <w:rPr>
          <w:rFonts w:ascii="Times New Roman"/>
          <w:sz w:val="24"/>
          <w:szCs w:val="24"/>
        </w:rPr>
        <w:t>废水间接排放口基本情况见</w:t>
      </w:r>
      <w:r>
        <w:rPr>
          <w:rFonts w:hint="eastAsia" w:ascii="Times New Roman"/>
          <w:sz w:val="24"/>
          <w:szCs w:val="24"/>
        </w:rPr>
        <w:t>下</w:t>
      </w:r>
      <w:r>
        <w:rPr>
          <w:rFonts w:ascii="Times New Roman"/>
          <w:sz w:val="24"/>
          <w:szCs w:val="24"/>
        </w:rPr>
        <w:t>表。</w:t>
      </w:r>
    </w:p>
    <w:p w14:paraId="62C6591D">
      <w:pPr>
        <w:adjustRightInd w:val="0"/>
        <w:spacing w:line="480" w:lineRule="exact"/>
        <w:jc w:val="center"/>
        <w:textAlignment w:val="baseline"/>
        <w:rPr>
          <w:rFonts w:ascii="Times New Roman"/>
          <w:b/>
          <w:sz w:val="24"/>
          <w:szCs w:val="24"/>
        </w:rPr>
      </w:pPr>
      <w:r>
        <w:rPr>
          <w:rFonts w:ascii="Times New Roman"/>
          <w:b/>
          <w:bCs/>
          <w:sz w:val="24"/>
          <w:szCs w:val="24"/>
        </w:rPr>
        <w:t>表5.2</w:t>
      </w:r>
      <w:r>
        <w:rPr>
          <w:rFonts w:hint="eastAsia" w:ascii="Times New Roman"/>
          <w:b/>
          <w:bCs/>
          <w:sz w:val="24"/>
          <w:szCs w:val="24"/>
        </w:rPr>
        <w:t>.2</w:t>
      </w:r>
      <w:r>
        <w:rPr>
          <w:rFonts w:ascii="Times New Roman"/>
          <w:b/>
          <w:sz w:val="24"/>
          <w:szCs w:val="24"/>
        </w:rPr>
        <w:t>-</w:t>
      </w:r>
      <w:r>
        <w:rPr>
          <w:rFonts w:hint="eastAsia" w:ascii="Times New Roman"/>
          <w:b/>
          <w:sz w:val="24"/>
          <w:szCs w:val="24"/>
        </w:rPr>
        <w:t>3</w:t>
      </w:r>
      <w:r>
        <w:rPr>
          <w:rFonts w:ascii="Times New Roman"/>
          <w:b/>
          <w:sz w:val="24"/>
          <w:szCs w:val="24"/>
        </w:rPr>
        <w:t xml:space="preserve"> 废水间接排放口基本情况表</w:t>
      </w:r>
    </w:p>
    <w:tbl>
      <w:tblPr>
        <w:tblStyle w:val="84"/>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2"/>
        <w:gridCol w:w="1325"/>
        <w:gridCol w:w="1678"/>
        <w:gridCol w:w="1524"/>
        <w:gridCol w:w="1087"/>
        <w:gridCol w:w="779"/>
        <w:gridCol w:w="1031"/>
        <w:gridCol w:w="964"/>
        <w:gridCol w:w="860"/>
        <w:gridCol w:w="1172"/>
        <w:gridCol w:w="2688"/>
      </w:tblGrid>
      <w:tr w14:paraId="2EA1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322"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7A8FA07">
            <w:pPr>
              <w:pStyle w:val="2179"/>
              <w:adjustRightInd w:val="0"/>
              <w:textAlignment w:val="baseline"/>
              <w:rPr>
                <w:sz w:val="21"/>
              </w:rPr>
            </w:pPr>
            <w:r>
              <w:rPr>
                <w:sz w:val="21"/>
              </w:rPr>
              <w:t>序</w:t>
            </w:r>
          </w:p>
          <w:p w14:paraId="37F2BBD3">
            <w:pPr>
              <w:pStyle w:val="2179"/>
              <w:adjustRightInd w:val="0"/>
              <w:textAlignment w:val="baseline"/>
              <w:rPr>
                <w:sz w:val="21"/>
              </w:rPr>
            </w:pPr>
            <w:r>
              <w:rPr>
                <w:sz w:val="21"/>
              </w:rPr>
              <w:t>号</w:t>
            </w:r>
          </w:p>
        </w:tc>
        <w:tc>
          <w:tcPr>
            <w:tcW w:w="47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3CDA66E0">
            <w:pPr>
              <w:pStyle w:val="2179"/>
              <w:adjustRightInd w:val="0"/>
              <w:textAlignment w:val="baseline"/>
              <w:rPr>
                <w:sz w:val="21"/>
              </w:rPr>
            </w:pPr>
            <w:r>
              <w:rPr>
                <w:sz w:val="21"/>
              </w:rPr>
              <w:t>排放口编号</w:t>
            </w:r>
          </w:p>
        </w:tc>
        <w:tc>
          <w:tcPr>
            <w:tcW w:w="1143"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0DFB144">
            <w:pPr>
              <w:pStyle w:val="2179"/>
              <w:adjustRightInd w:val="0"/>
              <w:textAlignment w:val="baseline"/>
              <w:rPr>
                <w:sz w:val="21"/>
              </w:rPr>
            </w:pPr>
            <w:r>
              <w:rPr>
                <w:sz w:val="21"/>
              </w:rPr>
              <w:t>排放口地理坐标</w:t>
            </w:r>
            <w:r>
              <w:rPr>
                <w:sz w:val="21"/>
                <w:vertAlign w:val="superscript"/>
              </w:rPr>
              <w:t>（a）</w:t>
            </w:r>
          </w:p>
        </w:tc>
        <w:tc>
          <w:tcPr>
            <w:tcW w:w="388"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51BB3D42">
            <w:pPr>
              <w:pStyle w:val="2179"/>
              <w:adjustRightInd w:val="0"/>
              <w:textAlignment w:val="baseline"/>
              <w:rPr>
                <w:sz w:val="21"/>
              </w:rPr>
            </w:pPr>
            <w:r>
              <w:rPr>
                <w:sz w:val="21"/>
              </w:rPr>
              <w:t>废水排放量（万t/a）</w:t>
            </w:r>
          </w:p>
        </w:tc>
        <w:tc>
          <w:tcPr>
            <w:tcW w:w="278"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E4B34C8">
            <w:pPr>
              <w:pStyle w:val="2179"/>
              <w:adjustRightInd w:val="0"/>
              <w:textAlignment w:val="baseline"/>
              <w:rPr>
                <w:sz w:val="21"/>
              </w:rPr>
            </w:pPr>
            <w:r>
              <w:rPr>
                <w:sz w:val="21"/>
              </w:rPr>
              <w:t>排放去向</w:t>
            </w:r>
          </w:p>
        </w:tc>
        <w:tc>
          <w:tcPr>
            <w:tcW w:w="368"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C496B36">
            <w:pPr>
              <w:pStyle w:val="2179"/>
              <w:adjustRightInd w:val="0"/>
              <w:textAlignment w:val="baseline"/>
              <w:rPr>
                <w:sz w:val="21"/>
              </w:rPr>
            </w:pPr>
            <w:r>
              <w:rPr>
                <w:sz w:val="21"/>
              </w:rPr>
              <w:t>排放</w:t>
            </w:r>
          </w:p>
          <w:p w14:paraId="74E53E51">
            <w:pPr>
              <w:pStyle w:val="2179"/>
              <w:adjustRightInd w:val="0"/>
              <w:textAlignment w:val="baseline"/>
              <w:rPr>
                <w:sz w:val="21"/>
              </w:rPr>
            </w:pPr>
            <w:r>
              <w:rPr>
                <w:sz w:val="21"/>
              </w:rPr>
              <w:t>规律</w:t>
            </w:r>
          </w:p>
        </w:tc>
        <w:tc>
          <w:tcPr>
            <w:tcW w:w="344"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1F78D50D">
            <w:pPr>
              <w:pStyle w:val="2179"/>
              <w:adjustRightInd w:val="0"/>
              <w:textAlignment w:val="baseline"/>
              <w:rPr>
                <w:sz w:val="21"/>
              </w:rPr>
            </w:pPr>
            <w:r>
              <w:rPr>
                <w:sz w:val="21"/>
              </w:rPr>
              <w:t>间歇排放时段</w:t>
            </w:r>
          </w:p>
        </w:tc>
        <w:tc>
          <w:tcPr>
            <w:tcW w:w="168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76BEA365">
            <w:pPr>
              <w:pStyle w:val="2179"/>
              <w:adjustRightInd w:val="0"/>
              <w:textAlignment w:val="baseline"/>
              <w:rPr>
                <w:sz w:val="21"/>
              </w:rPr>
            </w:pPr>
            <w:r>
              <w:rPr>
                <w:sz w:val="21"/>
              </w:rPr>
              <w:t>受纳污水处理厂信息</w:t>
            </w:r>
          </w:p>
        </w:tc>
      </w:tr>
      <w:tr w14:paraId="387F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3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E54A186">
            <w:pPr>
              <w:pStyle w:val="2179"/>
              <w:adjustRightInd w:val="0"/>
              <w:textAlignment w:val="baseline"/>
              <w:rPr>
                <w:sz w:val="21"/>
              </w:rPr>
            </w:pPr>
          </w:p>
        </w:tc>
        <w:tc>
          <w:tcPr>
            <w:tcW w:w="47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ECD048C">
            <w:pPr>
              <w:pStyle w:val="2179"/>
              <w:adjustRightInd w:val="0"/>
              <w:textAlignment w:val="baseline"/>
              <w:rPr>
                <w:sz w:val="21"/>
              </w:rPr>
            </w:pPr>
          </w:p>
        </w:tc>
        <w:tc>
          <w:tcPr>
            <w:tcW w:w="599" w:type="pct"/>
            <w:tcBorders>
              <w:top w:val="single" w:color="auto" w:sz="4" w:space="0"/>
              <w:left w:val="single" w:color="auto" w:sz="4" w:space="0"/>
              <w:bottom w:val="single" w:color="auto" w:sz="4" w:space="0"/>
              <w:right w:val="single" w:color="auto" w:sz="4" w:space="0"/>
              <w:tl2br w:val="nil"/>
              <w:tr2bl w:val="nil"/>
            </w:tcBorders>
            <w:vAlign w:val="center"/>
          </w:tcPr>
          <w:p w14:paraId="6A09F7A5">
            <w:pPr>
              <w:pStyle w:val="2179"/>
              <w:adjustRightInd w:val="0"/>
              <w:textAlignment w:val="baseline"/>
              <w:rPr>
                <w:sz w:val="21"/>
              </w:rPr>
            </w:pPr>
            <w:r>
              <w:rPr>
                <w:sz w:val="21"/>
              </w:rPr>
              <w:t>经度</w:t>
            </w:r>
          </w:p>
        </w:tc>
        <w:tc>
          <w:tcPr>
            <w:tcW w:w="543" w:type="pct"/>
            <w:tcBorders>
              <w:top w:val="single" w:color="auto" w:sz="4" w:space="0"/>
              <w:left w:val="single" w:color="auto" w:sz="4" w:space="0"/>
              <w:bottom w:val="single" w:color="auto" w:sz="4" w:space="0"/>
              <w:right w:val="single" w:color="auto" w:sz="4" w:space="0"/>
              <w:tl2br w:val="nil"/>
              <w:tr2bl w:val="nil"/>
            </w:tcBorders>
            <w:vAlign w:val="center"/>
          </w:tcPr>
          <w:p w14:paraId="099D6D76">
            <w:pPr>
              <w:pStyle w:val="2179"/>
              <w:adjustRightInd w:val="0"/>
              <w:textAlignment w:val="baseline"/>
              <w:rPr>
                <w:sz w:val="21"/>
              </w:rPr>
            </w:pPr>
            <w:r>
              <w:rPr>
                <w:sz w:val="21"/>
              </w:rPr>
              <w:t>纬度</w:t>
            </w:r>
          </w:p>
        </w:tc>
        <w:tc>
          <w:tcPr>
            <w:tcW w:w="388"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A43593E">
            <w:pPr>
              <w:pStyle w:val="2179"/>
              <w:adjustRightInd w:val="0"/>
              <w:textAlignment w:val="baseline"/>
              <w:rPr>
                <w:sz w:val="21"/>
              </w:rPr>
            </w:pPr>
          </w:p>
        </w:tc>
        <w:tc>
          <w:tcPr>
            <w:tcW w:w="278"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F05C420">
            <w:pPr>
              <w:pStyle w:val="2179"/>
              <w:adjustRightInd w:val="0"/>
              <w:textAlignment w:val="baseline"/>
              <w:rPr>
                <w:sz w:val="21"/>
              </w:rPr>
            </w:pPr>
          </w:p>
        </w:tc>
        <w:tc>
          <w:tcPr>
            <w:tcW w:w="3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913E93E">
            <w:pPr>
              <w:pStyle w:val="2179"/>
              <w:adjustRightInd w:val="0"/>
              <w:textAlignment w:val="baseline"/>
              <w:rPr>
                <w:sz w:val="21"/>
              </w:rPr>
            </w:pPr>
          </w:p>
        </w:tc>
        <w:tc>
          <w:tcPr>
            <w:tcW w:w="34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6F825930">
            <w:pPr>
              <w:pStyle w:val="2179"/>
              <w:adjustRightInd w:val="0"/>
              <w:textAlignment w:val="baseline"/>
              <w:rPr>
                <w:sz w:val="21"/>
              </w:rPr>
            </w:pPr>
          </w:p>
        </w:tc>
        <w:tc>
          <w:tcPr>
            <w:tcW w:w="307" w:type="pct"/>
            <w:tcBorders>
              <w:top w:val="single" w:color="auto" w:sz="4" w:space="0"/>
              <w:left w:val="single" w:color="auto" w:sz="4" w:space="0"/>
              <w:bottom w:val="single" w:color="auto" w:sz="4" w:space="0"/>
              <w:right w:val="single" w:color="auto" w:sz="4" w:space="0"/>
              <w:tl2br w:val="nil"/>
              <w:tr2bl w:val="nil"/>
            </w:tcBorders>
            <w:vAlign w:val="center"/>
          </w:tcPr>
          <w:p w14:paraId="59CF8FD4">
            <w:pPr>
              <w:pStyle w:val="2179"/>
              <w:adjustRightInd w:val="0"/>
              <w:textAlignment w:val="baseline"/>
              <w:rPr>
                <w:sz w:val="21"/>
              </w:rPr>
            </w:pPr>
            <w:r>
              <w:rPr>
                <w:sz w:val="21"/>
              </w:rPr>
              <w:t>名称</w:t>
            </w:r>
            <w:r>
              <w:rPr>
                <w:sz w:val="21"/>
                <w:vertAlign w:val="superscript"/>
              </w:rPr>
              <w:t>（b）</w:t>
            </w:r>
          </w:p>
        </w:tc>
        <w:tc>
          <w:tcPr>
            <w:tcW w:w="418" w:type="pct"/>
            <w:tcBorders>
              <w:top w:val="single" w:color="auto" w:sz="4" w:space="0"/>
              <w:left w:val="single" w:color="auto" w:sz="4" w:space="0"/>
              <w:bottom w:val="single" w:color="auto" w:sz="4" w:space="0"/>
              <w:right w:val="single" w:color="auto" w:sz="4" w:space="0"/>
              <w:tl2br w:val="nil"/>
              <w:tr2bl w:val="nil"/>
            </w:tcBorders>
            <w:vAlign w:val="center"/>
          </w:tcPr>
          <w:p w14:paraId="50548BD2">
            <w:pPr>
              <w:pStyle w:val="2179"/>
              <w:adjustRightInd w:val="0"/>
              <w:textAlignment w:val="baseline"/>
              <w:rPr>
                <w:sz w:val="21"/>
              </w:rPr>
            </w:pPr>
            <w:r>
              <w:rPr>
                <w:sz w:val="21"/>
              </w:rPr>
              <w:t>污染物</w:t>
            </w:r>
          </w:p>
          <w:p w14:paraId="1869565F">
            <w:pPr>
              <w:pStyle w:val="2179"/>
              <w:adjustRightInd w:val="0"/>
              <w:textAlignment w:val="baseline"/>
              <w:rPr>
                <w:sz w:val="21"/>
              </w:rPr>
            </w:pPr>
            <w:r>
              <w:rPr>
                <w:sz w:val="21"/>
              </w:rPr>
              <w:t>种类</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64BE60EF">
            <w:pPr>
              <w:pStyle w:val="2179"/>
              <w:adjustRightInd w:val="0"/>
              <w:textAlignment w:val="baseline"/>
              <w:rPr>
                <w:sz w:val="21"/>
              </w:rPr>
            </w:pPr>
            <w:r>
              <w:rPr>
                <w:sz w:val="21"/>
              </w:rPr>
              <w:t>国家或地方污染物排放标准浓度限值/（mg/L）</w:t>
            </w:r>
          </w:p>
        </w:tc>
      </w:tr>
      <w:tr w14:paraId="64E2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322" w:type="pct"/>
            <w:vMerge w:val="restart"/>
            <w:tcBorders>
              <w:top w:val="single" w:color="auto" w:sz="4" w:space="0"/>
              <w:left w:val="single" w:color="auto" w:sz="4" w:space="0"/>
              <w:right w:val="single" w:color="auto" w:sz="4" w:space="0"/>
              <w:tl2br w:val="nil"/>
              <w:tr2bl w:val="nil"/>
            </w:tcBorders>
            <w:vAlign w:val="center"/>
          </w:tcPr>
          <w:p w14:paraId="6420EBED">
            <w:pPr>
              <w:pStyle w:val="2179"/>
              <w:adjustRightInd w:val="0"/>
              <w:textAlignment w:val="baseline"/>
              <w:rPr>
                <w:sz w:val="21"/>
              </w:rPr>
            </w:pPr>
            <w:r>
              <w:rPr>
                <w:sz w:val="21"/>
              </w:rPr>
              <w:t>1</w:t>
            </w:r>
          </w:p>
        </w:tc>
        <w:tc>
          <w:tcPr>
            <w:tcW w:w="473" w:type="pct"/>
            <w:vMerge w:val="restart"/>
            <w:tcBorders>
              <w:top w:val="single" w:color="auto" w:sz="4" w:space="0"/>
              <w:left w:val="single" w:color="auto" w:sz="4" w:space="0"/>
              <w:right w:val="single" w:color="auto" w:sz="4" w:space="0"/>
              <w:tl2br w:val="nil"/>
              <w:tr2bl w:val="nil"/>
            </w:tcBorders>
            <w:vAlign w:val="center"/>
          </w:tcPr>
          <w:p w14:paraId="30F39DD1">
            <w:pPr>
              <w:pStyle w:val="2179"/>
              <w:adjustRightInd w:val="0"/>
              <w:textAlignment w:val="baseline"/>
              <w:rPr>
                <w:b/>
                <w:sz w:val="21"/>
              </w:rPr>
            </w:pPr>
            <w:r>
              <w:rPr>
                <w:sz w:val="21"/>
              </w:rPr>
              <w:t>DW001</w:t>
            </w:r>
          </w:p>
        </w:tc>
        <w:tc>
          <w:tcPr>
            <w:tcW w:w="599" w:type="pct"/>
            <w:vMerge w:val="restart"/>
            <w:tcBorders>
              <w:top w:val="single" w:color="auto" w:sz="4" w:space="0"/>
              <w:left w:val="single" w:color="auto" w:sz="4" w:space="0"/>
              <w:right w:val="single" w:color="auto" w:sz="4" w:space="0"/>
              <w:tl2br w:val="nil"/>
              <w:tr2bl w:val="nil"/>
            </w:tcBorders>
            <w:vAlign w:val="center"/>
          </w:tcPr>
          <w:p w14:paraId="357E9E38">
            <w:pPr>
              <w:pStyle w:val="2179"/>
              <w:adjustRightInd w:val="0"/>
              <w:textAlignment w:val="baseline"/>
              <w:rPr>
                <w:sz w:val="21"/>
              </w:rPr>
            </w:pPr>
            <w:r>
              <w:rPr>
                <w:sz w:val="21"/>
              </w:rPr>
              <w:t>118.508137</w:t>
            </w:r>
          </w:p>
        </w:tc>
        <w:tc>
          <w:tcPr>
            <w:tcW w:w="543" w:type="pct"/>
            <w:vMerge w:val="restart"/>
            <w:tcBorders>
              <w:top w:val="single" w:color="auto" w:sz="4" w:space="0"/>
              <w:left w:val="single" w:color="auto" w:sz="4" w:space="0"/>
              <w:right w:val="single" w:color="auto" w:sz="4" w:space="0"/>
              <w:tl2br w:val="nil"/>
              <w:tr2bl w:val="nil"/>
            </w:tcBorders>
            <w:vAlign w:val="center"/>
          </w:tcPr>
          <w:p w14:paraId="6958FB54">
            <w:pPr>
              <w:pStyle w:val="2179"/>
              <w:adjustRightInd w:val="0"/>
              <w:textAlignment w:val="baseline"/>
              <w:rPr>
                <w:sz w:val="21"/>
              </w:rPr>
            </w:pPr>
            <w:r>
              <w:rPr>
                <w:sz w:val="21"/>
              </w:rPr>
              <w:t>39.091224</w:t>
            </w:r>
          </w:p>
        </w:tc>
        <w:tc>
          <w:tcPr>
            <w:tcW w:w="388" w:type="pct"/>
            <w:vMerge w:val="restart"/>
            <w:tcBorders>
              <w:top w:val="single" w:color="auto" w:sz="4" w:space="0"/>
              <w:left w:val="single" w:color="auto" w:sz="4" w:space="0"/>
              <w:right w:val="single" w:color="auto" w:sz="4" w:space="0"/>
              <w:tl2br w:val="nil"/>
              <w:tr2bl w:val="nil"/>
            </w:tcBorders>
            <w:vAlign w:val="center"/>
          </w:tcPr>
          <w:p w14:paraId="7AA68DCA">
            <w:pPr>
              <w:pStyle w:val="2179"/>
              <w:adjustRightInd w:val="0"/>
              <w:textAlignment w:val="baseline"/>
              <w:rPr>
                <w:sz w:val="21"/>
              </w:rPr>
            </w:pPr>
            <w:r>
              <w:rPr>
                <w:rFonts w:hint="eastAsia"/>
                <w:sz w:val="21"/>
              </w:rPr>
              <w:t>3.0697</w:t>
            </w:r>
          </w:p>
        </w:tc>
        <w:tc>
          <w:tcPr>
            <w:tcW w:w="278" w:type="pct"/>
            <w:vMerge w:val="restart"/>
            <w:tcBorders>
              <w:top w:val="single" w:color="auto" w:sz="4" w:space="0"/>
              <w:left w:val="single" w:color="auto" w:sz="4" w:space="0"/>
              <w:right w:val="single" w:color="auto" w:sz="4" w:space="0"/>
              <w:tl2br w:val="nil"/>
              <w:tr2bl w:val="nil"/>
            </w:tcBorders>
            <w:vAlign w:val="center"/>
          </w:tcPr>
          <w:p w14:paraId="62B412B3">
            <w:pPr>
              <w:pStyle w:val="2179"/>
              <w:adjustRightInd w:val="0"/>
              <w:textAlignment w:val="baseline"/>
              <w:rPr>
                <w:sz w:val="21"/>
              </w:rPr>
            </w:pPr>
            <w:r>
              <w:rPr>
                <w:sz w:val="21"/>
                <w:szCs w:val="24"/>
              </w:rPr>
              <w:t>曹妃甸装备制造园区</w:t>
            </w:r>
            <w:r>
              <w:rPr>
                <w:rFonts w:hint="eastAsia"/>
                <w:sz w:val="21"/>
                <w:szCs w:val="24"/>
              </w:rPr>
              <w:t>污水处理站</w:t>
            </w:r>
          </w:p>
        </w:tc>
        <w:tc>
          <w:tcPr>
            <w:tcW w:w="368" w:type="pct"/>
            <w:vMerge w:val="restart"/>
            <w:tcBorders>
              <w:top w:val="single" w:color="auto" w:sz="4" w:space="0"/>
              <w:left w:val="single" w:color="auto" w:sz="4" w:space="0"/>
              <w:right w:val="single" w:color="auto" w:sz="4" w:space="0"/>
              <w:tl2br w:val="nil"/>
              <w:tr2bl w:val="nil"/>
            </w:tcBorders>
            <w:vAlign w:val="center"/>
          </w:tcPr>
          <w:p w14:paraId="7AA73B0B">
            <w:pPr>
              <w:pStyle w:val="83"/>
              <w:spacing w:after="0"/>
              <w:ind w:left="0" w:leftChars="0" w:firstLine="0" w:firstLineChars="0"/>
              <w:jc w:val="center"/>
            </w:pPr>
            <w:r>
              <w:rPr>
                <w:szCs w:val="24"/>
              </w:rPr>
              <w:t>连续排放，排放期间流量不稳定，但有规律，不属于周期性规律</w:t>
            </w:r>
          </w:p>
        </w:tc>
        <w:tc>
          <w:tcPr>
            <w:tcW w:w="344" w:type="pct"/>
            <w:vMerge w:val="restart"/>
            <w:tcBorders>
              <w:top w:val="single" w:color="auto" w:sz="4" w:space="0"/>
              <w:left w:val="single" w:color="auto" w:sz="4" w:space="0"/>
              <w:right w:val="single" w:color="auto" w:sz="4" w:space="0"/>
              <w:tl2br w:val="nil"/>
              <w:tr2bl w:val="nil"/>
            </w:tcBorders>
            <w:vAlign w:val="center"/>
          </w:tcPr>
          <w:p w14:paraId="49020F1B">
            <w:pPr>
              <w:jc w:val="center"/>
              <w:rPr>
                <w:rFonts w:ascii="Times New Roman"/>
                <w:sz w:val="21"/>
              </w:rPr>
            </w:pPr>
            <w:r>
              <w:rPr>
                <w:rFonts w:ascii="Times New Roman"/>
                <w:sz w:val="21"/>
                <w:szCs w:val="21"/>
              </w:rPr>
              <w:t>0：00-24：00</w:t>
            </w:r>
          </w:p>
        </w:tc>
        <w:tc>
          <w:tcPr>
            <w:tcW w:w="307" w:type="pct"/>
            <w:vMerge w:val="restart"/>
            <w:tcBorders>
              <w:top w:val="single" w:color="auto" w:sz="4" w:space="0"/>
              <w:left w:val="single" w:color="auto" w:sz="4" w:space="0"/>
              <w:right w:val="single" w:color="auto" w:sz="4" w:space="0"/>
              <w:tl2br w:val="nil"/>
              <w:tr2bl w:val="nil"/>
            </w:tcBorders>
            <w:vAlign w:val="center"/>
          </w:tcPr>
          <w:p w14:paraId="46F1F617">
            <w:pPr>
              <w:pStyle w:val="2179"/>
              <w:adjustRightInd w:val="0"/>
              <w:textAlignment w:val="baseline"/>
              <w:rPr>
                <w:sz w:val="21"/>
              </w:rPr>
            </w:pPr>
            <w:r>
              <w:rPr>
                <w:sz w:val="21"/>
                <w:szCs w:val="24"/>
              </w:rPr>
              <w:t>曹妃甸装备制造园区</w:t>
            </w:r>
            <w:r>
              <w:rPr>
                <w:rFonts w:hint="eastAsia"/>
                <w:sz w:val="21"/>
                <w:szCs w:val="24"/>
              </w:rPr>
              <w:t>污水处理站</w:t>
            </w:r>
          </w:p>
        </w:tc>
        <w:tc>
          <w:tcPr>
            <w:tcW w:w="418" w:type="pct"/>
            <w:tcBorders>
              <w:top w:val="single" w:color="auto" w:sz="4" w:space="0"/>
              <w:left w:val="single" w:color="auto" w:sz="4" w:space="0"/>
              <w:bottom w:val="single" w:color="auto" w:sz="4" w:space="0"/>
              <w:right w:val="single" w:color="auto" w:sz="4" w:space="0"/>
              <w:tl2br w:val="nil"/>
              <w:tr2bl w:val="nil"/>
            </w:tcBorders>
            <w:vAlign w:val="center"/>
          </w:tcPr>
          <w:p w14:paraId="1D10BB63">
            <w:pPr>
              <w:adjustRightInd w:val="0"/>
              <w:spacing w:line="300" w:lineRule="exact"/>
              <w:jc w:val="center"/>
              <w:rPr>
                <w:rFonts w:ascii="Times New Roman"/>
                <w:sz w:val="21"/>
                <w:szCs w:val="21"/>
              </w:rPr>
            </w:pPr>
            <w:r>
              <w:rPr>
                <w:rFonts w:ascii="Times New Roman"/>
                <w:sz w:val="21"/>
                <w:szCs w:val="21"/>
              </w:rPr>
              <w:t>pH</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18C00FEC">
            <w:pPr>
              <w:adjustRightInd w:val="0"/>
              <w:spacing w:line="300" w:lineRule="exact"/>
              <w:jc w:val="center"/>
              <w:rPr>
                <w:rFonts w:ascii="Times New Roman"/>
                <w:sz w:val="21"/>
                <w:szCs w:val="21"/>
              </w:rPr>
            </w:pPr>
            <w:r>
              <w:rPr>
                <w:rFonts w:ascii="Times New Roman"/>
                <w:sz w:val="21"/>
                <w:szCs w:val="21"/>
              </w:rPr>
              <w:t>6~9（无量纲）</w:t>
            </w:r>
          </w:p>
        </w:tc>
      </w:tr>
      <w:tr w14:paraId="2F85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322" w:type="pct"/>
            <w:vMerge w:val="continue"/>
            <w:tcBorders>
              <w:left w:val="single" w:color="auto" w:sz="4" w:space="0"/>
              <w:right w:val="single" w:color="auto" w:sz="4" w:space="0"/>
              <w:tl2br w:val="nil"/>
              <w:tr2bl w:val="nil"/>
            </w:tcBorders>
            <w:vAlign w:val="center"/>
          </w:tcPr>
          <w:p w14:paraId="70B0A2CF">
            <w:pPr>
              <w:pStyle w:val="2179"/>
              <w:adjustRightInd w:val="0"/>
              <w:textAlignment w:val="baseline"/>
              <w:rPr>
                <w:sz w:val="21"/>
              </w:rPr>
            </w:pPr>
          </w:p>
        </w:tc>
        <w:tc>
          <w:tcPr>
            <w:tcW w:w="473" w:type="pct"/>
            <w:vMerge w:val="continue"/>
            <w:tcBorders>
              <w:left w:val="single" w:color="auto" w:sz="4" w:space="0"/>
              <w:right w:val="single" w:color="auto" w:sz="4" w:space="0"/>
              <w:tl2br w:val="nil"/>
              <w:tr2bl w:val="nil"/>
            </w:tcBorders>
            <w:vAlign w:val="center"/>
          </w:tcPr>
          <w:p w14:paraId="726E6656">
            <w:pPr>
              <w:pStyle w:val="2179"/>
              <w:adjustRightInd w:val="0"/>
              <w:textAlignment w:val="baseline"/>
              <w:rPr>
                <w:sz w:val="21"/>
              </w:rPr>
            </w:pPr>
          </w:p>
        </w:tc>
        <w:tc>
          <w:tcPr>
            <w:tcW w:w="599" w:type="pct"/>
            <w:vMerge w:val="continue"/>
            <w:tcBorders>
              <w:left w:val="single" w:color="auto" w:sz="4" w:space="0"/>
              <w:right w:val="single" w:color="auto" w:sz="4" w:space="0"/>
              <w:tl2br w:val="nil"/>
              <w:tr2bl w:val="nil"/>
            </w:tcBorders>
            <w:vAlign w:val="center"/>
          </w:tcPr>
          <w:p w14:paraId="43620B24">
            <w:pPr>
              <w:pStyle w:val="2179"/>
              <w:adjustRightInd w:val="0"/>
              <w:textAlignment w:val="baseline"/>
              <w:rPr>
                <w:sz w:val="21"/>
              </w:rPr>
            </w:pPr>
          </w:p>
        </w:tc>
        <w:tc>
          <w:tcPr>
            <w:tcW w:w="543" w:type="pct"/>
            <w:vMerge w:val="continue"/>
            <w:tcBorders>
              <w:left w:val="single" w:color="auto" w:sz="4" w:space="0"/>
              <w:right w:val="single" w:color="auto" w:sz="4" w:space="0"/>
              <w:tl2br w:val="nil"/>
              <w:tr2bl w:val="nil"/>
            </w:tcBorders>
            <w:vAlign w:val="center"/>
          </w:tcPr>
          <w:p w14:paraId="1DC450D1">
            <w:pPr>
              <w:pStyle w:val="2179"/>
              <w:adjustRightInd w:val="0"/>
              <w:textAlignment w:val="baseline"/>
              <w:rPr>
                <w:sz w:val="21"/>
              </w:rPr>
            </w:pPr>
          </w:p>
        </w:tc>
        <w:tc>
          <w:tcPr>
            <w:tcW w:w="388" w:type="pct"/>
            <w:vMerge w:val="continue"/>
            <w:tcBorders>
              <w:left w:val="single" w:color="auto" w:sz="4" w:space="0"/>
              <w:right w:val="single" w:color="auto" w:sz="4" w:space="0"/>
              <w:tl2br w:val="nil"/>
              <w:tr2bl w:val="nil"/>
            </w:tcBorders>
            <w:vAlign w:val="center"/>
          </w:tcPr>
          <w:p w14:paraId="1A611C8A">
            <w:pPr>
              <w:pStyle w:val="2179"/>
              <w:adjustRightInd w:val="0"/>
              <w:textAlignment w:val="baseline"/>
              <w:rPr>
                <w:sz w:val="21"/>
              </w:rPr>
            </w:pPr>
          </w:p>
        </w:tc>
        <w:tc>
          <w:tcPr>
            <w:tcW w:w="278" w:type="pct"/>
            <w:vMerge w:val="continue"/>
            <w:tcBorders>
              <w:left w:val="single" w:color="auto" w:sz="4" w:space="0"/>
              <w:right w:val="single" w:color="auto" w:sz="4" w:space="0"/>
              <w:tl2br w:val="nil"/>
              <w:tr2bl w:val="nil"/>
            </w:tcBorders>
            <w:vAlign w:val="center"/>
          </w:tcPr>
          <w:p w14:paraId="36BC163C">
            <w:pPr>
              <w:pStyle w:val="2179"/>
              <w:adjustRightInd w:val="0"/>
              <w:textAlignment w:val="baseline"/>
              <w:rPr>
                <w:sz w:val="21"/>
                <w:szCs w:val="24"/>
              </w:rPr>
            </w:pPr>
          </w:p>
        </w:tc>
        <w:tc>
          <w:tcPr>
            <w:tcW w:w="368" w:type="pct"/>
            <w:vMerge w:val="continue"/>
            <w:tcBorders>
              <w:left w:val="single" w:color="auto" w:sz="4" w:space="0"/>
              <w:right w:val="single" w:color="auto" w:sz="4" w:space="0"/>
              <w:tl2br w:val="nil"/>
              <w:tr2bl w:val="nil"/>
            </w:tcBorders>
            <w:vAlign w:val="center"/>
          </w:tcPr>
          <w:p w14:paraId="6D5C29DC">
            <w:pPr>
              <w:pStyle w:val="83"/>
              <w:spacing w:after="0"/>
              <w:ind w:left="0" w:leftChars="0" w:firstLine="0" w:firstLineChars="0"/>
              <w:jc w:val="center"/>
              <w:rPr>
                <w:szCs w:val="24"/>
              </w:rPr>
            </w:pPr>
          </w:p>
        </w:tc>
        <w:tc>
          <w:tcPr>
            <w:tcW w:w="344" w:type="pct"/>
            <w:vMerge w:val="continue"/>
            <w:tcBorders>
              <w:left w:val="single" w:color="auto" w:sz="4" w:space="0"/>
              <w:right w:val="single" w:color="auto" w:sz="4" w:space="0"/>
              <w:tl2br w:val="nil"/>
              <w:tr2bl w:val="nil"/>
            </w:tcBorders>
            <w:vAlign w:val="center"/>
          </w:tcPr>
          <w:p w14:paraId="24326FD6">
            <w:pPr>
              <w:jc w:val="center"/>
              <w:rPr>
                <w:rFonts w:ascii="Times New Roman"/>
                <w:sz w:val="21"/>
                <w:szCs w:val="21"/>
              </w:rPr>
            </w:pPr>
          </w:p>
        </w:tc>
        <w:tc>
          <w:tcPr>
            <w:tcW w:w="307" w:type="pct"/>
            <w:vMerge w:val="continue"/>
            <w:tcBorders>
              <w:left w:val="single" w:color="auto" w:sz="4" w:space="0"/>
              <w:right w:val="single" w:color="auto" w:sz="4" w:space="0"/>
              <w:tl2br w:val="nil"/>
              <w:tr2bl w:val="nil"/>
            </w:tcBorders>
            <w:vAlign w:val="center"/>
          </w:tcPr>
          <w:p w14:paraId="7B76DC65">
            <w:pPr>
              <w:pStyle w:val="2179"/>
              <w:adjustRightInd w:val="0"/>
              <w:textAlignment w:val="baseline"/>
              <w:rPr>
                <w:sz w:val="21"/>
                <w:szCs w:val="24"/>
              </w:rPr>
            </w:pPr>
          </w:p>
        </w:tc>
        <w:tc>
          <w:tcPr>
            <w:tcW w:w="418" w:type="pct"/>
            <w:tcBorders>
              <w:top w:val="single" w:color="auto" w:sz="4" w:space="0"/>
              <w:left w:val="single" w:color="auto" w:sz="4" w:space="0"/>
              <w:bottom w:val="single" w:color="auto" w:sz="4" w:space="0"/>
              <w:right w:val="single" w:color="auto" w:sz="4" w:space="0"/>
              <w:tl2br w:val="nil"/>
              <w:tr2bl w:val="nil"/>
            </w:tcBorders>
            <w:vAlign w:val="center"/>
          </w:tcPr>
          <w:p w14:paraId="0165980A">
            <w:pPr>
              <w:adjustRightInd w:val="0"/>
              <w:spacing w:line="300" w:lineRule="exact"/>
              <w:jc w:val="center"/>
              <w:rPr>
                <w:rFonts w:ascii="Times New Roman"/>
                <w:sz w:val="21"/>
                <w:szCs w:val="21"/>
              </w:rPr>
            </w:pPr>
            <w:r>
              <w:rPr>
                <w:rFonts w:ascii="Times New Roman"/>
                <w:sz w:val="21"/>
                <w:szCs w:val="21"/>
              </w:rPr>
              <w:t>COD</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5DE19E6D">
            <w:pPr>
              <w:adjustRightInd w:val="0"/>
              <w:spacing w:line="300" w:lineRule="exact"/>
              <w:jc w:val="center"/>
              <w:rPr>
                <w:rFonts w:ascii="Times New Roman"/>
                <w:sz w:val="21"/>
                <w:szCs w:val="21"/>
              </w:rPr>
            </w:pPr>
            <w:r>
              <w:rPr>
                <w:rFonts w:hint="eastAsia" w:ascii="Times New Roman"/>
                <w:sz w:val="21"/>
                <w:szCs w:val="21"/>
              </w:rPr>
              <w:t>50</w:t>
            </w:r>
          </w:p>
        </w:tc>
      </w:tr>
      <w:tr w14:paraId="0EEF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22" w:type="pct"/>
            <w:vMerge w:val="continue"/>
            <w:tcBorders>
              <w:left w:val="single" w:color="auto" w:sz="4" w:space="0"/>
              <w:right w:val="single" w:color="auto" w:sz="4" w:space="0"/>
              <w:tl2br w:val="nil"/>
              <w:tr2bl w:val="nil"/>
            </w:tcBorders>
            <w:vAlign w:val="center"/>
          </w:tcPr>
          <w:p w14:paraId="7A5E72D3">
            <w:pPr>
              <w:pStyle w:val="2179"/>
              <w:adjustRightInd w:val="0"/>
              <w:textAlignment w:val="baseline"/>
              <w:rPr>
                <w:sz w:val="21"/>
              </w:rPr>
            </w:pPr>
          </w:p>
        </w:tc>
        <w:tc>
          <w:tcPr>
            <w:tcW w:w="473" w:type="pct"/>
            <w:vMerge w:val="continue"/>
            <w:tcBorders>
              <w:left w:val="single" w:color="auto" w:sz="4" w:space="0"/>
              <w:right w:val="single" w:color="auto" w:sz="4" w:space="0"/>
              <w:tl2br w:val="nil"/>
              <w:tr2bl w:val="nil"/>
            </w:tcBorders>
            <w:vAlign w:val="center"/>
          </w:tcPr>
          <w:p w14:paraId="63843C31">
            <w:pPr>
              <w:pStyle w:val="2179"/>
              <w:adjustRightInd w:val="0"/>
              <w:textAlignment w:val="baseline"/>
              <w:rPr>
                <w:sz w:val="21"/>
              </w:rPr>
            </w:pPr>
          </w:p>
        </w:tc>
        <w:tc>
          <w:tcPr>
            <w:tcW w:w="599" w:type="pct"/>
            <w:vMerge w:val="continue"/>
            <w:tcBorders>
              <w:left w:val="single" w:color="auto" w:sz="4" w:space="0"/>
              <w:right w:val="single" w:color="auto" w:sz="4" w:space="0"/>
              <w:tl2br w:val="nil"/>
              <w:tr2bl w:val="nil"/>
            </w:tcBorders>
            <w:vAlign w:val="center"/>
          </w:tcPr>
          <w:p w14:paraId="57C079AA">
            <w:pPr>
              <w:pStyle w:val="2179"/>
              <w:adjustRightInd w:val="0"/>
              <w:textAlignment w:val="baseline"/>
              <w:rPr>
                <w:sz w:val="21"/>
              </w:rPr>
            </w:pPr>
          </w:p>
        </w:tc>
        <w:tc>
          <w:tcPr>
            <w:tcW w:w="543" w:type="pct"/>
            <w:vMerge w:val="continue"/>
            <w:tcBorders>
              <w:left w:val="single" w:color="auto" w:sz="4" w:space="0"/>
              <w:right w:val="single" w:color="auto" w:sz="4" w:space="0"/>
              <w:tl2br w:val="nil"/>
              <w:tr2bl w:val="nil"/>
            </w:tcBorders>
            <w:vAlign w:val="center"/>
          </w:tcPr>
          <w:p w14:paraId="5213A80F">
            <w:pPr>
              <w:pStyle w:val="2179"/>
              <w:adjustRightInd w:val="0"/>
              <w:textAlignment w:val="baseline"/>
              <w:rPr>
                <w:sz w:val="21"/>
              </w:rPr>
            </w:pPr>
          </w:p>
        </w:tc>
        <w:tc>
          <w:tcPr>
            <w:tcW w:w="388" w:type="pct"/>
            <w:vMerge w:val="continue"/>
            <w:tcBorders>
              <w:left w:val="single" w:color="auto" w:sz="4" w:space="0"/>
              <w:right w:val="single" w:color="auto" w:sz="4" w:space="0"/>
              <w:tl2br w:val="nil"/>
              <w:tr2bl w:val="nil"/>
            </w:tcBorders>
            <w:vAlign w:val="center"/>
          </w:tcPr>
          <w:p w14:paraId="79B2599A">
            <w:pPr>
              <w:pStyle w:val="2179"/>
              <w:adjustRightInd w:val="0"/>
              <w:textAlignment w:val="baseline"/>
              <w:rPr>
                <w:sz w:val="21"/>
              </w:rPr>
            </w:pPr>
          </w:p>
        </w:tc>
        <w:tc>
          <w:tcPr>
            <w:tcW w:w="278" w:type="pct"/>
            <w:vMerge w:val="continue"/>
            <w:tcBorders>
              <w:left w:val="single" w:color="auto" w:sz="4" w:space="0"/>
              <w:right w:val="single" w:color="auto" w:sz="4" w:space="0"/>
              <w:tl2br w:val="nil"/>
              <w:tr2bl w:val="nil"/>
            </w:tcBorders>
            <w:vAlign w:val="center"/>
          </w:tcPr>
          <w:p w14:paraId="2D9722D7">
            <w:pPr>
              <w:pStyle w:val="2179"/>
              <w:adjustRightInd w:val="0"/>
              <w:textAlignment w:val="baseline"/>
              <w:rPr>
                <w:sz w:val="21"/>
              </w:rPr>
            </w:pPr>
          </w:p>
        </w:tc>
        <w:tc>
          <w:tcPr>
            <w:tcW w:w="368" w:type="pct"/>
            <w:vMerge w:val="continue"/>
            <w:tcBorders>
              <w:left w:val="single" w:color="auto" w:sz="4" w:space="0"/>
              <w:right w:val="single" w:color="auto" w:sz="4" w:space="0"/>
              <w:tl2br w:val="nil"/>
              <w:tr2bl w:val="nil"/>
            </w:tcBorders>
            <w:vAlign w:val="center"/>
          </w:tcPr>
          <w:p w14:paraId="01538E31">
            <w:pPr>
              <w:pStyle w:val="2179"/>
              <w:adjustRightInd w:val="0"/>
              <w:textAlignment w:val="baseline"/>
              <w:rPr>
                <w:sz w:val="21"/>
              </w:rPr>
            </w:pPr>
          </w:p>
        </w:tc>
        <w:tc>
          <w:tcPr>
            <w:tcW w:w="344" w:type="pct"/>
            <w:vMerge w:val="continue"/>
            <w:tcBorders>
              <w:left w:val="single" w:color="auto" w:sz="4" w:space="0"/>
              <w:right w:val="single" w:color="auto" w:sz="4" w:space="0"/>
              <w:tl2br w:val="nil"/>
              <w:tr2bl w:val="nil"/>
            </w:tcBorders>
            <w:vAlign w:val="center"/>
          </w:tcPr>
          <w:p w14:paraId="7476CAB6">
            <w:pPr>
              <w:pStyle w:val="2179"/>
              <w:adjustRightInd w:val="0"/>
              <w:textAlignment w:val="baseline"/>
              <w:rPr>
                <w:sz w:val="21"/>
              </w:rPr>
            </w:pPr>
          </w:p>
        </w:tc>
        <w:tc>
          <w:tcPr>
            <w:tcW w:w="307" w:type="pct"/>
            <w:vMerge w:val="continue"/>
            <w:tcBorders>
              <w:left w:val="single" w:color="auto" w:sz="4" w:space="0"/>
              <w:right w:val="single" w:color="auto" w:sz="4" w:space="0"/>
              <w:tl2br w:val="nil"/>
              <w:tr2bl w:val="nil"/>
            </w:tcBorders>
            <w:vAlign w:val="center"/>
          </w:tcPr>
          <w:p w14:paraId="6256DA4C">
            <w:pPr>
              <w:pStyle w:val="2179"/>
              <w:adjustRightInd w:val="0"/>
              <w:textAlignment w:val="baseline"/>
              <w:rPr>
                <w:sz w:val="21"/>
              </w:rPr>
            </w:pPr>
          </w:p>
        </w:tc>
        <w:tc>
          <w:tcPr>
            <w:tcW w:w="418" w:type="pct"/>
            <w:tcBorders>
              <w:top w:val="single" w:color="auto" w:sz="4" w:space="0"/>
              <w:left w:val="single" w:color="auto" w:sz="4" w:space="0"/>
              <w:bottom w:val="single" w:color="auto" w:sz="4" w:space="0"/>
              <w:right w:val="single" w:color="auto" w:sz="4" w:space="0"/>
              <w:tl2br w:val="nil"/>
              <w:tr2bl w:val="nil"/>
            </w:tcBorders>
            <w:vAlign w:val="center"/>
          </w:tcPr>
          <w:p w14:paraId="511E095B">
            <w:pPr>
              <w:adjustRightInd w:val="0"/>
              <w:spacing w:line="300" w:lineRule="exact"/>
              <w:jc w:val="center"/>
              <w:rPr>
                <w:rFonts w:ascii="Times New Roman"/>
                <w:sz w:val="21"/>
                <w:szCs w:val="21"/>
              </w:rPr>
            </w:pPr>
            <w:r>
              <w:rPr>
                <w:rFonts w:ascii="Times New Roman"/>
                <w:sz w:val="21"/>
                <w:szCs w:val="21"/>
              </w:rPr>
              <w:t>SS</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6B231DAE">
            <w:pPr>
              <w:adjustRightInd w:val="0"/>
              <w:spacing w:line="300" w:lineRule="exact"/>
              <w:jc w:val="center"/>
              <w:rPr>
                <w:rFonts w:ascii="Times New Roman"/>
                <w:sz w:val="21"/>
                <w:szCs w:val="21"/>
              </w:rPr>
            </w:pPr>
            <w:r>
              <w:rPr>
                <w:rFonts w:hint="eastAsia" w:ascii="Times New Roman"/>
                <w:sz w:val="21"/>
                <w:szCs w:val="21"/>
              </w:rPr>
              <w:t>10</w:t>
            </w:r>
          </w:p>
        </w:tc>
      </w:tr>
      <w:tr w14:paraId="448F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22" w:type="pct"/>
            <w:vMerge w:val="continue"/>
            <w:tcBorders>
              <w:left w:val="single" w:color="auto" w:sz="4" w:space="0"/>
              <w:right w:val="single" w:color="auto" w:sz="4" w:space="0"/>
              <w:tl2br w:val="nil"/>
              <w:tr2bl w:val="nil"/>
            </w:tcBorders>
            <w:vAlign w:val="center"/>
          </w:tcPr>
          <w:p w14:paraId="00B3DC95">
            <w:pPr>
              <w:pStyle w:val="2179"/>
              <w:adjustRightInd w:val="0"/>
              <w:textAlignment w:val="baseline"/>
              <w:rPr>
                <w:sz w:val="21"/>
              </w:rPr>
            </w:pPr>
          </w:p>
        </w:tc>
        <w:tc>
          <w:tcPr>
            <w:tcW w:w="473" w:type="pct"/>
            <w:vMerge w:val="continue"/>
            <w:tcBorders>
              <w:left w:val="single" w:color="auto" w:sz="4" w:space="0"/>
              <w:right w:val="single" w:color="auto" w:sz="4" w:space="0"/>
              <w:tl2br w:val="nil"/>
              <w:tr2bl w:val="nil"/>
            </w:tcBorders>
            <w:vAlign w:val="center"/>
          </w:tcPr>
          <w:p w14:paraId="650E6E24">
            <w:pPr>
              <w:pStyle w:val="2179"/>
              <w:adjustRightInd w:val="0"/>
              <w:textAlignment w:val="baseline"/>
              <w:rPr>
                <w:sz w:val="21"/>
              </w:rPr>
            </w:pPr>
          </w:p>
        </w:tc>
        <w:tc>
          <w:tcPr>
            <w:tcW w:w="599" w:type="pct"/>
            <w:vMerge w:val="continue"/>
            <w:tcBorders>
              <w:left w:val="single" w:color="auto" w:sz="4" w:space="0"/>
              <w:right w:val="single" w:color="auto" w:sz="4" w:space="0"/>
              <w:tl2br w:val="nil"/>
              <w:tr2bl w:val="nil"/>
            </w:tcBorders>
            <w:vAlign w:val="center"/>
          </w:tcPr>
          <w:p w14:paraId="78ABCBC3">
            <w:pPr>
              <w:pStyle w:val="2179"/>
              <w:adjustRightInd w:val="0"/>
              <w:textAlignment w:val="baseline"/>
              <w:rPr>
                <w:sz w:val="21"/>
              </w:rPr>
            </w:pPr>
          </w:p>
        </w:tc>
        <w:tc>
          <w:tcPr>
            <w:tcW w:w="543" w:type="pct"/>
            <w:vMerge w:val="continue"/>
            <w:tcBorders>
              <w:left w:val="single" w:color="auto" w:sz="4" w:space="0"/>
              <w:right w:val="single" w:color="auto" w:sz="4" w:space="0"/>
              <w:tl2br w:val="nil"/>
              <w:tr2bl w:val="nil"/>
            </w:tcBorders>
            <w:vAlign w:val="center"/>
          </w:tcPr>
          <w:p w14:paraId="20D450BB">
            <w:pPr>
              <w:pStyle w:val="2179"/>
              <w:adjustRightInd w:val="0"/>
              <w:textAlignment w:val="baseline"/>
              <w:rPr>
                <w:sz w:val="21"/>
              </w:rPr>
            </w:pPr>
          </w:p>
        </w:tc>
        <w:tc>
          <w:tcPr>
            <w:tcW w:w="388" w:type="pct"/>
            <w:vMerge w:val="continue"/>
            <w:tcBorders>
              <w:left w:val="single" w:color="auto" w:sz="4" w:space="0"/>
              <w:right w:val="single" w:color="auto" w:sz="4" w:space="0"/>
              <w:tl2br w:val="nil"/>
              <w:tr2bl w:val="nil"/>
            </w:tcBorders>
            <w:vAlign w:val="center"/>
          </w:tcPr>
          <w:p w14:paraId="7AC0B3C5">
            <w:pPr>
              <w:pStyle w:val="2179"/>
              <w:adjustRightInd w:val="0"/>
              <w:textAlignment w:val="baseline"/>
              <w:rPr>
                <w:sz w:val="21"/>
              </w:rPr>
            </w:pPr>
          </w:p>
        </w:tc>
        <w:tc>
          <w:tcPr>
            <w:tcW w:w="278" w:type="pct"/>
            <w:vMerge w:val="continue"/>
            <w:tcBorders>
              <w:left w:val="single" w:color="auto" w:sz="4" w:space="0"/>
              <w:right w:val="single" w:color="auto" w:sz="4" w:space="0"/>
              <w:tl2br w:val="nil"/>
              <w:tr2bl w:val="nil"/>
            </w:tcBorders>
            <w:vAlign w:val="center"/>
          </w:tcPr>
          <w:p w14:paraId="4EE99C6D">
            <w:pPr>
              <w:pStyle w:val="2179"/>
              <w:adjustRightInd w:val="0"/>
              <w:textAlignment w:val="baseline"/>
              <w:rPr>
                <w:sz w:val="21"/>
              </w:rPr>
            </w:pPr>
          </w:p>
        </w:tc>
        <w:tc>
          <w:tcPr>
            <w:tcW w:w="368" w:type="pct"/>
            <w:vMerge w:val="continue"/>
            <w:tcBorders>
              <w:left w:val="single" w:color="auto" w:sz="4" w:space="0"/>
              <w:right w:val="single" w:color="auto" w:sz="4" w:space="0"/>
              <w:tl2br w:val="nil"/>
              <w:tr2bl w:val="nil"/>
            </w:tcBorders>
            <w:vAlign w:val="center"/>
          </w:tcPr>
          <w:p w14:paraId="589107B2">
            <w:pPr>
              <w:pStyle w:val="2179"/>
              <w:adjustRightInd w:val="0"/>
              <w:textAlignment w:val="baseline"/>
              <w:rPr>
                <w:sz w:val="21"/>
              </w:rPr>
            </w:pPr>
          </w:p>
        </w:tc>
        <w:tc>
          <w:tcPr>
            <w:tcW w:w="344" w:type="pct"/>
            <w:vMerge w:val="continue"/>
            <w:tcBorders>
              <w:left w:val="single" w:color="auto" w:sz="4" w:space="0"/>
              <w:right w:val="single" w:color="auto" w:sz="4" w:space="0"/>
              <w:tl2br w:val="nil"/>
              <w:tr2bl w:val="nil"/>
            </w:tcBorders>
            <w:vAlign w:val="center"/>
          </w:tcPr>
          <w:p w14:paraId="6AEABBCE">
            <w:pPr>
              <w:pStyle w:val="2179"/>
              <w:adjustRightInd w:val="0"/>
              <w:textAlignment w:val="baseline"/>
              <w:rPr>
                <w:sz w:val="21"/>
              </w:rPr>
            </w:pPr>
          </w:p>
        </w:tc>
        <w:tc>
          <w:tcPr>
            <w:tcW w:w="307" w:type="pct"/>
            <w:vMerge w:val="continue"/>
            <w:tcBorders>
              <w:left w:val="single" w:color="auto" w:sz="4" w:space="0"/>
              <w:right w:val="single" w:color="auto" w:sz="4" w:space="0"/>
              <w:tl2br w:val="nil"/>
              <w:tr2bl w:val="nil"/>
            </w:tcBorders>
            <w:vAlign w:val="center"/>
          </w:tcPr>
          <w:p w14:paraId="7A8DD2A6">
            <w:pPr>
              <w:pStyle w:val="2179"/>
              <w:adjustRightInd w:val="0"/>
              <w:textAlignment w:val="baseline"/>
              <w:rPr>
                <w:sz w:val="21"/>
              </w:rPr>
            </w:pPr>
          </w:p>
        </w:tc>
        <w:tc>
          <w:tcPr>
            <w:tcW w:w="418" w:type="pct"/>
            <w:tcBorders>
              <w:top w:val="single" w:color="auto" w:sz="4" w:space="0"/>
              <w:left w:val="single" w:color="auto" w:sz="4" w:space="0"/>
              <w:right w:val="single" w:color="auto" w:sz="4" w:space="0"/>
              <w:tl2br w:val="nil"/>
              <w:tr2bl w:val="nil"/>
            </w:tcBorders>
            <w:vAlign w:val="center"/>
          </w:tcPr>
          <w:p w14:paraId="0DD3F08E">
            <w:pPr>
              <w:adjustRightInd w:val="0"/>
              <w:spacing w:line="300" w:lineRule="exact"/>
              <w:jc w:val="center"/>
              <w:rPr>
                <w:rFonts w:ascii="Times New Roman"/>
                <w:sz w:val="21"/>
                <w:szCs w:val="21"/>
              </w:rPr>
            </w:pPr>
            <w:r>
              <w:rPr>
                <w:rFonts w:ascii="Times New Roman"/>
                <w:sz w:val="21"/>
                <w:szCs w:val="21"/>
              </w:rPr>
              <w:t>氨氮</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76566EF1">
            <w:pPr>
              <w:adjustRightInd w:val="0"/>
              <w:spacing w:line="300" w:lineRule="exact"/>
              <w:jc w:val="center"/>
              <w:rPr>
                <w:rFonts w:ascii="Times New Roman"/>
                <w:sz w:val="21"/>
                <w:szCs w:val="21"/>
              </w:rPr>
            </w:pPr>
            <w:r>
              <w:rPr>
                <w:rFonts w:hint="eastAsia" w:ascii="Times New Roman"/>
                <w:sz w:val="21"/>
                <w:szCs w:val="21"/>
              </w:rPr>
              <w:t>5</w:t>
            </w:r>
            <w:r>
              <w:rPr>
                <w:rFonts w:ascii="Times New Roman"/>
                <w:sz w:val="21"/>
                <w:szCs w:val="21"/>
              </w:rPr>
              <w:t>（</w:t>
            </w:r>
            <w:r>
              <w:rPr>
                <w:rFonts w:hint="eastAsia" w:ascii="Times New Roman"/>
                <w:sz w:val="21"/>
                <w:szCs w:val="21"/>
              </w:rPr>
              <w:t>8</w:t>
            </w:r>
            <w:r>
              <w:rPr>
                <w:rFonts w:ascii="Times New Roman"/>
                <w:sz w:val="21"/>
                <w:szCs w:val="21"/>
              </w:rPr>
              <w:t>）</w:t>
            </w:r>
          </w:p>
        </w:tc>
      </w:tr>
      <w:tr w14:paraId="13E7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22" w:type="pct"/>
            <w:vMerge w:val="continue"/>
            <w:tcBorders>
              <w:left w:val="single" w:color="auto" w:sz="4" w:space="0"/>
              <w:right w:val="single" w:color="auto" w:sz="4" w:space="0"/>
              <w:tl2br w:val="nil"/>
              <w:tr2bl w:val="nil"/>
            </w:tcBorders>
            <w:vAlign w:val="center"/>
          </w:tcPr>
          <w:p w14:paraId="20B302B1">
            <w:pPr>
              <w:pStyle w:val="2179"/>
              <w:adjustRightInd w:val="0"/>
              <w:textAlignment w:val="baseline"/>
              <w:rPr>
                <w:sz w:val="21"/>
              </w:rPr>
            </w:pPr>
          </w:p>
        </w:tc>
        <w:tc>
          <w:tcPr>
            <w:tcW w:w="473" w:type="pct"/>
            <w:vMerge w:val="continue"/>
            <w:tcBorders>
              <w:left w:val="single" w:color="auto" w:sz="4" w:space="0"/>
              <w:right w:val="single" w:color="auto" w:sz="4" w:space="0"/>
              <w:tl2br w:val="nil"/>
              <w:tr2bl w:val="nil"/>
            </w:tcBorders>
            <w:vAlign w:val="center"/>
          </w:tcPr>
          <w:p w14:paraId="52F69326">
            <w:pPr>
              <w:pStyle w:val="2179"/>
              <w:adjustRightInd w:val="0"/>
              <w:textAlignment w:val="baseline"/>
              <w:rPr>
                <w:sz w:val="21"/>
              </w:rPr>
            </w:pPr>
          </w:p>
        </w:tc>
        <w:tc>
          <w:tcPr>
            <w:tcW w:w="599" w:type="pct"/>
            <w:vMerge w:val="continue"/>
            <w:tcBorders>
              <w:left w:val="single" w:color="auto" w:sz="4" w:space="0"/>
              <w:right w:val="single" w:color="auto" w:sz="4" w:space="0"/>
              <w:tl2br w:val="nil"/>
              <w:tr2bl w:val="nil"/>
            </w:tcBorders>
            <w:vAlign w:val="center"/>
          </w:tcPr>
          <w:p w14:paraId="3BFEF18D">
            <w:pPr>
              <w:pStyle w:val="2179"/>
              <w:adjustRightInd w:val="0"/>
              <w:textAlignment w:val="baseline"/>
              <w:rPr>
                <w:sz w:val="21"/>
              </w:rPr>
            </w:pPr>
          </w:p>
        </w:tc>
        <w:tc>
          <w:tcPr>
            <w:tcW w:w="543" w:type="pct"/>
            <w:vMerge w:val="continue"/>
            <w:tcBorders>
              <w:left w:val="single" w:color="auto" w:sz="4" w:space="0"/>
              <w:right w:val="single" w:color="auto" w:sz="4" w:space="0"/>
              <w:tl2br w:val="nil"/>
              <w:tr2bl w:val="nil"/>
            </w:tcBorders>
            <w:vAlign w:val="center"/>
          </w:tcPr>
          <w:p w14:paraId="0135C4A6">
            <w:pPr>
              <w:pStyle w:val="2179"/>
              <w:adjustRightInd w:val="0"/>
              <w:textAlignment w:val="baseline"/>
              <w:rPr>
                <w:sz w:val="21"/>
              </w:rPr>
            </w:pPr>
          </w:p>
        </w:tc>
        <w:tc>
          <w:tcPr>
            <w:tcW w:w="388" w:type="pct"/>
            <w:vMerge w:val="continue"/>
            <w:tcBorders>
              <w:left w:val="single" w:color="auto" w:sz="4" w:space="0"/>
              <w:right w:val="single" w:color="auto" w:sz="4" w:space="0"/>
              <w:tl2br w:val="nil"/>
              <w:tr2bl w:val="nil"/>
            </w:tcBorders>
            <w:vAlign w:val="center"/>
          </w:tcPr>
          <w:p w14:paraId="1D1F8DE5">
            <w:pPr>
              <w:pStyle w:val="2179"/>
              <w:adjustRightInd w:val="0"/>
              <w:textAlignment w:val="baseline"/>
              <w:rPr>
                <w:sz w:val="21"/>
              </w:rPr>
            </w:pPr>
          </w:p>
        </w:tc>
        <w:tc>
          <w:tcPr>
            <w:tcW w:w="278" w:type="pct"/>
            <w:vMerge w:val="continue"/>
            <w:tcBorders>
              <w:left w:val="single" w:color="auto" w:sz="4" w:space="0"/>
              <w:right w:val="single" w:color="auto" w:sz="4" w:space="0"/>
              <w:tl2br w:val="nil"/>
              <w:tr2bl w:val="nil"/>
            </w:tcBorders>
            <w:vAlign w:val="center"/>
          </w:tcPr>
          <w:p w14:paraId="114E1915">
            <w:pPr>
              <w:pStyle w:val="2179"/>
              <w:adjustRightInd w:val="0"/>
              <w:textAlignment w:val="baseline"/>
              <w:rPr>
                <w:sz w:val="21"/>
              </w:rPr>
            </w:pPr>
          </w:p>
        </w:tc>
        <w:tc>
          <w:tcPr>
            <w:tcW w:w="368" w:type="pct"/>
            <w:vMerge w:val="continue"/>
            <w:tcBorders>
              <w:left w:val="single" w:color="auto" w:sz="4" w:space="0"/>
              <w:right w:val="single" w:color="auto" w:sz="4" w:space="0"/>
              <w:tl2br w:val="nil"/>
              <w:tr2bl w:val="nil"/>
            </w:tcBorders>
            <w:vAlign w:val="center"/>
          </w:tcPr>
          <w:p w14:paraId="6EB19B02">
            <w:pPr>
              <w:pStyle w:val="2179"/>
              <w:adjustRightInd w:val="0"/>
              <w:textAlignment w:val="baseline"/>
              <w:rPr>
                <w:sz w:val="21"/>
              </w:rPr>
            </w:pPr>
          </w:p>
        </w:tc>
        <w:tc>
          <w:tcPr>
            <w:tcW w:w="344" w:type="pct"/>
            <w:vMerge w:val="continue"/>
            <w:tcBorders>
              <w:left w:val="single" w:color="auto" w:sz="4" w:space="0"/>
              <w:right w:val="single" w:color="auto" w:sz="4" w:space="0"/>
              <w:tl2br w:val="nil"/>
              <w:tr2bl w:val="nil"/>
            </w:tcBorders>
            <w:vAlign w:val="center"/>
          </w:tcPr>
          <w:p w14:paraId="2E80BE8B">
            <w:pPr>
              <w:pStyle w:val="2179"/>
              <w:adjustRightInd w:val="0"/>
              <w:textAlignment w:val="baseline"/>
              <w:rPr>
                <w:sz w:val="21"/>
              </w:rPr>
            </w:pPr>
          </w:p>
        </w:tc>
        <w:tc>
          <w:tcPr>
            <w:tcW w:w="307" w:type="pct"/>
            <w:vMerge w:val="continue"/>
            <w:tcBorders>
              <w:left w:val="single" w:color="auto" w:sz="4" w:space="0"/>
              <w:right w:val="single" w:color="auto" w:sz="4" w:space="0"/>
              <w:tl2br w:val="nil"/>
              <w:tr2bl w:val="nil"/>
            </w:tcBorders>
            <w:vAlign w:val="center"/>
          </w:tcPr>
          <w:p w14:paraId="59B06852">
            <w:pPr>
              <w:pStyle w:val="2179"/>
              <w:adjustRightInd w:val="0"/>
              <w:textAlignment w:val="baseline"/>
              <w:rPr>
                <w:sz w:val="21"/>
              </w:rPr>
            </w:pPr>
          </w:p>
        </w:tc>
        <w:tc>
          <w:tcPr>
            <w:tcW w:w="418" w:type="pct"/>
            <w:tcBorders>
              <w:top w:val="single" w:color="auto" w:sz="4" w:space="0"/>
              <w:left w:val="single" w:color="auto" w:sz="4" w:space="0"/>
              <w:right w:val="single" w:color="auto" w:sz="4" w:space="0"/>
              <w:tl2br w:val="nil"/>
              <w:tr2bl w:val="nil"/>
            </w:tcBorders>
            <w:vAlign w:val="center"/>
          </w:tcPr>
          <w:p w14:paraId="65218725">
            <w:pPr>
              <w:adjustRightInd w:val="0"/>
              <w:spacing w:line="300" w:lineRule="exact"/>
              <w:jc w:val="center"/>
              <w:rPr>
                <w:rFonts w:ascii="Times New Roman"/>
                <w:sz w:val="21"/>
                <w:szCs w:val="21"/>
              </w:rPr>
            </w:pPr>
            <w:r>
              <w:rPr>
                <w:rFonts w:ascii="Times New Roman"/>
                <w:sz w:val="21"/>
                <w:szCs w:val="21"/>
              </w:rPr>
              <w:t>BOD</w:t>
            </w:r>
            <w:r>
              <w:rPr>
                <w:rFonts w:ascii="Times New Roman"/>
                <w:sz w:val="21"/>
                <w:szCs w:val="21"/>
                <w:vertAlign w:val="subscript"/>
              </w:rPr>
              <w:t>5</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1BBDC2AD">
            <w:pPr>
              <w:adjustRightInd w:val="0"/>
              <w:spacing w:line="300" w:lineRule="exact"/>
              <w:jc w:val="center"/>
              <w:rPr>
                <w:rFonts w:ascii="Times New Roman"/>
                <w:sz w:val="21"/>
                <w:szCs w:val="21"/>
              </w:rPr>
            </w:pPr>
            <w:r>
              <w:rPr>
                <w:rFonts w:hint="eastAsia" w:ascii="Times New Roman"/>
                <w:bCs/>
                <w:sz w:val="21"/>
                <w:szCs w:val="21"/>
              </w:rPr>
              <w:t>10</w:t>
            </w:r>
          </w:p>
        </w:tc>
      </w:tr>
      <w:tr w14:paraId="14BC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22" w:type="pct"/>
            <w:vMerge w:val="continue"/>
            <w:tcBorders>
              <w:left w:val="single" w:color="auto" w:sz="4" w:space="0"/>
              <w:right w:val="single" w:color="auto" w:sz="4" w:space="0"/>
              <w:tl2br w:val="nil"/>
              <w:tr2bl w:val="nil"/>
            </w:tcBorders>
            <w:vAlign w:val="center"/>
          </w:tcPr>
          <w:p w14:paraId="3B15F43C">
            <w:pPr>
              <w:pStyle w:val="2179"/>
              <w:adjustRightInd w:val="0"/>
              <w:textAlignment w:val="baseline"/>
              <w:rPr>
                <w:sz w:val="21"/>
              </w:rPr>
            </w:pPr>
          </w:p>
        </w:tc>
        <w:tc>
          <w:tcPr>
            <w:tcW w:w="473" w:type="pct"/>
            <w:vMerge w:val="continue"/>
            <w:tcBorders>
              <w:left w:val="single" w:color="auto" w:sz="4" w:space="0"/>
              <w:right w:val="single" w:color="auto" w:sz="4" w:space="0"/>
              <w:tl2br w:val="nil"/>
              <w:tr2bl w:val="nil"/>
            </w:tcBorders>
            <w:vAlign w:val="center"/>
          </w:tcPr>
          <w:p w14:paraId="7EAB5F27">
            <w:pPr>
              <w:pStyle w:val="2179"/>
              <w:adjustRightInd w:val="0"/>
              <w:textAlignment w:val="baseline"/>
              <w:rPr>
                <w:sz w:val="21"/>
              </w:rPr>
            </w:pPr>
          </w:p>
        </w:tc>
        <w:tc>
          <w:tcPr>
            <w:tcW w:w="599" w:type="pct"/>
            <w:vMerge w:val="continue"/>
            <w:tcBorders>
              <w:left w:val="single" w:color="auto" w:sz="4" w:space="0"/>
              <w:right w:val="single" w:color="auto" w:sz="4" w:space="0"/>
              <w:tl2br w:val="nil"/>
              <w:tr2bl w:val="nil"/>
            </w:tcBorders>
            <w:vAlign w:val="center"/>
          </w:tcPr>
          <w:p w14:paraId="4A7F19B7">
            <w:pPr>
              <w:pStyle w:val="2179"/>
              <w:adjustRightInd w:val="0"/>
              <w:textAlignment w:val="baseline"/>
              <w:rPr>
                <w:sz w:val="21"/>
              </w:rPr>
            </w:pPr>
          </w:p>
        </w:tc>
        <w:tc>
          <w:tcPr>
            <w:tcW w:w="543" w:type="pct"/>
            <w:vMerge w:val="continue"/>
            <w:tcBorders>
              <w:left w:val="single" w:color="auto" w:sz="4" w:space="0"/>
              <w:right w:val="single" w:color="auto" w:sz="4" w:space="0"/>
              <w:tl2br w:val="nil"/>
              <w:tr2bl w:val="nil"/>
            </w:tcBorders>
            <w:vAlign w:val="center"/>
          </w:tcPr>
          <w:p w14:paraId="0D82322F">
            <w:pPr>
              <w:pStyle w:val="2179"/>
              <w:adjustRightInd w:val="0"/>
              <w:textAlignment w:val="baseline"/>
              <w:rPr>
                <w:sz w:val="21"/>
              </w:rPr>
            </w:pPr>
          </w:p>
        </w:tc>
        <w:tc>
          <w:tcPr>
            <w:tcW w:w="388" w:type="pct"/>
            <w:vMerge w:val="continue"/>
            <w:tcBorders>
              <w:left w:val="single" w:color="auto" w:sz="4" w:space="0"/>
              <w:right w:val="single" w:color="auto" w:sz="4" w:space="0"/>
              <w:tl2br w:val="nil"/>
              <w:tr2bl w:val="nil"/>
            </w:tcBorders>
            <w:vAlign w:val="center"/>
          </w:tcPr>
          <w:p w14:paraId="6623270B">
            <w:pPr>
              <w:pStyle w:val="2179"/>
              <w:adjustRightInd w:val="0"/>
              <w:textAlignment w:val="baseline"/>
              <w:rPr>
                <w:sz w:val="21"/>
              </w:rPr>
            </w:pPr>
          </w:p>
        </w:tc>
        <w:tc>
          <w:tcPr>
            <w:tcW w:w="278" w:type="pct"/>
            <w:vMerge w:val="continue"/>
            <w:tcBorders>
              <w:left w:val="single" w:color="auto" w:sz="4" w:space="0"/>
              <w:right w:val="single" w:color="auto" w:sz="4" w:space="0"/>
              <w:tl2br w:val="nil"/>
              <w:tr2bl w:val="nil"/>
            </w:tcBorders>
            <w:vAlign w:val="center"/>
          </w:tcPr>
          <w:p w14:paraId="423ED8BC">
            <w:pPr>
              <w:pStyle w:val="2179"/>
              <w:adjustRightInd w:val="0"/>
              <w:textAlignment w:val="baseline"/>
              <w:rPr>
                <w:sz w:val="21"/>
              </w:rPr>
            </w:pPr>
          </w:p>
        </w:tc>
        <w:tc>
          <w:tcPr>
            <w:tcW w:w="368" w:type="pct"/>
            <w:vMerge w:val="continue"/>
            <w:tcBorders>
              <w:left w:val="single" w:color="auto" w:sz="4" w:space="0"/>
              <w:right w:val="single" w:color="auto" w:sz="4" w:space="0"/>
              <w:tl2br w:val="nil"/>
              <w:tr2bl w:val="nil"/>
            </w:tcBorders>
            <w:vAlign w:val="center"/>
          </w:tcPr>
          <w:p w14:paraId="12C8157A">
            <w:pPr>
              <w:pStyle w:val="2179"/>
              <w:adjustRightInd w:val="0"/>
              <w:textAlignment w:val="baseline"/>
              <w:rPr>
                <w:sz w:val="21"/>
              </w:rPr>
            </w:pPr>
          </w:p>
        </w:tc>
        <w:tc>
          <w:tcPr>
            <w:tcW w:w="344" w:type="pct"/>
            <w:vMerge w:val="continue"/>
            <w:tcBorders>
              <w:left w:val="single" w:color="auto" w:sz="4" w:space="0"/>
              <w:right w:val="single" w:color="auto" w:sz="4" w:space="0"/>
              <w:tl2br w:val="nil"/>
              <w:tr2bl w:val="nil"/>
            </w:tcBorders>
            <w:vAlign w:val="center"/>
          </w:tcPr>
          <w:p w14:paraId="742EC14F">
            <w:pPr>
              <w:pStyle w:val="2179"/>
              <w:adjustRightInd w:val="0"/>
              <w:textAlignment w:val="baseline"/>
              <w:rPr>
                <w:sz w:val="21"/>
              </w:rPr>
            </w:pPr>
          </w:p>
        </w:tc>
        <w:tc>
          <w:tcPr>
            <w:tcW w:w="307" w:type="pct"/>
            <w:vMerge w:val="continue"/>
            <w:tcBorders>
              <w:left w:val="single" w:color="auto" w:sz="4" w:space="0"/>
              <w:right w:val="single" w:color="auto" w:sz="4" w:space="0"/>
              <w:tl2br w:val="nil"/>
              <w:tr2bl w:val="nil"/>
            </w:tcBorders>
            <w:vAlign w:val="center"/>
          </w:tcPr>
          <w:p w14:paraId="55694546">
            <w:pPr>
              <w:pStyle w:val="2179"/>
              <w:adjustRightInd w:val="0"/>
              <w:textAlignment w:val="baseline"/>
              <w:rPr>
                <w:sz w:val="21"/>
              </w:rPr>
            </w:pPr>
          </w:p>
        </w:tc>
        <w:tc>
          <w:tcPr>
            <w:tcW w:w="418" w:type="pct"/>
            <w:tcBorders>
              <w:top w:val="single" w:color="auto" w:sz="4" w:space="0"/>
              <w:left w:val="single" w:color="auto" w:sz="4" w:space="0"/>
              <w:right w:val="single" w:color="auto" w:sz="4" w:space="0"/>
              <w:tl2br w:val="nil"/>
              <w:tr2bl w:val="nil"/>
            </w:tcBorders>
            <w:vAlign w:val="center"/>
          </w:tcPr>
          <w:p w14:paraId="4DF64CCE">
            <w:pPr>
              <w:adjustRightInd w:val="0"/>
              <w:spacing w:line="300" w:lineRule="exact"/>
              <w:jc w:val="center"/>
              <w:rPr>
                <w:rFonts w:ascii="Times New Roman"/>
                <w:sz w:val="21"/>
                <w:szCs w:val="21"/>
              </w:rPr>
            </w:pPr>
            <w:r>
              <w:rPr>
                <w:rFonts w:ascii="Times New Roman"/>
                <w:sz w:val="21"/>
                <w:szCs w:val="21"/>
              </w:rPr>
              <w:t>总磷</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785BD041">
            <w:pPr>
              <w:adjustRightInd w:val="0"/>
              <w:spacing w:line="300" w:lineRule="exact"/>
              <w:jc w:val="center"/>
              <w:rPr>
                <w:rFonts w:ascii="Times New Roman"/>
                <w:sz w:val="21"/>
                <w:szCs w:val="21"/>
              </w:rPr>
            </w:pPr>
            <w:r>
              <w:rPr>
                <w:rFonts w:hint="eastAsia" w:ascii="Times New Roman"/>
                <w:sz w:val="21"/>
                <w:szCs w:val="21"/>
              </w:rPr>
              <w:t>1</w:t>
            </w:r>
          </w:p>
        </w:tc>
      </w:tr>
      <w:tr w14:paraId="1059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322" w:type="pct"/>
            <w:vMerge w:val="continue"/>
            <w:tcBorders>
              <w:left w:val="single" w:color="auto" w:sz="4" w:space="0"/>
              <w:bottom w:val="single" w:color="auto" w:sz="4" w:space="0"/>
              <w:right w:val="single" w:color="auto" w:sz="4" w:space="0"/>
              <w:tl2br w:val="nil"/>
              <w:tr2bl w:val="nil"/>
            </w:tcBorders>
            <w:vAlign w:val="center"/>
          </w:tcPr>
          <w:p w14:paraId="3BD6E964">
            <w:pPr>
              <w:pStyle w:val="2179"/>
              <w:adjustRightInd w:val="0"/>
              <w:textAlignment w:val="baseline"/>
              <w:rPr>
                <w:sz w:val="21"/>
              </w:rPr>
            </w:pPr>
          </w:p>
        </w:tc>
        <w:tc>
          <w:tcPr>
            <w:tcW w:w="473" w:type="pct"/>
            <w:vMerge w:val="continue"/>
            <w:tcBorders>
              <w:left w:val="single" w:color="auto" w:sz="4" w:space="0"/>
              <w:bottom w:val="single" w:color="auto" w:sz="4" w:space="0"/>
              <w:right w:val="single" w:color="auto" w:sz="4" w:space="0"/>
              <w:tl2br w:val="nil"/>
              <w:tr2bl w:val="nil"/>
            </w:tcBorders>
            <w:vAlign w:val="center"/>
          </w:tcPr>
          <w:p w14:paraId="1F79F1EF">
            <w:pPr>
              <w:pStyle w:val="2179"/>
              <w:adjustRightInd w:val="0"/>
              <w:textAlignment w:val="baseline"/>
              <w:rPr>
                <w:sz w:val="21"/>
              </w:rPr>
            </w:pPr>
          </w:p>
        </w:tc>
        <w:tc>
          <w:tcPr>
            <w:tcW w:w="599" w:type="pct"/>
            <w:vMerge w:val="continue"/>
            <w:tcBorders>
              <w:left w:val="single" w:color="auto" w:sz="4" w:space="0"/>
              <w:bottom w:val="single" w:color="auto" w:sz="4" w:space="0"/>
              <w:right w:val="single" w:color="auto" w:sz="4" w:space="0"/>
              <w:tl2br w:val="nil"/>
              <w:tr2bl w:val="nil"/>
            </w:tcBorders>
            <w:vAlign w:val="center"/>
          </w:tcPr>
          <w:p w14:paraId="3C084EB2">
            <w:pPr>
              <w:pStyle w:val="2179"/>
              <w:adjustRightInd w:val="0"/>
              <w:textAlignment w:val="baseline"/>
              <w:rPr>
                <w:sz w:val="21"/>
              </w:rPr>
            </w:pPr>
          </w:p>
        </w:tc>
        <w:tc>
          <w:tcPr>
            <w:tcW w:w="543" w:type="pct"/>
            <w:vMerge w:val="continue"/>
            <w:tcBorders>
              <w:left w:val="single" w:color="auto" w:sz="4" w:space="0"/>
              <w:bottom w:val="single" w:color="auto" w:sz="4" w:space="0"/>
              <w:right w:val="single" w:color="auto" w:sz="4" w:space="0"/>
              <w:tl2br w:val="nil"/>
              <w:tr2bl w:val="nil"/>
            </w:tcBorders>
            <w:vAlign w:val="center"/>
          </w:tcPr>
          <w:p w14:paraId="5A20F2FE">
            <w:pPr>
              <w:pStyle w:val="2179"/>
              <w:adjustRightInd w:val="0"/>
              <w:textAlignment w:val="baseline"/>
              <w:rPr>
                <w:sz w:val="21"/>
              </w:rPr>
            </w:pPr>
          </w:p>
        </w:tc>
        <w:tc>
          <w:tcPr>
            <w:tcW w:w="388" w:type="pct"/>
            <w:vMerge w:val="continue"/>
            <w:tcBorders>
              <w:left w:val="single" w:color="auto" w:sz="4" w:space="0"/>
              <w:bottom w:val="single" w:color="auto" w:sz="4" w:space="0"/>
              <w:right w:val="single" w:color="auto" w:sz="4" w:space="0"/>
              <w:tl2br w:val="nil"/>
              <w:tr2bl w:val="nil"/>
            </w:tcBorders>
            <w:vAlign w:val="center"/>
          </w:tcPr>
          <w:p w14:paraId="4AD1C8DB">
            <w:pPr>
              <w:pStyle w:val="2179"/>
              <w:adjustRightInd w:val="0"/>
              <w:textAlignment w:val="baseline"/>
              <w:rPr>
                <w:sz w:val="21"/>
              </w:rPr>
            </w:pPr>
          </w:p>
        </w:tc>
        <w:tc>
          <w:tcPr>
            <w:tcW w:w="278" w:type="pct"/>
            <w:vMerge w:val="continue"/>
            <w:tcBorders>
              <w:left w:val="single" w:color="auto" w:sz="4" w:space="0"/>
              <w:bottom w:val="single" w:color="auto" w:sz="4" w:space="0"/>
              <w:right w:val="single" w:color="auto" w:sz="4" w:space="0"/>
              <w:tl2br w:val="nil"/>
              <w:tr2bl w:val="nil"/>
            </w:tcBorders>
            <w:vAlign w:val="center"/>
          </w:tcPr>
          <w:p w14:paraId="7605BF94">
            <w:pPr>
              <w:pStyle w:val="2179"/>
              <w:adjustRightInd w:val="0"/>
              <w:textAlignment w:val="baseline"/>
              <w:rPr>
                <w:sz w:val="21"/>
              </w:rPr>
            </w:pPr>
          </w:p>
        </w:tc>
        <w:tc>
          <w:tcPr>
            <w:tcW w:w="368" w:type="pct"/>
            <w:vMerge w:val="continue"/>
            <w:tcBorders>
              <w:left w:val="single" w:color="auto" w:sz="4" w:space="0"/>
              <w:bottom w:val="single" w:color="auto" w:sz="4" w:space="0"/>
              <w:right w:val="single" w:color="auto" w:sz="4" w:space="0"/>
              <w:tl2br w:val="nil"/>
              <w:tr2bl w:val="nil"/>
            </w:tcBorders>
            <w:vAlign w:val="center"/>
          </w:tcPr>
          <w:p w14:paraId="6C3B60B9">
            <w:pPr>
              <w:pStyle w:val="2179"/>
              <w:adjustRightInd w:val="0"/>
              <w:textAlignment w:val="baseline"/>
              <w:rPr>
                <w:sz w:val="21"/>
              </w:rPr>
            </w:pPr>
          </w:p>
        </w:tc>
        <w:tc>
          <w:tcPr>
            <w:tcW w:w="344" w:type="pct"/>
            <w:vMerge w:val="continue"/>
            <w:tcBorders>
              <w:left w:val="single" w:color="auto" w:sz="4" w:space="0"/>
              <w:bottom w:val="single" w:color="auto" w:sz="4" w:space="0"/>
              <w:right w:val="single" w:color="auto" w:sz="4" w:space="0"/>
              <w:tl2br w:val="nil"/>
              <w:tr2bl w:val="nil"/>
            </w:tcBorders>
            <w:vAlign w:val="center"/>
          </w:tcPr>
          <w:p w14:paraId="6F4C3DD0">
            <w:pPr>
              <w:pStyle w:val="2179"/>
              <w:adjustRightInd w:val="0"/>
              <w:textAlignment w:val="baseline"/>
              <w:rPr>
                <w:sz w:val="21"/>
              </w:rPr>
            </w:pPr>
          </w:p>
        </w:tc>
        <w:tc>
          <w:tcPr>
            <w:tcW w:w="307" w:type="pct"/>
            <w:vMerge w:val="continue"/>
            <w:tcBorders>
              <w:left w:val="single" w:color="auto" w:sz="4" w:space="0"/>
              <w:bottom w:val="single" w:color="auto" w:sz="4" w:space="0"/>
              <w:right w:val="single" w:color="auto" w:sz="4" w:space="0"/>
              <w:tl2br w:val="nil"/>
              <w:tr2bl w:val="nil"/>
            </w:tcBorders>
            <w:vAlign w:val="center"/>
          </w:tcPr>
          <w:p w14:paraId="1066EA43">
            <w:pPr>
              <w:pStyle w:val="2179"/>
              <w:adjustRightInd w:val="0"/>
              <w:textAlignment w:val="baseline"/>
              <w:rPr>
                <w:sz w:val="21"/>
              </w:rPr>
            </w:pPr>
          </w:p>
        </w:tc>
        <w:tc>
          <w:tcPr>
            <w:tcW w:w="418" w:type="pct"/>
            <w:tcBorders>
              <w:top w:val="single" w:color="auto" w:sz="4" w:space="0"/>
              <w:left w:val="single" w:color="auto" w:sz="4" w:space="0"/>
              <w:right w:val="single" w:color="auto" w:sz="4" w:space="0"/>
              <w:tl2br w:val="nil"/>
              <w:tr2bl w:val="nil"/>
            </w:tcBorders>
            <w:shd w:val="clear" w:color="auto" w:fill="auto"/>
            <w:vAlign w:val="center"/>
          </w:tcPr>
          <w:p w14:paraId="2FCC2BF6">
            <w:pPr>
              <w:adjustRightInd w:val="0"/>
              <w:spacing w:line="300" w:lineRule="exact"/>
              <w:jc w:val="center"/>
              <w:rPr>
                <w:rFonts w:ascii="Times New Roman"/>
                <w:sz w:val="21"/>
                <w:szCs w:val="21"/>
              </w:rPr>
            </w:pPr>
            <w:r>
              <w:rPr>
                <w:rFonts w:ascii="Times New Roman"/>
                <w:bCs/>
                <w:sz w:val="21"/>
                <w:szCs w:val="21"/>
              </w:rPr>
              <w:t>总氮</w:t>
            </w:r>
          </w:p>
        </w:tc>
        <w:tc>
          <w:tcPr>
            <w:tcW w:w="954"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5F835BE">
            <w:pPr>
              <w:adjustRightInd w:val="0"/>
              <w:spacing w:line="300" w:lineRule="exact"/>
              <w:jc w:val="center"/>
              <w:rPr>
                <w:rFonts w:ascii="Times New Roman"/>
                <w:sz w:val="21"/>
                <w:szCs w:val="21"/>
              </w:rPr>
            </w:pPr>
            <w:r>
              <w:rPr>
                <w:rFonts w:ascii="Times New Roman"/>
                <w:bCs/>
                <w:sz w:val="21"/>
                <w:szCs w:val="21"/>
              </w:rPr>
              <w:t>15</w:t>
            </w:r>
          </w:p>
        </w:tc>
      </w:tr>
      <w:tr w14:paraId="5F6B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322" w:type="pct"/>
            <w:vMerge w:val="continue"/>
            <w:tcBorders>
              <w:left w:val="single" w:color="auto" w:sz="4" w:space="0"/>
              <w:bottom w:val="single" w:color="auto" w:sz="4" w:space="0"/>
              <w:right w:val="single" w:color="auto" w:sz="4" w:space="0"/>
              <w:tl2br w:val="nil"/>
              <w:tr2bl w:val="nil"/>
            </w:tcBorders>
            <w:vAlign w:val="center"/>
          </w:tcPr>
          <w:p w14:paraId="1B3A4B00">
            <w:pPr>
              <w:pStyle w:val="2179"/>
              <w:adjustRightInd w:val="0"/>
              <w:textAlignment w:val="baseline"/>
              <w:rPr>
                <w:sz w:val="21"/>
              </w:rPr>
            </w:pPr>
          </w:p>
        </w:tc>
        <w:tc>
          <w:tcPr>
            <w:tcW w:w="473" w:type="pct"/>
            <w:vMerge w:val="continue"/>
            <w:tcBorders>
              <w:left w:val="single" w:color="auto" w:sz="4" w:space="0"/>
              <w:bottom w:val="single" w:color="auto" w:sz="4" w:space="0"/>
              <w:right w:val="single" w:color="auto" w:sz="4" w:space="0"/>
              <w:tl2br w:val="nil"/>
              <w:tr2bl w:val="nil"/>
            </w:tcBorders>
            <w:vAlign w:val="center"/>
          </w:tcPr>
          <w:p w14:paraId="50785ED4">
            <w:pPr>
              <w:pStyle w:val="2179"/>
              <w:adjustRightInd w:val="0"/>
              <w:textAlignment w:val="baseline"/>
              <w:rPr>
                <w:sz w:val="21"/>
              </w:rPr>
            </w:pPr>
          </w:p>
        </w:tc>
        <w:tc>
          <w:tcPr>
            <w:tcW w:w="599" w:type="pct"/>
            <w:vMerge w:val="continue"/>
            <w:tcBorders>
              <w:left w:val="single" w:color="auto" w:sz="4" w:space="0"/>
              <w:bottom w:val="single" w:color="auto" w:sz="4" w:space="0"/>
              <w:right w:val="single" w:color="auto" w:sz="4" w:space="0"/>
              <w:tl2br w:val="nil"/>
              <w:tr2bl w:val="nil"/>
            </w:tcBorders>
            <w:vAlign w:val="center"/>
          </w:tcPr>
          <w:p w14:paraId="68D5BFB1">
            <w:pPr>
              <w:pStyle w:val="2179"/>
              <w:adjustRightInd w:val="0"/>
              <w:textAlignment w:val="baseline"/>
              <w:rPr>
                <w:sz w:val="21"/>
              </w:rPr>
            </w:pPr>
          </w:p>
        </w:tc>
        <w:tc>
          <w:tcPr>
            <w:tcW w:w="543" w:type="pct"/>
            <w:vMerge w:val="continue"/>
            <w:tcBorders>
              <w:left w:val="single" w:color="auto" w:sz="4" w:space="0"/>
              <w:bottom w:val="single" w:color="auto" w:sz="4" w:space="0"/>
              <w:right w:val="single" w:color="auto" w:sz="4" w:space="0"/>
              <w:tl2br w:val="nil"/>
              <w:tr2bl w:val="nil"/>
            </w:tcBorders>
            <w:vAlign w:val="center"/>
          </w:tcPr>
          <w:p w14:paraId="6DE7428A">
            <w:pPr>
              <w:pStyle w:val="2179"/>
              <w:adjustRightInd w:val="0"/>
              <w:textAlignment w:val="baseline"/>
              <w:rPr>
                <w:sz w:val="21"/>
              </w:rPr>
            </w:pPr>
          </w:p>
        </w:tc>
        <w:tc>
          <w:tcPr>
            <w:tcW w:w="388" w:type="pct"/>
            <w:vMerge w:val="continue"/>
            <w:tcBorders>
              <w:left w:val="single" w:color="auto" w:sz="4" w:space="0"/>
              <w:bottom w:val="single" w:color="auto" w:sz="4" w:space="0"/>
              <w:right w:val="single" w:color="auto" w:sz="4" w:space="0"/>
              <w:tl2br w:val="nil"/>
              <w:tr2bl w:val="nil"/>
            </w:tcBorders>
            <w:vAlign w:val="center"/>
          </w:tcPr>
          <w:p w14:paraId="404BEF0B">
            <w:pPr>
              <w:pStyle w:val="2179"/>
              <w:adjustRightInd w:val="0"/>
              <w:textAlignment w:val="baseline"/>
              <w:rPr>
                <w:sz w:val="21"/>
              </w:rPr>
            </w:pPr>
          </w:p>
        </w:tc>
        <w:tc>
          <w:tcPr>
            <w:tcW w:w="278" w:type="pct"/>
            <w:vMerge w:val="continue"/>
            <w:tcBorders>
              <w:left w:val="single" w:color="auto" w:sz="4" w:space="0"/>
              <w:bottom w:val="single" w:color="auto" w:sz="4" w:space="0"/>
              <w:right w:val="single" w:color="auto" w:sz="4" w:space="0"/>
              <w:tl2br w:val="nil"/>
              <w:tr2bl w:val="nil"/>
            </w:tcBorders>
            <w:vAlign w:val="center"/>
          </w:tcPr>
          <w:p w14:paraId="4EE9BB1F">
            <w:pPr>
              <w:pStyle w:val="2179"/>
              <w:adjustRightInd w:val="0"/>
              <w:textAlignment w:val="baseline"/>
              <w:rPr>
                <w:sz w:val="21"/>
              </w:rPr>
            </w:pPr>
          </w:p>
        </w:tc>
        <w:tc>
          <w:tcPr>
            <w:tcW w:w="368" w:type="pct"/>
            <w:vMerge w:val="continue"/>
            <w:tcBorders>
              <w:left w:val="single" w:color="auto" w:sz="4" w:space="0"/>
              <w:bottom w:val="single" w:color="auto" w:sz="4" w:space="0"/>
              <w:right w:val="single" w:color="auto" w:sz="4" w:space="0"/>
              <w:tl2br w:val="nil"/>
              <w:tr2bl w:val="nil"/>
            </w:tcBorders>
            <w:vAlign w:val="center"/>
          </w:tcPr>
          <w:p w14:paraId="3F775B2E">
            <w:pPr>
              <w:pStyle w:val="2179"/>
              <w:adjustRightInd w:val="0"/>
              <w:textAlignment w:val="baseline"/>
              <w:rPr>
                <w:sz w:val="21"/>
              </w:rPr>
            </w:pPr>
          </w:p>
        </w:tc>
        <w:tc>
          <w:tcPr>
            <w:tcW w:w="344" w:type="pct"/>
            <w:vMerge w:val="continue"/>
            <w:tcBorders>
              <w:left w:val="single" w:color="auto" w:sz="4" w:space="0"/>
              <w:bottom w:val="single" w:color="auto" w:sz="4" w:space="0"/>
              <w:right w:val="single" w:color="auto" w:sz="4" w:space="0"/>
              <w:tl2br w:val="nil"/>
              <w:tr2bl w:val="nil"/>
            </w:tcBorders>
            <w:vAlign w:val="center"/>
          </w:tcPr>
          <w:p w14:paraId="3D589931">
            <w:pPr>
              <w:pStyle w:val="2179"/>
              <w:adjustRightInd w:val="0"/>
              <w:textAlignment w:val="baseline"/>
              <w:rPr>
                <w:sz w:val="21"/>
              </w:rPr>
            </w:pPr>
          </w:p>
        </w:tc>
        <w:tc>
          <w:tcPr>
            <w:tcW w:w="307" w:type="pct"/>
            <w:vMerge w:val="continue"/>
            <w:tcBorders>
              <w:left w:val="single" w:color="auto" w:sz="4" w:space="0"/>
              <w:bottom w:val="single" w:color="auto" w:sz="4" w:space="0"/>
              <w:right w:val="single" w:color="auto" w:sz="4" w:space="0"/>
              <w:tl2br w:val="nil"/>
              <w:tr2bl w:val="nil"/>
            </w:tcBorders>
            <w:vAlign w:val="center"/>
          </w:tcPr>
          <w:p w14:paraId="5204D188">
            <w:pPr>
              <w:pStyle w:val="2179"/>
              <w:adjustRightInd w:val="0"/>
              <w:textAlignment w:val="baseline"/>
              <w:rPr>
                <w:sz w:val="21"/>
              </w:rPr>
            </w:pPr>
          </w:p>
        </w:tc>
        <w:tc>
          <w:tcPr>
            <w:tcW w:w="418" w:type="pct"/>
            <w:tcBorders>
              <w:top w:val="single" w:color="auto" w:sz="4" w:space="0"/>
              <w:left w:val="single" w:color="auto" w:sz="4" w:space="0"/>
              <w:right w:val="single" w:color="auto" w:sz="4" w:space="0"/>
              <w:tl2br w:val="nil"/>
              <w:tr2bl w:val="nil"/>
            </w:tcBorders>
            <w:shd w:val="clear" w:color="auto" w:fill="auto"/>
            <w:vAlign w:val="center"/>
          </w:tcPr>
          <w:p w14:paraId="60504909">
            <w:pPr>
              <w:jc w:val="center"/>
              <w:rPr>
                <w:rFonts w:ascii="Times New Roman"/>
                <w:sz w:val="21"/>
                <w:szCs w:val="21"/>
              </w:rPr>
            </w:pPr>
            <w:r>
              <w:rPr>
                <w:rFonts w:hint="eastAsia" w:ascii="Times New Roman"/>
                <w:sz w:val="21"/>
                <w:szCs w:val="21"/>
              </w:rPr>
              <w:t>动植物油</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2A55ACBF">
            <w:pPr>
              <w:adjustRightInd w:val="0"/>
              <w:spacing w:line="300" w:lineRule="exact"/>
              <w:jc w:val="center"/>
              <w:rPr>
                <w:rFonts w:ascii="Times New Roman"/>
                <w:bCs/>
                <w:sz w:val="21"/>
                <w:szCs w:val="21"/>
              </w:rPr>
            </w:pPr>
            <w:r>
              <w:rPr>
                <w:rFonts w:hint="eastAsia" w:ascii="Times New Roman"/>
                <w:bCs/>
                <w:sz w:val="21"/>
                <w:szCs w:val="21"/>
              </w:rPr>
              <w:t>/</w:t>
            </w:r>
          </w:p>
        </w:tc>
      </w:tr>
      <w:tr w14:paraId="4609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322" w:type="pct"/>
            <w:vMerge w:val="continue"/>
            <w:tcBorders>
              <w:left w:val="single" w:color="auto" w:sz="4" w:space="0"/>
              <w:bottom w:val="single" w:color="auto" w:sz="4" w:space="0"/>
              <w:right w:val="single" w:color="auto" w:sz="4" w:space="0"/>
              <w:tl2br w:val="nil"/>
              <w:tr2bl w:val="nil"/>
            </w:tcBorders>
            <w:vAlign w:val="center"/>
          </w:tcPr>
          <w:p w14:paraId="4605CE9C">
            <w:pPr>
              <w:pStyle w:val="2179"/>
              <w:adjustRightInd w:val="0"/>
              <w:textAlignment w:val="baseline"/>
              <w:rPr>
                <w:sz w:val="21"/>
              </w:rPr>
            </w:pPr>
          </w:p>
        </w:tc>
        <w:tc>
          <w:tcPr>
            <w:tcW w:w="473" w:type="pct"/>
            <w:vMerge w:val="continue"/>
            <w:tcBorders>
              <w:left w:val="single" w:color="auto" w:sz="4" w:space="0"/>
              <w:bottom w:val="single" w:color="auto" w:sz="4" w:space="0"/>
              <w:right w:val="single" w:color="auto" w:sz="4" w:space="0"/>
              <w:tl2br w:val="nil"/>
              <w:tr2bl w:val="nil"/>
            </w:tcBorders>
            <w:vAlign w:val="center"/>
          </w:tcPr>
          <w:p w14:paraId="5B190E8E">
            <w:pPr>
              <w:pStyle w:val="2179"/>
              <w:adjustRightInd w:val="0"/>
              <w:textAlignment w:val="baseline"/>
              <w:rPr>
                <w:sz w:val="21"/>
              </w:rPr>
            </w:pPr>
          </w:p>
        </w:tc>
        <w:tc>
          <w:tcPr>
            <w:tcW w:w="599" w:type="pct"/>
            <w:vMerge w:val="continue"/>
            <w:tcBorders>
              <w:left w:val="single" w:color="auto" w:sz="4" w:space="0"/>
              <w:bottom w:val="single" w:color="auto" w:sz="4" w:space="0"/>
              <w:right w:val="single" w:color="auto" w:sz="4" w:space="0"/>
              <w:tl2br w:val="nil"/>
              <w:tr2bl w:val="nil"/>
            </w:tcBorders>
            <w:vAlign w:val="center"/>
          </w:tcPr>
          <w:p w14:paraId="5E7A91B0">
            <w:pPr>
              <w:pStyle w:val="2179"/>
              <w:adjustRightInd w:val="0"/>
              <w:textAlignment w:val="baseline"/>
              <w:rPr>
                <w:sz w:val="21"/>
              </w:rPr>
            </w:pPr>
          </w:p>
        </w:tc>
        <w:tc>
          <w:tcPr>
            <w:tcW w:w="543" w:type="pct"/>
            <w:vMerge w:val="continue"/>
            <w:tcBorders>
              <w:left w:val="single" w:color="auto" w:sz="4" w:space="0"/>
              <w:bottom w:val="single" w:color="auto" w:sz="4" w:space="0"/>
              <w:right w:val="single" w:color="auto" w:sz="4" w:space="0"/>
              <w:tl2br w:val="nil"/>
              <w:tr2bl w:val="nil"/>
            </w:tcBorders>
            <w:vAlign w:val="center"/>
          </w:tcPr>
          <w:p w14:paraId="402FAC5B">
            <w:pPr>
              <w:pStyle w:val="2179"/>
              <w:adjustRightInd w:val="0"/>
              <w:textAlignment w:val="baseline"/>
              <w:rPr>
                <w:sz w:val="21"/>
              </w:rPr>
            </w:pPr>
          </w:p>
        </w:tc>
        <w:tc>
          <w:tcPr>
            <w:tcW w:w="388" w:type="pct"/>
            <w:vMerge w:val="continue"/>
            <w:tcBorders>
              <w:left w:val="single" w:color="auto" w:sz="4" w:space="0"/>
              <w:bottom w:val="single" w:color="auto" w:sz="4" w:space="0"/>
              <w:right w:val="single" w:color="auto" w:sz="4" w:space="0"/>
              <w:tl2br w:val="nil"/>
              <w:tr2bl w:val="nil"/>
            </w:tcBorders>
            <w:vAlign w:val="center"/>
          </w:tcPr>
          <w:p w14:paraId="0D70A13C">
            <w:pPr>
              <w:pStyle w:val="2179"/>
              <w:adjustRightInd w:val="0"/>
              <w:textAlignment w:val="baseline"/>
              <w:rPr>
                <w:sz w:val="21"/>
              </w:rPr>
            </w:pPr>
          </w:p>
        </w:tc>
        <w:tc>
          <w:tcPr>
            <w:tcW w:w="278" w:type="pct"/>
            <w:vMerge w:val="continue"/>
            <w:tcBorders>
              <w:left w:val="single" w:color="auto" w:sz="4" w:space="0"/>
              <w:bottom w:val="single" w:color="auto" w:sz="4" w:space="0"/>
              <w:right w:val="single" w:color="auto" w:sz="4" w:space="0"/>
              <w:tl2br w:val="nil"/>
              <w:tr2bl w:val="nil"/>
            </w:tcBorders>
            <w:vAlign w:val="center"/>
          </w:tcPr>
          <w:p w14:paraId="798C7354">
            <w:pPr>
              <w:pStyle w:val="2179"/>
              <w:adjustRightInd w:val="0"/>
              <w:textAlignment w:val="baseline"/>
              <w:rPr>
                <w:sz w:val="21"/>
              </w:rPr>
            </w:pPr>
          </w:p>
        </w:tc>
        <w:tc>
          <w:tcPr>
            <w:tcW w:w="368" w:type="pct"/>
            <w:vMerge w:val="continue"/>
            <w:tcBorders>
              <w:left w:val="single" w:color="auto" w:sz="4" w:space="0"/>
              <w:bottom w:val="single" w:color="auto" w:sz="4" w:space="0"/>
              <w:right w:val="single" w:color="auto" w:sz="4" w:space="0"/>
              <w:tl2br w:val="nil"/>
              <w:tr2bl w:val="nil"/>
            </w:tcBorders>
            <w:vAlign w:val="center"/>
          </w:tcPr>
          <w:p w14:paraId="1014EFB6">
            <w:pPr>
              <w:pStyle w:val="2179"/>
              <w:adjustRightInd w:val="0"/>
              <w:textAlignment w:val="baseline"/>
              <w:rPr>
                <w:sz w:val="21"/>
              </w:rPr>
            </w:pPr>
          </w:p>
        </w:tc>
        <w:tc>
          <w:tcPr>
            <w:tcW w:w="344" w:type="pct"/>
            <w:vMerge w:val="continue"/>
            <w:tcBorders>
              <w:left w:val="single" w:color="auto" w:sz="4" w:space="0"/>
              <w:bottom w:val="single" w:color="auto" w:sz="4" w:space="0"/>
              <w:right w:val="single" w:color="auto" w:sz="4" w:space="0"/>
              <w:tl2br w:val="nil"/>
              <w:tr2bl w:val="nil"/>
            </w:tcBorders>
            <w:vAlign w:val="center"/>
          </w:tcPr>
          <w:p w14:paraId="0A1BECB5">
            <w:pPr>
              <w:pStyle w:val="2179"/>
              <w:adjustRightInd w:val="0"/>
              <w:textAlignment w:val="baseline"/>
              <w:rPr>
                <w:sz w:val="21"/>
              </w:rPr>
            </w:pPr>
          </w:p>
        </w:tc>
        <w:tc>
          <w:tcPr>
            <w:tcW w:w="307" w:type="pct"/>
            <w:vMerge w:val="continue"/>
            <w:tcBorders>
              <w:left w:val="single" w:color="auto" w:sz="4" w:space="0"/>
              <w:bottom w:val="single" w:color="auto" w:sz="4" w:space="0"/>
              <w:right w:val="single" w:color="auto" w:sz="4" w:space="0"/>
              <w:tl2br w:val="nil"/>
              <w:tr2bl w:val="nil"/>
            </w:tcBorders>
            <w:vAlign w:val="center"/>
          </w:tcPr>
          <w:p w14:paraId="08C88745">
            <w:pPr>
              <w:pStyle w:val="2179"/>
              <w:adjustRightInd w:val="0"/>
              <w:textAlignment w:val="baseline"/>
              <w:rPr>
                <w:sz w:val="21"/>
              </w:rPr>
            </w:pPr>
          </w:p>
        </w:tc>
        <w:tc>
          <w:tcPr>
            <w:tcW w:w="418" w:type="pct"/>
            <w:tcBorders>
              <w:top w:val="single" w:color="auto" w:sz="4" w:space="0"/>
              <w:left w:val="single" w:color="auto" w:sz="4" w:space="0"/>
              <w:right w:val="single" w:color="auto" w:sz="4" w:space="0"/>
              <w:tl2br w:val="nil"/>
              <w:tr2bl w:val="nil"/>
            </w:tcBorders>
            <w:shd w:val="clear" w:color="auto" w:fill="auto"/>
            <w:vAlign w:val="center"/>
          </w:tcPr>
          <w:p w14:paraId="02FDDFF8">
            <w:pPr>
              <w:jc w:val="center"/>
              <w:rPr>
                <w:rFonts w:ascii="Times New Roman"/>
                <w:sz w:val="21"/>
                <w:szCs w:val="21"/>
              </w:rPr>
            </w:pPr>
            <w:r>
              <w:rPr>
                <w:rFonts w:hint="eastAsia" w:ascii="Times New Roman"/>
                <w:sz w:val="21"/>
                <w:szCs w:val="21"/>
              </w:rPr>
              <w:t>石油类</w:t>
            </w:r>
          </w:p>
        </w:tc>
        <w:tc>
          <w:tcPr>
            <w:tcW w:w="954" w:type="pct"/>
            <w:tcBorders>
              <w:top w:val="single" w:color="auto" w:sz="4" w:space="0"/>
              <w:left w:val="single" w:color="auto" w:sz="4" w:space="0"/>
              <w:bottom w:val="single" w:color="auto" w:sz="4" w:space="0"/>
              <w:right w:val="single" w:color="auto" w:sz="4" w:space="0"/>
              <w:tl2br w:val="nil"/>
              <w:tr2bl w:val="nil"/>
            </w:tcBorders>
            <w:vAlign w:val="center"/>
          </w:tcPr>
          <w:p w14:paraId="22F23FF9">
            <w:pPr>
              <w:adjustRightInd w:val="0"/>
              <w:spacing w:line="300" w:lineRule="exact"/>
              <w:jc w:val="center"/>
              <w:rPr>
                <w:rFonts w:ascii="Times New Roman"/>
                <w:sz w:val="21"/>
                <w:szCs w:val="21"/>
              </w:rPr>
            </w:pPr>
            <w:r>
              <w:rPr>
                <w:rFonts w:hint="eastAsia" w:ascii="Times New Roman"/>
                <w:sz w:val="21"/>
                <w:szCs w:val="21"/>
              </w:rPr>
              <w:t>/</w:t>
            </w:r>
          </w:p>
        </w:tc>
      </w:tr>
      <w:tr w14:paraId="18F1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 w:hRule="atLeast"/>
          <w:jc w:val="center"/>
        </w:trPr>
        <w:tc>
          <w:tcPr>
            <w:tcW w:w="5000" w:type="pct"/>
            <w:gridSpan w:val="11"/>
            <w:tcBorders>
              <w:top w:val="single" w:color="auto" w:sz="4" w:space="0"/>
              <w:left w:val="single" w:color="auto" w:sz="4" w:space="0"/>
              <w:bottom w:val="single" w:color="auto" w:sz="4" w:space="0"/>
              <w:right w:val="single" w:color="auto" w:sz="4" w:space="0"/>
              <w:tl2br w:val="nil"/>
              <w:tr2bl w:val="nil"/>
            </w:tcBorders>
            <w:vAlign w:val="center"/>
          </w:tcPr>
          <w:p w14:paraId="2FBFBD72">
            <w:pPr>
              <w:pStyle w:val="2179"/>
              <w:adjustRightInd w:val="0"/>
              <w:jc w:val="both"/>
              <w:textAlignment w:val="baseline"/>
              <w:rPr>
                <w:sz w:val="21"/>
              </w:rPr>
            </w:pPr>
            <w:r>
              <w:rPr>
                <w:sz w:val="21"/>
              </w:rPr>
              <w:t>a对于排至厂外公共污水处理系统的排放口，指废水排出厂界处经纬度坐标。</w:t>
            </w:r>
          </w:p>
          <w:p w14:paraId="578F6768">
            <w:pPr>
              <w:pStyle w:val="2179"/>
              <w:adjustRightInd w:val="0"/>
              <w:jc w:val="both"/>
              <w:textAlignment w:val="baseline"/>
              <w:rPr>
                <w:sz w:val="21"/>
              </w:rPr>
            </w:pPr>
            <w:r>
              <w:rPr>
                <w:sz w:val="21"/>
              </w:rPr>
              <w:t>b指厂外城镇或工业污水集中处理设施名称，如×××生活污水处理厂、×××化工园区污水处理厂等。</w:t>
            </w:r>
          </w:p>
        </w:tc>
      </w:tr>
    </w:tbl>
    <w:p w14:paraId="53C6A411">
      <w:pPr>
        <w:spacing w:line="440" w:lineRule="exact"/>
        <w:ind w:firstLine="480" w:firstLineChars="200"/>
        <w:jc w:val="left"/>
        <w:rPr>
          <w:rFonts w:ascii="Times New Roman"/>
          <w:sz w:val="24"/>
          <w:szCs w:val="24"/>
        </w:rPr>
      </w:pPr>
      <w:r>
        <w:rPr>
          <w:rFonts w:ascii="Times New Roman"/>
          <w:sz w:val="24"/>
          <w:szCs w:val="24"/>
        </w:rPr>
        <w:t>废水污染物排放执行标准见</w:t>
      </w:r>
      <w:r>
        <w:rPr>
          <w:rFonts w:hint="eastAsia" w:ascii="Times New Roman"/>
          <w:sz w:val="24"/>
          <w:szCs w:val="24"/>
        </w:rPr>
        <w:t>下</w:t>
      </w:r>
      <w:r>
        <w:rPr>
          <w:rFonts w:ascii="Times New Roman"/>
          <w:sz w:val="24"/>
          <w:szCs w:val="24"/>
        </w:rPr>
        <w:t>表。</w:t>
      </w:r>
    </w:p>
    <w:p w14:paraId="1250941C">
      <w:pPr>
        <w:adjustRightInd w:val="0"/>
        <w:spacing w:line="480" w:lineRule="exact"/>
        <w:jc w:val="center"/>
        <w:textAlignment w:val="baseline"/>
        <w:rPr>
          <w:rFonts w:ascii="Times New Roman"/>
          <w:b/>
          <w:sz w:val="24"/>
          <w:szCs w:val="24"/>
        </w:rPr>
      </w:pPr>
      <w:r>
        <w:rPr>
          <w:rFonts w:ascii="Times New Roman"/>
          <w:b/>
          <w:bCs/>
          <w:sz w:val="24"/>
          <w:szCs w:val="24"/>
        </w:rPr>
        <w:t>表5.2</w:t>
      </w:r>
      <w:r>
        <w:rPr>
          <w:rFonts w:hint="eastAsia" w:ascii="Times New Roman"/>
          <w:b/>
          <w:bCs/>
          <w:sz w:val="24"/>
          <w:szCs w:val="24"/>
        </w:rPr>
        <w:t>.2</w:t>
      </w:r>
      <w:r>
        <w:rPr>
          <w:rFonts w:ascii="Times New Roman"/>
          <w:b/>
          <w:sz w:val="24"/>
          <w:szCs w:val="24"/>
        </w:rPr>
        <w:t>-</w:t>
      </w:r>
      <w:r>
        <w:rPr>
          <w:rFonts w:hint="eastAsia" w:ascii="Times New Roman"/>
          <w:b/>
          <w:sz w:val="24"/>
          <w:szCs w:val="24"/>
        </w:rPr>
        <w:t>4</w:t>
      </w:r>
      <w:r>
        <w:rPr>
          <w:rFonts w:ascii="Times New Roman"/>
          <w:b/>
          <w:sz w:val="24"/>
          <w:szCs w:val="24"/>
        </w:rPr>
        <w:t xml:space="preserve">  废水污染物排放执行标准表</w:t>
      </w:r>
    </w:p>
    <w:tbl>
      <w:tblPr>
        <w:tblStyle w:val="84"/>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5"/>
        <w:gridCol w:w="1482"/>
        <w:gridCol w:w="1676"/>
        <w:gridCol w:w="5568"/>
        <w:gridCol w:w="4399"/>
      </w:tblGrid>
      <w:tr w14:paraId="0377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F32C319">
            <w:pPr>
              <w:adjustRightInd w:val="0"/>
              <w:spacing w:line="320" w:lineRule="exact"/>
              <w:jc w:val="center"/>
              <w:textAlignment w:val="baseline"/>
              <w:rPr>
                <w:rFonts w:ascii="Times New Roman"/>
                <w:sz w:val="21"/>
                <w:szCs w:val="21"/>
              </w:rPr>
            </w:pPr>
            <w:r>
              <w:rPr>
                <w:rFonts w:ascii="Times New Roman"/>
                <w:sz w:val="21"/>
                <w:szCs w:val="21"/>
              </w:rPr>
              <w:t>序号</w:t>
            </w:r>
          </w:p>
        </w:tc>
        <w:tc>
          <w:tcPr>
            <w:tcW w:w="529"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5DA1BE3C">
            <w:pPr>
              <w:adjustRightInd w:val="0"/>
              <w:spacing w:line="320" w:lineRule="exact"/>
              <w:jc w:val="center"/>
              <w:textAlignment w:val="baseline"/>
              <w:rPr>
                <w:rFonts w:ascii="Times New Roman"/>
                <w:sz w:val="21"/>
                <w:szCs w:val="21"/>
              </w:rPr>
            </w:pPr>
            <w:r>
              <w:rPr>
                <w:rFonts w:ascii="Times New Roman"/>
                <w:sz w:val="21"/>
                <w:szCs w:val="21"/>
              </w:rPr>
              <w:t>排放口编号</w:t>
            </w:r>
          </w:p>
        </w:tc>
        <w:tc>
          <w:tcPr>
            <w:tcW w:w="598"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127F4268">
            <w:pPr>
              <w:adjustRightInd w:val="0"/>
              <w:spacing w:line="320" w:lineRule="exact"/>
              <w:jc w:val="center"/>
              <w:textAlignment w:val="baseline"/>
              <w:rPr>
                <w:rFonts w:ascii="Times New Roman"/>
                <w:sz w:val="21"/>
                <w:szCs w:val="21"/>
              </w:rPr>
            </w:pPr>
            <w:r>
              <w:rPr>
                <w:rFonts w:ascii="Times New Roman"/>
                <w:sz w:val="21"/>
                <w:szCs w:val="21"/>
              </w:rPr>
              <w:t>污染物种类</w:t>
            </w:r>
          </w:p>
        </w:tc>
        <w:tc>
          <w:tcPr>
            <w:tcW w:w="355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2BD9BB06">
            <w:pPr>
              <w:adjustRightInd w:val="0"/>
              <w:spacing w:line="320" w:lineRule="exact"/>
              <w:jc w:val="center"/>
              <w:textAlignment w:val="baseline"/>
              <w:rPr>
                <w:rFonts w:ascii="Times New Roman"/>
                <w:sz w:val="21"/>
                <w:szCs w:val="21"/>
              </w:rPr>
            </w:pPr>
            <w:r>
              <w:rPr>
                <w:rFonts w:ascii="Times New Roman"/>
                <w:sz w:val="21"/>
                <w:szCs w:val="21"/>
              </w:rPr>
              <w:t>国家或地方污染物排放标准及其他按规定商定的排放协议（a）</w:t>
            </w:r>
          </w:p>
        </w:tc>
      </w:tr>
      <w:tr w14:paraId="701A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00F24D3">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A68DB02">
            <w:pPr>
              <w:adjustRightInd w:val="0"/>
              <w:spacing w:line="320" w:lineRule="exact"/>
              <w:jc w:val="center"/>
              <w:textAlignment w:val="baseline"/>
              <w:rPr>
                <w:rFonts w:ascii="Times New Roman"/>
                <w:sz w:val="21"/>
                <w:szCs w:val="21"/>
              </w:rPr>
            </w:pPr>
          </w:p>
        </w:tc>
        <w:tc>
          <w:tcPr>
            <w:tcW w:w="598"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FAC41BC">
            <w:pPr>
              <w:adjustRightInd w:val="0"/>
              <w:spacing w:line="320" w:lineRule="exact"/>
              <w:jc w:val="center"/>
              <w:textAlignment w:val="baseline"/>
              <w:rPr>
                <w:rFonts w:ascii="Times New Roman"/>
                <w:sz w:val="21"/>
                <w:szCs w:val="21"/>
              </w:rPr>
            </w:pP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4F6AF2E0">
            <w:pPr>
              <w:adjustRightInd w:val="0"/>
              <w:spacing w:line="320" w:lineRule="exact"/>
              <w:jc w:val="center"/>
              <w:textAlignment w:val="baseline"/>
              <w:rPr>
                <w:rFonts w:ascii="Times New Roman"/>
                <w:sz w:val="21"/>
                <w:szCs w:val="21"/>
              </w:rPr>
            </w:pPr>
            <w:r>
              <w:rPr>
                <w:rFonts w:ascii="Times New Roman"/>
                <w:sz w:val="21"/>
                <w:szCs w:val="21"/>
              </w:rPr>
              <w:t>名称</w:t>
            </w: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10441D96">
            <w:pPr>
              <w:adjustRightInd w:val="0"/>
              <w:spacing w:line="320" w:lineRule="exact"/>
              <w:jc w:val="center"/>
              <w:textAlignment w:val="baseline"/>
              <w:rPr>
                <w:rFonts w:ascii="Times New Roman"/>
                <w:sz w:val="21"/>
                <w:szCs w:val="21"/>
              </w:rPr>
            </w:pPr>
            <w:r>
              <w:rPr>
                <w:rFonts w:ascii="Times New Roman"/>
                <w:sz w:val="21"/>
                <w:szCs w:val="21"/>
              </w:rPr>
              <w:t>浓度限值/（mg/L）</w:t>
            </w:r>
          </w:p>
        </w:tc>
      </w:tr>
      <w:tr w14:paraId="3F19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4FBD245E">
            <w:pPr>
              <w:adjustRightInd w:val="0"/>
              <w:spacing w:line="320" w:lineRule="exact"/>
              <w:jc w:val="center"/>
              <w:textAlignment w:val="baseline"/>
              <w:rPr>
                <w:rFonts w:ascii="Times New Roman"/>
                <w:sz w:val="21"/>
                <w:szCs w:val="21"/>
              </w:rPr>
            </w:pPr>
            <w:r>
              <w:rPr>
                <w:rFonts w:ascii="Times New Roman"/>
                <w:sz w:val="21"/>
                <w:szCs w:val="21"/>
              </w:rPr>
              <w:t>1</w:t>
            </w:r>
          </w:p>
        </w:tc>
        <w:tc>
          <w:tcPr>
            <w:tcW w:w="529"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500D5F32">
            <w:pPr>
              <w:adjustRightInd w:val="0"/>
              <w:spacing w:line="320" w:lineRule="exact"/>
              <w:jc w:val="center"/>
              <w:textAlignment w:val="baseline"/>
              <w:rPr>
                <w:rFonts w:ascii="Times New Roman"/>
                <w:sz w:val="21"/>
                <w:szCs w:val="21"/>
              </w:rPr>
            </w:pPr>
            <w:r>
              <w:rPr>
                <w:rFonts w:ascii="Times New Roman"/>
                <w:sz w:val="21"/>
                <w:szCs w:val="21"/>
              </w:rPr>
              <w:t>DW001</w:t>
            </w:r>
          </w:p>
        </w:tc>
        <w:tc>
          <w:tcPr>
            <w:tcW w:w="598" w:type="pct"/>
            <w:tcBorders>
              <w:top w:val="single" w:color="auto" w:sz="4" w:space="0"/>
              <w:left w:val="single" w:color="auto" w:sz="4" w:space="0"/>
              <w:bottom w:val="single" w:color="auto" w:sz="4" w:space="0"/>
              <w:right w:val="single" w:color="auto" w:sz="4" w:space="0"/>
              <w:tl2br w:val="nil"/>
              <w:tr2bl w:val="nil"/>
            </w:tcBorders>
            <w:vAlign w:val="center"/>
          </w:tcPr>
          <w:p w14:paraId="0919342A">
            <w:pPr>
              <w:adjustRightInd w:val="0"/>
              <w:spacing w:line="320" w:lineRule="exact"/>
              <w:jc w:val="center"/>
              <w:textAlignment w:val="baseline"/>
              <w:rPr>
                <w:rFonts w:ascii="Times New Roman"/>
                <w:sz w:val="21"/>
                <w:szCs w:val="21"/>
              </w:rPr>
            </w:pPr>
            <w:r>
              <w:rPr>
                <w:rFonts w:ascii="Times New Roman"/>
                <w:sz w:val="21"/>
                <w:szCs w:val="21"/>
              </w:rPr>
              <w:t>pH</w:t>
            </w:r>
          </w:p>
        </w:tc>
        <w:tc>
          <w:tcPr>
            <w:tcW w:w="1987"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FDDDE18">
            <w:pPr>
              <w:adjustRightInd w:val="0"/>
              <w:spacing w:line="320" w:lineRule="exact"/>
              <w:jc w:val="center"/>
              <w:textAlignment w:val="baseline"/>
              <w:rPr>
                <w:rFonts w:ascii="Times New Roman"/>
                <w:sz w:val="21"/>
                <w:szCs w:val="21"/>
              </w:rPr>
            </w:pPr>
            <w:r>
              <w:rPr>
                <w:rFonts w:ascii="Times New Roman"/>
                <w:sz w:val="21"/>
                <w:szCs w:val="21"/>
              </w:rPr>
              <w:t>《污水综合排放标准》（GB8978-1996）中表4三级标准及</w:t>
            </w:r>
            <w:r>
              <w:rPr>
                <w:rFonts w:ascii="Times New Roman"/>
                <w:sz w:val="21"/>
                <w:szCs w:val="24"/>
              </w:rPr>
              <w:t>曹妃甸装备制造园区</w:t>
            </w:r>
            <w:r>
              <w:rPr>
                <w:rFonts w:hint="eastAsia" w:ascii="Times New Roman"/>
                <w:sz w:val="21"/>
                <w:szCs w:val="24"/>
              </w:rPr>
              <w:t>污水处理站</w:t>
            </w:r>
            <w:r>
              <w:rPr>
                <w:rFonts w:ascii="Times New Roman"/>
                <w:sz w:val="21"/>
                <w:szCs w:val="21"/>
              </w:rPr>
              <w:t>设计进水水质要求</w:t>
            </w: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043EEE09">
            <w:pPr>
              <w:adjustRightInd w:val="0"/>
              <w:spacing w:line="320" w:lineRule="exact"/>
              <w:jc w:val="center"/>
              <w:textAlignment w:val="baseline"/>
              <w:rPr>
                <w:rFonts w:ascii="Times New Roman"/>
                <w:sz w:val="21"/>
                <w:szCs w:val="21"/>
              </w:rPr>
            </w:pPr>
            <w:r>
              <w:rPr>
                <w:rFonts w:ascii="Times New Roman"/>
                <w:sz w:val="21"/>
                <w:szCs w:val="21"/>
              </w:rPr>
              <w:t>6~9（无量纲）</w:t>
            </w:r>
          </w:p>
        </w:tc>
      </w:tr>
      <w:tr w14:paraId="031D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left w:val="single" w:color="auto" w:sz="4" w:space="0"/>
              <w:right w:val="single" w:color="auto" w:sz="4" w:space="0"/>
              <w:tl2br w:val="nil"/>
              <w:tr2bl w:val="nil"/>
            </w:tcBorders>
            <w:vAlign w:val="center"/>
          </w:tcPr>
          <w:p w14:paraId="20478B4F">
            <w:pPr>
              <w:adjustRightInd w:val="0"/>
              <w:spacing w:line="320" w:lineRule="exact"/>
              <w:jc w:val="center"/>
              <w:textAlignment w:val="baseline"/>
              <w:rPr>
                <w:rFonts w:ascii="Times New Roman"/>
                <w:sz w:val="21"/>
                <w:szCs w:val="21"/>
              </w:rPr>
            </w:pPr>
          </w:p>
        </w:tc>
        <w:tc>
          <w:tcPr>
            <w:tcW w:w="529" w:type="pct"/>
            <w:vMerge w:val="continue"/>
            <w:tcBorders>
              <w:left w:val="single" w:color="auto" w:sz="4" w:space="0"/>
              <w:right w:val="single" w:color="auto" w:sz="4" w:space="0"/>
              <w:tl2br w:val="nil"/>
              <w:tr2bl w:val="nil"/>
            </w:tcBorders>
            <w:vAlign w:val="center"/>
          </w:tcPr>
          <w:p w14:paraId="38BF83DA">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vAlign w:val="center"/>
          </w:tcPr>
          <w:p w14:paraId="58885840">
            <w:pPr>
              <w:adjustRightInd w:val="0"/>
              <w:spacing w:line="320" w:lineRule="exact"/>
              <w:jc w:val="center"/>
              <w:textAlignment w:val="baseline"/>
              <w:rPr>
                <w:rFonts w:ascii="Times New Roman"/>
                <w:sz w:val="21"/>
                <w:szCs w:val="21"/>
              </w:rPr>
            </w:pPr>
            <w:r>
              <w:rPr>
                <w:rFonts w:ascii="Times New Roman"/>
                <w:sz w:val="21"/>
                <w:szCs w:val="21"/>
              </w:rPr>
              <w:t>COD</w:t>
            </w:r>
          </w:p>
        </w:tc>
        <w:tc>
          <w:tcPr>
            <w:tcW w:w="1987" w:type="pct"/>
            <w:vMerge w:val="continue"/>
            <w:tcBorders>
              <w:left w:val="single" w:color="auto" w:sz="4" w:space="0"/>
              <w:right w:val="single" w:color="auto" w:sz="4" w:space="0"/>
              <w:tl2br w:val="nil"/>
              <w:tr2bl w:val="nil"/>
            </w:tcBorders>
            <w:vAlign w:val="center"/>
          </w:tcPr>
          <w:p w14:paraId="44750C80">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08B31608">
            <w:pPr>
              <w:adjustRightInd w:val="0"/>
              <w:spacing w:line="320" w:lineRule="exact"/>
              <w:jc w:val="center"/>
              <w:textAlignment w:val="baseline"/>
              <w:rPr>
                <w:rFonts w:ascii="Times New Roman"/>
                <w:sz w:val="21"/>
                <w:szCs w:val="21"/>
              </w:rPr>
            </w:pPr>
            <w:r>
              <w:rPr>
                <w:rFonts w:ascii="Times New Roman"/>
                <w:sz w:val="21"/>
                <w:szCs w:val="21"/>
              </w:rPr>
              <w:t>350</w:t>
            </w:r>
          </w:p>
        </w:tc>
      </w:tr>
      <w:tr w14:paraId="39FB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63202AEF">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A01410B">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vAlign w:val="center"/>
          </w:tcPr>
          <w:p w14:paraId="195C02EA">
            <w:pPr>
              <w:adjustRightInd w:val="0"/>
              <w:spacing w:line="320" w:lineRule="exact"/>
              <w:jc w:val="center"/>
              <w:textAlignment w:val="baseline"/>
              <w:rPr>
                <w:rFonts w:ascii="Times New Roman"/>
                <w:sz w:val="21"/>
                <w:szCs w:val="21"/>
              </w:rPr>
            </w:pPr>
            <w:r>
              <w:rPr>
                <w:rFonts w:ascii="Times New Roman"/>
                <w:sz w:val="21"/>
                <w:szCs w:val="21"/>
              </w:rPr>
              <w:t>SS</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97C47D7">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4C962059">
            <w:pPr>
              <w:adjustRightInd w:val="0"/>
              <w:spacing w:line="320" w:lineRule="exact"/>
              <w:jc w:val="center"/>
              <w:textAlignment w:val="baseline"/>
              <w:rPr>
                <w:rFonts w:ascii="Times New Roman"/>
                <w:sz w:val="21"/>
                <w:szCs w:val="21"/>
              </w:rPr>
            </w:pPr>
            <w:r>
              <w:rPr>
                <w:rFonts w:hint="eastAsia" w:ascii="Times New Roman"/>
                <w:sz w:val="21"/>
                <w:szCs w:val="21"/>
              </w:rPr>
              <w:t>390</w:t>
            </w:r>
          </w:p>
        </w:tc>
      </w:tr>
      <w:tr w14:paraId="2A86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97BCF43">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EF0C84E">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vAlign w:val="center"/>
          </w:tcPr>
          <w:p w14:paraId="2C48BE61">
            <w:pPr>
              <w:adjustRightInd w:val="0"/>
              <w:spacing w:line="320" w:lineRule="exact"/>
              <w:jc w:val="center"/>
              <w:textAlignment w:val="baseline"/>
              <w:rPr>
                <w:rFonts w:ascii="Times New Roman"/>
                <w:sz w:val="21"/>
                <w:szCs w:val="21"/>
              </w:rPr>
            </w:pPr>
            <w:r>
              <w:rPr>
                <w:rFonts w:ascii="Times New Roman"/>
                <w:sz w:val="21"/>
                <w:szCs w:val="21"/>
              </w:rPr>
              <w:t>氨氮</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FA5AF95">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263F5BDA">
            <w:pPr>
              <w:adjustRightInd w:val="0"/>
              <w:spacing w:line="320" w:lineRule="exact"/>
              <w:jc w:val="center"/>
              <w:textAlignment w:val="baseline"/>
              <w:rPr>
                <w:rFonts w:ascii="Times New Roman"/>
                <w:sz w:val="21"/>
                <w:szCs w:val="21"/>
              </w:rPr>
            </w:pPr>
            <w:r>
              <w:rPr>
                <w:rFonts w:ascii="Times New Roman"/>
                <w:sz w:val="21"/>
                <w:szCs w:val="21"/>
              </w:rPr>
              <w:t>35</w:t>
            </w:r>
          </w:p>
        </w:tc>
      </w:tr>
      <w:tr w14:paraId="0F76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D24FB6C">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612F848F">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vAlign w:val="center"/>
          </w:tcPr>
          <w:p w14:paraId="4E6371D6">
            <w:pPr>
              <w:adjustRightInd w:val="0"/>
              <w:spacing w:line="320" w:lineRule="exact"/>
              <w:jc w:val="center"/>
              <w:textAlignment w:val="baseline"/>
              <w:rPr>
                <w:rFonts w:ascii="Times New Roman"/>
                <w:sz w:val="21"/>
                <w:szCs w:val="21"/>
              </w:rPr>
            </w:pPr>
            <w:r>
              <w:rPr>
                <w:rFonts w:ascii="Times New Roman"/>
                <w:sz w:val="21"/>
                <w:szCs w:val="21"/>
              </w:rPr>
              <w:t>BOD</w:t>
            </w:r>
            <w:r>
              <w:rPr>
                <w:rFonts w:ascii="Times New Roman"/>
                <w:sz w:val="21"/>
                <w:szCs w:val="21"/>
                <w:vertAlign w:val="subscript"/>
              </w:rPr>
              <w:t>5</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57F9C7A">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148651D4">
            <w:pPr>
              <w:adjustRightInd w:val="0"/>
              <w:spacing w:line="320" w:lineRule="exact"/>
              <w:jc w:val="center"/>
              <w:textAlignment w:val="baseline"/>
              <w:rPr>
                <w:rFonts w:ascii="Times New Roman"/>
                <w:sz w:val="21"/>
                <w:szCs w:val="21"/>
              </w:rPr>
            </w:pPr>
            <w:r>
              <w:rPr>
                <w:rFonts w:hint="eastAsia" w:ascii="Times New Roman"/>
                <w:bCs/>
                <w:sz w:val="21"/>
                <w:szCs w:val="21"/>
              </w:rPr>
              <w:t>150</w:t>
            </w:r>
          </w:p>
        </w:tc>
      </w:tr>
      <w:tr w14:paraId="3305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2BA7FB3">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CEEE7FC">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9B57C60">
            <w:pPr>
              <w:adjustRightInd w:val="0"/>
              <w:spacing w:line="320" w:lineRule="exact"/>
              <w:jc w:val="center"/>
              <w:textAlignment w:val="baseline"/>
              <w:rPr>
                <w:rFonts w:ascii="Times New Roman"/>
                <w:sz w:val="21"/>
                <w:szCs w:val="21"/>
              </w:rPr>
            </w:pPr>
            <w:r>
              <w:rPr>
                <w:rFonts w:ascii="Times New Roman"/>
                <w:sz w:val="21"/>
                <w:szCs w:val="21"/>
              </w:rPr>
              <w:t>总磷</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E966BB3">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CF2D3F4">
            <w:pPr>
              <w:adjustRightInd w:val="0"/>
              <w:spacing w:line="320" w:lineRule="exact"/>
              <w:jc w:val="center"/>
              <w:textAlignment w:val="baseline"/>
              <w:rPr>
                <w:rFonts w:ascii="Times New Roman"/>
                <w:sz w:val="21"/>
                <w:szCs w:val="21"/>
              </w:rPr>
            </w:pPr>
            <w:r>
              <w:rPr>
                <w:rFonts w:hint="eastAsia" w:ascii="Times New Roman"/>
                <w:sz w:val="21"/>
                <w:szCs w:val="21"/>
              </w:rPr>
              <w:t>6</w:t>
            </w:r>
          </w:p>
        </w:tc>
      </w:tr>
      <w:tr w14:paraId="7106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595D82D">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5A09208">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D8698F0">
            <w:pPr>
              <w:adjustRightInd w:val="0"/>
              <w:spacing w:line="320" w:lineRule="exact"/>
              <w:jc w:val="center"/>
              <w:textAlignment w:val="baseline"/>
              <w:rPr>
                <w:rFonts w:ascii="Times New Roman"/>
                <w:sz w:val="21"/>
                <w:szCs w:val="21"/>
              </w:rPr>
            </w:pPr>
            <w:r>
              <w:rPr>
                <w:rFonts w:ascii="Times New Roman"/>
                <w:bCs/>
                <w:sz w:val="21"/>
                <w:szCs w:val="21"/>
              </w:rPr>
              <w:t>总氮</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6C4C1ED0">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5BA2147">
            <w:pPr>
              <w:adjustRightInd w:val="0"/>
              <w:spacing w:line="320" w:lineRule="exact"/>
              <w:jc w:val="center"/>
              <w:textAlignment w:val="baseline"/>
              <w:rPr>
                <w:rFonts w:ascii="Times New Roman"/>
                <w:sz w:val="21"/>
                <w:szCs w:val="21"/>
              </w:rPr>
            </w:pPr>
            <w:r>
              <w:rPr>
                <w:rFonts w:ascii="Times New Roman"/>
                <w:sz w:val="21"/>
                <w:szCs w:val="21"/>
              </w:rPr>
              <w:t>40</w:t>
            </w:r>
          </w:p>
        </w:tc>
      </w:tr>
      <w:tr w14:paraId="74DE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E5D3E53">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CE542F5">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8695F86">
            <w:pPr>
              <w:jc w:val="center"/>
              <w:rPr>
                <w:rFonts w:ascii="Times New Roman"/>
                <w:sz w:val="21"/>
                <w:szCs w:val="21"/>
              </w:rPr>
            </w:pPr>
            <w:r>
              <w:rPr>
                <w:rFonts w:hint="eastAsia" w:ascii="Times New Roman"/>
                <w:sz w:val="21"/>
                <w:szCs w:val="21"/>
              </w:rPr>
              <w:t>动植物油</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2365EE6">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4B90A3B4">
            <w:pPr>
              <w:adjustRightInd w:val="0"/>
              <w:spacing w:line="320" w:lineRule="exact"/>
              <w:jc w:val="center"/>
              <w:textAlignment w:val="baseline"/>
              <w:rPr>
                <w:rFonts w:ascii="Times New Roman"/>
                <w:sz w:val="21"/>
                <w:szCs w:val="21"/>
              </w:rPr>
            </w:pPr>
            <w:r>
              <w:rPr>
                <w:rFonts w:hint="eastAsia" w:ascii="Times New Roman"/>
                <w:sz w:val="21"/>
                <w:szCs w:val="21"/>
              </w:rPr>
              <w:t>100</w:t>
            </w:r>
          </w:p>
        </w:tc>
      </w:tr>
      <w:tr w14:paraId="35EC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3DC8E2B">
            <w:pPr>
              <w:adjustRightInd w:val="0"/>
              <w:spacing w:line="320" w:lineRule="exact"/>
              <w:jc w:val="center"/>
              <w:textAlignment w:val="baseline"/>
              <w:rPr>
                <w:rFonts w:ascii="Times New Roman"/>
                <w:sz w:val="21"/>
                <w:szCs w:val="21"/>
              </w:rPr>
            </w:pPr>
          </w:p>
        </w:tc>
        <w:tc>
          <w:tcPr>
            <w:tcW w:w="52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245C377">
            <w:pPr>
              <w:adjustRightInd w:val="0"/>
              <w:spacing w:line="320" w:lineRule="exact"/>
              <w:jc w:val="center"/>
              <w:textAlignment w:val="baseline"/>
              <w:rPr>
                <w:rFonts w:ascii="Times New Roman"/>
                <w:sz w:val="21"/>
                <w:szCs w:val="21"/>
              </w:rPr>
            </w:pPr>
          </w:p>
        </w:tc>
        <w:tc>
          <w:tcPr>
            <w:tcW w:w="59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D16664">
            <w:pPr>
              <w:jc w:val="center"/>
              <w:rPr>
                <w:rFonts w:ascii="Times New Roman"/>
                <w:sz w:val="21"/>
                <w:szCs w:val="21"/>
              </w:rPr>
            </w:pPr>
            <w:r>
              <w:rPr>
                <w:rFonts w:hint="eastAsia" w:ascii="Times New Roman"/>
                <w:sz w:val="21"/>
                <w:szCs w:val="21"/>
              </w:rPr>
              <w:t>石油类</w:t>
            </w:r>
          </w:p>
        </w:tc>
        <w:tc>
          <w:tcPr>
            <w:tcW w:w="198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6F6C9FF">
            <w:pPr>
              <w:adjustRightInd w:val="0"/>
              <w:spacing w:line="320" w:lineRule="exact"/>
              <w:jc w:val="center"/>
              <w:textAlignment w:val="baseline"/>
              <w:rPr>
                <w:rFonts w:ascii="Times New Roman"/>
                <w:sz w:val="21"/>
                <w:szCs w:val="21"/>
              </w:rPr>
            </w:pPr>
          </w:p>
        </w:tc>
        <w:tc>
          <w:tcPr>
            <w:tcW w:w="1567" w:type="pct"/>
            <w:tcBorders>
              <w:top w:val="single" w:color="auto" w:sz="4" w:space="0"/>
              <w:left w:val="single" w:color="auto" w:sz="4" w:space="0"/>
              <w:bottom w:val="single" w:color="auto" w:sz="4" w:space="0"/>
              <w:right w:val="single" w:color="auto" w:sz="4" w:space="0"/>
              <w:tl2br w:val="nil"/>
              <w:tr2bl w:val="nil"/>
            </w:tcBorders>
            <w:vAlign w:val="center"/>
          </w:tcPr>
          <w:p w14:paraId="23FBC92A">
            <w:pPr>
              <w:adjustRightInd w:val="0"/>
              <w:spacing w:line="320" w:lineRule="exact"/>
              <w:jc w:val="center"/>
              <w:textAlignment w:val="baseline"/>
              <w:rPr>
                <w:rFonts w:ascii="Times New Roman"/>
                <w:sz w:val="21"/>
                <w:szCs w:val="21"/>
              </w:rPr>
            </w:pPr>
            <w:r>
              <w:rPr>
                <w:rFonts w:hint="eastAsia" w:ascii="Times New Roman"/>
                <w:sz w:val="21"/>
                <w:szCs w:val="21"/>
              </w:rPr>
              <w:t>20</w:t>
            </w:r>
          </w:p>
        </w:tc>
      </w:tr>
      <w:tr w14:paraId="2301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000"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318307D4">
            <w:pPr>
              <w:adjustRightInd w:val="0"/>
              <w:spacing w:line="320" w:lineRule="exact"/>
              <w:jc w:val="center"/>
              <w:textAlignment w:val="baseline"/>
              <w:rPr>
                <w:rFonts w:ascii="Times New Roman"/>
                <w:sz w:val="21"/>
                <w:szCs w:val="21"/>
              </w:rPr>
            </w:pPr>
            <w:r>
              <w:rPr>
                <w:rFonts w:ascii="Times New Roman"/>
                <w:sz w:val="21"/>
                <w:szCs w:val="21"/>
              </w:rPr>
              <w:t>a指定对应排放口须执行的国家或地方污染物排放标准及其他按规定商定建设项目水污染物排放控制要求的协议，据此确定的排放浓度限值。</w:t>
            </w:r>
          </w:p>
        </w:tc>
      </w:tr>
    </w:tbl>
    <w:p w14:paraId="79FB598A">
      <w:pPr>
        <w:rPr>
          <w:rFonts w:ascii="Times New Roman"/>
          <w:sz w:val="24"/>
          <w:szCs w:val="24"/>
        </w:rPr>
      </w:pPr>
      <w:r>
        <w:rPr>
          <w:rFonts w:ascii="Times New Roman"/>
          <w:sz w:val="24"/>
          <w:szCs w:val="24"/>
        </w:rPr>
        <w:br w:type="page"/>
      </w:r>
    </w:p>
    <w:p w14:paraId="3708B676">
      <w:pPr>
        <w:pStyle w:val="83"/>
        <w:ind w:left="500" w:firstLine="480"/>
        <w:rPr>
          <w:sz w:val="24"/>
          <w:szCs w:val="24"/>
        </w:rPr>
      </w:pPr>
      <w:r>
        <w:rPr>
          <w:sz w:val="24"/>
          <w:szCs w:val="24"/>
        </w:rPr>
        <w:t>废水污染物排放信息见</w:t>
      </w:r>
      <w:r>
        <w:rPr>
          <w:rFonts w:hint="eastAsia"/>
          <w:sz w:val="24"/>
          <w:szCs w:val="24"/>
        </w:rPr>
        <w:t>下</w:t>
      </w:r>
      <w:r>
        <w:rPr>
          <w:sz w:val="24"/>
          <w:szCs w:val="24"/>
        </w:rPr>
        <w:t>表。</w:t>
      </w:r>
    </w:p>
    <w:p w14:paraId="74A2A315">
      <w:pPr>
        <w:adjustRightInd w:val="0"/>
        <w:spacing w:line="480" w:lineRule="exact"/>
        <w:jc w:val="center"/>
        <w:textAlignment w:val="baseline"/>
        <w:rPr>
          <w:rFonts w:ascii="Times New Roman"/>
          <w:b/>
          <w:sz w:val="24"/>
          <w:szCs w:val="24"/>
        </w:rPr>
      </w:pPr>
      <w:r>
        <w:rPr>
          <w:rFonts w:ascii="Times New Roman"/>
          <w:b/>
          <w:bCs/>
          <w:sz w:val="24"/>
          <w:szCs w:val="24"/>
        </w:rPr>
        <w:t>表5.2</w:t>
      </w:r>
      <w:r>
        <w:rPr>
          <w:rFonts w:hint="eastAsia" w:ascii="Times New Roman"/>
          <w:b/>
          <w:bCs/>
          <w:sz w:val="24"/>
          <w:szCs w:val="24"/>
        </w:rPr>
        <w:t>.2</w:t>
      </w:r>
      <w:r>
        <w:rPr>
          <w:rFonts w:ascii="Times New Roman"/>
          <w:b/>
          <w:sz w:val="24"/>
          <w:szCs w:val="24"/>
        </w:rPr>
        <w:t>-</w:t>
      </w:r>
      <w:r>
        <w:rPr>
          <w:rFonts w:hint="eastAsia" w:ascii="Times New Roman"/>
          <w:b/>
          <w:sz w:val="24"/>
          <w:szCs w:val="24"/>
        </w:rPr>
        <w:t>5</w:t>
      </w:r>
      <w:r>
        <w:rPr>
          <w:rFonts w:ascii="Times New Roman"/>
          <w:b/>
          <w:sz w:val="24"/>
          <w:szCs w:val="24"/>
        </w:rPr>
        <w:t xml:space="preserve">  废水污染物排放信息表（新建项目）</w:t>
      </w:r>
    </w:p>
    <w:tbl>
      <w:tblPr>
        <w:tblStyle w:val="84"/>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1885"/>
        <w:gridCol w:w="2309"/>
        <w:gridCol w:w="2656"/>
        <w:gridCol w:w="3103"/>
        <w:gridCol w:w="3323"/>
      </w:tblGrid>
      <w:tr w14:paraId="4844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tcBorders>
              <w:top w:val="single" w:color="auto" w:sz="4" w:space="0"/>
              <w:left w:val="single" w:color="auto" w:sz="4" w:space="0"/>
              <w:bottom w:val="single" w:color="auto" w:sz="4" w:space="0"/>
              <w:right w:val="single" w:color="auto" w:sz="4" w:space="0"/>
              <w:tl2br w:val="nil"/>
              <w:tr2bl w:val="nil"/>
            </w:tcBorders>
            <w:vAlign w:val="center"/>
          </w:tcPr>
          <w:p w14:paraId="6937EF67">
            <w:pPr>
              <w:adjustRightInd w:val="0"/>
              <w:spacing w:line="320" w:lineRule="exact"/>
              <w:jc w:val="center"/>
              <w:textAlignment w:val="baseline"/>
              <w:rPr>
                <w:rFonts w:ascii="Times New Roman"/>
                <w:sz w:val="21"/>
                <w:szCs w:val="21"/>
              </w:rPr>
            </w:pPr>
            <w:r>
              <w:rPr>
                <w:rFonts w:ascii="Times New Roman"/>
                <w:sz w:val="21"/>
                <w:szCs w:val="21"/>
              </w:rPr>
              <w:t>序号</w:t>
            </w:r>
          </w:p>
        </w:tc>
        <w:tc>
          <w:tcPr>
            <w:tcW w:w="667" w:type="pct"/>
            <w:tcBorders>
              <w:top w:val="single" w:color="auto" w:sz="4" w:space="0"/>
              <w:left w:val="single" w:color="auto" w:sz="4" w:space="0"/>
              <w:bottom w:val="single" w:color="auto" w:sz="4" w:space="0"/>
              <w:right w:val="single" w:color="auto" w:sz="4" w:space="0"/>
              <w:tl2br w:val="nil"/>
              <w:tr2bl w:val="nil"/>
            </w:tcBorders>
            <w:vAlign w:val="center"/>
          </w:tcPr>
          <w:p w14:paraId="4389F5EA">
            <w:pPr>
              <w:adjustRightInd w:val="0"/>
              <w:spacing w:line="320" w:lineRule="exact"/>
              <w:jc w:val="center"/>
              <w:textAlignment w:val="baseline"/>
              <w:rPr>
                <w:rFonts w:ascii="Times New Roman"/>
                <w:sz w:val="21"/>
                <w:szCs w:val="21"/>
              </w:rPr>
            </w:pPr>
            <w:r>
              <w:rPr>
                <w:rFonts w:ascii="Times New Roman"/>
                <w:sz w:val="21"/>
                <w:szCs w:val="21"/>
              </w:rPr>
              <w:t>排放口编号</w:t>
            </w: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55428277">
            <w:pPr>
              <w:adjustRightInd w:val="0"/>
              <w:spacing w:line="320" w:lineRule="exact"/>
              <w:jc w:val="center"/>
              <w:textAlignment w:val="baseline"/>
              <w:rPr>
                <w:rFonts w:ascii="Times New Roman"/>
                <w:sz w:val="21"/>
                <w:szCs w:val="21"/>
              </w:rPr>
            </w:pPr>
            <w:r>
              <w:rPr>
                <w:rFonts w:ascii="Times New Roman"/>
                <w:sz w:val="21"/>
                <w:szCs w:val="21"/>
              </w:rPr>
              <w:t>污染物种类</w:t>
            </w:r>
          </w:p>
        </w:tc>
        <w:tc>
          <w:tcPr>
            <w:tcW w:w="940" w:type="pct"/>
            <w:tcBorders>
              <w:top w:val="single" w:color="auto" w:sz="4" w:space="0"/>
              <w:left w:val="single" w:color="auto" w:sz="4" w:space="0"/>
              <w:bottom w:val="single" w:color="auto" w:sz="4" w:space="0"/>
              <w:right w:val="single" w:color="auto" w:sz="4" w:space="0"/>
              <w:tl2br w:val="nil"/>
              <w:tr2bl w:val="nil"/>
            </w:tcBorders>
            <w:vAlign w:val="center"/>
          </w:tcPr>
          <w:p w14:paraId="1FA0B178">
            <w:pPr>
              <w:adjustRightInd w:val="0"/>
              <w:spacing w:line="320" w:lineRule="exact"/>
              <w:jc w:val="center"/>
              <w:textAlignment w:val="baseline"/>
              <w:rPr>
                <w:rFonts w:ascii="Times New Roman"/>
                <w:sz w:val="21"/>
                <w:szCs w:val="21"/>
              </w:rPr>
            </w:pPr>
            <w:r>
              <w:rPr>
                <w:rFonts w:ascii="Times New Roman"/>
                <w:sz w:val="21"/>
                <w:szCs w:val="21"/>
              </w:rPr>
              <w:t>排放浓度/（mg/L）</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33CCBFFC">
            <w:pPr>
              <w:adjustRightInd w:val="0"/>
              <w:spacing w:line="320" w:lineRule="exact"/>
              <w:jc w:val="center"/>
              <w:textAlignment w:val="baseline"/>
              <w:rPr>
                <w:rFonts w:ascii="Times New Roman"/>
                <w:sz w:val="21"/>
                <w:szCs w:val="21"/>
              </w:rPr>
            </w:pPr>
            <w:r>
              <w:rPr>
                <w:rFonts w:ascii="Times New Roman"/>
                <w:sz w:val="21"/>
                <w:szCs w:val="21"/>
              </w:rPr>
              <w:t>日排放量/（t/d）</w:t>
            </w:r>
          </w:p>
        </w:tc>
        <w:tc>
          <w:tcPr>
            <w:tcW w:w="1176" w:type="pct"/>
            <w:tcBorders>
              <w:top w:val="single" w:color="auto" w:sz="4" w:space="0"/>
              <w:left w:val="single" w:color="auto" w:sz="4" w:space="0"/>
              <w:bottom w:val="single" w:color="auto" w:sz="4" w:space="0"/>
              <w:right w:val="single" w:color="auto" w:sz="4" w:space="0"/>
              <w:tl2br w:val="nil"/>
              <w:tr2bl w:val="nil"/>
            </w:tcBorders>
            <w:vAlign w:val="center"/>
          </w:tcPr>
          <w:p w14:paraId="7A4ACDEF">
            <w:pPr>
              <w:adjustRightInd w:val="0"/>
              <w:spacing w:line="320" w:lineRule="exact"/>
              <w:jc w:val="center"/>
              <w:textAlignment w:val="baseline"/>
              <w:rPr>
                <w:rFonts w:ascii="Times New Roman"/>
                <w:sz w:val="21"/>
                <w:szCs w:val="21"/>
              </w:rPr>
            </w:pPr>
            <w:r>
              <w:rPr>
                <w:rFonts w:ascii="Times New Roman"/>
                <w:sz w:val="21"/>
                <w:szCs w:val="21"/>
              </w:rPr>
              <w:t>年排放量/（t/a）</w:t>
            </w:r>
          </w:p>
        </w:tc>
      </w:tr>
      <w:tr w14:paraId="07FE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restart"/>
            <w:tcBorders>
              <w:top w:val="single" w:color="auto" w:sz="4" w:space="0"/>
              <w:left w:val="single" w:color="auto" w:sz="4" w:space="0"/>
              <w:right w:val="single" w:color="auto" w:sz="4" w:space="0"/>
              <w:tl2br w:val="nil"/>
              <w:tr2bl w:val="nil"/>
            </w:tcBorders>
            <w:vAlign w:val="center"/>
          </w:tcPr>
          <w:p w14:paraId="78432B61">
            <w:pPr>
              <w:adjustRightInd w:val="0"/>
              <w:spacing w:line="320" w:lineRule="exact"/>
              <w:jc w:val="center"/>
              <w:textAlignment w:val="baseline"/>
              <w:rPr>
                <w:rFonts w:ascii="Times New Roman"/>
                <w:sz w:val="21"/>
                <w:szCs w:val="21"/>
              </w:rPr>
            </w:pPr>
            <w:r>
              <w:rPr>
                <w:rFonts w:ascii="Times New Roman"/>
                <w:sz w:val="21"/>
                <w:szCs w:val="21"/>
              </w:rPr>
              <w:t>1</w:t>
            </w:r>
          </w:p>
        </w:tc>
        <w:tc>
          <w:tcPr>
            <w:tcW w:w="667" w:type="pct"/>
            <w:vMerge w:val="restart"/>
            <w:tcBorders>
              <w:top w:val="single" w:color="auto" w:sz="4" w:space="0"/>
              <w:left w:val="single" w:color="auto" w:sz="4" w:space="0"/>
              <w:right w:val="single" w:color="auto" w:sz="4" w:space="0"/>
              <w:tl2br w:val="nil"/>
              <w:tr2bl w:val="nil"/>
            </w:tcBorders>
            <w:vAlign w:val="center"/>
          </w:tcPr>
          <w:p w14:paraId="7D7DC217">
            <w:pPr>
              <w:adjustRightInd w:val="0"/>
              <w:spacing w:line="320" w:lineRule="exact"/>
              <w:jc w:val="center"/>
              <w:textAlignment w:val="baseline"/>
              <w:rPr>
                <w:rFonts w:ascii="Times New Roman"/>
                <w:sz w:val="21"/>
                <w:szCs w:val="21"/>
              </w:rPr>
            </w:pPr>
            <w:r>
              <w:rPr>
                <w:rFonts w:ascii="Times New Roman"/>
                <w:sz w:val="21"/>
                <w:szCs w:val="21"/>
              </w:rPr>
              <w:t>DW001</w:t>
            </w: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7F8FED13">
            <w:pPr>
              <w:jc w:val="center"/>
              <w:rPr>
                <w:rFonts w:ascii="Times New Roman"/>
                <w:sz w:val="21"/>
                <w:szCs w:val="21"/>
              </w:rPr>
            </w:pPr>
            <w:r>
              <w:rPr>
                <w:rFonts w:ascii="Times New Roman"/>
                <w:sz w:val="21"/>
                <w:szCs w:val="21"/>
              </w:rPr>
              <w:t>COD</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4AE17D1">
            <w:pPr>
              <w:adjustRightInd w:val="0"/>
              <w:jc w:val="center"/>
              <w:textAlignment w:val="baseline"/>
              <w:rPr>
                <w:rFonts w:ascii="Times New Roman"/>
                <w:sz w:val="21"/>
                <w:szCs w:val="21"/>
              </w:rPr>
            </w:pPr>
            <w:r>
              <w:rPr>
                <w:rFonts w:hint="eastAsia" w:ascii="Times New Roman"/>
                <w:sz w:val="21"/>
                <w:szCs w:val="21"/>
              </w:rPr>
              <w:t>146.2</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186F3DF5">
            <w:pPr>
              <w:adjustRightInd w:val="0"/>
              <w:spacing w:line="320" w:lineRule="exact"/>
              <w:jc w:val="center"/>
              <w:textAlignment w:val="baseline"/>
              <w:rPr>
                <w:rFonts w:ascii="Times New Roman"/>
                <w:sz w:val="21"/>
                <w:szCs w:val="21"/>
              </w:rPr>
            </w:pPr>
            <w:r>
              <w:rPr>
                <w:rFonts w:hint="eastAsia" w:ascii="Times New Roman"/>
                <w:sz w:val="21"/>
                <w:szCs w:val="21"/>
              </w:rPr>
              <w:t>0.01889</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20DDB5">
            <w:pPr>
              <w:jc w:val="center"/>
              <w:rPr>
                <w:rFonts w:ascii="Times New Roman"/>
                <w:sz w:val="21"/>
                <w:szCs w:val="21"/>
              </w:rPr>
            </w:pPr>
            <w:r>
              <w:rPr>
                <w:rFonts w:hint="eastAsia" w:ascii="Times New Roman"/>
                <w:sz w:val="21"/>
                <w:szCs w:val="21"/>
              </w:rPr>
              <w:t>5.667</w:t>
            </w:r>
          </w:p>
        </w:tc>
      </w:tr>
      <w:tr w14:paraId="7F3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2DFCD2EF">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0AFE132C">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4A487CD3">
            <w:pPr>
              <w:jc w:val="center"/>
              <w:rPr>
                <w:rFonts w:ascii="Times New Roman"/>
                <w:sz w:val="21"/>
                <w:szCs w:val="21"/>
              </w:rPr>
            </w:pPr>
            <w:r>
              <w:rPr>
                <w:rFonts w:hint="eastAsia" w:ascii="Times New Roman"/>
                <w:sz w:val="21"/>
                <w:szCs w:val="21"/>
              </w:rPr>
              <w:t>BOD</w:t>
            </w:r>
            <w:r>
              <w:rPr>
                <w:rFonts w:hint="eastAsia" w:ascii="Times New Roman"/>
                <w:sz w:val="21"/>
                <w:szCs w:val="21"/>
                <w:vertAlign w:val="subscript"/>
              </w:rPr>
              <w:t>5</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B357CD9">
            <w:pPr>
              <w:adjustRightInd w:val="0"/>
              <w:jc w:val="center"/>
              <w:textAlignment w:val="baseline"/>
              <w:rPr>
                <w:rFonts w:ascii="Times New Roman"/>
                <w:sz w:val="21"/>
                <w:szCs w:val="21"/>
              </w:rPr>
            </w:pPr>
            <w:r>
              <w:rPr>
                <w:rFonts w:hint="eastAsia" w:ascii="Times New Roman"/>
                <w:sz w:val="21"/>
                <w:szCs w:val="21"/>
              </w:rPr>
              <w:t>39.6</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7D03499C">
            <w:pPr>
              <w:adjustRightInd w:val="0"/>
              <w:spacing w:line="320" w:lineRule="exact"/>
              <w:jc w:val="center"/>
              <w:textAlignment w:val="baseline"/>
              <w:rPr>
                <w:rFonts w:ascii="Times New Roman"/>
                <w:sz w:val="21"/>
                <w:szCs w:val="21"/>
              </w:rPr>
            </w:pPr>
            <w:r>
              <w:rPr>
                <w:rFonts w:hint="eastAsia" w:ascii="Times New Roman"/>
                <w:sz w:val="21"/>
                <w:szCs w:val="21"/>
              </w:rPr>
              <w:t>0.00512</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81D464">
            <w:pPr>
              <w:jc w:val="center"/>
              <w:rPr>
                <w:rFonts w:ascii="Times New Roman"/>
                <w:sz w:val="21"/>
                <w:szCs w:val="21"/>
              </w:rPr>
            </w:pPr>
            <w:r>
              <w:rPr>
                <w:rFonts w:hint="eastAsia" w:ascii="Times New Roman"/>
                <w:sz w:val="21"/>
                <w:szCs w:val="21"/>
              </w:rPr>
              <w:t>1.536</w:t>
            </w:r>
          </w:p>
        </w:tc>
      </w:tr>
      <w:tr w14:paraId="598B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6482CFF9">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29A926B0">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1FB668E4">
            <w:pPr>
              <w:jc w:val="center"/>
              <w:rPr>
                <w:rFonts w:ascii="Times New Roman"/>
                <w:sz w:val="21"/>
                <w:szCs w:val="21"/>
              </w:rPr>
            </w:pPr>
            <w:r>
              <w:rPr>
                <w:rFonts w:ascii="Times New Roman"/>
                <w:sz w:val="21"/>
                <w:szCs w:val="21"/>
              </w:rPr>
              <w:t>SS</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315E883">
            <w:pPr>
              <w:adjustRightInd w:val="0"/>
              <w:jc w:val="center"/>
              <w:textAlignment w:val="baseline"/>
              <w:rPr>
                <w:rFonts w:ascii="Times New Roman"/>
                <w:sz w:val="21"/>
                <w:szCs w:val="21"/>
              </w:rPr>
            </w:pPr>
            <w:r>
              <w:rPr>
                <w:rFonts w:hint="eastAsia" w:ascii="Times New Roman"/>
                <w:sz w:val="21"/>
                <w:szCs w:val="21"/>
              </w:rPr>
              <w:t>97.4</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35A12A1F">
            <w:pPr>
              <w:adjustRightInd w:val="0"/>
              <w:spacing w:line="320" w:lineRule="exact"/>
              <w:jc w:val="center"/>
              <w:textAlignment w:val="baseline"/>
              <w:rPr>
                <w:rFonts w:ascii="Times New Roman"/>
                <w:sz w:val="21"/>
                <w:szCs w:val="21"/>
              </w:rPr>
            </w:pPr>
            <w:r>
              <w:rPr>
                <w:rFonts w:hint="eastAsia" w:ascii="Times New Roman"/>
                <w:sz w:val="21"/>
                <w:szCs w:val="21"/>
              </w:rPr>
              <w:t>0.01261</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2798968">
            <w:pPr>
              <w:jc w:val="center"/>
              <w:rPr>
                <w:rFonts w:ascii="Times New Roman"/>
                <w:sz w:val="21"/>
                <w:szCs w:val="21"/>
              </w:rPr>
            </w:pPr>
            <w:r>
              <w:rPr>
                <w:rFonts w:hint="eastAsia" w:ascii="Times New Roman"/>
                <w:sz w:val="21"/>
                <w:szCs w:val="21"/>
              </w:rPr>
              <w:t>3.783</w:t>
            </w:r>
          </w:p>
        </w:tc>
      </w:tr>
      <w:tr w14:paraId="411C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4C0D99FD">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36A68DA8">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228C5ADF">
            <w:pPr>
              <w:jc w:val="center"/>
              <w:rPr>
                <w:rFonts w:ascii="Times New Roman"/>
                <w:sz w:val="21"/>
                <w:szCs w:val="21"/>
              </w:rPr>
            </w:pPr>
            <w:r>
              <w:rPr>
                <w:rFonts w:ascii="Times New Roman"/>
                <w:sz w:val="21"/>
                <w:szCs w:val="21"/>
              </w:rPr>
              <w:t>氨氮</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3D17960">
            <w:pPr>
              <w:adjustRightInd w:val="0"/>
              <w:jc w:val="center"/>
              <w:textAlignment w:val="baseline"/>
              <w:rPr>
                <w:rFonts w:ascii="Times New Roman"/>
                <w:sz w:val="21"/>
                <w:szCs w:val="21"/>
              </w:rPr>
            </w:pPr>
            <w:r>
              <w:rPr>
                <w:rFonts w:hint="eastAsia" w:ascii="Times New Roman"/>
                <w:sz w:val="21"/>
                <w:szCs w:val="21"/>
              </w:rPr>
              <w:t>6.2</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773F99D8">
            <w:pPr>
              <w:adjustRightInd w:val="0"/>
              <w:spacing w:line="320" w:lineRule="exact"/>
              <w:jc w:val="center"/>
              <w:textAlignment w:val="baseline"/>
              <w:rPr>
                <w:rFonts w:ascii="Times New Roman"/>
                <w:sz w:val="21"/>
                <w:szCs w:val="21"/>
              </w:rPr>
            </w:pPr>
            <w:r>
              <w:rPr>
                <w:rFonts w:hint="eastAsia" w:ascii="Times New Roman"/>
                <w:sz w:val="21"/>
                <w:szCs w:val="21"/>
              </w:rPr>
              <w:t>0.0008</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2DF7FD8">
            <w:pPr>
              <w:jc w:val="center"/>
              <w:rPr>
                <w:rFonts w:ascii="Times New Roman"/>
                <w:sz w:val="21"/>
                <w:szCs w:val="21"/>
              </w:rPr>
            </w:pPr>
            <w:r>
              <w:rPr>
                <w:rFonts w:hint="eastAsia" w:ascii="Times New Roman"/>
                <w:sz w:val="21"/>
                <w:szCs w:val="21"/>
              </w:rPr>
              <w:t>0.240</w:t>
            </w:r>
          </w:p>
        </w:tc>
      </w:tr>
      <w:tr w14:paraId="032E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7671DA39">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0EC33A57">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15855B02">
            <w:pPr>
              <w:jc w:val="center"/>
              <w:rPr>
                <w:rFonts w:ascii="Times New Roman"/>
                <w:sz w:val="21"/>
                <w:szCs w:val="21"/>
              </w:rPr>
            </w:pPr>
            <w:r>
              <w:rPr>
                <w:rFonts w:ascii="Times New Roman"/>
                <w:sz w:val="21"/>
                <w:szCs w:val="21"/>
              </w:rPr>
              <w:t>总氮</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D01D5BE">
            <w:pPr>
              <w:adjustRightInd w:val="0"/>
              <w:jc w:val="center"/>
              <w:textAlignment w:val="baseline"/>
              <w:rPr>
                <w:rFonts w:ascii="Times New Roman"/>
                <w:sz w:val="21"/>
                <w:szCs w:val="21"/>
              </w:rPr>
            </w:pPr>
            <w:r>
              <w:rPr>
                <w:rFonts w:hint="eastAsia" w:ascii="Times New Roman"/>
                <w:sz w:val="21"/>
                <w:szCs w:val="21"/>
              </w:rPr>
              <w:t>3.4</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6ED428F6">
            <w:pPr>
              <w:adjustRightInd w:val="0"/>
              <w:spacing w:line="320" w:lineRule="exact"/>
              <w:jc w:val="center"/>
              <w:textAlignment w:val="baseline"/>
              <w:rPr>
                <w:rFonts w:ascii="Times New Roman"/>
                <w:sz w:val="21"/>
                <w:szCs w:val="21"/>
              </w:rPr>
            </w:pPr>
            <w:r>
              <w:rPr>
                <w:rFonts w:hint="eastAsia" w:ascii="Times New Roman"/>
                <w:sz w:val="21"/>
                <w:szCs w:val="21"/>
              </w:rPr>
              <w:t>0.00044</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6B75684">
            <w:pPr>
              <w:jc w:val="center"/>
              <w:rPr>
                <w:rFonts w:ascii="Times New Roman"/>
                <w:sz w:val="21"/>
                <w:szCs w:val="21"/>
              </w:rPr>
            </w:pPr>
            <w:r>
              <w:rPr>
                <w:rFonts w:hint="eastAsia" w:ascii="Times New Roman"/>
                <w:sz w:val="21"/>
                <w:szCs w:val="21"/>
              </w:rPr>
              <w:t>0.133</w:t>
            </w:r>
          </w:p>
        </w:tc>
      </w:tr>
      <w:tr w14:paraId="0D5A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76E3DD9E">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67130171">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008E22CA">
            <w:pPr>
              <w:jc w:val="center"/>
              <w:rPr>
                <w:rFonts w:ascii="Times New Roman"/>
                <w:sz w:val="21"/>
                <w:szCs w:val="21"/>
              </w:rPr>
            </w:pPr>
            <w:r>
              <w:rPr>
                <w:rFonts w:ascii="Times New Roman"/>
                <w:sz w:val="21"/>
                <w:szCs w:val="21"/>
              </w:rPr>
              <w:t>总磷</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92CF83B">
            <w:pPr>
              <w:adjustRightInd w:val="0"/>
              <w:jc w:val="center"/>
              <w:textAlignment w:val="baseline"/>
              <w:rPr>
                <w:rFonts w:ascii="Times New Roman"/>
                <w:sz w:val="21"/>
                <w:szCs w:val="21"/>
              </w:rPr>
            </w:pPr>
            <w:r>
              <w:rPr>
                <w:rFonts w:hint="eastAsia" w:ascii="Times New Roman"/>
                <w:sz w:val="21"/>
                <w:szCs w:val="21"/>
              </w:rPr>
              <w:t>8.6</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4A64FE67">
            <w:pPr>
              <w:adjustRightInd w:val="0"/>
              <w:spacing w:line="320" w:lineRule="exact"/>
              <w:jc w:val="center"/>
              <w:textAlignment w:val="baseline"/>
              <w:rPr>
                <w:rFonts w:ascii="Times New Roman"/>
                <w:sz w:val="21"/>
                <w:szCs w:val="21"/>
              </w:rPr>
            </w:pPr>
            <w:r>
              <w:rPr>
                <w:rFonts w:hint="eastAsia" w:ascii="Times New Roman"/>
                <w:sz w:val="21"/>
                <w:szCs w:val="21"/>
              </w:rPr>
              <w:t>0.00112</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F60F338">
            <w:pPr>
              <w:jc w:val="center"/>
              <w:rPr>
                <w:rFonts w:ascii="Times New Roman"/>
                <w:sz w:val="21"/>
                <w:szCs w:val="21"/>
              </w:rPr>
            </w:pPr>
            <w:r>
              <w:rPr>
                <w:rFonts w:hint="eastAsia" w:ascii="Times New Roman"/>
                <w:sz w:val="21"/>
                <w:szCs w:val="21"/>
              </w:rPr>
              <w:t>0.336</w:t>
            </w:r>
          </w:p>
        </w:tc>
      </w:tr>
      <w:tr w14:paraId="08C0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668CFA9B">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5E82298C">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3243443">
            <w:pPr>
              <w:jc w:val="center"/>
              <w:rPr>
                <w:rFonts w:ascii="Times New Roman"/>
                <w:sz w:val="21"/>
                <w:szCs w:val="21"/>
              </w:rPr>
            </w:pPr>
            <w:r>
              <w:rPr>
                <w:rFonts w:hint="eastAsia" w:ascii="Times New Roman"/>
                <w:sz w:val="21"/>
                <w:szCs w:val="21"/>
              </w:rPr>
              <w:t>动植物油</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EC30F77">
            <w:pPr>
              <w:adjustRightInd w:val="0"/>
              <w:jc w:val="center"/>
              <w:textAlignment w:val="baseline"/>
              <w:rPr>
                <w:rFonts w:ascii="Times New Roman"/>
                <w:sz w:val="21"/>
                <w:szCs w:val="21"/>
              </w:rPr>
            </w:pPr>
            <w:r>
              <w:rPr>
                <w:rFonts w:hint="eastAsia" w:ascii="Times New Roman"/>
                <w:sz w:val="21"/>
                <w:szCs w:val="21"/>
              </w:rPr>
              <w:t>2.5</w:t>
            </w:r>
          </w:p>
        </w:tc>
        <w:tc>
          <w:tcPr>
            <w:tcW w:w="109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F0C8075">
            <w:pPr>
              <w:adjustRightInd w:val="0"/>
              <w:spacing w:line="320" w:lineRule="exact"/>
              <w:jc w:val="center"/>
              <w:textAlignment w:val="baseline"/>
              <w:rPr>
                <w:rFonts w:ascii="Times New Roman"/>
                <w:sz w:val="21"/>
                <w:szCs w:val="21"/>
              </w:rPr>
            </w:pPr>
            <w:r>
              <w:rPr>
                <w:rFonts w:hint="eastAsia" w:ascii="Times New Roman"/>
                <w:sz w:val="21"/>
                <w:szCs w:val="21"/>
              </w:rPr>
              <w:t>0.00032</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6DB8CB9">
            <w:pPr>
              <w:jc w:val="center"/>
              <w:rPr>
                <w:rFonts w:ascii="Times New Roman"/>
                <w:sz w:val="21"/>
                <w:szCs w:val="21"/>
              </w:rPr>
            </w:pPr>
            <w:r>
              <w:rPr>
                <w:rFonts w:hint="eastAsia" w:ascii="Times New Roman"/>
                <w:sz w:val="21"/>
                <w:szCs w:val="21"/>
              </w:rPr>
              <w:t>0.096</w:t>
            </w:r>
          </w:p>
        </w:tc>
      </w:tr>
      <w:tr w14:paraId="5EA8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1" w:type="pct"/>
            <w:vMerge w:val="continue"/>
            <w:tcBorders>
              <w:left w:val="single" w:color="auto" w:sz="4" w:space="0"/>
              <w:right w:val="single" w:color="auto" w:sz="4" w:space="0"/>
              <w:tl2br w:val="nil"/>
              <w:tr2bl w:val="nil"/>
            </w:tcBorders>
            <w:vAlign w:val="center"/>
          </w:tcPr>
          <w:p w14:paraId="4D2F61E5">
            <w:pPr>
              <w:adjustRightInd w:val="0"/>
              <w:spacing w:line="320" w:lineRule="exact"/>
              <w:jc w:val="center"/>
              <w:textAlignment w:val="baseline"/>
              <w:rPr>
                <w:rFonts w:ascii="Times New Roman"/>
                <w:sz w:val="21"/>
                <w:szCs w:val="21"/>
              </w:rPr>
            </w:pPr>
          </w:p>
        </w:tc>
        <w:tc>
          <w:tcPr>
            <w:tcW w:w="667" w:type="pct"/>
            <w:vMerge w:val="continue"/>
            <w:tcBorders>
              <w:left w:val="single" w:color="auto" w:sz="4" w:space="0"/>
              <w:right w:val="single" w:color="auto" w:sz="4" w:space="0"/>
              <w:tl2br w:val="nil"/>
              <w:tr2bl w:val="nil"/>
            </w:tcBorders>
            <w:vAlign w:val="center"/>
          </w:tcPr>
          <w:p w14:paraId="307DC93F">
            <w:pPr>
              <w:adjustRightInd w:val="0"/>
              <w:spacing w:line="320" w:lineRule="exact"/>
              <w:jc w:val="center"/>
              <w:textAlignment w:val="baseline"/>
              <w:rPr>
                <w:rFonts w:ascii="Times New Roman"/>
                <w:sz w:val="21"/>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vAlign w:val="center"/>
          </w:tcPr>
          <w:p w14:paraId="17324FB8">
            <w:pPr>
              <w:jc w:val="center"/>
              <w:rPr>
                <w:rFonts w:ascii="Times New Roman"/>
                <w:sz w:val="21"/>
                <w:szCs w:val="21"/>
              </w:rPr>
            </w:pPr>
            <w:r>
              <w:rPr>
                <w:rFonts w:hint="eastAsia" w:ascii="Times New Roman"/>
                <w:sz w:val="21"/>
                <w:szCs w:val="21"/>
              </w:rPr>
              <w:t>石油类</w:t>
            </w:r>
          </w:p>
        </w:tc>
        <w:tc>
          <w:tcPr>
            <w:tcW w:w="94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6F8FF72">
            <w:pPr>
              <w:adjustRightInd w:val="0"/>
              <w:jc w:val="center"/>
              <w:textAlignment w:val="baseline"/>
              <w:rPr>
                <w:rFonts w:ascii="Times New Roman"/>
                <w:sz w:val="21"/>
                <w:szCs w:val="21"/>
              </w:rPr>
            </w:pPr>
            <w:r>
              <w:rPr>
                <w:rFonts w:hint="eastAsia" w:ascii="Times New Roman"/>
                <w:sz w:val="21"/>
                <w:szCs w:val="21"/>
              </w:rPr>
              <w:t>4.7</w:t>
            </w:r>
          </w:p>
        </w:tc>
        <w:tc>
          <w:tcPr>
            <w:tcW w:w="1098" w:type="pct"/>
            <w:tcBorders>
              <w:top w:val="single" w:color="auto" w:sz="4" w:space="0"/>
              <w:left w:val="single" w:color="auto" w:sz="4" w:space="0"/>
              <w:bottom w:val="single" w:color="auto" w:sz="4" w:space="0"/>
              <w:right w:val="single" w:color="auto" w:sz="4" w:space="0"/>
              <w:tl2br w:val="nil"/>
              <w:tr2bl w:val="nil"/>
            </w:tcBorders>
            <w:vAlign w:val="center"/>
          </w:tcPr>
          <w:p w14:paraId="5E48B5FC">
            <w:pPr>
              <w:adjustRightInd w:val="0"/>
              <w:spacing w:line="320" w:lineRule="exact"/>
              <w:jc w:val="center"/>
              <w:textAlignment w:val="baseline"/>
              <w:rPr>
                <w:rFonts w:ascii="Times New Roman"/>
                <w:sz w:val="21"/>
                <w:szCs w:val="21"/>
              </w:rPr>
            </w:pPr>
            <w:r>
              <w:rPr>
                <w:rFonts w:hint="eastAsia" w:ascii="Times New Roman"/>
                <w:sz w:val="21"/>
                <w:szCs w:val="21"/>
              </w:rPr>
              <w:t>0.00061</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159D3C">
            <w:pPr>
              <w:jc w:val="center"/>
              <w:rPr>
                <w:rFonts w:ascii="Times New Roman"/>
                <w:sz w:val="21"/>
                <w:szCs w:val="21"/>
              </w:rPr>
            </w:pPr>
            <w:r>
              <w:rPr>
                <w:rFonts w:hint="eastAsia" w:ascii="Times New Roman"/>
                <w:sz w:val="21"/>
                <w:szCs w:val="21"/>
              </w:rPr>
              <w:t>0.183</w:t>
            </w:r>
          </w:p>
        </w:tc>
      </w:tr>
      <w:tr w14:paraId="7E72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restart"/>
            <w:tcBorders>
              <w:top w:val="single" w:color="auto" w:sz="4" w:space="0"/>
              <w:left w:val="single" w:color="auto" w:sz="4" w:space="0"/>
              <w:right w:val="single" w:color="auto" w:sz="4" w:space="0"/>
              <w:tl2br w:val="nil"/>
              <w:tr2bl w:val="nil"/>
            </w:tcBorders>
            <w:vAlign w:val="center"/>
          </w:tcPr>
          <w:p w14:paraId="1EEBA3A2">
            <w:pPr>
              <w:adjustRightInd w:val="0"/>
              <w:spacing w:line="320" w:lineRule="exact"/>
              <w:jc w:val="center"/>
              <w:textAlignment w:val="baseline"/>
              <w:rPr>
                <w:rFonts w:ascii="Times New Roman"/>
                <w:sz w:val="21"/>
                <w:szCs w:val="21"/>
              </w:rPr>
            </w:pPr>
            <w:r>
              <w:rPr>
                <w:rFonts w:ascii="Times New Roman"/>
                <w:sz w:val="21"/>
                <w:szCs w:val="21"/>
              </w:rPr>
              <w:t>全厂排放口合计</w:t>
            </w: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59DAA1B4">
            <w:pPr>
              <w:jc w:val="center"/>
              <w:rPr>
                <w:rFonts w:ascii="Times New Roman"/>
                <w:sz w:val="21"/>
                <w:szCs w:val="21"/>
              </w:rPr>
            </w:pPr>
            <w:r>
              <w:rPr>
                <w:rFonts w:ascii="Times New Roman"/>
                <w:sz w:val="21"/>
                <w:szCs w:val="21"/>
              </w:rPr>
              <w:t>COD</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3B45EC5">
            <w:pPr>
              <w:jc w:val="center"/>
              <w:rPr>
                <w:rFonts w:ascii="Times New Roman"/>
                <w:sz w:val="21"/>
                <w:szCs w:val="21"/>
              </w:rPr>
            </w:pPr>
            <w:r>
              <w:rPr>
                <w:rFonts w:hint="eastAsia" w:ascii="Times New Roman"/>
                <w:sz w:val="21"/>
                <w:szCs w:val="21"/>
              </w:rPr>
              <w:t>5.667</w:t>
            </w:r>
          </w:p>
        </w:tc>
      </w:tr>
      <w:tr w14:paraId="4690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7823F8ED">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6B775D1F">
            <w:pPr>
              <w:jc w:val="center"/>
              <w:rPr>
                <w:rFonts w:ascii="Times New Roman"/>
                <w:sz w:val="21"/>
                <w:szCs w:val="21"/>
              </w:rPr>
            </w:pPr>
            <w:r>
              <w:rPr>
                <w:rFonts w:hint="eastAsia" w:ascii="Times New Roman"/>
                <w:sz w:val="21"/>
                <w:szCs w:val="21"/>
              </w:rPr>
              <w:t>BOD</w:t>
            </w:r>
            <w:r>
              <w:rPr>
                <w:rFonts w:hint="eastAsia" w:ascii="Times New Roman"/>
                <w:sz w:val="21"/>
                <w:szCs w:val="21"/>
                <w:vertAlign w:val="subscript"/>
              </w:rPr>
              <w:t>5</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33091B3">
            <w:pPr>
              <w:jc w:val="center"/>
              <w:rPr>
                <w:rFonts w:ascii="Times New Roman"/>
                <w:sz w:val="21"/>
                <w:szCs w:val="21"/>
              </w:rPr>
            </w:pPr>
            <w:r>
              <w:rPr>
                <w:rFonts w:hint="eastAsia" w:ascii="Times New Roman"/>
                <w:sz w:val="21"/>
                <w:szCs w:val="21"/>
              </w:rPr>
              <w:t>1.536</w:t>
            </w:r>
          </w:p>
        </w:tc>
      </w:tr>
      <w:tr w14:paraId="6E70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56B0AB56">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54A51F84">
            <w:pPr>
              <w:jc w:val="center"/>
              <w:rPr>
                <w:rFonts w:ascii="Times New Roman"/>
                <w:sz w:val="21"/>
                <w:szCs w:val="21"/>
              </w:rPr>
            </w:pPr>
            <w:r>
              <w:rPr>
                <w:rFonts w:ascii="Times New Roman"/>
                <w:sz w:val="21"/>
                <w:szCs w:val="21"/>
              </w:rPr>
              <w:t>SS</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83DC5F">
            <w:pPr>
              <w:jc w:val="center"/>
              <w:rPr>
                <w:rFonts w:ascii="Times New Roman"/>
                <w:sz w:val="21"/>
                <w:szCs w:val="21"/>
              </w:rPr>
            </w:pPr>
            <w:r>
              <w:rPr>
                <w:rFonts w:hint="eastAsia" w:ascii="Times New Roman"/>
                <w:sz w:val="21"/>
                <w:szCs w:val="21"/>
              </w:rPr>
              <w:t>3.783</w:t>
            </w:r>
          </w:p>
        </w:tc>
      </w:tr>
      <w:tr w14:paraId="5A10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3FCF9F96">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209CEDF2">
            <w:pPr>
              <w:jc w:val="center"/>
              <w:rPr>
                <w:rFonts w:ascii="Times New Roman"/>
                <w:sz w:val="21"/>
                <w:szCs w:val="21"/>
              </w:rPr>
            </w:pPr>
            <w:r>
              <w:rPr>
                <w:rFonts w:ascii="Times New Roman"/>
                <w:sz w:val="21"/>
                <w:szCs w:val="21"/>
              </w:rPr>
              <w:t>氨氮</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645C782">
            <w:pPr>
              <w:jc w:val="center"/>
              <w:rPr>
                <w:rFonts w:ascii="Times New Roman"/>
                <w:sz w:val="21"/>
                <w:szCs w:val="21"/>
              </w:rPr>
            </w:pPr>
            <w:r>
              <w:rPr>
                <w:rFonts w:hint="eastAsia" w:ascii="Times New Roman"/>
                <w:sz w:val="21"/>
                <w:szCs w:val="21"/>
              </w:rPr>
              <w:t>0.240</w:t>
            </w:r>
          </w:p>
        </w:tc>
      </w:tr>
      <w:tr w14:paraId="1EB2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146F4B93">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5CBE0340">
            <w:pPr>
              <w:jc w:val="center"/>
              <w:rPr>
                <w:rFonts w:ascii="Times New Roman"/>
                <w:sz w:val="21"/>
                <w:szCs w:val="21"/>
              </w:rPr>
            </w:pPr>
            <w:r>
              <w:rPr>
                <w:rFonts w:ascii="Times New Roman"/>
                <w:sz w:val="21"/>
                <w:szCs w:val="21"/>
              </w:rPr>
              <w:t>总氮</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BDDFFC9">
            <w:pPr>
              <w:jc w:val="center"/>
              <w:rPr>
                <w:rFonts w:ascii="Times New Roman"/>
                <w:sz w:val="21"/>
                <w:szCs w:val="21"/>
              </w:rPr>
            </w:pPr>
            <w:r>
              <w:rPr>
                <w:rFonts w:hint="eastAsia" w:ascii="Times New Roman"/>
                <w:sz w:val="21"/>
                <w:szCs w:val="21"/>
              </w:rPr>
              <w:t>0.133</w:t>
            </w:r>
          </w:p>
        </w:tc>
      </w:tr>
      <w:tr w14:paraId="0884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465585B6">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12125087">
            <w:pPr>
              <w:jc w:val="center"/>
              <w:rPr>
                <w:rFonts w:ascii="Times New Roman"/>
                <w:sz w:val="21"/>
                <w:szCs w:val="21"/>
              </w:rPr>
            </w:pPr>
            <w:r>
              <w:rPr>
                <w:rFonts w:ascii="Times New Roman"/>
                <w:sz w:val="21"/>
                <w:szCs w:val="21"/>
              </w:rPr>
              <w:t>总磷</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881A862">
            <w:pPr>
              <w:jc w:val="center"/>
              <w:rPr>
                <w:rFonts w:ascii="Times New Roman"/>
                <w:sz w:val="21"/>
                <w:szCs w:val="21"/>
              </w:rPr>
            </w:pPr>
            <w:r>
              <w:rPr>
                <w:rFonts w:hint="eastAsia" w:ascii="Times New Roman"/>
                <w:sz w:val="21"/>
                <w:szCs w:val="21"/>
              </w:rPr>
              <w:t>0.336</w:t>
            </w:r>
          </w:p>
        </w:tc>
      </w:tr>
      <w:tr w14:paraId="42D3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649AB17F">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71D9C88C">
            <w:pPr>
              <w:jc w:val="center"/>
              <w:rPr>
                <w:rFonts w:ascii="Times New Roman"/>
                <w:sz w:val="21"/>
                <w:szCs w:val="21"/>
              </w:rPr>
            </w:pPr>
            <w:r>
              <w:rPr>
                <w:rFonts w:hint="eastAsia" w:ascii="Times New Roman"/>
                <w:sz w:val="21"/>
                <w:szCs w:val="21"/>
              </w:rPr>
              <w:t>动植物油</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56B5451">
            <w:pPr>
              <w:jc w:val="center"/>
              <w:rPr>
                <w:rFonts w:ascii="Times New Roman"/>
                <w:sz w:val="21"/>
                <w:szCs w:val="21"/>
              </w:rPr>
            </w:pPr>
            <w:r>
              <w:rPr>
                <w:rFonts w:hint="eastAsia" w:ascii="Times New Roman"/>
                <w:sz w:val="21"/>
                <w:szCs w:val="21"/>
              </w:rPr>
              <w:t>0.096</w:t>
            </w:r>
          </w:p>
        </w:tc>
      </w:tr>
      <w:tr w14:paraId="1A49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68" w:type="pct"/>
            <w:gridSpan w:val="2"/>
            <w:vMerge w:val="continue"/>
            <w:tcBorders>
              <w:left w:val="single" w:color="auto" w:sz="4" w:space="0"/>
              <w:right w:val="single" w:color="auto" w:sz="4" w:space="0"/>
              <w:tl2br w:val="nil"/>
              <w:tr2bl w:val="nil"/>
            </w:tcBorders>
            <w:vAlign w:val="center"/>
          </w:tcPr>
          <w:p w14:paraId="3DA73881">
            <w:pPr>
              <w:adjustRightInd w:val="0"/>
              <w:spacing w:line="320" w:lineRule="exact"/>
              <w:jc w:val="center"/>
              <w:textAlignment w:val="baseline"/>
              <w:rPr>
                <w:rFonts w:ascii="Times New Roman"/>
                <w:sz w:val="21"/>
                <w:szCs w:val="21"/>
              </w:rPr>
            </w:pPr>
          </w:p>
        </w:tc>
        <w:tc>
          <w:tcPr>
            <w:tcW w:w="2855"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3C9FE75F">
            <w:pPr>
              <w:jc w:val="center"/>
              <w:rPr>
                <w:rFonts w:ascii="Times New Roman"/>
                <w:sz w:val="21"/>
                <w:szCs w:val="21"/>
              </w:rPr>
            </w:pPr>
            <w:r>
              <w:rPr>
                <w:rFonts w:hint="eastAsia" w:ascii="Times New Roman"/>
                <w:sz w:val="21"/>
                <w:szCs w:val="21"/>
              </w:rPr>
              <w:t>石油类</w:t>
            </w:r>
          </w:p>
        </w:tc>
        <w:tc>
          <w:tcPr>
            <w:tcW w:w="117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735ADAE">
            <w:pPr>
              <w:jc w:val="center"/>
              <w:rPr>
                <w:rFonts w:ascii="Times New Roman"/>
                <w:sz w:val="21"/>
                <w:szCs w:val="21"/>
              </w:rPr>
            </w:pPr>
            <w:r>
              <w:rPr>
                <w:rFonts w:hint="eastAsia" w:ascii="Times New Roman"/>
                <w:sz w:val="21"/>
                <w:szCs w:val="21"/>
              </w:rPr>
              <w:t>0.183</w:t>
            </w:r>
          </w:p>
        </w:tc>
      </w:tr>
    </w:tbl>
    <w:p w14:paraId="7E0374EF">
      <w:pPr>
        <w:rPr>
          <w:rFonts w:ascii="Times New Roman"/>
          <w:sz w:val="24"/>
          <w:szCs w:val="24"/>
        </w:rPr>
      </w:pPr>
      <w:r>
        <w:rPr>
          <w:rFonts w:ascii="Times New Roman"/>
          <w:sz w:val="24"/>
          <w:szCs w:val="24"/>
        </w:rPr>
        <w:br w:type="page"/>
      </w:r>
    </w:p>
    <w:p w14:paraId="29E62F25">
      <w:pPr>
        <w:pStyle w:val="83"/>
        <w:ind w:left="500" w:firstLine="480"/>
        <w:rPr>
          <w:sz w:val="24"/>
          <w:szCs w:val="24"/>
        </w:rPr>
      </w:pPr>
      <w:r>
        <w:rPr>
          <w:sz w:val="24"/>
          <w:szCs w:val="24"/>
        </w:rPr>
        <w:t>建设项目地表水环境影响评价自查表见</w:t>
      </w:r>
      <w:r>
        <w:rPr>
          <w:rFonts w:hint="eastAsia"/>
          <w:sz w:val="24"/>
          <w:szCs w:val="24"/>
        </w:rPr>
        <w:t>下</w:t>
      </w:r>
      <w:r>
        <w:rPr>
          <w:sz w:val="24"/>
          <w:szCs w:val="24"/>
        </w:rPr>
        <w:t>表。</w:t>
      </w:r>
    </w:p>
    <w:p w14:paraId="307FF082">
      <w:pPr>
        <w:spacing w:line="440" w:lineRule="exact"/>
        <w:ind w:firstLine="482" w:firstLineChars="200"/>
        <w:jc w:val="center"/>
        <w:rPr>
          <w:rFonts w:ascii="Times New Roman"/>
          <w:b/>
          <w:bCs/>
          <w:sz w:val="24"/>
          <w:szCs w:val="24"/>
        </w:rPr>
      </w:pPr>
      <w:r>
        <w:rPr>
          <w:rFonts w:ascii="Times New Roman"/>
          <w:b/>
          <w:bCs/>
          <w:sz w:val="24"/>
          <w:szCs w:val="24"/>
        </w:rPr>
        <w:t>表5.2</w:t>
      </w:r>
      <w:r>
        <w:rPr>
          <w:rFonts w:hint="eastAsia" w:ascii="Times New Roman"/>
          <w:b/>
          <w:bCs/>
          <w:sz w:val="24"/>
          <w:szCs w:val="24"/>
        </w:rPr>
        <w:t>.2-6</w:t>
      </w:r>
      <w:r>
        <w:rPr>
          <w:rFonts w:ascii="Times New Roman"/>
          <w:b/>
          <w:bCs/>
          <w:sz w:val="24"/>
          <w:szCs w:val="24"/>
        </w:rPr>
        <w:t xml:space="preserve">   地表水环境影响评价自查表</w:t>
      </w:r>
    </w:p>
    <w:tbl>
      <w:tblPr>
        <w:tblStyle w:val="84"/>
        <w:tblW w:w="14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2576"/>
        <w:gridCol w:w="1866"/>
        <w:gridCol w:w="772"/>
        <w:gridCol w:w="928"/>
        <w:gridCol w:w="1397"/>
        <w:gridCol w:w="1061"/>
        <w:gridCol w:w="2117"/>
        <w:gridCol w:w="1551"/>
        <w:gridCol w:w="1445"/>
      </w:tblGrid>
      <w:tr w14:paraId="5950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102" w:type="dxa"/>
            <w:gridSpan w:val="2"/>
            <w:tcBorders>
              <w:tl2br w:val="nil"/>
              <w:tr2bl w:val="nil"/>
            </w:tcBorders>
            <w:vAlign w:val="center"/>
          </w:tcPr>
          <w:p w14:paraId="7F0775C1">
            <w:pPr>
              <w:jc w:val="center"/>
              <w:rPr>
                <w:rFonts w:ascii="Times New Roman"/>
                <w:sz w:val="21"/>
                <w:szCs w:val="21"/>
              </w:rPr>
            </w:pPr>
            <w:r>
              <w:rPr>
                <w:rFonts w:ascii="Times New Roman"/>
                <w:sz w:val="21"/>
                <w:szCs w:val="21"/>
              </w:rPr>
              <w:t>工作内容</w:t>
            </w:r>
          </w:p>
        </w:tc>
        <w:tc>
          <w:tcPr>
            <w:tcW w:w="11137" w:type="dxa"/>
            <w:gridSpan w:val="8"/>
            <w:tcBorders>
              <w:tl2br w:val="nil"/>
              <w:tr2bl w:val="nil"/>
            </w:tcBorders>
            <w:vAlign w:val="center"/>
          </w:tcPr>
          <w:p w14:paraId="1191D497">
            <w:pPr>
              <w:jc w:val="center"/>
              <w:rPr>
                <w:rFonts w:ascii="Times New Roman"/>
                <w:sz w:val="21"/>
                <w:szCs w:val="21"/>
              </w:rPr>
            </w:pPr>
            <w:r>
              <w:rPr>
                <w:rFonts w:ascii="Times New Roman"/>
                <w:sz w:val="21"/>
                <w:szCs w:val="21"/>
              </w:rPr>
              <w:t>自查项目</w:t>
            </w:r>
          </w:p>
        </w:tc>
      </w:tr>
      <w:tr w14:paraId="68BE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restart"/>
            <w:tcBorders>
              <w:tl2br w:val="nil"/>
              <w:tr2bl w:val="nil"/>
            </w:tcBorders>
            <w:vAlign w:val="center"/>
          </w:tcPr>
          <w:p w14:paraId="409E835F">
            <w:pPr>
              <w:jc w:val="center"/>
              <w:rPr>
                <w:rFonts w:ascii="Times New Roman"/>
                <w:sz w:val="21"/>
                <w:szCs w:val="21"/>
              </w:rPr>
            </w:pPr>
            <w:r>
              <w:rPr>
                <w:rFonts w:ascii="Times New Roman"/>
                <w:sz w:val="21"/>
                <w:szCs w:val="21"/>
              </w:rPr>
              <w:t>影响识别</w:t>
            </w:r>
          </w:p>
        </w:tc>
        <w:tc>
          <w:tcPr>
            <w:tcW w:w="2576" w:type="dxa"/>
            <w:tcBorders>
              <w:tl2br w:val="nil"/>
              <w:tr2bl w:val="nil"/>
            </w:tcBorders>
            <w:vAlign w:val="center"/>
          </w:tcPr>
          <w:p w14:paraId="1B210A4E">
            <w:pPr>
              <w:jc w:val="center"/>
              <w:rPr>
                <w:rFonts w:ascii="Times New Roman"/>
                <w:sz w:val="21"/>
                <w:szCs w:val="21"/>
              </w:rPr>
            </w:pPr>
            <w:r>
              <w:rPr>
                <w:rFonts w:ascii="Times New Roman"/>
                <w:sz w:val="21"/>
                <w:szCs w:val="21"/>
              </w:rPr>
              <w:t>影响类型</w:t>
            </w:r>
          </w:p>
        </w:tc>
        <w:tc>
          <w:tcPr>
            <w:tcW w:w="11137" w:type="dxa"/>
            <w:gridSpan w:val="8"/>
            <w:tcBorders>
              <w:tl2br w:val="nil"/>
              <w:tr2bl w:val="nil"/>
            </w:tcBorders>
          </w:tcPr>
          <w:p w14:paraId="3D90857D">
            <w:pPr>
              <w:rPr>
                <w:rFonts w:ascii="Times New Roman"/>
                <w:sz w:val="21"/>
                <w:szCs w:val="21"/>
              </w:rPr>
            </w:pPr>
            <w:r>
              <w:rPr>
                <w:rFonts w:ascii="Times New Roman"/>
                <w:sz w:val="21"/>
                <w:szCs w:val="21"/>
              </w:rPr>
              <w:t>水污染影响型</w:t>
            </w:r>
            <w:r>
              <w:rPr>
                <w:rFonts w:hint="eastAsia" w:ascii="Times New Roman"/>
                <w:sz w:val="21"/>
                <w:szCs w:val="21"/>
              </w:rPr>
              <w:t>☑</w:t>
            </w:r>
            <w:r>
              <w:rPr>
                <w:rFonts w:ascii="Times New Roman"/>
                <w:sz w:val="21"/>
                <w:szCs w:val="21"/>
              </w:rPr>
              <w:t>；水文要素影响型□</w:t>
            </w:r>
          </w:p>
        </w:tc>
      </w:tr>
      <w:tr w14:paraId="345F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078DE8DB">
            <w:pPr>
              <w:jc w:val="center"/>
              <w:rPr>
                <w:rFonts w:ascii="Times New Roman"/>
                <w:sz w:val="21"/>
                <w:szCs w:val="21"/>
              </w:rPr>
            </w:pPr>
          </w:p>
        </w:tc>
        <w:tc>
          <w:tcPr>
            <w:tcW w:w="2576" w:type="dxa"/>
            <w:tcBorders>
              <w:tl2br w:val="nil"/>
              <w:tr2bl w:val="nil"/>
            </w:tcBorders>
            <w:vAlign w:val="center"/>
          </w:tcPr>
          <w:p w14:paraId="0A0CAAED">
            <w:pPr>
              <w:jc w:val="center"/>
              <w:rPr>
                <w:rFonts w:ascii="Times New Roman"/>
                <w:sz w:val="21"/>
                <w:szCs w:val="21"/>
              </w:rPr>
            </w:pPr>
            <w:r>
              <w:rPr>
                <w:rFonts w:ascii="Times New Roman"/>
                <w:sz w:val="21"/>
                <w:szCs w:val="21"/>
              </w:rPr>
              <w:t>水环境保护目标</w:t>
            </w:r>
          </w:p>
        </w:tc>
        <w:tc>
          <w:tcPr>
            <w:tcW w:w="11137" w:type="dxa"/>
            <w:gridSpan w:val="8"/>
            <w:tcBorders>
              <w:tl2br w:val="nil"/>
              <w:tr2bl w:val="nil"/>
            </w:tcBorders>
          </w:tcPr>
          <w:p w14:paraId="47DF594C">
            <w:pPr>
              <w:rPr>
                <w:rFonts w:ascii="Times New Roman"/>
                <w:sz w:val="21"/>
                <w:szCs w:val="21"/>
              </w:rPr>
            </w:pPr>
            <w:r>
              <w:rPr>
                <w:rFonts w:ascii="Times New Roman"/>
                <w:sz w:val="21"/>
                <w:szCs w:val="21"/>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eastAsia" w:ascii="Times New Roman"/>
                <w:sz w:val="21"/>
                <w:szCs w:val="21"/>
              </w:rPr>
              <w:t>☑</w:t>
            </w:r>
          </w:p>
        </w:tc>
      </w:tr>
      <w:tr w14:paraId="7ABA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5C65348F">
            <w:pPr>
              <w:jc w:val="center"/>
              <w:rPr>
                <w:rFonts w:ascii="Times New Roman"/>
                <w:sz w:val="21"/>
                <w:szCs w:val="21"/>
              </w:rPr>
            </w:pPr>
          </w:p>
        </w:tc>
        <w:tc>
          <w:tcPr>
            <w:tcW w:w="2576" w:type="dxa"/>
            <w:vMerge w:val="restart"/>
            <w:tcBorders>
              <w:tl2br w:val="nil"/>
              <w:tr2bl w:val="nil"/>
            </w:tcBorders>
            <w:vAlign w:val="center"/>
          </w:tcPr>
          <w:p w14:paraId="1A98476B">
            <w:pPr>
              <w:jc w:val="center"/>
              <w:rPr>
                <w:rFonts w:ascii="Times New Roman"/>
                <w:sz w:val="21"/>
                <w:szCs w:val="21"/>
              </w:rPr>
            </w:pPr>
            <w:r>
              <w:rPr>
                <w:rFonts w:ascii="Times New Roman"/>
                <w:sz w:val="21"/>
                <w:szCs w:val="21"/>
              </w:rPr>
              <w:t>影响途径</w:t>
            </w:r>
          </w:p>
        </w:tc>
        <w:tc>
          <w:tcPr>
            <w:tcW w:w="4963" w:type="dxa"/>
            <w:gridSpan w:val="4"/>
            <w:tcBorders>
              <w:tl2br w:val="nil"/>
              <w:tr2bl w:val="nil"/>
            </w:tcBorders>
            <w:vAlign w:val="center"/>
          </w:tcPr>
          <w:p w14:paraId="67B15BDF">
            <w:pPr>
              <w:jc w:val="center"/>
              <w:rPr>
                <w:rFonts w:ascii="Times New Roman"/>
                <w:sz w:val="21"/>
                <w:szCs w:val="21"/>
              </w:rPr>
            </w:pPr>
            <w:r>
              <w:rPr>
                <w:rFonts w:ascii="Times New Roman"/>
                <w:sz w:val="21"/>
                <w:szCs w:val="21"/>
              </w:rPr>
              <w:t>水污染影响型</w:t>
            </w:r>
          </w:p>
        </w:tc>
        <w:tc>
          <w:tcPr>
            <w:tcW w:w="6174" w:type="dxa"/>
            <w:gridSpan w:val="4"/>
            <w:tcBorders>
              <w:tl2br w:val="nil"/>
              <w:tr2bl w:val="nil"/>
            </w:tcBorders>
            <w:vAlign w:val="center"/>
          </w:tcPr>
          <w:p w14:paraId="5924F23A">
            <w:pPr>
              <w:jc w:val="center"/>
              <w:rPr>
                <w:rFonts w:ascii="Times New Roman"/>
                <w:sz w:val="21"/>
                <w:szCs w:val="21"/>
              </w:rPr>
            </w:pPr>
            <w:r>
              <w:rPr>
                <w:rFonts w:ascii="Times New Roman"/>
                <w:sz w:val="21"/>
                <w:szCs w:val="21"/>
              </w:rPr>
              <w:t>水文要素影响型</w:t>
            </w:r>
          </w:p>
        </w:tc>
      </w:tr>
      <w:tr w14:paraId="75E3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686EACD2">
            <w:pPr>
              <w:jc w:val="center"/>
              <w:rPr>
                <w:rFonts w:ascii="Times New Roman"/>
                <w:sz w:val="21"/>
                <w:szCs w:val="21"/>
              </w:rPr>
            </w:pPr>
          </w:p>
        </w:tc>
        <w:tc>
          <w:tcPr>
            <w:tcW w:w="2576" w:type="dxa"/>
            <w:vMerge w:val="continue"/>
            <w:tcBorders>
              <w:tl2br w:val="nil"/>
              <w:tr2bl w:val="nil"/>
            </w:tcBorders>
            <w:vAlign w:val="center"/>
          </w:tcPr>
          <w:p w14:paraId="135B9B64">
            <w:pPr>
              <w:jc w:val="center"/>
              <w:rPr>
                <w:rFonts w:ascii="Times New Roman"/>
                <w:sz w:val="21"/>
                <w:szCs w:val="21"/>
              </w:rPr>
            </w:pPr>
          </w:p>
        </w:tc>
        <w:tc>
          <w:tcPr>
            <w:tcW w:w="4963" w:type="dxa"/>
            <w:gridSpan w:val="4"/>
            <w:tcBorders>
              <w:tl2br w:val="nil"/>
              <w:tr2bl w:val="nil"/>
            </w:tcBorders>
          </w:tcPr>
          <w:p w14:paraId="59CCE8B1">
            <w:pPr>
              <w:rPr>
                <w:rFonts w:ascii="Times New Roman"/>
                <w:sz w:val="21"/>
                <w:szCs w:val="21"/>
              </w:rPr>
            </w:pPr>
            <w:r>
              <w:rPr>
                <w:rFonts w:ascii="Times New Roman"/>
                <w:sz w:val="21"/>
                <w:szCs w:val="21"/>
              </w:rPr>
              <w:t>直接排放□；间接排放</w:t>
            </w:r>
            <w:r>
              <w:rPr>
                <w:rFonts w:hint="eastAsia" w:ascii="Times New Roman"/>
                <w:sz w:val="21"/>
                <w:szCs w:val="21"/>
              </w:rPr>
              <w:t>☑</w:t>
            </w:r>
            <w:r>
              <w:rPr>
                <w:rFonts w:ascii="Times New Roman"/>
                <w:sz w:val="21"/>
                <w:szCs w:val="21"/>
              </w:rPr>
              <w:t>；其他□</w:t>
            </w:r>
          </w:p>
        </w:tc>
        <w:tc>
          <w:tcPr>
            <w:tcW w:w="6174" w:type="dxa"/>
            <w:gridSpan w:val="4"/>
            <w:tcBorders>
              <w:tl2br w:val="nil"/>
              <w:tr2bl w:val="nil"/>
            </w:tcBorders>
          </w:tcPr>
          <w:p w14:paraId="7D48A4AE">
            <w:pPr>
              <w:rPr>
                <w:rFonts w:ascii="Times New Roman"/>
                <w:sz w:val="21"/>
                <w:szCs w:val="21"/>
              </w:rPr>
            </w:pPr>
            <w:r>
              <w:rPr>
                <w:rFonts w:ascii="Times New Roman"/>
                <w:sz w:val="21"/>
                <w:szCs w:val="21"/>
              </w:rPr>
              <w:t>水温□：径流□；水域面积□</w:t>
            </w:r>
          </w:p>
        </w:tc>
      </w:tr>
      <w:tr w14:paraId="5E27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26" w:type="dxa"/>
            <w:vMerge w:val="continue"/>
            <w:tcBorders>
              <w:tl2br w:val="nil"/>
              <w:tr2bl w:val="nil"/>
            </w:tcBorders>
            <w:vAlign w:val="center"/>
          </w:tcPr>
          <w:p w14:paraId="2227BBD8">
            <w:pPr>
              <w:jc w:val="center"/>
              <w:rPr>
                <w:rFonts w:ascii="Times New Roman"/>
                <w:sz w:val="21"/>
                <w:szCs w:val="21"/>
              </w:rPr>
            </w:pPr>
          </w:p>
        </w:tc>
        <w:tc>
          <w:tcPr>
            <w:tcW w:w="2576" w:type="dxa"/>
            <w:tcBorders>
              <w:tl2br w:val="nil"/>
              <w:tr2bl w:val="nil"/>
            </w:tcBorders>
            <w:vAlign w:val="center"/>
          </w:tcPr>
          <w:p w14:paraId="00E8F211">
            <w:pPr>
              <w:jc w:val="center"/>
              <w:rPr>
                <w:rFonts w:ascii="Times New Roman"/>
                <w:sz w:val="21"/>
                <w:szCs w:val="21"/>
              </w:rPr>
            </w:pPr>
            <w:r>
              <w:rPr>
                <w:rFonts w:ascii="Times New Roman"/>
                <w:sz w:val="21"/>
                <w:szCs w:val="21"/>
              </w:rPr>
              <w:t>影响因子</w:t>
            </w:r>
          </w:p>
        </w:tc>
        <w:tc>
          <w:tcPr>
            <w:tcW w:w="4963" w:type="dxa"/>
            <w:gridSpan w:val="4"/>
            <w:tcBorders>
              <w:tl2br w:val="nil"/>
              <w:tr2bl w:val="nil"/>
            </w:tcBorders>
          </w:tcPr>
          <w:p w14:paraId="340FD215">
            <w:pPr>
              <w:rPr>
                <w:rFonts w:ascii="Times New Roman"/>
                <w:sz w:val="21"/>
                <w:szCs w:val="21"/>
              </w:rPr>
            </w:pPr>
            <w:r>
              <w:rPr>
                <w:rFonts w:ascii="Times New Roman"/>
                <w:sz w:val="21"/>
                <w:szCs w:val="21"/>
              </w:rPr>
              <w:t xml:space="preserve">持久性污染物 </w:t>
            </w:r>
            <w:r>
              <w:rPr>
                <w:rFonts w:hint="eastAsia" w:ascii="Times New Roman"/>
                <w:sz w:val="21"/>
                <w:szCs w:val="21"/>
              </w:rPr>
              <w:t>□</w:t>
            </w:r>
            <w:r>
              <w:rPr>
                <w:rFonts w:ascii="Times New Roman"/>
                <w:sz w:val="21"/>
                <w:szCs w:val="21"/>
              </w:rPr>
              <w:t>；有毒有害污染物□；非持久性污染物</w:t>
            </w:r>
            <w:r>
              <w:rPr>
                <w:rFonts w:hint="eastAsia" w:ascii="Times New Roman"/>
                <w:sz w:val="21"/>
                <w:szCs w:val="21"/>
              </w:rPr>
              <w:t>☑</w:t>
            </w:r>
            <w:r>
              <w:rPr>
                <w:rFonts w:ascii="Times New Roman"/>
                <w:sz w:val="21"/>
                <w:szCs w:val="21"/>
              </w:rPr>
              <w:t>；</w:t>
            </w:r>
          </w:p>
          <w:p w14:paraId="10B0E243">
            <w:pPr>
              <w:rPr>
                <w:rFonts w:ascii="Times New Roman"/>
                <w:sz w:val="21"/>
                <w:szCs w:val="21"/>
              </w:rPr>
            </w:pPr>
            <w:r>
              <w:rPr>
                <w:rFonts w:hint="eastAsia" w:ascii="Times New Roman"/>
                <w:sz w:val="21"/>
                <w:szCs w:val="21"/>
              </w:rPr>
              <w:t>p</w:t>
            </w:r>
            <w:r>
              <w:rPr>
                <w:rFonts w:ascii="Times New Roman"/>
                <w:sz w:val="21"/>
                <w:szCs w:val="21"/>
              </w:rPr>
              <w:t>H值</w:t>
            </w:r>
            <w:r>
              <w:rPr>
                <w:rFonts w:hint="eastAsia" w:ascii="Times New Roman"/>
                <w:sz w:val="21"/>
                <w:szCs w:val="21"/>
              </w:rPr>
              <w:t>☑</w:t>
            </w:r>
            <w:r>
              <w:rPr>
                <w:rFonts w:ascii="Times New Roman"/>
                <w:sz w:val="21"/>
                <w:szCs w:val="21"/>
              </w:rPr>
              <w:t>；热污染□；富营养化</w:t>
            </w:r>
            <w:r>
              <w:rPr>
                <w:rFonts w:hint="eastAsia" w:ascii="Times New Roman"/>
                <w:sz w:val="21"/>
                <w:szCs w:val="21"/>
              </w:rPr>
              <w:t>☑</w:t>
            </w:r>
            <w:r>
              <w:rPr>
                <w:rFonts w:ascii="Times New Roman"/>
                <w:sz w:val="21"/>
                <w:szCs w:val="21"/>
              </w:rPr>
              <w:t>；其他□</w:t>
            </w:r>
          </w:p>
        </w:tc>
        <w:tc>
          <w:tcPr>
            <w:tcW w:w="6174" w:type="dxa"/>
            <w:gridSpan w:val="4"/>
            <w:tcBorders>
              <w:tl2br w:val="nil"/>
              <w:tr2bl w:val="nil"/>
            </w:tcBorders>
            <w:vAlign w:val="center"/>
          </w:tcPr>
          <w:p w14:paraId="3CE6E679">
            <w:pPr>
              <w:rPr>
                <w:rFonts w:ascii="Times New Roman"/>
                <w:sz w:val="21"/>
                <w:szCs w:val="21"/>
              </w:rPr>
            </w:pPr>
            <w:r>
              <w:rPr>
                <w:rFonts w:ascii="Times New Roman"/>
                <w:sz w:val="21"/>
                <w:szCs w:val="21"/>
              </w:rPr>
              <w:t>水温□；水位（水深）□；流速□；流量□；其他□</w:t>
            </w:r>
          </w:p>
        </w:tc>
      </w:tr>
      <w:tr w14:paraId="36DA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102" w:type="dxa"/>
            <w:gridSpan w:val="2"/>
            <w:vMerge w:val="restart"/>
            <w:tcBorders>
              <w:tl2br w:val="nil"/>
              <w:tr2bl w:val="nil"/>
            </w:tcBorders>
            <w:vAlign w:val="center"/>
          </w:tcPr>
          <w:p w14:paraId="6FA7BBC6">
            <w:pPr>
              <w:jc w:val="center"/>
              <w:rPr>
                <w:rFonts w:ascii="Times New Roman"/>
                <w:sz w:val="21"/>
                <w:szCs w:val="21"/>
              </w:rPr>
            </w:pPr>
            <w:r>
              <w:rPr>
                <w:rFonts w:ascii="Times New Roman"/>
                <w:sz w:val="21"/>
                <w:szCs w:val="21"/>
              </w:rPr>
              <w:t>评价等级</w:t>
            </w:r>
          </w:p>
        </w:tc>
        <w:tc>
          <w:tcPr>
            <w:tcW w:w="4963" w:type="dxa"/>
            <w:gridSpan w:val="4"/>
            <w:tcBorders>
              <w:tl2br w:val="nil"/>
              <w:tr2bl w:val="nil"/>
            </w:tcBorders>
          </w:tcPr>
          <w:p w14:paraId="25731C3A">
            <w:pPr>
              <w:jc w:val="center"/>
              <w:rPr>
                <w:rFonts w:ascii="Times New Roman"/>
                <w:sz w:val="21"/>
                <w:szCs w:val="21"/>
              </w:rPr>
            </w:pPr>
            <w:r>
              <w:rPr>
                <w:rFonts w:ascii="Times New Roman"/>
                <w:sz w:val="21"/>
                <w:szCs w:val="21"/>
              </w:rPr>
              <w:t>水污染影响型</w:t>
            </w:r>
          </w:p>
        </w:tc>
        <w:tc>
          <w:tcPr>
            <w:tcW w:w="6174" w:type="dxa"/>
            <w:gridSpan w:val="4"/>
            <w:tcBorders>
              <w:tl2br w:val="nil"/>
              <w:tr2bl w:val="nil"/>
            </w:tcBorders>
          </w:tcPr>
          <w:p w14:paraId="59ED6871">
            <w:pPr>
              <w:jc w:val="center"/>
              <w:rPr>
                <w:rFonts w:ascii="Times New Roman"/>
                <w:sz w:val="21"/>
                <w:szCs w:val="21"/>
              </w:rPr>
            </w:pPr>
            <w:r>
              <w:rPr>
                <w:rFonts w:ascii="Times New Roman"/>
                <w:sz w:val="21"/>
                <w:szCs w:val="21"/>
              </w:rPr>
              <w:t>水文要素影响型</w:t>
            </w:r>
          </w:p>
        </w:tc>
      </w:tr>
      <w:tr w14:paraId="1E8D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102" w:type="dxa"/>
            <w:gridSpan w:val="2"/>
            <w:vMerge w:val="continue"/>
            <w:tcBorders>
              <w:tl2br w:val="nil"/>
              <w:tr2bl w:val="nil"/>
            </w:tcBorders>
            <w:vAlign w:val="center"/>
          </w:tcPr>
          <w:p w14:paraId="374798E6">
            <w:pPr>
              <w:jc w:val="center"/>
              <w:rPr>
                <w:rFonts w:ascii="Times New Roman"/>
                <w:sz w:val="21"/>
                <w:szCs w:val="21"/>
              </w:rPr>
            </w:pPr>
          </w:p>
        </w:tc>
        <w:tc>
          <w:tcPr>
            <w:tcW w:w="4963" w:type="dxa"/>
            <w:gridSpan w:val="4"/>
            <w:tcBorders>
              <w:tl2br w:val="nil"/>
              <w:tr2bl w:val="nil"/>
            </w:tcBorders>
          </w:tcPr>
          <w:p w14:paraId="7B85CC75">
            <w:pPr>
              <w:rPr>
                <w:rFonts w:ascii="Times New Roman"/>
                <w:sz w:val="21"/>
                <w:szCs w:val="21"/>
              </w:rPr>
            </w:pPr>
            <w:r>
              <w:rPr>
                <w:rFonts w:ascii="Times New Roman"/>
                <w:sz w:val="21"/>
                <w:szCs w:val="21"/>
              </w:rPr>
              <w:t>一级□；二级□；三级A□：三级B</w:t>
            </w:r>
            <w:r>
              <w:rPr>
                <w:rFonts w:ascii="Times New Roman"/>
                <w:sz w:val="21"/>
                <w:szCs w:val="21"/>
              </w:rPr>
              <w:sym w:font="Wingdings 2" w:char="0052"/>
            </w:r>
          </w:p>
        </w:tc>
        <w:tc>
          <w:tcPr>
            <w:tcW w:w="6174" w:type="dxa"/>
            <w:gridSpan w:val="4"/>
            <w:tcBorders>
              <w:tl2br w:val="nil"/>
              <w:tr2bl w:val="nil"/>
            </w:tcBorders>
          </w:tcPr>
          <w:p w14:paraId="21E4DC3A">
            <w:pPr>
              <w:rPr>
                <w:rFonts w:ascii="Times New Roman"/>
                <w:sz w:val="21"/>
                <w:szCs w:val="21"/>
              </w:rPr>
            </w:pPr>
            <w:r>
              <w:rPr>
                <w:rFonts w:ascii="Times New Roman"/>
                <w:sz w:val="21"/>
                <w:szCs w:val="21"/>
              </w:rPr>
              <w:t>一级□；二级□；三级□</w:t>
            </w:r>
          </w:p>
        </w:tc>
      </w:tr>
      <w:tr w14:paraId="42E8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restart"/>
            <w:tcBorders>
              <w:tl2br w:val="nil"/>
              <w:tr2bl w:val="nil"/>
            </w:tcBorders>
            <w:vAlign w:val="center"/>
          </w:tcPr>
          <w:p w14:paraId="3CC0F9B3">
            <w:pPr>
              <w:jc w:val="center"/>
              <w:rPr>
                <w:rFonts w:ascii="Times New Roman"/>
                <w:sz w:val="21"/>
                <w:szCs w:val="21"/>
              </w:rPr>
            </w:pPr>
            <w:r>
              <w:rPr>
                <w:rFonts w:ascii="Times New Roman"/>
                <w:sz w:val="21"/>
                <w:szCs w:val="21"/>
              </w:rPr>
              <w:t>现状调查</w:t>
            </w:r>
          </w:p>
        </w:tc>
        <w:tc>
          <w:tcPr>
            <w:tcW w:w="2576" w:type="dxa"/>
            <w:vMerge w:val="restart"/>
            <w:tcBorders>
              <w:tl2br w:val="nil"/>
              <w:tr2bl w:val="nil"/>
            </w:tcBorders>
            <w:vAlign w:val="center"/>
          </w:tcPr>
          <w:p w14:paraId="77316801">
            <w:pPr>
              <w:jc w:val="center"/>
              <w:rPr>
                <w:rFonts w:ascii="Times New Roman"/>
                <w:sz w:val="21"/>
                <w:szCs w:val="21"/>
              </w:rPr>
            </w:pPr>
            <w:r>
              <w:rPr>
                <w:rFonts w:ascii="Times New Roman"/>
                <w:sz w:val="21"/>
                <w:szCs w:val="21"/>
              </w:rPr>
              <w:t>区域污染源</w:t>
            </w:r>
          </w:p>
        </w:tc>
        <w:tc>
          <w:tcPr>
            <w:tcW w:w="4963" w:type="dxa"/>
            <w:gridSpan w:val="4"/>
            <w:tcBorders>
              <w:tl2br w:val="nil"/>
              <w:tr2bl w:val="nil"/>
            </w:tcBorders>
            <w:vAlign w:val="center"/>
          </w:tcPr>
          <w:p w14:paraId="089E357A">
            <w:pPr>
              <w:jc w:val="center"/>
              <w:rPr>
                <w:rFonts w:ascii="Times New Roman"/>
                <w:sz w:val="21"/>
                <w:szCs w:val="21"/>
              </w:rPr>
            </w:pPr>
            <w:r>
              <w:rPr>
                <w:rFonts w:ascii="Times New Roman"/>
                <w:sz w:val="21"/>
                <w:szCs w:val="21"/>
              </w:rPr>
              <w:t>调查项目</w:t>
            </w:r>
          </w:p>
        </w:tc>
        <w:tc>
          <w:tcPr>
            <w:tcW w:w="6174" w:type="dxa"/>
            <w:gridSpan w:val="4"/>
            <w:tcBorders>
              <w:tl2br w:val="nil"/>
              <w:tr2bl w:val="nil"/>
            </w:tcBorders>
            <w:vAlign w:val="center"/>
          </w:tcPr>
          <w:p w14:paraId="5D42442F">
            <w:pPr>
              <w:jc w:val="center"/>
              <w:rPr>
                <w:rFonts w:ascii="Times New Roman"/>
                <w:sz w:val="21"/>
                <w:szCs w:val="21"/>
              </w:rPr>
            </w:pPr>
            <w:r>
              <w:rPr>
                <w:rFonts w:ascii="Times New Roman"/>
                <w:sz w:val="21"/>
                <w:szCs w:val="21"/>
              </w:rPr>
              <w:t>数据来源</w:t>
            </w:r>
          </w:p>
        </w:tc>
      </w:tr>
      <w:tr w14:paraId="71EF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3A7798EE">
            <w:pPr>
              <w:jc w:val="center"/>
              <w:rPr>
                <w:rFonts w:ascii="Times New Roman"/>
                <w:sz w:val="21"/>
                <w:szCs w:val="21"/>
              </w:rPr>
            </w:pPr>
          </w:p>
        </w:tc>
        <w:tc>
          <w:tcPr>
            <w:tcW w:w="2576" w:type="dxa"/>
            <w:vMerge w:val="continue"/>
            <w:tcBorders>
              <w:tl2br w:val="nil"/>
              <w:tr2bl w:val="nil"/>
            </w:tcBorders>
            <w:vAlign w:val="center"/>
          </w:tcPr>
          <w:p w14:paraId="31BD5761">
            <w:pPr>
              <w:jc w:val="center"/>
              <w:rPr>
                <w:rFonts w:ascii="Times New Roman"/>
                <w:sz w:val="21"/>
                <w:szCs w:val="21"/>
              </w:rPr>
            </w:pPr>
          </w:p>
        </w:tc>
        <w:tc>
          <w:tcPr>
            <w:tcW w:w="2638" w:type="dxa"/>
            <w:gridSpan w:val="2"/>
            <w:tcBorders>
              <w:tl2br w:val="nil"/>
              <w:tr2bl w:val="nil"/>
            </w:tcBorders>
          </w:tcPr>
          <w:p w14:paraId="78E990D1">
            <w:pPr>
              <w:rPr>
                <w:rFonts w:ascii="Times New Roman"/>
                <w:sz w:val="21"/>
                <w:szCs w:val="21"/>
              </w:rPr>
            </w:pPr>
            <w:r>
              <w:rPr>
                <w:rFonts w:ascii="Times New Roman"/>
                <w:sz w:val="21"/>
                <w:szCs w:val="21"/>
              </w:rPr>
              <w:t>已建□；在建□；拟建□；其他□</w:t>
            </w:r>
          </w:p>
        </w:tc>
        <w:tc>
          <w:tcPr>
            <w:tcW w:w="2325" w:type="dxa"/>
            <w:gridSpan w:val="2"/>
            <w:tcBorders>
              <w:tl2br w:val="nil"/>
              <w:tr2bl w:val="nil"/>
            </w:tcBorders>
            <w:vAlign w:val="center"/>
          </w:tcPr>
          <w:p w14:paraId="2ADF1029">
            <w:pPr>
              <w:rPr>
                <w:rFonts w:ascii="Times New Roman"/>
                <w:sz w:val="21"/>
                <w:szCs w:val="21"/>
              </w:rPr>
            </w:pPr>
            <w:r>
              <w:rPr>
                <w:rFonts w:ascii="Times New Roman"/>
                <w:sz w:val="21"/>
                <w:szCs w:val="21"/>
              </w:rPr>
              <w:t>拟替代的污染源□</w:t>
            </w:r>
          </w:p>
        </w:tc>
        <w:tc>
          <w:tcPr>
            <w:tcW w:w="6174" w:type="dxa"/>
            <w:gridSpan w:val="4"/>
            <w:tcBorders>
              <w:tl2br w:val="nil"/>
              <w:tr2bl w:val="nil"/>
            </w:tcBorders>
          </w:tcPr>
          <w:p w14:paraId="75D80F95">
            <w:pPr>
              <w:rPr>
                <w:rFonts w:ascii="Times New Roman"/>
                <w:sz w:val="21"/>
                <w:szCs w:val="21"/>
              </w:rPr>
            </w:pPr>
            <w:r>
              <w:rPr>
                <w:rFonts w:ascii="Times New Roman"/>
                <w:sz w:val="21"/>
                <w:szCs w:val="21"/>
              </w:rPr>
              <w:t>排污许可证□；环评□；环保验收□；既有实测□；现场监测□；入河排放口数据□；其他□</w:t>
            </w:r>
          </w:p>
        </w:tc>
      </w:tr>
      <w:tr w14:paraId="73C3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0DEDE52E">
            <w:pPr>
              <w:jc w:val="center"/>
              <w:rPr>
                <w:rFonts w:ascii="Times New Roman"/>
                <w:sz w:val="21"/>
                <w:szCs w:val="21"/>
              </w:rPr>
            </w:pPr>
          </w:p>
        </w:tc>
        <w:tc>
          <w:tcPr>
            <w:tcW w:w="2576" w:type="dxa"/>
            <w:vMerge w:val="restart"/>
            <w:tcBorders>
              <w:tl2br w:val="nil"/>
              <w:tr2bl w:val="nil"/>
            </w:tcBorders>
            <w:vAlign w:val="center"/>
          </w:tcPr>
          <w:p w14:paraId="60690E96">
            <w:pPr>
              <w:jc w:val="center"/>
              <w:rPr>
                <w:rFonts w:ascii="Times New Roman"/>
                <w:sz w:val="21"/>
                <w:szCs w:val="21"/>
              </w:rPr>
            </w:pPr>
            <w:r>
              <w:rPr>
                <w:rFonts w:ascii="Times New Roman"/>
                <w:sz w:val="21"/>
                <w:szCs w:val="21"/>
              </w:rPr>
              <w:t>受影响水体水环境质量</w:t>
            </w:r>
          </w:p>
        </w:tc>
        <w:tc>
          <w:tcPr>
            <w:tcW w:w="4963" w:type="dxa"/>
            <w:gridSpan w:val="4"/>
            <w:tcBorders>
              <w:tl2br w:val="nil"/>
              <w:tr2bl w:val="nil"/>
            </w:tcBorders>
            <w:vAlign w:val="center"/>
          </w:tcPr>
          <w:p w14:paraId="2BD43148">
            <w:pPr>
              <w:jc w:val="center"/>
              <w:rPr>
                <w:rFonts w:ascii="Times New Roman"/>
                <w:sz w:val="21"/>
                <w:szCs w:val="21"/>
              </w:rPr>
            </w:pPr>
            <w:r>
              <w:rPr>
                <w:rFonts w:ascii="Times New Roman"/>
                <w:sz w:val="21"/>
                <w:szCs w:val="21"/>
              </w:rPr>
              <w:t>调查时期</w:t>
            </w:r>
          </w:p>
        </w:tc>
        <w:tc>
          <w:tcPr>
            <w:tcW w:w="6174" w:type="dxa"/>
            <w:gridSpan w:val="4"/>
            <w:tcBorders>
              <w:tl2br w:val="nil"/>
              <w:tr2bl w:val="nil"/>
            </w:tcBorders>
            <w:vAlign w:val="center"/>
          </w:tcPr>
          <w:p w14:paraId="31325D19">
            <w:pPr>
              <w:jc w:val="center"/>
              <w:rPr>
                <w:rFonts w:ascii="Times New Roman"/>
                <w:sz w:val="21"/>
                <w:szCs w:val="21"/>
              </w:rPr>
            </w:pPr>
            <w:r>
              <w:rPr>
                <w:rFonts w:ascii="Times New Roman"/>
                <w:sz w:val="21"/>
                <w:szCs w:val="21"/>
              </w:rPr>
              <w:t>数据来源</w:t>
            </w:r>
          </w:p>
        </w:tc>
      </w:tr>
      <w:tr w14:paraId="387C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3585E1CB">
            <w:pPr>
              <w:jc w:val="center"/>
              <w:rPr>
                <w:rFonts w:ascii="Times New Roman"/>
                <w:sz w:val="21"/>
                <w:szCs w:val="21"/>
              </w:rPr>
            </w:pPr>
          </w:p>
        </w:tc>
        <w:tc>
          <w:tcPr>
            <w:tcW w:w="2576" w:type="dxa"/>
            <w:vMerge w:val="continue"/>
            <w:tcBorders>
              <w:tl2br w:val="nil"/>
              <w:tr2bl w:val="nil"/>
            </w:tcBorders>
            <w:vAlign w:val="center"/>
          </w:tcPr>
          <w:p w14:paraId="5AA85C0A">
            <w:pPr>
              <w:jc w:val="center"/>
              <w:rPr>
                <w:rFonts w:ascii="Times New Roman"/>
                <w:sz w:val="21"/>
                <w:szCs w:val="21"/>
              </w:rPr>
            </w:pPr>
          </w:p>
        </w:tc>
        <w:tc>
          <w:tcPr>
            <w:tcW w:w="4963" w:type="dxa"/>
            <w:gridSpan w:val="4"/>
            <w:tcBorders>
              <w:tl2br w:val="nil"/>
              <w:tr2bl w:val="nil"/>
            </w:tcBorders>
          </w:tcPr>
          <w:p w14:paraId="7F7E6D67">
            <w:pPr>
              <w:rPr>
                <w:rFonts w:ascii="Times New Roman"/>
                <w:sz w:val="21"/>
                <w:szCs w:val="21"/>
              </w:rPr>
            </w:pPr>
            <w:r>
              <w:rPr>
                <w:rFonts w:ascii="Times New Roman"/>
                <w:sz w:val="21"/>
                <w:szCs w:val="21"/>
              </w:rPr>
              <w:t>丰水期□；平水期□；枯水期□；冰封期□</w:t>
            </w:r>
          </w:p>
          <w:p w14:paraId="17472852">
            <w:pPr>
              <w:rPr>
                <w:rFonts w:ascii="Times New Roman"/>
                <w:sz w:val="21"/>
                <w:szCs w:val="21"/>
              </w:rPr>
            </w:pPr>
            <w:r>
              <w:rPr>
                <w:rFonts w:ascii="Times New Roman"/>
                <w:sz w:val="21"/>
                <w:szCs w:val="21"/>
              </w:rPr>
              <w:t>春季□；夏季□；秋季□；冬季□</w:t>
            </w:r>
          </w:p>
        </w:tc>
        <w:tc>
          <w:tcPr>
            <w:tcW w:w="6174" w:type="dxa"/>
            <w:gridSpan w:val="4"/>
            <w:tcBorders>
              <w:tl2br w:val="nil"/>
              <w:tr2bl w:val="nil"/>
            </w:tcBorders>
            <w:vAlign w:val="center"/>
          </w:tcPr>
          <w:p w14:paraId="3748B95E">
            <w:pPr>
              <w:rPr>
                <w:rFonts w:ascii="Times New Roman"/>
                <w:sz w:val="21"/>
                <w:szCs w:val="21"/>
              </w:rPr>
            </w:pPr>
            <w:r>
              <w:rPr>
                <w:rFonts w:ascii="Times New Roman"/>
                <w:sz w:val="21"/>
                <w:szCs w:val="21"/>
              </w:rPr>
              <w:t>生态环境保护主管部门□；补充监测□；其他□</w:t>
            </w:r>
          </w:p>
        </w:tc>
      </w:tr>
      <w:tr w14:paraId="2274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7D6CE4CF">
            <w:pPr>
              <w:jc w:val="center"/>
              <w:rPr>
                <w:rFonts w:ascii="Times New Roman"/>
                <w:sz w:val="21"/>
                <w:szCs w:val="21"/>
              </w:rPr>
            </w:pPr>
          </w:p>
        </w:tc>
        <w:tc>
          <w:tcPr>
            <w:tcW w:w="2576" w:type="dxa"/>
            <w:tcBorders>
              <w:tl2br w:val="nil"/>
              <w:tr2bl w:val="nil"/>
            </w:tcBorders>
            <w:vAlign w:val="center"/>
          </w:tcPr>
          <w:p w14:paraId="5E0875B4">
            <w:pPr>
              <w:jc w:val="center"/>
              <w:rPr>
                <w:rFonts w:ascii="Times New Roman"/>
                <w:sz w:val="21"/>
                <w:szCs w:val="21"/>
              </w:rPr>
            </w:pPr>
            <w:r>
              <w:rPr>
                <w:rFonts w:ascii="Times New Roman"/>
                <w:sz w:val="21"/>
                <w:szCs w:val="21"/>
              </w:rPr>
              <w:t>区域水资源开发利用状况</w:t>
            </w:r>
          </w:p>
        </w:tc>
        <w:tc>
          <w:tcPr>
            <w:tcW w:w="11137" w:type="dxa"/>
            <w:gridSpan w:val="8"/>
            <w:tcBorders>
              <w:tl2br w:val="nil"/>
              <w:tr2bl w:val="nil"/>
            </w:tcBorders>
          </w:tcPr>
          <w:p w14:paraId="5AC16A7D">
            <w:pPr>
              <w:rPr>
                <w:rFonts w:ascii="Times New Roman"/>
                <w:sz w:val="21"/>
                <w:szCs w:val="21"/>
              </w:rPr>
            </w:pPr>
            <w:r>
              <w:rPr>
                <w:rFonts w:ascii="Times New Roman"/>
                <w:sz w:val="21"/>
                <w:szCs w:val="21"/>
              </w:rPr>
              <w:t>未开发□；开发量40%以下□；开发量40%以上□</w:t>
            </w:r>
          </w:p>
        </w:tc>
      </w:tr>
      <w:tr w14:paraId="219B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51A0A024">
            <w:pPr>
              <w:jc w:val="center"/>
              <w:rPr>
                <w:rFonts w:ascii="Times New Roman"/>
                <w:sz w:val="21"/>
                <w:szCs w:val="21"/>
              </w:rPr>
            </w:pPr>
          </w:p>
        </w:tc>
        <w:tc>
          <w:tcPr>
            <w:tcW w:w="2576" w:type="dxa"/>
            <w:vMerge w:val="restart"/>
            <w:tcBorders>
              <w:tl2br w:val="nil"/>
              <w:tr2bl w:val="nil"/>
            </w:tcBorders>
            <w:vAlign w:val="center"/>
          </w:tcPr>
          <w:p w14:paraId="174CD163">
            <w:pPr>
              <w:jc w:val="center"/>
              <w:rPr>
                <w:rFonts w:ascii="Times New Roman"/>
                <w:sz w:val="21"/>
                <w:szCs w:val="21"/>
              </w:rPr>
            </w:pPr>
            <w:r>
              <w:rPr>
                <w:rFonts w:ascii="Times New Roman"/>
                <w:sz w:val="21"/>
                <w:szCs w:val="21"/>
              </w:rPr>
              <w:t>水文情势调查</w:t>
            </w:r>
          </w:p>
        </w:tc>
        <w:tc>
          <w:tcPr>
            <w:tcW w:w="4963" w:type="dxa"/>
            <w:gridSpan w:val="4"/>
            <w:tcBorders>
              <w:tl2br w:val="nil"/>
              <w:tr2bl w:val="nil"/>
            </w:tcBorders>
            <w:vAlign w:val="center"/>
          </w:tcPr>
          <w:p w14:paraId="6DB03F35">
            <w:pPr>
              <w:jc w:val="center"/>
              <w:rPr>
                <w:rFonts w:ascii="Times New Roman"/>
                <w:sz w:val="21"/>
                <w:szCs w:val="21"/>
              </w:rPr>
            </w:pPr>
            <w:r>
              <w:rPr>
                <w:rFonts w:ascii="Times New Roman"/>
                <w:sz w:val="21"/>
                <w:szCs w:val="21"/>
              </w:rPr>
              <w:t>调查时期</w:t>
            </w:r>
          </w:p>
        </w:tc>
        <w:tc>
          <w:tcPr>
            <w:tcW w:w="6174" w:type="dxa"/>
            <w:gridSpan w:val="4"/>
            <w:tcBorders>
              <w:tl2br w:val="nil"/>
              <w:tr2bl w:val="nil"/>
            </w:tcBorders>
            <w:vAlign w:val="center"/>
          </w:tcPr>
          <w:p w14:paraId="304F30ED">
            <w:pPr>
              <w:jc w:val="center"/>
              <w:rPr>
                <w:rFonts w:ascii="Times New Roman"/>
                <w:sz w:val="21"/>
                <w:szCs w:val="21"/>
              </w:rPr>
            </w:pPr>
            <w:r>
              <w:rPr>
                <w:rFonts w:ascii="Times New Roman"/>
                <w:sz w:val="21"/>
                <w:szCs w:val="21"/>
              </w:rPr>
              <w:t>数据来源</w:t>
            </w:r>
          </w:p>
        </w:tc>
      </w:tr>
      <w:tr w14:paraId="4794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178ABA10">
            <w:pPr>
              <w:jc w:val="center"/>
              <w:rPr>
                <w:rFonts w:ascii="Times New Roman"/>
                <w:sz w:val="21"/>
                <w:szCs w:val="21"/>
              </w:rPr>
            </w:pPr>
          </w:p>
        </w:tc>
        <w:tc>
          <w:tcPr>
            <w:tcW w:w="2576" w:type="dxa"/>
            <w:vMerge w:val="continue"/>
            <w:tcBorders>
              <w:tl2br w:val="nil"/>
              <w:tr2bl w:val="nil"/>
            </w:tcBorders>
            <w:vAlign w:val="center"/>
          </w:tcPr>
          <w:p w14:paraId="01E275BA">
            <w:pPr>
              <w:jc w:val="center"/>
              <w:rPr>
                <w:rFonts w:ascii="Times New Roman"/>
                <w:sz w:val="21"/>
                <w:szCs w:val="21"/>
              </w:rPr>
            </w:pPr>
          </w:p>
        </w:tc>
        <w:tc>
          <w:tcPr>
            <w:tcW w:w="4963" w:type="dxa"/>
            <w:gridSpan w:val="4"/>
            <w:tcBorders>
              <w:tl2br w:val="nil"/>
              <w:tr2bl w:val="nil"/>
            </w:tcBorders>
          </w:tcPr>
          <w:p w14:paraId="15CFF151">
            <w:pPr>
              <w:rPr>
                <w:rFonts w:ascii="Times New Roman"/>
                <w:sz w:val="21"/>
                <w:szCs w:val="21"/>
              </w:rPr>
            </w:pPr>
            <w:r>
              <w:rPr>
                <w:rFonts w:ascii="Times New Roman"/>
                <w:sz w:val="21"/>
                <w:szCs w:val="21"/>
              </w:rPr>
              <w:t>丰水期□；平水期□；枯水期□；冰封期（春季□；夏季□；秋季□；冬季□</w:t>
            </w:r>
          </w:p>
        </w:tc>
        <w:tc>
          <w:tcPr>
            <w:tcW w:w="6174" w:type="dxa"/>
            <w:gridSpan w:val="4"/>
            <w:tcBorders>
              <w:tl2br w:val="nil"/>
              <w:tr2bl w:val="nil"/>
            </w:tcBorders>
            <w:vAlign w:val="center"/>
          </w:tcPr>
          <w:p w14:paraId="74BB91CB">
            <w:pPr>
              <w:rPr>
                <w:rFonts w:ascii="Times New Roman"/>
                <w:sz w:val="21"/>
                <w:szCs w:val="21"/>
              </w:rPr>
            </w:pPr>
            <w:r>
              <w:rPr>
                <w:rFonts w:ascii="Times New Roman"/>
                <w:sz w:val="21"/>
                <w:szCs w:val="21"/>
              </w:rPr>
              <w:t>水行政主管部门□；补充监测□；其他□</w:t>
            </w:r>
          </w:p>
        </w:tc>
      </w:tr>
      <w:tr w14:paraId="4C3F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20D17BFC">
            <w:pPr>
              <w:jc w:val="center"/>
              <w:rPr>
                <w:rFonts w:ascii="Times New Roman"/>
                <w:sz w:val="21"/>
                <w:szCs w:val="21"/>
              </w:rPr>
            </w:pPr>
          </w:p>
        </w:tc>
        <w:tc>
          <w:tcPr>
            <w:tcW w:w="2576" w:type="dxa"/>
            <w:vMerge w:val="restart"/>
            <w:tcBorders>
              <w:tl2br w:val="nil"/>
              <w:tr2bl w:val="nil"/>
            </w:tcBorders>
            <w:vAlign w:val="center"/>
          </w:tcPr>
          <w:p w14:paraId="75B1281C">
            <w:pPr>
              <w:jc w:val="center"/>
              <w:rPr>
                <w:rFonts w:ascii="Times New Roman"/>
                <w:sz w:val="21"/>
                <w:szCs w:val="21"/>
              </w:rPr>
            </w:pPr>
            <w:r>
              <w:rPr>
                <w:rFonts w:ascii="Times New Roman"/>
                <w:sz w:val="21"/>
                <w:szCs w:val="21"/>
              </w:rPr>
              <w:t>补充监测</w:t>
            </w:r>
          </w:p>
        </w:tc>
        <w:tc>
          <w:tcPr>
            <w:tcW w:w="4963" w:type="dxa"/>
            <w:gridSpan w:val="4"/>
            <w:tcBorders>
              <w:tl2br w:val="nil"/>
              <w:tr2bl w:val="nil"/>
            </w:tcBorders>
            <w:vAlign w:val="center"/>
          </w:tcPr>
          <w:p w14:paraId="33A69646">
            <w:pPr>
              <w:jc w:val="center"/>
              <w:rPr>
                <w:rFonts w:ascii="Times New Roman"/>
                <w:sz w:val="21"/>
                <w:szCs w:val="21"/>
              </w:rPr>
            </w:pPr>
            <w:r>
              <w:rPr>
                <w:rFonts w:ascii="Times New Roman"/>
                <w:sz w:val="21"/>
                <w:szCs w:val="21"/>
              </w:rPr>
              <w:t>监测时期</w:t>
            </w:r>
          </w:p>
        </w:tc>
        <w:tc>
          <w:tcPr>
            <w:tcW w:w="3178" w:type="dxa"/>
            <w:gridSpan w:val="2"/>
            <w:tcBorders>
              <w:tl2br w:val="nil"/>
              <w:tr2bl w:val="nil"/>
            </w:tcBorders>
            <w:vAlign w:val="center"/>
          </w:tcPr>
          <w:p w14:paraId="5E909D0E">
            <w:pPr>
              <w:jc w:val="center"/>
              <w:rPr>
                <w:rFonts w:ascii="Times New Roman"/>
                <w:sz w:val="21"/>
                <w:szCs w:val="21"/>
              </w:rPr>
            </w:pPr>
            <w:r>
              <w:rPr>
                <w:rFonts w:ascii="Times New Roman"/>
                <w:sz w:val="21"/>
                <w:szCs w:val="21"/>
              </w:rPr>
              <w:t>监测因子</w:t>
            </w:r>
          </w:p>
        </w:tc>
        <w:tc>
          <w:tcPr>
            <w:tcW w:w="2996" w:type="dxa"/>
            <w:gridSpan w:val="2"/>
            <w:tcBorders>
              <w:tl2br w:val="nil"/>
              <w:tr2bl w:val="nil"/>
            </w:tcBorders>
            <w:vAlign w:val="center"/>
          </w:tcPr>
          <w:p w14:paraId="43997548">
            <w:pPr>
              <w:jc w:val="center"/>
              <w:rPr>
                <w:rFonts w:ascii="Times New Roman"/>
                <w:sz w:val="21"/>
                <w:szCs w:val="21"/>
              </w:rPr>
            </w:pPr>
            <w:r>
              <w:rPr>
                <w:rFonts w:ascii="Times New Roman"/>
                <w:sz w:val="21"/>
                <w:szCs w:val="21"/>
              </w:rPr>
              <w:t>监测断面或点位</w:t>
            </w:r>
          </w:p>
        </w:tc>
      </w:tr>
      <w:tr w14:paraId="54B9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25CFD7A4">
            <w:pPr>
              <w:jc w:val="center"/>
              <w:rPr>
                <w:rFonts w:ascii="Times New Roman"/>
                <w:sz w:val="21"/>
                <w:szCs w:val="21"/>
              </w:rPr>
            </w:pPr>
          </w:p>
        </w:tc>
        <w:tc>
          <w:tcPr>
            <w:tcW w:w="2576" w:type="dxa"/>
            <w:vMerge w:val="continue"/>
            <w:tcBorders>
              <w:tl2br w:val="nil"/>
              <w:tr2bl w:val="nil"/>
            </w:tcBorders>
            <w:vAlign w:val="center"/>
          </w:tcPr>
          <w:p w14:paraId="6B06C5D3">
            <w:pPr>
              <w:jc w:val="center"/>
              <w:rPr>
                <w:rFonts w:ascii="Times New Roman"/>
                <w:sz w:val="21"/>
                <w:szCs w:val="21"/>
              </w:rPr>
            </w:pPr>
          </w:p>
        </w:tc>
        <w:tc>
          <w:tcPr>
            <w:tcW w:w="4963" w:type="dxa"/>
            <w:gridSpan w:val="4"/>
            <w:tcBorders>
              <w:tl2br w:val="nil"/>
              <w:tr2bl w:val="nil"/>
            </w:tcBorders>
          </w:tcPr>
          <w:p w14:paraId="15837A97">
            <w:pPr>
              <w:rPr>
                <w:rFonts w:ascii="Times New Roman"/>
                <w:sz w:val="21"/>
                <w:szCs w:val="21"/>
              </w:rPr>
            </w:pPr>
            <w:r>
              <w:rPr>
                <w:rFonts w:ascii="Times New Roman"/>
                <w:sz w:val="21"/>
                <w:szCs w:val="21"/>
              </w:rPr>
              <w:t>丰水期□；平水期□；枯水期□；冰封期□春季□；夏季□；秋季□；冬季□</w:t>
            </w:r>
          </w:p>
        </w:tc>
        <w:tc>
          <w:tcPr>
            <w:tcW w:w="3178" w:type="dxa"/>
            <w:gridSpan w:val="2"/>
            <w:tcBorders>
              <w:tl2br w:val="nil"/>
              <w:tr2bl w:val="nil"/>
            </w:tcBorders>
            <w:vAlign w:val="center"/>
          </w:tcPr>
          <w:p w14:paraId="43DAFD63">
            <w:pPr>
              <w:jc w:val="center"/>
              <w:rPr>
                <w:rFonts w:ascii="Times New Roman"/>
                <w:sz w:val="21"/>
                <w:szCs w:val="21"/>
              </w:rPr>
            </w:pPr>
            <w:r>
              <w:rPr>
                <w:rFonts w:ascii="Times New Roman"/>
                <w:sz w:val="21"/>
                <w:szCs w:val="21"/>
              </w:rPr>
              <w:t>（   ）</w:t>
            </w:r>
          </w:p>
        </w:tc>
        <w:tc>
          <w:tcPr>
            <w:tcW w:w="2996" w:type="dxa"/>
            <w:gridSpan w:val="2"/>
            <w:tcBorders>
              <w:tl2br w:val="nil"/>
              <w:tr2bl w:val="nil"/>
            </w:tcBorders>
          </w:tcPr>
          <w:p w14:paraId="066ABBF5">
            <w:pPr>
              <w:rPr>
                <w:rFonts w:ascii="Times New Roman"/>
                <w:sz w:val="21"/>
                <w:szCs w:val="21"/>
              </w:rPr>
            </w:pPr>
            <w:r>
              <w:rPr>
                <w:rFonts w:ascii="Times New Roman"/>
                <w:sz w:val="21"/>
                <w:szCs w:val="21"/>
              </w:rPr>
              <w:t>监测断面或点位个数（）个</w:t>
            </w:r>
          </w:p>
        </w:tc>
      </w:tr>
      <w:tr w14:paraId="75A9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restart"/>
            <w:tcBorders>
              <w:tl2br w:val="nil"/>
              <w:tr2bl w:val="nil"/>
            </w:tcBorders>
            <w:vAlign w:val="center"/>
          </w:tcPr>
          <w:p w14:paraId="378DEA59">
            <w:pPr>
              <w:jc w:val="center"/>
              <w:rPr>
                <w:rFonts w:ascii="Times New Roman"/>
                <w:sz w:val="21"/>
                <w:szCs w:val="21"/>
              </w:rPr>
            </w:pPr>
            <w:r>
              <w:rPr>
                <w:rFonts w:ascii="Times New Roman"/>
                <w:sz w:val="21"/>
                <w:szCs w:val="21"/>
              </w:rPr>
              <w:t>现状评价</w:t>
            </w:r>
          </w:p>
        </w:tc>
        <w:tc>
          <w:tcPr>
            <w:tcW w:w="2576" w:type="dxa"/>
            <w:tcBorders>
              <w:tl2br w:val="nil"/>
              <w:tr2bl w:val="nil"/>
            </w:tcBorders>
            <w:vAlign w:val="center"/>
          </w:tcPr>
          <w:p w14:paraId="3EFD69A7">
            <w:pPr>
              <w:jc w:val="center"/>
              <w:rPr>
                <w:rFonts w:ascii="Times New Roman"/>
                <w:sz w:val="21"/>
                <w:szCs w:val="21"/>
              </w:rPr>
            </w:pPr>
            <w:r>
              <w:rPr>
                <w:rFonts w:ascii="Times New Roman"/>
                <w:sz w:val="21"/>
                <w:szCs w:val="21"/>
              </w:rPr>
              <w:t>评价范围</w:t>
            </w:r>
          </w:p>
        </w:tc>
        <w:tc>
          <w:tcPr>
            <w:tcW w:w="11137" w:type="dxa"/>
            <w:gridSpan w:val="8"/>
            <w:tcBorders>
              <w:tl2br w:val="nil"/>
              <w:tr2bl w:val="nil"/>
            </w:tcBorders>
          </w:tcPr>
          <w:p w14:paraId="1AF961DF">
            <w:pPr>
              <w:rPr>
                <w:rFonts w:ascii="Times New Roman"/>
                <w:sz w:val="21"/>
                <w:szCs w:val="21"/>
              </w:rPr>
            </w:pPr>
            <w:r>
              <w:rPr>
                <w:rFonts w:ascii="Times New Roman"/>
                <w:sz w:val="21"/>
                <w:szCs w:val="21"/>
              </w:rPr>
              <w:t>河流：长度（  ）km；湖库、河口及近岸海域：面积（    ）km</w:t>
            </w:r>
            <w:r>
              <w:rPr>
                <w:rFonts w:ascii="Times New Roman"/>
                <w:sz w:val="21"/>
                <w:szCs w:val="21"/>
                <w:vertAlign w:val="superscript"/>
              </w:rPr>
              <w:t>2</w:t>
            </w:r>
          </w:p>
        </w:tc>
      </w:tr>
      <w:tr w14:paraId="0EE7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7BC1CF99">
            <w:pPr>
              <w:jc w:val="center"/>
              <w:rPr>
                <w:rFonts w:ascii="Times New Roman"/>
                <w:sz w:val="21"/>
                <w:szCs w:val="21"/>
              </w:rPr>
            </w:pPr>
          </w:p>
        </w:tc>
        <w:tc>
          <w:tcPr>
            <w:tcW w:w="2576" w:type="dxa"/>
            <w:tcBorders>
              <w:tl2br w:val="nil"/>
              <w:tr2bl w:val="nil"/>
            </w:tcBorders>
            <w:vAlign w:val="center"/>
          </w:tcPr>
          <w:p w14:paraId="773C73CF">
            <w:pPr>
              <w:jc w:val="center"/>
              <w:rPr>
                <w:rFonts w:ascii="Times New Roman"/>
                <w:sz w:val="21"/>
                <w:szCs w:val="21"/>
              </w:rPr>
            </w:pPr>
            <w:r>
              <w:rPr>
                <w:rFonts w:ascii="Times New Roman"/>
                <w:sz w:val="21"/>
                <w:szCs w:val="21"/>
              </w:rPr>
              <w:t>评价因子</w:t>
            </w:r>
          </w:p>
        </w:tc>
        <w:tc>
          <w:tcPr>
            <w:tcW w:w="11137" w:type="dxa"/>
            <w:gridSpan w:val="8"/>
            <w:tcBorders>
              <w:tl2br w:val="nil"/>
              <w:tr2bl w:val="nil"/>
            </w:tcBorders>
          </w:tcPr>
          <w:p w14:paraId="192E6FC1">
            <w:pPr>
              <w:rPr>
                <w:rFonts w:ascii="Times New Roman"/>
                <w:sz w:val="21"/>
                <w:szCs w:val="21"/>
              </w:rPr>
            </w:pPr>
            <w:r>
              <w:rPr>
                <w:rFonts w:ascii="Times New Roman"/>
                <w:sz w:val="21"/>
                <w:szCs w:val="21"/>
              </w:rPr>
              <w:t>（   ）</w:t>
            </w:r>
          </w:p>
        </w:tc>
      </w:tr>
      <w:tr w14:paraId="0111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26" w:type="dxa"/>
            <w:vMerge w:val="continue"/>
            <w:tcBorders>
              <w:tl2br w:val="nil"/>
              <w:tr2bl w:val="nil"/>
            </w:tcBorders>
            <w:vAlign w:val="center"/>
          </w:tcPr>
          <w:p w14:paraId="392D97F9">
            <w:pPr>
              <w:jc w:val="center"/>
              <w:rPr>
                <w:rFonts w:ascii="Times New Roman"/>
                <w:sz w:val="21"/>
                <w:szCs w:val="21"/>
              </w:rPr>
            </w:pPr>
          </w:p>
        </w:tc>
        <w:tc>
          <w:tcPr>
            <w:tcW w:w="2576" w:type="dxa"/>
            <w:tcBorders>
              <w:tl2br w:val="nil"/>
              <w:tr2bl w:val="nil"/>
            </w:tcBorders>
            <w:vAlign w:val="center"/>
          </w:tcPr>
          <w:p w14:paraId="65117465">
            <w:pPr>
              <w:jc w:val="center"/>
              <w:rPr>
                <w:rFonts w:ascii="Times New Roman"/>
                <w:sz w:val="21"/>
                <w:szCs w:val="21"/>
              </w:rPr>
            </w:pPr>
            <w:r>
              <w:rPr>
                <w:rFonts w:ascii="Times New Roman"/>
                <w:sz w:val="21"/>
                <w:szCs w:val="21"/>
              </w:rPr>
              <w:t>评价标准</w:t>
            </w:r>
          </w:p>
        </w:tc>
        <w:tc>
          <w:tcPr>
            <w:tcW w:w="11137" w:type="dxa"/>
            <w:gridSpan w:val="8"/>
            <w:tcBorders>
              <w:tl2br w:val="nil"/>
              <w:tr2bl w:val="nil"/>
            </w:tcBorders>
          </w:tcPr>
          <w:p w14:paraId="61AA3EAA">
            <w:pPr>
              <w:rPr>
                <w:rFonts w:ascii="Times New Roman"/>
                <w:sz w:val="21"/>
                <w:szCs w:val="21"/>
              </w:rPr>
            </w:pPr>
            <w:r>
              <w:rPr>
                <w:rFonts w:ascii="Times New Roman"/>
                <w:sz w:val="21"/>
                <w:szCs w:val="21"/>
              </w:rPr>
              <w:t>河流、湖库、河□：I类□；II类□；III类□；IV类□；V类□</w:t>
            </w:r>
          </w:p>
          <w:p w14:paraId="027F71DD">
            <w:pPr>
              <w:rPr>
                <w:rFonts w:ascii="Times New Roman"/>
                <w:sz w:val="21"/>
                <w:szCs w:val="21"/>
              </w:rPr>
            </w:pPr>
            <w:r>
              <w:rPr>
                <w:rFonts w:ascii="Times New Roman"/>
                <w:sz w:val="21"/>
                <w:szCs w:val="21"/>
              </w:rPr>
              <w:t>近岸海域：第一类 □；第二类□；第三类□；第四类□</w:t>
            </w:r>
          </w:p>
          <w:p w14:paraId="0227569C">
            <w:pPr>
              <w:rPr>
                <w:rFonts w:ascii="Times New Roman"/>
                <w:sz w:val="21"/>
                <w:szCs w:val="21"/>
              </w:rPr>
            </w:pPr>
            <w:r>
              <w:rPr>
                <w:rFonts w:ascii="Times New Roman"/>
                <w:sz w:val="21"/>
                <w:szCs w:val="21"/>
              </w:rPr>
              <w:t>规划年评价标准（    ）</w:t>
            </w:r>
          </w:p>
        </w:tc>
      </w:tr>
      <w:tr w14:paraId="0393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3278A843">
            <w:pPr>
              <w:jc w:val="center"/>
              <w:rPr>
                <w:rFonts w:ascii="Times New Roman"/>
                <w:sz w:val="21"/>
                <w:szCs w:val="21"/>
              </w:rPr>
            </w:pPr>
          </w:p>
        </w:tc>
        <w:tc>
          <w:tcPr>
            <w:tcW w:w="2576" w:type="dxa"/>
            <w:tcBorders>
              <w:tl2br w:val="nil"/>
              <w:tr2bl w:val="nil"/>
            </w:tcBorders>
            <w:vAlign w:val="center"/>
          </w:tcPr>
          <w:p w14:paraId="26BE8A63">
            <w:pPr>
              <w:jc w:val="center"/>
              <w:rPr>
                <w:rFonts w:ascii="Times New Roman"/>
                <w:sz w:val="21"/>
                <w:szCs w:val="21"/>
              </w:rPr>
            </w:pPr>
            <w:r>
              <w:rPr>
                <w:rFonts w:ascii="Times New Roman"/>
                <w:sz w:val="21"/>
                <w:szCs w:val="21"/>
              </w:rPr>
              <w:t>评价时期</w:t>
            </w:r>
          </w:p>
        </w:tc>
        <w:tc>
          <w:tcPr>
            <w:tcW w:w="11137" w:type="dxa"/>
            <w:gridSpan w:val="8"/>
            <w:tcBorders>
              <w:tl2br w:val="nil"/>
              <w:tr2bl w:val="nil"/>
            </w:tcBorders>
          </w:tcPr>
          <w:p w14:paraId="507FE46D">
            <w:pPr>
              <w:rPr>
                <w:rFonts w:ascii="Times New Roman"/>
                <w:sz w:val="21"/>
                <w:szCs w:val="21"/>
              </w:rPr>
            </w:pPr>
            <w:r>
              <w:rPr>
                <w:rFonts w:ascii="Times New Roman"/>
                <w:sz w:val="21"/>
                <w:szCs w:val="21"/>
              </w:rPr>
              <w:t>丰水期□；平水期□；枯水期□；冰封期□</w:t>
            </w:r>
          </w:p>
          <w:p w14:paraId="29C6E16E">
            <w:pPr>
              <w:rPr>
                <w:rFonts w:ascii="Times New Roman"/>
                <w:sz w:val="21"/>
                <w:szCs w:val="21"/>
              </w:rPr>
            </w:pPr>
            <w:r>
              <w:rPr>
                <w:rFonts w:ascii="Times New Roman"/>
                <w:sz w:val="21"/>
                <w:szCs w:val="21"/>
              </w:rPr>
              <w:t>春季□；夏季□；秋季□；冬季 □</w:t>
            </w:r>
          </w:p>
        </w:tc>
      </w:tr>
      <w:tr w14:paraId="1FF2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526" w:type="dxa"/>
            <w:vMerge w:val="continue"/>
            <w:tcBorders>
              <w:tl2br w:val="nil"/>
              <w:tr2bl w:val="nil"/>
            </w:tcBorders>
            <w:vAlign w:val="center"/>
          </w:tcPr>
          <w:p w14:paraId="3C767501">
            <w:pPr>
              <w:jc w:val="center"/>
              <w:rPr>
                <w:rFonts w:ascii="Times New Roman"/>
                <w:sz w:val="21"/>
                <w:szCs w:val="21"/>
              </w:rPr>
            </w:pPr>
          </w:p>
        </w:tc>
        <w:tc>
          <w:tcPr>
            <w:tcW w:w="2576" w:type="dxa"/>
            <w:tcBorders>
              <w:tl2br w:val="nil"/>
              <w:tr2bl w:val="nil"/>
            </w:tcBorders>
            <w:vAlign w:val="center"/>
          </w:tcPr>
          <w:p w14:paraId="286908B9">
            <w:pPr>
              <w:jc w:val="center"/>
              <w:rPr>
                <w:rFonts w:ascii="Times New Roman"/>
                <w:sz w:val="21"/>
                <w:szCs w:val="21"/>
              </w:rPr>
            </w:pPr>
            <w:r>
              <w:rPr>
                <w:rFonts w:ascii="Times New Roman"/>
                <w:sz w:val="21"/>
                <w:szCs w:val="21"/>
              </w:rPr>
              <w:t>评价结论</w:t>
            </w:r>
          </w:p>
        </w:tc>
        <w:tc>
          <w:tcPr>
            <w:tcW w:w="9692" w:type="dxa"/>
            <w:gridSpan w:val="7"/>
            <w:tcBorders>
              <w:tl2br w:val="nil"/>
              <w:tr2bl w:val="nil"/>
            </w:tcBorders>
          </w:tcPr>
          <w:p w14:paraId="79FDF103">
            <w:pPr>
              <w:rPr>
                <w:rFonts w:ascii="Times New Roman"/>
                <w:sz w:val="21"/>
                <w:szCs w:val="21"/>
              </w:rPr>
            </w:pPr>
            <w:r>
              <w:rPr>
                <w:rFonts w:ascii="Times New Roman"/>
                <w:sz w:val="21"/>
                <w:szCs w:val="21"/>
              </w:rPr>
              <w:t>水环境功能区或水功能区、近岸海域环境功能区水质达标状况 □：达标 □； 不达标 □</w:t>
            </w:r>
          </w:p>
          <w:p w14:paraId="090A6435">
            <w:pPr>
              <w:rPr>
                <w:rFonts w:ascii="Times New Roman"/>
                <w:sz w:val="21"/>
                <w:szCs w:val="21"/>
              </w:rPr>
            </w:pPr>
            <w:r>
              <w:rPr>
                <w:rFonts w:ascii="Times New Roman"/>
                <w:sz w:val="21"/>
                <w:szCs w:val="21"/>
              </w:rPr>
              <w:t>水环境控制单元或断面水质达标状况 □： 达标 □；不达标 □</w:t>
            </w:r>
          </w:p>
          <w:p w14:paraId="560CAC1D">
            <w:pPr>
              <w:rPr>
                <w:rFonts w:ascii="Times New Roman"/>
                <w:sz w:val="21"/>
                <w:szCs w:val="21"/>
              </w:rPr>
            </w:pPr>
            <w:r>
              <w:rPr>
                <w:rFonts w:ascii="Times New Roman"/>
                <w:sz w:val="21"/>
                <w:szCs w:val="21"/>
              </w:rPr>
              <w:t>水环境保护目标质量状况□：达标□；不达标□</w:t>
            </w:r>
          </w:p>
          <w:p w14:paraId="12E4B63A">
            <w:pPr>
              <w:rPr>
                <w:rFonts w:ascii="Times New Roman"/>
                <w:sz w:val="21"/>
                <w:szCs w:val="21"/>
              </w:rPr>
            </w:pPr>
            <w:r>
              <w:rPr>
                <w:rFonts w:ascii="Times New Roman"/>
                <w:sz w:val="21"/>
                <w:szCs w:val="21"/>
              </w:rPr>
              <w:t>对照断面、控制断面等代表性断面的水质状况 □：达标 □；不达标□</w:t>
            </w:r>
          </w:p>
          <w:p w14:paraId="6B3ECC85">
            <w:pPr>
              <w:rPr>
                <w:rFonts w:ascii="Times New Roman"/>
                <w:sz w:val="21"/>
                <w:szCs w:val="21"/>
              </w:rPr>
            </w:pPr>
            <w:r>
              <w:rPr>
                <w:rFonts w:ascii="Times New Roman"/>
                <w:sz w:val="21"/>
                <w:szCs w:val="21"/>
              </w:rPr>
              <w:t>底泥污染评价□</w:t>
            </w:r>
          </w:p>
          <w:p w14:paraId="4723FD5C">
            <w:pPr>
              <w:rPr>
                <w:rFonts w:ascii="Times New Roman"/>
                <w:sz w:val="21"/>
                <w:szCs w:val="21"/>
              </w:rPr>
            </w:pPr>
            <w:r>
              <w:rPr>
                <w:rFonts w:ascii="Times New Roman"/>
                <w:sz w:val="21"/>
                <w:szCs w:val="21"/>
              </w:rPr>
              <w:t>水资源与开发利用程度及其水文情势评价□</w:t>
            </w:r>
          </w:p>
          <w:p w14:paraId="53E70B4B">
            <w:pPr>
              <w:rPr>
                <w:rFonts w:ascii="Times New Roman"/>
                <w:sz w:val="21"/>
                <w:szCs w:val="21"/>
              </w:rPr>
            </w:pPr>
            <w:r>
              <w:rPr>
                <w:rFonts w:ascii="Times New Roman"/>
                <w:sz w:val="21"/>
                <w:szCs w:val="21"/>
              </w:rPr>
              <w:t>水环境质量回顾评价 □</w:t>
            </w:r>
          </w:p>
          <w:p w14:paraId="121CE3D1">
            <w:pPr>
              <w:rPr>
                <w:rFonts w:ascii="Times New Roman"/>
                <w:sz w:val="21"/>
                <w:szCs w:val="21"/>
              </w:rPr>
            </w:pPr>
            <w:r>
              <w:rPr>
                <w:rFonts w:ascii="Times New Roman"/>
                <w:sz w:val="21"/>
                <w:szCs w:val="21"/>
              </w:rPr>
              <w:t>流域（区域）水资源（包括水能资源）与开发利用总体状况、生态流量管理要求与现状满足程度、建设项目占用水域空间的水流状况与河湖演变状况□</w:t>
            </w:r>
          </w:p>
        </w:tc>
        <w:tc>
          <w:tcPr>
            <w:tcW w:w="1445" w:type="dxa"/>
            <w:tcBorders>
              <w:tl2br w:val="nil"/>
              <w:tr2bl w:val="nil"/>
            </w:tcBorders>
            <w:vAlign w:val="center"/>
          </w:tcPr>
          <w:p w14:paraId="1DF7EE91">
            <w:pPr>
              <w:rPr>
                <w:rFonts w:ascii="Times New Roman"/>
                <w:sz w:val="21"/>
                <w:szCs w:val="21"/>
              </w:rPr>
            </w:pPr>
            <w:r>
              <w:rPr>
                <w:rFonts w:ascii="Times New Roman"/>
                <w:sz w:val="21"/>
                <w:szCs w:val="21"/>
              </w:rPr>
              <w:t>达标区□</w:t>
            </w:r>
          </w:p>
          <w:p w14:paraId="735F772A">
            <w:pPr>
              <w:rPr>
                <w:rFonts w:ascii="Times New Roman"/>
                <w:sz w:val="21"/>
                <w:szCs w:val="21"/>
              </w:rPr>
            </w:pPr>
            <w:r>
              <w:rPr>
                <w:rFonts w:ascii="Times New Roman"/>
                <w:sz w:val="21"/>
                <w:szCs w:val="21"/>
              </w:rPr>
              <w:t>不达标区□</w:t>
            </w:r>
          </w:p>
        </w:tc>
      </w:tr>
      <w:tr w14:paraId="212F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restart"/>
            <w:tcBorders>
              <w:tl2br w:val="nil"/>
              <w:tr2bl w:val="nil"/>
            </w:tcBorders>
            <w:vAlign w:val="center"/>
          </w:tcPr>
          <w:p w14:paraId="549A35F3">
            <w:pPr>
              <w:jc w:val="center"/>
              <w:rPr>
                <w:rFonts w:ascii="Times New Roman"/>
                <w:sz w:val="21"/>
                <w:szCs w:val="21"/>
              </w:rPr>
            </w:pPr>
            <w:r>
              <w:rPr>
                <w:rFonts w:ascii="Times New Roman"/>
                <w:sz w:val="21"/>
                <w:szCs w:val="21"/>
              </w:rPr>
              <w:t>影响预测</w:t>
            </w:r>
          </w:p>
        </w:tc>
        <w:tc>
          <w:tcPr>
            <w:tcW w:w="2576" w:type="dxa"/>
            <w:tcBorders>
              <w:tl2br w:val="nil"/>
              <w:tr2bl w:val="nil"/>
            </w:tcBorders>
            <w:vAlign w:val="center"/>
          </w:tcPr>
          <w:p w14:paraId="24B106B4">
            <w:pPr>
              <w:jc w:val="center"/>
              <w:rPr>
                <w:rFonts w:ascii="Times New Roman"/>
                <w:sz w:val="21"/>
                <w:szCs w:val="21"/>
              </w:rPr>
            </w:pPr>
            <w:r>
              <w:rPr>
                <w:rFonts w:ascii="Times New Roman"/>
                <w:sz w:val="21"/>
                <w:szCs w:val="21"/>
              </w:rPr>
              <w:t>预测范围</w:t>
            </w:r>
          </w:p>
        </w:tc>
        <w:tc>
          <w:tcPr>
            <w:tcW w:w="11137" w:type="dxa"/>
            <w:gridSpan w:val="8"/>
            <w:tcBorders>
              <w:tl2br w:val="nil"/>
              <w:tr2bl w:val="nil"/>
            </w:tcBorders>
          </w:tcPr>
          <w:p w14:paraId="24DBA049">
            <w:pPr>
              <w:rPr>
                <w:rFonts w:ascii="Times New Roman"/>
                <w:sz w:val="21"/>
                <w:szCs w:val="21"/>
              </w:rPr>
            </w:pPr>
            <w:r>
              <w:rPr>
                <w:rFonts w:ascii="Times New Roman"/>
                <w:sz w:val="21"/>
                <w:szCs w:val="21"/>
              </w:rPr>
              <w:t>河流：长度（   ）km；湖库、河□及近岸海域：面积（    ）km</w:t>
            </w:r>
            <w:r>
              <w:rPr>
                <w:rFonts w:ascii="Times New Roman"/>
                <w:sz w:val="21"/>
                <w:szCs w:val="21"/>
                <w:vertAlign w:val="superscript"/>
              </w:rPr>
              <w:t>2</w:t>
            </w:r>
          </w:p>
        </w:tc>
      </w:tr>
      <w:tr w14:paraId="7F77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126060E8">
            <w:pPr>
              <w:jc w:val="center"/>
              <w:rPr>
                <w:rFonts w:ascii="Times New Roman"/>
                <w:sz w:val="21"/>
                <w:szCs w:val="21"/>
              </w:rPr>
            </w:pPr>
          </w:p>
        </w:tc>
        <w:tc>
          <w:tcPr>
            <w:tcW w:w="2576" w:type="dxa"/>
            <w:tcBorders>
              <w:tl2br w:val="nil"/>
              <w:tr2bl w:val="nil"/>
            </w:tcBorders>
            <w:vAlign w:val="center"/>
          </w:tcPr>
          <w:p w14:paraId="64E84BF9">
            <w:pPr>
              <w:jc w:val="center"/>
              <w:rPr>
                <w:rFonts w:ascii="Times New Roman"/>
                <w:sz w:val="21"/>
                <w:szCs w:val="21"/>
              </w:rPr>
            </w:pPr>
            <w:r>
              <w:rPr>
                <w:rFonts w:ascii="Times New Roman"/>
                <w:sz w:val="21"/>
                <w:szCs w:val="21"/>
              </w:rPr>
              <w:t>预测因子</w:t>
            </w:r>
          </w:p>
        </w:tc>
        <w:tc>
          <w:tcPr>
            <w:tcW w:w="11137" w:type="dxa"/>
            <w:gridSpan w:val="8"/>
            <w:tcBorders>
              <w:tl2br w:val="nil"/>
              <w:tr2bl w:val="nil"/>
            </w:tcBorders>
          </w:tcPr>
          <w:p w14:paraId="45D099B2">
            <w:pPr>
              <w:rPr>
                <w:rFonts w:ascii="Times New Roman"/>
                <w:sz w:val="21"/>
                <w:szCs w:val="21"/>
              </w:rPr>
            </w:pPr>
            <w:r>
              <w:rPr>
                <w:rFonts w:ascii="Times New Roman"/>
                <w:sz w:val="21"/>
                <w:szCs w:val="21"/>
              </w:rPr>
              <w:t>（      ）</w:t>
            </w:r>
          </w:p>
        </w:tc>
      </w:tr>
      <w:tr w14:paraId="2635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26" w:type="dxa"/>
            <w:vMerge w:val="continue"/>
            <w:tcBorders>
              <w:tl2br w:val="nil"/>
              <w:tr2bl w:val="nil"/>
            </w:tcBorders>
            <w:vAlign w:val="center"/>
          </w:tcPr>
          <w:p w14:paraId="18C12E79">
            <w:pPr>
              <w:jc w:val="center"/>
              <w:rPr>
                <w:rFonts w:ascii="Times New Roman"/>
                <w:sz w:val="21"/>
                <w:szCs w:val="21"/>
              </w:rPr>
            </w:pPr>
          </w:p>
        </w:tc>
        <w:tc>
          <w:tcPr>
            <w:tcW w:w="2576" w:type="dxa"/>
            <w:tcBorders>
              <w:tl2br w:val="nil"/>
              <w:tr2bl w:val="nil"/>
            </w:tcBorders>
            <w:vAlign w:val="center"/>
          </w:tcPr>
          <w:p w14:paraId="4B19F60A">
            <w:pPr>
              <w:jc w:val="center"/>
              <w:rPr>
                <w:rFonts w:ascii="Times New Roman"/>
                <w:sz w:val="21"/>
                <w:szCs w:val="21"/>
              </w:rPr>
            </w:pPr>
            <w:r>
              <w:rPr>
                <w:rFonts w:ascii="Times New Roman"/>
                <w:sz w:val="21"/>
                <w:szCs w:val="21"/>
              </w:rPr>
              <w:t>预测时期</w:t>
            </w:r>
          </w:p>
        </w:tc>
        <w:tc>
          <w:tcPr>
            <w:tcW w:w="11137" w:type="dxa"/>
            <w:gridSpan w:val="8"/>
            <w:tcBorders>
              <w:tl2br w:val="nil"/>
              <w:tr2bl w:val="nil"/>
            </w:tcBorders>
          </w:tcPr>
          <w:p w14:paraId="2DA38384">
            <w:pPr>
              <w:rPr>
                <w:rFonts w:ascii="Times New Roman"/>
                <w:sz w:val="21"/>
                <w:szCs w:val="21"/>
              </w:rPr>
            </w:pPr>
            <w:r>
              <w:rPr>
                <w:rFonts w:ascii="Times New Roman"/>
                <w:sz w:val="21"/>
                <w:szCs w:val="21"/>
              </w:rPr>
              <w:t>丰水期□；平水期□；枯水期□；冰封期 □</w:t>
            </w:r>
          </w:p>
          <w:p w14:paraId="5FB1D600">
            <w:pPr>
              <w:rPr>
                <w:rFonts w:ascii="Times New Roman"/>
                <w:sz w:val="21"/>
                <w:szCs w:val="21"/>
              </w:rPr>
            </w:pPr>
            <w:r>
              <w:rPr>
                <w:rFonts w:ascii="Times New Roman"/>
                <w:sz w:val="21"/>
                <w:szCs w:val="21"/>
              </w:rPr>
              <w:t>春季□；夏季□；秋季□；冬季□</w:t>
            </w:r>
          </w:p>
          <w:p w14:paraId="2F619D75">
            <w:pPr>
              <w:rPr>
                <w:rFonts w:ascii="Times New Roman"/>
                <w:sz w:val="21"/>
                <w:szCs w:val="21"/>
              </w:rPr>
            </w:pPr>
            <w:r>
              <w:rPr>
                <w:rFonts w:ascii="Times New Roman"/>
                <w:sz w:val="21"/>
                <w:szCs w:val="21"/>
              </w:rPr>
              <w:t>设计水文条件□</w:t>
            </w:r>
          </w:p>
        </w:tc>
      </w:tr>
      <w:tr w14:paraId="364A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526" w:type="dxa"/>
            <w:vMerge w:val="continue"/>
            <w:tcBorders>
              <w:tl2br w:val="nil"/>
              <w:tr2bl w:val="nil"/>
            </w:tcBorders>
            <w:vAlign w:val="center"/>
          </w:tcPr>
          <w:p w14:paraId="033C6555">
            <w:pPr>
              <w:jc w:val="center"/>
              <w:rPr>
                <w:rFonts w:ascii="Times New Roman"/>
                <w:sz w:val="21"/>
                <w:szCs w:val="21"/>
              </w:rPr>
            </w:pPr>
          </w:p>
        </w:tc>
        <w:tc>
          <w:tcPr>
            <w:tcW w:w="2576" w:type="dxa"/>
            <w:tcBorders>
              <w:tl2br w:val="nil"/>
              <w:tr2bl w:val="nil"/>
            </w:tcBorders>
            <w:vAlign w:val="center"/>
          </w:tcPr>
          <w:p w14:paraId="780FFAEA">
            <w:pPr>
              <w:jc w:val="center"/>
              <w:rPr>
                <w:rFonts w:ascii="Times New Roman"/>
                <w:sz w:val="21"/>
                <w:szCs w:val="21"/>
              </w:rPr>
            </w:pPr>
            <w:r>
              <w:rPr>
                <w:rFonts w:ascii="Times New Roman"/>
                <w:sz w:val="21"/>
                <w:szCs w:val="21"/>
              </w:rPr>
              <w:t>预测情景</w:t>
            </w:r>
          </w:p>
        </w:tc>
        <w:tc>
          <w:tcPr>
            <w:tcW w:w="11137" w:type="dxa"/>
            <w:gridSpan w:val="8"/>
            <w:tcBorders>
              <w:tl2br w:val="nil"/>
              <w:tr2bl w:val="nil"/>
            </w:tcBorders>
          </w:tcPr>
          <w:p w14:paraId="3F4D9FEC">
            <w:pPr>
              <w:rPr>
                <w:rFonts w:ascii="Times New Roman"/>
                <w:sz w:val="21"/>
                <w:szCs w:val="21"/>
              </w:rPr>
            </w:pPr>
            <w:r>
              <w:rPr>
                <w:rFonts w:ascii="Times New Roman"/>
                <w:sz w:val="21"/>
                <w:szCs w:val="21"/>
              </w:rPr>
              <w:t>建设期□；生产运行期□；服务期满后□</w:t>
            </w:r>
          </w:p>
          <w:p w14:paraId="0647D28A">
            <w:pPr>
              <w:rPr>
                <w:rFonts w:ascii="Times New Roman"/>
                <w:sz w:val="21"/>
                <w:szCs w:val="21"/>
              </w:rPr>
            </w:pPr>
            <w:r>
              <w:rPr>
                <w:rFonts w:ascii="Times New Roman"/>
                <w:sz w:val="21"/>
                <w:szCs w:val="21"/>
              </w:rPr>
              <w:t>正常工况□；非正常工况□</w:t>
            </w:r>
          </w:p>
          <w:p w14:paraId="7EBB0E85">
            <w:pPr>
              <w:rPr>
                <w:rFonts w:ascii="Times New Roman"/>
                <w:sz w:val="21"/>
                <w:szCs w:val="21"/>
              </w:rPr>
            </w:pPr>
            <w:r>
              <w:rPr>
                <w:rFonts w:ascii="Times New Roman"/>
                <w:sz w:val="21"/>
                <w:szCs w:val="21"/>
              </w:rPr>
              <w:t>污染控制和减缓措施方案□</w:t>
            </w:r>
          </w:p>
          <w:p w14:paraId="0CCA61CA">
            <w:pPr>
              <w:rPr>
                <w:rFonts w:ascii="Times New Roman"/>
                <w:sz w:val="21"/>
                <w:szCs w:val="21"/>
              </w:rPr>
            </w:pPr>
            <w:r>
              <w:rPr>
                <w:rFonts w:ascii="Times New Roman"/>
                <w:sz w:val="21"/>
                <w:szCs w:val="21"/>
              </w:rPr>
              <w:t>区（流）域环境质量改善目标要求情景□</w:t>
            </w:r>
          </w:p>
        </w:tc>
      </w:tr>
      <w:tr w14:paraId="7AC4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52C68279">
            <w:pPr>
              <w:jc w:val="center"/>
              <w:rPr>
                <w:rFonts w:ascii="Times New Roman"/>
                <w:sz w:val="21"/>
                <w:szCs w:val="21"/>
              </w:rPr>
            </w:pPr>
          </w:p>
        </w:tc>
        <w:tc>
          <w:tcPr>
            <w:tcW w:w="2576" w:type="dxa"/>
            <w:tcBorders>
              <w:tl2br w:val="nil"/>
              <w:tr2bl w:val="nil"/>
            </w:tcBorders>
            <w:vAlign w:val="center"/>
          </w:tcPr>
          <w:p w14:paraId="536057F0">
            <w:pPr>
              <w:jc w:val="center"/>
              <w:rPr>
                <w:rFonts w:ascii="Times New Roman"/>
                <w:sz w:val="21"/>
                <w:szCs w:val="21"/>
              </w:rPr>
            </w:pPr>
            <w:r>
              <w:rPr>
                <w:rFonts w:ascii="Times New Roman"/>
                <w:sz w:val="21"/>
                <w:szCs w:val="21"/>
              </w:rPr>
              <w:t>预测方法</w:t>
            </w:r>
          </w:p>
        </w:tc>
        <w:tc>
          <w:tcPr>
            <w:tcW w:w="11137" w:type="dxa"/>
            <w:gridSpan w:val="8"/>
            <w:tcBorders>
              <w:tl2br w:val="nil"/>
              <w:tr2bl w:val="nil"/>
            </w:tcBorders>
          </w:tcPr>
          <w:p w14:paraId="3ACFED9C">
            <w:pPr>
              <w:rPr>
                <w:rFonts w:ascii="Times New Roman"/>
                <w:sz w:val="21"/>
                <w:szCs w:val="21"/>
              </w:rPr>
            </w:pPr>
            <w:r>
              <w:rPr>
                <w:rFonts w:ascii="Times New Roman"/>
                <w:sz w:val="21"/>
                <w:szCs w:val="21"/>
              </w:rPr>
              <w:t>数值解□：解析解ロ；其他□</w:t>
            </w:r>
          </w:p>
          <w:p w14:paraId="20FECFFA">
            <w:pPr>
              <w:rPr>
                <w:rFonts w:ascii="Times New Roman"/>
                <w:sz w:val="21"/>
                <w:szCs w:val="21"/>
              </w:rPr>
            </w:pPr>
            <w:r>
              <w:rPr>
                <w:rFonts w:ascii="Times New Roman"/>
                <w:sz w:val="21"/>
                <w:szCs w:val="21"/>
              </w:rPr>
              <w:t>导则推荐模式□：其他□</w:t>
            </w:r>
          </w:p>
        </w:tc>
      </w:tr>
      <w:tr w14:paraId="7904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3A1EB8B5">
            <w:pPr>
              <w:jc w:val="center"/>
              <w:rPr>
                <w:rFonts w:ascii="Times New Roman"/>
                <w:sz w:val="21"/>
                <w:szCs w:val="21"/>
              </w:rPr>
            </w:pPr>
          </w:p>
        </w:tc>
        <w:tc>
          <w:tcPr>
            <w:tcW w:w="2576" w:type="dxa"/>
            <w:tcBorders>
              <w:tl2br w:val="nil"/>
              <w:tr2bl w:val="nil"/>
            </w:tcBorders>
            <w:vAlign w:val="center"/>
          </w:tcPr>
          <w:p w14:paraId="64C98643">
            <w:pPr>
              <w:jc w:val="center"/>
              <w:rPr>
                <w:rFonts w:ascii="Times New Roman"/>
                <w:sz w:val="21"/>
                <w:szCs w:val="21"/>
              </w:rPr>
            </w:pPr>
            <w:r>
              <w:rPr>
                <w:rFonts w:ascii="Times New Roman"/>
                <w:sz w:val="21"/>
                <w:szCs w:val="21"/>
              </w:rPr>
              <w:t>水污染控制和水环境影响减缓措施有效性评价</w:t>
            </w:r>
          </w:p>
        </w:tc>
        <w:tc>
          <w:tcPr>
            <w:tcW w:w="11137" w:type="dxa"/>
            <w:gridSpan w:val="8"/>
            <w:tcBorders>
              <w:tl2br w:val="nil"/>
              <w:tr2bl w:val="nil"/>
            </w:tcBorders>
            <w:vAlign w:val="center"/>
          </w:tcPr>
          <w:p w14:paraId="06EE359B">
            <w:pPr>
              <w:rPr>
                <w:rFonts w:ascii="Times New Roman"/>
                <w:sz w:val="21"/>
                <w:szCs w:val="21"/>
              </w:rPr>
            </w:pPr>
            <w:r>
              <w:rPr>
                <w:rFonts w:ascii="Times New Roman"/>
                <w:sz w:val="21"/>
                <w:szCs w:val="21"/>
              </w:rPr>
              <w:t>区（流）域水环境质量改善目标□；替代削减源□</w:t>
            </w:r>
          </w:p>
        </w:tc>
      </w:tr>
      <w:tr w14:paraId="4589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526" w:type="dxa"/>
            <w:vMerge w:val="continue"/>
            <w:tcBorders>
              <w:tl2br w:val="nil"/>
              <w:tr2bl w:val="nil"/>
            </w:tcBorders>
            <w:vAlign w:val="center"/>
          </w:tcPr>
          <w:p w14:paraId="554B7051">
            <w:pPr>
              <w:jc w:val="center"/>
              <w:rPr>
                <w:rFonts w:ascii="Times New Roman"/>
                <w:sz w:val="21"/>
                <w:szCs w:val="21"/>
              </w:rPr>
            </w:pPr>
          </w:p>
        </w:tc>
        <w:tc>
          <w:tcPr>
            <w:tcW w:w="2576" w:type="dxa"/>
            <w:tcBorders>
              <w:tl2br w:val="nil"/>
              <w:tr2bl w:val="nil"/>
            </w:tcBorders>
            <w:vAlign w:val="center"/>
          </w:tcPr>
          <w:p w14:paraId="7258836B">
            <w:pPr>
              <w:jc w:val="center"/>
              <w:rPr>
                <w:rFonts w:ascii="Times New Roman"/>
                <w:sz w:val="21"/>
                <w:szCs w:val="21"/>
              </w:rPr>
            </w:pPr>
            <w:r>
              <w:rPr>
                <w:rFonts w:ascii="Times New Roman"/>
                <w:sz w:val="21"/>
                <w:szCs w:val="21"/>
              </w:rPr>
              <w:t>水环境影响评价</w:t>
            </w:r>
          </w:p>
        </w:tc>
        <w:tc>
          <w:tcPr>
            <w:tcW w:w="11137" w:type="dxa"/>
            <w:gridSpan w:val="8"/>
            <w:tcBorders>
              <w:tl2br w:val="nil"/>
              <w:tr2bl w:val="nil"/>
            </w:tcBorders>
          </w:tcPr>
          <w:p w14:paraId="61677455">
            <w:pPr>
              <w:rPr>
                <w:rFonts w:ascii="Times New Roman"/>
                <w:sz w:val="21"/>
                <w:szCs w:val="21"/>
              </w:rPr>
            </w:pPr>
            <w:r>
              <w:rPr>
                <w:rFonts w:ascii="Times New Roman"/>
                <w:sz w:val="21"/>
                <w:szCs w:val="21"/>
              </w:rPr>
              <w:t>排放口混合区外满足水环境管理要求 □</w:t>
            </w:r>
          </w:p>
          <w:p w14:paraId="4DBB453E">
            <w:pPr>
              <w:rPr>
                <w:rFonts w:ascii="Times New Roman"/>
                <w:sz w:val="21"/>
                <w:szCs w:val="21"/>
              </w:rPr>
            </w:pPr>
            <w:r>
              <w:rPr>
                <w:rFonts w:ascii="Times New Roman"/>
                <w:sz w:val="21"/>
                <w:szCs w:val="21"/>
              </w:rPr>
              <w:t>水环境功能区或水功能区、近岸海域环境功能区水质达标□</w:t>
            </w:r>
          </w:p>
          <w:p w14:paraId="569B050E">
            <w:pPr>
              <w:rPr>
                <w:rFonts w:ascii="Times New Roman"/>
                <w:sz w:val="21"/>
                <w:szCs w:val="21"/>
              </w:rPr>
            </w:pPr>
            <w:r>
              <w:rPr>
                <w:rFonts w:ascii="Times New Roman"/>
                <w:sz w:val="21"/>
                <w:szCs w:val="21"/>
              </w:rPr>
              <w:t>满足水环境保护目标水域水环境质量要求 □</w:t>
            </w:r>
          </w:p>
          <w:p w14:paraId="712CFBF6">
            <w:pPr>
              <w:rPr>
                <w:rFonts w:ascii="Times New Roman"/>
                <w:sz w:val="21"/>
                <w:szCs w:val="21"/>
              </w:rPr>
            </w:pPr>
            <w:r>
              <w:rPr>
                <w:rFonts w:ascii="Times New Roman"/>
                <w:sz w:val="21"/>
                <w:szCs w:val="21"/>
              </w:rPr>
              <w:t>水环境控制单元或断面水质达标 □</w:t>
            </w:r>
          </w:p>
          <w:p w14:paraId="28311DE1">
            <w:pPr>
              <w:rPr>
                <w:rFonts w:ascii="Times New Roman"/>
                <w:sz w:val="21"/>
                <w:szCs w:val="21"/>
              </w:rPr>
            </w:pPr>
            <w:r>
              <w:rPr>
                <w:rFonts w:ascii="Times New Roman"/>
                <w:sz w:val="21"/>
                <w:szCs w:val="21"/>
              </w:rPr>
              <w:t>满足重点水污染物排放总量控制指标要求</w:t>
            </w:r>
            <w:r>
              <w:rPr>
                <w:rFonts w:hint="eastAsia" w:ascii="Times New Roman"/>
                <w:sz w:val="21"/>
                <w:szCs w:val="21"/>
              </w:rPr>
              <w:t>，</w:t>
            </w:r>
            <w:r>
              <w:rPr>
                <w:rFonts w:ascii="Times New Roman"/>
                <w:sz w:val="21"/>
                <w:szCs w:val="21"/>
              </w:rPr>
              <w:t>重点行业建设项目</w:t>
            </w:r>
            <w:r>
              <w:rPr>
                <w:rFonts w:hint="eastAsia" w:ascii="Times New Roman"/>
                <w:sz w:val="21"/>
                <w:szCs w:val="21"/>
              </w:rPr>
              <w:t>，</w:t>
            </w:r>
            <w:r>
              <w:rPr>
                <w:rFonts w:ascii="Times New Roman"/>
                <w:sz w:val="21"/>
                <w:szCs w:val="21"/>
              </w:rPr>
              <w:t>主要污染物排放满足等量或减量替代要求□</w:t>
            </w:r>
          </w:p>
          <w:p w14:paraId="0BF4BCE1">
            <w:pPr>
              <w:rPr>
                <w:rFonts w:ascii="Times New Roman"/>
                <w:sz w:val="21"/>
                <w:szCs w:val="21"/>
              </w:rPr>
            </w:pPr>
            <w:r>
              <w:rPr>
                <w:rFonts w:ascii="Times New Roman"/>
                <w:sz w:val="21"/>
                <w:szCs w:val="21"/>
              </w:rPr>
              <w:t>满足区（流）域水环境质量改善目标要求□</w:t>
            </w:r>
          </w:p>
          <w:p w14:paraId="093F49D6">
            <w:pPr>
              <w:rPr>
                <w:rFonts w:ascii="Times New Roman"/>
                <w:sz w:val="21"/>
                <w:szCs w:val="21"/>
              </w:rPr>
            </w:pPr>
            <w:r>
              <w:rPr>
                <w:rFonts w:ascii="Times New Roman"/>
                <w:sz w:val="21"/>
                <w:szCs w:val="21"/>
              </w:rPr>
              <w:t>水文要素影响型建设项目 同时应包括水文情势变化评价、主要水文特征值影响评价、生态流量符合性评价 □</w:t>
            </w:r>
          </w:p>
          <w:p w14:paraId="6B6B8E6B">
            <w:pPr>
              <w:rPr>
                <w:rFonts w:ascii="Times New Roman"/>
                <w:sz w:val="21"/>
                <w:szCs w:val="21"/>
              </w:rPr>
            </w:pPr>
            <w:r>
              <w:rPr>
                <w:rFonts w:ascii="Times New Roman"/>
                <w:sz w:val="21"/>
                <w:szCs w:val="21"/>
              </w:rPr>
              <w:t>对于新设或调整入河 （湖库、 近岸海域） 排放口的建设项目</w:t>
            </w:r>
            <w:r>
              <w:rPr>
                <w:rFonts w:hint="eastAsia" w:ascii="Times New Roman"/>
                <w:sz w:val="21"/>
                <w:szCs w:val="21"/>
              </w:rPr>
              <w:t>，</w:t>
            </w:r>
            <w:r>
              <w:rPr>
                <w:rFonts w:ascii="Times New Roman"/>
                <w:sz w:val="21"/>
                <w:szCs w:val="21"/>
              </w:rPr>
              <w:t>应包括排放口设置的环境合理性评价 □</w:t>
            </w:r>
          </w:p>
          <w:p w14:paraId="5A23E3E8">
            <w:pPr>
              <w:rPr>
                <w:rFonts w:ascii="Times New Roman"/>
                <w:sz w:val="21"/>
                <w:szCs w:val="21"/>
              </w:rPr>
            </w:pPr>
            <w:r>
              <w:rPr>
                <w:rFonts w:ascii="Times New Roman"/>
                <w:sz w:val="21"/>
                <w:szCs w:val="21"/>
              </w:rPr>
              <w:t>满足生态保护红线、水环境质量底线、资源利用上线和环境准入清单管理要求□</w:t>
            </w:r>
          </w:p>
        </w:tc>
      </w:tr>
      <w:tr w14:paraId="19B5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restart"/>
            <w:tcBorders>
              <w:tl2br w:val="nil"/>
              <w:tr2bl w:val="nil"/>
            </w:tcBorders>
            <w:vAlign w:val="center"/>
          </w:tcPr>
          <w:p w14:paraId="2C0112B7">
            <w:pPr>
              <w:jc w:val="center"/>
              <w:rPr>
                <w:rFonts w:ascii="Times New Roman"/>
                <w:sz w:val="21"/>
                <w:szCs w:val="21"/>
              </w:rPr>
            </w:pPr>
            <w:r>
              <w:rPr>
                <w:rFonts w:ascii="Times New Roman"/>
                <w:sz w:val="21"/>
                <w:szCs w:val="21"/>
              </w:rPr>
              <w:t>影响预测</w:t>
            </w:r>
          </w:p>
        </w:tc>
        <w:tc>
          <w:tcPr>
            <w:tcW w:w="2576" w:type="dxa"/>
            <w:vMerge w:val="restart"/>
            <w:tcBorders>
              <w:tl2br w:val="nil"/>
              <w:tr2bl w:val="nil"/>
            </w:tcBorders>
            <w:vAlign w:val="center"/>
          </w:tcPr>
          <w:p w14:paraId="215BD8DF">
            <w:pPr>
              <w:jc w:val="center"/>
              <w:rPr>
                <w:rFonts w:ascii="Times New Roman"/>
                <w:sz w:val="21"/>
                <w:szCs w:val="21"/>
              </w:rPr>
            </w:pPr>
            <w:r>
              <w:rPr>
                <w:rFonts w:ascii="Times New Roman"/>
                <w:sz w:val="21"/>
                <w:szCs w:val="21"/>
              </w:rPr>
              <w:t>污染源排放量核算</w:t>
            </w:r>
          </w:p>
        </w:tc>
        <w:tc>
          <w:tcPr>
            <w:tcW w:w="4963" w:type="dxa"/>
            <w:gridSpan w:val="4"/>
            <w:tcBorders>
              <w:tl2br w:val="nil"/>
              <w:tr2bl w:val="nil"/>
            </w:tcBorders>
            <w:vAlign w:val="center"/>
          </w:tcPr>
          <w:p w14:paraId="731A25C3">
            <w:pPr>
              <w:jc w:val="center"/>
              <w:rPr>
                <w:rFonts w:ascii="Times New Roman"/>
                <w:sz w:val="21"/>
                <w:szCs w:val="21"/>
              </w:rPr>
            </w:pPr>
            <w:r>
              <w:rPr>
                <w:rFonts w:ascii="Times New Roman"/>
                <w:sz w:val="21"/>
                <w:szCs w:val="21"/>
              </w:rPr>
              <w:t>污染物名称</w:t>
            </w:r>
          </w:p>
        </w:tc>
        <w:tc>
          <w:tcPr>
            <w:tcW w:w="3178" w:type="dxa"/>
            <w:gridSpan w:val="2"/>
            <w:tcBorders>
              <w:tl2br w:val="nil"/>
              <w:tr2bl w:val="nil"/>
            </w:tcBorders>
            <w:vAlign w:val="center"/>
          </w:tcPr>
          <w:p w14:paraId="27644ACE">
            <w:pPr>
              <w:jc w:val="center"/>
              <w:rPr>
                <w:rFonts w:ascii="Times New Roman"/>
                <w:sz w:val="21"/>
                <w:szCs w:val="21"/>
              </w:rPr>
            </w:pPr>
            <w:r>
              <w:rPr>
                <w:rFonts w:ascii="Times New Roman"/>
                <w:sz w:val="21"/>
                <w:szCs w:val="21"/>
              </w:rPr>
              <w:t>排放量（t/a）</w:t>
            </w:r>
          </w:p>
        </w:tc>
        <w:tc>
          <w:tcPr>
            <w:tcW w:w="2996" w:type="dxa"/>
            <w:gridSpan w:val="2"/>
            <w:tcBorders>
              <w:tl2br w:val="nil"/>
              <w:tr2bl w:val="nil"/>
            </w:tcBorders>
            <w:vAlign w:val="center"/>
          </w:tcPr>
          <w:p w14:paraId="57AA81DA">
            <w:pPr>
              <w:jc w:val="center"/>
              <w:rPr>
                <w:rFonts w:ascii="Times New Roman"/>
                <w:sz w:val="21"/>
                <w:szCs w:val="21"/>
              </w:rPr>
            </w:pPr>
            <w:r>
              <w:rPr>
                <w:rFonts w:ascii="Times New Roman"/>
                <w:sz w:val="21"/>
                <w:szCs w:val="21"/>
              </w:rPr>
              <w:t>排放浓度（mg/L）</w:t>
            </w:r>
          </w:p>
        </w:tc>
      </w:tr>
      <w:tr w14:paraId="2AC5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66D67817">
            <w:pPr>
              <w:jc w:val="center"/>
              <w:rPr>
                <w:rFonts w:ascii="Times New Roman"/>
                <w:sz w:val="21"/>
                <w:szCs w:val="21"/>
              </w:rPr>
            </w:pPr>
          </w:p>
        </w:tc>
        <w:tc>
          <w:tcPr>
            <w:tcW w:w="2576" w:type="dxa"/>
            <w:vMerge w:val="continue"/>
            <w:tcBorders>
              <w:tl2br w:val="nil"/>
              <w:tr2bl w:val="nil"/>
            </w:tcBorders>
            <w:vAlign w:val="center"/>
          </w:tcPr>
          <w:p w14:paraId="4B381C8E">
            <w:pPr>
              <w:jc w:val="center"/>
              <w:rPr>
                <w:rFonts w:ascii="Times New Roman"/>
                <w:sz w:val="21"/>
                <w:szCs w:val="21"/>
              </w:rPr>
            </w:pPr>
          </w:p>
        </w:tc>
        <w:tc>
          <w:tcPr>
            <w:tcW w:w="4963" w:type="dxa"/>
            <w:gridSpan w:val="4"/>
            <w:tcBorders>
              <w:tl2br w:val="nil"/>
              <w:tr2bl w:val="nil"/>
            </w:tcBorders>
            <w:vAlign w:val="center"/>
          </w:tcPr>
          <w:p w14:paraId="7F788C61">
            <w:pPr>
              <w:jc w:val="center"/>
              <w:rPr>
                <w:rFonts w:ascii="Times New Roman"/>
                <w:sz w:val="21"/>
                <w:szCs w:val="21"/>
              </w:rPr>
            </w:pPr>
            <w:r>
              <w:rPr>
                <w:rFonts w:ascii="Times New Roman"/>
                <w:sz w:val="21"/>
                <w:szCs w:val="21"/>
              </w:rPr>
              <w:t>COD</w:t>
            </w:r>
          </w:p>
        </w:tc>
        <w:tc>
          <w:tcPr>
            <w:tcW w:w="3178" w:type="dxa"/>
            <w:gridSpan w:val="2"/>
            <w:tcBorders>
              <w:tl2br w:val="nil"/>
              <w:tr2bl w:val="nil"/>
            </w:tcBorders>
            <w:shd w:val="clear" w:color="auto" w:fill="auto"/>
            <w:vAlign w:val="center"/>
          </w:tcPr>
          <w:p w14:paraId="7D7C80BF">
            <w:pPr>
              <w:jc w:val="center"/>
              <w:rPr>
                <w:rFonts w:ascii="Times New Roman"/>
                <w:sz w:val="21"/>
                <w:szCs w:val="21"/>
              </w:rPr>
            </w:pPr>
            <w:r>
              <w:rPr>
                <w:rFonts w:hint="eastAsia" w:ascii="Times New Roman"/>
                <w:sz w:val="21"/>
                <w:szCs w:val="21"/>
              </w:rPr>
              <w:t>5.667</w:t>
            </w:r>
          </w:p>
        </w:tc>
        <w:tc>
          <w:tcPr>
            <w:tcW w:w="2996" w:type="dxa"/>
            <w:gridSpan w:val="2"/>
            <w:tcBorders>
              <w:tl2br w:val="nil"/>
              <w:tr2bl w:val="nil"/>
            </w:tcBorders>
            <w:shd w:val="clear" w:color="auto" w:fill="auto"/>
            <w:vAlign w:val="center"/>
          </w:tcPr>
          <w:p w14:paraId="4051BC38">
            <w:pPr>
              <w:adjustRightInd w:val="0"/>
              <w:jc w:val="center"/>
              <w:textAlignment w:val="baseline"/>
              <w:rPr>
                <w:rFonts w:ascii="Times New Roman"/>
                <w:sz w:val="21"/>
                <w:szCs w:val="21"/>
              </w:rPr>
            </w:pPr>
            <w:r>
              <w:rPr>
                <w:rFonts w:hint="eastAsia" w:ascii="Times New Roman"/>
                <w:sz w:val="21"/>
                <w:szCs w:val="21"/>
              </w:rPr>
              <w:t>146.2</w:t>
            </w:r>
          </w:p>
        </w:tc>
      </w:tr>
      <w:tr w14:paraId="1DE9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243771AF">
            <w:pPr>
              <w:jc w:val="center"/>
              <w:rPr>
                <w:rFonts w:ascii="Times New Roman"/>
                <w:sz w:val="21"/>
                <w:szCs w:val="21"/>
              </w:rPr>
            </w:pPr>
          </w:p>
        </w:tc>
        <w:tc>
          <w:tcPr>
            <w:tcW w:w="2576" w:type="dxa"/>
            <w:vMerge w:val="continue"/>
            <w:tcBorders>
              <w:tl2br w:val="nil"/>
              <w:tr2bl w:val="nil"/>
            </w:tcBorders>
            <w:vAlign w:val="center"/>
          </w:tcPr>
          <w:p w14:paraId="76B12CA4">
            <w:pPr>
              <w:jc w:val="center"/>
              <w:rPr>
                <w:rFonts w:ascii="Times New Roman"/>
                <w:sz w:val="21"/>
                <w:szCs w:val="21"/>
              </w:rPr>
            </w:pPr>
          </w:p>
        </w:tc>
        <w:tc>
          <w:tcPr>
            <w:tcW w:w="4963" w:type="dxa"/>
            <w:gridSpan w:val="4"/>
            <w:tcBorders>
              <w:tl2br w:val="nil"/>
              <w:tr2bl w:val="nil"/>
            </w:tcBorders>
            <w:vAlign w:val="center"/>
          </w:tcPr>
          <w:p w14:paraId="0FAE6AA3">
            <w:pPr>
              <w:jc w:val="center"/>
              <w:rPr>
                <w:rFonts w:ascii="Times New Roman"/>
                <w:sz w:val="21"/>
                <w:szCs w:val="21"/>
              </w:rPr>
            </w:pPr>
            <w:r>
              <w:rPr>
                <w:rFonts w:hint="eastAsia" w:ascii="Times New Roman"/>
                <w:sz w:val="21"/>
                <w:szCs w:val="21"/>
              </w:rPr>
              <w:t>BOD</w:t>
            </w:r>
            <w:r>
              <w:rPr>
                <w:rFonts w:hint="eastAsia" w:ascii="Times New Roman"/>
                <w:sz w:val="21"/>
                <w:szCs w:val="21"/>
                <w:vertAlign w:val="subscript"/>
              </w:rPr>
              <w:t>5</w:t>
            </w:r>
          </w:p>
        </w:tc>
        <w:tc>
          <w:tcPr>
            <w:tcW w:w="3178" w:type="dxa"/>
            <w:gridSpan w:val="2"/>
            <w:tcBorders>
              <w:tl2br w:val="nil"/>
              <w:tr2bl w:val="nil"/>
            </w:tcBorders>
            <w:shd w:val="clear" w:color="auto" w:fill="auto"/>
            <w:vAlign w:val="center"/>
          </w:tcPr>
          <w:p w14:paraId="4DA9739B">
            <w:pPr>
              <w:jc w:val="center"/>
              <w:rPr>
                <w:rFonts w:ascii="Times New Roman"/>
                <w:sz w:val="21"/>
                <w:szCs w:val="21"/>
              </w:rPr>
            </w:pPr>
            <w:r>
              <w:rPr>
                <w:rFonts w:hint="eastAsia" w:ascii="Times New Roman"/>
                <w:sz w:val="21"/>
                <w:szCs w:val="21"/>
              </w:rPr>
              <w:t>1.536</w:t>
            </w:r>
          </w:p>
        </w:tc>
        <w:tc>
          <w:tcPr>
            <w:tcW w:w="2996" w:type="dxa"/>
            <w:gridSpan w:val="2"/>
            <w:tcBorders>
              <w:tl2br w:val="nil"/>
              <w:tr2bl w:val="nil"/>
            </w:tcBorders>
            <w:shd w:val="clear" w:color="auto" w:fill="auto"/>
            <w:vAlign w:val="center"/>
          </w:tcPr>
          <w:p w14:paraId="7C689218">
            <w:pPr>
              <w:adjustRightInd w:val="0"/>
              <w:jc w:val="center"/>
              <w:textAlignment w:val="baseline"/>
              <w:rPr>
                <w:rFonts w:ascii="Times New Roman"/>
                <w:sz w:val="21"/>
                <w:szCs w:val="21"/>
              </w:rPr>
            </w:pPr>
            <w:r>
              <w:rPr>
                <w:rFonts w:hint="eastAsia" w:ascii="Times New Roman"/>
                <w:sz w:val="21"/>
                <w:szCs w:val="21"/>
              </w:rPr>
              <w:t>39.6</w:t>
            </w:r>
          </w:p>
        </w:tc>
      </w:tr>
      <w:tr w14:paraId="2446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2EA184B0">
            <w:pPr>
              <w:jc w:val="center"/>
              <w:rPr>
                <w:rFonts w:ascii="Times New Roman"/>
                <w:sz w:val="21"/>
                <w:szCs w:val="21"/>
              </w:rPr>
            </w:pPr>
          </w:p>
        </w:tc>
        <w:tc>
          <w:tcPr>
            <w:tcW w:w="2576" w:type="dxa"/>
            <w:vMerge w:val="continue"/>
            <w:tcBorders>
              <w:tl2br w:val="nil"/>
              <w:tr2bl w:val="nil"/>
            </w:tcBorders>
            <w:vAlign w:val="center"/>
          </w:tcPr>
          <w:p w14:paraId="2C666438">
            <w:pPr>
              <w:jc w:val="center"/>
              <w:rPr>
                <w:rFonts w:ascii="Times New Roman"/>
                <w:sz w:val="21"/>
                <w:szCs w:val="21"/>
              </w:rPr>
            </w:pPr>
          </w:p>
        </w:tc>
        <w:tc>
          <w:tcPr>
            <w:tcW w:w="4963" w:type="dxa"/>
            <w:gridSpan w:val="4"/>
            <w:tcBorders>
              <w:tl2br w:val="nil"/>
              <w:tr2bl w:val="nil"/>
            </w:tcBorders>
            <w:vAlign w:val="center"/>
          </w:tcPr>
          <w:p w14:paraId="368CC290">
            <w:pPr>
              <w:jc w:val="center"/>
              <w:rPr>
                <w:rFonts w:ascii="Times New Roman"/>
                <w:sz w:val="21"/>
                <w:szCs w:val="21"/>
              </w:rPr>
            </w:pPr>
            <w:r>
              <w:rPr>
                <w:rFonts w:ascii="Times New Roman"/>
                <w:sz w:val="21"/>
                <w:szCs w:val="21"/>
              </w:rPr>
              <w:t>SS</w:t>
            </w:r>
          </w:p>
        </w:tc>
        <w:tc>
          <w:tcPr>
            <w:tcW w:w="3178" w:type="dxa"/>
            <w:gridSpan w:val="2"/>
            <w:tcBorders>
              <w:tl2br w:val="nil"/>
              <w:tr2bl w:val="nil"/>
            </w:tcBorders>
            <w:shd w:val="clear" w:color="auto" w:fill="auto"/>
            <w:vAlign w:val="center"/>
          </w:tcPr>
          <w:p w14:paraId="23901FE9">
            <w:pPr>
              <w:jc w:val="center"/>
              <w:rPr>
                <w:rFonts w:ascii="Times New Roman"/>
                <w:sz w:val="21"/>
                <w:szCs w:val="21"/>
              </w:rPr>
            </w:pPr>
            <w:r>
              <w:rPr>
                <w:rFonts w:hint="eastAsia" w:ascii="Times New Roman"/>
                <w:sz w:val="21"/>
                <w:szCs w:val="21"/>
              </w:rPr>
              <w:t>3.783</w:t>
            </w:r>
          </w:p>
        </w:tc>
        <w:tc>
          <w:tcPr>
            <w:tcW w:w="2996" w:type="dxa"/>
            <w:gridSpan w:val="2"/>
            <w:tcBorders>
              <w:tl2br w:val="nil"/>
              <w:tr2bl w:val="nil"/>
            </w:tcBorders>
            <w:shd w:val="clear" w:color="auto" w:fill="auto"/>
            <w:vAlign w:val="center"/>
          </w:tcPr>
          <w:p w14:paraId="7E8B2D15">
            <w:pPr>
              <w:adjustRightInd w:val="0"/>
              <w:jc w:val="center"/>
              <w:textAlignment w:val="baseline"/>
              <w:rPr>
                <w:rFonts w:ascii="Times New Roman"/>
                <w:sz w:val="21"/>
                <w:szCs w:val="21"/>
              </w:rPr>
            </w:pPr>
            <w:r>
              <w:rPr>
                <w:rFonts w:hint="eastAsia" w:ascii="Times New Roman"/>
                <w:sz w:val="21"/>
                <w:szCs w:val="21"/>
              </w:rPr>
              <w:t>97.4</w:t>
            </w:r>
          </w:p>
        </w:tc>
      </w:tr>
      <w:tr w14:paraId="2E05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347A95E7">
            <w:pPr>
              <w:jc w:val="center"/>
              <w:rPr>
                <w:rFonts w:ascii="Times New Roman"/>
                <w:sz w:val="21"/>
                <w:szCs w:val="21"/>
              </w:rPr>
            </w:pPr>
          </w:p>
        </w:tc>
        <w:tc>
          <w:tcPr>
            <w:tcW w:w="2576" w:type="dxa"/>
            <w:vMerge w:val="continue"/>
            <w:tcBorders>
              <w:tl2br w:val="nil"/>
              <w:tr2bl w:val="nil"/>
            </w:tcBorders>
            <w:vAlign w:val="center"/>
          </w:tcPr>
          <w:p w14:paraId="4FF9A755">
            <w:pPr>
              <w:jc w:val="center"/>
              <w:rPr>
                <w:rFonts w:ascii="Times New Roman"/>
                <w:sz w:val="21"/>
                <w:szCs w:val="21"/>
              </w:rPr>
            </w:pPr>
          </w:p>
        </w:tc>
        <w:tc>
          <w:tcPr>
            <w:tcW w:w="4963" w:type="dxa"/>
            <w:gridSpan w:val="4"/>
            <w:tcBorders>
              <w:tl2br w:val="nil"/>
              <w:tr2bl w:val="nil"/>
            </w:tcBorders>
            <w:vAlign w:val="center"/>
          </w:tcPr>
          <w:p w14:paraId="1012A9C7">
            <w:pPr>
              <w:jc w:val="center"/>
              <w:rPr>
                <w:rFonts w:ascii="Times New Roman"/>
                <w:sz w:val="21"/>
                <w:szCs w:val="21"/>
              </w:rPr>
            </w:pPr>
            <w:r>
              <w:rPr>
                <w:rFonts w:ascii="Times New Roman"/>
                <w:sz w:val="21"/>
                <w:szCs w:val="21"/>
              </w:rPr>
              <w:t>氨氮</w:t>
            </w:r>
          </w:p>
        </w:tc>
        <w:tc>
          <w:tcPr>
            <w:tcW w:w="3178" w:type="dxa"/>
            <w:gridSpan w:val="2"/>
            <w:tcBorders>
              <w:tl2br w:val="nil"/>
              <w:tr2bl w:val="nil"/>
            </w:tcBorders>
            <w:shd w:val="clear" w:color="auto" w:fill="auto"/>
            <w:vAlign w:val="center"/>
          </w:tcPr>
          <w:p w14:paraId="45C9BFA5">
            <w:pPr>
              <w:jc w:val="center"/>
              <w:rPr>
                <w:rFonts w:ascii="Times New Roman"/>
                <w:sz w:val="21"/>
                <w:szCs w:val="21"/>
              </w:rPr>
            </w:pPr>
            <w:r>
              <w:rPr>
                <w:rFonts w:hint="eastAsia" w:ascii="Times New Roman"/>
                <w:sz w:val="21"/>
                <w:szCs w:val="21"/>
              </w:rPr>
              <w:t>0.240</w:t>
            </w:r>
          </w:p>
        </w:tc>
        <w:tc>
          <w:tcPr>
            <w:tcW w:w="2996" w:type="dxa"/>
            <w:gridSpan w:val="2"/>
            <w:tcBorders>
              <w:tl2br w:val="nil"/>
              <w:tr2bl w:val="nil"/>
            </w:tcBorders>
            <w:shd w:val="clear" w:color="auto" w:fill="auto"/>
            <w:vAlign w:val="center"/>
          </w:tcPr>
          <w:p w14:paraId="5D8C9AEF">
            <w:pPr>
              <w:adjustRightInd w:val="0"/>
              <w:jc w:val="center"/>
              <w:textAlignment w:val="baseline"/>
              <w:rPr>
                <w:rFonts w:ascii="Times New Roman"/>
                <w:sz w:val="21"/>
                <w:szCs w:val="21"/>
              </w:rPr>
            </w:pPr>
            <w:r>
              <w:rPr>
                <w:rFonts w:hint="eastAsia" w:ascii="Times New Roman"/>
                <w:sz w:val="21"/>
                <w:szCs w:val="21"/>
              </w:rPr>
              <w:t>6.2</w:t>
            </w:r>
          </w:p>
        </w:tc>
      </w:tr>
      <w:tr w14:paraId="3EC0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0FA9E0A6">
            <w:pPr>
              <w:jc w:val="center"/>
              <w:rPr>
                <w:rFonts w:ascii="Times New Roman"/>
                <w:sz w:val="21"/>
                <w:szCs w:val="21"/>
              </w:rPr>
            </w:pPr>
          </w:p>
        </w:tc>
        <w:tc>
          <w:tcPr>
            <w:tcW w:w="2576" w:type="dxa"/>
            <w:vMerge w:val="continue"/>
            <w:tcBorders>
              <w:tl2br w:val="nil"/>
              <w:tr2bl w:val="nil"/>
            </w:tcBorders>
            <w:vAlign w:val="center"/>
          </w:tcPr>
          <w:p w14:paraId="57997EAF">
            <w:pPr>
              <w:jc w:val="center"/>
              <w:rPr>
                <w:rFonts w:ascii="Times New Roman"/>
                <w:sz w:val="21"/>
                <w:szCs w:val="21"/>
              </w:rPr>
            </w:pPr>
          </w:p>
        </w:tc>
        <w:tc>
          <w:tcPr>
            <w:tcW w:w="4963" w:type="dxa"/>
            <w:gridSpan w:val="4"/>
            <w:tcBorders>
              <w:tl2br w:val="nil"/>
              <w:tr2bl w:val="nil"/>
            </w:tcBorders>
            <w:vAlign w:val="center"/>
          </w:tcPr>
          <w:p w14:paraId="2E5FD18A">
            <w:pPr>
              <w:jc w:val="center"/>
              <w:rPr>
                <w:rFonts w:ascii="Times New Roman"/>
                <w:sz w:val="21"/>
                <w:szCs w:val="21"/>
              </w:rPr>
            </w:pPr>
            <w:r>
              <w:rPr>
                <w:rFonts w:ascii="Times New Roman"/>
                <w:sz w:val="21"/>
                <w:szCs w:val="21"/>
              </w:rPr>
              <w:t>总氮</w:t>
            </w:r>
          </w:p>
        </w:tc>
        <w:tc>
          <w:tcPr>
            <w:tcW w:w="3178" w:type="dxa"/>
            <w:gridSpan w:val="2"/>
            <w:tcBorders>
              <w:tl2br w:val="nil"/>
              <w:tr2bl w:val="nil"/>
            </w:tcBorders>
            <w:shd w:val="clear" w:color="auto" w:fill="auto"/>
            <w:vAlign w:val="center"/>
          </w:tcPr>
          <w:p w14:paraId="78F4EFC1">
            <w:pPr>
              <w:jc w:val="center"/>
              <w:rPr>
                <w:rFonts w:ascii="Times New Roman"/>
                <w:sz w:val="21"/>
                <w:szCs w:val="21"/>
              </w:rPr>
            </w:pPr>
            <w:r>
              <w:rPr>
                <w:rFonts w:hint="eastAsia" w:ascii="Times New Roman"/>
                <w:sz w:val="21"/>
                <w:szCs w:val="21"/>
              </w:rPr>
              <w:t>0.133</w:t>
            </w:r>
          </w:p>
        </w:tc>
        <w:tc>
          <w:tcPr>
            <w:tcW w:w="2996" w:type="dxa"/>
            <w:gridSpan w:val="2"/>
            <w:tcBorders>
              <w:tl2br w:val="nil"/>
              <w:tr2bl w:val="nil"/>
            </w:tcBorders>
            <w:shd w:val="clear" w:color="auto" w:fill="auto"/>
            <w:vAlign w:val="center"/>
          </w:tcPr>
          <w:p w14:paraId="3856AF86">
            <w:pPr>
              <w:adjustRightInd w:val="0"/>
              <w:jc w:val="center"/>
              <w:textAlignment w:val="baseline"/>
              <w:rPr>
                <w:rFonts w:ascii="Times New Roman"/>
                <w:sz w:val="21"/>
                <w:szCs w:val="21"/>
              </w:rPr>
            </w:pPr>
            <w:r>
              <w:rPr>
                <w:rFonts w:hint="eastAsia" w:ascii="Times New Roman"/>
                <w:sz w:val="21"/>
                <w:szCs w:val="21"/>
              </w:rPr>
              <w:t>3.4</w:t>
            </w:r>
          </w:p>
        </w:tc>
      </w:tr>
      <w:tr w14:paraId="7DED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31B14F7F">
            <w:pPr>
              <w:jc w:val="center"/>
              <w:rPr>
                <w:rFonts w:ascii="Times New Roman"/>
                <w:sz w:val="21"/>
                <w:szCs w:val="21"/>
              </w:rPr>
            </w:pPr>
          </w:p>
        </w:tc>
        <w:tc>
          <w:tcPr>
            <w:tcW w:w="2576" w:type="dxa"/>
            <w:vMerge w:val="continue"/>
            <w:tcBorders>
              <w:tl2br w:val="nil"/>
              <w:tr2bl w:val="nil"/>
            </w:tcBorders>
            <w:vAlign w:val="center"/>
          </w:tcPr>
          <w:p w14:paraId="72ADEE76">
            <w:pPr>
              <w:jc w:val="center"/>
              <w:rPr>
                <w:rFonts w:ascii="Times New Roman"/>
                <w:sz w:val="21"/>
                <w:szCs w:val="21"/>
              </w:rPr>
            </w:pPr>
          </w:p>
        </w:tc>
        <w:tc>
          <w:tcPr>
            <w:tcW w:w="4963" w:type="dxa"/>
            <w:gridSpan w:val="4"/>
            <w:tcBorders>
              <w:tl2br w:val="nil"/>
              <w:tr2bl w:val="nil"/>
            </w:tcBorders>
            <w:vAlign w:val="center"/>
          </w:tcPr>
          <w:p w14:paraId="6686701E">
            <w:pPr>
              <w:jc w:val="center"/>
              <w:rPr>
                <w:rFonts w:ascii="Times New Roman"/>
                <w:sz w:val="21"/>
                <w:szCs w:val="21"/>
              </w:rPr>
            </w:pPr>
            <w:r>
              <w:rPr>
                <w:rFonts w:ascii="Times New Roman"/>
                <w:sz w:val="21"/>
                <w:szCs w:val="21"/>
              </w:rPr>
              <w:t>总磷</w:t>
            </w:r>
          </w:p>
        </w:tc>
        <w:tc>
          <w:tcPr>
            <w:tcW w:w="3178" w:type="dxa"/>
            <w:gridSpan w:val="2"/>
            <w:tcBorders>
              <w:tl2br w:val="nil"/>
              <w:tr2bl w:val="nil"/>
            </w:tcBorders>
            <w:shd w:val="clear" w:color="auto" w:fill="auto"/>
            <w:vAlign w:val="center"/>
          </w:tcPr>
          <w:p w14:paraId="6F6182E3">
            <w:pPr>
              <w:jc w:val="center"/>
              <w:rPr>
                <w:rFonts w:ascii="Times New Roman"/>
                <w:sz w:val="21"/>
                <w:szCs w:val="21"/>
              </w:rPr>
            </w:pPr>
            <w:r>
              <w:rPr>
                <w:rFonts w:hint="eastAsia" w:ascii="Times New Roman"/>
                <w:sz w:val="21"/>
                <w:szCs w:val="21"/>
              </w:rPr>
              <w:t>0.336</w:t>
            </w:r>
          </w:p>
        </w:tc>
        <w:tc>
          <w:tcPr>
            <w:tcW w:w="2996" w:type="dxa"/>
            <w:gridSpan w:val="2"/>
            <w:tcBorders>
              <w:tl2br w:val="nil"/>
              <w:tr2bl w:val="nil"/>
            </w:tcBorders>
            <w:shd w:val="clear" w:color="auto" w:fill="auto"/>
            <w:vAlign w:val="center"/>
          </w:tcPr>
          <w:p w14:paraId="5BF3E029">
            <w:pPr>
              <w:adjustRightInd w:val="0"/>
              <w:jc w:val="center"/>
              <w:textAlignment w:val="baseline"/>
              <w:rPr>
                <w:rFonts w:ascii="Times New Roman"/>
                <w:sz w:val="21"/>
                <w:szCs w:val="21"/>
              </w:rPr>
            </w:pPr>
            <w:r>
              <w:rPr>
                <w:rFonts w:hint="eastAsia" w:ascii="Times New Roman"/>
                <w:sz w:val="21"/>
                <w:szCs w:val="21"/>
              </w:rPr>
              <w:t>8.6</w:t>
            </w:r>
          </w:p>
        </w:tc>
      </w:tr>
      <w:tr w14:paraId="1F6A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79B47867">
            <w:pPr>
              <w:jc w:val="center"/>
              <w:rPr>
                <w:rFonts w:ascii="Times New Roman"/>
                <w:sz w:val="21"/>
                <w:szCs w:val="21"/>
              </w:rPr>
            </w:pPr>
          </w:p>
        </w:tc>
        <w:tc>
          <w:tcPr>
            <w:tcW w:w="2576" w:type="dxa"/>
            <w:vMerge w:val="continue"/>
            <w:tcBorders>
              <w:tl2br w:val="nil"/>
              <w:tr2bl w:val="nil"/>
            </w:tcBorders>
            <w:vAlign w:val="center"/>
          </w:tcPr>
          <w:p w14:paraId="5B9B0CA3">
            <w:pPr>
              <w:jc w:val="center"/>
              <w:rPr>
                <w:rFonts w:ascii="Times New Roman"/>
                <w:sz w:val="21"/>
                <w:szCs w:val="21"/>
              </w:rPr>
            </w:pPr>
          </w:p>
        </w:tc>
        <w:tc>
          <w:tcPr>
            <w:tcW w:w="4963" w:type="dxa"/>
            <w:gridSpan w:val="4"/>
            <w:tcBorders>
              <w:tl2br w:val="nil"/>
              <w:tr2bl w:val="nil"/>
            </w:tcBorders>
            <w:vAlign w:val="center"/>
          </w:tcPr>
          <w:p w14:paraId="560E334C">
            <w:pPr>
              <w:jc w:val="center"/>
              <w:rPr>
                <w:rFonts w:ascii="Times New Roman"/>
                <w:sz w:val="21"/>
                <w:szCs w:val="21"/>
              </w:rPr>
            </w:pPr>
            <w:r>
              <w:rPr>
                <w:rFonts w:hint="eastAsia" w:ascii="Times New Roman"/>
                <w:sz w:val="21"/>
                <w:szCs w:val="21"/>
              </w:rPr>
              <w:t>动植物油</w:t>
            </w:r>
          </w:p>
        </w:tc>
        <w:tc>
          <w:tcPr>
            <w:tcW w:w="3178" w:type="dxa"/>
            <w:gridSpan w:val="2"/>
            <w:tcBorders>
              <w:tl2br w:val="nil"/>
              <w:tr2bl w:val="nil"/>
            </w:tcBorders>
            <w:shd w:val="clear" w:color="auto" w:fill="auto"/>
            <w:vAlign w:val="center"/>
          </w:tcPr>
          <w:p w14:paraId="01653025">
            <w:pPr>
              <w:jc w:val="center"/>
              <w:rPr>
                <w:rFonts w:ascii="Times New Roman"/>
                <w:sz w:val="21"/>
                <w:szCs w:val="21"/>
              </w:rPr>
            </w:pPr>
            <w:r>
              <w:rPr>
                <w:rFonts w:hint="eastAsia" w:ascii="Times New Roman"/>
                <w:sz w:val="21"/>
                <w:szCs w:val="21"/>
              </w:rPr>
              <w:t>0.096</w:t>
            </w:r>
          </w:p>
        </w:tc>
        <w:tc>
          <w:tcPr>
            <w:tcW w:w="2996" w:type="dxa"/>
            <w:gridSpan w:val="2"/>
            <w:tcBorders>
              <w:tl2br w:val="nil"/>
              <w:tr2bl w:val="nil"/>
            </w:tcBorders>
            <w:shd w:val="clear" w:color="auto" w:fill="auto"/>
            <w:vAlign w:val="center"/>
          </w:tcPr>
          <w:p w14:paraId="7472EFE6">
            <w:pPr>
              <w:adjustRightInd w:val="0"/>
              <w:jc w:val="center"/>
              <w:textAlignment w:val="baseline"/>
              <w:rPr>
                <w:rFonts w:ascii="Times New Roman"/>
                <w:sz w:val="21"/>
                <w:szCs w:val="21"/>
              </w:rPr>
            </w:pPr>
            <w:r>
              <w:rPr>
                <w:rFonts w:hint="eastAsia" w:ascii="Times New Roman"/>
                <w:sz w:val="21"/>
                <w:szCs w:val="21"/>
              </w:rPr>
              <w:t>2.5</w:t>
            </w:r>
          </w:p>
        </w:tc>
      </w:tr>
      <w:tr w14:paraId="1341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7E3C49B7">
            <w:pPr>
              <w:jc w:val="center"/>
              <w:rPr>
                <w:rFonts w:ascii="Times New Roman"/>
                <w:sz w:val="21"/>
                <w:szCs w:val="21"/>
              </w:rPr>
            </w:pPr>
          </w:p>
        </w:tc>
        <w:tc>
          <w:tcPr>
            <w:tcW w:w="2576" w:type="dxa"/>
            <w:vMerge w:val="continue"/>
            <w:tcBorders>
              <w:tl2br w:val="nil"/>
              <w:tr2bl w:val="nil"/>
            </w:tcBorders>
            <w:vAlign w:val="center"/>
          </w:tcPr>
          <w:p w14:paraId="1B603C31">
            <w:pPr>
              <w:jc w:val="center"/>
              <w:rPr>
                <w:rFonts w:ascii="Times New Roman"/>
                <w:sz w:val="21"/>
                <w:szCs w:val="21"/>
              </w:rPr>
            </w:pPr>
          </w:p>
        </w:tc>
        <w:tc>
          <w:tcPr>
            <w:tcW w:w="4963" w:type="dxa"/>
            <w:gridSpan w:val="4"/>
            <w:tcBorders>
              <w:tl2br w:val="nil"/>
              <w:tr2bl w:val="nil"/>
            </w:tcBorders>
            <w:vAlign w:val="center"/>
          </w:tcPr>
          <w:p w14:paraId="18D1EC9A">
            <w:pPr>
              <w:jc w:val="center"/>
              <w:rPr>
                <w:rFonts w:ascii="Times New Roman"/>
                <w:sz w:val="21"/>
                <w:szCs w:val="21"/>
              </w:rPr>
            </w:pPr>
            <w:r>
              <w:rPr>
                <w:rFonts w:hint="eastAsia" w:ascii="Times New Roman"/>
                <w:sz w:val="21"/>
                <w:szCs w:val="21"/>
              </w:rPr>
              <w:t>石油类</w:t>
            </w:r>
          </w:p>
        </w:tc>
        <w:tc>
          <w:tcPr>
            <w:tcW w:w="3178" w:type="dxa"/>
            <w:gridSpan w:val="2"/>
            <w:tcBorders>
              <w:tl2br w:val="nil"/>
              <w:tr2bl w:val="nil"/>
            </w:tcBorders>
            <w:shd w:val="clear" w:color="auto" w:fill="auto"/>
            <w:vAlign w:val="center"/>
          </w:tcPr>
          <w:p w14:paraId="49F52475">
            <w:pPr>
              <w:jc w:val="center"/>
              <w:rPr>
                <w:rFonts w:ascii="Times New Roman"/>
                <w:sz w:val="21"/>
                <w:szCs w:val="21"/>
              </w:rPr>
            </w:pPr>
            <w:r>
              <w:rPr>
                <w:rFonts w:hint="eastAsia" w:ascii="Times New Roman"/>
                <w:sz w:val="21"/>
                <w:szCs w:val="21"/>
              </w:rPr>
              <w:t>0.183</w:t>
            </w:r>
          </w:p>
        </w:tc>
        <w:tc>
          <w:tcPr>
            <w:tcW w:w="2996" w:type="dxa"/>
            <w:gridSpan w:val="2"/>
            <w:tcBorders>
              <w:tl2br w:val="nil"/>
              <w:tr2bl w:val="nil"/>
            </w:tcBorders>
            <w:shd w:val="clear" w:color="auto" w:fill="auto"/>
            <w:vAlign w:val="center"/>
          </w:tcPr>
          <w:p w14:paraId="6B0EFBB3">
            <w:pPr>
              <w:adjustRightInd w:val="0"/>
              <w:jc w:val="center"/>
              <w:textAlignment w:val="baseline"/>
              <w:rPr>
                <w:rFonts w:ascii="Times New Roman"/>
                <w:sz w:val="21"/>
                <w:szCs w:val="21"/>
              </w:rPr>
            </w:pPr>
            <w:r>
              <w:rPr>
                <w:rFonts w:hint="eastAsia" w:ascii="Times New Roman"/>
                <w:sz w:val="21"/>
                <w:szCs w:val="21"/>
              </w:rPr>
              <w:t>4.7</w:t>
            </w:r>
          </w:p>
        </w:tc>
      </w:tr>
      <w:tr w14:paraId="0F9E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3322FD7A">
            <w:pPr>
              <w:jc w:val="center"/>
              <w:rPr>
                <w:rFonts w:ascii="Times New Roman"/>
                <w:sz w:val="21"/>
                <w:szCs w:val="21"/>
              </w:rPr>
            </w:pPr>
          </w:p>
        </w:tc>
        <w:tc>
          <w:tcPr>
            <w:tcW w:w="2576" w:type="dxa"/>
            <w:vMerge w:val="restart"/>
            <w:tcBorders>
              <w:tl2br w:val="nil"/>
              <w:tr2bl w:val="nil"/>
            </w:tcBorders>
            <w:vAlign w:val="center"/>
          </w:tcPr>
          <w:p w14:paraId="57204F7C">
            <w:pPr>
              <w:jc w:val="center"/>
              <w:rPr>
                <w:rFonts w:ascii="Times New Roman"/>
                <w:sz w:val="21"/>
                <w:szCs w:val="21"/>
              </w:rPr>
            </w:pPr>
            <w:r>
              <w:rPr>
                <w:rFonts w:ascii="Times New Roman"/>
                <w:sz w:val="21"/>
                <w:szCs w:val="21"/>
              </w:rPr>
              <w:t>替代源排放情况</w:t>
            </w:r>
          </w:p>
        </w:tc>
        <w:tc>
          <w:tcPr>
            <w:tcW w:w="1866" w:type="dxa"/>
            <w:tcBorders>
              <w:tl2br w:val="nil"/>
              <w:tr2bl w:val="nil"/>
            </w:tcBorders>
          </w:tcPr>
          <w:p w14:paraId="384F5502">
            <w:pPr>
              <w:rPr>
                <w:rFonts w:ascii="Times New Roman"/>
                <w:sz w:val="21"/>
                <w:szCs w:val="21"/>
              </w:rPr>
            </w:pPr>
            <w:r>
              <w:rPr>
                <w:rFonts w:ascii="Times New Roman"/>
                <w:sz w:val="21"/>
                <w:szCs w:val="21"/>
              </w:rPr>
              <w:t>污染源名称</w:t>
            </w:r>
          </w:p>
        </w:tc>
        <w:tc>
          <w:tcPr>
            <w:tcW w:w="1700" w:type="dxa"/>
            <w:gridSpan w:val="2"/>
            <w:tcBorders>
              <w:tl2br w:val="nil"/>
              <w:tr2bl w:val="nil"/>
            </w:tcBorders>
          </w:tcPr>
          <w:p w14:paraId="7920C6D6">
            <w:pPr>
              <w:rPr>
                <w:rFonts w:ascii="Times New Roman"/>
                <w:sz w:val="21"/>
                <w:szCs w:val="21"/>
              </w:rPr>
            </w:pPr>
            <w:r>
              <w:rPr>
                <w:rFonts w:ascii="Times New Roman"/>
                <w:sz w:val="21"/>
                <w:szCs w:val="21"/>
              </w:rPr>
              <w:t>排污许可证编号</w:t>
            </w:r>
          </w:p>
        </w:tc>
        <w:tc>
          <w:tcPr>
            <w:tcW w:w="1397" w:type="dxa"/>
            <w:tcBorders>
              <w:tl2br w:val="nil"/>
              <w:tr2bl w:val="nil"/>
            </w:tcBorders>
          </w:tcPr>
          <w:p w14:paraId="44D789C8">
            <w:pPr>
              <w:rPr>
                <w:rFonts w:ascii="Times New Roman"/>
                <w:sz w:val="21"/>
                <w:szCs w:val="21"/>
              </w:rPr>
            </w:pPr>
            <w:r>
              <w:rPr>
                <w:rFonts w:ascii="Times New Roman"/>
                <w:sz w:val="21"/>
                <w:szCs w:val="21"/>
              </w:rPr>
              <w:t>污染物名称</w:t>
            </w:r>
          </w:p>
        </w:tc>
        <w:tc>
          <w:tcPr>
            <w:tcW w:w="3178" w:type="dxa"/>
            <w:gridSpan w:val="2"/>
            <w:tcBorders>
              <w:tl2br w:val="nil"/>
              <w:tr2bl w:val="nil"/>
            </w:tcBorders>
          </w:tcPr>
          <w:p w14:paraId="26011533">
            <w:pPr>
              <w:rPr>
                <w:rFonts w:ascii="Times New Roman"/>
                <w:sz w:val="21"/>
                <w:szCs w:val="21"/>
              </w:rPr>
            </w:pPr>
            <w:r>
              <w:rPr>
                <w:rFonts w:ascii="Times New Roman"/>
                <w:sz w:val="21"/>
                <w:szCs w:val="21"/>
              </w:rPr>
              <w:t>排放量/（t/a）</w:t>
            </w:r>
          </w:p>
        </w:tc>
        <w:tc>
          <w:tcPr>
            <w:tcW w:w="2996" w:type="dxa"/>
            <w:gridSpan w:val="2"/>
            <w:tcBorders>
              <w:tl2br w:val="nil"/>
              <w:tr2bl w:val="nil"/>
            </w:tcBorders>
          </w:tcPr>
          <w:p w14:paraId="5B3419C1">
            <w:pPr>
              <w:rPr>
                <w:rFonts w:ascii="Times New Roman"/>
                <w:sz w:val="21"/>
                <w:szCs w:val="21"/>
              </w:rPr>
            </w:pPr>
            <w:r>
              <w:rPr>
                <w:rFonts w:ascii="Times New Roman"/>
                <w:sz w:val="21"/>
                <w:szCs w:val="21"/>
              </w:rPr>
              <w:t>排放浓度/（mg/L）</w:t>
            </w:r>
          </w:p>
        </w:tc>
      </w:tr>
      <w:tr w14:paraId="62FD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6A17E250">
            <w:pPr>
              <w:jc w:val="center"/>
              <w:rPr>
                <w:rFonts w:ascii="Times New Roman"/>
                <w:sz w:val="21"/>
                <w:szCs w:val="21"/>
              </w:rPr>
            </w:pPr>
          </w:p>
        </w:tc>
        <w:tc>
          <w:tcPr>
            <w:tcW w:w="2576" w:type="dxa"/>
            <w:vMerge w:val="continue"/>
            <w:tcBorders>
              <w:tl2br w:val="nil"/>
              <w:tr2bl w:val="nil"/>
            </w:tcBorders>
            <w:vAlign w:val="center"/>
          </w:tcPr>
          <w:p w14:paraId="4F0E5423">
            <w:pPr>
              <w:jc w:val="center"/>
              <w:rPr>
                <w:rFonts w:ascii="Times New Roman"/>
                <w:sz w:val="21"/>
                <w:szCs w:val="21"/>
              </w:rPr>
            </w:pPr>
          </w:p>
        </w:tc>
        <w:tc>
          <w:tcPr>
            <w:tcW w:w="1866" w:type="dxa"/>
            <w:tcBorders>
              <w:tl2br w:val="nil"/>
              <w:tr2bl w:val="nil"/>
            </w:tcBorders>
          </w:tcPr>
          <w:p w14:paraId="08DB2DF0">
            <w:pPr>
              <w:rPr>
                <w:rFonts w:ascii="Times New Roman"/>
                <w:sz w:val="21"/>
                <w:szCs w:val="21"/>
              </w:rPr>
            </w:pPr>
            <w:r>
              <w:rPr>
                <w:rFonts w:ascii="Times New Roman"/>
                <w:sz w:val="21"/>
                <w:szCs w:val="21"/>
              </w:rPr>
              <w:t>（   ）</w:t>
            </w:r>
          </w:p>
        </w:tc>
        <w:tc>
          <w:tcPr>
            <w:tcW w:w="1700" w:type="dxa"/>
            <w:gridSpan w:val="2"/>
            <w:tcBorders>
              <w:tl2br w:val="nil"/>
              <w:tr2bl w:val="nil"/>
            </w:tcBorders>
          </w:tcPr>
          <w:p w14:paraId="5A8F863B">
            <w:pPr>
              <w:rPr>
                <w:rFonts w:ascii="Times New Roman"/>
                <w:sz w:val="21"/>
                <w:szCs w:val="21"/>
              </w:rPr>
            </w:pPr>
            <w:r>
              <w:rPr>
                <w:rFonts w:ascii="Times New Roman"/>
                <w:sz w:val="21"/>
                <w:szCs w:val="21"/>
              </w:rPr>
              <w:t>（   ）</w:t>
            </w:r>
          </w:p>
        </w:tc>
        <w:tc>
          <w:tcPr>
            <w:tcW w:w="1397" w:type="dxa"/>
            <w:tcBorders>
              <w:tl2br w:val="nil"/>
              <w:tr2bl w:val="nil"/>
            </w:tcBorders>
          </w:tcPr>
          <w:p w14:paraId="44F0E0CA">
            <w:pPr>
              <w:rPr>
                <w:rFonts w:ascii="Times New Roman"/>
                <w:sz w:val="21"/>
                <w:szCs w:val="21"/>
              </w:rPr>
            </w:pPr>
            <w:r>
              <w:rPr>
                <w:rFonts w:ascii="Times New Roman"/>
                <w:sz w:val="21"/>
                <w:szCs w:val="21"/>
              </w:rPr>
              <w:t>（   ）</w:t>
            </w:r>
          </w:p>
        </w:tc>
        <w:tc>
          <w:tcPr>
            <w:tcW w:w="3178" w:type="dxa"/>
            <w:gridSpan w:val="2"/>
            <w:tcBorders>
              <w:tl2br w:val="nil"/>
              <w:tr2bl w:val="nil"/>
            </w:tcBorders>
          </w:tcPr>
          <w:p w14:paraId="56CE8B4C">
            <w:pPr>
              <w:rPr>
                <w:rFonts w:ascii="Times New Roman"/>
                <w:sz w:val="21"/>
                <w:szCs w:val="21"/>
              </w:rPr>
            </w:pPr>
            <w:r>
              <w:rPr>
                <w:rFonts w:ascii="Times New Roman"/>
                <w:sz w:val="21"/>
                <w:szCs w:val="21"/>
              </w:rPr>
              <w:t>（   ）</w:t>
            </w:r>
          </w:p>
        </w:tc>
        <w:tc>
          <w:tcPr>
            <w:tcW w:w="2996" w:type="dxa"/>
            <w:gridSpan w:val="2"/>
            <w:tcBorders>
              <w:tl2br w:val="nil"/>
              <w:tr2bl w:val="nil"/>
            </w:tcBorders>
          </w:tcPr>
          <w:p w14:paraId="71DB4640">
            <w:pPr>
              <w:rPr>
                <w:rFonts w:ascii="Times New Roman"/>
                <w:sz w:val="21"/>
                <w:szCs w:val="21"/>
              </w:rPr>
            </w:pPr>
            <w:r>
              <w:rPr>
                <w:rFonts w:ascii="Times New Roman"/>
                <w:sz w:val="21"/>
                <w:szCs w:val="21"/>
              </w:rPr>
              <w:t>（   ）</w:t>
            </w:r>
          </w:p>
        </w:tc>
      </w:tr>
      <w:tr w14:paraId="08FB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26" w:type="dxa"/>
            <w:vMerge w:val="continue"/>
            <w:tcBorders>
              <w:tl2br w:val="nil"/>
              <w:tr2bl w:val="nil"/>
            </w:tcBorders>
            <w:vAlign w:val="center"/>
          </w:tcPr>
          <w:p w14:paraId="0C4C0DE5">
            <w:pPr>
              <w:jc w:val="center"/>
              <w:rPr>
                <w:rFonts w:ascii="Times New Roman"/>
                <w:sz w:val="21"/>
                <w:szCs w:val="21"/>
              </w:rPr>
            </w:pPr>
          </w:p>
        </w:tc>
        <w:tc>
          <w:tcPr>
            <w:tcW w:w="2576" w:type="dxa"/>
            <w:tcBorders>
              <w:tl2br w:val="nil"/>
              <w:tr2bl w:val="nil"/>
            </w:tcBorders>
            <w:vAlign w:val="center"/>
          </w:tcPr>
          <w:p w14:paraId="0723109A">
            <w:pPr>
              <w:jc w:val="center"/>
              <w:rPr>
                <w:rFonts w:ascii="Times New Roman"/>
                <w:sz w:val="21"/>
                <w:szCs w:val="21"/>
              </w:rPr>
            </w:pPr>
            <w:r>
              <w:rPr>
                <w:rFonts w:ascii="Times New Roman"/>
                <w:sz w:val="21"/>
                <w:szCs w:val="21"/>
              </w:rPr>
              <w:t>生态流量确定</w:t>
            </w:r>
          </w:p>
        </w:tc>
        <w:tc>
          <w:tcPr>
            <w:tcW w:w="11137" w:type="dxa"/>
            <w:gridSpan w:val="8"/>
            <w:tcBorders>
              <w:tl2br w:val="nil"/>
              <w:tr2bl w:val="nil"/>
            </w:tcBorders>
          </w:tcPr>
          <w:p w14:paraId="654607F0">
            <w:pPr>
              <w:rPr>
                <w:rFonts w:ascii="Times New Roman"/>
                <w:sz w:val="21"/>
                <w:szCs w:val="21"/>
              </w:rPr>
            </w:pPr>
            <w:r>
              <w:rPr>
                <w:rFonts w:ascii="Times New Roman"/>
                <w:sz w:val="21"/>
                <w:szCs w:val="21"/>
              </w:rPr>
              <w:t>生态流量：一般水期 （   ） m</w:t>
            </w:r>
            <w:r>
              <w:rPr>
                <w:rFonts w:ascii="Times New Roman"/>
                <w:sz w:val="21"/>
                <w:szCs w:val="21"/>
                <w:vertAlign w:val="superscript"/>
              </w:rPr>
              <w:t>3</w:t>
            </w:r>
            <w:r>
              <w:rPr>
                <w:rFonts w:ascii="Times New Roman"/>
                <w:sz w:val="21"/>
                <w:szCs w:val="21"/>
              </w:rPr>
              <w:t>/s；鱼类繁殖期 （   ）m</w:t>
            </w:r>
            <w:r>
              <w:rPr>
                <w:rFonts w:ascii="Times New Roman"/>
                <w:sz w:val="21"/>
                <w:szCs w:val="21"/>
                <w:vertAlign w:val="superscript"/>
              </w:rPr>
              <w:t>3</w:t>
            </w:r>
            <w:r>
              <w:rPr>
                <w:rFonts w:ascii="Times New Roman"/>
                <w:sz w:val="21"/>
                <w:szCs w:val="21"/>
              </w:rPr>
              <w:t>/s； 其他（     ）m</w:t>
            </w:r>
            <w:r>
              <w:rPr>
                <w:rFonts w:ascii="Times New Roman"/>
                <w:sz w:val="21"/>
                <w:szCs w:val="21"/>
                <w:vertAlign w:val="superscript"/>
              </w:rPr>
              <w:t>3</w:t>
            </w:r>
            <w:r>
              <w:rPr>
                <w:rFonts w:ascii="Times New Roman"/>
                <w:sz w:val="21"/>
                <w:szCs w:val="21"/>
              </w:rPr>
              <w:t>/s</w:t>
            </w:r>
          </w:p>
          <w:p w14:paraId="1F310C63">
            <w:pPr>
              <w:rPr>
                <w:rFonts w:ascii="Times New Roman"/>
                <w:sz w:val="21"/>
                <w:szCs w:val="21"/>
              </w:rPr>
            </w:pPr>
            <w:r>
              <w:rPr>
                <w:rFonts w:ascii="Times New Roman"/>
                <w:sz w:val="21"/>
                <w:szCs w:val="21"/>
              </w:rPr>
              <w:t>生态水位：一般水期（    ）m；鱼类繁殖期（   ）m；其他（    ）m</w:t>
            </w:r>
          </w:p>
        </w:tc>
      </w:tr>
      <w:tr w14:paraId="17D2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restart"/>
            <w:tcBorders>
              <w:tl2br w:val="nil"/>
              <w:tr2bl w:val="nil"/>
            </w:tcBorders>
            <w:vAlign w:val="center"/>
          </w:tcPr>
          <w:p w14:paraId="5D612A93">
            <w:pPr>
              <w:jc w:val="center"/>
              <w:rPr>
                <w:rFonts w:ascii="Times New Roman"/>
                <w:sz w:val="21"/>
                <w:szCs w:val="21"/>
              </w:rPr>
            </w:pPr>
            <w:r>
              <w:rPr>
                <w:rFonts w:ascii="Times New Roman"/>
                <w:sz w:val="21"/>
                <w:szCs w:val="21"/>
              </w:rPr>
              <w:t>防治措施</w:t>
            </w:r>
          </w:p>
        </w:tc>
        <w:tc>
          <w:tcPr>
            <w:tcW w:w="2576" w:type="dxa"/>
            <w:tcBorders>
              <w:tl2br w:val="nil"/>
              <w:tr2bl w:val="nil"/>
            </w:tcBorders>
            <w:vAlign w:val="center"/>
          </w:tcPr>
          <w:p w14:paraId="05A40263">
            <w:pPr>
              <w:jc w:val="center"/>
              <w:rPr>
                <w:rFonts w:ascii="Times New Roman"/>
                <w:sz w:val="21"/>
                <w:szCs w:val="21"/>
              </w:rPr>
            </w:pPr>
            <w:r>
              <w:rPr>
                <w:rFonts w:ascii="Times New Roman"/>
                <w:sz w:val="21"/>
                <w:szCs w:val="21"/>
              </w:rPr>
              <w:t>环保措施</w:t>
            </w:r>
          </w:p>
        </w:tc>
        <w:tc>
          <w:tcPr>
            <w:tcW w:w="11137" w:type="dxa"/>
            <w:gridSpan w:val="8"/>
            <w:tcBorders>
              <w:tl2br w:val="nil"/>
              <w:tr2bl w:val="nil"/>
            </w:tcBorders>
          </w:tcPr>
          <w:p w14:paraId="4D3DFC0F">
            <w:pPr>
              <w:rPr>
                <w:rFonts w:ascii="Times New Roman"/>
                <w:sz w:val="21"/>
                <w:szCs w:val="21"/>
              </w:rPr>
            </w:pPr>
            <w:r>
              <w:rPr>
                <w:rFonts w:ascii="Times New Roman"/>
                <w:sz w:val="21"/>
                <w:szCs w:val="21"/>
              </w:rPr>
              <w:t>污水处理设施</w:t>
            </w:r>
            <w:r>
              <w:rPr>
                <w:rFonts w:ascii="Times New Roman"/>
                <w:sz w:val="21"/>
                <w:szCs w:val="21"/>
              </w:rPr>
              <w:sym w:font="Wingdings 2" w:char="0052"/>
            </w:r>
            <w:r>
              <w:rPr>
                <w:rFonts w:ascii="Times New Roman"/>
                <w:sz w:val="21"/>
                <w:szCs w:val="21"/>
              </w:rPr>
              <w:t>；水文减缓设施□；生态流量保障设施□；区域消减□；依托其他工程措施</w:t>
            </w:r>
            <w:r>
              <w:rPr>
                <w:rFonts w:ascii="Times New Roman"/>
                <w:sz w:val="21"/>
                <w:szCs w:val="21"/>
              </w:rPr>
              <w:sym w:font="Wingdings 2" w:char="0052"/>
            </w:r>
            <w:r>
              <w:rPr>
                <w:rFonts w:ascii="Times New Roman"/>
                <w:sz w:val="21"/>
                <w:szCs w:val="21"/>
              </w:rPr>
              <w:t>；其他□</w:t>
            </w:r>
          </w:p>
        </w:tc>
      </w:tr>
      <w:tr w14:paraId="54A8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44246153">
            <w:pPr>
              <w:jc w:val="center"/>
              <w:rPr>
                <w:rFonts w:ascii="Times New Roman"/>
                <w:sz w:val="21"/>
                <w:szCs w:val="21"/>
              </w:rPr>
            </w:pPr>
          </w:p>
        </w:tc>
        <w:tc>
          <w:tcPr>
            <w:tcW w:w="2576" w:type="dxa"/>
            <w:vMerge w:val="restart"/>
            <w:tcBorders>
              <w:tl2br w:val="nil"/>
              <w:tr2bl w:val="nil"/>
            </w:tcBorders>
            <w:vAlign w:val="center"/>
          </w:tcPr>
          <w:p w14:paraId="58C96DCE">
            <w:pPr>
              <w:jc w:val="center"/>
              <w:rPr>
                <w:rFonts w:ascii="Times New Roman"/>
                <w:sz w:val="21"/>
                <w:szCs w:val="21"/>
              </w:rPr>
            </w:pPr>
            <w:r>
              <w:rPr>
                <w:rFonts w:ascii="Times New Roman"/>
                <w:sz w:val="21"/>
                <w:szCs w:val="21"/>
              </w:rPr>
              <w:t>监测计划</w:t>
            </w:r>
          </w:p>
        </w:tc>
        <w:tc>
          <w:tcPr>
            <w:tcW w:w="1866" w:type="dxa"/>
            <w:tcBorders>
              <w:tl2br w:val="nil"/>
              <w:tr2bl w:val="nil"/>
            </w:tcBorders>
            <w:vAlign w:val="center"/>
          </w:tcPr>
          <w:p w14:paraId="3F7B3FDC">
            <w:pPr>
              <w:jc w:val="center"/>
              <w:rPr>
                <w:rFonts w:ascii="Times New Roman"/>
                <w:sz w:val="21"/>
                <w:szCs w:val="21"/>
              </w:rPr>
            </w:pPr>
          </w:p>
        </w:tc>
        <w:tc>
          <w:tcPr>
            <w:tcW w:w="4158" w:type="dxa"/>
            <w:gridSpan w:val="4"/>
            <w:tcBorders>
              <w:tl2br w:val="nil"/>
              <w:tr2bl w:val="nil"/>
            </w:tcBorders>
            <w:vAlign w:val="center"/>
          </w:tcPr>
          <w:p w14:paraId="7C435270">
            <w:pPr>
              <w:jc w:val="center"/>
              <w:rPr>
                <w:rFonts w:ascii="Times New Roman"/>
                <w:sz w:val="21"/>
                <w:szCs w:val="21"/>
              </w:rPr>
            </w:pPr>
            <w:r>
              <w:rPr>
                <w:rFonts w:ascii="Times New Roman"/>
                <w:sz w:val="21"/>
                <w:szCs w:val="21"/>
              </w:rPr>
              <w:t>环境质量</w:t>
            </w:r>
          </w:p>
        </w:tc>
        <w:tc>
          <w:tcPr>
            <w:tcW w:w="5113" w:type="dxa"/>
            <w:gridSpan w:val="3"/>
            <w:tcBorders>
              <w:tl2br w:val="nil"/>
              <w:tr2bl w:val="nil"/>
            </w:tcBorders>
            <w:vAlign w:val="center"/>
          </w:tcPr>
          <w:p w14:paraId="7BC2124D">
            <w:pPr>
              <w:jc w:val="center"/>
              <w:rPr>
                <w:rFonts w:ascii="Times New Roman"/>
                <w:sz w:val="21"/>
                <w:szCs w:val="21"/>
              </w:rPr>
            </w:pPr>
            <w:r>
              <w:rPr>
                <w:rFonts w:ascii="Times New Roman"/>
                <w:sz w:val="21"/>
                <w:szCs w:val="21"/>
              </w:rPr>
              <w:t>污染源</w:t>
            </w:r>
          </w:p>
        </w:tc>
      </w:tr>
      <w:tr w14:paraId="5A6B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64DAAE44">
            <w:pPr>
              <w:jc w:val="center"/>
              <w:rPr>
                <w:rFonts w:ascii="Times New Roman"/>
                <w:sz w:val="21"/>
                <w:szCs w:val="21"/>
              </w:rPr>
            </w:pPr>
          </w:p>
        </w:tc>
        <w:tc>
          <w:tcPr>
            <w:tcW w:w="2576" w:type="dxa"/>
            <w:vMerge w:val="continue"/>
            <w:tcBorders>
              <w:tl2br w:val="nil"/>
              <w:tr2bl w:val="nil"/>
            </w:tcBorders>
            <w:vAlign w:val="center"/>
          </w:tcPr>
          <w:p w14:paraId="45237A4D">
            <w:pPr>
              <w:jc w:val="center"/>
              <w:rPr>
                <w:rFonts w:ascii="Times New Roman"/>
                <w:sz w:val="21"/>
                <w:szCs w:val="21"/>
              </w:rPr>
            </w:pPr>
          </w:p>
        </w:tc>
        <w:tc>
          <w:tcPr>
            <w:tcW w:w="1866" w:type="dxa"/>
            <w:tcBorders>
              <w:tl2br w:val="nil"/>
              <w:tr2bl w:val="nil"/>
            </w:tcBorders>
            <w:vAlign w:val="center"/>
          </w:tcPr>
          <w:p w14:paraId="57624DE4">
            <w:pPr>
              <w:jc w:val="center"/>
              <w:rPr>
                <w:rFonts w:ascii="Times New Roman"/>
                <w:sz w:val="21"/>
                <w:szCs w:val="21"/>
              </w:rPr>
            </w:pPr>
            <w:r>
              <w:rPr>
                <w:rFonts w:ascii="Times New Roman"/>
                <w:sz w:val="21"/>
                <w:szCs w:val="21"/>
              </w:rPr>
              <w:t>监测方式</w:t>
            </w:r>
          </w:p>
        </w:tc>
        <w:tc>
          <w:tcPr>
            <w:tcW w:w="4158" w:type="dxa"/>
            <w:gridSpan w:val="4"/>
            <w:tcBorders>
              <w:tl2br w:val="nil"/>
              <w:tr2bl w:val="nil"/>
            </w:tcBorders>
            <w:vAlign w:val="center"/>
          </w:tcPr>
          <w:p w14:paraId="50B3F067">
            <w:pPr>
              <w:jc w:val="center"/>
              <w:rPr>
                <w:rFonts w:ascii="Times New Roman"/>
                <w:sz w:val="21"/>
                <w:szCs w:val="21"/>
              </w:rPr>
            </w:pPr>
            <w:r>
              <w:rPr>
                <w:rFonts w:ascii="Times New Roman"/>
                <w:sz w:val="21"/>
                <w:szCs w:val="21"/>
              </w:rPr>
              <w:t>手动□；自动□；无监测□</w:t>
            </w:r>
          </w:p>
        </w:tc>
        <w:tc>
          <w:tcPr>
            <w:tcW w:w="5113" w:type="dxa"/>
            <w:gridSpan w:val="3"/>
            <w:tcBorders>
              <w:tl2br w:val="nil"/>
              <w:tr2bl w:val="nil"/>
            </w:tcBorders>
            <w:vAlign w:val="center"/>
          </w:tcPr>
          <w:p w14:paraId="27B10B71">
            <w:pPr>
              <w:jc w:val="center"/>
              <w:rPr>
                <w:rFonts w:ascii="Times New Roman"/>
                <w:sz w:val="21"/>
                <w:szCs w:val="21"/>
              </w:rPr>
            </w:pPr>
            <w:r>
              <w:rPr>
                <w:rFonts w:ascii="Times New Roman"/>
                <w:sz w:val="21"/>
                <w:szCs w:val="21"/>
              </w:rPr>
              <w:t>手动</w:t>
            </w:r>
            <w:r>
              <w:rPr>
                <w:rFonts w:ascii="Times New Roman"/>
                <w:sz w:val="21"/>
                <w:szCs w:val="21"/>
              </w:rPr>
              <w:sym w:font="Wingdings 2" w:char="0052"/>
            </w:r>
            <w:r>
              <w:rPr>
                <w:rFonts w:ascii="Times New Roman"/>
                <w:sz w:val="21"/>
                <w:szCs w:val="21"/>
              </w:rPr>
              <w:t>；自动□；无监测□</w:t>
            </w:r>
          </w:p>
        </w:tc>
      </w:tr>
      <w:tr w14:paraId="6901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202AEB38">
            <w:pPr>
              <w:jc w:val="center"/>
              <w:rPr>
                <w:rFonts w:ascii="Times New Roman"/>
                <w:sz w:val="21"/>
                <w:szCs w:val="21"/>
              </w:rPr>
            </w:pPr>
          </w:p>
        </w:tc>
        <w:tc>
          <w:tcPr>
            <w:tcW w:w="2576" w:type="dxa"/>
            <w:vMerge w:val="continue"/>
            <w:tcBorders>
              <w:tl2br w:val="nil"/>
              <w:tr2bl w:val="nil"/>
            </w:tcBorders>
            <w:vAlign w:val="center"/>
          </w:tcPr>
          <w:p w14:paraId="5D02A48B">
            <w:pPr>
              <w:jc w:val="center"/>
              <w:rPr>
                <w:rFonts w:ascii="Times New Roman"/>
                <w:sz w:val="21"/>
                <w:szCs w:val="21"/>
              </w:rPr>
            </w:pPr>
          </w:p>
        </w:tc>
        <w:tc>
          <w:tcPr>
            <w:tcW w:w="1866" w:type="dxa"/>
            <w:tcBorders>
              <w:tl2br w:val="nil"/>
              <w:tr2bl w:val="nil"/>
            </w:tcBorders>
            <w:vAlign w:val="center"/>
          </w:tcPr>
          <w:p w14:paraId="4D2F4AF5">
            <w:pPr>
              <w:jc w:val="center"/>
              <w:rPr>
                <w:rFonts w:ascii="Times New Roman"/>
                <w:sz w:val="21"/>
                <w:szCs w:val="21"/>
              </w:rPr>
            </w:pPr>
            <w:r>
              <w:rPr>
                <w:rFonts w:ascii="Times New Roman"/>
                <w:sz w:val="21"/>
                <w:szCs w:val="21"/>
              </w:rPr>
              <w:t>监测点位</w:t>
            </w:r>
          </w:p>
        </w:tc>
        <w:tc>
          <w:tcPr>
            <w:tcW w:w="4158" w:type="dxa"/>
            <w:gridSpan w:val="4"/>
            <w:tcBorders>
              <w:tl2br w:val="nil"/>
              <w:tr2bl w:val="nil"/>
            </w:tcBorders>
            <w:vAlign w:val="center"/>
          </w:tcPr>
          <w:p w14:paraId="396D36AD">
            <w:pPr>
              <w:jc w:val="center"/>
              <w:rPr>
                <w:rFonts w:ascii="Times New Roman"/>
                <w:sz w:val="21"/>
                <w:szCs w:val="21"/>
              </w:rPr>
            </w:pPr>
            <w:r>
              <w:rPr>
                <w:rFonts w:ascii="Times New Roman"/>
                <w:sz w:val="21"/>
                <w:szCs w:val="21"/>
              </w:rPr>
              <w:t>（   ）</w:t>
            </w:r>
          </w:p>
        </w:tc>
        <w:tc>
          <w:tcPr>
            <w:tcW w:w="5113" w:type="dxa"/>
            <w:gridSpan w:val="3"/>
            <w:tcBorders>
              <w:tl2br w:val="nil"/>
              <w:tr2bl w:val="nil"/>
            </w:tcBorders>
            <w:vAlign w:val="center"/>
          </w:tcPr>
          <w:p w14:paraId="1D069223">
            <w:pPr>
              <w:jc w:val="center"/>
              <w:rPr>
                <w:rFonts w:ascii="Times New Roman"/>
                <w:sz w:val="21"/>
                <w:szCs w:val="21"/>
              </w:rPr>
            </w:pPr>
            <w:r>
              <w:rPr>
                <w:rFonts w:ascii="Times New Roman"/>
                <w:sz w:val="21"/>
                <w:szCs w:val="21"/>
              </w:rPr>
              <w:t>（厂区废水排放口）</w:t>
            </w:r>
          </w:p>
        </w:tc>
      </w:tr>
      <w:tr w14:paraId="3680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4F26E941">
            <w:pPr>
              <w:jc w:val="center"/>
              <w:rPr>
                <w:rFonts w:ascii="Times New Roman"/>
                <w:sz w:val="21"/>
                <w:szCs w:val="21"/>
              </w:rPr>
            </w:pPr>
          </w:p>
        </w:tc>
        <w:tc>
          <w:tcPr>
            <w:tcW w:w="2576" w:type="dxa"/>
            <w:vMerge w:val="continue"/>
            <w:tcBorders>
              <w:tl2br w:val="nil"/>
              <w:tr2bl w:val="nil"/>
            </w:tcBorders>
            <w:vAlign w:val="center"/>
          </w:tcPr>
          <w:p w14:paraId="4D15D8E3">
            <w:pPr>
              <w:jc w:val="center"/>
              <w:rPr>
                <w:rFonts w:ascii="Times New Roman"/>
                <w:sz w:val="21"/>
                <w:szCs w:val="21"/>
              </w:rPr>
            </w:pPr>
          </w:p>
        </w:tc>
        <w:tc>
          <w:tcPr>
            <w:tcW w:w="1866" w:type="dxa"/>
            <w:tcBorders>
              <w:tl2br w:val="nil"/>
              <w:tr2bl w:val="nil"/>
            </w:tcBorders>
            <w:vAlign w:val="center"/>
          </w:tcPr>
          <w:p w14:paraId="73F03890">
            <w:pPr>
              <w:jc w:val="center"/>
              <w:rPr>
                <w:rFonts w:ascii="Times New Roman"/>
                <w:sz w:val="21"/>
                <w:szCs w:val="21"/>
              </w:rPr>
            </w:pPr>
            <w:r>
              <w:rPr>
                <w:rFonts w:ascii="Times New Roman"/>
                <w:sz w:val="21"/>
                <w:szCs w:val="21"/>
              </w:rPr>
              <w:t>监测因子</w:t>
            </w:r>
          </w:p>
        </w:tc>
        <w:tc>
          <w:tcPr>
            <w:tcW w:w="4158" w:type="dxa"/>
            <w:gridSpan w:val="4"/>
            <w:tcBorders>
              <w:tl2br w:val="nil"/>
              <w:tr2bl w:val="nil"/>
            </w:tcBorders>
            <w:vAlign w:val="center"/>
          </w:tcPr>
          <w:p w14:paraId="1706E6B4">
            <w:pPr>
              <w:jc w:val="center"/>
              <w:rPr>
                <w:rFonts w:ascii="Times New Roman"/>
                <w:sz w:val="21"/>
                <w:szCs w:val="21"/>
              </w:rPr>
            </w:pPr>
            <w:r>
              <w:rPr>
                <w:rFonts w:ascii="Times New Roman"/>
                <w:sz w:val="21"/>
                <w:szCs w:val="21"/>
              </w:rPr>
              <w:t>（   ）</w:t>
            </w:r>
          </w:p>
        </w:tc>
        <w:tc>
          <w:tcPr>
            <w:tcW w:w="5113" w:type="dxa"/>
            <w:gridSpan w:val="3"/>
            <w:tcBorders>
              <w:tl2br w:val="nil"/>
              <w:tr2bl w:val="nil"/>
            </w:tcBorders>
            <w:vAlign w:val="center"/>
          </w:tcPr>
          <w:p w14:paraId="2B46C7EC">
            <w:pPr>
              <w:jc w:val="center"/>
              <w:rPr>
                <w:rFonts w:ascii="Times New Roman"/>
                <w:sz w:val="21"/>
                <w:szCs w:val="21"/>
              </w:rPr>
            </w:pPr>
            <w:r>
              <w:rPr>
                <w:rFonts w:ascii="Times New Roman"/>
                <w:sz w:val="21"/>
                <w:szCs w:val="21"/>
              </w:rPr>
              <w:t>（pH、COD、氨氮、SS、BOD</w:t>
            </w:r>
            <w:r>
              <w:rPr>
                <w:rFonts w:ascii="Times New Roman"/>
                <w:sz w:val="21"/>
                <w:szCs w:val="21"/>
                <w:vertAlign w:val="subscript"/>
              </w:rPr>
              <w:t>5</w:t>
            </w:r>
            <w:r>
              <w:rPr>
                <w:rFonts w:ascii="Times New Roman"/>
                <w:sz w:val="21"/>
                <w:szCs w:val="21"/>
              </w:rPr>
              <w:t>、总磷、总氮</w:t>
            </w:r>
            <w:r>
              <w:rPr>
                <w:rFonts w:hint="eastAsia" w:ascii="Times New Roman"/>
                <w:sz w:val="21"/>
                <w:szCs w:val="21"/>
              </w:rPr>
              <w:t>、动植物油、石油类</w:t>
            </w:r>
            <w:r>
              <w:rPr>
                <w:rFonts w:ascii="Times New Roman"/>
                <w:sz w:val="21"/>
                <w:szCs w:val="21"/>
              </w:rPr>
              <w:t>）</w:t>
            </w:r>
          </w:p>
        </w:tc>
      </w:tr>
      <w:tr w14:paraId="4E5E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6" w:type="dxa"/>
            <w:vMerge w:val="continue"/>
            <w:tcBorders>
              <w:tl2br w:val="nil"/>
              <w:tr2bl w:val="nil"/>
            </w:tcBorders>
            <w:vAlign w:val="center"/>
          </w:tcPr>
          <w:p w14:paraId="595D8E7F">
            <w:pPr>
              <w:jc w:val="center"/>
              <w:rPr>
                <w:rFonts w:ascii="Times New Roman"/>
                <w:sz w:val="21"/>
                <w:szCs w:val="21"/>
              </w:rPr>
            </w:pPr>
          </w:p>
        </w:tc>
        <w:tc>
          <w:tcPr>
            <w:tcW w:w="2576" w:type="dxa"/>
            <w:tcBorders>
              <w:tl2br w:val="nil"/>
              <w:tr2bl w:val="nil"/>
            </w:tcBorders>
            <w:vAlign w:val="center"/>
          </w:tcPr>
          <w:p w14:paraId="10397F1B">
            <w:pPr>
              <w:jc w:val="center"/>
              <w:rPr>
                <w:rFonts w:ascii="Times New Roman"/>
                <w:sz w:val="21"/>
                <w:szCs w:val="21"/>
              </w:rPr>
            </w:pPr>
            <w:r>
              <w:rPr>
                <w:rFonts w:ascii="Times New Roman"/>
                <w:sz w:val="21"/>
                <w:szCs w:val="21"/>
              </w:rPr>
              <w:t>污染物排放清单</w:t>
            </w:r>
          </w:p>
        </w:tc>
        <w:tc>
          <w:tcPr>
            <w:tcW w:w="11137" w:type="dxa"/>
            <w:gridSpan w:val="8"/>
            <w:tcBorders>
              <w:tl2br w:val="nil"/>
              <w:tr2bl w:val="nil"/>
            </w:tcBorders>
          </w:tcPr>
          <w:p w14:paraId="351E36FB">
            <w:pPr>
              <w:rPr>
                <w:rFonts w:ascii="Times New Roman"/>
                <w:sz w:val="21"/>
                <w:szCs w:val="21"/>
              </w:rPr>
            </w:pPr>
            <w:r>
              <w:rPr>
                <w:rFonts w:ascii="Times New Roman"/>
                <w:sz w:val="21"/>
                <w:szCs w:val="21"/>
              </w:rPr>
              <w:sym w:font="Wingdings 2" w:char="0052"/>
            </w:r>
          </w:p>
        </w:tc>
      </w:tr>
      <w:tr w14:paraId="2CDD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102" w:type="dxa"/>
            <w:gridSpan w:val="2"/>
            <w:tcBorders>
              <w:tl2br w:val="nil"/>
              <w:tr2bl w:val="nil"/>
            </w:tcBorders>
            <w:vAlign w:val="center"/>
          </w:tcPr>
          <w:p w14:paraId="474861EA">
            <w:pPr>
              <w:jc w:val="center"/>
              <w:rPr>
                <w:rFonts w:ascii="Times New Roman"/>
                <w:sz w:val="21"/>
                <w:szCs w:val="21"/>
              </w:rPr>
            </w:pPr>
            <w:r>
              <w:rPr>
                <w:rFonts w:ascii="Times New Roman"/>
                <w:sz w:val="21"/>
                <w:szCs w:val="21"/>
              </w:rPr>
              <w:t>评价结论</w:t>
            </w:r>
          </w:p>
        </w:tc>
        <w:tc>
          <w:tcPr>
            <w:tcW w:w="11137" w:type="dxa"/>
            <w:gridSpan w:val="8"/>
            <w:tcBorders>
              <w:tl2br w:val="nil"/>
              <w:tr2bl w:val="nil"/>
            </w:tcBorders>
          </w:tcPr>
          <w:p w14:paraId="49778818">
            <w:pPr>
              <w:rPr>
                <w:rFonts w:ascii="Times New Roman"/>
                <w:sz w:val="21"/>
                <w:szCs w:val="21"/>
              </w:rPr>
            </w:pPr>
            <w:r>
              <w:rPr>
                <w:rFonts w:ascii="Times New Roman"/>
                <w:sz w:val="21"/>
                <w:szCs w:val="21"/>
              </w:rPr>
              <w:t>可以接受</w:t>
            </w:r>
            <w:r>
              <w:rPr>
                <w:rFonts w:ascii="Times New Roman"/>
                <w:sz w:val="21"/>
                <w:szCs w:val="21"/>
              </w:rPr>
              <w:sym w:font="Wingdings 2" w:char="0052"/>
            </w:r>
            <w:r>
              <w:rPr>
                <w:rFonts w:ascii="Times New Roman"/>
                <w:sz w:val="21"/>
                <w:szCs w:val="21"/>
              </w:rPr>
              <w:t>；不可以接受□</w:t>
            </w:r>
          </w:p>
        </w:tc>
      </w:tr>
    </w:tbl>
    <w:p w14:paraId="5E2309E1">
      <w:pPr>
        <w:adjustRightInd w:val="0"/>
        <w:spacing w:line="480" w:lineRule="exact"/>
        <w:jc w:val="center"/>
        <w:textAlignment w:val="baseline"/>
        <w:rPr>
          <w:rFonts w:ascii="Times New Roman"/>
          <w:b/>
          <w:sz w:val="24"/>
          <w:szCs w:val="24"/>
        </w:rPr>
        <w:sectPr>
          <w:pgSz w:w="16838" w:h="11906" w:orient="landscape"/>
          <w:pgMar w:top="1800" w:right="1440" w:bottom="1800" w:left="1440" w:header="1134" w:footer="1134" w:gutter="0"/>
          <w:cols w:space="425" w:num="1"/>
          <w:docGrid w:type="lines" w:linePitch="340" w:charSpace="0"/>
        </w:sectPr>
      </w:pPr>
    </w:p>
    <w:p w14:paraId="6323854F">
      <w:pPr>
        <w:tabs>
          <w:tab w:val="left" w:pos="1170"/>
        </w:tabs>
        <w:spacing w:line="520" w:lineRule="exact"/>
        <w:outlineLvl w:val="2"/>
        <w:rPr>
          <w:rFonts w:ascii="Times New Roman"/>
          <w:b/>
          <w:sz w:val="28"/>
          <w:szCs w:val="28"/>
        </w:rPr>
      </w:pPr>
      <w:r>
        <w:rPr>
          <w:rFonts w:ascii="Times New Roman"/>
          <w:b/>
          <w:sz w:val="28"/>
          <w:szCs w:val="28"/>
        </w:rPr>
        <w:t>5.2.3地下水环境影响分析</w:t>
      </w:r>
    </w:p>
    <w:p w14:paraId="75B10149">
      <w:pPr>
        <w:keepNext/>
        <w:keepLines/>
        <w:widowControl/>
        <w:spacing w:line="440" w:lineRule="exact"/>
        <w:outlineLvl w:val="3"/>
        <w:rPr>
          <w:rFonts w:ascii="Times New Roman"/>
          <w:b/>
          <w:bCs/>
          <w:kern w:val="0"/>
          <w:sz w:val="24"/>
          <w:szCs w:val="24"/>
        </w:rPr>
      </w:pPr>
      <w:r>
        <w:rPr>
          <w:rFonts w:ascii="Times New Roman"/>
          <w:b/>
          <w:bCs/>
          <w:kern w:val="0"/>
          <w:sz w:val="24"/>
          <w:szCs w:val="24"/>
        </w:rPr>
        <w:t>5.2.3.1区域地质概况</w:t>
      </w:r>
    </w:p>
    <w:p w14:paraId="06997F6B">
      <w:pPr>
        <w:snapToGrid w:val="0"/>
        <w:spacing w:beforeLines="50" w:line="360" w:lineRule="auto"/>
        <w:outlineLvl w:val="3"/>
        <w:rPr>
          <w:rFonts w:ascii="Times New Roman"/>
          <w:b/>
          <w:sz w:val="24"/>
          <w:szCs w:val="24"/>
        </w:rPr>
      </w:pPr>
      <w:r>
        <w:rPr>
          <w:rFonts w:ascii="Times New Roman"/>
          <w:b/>
          <w:sz w:val="24"/>
          <w:szCs w:val="24"/>
        </w:rPr>
        <w:t>（1）地质构造</w:t>
      </w:r>
    </w:p>
    <w:p w14:paraId="0E83346D">
      <w:pPr>
        <w:widowControl/>
        <w:spacing w:line="360" w:lineRule="auto"/>
        <w:ind w:firstLine="480" w:firstLineChars="200"/>
        <w:jc w:val="left"/>
        <w:rPr>
          <w:rFonts w:ascii="Times New Roman"/>
          <w:sz w:val="24"/>
          <w:szCs w:val="24"/>
        </w:rPr>
      </w:pPr>
      <w:r>
        <w:rPr>
          <w:rFonts w:ascii="Times New Roman"/>
          <w:kern w:val="0"/>
          <w:sz w:val="24"/>
          <w:szCs w:val="24"/>
        </w:rPr>
        <w:t>曹妃甸区</w:t>
      </w:r>
      <w:r>
        <w:rPr>
          <w:rFonts w:ascii="Times New Roman" w:eastAsia="TimesNewRomanPSMT"/>
          <w:kern w:val="0"/>
          <w:sz w:val="24"/>
          <w:szCs w:val="24"/>
        </w:rPr>
        <w:t>（</w:t>
      </w:r>
      <w:r>
        <w:rPr>
          <w:rFonts w:ascii="Times New Roman"/>
          <w:kern w:val="0"/>
          <w:sz w:val="24"/>
          <w:szCs w:val="24"/>
        </w:rPr>
        <w:t>原唐海县</w:t>
      </w:r>
      <w:r>
        <w:rPr>
          <w:rFonts w:ascii="Times New Roman" w:eastAsia="TimesNewRomanPSMT"/>
          <w:kern w:val="0"/>
          <w:sz w:val="24"/>
          <w:szCs w:val="24"/>
        </w:rPr>
        <w:t>）</w:t>
      </w:r>
      <w:r>
        <w:rPr>
          <w:rFonts w:ascii="Times New Roman"/>
          <w:kern w:val="0"/>
          <w:sz w:val="24"/>
          <w:szCs w:val="24"/>
        </w:rPr>
        <w:t>所处大地构造位置属黄骅拗陷北部、燕山褶皱带前缘部位。境内主要构造单元是南堡拗陷和柏各庄凸起，二者以西南庄断裂带和柏各庄断裂带为界。其中南堡拗陷是在华北陆台基底上，经中、新生代断块运动发育而成的断陷盆地；柏各庄凸起西自张庄子，东至坨里、杨岭一带，南以西南庄断裂和柏各庄断裂与南堡拗陷相邻。项目区处于华北断坳次一级构造</w:t>
      </w:r>
      <w:r>
        <w:rPr>
          <w:rFonts w:ascii="Times New Roman" w:eastAsia="TimesNewRomanPSMT"/>
          <w:kern w:val="0"/>
          <w:sz w:val="24"/>
          <w:szCs w:val="24"/>
        </w:rPr>
        <w:t>—</w:t>
      </w:r>
      <w:r>
        <w:rPr>
          <w:rFonts w:ascii="Times New Roman"/>
          <w:kern w:val="0"/>
          <w:sz w:val="24"/>
          <w:szCs w:val="24"/>
        </w:rPr>
        <w:t>黄骅坳陷区内，新生代以来，一直处于下降状态，沉积了巨厚的新生界地层，其底板埋深由北至南则增深</w:t>
      </w:r>
      <w:r>
        <w:rPr>
          <w:rFonts w:ascii="Times New Roman" w:eastAsia="TimesNewRomanPSMT"/>
          <w:kern w:val="0"/>
          <w:sz w:val="24"/>
          <w:szCs w:val="24"/>
        </w:rPr>
        <w:t>1000m</w:t>
      </w:r>
      <w:r>
        <w:rPr>
          <w:rFonts w:ascii="Times New Roman"/>
          <w:kern w:val="0"/>
          <w:sz w:val="24"/>
          <w:szCs w:val="24"/>
        </w:rPr>
        <w:t>至2</w:t>
      </w:r>
      <w:r>
        <w:rPr>
          <w:rFonts w:ascii="Times New Roman" w:eastAsia="TimesNewRomanPSMT"/>
          <w:kern w:val="0"/>
          <w:sz w:val="24"/>
          <w:szCs w:val="24"/>
        </w:rPr>
        <w:t>000m</w:t>
      </w:r>
      <w:r>
        <w:rPr>
          <w:rFonts w:ascii="Times New Roman"/>
          <w:kern w:val="0"/>
          <w:sz w:val="24"/>
          <w:szCs w:val="24"/>
        </w:rPr>
        <w:t>。现分述如下：</w:t>
      </w:r>
    </w:p>
    <w:p w14:paraId="1B561572">
      <w:pPr>
        <w:widowControl/>
        <w:spacing w:line="360" w:lineRule="auto"/>
        <w:ind w:firstLine="480" w:firstLineChars="200"/>
        <w:jc w:val="left"/>
        <w:rPr>
          <w:rFonts w:ascii="Times New Roman"/>
          <w:sz w:val="24"/>
          <w:szCs w:val="24"/>
        </w:rPr>
      </w:pPr>
      <w:r>
        <w:rPr>
          <w:rFonts w:ascii="Times New Roman"/>
          <w:kern w:val="0"/>
          <w:sz w:val="24"/>
          <w:szCs w:val="24"/>
        </w:rPr>
        <w:t>滦县</w:t>
      </w:r>
      <w:r>
        <w:rPr>
          <w:rFonts w:ascii="Times New Roman" w:eastAsia="TimesNewRomanPSMT"/>
          <w:kern w:val="0"/>
          <w:sz w:val="24"/>
          <w:szCs w:val="24"/>
        </w:rPr>
        <w:t>-</w:t>
      </w:r>
      <w:r>
        <w:rPr>
          <w:rFonts w:ascii="Times New Roman"/>
          <w:kern w:val="0"/>
          <w:sz w:val="24"/>
          <w:szCs w:val="24"/>
        </w:rPr>
        <w:t>乐亭断裂：为长约</w:t>
      </w:r>
      <w:r>
        <w:rPr>
          <w:rFonts w:ascii="Times New Roman" w:eastAsia="TimesNewRomanPSMT"/>
          <w:kern w:val="0"/>
          <w:sz w:val="24"/>
          <w:szCs w:val="24"/>
        </w:rPr>
        <w:t>30km</w:t>
      </w:r>
      <w:r>
        <w:rPr>
          <w:rFonts w:ascii="Times New Roman"/>
          <w:kern w:val="0"/>
          <w:sz w:val="24"/>
          <w:szCs w:val="24"/>
        </w:rPr>
        <w:t>，走向</w:t>
      </w:r>
      <w:r>
        <w:rPr>
          <w:rFonts w:ascii="Times New Roman" w:eastAsia="TimesNewRomanPSMT"/>
          <w:kern w:val="0"/>
          <w:sz w:val="24"/>
          <w:szCs w:val="24"/>
        </w:rPr>
        <w:t>NW20°</w:t>
      </w:r>
      <w:r>
        <w:rPr>
          <w:rFonts w:ascii="Times New Roman"/>
          <w:kern w:val="0"/>
          <w:sz w:val="24"/>
          <w:szCs w:val="24"/>
        </w:rPr>
        <w:t>，倾向</w:t>
      </w:r>
      <w:r>
        <w:rPr>
          <w:rFonts w:ascii="Times New Roman" w:eastAsia="TimesNewRomanPSMT"/>
          <w:kern w:val="0"/>
          <w:sz w:val="24"/>
          <w:szCs w:val="24"/>
        </w:rPr>
        <w:t>NE</w:t>
      </w:r>
      <w:r>
        <w:rPr>
          <w:rFonts w:ascii="Times New Roman"/>
          <w:kern w:val="0"/>
          <w:sz w:val="24"/>
          <w:szCs w:val="24"/>
        </w:rPr>
        <w:t>，断距</w:t>
      </w:r>
      <w:r>
        <w:rPr>
          <w:rFonts w:ascii="Times New Roman" w:eastAsia="TimesNewRomanPSMT"/>
          <w:kern w:val="0"/>
          <w:sz w:val="24"/>
          <w:szCs w:val="24"/>
        </w:rPr>
        <w:t>120m</w:t>
      </w:r>
      <w:r>
        <w:rPr>
          <w:rFonts w:ascii="Times New Roman"/>
          <w:kern w:val="0"/>
          <w:sz w:val="24"/>
          <w:szCs w:val="24"/>
        </w:rPr>
        <w:t>的逆断层，为一条活动断层。</w:t>
      </w:r>
    </w:p>
    <w:p w14:paraId="72759678">
      <w:pPr>
        <w:widowControl/>
        <w:spacing w:line="360" w:lineRule="auto"/>
        <w:ind w:firstLine="480" w:firstLineChars="200"/>
        <w:jc w:val="left"/>
        <w:rPr>
          <w:rFonts w:ascii="Times New Roman"/>
        </w:rPr>
      </w:pPr>
      <w:r>
        <w:rPr>
          <w:rFonts w:ascii="Times New Roman"/>
          <w:kern w:val="0"/>
          <w:sz w:val="24"/>
          <w:szCs w:val="24"/>
        </w:rPr>
        <w:t>石臼坨断裂：南起于柏各庄断层，向东北</w:t>
      </w:r>
      <w:r>
        <w:rPr>
          <w:rFonts w:ascii="Times New Roman" w:eastAsia="TimesNewRomanPSMT"/>
          <w:kern w:val="0"/>
          <w:sz w:val="24"/>
          <w:szCs w:val="24"/>
        </w:rPr>
        <w:t>-</w:t>
      </w:r>
      <w:r>
        <w:rPr>
          <w:rFonts w:ascii="Times New Roman"/>
          <w:kern w:val="0"/>
          <w:sz w:val="24"/>
          <w:szCs w:val="24"/>
        </w:rPr>
        <w:t>近北东方向延展，倾向南，是构成马头营凸起南部边界的基底断层，呈正断层性质。由于钻孔控制较少，研究程度尚低。</w:t>
      </w:r>
    </w:p>
    <w:p w14:paraId="126D9040">
      <w:pPr>
        <w:widowControl/>
        <w:spacing w:line="360" w:lineRule="auto"/>
        <w:ind w:firstLine="480" w:firstLineChars="200"/>
        <w:jc w:val="left"/>
        <w:rPr>
          <w:rFonts w:ascii="Times New Roman"/>
        </w:rPr>
      </w:pPr>
      <w:r>
        <w:rPr>
          <w:rFonts w:ascii="Times New Roman"/>
          <w:kern w:val="0"/>
          <w:sz w:val="24"/>
          <w:szCs w:val="24"/>
        </w:rPr>
        <w:t>宁河</w:t>
      </w:r>
      <w:r>
        <w:rPr>
          <w:rFonts w:ascii="Times New Roman" w:eastAsia="TimesNewRomanPSMT"/>
          <w:kern w:val="0"/>
          <w:sz w:val="24"/>
          <w:szCs w:val="24"/>
        </w:rPr>
        <w:t>-</w:t>
      </w:r>
      <w:r>
        <w:rPr>
          <w:rFonts w:ascii="Times New Roman"/>
          <w:kern w:val="0"/>
          <w:sz w:val="24"/>
          <w:szCs w:val="24"/>
        </w:rPr>
        <w:t>昌黎断裂：是一条主要活动断裂，长度大于</w:t>
      </w:r>
      <w:r>
        <w:rPr>
          <w:rFonts w:ascii="Times New Roman" w:eastAsia="TimesNewRomanPSMT"/>
          <w:kern w:val="0"/>
          <w:sz w:val="24"/>
          <w:szCs w:val="24"/>
        </w:rPr>
        <w:t>130km</w:t>
      </w:r>
      <w:r>
        <w:rPr>
          <w:rFonts w:ascii="Times New Roman"/>
          <w:kern w:val="0"/>
          <w:sz w:val="24"/>
          <w:szCs w:val="24"/>
        </w:rPr>
        <w:t>，走向</w:t>
      </w:r>
      <w:r>
        <w:rPr>
          <w:rFonts w:ascii="Times New Roman" w:eastAsia="TimesNewRomanPSMT"/>
          <w:kern w:val="0"/>
          <w:sz w:val="24"/>
          <w:szCs w:val="24"/>
        </w:rPr>
        <w:t>NEE</w:t>
      </w:r>
      <w:r>
        <w:rPr>
          <w:rFonts w:ascii="Times New Roman"/>
          <w:kern w:val="0"/>
          <w:sz w:val="24"/>
          <w:szCs w:val="24"/>
        </w:rPr>
        <w:t>，倾向</w:t>
      </w:r>
      <w:r>
        <w:rPr>
          <w:rFonts w:ascii="Times New Roman" w:eastAsia="TimesNewRomanPSMT"/>
          <w:kern w:val="0"/>
          <w:sz w:val="24"/>
          <w:szCs w:val="24"/>
        </w:rPr>
        <w:t>SE</w:t>
      </w:r>
      <w:r>
        <w:rPr>
          <w:rFonts w:ascii="Times New Roman"/>
          <w:kern w:val="0"/>
          <w:sz w:val="24"/>
          <w:szCs w:val="24"/>
        </w:rPr>
        <w:t>，倾角</w:t>
      </w:r>
      <w:r>
        <w:rPr>
          <w:rFonts w:ascii="Times New Roman" w:eastAsia="TimesNewRomanPSMT"/>
          <w:kern w:val="0"/>
          <w:sz w:val="24"/>
          <w:szCs w:val="24"/>
        </w:rPr>
        <w:t>60</w:t>
      </w:r>
      <w:r>
        <w:rPr>
          <w:rFonts w:ascii="Times New Roman"/>
          <w:kern w:val="0"/>
          <w:sz w:val="24"/>
          <w:szCs w:val="24"/>
        </w:rPr>
        <w:t>～</w:t>
      </w:r>
      <w:r>
        <w:rPr>
          <w:rFonts w:ascii="Times New Roman" w:eastAsia="TimesNewRomanPSMT"/>
          <w:kern w:val="0"/>
          <w:sz w:val="24"/>
          <w:szCs w:val="24"/>
        </w:rPr>
        <w:t>80°</w:t>
      </w:r>
      <w:r>
        <w:rPr>
          <w:rFonts w:ascii="Times New Roman"/>
          <w:kern w:val="0"/>
          <w:sz w:val="24"/>
          <w:szCs w:val="24"/>
        </w:rPr>
        <w:t>的正断层。通过地震电测深剖面资料，推测为深断裂带。该断裂西起宁河，向东经滦南、昌黎入渤海。该断裂形成于前古生代，中新生代以来发生强烈活动。</w:t>
      </w:r>
    </w:p>
    <w:p w14:paraId="2287278B">
      <w:pPr>
        <w:widowControl/>
        <w:spacing w:line="360" w:lineRule="auto"/>
        <w:ind w:firstLine="480" w:firstLineChars="200"/>
        <w:jc w:val="left"/>
        <w:rPr>
          <w:rFonts w:ascii="Times New Roman"/>
        </w:rPr>
      </w:pPr>
      <w:r>
        <w:rPr>
          <w:rFonts w:ascii="Times New Roman"/>
          <w:kern w:val="0"/>
          <w:sz w:val="24"/>
          <w:szCs w:val="24"/>
        </w:rPr>
        <w:t>柏各庄断裂：该断裂总体走向</w:t>
      </w:r>
      <w:r>
        <w:rPr>
          <w:rFonts w:ascii="Times New Roman" w:eastAsia="TimesNewRomanPSMT"/>
          <w:kern w:val="0"/>
          <w:sz w:val="24"/>
          <w:szCs w:val="24"/>
        </w:rPr>
        <w:t>NW</w:t>
      </w:r>
      <w:r>
        <w:rPr>
          <w:rFonts w:ascii="Times New Roman"/>
          <w:kern w:val="0"/>
          <w:sz w:val="24"/>
          <w:szCs w:val="24"/>
        </w:rPr>
        <w:t>，倾向</w:t>
      </w:r>
      <w:r>
        <w:rPr>
          <w:rFonts w:ascii="Times New Roman" w:eastAsia="TimesNewRomanPSMT"/>
          <w:kern w:val="0"/>
          <w:sz w:val="24"/>
          <w:szCs w:val="24"/>
        </w:rPr>
        <w:t>SW</w:t>
      </w:r>
      <w:r>
        <w:rPr>
          <w:rFonts w:ascii="Times New Roman"/>
          <w:kern w:val="0"/>
          <w:sz w:val="24"/>
          <w:szCs w:val="24"/>
        </w:rPr>
        <w:t>，倾角</w:t>
      </w:r>
      <w:r>
        <w:rPr>
          <w:rFonts w:ascii="Times New Roman" w:eastAsia="TimesNewRomanPSMT"/>
          <w:kern w:val="0"/>
          <w:sz w:val="24"/>
          <w:szCs w:val="24"/>
        </w:rPr>
        <w:t>30</w:t>
      </w:r>
      <w:r>
        <w:rPr>
          <w:rFonts w:ascii="Times New Roman"/>
          <w:kern w:val="0"/>
          <w:sz w:val="24"/>
          <w:szCs w:val="24"/>
        </w:rPr>
        <w:t>～</w:t>
      </w:r>
      <w:r>
        <w:rPr>
          <w:rFonts w:ascii="Times New Roman" w:eastAsia="TimesNewRomanPSMT"/>
          <w:kern w:val="0"/>
          <w:sz w:val="24"/>
          <w:szCs w:val="24"/>
        </w:rPr>
        <w:t>50°</w:t>
      </w:r>
      <w:r>
        <w:rPr>
          <w:rFonts w:ascii="Times New Roman"/>
          <w:kern w:val="0"/>
          <w:sz w:val="24"/>
          <w:szCs w:val="24"/>
        </w:rPr>
        <w:t>，长约</w:t>
      </w:r>
      <w:r>
        <w:rPr>
          <w:rFonts w:ascii="Times New Roman" w:eastAsia="TimesNewRomanPSMT"/>
          <w:kern w:val="0"/>
          <w:sz w:val="24"/>
          <w:szCs w:val="24"/>
        </w:rPr>
        <w:t>35km</w:t>
      </w:r>
      <w:r>
        <w:rPr>
          <w:rFonts w:ascii="Times New Roman"/>
          <w:kern w:val="0"/>
          <w:sz w:val="24"/>
          <w:szCs w:val="24"/>
        </w:rPr>
        <w:t>，是一条隐伏的晚第三纪活动断裂。</w:t>
      </w:r>
    </w:p>
    <w:p w14:paraId="7D67D1DC">
      <w:pPr>
        <w:snapToGrid w:val="0"/>
        <w:spacing w:beforeLines="50" w:line="360" w:lineRule="auto"/>
        <w:ind w:firstLine="482" w:firstLineChars="200"/>
        <w:outlineLvl w:val="3"/>
        <w:rPr>
          <w:rFonts w:ascii="Times New Roman"/>
          <w:b/>
          <w:sz w:val="24"/>
          <w:szCs w:val="24"/>
        </w:rPr>
      </w:pPr>
      <w:r>
        <w:rPr>
          <w:rFonts w:ascii="Times New Roman"/>
          <w:b/>
          <w:sz w:val="24"/>
          <w:szCs w:val="24"/>
        </w:rPr>
        <w:t>（2）地质岩性</w:t>
      </w:r>
    </w:p>
    <w:p w14:paraId="4A1270AC">
      <w:pPr>
        <w:widowControl/>
        <w:spacing w:line="360" w:lineRule="auto"/>
        <w:ind w:firstLine="480" w:firstLineChars="200"/>
        <w:jc w:val="left"/>
        <w:rPr>
          <w:rFonts w:ascii="Times New Roman"/>
        </w:rPr>
      </w:pPr>
      <w:r>
        <w:rPr>
          <w:rFonts w:ascii="Times New Roman"/>
          <w:kern w:val="0"/>
          <w:sz w:val="24"/>
          <w:szCs w:val="24"/>
        </w:rPr>
        <w:t>项目区基底地层较为复杂，在柏各庄断裂以北，基底为寒武系、奥陶系地层；柏各庄断裂以南，基底为侏罗系、白垩系地层。新生界第三系沉积于基岩之上，厚度大于</w:t>
      </w:r>
      <w:r>
        <w:rPr>
          <w:rFonts w:ascii="Times New Roman" w:eastAsia="TimesNewRomanPSMT"/>
          <w:kern w:val="0"/>
          <w:sz w:val="24"/>
          <w:szCs w:val="24"/>
        </w:rPr>
        <w:t>1000m</w:t>
      </w:r>
      <w:r>
        <w:rPr>
          <w:rFonts w:ascii="Times New Roman"/>
          <w:kern w:val="0"/>
          <w:sz w:val="24"/>
          <w:szCs w:val="24"/>
        </w:rPr>
        <w:t>，主要为一套棕红色一绿灰色粘土夹砂层，粘土已大部分半岩化为泥岩。第四纪继承了第三纪的构造特点，以持续下降为主，连续沉积下更新统、中更新统、上更新统及全新统地层。</w:t>
      </w:r>
    </w:p>
    <w:p w14:paraId="422FB9B1">
      <w:pPr>
        <w:widowControl/>
        <w:spacing w:line="360" w:lineRule="auto"/>
        <w:ind w:firstLine="480" w:firstLineChars="200"/>
        <w:jc w:val="left"/>
        <w:rPr>
          <w:rFonts w:ascii="Times New Roman"/>
        </w:rPr>
      </w:pPr>
      <w:r>
        <w:rPr>
          <w:rFonts w:ascii="Times New Roman"/>
          <w:kern w:val="0"/>
          <w:sz w:val="24"/>
          <w:szCs w:val="24"/>
        </w:rPr>
        <w:t>项目区以第四纪地层为主，厚度在</w:t>
      </w:r>
      <w:r>
        <w:rPr>
          <w:rFonts w:ascii="Times New Roman" w:eastAsia="TimesNewRomanPSMT"/>
          <w:kern w:val="0"/>
          <w:sz w:val="24"/>
          <w:szCs w:val="24"/>
        </w:rPr>
        <w:t>500~550m</w:t>
      </w:r>
      <w:r>
        <w:rPr>
          <w:rFonts w:ascii="Times New Roman"/>
          <w:kern w:val="0"/>
          <w:sz w:val="24"/>
          <w:szCs w:val="24"/>
        </w:rPr>
        <w:t>之间，其第四纪地层由下至上描述如下：</w:t>
      </w:r>
    </w:p>
    <w:p w14:paraId="24FC0192">
      <w:pPr>
        <w:widowControl/>
        <w:spacing w:line="360" w:lineRule="auto"/>
        <w:ind w:firstLine="480" w:firstLineChars="200"/>
        <w:jc w:val="left"/>
        <w:rPr>
          <w:rFonts w:ascii="Times New Roman"/>
        </w:rPr>
      </w:pPr>
      <w:r>
        <w:rPr>
          <w:rFonts w:ascii="Times New Roman"/>
          <w:kern w:val="0"/>
          <w:sz w:val="24"/>
          <w:szCs w:val="24"/>
        </w:rPr>
        <w:t>下更新统</w:t>
      </w:r>
      <w:r>
        <w:rPr>
          <w:rFonts w:ascii="Times New Roman" w:eastAsia="TimesNewRomanPSMT"/>
          <w:kern w:val="0"/>
          <w:sz w:val="24"/>
          <w:szCs w:val="24"/>
        </w:rPr>
        <w:t>(Q1)</w:t>
      </w:r>
      <w:r>
        <w:rPr>
          <w:rFonts w:ascii="Times New Roman"/>
          <w:kern w:val="0"/>
          <w:sz w:val="24"/>
          <w:szCs w:val="24"/>
        </w:rPr>
        <w:t>：地层厚度</w:t>
      </w:r>
      <w:r>
        <w:rPr>
          <w:rFonts w:ascii="Times New Roman" w:eastAsia="TimesNewRomanPSMT"/>
          <w:kern w:val="0"/>
          <w:sz w:val="24"/>
          <w:szCs w:val="24"/>
        </w:rPr>
        <w:t>140m</w:t>
      </w:r>
      <w:r>
        <w:rPr>
          <w:rFonts w:ascii="Times New Roman"/>
          <w:kern w:val="0"/>
          <w:sz w:val="24"/>
          <w:szCs w:val="24"/>
        </w:rPr>
        <w:t>左右，底板埋深</w:t>
      </w:r>
      <w:r>
        <w:rPr>
          <w:rFonts w:ascii="Times New Roman" w:eastAsia="TimesNewRomanPSMT"/>
          <w:kern w:val="0"/>
          <w:sz w:val="24"/>
          <w:szCs w:val="24"/>
        </w:rPr>
        <w:t>500~550m</w:t>
      </w:r>
      <w:r>
        <w:rPr>
          <w:rFonts w:ascii="Times New Roman"/>
          <w:kern w:val="0"/>
          <w:sz w:val="24"/>
          <w:szCs w:val="24"/>
        </w:rPr>
        <w:t>，湖积、冲积而成，岩性以粉土、粉质粘土及中、细砂为主。</w:t>
      </w:r>
    </w:p>
    <w:p w14:paraId="19DD83B6">
      <w:pPr>
        <w:widowControl/>
        <w:spacing w:line="360" w:lineRule="auto"/>
        <w:ind w:firstLine="480" w:firstLineChars="200"/>
        <w:jc w:val="left"/>
        <w:rPr>
          <w:rFonts w:ascii="Times New Roman"/>
          <w:sz w:val="24"/>
          <w:szCs w:val="24"/>
        </w:rPr>
      </w:pPr>
      <w:r>
        <w:rPr>
          <w:rFonts w:ascii="Times New Roman"/>
          <w:kern w:val="0"/>
          <w:sz w:val="24"/>
          <w:szCs w:val="24"/>
        </w:rPr>
        <w:t>中更新统</w:t>
      </w:r>
      <w:r>
        <w:rPr>
          <w:rFonts w:ascii="Times New Roman" w:eastAsia="TimesNewRomanPSMT"/>
          <w:kern w:val="0"/>
          <w:sz w:val="24"/>
          <w:szCs w:val="24"/>
        </w:rPr>
        <w:t>(Q2)</w:t>
      </w:r>
      <w:r>
        <w:rPr>
          <w:rFonts w:ascii="Times New Roman"/>
          <w:kern w:val="0"/>
          <w:sz w:val="24"/>
          <w:szCs w:val="24"/>
        </w:rPr>
        <w:t>：地层厚度</w:t>
      </w:r>
      <w:r>
        <w:rPr>
          <w:rFonts w:ascii="Times New Roman" w:eastAsia="TimesNewRomanPSMT"/>
          <w:kern w:val="0"/>
          <w:sz w:val="24"/>
          <w:szCs w:val="24"/>
        </w:rPr>
        <w:t>240m</w:t>
      </w:r>
      <w:r>
        <w:rPr>
          <w:rFonts w:ascii="Times New Roman"/>
          <w:kern w:val="0"/>
          <w:sz w:val="24"/>
          <w:szCs w:val="24"/>
        </w:rPr>
        <w:t>左右，底板埋深约</w:t>
      </w:r>
      <w:r>
        <w:rPr>
          <w:rFonts w:ascii="Times New Roman" w:eastAsia="TimesNewRomanPSMT"/>
          <w:kern w:val="0"/>
          <w:sz w:val="24"/>
          <w:szCs w:val="24"/>
        </w:rPr>
        <w:t>400m</w:t>
      </w:r>
      <w:r>
        <w:rPr>
          <w:rFonts w:ascii="Times New Roman"/>
          <w:kern w:val="0"/>
          <w:sz w:val="24"/>
          <w:szCs w:val="24"/>
        </w:rPr>
        <w:t>，湖积、冲积而成，岩性以粉质粘土、粉土及中、细砂为主。</w:t>
      </w:r>
    </w:p>
    <w:p w14:paraId="4B2CE503">
      <w:pPr>
        <w:widowControl/>
        <w:spacing w:line="360" w:lineRule="auto"/>
        <w:ind w:firstLine="480" w:firstLineChars="200"/>
        <w:jc w:val="left"/>
        <w:rPr>
          <w:rFonts w:ascii="Times New Roman"/>
          <w:sz w:val="24"/>
          <w:szCs w:val="24"/>
        </w:rPr>
      </w:pPr>
      <w:r>
        <w:rPr>
          <w:rFonts w:ascii="Times New Roman"/>
          <w:kern w:val="0"/>
          <w:sz w:val="24"/>
          <w:szCs w:val="24"/>
        </w:rPr>
        <w:t>上更新统</w:t>
      </w:r>
      <w:r>
        <w:rPr>
          <w:rFonts w:ascii="Times New Roman" w:eastAsia="TimesNewRomanPSMT"/>
          <w:kern w:val="0"/>
          <w:sz w:val="24"/>
          <w:szCs w:val="24"/>
        </w:rPr>
        <w:t>(Q3)</w:t>
      </w:r>
      <w:r>
        <w:rPr>
          <w:rFonts w:ascii="Times New Roman"/>
          <w:kern w:val="0"/>
          <w:sz w:val="24"/>
          <w:szCs w:val="24"/>
        </w:rPr>
        <w:t>：地层厚度</w:t>
      </w:r>
      <w:r>
        <w:rPr>
          <w:rFonts w:ascii="Times New Roman" w:eastAsia="TimesNewRomanPSMT"/>
          <w:kern w:val="0"/>
          <w:sz w:val="24"/>
          <w:szCs w:val="24"/>
        </w:rPr>
        <w:t>140m</w:t>
      </w:r>
      <w:r>
        <w:rPr>
          <w:rFonts w:ascii="Times New Roman"/>
          <w:kern w:val="0"/>
          <w:sz w:val="24"/>
          <w:szCs w:val="24"/>
        </w:rPr>
        <w:t>左右，底板埋深</w:t>
      </w:r>
      <w:r>
        <w:rPr>
          <w:rFonts w:ascii="Times New Roman" w:eastAsia="TimesNewRomanPSMT"/>
          <w:kern w:val="0"/>
          <w:sz w:val="24"/>
          <w:szCs w:val="24"/>
        </w:rPr>
        <w:t>140~160m</w:t>
      </w:r>
      <w:r>
        <w:rPr>
          <w:rFonts w:ascii="Times New Roman"/>
          <w:kern w:val="0"/>
          <w:sz w:val="24"/>
          <w:szCs w:val="24"/>
        </w:rPr>
        <w:t>，海积、冲积而成，岩性以粉土、粉质粘土、粉砂、中细砂为主。</w:t>
      </w:r>
    </w:p>
    <w:p w14:paraId="6DBE411E">
      <w:pPr>
        <w:widowControl/>
        <w:spacing w:line="360" w:lineRule="auto"/>
        <w:ind w:firstLine="480" w:firstLineChars="200"/>
        <w:jc w:val="left"/>
        <w:rPr>
          <w:rFonts w:ascii="Times New Roman"/>
          <w:sz w:val="24"/>
          <w:szCs w:val="24"/>
        </w:rPr>
      </w:pPr>
      <w:r>
        <w:rPr>
          <w:rFonts w:ascii="Times New Roman"/>
          <w:kern w:val="0"/>
          <w:sz w:val="24"/>
          <w:szCs w:val="24"/>
        </w:rPr>
        <w:t>全新统</w:t>
      </w:r>
      <w:r>
        <w:rPr>
          <w:rFonts w:ascii="Times New Roman" w:eastAsia="TimesNewRomanPSMT"/>
          <w:kern w:val="0"/>
          <w:sz w:val="24"/>
          <w:szCs w:val="24"/>
        </w:rPr>
        <w:t>(Q4)</w:t>
      </w:r>
      <w:r>
        <w:rPr>
          <w:rFonts w:ascii="Times New Roman"/>
          <w:kern w:val="0"/>
          <w:sz w:val="24"/>
          <w:szCs w:val="24"/>
        </w:rPr>
        <w:t xml:space="preserve">：地层厚度 </w:t>
      </w:r>
      <w:r>
        <w:rPr>
          <w:rFonts w:ascii="Times New Roman" w:eastAsia="TimesNewRomanPSMT"/>
          <w:kern w:val="0"/>
          <w:sz w:val="24"/>
          <w:szCs w:val="24"/>
        </w:rPr>
        <w:t xml:space="preserve">20m </w:t>
      </w:r>
      <w:r>
        <w:rPr>
          <w:rFonts w:ascii="Times New Roman"/>
          <w:kern w:val="0"/>
          <w:sz w:val="24"/>
          <w:szCs w:val="24"/>
        </w:rPr>
        <w:t>左右，底板埋深</w:t>
      </w:r>
      <w:r>
        <w:rPr>
          <w:rFonts w:ascii="Times New Roman" w:eastAsia="TimesNewRomanPSMT"/>
          <w:kern w:val="0"/>
          <w:sz w:val="24"/>
          <w:szCs w:val="24"/>
        </w:rPr>
        <w:t>15~20m</w:t>
      </w:r>
      <w:r>
        <w:rPr>
          <w:rFonts w:ascii="Times New Roman"/>
          <w:kern w:val="0"/>
          <w:sz w:val="24"/>
          <w:szCs w:val="24"/>
        </w:rPr>
        <w:t>，海积、冲积而成，岩性以含淤泥质粉土、粉质粘土、粉砂或细砂为主。</w:t>
      </w:r>
    </w:p>
    <w:p w14:paraId="79676636">
      <w:pPr>
        <w:snapToGrid w:val="0"/>
        <w:spacing w:beforeLines="50" w:line="360" w:lineRule="auto"/>
        <w:outlineLvl w:val="3"/>
        <w:rPr>
          <w:rFonts w:ascii="Times New Roman"/>
          <w:b/>
          <w:sz w:val="24"/>
          <w:szCs w:val="24"/>
        </w:rPr>
      </w:pPr>
      <w:r>
        <w:rPr>
          <w:rFonts w:ascii="Times New Roman"/>
          <w:b/>
          <w:sz w:val="24"/>
          <w:szCs w:val="24"/>
        </w:rPr>
        <w:t>5.2.3.2区域水文地质概况</w:t>
      </w:r>
    </w:p>
    <w:p w14:paraId="2A5E4726">
      <w:pPr>
        <w:snapToGrid w:val="0"/>
        <w:spacing w:beforeLines="50" w:line="360" w:lineRule="auto"/>
        <w:outlineLvl w:val="3"/>
        <w:rPr>
          <w:rFonts w:ascii="Times New Roman"/>
          <w:b/>
          <w:sz w:val="24"/>
          <w:szCs w:val="24"/>
        </w:rPr>
      </w:pPr>
      <w:r>
        <w:rPr>
          <w:rFonts w:ascii="Times New Roman"/>
          <w:b/>
          <w:sz w:val="24"/>
          <w:szCs w:val="24"/>
        </w:rPr>
        <w:t>（1）水文地质分区</w:t>
      </w:r>
    </w:p>
    <w:p w14:paraId="286B46D7">
      <w:pPr>
        <w:widowControl/>
        <w:spacing w:line="360" w:lineRule="auto"/>
        <w:ind w:firstLine="480" w:firstLineChars="200"/>
        <w:jc w:val="left"/>
        <w:rPr>
          <w:rFonts w:ascii="Times New Roman"/>
        </w:rPr>
      </w:pPr>
      <w:r>
        <w:rPr>
          <w:rFonts w:ascii="Times New Roman"/>
          <w:kern w:val="0"/>
          <w:sz w:val="24"/>
          <w:szCs w:val="24"/>
        </w:rPr>
        <w:t>根据地形地貌及成因，唐山市可划分为山前冲洪积倾斜平原水文地质区</w:t>
      </w:r>
      <w:r>
        <w:rPr>
          <w:rFonts w:ascii="Times New Roman" w:eastAsia="TimesNewRomanPSMT"/>
          <w:kern w:val="0"/>
          <w:sz w:val="24"/>
          <w:szCs w:val="24"/>
        </w:rPr>
        <w:t>(</w:t>
      </w:r>
      <w:r>
        <w:rPr>
          <w:rFonts w:ascii="Times New Roman"/>
          <w:kern w:val="0"/>
          <w:sz w:val="24"/>
          <w:szCs w:val="24"/>
        </w:rPr>
        <w:t>Ⅰ</w:t>
      </w:r>
      <w:r>
        <w:rPr>
          <w:rFonts w:ascii="Times New Roman" w:eastAsia="TimesNewRomanPSMT"/>
          <w:kern w:val="0"/>
          <w:sz w:val="24"/>
          <w:szCs w:val="24"/>
        </w:rPr>
        <w:t>)</w:t>
      </w:r>
      <w:r>
        <w:rPr>
          <w:rFonts w:ascii="Times New Roman"/>
          <w:kern w:val="0"/>
          <w:sz w:val="24"/>
          <w:szCs w:val="24"/>
        </w:rPr>
        <w:t>和滨海冲积海</w:t>
      </w:r>
      <w:r>
        <w:rPr>
          <w:rFonts w:ascii="Times New Roman" w:eastAsia="TimesNewRomanPSMT"/>
          <w:kern w:val="0"/>
          <w:sz w:val="24"/>
          <w:szCs w:val="24"/>
        </w:rPr>
        <w:t>(</w:t>
      </w:r>
      <w:r>
        <w:rPr>
          <w:rFonts w:ascii="Times New Roman"/>
          <w:kern w:val="0"/>
          <w:sz w:val="24"/>
          <w:szCs w:val="24"/>
        </w:rPr>
        <w:t>湖</w:t>
      </w:r>
      <w:r>
        <w:rPr>
          <w:rFonts w:ascii="Times New Roman" w:eastAsia="TimesNewRomanPSMT"/>
          <w:kern w:val="0"/>
          <w:sz w:val="24"/>
          <w:szCs w:val="24"/>
        </w:rPr>
        <w:t>)</w:t>
      </w:r>
      <w:r>
        <w:rPr>
          <w:rFonts w:ascii="Times New Roman"/>
          <w:kern w:val="0"/>
          <w:sz w:val="24"/>
          <w:szCs w:val="24"/>
        </w:rPr>
        <w:t>积低平原水文地质区</w:t>
      </w:r>
      <w:r>
        <w:rPr>
          <w:rFonts w:ascii="Times New Roman" w:eastAsia="TimesNewRomanPSMT"/>
          <w:kern w:val="0"/>
          <w:sz w:val="24"/>
          <w:szCs w:val="24"/>
        </w:rPr>
        <w:t>(</w:t>
      </w:r>
      <w:r>
        <w:rPr>
          <w:rFonts w:ascii="Times New Roman"/>
          <w:kern w:val="0"/>
          <w:sz w:val="24"/>
          <w:szCs w:val="24"/>
        </w:rPr>
        <w:t>Ⅱ</w:t>
      </w:r>
      <w:r>
        <w:rPr>
          <w:rFonts w:ascii="Times New Roman" w:eastAsia="TimesNewRomanPSMT"/>
          <w:kern w:val="0"/>
          <w:sz w:val="24"/>
          <w:szCs w:val="24"/>
        </w:rPr>
        <w:t>)</w:t>
      </w:r>
      <w:r>
        <w:rPr>
          <w:rFonts w:ascii="Times New Roman"/>
          <w:kern w:val="0"/>
          <w:sz w:val="24"/>
          <w:szCs w:val="24"/>
        </w:rPr>
        <w:t>，其中滨海冲积海</w:t>
      </w:r>
      <w:r>
        <w:rPr>
          <w:rFonts w:ascii="Times New Roman" w:eastAsia="TimesNewRomanPSMT"/>
          <w:kern w:val="0"/>
          <w:sz w:val="24"/>
          <w:szCs w:val="24"/>
        </w:rPr>
        <w:t>(</w:t>
      </w:r>
      <w:r>
        <w:rPr>
          <w:rFonts w:ascii="Times New Roman"/>
          <w:kern w:val="0"/>
          <w:sz w:val="24"/>
          <w:szCs w:val="24"/>
        </w:rPr>
        <w:t>湖</w:t>
      </w:r>
      <w:r>
        <w:rPr>
          <w:rFonts w:ascii="Times New Roman" w:eastAsia="TimesNewRomanPSMT"/>
          <w:kern w:val="0"/>
          <w:sz w:val="24"/>
          <w:szCs w:val="24"/>
        </w:rPr>
        <w:t>)</w:t>
      </w:r>
      <w:r>
        <w:rPr>
          <w:rFonts w:ascii="Times New Roman"/>
          <w:kern w:val="0"/>
          <w:sz w:val="24"/>
          <w:szCs w:val="24"/>
        </w:rPr>
        <w:t>积低平原水文地质区</w:t>
      </w:r>
      <w:r>
        <w:rPr>
          <w:rFonts w:ascii="Times New Roman" w:eastAsia="TimesNewRomanPSMT"/>
          <w:kern w:val="0"/>
          <w:sz w:val="24"/>
          <w:szCs w:val="24"/>
        </w:rPr>
        <w:t>(</w:t>
      </w:r>
      <w:r>
        <w:rPr>
          <w:rFonts w:ascii="Times New Roman"/>
          <w:kern w:val="0"/>
          <w:sz w:val="24"/>
          <w:szCs w:val="24"/>
        </w:rPr>
        <w:t>Ⅱ</w:t>
      </w:r>
      <w:r>
        <w:rPr>
          <w:rFonts w:ascii="Times New Roman" w:eastAsia="TimesNewRomanPSMT"/>
          <w:kern w:val="0"/>
          <w:sz w:val="24"/>
          <w:szCs w:val="24"/>
        </w:rPr>
        <w:t>)</w:t>
      </w:r>
      <w:r>
        <w:rPr>
          <w:rFonts w:ascii="Times New Roman"/>
          <w:kern w:val="0"/>
          <w:sz w:val="24"/>
          <w:szCs w:val="24"/>
        </w:rPr>
        <w:t>也可分为冲洪积海</w:t>
      </w:r>
      <w:r>
        <w:rPr>
          <w:rFonts w:ascii="Times New Roman" w:eastAsia="TimesNewRomanPSMT"/>
          <w:kern w:val="0"/>
          <w:sz w:val="24"/>
          <w:szCs w:val="24"/>
        </w:rPr>
        <w:t>(</w:t>
      </w:r>
      <w:r>
        <w:rPr>
          <w:rFonts w:ascii="Times New Roman"/>
          <w:kern w:val="0"/>
          <w:sz w:val="24"/>
          <w:szCs w:val="24"/>
        </w:rPr>
        <w:t>湖</w:t>
      </w:r>
      <w:r>
        <w:rPr>
          <w:rFonts w:ascii="Times New Roman" w:eastAsia="TimesNewRomanPSMT"/>
          <w:kern w:val="0"/>
          <w:sz w:val="24"/>
          <w:szCs w:val="24"/>
        </w:rPr>
        <w:t>)</w:t>
      </w:r>
      <w:r>
        <w:rPr>
          <w:rFonts w:ascii="Times New Roman"/>
          <w:kern w:val="0"/>
          <w:sz w:val="24"/>
          <w:szCs w:val="24"/>
        </w:rPr>
        <w:t>积水文地质亚区</w:t>
      </w:r>
      <w:r>
        <w:rPr>
          <w:rFonts w:ascii="Times New Roman" w:eastAsia="TimesNewRomanPSMT"/>
          <w:kern w:val="0"/>
          <w:sz w:val="24"/>
          <w:szCs w:val="24"/>
        </w:rPr>
        <w:t>(</w:t>
      </w:r>
      <w:r>
        <w:rPr>
          <w:rFonts w:ascii="Times New Roman"/>
          <w:kern w:val="0"/>
          <w:sz w:val="24"/>
          <w:szCs w:val="24"/>
        </w:rPr>
        <w:t>Ⅱ</w:t>
      </w:r>
      <w:r>
        <w:rPr>
          <w:rFonts w:ascii="Times New Roman" w:eastAsia="TimesNewRomanPSMT"/>
          <w:kern w:val="0"/>
          <w:sz w:val="24"/>
          <w:szCs w:val="24"/>
        </w:rPr>
        <w:t>1)</w:t>
      </w:r>
      <w:r>
        <w:rPr>
          <w:rFonts w:ascii="Times New Roman"/>
          <w:kern w:val="0"/>
          <w:sz w:val="24"/>
          <w:szCs w:val="24"/>
        </w:rPr>
        <w:t>和冲积海</w:t>
      </w:r>
      <w:r>
        <w:rPr>
          <w:rFonts w:ascii="Times New Roman" w:eastAsia="TimesNewRomanPSMT"/>
          <w:kern w:val="0"/>
          <w:sz w:val="24"/>
          <w:szCs w:val="24"/>
        </w:rPr>
        <w:t>(</w:t>
      </w:r>
      <w:r>
        <w:rPr>
          <w:rFonts w:ascii="Times New Roman"/>
          <w:kern w:val="0"/>
          <w:sz w:val="24"/>
          <w:szCs w:val="24"/>
        </w:rPr>
        <w:t>湖</w:t>
      </w:r>
      <w:r>
        <w:rPr>
          <w:rFonts w:ascii="Times New Roman" w:eastAsia="TimesNewRomanPSMT"/>
          <w:kern w:val="0"/>
          <w:sz w:val="24"/>
          <w:szCs w:val="24"/>
        </w:rPr>
        <w:t>)</w:t>
      </w:r>
      <w:r>
        <w:rPr>
          <w:rFonts w:ascii="Times New Roman"/>
          <w:kern w:val="0"/>
          <w:sz w:val="24"/>
          <w:szCs w:val="24"/>
        </w:rPr>
        <w:t>积水文地质亚区</w:t>
      </w:r>
      <w:r>
        <w:rPr>
          <w:rFonts w:ascii="Times New Roman" w:eastAsia="TimesNewRomanPSMT"/>
          <w:kern w:val="0"/>
          <w:sz w:val="24"/>
          <w:szCs w:val="24"/>
        </w:rPr>
        <w:t>(</w:t>
      </w:r>
      <w:r>
        <w:rPr>
          <w:rFonts w:ascii="Times New Roman"/>
          <w:kern w:val="0"/>
          <w:sz w:val="24"/>
          <w:szCs w:val="24"/>
        </w:rPr>
        <w:t>Ⅱ</w:t>
      </w:r>
      <w:r>
        <w:rPr>
          <w:rFonts w:ascii="Times New Roman" w:eastAsia="TimesNewRomanPSMT"/>
          <w:kern w:val="0"/>
          <w:sz w:val="24"/>
          <w:szCs w:val="24"/>
        </w:rPr>
        <w:t>2)</w:t>
      </w:r>
      <w:r>
        <w:rPr>
          <w:rFonts w:ascii="Times New Roman"/>
          <w:kern w:val="0"/>
          <w:sz w:val="24"/>
          <w:szCs w:val="24"/>
        </w:rPr>
        <w:t>两个亚区。水文地质分区图见图</w:t>
      </w:r>
      <w:r>
        <w:rPr>
          <w:rFonts w:ascii="Times New Roman" w:eastAsia="TimesNewRomanPSMT"/>
          <w:kern w:val="0"/>
          <w:sz w:val="24"/>
          <w:szCs w:val="24"/>
        </w:rPr>
        <w:t>5.2-4</w:t>
      </w:r>
      <w:r>
        <w:rPr>
          <w:rFonts w:ascii="Times New Roman"/>
          <w:kern w:val="0"/>
          <w:sz w:val="24"/>
          <w:szCs w:val="24"/>
        </w:rPr>
        <w:t>。其中，本次工作调查评价区位于区域上的滨海平原水文地质区（</w:t>
      </w:r>
      <w:r>
        <w:rPr>
          <w:rFonts w:ascii="Times New Roman" w:eastAsia="TimesNewRomanPSMT"/>
          <w:kern w:val="0"/>
          <w:sz w:val="24"/>
          <w:szCs w:val="24"/>
        </w:rPr>
        <w:t>II</w:t>
      </w:r>
      <w:r>
        <w:rPr>
          <w:rFonts w:ascii="Times New Roman"/>
          <w:kern w:val="0"/>
          <w:sz w:val="24"/>
          <w:szCs w:val="24"/>
        </w:rPr>
        <w:t>）最南端，属于冲洪积海</w:t>
      </w:r>
      <w:r>
        <w:rPr>
          <w:rFonts w:ascii="Times New Roman" w:eastAsia="TimesNewRomanPSMT"/>
          <w:kern w:val="0"/>
          <w:sz w:val="24"/>
          <w:szCs w:val="24"/>
        </w:rPr>
        <w:t>(</w:t>
      </w:r>
      <w:r>
        <w:rPr>
          <w:rFonts w:ascii="Times New Roman"/>
          <w:kern w:val="0"/>
          <w:sz w:val="24"/>
          <w:szCs w:val="24"/>
        </w:rPr>
        <w:t>湖</w:t>
      </w:r>
      <w:r>
        <w:rPr>
          <w:rFonts w:ascii="Times New Roman" w:eastAsia="TimesNewRomanPSMT"/>
          <w:kern w:val="0"/>
          <w:sz w:val="24"/>
          <w:szCs w:val="24"/>
        </w:rPr>
        <w:t>)</w:t>
      </w:r>
      <w:r>
        <w:rPr>
          <w:rFonts w:ascii="Times New Roman"/>
          <w:kern w:val="0"/>
          <w:sz w:val="24"/>
          <w:szCs w:val="24"/>
        </w:rPr>
        <w:t>积水文地质亚区</w:t>
      </w:r>
      <w:r>
        <w:rPr>
          <w:rFonts w:ascii="Times New Roman" w:eastAsia="TimesNewRomanPSMT"/>
          <w:kern w:val="0"/>
          <w:sz w:val="24"/>
          <w:szCs w:val="24"/>
        </w:rPr>
        <w:t>(</w:t>
      </w:r>
      <w:r>
        <w:rPr>
          <w:rFonts w:ascii="Times New Roman"/>
          <w:kern w:val="0"/>
          <w:sz w:val="24"/>
          <w:szCs w:val="24"/>
        </w:rPr>
        <w:t>Ⅱ</w:t>
      </w:r>
      <w:r>
        <w:rPr>
          <w:rFonts w:ascii="Times New Roman" w:eastAsia="TimesNewRomanPSMT"/>
          <w:kern w:val="0"/>
          <w:sz w:val="24"/>
          <w:szCs w:val="24"/>
        </w:rPr>
        <w:t>1)</w:t>
      </w:r>
      <w:r>
        <w:rPr>
          <w:rFonts w:ascii="Times New Roman"/>
          <w:kern w:val="0"/>
          <w:sz w:val="24"/>
          <w:szCs w:val="24"/>
        </w:rPr>
        <w:t>。</w:t>
      </w:r>
    </w:p>
    <w:p w14:paraId="6B408DF3">
      <w:pPr>
        <w:widowControl/>
        <w:spacing w:line="360" w:lineRule="auto"/>
        <w:ind w:firstLine="480" w:firstLineChars="200"/>
        <w:jc w:val="left"/>
        <w:rPr>
          <w:rFonts w:ascii="Times New Roman"/>
        </w:rPr>
      </w:pPr>
      <w:r>
        <w:rPr>
          <w:rFonts w:ascii="Times New Roman"/>
          <w:kern w:val="0"/>
          <w:sz w:val="24"/>
          <w:szCs w:val="24"/>
        </w:rPr>
        <w:t>冲洪积海</w:t>
      </w:r>
      <w:r>
        <w:rPr>
          <w:rFonts w:ascii="Times New Roman" w:eastAsia="TimesNewRomanPSMT"/>
          <w:kern w:val="0"/>
          <w:sz w:val="24"/>
          <w:szCs w:val="24"/>
        </w:rPr>
        <w:t>(</w:t>
      </w:r>
      <w:r>
        <w:rPr>
          <w:rFonts w:ascii="Times New Roman"/>
          <w:kern w:val="0"/>
          <w:sz w:val="24"/>
          <w:szCs w:val="24"/>
        </w:rPr>
        <w:t>湖</w:t>
      </w:r>
      <w:r>
        <w:rPr>
          <w:rFonts w:ascii="Times New Roman" w:eastAsia="TimesNewRomanPSMT"/>
          <w:kern w:val="0"/>
          <w:sz w:val="24"/>
          <w:szCs w:val="24"/>
        </w:rPr>
        <w:t>)</w:t>
      </w:r>
      <w:r>
        <w:rPr>
          <w:rFonts w:ascii="Times New Roman"/>
          <w:kern w:val="0"/>
          <w:sz w:val="24"/>
          <w:szCs w:val="24"/>
        </w:rPr>
        <w:t>积水文地质亚区</w:t>
      </w:r>
      <w:r>
        <w:rPr>
          <w:rFonts w:ascii="Times New Roman" w:eastAsia="TimesNewRomanPSMT"/>
          <w:kern w:val="0"/>
          <w:sz w:val="24"/>
          <w:szCs w:val="24"/>
        </w:rPr>
        <w:t>(</w:t>
      </w:r>
      <w:r>
        <w:rPr>
          <w:rFonts w:ascii="Times New Roman"/>
          <w:kern w:val="0"/>
          <w:sz w:val="24"/>
          <w:szCs w:val="24"/>
        </w:rPr>
        <w:t>Ⅱ</w:t>
      </w:r>
      <w:r>
        <w:rPr>
          <w:rFonts w:ascii="Times New Roman" w:eastAsia="TimesNewRomanPSMT"/>
          <w:kern w:val="0"/>
          <w:sz w:val="24"/>
          <w:szCs w:val="24"/>
        </w:rPr>
        <w:t>1)</w:t>
      </w:r>
      <w:r>
        <w:rPr>
          <w:rFonts w:ascii="Times New Roman"/>
          <w:kern w:val="0"/>
          <w:sz w:val="24"/>
          <w:szCs w:val="24"/>
        </w:rPr>
        <w:t>：主要为河流冲洪积及海湖积而形成，分布于坨里—柳赞以东，新寨—胡坨以南地区。浅层含水层岩性以中砂、细砂为主，滨海一带为细砂、粉砂，含水层总厚度多为</w:t>
      </w:r>
      <w:r>
        <w:rPr>
          <w:rFonts w:ascii="Times New Roman" w:eastAsia="TimesNewRomanPSMT"/>
          <w:kern w:val="0"/>
          <w:sz w:val="24"/>
          <w:szCs w:val="24"/>
        </w:rPr>
        <w:t>60~100m</w:t>
      </w:r>
      <w:r>
        <w:rPr>
          <w:rFonts w:ascii="Times New Roman"/>
          <w:kern w:val="0"/>
          <w:sz w:val="24"/>
          <w:szCs w:val="24"/>
        </w:rPr>
        <w:t>，地下水化学类型主要为</w:t>
      </w:r>
      <w:r>
        <w:rPr>
          <w:rFonts w:ascii="Times New Roman" w:eastAsia="TimesNewRomanPSMT"/>
          <w:kern w:val="0"/>
          <w:sz w:val="24"/>
          <w:szCs w:val="24"/>
        </w:rPr>
        <w:t>Cl-Na</w:t>
      </w:r>
      <w:r>
        <w:rPr>
          <w:rFonts w:ascii="Times New Roman"/>
          <w:kern w:val="0"/>
          <w:sz w:val="24"/>
          <w:szCs w:val="24"/>
        </w:rPr>
        <w:t>、</w:t>
      </w:r>
      <w:r>
        <w:rPr>
          <w:rFonts w:ascii="Times New Roman" w:eastAsia="TimesNewRomanPSMT"/>
          <w:kern w:val="0"/>
          <w:sz w:val="24"/>
          <w:szCs w:val="24"/>
        </w:rPr>
        <w:t>HCO</w:t>
      </w:r>
      <w:r>
        <w:rPr>
          <w:rFonts w:ascii="Times New Roman" w:eastAsia="TimesNewRomanPSMT"/>
          <w:kern w:val="0"/>
          <w:sz w:val="15"/>
          <w:szCs w:val="15"/>
        </w:rPr>
        <w:t>3-</w:t>
      </w:r>
      <w:r>
        <w:rPr>
          <w:rFonts w:ascii="Times New Roman" w:eastAsia="TimesNewRomanPSMT"/>
          <w:kern w:val="0"/>
          <w:sz w:val="24"/>
          <w:szCs w:val="24"/>
        </w:rPr>
        <w:t>Ca</w:t>
      </w:r>
      <w:r>
        <w:rPr>
          <w:rFonts w:ascii="Times New Roman"/>
          <w:kern w:val="0"/>
          <w:sz w:val="24"/>
          <w:szCs w:val="24"/>
        </w:rPr>
        <w:t>·</w:t>
      </w:r>
      <w:r>
        <w:rPr>
          <w:rFonts w:ascii="Times New Roman" w:eastAsia="TimesNewRomanPSMT"/>
          <w:kern w:val="0"/>
          <w:sz w:val="24"/>
          <w:szCs w:val="24"/>
        </w:rPr>
        <w:t>Na</w:t>
      </w:r>
      <w:r>
        <w:rPr>
          <w:rFonts w:ascii="Times New Roman"/>
          <w:kern w:val="0"/>
          <w:sz w:val="24"/>
          <w:szCs w:val="24"/>
        </w:rPr>
        <w:t>、</w:t>
      </w:r>
      <w:r>
        <w:rPr>
          <w:rFonts w:ascii="Times New Roman" w:eastAsia="TimesNewRomanPSMT"/>
          <w:kern w:val="0"/>
          <w:sz w:val="24"/>
          <w:szCs w:val="24"/>
        </w:rPr>
        <w:t>HCO</w:t>
      </w:r>
      <w:r>
        <w:rPr>
          <w:rFonts w:ascii="Times New Roman" w:eastAsia="TimesNewRomanPSMT"/>
          <w:kern w:val="0"/>
          <w:sz w:val="15"/>
          <w:szCs w:val="15"/>
        </w:rPr>
        <w:t>3-</w:t>
      </w:r>
      <w:r>
        <w:rPr>
          <w:rFonts w:ascii="Times New Roman" w:eastAsia="TimesNewRomanPSMT"/>
          <w:kern w:val="0"/>
          <w:sz w:val="24"/>
          <w:szCs w:val="24"/>
        </w:rPr>
        <w:t>Ca</w:t>
      </w:r>
      <w:r>
        <w:rPr>
          <w:rFonts w:ascii="Times New Roman"/>
          <w:kern w:val="0"/>
          <w:sz w:val="24"/>
          <w:szCs w:val="24"/>
        </w:rPr>
        <w:t>·</w:t>
      </w:r>
      <w:r>
        <w:rPr>
          <w:rFonts w:ascii="Times New Roman" w:eastAsia="TimesNewRomanPSMT"/>
          <w:kern w:val="0"/>
          <w:sz w:val="24"/>
          <w:szCs w:val="24"/>
        </w:rPr>
        <w:t>Mg</w:t>
      </w:r>
      <w:r>
        <w:rPr>
          <w:rFonts w:ascii="Times New Roman"/>
          <w:kern w:val="0"/>
          <w:sz w:val="24"/>
          <w:szCs w:val="24"/>
        </w:rPr>
        <w:t>·</w:t>
      </w:r>
      <w:r>
        <w:rPr>
          <w:rFonts w:ascii="Times New Roman" w:eastAsia="TimesNewRomanPSMT"/>
          <w:kern w:val="0"/>
          <w:sz w:val="24"/>
          <w:szCs w:val="24"/>
        </w:rPr>
        <w:t>Na</w:t>
      </w:r>
      <w:r>
        <w:rPr>
          <w:rFonts w:ascii="Times New Roman"/>
          <w:kern w:val="0"/>
          <w:sz w:val="24"/>
          <w:szCs w:val="24"/>
        </w:rPr>
        <w:t>型。在垂直方向上，由于咸水体的存在，在地下具有双层结构或者三层结构。分布于咸水体之下的深层淡水含水层岩性主要为细砂，局部为粉砂，含水层总厚度多为</w:t>
      </w:r>
      <w:r>
        <w:rPr>
          <w:rFonts w:ascii="Times New Roman" w:eastAsia="TimesNewRomanPSMT"/>
          <w:kern w:val="0"/>
          <w:sz w:val="24"/>
          <w:szCs w:val="24"/>
        </w:rPr>
        <w:t>80~120m</w:t>
      </w:r>
      <w:r>
        <w:rPr>
          <w:rFonts w:ascii="Times New Roman"/>
          <w:kern w:val="0"/>
          <w:sz w:val="24"/>
          <w:szCs w:val="24"/>
        </w:rPr>
        <w:t>，滨海地带</w:t>
      </w:r>
      <w:r>
        <w:rPr>
          <w:rFonts w:ascii="Times New Roman" w:eastAsia="TimesNewRomanPSMT"/>
          <w:kern w:val="0"/>
          <w:sz w:val="24"/>
          <w:szCs w:val="24"/>
        </w:rPr>
        <w:t>40~80m</w:t>
      </w:r>
      <w:r>
        <w:rPr>
          <w:rFonts w:ascii="Times New Roman"/>
          <w:kern w:val="0"/>
          <w:sz w:val="24"/>
          <w:szCs w:val="24"/>
        </w:rPr>
        <w:t>。地下水化学类型主要为</w:t>
      </w:r>
      <w:r>
        <w:rPr>
          <w:rFonts w:ascii="Times New Roman" w:eastAsia="TimesNewRomanPSMT"/>
          <w:kern w:val="0"/>
          <w:sz w:val="24"/>
          <w:szCs w:val="24"/>
        </w:rPr>
        <w:t>HCO</w:t>
      </w:r>
      <w:r>
        <w:rPr>
          <w:rFonts w:ascii="Times New Roman" w:eastAsia="TimesNewRomanPSMT"/>
          <w:kern w:val="0"/>
          <w:sz w:val="15"/>
          <w:szCs w:val="15"/>
        </w:rPr>
        <w:t>3-</w:t>
      </w:r>
      <w:r>
        <w:rPr>
          <w:rFonts w:ascii="Times New Roman" w:eastAsia="TimesNewRomanPSMT"/>
          <w:kern w:val="0"/>
          <w:sz w:val="24"/>
          <w:szCs w:val="24"/>
        </w:rPr>
        <w:t>Ca</w:t>
      </w:r>
      <w:r>
        <w:rPr>
          <w:rFonts w:ascii="Times New Roman"/>
          <w:kern w:val="0"/>
          <w:sz w:val="24"/>
          <w:szCs w:val="24"/>
        </w:rPr>
        <w:t>·</w:t>
      </w:r>
      <w:r>
        <w:rPr>
          <w:rFonts w:ascii="Times New Roman" w:eastAsia="TimesNewRomanPSMT"/>
          <w:kern w:val="0"/>
          <w:sz w:val="24"/>
          <w:szCs w:val="24"/>
        </w:rPr>
        <w:t>Na</w:t>
      </w:r>
      <w:r>
        <w:rPr>
          <w:rFonts w:ascii="Times New Roman"/>
          <w:kern w:val="0"/>
          <w:sz w:val="24"/>
          <w:szCs w:val="24"/>
        </w:rPr>
        <w:t>、</w:t>
      </w:r>
      <w:r>
        <w:rPr>
          <w:rFonts w:ascii="Times New Roman" w:eastAsia="TimesNewRomanPSMT"/>
          <w:kern w:val="0"/>
          <w:sz w:val="24"/>
          <w:szCs w:val="24"/>
        </w:rPr>
        <w:t>HCO</w:t>
      </w:r>
      <w:r>
        <w:rPr>
          <w:rFonts w:ascii="Times New Roman" w:eastAsia="TimesNewRomanPSMT"/>
          <w:kern w:val="0"/>
          <w:sz w:val="15"/>
          <w:szCs w:val="15"/>
        </w:rPr>
        <w:t>3-</w:t>
      </w:r>
      <w:r>
        <w:rPr>
          <w:rFonts w:ascii="Times New Roman" w:eastAsia="TimesNewRomanPSMT"/>
          <w:kern w:val="0"/>
          <w:sz w:val="24"/>
          <w:szCs w:val="24"/>
        </w:rPr>
        <w:t>Na</w:t>
      </w:r>
      <w:r>
        <w:rPr>
          <w:rFonts w:ascii="Times New Roman"/>
          <w:kern w:val="0"/>
          <w:sz w:val="24"/>
          <w:szCs w:val="24"/>
        </w:rPr>
        <w:t>型。</w:t>
      </w:r>
    </w:p>
    <w:p w14:paraId="6A9FCED5">
      <w:pPr>
        <w:widowControl/>
        <w:jc w:val="left"/>
        <w:rPr>
          <w:rFonts w:ascii="Times New Roman"/>
        </w:rPr>
      </w:pPr>
      <w:r>
        <w:rPr>
          <w:rFonts w:ascii="Times New Roman"/>
        </w:rPr>
        <w:drawing>
          <wp:inline distT="0" distB="0" distL="114300" distR="114300">
            <wp:extent cx="5270500" cy="4235450"/>
            <wp:effectExtent l="0" t="0" r="6350" b="12700"/>
            <wp:docPr id="11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1"/>
                    <pic:cNvPicPr>
                      <a:picLocks noChangeAspect="1"/>
                    </pic:cNvPicPr>
                  </pic:nvPicPr>
                  <pic:blipFill>
                    <a:blip r:embed="rId50" cstate="print"/>
                    <a:stretch>
                      <a:fillRect/>
                    </a:stretch>
                  </pic:blipFill>
                  <pic:spPr>
                    <a:xfrm>
                      <a:off x="0" y="0"/>
                      <a:ext cx="5270500" cy="4235450"/>
                    </a:xfrm>
                    <a:prstGeom prst="rect">
                      <a:avLst/>
                    </a:prstGeom>
                    <a:noFill/>
                    <a:ln>
                      <a:noFill/>
                    </a:ln>
                  </pic:spPr>
                </pic:pic>
              </a:graphicData>
            </a:graphic>
          </wp:inline>
        </w:drawing>
      </w:r>
    </w:p>
    <w:p w14:paraId="2BF0B7DC">
      <w:pPr>
        <w:widowControl/>
        <w:jc w:val="center"/>
        <w:rPr>
          <w:rFonts w:ascii="Times New Roman"/>
          <w:b/>
          <w:bCs/>
          <w:kern w:val="0"/>
          <w:sz w:val="24"/>
          <w:szCs w:val="24"/>
        </w:rPr>
      </w:pPr>
      <w:r>
        <w:rPr>
          <w:rFonts w:ascii="Times New Roman"/>
          <w:b/>
          <w:bCs/>
          <w:kern w:val="0"/>
          <w:sz w:val="24"/>
          <w:szCs w:val="24"/>
        </w:rPr>
        <w:t>图5.2</w:t>
      </w:r>
      <w:r>
        <w:rPr>
          <w:rFonts w:hint="eastAsia" w:ascii="Times New Roman"/>
          <w:b/>
          <w:bCs/>
          <w:kern w:val="0"/>
          <w:sz w:val="24"/>
          <w:szCs w:val="24"/>
        </w:rPr>
        <w:t>.3</w:t>
      </w:r>
      <w:r>
        <w:rPr>
          <w:rFonts w:ascii="Times New Roman"/>
          <w:b/>
          <w:bCs/>
          <w:kern w:val="0"/>
          <w:sz w:val="24"/>
          <w:szCs w:val="24"/>
        </w:rPr>
        <w:t>-</w:t>
      </w:r>
      <w:r>
        <w:rPr>
          <w:rFonts w:hint="eastAsia" w:ascii="Times New Roman"/>
          <w:b/>
          <w:bCs/>
          <w:kern w:val="0"/>
          <w:sz w:val="24"/>
          <w:szCs w:val="24"/>
        </w:rPr>
        <w:t>1</w:t>
      </w:r>
      <w:r>
        <w:rPr>
          <w:rFonts w:ascii="Times New Roman"/>
          <w:b/>
          <w:bCs/>
          <w:kern w:val="0"/>
          <w:sz w:val="24"/>
          <w:szCs w:val="24"/>
        </w:rPr>
        <w:t xml:space="preserve">  唐山市水文地质分区图</w:t>
      </w:r>
    </w:p>
    <w:p w14:paraId="52A7410B">
      <w:pPr>
        <w:snapToGrid w:val="0"/>
        <w:spacing w:beforeLines="50" w:line="360" w:lineRule="auto"/>
        <w:outlineLvl w:val="3"/>
        <w:rPr>
          <w:rFonts w:ascii="Times New Roman"/>
          <w:b/>
          <w:sz w:val="24"/>
          <w:szCs w:val="24"/>
        </w:rPr>
      </w:pPr>
      <w:r>
        <w:rPr>
          <w:rFonts w:ascii="Times New Roman"/>
          <w:b/>
          <w:sz w:val="24"/>
          <w:szCs w:val="24"/>
        </w:rPr>
        <w:t>（2）含水组划分</w:t>
      </w:r>
    </w:p>
    <w:p w14:paraId="2D20977F">
      <w:pPr>
        <w:widowControl/>
        <w:spacing w:line="360" w:lineRule="auto"/>
        <w:ind w:firstLine="480" w:firstLineChars="200"/>
        <w:jc w:val="left"/>
        <w:rPr>
          <w:rFonts w:ascii="Times New Roman"/>
          <w:sz w:val="24"/>
          <w:szCs w:val="24"/>
        </w:rPr>
      </w:pPr>
      <w:r>
        <w:rPr>
          <w:rFonts w:ascii="Times New Roman"/>
          <w:kern w:val="0"/>
          <w:sz w:val="24"/>
          <w:szCs w:val="24"/>
        </w:rPr>
        <w:t>项目区属于第四系松散岩类孔隙水可分四个含水组，位于咸淡水分界线以南，属咸水分布范围，咸水层底板埋深</w:t>
      </w:r>
      <w:r>
        <w:rPr>
          <w:rFonts w:ascii="Times New Roman" w:eastAsia="TimesNewRomanPSMT"/>
          <w:kern w:val="0"/>
          <w:sz w:val="24"/>
          <w:szCs w:val="24"/>
        </w:rPr>
        <w:t>120m</w:t>
      </w:r>
      <w:r>
        <w:rPr>
          <w:rFonts w:ascii="Times New Roman"/>
          <w:kern w:val="0"/>
          <w:sz w:val="24"/>
          <w:szCs w:val="24"/>
        </w:rPr>
        <w:t>左右。含水层由冲积、海积、湖、沼积等沉积作用形成的中砂、细砂等构成，属滨海冲积海积平原水文地质区。</w:t>
      </w:r>
    </w:p>
    <w:p w14:paraId="7CE0C26F">
      <w:pPr>
        <w:widowControl/>
        <w:spacing w:line="360" w:lineRule="auto"/>
        <w:ind w:firstLine="480" w:firstLineChars="200"/>
        <w:jc w:val="left"/>
        <w:rPr>
          <w:rFonts w:ascii="Times New Roman"/>
          <w:sz w:val="24"/>
          <w:szCs w:val="24"/>
        </w:rPr>
      </w:pPr>
      <w:r>
        <w:rPr>
          <w:rFonts w:ascii="Times New Roman"/>
          <w:kern w:val="0"/>
          <w:sz w:val="24"/>
          <w:szCs w:val="24"/>
        </w:rPr>
        <w:t>根据第四纪沉积物的岩性特征，以及水文地质条件，在垂向上将第四纪松散堆积物自上而下划分为四个含水层组。</w:t>
      </w:r>
    </w:p>
    <w:p w14:paraId="4D5DC806">
      <w:pPr>
        <w:widowControl/>
        <w:spacing w:line="360" w:lineRule="auto"/>
        <w:ind w:firstLine="480" w:firstLineChars="200"/>
        <w:jc w:val="left"/>
        <w:rPr>
          <w:rFonts w:ascii="Times New Roman"/>
          <w:sz w:val="24"/>
          <w:szCs w:val="24"/>
        </w:rPr>
      </w:pPr>
      <w:r>
        <w:rPr>
          <w:rFonts w:ascii="Times New Roman"/>
          <w:kern w:val="0"/>
          <w:sz w:val="24"/>
          <w:szCs w:val="24"/>
        </w:rPr>
        <w:t>①第Ⅰ含水组：底板埋深</w:t>
      </w:r>
      <w:r>
        <w:rPr>
          <w:rFonts w:ascii="Times New Roman" w:eastAsia="TimesNewRomanPSMT"/>
          <w:kern w:val="0"/>
          <w:sz w:val="24"/>
          <w:szCs w:val="24"/>
        </w:rPr>
        <w:t>15~20m</w:t>
      </w:r>
      <w:r>
        <w:rPr>
          <w:rFonts w:ascii="Times New Roman"/>
          <w:kern w:val="0"/>
          <w:sz w:val="24"/>
          <w:szCs w:val="24"/>
        </w:rPr>
        <w:t>，为全咸水潜水层，含水层岩性以细砂、粉砂为主，单层厚度</w:t>
      </w:r>
      <w:r>
        <w:rPr>
          <w:rFonts w:ascii="Times New Roman" w:eastAsia="TimesNewRomanPSMT"/>
          <w:kern w:val="0"/>
          <w:sz w:val="24"/>
          <w:szCs w:val="24"/>
        </w:rPr>
        <w:t>4~15m</w:t>
      </w:r>
      <w:r>
        <w:rPr>
          <w:rFonts w:ascii="Times New Roman"/>
          <w:kern w:val="0"/>
          <w:sz w:val="24"/>
          <w:szCs w:val="24"/>
        </w:rPr>
        <w:t>，总厚度</w:t>
      </w:r>
      <w:r>
        <w:rPr>
          <w:rFonts w:ascii="Times New Roman" w:eastAsia="TimesNewRomanPSMT"/>
          <w:kern w:val="0"/>
          <w:sz w:val="24"/>
          <w:szCs w:val="24"/>
        </w:rPr>
        <w:t>8~15m</w:t>
      </w:r>
      <w:r>
        <w:rPr>
          <w:rFonts w:ascii="Times New Roman"/>
          <w:kern w:val="0"/>
          <w:sz w:val="24"/>
          <w:szCs w:val="24"/>
        </w:rPr>
        <w:t>，单位涌水量小于</w:t>
      </w:r>
      <w:r>
        <w:rPr>
          <w:rFonts w:ascii="Times New Roman" w:eastAsia="TimesNewRomanPSMT"/>
          <w:kern w:val="0"/>
          <w:sz w:val="24"/>
          <w:szCs w:val="24"/>
        </w:rPr>
        <w:t>2.5m</w:t>
      </w:r>
      <w:r>
        <w:rPr>
          <w:rFonts w:ascii="Times New Roman" w:eastAsia="TimesNewRomanPSMT"/>
          <w:kern w:val="0"/>
          <w:sz w:val="24"/>
          <w:szCs w:val="24"/>
          <w:vertAlign w:val="superscript"/>
        </w:rPr>
        <w:t>3</w:t>
      </w:r>
      <w:r>
        <w:rPr>
          <w:rFonts w:ascii="Times New Roman" w:eastAsia="TimesNewRomanPSMT"/>
          <w:kern w:val="0"/>
          <w:sz w:val="24"/>
          <w:szCs w:val="24"/>
        </w:rPr>
        <w:t>/h·m</w:t>
      </w:r>
      <w:r>
        <w:rPr>
          <w:rFonts w:ascii="Times New Roman"/>
          <w:kern w:val="0"/>
          <w:sz w:val="24"/>
          <w:szCs w:val="24"/>
        </w:rPr>
        <w:t>。水化学类型为</w:t>
      </w:r>
      <w:r>
        <w:rPr>
          <w:rFonts w:ascii="Times New Roman" w:eastAsia="TimesNewRomanPSMT"/>
          <w:kern w:val="0"/>
          <w:sz w:val="24"/>
          <w:szCs w:val="24"/>
        </w:rPr>
        <w:t>Cl-Na</w:t>
      </w:r>
      <w:r>
        <w:rPr>
          <w:rFonts w:ascii="Times New Roman"/>
          <w:kern w:val="0"/>
          <w:sz w:val="24"/>
          <w:szCs w:val="24"/>
        </w:rPr>
        <w:t>型水，矿化度大于</w:t>
      </w:r>
      <w:r>
        <w:rPr>
          <w:rFonts w:ascii="Times New Roman" w:eastAsia="TimesNewRomanPSMT"/>
          <w:kern w:val="0"/>
          <w:sz w:val="24"/>
          <w:szCs w:val="24"/>
        </w:rPr>
        <w:t>2g/L</w:t>
      </w:r>
      <w:r>
        <w:rPr>
          <w:rFonts w:ascii="Times New Roman"/>
          <w:kern w:val="0"/>
          <w:sz w:val="24"/>
          <w:szCs w:val="24"/>
        </w:rPr>
        <w:t>。</w:t>
      </w:r>
    </w:p>
    <w:p w14:paraId="0BA064BE">
      <w:pPr>
        <w:widowControl/>
        <w:spacing w:line="360" w:lineRule="auto"/>
        <w:ind w:firstLine="480" w:firstLineChars="200"/>
        <w:jc w:val="left"/>
        <w:rPr>
          <w:rFonts w:ascii="Times New Roman"/>
          <w:sz w:val="24"/>
          <w:szCs w:val="24"/>
        </w:rPr>
      </w:pPr>
      <w:r>
        <w:rPr>
          <w:rFonts w:ascii="Times New Roman"/>
          <w:kern w:val="0"/>
          <w:sz w:val="24"/>
          <w:szCs w:val="24"/>
        </w:rPr>
        <w:t>②第Ⅱ含水组：底板埋深</w:t>
      </w:r>
      <w:r>
        <w:rPr>
          <w:rFonts w:ascii="Times New Roman" w:eastAsia="TimesNewRomanPSMT"/>
          <w:kern w:val="0"/>
          <w:sz w:val="24"/>
          <w:szCs w:val="24"/>
        </w:rPr>
        <w:t>140~160m</w:t>
      </w:r>
      <w:r>
        <w:rPr>
          <w:rFonts w:ascii="Times New Roman"/>
          <w:kern w:val="0"/>
          <w:sz w:val="24"/>
          <w:szCs w:val="24"/>
        </w:rPr>
        <w:t>，埋深约</w:t>
      </w:r>
      <w:r>
        <w:rPr>
          <w:rFonts w:ascii="Times New Roman" w:eastAsia="TimesNewRomanPSMT"/>
          <w:kern w:val="0"/>
          <w:sz w:val="24"/>
          <w:szCs w:val="24"/>
        </w:rPr>
        <w:t>60m</w:t>
      </w:r>
      <w:r>
        <w:rPr>
          <w:rFonts w:ascii="Times New Roman"/>
          <w:kern w:val="0"/>
          <w:sz w:val="24"/>
          <w:szCs w:val="24"/>
        </w:rPr>
        <w:t>以上为咸水，以下为淡水承压水。含水层岩性以细砂为主，局部有中、粗砂，单层厚度</w:t>
      </w:r>
      <w:r>
        <w:rPr>
          <w:rFonts w:ascii="Times New Roman" w:eastAsia="TimesNewRomanPSMT"/>
          <w:kern w:val="0"/>
          <w:sz w:val="24"/>
          <w:szCs w:val="24"/>
        </w:rPr>
        <w:t>5~10m</w:t>
      </w:r>
      <w:r>
        <w:rPr>
          <w:rFonts w:ascii="Times New Roman"/>
          <w:kern w:val="0"/>
          <w:sz w:val="24"/>
          <w:szCs w:val="24"/>
        </w:rPr>
        <w:t>，总厚度</w:t>
      </w:r>
      <w:r>
        <w:rPr>
          <w:rFonts w:ascii="Times New Roman" w:eastAsia="TimesNewRomanPSMT"/>
          <w:kern w:val="0"/>
          <w:sz w:val="24"/>
          <w:szCs w:val="24"/>
        </w:rPr>
        <w:t>40~60m</w:t>
      </w:r>
      <w:r>
        <w:rPr>
          <w:rFonts w:ascii="Times New Roman"/>
          <w:kern w:val="0"/>
          <w:sz w:val="24"/>
          <w:szCs w:val="24"/>
        </w:rPr>
        <w:t>，单位涌水量</w:t>
      </w:r>
      <w:r>
        <w:rPr>
          <w:rFonts w:ascii="Times New Roman" w:eastAsia="TimesNewRomanPSMT"/>
          <w:kern w:val="0"/>
          <w:sz w:val="24"/>
          <w:szCs w:val="24"/>
        </w:rPr>
        <w:t>5~10m</w:t>
      </w:r>
      <w:r>
        <w:rPr>
          <w:rFonts w:ascii="Times New Roman" w:eastAsia="TimesNewRomanPSMT"/>
          <w:kern w:val="0"/>
          <w:sz w:val="24"/>
          <w:szCs w:val="24"/>
          <w:vertAlign w:val="superscript"/>
        </w:rPr>
        <w:t>3</w:t>
      </w:r>
      <w:r>
        <w:rPr>
          <w:rFonts w:ascii="Times New Roman" w:eastAsia="TimesNewRomanPSMT"/>
          <w:kern w:val="0"/>
          <w:sz w:val="24"/>
          <w:szCs w:val="24"/>
        </w:rPr>
        <w:t>/h·m</w:t>
      </w:r>
      <w:r>
        <w:rPr>
          <w:rFonts w:ascii="Times New Roman"/>
          <w:kern w:val="0"/>
          <w:sz w:val="24"/>
          <w:szCs w:val="24"/>
        </w:rPr>
        <w:t>。水化学类型上层咸水为</w:t>
      </w:r>
      <w:r>
        <w:rPr>
          <w:rFonts w:ascii="Times New Roman" w:eastAsia="TimesNewRomanPSMT"/>
          <w:kern w:val="0"/>
          <w:sz w:val="24"/>
          <w:szCs w:val="24"/>
        </w:rPr>
        <w:t>Cl-Na</w:t>
      </w:r>
      <w:r>
        <w:rPr>
          <w:rFonts w:ascii="Times New Roman"/>
          <w:kern w:val="0"/>
          <w:sz w:val="24"/>
          <w:szCs w:val="24"/>
        </w:rPr>
        <w:t>，下层淡水为</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-Ca·Na</w:t>
      </w:r>
      <w:r>
        <w:rPr>
          <w:rFonts w:ascii="Times New Roman"/>
          <w:kern w:val="0"/>
          <w:sz w:val="24"/>
          <w:szCs w:val="24"/>
        </w:rPr>
        <w:t>、</w:t>
      </w:r>
      <w:r>
        <w:rPr>
          <w:rFonts w:ascii="Times New Roman" w:eastAsia="TimesNewRomanPSMT"/>
          <w:kern w:val="0"/>
          <w:sz w:val="24"/>
          <w:szCs w:val="24"/>
        </w:rPr>
        <w:t>HCO3-Na</w:t>
      </w:r>
      <w:r>
        <w:rPr>
          <w:rFonts w:ascii="Times New Roman"/>
          <w:kern w:val="0"/>
          <w:sz w:val="24"/>
          <w:szCs w:val="24"/>
        </w:rPr>
        <w:t>型水。</w:t>
      </w:r>
    </w:p>
    <w:p w14:paraId="109AB16C">
      <w:pPr>
        <w:widowControl/>
        <w:spacing w:line="360" w:lineRule="auto"/>
        <w:ind w:firstLine="480" w:firstLineChars="200"/>
        <w:jc w:val="left"/>
        <w:rPr>
          <w:rFonts w:ascii="Times New Roman"/>
        </w:rPr>
      </w:pPr>
      <w:r>
        <w:rPr>
          <w:rFonts w:ascii="Times New Roman"/>
          <w:kern w:val="0"/>
          <w:sz w:val="24"/>
          <w:szCs w:val="24"/>
        </w:rPr>
        <w:t>③第Ⅲ</w:t>
      </w:r>
      <w:r>
        <w:rPr>
          <w:rFonts w:ascii="Times New Roman" w:eastAsia="TimesNewRomanPSMT"/>
          <w:kern w:val="0"/>
          <w:sz w:val="24"/>
          <w:szCs w:val="24"/>
        </w:rPr>
        <w:t>1</w:t>
      </w:r>
      <w:r>
        <w:rPr>
          <w:rFonts w:ascii="Times New Roman"/>
          <w:kern w:val="0"/>
          <w:sz w:val="24"/>
          <w:szCs w:val="24"/>
        </w:rPr>
        <w:t>含水组：底板埋深</w:t>
      </w:r>
      <w:r>
        <w:rPr>
          <w:rFonts w:ascii="Times New Roman" w:eastAsia="TimesNewRomanPSMT"/>
          <w:kern w:val="0"/>
          <w:sz w:val="24"/>
          <w:szCs w:val="24"/>
        </w:rPr>
        <w:t>250~320m</w:t>
      </w:r>
      <w:r>
        <w:rPr>
          <w:rFonts w:ascii="Times New Roman"/>
          <w:kern w:val="0"/>
          <w:sz w:val="24"/>
          <w:szCs w:val="24"/>
        </w:rPr>
        <w:t>，为淡水承压水。含水层岩性以中细砂及粉细砂为主，单层厚度</w:t>
      </w:r>
      <w:r>
        <w:rPr>
          <w:rFonts w:ascii="Times New Roman" w:eastAsia="TimesNewRomanPSMT"/>
          <w:kern w:val="0"/>
          <w:sz w:val="24"/>
          <w:szCs w:val="24"/>
        </w:rPr>
        <w:t>5~10m</w:t>
      </w:r>
      <w:r>
        <w:rPr>
          <w:rFonts w:ascii="Times New Roman"/>
          <w:kern w:val="0"/>
          <w:sz w:val="24"/>
          <w:szCs w:val="24"/>
        </w:rPr>
        <w:t>，总厚度</w:t>
      </w:r>
      <w:r>
        <w:rPr>
          <w:rFonts w:ascii="Times New Roman" w:eastAsia="TimesNewRomanPSMT"/>
          <w:kern w:val="0"/>
          <w:sz w:val="24"/>
          <w:szCs w:val="24"/>
        </w:rPr>
        <w:t>30~60m</w:t>
      </w:r>
      <w:r>
        <w:rPr>
          <w:rFonts w:ascii="Times New Roman"/>
          <w:kern w:val="0"/>
          <w:sz w:val="24"/>
          <w:szCs w:val="24"/>
        </w:rPr>
        <w:t>，单位涌水量</w:t>
      </w:r>
      <w:r>
        <w:rPr>
          <w:rFonts w:ascii="Times New Roman" w:eastAsia="TimesNewRomanPSMT"/>
          <w:kern w:val="0"/>
          <w:sz w:val="24"/>
          <w:szCs w:val="24"/>
        </w:rPr>
        <w:t>5~10m</w:t>
      </w:r>
      <w:r>
        <w:rPr>
          <w:rFonts w:ascii="Times New Roman" w:eastAsia="TimesNewRomanPSMT"/>
          <w:kern w:val="0"/>
          <w:sz w:val="24"/>
          <w:szCs w:val="24"/>
          <w:vertAlign w:val="superscript"/>
        </w:rPr>
        <w:t>3</w:t>
      </w:r>
      <w:r>
        <w:rPr>
          <w:rFonts w:ascii="Times New Roman" w:eastAsia="TimesNewRomanPSMT"/>
          <w:kern w:val="0"/>
          <w:sz w:val="24"/>
          <w:szCs w:val="24"/>
        </w:rPr>
        <w:t>/h·m</w:t>
      </w:r>
      <w:r>
        <w:rPr>
          <w:rFonts w:ascii="Times New Roman"/>
          <w:kern w:val="0"/>
          <w:sz w:val="24"/>
          <w:szCs w:val="24"/>
        </w:rPr>
        <w:t>。</w:t>
      </w:r>
    </w:p>
    <w:p w14:paraId="64BB3CC2">
      <w:pPr>
        <w:widowControl/>
        <w:spacing w:line="360" w:lineRule="auto"/>
        <w:ind w:firstLine="480" w:firstLineChars="200"/>
        <w:jc w:val="left"/>
        <w:rPr>
          <w:rFonts w:ascii="Times New Roman"/>
        </w:rPr>
      </w:pPr>
      <w:r>
        <w:rPr>
          <w:rFonts w:ascii="Times New Roman"/>
          <w:kern w:val="0"/>
          <w:sz w:val="24"/>
          <w:szCs w:val="24"/>
        </w:rPr>
        <w:t>水化学类型为</w:t>
      </w:r>
      <w:r>
        <w:rPr>
          <w:rFonts w:ascii="Times New Roman" w:eastAsia="TimesNewRomanPSMT"/>
          <w:kern w:val="0"/>
          <w:sz w:val="24"/>
          <w:szCs w:val="24"/>
        </w:rPr>
        <w:t>HCO</w:t>
      </w:r>
      <w:r>
        <w:rPr>
          <w:rFonts w:ascii="Times New Roman" w:eastAsia="TimesNewRomanPSMT"/>
          <w:kern w:val="0"/>
          <w:sz w:val="15"/>
          <w:szCs w:val="15"/>
        </w:rPr>
        <w:t>3</w:t>
      </w:r>
      <w:r>
        <w:rPr>
          <w:rFonts w:ascii="Times New Roman" w:eastAsia="TimesNewRomanPSMT"/>
          <w:kern w:val="0"/>
          <w:sz w:val="24"/>
          <w:szCs w:val="24"/>
        </w:rPr>
        <w:t>-Na</w:t>
      </w:r>
      <w:r>
        <w:rPr>
          <w:rFonts w:ascii="Times New Roman"/>
          <w:kern w:val="0"/>
          <w:sz w:val="24"/>
          <w:szCs w:val="24"/>
        </w:rPr>
        <w:t>。地下水总体流向由东南向西北，但因各地开采强度的差异，局部出现开采型地下水位下降漏斗，地下水由周边向漏斗中心径流。为目前农业开采和生活用水的主要开采段。</w:t>
      </w:r>
    </w:p>
    <w:p w14:paraId="6E52147D">
      <w:pPr>
        <w:widowControl/>
        <w:spacing w:line="360" w:lineRule="auto"/>
        <w:ind w:firstLine="480" w:firstLineChars="200"/>
        <w:jc w:val="left"/>
        <w:rPr>
          <w:rFonts w:ascii="Times New Roman"/>
        </w:rPr>
      </w:pPr>
      <w:r>
        <w:rPr>
          <w:rFonts w:ascii="Times New Roman"/>
          <w:kern w:val="0"/>
          <w:sz w:val="24"/>
          <w:szCs w:val="24"/>
        </w:rPr>
        <w:t>④第Ⅲ</w:t>
      </w:r>
      <w:r>
        <w:rPr>
          <w:rFonts w:ascii="Times New Roman" w:eastAsia="TimesNewRomanPSMT"/>
          <w:kern w:val="0"/>
          <w:sz w:val="24"/>
          <w:szCs w:val="24"/>
        </w:rPr>
        <w:t>2</w:t>
      </w:r>
      <w:r>
        <w:rPr>
          <w:rFonts w:ascii="Times New Roman"/>
          <w:kern w:val="0"/>
          <w:sz w:val="24"/>
          <w:szCs w:val="24"/>
        </w:rPr>
        <w:t>含水组：底板埋深约</w:t>
      </w:r>
      <w:r>
        <w:rPr>
          <w:rFonts w:ascii="Times New Roman" w:eastAsia="TimesNewRomanPSMT"/>
          <w:kern w:val="0"/>
          <w:sz w:val="24"/>
          <w:szCs w:val="24"/>
        </w:rPr>
        <w:t>400m</w:t>
      </w:r>
      <w:r>
        <w:rPr>
          <w:rFonts w:ascii="Times New Roman"/>
          <w:kern w:val="0"/>
          <w:sz w:val="24"/>
          <w:szCs w:val="24"/>
        </w:rPr>
        <w:t>，为淡水承压水。含水层岩性以中细砂及中细砂为主，单层厚度</w:t>
      </w:r>
      <w:r>
        <w:rPr>
          <w:rFonts w:ascii="Times New Roman" w:eastAsia="TimesNewRomanPSMT"/>
          <w:kern w:val="0"/>
          <w:sz w:val="24"/>
          <w:szCs w:val="24"/>
        </w:rPr>
        <w:t>2~12m</w:t>
      </w:r>
      <w:r>
        <w:rPr>
          <w:rFonts w:ascii="Times New Roman"/>
          <w:kern w:val="0"/>
          <w:sz w:val="24"/>
          <w:szCs w:val="24"/>
        </w:rPr>
        <w:t>，总厚度</w:t>
      </w:r>
      <w:r>
        <w:rPr>
          <w:rFonts w:ascii="Times New Roman" w:eastAsia="TimesNewRomanPSMT"/>
          <w:kern w:val="0"/>
          <w:sz w:val="24"/>
          <w:szCs w:val="24"/>
        </w:rPr>
        <w:t>30~40m</w:t>
      </w:r>
      <w:r>
        <w:rPr>
          <w:rFonts w:ascii="Times New Roman"/>
          <w:kern w:val="0"/>
          <w:sz w:val="24"/>
          <w:szCs w:val="24"/>
        </w:rPr>
        <w:t>，单位涌水量</w:t>
      </w:r>
      <w:r>
        <w:rPr>
          <w:rFonts w:ascii="Times New Roman" w:eastAsia="TimesNewRomanPSMT"/>
          <w:kern w:val="0"/>
          <w:sz w:val="24"/>
          <w:szCs w:val="24"/>
        </w:rPr>
        <w:t>10~15m</w:t>
      </w:r>
      <w:r>
        <w:rPr>
          <w:rFonts w:ascii="Times New Roman" w:eastAsia="TimesNewRomanPSMT"/>
          <w:kern w:val="0"/>
          <w:sz w:val="24"/>
          <w:szCs w:val="24"/>
          <w:vertAlign w:val="superscript"/>
        </w:rPr>
        <w:t>3</w:t>
      </w:r>
      <w:r>
        <w:rPr>
          <w:rFonts w:ascii="Times New Roman" w:eastAsia="TimesNewRomanPSMT"/>
          <w:kern w:val="0"/>
          <w:sz w:val="24"/>
          <w:szCs w:val="24"/>
        </w:rPr>
        <w:t>/h·m</w:t>
      </w:r>
      <w:r>
        <w:rPr>
          <w:rFonts w:ascii="Times New Roman"/>
          <w:kern w:val="0"/>
          <w:sz w:val="24"/>
          <w:szCs w:val="24"/>
        </w:rPr>
        <w:t>。</w:t>
      </w:r>
    </w:p>
    <w:p w14:paraId="5D52732D">
      <w:pPr>
        <w:widowControl/>
        <w:spacing w:line="360" w:lineRule="auto"/>
        <w:ind w:firstLine="480" w:firstLineChars="200"/>
        <w:jc w:val="left"/>
        <w:rPr>
          <w:rFonts w:ascii="Times New Roman"/>
        </w:rPr>
      </w:pPr>
      <w:r>
        <w:rPr>
          <w:rFonts w:ascii="Times New Roman"/>
          <w:kern w:val="0"/>
          <w:sz w:val="24"/>
          <w:szCs w:val="24"/>
        </w:rPr>
        <w:t>水化学类型为</w:t>
      </w:r>
      <w:r>
        <w:rPr>
          <w:rFonts w:ascii="Times New Roman" w:eastAsia="TimesNewRomanPSMT"/>
          <w:kern w:val="0"/>
          <w:sz w:val="24"/>
          <w:szCs w:val="24"/>
        </w:rPr>
        <w:t>HCO</w:t>
      </w:r>
      <w:r>
        <w:rPr>
          <w:rFonts w:ascii="Times New Roman" w:eastAsia="TimesNewRomanPSMT"/>
          <w:kern w:val="0"/>
          <w:sz w:val="15"/>
          <w:szCs w:val="15"/>
        </w:rPr>
        <w:t>3</w:t>
      </w:r>
      <w:r>
        <w:rPr>
          <w:rFonts w:ascii="Times New Roman" w:eastAsia="TimesNewRomanPSMT"/>
          <w:kern w:val="0"/>
          <w:sz w:val="24"/>
          <w:szCs w:val="24"/>
        </w:rPr>
        <w:t>-Na</w:t>
      </w:r>
      <w:r>
        <w:rPr>
          <w:rFonts w:ascii="Times New Roman"/>
          <w:kern w:val="0"/>
          <w:sz w:val="24"/>
          <w:szCs w:val="24"/>
        </w:rPr>
        <w:t>。</w:t>
      </w:r>
    </w:p>
    <w:p w14:paraId="04B72A40">
      <w:pPr>
        <w:widowControl/>
        <w:spacing w:line="360" w:lineRule="auto"/>
        <w:ind w:firstLine="480" w:firstLineChars="200"/>
        <w:jc w:val="left"/>
        <w:rPr>
          <w:rFonts w:ascii="Times New Roman"/>
        </w:rPr>
      </w:pPr>
      <w:r>
        <w:rPr>
          <w:rFonts w:ascii="Times New Roman"/>
          <w:kern w:val="0"/>
          <w:sz w:val="24"/>
          <w:szCs w:val="24"/>
        </w:rPr>
        <w:t>⑤第Ⅳ含水组：底板埋深</w:t>
      </w:r>
      <w:r>
        <w:rPr>
          <w:rFonts w:ascii="Times New Roman" w:eastAsia="TimesNewRomanPSMT"/>
          <w:kern w:val="0"/>
          <w:sz w:val="24"/>
          <w:szCs w:val="24"/>
        </w:rPr>
        <w:t>500~550m</w:t>
      </w:r>
      <w:r>
        <w:rPr>
          <w:rFonts w:ascii="Times New Roman"/>
          <w:kern w:val="0"/>
          <w:sz w:val="24"/>
          <w:szCs w:val="24"/>
        </w:rPr>
        <w:t>，为淡水承压水。含水层岩性以中细砂为主，单位涌水量</w:t>
      </w:r>
      <w:r>
        <w:rPr>
          <w:rFonts w:ascii="Times New Roman" w:eastAsia="TimesNewRomanPSMT"/>
          <w:kern w:val="0"/>
          <w:sz w:val="24"/>
          <w:szCs w:val="24"/>
        </w:rPr>
        <w:t>5~10m</w:t>
      </w:r>
      <w:r>
        <w:rPr>
          <w:rFonts w:ascii="Times New Roman" w:eastAsia="TimesNewRomanPSMT"/>
          <w:kern w:val="0"/>
          <w:sz w:val="24"/>
          <w:szCs w:val="24"/>
          <w:vertAlign w:val="superscript"/>
        </w:rPr>
        <w:t>3</w:t>
      </w:r>
      <w:r>
        <w:rPr>
          <w:rFonts w:ascii="Times New Roman" w:eastAsia="TimesNewRomanPSMT"/>
          <w:kern w:val="0"/>
          <w:sz w:val="24"/>
          <w:szCs w:val="24"/>
        </w:rPr>
        <w:t>/h·m</w:t>
      </w:r>
      <w:r>
        <w:rPr>
          <w:rFonts w:ascii="Times New Roman"/>
          <w:kern w:val="0"/>
          <w:sz w:val="24"/>
          <w:szCs w:val="24"/>
        </w:rPr>
        <w:t>。本层开采井很少。</w:t>
      </w:r>
    </w:p>
    <w:p w14:paraId="71A9CD19">
      <w:pPr>
        <w:widowControl/>
        <w:spacing w:line="360" w:lineRule="auto"/>
        <w:ind w:firstLine="480" w:firstLineChars="200"/>
        <w:jc w:val="left"/>
        <w:rPr>
          <w:rFonts w:ascii="Times New Roman"/>
        </w:rPr>
      </w:pPr>
      <w:r>
        <w:rPr>
          <w:rFonts w:ascii="Times New Roman"/>
          <w:kern w:val="0"/>
          <w:sz w:val="24"/>
          <w:szCs w:val="24"/>
        </w:rPr>
        <w:t>区域水文地质剖面图见图5.2.3-</w:t>
      </w:r>
      <w:r>
        <w:rPr>
          <w:rFonts w:hint="eastAsia" w:ascii="Times New Roman"/>
          <w:kern w:val="0"/>
          <w:sz w:val="24"/>
          <w:szCs w:val="24"/>
        </w:rPr>
        <w:t>2</w:t>
      </w:r>
      <w:r>
        <w:rPr>
          <w:rFonts w:ascii="Times New Roman"/>
          <w:kern w:val="0"/>
          <w:sz w:val="24"/>
          <w:szCs w:val="24"/>
        </w:rPr>
        <w:t>。</w:t>
      </w:r>
    </w:p>
    <w:p w14:paraId="012B5BC6">
      <w:pPr>
        <w:pStyle w:val="21"/>
        <w:rPr>
          <w:rFonts w:ascii="Times New Roman" w:hAnsi="Times New Roman" w:cs="Times New Roman"/>
        </w:rPr>
      </w:pPr>
    </w:p>
    <w:p w14:paraId="5CF73ECC">
      <w:pPr>
        <w:pStyle w:val="33"/>
        <w:snapToGrid w:val="0"/>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053965" cy="3115310"/>
            <wp:effectExtent l="0" t="0" r="13335" b="8890"/>
            <wp:docPr id="113"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descr="4"/>
                    <pic:cNvPicPr>
                      <a:picLocks noChangeAspect="1"/>
                    </pic:cNvPicPr>
                  </pic:nvPicPr>
                  <pic:blipFill>
                    <a:blip r:embed="rId51" cstate="print"/>
                    <a:stretch>
                      <a:fillRect/>
                    </a:stretch>
                  </pic:blipFill>
                  <pic:spPr>
                    <a:xfrm>
                      <a:off x="0" y="0"/>
                      <a:ext cx="5053965" cy="3115310"/>
                    </a:xfrm>
                    <a:prstGeom prst="rect">
                      <a:avLst/>
                    </a:prstGeom>
                    <a:noFill/>
                    <a:ln>
                      <a:noFill/>
                    </a:ln>
                  </pic:spPr>
                </pic:pic>
              </a:graphicData>
            </a:graphic>
          </wp:inline>
        </w:drawing>
      </w:r>
    </w:p>
    <w:p w14:paraId="4B7C5023">
      <w:pPr>
        <w:pStyle w:val="33"/>
        <w:snapToGrid w:val="0"/>
        <w:spacing w:line="360" w:lineRule="auto"/>
        <w:jc w:val="center"/>
        <w:rPr>
          <w:rFonts w:hint="default" w:ascii="Times New Roman" w:hAnsi="Times New Roman" w:cs="Times New Roman"/>
          <w:b/>
          <w:bCs/>
        </w:rPr>
      </w:pPr>
      <w:r>
        <w:rPr>
          <w:rFonts w:hint="default" w:ascii="Times New Roman" w:hAnsi="Times New Roman" w:cs="Times New Roman"/>
          <w:b/>
          <w:bCs/>
          <w:kern w:val="0"/>
        </w:rPr>
        <w:t>图5.2.3</w:t>
      </w:r>
      <w:r>
        <w:rPr>
          <w:rFonts w:ascii="Times New Roman" w:hAnsi="Times New Roman" w:cs="Times New Roman"/>
          <w:b/>
          <w:bCs/>
          <w:kern w:val="0"/>
        </w:rPr>
        <w:t>-2</w:t>
      </w:r>
      <w:r>
        <w:rPr>
          <w:rFonts w:hint="default" w:ascii="Times New Roman" w:hAnsi="Times New Roman" w:cs="Times New Roman"/>
          <w:b/>
          <w:bCs/>
          <w:kern w:val="0"/>
        </w:rPr>
        <w:t xml:space="preserve">   区域水文地质剖面图</w:t>
      </w:r>
    </w:p>
    <w:p w14:paraId="15ABD1DA">
      <w:pPr>
        <w:snapToGrid w:val="0"/>
        <w:spacing w:beforeLines="50" w:line="360" w:lineRule="auto"/>
        <w:ind w:firstLine="482" w:firstLineChars="200"/>
        <w:outlineLvl w:val="3"/>
        <w:rPr>
          <w:rFonts w:ascii="Times New Roman"/>
          <w:b/>
          <w:sz w:val="24"/>
          <w:szCs w:val="24"/>
        </w:rPr>
      </w:pPr>
      <w:r>
        <w:rPr>
          <w:rFonts w:ascii="Times New Roman"/>
          <w:b/>
          <w:sz w:val="24"/>
          <w:szCs w:val="24"/>
        </w:rPr>
        <w:t>（3）地下水补给、径流、排泄条件</w:t>
      </w:r>
    </w:p>
    <w:p w14:paraId="7F090E4B">
      <w:pPr>
        <w:spacing w:line="360" w:lineRule="auto"/>
        <w:rPr>
          <w:rFonts w:ascii="Times New Roman"/>
          <w:sz w:val="24"/>
          <w:szCs w:val="24"/>
        </w:rPr>
      </w:pPr>
      <w:r>
        <w:rPr>
          <w:rFonts w:ascii="Times New Roman"/>
          <w:sz w:val="24"/>
          <w:szCs w:val="24"/>
          <w:lang w:eastAsia="ja-JP"/>
        </w:rPr>
        <w:t>①</w:t>
      </w:r>
      <w:r>
        <w:rPr>
          <w:rFonts w:ascii="Times New Roman"/>
          <w:sz w:val="24"/>
          <w:szCs w:val="24"/>
        </w:rPr>
        <w:t>区域浅层水补、径、排特征</w:t>
      </w:r>
    </w:p>
    <w:p w14:paraId="1B3DF713">
      <w:pPr>
        <w:spacing w:line="360" w:lineRule="auto"/>
        <w:rPr>
          <w:rFonts w:ascii="Times New Roman"/>
          <w:sz w:val="24"/>
          <w:szCs w:val="24"/>
        </w:rPr>
      </w:pPr>
      <w:r>
        <w:rPr>
          <w:rFonts w:ascii="Times New Roman"/>
          <w:sz w:val="24"/>
          <w:szCs w:val="24"/>
        </w:rPr>
        <w:t>从区域上来看，浅层地下水主要接受大气降入渗补给，其次为地表水体入渗和地下水的侧向径流补给，还包括农业灌溉回归补给，地下水流向由北向南。矿化度＜2g/L的浅层淡水，主要消耗于人工开采及蒸发和以越流的方式补给深层地下水；在没有进行开采的矿化度＞2g/L区。浅层地下水的主要排泄方式为潜水蒸发及越流排泄。</w:t>
      </w:r>
    </w:p>
    <w:p w14:paraId="1A99AD19">
      <w:pPr>
        <w:spacing w:line="360" w:lineRule="auto"/>
        <w:rPr>
          <w:rFonts w:ascii="Times New Roman"/>
          <w:sz w:val="24"/>
          <w:szCs w:val="24"/>
        </w:rPr>
      </w:pPr>
      <w:r>
        <w:rPr>
          <w:rFonts w:ascii="Times New Roman"/>
          <w:sz w:val="24"/>
          <w:szCs w:val="24"/>
          <w:lang w:eastAsia="ja-JP"/>
        </w:rPr>
        <w:t>②</w:t>
      </w:r>
      <w:r>
        <w:rPr>
          <w:rFonts w:ascii="Times New Roman"/>
          <w:sz w:val="24"/>
          <w:szCs w:val="24"/>
        </w:rPr>
        <w:t>区域深层水补、径、排特征</w:t>
      </w:r>
    </w:p>
    <w:p w14:paraId="353F6AB9">
      <w:pPr>
        <w:spacing w:line="360" w:lineRule="auto"/>
        <w:rPr>
          <w:rFonts w:ascii="Times New Roman"/>
          <w:sz w:val="24"/>
          <w:szCs w:val="24"/>
        </w:rPr>
      </w:pPr>
      <w:r>
        <w:rPr>
          <w:rFonts w:ascii="Times New Roman"/>
          <w:sz w:val="24"/>
          <w:szCs w:val="24"/>
        </w:rPr>
        <w:t>从区域上来看，深层地下水的主要补给来源为地下水侧向径流及上覆含水层的越流补给，山前平原区主要接受地下水侧向补给、开采条件下含水层弹性释放量及越流补给；滨海平原区，侧向补给微弱，主要是越流补给，地下水总体流向由北向南。主要消耗于人工开采与侧向径流流出。</w:t>
      </w:r>
    </w:p>
    <w:p w14:paraId="22A2F8A6">
      <w:pPr>
        <w:spacing w:line="360" w:lineRule="auto"/>
        <w:rPr>
          <w:rFonts w:ascii="Times New Roman"/>
          <w:sz w:val="24"/>
          <w:szCs w:val="24"/>
        </w:rPr>
      </w:pPr>
      <w:r>
        <w:rPr>
          <w:rFonts w:ascii="Times New Roman"/>
          <w:sz w:val="28"/>
        </w:rPr>
        <mc:AlternateContent>
          <mc:Choice Requires="wpg">
            <w:drawing>
              <wp:anchor distT="0" distB="0" distL="114300" distR="114300" simplePos="0" relativeHeight="251691008" behindDoc="0" locked="0" layoutInCell="1" allowOverlap="1">
                <wp:simplePos x="0" y="0"/>
                <wp:positionH relativeFrom="column">
                  <wp:posOffset>219075</wp:posOffset>
                </wp:positionH>
                <wp:positionV relativeFrom="paragraph">
                  <wp:posOffset>92710</wp:posOffset>
                </wp:positionV>
                <wp:extent cx="4895850" cy="2476500"/>
                <wp:effectExtent l="0" t="27305" r="0" b="0"/>
                <wp:wrapNone/>
                <wp:docPr id="60" name="组合 25"/>
                <wp:cNvGraphicFramePr/>
                <a:graphic xmlns:a="http://schemas.openxmlformats.org/drawingml/2006/main">
                  <a:graphicData uri="http://schemas.microsoft.com/office/word/2010/wordprocessingGroup">
                    <wpg:wgp>
                      <wpg:cNvGrpSpPr/>
                      <wpg:grpSpPr>
                        <a:xfrm>
                          <a:off x="0" y="0"/>
                          <a:ext cx="4895850" cy="2476500"/>
                          <a:chOff x="3302" y="3935437"/>
                          <a:chExt cx="7710" cy="3900203"/>
                        </a:xfrm>
                      </wpg:grpSpPr>
                      <pic:pic xmlns:pic="http://schemas.openxmlformats.org/drawingml/2006/picture">
                        <pic:nvPicPr>
                          <pic:cNvPr id="3" name="图片 4151"/>
                          <pic:cNvPicPr>
                            <a:picLocks noChangeAspect="1"/>
                          </pic:cNvPicPr>
                        </pic:nvPicPr>
                        <pic:blipFill>
                          <a:blip r:embed="rId52"/>
                          <a:stretch>
                            <a:fillRect/>
                          </a:stretch>
                        </pic:blipFill>
                        <pic:spPr>
                          <a:xfrm>
                            <a:off x="3302" y="3935437"/>
                            <a:ext cx="7710" cy="3900"/>
                          </a:xfrm>
                          <a:prstGeom prst="rect">
                            <a:avLst/>
                          </a:prstGeom>
                          <a:noFill/>
                          <a:ln>
                            <a:noFill/>
                          </a:ln>
                        </pic:spPr>
                      </pic:pic>
                      <wps:wsp>
                        <wps:cNvPr id="13" name="任意多边形 73"/>
                        <wps:cNvSpPr/>
                        <wps:spPr>
                          <a:xfrm>
                            <a:off x="5458" y="3938350"/>
                            <a:ext cx="169" cy="150"/>
                          </a:xfrm>
                          <a:custGeom>
                            <a:avLst/>
                            <a:gdLst>
                              <a:gd name="A1" fmla="val 0"/>
                              <a:gd name="A2" fmla="val 0"/>
                              <a:gd name="A3" fmla="val 0"/>
                            </a:gdLst>
                            <a:ahLst/>
                            <a:cxnLst/>
                            <a:pathLst>
                              <a:path w="169" h="150">
                                <a:moveTo>
                                  <a:pt x="56" y="150"/>
                                </a:moveTo>
                                <a:lnTo>
                                  <a:pt x="169" y="66"/>
                                </a:lnTo>
                                <a:lnTo>
                                  <a:pt x="112" y="0"/>
                                </a:lnTo>
                                <a:lnTo>
                                  <a:pt x="0" y="95"/>
                                </a:lnTo>
                                <a:lnTo>
                                  <a:pt x="56" y="150"/>
                                </a:lnTo>
                                <a:close/>
                              </a:path>
                            </a:pathLst>
                          </a:custGeom>
                          <a:noFill/>
                          <a:ln>
                            <a:noFill/>
                          </a:ln>
                        </wps:spPr>
                        <wps:bodyPr upright="1"/>
                      </wps:wsp>
                      <wps:wsp>
                        <wps:cNvPr id="33" name="任意多边形 68"/>
                        <wps:cNvSpPr/>
                        <wps:spPr>
                          <a:xfrm>
                            <a:off x="5531" y="3938386"/>
                            <a:ext cx="113" cy="114"/>
                          </a:xfrm>
                          <a:custGeom>
                            <a:avLst/>
                            <a:gdLst>
                              <a:gd name="A1" fmla="val 0"/>
                              <a:gd name="A2" fmla="val 0"/>
                              <a:gd name="A3" fmla="val 0"/>
                            </a:gdLst>
                            <a:ahLst/>
                            <a:cxnLst/>
                            <a:pathLst>
                              <a:path w="113" h="114">
                                <a:moveTo>
                                  <a:pt x="0" y="114"/>
                                </a:moveTo>
                                <a:lnTo>
                                  <a:pt x="113" y="39"/>
                                </a:lnTo>
                                <a:lnTo>
                                  <a:pt x="90" y="0"/>
                                </a:lnTo>
                                <a:lnTo>
                                  <a:pt x="0" y="114"/>
                                </a:lnTo>
                                <a:close/>
                              </a:path>
                            </a:pathLst>
                          </a:custGeom>
                          <a:noFill/>
                          <a:ln>
                            <a:noFill/>
                          </a:ln>
                        </wps:spPr>
                        <wps:bodyPr upright="1"/>
                      </wps:wsp>
                      <wps:wsp>
                        <wps:cNvPr id="55" name="任意多边形 78"/>
                        <wps:cNvSpPr/>
                        <wps:spPr>
                          <a:xfrm rot="-2820000">
                            <a:off x="5602" y="3937881"/>
                            <a:ext cx="103" cy="111"/>
                          </a:xfrm>
                          <a:custGeom>
                            <a:avLst/>
                            <a:gdLst>
                              <a:gd name="A1" fmla="val 0"/>
                              <a:gd name="A2" fmla="val 0"/>
                              <a:gd name="A3" fmla="val 0"/>
                              <a:gd name="txL" fmla="*/ 0 w 103"/>
                              <a:gd name="txT" fmla="*/ 0 h 111"/>
                              <a:gd name="txR" fmla="*/ 103 w 103"/>
                              <a:gd name="txB" fmla="*/ 111 h 111"/>
                            </a:gdLst>
                            <a:ahLst/>
                            <a:cxnLst/>
                            <a:rect l="txL" t="txT" r="txR" b="txB"/>
                            <a:pathLst>
                              <a:path w="103" h="111">
                                <a:moveTo>
                                  <a:pt x="36" y="111"/>
                                </a:moveTo>
                                <a:lnTo>
                                  <a:pt x="103" y="51"/>
                                </a:lnTo>
                                <a:lnTo>
                                  <a:pt x="72" y="0"/>
                                </a:lnTo>
                                <a:lnTo>
                                  <a:pt x="0" y="60"/>
                                </a:lnTo>
                                <a:lnTo>
                                  <a:pt x="36" y="111"/>
                                </a:lnTo>
                                <a:close/>
                              </a:path>
                            </a:pathLst>
                          </a:custGeom>
                          <a:noFill/>
                          <a:ln w="9525" cap="flat" cmpd="sng">
                            <a:solidFill>
                              <a:srgbClr val="FF0000"/>
                            </a:solidFill>
                            <a:prstDash val="solid"/>
                            <a:round/>
                            <a:headEnd type="none" w="med" len="med"/>
                            <a:tailEnd type="none" w="med" len="med"/>
                          </a:ln>
                        </wps:spPr>
                        <wps:txbx>
                          <w:txbxContent>
                            <w:p w14:paraId="49254218">
                              <w:pPr>
                                <w:jc w:val="center"/>
                              </w:pPr>
                            </w:p>
                          </w:txbxContent>
                        </wps:txbx>
                        <wps:bodyPr upright="1"/>
                      </wps:wsp>
                      <wps:wsp>
                        <wps:cNvPr id="57" name="任意多边形 71"/>
                        <wps:cNvSpPr/>
                        <wps:spPr>
                          <a:xfrm rot="-2400000">
                            <a:off x="9418" y="3937958"/>
                            <a:ext cx="103" cy="111"/>
                          </a:xfrm>
                          <a:custGeom>
                            <a:avLst/>
                            <a:gdLst>
                              <a:gd name="A1" fmla="val 0"/>
                              <a:gd name="A2" fmla="val 0"/>
                              <a:gd name="A3" fmla="val 0"/>
                              <a:gd name="txL" fmla="*/ 0 w 103"/>
                              <a:gd name="txT" fmla="*/ 0 h 111"/>
                              <a:gd name="txR" fmla="*/ 103 w 103"/>
                              <a:gd name="txB" fmla="*/ 111 h 111"/>
                            </a:gdLst>
                            <a:ahLst/>
                            <a:cxnLst/>
                            <a:rect l="txL" t="txT" r="txR" b="txB"/>
                            <a:pathLst>
                              <a:path w="103" h="111">
                                <a:moveTo>
                                  <a:pt x="36" y="111"/>
                                </a:moveTo>
                                <a:lnTo>
                                  <a:pt x="103" y="51"/>
                                </a:lnTo>
                                <a:lnTo>
                                  <a:pt x="72" y="0"/>
                                </a:lnTo>
                                <a:lnTo>
                                  <a:pt x="0" y="60"/>
                                </a:lnTo>
                                <a:lnTo>
                                  <a:pt x="36" y="111"/>
                                </a:lnTo>
                                <a:close/>
                              </a:path>
                            </a:pathLst>
                          </a:custGeom>
                          <a:noFill/>
                          <a:ln w="9525" cap="flat" cmpd="sng">
                            <a:solidFill>
                              <a:srgbClr val="FF0000"/>
                            </a:solidFill>
                            <a:prstDash val="solid"/>
                            <a:round/>
                            <a:headEnd type="none" w="med" len="med"/>
                            <a:tailEnd type="none" w="med" len="med"/>
                          </a:ln>
                        </wps:spPr>
                        <wps:txbx>
                          <w:txbxContent>
                            <w:p w14:paraId="713EA046">
                              <w:pPr>
                                <w:jc w:val="center"/>
                              </w:pPr>
                            </w:p>
                          </w:txbxContent>
                        </wps:txbx>
                        <wps:bodyPr upright="1"/>
                      </wps:wsp>
                    </wpg:wgp>
                  </a:graphicData>
                </a:graphic>
              </wp:anchor>
            </w:drawing>
          </mc:Choice>
          <mc:Fallback>
            <w:pict>
              <v:group id="组合 25" o:spid="_x0000_s1026" o:spt="203" style="position:absolute;left:0pt;margin-left:17.25pt;margin-top:7.3pt;height:195pt;width:385.5pt;z-index:251691008;mso-width-relative:page;mso-height-relative:page;" coordorigin="3302,3935437" coordsize="7710,3900203" o:gfxdata="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">
                <o:lock v:ext="edit" aspectratio="f"/>
                <v:shape id="图片 4151" o:spid="_x0000_s1026" o:spt="75" type="#_x0000_t75" style="position:absolute;left:3302;top:3935437;height:3900;width:7710;" filled="f" o:preferrelative="t" stroked="f" coordsize="21600,21600" o:gfxdata="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sQAO8AAAA&#10;2gAAAA8AAAAAAAAAAQAgAAAAIgAAAGRycy9kb3ducmV2LnhtbFBLAQIUABQAAAAIAIdO4kAzLwWe&#10;OwAAADkAAAAQAAAAAAAAAAEAIAAAAAsBAABkcnMvc2hhcGV4bWwueG1sUEsFBgAAAAAGAAYAWwEA&#10;ALUDAAAAAA==&#10;">
                  <v:fill on="f" focussize="0,0"/>
                  <v:stroke on="f"/>
                  <v:imagedata r:id="rId52" o:title=""/>
                  <o:lock v:ext="edit" aspectratio="t"/>
                </v:shape>
                <v:shape id="任意多边形 73" o:spid="_x0000_s1026" o:spt="100" style="position:absolute;left:5458;top:3938350;height:150;width:169;" filled="f" stroked="f" coordsize="169,150" o:gfxdata="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pg77sAAADb&#10;AAAADwAAAAAAAAABACAAAAAiAAAAZHJzL2Rvd25yZXYueG1sUEsBAhQAFAAAAAgAh07iQDMvBZ47&#10;AAAAOQAAABAAAAAAAAAAAQAgAAAACgEAAGRycy9zaGFwZXhtbC54bWxQSwUGAAAAAAYABgBbAQAA&#10;tAMAAAAA&#10;" path="m56,150l169,66,112,0,0,95,56,150xe">
                  <v:fill on="f" focussize="0,0"/>
                  <v:stroke on="f"/>
                  <v:imagedata o:title=""/>
                  <o:lock v:ext="edit" aspectratio="f"/>
                </v:shape>
                <v:shape id="任意多边形 68" o:spid="_x0000_s1026" o:spt="100" style="position:absolute;left:5531;top:3938386;height:114;width:113;" filled="f" stroked="f" coordsize="113,114" o:gfxdata="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FBjS8AAAA&#10;2wAAAA8AAAAAAAAAAQAgAAAAIgAAAGRycy9kb3ducmV2LnhtbFBLAQIUABQAAAAIAIdO4kAzLwWe&#10;OwAAADkAAAAQAAAAAAAAAAEAIAAAAAsBAABkcnMvc2hhcGV4bWwueG1sUEsFBgAAAAAGAAYAWwEA&#10;ALUDAAAAAA==&#10;" path="m0,114l113,39,90,0,0,114xe">
                  <v:fill on="f" focussize="0,0"/>
                  <v:stroke on="f"/>
                  <v:imagedata o:title=""/>
                  <o:lock v:ext="edit" aspectratio="f"/>
                </v:shape>
                <v:shape id="任意多边形 78" o:spid="_x0000_s1026" o:spt="100" style="position:absolute;left:5602;top:3937881;height:111;width:103;rotation:-3080192f;" filled="f" stroked="t" coordsize="103,111" o:gfxdata="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WZXbsAAADb&#10;AAAADwAAAAAAAAABACAAAAAiAAAAZHJzL2Rvd25yZXYueG1sUEsBAhQAFAAAAAgAh07iQDMvBZ47&#10;AAAAOQAAABAAAAAAAAAAAQAgAAAACgEAAGRycy9zaGFwZXhtbC54bWxQSwUGAAAAAAYABgBbAQAA&#10;tAMAAAAA&#10;" path="m36,111l103,51,72,0,0,60,36,111xe">
                  <v:path textboxrect="0,0,103,111"/>
                  <v:fill on="f" focussize="0,0"/>
                  <v:stroke color="#FF0000" joinstyle="round"/>
                  <v:imagedata o:title=""/>
                  <o:lock v:ext="edit" aspectratio="f"/>
                  <v:textbox>
                    <w:txbxContent>
                      <w:p w14:paraId="49254218">
                        <w:pPr>
                          <w:jc w:val="center"/>
                        </w:pPr>
                      </w:p>
                    </w:txbxContent>
                  </v:textbox>
                </v:shape>
                <v:shape id="任意多边形 71" o:spid="_x0000_s1026" o:spt="100" style="position:absolute;left:9418;top:3937958;height:111;width:103;rotation:-2621440f;" filled="f" stroked="t" coordsize="103,111" o:gfxdata="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TN67sAAADb&#10;AAAADwAAAAAAAAABACAAAAAiAAAAZHJzL2Rvd25yZXYueG1sUEsBAhQAFAAAAAgAh07iQDMvBZ47&#10;AAAAOQAAABAAAAAAAAAAAQAgAAAACgEAAGRycy9zaGFwZXhtbC54bWxQSwUGAAAAAAYABgBbAQAA&#10;tAMAAAAA&#10;" path="m36,111l103,51,72,0,0,60,36,111xe">
                  <v:path textboxrect="0,0,103,111"/>
                  <v:fill on="f" focussize="0,0"/>
                  <v:stroke color="#FF0000" joinstyle="round"/>
                  <v:imagedata o:title=""/>
                  <o:lock v:ext="edit" aspectratio="f"/>
                  <v:textbox>
                    <w:txbxContent>
                      <w:p w14:paraId="713EA046">
                        <w:pPr>
                          <w:jc w:val="center"/>
                        </w:pPr>
                      </w:p>
                    </w:txbxContent>
                  </v:textbox>
                </v:shape>
              </v:group>
            </w:pict>
          </mc:Fallback>
        </mc:AlternateContent>
      </w:r>
    </w:p>
    <w:p w14:paraId="0E115CD8">
      <w:pPr>
        <w:spacing w:line="360" w:lineRule="auto"/>
        <w:rPr>
          <w:rFonts w:ascii="Times New Roman"/>
          <w:sz w:val="24"/>
          <w:szCs w:val="24"/>
        </w:rPr>
      </w:pPr>
    </w:p>
    <w:p w14:paraId="3ADD669F">
      <w:pPr>
        <w:spacing w:line="360" w:lineRule="auto"/>
        <w:rPr>
          <w:rFonts w:ascii="Times New Roman"/>
          <w:sz w:val="24"/>
          <w:szCs w:val="24"/>
        </w:rPr>
      </w:pPr>
      <w:r>
        <w:rPr>
          <w:rFonts w:ascii="Times New Roman"/>
          <w:sz w:val="24"/>
        </w:rPr>
        <mc:AlternateContent>
          <mc:Choice Requires="wps">
            <w:drawing>
              <wp:anchor distT="0" distB="0" distL="114300" distR="114300" simplePos="0" relativeHeight="251696128" behindDoc="0" locked="0" layoutInCell="1" allowOverlap="1">
                <wp:simplePos x="0" y="0"/>
                <wp:positionH relativeFrom="column">
                  <wp:posOffset>3903345</wp:posOffset>
                </wp:positionH>
                <wp:positionV relativeFrom="paragraph">
                  <wp:posOffset>34290</wp:posOffset>
                </wp:positionV>
                <wp:extent cx="944245" cy="320040"/>
                <wp:effectExtent l="4445" t="4445" r="16510" b="513715"/>
                <wp:wrapNone/>
                <wp:docPr id="133" name="圆角矩形标注 133"/>
                <wp:cNvGraphicFramePr/>
                <a:graphic xmlns:a="http://schemas.openxmlformats.org/drawingml/2006/main">
                  <a:graphicData uri="http://schemas.microsoft.com/office/word/2010/wordprocessingShape">
                    <wps:wsp>
                      <wps:cNvSpPr/>
                      <wps:spPr>
                        <a:xfrm>
                          <a:off x="0" y="0"/>
                          <a:ext cx="944245" cy="320040"/>
                        </a:xfrm>
                        <a:prstGeom prst="wedgeRoundRectCallout">
                          <a:avLst>
                            <a:gd name="adj1" fmla="val -35565"/>
                            <a:gd name="adj2" fmla="val 202778"/>
                            <a:gd name="adj3" fmla="val 16667"/>
                          </a:avLst>
                        </a:prstGeom>
                        <a:noFill/>
                        <a:ln w="9525" cap="flat" cmpd="sng">
                          <a:solidFill>
                            <a:srgbClr val="000000"/>
                          </a:solidFill>
                          <a:prstDash val="solid"/>
                          <a:miter/>
                          <a:headEnd type="none" w="med" len="med"/>
                          <a:tailEnd type="none" w="med" len="med"/>
                        </a:ln>
                        <a:effectLst/>
                      </wps:spPr>
                      <wps:txbx>
                        <w:txbxContent>
                          <w:p w14:paraId="4BB73365">
                            <w:r>
                              <w:rPr>
                                <w:rFonts w:hint="eastAsia"/>
                              </w:rPr>
                              <w:t>项目位置</w:t>
                            </w:r>
                          </w:p>
                        </w:txbxContent>
                      </wps:txbx>
                      <wps:bodyPr upright="1"/>
                    </wps:wsp>
                  </a:graphicData>
                </a:graphic>
              </wp:anchor>
            </w:drawing>
          </mc:Choice>
          <mc:Fallback>
            <w:pict>
              <v:shape id="_x0000_s1026" o:spid="_x0000_s1026" o:spt="62" type="#_x0000_t62" style="position:absolute;left:0pt;margin-left:307.35pt;margin-top:2.7pt;height:25.2pt;width:74.35pt;z-index:251696128;mso-width-relative:page;mso-height-relative:page;" filled="f" stroked="t" coordsize="21600,21600" o:gfxdata="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z+kJ81wAAAAgB&#10;AAAPAAAAAAAAAAEAIAAAACIAAABkcnMvZG93bnJldi54bWxQSwECFAAUAAAACACHTuJA7j6oQFUC&#10;AAClBAAADgAAAAAAAAABACAAAAAmAQAAZHJzL2Uyb0RvYy54bWxQSwUGAAAAAAYABgBZAQAA7QUA&#10;AAAA&#10;" adj="3118,54600,14400">
                <v:fill on="f" focussize="0,0"/>
                <v:stroke color="#000000" joinstyle="miter"/>
                <v:imagedata o:title=""/>
                <o:lock v:ext="edit" aspectratio="f"/>
                <v:textbox>
                  <w:txbxContent>
                    <w:p w14:paraId="4BB73365">
                      <w:r>
                        <w:rPr>
                          <w:rFonts w:hint="eastAsia"/>
                        </w:rPr>
                        <w:t>项目位置</w:t>
                      </w:r>
                    </w:p>
                  </w:txbxContent>
                </v:textbox>
              </v:shape>
            </w:pict>
          </mc:Fallback>
        </mc:AlternateContent>
      </w:r>
      <w:r>
        <w:rPr>
          <w:rFonts w:ascii="Times New Roman"/>
          <w:sz w:val="24"/>
        </w:rPr>
        <mc:AlternateContent>
          <mc:Choice Requires="wps">
            <w:drawing>
              <wp:anchor distT="0" distB="0" distL="114300" distR="114300" simplePos="0" relativeHeight="251693056" behindDoc="0" locked="0" layoutInCell="1" allowOverlap="1">
                <wp:simplePos x="0" y="0"/>
                <wp:positionH relativeFrom="column">
                  <wp:posOffset>1474470</wp:posOffset>
                </wp:positionH>
                <wp:positionV relativeFrom="paragraph">
                  <wp:posOffset>43815</wp:posOffset>
                </wp:positionV>
                <wp:extent cx="944245" cy="320040"/>
                <wp:effectExtent l="4445" t="4445" r="16510" b="513715"/>
                <wp:wrapNone/>
                <wp:docPr id="137" name="圆角矩形标注 137"/>
                <wp:cNvGraphicFramePr/>
                <a:graphic xmlns:a="http://schemas.openxmlformats.org/drawingml/2006/main">
                  <a:graphicData uri="http://schemas.microsoft.com/office/word/2010/wordprocessingShape">
                    <wps:wsp>
                      <wps:cNvSpPr/>
                      <wps:spPr>
                        <a:xfrm>
                          <a:off x="0" y="0"/>
                          <a:ext cx="944245" cy="320040"/>
                        </a:xfrm>
                        <a:prstGeom prst="wedgeRoundRectCallout">
                          <a:avLst>
                            <a:gd name="adj1" fmla="val -35565"/>
                            <a:gd name="adj2" fmla="val 202778"/>
                            <a:gd name="adj3" fmla="val 16667"/>
                          </a:avLst>
                        </a:prstGeom>
                        <a:noFill/>
                        <a:ln w="9525" cap="flat" cmpd="sng">
                          <a:solidFill>
                            <a:srgbClr val="000000"/>
                          </a:solidFill>
                          <a:prstDash val="solid"/>
                          <a:miter/>
                          <a:headEnd type="none" w="med" len="med"/>
                          <a:tailEnd type="none" w="med" len="med"/>
                        </a:ln>
                        <a:effectLst/>
                      </wps:spPr>
                      <wps:txbx>
                        <w:txbxContent>
                          <w:p w14:paraId="110B5912">
                            <w:r>
                              <w:rPr>
                                <w:rFonts w:hint="eastAsia"/>
                              </w:rPr>
                              <w:t>项目位置</w:t>
                            </w:r>
                          </w:p>
                        </w:txbxContent>
                      </wps:txbx>
                      <wps:bodyPr upright="1"/>
                    </wps:wsp>
                  </a:graphicData>
                </a:graphic>
              </wp:anchor>
            </w:drawing>
          </mc:Choice>
          <mc:Fallback>
            <w:pict>
              <v:shape id="_x0000_s1026" o:spid="_x0000_s1026" o:spt="62" type="#_x0000_t62" style="position:absolute;left:0pt;margin-left:116.1pt;margin-top:3.45pt;height:25.2pt;width:74.35pt;z-index:251693056;mso-width-relative:page;mso-height-relative:page;" filled="f" stroked="t" coordsize="21600,21600" o:gfxdata="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qeJe2AAAAAgB&#10;AAAPAAAAAAAAAAEAIAAAACIAAABkcnMvZG93bnJldi54bWxQSwECFAAUAAAACACHTuJAcRsID1QC&#10;AAClBAAADgAAAAAAAAABACAAAAAnAQAAZHJzL2Uyb0RvYy54bWxQSwUGAAAAAAYABgBZAQAA7QUA&#10;AAAA&#10;" adj="3118,54600,14400">
                <v:fill on="f" focussize="0,0"/>
                <v:stroke color="#000000" joinstyle="miter"/>
                <v:imagedata o:title=""/>
                <o:lock v:ext="edit" aspectratio="f"/>
                <v:textbox>
                  <w:txbxContent>
                    <w:p w14:paraId="110B5912">
                      <w:r>
                        <w:rPr>
                          <w:rFonts w:hint="eastAsia"/>
                        </w:rPr>
                        <w:t>项目位置</w:t>
                      </w:r>
                    </w:p>
                  </w:txbxContent>
                </v:textbox>
              </v:shape>
            </w:pict>
          </mc:Fallback>
        </mc:AlternateContent>
      </w:r>
    </w:p>
    <w:p w14:paraId="553919BF">
      <w:pPr>
        <w:spacing w:line="360" w:lineRule="auto"/>
        <w:rPr>
          <w:rFonts w:ascii="Times New Roman"/>
          <w:sz w:val="24"/>
          <w:szCs w:val="24"/>
        </w:rPr>
      </w:pPr>
    </w:p>
    <w:p w14:paraId="5E9B3103">
      <w:pPr>
        <w:spacing w:line="360" w:lineRule="auto"/>
        <w:rPr>
          <w:rFonts w:ascii="Times New Roman"/>
          <w:sz w:val="24"/>
          <w:szCs w:val="24"/>
        </w:rPr>
      </w:pPr>
    </w:p>
    <w:p w14:paraId="51FD3127">
      <w:pPr>
        <w:spacing w:line="360" w:lineRule="auto"/>
        <w:rPr>
          <w:rFonts w:ascii="Times New Roman"/>
          <w:sz w:val="24"/>
          <w:szCs w:val="24"/>
        </w:rPr>
      </w:pPr>
      <w:r>
        <w:rPr>
          <w:rFonts w:ascii="Times New Roman"/>
          <w:sz w:val="24"/>
        </w:rPr>
        <mc:AlternateContent>
          <mc:Choice Requires="wps">
            <w:drawing>
              <wp:anchor distT="0" distB="0" distL="114300" distR="114300" simplePos="0" relativeHeight="251695104" behindDoc="0" locked="0" layoutInCell="1" allowOverlap="1">
                <wp:simplePos x="0" y="0"/>
                <wp:positionH relativeFrom="column">
                  <wp:posOffset>3982720</wp:posOffset>
                </wp:positionH>
                <wp:positionV relativeFrom="paragraph">
                  <wp:posOffset>52705</wp:posOffset>
                </wp:positionV>
                <wp:extent cx="86995" cy="75565"/>
                <wp:effectExtent l="0" t="0" r="1905" b="635"/>
                <wp:wrapNone/>
                <wp:docPr id="139" name="矩形 139"/>
                <wp:cNvGraphicFramePr/>
                <a:graphic xmlns:a="http://schemas.openxmlformats.org/drawingml/2006/main">
                  <a:graphicData uri="http://schemas.microsoft.com/office/word/2010/wordprocessingShape">
                    <wps:wsp>
                      <wps:cNvSpPr/>
                      <wps:spPr>
                        <a:xfrm>
                          <a:off x="0" y="0"/>
                          <a:ext cx="86995" cy="75565"/>
                        </a:xfrm>
                        <a:prstGeom prst="rect">
                          <a:avLst/>
                        </a:prstGeom>
                        <a:solidFill>
                          <a:srgbClr val="FF0000"/>
                        </a:solidFill>
                        <a:ln>
                          <a:noFill/>
                        </a:ln>
                        <a:effectLst/>
                      </wps:spPr>
                      <wps:bodyPr upright="1"/>
                    </wps:wsp>
                  </a:graphicData>
                </a:graphic>
              </wp:anchor>
            </w:drawing>
          </mc:Choice>
          <mc:Fallback>
            <w:pict>
              <v:rect id="_x0000_s1026" o:spid="_x0000_s1026" o:spt="1" style="position:absolute;left:0pt;margin-left:313.6pt;margin-top:4.15pt;height:5.95pt;width:6.85pt;z-index:251695104;mso-width-relative:page;mso-height-relative:page;" fillcolor="#FF0000" filled="t" stroked="f" coordsize="21600,21600" o:gfxdata="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BPedUAAAAIAQAADwAAAAAAAAABACAAAAAiAAAAZHJzL2Rvd25yZXYueG1sUEsBAhQAFAAAAAgA&#10;h07iQPQ671G2AQAAbgMAAA4AAAAAAAAAAQAgAAAAJAEAAGRycy9lMm9Eb2MueG1sUEsFBgAAAAAG&#10;AAYAWQEAAEwFAAAAAA==&#10;">
                <v:fill on="t" focussize="0,0"/>
                <v:stroke on="f"/>
                <v:imagedata o:title=""/>
                <o:lock v:ext="edit" aspectratio="f"/>
              </v:rect>
            </w:pict>
          </mc:Fallback>
        </mc:AlternateContent>
      </w:r>
      <w:r>
        <w:rPr>
          <w:rFonts w:ascii="Times New Roman"/>
          <w:sz w:val="24"/>
        </w:rPr>
        <mc:AlternateContent>
          <mc:Choice Requires="wps">
            <w:drawing>
              <wp:anchor distT="0" distB="0" distL="114300" distR="114300" simplePos="0" relativeHeight="251694080" behindDoc="0" locked="0" layoutInCell="1" allowOverlap="1">
                <wp:simplePos x="0" y="0"/>
                <wp:positionH relativeFrom="column">
                  <wp:posOffset>1553845</wp:posOffset>
                </wp:positionH>
                <wp:positionV relativeFrom="paragraph">
                  <wp:posOffset>81280</wp:posOffset>
                </wp:positionV>
                <wp:extent cx="86995" cy="75565"/>
                <wp:effectExtent l="0" t="0" r="1905" b="635"/>
                <wp:wrapNone/>
                <wp:docPr id="141" name="矩形 141"/>
                <wp:cNvGraphicFramePr/>
                <a:graphic xmlns:a="http://schemas.openxmlformats.org/drawingml/2006/main">
                  <a:graphicData uri="http://schemas.microsoft.com/office/word/2010/wordprocessingShape">
                    <wps:wsp>
                      <wps:cNvSpPr/>
                      <wps:spPr>
                        <a:xfrm>
                          <a:off x="0" y="0"/>
                          <a:ext cx="86995" cy="75565"/>
                        </a:xfrm>
                        <a:prstGeom prst="rect">
                          <a:avLst/>
                        </a:prstGeom>
                        <a:solidFill>
                          <a:srgbClr val="FF0000"/>
                        </a:solidFill>
                        <a:ln>
                          <a:noFill/>
                        </a:ln>
                        <a:effectLst/>
                      </wps:spPr>
                      <wps:bodyPr upright="1"/>
                    </wps:wsp>
                  </a:graphicData>
                </a:graphic>
              </wp:anchor>
            </w:drawing>
          </mc:Choice>
          <mc:Fallback>
            <w:pict>
              <v:rect id="_x0000_s1026" o:spid="_x0000_s1026" o:spt="1" style="position:absolute;left:0pt;margin-left:122.35pt;margin-top:6.4pt;height:5.95pt;width:6.85pt;z-index:251694080;mso-width-relative:page;mso-height-relative:page;" fillcolor="#FF0000" filled="t" stroked="f" coordsize="21600,21600" o:gfxdata="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7fQn1AAAAAkBAAAPAAAAAAAAAAEAIAAAACIAAABkcnMvZG93bnJldi54bWxQSwECFAAUAAAACACH&#10;TuJASnE1TLYBAABuAwAADgAAAAAAAAABACAAAAAjAQAAZHJzL2Uyb0RvYy54bWxQSwUGAAAAAAYA&#10;BgBZAQAASwUAAAAA&#10;">
                <v:fill on="t" focussize="0,0"/>
                <v:stroke on="f"/>
                <v:imagedata o:title=""/>
                <o:lock v:ext="edit" aspectratio="f"/>
              </v:rect>
            </w:pict>
          </mc:Fallback>
        </mc:AlternateContent>
      </w:r>
    </w:p>
    <w:p w14:paraId="0C9EED00">
      <w:pPr>
        <w:spacing w:line="360" w:lineRule="auto"/>
        <w:rPr>
          <w:rFonts w:ascii="Times New Roman"/>
          <w:sz w:val="24"/>
          <w:szCs w:val="24"/>
        </w:rPr>
      </w:pPr>
    </w:p>
    <w:p w14:paraId="0A30644A">
      <w:pPr>
        <w:spacing w:line="360" w:lineRule="auto"/>
        <w:rPr>
          <w:rFonts w:ascii="Times New Roman"/>
          <w:sz w:val="24"/>
          <w:szCs w:val="24"/>
        </w:rPr>
      </w:pPr>
    </w:p>
    <w:p w14:paraId="32693783">
      <w:pPr>
        <w:spacing w:line="360" w:lineRule="auto"/>
        <w:rPr>
          <w:rFonts w:ascii="Times New Roman"/>
          <w:sz w:val="24"/>
          <w:szCs w:val="24"/>
        </w:rPr>
      </w:pPr>
    </w:p>
    <w:p w14:paraId="4DFFF476">
      <w:pPr>
        <w:spacing w:line="360" w:lineRule="auto"/>
        <w:rPr>
          <w:rFonts w:ascii="Times New Roman"/>
          <w:sz w:val="24"/>
          <w:szCs w:val="24"/>
        </w:rPr>
      </w:pPr>
    </w:p>
    <w:p w14:paraId="286577EF">
      <w:pPr>
        <w:spacing w:line="360" w:lineRule="auto"/>
        <w:jc w:val="center"/>
        <w:rPr>
          <w:rFonts w:ascii="Times New Roman"/>
          <w:b/>
          <w:bCs/>
          <w:sz w:val="24"/>
          <w:szCs w:val="24"/>
        </w:rPr>
      </w:pPr>
      <w:r>
        <w:rPr>
          <w:rFonts w:ascii="Times New Roman"/>
          <w:b/>
          <w:bCs/>
          <w:sz w:val="24"/>
          <w:szCs w:val="24"/>
        </w:rPr>
        <w:t>图</w:t>
      </w:r>
      <w:r>
        <w:rPr>
          <w:rFonts w:ascii="Times New Roman"/>
          <w:b/>
          <w:bCs/>
          <w:kern w:val="0"/>
          <w:sz w:val="24"/>
          <w:szCs w:val="24"/>
        </w:rPr>
        <w:t>5.2.3</w:t>
      </w:r>
      <w:r>
        <w:rPr>
          <w:rFonts w:hint="eastAsia" w:ascii="Times New Roman"/>
          <w:b/>
          <w:bCs/>
          <w:kern w:val="0"/>
          <w:sz w:val="24"/>
          <w:szCs w:val="24"/>
        </w:rPr>
        <w:t>-3</w:t>
      </w:r>
      <w:r>
        <w:rPr>
          <w:rFonts w:ascii="Times New Roman"/>
          <w:b/>
          <w:bCs/>
          <w:sz w:val="24"/>
          <w:szCs w:val="24"/>
        </w:rPr>
        <w:t xml:space="preserve">  曹妃甸工业区及附近地区地下水流场图</w:t>
      </w:r>
    </w:p>
    <w:p w14:paraId="5FF57F43">
      <w:pPr>
        <w:snapToGrid w:val="0"/>
        <w:spacing w:line="360" w:lineRule="auto"/>
        <w:outlineLvl w:val="3"/>
        <w:rPr>
          <w:rFonts w:ascii="Times New Roman"/>
          <w:b/>
          <w:sz w:val="24"/>
          <w:szCs w:val="24"/>
        </w:rPr>
      </w:pPr>
      <w:r>
        <w:rPr>
          <w:rFonts w:ascii="Times New Roman"/>
          <w:b/>
          <w:sz w:val="24"/>
          <w:szCs w:val="24"/>
        </w:rPr>
        <w:t>（4）地下水动态特征</w:t>
      </w:r>
    </w:p>
    <w:p w14:paraId="63020DC7">
      <w:pPr>
        <w:widowControl/>
        <w:spacing w:line="360" w:lineRule="auto"/>
        <w:ind w:firstLine="480" w:firstLineChars="200"/>
        <w:jc w:val="left"/>
        <w:rPr>
          <w:rFonts w:ascii="Times New Roman"/>
          <w:kern w:val="0"/>
          <w:sz w:val="24"/>
          <w:szCs w:val="24"/>
        </w:rPr>
      </w:pPr>
      <w:r>
        <w:rPr>
          <w:rFonts w:ascii="Times New Roman"/>
          <w:kern w:val="0"/>
          <w:sz w:val="24"/>
          <w:szCs w:val="24"/>
        </w:rPr>
        <w:t>项目区地处滨海低平原区，在自然状态下浅层地下水(潜水)运动以垂直交替为主，地下水位平均埋深小于1.5m左右，大部分在1.0m左右，夏季多雨，地下水得到补给，水位大部分地区超过地表，与地表水位一致。雨季过后，地下水强烈蒸发，雨季来临前水位降至最低，地下水变化主要决定于大气降水的多少。</w:t>
      </w:r>
    </w:p>
    <w:p w14:paraId="042D9F57">
      <w:pPr>
        <w:widowControl/>
        <w:spacing w:line="360" w:lineRule="auto"/>
        <w:ind w:firstLine="480" w:firstLineChars="200"/>
        <w:jc w:val="left"/>
        <w:rPr>
          <w:rFonts w:ascii="Times New Roman"/>
          <w:kern w:val="0"/>
          <w:sz w:val="24"/>
          <w:szCs w:val="24"/>
        </w:rPr>
      </w:pPr>
      <w:r>
        <w:rPr>
          <w:rFonts w:ascii="Times New Roman"/>
          <w:kern w:val="0"/>
          <w:sz w:val="24"/>
          <w:szCs w:val="24"/>
        </w:rPr>
        <w:t>项目区以开采深层地下水为主，浅层水开采量较小，因此水位多年变化不大，尚未出现明显的水位下降趋势，只是在咸淡水界线附近浅层水呈现下降趋势。项目区浅层水由于开采程度较低或无开采，地下水水位变幅较小，在0.30~0.55m之间。深层淡水年平均水位变幅5.03~6.49m，平均5.75m。地下水水位动态曲线见</w:t>
      </w:r>
      <w:r>
        <w:rPr>
          <w:rFonts w:hint="eastAsia" w:ascii="Times New Roman"/>
          <w:kern w:val="0"/>
          <w:sz w:val="24"/>
          <w:szCs w:val="24"/>
        </w:rPr>
        <w:t>下图</w:t>
      </w:r>
      <w:r>
        <w:rPr>
          <w:rFonts w:ascii="Times New Roman"/>
          <w:kern w:val="0"/>
          <w:sz w:val="24"/>
          <w:szCs w:val="24"/>
        </w:rPr>
        <w:t>。</w:t>
      </w:r>
    </w:p>
    <w:p w14:paraId="11AA6D1E">
      <w:pPr>
        <w:adjustRightInd w:val="0"/>
        <w:snapToGrid w:val="0"/>
        <w:spacing w:line="360" w:lineRule="auto"/>
        <w:ind w:firstLine="500" w:firstLineChars="200"/>
        <w:rPr>
          <w:rFonts w:ascii="Times New Roman"/>
        </w:rPr>
      </w:pPr>
      <w:r>
        <w:rPr>
          <w:rFonts w:ascii="Times New Roman"/>
        </w:rPr>
        <w:drawing>
          <wp:inline distT="0" distB="0" distL="114300" distR="114300">
            <wp:extent cx="4849495" cy="2226945"/>
            <wp:effectExtent l="0" t="0" r="8255" b="1905"/>
            <wp:docPr id="143"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 descr="5"/>
                    <pic:cNvPicPr>
                      <a:picLocks noChangeAspect="1"/>
                    </pic:cNvPicPr>
                  </pic:nvPicPr>
                  <pic:blipFill>
                    <a:blip r:embed="rId53" cstate="print"/>
                    <a:stretch>
                      <a:fillRect/>
                    </a:stretch>
                  </pic:blipFill>
                  <pic:spPr>
                    <a:xfrm>
                      <a:off x="0" y="0"/>
                      <a:ext cx="4849495" cy="2226945"/>
                    </a:xfrm>
                    <a:prstGeom prst="rect">
                      <a:avLst/>
                    </a:prstGeom>
                    <a:noFill/>
                    <a:ln>
                      <a:noFill/>
                    </a:ln>
                  </pic:spPr>
                </pic:pic>
              </a:graphicData>
            </a:graphic>
          </wp:inline>
        </w:drawing>
      </w:r>
    </w:p>
    <w:p w14:paraId="0CCE88DC">
      <w:pPr>
        <w:adjustRightInd w:val="0"/>
        <w:snapToGrid w:val="0"/>
        <w:spacing w:line="360" w:lineRule="auto"/>
        <w:ind w:firstLine="482" w:firstLineChars="200"/>
        <w:jc w:val="center"/>
        <w:rPr>
          <w:rFonts w:ascii="Times New Roman"/>
          <w:b/>
          <w:bCs/>
          <w:kern w:val="0"/>
          <w:sz w:val="24"/>
          <w:szCs w:val="24"/>
        </w:rPr>
      </w:pPr>
      <w:r>
        <w:rPr>
          <w:rFonts w:ascii="Times New Roman"/>
          <w:b/>
          <w:bCs/>
          <w:kern w:val="0"/>
          <w:sz w:val="24"/>
          <w:szCs w:val="24"/>
        </w:rPr>
        <w:t>图5.2.3</w:t>
      </w:r>
      <w:r>
        <w:rPr>
          <w:rFonts w:hint="eastAsia" w:ascii="Times New Roman"/>
          <w:b/>
          <w:bCs/>
          <w:kern w:val="0"/>
          <w:sz w:val="24"/>
          <w:szCs w:val="24"/>
        </w:rPr>
        <w:t>-4</w:t>
      </w:r>
      <w:r>
        <w:rPr>
          <w:rFonts w:ascii="Times New Roman"/>
          <w:b/>
          <w:bCs/>
          <w:kern w:val="0"/>
          <w:sz w:val="24"/>
          <w:szCs w:val="24"/>
        </w:rPr>
        <w:t xml:space="preserve">    地下水水位动态曲线</w:t>
      </w:r>
    </w:p>
    <w:p w14:paraId="4B5F9200">
      <w:pPr>
        <w:snapToGrid w:val="0"/>
        <w:spacing w:beforeLines="50" w:line="360" w:lineRule="auto"/>
        <w:outlineLvl w:val="3"/>
        <w:rPr>
          <w:rFonts w:ascii="Times New Roman"/>
          <w:b/>
          <w:sz w:val="24"/>
          <w:szCs w:val="24"/>
        </w:rPr>
      </w:pPr>
      <w:r>
        <w:rPr>
          <w:rFonts w:ascii="Times New Roman"/>
          <w:b/>
          <w:sz w:val="24"/>
          <w:szCs w:val="24"/>
        </w:rPr>
        <w:t>（5）地下水化学特征</w:t>
      </w:r>
    </w:p>
    <w:p w14:paraId="5B4B418C">
      <w:pPr>
        <w:widowControl/>
        <w:spacing w:line="360" w:lineRule="auto"/>
        <w:ind w:firstLine="480" w:firstLineChars="200"/>
        <w:rPr>
          <w:rFonts w:ascii="Times New Roman"/>
          <w:sz w:val="24"/>
          <w:szCs w:val="24"/>
        </w:rPr>
      </w:pPr>
      <w:r>
        <w:rPr>
          <w:rFonts w:ascii="Times New Roman"/>
          <w:kern w:val="0"/>
          <w:sz w:val="24"/>
          <w:szCs w:val="24"/>
        </w:rPr>
        <w:t>项目区第四系第Ⅰ含水组水化学类型为</w:t>
      </w:r>
      <w:r>
        <w:rPr>
          <w:rFonts w:ascii="Times New Roman" w:eastAsia="TimesNewRomanPSMT"/>
          <w:kern w:val="0"/>
          <w:sz w:val="24"/>
          <w:szCs w:val="24"/>
        </w:rPr>
        <w:t>Cl-Na</w:t>
      </w:r>
      <w:r>
        <w:rPr>
          <w:rFonts w:ascii="Times New Roman"/>
          <w:kern w:val="0"/>
          <w:sz w:val="24"/>
          <w:szCs w:val="24"/>
        </w:rPr>
        <w:t>型水；第Ⅱ含水组上层咸水为</w:t>
      </w:r>
      <w:r>
        <w:rPr>
          <w:rFonts w:ascii="Times New Roman" w:eastAsia="TimesNewRomanPSMT"/>
          <w:kern w:val="0"/>
          <w:sz w:val="24"/>
          <w:szCs w:val="24"/>
        </w:rPr>
        <w:t>Cl-Na</w:t>
      </w:r>
      <w:r>
        <w:rPr>
          <w:rFonts w:ascii="Times New Roman"/>
          <w:kern w:val="0"/>
          <w:sz w:val="24"/>
          <w:szCs w:val="24"/>
        </w:rPr>
        <w:t>、下层淡水为</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-Ca·Na</w:t>
      </w:r>
      <w:r>
        <w:rPr>
          <w:rFonts w:ascii="Times New Roman"/>
          <w:kern w:val="0"/>
          <w:sz w:val="24"/>
          <w:szCs w:val="24"/>
        </w:rPr>
        <w:t>、</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w:t>
      </w:r>
      <w:r>
        <w:rPr>
          <w:rFonts w:ascii="Times New Roman"/>
          <w:kern w:val="0"/>
          <w:sz w:val="24"/>
          <w:szCs w:val="24"/>
        </w:rPr>
        <w:t>型水。</w:t>
      </w:r>
    </w:p>
    <w:p w14:paraId="22460638">
      <w:pPr>
        <w:widowControl/>
        <w:spacing w:line="360" w:lineRule="auto"/>
        <w:ind w:firstLine="480" w:firstLineChars="200"/>
        <w:rPr>
          <w:rFonts w:ascii="Times New Roman"/>
          <w:kern w:val="0"/>
          <w:sz w:val="24"/>
          <w:szCs w:val="24"/>
        </w:rPr>
      </w:pPr>
      <w:r>
        <w:rPr>
          <w:rFonts w:ascii="Times New Roman"/>
          <w:kern w:val="0"/>
          <w:sz w:val="24"/>
          <w:szCs w:val="24"/>
        </w:rPr>
        <w:t>第Ⅲ含水组</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-NaCa</w:t>
      </w:r>
      <w:r>
        <w:rPr>
          <w:rFonts w:ascii="Times New Roman"/>
          <w:kern w:val="0"/>
          <w:sz w:val="24"/>
          <w:szCs w:val="24"/>
        </w:rPr>
        <w:t>和</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w:t>
      </w:r>
      <w:r>
        <w:rPr>
          <w:rFonts w:ascii="Times New Roman"/>
          <w:kern w:val="0"/>
          <w:sz w:val="24"/>
          <w:szCs w:val="24"/>
        </w:rPr>
        <w:t>型水分布较广，具有明显的空间界线。以四分场场部为界，其北部大部分水化学类型为</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-Na·Ca</w:t>
      </w:r>
      <w:r>
        <w:rPr>
          <w:rFonts w:ascii="Times New Roman"/>
          <w:kern w:val="0"/>
          <w:sz w:val="24"/>
          <w:szCs w:val="24"/>
        </w:rPr>
        <w:t>型，南部为</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w:t>
      </w:r>
      <w:r>
        <w:rPr>
          <w:rFonts w:ascii="Times New Roman"/>
          <w:kern w:val="0"/>
          <w:sz w:val="24"/>
          <w:szCs w:val="24"/>
        </w:rPr>
        <w:t>型。在北部，也有分布</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·Cl-Na·Ca</w:t>
      </w:r>
      <w:r>
        <w:rPr>
          <w:rFonts w:ascii="Times New Roman"/>
          <w:kern w:val="0"/>
          <w:sz w:val="24"/>
          <w:szCs w:val="24"/>
        </w:rPr>
        <w:t>型、</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·Cl-Na</w:t>
      </w:r>
      <w:r>
        <w:rPr>
          <w:rFonts w:ascii="Times New Roman"/>
          <w:kern w:val="0"/>
          <w:sz w:val="24"/>
          <w:szCs w:val="24"/>
        </w:rPr>
        <w:t>型和</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w:t>
      </w:r>
      <w:r>
        <w:rPr>
          <w:rFonts w:ascii="Times New Roman"/>
          <w:kern w:val="0"/>
          <w:sz w:val="24"/>
          <w:szCs w:val="24"/>
        </w:rPr>
        <w:t>型。咸淡水分界线附近以北为</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-Ca·Na</w:t>
      </w:r>
      <w:r>
        <w:rPr>
          <w:rFonts w:ascii="Times New Roman"/>
          <w:kern w:val="0"/>
          <w:sz w:val="24"/>
          <w:szCs w:val="24"/>
        </w:rPr>
        <w:t>型，南部</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-Na</w:t>
      </w:r>
      <w:r>
        <w:rPr>
          <w:rFonts w:ascii="Times New Roman"/>
          <w:kern w:val="0"/>
          <w:sz w:val="24"/>
          <w:szCs w:val="24"/>
        </w:rPr>
        <w:t>型水中也存在少量范围的</w:t>
      </w:r>
      <w:r>
        <w:rPr>
          <w:rFonts w:ascii="Times New Roman" w:eastAsia="TimesNewRomanPSMT"/>
          <w:kern w:val="0"/>
          <w:sz w:val="24"/>
          <w:szCs w:val="24"/>
        </w:rPr>
        <w:t>HCO</w:t>
      </w:r>
      <w:r>
        <w:rPr>
          <w:rFonts w:ascii="Times New Roman" w:eastAsia="TimesNewRomanPSMT"/>
          <w:kern w:val="0"/>
          <w:sz w:val="24"/>
          <w:szCs w:val="24"/>
          <w:vertAlign w:val="subscript"/>
        </w:rPr>
        <w:t>3</w:t>
      </w:r>
      <w:r>
        <w:rPr>
          <w:rFonts w:ascii="Times New Roman" w:eastAsia="TimesNewRomanPSMT"/>
          <w:kern w:val="0"/>
          <w:sz w:val="24"/>
          <w:szCs w:val="24"/>
        </w:rPr>
        <w:t>·Cl-Na</w:t>
      </w:r>
      <w:r>
        <w:rPr>
          <w:rFonts w:ascii="Times New Roman"/>
          <w:kern w:val="0"/>
          <w:sz w:val="24"/>
          <w:szCs w:val="24"/>
        </w:rPr>
        <w:t>型水的分布。</w:t>
      </w:r>
    </w:p>
    <w:p w14:paraId="39B7C635">
      <w:pPr>
        <w:snapToGrid w:val="0"/>
        <w:spacing w:beforeLines="50" w:line="360" w:lineRule="auto"/>
        <w:outlineLvl w:val="3"/>
        <w:rPr>
          <w:rFonts w:ascii="Times New Roman"/>
          <w:b/>
          <w:sz w:val="24"/>
          <w:szCs w:val="24"/>
        </w:rPr>
      </w:pPr>
      <w:r>
        <w:rPr>
          <w:rFonts w:ascii="Times New Roman"/>
          <w:b/>
          <w:sz w:val="24"/>
          <w:szCs w:val="24"/>
        </w:rPr>
        <w:t>5.2.3.3评价区水文地质概况</w:t>
      </w:r>
    </w:p>
    <w:p w14:paraId="531879EB">
      <w:pPr>
        <w:adjustRightInd w:val="0"/>
        <w:snapToGrid w:val="0"/>
        <w:ind w:firstLine="482"/>
        <w:rPr>
          <w:rFonts w:ascii="Times New Roman"/>
          <w:sz w:val="24"/>
          <w:szCs w:val="24"/>
        </w:rPr>
      </w:pPr>
      <w:r>
        <w:rPr>
          <w:rFonts w:ascii="Times New Roman"/>
          <w:sz w:val="24"/>
          <w:szCs w:val="24"/>
        </w:rPr>
        <w:t>（1）地层岩性</w:t>
      </w:r>
    </w:p>
    <w:p w14:paraId="3AD94251">
      <w:pPr>
        <w:adjustRightInd w:val="0"/>
        <w:snapToGrid w:val="0"/>
        <w:ind w:firstLine="482"/>
        <w:rPr>
          <w:rFonts w:ascii="Times New Roman"/>
          <w:sz w:val="24"/>
          <w:szCs w:val="24"/>
        </w:rPr>
      </w:pPr>
      <w:r>
        <w:rPr>
          <w:rFonts w:ascii="Times New Roman"/>
          <w:sz w:val="24"/>
          <w:szCs w:val="24"/>
        </w:rPr>
        <w:t>调查评价区基底地层为中生界（MZ未分）地层，上覆新生界第三系（N）地层，其上为第四系（Q）沉积地层。</w:t>
      </w:r>
    </w:p>
    <w:p w14:paraId="666E3ADA">
      <w:pPr>
        <w:adjustRightInd w:val="0"/>
        <w:snapToGrid w:val="0"/>
        <w:ind w:firstLine="482"/>
        <w:rPr>
          <w:rFonts w:ascii="Times New Roman"/>
          <w:sz w:val="24"/>
          <w:szCs w:val="24"/>
        </w:rPr>
      </w:pPr>
      <w:r>
        <w:rPr>
          <w:rFonts w:ascii="Times New Roman"/>
          <w:sz w:val="24"/>
          <w:szCs w:val="24"/>
        </w:rPr>
        <w:t>（2）含水层组特征</w:t>
      </w:r>
    </w:p>
    <w:p w14:paraId="1A3E4ED6">
      <w:pPr>
        <w:adjustRightInd w:val="0"/>
        <w:snapToGrid w:val="0"/>
        <w:ind w:firstLine="482"/>
        <w:rPr>
          <w:rFonts w:ascii="Times New Roman"/>
          <w:sz w:val="24"/>
          <w:szCs w:val="24"/>
        </w:rPr>
      </w:pPr>
      <w:r>
        <w:rPr>
          <w:rFonts w:ascii="Times New Roman"/>
          <w:sz w:val="24"/>
          <w:szCs w:val="24"/>
        </w:rPr>
        <w:t>调查评价区第四系含水层由新到老分为四个含水组，即第Ⅰ、Ⅱ、Ⅲ、Ⅳ含水组，时代分别相当于Q</w:t>
      </w:r>
      <w:r>
        <w:rPr>
          <w:rFonts w:ascii="Times New Roman"/>
          <w:sz w:val="24"/>
          <w:szCs w:val="24"/>
          <w:vertAlign w:val="subscript"/>
        </w:rPr>
        <w:t>4</w:t>
      </w:r>
      <w:r>
        <w:rPr>
          <w:rFonts w:ascii="Times New Roman"/>
          <w:sz w:val="24"/>
          <w:szCs w:val="24"/>
        </w:rPr>
        <w:t>、Q</w:t>
      </w:r>
      <w:r>
        <w:rPr>
          <w:rFonts w:ascii="Times New Roman"/>
          <w:sz w:val="24"/>
          <w:szCs w:val="24"/>
          <w:vertAlign w:val="subscript"/>
        </w:rPr>
        <w:t>3</w:t>
      </w:r>
      <w:r>
        <w:rPr>
          <w:rFonts w:ascii="Times New Roman"/>
          <w:sz w:val="24"/>
          <w:szCs w:val="24"/>
        </w:rPr>
        <w:t>、Q</w:t>
      </w:r>
      <w:r>
        <w:rPr>
          <w:rFonts w:ascii="Times New Roman"/>
          <w:sz w:val="24"/>
          <w:szCs w:val="24"/>
          <w:vertAlign w:val="subscript"/>
        </w:rPr>
        <w:t>2</w:t>
      </w:r>
      <w:r>
        <w:rPr>
          <w:rFonts w:ascii="Times New Roman"/>
          <w:sz w:val="24"/>
          <w:szCs w:val="24"/>
        </w:rPr>
        <w:t>、Q</w:t>
      </w:r>
      <w:r>
        <w:rPr>
          <w:rFonts w:ascii="Times New Roman"/>
          <w:sz w:val="24"/>
          <w:szCs w:val="24"/>
          <w:vertAlign w:val="subscript"/>
        </w:rPr>
        <w:t>1</w:t>
      </w:r>
      <w:r>
        <w:rPr>
          <w:rFonts w:ascii="Times New Roman"/>
          <w:sz w:val="24"/>
          <w:szCs w:val="24"/>
        </w:rPr>
        <w:t>。与区域水文地质条件不同，调查评价区内的第Ⅰ含水组、第Ⅱ含水组和第Ⅲ含水组相互之间存在明显的水位差，存在厚度大的粘性土隔水层，同时调查评价区内地下水尚未开发利用，不存在机井串联，说明相互之间水力联系较小。可能受本项目影响的调查评价区内含水组为第Ⅰ含水组，而深层水由于在调查评价区内，是向上顶托越流补给浅层水的，现状情况下不存在浅层水向下越流影响深层水的情况。</w:t>
      </w:r>
    </w:p>
    <w:p w14:paraId="2DD772F1">
      <w:pPr>
        <w:jc w:val="center"/>
        <w:rPr>
          <w:rFonts w:ascii="Times New Roman"/>
          <w:sz w:val="24"/>
          <w:szCs w:val="24"/>
        </w:rPr>
      </w:pPr>
      <w:r>
        <w:rPr>
          <w:rFonts w:ascii="Times New Roman"/>
          <w:sz w:val="24"/>
          <w:szCs w:val="24"/>
        </w:rPr>
        <w:drawing>
          <wp:inline distT="0" distB="0" distL="114300" distR="114300">
            <wp:extent cx="4718685" cy="3574415"/>
            <wp:effectExtent l="0" t="0" r="5715" b="6985"/>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54" cstate="print"/>
                    <a:stretch>
                      <a:fillRect/>
                    </a:stretch>
                  </pic:blipFill>
                  <pic:spPr>
                    <a:xfrm>
                      <a:off x="0" y="0"/>
                      <a:ext cx="4718685" cy="3574415"/>
                    </a:xfrm>
                    <a:prstGeom prst="rect">
                      <a:avLst/>
                    </a:prstGeom>
                    <a:noFill/>
                    <a:ln>
                      <a:noFill/>
                    </a:ln>
                  </pic:spPr>
                </pic:pic>
              </a:graphicData>
            </a:graphic>
          </wp:inline>
        </w:drawing>
      </w:r>
    </w:p>
    <w:p w14:paraId="73A5802E">
      <w:pPr>
        <w:spacing w:line="360" w:lineRule="auto"/>
        <w:rPr>
          <w:rFonts w:ascii="Times New Roman"/>
          <w:sz w:val="24"/>
          <w:szCs w:val="24"/>
        </w:rPr>
      </w:pPr>
      <w:r>
        <w:rPr>
          <w:rFonts w:ascii="Times New Roman"/>
          <w:sz w:val="24"/>
          <w:szCs w:val="24"/>
        </w:rPr>
        <w:t>图5.2</w:t>
      </w:r>
      <w:r>
        <w:rPr>
          <w:rFonts w:hint="eastAsia" w:ascii="Times New Roman"/>
          <w:sz w:val="24"/>
          <w:szCs w:val="24"/>
        </w:rPr>
        <w:t>.3</w:t>
      </w:r>
      <w:r>
        <w:rPr>
          <w:rFonts w:ascii="Times New Roman"/>
          <w:sz w:val="24"/>
          <w:szCs w:val="24"/>
        </w:rPr>
        <w:t>-</w:t>
      </w:r>
      <w:r>
        <w:rPr>
          <w:rFonts w:hint="eastAsia" w:ascii="Times New Roman"/>
          <w:sz w:val="24"/>
          <w:szCs w:val="24"/>
        </w:rPr>
        <w:t xml:space="preserve">5 </w:t>
      </w:r>
      <w:r>
        <w:rPr>
          <w:rFonts w:ascii="Times New Roman"/>
          <w:sz w:val="24"/>
          <w:szCs w:val="24"/>
        </w:rPr>
        <w:t xml:space="preserve"> 调查评价区区地下水系统结构示意图</w:t>
      </w:r>
    </w:p>
    <w:p w14:paraId="720C44A4">
      <w:pPr>
        <w:spacing w:line="360" w:lineRule="auto"/>
        <w:rPr>
          <w:rFonts w:ascii="Times New Roman"/>
          <w:sz w:val="24"/>
          <w:szCs w:val="24"/>
        </w:rPr>
      </w:pPr>
      <w:r>
        <w:rPr>
          <w:rFonts w:ascii="Times New Roman"/>
          <w:sz w:val="24"/>
          <w:szCs w:val="24"/>
        </w:rPr>
        <w:t>调查评价区内的第Ⅰ含水组含水层（平均厚度16m）与北部陆地上的第Ⅰ含水组隔开，无水力联系，其地下水主要补给来源为大气降水，主要排泄方式为蒸发及向海径流排泄，第Ⅰ含水组和第Ⅱ含水组之间隔水层较厚（20m左右），且水位差较小，越流量不大，调查评价区内第Ⅰ含水组地下水系统是一个独立开放的潜水地下水系统。</w:t>
      </w:r>
    </w:p>
    <w:p w14:paraId="3B6EE206">
      <w:pPr>
        <w:spacing w:line="360" w:lineRule="auto"/>
        <w:rPr>
          <w:rFonts w:ascii="Times New Roman"/>
          <w:sz w:val="24"/>
          <w:szCs w:val="24"/>
        </w:rPr>
      </w:pPr>
      <w:r>
        <w:rPr>
          <w:rFonts w:ascii="Times New Roman"/>
          <w:sz w:val="24"/>
          <w:szCs w:val="24"/>
        </w:rPr>
        <w:t>第Ⅱ含水组与其北部陆上第Ⅱ含水组是一连续的含水层组，其间存在着一定的水力联系。但调查评价区内第Ⅱ含水组不是一个独立的地下水系统，地下水主要补给来源为南侧向海部分的侧向径流补给，主要排泄方式为向北侧向流出。与各含水组之间隔水层较厚水位差较小，越流量不大。因此，调查评价区内第Ⅱ含水组是一个不独立且封闭的承压水地下水系统。</w:t>
      </w:r>
    </w:p>
    <w:p w14:paraId="037F8863">
      <w:pPr>
        <w:spacing w:line="360" w:lineRule="auto"/>
        <w:rPr>
          <w:rFonts w:ascii="Times New Roman"/>
          <w:sz w:val="24"/>
          <w:szCs w:val="24"/>
        </w:rPr>
      </w:pPr>
      <w:r>
        <w:rPr>
          <w:rFonts w:ascii="Times New Roman"/>
          <w:sz w:val="24"/>
          <w:szCs w:val="24"/>
        </w:rPr>
        <w:t>第Ⅲ含水组与区域上第Ⅲ含水组存在一定的水力联系，因此调查评价区内第Ⅲ含水组不是一个独立的地下水系统，与调查评价区周边存在水力联系。其地下水主要补给来源为南侧向海部分的侧向径流补给，主要排泄方式为向北侧向流出，调查评价区内第Ⅲ含水组和第Ⅱ含水组之间隔水层较厚（大于50m）水位差较小，越流量不大。因此，调查评价区内第Ⅲ含水组是一个不独立且封闭的承压水地下水系统。</w:t>
      </w:r>
    </w:p>
    <w:p w14:paraId="641966FE">
      <w:pPr>
        <w:spacing w:line="360" w:lineRule="auto"/>
        <w:rPr>
          <w:rFonts w:ascii="Times New Roman"/>
          <w:sz w:val="24"/>
          <w:szCs w:val="24"/>
        </w:rPr>
      </w:pPr>
      <w:r>
        <w:rPr>
          <w:rFonts w:ascii="Times New Roman"/>
          <w:sz w:val="24"/>
          <w:szCs w:val="24"/>
        </w:rPr>
        <w:t>（3）含水层组之间的水力联系</w:t>
      </w:r>
    </w:p>
    <w:p w14:paraId="5159C201">
      <w:pPr>
        <w:spacing w:line="360" w:lineRule="auto"/>
        <w:rPr>
          <w:rFonts w:ascii="Times New Roman"/>
          <w:sz w:val="24"/>
          <w:szCs w:val="24"/>
        </w:rPr>
      </w:pPr>
      <w:r>
        <w:rPr>
          <w:rFonts w:ascii="Times New Roman"/>
          <w:sz w:val="24"/>
          <w:szCs w:val="24"/>
        </w:rPr>
        <w:t>第Ⅰ含水组隔水底板在调查评价区内广泛稳定分布，渗透系数较低，呈不透水状态，隔水底板内为封闭的孔隙水，保留了起始的沉积环境信息，未受到海水及现代水的驱替替代，说明了现状情况下，第Ⅰ含水组和第Ⅱ含水组之间，没有水力联系，将调查评价区内的第Ⅰ含水组作为建设项目水质预测的目标层位。</w:t>
      </w:r>
    </w:p>
    <w:p w14:paraId="20CE5DC3">
      <w:pPr>
        <w:spacing w:line="360" w:lineRule="auto"/>
        <w:rPr>
          <w:rFonts w:ascii="Times New Roman"/>
          <w:sz w:val="24"/>
          <w:szCs w:val="24"/>
        </w:rPr>
      </w:pPr>
      <w:r>
        <w:rPr>
          <w:rFonts w:ascii="Times New Roman"/>
          <w:sz w:val="24"/>
          <w:szCs w:val="24"/>
        </w:rPr>
        <w:t>（4）地下水与潮汐的关系</w:t>
      </w:r>
    </w:p>
    <w:p w14:paraId="4F2D2174">
      <w:pPr>
        <w:spacing w:line="360" w:lineRule="auto"/>
        <w:rPr>
          <w:rFonts w:ascii="Times New Roman"/>
          <w:sz w:val="24"/>
          <w:szCs w:val="24"/>
        </w:rPr>
      </w:pPr>
      <w:r>
        <w:rPr>
          <w:rFonts w:ascii="Times New Roman"/>
          <w:sz w:val="24"/>
          <w:szCs w:val="24"/>
        </w:rPr>
        <w:t>海水潮汐对潜水的主要影响体现在水位的变化上，其变化规律与海洋涨落潮有关，潜水地下水位随潮汐波动，呈现与潮汐相同的形态规律，但是运动形态明显落后于潮汐运动，监测结果显示滞后约8小时左右，水位幅度约是潮水的六分之一左右，变化幅度约0.4m左右。但潮汐的影响具有局限性，曹妃甸岛区潮汐影响地下水位的变化范围在距海岸100米范围之内，项目厂区据海岸较远，地下水位的动态不受潮汐变化的影响。</w:t>
      </w:r>
    </w:p>
    <w:p w14:paraId="2B293DED">
      <w:pPr>
        <w:spacing w:line="360" w:lineRule="auto"/>
        <w:rPr>
          <w:rFonts w:ascii="Times New Roman"/>
          <w:sz w:val="24"/>
          <w:szCs w:val="24"/>
        </w:rPr>
      </w:pPr>
      <w:r>
        <w:rPr>
          <w:rFonts w:ascii="Times New Roman"/>
          <w:sz w:val="24"/>
          <w:szCs w:val="24"/>
        </w:rPr>
        <w:t>（5）第Ⅰ含水组地下水补径排特征</w:t>
      </w:r>
    </w:p>
    <w:p w14:paraId="008FDD77">
      <w:pPr>
        <w:spacing w:line="360" w:lineRule="auto"/>
        <w:rPr>
          <w:rFonts w:ascii="Times New Roman"/>
          <w:sz w:val="24"/>
          <w:szCs w:val="24"/>
        </w:rPr>
      </w:pPr>
      <w:r>
        <w:rPr>
          <w:rFonts w:ascii="Times New Roman"/>
          <w:sz w:val="24"/>
          <w:szCs w:val="24"/>
        </w:rPr>
        <w:t>第Ⅰ含水组地下水的补给来源主要为大气降水，因此出现明显的降雨入渗-蒸发型地下水动态特征，由收集的长观点观测资料显示，调第Ⅰ含水组地下水位及水温变化趋势明显。地下水位变化幅度在0.442m左右，且随丰水期来临（7、8月份），地下水位呈上升趋势；对于水温而言，一致随气温增高而增高。说明，调查评价区内的地下水补给来源主要为大气降水，且调查评价区内第Ⅰ含水组地下水系统为一开放的地下水系统。</w:t>
      </w:r>
    </w:p>
    <w:p w14:paraId="357A1B33">
      <w:pPr>
        <w:spacing w:line="360" w:lineRule="auto"/>
        <w:ind w:firstLine="480" w:firstLineChars="200"/>
        <w:rPr>
          <w:rFonts w:ascii="Times New Roman"/>
          <w:sz w:val="24"/>
          <w:szCs w:val="24"/>
        </w:rPr>
      </w:pPr>
      <w:r>
        <w:rPr>
          <w:rFonts w:ascii="Times New Roman"/>
          <w:sz w:val="24"/>
          <w:szCs w:val="24"/>
        </w:rPr>
        <w:t>（6）包气带岩性特征</w:t>
      </w:r>
    </w:p>
    <w:p w14:paraId="4B48ABB3">
      <w:pPr>
        <w:spacing w:line="360" w:lineRule="auto"/>
        <w:ind w:firstLine="480" w:firstLineChars="200"/>
        <w:rPr>
          <w:rFonts w:ascii="Times New Roman"/>
          <w:sz w:val="24"/>
          <w:szCs w:val="24"/>
        </w:rPr>
      </w:pPr>
      <w:r>
        <w:rPr>
          <w:rFonts w:ascii="Times New Roman"/>
          <w:sz w:val="24"/>
          <w:szCs w:val="24"/>
        </w:rPr>
        <w:t>参照项目南侧3000m处华润电力曹妃甸电厂二期厂区（位于钢电园区）内50.0m深度范围内地层进行分析研究，揭露的地层除表层人工吹填土外，均为第四系海积地层，根据岩性及物理力学性质自上而下分9层，分别是①层吹填土、②层粉土、③层细砂、④层粉质粘土、⑤层粘土、⑥层粉质粘土、⑦层粉土。</w:t>
      </w:r>
    </w:p>
    <w:p w14:paraId="773F0BAD">
      <w:pPr>
        <w:spacing w:line="360" w:lineRule="auto"/>
        <w:ind w:firstLine="480" w:firstLineChars="200"/>
        <w:rPr>
          <w:rFonts w:ascii="Times New Roman"/>
          <w:sz w:val="24"/>
          <w:szCs w:val="24"/>
        </w:rPr>
      </w:pPr>
      <w:r>
        <w:rPr>
          <w:rFonts w:ascii="Times New Roman"/>
          <w:sz w:val="24"/>
          <w:szCs w:val="24"/>
        </w:rPr>
        <w:t>第Ⅰ含水组含水层分布在地表以下19.0m范围以上，平均厚度约15.40m，最厚处为19.00m，最薄处11.30m，主要岩性为粉砂及细砂，分布均匀且连续。含水层底部为粉质粘土及粘土的隔水层，平均厚度约26.77m，最厚处为28.70m，最薄处23.8m，分布均匀且连续。</w:t>
      </w:r>
    </w:p>
    <w:p w14:paraId="7D18FD06">
      <w:pPr>
        <w:spacing w:line="360" w:lineRule="auto"/>
        <w:ind w:firstLine="480" w:firstLineChars="200"/>
        <w:rPr>
          <w:rFonts w:ascii="Times New Roman"/>
          <w:sz w:val="24"/>
          <w:szCs w:val="24"/>
        </w:rPr>
      </w:pPr>
      <w:r>
        <w:rPr>
          <w:rFonts w:ascii="Times New Roman"/>
          <w:sz w:val="24"/>
          <w:szCs w:val="24"/>
        </w:rPr>
        <w:t>（7）地下水环境勘查与试验</w:t>
      </w:r>
    </w:p>
    <w:p w14:paraId="306DDC80">
      <w:pPr>
        <w:spacing w:line="360" w:lineRule="auto"/>
        <w:ind w:firstLine="480" w:firstLineChars="200"/>
        <w:rPr>
          <w:rFonts w:ascii="Times New Roman"/>
          <w:sz w:val="24"/>
          <w:szCs w:val="24"/>
        </w:rPr>
      </w:pPr>
      <w:r>
        <w:rPr>
          <w:rFonts w:ascii="Times New Roman"/>
          <w:sz w:val="24"/>
          <w:szCs w:val="24"/>
        </w:rPr>
        <w:t>为查明项目所在区的含水层渗透性，本次评价收集《曹妃甸工业区装备制造区污水处理站工程环境影响报告书》野外抽水试验数据1组，本项目占地与该项目属同一包气带及含水层，因此数据引用有效。根据抽水试验可知，项目所在区含水层渗透系数为4.65m/d，给水度为0.08，有效孔隙度为0.10。</w:t>
      </w:r>
    </w:p>
    <w:p w14:paraId="4AA9A3B9">
      <w:pPr>
        <w:snapToGrid w:val="0"/>
        <w:spacing w:beforeLines="50" w:line="360" w:lineRule="auto"/>
        <w:outlineLvl w:val="3"/>
        <w:rPr>
          <w:rFonts w:ascii="Times New Roman"/>
          <w:b/>
          <w:sz w:val="24"/>
          <w:szCs w:val="24"/>
        </w:rPr>
      </w:pPr>
      <w:r>
        <w:rPr>
          <w:rFonts w:ascii="Times New Roman"/>
          <w:b/>
          <w:sz w:val="24"/>
          <w:szCs w:val="24"/>
        </w:rPr>
        <w:t>5.2.3.4地下水环境影响预测与评价</w:t>
      </w:r>
    </w:p>
    <w:p w14:paraId="7FB418C2">
      <w:pPr>
        <w:spacing w:line="360" w:lineRule="auto"/>
        <w:ind w:firstLine="480" w:firstLineChars="200"/>
        <w:rPr>
          <w:rFonts w:ascii="Times New Roman"/>
          <w:bCs/>
          <w:sz w:val="24"/>
          <w:szCs w:val="22"/>
        </w:rPr>
      </w:pPr>
      <w:r>
        <w:rPr>
          <w:rFonts w:ascii="Times New Roman"/>
          <w:bCs/>
          <w:sz w:val="24"/>
          <w:szCs w:val="22"/>
        </w:rPr>
        <w:t>根据《环境影响评价技术导则—地下水环境》（HJ610-2016）相关要求，本次地下水环境影响评价级别为三级。</w:t>
      </w:r>
      <w:r>
        <w:rPr>
          <w:rFonts w:ascii="Times New Roman"/>
          <w:sz w:val="24"/>
        </w:rPr>
        <w:t>根据区域含水层特点，本次影响预测只对潜水含水层进行影响预测和评价。</w:t>
      </w:r>
      <w:r>
        <w:rPr>
          <w:rFonts w:ascii="Times New Roman"/>
          <w:bCs/>
          <w:sz w:val="24"/>
          <w:szCs w:val="22"/>
        </w:rPr>
        <w:t>本次地下水环境影响预测范围与地下水现状调查范围一致，即：</w:t>
      </w:r>
      <w:r>
        <w:rPr>
          <w:rFonts w:ascii="Times New Roman"/>
          <w:sz w:val="24"/>
          <w:szCs w:val="28"/>
        </w:rPr>
        <w:t>以地下水流向为轴向（由西北向东南），</w:t>
      </w:r>
      <w:r>
        <w:rPr>
          <w:rFonts w:ascii="Times New Roman"/>
          <w:bCs/>
          <w:sz w:val="24"/>
          <w:szCs w:val="28"/>
        </w:rPr>
        <w:t>项目厂区上游500m，下游</w:t>
      </w:r>
      <w:r>
        <w:rPr>
          <w:rFonts w:hint="eastAsia" w:ascii="Times New Roman"/>
          <w:bCs/>
          <w:sz w:val="24"/>
          <w:szCs w:val="28"/>
        </w:rPr>
        <w:t>2</w:t>
      </w:r>
      <w:r>
        <w:rPr>
          <w:rFonts w:ascii="Times New Roman"/>
          <w:bCs/>
          <w:sz w:val="24"/>
          <w:szCs w:val="28"/>
        </w:rPr>
        <w:t>km，西南侧</w:t>
      </w:r>
      <w:r>
        <w:rPr>
          <w:rFonts w:hint="eastAsia" w:ascii="Times New Roman"/>
          <w:bCs/>
          <w:sz w:val="24"/>
          <w:szCs w:val="28"/>
        </w:rPr>
        <w:t>1</w:t>
      </w:r>
      <w:r>
        <w:rPr>
          <w:rFonts w:ascii="Times New Roman"/>
          <w:bCs/>
          <w:sz w:val="24"/>
          <w:szCs w:val="28"/>
        </w:rPr>
        <w:t>km，东北侧</w:t>
      </w:r>
      <w:r>
        <w:rPr>
          <w:rFonts w:hint="eastAsia" w:ascii="Times New Roman"/>
          <w:bCs/>
          <w:sz w:val="24"/>
          <w:szCs w:val="28"/>
        </w:rPr>
        <w:t>1</w:t>
      </w:r>
      <w:r>
        <w:rPr>
          <w:rFonts w:ascii="Times New Roman"/>
          <w:bCs/>
          <w:sz w:val="24"/>
          <w:szCs w:val="28"/>
        </w:rPr>
        <w:t>km，共计</w:t>
      </w:r>
      <w:r>
        <w:rPr>
          <w:rFonts w:hint="eastAsia" w:ascii="Times New Roman"/>
          <w:bCs/>
          <w:sz w:val="24"/>
          <w:szCs w:val="28"/>
        </w:rPr>
        <w:t>约</w:t>
      </w:r>
      <w:r>
        <w:rPr>
          <w:rFonts w:ascii="Times New Roman"/>
          <w:bCs/>
          <w:sz w:val="24"/>
          <w:szCs w:val="28"/>
        </w:rPr>
        <w:t>5km</w:t>
      </w:r>
      <w:r>
        <w:rPr>
          <w:rFonts w:ascii="Times New Roman"/>
          <w:bCs/>
          <w:sz w:val="24"/>
          <w:szCs w:val="28"/>
          <w:vertAlign w:val="superscript"/>
        </w:rPr>
        <w:t>2</w:t>
      </w:r>
      <w:r>
        <w:rPr>
          <w:rFonts w:ascii="Times New Roman"/>
          <w:sz w:val="24"/>
          <w:szCs w:val="28"/>
        </w:rPr>
        <w:t>的矩形区域。</w:t>
      </w:r>
    </w:p>
    <w:p w14:paraId="0959AF71">
      <w:pPr>
        <w:spacing w:line="360" w:lineRule="auto"/>
        <w:rPr>
          <w:rFonts w:ascii="Times New Roman"/>
          <w:bCs/>
          <w:sz w:val="24"/>
        </w:rPr>
      </w:pPr>
      <w:r>
        <w:rPr>
          <w:rFonts w:hint="eastAsia" w:hAnsi="宋体" w:cs="宋体"/>
          <w:sz w:val="24"/>
          <w:szCs w:val="24"/>
        </w:rPr>
        <w:drawing>
          <wp:anchor distT="0" distB="0" distL="114300" distR="114300" simplePos="0" relativeHeight="251710464" behindDoc="0" locked="0" layoutInCell="1" allowOverlap="1">
            <wp:simplePos x="0" y="0"/>
            <wp:positionH relativeFrom="column">
              <wp:posOffset>4696460</wp:posOffset>
            </wp:positionH>
            <wp:positionV relativeFrom="paragraph">
              <wp:posOffset>83185</wp:posOffset>
            </wp:positionV>
            <wp:extent cx="571500" cy="523875"/>
            <wp:effectExtent l="0" t="0" r="0" b="9525"/>
            <wp:wrapNone/>
            <wp:docPr id="9" name="图片 9" descr="173466989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4669891286"/>
                    <pic:cNvPicPr>
                      <a:picLocks noChangeAspect="1"/>
                    </pic:cNvPicPr>
                  </pic:nvPicPr>
                  <pic:blipFill>
                    <a:blip r:embed="rId55" cstate="print"/>
                    <a:stretch>
                      <a:fillRect/>
                    </a:stretch>
                  </pic:blipFill>
                  <pic:spPr>
                    <a:xfrm>
                      <a:off x="0" y="0"/>
                      <a:ext cx="571500" cy="523875"/>
                    </a:xfrm>
                    <a:prstGeom prst="rect">
                      <a:avLst/>
                    </a:prstGeom>
                  </pic:spPr>
                </pic:pic>
              </a:graphicData>
            </a:graphic>
          </wp:anchor>
        </w:drawing>
      </w:r>
      <w:r>
        <w:rPr>
          <w:rFonts w:ascii="Times New Roman"/>
        </w:rPr>
        <mc:AlternateContent>
          <mc:Choice Requires="wps">
            <w:drawing>
              <wp:anchor distT="0" distB="0" distL="114300" distR="114300" simplePos="0" relativeHeight="251699200" behindDoc="0" locked="0" layoutInCell="1" allowOverlap="1">
                <wp:simplePos x="0" y="0"/>
                <wp:positionH relativeFrom="column">
                  <wp:posOffset>3757295</wp:posOffset>
                </wp:positionH>
                <wp:positionV relativeFrom="paragraph">
                  <wp:posOffset>3427730</wp:posOffset>
                </wp:positionV>
                <wp:extent cx="409575" cy="209550"/>
                <wp:effectExtent l="13970" t="13970" r="20955" b="17780"/>
                <wp:wrapNone/>
                <wp:docPr id="207" name="文本框 207"/>
                <wp:cNvGraphicFramePr/>
                <a:graphic xmlns:a="http://schemas.openxmlformats.org/drawingml/2006/main">
                  <a:graphicData uri="http://schemas.microsoft.com/office/word/2010/wordprocessingShape">
                    <wps:wsp>
                      <wps:cNvSpPr txBox="1"/>
                      <wps:spPr>
                        <a:xfrm>
                          <a:off x="4895850" y="7456805"/>
                          <a:ext cx="409575" cy="209550"/>
                        </a:xfrm>
                        <a:prstGeom prst="rect">
                          <a:avLst/>
                        </a:prstGeom>
                        <a:solidFill>
                          <a:srgbClr val="FFFFFF"/>
                        </a:solidFill>
                        <a:ln w="28575">
                          <a:solidFill>
                            <a:srgbClr val="FF0000"/>
                          </a:solidFill>
                        </a:ln>
                        <a:effectLst/>
                      </wps:spPr>
                      <wps:txbx>
                        <w:txbxContent>
                          <w:p w14:paraId="636077A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85pt;margin-top:269.9pt;height:16.5pt;width:32.25pt;z-index:251699200;mso-width-relative:page;mso-height-relative:page;" fillcolor="#FFFFFF" filled="t" stroked="t" coordsize="21600,21600" o:gfxdata="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bEtXo2QAAAAsBAAAPAAAAAAAAAAEAIAAAACIAAABkcnMvZG93bnJldi54bWxQSwEC&#10;FAAUAAAACACHTuJA/XH4e2UCAADWBAAADgAAAAAAAAABACAAAAAoAQAAZHJzL2Uyb0RvYy54bWxQ&#10;SwUGAAAAAAYABgBZAQAA/wUAAAAA&#10;">
                <v:fill on="t" focussize="0,0"/>
                <v:stroke weight="2.25pt" color="#FF0000" joinstyle="round"/>
                <v:imagedata o:title=""/>
                <o:lock v:ext="edit" aspectratio="f"/>
                <v:textbox>
                  <w:txbxContent>
                    <w:p w14:paraId="636077A0"/>
                  </w:txbxContent>
                </v:textbox>
              </v:shape>
            </w:pict>
          </mc:Fallback>
        </mc:AlternateContent>
      </w:r>
      <w:r>
        <w:rPr>
          <w:rFonts w:ascii="Times New Roman"/>
        </w:rPr>
        <mc:AlternateContent>
          <mc:Choice Requires="wps">
            <w:drawing>
              <wp:anchor distT="0" distB="0" distL="114300" distR="114300" simplePos="0" relativeHeight="251700224" behindDoc="0" locked="0" layoutInCell="1" allowOverlap="1">
                <wp:simplePos x="0" y="0"/>
                <wp:positionH relativeFrom="column">
                  <wp:posOffset>3747770</wp:posOffset>
                </wp:positionH>
                <wp:positionV relativeFrom="paragraph">
                  <wp:posOffset>3723005</wp:posOffset>
                </wp:positionV>
                <wp:extent cx="409575" cy="209550"/>
                <wp:effectExtent l="7620" t="7620" r="14605" b="11430"/>
                <wp:wrapNone/>
                <wp:docPr id="208" name="文本框 208"/>
                <wp:cNvGraphicFramePr/>
                <a:graphic xmlns:a="http://schemas.openxmlformats.org/drawingml/2006/main">
                  <a:graphicData uri="http://schemas.microsoft.com/office/word/2010/wordprocessingShape">
                    <wps:wsp>
                      <wps:cNvSpPr txBox="1"/>
                      <wps:spPr>
                        <a:xfrm>
                          <a:off x="0" y="0"/>
                          <a:ext cx="409575" cy="209550"/>
                        </a:xfrm>
                        <a:prstGeom prst="rect">
                          <a:avLst/>
                        </a:prstGeom>
                        <a:solidFill>
                          <a:srgbClr val="FFFFFF"/>
                        </a:solidFill>
                        <a:ln w="15875">
                          <a:solidFill>
                            <a:srgbClr val="00B050"/>
                          </a:solidFill>
                        </a:ln>
                        <a:effectLst/>
                      </wps:spPr>
                      <wps:txbx>
                        <w:txbxContent>
                          <w:p w14:paraId="50FD3BE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pt;margin-top:293.15pt;height:16.5pt;width:32.25pt;z-index:251700224;mso-width-relative:page;mso-height-relative:page;" fillcolor="#FFFFFF" filled="t" stroked="t" coordsize="21600,21600" o:gfxdata="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51eyvaAAAACwEAAA8AAAAAAAAAAQAgAAAAIgAAAGRycy9kb3ducmV2LnhtbFBLAQIUABQAAAAI&#10;AIdO4kBNGgtXXQIAAMoEAAAOAAAAAAAAAAEAIAAAACkBAABkcnMvZTJvRG9jLnhtbFBLBQYAAAAA&#10;BgAGAFkBAAD4BQAAAAA=&#10;">
                <v:fill on="t" focussize="0,0"/>
                <v:stroke weight="1.25pt" color="#00B050" joinstyle="round"/>
                <v:imagedata o:title=""/>
                <o:lock v:ext="edit" aspectratio="f"/>
                <v:textbox>
                  <w:txbxContent>
                    <w:p w14:paraId="50FD3BE7"/>
                  </w:txbxContent>
                </v:textbox>
              </v:shape>
            </w:pict>
          </mc:Fallback>
        </mc:AlternateContent>
      </w:r>
      <w:r>
        <w:rPr>
          <w:rFonts w:ascii="Times New Roman"/>
        </w:rPr>
        <mc:AlternateContent>
          <mc:Choice Requires="wps">
            <w:drawing>
              <wp:anchor distT="0" distB="0" distL="114300" distR="114300" simplePos="0" relativeHeight="251701248" behindDoc="0" locked="0" layoutInCell="1" allowOverlap="1">
                <wp:simplePos x="0" y="0"/>
                <wp:positionH relativeFrom="column">
                  <wp:posOffset>3766820</wp:posOffset>
                </wp:positionH>
                <wp:positionV relativeFrom="paragraph">
                  <wp:posOffset>4046855</wp:posOffset>
                </wp:positionV>
                <wp:extent cx="361950" cy="142875"/>
                <wp:effectExtent l="12700" t="12700" r="19050" b="22225"/>
                <wp:wrapNone/>
                <wp:docPr id="209" name="右箭头 209"/>
                <wp:cNvGraphicFramePr/>
                <a:graphic xmlns:a="http://schemas.openxmlformats.org/drawingml/2006/main">
                  <a:graphicData uri="http://schemas.microsoft.com/office/word/2010/wordprocessingShape">
                    <wps:wsp>
                      <wps:cNvSpPr/>
                      <wps:spPr>
                        <a:xfrm>
                          <a:off x="4953000" y="7961630"/>
                          <a:ext cx="361950" cy="14287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6.6pt;margin-top:318.65pt;height:11.25pt;width:28.5pt;z-index:251701248;v-text-anchor:middle;mso-width-relative:page;mso-height-relative:page;" filled="f" stroked="t" coordsize="21600,21600" o:gfxdata="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plaM2AAAAAsBAAAPAAAAAAAAAAEAIAAAACIA&#10;AABkcnMvZG93bnJldi54bWxQSwECFAAUAAAACACHTuJAgnDFUnsCAADaBAAADgAAAAAAAAABACAA&#10;AAAnAQAAZHJzL2Uyb0RvYy54bWxQSwUGAAAAAAYABgBZAQAAFAYAAAAA&#10;" adj="17337,5400">
                <v:fill on="f" focussize="0,0"/>
                <v:stroke weight="2pt" color="#00B050" joinstyle="round"/>
                <v:imagedata o:title=""/>
                <o:lock v:ext="edit" aspectratio="f"/>
              </v:shape>
            </w:pict>
          </mc:Fallback>
        </mc:AlternateContent>
      </w:r>
      <w:r>
        <w:rPr>
          <w:rFonts w:ascii="Times New Roman"/>
        </w:rPr>
        <mc:AlternateContent>
          <mc:Choice Requires="wps">
            <w:drawing>
              <wp:anchor distT="0" distB="0" distL="114300" distR="114300" simplePos="0" relativeHeight="251698176" behindDoc="0" locked="0" layoutInCell="1" allowOverlap="1">
                <wp:simplePos x="0" y="0"/>
                <wp:positionH relativeFrom="column">
                  <wp:posOffset>3614420</wp:posOffset>
                </wp:positionH>
                <wp:positionV relativeFrom="paragraph">
                  <wp:posOffset>3047365</wp:posOffset>
                </wp:positionV>
                <wp:extent cx="1647825" cy="1180465"/>
                <wp:effectExtent l="4445" t="4445" r="11430" b="8890"/>
                <wp:wrapNone/>
                <wp:docPr id="210" name="文本框 210"/>
                <wp:cNvGraphicFramePr/>
                <a:graphic xmlns:a="http://schemas.openxmlformats.org/drawingml/2006/main">
                  <a:graphicData uri="http://schemas.microsoft.com/office/word/2010/wordprocessingShape">
                    <wps:wsp>
                      <wps:cNvSpPr txBox="1"/>
                      <wps:spPr>
                        <a:xfrm>
                          <a:off x="4762500" y="7247255"/>
                          <a:ext cx="1647825" cy="1180465"/>
                        </a:xfrm>
                        <a:prstGeom prst="rect">
                          <a:avLst/>
                        </a:prstGeom>
                        <a:solidFill>
                          <a:srgbClr val="FFFFFF"/>
                        </a:solidFill>
                        <a:ln w="6350">
                          <a:solidFill>
                            <a:prstClr val="black"/>
                          </a:solidFill>
                        </a:ln>
                        <a:effectLst/>
                      </wps:spPr>
                      <wps:txbx>
                        <w:txbxContent>
                          <w:p w14:paraId="1DDD1343">
                            <w:pPr>
                              <w:ind w:firstLine="542" w:firstLineChars="300"/>
                              <w:rPr>
                                <w:b/>
                                <w:sz w:val="18"/>
                                <w:szCs w:val="18"/>
                              </w:rPr>
                            </w:pPr>
                            <w:r>
                              <w:rPr>
                                <w:rFonts w:hint="eastAsia"/>
                                <w:b/>
                                <w:sz w:val="18"/>
                                <w:szCs w:val="18"/>
                              </w:rPr>
                              <w:t>图    例</w:t>
                            </w:r>
                          </w:p>
                          <w:p w14:paraId="0A1B81A6">
                            <w:pPr>
                              <w:spacing w:line="360" w:lineRule="auto"/>
                              <w:jc w:val="center"/>
                              <w:rPr>
                                <w:sz w:val="18"/>
                                <w:szCs w:val="18"/>
                              </w:rPr>
                            </w:pPr>
                            <w:r>
                              <w:rPr>
                                <w:b/>
                                <w:sz w:val="18"/>
                                <w:szCs w:val="18"/>
                              </w:rPr>
                              <w:t xml:space="preserve">   </w:t>
                            </w:r>
                            <w:r>
                              <w:rPr>
                                <w:rFonts w:hint="eastAsia"/>
                                <w:sz w:val="18"/>
                                <w:szCs w:val="18"/>
                              </w:rPr>
                              <w:t>项目位置</w:t>
                            </w:r>
                          </w:p>
                          <w:p w14:paraId="1ABE76ED">
                            <w:pPr>
                              <w:spacing w:line="360" w:lineRule="auto"/>
                              <w:jc w:val="center"/>
                              <w:rPr>
                                <w:sz w:val="18"/>
                                <w:szCs w:val="18"/>
                              </w:rPr>
                            </w:pPr>
                            <w:r>
                              <w:rPr>
                                <w:sz w:val="18"/>
                                <w:szCs w:val="18"/>
                              </w:rPr>
                              <w:t xml:space="preserve">         </w:t>
                            </w:r>
                            <w:r>
                              <w:rPr>
                                <w:rFonts w:hint="eastAsia"/>
                                <w:sz w:val="18"/>
                                <w:szCs w:val="18"/>
                              </w:rPr>
                              <w:t>地下水评价范围</w:t>
                            </w:r>
                          </w:p>
                          <w:p w14:paraId="0628DC30">
                            <w:pPr>
                              <w:spacing w:line="360" w:lineRule="auto"/>
                              <w:jc w:val="center"/>
                              <w:rPr>
                                <w:sz w:val="18"/>
                                <w:szCs w:val="18"/>
                              </w:rPr>
                            </w:pPr>
                            <w:r>
                              <w:rPr>
                                <w:rFonts w:hint="eastAsia"/>
                                <w:sz w:val="18"/>
                                <w:szCs w:val="18"/>
                              </w:rPr>
                              <w:t xml:space="preserve">     地下水流向</w:t>
                            </w:r>
                          </w:p>
                          <w:p w14:paraId="650771B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6pt;margin-top:239.95pt;height:92.95pt;width:129.75pt;z-index:251698176;mso-width-relative:page;mso-height-relative:page;" fillcolor="#FFFFFF" filled="t" stroked="t" coordsize="21600,21600" o:gfxdata="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i87ZAAAACwEAAA8AAAAAAAAAAQAgAAAAIgAAAGRycy9kb3du&#10;cmV2LnhtbFBLAQIUABQAAAAIAIdO4kCL7dCdcAIAANYEAAAOAAAAAAAAAAEAIAAAACgBAABkcnMv&#10;ZTJvRG9jLnhtbFBLBQYAAAAABgAGAFkBAAAKBgAAAAA=&#10;">
                <v:fill on="t" focussize="0,0"/>
                <v:stroke weight="0.5pt" color="#000000" joinstyle="round"/>
                <v:imagedata o:title=""/>
                <o:lock v:ext="edit" aspectratio="f"/>
                <v:textbox>
                  <w:txbxContent>
                    <w:p w14:paraId="1DDD1343">
                      <w:pPr>
                        <w:ind w:firstLine="542" w:firstLineChars="300"/>
                        <w:rPr>
                          <w:b/>
                          <w:sz w:val="18"/>
                          <w:szCs w:val="18"/>
                        </w:rPr>
                      </w:pPr>
                      <w:r>
                        <w:rPr>
                          <w:rFonts w:hint="eastAsia"/>
                          <w:b/>
                          <w:sz w:val="18"/>
                          <w:szCs w:val="18"/>
                        </w:rPr>
                        <w:t>图    例</w:t>
                      </w:r>
                    </w:p>
                    <w:p w14:paraId="0A1B81A6">
                      <w:pPr>
                        <w:spacing w:line="360" w:lineRule="auto"/>
                        <w:jc w:val="center"/>
                        <w:rPr>
                          <w:sz w:val="18"/>
                          <w:szCs w:val="18"/>
                        </w:rPr>
                      </w:pPr>
                      <w:r>
                        <w:rPr>
                          <w:b/>
                          <w:sz w:val="18"/>
                          <w:szCs w:val="18"/>
                        </w:rPr>
                        <w:t xml:space="preserve">   </w:t>
                      </w:r>
                      <w:r>
                        <w:rPr>
                          <w:rFonts w:hint="eastAsia"/>
                          <w:sz w:val="18"/>
                          <w:szCs w:val="18"/>
                        </w:rPr>
                        <w:t>项目位置</w:t>
                      </w:r>
                    </w:p>
                    <w:p w14:paraId="1ABE76ED">
                      <w:pPr>
                        <w:spacing w:line="360" w:lineRule="auto"/>
                        <w:jc w:val="center"/>
                        <w:rPr>
                          <w:sz w:val="18"/>
                          <w:szCs w:val="18"/>
                        </w:rPr>
                      </w:pPr>
                      <w:r>
                        <w:rPr>
                          <w:sz w:val="18"/>
                          <w:szCs w:val="18"/>
                        </w:rPr>
                        <w:t xml:space="preserve">         </w:t>
                      </w:r>
                      <w:r>
                        <w:rPr>
                          <w:rFonts w:hint="eastAsia"/>
                          <w:sz w:val="18"/>
                          <w:szCs w:val="18"/>
                        </w:rPr>
                        <w:t>地下水评价范围</w:t>
                      </w:r>
                    </w:p>
                    <w:p w14:paraId="0628DC30">
                      <w:pPr>
                        <w:spacing w:line="360" w:lineRule="auto"/>
                        <w:jc w:val="center"/>
                        <w:rPr>
                          <w:sz w:val="18"/>
                          <w:szCs w:val="18"/>
                        </w:rPr>
                      </w:pPr>
                      <w:r>
                        <w:rPr>
                          <w:rFonts w:hint="eastAsia"/>
                          <w:sz w:val="18"/>
                          <w:szCs w:val="18"/>
                        </w:rPr>
                        <w:t xml:space="preserve">     地下水流向</w:t>
                      </w:r>
                    </w:p>
                    <w:p w14:paraId="650771BA"/>
                  </w:txbxContent>
                </v:textbox>
              </v:shape>
            </w:pict>
          </mc:Fallback>
        </mc:AlternateContent>
      </w:r>
      <w:r>
        <w:rPr>
          <w:rFonts w:ascii="Times New Roman"/>
        </w:rPr>
        <mc:AlternateContent>
          <mc:Choice Requires="wps">
            <w:drawing>
              <wp:anchor distT="0" distB="0" distL="114300" distR="114300" simplePos="0" relativeHeight="251709440" behindDoc="0" locked="0" layoutInCell="1" allowOverlap="1">
                <wp:simplePos x="0" y="0"/>
                <wp:positionH relativeFrom="column">
                  <wp:posOffset>2038350</wp:posOffset>
                </wp:positionH>
                <wp:positionV relativeFrom="paragraph">
                  <wp:posOffset>2145030</wp:posOffset>
                </wp:positionV>
                <wp:extent cx="558165" cy="271145"/>
                <wp:effectExtent l="45720" t="123190" r="56515" b="126365"/>
                <wp:wrapNone/>
                <wp:docPr id="62" name="文本框 3"/>
                <wp:cNvGraphicFramePr/>
                <a:graphic xmlns:a="http://schemas.openxmlformats.org/drawingml/2006/main">
                  <a:graphicData uri="http://schemas.microsoft.com/office/word/2010/wordprocessingShape">
                    <wps:wsp>
                      <wps:cNvSpPr txBox="1"/>
                      <wps:spPr>
                        <a:xfrm rot="1560000">
                          <a:off x="0" y="0"/>
                          <a:ext cx="558165" cy="271145"/>
                        </a:xfrm>
                        <a:prstGeom prst="rect">
                          <a:avLst/>
                        </a:prstGeom>
                        <a:solidFill>
                          <a:srgbClr val="FFFFFF"/>
                        </a:solidFill>
                        <a:ln w="28575">
                          <a:solidFill>
                            <a:srgbClr val="FF0000"/>
                          </a:solidFill>
                        </a:ln>
                        <a:effectLst/>
                      </wps:spPr>
                      <wps:txbx>
                        <w:txbxContent>
                          <w:p w14:paraId="361464F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60.5pt;margin-top:168.9pt;height:21.35pt;width:43.95pt;rotation:1703936f;z-index:251709440;mso-width-relative:page;mso-height-relative:page;" fillcolor="#FFFFFF" filled="t" stroked="t" coordsize="21600,21600" o:gfxdata="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iBUH/2wAAAAsBAAAPAAAAAAAAAAEAIAAAACIAAABkcnMvZG93bnJldi54bWxQ&#10;SwECFAAUAAAACACHTuJAtOfVcmYCAADVBAAADgAAAAAAAAABACAAAAAqAQAAZHJzL2Uyb0RvYy54&#10;bWxQSwUGAAAAAAYABgBZAQAAAgYAAAAA&#10;">
                <v:fill on="t" focussize="0,0"/>
                <v:stroke weight="2.25pt" color="#FF0000" joinstyle="round"/>
                <v:imagedata o:title=""/>
                <o:lock v:ext="edit" aspectratio="f"/>
                <v:textbox>
                  <w:txbxContent>
                    <w:p w14:paraId="361464FD"/>
                  </w:txbxContent>
                </v:textbox>
              </v:shape>
            </w:pict>
          </mc:Fallback>
        </mc:AlternateContent>
      </w:r>
      <w:r>
        <w:rPr>
          <w:rFonts w:ascii="Times New Roman"/>
        </w:rPr>
        <mc:AlternateContent>
          <mc:Choice Requires="wps">
            <w:drawing>
              <wp:anchor distT="0" distB="0" distL="114300" distR="114300" simplePos="0" relativeHeight="251697152" behindDoc="0" locked="0" layoutInCell="1" allowOverlap="1">
                <wp:simplePos x="0" y="0"/>
                <wp:positionH relativeFrom="column">
                  <wp:posOffset>2745105</wp:posOffset>
                </wp:positionH>
                <wp:positionV relativeFrom="paragraph">
                  <wp:posOffset>672465</wp:posOffset>
                </wp:positionV>
                <wp:extent cx="1106805" cy="304800"/>
                <wp:effectExtent l="0" t="225425" r="0" b="219075"/>
                <wp:wrapNone/>
                <wp:docPr id="206" name="右箭头 206"/>
                <wp:cNvGraphicFramePr/>
                <a:graphic xmlns:a="http://schemas.openxmlformats.org/drawingml/2006/main">
                  <a:graphicData uri="http://schemas.microsoft.com/office/word/2010/wordprocessingShape">
                    <wps:wsp>
                      <wps:cNvSpPr/>
                      <wps:spPr>
                        <a:xfrm rot="1980000">
                          <a:off x="2571750" y="5814695"/>
                          <a:ext cx="1106805" cy="304800"/>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6.15pt;margin-top:52.95pt;height:24pt;width:87.15pt;rotation:2162688f;z-index:251697152;v-text-anchor:middle;mso-width-relative:page;mso-height-relative:page;" filled="f" stroked="t" coordsize="21600,21600" o:gfxdata="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ryFvdkAAAALAQAADwAAAAAA&#10;AAABACAAAAAiAAAAZHJzL2Rvd25yZXYueG1sUEsBAhQAFAAAAAgAh07iQNgNWYSEAgAA6QQAAA4A&#10;AAAAAAAAAQAgAAAAKAEAAGRycy9lMm9Eb2MueG1sUEsFBgAAAAAGAAYAWQEAAB4GAAAAAA==&#10;" adj="18626,5400">
                <v:fill on="f" focussize="0,0"/>
                <v:stroke weight="2pt" color="#00B050" joinstyle="round"/>
                <v:imagedata o:title=""/>
                <o:lock v:ext="edit" aspectratio="f"/>
              </v:shape>
            </w:pict>
          </mc:Fallback>
        </mc:AlternateContent>
      </w:r>
      <w:r>
        <w:drawing>
          <wp:inline distT="0" distB="0" distL="114300" distR="114300">
            <wp:extent cx="5271770" cy="4170680"/>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56" cstate="print"/>
                    <a:srcRect b="10542"/>
                    <a:stretch>
                      <a:fillRect/>
                    </a:stretch>
                  </pic:blipFill>
                  <pic:spPr>
                    <a:xfrm>
                      <a:off x="0" y="0"/>
                      <a:ext cx="5271770" cy="4170680"/>
                    </a:xfrm>
                    <a:prstGeom prst="rect">
                      <a:avLst/>
                    </a:prstGeom>
                    <a:noFill/>
                    <a:ln>
                      <a:noFill/>
                    </a:ln>
                  </pic:spPr>
                </pic:pic>
              </a:graphicData>
            </a:graphic>
          </wp:inline>
        </w:drawing>
      </w:r>
    </w:p>
    <w:p w14:paraId="314D0DBA">
      <w:pPr>
        <w:spacing w:line="440" w:lineRule="exact"/>
        <w:jc w:val="center"/>
        <w:rPr>
          <w:rFonts w:ascii="Times New Roman"/>
          <w:b/>
          <w:kern w:val="0"/>
          <w:sz w:val="24"/>
          <w:szCs w:val="20"/>
        </w:rPr>
      </w:pPr>
      <w:r>
        <w:rPr>
          <w:rFonts w:ascii="Times New Roman"/>
          <w:b/>
          <w:kern w:val="0"/>
          <w:sz w:val="24"/>
          <w:szCs w:val="20"/>
          <w:lang w:val="zh-CN"/>
        </w:rPr>
        <w:t>图</w:t>
      </w:r>
      <w:r>
        <w:rPr>
          <w:rFonts w:ascii="Times New Roman"/>
          <w:b/>
          <w:kern w:val="0"/>
          <w:sz w:val="24"/>
          <w:szCs w:val="20"/>
        </w:rPr>
        <w:t>5.2</w:t>
      </w:r>
      <w:r>
        <w:rPr>
          <w:rFonts w:hint="eastAsia" w:ascii="Times New Roman"/>
          <w:b/>
          <w:kern w:val="0"/>
          <w:sz w:val="24"/>
          <w:szCs w:val="20"/>
        </w:rPr>
        <w:t>.3</w:t>
      </w:r>
      <w:r>
        <w:rPr>
          <w:rFonts w:ascii="Times New Roman"/>
          <w:b/>
          <w:kern w:val="0"/>
          <w:sz w:val="24"/>
          <w:szCs w:val="20"/>
        </w:rPr>
        <w:t>-</w:t>
      </w:r>
      <w:r>
        <w:rPr>
          <w:rFonts w:hint="eastAsia" w:ascii="Times New Roman"/>
          <w:b/>
          <w:kern w:val="0"/>
          <w:sz w:val="24"/>
          <w:szCs w:val="20"/>
        </w:rPr>
        <w:t>6</w:t>
      </w:r>
      <w:r>
        <w:rPr>
          <w:rFonts w:ascii="Times New Roman"/>
          <w:b/>
          <w:kern w:val="0"/>
          <w:sz w:val="24"/>
          <w:szCs w:val="20"/>
        </w:rPr>
        <w:t xml:space="preserve">  </w:t>
      </w:r>
      <w:r>
        <w:rPr>
          <w:rFonts w:ascii="Times New Roman"/>
          <w:b/>
          <w:kern w:val="0"/>
          <w:sz w:val="24"/>
          <w:szCs w:val="20"/>
          <w:lang w:val="zh-CN"/>
        </w:rPr>
        <w:t>地下水调查评价</w:t>
      </w:r>
      <w:r>
        <w:rPr>
          <w:rFonts w:ascii="Times New Roman"/>
          <w:b/>
          <w:kern w:val="0"/>
          <w:sz w:val="24"/>
          <w:szCs w:val="20"/>
        </w:rPr>
        <w:t>范围</w:t>
      </w:r>
    </w:p>
    <w:p w14:paraId="790C4F35">
      <w:pPr>
        <w:spacing w:line="360" w:lineRule="auto"/>
        <w:ind w:firstLine="480" w:firstLineChars="200"/>
        <w:rPr>
          <w:rFonts w:ascii="Times New Roman"/>
          <w:bCs/>
          <w:sz w:val="24"/>
        </w:rPr>
      </w:pPr>
      <w:r>
        <w:rPr>
          <w:rFonts w:ascii="Times New Roman"/>
          <w:bCs/>
          <w:sz w:val="24"/>
        </w:rPr>
        <w:t>本项目对地下水可能造成污染的途径主要为车间、污水处理站、污水管网等的防渗措施不到位可能导致污染物下渗，从而污染地下水。</w:t>
      </w:r>
    </w:p>
    <w:p w14:paraId="6E0D430A">
      <w:pPr>
        <w:snapToGrid w:val="0"/>
        <w:spacing w:line="360" w:lineRule="auto"/>
        <w:ind w:firstLine="482" w:firstLineChars="200"/>
        <w:rPr>
          <w:rFonts w:ascii="Times New Roman"/>
          <w:b/>
          <w:sz w:val="24"/>
          <w:szCs w:val="24"/>
        </w:rPr>
      </w:pPr>
      <w:r>
        <w:rPr>
          <w:rFonts w:ascii="Times New Roman"/>
          <w:b/>
          <w:sz w:val="24"/>
          <w:szCs w:val="24"/>
        </w:rPr>
        <w:t>（1）预测因子的筛选</w:t>
      </w:r>
    </w:p>
    <w:p w14:paraId="2A0D4F2F">
      <w:pPr>
        <w:adjustRightInd w:val="0"/>
        <w:snapToGrid w:val="0"/>
        <w:spacing w:line="360" w:lineRule="auto"/>
        <w:ind w:firstLine="500" w:firstLineChars="200"/>
        <w:rPr>
          <w:rFonts w:ascii="Times New Roman"/>
        </w:rPr>
      </w:pPr>
      <w:r>
        <w:rPr>
          <w:rFonts w:ascii="Times New Roman"/>
        </w:rPr>
        <w:t>本项目喷漆房生产设施均为地上建设，对地下水有污染的物料泄露后可及时发现并处置，</w:t>
      </w:r>
      <w:r>
        <w:rPr>
          <w:rFonts w:ascii="Times New Roman"/>
          <w:szCs w:val="24"/>
        </w:rPr>
        <w:t>地基之上采用20cm～30cm厚、压实度0.90以上的压实土壤，最后采用耐腐蚀的水泥对地面进行硬化</w:t>
      </w:r>
      <w:r>
        <w:rPr>
          <w:rFonts w:ascii="Times New Roman"/>
        </w:rPr>
        <w:t>，渗透性能不低于1.5m厚渗透系数为1.0×10</w:t>
      </w:r>
      <w:r>
        <w:rPr>
          <w:rFonts w:ascii="Times New Roman"/>
          <w:vertAlign w:val="superscript"/>
        </w:rPr>
        <w:t>-7</w:t>
      </w:r>
      <w:r>
        <w:rPr>
          <w:rFonts w:ascii="Times New Roman"/>
        </w:rPr>
        <w:t>cm/s的粘土层的防渗性能。</w:t>
      </w:r>
    </w:p>
    <w:p w14:paraId="6FE655F1">
      <w:pPr>
        <w:autoSpaceDN w:val="0"/>
        <w:adjustRightInd w:val="0"/>
        <w:snapToGrid w:val="0"/>
        <w:spacing w:line="360" w:lineRule="auto"/>
        <w:ind w:firstLine="500" w:firstLineChars="200"/>
        <w:rPr>
          <w:rFonts w:ascii="Times New Roman"/>
          <w:szCs w:val="24"/>
        </w:rPr>
      </w:pPr>
      <w:r>
        <w:rPr>
          <w:rFonts w:ascii="Times New Roman"/>
          <w:szCs w:val="24"/>
        </w:rPr>
        <w:t>根据本项目污染源特点分析可知，预测因子为生产废水主要污染物COD、</w:t>
      </w:r>
      <w:r>
        <w:rPr>
          <w:rFonts w:hint="eastAsia" w:ascii="Times New Roman"/>
          <w:szCs w:val="24"/>
        </w:rPr>
        <w:t>石油类</w:t>
      </w:r>
      <w:r>
        <w:rPr>
          <w:rFonts w:ascii="Times New Roman"/>
          <w:szCs w:val="24"/>
        </w:rPr>
        <w:t>。根据《环境影响评价技术导则地下水环境》(HJ610-2016)中</w:t>
      </w:r>
      <w:r>
        <w:rPr>
          <w:rFonts w:hint="eastAsia" w:ascii="Times New Roman"/>
          <w:szCs w:val="24"/>
        </w:rPr>
        <w:t>“</w:t>
      </w:r>
      <w:r>
        <w:rPr>
          <w:rFonts w:ascii="Times New Roman"/>
          <w:szCs w:val="24"/>
        </w:rPr>
        <w:t>9.6 预测源强</w:t>
      </w:r>
      <w:r>
        <w:rPr>
          <w:rFonts w:hint="eastAsia" w:ascii="Times New Roman"/>
          <w:szCs w:val="24"/>
        </w:rPr>
        <w:t>”</w:t>
      </w:r>
      <w:r>
        <w:rPr>
          <w:rFonts w:ascii="Times New Roman"/>
          <w:szCs w:val="24"/>
        </w:rPr>
        <w:t>对非正常状况的设定，评价可根据工艺设备或地下水环境保护措施因系统老化或腐蚀程度等设定。据此，将项目污水处理站及管道底部腐蚀老化，污水有部分泄漏时作为非正常状况，此时取泄漏率为污水总量的3%，根据源强估算，项目</w:t>
      </w:r>
      <w:r>
        <w:rPr>
          <w:rFonts w:hint="eastAsia"/>
        </w:rPr>
        <w:t>硅烷电泳浓液收集槽有效</w:t>
      </w:r>
      <w:r>
        <w:rPr>
          <w:rFonts w:hint="eastAsia" w:ascii="Times New Roman"/>
          <w:szCs w:val="24"/>
        </w:rPr>
        <w:t>容积</w:t>
      </w:r>
      <w:r>
        <w:rPr>
          <w:rFonts w:ascii="Times New Roman"/>
          <w:szCs w:val="24"/>
        </w:rPr>
        <w:t>为</w:t>
      </w:r>
      <w:r>
        <w:rPr>
          <w:rFonts w:hint="eastAsia" w:ascii="Times New Roman"/>
          <w:szCs w:val="24"/>
        </w:rPr>
        <w:t>40</w:t>
      </w:r>
      <w:r>
        <w:rPr>
          <w:rFonts w:ascii="Times New Roman"/>
          <w:szCs w:val="24"/>
        </w:rPr>
        <w:t>m</w:t>
      </w:r>
      <w:r>
        <w:rPr>
          <w:rFonts w:hint="eastAsia" w:ascii="Times New Roman"/>
          <w:szCs w:val="24"/>
          <w:vertAlign w:val="superscript"/>
        </w:rPr>
        <w:t>3</w:t>
      </w:r>
      <w:r>
        <w:rPr>
          <w:rFonts w:ascii="Times New Roman"/>
          <w:szCs w:val="24"/>
        </w:rPr>
        <w:t>，即每天渗入地下</w:t>
      </w:r>
      <w:r>
        <w:rPr>
          <w:rFonts w:hint="eastAsia" w:ascii="Times New Roman"/>
          <w:szCs w:val="24"/>
        </w:rPr>
        <w:t>1.2</w:t>
      </w:r>
      <w:r>
        <w:rPr>
          <w:rFonts w:ascii="Times New Roman"/>
          <w:szCs w:val="24"/>
        </w:rPr>
        <w:t>m</w:t>
      </w:r>
      <w:r>
        <w:rPr>
          <w:rFonts w:hint="eastAsia" w:ascii="Times New Roman"/>
          <w:szCs w:val="24"/>
          <w:vertAlign w:val="superscript"/>
        </w:rPr>
        <w:t>3</w:t>
      </w:r>
      <w:r>
        <w:rPr>
          <w:rFonts w:ascii="Times New Roman"/>
          <w:szCs w:val="24"/>
        </w:rPr>
        <w:t>未经处理的污水作为非正常情况。</w:t>
      </w:r>
    </w:p>
    <w:p w14:paraId="649753FA">
      <w:pPr>
        <w:autoSpaceDN w:val="0"/>
        <w:adjustRightInd w:val="0"/>
        <w:snapToGrid w:val="0"/>
        <w:spacing w:line="360" w:lineRule="auto"/>
        <w:ind w:firstLine="500" w:firstLineChars="200"/>
        <w:rPr>
          <w:rFonts w:ascii="Times New Roman"/>
          <w:szCs w:val="24"/>
        </w:rPr>
      </w:pPr>
      <w:r>
        <w:rPr>
          <w:rFonts w:ascii="Times New Roman"/>
          <w:szCs w:val="24"/>
        </w:rPr>
        <w:t>本次预测以综合污水处理站及管道泄漏导致的污水下渗进行分析，不考虑包气带防污性能</w:t>
      </w:r>
      <w:r>
        <w:rPr>
          <w:rFonts w:hint="eastAsia" w:ascii="Times New Roman"/>
          <w:szCs w:val="24"/>
        </w:rPr>
        <w:t>，</w:t>
      </w:r>
      <w:r>
        <w:rPr>
          <w:rFonts w:ascii="Times New Roman"/>
          <w:szCs w:val="24"/>
        </w:rPr>
        <w:t>取污染物原始浓度随污水沿垂直方向直接进入到含水层进行预测。</w:t>
      </w:r>
    </w:p>
    <w:p w14:paraId="0840D859">
      <w:pPr>
        <w:snapToGrid w:val="0"/>
        <w:spacing w:line="360" w:lineRule="auto"/>
        <w:ind w:firstLine="482" w:firstLineChars="200"/>
        <w:rPr>
          <w:rFonts w:ascii="Times New Roman"/>
          <w:b/>
          <w:sz w:val="24"/>
          <w:szCs w:val="24"/>
        </w:rPr>
      </w:pPr>
      <w:r>
        <w:rPr>
          <w:rFonts w:ascii="Times New Roman"/>
          <w:b/>
          <w:sz w:val="24"/>
          <w:szCs w:val="24"/>
        </w:rPr>
        <w:t>（2）污染源概化</w:t>
      </w:r>
    </w:p>
    <w:p w14:paraId="6EB38C83">
      <w:pPr>
        <w:adjustRightInd w:val="0"/>
        <w:snapToGrid w:val="0"/>
        <w:spacing w:line="360" w:lineRule="auto"/>
        <w:ind w:firstLine="500" w:firstLineChars="200"/>
        <w:rPr>
          <w:rFonts w:ascii="Times New Roman"/>
          <w:szCs w:val="24"/>
        </w:rPr>
      </w:pPr>
      <w:r>
        <w:rPr>
          <w:rFonts w:ascii="Times New Roman"/>
          <w:szCs w:val="24"/>
        </w:rPr>
        <w:t>从项目区的地质和水文地质条件上概化，浅层水地下水流向整体是由西南向东北方向。浅层水和深层承压水间有稳定的隔水层分布，工程在运行过程中发生事故时，污染物总体上顺着浅层地下水流向发生运移，并呈面状向四周扩散污染，因此本工程污染源可以概化为点状污染源。工程建设运行后，在易发生污染的潜水含水层下游地段布设监测点，对发现污染的地段及时查明原因，按事故应急预案进行及时处理，及时切断污染源，因此污染源排放规律可以概化为瞬时排放。</w:t>
      </w:r>
    </w:p>
    <w:p w14:paraId="48ABD151">
      <w:pPr>
        <w:snapToGrid w:val="0"/>
        <w:spacing w:line="360" w:lineRule="auto"/>
        <w:ind w:firstLine="482" w:firstLineChars="200"/>
        <w:rPr>
          <w:rFonts w:ascii="Times New Roman"/>
          <w:b/>
          <w:sz w:val="24"/>
          <w:szCs w:val="24"/>
        </w:rPr>
      </w:pPr>
      <w:r>
        <w:rPr>
          <w:rFonts w:ascii="Times New Roman"/>
          <w:b/>
          <w:sz w:val="24"/>
          <w:szCs w:val="24"/>
        </w:rPr>
        <w:t>（3）预测模型概化</w:t>
      </w:r>
    </w:p>
    <w:p w14:paraId="72DFC2B5">
      <w:pPr>
        <w:adjustRightInd w:val="0"/>
        <w:snapToGrid w:val="0"/>
        <w:spacing w:line="360" w:lineRule="auto"/>
        <w:ind w:firstLine="500" w:firstLineChars="200"/>
        <w:rPr>
          <w:rFonts w:ascii="Times New Roman"/>
          <w:szCs w:val="24"/>
        </w:rPr>
      </w:pPr>
      <w:r>
        <w:rPr>
          <w:rFonts w:hint="eastAsia" w:ascii="Times New Roman"/>
          <w:szCs w:val="24"/>
        </w:rPr>
        <w:t>废水</w:t>
      </w:r>
      <w:r>
        <w:rPr>
          <w:rFonts w:ascii="Times New Roman"/>
          <w:szCs w:val="24"/>
        </w:rPr>
        <w:t>泄漏后污染地下水的过程均可分为两个衔接的阶段：①泄露后由地表垂直向下穿过包气带进入浅层含水层的过程；②进入浅层含水层并随地下水流进行运移的过程。在发生污染事故时，包气带能够对污染物进行吸附，使污染物浓度降低，因此包气带能起到保护地下水的作用。为了考虑最不利的情况和使预测模型简化，本次预测忽略包气带的防污作用，简单认为污染物直接进入浅层含水层，然后污染物在浅层含水层中随着水流不断扩散。因此本次运移预测模型只考虑污染物在浅层含水层中的运移。</w:t>
      </w:r>
    </w:p>
    <w:p w14:paraId="0AFC7603">
      <w:pPr>
        <w:adjustRightInd w:val="0"/>
        <w:snapToGrid w:val="0"/>
        <w:spacing w:line="360" w:lineRule="auto"/>
        <w:ind w:firstLine="500" w:firstLineChars="200"/>
        <w:rPr>
          <w:rFonts w:ascii="Times New Roman"/>
          <w:szCs w:val="24"/>
        </w:rPr>
      </w:pPr>
      <w:r>
        <w:rPr>
          <w:rFonts w:ascii="Times New Roman"/>
          <w:szCs w:val="24"/>
        </w:rPr>
        <w:t>非正常状况和事故状况下均为瞬时泄漏，污染物在含水层的迁移，可概化为示踪剂瞬时注入一维无限长多孔介质主体的一维稳定流动一维水动力弥散模型。</w:t>
      </w:r>
    </w:p>
    <w:p w14:paraId="0E06F405">
      <w:pPr>
        <w:snapToGrid w:val="0"/>
        <w:spacing w:line="360" w:lineRule="auto"/>
        <w:ind w:firstLine="482" w:firstLineChars="200"/>
        <w:rPr>
          <w:rFonts w:ascii="Times New Roman"/>
          <w:b/>
          <w:sz w:val="24"/>
          <w:szCs w:val="24"/>
        </w:rPr>
      </w:pPr>
      <w:r>
        <w:rPr>
          <w:rFonts w:ascii="Times New Roman"/>
          <w:b/>
          <w:sz w:val="24"/>
          <w:szCs w:val="24"/>
        </w:rPr>
        <w:t>（4）数学模型的建立</w:t>
      </w:r>
    </w:p>
    <w:p w14:paraId="545F5E4F">
      <w:pPr>
        <w:spacing w:line="360" w:lineRule="auto"/>
        <w:ind w:firstLine="500" w:firstLineChars="200"/>
        <w:jc w:val="left"/>
        <w:rPr>
          <w:rFonts w:ascii="Times New Roman"/>
          <w:szCs w:val="24"/>
        </w:rPr>
      </w:pPr>
      <w:r>
        <w:rPr>
          <w:rFonts w:ascii="Times New Roman"/>
          <w:szCs w:val="24"/>
        </w:rPr>
        <w:t>示踪剂瞬时注入一维无限长多孔介质主体的一维稳定流动一维水动力弥散模型，当取平行于地面方向为x轴，流速方向为正时，则求取污染物浓度的分布模型选取《环境影响评价技术导则 地下水环境》(HJ 610-2016)附录D中D.1：</w:t>
      </w:r>
    </w:p>
    <w:p w14:paraId="3C0C9C1F">
      <w:pPr>
        <w:spacing w:line="360" w:lineRule="auto"/>
        <w:ind w:firstLine="502" w:firstLineChars="200"/>
        <w:jc w:val="center"/>
        <w:rPr>
          <w:rFonts w:ascii="Times New Roman"/>
          <w:b/>
          <w:szCs w:val="24"/>
        </w:rPr>
      </w:pPr>
      <w:r>
        <w:rPr>
          <w:rFonts w:ascii="Times New Roman"/>
          <w:b/>
          <w:position w:val="-34"/>
          <w:szCs w:val="24"/>
        </w:rPr>
        <w:drawing>
          <wp:inline distT="0" distB="0" distL="114300" distR="114300">
            <wp:extent cx="1645920" cy="564515"/>
            <wp:effectExtent l="0" t="0" r="0" b="762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57"/>
                    <a:stretch>
                      <a:fillRect/>
                    </a:stretch>
                  </pic:blipFill>
                  <pic:spPr>
                    <a:xfrm>
                      <a:off x="0" y="0"/>
                      <a:ext cx="1645920" cy="564515"/>
                    </a:xfrm>
                    <a:prstGeom prst="rect">
                      <a:avLst/>
                    </a:prstGeom>
                    <a:noFill/>
                    <a:ln>
                      <a:noFill/>
                    </a:ln>
                  </pic:spPr>
                </pic:pic>
              </a:graphicData>
            </a:graphic>
          </wp:inline>
        </w:drawing>
      </w:r>
    </w:p>
    <w:p w14:paraId="0A9598F3">
      <w:pPr>
        <w:spacing w:line="360" w:lineRule="auto"/>
        <w:ind w:firstLine="480" w:firstLineChars="200"/>
        <w:jc w:val="left"/>
        <w:rPr>
          <w:rFonts w:ascii="Times New Roman"/>
          <w:sz w:val="24"/>
          <w:szCs w:val="24"/>
        </w:rPr>
      </w:pPr>
      <w:r>
        <w:rPr>
          <w:rFonts w:ascii="Times New Roman"/>
          <w:sz w:val="24"/>
          <w:szCs w:val="24"/>
        </w:rPr>
        <w:t>式中：C(x,t)—t时刻x处的示踪剂浓度，mg/L；</w:t>
      </w:r>
    </w:p>
    <w:p w14:paraId="173B1D21">
      <w:pPr>
        <w:spacing w:line="360" w:lineRule="auto"/>
        <w:ind w:firstLine="1200" w:firstLineChars="500"/>
        <w:rPr>
          <w:rFonts w:ascii="Times New Roman"/>
          <w:sz w:val="24"/>
          <w:szCs w:val="24"/>
        </w:rPr>
      </w:pPr>
      <w:r>
        <w:rPr>
          <w:rFonts w:ascii="Times New Roman"/>
          <w:sz w:val="24"/>
          <w:szCs w:val="24"/>
        </w:rPr>
        <w:t>x—距污染物注入点的距离，m；</w:t>
      </w:r>
    </w:p>
    <w:p w14:paraId="3533DE2E">
      <w:pPr>
        <w:spacing w:line="360" w:lineRule="auto"/>
        <w:ind w:firstLine="480" w:firstLineChars="200"/>
        <w:rPr>
          <w:rFonts w:ascii="Times New Roman"/>
          <w:sz w:val="24"/>
          <w:szCs w:val="24"/>
        </w:rPr>
      </w:pPr>
      <w:r>
        <w:rPr>
          <w:rFonts w:ascii="Times New Roman"/>
          <w:sz w:val="24"/>
          <w:szCs w:val="24"/>
        </w:rPr>
        <w:t xml:space="preserve">      t—时间，d；</w:t>
      </w:r>
    </w:p>
    <w:p w14:paraId="0AD764E9">
      <w:pPr>
        <w:spacing w:line="360" w:lineRule="auto"/>
        <w:ind w:firstLine="480" w:firstLineChars="200"/>
        <w:rPr>
          <w:rFonts w:ascii="Times New Roman"/>
          <w:sz w:val="24"/>
          <w:szCs w:val="24"/>
        </w:rPr>
      </w:pPr>
      <w:r>
        <w:rPr>
          <w:rFonts w:ascii="Times New Roman"/>
          <w:sz w:val="24"/>
          <w:szCs w:val="24"/>
        </w:rPr>
        <w:t xml:space="preserve">      m—注入的示踪剂质量，kg；</w:t>
      </w:r>
    </w:p>
    <w:p w14:paraId="79262654">
      <w:pPr>
        <w:spacing w:line="360" w:lineRule="auto"/>
        <w:ind w:firstLine="480" w:firstLineChars="200"/>
        <w:rPr>
          <w:rFonts w:ascii="Times New Roman"/>
          <w:sz w:val="24"/>
          <w:szCs w:val="24"/>
        </w:rPr>
      </w:pPr>
      <w:r>
        <w:rPr>
          <w:rFonts w:ascii="Times New Roman"/>
          <w:sz w:val="24"/>
          <w:szCs w:val="24"/>
        </w:rPr>
        <w:t xml:space="preserve">      w—横截面面积，m</w:t>
      </w:r>
      <w:r>
        <w:rPr>
          <w:rFonts w:ascii="Times New Roman"/>
          <w:sz w:val="24"/>
          <w:szCs w:val="24"/>
          <w:vertAlign w:val="superscript"/>
        </w:rPr>
        <w:t>2</w:t>
      </w:r>
      <w:r>
        <w:rPr>
          <w:rFonts w:ascii="Times New Roman"/>
          <w:sz w:val="24"/>
          <w:szCs w:val="24"/>
        </w:rPr>
        <w:t>；</w:t>
      </w:r>
    </w:p>
    <w:p w14:paraId="05369AA7">
      <w:pPr>
        <w:spacing w:line="360" w:lineRule="auto"/>
        <w:ind w:firstLine="480" w:firstLineChars="200"/>
        <w:rPr>
          <w:rFonts w:ascii="Times New Roman"/>
          <w:sz w:val="24"/>
          <w:szCs w:val="24"/>
          <w:lang w:val="nl-BE"/>
        </w:rPr>
      </w:pPr>
      <w:r>
        <w:rPr>
          <w:rFonts w:ascii="Times New Roman"/>
          <w:sz w:val="24"/>
          <w:szCs w:val="24"/>
          <w:lang w:val="nl-BE"/>
        </w:rPr>
        <w:t xml:space="preserve">      u—</w:t>
      </w:r>
      <w:r>
        <w:rPr>
          <w:rFonts w:ascii="Times New Roman"/>
          <w:sz w:val="24"/>
          <w:szCs w:val="24"/>
        </w:rPr>
        <w:t>水流速度</w:t>
      </w:r>
      <w:r>
        <w:rPr>
          <w:rFonts w:ascii="Times New Roman"/>
          <w:sz w:val="24"/>
          <w:szCs w:val="24"/>
          <w:lang w:val="nl-BE"/>
        </w:rPr>
        <w:t>，m/d；</w:t>
      </w:r>
      <w:r>
        <w:rPr>
          <w:rFonts w:ascii="Times New Roman"/>
          <w:sz w:val="24"/>
          <w:szCs w:val="24"/>
        </w:rPr>
        <w:t>采用经验公式u=KI/</w:t>
      </w:r>
      <w:r>
        <w:rPr>
          <w:rFonts w:ascii="Times New Roman"/>
          <w:position w:val="-12"/>
          <w:sz w:val="24"/>
          <w:szCs w:val="24"/>
        </w:rPr>
        <w:drawing>
          <wp:inline distT="0" distB="0" distL="114300" distR="114300">
            <wp:extent cx="177165" cy="228600"/>
            <wp:effectExtent l="0" t="0" r="13335" b="0"/>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pic:cNvPicPr>
                  </pic:nvPicPr>
                  <pic:blipFill>
                    <a:blip r:embed="rId58" cstate="print"/>
                    <a:stretch>
                      <a:fillRect/>
                    </a:stretch>
                  </pic:blipFill>
                  <pic:spPr>
                    <a:xfrm>
                      <a:off x="0" y="0"/>
                      <a:ext cx="177165" cy="228600"/>
                    </a:xfrm>
                    <a:prstGeom prst="rect">
                      <a:avLst/>
                    </a:prstGeom>
                    <a:noFill/>
                    <a:ln w="9525">
                      <a:noFill/>
                    </a:ln>
                  </pic:spPr>
                </pic:pic>
              </a:graphicData>
            </a:graphic>
          </wp:inline>
        </w:drawing>
      </w:r>
      <w:r>
        <w:rPr>
          <w:rFonts w:ascii="Times New Roman"/>
          <w:sz w:val="24"/>
          <w:szCs w:val="24"/>
        </w:rPr>
        <w:t>，K为含水层渗透系数，I为地下水水力坡度，</w:t>
      </w:r>
      <w:r>
        <w:rPr>
          <w:rFonts w:ascii="Times New Roman"/>
          <w:position w:val="-12"/>
          <w:sz w:val="24"/>
          <w:szCs w:val="24"/>
        </w:rPr>
        <w:drawing>
          <wp:inline distT="0" distB="0" distL="114300" distR="114300">
            <wp:extent cx="177165" cy="228600"/>
            <wp:effectExtent l="0" t="0" r="13335" b="0"/>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59" cstate="print"/>
                    <a:stretch>
                      <a:fillRect/>
                    </a:stretch>
                  </pic:blipFill>
                  <pic:spPr>
                    <a:xfrm>
                      <a:off x="0" y="0"/>
                      <a:ext cx="177165" cy="228600"/>
                    </a:xfrm>
                    <a:prstGeom prst="rect">
                      <a:avLst/>
                    </a:prstGeom>
                    <a:noFill/>
                    <a:ln w="9525">
                      <a:noFill/>
                    </a:ln>
                  </pic:spPr>
                </pic:pic>
              </a:graphicData>
            </a:graphic>
          </wp:inline>
        </w:drawing>
      </w:r>
      <w:r>
        <w:rPr>
          <w:rFonts w:ascii="Times New Roman"/>
          <w:sz w:val="24"/>
          <w:szCs w:val="24"/>
        </w:rPr>
        <w:t>为有效孔隙率；</w:t>
      </w:r>
    </w:p>
    <w:p w14:paraId="4A1E4D41">
      <w:pPr>
        <w:spacing w:line="360" w:lineRule="auto"/>
        <w:ind w:firstLine="480" w:firstLineChars="200"/>
        <w:rPr>
          <w:rFonts w:ascii="Times New Roman"/>
          <w:sz w:val="24"/>
          <w:szCs w:val="24"/>
        </w:rPr>
      </w:pPr>
      <w:r>
        <w:rPr>
          <w:rFonts w:ascii="Times New Roman"/>
          <w:sz w:val="24"/>
          <w:szCs w:val="24"/>
          <w:lang w:val="nl-BE"/>
        </w:rPr>
        <w:t xml:space="preserve">      </w:t>
      </w:r>
      <w:r>
        <w:rPr>
          <w:rFonts w:ascii="Times New Roman"/>
          <w:sz w:val="24"/>
          <w:szCs w:val="24"/>
        </w:rPr>
        <w:t>n</w:t>
      </w:r>
      <w:r>
        <w:rPr>
          <w:rFonts w:ascii="Times New Roman"/>
          <w:sz w:val="24"/>
          <w:szCs w:val="24"/>
          <w:vertAlign w:val="subscript"/>
        </w:rPr>
        <w:t>e</w:t>
      </w:r>
      <w:r>
        <w:rPr>
          <w:rFonts w:ascii="Times New Roman"/>
          <w:sz w:val="24"/>
          <w:szCs w:val="24"/>
        </w:rPr>
        <w:t>—有效孔隙度，无量纲；</w:t>
      </w:r>
    </w:p>
    <w:p w14:paraId="196CE29B">
      <w:pPr>
        <w:spacing w:line="360" w:lineRule="auto"/>
        <w:ind w:firstLine="480" w:firstLineChars="200"/>
        <w:rPr>
          <w:rFonts w:ascii="Times New Roman"/>
          <w:sz w:val="24"/>
          <w:szCs w:val="24"/>
        </w:rPr>
      </w:pPr>
      <w:r>
        <w:rPr>
          <w:rFonts w:ascii="Times New Roman"/>
          <w:sz w:val="24"/>
          <w:szCs w:val="24"/>
        </w:rPr>
        <w:t xml:space="preserve">      D</w:t>
      </w:r>
      <w:r>
        <w:rPr>
          <w:rFonts w:ascii="Times New Roman"/>
          <w:sz w:val="24"/>
          <w:szCs w:val="24"/>
          <w:vertAlign w:val="subscript"/>
        </w:rPr>
        <w:t>L</w:t>
      </w:r>
      <w:r>
        <w:rPr>
          <w:rFonts w:ascii="Times New Roman"/>
          <w:sz w:val="24"/>
          <w:szCs w:val="24"/>
        </w:rPr>
        <w:t>—弥散系数，m</w:t>
      </w:r>
      <w:r>
        <w:rPr>
          <w:rFonts w:ascii="Times New Roman"/>
          <w:sz w:val="24"/>
          <w:szCs w:val="24"/>
          <w:vertAlign w:val="superscript"/>
        </w:rPr>
        <w:t>2</w:t>
      </w:r>
      <w:r>
        <w:rPr>
          <w:rFonts w:ascii="Times New Roman"/>
          <w:sz w:val="24"/>
          <w:szCs w:val="24"/>
        </w:rPr>
        <w:t>/d，取</w:t>
      </w:r>
      <w:r>
        <w:rPr>
          <w:rFonts w:hint="eastAsia"/>
          <w:sz w:val="24"/>
          <w:szCs w:val="24"/>
        </w:rPr>
        <w:t>1</w:t>
      </w:r>
      <w:r>
        <w:rPr>
          <w:rFonts w:ascii="Times New Roman"/>
          <w:sz w:val="24"/>
          <w:szCs w:val="24"/>
        </w:rPr>
        <w:t>m</w:t>
      </w:r>
      <w:r>
        <w:rPr>
          <w:rFonts w:ascii="Times New Roman"/>
          <w:sz w:val="24"/>
          <w:szCs w:val="24"/>
          <w:vertAlign w:val="superscript"/>
        </w:rPr>
        <w:t>2</w:t>
      </w:r>
      <w:r>
        <w:rPr>
          <w:rFonts w:ascii="Times New Roman"/>
          <w:sz w:val="24"/>
          <w:szCs w:val="24"/>
        </w:rPr>
        <w:t>/d；</w:t>
      </w:r>
    </w:p>
    <w:p w14:paraId="54338247">
      <w:pPr>
        <w:adjustRightInd w:val="0"/>
        <w:snapToGrid w:val="0"/>
        <w:spacing w:line="360" w:lineRule="auto"/>
        <w:ind w:firstLine="480" w:firstLineChars="200"/>
        <w:rPr>
          <w:rFonts w:ascii="Times New Roman"/>
          <w:sz w:val="24"/>
          <w:szCs w:val="24"/>
          <w:lang w:val="nl-BE"/>
        </w:rPr>
      </w:pPr>
      <w:r>
        <w:rPr>
          <w:rFonts w:ascii="Times New Roman"/>
          <w:sz w:val="24"/>
          <w:szCs w:val="24"/>
        </w:rPr>
        <w:t xml:space="preserve">   </w:t>
      </w:r>
      <w:r>
        <w:rPr>
          <w:rFonts w:ascii="Times New Roman"/>
          <w:sz w:val="24"/>
          <w:szCs w:val="24"/>
          <w:lang w:val="nl-BE"/>
        </w:rPr>
        <w:t xml:space="preserve">   π—圆周率，取3.14。</w:t>
      </w:r>
    </w:p>
    <w:p w14:paraId="22420D70">
      <w:pPr>
        <w:adjustRightInd w:val="0"/>
        <w:snapToGrid w:val="0"/>
        <w:spacing w:line="360" w:lineRule="auto"/>
        <w:ind w:firstLine="502" w:firstLineChars="200"/>
        <w:outlineLvl w:val="3"/>
        <w:rPr>
          <w:rFonts w:ascii="Times New Roman"/>
          <w:b/>
          <w:spacing w:val="5"/>
          <w:sz w:val="24"/>
          <w:szCs w:val="24"/>
        </w:rPr>
      </w:pPr>
      <w:r>
        <w:rPr>
          <w:rFonts w:ascii="Times New Roman"/>
          <w:b/>
          <w:spacing w:val="5"/>
          <w:sz w:val="24"/>
          <w:szCs w:val="24"/>
        </w:rPr>
        <w:t>（5）预测情景设定</w:t>
      </w:r>
    </w:p>
    <w:p w14:paraId="76B04987">
      <w:pPr>
        <w:adjustRightInd w:val="0"/>
        <w:snapToGrid w:val="0"/>
        <w:spacing w:line="360" w:lineRule="auto"/>
        <w:ind w:firstLine="500" w:firstLineChars="200"/>
        <w:rPr>
          <w:rFonts w:ascii="Times New Roman"/>
          <w:szCs w:val="24"/>
        </w:rPr>
      </w:pPr>
      <w:r>
        <w:rPr>
          <w:rFonts w:ascii="Times New Roman"/>
          <w:szCs w:val="24"/>
        </w:rPr>
        <w:t>本次模拟预测，根据项目运行期污染源分析的情景设计，在选定优先控制污染物的基础上，对地下水污染物的运移距离、超标范围进行模拟预测，污染情景的源强数据通过工程分析类比调查予以确定。</w:t>
      </w:r>
    </w:p>
    <w:p w14:paraId="0DD51CDD">
      <w:pPr>
        <w:adjustRightInd w:val="0"/>
        <w:snapToGrid w:val="0"/>
        <w:spacing w:line="360" w:lineRule="auto"/>
        <w:ind w:firstLine="500" w:firstLineChars="200"/>
        <w:rPr>
          <w:rFonts w:ascii="Times New Roman"/>
          <w:szCs w:val="24"/>
        </w:rPr>
      </w:pPr>
      <w:r>
        <w:rPr>
          <w:rFonts w:ascii="Times New Roman"/>
          <w:szCs w:val="24"/>
        </w:rPr>
        <w:t>非正常状况下，项目污水处理站及管道底部腐蚀老化，污水有部分泄漏，不易被发现，如不及时修复引起</w:t>
      </w:r>
      <w:r>
        <w:rPr>
          <w:rFonts w:hint="eastAsia" w:ascii="Times New Roman"/>
          <w:szCs w:val="24"/>
        </w:rPr>
        <w:t>废水</w:t>
      </w:r>
      <w:r>
        <w:rPr>
          <w:rFonts w:ascii="Times New Roman"/>
          <w:szCs w:val="24"/>
        </w:rPr>
        <w:t>下渗，对地下水造成影响。本评价选取污水处理站</w:t>
      </w:r>
      <w:r>
        <w:rPr>
          <w:rFonts w:hint="eastAsia" w:ascii="Times New Roman"/>
          <w:szCs w:val="24"/>
        </w:rPr>
        <w:t>废水</w:t>
      </w:r>
      <w:r>
        <w:rPr>
          <w:rFonts w:ascii="Times New Roman"/>
          <w:szCs w:val="24"/>
        </w:rPr>
        <w:t>泄漏情景</w:t>
      </w:r>
      <w:r>
        <w:rPr>
          <w:rFonts w:hint="eastAsia" w:ascii="Times New Roman"/>
          <w:szCs w:val="24"/>
        </w:rPr>
        <w:t>，对废水主要污染物质</w:t>
      </w:r>
      <w:r>
        <w:rPr>
          <w:rFonts w:ascii="Times New Roman"/>
          <w:szCs w:val="24"/>
        </w:rPr>
        <w:t>COD、</w:t>
      </w:r>
      <w:r>
        <w:rPr>
          <w:rFonts w:hint="eastAsia" w:ascii="Times New Roman"/>
          <w:szCs w:val="24"/>
        </w:rPr>
        <w:t>石油类</w:t>
      </w:r>
      <w:r>
        <w:rPr>
          <w:rFonts w:ascii="Times New Roman"/>
          <w:szCs w:val="24"/>
        </w:rPr>
        <w:t>进行预测分析。</w:t>
      </w:r>
    </w:p>
    <w:p w14:paraId="4BC4EF04">
      <w:pPr>
        <w:adjustRightInd w:val="0"/>
        <w:snapToGrid w:val="0"/>
        <w:spacing w:line="360" w:lineRule="auto"/>
        <w:ind w:firstLine="482" w:firstLineChars="200"/>
        <w:rPr>
          <w:rFonts w:ascii="Times New Roman"/>
          <w:b/>
          <w:bCs/>
          <w:sz w:val="24"/>
          <w:szCs w:val="24"/>
        </w:rPr>
      </w:pPr>
      <w:r>
        <w:rPr>
          <w:rFonts w:hint="eastAsia" w:ascii="Times New Roman"/>
          <w:b/>
          <w:bCs/>
          <w:sz w:val="24"/>
          <w:szCs w:val="24"/>
        </w:rPr>
        <w:t>参数选取：</w:t>
      </w:r>
    </w:p>
    <w:p w14:paraId="0C166254">
      <w:pPr>
        <w:adjustRightInd w:val="0"/>
        <w:snapToGrid w:val="0"/>
        <w:spacing w:line="360" w:lineRule="auto"/>
        <w:ind w:firstLine="480" w:firstLineChars="200"/>
        <w:rPr>
          <w:rFonts w:ascii="Times New Roman"/>
          <w:sz w:val="24"/>
          <w:szCs w:val="24"/>
        </w:rPr>
      </w:pPr>
      <w:r>
        <w:rPr>
          <w:rFonts w:ascii="Times New Roman"/>
          <w:sz w:val="24"/>
          <w:szCs w:val="24"/>
          <w:lang w:val="zh-CN"/>
        </w:rPr>
        <w:t>①</w:t>
      </w:r>
      <w:r>
        <w:rPr>
          <w:rFonts w:ascii="Times New Roman"/>
          <w:sz w:val="24"/>
          <w:szCs w:val="24"/>
        </w:rPr>
        <w:t>注入的示踪剂质量m</w:t>
      </w:r>
    </w:p>
    <w:p w14:paraId="2EC7BE93">
      <w:pPr>
        <w:adjustRightInd w:val="0"/>
        <w:snapToGrid w:val="0"/>
        <w:spacing w:line="360" w:lineRule="auto"/>
        <w:ind w:firstLine="480" w:firstLineChars="200"/>
        <w:rPr>
          <w:rFonts w:ascii="Times New Roman"/>
          <w:sz w:val="24"/>
          <w:szCs w:val="24"/>
        </w:rPr>
      </w:pPr>
      <w:r>
        <w:rPr>
          <w:rFonts w:ascii="Times New Roman"/>
          <w:sz w:val="24"/>
          <w:szCs w:val="24"/>
        </w:rPr>
        <w:t>每天渗入地下</w:t>
      </w:r>
      <w:r>
        <w:rPr>
          <w:rFonts w:hint="eastAsia" w:ascii="Times New Roman"/>
          <w:sz w:val="24"/>
          <w:szCs w:val="24"/>
        </w:rPr>
        <w:t>1.2</w:t>
      </w:r>
      <w:r>
        <w:rPr>
          <w:rFonts w:ascii="Times New Roman"/>
          <w:sz w:val="24"/>
          <w:szCs w:val="24"/>
        </w:rPr>
        <w:t>m</w:t>
      </w:r>
      <w:r>
        <w:rPr>
          <w:rFonts w:hint="eastAsia" w:ascii="Times New Roman"/>
          <w:sz w:val="24"/>
          <w:szCs w:val="24"/>
          <w:vertAlign w:val="superscript"/>
        </w:rPr>
        <w:t>3</w:t>
      </w:r>
      <w:r>
        <w:rPr>
          <w:rFonts w:ascii="Times New Roman"/>
          <w:sz w:val="24"/>
          <w:szCs w:val="24"/>
        </w:rPr>
        <w:t>未经处理的污水，</w:t>
      </w:r>
      <w:r>
        <w:rPr>
          <w:rFonts w:hint="eastAsia" w:ascii="Times New Roman"/>
          <w:sz w:val="24"/>
          <w:szCs w:val="24"/>
        </w:rPr>
        <w:t>废水主要污染物质</w:t>
      </w:r>
      <w:r>
        <w:rPr>
          <w:rFonts w:ascii="Times New Roman"/>
          <w:sz w:val="24"/>
          <w:szCs w:val="24"/>
        </w:rPr>
        <w:t>COD</w:t>
      </w:r>
      <w:r>
        <w:rPr>
          <w:rFonts w:hint="eastAsia" w:ascii="Times New Roman"/>
          <w:sz w:val="24"/>
          <w:szCs w:val="24"/>
        </w:rPr>
        <w:t>600mg/L</w:t>
      </w:r>
      <w:r>
        <w:rPr>
          <w:rFonts w:ascii="Times New Roman"/>
          <w:sz w:val="24"/>
          <w:szCs w:val="24"/>
        </w:rPr>
        <w:t>、</w:t>
      </w:r>
      <w:r>
        <w:rPr>
          <w:rFonts w:hint="eastAsia" w:ascii="Times New Roman"/>
          <w:sz w:val="24"/>
          <w:szCs w:val="24"/>
        </w:rPr>
        <w:t>石油类15mg/L</w:t>
      </w:r>
      <w:r>
        <w:rPr>
          <w:rFonts w:ascii="Times New Roman"/>
          <w:sz w:val="24"/>
          <w:szCs w:val="24"/>
        </w:rPr>
        <w:t>，</w:t>
      </w:r>
      <w:r>
        <w:rPr>
          <w:rFonts w:hint="eastAsia" w:ascii="Times New Roman"/>
          <w:sz w:val="24"/>
          <w:szCs w:val="24"/>
        </w:rPr>
        <w:t>则</w:t>
      </w:r>
      <w:r>
        <w:rPr>
          <w:rFonts w:ascii="Times New Roman"/>
          <w:sz w:val="24"/>
          <w:szCs w:val="24"/>
        </w:rPr>
        <w:t>COD渗入量为</w:t>
      </w:r>
      <w:r>
        <w:rPr>
          <w:rFonts w:hint="eastAsia" w:ascii="Times New Roman"/>
          <w:sz w:val="24"/>
          <w:szCs w:val="24"/>
        </w:rPr>
        <w:t>0.72</w:t>
      </w:r>
      <w:r>
        <w:rPr>
          <w:rFonts w:ascii="Times New Roman"/>
          <w:sz w:val="24"/>
          <w:szCs w:val="24"/>
        </w:rPr>
        <w:t>kg</w:t>
      </w:r>
      <w:r>
        <w:rPr>
          <w:rFonts w:hint="eastAsia" w:ascii="Times New Roman"/>
          <w:sz w:val="24"/>
          <w:szCs w:val="24"/>
        </w:rPr>
        <w:t>；石油类</w:t>
      </w:r>
      <w:r>
        <w:rPr>
          <w:rFonts w:ascii="Times New Roman"/>
          <w:sz w:val="24"/>
          <w:szCs w:val="24"/>
        </w:rPr>
        <w:t>渗入量</w:t>
      </w:r>
      <w:r>
        <w:rPr>
          <w:rFonts w:hint="eastAsia" w:ascii="Times New Roman"/>
          <w:sz w:val="24"/>
          <w:szCs w:val="24"/>
        </w:rPr>
        <w:t>为0.018kg</w:t>
      </w:r>
      <w:r>
        <w:rPr>
          <w:rFonts w:ascii="Times New Roman"/>
          <w:sz w:val="24"/>
          <w:szCs w:val="24"/>
        </w:rPr>
        <w:t>。</w:t>
      </w:r>
    </w:p>
    <w:p w14:paraId="4B1F528A">
      <w:pPr>
        <w:adjustRightInd w:val="0"/>
        <w:snapToGrid w:val="0"/>
        <w:spacing w:line="360" w:lineRule="auto"/>
        <w:ind w:firstLine="480" w:firstLineChars="200"/>
        <w:rPr>
          <w:rFonts w:ascii="Times New Roman"/>
          <w:sz w:val="24"/>
          <w:szCs w:val="24"/>
        </w:rPr>
      </w:pPr>
      <w:r>
        <w:rPr>
          <w:rFonts w:ascii="Times New Roman"/>
          <w:sz w:val="24"/>
          <w:szCs w:val="24"/>
        </w:rPr>
        <w:t>②横截面面积w：</w:t>
      </w:r>
      <w:r>
        <w:rPr>
          <w:rFonts w:hint="eastAsia" w:ascii="Times New Roman"/>
          <w:sz w:val="24"/>
          <w:szCs w:val="24"/>
        </w:rPr>
        <w:t>污水处理站</w:t>
      </w:r>
      <w:r>
        <w:rPr>
          <w:rFonts w:hint="eastAsia"/>
        </w:rPr>
        <w:t>硅烷电泳浓液收集槽</w:t>
      </w:r>
      <w:r>
        <w:rPr>
          <w:rFonts w:ascii="Times New Roman"/>
          <w:sz w:val="24"/>
          <w:szCs w:val="24"/>
        </w:rPr>
        <w:t>横截面面积取</w:t>
      </w:r>
      <w:r>
        <w:rPr>
          <w:rFonts w:hint="eastAsia" w:ascii="Times New Roman"/>
          <w:sz w:val="24"/>
          <w:szCs w:val="24"/>
        </w:rPr>
        <w:t>8.55</w:t>
      </w:r>
      <w:r>
        <w:rPr>
          <w:rFonts w:ascii="Times New Roman"/>
          <w:sz w:val="24"/>
          <w:szCs w:val="24"/>
        </w:rPr>
        <w:t>m</w:t>
      </w:r>
      <w:r>
        <w:rPr>
          <w:rFonts w:ascii="Times New Roman"/>
          <w:sz w:val="24"/>
          <w:szCs w:val="24"/>
          <w:vertAlign w:val="superscript"/>
        </w:rPr>
        <w:t>2</w:t>
      </w:r>
      <w:r>
        <w:rPr>
          <w:rFonts w:ascii="Times New Roman"/>
          <w:sz w:val="24"/>
          <w:szCs w:val="24"/>
        </w:rPr>
        <w:t>。</w:t>
      </w:r>
    </w:p>
    <w:p w14:paraId="6693ABCF">
      <w:pPr>
        <w:adjustRightInd w:val="0"/>
        <w:snapToGrid w:val="0"/>
        <w:spacing w:line="360" w:lineRule="auto"/>
        <w:ind w:firstLine="480" w:firstLineChars="200"/>
        <w:rPr>
          <w:rFonts w:ascii="Times New Roman"/>
          <w:sz w:val="24"/>
          <w:szCs w:val="24"/>
        </w:rPr>
      </w:pPr>
      <w:r>
        <w:rPr>
          <w:rFonts w:ascii="Times New Roman"/>
          <w:sz w:val="24"/>
          <w:szCs w:val="24"/>
          <w:lang w:val="zh-CN"/>
        </w:rPr>
        <w:t>③</w:t>
      </w:r>
      <w:r>
        <w:rPr>
          <w:rFonts w:ascii="Times New Roman"/>
          <w:sz w:val="24"/>
          <w:szCs w:val="24"/>
        </w:rPr>
        <w:t>水流速度u</w:t>
      </w:r>
    </w:p>
    <w:p w14:paraId="72AE3669">
      <w:pPr>
        <w:adjustRightInd w:val="0"/>
        <w:snapToGrid w:val="0"/>
        <w:spacing w:line="360" w:lineRule="auto"/>
        <w:ind w:firstLine="480" w:firstLineChars="200"/>
        <w:rPr>
          <w:rFonts w:ascii="Times New Roman"/>
          <w:sz w:val="24"/>
          <w:szCs w:val="24"/>
        </w:rPr>
      </w:pPr>
      <w:r>
        <w:rPr>
          <w:rFonts w:ascii="Times New Roman"/>
          <w:sz w:val="24"/>
          <w:szCs w:val="24"/>
        </w:rPr>
        <w:t>参照地下水导则附录B，潜水含水层平均渗透系数K取值为2.5m/d。水力坡度I为0.5‰，因此地下水的渗透流速u=K×I/n=2.5m/d×0.5‰÷0.2=0.00625m/d</w:t>
      </w:r>
      <w:r>
        <w:rPr>
          <w:rFonts w:hint="eastAsia" w:ascii="Times New Roman"/>
          <w:sz w:val="24"/>
          <w:szCs w:val="24"/>
        </w:rPr>
        <w:t>。</w:t>
      </w:r>
    </w:p>
    <w:p w14:paraId="5A97BE8D">
      <w:pPr>
        <w:adjustRightInd w:val="0"/>
        <w:snapToGrid w:val="0"/>
        <w:spacing w:line="360" w:lineRule="auto"/>
        <w:ind w:firstLine="480" w:firstLineChars="200"/>
        <w:rPr>
          <w:rFonts w:ascii="Times New Roman"/>
          <w:sz w:val="24"/>
          <w:szCs w:val="24"/>
        </w:rPr>
      </w:pPr>
      <w:r>
        <w:rPr>
          <w:rFonts w:hint="eastAsia" w:ascii="Times New Roman"/>
          <w:sz w:val="24"/>
          <w:szCs w:val="24"/>
        </w:rPr>
        <w:t>④</w:t>
      </w:r>
      <w:r>
        <w:rPr>
          <w:rFonts w:ascii="Times New Roman"/>
          <w:sz w:val="24"/>
          <w:szCs w:val="24"/>
        </w:rPr>
        <w:t>有效孔隙度n：评价区潜水含水层岩性以砂壤土为主，取砂壤土有效孔隙度经验值。依据前人研究成果（《多孔介质流体力学》，李竟生等译），“对于均质各向同性的潜水含水水层，有效孔隙度在数值上等于给水度”，参照《环境影响评价技术导则 地下水环境》（HJ610-2016）附录B，保守起见，取细砂给水度为0.18，即有效孔隙度为0.18。</w:t>
      </w:r>
    </w:p>
    <w:p w14:paraId="4F7723FA">
      <w:pPr>
        <w:adjustRightInd w:val="0"/>
        <w:snapToGrid w:val="0"/>
        <w:spacing w:line="360" w:lineRule="auto"/>
        <w:ind w:firstLine="502" w:firstLineChars="200"/>
        <w:outlineLvl w:val="3"/>
        <w:rPr>
          <w:rFonts w:ascii="Times New Roman"/>
          <w:b/>
          <w:spacing w:val="5"/>
          <w:sz w:val="24"/>
          <w:szCs w:val="24"/>
        </w:rPr>
      </w:pPr>
      <w:r>
        <w:rPr>
          <w:rFonts w:ascii="Times New Roman"/>
          <w:b/>
          <w:spacing w:val="5"/>
          <w:sz w:val="24"/>
          <w:szCs w:val="24"/>
        </w:rPr>
        <w:t>（6）预测结果及分析</w:t>
      </w:r>
    </w:p>
    <w:p w14:paraId="62BE20FE">
      <w:pPr>
        <w:adjustRightInd w:val="0"/>
        <w:snapToGrid w:val="0"/>
        <w:spacing w:line="360" w:lineRule="auto"/>
        <w:ind w:firstLine="500" w:firstLineChars="200"/>
        <w:rPr>
          <w:rFonts w:ascii="Times New Roman"/>
          <w:szCs w:val="24"/>
        </w:rPr>
      </w:pPr>
      <w:r>
        <w:rPr>
          <w:rFonts w:ascii="Times New Roman"/>
          <w:szCs w:val="24"/>
        </w:rPr>
        <w:t>1）预测结果</w:t>
      </w:r>
    </w:p>
    <w:p w14:paraId="13E720CD">
      <w:pPr>
        <w:autoSpaceDN w:val="0"/>
        <w:spacing w:line="360" w:lineRule="auto"/>
        <w:ind w:firstLine="500" w:firstLineChars="200"/>
        <w:rPr>
          <w:rFonts w:ascii="Times New Roman"/>
          <w:szCs w:val="22"/>
        </w:rPr>
      </w:pPr>
      <w:r>
        <w:rPr>
          <w:rFonts w:ascii="Times New Roman"/>
          <w:szCs w:val="22"/>
        </w:rPr>
        <w:t>将确定的参数代入预测模型，便可以求出含水层不同位置，任何时刻预测因二甲苯、石油类的分布情况。预测结果见表</w:t>
      </w:r>
      <w:r>
        <w:rPr>
          <w:rFonts w:hint="eastAsia" w:ascii="Times New Roman"/>
          <w:szCs w:val="22"/>
        </w:rPr>
        <w:t>5.2.3.1</w:t>
      </w:r>
      <w:r>
        <w:rPr>
          <w:rFonts w:ascii="Times New Roman"/>
          <w:szCs w:val="22"/>
        </w:rPr>
        <w:t>和图</w:t>
      </w:r>
      <w:r>
        <w:rPr>
          <w:rFonts w:hint="eastAsia" w:ascii="Times New Roman"/>
          <w:szCs w:val="22"/>
        </w:rPr>
        <w:t>5.2.3.7</w:t>
      </w:r>
      <w:r>
        <w:rPr>
          <w:rFonts w:ascii="Times New Roman"/>
          <w:szCs w:val="22"/>
        </w:rPr>
        <w:t>、图</w:t>
      </w:r>
      <w:r>
        <w:rPr>
          <w:rFonts w:hint="eastAsia" w:ascii="Times New Roman"/>
          <w:szCs w:val="22"/>
        </w:rPr>
        <w:t>5.2.3.8</w:t>
      </w:r>
      <w:r>
        <w:rPr>
          <w:rFonts w:ascii="Times New Roman"/>
          <w:szCs w:val="22"/>
        </w:rPr>
        <w:t>。</w:t>
      </w:r>
    </w:p>
    <w:p w14:paraId="4AAD76B4">
      <w:pPr>
        <w:autoSpaceDN w:val="0"/>
        <w:spacing w:line="360" w:lineRule="auto"/>
        <w:jc w:val="center"/>
        <w:rPr>
          <w:rFonts w:ascii="Times New Roman"/>
          <w:szCs w:val="22"/>
        </w:rPr>
      </w:pPr>
      <w:r>
        <w:drawing>
          <wp:inline distT="0" distB="0" distL="114300" distR="114300">
            <wp:extent cx="4417695" cy="2891790"/>
            <wp:effectExtent l="4445" t="4445" r="16510" b="18415"/>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2901E3">
      <w:pPr>
        <w:spacing w:line="440" w:lineRule="exact"/>
        <w:jc w:val="center"/>
        <w:rPr>
          <w:rFonts w:ascii="Times New Roman"/>
          <w:b/>
          <w:kern w:val="0"/>
          <w:sz w:val="24"/>
          <w:szCs w:val="20"/>
          <w:lang w:val="zh-CN"/>
        </w:rPr>
      </w:pPr>
      <w:r>
        <w:rPr>
          <w:rFonts w:ascii="Times New Roman"/>
          <w:b/>
          <w:kern w:val="0"/>
          <w:sz w:val="24"/>
          <w:szCs w:val="20"/>
          <w:lang w:val="zh-CN"/>
        </w:rPr>
        <w:t>图</w:t>
      </w:r>
      <w:r>
        <w:rPr>
          <w:rFonts w:hint="eastAsia" w:ascii="Times New Roman"/>
          <w:b/>
          <w:kern w:val="0"/>
          <w:sz w:val="24"/>
          <w:szCs w:val="20"/>
        </w:rPr>
        <w:t>5.2.3.7</w:t>
      </w:r>
      <w:r>
        <w:rPr>
          <w:rFonts w:ascii="Times New Roman"/>
          <w:b/>
          <w:kern w:val="0"/>
          <w:sz w:val="24"/>
          <w:szCs w:val="20"/>
          <w:lang w:val="zh-CN"/>
        </w:rPr>
        <w:t xml:space="preserve">  </w:t>
      </w:r>
      <w:r>
        <w:rPr>
          <w:rFonts w:hint="eastAsia" w:ascii="Times New Roman"/>
          <w:b/>
          <w:kern w:val="0"/>
          <w:sz w:val="24"/>
          <w:szCs w:val="20"/>
        </w:rPr>
        <w:t>COD</w:t>
      </w:r>
      <w:r>
        <w:rPr>
          <w:rFonts w:ascii="Times New Roman"/>
          <w:b/>
          <w:kern w:val="0"/>
          <w:sz w:val="24"/>
          <w:szCs w:val="20"/>
          <w:lang w:val="zh-CN"/>
        </w:rPr>
        <w:t>不同时间运移距离和浓度关系曲线图</w:t>
      </w:r>
    </w:p>
    <w:p w14:paraId="4DA7CB30">
      <w:pPr>
        <w:spacing w:line="360" w:lineRule="auto"/>
        <w:jc w:val="center"/>
        <w:rPr>
          <w:rFonts w:ascii="Times New Roman" w:eastAsia="黑体"/>
          <w:szCs w:val="24"/>
        </w:rPr>
      </w:pPr>
      <w:r>
        <w:drawing>
          <wp:inline distT="0" distB="0" distL="114300" distR="114300">
            <wp:extent cx="4427855" cy="2753995"/>
            <wp:effectExtent l="4445" t="5080" r="6350" b="22225"/>
            <wp:docPr id="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B71FE9F">
      <w:pPr>
        <w:spacing w:line="440" w:lineRule="exact"/>
        <w:jc w:val="center"/>
        <w:rPr>
          <w:rFonts w:ascii="Times New Roman"/>
          <w:b/>
          <w:kern w:val="0"/>
          <w:sz w:val="24"/>
          <w:szCs w:val="20"/>
          <w:lang w:val="zh-CN"/>
        </w:rPr>
      </w:pPr>
      <w:r>
        <w:rPr>
          <w:rFonts w:ascii="Times New Roman"/>
          <w:b/>
          <w:kern w:val="0"/>
          <w:sz w:val="24"/>
          <w:szCs w:val="20"/>
          <w:lang w:val="zh-CN"/>
        </w:rPr>
        <w:t>图</w:t>
      </w:r>
      <w:r>
        <w:rPr>
          <w:rFonts w:hint="eastAsia" w:ascii="Times New Roman"/>
          <w:b/>
          <w:kern w:val="0"/>
          <w:sz w:val="24"/>
          <w:szCs w:val="20"/>
        </w:rPr>
        <w:t>5.2.3.8</w:t>
      </w:r>
      <w:r>
        <w:rPr>
          <w:rFonts w:ascii="Times New Roman"/>
          <w:b/>
          <w:kern w:val="0"/>
          <w:sz w:val="24"/>
          <w:szCs w:val="20"/>
          <w:lang w:val="zh-CN"/>
        </w:rPr>
        <w:t xml:space="preserve">  石油类不同时间运移距离和浓度关系曲线图</w:t>
      </w:r>
    </w:p>
    <w:p w14:paraId="62E2EB9D">
      <w:pPr>
        <w:spacing w:line="480" w:lineRule="exact"/>
        <w:jc w:val="center"/>
        <w:rPr>
          <w:rFonts w:ascii="Times New Roman"/>
          <w:b/>
          <w:sz w:val="24"/>
        </w:rPr>
      </w:pPr>
      <w:r>
        <w:rPr>
          <w:rFonts w:ascii="Times New Roman"/>
          <w:b/>
          <w:sz w:val="24"/>
        </w:rPr>
        <w:t>表5.2.3.1  非正常工况下污染物在潜水含水层中运移情况一览表</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5"/>
        <w:gridCol w:w="1209"/>
        <w:gridCol w:w="1219"/>
        <w:gridCol w:w="1359"/>
        <w:gridCol w:w="1041"/>
        <w:gridCol w:w="1202"/>
        <w:gridCol w:w="1197"/>
      </w:tblGrid>
      <w:tr w14:paraId="477B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15" w:type="dxa"/>
            <w:vAlign w:val="center"/>
          </w:tcPr>
          <w:p w14:paraId="042FAA17">
            <w:pPr>
              <w:jc w:val="center"/>
              <w:rPr>
                <w:rFonts w:ascii="Times New Roman"/>
                <w:sz w:val="21"/>
                <w:szCs w:val="21"/>
              </w:rPr>
            </w:pPr>
            <w:r>
              <w:rPr>
                <w:rFonts w:ascii="Times New Roman"/>
                <w:sz w:val="21"/>
                <w:szCs w:val="21"/>
              </w:rPr>
              <w:t>污染物</w:t>
            </w:r>
          </w:p>
        </w:tc>
        <w:tc>
          <w:tcPr>
            <w:tcW w:w="1209" w:type="dxa"/>
            <w:vAlign w:val="center"/>
          </w:tcPr>
          <w:p w14:paraId="4F3AF9C3">
            <w:pPr>
              <w:jc w:val="center"/>
              <w:rPr>
                <w:rFonts w:ascii="Times New Roman"/>
                <w:sz w:val="21"/>
                <w:szCs w:val="21"/>
              </w:rPr>
            </w:pPr>
            <w:r>
              <w:rPr>
                <w:rFonts w:ascii="Times New Roman"/>
                <w:sz w:val="21"/>
                <w:szCs w:val="21"/>
              </w:rPr>
              <w:t>预测时间(d)</w:t>
            </w:r>
          </w:p>
        </w:tc>
        <w:tc>
          <w:tcPr>
            <w:tcW w:w="1219" w:type="dxa"/>
            <w:vAlign w:val="center"/>
          </w:tcPr>
          <w:p w14:paraId="5F5887A6">
            <w:pPr>
              <w:jc w:val="center"/>
              <w:rPr>
                <w:rFonts w:ascii="Times New Roman"/>
                <w:sz w:val="21"/>
                <w:szCs w:val="21"/>
              </w:rPr>
            </w:pPr>
            <w:r>
              <w:rPr>
                <w:rFonts w:ascii="Times New Roman"/>
                <w:sz w:val="21"/>
                <w:szCs w:val="21"/>
              </w:rPr>
              <w:t>污染晕最高浓度(mg/L)</w:t>
            </w:r>
          </w:p>
        </w:tc>
        <w:tc>
          <w:tcPr>
            <w:tcW w:w="1359" w:type="dxa"/>
            <w:vAlign w:val="center"/>
          </w:tcPr>
          <w:p w14:paraId="2F873D8F">
            <w:pPr>
              <w:jc w:val="center"/>
              <w:rPr>
                <w:rFonts w:ascii="Times New Roman"/>
                <w:sz w:val="21"/>
                <w:szCs w:val="21"/>
              </w:rPr>
            </w:pPr>
            <w:r>
              <w:rPr>
                <w:rFonts w:ascii="Times New Roman"/>
                <w:sz w:val="21"/>
                <w:szCs w:val="21"/>
              </w:rPr>
              <w:t>污染运最大运移距离(m)</w:t>
            </w:r>
          </w:p>
        </w:tc>
        <w:tc>
          <w:tcPr>
            <w:tcW w:w="1041" w:type="dxa"/>
            <w:vAlign w:val="center"/>
          </w:tcPr>
          <w:p w14:paraId="1EF03E9B">
            <w:pPr>
              <w:jc w:val="center"/>
              <w:rPr>
                <w:rFonts w:ascii="Times New Roman"/>
                <w:sz w:val="21"/>
                <w:szCs w:val="21"/>
              </w:rPr>
            </w:pPr>
            <w:r>
              <w:rPr>
                <w:rFonts w:ascii="Times New Roman"/>
                <w:sz w:val="21"/>
                <w:szCs w:val="21"/>
              </w:rPr>
              <w:t>预测超标距离m</w:t>
            </w:r>
          </w:p>
        </w:tc>
        <w:tc>
          <w:tcPr>
            <w:tcW w:w="1202" w:type="dxa"/>
            <w:vAlign w:val="center"/>
          </w:tcPr>
          <w:p w14:paraId="3E7266C6">
            <w:pPr>
              <w:jc w:val="center"/>
              <w:rPr>
                <w:rFonts w:ascii="Times New Roman"/>
                <w:sz w:val="21"/>
                <w:szCs w:val="21"/>
              </w:rPr>
            </w:pPr>
            <w:r>
              <w:rPr>
                <w:rFonts w:ascii="Times New Roman"/>
                <w:sz w:val="21"/>
                <w:szCs w:val="21"/>
              </w:rPr>
              <w:t>超出厂区最远距离(m)</w:t>
            </w:r>
          </w:p>
        </w:tc>
        <w:tc>
          <w:tcPr>
            <w:tcW w:w="1197" w:type="dxa"/>
            <w:vAlign w:val="center"/>
          </w:tcPr>
          <w:p w14:paraId="2A919370">
            <w:pPr>
              <w:jc w:val="center"/>
              <w:rPr>
                <w:rFonts w:ascii="Times New Roman"/>
                <w:sz w:val="21"/>
                <w:szCs w:val="21"/>
              </w:rPr>
            </w:pPr>
            <w:r>
              <w:rPr>
                <w:rFonts w:ascii="Times New Roman"/>
                <w:sz w:val="21"/>
                <w:szCs w:val="21"/>
              </w:rPr>
              <w:t>是否达到敏感目标</w:t>
            </w:r>
          </w:p>
        </w:tc>
      </w:tr>
      <w:tr w14:paraId="346B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restart"/>
            <w:vAlign w:val="center"/>
          </w:tcPr>
          <w:p w14:paraId="44FCEE4A">
            <w:pPr>
              <w:adjustRightInd w:val="0"/>
              <w:snapToGrid w:val="0"/>
              <w:jc w:val="center"/>
              <w:rPr>
                <w:rFonts w:ascii="Times New Roman"/>
                <w:sz w:val="21"/>
                <w:szCs w:val="21"/>
              </w:rPr>
            </w:pPr>
            <w:r>
              <w:rPr>
                <w:rFonts w:hint="eastAsia" w:ascii="Times New Roman"/>
                <w:sz w:val="21"/>
                <w:szCs w:val="21"/>
              </w:rPr>
              <w:t>COD</w:t>
            </w:r>
          </w:p>
        </w:tc>
        <w:tc>
          <w:tcPr>
            <w:tcW w:w="1209" w:type="dxa"/>
            <w:vAlign w:val="center"/>
          </w:tcPr>
          <w:p w14:paraId="7B58E1A3">
            <w:pPr>
              <w:adjustRightInd w:val="0"/>
              <w:snapToGrid w:val="0"/>
              <w:jc w:val="center"/>
              <w:rPr>
                <w:rFonts w:ascii="Times New Roman"/>
                <w:sz w:val="21"/>
                <w:szCs w:val="21"/>
              </w:rPr>
            </w:pPr>
            <w:r>
              <w:rPr>
                <w:rFonts w:ascii="Times New Roman"/>
                <w:sz w:val="21"/>
                <w:szCs w:val="21"/>
              </w:rPr>
              <w:t>100</w:t>
            </w:r>
          </w:p>
        </w:tc>
        <w:tc>
          <w:tcPr>
            <w:tcW w:w="1219" w:type="dxa"/>
            <w:vAlign w:val="center"/>
          </w:tcPr>
          <w:p w14:paraId="1A8F363F">
            <w:pPr>
              <w:adjustRightInd w:val="0"/>
              <w:snapToGrid w:val="0"/>
              <w:jc w:val="center"/>
              <w:rPr>
                <w:rFonts w:ascii="Times New Roman"/>
                <w:sz w:val="21"/>
                <w:szCs w:val="21"/>
              </w:rPr>
            </w:pPr>
            <w:r>
              <w:rPr>
                <w:rFonts w:hint="eastAsia" w:ascii="Times New Roman"/>
                <w:sz w:val="21"/>
                <w:szCs w:val="21"/>
              </w:rPr>
              <w:t>13.195</w:t>
            </w:r>
          </w:p>
        </w:tc>
        <w:tc>
          <w:tcPr>
            <w:tcW w:w="1359" w:type="dxa"/>
            <w:vAlign w:val="center"/>
          </w:tcPr>
          <w:p w14:paraId="356E0F3C">
            <w:pPr>
              <w:adjustRightInd w:val="0"/>
              <w:snapToGrid w:val="0"/>
              <w:jc w:val="center"/>
              <w:rPr>
                <w:rFonts w:ascii="Times New Roman"/>
                <w:sz w:val="21"/>
                <w:szCs w:val="21"/>
              </w:rPr>
            </w:pPr>
            <w:r>
              <w:rPr>
                <w:rFonts w:hint="eastAsia" w:ascii="Times New Roman"/>
                <w:sz w:val="21"/>
                <w:szCs w:val="21"/>
              </w:rPr>
              <w:t>75</w:t>
            </w:r>
          </w:p>
        </w:tc>
        <w:tc>
          <w:tcPr>
            <w:tcW w:w="1041" w:type="dxa"/>
            <w:vAlign w:val="center"/>
          </w:tcPr>
          <w:p w14:paraId="13C238F1">
            <w:pPr>
              <w:adjustRightInd w:val="0"/>
              <w:snapToGrid w:val="0"/>
              <w:jc w:val="center"/>
              <w:rPr>
                <w:rFonts w:ascii="Times New Roman"/>
                <w:sz w:val="21"/>
                <w:szCs w:val="21"/>
              </w:rPr>
            </w:pPr>
            <w:r>
              <w:rPr>
                <w:rFonts w:hint="eastAsia" w:ascii="Times New Roman"/>
                <w:sz w:val="21"/>
                <w:szCs w:val="21"/>
              </w:rPr>
              <w:t>--</w:t>
            </w:r>
          </w:p>
        </w:tc>
        <w:tc>
          <w:tcPr>
            <w:tcW w:w="1202" w:type="dxa"/>
            <w:vAlign w:val="center"/>
          </w:tcPr>
          <w:p w14:paraId="4EB63580">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53039E12">
            <w:pPr>
              <w:adjustRightInd w:val="0"/>
              <w:snapToGrid w:val="0"/>
              <w:jc w:val="center"/>
              <w:rPr>
                <w:rFonts w:ascii="Times New Roman"/>
                <w:sz w:val="21"/>
                <w:szCs w:val="21"/>
              </w:rPr>
            </w:pPr>
            <w:r>
              <w:rPr>
                <w:rFonts w:ascii="Times New Roman"/>
                <w:sz w:val="21"/>
                <w:szCs w:val="21"/>
              </w:rPr>
              <w:t>否</w:t>
            </w:r>
          </w:p>
        </w:tc>
      </w:tr>
      <w:tr w14:paraId="1669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continue"/>
            <w:vAlign w:val="center"/>
          </w:tcPr>
          <w:p w14:paraId="29B082E5">
            <w:pPr>
              <w:jc w:val="center"/>
              <w:rPr>
                <w:rFonts w:ascii="Times New Roman"/>
                <w:sz w:val="21"/>
                <w:szCs w:val="21"/>
              </w:rPr>
            </w:pPr>
          </w:p>
        </w:tc>
        <w:tc>
          <w:tcPr>
            <w:tcW w:w="1209" w:type="dxa"/>
            <w:vAlign w:val="center"/>
          </w:tcPr>
          <w:p w14:paraId="533C01AB">
            <w:pPr>
              <w:adjustRightInd w:val="0"/>
              <w:snapToGrid w:val="0"/>
              <w:jc w:val="center"/>
              <w:rPr>
                <w:rFonts w:ascii="Times New Roman"/>
                <w:sz w:val="21"/>
                <w:szCs w:val="21"/>
              </w:rPr>
            </w:pPr>
            <w:r>
              <w:rPr>
                <w:rFonts w:ascii="Times New Roman"/>
                <w:sz w:val="21"/>
                <w:szCs w:val="21"/>
              </w:rPr>
              <w:t>1000</w:t>
            </w:r>
          </w:p>
        </w:tc>
        <w:tc>
          <w:tcPr>
            <w:tcW w:w="1219" w:type="dxa"/>
            <w:vAlign w:val="center"/>
          </w:tcPr>
          <w:p w14:paraId="52BC83CF">
            <w:pPr>
              <w:adjustRightInd w:val="0"/>
              <w:snapToGrid w:val="0"/>
              <w:jc w:val="center"/>
              <w:rPr>
                <w:rFonts w:ascii="Times New Roman"/>
                <w:sz w:val="21"/>
                <w:szCs w:val="21"/>
              </w:rPr>
            </w:pPr>
            <w:r>
              <w:rPr>
                <w:rFonts w:hint="eastAsia" w:ascii="Times New Roman"/>
                <w:sz w:val="21"/>
                <w:szCs w:val="21"/>
              </w:rPr>
              <w:t>4.163</w:t>
            </w:r>
          </w:p>
        </w:tc>
        <w:tc>
          <w:tcPr>
            <w:tcW w:w="1359" w:type="dxa"/>
            <w:vAlign w:val="center"/>
          </w:tcPr>
          <w:p w14:paraId="50D42CB7">
            <w:pPr>
              <w:adjustRightInd w:val="0"/>
              <w:snapToGrid w:val="0"/>
              <w:jc w:val="center"/>
              <w:rPr>
                <w:rFonts w:ascii="Times New Roman"/>
                <w:sz w:val="21"/>
                <w:szCs w:val="21"/>
              </w:rPr>
            </w:pPr>
            <w:r>
              <w:rPr>
                <w:rFonts w:hint="eastAsia" w:ascii="Times New Roman"/>
                <w:sz w:val="21"/>
                <w:szCs w:val="21"/>
              </w:rPr>
              <w:t>233</w:t>
            </w:r>
          </w:p>
        </w:tc>
        <w:tc>
          <w:tcPr>
            <w:tcW w:w="1041" w:type="dxa"/>
            <w:vAlign w:val="center"/>
          </w:tcPr>
          <w:p w14:paraId="60A8CC2C">
            <w:pPr>
              <w:adjustRightInd w:val="0"/>
              <w:snapToGrid w:val="0"/>
              <w:jc w:val="center"/>
              <w:rPr>
                <w:rFonts w:ascii="Times New Roman"/>
                <w:sz w:val="21"/>
                <w:szCs w:val="21"/>
              </w:rPr>
            </w:pPr>
            <w:r>
              <w:rPr>
                <w:rFonts w:ascii="Times New Roman"/>
                <w:sz w:val="21"/>
                <w:szCs w:val="21"/>
              </w:rPr>
              <w:t>--</w:t>
            </w:r>
          </w:p>
        </w:tc>
        <w:tc>
          <w:tcPr>
            <w:tcW w:w="1202" w:type="dxa"/>
            <w:vAlign w:val="center"/>
          </w:tcPr>
          <w:p w14:paraId="55A43251">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46DB5ACF">
            <w:pPr>
              <w:adjustRightInd w:val="0"/>
              <w:snapToGrid w:val="0"/>
              <w:jc w:val="center"/>
              <w:rPr>
                <w:rFonts w:ascii="Times New Roman"/>
                <w:sz w:val="21"/>
                <w:szCs w:val="21"/>
              </w:rPr>
            </w:pPr>
            <w:r>
              <w:rPr>
                <w:rFonts w:ascii="Times New Roman"/>
                <w:sz w:val="21"/>
                <w:szCs w:val="21"/>
              </w:rPr>
              <w:t>否</w:t>
            </w:r>
          </w:p>
        </w:tc>
      </w:tr>
      <w:tr w14:paraId="299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continue"/>
            <w:vAlign w:val="center"/>
          </w:tcPr>
          <w:p w14:paraId="4FE852E3">
            <w:pPr>
              <w:jc w:val="center"/>
              <w:rPr>
                <w:rFonts w:ascii="Times New Roman"/>
                <w:sz w:val="21"/>
                <w:szCs w:val="21"/>
              </w:rPr>
            </w:pPr>
          </w:p>
        </w:tc>
        <w:tc>
          <w:tcPr>
            <w:tcW w:w="1209" w:type="dxa"/>
            <w:vAlign w:val="center"/>
          </w:tcPr>
          <w:p w14:paraId="017F9379">
            <w:pPr>
              <w:adjustRightInd w:val="0"/>
              <w:snapToGrid w:val="0"/>
              <w:jc w:val="center"/>
              <w:rPr>
                <w:rFonts w:ascii="Times New Roman"/>
                <w:sz w:val="21"/>
                <w:szCs w:val="21"/>
              </w:rPr>
            </w:pPr>
            <w:r>
              <w:rPr>
                <w:rFonts w:ascii="Times New Roman"/>
                <w:sz w:val="21"/>
                <w:szCs w:val="21"/>
              </w:rPr>
              <w:t>3650</w:t>
            </w:r>
          </w:p>
        </w:tc>
        <w:tc>
          <w:tcPr>
            <w:tcW w:w="1219" w:type="dxa"/>
            <w:vAlign w:val="center"/>
          </w:tcPr>
          <w:p w14:paraId="092F6415">
            <w:pPr>
              <w:adjustRightInd w:val="0"/>
              <w:snapToGrid w:val="0"/>
              <w:jc w:val="center"/>
              <w:rPr>
                <w:rFonts w:ascii="Times New Roman"/>
                <w:sz w:val="21"/>
                <w:szCs w:val="21"/>
              </w:rPr>
            </w:pPr>
            <w:r>
              <w:rPr>
                <w:rFonts w:hint="eastAsia" w:ascii="Times New Roman"/>
                <w:sz w:val="21"/>
                <w:szCs w:val="21"/>
              </w:rPr>
              <w:t>2.184</w:t>
            </w:r>
          </w:p>
        </w:tc>
        <w:tc>
          <w:tcPr>
            <w:tcW w:w="1359" w:type="dxa"/>
            <w:vAlign w:val="center"/>
          </w:tcPr>
          <w:p w14:paraId="0ED475F6">
            <w:pPr>
              <w:adjustRightInd w:val="0"/>
              <w:snapToGrid w:val="0"/>
              <w:jc w:val="center"/>
              <w:rPr>
                <w:rFonts w:ascii="Times New Roman"/>
                <w:sz w:val="21"/>
                <w:szCs w:val="21"/>
              </w:rPr>
            </w:pPr>
            <w:r>
              <w:rPr>
                <w:rFonts w:hint="eastAsia" w:ascii="Times New Roman"/>
                <w:sz w:val="21"/>
                <w:szCs w:val="21"/>
              </w:rPr>
              <w:t>441</w:t>
            </w:r>
          </w:p>
        </w:tc>
        <w:tc>
          <w:tcPr>
            <w:tcW w:w="1041" w:type="dxa"/>
            <w:vAlign w:val="center"/>
          </w:tcPr>
          <w:p w14:paraId="0E26E74D">
            <w:pPr>
              <w:adjustRightInd w:val="0"/>
              <w:snapToGrid w:val="0"/>
              <w:jc w:val="center"/>
              <w:rPr>
                <w:rFonts w:ascii="Times New Roman"/>
                <w:sz w:val="21"/>
                <w:szCs w:val="21"/>
              </w:rPr>
            </w:pPr>
            <w:r>
              <w:rPr>
                <w:rFonts w:ascii="Times New Roman"/>
                <w:sz w:val="21"/>
                <w:szCs w:val="21"/>
              </w:rPr>
              <w:t>--</w:t>
            </w:r>
          </w:p>
        </w:tc>
        <w:tc>
          <w:tcPr>
            <w:tcW w:w="1202" w:type="dxa"/>
            <w:vAlign w:val="center"/>
          </w:tcPr>
          <w:p w14:paraId="008B9B98">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3AA65938">
            <w:pPr>
              <w:adjustRightInd w:val="0"/>
              <w:snapToGrid w:val="0"/>
              <w:jc w:val="center"/>
              <w:rPr>
                <w:rFonts w:ascii="Times New Roman"/>
                <w:sz w:val="21"/>
                <w:szCs w:val="21"/>
              </w:rPr>
            </w:pPr>
            <w:r>
              <w:rPr>
                <w:rFonts w:ascii="Times New Roman"/>
                <w:sz w:val="21"/>
                <w:szCs w:val="21"/>
              </w:rPr>
              <w:t>否</w:t>
            </w:r>
          </w:p>
        </w:tc>
      </w:tr>
      <w:tr w14:paraId="3C1D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continue"/>
            <w:vAlign w:val="center"/>
          </w:tcPr>
          <w:p w14:paraId="12164A35">
            <w:pPr>
              <w:jc w:val="center"/>
              <w:rPr>
                <w:rFonts w:ascii="Times New Roman"/>
                <w:sz w:val="21"/>
                <w:szCs w:val="21"/>
              </w:rPr>
            </w:pPr>
          </w:p>
        </w:tc>
        <w:tc>
          <w:tcPr>
            <w:tcW w:w="1209" w:type="dxa"/>
            <w:vAlign w:val="center"/>
          </w:tcPr>
          <w:p w14:paraId="397770FE">
            <w:pPr>
              <w:adjustRightInd w:val="0"/>
              <w:snapToGrid w:val="0"/>
              <w:jc w:val="center"/>
              <w:rPr>
                <w:rFonts w:ascii="Times New Roman"/>
                <w:sz w:val="21"/>
                <w:szCs w:val="21"/>
              </w:rPr>
            </w:pPr>
            <w:r>
              <w:rPr>
                <w:rFonts w:ascii="Times New Roman"/>
                <w:sz w:val="21"/>
                <w:szCs w:val="21"/>
              </w:rPr>
              <w:t>5000</w:t>
            </w:r>
          </w:p>
        </w:tc>
        <w:tc>
          <w:tcPr>
            <w:tcW w:w="1219" w:type="dxa"/>
            <w:vAlign w:val="center"/>
          </w:tcPr>
          <w:p w14:paraId="58DC8CE0">
            <w:pPr>
              <w:adjustRightInd w:val="0"/>
              <w:snapToGrid w:val="0"/>
              <w:jc w:val="center"/>
              <w:rPr>
                <w:rFonts w:ascii="Times New Roman"/>
                <w:sz w:val="21"/>
                <w:szCs w:val="21"/>
              </w:rPr>
            </w:pPr>
            <w:r>
              <w:rPr>
                <w:rFonts w:hint="eastAsia" w:ascii="Times New Roman"/>
                <w:sz w:val="21"/>
                <w:szCs w:val="21"/>
              </w:rPr>
              <w:t>1.873</w:t>
            </w:r>
          </w:p>
        </w:tc>
        <w:tc>
          <w:tcPr>
            <w:tcW w:w="1359" w:type="dxa"/>
            <w:vAlign w:val="center"/>
          </w:tcPr>
          <w:p w14:paraId="43DAC275">
            <w:pPr>
              <w:adjustRightInd w:val="0"/>
              <w:snapToGrid w:val="0"/>
              <w:jc w:val="center"/>
              <w:rPr>
                <w:rFonts w:ascii="Times New Roman"/>
                <w:sz w:val="21"/>
                <w:szCs w:val="21"/>
              </w:rPr>
            </w:pPr>
            <w:r>
              <w:rPr>
                <w:rFonts w:hint="eastAsia" w:ascii="Times New Roman"/>
                <w:sz w:val="21"/>
                <w:szCs w:val="21"/>
              </w:rPr>
              <w:t>512</w:t>
            </w:r>
          </w:p>
        </w:tc>
        <w:tc>
          <w:tcPr>
            <w:tcW w:w="1041" w:type="dxa"/>
            <w:vAlign w:val="center"/>
          </w:tcPr>
          <w:p w14:paraId="558F9511">
            <w:pPr>
              <w:adjustRightInd w:val="0"/>
              <w:snapToGrid w:val="0"/>
              <w:jc w:val="center"/>
              <w:rPr>
                <w:rFonts w:ascii="Times New Roman"/>
                <w:sz w:val="21"/>
                <w:szCs w:val="21"/>
              </w:rPr>
            </w:pPr>
            <w:r>
              <w:rPr>
                <w:rFonts w:ascii="Times New Roman"/>
                <w:sz w:val="21"/>
                <w:szCs w:val="21"/>
              </w:rPr>
              <w:t>--</w:t>
            </w:r>
          </w:p>
        </w:tc>
        <w:tc>
          <w:tcPr>
            <w:tcW w:w="1202" w:type="dxa"/>
            <w:vAlign w:val="center"/>
          </w:tcPr>
          <w:p w14:paraId="0D897350">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49C5755B">
            <w:pPr>
              <w:adjustRightInd w:val="0"/>
              <w:snapToGrid w:val="0"/>
              <w:jc w:val="center"/>
              <w:rPr>
                <w:rFonts w:ascii="Times New Roman"/>
                <w:sz w:val="21"/>
                <w:szCs w:val="21"/>
              </w:rPr>
            </w:pPr>
            <w:r>
              <w:rPr>
                <w:rFonts w:ascii="Times New Roman"/>
                <w:sz w:val="21"/>
                <w:szCs w:val="21"/>
              </w:rPr>
              <w:t>否</w:t>
            </w:r>
          </w:p>
        </w:tc>
      </w:tr>
      <w:tr w14:paraId="6EF5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restart"/>
            <w:vAlign w:val="center"/>
          </w:tcPr>
          <w:p w14:paraId="264AB691">
            <w:pPr>
              <w:adjustRightInd w:val="0"/>
              <w:snapToGrid w:val="0"/>
              <w:jc w:val="center"/>
              <w:rPr>
                <w:rFonts w:ascii="Times New Roman"/>
                <w:sz w:val="21"/>
                <w:szCs w:val="21"/>
              </w:rPr>
            </w:pPr>
            <w:r>
              <w:rPr>
                <w:rFonts w:ascii="Times New Roman"/>
                <w:sz w:val="21"/>
                <w:szCs w:val="21"/>
              </w:rPr>
              <w:t>石油类</w:t>
            </w:r>
          </w:p>
        </w:tc>
        <w:tc>
          <w:tcPr>
            <w:tcW w:w="1209" w:type="dxa"/>
            <w:vAlign w:val="center"/>
          </w:tcPr>
          <w:p w14:paraId="6B8B46EA">
            <w:pPr>
              <w:adjustRightInd w:val="0"/>
              <w:snapToGrid w:val="0"/>
              <w:jc w:val="center"/>
              <w:rPr>
                <w:rFonts w:ascii="Times New Roman"/>
                <w:sz w:val="21"/>
                <w:szCs w:val="21"/>
              </w:rPr>
            </w:pPr>
            <w:r>
              <w:rPr>
                <w:rFonts w:ascii="Times New Roman"/>
                <w:sz w:val="21"/>
                <w:szCs w:val="21"/>
              </w:rPr>
              <w:t>100</w:t>
            </w:r>
          </w:p>
        </w:tc>
        <w:tc>
          <w:tcPr>
            <w:tcW w:w="1219" w:type="dxa"/>
            <w:vAlign w:val="center"/>
          </w:tcPr>
          <w:p w14:paraId="08FD4DBC">
            <w:pPr>
              <w:adjustRightInd w:val="0"/>
              <w:snapToGrid w:val="0"/>
              <w:jc w:val="center"/>
              <w:rPr>
                <w:rFonts w:ascii="Times New Roman"/>
                <w:sz w:val="21"/>
                <w:szCs w:val="21"/>
              </w:rPr>
            </w:pPr>
            <w:r>
              <w:rPr>
                <w:rFonts w:ascii="Times New Roman"/>
                <w:sz w:val="21"/>
                <w:szCs w:val="21"/>
              </w:rPr>
              <w:t>0.</w:t>
            </w:r>
            <w:r>
              <w:rPr>
                <w:rFonts w:hint="eastAsia" w:ascii="Times New Roman"/>
                <w:sz w:val="21"/>
                <w:szCs w:val="21"/>
              </w:rPr>
              <w:t>33</w:t>
            </w:r>
          </w:p>
        </w:tc>
        <w:tc>
          <w:tcPr>
            <w:tcW w:w="1359" w:type="dxa"/>
            <w:vAlign w:val="center"/>
          </w:tcPr>
          <w:p w14:paraId="18590665">
            <w:pPr>
              <w:adjustRightInd w:val="0"/>
              <w:snapToGrid w:val="0"/>
              <w:jc w:val="center"/>
              <w:rPr>
                <w:rFonts w:ascii="Times New Roman"/>
                <w:sz w:val="21"/>
                <w:szCs w:val="21"/>
              </w:rPr>
            </w:pPr>
            <w:r>
              <w:rPr>
                <w:rFonts w:hint="eastAsia" w:ascii="Times New Roman"/>
                <w:sz w:val="21"/>
                <w:szCs w:val="21"/>
              </w:rPr>
              <w:t>92</w:t>
            </w:r>
          </w:p>
        </w:tc>
        <w:tc>
          <w:tcPr>
            <w:tcW w:w="1041" w:type="dxa"/>
            <w:vAlign w:val="center"/>
          </w:tcPr>
          <w:p w14:paraId="75B7B4F3">
            <w:pPr>
              <w:adjustRightInd w:val="0"/>
              <w:snapToGrid w:val="0"/>
              <w:jc w:val="center"/>
              <w:rPr>
                <w:rFonts w:ascii="Times New Roman"/>
                <w:sz w:val="21"/>
                <w:szCs w:val="21"/>
              </w:rPr>
            </w:pPr>
            <w:r>
              <w:rPr>
                <w:rFonts w:ascii="Times New Roman"/>
                <w:sz w:val="21"/>
                <w:szCs w:val="21"/>
              </w:rPr>
              <w:t>26</w:t>
            </w:r>
          </w:p>
        </w:tc>
        <w:tc>
          <w:tcPr>
            <w:tcW w:w="1202" w:type="dxa"/>
            <w:vAlign w:val="center"/>
          </w:tcPr>
          <w:p w14:paraId="6660CC56">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2727A522">
            <w:pPr>
              <w:adjustRightInd w:val="0"/>
              <w:snapToGrid w:val="0"/>
              <w:jc w:val="center"/>
              <w:rPr>
                <w:rFonts w:ascii="Times New Roman"/>
                <w:sz w:val="21"/>
                <w:szCs w:val="21"/>
              </w:rPr>
            </w:pPr>
            <w:r>
              <w:rPr>
                <w:rFonts w:ascii="Times New Roman"/>
                <w:sz w:val="21"/>
                <w:szCs w:val="21"/>
              </w:rPr>
              <w:t>否</w:t>
            </w:r>
          </w:p>
        </w:tc>
      </w:tr>
      <w:tr w14:paraId="2813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continue"/>
            <w:vAlign w:val="center"/>
          </w:tcPr>
          <w:p w14:paraId="586A1073">
            <w:pPr>
              <w:adjustRightInd w:val="0"/>
              <w:snapToGrid w:val="0"/>
              <w:jc w:val="center"/>
              <w:rPr>
                <w:rFonts w:ascii="Times New Roman"/>
                <w:sz w:val="21"/>
                <w:szCs w:val="21"/>
              </w:rPr>
            </w:pPr>
          </w:p>
        </w:tc>
        <w:tc>
          <w:tcPr>
            <w:tcW w:w="1209" w:type="dxa"/>
            <w:vAlign w:val="center"/>
          </w:tcPr>
          <w:p w14:paraId="296D857A">
            <w:pPr>
              <w:adjustRightInd w:val="0"/>
              <w:snapToGrid w:val="0"/>
              <w:jc w:val="center"/>
              <w:rPr>
                <w:rFonts w:ascii="Times New Roman"/>
                <w:sz w:val="21"/>
                <w:szCs w:val="21"/>
              </w:rPr>
            </w:pPr>
            <w:r>
              <w:rPr>
                <w:rFonts w:ascii="Times New Roman"/>
                <w:sz w:val="21"/>
                <w:szCs w:val="21"/>
              </w:rPr>
              <w:t>1000</w:t>
            </w:r>
          </w:p>
        </w:tc>
        <w:tc>
          <w:tcPr>
            <w:tcW w:w="1219" w:type="dxa"/>
            <w:vAlign w:val="center"/>
          </w:tcPr>
          <w:p w14:paraId="784BFBF8">
            <w:pPr>
              <w:adjustRightInd w:val="0"/>
              <w:snapToGrid w:val="0"/>
              <w:jc w:val="center"/>
              <w:rPr>
                <w:rFonts w:ascii="Times New Roman"/>
                <w:sz w:val="21"/>
                <w:szCs w:val="21"/>
              </w:rPr>
            </w:pPr>
            <w:r>
              <w:rPr>
                <w:rFonts w:ascii="Times New Roman"/>
                <w:sz w:val="21"/>
                <w:szCs w:val="21"/>
              </w:rPr>
              <w:t>0.</w:t>
            </w:r>
            <w:r>
              <w:rPr>
                <w:rFonts w:hint="eastAsia" w:ascii="Times New Roman"/>
                <w:sz w:val="21"/>
                <w:szCs w:val="21"/>
              </w:rPr>
              <w:t>105</w:t>
            </w:r>
          </w:p>
        </w:tc>
        <w:tc>
          <w:tcPr>
            <w:tcW w:w="1359" w:type="dxa"/>
            <w:vAlign w:val="center"/>
          </w:tcPr>
          <w:p w14:paraId="76E511D9">
            <w:pPr>
              <w:adjustRightInd w:val="0"/>
              <w:snapToGrid w:val="0"/>
              <w:jc w:val="center"/>
              <w:rPr>
                <w:rFonts w:ascii="Times New Roman"/>
                <w:sz w:val="21"/>
                <w:szCs w:val="21"/>
              </w:rPr>
            </w:pPr>
            <w:r>
              <w:rPr>
                <w:rFonts w:hint="eastAsia" w:ascii="Times New Roman"/>
                <w:sz w:val="21"/>
                <w:szCs w:val="21"/>
              </w:rPr>
              <w:t>281</w:t>
            </w:r>
          </w:p>
        </w:tc>
        <w:tc>
          <w:tcPr>
            <w:tcW w:w="1041" w:type="dxa"/>
            <w:vAlign w:val="center"/>
          </w:tcPr>
          <w:p w14:paraId="095EC2E8">
            <w:pPr>
              <w:adjustRightInd w:val="0"/>
              <w:snapToGrid w:val="0"/>
              <w:jc w:val="center"/>
              <w:rPr>
                <w:rFonts w:ascii="Times New Roman"/>
                <w:sz w:val="21"/>
                <w:szCs w:val="21"/>
              </w:rPr>
            </w:pPr>
            <w:r>
              <w:rPr>
                <w:rFonts w:hint="eastAsia" w:ascii="Times New Roman"/>
                <w:sz w:val="21"/>
                <w:szCs w:val="21"/>
              </w:rPr>
              <w:t>66</w:t>
            </w:r>
          </w:p>
        </w:tc>
        <w:tc>
          <w:tcPr>
            <w:tcW w:w="1202" w:type="dxa"/>
            <w:vAlign w:val="center"/>
          </w:tcPr>
          <w:p w14:paraId="3EA64362">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087C7CD3">
            <w:pPr>
              <w:adjustRightInd w:val="0"/>
              <w:snapToGrid w:val="0"/>
              <w:jc w:val="center"/>
              <w:rPr>
                <w:rFonts w:ascii="Times New Roman"/>
                <w:sz w:val="21"/>
                <w:szCs w:val="21"/>
              </w:rPr>
            </w:pPr>
            <w:r>
              <w:rPr>
                <w:rFonts w:ascii="Times New Roman"/>
                <w:sz w:val="21"/>
                <w:szCs w:val="21"/>
              </w:rPr>
              <w:t>否</w:t>
            </w:r>
          </w:p>
        </w:tc>
      </w:tr>
      <w:tr w14:paraId="4A7A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continue"/>
            <w:vAlign w:val="center"/>
          </w:tcPr>
          <w:p w14:paraId="265935B9">
            <w:pPr>
              <w:adjustRightInd w:val="0"/>
              <w:snapToGrid w:val="0"/>
              <w:jc w:val="center"/>
              <w:rPr>
                <w:rFonts w:ascii="Times New Roman"/>
                <w:sz w:val="21"/>
                <w:szCs w:val="21"/>
              </w:rPr>
            </w:pPr>
          </w:p>
        </w:tc>
        <w:tc>
          <w:tcPr>
            <w:tcW w:w="1209" w:type="dxa"/>
            <w:vAlign w:val="center"/>
          </w:tcPr>
          <w:p w14:paraId="08DB81EE">
            <w:pPr>
              <w:adjustRightInd w:val="0"/>
              <w:snapToGrid w:val="0"/>
              <w:jc w:val="center"/>
              <w:rPr>
                <w:rFonts w:ascii="Times New Roman"/>
                <w:sz w:val="21"/>
                <w:szCs w:val="21"/>
              </w:rPr>
            </w:pPr>
            <w:r>
              <w:rPr>
                <w:rFonts w:ascii="Times New Roman"/>
                <w:sz w:val="21"/>
                <w:szCs w:val="21"/>
              </w:rPr>
              <w:t>3650</w:t>
            </w:r>
          </w:p>
        </w:tc>
        <w:tc>
          <w:tcPr>
            <w:tcW w:w="1219" w:type="dxa"/>
            <w:vAlign w:val="center"/>
          </w:tcPr>
          <w:p w14:paraId="3E0C0426">
            <w:pPr>
              <w:adjustRightInd w:val="0"/>
              <w:snapToGrid w:val="0"/>
              <w:jc w:val="center"/>
              <w:rPr>
                <w:rFonts w:ascii="Times New Roman"/>
                <w:sz w:val="21"/>
                <w:szCs w:val="21"/>
              </w:rPr>
            </w:pPr>
            <w:r>
              <w:rPr>
                <w:rFonts w:ascii="Times New Roman"/>
                <w:sz w:val="21"/>
                <w:szCs w:val="21"/>
              </w:rPr>
              <w:t>0.05</w:t>
            </w:r>
            <w:r>
              <w:rPr>
                <w:rFonts w:hint="eastAsia" w:ascii="Times New Roman"/>
                <w:sz w:val="21"/>
                <w:szCs w:val="21"/>
              </w:rPr>
              <w:t>5</w:t>
            </w:r>
          </w:p>
        </w:tc>
        <w:tc>
          <w:tcPr>
            <w:tcW w:w="1359" w:type="dxa"/>
            <w:vAlign w:val="center"/>
          </w:tcPr>
          <w:p w14:paraId="4F97199E">
            <w:pPr>
              <w:adjustRightInd w:val="0"/>
              <w:snapToGrid w:val="0"/>
              <w:jc w:val="center"/>
              <w:rPr>
                <w:rFonts w:ascii="Times New Roman"/>
                <w:sz w:val="21"/>
                <w:szCs w:val="21"/>
              </w:rPr>
            </w:pPr>
            <w:r>
              <w:rPr>
                <w:rFonts w:hint="eastAsia" w:ascii="Times New Roman"/>
                <w:sz w:val="21"/>
                <w:szCs w:val="21"/>
              </w:rPr>
              <w:t>540</w:t>
            </w:r>
          </w:p>
        </w:tc>
        <w:tc>
          <w:tcPr>
            <w:tcW w:w="1041" w:type="dxa"/>
            <w:vAlign w:val="center"/>
          </w:tcPr>
          <w:p w14:paraId="45F47E9C">
            <w:pPr>
              <w:adjustRightInd w:val="0"/>
              <w:snapToGrid w:val="0"/>
              <w:jc w:val="center"/>
              <w:rPr>
                <w:rFonts w:ascii="Times New Roman"/>
                <w:sz w:val="21"/>
                <w:szCs w:val="21"/>
              </w:rPr>
            </w:pPr>
            <w:r>
              <w:rPr>
                <w:rFonts w:hint="eastAsia" w:ascii="Times New Roman"/>
                <w:sz w:val="21"/>
                <w:szCs w:val="21"/>
              </w:rPr>
              <w:t>63</w:t>
            </w:r>
          </w:p>
        </w:tc>
        <w:tc>
          <w:tcPr>
            <w:tcW w:w="1202" w:type="dxa"/>
            <w:vAlign w:val="center"/>
          </w:tcPr>
          <w:p w14:paraId="1E17C0F9">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53B21A30">
            <w:pPr>
              <w:adjustRightInd w:val="0"/>
              <w:snapToGrid w:val="0"/>
              <w:jc w:val="center"/>
              <w:rPr>
                <w:rFonts w:ascii="Times New Roman"/>
                <w:sz w:val="21"/>
                <w:szCs w:val="21"/>
              </w:rPr>
            </w:pPr>
            <w:r>
              <w:rPr>
                <w:rFonts w:ascii="Times New Roman"/>
                <w:sz w:val="21"/>
                <w:szCs w:val="21"/>
              </w:rPr>
              <w:t>否</w:t>
            </w:r>
          </w:p>
        </w:tc>
      </w:tr>
      <w:tr w14:paraId="336E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915" w:type="dxa"/>
            <w:vMerge w:val="continue"/>
            <w:vAlign w:val="center"/>
          </w:tcPr>
          <w:p w14:paraId="71B81A1D">
            <w:pPr>
              <w:adjustRightInd w:val="0"/>
              <w:snapToGrid w:val="0"/>
              <w:jc w:val="center"/>
              <w:rPr>
                <w:rFonts w:ascii="Times New Roman"/>
                <w:sz w:val="21"/>
                <w:szCs w:val="21"/>
              </w:rPr>
            </w:pPr>
          </w:p>
        </w:tc>
        <w:tc>
          <w:tcPr>
            <w:tcW w:w="1209" w:type="dxa"/>
            <w:vAlign w:val="center"/>
          </w:tcPr>
          <w:p w14:paraId="516B450E">
            <w:pPr>
              <w:adjustRightInd w:val="0"/>
              <w:snapToGrid w:val="0"/>
              <w:jc w:val="center"/>
              <w:rPr>
                <w:rFonts w:ascii="Times New Roman"/>
                <w:sz w:val="21"/>
                <w:szCs w:val="21"/>
              </w:rPr>
            </w:pPr>
            <w:r>
              <w:rPr>
                <w:rFonts w:ascii="Times New Roman"/>
                <w:sz w:val="21"/>
                <w:szCs w:val="21"/>
              </w:rPr>
              <w:t>5000</w:t>
            </w:r>
          </w:p>
        </w:tc>
        <w:tc>
          <w:tcPr>
            <w:tcW w:w="1219" w:type="dxa"/>
            <w:vAlign w:val="center"/>
          </w:tcPr>
          <w:p w14:paraId="07F1293B">
            <w:pPr>
              <w:adjustRightInd w:val="0"/>
              <w:snapToGrid w:val="0"/>
              <w:jc w:val="center"/>
              <w:rPr>
                <w:rFonts w:ascii="Times New Roman"/>
                <w:sz w:val="21"/>
                <w:szCs w:val="21"/>
              </w:rPr>
            </w:pPr>
            <w:r>
              <w:rPr>
                <w:rFonts w:ascii="Times New Roman"/>
                <w:sz w:val="21"/>
                <w:szCs w:val="21"/>
              </w:rPr>
              <w:t>0.04</w:t>
            </w:r>
            <w:r>
              <w:rPr>
                <w:rFonts w:hint="eastAsia" w:ascii="Times New Roman"/>
                <w:sz w:val="21"/>
                <w:szCs w:val="21"/>
              </w:rPr>
              <w:t>7</w:t>
            </w:r>
          </w:p>
        </w:tc>
        <w:tc>
          <w:tcPr>
            <w:tcW w:w="1359" w:type="dxa"/>
            <w:vAlign w:val="center"/>
          </w:tcPr>
          <w:p w14:paraId="31214562">
            <w:pPr>
              <w:adjustRightInd w:val="0"/>
              <w:snapToGrid w:val="0"/>
              <w:jc w:val="center"/>
              <w:rPr>
                <w:rFonts w:ascii="Times New Roman"/>
                <w:sz w:val="21"/>
                <w:szCs w:val="21"/>
              </w:rPr>
            </w:pPr>
            <w:r>
              <w:rPr>
                <w:rFonts w:hint="eastAsia" w:ascii="Times New Roman"/>
                <w:sz w:val="21"/>
                <w:szCs w:val="21"/>
              </w:rPr>
              <w:t>632</w:t>
            </w:r>
          </w:p>
        </w:tc>
        <w:tc>
          <w:tcPr>
            <w:tcW w:w="1041" w:type="dxa"/>
            <w:vAlign w:val="center"/>
          </w:tcPr>
          <w:p w14:paraId="7FAF4E07">
            <w:pPr>
              <w:adjustRightInd w:val="0"/>
              <w:snapToGrid w:val="0"/>
              <w:jc w:val="center"/>
              <w:rPr>
                <w:rFonts w:ascii="Times New Roman"/>
                <w:sz w:val="21"/>
                <w:szCs w:val="21"/>
              </w:rPr>
            </w:pPr>
            <w:r>
              <w:rPr>
                <w:rFonts w:ascii="Times New Roman"/>
                <w:sz w:val="21"/>
                <w:szCs w:val="21"/>
              </w:rPr>
              <w:t>--</w:t>
            </w:r>
          </w:p>
        </w:tc>
        <w:tc>
          <w:tcPr>
            <w:tcW w:w="1202" w:type="dxa"/>
            <w:vAlign w:val="center"/>
          </w:tcPr>
          <w:p w14:paraId="76169A37">
            <w:pPr>
              <w:adjustRightInd w:val="0"/>
              <w:snapToGrid w:val="0"/>
              <w:jc w:val="center"/>
              <w:rPr>
                <w:rFonts w:ascii="Times New Roman"/>
                <w:sz w:val="21"/>
                <w:szCs w:val="21"/>
              </w:rPr>
            </w:pPr>
            <w:r>
              <w:rPr>
                <w:rFonts w:ascii="Times New Roman"/>
                <w:sz w:val="21"/>
                <w:szCs w:val="21"/>
              </w:rPr>
              <w:t>--</w:t>
            </w:r>
          </w:p>
        </w:tc>
        <w:tc>
          <w:tcPr>
            <w:tcW w:w="1197" w:type="dxa"/>
            <w:vAlign w:val="center"/>
          </w:tcPr>
          <w:p w14:paraId="7234C290">
            <w:pPr>
              <w:adjustRightInd w:val="0"/>
              <w:snapToGrid w:val="0"/>
              <w:jc w:val="center"/>
              <w:rPr>
                <w:rFonts w:ascii="Times New Roman"/>
                <w:sz w:val="21"/>
                <w:szCs w:val="21"/>
              </w:rPr>
            </w:pPr>
            <w:r>
              <w:rPr>
                <w:rFonts w:ascii="Times New Roman"/>
                <w:sz w:val="21"/>
                <w:szCs w:val="21"/>
              </w:rPr>
              <w:t>否</w:t>
            </w:r>
          </w:p>
        </w:tc>
      </w:tr>
    </w:tbl>
    <w:p w14:paraId="349AB7B3">
      <w:pPr>
        <w:spacing w:line="360" w:lineRule="auto"/>
        <w:ind w:firstLine="480" w:firstLineChars="200"/>
        <w:rPr>
          <w:rFonts w:ascii="Times New Roman"/>
          <w:sz w:val="24"/>
          <w:szCs w:val="24"/>
        </w:rPr>
      </w:pPr>
      <w:r>
        <w:rPr>
          <w:rFonts w:hint="eastAsia" w:ascii="Times New Roman"/>
          <w:sz w:val="24"/>
          <w:szCs w:val="24"/>
        </w:rPr>
        <w:t>项目污</w:t>
      </w:r>
      <w:r>
        <w:rPr>
          <w:rFonts w:ascii="Times New Roman"/>
          <w:sz w:val="24"/>
          <w:szCs w:val="24"/>
        </w:rPr>
        <w:t>水处理站距离下游厂界约</w:t>
      </w:r>
      <w:r>
        <w:rPr>
          <w:rFonts w:hint="eastAsia" w:ascii="Times New Roman"/>
          <w:sz w:val="24"/>
          <w:szCs w:val="24"/>
        </w:rPr>
        <w:t>8</w:t>
      </w:r>
      <w:r>
        <w:rPr>
          <w:rFonts w:ascii="Times New Roman"/>
          <w:sz w:val="24"/>
          <w:szCs w:val="24"/>
        </w:rPr>
        <w:t>0m，综上，通过预测发生事故情况下100天、1000天</w:t>
      </w:r>
      <w:r>
        <w:rPr>
          <w:rFonts w:hint="eastAsia"/>
          <w:sz w:val="24"/>
          <w:szCs w:val="24"/>
        </w:rPr>
        <w:t>、3650天</w:t>
      </w:r>
      <w:r>
        <w:rPr>
          <w:rFonts w:ascii="Times New Roman"/>
          <w:sz w:val="24"/>
          <w:szCs w:val="24"/>
        </w:rPr>
        <w:t>及5000天，</w:t>
      </w:r>
      <w:r>
        <w:rPr>
          <w:rFonts w:hint="eastAsia" w:ascii="Times New Roman"/>
          <w:sz w:val="24"/>
          <w:szCs w:val="24"/>
        </w:rPr>
        <w:t>COD</w:t>
      </w:r>
      <w:r>
        <w:rPr>
          <w:rFonts w:ascii="Times New Roman"/>
          <w:sz w:val="24"/>
          <w:szCs w:val="24"/>
        </w:rPr>
        <w:t>和石油类污染情况如下：</w:t>
      </w:r>
    </w:p>
    <w:p w14:paraId="5A44901D">
      <w:pPr>
        <w:spacing w:line="360" w:lineRule="auto"/>
        <w:ind w:firstLine="480" w:firstLineChars="200"/>
        <w:rPr>
          <w:rFonts w:ascii="Times New Roman"/>
          <w:sz w:val="24"/>
          <w:szCs w:val="24"/>
        </w:rPr>
      </w:pPr>
      <w:r>
        <w:rPr>
          <w:rFonts w:ascii="Times New Roman"/>
          <w:sz w:val="24"/>
          <w:szCs w:val="24"/>
        </w:rPr>
        <w:t>COD：100天时，预测的最大值为</w:t>
      </w:r>
      <w:r>
        <w:rPr>
          <w:rFonts w:hint="eastAsia" w:ascii="Times New Roman"/>
          <w:sz w:val="24"/>
          <w:szCs w:val="24"/>
        </w:rPr>
        <w:t>13.195</w:t>
      </w:r>
      <w:r>
        <w:rPr>
          <w:rFonts w:ascii="Times New Roman"/>
          <w:sz w:val="24"/>
          <w:szCs w:val="24"/>
        </w:rPr>
        <w:t>mg/L，预测结果均未超标，影响距离最远为</w:t>
      </w:r>
      <w:r>
        <w:rPr>
          <w:rFonts w:hint="eastAsia" w:ascii="Times New Roman"/>
          <w:sz w:val="24"/>
          <w:szCs w:val="24"/>
        </w:rPr>
        <w:t>75</w:t>
      </w:r>
      <w:r>
        <w:rPr>
          <w:rFonts w:ascii="Times New Roman"/>
          <w:sz w:val="24"/>
          <w:szCs w:val="24"/>
        </w:rPr>
        <w:t>m；1000天时，预测的最大值为</w:t>
      </w:r>
      <w:r>
        <w:rPr>
          <w:rFonts w:hint="eastAsia" w:ascii="Times New Roman"/>
          <w:sz w:val="24"/>
          <w:szCs w:val="24"/>
        </w:rPr>
        <w:t>4.163</w:t>
      </w:r>
      <w:r>
        <w:rPr>
          <w:rFonts w:ascii="Times New Roman"/>
          <w:sz w:val="24"/>
          <w:szCs w:val="24"/>
        </w:rPr>
        <w:t>mg/L，预测结果均未超标，影响距离最远为</w:t>
      </w:r>
      <w:r>
        <w:rPr>
          <w:rFonts w:hint="eastAsia" w:ascii="Times New Roman"/>
          <w:sz w:val="24"/>
          <w:szCs w:val="24"/>
        </w:rPr>
        <w:t>233</w:t>
      </w:r>
      <w:r>
        <w:rPr>
          <w:rFonts w:ascii="Times New Roman"/>
          <w:sz w:val="24"/>
          <w:szCs w:val="24"/>
        </w:rPr>
        <w:t>m；3650天时，预测的最大值为</w:t>
      </w:r>
      <w:r>
        <w:rPr>
          <w:rFonts w:hint="eastAsia" w:ascii="Times New Roman"/>
          <w:sz w:val="24"/>
          <w:szCs w:val="24"/>
        </w:rPr>
        <w:t>2.184</w:t>
      </w:r>
      <w:r>
        <w:rPr>
          <w:rFonts w:ascii="Times New Roman"/>
          <w:sz w:val="24"/>
          <w:szCs w:val="24"/>
        </w:rPr>
        <w:t>mg/L，预测结果均未超标，影响距离最远为</w:t>
      </w:r>
      <w:r>
        <w:rPr>
          <w:rFonts w:hint="eastAsia" w:ascii="Times New Roman"/>
          <w:sz w:val="24"/>
          <w:szCs w:val="24"/>
        </w:rPr>
        <w:t>441</w:t>
      </w:r>
      <w:r>
        <w:rPr>
          <w:rFonts w:ascii="Times New Roman"/>
          <w:sz w:val="24"/>
          <w:szCs w:val="24"/>
        </w:rPr>
        <w:t>m；5000天时，预测的最大值为</w:t>
      </w:r>
      <w:r>
        <w:rPr>
          <w:rFonts w:hint="eastAsia" w:ascii="Times New Roman"/>
          <w:sz w:val="24"/>
          <w:szCs w:val="24"/>
        </w:rPr>
        <w:t>1.873</w:t>
      </w:r>
      <w:r>
        <w:rPr>
          <w:rFonts w:ascii="Times New Roman"/>
          <w:sz w:val="24"/>
          <w:szCs w:val="24"/>
        </w:rPr>
        <w:t>mg/L，预测结果均未超标，影响距离最远为</w:t>
      </w:r>
      <w:r>
        <w:rPr>
          <w:rFonts w:hint="eastAsia" w:ascii="Times New Roman"/>
          <w:sz w:val="24"/>
          <w:szCs w:val="24"/>
        </w:rPr>
        <w:t>512</w:t>
      </w:r>
      <w:r>
        <w:rPr>
          <w:rFonts w:ascii="Times New Roman"/>
          <w:sz w:val="24"/>
          <w:szCs w:val="24"/>
        </w:rPr>
        <w:t>m。</w:t>
      </w:r>
    </w:p>
    <w:p w14:paraId="5C9FDE97">
      <w:pPr>
        <w:spacing w:line="360" w:lineRule="auto"/>
        <w:ind w:firstLine="480" w:firstLineChars="200"/>
        <w:rPr>
          <w:rFonts w:ascii="Times New Roman"/>
          <w:sz w:val="24"/>
          <w:szCs w:val="24"/>
        </w:rPr>
      </w:pPr>
      <w:r>
        <w:rPr>
          <w:rFonts w:ascii="Times New Roman"/>
          <w:sz w:val="24"/>
          <w:szCs w:val="24"/>
        </w:rPr>
        <w:t>石油类：100天时，预测的最大值为0.</w:t>
      </w:r>
      <w:r>
        <w:rPr>
          <w:rFonts w:hint="eastAsia" w:ascii="Times New Roman"/>
          <w:sz w:val="24"/>
          <w:szCs w:val="24"/>
        </w:rPr>
        <w:t>33</w:t>
      </w:r>
      <w:r>
        <w:rPr>
          <w:rFonts w:ascii="Times New Roman"/>
          <w:sz w:val="24"/>
          <w:szCs w:val="24"/>
        </w:rPr>
        <w:t>mg/L，预测超标距离最远为26m（未超出厂界），影响距离最远为</w:t>
      </w:r>
      <w:r>
        <w:rPr>
          <w:rFonts w:hint="eastAsia" w:ascii="Times New Roman"/>
          <w:sz w:val="24"/>
          <w:szCs w:val="24"/>
        </w:rPr>
        <w:t>92</w:t>
      </w:r>
      <w:r>
        <w:rPr>
          <w:rFonts w:ascii="Times New Roman"/>
          <w:sz w:val="24"/>
          <w:szCs w:val="24"/>
        </w:rPr>
        <w:t>m；1000天时，预测的最大值为0.</w:t>
      </w:r>
      <w:r>
        <w:rPr>
          <w:rFonts w:hint="eastAsia" w:ascii="Times New Roman"/>
          <w:sz w:val="24"/>
          <w:szCs w:val="24"/>
        </w:rPr>
        <w:t>105</w:t>
      </w:r>
      <w:r>
        <w:rPr>
          <w:rFonts w:ascii="Times New Roman"/>
          <w:sz w:val="24"/>
          <w:szCs w:val="24"/>
        </w:rPr>
        <w:t>mg/L，预测超标距离最远为</w:t>
      </w:r>
      <w:r>
        <w:rPr>
          <w:rFonts w:hint="eastAsia" w:ascii="Times New Roman"/>
          <w:sz w:val="24"/>
          <w:szCs w:val="24"/>
        </w:rPr>
        <w:t>66</w:t>
      </w:r>
      <w:r>
        <w:rPr>
          <w:rFonts w:ascii="Times New Roman"/>
          <w:sz w:val="24"/>
          <w:szCs w:val="24"/>
        </w:rPr>
        <w:t>m（未超出厂界），影响距离最远为</w:t>
      </w:r>
      <w:r>
        <w:rPr>
          <w:rFonts w:hint="eastAsia" w:ascii="Times New Roman"/>
          <w:sz w:val="24"/>
          <w:szCs w:val="24"/>
        </w:rPr>
        <w:t>281</w:t>
      </w:r>
      <w:r>
        <w:rPr>
          <w:rFonts w:ascii="Times New Roman"/>
          <w:sz w:val="24"/>
          <w:szCs w:val="24"/>
        </w:rPr>
        <w:t>m；3650天时，预测的最大值为0.05</w:t>
      </w:r>
      <w:r>
        <w:rPr>
          <w:rFonts w:hint="eastAsia" w:ascii="Times New Roman"/>
          <w:sz w:val="24"/>
          <w:szCs w:val="24"/>
        </w:rPr>
        <w:t>5</w:t>
      </w:r>
      <w:r>
        <w:rPr>
          <w:rFonts w:ascii="Times New Roman"/>
          <w:sz w:val="24"/>
          <w:szCs w:val="24"/>
        </w:rPr>
        <w:t>mg/L，预测超标距离最远为</w:t>
      </w:r>
      <w:r>
        <w:rPr>
          <w:rFonts w:hint="eastAsia" w:ascii="Times New Roman"/>
          <w:sz w:val="24"/>
          <w:szCs w:val="24"/>
        </w:rPr>
        <w:t>63</w:t>
      </w:r>
      <w:r>
        <w:rPr>
          <w:rFonts w:ascii="Times New Roman"/>
          <w:sz w:val="24"/>
          <w:szCs w:val="24"/>
        </w:rPr>
        <w:t>m（未超出厂界），影响距离最远为</w:t>
      </w:r>
      <w:r>
        <w:rPr>
          <w:rFonts w:hint="eastAsia" w:ascii="Times New Roman"/>
          <w:sz w:val="24"/>
          <w:szCs w:val="24"/>
        </w:rPr>
        <w:t>540</w:t>
      </w:r>
      <w:r>
        <w:rPr>
          <w:rFonts w:ascii="Times New Roman"/>
          <w:sz w:val="24"/>
          <w:szCs w:val="24"/>
        </w:rPr>
        <w:t>m；5000天时，预测的最大值为0.04</w:t>
      </w:r>
      <w:r>
        <w:rPr>
          <w:rFonts w:hint="eastAsia" w:ascii="Times New Roman"/>
          <w:sz w:val="24"/>
          <w:szCs w:val="24"/>
        </w:rPr>
        <w:t>7</w:t>
      </w:r>
      <w:r>
        <w:rPr>
          <w:rFonts w:ascii="Times New Roman"/>
          <w:sz w:val="24"/>
          <w:szCs w:val="24"/>
        </w:rPr>
        <w:t>mg/L，预测结果均未超标，影响距离最远为</w:t>
      </w:r>
      <w:r>
        <w:rPr>
          <w:rFonts w:hint="eastAsia" w:ascii="Times New Roman"/>
          <w:sz w:val="24"/>
          <w:szCs w:val="24"/>
        </w:rPr>
        <w:t>632</w:t>
      </w:r>
      <w:r>
        <w:rPr>
          <w:rFonts w:ascii="Times New Roman"/>
          <w:sz w:val="24"/>
          <w:szCs w:val="24"/>
        </w:rPr>
        <w:t>m。</w:t>
      </w:r>
    </w:p>
    <w:p w14:paraId="57EAE1BC">
      <w:pPr>
        <w:adjustRightInd w:val="0"/>
        <w:snapToGrid w:val="0"/>
        <w:spacing w:line="360" w:lineRule="auto"/>
        <w:ind w:firstLine="480" w:firstLineChars="200"/>
        <w:rPr>
          <w:rFonts w:ascii="Times New Roman"/>
          <w:b/>
          <w:sz w:val="24"/>
          <w:szCs w:val="24"/>
        </w:rPr>
      </w:pPr>
      <w:r>
        <w:rPr>
          <w:rFonts w:ascii="Times New Roman"/>
          <w:sz w:val="24"/>
          <w:szCs w:val="24"/>
        </w:rPr>
        <w:t>因此通过以上分析可知，在上述情景下厂区污染物发生泄漏后，厂界污染物未超标，不会对周边环境敏感点产生影响。</w:t>
      </w:r>
    </w:p>
    <w:p w14:paraId="36AE1082">
      <w:pPr>
        <w:snapToGrid w:val="0"/>
        <w:spacing w:line="360" w:lineRule="auto"/>
        <w:outlineLvl w:val="3"/>
        <w:rPr>
          <w:rFonts w:ascii="Times New Roman"/>
          <w:b/>
          <w:sz w:val="24"/>
          <w:szCs w:val="24"/>
        </w:rPr>
      </w:pPr>
      <w:r>
        <w:rPr>
          <w:rFonts w:ascii="Times New Roman"/>
          <w:b/>
          <w:sz w:val="24"/>
          <w:szCs w:val="24"/>
        </w:rPr>
        <w:t>5.2.3.5地下水污染防治和应急措施</w:t>
      </w:r>
    </w:p>
    <w:p w14:paraId="38239D01">
      <w:pPr>
        <w:spacing w:line="480" w:lineRule="exact"/>
        <w:ind w:firstLine="480" w:firstLineChars="200"/>
        <w:rPr>
          <w:rFonts w:ascii="Times New Roman"/>
          <w:sz w:val="24"/>
          <w:szCs w:val="24"/>
        </w:rPr>
      </w:pPr>
      <w:r>
        <w:rPr>
          <w:rFonts w:ascii="Times New Roman"/>
          <w:sz w:val="24"/>
          <w:szCs w:val="24"/>
        </w:rPr>
        <w:t>（1）分区防渗措施</w:t>
      </w:r>
    </w:p>
    <w:p w14:paraId="00F5E2C4">
      <w:pPr>
        <w:spacing w:line="480" w:lineRule="exact"/>
        <w:ind w:firstLine="480" w:firstLineChars="200"/>
        <w:rPr>
          <w:rFonts w:ascii="Times New Roman"/>
          <w:sz w:val="24"/>
          <w:szCs w:val="24"/>
        </w:rPr>
      </w:pPr>
      <w:r>
        <w:rPr>
          <w:rFonts w:ascii="Times New Roman"/>
          <w:sz w:val="24"/>
          <w:szCs w:val="24"/>
        </w:rPr>
        <w:t>为了防止对地下水的污染，根据《环境影响评价技术导则 地下水环境》（HJ610-2016）相关要求，本次将工程防渗分区划分为重点防渗区、一般防渗区、简单防渗区。根据《环境影响评价技术导则 地下水环境》（HJ610-2016）、《危险废物贮存污染控制标准》(GB18597-2001)及2013年修改单等相关要求，重点防渗区要求防渗系数小于10</w:t>
      </w:r>
      <w:r>
        <w:rPr>
          <w:rFonts w:ascii="Times New Roman"/>
          <w:sz w:val="24"/>
          <w:szCs w:val="24"/>
          <w:vertAlign w:val="superscript"/>
        </w:rPr>
        <w:t>-10</w:t>
      </w:r>
      <w:r>
        <w:rPr>
          <w:rFonts w:ascii="Times New Roman"/>
          <w:sz w:val="24"/>
          <w:szCs w:val="24"/>
        </w:rPr>
        <w:t>cm/s，一般防渗区要求防渗系数小于10</w:t>
      </w:r>
      <w:r>
        <w:rPr>
          <w:rFonts w:ascii="Times New Roman"/>
          <w:sz w:val="24"/>
          <w:szCs w:val="24"/>
          <w:vertAlign w:val="superscript"/>
        </w:rPr>
        <w:t>-7</w:t>
      </w:r>
      <w:r>
        <w:rPr>
          <w:rFonts w:ascii="Times New Roman"/>
          <w:sz w:val="24"/>
          <w:szCs w:val="24"/>
        </w:rPr>
        <w:t>cm/s。</w:t>
      </w:r>
    </w:p>
    <w:p w14:paraId="5CF9737C">
      <w:pPr>
        <w:spacing w:line="480" w:lineRule="exact"/>
        <w:ind w:firstLine="480" w:firstLineChars="200"/>
        <w:rPr>
          <w:rFonts w:ascii="Times New Roman"/>
          <w:sz w:val="24"/>
          <w:szCs w:val="24"/>
        </w:rPr>
      </w:pPr>
      <w:r>
        <w:rPr>
          <w:rFonts w:ascii="Times New Roman"/>
          <w:sz w:val="24"/>
        </w:rPr>
        <w:t>具体防腐防渗措施见</w:t>
      </w:r>
      <w:r>
        <w:rPr>
          <w:rFonts w:hint="eastAsia" w:ascii="Times New Roman"/>
          <w:sz w:val="24"/>
        </w:rPr>
        <w:t>下</w:t>
      </w:r>
      <w:r>
        <w:rPr>
          <w:rFonts w:ascii="Times New Roman"/>
          <w:sz w:val="24"/>
        </w:rPr>
        <w:t>表。</w:t>
      </w:r>
    </w:p>
    <w:p w14:paraId="774FAAF2">
      <w:pPr>
        <w:spacing w:line="480" w:lineRule="exact"/>
        <w:jc w:val="center"/>
        <w:rPr>
          <w:rFonts w:ascii="Times New Roman"/>
          <w:sz w:val="24"/>
          <w:szCs w:val="24"/>
        </w:rPr>
      </w:pPr>
      <w:r>
        <w:rPr>
          <w:rFonts w:ascii="Times New Roman"/>
          <w:b/>
          <w:sz w:val="24"/>
        </w:rPr>
        <w:t>表5.2</w:t>
      </w:r>
      <w:r>
        <w:rPr>
          <w:rFonts w:hint="eastAsia" w:ascii="Times New Roman"/>
          <w:b/>
          <w:sz w:val="24"/>
        </w:rPr>
        <w:t>.3</w:t>
      </w:r>
      <w:r>
        <w:rPr>
          <w:rFonts w:ascii="Times New Roman"/>
          <w:b/>
          <w:sz w:val="24"/>
        </w:rPr>
        <w:t>-</w:t>
      </w:r>
      <w:r>
        <w:rPr>
          <w:rFonts w:hint="eastAsia" w:ascii="Times New Roman"/>
          <w:b/>
          <w:sz w:val="24"/>
        </w:rPr>
        <w:t>2</w:t>
      </w:r>
      <w:r>
        <w:rPr>
          <w:rFonts w:ascii="Times New Roman"/>
          <w:b/>
          <w:sz w:val="24"/>
        </w:rPr>
        <w:t xml:space="preserve">  项目厂区防渗分区及防渗要求</w:t>
      </w:r>
    </w:p>
    <w:tbl>
      <w:tblPr>
        <w:tblStyle w:val="84"/>
        <w:tblW w:w="50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7"/>
        <w:gridCol w:w="1327"/>
        <w:gridCol w:w="4323"/>
        <w:gridCol w:w="2260"/>
      </w:tblGrid>
      <w:tr w14:paraId="185D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9"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3218CD88">
            <w:pPr>
              <w:adjustRightInd w:val="0"/>
              <w:snapToGrid w:val="0"/>
              <w:spacing w:line="320" w:lineRule="exact"/>
              <w:jc w:val="center"/>
              <w:rPr>
                <w:rFonts w:ascii="Times New Roman"/>
                <w:sz w:val="21"/>
                <w:szCs w:val="21"/>
              </w:rPr>
            </w:pPr>
            <w:r>
              <w:rPr>
                <w:rFonts w:ascii="Times New Roman"/>
                <w:sz w:val="21"/>
                <w:szCs w:val="21"/>
              </w:rPr>
              <w:t>序号</w:t>
            </w:r>
          </w:p>
        </w:tc>
        <w:tc>
          <w:tcPr>
            <w:tcW w:w="788" w:type="pct"/>
            <w:tcBorders>
              <w:top w:val="single" w:color="auto" w:sz="4" w:space="0"/>
              <w:left w:val="single" w:color="auto" w:sz="4" w:space="0"/>
              <w:bottom w:val="single" w:color="auto" w:sz="4" w:space="0"/>
              <w:right w:val="single" w:color="auto" w:sz="4" w:space="0"/>
            </w:tcBorders>
            <w:vAlign w:val="center"/>
          </w:tcPr>
          <w:p w14:paraId="139B1457">
            <w:pPr>
              <w:adjustRightInd w:val="0"/>
              <w:snapToGrid w:val="0"/>
              <w:spacing w:line="320" w:lineRule="exact"/>
              <w:jc w:val="center"/>
              <w:rPr>
                <w:rFonts w:ascii="Times New Roman"/>
                <w:sz w:val="21"/>
                <w:szCs w:val="21"/>
              </w:rPr>
            </w:pPr>
            <w:r>
              <w:rPr>
                <w:rFonts w:ascii="Times New Roman"/>
                <w:sz w:val="21"/>
                <w:szCs w:val="21"/>
              </w:rPr>
              <w:t>污染分区</w:t>
            </w:r>
          </w:p>
        </w:tc>
        <w:tc>
          <w:tcPr>
            <w:tcW w:w="2567" w:type="pct"/>
            <w:tcBorders>
              <w:top w:val="single" w:color="auto" w:sz="4" w:space="0"/>
              <w:left w:val="single" w:color="auto" w:sz="4" w:space="0"/>
              <w:bottom w:val="single" w:color="auto" w:sz="4" w:space="0"/>
              <w:right w:val="single" w:color="auto" w:sz="4" w:space="0"/>
            </w:tcBorders>
            <w:vAlign w:val="center"/>
          </w:tcPr>
          <w:p w14:paraId="0737E478">
            <w:pPr>
              <w:adjustRightInd w:val="0"/>
              <w:snapToGrid w:val="0"/>
              <w:spacing w:line="320" w:lineRule="exact"/>
              <w:jc w:val="center"/>
              <w:rPr>
                <w:rFonts w:ascii="Times New Roman"/>
                <w:sz w:val="21"/>
                <w:szCs w:val="21"/>
              </w:rPr>
            </w:pPr>
            <w:r>
              <w:rPr>
                <w:rFonts w:ascii="Times New Roman"/>
                <w:sz w:val="21"/>
                <w:szCs w:val="21"/>
              </w:rPr>
              <w:t>名称</w:t>
            </w:r>
          </w:p>
        </w:tc>
        <w:tc>
          <w:tcPr>
            <w:tcW w:w="1342" w:type="pct"/>
            <w:tcBorders>
              <w:top w:val="single" w:color="auto" w:sz="4" w:space="0"/>
              <w:left w:val="single" w:color="auto" w:sz="4" w:space="0"/>
              <w:bottom w:val="single" w:color="auto" w:sz="4" w:space="0"/>
              <w:right w:val="single" w:color="auto" w:sz="4" w:space="0"/>
            </w:tcBorders>
            <w:vAlign w:val="center"/>
          </w:tcPr>
          <w:p w14:paraId="66417A00">
            <w:pPr>
              <w:widowControl/>
              <w:spacing w:line="320" w:lineRule="exact"/>
              <w:jc w:val="center"/>
              <w:rPr>
                <w:rFonts w:ascii="Times New Roman"/>
                <w:snapToGrid w:val="0"/>
                <w:kern w:val="0"/>
                <w:sz w:val="21"/>
                <w:szCs w:val="21"/>
              </w:rPr>
            </w:pPr>
            <w:r>
              <w:rPr>
                <w:rFonts w:ascii="Times New Roman"/>
                <w:snapToGrid w:val="0"/>
                <w:kern w:val="0"/>
                <w:sz w:val="21"/>
                <w:szCs w:val="21"/>
              </w:rPr>
              <w:t>渗透系数</w:t>
            </w:r>
          </w:p>
        </w:tc>
      </w:tr>
      <w:tr w14:paraId="1BBF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7D028B88">
            <w:pPr>
              <w:adjustRightInd w:val="0"/>
              <w:snapToGrid w:val="0"/>
              <w:spacing w:line="320" w:lineRule="exact"/>
              <w:jc w:val="center"/>
              <w:rPr>
                <w:rFonts w:ascii="Times New Roman"/>
                <w:sz w:val="21"/>
                <w:szCs w:val="21"/>
              </w:rPr>
            </w:pPr>
            <w:r>
              <w:rPr>
                <w:rFonts w:ascii="Times New Roman"/>
                <w:sz w:val="21"/>
                <w:szCs w:val="21"/>
              </w:rPr>
              <w:t>1</w:t>
            </w:r>
          </w:p>
        </w:tc>
        <w:tc>
          <w:tcPr>
            <w:tcW w:w="788" w:type="pct"/>
            <w:tcBorders>
              <w:top w:val="single" w:color="auto" w:sz="4" w:space="0"/>
              <w:left w:val="single" w:color="auto" w:sz="4" w:space="0"/>
              <w:bottom w:val="single" w:color="auto" w:sz="4" w:space="0"/>
              <w:right w:val="single" w:color="auto" w:sz="4" w:space="0"/>
            </w:tcBorders>
            <w:vAlign w:val="center"/>
          </w:tcPr>
          <w:p w14:paraId="032CC882">
            <w:pPr>
              <w:widowControl/>
              <w:spacing w:line="320" w:lineRule="exact"/>
              <w:jc w:val="center"/>
              <w:rPr>
                <w:rFonts w:ascii="Times New Roman"/>
                <w:snapToGrid w:val="0"/>
                <w:kern w:val="0"/>
                <w:sz w:val="21"/>
                <w:szCs w:val="21"/>
              </w:rPr>
            </w:pPr>
            <w:r>
              <w:rPr>
                <w:rFonts w:ascii="Times New Roman"/>
                <w:snapToGrid w:val="0"/>
                <w:kern w:val="0"/>
                <w:sz w:val="21"/>
                <w:szCs w:val="21"/>
              </w:rPr>
              <w:t>重点防渗区</w:t>
            </w:r>
          </w:p>
        </w:tc>
        <w:tc>
          <w:tcPr>
            <w:tcW w:w="2567" w:type="pct"/>
            <w:tcBorders>
              <w:top w:val="single" w:color="auto" w:sz="4" w:space="0"/>
              <w:left w:val="single" w:color="auto" w:sz="4" w:space="0"/>
              <w:bottom w:val="single" w:color="auto" w:sz="4" w:space="0"/>
              <w:right w:val="single" w:color="auto" w:sz="4" w:space="0"/>
            </w:tcBorders>
            <w:vAlign w:val="center"/>
          </w:tcPr>
          <w:p w14:paraId="3D4367C8">
            <w:pPr>
              <w:widowControl/>
              <w:spacing w:line="320" w:lineRule="exact"/>
              <w:jc w:val="center"/>
              <w:rPr>
                <w:rFonts w:ascii="Times New Roman"/>
                <w:snapToGrid w:val="0"/>
                <w:kern w:val="0"/>
                <w:sz w:val="21"/>
                <w:szCs w:val="21"/>
              </w:rPr>
            </w:pPr>
            <w:r>
              <w:rPr>
                <w:rFonts w:ascii="Times New Roman"/>
                <w:kern w:val="0"/>
                <w:sz w:val="21"/>
                <w:szCs w:val="21"/>
              </w:rPr>
              <w:t>表面涂装区</w:t>
            </w:r>
            <w:r>
              <w:rPr>
                <w:rFonts w:hint="eastAsia" w:ascii="Times New Roman"/>
                <w:kern w:val="0"/>
                <w:sz w:val="21"/>
                <w:szCs w:val="21"/>
              </w:rPr>
              <w:t>（喷漆线、电泳线）</w:t>
            </w:r>
            <w:r>
              <w:rPr>
                <w:rFonts w:ascii="Times New Roman"/>
                <w:kern w:val="0"/>
                <w:sz w:val="21"/>
                <w:szCs w:val="21"/>
              </w:rPr>
              <w:t>、</w:t>
            </w:r>
            <w:r>
              <w:rPr>
                <w:rFonts w:hint="eastAsia" w:ascii="Times New Roman"/>
                <w:bCs/>
                <w:sz w:val="21"/>
                <w:szCs w:val="21"/>
              </w:rPr>
              <w:t>污水处理站、</w:t>
            </w:r>
            <w:r>
              <w:rPr>
                <w:rFonts w:ascii="Times New Roman"/>
                <w:bCs/>
                <w:sz w:val="21"/>
                <w:szCs w:val="21"/>
              </w:rPr>
              <w:t>危废</w:t>
            </w:r>
            <w:r>
              <w:rPr>
                <w:rFonts w:hint="eastAsia" w:ascii="Times New Roman"/>
                <w:bCs/>
                <w:sz w:val="21"/>
                <w:szCs w:val="21"/>
              </w:rPr>
              <w:t>库</w:t>
            </w:r>
            <w:r>
              <w:rPr>
                <w:rFonts w:ascii="Times New Roman"/>
                <w:bCs/>
                <w:sz w:val="21"/>
                <w:szCs w:val="21"/>
              </w:rPr>
              <w:t>、</w:t>
            </w:r>
            <w:r>
              <w:rPr>
                <w:rFonts w:ascii="Times New Roman"/>
                <w:sz w:val="21"/>
                <w:szCs w:val="21"/>
              </w:rPr>
              <w:t>危化库</w:t>
            </w:r>
            <w:r>
              <w:rPr>
                <w:rFonts w:hint="eastAsia" w:ascii="Times New Roman"/>
                <w:sz w:val="21"/>
                <w:szCs w:val="21"/>
              </w:rPr>
              <w:t>等</w:t>
            </w:r>
          </w:p>
        </w:tc>
        <w:tc>
          <w:tcPr>
            <w:tcW w:w="1342" w:type="pct"/>
            <w:tcBorders>
              <w:top w:val="single" w:color="auto" w:sz="4" w:space="0"/>
              <w:left w:val="single" w:color="auto" w:sz="4" w:space="0"/>
              <w:bottom w:val="single" w:color="auto" w:sz="4" w:space="0"/>
              <w:right w:val="single" w:color="auto" w:sz="4" w:space="0"/>
            </w:tcBorders>
            <w:vAlign w:val="center"/>
          </w:tcPr>
          <w:p w14:paraId="264D51CF">
            <w:pPr>
              <w:widowControl/>
              <w:spacing w:line="320" w:lineRule="exact"/>
              <w:jc w:val="center"/>
              <w:rPr>
                <w:rFonts w:ascii="Times New Roman"/>
                <w:snapToGrid w:val="0"/>
                <w:kern w:val="0"/>
                <w:sz w:val="21"/>
                <w:szCs w:val="21"/>
              </w:rPr>
            </w:pPr>
            <w:r>
              <w:rPr>
                <w:rFonts w:ascii="Times New Roman"/>
                <w:bCs/>
                <w:sz w:val="21"/>
                <w:szCs w:val="21"/>
              </w:rPr>
              <w:t>≤1×10</w:t>
            </w:r>
            <w:r>
              <w:rPr>
                <w:rFonts w:ascii="Times New Roman"/>
                <w:bCs/>
                <w:sz w:val="21"/>
                <w:szCs w:val="21"/>
                <w:vertAlign w:val="superscript"/>
              </w:rPr>
              <w:t>-10</w:t>
            </w:r>
            <w:r>
              <w:rPr>
                <w:rFonts w:ascii="Times New Roman"/>
                <w:bCs/>
                <w:sz w:val="21"/>
                <w:szCs w:val="21"/>
              </w:rPr>
              <w:t>cm/s</w:t>
            </w:r>
          </w:p>
        </w:tc>
      </w:tr>
      <w:tr w14:paraId="0EF2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41B4D2EF">
            <w:pPr>
              <w:adjustRightInd w:val="0"/>
              <w:snapToGrid w:val="0"/>
              <w:spacing w:line="320" w:lineRule="exact"/>
              <w:jc w:val="center"/>
              <w:rPr>
                <w:rFonts w:ascii="Times New Roman"/>
                <w:sz w:val="21"/>
                <w:szCs w:val="21"/>
              </w:rPr>
            </w:pPr>
            <w:r>
              <w:rPr>
                <w:rFonts w:ascii="Times New Roman"/>
                <w:sz w:val="21"/>
                <w:szCs w:val="21"/>
              </w:rPr>
              <w:t>2</w:t>
            </w:r>
          </w:p>
        </w:tc>
        <w:tc>
          <w:tcPr>
            <w:tcW w:w="788" w:type="pct"/>
            <w:tcBorders>
              <w:top w:val="single" w:color="auto" w:sz="4" w:space="0"/>
              <w:left w:val="single" w:color="auto" w:sz="4" w:space="0"/>
              <w:bottom w:val="single" w:color="auto" w:sz="4" w:space="0"/>
              <w:right w:val="single" w:color="auto" w:sz="4" w:space="0"/>
            </w:tcBorders>
            <w:vAlign w:val="center"/>
          </w:tcPr>
          <w:p w14:paraId="6C5850CD">
            <w:pPr>
              <w:adjustRightInd w:val="0"/>
              <w:snapToGrid w:val="0"/>
              <w:spacing w:line="320" w:lineRule="exact"/>
              <w:jc w:val="center"/>
              <w:rPr>
                <w:rFonts w:ascii="Times New Roman"/>
                <w:sz w:val="21"/>
                <w:szCs w:val="21"/>
              </w:rPr>
            </w:pPr>
            <w:r>
              <w:rPr>
                <w:rFonts w:ascii="Times New Roman"/>
                <w:sz w:val="21"/>
                <w:szCs w:val="21"/>
              </w:rPr>
              <w:t>一般防渗区</w:t>
            </w:r>
          </w:p>
        </w:tc>
        <w:tc>
          <w:tcPr>
            <w:tcW w:w="2567" w:type="pct"/>
            <w:tcBorders>
              <w:top w:val="single" w:color="auto" w:sz="4" w:space="0"/>
              <w:left w:val="single" w:color="auto" w:sz="4" w:space="0"/>
              <w:bottom w:val="single" w:color="auto" w:sz="4" w:space="0"/>
              <w:right w:val="single" w:color="auto" w:sz="4" w:space="0"/>
            </w:tcBorders>
            <w:vAlign w:val="center"/>
          </w:tcPr>
          <w:p w14:paraId="35FA42F0">
            <w:pPr>
              <w:adjustRightInd w:val="0"/>
              <w:snapToGrid w:val="0"/>
              <w:spacing w:line="320" w:lineRule="exact"/>
              <w:jc w:val="center"/>
              <w:rPr>
                <w:rFonts w:ascii="Times New Roman"/>
                <w:sz w:val="21"/>
                <w:szCs w:val="21"/>
              </w:rPr>
            </w:pPr>
            <w:r>
              <w:rPr>
                <w:rFonts w:ascii="Times New Roman"/>
                <w:bCs/>
                <w:sz w:val="21"/>
                <w:szCs w:val="21"/>
              </w:rPr>
              <w:t>车间其他区域</w:t>
            </w:r>
            <w:r>
              <w:rPr>
                <w:rFonts w:hint="eastAsia" w:ascii="Times New Roman"/>
                <w:bCs/>
                <w:sz w:val="21"/>
                <w:szCs w:val="21"/>
              </w:rPr>
              <w:t>、消防水池</w:t>
            </w:r>
            <w:r>
              <w:rPr>
                <w:rFonts w:ascii="Times New Roman"/>
                <w:bCs/>
                <w:sz w:val="21"/>
                <w:szCs w:val="21"/>
              </w:rPr>
              <w:t>、</w:t>
            </w:r>
            <w:r>
              <w:rPr>
                <w:rFonts w:ascii="Times New Roman"/>
                <w:sz w:val="21"/>
                <w:szCs w:val="21"/>
              </w:rPr>
              <w:t>垃圾回收房</w:t>
            </w:r>
            <w:r>
              <w:rPr>
                <w:rFonts w:hint="eastAsia" w:ascii="Times New Roman"/>
                <w:sz w:val="21"/>
                <w:szCs w:val="21"/>
              </w:rPr>
              <w:t>等</w:t>
            </w:r>
          </w:p>
        </w:tc>
        <w:tc>
          <w:tcPr>
            <w:tcW w:w="1342" w:type="pct"/>
            <w:tcBorders>
              <w:top w:val="single" w:color="auto" w:sz="4" w:space="0"/>
              <w:left w:val="single" w:color="auto" w:sz="4" w:space="0"/>
              <w:bottom w:val="single" w:color="auto" w:sz="4" w:space="0"/>
              <w:right w:val="single" w:color="auto" w:sz="4" w:space="0"/>
            </w:tcBorders>
            <w:vAlign w:val="center"/>
          </w:tcPr>
          <w:p w14:paraId="287B45A0">
            <w:pPr>
              <w:widowControl/>
              <w:spacing w:line="320" w:lineRule="exact"/>
              <w:jc w:val="center"/>
              <w:rPr>
                <w:rFonts w:ascii="Times New Roman"/>
                <w:snapToGrid w:val="0"/>
                <w:kern w:val="0"/>
                <w:sz w:val="21"/>
                <w:szCs w:val="21"/>
              </w:rPr>
            </w:pPr>
            <w:r>
              <w:rPr>
                <w:rFonts w:ascii="Times New Roman"/>
                <w:sz w:val="21"/>
                <w:szCs w:val="21"/>
              </w:rPr>
              <w:t>≤1×10</w:t>
            </w:r>
            <w:r>
              <w:rPr>
                <w:rFonts w:ascii="Times New Roman"/>
                <w:sz w:val="21"/>
                <w:szCs w:val="21"/>
                <w:vertAlign w:val="superscript"/>
              </w:rPr>
              <w:t>-7</w:t>
            </w:r>
            <w:r>
              <w:rPr>
                <w:rFonts w:ascii="Times New Roman"/>
                <w:sz w:val="21"/>
                <w:szCs w:val="21"/>
              </w:rPr>
              <w:t>cm/s</w:t>
            </w:r>
          </w:p>
        </w:tc>
      </w:tr>
      <w:tr w14:paraId="5091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14:paraId="3C586E06">
            <w:pPr>
              <w:adjustRightInd w:val="0"/>
              <w:snapToGrid w:val="0"/>
              <w:spacing w:line="320" w:lineRule="exact"/>
              <w:jc w:val="center"/>
              <w:rPr>
                <w:rFonts w:ascii="Times New Roman"/>
                <w:sz w:val="21"/>
                <w:szCs w:val="21"/>
              </w:rPr>
            </w:pPr>
            <w:r>
              <w:rPr>
                <w:rFonts w:ascii="Times New Roman"/>
                <w:sz w:val="21"/>
                <w:szCs w:val="21"/>
              </w:rPr>
              <w:t>3</w:t>
            </w:r>
          </w:p>
        </w:tc>
        <w:tc>
          <w:tcPr>
            <w:tcW w:w="788" w:type="pct"/>
            <w:tcBorders>
              <w:top w:val="single" w:color="auto" w:sz="4" w:space="0"/>
              <w:left w:val="single" w:color="auto" w:sz="4" w:space="0"/>
              <w:bottom w:val="single" w:color="auto" w:sz="4" w:space="0"/>
              <w:right w:val="single" w:color="auto" w:sz="4" w:space="0"/>
            </w:tcBorders>
            <w:vAlign w:val="center"/>
          </w:tcPr>
          <w:p w14:paraId="548B9D73">
            <w:pPr>
              <w:adjustRightInd w:val="0"/>
              <w:snapToGrid w:val="0"/>
              <w:spacing w:line="320" w:lineRule="exact"/>
              <w:jc w:val="center"/>
              <w:rPr>
                <w:rFonts w:ascii="Times New Roman"/>
                <w:sz w:val="21"/>
                <w:szCs w:val="21"/>
              </w:rPr>
            </w:pPr>
            <w:r>
              <w:rPr>
                <w:rFonts w:ascii="Times New Roman"/>
                <w:sz w:val="21"/>
                <w:szCs w:val="21"/>
              </w:rPr>
              <w:t>简单防渗区</w:t>
            </w:r>
          </w:p>
        </w:tc>
        <w:tc>
          <w:tcPr>
            <w:tcW w:w="2567" w:type="pct"/>
            <w:tcBorders>
              <w:top w:val="single" w:color="auto" w:sz="4" w:space="0"/>
              <w:left w:val="single" w:color="auto" w:sz="4" w:space="0"/>
              <w:bottom w:val="single" w:color="auto" w:sz="4" w:space="0"/>
              <w:right w:val="single" w:color="auto" w:sz="4" w:space="0"/>
            </w:tcBorders>
            <w:vAlign w:val="center"/>
          </w:tcPr>
          <w:p w14:paraId="398E7ADF">
            <w:pPr>
              <w:adjustRightInd w:val="0"/>
              <w:snapToGrid w:val="0"/>
              <w:spacing w:line="320" w:lineRule="exact"/>
              <w:jc w:val="center"/>
              <w:rPr>
                <w:rFonts w:ascii="Times New Roman"/>
                <w:sz w:val="21"/>
                <w:szCs w:val="21"/>
              </w:rPr>
            </w:pPr>
            <w:r>
              <w:rPr>
                <w:rFonts w:ascii="Times New Roman"/>
                <w:bCs/>
                <w:sz w:val="21"/>
                <w:szCs w:val="21"/>
              </w:rPr>
              <w:t>除绿化外其他全部区域</w:t>
            </w:r>
          </w:p>
        </w:tc>
        <w:tc>
          <w:tcPr>
            <w:tcW w:w="1342" w:type="pct"/>
            <w:tcBorders>
              <w:top w:val="single" w:color="auto" w:sz="4" w:space="0"/>
              <w:left w:val="single" w:color="auto" w:sz="4" w:space="0"/>
              <w:bottom w:val="single" w:color="auto" w:sz="4" w:space="0"/>
              <w:right w:val="single" w:color="auto" w:sz="4" w:space="0"/>
            </w:tcBorders>
            <w:vAlign w:val="center"/>
          </w:tcPr>
          <w:p w14:paraId="17D86D03">
            <w:pPr>
              <w:widowControl/>
              <w:spacing w:line="320" w:lineRule="exact"/>
              <w:jc w:val="center"/>
              <w:rPr>
                <w:rFonts w:ascii="Times New Roman"/>
                <w:snapToGrid w:val="0"/>
                <w:kern w:val="0"/>
                <w:sz w:val="21"/>
                <w:szCs w:val="21"/>
              </w:rPr>
            </w:pPr>
            <w:r>
              <w:rPr>
                <w:rFonts w:ascii="Times New Roman"/>
                <w:sz w:val="21"/>
                <w:szCs w:val="21"/>
              </w:rPr>
              <w:t>抗渗混凝土浇筑硬化</w:t>
            </w:r>
          </w:p>
        </w:tc>
      </w:tr>
    </w:tbl>
    <w:p w14:paraId="500C012A">
      <w:pPr>
        <w:spacing w:line="480" w:lineRule="exact"/>
        <w:ind w:firstLine="482" w:firstLineChars="200"/>
        <w:jc w:val="center"/>
        <w:rPr>
          <w:rFonts w:ascii="Times New Roman"/>
          <w:b/>
          <w:bCs/>
          <w:sz w:val="24"/>
          <w:szCs w:val="24"/>
        </w:rPr>
      </w:pPr>
      <w:r>
        <w:rPr>
          <w:rFonts w:ascii="Times New Roman"/>
          <w:b/>
          <w:sz w:val="24"/>
          <w:szCs w:val="24"/>
        </w:rPr>
        <w:t>表5.2</w:t>
      </w:r>
      <w:r>
        <w:rPr>
          <w:rFonts w:hint="eastAsia" w:ascii="Times New Roman"/>
          <w:b/>
          <w:sz w:val="24"/>
          <w:szCs w:val="24"/>
        </w:rPr>
        <w:t>.3</w:t>
      </w:r>
      <w:r>
        <w:rPr>
          <w:rFonts w:ascii="Times New Roman"/>
          <w:b/>
          <w:sz w:val="24"/>
          <w:szCs w:val="24"/>
        </w:rPr>
        <w:t>-</w:t>
      </w:r>
      <w:r>
        <w:rPr>
          <w:rFonts w:hint="eastAsia" w:ascii="Times New Roman"/>
          <w:b/>
          <w:sz w:val="24"/>
          <w:szCs w:val="24"/>
        </w:rPr>
        <w:t>3</w:t>
      </w:r>
      <w:r>
        <w:rPr>
          <w:rFonts w:ascii="Times New Roman"/>
          <w:b/>
          <w:sz w:val="24"/>
          <w:szCs w:val="24"/>
        </w:rPr>
        <w:t xml:space="preserve">  </w:t>
      </w:r>
      <w:r>
        <w:rPr>
          <w:rFonts w:ascii="Times New Roman"/>
          <w:b/>
          <w:bCs/>
          <w:sz w:val="24"/>
          <w:szCs w:val="24"/>
        </w:rPr>
        <w:t>项目防渗措施一览表</w:t>
      </w:r>
    </w:p>
    <w:tbl>
      <w:tblPr>
        <w:tblStyle w:val="8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06"/>
        <w:gridCol w:w="2510"/>
        <w:gridCol w:w="4743"/>
      </w:tblGrid>
      <w:tr w14:paraId="67433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0" w:type="auto"/>
            <w:tcBorders>
              <w:top w:val="single" w:color="auto" w:sz="4" w:space="0"/>
              <w:left w:val="single" w:color="auto" w:sz="4" w:space="0"/>
              <w:right w:val="single" w:color="auto" w:sz="4" w:space="0"/>
            </w:tcBorders>
            <w:vAlign w:val="center"/>
          </w:tcPr>
          <w:p w14:paraId="0F4C682F">
            <w:pPr>
              <w:adjustRightInd w:val="0"/>
              <w:snapToGrid w:val="0"/>
              <w:spacing w:line="260" w:lineRule="exact"/>
              <w:jc w:val="center"/>
              <w:rPr>
                <w:rFonts w:ascii="Times New Roman"/>
                <w:sz w:val="21"/>
                <w:szCs w:val="21"/>
              </w:rPr>
            </w:pPr>
            <w:r>
              <w:rPr>
                <w:rFonts w:ascii="Times New Roman"/>
                <w:sz w:val="21"/>
                <w:szCs w:val="21"/>
              </w:rPr>
              <w:t>类别</w:t>
            </w:r>
          </w:p>
        </w:tc>
        <w:tc>
          <w:tcPr>
            <w:tcW w:w="2510" w:type="dxa"/>
            <w:tcBorders>
              <w:top w:val="single" w:color="auto" w:sz="4" w:space="0"/>
              <w:left w:val="single" w:color="auto" w:sz="4" w:space="0"/>
              <w:right w:val="single" w:color="auto" w:sz="4" w:space="0"/>
            </w:tcBorders>
            <w:vAlign w:val="center"/>
          </w:tcPr>
          <w:p w14:paraId="0CB5F7BA">
            <w:pPr>
              <w:adjustRightInd w:val="0"/>
              <w:snapToGrid w:val="0"/>
              <w:spacing w:line="260" w:lineRule="exact"/>
              <w:jc w:val="center"/>
              <w:rPr>
                <w:rFonts w:ascii="Times New Roman"/>
                <w:sz w:val="21"/>
                <w:szCs w:val="21"/>
              </w:rPr>
            </w:pPr>
            <w:r>
              <w:rPr>
                <w:rFonts w:ascii="Times New Roman"/>
                <w:sz w:val="21"/>
                <w:szCs w:val="21"/>
              </w:rPr>
              <w:t>区域</w:t>
            </w:r>
          </w:p>
        </w:tc>
        <w:tc>
          <w:tcPr>
            <w:tcW w:w="4743" w:type="dxa"/>
            <w:tcBorders>
              <w:top w:val="single" w:color="auto" w:sz="4" w:space="0"/>
              <w:left w:val="single" w:color="auto" w:sz="4" w:space="0"/>
              <w:right w:val="single" w:color="auto" w:sz="4" w:space="0"/>
            </w:tcBorders>
            <w:vAlign w:val="center"/>
          </w:tcPr>
          <w:p w14:paraId="1ED11609">
            <w:pPr>
              <w:adjustRightInd w:val="0"/>
              <w:snapToGrid w:val="0"/>
              <w:spacing w:line="260" w:lineRule="exact"/>
              <w:jc w:val="center"/>
              <w:rPr>
                <w:rFonts w:ascii="Times New Roman"/>
                <w:sz w:val="21"/>
                <w:szCs w:val="21"/>
              </w:rPr>
            </w:pPr>
            <w:r>
              <w:rPr>
                <w:rFonts w:ascii="Times New Roman"/>
                <w:sz w:val="21"/>
                <w:szCs w:val="21"/>
              </w:rPr>
              <w:t>防腐防渗措施</w:t>
            </w:r>
          </w:p>
        </w:tc>
      </w:tr>
      <w:tr w14:paraId="3AA63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0" w:hRule="atLeast"/>
          <w:jc w:val="center"/>
        </w:trPr>
        <w:tc>
          <w:tcPr>
            <w:tcW w:w="1106" w:type="dxa"/>
            <w:vMerge w:val="restart"/>
            <w:tcBorders>
              <w:left w:val="single" w:color="auto" w:sz="4" w:space="0"/>
              <w:right w:val="single" w:color="auto" w:sz="4" w:space="0"/>
            </w:tcBorders>
            <w:vAlign w:val="center"/>
          </w:tcPr>
          <w:p w14:paraId="076E7FA8">
            <w:pPr>
              <w:adjustRightInd w:val="0"/>
              <w:snapToGrid w:val="0"/>
              <w:spacing w:line="260" w:lineRule="exact"/>
              <w:jc w:val="center"/>
              <w:rPr>
                <w:rFonts w:ascii="Times New Roman"/>
                <w:sz w:val="21"/>
                <w:szCs w:val="21"/>
              </w:rPr>
            </w:pPr>
            <w:r>
              <w:rPr>
                <w:rFonts w:ascii="Times New Roman"/>
                <w:sz w:val="21"/>
                <w:szCs w:val="21"/>
              </w:rPr>
              <w:t>重点防渗区</w:t>
            </w:r>
          </w:p>
        </w:tc>
        <w:tc>
          <w:tcPr>
            <w:tcW w:w="2510" w:type="dxa"/>
            <w:tcBorders>
              <w:left w:val="single" w:color="auto" w:sz="4" w:space="0"/>
              <w:right w:val="single" w:color="auto" w:sz="4" w:space="0"/>
            </w:tcBorders>
            <w:vAlign w:val="center"/>
          </w:tcPr>
          <w:p w14:paraId="3835172B">
            <w:pPr>
              <w:adjustRightInd w:val="0"/>
              <w:snapToGrid w:val="0"/>
              <w:spacing w:line="260" w:lineRule="exact"/>
              <w:jc w:val="center"/>
              <w:rPr>
                <w:rFonts w:ascii="Times New Roman"/>
                <w:sz w:val="21"/>
                <w:szCs w:val="21"/>
              </w:rPr>
            </w:pPr>
            <w:r>
              <w:rPr>
                <w:rFonts w:ascii="Times New Roman"/>
                <w:kern w:val="0"/>
                <w:sz w:val="21"/>
                <w:szCs w:val="21"/>
              </w:rPr>
              <w:t>表面涂装区</w:t>
            </w:r>
            <w:r>
              <w:rPr>
                <w:rFonts w:hint="eastAsia" w:ascii="Times New Roman"/>
                <w:kern w:val="0"/>
                <w:sz w:val="21"/>
                <w:szCs w:val="21"/>
              </w:rPr>
              <w:t>（喷漆线、电泳线）</w:t>
            </w:r>
            <w:r>
              <w:rPr>
                <w:rFonts w:ascii="Times New Roman"/>
                <w:kern w:val="0"/>
                <w:sz w:val="21"/>
                <w:szCs w:val="21"/>
              </w:rPr>
              <w:t>、</w:t>
            </w:r>
            <w:r>
              <w:rPr>
                <w:rFonts w:hint="eastAsia" w:ascii="Times New Roman"/>
                <w:bCs/>
                <w:sz w:val="21"/>
                <w:szCs w:val="21"/>
              </w:rPr>
              <w:t>污水处理站、</w:t>
            </w:r>
            <w:r>
              <w:rPr>
                <w:rFonts w:hint="eastAsia" w:ascii="Times New Roman"/>
                <w:sz w:val="21"/>
                <w:szCs w:val="21"/>
              </w:rPr>
              <w:t>危化库</w:t>
            </w:r>
          </w:p>
        </w:tc>
        <w:tc>
          <w:tcPr>
            <w:tcW w:w="4743" w:type="dxa"/>
            <w:tcBorders>
              <w:left w:val="single" w:color="auto" w:sz="4" w:space="0"/>
              <w:right w:val="single" w:color="auto" w:sz="4" w:space="0"/>
            </w:tcBorders>
            <w:vAlign w:val="center"/>
          </w:tcPr>
          <w:p w14:paraId="279E4F8C">
            <w:pPr>
              <w:adjustRightInd w:val="0"/>
              <w:snapToGrid w:val="0"/>
              <w:spacing w:line="260" w:lineRule="exact"/>
              <w:jc w:val="center"/>
              <w:rPr>
                <w:rFonts w:ascii="Times New Roman"/>
                <w:sz w:val="21"/>
                <w:szCs w:val="21"/>
              </w:rPr>
            </w:pPr>
            <w:r>
              <w:rPr>
                <w:rFonts w:ascii="Times New Roman"/>
                <w:sz w:val="21"/>
                <w:szCs w:val="21"/>
              </w:rPr>
              <w:t>采用防腐蚀混凝土抗渗混凝土浇筑，环氧树脂玻璃钢防腐蚀面层，防渗系数≤10</w:t>
            </w:r>
            <w:r>
              <w:rPr>
                <w:rFonts w:ascii="Times New Roman"/>
                <w:sz w:val="21"/>
                <w:szCs w:val="21"/>
                <w:vertAlign w:val="superscript"/>
              </w:rPr>
              <w:t>-10</w:t>
            </w:r>
            <w:r>
              <w:rPr>
                <w:rFonts w:ascii="Times New Roman"/>
                <w:sz w:val="21"/>
                <w:szCs w:val="21"/>
              </w:rPr>
              <w:t>cm/s</w:t>
            </w:r>
          </w:p>
        </w:tc>
      </w:tr>
      <w:tr w14:paraId="6164F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0" w:hRule="atLeast"/>
          <w:jc w:val="center"/>
        </w:trPr>
        <w:tc>
          <w:tcPr>
            <w:tcW w:w="1106" w:type="dxa"/>
            <w:vMerge w:val="continue"/>
            <w:tcBorders>
              <w:left w:val="single" w:color="auto" w:sz="4" w:space="0"/>
              <w:right w:val="single" w:color="auto" w:sz="4" w:space="0"/>
            </w:tcBorders>
            <w:vAlign w:val="center"/>
          </w:tcPr>
          <w:p w14:paraId="25B97242">
            <w:pPr>
              <w:adjustRightInd w:val="0"/>
              <w:snapToGrid w:val="0"/>
              <w:spacing w:line="260" w:lineRule="exact"/>
              <w:jc w:val="center"/>
              <w:rPr>
                <w:rFonts w:ascii="Times New Roman"/>
                <w:sz w:val="21"/>
                <w:szCs w:val="21"/>
              </w:rPr>
            </w:pPr>
          </w:p>
        </w:tc>
        <w:tc>
          <w:tcPr>
            <w:tcW w:w="2510" w:type="dxa"/>
            <w:tcBorders>
              <w:left w:val="single" w:color="auto" w:sz="4" w:space="0"/>
              <w:right w:val="single" w:color="auto" w:sz="4" w:space="0"/>
            </w:tcBorders>
            <w:vAlign w:val="center"/>
          </w:tcPr>
          <w:p w14:paraId="2B06EC0E">
            <w:pPr>
              <w:adjustRightInd w:val="0"/>
              <w:snapToGrid w:val="0"/>
              <w:spacing w:line="260" w:lineRule="exact"/>
              <w:jc w:val="center"/>
              <w:rPr>
                <w:rFonts w:ascii="Times New Roman"/>
                <w:sz w:val="21"/>
                <w:szCs w:val="21"/>
              </w:rPr>
            </w:pPr>
            <w:r>
              <w:rPr>
                <w:rFonts w:ascii="Times New Roman"/>
                <w:sz w:val="21"/>
                <w:szCs w:val="21"/>
              </w:rPr>
              <w:t>危废</w:t>
            </w:r>
            <w:r>
              <w:rPr>
                <w:rFonts w:hint="eastAsia" w:ascii="Times New Roman"/>
                <w:sz w:val="21"/>
                <w:szCs w:val="21"/>
              </w:rPr>
              <w:t>库</w:t>
            </w:r>
          </w:p>
        </w:tc>
        <w:tc>
          <w:tcPr>
            <w:tcW w:w="4743" w:type="dxa"/>
            <w:tcBorders>
              <w:left w:val="single" w:color="auto" w:sz="4" w:space="0"/>
              <w:right w:val="single" w:color="auto" w:sz="4" w:space="0"/>
            </w:tcBorders>
            <w:vAlign w:val="center"/>
          </w:tcPr>
          <w:p w14:paraId="650E66B5">
            <w:pPr>
              <w:adjustRightInd w:val="0"/>
              <w:snapToGrid w:val="0"/>
              <w:spacing w:line="260" w:lineRule="exact"/>
              <w:jc w:val="center"/>
              <w:rPr>
                <w:rFonts w:ascii="Times New Roman"/>
                <w:sz w:val="21"/>
                <w:szCs w:val="21"/>
              </w:rPr>
            </w:pPr>
            <w:r>
              <w:rPr>
                <w:rFonts w:ascii="Times New Roman"/>
                <w:sz w:val="21"/>
                <w:szCs w:val="21"/>
              </w:rPr>
              <w:t>底部采用防腐蚀混凝土抗渗混凝土浇筑，环氧树脂玻璃钢防腐蚀面层，设废液导流槽，防渗系数≤10</w:t>
            </w:r>
            <w:r>
              <w:rPr>
                <w:rFonts w:ascii="Times New Roman"/>
                <w:sz w:val="21"/>
                <w:szCs w:val="21"/>
                <w:vertAlign w:val="superscript"/>
              </w:rPr>
              <w:t>-10</w:t>
            </w:r>
            <w:r>
              <w:rPr>
                <w:rFonts w:ascii="Times New Roman"/>
                <w:sz w:val="21"/>
                <w:szCs w:val="21"/>
              </w:rPr>
              <w:t>cm/s</w:t>
            </w:r>
          </w:p>
        </w:tc>
      </w:tr>
      <w:tr w14:paraId="6DD3E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6" w:hRule="atLeast"/>
          <w:jc w:val="center"/>
        </w:trPr>
        <w:tc>
          <w:tcPr>
            <w:tcW w:w="0" w:type="auto"/>
            <w:tcBorders>
              <w:left w:val="single" w:color="auto" w:sz="4" w:space="0"/>
              <w:right w:val="single" w:color="auto" w:sz="4" w:space="0"/>
            </w:tcBorders>
            <w:vAlign w:val="center"/>
          </w:tcPr>
          <w:p w14:paraId="5D525E9B">
            <w:pPr>
              <w:adjustRightInd w:val="0"/>
              <w:snapToGrid w:val="0"/>
              <w:spacing w:line="260" w:lineRule="exact"/>
              <w:jc w:val="center"/>
              <w:rPr>
                <w:rFonts w:ascii="Times New Roman"/>
                <w:sz w:val="21"/>
                <w:szCs w:val="21"/>
              </w:rPr>
            </w:pPr>
            <w:r>
              <w:rPr>
                <w:rFonts w:ascii="Times New Roman"/>
                <w:sz w:val="21"/>
                <w:szCs w:val="21"/>
              </w:rPr>
              <w:t>一般防渗区</w:t>
            </w:r>
          </w:p>
        </w:tc>
        <w:tc>
          <w:tcPr>
            <w:tcW w:w="2510" w:type="dxa"/>
            <w:tcBorders>
              <w:left w:val="single" w:color="auto" w:sz="4" w:space="0"/>
              <w:right w:val="single" w:color="auto" w:sz="4" w:space="0"/>
            </w:tcBorders>
            <w:vAlign w:val="center"/>
          </w:tcPr>
          <w:p w14:paraId="25DF312D">
            <w:pPr>
              <w:adjustRightInd w:val="0"/>
              <w:snapToGrid w:val="0"/>
              <w:spacing w:line="260" w:lineRule="exact"/>
              <w:jc w:val="center"/>
              <w:rPr>
                <w:rFonts w:ascii="Times New Roman"/>
                <w:sz w:val="21"/>
                <w:szCs w:val="21"/>
              </w:rPr>
            </w:pPr>
            <w:r>
              <w:rPr>
                <w:rFonts w:ascii="Times New Roman"/>
                <w:sz w:val="21"/>
                <w:szCs w:val="21"/>
              </w:rPr>
              <w:t>车间其他区域</w:t>
            </w:r>
            <w:r>
              <w:rPr>
                <w:rFonts w:hint="eastAsia" w:ascii="Times New Roman"/>
                <w:bCs/>
                <w:sz w:val="21"/>
                <w:szCs w:val="21"/>
              </w:rPr>
              <w:t>、</w:t>
            </w:r>
            <w:r>
              <w:rPr>
                <w:rFonts w:hint="eastAsia" w:ascii="Times New Roman"/>
                <w:sz w:val="21"/>
                <w:szCs w:val="21"/>
              </w:rPr>
              <w:t>消防水池、</w:t>
            </w:r>
            <w:r>
              <w:rPr>
                <w:rFonts w:ascii="Times New Roman"/>
                <w:sz w:val="21"/>
                <w:szCs w:val="21"/>
              </w:rPr>
              <w:t>垃圾回收房等</w:t>
            </w:r>
          </w:p>
        </w:tc>
        <w:tc>
          <w:tcPr>
            <w:tcW w:w="4743" w:type="dxa"/>
            <w:tcBorders>
              <w:left w:val="single" w:color="auto" w:sz="4" w:space="0"/>
              <w:right w:val="single" w:color="auto" w:sz="4" w:space="0"/>
            </w:tcBorders>
            <w:vAlign w:val="center"/>
          </w:tcPr>
          <w:p w14:paraId="58FC0B5D">
            <w:pPr>
              <w:adjustRightInd w:val="0"/>
              <w:snapToGrid w:val="0"/>
              <w:spacing w:line="260" w:lineRule="exact"/>
              <w:jc w:val="center"/>
              <w:rPr>
                <w:rFonts w:ascii="Times New Roman"/>
                <w:sz w:val="21"/>
                <w:szCs w:val="21"/>
              </w:rPr>
            </w:pPr>
            <w:r>
              <w:rPr>
                <w:rFonts w:ascii="Times New Roman"/>
                <w:sz w:val="21"/>
                <w:szCs w:val="21"/>
              </w:rPr>
              <w:t>底部采用防腐蚀混凝土抗渗混凝土浇筑，环氧树脂玻璃钢防腐蚀面层</w:t>
            </w:r>
          </w:p>
        </w:tc>
      </w:tr>
      <w:tr w14:paraId="71734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0" w:type="auto"/>
            <w:tcBorders>
              <w:left w:val="single" w:color="auto" w:sz="4" w:space="0"/>
              <w:bottom w:val="single" w:color="auto" w:sz="4" w:space="0"/>
              <w:right w:val="single" w:color="auto" w:sz="4" w:space="0"/>
            </w:tcBorders>
            <w:vAlign w:val="center"/>
          </w:tcPr>
          <w:p w14:paraId="6F6E61BE">
            <w:pPr>
              <w:adjustRightInd w:val="0"/>
              <w:snapToGrid w:val="0"/>
              <w:spacing w:line="260" w:lineRule="exact"/>
              <w:jc w:val="center"/>
              <w:rPr>
                <w:rFonts w:ascii="Times New Roman"/>
                <w:sz w:val="21"/>
                <w:szCs w:val="21"/>
              </w:rPr>
            </w:pPr>
            <w:r>
              <w:rPr>
                <w:rFonts w:ascii="Times New Roman"/>
                <w:sz w:val="21"/>
                <w:szCs w:val="21"/>
              </w:rPr>
              <w:t>简单防渗区</w:t>
            </w:r>
          </w:p>
        </w:tc>
        <w:tc>
          <w:tcPr>
            <w:tcW w:w="2510" w:type="dxa"/>
            <w:tcBorders>
              <w:left w:val="single" w:color="auto" w:sz="4" w:space="0"/>
              <w:bottom w:val="single" w:color="auto" w:sz="4" w:space="0"/>
              <w:right w:val="single" w:color="auto" w:sz="4" w:space="0"/>
            </w:tcBorders>
            <w:vAlign w:val="center"/>
          </w:tcPr>
          <w:p w14:paraId="6878E419">
            <w:pPr>
              <w:adjustRightInd w:val="0"/>
              <w:snapToGrid w:val="0"/>
              <w:spacing w:line="260" w:lineRule="exact"/>
              <w:jc w:val="center"/>
              <w:rPr>
                <w:rFonts w:ascii="Times New Roman"/>
                <w:sz w:val="21"/>
                <w:szCs w:val="21"/>
              </w:rPr>
            </w:pPr>
            <w:r>
              <w:rPr>
                <w:rFonts w:ascii="Times New Roman"/>
                <w:sz w:val="21"/>
                <w:szCs w:val="21"/>
              </w:rPr>
              <w:t>厂区道路、综合楼等</w:t>
            </w:r>
          </w:p>
        </w:tc>
        <w:tc>
          <w:tcPr>
            <w:tcW w:w="4743" w:type="dxa"/>
            <w:tcBorders>
              <w:left w:val="single" w:color="auto" w:sz="4" w:space="0"/>
              <w:bottom w:val="single" w:color="auto" w:sz="4" w:space="0"/>
              <w:right w:val="single" w:color="auto" w:sz="4" w:space="0"/>
            </w:tcBorders>
            <w:vAlign w:val="center"/>
          </w:tcPr>
          <w:p w14:paraId="55837568">
            <w:pPr>
              <w:adjustRightInd w:val="0"/>
              <w:snapToGrid w:val="0"/>
              <w:spacing w:line="260" w:lineRule="exact"/>
              <w:jc w:val="center"/>
              <w:rPr>
                <w:rFonts w:ascii="Times New Roman"/>
                <w:sz w:val="21"/>
                <w:szCs w:val="21"/>
              </w:rPr>
            </w:pPr>
            <w:r>
              <w:rPr>
                <w:rFonts w:ascii="Times New Roman"/>
                <w:sz w:val="21"/>
                <w:szCs w:val="21"/>
              </w:rPr>
              <w:t>采用抗渗混凝土浇筑</w:t>
            </w:r>
          </w:p>
        </w:tc>
      </w:tr>
    </w:tbl>
    <w:p w14:paraId="750D132E">
      <w:pPr>
        <w:snapToGrid w:val="0"/>
        <w:spacing w:line="360" w:lineRule="auto"/>
        <w:ind w:firstLine="480" w:firstLineChars="200"/>
        <w:rPr>
          <w:rFonts w:ascii="Times New Roman"/>
          <w:sz w:val="24"/>
          <w:szCs w:val="24"/>
        </w:rPr>
      </w:pPr>
      <w:r>
        <w:rPr>
          <w:rFonts w:ascii="Times New Roman"/>
          <w:sz w:val="24"/>
          <w:szCs w:val="24"/>
        </w:rPr>
        <w:t>为了确保防渗措施的防渗效果，施工过程中建设单位应加强施工期的管理，严格按防渗设计要求进行施工，并加强防渗措施的日常维护，使防渗措施达到应有的防渗效果。同时应加强生产设施及环保设施的管理，避免废水的跑冒滴漏。</w:t>
      </w:r>
    </w:p>
    <w:p w14:paraId="557D865D">
      <w:pPr>
        <w:snapToGrid w:val="0"/>
        <w:spacing w:line="360" w:lineRule="auto"/>
        <w:ind w:firstLine="480" w:firstLineChars="200"/>
        <w:rPr>
          <w:rFonts w:ascii="Times New Roman"/>
          <w:sz w:val="24"/>
        </w:rPr>
      </w:pPr>
      <w:r>
        <w:rPr>
          <w:rFonts w:ascii="Times New Roman"/>
          <w:sz w:val="24"/>
        </w:rPr>
        <w:t>（2）建立完善的地下水环境监测系统，加强地下水水质监测</w:t>
      </w:r>
    </w:p>
    <w:p w14:paraId="777F8218">
      <w:pPr>
        <w:snapToGrid w:val="0"/>
        <w:spacing w:line="360" w:lineRule="auto"/>
        <w:ind w:firstLine="480" w:firstLineChars="200"/>
        <w:rPr>
          <w:rFonts w:ascii="Times New Roman"/>
          <w:sz w:val="24"/>
        </w:rPr>
      </w:pPr>
      <w:r>
        <w:rPr>
          <w:rFonts w:ascii="Times New Roman"/>
          <w:sz w:val="24"/>
        </w:rPr>
        <w:t>①踪监测计划</w:t>
      </w:r>
    </w:p>
    <w:p w14:paraId="16B1E625">
      <w:pPr>
        <w:snapToGrid w:val="0"/>
        <w:spacing w:line="360" w:lineRule="auto"/>
        <w:ind w:firstLine="480" w:firstLineChars="200"/>
        <w:rPr>
          <w:rFonts w:ascii="Times New Roman"/>
          <w:snapToGrid w:val="0"/>
          <w:kern w:val="0"/>
          <w:sz w:val="24"/>
          <w:szCs w:val="24"/>
        </w:rPr>
      </w:pPr>
      <w:r>
        <w:rPr>
          <w:rFonts w:ascii="Times New Roman"/>
          <w:snapToGrid w:val="0"/>
          <w:kern w:val="0"/>
          <w:sz w:val="24"/>
          <w:szCs w:val="24"/>
        </w:rPr>
        <w:t>为了及时准确掌握场区及下游地下水环境质量状况和地下水体中污染物的动态变化，项目拟建立覆盖全区的地下水长期监控系统，依据地下水监测原则，参照《地下水环境监测技术规范（HJ164-2020）的要求，结合项目区水文地质条件，在</w:t>
      </w:r>
      <w:r>
        <w:rPr>
          <w:rFonts w:ascii="Times New Roman"/>
          <w:sz w:val="24"/>
        </w:rPr>
        <w:t>污水处理站附近下游布设地下水水质监测井1眼</w:t>
      </w:r>
      <w:r>
        <w:rPr>
          <w:rFonts w:ascii="Times New Roman"/>
          <w:snapToGrid w:val="0"/>
          <w:kern w:val="0"/>
          <w:sz w:val="24"/>
          <w:szCs w:val="24"/>
        </w:rPr>
        <w:t>。具体监测井位置见表5.2</w:t>
      </w:r>
      <w:r>
        <w:rPr>
          <w:rFonts w:hint="eastAsia" w:ascii="Times New Roman"/>
          <w:snapToGrid w:val="0"/>
          <w:kern w:val="0"/>
          <w:sz w:val="24"/>
          <w:szCs w:val="24"/>
        </w:rPr>
        <w:t>.3</w:t>
      </w:r>
      <w:r>
        <w:rPr>
          <w:rFonts w:ascii="Times New Roman"/>
          <w:snapToGrid w:val="0"/>
          <w:kern w:val="0"/>
          <w:sz w:val="24"/>
          <w:szCs w:val="24"/>
        </w:rPr>
        <w:t>-</w:t>
      </w:r>
      <w:r>
        <w:rPr>
          <w:rFonts w:hint="eastAsia" w:ascii="Times New Roman"/>
          <w:snapToGrid w:val="0"/>
          <w:kern w:val="0"/>
          <w:sz w:val="24"/>
          <w:szCs w:val="24"/>
        </w:rPr>
        <w:t>4</w:t>
      </w:r>
      <w:r>
        <w:rPr>
          <w:rFonts w:ascii="Times New Roman"/>
          <w:sz w:val="24"/>
        </w:rPr>
        <w:t>。</w:t>
      </w:r>
    </w:p>
    <w:p w14:paraId="7F2B8E61">
      <w:pPr>
        <w:widowControl/>
        <w:spacing w:line="360" w:lineRule="auto"/>
        <w:ind w:firstLine="480" w:firstLineChars="200"/>
        <w:jc w:val="left"/>
        <w:rPr>
          <w:rFonts w:ascii="Times New Roman"/>
          <w:kern w:val="0"/>
          <w:sz w:val="24"/>
          <w:szCs w:val="24"/>
        </w:rPr>
      </w:pPr>
      <w:r>
        <w:rPr>
          <w:rFonts w:ascii="Times New Roman"/>
          <w:kern w:val="0"/>
          <w:sz w:val="24"/>
          <w:szCs w:val="24"/>
        </w:rPr>
        <w:t>建设单位委托相关检测单位负责对地下水水质变化情况进行定期的统计。</w:t>
      </w:r>
    </w:p>
    <w:p w14:paraId="6D22E99E">
      <w:pPr>
        <w:adjustRightInd w:val="0"/>
        <w:snapToGrid w:val="0"/>
        <w:spacing w:beforeLines="50"/>
        <w:ind w:firstLine="357" w:firstLineChars="148"/>
        <w:jc w:val="center"/>
        <w:rPr>
          <w:rFonts w:ascii="Times New Roman"/>
          <w:b/>
          <w:sz w:val="24"/>
          <w:szCs w:val="24"/>
        </w:rPr>
      </w:pPr>
      <w:r>
        <w:rPr>
          <w:rFonts w:ascii="Times New Roman"/>
          <w:b/>
          <w:sz w:val="24"/>
          <w:szCs w:val="24"/>
        </w:rPr>
        <w:t>表5.2</w:t>
      </w:r>
      <w:r>
        <w:rPr>
          <w:rFonts w:hint="eastAsia" w:ascii="Times New Roman"/>
          <w:b/>
          <w:sz w:val="24"/>
          <w:szCs w:val="24"/>
        </w:rPr>
        <w:t>.3</w:t>
      </w:r>
      <w:r>
        <w:rPr>
          <w:rFonts w:ascii="Times New Roman"/>
          <w:b/>
          <w:sz w:val="24"/>
          <w:szCs w:val="24"/>
        </w:rPr>
        <w:t>-</w:t>
      </w:r>
      <w:r>
        <w:rPr>
          <w:rFonts w:hint="eastAsia" w:ascii="Times New Roman"/>
          <w:b/>
          <w:sz w:val="24"/>
          <w:szCs w:val="24"/>
        </w:rPr>
        <w:t>4</w:t>
      </w:r>
      <w:r>
        <w:rPr>
          <w:rFonts w:ascii="Times New Roman"/>
          <w:b/>
          <w:sz w:val="24"/>
          <w:szCs w:val="24"/>
        </w:rPr>
        <w:t xml:space="preserve">  地下水监测点布控一览表</w:t>
      </w:r>
    </w:p>
    <w:tbl>
      <w:tblPr>
        <w:tblStyle w:val="8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1116"/>
        <w:gridCol w:w="1257"/>
        <w:gridCol w:w="2881"/>
        <w:gridCol w:w="1170"/>
        <w:gridCol w:w="1351"/>
      </w:tblGrid>
      <w:tr w14:paraId="7559B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8" w:type="pct"/>
            <w:vAlign w:val="center"/>
          </w:tcPr>
          <w:p w14:paraId="23887CD5">
            <w:pPr>
              <w:adjustRightInd w:val="0"/>
              <w:snapToGrid w:val="0"/>
              <w:jc w:val="center"/>
              <w:rPr>
                <w:rFonts w:ascii="Times New Roman"/>
                <w:b/>
                <w:bCs/>
                <w:sz w:val="21"/>
                <w:szCs w:val="21"/>
              </w:rPr>
            </w:pPr>
            <w:r>
              <w:rPr>
                <w:rFonts w:ascii="Times New Roman"/>
                <w:b/>
                <w:bCs/>
                <w:sz w:val="21"/>
                <w:szCs w:val="21"/>
              </w:rPr>
              <w:t>编号</w:t>
            </w:r>
          </w:p>
        </w:tc>
        <w:tc>
          <w:tcPr>
            <w:tcW w:w="654" w:type="pct"/>
            <w:vAlign w:val="center"/>
          </w:tcPr>
          <w:p w14:paraId="728DA40D">
            <w:pPr>
              <w:adjustRightInd w:val="0"/>
              <w:snapToGrid w:val="0"/>
              <w:jc w:val="center"/>
              <w:rPr>
                <w:rFonts w:ascii="Times New Roman"/>
                <w:b/>
                <w:bCs/>
                <w:sz w:val="21"/>
                <w:szCs w:val="21"/>
              </w:rPr>
            </w:pPr>
            <w:r>
              <w:rPr>
                <w:rFonts w:ascii="Times New Roman"/>
                <w:b/>
                <w:bCs/>
                <w:sz w:val="21"/>
                <w:szCs w:val="21"/>
              </w:rPr>
              <w:t>监测层位</w:t>
            </w:r>
          </w:p>
        </w:tc>
        <w:tc>
          <w:tcPr>
            <w:tcW w:w="737" w:type="pct"/>
            <w:vAlign w:val="center"/>
          </w:tcPr>
          <w:p w14:paraId="7FB4AE91">
            <w:pPr>
              <w:adjustRightInd w:val="0"/>
              <w:snapToGrid w:val="0"/>
              <w:jc w:val="center"/>
              <w:rPr>
                <w:rFonts w:ascii="Times New Roman"/>
                <w:b/>
                <w:bCs/>
                <w:sz w:val="21"/>
                <w:szCs w:val="21"/>
              </w:rPr>
            </w:pPr>
            <w:r>
              <w:rPr>
                <w:rFonts w:ascii="Times New Roman"/>
                <w:b/>
                <w:bCs/>
                <w:sz w:val="21"/>
                <w:szCs w:val="21"/>
              </w:rPr>
              <w:t>功能</w:t>
            </w:r>
          </w:p>
        </w:tc>
        <w:tc>
          <w:tcPr>
            <w:tcW w:w="1689" w:type="pct"/>
            <w:vAlign w:val="center"/>
          </w:tcPr>
          <w:p w14:paraId="73376AC3">
            <w:pPr>
              <w:adjustRightInd w:val="0"/>
              <w:snapToGrid w:val="0"/>
              <w:jc w:val="center"/>
              <w:rPr>
                <w:rFonts w:ascii="Times New Roman"/>
                <w:b/>
                <w:bCs/>
                <w:sz w:val="21"/>
                <w:szCs w:val="21"/>
              </w:rPr>
            </w:pPr>
            <w:r>
              <w:rPr>
                <w:rFonts w:ascii="Times New Roman"/>
                <w:b/>
                <w:bCs/>
                <w:sz w:val="21"/>
                <w:szCs w:val="21"/>
              </w:rPr>
              <w:t>监测因子</w:t>
            </w:r>
          </w:p>
        </w:tc>
        <w:tc>
          <w:tcPr>
            <w:tcW w:w="686" w:type="pct"/>
            <w:vAlign w:val="center"/>
          </w:tcPr>
          <w:p w14:paraId="66E01D10">
            <w:pPr>
              <w:adjustRightInd w:val="0"/>
              <w:snapToGrid w:val="0"/>
              <w:jc w:val="center"/>
              <w:rPr>
                <w:rFonts w:ascii="Times New Roman"/>
                <w:b/>
                <w:bCs/>
                <w:sz w:val="21"/>
                <w:szCs w:val="21"/>
              </w:rPr>
            </w:pPr>
            <w:r>
              <w:rPr>
                <w:rFonts w:ascii="Times New Roman"/>
                <w:b/>
                <w:bCs/>
                <w:sz w:val="21"/>
                <w:szCs w:val="21"/>
              </w:rPr>
              <w:t>方位</w:t>
            </w:r>
          </w:p>
        </w:tc>
        <w:tc>
          <w:tcPr>
            <w:tcW w:w="792" w:type="pct"/>
            <w:vAlign w:val="center"/>
          </w:tcPr>
          <w:p w14:paraId="03CE9024">
            <w:pPr>
              <w:adjustRightInd w:val="0"/>
              <w:snapToGrid w:val="0"/>
              <w:jc w:val="center"/>
              <w:rPr>
                <w:rFonts w:ascii="Times New Roman"/>
                <w:b/>
                <w:bCs/>
                <w:sz w:val="21"/>
                <w:szCs w:val="21"/>
              </w:rPr>
            </w:pPr>
            <w:r>
              <w:rPr>
                <w:rFonts w:ascii="Times New Roman"/>
                <w:b/>
                <w:bCs/>
                <w:sz w:val="21"/>
                <w:szCs w:val="21"/>
              </w:rPr>
              <w:t>频次</w:t>
            </w:r>
          </w:p>
        </w:tc>
      </w:tr>
      <w:tr w14:paraId="18631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9" w:hRule="atLeast"/>
          <w:jc w:val="center"/>
        </w:trPr>
        <w:tc>
          <w:tcPr>
            <w:tcW w:w="438" w:type="pct"/>
            <w:vAlign w:val="center"/>
          </w:tcPr>
          <w:p w14:paraId="14296E41">
            <w:pPr>
              <w:adjustRightInd w:val="0"/>
              <w:snapToGrid w:val="0"/>
              <w:jc w:val="center"/>
              <w:rPr>
                <w:rFonts w:ascii="Times New Roman"/>
                <w:sz w:val="21"/>
                <w:szCs w:val="21"/>
              </w:rPr>
            </w:pPr>
            <w:r>
              <w:rPr>
                <w:rFonts w:ascii="Times New Roman"/>
                <w:sz w:val="21"/>
                <w:szCs w:val="21"/>
              </w:rPr>
              <w:t>JK1</w:t>
            </w:r>
          </w:p>
        </w:tc>
        <w:tc>
          <w:tcPr>
            <w:tcW w:w="654" w:type="pct"/>
            <w:vAlign w:val="center"/>
          </w:tcPr>
          <w:p w14:paraId="155B64D4">
            <w:pPr>
              <w:adjustRightInd w:val="0"/>
              <w:snapToGrid w:val="0"/>
              <w:jc w:val="center"/>
              <w:rPr>
                <w:rFonts w:ascii="Times New Roman"/>
                <w:sz w:val="21"/>
                <w:szCs w:val="21"/>
              </w:rPr>
            </w:pPr>
            <w:r>
              <w:rPr>
                <w:rFonts w:ascii="Times New Roman"/>
                <w:sz w:val="21"/>
                <w:szCs w:val="21"/>
              </w:rPr>
              <w:t>潜水含水层</w:t>
            </w:r>
          </w:p>
        </w:tc>
        <w:tc>
          <w:tcPr>
            <w:tcW w:w="737" w:type="pct"/>
            <w:vAlign w:val="center"/>
          </w:tcPr>
          <w:p w14:paraId="1513F7AC">
            <w:pPr>
              <w:adjustRightInd w:val="0"/>
              <w:snapToGrid w:val="0"/>
              <w:jc w:val="center"/>
              <w:rPr>
                <w:rFonts w:ascii="Times New Roman"/>
                <w:sz w:val="21"/>
                <w:szCs w:val="21"/>
              </w:rPr>
            </w:pPr>
            <w:r>
              <w:rPr>
                <w:rFonts w:ascii="Times New Roman"/>
                <w:sz w:val="21"/>
                <w:szCs w:val="21"/>
              </w:rPr>
              <w:t>污染控制监测井</w:t>
            </w:r>
          </w:p>
        </w:tc>
        <w:tc>
          <w:tcPr>
            <w:tcW w:w="1689" w:type="pct"/>
            <w:vAlign w:val="center"/>
          </w:tcPr>
          <w:p w14:paraId="7DB62632">
            <w:pPr>
              <w:adjustRightInd w:val="0"/>
              <w:snapToGrid w:val="0"/>
              <w:jc w:val="center"/>
              <w:rPr>
                <w:rFonts w:ascii="Times New Roman"/>
                <w:sz w:val="21"/>
                <w:szCs w:val="21"/>
              </w:rPr>
            </w:pPr>
            <w:r>
              <w:rPr>
                <w:rFonts w:hint="eastAsia" w:ascii="Times New Roman"/>
                <w:sz w:val="21"/>
                <w:szCs w:val="21"/>
              </w:rPr>
              <w:t>COD、</w:t>
            </w:r>
            <w:r>
              <w:rPr>
                <w:rFonts w:ascii="Times New Roman"/>
                <w:sz w:val="21"/>
                <w:szCs w:val="21"/>
              </w:rPr>
              <w:t>石油类、二甲苯</w:t>
            </w:r>
          </w:p>
        </w:tc>
        <w:tc>
          <w:tcPr>
            <w:tcW w:w="686" w:type="pct"/>
            <w:vAlign w:val="center"/>
          </w:tcPr>
          <w:p w14:paraId="795AED9E">
            <w:pPr>
              <w:adjustRightInd w:val="0"/>
              <w:snapToGrid w:val="0"/>
              <w:jc w:val="center"/>
              <w:rPr>
                <w:rFonts w:ascii="Times New Roman"/>
                <w:sz w:val="21"/>
                <w:szCs w:val="21"/>
              </w:rPr>
            </w:pPr>
            <w:r>
              <w:rPr>
                <w:rFonts w:ascii="Times New Roman"/>
                <w:sz w:val="21"/>
                <w:szCs w:val="21"/>
              </w:rPr>
              <w:t>厂区下游</w:t>
            </w:r>
          </w:p>
        </w:tc>
        <w:tc>
          <w:tcPr>
            <w:tcW w:w="792" w:type="pct"/>
            <w:vAlign w:val="center"/>
          </w:tcPr>
          <w:p w14:paraId="2100B94D">
            <w:pPr>
              <w:adjustRightInd w:val="0"/>
              <w:snapToGrid w:val="0"/>
              <w:jc w:val="center"/>
              <w:rPr>
                <w:rFonts w:ascii="Times New Roman"/>
                <w:sz w:val="21"/>
                <w:szCs w:val="21"/>
              </w:rPr>
            </w:pPr>
            <w:r>
              <w:rPr>
                <w:rFonts w:ascii="Times New Roman"/>
                <w:sz w:val="21"/>
                <w:szCs w:val="21"/>
              </w:rPr>
              <w:t>每年一次，</w:t>
            </w:r>
            <w:r>
              <w:rPr>
                <w:rFonts w:ascii="Times New Roman"/>
                <w:snapToGrid w:val="0"/>
                <w:sz w:val="21"/>
                <w:szCs w:val="21"/>
              </w:rPr>
              <w:t>如发现异常，应增加监测频率</w:t>
            </w:r>
          </w:p>
        </w:tc>
      </w:tr>
    </w:tbl>
    <w:p w14:paraId="1F710256">
      <w:pPr>
        <w:pStyle w:val="20"/>
        <w:tabs>
          <w:tab w:val="left" w:pos="0"/>
        </w:tabs>
        <w:spacing w:line="360" w:lineRule="auto"/>
        <w:ind w:left="500" w:leftChars="200" w:firstLine="0"/>
        <w:rPr>
          <w:rFonts w:eastAsia="宋体"/>
          <w:sz w:val="24"/>
        </w:rPr>
      </w:pPr>
      <w:r>
        <w:rPr>
          <w:sz w:val="24"/>
        </w:rPr>
        <w:t>②</w:t>
      </w:r>
      <w:r>
        <w:rPr>
          <w:rFonts w:eastAsia="宋体"/>
          <w:sz w:val="24"/>
        </w:rPr>
        <w:t>监测数据管理</w:t>
      </w:r>
    </w:p>
    <w:p w14:paraId="5B03988A">
      <w:pPr>
        <w:widowControl/>
        <w:spacing w:line="360" w:lineRule="auto"/>
        <w:ind w:firstLine="480" w:firstLineChars="200"/>
        <w:rPr>
          <w:rFonts w:ascii="Times New Roman"/>
          <w:sz w:val="24"/>
          <w:szCs w:val="24"/>
        </w:rPr>
      </w:pPr>
      <w:r>
        <w:rPr>
          <w:rFonts w:ascii="Times New Roman"/>
          <w:sz w:val="24"/>
          <w:szCs w:val="24"/>
        </w:rPr>
        <w:t>项目建成后，公司按照《企业事业单位环境信息公开办法》（环保部令 第 31号）编制照企业事业环境信息公开目录明细如实向社会公开环境信息。</w:t>
      </w:r>
    </w:p>
    <w:p w14:paraId="68F9EEB5">
      <w:pPr>
        <w:spacing w:line="360" w:lineRule="auto"/>
        <w:ind w:firstLine="480" w:firstLineChars="200"/>
        <w:rPr>
          <w:rFonts w:ascii="Times New Roman"/>
          <w:szCs w:val="24"/>
        </w:rPr>
      </w:pPr>
      <w:r>
        <w:rPr>
          <w:rFonts w:ascii="Times New Roman"/>
          <w:sz w:val="24"/>
          <w:szCs w:val="24"/>
        </w:rPr>
        <w:t>上述监测结果应按项目有关规定及时建立档案，并定期向环保部门汇报，对于常规监测数据应该进行公开。如发现异常或发生事故，加密监测频次，改为每天监测一次，并分析污染原因，确定泄漏污染源，及时采取应急措施。</w:t>
      </w:r>
    </w:p>
    <w:p w14:paraId="72B2C304">
      <w:pPr>
        <w:widowControl/>
        <w:spacing w:line="480" w:lineRule="exact"/>
        <w:ind w:firstLine="480" w:firstLineChars="200"/>
        <w:jc w:val="left"/>
        <w:rPr>
          <w:rFonts w:ascii="Times New Roman"/>
          <w:kern w:val="0"/>
          <w:sz w:val="24"/>
          <w:szCs w:val="24"/>
        </w:rPr>
      </w:pPr>
      <w:r>
        <w:rPr>
          <w:rFonts w:ascii="Times New Roman"/>
          <w:sz w:val="24"/>
          <w:szCs w:val="24"/>
        </w:rPr>
        <w:t>③</w:t>
      </w:r>
      <w:r>
        <w:rPr>
          <w:rFonts w:ascii="Times New Roman"/>
          <w:kern w:val="0"/>
          <w:sz w:val="24"/>
          <w:szCs w:val="24"/>
        </w:rPr>
        <w:t>监测井结构</w:t>
      </w:r>
    </w:p>
    <w:p w14:paraId="1AE8DCA1">
      <w:pPr>
        <w:widowControl/>
        <w:spacing w:line="480" w:lineRule="exact"/>
        <w:ind w:firstLine="480" w:firstLineChars="200"/>
        <w:jc w:val="left"/>
        <w:rPr>
          <w:rFonts w:ascii="Times New Roman"/>
          <w:kern w:val="0"/>
          <w:sz w:val="24"/>
          <w:szCs w:val="24"/>
        </w:rPr>
      </w:pPr>
      <w:r>
        <w:rPr>
          <w:rFonts w:ascii="Times New Roman"/>
          <w:kern w:val="0"/>
          <w:sz w:val="24"/>
          <w:szCs w:val="24"/>
        </w:rPr>
        <w:t>监测井井孔结构如</w:t>
      </w:r>
      <w:r>
        <w:rPr>
          <w:rFonts w:hint="eastAsia" w:ascii="Times New Roman"/>
          <w:kern w:val="0"/>
          <w:sz w:val="24"/>
          <w:szCs w:val="24"/>
        </w:rPr>
        <w:t>下</w:t>
      </w:r>
      <w:r>
        <w:rPr>
          <w:rFonts w:ascii="Times New Roman"/>
          <w:kern w:val="0"/>
          <w:sz w:val="24"/>
          <w:szCs w:val="24"/>
        </w:rPr>
        <w:t>图所示。</w:t>
      </w:r>
    </w:p>
    <w:p w14:paraId="3C04C884">
      <w:pPr>
        <w:widowControl/>
        <w:spacing w:line="480" w:lineRule="exact"/>
        <w:jc w:val="center"/>
        <w:rPr>
          <w:rFonts w:ascii="Times New Roman"/>
          <w:b/>
          <w:kern w:val="0"/>
          <w:sz w:val="24"/>
          <w:szCs w:val="24"/>
        </w:rPr>
      </w:pPr>
      <w:r>
        <w:rPr>
          <w:rFonts w:ascii="Times New Roman"/>
          <w:sz w:val="24"/>
          <w:szCs w:val="24"/>
        </w:rPr>
        <w:drawing>
          <wp:anchor distT="0" distB="0" distL="114300" distR="114300" simplePos="0" relativeHeight="251692032" behindDoc="0" locked="0" layoutInCell="1" allowOverlap="1">
            <wp:simplePos x="0" y="0"/>
            <wp:positionH relativeFrom="column">
              <wp:posOffset>1557020</wp:posOffset>
            </wp:positionH>
            <wp:positionV relativeFrom="paragraph">
              <wp:posOffset>57785</wp:posOffset>
            </wp:positionV>
            <wp:extent cx="2097405" cy="2973705"/>
            <wp:effectExtent l="9525" t="9525" r="26670" b="26670"/>
            <wp:wrapTopAndBottom/>
            <wp:docPr id="221" name="图片 221" descr="C:\Users\Administrator\AppData\Local\Temp\WeChat Files\245e10a2575007df8c0986103c9f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Users\Administrator\AppData\Local\Temp\WeChat Files\245e10a2575007df8c0986103c9f5d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097405" cy="2973705"/>
                    </a:xfrm>
                    <a:prstGeom prst="rect">
                      <a:avLst/>
                    </a:prstGeom>
                    <a:noFill/>
                    <a:ln w="0">
                      <a:solidFill>
                        <a:sysClr val="windowText" lastClr="000000"/>
                      </a:solidFill>
                    </a:ln>
                  </pic:spPr>
                </pic:pic>
              </a:graphicData>
            </a:graphic>
          </wp:anchor>
        </w:drawing>
      </w:r>
      <w:r>
        <w:rPr>
          <w:rFonts w:ascii="Times New Roman"/>
          <w:b/>
          <w:kern w:val="0"/>
          <w:sz w:val="24"/>
          <w:szCs w:val="24"/>
        </w:rPr>
        <w:t>图5.2</w:t>
      </w:r>
      <w:r>
        <w:rPr>
          <w:rFonts w:hint="eastAsia" w:ascii="Times New Roman"/>
          <w:b/>
          <w:kern w:val="0"/>
          <w:sz w:val="24"/>
          <w:szCs w:val="24"/>
        </w:rPr>
        <w:t>.3</w:t>
      </w:r>
      <w:r>
        <w:rPr>
          <w:rFonts w:ascii="Times New Roman"/>
          <w:b/>
          <w:kern w:val="0"/>
          <w:sz w:val="24"/>
          <w:szCs w:val="24"/>
        </w:rPr>
        <w:t>-</w:t>
      </w:r>
      <w:r>
        <w:rPr>
          <w:rFonts w:hint="eastAsia" w:ascii="Times New Roman"/>
          <w:b/>
          <w:kern w:val="0"/>
          <w:sz w:val="24"/>
          <w:szCs w:val="24"/>
        </w:rPr>
        <w:t>13</w:t>
      </w:r>
      <w:r>
        <w:rPr>
          <w:rFonts w:ascii="Times New Roman"/>
          <w:b/>
          <w:kern w:val="0"/>
          <w:sz w:val="24"/>
          <w:szCs w:val="24"/>
        </w:rPr>
        <w:t xml:space="preserve">  监测井井孔结构示意图</w:t>
      </w:r>
    </w:p>
    <w:p w14:paraId="583209D9">
      <w:pPr>
        <w:pStyle w:val="32"/>
        <w:spacing w:after="0" w:line="360" w:lineRule="auto"/>
        <w:ind w:firstLine="480" w:firstLineChars="200"/>
        <w:rPr>
          <w:rFonts w:ascii="Times New Roman"/>
          <w:sz w:val="24"/>
          <w:szCs w:val="24"/>
        </w:rPr>
      </w:pPr>
      <w:r>
        <w:rPr>
          <w:rFonts w:ascii="Times New Roman"/>
          <w:sz w:val="24"/>
          <w:szCs w:val="24"/>
        </w:rPr>
        <w:t>（3）厂区环境管理对策</w:t>
      </w:r>
    </w:p>
    <w:p w14:paraId="6009E3C8">
      <w:pPr>
        <w:pStyle w:val="32"/>
        <w:spacing w:after="0" w:line="360" w:lineRule="auto"/>
        <w:ind w:firstLine="480" w:firstLineChars="200"/>
        <w:rPr>
          <w:rFonts w:ascii="Times New Roman"/>
          <w:sz w:val="24"/>
          <w:szCs w:val="24"/>
        </w:rPr>
      </w:pPr>
      <w:r>
        <w:rPr>
          <w:rFonts w:ascii="Times New Roman"/>
          <w:sz w:val="24"/>
          <w:szCs w:val="24"/>
        </w:rPr>
        <w:t>①应急响应</w:t>
      </w:r>
    </w:p>
    <w:p w14:paraId="3AFE4739">
      <w:pPr>
        <w:pStyle w:val="32"/>
        <w:spacing w:after="0" w:line="360" w:lineRule="auto"/>
        <w:ind w:firstLine="480" w:firstLineChars="200"/>
        <w:rPr>
          <w:rFonts w:ascii="Times New Roman"/>
          <w:sz w:val="24"/>
          <w:szCs w:val="24"/>
        </w:rPr>
      </w:pPr>
      <w:r>
        <w:rPr>
          <w:rFonts w:ascii="Times New Roman"/>
          <w:sz w:val="24"/>
          <w:szCs w:val="24"/>
        </w:rPr>
        <w:t>为了做好地下水环境保护与污染防治应急措施，最大限度避免和减轻地下水污染造成的损失，制定地下水风险事故应急响应预案，成立应急指挥部，事故发生后及时采取措施。</w:t>
      </w:r>
    </w:p>
    <w:p w14:paraId="1BAF41ED">
      <w:pPr>
        <w:pStyle w:val="32"/>
        <w:spacing w:after="0" w:line="360" w:lineRule="auto"/>
        <w:ind w:firstLine="480" w:firstLineChars="200"/>
        <w:rPr>
          <w:rFonts w:ascii="Times New Roman"/>
          <w:sz w:val="24"/>
          <w:szCs w:val="24"/>
        </w:rPr>
      </w:pPr>
      <w:r>
        <w:rPr>
          <w:rFonts w:ascii="Times New Roman"/>
          <w:sz w:val="24"/>
          <w:szCs w:val="24"/>
        </w:rPr>
        <w:t>地下水应急预案应包括以下内容：</w:t>
      </w:r>
    </w:p>
    <w:p w14:paraId="1482F252">
      <w:pPr>
        <w:pStyle w:val="32"/>
        <w:spacing w:after="0" w:line="360" w:lineRule="auto"/>
        <w:ind w:firstLine="480" w:firstLineChars="200"/>
        <w:rPr>
          <w:rFonts w:ascii="Times New Roman"/>
          <w:sz w:val="24"/>
          <w:szCs w:val="24"/>
        </w:rPr>
      </w:pPr>
      <w:r>
        <w:rPr>
          <w:rFonts w:ascii="Times New Roman"/>
          <w:sz w:val="24"/>
          <w:szCs w:val="24"/>
        </w:rPr>
        <w:t>A应急预案的日常协调和指挥机构；</w:t>
      </w:r>
    </w:p>
    <w:p w14:paraId="7726E516">
      <w:pPr>
        <w:pStyle w:val="32"/>
        <w:spacing w:after="0" w:line="360" w:lineRule="auto"/>
        <w:ind w:firstLine="480" w:firstLineChars="200"/>
        <w:rPr>
          <w:rFonts w:ascii="Times New Roman"/>
          <w:sz w:val="24"/>
          <w:szCs w:val="24"/>
        </w:rPr>
      </w:pPr>
      <w:r>
        <w:rPr>
          <w:rFonts w:ascii="Times New Roman"/>
          <w:sz w:val="24"/>
          <w:szCs w:val="24"/>
        </w:rPr>
        <w:t>B相关部门在应急预案中的职责和分工；</w:t>
      </w:r>
    </w:p>
    <w:p w14:paraId="6DBB8C0C">
      <w:pPr>
        <w:pStyle w:val="32"/>
        <w:spacing w:after="0" w:line="360" w:lineRule="auto"/>
        <w:ind w:firstLine="480" w:firstLineChars="200"/>
        <w:rPr>
          <w:rFonts w:ascii="Times New Roman"/>
          <w:sz w:val="24"/>
          <w:szCs w:val="24"/>
        </w:rPr>
      </w:pPr>
      <w:r>
        <w:rPr>
          <w:rFonts w:ascii="Times New Roman"/>
          <w:sz w:val="24"/>
          <w:szCs w:val="24"/>
        </w:rPr>
        <w:t>C地下水环境保护目标的确定，采取的紧急处置措施和潜在污染可能性评估；</w:t>
      </w:r>
    </w:p>
    <w:p w14:paraId="2539FEF0">
      <w:pPr>
        <w:pStyle w:val="32"/>
        <w:spacing w:after="0" w:line="360" w:lineRule="auto"/>
        <w:ind w:firstLine="480" w:firstLineChars="200"/>
        <w:rPr>
          <w:rFonts w:ascii="Times New Roman"/>
          <w:sz w:val="24"/>
          <w:szCs w:val="24"/>
        </w:rPr>
      </w:pPr>
      <w:r>
        <w:rPr>
          <w:rFonts w:ascii="Times New Roman"/>
          <w:sz w:val="24"/>
          <w:szCs w:val="24"/>
        </w:rPr>
        <w:t>D特大事故应急救援组织状况和人员、装备情况，平常的训练和演习；</w:t>
      </w:r>
    </w:p>
    <w:p w14:paraId="4BF9B5C5">
      <w:pPr>
        <w:pStyle w:val="32"/>
        <w:spacing w:after="0" w:line="360" w:lineRule="auto"/>
        <w:ind w:firstLine="480" w:firstLineChars="200"/>
        <w:rPr>
          <w:rFonts w:ascii="Times New Roman"/>
          <w:sz w:val="24"/>
          <w:szCs w:val="24"/>
        </w:rPr>
      </w:pPr>
      <w:r>
        <w:rPr>
          <w:rFonts w:ascii="Times New Roman"/>
          <w:sz w:val="24"/>
          <w:szCs w:val="24"/>
        </w:rPr>
        <w:t>E特大事故的社会支持和援助，应急救援的经费保障。</w:t>
      </w:r>
    </w:p>
    <w:p w14:paraId="4223237D">
      <w:pPr>
        <w:pStyle w:val="32"/>
        <w:spacing w:after="0" w:line="360" w:lineRule="auto"/>
        <w:ind w:firstLine="480" w:firstLineChars="200"/>
        <w:rPr>
          <w:rFonts w:ascii="Times New Roman"/>
          <w:sz w:val="24"/>
          <w:szCs w:val="24"/>
        </w:rPr>
      </w:pPr>
      <w:r>
        <w:rPr>
          <w:rFonts w:ascii="Times New Roman"/>
          <w:sz w:val="24"/>
          <w:szCs w:val="24"/>
        </w:rPr>
        <w:t>地下水应急预案详见下表：</w:t>
      </w:r>
    </w:p>
    <w:p w14:paraId="574971D2">
      <w:pPr>
        <w:pStyle w:val="154"/>
        <w:spacing w:line="460" w:lineRule="exact"/>
        <w:ind w:firstLine="480" w:firstLineChars="200"/>
        <w:jc w:val="center"/>
        <w:rPr>
          <w:rFonts w:ascii="Times New Roman" w:hAnsi="Times New Roman" w:cs="Times New Roman"/>
          <w:b/>
          <w:bCs/>
          <w:color w:val="auto"/>
          <w:szCs w:val="22"/>
        </w:rPr>
      </w:pPr>
      <w:r>
        <w:rPr>
          <w:rFonts w:ascii="Times New Roman" w:hAnsi="Times New Roman" w:cs="Times New Roman"/>
          <w:b/>
          <w:bCs/>
          <w:color w:val="auto"/>
          <w:szCs w:val="22"/>
        </w:rPr>
        <w:t>表5.2</w:t>
      </w:r>
      <w:r>
        <w:rPr>
          <w:rFonts w:hint="eastAsia" w:ascii="Times New Roman" w:hAnsi="Times New Roman" w:cs="Times New Roman"/>
          <w:b/>
          <w:bCs/>
          <w:color w:val="auto"/>
          <w:szCs w:val="22"/>
        </w:rPr>
        <w:t>.3</w:t>
      </w:r>
      <w:r>
        <w:rPr>
          <w:rFonts w:ascii="Times New Roman" w:hAnsi="Times New Roman" w:cs="Times New Roman"/>
          <w:b/>
          <w:bCs/>
          <w:color w:val="auto"/>
          <w:szCs w:val="22"/>
        </w:rPr>
        <w:t>-</w:t>
      </w:r>
      <w:r>
        <w:rPr>
          <w:rFonts w:hint="eastAsia" w:ascii="Times New Roman" w:hAnsi="Times New Roman" w:cs="Times New Roman"/>
          <w:b/>
          <w:bCs/>
          <w:color w:val="auto"/>
          <w:szCs w:val="22"/>
        </w:rPr>
        <w:t>5</w:t>
      </w:r>
      <w:r>
        <w:rPr>
          <w:rFonts w:ascii="Times New Roman" w:hAnsi="Times New Roman" w:cs="Times New Roman"/>
          <w:b/>
          <w:bCs/>
          <w:color w:val="auto"/>
          <w:szCs w:val="22"/>
        </w:rPr>
        <w:t xml:space="preserve">  地下水污染应急预案内容</w:t>
      </w:r>
    </w:p>
    <w:tbl>
      <w:tblPr>
        <w:tblStyle w:val="8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250"/>
        <w:gridCol w:w="5547"/>
      </w:tblGrid>
      <w:tr w14:paraId="514C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4" w:type="pct"/>
            <w:tcBorders>
              <w:tl2br w:val="nil"/>
              <w:tr2bl w:val="nil"/>
            </w:tcBorders>
            <w:vAlign w:val="center"/>
          </w:tcPr>
          <w:p w14:paraId="72634FE6">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320" w:type="pct"/>
            <w:tcBorders>
              <w:tl2br w:val="nil"/>
              <w:tr2bl w:val="nil"/>
            </w:tcBorders>
            <w:vAlign w:val="center"/>
          </w:tcPr>
          <w:p w14:paraId="21A83940">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3255" w:type="pct"/>
            <w:tcBorders>
              <w:tl2br w:val="nil"/>
              <w:tr2bl w:val="nil"/>
            </w:tcBorders>
            <w:vAlign w:val="center"/>
          </w:tcPr>
          <w:p w14:paraId="648C2938">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内容及要求</w:t>
            </w:r>
          </w:p>
        </w:tc>
      </w:tr>
      <w:tr w14:paraId="3DC9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7CB96975">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320" w:type="pct"/>
            <w:tcBorders>
              <w:tl2br w:val="nil"/>
              <w:tr2bl w:val="nil"/>
            </w:tcBorders>
            <w:vAlign w:val="center"/>
          </w:tcPr>
          <w:p w14:paraId="6DFB6F6D">
            <w:pPr>
              <w:widowControl/>
              <w:jc w:val="center"/>
              <w:rPr>
                <w:rFonts w:ascii="Times New Roman"/>
                <w:sz w:val="21"/>
                <w:szCs w:val="21"/>
              </w:rPr>
            </w:pPr>
            <w:r>
              <w:rPr>
                <w:rFonts w:ascii="Times New Roman"/>
                <w:kern w:val="0"/>
                <w:sz w:val="21"/>
                <w:szCs w:val="21"/>
              </w:rPr>
              <w:t>总则</w:t>
            </w:r>
          </w:p>
        </w:tc>
        <w:tc>
          <w:tcPr>
            <w:tcW w:w="3255" w:type="pct"/>
            <w:tcBorders>
              <w:tl2br w:val="nil"/>
              <w:tr2bl w:val="nil"/>
            </w:tcBorders>
            <w:vAlign w:val="center"/>
          </w:tcPr>
          <w:p w14:paraId="005554A6">
            <w:pPr>
              <w:widowControl/>
              <w:jc w:val="center"/>
              <w:rPr>
                <w:rFonts w:ascii="Times New Roman"/>
                <w:sz w:val="21"/>
                <w:szCs w:val="21"/>
              </w:rPr>
            </w:pPr>
            <w:r>
              <w:rPr>
                <w:rFonts w:ascii="Times New Roman"/>
                <w:kern w:val="0"/>
                <w:sz w:val="21"/>
                <w:szCs w:val="21"/>
              </w:rPr>
              <w:t>目的、依据、适用范围及与其它预案的衔接、应急预案体系的构成等。</w:t>
            </w:r>
          </w:p>
        </w:tc>
      </w:tr>
      <w:tr w14:paraId="30D6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 w:type="pct"/>
            <w:tcBorders>
              <w:tl2br w:val="nil"/>
              <w:tr2bl w:val="nil"/>
            </w:tcBorders>
            <w:vAlign w:val="center"/>
          </w:tcPr>
          <w:p w14:paraId="0C4263B3">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320" w:type="pct"/>
            <w:tcBorders>
              <w:tl2br w:val="nil"/>
              <w:tr2bl w:val="nil"/>
            </w:tcBorders>
            <w:vAlign w:val="center"/>
          </w:tcPr>
          <w:p w14:paraId="171215EF">
            <w:pPr>
              <w:widowControl/>
              <w:jc w:val="center"/>
              <w:rPr>
                <w:rFonts w:ascii="Times New Roman"/>
                <w:sz w:val="21"/>
                <w:szCs w:val="21"/>
              </w:rPr>
            </w:pPr>
            <w:r>
              <w:rPr>
                <w:rFonts w:ascii="Times New Roman"/>
                <w:kern w:val="0"/>
                <w:sz w:val="21"/>
                <w:szCs w:val="21"/>
              </w:rPr>
              <w:t>污染源概况</w:t>
            </w:r>
          </w:p>
        </w:tc>
        <w:tc>
          <w:tcPr>
            <w:tcW w:w="3255" w:type="pct"/>
            <w:tcBorders>
              <w:tl2br w:val="nil"/>
              <w:tr2bl w:val="nil"/>
            </w:tcBorders>
            <w:vAlign w:val="center"/>
          </w:tcPr>
          <w:p w14:paraId="38001467">
            <w:pPr>
              <w:widowControl/>
              <w:jc w:val="center"/>
              <w:rPr>
                <w:rFonts w:ascii="Times New Roman"/>
                <w:sz w:val="21"/>
                <w:szCs w:val="21"/>
              </w:rPr>
            </w:pPr>
            <w:r>
              <w:rPr>
                <w:rFonts w:ascii="Times New Roman"/>
                <w:kern w:val="0"/>
                <w:sz w:val="21"/>
                <w:szCs w:val="21"/>
              </w:rPr>
              <w:t>详述污染源类型、数量、浓度、危害特征和分布情况</w:t>
            </w:r>
          </w:p>
        </w:tc>
      </w:tr>
      <w:tr w14:paraId="14E5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3443AD11">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320" w:type="pct"/>
            <w:tcBorders>
              <w:tl2br w:val="nil"/>
              <w:tr2bl w:val="nil"/>
            </w:tcBorders>
            <w:vAlign w:val="center"/>
          </w:tcPr>
          <w:p w14:paraId="21096B4F">
            <w:pPr>
              <w:widowControl/>
              <w:jc w:val="center"/>
              <w:rPr>
                <w:rFonts w:ascii="Times New Roman"/>
                <w:sz w:val="21"/>
                <w:szCs w:val="21"/>
              </w:rPr>
            </w:pPr>
            <w:r>
              <w:rPr>
                <w:rFonts w:ascii="Times New Roman"/>
                <w:kern w:val="0"/>
                <w:sz w:val="21"/>
                <w:szCs w:val="21"/>
              </w:rPr>
              <w:t>应急计划区</w:t>
            </w:r>
          </w:p>
        </w:tc>
        <w:tc>
          <w:tcPr>
            <w:tcW w:w="3255" w:type="pct"/>
            <w:tcBorders>
              <w:tl2br w:val="nil"/>
              <w:tr2bl w:val="nil"/>
            </w:tcBorders>
            <w:vAlign w:val="center"/>
          </w:tcPr>
          <w:p w14:paraId="4055D723">
            <w:pPr>
              <w:widowControl/>
              <w:jc w:val="center"/>
              <w:rPr>
                <w:rFonts w:ascii="Times New Roman"/>
                <w:sz w:val="21"/>
                <w:szCs w:val="21"/>
              </w:rPr>
            </w:pPr>
            <w:r>
              <w:rPr>
                <w:rFonts w:ascii="Times New Roman"/>
                <w:kern w:val="0"/>
                <w:sz w:val="21"/>
                <w:szCs w:val="21"/>
              </w:rPr>
              <w:t>列出危险目标：</w:t>
            </w:r>
            <w:r>
              <w:rPr>
                <w:rFonts w:hint="eastAsia" w:ascii="Times New Roman"/>
                <w:kern w:val="0"/>
                <w:sz w:val="21"/>
                <w:szCs w:val="21"/>
              </w:rPr>
              <w:t>表面处理</w:t>
            </w:r>
            <w:r>
              <w:rPr>
                <w:rFonts w:ascii="Times New Roman"/>
                <w:kern w:val="0"/>
                <w:sz w:val="21"/>
                <w:szCs w:val="21"/>
              </w:rPr>
              <w:t>区、</w:t>
            </w:r>
            <w:r>
              <w:rPr>
                <w:rFonts w:hint="eastAsia" w:ascii="Times New Roman"/>
                <w:kern w:val="0"/>
                <w:sz w:val="21"/>
                <w:szCs w:val="21"/>
              </w:rPr>
              <w:t>危化库</w:t>
            </w:r>
            <w:r>
              <w:rPr>
                <w:rFonts w:ascii="Times New Roman"/>
                <w:kern w:val="0"/>
                <w:sz w:val="21"/>
                <w:szCs w:val="21"/>
              </w:rPr>
              <w:t>、辅助设施、公用工程，厂周围环境保护目标。</w:t>
            </w:r>
          </w:p>
        </w:tc>
      </w:tr>
      <w:tr w14:paraId="7428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3601A497">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320" w:type="pct"/>
            <w:tcBorders>
              <w:tl2br w:val="nil"/>
              <w:tr2bl w:val="nil"/>
            </w:tcBorders>
            <w:vAlign w:val="center"/>
          </w:tcPr>
          <w:p w14:paraId="0AB90310">
            <w:pPr>
              <w:widowControl/>
              <w:jc w:val="center"/>
              <w:rPr>
                <w:rFonts w:ascii="Times New Roman"/>
                <w:sz w:val="21"/>
                <w:szCs w:val="21"/>
              </w:rPr>
            </w:pPr>
            <w:r>
              <w:rPr>
                <w:rFonts w:ascii="Times New Roman"/>
                <w:kern w:val="0"/>
                <w:sz w:val="21"/>
                <w:szCs w:val="21"/>
              </w:rPr>
              <w:t>应急组织</w:t>
            </w:r>
          </w:p>
        </w:tc>
        <w:tc>
          <w:tcPr>
            <w:tcW w:w="3255" w:type="pct"/>
            <w:tcBorders>
              <w:tl2br w:val="nil"/>
              <w:tr2bl w:val="nil"/>
            </w:tcBorders>
            <w:vAlign w:val="center"/>
          </w:tcPr>
          <w:p w14:paraId="098AADCA">
            <w:pPr>
              <w:widowControl/>
              <w:jc w:val="center"/>
              <w:rPr>
                <w:rFonts w:ascii="Times New Roman"/>
                <w:sz w:val="21"/>
                <w:szCs w:val="21"/>
              </w:rPr>
            </w:pPr>
            <w:r>
              <w:rPr>
                <w:rFonts w:ascii="Times New Roman"/>
                <w:kern w:val="0"/>
                <w:sz w:val="21"/>
                <w:szCs w:val="21"/>
              </w:rPr>
              <w:t>应急指挥部</w:t>
            </w:r>
            <w:r>
              <w:rPr>
                <w:rFonts w:ascii="Times New Roman" w:eastAsia="TimesNewRomanPSMT"/>
                <w:kern w:val="0"/>
                <w:sz w:val="21"/>
                <w:szCs w:val="21"/>
              </w:rPr>
              <w:t>—</w:t>
            </w:r>
            <w:r>
              <w:rPr>
                <w:rFonts w:ascii="Times New Roman"/>
                <w:kern w:val="0"/>
                <w:sz w:val="21"/>
                <w:szCs w:val="21"/>
              </w:rPr>
              <w:t>负责现场全面指挥；专业救援队伍</w:t>
            </w:r>
            <w:r>
              <w:rPr>
                <w:rFonts w:ascii="Times New Roman" w:eastAsia="TimesNewRomanPSMT"/>
                <w:kern w:val="0"/>
                <w:sz w:val="21"/>
                <w:szCs w:val="21"/>
              </w:rPr>
              <w:t>—</w:t>
            </w:r>
            <w:r>
              <w:rPr>
                <w:rFonts w:ascii="Times New Roman"/>
                <w:kern w:val="0"/>
                <w:sz w:val="21"/>
                <w:szCs w:val="21"/>
              </w:rPr>
              <w:t>负责事故控制、救援、善后处理；专业监测队伍负责对监测站的支援；地方医院负责收治受伤、中毒人员；</w:t>
            </w:r>
          </w:p>
        </w:tc>
      </w:tr>
      <w:tr w14:paraId="765A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3BDE84F9">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320" w:type="pct"/>
            <w:tcBorders>
              <w:tl2br w:val="nil"/>
              <w:tr2bl w:val="nil"/>
            </w:tcBorders>
            <w:vAlign w:val="center"/>
          </w:tcPr>
          <w:p w14:paraId="76162FBD">
            <w:pPr>
              <w:widowControl/>
              <w:jc w:val="center"/>
              <w:rPr>
                <w:rFonts w:ascii="Times New Roman"/>
                <w:sz w:val="21"/>
                <w:szCs w:val="21"/>
              </w:rPr>
            </w:pPr>
            <w:r>
              <w:rPr>
                <w:rFonts w:ascii="Times New Roman"/>
                <w:kern w:val="0"/>
                <w:sz w:val="21"/>
                <w:szCs w:val="21"/>
              </w:rPr>
              <w:t>应急状态分类及应急响应程序</w:t>
            </w:r>
          </w:p>
        </w:tc>
        <w:tc>
          <w:tcPr>
            <w:tcW w:w="3255" w:type="pct"/>
            <w:tcBorders>
              <w:tl2br w:val="nil"/>
              <w:tr2bl w:val="nil"/>
            </w:tcBorders>
            <w:vAlign w:val="center"/>
          </w:tcPr>
          <w:p w14:paraId="608D87B0">
            <w:pPr>
              <w:widowControl/>
              <w:jc w:val="center"/>
              <w:rPr>
                <w:rFonts w:ascii="Times New Roman"/>
                <w:sz w:val="21"/>
                <w:szCs w:val="21"/>
              </w:rPr>
            </w:pPr>
            <w:r>
              <w:rPr>
                <w:rFonts w:ascii="Times New Roman"/>
                <w:kern w:val="0"/>
                <w:sz w:val="21"/>
                <w:szCs w:val="21"/>
              </w:rPr>
              <w:t>规定地下水污染事故的级别及相应的应急分类响应程序。按照突发环境事件严重性和紧急程度，对突发环境事件进行分级。</w:t>
            </w:r>
          </w:p>
        </w:tc>
      </w:tr>
      <w:tr w14:paraId="3A74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4" w:type="pct"/>
            <w:tcBorders>
              <w:tl2br w:val="nil"/>
              <w:tr2bl w:val="nil"/>
            </w:tcBorders>
            <w:vAlign w:val="center"/>
          </w:tcPr>
          <w:p w14:paraId="57BD6FAD">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320" w:type="pct"/>
            <w:tcBorders>
              <w:tl2br w:val="nil"/>
              <w:tr2bl w:val="nil"/>
            </w:tcBorders>
            <w:vAlign w:val="center"/>
          </w:tcPr>
          <w:p w14:paraId="3DEDAF19">
            <w:pPr>
              <w:widowControl/>
              <w:jc w:val="center"/>
              <w:rPr>
                <w:rFonts w:ascii="Times New Roman"/>
                <w:sz w:val="21"/>
                <w:szCs w:val="21"/>
              </w:rPr>
            </w:pPr>
            <w:r>
              <w:rPr>
                <w:rFonts w:ascii="Times New Roman"/>
                <w:kern w:val="0"/>
                <w:sz w:val="21"/>
                <w:szCs w:val="21"/>
              </w:rPr>
              <w:t>应急设施、设备与材料</w:t>
            </w:r>
          </w:p>
        </w:tc>
        <w:tc>
          <w:tcPr>
            <w:tcW w:w="3255" w:type="pct"/>
            <w:tcBorders>
              <w:tl2br w:val="nil"/>
              <w:tr2bl w:val="nil"/>
            </w:tcBorders>
            <w:vAlign w:val="center"/>
          </w:tcPr>
          <w:p w14:paraId="2DCCBB00">
            <w:pPr>
              <w:widowControl/>
              <w:jc w:val="center"/>
              <w:rPr>
                <w:rFonts w:ascii="Times New Roman"/>
                <w:sz w:val="21"/>
                <w:szCs w:val="21"/>
              </w:rPr>
            </w:pPr>
            <w:r>
              <w:rPr>
                <w:rFonts w:ascii="Times New Roman"/>
                <w:kern w:val="0"/>
                <w:sz w:val="21"/>
                <w:szCs w:val="21"/>
              </w:rPr>
              <w:t>防有毒有害物质外溢、扩散的应急设施、设备与材料。</w:t>
            </w:r>
          </w:p>
        </w:tc>
      </w:tr>
      <w:tr w14:paraId="71BB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4" w:type="pct"/>
            <w:tcBorders>
              <w:tl2br w:val="nil"/>
              <w:tr2bl w:val="nil"/>
            </w:tcBorders>
            <w:vAlign w:val="center"/>
          </w:tcPr>
          <w:p w14:paraId="4AD9E218">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1320" w:type="pct"/>
            <w:tcBorders>
              <w:tl2br w:val="nil"/>
              <w:tr2bl w:val="nil"/>
            </w:tcBorders>
            <w:vAlign w:val="center"/>
          </w:tcPr>
          <w:p w14:paraId="6037FDD3">
            <w:pPr>
              <w:widowControl/>
              <w:jc w:val="center"/>
              <w:rPr>
                <w:rFonts w:ascii="Times New Roman"/>
                <w:sz w:val="21"/>
                <w:szCs w:val="21"/>
              </w:rPr>
            </w:pPr>
            <w:r>
              <w:rPr>
                <w:rFonts w:ascii="Times New Roman"/>
                <w:kern w:val="0"/>
                <w:sz w:val="21"/>
                <w:szCs w:val="21"/>
              </w:rPr>
              <w:t>应急通讯和交通</w:t>
            </w:r>
          </w:p>
        </w:tc>
        <w:tc>
          <w:tcPr>
            <w:tcW w:w="3255" w:type="pct"/>
            <w:tcBorders>
              <w:tl2br w:val="nil"/>
              <w:tr2bl w:val="nil"/>
            </w:tcBorders>
            <w:vAlign w:val="center"/>
          </w:tcPr>
          <w:p w14:paraId="34F0E313">
            <w:pPr>
              <w:widowControl/>
              <w:jc w:val="center"/>
              <w:rPr>
                <w:rFonts w:ascii="Times New Roman"/>
                <w:sz w:val="21"/>
                <w:szCs w:val="21"/>
              </w:rPr>
            </w:pPr>
            <w:r>
              <w:rPr>
                <w:rFonts w:ascii="Times New Roman"/>
                <w:kern w:val="0"/>
                <w:sz w:val="21"/>
                <w:szCs w:val="21"/>
              </w:rPr>
              <w:t>规定应急状态下的通讯方式、通知方式和交通保障、管制。</w:t>
            </w:r>
          </w:p>
        </w:tc>
      </w:tr>
      <w:tr w14:paraId="417F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36DB1132">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320" w:type="pct"/>
            <w:tcBorders>
              <w:tl2br w:val="nil"/>
              <w:tr2bl w:val="nil"/>
            </w:tcBorders>
            <w:vAlign w:val="center"/>
          </w:tcPr>
          <w:p w14:paraId="1AD80940">
            <w:pPr>
              <w:widowControl/>
              <w:jc w:val="center"/>
              <w:rPr>
                <w:rFonts w:ascii="Times New Roman"/>
                <w:kern w:val="0"/>
                <w:sz w:val="21"/>
                <w:szCs w:val="21"/>
              </w:rPr>
            </w:pPr>
            <w:r>
              <w:rPr>
                <w:rFonts w:ascii="Times New Roman"/>
                <w:kern w:val="0"/>
                <w:sz w:val="21"/>
                <w:szCs w:val="21"/>
              </w:rPr>
              <w:t>应急环境监测及事故后评估</w:t>
            </w:r>
          </w:p>
        </w:tc>
        <w:tc>
          <w:tcPr>
            <w:tcW w:w="3255" w:type="pct"/>
            <w:tcBorders>
              <w:tl2br w:val="nil"/>
              <w:tr2bl w:val="nil"/>
            </w:tcBorders>
            <w:vAlign w:val="center"/>
          </w:tcPr>
          <w:p w14:paraId="6E9288D9">
            <w:pPr>
              <w:widowControl/>
              <w:jc w:val="center"/>
              <w:rPr>
                <w:rFonts w:ascii="Times New Roman"/>
                <w:kern w:val="0"/>
                <w:sz w:val="21"/>
                <w:szCs w:val="21"/>
              </w:rPr>
            </w:pPr>
            <w:r>
              <w:rPr>
                <w:rFonts w:ascii="Times New Roman"/>
                <w:kern w:val="0"/>
                <w:sz w:val="21"/>
                <w:szCs w:val="21"/>
              </w:rPr>
              <w:t>由有资质监测单位进行现场地下水环境进行监测。对事故性质与后果进行评估，为指挥部门提供决策依据。</w:t>
            </w:r>
          </w:p>
        </w:tc>
      </w:tr>
      <w:tr w14:paraId="3C2E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3FD4F863">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1320" w:type="pct"/>
            <w:tcBorders>
              <w:tl2br w:val="nil"/>
              <w:tr2bl w:val="nil"/>
            </w:tcBorders>
            <w:vAlign w:val="center"/>
          </w:tcPr>
          <w:p w14:paraId="1E820249">
            <w:pPr>
              <w:widowControl/>
              <w:jc w:val="center"/>
              <w:rPr>
                <w:rFonts w:ascii="Times New Roman"/>
                <w:kern w:val="0"/>
                <w:sz w:val="21"/>
                <w:szCs w:val="21"/>
              </w:rPr>
            </w:pPr>
            <w:r>
              <w:rPr>
                <w:rFonts w:ascii="Times New Roman"/>
                <w:kern w:val="0"/>
                <w:sz w:val="21"/>
                <w:szCs w:val="21"/>
              </w:rPr>
              <w:t>应急防护措施、清除泄漏措施方法和器材</w:t>
            </w:r>
          </w:p>
        </w:tc>
        <w:tc>
          <w:tcPr>
            <w:tcW w:w="3255" w:type="pct"/>
            <w:tcBorders>
              <w:tl2br w:val="nil"/>
              <w:tr2bl w:val="nil"/>
            </w:tcBorders>
            <w:vAlign w:val="center"/>
          </w:tcPr>
          <w:p w14:paraId="476332F8">
            <w:pPr>
              <w:widowControl/>
              <w:jc w:val="center"/>
              <w:rPr>
                <w:rFonts w:ascii="Times New Roman"/>
                <w:kern w:val="0"/>
                <w:sz w:val="21"/>
                <w:szCs w:val="21"/>
              </w:rPr>
            </w:pPr>
            <w:r>
              <w:rPr>
                <w:rFonts w:ascii="Times New Roman"/>
                <w:kern w:val="0"/>
                <w:sz w:val="21"/>
                <w:szCs w:val="21"/>
              </w:rPr>
              <w:t>事故现场：控制事故、防止扩大、蔓延及链锁反应。清除现场泄漏物，降低危害，相应的设施器材配备。邻近区域：控制污染区域，控制和清除污染措施及相应设备配备。</w:t>
            </w:r>
          </w:p>
        </w:tc>
      </w:tr>
      <w:tr w14:paraId="4DF6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4A570CB8">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320" w:type="pct"/>
            <w:tcBorders>
              <w:tl2br w:val="nil"/>
              <w:tr2bl w:val="nil"/>
            </w:tcBorders>
            <w:vAlign w:val="center"/>
          </w:tcPr>
          <w:p w14:paraId="759F4007">
            <w:pPr>
              <w:widowControl/>
              <w:jc w:val="center"/>
              <w:rPr>
                <w:rFonts w:ascii="Times New Roman"/>
                <w:kern w:val="0"/>
                <w:sz w:val="21"/>
                <w:szCs w:val="21"/>
              </w:rPr>
            </w:pPr>
            <w:r>
              <w:rPr>
                <w:rFonts w:ascii="Times New Roman"/>
                <w:kern w:val="0"/>
                <w:sz w:val="21"/>
                <w:szCs w:val="21"/>
              </w:rPr>
              <w:t>应急浓度、排放量控制、撤离组织计划、医疗救护与公众健康</w:t>
            </w:r>
          </w:p>
        </w:tc>
        <w:tc>
          <w:tcPr>
            <w:tcW w:w="3255" w:type="pct"/>
            <w:tcBorders>
              <w:tl2br w:val="nil"/>
              <w:tr2bl w:val="nil"/>
            </w:tcBorders>
            <w:vAlign w:val="center"/>
          </w:tcPr>
          <w:p w14:paraId="7FE03211">
            <w:pPr>
              <w:widowControl/>
              <w:jc w:val="center"/>
              <w:rPr>
                <w:rFonts w:ascii="Times New Roman"/>
                <w:kern w:val="0"/>
                <w:sz w:val="21"/>
                <w:szCs w:val="21"/>
              </w:rPr>
            </w:pPr>
            <w:r>
              <w:rPr>
                <w:rFonts w:ascii="Times New Roman"/>
                <w:kern w:val="0"/>
                <w:sz w:val="21"/>
                <w:szCs w:val="21"/>
              </w:rPr>
              <w:t>事故现场：事故处理人员制定污染物的应急控制浓度、排放量，现场及邻近装置人员撤离组织计划及救护。环境敏感目标：受事故影响的邻近区域人员及公众对污染物应急控制浓度、排放量规定，撤离组织计划及救护。</w:t>
            </w:r>
          </w:p>
        </w:tc>
      </w:tr>
      <w:tr w14:paraId="278C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5B691250">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1320" w:type="pct"/>
            <w:tcBorders>
              <w:tl2br w:val="nil"/>
              <w:tr2bl w:val="nil"/>
            </w:tcBorders>
            <w:vAlign w:val="center"/>
          </w:tcPr>
          <w:p w14:paraId="07D9FB41">
            <w:pPr>
              <w:widowControl/>
              <w:jc w:val="center"/>
              <w:rPr>
                <w:rFonts w:ascii="Times New Roman"/>
                <w:kern w:val="0"/>
                <w:sz w:val="21"/>
                <w:szCs w:val="21"/>
              </w:rPr>
            </w:pPr>
            <w:r>
              <w:rPr>
                <w:rFonts w:ascii="Times New Roman"/>
                <w:kern w:val="0"/>
                <w:sz w:val="21"/>
                <w:szCs w:val="21"/>
              </w:rPr>
              <w:t>应急状态终止与恢复措施</w:t>
            </w:r>
          </w:p>
        </w:tc>
        <w:tc>
          <w:tcPr>
            <w:tcW w:w="3255" w:type="pct"/>
            <w:tcBorders>
              <w:tl2br w:val="nil"/>
              <w:tr2bl w:val="nil"/>
            </w:tcBorders>
            <w:vAlign w:val="center"/>
          </w:tcPr>
          <w:p w14:paraId="71BDA0C1">
            <w:pPr>
              <w:widowControl/>
              <w:jc w:val="center"/>
              <w:rPr>
                <w:rFonts w:ascii="Times New Roman"/>
                <w:sz w:val="21"/>
                <w:szCs w:val="21"/>
              </w:rPr>
            </w:pPr>
            <w:r>
              <w:rPr>
                <w:rFonts w:ascii="Times New Roman"/>
                <w:kern w:val="0"/>
                <w:sz w:val="21"/>
                <w:szCs w:val="21"/>
              </w:rPr>
              <w:t>规定应急状态终止程序。</w:t>
            </w:r>
          </w:p>
          <w:p w14:paraId="6D1EEA54">
            <w:pPr>
              <w:widowControl/>
              <w:jc w:val="center"/>
              <w:rPr>
                <w:rFonts w:ascii="Times New Roman"/>
                <w:sz w:val="21"/>
                <w:szCs w:val="21"/>
              </w:rPr>
            </w:pPr>
            <w:r>
              <w:rPr>
                <w:rFonts w:ascii="Times New Roman"/>
                <w:kern w:val="0"/>
                <w:sz w:val="21"/>
                <w:szCs w:val="21"/>
              </w:rPr>
              <w:t>事故现场善后处理，恢复措施。</w:t>
            </w:r>
          </w:p>
          <w:p w14:paraId="1722E374">
            <w:pPr>
              <w:widowControl/>
              <w:jc w:val="center"/>
              <w:rPr>
                <w:rFonts w:ascii="Times New Roman"/>
                <w:sz w:val="21"/>
                <w:szCs w:val="21"/>
              </w:rPr>
            </w:pPr>
            <w:r>
              <w:rPr>
                <w:rFonts w:ascii="Times New Roman"/>
                <w:kern w:val="0"/>
                <w:sz w:val="21"/>
                <w:szCs w:val="21"/>
              </w:rPr>
              <w:t>邻近区域解除事故警戒及善后恢复措施。</w:t>
            </w:r>
          </w:p>
          <w:p w14:paraId="135AA28E">
            <w:pPr>
              <w:widowControl/>
              <w:jc w:val="center"/>
              <w:rPr>
                <w:rFonts w:ascii="Times New Roman"/>
                <w:kern w:val="0"/>
                <w:sz w:val="21"/>
                <w:szCs w:val="21"/>
              </w:rPr>
            </w:pPr>
            <w:r>
              <w:rPr>
                <w:rFonts w:ascii="Times New Roman"/>
                <w:kern w:val="0"/>
                <w:sz w:val="21"/>
                <w:szCs w:val="21"/>
              </w:rPr>
              <w:t>建立重大环境事故责任追究、奖惩制度。</w:t>
            </w:r>
          </w:p>
        </w:tc>
      </w:tr>
      <w:tr w14:paraId="3251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4" w:type="pct"/>
            <w:tcBorders>
              <w:tl2br w:val="nil"/>
              <w:tr2bl w:val="nil"/>
            </w:tcBorders>
            <w:vAlign w:val="center"/>
          </w:tcPr>
          <w:p w14:paraId="2BBCF193">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1320" w:type="pct"/>
            <w:tcBorders>
              <w:tl2br w:val="nil"/>
              <w:tr2bl w:val="nil"/>
            </w:tcBorders>
            <w:vAlign w:val="center"/>
          </w:tcPr>
          <w:p w14:paraId="24BE0B0E">
            <w:pPr>
              <w:widowControl/>
              <w:jc w:val="center"/>
              <w:rPr>
                <w:rFonts w:ascii="Times New Roman"/>
                <w:kern w:val="0"/>
                <w:sz w:val="21"/>
                <w:szCs w:val="21"/>
              </w:rPr>
            </w:pPr>
            <w:r>
              <w:rPr>
                <w:rFonts w:ascii="Times New Roman"/>
                <w:kern w:val="0"/>
                <w:sz w:val="21"/>
                <w:szCs w:val="21"/>
              </w:rPr>
              <w:t>人员培训与演练</w:t>
            </w:r>
          </w:p>
        </w:tc>
        <w:tc>
          <w:tcPr>
            <w:tcW w:w="3255" w:type="pct"/>
            <w:tcBorders>
              <w:tl2br w:val="nil"/>
              <w:tr2bl w:val="nil"/>
            </w:tcBorders>
            <w:vAlign w:val="center"/>
          </w:tcPr>
          <w:p w14:paraId="233CA6FF">
            <w:pPr>
              <w:widowControl/>
              <w:jc w:val="center"/>
              <w:rPr>
                <w:rFonts w:ascii="Times New Roman"/>
                <w:kern w:val="0"/>
                <w:sz w:val="21"/>
                <w:szCs w:val="21"/>
              </w:rPr>
            </w:pPr>
            <w:r>
              <w:rPr>
                <w:rFonts w:ascii="Times New Roman"/>
                <w:kern w:val="0"/>
                <w:sz w:val="21"/>
                <w:szCs w:val="21"/>
              </w:rPr>
              <w:t>应急计划制定后，平时安排人员培训与演练。</w:t>
            </w:r>
          </w:p>
        </w:tc>
      </w:tr>
      <w:tr w14:paraId="382D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24" w:type="pct"/>
            <w:tcBorders>
              <w:tl2br w:val="nil"/>
              <w:tr2bl w:val="nil"/>
            </w:tcBorders>
            <w:vAlign w:val="center"/>
          </w:tcPr>
          <w:p w14:paraId="66D2581F">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320" w:type="pct"/>
            <w:tcBorders>
              <w:tl2br w:val="nil"/>
              <w:tr2bl w:val="nil"/>
            </w:tcBorders>
            <w:vAlign w:val="center"/>
          </w:tcPr>
          <w:p w14:paraId="73CBE4BD">
            <w:pPr>
              <w:widowControl/>
              <w:jc w:val="center"/>
              <w:rPr>
                <w:rFonts w:ascii="Times New Roman"/>
                <w:kern w:val="0"/>
                <w:sz w:val="21"/>
                <w:szCs w:val="21"/>
              </w:rPr>
            </w:pPr>
            <w:r>
              <w:rPr>
                <w:rFonts w:ascii="Times New Roman"/>
                <w:kern w:val="0"/>
                <w:sz w:val="21"/>
                <w:szCs w:val="21"/>
              </w:rPr>
              <w:t>公众教育和信息</w:t>
            </w:r>
          </w:p>
        </w:tc>
        <w:tc>
          <w:tcPr>
            <w:tcW w:w="3255" w:type="pct"/>
            <w:tcBorders>
              <w:tl2br w:val="nil"/>
              <w:tr2bl w:val="nil"/>
            </w:tcBorders>
            <w:vAlign w:val="center"/>
          </w:tcPr>
          <w:p w14:paraId="74233819">
            <w:pPr>
              <w:widowControl/>
              <w:jc w:val="center"/>
              <w:rPr>
                <w:rFonts w:ascii="Times New Roman"/>
                <w:kern w:val="0"/>
                <w:sz w:val="21"/>
                <w:szCs w:val="21"/>
              </w:rPr>
            </w:pPr>
            <w:r>
              <w:rPr>
                <w:rFonts w:ascii="Times New Roman"/>
                <w:kern w:val="0"/>
                <w:sz w:val="21"/>
                <w:szCs w:val="21"/>
              </w:rPr>
              <w:t>对邻近地区开展公众教育、培训和发布有关信息。</w:t>
            </w:r>
          </w:p>
        </w:tc>
      </w:tr>
      <w:tr w14:paraId="51B9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l2br w:val="nil"/>
              <w:tr2bl w:val="nil"/>
            </w:tcBorders>
            <w:vAlign w:val="center"/>
          </w:tcPr>
          <w:p w14:paraId="73B2B8D0">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14</w:t>
            </w:r>
          </w:p>
        </w:tc>
        <w:tc>
          <w:tcPr>
            <w:tcW w:w="1320" w:type="pct"/>
            <w:tcBorders>
              <w:tl2br w:val="nil"/>
              <w:tr2bl w:val="nil"/>
            </w:tcBorders>
            <w:vAlign w:val="center"/>
          </w:tcPr>
          <w:p w14:paraId="41FAD118">
            <w:pPr>
              <w:widowControl/>
              <w:jc w:val="center"/>
              <w:rPr>
                <w:rFonts w:ascii="Times New Roman"/>
                <w:kern w:val="0"/>
                <w:sz w:val="21"/>
                <w:szCs w:val="21"/>
              </w:rPr>
            </w:pPr>
            <w:r>
              <w:rPr>
                <w:rFonts w:ascii="Times New Roman"/>
                <w:kern w:val="0"/>
                <w:sz w:val="21"/>
                <w:szCs w:val="21"/>
              </w:rPr>
              <w:t>记录和报告</w:t>
            </w:r>
          </w:p>
        </w:tc>
        <w:tc>
          <w:tcPr>
            <w:tcW w:w="3255" w:type="pct"/>
            <w:tcBorders>
              <w:tl2br w:val="nil"/>
              <w:tr2bl w:val="nil"/>
            </w:tcBorders>
            <w:vAlign w:val="center"/>
          </w:tcPr>
          <w:p w14:paraId="153C982E">
            <w:pPr>
              <w:widowControl/>
              <w:jc w:val="center"/>
              <w:rPr>
                <w:rFonts w:ascii="Times New Roman"/>
                <w:kern w:val="0"/>
                <w:sz w:val="21"/>
                <w:szCs w:val="21"/>
              </w:rPr>
            </w:pPr>
            <w:r>
              <w:rPr>
                <w:rFonts w:ascii="Times New Roman"/>
                <w:kern w:val="0"/>
                <w:sz w:val="21"/>
                <w:szCs w:val="21"/>
              </w:rPr>
              <w:t>设置应急事故专门记录，建档案和专门报告制度，设专门部门和负责管理。</w:t>
            </w:r>
          </w:p>
        </w:tc>
      </w:tr>
      <w:tr w14:paraId="08BF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24" w:type="pct"/>
            <w:tcBorders>
              <w:tl2br w:val="nil"/>
              <w:tr2bl w:val="nil"/>
            </w:tcBorders>
            <w:vAlign w:val="center"/>
          </w:tcPr>
          <w:p w14:paraId="08CC4E14">
            <w:pPr>
              <w:pStyle w:val="154"/>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1320" w:type="pct"/>
            <w:tcBorders>
              <w:tl2br w:val="nil"/>
              <w:tr2bl w:val="nil"/>
            </w:tcBorders>
            <w:vAlign w:val="center"/>
          </w:tcPr>
          <w:p w14:paraId="302F1E48">
            <w:pPr>
              <w:widowControl/>
              <w:jc w:val="center"/>
              <w:rPr>
                <w:rFonts w:ascii="Times New Roman"/>
                <w:kern w:val="0"/>
                <w:sz w:val="21"/>
                <w:szCs w:val="21"/>
              </w:rPr>
            </w:pPr>
            <w:r>
              <w:rPr>
                <w:rFonts w:ascii="Times New Roman"/>
                <w:kern w:val="0"/>
                <w:sz w:val="21"/>
                <w:szCs w:val="21"/>
              </w:rPr>
              <w:t>附件</w:t>
            </w:r>
          </w:p>
        </w:tc>
        <w:tc>
          <w:tcPr>
            <w:tcW w:w="3255" w:type="pct"/>
            <w:tcBorders>
              <w:tl2br w:val="nil"/>
              <w:tr2bl w:val="nil"/>
            </w:tcBorders>
            <w:vAlign w:val="center"/>
          </w:tcPr>
          <w:p w14:paraId="016C6118">
            <w:pPr>
              <w:widowControl/>
              <w:jc w:val="center"/>
              <w:rPr>
                <w:rFonts w:ascii="Times New Roman"/>
                <w:kern w:val="0"/>
                <w:sz w:val="21"/>
                <w:szCs w:val="21"/>
              </w:rPr>
            </w:pPr>
            <w:r>
              <w:rPr>
                <w:rFonts w:ascii="Times New Roman"/>
                <w:kern w:val="0"/>
                <w:sz w:val="21"/>
                <w:szCs w:val="21"/>
              </w:rPr>
              <w:t>与应急事故有关的多种附件材料的准备和形成。</w:t>
            </w:r>
          </w:p>
        </w:tc>
      </w:tr>
    </w:tbl>
    <w:p w14:paraId="1A4AEF11">
      <w:pPr>
        <w:pStyle w:val="154"/>
        <w:spacing w:line="440" w:lineRule="exact"/>
        <w:ind w:firstLine="480" w:firstLineChars="200"/>
        <w:jc w:val="both"/>
        <w:rPr>
          <w:rFonts w:ascii="Times New Roman" w:hAnsi="Times New Roman" w:cs="Times New Roman"/>
          <w:color w:val="auto"/>
          <w:szCs w:val="22"/>
        </w:rPr>
      </w:pPr>
      <w:r>
        <w:rPr>
          <w:rFonts w:ascii="Times New Roman" w:hAnsi="Times New Roman" w:cs="Times New Roman"/>
          <w:color w:val="auto"/>
          <w:szCs w:val="22"/>
        </w:rPr>
        <w:t>②应急措施</w:t>
      </w:r>
    </w:p>
    <w:p w14:paraId="1CB31468">
      <w:pPr>
        <w:pStyle w:val="154"/>
        <w:spacing w:line="440" w:lineRule="exact"/>
        <w:ind w:firstLine="480" w:firstLineChars="200"/>
        <w:jc w:val="both"/>
        <w:rPr>
          <w:rFonts w:ascii="Times New Roman" w:hAnsi="Times New Roman" w:cs="Times New Roman"/>
          <w:color w:val="auto"/>
          <w:szCs w:val="22"/>
        </w:rPr>
      </w:pPr>
      <w:r>
        <w:rPr>
          <w:rFonts w:ascii="Times New Roman" w:hAnsi="Times New Roman" w:cs="Times New Roman"/>
          <w:color w:val="auto"/>
          <w:szCs w:val="22"/>
        </w:rPr>
        <w:t>一旦发现地下水水质发生异常情况，必须按照应急预案马上采取紧急措施：</w:t>
      </w:r>
    </w:p>
    <w:p w14:paraId="715C4A82">
      <w:pPr>
        <w:pStyle w:val="154"/>
        <w:spacing w:line="440" w:lineRule="exact"/>
        <w:ind w:firstLine="480" w:firstLineChars="200"/>
        <w:jc w:val="both"/>
        <w:rPr>
          <w:rFonts w:ascii="Times New Roman" w:hAnsi="Times New Roman" w:cs="Times New Roman"/>
          <w:color w:val="auto"/>
          <w:szCs w:val="22"/>
        </w:rPr>
      </w:pPr>
      <w:r>
        <w:rPr>
          <w:rFonts w:ascii="Times New Roman" w:hAnsi="Times New Roman" w:cs="Times New Roman"/>
          <w:color w:val="auto"/>
          <w:szCs w:val="22"/>
        </w:rPr>
        <w:t>A当确定发生地下水异常情况时，按照制订的地下水应急预案，在第一时间内尽快上报主管领导，通知当地生态环境部门及政府部门，密切关注地下水水质变化情况。</w:t>
      </w:r>
    </w:p>
    <w:p w14:paraId="5EED6A47">
      <w:pPr>
        <w:pStyle w:val="154"/>
        <w:spacing w:line="440" w:lineRule="exact"/>
        <w:ind w:firstLine="480" w:firstLineChars="200"/>
        <w:jc w:val="both"/>
        <w:rPr>
          <w:rFonts w:ascii="Times New Roman" w:hAnsi="Times New Roman" w:cs="Times New Roman"/>
          <w:color w:val="auto"/>
        </w:rPr>
      </w:pPr>
      <w:r>
        <w:rPr>
          <w:rFonts w:ascii="Times New Roman" w:hAnsi="Times New Roman" w:cs="Times New Roman"/>
          <w:color w:val="auto"/>
          <w:szCs w:val="22"/>
        </w:rPr>
        <w:t>B</w:t>
      </w:r>
      <w:r>
        <w:rPr>
          <w:rFonts w:ascii="Times New Roman" w:hAnsi="Times New Roman" w:cs="Times New Roman"/>
          <w:color w:val="auto"/>
        </w:rPr>
        <w:t>组织专业队伍对事故现场进行调查、监测，尽量将紧急事件局部化，防止事故的扩散、蔓延及连锁反应，尽量缩小地下水污染事故对人和财产的影响。</w:t>
      </w:r>
    </w:p>
    <w:p w14:paraId="3B009D5E">
      <w:pPr>
        <w:pStyle w:val="154"/>
        <w:spacing w:line="440" w:lineRule="exact"/>
        <w:ind w:firstLine="480" w:firstLineChars="200"/>
        <w:jc w:val="both"/>
        <w:rPr>
          <w:rFonts w:ascii="Times New Roman" w:hAnsi="Times New Roman" w:cs="Times New Roman"/>
          <w:color w:val="auto"/>
        </w:rPr>
      </w:pPr>
      <w:r>
        <w:rPr>
          <w:rFonts w:ascii="Times New Roman" w:hAnsi="Times New Roman" w:cs="Times New Roman"/>
          <w:color w:val="auto"/>
        </w:rPr>
        <w:t>C根据观测井的反馈信息，立即启动应急预案，采取措施，抑制污染物向下游扩散量，控制污染范围，使地下水质量得到尽快恢复。</w:t>
      </w:r>
    </w:p>
    <w:p w14:paraId="63F40B3B">
      <w:pPr>
        <w:pStyle w:val="154"/>
        <w:spacing w:line="440" w:lineRule="exact"/>
        <w:ind w:firstLine="480" w:firstLineChars="200"/>
        <w:jc w:val="both"/>
        <w:rPr>
          <w:rFonts w:ascii="Times New Roman" w:hAnsi="Times New Roman" w:cs="Times New Roman"/>
          <w:color w:val="auto"/>
        </w:rPr>
      </w:pPr>
      <w:r>
        <w:rPr>
          <w:rFonts w:ascii="Times New Roman" w:hAnsi="Times New Roman" w:cs="Times New Roman"/>
          <w:color w:val="auto"/>
        </w:rPr>
        <w:t>D对事故后果进行评估，并制定防止类似事件发生的措施。</w:t>
      </w:r>
    </w:p>
    <w:p w14:paraId="3E47908D">
      <w:pPr>
        <w:widowControl/>
        <w:spacing w:line="440" w:lineRule="exact"/>
        <w:ind w:firstLine="480" w:firstLineChars="200"/>
        <w:rPr>
          <w:rFonts w:ascii="Times New Roman"/>
          <w:sz w:val="24"/>
          <w:szCs w:val="24"/>
        </w:rPr>
      </w:pPr>
      <w:r>
        <w:rPr>
          <w:rFonts w:ascii="Times New Roman"/>
          <w:sz w:val="24"/>
          <w:szCs w:val="24"/>
        </w:rPr>
        <w:t>E如果自身力量无法应对污染事故，应立即请求社会应急力量协助处理。</w:t>
      </w:r>
    </w:p>
    <w:p w14:paraId="745E9512">
      <w:pPr>
        <w:snapToGrid w:val="0"/>
        <w:spacing w:beforeLines="50" w:line="360" w:lineRule="auto"/>
        <w:outlineLvl w:val="3"/>
        <w:rPr>
          <w:rFonts w:ascii="Times New Roman"/>
          <w:b/>
          <w:sz w:val="24"/>
          <w:szCs w:val="24"/>
        </w:rPr>
      </w:pPr>
      <w:r>
        <w:rPr>
          <w:rFonts w:ascii="Times New Roman"/>
          <w:b/>
          <w:sz w:val="24"/>
          <w:szCs w:val="24"/>
        </w:rPr>
        <w:t>5.2.3.6地下水环境影响评价结论</w:t>
      </w:r>
    </w:p>
    <w:p w14:paraId="5C7AB18F">
      <w:pPr>
        <w:spacing w:line="360" w:lineRule="auto"/>
        <w:ind w:firstLine="480" w:firstLineChars="200"/>
        <w:rPr>
          <w:rFonts w:ascii="Times New Roman"/>
          <w:sz w:val="24"/>
          <w:szCs w:val="24"/>
        </w:rPr>
      </w:pPr>
      <w:r>
        <w:rPr>
          <w:rFonts w:ascii="Times New Roman"/>
          <w:sz w:val="24"/>
          <w:szCs w:val="24"/>
        </w:rPr>
        <w:t>（1）地下水现状评价结论</w:t>
      </w:r>
    </w:p>
    <w:p w14:paraId="1049E1DA">
      <w:pPr>
        <w:widowControl/>
        <w:spacing w:line="360" w:lineRule="auto"/>
        <w:ind w:firstLine="480" w:firstLineChars="200"/>
        <w:jc w:val="left"/>
        <w:rPr>
          <w:rFonts w:ascii="Times New Roman"/>
          <w:sz w:val="24"/>
          <w:szCs w:val="24"/>
        </w:rPr>
      </w:pPr>
      <w:r>
        <w:rPr>
          <w:rFonts w:ascii="Times New Roman"/>
          <w:sz w:val="24"/>
          <w:szCs w:val="24"/>
        </w:rPr>
        <w:t>地下水水质现状检测结果显示，结合《地下水质量标准》（GB/T14848-2017）可知，</w:t>
      </w:r>
      <w:r>
        <w:rPr>
          <w:rFonts w:ascii="Times New Roman"/>
          <w:snapToGrid w:val="0"/>
          <w:kern w:val="0"/>
          <w:sz w:val="24"/>
          <w:szCs w:val="24"/>
        </w:rPr>
        <w:t>评价区</w:t>
      </w:r>
      <w:r>
        <w:rPr>
          <w:rFonts w:hint="eastAsia" w:ascii="Times New Roman"/>
          <w:snapToGrid w:val="0"/>
          <w:kern w:val="0"/>
          <w:sz w:val="24"/>
          <w:szCs w:val="24"/>
        </w:rPr>
        <w:t>浅</w:t>
      </w:r>
      <w:r>
        <w:rPr>
          <w:rFonts w:ascii="Times New Roman"/>
          <w:snapToGrid w:val="0"/>
          <w:kern w:val="0"/>
          <w:sz w:val="24"/>
          <w:szCs w:val="24"/>
        </w:rPr>
        <w:t>水水质超标因子为：</w:t>
      </w:r>
      <w:r>
        <w:rPr>
          <w:rFonts w:ascii="Times New Roman"/>
          <w:kern w:val="0"/>
          <w:sz w:val="24"/>
          <w:szCs w:val="24"/>
        </w:rPr>
        <w:t>总硬度、溶解性总固体、</w:t>
      </w:r>
      <w:r>
        <w:rPr>
          <w:rFonts w:hint="eastAsia" w:ascii="Times New Roman"/>
          <w:kern w:val="0"/>
          <w:sz w:val="24"/>
          <w:szCs w:val="24"/>
        </w:rPr>
        <w:t>钠、氯化物和硫酸盐，</w:t>
      </w:r>
      <w:r>
        <w:rPr>
          <w:rFonts w:ascii="Times New Roman"/>
          <w:sz w:val="24"/>
          <w:szCs w:val="24"/>
        </w:rPr>
        <w:t>不满足Ⅲ类水质。</w:t>
      </w:r>
      <w:r>
        <w:rPr>
          <w:rFonts w:ascii="Times New Roman"/>
          <w:kern w:val="0"/>
          <w:sz w:val="24"/>
          <w:szCs w:val="24"/>
        </w:rPr>
        <w:t>地下水环境质量总体较差。</w:t>
      </w:r>
      <w:r>
        <w:rPr>
          <w:rFonts w:ascii="Times New Roman"/>
          <w:sz w:val="24"/>
          <w:szCs w:val="24"/>
        </w:rPr>
        <w:t>评价区域的上部地层为人工吹填造陆形成，其受潜水蒸发和海侵影响，浅层地下水与海水直接存在密切的联系，因此其浅层地下水多为咸水，这也是浅层地下水</w:t>
      </w:r>
      <w:r>
        <w:rPr>
          <w:rFonts w:ascii="Times New Roman"/>
          <w:kern w:val="0"/>
          <w:sz w:val="24"/>
          <w:szCs w:val="24"/>
        </w:rPr>
        <w:t>总硬度、溶解性总固体、氯化物</w:t>
      </w:r>
      <w:r>
        <w:rPr>
          <w:rFonts w:hint="eastAsia" w:ascii="Times New Roman"/>
          <w:kern w:val="0"/>
          <w:sz w:val="24"/>
          <w:szCs w:val="24"/>
        </w:rPr>
        <w:t>和氟化物</w:t>
      </w:r>
      <w:r>
        <w:rPr>
          <w:rFonts w:ascii="Times New Roman"/>
          <w:sz w:val="24"/>
          <w:szCs w:val="24"/>
        </w:rPr>
        <w:t>等因子浓度偏大的根本原因。</w:t>
      </w:r>
    </w:p>
    <w:p w14:paraId="73CAA18C">
      <w:pPr>
        <w:spacing w:line="360" w:lineRule="auto"/>
        <w:ind w:firstLine="480" w:firstLineChars="200"/>
        <w:rPr>
          <w:rFonts w:ascii="Times New Roman"/>
          <w:sz w:val="24"/>
          <w:szCs w:val="24"/>
        </w:rPr>
      </w:pPr>
      <w:r>
        <w:rPr>
          <w:rFonts w:ascii="Times New Roman"/>
          <w:sz w:val="24"/>
          <w:szCs w:val="24"/>
        </w:rPr>
        <w:t>评价区潜层水水化学类型为矿化度大于40g/L的Cl–Na型水。</w:t>
      </w:r>
    </w:p>
    <w:p w14:paraId="1EBBB8DE">
      <w:pPr>
        <w:spacing w:line="360" w:lineRule="auto"/>
        <w:ind w:firstLine="480" w:firstLineChars="200"/>
        <w:rPr>
          <w:rFonts w:ascii="Times New Roman"/>
          <w:sz w:val="24"/>
          <w:szCs w:val="24"/>
        </w:rPr>
      </w:pPr>
      <w:r>
        <w:rPr>
          <w:rFonts w:ascii="Times New Roman"/>
          <w:sz w:val="24"/>
          <w:szCs w:val="24"/>
        </w:rPr>
        <w:t>（2）地下水环境影响预测结论</w:t>
      </w:r>
    </w:p>
    <w:p w14:paraId="4E8F7A1B">
      <w:pPr>
        <w:spacing w:line="360" w:lineRule="auto"/>
        <w:ind w:firstLine="480" w:firstLineChars="200"/>
        <w:rPr>
          <w:rFonts w:ascii="Times New Roman"/>
          <w:sz w:val="24"/>
          <w:szCs w:val="24"/>
        </w:rPr>
      </w:pPr>
      <w:r>
        <w:rPr>
          <w:rFonts w:ascii="Times New Roman"/>
          <w:sz w:val="24"/>
          <w:szCs w:val="24"/>
        </w:rPr>
        <w:t>正常工况下，项目</w:t>
      </w:r>
      <w:r>
        <w:rPr>
          <w:rFonts w:ascii="Times New Roman"/>
          <w:sz w:val="24"/>
        </w:rPr>
        <w:t>对车间、</w:t>
      </w:r>
      <w:r>
        <w:rPr>
          <w:rFonts w:hint="eastAsia" w:ascii="Times New Roman"/>
          <w:sz w:val="24"/>
        </w:rPr>
        <w:t>危化库</w:t>
      </w:r>
      <w:r>
        <w:rPr>
          <w:rFonts w:ascii="Times New Roman"/>
          <w:sz w:val="24"/>
        </w:rPr>
        <w:t>、危废</w:t>
      </w:r>
      <w:r>
        <w:rPr>
          <w:rFonts w:hint="eastAsia" w:ascii="Times New Roman"/>
          <w:sz w:val="24"/>
        </w:rPr>
        <w:t>库</w:t>
      </w:r>
      <w:r>
        <w:rPr>
          <w:rFonts w:ascii="Times New Roman"/>
          <w:sz w:val="24"/>
        </w:rPr>
        <w:t>等进行了严格防渗措施</w:t>
      </w:r>
      <w:r>
        <w:rPr>
          <w:rFonts w:ascii="Times New Roman"/>
          <w:sz w:val="24"/>
          <w:szCs w:val="24"/>
        </w:rPr>
        <w:t>均进行了防渗处理，不会对厂区地下水环境造成影响。如出现泄漏</w:t>
      </w:r>
      <w:r>
        <w:rPr>
          <w:rFonts w:ascii="Times New Roman"/>
          <w:kern w:val="0"/>
          <w:sz w:val="24"/>
          <w:szCs w:val="24"/>
        </w:rPr>
        <w:t>对</w:t>
      </w:r>
      <w:r>
        <w:rPr>
          <w:rFonts w:ascii="Times New Roman"/>
          <w:kern w:val="0"/>
          <w:sz w:val="24"/>
          <w:szCs w:val="24"/>
          <w:lang w:val="en"/>
        </w:rPr>
        <w:t>浅层地下水</w:t>
      </w:r>
      <w:r>
        <w:rPr>
          <w:rFonts w:ascii="Times New Roman"/>
          <w:kern w:val="0"/>
          <w:sz w:val="24"/>
          <w:szCs w:val="24"/>
        </w:rPr>
        <w:t>造成一定影响</w:t>
      </w:r>
      <w:r>
        <w:rPr>
          <w:rFonts w:ascii="Times New Roman"/>
          <w:sz w:val="24"/>
        </w:rPr>
        <w:t>，但不会扩散至最近敏感点，为杜绝泄露事件发生，需要建设单位加强设施的维护和管理，防止非正常状况情况发生</w:t>
      </w:r>
      <w:r>
        <w:rPr>
          <w:rFonts w:ascii="Times New Roman"/>
          <w:sz w:val="24"/>
          <w:szCs w:val="24"/>
        </w:rPr>
        <w:t>。</w:t>
      </w:r>
    </w:p>
    <w:p w14:paraId="0CA14D17">
      <w:pPr>
        <w:spacing w:line="360" w:lineRule="auto"/>
        <w:ind w:firstLine="480" w:firstLineChars="200"/>
        <w:rPr>
          <w:rFonts w:ascii="Times New Roman"/>
          <w:sz w:val="24"/>
          <w:szCs w:val="24"/>
        </w:rPr>
      </w:pPr>
      <w:r>
        <w:rPr>
          <w:rFonts w:ascii="Times New Roman"/>
          <w:sz w:val="24"/>
          <w:szCs w:val="24"/>
        </w:rPr>
        <w:t>（3）地下水污染防治措施</w:t>
      </w:r>
    </w:p>
    <w:p w14:paraId="05932CB1">
      <w:pPr>
        <w:spacing w:line="360" w:lineRule="auto"/>
        <w:ind w:firstLine="480" w:firstLineChars="200"/>
        <w:rPr>
          <w:rFonts w:ascii="Times New Roman"/>
          <w:sz w:val="24"/>
          <w:szCs w:val="24"/>
        </w:rPr>
      </w:pPr>
      <w:r>
        <w:rPr>
          <w:rFonts w:ascii="Times New Roman"/>
          <w:sz w:val="24"/>
          <w:szCs w:val="24"/>
        </w:rPr>
        <w:t>项目按照“源头控制、分区防治、污染控、应急响应”相结合的原则，从污染物的产生、入渗、扩散、应急响应等全阶段进行地下水环境污染防治控制，最大程度的避免污水下渗污染地下水环境。</w:t>
      </w:r>
    </w:p>
    <w:p w14:paraId="3DC7F98C">
      <w:pPr>
        <w:spacing w:line="360" w:lineRule="auto"/>
        <w:ind w:firstLine="480" w:firstLineChars="200"/>
        <w:rPr>
          <w:rFonts w:ascii="Times New Roman"/>
          <w:sz w:val="24"/>
          <w:szCs w:val="24"/>
        </w:rPr>
      </w:pPr>
      <w:r>
        <w:rPr>
          <w:rFonts w:ascii="Times New Roman"/>
          <w:sz w:val="24"/>
          <w:szCs w:val="24"/>
        </w:rPr>
        <w:t>（4）地下水环境影响评价结论</w:t>
      </w:r>
    </w:p>
    <w:p w14:paraId="1705CB13">
      <w:pPr>
        <w:spacing w:line="360" w:lineRule="auto"/>
        <w:ind w:firstLine="480" w:firstLineChars="200"/>
        <w:rPr>
          <w:rFonts w:ascii="Times New Roman"/>
          <w:sz w:val="24"/>
          <w:szCs w:val="24"/>
        </w:rPr>
      </w:pPr>
      <w:r>
        <w:rPr>
          <w:rFonts w:ascii="Times New Roman"/>
          <w:sz w:val="24"/>
          <w:szCs w:val="24"/>
        </w:rPr>
        <w:t>本次地下水评价，在搜集当地的历史水文地质条件资料的基础上，通过对厂区建立解析解模型，设置了可能出现的情景，非正常状况防渗层破裂的情景下模拟和预测对项目区附近区域地下水环境的影响，结果显示：一旦发生泄漏，且叠加防渗层破漏情况，将会对项目附近区域地下水造成一定影响。针对可能出现的情景，制定了相应的监测方案和应急措施。</w:t>
      </w:r>
    </w:p>
    <w:p w14:paraId="228714A1">
      <w:pPr>
        <w:spacing w:line="360" w:lineRule="auto"/>
        <w:ind w:firstLine="480" w:firstLineChars="200"/>
        <w:rPr>
          <w:rFonts w:ascii="Times New Roman"/>
          <w:sz w:val="24"/>
          <w:szCs w:val="24"/>
        </w:rPr>
      </w:pPr>
      <w:r>
        <w:rPr>
          <w:rFonts w:ascii="Times New Roman"/>
          <w:sz w:val="24"/>
          <w:szCs w:val="24"/>
        </w:rPr>
        <w:t>在建设项目严格落实防渗措施，建立健全地下水水质监测系统，突发事件预警预报系统和事故应急防范措施的基础上，建设项目地下水环境影响较小。因此在强化管理、切实落实各项环保措施，从地下水保护的角度分析，本评价认为该建设项目是可行的。</w:t>
      </w:r>
    </w:p>
    <w:p w14:paraId="7E8376FB">
      <w:pPr>
        <w:tabs>
          <w:tab w:val="left" w:pos="1170"/>
        </w:tabs>
        <w:spacing w:line="520" w:lineRule="exact"/>
        <w:outlineLvl w:val="2"/>
        <w:rPr>
          <w:rFonts w:ascii="Times New Roman"/>
          <w:b/>
          <w:sz w:val="28"/>
          <w:szCs w:val="28"/>
        </w:rPr>
      </w:pPr>
      <w:r>
        <w:rPr>
          <w:rFonts w:ascii="Times New Roman"/>
          <w:b/>
          <w:sz w:val="28"/>
          <w:szCs w:val="28"/>
        </w:rPr>
        <w:t>5.2.4声环境影响预测与评价</w:t>
      </w:r>
    </w:p>
    <w:p w14:paraId="3D0DD668">
      <w:pPr>
        <w:snapToGrid w:val="0"/>
        <w:spacing w:beforeLines="50" w:line="360" w:lineRule="auto"/>
        <w:outlineLvl w:val="3"/>
        <w:rPr>
          <w:rFonts w:ascii="Times New Roman"/>
          <w:b/>
          <w:sz w:val="24"/>
          <w:szCs w:val="24"/>
        </w:rPr>
      </w:pPr>
      <w:r>
        <w:rPr>
          <w:rFonts w:ascii="Times New Roman"/>
          <w:b/>
          <w:sz w:val="24"/>
          <w:szCs w:val="24"/>
        </w:rPr>
        <w:t>5.2.4.1噪声源强</w:t>
      </w:r>
    </w:p>
    <w:p w14:paraId="1131BCCD">
      <w:pPr>
        <w:spacing w:line="480" w:lineRule="exact"/>
        <w:ind w:firstLine="480" w:firstLineChars="200"/>
        <w:rPr>
          <w:rFonts w:ascii="Times New Roman"/>
          <w:sz w:val="24"/>
          <w:szCs w:val="24"/>
        </w:rPr>
      </w:pPr>
      <w:r>
        <w:rPr>
          <w:rFonts w:ascii="Times New Roman"/>
          <w:kern w:val="24"/>
          <w:sz w:val="24"/>
          <w:szCs w:val="24"/>
        </w:rPr>
        <w:t>本项目运营后噪声主要为激光直口切割机、冲床、焊机等设备产生的噪声，噪声值约为70~85dB（A）。项目采取基础减震、厂房隔声、</w:t>
      </w:r>
      <w:r>
        <w:rPr>
          <w:rFonts w:hint="eastAsia" w:ascii="Times New Roman"/>
          <w:kern w:val="24"/>
          <w:sz w:val="24"/>
          <w:szCs w:val="24"/>
        </w:rPr>
        <w:t>风机</w:t>
      </w:r>
      <w:r>
        <w:rPr>
          <w:rFonts w:ascii="Times New Roman"/>
          <w:kern w:val="24"/>
          <w:sz w:val="24"/>
          <w:szCs w:val="24"/>
        </w:rPr>
        <w:t>加装消</w:t>
      </w:r>
      <w:r>
        <w:rPr>
          <w:rFonts w:hint="eastAsia" w:ascii="Times New Roman"/>
          <w:kern w:val="24"/>
          <w:sz w:val="24"/>
          <w:szCs w:val="24"/>
        </w:rPr>
        <w:t>声</w:t>
      </w:r>
      <w:r>
        <w:rPr>
          <w:rFonts w:ascii="Times New Roman"/>
          <w:kern w:val="24"/>
          <w:sz w:val="24"/>
          <w:szCs w:val="24"/>
        </w:rPr>
        <w:t>器等措施控制噪声</w:t>
      </w:r>
      <w:r>
        <w:rPr>
          <w:rFonts w:ascii="Times New Roman"/>
          <w:sz w:val="24"/>
          <w:szCs w:val="24"/>
        </w:rPr>
        <w:t>对周围环境的影响。</w:t>
      </w:r>
    </w:p>
    <w:p w14:paraId="362DD09B">
      <w:pPr>
        <w:snapToGrid w:val="0"/>
        <w:spacing w:beforeLines="50" w:line="360" w:lineRule="auto"/>
        <w:outlineLvl w:val="3"/>
        <w:rPr>
          <w:rFonts w:ascii="Times New Roman"/>
          <w:b/>
          <w:sz w:val="24"/>
          <w:szCs w:val="24"/>
        </w:rPr>
      </w:pPr>
      <w:r>
        <w:rPr>
          <w:rFonts w:ascii="Times New Roman"/>
          <w:b/>
          <w:sz w:val="24"/>
          <w:szCs w:val="24"/>
        </w:rPr>
        <w:t>5.2.4.2预测方法及模式</w:t>
      </w:r>
    </w:p>
    <w:p w14:paraId="7140A1B1">
      <w:pPr>
        <w:wordWrap w:val="0"/>
        <w:topLinePunct/>
        <w:adjustRightInd w:val="0"/>
        <w:snapToGrid w:val="0"/>
        <w:spacing w:line="360" w:lineRule="auto"/>
        <w:ind w:firstLine="480" w:firstLineChars="200"/>
        <w:rPr>
          <w:rFonts w:ascii="Times New Roman"/>
          <w:sz w:val="24"/>
          <w:szCs w:val="24"/>
        </w:rPr>
      </w:pPr>
      <w:r>
        <w:rPr>
          <w:rFonts w:ascii="Times New Roman"/>
          <w:sz w:val="24"/>
          <w:szCs w:val="24"/>
        </w:rPr>
        <w:t>根据《环境影响评价技术导则 声环境》（HJ2.4-2021）附录A、B，预测模式如下：</w:t>
      </w:r>
    </w:p>
    <w:p w14:paraId="0AD16B5A">
      <w:pPr>
        <w:adjustRightInd w:val="0"/>
        <w:snapToGrid w:val="0"/>
        <w:spacing w:line="360" w:lineRule="auto"/>
        <w:ind w:firstLine="480" w:firstLineChars="200"/>
        <w:rPr>
          <w:rFonts w:ascii="Times New Roman"/>
          <w:sz w:val="24"/>
          <w:szCs w:val="24"/>
        </w:rPr>
      </w:pPr>
      <w:r>
        <w:rPr>
          <w:rFonts w:ascii="Times New Roman"/>
          <w:sz w:val="24"/>
          <w:szCs w:val="24"/>
        </w:rPr>
        <w:t>（1）室外声源在预测点产生的声级计算模型</w:t>
      </w:r>
    </w:p>
    <w:p w14:paraId="14188A96">
      <w:pPr>
        <w:adjustRightInd w:val="0"/>
        <w:snapToGrid w:val="0"/>
        <w:spacing w:line="360" w:lineRule="auto"/>
        <w:ind w:firstLine="482"/>
        <w:rPr>
          <w:rFonts w:ascii="Times New Roman"/>
          <w:sz w:val="24"/>
          <w:szCs w:val="24"/>
        </w:rPr>
      </w:pPr>
      <w:r>
        <w:rPr>
          <w:rFonts w:ascii="Times New Roman"/>
          <w:sz w:val="24"/>
          <w:szCs w:val="24"/>
        </w:rPr>
        <w:t>各声源对预测点的贡献值按下式计算：</w:t>
      </w:r>
    </w:p>
    <w:p w14:paraId="7BFF6BA2">
      <w:pPr>
        <w:adjustRightInd w:val="0"/>
        <w:snapToGrid w:val="0"/>
        <w:jc w:val="center"/>
        <w:rPr>
          <w:rFonts w:ascii="Times New Roman"/>
          <w:sz w:val="24"/>
          <w:szCs w:val="24"/>
        </w:rPr>
      </w:pPr>
      <w:r>
        <w:rPr>
          <w:rFonts w:ascii="Times New Roman"/>
          <w:sz w:val="24"/>
          <w:szCs w:val="24"/>
        </w:rPr>
        <w:t>L</w:t>
      </w:r>
      <w:r>
        <w:rPr>
          <w:rFonts w:ascii="Times New Roman"/>
          <w:sz w:val="24"/>
          <w:szCs w:val="24"/>
          <w:vertAlign w:val="subscript"/>
        </w:rPr>
        <w:t>p</w:t>
      </w:r>
      <w:r>
        <w:rPr>
          <w:rFonts w:ascii="Times New Roman"/>
          <w:sz w:val="24"/>
          <w:szCs w:val="24"/>
        </w:rPr>
        <w:t>（r）=L</w:t>
      </w:r>
      <w:r>
        <w:rPr>
          <w:rFonts w:ascii="Times New Roman"/>
          <w:sz w:val="24"/>
          <w:szCs w:val="24"/>
          <w:vertAlign w:val="subscript"/>
        </w:rPr>
        <w:t>w</w:t>
      </w:r>
      <w:r>
        <w:rPr>
          <w:rFonts w:ascii="Times New Roman"/>
          <w:sz w:val="24"/>
          <w:szCs w:val="24"/>
        </w:rPr>
        <w:t>+D</w:t>
      </w:r>
      <w:r>
        <w:rPr>
          <w:rFonts w:ascii="Times New Roman"/>
          <w:sz w:val="24"/>
          <w:szCs w:val="24"/>
          <w:vertAlign w:val="subscript"/>
        </w:rPr>
        <w:t>c</w:t>
      </w:r>
      <w:r>
        <w:rPr>
          <w:rFonts w:ascii="Times New Roman"/>
          <w:sz w:val="24"/>
          <w:szCs w:val="24"/>
        </w:rPr>
        <w:t>－（A</w:t>
      </w:r>
      <w:r>
        <w:rPr>
          <w:rFonts w:ascii="Times New Roman"/>
          <w:sz w:val="24"/>
          <w:szCs w:val="24"/>
          <w:vertAlign w:val="subscript"/>
        </w:rPr>
        <w:t>div</w:t>
      </w:r>
      <w:r>
        <w:rPr>
          <w:rFonts w:ascii="Times New Roman"/>
          <w:sz w:val="24"/>
          <w:szCs w:val="24"/>
        </w:rPr>
        <w:t>+A</w:t>
      </w:r>
      <w:r>
        <w:rPr>
          <w:rFonts w:ascii="Times New Roman"/>
          <w:sz w:val="24"/>
          <w:szCs w:val="24"/>
          <w:vertAlign w:val="subscript"/>
        </w:rPr>
        <w:t>atm</w:t>
      </w:r>
      <w:r>
        <w:rPr>
          <w:rFonts w:ascii="Times New Roman"/>
          <w:sz w:val="24"/>
          <w:szCs w:val="24"/>
        </w:rPr>
        <w:t>+A</w:t>
      </w:r>
      <w:r>
        <w:rPr>
          <w:rFonts w:ascii="Times New Roman"/>
          <w:sz w:val="24"/>
          <w:szCs w:val="24"/>
          <w:vertAlign w:val="subscript"/>
        </w:rPr>
        <w:t>gr</w:t>
      </w:r>
      <w:r>
        <w:rPr>
          <w:rFonts w:ascii="Times New Roman"/>
          <w:sz w:val="24"/>
          <w:szCs w:val="24"/>
        </w:rPr>
        <w:t>+A</w:t>
      </w:r>
      <w:r>
        <w:rPr>
          <w:rFonts w:ascii="Times New Roman"/>
          <w:sz w:val="24"/>
          <w:szCs w:val="24"/>
          <w:vertAlign w:val="subscript"/>
        </w:rPr>
        <w:t>bar</w:t>
      </w:r>
      <w:r>
        <w:rPr>
          <w:rFonts w:ascii="Times New Roman"/>
          <w:sz w:val="24"/>
          <w:szCs w:val="24"/>
        </w:rPr>
        <w:t>+A</w:t>
      </w:r>
      <w:r>
        <w:rPr>
          <w:rFonts w:ascii="Times New Roman"/>
          <w:sz w:val="24"/>
          <w:szCs w:val="24"/>
          <w:vertAlign w:val="subscript"/>
        </w:rPr>
        <w:t>minc</w:t>
      </w:r>
      <w:r>
        <w:rPr>
          <w:rFonts w:ascii="Times New Roman"/>
          <w:sz w:val="24"/>
          <w:szCs w:val="24"/>
        </w:rPr>
        <w:t>）</w:t>
      </w:r>
    </w:p>
    <w:p w14:paraId="5F56D806">
      <w:pPr>
        <w:adjustRightInd w:val="0"/>
        <w:snapToGrid w:val="0"/>
        <w:spacing w:line="360" w:lineRule="auto"/>
        <w:ind w:firstLine="480" w:firstLineChars="200"/>
        <w:rPr>
          <w:rFonts w:ascii="Times New Roman"/>
          <w:sz w:val="24"/>
          <w:szCs w:val="24"/>
        </w:rPr>
      </w:pPr>
      <w:r>
        <w:rPr>
          <w:rFonts w:ascii="Times New Roman"/>
          <w:sz w:val="24"/>
          <w:szCs w:val="24"/>
        </w:rPr>
        <w:t>式中：L</w:t>
      </w:r>
      <w:r>
        <w:rPr>
          <w:rFonts w:ascii="Times New Roman"/>
          <w:sz w:val="24"/>
          <w:szCs w:val="24"/>
          <w:vertAlign w:val="subscript"/>
        </w:rPr>
        <w:t>A</w:t>
      </w:r>
      <w:r>
        <w:rPr>
          <w:rFonts w:ascii="Times New Roman"/>
          <w:sz w:val="24"/>
          <w:szCs w:val="24"/>
        </w:rPr>
        <w:t>（r）—预测点处声压级，dB；</w:t>
      </w:r>
    </w:p>
    <w:p w14:paraId="32E3F27A">
      <w:pPr>
        <w:adjustRightInd w:val="0"/>
        <w:snapToGrid w:val="0"/>
        <w:spacing w:line="360" w:lineRule="auto"/>
        <w:ind w:firstLine="480" w:firstLineChars="200"/>
        <w:rPr>
          <w:rFonts w:ascii="Times New Roman"/>
          <w:sz w:val="24"/>
          <w:szCs w:val="24"/>
        </w:rPr>
      </w:pPr>
      <w:r>
        <w:rPr>
          <w:rFonts w:ascii="Times New Roman"/>
          <w:sz w:val="24"/>
          <w:szCs w:val="24"/>
        </w:rPr>
        <w:t xml:space="preserve">      Lw—由点声源产生的声功率级（A计权或倍频带），dB；</w:t>
      </w:r>
    </w:p>
    <w:p w14:paraId="11ACE7E0">
      <w:pPr>
        <w:adjustRightInd w:val="0"/>
        <w:snapToGrid w:val="0"/>
        <w:spacing w:line="360" w:lineRule="auto"/>
        <w:ind w:left="1668" w:leftChars="475" w:hanging="480" w:hangingChars="200"/>
        <w:rPr>
          <w:rFonts w:ascii="Times New Roman"/>
          <w:sz w:val="24"/>
          <w:szCs w:val="24"/>
        </w:rPr>
      </w:pPr>
      <w:r>
        <w:rPr>
          <w:rFonts w:ascii="Times New Roman"/>
          <w:sz w:val="24"/>
          <w:szCs w:val="24"/>
        </w:rPr>
        <w:t>Dc—指向性校正，它描述点声源的等效连续声压级与产生声功率级Lw的全向点声源在规定方向的声级的偏差程度，dB；</w:t>
      </w:r>
    </w:p>
    <w:p w14:paraId="1D62B084">
      <w:pPr>
        <w:adjustRightInd w:val="0"/>
        <w:snapToGrid w:val="0"/>
        <w:spacing w:line="360" w:lineRule="auto"/>
        <w:ind w:firstLine="480" w:firstLineChars="200"/>
        <w:rPr>
          <w:rFonts w:ascii="Times New Roman"/>
          <w:sz w:val="24"/>
          <w:szCs w:val="24"/>
        </w:rPr>
      </w:pPr>
      <w:r>
        <w:rPr>
          <w:rFonts w:ascii="Times New Roman"/>
          <w:sz w:val="24"/>
          <w:szCs w:val="24"/>
        </w:rPr>
        <w:t xml:space="preserve">      A</w:t>
      </w:r>
      <w:r>
        <w:rPr>
          <w:rFonts w:ascii="Times New Roman"/>
          <w:sz w:val="24"/>
          <w:szCs w:val="24"/>
          <w:vertAlign w:val="subscript"/>
        </w:rPr>
        <w:t>div</w:t>
      </w:r>
      <w:r>
        <w:rPr>
          <w:rFonts w:ascii="Times New Roman"/>
          <w:sz w:val="24"/>
          <w:szCs w:val="24"/>
        </w:rPr>
        <w:t>—几何发散引起的衰减，dB；</w:t>
      </w:r>
    </w:p>
    <w:p w14:paraId="2D78DF17">
      <w:pPr>
        <w:adjustRightInd w:val="0"/>
        <w:snapToGrid w:val="0"/>
        <w:spacing w:line="360" w:lineRule="auto"/>
        <w:ind w:firstLine="480" w:firstLineChars="200"/>
        <w:rPr>
          <w:rFonts w:ascii="Times New Roman"/>
          <w:sz w:val="24"/>
          <w:szCs w:val="24"/>
        </w:rPr>
      </w:pPr>
      <w:r>
        <w:rPr>
          <w:rFonts w:ascii="Times New Roman"/>
          <w:sz w:val="24"/>
          <w:szCs w:val="24"/>
        </w:rPr>
        <w:t xml:space="preserve">      A</w:t>
      </w:r>
      <w:r>
        <w:rPr>
          <w:rFonts w:ascii="Times New Roman"/>
          <w:sz w:val="24"/>
          <w:szCs w:val="24"/>
          <w:vertAlign w:val="subscript"/>
        </w:rPr>
        <w:t>atm</w:t>
      </w:r>
      <w:r>
        <w:rPr>
          <w:rFonts w:ascii="Times New Roman"/>
          <w:sz w:val="24"/>
          <w:szCs w:val="24"/>
        </w:rPr>
        <w:t>—大气吸收引起的衰减，dB；</w:t>
      </w:r>
    </w:p>
    <w:p w14:paraId="33992CC5">
      <w:pPr>
        <w:adjustRightInd w:val="0"/>
        <w:snapToGrid w:val="0"/>
        <w:spacing w:line="360" w:lineRule="auto"/>
        <w:ind w:firstLine="1200" w:firstLineChars="500"/>
        <w:rPr>
          <w:rFonts w:ascii="Times New Roman"/>
          <w:sz w:val="24"/>
          <w:szCs w:val="24"/>
        </w:rPr>
      </w:pPr>
      <w:r>
        <w:rPr>
          <w:rFonts w:ascii="Times New Roman"/>
          <w:sz w:val="24"/>
          <w:szCs w:val="24"/>
        </w:rPr>
        <w:t>A</w:t>
      </w:r>
      <w:r>
        <w:rPr>
          <w:rFonts w:ascii="Times New Roman"/>
          <w:sz w:val="24"/>
          <w:szCs w:val="24"/>
          <w:vertAlign w:val="subscript"/>
        </w:rPr>
        <w:t>gr</w:t>
      </w:r>
      <w:r>
        <w:rPr>
          <w:rFonts w:ascii="Times New Roman"/>
          <w:sz w:val="24"/>
          <w:szCs w:val="24"/>
        </w:rPr>
        <w:t>—地面效应引起的衰减，dB；</w:t>
      </w:r>
    </w:p>
    <w:p w14:paraId="735EECF2">
      <w:pPr>
        <w:adjustRightInd w:val="0"/>
        <w:snapToGrid w:val="0"/>
        <w:spacing w:line="360" w:lineRule="auto"/>
        <w:ind w:firstLine="480" w:firstLineChars="200"/>
        <w:rPr>
          <w:rFonts w:ascii="Times New Roman"/>
          <w:sz w:val="24"/>
          <w:szCs w:val="24"/>
        </w:rPr>
      </w:pPr>
      <w:r>
        <w:rPr>
          <w:rFonts w:ascii="Times New Roman"/>
          <w:sz w:val="24"/>
          <w:szCs w:val="24"/>
        </w:rPr>
        <w:t xml:space="preserve">      A</w:t>
      </w:r>
      <w:r>
        <w:rPr>
          <w:rFonts w:ascii="Times New Roman"/>
          <w:sz w:val="24"/>
          <w:szCs w:val="24"/>
          <w:vertAlign w:val="subscript"/>
        </w:rPr>
        <w:t>bar</w:t>
      </w:r>
      <w:r>
        <w:rPr>
          <w:rFonts w:ascii="Times New Roman"/>
          <w:sz w:val="24"/>
          <w:szCs w:val="24"/>
        </w:rPr>
        <w:t>—障碍物屏蔽引起的衰减，dB；</w:t>
      </w:r>
    </w:p>
    <w:p w14:paraId="4C7741F2">
      <w:pPr>
        <w:adjustRightInd w:val="0"/>
        <w:snapToGrid w:val="0"/>
        <w:spacing w:line="360" w:lineRule="auto"/>
        <w:ind w:firstLine="480" w:firstLineChars="200"/>
        <w:rPr>
          <w:rFonts w:ascii="Times New Roman"/>
          <w:sz w:val="24"/>
          <w:szCs w:val="24"/>
        </w:rPr>
      </w:pPr>
      <w:r>
        <w:rPr>
          <w:rFonts w:ascii="Times New Roman"/>
          <w:sz w:val="24"/>
          <w:szCs w:val="24"/>
        </w:rPr>
        <w:t xml:space="preserve">      A</w:t>
      </w:r>
      <w:r>
        <w:rPr>
          <w:rFonts w:ascii="Times New Roman"/>
          <w:sz w:val="24"/>
          <w:szCs w:val="24"/>
          <w:vertAlign w:val="subscript"/>
        </w:rPr>
        <w:t>minc</w:t>
      </w:r>
      <w:r>
        <w:rPr>
          <w:rFonts w:ascii="Times New Roman"/>
          <w:sz w:val="24"/>
          <w:szCs w:val="24"/>
        </w:rPr>
        <w:t>—其他多方面效应引起的衰减，dB。</w:t>
      </w:r>
    </w:p>
    <w:p w14:paraId="1980CF6A">
      <w:pPr>
        <w:adjustRightInd w:val="0"/>
        <w:snapToGrid w:val="0"/>
        <w:spacing w:line="360" w:lineRule="auto"/>
        <w:ind w:firstLine="480" w:firstLineChars="200"/>
        <w:rPr>
          <w:rFonts w:ascii="Times New Roman"/>
          <w:sz w:val="24"/>
          <w:szCs w:val="24"/>
        </w:rPr>
      </w:pPr>
      <w:r>
        <w:rPr>
          <w:rFonts w:ascii="Times New Roman"/>
          <w:sz w:val="24"/>
          <w:szCs w:val="24"/>
        </w:rPr>
        <w:t>（2）室内声源等效室外声功率级计算方法</w:t>
      </w:r>
    </w:p>
    <w:p w14:paraId="1FDD6F79">
      <w:pPr>
        <w:adjustRightInd w:val="0"/>
        <w:snapToGrid w:val="0"/>
        <w:spacing w:line="360" w:lineRule="auto"/>
        <w:ind w:firstLine="480" w:firstLineChars="200"/>
        <w:rPr>
          <w:rFonts w:ascii="Times New Roman"/>
          <w:sz w:val="24"/>
          <w:szCs w:val="24"/>
        </w:rPr>
      </w:pPr>
      <w:r>
        <w:rPr>
          <w:rFonts w:ascii="Times New Roman"/>
          <w:sz w:val="24"/>
          <w:szCs w:val="24"/>
        </w:rPr>
        <w:t>声源位于室内，室内声源可采用等效室外声功率级法进行计算。</w:t>
      </w:r>
    </w:p>
    <w:p w14:paraId="66111116">
      <w:pPr>
        <w:adjustRightInd w:val="0"/>
        <w:snapToGrid w:val="0"/>
        <w:spacing w:line="360" w:lineRule="auto"/>
        <w:ind w:firstLine="480" w:firstLineChars="200"/>
        <w:rPr>
          <w:rFonts w:ascii="Times New Roman"/>
          <w:sz w:val="24"/>
          <w:szCs w:val="24"/>
        </w:rPr>
      </w:pPr>
      <w:r>
        <w:rPr>
          <w:rFonts w:ascii="Times New Roman"/>
          <w:sz w:val="24"/>
          <w:szCs w:val="24"/>
        </w:rPr>
        <w:t>①首先计算出某一室内声源靠近围护结构处的倍频带声压级或A声级：</w:t>
      </w:r>
    </w:p>
    <w:p w14:paraId="2CD02EF0">
      <w:pPr>
        <w:adjustRightInd w:val="0"/>
        <w:snapToGrid w:val="0"/>
        <w:jc w:val="center"/>
        <w:rPr>
          <w:rFonts w:ascii="Times New Roman"/>
          <w:sz w:val="24"/>
          <w:szCs w:val="24"/>
        </w:rPr>
      </w:pPr>
      <w:r>
        <w:rPr>
          <w:rFonts w:ascii="Times New Roman"/>
          <w:position w:val="-32"/>
          <w:sz w:val="24"/>
          <w:szCs w:val="24"/>
        </w:rPr>
        <w:drawing>
          <wp:inline distT="0" distB="0" distL="114300" distR="114300">
            <wp:extent cx="1661795" cy="445135"/>
            <wp:effectExtent l="0" t="0" r="0" b="0"/>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63"/>
                    <a:stretch>
                      <a:fillRect/>
                    </a:stretch>
                  </pic:blipFill>
                  <pic:spPr>
                    <a:xfrm>
                      <a:off x="0" y="0"/>
                      <a:ext cx="1661795" cy="445135"/>
                    </a:xfrm>
                    <a:prstGeom prst="rect">
                      <a:avLst/>
                    </a:prstGeom>
                    <a:noFill/>
                    <a:ln>
                      <a:noFill/>
                    </a:ln>
                  </pic:spPr>
                </pic:pic>
              </a:graphicData>
            </a:graphic>
          </wp:inline>
        </w:drawing>
      </w:r>
    </w:p>
    <w:p w14:paraId="08A1C193">
      <w:pPr>
        <w:adjustRightInd w:val="0"/>
        <w:snapToGrid w:val="0"/>
        <w:spacing w:line="360" w:lineRule="auto"/>
        <w:ind w:firstLine="480" w:firstLineChars="200"/>
        <w:rPr>
          <w:rFonts w:ascii="Times New Roman"/>
          <w:sz w:val="24"/>
          <w:szCs w:val="24"/>
        </w:rPr>
      </w:pPr>
      <w:r>
        <w:rPr>
          <w:rFonts w:ascii="Times New Roman"/>
          <w:sz w:val="24"/>
          <w:szCs w:val="24"/>
        </w:rPr>
        <w:t>式中：L</w:t>
      </w:r>
      <w:r>
        <w:rPr>
          <w:rFonts w:ascii="Times New Roman"/>
          <w:sz w:val="24"/>
          <w:szCs w:val="24"/>
          <w:vertAlign w:val="subscript"/>
        </w:rPr>
        <w:t>p1</w:t>
      </w:r>
      <w:r>
        <w:rPr>
          <w:rFonts w:ascii="Times New Roman"/>
          <w:sz w:val="24"/>
          <w:szCs w:val="24"/>
        </w:rPr>
        <w:t>--靠近开口处（或窗户）室内某倍频带的声压级或A声级，dB；</w:t>
      </w:r>
    </w:p>
    <w:p w14:paraId="232CF49F">
      <w:pPr>
        <w:adjustRightInd w:val="0"/>
        <w:snapToGrid w:val="0"/>
        <w:spacing w:line="360" w:lineRule="auto"/>
        <w:ind w:firstLine="1200" w:firstLineChars="500"/>
        <w:rPr>
          <w:rFonts w:ascii="Times New Roman"/>
          <w:sz w:val="24"/>
          <w:szCs w:val="24"/>
        </w:rPr>
      </w:pPr>
      <w:r>
        <w:rPr>
          <w:rFonts w:ascii="Times New Roman"/>
          <w:sz w:val="24"/>
          <w:szCs w:val="24"/>
        </w:rPr>
        <w:t>Lw--点声源声功率级（A计权或倍频带），dB；</w:t>
      </w:r>
    </w:p>
    <w:p w14:paraId="3047E273">
      <w:pPr>
        <w:adjustRightInd w:val="0"/>
        <w:snapToGrid w:val="0"/>
        <w:spacing w:line="360" w:lineRule="auto"/>
        <w:ind w:left="1428" w:leftChars="475" w:hanging="240" w:hangingChars="100"/>
        <w:rPr>
          <w:rFonts w:ascii="Times New Roman"/>
          <w:sz w:val="24"/>
          <w:szCs w:val="24"/>
        </w:rPr>
      </w:pPr>
      <w:r>
        <w:rPr>
          <w:rFonts w:ascii="Times New Roman"/>
          <w:sz w:val="24"/>
          <w:szCs w:val="24"/>
        </w:rPr>
        <w:t>Q--指向性因数；通常对无指向性声源，当声源放在房间中心时，Q=1；当放在一面墙的中心时，Q=2；当放在两面墙夹角处时，Q=4；当放在三面墙夹角处时，Q=8；</w:t>
      </w:r>
    </w:p>
    <w:p w14:paraId="085684C1">
      <w:pPr>
        <w:adjustRightInd w:val="0"/>
        <w:snapToGrid w:val="0"/>
        <w:spacing w:line="360" w:lineRule="auto"/>
        <w:ind w:left="1428" w:leftChars="475" w:hanging="240" w:hangingChars="100"/>
        <w:rPr>
          <w:rFonts w:ascii="Times New Roman"/>
          <w:sz w:val="24"/>
          <w:szCs w:val="24"/>
        </w:rPr>
      </w:pPr>
      <w:r>
        <w:rPr>
          <w:rFonts w:ascii="Times New Roman"/>
          <w:sz w:val="24"/>
          <w:szCs w:val="24"/>
        </w:rPr>
        <w:t>R--房间常数；R=Sα/（1-α），S为房间内表面面积，m</w:t>
      </w:r>
      <w:r>
        <w:rPr>
          <w:rFonts w:ascii="Times New Roman"/>
          <w:sz w:val="24"/>
          <w:szCs w:val="24"/>
          <w:vertAlign w:val="superscript"/>
        </w:rPr>
        <w:t>2</w:t>
      </w:r>
      <w:r>
        <w:rPr>
          <w:rFonts w:ascii="Times New Roman"/>
          <w:sz w:val="24"/>
          <w:szCs w:val="24"/>
        </w:rPr>
        <w:t>；α为平均吸声系数；</w:t>
      </w:r>
    </w:p>
    <w:p w14:paraId="43CF0C6A">
      <w:pPr>
        <w:adjustRightInd w:val="0"/>
        <w:snapToGrid w:val="0"/>
        <w:spacing w:line="360" w:lineRule="auto"/>
        <w:ind w:left="1428" w:leftChars="475" w:hanging="240" w:hangingChars="100"/>
        <w:rPr>
          <w:rFonts w:ascii="Times New Roman"/>
          <w:sz w:val="24"/>
          <w:szCs w:val="24"/>
        </w:rPr>
      </w:pPr>
      <w:r>
        <w:rPr>
          <w:rFonts w:ascii="Times New Roman"/>
          <w:sz w:val="24"/>
          <w:szCs w:val="24"/>
        </w:rPr>
        <w:t>r--声源到靠近围护结构某点处的距离，m。</w:t>
      </w:r>
    </w:p>
    <w:p w14:paraId="66775794">
      <w:pPr>
        <w:adjustRightInd w:val="0"/>
        <w:snapToGrid w:val="0"/>
        <w:spacing w:line="360" w:lineRule="auto"/>
        <w:ind w:firstLine="480" w:firstLineChars="200"/>
        <w:rPr>
          <w:rFonts w:ascii="Times New Roman"/>
          <w:sz w:val="24"/>
          <w:szCs w:val="24"/>
        </w:rPr>
      </w:pPr>
      <w:r>
        <w:rPr>
          <w:rFonts w:ascii="Times New Roman"/>
          <w:sz w:val="24"/>
          <w:szCs w:val="24"/>
        </w:rPr>
        <w:t>②计算出所有室内声源的靠近围护结构处产生的i倍频带叠加声压级：</w:t>
      </w:r>
    </w:p>
    <w:p w14:paraId="47C79797">
      <w:pPr>
        <w:adjustRightInd w:val="0"/>
        <w:snapToGrid w:val="0"/>
        <w:jc w:val="center"/>
        <w:rPr>
          <w:rFonts w:ascii="Times New Roman"/>
          <w:sz w:val="24"/>
          <w:szCs w:val="24"/>
        </w:rPr>
      </w:pPr>
      <w:r>
        <w:rPr>
          <w:rFonts w:ascii="Times New Roman"/>
          <w:position w:val="-30"/>
          <w:sz w:val="24"/>
          <w:szCs w:val="24"/>
        </w:rPr>
        <w:drawing>
          <wp:inline distT="0" distB="0" distL="114300" distR="114300">
            <wp:extent cx="1614170" cy="445135"/>
            <wp:effectExtent l="0" t="0" r="0" b="1206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64"/>
                    <a:stretch>
                      <a:fillRect/>
                    </a:stretch>
                  </pic:blipFill>
                  <pic:spPr>
                    <a:xfrm>
                      <a:off x="0" y="0"/>
                      <a:ext cx="1614170" cy="445135"/>
                    </a:xfrm>
                    <a:prstGeom prst="rect">
                      <a:avLst/>
                    </a:prstGeom>
                    <a:noFill/>
                    <a:ln>
                      <a:noFill/>
                    </a:ln>
                  </pic:spPr>
                </pic:pic>
              </a:graphicData>
            </a:graphic>
          </wp:inline>
        </w:drawing>
      </w:r>
    </w:p>
    <w:p w14:paraId="48C0EF1E">
      <w:pPr>
        <w:adjustRightInd w:val="0"/>
        <w:snapToGrid w:val="0"/>
        <w:spacing w:line="360" w:lineRule="auto"/>
        <w:ind w:firstLine="480" w:firstLineChars="200"/>
        <w:rPr>
          <w:rFonts w:ascii="Times New Roman"/>
          <w:sz w:val="24"/>
          <w:szCs w:val="24"/>
        </w:rPr>
      </w:pPr>
      <w:r>
        <w:rPr>
          <w:rFonts w:ascii="Times New Roman"/>
          <w:sz w:val="24"/>
          <w:szCs w:val="24"/>
        </w:rPr>
        <w:t>式中：L</w:t>
      </w:r>
      <w:r>
        <w:rPr>
          <w:rFonts w:ascii="Times New Roman"/>
          <w:sz w:val="24"/>
          <w:szCs w:val="24"/>
          <w:vertAlign w:val="subscript"/>
        </w:rPr>
        <w:t>p1i</w:t>
      </w:r>
      <w:r>
        <w:rPr>
          <w:rFonts w:ascii="Times New Roman"/>
          <w:sz w:val="24"/>
          <w:szCs w:val="24"/>
        </w:rPr>
        <w:t>（T）为靠近围护结构处室内N个声源i倍频带的叠加声压级，dB；L</w:t>
      </w:r>
      <w:r>
        <w:rPr>
          <w:rFonts w:ascii="Times New Roman"/>
          <w:sz w:val="24"/>
          <w:szCs w:val="24"/>
          <w:vertAlign w:val="subscript"/>
        </w:rPr>
        <w:t>p1ij</w:t>
      </w:r>
      <w:r>
        <w:rPr>
          <w:rFonts w:ascii="Times New Roman"/>
          <w:sz w:val="24"/>
          <w:szCs w:val="24"/>
        </w:rPr>
        <w:t>为室内j声源i倍频带的声压级，dB；N为室内声源总数。</w:t>
      </w:r>
    </w:p>
    <w:p w14:paraId="01AF5245">
      <w:pPr>
        <w:adjustRightInd w:val="0"/>
        <w:snapToGrid w:val="0"/>
        <w:spacing w:line="360" w:lineRule="auto"/>
        <w:ind w:firstLine="480" w:firstLineChars="200"/>
        <w:rPr>
          <w:rFonts w:ascii="Times New Roman"/>
          <w:sz w:val="24"/>
          <w:szCs w:val="24"/>
        </w:rPr>
      </w:pPr>
      <w:r>
        <w:rPr>
          <w:rFonts w:ascii="Times New Roman"/>
          <w:sz w:val="24"/>
          <w:szCs w:val="24"/>
        </w:rPr>
        <w:t>③计算出靠近室外围护结构处的声压级：</w:t>
      </w:r>
    </w:p>
    <w:p w14:paraId="317315A7">
      <w:pPr>
        <w:adjustRightInd w:val="0"/>
        <w:snapToGrid w:val="0"/>
        <w:jc w:val="center"/>
        <w:rPr>
          <w:rFonts w:ascii="Times New Roman"/>
          <w:sz w:val="24"/>
          <w:szCs w:val="24"/>
        </w:rPr>
      </w:pPr>
      <w:r>
        <w:rPr>
          <w:rFonts w:ascii="Times New Roman"/>
          <w:sz w:val="24"/>
          <w:szCs w:val="24"/>
        </w:rPr>
        <w:t>L</w:t>
      </w:r>
      <w:r>
        <w:rPr>
          <w:rFonts w:ascii="Times New Roman"/>
          <w:sz w:val="24"/>
          <w:szCs w:val="24"/>
          <w:vertAlign w:val="subscript"/>
        </w:rPr>
        <w:t>p2i</w:t>
      </w:r>
      <w:r>
        <w:rPr>
          <w:rFonts w:ascii="Times New Roman"/>
          <w:sz w:val="24"/>
          <w:szCs w:val="24"/>
        </w:rPr>
        <w:t>（T）=L</w:t>
      </w:r>
      <w:r>
        <w:rPr>
          <w:rFonts w:ascii="Times New Roman"/>
          <w:sz w:val="24"/>
          <w:szCs w:val="24"/>
          <w:vertAlign w:val="subscript"/>
        </w:rPr>
        <w:t>p1i</w:t>
      </w:r>
      <w:r>
        <w:rPr>
          <w:rFonts w:ascii="Times New Roman"/>
          <w:sz w:val="24"/>
          <w:szCs w:val="24"/>
        </w:rPr>
        <w:t>（T）－（TL</w:t>
      </w:r>
      <w:r>
        <w:rPr>
          <w:rFonts w:ascii="Times New Roman"/>
          <w:sz w:val="24"/>
          <w:szCs w:val="24"/>
          <w:vertAlign w:val="subscript"/>
        </w:rPr>
        <w:t>i</w:t>
      </w:r>
      <w:r>
        <w:rPr>
          <w:rFonts w:ascii="Times New Roman"/>
          <w:sz w:val="24"/>
          <w:szCs w:val="24"/>
        </w:rPr>
        <w:t>+6）</w:t>
      </w:r>
    </w:p>
    <w:p w14:paraId="01307B73">
      <w:pPr>
        <w:adjustRightInd w:val="0"/>
        <w:snapToGrid w:val="0"/>
        <w:spacing w:line="360" w:lineRule="auto"/>
        <w:ind w:firstLine="480" w:firstLineChars="200"/>
        <w:rPr>
          <w:rFonts w:ascii="Times New Roman"/>
          <w:sz w:val="24"/>
          <w:szCs w:val="24"/>
        </w:rPr>
      </w:pPr>
      <w:r>
        <w:rPr>
          <w:rFonts w:ascii="Times New Roman"/>
          <w:sz w:val="24"/>
          <w:szCs w:val="24"/>
        </w:rPr>
        <w:t>式中：L</w:t>
      </w:r>
      <w:r>
        <w:rPr>
          <w:rFonts w:ascii="Times New Roman"/>
          <w:sz w:val="24"/>
          <w:szCs w:val="24"/>
          <w:vertAlign w:val="subscript"/>
        </w:rPr>
        <w:t>p2i</w:t>
      </w:r>
      <w:r>
        <w:rPr>
          <w:rFonts w:ascii="Times New Roman"/>
          <w:sz w:val="24"/>
          <w:szCs w:val="24"/>
        </w:rPr>
        <w:t>（T）为靠近围护结构处室外N个声源i倍频带的叠加声压级，dB；L</w:t>
      </w:r>
      <w:r>
        <w:rPr>
          <w:rFonts w:ascii="Times New Roman"/>
          <w:sz w:val="24"/>
          <w:szCs w:val="24"/>
          <w:vertAlign w:val="subscript"/>
        </w:rPr>
        <w:t>p1i</w:t>
      </w:r>
      <w:r>
        <w:rPr>
          <w:rFonts w:ascii="Times New Roman"/>
          <w:sz w:val="24"/>
          <w:szCs w:val="24"/>
        </w:rPr>
        <w:t>（T）为靠近围护结构处室内 N 个声源 i 倍频带的叠加声压级，dB；TL</w:t>
      </w:r>
      <w:r>
        <w:rPr>
          <w:rFonts w:ascii="Times New Roman"/>
          <w:sz w:val="24"/>
          <w:szCs w:val="24"/>
          <w:vertAlign w:val="subscript"/>
        </w:rPr>
        <w:t>i</w:t>
      </w:r>
      <w:r>
        <w:rPr>
          <w:rFonts w:ascii="Times New Roman"/>
          <w:sz w:val="24"/>
          <w:szCs w:val="24"/>
        </w:rPr>
        <w:t>为围护结构i倍频带的隔声量，dB。</w:t>
      </w:r>
    </w:p>
    <w:p w14:paraId="64C36A70">
      <w:pPr>
        <w:adjustRightInd w:val="0"/>
        <w:snapToGrid w:val="0"/>
        <w:spacing w:line="360" w:lineRule="auto"/>
        <w:ind w:firstLine="480" w:firstLineChars="200"/>
        <w:rPr>
          <w:rFonts w:ascii="Times New Roman"/>
          <w:sz w:val="24"/>
          <w:szCs w:val="24"/>
        </w:rPr>
      </w:pPr>
      <w:r>
        <w:rPr>
          <w:rFonts w:ascii="Times New Roman"/>
          <w:sz w:val="24"/>
          <w:szCs w:val="24"/>
        </w:rPr>
        <w:t>④将室外声源的声压级和透过面积换算成等效的室外声源，计算出中心位置位于透声面积S处的等效声源的倍频带的声功率级：</w:t>
      </w:r>
    </w:p>
    <w:p w14:paraId="16DFBBBF">
      <w:pPr>
        <w:adjustRightInd w:val="0"/>
        <w:snapToGrid w:val="0"/>
        <w:jc w:val="center"/>
        <w:rPr>
          <w:rFonts w:ascii="Times New Roman"/>
          <w:sz w:val="24"/>
          <w:szCs w:val="24"/>
        </w:rPr>
      </w:pPr>
      <w:r>
        <w:rPr>
          <w:rFonts w:ascii="Times New Roman"/>
          <w:sz w:val="24"/>
          <w:szCs w:val="24"/>
        </w:rPr>
        <w:t>L</w:t>
      </w:r>
      <w:r>
        <w:rPr>
          <w:rFonts w:ascii="Times New Roman"/>
          <w:sz w:val="24"/>
          <w:szCs w:val="24"/>
          <w:vertAlign w:val="subscript"/>
        </w:rPr>
        <w:t>w</w:t>
      </w:r>
      <w:r>
        <w:rPr>
          <w:rFonts w:ascii="Times New Roman"/>
          <w:sz w:val="24"/>
          <w:szCs w:val="24"/>
        </w:rPr>
        <w:t>=L</w:t>
      </w:r>
      <w:r>
        <w:rPr>
          <w:rFonts w:ascii="Times New Roman"/>
          <w:sz w:val="24"/>
          <w:szCs w:val="24"/>
          <w:vertAlign w:val="subscript"/>
        </w:rPr>
        <w:t>p2</w:t>
      </w:r>
      <w:r>
        <w:rPr>
          <w:rFonts w:ascii="Times New Roman"/>
          <w:sz w:val="24"/>
          <w:szCs w:val="24"/>
        </w:rPr>
        <w:t>（T）+10lgS</w:t>
      </w:r>
    </w:p>
    <w:p w14:paraId="3329AECB">
      <w:pPr>
        <w:adjustRightInd w:val="0"/>
        <w:snapToGrid w:val="0"/>
        <w:spacing w:line="360" w:lineRule="auto"/>
        <w:ind w:firstLine="480" w:firstLineChars="200"/>
        <w:rPr>
          <w:rFonts w:ascii="Times New Roman"/>
          <w:sz w:val="24"/>
          <w:szCs w:val="24"/>
        </w:rPr>
      </w:pPr>
      <w:r>
        <w:rPr>
          <w:rFonts w:ascii="Times New Roman"/>
          <w:sz w:val="24"/>
          <w:szCs w:val="24"/>
        </w:rPr>
        <w:t>式中：L</w:t>
      </w:r>
      <w:r>
        <w:rPr>
          <w:rFonts w:ascii="Times New Roman"/>
          <w:sz w:val="24"/>
          <w:szCs w:val="24"/>
          <w:vertAlign w:val="subscript"/>
        </w:rPr>
        <w:t>w</w:t>
      </w:r>
      <w:r>
        <w:rPr>
          <w:rFonts w:ascii="Times New Roman"/>
          <w:sz w:val="24"/>
          <w:szCs w:val="24"/>
        </w:rPr>
        <w:t>为中心位置位于透声面积（S）处的等效声源的倍频带声功率级，dB；L</w:t>
      </w:r>
      <w:r>
        <w:rPr>
          <w:rFonts w:ascii="Times New Roman"/>
          <w:sz w:val="24"/>
          <w:szCs w:val="24"/>
          <w:vertAlign w:val="subscript"/>
        </w:rPr>
        <w:t>p2</w:t>
      </w:r>
      <w:r>
        <w:rPr>
          <w:rFonts w:ascii="Times New Roman"/>
          <w:sz w:val="24"/>
          <w:szCs w:val="24"/>
        </w:rPr>
        <w:t>（T）为靠近围护结构处室外声源的声压级，dB；S为透声面积，m</w:t>
      </w:r>
      <w:r>
        <w:rPr>
          <w:rFonts w:ascii="Times New Roman"/>
          <w:sz w:val="24"/>
          <w:szCs w:val="24"/>
          <w:vertAlign w:val="superscript"/>
        </w:rPr>
        <w:t>2</w:t>
      </w:r>
      <w:r>
        <w:rPr>
          <w:rFonts w:ascii="Times New Roman"/>
          <w:sz w:val="24"/>
          <w:szCs w:val="24"/>
        </w:rPr>
        <w:t>。</w:t>
      </w:r>
    </w:p>
    <w:p w14:paraId="61AF2F26">
      <w:pPr>
        <w:adjustRightInd w:val="0"/>
        <w:snapToGrid w:val="0"/>
        <w:spacing w:line="360" w:lineRule="auto"/>
        <w:ind w:firstLine="480" w:firstLineChars="200"/>
        <w:rPr>
          <w:rFonts w:ascii="Times New Roman"/>
          <w:sz w:val="24"/>
          <w:szCs w:val="24"/>
        </w:rPr>
      </w:pPr>
      <w:r>
        <w:rPr>
          <w:rFonts w:ascii="Times New Roman"/>
          <w:sz w:val="24"/>
          <w:szCs w:val="24"/>
        </w:rPr>
        <w:t>然后按室外声源预测方法计算预测点处的A声级。</w:t>
      </w:r>
    </w:p>
    <w:p w14:paraId="59B66CE5">
      <w:pPr>
        <w:adjustRightInd w:val="0"/>
        <w:snapToGrid w:val="0"/>
        <w:spacing w:line="360" w:lineRule="auto"/>
        <w:ind w:firstLine="480" w:firstLineChars="200"/>
        <w:rPr>
          <w:rFonts w:ascii="Times New Roman"/>
          <w:sz w:val="24"/>
          <w:szCs w:val="24"/>
        </w:rPr>
      </w:pPr>
      <w:r>
        <w:rPr>
          <w:rFonts w:ascii="Times New Roman"/>
          <w:sz w:val="24"/>
          <w:szCs w:val="24"/>
        </w:rPr>
        <w:t>（3）工业企业噪声计算</w:t>
      </w:r>
    </w:p>
    <w:p w14:paraId="277BE65D">
      <w:pPr>
        <w:adjustRightInd w:val="0"/>
        <w:snapToGrid w:val="0"/>
        <w:spacing w:line="360" w:lineRule="auto"/>
        <w:ind w:firstLine="480" w:firstLineChars="200"/>
        <w:rPr>
          <w:rFonts w:ascii="Times New Roman"/>
          <w:sz w:val="24"/>
          <w:szCs w:val="24"/>
        </w:rPr>
      </w:pPr>
      <w:r>
        <w:rPr>
          <w:rFonts w:ascii="Times New Roman"/>
          <w:sz w:val="24"/>
          <w:szCs w:val="24"/>
        </w:rPr>
        <w:t>设第i个室外声源在预测点产生的A声级为L</w:t>
      </w:r>
      <w:r>
        <w:rPr>
          <w:rFonts w:ascii="Times New Roman"/>
          <w:sz w:val="24"/>
          <w:szCs w:val="24"/>
          <w:vertAlign w:val="subscript"/>
        </w:rPr>
        <w:t>Ai</w:t>
      </w:r>
      <w:r>
        <w:rPr>
          <w:rFonts w:ascii="Times New Roman"/>
          <w:sz w:val="24"/>
          <w:szCs w:val="24"/>
        </w:rPr>
        <w:t>，在T时间内该声源工作时间为t</w:t>
      </w:r>
      <w:r>
        <w:rPr>
          <w:rFonts w:ascii="Times New Roman"/>
          <w:sz w:val="24"/>
          <w:szCs w:val="24"/>
          <w:vertAlign w:val="subscript"/>
        </w:rPr>
        <w:t>i</w:t>
      </w:r>
      <w:r>
        <w:rPr>
          <w:rFonts w:ascii="Times New Roman"/>
          <w:sz w:val="24"/>
          <w:szCs w:val="24"/>
        </w:rPr>
        <w:t>；第j个等效室外声源在预测点产生的A声级为L</w:t>
      </w:r>
      <w:r>
        <w:rPr>
          <w:rFonts w:ascii="Times New Roman"/>
          <w:sz w:val="24"/>
          <w:szCs w:val="24"/>
          <w:vertAlign w:val="subscript"/>
        </w:rPr>
        <w:t>Aj</w:t>
      </w:r>
      <w:r>
        <w:rPr>
          <w:rFonts w:ascii="Times New Roman"/>
          <w:sz w:val="24"/>
          <w:szCs w:val="24"/>
        </w:rPr>
        <w:t>，在T时间内该声源工作时间为t</w:t>
      </w:r>
      <w:r>
        <w:rPr>
          <w:rFonts w:ascii="Times New Roman"/>
          <w:sz w:val="24"/>
          <w:szCs w:val="24"/>
          <w:vertAlign w:val="subscript"/>
        </w:rPr>
        <w:t>j</w:t>
      </w:r>
      <w:r>
        <w:rPr>
          <w:rFonts w:ascii="Times New Roman"/>
          <w:sz w:val="24"/>
          <w:szCs w:val="24"/>
        </w:rPr>
        <w:t>，则拟建工程声源对预测点产生的贡献值（L</w:t>
      </w:r>
      <w:r>
        <w:rPr>
          <w:rFonts w:ascii="Times New Roman"/>
          <w:sz w:val="24"/>
          <w:szCs w:val="24"/>
          <w:vertAlign w:val="subscript"/>
        </w:rPr>
        <w:t>eqg</w:t>
      </w:r>
      <w:r>
        <w:rPr>
          <w:rFonts w:ascii="Times New Roman"/>
          <w:sz w:val="24"/>
          <w:szCs w:val="24"/>
        </w:rPr>
        <w:t>）为：</w:t>
      </w:r>
    </w:p>
    <w:p w14:paraId="222D45F3">
      <w:pPr>
        <w:adjustRightInd w:val="0"/>
        <w:snapToGrid w:val="0"/>
        <w:spacing w:line="360" w:lineRule="auto"/>
        <w:jc w:val="center"/>
        <w:rPr>
          <w:rFonts w:ascii="Times New Roman"/>
          <w:sz w:val="24"/>
          <w:szCs w:val="24"/>
        </w:rPr>
      </w:pPr>
      <w:r>
        <w:rPr>
          <w:rFonts w:ascii="Times New Roman"/>
          <w:position w:val="-30"/>
          <w:sz w:val="24"/>
          <w:szCs w:val="24"/>
        </w:rPr>
        <w:drawing>
          <wp:inline distT="0" distB="0" distL="114300" distR="114300">
            <wp:extent cx="2520315" cy="445135"/>
            <wp:effectExtent l="0" t="0" r="0" b="1206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65"/>
                    <a:stretch>
                      <a:fillRect/>
                    </a:stretch>
                  </pic:blipFill>
                  <pic:spPr>
                    <a:xfrm>
                      <a:off x="0" y="0"/>
                      <a:ext cx="2520315" cy="445135"/>
                    </a:xfrm>
                    <a:prstGeom prst="rect">
                      <a:avLst/>
                    </a:prstGeom>
                    <a:noFill/>
                    <a:ln>
                      <a:noFill/>
                    </a:ln>
                  </pic:spPr>
                </pic:pic>
              </a:graphicData>
            </a:graphic>
          </wp:inline>
        </w:drawing>
      </w:r>
    </w:p>
    <w:p w14:paraId="30AE6A38">
      <w:pPr>
        <w:adjustRightInd w:val="0"/>
        <w:snapToGrid w:val="0"/>
        <w:spacing w:line="360" w:lineRule="auto"/>
        <w:ind w:left="500" w:leftChars="200"/>
        <w:textAlignment w:val="baseline"/>
        <w:rPr>
          <w:rFonts w:ascii="Times New Roman"/>
          <w:kern w:val="0"/>
          <w:sz w:val="24"/>
          <w:szCs w:val="24"/>
        </w:rPr>
      </w:pPr>
      <w:r>
        <w:rPr>
          <w:rFonts w:ascii="Times New Roman"/>
          <w:kern w:val="0"/>
          <w:sz w:val="24"/>
          <w:szCs w:val="24"/>
        </w:rPr>
        <w:t>式中：L</w:t>
      </w:r>
      <w:r>
        <w:rPr>
          <w:rFonts w:ascii="Times New Roman"/>
          <w:kern w:val="0"/>
          <w:sz w:val="24"/>
          <w:szCs w:val="24"/>
          <w:vertAlign w:val="subscript"/>
        </w:rPr>
        <w:t>eqg</w:t>
      </w:r>
      <w:r>
        <w:rPr>
          <w:rFonts w:ascii="Times New Roman"/>
          <w:kern w:val="0"/>
          <w:sz w:val="24"/>
          <w:szCs w:val="24"/>
        </w:rPr>
        <w:t>--建设项目声源在预测点产生的噪声贡献值，dB；</w:t>
      </w:r>
    </w:p>
    <w:p w14:paraId="6075C61A">
      <w:pPr>
        <w:numPr>
          <w:ilvl w:val="0"/>
          <w:numId w:val="17"/>
        </w:numPr>
        <w:adjustRightInd w:val="0"/>
        <w:snapToGrid w:val="0"/>
        <w:spacing w:line="360" w:lineRule="auto"/>
        <w:ind w:firstLine="1200" w:firstLineChars="500"/>
        <w:textAlignment w:val="baseline"/>
        <w:rPr>
          <w:rFonts w:ascii="Times New Roman"/>
          <w:kern w:val="0"/>
          <w:sz w:val="24"/>
          <w:szCs w:val="24"/>
        </w:rPr>
      </w:pPr>
      <w:r>
        <w:rPr>
          <w:rFonts w:ascii="Times New Roman"/>
          <w:kern w:val="0"/>
          <w:sz w:val="24"/>
          <w:szCs w:val="24"/>
        </w:rPr>
        <w:t>-用于计算等效声级的时间，s；</w:t>
      </w:r>
    </w:p>
    <w:p w14:paraId="11610B3D">
      <w:pPr>
        <w:numPr>
          <w:ilvl w:val="0"/>
          <w:numId w:val="18"/>
        </w:numPr>
        <w:adjustRightInd w:val="0"/>
        <w:snapToGrid w:val="0"/>
        <w:spacing w:line="360" w:lineRule="auto"/>
        <w:ind w:left="1250" w:leftChars="500"/>
        <w:textAlignment w:val="baseline"/>
        <w:rPr>
          <w:rFonts w:ascii="Times New Roman"/>
          <w:kern w:val="0"/>
          <w:sz w:val="24"/>
          <w:szCs w:val="24"/>
        </w:rPr>
      </w:pPr>
      <w:r>
        <w:rPr>
          <w:rFonts w:ascii="Times New Roman"/>
          <w:kern w:val="0"/>
          <w:sz w:val="24"/>
          <w:szCs w:val="24"/>
        </w:rPr>
        <w:t>-室外声源个数；</w:t>
      </w:r>
    </w:p>
    <w:p w14:paraId="6CC0417E">
      <w:pPr>
        <w:adjustRightInd w:val="0"/>
        <w:snapToGrid w:val="0"/>
        <w:spacing w:line="360" w:lineRule="auto"/>
        <w:ind w:left="500" w:leftChars="200" w:firstLine="1200" w:firstLineChars="500"/>
        <w:textAlignment w:val="baseline"/>
        <w:rPr>
          <w:rFonts w:ascii="Times New Roman"/>
          <w:kern w:val="0"/>
          <w:sz w:val="24"/>
          <w:szCs w:val="24"/>
        </w:rPr>
      </w:pPr>
      <w:r>
        <w:rPr>
          <w:rFonts w:ascii="Times New Roman"/>
          <w:kern w:val="0"/>
          <w:sz w:val="24"/>
          <w:szCs w:val="24"/>
        </w:rPr>
        <w:t>t</w:t>
      </w:r>
      <w:r>
        <w:rPr>
          <w:rFonts w:ascii="Times New Roman"/>
          <w:kern w:val="0"/>
          <w:sz w:val="24"/>
          <w:szCs w:val="24"/>
          <w:vertAlign w:val="subscript"/>
        </w:rPr>
        <w:t>i</w:t>
      </w:r>
      <w:r>
        <w:rPr>
          <w:rFonts w:ascii="Times New Roman"/>
          <w:kern w:val="0"/>
          <w:sz w:val="24"/>
          <w:szCs w:val="24"/>
        </w:rPr>
        <w:t>--在T时间内i声源工作时间，s；</w:t>
      </w:r>
    </w:p>
    <w:p w14:paraId="223F5F68">
      <w:pPr>
        <w:adjustRightInd w:val="0"/>
        <w:snapToGrid w:val="0"/>
        <w:spacing w:line="360" w:lineRule="auto"/>
        <w:ind w:left="500" w:leftChars="200" w:firstLine="1200" w:firstLineChars="500"/>
        <w:textAlignment w:val="baseline"/>
        <w:rPr>
          <w:rFonts w:ascii="Times New Roman"/>
          <w:kern w:val="0"/>
          <w:sz w:val="24"/>
          <w:szCs w:val="24"/>
        </w:rPr>
      </w:pPr>
      <w:r>
        <w:rPr>
          <w:rFonts w:ascii="Times New Roman"/>
          <w:kern w:val="0"/>
          <w:sz w:val="24"/>
          <w:szCs w:val="24"/>
        </w:rPr>
        <w:t>M--等效室外声源个数；</w:t>
      </w:r>
    </w:p>
    <w:p w14:paraId="5343FE92">
      <w:pPr>
        <w:spacing w:line="480" w:lineRule="exact"/>
        <w:ind w:firstLine="1200" w:firstLineChars="500"/>
        <w:rPr>
          <w:rFonts w:ascii="Times New Roman"/>
          <w:kern w:val="13"/>
          <w:sz w:val="24"/>
          <w:szCs w:val="24"/>
        </w:rPr>
      </w:pPr>
      <w:r>
        <w:rPr>
          <w:rFonts w:ascii="Times New Roman"/>
          <w:kern w:val="0"/>
          <w:sz w:val="24"/>
          <w:szCs w:val="24"/>
        </w:rPr>
        <w:t>t</w:t>
      </w:r>
      <w:r>
        <w:rPr>
          <w:rFonts w:ascii="Times New Roman"/>
          <w:kern w:val="0"/>
          <w:sz w:val="24"/>
          <w:szCs w:val="24"/>
          <w:vertAlign w:val="subscript"/>
        </w:rPr>
        <w:t>j</w:t>
      </w:r>
      <w:r>
        <w:rPr>
          <w:rFonts w:ascii="Times New Roman"/>
          <w:kern w:val="0"/>
          <w:sz w:val="24"/>
          <w:szCs w:val="24"/>
        </w:rPr>
        <w:t>--在T时间内j声源工作时间，s。</w:t>
      </w:r>
    </w:p>
    <w:p w14:paraId="335D6C7A">
      <w:pPr>
        <w:snapToGrid w:val="0"/>
        <w:spacing w:beforeLines="50" w:line="360" w:lineRule="auto"/>
        <w:outlineLvl w:val="3"/>
        <w:rPr>
          <w:rFonts w:ascii="Times New Roman"/>
          <w:b/>
          <w:sz w:val="24"/>
          <w:szCs w:val="24"/>
        </w:rPr>
      </w:pPr>
      <w:r>
        <w:rPr>
          <w:rFonts w:ascii="Times New Roman"/>
          <w:b/>
          <w:sz w:val="24"/>
          <w:szCs w:val="24"/>
        </w:rPr>
        <w:t>5.2.4.3预测结果及分析</w:t>
      </w:r>
    </w:p>
    <w:p w14:paraId="34E35E21">
      <w:pPr>
        <w:spacing w:line="480" w:lineRule="exact"/>
        <w:ind w:firstLine="480" w:firstLineChars="200"/>
        <w:rPr>
          <w:rFonts w:ascii="Times New Roman"/>
          <w:sz w:val="24"/>
          <w:szCs w:val="24"/>
        </w:rPr>
      </w:pPr>
      <w:r>
        <w:rPr>
          <w:rFonts w:ascii="Times New Roman"/>
          <w:sz w:val="24"/>
          <w:szCs w:val="24"/>
        </w:rPr>
        <w:t>按照以上预测模式及表3.</w:t>
      </w:r>
      <w:r>
        <w:rPr>
          <w:rFonts w:hint="eastAsia" w:ascii="Times New Roman"/>
          <w:sz w:val="24"/>
          <w:szCs w:val="24"/>
        </w:rPr>
        <w:t>7</w:t>
      </w:r>
      <w:r>
        <w:rPr>
          <w:rFonts w:ascii="Times New Roman"/>
          <w:sz w:val="24"/>
          <w:szCs w:val="24"/>
        </w:rPr>
        <w:t>-1</w:t>
      </w:r>
      <w:r>
        <w:rPr>
          <w:rFonts w:hint="eastAsia" w:ascii="Times New Roman"/>
          <w:sz w:val="24"/>
          <w:szCs w:val="24"/>
        </w:rPr>
        <w:t>3和表3.7-14中</w:t>
      </w:r>
      <w:r>
        <w:rPr>
          <w:rFonts w:ascii="Times New Roman"/>
          <w:sz w:val="24"/>
          <w:szCs w:val="24"/>
        </w:rPr>
        <w:t>源强参数，预测计算噪声对四周厂界的预测评价结果见</w:t>
      </w:r>
      <w:r>
        <w:rPr>
          <w:rFonts w:hint="eastAsia" w:ascii="Times New Roman"/>
          <w:sz w:val="24"/>
          <w:szCs w:val="24"/>
        </w:rPr>
        <w:t>下</w:t>
      </w:r>
      <w:r>
        <w:rPr>
          <w:rFonts w:ascii="Times New Roman"/>
          <w:sz w:val="24"/>
          <w:szCs w:val="24"/>
        </w:rPr>
        <w:t>表。</w:t>
      </w:r>
    </w:p>
    <w:p w14:paraId="57A30C9E">
      <w:pPr>
        <w:spacing w:line="440" w:lineRule="exact"/>
        <w:jc w:val="center"/>
        <w:rPr>
          <w:rFonts w:ascii="Times New Roman"/>
          <w:b/>
          <w:sz w:val="24"/>
          <w:szCs w:val="24"/>
        </w:rPr>
      </w:pPr>
      <w:r>
        <w:rPr>
          <w:rFonts w:ascii="Times New Roman"/>
          <w:b/>
          <w:sz w:val="24"/>
          <w:szCs w:val="24"/>
        </w:rPr>
        <w:t>表5.2</w:t>
      </w:r>
      <w:r>
        <w:rPr>
          <w:rFonts w:hint="eastAsia" w:ascii="Times New Roman"/>
          <w:b/>
          <w:sz w:val="24"/>
          <w:szCs w:val="24"/>
        </w:rPr>
        <w:t>.4</w:t>
      </w:r>
      <w:r>
        <w:rPr>
          <w:rFonts w:ascii="Times New Roman"/>
          <w:b/>
          <w:sz w:val="24"/>
          <w:szCs w:val="24"/>
        </w:rPr>
        <w:t>-</w:t>
      </w:r>
      <w:r>
        <w:rPr>
          <w:rFonts w:hint="eastAsia" w:ascii="Times New Roman"/>
          <w:b/>
          <w:sz w:val="24"/>
          <w:szCs w:val="24"/>
        </w:rPr>
        <w:t>1</w:t>
      </w:r>
      <w:r>
        <w:rPr>
          <w:rFonts w:ascii="Times New Roman"/>
          <w:b/>
          <w:sz w:val="24"/>
          <w:szCs w:val="24"/>
        </w:rPr>
        <w:t xml:space="preserve">  噪声预测评价结果一览表   单位：dB（A）</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1"/>
        <w:gridCol w:w="2377"/>
        <w:gridCol w:w="1798"/>
        <w:gridCol w:w="1390"/>
        <w:gridCol w:w="1467"/>
      </w:tblGrid>
      <w:tr w14:paraId="57D3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770" w:type="pct"/>
            <w:vMerge w:val="restart"/>
            <w:vAlign w:val="center"/>
          </w:tcPr>
          <w:p w14:paraId="0F39B630">
            <w:pPr>
              <w:widowControl/>
              <w:jc w:val="center"/>
              <w:textAlignment w:val="center"/>
              <w:rPr>
                <w:rFonts w:ascii="Times New Roman" w:eastAsia="Arial"/>
                <w:sz w:val="21"/>
                <w:szCs w:val="21"/>
              </w:rPr>
            </w:pPr>
            <w:r>
              <w:rPr>
                <w:rFonts w:ascii="Times New Roman" w:eastAsia="Arial"/>
                <w:sz w:val="21"/>
                <w:szCs w:val="21"/>
              </w:rPr>
              <w:t>名称</w:t>
            </w:r>
          </w:p>
        </w:tc>
        <w:tc>
          <w:tcPr>
            <w:tcW w:w="1429" w:type="pct"/>
            <w:vAlign w:val="center"/>
          </w:tcPr>
          <w:p w14:paraId="70494BD6">
            <w:pPr>
              <w:widowControl/>
              <w:jc w:val="center"/>
              <w:textAlignment w:val="center"/>
              <w:rPr>
                <w:rFonts w:ascii="Times New Roman" w:eastAsia="Arial"/>
                <w:sz w:val="21"/>
                <w:szCs w:val="21"/>
              </w:rPr>
            </w:pPr>
            <w:r>
              <w:rPr>
                <w:rFonts w:ascii="Times New Roman" w:eastAsia="Arial"/>
                <w:sz w:val="21"/>
                <w:szCs w:val="21"/>
              </w:rPr>
              <w:t>贡献值</w:t>
            </w:r>
          </w:p>
        </w:tc>
        <w:tc>
          <w:tcPr>
            <w:tcW w:w="1917" w:type="pct"/>
            <w:gridSpan w:val="2"/>
            <w:vAlign w:val="center"/>
          </w:tcPr>
          <w:p w14:paraId="797097C0">
            <w:pPr>
              <w:widowControl/>
              <w:jc w:val="center"/>
              <w:textAlignment w:val="center"/>
              <w:rPr>
                <w:rFonts w:ascii="Times New Roman" w:eastAsia="Arial"/>
                <w:sz w:val="21"/>
                <w:szCs w:val="21"/>
              </w:rPr>
            </w:pPr>
            <w:r>
              <w:rPr>
                <w:rFonts w:ascii="Times New Roman" w:eastAsia="Arial"/>
                <w:sz w:val="21"/>
                <w:szCs w:val="21"/>
              </w:rPr>
              <w:t>标准值</w:t>
            </w:r>
          </w:p>
        </w:tc>
        <w:tc>
          <w:tcPr>
            <w:tcW w:w="882" w:type="pct"/>
            <w:vMerge w:val="restart"/>
            <w:vAlign w:val="center"/>
          </w:tcPr>
          <w:p w14:paraId="51BACEFD">
            <w:pPr>
              <w:widowControl/>
              <w:jc w:val="center"/>
              <w:textAlignment w:val="center"/>
              <w:rPr>
                <w:rFonts w:ascii="Times New Roman" w:eastAsia="Arial"/>
                <w:sz w:val="21"/>
                <w:szCs w:val="21"/>
              </w:rPr>
            </w:pPr>
            <w:r>
              <w:rPr>
                <w:rFonts w:ascii="Times New Roman" w:eastAsia="Arial"/>
                <w:sz w:val="21"/>
                <w:szCs w:val="21"/>
              </w:rPr>
              <w:t>达标分析</w:t>
            </w:r>
          </w:p>
        </w:tc>
      </w:tr>
      <w:tr w14:paraId="1126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jc w:val="center"/>
        </w:trPr>
        <w:tc>
          <w:tcPr>
            <w:tcW w:w="770" w:type="pct"/>
            <w:vMerge w:val="continue"/>
            <w:vAlign w:val="center"/>
          </w:tcPr>
          <w:p w14:paraId="0707E124">
            <w:pPr>
              <w:widowControl/>
              <w:jc w:val="center"/>
              <w:textAlignment w:val="center"/>
              <w:rPr>
                <w:rFonts w:ascii="Times New Roman" w:eastAsia="Arial"/>
                <w:sz w:val="21"/>
                <w:szCs w:val="21"/>
              </w:rPr>
            </w:pPr>
          </w:p>
        </w:tc>
        <w:tc>
          <w:tcPr>
            <w:tcW w:w="1429" w:type="pct"/>
            <w:vAlign w:val="center"/>
          </w:tcPr>
          <w:p w14:paraId="60D995FB">
            <w:pPr>
              <w:widowControl/>
              <w:jc w:val="center"/>
              <w:textAlignment w:val="center"/>
              <w:rPr>
                <w:rFonts w:ascii="Times New Roman" w:eastAsia="Arial"/>
                <w:sz w:val="21"/>
                <w:szCs w:val="21"/>
              </w:rPr>
            </w:pPr>
            <w:r>
              <w:rPr>
                <w:rFonts w:hint="eastAsia" w:ascii="Times New Roman" w:eastAsia="Arial"/>
                <w:sz w:val="21"/>
                <w:szCs w:val="21"/>
              </w:rPr>
              <w:t>昼间、夜间</w:t>
            </w:r>
          </w:p>
        </w:tc>
        <w:tc>
          <w:tcPr>
            <w:tcW w:w="1081" w:type="pct"/>
            <w:vAlign w:val="center"/>
          </w:tcPr>
          <w:p w14:paraId="133C69F4">
            <w:pPr>
              <w:widowControl/>
              <w:jc w:val="center"/>
              <w:textAlignment w:val="center"/>
              <w:rPr>
                <w:rFonts w:ascii="Times New Roman" w:eastAsia="Arial"/>
                <w:sz w:val="21"/>
                <w:szCs w:val="21"/>
              </w:rPr>
            </w:pPr>
            <w:r>
              <w:rPr>
                <w:rFonts w:hint="eastAsia" w:ascii="Times New Roman" w:eastAsia="Arial"/>
                <w:sz w:val="21"/>
                <w:szCs w:val="21"/>
              </w:rPr>
              <w:t>昼间</w:t>
            </w:r>
          </w:p>
        </w:tc>
        <w:tc>
          <w:tcPr>
            <w:tcW w:w="835" w:type="pct"/>
            <w:vAlign w:val="center"/>
          </w:tcPr>
          <w:p w14:paraId="7866BC03">
            <w:pPr>
              <w:widowControl/>
              <w:jc w:val="center"/>
              <w:textAlignment w:val="center"/>
              <w:rPr>
                <w:rFonts w:ascii="Times New Roman" w:eastAsia="Arial"/>
                <w:sz w:val="21"/>
                <w:szCs w:val="21"/>
              </w:rPr>
            </w:pPr>
            <w:r>
              <w:rPr>
                <w:rFonts w:hint="eastAsia" w:ascii="Times New Roman" w:eastAsia="Arial"/>
                <w:sz w:val="21"/>
                <w:szCs w:val="21"/>
              </w:rPr>
              <w:t>夜间</w:t>
            </w:r>
          </w:p>
        </w:tc>
        <w:tc>
          <w:tcPr>
            <w:tcW w:w="882" w:type="pct"/>
            <w:vMerge w:val="continue"/>
            <w:vAlign w:val="center"/>
          </w:tcPr>
          <w:p w14:paraId="173FE9D2">
            <w:pPr>
              <w:widowControl/>
              <w:jc w:val="center"/>
              <w:textAlignment w:val="center"/>
              <w:rPr>
                <w:rFonts w:ascii="Times New Roman" w:eastAsia="Arial"/>
                <w:sz w:val="21"/>
                <w:szCs w:val="21"/>
              </w:rPr>
            </w:pPr>
          </w:p>
        </w:tc>
      </w:tr>
      <w:tr w14:paraId="34C0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vAlign w:val="center"/>
          </w:tcPr>
          <w:p w14:paraId="0A3B23E2">
            <w:pPr>
              <w:widowControl/>
              <w:jc w:val="center"/>
              <w:textAlignment w:val="center"/>
              <w:rPr>
                <w:rFonts w:ascii="Times New Roman" w:eastAsia="Arial"/>
                <w:sz w:val="21"/>
                <w:szCs w:val="21"/>
              </w:rPr>
            </w:pPr>
            <w:r>
              <w:rPr>
                <w:rFonts w:ascii="Times New Roman" w:eastAsia="Arial"/>
                <w:sz w:val="21"/>
                <w:szCs w:val="21"/>
              </w:rPr>
              <w:t>东厂界</w:t>
            </w:r>
          </w:p>
        </w:tc>
        <w:tc>
          <w:tcPr>
            <w:tcW w:w="1429" w:type="pct"/>
            <w:vAlign w:val="center"/>
          </w:tcPr>
          <w:p w14:paraId="299AF500">
            <w:pPr>
              <w:widowControl/>
              <w:jc w:val="center"/>
              <w:textAlignment w:val="center"/>
              <w:rPr>
                <w:rFonts w:ascii="Times New Roman" w:eastAsia="Arial"/>
                <w:sz w:val="21"/>
                <w:szCs w:val="21"/>
              </w:rPr>
            </w:pPr>
            <w:r>
              <w:rPr>
                <w:rFonts w:hint="eastAsia" w:ascii="Times New Roman" w:eastAsia="Arial"/>
                <w:sz w:val="21"/>
                <w:szCs w:val="21"/>
              </w:rPr>
              <w:t>47.2</w:t>
            </w:r>
          </w:p>
        </w:tc>
        <w:tc>
          <w:tcPr>
            <w:tcW w:w="1081" w:type="pct"/>
            <w:vAlign w:val="center"/>
          </w:tcPr>
          <w:p w14:paraId="6B26D2F1">
            <w:pPr>
              <w:widowControl/>
              <w:jc w:val="center"/>
              <w:textAlignment w:val="center"/>
              <w:rPr>
                <w:rFonts w:ascii="Times New Roman" w:eastAsia="Arial"/>
                <w:sz w:val="21"/>
                <w:szCs w:val="21"/>
              </w:rPr>
            </w:pPr>
            <w:r>
              <w:rPr>
                <w:rFonts w:ascii="Times New Roman" w:eastAsia="Arial"/>
                <w:sz w:val="21"/>
                <w:szCs w:val="21"/>
              </w:rPr>
              <w:t>6</w:t>
            </w:r>
            <w:r>
              <w:rPr>
                <w:rFonts w:hint="eastAsia" w:ascii="Times New Roman" w:eastAsia="Arial"/>
                <w:sz w:val="21"/>
                <w:szCs w:val="21"/>
              </w:rPr>
              <w:t>5</w:t>
            </w:r>
          </w:p>
        </w:tc>
        <w:tc>
          <w:tcPr>
            <w:tcW w:w="835" w:type="pct"/>
            <w:vAlign w:val="center"/>
          </w:tcPr>
          <w:p w14:paraId="34153F03">
            <w:pPr>
              <w:widowControl/>
              <w:jc w:val="center"/>
              <w:textAlignment w:val="center"/>
              <w:rPr>
                <w:rFonts w:ascii="Times New Roman" w:eastAsia="Arial"/>
                <w:sz w:val="21"/>
                <w:szCs w:val="21"/>
              </w:rPr>
            </w:pPr>
            <w:r>
              <w:rPr>
                <w:rFonts w:hint="eastAsia" w:ascii="Times New Roman" w:eastAsia="Arial"/>
                <w:sz w:val="21"/>
                <w:szCs w:val="21"/>
              </w:rPr>
              <w:t>55</w:t>
            </w:r>
          </w:p>
        </w:tc>
        <w:tc>
          <w:tcPr>
            <w:tcW w:w="882" w:type="pct"/>
            <w:vAlign w:val="center"/>
          </w:tcPr>
          <w:p w14:paraId="5F26B049">
            <w:pPr>
              <w:widowControl/>
              <w:jc w:val="center"/>
              <w:textAlignment w:val="center"/>
              <w:rPr>
                <w:rFonts w:ascii="Times New Roman" w:eastAsia="Arial"/>
                <w:sz w:val="21"/>
                <w:szCs w:val="21"/>
              </w:rPr>
            </w:pPr>
            <w:r>
              <w:rPr>
                <w:rFonts w:ascii="Times New Roman" w:eastAsia="Arial"/>
                <w:sz w:val="21"/>
                <w:szCs w:val="21"/>
              </w:rPr>
              <w:t>达标</w:t>
            </w:r>
          </w:p>
        </w:tc>
      </w:tr>
      <w:tr w14:paraId="7A9F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70" w:type="pct"/>
            <w:vAlign w:val="center"/>
          </w:tcPr>
          <w:p w14:paraId="1EE0DB5A">
            <w:pPr>
              <w:widowControl/>
              <w:jc w:val="center"/>
              <w:textAlignment w:val="center"/>
              <w:rPr>
                <w:rFonts w:ascii="Times New Roman" w:eastAsia="Arial"/>
                <w:sz w:val="21"/>
                <w:szCs w:val="21"/>
              </w:rPr>
            </w:pPr>
            <w:r>
              <w:rPr>
                <w:rFonts w:ascii="Times New Roman" w:eastAsia="Arial"/>
                <w:sz w:val="21"/>
                <w:szCs w:val="21"/>
              </w:rPr>
              <w:t>南厂界</w:t>
            </w:r>
          </w:p>
        </w:tc>
        <w:tc>
          <w:tcPr>
            <w:tcW w:w="1429" w:type="pct"/>
            <w:vAlign w:val="center"/>
          </w:tcPr>
          <w:p w14:paraId="4EB1B4F1">
            <w:pPr>
              <w:widowControl/>
              <w:jc w:val="center"/>
              <w:textAlignment w:val="center"/>
              <w:rPr>
                <w:rFonts w:ascii="Times New Roman" w:eastAsia="Arial"/>
                <w:sz w:val="21"/>
                <w:szCs w:val="21"/>
              </w:rPr>
            </w:pPr>
            <w:r>
              <w:rPr>
                <w:rFonts w:hint="eastAsia" w:ascii="Times New Roman" w:eastAsia="Arial"/>
                <w:sz w:val="21"/>
                <w:szCs w:val="21"/>
              </w:rPr>
              <w:t>36.8</w:t>
            </w:r>
          </w:p>
        </w:tc>
        <w:tc>
          <w:tcPr>
            <w:tcW w:w="1081" w:type="pct"/>
            <w:vAlign w:val="center"/>
          </w:tcPr>
          <w:p w14:paraId="7162F942">
            <w:pPr>
              <w:widowControl/>
              <w:jc w:val="center"/>
              <w:textAlignment w:val="center"/>
              <w:rPr>
                <w:rFonts w:ascii="Times New Roman" w:eastAsia="Arial"/>
                <w:sz w:val="21"/>
                <w:szCs w:val="21"/>
              </w:rPr>
            </w:pPr>
            <w:r>
              <w:rPr>
                <w:rFonts w:ascii="Times New Roman" w:eastAsia="Arial"/>
                <w:sz w:val="21"/>
                <w:szCs w:val="21"/>
              </w:rPr>
              <w:t>6</w:t>
            </w:r>
            <w:r>
              <w:rPr>
                <w:rFonts w:hint="eastAsia" w:ascii="Times New Roman" w:eastAsia="Arial"/>
                <w:sz w:val="21"/>
                <w:szCs w:val="21"/>
              </w:rPr>
              <w:t>5</w:t>
            </w:r>
          </w:p>
        </w:tc>
        <w:tc>
          <w:tcPr>
            <w:tcW w:w="835" w:type="pct"/>
            <w:vAlign w:val="center"/>
          </w:tcPr>
          <w:p w14:paraId="791F142D">
            <w:pPr>
              <w:widowControl/>
              <w:jc w:val="center"/>
              <w:textAlignment w:val="center"/>
              <w:rPr>
                <w:rFonts w:ascii="Times New Roman" w:eastAsia="Arial"/>
                <w:sz w:val="21"/>
                <w:szCs w:val="21"/>
              </w:rPr>
            </w:pPr>
            <w:r>
              <w:rPr>
                <w:rFonts w:hint="eastAsia" w:ascii="Times New Roman" w:eastAsia="Arial"/>
                <w:sz w:val="21"/>
                <w:szCs w:val="21"/>
              </w:rPr>
              <w:t>55</w:t>
            </w:r>
          </w:p>
        </w:tc>
        <w:tc>
          <w:tcPr>
            <w:tcW w:w="882" w:type="pct"/>
            <w:vAlign w:val="center"/>
          </w:tcPr>
          <w:p w14:paraId="18C6885E">
            <w:pPr>
              <w:widowControl/>
              <w:jc w:val="center"/>
              <w:textAlignment w:val="center"/>
              <w:rPr>
                <w:rFonts w:ascii="Times New Roman" w:eastAsia="Arial"/>
                <w:sz w:val="21"/>
                <w:szCs w:val="21"/>
              </w:rPr>
            </w:pPr>
            <w:r>
              <w:rPr>
                <w:rFonts w:ascii="Times New Roman" w:eastAsia="Arial"/>
                <w:sz w:val="21"/>
                <w:szCs w:val="21"/>
              </w:rPr>
              <w:t>达标</w:t>
            </w:r>
          </w:p>
        </w:tc>
      </w:tr>
      <w:tr w14:paraId="5ADE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vAlign w:val="center"/>
          </w:tcPr>
          <w:p w14:paraId="02DD8F0A">
            <w:pPr>
              <w:widowControl/>
              <w:jc w:val="center"/>
              <w:textAlignment w:val="center"/>
              <w:rPr>
                <w:rFonts w:ascii="Times New Roman" w:eastAsia="Arial"/>
                <w:sz w:val="21"/>
                <w:szCs w:val="21"/>
              </w:rPr>
            </w:pPr>
            <w:r>
              <w:rPr>
                <w:rFonts w:hint="eastAsia" w:ascii="Times New Roman" w:eastAsia="Arial"/>
                <w:sz w:val="21"/>
                <w:szCs w:val="21"/>
              </w:rPr>
              <w:t>西</w:t>
            </w:r>
            <w:r>
              <w:rPr>
                <w:rFonts w:ascii="Times New Roman" w:eastAsia="Arial"/>
                <w:sz w:val="21"/>
                <w:szCs w:val="21"/>
              </w:rPr>
              <w:t>厂界</w:t>
            </w:r>
          </w:p>
        </w:tc>
        <w:tc>
          <w:tcPr>
            <w:tcW w:w="1429" w:type="pct"/>
            <w:vAlign w:val="center"/>
          </w:tcPr>
          <w:p w14:paraId="6CA54A03">
            <w:pPr>
              <w:widowControl/>
              <w:jc w:val="center"/>
              <w:textAlignment w:val="center"/>
              <w:rPr>
                <w:rFonts w:ascii="Times New Roman" w:eastAsia="Arial"/>
                <w:sz w:val="21"/>
                <w:szCs w:val="21"/>
              </w:rPr>
            </w:pPr>
            <w:r>
              <w:rPr>
                <w:rFonts w:hint="eastAsia" w:ascii="Times New Roman" w:eastAsia="Arial"/>
                <w:sz w:val="21"/>
                <w:szCs w:val="21"/>
              </w:rPr>
              <w:t>35.6</w:t>
            </w:r>
          </w:p>
        </w:tc>
        <w:tc>
          <w:tcPr>
            <w:tcW w:w="1081" w:type="pct"/>
            <w:vAlign w:val="center"/>
          </w:tcPr>
          <w:p w14:paraId="48C72FEA">
            <w:pPr>
              <w:widowControl/>
              <w:jc w:val="center"/>
              <w:textAlignment w:val="center"/>
              <w:rPr>
                <w:rFonts w:ascii="Times New Roman" w:eastAsia="Arial"/>
                <w:sz w:val="21"/>
                <w:szCs w:val="21"/>
              </w:rPr>
            </w:pPr>
            <w:r>
              <w:rPr>
                <w:rFonts w:ascii="Times New Roman" w:eastAsia="Arial"/>
                <w:sz w:val="21"/>
                <w:szCs w:val="21"/>
              </w:rPr>
              <w:t>6</w:t>
            </w:r>
            <w:r>
              <w:rPr>
                <w:rFonts w:hint="eastAsia" w:ascii="Times New Roman" w:eastAsia="Arial"/>
                <w:sz w:val="21"/>
                <w:szCs w:val="21"/>
              </w:rPr>
              <w:t>5</w:t>
            </w:r>
          </w:p>
        </w:tc>
        <w:tc>
          <w:tcPr>
            <w:tcW w:w="835" w:type="pct"/>
            <w:vAlign w:val="center"/>
          </w:tcPr>
          <w:p w14:paraId="0CBFF8C3">
            <w:pPr>
              <w:widowControl/>
              <w:jc w:val="center"/>
              <w:textAlignment w:val="center"/>
              <w:rPr>
                <w:rFonts w:ascii="Times New Roman" w:eastAsia="Arial"/>
                <w:sz w:val="21"/>
                <w:szCs w:val="21"/>
              </w:rPr>
            </w:pPr>
            <w:r>
              <w:rPr>
                <w:rFonts w:hint="eastAsia" w:ascii="Times New Roman" w:eastAsia="Arial"/>
                <w:sz w:val="21"/>
                <w:szCs w:val="21"/>
              </w:rPr>
              <w:t>55</w:t>
            </w:r>
          </w:p>
        </w:tc>
        <w:tc>
          <w:tcPr>
            <w:tcW w:w="882" w:type="pct"/>
            <w:vAlign w:val="center"/>
          </w:tcPr>
          <w:p w14:paraId="3D7C78DD">
            <w:pPr>
              <w:widowControl/>
              <w:jc w:val="center"/>
              <w:textAlignment w:val="center"/>
              <w:rPr>
                <w:rFonts w:ascii="Times New Roman" w:eastAsia="Arial"/>
                <w:sz w:val="21"/>
                <w:szCs w:val="21"/>
              </w:rPr>
            </w:pPr>
            <w:r>
              <w:rPr>
                <w:rFonts w:ascii="Times New Roman" w:eastAsia="Arial"/>
                <w:sz w:val="21"/>
                <w:szCs w:val="21"/>
              </w:rPr>
              <w:t>达标</w:t>
            </w:r>
          </w:p>
        </w:tc>
      </w:tr>
      <w:tr w14:paraId="74FB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vAlign w:val="center"/>
          </w:tcPr>
          <w:p w14:paraId="52BE8568">
            <w:pPr>
              <w:widowControl/>
              <w:jc w:val="center"/>
              <w:textAlignment w:val="center"/>
              <w:rPr>
                <w:rFonts w:ascii="Times New Roman" w:eastAsia="Arial"/>
                <w:sz w:val="21"/>
                <w:szCs w:val="21"/>
              </w:rPr>
            </w:pPr>
            <w:r>
              <w:rPr>
                <w:rFonts w:hint="eastAsia" w:ascii="Times New Roman" w:eastAsia="Arial"/>
                <w:sz w:val="21"/>
                <w:szCs w:val="21"/>
              </w:rPr>
              <w:t>北</w:t>
            </w:r>
            <w:r>
              <w:rPr>
                <w:rFonts w:ascii="Times New Roman" w:eastAsia="Arial"/>
                <w:sz w:val="21"/>
                <w:szCs w:val="21"/>
              </w:rPr>
              <w:t>厂界</w:t>
            </w:r>
          </w:p>
        </w:tc>
        <w:tc>
          <w:tcPr>
            <w:tcW w:w="1429" w:type="pct"/>
            <w:vAlign w:val="center"/>
          </w:tcPr>
          <w:p w14:paraId="1ADF1F78">
            <w:pPr>
              <w:widowControl/>
              <w:jc w:val="center"/>
              <w:textAlignment w:val="center"/>
              <w:rPr>
                <w:rFonts w:ascii="Times New Roman" w:eastAsia="Arial"/>
                <w:sz w:val="21"/>
                <w:szCs w:val="21"/>
              </w:rPr>
            </w:pPr>
            <w:r>
              <w:rPr>
                <w:rFonts w:hint="eastAsia" w:ascii="Times New Roman" w:eastAsia="Arial"/>
                <w:sz w:val="21"/>
                <w:szCs w:val="21"/>
              </w:rPr>
              <w:t>54.3</w:t>
            </w:r>
          </w:p>
        </w:tc>
        <w:tc>
          <w:tcPr>
            <w:tcW w:w="1081" w:type="pct"/>
            <w:vAlign w:val="center"/>
          </w:tcPr>
          <w:p w14:paraId="316E2993">
            <w:pPr>
              <w:widowControl/>
              <w:jc w:val="center"/>
              <w:textAlignment w:val="center"/>
              <w:rPr>
                <w:rFonts w:ascii="Times New Roman" w:eastAsia="Arial"/>
                <w:sz w:val="21"/>
                <w:szCs w:val="21"/>
              </w:rPr>
            </w:pPr>
            <w:r>
              <w:rPr>
                <w:rFonts w:ascii="Times New Roman" w:eastAsia="Arial"/>
                <w:sz w:val="21"/>
                <w:szCs w:val="21"/>
              </w:rPr>
              <w:t>6</w:t>
            </w:r>
            <w:r>
              <w:rPr>
                <w:rFonts w:hint="eastAsia" w:ascii="Times New Roman" w:eastAsia="Arial"/>
                <w:sz w:val="21"/>
                <w:szCs w:val="21"/>
              </w:rPr>
              <w:t>5</w:t>
            </w:r>
          </w:p>
        </w:tc>
        <w:tc>
          <w:tcPr>
            <w:tcW w:w="835" w:type="pct"/>
            <w:vAlign w:val="center"/>
          </w:tcPr>
          <w:p w14:paraId="7063CA3A">
            <w:pPr>
              <w:widowControl/>
              <w:jc w:val="center"/>
              <w:textAlignment w:val="center"/>
              <w:rPr>
                <w:rFonts w:ascii="Times New Roman" w:eastAsia="Arial"/>
                <w:sz w:val="21"/>
                <w:szCs w:val="21"/>
              </w:rPr>
            </w:pPr>
            <w:r>
              <w:rPr>
                <w:rFonts w:hint="eastAsia" w:ascii="Times New Roman" w:eastAsia="Arial"/>
                <w:sz w:val="21"/>
                <w:szCs w:val="21"/>
              </w:rPr>
              <w:t>55</w:t>
            </w:r>
          </w:p>
        </w:tc>
        <w:tc>
          <w:tcPr>
            <w:tcW w:w="882" w:type="pct"/>
            <w:vAlign w:val="center"/>
          </w:tcPr>
          <w:p w14:paraId="7BDA9383">
            <w:pPr>
              <w:widowControl/>
              <w:jc w:val="center"/>
              <w:textAlignment w:val="center"/>
              <w:rPr>
                <w:rFonts w:ascii="Times New Roman" w:eastAsia="Arial"/>
                <w:sz w:val="21"/>
                <w:szCs w:val="21"/>
              </w:rPr>
            </w:pPr>
            <w:r>
              <w:rPr>
                <w:rFonts w:ascii="Times New Roman" w:eastAsia="Arial"/>
                <w:sz w:val="21"/>
                <w:szCs w:val="21"/>
              </w:rPr>
              <w:t>达标</w:t>
            </w:r>
          </w:p>
        </w:tc>
      </w:tr>
    </w:tbl>
    <w:p w14:paraId="31A6CA1A">
      <w:pPr>
        <w:spacing w:line="480" w:lineRule="exact"/>
        <w:ind w:firstLine="480" w:firstLineChars="200"/>
        <w:rPr>
          <w:rFonts w:ascii="Times New Roman"/>
          <w:sz w:val="24"/>
          <w:szCs w:val="24"/>
        </w:rPr>
      </w:pPr>
      <w:r>
        <w:rPr>
          <w:rFonts w:ascii="Times New Roman"/>
          <w:sz w:val="24"/>
          <w:szCs w:val="24"/>
        </w:rPr>
        <w:t>由表5.2</w:t>
      </w:r>
      <w:r>
        <w:rPr>
          <w:rFonts w:hint="eastAsia" w:ascii="Times New Roman"/>
          <w:sz w:val="24"/>
          <w:szCs w:val="24"/>
        </w:rPr>
        <w:t>.4</w:t>
      </w:r>
      <w:r>
        <w:rPr>
          <w:rFonts w:ascii="Times New Roman"/>
          <w:sz w:val="24"/>
          <w:szCs w:val="24"/>
        </w:rPr>
        <w:t>-</w:t>
      </w:r>
      <w:r>
        <w:rPr>
          <w:rFonts w:hint="eastAsia" w:ascii="Times New Roman"/>
          <w:sz w:val="24"/>
          <w:szCs w:val="24"/>
        </w:rPr>
        <w:t>1</w:t>
      </w:r>
      <w:r>
        <w:rPr>
          <w:rFonts w:ascii="Times New Roman"/>
          <w:sz w:val="24"/>
          <w:szCs w:val="24"/>
        </w:rPr>
        <w:t>分析可知，项目厂界噪声贡献值为</w:t>
      </w:r>
      <w:r>
        <w:rPr>
          <w:rFonts w:hint="eastAsia" w:ascii="Times New Roman"/>
          <w:sz w:val="24"/>
          <w:szCs w:val="24"/>
        </w:rPr>
        <w:t>35.6</w:t>
      </w:r>
      <w:r>
        <w:rPr>
          <w:rFonts w:ascii="Times New Roman"/>
          <w:sz w:val="24"/>
          <w:szCs w:val="24"/>
        </w:rPr>
        <w:t>～</w:t>
      </w:r>
      <w:r>
        <w:rPr>
          <w:rFonts w:hint="eastAsia" w:ascii="Times New Roman"/>
          <w:sz w:val="24"/>
          <w:szCs w:val="24"/>
        </w:rPr>
        <w:t>54.3</w:t>
      </w:r>
      <w:r>
        <w:rPr>
          <w:rFonts w:ascii="Times New Roman"/>
          <w:sz w:val="24"/>
          <w:szCs w:val="24"/>
        </w:rPr>
        <w:t>dB（A），满足《工业企业厂界环境噪声排放标准》（GB12348-2008）表中的3类标准，本项目运营期噪声对周边环境影响较小。</w:t>
      </w:r>
    </w:p>
    <w:p w14:paraId="4ECC56E3">
      <w:pPr>
        <w:snapToGrid w:val="0"/>
        <w:spacing w:beforeLines="50" w:line="360" w:lineRule="auto"/>
        <w:outlineLvl w:val="3"/>
        <w:rPr>
          <w:rFonts w:ascii="Times New Roman"/>
          <w:b/>
          <w:sz w:val="24"/>
          <w:szCs w:val="24"/>
        </w:rPr>
      </w:pPr>
      <w:r>
        <w:rPr>
          <w:rFonts w:ascii="Times New Roman"/>
          <w:b/>
          <w:sz w:val="24"/>
          <w:szCs w:val="24"/>
        </w:rPr>
        <w:t>5.2.4.</w:t>
      </w:r>
      <w:r>
        <w:rPr>
          <w:rFonts w:hint="eastAsia" w:ascii="Times New Roman"/>
          <w:b/>
          <w:sz w:val="24"/>
          <w:szCs w:val="24"/>
        </w:rPr>
        <w:t>4</w:t>
      </w:r>
      <w:r>
        <w:rPr>
          <w:rFonts w:ascii="Times New Roman"/>
          <w:b/>
          <w:sz w:val="24"/>
          <w:szCs w:val="24"/>
        </w:rPr>
        <w:t>声环境影响评价自查表</w:t>
      </w:r>
    </w:p>
    <w:p w14:paraId="3F9117A9">
      <w:pPr>
        <w:snapToGrid w:val="0"/>
        <w:spacing w:line="480" w:lineRule="exact"/>
        <w:ind w:firstLine="480" w:firstLineChars="200"/>
        <w:rPr>
          <w:rFonts w:ascii="Times New Roman"/>
          <w:sz w:val="24"/>
        </w:rPr>
      </w:pPr>
      <w:r>
        <w:rPr>
          <w:rFonts w:ascii="Times New Roman"/>
          <w:sz w:val="24"/>
        </w:rPr>
        <w:t>建设项目</w:t>
      </w:r>
      <w:r>
        <w:rPr>
          <w:rFonts w:hint="eastAsia" w:ascii="Times New Roman"/>
          <w:sz w:val="24"/>
        </w:rPr>
        <w:t>声</w:t>
      </w:r>
      <w:r>
        <w:rPr>
          <w:rFonts w:ascii="Times New Roman"/>
          <w:sz w:val="24"/>
        </w:rPr>
        <w:t>环境影响评价自查表见</w:t>
      </w:r>
      <w:r>
        <w:rPr>
          <w:rFonts w:hint="eastAsia" w:ascii="Times New Roman"/>
          <w:sz w:val="24"/>
        </w:rPr>
        <w:t>下表</w:t>
      </w:r>
      <w:r>
        <w:rPr>
          <w:rFonts w:ascii="Times New Roman"/>
          <w:sz w:val="24"/>
        </w:rPr>
        <w:t>。</w:t>
      </w:r>
    </w:p>
    <w:p w14:paraId="5AD540C8">
      <w:pPr>
        <w:pStyle w:val="32"/>
        <w:spacing w:before="43"/>
        <w:ind w:right="173"/>
        <w:jc w:val="center"/>
      </w:pPr>
      <w:r>
        <w:rPr>
          <w:rFonts w:ascii="Times New Roman"/>
          <w:b/>
          <w:sz w:val="24"/>
          <w:szCs w:val="24"/>
        </w:rPr>
        <w:t>表5.2</w:t>
      </w:r>
      <w:r>
        <w:rPr>
          <w:rFonts w:hint="eastAsia" w:ascii="Times New Roman"/>
          <w:b/>
          <w:sz w:val="24"/>
          <w:szCs w:val="24"/>
        </w:rPr>
        <w:t>.4</w:t>
      </w:r>
      <w:r>
        <w:rPr>
          <w:rFonts w:ascii="Times New Roman"/>
          <w:b/>
          <w:sz w:val="24"/>
          <w:szCs w:val="24"/>
        </w:rPr>
        <w:t>-</w:t>
      </w:r>
      <w:r>
        <w:rPr>
          <w:rFonts w:hint="eastAsia" w:ascii="Times New Roman"/>
          <w:b/>
          <w:sz w:val="24"/>
          <w:szCs w:val="24"/>
        </w:rPr>
        <w:t>2</w:t>
      </w:r>
      <w:r>
        <w:rPr>
          <w:rFonts w:ascii="Times New Roman"/>
          <w:b/>
          <w:sz w:val="24"/>
          <w:szCs w:val="24"/>
        </w:rPr>
        <w:t xml:space="preserve">  声环境影响评价自查表</w:t>
      </w:r>
    </w:p>
    <w:tbl>
      <w:tblPr>
        <w:tblStyle w:val="84"/>
        <w:tblW w:w="82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8"/>
        <w:gridCol w:w="1485"/>
        <w:gridCol w:w="998"/>
        <w:gridCol w:w="67"/>
        <w:gridCol w:w="585"/>
        <w:gridCol w:w="60"/>
        <w:gridCol w:w="385"/>
        <w:gridCol w:w="440"/>
        <w:gridCol w:w="420"/>
        <w:gridCol w:w="165"/>
        <w:gridCol w:w="90"/>
        <w:gridCol w:w="690"/>
        <w:gridCol w:w="690"/>
        <w:gridCol w:w="246"/>
        <w:gridCol w:w="951"/>
      </w:tblGrid>
      <w:tr w14:paraId="48D9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2503" w:type="dxa"/>
            <w:gridSpan w:val="2"/>
            <w:tcBorders>
              <w:tl2br w:val="nil"/>
              <w:tr2bl w:val="nil"/>
            </w:tcBorders>
            <w:vAlign w:val="center"/>
          </w:tcPr>
          <w:p w14:paraId="5545E922">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工作内容</w:t>
            </w:r>
          </w:p>
        </w:tc>
        <w:tc>
          <w:tcPr>
            <w:tcW w:w="5787" w:type="dxa"/>
            <w:gridSpan w:val="13"/>
            <w:tcBorders>
              <w:tl2br w:val="nil"/>
              <w:tr2bl w:val="nil"/>
            </w:tcBorders>
            <w:vAlign w:val="center"/>
          </w:tcPr>
          <w:p w14:paraId="0A9F4099">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自查项目</w:t>
            </w:r>
          </w:p>
        </w:tc>
      </w:tr>
      <w:tr w14:paraId="008A8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018" w:type="dxa"/>
            <w:vMerge w:val="restart"/>
            <w:tcBorders>
              <w:tl2br w:val="nil"/>
              <w:tr2bl w:val="nil"/>
            </w:tcBorders>
            <w:vAlign w:val="center"/>
          </w:tcPr>
          <w:p w14:paraId="02E72487">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评价等级与范围</w:t>
            </w:r>
          </w:p>
        </w:tc>
        <w:tc>
          <w:tcPr>
            <w:tcW w:w="1485" w:type="dxa"/>
            <w:tcBorders>
              <w:tl2br w:val="nil"/>
              <w:tr2bl w:val="nil"/>
            </w:tcBorders>
            <w:vAlign w:val="center"/>
          </w:tcPr>
          <w:p w14:paraId="0791580C">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评价等级</w:t>
            </w:r>
          </w:p>
        </w:tc>
        <w:tc>
          <w:tcPr>
            <w:tcW w:w="1710" w:type="dxa"/>
            <w:gridSpan w:val="4"/>
            <w:tcBorders>
              <w:tl2br w:val="nil"/>
              <w:tr2bl w:val="nil"/>
            </w:tcBorders>
            <w:vAlign w:val="center"/>
          </w:tcPr>
          <w:p w14:paraId="2261F06F">
            <w:pPr>
              <w:pStyle w:val="1979"/>
              <w:widowControl w:val="0"/>
              <w:tabs>
                <w:tab w:val="left" w:pos="2103"/>
                <w:tab w:val="left" w:pos="363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一级</w:t>
            </w:r>
            <w:r>
              <w:rPr>
                <w:rFonts w:ascii="Times New Roman" w:hAnsi="Times New Roman" w:cs="Times New Roman"/>
                <w:sz w:val="21"/>
                <w:szCs w:val="21"/>
              </w:rPr>
              <w:sym w:font="Wingdings 2" w:char="00A3"/>
            </w:r>
          </w:p>
        </w:tc>
        <w:tc>
          <w:tcPr>
            <w:tcW w:w="1500" w:type="dxa"/>
            <w:gridSpan w:val="5"/>
            <w:tcBorders>
              <w:tl2br w:val="nil"/>
              <w:tr2bl w:val="nil"/>
            </w:tcBorders>
            <w:vAlign w:val="center"/>
          </w:tcPr>
          <w:p w14:paraId="26B0F520">
            <w:pPr>
              <w:pStyle w:val="1979"/>
              <w:widowControl w:val="0"/>
              <w:tabs>
                <w:tab w:val="left" w:pos="2103"/>
                <w:tab w:val="left" w:pos="363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二级</w:t>
            </w:r>
            <w:r>
              <w:rPr>
                <w:rFonts w:ascii="Times New Roman" w:hAnsi="Times New Roman" w:cs="Times New Roman"/>
                <w:sz w:val="21"/>
                <w:szCs w:val="21"/>
              </w:rPr>
              <w:sym w:font="Wingdings 2" w:char="00A3"/>
            </w:r>
          </w:p>
        </w:tc>
        <w:tc>
          <w:tcPr>
            <w:tcW w:w="2577" w:type="dxa"/>
            <w:gridSpan w:val="4"/>
            <w:tcBorders>
              <w:tl2br w:val="nil"/>
              <w:tr2bl w:val="nil"/>
            </w:tcBorders>
            <w:vAlign w:val="center"/>
          </w:tcPr>
          <w:p w14:paraId="1DEDC0BC">
            <w:pPr>
              <w:pStyle w:val="1979"/>
              <w:widowControl w:val="0"/>
              <w:tabs>
                <w:tab w:val="left" w:pos="2103"/>
                <w:tab w:val="left" w:pos="363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三级</w:t>
            </w:r>
            <w:r>
              <w:rPr>
                <w:rFonts w:ascii="Times New Roman" w:hAnsi="Times New Roman" w:cs="Times New Roman"/>
                <w:sz w:val="21"/>
                <w:szCs w:val="21"/>
              </w:rPr>
              <w:sym w:font="Wingdings 2" w:char="0052"/>
            </w:r>
          </w:p>
        </w:tc>
      </w:tr>
      <w:tr w14:paraId="751EC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018" w:type="dxa"/>
            <w:vMerge w:val="continue"/>
            <w:tcBorders>
              <w:tl2br w:val="nil"/>
              <w:tr2bl w:val="nil"/>
            </w:tcBorders>
            <w:vAlign w:val="center"/>
          </w:tcPr>
          <w:p w14:paraId="2A02A3FD">
            <w:pPr>
              <w:autoSpaceDE w:val="0"/>
              <w:autoSpaceDN w:val="0"/>
              <w:jc w:val="center"/>
              <w:rPr>
                <w:rFonts w:ascii="Times New Roman"/>
                <w:sz w:val="21"/>
                <w:szCs w:val="21"/>
              </w:rPr>
            </w:pPr>
          </w:p>
        </w:tc>
        <w:tc>
          <w:tcPr>
            <w:tcW w:w="1485" w:type="dxa"/>
            <w:tcBorders>
              <w:tl2br w:val="nil"/>
              <w:tr2bl w:val="nil"/>
            </w:tcBorders>
            <w:vAlign w:val="center"/>
          </w:tcPr>
          <w:p w14:paraId="486E843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评价范围</w:t>
            </w:r>
          </w:p>
        </w:tc>
        <w:tc>
          <w:tcPr>
            <w:tcW w:w="1710" w:type="dxa"/>
            <w:gridSpan w:val="4"/>
            <w:tcBorders>
              <w:tl2br w:val="nil"/>
              <w:tr2bl w:val="nil"/>
            </w:tcBorders>
            <w:vAlign w:val="center"/>
          </w:tcPr>
          <w:p w14:paraId="5A107916">
            <w:pPr>
              <w:pStyle w:val="1979"/>
              <w:widowControl w:val="0"/>
              <w:tabs>
                <w:tab w:val="left" w:pos="2384"/>
                <w:tab w:val="left" w:pos="531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200m</w:t>
            </w:r>
            <w:r>
              <w:rPr>
                <w:rFonts w:ascii="Times New Roman" w:hAnsi="Times New Roman" w:cs="Times New Roman"/>
                <w:sz w:val="21"/>
                <w:szCs w:val="21"/>
              </w:rPr>
              <w:sym w:font="Wingdings 2" w:char="00A3"/>
            </w:r>
          </w:p>
        </w:tc>
        <w:tc>
          <w:tcPr>
            <w:tcW w:w="1500" w:type="dxa"/>
            <w:gridSpan w:val="5"/>
            <w:tcBorders>
              <w:tl2br w:val="nil"/>
              <w:tr2bl w:val="nil"/>
            </w:tcBorders>
            <w:vAlign w:val="center"/>
          </w:tcPr>
          <w:p w14:paraId="4D4E160A">
            <w:pPr>
              <w:pStyle w:val="1979"/>
              <w:widowControl w:val="0"/>
              <w:tabs>
                <w:tab w:val="left" w:pos="2384"/>
                <w:tab w:val="left" w:pos="531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大于200m</w:t>
            </w:r>
            <w:r>
              <w:rPr>
                <w:rFonts w:ascii="Times New Roman" w:hAnsi="Times New Roman" w:cs="Times New Roman"/>
                <w:sz w:val="21"/>
                <w:szCs w:val="21"/>
              </w:rPr>
              <w:sym w:font="Wingdings 2" w:char="00A3"/>
            </w:r>
          </w:p>
        </w:tc>
        <w:tc>
          <w:tcPr>
            <w:tcW w:w="2577" w:type="dxa"/>
            <w:gridSpan w:val="4"/>
            <w:tcBorders>
              <w:tl2br w:val="nil"/>
              <w:tr2bl w:val="nil"/>
            </w:tcBorders>
            <w:vAlign w:val="center"/>
          </w:tcPr>
          <w:p w14:paraId="3F96A6E4">
            <w:pPr>
              <w:pStyle w:val="1979"/>
              <w:widowControl w:val="0"/>
              <w:tabs>
                <w:tab w:val="left" w:pos="2384"/>
                <w:tab w:val="left" w:pos="531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小于200m</w:t>
            </w:r>
            <w:r>
              <w:rPr>
                <w:rFonts w:ascii="Times New Roman" w:hAnsi="Times New Roman" w:cs="Times New Roman"/>
                <w:sz w:val="21"/>
                <w:szCs w:val="21"/>
              </w:rPr>
              <w:sym w:font="Wingdings 2" w:char="0052"/>
            </w:r>
          </w:p>
        </w:tc>
      </w:tr>
      <w:tr w14:paraId="5253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018" w:type="dxa"/>
            <w:tcBorders>
              <w:tl2br w:val="nil"/>
              <w:tr2bl w:val="nil"/>
            </w:tcBorders>
            <w:vAlign w:val="center"/>
          </w:tcPr>
          <w:p w14:paraId="1E8573C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评价因子</w:t>
            </w:r>
          </w:p>
        </w:tc>
        <w:tc>
          <w:tcPr>
            <w:tcW w:w="1485" w:type="dxa"/>
            <w:tcBorders>
              <w:tl2br w:val="nil"/>
              <w:tr2bl w:val="nil"/>
            </w:tcBorders>
            <w:vAlign w:val="center"/>
          </w:tcPr>
          <w:p w14:paraId="3C7944F5">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评价因子</w:t>
            </w:r>
          </w:p>
        </w:tc>
        <w:tc>
          <w:tcPr>
            <w:tcW w:w="1710" w:type="dxa"/>
            <w:gridSpan w:val="4"/>
            <w:tcBorders>
              <w:tl2br w:val="nil"/>
              <w:tr2bl w:val="nil"/>
            </w:tcBorders>
            <w:vAlign w:val="center"/>
          </w:tcPr>
          <w:p w14:paraId="30FAC4E0">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等效连续A声级</w:t>
            </w:r>
            <w:r>
              <w:rPr>
                <w:rFonts w:ascii="Times New Roman" w:hAnsi="Times New Roman" w:cs="Times New Roman"/>
                <w:sz w:val="21"/>
                <w:szCs w:val="21"/>
              </w:rPr>
              <w:sym w:font="Wingdings 2" w:char="0052"/>
            </w:r>
          </w:p>
        </w:tc>
        <w:tc>
          <w:tcPr>
            <w:tcW w:w="1500" w:type="dxa"/>
            <w:gridSpan w:val="5"/>
            <w:tcBorders>
              <w:tl2br w:val="nil"/>
              <w:tr2bl w:val="nil"/>
            </w:tcBorders>
            <w:vAlign w:val="center"/>
          </w:tcPr>
          <w:p w14:paraId="278F7BAA">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最大A声级</w:t>
            </w:r>
            <w:r>
              <w:rPr>
                <w:rFonts w:ascii="Times New Roman" w:hAnsi="Times New Roman" w:cs="Times New Roman"/>
                <w:sz w:val="21"/>
                <w:szCs w:val="21"/>
              </w:rPr>
              <w:sym w:font="Wingdings 2" w:char="00A3"/>
            </w:r>
          </w:p>
        </w:tc>
        <w:tc>
          <w:tcPr>
            <w:tcW w:w="2577" w:type="dxa"/>
            <w:gridSpan w:val="4"/>
            <w:tcBorders>
              <w:tl2br w:val="nil"/>
              <w:tr2bl w:val="nil"/>
            </w:tcBorders>
            <w:vAlign w:val="center"/>
          </w:tcPr>
          <w:p w14:paraId="713D0F84">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计权等效连续感觉噪声级</w:t>
            </w:r>
            <w:r>
              <w:rPr>
                <w:rFonts w:ascii="Times New Roman" w:hAnsi="Times New Roman" w:cs="Times New Roman"/>
                <w:sz w:val="21"/>
                <w:szCs w:val="21"/>
              </w:rPr>
              <w:sym w:font="Wingdings 2" w:char="00A3"/>
            </w:r>
          </w:p>
        </w:tc>
      </w:tr>
      <w:tr w14:paraId="316AB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18" w:type="dxa"/>
            <w:tcBorders>
              <w:tl2br w:val="nil"/>
              <w:tr2bl w:val="nil"/>
            </w:tcBorders>
            <w:vAlign w:val="center"/>
          </w:tcPr>
          <w:p w14:paraId="014CBE2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1485" w:type="dxa"/>
            <w:tcBorders>
              <w:tl2br w:val="nil"/>
              <w:tr2bl w:val="nil"/>
            </w:tcBorders>
            <w:vAlign w:val="center"/>
          </w:tcPr>
          <w:p w14:paraId="702CF351">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1710" w:type="dxa"/>
            <w:gridSpan w:val="4"/>
            <w:tcBorders>
              <w:tl2br w:val="nil"/>
              <w:tr2bl w:val="nil"/>
            </w:tcBorders>
            <w:vAlign w:val="center"/>
          </w:tcPr>
          <w:p w14:paraId="5478F2F5">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国家标准</w:t>
            </w:r>
            <w:r>
              <w:rPr>
                <w:rFonts w:ascii="Times New Roman" w:hAnsi="Times New Roman" w:cs="Times New Roman"/>
                <w:sz w:val="21"/>
                <w:szCs w:val="21"/>
              </w:rPr>
              <w:sym w:font="Wingdings 2" w:char="0052"/>
            </w:r>
          </w:p>
        </w:tc>
        <w:tc>
          <w:tcPr>
            <w:tcW w:w="1500" w:type="dxa"/>
            <w:gridSpan w:val="5"/>
            <w:tcBorders>
              <w:tl2br w:val="nil"/>
              <w:tr2bl w:val="nil"/>
            </w:tcBorders>
            <w:vAlign w:val="center"/>
          </w:tcPr>
          <w:p w14:paraId="77E81094">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地方标准</w:t>
            </w:r>
            <w:r>
              <w:rPr>
                <w:rFonts w:ascii="Times New Roman" w:hAnsi="Times New Roman" w:cs="Times New Roman"/>
                <w:sz w:val="21"/>
                <w:szCs w:val="21"/>
              </w:rPr>
              <w:sym w:font="Wingdings 2" w:char="00A3"/>
            </w:r>
          </w:p>
        </w:tc>
        <w:tc>
          <w:tcPr>
            <w:tcW w:w="2577" w:type="dxa"/>
            <w:gridSpan w:val="4"/>
            <w:tcBorders>
              <w:tl2br w:val="nil"/>
              <w:tr2bl w:val="nil"/>
            </w:tcBorders>
            <w:vAlign w:val="center"/>
          </w:tcPr>
          <w:p w14:paraId="18086D2B">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国外标准</w:t>
            </w:r>
            <w:r>
              <w:rPr>
                <w:rFonts w:ascii="Times New Roman" w:hAnsi="Times New Roman" w:cs="Times New Roman"/>
                <w:sz w:val="21"/>
                <w:szCs w:val="21"/>
              </w:rPr>
              <w:sym w:font="Wingdings 2" w:char="00A3"/>
            </w:r>
          </w:p>
        </w:tc>
      </w:tr>
      <w:tr w14:paraId="78CA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018" w:type="dxa"/>
            <w:vMerge w:val="restart"/>
            <w:tcBorders>
              <w:tl2br w:val="nil"/>
              <w:tr2bl w:val="nil"/>
            </w:tcBorders>
            <w:vAlign w:val="center"/>
          </w:tcPr>
          <w:p w14:paraId="7E279CE0">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现状评价</w:t>
            </w:r>
          </w:p>
        </w:tc>
        <w:tc>
          <w:tcPr>
            <w:tcW w:w="1485" w:type="dxa"/>
            <w:tcBorders>
              <w:tl2br w:val="nil"/>
              <w:tr2bl w:val="nil"/>
            </w:tcBorders>
            <w:vAlign w:val="center"/>
          </w:tcPr>
          <w:p w14:paraId="17E7726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环境功能区</w:t>
            </w:r>
          </w:p>
        </w:tc>
        <w:tc>
          <w:tcPr>
            <w:tcW w:w="998" w:type="dxa"/>
            <w:tcBorders>
              <w:tl2br w:val="nil"/>
              <w:tr2bl w:val="nil"/>
            </w:tcBorders>
            <w:vAlign w:val="center"/>
          </w:tcPr>
          <w:p w14:paraId="49CF7F9A">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0类区</w:t>
            </w:r>
            <w:r>
              <w:rPr>
                <w:rFonts w:ascii="Times New Roman" w:hAnsi="Times New Roman" w:cs="Times New Roman"/>
                <w:sz w:val="21"/>
                <w:szCs w:val="21"/>
              </w:rPr>
              <w:sym w:font="Wingdings 2" w:char="00A3"/>
            </w:r>
          </w:p>
        </w:tc>
        <w:tc>
          <w:tcPr>
            <w:tcW w:w="1097" w:type="dxa"/>
            <w:gridSpan w:val="4"/>
            <w:tcBorders>
              <w:tl2br w:val="nil"/>
              <w:tr2bl w:val="nil"/>
            </w:tcBorders>
            <w:vAlign w:val="center"/>
          </w:tcPr>
          <w:p w14:paraId="25265D15">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1类区</w:t>
            </w:r>
            <w:r>
              <w:rPr>
                <w:rFonts w:ascii="Times New Roman" w:hAnsi="Times New Roman" w:cs="Times New Roman"/>
                <w:sz w:val="21"/>
                <w:szCs w:val="21"/>
              </w:rPr>
              <w:sym w:font="Wingdings 2" w:char="00A3"/>
            </w:r>
          </w:p>
        </w:tc>
        <w:tc>
          <w:tcPr>
            <w:tcW w:w="860" w:type="dxa"/>
            <w:gridSpan w:val="2"/>
            <w:tcBorders>
              <w:tl2br w:val="nil"/>
              <w:tr2bl w:val="nil"/>
            </w:tcBorders>
            <w:vAlign w:val="center"/>
          </w:tcPr>
          <w:p w14:paraId="2B2840A7">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2类区</w:t>
            </w:r>
            <w:r>
              <w:rPr>
                <w:rFonts w:ascii="Times New Roman" w:hAnsi="Times New Roman" w:cs="Times New Roman"/>
                <w:sz w:val="21"/>
                <w:szCs w:val="21"/>
              </w:rPr>
              <w:sym w:font="Wingdings 2" w:char="00A3"/>
            </w:r>
          </w:p>
        </w:tc>
        <w:tc>
          <w:tcPr>
            <w:tcW w:w="945" w:type="dxa"/>
            <w:gridSpan w:val="3"/>
            <w:tcBorders>
              <w:tl2br w:val="nil"/>
              <w:tr2bl w:val="nil"/>
            </w:tcBorders>
            <w:vAlign w:val="center"/>
          </w:tcPr>
          <w:p w14:paraId="773C55CB">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3类区</w:t>
            </w:r>
            <w:r>
              <w:rPr>
                <w:rFonts w:ascii="Times New Roman" w:hAnsi="Times New Roman" w:cs="Times New Roman"/>
                <w:sz w:val="21"/>
                <w:szCs w:val="21"/>
              </w:rPr>
              <w:sym w:font="Wingdings 2" w:char="0052"/>
            </w:r>
          </w:p>
        </w:tc>
        <w:tc>
          <w:tcPr>
            <w:tcW w:w="936" w:type="dxa"/>
            <w:gridSpan w:val="2"/>
            <w:tcBorders>
              <w:tl2br w:val="nil"/>
              <w:tr2bl w:val="nil"/>
            </w:tcBorders>
            <w:vAlign w:val="center"/>
          </w:tcPr>
          <w:p w14:paraId="238817FC">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4a类区</w:t>
            </w:r>
            <w:r>
              <w:rPr>
                <w:rFonts w:ascii="Times New Roman" w:hAnsi="Times New Roman" w:cs="Times New Roman"/>
                <w:sz w:val="21"/>
                <w:szCs w:val="21"/>
              </w:rPr>
              <w:sym w:font="Wingdings 2" w:char="00A3"/>
            </w:r>
          </w:p>
        </w:tc>
        <w:tc>
          <w:tcPr>
            <w:tcW w:w="951" w:type="dxa"/>
            <w:tcBorders>
              <w:tl2br w:val="nil"/>
              <w:tr2bl w:val="nil"/>
            </w:tcBorders>
            <w:vAlign w:val="center"/>
          </w:tcPr>
          <w:p w14:paraId="583AF896">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4b类区</w:t>
            </w:r>
            <w:r>
              <w:rPr>
                <w:rFonts w:ascii="Times New Roman" w:hAnsi="Times New Roman" w:cs="Times New Roman"/>
                <w:sz w:val="21"/>
                <w:szCs w:val="21"/>
              </w:rPr>
              <w:sym w:font="Wingdings 2" w:char="00A3"/>
            </w:r>
          </w:p>
        </w:tc>
      </w:tr>
      <w:tr w14:paraId="294E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1018" w:type="dxa"/>
            <w:vMerge w:val="continue"/>
            <w:tcBorders>
              <w:tl2br w:val="nil"/>
              <w:tr2bl w:val="nil"/>
            </w:tcBorders>
            <w:vAlign w:val="center"/>
          </w:tcPr>
          <w:p w14:paraId="47B29009">
            <w:pPr>
              <w:autoSpaceDE w:val="0"/>
              <w:autoSpaceDN w:val="0"/>
              <w:jc w:val="center"/>
              <w:rPr>
                <w:rFonts w:ascii="Times New Roman"/>
                <w:sz w:val="21"/>
                <w:szCs w:val="21"/>
              </w:rPr>
            </w:pPr>
          </w:p>
        </w:tc>
        <w:tc>
          <w:tcPr>
            <w:tcW w:w="1485" w:type="dxa"/>
            <w:tcBorders>
              <w:tl2br w:val="nil"/>
              <w:tr2bl w:val="nil"/>
            </w:tcBorders>
            <w:vAlign w:val="center"/>
          </w:tcPr>
          <w:p w14:paraId="5E336DA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评价年度</w:t>
            </w:r>
          </w:p>
        </w:tc>
        <w:tc>
          <w:tcPr>
            <w:tcW w:w="1710" w:type="dxa"/>
            <w:gridSpan w:val="4"/>
            <w:tcBorders>
              <w:tl2br w:val="nil"/>
              <w:tr2bl w:val="nil"/>
            </w:tcBorders>
            <w:vAlign w:val="center"/>
          </w:tcPr>
          <w:p w14:paraId="3156DF6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初期</w:t>
            </w:r>
            <w:r>
              <w:rPr>
                <w:rFonts w:ascii="Times New Roman" w:hAnsi="Times New Roman" w:cs="Times New Roman"/>
                <w:sz w:val="21"/>
                <w:szCs w:val="21"/>
              </w:rPr>
              <w:sym w:font="Wingdings 2" w:char="00A3"/>
            </w:r>
          </w:p>
        </w:tc>
        <w:tc>
          <w:tcPr>
            <w:tcW w:w="1245" w:type="dxa"/>
            <w:gridSpan w:val="3"/>
            <w:tcBorders>
              <w:tl2br w:val="nil"/>
              <w:tr2bl w:val="nil"/>
            </w:tcBorders>
            <w:vAlign w:val="center"/>
          </w:tcPr>
          <w:p w14:paraId="026306A3">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近期</w:t>
            </w:r>
            <w:r>
              <w:rPr>
                <w:rFonts w:ascii="Times New Roman" w:hAnsi="Times New Roman" w:cs="Times New Roman"/>
                <w:sz w:val="21"/>
                <w:szCs w:val="21"/>
              </w:rPr>
              <w:sym w:font="Wingdings 2" w:char="0052"/>
            </w:r>
          </w:p>
        </w:tc>
        <w:tc>
          <w:tcPr>
            <w:tcW w:w="1881" w:type="dxa"/>
            <w:gridSpan w:val="5"/>
            <w:tcBorders>
              <w:tl2br w:val="nil"/>
              <w:tr2bl w:val="nil"/>
            </w:tcBorders>
            <w:vAlign w:val="center"/>
          </w:tcPr>
          <w:p w14:paraId="2CE1A696">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中期</w:t>
            </w:r>
            <w:r>
              <w:rPr>
                <w:rFonts w:ascii="Times New Roman" w:hAnsi="Times New Roman" w:cs="Times New Roman"/>
                <w:sz w:val="21"/>
                <w:szCs w:val="21"/>
              </w:rPr>
              <w:sym w:font="Wingdings 2" w:char="00A3"/>
            </w:r>
          </w:p>
        </w:tc>
        <w:tc>
          <w:tcPr>
            <w:tcW w:w="951" w:type="dxa"/>
            <w:tcBorders>
              <w:tl2br w:val="nil"/>
              <w:tr2bl w:val="nil"/>
            </w:tcBorders>
            <w:vAlign w:val="center"/>
          </w:tcPr>
          <w:p w14:paraId="64C09401">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远期</w:t>
            </w:r>
            <w:r>
              <w:rPr>
                <w:rFonts w:ascii="Times New Roman" w:hAnsi="Times New Roman" w:cs="Times New Roman"/>
                <w:sz w:val="21"/>
                <w:szCs w:val="21"/>
              </w:rPr>
              <w:sym w:font="Wingdings 2" w:char="00A3"/>
            </w:r>
          </w:p>
        </w:tc>
      </w:tr>
      <w:tr w14:paraId="7CF30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018" w:type="dxa"/>
            <w:vMerge w:val="continue"/>
            <w:tcBorders>
              <w:tl2br w:val="nil"/>
              <w:tr2bl w:val="nil"/>
            </w:tcBorders>
            <w:vAlign w:val="center"/>
          </w:tcPr>
          <w:p w14:paraId="6E8F50C9">
            <w:pPr>
              <w:autoSpaceDE w:val="0"/>
              <w:autoSpaceDN w:val="0"/>
              <w:jc w:val="center"/>
              <w:rPr>
                <w:rFonts w:ascii="Times New Roman"/>
                <w:sz w:val="21"/>
                <w:szCs w:val="21"/>
              </w:rPr>
            </w:pPr>
          </w:p>
        </w:tc>
        <w:tc>
          <w:tcPr>
            <w:tcW w:w="1485" w:type="dxa"/>
            <w:tcBorders>
              <w:tl2br w:val="nil"/>
              <w:tr2bl w:val="nil"/>
            </w:tcBorders>
            <w:vAlign w:val="center"/>
          </w:tcPr>
          <w:p w14:paraId="12D40813">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现状调查方法</w:t>
            </w:r>
          </w:p>
        </w:tc>
        <w:tc>
          <w:tcPr>
            <w:tcW w:w="1710" w:type="dxa"/>
            <w:gridSpan w:val="4"/>
            <w:tcBorders>
              <w:tl2br w:val="nil"/>
              <w:tr2bl w:val="nil"/>
            </w:tcBorders>
            <w:vAlign w:val="center"/>
          </w:tcPr>
          <w:p w14:paraId="6AAA0854">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现场实测法</w:t>
            </w:r>
            <w:r>
              <w:rPr>
                <w:rFonts w:ascii="Times New Roman" w:hAnsi="Times New Roman" w:cs="Times New Roman"/>
                <w:sz w:val="21"/>
                <w:szCs w:val="21"/>
              </w:rPr>
              <w:sym w:font="Wingdings 2" w:char="0052"/>
            </w:r>
          </w:p>
        </w:tc>
        <w:tc>
          <w:tcPr>
            <w:tcW w:w="2880" w:type="dxa"/>
            <w:gridSpan w:val="7"/>
            <w:tcBorders>
              <w:tl2br w:val="nil"/>
              <w:tr2bl w:val="nil"/>
            </w:tcBorders>
            <w:vAlign w:val="center"/>
          </w:tcPr>
          <w:p w14:paraId="7CEA43BC">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现场实测加模型计算法</w:t>
            </w:r>
            <w:r>
              <w:rPr>
                <w:rFonts w:ascii="Times New Roman" w:hAnsi="Times New Roman" w:cs="Times New Roman"/>
                <w:sz w:val="21"/>
                <w:szCs w:val="21"/>
              </w:rPr>
              <w:sym w:font="Wingdings 2" w:char="00A3"/>
            </w:r>
          </w:p>
        </w:tc>
        <w:tc>
          <w:tcPr>
            <w:tcW w:w="1197" w:type="dxa"/>
            <w:gridSpan w:val="2"/>
            <w:tcBorders>
              <w:tl2br w:val="nil"/>
              <w:tr2bl w:val="nil"/>
            </w:tcBorders>
            <w:vAlign w:val="center"/>
          </w:tcPr>
          <w:p w14:paraId="1C833D33">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收集资料</w:t>
            </w:r>
            <w:r>
              <w:rPr>
                <w:rFonts w:ascii="Times New Roman" w:hAnsi="Times New Roman" w:cs="Times New Roman"/>
                <w:sz w:val="21"/>
                <w:szCs w:val="21"/>
              </w:rPr>
              <w:sym w:font="Wingdings 2" w:char="00A3"/>
            </w:r>
          </w:p>
        </w:tc>
      </w:tr>
      <w:tr w14:paraId="298D4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1018" w:type="dxa"/>
            <w:vMerge w:val="continue"/>
            <w:tcBorders>
              <w:tl2br w:val="nil"/>
              <w:tr2bl w:val="nil"/>
            </w:tcBorders>
            <w:vAlign w:val="center"/>
          </w:tcPr>
          <w:p w14:paraId="46B2AC52">
            <w:pPr>
              <w:autoSpaceDE w:val="0"/>
              <w:autoSpaceDN w:val="0"/>
              <w:jc w:val="center"/>
              <w:rPr>
                <w:rFonts w:ascii="Times New Roman"/>
                <w:sz w:val="21"/>
                <w:szCs w:val="21"/>
              </w:rPr>
            </w:pPr>
          </w:p>
        </w:tc>
        <w:tc>
          <w:tcPr>
            <w:tcW w:w="1485" w:type="dxa"/>
            <w:tcBorders>
              <w:tl2br w:val="nil"/>
              <w:tr2bl w:val="nil"/>
            </w:tcBorders>
            <w:vAlign w:val="center"/>
          </w:tcPr>
          <w:p w14:paraId="1CA7C4C6">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现状评价</w:t>
            </w:r>
          </w:p>
        </w:tc>
        <w:tc>
          <w:tcPr>
            <w:tcW w:w="2095" w:type="dxa"/>
            <w:gridSpan w:val="5"/>
            <w:tcBorders>
              <w:tl2br w:val="nil"/>
              <w:tr2bl w:val="nil"/>
            </w:tcBorders>
            <w:vAlign w:val="center"/>
          </w:tcPr>
          <w:p w14:paraId="41A8CB0A">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达标百分比</w:t>
            </w:r>
          </w:p>
        </w:tc>
        <w:tc>
          <w:tcPr>
            <w:tcW w:w="3692" w:type="dxa"/>
            <w:gridSpan w:val="8"/>
            <w:tcBorders>
              <w:tl2br w:val="nil"/>
              <w:tr2bl w:val="nil"/>
            </w:tcBorders>
            <w:vAlign w:val="center"/>
          </w:tcPr>
          <w:p w14:paraId="22F51F6E">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100%</w:t>
            </w:r>
          </w:p>
        </w:tc>
      </w:tr>
      <w:tr w14:paraId="463C9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018" w:type="dxa"/>
            <w:tcBorders>
              <w:tl2br w:val="nil"/>
              <w:tr2bl w:val="nil"/>
            </w:tcBorders>
            <w:vAlign w:val="center"/>
          </w:tcPr>
          <w:p w14:paraId="7BCCC1C8">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噪声源调查</w:t>
            </w:r>
          </w:p>
        </w:tc>
        <w:tc>
          <w:tcPr>
            <w:tcW w:w="1485" w:type="dxa"/>
            <w:tcBorders>
              <w:tl2br w:val="nil"/>
              <w:tr2bl w:val="nil"/>
            </w:tcBorders>
            <w:vAlign w:val="center"/>
          </w:tcPr>
          <w:p w14:paraId="04B3C816">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噪声源调查方法</w:t>
            </w:r>
          </w:p>
        </w:tc>
        <w:tc>
          <w:tcPr>
            <w:tcW w:w="2095" w:type="dxa"/>
            <w:gridSpan w:val="5"/>
            <w:tcBorders>
              <w:tl2br w:val="nil"/>
              <w:tr2bl w:val="nil"/>
            </w:tcBorders>
            <w:vAlign w:val="center"/>
          </w:tcPr>
          <w:p w14:paraId="6D69E8D3">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现场实测</w:t>
            </w:r>
            <w:r>
              <w:rPr>
                <w:rFonts w:ascii="Times New Roman" w:hAnsi="Times New Roman" w:cs="Times New Roman"/>
                <w:sz w:val="21"/>
                <w:szCs w:val="21"/>
              </w:rPr>
              <w:sym w:font="Wingdings 2" w:char="00A3"/>
            </w:r>
          </w:p>
        </w:tc>
        <w:tc>
          <w:tcPr>
            <w:tcW w:w="1805" w:type="dxa"/>
            <w:gridSpan w:val="5"/>
            <w:tcBorders>
              <w:tl2br w:val="nil"/>
              <w:tr2bl w:val="nil"/>
            </w:tcBorders>
            <w:vAlign w:val="center"/>
          </w:tcPr>
          <w:p w14:paraId="0B024E65">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已有资料</w:t>
            </w:r>
            <w:r>
              <w:rPr>
                <w:rFonts w:ascii="Times New Roman" w:hAnsi="Times New Roman" w:cs="Times New Roman"/>
                <w:sz w:val="21"/>
                <w:szCs w:val="21"/>
              </w:rPr>
              <w:sym w:font="Wingdings 2" w:char="0052"/>
            </w:r>
          </w:p>
        </w:tc>
        <w:tc>
          <w:tcPr>
            <w:tcW w:w="1887" w:type="dxa"/>
            <w:gridSpan w:val="3"/>
            <w:tcBorders>
              <w:tl2br w:val="nil"/>
              <w:tr2bl w:val="nil"/>
            </w:tcBorders>
            <w:vAlign w:val="center"/>
          </w:tcPr>
          <w:p w14:paraId="58C1283A">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研究成果</w:t>
            </w:r>
            <w:r>
              <w:rPr>
                <w:rFonts w:ascii="Times New Roman" w:hAnsi="Times New Roman" w:cs="Times New Roman"/>
                <w:sz w:val="21"/>
                <w:szCs w:val="21"/>
              </w:rPr>
              <w:sym w:font="Wingdings 2" w:char="00A3"/>
            </w:r>
          </w:p>
        </w:tc>
      </w:tr>
      <w:tr w14:paraId="716B3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018" w:type="dxa"/>
            <w:vMerge w:val="restart"/>
            <w:tcBorders>
              <w:tl2br w:val="nil"/>
              <w:tr2bl w:val="nil"/>
            </w:tcBorders>
            <w:vAlign w:val="center"/>
          </w:tcPr>
          <w:p w14:paraId="33620C6C">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声环境影响预测与评价</w:t>
            </w:r>
          </w:p>
        </w:tc>
        <w:tc>
          <w:tcPr>
            <w:tcW w:w="1485" w:type="dxa"/>
            <w:tcBorders>
              <w:tl2br w:val="nil"/>
              <w:tr2bl w:val="nil"/>
            </w:tcBorders>
            <w:vAlign w:val="center"/>
          </w:tcPr>
          <w:p w14:paraId="0D784F03">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预测模型</w:t>
            </w:r>
          </w:p>
        </w:tc>
        <w:tc>
          <w:tcPr>
            <w:tcW w:w="2095" w:type="dxa"/>
            <w:gridSpan w:val="5"/>
            <w:tcBorders>
              <w:tl2br w:val="nil"/>
              <w:tr2bl w:val="nil"/>
            </w:tcBorders>
            <w:vAlign w:val="center"/>
          </w:tcPr>
          <w:p w14:paraId="6F26F99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导则推荐模型</w:t>
            </w:r>
            <w:r>
              <w:rPr>
                <w:rFonts w:ascii="Times New Roman" w:hAnsi="Times New Roman" w:cs="Times New Roman"/>
                <w:sz w:val="21"/>
                <w:szCs w:val="21"/>
              </w:rPr>
              <w:sym w:font="Wingdings 2" w:char="0052"/>
            </w:r>
          </w:p>
        </w:tc>
        <w:tc>
          <w:tcPr>
            <w:tcW w:w="3692" w:type="dxa"/>
            <w:gridSpan w:val="8"/>
            <w:tcBorders>
              <w:tl2br w:val="nil"/>
              <w:tr2bl w:val="nil"/>
            </w:tcBorders>
            <w:vAlign w:val="center"/>
          </w:tcPr>
          <w:p w14:paraId="03C0DC00">
            <w:pPr>
              <w:pStyle w:val="1979"/>
              <w:widowControl w:val="0"/>
              <w:tabs>
                <w:tab w:val="left" w:pos="1633"/>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其他</w:t>
            </w:r>
            <w:r>
              <w:rPr>
                <w:rFonts w:ascii="Times New Roman" w:hAnsi="Times New Roman" w:cs="Times New Roman"/>
                <w:sz w:val="21"/>
                <w:szCs w:val="21"/>
              </w:rPr>
              <w:sym w:font="Wingdings 2" w:char="00A3"/>
            </w:r>
          </w:p>
        </w:tc>
      </w:tr>
      <w:tr w14:paraId="65C70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1018" w:type="dxa"/>
            <w:vMerge w:val="continue"/>
            <w:tcBorders>
              <w:tl2br w:val="nil"/>
              <w:tr2bl w:val="nil"/>
            </w:tcBorders>
            <w:vAlign w:val="center"/>
          </w:tcPr>
          <w:p w14:paraId="2F32FD47">
            <w:pPr>
              <w:autoSpaceDE w:val="0"/>
              <w:autoSpaceDN w:val="0"/>
              <w:jc w:val="center"/>
              <w:rPr>
                <w:rFonts w:ascii="Times New Roman"/>
                <w:sz w:val="21"/>
                <w:szCs w:val="21"/>
              </w:rPr>
            </w:pPr>
          </w:p>
        </w:tc>
        <w:tc>
          <w:tcPr>
            <w:tcW w:w="1485" w:type="dxa"/>
            <w:tcBorders>
              <w:tl2br w:val="nil"/>
              <w:tr2bl w:val="nil"/>
            </w:tcBorders>
            <w:vAlign w:val="center"/>
          </w:tcPr>
          <w:p w14:paraId="5D5C2C00">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预测范围</w:t>
            </w:r>
          </w:p>
        </w:tc>
        <w:tc>
          <w:tcPr>
            <w:tcW w:w="2095" w:type="dxa"/>
            <w:gridSpan w:val="5"/>
            <w:tcBorders>
              <w:tl2br w:val="nil"/>
              <w:tr2bl w:val="nil"/>
            </w:tcBorders>
            <w:vAlign w:val="center"/>
          </w:tcPr>
          <w:p w14:paraId="5A1AFCEC">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200m</w:t>
            </w:r>
            <w:r>
              <w:rPr>
                <w:rFonts w:ascii="Times New Roman" w:hAnsi="Times New Roman" w:cs="Times New Roman"/>
                <w:sz w:val="21"/>
                <w:szCs w:val="21"/>
              </w:rPr>
              <w:sym w:font="Wingdings 2" w:char="00A3"/>
            </w:r>
          </w:p>
        </w:tc>
        <w:tc>
          <w:tcPr>
            <w:tcW w:w="1805" w:type="dxa"/>
            <w:gridSpan w:val="5"/>
            <w:tcBorders>
              <w:tl2br w:val="nil"/>
              <w:tr2bl w:val="nil"/>
            </w:tcBorders>
            <w:vAlign w:val="center"/>
          </w:tcPr>
          <w:p w14:paraId="74C6320D">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大于200m</w:t>
            </w:r>
            <w:r>
              <w:rPr>
                <w:rFonts w:ascii="Times New Roman" w:hAnsi="Times New Roman" w:cs="Times New Roman"/>
                <w:sz w:val="21"/>
                <w:szCs w:val="21"/>
              </w:rPr>
              <w:sym w:font="Wingdings 2" w:char="00A3"/>
            </w:r>
          </w:p>
        </w:tc>
        <w:tc>
          <w:tcPr>
            <w:tcW w:w="1887" w:type="dxa"/>
            <w:gridSpan w:val="3"/>
            <w:tcBorders>
              <w:tl2br w:val="nil"/>
              <w:tr2bl w:val="nil"/>
            </w:tcBorders>
            <w:vAlign w:val="center"/>
          </w:tcPr>
          <w:p w14:paraId="1937FA5C">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小于200m</w:t>
            </w:r>
            <w:r>
              <w:rPr>
                <w:rFonts w:ascii="Times New Roman" w:hAnsi="Times New Roman" w:cs="Times New Roman"/>
                <w:sz w:val="21"/>
                <w:szCs w:val="21"/>
              </w:rPr>
              <w:sym w:font="Wingdings 2" w:char="0052"/>
            </w:r>
          </w:p>
        </w:tc>
      </w:tr>
      <w:tr w14:paraId="31FDE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1018" w:type="dxa"/>
            <w:vMerge w:val="continue"/>
            <w:tcBorders>
              <w:tl2br w:val="nil"/>
              <w:tr2bl w:val="nil"/>
            </w:tcBorders>
            <w:vAlign w:val="center"/>
          </w:tcPr>
          <w:p w14:paraId="5A28B7C2">
            <w:pPr>
              <w:autoSpaceDE w:val="0"/>
              <w:autoSpaceDN w:val="0"/>
              <w:jc w:val="center"/>
              <w:rPr>
                <w:rFonts w:ascii="Times New Roman"/>
                <w:sz w:val="21"/>
                <w:szCs w:val="21"/>
              </w:rPr>
            </w:pPr>
          </w:p>
        </w:tc>
        <w:tc>
          <w:tcPr>
            <w:tcW w:w="1485" w:type="dxa"/>
            <w:tcBorders>
              <w:tl2br w:val="nil"/>
              <w:tr2bl w:val="nil"/>
            </w:tcBorders>
            <w:vAlign w:val="center"/>
          </w:tcPr>
          <w:p w14:paraId="6331BE37">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预测因子</w:t>
            </w:r>
          </w:p>
        </w:tc>
        <w:tc>
          <w:tcPr>
            <w:tcW w:w="1650" w:type="dxa"/>
            <w:gridSpan w:val="3"/>
            <w:tcBorders>
              <w:tl2br w:val="nil"/>
              <w:tr2bl w:val="nil"/>
            </w:tcBorders>
            <w:vAlign w:val="center"/>
          </w:tcPr>
          <w:p w14:paraId="27DAC5B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等效连续A声级</w:t>
            </w:r>
            <w:r>
              <w:rPr>
                <w:rFonts w:ascii="Times New Roman" w:hAnsi="Times New Roman" w:cs="Times New Roman"/>
                <w:sz w:val="21"/>
                <w:szCs w:val="21"/>
              </w:rPr>
              <w:sym w:font="Wingdings 2" w:char="0052"/>
            </w:r>
          </w:p>
        </w:tc>
        <w:tc>
          <w:tcPr>
            <w:tcW w:w="1470" w:type="dxa"/>
            <w:gridSpan w:val="5"/>
            <w:tcBorders>
              <w:tl2br w:val="nil"/>
              <w:tr2bl w:val="nil"/>
            </w:tcBorders>
            <w:vAlign w:val="center"/>
          </w:tcPr>
          <w:p w14:paraId="513EA38B">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最大A声级</w:t>
            </w:r>
            <w:r>
              <w:rPr>
                <w:rFonts w:ascii="Times New Roman" w:hAnsi="Times New Roman" w:cs="Times New Roman"/>
                <w:sz w:val="21"/>
                <w:szCs w:val="21"/>
              </w:rPr>
              <w:sym w:font="Wingdings 2" w:char="00A3"/>
            </w:r>
          </w:p>
        </w:tc>
        <w:tc>
          <w:tcPr>
            <w:tcW w:w="2667" w:type="dxa"/>
            <w:gridSpan w:val="5"/>
            <w:tcBorders>
              <w:tl2br w:val="nil"/>
              <w:tr2bl w:val="nil"/>
            </w:tcBorders>
            <w:vAlign w:val="center"/>
          </w:tcPr>
          <w:p w14:paraId="06A97154">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计权等效连续感觉噪声级</w:t>
            </w:r>
            <w:r>
              <w:rPr>
                <w:rFonts w:ascii="Times New Roman" w:hAnsi="Times New Roman" w:cs="Times New Roman"/>
                <w:sz w:val="21"/>
                <w:szCs w:val="21"/>
              </w:rPr>
              <w:sym w:font="Wingdings 2" w:char="00A3"/>
            </w:r>
          </w:p>
        </w:tc>
      </w:tr>
      <w:tr w14:paraId="2C02A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018" w:type="dxa"/>
            <w:vMerge w:val="continue"/>
            <w:tcBorders>
              <w:tl2br w:val="nil"/>
              <w:tr2bl w:val="nil"/>
            </w:tcBorders>
            <w:vAlign w:val="center"/>
          </w:tcPr>
          <w:p w14:paraId="3A82B45C">
            <w:pPr>
              <w:autoSpaceDE w:val="0"/>
              <w:autoSpaceDN w:val="0"/>
              <w:jc w:val="center"/>
              <w:rPr>
                <w:rFonts w:ascii="Times New Roman"/>
                <w:sz w:val="21"/>
                <w:szCs w:val="21"/>
              </w:rPr>
            </w:pPr>
          </w:p>
        </w:tc>
        <w:tc>
          <w:tcPr>
            <w:tcW w:w="1485" w:type="dxa"/>
            <w:tcBorders>
              <w:tl2br w:val="nil"/>
              <w:tr2bl w:val="nil"/>
            </w:tcBorders>
            <w:vAlign w:val="center"/>
          </w:tcPr>
          <w:p w14:paraId="3A75532F">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厂界噪声贡献值</w:t>
            </w:r>
          </w:p>
        </w:tc>
        <w:tc>
          <w:tcPr>
            <w:tcW w:w="2095" w:type="dxa"/>
            <w:gridSpan w:val="5"/>
            <w:tcBorders>
              <w:tl2br w:val="nil"/>
              <w:tr2bl w:val="nil"/>
            </w:tcBorders>
            <w:vAlign w:val="center"/>
          </w:tcPr>
          <w:p w14:paraId="1E7F51D4">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达标</w:t>
            </w:r>
            <w:r>
              <w:rPr>
                <w:rFonts w:ascii="Times New Roman" w:hAnsi="Times New Roman" w:cs="Times New Roman"/>
                <w:sz w:val="21"/>
                <w:szCs w:val="21"/>
              </w:rPr>
              <w:sym w:font="Wingdings 2" w:char="0052"/>
            </w:r>
          </w:p>
        </w:tc>
        <w:tc>
          <w:tcPr>
            <w:tcW w:w="3692" w:type="dxa"/>
            <w:gridSpan w:val="8"/>
            <w:tcBorders>
              <w:tl2br w:val="nil"/>
              <w:tr2bl w:val="nil"/>
            </w:tcBorders>
            <w:vAlign w:val="center"/>
          </w:tcPr>
          <w:p w14:paraId="7D64935D">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不达标</w:t>
            </w:r>
            <w:r>
              <w:rPr>
                <w:rFonts w:ascii="Times New Roman" w:hAnsi="Times New Roman" w:cs="Times New Roman"/>
                <w:sz w:val="21"/>
                <w:szCs w:val="21"/>
              </w:rPr>
              <w:sym w:font="Wingdings 2" w:char="00A3"/>
            </w:r>
          </w:p>
        </w:tc>
      </w:tr>
      <w:tr w14:paraId="30FA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1018" w:type="dxa"/>
            <w:vMerge w:val="continue"/>
            <w:tcBorders>
              <w:tl2br w:val="nil"/>
              <w:tr2bl w:val="nil"/>
            </w:tcBorders>
            <w:vAlign w:val="center"/>
          </w:tcPr>
          <w:p w14:paraId="29057F72">
            <w:pPr>
              <w:autoSpaceDE w:val="0"/>
              <w:autoSpaceDN w:val="0"/>
              <w:jc w:val="center"/>
              <w:rPr>
                <w:rFonts w:ascii="Times New Roman"/>
                <w:sz w:val="21"/>
                <w:szCs w:val="21"/>
              </w:rPr>
            </w:pPr>
          </w:p>
        </w:tc>
        <w:tc>
          <w:tcPr>
            <w:tcW w:w="1485" w:type="dxa"/>
            <w:tcBorders>
              <w:tl2br w:val="nil"/>
              <w:tr2bl w:val="nil"/>
            </w:tcBorders>
            <w:vAlign w:val="center"/>
          </w:tcPr>
          <w:p w14:paraId="7CBF713B">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声环境保护目标处噪声值</w:t>
            </w:r>
          </w:p>
        </w:tc>
        <w:tc>
          <w:tcPr>
            <w:tcW w:w="2095" w:type="dxa"/>
            <w:gridSpan w:val="5"/>
            <w:tcBorders>
              <w:tl2br w:val="nil"/>
              <w:tr2bl w:val="nil"/>
            </w:tcBorders>
            <w:vAlign w:val="center"/>
          </w:tcPr>
          <w:p w14:paraId="5D6CE927">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达标</w:t>
            </w:r>
            <w:r>
              <w:rPr>
                <w:rFonts w:ascii="Times New Roman" w:hAnsi="Times New Roman" w:cs="Times New Roman"/>
                <w:sz w:val="21"/>
                <w:szCs w:val="21"/>
              </w:rPr>
              <w:sym w:font="Wingdings 2" w:char="00A3"/>
            </w:r>
          </w:p>
        </w:tc>
        <w:tc>
          <w:tcPr>
            <w:tcW w:w="3692" w:type="dxa"/>
            <w:gridSpan w:val="8"/>
            <w:tcBorders>
              <w:tl2br w:val="nil"/>
              <w:tr2bl w:val="nil"/>
            </w:tcBorders>
            <w:vAlign w:val="center"/>
          </w:tcPr>
          <w:p w14:paraId="73589EC4">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不达标</w:t>
            </w:r>
            <w:r>
              <w:rPr>
                <w:rFonts w:ascii="Times New Roman" w:hAnsi="Times New Roman" w:cs="Times New Roman"/>
                <w:sz w:val="21"/>
                <w:szCs w:val="21"/>
              </w:rPr>
              <w:sym w:font="Wingdings 2" w:char="00A3"/>
            </w:r>
          </w:p>
        </w:tc>
      </w:tr>
      <w:tr w14:paraId="5C003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018" w:type="dxa"/>
            <w:vMerge w:val="restart"/>
            <w:tcBorders>
              <w:tl2br w:val="nil"/>
              <w:tr2bl w:val="nil"/>
            </w:tcBorders>
            <w:vAlign w:val="center"/>
          </w:tcPr>
          <w:p w14:paraId="703DFAA2">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环境监测计划</w:t>
            </w:r>
          </w:p>
        </w:tc>
        <w:tc>
          <w:tcPr>
            <w:tcW w:w="1485" w:type="dxa"/>
            <w:tcBorders>
              <w:tl2br w:val="nil"/>
              <w:tr2bl w:val="nil"/>
            </w:tcBorders>
            <w:vAlign w:val="center"/>
          </w:tcPr>
          <w:p w14:paraId="146F5CD9">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排放监测</w:t>
            </w:r>
          </w:p>
        </w:tc>
        <w:tc>
          <w:tcPr>
            <w:tcW w:w="1065" w:type="dxa"/>
            <w:gridSpan w:val="2"/>
            <w:tcBorders>
              <w:tl2br w:val="nil"/>
              <w:tr2bl w:val="nil"/>
            </w:tcBorders>
            <w:vAlign w:val="center"/>
          </w:tcPr>
          <w:p w14:paraId="47C7618A">
            <w:pPr>
              <w:pStyle w:val="1979"/>
              <w:widowControl w:val="0"/>
              <w:tabs>
                <w:tab w:val="left" w:pos="1621"/>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厂界监测</w:t>
            </w:r>
            <w:r>
              <w:rPr>
                <w:rFonts w:ascii="Times New Roman" w:hAnsi="Times New Roman" w:cs="Times New Roman"/>
                <w:sz w:val="21"/>
                <w:szCs w:val="21"/>
              </w:rPr>
              <w:sym w:font="Wingdings 2" w:char="0052"/>
            </w:r>
          </w:p>
        </w:tc>
        <w:tc>
          <w:tcPr>
            <w:tcW w:w="1470" w:type="dxa"/>
            <w:gridSpan w:val="4"/>
            <w:tcBorders>
              <w:tl2br w:val="nil"/>
              <w:tr2bl w:val="nil"/>
            </w:tcBorders>
            <w:vAlign w:val="center"/>
          </w:tcPr>
          <w:p w14:paraId="0F2A147A">
            <w:pPr>
              <w:pStyle w:val="1979"/>
              <w:widowControl w:val="0"/>
              <w:tabs>
                <w:tab w:val="left" w:pos="1621"/>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固定位置监测</w:t>
            </w:r>
            <w:r>
              <w:rPr>
                <w:rFonts w:ascii="Times New Roman" w:hAnsi="Times New Roman" w:cs="Times New Roman"/>
                <w:sz w:val="21"/>
                <w:szCs w:val="21"/>
              </w:rPr>
              <w:sym w:font="Wingdings 2" w:char="00A3"/>
            </w:r>
          </w:p>
        </w:tc>
        <w:tc>
          <w:tcPr>
            <w:tcW w:w="2301" w:type="dxa"/>
            <w:gridSpan w:val="6"/>
            <w:tcBorders>
              <w:tl2br w:val="nil"/>
              <w:tr2bl w:val="nil"/>
            </w:tcBorders>
            <w:vAlign w:val="center"/>
          </w:tcPr>
          <w:p w14:paraId="58844C00">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自动监测</w:t>
            </w:r>
            <w:r>
              <w:rPr>
                <w:rFonts w:ascii="Times New Roman" w:hAnsi="Times New Roman" w:cs="Times New Roman"/>
                <w:sz w:val="21"/>
                <w:szCs w:val="21"/>
              </w:rPr>
              <w:sym w:font="Wingdings 2" w:char="00A3"/>
            </w:r>
            <w:r>
              <w:rPr>
                <w:rFonts w:ascii="Times New Roman" w:hAnsi="Times New Roman" w:cs="Times New Roman"/>
                <w:sz w:val="21"/>
                <w:szCs w:val="21"/>
              </w:rPr>
              <w:t xml:space="preserve">  手动监测</w:t>
            </w:r>
            <w:r>
              <w:rPr>
                <w:rFonts w:ascii="Times New Roman" w:hAnsi="Times New Roman" w:cs="Times New Roman"/>
                <w:sz w:val="21"/>
                <w:szCs w:val="21"/>
              </w:rPr>
              <w:sym w:font="Wingdings 2" w:char="00A3"/>
            </w:r>
          </w:p>
        </w:tc>
        <w:tc>
          <w:tcPr>
            <w:tcW w:w="951" w:type="dxa"/>
            <w:tcBorders>
              <w:tl2br w:val="nil"/>
              <w:tr2bl w:val="nil"/>
            </w:tcBorders>
            <w:vAlign w:val="center"/>
          </w:tcPr>
          <w:p w14:paraId="630070D1">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无监测</w:t>
            </w:r>
            <w:r>
              <w:rPr>
                <w:rFonts w:ascii="Times New Roman" w:hAnsi="Times New Roman" w:cs="Times New Roman"/>
                <w:sz w:val="21"/>
                <w:szCs w:val="21"/>
              </w:rPr>
              <w:sym w:font="Wingdings 2" w:char="00A3"/>
            </w:r>
          </w:p>
        </w:tc>
      </w:tr>
      <w:tr w14:paraId="4B07E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018" w:type="dxa"/>
            <w:vMerge w:val="continue"/>
            <w:tcBorders>
              <w:tl2br w:val="nil"/>
              <w:tr2bl w:val="nil"/>
            </w:tcBorders>
            <w:vAlign w:val="center"/>
          </w:tcPr>
          <w:p w14:paraId="4EA27189">
            <w:pPr>
              <w:autoSpaceDE w:val="0"/>
              <w:autoSpaceDN w:val="0"/>
              <w:jc w:val="center"/>
              <w:rPr>
                <w:rFonts w:ascii="Times New Roman"/>
                <w:sz w:val="21"/>
                <w:szCs w:val="21"/>
              </w:rPr>
            </w:pPr>
          </w:p>
        </w:tc>
        <w:tc>
          <w:tcPr>
            <w:tcW w:w="1485" w:type="dxa"/>
            <w:tcBorders>
              <w:tl2br w:val="nil"/>
              <w:tr2bl w:val="nil"/>
            </w:tcBorders>
            <w:vAlign w:val="center"/>
          </w:tcPr>
          <w:p w14:paraId="774BB711">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声环境保护目标处噪声监测</w:t>
            </w:r>
          </w:p>
        </w:tc>
        <w:tc>
          <w:tcPr>
            <w:tcW w:w="2535" w:type="dxa"/>
            <w:gridSpan w:val="6"/>
            <w:tcBorders>
              <w:tl2br w:val="nil"/>
              <w:tr2bl w:val="nil"/>
            </w:tcBorders>
            <w:vAlign w:val="center"/>
          </w:tcPr>
          <w:p w14:paraId="4C920A16">
            <w:pPr>
              <w:pStyle w:val="1979"/>
              <w:widowControl w:val="0"/>
              <w:tabs>
                <w:tab w:val="left" w:pos="2252"/>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监测因子：</w:t>
            </w:r>
          </w:p>
          <w:p w14:paraId="6833A90B">
            <w:pPr>
              <w:pStyle w:val="1979"/>
              <w:widowControl w:val="0"/>
              <w:tabs>
                <w:tab w:val="left" w:pos="2252"/>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（等效连续A声级）</w:t>
            </w:r>
          </w:p>
        </w:tc>
        <w:tc>
          <w:tcPr>
            <w:tcW w:w="2301" w:type="dxa"/>
            <w:gridSpan w:val="6"/>
            <w:tcBorders>
              <w:tl2br w:val="nil"/>
              <w:tr2bl w:val="nil"/>
            </w:tcBorders>
            <w:vAlign w:val="center"/>
          </w:tcPr>
          <w:p w14:paraId="0F3FB176">
            <w:pPr>
              <w:pStyle w:val="1979"/>
              <w:widowControl w:val="0"/>
              <w:tabs>
                <w:tab w:val="left" w:pos="1735"/>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监测点位数（</w:t>
            </w:r>
            <w:r>
              <w:rPr>
                <w:rFonts w:hint="eastAsia" w:ascii="Times New Roman" w:hAnsi="Times New Roman" w:cs="Times New Roman"/>
                <w:sz w:val="21"/>
                <w:szCs w:val="21"/>
              </w:rPr>
              <w:t xml:space="preserve"> </w:t>
            </w:r>
            <w:r>
              <w:rPr>
                <w:rFonts w:ascii="Times New Roman" w:hAnsi="Times New Roman" w:cs="Times New Roman"/>
                <w:sz w:val="21"/>
                <w:szCs w:val="21"/>
              </w:rPr>
              <w:t>）</w:t>
            </w:r>
          </w:p>
        </w:tc>
        <w:tc>
          <w:tcPr>
            <w:tcW w:w="951" w:type="dxa"/>
            <w:tcBorders>
              <w:tl2br w:val="nil"/>
              <w:tr2bl w:val="nil"/>
            </w:tcBorders>
            <w:vAlign w:val="center"/>
          </w:tcPr>
          <w:p w14:paraId="62DD6AF7">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无监测</w:t>
            </w:r>
            <w:r>
              <w:rPr>
                <w:rFonts w:ascii="Times New Roman" w:hAnsi="Times New Roman" w:cs="Times New Roman"/>
                <w:sz w:val="21"/>
                <w:szCs w:val="21"/>
              </w:rPr>
              <w:sym w:font="Wingdings 2" w:char="0052"/>
            </w:r>
          </w:p>
        </w:tc>
      </w:tr>
      <w:tr w14:paraId="12C1E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1018" w:type="dxa"/>
            <w:tcBorders>
              <w:tl2br w:val="nil"/>
              <w:tr2bl w:val="nil"/>
            </w:tcBorders>
            <w:vAlign w:val="center"/>
          </w:tcPr>
          <w:p w14:paraId="2014CE6B">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评价结论</w:t>
            </w:r>
          </w:p>
        </w:tc>
        <w:tc>
          <w:tcPr>
            <w:tcW w:w="1485" w:type="dxa"/>
            <w:tcBorders>
              <w:tl2br w:val="nil"/>
              <w:tr2bl w:val="nil"/>
            </w:tcBorders>
            <w:vAlign w:val="center"/>
          </w:tcPr>
          <w:p w14:paraId="7B4DE6E5">
            <w:pPr>
              <w:pStyle w:val="1979"/>
              <w:widowControl w:val="0"/>
              <w:autoSpaceDE w:val="0"/>
              <w:autoSpaceDN w:val="0"/>
              <w:jc w:val="center"/>
              <w:rPr>
                <w:rFonts w:ascii="Times New Roman" w:hAnsi="Times New Roman" w:cs="Times New Roman"/>
                <w:sz w:val="21"/>
                <w:szCs w:val="21"/>
              </w:rPr>
            </w:pPr>
            <w:r>
              <w:rPr>
                <w:rFonts w:ascii="Times New Roman" w:hAnsi="Times New Roman" w:cs="Times New Roman"/>
                <w:sz w:val="21"/>
                <w:szCs w:val="21"/>
              </w:rPr>
              <w:t>环境影响</w:t>
            </w:r>
          </w:p>
        </w:tc>
        <w:tc>
          <w:tcPr>
            <w:tcW w:w="2535" w:type="dxa"/>
            <w:gridSpan w:val="6"/>
            <w:tcBorders>
              <w:tl2br w:val="nil"/>
              <w:tr2bl w:val="nil"/>
            </w:tcBorders>
            <w:vAlign w:val="center"/>
          </w:tcPr>
          <w:p w14:paraId="2E44C073">
            <w:pPr>
              <w:pStyle w:val="1979"/>
              <w:widowControl w:val="0"/>
              <w:tabs>
                <w:tab w:val="left" w:pos="1202"/>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可行</w:t>
            </w:r>
            <w:r>
              <w:rPr>
                <w:rFonts w:ascii="Times New Roman" w:hAnsi="Times New Roman" w:cs="Times New Roman"/>
                <w:sz w:val="21"/>
                <w:szCs w:val="21"/>
              </w:rPr>
              <w:sym w:font="Wingdings 2" w:char="0052"/>
            </w:r>
          </w:p>
        </w:tc>
        <w:tc>
          <w:tcPr>
            <w:tcW w:w="3252" w:type="dxa"/>
            <w:gridSpan w:val="7"/>
            <w:tcBorders>
              <w:tl2br w:val="nil"/>
              <w:tr2bl w:val="nil"/>
            </w:tcBorders>
            <w:vAlign w:val="center"/>
          </w:tcPr>
          <w:p w14:paraId="0C0E1722">
            <w:pPr>
              <w:pStyle w:val="1979"/>
              <w:widowControl w:val="0"/>
              <w:tabs>
                <w:tab w:val="left" w:pos="1202"/>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不可行</w:t>
            </w:r>
            <w:r>
              <w:rPr>
                <w:rFonts w:ascii="Times New Roman" w:hAnsi="Times New Roman" w:cs="Times New Roman"/>
                <w:sz w:val="21"/>
                <w:szCs w:val="21"/>
              </w:rPr>
              <w:sym w:font="Wingdings 2" w:char="00A3"/>
            </w:r>
          </w:p>
        </w:tc>
      </w:tr>
      <w:tr w14:paraId="62B03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8290" w:type="dxa"/>
            <w:gridSpan w:val="15"/>
            <w:tcBorders>
              <w:tl2br w:val="nil"/>
              <w:tr2bl w:val="nil"/>
            </w:tcBorders>
            <w:vAlign w:val="center"/>
          </w:tcPr>
          <w:p w14:paraId="58723C91">
            <w:pPr>
              <w:pStyle w:val="1979"/>
              <w:widowControl w:val="0"/>
              <w:tabs>
                <w:tab w:val="left" w:pos="3079"/>
              </w:tabs>
              <w:autoSpaceDE w:val="0"/>
              <w:autoSpaceDN w:val="0"/>
              <w:jc w:val="center"/>
              <w:rPr>
                <w:rFonts w:ascii="Times New Roman" w:hAnsi="Times New Roman" w:cs="Times New Roman"/>
                <w:sz w:val="21"/>
                <w:szCs w:val="21"/>
              </w:rPr>
            </w:pPr>
            <w:r>
              <w:rPr>
                <w:rFonts w:ascii="Times New Roman" w:hAnsi="Times New Roman" w:cs="Times New Roman"/>
                <w:sz w:val="21"/>
                <w:szCs w:val="21"/>
              </w:rPr>
              <w:t>注：“</w:t>
            </w:r>
            <w:r>
              <w:rPr>
                <w:rFonts w:ascii="Times New Roman" w:hAnsi="Times New Roman" w:cs="Times New Roman"/>
                <w:sz w:val="21"/>
                <w:szCs w:val="21"/>
              </w:rPr>
              <w:sym w:font="Wingdings 2" w:char="00A3"/>
            </w:r>
            <w:r>
              <w:rPr>
                <w:rFonts w:ascii="Times New Roman" w:hAnsi="Times New Roman" w:cs="Times New Roman"/>
                <w:sz w:val="21"/>
                <w:szCs w:val="21"/>
              </w:rPr>
              <w:t>”为勾选项，可√；“（  ）”为内容填写项。</w:t>
            </w:r>
          </w:p>
        </w:tc>
      </w:tr>
    </w:tbl>
    <w:p w14:paraId="5E2F81BE">
      <w:pPr>
        <w:tabs>
          <w:tab w:val="left" w:pos="1170"/>
        </w:tabs>
        <w:spacing w:line="520" w:lineRule="exact"/>
        <w:outlineLvl w:val="2"/>
        <w:rPr>
          <w:rFonts w:ascii="Times New Roman"/>
          <w:b/>
          <w:sz w:val="28"/>
          <w:szCs w:val="28"/>
        </w:rPr>
      </w:pPr>
      <w:r>
        <w:rPr>
          <w:rFonts w:ascii="Times New Roman"/>
          <w:b/>
          <w:sz w:val="28"/>
          <w:szCs w:val="28"/>
        </w:rPr>
        <w:t>5.2.5固体废物影响分析</w:t>
      </w:r>
    </w:p>
    <w:p w14:paraId="32E79FAE">
      <w:pPr>
        <w:spacing w:line="480" w:lineRule="exact"/>
        <w:ind w:firstLine="480" w:firstLineChars="200"/>
        <w:rPr>
          <w:rFonts w:ascii="Times New Roman"/>
          <w:sz w:val="24"/>
          <w:szCs w:val="24"/>
        </w:rPr>
      </w:pPr>
      <w:r>
        <w:rPr>
          <w:rFonts w:ascii="Times New Roman"/>
          <w:sz w:val="24"/>
          <w:szCs w:val="24"/>
        </w:rPr>
        <w:t>项目固体废物主要包括：</w:t>
      </w:r>
      <w:r>
        <w:rPr>
          <w:rFonts w:hint="eastAsia" w:ascii="Times New Roman"/>
          <w:sz w:val="24"/>
          <w:szCs w:val="24"/>
        </w:rPr>
        <w:t>废</w:t>
      </w:r>
      <w:r>
        <w:rPr>
          <w:rFonts w:ascii="Times New Roman"/>
          <w:sz w:val="24"/>
          <w:szCs w:val="24"/>
        </w:rPr>
        <w:t>边角料、废焊材、金属碎屑、</w:t>
      </w:r>
      <w:r>
        <w:rPr>
          <w:rFonts w:hint="eastAsia" w:ascii="Times New Roman"/>
          <w:sz w:val="24"/>
          <w:szCs w:val="24"/>
        </w:rPr>
        <w:t>槽渣、</w:t>
      </w:r>
      <w:r>
        <w:rPr>
          <w:rFonts w:ascii="Times New Roman"/>
          <w:sz w:val="24"/>
          <w:szCs w:val="24"/>
        </w:rPr>
        <w:t>废钢丸、废钢砂、除尘灰、废布袋、废包装材料、收尘灰</w:t>
      </w:r>
      <w:r>
        <w:rPr>
          <w:rFonts w:hint="eastAsia" w:ascii="Times New Roman"/>
          <w:sz w:val="24"/>
          <w:szCs w:val="24"/>
        </w:rPr>
        <w:t>、废反渗透膜、废超滤膜</w:t>
      </w:r>
      <w:r>
        <w:rPr>
          <w:rFonts w:ascii="Times New Roman"/>
          <w:sz w:val="24"/>
          <w:szCs w:val="24"/>
        </w:rPr>
        <w:t>，</w:t>
      </w:r>
      <w:r>
        <w:rPr>
          <w:rFonts w:hint="eastAsia" w:ascii="Times New Roman"/>
          <w:sz w:val="24"/>
          <w:szCs w:val="24"/>
        </w:rPr>
        <w:t>电泳、</w:t>
      </w:r>
      <w:r>
        <w:rPr>
          <w:rFonts w:ascii="Times New Roman"/>
          <w:sz w:val="24"/>
          <w:szCs w:val="24"/>
        </w:rPr>
        <w:t>喷漆产生的漆渣、废油漆桶、废稀释剂桶，</w:t>
      </w:r>
      <w:r>
        <w:rPr>
          <w:rFonts w:hint="eastAsia" w:ascii="Times New Roman"/>
          <w:sz w:val="24"/>
          <w:szCs w:val="24"/>
        </w:rPr>
        <w:t>脱脂工序产生的浮油，脱脂、硅烷化工序产生的废滤芯、杂质；</w:t>
      </w:r>
      <w:r>
        <w:rPr>
          <w:rFonts w:ascii="Times New Roman"/>
          <w:sz w:val="24"/>
          <w:szCs w:val="24"/>
        </w:rPr>
        <w:t>机械设备产生的废液压油和废切削液、废润滑油、废油桶、</w:t>
      </w:r>
      <w:r>
        <w:rPr>
          <w:rFonts w:hint="eastAsia" w:ascii="Times New Roman"/>
          <w:sz w:val="24"/>
          <w:szCs w:val="24"/>
        </w:rPr>
        <w:t>废切削液桶、</w:t>
      </w:r>
      <w:r>
        <w:rPr>
          <w:rFonts w:ascii="Times New Roman"/>
          <w:sz w:val="24"/>
          <w:szCs w:val="24"/>
        </w:rPr>
        <w:t>含油金属屑，</w:t>
      </w:r>
      <w:r>
        <w:rPr>
          <w:rFonts w:hint="eastAsia" w:ascii="Times New Roman"/>
          <w:sz w:val="24"/>
          <w:szCs w:val="24"/>
        </w:rPr>
        <w:t>污水处理站产生的污泥，</w:t>
      </w:r>
      <w:r>
        <w:rPr>
          <w:rFonts w:ascii="Times New Roman"/>
          <w:sz w:val="24"/>
          <w:szCs w:val="24"/>
        </w:rPr>
        <w:t>有机废气净化装置产生的废活性炭、</w:t>
      </w:r>
      <w:r>
        <w:rPr>
          <w:rFonts w:hAnsi="宋体" w:cs="宋体"/>
          <w:sz w:val="24"/>
          <w:szCs w:val="24"/>
        </w:rPr>
        <w:t>废沸石分子筛</w:t>
      </w:r>
      <w:r>
        <w:rPr>
          <w:rFonts w:hint="eastAsia" w:ascii="Times New Roman"/>
          <w:sz w:val="24"/>
          <w:szCs w:val="24"/>
        </w:rPr>
        <w:t>、</w:t>
      </w:r>
      <w:r>
        <w:rPr>
          <w:rFonts w:ascii="Times New Roman"/>
          <w:sz w:val="24"/>
          <w:szCs w:val="24"/>
        </w:rPr>
        <w:t>废过滤棉以及职工生活产生的生活垃圾。具体情况如下：</w:t>
      </w:r>
    </w:p>
    <w:p w14:paraId="13B380E6">
      <w:pPr>
        <w:spacing w:line="520" w:lineRule="exact"/>
        <w:outlineLvl w:val="3"/>
        <w:rPr>
          <w:rFonts w:ascii="Times New Roman"/>
          <w:b/>
          <w:sz w:val="24"/>
          <w:szCs w:val="24"/>
        </w:rPr>
      </w:pPr>
      <w:r>
        <w:rPr>
          <w:rFonts w:ascii="Times New Roman"/>
          <w:b/>
          <w:sz w:val="24"/>
          <w:szCs w:val="24"/>
        </w:rPr>
        <w:t>5.2.5.1一般固体废物</w:t>
      </w:r>
    </w:p>
    <w:p w14:paraId="563FF9D7">
      <w:pPr>
        <w:spacing w:line="480" w:lineRule="exact"/>
        <w:ind w:firstLine="480" w:firstLineChars="200"/>
        <w:rPr>
          <w:rFonts w:ascii="Times New Roman"/>
          <w:caps/>
          <w:sz w:val="24"/>
          <w:szCs w:val="24"/>
        </w:rPr>
      </w:pPr>
      <w:r>
        <w:rPr>
          <w:rFonts w:hint="eastAsia" w:ascii="Times New Roman"/>
          <w:sz w:val="24"/>
          <w:szCs w:val="24"/>
        </w:rPr>
        <w:t>废</w:t>
      </w:r>
      <w:r>
        <w:rPr>
          <w:rFonts w:ascii="Times New Roman"/>
          <w:sz w:val="24"/>
          <w:szCs w:val="24"/>
        </w:rPr>
        <w:t>边角料、废焊材、金属碎屑、</w:t>
      </w:r>
      <w:r>
        <w:rPr>
          <w:rFonts w:hint="eastAsia" w:ascii="Times New Roman"/>
          <w:sz w:val="24"/>
          <w:szCs w:val="24"/>
        </w:rPr>
        <w:t>槽渣、</w:t>
      </w:r>
      <w:r>
        <w:rPr>
          <w:rFonts w:ascii="Times New Roman"/>
          <w:sz w:val="24"/>
          <w:szCs w:val="24"/>
        </w:rPr>
        <w:t>废钢丸、废钢砂、除尘灰、废布袋、废包装材料等分类收集后外售综合利用；收尘灰回用于喷塑工序</w:t>
      </w:r>
      <w:r>
        <w:rPr>
          <w:rFonts w:hint="eastAsia" w:ascii="Times New Roman"/>
          <w:sz w:val="24"/>
          <w:szCs w:val="24"/>
        </w:rPr>
        <w:t>，废反渗透膜、废超滤膜由厂家回收再生处理</w:t>
      </w:r>
      <w:r>
        <w:rPr>
          <w:rFonts w:ascii="Times New Roman"/>
          <w:caps/>
          <w:sz w:val="24"/>
          <w:szCs w:val="24"/>
        </w:rPr>
        <w:t>。</w:t>
      </w:r>
    </w:p>
    <w:p w14:paraId="46BF8D3F">
      <w:pPr>
        <w:spacing w:line="480" w:lineRule="exact"/>
        <w:ind w:firstLine="480" w:firstLineChars="200"/>
        <w:rPr>
          <w:rFonts w:ascii="Times New Roman"/>
          <w:sz w:val="24"/>
        </w:rPr>
      </w:pPr>
      <w:r>
        <w:rPr>
          <w:rFonts w:ascii="Times New Roman"/>
          <w:sz w:val="24"/>
          <w:szCs w:val="24"/>
        </w:rPr>
        <w:t>本项目建设1座垃圾回收房，用于一般固体废物的暂存，设置在厂区西北侧，建筑面积为390.30m</w:t>
      </w:r>
      <w:r>
        <w:rPr>
          <w:rFonts w:ascii="Times New Roman"/>
          <w:sz w:val="24"/>
          <w:szCs w:val="24"/>
          <w:vertAlign w:val="superscript"/>
        </w:rPr>
        <w:t>2</w:t>
      </w:r>
      <w:r>
        <w:rPr>
          <w:rFonts w:ascii="Times New Roman"/>
          <w:sz w:val="24"/>
          <w:szCs w:val="24"/>
        </w:rPr>
        <w:t>。暂存间采取</w:t>
      </w:r>
      <w:r>
        <w:rPr>
          <w:rFonts w:ascii="Times New Roman"/>
          <w:sz w:val="24"/>
          <w:szCs w:val="24"/>
          <w:shd w:val="clear" w:color="auto" w:fill="FFFFFF"/>
        </w:rPr>
        <w:t>防扬散、防流失、防渗漏措施</w:t>
      </w:r>
      <w:r>
        <w:rPr>
          <w:rFonts w:ascii="Times New Roman"/>
          <w:sz w:val="24"/>
          <w:szCs w:val="24"/>
        </w:rPr>
        <w:t>；地面拟采用抗渗混凝土硬化，环氧树脂玻璃钢防腐蚀面层。按照《环境保护图形标志固体废物贮存（处置）场》（GB 15562.2-1995）中的规定设立一般固体废物提示及</w:t>
      </w:r>
      <w:r>
        <w:rPr>
          <w:rFonts w:ascii="Times New Roman"/>
          <w:sz w:val="24"/>
        </w:rPr>
        <w:t>警示标志。</w:t>
      </w:r>
    </w:p>
    <w:p w14:paraId="6B606258">
      <w:pPr>
        <w:spacing w:line="480" w:lineRule="exact"/>
        <w:ind w:firstLine="480" w:firstLineChars="200"/>
        <w:rPr>
          <w:rFonts w:ascii="Times New Roman"/>
          <w:sz w:val="24"/>
          <w:szCs w:val="24"/>
        </w:rPr>
      </w:pPr>
      <w:r>
        <w:rPr>
          <w:rFonts w:ascii="Times New Roman"/>
          <w:sz w:val="24"/>
          <w:szCs w:val="24"/>
        </w:rPr>
        <w:t>通过采取以上固体废物的处置措施，可实现一般固体废物的综合利用或妥善处置，对区域环境不会产生明显不利影响。</w:t>
      </w:r>
    </w:p>
    <w:p w14:paraId="53B98B20">
      <w:pPr>
        <w:spacing w:line="360" w:lineRule="auto"/>
        <w:ind w:firstLine="480" w:firstLineChars="200"/>
        <w:rPr>
          <w:rFonts w:ascii="Times New Roman"/>
          <w:sz w:val="24"/>
          <w:szCs w:val="24"/>
        </w:rPr>
      </w:pPr>
      <w:r>
        <w:rPr>
          <w:rFonts w:ascii="Times New Roman"/>
          <w:sz w:val="24"/>
          <w:szCs w:val="24"/>
        </w:rPr>
        <w:t>管理要求：一般固体废物处理措施和处置方案需按照《中华人民共和国固体废物污染环境防治法》等有关规定，进行收集、管理、运输及处置：</w:t>
      </w:r>
    </w:p>
    <w:p w14:paraId="772AB520">
      <w:pPr>
        <w:spacing w:line="360" w:lineRule="auto"/>
        <w:ind w:firstLine="480" w:firstLineChars="200"/>
        <w:rPr>
          <w:rFonts w:ascii="Times New Roman"/>
          <w:sz w:val="24"/>
          <w:szCs w:val="24"/>
        </w:rPr>
      </w:pPr>
      <w:r>
        <w:rPr>
          <w:rFonts w:ascii="Times New Roman"/>
          <w:sz w:val="24"/>
          <w:szCs w:val="24"/>
        </w:rPr>
        <w:t>①一般固废间建设标准应满足《中华人民共和国固体废物污染环境防治法》要求：防扬散、防流失、防渗漏；</w:t>
      </w:r>
    </w:p>
    <w:p w14:paraId="03BAD244">
      <w:pPr>
        <w:spacing w:line="360" w:lineRule="auto"/>
        <w:ind w:firstLine="480" w:firstLineChars="200"/>
        <w:rPr>
          <w:rFonts w:ascii="Times New Roman"/>
          <w:sz w:val="24"/>
          <w:szCs w:val="24"/>
        </w:rPr>
      </w:pPr>
      <w:r>
        <w:rPr>
          <w:rFonts w:ascii="Times New Roman"/>
          <w:sz w:val="24"/>
          <w:szCs w:val="24"/>
        </w:rPr>
        <w:t>②贮存、处置场的建设类型，必须与将要堆放的一般工业固体废物的类别相一致；</w:t>
      </w:r>
    </w:p>
    <w:p w14:paraId="6C92E087">
      <w:pPr>
        <w:spacing w:line="360" w:lineRule="auto"/>
        <w:ind w:firstLine="480" w:firstLineChars="200"/>
        <w:rPr>
          <w:rFonts w:ascii="Times New Roman"/>
          <w:sz w:val="24"/>
          <w:szCs w:val="24"/>
        </w:rPr>
      </w:pPr>
      <w:r>
        <w:rPr>
          <w:rFonts w:ascii="Times New Roman"/>
          <w:sz w:val="24"/>
          <w:szCs w:val="24"/>
        </w:rPr>
        <w:t>③为加强监督管理，贮存、处置场应设置环境保护图形标志；</w:t>
      </w:r>
    </w:p>
    <w:p w14:paraId="00633EE2">
      <w:pPr>
        <w:spacing w:line="360" w:lineRule="auto"/>
        <w:ind w:firstLine="480" w:firstLineChars="200"/>
        <w:rPr>
          <w:rFonts w:ascii="Times New Roman"/>
          <w:sz w:val="24"/>
          <w:szCs w:val="24"/>
        </w:rPr>
      </w:pPr>
      <w:r>
        <w:rPr>
          <w:rFonts w:ascii="Times New Roman"/>
          <w:sz w:val="24"/>
          <w:szCs w:val="24"/>
        </w:rPr>
        <w:t>④固废的存储和转移应做好相应的记录，包括固废的种类、产生环节、存储量、转移量、转移频次、转移去向等。</w:t>
      </w:r>
    </w:p>
    <w:p w14:paraId="4394E504">
      <w:pPr>
        <w:spacing w:line="520" w:lineRule="exact"/>
        <w:outlineLvl w:val="3"/>
        <w:rPr>
          <w:rFonts w:ascii="Times New Roman"/>
          <w:b/>
          <w:sz w:val="24"/>
          <w:szCs w:val="24"/>
        </w:rPr>
      </w:pPr>
      <w:r>
        <w:rPr>
          <w:rFonts w:ascii="Times New Roman"/>
          <w:b/>
          <w:sz w:val="24"/>
          <w:szCs w:val="24"/>
        </w:rPr>
        <w:t>5.2.5.2危险废物</w:t>
      </w:r>
    </w:p>
    <w:p w14:paraId="44B65C92">
      <w:pPr>
        <w:spacing w:line="480" w:lineRule="exact"/>
        <w:ind w:firstLine="480" w:firstLineChars="200"/>
        <w:rPr>
          <w:rFonts w:ascii="Times New Roman"/>
          <w:sz w:val="24"/>
          <w:szCs w:val="24"/>
        </w:rPr>
      </w:pPr>
      <w:r>
        <w:rPr>
          <w:rFonts w:ascii="Times New Roman"/>
          <w:sz w:val="24"/>
          <w:szCs w:val="24"/>
        </w:rPr>
        <w:t>对照《国家危险废物名录》（202</w:t>
      </w:r>
      <w:r>
        <w:rPr>
          <w:rFonts w:hint="eastAsia" w:ascii="Times New Roman"/>
          <w:sz w:val="24"/>
          <w:szCs w:val="24"/>
        </w:rPr>
        <w:t>5</w:t>
      </w:r>
      <w:r>
        <w:rPr>
          <w:rFonts w:ascii="Times New Roman"/>
          <w:sz w:val="24"/>
          <w:szCs w:val="24"/>
        </w:rPr>
        <w:t>年版），</w:t>
      </w:r>
      <w:r>
        <w:rPr>
          <w:rFonts w:hint="eastAsia" w:ascii="Times New Roman"/>
          <w:sz w:val="24"/>
          <w:szCs w:val="24"/>
        </w:rPr>
        <w:t>电泳、</w:t>
      </w:r>
      <w:r>
        <w:rPr>
          <w:rFonts w:ascii="Times New Roman"/>
          <w:sz w:val="24"/>
          <w:szCs w:val="24"/>
        </w:rPr>
        <w:t>喷漆产生的漆渣、废油漆桶、废稀释剂桶，</w:t>
      </w:r>
      <w:r>
        <w:rPr>
          <w:rFonts w:hint="eastAsia" w:ascii="Times New Roman"/>
          <w:sz w:val="24"/>
          <w:szCs w:val="24"/>
        </w:rPr>
        <w:t>脱脂工序产生的浮油，脱脂、硅烷化工序产生的废滤芯、杂质；</w:t>
      </w:r>
      <w:r>
        <w:rPr>
          <w:rFonts w:ascii="Times New Roman"/>
          <w:sz w:val="24"/>
          <w:szCs w:val="24"/>
        </w:rPr>
        <w:t>机械设备产生的废液压油和废切削液、废润滑油、废油桶、</w:t>
      </w:r>
      <w:r>
        <w:rPr>
          <w:rFonts w:hint="eastAsia" w:ascii="Times New Roman"/>
          <w:sz w:val="24"/>
          <w:szCs w:val="24"/>
        </w:rPr>
        <w:t>废切削液桶、</w:t>
      </w:r>
      <w:r>
        <w:rPr>
          <w:rFonts w:ascii="Times New Roman"/>
          <w:sz w:val="24"/>
          <w:szCs w:val="24"/>
        </w:rPr>
        <w:t>含油金属屑，</w:t>
      </w:r>
      <w:r>
        <w:rPr>
          <w:rFonts w:hint="eastAsia" w:ascii="Times New Roman"/>
          <w:sz w:val="24"/>
          <w:szCs w:val="24"/>
        </w:rPr>
        <w:t>污水处理站产生的污泥，</w:t>
      </w:r>
      <w:r>
        <w:rPr>
          <w:rFonts w:ascii="Times New Roman"/>
          <w:sz w:val="24"/>
          <w:szCs w:val="24"/>
        </w:rPr>
        <w:t>有机废气净化装置产生的废活性炭、</w:t>
      </w:r>
      <w:r>
        <w:rPr>
          <w:rFonts w:hAnsi="宋体" w:cs="宋体"/>
          <w:sz w:val="24"/>
          <w:szCs w:val="24"/>
        </w:rPr>
        <w:t>废沸石分子筛</w:t>
      </w:r>
      <w:r>
        <w:rPr>
          <w:rFonts w:hint="eastAsia" w:ascii="Times New Roman"/>
          <w:sz w:val="24"/>
          <w:szCs w:val="24"/>
        </w:rPr>
        <w:t>、</w:t>
      </w:r>
      <w:r>
        <w:rPr>
          <w:rFonts w:ascii="Times New Roman"/>
          <w:sz w:val="24"/>
          <w:szCs w:val="24"/>
        </w:rPr>
        <w:t>废过滤棉属于危险废物，分类暂存危废间，定期交由资质单位处置。</w:t>
      </w:r>
    </w:p>
    <w:p w14:paraId="169E50E0">
      <w:pPr>
        <w:spacing w:line="480" w:lineRule="exact"/>
        <w:ind w:firstLine="480" w:firstLineChars="200"/>
        <w:rPr>
          <w:rFonts w:ascii="Times New Roman"/>
          <w:sz w:val="24"/>
          <w:szCs w:val="24"/>
        </w:rPr>
      </w:pPr>
      <w:r>
        <w:rPr>
          <w:rFonts w:ascii="Times New Roman"/>
          <w:sz w:val="24"/>
          <w:szCs w:val="24"/>
        </w:rPr>
        <w:t>项目危险固体废物产生及处理处置情况见</w:t>
      </w:r>
      <w:r>
        <w:rPr>
          <w:rFonts w:hint="eastAsia" w:ascii="Times New Roman"/>
          <w:sz w:val="24"/>
          <w:szCs w:val="24"/>
        </w:rPr>
        <w:t>下</w:t>
      </w:r>
      <w:r>
        <w:rPr>
          <w:rFonts w:ascii="Times New Roman"/>
          <w:sz w:val="24"/>
          <w:szCs w:val="24"/>
        </w:rPr>
        <w:t>表。</w:t>
      </w:r>
    </w:p>
    <w:p w14:paraId="0740364A">
      <w:pPr>
        <w:spacing w:line="480" w:lineRule="exact"/>
        <w:jc w:val="center"/>
        <w:rPr>
          <w:rFonts w:ascii="Times New Roman"/>
          <w:b/>
          <w:sz w:val="24"/>
          <w:szCs w:val="24"/>
        </w:rPr>
      </w:pPr>
      <w:r>
        <w:rPr>
          <w:rFonts w:ascii="Times New Roman"/>
          <w:b/>
          <w:sz w:val="24"/>
          <w:szCs w:val="24"/>
        </w:rPr>
        <w:t>表5.2</w:t>
      </w:r>
      <w:r>
        <w:rPr>
          <w:rFonts w:hint="eastAsia" w:ascii="Times New Roman"/>
          <w:b/>
          <w:sz w:val="24"/>
          <w:szCs w:val="24"/>
        </w:rPr>
        <w:t>.5</w:t>
      </w:r>
      <w:r>
        <w:rPr>
          <w:rFonts w:ascii="Times New Roman"/>
          <w:b/>
          <w:sz w:val="24"/>
          <w:szCs w:val="24"/>
        </w:rPr>
        <w:t>-</w:t>
      </w:r>
      <w:r>
        <w:rPr>
          <w:rFonts w:hint="eastAsia" w:ascii="Times New Roman"/>
          <w:b/>
          <w:sz w:val="24"/>
          <w:szCs w:val="24"/>
        </w:rPr>
        <w:t>1</w:t>
      </w:r>
      <w:r>
        <w:rPr>
          <w:rFonts w:ascii="Times New Roman"/>
          <w:b/>
          <w:sz w:val="24"/>
          <w:szCs w:val="24"/>
        </w:rPr>
        <w:t xml:space="preserve">  </w:t>
      </w:r>
      <w:r>
        <w:rPr>
          <w:rFonts w:ascii="Times New Roman"/>
          <w:b/>
          <w:bCs/>
          <w:sz w:val="24"/>
          <w:szCs w:val="24"/>
        </w:rPr>
        <w:t>项目危险固体废物产生及处理处置措施</w:t>
      </w:r>
    </w:p>
    <w:tbl>
      <w:tblPr>
        <w:tblStyle w:val="84"/>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3"/>
        <w:gridCol w:w="798"/>
        <w:gridCol w:w="1201"/>
        <w:gridCol w:w="752"/>
        <w:gridCol w:w="1241"/>
        <w:gridCol w:w="540"/>
        <w:gridCol w:w="749"/>
        <w:gridCol w:w="545"/>
        <w:gridCol w:w="473"/>
        <w:gridCol w:w="774"/>
      </w:tblGrid>
      <w:tr w14:paraId="545F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56" w:type="pct"/>
            <w:vAlign w:val="center"/>
          </w:tcPr>
          <w:p w14:paraId="1F3EF128">
            <w:pPr>
              <w:adjustRightInd w:val="0"/>
              <w:snapToGrid w:val="0"/>
              <w:spacing w:line="320" w:lineRule="exact"/>
              <w:jc w:val="center"/>
              <w:rPr>
                <w:rFonts w:ascii="Times New Roman"/>
                <w:sz w:val="21"/>
                <w:szCs w:val="21"/>
              </w:rPr>
            </w:pPr>
            <w:r>
              <w:rPr>
                <w:rFonts w:ascii="Times New Roman"/>
                <w:sz w:val="21"/>
                <w:szCs w:val="21"/>
              </w:rPr>
              <w:t>危险废物名称</w:t>
            </w:r>
          </w:p>
        </w:tc>
        <w:tc>
          <w:tcPr>
            <w:tcW w:w="467" w:type="pct"/>
            <w:vAlign w:val="center"/>
          </w:tcPr>
          <w:p w14:paraId="61DC1879">
            <w:pPr>
              <w:adjustRightInd w:val="0"/>
              <w:snapToGrid w:val="0"/>
              <w:spacing w:line="320" w:lineRule="exact"/>
              <w:jc w:val="center"/>
              <w:rPr>
                <w:rFonts w:ascii="Times New Roman"/>
                <w:sz w:val="21"/>
                <w:szCs w:val="21"/>
              </w:rPr>
            </w:pPr>
            <w:r>
              <w:rPr>
                <w:rFonts w:ascii="Times New Roman"/>
                <w:sz w:val="21"/>
                <w:szCs w:val="21"/>
              </w:rPr>
              <w:t>危险废物类别</w:t>
            </w:r>
          </w:p>
        </w:tc>
        <w:tc>
          <w:tcPr>
            <w:tcW w:w="703" w:type="pct"/>
            <w:vAlign w:val="center"/>
          </w:tcPr>
          <w:p w14:paraId="22E6FB42">
            <w:pPr>
              <w:adjustRightInd w:val="0"/>
              <w:snapToGrid w:val="0"/>
              <w:spacing w:line="320" w:lineRule="exact"/>
              <w:jc w:val="center"/>
              <w:rPr>
                <w:rFonts w:ascii="Times New Roman"/>
                <w:sz w:val="21"/>
                <w:szCs w:val="21"/>
              </w:rPr>
            </w:pPr>
            <w:r>
              <w:rPr>
                <w:rFonts w:ascii="Times New Roman"/>
                <w:sz w:val="21"/>
                <w:szCs w:val="21"/>
              </w:rPr>
              <w:t>危险废物代码</w:t>
            </w:r>
          </w:p>
        </w:tc>
        <w:tc>
          <w:tcPr>
            <w:tcW w:w="440" w:type="pct"/>
            <w:vAlign w:val="center"/>
          </w:tcPr>
          <w:p w14:paraId="7CC72AC0">
            <w:pPr>
              <w:adjustRightInd w:val="0"/>
              <w:snapToGrid w:val="0"/>
              <w:spacing w:line="320" w:lineRule="exact"/>
              <w:jc w:val="center"/>
              <w:rPr>
                <w:rFonts w:ascii="Times New Roman"/>
                <w:sz w:val="21"/>
                <w:szCs w:val="21"/>
              </w:rPr>
            </w:pPr>
            <w:r>
              <w:rPr>
                <w:rFonts w:ascii="Times New Roman"/>
                <w:sz w:val="21"/>
                <w:szCs w:val="21"/>
              </w:rPr>
              <w:t>产生量t/a</w:t>
            </w:r>
          </w:p>
        </w:tc>
        <w:tc>
          <w:tcPr>
            <w:tcW w:w="726" w:type="pct"/>
            <w:vAlign w:val="center"/>
          </w:tcPr>
          <w:p w14:paraId="30428A92">
            <w:pPr>
              <w:adjustRightInd w:val="0"/>
              <w:snapToGrid w:val="0"/>
              <w:spacing w:line="320" w:lineRule="exact"/>
              <w:jc w:val="center"/>
              <w:rPr>
                <w:rFonts w:ascii="Times New Roman"/>
                <w:sz w:val="21"/>
                <w:szCs w:val="21"/>
              </w:rPr>
            </w:pPr>
            <w:r>
              <w:rPr>
                <w:rFonts w:ascii="Times New Roman"/>
                <w:sz w:val="21"/>
                <w:szCs w:val="21"/>
              </w:rPr>
              <w:t>工序</w:t>
            </w:r>
          </w:p>
        </w:tc>
        <w:tc>
          <w:tcPr>
            <w:tcW w:w="316" w:type="pct"/>
            <w:vAlign w:val="center"/>
          </w:tcPr>
          <w:p w14:paraId="724C9090">
            <w:pPr>
              <w:adjustRightInd w:val="0"/>
              <w:snapToGrid w:val="0"/>
              <w:spacing w:line="320" w:lineRule="exact"/>
              <w:jc w:val="center"/>
              <w:rPr>
                <w:rFonts w:ascii="Times New Roman"/>
                <w:sz w:val="21"/>
                <w:szCs w:val="21"/>
              </w:rPr>
            </w:pPr>
            <w:r>
              <w:rPr>
                <w:rFonts w:ascii="Times New Roman"/>
                <w:sz w:val="21"/>
                <w:szCs w:val="21"/>
              </w:rPr>
              <w:t>形态</w:t>
            </w:r>
          </w:p>
        </w:tc>
        <w:tc>
          <w:tcPr>
            <w:tcW w:w="438" w:type="pct"/>
            <w:vAlign w:val="center"/>
          </w:tcPr>
          <w:p w14:paraId="779F8948">
            <w:pPr>
              <w:adjustRightInd w:val="0"/>
              <w:snapToGrid w:val="0"/>
              <w:spacing w:line="320" w:lineRule="exact"/>
              <w:jc w:val="center"/>
              <w:rPr>
                <w:rFonts w:ascii="Times New Roman"/>
                <w:sz w:val="21"/>
                <w:szCs w:val="21"/>
              </w:rPr>
            </w:pPr>
            <w:r>
              <w:rPr>
                <w:rFonts w:ascii="Times New Roman"/>
                <w:sz w:val="21"/>
                <w:szCs w:val="21"/>
              </w:rPr>
              <w:t>有害</w:t>
            </w:r>
          </w:p>
          <w:p w14:paraId="456D3A4E">
            <w:pPr>
              <w:adjustRightInd w:val="0"/>
              <w:snapToGrid w:val="0"/>
              <w:spacing w:line="320" w:lineRule="exact"/>
              <w:jc w:val="center"/>
              <w:rPr>
                <w:rFonts w:ascii="Times New Roman"/>
                <w:sz w:val="21"/>
                <w:szCs w:val="21"/>
              </w:rPr>
            </w:pPr>
            <w:r>
              <w:rPr>
                <w:rFonts w:ascii="Times New Roman"/>
                <w:sz w:val="21"/>
                <w:szCs w:val="21"/>
              </w:rPr>
              <w:t>成分</w:t>
            </w:r>
          </w:p>
        </w:tc>
        <w:tc>
          <w:tcPr>
            <w:tcW w:w="319" w:type="pct"/>
            <w:vAlign w:val="center"/>
          </w:tcPr>
          <w:p w14:paraId="0538A8C1">
            <w:pPr>
              <w:adjustRightInd w:val="0"/>
              <w:snapToGrid w:val="0"/>
              <w:spacing w:line="320" w:lineRule="exact"/>
              <w:jc w:val="center"/>
              <w:rPr>
                <w:rFonts w:ascii="Times New Roman"/>
                <w:sz w:val="21"/>
                <w:szCs w:val="21"/>
              </w:rPr>
            </w:pPr>
            <w:r>
              <w:rPr>
                <w:rFonts w:ascii="Times New Roman"/>
                <w:sz w:val="21"/>
                <w:szCs w:val="21"/>
              </w:rPr>
              <w:t>产废</w:t>
            </w:r>
          </w:p>
          <w:p w14:paraId="7C355F32">
            <w:pPr>
              <w:adjustRightInd w:val="0"/>
              <w:snapToGrid w:val="0"/>
              <w:spacing w:line="320" w:lineRule="exact"/>
              <w:jc w:val="center"/>
              <w:rPr>
                <w:rFonts w:ascii="Times New Roman"/>
                <w:sz w:val="21"/>
                <w:szCs w:val="21"/>
              </w:rPr>
            </w:pPr>
            <w:r>
              <w:rPr>
                <w:rFonts w:ascii="Times New Roman"/>
                <w:sz w:val="21"/>
                <w:szCs w:val="21"/>
              </w:rPr>
              <w:t>周期</w:t>
            </w:r>
          </w:p>
        </w:tc>
        <w:tc>
          <w:tcPr>
            <w:tcW w:w="277" w:type="pct"/>
            <w:vAlign w:val="center"/>
          </w:tcPr>
          <w:p w14:paraId="28C2F660">
            <w:pPr>
              <w:adjustRightInd w:val="0"/>
              <w:snapToGrid w:val="0"/>
              <w:spacing w:line="320" w:lineRule="exact"/>
              <w:jc w:val="center"/>
              <w:rPr>
                <w:rFonts w:ascii="Times New Roman"/>
                <w:sz w:val="21"/>
                <w:szCs w:val="21"/>
              </w:rPr>
            </w:pPr>
            <w:r>
              <w:rPr>
                <w:rFonts w:ascii="Times New Roman"/>
                <w:sz w:val="21"/>
                <w:szCs w:val="21"/>
              </w:rPr>
              <w:t>危险</w:t>
            </w:r>
          </w:p>
          <w:p w14:paraId="78DF9CF8">
            <w:pPr>
              <w:adjustRightInd w:val="0"/>
              <w:snapToGrid w:val="0"/>
              <w:spacing w:line="320" w:lineRule="exact"/>
              <w:jc w:val="center"/>
              <w:rPr>
                <w:rFonts w:ascii="Times New Roman"/>
                <w:sz w:val="21"/>
                <w:szCs w:val="21"/>
              </w:rPr>
            </w:pPr>
            <w:r>
              <w:rPr>
                <w:rFonts w:ascii="Times New Roman"/>
                <w:sz w:val="21"/>
                <w:szCs w:val="21"/>
              </w:rPr>
              <w:t>特性</w:t>
            </w:r>
          </w:p>
        </w:tc>
        <w:tc>
          <w:tcPr>
            <w:tcW w:w="453" w:type="pct"/>
            <w:vAlign w:val="center"/>
          </w:tcPr>
          <w:p w14:paraId="44BA88AE">
            <w:pPr>
              <w:adjustRightInd w:val="0"/>
              <w:snapToGrid w:val="0"/>
              <w:spacing w:line="320" w:lineRule="exact"/>
              <w:jc w:val="center"/>
              <w:rPr>
                <w:rFonts w:ascii="Times New Roman"/>
                <w:sz w:val="21"/>
                <w:szCs w:val="21"/>
              </w:rPr>
            </w:pPr>
            <w:r>
              <w:rPr>
                <w:rFonts w:ascii="Times New Roman"/>
                <w:sz w:val="21"/>
                <w:szCs w:val="21"/>
              </w:rPr>
              <w:t>污染防治措施</w:t>
            </w:r>
          </w:p>
        </w:tc>
      </w:tr>
      <w:tr w14:paraId="6566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33216B19">
            <w:pPr>
              <w:adjustRightInd w:val="0"/>
              <w:snapToGrid w:val="0"/>
              <w:spacing w:line="320" w:lineRule="exact"/>
              <w:jc w:val="center"/>
              <w:rPr>
                <w:rFonts w:ascii="Times New Roman"/>
                <w:sz w:val="21"/>
                <w:szCs w:val="21"/>
              </w:rPr>
            </w:pPr>
            <w:r>
              <w:rPr>
                <w:rFonts w:ascii="Times New Roman"/>
                <w:sz w:val="21"/>
                <w:szCs w:val="21"/>
              </w:rPr>
              <w:t>漆渣</w:t>
            </w:r>
          </w:p>
        </w:tc>
        <w:tc>
          <w:tcPr>
            <w:tcW w:w="467" w:type="pct"/>
            <w:vAlign w:val="center"/>
          </w:tcPr>
          <w:p w14:paraId="3CEAE07F">
            <w:pPr>
              <w:adjustRightInd w:val="0"/>
              <w:snapToGrid w:val="0"/>
              <w:spacing w:line="320" w:lineRule="exact"/>
              <w:jc w:val="center"/>
              <w:rPr>
                <w:rFonts w:ascii="Times New Roman"/>
                <w:sz w:val="21"/>
                <w:szCs w:val="21"/>
              </w:rPr>
            </w:pPr>
            <w:r>
              <w:rPr>
                <w:rFonts w:ascii="Times New Roman"/>
                <w:sz w:val="21"/>
                <w:szCs w:val="21"/>
              </w:rPr>
              <w:t>HW12</w:t>
            </w:r>
          </w:p>
        </w:tc>
        <w:tc>
          <w:tcPr>
            <w:tcW w:w="703" w:type="pct"/>
            <w:vAlign w:val="center"/>
          </w:tcPr>
          <w:p w14:paraId="5B981C66">
            <w:pPr>
              <w:topLinePunct/>
              <w:adjustRightInd w:val="0"/>
              <w:snapToGrid w:val="0"/>
              <w:spacing w:line="320" w:lineRule="exact"/>
              <w:jc w:val="center"/>
              <w:rPr>
                <w:rFonts w:ascii="Times New Roman"/>
                <w:sz w:val="21"/>
                <w:szCs w:val="21"/>
              </w:rPr>
            </w:pPr>
            <w:r>
              <w:rPr>
                <w:rFonts w:ascii="Times New Roman"/>
                <w:sz w:val="21"/>
                <w:szCs w:val="21"/>
              </w:rPr>
              <w:t>900-252-12</w:t>
            </w:r>
          </w:p>
        </w:tc>
        <w:tc>
          <w:tcPr>
            <w:tcW w:w="440" w:type="pct"/>
            <w:shd w:val="clear" w:color="auto" w:fill="auto"/>
            <w:vAlign w:val="center"/>
          </w:tcPr>
          <w:p w14:paraId="2934F0F0">
            <w:pPr>
              <w:adjustRightInd w:val="0"/>
              <w:snapToGrid w:val="0"/>
              <w:spacing w:line="320" w:lineRule="exact"/>
              <w:jc w:val="center"/>
              <w:rPr>
                <w:rFonts w:ascii="Times New Roman"/>
                <w:sz w:val="21"/>
                <w:szCs w:val="21"/>
              </w:rPr>
            </w:pPr>
            <w:r>
              <w:rPr>
                <w:rFonts w:hint="eastAsia" w:ascii="Times New Roman"/>
                <w:sz w:val="21"/>
                <w:szCs w:val="21"/>
              </w:rPr>
              <w:t>181.703</w:t>
            </w:r>
          </w:p>
        </w:tc>
        <w:tc>
          <w:tcPr>
            <w:tcW w:w="726" w:type="pct"/>
            <w:vMerge w:val="restart"/>
            <w:vAlign w:val="center"/>
          </w:tcPr>
          <w:p w14:paraId="14226886">
            <w:pPr>
              <w:adjustRightInd w:val="0"/>
              <w:snapToGrid w:val="0"/>
              <w:spacing w:line="320" w:lineRule="exact"/>
              <w:jc w:val="center"/>
              <w:rPr>
                <w:rFonts w:ascii="Times New Roman"/>
                <w:sz w:val="21"/>
                <w:szCs w:val="21"/>
              </w:rPr>
            </w:pPr>
            <w:r>
              <w:rPr>
                <w:rFonts w:hint="eastAsia" w:ascii="Times New Roman"/>
                <w:sz w:val="21"/>
                <w:szCs w:val="21"/>
              </w:rPr>
              <w:t>电泳、</w:t>
            </w:r>
            <w:r>
              <w:rPr>
                <w:rFonts w:ascii="Times New Roman"/>
                <w:sz w:val="21"/>
                <w:szCs w:val="21"/>
              </w:rPr>
              <w:t>喷漆</w:t>
            </w:r>
          </w:p>
        </w:tc>
        <w:tc>
          <w:tcPr>
            <w:tcW w:w="316" w:type="pct"/>
            <w:vAlign w:val="center"/>
          </w:tcPr>
          <w:p w14:paraId="37C4195F">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093F9329">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356DA5A5">
            <w:pPr>
              <w:topLinePunct/>
              <w:adjustRightInd w:val="0"/>
              <w:snapToGrid w:val="0"/>
              <w:spacing w:line="320" w:lineRule="exact"/>
              <w:jc w:val="center"/>
              <w:rPr>
                <w:rFonts w:ascii="Times New Roman"/>
                <w:sz w:val="21"/>
                <w:szCs w:val="21"/>
              </w:rPr>
            </w:pPr>
            <w:r>
              <w:rPr>
                <w:rFonts w:hint="eastAsia" w:ascii="Times New Roman"/>
                <w:sz w:val="21"/>
                <w:szCs w:val="21"/>
              </w:rPr>
              <w:t>m</w:t>
            </w:r>
          </w:p>
        </w:tc>
        <w:tc>
          <w:tcPr>
            <w:tcW w:w="277" w:type="pct"/>
            <w:vAlign w:val="center"/>
          </w:tcPr>
          <w:p w14:paraId="3976393A">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restart"/>
            <w:vAlign w:val="center"/>
          </w:tcPr>
          <w:p w14:paraId="3E032CCE">
            <w:pPr>
              <w:adjustRightInd w:val="0"/>
              <w:snapToGrid w:val="0"/>
              <w:spacing w:line="320" w:lineRule="exact"/>
              <w:jc w:val="center"/>
              <w:rPr>
                <w:rFonts w:ascii="Times New Roman"/>
                <w:sz w:val="21"/>
                <w:szCs w:val="21"/>
              </w:rPr>
            </w:pPr>
            <w:r>
              <w:rPr>
                <w:rFonts w:ascii="Times New Roman"/>
                <w:sz w:val="21"/>
                <w:szCs w:val="21"/>
              </w:rPr>
              <w:t>暂存于危废间，定期交有资质单位处理</w:t>
            </w:r>
          </w:p>
        </w:tc>
      </w:tr>
      <w:tr w14:paraId="5E21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856" w:type="pct"/>
            <w:vAlign w:val="center"/>
          </w:tcPr>
          <w:p w14:paraId="3C8A2FBF">
            <w:pPr>
              <w:adjustRightInd w:val="0"/>
              <w:snapToGrid w:val="0"/>
              <w:spacing w:line="320" w:lineRule="exact"/>
              <w:jc w:val="center"/>
              <w:rPr>
                <w:rFonts w:ascii="Times New Roman"/>
                <w:sz w:val="21"/>
                <w:szCs w:val="21"/>
              </w:rPr>
            </w:pPr>
            <w:r>
              <w:rPr>
                <w:rFonts w:ascii="Times New Roman"/>
                <w:sz w:val="21"/>
                <w:szCs w:val="21"/>
              </w:rPr>
              <w:t>废油漆桶、废稀释剂桶</w:t>
            </w:r>
          </w:p>
        </w:tc>
        <w:tc>
          <w:tcPr>
            <w:tcW w:w="467" w:type="pct"/>
            <w:vAlign w:val="center"/>
          </w:tcPr>
          <w:p w14:paraId="51CC89A9">
            <w:pPr>
              <w:adjustRightInd w:val="0"/>
              <w:snapToGrid w:val="0"/>
              <w:spacing w:line="320" w:lineRule="exact"/>
              <w:jc w:val="center"/>
              <w:rPr>
                <w:rFonts w:ascii="Times New Roman"/>
                <w:sz w:val="21"/>
                <w:szCs w:val="21"/>
              </w:rPr>
            </w:pPr>
            <w:r>
              <w:rPr>
                <w:rFonts w:ascii="Times New Roman"/>
                <w:sz w:val="21"/>
                <w:szCs w:val="21"/>
              </w:rPr>
              <w:t>HW12</w:t>
            </w:r>
          </w:p>
        </w:tc>
        <w:tc>
          <w:tcPr>
            <w:tcW w:w="703" w:type="pct"/>
            <w:vAlign w:val="center"/>
          </w:tcPr>
          <w:p w14:paraId="61666116">
            <w:pPr>
              <w:topLinePunct/>
              <w:adjustRightInd w:val="0"/>
              <w:snapToGrid w:val="0"/>
              <w:spacing w:line="320" w:lineRule="exact"/>
              <w:jc w:val="center"/>
              <w:rPr>
                <w:rFonts w:ascii="Times New Roman"/>
                <w:sz w:val="21"/>
                <w:szCs w:val="21"/>
              </w:rPr>
            </w:pPr>
            <w:r>
              <w:rPr>
                <w:rFonts w:ascii="Times New Roman"/>
                <w:sz w:val="21"/>
                <w:szCs w:val="21"/>
              </w:rPr>
              <w:t>900-252-12</w:t>
            </w:r>
          </w:p>
        </w:tc>
        <w:tc>
          <w:tcPr>
            <w:tcW w:w="440" w:type="pct"/>
            <w:shd w:val="clear" w:color="auto" w:fill="auto"/>
            <w:vAlign w:val="center"/>
          </w:tcPr>
          <w:p w14:paraId="23AB8FB3">
            <w:pPr>
              <w:adjustRightInd w:val="0"/>
              <w:snapToGrid w:val="0"/>
              <w:spacing w:line="320" w:lineRule="exact"/>
              <w:jc w:val="center"/>
              <w:rPr>
                <w:rFonts w:ascii="Times New Roman"/>
                <w:sz w:val="21"/>
                <w:szCs w:val="21"/>
              </w:rPr>
            </w:pPr>
            <w:r>
              <w:rPr>
                <w:rFonts w:hint="eastAsia" w:ascii="Times New Roman"/>
                <w:sz w:val="21"/>
                <w:szCs w:val="21"/>
              </w:rPr>
              <w:t>7</w:t>
            </w:r>
          </w:p>
        </w:tc>
        <w:tc>
          <w:tcPr>
            <w:tcW w:w="726" w:type="pct"/>
            <w:vMerge w:val="continue"/>
            <w:vAlign w:val="center"/>
          </w:tcPr>
          <w:p w14:paraId="65E9271B">
            <w:pPr>
              <w:adjustRightInd w:val="0"/>
              <w:snapToGrid w:val="0"/>
              <w:spacing w:line="320" w:lineRule="exact"/>
              <w:jc w:val="center"/>
              <w:rPr>
                <w:rFonts w:ascii="Times New Roman"/>
                <w:sz w:val="21"/>
                <w:szCs w:val="21"/>
              </w:rPr>
            </w:pPr>
          </w:p>
        </w:tc>
        <w:tc>
          <w:tcPr>
            <w:tcW w:w="316" w:type="pct"/>
            <w:vAlign w:val="center"/>
          </w:tcPr>
          <w:p w14:paraId="18ADDDC1">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1009D38C">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320C0FE8">
            <w:pPr>
              <w:topLinePunct/>
              <w:adjustRightInd w:val="0"/>
              <w:snapToGrid w:val="0"/>
              <w:spacing w:line="320" w:lineRule="exact"/>
              <w:jc w:val="center"/>
              <w:rPr>
                <w:rFonts w:ascii="Times New Roman"/>
                <w:sz w:val="21"/>
                <w:szCs w:val="21"/>
              </w:rPr>
            </w:pPr>
            <w:r>
              <w:rPr>
                <w:rFonts w:hint="eastAsia" w:ascii="Times New Roman"/>
                <w:sz w:val="21"/>
                <w:szCs w:val="21"/>
              </w:rPr>
              <w:t>d</w:t>
            </w:r>
          </w:p>
        </w:tc>
        <w:tc>
          <w:tcPr>
            <w:tcW w:w="277" w:type="pct"/>
            <w:vAlign w:val="center"/>
          </w:tcPr>
          <w:p w14:paraId="227A65E9">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07721DBF">
            <w:pPr>
              <w:adjustRightInd w:val="0"/>
              <w:snapToGrid w:val="0"/>
              <w:spacing w:line="320" w:lineRule="exact"/>
              <w:jc w:val="center"/>
              <w:rPr>
                <w:rFonts w:ascii="Times New Roman"/>
                <w:sz w:val="21"/>
                <w:szCs w:val="21"/>
              </w:rPr>
            </w:pPr>
          </w:p>
        </w:tc>
      </w:tr>
      <w:tr w14:paraId="480B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6C249A79">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467" w:type="pct"/>
            <w:shd w:val="clear" w:color="auto" w:fill="auto"/>
            <w:vAlign w:val="center"/>
          </w:tcPr>
          <w:p w14:paraId="5613EFDD">
            <w:pPr>
              <w:adjustRightInd w:val="0"/>
              <w:snapToGrid w:val="0"/>
              <w:spacing w:line="320" w:lineRule="exact"/>
              <w:jc w:val="center"/>
              <w:rPr>
                <w:rFonts w:ascii="Times New Roman"/>
                <w:sz w:val="21"/>
                <w:szCs w:val="21"/>
              </w:rPr>
            </w:pPr>
            <w:r>
              <w:rPr>
                <w:rFonts w:ascii="Times New Roman"/>
                <w:sz w:val="21"/>
                <w:szCs w:val="21"/>
              </w:rPr>
              <w:t>HW09</w:t>
            </w:r>
          </w:p>
        </w:tc>
        <w:tc>
          <w:tcPr>
            <w:tcW w:w="703" w:type="pct"/>
            <w:shd w:val="clear" w:color="auto" w:fill="auto"/>
            <w:vAlign w:val="center"/>
          </w:tcPr>
          <w:p w14:paraId="54B76283">
            <w:pPr>
              <w:topLinePunct/>
              <w:adjustRightInd w:val="0"/>
              <w:snapToGrid w:val="0"/>
              <w:spacing w:line="320" w:lineRule="exact"/>
              <w:jc w:val="center"/>
              <w:rPr>
                <w:rFonts w:ascii="Times New Roman"/>
                <w:sz w:val="21"/>
                <w:szCs w:val="21"/>
              </w:rPr>
            </w:pPr>
            <w:r>
              <w:rPr>
                <w:rFonts w:ascii="Times New Roman"/>
                <w:sz w:val="21"/>
                <w:szCs w:val="21"/>
              </w:rPr>
              <w:t>900-00</w:t>
            </w:r>
            <w:r>
              <w:rPr>
                <w:rFonts w:hint="eastAsia" w:ascii="Times New Roman"/>
                <w:sz w:val="21"/>
                <w:szCs w:val="21"/>
              </w:rPr>
              <w:t>7</w:t>
            </w:r>
            <w:r>
              <w:rPr>
                <w:rFonts w:ascii="Times New Roman"/>
                <w:sz w:val="21"/>
                <w:szCs w:val="21"/>
              </w:rPr>
              <w:t>-09</w:t>
            </w:r>
          </w:p>
        </w:tc>
        <w:tc>
          <w:tcPr>
            <w:tcW w:w="440" w:type="pct"/>
            <w:shd w:val="clear" w:color="auto" w:fill="auto"/>
            <w:vAlign w:val="center"/>
          </w:tcPr>
          <w:p w14:paraId="349A3A5C">
            <w:pPr>
              <w:adjustRightInd w:val="0"/>
              <w:snapToGrid w:val="0"/>
              <w:spacing w:line="320" w:lineRule="exact"/>
              <w:jc w:val="center"/>
              <w:rPr>
                <w:rFonts w:ascii="Times New Roman"/>
                <w:sz w:val="21"/>
                <w:szCs w:val="21"/>
              </w:rPr>
            </w:pPr>
            <w:r>
              <w:rPr>
                <w:rFonts w:hint="eastAsia" w:ascii="Times New Roman"/>
                <w:sz w:val="21"/>
                <w:szCs w:val="21"/>
              </w:rPr>
              <w:t>5</w:t>
            </w:r>
          </w:p>
        </w:tc>
        <w:tc>
          <w:tcPr>
            <w:tcW w:w="726" w:type="pct"/>
            <w:vAlign w:val="center"/>
          </w:tcPr>
          <w:p w14:paraId="17DA2ECC">
            <w:pPr>
              <w:adjustRightInd w:val="0"/>
              <w:snapToGrid w:val="0"/>
              <w:spacing w:line="320" w:lineRule="exact"/>
              <w:jc w:val="center"/>
              <w:rPr>
                <w:rFonts w:ascii="Times New Roman"/>
                <w:sz w:val="21"/>
                <w:szCs w:val="21"/>
              </w:rPr>
            </w:pPr>
            <w:r>
              <w:rPr>
                <w:rFonts w:hint="eastAsia" w:ascii="Times New Roman"/>
                <w:sz w:val="21"/>
                <w:szCs w:val="21"/>
              </w:rPr>
              <w:t>脱脂</w:t>
            </w:r>
          </w:p>
        </w:tc>
        <w:tc>
          <w:tcPr>
            <w:tcW w:w="316" w:type="pct"/>
            <w:shd w:val="clear" w:color="auto" w:fill="auto"/>
            <w:vAlign w:val="center"/>
          </w:tcPr>
          <w:p w14:paraId="6F9C404A">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shd w:val="clear" w:color="auto" w:fill="auto"/>
            <w:vAlign w:val="center"/>
          </w:tcPr>
          <w:p w14:paraId="17A2CE6A">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shd w:val="clear" w:color="auto" w:fill="auto"/>
            <w:vAlign w:val="center"/>
          </w:tcPr>
          <w:p w14:paraId="2CC1E92A">
            <w:pPr>
              <w:topLinePunct/>
              <w:adjustRightInd w:val="0"/>
              <w:snapToGrid w:val="0"/>
              <w:spacing w:line="320" w:lineRule="exact"/>
              <w:jc w:val="center"/>
              <w:rPr>
                <w:rFonts w:ascii="Times New Roman"/>
                <w:sz w:val="21"/>
                <w:szCs w:val="21"/>
              </w:rPr>
            </w:pPr>
            <w:r>
              <w:rPr>
                <w:rFonts w:hint="eastAsia" w:ascii="Times New Roman"/>
                <w:sz w:val="21"/>
                <w:szCs w:val="21"/>
              </w:rPr>
              <w:t>d</w:t>
            </w:r>
          </w:p>
        </w:tc>
        <w:tc>
          <w:tcPr>
            <w:tcW w:w="277" w:type="pct"/>
            <w:shd w:val="clear" w:color="auto" w:fill="auto"/>
            <w:vAlign w:val="center"/>
          </w:tcPr>
          <w:p w14:paraId="7D028A83">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2B5846FE">
            <w:pPr>
              <w:adjustRightInd w:val="0"/>
              <w:snapToGrid w:val="0"/>
              <w:spacing w:line="320" w:lineRule="exact"/>
              <w:jc w:val="center"/>
              <w:rPr>
                <w:rFonts w:ascii="Times New Roman"/>
                <w:sz w:val="21"/>
                <w:szCs w:val="21"/>
              </w:rPr>
            </w:pPr>
          </w:p>
        </w:tc>
      </w:tr>
      <w:tr w14:paraId="116F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66CB57B3">
            <w:pPr>
              <w:adjustRightInd w:val="0"/>
              <w:snapToGrid w:val="0"/>
              <w:spacing w:line="320" w:lineRule="exact"/>
              <w:jc w:val="center"/>
              <w:rPr>
                <w:rFonts w:ascii="Times New Roman"/>
                <w:sz w:val="21"/>
                <w:szCs w:val="21"/>
              </w:rPr>
            </w:pPr>
            <w:r>
              <w:rPr>
                <w:rFonts w:ascii="Times New Roman"/>
                <w:sz w:val="21"/>
                <w:szCs w:val="21"/>
              </w:rPr>
              <w:t>废滤芯、杂质</w:t>
            </w:r>
          </w:p>
        </w:tc>
        <w:tc>
          <w:tcPr>
            <w:tcW w:w="467" w:type="pct"/>
            <w:shd w:val="clear" w:color="auto" w:fill="auto"/>
            <w:vAlign w:val="center"/>
          </w:tcPr>
          <w:p w14:paraId="74A73460">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703" w:type="pct"/>
            <w:shd w:val="clear" w:color="auto" w:fill="auto"/>
            <w:vAlign w:val="center"/>
          </w:tcPr>
          <w:p w14:paraId="78FC9440">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440" w:type="pct"/>
            <w:shd w:val="clear" w:color="auto" w:fill="auto"/>
            <w:vAlign w:val="center"/>
          </w:tcPr>
          <w:p w14:paraId="0EC7FA60">
            <w:pPr>
              <w:adjustRightInd w:val="0"/>
              <w:snapToGrid w:val="0"/>
              <w:spacing w:line="320" w:lineRule="exact"/>
              <w:jc w:val="center"/>
              <w:rPr>
                <w:rFonts w:ascii="Times New Roman"/>
                <w:sz w:val="21"/>
                <w:szCs w:val="21"/>
              </w:rPr>
            </w:pPr>
            <w:r>
              <w:rPr>
                <w:rFonts w:hint="eastAsia" w:ascii="Times New Roman"/>
                <w:sz w:val="21"/>
                <w:szCs w:val="21"/>
              </w:rPr>
              <w:t>2.8</w:t>
            </w:r>
          </w:p>
        </w:tc>
        <w:tc>
          <w:tcPr>
            <w:tcW w:w="726" w:type="pct"/>
            <w:vAlign w:val="center"/>
          </w:tcPr>
          <w:p w14:paraId="7C8CA09F">
            <w:pPr>
              <w:adjustRightInd w:val="0"/>
              <w:snapToGrid w:val="0"/>
              <w:spacing w:line="320" w:lineRule="exact"/>
              <w:jc w:val="center"/>
              <w:rPr>
                <w:rFonts w:ascii="Times New Roman"/>
                <w:sz w:val="21"/>
                <w:szCs w:val="21"/>
              </w:rPr>
            </w:pPr>
            <w:r>
              <w:rPr>
                <w:rFonts w:hint="eastAsia" w:ascii="Times New Roman"/>
                <w:kern w:val="0"/>
                <w:sz w:val="21"/>
                <w:szCs w:val="21"/>
              </w:rPr>
              <w:t>脱脂、硅烷化</w:t>
            </w:r>
          </w:p>
        </w:tc>
        <w:tc>
          <w:tcPr>
            <w:tcW w:w="316" w:type="pct"/>
            <w:shd w:val="clear" w:color="auto" w:fill="auto"/>
            <w:vAlign w:val="center"/>
          </w:tcPr>
          <w:p w14:paraId="0DEE3071">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shd w:val="clear" w:color="auto" w:fill="auto"/>
            <w:vAlign w:val="center"/>
          </w:tcPr>
          <w:p w14:paraId="4DD40336">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shd w:val="clear" w:color="auto" w:fill="auto"/>
            <w:vAlign w:val="center"/>
          </w:tcPr>
          <w:p w14:paraId="16E5456F">
            <w:pPr>
              <w:topLinePunct/>
              <w:adjustRightInd w:val="0"/>
              <w:snapToGrid w:val="0"/>
              <w:spacing w:line="320" w:lineRule="exact"/>
              <w:jc w:val="center"/>
              <w:rPr>
                <w:rFonts w:ascii="Times New Roman"/>
                <w:sz w:val="21"/>
                <w:szCs w:val="21"/>
              </w:rPr>
            </w:pPr>
            <w:r>
              <w:rPr>
                <w:rFonts w:hint="eastAsia" w:ascii="Times New Roman"/>
                <w:sz w:val="21"/>
                <w:szCs w:val="21"/>
              </w:rPr>
              <w:t>0.5</w:t>
            </w:r>
            <w:r>
              <w:rPr>
                <w:rFonts w:ascii="Times New Roman"/>
                <w:sz w:val="21"/>
                <w:szCs w:val="21"/>
              </w:rPr>
              <w:t>a</w:t>
            </w:r>
          </w:p>
        </w:tc>
        <w:tc>
          <w:tcPr>
            <w:tcW w:w="277" w:type="pct"/>
            <w:shd w:val="clear" w:color="auto" w:fill="auto"/>
            <w:vAlign w:val="center"/>
          </w:tcPr>
          <w:p w14:paraId="108A3EC8">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56BEB036">
            <w:pPr>
              <w:adjustRightInd w:val="0"/>
              <w:snapToGrid w:val="0"/>
              <w:spacing w:line="320" w:lineRule="exact"/>
              <w:jc w:val="center"/>
              <w:rPr>
                <w:rFonts w:ascii="Times New Roman"/>
                <w:sz w:val="21"/>
                <w:szCs w:val="21"/>
              </w:rPr>
            </w:pPr>
          </w:p>
        </w:tc>
      </w:tr>
      <w:tr w14:paraId="6590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6E2E50F1">
            <w:pPr>
              <w:adjustRightInd w:val="0"/>
              <w:snapToGrid w:val="0"/>
              <w:spacing w:line="320" w:lineRule="exact"/>
              <w:jc w:val="center"/>
              <w:rPr>
                <w:rFonts w:ascii="Times New Roman"/>
                <w:sz w:val="21"/>
                <w:szCs w:val="21"/>
              </w:rPr>
            </w:pPr>
            <w:r>
              <w:rPr>
                <w:rFonts w:ascii="Times New Roman"/>
                <w:sz w:val="21"/>
                <w:szCs w:val="21"/>
              </w:rPr>
              <w:t>废液压油</w:t>
            </w:r>
          </w:p>
        </w:tc>
        <w:tc>
          <w:tcPr>
            <w:tcW w:w="467" w:type="pct"/>
            <w:vAlign w:val="center"/>
          </w:tcPr>
          <w:p w14:paraId="6471DEB0">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vAlign w:val="center"/>
          </w:tcPr>
          <w:p w14:paraId="2E2FCEAA">
            <w:pPr>
              <w:topLinePunct/>
              <w:adjustRightInd w:val="0"/>
              <w:snapToGrid w:val="0"/>
              <w:spacing w:line="320" w:lineRule="exact"/>
              <w:jc w:val="center"/>
              <w:rPr>
                <w:rFonts w:ascii="Times New Roman"/>
                <w:sz w:val="21"/>
                <w:szCs w:val="21"/>
              </w:rPr>
            </w:pPr>
            <w:r>
              <w:rPr>
                <w:rFonts w:ascii="Times New Roman"/>
                <w:sz w:val="21"/>
                <w:szCs w:val="21"/>
              </w:rPr>
              <w:t>900-218-08</w:t>
            </w:r>
          </w:p>
        </w:tc>
        <w:tc>
          <w:tcPr>
            <w:tcW w:w="440" w:type="pct"/>
            <w:shd w:val="clear" w:color="auto" w:fill="auto"/>
            <w:vAlign w:val="center"/>
          </w:tcPr>
          <w:p w14:paraId="25404633">
            <w:pPr>
              <w:adjustRightInd w:val="0"/>
              <w:snapToGrid w:val="0"/>
              <w:spacing w:line="320" w:lineRule="exact"/>
              <w:jc w:val="center"/>
              <w:rPr>
                <w:rFonts w:ascii="Times New Roman"/>
                <w:sz w:val="21"/>
                <w:szCs w:val="21"/>
              </w:rPr>
            </w:pPr>
            <w:r>
              <w:rPr>
                <w:rFonts w:ascii="Times New Roman"/>
                <w:sz w:val="21"/>
                <w:szCs w:val="21"/>
              </w:rPr>
              <w:t>1.2</w:t>
            </w:r>
          </w:p>
        </w:tc>
        <w:tc>
          <w:tcPr>
            <w:tcW w:w="726" w:type="pct"/>
            <w:vAlign w:val="center"/>
          </w:tcPr>
          <w:p w14:paraId="2D243782">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49F0442C">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vAlign w:val="center"/>
          </w:tcPr>
          <w:p w14:paraId="37E3C63E">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3264E252">
            <w:pPr>
              <w:topLinePunct/>
              <w:adjustRightInd w:val="0"/>
              <w:snapToGrid w:val="0"/>
              <w:spacing w:line="320" w:lineRule="exact"/>
              <w:jc w:val="center"/>
              <w:rPr>
                <w:rFonts w:ascii="Times New Roman"/>
                <w:sz w:val="21"/>
                <w:szCs w:val="21"/>
              </w:rPr>
            </w:pPr>
            <w:r>
              <w:rPr>
                <w:rFonts w:ascii="Times New Roman"/>
                <w:sz w:val="21"/>
                <w:szCs w:val="21"/>
              </w:rPr>
              <w:t>2a</w:t>
            </w:r>
          </w:p>
        </w:tc>
        <w:tc>
          <w:tcPr>
            <w:tcW w:w="277" w:type="pct"/>
            <w:vAlign w:val="center"/>
          </w:tcPr>
          <w:p w14:paraId="3659FB2C">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4AFC44CE">
            <w:pPr>
              <w:adjustRightInd w:val="0"/>
              <w:snapToGrid w:val="0"/>
              <w:spacing w:line="320" w:lineRule="exact"/>
              <w:jc w:val="center"/>
              <w:rPr>
                <w:rFonts w:ascii="Times New Roman"/>
                <w:sz w:val="21"/>
                <w:szCs w:val="21"/>
              </w:rPr>
            </w:pPr>
          </w:p>
        </w:tc>
      </w:tr>
      <w:tr w14:paraId="3327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378FDB58">
            <w:pPr>
              <w:adjustRightInd w:val="0"/>
              <w:snapToGrid w:val="0"/>
              <w:spacing w:line="320" w:lineRule="exact"/>
              <w:jc w:val="center"/>
              <w:rPr>
                <w:rFonts w:ascii="Times New Roman"/>
                <w:sz w:val="21"/>
                <w:szCs w:val="21"/>
              </w:rPr>
            </w:pPr>
            <w:r>
              <w:rPr>
                <w:rFonts w:ascii="Times New Roman"/>
                <w:sz w:val="21"/>
                <w:szCs w:val="21"/>
              </w:rPr>
              <w:t>废润滑油</w:t>
            </w:r>
          </w:p>
        </w:tc>
        <w:tc>
          <w:tcPr>
            <w:tcW w:w="467" w:type="pct"/>
            <w:vAlign w:val="center"/>
          </w:tcPr>
          <w:p w14:paraId="6CFA73CB">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vAlign w:val="center"/>
          </w:tcPr>
          <w:p w14:paraId="0C34AE8F">
            <w:pPr>
              <w:adjustRightInd w:val="0"/>
              <w:snapToGrid w:val="0"/>
              <w:spacing w:line="320" w:lineRule="exact"/>
              <w:jc w:val="center"/>
              <w:rPr>
                <w:rFonts w:ascii="Times New Roman"/>
                <w:sz w:val="21"/>
                <w:szCs w:val="21"/>
              </w:rPr>
            </w:pPr>
            <w:r>
              <w:rPr>
                <w:rFonts w:ascii="Times New Roman"/>
                <w:sz w:val="21"/>
                <w:szCs w:val="21"/>
              </w:rPr>
              <w:t>900-217-08</w:t>
            </w:r>
          </w:p>
        </w:tc>
        <w:tc>
          <w:tcPr>
            <w:tcW w:w="440" w:type="pct"/>
            <w:shd w:val="clear" w:color="auto" w:fill="auto"/>
            <w:vAlign w:val="center"/>
          </w:tcPr>
          <w:p w14:paraId="077E43F8">
            <w:pPr>
              <w:adjustRightInd w:val="0"/>
              <w:snapToGrid w:val="0"/>
              <w:spacing w:line="320" w:lineRule="exact"/>
              <w:jc w:val="center"/>
              <w:rPr>
                <w:rFonts w:ascii="Times New Roman"/>
                <w:sz w:val="21"/>
                <w:szCs w:val="21"/>
              </w:rPr>
            </w:pPr>
            <w:r>
              <w:rPr>
                <w:rFonts w:ascii="Times New Roman"/>
                <w:sz w:val="21"/>
                <w:szCs w:val="21"/>
              </w:rPr>
              <w:t>2</w:t>
            </w:r>
          </w:p>
        </w:tc>
        <w:tc>
          <w:tcPr>
            <w:tcW w:w="726" w:type="pct"/>
            <w:vAlign w:val="center"/>
          </w:tcPr>
          <w:p w14:paraId="371FAD3A">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20F9C500">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vAlign w:val="center"/>
          </w:tcPr>
          <w:p w14:paraId="5D5FD20D">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2204C742">
            <w:pPr>
              <w:topLinePunct/>
              <w:adjustRightInd w:val="0"/>
              <w:snapToGrid w:val="0"/>
              <w:spacing w:line="320" w:lineRule="exact"/>
              <w:jc w:val="center"/>
              <w:rPr>
                <w:rFonts w:ascii="Times New Roman"/>
                <w:sz w:val="21"/>
                <w:szCs w:val="21"/>
              </w:rPr>
            </w:pPr>
            <w:r>
              <w:rPr>
                <w:rFonts w:ascii="Times New Roman"/>
                <w:sz w:val="21"/>
                <w:szCs w:val="21"/>
              </w:rPr>
              <w:t>a</w:t>
            </w:r>
          </w:p>
        </w:tc>
        <w:tc>
          <w:tcPr>
            <w:tcW w:w="277" w:type="pct"/>
            <w:vAlign w:val="center"/>
          </w:tcPr>
          <w:p w14:paraId="3C7F3B52">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20443F69">
            <w:pPr>
              <w:adjustRightInd w:val="0"/>
              <w:snapToGrid w:val="0"/>
              <w:spacing w:line="320" w:lineRule="exact"/>
              <w:jc w:val="center"/>
              <w:rPr>
                <w:rFonts w:ascii="Times New Roman"/>
                <w:sz w:val="21"/>
                <w:szCs w:val="21"/>
              </w:rPr>
            </w:pPr>
          </w:p>
        </w:tc>
      </w:tr>
      <w:tr w14:paraId="6939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253AA307">
            <w:pPr>
              <w:adjustRightInd w:val="0"/>
              <w:snapToGrid w:val="0"/>
              <w:spacing w:line="320" w:lineRule="exact"/>
              <w:jc w:val="center"/>
              <w:rPr>
                <w:rFonts w:ascii="Times New Roman"/>
                <w:sz w:val="21"/>
                <w:szCs w:val="21"/>
              </w:rPr>
            </w:pPr>
            <w:r>
              <w:rPr>
                <w:rFonts w:ascii="Times New Roman"/>
                <w:sz w:val="21"/>
                <w:szCs w:val="21"/>
              </w:rPr>
              <w:t>废油桶</w:t>
            </w:r>
          </w:p>
        </w:tc>
        <w:tc>
          <w:tcPr>
            <w:tcW w:w="467" w:type="pct"/>
            <w:vAlign w:val="center"/>
          </w:tcPr>
          <w:p w14:paraId="31ED6E3A">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vAlign w:val="center"/>
          </w:tcPr>
          <w:p w14:paraId="52D4EE8C">
            <w:pPr>
              <w:topLinePunct/>
              <w:adjustRightInd w:val="0"/>
              <w:snapToGrid w:val="0"/>
              <w:spacing w:line="320" w:lineRule="exact"/>
              <w:jc w:val="center"/>
              <w:rPr>
                <w:rFonts w:ascii="Times New Roman"/>
                <w:sz w:val="21"/>
                <w:szCs w:val="21"/>
              </w:rPr>
            </w:pPr>
            <w:r>
              <w:rPr>
                <w:rFonts w:ascii="Times New Roman"/>
                <w:sz w:val="21"/>
                <w:szCs w:val="21"/>
              </w:rPr>
              <w:t>900-249-08</w:t>
            </w:r>
          </w:p>
        </w:tc>
        <w:tc>
          <w:tcPr>
            <w:tcW w:w="440" w:type="pct"/>
            <w:shd w:val="clear" w:color="auto" w:fill="auto"/>
            <w:vAlign w:val="center"/>
          </w:tcPr>
          <w:p w14:paraId="36C15134">
            <w:pPr>
              <w:adjustRightInd w:val="0"/>
              <w:snapToGrid w:val="0"/>
              <w:spacing w:line="320" w:lineRule="exact"/>
              <w:jc w:val="center"/>
              <w:rPr>
                <w:rFonts w:ascii="Times New Roman"/>
                <w:sz w:val="21"/>
                <w:szCs w:val="21"/>
              </w:rPr>
            </w:pPr>
            <w:r>
              <w:rPr>
                <w:rFonts w:ascii="Times New Roman"/>
                <w:sz w:val="21"/>
                <w:szCs w:val="21"/>
              </w:rPr>
              <w:t>0.4</w:t>
            </w:r>
          </w:p>
        </w:tc>
        <w:tc>
          <w:tcPr>
            <w:tcW w:w="726" w:type="pct"/>
            <w:vAlign w:val="center"/>
          </w:tcPr>
          <w:p w14:paraId="2B45FD63">
            <w:pPr>
              <w:adjustRightInd w:val="0"/>
              <w:snapToGrid w:val="0"/>
              <w:spacing w:line="320" w:lineRule="exact"/>
              <w:jc w:val="center"/>
              <w:rPr>
                <w:rFonts w:ascii="Times New Roman"/>
                <w:sz w:val="21"/>
                <w:szCs w:val="21"/>
              </w:rPr>
            </w:pPr>
            <w:r>
              <w:rPr>
                <w:rFonts w:ascii="Times New Roman"/>
                <w:sz w:val="21"/>
                <w:szCs w:val="21"/>
              </w:rPr>
              <w:t>原料包装</w:t>
            </w:r>
          </w:p>
        </w:tc>
        <w:tc>
          <w:tcPr>
            <w:tcW w:w="316" w:type="pct"/>
            <w:vAlign w:val="center"/>
          </w:tcPr>
          <w:p w14:paraId="1A4E096F">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1FA2C58C">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5490E06C">
            <w:pPr>
              <w:topLinePunct/>
              <w:adjustRightInd w:val="0"/>
              <w:snapToGrid w:val="0"/>
              <w:spacing w:line="320" w:lineRule="exact"/>
              <w:jc w:val="center"/>
              <w:rPr>
                <w:rFonts w:ascii="Times New Roman"/>
                <w:sz w:val="21"/>
                <w:szCs w:val="21"/>
              </w:rPr>
            </w:pPr>
            <w:r>
              <w:rPr>
                <w:rFonts w:ascii="Times New Roman"/>
                <w:sz w:val="21"/>
                <w:szCs w:val="21"/>
              </w:rPr>
              <w:t>a</w:t>
            </w:r>
          </w:p>
        </w:tc>
        <w:tc>
          <w:tcPr>
            <w:tcW w:w="277" w:type="pct"/>
            <w:vAlign w:val="center"/>
          </w:tcPr>
          <w:p w14:paraId="2BACCC42">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44ECCFEF">
            <w:pPr>
              <w:adjustRightInd w:val="0"/>
              <w:snapToGrid w:val="0"/>
              <w:spacing w:line="320" w:lineRule="exact"/>
              <w:jc w:val="center"/>
              <w:rPr>
                <w:rFonts w:ascii="Times New Roman"/>
                <w:sz w:val="21"/>
                <w:szCs w:val="21"/>
              </w:rPr>
            </w:pPr>
          </w:p>
        </w:tc>
      </w:tr>
      <w:tr w14:paraId="55FD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17F82988">
            <w:pPr>
              <w:adjustRightInd w:val="0"/>
              <w:snapToGrid w:val="0"/>
              <w:spacing w:line="320" w:lineRule="exact"/>
              <w:jc w:val="center"/>
              <w:rPr>
                <w:rFonts w:ascii="Times New Roman"/>
                <w:sz w:val="21"/>
                <w:szCs w:val="21"/>
              </w:rPr>
            </w:pPr>
            <w:r>
              <w:rPr>
                <w:rFonts w:ascii="Times New Roman"/>
                <w:sz w:val="21"/>
                <w:szCs w:val="21"/>
              </w:rPr>
              <w:t>废切削液</w:t>
            </w:r>
          </w:p>
        </w:tc>
        <w:tc>
          <w:tcPr>
            <w:tcW w:w="467" w:type="pct"/>
            <w:vAlign w:val="center"/>
          </w:tcPr>
          <w:p w14:paraId="52D06898">
            <w:pPr>
              <w:adjustRightInd w:val="0"/>
              <w:snapToGrid w:val="0"/>
              <w:spacing w:line="320" w:lineRule="exact"/>
              <w:jc w:val="center"/>
              <w:rPr>
                <w:rFonts w:ascii="Times New Roman"/>
                <w:sz w:val="21"/>
                <w:szCs w:val="21"/>
              </w:rPr>
            </w:pPr>
            <w:r>
              <w:rPr>
                <w:rFonts w:ascii="Times New Roman"/>
                <w:sz w:val="21"/>
                <w:szCs w:val="21"/>
              </w:rPr>
              <w:t>HW09</w:t>
            </w:r>
          </w:p>
        </w:tc>
        <w:tc>
          <w:tcPr>
            <w:tcW w:w="703" w:type="pct"/>
            <w:vAlign w:val="center"/>
          </w:tcPr>
          <w:p w14:paraId="4164C67A">
            <w:pPr>
              <w:topLinePunct/>
              <w:adjustRightInd w:val="0"/>
              <w:snapToGrid w:val="0"/>
              <w:spacing w:line="320" w:lineRule="exact"/>
              <w:jc w:val="center"/>
              <w:rPr>
                <w:rFonts w:ascii="Times New Roman"/>
                <w:sz w:val="21"/>
                <w:szCs w:val="21"/>
              </w:rPr>
            </w:pPr>
            <w:r>
              <w:rPr>
                <w:rFonts w:ascii="Times New Roman"/>
                <w:sz w:val="21"/>
                <w:szCs w:val="21"/>
              </w:rPr>
              <w:t>900-006-09</w:t>
            </w:r>
          </w:p>
        </w:tc>
        <w:tc>
          <w:tcPr>
            <w:tcW w:w="440" w:type="pct"/>
            <w:shd w:val="clear" w:color="auto" w:fill="auto"/>
            <w:vAlign w:val="center"/>
          </w:tcPr>
          <w:p w14:paraId="0F532BA6">
            <w:pPr>
              <w:adjustRightInd w:val="0"/>
              <w:snapToGrid w:val="0"/>
              <w:spacing w:line="320" w:lineRule="exact"/>
              <w:jc w:val="center"/>
              <w:rPr>
                <w:rFonts w:ascii="Times New Roman"/>
                <w:sz w:val="21"/>
                <w:szCs w:val="21"/>
              </w:rPr>
            </w:pPr>
            <w:r>
              <w:rPr>
                <w:rFonts w:ascii="Times New Roman"/>
                <w:sz w:val="21"/>
                <w:szCs w:val="21"/>
              </w:rPr>
              <w:t>7.5</w:t>
            </w:r>
          </w:p>
        </w:tc>
        <w:tc>
          <w:tcPr>
            <w:tcW w:w="726" w:type="pct"/>
            <w:shd w:val="clear" w:color="auto" w:fill="auto"/>
            <w:vAlign w:val="center"/>
          </w:tcPr>
          <w:p w14:paraId="449C5070">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0DBAB75C">
            <w:pPr>
              <w:topLinePunct/>
              <w:adjustRightInd w:val="0"/>
              <w:snapToGrid w:val="0"/>
              <w:spacing w:line="320" w:lineRule="exact"/>
              <w:jc w:val="center"/>
              <w:rPr>
                <w:rFonts w:ascii="Times New Roman"/>
                <w:sz w:val="21"/>
                <w:szCs w:val="21"/>
              </w:rPr>
            </w:pPr>
            <w:r>
              <w:rPr>
                <w:rFonts w:ascii="Times New Roman"/>
                <w:sz w:val="21"/>
                <w:szCs w:val="21"/>
              </w:rPr>
              <w:t>液体</w:t>
            </w:r>
          </w:p>
        </w:tc>
        <w:tc>
          <w:tcPr>
            <w:tcW w:w="438" w:type="pct"/>
            <w:vAlign w:val="center"/>
          </w:tcPr>
          <w:p w14:paraId="3C8C203B">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2DA0C246">
            <w:pPr>
              <w:topLinePunct/>
              <w:adjustRightInd w:val="0"/>
              <w:snapToGrid w:val="0"/>
              <w:spacing w:line="320" w:lineRule="exact"/>
              <w:jc w:val="center"/>
              <w:rPr>
                <w:rFonts w:ascii="Times New Roman"/>
                <w:sz w:val="21"/>
                <w:szCs w:val="21"/>
              </w:rPr>
            </w:pPr>
            <w:r>
              <w:rPr>
                <w:rFonts w:ascii="Times New Roman"/>
                <w:sz w:val="21"/>
                <w:szCs w:val="21"/>
              </w:rPr>
              <w:t>0.5a</w:t>
            </w:r>
          </w:p>
        </w:tc>
        <w:tc>
          <w:tcPr>
            <w:tcW w:w="277" w:type="pct"/>
            <w:vAlign w:val="center"/>
          </w:tcPr>
          <w:p w14:paraId="35143495">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2A0419B1">
            <w:pPr>
              <w:adjustRightInd w:val="0"/>
              <w:snapToGrid w:val="0"/>
              <w:spacing w:line="320" w:lineRule="exact"/>
              <w:jc w:val="center"/>
              <w:rPr>
                <w:rFonts w:ascii="Times New Roman"/>
                <w:sz w:val="21"/>
                <w:szCs w:val="21"/>
              </w:rPr>
            </w:pPr>
          </w:p>
        </w:tc>
      </w:tr>
      <w:tr w14:paraId="1017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4BC312F7">
            <w:pPr>
              <w:adjustRightInd w:val="0"/>
              <w:snapToGrid w:val="0"/>
              <w:spacing w:line="320" w:lineRule="exact"/>
              <w:jc w:val="center"/>
              <w:rPr>
                <w:rFonts w:ascii="Times New Roman"/>
                <w:sz w:val="21"/>
                <w:szCs w:val="21"/>
              </w:rPr>
            </w:pPr>
            <w:r>
              <w:rPr>
                <w:rFonts w:ascii="Times New Roman"/>
                <w:sz w:val="21"/>
                <w:szCs w:val="21"/>
              </w:rPr>
              <w:t>废切削液桶</w:t>
            </w:r>
          </w:p>
        </w:tc>
        <w:tc>
          <w:tcPr>
            <w:tcW w:w="467" w:type="pct"/>
            <w:shd w:val="clear" w:color="auto" w:fill="auto"/>
            <w:vAlign w:val="center"/>
          </w:tcPr>
          <w:p w14:paraId="58D1382F">
            <w:pPr>
              <w:adjustRightInd w:val="0"/>
              <w:snapToGrid w:val="0"/>
              <w:spacing w:line="320" w:lineRule="exact"/>
              <w:jc w:val="center"/>
              <w:rPr>
                <w:rFonts w:ascii="Times New Roman"/>
                <w:sz w:val="21"/>
                <w:szCs w:val="21"/>
              </w:rPr>
            </w:pPr>
            <w:r>
              <w:rPr>
                <w:rFonts w:ascii="Times New Roman"/>
                <w:sz w:val="21"/>
                <w:szCs w:val="21"/>
              </w:rPr>
              <w:t>HW08</w:t>
            </w:r>
          </w:p>
        </w:tc>
        <w:tc>
          <w:tcPr>
            <w:tcW w:w="703" w:type="pct"/>
            <w:shd w:val="clear" w:color="auto" w:fill="auto"/>
            <w:vAlign w:val="center"/>
          </w:tcPr>
          <w:p w14:paraId="0648B0BF">
            <w:pPr>
              <w:topLinePunct/>
              <w:adjustRightInd w:val="0"/>
              <w:snapToGrid w:val="0"/>
              <w:spacing w:line="320" w:lineRule="exact"/>
              <w:jc w:val="center"/>
              <w:rPr>
                <w:rFonts w:ascii="Times New Roman"/>
                <w:sz w:val="21"/>
                <w:szCs w:val="21"/>
              </w:rPr>
            </w:pPr>
            <w:r>
              <w:rPr>
                <w:rFonts w:ascii="Times New Roman"/>
                <w:sz w:val="21"/>
                <w:szCs w:val="21"/>
              </w:rPr>
              <w:t>900-249-08</w:t>
            </w:r>
          </w:p>
        </w:tc>
        <w:tc>
          <w:tcPr>
            <w:tcW w:w="440" w:type="pct"/>
            <w:shd w:val="clear" w:color="auto" w:fill="auto"/>
            <w:vAlign w:val="center"/>
          </w:tcPr>
          <w:p w14:paraId="3B978FEB">
            <w:pPr>
              <w:adjustRightInd w:val="0"/>
              <w:snapToGrid w:val="0"/>
              <w:spacing w:line="320" w:lineRule="exact"/>
              <w:jc w:val="center"/>
              <w:rPr>
                <w:rFonts w:ascii="Times New Roman"/>
                <w:sz w:val="21"/>
                <w:szCs w:val="21"/>
              </w:rPr>
            </w:pPr>
            <w:r>
              <w:rPr>
                <w:rFonts w:hint="eastAsia" w:ascii="Times New Roman"/>
                <w:sz w:val="21"/>
                <w:szCs w:val="21"/>
              </w:rPr>
              <w:t>0.8</w:t>
            </w:r>
          </w:p>
        </w:tc>
        <w:tc>
          <w:tcPr>
            <w:tcW w:w="726" w:type="pct"/>
            <w:shd w:val="clear" w:color="auto" w:fill="auto"/>
            <w:vAlign w:val="center"/>
          </w:tcPr>
          <w:p w14:paraId="28896A32">
            <w:pPr>
              <w:adjustRightInd w:val="0"/>
              <w:snapToGrid w:val="0"/>
              <w:spacing w:line="320" w:lineRule="exact"/>
              <w:jc w:val="center"/>
              <w:rPr>
                <w:rFonts w:ascii="Times New Roman"/>
                <w:sz w:val="21"/>
                <w:szCs w:val="21"/>
              </w:rPr>
            </w:pPr>
            <w:r>
              <w:rPr>
                <w:rFonts w:ascii="Times New Roman"/>
                <w:sz w:val="21"/>
                <w:szCs w:val="21"/>
              </w:rPr>
              <w:t>原料包装</w:t>
            </w:r>
          </w:p>
        </w:tc>
        <w:tc>
          <w:tcPr>
            <w:tcW w:w="316" w:type="pct"/>
            <w:shd w:val="clear" w:color="auto" w:fill="auto"/>
            <w:vAlign w:val="center"/>
          </w:tcPr>
          <w:p w14:paraId="388917B6">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shd w:val="clear" w:color="auto" w:fill="auto"/>
            <w:vAlign w:val="center"/>
          </w:tcPr>
          <w:p w14:paraId="7C294D39">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shd w:val="clear" w:color="auto" w:fill="auto"/>
            <w:vAlign w:val="center"/>
          </w:tcPr>
          <w:p w14:paraId="6B15FFF6">
            <w:pPr>
              <w:topLinePunct/>
              <w:adjustRightInd w:val="0"/>
              <w:snapToGrid w:val="0"/>
              <w:spacing w:line="320" w:lineRule="exact"/>
              <w:jc w:val="center"/>
              <w:rPr>
                <w:rFonts w:ascii="Times New Roman"/>
                <w:sz w:val="21"/>
                <w:szCs w:val="21"/>
              </w:rPr>
            </w:pPr>
            <w:r>
              <w:rPr>
                <w:rFonts w:ascii="Times New Roman"/>
                <w:sz w:val="21"/>
                <w:szCs w:val="21"/>
              </w:rPr>
              <w:t>0.5a</w:t>
            </w:r>
          </w:p>
        </w:tc>
        <w:tc>
          <w:tcPr>
            <w:tcW w:w="277" w:type="pct"/>
            <w:shd w:val="clear" w:color="auto" w:fill="auto"/>
            <w:vAlign w:val="center"/>
          </w:tcPr>
          <w:p w14:paraId="7EC4F885">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03A7AC0A">
            <w:pPr>
              <w:adjustRightInd w:val="0"/>
              <w:snapToGrid w:val="0"/>
              <w:spacing w:line="320" w:lineRule="exact"/>
              <w:jc w:val="center"/>
              <w:rPr>
                <w:rFonts w:ascii="Times New Roman"/>
                <w:sz w:val="21"/>
                <w:szCs w:val="21"/>
              </w:rPr>
            </w:pPr>
          </w:p>
        </w:tc>
      </w:tr>
      <w:tr w14:paraId="0588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4CE3C7AC">
            <w:pPr>
              <w:adjustRightInd w:val="0"/>
              <w:snapToGrid w:val="0"/>
              <w:spacing w:line="320" w:lineRule="exact"/>
              <w:jc w:val="center"/>
              <w:rPr>
                <w:rFonts w:ascii="Times New Roman"/>
                <w:sz w:val="21"/>
                <w:szCs w:val="21"/>
              </w:rPr>
            </w:pPr>
            <w:r>
              <w:rPr>
                <w:rFonts w:ascii="Times New Roman"/>
                <w:sz w:val="21"/>
                <w:szCs w:val="21"/>
              </w:rPr>
              <w:t>含油金属屑</w:t>
            </w:r>
          </w:p>
        </w:tc>
        <w:tc>
          <w:tcPr>
            <w:tcW w:w="467" w:type="pct"/>
            <w:vAlign w:val="center"/>
          </w:tcPr>
          <w:p w14:paraId="5D4DAA6E">
            <w:pPr>
              <w:adjustRightInd w:val="0"/>
              <w:snapToGrid w:val="0"/>
              <w:spacing w:line="320" w:lineRule="exact"/>
              <w:jc w:val="center"/>
              <w:rPr>
                <w:rFonts w:ascii="Times New Roman"/>
                <w:sz w:val="21"/>
                <w:szCs w:val="21"/>
              </w:rPr>
            </w:pPr>
            <w:r>
              <w:rPr>
                <w:rFonts w:ascii="Times New Roman"/>
                <w:sz w:val="21"/>
                <w:szCs w:val="21"/>
              </w:rPr>
              <w:t>HW09</w:t>
            </w:r>
          </w:p>
        </w:tc>
        <w:tc>
          <w:tcPr>
            <w:tcW w:w="703" w:type="pct"/>
            <w:vAlign w:val="center"/>
          </w:tcPr>
          <w:p w14:paraId="7A5CAD88">
            <w:pPr>
              <w:adjustRightInd w:val="0"/>
              <w:snapToGrid w:val="0"/>
              <w:spacing w:line="320" w:lineRule="exact"/>
              <w:jc w:val="center"/>
              <w:rPr>
                <w:rFonts w:ascii="Times New Roman"/>
                <w:sz w:val="21"/>
                <w:szCs w:val="21"/>
              </w:rPr>
            </w:pPr>
            <w:r>
              <w:rPr>
                <w:rFonts w:ascii="Times New Roman"/>
                <w:sz w:val="21"/>
                <w:szCs w:val="21"/>
              </w:rPr>
              <w:t>900-006-09</w:t>
            </w:r>
          </w:p>
        </w:tc>
        <w:tc>
          <w:tcPr>
            <w:tcW w:w="440" w:type="pct"/>
            <w:shd w:val="clear" w:color="auto" w:fill="auto"/>
            <w:vAlign w:val="center"/>
          </w:tcPr>
          <w:p w14:paraId="11C5CE88">
            <w:pPr>
              <w:adjustRightInd w:val="0"/>
              <w:snapToGrid w:val="0"/>
              <w:spacing w:line="320" w:lineRule="exact"/>
              <w:jc w:val="center"/>
              <w:rPr>
                <w:rFonts w:ascii="Times New Roman"/>
                <w:sz w:val="21"/>
                <w:szCs w:val="21"/>
              </w:rPr>
            </w:pPr>
            <w:r>
              <w:rPr>
                <w:rFonts w:ascii="Times New Roman"/>
                <w:sz w:val="21"/>
                <w:szCs w:val="21"/>
              </w:rPr>
              <w:t>2</w:t>
            </w:r>
          </w:p>
        </w:tc>
        <w:tc>
          <w:tcPr>
            <w:tcW w:w="726" w:type="pct"/>
            <w:shd w:val="clear" w:color="auto" w:fill="auto"/>
            <w:vAlign w:val="center"/>
          </w:tcPr>
          <w:p w14:paraId="74C7891E">
            <w:pPr>
              <w:adjustRightInd w:val="0"/>
              <w:snapToGrid w:val="0"/>
              <w:spacing w:line="320" w:lineRule="exact"/>
              <w:jc w:val="center"/>
              <w:rPr>
                <w:rFonts w:ascii="Times New Roman"/>
                <w:sz w:val="21"/>
                <w:szCs w:val="21"/>
              </w:rPr>
            </w:pPr>
            <w:r>
              <w:rPr>
                <w:rFonts w:ascii="Times New Roman"/>
                <w:sz w:val="21"/>
                <w:szCs w:val="21"/>
              </w:rPr>
              <w:t>机械设备</w:t>
            </w:r>
          </w:p>
        </w:tc>
        <w:tc>
          <w:tcPr>
            <w:tcW w:w="316" w:type="pct"/>
            <w:vAlign w:val="center"/>
          </w:tcPr>
          <w:p w14:paraId="247F29C3">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729D6581">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1094AED3">
            <w:pPr>
              <w:topLinePunct/>
              <w:adjustRightInd w:val="0"/>
              <w:snapToGrid w:val="0"/>
              <w:spacing w:line="320" w:lineRule="exact"/>
              <w:jc w:val="center"/>
              <w:rPr>
                <w:rFonts w:ascii="Times New Roman"/>
                <w:sz w:val="21"/>
                <w:szCs w:val="21"/>
              </w:rPr>
            </w:pPr>
            <w:r>
              <w:rPr>
                <w:rFonts w:hint="eastAsia" w:ascii="Times New Roman"/>
                <w:sz w:val="21"/>
                <w:szCs w:val="21"/>
              </w:rPr>
              <w:t>d</w:t>
            </w:r>
          </w:p>
        </w:tc>
        <w:tc>
          <w:tcPr>
            <w:tcW w:w="277" w:type="pct"/>
            <w:vAlign w:val="center"/>
          </w:tcPr>
          <w:p w14:paraId="40EB122D">
            <w:pPr>
              <w:topLinePunct/>
              <w:adjustRightInd w:val="0"/>
              <w:snapToGrid w:val="0"/>
              <w:spacing w:line="320" w:lineRule="exact"/>
              <w:jc w:val="center"/>
              <w:rPr>
                <w:rFonts w:ascii="Times New Roman"/>
                <w:sz w:val="21"/>
                <w:szCs w:val="21"/>
              </w:rPr>
            </w:pPr>
            <w:r>
              <w:rPr>
                <w:rFonts w:ascii="Times New Roman"/>
                <w:sz w:val="21"/>
                <w:szCs w:val="21"/>
              </w:rPr>
              <w:t>T，I</w:t>
            </w:r>
          </w:p>
        </w:tc>
        <w:tc>
          <w:tcPr>
            <w:tcW w:w="453" w:type="pct"/>
            <w:vMerge w:val="continue"/>
            <w:vAlign w:val="center"/>
          </w:tcPr>
          <w:p w14:paraId="304C84BB">
            <w:pPr>
              <w:adjustRightInd w:val="0"/>
              <w:snapToGrid w:val="0"/>
              <w:spacing w:line="320" w:lineRule="exact"/>
              <w:jc w:val="center"/>
              <w:rPr>
                <w:rFonts w:ascii="Times New Roman"/>
                <w:sz w:val="21"/>
                <w:szCs w:val="21"/>
              </w:rPr>
            </w:pPr>
          </w:p>
        </w:tc>
      </w:tr>
      <w:tr w14:paraId="21FE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344B4CD1">
            <w:pPr>
              <w:adjustRightInd w:val="0"/>
              <w:snapToGrid w:val="0"/>
              <w:spacing w:line="320" w:lineRule="exact"/>
              <w:jc w:val="center"/>
              <w:rPr>
                <w:rFonts w:ascii="Times New Roman"/>
                <w:sz w:val="21"/>
                <w:szCs w:val="21"/>
              </w:rPr>
            </w:pPr>
            <w:r>
              <w:rPr>
                <w:rFonts w:hint="eastAsia" w:ascii="Times New Roman"/>
                <w:sz w:val="21"/>
                <w:szCs w:val="21"/>
              </w:rPr>
              <w:t>污泥</w:t>
            </w:r>
          </w:p>
        </w:tc>
        <w:tc>
          <w:tcPr>
            <w:tcW w:w="467" w:type="pct"/>
            <w:shd w:val="clear" w:color="auto" w:fill="auto"/>
            <w:vAlign w:val="center"/>
          </w:tcPr>
          <w:p w14:paraId="45FB200C">
            <w:pPr>
              <w:adjustRightInd w:val="0"/>
              <w:snapToGrid w:val="0"/>
              <w:spacing w:line="320" w:lineRule="exact"/>
              <w:jc w:val="center"/>
              <w:rPr>
                <w:rFonts w:ascii="Times New Roman"/>
                <w:sz w:val="21"/>
                <w:szCs w:val="21"/>
              </w:rPr>
            </w:pPr>
            <w:r>
              <w:rPr>
                <w:rFonts w:ascii="Times New Roman"/>
                <w:sz w:val="21"/>
                <w:szCs w:val="21"/>
              </w:rPr>
              <w:t>HW</w:t>
            </w:r>
            <w:r>
              <w:rPr>
                <w:rFonts w:hint="eastAsia" w:ascii="Times New Roman"/>
                <w:sz w:val="21"/>
                <w:szCs w:val="21"/>
              </w:rPr>
              <w:t>17</w:t>
            </w:r>
          </w:p>
        </w:tc>
        <w:tc>
          <w:tcPr>
            <w:tcW w:w="703" w:type="pct"/>
            <w:shd w:val="clear" w:color="auto" w:fill="auto"/>
            <w:vAlign w:val="center"/>
          </w:tcPr>
          <w:p w14:paraId="0806CABE">
            <w:pPr>
              <w:adjustRightInd w:val="0"/>
              <w:snapToGrid w:val="0"/>
              <w:spacing w:line="320" w:lineRule="exact"/>
              <w:jc w:val="center"/>
              <w:rPr>
                <w:rFonts w:ascii="Times New Roman"/>
                <w:sz w:val="21"/>
                <w:szCs w:val="21"/>
              </w:rPr>
            </w:pPr>
            <w:r>
              <w:rPr>
                <w:rFonts w:hint="eastAsia" w:ascii="Times New Roman"/>
                <w:sz w:val="21"/>
                <w:szCs w:val="21"/>
              </w:rPr>
              <w:t>336</w:t>
            </w:r>
            <w:r>
              <w:rPr>
                <w:rFonts w:ascii="Times New Roman"/>
                <w:sz w:val="21"/>
                <w:szCs w:val="21"/>
              </w:rPr>
              <w:t>-</w:t>
            </w:r>
            <w:r>
              <w:rPr>
                <w:rFonts w:hint="eastAsia" w:ascii="Times New Roman"/>
                <w:sz w:val="21"/>
                <w:szCs w:val="21"/>
              </w:rPr>
              <w:t>064</w:t>
            </w:r>
            <w:r>
              <w:rPr>
                <w:rFonts w:ascii="Times New Roman"/>
                <w:sz w:val="21"/>
                <w:szCs w:val="21"/>
              </w:rPr>
              <w:t>-</w:t>
            </w:r>
            <w:r>
              <w:rPr>
                <w:rFonts w:hint="eastAsia" w:ascii="Times New Roman"/>
                <w:sz w:val="21"/>
                <w:szCs w:val="21"/>
              </w:rPr>
              <w:t>17</w:t>
            </w:r>
          </w:p>
        </w:tc>
        <w:tc>
          <w:tcPr>
            <w:tcW w:w="440" w:type="pct"/>
            <w:shd w:val="clear" w:color="auto" w:fill="auto"/>
            <w:vAlign w:val="center"/>
          </w:tcPr>
          <w:p w14:paraId="647E6F1D">
            <w:pPr>
              <w:adjustRightInd w:val="0"/>
              <w:snapToGrid w:val="0"/>
              <w:spacing w:line="320" w:lineRule="exact"/>
              <w:jc w:val="center"/>
              <w:rPr>
                <w:rFonts w:ascii="Times New Roman"/>
                <w:sz w:val="21"/>
                <w:szCs w:val="21"/>
              </w:rPr>
            </w:pPr>
            <w:r>
              <w:rPr>
                <w:rFonts w:hint="eastAsia" w:ascii="Times New Roman"/>
                <w:sz w:val="21"/>
                <w:szCs w:val="21"/>
              </w:rPr>
              <w:t>25.931</w:t>
            </w:r>
          </w:p>
        </w:tc>
        <w:tc>
          <w:tcPr>
            <w:tcW w:w="726" w:type="pct"/>
            <w:vAlign w:val="center"/>
          </w:tcPr>
          <w:p w14:paraId="5D90EE31">
            <w:pPr>
              <w:adjustRightInd w:val="0"/>
              <w:snapToGrid w:val="0"/>
              <w:spacing w:line="320" w:lineRule="exact"/>
              <w:jc w:val="center"/>
              <w:rPr>
                <w:rFonts w:ascii="Times New Roman"/>
                <w:sz w:val="21"/>
                <w:szCs w:val="21"/>
              </w:rPr>
            </w:pPr>
            <w:r>
              <w:rPr>
                <w:rFonts w:hint="eastAsia" w:ascii="Times New Roman"/>
                <w:sz w:val="21"/>
                <w:szCs w:val="21"/>
              </w:rPr>
              <w:t>污水处理</w:t>
            </w:r>
          </w:p>
        </w:tc>
        <w:tc>
          <w:tcPr>
            <w:tcW w:w="316" w:type="pct"/>
            <w:vAlign w:val="center"/>
          </w:tcPr>
          <w:p w14:paraId="4AB11599">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2CD50D88">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7145B4D1">
            <w:pPr>
              <w:topLinePunct/>
              <w:adjustRightInd w:val="0"/>
              <w:snapToGrid w:val="0"/>
              <w:spacing w:line="320" w:lineRule="exact"/>
              <w:jc w:val="center"/>
              <w:rPr>
                <w:rFonts w:ascii="Times New Roman"/>
                <w:sz w:val="21"/>
                <w:szCs w:val="21"/>
              </w:rPr>
            </w:pPr>
            <w:r>
              <w:rPr>
                <w:rFonts w:ascii="Times New Roman"/>
                <w:sz w:val="21"/>
                <w:szCs w:val="21"/>
              </w:rPr>
              <w:t>0.5a</w:t>
            </w:r>
          </w:p>
        </w:tc>
        <w:tc>
          <w:tcPr>
            <w:tcW w:w="277" w:type="pct"/>
            <w:vAlign w:val="center"/>
          </w:tcPr>
          <w:p w14:paraId="591D290E">
            <w:pPr>
              <w:topLinePunct/>
              <w:adjustRightInd w:val="0"/>
              <w:snapToGrid w:val="0"/>
              <w:spacing w:line="320" w:lineRule="exact"/>
              <w:jc w:val="center"/>
              <w:rPr>
                <w:rFonts w:ascii="Times New Roman"/>
                <w:sz w:val="21"/>
                <w:szCs w:val="21"/>
              </w:rPr>
            </w:pPr>
            <w:r>
              <w:rPr>
                <w:rFonts w:ascii="Times New Roman"/>
                <w:sz w:val="21"/>
                <w:szCs w:val="21"/>
              </w:rPr>
              <w:t>T/In</w:t>
            </w:r>
          </w:p>
        </w:tc>
        <w:tc>
          <w:tcPr>
            <w:tcW w:w="453" w:type="pct"/>
            <w:vMerge w:val="continue"/>
            <w:vAlign w:val="center"/>
          </w:tcPr>
          <w:p w14:paraId="727D531C">
            <w:pPr>
              <w:adjustRightInd w:val="0"/>
              <w:snapToGrid w:val="0"/>
              <w:spacing w:line="320" w:lineRule="exact"/>
              <w:jc w:val="center"/>
              <w:rPr>
                <w:rFonts w:ascii="Times New Roman"/>
                <w:sz w:val="21"/>
                <w:szCs w:val="21"/>
              </w:rPr>
            </w:pPr>
          </w:p>
        </w:tc>
      </w:tr>
      <w:tr w14:paraId="4832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01A464E5">
            <w:pPr>
              <w:adjustRightInd w:val="0"/>
              <w:snapToGrid w:val="0"/>
              <w:spacing w:line="320" w:lineRule="exact"/>
              <w:jc w:val="center"/>
              <w:rPr>
                <w:rFonts w:ascii="Times New Roman"/>
                <w:sz w:val="21"/>
                <w:szCs w:val="21"/>
              </w:rPr>
            </w:pPr>
            <w:r>
              <w:rPr>
                <w:rFonts w:ascii="Times New Roman"/>
                <w:sz w:val="21"/>
                <w:szCs w:val="21"/>
              </w:rPr>
              <w:t>废过滤棉</w:t>
            </w:r>
          </w:p>
        </w:tc>
        <w:tc>
          <w:tcPr>
            <w:tcW w:w="467" w:type="pct"/>
            <w:vAlign w:val="center"/>
          </w:tcPr>
          <w:p w14:paraId="6D94E8A2">
            <w:pPr>
              <w:adjustRightInd w:val="0"/>
              <w:snapToGrid w:val="0"/>
              <w:spacing w:line="320" w:lineRule="exact"/>
              <w:jc w:val="center"/>
              <w:rPr>
                <w:rFonts w:ascii="Times New Roman"/>
                <w:sz w:val="21"/>
                <w:szCs w:val="21"/>
              </w:rPr>
            </w:pPr>
            <w:r>
              <w:rPr>
                <w:rFonts w:ascii="Times New Roman"/>
                <w:sz w:val="21"/>
                <w:szCs w:val="21"/>
              </w:rPr>
              <w:t>HW49</w:t>
            </w:r>
          </w:p>
        </w:tc>
        <w:tc>
          <w:tcPr>
            <w:tcW w:w="703" w:type="pct"/>
            <w:vAlign w:val="center"/>
          </w:tcPr>
          <w:p w14:paraId="38C5C9A5">
            <w:pPr>
              <w:topLinePunct/>
              <w:adjustRightInd w:val="0"/>
              <w:snapToGrid w:val="0"/>
              <w:spacing w:line="320" w:lineRule="exact"/>
              <w:jc w:val="center"/>
              <w:rPr>
                <w:rFonts w:ascii="Times New Roman"/>
                <w:sz w:val="21"/>
                <w:szCs w:val="21"/>
              </w:rPr>
            </w:pPr>
            <w:r>
              <w:rPr>
                <w:rFonts w:ascii="Times New Roman"/>
                <w:sz w:val="21"/>
                <w:szCs w:val="21"/>
              </w:rPr>
              <w:t>900-041-49</w:t>
            </w:r>
          </w:p>
        </w:tc>
        <w:tc>
          <w:tcPr>
            <w:tcW w:w="440" w:type="pct"/>
            <w:shd w:val="clear" w:color="auto" w:fill="auto"/>
            <w:vAlign w:val="center"/>
          </w:tcPr>
          <w:p w14:paraId="75F52C21">
            <w:pPr>
              <w:adjustRightInd w:val="0"/>
              <w:snapToGrid w:val="0"/>
              <w:spacing w:line="320" w:lineRule="exact"/>
              <w:jc w:val="center"/>
              <w:rPr>
                <w:rFonts w:ascii="Times New Roman"/>
                <w:sz w:val="21"/>
                <w:szCs w:val="21"/>
              </w:rPr>
            </w:pPr>
            <w:r>
              <w:rPr>
                <w:rFonts w:ascii="Times New Roman"/>
                <w:sz w:val="21"/>
                <w:szCs w:val="21"/>
              </w:rPr>
              <w:t>3</w:t>
            </w:r>
          </w:p>
        </w:tc>
        <w:tc>
          <w:tcPr>
            <w:tcW w:w="726" w:type="pct"/>
            <w:vMerge w:val="restart"/>
            <w:vAlign w:val="center"/>
          </w:tcPr>
          <w:p w14:paraId="47966399">
            <w:pPr>
              <w:adjustRightInd w:val="0"/>
              <w:snapToGrid w:val="0"/>
              <w:spacing w:line="320" w:lineRule="exact"/>
              <w:jc w:val="center"/>
              <w:rPr>
                <w:rFonts w:ascii="Times New Roman"/>
                <w:sz w:val="21"/>
                <w:szCs w:val="21"/>
              </w:rPr>
            </w:pPr>
            <w:r>
              <w:rPr>
                <w:rFonts w:hint="eastAsia" w:ascii="Times New Roman"/>
                <w:sz w:val="21"/>
                <w:szCs w:val="21"/>
              </w:rPr>
              <w:t>废气治理</w:t>
            </w:r>
          </w:p>
        </w:tc>
        <w:tc>
          <w:tcPr>
            <w:tcW w:w="316" w:type="pct"/>
            <w:vAlign w:val="center"/>
          </w:tcPr>
          <w:p w14:paraId="11B4F5F6">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33EE84C2">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5DAF5BE7">
            <w:pPr>
              <w:topLinePunct/>
              <w:adjustRightInd w:val="0"/>
              <w:snapToGrid w:val="0"/>
              <w:spacing w:line="320" w:lineRule="exact"/>
              <w:jc w:val="center"/>
              <w:rPr>
                <w:rFonts w:ascii="Times New Roman"/>
                <w:sz w:val="21"/>
                <w:szCs w:val="21"/>
              </w:rPr>
            </w:pPr>
            <w:r>
              <w:rPr>
                <w:rFonts w:hint="eastAsia" w:ascii="Times New Roman"/>
                <w:sz w:val="21"/>
                <w:szCs w:val="21"/>
              </w:rPr>
              <w:t>m</w:t>
            </w:r>
          </w:p>
        </w:tc>
        <w:tc>
          <w:tcPr>
            <w:tcW w:w="277" w:type="pct"/>
            <w:vAlign w:val="center"/>
          </w:tcPr>
          <w:p w14:paraId="59C08D07">
            <w:pPr>
              <w:topLinePunct/>
              <w:adjustRightInd w:val="0"/>
              <w:snapToGrid w:val="0"/>
              <w:spacing w:line="320" w:lineRule="exact"/>
              <w:jc w:val="center"/>
              <w:rPr>
                <w:rFonts w:ascii="Times New Roman"/>
                <w:sz w:val="21"/>
                <w:szCs w:val="21"/>
              </w:rPr>
            </w:pPr>
            <w:r>
              <w:rPr>
                <w:rFonts w:ascii="Times New Roman"/>
                <w:sz w:val="21"/>
                <w:szCs w:val="21"/>
              </w:rPr>
              <w:t>T/In</w:t>
            </w:r>
          </w:p>
        </w:tc>
        <w:tc>
          <w:tcPr>
            <w:tcW w:w="453" w:type="pct"/>
            <w:vMerge w:val="continue"/>
            <w:vAlign w:val="center"/>
          </w:tcPr>
          <w:p w14:paraId="4849B8CB">
            <w:pPr>
              <w:adjustRightInd w:val="0"/>
              <w:snapToGrid w:val="0"/>
              <w:spacing w:line="320" w:lineRule="exact"/>
              <w:jc w:val="center"/>
              <w:rPr>
                <w:rFonts w:ascii="Times New Roman"/>
                <w:sz w:val="21"/>
                <w:szCs w:val="21"/>
              </w:rPr>
            </w:pPr>
          </w:p>
        </w:tc>
      </w:tr>
      <w:tr w14:paraId="7DA5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003ABABB">
            <w:pPr>
              <w:adjustRightInd w:val="0"/>
              <w:snapToGrid w:val="0"/>
              <w:spacing w:line="320" w:lineRule="exact"/>
              <w:jc w:val="center"/>
              <w:rPr>
                <w:rFonts w:ascii="Times New Roman"/>
                <w:sz w:val="21"/>
                <w:szCs w:val="21"/>
              </w:rPr>
            </w:pPr>
            <w:r>
              <w:rPr>
                <w:rFonts w:ascii="Times New Roman"/>
                <w:sz w:val="21"/>
                <w:szCs w:val="21"/>
              </w:rPr>
              <w:t>废沸石分子筛</w:t>
            </w:r>
          </w:p>
        </w:tc>
        <w:tc>
          <w:tcPr>
            <w:tcW w:w="467" w:type="pct"/>
            <w:shd w:val="clear" w:color="auto" w:fill="auto"/>
            <w:vAlign w:val="center"/>
          </w:tcPr>
          <w:p w14:paraId="2662775F">
            <w:pPr>
              <w:adjustRightInd w:val="0"/>
              <w:snapToGrid w:val="0"/>
              <w:spacing w:line="320" w:lineRule="exact"/>
              <w:jc w:val="center"/>
              <w:rPr>
                <w:rFonts w:ascii="Times New Roman"/>
                <w:sz w:val="21"/>
                <w:szCs w:val="21"/>
              </w:rPr>
            </w:pPr>
            <w:r>
              <w:rPr>
                <w:rFonts w:ascii="Times New Roman"/>
                <w:sz w:val="21"/>
                <w:szCs w:val="21"/>
              </w:rPr>
              <w:t>HW49</w:t>
            </w:r>
          </w:p>
        </w:tc>
        <w:tc>
          <w:tcPr>
            <w:tcW w:w="703" w:type="pct"/>
            <w:shd w:val="clear" w:color="auto" w:fill="auto"/>
            <w:vAlign w:val="center"/>
          </w:tcPr>
          <w:p w14:paraId="69E075A4">
            <w:pPr>
              <w:topLinePunct/>
              <w:adjustRightInd w:val="0"/>
              <w:snapToGrid w:val="0"/>
              <w:spacing w:line="320" w:lineRule="exact"/>
              <w:jc w:val="center"/>
              <w:rPr>
                <w:rFonts w:ascii="Times New Roman"/>
                <w:sz w:val="21"/>
                <w:szCs w:val="21"/>
              </w:rPr>
            </w:pPr>
            <w:r>
              <w:rPr>
                <w:rFonts w:ascii="Times New Roman"/>
                <w:sz w:val="21"/>
                <w:szCs w:val="21"/>
              </w:rPr>
              <w:t>900-041-49</w:t>
            </w:r>
          </w:p>
        </w:tc>
        <w:tc>
          <w:tcPr>
            <w:tcW w:w="440" w:type="pct"/>
            <w:shd w:val="clear" w:color="auto" w:fill="auto"/>
            <w:vAlign w:val="center"/>
          </w:tcPr>
          <w:p w14:paraId="626F8ADE">
            <w:pPr>
              <w:adjustRightInd w:val="0"/>
              <w:snapToGrid w:val="0"/>
              <w:spacing w:line="320" w:lineRule="exact"/>
              <w:jc w:val="center"/>
              <w:rPr>
                <w:rFonts w:ascii="Times New Roman"/>
                <w:sz w:val="21"/>
                <w:szCs w:val="21"/>
              </w:rPr>
            </w:pPr>
            <w:r>
              <w:rPr>
                <w:rFonts w:hint="eastAsia" w:ascii="Times New Roman"/>
                <w:sz w:val="21"/>
                <w:szCs w:val="21"/>
              </w:rPr>
              <w:t>17.168</w:t>
            </w:r>
          </w:p>
        </w:tc>
        <w:tc>
          <w:tcPr>
            <w:tcW w:w="726" w:type="pct"/>
            <w:vMerge w:val="continue"/>
            <w:vAlign w:val="center"/>
          </w:tcPr>
          <w:p w14:paraId="6FAA101A">
            <w:pPr>
              <w:adjustRightInd w:val="0"/>
              <w:snapToGrid w:val="0"/>
              <w:spacing w:line="320" w:lineRule="exact"/>
              <w:jc w:val="center"/>
              <w:rPr>
                <w:rFonts w:ascii="Times New Roman"/>
                <w:sz w:val="21"/>
                <w:szCs w:val="21"/>
              </w:rPr>
            </w:pPr>
          </w:p>
        </w:tc>
        <w:tc>
          <w:tcPr>
            <w:tcW w:w="316" w:type="pct"/>
            <w:shd w:val="clear" w:color="auto" w:fill="auto"/>
            <w:vAlign w:val="center"/>
          </w:tcPr>
          <w:p w14:paraId="125CA7B0">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shd w:val="clear" w:color="auto" w:fill="auto"/>
            <w:vAlign w:val="center"/>
          </w:tcPr>
          <w:p w14:paraId="2DE2634E">
            <w:pPr>
              <w:topLinePunct/>
              <w:adjustRightInd w:val="0"/>
              <w:snapToGrid w:val="0"/>
              <w:spacing w:line="320" w:lineRule="exact"/>
              <w:jc w:val="center"/>
              <w:rPr>
                <w:rFonts w:ascii="Times New Roman"/>
                <w:sz w:val="21"/>
                <w:szCs w:val="21"/>
              </w:rPr>
            </w:pPr>
            <w:r>
              <w:rPr>
                <w:rFonts w:ascii="Times New Roman"/>
                <w:sz w:val="21"/>
                <w:szCs w:val="21"/>
              </w:rPr>
              <w:t>有机烃</w:t>
            </w:r>
          </w:p>
        </w:tc>
        <w:tc>
          <w:tcPr>
            <w:tcW w:w="319" w:type="pct"/>
            <w:vAlign w:val="center"/>
          </w:tcPr>
          <w:p w14:paraId="7DDFCBF5">
            <w:pPr>
              <w:topLinePunct/>
              <w:adjustRightInd w:val="0"/>
              <w:snapToGrid w:val="0"/>
              <w:spacing w:line="320" w:lineRule="exact"/>
              <w:jc w:val="center"/>
              <w:rPr>
                <w:rFonts w:ascii="Times New Roman"/>
                <w:sz w:val="21"/>
                <w:szCs w:val="21"/>
              </w:rPr>
            </w:pPr>
            <w:r>
              <w:rPr>
                <w:rFonts w:hint="eastAsia" w:ascii="Times New Roman"/>
                <w:sz w:val="21"/>
                <w:szCs w:val="21"/>
              </w:rPr>
              <w:t>3a</w:t>
            </w:r>
          </w:p>
        </w:tc>
        <w:tc>
          <w:tcPr>
            <w:tcW w:w="277" w:type="pct"/>
            <w:vAlign w:val="center"/>
          </w:tcPr>
          <w:p w14:paraId="76C9DC32">
            <w:pPr>
              <w:topLinePunct/>
              <w:adjustRightInd w:val="0"/>
              <w:snapToGrid w:val="0"/>
              <w:spacing w:line="320" w:lineRule="exact"/>
              <w:jc w:val="center"/>
              <w:rPr>
                <w:rFonts w:ascii="Times New Roman"/>
                <w:sz w:val="21"/>
                <w:szCs w:val="21"/>
              </w:rPr>
            </w:pPr>
            <w:r>
              <w:rPr>
                <w:rFonts w:ascii="Times New Roman"/>
                <w:sz w:val="21"/>
                <w:szCs w:val="21"/>
              </w:rPr>
              <w:t>T/In</w:t>
            </w:r>
          </w:p>
        </w:tc>
        <w:tc>
          <w:tcPr>
            <w:tcW w:w="453" w:type="pct"/>
            <w:vMerge w:val="continue"/>
            <w:vAlign w:val="center"/>
          </w:tcPr>
          <w:p w14:paraId="223257A3">
            <w:pPr>
              <w:adjustRightInd w:val="0"/>
              <w:snapToGrid w:val="0"/>
              <w:spacing w:line="320" w:lineRule="exact"/>
              <w:jc w:val="center"/>
              <w:rPr>
                <w:rFonts w:ascii="Times New Roman"/>
                <w:sz w:val="21"/>
                <w:szCs w:val="21"/>
              </w:rPr>
            </w:pPr>
          </w:p>
        </w:tc>
      </w:tr>
      <w:tr w14:paraId="3263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6" w:type="pct"/>
            <w:vAlign w:val="center"/>
          </w:tcPr>
          <w:p w14:paraId="14AD139F">
            <w:pPr>
              <w:adjustRightInd w:val="0"/>
              <w:snapToGrid w:val="0"/>
              <w:spacing w:line="320" w:lineRule="exact"/>
              <w:jc w:val="center"/>
              <w:rPr>
                <w:rFonts w:ascii="Times New Roman"/>
                <w:sz w:val="21"/>
                <w:szCs w:val="21"/>
              </w:rPr>
            </w:pPr>
            <w:r>
              <w:rPr>
                <w:rFonts w:ascii="Times New Roman"/>
                <w:sz w:val="21"/>
                <w:szCs w:val="21"/>
              </w:rPr>
              <w:t>废活性炭</w:t>
            </w:r>
          </w:p>
        </w:tc>
        <w:tc>
          <w:tcPr>
            <w:tcW w:w="467" w:type="pct"/>
            <w:vAlign w:val="center"/>
          </w:tcPr>
          <w:p w14:paraId="282FF766">
            <w:pPr>
              <w:adjustRightInd w:val="0"/>
              <w:snapToGrid w:val="0"/>
              <w:spacing w:line="320" w:lineRule="exact"/>
              <w:jc w:val="center"/>
              <w:rPr>
                <w:rFonts w:ascii="Times New Roman"/>
                <w:sz w:val="21"/>
                <w:szCs w:val="21"/>
              </w:rPr>
            </w:pPr>
            <w:r>
              <w:rPr>
                <w:rFonts w:ascii="Times New Roman"/>
                <w:sz w:val="21"/>
                <w:szCs w:val="21"/>
              </w:rPr>
              <w:t>HW49</w:t>
            </w:r>
          </w:p>
        </w:tc>
        <w:tc>
          <w:tcPr>
            <w:tcW w:w="703" w:type="pct"/>
            <w:vAlign w:val="center"/>
          </w:tcPr>
          <w:p w14:paraId="20AF6487">
            <w:pPr>
              <w:topLinePunct/>
              <w:adjustRightInd w:val="0"/>
              <w:snapToGrid w:val="0"/>
              <w:spacing w:line="320" w:lineRule="exact"/>
              <w:jc w:val="center"/>
              <w:rPr>
                <w:rFonts w:ascii="Times New Roman"/>
                <w:sz w:val="21"/>
                <w:szCs w:val="21"/>
              </w:rPr>
            </w:pPr>
            <w:r>
              <w:rPr>
                <w:rFonts w:ascii="Times New Roman"/>
                <w:sz w:val="21"/>
                <w:szCs w:val="21"/>
              </w:rPr>
              <w:t>900-039-49</w:t>
            </w:r>
          </w:p>
        </w:tc>
        <w:tc>
          <w:tcPr>
            <w:tcW w:w="440" w:type="pct"/>
            <w:shd w:val="clear" w:color="auto" w:fill="auto"/>
            <w:vAlign w:val="center"/>
          </w:tcPr>
          <w:p w14:paraId="7FD92BA9">
            <w:pPr>
              <w:adjustRightInd w:val="0"/>
              <w:snapToGrid w:val="0"/>
              <w:spacing w:line="320" w:lineRule="exact"/>
              <w:jc w:val="center"/>
              <w:rPr>
                <w:rFonts w:ascii="Times New Roman"/>
                <w:sz w:val="21"/>
                <w:szCs w:val="21"/>
              </w:rPr>
            </w:pPr>
            <w:r>
              <w:rPr>
                <w:rFonts w:hint="eastAsia" w:ascii="Times New Roman"/>
                <w:sz w:val="21"/>
                <w:szCs w:val="21"/>
              </w:rPr>
              <w:t>4.695</w:t>
            </w:r>
          </w:p>
        </w:tc>
        <w:tc>
          <w:tcPr>
            <w:tcW w:w="726" w:type="pct"/>
            <w:vMerge w:val="continue"/>
            <w:vAlign w:val="center"/>
          </w:tcPr>
          <w:p w14:paraId="1B5CA8BD">
            <w:pPr>
              <w:adjustRightInd w:val="0"/>
              <w:snapToGrid w:val="0"/>
              <w:spacing w:line="320" w:lineRule="exact"/>
              <w:jc w:val="center"/>
              <w:rPr>
                <w:rFonts w:ascii="Times New Roman"/>
                <w:sz w:val="21"/>
                <w:szCs w:val="21"/>
              </w:rPr>
            </w:pPr>
          </w:p>
        </w:tc>
        <w:tc>
          <w:tcPr>
            <w:tcW w:w="316" w:type="pct"/>
            <w:vAlign w:val="center"/>
          </w:tcPr>
          <w:p w14:paraId="40D93664">
            <w:pPr>
              <w:topLinePunct/>
              <w:adjustRightInd w:val="0"/>
              <w:snapToGrid w:val="0"/>
              <w:spacing w:line="320" w:lineRule="exact"/>
              <w:jc w:val="center"/>
              <w:rPr>
                <w:rFonts w:ascii="Times New Roman"/>
                <w:sz w:val="21"/>
                <w:szCs w:val="21"/>
              </w:rPr>
            </w:pPr>
            <w:r>
              <w:rPr>
                <w:rFonts w:ascii="Times New Roman"/>
                <w:sz w:val="21"/>
                <w:szCs w:val="21"/>
              </w:rPr>
              <w:t>固体</w:t>
            </w:r>
          </w:p>
        </w:tc>
        <w:tc>
          <w:tcPr>
            <w:tcW w:w="438" w:type="pct"/>
            <w:vAlign w:val="center"/>
          </w:tcPr>
          <w:p w14:paraId="27D02970">
            <w:pPr>
              <w:topLinePunct/>
              <w:adjustRightInd w:val="0"/>
              <w:snapToGrid w:val="0"/>
              <w:spacing w:line="320" w:lineRule="exact"/>
              <w:jc w:val="center"/>
              <w:rPr>
                <w:rFonts w:ascii="Times New Roman"/>
                <w:sz w:val="21"/>
                <w:szCs w:val="21"/>
              </w:rPr>
            </w:pPr>
            <w:r>
              <w:rPr>
                <w:rFonts w:ascii="Times New Roman"/>
                <w:sz w:val="21"/>
                <w:szCs w:val="21"/>
              </w:rPr>
              <w:t>有机物</w:t>
            </w:r>
          </w:p>
        </w:tc>
        <w:tc>
          <w:tcPr>
            <w:tcW w:w="319" w:type="pct"/>
            <w:vAlign w:val="center"/>
          </w:tcPr>
          <w:p w14:paraId="7D8E0877">
            <w:pPr>
              <w:topLinePunct/>
              <w:adjustRightInd w:val="0"/>
              <w:snapToGrid w:val="0"/>
              <w:spacing w:line="320" w:lineRule="exact"/>
              <w:jc w:val="center"/>
              <w:rPr>
                <w:rFonts w:ascii="Times New Roman"/>
                <w:sz w:val="21"/>
                <w:szCs w:val="21"/>
              </w:rPr>
            </w:pPr>
            <w:r>
              <w:rPr>
                <w:rFonts w:hint="eastAsia" w:ascii="Times New Roman"/>
                <w:sz w:val="21"/>
                <w:szCs w:val="21"/>
              </w:rPr>
              <w:t>4月/</w:t>
            </w:r>
            <w:r>
              <w:rPr>
                <w:rFonts w:ascii="Times New Roman"/>
                <w:sz w:val="21"/>
                <w:szCs w:val="21"/>
              </w:rPr>
              <w:t>1a</w:t>
            </w:r>
          </w:p>
        </w:tc>
        <w:tc>
          <w:tcPr>
            <w:tcW w:w="277" w:type="pct"/>
            <w:vAlign w:val="center"/>
          </w:tcPr>
          <w:p w14:paraId="69E56555">
            <w:pPr>
              <w:topLinePunct/>
              <w:adjustRightInd w:val="0"/>
              <w:snapToGrid w:val="0"/>
              <w:spacing w:line="320" w:lineRule="exact"/>
              <w:jc w:val="center"/>
              <w:rPr>
                <w:rFonts w:ascii="Times New Roman"/>
                <w:sz w:val="21"/>
                <w:szCs w:val="21"/>
              </w:rPr>
            </w:pPr>
            <w:r>
              <w:rPr>
                <w:rFonts w:ascii="Times New Roman"/>
                <w:sz w:val="21"/>
                <w:szCs w:val="21"/>
              </w:rPr>
              <w:t>T</w:t>
            </w:r>
          </w:p>
        </w:tc>
        <w:tc>
          <w:tcPr>
            <w:tcW w:w="453" w:type="pct"/>
            <w:vMerge w:val="continue"/>
            <w:vAlign w:val="center"/>
          </w:tcPr>
          <w:p w14:paraId="777A23B3">
            <w:pPr>
              <w:adjustRightInd w:val="0"/>
              <w:snapToGrid w:val="0"/>
              <w:spacing w:line="320" w:lineRule="exact"/>
              <w:jc w:val="center"/>
              <w:rPr>
                <w:rFonts w:ascii="Times New Roman"/>
                <w:sz w:val="21"/>
                <w:szCs w:val="21"/>
              </w:rPr>
            </w:pPr>
          </w:p>
        </w:tc>
      </w:tr>
    </w:tbl>
    <w:p w14:paraId="2E6E40D6">
      <w:pPr>
        <w:spacing w:line="360" w:lineRule="auto"/>
        <w:ind w:firstLine="480" w:firstLineChars="200"/>
        <w:rPr>
          <w:rFonts w:ascii="Times New Roman"/>
          <w:sz w:val="24"/>
          <w:szCs w:val="24"/>
        </w:rPr>
      </w:pPr>
      <w:r>
        <w:rPr>
          <w:rFonts w:ascii="Times New Roman"/>
          <w:sz w:val="24"/>
          <w:szCs w:val="24"/>
        </w:rPr>
        <w:t>（1）管理要求</w:t>
      </w:r>
    </w:p>
    <w:p w14:paraId="0C1CE6A1">
      <w:pPr>
        <w:widowControl/>
        <w:spacing w:line="360" w:lineRule="auto"/>
        <w:ind w:firstLine="480" w:firstLineChars="200"/>
        <w:rPr>
          <w:rFonts w:ascii="Times New Roman"/>
          <w:sz w:val="24"/>
          <w:szCs w:val="24"/>
        </w:rPr>
      </w:pPr>
      <w:r>
        <w:rPr>
          <w:rFonts w:ascii="Times New Roman"/>
          <w:sz w:val="24"/>
          <w:szCs w:val="24"/>
        </w:rPr>
        <w:t>本项目建设1座危废库，设置在厂区西北侧，建筑面积为223.98m</w:t>
      </w:r>
      <w:r>
        <w:rPr>
          <w:rFonts w:ascii="Times New Roman"/>
          <w:sz w:val="24"/>
          <w:szCs w:val="24"/>
          <w:vertAlign w:val="superscript"/>
        </w:rPr>
        <w:t>2</w:t>
      </w:r>
      <w:r>
        <w:rPr>
          <w:rFonts w:ascii="Times New Roman"/>
          <w:sz w:val="24"/>
          <w:szCs w:val="24"/>
        </w:rPr>
        <w:t>。</w:t>
      </w:r>
      <w:r>
        <w:rPr>
          <w:rFonts w:ascii="Times New Roman"/>
          <w:sz w:val="24"/>
        </w:rPr>
        <w:t>根据</w:t>
      </w:r>
      <w:r>
        <w:rPr>
          <w:rFonts w:ascii="Times New Roman"/>
          <w:sz w:val="24"/>
          <w:szCs w:val="24"/>
        </w:rPr>
        <w:t>《危险废物贮存污染控制标准》（GB18597-2023）</w:t>
      </w:r>
      <w:r>
        <w:rPr>
          <w:rFonts w:ascii="Times New Roman"/>
          <w:sz w:val="24"/>
        </w:rPr>
        <w:t>及《危险废物收集贮存运输技术规范》（HJ2025-2012）中的相关要求，评价要求：</w:t>
      </w:r>
    </w:p>
    <w:p w14:paraId="4B1CD687">
      <w:pPr>
        <w:widowControl/>
        <w:spacing w:line="360" w:lineRule="auto"/>
        <w:ind w:firstLine="480" w:firstLineChars="200"/>
        <w:rPr>
          <w:rFonts w:ascii="Times New Roman"/>
          <w:sz w:val="24"/>
        </w:rPr>
      </w:pPr>
      <w:r>
        <w:rPr>
          <w:rFonts w:ascii="Times New Roman"/>
          <w:sz w:val="24"/>
        </w:rPr>
        <w:t>①各种危险废物分别采用特定容器进行盛装，且盛装容器需贴有危险废物标识，贮存间设置危险废物警示标志，分区存放，由专人进行管理，做好危险废物排放量及处置记录；</w:t>
      </w:r>
    </w:p>
    <w:p w14:paraId="1A32423C">
      <w:pPr>
        <w:widowControl/>
        <w:spacing w:line="360" w:lineRule="auto"/>
        <w:ind w:firstLine="480" w:firstLineChars="200"/>
        <w:rPr>
          <w:rFonts w:ascii="Times New Roman"/>
          <w:sz w:val="24"/>
        </w:rPr>
      </w:pPr>
      <w:r>
        <w:rPr>
          <w:rFonts w:ascii="Times New Roman"/>
          <w:sz w:val="24"/>
        </w:rPr>
        <w:t>②危险废物收集、贮存、运输时应按腐蚀性、毒性、易燃性和反应性等危险特性进行分类、包装并设置相应的标志及标签。禁止将不相容（相互反应）的危险废物在同一容器内混装。危废间进行分区，对废包装、釜残等不同类型的危废分区放置，不得混放。</w:t>
      </w:r>
    </w:p>
    <w:p w14:paraId="23887C33">
      <w:pPr>
        <w:widowControl/>
        <w:spacing w:line="360" w:lineRule="auto"/>
        <w:ind w:firstLine="480" w:firstLineChars="200"/>
        <w:rPr>
          <w:rFonts w:ascii="Times New Roman"/>
          <w:sz w:val="24"/>
        </w:rPr>
      </w:pPr>
      <w:r>
        <w:rPr>
          <w:rFonts w:ascii="Times New Roman"/>
          <w:sz w:val="24"/>
        </w:rPr>
        <w:t>③）危险废物贮存间按照危险废物贮存污染控制标准要求进行设计，危险废物暂存间地面及四周裙脚均进行防渗处理，防渗层渗透系数小于1×10</w:t>
      </w:r>
      <w:r>
        <w:rPr>
          <w:rFonts w:ascii="Times New Roman"/>
          <w:sz w:val="24"/>
          <w:vertAlign w:val="superscript"/>
        </w:rPr>
        <w:t>-10</w:t>
      </w:r>
      <w:r>
        <w:rPr>
          <w:rFonts w:ascii="Times New Roman"/>
          <w:sz w:val="24"/>
        </w:rPr>
        <w:t>cm/s，且做到表面无裂缝，并设置泄漏液体的收集装置，避免泄漏液体对地下水产生污染影响。</w:t>
      </w:r>
    </w:p>
    <w:p w14:paraId="081F14E5">
      <w:pPr>
        <w:widowControl/>
        <w:spacing w:line="360" w:lineRule="auto"/>
        <w:ind w:firstLine="480" w:firstLineChars="200"/>
        <w:rPr>
          <w:rFonts w:ascii="Times New Roman"/>
          <w:sz w:val="24"/>
        </w:rPr>
      </w:pPr>
      <w:r>
        <w:rPr>
          <w:rFonts w:ascii="Times New Roman"/>
          <w:sz w:val="24"/>
        </w:rPr>
        <w:t>④对装有危险废物的容器定期进行检查，容器泄漏损坏时必须立即进行处理，并将危险废物装入完好容器内。</w:t>
      </w:r>
    </w:p>
    <w:p w14:paraId="397DA6EE">
      <w:pPr>
        <w:widowControl/>
        <w:spacing w:line="360" w:lineRule="auto"/>
        <w:ind w:firstLine="480" w:firstLineChars="200"/>
        <w:rPr>
          <w:rFonts w:ascii="Times New Roman"/>
          <w:sz w:val="24"/>
        </w:rPr>
      </w:pPr>
      <w:r>
        <w:rPr>
          <w:rFonts w:ascii="Times New Roman"/>
          <w:sz w:val="24"/>
        </w:rPr>
        <w:t>⑤危险废物内部转运作业应满足如下要求：综合考虑厂区的实际情况确定转运路线，尽量避开办公区和生活区；危险废物内部转运作业应采用专用的工具，内部转运填写《危险废物厂内转运记录表》；危险废物内部转运结束后，应对转运路线进行检查和清理，确保无危险废物遗失在转运路线上，并对转运工具进行清洗。</w:t>
      </w:r>
    </w:p>
    <w:p w14:paraId="7401B383">
      <w:pPr>
        <w:spacing w:line="360" w:lineRule="auto"/>
        <w:ind w:left="-7" w:leftChars="-3" w:firstLine="480" w:firstLineChars="200"/>
        <w:rPr>
          <w:rFonts w:ascii="Times New Roman"/>
          <w:sz w:val="24"/>
          <w:szCs w:val="24"/>
        </w:rPr>
      </w:pPr>
      <w:r>
        <w:rPr>
          <w:rFonts w:ascii="Times New Roman"/>
          <w:sz w:val="24"/>
          <w:szCs w:val="24"/>
        </w:rPr>
        <w:t>同时，根据河北省环境保护厅《关于建设全省危险废物智能监控体系的通知》，在产生、贮存、物流通道等重点部位安装视频监控、智能地磅、电子液位计等设备，集成视频、称重、贮存、工况和排放等数据，将有关数据实时传输至河北省固体废物动态管理信息平台。</w:t>
      </w:r>
    </w:p>
    <w:p w14:paraId="4CACC891">
      <w:pPr>
        <w:snapToGrid w:val="0"/>
        <w:spacing w:line="360" w:lineRule="auto"/>
        <w:ind w:firstLine="480" w:firstLineChars="200"/>
        <w:rPr>
          <w:rFonts w:ascii="Times New Roman"/>
          <w:sz w:val="24"/>
        </w:rPr>
      </w:pPr>
      <w:r>
        <w:rPr>
          <w:rFonts w:ascii="Times New Roman"/>
          <w:sz w:val="24"/>
        </w:rPr>
        <w:t>⑥危险废物外运管理要求</w:t>
      </w:r>
    </w:p>
    <w:p w14:paraId="612B7C43">
      <w:pPr>
        <w:snapToGrid w:val="0"/>
        <w:spacing w:line="360" w:lineRule="auto"/>
        <w:ind w:firstLine="480" w:firstLineChars="200"/>
        <w:rPr>
          <w:rFonts w:ascii="Times New Roman"/>
          <w:sz w:val="24"/>
        </w:rPr>
      </w:pPr>
      <w:r>
        <w:rPr>
          <w:rFonts w:ascii="Times New Roman"/>
          <w:sz w:val="24"/>
        </w:rPr>
        <w:t>根据生态环境部办公厅环办固体函〔2020〕733号《关于推进危险废物环境管理信息化有关工作的通知》中的要求，产生、收集、贮存、转移、利用、处置和出口危险废物的相关单位，应在固体废物管理信息系统中如实填报危险废物相关信息，并对填报信息的真实性、准确性和完整性负责。信息系统中填报的危险废物相关信息，作为各级生态环境部门日常环境监管、执法检查、排污许可和环境统计等的依据，并与排污许可管理等做好衔接。</w:t>
      </w:r>
    </w:p>
    <w:p w14:paraId="5808FECB">
      <w:pPr>
        <w:snapToGrid w:val="0"/>
        <w:spacing w:line="360" w:lineRule="auto"/>
        <w:ind w:firstLine="480" w:firstLineChars="200"/>
        <w:rPr>
          <w:rFonts w:ascii="Times New Roman"/>
          <w:sz w:val="24"/>
        </w:rPr>
      </w:pPr>
      <w:r>
        <w:rPr>
          <w:rFonts w:ascii="Times New Roman"/>
          <w:sz w:val="24"/>
        </w:rPr>
        <w:t>转移危险废物的单位，应当依法通过固体废物管理信息系统运行危险废物电子转移联单。危险废物跨省（自治区、直辖市）转移商请应在固体废物管理信息系统中开展，实现对危险废物跨省（自治区、直辖市）转移商请全流程追踪。</w:t>
      </w:r>
    </w:p>
    <w:p w14:paraId="2FE648A6">
      <w:pPr>
        <w:spacing w:line="360" w:lineRule="auto"/>
        <w:ind w:firstLine="480" w:firstLineChars="200"/>
        <w:rPr>
          <w:rFonts w:ascii="Times New Roman"/>
          <w:sz w:val="24"/>
          <w:szCs w:val="24"/>
        </w:rPr>
      </w:pPr>
      <w:r>
        <w:rPr>
          <w:rFonts w:ascii="Times New Roman"/>
          <w:sz w:val="24"/>
          <w:szCs w:val="24"/>
        </w:rPr>
        <w:t>（2）影响分析</w:t>
      </w:r>
    </w:p>
    <w:p w14:paraId="7B8F6F43">
      <w:pPr>
        <w:spacing w:line="360" w:lineRule="auto"/>
        <w:ind w:firstLine="480" w:firstLineChars="200"/>
        <w:rPr>
          <w:rFonts w:ascii="Times New Roman"/>
          <w:sz w:val="24"/>
          <w:szCs w:val="24"/>
        </w:rPr>
      </w:pPr>
      <w:r>
        <w:rPr>
          <w:rFonts w:ascii="Times New Roman"/>
          <w:sz w:val="24"/>
          <w:szCs w:val="24"/>
        </w:rPr>
        <w:t>①贮存场所环境影响分析</w:t>
      </w:r>
    </w:p>
    <w:p w14:paraId="33311D0C">
      <w:pPr>
        <w:widowControl/>
        <w:spacing w:line="360" w:lineRule="auto"/>
        <w:ind w:firstLine="480" w:firstLineChars="200"/>
        <w:rPr>
          <w:rFonts w:ascii="Times New Roman"/>
          <w:sz w:val="24"/>
          <w:szCs w:val="24"/>
        </w:rPr>
      </w:pPr>
      <w:r>
        <w:rPr>
          <w:rFonts w:ascii="Times New Roman"/>
          <w:sz w:val="24"/>
          <w:szCs w:val="24"/>
        </w:rPr>
        <w:t>项目危险废物分类暂存危废间内，危废废物于密闭专用容器储存或盖盖密封储存；为了避危废</w:t>
      </w:r>
      <w:r>
        <w:rPr>
          <w:rFonts w:ascii="Times New Roman"/>
          <w:snapToGrid w:val="0"/>
          <w:kern w:val="0"/>
          <w:sz w:val="24"/>
          <w:szCs w:val="24"/>
        </w:rPr>
        <w:t>在厂内贮存过程产生二次污染，</w:t>
      </w:r>
      <w:r>
        <w:rPr>
          <w:rFonts w:ascii="Times New Roman"/>
          <w:kern w:val="0"/>
          <w:sz w:val="24"/>
          <w:szCs w:val="24"/>
        </w:rPr>
        <w:t>作为危险废物临时储存场所</w:t>
      </w:r>
      <w:r>
        <w:rPr>
          <w:rFonts w:ascii="Times New Roman"/>
          <w:snapToGrid w:val="0"/>
          <w:kern w:val="0"/>
          <w:sz w:val="24"/>
          <w:szCs w:val="24"/>
        </w:rPr>
        <w:t>外设立明显的标识，设计按《危险废物贮存污染控制标准》（GB18597-2001）及修改单中的要求进行，即</w:t>
      </w:r>
      <w:r>
        <w:rPr>
          <w:rFonts w:ascii="Times New Roman"/>
          <w:sz w:val="24"/>
          <w:szCs w:val="24"/>
        </w:rPr>
        <w:t>危废贮存间地面与裙脚采用坚固、防渗的材料制造，建筑材料与危险废物兼容；存放危废容器的地方有无裂缝的耐腐蚀地面；项目危废间底部高于地下水最高水位，危废间基础做防渗处理，防渗层渗透系数小于1×10</w:t>
      </w:r>
      <w:r>
        <w:rPr>
          <w:rFonts w:ascii="Times New Roman"/>
          <w:sz w:val="24"/>
          <w:szCs w:val="24"/>
          <w:vertAlign w:val="superscript"/>
        </w:rPr>
        <w:t>-10</w:t>
      </w:r>
      <w:r>
        <w:rPr>
          <w:rFonts w:ascii="Times New Roman"/>
          <w:sz w:val="24"/>
          <w:szCs w:val="24"/>
        </w:rPr>
        <w:t>cm/s；各类危险废物均分开存放。危废贮存间满足安全设计要求，具有防渗、防雨、防盗、防风、防晒功能，设有液体导流、收集设施等，有专人看管，并设有警示标志等。</w:t>
      </w:r>
      <w:r>
        <w:rPr>
          <w:rFonts w:ascii="Times New Roman"/>
          <w:kern w:val="0"/>
          <w:sz w:val="24"/>
          <w:szCs w:val="24"/>
        </w:rPr>
        <w:t>最后委托有资质的单位按照相关规定进行处理</w:t>
      </w:r>
      <w:r>
        <w:rPr>
          <w:rFonts w:ascii="Times New Roman"/>
          <w:sz w:val="24"/>
          <w:szCs w:val="24"/>
        </w:rPr>
        <w:t>。在采取严格防治措施的前提下，危险废物贮存场所不会造成不利环境影响。</w:t>
      </w:r>
    </w:p>
    <w:p w14:paraId="3AC32AB2">
      <w:pPr>
        <w:spacing w:line="360" w:lineRule="auto"/>
        <w:ind w:firstLine="480" w:firstLineChars="200"/>
        <w:rPr>
          <w:rFonts w:ascii="Times New Roman"/>
          <w:sz w:val="24"/>
          <w:szCs w:val="24"/>
        </w:rPr>
      </w:pPr>
      <w:r>
        <w:rPr>
          <w:rFonts w:ascii="Times New Roman"/>
          <w:sz w:val="24"/>
          <w:szCs w:val="24"/>
        </w:rPr>
        <w:t>②运输过程的环境影响分析</w:t>
      </w:r>
    </w:p>
    <w:p w14:paraId="3092DDCC">
      <w:pPr>
        <w:spacing w:line="360" w:lineRule="auto"/>
        <w:ind w:firstLine="480" w:firstLineChars="200"/>
        <w:rPr>
          <w:rFonts w:ascii="Times New Roman"/>
          <w:sz w:val="24"/>
          <w:szCs w:val="24"/>
        </w:rPr>
      </w:pPr>
      <w:r>
        <w:rPr>
          <w:rFonts w:ascii="Times New Roman"/>
          <w:sz w:val="24"/>
          <w:szCs w:val="24"/>
        </w:rPr>
        <w:t>本项目危险废物产生及贮存场所均位于厂区内，车间地面及运输通道均采取硬化和防腐防渗措施，因此危险废物从产生工艺环节运输到暂存场所的过程中产生散落和泄漏均会将影响控制在厂区内。在项目危险废物送至有资质单位处置的运输过程中，应优化运输路线，最大限度避开沿线的环境敏感点，以减少对环境敏感点的环境影响。</w:t>
      </w:r>
    </w:p>
    <w:p w14:paraId="186D99F1">
      <w:pPr>
        <w:spacing w:line="360" w:lineRule="auto"/>
        <w:ind w:firstLine="480" w:firstLineChars="200"/>
        <w:rPr>
          <w:rFonts w:ascii="Times New Roman"/>
          <w:sz w:val="24"/>
          <w:szCs w:val="24"/>
        </w:rPr>
      </w:pPr>
      <w:r>
        <w:rPr>
          <w:rFonts w:ascii="Times New Roman"/>
          <w:sz w:val="24"/>
          <w:szCs w:val="24"/>
        </w:rPr>
        <w:t>③委托利用或者处置的环境影响分析</w:t>
      </w:r>
    </w:p>
    <w:p w14:paraId="58015F08">
      <w:pPr>
        <w:spacing w:line="360" w:lineRule="auto"/>
        <w:ind w:firstLine="480" w:firstLineChars="200"/>
        <w:rPr>
          <w:rFonts w:ascii="Times New Roman"/>
          <w:sz w:val="24"/>
          <w:szCs w:val="24"/>
        </w:rPr>
      </w:pPr>
      <w:r>
        <w:rPr>
          <w:rFonts w:ascii="Times New Roman"/>
          <w:sz w:val="24"/>
          <w:szCs w:val="24"/>
        </w:rPr>
        <w:t>项目危险废物需交由具有相应处理资质的单位进行处置。</w:t>
      </w:r>
    </w:p>
    <w:p w14:paraId="1E6CFEE5">
      <w:pPr>
        <w:adjustRightInd w:val="0"/>
        <w:snapToGrid w:val="0"/>
        <w:spacing w:line="360" w:lineRule="auto"/>
        <w:ind w:firstLine="480" w:firstLineChars="200"/>
        <w:rPr>
          <w:rFonts w:ascii="Times New Roman"/>
          <w:sz w:val="24"/>
          <w:szCs w:val="24"/>
        </w:rPr>
      </w:pPr>
      <w:r>
        <w:rPr>
          <w:rFonts w:ascii="Times New Roman"/>
          <w:sz w:val="24"/>
          <w:szCs w:val="24"/>
        </w:rPr>
        <w:t>通过采取以上固体废物的处置措施，可实现全部固废的综合利用或妥善处置，对区域环境不会产生明显不利影响。</w:t>
      </w:r>
    </w:p>
    <w:p w14:paraId="3C881237">
      <w:pPr>
        <w:tabs>
          <w:tab w:val="left" w:pos="1170"/>
        </w:tabs>
        <w:spacing w:line="360" w:lineRule="auto"/>
        <w:outlineLvl w:val="2"/>
        <w:rPr>
          <w:rFonts w:ascii="Times New Roman"/>
          <w:b/>
          <w:sz w:val="28"/>
          <w:szCs w:val="28"/>
        </w:rPr>
      </w:pPr>
      <w:r>
        <w:rPr>
          <w:rFonts w:ascii="Times New Roman"/>
          <w:b/>
          <w:sz w:val="28"/>
          <w:szCs w:val="28"/>
        </w:rPr>
        <w:t>5.2.6生态环境影响评价</w:t>
      </w:r>
    </w:p>
    <w:p w14:paraId="5D1266BF">
      <w:pPr>
        <w:spacing w:line="440" w:lineRule="exact"/>
        <w:ind w:firstLine="480" w:firstLineChars="200"/>
        <w:rPr>
          <w:rFonts w:ascii="Times New Roman"/>
          <w:bCs/>
          <w:sz w:val="24"/>
        </w:rPr>
      </w:pPr>
      <w:r>
        <w:rPr>
          <w:rFonts w:ascii="Times New Roman"/>
          <w:sz w:val="24"/>
          <w:szCs w:val="24"/>
        </w:rPr>
        <w:t>本项目位于唐山市曹妃甸装备制造园区，总占地面积为</w:t>
      </w:r>
      <w:r>
        <w:rPr>
          <w:rFonts w:hint="eastAsia" w:ascii="Times New Roman"/>
          <w:sz w:val="24"/>
          <w:szCs w:val="24"/>
        </w:rPr>
        <w:t>200000</w:t>
      </w:r>
      <w:r>
        <w:rPr>
          <w:rFonts w:ascii="Times New Roman"/>
          <w:sz w:val="24"/>
          <w:szCs w:val="24"/>
        </w:rPr>
        <w:t>m</w:t>
      </w:r>
      <w:r>
        <w:rPr>
          <w:rFonts w:ascii="Times New Roman"/>
          <w:sz w:val="24"/>
          <w:szCs w:val="24"/>
          <w:vertAlign w:val="superscript"/>
        </w:rPr>
        <w:t>2</w:t>
      </w:r>
      <w:r>
        <w:rPr>
          <w:rFonts w:ascii="Times New Roman"/>
          <w:sz w:val="24"/>
          <w:szCs w:val="24"/>
        </w:rPr>
        <w:t>，占地性质为工业用地</w:t>
      </w:r>
      <w:r>
        <w:rPr>
          <w:rFonts w:ascii="Times New Roman"/>
          <w:bCs/>
          <w:sz w:val="24"/>
        </w:rPr>
        <w:t>，项目厂区区域内无农作物和国家保护的珍稀植物，</w:t>
      </w:r>
      <w:r>
        <w:rPr>
          <w:rFonts w:ascii="Times New Roman"/>
        </w:rPr>
        <w:t>所在区域不属于生态敏感区，为一般区域。</w:t>
      </w:r>
      <w:r>
        <w:rPr>
          <w:rFonts w:ascii="Times New Roman"/>
          <w:bCs/>
          <w:sz w:val="24"/>
        </w:rPr>
        <w:t>运营期间在采取强化生态环境保护意识、加强绿化等措施后，因此，本项目建设不会对生态环境产生影响。</w:t>
      </w:r>
    </w:p>
    <w:p w14:paraId="18A002B5">
      <w:pPr>
        <w:tabs>
          <w:tab w:val="left" w:pos="1170"/>
        </w:tabs>
        <w:spacing w:line="520" w:lineRule="exact"/>
        <w:outlineLvl w:val="2"/>
        <w:rPr>
          <w:rFonts w:ascii="Times New Roman"/>
          <w:b/>
          <w:sz w:val="28"/>
          <w:szCs w:val="28"/>
        </w:rPr>
      </w:pPr>
      <w:r>
        <w:rPr>
          <w:rFonts w:ascii="Times New Roman"/>
          <w:b/>
          <w:sz w:val="28"/>
          <w:szCs w:val="28"/>
        </w:rPr>
        <w:t>5.2.7环境风险评价</w:t>
      </w:r>
    </w:p>
    <w:p w14:paraId="6C00E529">
      <w:pPr>
        <w:spacing w:line="480" w:lineRule="exact"/>
        <w:ind w:firstLine="480" w:firstLineChars="200"/>
        <w:rPr>
          <w:rFonts w:ascii="Times New Roman"/>
          <w:sz w:val="24"/>
          <w:szCs w:val="20"/>
        </w:rPr>
      </w:pPr>
      <w:r>
        <w:rPr>
          <w:rFonts w:ascii="Times New Roman"/>
          <w:sz w:val="24"/>
          <w:szCs w:val="24"/>
        </w:rPr>
        <w:t>根据《建设项目环境风险评价技术导则》（HJ169-2018）要求，对于涉及有毒有害和易燃易爆危险物质生产、使用、储存（包括使用管线输运）的建设项目可能发生的突发性事故（不包括人为破坏及自然灾害引发的事故）进行环境风险评价</w:t>
      </w:r>
      <w:r>
        <w:rPr>
          <w:rFonts w:ascii="Times New Roman"/>
          <w:sz w:val="24"/>
          <w:szCs w:val="20"/>
        </w:rPr>
        <w:t>。</w:t>
      </w:r>
    </w:p>
    <w:p w14:paraId="6A36660B">
      <w:pPr>
        <w:spacing w:line="360" w:lineRule="auto"/>
        <w:outlineLvl w:val="3"/>
        <w:rPr>
          <w:rFonts w:ascii="Times New Roman"/>
          <w:b/>
          <w:sz w:val="24"/>
          <w:szCs w:val="24"/>
        </w:rPr>
      </w:pPr>
      <w:r>
        <w:rPr>
          <w:rFonts w:ascii="Times New Roman"/>
          <w:b/>
          <w:sz w:val="24"/>
          <w:szCs w:val="24"/>
        </w:rPr>
        <w:t>5.2.7.1</w:t>
      </w:r>
      <w:r>
        <w:rPr>
          <w:rFonts w:hint="eastAsia"/>
          <w:b/>
          <w:bCs/>
          <w:sz w:val="24"/>
          <w:szCs w:val="24"/>
        </w:rPr>
        <w:t>评价依据</w:t>
      </w:r>
    </w:p>
    <w:p w14:paraId="69C3D5D5">
      <w:pPr>
        <w:pStyle w:val="7"/>
        <w:spacing w:line="360" w:lineRule="auto"/>
        <w:rPr>
          <w:rFonts w:hint="default" w:ascii="Times New Roman" w:hAnsi="Times New Roman"/>
          <w:color w:val="auto"/>
        </w:rPr>
      </w:pPr>
      <w:r>
        <w:rPr>
          <w:rFonts w:hint="default" w:ascii="Times New Roman" w:hAnsi="Times New Roman"/>
          <w:color w:val="auto"/>
        </w:rPr>
        <w:t>5.2.7.1.1建设项目风险源调查</w:t>
      </w:r>
    </w:p>
    <w:p w14:paraId="27FAF2DD">
      <w:pPr>
        <w:spacing w:line="360" w:lineRule="auto"/>
        <w:ind w:firstLine="480" w:firstLineChars="200"/>
        <w:rPr>
          <w:rFonts w:ascii="Times New Roman"/>
          <w:sz w:val="24"/>
          <w:szCs w:val="20"/>
        </w:rPr>
      </w:pPr>
      <w:r>
        <w:rPr>
          <w:rFonts w:ascii="Times New Roman"/>
          <w:sz w:val="24"/>
          <w:szCs w:val="20"/>
        </w:rPr>
        <w:t>（1）危险物质风险源调查</w:t>
      </w:r>
    </w:p>
    <w:p w14:paraId="11D1114E">
      <w:pPr>
        <w:spacing w:line="480" w:lineRule="exact"/>
        <w:ind w:firstLine="480" w:firstLineChars="200"/>
        <w:rPr>
          <w:rFonts w:ascii="Times New Roman"/>
          <w:sz w:val="24"/>
          <w:szCs w:val="20"/>
        </w:rPr>
      </w:pPr>
      <w:r>
        <w:rPr>
          <w:rFonts w:ascii="Times New Roman"/>
          <w:sz w:val="24"/>
          <w:szCs w:val="20"/>
        </w:rPr>
        <w:t>项目涉及到的危险性物质主要有</w:t>
      </w:r>
      <w:r>
        <w:rPr>
          <w:rFonts w:hint="eastAsia" w:ascii="Times New Roman"/>
          <w:sz w:val="24"/>
          <w:szCs w:val="20"/>
        </w:rPr>
        <w:t>天然气、丙烷、硫酸、</w:t>
      </w:r>
      <w:r>
        <w:rPr>
          <w:rFonts w:ascii="Times New Roman"/>
          <w:sz w:val="24"/>
          <w:szCs w:val="20"/>
        </w:rPr>
        <w:t>稀释剂</w:t>
      </w:r>
      <w:r>
        <w:rPr>
          <w:rFonts w:hint="eastAsia" w:ascii="Times New Roman"/>
          <w:sz w:val="24"/>
          <w:szCs w:val="20"/>
        </w:rPr>
        <w:t>、油漆</w:t>
      </w:r>
      <w:r>
        <w:rPr>
          <w:rFonts w:ascii="Times New Roman"/>
          <w:sz w:val="24"/>
          <w:szCs w:val="20"/>
        </w:rPr>
        <w:t>（含二甲苯）、液压油、润滑油、</w:t>
      </w:r>
      <w:r>
        <w:rPr>
          <w:rFonts w:hint="eastAsia" w:ascii="Times New Roman"/>
          <w:sz w:val="24"/>
          <w:szCs w:val="20"/>
        </w:rPr>
        <w:t>危险废物</w:t>
      </w:r>
      <w:r>
        <w:rPr>
          <w:rFonts w:ascii="Times New Roman"/>
          <w:sz w:val="24"/>
          <w:szCs w:val="20"/>
        </w:rPr>
        <w:t>等，这些物质在生产、贮存及运输过程中均存在一定危险有害性，其物化性质及毒性见表5.2</w:t>
      </w:r>
      <w:r>
        <w:rPr>
          <w:rFonts w:hint="eastAsia" w:ascii="Times New Roman"/>
          <w:sz w:val="24"/>
          <w:szCs w:val="20"/>
        </w:rPr>
        <w:t>.7-1</w:t>
      </w:r>
      <w:r>
        <w:rPr>
          <w:rFonts w:ascii="Times New Roman"/>
          <w:sz w:val="24"/>
          <w:szCs w:val="20"/>
        </w:rPr>
        <w:t>、表5.2</w:t>
      </w:r>
      <w:r>
        <w:rPr>
          <w:rFonts w:hint="eastAsia" w:ascii="Times New Roman"/>
          <w:sz w:val="24"/>
          <w:szCs w:val="20"/>
        </w:rPr>
        <w:t>.7</w:t>
      </w:r>
      <w:r>
        <w:rPr>
          <w:rFonts w:ascii="Times New Roman"/>
          <w:sz w:val="24"/>
          <w:szCs w:val="20"/>
        </w:rPr>
        <w:t>-</w:t>
      </w:r>
      <w:r>
        <w:rPr>
          <w:rFonts w:hint="eastAsia" w:ascii="Times New Roman"/>
          <w:sz w:val="24"/>
          <w:szCs w:val="20"/>
        </w:rPr>
        <w:t>2</w:t>
      </w:r>
      <w:r>
        <w:rPr>
          <w:rFonts w:ascii="Times New Roman"/>
          <w:sz w:val="24"/>
          <w:szCs w:val="20"/>
        </w:rPr>
        <w:t>。</w:t>
      </w:r>
    </w:p>
    <w:p w14:paraId="738B17A5">
      <w:pPr>
        <w:pStyle w:val="70"/>
        <w:rPr>
          <w:sz w:val="24"/>
        </w:rPr>
      </w:pPr>
    </w:p>
    <w:p w14:paraId="6A1BDE50"/>
    <w:p w14:paraId="4B3BD3D9">
      <w:pPr>
        <w:topLinePunct/>
        <w:spacing w:line="440" w:lineRule="exact"/>
        <w:ind w:firstLine="482" w:firstLineChars="200"/>
        <w:jc w:val="center"/>
        <w:rPr>
          <w:rFonts w:ascii="Times New Roman"/>
          <w:b/>
          <w:snapToGrid w:val="0"/>
          <w:sz w:val="24"/>
          <w:szCs w:val="24"/>
        </w:rPr>
      </w:pPr>
      <w:r>
        <w:rPr>
          <w:rFonts w:ascii="Times New Roman"/>
          <w:b/>
          <w:snapToGrid w:val="0"/>
          <w:sz w:val="24"/>
          <w:szCs w:val="24"/>
        </w:rPr>
        <w:t>表5.2</w:t>
      </w:r>
      <w:r>
        <w:rPr>
          <w:rFonts w:hint="eastAsia" w:ascii="Times New Roman"/>
          <w:b/>
          <w:snapToGrid w:val="0"/>
          <w:sz w:val="24"/>
          <w:szCs w:val="24"/>
        </w:rPr>
        <w:t>.7</w:t>
      </w:r>
      <w:r>
        <w:rPr>
          <w:rFonts w:ascii="Times New Roman"/>
          <w:b/>
          <w:snapToGrid w:val="0"/>
          <w:sz w:val="24"/>
          <w:szCs w:val="24"/>
        </w:rPr>
        <w:t>-</w:t>
      </w:r>
      <w:r>
        <w:rPr>
          <w:rFonts w:hint="eastAsia" w:ascii="Times New Roman"/>
          <w:b/>
          <w:snapToGrid w:val="0"/>
          <w:sz w:val="24"/>
          <w:szCs w:val="24"/>
        </w:rPr>
        <w:t>1</w:t>
      </w:r>
      <w:r>
        <w:rPr>
          <w:rFonts w:ascii="Times New Roman"/>
          <w:b/>
          <w:snapToGrid w:val="0"/>
          <w:sz w:val="24"/>
          <w:szCs w:val="24"/>
        </w:rPr>
        <w:t xml:space="preserve">  项目涉及主要物料理化特性一览表</w:t>
      </w:r>
    </w:p>
    <w:tbl>
      <w:tblPr>
        <w:tblStyle w:val="84"/>
        <w:tblW w:w="8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51"/>
        <w:gridCol w:w="3402"/>
        <w:gridCol w:w="1553"/>
        <w:gridCol w:w="1791"/>
      </w:tblGrid>
      <w:tr w14:paraId="6CD3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shd w:val="clear" w:color="auto" w:fill="auto"/>
            <w:vAlign w:val="center"/>
          </w:tcPr>
          <w:p w14:paraId="1F41E740">
            <w:pPr>
              <w:spacing w:line="320" w:lineRule="exact"/>
              <w:jc w:val="center"/>
              <w:rPr>
                <w:rFonts w:ascii="Times New Roman"/>
                <w:sz w:val="21"/>
                <w:szCs w:val="21"/>
              </w:rPr>
            </w:pPr>
            <w:r>
              <w:rPr>
                <w:rFonts w:ascii="Times New Roman"/>
                <w:sz w:val="21"/>
                <w:szCs w:val="21"/>
              </w:rPr>
              <w:t>序号</w:t>
            </w:r>
          </w:p>
        </w:tc>
        <w:tc>
          <w:tcPr>
            <w:tcW w:w="851" w:type="dxa"/>
            <w:vMerge w:val="restart"/>
            <w:shd w:val="clear" w:color="auto" w:fill="auto"/>
            <w:vAlign w:val="center"/>
          </w:tcPr>
          <w:p w14:paraId="1E07BED4">
            <w:pPr>
              <w:spacing w:line="320" w:lineRule="exact"/>
              <w:jc w:val="center"/>
              <w:rPr>
                <w:rFonts w:ascii="Times New Roman"/>
                <w:sz w:val="21"/>
                <w:szCs w:val="21"/>
              </w:rPr>
            </w:pPr>
            <w:r>
              <w:rPr>
                <w:rFonts w:ascii="Times New Roman"/>
                <w:sz w:val="21"/>
                <w:szCs w:val="21"/>
              </w:rPr>
              <w:t>物质名称</w:t>
            </w:r>
          </w:p>
        </w:tc>
        <w:tc>
          <w:tcPr>
            <w:tcW w:w="3402" w:type="dxa"/>
            <w:vMerge w:val="restart"/>
            <w:shd w:val="clear" w:color="auto" w:fill="auto"/>
            <w:vAlign w:val="center"/>
          </w:tcPr>
          <w:p w14:paraId="4BB5D750">
            <w:pPr>
              <w:spacing w:line="320" w:lineRule="exact"/>
              <w:jc w:val="center"/>
              <w:rPr>
                <w:rFonts w:ascii="Times New Roman"/>
                <w:sz w:val="21"/>
                <w:szCs w:val="21"/>
              </w:rPr>
            </w:pPr>
            <w:r>
              <w:rPr>
                <w:rFonts w:ascii="Times New Roman"/>
                <w:sz w:val="21"/>
                <w:szCs w:val="21"/>
              </w:rPr>
              <w:t>理化性质</w:t>
            </w:r>
          </w:p>
        </w:tc>
        <w:tc>
          <w:tcPr>
            <w:tcW w:w="3344" w:type="dxa"/>
            <w:gridSpan w:val="2"/>
            <w:shd w:val="clear" w:color="auto" w:fill="auto"/>
            <w:vAlign w:val="center"/>
          </w:tcPr>
          <w:p w14:paraId="1F8AFE4B">
            <w:pPr>
              <w:spacing w:line="320" w:lineRule="exact"/>
              <w:jc w:val="center"/>
              <w:rPr>
                <w:rFonts w:ascii="Times New Roman"/>
                <w:sz w:val="21"/>
                <w:szCs w:val="21"/>
              </w:rPr>
            </w:pPr>
            <w:r>
              <w:rPr>
                <w:rFonts w:ascii="Times New Roman"/>
                <w:sz w:val="21"/>
                <w:szCs w:val="21"/>
              </w:rPr>
              <w:t>危险特性</w:t>
            </w:r>
          </w:p>
        </w:tc>
      </w:tr>
      <w:tr w14:paraId="1496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shd w:val="clear" w:color="auto" w:fill="auto"/>
            <w:vAlign w:val="center"/>
          </w:tcPr>
          <w:p w14:paraId="50E26C40">
            <w:pPr>
              <w:spacing w:line="320" w:lineRule="exact"/>
              <w:jc w:val="center"/>
              <w:rPr>
                <w:rFonts w:ascii="Times New Roman"/>
                <w:sz w:val="21"/>
                <w:szCs w:val="21"/>
              </w:rPr>
            </w:pPr>
          </w:p>
        </w:tc>
        <w:tc>
          <w:tcPr>
            <w:tcW w:w="851" w:type="dxa"/>
            <w:vMerge w:val="continue"/>
            <w:shd w:val="clear" w:color="auto" w:fill="auto"/>
            <w:vAlign w:val="center"/>
          </w:tcPr>
          <w:p w14:paraId="532BFE8D">
            <w:pPr>
              <w:spacing w:line="320" w:lineRule="exact"/>
              <w:jc w:val="center"/>
              <w:rPr>
                <w:rFonts w:ascii="Times New Roman"/>
                <w:sz w:val="21"/>
                <w:szCs w:val="21"/>
              </w:rPr>
            </w:pPr>
          </w:p>
        </w:tc>
        <w:tc>
          <w:tcPr>
            <w:tcW w:w="3402" w:type="dxa"/>
            <w:vMerge w:val="continue"/>
            <w:shd w:val="clear" w:color="auto" w:fill="auto"/>
            <w:vAlign w:val="center"/>
          </w:tcPr>
          <w:p w14:paraId="70B2F357">
            <w:pPr>
              <w:spacing w:line="320" w:lineRule="exact"/>
              <w:jc w:val="center"/>
              <w:rPr>
                <w:rFonts w:ascii="Times New Roman"/>
                <w:sz w:val="21"/>
                <w:szCs w:val="21"/>
              </w:rPr>
            </w:pPr>
          </w:p>
        </w:tc>
        <w:tc>
          <w:tcPr>
            <w:tcW w:w="1553" w:type="dxa"/>
            <w:shd w:val="clear" w:color="auto" w:fill="auto"/>
            <w:vAlign w:val="center"/>
          </w:tcPr>
          <w:p w14:paraId="3AAB04F2">
            <w:pPr>
              <w:spacing w:line="320" w:lineRule="exact"/>
              <w:jc w:val="center"/>
              <w:rPr>
                <w:rFonts w:ascii="Times New Roman"/>
                <w:sz w:val="21"/>
                <w:szCs w:val="21"/>
              </w:rPr>
            </w:pPr>
            <w:r>
              <w:rPr>
                <w:rFonts w:ascii="Times New Roman"/>
                <w:sz w:val="21"/>
                <w:szCs w:val="21"/>
              </w:rPr>
              <w:t>易燃易爆性</w:t>
            </w:r>
          </w:p>
        </w:tc>
        <w:tc>
          <w:tcPr>
            <w:tcW w:w="1791" w:type="dxa"/>
            <w:shd w:val="clear" w:color="auto" w:fill="auto"/>
            <w:vAlign w:val="center"/>
          </w:tcPr>
          <w:p w14:paraId="2318AC16">
            <w:pPr>
              <w:spacing w:line="320" w:lineRule="exact"/>
              <w:jc w:val="center"/>
              <w:rPr>
                <w:rFonts w:ascii="Times New Roman"/>
                <w:sz w:val="21"/>
                <w:szCs w:val="21"/>
              </w:rPr>
            </w:pPr>
            <w:r>
              <w:rPr>
                <w:rFonts w:ascii="Times New Roman"/>
                <w:sz w:val="21"/>
                <w:szCs w:val="21"/>
              </w:rPr>
              <w:t>毒性</w:t>
            </w:r>
          </w:p>
        </w:tc>
      </w:tr>
      <w:tr w14:paraId="2A85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shd w:val="clear" w:color="auto" w:fill="auto"/>
            <w:vAlign w:val="center"/>
          </w:tcPr>
          <w:p w14:paraId="08905B03">
            <w:pPr>
              <w:spacing w:line="320" w:lineRule="exact"/>
              <w:jc w:val="center"/>
              <w:rPr>
                <w:rFonts w:ascii="Times New Roman"/>
                <w:sz w:val="21"/>
                <w:szCs w:val="21"/>
              </w:rPr>
            </w:pPr>
            <w:r>
              <w:rPr>
                <w:rFonts w:ascii="Times New Roman"/>
                <w:sz w:val="21"/>
                <w:szCs w:val="21"/>
              </w:rPr>
              <w:t>1</w:t>
            </w:r>
          </w:p>
        </w:tc>
        <w:tc>
          <w:tcPr>
            <w:tcW w:w="851" w:type="dxa"/>
            <w:shd w:val="clear" w:color="auto" w:fill="auto"/>
            <w:vAlign w:val="center"/>
          </w:tcPr>
          <w:p w14:paraId="4FF3FC89">
            <w:pPr>
              <w:spacing w:line="320" w:lineRule="exact"/>
              <w:jc w:val="center"/>
              <w:rPr>
                <w:rFonts w:ascii="Times New Roman"/>
                <w:sz w:val="21"/>
                <w:szCs w:val="21"/>
              </w:rPr>
            </w:pPr>
            <w:r>
              <w:rPr>
                <w:rFonts w:ascii="Times New Roman"/>
                <w:sz w:val="21"/>
                <w:szCs w:val="21"/>
              </w:rPr>
              <w:t>甲烷</w:t>
            </w:r>
          </w:p>
        </w:tc>
        <w:tc>
          <w:tcPr>
            <w:tcW w:w="3402" w:type="dxa"/>
            <w:shd w:val="clear" w:color="auto" w:fill="auto"/>
            <w:vAlign w:val="center"/>
          </w:tcPr>
          <w:p w14:paraId="3634DE88">
            <w:pPr>
              <w:spacing w:line="320" w:lineRule="exact"/>
              <w:jc w:val="center"/>
              <w:rPr>
                <w:rFonts w:ascii="Times New Roman"/>
                <w:sz w:val="21"/>
                <w:szCs w:val="21"/>
              </w:rPr>
            </w:pPr>
            <w:r>
              <w:rPr>
                <w:rFonts w:ascii="Times New Roman"/>
                <w:sz w:val="21"/>
                <w:szCs w:val="21"/>
              </w:rPr>
              <w:t>无色无臭气体，熔点-182.5℃；沸点-161.5℃；闪点-188℃；爆炸上限 15%，爆炸下限 5.3%，最大爆炸压力0.717MPa，临界温度-82.6℃，引燃温度538℃</w:t>
            </w:r>
          </w:p>
        </w:tc>
        <w:tc>
          <w:tcPr>
            <w:tcW w:w="1553" w:type="dxa"/>
            <w:shd w:val="clear" w:color="auto" w:fill="auto"/>
            <w:vAlign w:val="center"/>
          </w:tcPr>
          <w:p w14:paraId="743DABFD">
            <w:pPr>
              <w:spacing w:line="320" w:lineRule="exact"/>
              <w:jc w:val="center"/>
              <w:rPr>
                <w:rFonts w:ascii="Times New Roman"/>
                <w:sz w:val="21"/>
                <w:szCs w:val="21"/>
              </w:rPr>
            </w:pPr>
            <w:r>
              <w:rPr>
                <w:rFonts w:ascii="Times New Roman"/>
                <w:sz w:val="21"/>
                <w:szCs w:val="21"/>
              </w:rPr>
              <w:t>易燃，与空气混合能形成爆炸性混合物，遇明火和热源有燃烧爆炸的危险。</w:t>
            </w:r>
          </w:p>
        </w:tc>
        <w:tc>
          <w:tcPr>
            <w:tcW w:w="1791" w:type="dxa"/>
            <w:shd w:val="clear" w:color="auto" w:fill="auto"/>
            <w:vAlign w:val="center"/>
          </w:tcPr>
          <w:p w14:paraId="7DFA6646">
            <w:pPr>
              <w:spacing w:line="320" w:lineRule="exact"/>
              <w:jc w:val="center"/>
              <w:rPr>
                <w:rFonts w:ascii="Times New Roman"/>
                <w:sz w:val="21"/>
                <w:szCs w:val="21"/>
              </w:rPr>
            </w:pPr>
            <w:r>
              <w:rPr>
                <w:rFonts w:ascii="Times New Roman"/>
                <w:sz w:val="21"/>
                <w:szCs w:val="21"/>
              </w:rPr>
              <w:t>甲烷对人体基本无毒，但浓度高时，使空气中氧含量明显降低，使人窒息。</w:t>
            </w:r>
          </w:p>
        </w:tc>
      </w:tr>
      <w:tr w14:paraId="01FB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shd w:val="clear" w:color="auto" w:fill="auto"/>
            <w:vAlign w:val="center"/>
          </w:tcPr>
          <w:p w14:paraId="323B5030">
            <w:pPr>
              <w:spacing w:line="320" w:lineRule="exact"/>
              <w:jc w:val="center"/>
              <w:rPr>
                <w:rFonts w:ascii="Times New Roman"/>
                <w:sz w:val="21"/>
                <w:szCs w:val="21"/>
              </w:rPr>
            </w:pPr>
            <w:r>
              <w:rPr>
                <w:rFonts w:ascii="Times New Roman"/>
                <w:sz w:val="21"/>
                <w:szCs w:val="21"/>
              </w:rPr>
              <w:t>2</w:t>
            </w:r>
          </w:p>
        </w:tc>
        <w:tc>
          <w:tcPr>
            <w:tcW w:w="851" w:type="dxa"/>
            <w:shd w:val="clear" w:color="auto" w:fill="auto"/>
            <w:vAlign w:val="center"/>
          </w:tcPr>
          <w:p w14:paraId="1E8776BE">
            <w:pPr>
              <w:spacing w:line="320" w:lineRule="exact"/>
              <w:jc w:val="center"/>
              <w:rPr>
                <w:rFonts w:ascii="Times New Roman"/>
                <w:sz w:val="21"/>
                <w:szCs w:val="21"/>
              </w:rPr>
            </w:pPr>
            <w:r>
              <w:rPr>
                <w:rFonts w:ascii="Times New Roman"/>
                <w:sz w:val="21"/>
                <w:szCs w:val="21"/>
              </w:rPr>
              <w:t>二甲苯</w:t>
            </w:r>
          </w:p>
        </w:tc>
        <w:tc>
          <w:tcPr>
            <w:tcW w:w="3402" w:type="dxa"/>
            <w:shd w:val="clear" w:color="auto" w:fill="auto"/>
            <w:vAlign w:val="center"/>
          </w:tcPr>
          <w:p w14:paraId="2A9CAA2E">
            <w:pPr>
              <w:spacing w:line="320" w:lineRule="exact"/>
              <w:jc w:val="center"/>
              <w:rPr>
                <w:rFonts w:ascii="Times New Roman"/>
                <w:sz w:val="21"/>
                <w:szCs w:val="21"/>
              </w:rPr>
            </w:pPr>
            <w:r>
              <w:rPr>
                <w:rFonts w:ascii="Times New Roman"/>
                <w:sz w:val="21"/>
                <w:szCs w:val="21"/>
              </w:rPr>
              <w:t>分子式为 C</w:t>
            </w:r>
            <w:r>
              <w:rPr>
                <w:rFonts w:ascii="Times New Roman"/>
                <w:sz w:val="21"/>
                <w:szCs w:val="21"/>
                <w:vertAlign w:val="subscript"/>
              </w:rPr>
              <w:t>8</w:t>
            </w:r>
            <w:r>
              <w:rPr>
                <w:rFonts w:ascii="Times New Roman"/>
                <w:sz w:val="21"/>
                <w:szCs w:val="21"/>
              </w:rPr>
              <w:t>H</w:t>
            </w:r>
            <w:r>
              <w:rPr>
                <w:rFonts w:ascii="Times New Roman"/>
                <w:sz w:val="21"/>
                <w:szCs w:val="21"/>
                <w:vertAlign w:val="subscript"/>
              </w:rPr>
              <w:t>10</w:t>
            </w:r>
            <w:r>
              <w:rPr>
                <w:rFonts w:ascii="Times New Roman"/>
                <w:sz w:val="21"/>
                <w:szCs w:val="21"/>
              </w:rPr>
              <w:t>。为对二甲苯、</w:t>
            </w:r>
          </w:p>
          <w:p w14:paraId="035445A9">
            <w:pPr>
              <w:spacing w:line="320" w:lineRule="exact"/>
              <w:jc w:val="center"/>
              <w:rPr>
                <w:rFonts w:ascii="Times New Roman"/>
                <w:sz w:val="21"/>
                <w:szCs w:val="21"/>
              </w:rPr>
            </w:pPr>
            <w:r>
              <w:rPr>
                <w:rFonts w:ascii="Times New Roman"/>
                <w:sz w:val="21"/>
                <w:szCs w:val="21"/>
              </w:rPr>
              <w:t>邻二甲苯、间二甲苯的混合</w:t>
            </w:r>
          </w:p>
          <w:p w14:paraId="678A99EF">
            <w:pPr>
              <w:spacing w:line="320" w:lineRule="exact"/>
              <w:jc w:val="center"/>
              <w:rPr>
                <w:rFonts w:ascii="Times New Roman"/>
                <w:sz w:val="21"/>
                <w:szCs w:val="21"/>
              </w:rPr>
            </w:pPr>
            <w:r>
              <w:rPr>
                <w:rFonts w:ascii="Times New Roman"/>
                <w:sz w:val="21"/>
                <w:szCs w:val="21"/>
              </w:rPr>
              <w:t>物。相对密度为0.86.为无色透明液体，溶于乙醇和乙醚，不溶于水。</w:t>
            </w:r>
          </w:p>
        </w:tc>
        <w:tc>
          <w:tcPr>
            <w:tcW w:w="1553" w:type="dxa"/>
            <w:shd w:val="clear" w:color="auto" w:fill="auto"/>
            <w:vAlign w:val="center"/>
          </w:tcPr>
          <w:p w14:paraId="6B0A9B46">
            <w:pPr>
              <w:spacing w:line="320" w:lineRule="exact"/>
              <w:jc w:val="center"/>
              <w:rPr>
                <w:rFonts w:ascii="Times New Roman"/>
                <w:sz w:val="21"/>
                <w:szCs w:val="21"/>
              </w:rPr>
            </w:pPr>
            <w:r>
              <w:rPr>
                <w:rFonts w:ascii="Times New Roman"/>
                <w:sz w:val="21"/>
                <w:szCs w:val="21"/>
              </w:rPr>
              <w:t>闪点25℃</w:t>
            </w:r>
          </w:p>
        </w:tc>
        <w:tc>
          <w:tcPr>
            <w:tcW w:w="1791" w:type="dxa"/>
            <w:shd w:val="clear" w:color="auto" w:fill="auto"/>
            <w:vAlign w:val="center"/>
          </w:tcPr>
          <w:p w14:paraId="66809260">
            <w:pPr>
              <w:spacing w:line="320" w:lineRule="exact"/>
              <w:jc w:val="center"/>
              <w:rPr>
                <w:rFonts w:ascii="Times New Roman"/>
                <w:sz w:val="21"/>
                <w:szCs w:val="21"/>
              </w:rPr>
            </w:pPr>
            <w:r>
              <w:rPr>
                <w:rFonts w:ascii="Times New Roman"/>
                <w:sz w:val="21"/>
                <w:szCs w:val="21"/>
              </w:rPr>
              <w:t>其毒性多数是同分异构体的混合物引起的，由各异构体单</w:t>
            </w:r>
          </w:p>
        </w:tc>
      </w:tr>
      <w:tr w14:paraId="536A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shd w:val="clear" w:color="auto" w:fill="auto"/>
            <w:vAlign w:val="center"/>
          </w:tcPr>
          <w:p w14:paraId="0B4D856F">
            <w:pPr>
              <w:spacing w:line="320" w:lineRule="exact"/>
              <w:jc w:val="center"/>
              <w:rPr>
                <w:rFonts w:ascii="Times New Roman"/>
                <w:sz w:val="21"/>
                <w:szCs w:val="21"/>
              </w:rPr>
            </w:pPr>
            <w:r>
              <w:rPr>
                <w:rFonts w:hint="eastAsia" w:ascii="Times New Roman"/>
                <w:sz w:val="21"/>
                <w:szCs w:val="21"/>
              </w:rPr>
              <w:t>3</w:t>
            </w:r>
          </w:p>
        </w:tc>
        <w:tc>
          <w:tcPr>
            <w:tcW w:w="851" w:type="dxa"/>
            <w:shd w:val="clear" w:color="auto" w:fill="auto"/>
            <w:vAlign w:val="center"/>
          </w:tcPr>
          <w:p w14:paraId="12C1F60D">
            <w:pPr>
              <w:spacing w:line="320" w:lineRule="exact"/>
              <w:jc w:val="center"/>
              <w:rPr>
                <w:rFonts w:ascii="Times New Roman"/>
                <w:sz w:val="21"/>
                <w:szCs w:val="21"/>
              </w:rPr>
            </w:pPr>
            <w:r>
              <w:rPr>
                <w:rFonts w:hint="eastAsia" w:ascii="Times New Roman"/>
                <w:sz w:val="21"/>
                <w:szCs w:val="21"/>
              </w:rPr>
              <w:t>丙烷</w:t>
            </w:r>
          </w:p>
        </w:tc>
        <w:tc>
          <w:tcPr>
            <w:tcW w:w="3402" w:type="dxa"/>
            <w:shd w:val="clear" w:color="auto" w:fill="auto"/>
            <w:vAlign w:val="center"/>
          </w:tcPr>
          <w:p w14:paraId="0FCEF30D">
            <w:pPr>
              <w:spacing w:line="320" w:lineRule="exact"/>
              <w:jc w:val="center"/>
              <w:rPr>
                <w:rFonts w:ascii="Times New Roman"/>
                <w:sz w:val="21"/>
                <w:szCs w:val="21"/>
              </w:rPr>
            </w:pPr>
            <w:r>
              <w:rPr>
                <w:rFonts w:ascii="Times New Roman"/>
                <w:sz w:val="21"/>
                <w:szCs w:val="21"/>
              </w:rPr>
              <w:t>无色无臭气体，熔点：-187.6℃</w:t>
            </w:r>
            <w:r>
              <w:rPr>
                <w:rFonts w:hint="eastAsia" w:ascii="Times New Roman"/>
                <w:sz w:val="21"/>
                <w:szCs w:val="21"/>
              </w:rPr>
              <w:t>；</w:t>
            </w:r>
            <w:r>
              <w:rPr>
                <w:rFonts w:ascii="Times New Roman"/>
                <w:sz w:val="21"/>
                <w:szCs w:val="21"/>
              </w:rPr>
              <w:t>沸点：-42.1℃</w:t>
            </w:r>
            <w:r>
              <w:rPr>
                <w:rFonts w:hint="eastAsia" w:ascii="Times New Roman"/>
                <w:sz w:val="21"/>
                <w:szCs w:val="21"/>
              </w:rPr>
              <w:t>；</w:t>
            </w:r>
            <w:r>
              <w:rPr>
                <w:rFonts w:ascii="Times New Roman"/>
                <w:sz w:val="21"/>
                <w:szCs w:val="21"/>
              </w:rPr>
              <w:t>闪点：-104℃</w:t>
            </w:r>
            <w:r>
              <w:rPr>
                <w:rFonts w:hint="eastAsia" w:ascii="Times New Roman"/>
                <w:sz w:val="21"/>
                <w:szCs w:val="21"/>
              </w:rPr>
              <w:t>；</w:t>
            </w:r>
            <w:r>
              <w:rPr>
                <w:rFonts w:ascii="Times New Roman"/>
                <w:sz w:val="21"/>
                <w:szCs w:val="21"/>
              </w:rPr>
              <w:t>爆炸上限</w:t>
            </w:r>
            <w:r>
              <w:rPr>
                <w:rFonts w:hint="eastAsia" w:ascii="Times New Roman"/>
                <w:sz w:val="21"/>
                <w:szCs w:val="21"/>
              </w:rPr>
              <w:t>9.5</w:t>
            </w:r>
            <w:r>
              <w:rPr>
                <w:rFonts w:ascii="Times New Roman"/>
                <w:sz w:val="21"/>
                <w:szCs w:val="21"/>
              </w:rPr>
              <w:t>%，爆炸下限</w:t>
            </w:r>
            <w:r>
              <w:rPr>
                <w:rFonts w:hint="eastAsia" w:ascii="Times New Roman"/>
                <w:sz w:val="21"/>
                <w:szCs w:val="21"/>
              </w:rPr>
              <w:t>2.1</w:t>
            </w:r>
            <w:r>
              <w:rPr>
                <w:rFonts w:ascii="Times New Roman"/>
                <w:sz w:val="21"/>
                <w:szCs w:val="21"/>
              </w:rPr>
              <w:t>%，临界温度</w:t>
            </w:r>
            <w:r>
              <w:rPr>
                <w:rFonts w:hint="eastAsia" w:ascii="Times New Roman"/>
                <w:sz w:val="21"/>
                <w:szCs w:val="21"/>
              </w:rPr>
              <w:t>96.8</w:t>
            </w:r>
            <w:r>
              <w:rPr>
                <w:rFonts w:ascii="Times New Roman"/>
                <w:sz w:val="21"/>
                <w:szCs w:val="21"/>
              </w:rPr>
              <w:t>℃，引燃温度</w:t>
            </w:r>
            <w:r>
              <w:rPr>
                <w:rFonts w:hint="eastAsia" w:ascii="Times New Roman"/>
                <w:sz w:val="21"/>
                <w:szCs w:val="21"/>
              </w:rPr>
              <w:t>450</w:t>
            </w:r>
            <w:r>
              <w:rPr>
                <w:rFonts w:ascii="Times New Roman"/>
                <w:sz w:val="21"/>
                <w:szCs w:val="21"/>
              </w:rPr>
              <w:t>℃</w:t>
            </w:r>
          </w:p>
        </w:tc>
        <w:tc>
          <w:tcPr>
            <w:tcW w:w="1553" w:type="dxa"/>
            <w:shd w:val="clear" w:color="auto" w:fill="auto"/>
            <w:vAlign w:val="center"/>
          </w:tcPr>
          <w:p w14:paraId="2F647772">
            <w:pPr>
              <w:spacing w:line="320" w:lineRule="exact"/>
              <w:jc w:val="center"/>
              <w:rPr>
                <w:rFonts w:ascii="Times New Roman"/>
                <w:sz w:val="21"/>
                <w:szCs w:val="21"/>
              </w:rPr>
            </w:pPr>
            <w:r>
              <w:rPr>
                <w:rFonts w:ascii="Times New Roman"/>
                <w:sz w:val="21"/>
                <w:szCs w:val="21"/>
              </w:rPr>
              <w:t>燃，与空气混合能形成爆炸性混合物，遇明火和热源有燃烧爆炸的危险。</w:t>
            </w:r>
          </w:p>
        </w:tc>
        <w:tc>
          <w:tcPr>
            <w:tcW w:w="1791" w:type="dxa"/>
            <w:shd w:val="clear" w:color="auto" w:fill="auto"/>
            <w:vAlign w:val="center"/>
          </w:tcPr>
          <w:p w14:paraId="78665E7D">
            <w:pPr>
              <w:spacing w:line="320" w:lineRule="exact"/>
              <w:jc w:val="center"/>
              <w:rPr>
                <w:rFonts w:ascii="Times New Roman"/>
                <w:sz w:val="21"/>
                <w:szCs w:val="21"/>
              </w:rPr>
            </w:pPr>
            <w:r>
              <w:rPr>
                <w:rFonts w:hint="eastAsia" w:ascii="Times New Roman"/>
                <w:sz w:val="21"/>
                <w:szCs w:val="21"/>
              </w:rPr>
              <w:t>丙烷</w:t>
            </w:r>
            <w:r>
              <w:rPr>
                <w:rFonts w:ascii="Times New Roman"/>
                <w:sz w:val="21"/>
                <w:szCs w:val="21"/>
              </w:rPr>
              <w:t>有单纯性窒息及麻醉作用。人短暂接触1</w:t>
            </w:r>
            <w:r>
              <w:rPr>
                <w:rFonts w:hint="eastAsia" w:ascii="Times New Roman"/>
                <w:sz w:val="21"/>
                <w:szCs w:val="21"/>
              </w:rPr>
              <w:t>%</w:t>
            </w:r>
            <w:r>
              <w:rPr>
                <w:rFonts w:ascii="Times New Roman"/>
                <w:sz w:val="21"/>
                <w:szCs w:val="21"/>
              </w:rPr>
              <w:t>丙烷，不引起症状；10</w:t>
            </w:r>
            <w:r>
              <w:rPr>
                <w:rFonts w:hint="eastAsia" w:ascii="Times New Roman"/>
                <w:sz w:val="21"/>
                <w:szCs w:val="21"/>
              </w:rPr>
              <w:t>%</w:t>
            </w:r>
            <w:r>
              <w:rPr>
                <w:rFonts w:ascii="Times New Roman"/>
                <w:sz w:val="21"/>
                <w:szCs w:val="21"/>
              </w:rPr>
              <w:t>以下的浓度，只引起轻度头晕；接触高浓度时可出现麻醉状态、意识丧失；极高浓度时可致窒息。</w:t>
            </w:r>
          </w:p>
        </w:tc>
      </w:tr>
    </w:tbl>
    <w:p w14:paraId="708239C3">
      <w:pPr>
        <w:spacing w:line="480" w:lineRule="exact"/>
        <w:ind w:firstLine="480" w:firstLineChars="200"/>
        <w:rPr>
          <w:rFonts w:ascii="Times New Roman"/>
          <w:sz w:val="24"/>
          <w:szCs w:val="20"/>
        </w:rPr>
      </w:pPr>
      <w:r>
        <w:rPr>
          <w:rFonts w:ascii="Times New Roman"/>
          <w:sz w:val="24"/>
          <w:szCs w:val="20"/>
        </w:rPr>
        <w:t>根据项目厂区生产装置分布，项目危险单元划分、单元内危险物质最大存在量、潜在的风险源分析结果，见</w:t>
      </w:r>
      <w:r>
        <w:rPr>
          <w:rFonts w:hint="eastAsia" w:ascii="Times New Roman"/>
          <w:sz w:val="24"/>
          <w:szCs w:val="20"/>
        </w:rPr>
        <w:t>下</w:t>
      </w:r>
      <w:r>
        <w:rPr>
          <w:rFonts w:ascii="Times New Roman"/>
          <w:sz w:val="24"/>
          <w:szCs w:val="20"/>
        </w:rPr>
        <w:t>表。</w:t>
      </w:r>
    </w:p>
    <w:p w14:paraId="5D7D221A">
      <w:pPr>
        <w:spacing w:line="440" w:lineRule="exact"/>
        <w:ind w:firstLine="482" w:firstLineChars="200"/>
        <w:jc w:val="center"/>
        <w:rPr>
          <w:rFonts w:ascii="Times New Roman"/>
          <w:b/>
          <w:sz w:val="24"/>
          <w:szCs w:val="24"/>
        </w:rPr>
      </w:pPr>
      <w:r>
        <w:rPr>
          <w:rFonts w:ascii="Times New Roman"/>
          <w:b/>
          <w:sz w:val="24"/>
          <w:szCs w:val="24"/>
        </w:rPr>
        <w:t>表5.2</w:t>
      </w:r>
      <w:r>
        <w:rPr>
          <w:rFonts w:hint="eastAsia" w:ascii="Times New Roman"/>
          <w:b/>
          <w:sz w:val="24"/>
          <w:szCs w:val="24"/>
        </w:rPr>
        <w:t>.7</w:t>
      </w:r>
      <w:r>
        <w:rPr>
          <w:rFonts w:ascii="Times New Roman"/>
          <w:b/>
          <w:sz w:val="24"/>
          <w:szCs w:val="24"/>
        </w:rPr>
        <w:t>-</w:t>
      </w:r>
      <w:r>
        <w:rPr>
          <w:rFonts w:hint="eastAsia" w:ascii="Times New Roman"/>
          <w:b/>
          <w:sz w:val="24"/>
          <w:szCs w:val="24"/>
        </w:rPr>
        <w:t>2</w:t>
      </w:r>
      <w:r>
        <w:rPr>
          <w:rFonts w:ascii="Times New Roman"/>
          <w:b/>
          <w:sz w:val="24"/>
          <w:szCs w:val="24"/>
        </w:rPr>
        <w:t xml:space="preserve">  项目危险单元划分</w:t>
      </w:r>
    </w:p>
    <w:tbl>
      <w:tblPr>
        <w:tblStyle w:val="84"/>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632"/>
        <w:gridCol w:w="1106"/>
        <w:gridCol w:w="1733"/>
        <w:gridCol w:w="1227"/>
        <w:gridCol w:w="2994"/>
      </w:tblGrid>
      <w:tr w14:paraId="0432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vAlign w:val="center"/>
          </w:tcPr>
          <w:p w14:paraId="17BDE8FD">
            <w:pPr>
              <w:adjustRightInd w:val="0"/>
              <w:snapToGrid w:val="0"/>
              <w:spacing w:line="240" w:lineRule="exact"/>
              <w:jc w:val="center"/>
              <w:rPr>
                <w:rFonts w:ascii="Times New Roman"/>
                <w:sz w:val="21"/>
                <w:szCs w:val="21"/>
              </w:rPr>
            </w:pPr>
            <w:r>
              <w:rPr>
                <w:rFonts w:ascii="Times New Roman"/>
                <w:sz w:val="21"/>
                <w:szCs w:val="21"/>
              </w:rPr>
              <w:t>序号</w:t>
            </w:r>
          </w:p>
        </w:tc>
        <w:tc>
          <w:tcPr>
            <w:tcW w:w="1048" w:type="pct"/>
            <w:gridSpan w:val="2"/>
            <w:vAlign w:val="center"/>
          </w:tcPr>
          <w:p w14:paraId="6E01C14E">
            <w:pPr>
              <w:adjustRightInd w:val="0"/>
              <w:snapToGrid w:val="0"/>
              <w:spacing w:line="240" w:lineRule="exact"/>
              <w:jc w:val="center"/>
              <w:rPr>
                <w:rFonts w:ascii="Times New Roman"/>
                <w:sz w:val="21"/>
                <w:szCs w:val="21"/>
              </w:rPr>
            </w:pPr>
            <w:r>
              <w:rPr>
                <w:rFonts w:ascii="Times New Roman"/>
                <w:sz w:val="21"/>
                <w:szCs w:val="21"/>
              </w:rPr>
              <w:t>风险单元</w:t>
            </w:r>
          </w:p>
        </w:tc>
        <w:tc>
          <w:tcPr>
            <w:tcW w:w="1045" w:type="pct"/>
            <w:vAlign w:val="center"/>
          </w:tcPr>
          <w:p w14:paraId="39A108F9">
            <w:pPr>
              <w:adjustRightInd w:val="0"/>
              <w:snapToGrid w:val="0"/>
              <w:spacing w:line="240" w:lineRule="exact"/>
              <w:jc w:val="center"/>
              <w:rPr>
                <w:rFonts w:ascii="Times New Roman"/>
                <w:sz w:val="21"/>
                <w:szCs w:val="21"/>
              </w:rPr>
            </w:pPr>
            <w:r>
              <w:rPr>
                <w:rFonts w:ascii="Times New Roman"/>
                <w:sz w:val="21"/>
                <w:szCs w:val="21"/>
              </w:rPr>
              <w:t>危险物质</w:t>
            </w:r>
          </w:p>
        </w:tc>
        <w:tc>
          <w:tcPr>
            <w:tcW w:w="740" w:type="pct"/>
            <w:vAlign w:val="center"/>
          </w:tcPr>
          <w:p w14:paraId="107DB1DE">
            <w:pPr>
              <w:adjustRightInd w:val="0"/>
              <w:snapToGrid w:val="0"/>
              <w:spacing w:line="240" w:lineRule="exact"/>
              <w:jc w:val="center"/>
              <w:rPr>
                <w:rFonts w:ascii="Times New Roman"/>
                <w:sz w:val="21"/>
                <w:szCs w:val="21"/>
              </w:rPr>
            </w:pPr>
            <w:r>
              <w:rPr>
                <w:rFonts w:ascii="Times New Roman"/>
                <w:sz w:val="21"/>
                <w:szCs w:val="21"/>
              </w:rPr>
              <w:t>单元内最大存在量t</w:t>
            </w:r>
          </w:p>
        </w:tc>
        <w:tc>
          <w:tcPr>
            <w:tcW w:w="1805" w:type="pct"/>
            <w:vAlign w:val="center"/>
          </w:tcPr>
          <w:p w14:paraId="6BFA7F4F">
            <w:pPr>
              <w:adjustRightInd w:val="0"/>
              <w:snapToGrid w:val="0"/>
              <w:spacing w:line="240" w:lineRule="exact"/>
              <w:jc w:val="center"/>
              <w:rPr>
                <w:rFonts w:ascii="Times New Roman"/>
                <w:sz w:val="21"/>
                <w:szCs w:val="21"/>
              </w:rPr>
            </w:pPr>
            <w:r>
              <w:rPr>
                <w:rFonts w:hint="eastAsia" w:ascii="Times New Roman"/>
                <w:sz w:val="21"/>
                <w:szCs w:val="21"/>
              </w:rPr>
              <w:t>备注</w:t>
            </w:r>
          </w:p>
        </w:tc>
      </w:tr>
      <w:tr w14:paraId="2E63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vAlign w:val="center"/>
          </w:tcPr>
          <w:p w14:paraId="2D94C332">
            <w:pPr>
              <w:adjustRightInd w:val="0"/>
              <w:snapToGrid w:val="0"/>
              <w:spacing w:line="240" w:lineRule="exact"/>
              <w:jc w:val="center"/>
              <w:rPr>
                <w:rFonts w:ascii="Times New Roman"/>
                <w:sz w:val="21"/>
                <w:szCs w:val="21"/>
              </w:rPr>
            </w:pPr>
            <w:r>
              <w:rPr>
                <w:rFonts w:ascii="Times New Roman"/>
                <w:sz w:val="21"/>
                <w:szCs w:val="21"/>
              </w:rPr>
              <w:t>1</w:t>
            </w:r>
          </w:p>
        </w:tc>
        <w:tc>
          <w:tcPr>
            <w:tcW w:w="1048" w:type="pct"/>
            <w:gridSpan w:val="2"/>
            <w:vAlign w:val="center"/>
          </w:tcPr>
          <w:p w14:paraId="7E02D3BB">
            <w:pPr>
              <w:adjustRightInd w:val="0"/>
              <w:snapToGrid w:val="0"/>
              <w:spacing w:line="240" w:lineRule="exact"/>
              <w:jc w:val="center"/>
              <w:rPr>
                <w:rFonts w:ascii="Times New Roman"/>
                <w:sz w:val="21"/>
                <w:szCs w:val="21"/>
              </w:rPr>
            </w:pPr>
            <w:r>
              <w:rPr>
                <w:rFonts w:ascii="Times New Roman"/>
                <w:sz w:val="21"/>
                <w:szCs w:val="21"/>
              </w:rPr>
              <w:t>天然气</w:t>
            </w:r>
            <w:r>
              <w:rPr>
                <w:rFonts w:hint="eastAsia" w:ascii="Times New Roman"/>
                <w:sz w:val="21"/>
                <w:szCs w:val="21"/>
              </w:rPr>
              <w:t>管道</w:t>
            </w:r>
          </w:p>
        </w:tc>
        <w:tc>
          <w:tcPr>
            <w:tcW w:w="1045" w:type="pct"/>
            <w:vAlign w:val="center"/>
          </w:tcPr>
          <w:p w14:paraId="1D2DA339">
            <w:pPr>
              <w:spacing w:line="240" w:lineRule="exact"/>
              <w:jc w:val="center"/>
              <w:rPr>
                <w:rFonts w:ascii="Times New Roman"/>
                <w:sz w:val="21"/>
                <w:szCs w:val="21"/>
              </w:rPr>
            </w:pPr>
            <w:r>
              <w:rPr>
                <w:rFonts w:ascii="Times New Roman"/>
                <w:sz w:val="21"/>
                <w:szCs w:val="21"/>
              </w:rPr>
              <w:t>甲烷</w:t>
            </w:r>
          </w:p>
        </w:tc>
        <w:tc>
          <w:tcPr>
            <w:tcW w:w="740" w:type="pct"/>
            <w:vAlign w:val="center"/>
          </w:tcPr>
          <w:p w14:paraId="113738F1">
            <w:pPr>
              <w:jc w:val="center"/>
              <w:rPr>
                <w:rFonts w:ascii="Times New Roman"/>
                <w:sz w:val="21"/>
                <w:szCs w:val="21"/>
              </w:rPr>
            </w:pPr>
            <w:r>
              <w:rPr>
                <w:rFonts w:hint="eastAsia" w:ascii="Times New Roman"/>
                <w:sz w:val="21"/>
                <w:szCs w:val="21"/>
              </w:rPr>
              <w:t>0.001</w:t>
            </w:r>
          </w:p>
        </w:tc>
        <w:tc>
          <w:tcPr>
            <w:tcW w:w="1805" w:type="pct"/>
            <w:vAlign w:val="center"/>
          </w:tcPr>
          <w:p w14:paraId="124DEE20">
            <w:pPr>
              <w:jc w:val="center"/>
              <w:rPr>
                <w:rFonts w:ascii="Times New Roman"/>
                <w:sz w:val="21"/>
                <w:szCs w:val="21"/>
              </w:rPr>
            </w:pPr>
            <w:r>
              <w:rPr>
                <w:rFonts w:ascii="Times New Roman"/>
                <w:kern w:val="0"/>
                <w:sz w:val="21"/>
                <w:szCs w:val="21"/>
              </w:rPr>
              <w:t>天然气管道管径为63mm，</w:t>
            </w:r>
            <w:r>
              <w:rPr>
                <w:rFonts w:ascii="Times New Roman"/>
                <w:sz w:val="21"/>
                <w:szCs w:val="21"/>
              </w:rPr>
              <w:t>厂区内管道约为50</w:t>
            </w:r>
            <w:r>
              <w:rPr>
                <w:rFonts w:hint="eastAsia" w:ascii="Times New Roman"/>
                <w:sz w:val="21"/>
                <w:szCs w:val="21"/>
              </w:rPr>
              <w:t>0</w:t>
            </w:r>
            <w:r>
              <w:rPr>
                <w:rFonts w:ascii="Times New Roman"/>
                <w:sz w:val="21"/>
                <w:szCs w:val="21"/>
              </w:rPr>
              <w:t>m，</w:t>
            </w:r>
            <w:r>
              <w:rPr>
                <w:rFonts w:ascii="Times New Roman"/>
                <w:kern w:val="0"/>
                <w:sz w:val="21"/>
                <w:szCs w:val="21"/>
              </w:rPr>
              <w:t>故厂区内天然气的量约为</w:t>
            </w:r>
            <w:r>
              <w:rPr>
                <w:rFonts w:hint="eastAsia" w:ascii="Times New Roman"/>
                <w:kern w:val="0"/>
                <w:sz w:val="21"/>
                <w:szCs w:val="21"/>
              </w:rPr>
              <w:t>1.558</w:t>
            </w:r>
            <w:r>
              <w:rPr>
                <w:rFonts w:ascii="Times New Roman"/>
                <w:kern w:val="0"/>
                <w:sz w:val="21"/>
                <w:szCs w:val="21"/>
              </w:rPr>
              <w:t>m</w:t>
            </w:r>
            <w:r>
              <w:rPr>
                <w:rFonts w:ascii="Times New Roman"/>
                <w:kern w:val="0"/>
                <w:sz w:val="21"/>
                <w:szCs w:val="21"/>
                <w:vertAlign w:val="superscript"/>
              </w:rPr>
              <w:t>3</w:t>
            </w:r>
            <w:r>
              <w:rPr>
                <w:rFonts w:ascii="Times New Roman"/>
                <w:kern w:val="0"/>
                <w:sz w:val="21"/>
                <w:szCs w:val="21"/>
              </w:rPr>
              <w:t>，天然气密度取0.8kg/m</w:t>
            </w:r>
            <w:r>
              <w:rPr>
                <w:rFonts w:ascii="Times New Roman"/>
                <w:kern w:val="0"/>
                <w:sz w:val="21"/>
                <w:szCs w:val="21"/>
                <w:vertAlign w:val="superscript"/>
              </w:rPr>
              <w:t>3</w:t>
            </w:r>
            <w:r>
              <w:rPr>
                <w:rFonts w:ascii="Times New Roman"/>
                <w:kern w:val="0"/>
                <w:sz w:val="21"/>
                <w:szCs w:val="21"/>
              </w:rPr>
              <w:t>。则天然气量约为0.001t。</w:t>
            </w:r>
          </w:p>
        </w:tc>
      </w:tr>
      <w:tr w14:paraId="4B35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vAlign w:val="center"/>
          </w:tcPr>
          <w:p w14:paraId="48019295">
            <w:pPr>
              <w:adjustRightInd w:val="0"/>
              <w:snapToGrid w:val="0"/>
              <w:spacing w:line="240" w:lineRule="exact"/>
              <w:jc w:val="center"/>
              <w:rPr>
                <w:rFonts w:ascii="Times New Roman"/>
                <w:sz w:val="21"/>
                <w:szCs w:val="21"/>
              </w:rPr>
            </w:pPr>
            <w:r>
              <w:rPr>
                <w:rFonts w:hint="eastAsia" w:ascii="Times New Roman"/>
                <w:sz w:val="21"/>
                <w:szCs w:val="21"/>
              </w:rPr>
              <w:t>2</w:t>
            </w:r>
          </w:p>
        </w:tc>
        <w:tc>
          <w:tcPr>
            <w:tcW w:w="381" w:type="pct"/>
            <w:vMerge w:val="restart"/>
            <w:vAlign w:val="center"/>
          </w:tcPr>
          <w:p w14:paraId="02511E1D">
            <w:pPr>
              <w:adjustRightInd w:val="0"/>
              <w:snapToGrid w:val="0"/>
              <w:spacing w:line="240" w:lineRule="exact"/>
              <w:jc w:val="center"/>
              <w:rPr>
                <w:rFonts w:ascii="Times New Roman"/>
                <w:sz w:val="21"/>
                <w:szCs w:val="21"/>
              </w:rPr>
            </w:pPr>
            <w:r>
              <w:rPr>
                <w:rFonts w:hint="eastAsia" w:ascii="Times New Roman"/>
                <w:sz w:val="21"/>
                <w:szCs w:val="21"/>
              </w:rPr>
              <w:t>危化库</w:t>
            </w:r>
          </w:p>
        </w:tc>
        <w:tc>
          <w:tcPr>
            <w:tcW w:w="667" w:type="pct"/>
            <w:vAlign w:val="center"/>
          </w:tcPr>
          <w:p w14:paraId="6BB5C894">
            <w:pPr>
              <w:adjustRightInd w:val="0"/>
              <w:snapToGrid w:val="0"/>
              <w:spacing w:line="240" w:lineRule="exact"/>
              <w:jc w:val="center"/>
              <w:rPr>
                <w:rFonts w:ascii="Times New Roman"/>
                <w:sz w:val="21"/>
                <w:szCs w:val="21"/>
              </w:rPr>
            </w:pPr>
            <w:r>
              <w:rPr>
                <w:rFonts w:hint="eastAsia" w:ascii="Times New Roman"/>
                <w:sz w:val="21"/>
                <w:szCs w:val="21"/>
              </w:rPr>
              <w:t>丙烷</w:t>
            </w:r>
          </w:p>
        </w:tc>
        <w:tc>
          <w:tcPr>
            <w:tcW w:w="1045" w:type="pct"/>
            <w:vAlign w:val="center"/>
          </w:tcPr>
          <w:p w14:paraId="78052BCC">
            <w:pPr>
              <w:spacing w:line="240" w:lineRule="exact"/>
              <w:jc w:val="center"/>
              <w:rPr>
                <w:rFonts w:ascii="Times New Roman"/>
                <w:sz w:val="21"/>
                <w:szCs w:val="21"/>
              </w:rPr>
            </w:pPr>
            <w:r>
              <w:rPr>
                <w:rFonts w:hint="eastAsia" w:ascii="Times New Roman"/>
                <w:sz w:val="21"/>
                <w:szCs w:val="21"/>
              </w:rPr>
              <w:t>丙烷</w:t>
            </w:r>
          </w:p>
        </w:tc>
        <w:tc>
          <w:tcPr>
            <w:tcW w:w="740" w:type="pct"/>
            <w:vAlign w:val="center"/>
          </w:tcPr>
          <w:p w14:paraId="6ADBB478">
            <w:pPr>
              <w:jc w:val="center"/>
              <w:rPr>
                <w:rFonts w:ascii="Times New Roman"/>
                <w:sz w:val="21"/>
                <w:szCs w:val="21"/>
              </w:rPr>
            </w:pPr>
            <w:r>
              <w:rPr>
                <w:rFonts w:hint="eastAsia" w:ascii="Times New Roman"/>
                <w:sz w:val="21"/>
                <w:szCs w:val="21"/>
              </w:rPr>
              <w:t>0.1</w:t>
            </w:r>
          </w:p>
        </w:tc>
        <w:tc>
          <w:tcPr>
            <w:tcW w:w="1805" w:type="pct"/>
            <w:vAlign w:val="center"/>
          </w:tcPr>
          <w:p w14:paraId="2854D609">
            <w:pPr>
              <w:jc w:val="center"/>
              <w:rPr>
                <w:rFonts w:ascii="Times New Roman"/>
                <w:sz w:val="21"/>
                <w:szCs w:val="21"/>
              </w:rPr>
            </w:pPr>
            <w:r>
              <w:rPr>
                <w:rFonts w:hint="eastAsia" w:ascii="Times New Roman"/>
                <w:sz w:val="21"/>
                <w:szCs w:val="21"/>
              </w:rPr>
              <w:t>/</w:t>
            </w:r>
          </w:p>
        </w:tc>
      </w:tr>
      <w:tr w14:paraId="3ACA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vAlign w:val="center"/>
          </w:tcPr>
          <w:p w14:paraId="1018B0D7">
            <w:pPr>
              <w:adjustRightInd w:val="0"/>
              <w:snapToGrid w:val="0"/>
              <w:spacing w:line="240" w:lineRule="exact"/>
              <w:jc w:val="center"/>
              <w:rPr>
                <w:rFonts w:ascii="Times New Roman"/>
                <w:sz w:val="21"/>
                <w:szCs w:val="21"/>
              </w:rPr>
            </w:pPr>
            <w:r>
              <w:rPr>
                <w:rFonts w:ascii="Times New Roman"/>
                <w:sz w:val="21"/>
                <w:szCs w:val="21"/>
              </w:rPr>
              <w:t>3</w:t>
            </w:r>
          </w:p>
        </w:tc>
        <w:tc>
          <w:tcPr>
            <w:tcW w:w="381" w:type="pct"/>
            <w:vMerge w:val="continue"/>
            <w:vAlign w:val="center"/>
          </w:tcPr>
          <w:p w14:paraId="63906EDF">
            <w:pPr>
              <w:adjustRightInd w:val="0"/>
              <w:snapToGrid w:val="0"/>
              <w:spacing w:line="240" w:lineRule="exact"/>
              <w:jc w:val="center"/>
              <w:rPr>
                <w:rFonts w:ascii="Times New Roman"/>
                <w:sz w:val="21"/>
                <w:szCs w:val="21"/>
              </w:rPr>
            </w:pPr>
          </w:p>
        </w:tc>
        <w:tc>
          <w:tcPr>
            <w:tcW w:w="667" w:type="pct"/>
            <w:vAlign w:val="center"/>
          </w:tcPr>
          <w:p w14:paraId="06CB3FAB">
            <w:pPr>
              <w:adjustRightInd w:val="0"/>
              <w:snapToGrid w:val="0"/>
              <w:spacing w:line="240" w:lineRule="exact"/>
              <w:jc w:val="center"/>
              <w:rPr>
                <w:rFonts w:ascii="Times New Roman"/>
                <w:sz w:val="21"/>
                <w:szCs w:val="21"/>
              </w:rPr>
            </w:pPr>
            <w:r>
              <w:rPr>
                <w:rFonts w:hint="eastAsia" w:ascii="Times New Roman"/>
                <w:sz w:val="21"/>
                <w:szCs w:val="21"/>
              </w:rPr>
              <w:t>油漆、</w:t>
            </w:r>
            <w:r>
              <w:rPr>
                <w:rFonts w:ascii="Times New Roman"/>
                <w:sz w:val="21"/>
                <w:szCs w:val="21"/>
              </w:rPr>
              <w:t>稀释剂</w:t>
            </w:r>
          </w:p>
        </w:tc>
        <w:tc>
          <w:tcPr>
            <w:tcW w:w="1045" w:type="pct"/>
            <w:vAlign w:val="center"/>
          </w:tcPr>
          <w:p w14:paraId="72F78B05">
            <w:pPr>
              <w:spacing w:line="240" w:lineRule="exact"/>
              <w:jc w:val="center"/>
              <w:rPr>
                <w:rFonts w:ascii="Times New Roman"/>
                <w:sz w:val="21"/>
                <w:szCs w:val="21"/>
              </w:rPr>
            </w:pPr>
            <w:r>
              <w:rPr>
                <w:rFonts w:ascii="Times New Roman"/>
                <w:sz w:val="21"/>
                <w:szCs w:val="21"/>
              </w:rPr>
              <w:t>二甲苯</w:t>
            </w:r>
          </w:p>
        </w:tc>
        <w:tc>
          <w:tcPr>
            <w:tcW w:w="740" w:type="pct"/>
            <w:vAlign w:val="center"/>
          </w:tcPr>
          <w:p w14:paraId="2B3B0F97">
            <w:pPr>
              <w:jc w:val="center"/>
              <w:rPr>
                <w:rFonts w:ascii="Times New Roman"/>
                <w:sz w:val="21"/>
                <w:szCs w:val="21"/>
              </w:rPr>
            </w:pPr>
            <w:r>
              <w:rPr>
                <w:rFonts w:hint="eastAsia" w:ascii="Times New Roman"/>
                <w:sz w:val="21"/>
                <w:szCs w:val="21"/>
              </w:rPr>
              <w:t>6.97</w:t>
            </w:r>
          </w:p>
        </w:tc>
        <w:tc>
          <w:tcPr>
            <w:tcW w:w="1805" w:type="pct"/>
            <w:vAlign w:val="center"/>
          </w:tcPr>
          <w:p w14:paraId="42622F46">
            <w:pPr>
              <w:jc w:val="center"/>
              <w:rPr>
                <w:rFonts w:ascii="Times New Roman"/>
                <w:sz w:val="21"/>
                <w:szCs w:val="21"/>
              </w:rPr>
            </w:pPr>
            <w:r>
              <w:rPr>
                <w:rFonts w:hint="eastAsia" w:ascii="Times New Roman"/>
                <w:sz w:val="21"/>
                <w:szCs w:val="21"/>
              </w:rPr>
              <w:t>底漆储存量4t（二甲苯3%）</w:t>
            </w:r>
          </w:p>
          <w:p w14:paraId="681F2896">
            <w:pPr>
              <w:jc w:val="center"/>
              <w:rPr>
                <w:rFonts w:ascii="Times New Roman"/>
                <w:sz w:val="21"/>
                <w:szCs w:val="21"/>
              </w:rPr>
            </w:pPr>
            <w:r>
              <w:rPr>
                <w:rFonts w:hint="eastAsia" w:ascii="Times New Roman"/>
                <w:sz w:val="21"/>
                <w:szCs w:val="21"/>
              </w:rPr>
              <w:t>、中间漆储存量15t（二甲苯3%）、</w:t>
            </w:r>
            <w:r>
              <w:rPr>
                <w:rFonts w:ascii="Times New Roman"/>
                <w:sz w:val="21"/>
                <w:szCs w:val="21"/>
              </w:rPr>
              <w:t>环氧</w:t>
            </w:r>
            <w:r>
              <w:rPr>
                <w:rFonts w:hint="eastAsia" w:ascii="Times New Roman"/>
                <w:sz w:val="21"/>
                <w:szCs w:val="21"/>
              </w:rPr>
              <w:t>稀释剂储量6t（二甲苯15%）、面漆储存量15t（二甲苯30%）、</w:t>
            </w:r>
            <w:r>
              <w:rPr>
                <w:rFonts w:ascii="Times New Roman"/>
                <w:sz w:val="21"/>
                <w:szCs w:val="21"/>
              </w:rPr>
              <w:t>聚氨脂</w:t>
            </w:r>
            <w:r>
              <w:rPr>
                <w:rFonts w:hint="eastAsia" w:ascii="Times New Roman"/>
                <w:sz w:val="21"/>
                <w:szCs w:val="21"/>
              </w:rPr>
              <w:t>稀释剂储量5t（二甲苯20%）</w:t>
            </w:r>
          </w:p>
        </w:tc>
      </w:tr>
      <w:tr w14:paraId="72F7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4F145170">
            <w:pPr>
              <w:adjustRightInd w:val="0"/>
              <w:snapToGrid w:val="0"/>
              <w:spacing w:line="240" w:lineRule="exact"/>
              <w:jc w:val="center"/>
              <w:rPr>
                <w:rFonts w:ascii="Times New Roman"/>
                <w:sz w:val="21"/>
                <w:szCs w:val="21"/>
              </w:rPr>
            </w:pPr>
            <w:r>
              <w:rPr>
                <w:rFonts w:ascii="Times New Roman"/>
                <w:sz w:val="21"/>
                <w:szCs w:val="21"/>
              </w:rPr>
              <w:t>4</w:t>
            </w:r>
          </w:p>
        </w:tc>
        <w:tc>
          <w:tcPr>
            <w:tcW w:w="381" w:type="pct"/>
            <w:vMerge w:val="continue"/>
            <w:vAlign w:val="center"/>
          </w:tcPr>
          <w:p w14:paraId="47378652">
            <w:pPr>
              <w:adjustRightInd w:val="0"/>
              <w:snapToGrid w:val="0"/>
              <w:spacing w:line="240" w:lineRule="exact"/>
              <w:jc w:val="center"/>
              <w:rPr>
                <w:rFonts w:ascii="Times New Roman"/>
                <w:sz w:val="21"/>
                <w:szCs w:val="21"/>
              </w:rPr>
            </w:pPr>
          </w:p>
        </w:tc>
        <w:tc>
          <w:tcPr>
            <w:tcW w:w="667" w:type="pct"/>
            <w:vAlign w:val="center"/>
          </w:tcPr>
          <w:p w14:paraId="14F92B28">
            <w:pPr>
              <w:adjustRightInd w:val="0"/>
              <w:snapToGrid w:val="0"/>
              <w:spacing w:line="240" w:lineRule="exact"/>
              <w:jc w:val="center"/>
              <w:rPr>
                <w:rFonts w:ascii="Times New Roman"/>
                <w:sz w:val="21"/>
                <w:szCs w:val="21"/>
              </w:rPr>
            </w:pPr>
            <w:r>
              <w:rPr>
                <w:rFonts w:hint="eastAsia" w:ascii="Times New Roman"/>
                <w:sz w:val="21"/>
                <w:szCs w:val="21"/>
              </w:rPr>
              <w:t>硫酸</w:t>
            </w:r>
          </w:p>
        </w:tc>
        <w:tc>
          <w:tcPr>
            <w:tcW w:w="1045" w:type="pct"/>
            <w:vAlign w:val="center"/>
          </w:tcPr>
          <w:p w14:paraId="4FA3FB4C">
            <w:pPr>
              <w:spacing w:line="240" w:lineRule="exact"/>
              <w:jc w:val="center"/>
              <w:rPr>
                <w:rFonts w:ascii="Times New Roman"/>
                <w:sz w:val="21"/>
                <w:szCs w:val="21"/>
              </w:rPr>
            </w:pPr>
            <w:r>
              <w:rPr>
                <w:rFonts w:hint="eastAsia" w:ascii="Times New Roman"/>
                <w:sz w:val="21"/>
                <w:szCs w:val="21"/>
              </w:rPr>
              <w:t>硫酸</w:t>
            </w:r>
          </w:p>
        </w:tc>
        <w:tc>
          <w:tcPr>
            <w:tcW w:w="740" w:type="pct"/>
            <w:vAlign w:val="center"/>
          </w:tcPr>
          <w:p w14:paraId="3EA0BAD0">
            <w:pPr>
              <w:jc w:val="center"/>
              <w:rPr>
                <w:rFonts w:ascii="Times New Roman"/>
                <w:sz w:val="21"/>
                <w:szCs w:val="21"/>
              </w:rPr>
            </w:pPr>
            <w:r>
              <w:rPr>
                <w:rFonts w:hint="eastAsia" w:ascii="Times New Roman"/>
                <w:sz w:val="21"/>
                <w:szCs w:val="21"/>
              </w:rPr>
              <w:t>0.06</w:t>
            </w:r>
          </w:p>
        </w:tc>
        <w:tc>
          <w:tcPr>
            <w:tcW w:w="1805" w:type="pct"/>
            <w:vAlign w:val="center"/>
          </w:tcPr>
          <w:p w14:paraId="1861991F">
            <w:pPr>
              <w:jc w:val="center"/>
              <w:rPr>
                <w:rFonts w:ascii="Times New Roman"/>
                <w:sz w:val="21"/>
                <w:szCs w:val="21"/>
              </w:rPr>
            </w:pPr>
            <w:r>
              <w:rPr>
                <w:rFonts w:hint="eastAsia" w:ascii="Times New Roman"/>
                <w:sz w:val="21"/>
                <w:szCs w:val="21"/>
              </w:rPr>
              <w:t>50%硫酸</w:t>
            </w:r>
          </w:p>
        </w:tc>
      </w:tr>
      <w:tr w14:paraId="6E37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32B0B6D3">
            <w:pPr>
              <w:adjustRightInd w:val="0"/>
              <w:snapToGrid w:val="0"/>
              <w:spacing w:line="240" w:lineRule="exact"/>
              <w:jc w:val="center"/>
              <w:rPr>
                <w:rFonts w:ascii="Times New Roman"/>
                <w:sz w:val="21"/>
                <w:szCs w:val="21"/>
              </w:rPr>
            </w:pPr>
            <w:r>
              <w:rPr>
                <w:rFonts w:hint="eastAsia" w:ascii="Times New Roman"/>
                <w:sz w:val="21"/>
                <w:szCs w:val="21"/>
              </w:rPr>
              <w:t>5</w:t>
            </w:r>
          </w:p>
        </w:tc>
        <w:tc>
          <w:tcPr>
            <w:tcW w:w="381" w:type="pct"/>
            <w:vMerge w:val="continue"/>
            <w:vAlign w:val="center"/>
          </w:tcPr>
          <w:p w14:paraId="2E209EA3">
            <w:pPr>
              <w:adjustRightInd w:val="0"/>
              <w:snapToGrid w:val="0"/>
              <w:spacing w:line="240" w:lineRule="exact"/>
              <w:jc w:val="center"/>
              <w:rPr>
                <w:rFonts w:ascii="Times New Roman"/>
                <w:sz w:val="21"/>
                <w:szCs w:val="21"/>
              </w:rPr>
            </w:pPr>
          </w:p>
        </w:tc>
        <w:tc>
          <w:tcPr>
            <w:tcW w:w="667" w:type="pct"/>
            <w:vAlign w:val="center"/>
          </w:tcPr>
          <w:p w14:paraId="5DBBCB96">
            <w:pPr>
              <w:widowControl/>
              <w:spacing w:line="320" w:lineRule="exact"/>
              <w:jc w:val="center"/>
              <w:rPr>
                <w:rFonts w:ascii="Times New Roman"/>
                <w:sz w:val="21"/>
                <w:szCs w:val="21"/>
              </w:rPr>
            </w:pPr>
            <w:r>
              <w:rPr>
                <w:rFonts w:hint="eastAsia" w:ascii="Times New Roman"/>
                <w:kern w:val="0"/>
                <w:sz w:val="21"/>
                <w:szCs w:val="21"/>
              </w:rPr>
              <w:t>润滑</w:t>
            </w:r>
            <w:r>
              <w:rPr>
                <w:rFonts w:ascii="Times New Roman"/>
                <w:kern w:val="0"/>
                <w:sz w:val="21"/>
                <w:szCs w:val="21"/>
              </w:rPr>
              <w:t>油</w:t>
            </w:r>
          </w:p>
        </w:tc>
        <w:tc>
          <w:tcPr>
            <w:tcW w:w="1045" w:type="pct"/>
            <w:vAlign w:val="center"/>
          </w:tcPr>
          <w:p w14:paraId="7166CCB6">
            <w:pPr>
              <w:spacing w:line="240" w:lineRule="exact"/>
              <w:jc w:val="center"/>
              <w:rPr>
                <w:rFonts w:ascii="Times New Roman"/>
                <w:sz w:val="21"/>
                <w:szCs w:val="21"/>
              </w:rPr>
            </w:pPr>
            <w:r>
              <w:rPr>
                <w:rFonts w:ascii="Times New Roman"/>
                <w:sz w:val="21"/>
                <w:szCs w:val="21"/>
              </w:rPr>
              <w:t>油类物质</w:t>
            </w:r>
          </w:p>
        </w:tc>
        <w:tc>
          <w:tcPr>
            <w:tcW w:w="740" w:type="pct"/>
            <w:vAlign w:val="center"/>
          </w:tcPr>
          <w:p w14:paraId="4BD3CA91">
            <w:pPr>
              <w:widowControl/>
              <w:spacing w:line="320" w:lineRule="exact"/>
              <w:jc w:val="center"/>
              <w:rPr>
                <w:rFonts w:ascii="Times New Roman"/>
                <w:sz w:val="21"/>
                <w:szCs w:val="21"/>
              </w:rPr>
            </w:pPr>
            <w:r>
              <w:rPr>
                <w:rFonts w:hint="eastAsia" w:ascii="Times New Roman"/>
                <w:kern w:val="0"/>
                <w:sz w:val="21"/>
                <w:szCs w:val="21"/>
              </w:rPr>
              <w:t>1</w:t>
            </w:r>
          </w:p>
        </w:tc>
        <w:tc>
          <w:tcPr>
            <w:tcW w:w="1805" w:type="pct"/>
            <w:vAlign w:val="center"/>
          </w:tcPr>
          <w:p w14:paraId="00CD822A">
            <w:pPr>
              <w:widowControl/>
              <w:spacing w:line="320" w:lineRule="exact"/>
              <w:jc w:val="center"/>
              <w:rPr>
                <w:rFonts w:ascii="Times New Roman"/>
                <w:kern w:val="0"/>
                <w:sz w:val="21"/>
                <w:szCs w:val="21"/>
              </w:rPr>
            </w:pPr>
            <w:r>
              <w:rPr>
                <w:rFonts w:hint="eastAsia" w:ascii="Times New Roman"/>
                <w:kern w:val="0"/>
                <w:sz w:val="21"/>
                <w:szCs w:val="21"/>
              </w:rPr>
              <w:t>/</w:t>
            </w:r>
          </w:p>
        </w:tc>
      </w:tr>
      <w:tr w14:paraId="0B47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500F87BB">
            <w:pPr>
              <w:adjustRightInd w:val="0"/>
              <w:snapToGrid w:val="0"/>
              <w:spacing w:line="240" w:lineRule="exact"/>
              <w:jc w:val="center"/>
              <w:rPr>
                <w:rFonts w:ascii="Times New Roman"/>
                <w:sz w:val="21"/>
                <w:szCs w:val="21"/>
              </w:rPr>
            </w:pPr>
            <w:r>
              <w:rPr>
                <w:rFonts w:hint="eastAsia" w:ascii="Times New Roman"/>
                <w:sz w:val="21"/>
                <w:szCs w:val="21"/>
              </w:rPr>
              <w:t>6</w:t>
            </w:r>
          </w:p>
        </w:tc>
        <w:tc>
          <w:tcPr>
            <w:tcW w:w="381" w:type="pct"/>
            <w:vMerge w:val="continue"/>
            <w:vAlign w:val="center"/>
          </w:tcPr>
          <w:p w14:paraId="2341BD16">
            <w:pPr>
              <w:adjustRightInd w:val="0"/>
              <w:snapToGrid w:val="0"/>
              <w:spacing w:line="240" w:lineRule="exact"/>
              <w:jc w:val="center"/>
              <w:rPr>
                <w:rFonts w:ascii="Times New Roman"/>
                <w:sz w:val="21"/>
                <w:szCs w:val="21"/>
              </w:rPr>
            </w:pPr>
          </w:p>
        </w:tc>
        <w:tc>
          <w:tcPr>
            <w:tcW w:w="667" w:type="pct"/>
            <w:vAlign w:val="center"/>
          </w:tcPr>
          <w:p w14:paraId="3EDDAE7D">
            <w:pPr>
              <w:widowControl/>
              <w:spacing w:line="320" w:lineRule="exact"/>
              <w:jc w:val="center"/>
              <w:rPr>
                <w:rFonts w:ascii="Times New Roman"/>
                <w:kern w:val="0"/>
                <w:sz w:val="21"/>
                <w:szCs w:val="21"/>
              </w:rPr>
            </w:pPr>
            <w:r>
              <w:rPr>
                <w:rFonts w:hint="eastAsia" w:ascii="Times New Roman"/>
                <w:sz w:val="21"/>
                <w:szCs w:val="21"/>
              </w:rPr>
              <w:t>切削液</w:t>
            </w:r>
          </w:p>
        </w:tc>
        <w:tc>
          <w:tcPr>
            <w:tcW w:w="1045" w:type="pct"/>
            <w:vAlign w:val="center"/>
          </w:tcPr>
          <w:p w14:paraId="4EA2289D">
            <w:pPr>
              <w:spacing w:line="240" w:lineRule="exact"/>
              <w:jc w:val="center"/>
              <w:rPr>
                <w:rFonts w:ascii="Times New Roman"/>
                <w:sz w:val="21"/>
                <w:szCs w:val="21"/>
              </w:rPr>
            </w:pPr>
            <w:r>
              <w:rPr>
                <w:rFonts w:ascii="Times New Roman"/>
                <w:sz w:val="21"/>
                <w:szCs w:val="21"/>
              </w:rPr>
              <w:t>油类物质</w:t>
            </w:r>
          </w:p>
        </w:tc>
        <w:tc>
          <w:tcPr>
            <w:tcW w:w="740" w:type="pct"/>
            <w:vAlign w:val="center"/>
          </w:tcPr>
          <w:p w14:paraId="74F15FBB">
            <w:pPr>
              <w:widowControl/>
              <w:spacing w:line="320" w:lineRule="exact"/>
              <w:jc w:val="center"/>
              <w:rPr>
                <w:rFonts w:ascii="Times New Roman"/>
                <w:kern w:val="0"/>
                <w:sz w:val="21"/>
                <w:szCs w:val="21"/>
              </w:rPr>
            </w:pPr>
            <w:r>
              <w:rPr>
                <w:rFonts w:hint="eastAsia" w:ascii="Times New Roman"/>
                <w:kern w:val="0"/>
                <w:sz w:val="21"/>
                <w:szCs w:val="21"/>
              </w:rPr>
              <w:t>2</w:t>
            </w:r>
          </w:p>
        </w:tc>
        <w:tc>
          <w:tcPr>
            <w:tcW w:w="1805" w:type="pct"/>
            <w:vAlign w:val="center"/>
          </w:tcPr>
          <w:p w14:paraId="7CCC4027">
            <w:pPr>
              <w:widowControl/>
              <w:spacing w:line="320" w:lineRule="exact"/>
              <w:jc w:val="center"/>
              <w:rPr>
                <w:rFonts w:ascii="Times New Roman"/>
                <w:kern w:val="0"/>
                <w:sz w:val="21"/>
                <w:szCs w:val="21"/>
              </w:rPr>
            </w:pPr>
            <w:r>
              <w:rPr>
                <w:rFonts w:hint="eastAsia" w:ascii="Times New Roman"/>
                <w:kern w:val="0"/>
                <w:sz w:val="21"/>
                <w:szCs w:val="21"/>
              </w:rPr>
              <w:t>/</w:t>
            </w:r>
          </w:p>
        </w:tc>
      </w:tr>
      <w:tr w14:paraId="7B5D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40455596">
            <w:pPr>
              <w:adjustRightInd w:val="0"/>
              <w:snapToGrid w:val="0"/>
              <w:spacing w:line="240" w:lineRule="exact"/>
              <w:jc w:val="center"/>
              <w:rPr>
                <w:rFonts w:ascii="Times New Roman"/>
                <w:sz w:val="21"/>
                <w:szCs w:val="21"/>
              </w:rPr>
            </w:pPr>
            <w:r>
              <w:rPr>
                <w:rFonts w:hint="eastAsia" w:ascii="Times New Roman"/>
                <w:sz w:val="21"/>
                <w:szCs w:val="21"/>
              </w:rPr>
              <w:t>7</w:t>
            </w:r>
          </w:p>
        </w:tc>
        <w:tc>
          <w:tcPr>
            <w:tcW w:w="381" w:type="pct"/>
            <w:vMerge w:val="continue"/>
            <w:vAlign w:val="center"/>
          </w:tcPr>
          <w:p w14:paraId="11BA0615">
            <w:pPr>
              <w:adjustRightInd w:val="0"/>
              <w:snapToGrid w:val="0"/>
              <w:spacing w:line="240" w:lineRule="exact"/>
              <w:jc w:val="center"/>
              <w:rPr>
                <w:rFonts w:ascii="Times New Roman"/>
                <w:sz w:val="21"/>
                <w:szCs w:val="21"/>
              </w:rPr>
            </w:pPr>
          </w:p>
        </w:tc>
        <w:tc>
          <w:tcPr>
            <w:tcW w:w="667" w:type="pct"/>
            <w:vAlign w:val="center"/>
          </w:tcPr>
          <w:p w14:paraId="430FB3F5">
            <w:pPr>
              <w:widowControl/>
              <w:spacing w:line="320" w:lineRule="exact"/>
              <w:jc w:val="center"/>
              <w:rPr>
                <w:rFonts w:ascii="Times New Roman"/>
                <w:kern w:val="0"/>
                <w:sz w:val="21"/>
                <w:szCs w:val="21"/>
              </w:rPr>
            </w:pPr>
            <w:r>
              <w:rPr>
                <w:rFonts w:hint="eastAsia" w:ascii="Times New Roman"/>
                <w:kern w:val="0"/>
                <w:sz w:val="21"/>
                <w:szCs w:val="21"/>
              </w:rPr>
              <w:t>液压油</w:t>
            </w:r>
          </w:p>
        </w:tc>
        <w:tc>
          <w:tcPr>
            <w:tcW w:w="1045" w:type="pct"/>
            <w:vAlign w:val="center"/>
          </w:tcPr>
          <w:p w14:paraId="0B11376E">
            <w:pPr>
              <w:spacing w:line="240" w:lineRule="exact"/>
              <w:jc w:val="center"/>
              <w:rPr>
                <w:rFonts w:ascii="Times New Roman"/>
                <w:sz w:val="21"/>
                <w:szCs w:val="21"/>
              </w:rPr>
            </w:pPr>
            <w:r>
              <w:rPr>
                <w:rFonts w:ascii="Times New Roman"/>
                <w:sz w:val="21"/>
                <w:szCs w:val="21"/>
              </w:rPr>
              <w:t>油类物质</w:t>
            </w:r>
          </w:p>
        </w:tc>
        <w:tc>
          <w:tcPr>
            <w:tcW w:w="740" w:type="pct"/>
            <w:vAlign w:val="center"/>
          </w:tcPr>
          <w:p w14:paraId="60F77F89">
            <w:pPr>
              <w:widowControl/>
              <w:spacing w:line="320" w:lineRule="exact"/>
              <w:jc w:val="center"/>
              <w:rPr>
                <w:rFonts w:ascii="Times New Roman"/>
                <w:sz w:val="21"/>
                <w:szCs w:val="21"/>
              </w:rPr>
            </w:pPr>
            <w:r>
              <w:rPr>
                <w:rFonts w:hint="eastAsia" w:ascii="Times New Roman"/>
                <w:kern w:val="0"/>
                <w:sz w:val="21"/>
                <w:szCs w:val="21"/>
              </w:rPr>
              <w:t>2</w:t>
            </w:r>
          </w:p>
        </w:tc>
        <w:tc>
          <w:tcPr>
            <w:tcW w:w="1805" w:type="pct"/>
            <w:vAlign w:val="center"/>
          </w:tcPr>
          <w:p w14:paraId="711CDE31">
            <w:pPr>
              <w:widowControl/>
              <w:spacing w:line="320" w:lineRule="exact"/>
              <w:jc w:val="center"/>
              <w:rPr>
                <w:rFonts w:ascii="Times New Roman"/>
                <w:kern w:val="0"/>
                <w:sz w:val="21"/>
                <w:szCs w:val="21"/>
              </w:rPr>
            </w:pPr>
            <w:r>
              <w:rPr>
                <w:rFonts w:hint="eastAsia" w:ascii="Times New Roman"/>
                <w:kern w:val="0"/>
                <w:sz w:val="21"/>
                <w:szCs w:val="21"/>
              </w:rPr>
              <w:t>/</w:t>
            </w:r>
          </w:p>
        </w:tc>
      </w:tr>
      <w:tr w14:paraId="08ED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042978D8">
            <w:pPr>
              <w:adjustRightInd w:val="0"/>
              <w:snapToGrid w:val="0"/>
              <w:spacing w:line="240" w:lineRule="exact"/>
              <w:jc w:val="center"/>
              <w:rPr>
                <w:rFonts w:ascii="Times New Roman"/>
                <w:sz w:val="21"/>
                <w:szCs w:val="21"/>
              </w:rPr>
            </w:pPr>
            <w:r>
              <w:rPr>
                <w:rFonts w:hint="eastAsia" w:ascii="Times New Roman"/>
                <w:sz w:val="21"/>
                <w:szCs w:val="21"/>
              </w:rPr>
              <w:t>8</w:t>
            </w:r>
          </w:p>
        </w:tc>
        <w:tc>
          <w:tcPr>
            <w:tcW w:w="381" w:type="pct"/>
            <w:vMerge w:val="restart"/>
            <w:vAlign w:val="center"/>
          </w:tcPr>
          <w:p w14:paraId="4230B857">
            <w:pPr>
              <w:adjustRightInd w:val="0"/>
              <w:snapToGrid w:val="0"/>
              <w:spacing w:line="240" w:lineRule="exact"/>
              <w:jc w:val="center"/>
              <w:rPr>
                <w:rFonts w:ascii="Times New Roman"/>
                <w:sz w:val="21"/>
                <w:szCs w:val="21"/>
              </w:rPr>
            </w:pPr>
            <w:r>
              <w:rPr>
                <w:rFonts w:ascii="Times New Roman"/>
                <w:sz w:val="21"/>
                <w:szCs w:val="21"/>
              </w:rPr>
              <w:t>危废</w:t>
            </w:r>
            <w:r>
              <w:rPr>
                <w:rFonts w:hint="eastAsia" w:ascii="Times New Roman"/>
                <w:sz w:val="21"/>
                <w:szCs w:val="21"/>
              </w:rPr>
              <w:t>库</w:t>
            </w:r>
          </w:p>
        </w:tc>
        <w:tc>
          <w:tcPr>
            <w:tcW w:w="667" w:type="pct"/>
            <w:vAlign w:val="center"/>
          </w:tcPr>
          <w:p w14:paraId="6491F5AA">
            <w:pPr>
              <w:adjustRightInd w:val="0"/>
              <w:snapToGrid w:val="0"/>
              <w:spacing w:line="320" w:lineRule="exact"/>
              <w:jc w:val="center"/>
              <w:rPr>
                <w:rFonts w:ascii="Times New Roman"/>
                <w:sz w:val="21"/>
                <w:szCs w:val="21"/>
              </w:rPr>
            </w:pPr>
            <w:r>
              <w:rPr>
                <w:rFonts w:ascii="Times New Roman"/>
                <w:sz w:val="21"/>
                <w:szCs w:val="21"/>
              </w:rPr>
              <w:t>废液压油</w:t>
            </w:r>
          </w:p>
        </w:tc>
        <w:tc>
          <w:tcPr>
            <w:tcW w:w="1045" w:type="pct"/>
            <w:shd w:val="clear" w:color="auto" w:fill="auto"/>
            <w:vAlign w:val="center"/>
          </w:tcPr>
          <w:p w14:paraId="233F9E73">
            <w:pPr>
              <w:spacing w:line="240" w:lineRule="exact"/>
              <w:jc w:val="center"/>
              <w:rPr>
                <w:rFonts w:ascii="Times New Roman"/>
                <w:sz w:val="21"/>
                <w:szCs w:val="21"/>
              </w:rPr>
            </w:pPr>
            <w:r>
              <w:rPr>
                <w:rFonts w:ascii="Times New Roman"/>
                <w:sz w:val="21"/>
                <w:szCs w:val="21"/>
              </w:rPr>
              <w:t>油类物质</w:t>
            </w:r>
          </w:p>
        </w:tc>
        <w:tc>
          <w:tcPr>
            <w:tcW w:w="740" w:type="pct"/>
            <w:vAlign w:val="center"/>
          </w:tcPr>
          <w:p w14:paraId="45B5F832">
            <w:pPr>
              <w:adjustRightInd w:val="0"/>
              <w:snapToGrid w:val="0"/>
              <w:spacing w:line="320" w:lineRule="exact"/>
              <w:jc w:val="center"/>
              <w:rPr>
                <w:rFonts w:ascii="Times New Roman"/>
                <w:sz w:val="21"/>
                <w:szCs w:val="21"/>
              </w:rPr>
            </w:pPr>
            <w:r>
              <w:rPr>
                <w:rFonts w:hint="eastAsia" w:ascii="Times New Roman"/>
                <w:sz w:val="21"/>
                <w:szCs w:val="21"/>
              </w:rPr>
              <w:t>1.2</w:t>
            </w:r>
          </w:p>
        </w:tc>
        <w:tc>
          <w:tcPr>
            <w:tcW w:w="1805" w:type="pct"/>
            <w:vAlign w:val="center"/>
          </w:tcPr>
          <w:p w14:paraId="04CED1B0">
            <w:pPr>
              <w:jc w:val="center"/>
              <w:rPr>
                <w:rFonts w:ascii="Times New Roman"/>
                <w:sz w:val="21"/>
                <w:szCs w:val="21"/>
              </w:rPr>
            </w:pPr>
            <w:r>
              <w:rPr>
                <w:rFonts w:hint="eastAsia" w:ascii="Times New Roman"/>
                <w:sz w:val="21"/>
                <w:szCs w:val="21"/>
              </w:rPr>
              <w:t>/</w:t>
            </w:r>
          </w:p>
        </w:tc>
      </w:tr>
      <w:tr w14:paraId="54F3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59" w:type="pct"/>
            <w:shd w:val="clear" w:color="auto" w:fill="auto"/>
            <w:vAlign w:val="center"/>
          </w:tcPr>
          <w:p w14:paraId="14E6D2A5">
            <w:pPr>
              <w:adjustRightInd w:val="0"/>
              <w:snapToGrid w:val="0"/>
              <w:spacing w:line="240" w:lineRule="exact"/>
              <w:jc w:val="center"/>
              <w:rPr>
                <w:rFonts w:ascii="Times New Roman"/>
                <w:sz w:val="21"/>
                <w:szCs w:val="21"/>
              </w:rPr>
            </w:pPr>
            <w:r>
              <w:rPr>
                <w:rFonts w:hint="eastAsia" w:ascii="Times New Roman"/>
                <w:sz w:val="21"/>
                <w:szCs w:val="21"/>
              </w:rPr>
              <w:t>9</w:t>
            </w:r>
          </w:p>
        </w:tc>
        <w:tc>
          <w:tcPr>
            <w:tcW w:w="381" w:type="pct"/>
            <w:vMerge w:val="continue"/>
            <w:vAlign w:val="center"/>
          </w:tcPr>
          <w:p w14:paraId="2FCF6F7D">
            <w:pPr>
              <w:adjustRightInd w:val="0"/>
              <w:snapToGrid w:val="0"/>
              <w:spacing w:line="240" w:lineRule="exact"/>
              <w:jc w:val="center"/>
              <w:rPr>
                <w:rFonts w:ascii="Times New Roman"/>
                <w:sz w:val="21"/>
                <w:szCs w:val="21"/>
              </w:rPr>
            </w:pPr>
          </w:p>
        </w:tc>
        <w:tc>
          <w:tcPr>
            <w:tcW w:w="667" w:type="pct"/>
            <w:vAlign w:val="center"/>
          </w:tcPr>
          <w:p w14:paraId="59262D33">
            <w:pPr>
              <w:adjustRightInd w:val="0"/>
              <w:snapToGrid w:val="0"/>
              <w:spacing w:line="320" w:lineRule="exact"/>
              <w:jc w:val="center"/>
              <w:rPr>
                <w:rFonts w:ascii="Times New Roman"/>
                <w:sz w:val="21"/>
                <w:szCs w:val="21"/>
              </w:rPr>
            </w:pPr>
            <w:r>
              <w:rPr>
                <w:rFonts w:ascii="Times New Roman"/>
                <w:sz w:val="21"/>
                <w:szCs w:val="21"/>
              </w:rPr>
              <w:t>废润滑油</w:t>
            </w:r>
          </w:p>
        </w:tc>
        <w:tc>
          <w:tcPr>
            <w:tcW w:w="1045" w:type="pct"/>
            <w:shd w:val="clear" w:color="auto" w:fill="auto"/>
            <w:vAlign w:val="center"/>
          </w:tcPr>
          <w:p w14:paraId="48125FFB">
            <w:pPr>
              <w:spacing w:line="240" w:lineRule="exact"/>
              <w:jc w:val="center"/>
              <w:rPr>
                <w:rFonts w:ascii="Times New Roman"/>
                <w:sz w:val="21"/>
                <w:szCs w:val="21"/>
              </w:rPr>
            </w:pPr>
            <w:r>
              <w:rPr>
                <w:rFonts w:ascii="Times New Roman"/>
                <w:sz w:val="21"/>
                <w:szCs w:val="21"/>
              </w:rPr>
              <w:t>油类物质</w:t>
            </w:r>
          </w:p>
        </w:tc>
        <w:tc>
          <w:tcPr>
            <w:tcW w:w="740" w:type="pct"/>
            <w:vAlign w:val="center"/>
          </w:tcPr>
          <w:p w14:paraId="28CCA85F">
            <w:pPr>
              <w:adjustRightInd w:val="0"/>
              <w:snapToGrid w:val="0"/>
              <w:spacing w:line="320" w:lineRule="exact"/>
              <w:jc w:val="center"/>
              <w:rPr>
                <w:rFonts w:ascii="Times New Roman"/>
                <w:sz w:val="21"/>
                <w:szCs w:val="21"/>
              </w:rPr>
            </w:pPr>
            <w:r>
              <w:rPr>
                <w:rFonts w:hint="eastAsia" w:ascii="Times New Roman"/>
                <w:sz w:val="21"/>
                <w:szCs w:val="21"/>
              </w:rPr>
              <w:t>2</w:t>
            </w:r>
          </w:p>
        </w:tc>
        <w:tc>
          <w:tcPr>
            <w:tcW w:w="1805" w:type="pct"/>
            <w:vAlign w:val="center"/>
          </w:tcPr>
          <w:p w14:paraId="195987C7">
            <w:pPr>
              <w:jc w:val="center"/>
              <w:rPr>
                <w:rFonts w:ascii="Times New Roman"/>
                <w:sz w:val="21"/>
                <w:szCs w:val="21"/>
              </w:rPr>
            </w:pPr>
            <w:r>
              <w:rPr>
                <w:rFonts w:hint="eastAsia" w:ascii="Times New Roman"/>
                <w:sz w:val="21"/>
                <w:szCs w:val="21"/>
              </w:rPr>
              <w:t>/</w:t>
            </w:r>
          </w:p>
        </w:tc>
      </w:tr>
      <w:tr w14:paraId="661A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2FA33EE9">
            <w:pPr>
              <w:adjustRightInd w:val="0"/>
              <w:snapToGrid w:val="0"/>
              <w:spacing w:line="240" w:lineRule="exact"/>
              <w:jc w:val="center"/>
              <w:rPr>
                <w:rFonts w:ascii="Times New Roman"/>
                <w:sz w:val="21"/>
                <w:szCs w:val="21"/>
              </w:rPr>
            </w:pPr>
            <w:r>
              <w:rPr>
                <w:rFonts w:hint="eastAsia" w:ascii="Times New Roman"/>
                <w:sz w:val="21"/>
                <w:szCs w:val="21"/>
              </w:rPr>
              <w:t>10</w:t>
            </w:r>
          </w:p>
        </w:tc>
        <w:tc>
          <w:tcPr>
            <w:tcW w:w="381" w:type="pct"/>
            <w:vMerge w:val="continue"/>
            <w:vAlign w:val="center"/>
          </w:tcPr>
          <w:p w14:paraId="23E7BD76">
            <w:pPr>
              <w:adjustRightInd w:val="0"/>
              <w:snapToGrid w:val="0"/>
              <w:spacing w:line="240" w:lineRule="exact"/>
              <w:jc w:val="center"/>
              <w:rPr>
                <w:rFonts w:ascii="Times New Roman"/>
                <w:sz w:val="21"/>
                <w:szCs w:val="21"/>
              </w:rPr>
            </w:pPr>
          </w:p>
        </w:tc>
        <w:tc>
          <w:tcPr>
            <w:tcW w:w="667" w:type="pct"/>
            <w:shd w:val="clear" w:color="auto" w:fill="auto"/>
            <w:vAlign w:val="center"/>
          </w:tcPr>
          <w:p w14:paraId="338FE1C7">
            <w:pPr>
              <w:adjustRightInd w:val="0"/>
              <w:snapToGrid w:val="0"/>
              <w:spacing w:line="320" w:lineRule="exact"/>
              <w:jc w:val="center"/>
              <w:rPr>
                <w:rFonts w:ascii="Times New Roman"/>
                <w:sz w:val="21"/>
                <w:szCs w:val="21"/>
              </w:rPr>
            </w:pPr>
            <w:r>
              <w:rPr>
                <w:rFonts w:hint="eastAsia" w:ascii="Times New Roman"/>
                <w:sz w:val="21"/>
                <w:szCs w:val="21"/>
              </w:rPr>
              <w:t>废切削液</w:t>
            </w:r>
          </w:p>
        </w:tc>
        <w:tc>
          <w:tcPr>
            <w:tcW w:w="1045" w:type="pct"/>
            <w:shd w:val="clear" w:color="auto" w:fill="auto"/>
            <w:vAlign w:val="center"/>
          </w:tcPr>
          <w:p w14:paraId="1A19EA64">
            <w:pPr>
              <w:spacing w:line="240" w:lineRule="exact"/>
              <w:jc w:val="center"/>
              <w:rPr>
                <w:rFonts w:ascii="Times New Roman"/>
                <w:sz w:val="21"/>
                <w:szCs w:val="21"/>
              </w:rPr>
            </w:pPr>
            <w:r>
              <w:rPr>
                <w:rFonts w:ascii="Times New Roman"/>
                <w:sz w:val="21"/>
                <w:szCs w:val="21"/>
              </w:rPr>
              <w:t>油类物质</w:t>
            </w:r>
          </w:p>
        </w:tc>
        <w:tc>
          <w:tcPr>
            <w:tcW w:w="740" w:type="pct"/>
            <w:shd w:val="clear" w:color="auto" w:fill="auto"/>
            <w:vAlign w:val="center"/>
          </w:tcPr>
          <w:p w14:paraId="02485B90">
            <w:pPr>
              <w:spacing w:line="360" w:lineRule="exact"/>
              <w:jc w:val="center"/>
              <w:rPr>
                <w:rFonts w:ascii="Times New Roman"/>
                <w:sz w:val="21"/>
                <w:szCs w:val="21"/>
              </w:rPr>
            </w:pPr>
            <w:r>
              <w:rPr>
                <w:rFonts w:hint="eastAsia" w:ascii="Times New Roman"/>
                <w:sz w:val="21"/>
                <w:szCs w:val="21"/>
              </w:rPr>
              <w:t>7.5</w:t>
            </w:r>
          </w:p>
        </w:tc>
        <w:tc>
          <w:tcPr>
            <w:tcW w:w="1805" w:type="pct"/>
            <w:vAlign w:val="center"/>
          </w:tcPr>
          <w:p w14:paraId="5E6AF786">
            <w:pPr>
              <w:jc w:val="center"/>
              <w:rPr>
                <w:rFonts w:ascii="Times New Roman"/>
                <w:sz w:val="21"/>
                <w:szCs w:val="21"/>
              </w:rPr>
            </w:pPr>
            <w:r>
              <w:rPr>
                <w:rFonts w:hint="eastAsia" w:ascii="Times New Roman"/>
                <w:sz w:val="21"/>
                <w:szCs w:val="21"/>
              </w:rPr>
              <w:t>/</w:t>
            </w:r>
          </w:p>
        </w:tc>
      </w:tr>
      <w:tr w14:paraId="2F44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315544E4">
            <w:pPr>
              <w:adjustRightInd w:val="0"/>
              <w:snapToGrid w:val="0"/>
              <w:spacing w:line="240" w:lineRule="exact"/>
              <w:jc w:val="center"/>
              <w:rPr>
                <w:rFonts w:ascii="Times New Roman"/>
                <w:sz w:val="21"/>
                <w:szCs w:val="21"/>
              </w:rPr>
            </w:pPr>
            <w:r>
              <w:rPr>
                <w:rFonts w:hint="eastAsia" w:ascii="Times New Roman"/>
                <w:sz w:val="21"/>
                <w:szCs w:val="21"/>
              </w:rPr>
              <w:t>11</w:t>
            </w:r>
          </w:p>
        </w:tc>
        <w:tc>
          <w:tcPr>
            <w:tcW w:w="381" w:type="pct"/>
            <w:vMerge w:val="continue"/>
            <w:vAlign w:val="center"/>
          </w:tcPr>
          <w:p w14:paraId="05D838D2">
            <w:pPr>
              <w:adjustRightInd w:val="0"/>
              <w:snapToGrid w:val="0"/>
              <w:spacing w:line="240" w:lineRule="exact"/>
              <w:jc w:val="center"/>
              <w:rPr>
                <w:rFonts w:ascii="Times New Roman"/>
                <w:sz w:val="21"/>
                <w:szCs w:val="21"/>
              </w:rPr>
            </w:pPr>
          </w:p>
        </w:tc>
        <w:tc>
          <w:tcPr>
            <w:tcW w:w="667" w:type="pct"/>
            <w:shd w:val="clear" w:color="auto" w:fill="auto"/>
            <w:vAlign w:val="center"/>
          </w:tcPr>
          <w:p w14:paraId="2A7826FB">
            <w:pPr>
              <w:adjustRightInd w:val="0"/>
              <w:snapToGrid w:val="0"/>
              <w:spacing w:line="320" w:lineRule="exact"/>
              <w:jc w:val="center"/>
              <w:rPr>
                <w:rFonts w:ascii="Times New Roman"/>
                <w:sz w:val="21"/>
                <w:szCs w:val="21"/>
              </w:rPr>
            </w:pPr>
            <w:r>
              <w:rPr>
                <w:rFonts w:hint="eastAsia" w:ascii="Times New Roman"/>
                <w:sz w:val="21"/>
                <w:szCs w:val="21"/>
              </w:rPr>
              <w:t>浮油</w:t>
            </w:r>
          </w:p>
        </w:tc>
        <w:tc>
          <w:tcPr>
            <w:tcW w:w="1045" w:type="pct"/>
            <w:shd w:val="clear" w:color="auto" w:fill="auto"/>
            <w:vAlign w:val="center"/>
          </w:tcPr>
          <w:p w14:paraId="41829D4F">
            <w:pPr>
              <w:adjustRightInd w:val="0"/>
              <w:snapToGrid w:val="0"/>
              <w:spacing w:line="320" w:lineRule="exact"/>
              <w:jc w:val="center"/>
              <w:rPr>
                <w:rFonts w:ascii="Times New Roman"/>
                <w:sz w:val="21"/>
                <w:szCs w:val="21"/>
              </w:rPr>
            </w:pPr>
            <w:r>
              <w:rPr>
                <w:rFonts w:ascii="Times New Roman"/>
                <w:sz w:val="21"/>
                <w:szCs w:val="21"/>
              </w:rPr>
              <w:t>油类物质</w:t>
            </w:r>
          </w:p>
        </w:tc>
        <w:tc>
          <w:tcPr>
            <w:tcW w:w="740" w:type="pct"/>
            <w:shd w:val="clear" w:color="auto" w:fill="auto"/>
            <w:vAlign w:val="center"/>
          </w:tcPr>
          <w:p w14:paraId="76A66706">
            <w:pPr>
              <w:spacing w:line="360" w:lineRule="exact"/>
              <w:jc w:val="center"/>
              <w:rPr>
                <w:rFonts w:ascii="Times New Roman"/>
                <w:sz w:val="21"/>
                <w:szCs w:val="21"/>
              </w:rPr>
            </w:pPr>
            <w:r>
              <w:rPr>
                <w:rFonts w:hint="eastAsia" w:ascii="Times New Roman"/>
                <w:sz w:val="21"/>
                <w:szCs w:val="21"/>
              </w:rPr>
              <w:t>5</w:t>
            </w:r>
          </w:p>
        </w:tc>
        <w:tc>
          <w:tcPr>
            <w:tcW w:w="1805" w:type="pct"/>
            <w:vAlign w:val="center"/>
          </w:tcPr>
          <w:p w14:paraId="597371E7">
            <w:pPr>
              <w:jc w:val="center"/>
              <w:rPr>
                <w:rFonts w:ascii="Times New Roman"/>
                <w:sz w:val="21"/>
                <w:szCs w:val="21"/>
              </w:rPr>
            </w:pPr>
            <w:r>
              <w:rPr>
                <w:rFonts w:hint="eastAsia" w:ascii="Times New Roman"/>
                <w:sz w:val="21"/>
                <w:szCs w:val="21"/>
              </w:rPr>
              <w:t>/</w:t>
            </w:r>
          </w:p>
        </w:tc>
      </w:tr>
      <w:tr w14:paraId="002F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9" w:type="pct"/>
            <w:shd w:val="clear" w:color="auto" w:fill="auto"/>
            <w:vAlign w:val="center"/>
          </w:tcPr>
          <w:p w14:paraId="3F3DA6A4">
            <w:pPr>
              <w:adjustRightInd w:val="0"/>
              <w:snapToGrid w:val="0"/>
              <w:spacing w:line="240" w:lineRule="exact"/>
              <w:jc w:val="center"/>
              <w:rPr>
                <w:rFonts w:ascii="Times New Roman"/>
                <w:sz w:val="21"/>
                <w:szCs w:val="21"/>
              </w:rPr>
            </w:pPr>
            <w:r>
              <w:rPr>
                <w:rFonts w:hint="eastAsia" w:ascii="Times New Roman"/>
                <w:sz w:val="21"/>
                <w:szCs w:val="21"/>
              </w:rPr>
              <w:t>12</w:t>
            </w:r>
          </w:p>
        </w:tc>
        <w:tc>
          <w:tcPr>
            <w:tcW w:w="381" w:type="pct"/>
            <w:vMerge w:val="continue"/>
            <w:vAlign w:val="center"/>
          </w:tcPr>
          <w:p w14:paraId="4B64AFA7">
            <w:pPr>
              <w:adjustRightInd w:val="0"/>
              <w:snapToGrid w:val="0"/>
              <w:spacing w:line="240" w:lineRule="exact"/>
              <w:jc w:val="center"/>
              <w:rPr>
                <w:rFonts w:ascii="Times New Roman"/>
                <w:sz w:val="21"/>
                <w:szCs w:val="21"/>
              </w:rPr>
            </w:pPr>
          </w:p>
        </w:tc>
        <w:tc>
          <w:tcPr>
            <w:tcW w:w="667" w:type="pct"/>
            <w:shd w:val="clear" w:color="auto" w:fill="auto"/>
            <w:vAlign w:val="center"/>
          </w:tcPr>
          <w:p w14:paraId="6D54D833">
            <w:pPr>
              <w:adjustRightInd w:val="0"/>
              <w:snapToGrid w:val="0"/>
              <w:spacing w:line="320" w:lineRule="exact"/>
              <w:jc w:val="center"/>
              <w:rPr>
                <w:rFonts w:ascii="Times New Roman"/>
                <w:sz w:val="21"/>
                <w:szCs w:val="21"/>
              </w:rPr>
            </w:pPr>
            <w:r>
              <w:rPr>
                <w:rFonts w:ascii="Times New Roman"/>
                <w:sz w:val="21"/>
                <w:szCs w:val="21"/>
              </w:rPr>
              <w:t>含油金属屑</w:t>
            </w:r>
          </w:p>
        </w:tc>
        <w:tc>
          <w:tcPr>
            <w:tcW w:w="1045" w:type="pct"/>
            <w:shd w:val="clear" w:color="auto" w:fill="auto"/>
            <w:vAlign w:val="center"/>
          </w:tcPr>
          <w:p w14:paraId="65E3AD05">
            <w:pPr>
              <w:spacing w:line="240" w:lineRule="exact"/>
              <w:jc w:val="center"/>
              <w:rPr>
                <w:rFonts w:ascii="Times New Roman"/>
                <w:sz w:val="21"/>
                <w:szCs w:val="21"/>
              </w:rPr>
            </w:pPr>
            <w:r>
              <w:rPr>
                <w:rFonts w:ascii="Times New Roman"/>
                <w:sz w:val="21"/>
                <w:szCs w:val="21"/>
              </w:rPr>
              <w:t>油类物质</w:t>
            </w:r>
          </w:p>
        </w:tc>
        <w:tc>
          <w:tcPr>
            <w:tcW w:w="740" w:type="pct"/>
            <w:shd w:val="clear" w:color="auto" w:fill="auto"/>
            <w:vAlign w:val="center"/>
          </w:tcPr>
          <w:p w14:paraId="76DC9972">
            <w:pPr>
              <w:spacing w:line="360" w:lineRule="exact"/>
              <w:jc w:val="center"/>
              <w:rPr>
                <w:rFonts w:ascii="Times New Roman"/>
                <w:sz w:val="21"/>
                <w:szCs w:val="21"/>
              </w:rPr>
            </w:pPr>
            <w:r>
              <w:rPr>
                <w:rFonts w:hint="eastAsia" w:ascii="Times New Roman"/>
                <w:sz w:val="21"/>
                <w:szCs w:val="21"/>
              </w:rPr>
              <w:t>2</w:t>
            </w:r>
          </w:p>
        </w:tc>
        <w:tc>
          <w:tcPr>
            <w:tcW w:w="1805" w:type="pct"/>
            <w:vAlign w:val="center"/>
          </w:tcPr>
          <w:p w14:paraId="18DE0A81">
            <w:pPr>
              <w:jc w:val="center"/>
              <w:rPr>
                <w:rFonts w:ascii="Times New Roman"/>
                <w:sz w:val="21"/>
                <w:szCs w:val="21"/>
              </w:rPr>
            </w:pPr>
            <w:r>
              <w:rPr>
                <w:rFonts w:hint="eastAsia" w:ascii="Times New Roman"/>
                <w:sz w:val="21"/>
                <w:szCs w:val="21"/>
              </w:rPr>
              <w:t>/</w:t>
            </w:r>
          </w:p>
        </w:tc>
      </w:tr>
    </w:tbl>
    <w:p w14:paraId="7BA5648A">
      <w:pPr>
        <w:spacing w:line="360" w:lineRule="auto"/>
        <w:ind w:firstLine="480" w:firstLineChars="200"/>
        <w:rPr>
          <w:rFonts w:ascii="Times New Roman"/>
          <w:sz w:val="24"/>
          <w:szCs w:val="24"/>
        </w:rPr>
      </w:pPr>
      <w:r>
        <w:rPr>
          <w:rFonts w:ascii="Times New Roman"/>
          <w:sz w:val="24"/>
          <w:szCs w:val="21"/>
        </w:rPr>
        <w:t>由上表可知，</w:t>
      </w:r>
      <w:r>
        <w:rPr>
          <w:rFonts w:ascii="Times New Roman"/>
          <w:sz w:val="24"/>
          <w:szCs w:val="24"/>
        </w:rPr>
        <w:t>本项目生产</w:t>
      </w:r>
      <w:r>
        <w:rPr>
          <w:rFonts w:hint="eastAsia" w:ascii="Times New Roman"/>
          <w:sz w:val="24"/>
          <w:szCs w:val="24"/>
        </w:rPr>
        <w:t>车间</w:t>
      </w:r>
      <w:r>
        <w:rPr>
          <w:rFonts w:ascii="Times New Roman"/>
          <w:sz w:val="24"/>
          <w:szCs w:val="24"/>
        </w:rPr>
        <w:t>、危化库、危废库存在潜在风险源。</w:t>
      </w:r>
    </w:p>
    <w:p w14:paraId="26574ACA">
      <w:pPr>
        <w:spacing w:line="360" w:lineRule="auto"/>
        <w:ind w:firstLine="480" w:firstLineChars="200"/>
        <w:rPr>
          <w:rFonts w:ascii="Times New Roman"/>
          <w:sz w:val="24"/>
          <w:szCs w:val="21"/>
        </w:rPr>
      </w:pPr>
      <w:r>
        <w:rPr>
          <w:rFonts w:ascii="Times New Roman"/>
          <w:sz w:val="24"/>
          <w:szCs w:val="21"/>
        </w:rPr>
        <w:t>（2）生产工艺风险源调查</w:t>
      </w:r>
    </w:p>
    <w:p w14:paraId="466D56F7">
      <w:pPr>
        <w:spacing w:line="360" w:lineRule="auto"/>
        <w:ind w:firstLine="480" w:firstLineChars="200"/>
        <w:rPr>
          <w:rFonts w:ascii="Times New Roman"/>
          <w:sz w:val="24"/>
          <w:szCs w:val="21"/>
        </w:rPr>
      </w:pPr>
      <w:r>
        <w:rPr>
          <w:rFonts w:ascii="Times New Roman"/>
          <w:sz w:val="24"/>
          <w:szCs w:val="21"/>
        </w:rPr>
        <w:t>本项目生产设施风险调查包括生产装置、储运系统、工程环保设施等。生产装置及贮存装置存在的环境风险主要为液体物质（</w:t>
      </w:r>
      <w:r>
        <w:rPr>
          <w:rFonts w:hint="eastAsia" w:ascii="Times New Roman"/>
          <w:sz w:val="24"/>
          <w:szCs w:val="21"/>
        </w:rPr>
        <w:t>油漆、稀释剂、</w:t>
      </w:r>
      <w:r>
        <w:rPr>
          <w:rFonts w:ascii="Times New Roman"/>
          <w:sz w:val="24"/>
          <w:szCs w:val="21"/>
        </w:rPr>
        <w:t>油类物质）发生的事故性泄漏，环保设施存在的环境风险主要为废气处理设施故障导致废气中污染物质的排放、可燃物质（</w:t>
      </w:r>
      <w:r>
        <w:rPr>
          <w:rFonts w:hint="eastAsia" w:ascii="Times New Roman"/>
          <w:sz w:val="24"/>
          <w:szCs w:val="21"/>
        </w:rPr>
        <w:t>天然气、油漆</w:t>
      </w:r>
      <w:r>
        <w:rPr>
          <w:rFonts w:ascii="Times New Roman"/>
          <w:sz w:val="24"/>
          <w:szCs w:val="21"/>
        </w:rPr>
        <w:t>、</w:t>
      </w:r>
      <w:r>
        <w:rPr>
          <w:rFonts w:hint="eastAsia" w:ascii="Times New Roman"/>
          <w:sz w:val="24"/>
          <w:szCs w:val="21"/>
        </w:rPr>
        <w:t>稀释剂、</w:t>
      </w:r>
      <w:r>
        <w:rPr>
          <w:rFonts w:ascii="Times New Roman"/>
          <w:sz w:val="24"/>
          <w:szCs w:val="21"/>
        </w:rPr>
        <w:t>油类物质）发生火灾后的次生污染物质（如洗消废水、CO）等。</w:t>
      </w:r>
    </w:p>
    <w:p w14:paraId="78F3A80D">
      <w:pPr>
        <w:spacing w:line="360" w:lineRule="auto"/>
        <w:outlineLvl w:val="4"/>
        <w:rPr>
          <w:rFonts w:ascii="Times New Roman"/>
          <w:bCs/>
          <w:sz w:val="24"/>
          <w:szCs w:val="24"/>
        </w:rPr>
      </w:pPr>
      <w:r>
        <w:rPr>
          <w:rFonts w:ascii="Times New Roman"/>
          <w:bCs/>
          <w:sz w:val="24"/>
          <w:szCs w:val="24"/>
        </w:rPr>
        <w:t>5.2.7.1.</w:t>
      </w:r>
      <w:r>
        <w:rPr>
          <w:rFonts w:hint="eastAsia" w:ascii="Times New Roman"/>
          <w:bCs/>
          <w:sz w:val="24"/>
          <w:szCs w:val="24"/>
        </w:rPr>
        <w:t>2</w:t>
      </w:r>
      <w:r>
        <w:rPr>
          <w:rFonts w:ascii="Times New Roman"/>
          <w:bCs/>
          <w:sz w:val="24"/>
          <w:szCs w:val="24"/>
        </w:rPr>
        <w:t>环境风险潜势初判</w:t>
      </w:r>
      <w:r>
        <w:rPr>
          <w:rFonts w:hint="eastAsia" w:ascii="Times New Roman"/>
          <w:bCs/>
          <w:sz w:val="24"/>
          <w:szCs w:val="24"/>
        </w:rPr>
        <w:t>及</w:t>
      </w:r>
      <w:r>
        <w:rPr>
          <w:rFonts w:hint="eastAsia"/>
          <w:bCs/>
          <w:kern w:val="0"/>
          <w:sz w:val="24"/>
          <w:szCs w:val="24"/>
        </w:rPr>
        <w:t>评价等级判定</w:t>
      </w:r>
    </w:p>
    <w:p w14:paraId="0F296FDD">
      <w:pPr>
        <w:spacing w:line="360" w:lineRule="auto"/>
        <w:ind w:firstLine="480" w:firstLineChars="200"/>
        <w:rPr>
          <w:rFonts w:ascii="Times New Roman"/>
          <w:kern w:val="0"/>
          <w:sz w:val="24"/>
          <w:szCs w:val="24"/>
        </w:rPr>
      </w:pPr>
      <w:r>
        <w:rPr>
          <w:rFonts w:ascii="Times New Roman"/>
          <w:sz w:val="24"/>
          <w:szCs w:val="24"/>
        </w:rPr>
        <w:t>本项目涉及的危险物质在厂界内的最大存储量与其对应的临界量的比分析及等级划分见第2章2.5.4节。根据《建设项目环境风险评价技术导则》（HJ169-2018）风险评价等级划分依据，本项目评价工作等级为简单分析。</w:t>
      </w:r>
    </w:p>
    <w:p w14:paraId="1D5CEC04">
      <w:pPr>
        <w:spacing w:line="360" w:lineRule="auto"/>
        <w:outlineLvl w:val="3"/>
        <w:rPr>
          <w:rFonts w:ascii="Times New Roman"/>
          <w:b/>
          <w:sz w:val="24"/>
          <w:szCs w:val="24"/>
        </w:rPr>
      </w:pPr>
      <w:r>
        <w:rPr>
          <w:rFonts w:hint="eastAsia" w:ascii="Times New Roman"/>
          <w:b/>
          <w:sz w:val="24"/>
          <w:szCs w:val="24"/>
        </w:rPr>
        <w:t>5.2.7.2环境敏感目标概况</w:t>
      </w:r>
    </w:p>
    <w:p w14:paraId="5FBAAE14">
      <w:pPr>
        <w:adjustRightInd w:val="0"/>
        <w:snapToGrid w:val="0"/>
        <w:spacing w:line="360" w:lineRule="auto"/>
        <w:ind w:firstLine="561"/>
        <w:rPr>
          <w:rFonts w:ascii="Times New Roman"/>
          <w:sz w:val="24"/>
          <w:szCs w:val="24"/>
        </w:rPr>
      </w:pPr>
      <w:r>
        <w:rPr>
          <w:rFonts w:ascii="Times New Roman"/>
          <w:sz w:val="24"/>
          <w:szCs w:val="24"/>
        </w:rPr>
        <w:t>本项目厂址位于曹妃甸工业区，区域为人工吹沙填海区，该区域被纳潮河和一号港与陆地分离开形成一座孤岛，潜水为咸水，承压水为咸水-半咸水，无供水意义。地下潜水与承压水之间没有水力联系，且无人为通道（深层、浅层地下水均为咸水，无供水意义，除去科学研钻孔外，没有供水井），因此不会发生越流型污染的现象。根据可能对地下水产生污染的区域，分别提出了分区防渗，设置了地下水污染监控系统等地下水污染控制技术措施，设置了非正常状况和事故状况下，废水及废液收集系统，避免污染物进入到地下水环境中对地下水环境产生影响，并且提出了地下水污染防控管理措施。在采取以上所述措施后，本项目对地下水环境影响在可接受的范围内。</w:t>
      </w:r>
    </w:p>
    <w:p w14:paraId="0D2C74E5">
      <w:pPr>
        <w:spacing w:line="360" w:lineRule="auto"/>
        <w:ind w:firstLine="560"/>
        <w:rPr>
          <w:rFonts w:ascii="Times New Roman"/>
          <w:sz w:val="24"/>
          <w:szCs w:val="24"/>
        </w:rPr>
      </w:pPr>
      <w:r>
        <w:rPr>
          <w:rFonts w:ascii="Times New Roman"/>
          <w:sz w:val="24"/>
          <w:szCs w:val="24"/>
        </w:rPr>
        <w:t>项目</w:t>
      </w:r>
      <w:r>
        <w:rPr>
          <w:rFonts w:hint="eastAsia" w:ascii="Times New Roman"/>
          <w:sz w:val="24"/>
          <w:szCs w:val="24"/>
        </w:rPr>
        <w:t>废水</w:t>
      </w:r>
      <w:r>
        <w:rPr>
          <w:rFonts w:ascii="Times New Roman"/>
          <w:sz w:val="24"/>
          <w:szCs w:val="24"/>
        </w:rPr>
        <w:t>经厂区污水系统处理后达标排入园区污水处理厂集中处理，不直接外排入地表水体。本项目的危险物质可能的影响途径主要表现为大气环境。</w:t>
      </w:r>
    </w:p>
    <w:p w14:paraId="1CB14711">
      <w:pPr>
        <w:spacing w:line="360" w:lineRule="auto"/>
        <w:outlineLvl w:val="3"/>
        <w:rPr>
          <w:rFonts w:ascii="Times New Roman"/>
          <w:b/>
          <w:sz w:val="24"/>
          <w:szCs w:val="24"/>
        </w:rPr>
      </w:pPr>
      <w:r>
        <w:rPr>
          <w:rFonts w:ascii="Times New Roman"/>
          <w:b/>
          <w:sz w:val="24"/>
          <w:szCs w:val="24"/>
        </w:rPr>
        <w:t>5.2.7.3风险识别</w:t>
      </w:r>
    </w:p>
    <w:p w14:paraId="58B74642">
      <w:pPr>
        <w:pStyle w:val="7"/>
        <w:spacing w:line="360" w:lineRule="auto"/>
        <w:rPr>
          <w:rFonts w:hint="default" w:ascii="Times New Roman" w:hAnsi="Times New Roman"/>
          <w:color w:val="auto"/>
        </w:rPr>
      </w:pPr>
      <w:r>
        <w:rPr>
          <w:rFonts w:hint="default" w:ascii="Times New Roman" w:hAnsi="Times New Roman"/>
          <w:color w:val="auto"/>
        </w:rPr>
        <w:t>5.2.7.3.1物质危险性识别</w:t>
      </w:r>
    </w:p>
    <w:p w14:paraId="4291CF04">
      <w:pPr>
        <w:spacing w:line="360" w:lineRule="auto"/>
        <w:ind w:firstLine="560"/>
        <w:rPr>
          <w:rFonts w:ascii="Times New Roman"/>
          <w:sz w:val="24"/>
          <w:szCs w:val="24"/>
        </w:rPr>
      </w:pPr>
      <w:r>
        <w:rPr>
          <w:rFonts w:ascii="Times New Roman"/>
          <w:sz w:val="24"/>
          <w:szCs w:val="24"/>
        </w:rPr>
        <w:t>根据风险调查可知，项目风险可分成可燃性风险和有毒有害污染物事故排放风险两大类。根据物质特性，本项目涉及的主要有害物和可燃物为涂料（二甲苯）、油类物质、天然气、</w:t>
      </w:r>
      <w:r>
        <w:rPr>
          <w:rFonts w:hint="eastAsia" w:ascii="Times New Roman"/>
          <w:sz w:val="24"/>
          <w:szCs w:val="24"/>
        </w:rPr>
        <w:t>危险废物</w:t>
      </w:r>
      <w:r>
        <w:rPr>
          <w:rFonts w:ascii="Times New Roman"/>
          <w:sz w:val="24"/>
          <w:szCs w:val="24"/>
        </w:rPr>
        <w:t>等，最终识别的危险物质情况见</w:t>
      </w:r>
      <w:r>
        <w:rPr>
          <w:rFonts w:hint="eastAsia" w:ascii="Times New Roman"/>
          <w:sz w:val="24"/>
          <w:szCs w:val="24"/>
        </w:rPr>
        <w:t>下</w:t>
      </w:r>
      <w:r>
        <w:rPr>
          <w:rFonts w:ascii="Times New Roman"/>
          <w:sz w:val="24"/>
          <w:szCs w:val="24"/>
        </w:rPr>
        <w:t>表5</w:t>
      </w:r>
      <w:r>
        <w:rPr>
          <w:rFonts w:hint="eastAsia" w:ascii="Times New Roman"/>
          <w:sz w:val="24"/>
          <w:szCs w:val="24"/>
        </w:rPr>
        <w:t>.2.7-4</w:t>
      </w:r>
      <w:r>
        <w:rPr>
          <w:rFonts w:ascii="Times New Roman"/>
          <w:sz w:val="24"/>
          <w:szCs w:val="24"/>
        </w:rPr>
        <w:t>。</w:t>
      </w:r>
    </w:p>
    <w:p w14:paraId="519A191E">
      <w:pPr>
        <w:rPr>
          <w:rFonts w:ascii="Times New Roman"/>
          <w:sz w:val="24"/>
          <w:szCs w:val="24"/>
        </w:rPr>
      </w:pPr>
      <w:r>
        <w:rPr>
          <w:rFonts w:ascii="Times New Roman"/>
          <w:sz w:val="24"/>
          <w:szCs w:val="24"/>
        </w:rPr>
        <w:t>表5.2</w:t>
      </w:r>
      <w:r>
        <w:rPr>
          <w:rFonts w:hint="eastAsia" w:ascii="Times New Roman"/>
          <w:sz w:val="24"/>
          <w:szCs w:val="24"/>
        </w:rPr>
        <w:t>.7</w:t>
      </w:r>
      <w:r>
        <w:rPr>
          <w:rFonts w:ascii="Times New Roman"/>
          <w:sz w:val="24"/>
          <w:szCs w:val="24"/>
        </w:rPr>
        <w:t>-</w:t>
      </w:r>
      <w:r>
        <w:rPr>
          <w:rFonts w:hint="eastAsia" w:ascii="Times New Roman"/>
          <w:sz w:val="24"/>
          <w:szCs w:val="24"/>
        </w:rPr>
        <w:t>4</w:t>
      </w:r>
      <w:r>
        <w:rPr>
          <w:rFonts w:ascii="Times New Roman"/>
          <w:sz w:val="24"/>
          <w:szCs w:val="24"/>
        </w:rPr>
        <w:t xml:space="preserve">    项目相关危险物质识别表</w:t>
      </w:r>
    </w:p>
    <w:tbl>
      <w:tblPr>
        <w:tblStyle w:val="8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78"/>
        <w:gridCol w:w="805"/>
        <w:gridCol w:w="1425"/>
        <w:gridCol w:w="1621"/>
        <w:gridCol w:w="2648"/>
        <w:gridCol w:w="517"/>
      </w:tblGrid>
      <w:tr w14:paraId="305E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1" w:type="pct"/>
            <w:vMerge w:val="restart"/>
            <w:vAlign w:val="center"/>
          </w:tcPr>
          <w:p w14:paraId="6106F7ED">
            <w:pPr>
              <w:rPr>
                <w:rFonts w:ascii="Times New Roman"/>
                <w:sz w:val="21"/>
                <w:szCs w:val="21"/>
              </w:rPr>
            </w:pPr>
            <w:r>
              <w:rPr>
                <w:rFonts w:ascii="Times New Roman"/>
                <w:sz w:val="21"/>
                <w:szCs w:val="21"/>
              </w:rPr>
              <w:t>序号</w:t>
            </w:r>
          </w:p>
        </w:tc>
        <w:tc>
          <w:tcPr>
            <w:tcW w:w="632" w:type="pct"/>
            <w:vMerge w:val="restart"/>
            <w:vAlign w:val="center"/>
          </w:tcPr>
          <w:p w14:paraId="55B94E09">
            <w:pPr>
              <w:rPr>
                <w:rFonts w:ascii="Times New Roman"/>
                <w:sz w:val="21"/>
                <w:szCs w:val="21"/>
              </w:rPr>
            </w:pPr>
            <w:r>
              <w:rPr>
                <w:rFonts w:ascii="Times New Roman"/>
                <w:sz w:val="21"/>
                <w:szCs w:val="21"/>
              </w:rPr>
              <w:t>危险物质名称</w:t>
            </w:r>
          </w:p>
        </w:tc>
        <w:tc>
          <w:tcPr>
            <w:tcW w:w="472" w:type="pct"/>
            <w:vMerge w:val="restart"/>
            <w:vAlign w:val="center"/>
          </w:tcPr>
          <w:p w14:paraId="2D1F473B">
            <w:pPr>
              <w:rPr>
                <w:rFonts w:ascii="Times New Roman"/>
                <w:sz w:val="21"/>
                <w:szCs w:val="21"/>
              </w:rPr>
            </w:pPr>
            <w:r>
              <w:rPr>
                <w:rFonts w:ascii="Times New Roman"/>
                <w:sz w:val="21"/>
                <w:szCs w:val="21"/>
              </w:rPr>
              <w:t>形态</w:t>
            </w:r>
          </w:p>
        </w:tc>
        <w:tc>
          <w:tcPr>
            <w:tcW w:w="3340" w:type="pct"/>
            <w:gridSpan w:val="3"/>
            <w:vAlign w:val="center"/>
          </w:tcPr>
          <w:p w14:paraId="43E756B6">
            <w:pPr>
              <w:rPr>
                <w:rFonts w:ascii="Times New Roman"/>
                <w:sz w:val="21"/>
                <w:szCs w:val="21"/>
              </w:rPr>
            </w:pPr>
            <w:r>
              <w:rPr>
                <w:rFonts w:ascii="Times New Roman"/>
                <w:sz w:val="21"/>
                <w:szCs w:val="21"/>
              </w:rPr>
              <w:t>危险性识别</w:t>
            </w:r>
          </w:p>
        </w:tc>
        <w:tc>
          <w:tcPr>
            <w:tcW w:w="303" w:type="pct"/>
            <w:vMerge w:val="restart"/>
            <w:vAlign w:val="center"/>
          </w:tcPr>
          <w:p w14:paraId="4E7FA0ED">
            <w:pPr>
              <w:rPr>
                <w:rFonts w:ascii="Times New Roman"/>
                <w:sz w:val="21"/>
                <w:szCs w:val="21"/>
              </w:rPr>
            </w:pPr>
            <w:r>
              <w:rPr>
                <w:rFonts w:ascii="Times New Roman"/>
                <w:sz w:val="21"/>
                <w:szCs w:val="21"/>
              </w:rPr>
              <w:t>备注</w:t>
            </w:r>
          </w:p>
        </w:tc>
      </w:tr>
      <w:tr w14:paraId="11A6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1" w:type="pct"/>
            <w:vMerge w:val="continue"/>
            <w:vAlign w:val="center"/>
          </w:tcPr>
          <w:p w14:paraId="359E3877">
            <w:pPr>
              <w:rPr>
                <w:rFonts w:ascii="Times New Roman"/>
                <w:sz w:val="21"/>
                <w:szCs w:val="21"/>
              </w:rPr>
            </w:pPr>
          </w:p>
        </w:tc>
        <w:tc>
          <w:tcPr>
            <w:tcW w:w="632" w:type="pct"/>
            <w:vMerge w:val="continue"/>
            <w:vAlign w:val="center"/>
          </w:tcPr>
          <w:p w14:paraId="63FFCFA3">
            <w:pPr>
              <w:rPr>
                <w:rFonts w:ascii="Times New Roman"/>
                <w:sz w:val="21"/>
                <w:szCs w:val="21"/>
              </w:rPr>
            </w:pPr>
          </w:p>
        </w:tc>
        <w:tc>
          <w:tcPr>
            <w:tcW w:w="472" w:type="pct"/>
            <w:vMerge w:val="continue"/>
            <w:vAlign w:val="center"/>
          </w:tcPr>
          <w:p w14:paraId="406D07AC">
            <w:pPr>
              <w:rPr>
                <w:rFonts w:ascii="Times New Roman"/>
                <w:sz w:val="21"/>
                <w:szCs w:val="21"/>
              </w:rPr>
            </w:pPr>
          </w:p>
        </w:tc>
        <w:tc>
          <w:tcPr>
            <w:tcW w:w="836" w:type="pct"/>
            <w:vAlign w:val="center"/>
          </w:tcPr>
          <w:p w14:paraId="1A4DAC82">
            <w:pPr>
              <w:rPr>
                <w:rFonts w:ascii="Times New Roman"/>
                <w:sz w:val="21"/>
                <w:szCs w:val="21"/>
              </w:rPr>
            </w:pPr>
            <w:r>
              <w:rPr>
                <w:rFonts w:ascii="Times New Roman"/>
                <w:sz w:val="21"/>
                <w:szCs w:val="21"/>
              </w:rPr>
              <w:t>易燃易爆性</w:t>
            </w:r>
          </w:p>
        </w:tc>
        <w:tc>
          <w:tcPr>
            <w:tcW w:w="951" w:type="pct"/>
            <w:vAlign w:val="center"/>
          </w:tcPr>
          <w:p w14:paraId="5C7025C1">
            <w:pPr>
              <w:rPr>
                <w:rFonts w:ascii="Times New Roman"/>
                <w:sz w:val="21"/>
                <w:szCs w:val="21"/>
              </w:rPr>
            </w:pPr>
            <w:r>
              <w:rPr>
                <w:rFonts w:ascii="Times New Roman"/>
                <w:sz w:val="21"/>
                <w:szCs w:val="21"/>
              </w:rPr>
              <w:t>腐蚀性、刺激性</w:t>
            </w:r>
          </w:p>
        </w:tc>
        <w:tc>
          <w:tcPr>
            <w:tcW w:w="1553" w:type="pct"/>
            <w:vAlign w:val="center"/>
          </w:tcPr>
          <w:p w14:paraId="06525EEB">
            <w:pPr>
              <w:rPr>
                <w:rFonts w:ascii="Times New Roman"/>
                <w:sz w:val="21"/>
                <w:szCs w:val="21"/>
              </w:rPr>
            </w:pPr>
            <w:r>
              <w:rPr>
                <w:rFonts w:ascii="Times New Roman"/>
                <w:sz w:val="21"/>
                <w:szCs w:val="21"/>
              </w:rPr>
              <w:t>毒性</w:t>
            </w:r>
          </w:p>
        </w:tc>
        <w:tc>
          <w:tcPr>
            <w:tcW w:w="303" w:type="pct"/>
            <w:vMerge w:val="continue"/>
            <w:vAlign w:val="center"/>
          </w:tcPr>
          <w:p w14:paraId="56D4861A">
            <w:pPr>
              <w:rPr>
                <w:rFonts w:ascii="Times New Roman"/>
                <w:sz w:val="21"/>
                <w:szCs w:val="21"/>
              </w:rPr>
            </w:pPr>
          </w:p>
        </w:tc>
      </w:tr>
      <w:tr w14:paraId="138E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7E937A24">
            <w:pPr>
              <w:rPr>
                <w:rFonts w:ascii="Times New Roman"/>
                <w:sz w:val="21"/>
                <w:szCs w:val="21"/>
              </w:rPr>
            </w:pPr>
            <w:r>
              <w:rPr>
                <w:rFonts w:ascii="Times New Roman"/>
                <w:sz w:val="21"/>
                <w:szCs w:val="21"/>
              </w:rPr>
              <w:t>1</w:t>
            </w:r>
          </w:p>
        </w:tc>
        <w:tc>
          <w:tcPr>
            <w:tcW w:w="632" w:type="pct"/>
            <w:vAlign w:val="center"/>
          </w:tcPr>
          <w:p w14:paraId="11EF00CF">
            <w:pPr>
              <w:rPr>
                <w:rFonts w:ascii="Times New Roman"/>
                <w:sz w:val="21"/>
                <w:szCs w:val="21"/>
              </w:rPr>
            </w:pPr>
            <w:r>
              <w:rPr>
                <w:rFonts w:ascii="Times New Roman"/>
                <w:sz w:val="21"/>
                <w:szCs w:val="21"/>
              </w:rPr>
              <w:t>天然气（甲烷）</w:t>
            </w:r>
          </w:p>
        </w:tc>
        <w:tc>
          <w:tcPr>
            <w:tcW w:w="472" w:type="pct"/>
            <w:vAlign w:val="center"/>
          </w:tcPr>
          <w:p w14:paraId="6A4F2E1E">
            <w:pPr>
              <w:rPr>
                <w:rFonts w:ascii="Times New Roman"/>
                <w:sz w:val="21"/>
                <w:szCs w:val="21"/>
              </w:rPr>
            </w:pPr>
            <w:r>
              <w:rPr>
                <w:rFonts w:ascii="Times New Roman"/>
                <w:sz w:val="21"/>
                <w:szCs w:val="21"/>
              </w:rPr>
              <w:t>液态</w:t>
            </w:r>
          </w:p>
        </w:tc>
        <w:tc>
          <w:tcPr>
            <w:tcW w:w="836" w:type="pct"/>
            <w:vAlign w:val="center"/>
          </w:tcPr>
          <w:p w14:paraId="69503C8E">
            <w:pPr>
              <w:rPr>
                <w:rFonts w:ascii="Times New Roman"/>
                <w:sz w:val="21"/>
                <w:szCs w:val="21"/>
              </w:rPr>
            </w:pPr>
            <w:r>
              <w:rPr>
                <w:rFonts w:ascii="Times New Roman"/>
                <w:sz w:val="21"/>
                <w:szCs w:val="21"/>
              </w:rPr>
              <w:t>易燃</w:t>
            </w:r>
          </w:p>
        </w:tc>
        <w:tc>
          <w:tcPr>
            <w:tcW w:w="951" w:type="pct"/>
            <w:vAlign w:val="center"/>
          </w:tcPr>
          <w:p w14:paraId="2C35E5C4">
            <w:pPr>
              <w:rPr>
                <w:rFonts w:ascii="Times New Roman"/>
                <w:sz w:val="21"/>
                <w:szCs w:val="21"/>
              </w:rPr>
            </w:pPr>
            <w:r>
              <w:rPr>
                <w:rFonts w:ascii="Times New Roman"/>
                <w:sz w:val="21"/>
                <w:szCs w:val="21"/>
              </w:rPr>
              <w:t>/</w:t>
            </w:r>
          </w:p>
        </w:tc>
        <w:tc>
          <w:tcPr>
            <w:tcW w:w="1553" w:type="pct"/>
            <w:vAlign w:val="center"/>
          </w:tcPr>
          <w:p w14:paraId="34AB23A8">
            <w:pPr>
              <w:rPr>
                <w:rFonts w:ascii="Times New Roman"/>
                <w:sz w:val="21"/>
                <w:szCs w:val="21"/>
              </w:rPr>
            </w:pPr>
            <w:r>
              <w:rPr>
                <w:rFonts w:ascii="Times New Roman"/>
                <w:sz w:val="21"/>
                <w:szCs w:val="21"/>
              </w:rPr>
              <w:t>甲烷对人体基本无毒，但浓度高时，使空气中氧含量明显降低，使人窒息。</w:t>
            </w:r>
          </w:p>
        </w:tc>
        <w:tc>
          <w:tcPr>
            <w:tcW w:w="303" w:type="pct"/>
            <w:vMerge w:val="restart"/>
            <w:vAlign w:val="center"/>
          </w:tcPr>
          <w:p w14:paraId="34046D17">
            <w:pPr>
              <w:rPr>
                <w:rFonts w:ascii="Times New Roman"/>
                <w:sz w:val="21"/>
                <w:szCs w:val="21"/>
              </w:rPr>
            </w:pPr>
            <w:r>
              <w:rPr>
                <w:rFonts w:ascii="Times New Roman"/>
                <w:sz w:val="21"/>
                <w:szCs w:val="21"/>
              </w:rPr>
              <w:t>原辅料</w:t>
            </w:r>
          </w:p>
        </w:tc>
      </w:tr>
      <w:tr w14:paraId="3683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78E535D8">
            <w:pPr>
              <w:rPr>
                <w:rFonts w:ascii="Times New Roman"/>
                <w:sz w:val="21"/>
                <w:szCs w:val="21"/>
              </w:rPr>
            </w:pPr>
            <w:r>
              <w:rPr>
                <w:rFonts w:hint="eastAsia" w:ascii="Times New Roman"/>
                <w:sz w:val="21"/>
                <w:szCs w:val="21"/>
              </w:rPr>
              <w:t>2</w:t>
            </w:r>
          </w:p>
        </w:tc>
        <w:tc>
          <w:tcPr>
            <w:tcW w:w="632" w:type="pct"/>
            <w:vAlign w:val="center"/>
          </w:tcPr>
          <w:p w14:paraId="3659527B">
            <w:pPr>
              <w:rPr>
                <w:rFonts w:ascii="Times New Roman"/>
                <w:sz w:val="21"/>
                <w:szCs w:val="21"/>
              </w:rPr>
            </w:pPr>
            <w:r>
              <w:rPr>
                <w:rFonts w:hint="eastAsia" w:ascii="Times New Roman"/>
                <w:sz w:val="21"/>
                <w:szCs w:val="21"/>
              </w:rPr>
              <w:t>丙烷</w:t>
            </w:r>
          </w:p>
        </w:tc>
        <w:tc>
          <w:tcPr>
            <w:tcW w:w="472" w:type="pct"/>
            <w:vAlign w:val="center"/>
          </w:tcPr>
          <w:p w14:paraId="51B0C2E3">
            <w:pPr>
              <w:rPr>
                <w:rFonts w:ascii="Times New Roman"/>
                <w:sz w:val="21"/>
                <w:szCs w:val="21"/>
              </w:rPr>
            </w:pPr>
            <w:r>
              <w:rPr>
                <w:rFonts w:hint="eastAsia" w:ascii="Times New Roman"/>
                <w:sz w:val="21"/>
                <w:szCs w:val="21"/>
              </w:rPr>
              <w:t>液态</w:t>
            </w:r>
          </w:p>
        </w:tc>
        <w:tc>
          <w:tcPr>
            <w:tcW w:w="836" w:type="pct"/>
            <w:vAlign w:val="center"/>
          </w:tcPr>
          <w:p w14:paraId="531EE0DD">
            <w:pPr>
              <w:rPr>
                <w:rFonts w:ascii="Times New Roman"/>
                <w:sz w:val="21"/>
                <w:szCs w:val="21"/>
              </w:rPr>
            </w:pPr>
            <w:r>
              <w:rPr>
                <w:rFonts w:ascii="Times New Roman"/>
                <w:sz w:val="21"/>
                <w:szCs w:val="21"/>
              </w:rPr>
              <w:t>易燃</w:t>
            </w:r>
          </w:p>
        </w:tc>
        <w:tc>
          <w:tcPr>
            <w:tcW w:w="951" w:type="pct"/>
            <w:vAlign w:val="center"/>
          </w:tcPr>
          <w:p w14:paraId="1BC376CF">
            <w:pPr>
              <w:rPr>
                <w:rFonts w:ascii="Times New Roman"/>
                <w:sz w:val="21"/>
                <w:szCs w:val="21"/>
              </w:rPr>
            </w:pPr>
            <w:r>
              <w:rPr>
                <w:rFonts w:hint="eastAsia" w:ascii="Times New Roman"/>
                <w:sz w:val="21"/>
                <w:szCs w:val="21"/>
              </w:rPr>
              <w:t>/</w:t>
            </w:r>
          </w:p>
        </w:tc>
        <w:tc>
          <w:tcPr>
            <w:tcW w:w="1553" w:type="pct"/>
            <w:vAlign w:val="center"/>
          </w:tcPr>
          <w:p w14:paraId="43AD2994">
            <w:pPr>
              <w:rPr>
                <w:rFonts w:ascii="Times New Roman"/>
                <w:sz w:val="21"/>
                <w:szCs w:val="21"/>
              </w:rPr>
            </w:pPr>
            <w:r>
              <w:rPr>
                <w:rFonts w:ascii="Times New Roman"/>
                <w:sz w:val="21"/>
                <w:szCs w:val="21"/>
              </w:rPr>
              <w:t>LD</w:t>
            </w:r>
            <w:r>
              <w:rPr>
                <w:rFonts w:ascii="Times New Roman"/>
                <w:sz w:val="21"/>
                <w:szCs w:val="21"/>
                <w:vertAlign w:val="subscript"/>
              </w:rPr>
              <w:t>50</w:t>
            </w:r>
            <w:r>
              <w:rPr>
                <w:rFonts w:ascii="Times New Roman"/>
                <w:sz w:val="21"/>
                <w:szCs w:val="21"/>
              </w:rPr>
              <w:t>：5800mg/kg（大鼠经口）；</w:t>
            </w:r>
          </w:p>
        </w:tc>
        <w:tc>
          <w:tcPr>
            <w:tcW w:w="303" w:type="pct"/>
            <w:vMerge w:val="continue"/>
            <w:vAlign w:val="center"/>
          </w:tcPr>
          <w:p w14:paraId="4B588C49">
            <w:pPr>
              <w:rPr>
                <w:rFonts w:ascii="Times New Roman"/>
                <w:sz w:val="21"/>
                <w:szCs w:val="21"/>
              </w:rPr>
            </w:pPr>
          </w:p>
        </w:tc>
      </w:tr>
      <w:tr w14:paraId="28A0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7020DD00">
            <w:pPr>
              <w:rPr>
                <w:rFonts w:ascii="Times New Roman"/>
                <w:sz w:val="21"/>
                <w:szCs w:val="21"/>
              </w:rPr>
            </w:pPr>
            <w:r>
              <w:rPr>
                <w:rFonts w:ascii="Times New Roman"/>
                <w:sz w:val="21"/>
                <w:szCs w:val="21"/>
              </w:rPr>
              <w:t>3</w:t>
            </w:r>
          </w:p>
        </w:tc>
        <w:tc>
          <w:tcPr>
            <w:tcW w:w="632" w:type="pct"/>
            <w:vAlign w:val="center"/>
          </w:tcPr>
          <w:p w14:paraId="08B820D2">
            <w:pPr>
              <w:rPr>
                <w:rFonts w:ascii="Times New Roman"/>
                <w:sz w:val="21"/>
                <w:szCs w:val="21"/>
              </w:rPr>
            </w:pPr>
            <w:r>
              <w:rPr>
                <w:rFonts w:ascii="Times New Roman"/>
                <w:sz w:val="21"/>
                <w:szCs w:val="21"/>
              </w:rPr>
              <w:t>二甲苯</w:t>
            </w:r>
          </w:p>
        </w:tc>
        <w:tc>
          <w:tcPr>
            <w:tcW w:w="472" w:type="pct"/>
            <w:vAlign w:val="center"/>
          </w:tcPr>
          <w:p w14:paraId="08B0D9A6">
            <w:pPr>
              <w:rPr>
                <w:rFonts w:ascii="Times New Roman"/>
                <w:sz w:val="21"/>
                <w:szCs w:val="21"/>
              </w:rPr>
            </w:pPr>
            <w:r>
              <w:rPr>
                <w:rFonts w:ascii="Times New Roman"/>
                <w:sz w:val="21"/>
                <w:szCs w:val="21"/>
              </w:rPr>
              <w:t>液态</w:t>
            </w:r>
          </w:p>
        </w:tc>
        <w:tc>
          <w:tcPr>
            <w:tcW w:w="836" w:type="pct"/>
            <w:vAlign w:val="center"/>
          </w:tcPr>
          <w:p w14:paraId="28E7C197">
            <w:pPr>
              <w:rPr>
                <w:rFonts w:ascii="Times New Roman"/>
                <w:sz w:val="21"/>
                <w:szCs w:val="21"/>
              </w:rPr>
            </w:pPr>
            <w:r>
              <w:rPr>
                <w:rFonts w:ascii="Times New Roman"/>
                <w:sz w:val="21"/>
                <w:szCs w:val="21"/>
              </w:rPr>
              <w:t>易燃</w:t>
            </w:r>
          </w:p>
        </w:tc>
        <w:tc>
          <w:tcPr>
            <w:tcW w:w="951" w:type="pct"/>
            <w:vAlign w:val="center"/>
          </w:tcPr>
          <w:p w14:paraId="58FDF014">
            <w:pPr>
              <w:rPr>
                <w:rFonts w:ascii="Times New Roman"/>
                <w:sz w:val="21"/>
                <w:szCs w:val="21"/>
              </w:rPr>
            </w:pPr>
            <w:r>
              <w:rPr>
                <w:rFonts w:ascii="Times New Roman"/>
                <w:sz w:val="21"/>
                <w:szCs w:val="21"/>
              </w:rPr>
              <w:t>/</w:t>
            </w:r>
          </w:p>
        </w:tc>
        <w:tc>
          <w:tcPr>
            <w:tcW w:w="1553" w:type="pct"/>
            <w:vAlign w:val="center"/>
          </w:tcPr>
          <w:p w14:paraId="3621A5C8">
            <w:pPr>
              <w:rPr>
                <w:rFonts w:ascii="Times New Roman"/>
                <w:sz w:val="21"/>
                <w:szCs w:val="21"/>
              </w:rPr>
            </w:pPr>
            <w:r>
              <w:rPr>
                <w:rFonts w:ascii="Times New Roman"/>
                <w:sz w:val="21"/>
                <w:szCs w:val="21"/>
              </w:rPr>
              <w:t>LD</w:t>
            </w:r>
            <w:r>
              <w:rPr>
                <w:rFonts w:ascii="Times New Roman"/>
                <w:sz w:val="21"/>
                <w:szCs w:val="21"/>
                <w:vertAlign w:val="subscript"/>
              </w:rPr>
              <w:t>50</w:t>
            </w:r>
            <w:r>
              <w:rPr>
                <w:rFonts w:hint="eastAsia" w:ascii="Times New Roman"/>
                <w:sz w:val="21"/>
                <w:szCs w:val="21"/>
              </w:rPr>
              <w:t>：</w:t>
            </w:r>
            <w:r>
              <w:rPr>
                <w:rFonts w:ascii="Times New Roman"/>
                <w:sz w:val="21"/>
                <w:szCs w:val="21"/>
              </w:rPr>
              <w:t>5000 mg/kg</w:t>
            </w:r>
            <w:r>
              <w:rPr>
                <w:rFonts w:ascii="Times New Roman"/>
                <w:kern w:val="0"/>
                <w:sz w:val="21"/>
                <w:szCs w:val="21"/>
              </w:rPr>
              <w:t>（大鼠经口）；LC</w:t>
            </w:r>
            <w:r>
              <w:rPr>
                <w:rFonts w:ascii="Times New Roman"/>
                <w:kern w:val="0"/>
                <w:sz w:val="21"/>
                <w:szCs w:val="21"/>
                <w:vertAlign w:val="subscript"/>
              </w:rPr>
              <w:t>50</w:t>
            </w:r>
            <w:r>
              <w:rPr>
                <w:rFonts w:ascii="Times New Roman"/>
                <w:kern w:val="0"/>
                <w:sz w:val="21"/>
                <w:szCs w:val="21"/>
              </w:rPr>
              <w:t>：19747mg/m</w:t>
            </w:r>
            <w:r>
              <w:rPr>
                <w:rFonts w:ascii="Times New Roman"/>
                <w:kern w:val="0"/>
                <w:sz w:val="21"/>
                <w:szCs w:val="21"/>
                <w:vertAlign w:val="superscript"/>
              </w:rPr>
              <w:t>3</w:t>
            </w:r>
            <w:r>
              <w:rPr>
                <w:rFonts w:ascii="Times New Roman"/>
                <w:kern w:val="0"/>
                <w:sz w:val="21"/>
                <w:szCs w:val="21"/>
              </w:rPr>
              <w:t>4h（大鼠吸入）</w:t>
            </w:r>
          </w:p>
        </w:tc>
        <w:tc>
          <w:tcPr>
            <w:tcW w:w="303" w:type="pct"/>
            <w:vMerge w:val="continue"/>
            <w:vAlign w:val="center"/>
          </w:tcPr>
          <w:p w14:paraId="6301F91B">
            <w:pPr>
              <w:rPr>
                <w:rFonts w:ascii="Times New Roman"/>
                <w:sz w:val="21"/>
                <w:szCs w:val="21"/>
              </w:rPr>
            </w:pPr>
          </w:p>
        </w:tc>
      </w:tr>
      <w:tr w14:paraId="3DDD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51" w:type="pct"/>
            <w:vAlign w:val="center"/>
          </w:tcPr>
          <w:p w14:paraId="3B56978F">
            <w:pPr>
              <w:rPr>
                <w:rFonts w:ascii="Times New Roman"/>
                <w:sz w:val="21"/>
                <w:szCs w:val="21"/>
              </w:rPr>
            </w:pPr>
            <w:r>
              <w:rPr>
                <w:rFonts w:ascii="Times New Roman"/>
                <w:sz w:val="21"/>
                <w:szCs w:val="21"/>
              </w:rPr>
              <w:t>4</w:t>
            </w:r>
          </w:p>
        </w:tc>
        <w:tc>
          <w:tcPr>
            <w:tcW w:w="632" w:type="pct"/>
            <w:vAlign w:val="center"/>
          </w:tcPr>
          <w:p w14:paraId="2330B707">
            <w:pPr>
              <w:rPr>
                <w:rFonts w:ascii="Times New Roman"/>
                <w:sz w:val="21"/>
                <w:szCs w:val="21"/>
              </w:rPr>
            </w:pPr>
            <w:r>
              <w:rPr>
                <w:rFonts w:ascii="Times New Roman"/>
                <w:sz w:val="21"/>
                <w:szCs w:val="21"/>
              </w:rPr>
              <w:t>油类物质</w:t>
            </w:r>
          </w:p>
        </w:tc>
        <w:tc>
          <w:tcPr>
            <w:tcW w:w="472" w:type="pct"/>
            <w:vAlign w:val="center"/>
          </w:tcPr>
          <w:p w14:paraId="66C5E23D">
            <w:pPr>
              <w:rPr>
                <w:rFonts w:ascii="Times New Roman"/>
                <w:sz w:val="21"/>
                <w:szCs w:val="21"/>
              </w:rPr>
            </w:pPr>
            <w:r>
              <w:rPr>
                <w:rFonts w:ascii="Times New Roman"/>
                <w:sz w:val="21"/>
                <w:szCs w:val="21"/>
              </w:rPr>
              <w:t>液态</w:t>
            </w:r>
          </w:p>
        </w:tc>
        <w:tc>
          <w:tcPr>
            <w:tcW w:w="836" w:type="pct"/>
            <w:vAlign w:val="center"/>
          </w:tcPr>
          <w:p w14:paraId="3CB11E93">
            <w:pPr>
              <w:rPr>
                <w:rFonts w:ascii="Times New Roman"/>
                <w:sz w:val="21"/>
                <w:szCs w:val="21"/>
              </w:rPr>
            </w:pPr>
            <w:r>
              <w:rPr>
                <w:rFonts w:ascii="Times New Roman"/>
                <w:sz w:val="21"/>
                <w:szCs w:val="21"/>
              </w:rPr>
              <w:t>可燃</w:t>
            </w:r>
          </w:p>
        </w:tc>
        <w:tc>
          <w:tcPr>
            <w:tcW w:w="951" w:type="pct"/>
            <w:vAlign w:val="center"/>
          </w:tcPr>
          <w:p w14:paraId="49D66826">
            <w:pPr>
              <w:rPr>
                <w:rFonts w:ascii="Times New Roman"/>
                <w:sz w:val="21"/>
                <w:szCs w:val="21"/>
              </w:rPr>
            </w:pPr>
            <w:r>
              <w:rPr>
                <w:rFonts w:ascii="Times New Roman"/>
                <w:sz w:val="21"/>
                <w:szCs w:val="21"/>
              </w:rPr>
              <w:t>/</w:t>
            </w:r>
          </w:p>
        </w:tc>
        <w:tc>
          <w:tcPr>
            <w:tcW w:w="1553" w:type="pct"/>
            <w:vAlign w:val="center"/>
          </w:tcPr>
          <w:p w14:paraId="5C46F6FC">
            <w:pPr>
              <w:rPr>
                <w:rFonts w:ascii="Times New Roman"/>
                <w:sz w:val="21"/>
                <w:szCs w:val="21"/>
              </w:rPr>
            </w:pPr>
            <w:r>
              <w:rPr>
                <w:rFonts w:ascii="Times New Roman"/>
                <w:sz w:val="21"/>
                <w:szCs w:val="21"/>
              </w:rPr>
              <w:t>/</w:t>
            </w:r>
          </w:p>
        </w:tc>
        <w:tc>
          <w:tcPr>
            <w:tcW w:w="303" w:type="pct"/>
            <w:vMerge w:val="continue"/>
            <w:vAlign w:val="center"/>
          </w:tcPr>
          <w:p w14:paraId="0CE467BB">
            <w:pPr>
              <w:rPr>
                <w:rFonts w:ascii="Times New Roman"/>
                <w:sz w:val="21"/>
                <w:szCs w:val="21"/>
              </w:rPr>
            </w:pPr>
          </w:p>
        </w:tc>
      </w:tr>
      <w:tr w14:paraId="6DF6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59C94061">
            <w:pPr>
              <w:rPr>
                <w:rFonts w:ascii="Times New Roman"/>
                <w:sz w:val="21"/>
                <w:szCs w:val="21"/>
              </w:rPr>
            </w:pPr>
            <w:r>
              <w:rPr>
                <w:rFonts w:ascii="Times New Roman"/>
                <w:sz w:val="21"/>
                <w:szCs w:val="21"/>
              </w:rPr>
              <w:t>5</w:t>
            </w:r>
          </w:p>
        </w:tc>
        <w:tc>
          <w:tcPr>
            <w:tcW w:w="632" w:type="pct"/>
            <w:vAlign w:val="center"/>
          </w:tcPr>
          <w:p w14:paraId="27A08EF0">
            <w:pPr>
              <w:rPr>
                <w:rFonts w:ascii="Times New Roman"/>
                <w:sz w:val="21"/>
                <w:szCs w:val="21"/>
              </w:rPr>
            </w:pPr>
            <w:r>
              <w:rPr>
                <w:rFonts w:ascii="Times New Roman"/>
                <w:sz w:val="21"/>
                <w:szCs w:val="21"/>
              </w:rPr>
              <w:t>废油</w:t>
            </w:r>
            <w:r>
              <w:rPr>
                <w:rFonts w:hint="eastAsia" w:ascii="Times New Roman"/>
                <w:sz w:val="21"/>
                <w:szCs w:val="21"/>
              </w:rPr>
              <w:t>、废切削液</w:t>
            </w:r>
          </w:p>
        </w:tc>
        <w:tc>
          <w:tcPr>
            <w:tcW w:w="472" w:type="pct"/>
            <w:vAlign w:val="center"/>
          </w:tcPr>
          <w:p w14:paraId="07F4BBDD">
            <w:pPr>
              <w:rPr>
                <w:rFonts w:ascii="Times New Roman"/>
                <w:sz w:val="21"/>
                <w:szCs w:val="21"/>
              </w:rPr>
            </w:pPr>
            <w:r>
              <w:rPr>
                <w:rFonts w:ascii="Times New Roman"/>
                <w:sz w:val="21"/>
                <w:szCs w:val="21"/>
              </w:rPr>
              <w:t>液态</w:t>
            </w:r>
          </w:p>
        </w:tc>
        <w:tc>
          <w:tcPr>
            <w:tcW w:w="836" w:type="pct"/>
            <w:vAlign w:val="center"/>
          </w:tcPr>
          <w:p w14:paraId="4869F0DF">
            <w:pPr>
              <w:rPr>
                <w:rFonts w:ascii="Times New Roman"/>
                <w:sz w:val="21"/>
                <w:szCs w:val="21"/>
              </w:rPr>
            </w:pPr>
            <w:r>
              <w:rPr>
                <w:rFonts w:ascii="Times New Roman"/>
                <w:sz w:val="21"/>
                <w:szCs w:val="21"/>
              </w:rPr>
              <w:t>易燃</w:t>
            </w:r>
          </w:p>
        </w:tc>
        <w:tc>
          <w:tcPr>
            <w:tcW w:w="951" w:type="pct"/>
            <w:vAlign w:val="center"/>
          </w:tcPr>
          <w:p w14:paraId="35CDBC5A">
            <w:pPr>
              <w:rPr>
                <w:rFonts w:ascii="Times New Roman"/>
                <w:sz w:val="21"/>
                <w:szCs w:val="21"/>
              </w:rPr>
            </w:pPr>
            <w:r>
              <w:rPr>
                <w:rFonts w:ascii="Times New Roman"/>
                <w:sz w:val="21"/>
                <w:szCs w:val="21"/>
              </w:rPr>
              <w:t>刺激</w:t>
            </w:r>
          </w:p>
        </w:tc>
        <w:tc>
          <w:tcPr>
            <w:tcW w:w="1553" w:type="pct"/>
            <w:vAlign w:val="center"/>
          </w:tcPr>
          <w:p w14:paraId="550395CA">
            <w:pPr>
              <w:rPr>
                <w:rFonts w:ascii="Times New Roman"/>
                <w:sz w:val="21"/>
                <w:szCs w:val="21"/>
              </w:rPr>
            </w:pPr>
            <w:r>
              <w:rPr>
                <w:rFonts w:ascii="Times New Roman"/>
                <w:sz w:val="21"/>
                <w:szCs w:val="21"/>
              </w:rPr>
              <w:t>LD</w:t>
            </w:r>
            <w:r>
              <w:rPr>
                <w:rFonts w:ascii="Times New Roman"/>
                <w:sz w:val="21"/>
                <w:szCs w:val="21"/>
                <w:vertAlign w:val="subscript"/>
              </w:rPr>
              <w:t>50</w:t>
            </w:r>
            <w:r>
              <w:rPr>
                <w:rFonts w:hint="eastAsia" w:ascii="Times New Roman"/>
                <w:sz w:val="21"/>
                <w:szCs w:val="21"/>
              </w:rPr>
              <w:t>：</w:t>
            </w:r>
            <w:r>
              <w:rPr>
                <w:rFonts w:ascii="Times New Roman"/>
                <w:sz w:val="21"/>
                <w:szCs w:val="21"/>
              </w:rPr>
              <w:t>36000 mg/kg（大鼠经口）</w:t>
            </w:r>
          </w:p>
        </w:tc>
        <w:tc>
          <w:tcPr>
            <w:tcW w:w="303" w:type="pct"/>
            <w:vAlign w:val="center"/>
          </w:tcPr>
          <w:p w14:paraId="382F5292">
            <w:pPr>
              <w:widowControl/>
              <w:adjustRightInd w:val="0"/>
              <w:snapToGrid w:val="0"/>
              <w:spacing w:line="240" w:lineRule="exact"/>
              <w:rPr>
                <w:rFonts w:ascii="Times New Roman"/>
                <w:sz w:val="21"/>
                <w:szCs w:val="21"/>
              </w:rPr>
            </w:pPr>
            <w:r>
              <w:rPr>
                <w:rFonts w:ascii="Times New Roman"/>
                <w:sz w:val="21"/>
                <w:szCs w:val="21"/>
              </w:rPr>
              <w:t>固体废物</w:t>
            </w:r>
          </w:p>
        </w:tc>
      </w:tr>
    </w:tbl>
    <w:p w14:paraId="2B91D5DF">
      <w:pPr>
        <w:spacing w:line="360" w:lineRule="auto"/>
        <w:ind w:firstLine="560"/>
        <w:rPr>
          <w:rFonts w:ascii="Times New Roman"/>
          <w:sz w:val="24"/>
          <w:szCs w:val="24"/>
        </w:rPr>
      </w:pPr>
      <w:r>
        <w:rPr>
          <w:rFonts w:ascii="Times New Roman"/>
          <w:sz w:val="24"/>
          <w:szCs w:val="24"/>
        </w:rPr>
        <w:t>根据风险物质调查可知，天然气、液体物料等泄漏后如不及时采取环境应急措施，对周围的环境将存在一定影响。</w:t>
      </w:r>
    </w:p>
    <w:p w14:paraId="07717412">
      <w:pPr>
        <w:pStyle w:val="7"/>
        <w:spacing w:line="360" w:lineRule="auto"/>
        <w:rPr>
          <w:rFonts w:hint="default" w:ascii="Times New Roman" w:hAnsi="Times New Roman"/>
          <w:color w:val="auto"/>
        </w:rPr>
      </w:pPr>
      <w:r>
        <w:rPr>
          <w:rFonts w:hint="default" w:ascii="Times New Roman" w:hAnsi="Times New Roman"/>
          <w:color w:val="auto"/>
        </w:rPr>
        <w:t>5.2.7.3.2生产系统危险性识别、环境风险类型及危害分析</w:t>
      </w:r>
    </w:p>
    <w:p w14:paraId="143CAE4F">
      <w:pPr>
        <w:adjustRightInd w:val="0"/>
        <w:snapToGrid w:val="0"/>
        <w:spacing w:beforeLines="50" w:line="360" w:lineRule="auto"/>
        <w:ind w:firstLine="561"/>
        <w:rPr>
          <w:rFonts w:ascii="Times New Roman"/>
          <w:sz w:val="24"/>
          <w:szCs w:val="24"/>
        </w:rPr>
      </w:pPr>
      <w:r>
        <w:rPr>
          <w:rFonts w:ascii="Times New Roman"/>
          <w:sz w:val="24"/>
          <w:szCs w:val="24"/>
        </w:rPr>
        <w:t>生产系统风险识别范围主要包括主体工程、储运工程、公用工程、辅助工程及环保工程等。</w:t>
      </w:r>
    </w:p>
    <w:p w14:paraId="698FBF95">
      <w:pPr>
        <w:spacing w:line="360" w:lineRule="auto"/>
        <w:ind w:firstLine="560"/>
        <w:rPr>
          <w:rFonts w:ascii="Times New Roman"/>
          <w:sz w:val="24"/>
          <w:szCs w:val="24"/>
        </w:rPr>
      </w:pPr>
      <w:r>
        <w:rPr>
          <w:rFonts w:ascii="Times New Roman"/>
          <w:sz w:val="24"/>
          <w:szCs w:val="24"/>
        </w:rPr>
        <w:t>生产系统风险识别具体见</w:t>
      </w:r>
      <w:r>
        <w:rPr>
          <w:rFonts w:hint="eastAsia" w:ascii="Times New Roman"/>
          <w:sz w:val="24"/>
          <w:szCs w:val="24"/>
        </w:rPr>
        <w:t>下表</w:t>
      </w:r>
      <w:r>
        <w:rPr>
          <w:rFonts w:ascii="Times New Roman"/>
          <w:sz w:val="24"/>
          <w:szCs w:val="24"/>
        </w:rPr>
        <w:t>。</w:t>
      </w:r>
    </w:p>
    <w:p w14:paraId="704BC6BE">
      <w:pPr>
        <w:spacing w:line="360" w:lineRule="auto"/>
        <w:rPr>
          <w:rFonts w:ascii="Times New Roman"/>
          <w:sz w:val="24"/>
          <w:szCs w:val="24"/>
        </w:rPr>
      </w:pPr>
      <w:r>
        <w:rPr>
          <w:rFonts w:ascii="Times New Roman"/>
          <w:sz w:val="24"/>
          <w:szCs w:val="24"/>
        </w:rPr>
        <w:t>表5.2</w:t>
      </w:r>
      <w:r>
        <w:rPr>
          <w:rFonts w:hint="eastAsia" w:ascii="Times New Roman"/>
          <w:sz w:val="24"/>
          <w:szCs w:val="24"/>
        </w:rPr>
        <w:t>.7</w:t>
      </w:r>
      <w:r>
        <w:rPr>
          <w:rFonts w:ascii="Times New Roman"/>
          <w:sz w:val="24"/>
          <w:szCs w:val="24"/>
        </w:rPr>
        <w:t>-</w:t>
      </w:r>
      <w:r>
        <w:rPr>
          <w:rFonts w:hint="eastAsia" w:ascii="Times New Roman"/>
          <w:sz w:val="24"/>
          <w:szCs w:val="24"/>
        </w:rPr>
        <w:t>5</w:t>
      </w:r>
      <w:r>
        <w:rPr>
          <w:rFonts w:ascii="Times New Roman"/>
          <w:sz w:val="24"/>
          <w:szCs w:val="24"/>
        </w:rPr>
        <w:t xml:space="preserve">  项目生产系统危险识别表</w:t>
      </w:r>
    </w:p>
    <w:tbl>
      <w:tblPr>
        <w:tblStyle w:val="84"/>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717"/>
        <w:gridCol w:w="1055"/>
        <w:gridCol w:w="1917"/>
        <w:gridCol w:w="1080"/>
        <w:gridCol w:w="1962"/>
        <w:gridCol w:w="1157"/>
      </w:tblGrid>
      <w:tr w14:paraId="72A6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4ADC666">
            <w:pPr>
              <w:rPr>
                <w:rFonts w:ascii="Times New Roman"/>
                <w:sz w:val="21"/>
                <w:szCs w:val="21"/>
              </w:rPr>
            </w:pPr>
            <w:r>
              <w:rPr>
                <w:rFonts w:ascii="Times New Roman"/>
                <w:sz w:val="21"/>
                <w:szCs w:val="21"/>
              </w:rPr>
              <w:t>序号</w:t>
            </w:r>
          </w:p>
        </w:tc>
        <w:tc>
          <w:tcPr>
            <w:tcW w:w="429" w:type="pct"/>
            <w:vAlign w:val="center"/>
          </w:tcPr>
          <w:p w14:paraId="63942AE2">
            <w:pPr>
              <w:rPr>
                <w:rFonts w:ascii="Times New Roman"/>
                <w:sz w:val="21"/>
                <w:szCs w:val="21"/>
              </w:rPr>
            </w:pPr>
            <w:r>
              <w:rPr>
                <w:rFonts w:ascii="Times New Roman"/>
                <w:sz w:val="21"/>
                <w:szCs w:val="21"/>
              </w:rPr>
              <w:t>工程类别</w:t>
            </w:r>
          </w:p>
        </w:tc>
        <w:tc>
          <w:tcPr>
            <w:tcW w:w="631" w:type="pct"/>
            <w:vAlign w:val="center"/>
          </w:tcPr>
          <w:p w14:paraId="64AFF8C1">
            <w:pPr>
              <w:rPr>
                <w:rFonts w:ascii="Times New Roman"/>
                <w:sz w:val="21"/>
                <w:szCs w:val="21"/>
              </w:rPr>
            </w:pPr>
            <w:r>
              <w:rPr>
                <w:rFonts w:ascii="Times New Roman"/>
                <w:sz w:val="21"/>
                <w:szCs w:val="21"/>
              </w:rPr>
              <w:t>危险单元</w:t>
            </w:r>
          </w:p>
        </w:tc>
        <w:tc>
          <w:tcPr>
            <w:tcW w:w="1147" w:type="pct"/>
            <w:vAlign w:val="center"/>
          </w:tcPr>
          <w:p w14:paraId="019DAF50">
            <w:pPr>
              <w:rPr>
                <w:rFonts w:ascii="Times New Roman"/>
                <w:sz w:val="21"/>
                <w:szCs w:val="21"/>
              </w:rPr>
            </w:pPr>
            <w:r>
              <w:rPr>
                <w:rFonts w:ascii="Times New Roman"/>
                <w:sz w:val="21"/>
                <w:szCs w:val="21"/>
              </w:rPr>
              <w:t>环境风险类型</w:t>
            </w:r>
          </w:p>
        </w:tc>
        <w:tc>
          <w:tcPr>
            <w:tcW w:w="646" w:type="pct"/>
            <w:vAlign w:val="center"/>
          </w:tcPr>
          <w:p w14:paraId="20F0FF93">
            <w:pPr>
              <w:rPr>
                <w:rFonts w:ascii="Times New Roman"/>
                <w:sz w:val="21"/>
                <w:szCs w:val="21"/>
              </w:rPr>
            </w:pPr>
            <w:r>
              <w:rPr>
                <w:rFonts w:ascii="Times New Roman"/>
                <w:sz w:val="21"/>
                <w:szCs w:val="21"/>
              </w:rPr>
              <w:t>危险物质</w:t>
            </w:r>
          </w:p>
        </w:tc>
        <w:tc>
          <w:tcPr>
            <w:tcW w:w="1174" w:type="pct"/>
            <w:vAlign w:val="center"/>
          </w:tcPr>
          <w:p w14:paraId="3490B1FB">
            <w:pPr>
              <w:rPr>
                <w:rFonts w:ascii="Times New Roman"/>
                <w:sz w:val="21"/>
                <w:szCs w:val="21"/>
              </w:rPr>
            </w:pPr>
            <w:r>
              <w:rPr>
                <w:rFonts w:ascii="Times New Roman"/>
                <w:sz w:val="21"/>
                <w:szCs w:val="21"/>
              </w:rPr>
              <w:t>环境影响类物质</w:t>
            </w:r>
          </w:p>
        </w:tc>
        <w:tc>
          <w:tcPr>
            <w:tcW w:w="692" w:type="pct"/>
            <w:vAlign w:val="center"/>
          </w:tcPr>
          <w:p w14:paraId="5C446820">
            <w:pPr>
              <w:rPr>
                <w:rFonts w:ascii="Times New Roman"/>
                <w:sz w:val="21"/>
                <w:szCs w:val="21"/>
              </w:rPr>
            </w:pPr>
            <w:r>
              <w:rPr>
                <w:rFonts w:ascii="Times New Roman"/>
                <w:sz w:val="21"/>
                <w:szCs w:val="21"/>
              </w:rPr>
              <w:t>重点风险源筛选</w:t>
            </w:r>
          </w:p>
        </w:tc>
      </w:tr>
      <w:tr w14:paraId="7C0C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Merge w:val="restart"/>
            <w:vAlign w:val="center"/>
          </w:tcPr>
          <w:p w14:paraId="7D9927DB">
            <w:pPr>
              <w:rPr>
                <w:rFonts w:ascii="Times New Roman"/>
                <w:sz w:val="21"/>
                <w:szCs w:val="21"/>
              </w:rPr>
            </w:pPr>
            <w:r>
              <w:rPr>
                <w:rFonts w:ascii="Times New Roman"/>
                <w:sz w:val="21"/>
                <w:szCs w:val="21"/>
              </w:rPr>
              <w:t>1</w:t>
            </w:r>
          </w:p>
        </w:tc>
        <w:tc>
          <w:tcPr>
            <w:tcW w:w="429" w:type="pct"/>
            <w:vMerge w:val="restart"/>
            <w:vAlign w:val="center"/>
          </w:tcPr>
          <w:p w14:paraId="0F238138">
            <w:pPr>
              <w:rPr>
                <w:rFonts w:ascii="Times New Roman"/>
                <w:sz w:val="21"/>
                <w:szCs w:val="21"/>
              </w:rPr>
            </w:pPr>
            <w:r>
              <w:rPr>
                <w:rFonts w:ascii="Times New Roman"/>
                <w:sz w:val="21"/>
                <w:szCs w:val="21"/>
              </w:rPr>
              <w:t>主体工程</w:t>
            </w:r>
          </w:p>
        </w:tc>
        <w:tc>
          <w:tcPr>
            <w:tcW w:w="631" w:type="pct"/>
            <w:vAlign w:val="center"/>
          </w:tcPr>
          <w:p w14:paraId="683AE838">
            <w:pPr>
              <w:rPr>
                <w:rFonts w:ascii="Times New Roman"/>
                <w:sz w:val="21"/>
                <w:szCs w:val="21"/>
              </w:rPr>
            </w:pPr>
            <w:r>
              <w:rPr>
                <w:rFonts w:ascii="Times New Roman"/>
                <w:sz w:val="21"/>
                <w:szCs w:val="21"/>
              </w:rPr>
              <w:t>喷漆工序</w:t>
            </w:r>
          </w:p>
        </w:tc>
        <w:tc>
          <w:tcPr>
            <w:tcW w:w="1147" w:type="pct"/>
            <w:vAlign w:val="center"/>
          </w:tcPr>
          <w:p w14:paraId="3973BF7F">
            <w:pPr>
              <w:rPr>
                <w:rFonts w:ascii="Times New Roman"/>
                <w:sz w:val="21"/>
                <w:szCs w:val="21"/>
              </w:rPr>
            </w:pPr>
            <w:r>
              <w:rPr>
                <w:rFonts w:ascii="Times New Roman"/>
                <w:sz w:val="21"/>
                <w:szCs w:val="21"/>
              </w:rPr>
              <w:t>泄漏</w:t>
            </w:r>
          </w:p>
        </w:tc>
        <w:tc>
          <w:tcPr>
            <w:tcW w:w="646" w:type="pct"/>
            <w:vAlign w:val="center"/>
          </w:tcPr>
          <w:p w14:paraId="2D6DFFA8">
            <w:pPr>
              <w:rPr>
                <w:rFonts w:ascii="Times New Roman"/>
                <w:sz w:val="21"/>
                <w:szCs w:val="21"/>
              </w:rPr>
            </w:pPr>
            <w:r>
              <w:rPr>
                <w:rFonts w:ascii="Times New Roman"/>
                <w:sz w:val="21"/>
                <w:szCs w:val="21"/>
              </w:rPr>
              <w:t>二甲苯、油类物质</w:t>
            </w:r>
          </w:p>
        </w:tc>
        <w:tc>
          <w:tcPr>
            <w:tcW w:w="1174" w:type="pct"/>
            <w:vAlign w:val="center"/>
          </w:tcPr>
          <w:p w14:paraId="3DEBE761">
            <w:pPr>
              <w:rPr>
                <w:rFonts w:ascii="Times New Roman"/>
                <w:sz w:val="21"/>
                <w:szCs w:val="21"/>
              </w:rPr>
            </w:pPr>
            <w:r>
              <w:rPr>
                <w:rFonts w:ascii="Times New Roman"/>
                <w:sz w:val="21"/>
                <w:szCs w:val="21"/>
              </w:rPr>
              <w:t>二甲苯、石油烃</w:t>
            </w:r>
          </w:p>
        </w:tc>
        <w:tc>
          <w:tcPr>
            <w:tcW w:w="692" w:type="pct"/>
            <w:vMerge w:val="restart"/>
            <w:vAlign w:val="center"/>
          </w:tcPr>
          <w:p w14:paraId="10FF9F1F">
            <w:pPr>
              <w:widowControl/>
              <w:adjustRightInd w:val="0"/>
              <w:snapToGrid w:val="0"/>
              <w:rPr>
                <w:rFonts w:ascii="Times New Roman"/>
                <w:sz w:val="21"/>
                <w:szCs w:val="21"/>
              </w:rPr>
            </w:pPr>
            <w:r>
              <w:rPr>
                <w:rFonts w:hint="eastAsia" w:ascii="Times New Roman"/>
                <w:sz w:val="21"/>
                <w:szCs w:val="21"/>
              </w:rPr>
              <w:t>油漆</w:t>
            </w:r>
            <w:r>
              <w:rPr>
                <w:rFonts w:ascii="Times New Roman"/>
                <w:sz w:val="21"/>
                <w:szCs w:val="21"/>
              </w:rPr>
              <w:t>、油类物质、废油</w:t>
            </w:r>
            <w:r>
              <w:rPr>
                <w:rFonts w:hint="eastAsia" w:ascii="Times New Roman"/>
                <w:sz w:val="21"/>
                <w:szCs w:val="21"/>
              </w:rPr>
              <w:t>、太燃气、甲烷</w:t>
            </w:r>
            <w:r>
              <w:rPr>
                <w:rFonts w:ascii="Times New Roman"/>
                <w:sz w:val="21"/>
                <w:szCs w:val="21"/>
              </w:rPr>
              <w:t>等发生火灾、爆炸后引发的伴生/次生污染物排放。</w:t>
            </w:r>
          </w:p>
        </w:tc>
      </w:tr>
      <w:tr w14:paraId="4E3C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77" w:type="pct"/>
            <w:vMerge w:val="continue"/>
            <w:vAlign w:val="center"/>
          </w:tcPr>
          <w:p w14:paraId="69E7EDB9">
            <w:pPr>
              <w:rPr>
                <w:rFonts w:ascii="Times New Roman"/>
                <w:sz w:val="21"/>
                <w:szCs w:val="21"/>
              </w:rPr>
            </w:pPr>
          </w:p>
        </w:tc>
        <w:tc>
          <w:tcPr>
            <w:tcW w:w="429" w:type="pct"/>
            <w:vMerge w:val="continue"/>
            <w:vAlign w:val="center"/>
          </w:tcPr>
          <w:p w14:paraId="678D777E">
            <w:pPr>
              <w:rPr>
                <w:rFonts w:ascii="Times New Roman"/>
                <w:sz w:val="21"/>
                <w:szCs w:val="21"/>
              </w:rPr>
            </w:pPr>
          </w:p>
        </w:tc>
        <w:tc>
          <w:tcPr>
            <w:tcW w:w="631" w:type="pct"/>
            <w:vAlign w:val="center"/>
          </w:tcPr>
          <w:p w14:paraId="0990B01B">
            <w:pPr>
              <w:rPr>
                <w:rFonts w:ascii="Times New Roman"/>
                <w:sz w:val="21"/>
                <w:szCs w:val="21"/>
              </w:rPr>
            </w:pPr>
            <w:r>
              <w:rPr>
                <w:rFonts w:ascii="Times New Roman"/>
                <w:sz w:val="21"/>
                <w:szCs w:val="21"/>
              </w:rPr>
              <w:t>烘干工序</w:t>
            </w:r>
          </w:p>
        </w:tc>
        <w:tc>
          <w:tcPr>
            <w:tcW w:w="1147" w:type="pct"/>
            <w:vAlign w:val="center"/>
          </w:tcPr>
          <w:p w14:paraId="76392A1A">
            <w:pPr>
              <w:rPr>
                <w:rFonts w:ascii="Times New Roman"/>
                <w:sz w:val="21"/>
                <w:szCs w:val="21"/>
              </w:rPr>
            </w:pPr>
            <w:r>
              <w:rPr>
                <w:rFonts w:ascii="Times New Roman"/>
                <w:sz w:val="21"/>
                <w:szCs w:val="21"/>
              </w:rPr>
              <w:t>火灾等引发的伴生/次生污染物排放</w:t>
            </w:r>
          </w:p>
        </w:tc>
        <w:tc>
          <w:tcPr>
            <w:tcW w:w="646" w:type="pct"/>
            <w:vAlign w:val="center"/>
          </w:tcPr>
          <w:p w14:paraId="3D66D4EE">
            <w:pPr>
              <w:rPr>
                <w:rFonts w:ascii="Times New Roman"/>
                <w:sz w:val="21"/>
                <w:szCs w:val="21"/>
              </w:rPr>
            </w:pPr>
            <w:r>
              <w:rPr>
                <w:rFonts w:hint="eastAsia" w:ascii="Times New Roman"/>
                <w:sz w:val="21"/>
                <w:szCs w:val="21"/>
              </w:rPr>
              <w:t>天然气</w:t>
            </w:r>
          </w:p>
        </w:tc>
        <w:tc>
          <w:tcPr>
            <w:tcW w:w="1174" w:type="pct"/>
            <w:vAlign w:val="center"/>
          </w:tcPr>
          <w:p w14:paraId="5FC8FAB3">
            <w:pPr>
              <w:rPr>
                <w:rFonts w:ascii="Times New Roman"/>
                <w:sz w:val="21"/>
                <w:szCs w:val="21"/>
              </w:rPr>
            </w:pPr>
            <w:r>
              <w:rPr>
                <w:rFonts w:ascii="Times New Roman"/>
                <w:sz w:val="21"/>
                <w:szCs w:val="21"/>
              </w:rPr>
              <w:t>次生污染物质（如洗消废水、CO）</w:t>
            </w:r>
          </w:p>
        </w:tc>
        <w:tc>
          <w:tcPr>
            <w:tcW w:w="692" w:type="pct"/>
            <w:vMerge w:val="continue"/>
            <w:vAlign w:val="center"/>
          </w:tcPr>
          <w:p w14:paraId="3327B9EB">
            <w:pPr>
              <w:rPr>
                <w:rFonts w:ascii="Times New Roman"/>
                <w:sz w:val="21"/>
                <w:szCs w:val="21"/>
              </w:rPr>
            </w:pPr>
          </w:p>
        </w:tc>
      </w:tr>
      <w:tr w14:paraId="01AE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Merge w:val="restart"/>
            <w:vAlign w:val="center"/>
          </w:tcPr>
          <w:p w14:paraId="7A60FEF6">
            <w:pPr>
              <w:rPr>
                <w:rFonts w:ascii="Times New Roman"/>
                <w:sz w:val="21"/>
                <w:szCs w:val="21"/>
              </w:rPr>
            </w:pPr>
            <w:r>
              <w:rPr>
                <w:rFonts w:ascii="Times New Roman"/>
                <w:sz w:val="21"/>
                <w:szCs w:val="21"/>
              </w:rPr>
              <w:t>2</w:t>
            </w:r>
          </w:p>
        </w:tc>
        <w:tc>
          <w:tcPr>
            <w:tcW w:w="429" w:type="pct"/>
            <w:vMerge w:val="restart"/>
            <w:vAlign w:val="center"/>
          </w:tcPr>
          <w:p w14:paraId="093EB7EE">
            <w:pPr>
              <w:rPr>
                <w:rFonts w:ascii="Times New Roman"/>
                <w:sz w:val="21"/>
                <w:szCs w:val="21"/>
              </w:rPr>
            </w:pPr>
            <w:r>
              <w:rPr>
                <w:rFonts w:ascii="Times New Roman"/>
                <w:sz w:val="21"/>
                <w:szCs w:val="21"/>
              </w:rPr>
              <w:t>储运工程</w:t>
            </w:r>
          </w:p>
        </w:tc>
        <w:tc>
          <w:tcPr>
            <w:tcW w:w="631" w:type="pct"/>
            <w:vMerge w:val="restart"/>
            <w:vAlign w:val="center"/>
          </w:tcPr>
          <w:p w14:paraId="57F75D9A">
            <w:pPr>
              <w:rPr>
                <w:rFonts w:ascii="Times New Roman"/>
                <w:sz w:val="21"/>
                <w:szCs w:val="21"/>
              </w:rPr>
            </w:pPr>
            <w:r>
              <w:rPr>
                <w:rFonts w:hint="eastAsia" w:ascii="Times New Roman"/>
                <w:sz w:val="21"/>
                <w:szCs w:val="21"/>
              </w:rPr>
              <w:t>危化库</w:t>
            </w:r>
          </w:p>
        </w:tc>
        <w:tc>
          <w:tcPr>
            <w:tcW w:w="1147" w:type="pct"/>
            <w:vAlign w:val="center"/>
          </w:tcPr>
          <w:p w14:paraId="565CF5D8">
            <w:pPr>
              <w:rPr>
                <w:rFonts w:ascii="Times New Roman"/>
                <w:sz w:val="21"/>
                <w:szCs w:val="21"/>
              </w:rPr>
            </w:pPr>
            <w:r>
              <w:rPr>
                <w:rFonts w:ascii="Times New Roman"/>
                <w:sz w:val="21"/>
                <w:szCs w:val="21"/>
              </w:rPr>
              <w:t>泄漏，火灾</w:t>
            </w:r>
          </w:p>
        </w:tc>
        <w:tc>
          <w:tcPr>
            <w:tcW w:w="646" w:type="pct"/>
            <w:vAlign w:val="center"/>
          </w:tcPr>
          <w:p w14:paraId="71ABA554">
            <w:pPr>
              <w:rPr>
                <w:rFonts w:ascii="Times New Roman"/>
                <w:sz w:val="21"/>
                <w:szCs w:val="21"/>
              </w:rPr>
            </w:pPr>
            <w:r>
              <w:rPr>
                <w:rFonts w:ascii="Times New Roman"/>
                <w:sz w:val="21"/>
                <w:szCs w:val="21"/>
              </w:rPr>
              <w:t>二甲苯、油类物质</w:t>
            </w:r>
          </w:p>
        </w:tc>
        <w:tc>
          <w:tcPr>
            <w:tcW w:w="1174" w:type="pct"/>
            <w:vAlign w:val="center"/>
          </w:tcPr>
          <w:p w14:paraId="788C7FDD">
            <w:pPr>
              <w:rPr>
                <w:rFonts w:ascii="Times New Roman"/>
                <w:sz w:val="21"/>
                <w:szCs w:val="21"/>
              </w:rPr>
            </w:pPr>
            <w:r>
              <w:rPr>
                <w:rFonts w:ascii="Times New Roman"/>
                <w:sz w:val="21"/>
                <w:szCs w:val="21"/>
              </w:rPr>
              <w:t>次生污染物质（如洗消废水、CO）</w:t>
            </w:r>
          </w:p>
        </w:tc>
        <w:tc>
          <w:tcPr>
            <w:tcW w:w="692" w:type="pct"/>
            <w:vMerge w:val="continue"/>
            <w:vAlign w:val="center"/>
          </w:tcPr>
          <w:p w14:paraId="5E901343">
            <w:pPr>
              <w:rPr>
                <w:rFonts w:ascii="Times New Roman"/>
                <w:sz w:val="21"/>
                <w:szCs w:val="21"/>
              </w:rPr>
            </w:pPr>
          </w:p>
        </w:tc>
      </w:tr>
      <w:tr w14:paraId="7D84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Merge w:val="continue"/>
            <w:vAlign w:val="center"/>
          </w:tcPr>
          <w:p w14:paraId="3223EB39">
            <w:pPr>
              <w:rPr>
                <w:rFonts w:ascii="Times New Roman"/>
                <w:sz w:val="21"/>
                <w:szCs w:val="21"/>
              </w:rPr>
            </w:pPr>
          </w:p>
        </w:tc>
        <w:tc>
          <w:tcPr>
            <w:tcW w:w="429" w:type="pct"/>
            <w:vMerge w:val="continue"/>
            <w:vAlign w:val="center"/>
          </w:tcPr>
          <w:p w14:paraId="4E11F5A4">
            <w:pPr>
              <w:rPr>
                <w:rFonts w:ascii="Times New Roman"/>
                <w:sz w:val="21"/>
                <w:szCs w:val="21"/>
              </w:rPr>
            </w:pPr>
          </w:p>
        </w:tc>
        <w:tc>
          <w:tcPr>
            <w:tcW w:w="631" w:type="pct"/>
            <w:vMerge w:val="continue"/>
            <w:vAlign w:val="center"/>
          </w:tcPr>
          <w:p w14:paraId="734ECCF1">
            <w:pPr>
              <w:rPr>
                <w:rFonts w:ascii="Times New Roman"/>
                <w:sz w:val="21"/>
                <w:szCs w:val="21"/>
              </w:rPr>
            </w:pPr>
          </w:p>
        </w:tc>
        <w:tc>
          <w:tcPr>
            <w:tcW w:w="1147" w:type="pct"/>
            <w:vAlign w:val="center"/>
          </w:tcPr>
          <w:p w14:paraId="1C8C0D11">
            <w:pPr>
              <w:rPr>
                <w:rFonts w:ascii="Times New Roman"/>
                <w:sz w:val="21"/>
                <w:szCs w:val="21"/>
              </w:rPr>
            </w:pPr>
            <w:r>
              <w:rPr>
                <w:rFonts w:ascii="Times New Roman"/>
                <w:sz w:val="21"/>
                <w:szCs w:val="21"/>
              </w:rPr>
              <w:t>泄漏，火灾</w:t>
            </w:r>
          </w:p>
        </w:tc>
        <w:tc>
          <w:tcPr>
            <w:tcW w:w="646" w:type="pct"/>
            <w:vAlign w:val="center"/>
          </w:tcPr>
          <w:p w14:paraId="4357A3A5">
            <w:pPr>
              <w:rPr>
                <w:rFonts w:ascii="Times New Roman"/>
                <w:sz w:val="21"/>
                <w:szCs w:val="21"/>
              </w:rPr>
            </w:pPr>
            <w:r>
              <w:rPr>
                <w:rFonts w:hint="eastAsia" w:ascii="Times New Roman"/>
                <w:sz w:val="21"/>
                <w:szCs w:val="21"/>
              </w:rPr>
              <w:t>丙烷</w:t>
            </w:r>
          </w:p>
        </w:tc>
        <w:tc>
          <w:tcPr>
            <w:tcW w:w="1174" w:type="pct"/>
            <w:vAlign w:val="center"/>
          </w:tcPr>
          <w:p w14:paraId="794739D8">
            <w:pPr>
              <w:rPr>
                <w:rFonts w:ascii="Times New Roman"/>
                <w:sz w:val="21"/>
                <w:szCs w:val="21"/>
              </w:rPr>
            </w:pPr>
            <w:r>
              <w:rPr>
                <w:rFonts w:ascii="Times New Roman"/>
                <w:sz w:val="21"/>
                <w:szCs w:val="21"/>
              </w:rPr>
              <w:t>次生污染物质（如洗消废水、CO）</w:t>
            </w:r>
          </w:p>
        </w:tc>
        <w:tc>
          <w:tcPr>
            <w:tcW w:w="692" w:type="pct"/>
            <w:vMerge w:val="continue"/>
            <w:vAlign w:val="center"/>
          </w:tcPr>
          <w:p w14:paraId="16CBDCF9">
            <w:pPr>
              <w:rPr>
                <w:rFonts w:ascii="Times New Roman"/>
                <w:sz w:val="21"/>
                <w:szCs w:val="21"/>
              </w:rPr>
            </w:pPr>
          </w:p>
        </w:tc>
      </w:tr>
      <w:tr w14:paraId="70B4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Merge w:val="continue"/>
            <w:vAlign w:val="center"/>
          </w:tcPr>
          <w:p w14:paraId="5CAB4BBD">
            <w:pPr>
              <w:rPr>
                <w:rFonts w:ascii="Times New Roman"/>
                <w:sz w:val="21"/>
                <w:szCs w:val="21"/>
              </w:rPr>
            </w:pPr>
          </w:p>
        </w:tc>
        <w:tc>
          <w:tcPr>
            <w:tcW w:w="429" w:type="pct"/>
            <w:vMerge w:val="continue"/>
            <w:vAlign w:val="center"/>
          </w:tcPr>
          <w:p w14:paraId="7618472D">
            <w:pPr>
              <w:rPr>
                <w:rFonts w:ascii="Times New Roman"/>
                <w:sz w:val="21"/>
                <w:szCs w:val="21"/>
              </w:rPr>
            </w:pPr>
          </w:p>
        </w:tc>
        <w:tc>
          <w:tcPr>
            <w:tcW w:w="631" w:type="pct"/>
            <w:vAlign w:val="center"/>
          </w:tcPr>
          <w:p w14:paraId="32B88897">
            <w:pPr>
              <w:rPr>
                <w:rFonts w:ascii="Times New Roman"/>
                <w:sz w:val="21"/>
                <w:szCs w:val="21"/>
              </w:rPr>
            </w:pPr>
            <w:r>
              <w:rPr>
                <w:rFonts w:ascii="Times New Roman"/>
                <w:sz w:val="21"/>
                <w:szCs w:val="21"/>
              </w:rPr>
              <w:t>天然气</w:t>
            </w:r>
            <w:r>
              <w:rPr>
                <w:rFonts w:hint="eastAsia" w:ascii="Times New Roman"/>
                <w:sz w:val="21"/>
                <w:szCs w:val="21"/>
              </w:rPr>
              <w:t>管道</w:t>
            </w:r>
          </w:p>
        </w:tc>
        <w:tc>
          <w:tcPr>
            <w:tcW w:w="1147" w:type="pct"/>
            <w:vAlign w:val="center"/>
          </w:tcPr>
          <w:p w14:paraId="68DAEC00">
            <w:pPr>
              <w:rPr>
                <w:rFonts w:ascii="Times New Roman"/>
                <w:sz w:val="21"/>
                <w:szCs w:val="21"/>
              </w:rPr>
            </w:pPr>
            <w:r>
              <w:rPr>
                <w:rFonts w:ascii="Times New Roman"/>
                <w:sz w:val="21"/>
                <w:szCs w:val="21"/>
              </w:rPr>
              <w:t>泄漏，火灾</w:t>
            </w:r>
          </w:p>
        </w:tc>
        <w:tc>
          <w:tcPr>
            <w:tcW w:w="646" w:type="pct"/>
            <w:vAlign w:val="center"/>
          </w:tcPr>
          <w:p w14:paraId="175F7B0E">
            <w:pPr>
              <w:rPr>
                <w:rFonts w:ascii="Times New Roman"/>
                <w:sz w:val="21"/>
                <w:szCs w:val="21"/>
              </w:rPr>
            </w:pPr>
            <w:r>
              <w:rPr>
                <w:rFonts w:ascii="Times New Roman"/>
                <w:sz w:val="21"/>
                <w:szCs w:val="21"/>
              </w:rPr>
              <w:t>甲烷</w:t>
            </w:r>
          </w:p>
        </w:tc>
        <w:tc>
          <w:tcPr>
            <w:tcW w:w="1174" w:type="pct"/>
            <w:vAlign w:val="center"/>
          </w:tcPr>
          <w:p w14:paraId="0ADCA114">
            <w:pPr>
              <w:rPr>
                <w:rFonts w:ascii="Times New Roman"/>
                <w:sz w:val="21"/>
                <w:szCs w:val="21"/>
              </w:rPr>
            </w:pPr>
            <w:r>
              <w:rPr>
                <w:rFonts w:ascii="Times New Roman"/>
                <w:sz w:val="21"/>
                <w:szCs w:val="21"/>
              </w:rPr>
              <w:t>次生污染物质（如洗消废水、CO）</w:t>
            </w:r>
          </w:p>
        </w:tc>
        <w:tc>
          <w:tcPr>
            <w:tcW w:w="692" w:type="pct"/>
            <w:vMerge w:val="continue"/>
            <w:vAlign w:val="center"/>
          </w:tcPr>
          <w:p w14:paraId="73268A76">
            <w:pPr>
              <w:rPr>
                <w:rFonts w:ascii="Times New Roman"/>
                <w:sz w:val="21"/>
                <w:szCs w:val="21"/>
              </w:rPr>
            </w:pPr>
          </w:p>
        </w:tc>
      </w:tr>
      <w:tr w14:paraId="2C40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77" w:type="pct"/>
            <w:vMerge w:val="restart"/>
            <w:vAlign w:val="center"/>
          </w:tcPr>
          <w:p w14:paraId="0B918901">
            <w:pPr>
              <w:rPr>
                <w:rFonts w:ascii="Times New Roman"/>
                <w:sz w:val="21"/>
                <w:szCs w:val="21"/>
              </w:rPr>
            </w:pPr>
            <w:r>
              <w:rPr>
                <w:rFonts w:ascii="Times New Roman"/>
                <w:sz w:val="21"/>
                <w:szCs w:val="21"/>
              </w:rPr>
              <w:t>3</w:t>
            </w:r>
          </w:p>
        </w:tc>
        <w:tc>
          <w:tcPr>
            <w:tcW w:w="429" w:type="pct"/>
            <w:vMerge w:val="restart"/>
            <w:vAlign w:val="center"/>
          </w:tcPr>
          <w:p w14:paraId="0D0DF61A">
            <w:pPr>
              <w:rPr>
                <w:rFonts w:ascii="Times New Roman"/>
                <w:sz w:val="21"/>
                <w:szCs w:val="21"/>
              </w:rPr>
            </w:pPr>
            <w:r>
              <w:rPr>
                <w:rFonts w:ascii="Times New Roman"/>
                <w:sz w:val="21"/>
                <w:szCs w:val="21"/>
              </w:rPr>
              <w:t>环保工程</w:t>
            </w:r>
          </w:p>
        </w:tc>
        <w:tc>
          <w:tcPr>
            <w:tcW w:w="631" w:type="pct"/>
            <w:tcBorders>
              <w:bottom w:val="single" w:color="000000" w:sz="4" w:space="0"/>
            </w:tcBorders>
            <w:vAlign w:val="center"/>
          </w:tcPr>
          <w:p w14:paraId="7B72CE30">
            <w:pPr>
              <w:rPr>
                <w:rFonts w:ascii="Times New Roman"/>
                <w:sz w:val="21"/>
                <w:szCs w:val="21"/>
              </w:rPr>
            </w:pPr>
            <w:r>
              <w:rPr>
                <w:rFonts w:ascii="Times New Roman"/>
                <w:sz w:val="21"/>
                <w:szCs w:val="21"/>
              </w:rPr>
              <w:t>废气净化装置</w:t>
            </w:r>
          </w:p>
        </w:tc>
        <w:tc>
          <w:tcPr>
            <w:tcW w:w="1147" w:type="pct"/>
            <w:tcBorders>
              <w:bottom w:val="single" w:color="000000" w:sz="4" w:space="0"/>
            </w:tcBorders>
            <w:vAlign w:val="center"/>
          </w:tcPr>
          <w:p w14:paraId="259788E0">
            <w:pPr>
              <w:rPr>
                <w:rFonts w:ascii="Times New Roman"/>
                <w:sz w:val="21"/>
                <w:szCs w:val="21"/>
              </w:rPr>
            </w:pPr>
            <w:r>
              <w:rPr>
                <w:rFonts w:ascii="Times New Roman"/>
                <w:sz w:val="21"/>
                <w:szCs w:val="21"/>
              </w:rPr>
              <w:t>废气处理设备故障导致事故排放</w:t>
            </w:r>
          </w:p>
        </w:tc>
        <w:tc>
          <w:tcPr>
            <w:tcW w:w="646" w:type="pct"/>
            <w:tcBorders>
              <w:bottom w:val="single" w:color="000000" w:sz="4" w:space="0"/>
            </w:tcBorders>
            <w:vAlign w:val="center"/>
          </w:tcPr>
          <w:p w14:paraId="7F417466">
            <w:pPr>
              <w:rPr>
                <w:rFonts w:ascii="Times New Roman"/>
                <w:sz w:val="21"/>
                <w:szCs w:val="21"/>
              </w:rPr>
            </w:pPr>
            <w:r>
              <w:rPr>
                <w:rFonts w:ascii="Times New Roman"/>
                <w:sz w:val="21"/>
                <w:szCs w:val="21"/>
              </w:rPr>
              <w:t>二甲苯等</w:t>
            </w:r>
          </w:p>
        </w:tc>
        <w:tc>
          <w:tcPr>
            <w:tcW w:w="1174" w:type="pct"/>
            <w:tcBorders>
              <w:bottom w:val="single" w:color="000000" w:sz="4" w:space="0"/>
            </w:tcBorders>
            <w:vAlign w:val="center"/>
          </w:tcPr>
          <w:p w14:paraId="32A9991D">
            <w:pPr>
              <w:rPr>
                <w:rFonts w:ascii="Times New Roman"/>
                <w:sz w:val="21"/>
                <w:szCs w:val="21"/>
              </w:rPr>
            </w:pPr>
            <w:r>
              <w:rPr>
                <w:rFonts w:ascii="Times New Roman"/>
                <w:sz w:val="21"/>
                <w:szCs w:val="21"/>
              </w:rPr>
              <w:t>/</w:t>
            </w:r>
          </w:p>
        </w:tc>
        <w:tc>
          <w:tcPr>
            <w:tcW w:w="692" w:type="pct"/>
            <w:vMerge w:val="continue"/>
            <w:vAlign w:val="center"/>
          </w:tcPr>
          <w:p w14:paraId="59124272">
            <w:pPr>
              <w:rPr>
                <w:rFonts w:ascii="Times New Roman"/>
                <w:sz w:val="21"/>
                <w:szCs w:val="21"/>
              </w:rPr>
            </w:pPr>
          </w:p>
        </w:tc>
      </w:tr>
      <w:tr w14:paraId="0BE4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77" w:type="pct"/>
            <w:vMerge w:val="continue"/>
            <w:vAlign w:val="center"/>
          </w:tcPr>
          <w:p w14:paraId="631D04DC">
            <w:pPr>
              <w:rPr>
                <w:rFonts w:ascii="Times New Roman"/>
                <w:sz w:val="21"/>
                <w:szCs w:val="21"/>
              </w:rPr>
            </w:pPr>
          </w:p>
        </w:tc>
        <w:tc>
          <w:tcPr>
            <w:tcW w:w="429" w:type="pct"/>
            <w:vMerge w:val="continue"/>
            <w:vAlign w:val="center"/>
          </w:tcPr>
          <w:p w14:paraId="5F4C8936">
            <w:pPr>
              <w:rPr>
                <w:rFonts w:ascii="Times New Roman"/>
                <w:sz w:val="21"/>
                <w:szCs w:val="21"/>
              </w:rPr>
            </w:pPr>
          </w:p>
        </w:tc>
        <w:tc>
          <w:tcPr>
            <w:tcW w:w="631" w:type="pct"/>
            <w:tcBorders>
              <w:bottom w:val="single" w:color="000000" w:sz="4" w:space="0"/>
            </w:tcBorders>
            <w:vAlign w:val="center"/>
          </w:tcPr>
          <w:p w14:paraId="2AE3FFAE">
            <w:pPr>
              <w:rPr>
                <w:rFonts w:ascii="Times New Roman"/>
                <w:sz w:val="21"/>
                <w:szCs w:val="21"/>
              </w:rPr>
            </w:pPr>
            <w:r>
              <w:rPr>
                <w:rFonts w:ascii="Times New Roman"/>
                <w:sz w:val="21"/>
                <w:szCs w:val="21"/>
              </w:rPr>
              <w:t>废</w:t>
            </w:r>
            <w:r>
              <w:rPr>
                <w:rFonts w:hint="eastAsia" w:ascii="Times New Roman"/>
                <w:sz w:val="21"/>
                <w:szCs w:val="21"/>
              </w:rPr>
              <w:t>水</w:t>
            </w:r>
            <w:r>
              <w:rPr>
                <w:rFonts w:ascii="Times New Roman"/>
                <w:sz w:val="21"/>
                <w:szCs w:val="21"/>
              </w:rPr>
              <w:t>治理设施</w:t>
            </w:r>
          </w:p>
        </w:tc>
        <w:tc>
          <w:tcPr>
            <w:tcW w:w="1147" w:type="pct"/>
            <w:tcBorders>
              <w:bottom w:val="single" w:color="000000" w:sz="4" w:space="0"/>
            </w:tcBorders>
            <w:vAlign w:val="center"/>
          </w:tcPr>
          <w:p w14:paraId="730AC122">
            <w:pPr>
              <w:rPr>
                <w:rFonts w:ascii="Times New Roman"/>
                <w:sz w:val="21"/>
                <w:szCs w:val="21"/>
              </w:rPr>
            </w:pPr>
            <w:r>
              <w:rPr>
                <w:rFonts w:ascii="Times New Roman"/>
                <w:sz w:val="21"/>
                <w:szCs w:val="21"/>
              </w:rPr>
              <w:t>泄漏</w:t>
            </w:r>
          </w:p>
        </w:tc>
        <w:tc>
          <w:tcPr>
            <w:tcW w:w="646" w:type="pct"/>
            <w:tcBorders>
              <w:bottom w:val="single" w:color="000000" w:sz="4" w:space="0"/>
            </w:tcBorders>
            <w:vAlign w:val="center"/>
          </w:tcPr>
          <w:p w14:paraId="32304E01">
            <w:pPr>
              <w:rPr>
                <w:rFonts w:ascii="Times New Roman"/>
                <w:sz w:val="21"/>
                <w:szCs w:val="21"/>
              </w:rPr>
            </w:pPr>
            <w:r>
              <w:rPr>
                <w:rFonts w:hint="eastAsia" w:ascii="Times New Roman"/>
                <w:sz w:val="21"/>
                <w:szCs w:val="21"/>
              </w:rPr>
              <w:t>硫酸</w:t>
            </w:r>
          </w:p>
        </w:tc>
        <w:tc>
          <w:tcPr>
            <w:tcW w:w="1174" w:type="pct"/>
            <w:tcBorders>
              <w:bottom w:val="single" w:color="000000" w:sz="4" w:space="0"/>
            </w:tcBorders>
            <w:vAlign w:val="center"/>
          </w:tcPr>
          <w:p w14:paraId="3703C780">
            <w:pPr>
              <w:rPr>
                <w:rFonts w:ascii="Times New Roman"/>
                <w:sz w:val="21"/>
                <w:szCs w:val="21"/>
              </w:rPr>
            </w:pPr>
            <w:r>
              <w:rPr>
                <w:rFonts w:hint="eastAsia" w:ascii="Times New Roman"/>
                <w:sz w:val="21"/>
                <w:szCs w:val="21"/>
              </w:rPr>
              <w:t>硫酸</w:t>
            </w:r>
          </w:p>
        </w:tc>
        <w:tc>
          <w:tcPr>
            <w:tcW w:w="692" w:type="pct"/>
            <w:vMerge w:val="continue"/>
            <w:vAlign w:val="center"/>
          </w:tcPr>
          <w:p w14:paraId="259391E0">
            <w:pPr>
              <w:rPr>
                <w:rFonts w:ascii="Times New Roman"/>
                <w:sz w:val="21"/>
                <w:szCs w:val="21"/>
              </w:rPr>
            </w:pPr>
          </w:p>
        </w:tc>
      </w:tr>
      <w:tr w14:paraId="257F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77" w:type="pct"/>
            <w:vMerge w:val="continue"/>
            <w:vAlign w:val="center"/>
          </w:tcPr>
          <w:p w14:paraId="486DF6D1">
            <w:pPr>
              <w:rPr>
                <w:rFonts w:ascii="Times New Roman"/>
                <w:sz w:val="21"/>
                <w:szCs w:val="21"/>
              </w:rPr>
            </w:pPr>
          </w:p>
        </w:tc>
        <w:tc>
          <w:tcPr>
            <w:tcW w:w="429" w:type="pct"/>
            <w:vMerge w:val="continue"/>
            <w:vAlign w:val="center"/>
          </w:tcPr>
          <w:p w14:paraId="7103109B">
            <w:pPr>
              <w:rPr>
                <w:rFonts w:ascii="Times New Roman"/>
                <w:sz w:val="21"/>
                <w:szCs w:val="21"/>
              </w:rPr>
            </w:pPr>
          </w:p>
        </w:tc>
        <w:tc>
          <w:tcPr>
            <w:tcW w:w="631" w:type="pct"/>
            <w:tcBorders>
              <w:top w:val="single" w:color="000000" w:sz="4" w:space="0"/>
            </w:tcBorders>
            <w:vAlign w:val="center"/>
          </w:tcPr>
          <w:p w14:paraId="56F16BD3">
            <w:pPr>
              <w:rPr>
                <w:rFonts w:ascii="Times New Roman"/>
                <w:sz w:val="21"/>
                <w:szCs w:val="21"/>
              </w:rPr>
            </w:pPr>
            <w:r>
              <w:rPr>
                <w:rFonts w:ascii="Times New Roman"/>
                <w:sz w:val="21"/>
                <w:szCs w:val="21"/>
              </w:rPr>
              <w:t>危废间</w:t>
            </w:r>
          </w:p>
        </w:tc>
        <w:tc>
          <w:tcPr>
            <w:tcW w:w="1147" w:type="pct"/>
            <w:tcBorders>
              <w:top w:val="single" w:color="000000" w:sz="4" w:space="0"/>
              <w:bottom w:val="single" w:color="000000" w:sz="4" w:space="0"/>
            </w:tcBorders>
            <w:vAlign w:val="center"/>
          </w:tcPr>
          <w:p w14:paraId="167E5CF2">
            <w:pPr>
              <w:rPr>
                <w:rFonts w:ascii="Times New Roman"/>
                <w:sz w:val="21"/>
                <w:szCs w:val="21"/>
              </w:rPr>
            </w:pPr>
            <w:r>
              <w:rPr>
                <w:rFonts w:ascii="Times New Roman"/>
                <w:sz w:val="21"/>
                <w:szCs w:val="21"/>
              </w:rPr>
              <w:t>泄漏、火灾等引发的伴生/次生污染物排放</w:t>
            </w:r>
          </w:p>
        </w:tc>
        <w:tc>
          <w:tcPr>
            <w:tcW w:w="646" w:type="pct"/>
            <w:tcBorders>
              <w:top w:val="single" w:color="000000" w:sz="4" w:space="0"/>
              <w:bottom w:val="single" w:color="000000" w:sz="4" w:space="0"/>
            </w:tcBorders>
            <w:vAlign w:val="center"/>
          </w:tcPr>
          <w:p w14:paraId="01AB1C52">
            <w:pPr>
              <w:rPr>
                <w:rFonts w:ascii="Times New Roman"/>
                <w:sz w:val="21"/>
                <w:szCs w:val="21"/>
              </w:rPr>
            </w:pPr>
            <w:r>
              <w:rPr>
                <w:rFonts w:ascii="Times New Roman"/>
                <w:sz w:val="21"/>
                <w:szCs w:val="21"/>
              </w:rPr>
              <w:t>油类物质</w:t>
            </w:r>
          </w:p>
        </w:tc>
        <w:tc>
          <w:tcPr>
            <w:tcW w:w="1174" w:type="pct"/>
            <w:tcBorders>
              <w:top w:val="single" w:color="000000" w:sz="4" w:space="0"/>
              <w:bottom w:val="single" w:color="000000" w:sz="4" w:space="0"/>
            </w:tcBorders>
            <w:vAlign w:val="center"/>
          </w:tcPr>
          <w:p w14:paraId="6D85F4D0">
            <w:pPr>
              <w:rPr>
                <w:rFonts w:ascii="Times New Roman"/>
                <w:sz w:val="21"/>
                <w:szCs w:val="21"/>
              </w:rPr>
            </w:pPr>
            <w:r>
              <w:rPr>
                <w:rFonts w:ascii="Times New Roman"/>
                <w:sz w:val="21"/>
                <w:szCs w:val="21"/>
              </w:rPr>
              <w:t>废切削液、废润滑油、废液压油等，次生污染物质（如洗消废水、CO）</w:t>
            </w:r>
          </w:p>
        </w:tc>
        <w:tc>
          <w:tcPr>
            <w:tcW w:w="692" w:type="pct"/>
            <w:vMerge w:val="continue"/>
            <w:vAlign w:val="center"/>
          </w:tcPr>
          <w:p w14:paraId="13037BA3">
            <w:pPr>
              <w:rPr>
                <w:rFonts w:ascii="Times New Roman"/>
                <w:sz w:val="21"/>
                <w:szCs w:val="21"/>
              </w:rPr>
            </w:pPr>
          </w:p>
        </w:tc>
      </w:tr>
    </w:tbl>
    <w:p w14:paraId="15D36134">
      <w:pPr>
        <w:pStyle w:val="7"/>
        <w:spacing w:line="360" w:lineRule="auto"/>
        <w:rPr>
          <w:rFonts w:hint="default" w:ascii="Times New Roman" w:hAnsi="Times New Roman"/>
          <w:color w:val="auto"/>
        </w:rPr>
      </w:pPr>
      <w:r>
        <w:rPr>
          <w:rFonts w:hint="default" w:ascii="Times New Roman" w:hAnsi="Times New Roman"/>
          <w:color w:val="auto"/>
        </w:rPr>
        <w:t>5.2.7.3.3风险识别结果</w:t>
      </w:r>
    </w:p>
    <w:p w14:paraId="0A130A1D">
      <w:pPr>
        <w:spacing w:line="480" w:lineRule="exact"/>
        <w:ind w:firstLine="480" w:firstLineChars="200"/>
        <w:rPr>
          <w:rFonts w:ascii="Times New Roman"/>
          <w:sz w:val="24"/>
          <w:szCs w:val="20"/>
        </w:rPr>
      </w:pPr>
      <w:r>
        <w:rPr>
          <w:rFonts w:ascii="Times New Roman"/>
          <w:sz w:val="24"/>
          <w:szCs w:val="24"/>
        </w:rPr>
        <w:t>分析危险物质特性及可能的环境风险类型，识别危险物质影响环境的途径，分析可能影响的环境敏感目标，风险识别的结果见</w:t>
      </w:r>
      <w:r>
        <w:rPr>
          <w:rFonts w:hint="eastAsia" w:ascii="Times New Roman"/>
          <w:sz w:val="24"/>
          <w:szCs w:val="24"/>
        </w:rPr>
        <w:t>下表</w:t>
      </w:r>
      <w:r>
        <w:rPr>
          <w:rFonts w:ascii="Times New Roman"/>
          <w:sz w:val="24"/>
          <w:szCs w:val="24"/>
        </w:rPr>
        <w:t>。</w:t>
      </w:r>
    </w:p>
    <w:p w14:paraId="2AE6B57C">
      <w:pPr>
        <w:widowControl/>
        <w:spacing w:line="360" w:lineRule="auto"/>
        <w:jc w:val="center"/>
        <w:rPr>
          <w:rFonts w:ascii="Times New Roman"/>
          <w:sz w:val="24"/>
          <w:szCs w:val="24"/>
        </w:rPr>
      </w:pPr>
      <w:r>
        <w:rPr>
          <w:rFonts w:ascii="Times New Roman"/>
          <w:b/>
          <w:bCs/>
          <w:sz w:val="24"/>
          <w:szCs w:val="24"/>
        </w:rPr>
        <w:t>表5.2</w:t>
      </w:r>
      <w:r>
        <w:rPr>
          <w:rFonts w:hint="eastAsia" w:ascii="Times New Roman"/>
          <w:b/>
          <w:bCs/>
          <w:sz w:val="24"/>
          <w:szCs w:val="24"/>
        </w:rPr>
        <w:t>.7</w:t>
      </w:r>
      <w:r>
        <w:rPr>
          <w:rFonts w:ascii="Times New Roman"/>
          <w:b/>
          <w:bCs/>
          <w:sz w:val="24"/>
          <w:szCs w:val="24"/>
        </w:rPr>
        <w:t>-</w:t>
      </w:r>
      <w:r>
        <w:rPr>
          <w:rFonts w:hint="eastAsia" w:ascii="Times New Roman"/>
          <w:b/>
          <w:bCs/>
          <w:sz w:val="24"/>
          <w:szCs w:val="24"/>
        </w:rPr>
        <w:t xml:space="preserve">6 </w:t>
      </w:r>
      <w:r>
        <w:rPr>
          <w:rFonts w:ascii="Times New Roman"/>
          <w:b/>
          <w:bCs/>
          <w:sz w:val="24"/>
          <w:szCs w:val="24"/>
        </w:rPr>
        <w:t xml:space="preserve"> 建设项目环境风险识别表</w:t>
      </w:r>
    </w:p>
    <w:tbl>
      <w:tblPr>
        <w:tblStyle w:val="84"/>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9"/>
        <w:gridCol w:w="1201"/>
        <w:gridCol w:w="855"/>
        <w:gridCol w:w="1441"/>
        <w:gridCol w:w="2064"/>
        <w:gridCol w:w="1792"/>
      </w:tblGrid>
      <w:tr w14:paraId="3CAC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blHeader/>
        </w:trPr>
        <w:tc>
          <w:tcPr>
            <w:tcW w:w="245" w:type="pct"/>
            <w:vAlign w:val="center"/>
          </w:tcPr>
          <w:p w14:paraId="7001738C">
            <w:pPr>
              <w:widowControl/>
              <w:adjustRightInd w:val="0"/>
              <w:snapToGrid w:val="0"/>
              <w:spacing w:line="240" w:lineRule="exact"/>
              <w:rPr>
                <w:rFonts w:ascii="Times New Roman"/>
                <w:sz w:val="21"/>
                <w:szCs w:val="21"/>
              </w:rPr>
            </w:pPr>
            <w:r>
              <w:rPr>
                <w:rFonts w:ascii="Times New Roman"/>
                <w:sz w:val="21"/>
                <w:szCs w:val="21"/>
              </w:rPr>
              <w:t>序号</w:t>
            </w:r>
          </w:p>
        </w:tc>
        <w:tc>
          <w:tcPr>
            <w:tcW w:w="507" w:type="pct"/>
            <w:vAlign w:val="center"/>
          </w:tcPr>
          <w:p w14:paraId="2055D59C">
            <w:pPr>
              <w:widowControl/>
              <w:adjustRightInd w:val="0"/>
              <w:snapToGrid w:val="0"/>
              <w:spacing w:line="240" w:lineRule="exact"/>
              <w:rPr>
                <w:rFonts w:ascii="Times New Roman"/>
                <w:sz w:val="21"/>
                <w:szCs w:val="21"/>
              </w:rPr>
            </w:pPr>
            <w:r>
              <w:rPr>
                <w:rFonts w:ascii="Times New Roman"/>
                <w:sz w:val="21"/>
                <w:szCs w:val="21"/>
              </w:rPr>
              <w:t>危险单元</w:t>
            </w:r>
          </w:p>
        </w:tc>
        <w:tc>
          <w:tcPr>
            <w:tcW w:w="693" w:type="pct"/>
            <w:vAlign w:val="center"/>
          </w:tcPr>
          <w:p w14:paraId="062D08C9">
            <w:pPr>
              <w:widowControl/>
              <w:adjustRightInd w:val="0"/>
              <w:snapToGrid w:val="0"/>
              <w:spacing w:line="240" w:lineRule="exact"/>
              <w:rPr>
                <w:rFonts w:ascii="Times New Roman"/>
                <w:sz w:val="21"/>
                <w:szCs w:val="21"/>
              </w:rPr>
            </w:pPr>
            <w:r>
              <w:rPr>
                <w:rFonts w:ascii="Times New Roman"/>
                <w:sz w:val="21"/>
                <w:szCs w:val="21"/>
              </w:rPr>
              <w:t>风险源</w:t>
            </w:r>
          </w:p>
        </w:tc>
        <w:tc>
          <w:tcPr>
            <w:tcW w:w="494" w:type="pct"/>
            <w:vAlign w:val="center"/>
          </w:tcPr>
          <w:p w14:paraId="0889EF56">
            <w:pPr>
              <w:widowControl/>
              <w:adjustRightInd w:val="0"/>
              <w:snapToGrid w:val="0"/>
              <w:spacing w:line="240" w:lineRule="exact"/>
              <w:rPr>
                <w:rFonts w:ascii="Times New Roman"/>
                <w:sz w:val="21"/>
                <w:szCs w:val="21"/>
              </w:rPr>
            </w:pPr>
            <w:r>
              <w:rPr>
                <w:rFonts w:ascii="Times New Roman"/>
                <w:sz w:val="21"/>
                <w:szCs w:val="21"/>
              </w:rPr>
              <w:t>主要危险物质</w:t>
            </w:r>
          </w:p>
        </w:tc>
        <w:tc>
          <w:tcPr>
            <w:tcW w:w="832" w:type="pct"/>
            <w:vAlign w:val="center"/>
          </w:tcPr>
          <w:p w14:paraId="5BE78354">
            <w:pPr>
              <w:widowControl/>
              <w:adjustRightInd w:val="0"/>
              <w:snapToGrid w:val="0"/>
              <w:spacing w:line="240" w:lineRule="exact"/>
              <w:rPr>
                <w:rFonts w:ascii="Times New Roman"/>
                <w:sz w:val="21"/>
                <w:szCs w:val="21"/>
              </w:rPr>
            </w:pPr>
            <w:r>
              <w:rPr>
                <w:rFonts w:ascii="Times New Roman"/>
                <w:sz w:val="21"/>
                <w:szCs w:val="21"/>
              </w:rPr>
              <w:t>环境风险类型</w:t>
            </w:r>
          </w:p>
        </w:tc>
        <w:tc>
          <w:tcPr>
            <w:tcW w:w="1192" w:type="pct"/>
            <w:vAlign w:val="center"/>
          </w:tcPr>
          <w:p w14:paraId="142B3BD4">
            <w:pPr>
              <w:widowControl/>
              <w:adjustRightInd w:val="0"/>
              <w:snapToGrid w:val="0"/>
              <w:spacing w:line="240" w:lineRule="exact"/>
              <w:rPr>
                <w:rFonts w:ascii="Times New Roman"/>
                <w:sz w:val="21"/>
                <w:szCs w:val="21"/>
              </w:rPr>
            </w:pPr>
            <w:r>
              <w:rPr>
                <w:rFonts w:ascii="Times New Roman"/>
                <w:sz w:val="21"/>
                <w:szCs w:val="21"/>
              </w:rPr>
              <w:t>环境影响途径</w:t>
            </w:r>
          </w:p>
        </w:tc>
        <w:tc>
          <w:tcPr>
            <w:tcW w:w="1035" w:type="pct"/>
            <w:vAlign w:val="center"/>
          </w:tcPr>
          <w:p w14:paraId="2FD363E2">
            <w:pPr>
              <w:widowControl/>
              <w:adjustRightInd w:val="0"/>
              <w:snapToGrid w:val="0"/>
              <w:spacing w:line="240" w:lineRule="exact"/>
              <w:rPr>
                <w:rFonts w:ascii="Times New Roman"/>
                <w:sz w:val="21"/>
                <w:szCs w:val="21"/>
              </w:rPr>
            </w:pPr>
            <w:r>
              <w:rPr>
                <w:rFonts w:ascii="Times New Roman"/>
                <w:sz w:val="21"/>
                <w:szCs w:val="21"/>
              </w:rPr>
              <w:t>可能受影响的环境敏感目标</w:t>
            </w:r>
          </w:p>
        </w:tc>
      </w:tr>
      <w:tr w14:paraId="205D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14:paraId="51C2AE6A">
            <w:pPr>
              <w:widowControl/>
              <w:adjustRightInd w:val="0"/>
              <w:snapToGrid w:val="0"/>
              <w:spacing w:line="240" w:lineRule="exact"/>
              <w:rPr>
                <w:rFonts w:ascii="Times New Roman"/>
                <w:sz w:val="21"/>
                <w:szCs w:val="21"/>
              </w:rPr>
            </w:pPr>
            <w:r>
              <w:rPr>
                <w:rFonts w:hint="eastAsia" w:ascii="Times New Roman"/>
                <w:sz w:val="21"/>
                <w:szCs w:val="21"/>
              </w:rPr>
              <w:t>1</w:t>
            </w:r>
          </w:p>
        </w:tc>
        <w:tc>
          <w:tcPr>
            <w:tcW w:w="507" w:type="pct"/>
            <w:vAlign w:val="center"/>
          </w:tcPr>
          <w:p w14:paraId="5FDB5C9D">
            <w:pPr>
              <w:widowControl/>
              <w:adjustRightInd w:val="0"/>
              <w:snapToGrid w:val="0"/>
              <w:spacing w:line="240" w:lineRule="exact"/>
              <w:rPr>
                <w:rFonts w:ascii="Times New Roman"/>
                <w:sz w:val="21"/>
                <w:szCs w:val="21"/>
              </w:rPr>
            </w:pPr>
            <w:r>
              <w:rPr>
                <w:rFonts w:hint="eastAsia" w:ascii="Times New Roman"/>
                <w:sz w:val="21"/>
                <w:szCs w:val="21"/>
              </w:rPr>
              <w:t>天然气管道</w:t>
            </w:r>
          </w:p>
        </w:tc>
        <w:tc>
          <w:tcPr>
            <w:tcW w:w="693" w:type="pct"/>
            <w:vAlign w:val="center"/>
          </w:tcPr>
          <w:p w14:paraId="69660394">
            <w:pPr>
              <w:widowControl/>
              <w:adjustRightInd w:val="0"/>
              <w:snapToGrid w:val="0"/>
              <w:spacing w:line="240" w:lineRule="exact"/>
              <w:rPr>
                <w:rFonts w:ascii="Times New Roman"/>
                <w:sz w:val="21"/>
                <w:szCs w:val="21"/>
              </w:rPr>
            </w:pPr>
            <w:r>
              <w:rPr>
                <w:rFonts w:ascii="Times New Roman"/>
                <w:sz w:val="21"/>
                <w:szCs w:val="21"/>
              </w:rPr>
              <w:t>天然气</w:t>
            </w:r>
            <w:r>
              <w:rPr>
                <w:rFonts w:hint="eastAsia" w:ascii="Times New Roman"/>
                <w:sz w:val="21"/>
                <w:szCs w:val="21"/>
              </w:rPr>
              <w:t>管道</w:t>
            </w:r>
          </w:p>
        </w:tc>
        <w:tc>
          <w:tcPr>
            <w:tcW w:w="494" w:type="pct"/>
            <w:vAlign w:val="center"/>
          </w:tcPr>
          <w:p w14:paraId="6BAE274F">
            <w:pPr>
              <w:widowControl/>
              <w:adjustRightInd w:val="0"/>
              <w:snapToGrid w:val="0"/>
              <w:spacing w:line="240" w:lineRule="exact"/>
              <w:rPr>
                <w:rFonts w:ascii="Times New Roman"/>
                <w:sz w:val="21"/>
                <w:szCs w:val="21"/>
              </w:rPr>
            </w:pPr>
            <w:r>
              <w:rPr>
                <w:rFonts w:ascii="Times New Roman"/>
                <w:sz w:val="21"/>
                <w:szCs w:val="21"/>
              </w:rPr>
              <w:t>甲烷</w:t>
            </w:r>
          </w:p>
        </w:tc>
        <w:tc>
          <w:tcPr>
            <w:tcW w:w="832" w:type="pct"/>
            <w:vAlign w:val="center"/>
          </w:tcPr>
          <w:p w14:paraId="1BA412AF">
            <w:pPr>
              <w:widowControl/>
              <w:adjustRightInd w:val="0"/>
              <w:snapToGrid w:val="0"/>
              <w:spacing w:line="240" w:lineRule="exact"/>
              <w:rPr>
                <w:rFonts w:ascii="Times New Roman"/>
                <w:sz w:val="21"/>
                <w:szCs w:val="21"/>
              </w:rPr>
            </w:pPr>
            <w:r>
              <w:rPr>
                <w:rFonts w:ascii="Times New Roman"/>
                <w:sz w:val="21"/>
                <w:szCs w:val="21"/>
              </w:rPr>
              <w:t>泄漏</w:t>
            </w:r>
          </w:p>
        </w:tc>
        <w:tc>
          <w:tcPr>
            <w:tcW w:w="1192" w:type="pct"/>
            <w:vMerge w:val="restart"/>
            <w:vAlign w:val="center"/>
          </w:tcPr>
          <w:p w14:paraId="631B6094">
            <w:pPr>
              <w:widowControl/>
              <w:adjustRightInd w:val="0"/>
              <w:snapToGrid w:val="0"/>
              <w:spacing w:line="240" w:lineRule="exact"/>
              <w:rPr>
                <w:rFonts w:ascii="Times New Roman"/>
                <w:sz w:val="21"/>
                <w:szCs w:val="21"/>
              </w:rPr>
            </w:pPr>
            <w:r>
              <w:rPr>
                <w:rFonts w:ascii="Times New Roman"/>
                <w:sz w:val="21"/>
                <w:szCs w:val="21"/>
              </w:rPr>
              <w:t>管线、阀门等破损，遇火源燃烧、爆炸，主要生成CO有害气体，产生洗消废水</w:t>
            </w:r>
          </w:p>
        </w:tc>
        <w:tc>
          <w:tcPr>
            <w:tcW w:w="1035" w:type="pct"/>
            <w:vMerge w:val="restart"/>
            <w:vAlign w:val="center"/>
          </w:tcPr>
          <w:p w14:paraId="47FAD75D">
            <w:pPr>
              <w:widowControl/>
              <w:adjustRightInd w:val="0"/>
              <w:snapToGrid w:val="0"/>
              <w:spacing w:line="240" w:lineRule="exact"/>
              <w:rPr>
                <w:rFonts w:ascii="Times New Roman"/>
                <w:sz w:val="21"/>
                <w:szCs w:val="21"/>
              </w:rPr>
            </w:pPr>
            <w:r>
              <w:rPr>
                <w:rFonts w:ascii="Times New Roman"/>
                <w:sz w:val="21"/>
                <w:szCs w:val="21"/>
              </w:rPr>
              <w:t>可能影响周边居住区</w:t>
            </w:r>
          </w:p>
        </w:tc>
      </w:tr>
      <w:tr w14:paraId="3E3B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14:paraId="51F454E9">
            <w:pPr>
              <w:widowControl/>
              <w:adjustRightInd w:val="0"/>
              <w:snapToGrid w:val="0"/>
              <w:spacing w:line="240" w:lineRule="exact"/>
              <w:rPr>
                <w:rFonts w:ascii="Times New Roman"/>
                <w:sz w:val="21"/>
                <w:szCs w:val="21"/>
              </w:rPr>
            </w:pPr>
            <w:r>
              <w:rPr>
                <w:rFonts w:hint="eastAsia" w:ascii="Times New Roman"/>
                <w:sz w:val="21"/>
                <w:szCs w:val="21"/>
              </w:rPr>
              <w:t>2</w:t>
            </w:r>
          </w:p>
        </w:tc>
        <w:tc>
          <w:tcPr>
            <w:tcW w:w="507" w:type="pct"/>
            <w:vMerge w:val="restart"/>
            <w:vAlign w:val="center"/>
          </w:tcPr>
          <w:p w14:paraId="033927A5">
            <w:pPr>
              <w:widowControl/>
              <w:adjustRightInd w:val="0"/>
              <w:snapToGrid w:val="0"/>
              <w:spacing w:line="240" w:lineRule="exact"/>
              <w:rPr>
                <w:rFonts w:ascii="Times New Roman"/>
                <w:sz w:val="21"/>
                <w:szCs w:val="21"/>
              </w:rPr>
            </w:pPr>
            <w:r>
              <w:rPr>
                <w:rFonts w:hint="eastAsia" w:ascii="Times New Roman"/>
                <w:sz w:val="21"/>
                <w:szCs w:val="21"/>
              </w:rPr>
              <w:t>危化库</w:t>
            </w:r>
          </w:p>
        </w:tc>
        <w:tc>
          <w:tcPr>
            <w:tcW w:w="693" w:type="pct"/>
            <w:vAlign w:val="center"/>
          </w:tcPr>
          <w:p w14:paraId="2F5E5C85">
            <w:pPr>
              <w:widowControl/>
              <w:adjustRightInd w:val="0"/>
              <w:snapToGrid w:val="0"/>
              <w:spacing w:line="240" w:lineRule="exact"/>
              <w:rPr>
                <w:rFonts w:ascii="Times New Roman"/>
                <w:sz w:val="21"/>
                <w:szCs w:val="21"/>
              </w:rPr>
            </w:pPr>
            <w:r>
              <w:rPr>
                <w:rFonts w:hint="eastAsia" w:ascii="Times New Roman"/>
                <w:sz w:val="21"/>
                <w:szCs w:val="21"/>
              </w:rPr>
              <w:t>丙烷瓶</w:t>
            </w:r>
          </w:p>
        </w:tc>
        <w:tc>
          <w:tcPr>
            <w:tcW w:w="494" w:type="pct"/>
            <w:vAlign w:val="center"/>
          </w:tcPr>
          <w:p w14:paraId="391FF633">
            <w:pPr>
              <w:widowControl/>
              <w:adjustRightInd w:val="0"/>
              <w:snapToGrid w:val="0"/>
              <w:spacing w:line="240" w:lineRule="exact"/>
              <w:rPr>
                <w:rFonts w:ascii="Times New Roman"/>
                <w:sz w:val="21"/>
                <w:szCs w:val="21"/>
              </w:rPr>
            </w:pPr>
            <w:r>
              <w:rPr>
                <w:rFonts w:hint="eastAsia" w:ascii="Times New Roman"/>
                <w:sz w:val="21"/>
                <w:szCs w:val="21"/>
              </w:rPr>
              <w:t>丙烷</w:t>
            </w:r>
          </w:p>
        </w:tc>
        <w:tc>
          <w:tcPr>
            <w:tcW w:w="832" w:type="pct"/>
            <w:vAlign w:val="center"/>
          </w:tcPr>
          <w:p w14:paraId="718286E1">
            <w:pPr>
              <w:widowControl/>
              <w:adjustRightInd w:val="0"/>
              <w:snapToGrid w:val="0"/>
              <w:spacing w:line="240" w:lineRule="exact"/>
              <w:rPr>
                <w:rFonts w:ascii="Times New Roman"/>
                <w:sz w:val="21"/>
                <w:szCs w:val="21"/>
              </w:rPr>
            </w:pPr>
            <w:r>
              <w:rPr>
                <w:rFonts w:ascii="Times New Roman"/>
                <w:sz w:val="21"/>
                <w:szCs w:val="21"/>
              </w:rPr>
              <w:t>泄漏</w:t>
            </w:r>
          </w:p>
        </w:tc>
        <w:tc>
          <w:tcPr>
            <w:tcW w:w="1192" w:type="pct"/>
            <w:vMerge w:val="continue"/>
            <w:vAlign w:val="center"/>
          </w:tcPr>
          <w:p w14:paraId="1E0B8B06">
            <w:pPr>
              <w:widowControl/>
              <w:adjustRightInd w:val="0"/>
              <w:snapToGrid w:val="0"/>
              <w:spacing w:line="240" w:lineRule="exact"/>
              <w:rPr>
                <w:rFonts w:ascii="Times New Roman"/>
                <w:sz w:val="21"/>
                <w:szCs w:val="21"/>
              </w:rPr>
            </w:pPr>
          </w:p>
        </w:tc>
        <w:tc>
          <w:tcPr>
            <w:tcW w:w="1035" w:type="pct"/>
            <w:vMerge w:val="continue"/>
            <w:vAlign w:val="center"/>
          </w:tcPr>
          <w:p w14:paraId="1F549AFF">
            <w:pPr>
              <w:widowControl/>
              <w:adjustRightInd w:val="0"/>
              <w:snapToGrid w:val="0"/>
              <w:spacing w:line="240" w:lineRule="exact"/>
              <w:rPr>
                <w:rFonts w:ascii="Times New Roman"/>
                <w:sz w:val="21"/>
                <w:szCs w:val="21"/>
              </w:rPr>
            </w:pPr>
          </w:p>
        </w:tc>
      </w:tr>
      <w:tr w14:paraId="6347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45" w:type="pct"/>
            <w:vMerge w:val="restart"/>
            <w:vAlign w:val="center"/>
          </w:tcPr>
          <w:p w14:paraId="5829BBD6">
            <w:pPr>
              <w:widowControl/>
              <w:adjustRightInd w:val="0"/>
              <w:snapToGrid w:val="0"/>
              <w:spacing w:line="240" w:lineRule="exact"/>
              <w:rPr>
                <w:rFonts w:ascii="Times New Roman"/>
                <w:sz w:val="21"/>
                <w:szCs w:val="21"/>
              </w:rPr>
            </w:pPr>
            <w:r>
              <w:rPr>
                <w:rFonts w:hint="eastAsia" w:ascii="Times New Roman"/>
                <w:sz w:val="21"/>
                <w:szCs w:val="21"/>
              </w:rPr>
              <w:t>3</w:t>
            </w:r>
          </w:p>
        </w:tc>
        <w:tc>
          <w:tcPr>
            <w:tcW w:w="507" w:type="pct"/>
            <w:vMerge w:val="continue"/>
            <w:vAlign w:val="center"/>
          </w:tcPr>
          <w:p w14:paraId="4BBB6B90">
            <w:pPr>
              <w:widowControl/>
              <w:adjustRightInd w:val="0"/>
              <w:snapToGrid w:val="0"/>
              <w:spacing w:line="240" w:lineRule="exact"/>
              <w:rPr>
                <w:rFonts w:ascii="Times New Roman"/>
                <w:sz w:val="21"/>
                <w:szCs w:val="21"/>
              </w:rPr>
            </w:pPr>
          </w:p>
        </w:tc>
        <w:tc>
          <w:tcPr>
            <w:tcW w:w="693" w:type="pct"/>
            <w:vMerge w:val="restart"/>
            <w:vAlign w:val="center"/>
          </w:tcPr>
          <w:p w14:paraId="0ECEF00D">
            <w:pPr>
              <w:widowControl/>
              <w:adjustRightInd w:val="0"/>
              <w:snapToGrid w:val="0"/>
              <w:spacing w:line="240" w:lineRule="exact"/>
              <w:rPr>
                <w:rFonts w:ascii="Times New Roman"/>
                <w:sz w:val="21"/>
                <w:szCs w:val="21"/>
              </w:rPr>
            </w:pPr>
            <w:r>
              <w:rPr>
                <w:rFonts w:hint="eastAsia" w:ascii="Times New Roman"/>
                <w:sz w:val="21"/>
                <w:szCs w:val="21"/>
              </w:rPr>
              <w:t>油漆</w:t>
            </w:r>
            <w:r>
              <w:rPr>
                <w:rFonts w:ascii="Times New Roman"/>
                <w:sz w:val="21"/>
                <w:szCs w:val="21"/>
              </w:rPr>
              <w:t>、油类物质存储及使用过程</w:t>
            </w:r>
          </w:p>
        </w:tc>
        <w:tc>
          <w:tcPr>
            <w:tcW w:w="494" w:type="pct"/>
            <w:vMerge w:val="restart"/>
            <w:vAlign w:val="center"/>
          </w:tcPr>
          <w:p w14:paraId="7F66F7C8">
            <w:pPr>
              <w:widowControl/>
              <w:adjustRightInd w:val="0"/>
              <w:snapToGrid w:val="0"/>
              <w:spacing w:line="240" w:lineRule="exact"/>
              <w:rPr>
                <w:rFonts w:ascii="Times New Roman"/>
                <w:sz w:val="21"/>
                <w:szCs w:val="21"/>
              </w:rPr>
            </w:pPr>
            <w:r>
              <w:rPr>
                <w:rFonts w:ascii="Times New Roman"/>
                <w:sz w:val="21"/>
                <w:szCs w:val="21"/>
              </w:rPr>
              <w:t>二甲苯、油类物质</w:t>
            </w:r>
          </w:p>
        </w:tc>
        <w:tc>
          <w:tcPr>
            <w:tcW w:w="832" w:type="pct"/>
            <w:vAlign w:val="center"/>
          </w:tcPr>
          <w:p w14:paraId="7818C073">
            <w:pPr>
              <w:widowControl/>
              <w:adjustRightInd w:val="0"/>
              <w:snapToGrid w:val="0"/>
              <w:spacing w:line="240" w:lineRule="exact"/>
              <w:rPr>
                <w:rFonts w:ascii="Times New Roman"/>
                <w:sz w:val="21"/>
                <w:szCs w:val="21"/>
              </w:rPr>
            </w:pPr>
            <w:r>
              <w:rPr>
                <w:rFonts w:ascii="Times New Roman"/>
                <w:sz w:val="21"/>
                <w:szCs w:val="21"/>
              </w:rPr>
              <w:t>泄漏</w:t>
            </w:r>
          </w:p>
        </w:tc>
        <w:tc>
          <w:tcPr>
            <w:tcW w:w="1192" w:type="pct"/>
            <w:vAlign w:val="center"/>
          </w:tcPr>
          <w:p w14:paraId="3AAB7ABF">
            <w:pPr>
              <w:widowControl/>
              <w:adjustRightInd w:val="0"/>
              <w:snapToGrid w:val="0"/>
              <w:spacing w:line="240" w:lineRule="exact"/>
              <w:rPr>
                <w:rFonts w:ascii="Times New Roman"/>
                <w:sz w:val="21"/>
                <w:szCs w:val="21"/>
              </w:rPr>
            </w:pPr>
            <w:r>
              <w:rPr>
                <w:rFonts w:ascii="Times New Roman"/>
                <w:sz w:val="21"/>
                <w:szCs w:val="21"/>
              </w:rPr>
              <w:t>液体物质，主要是储存桶破损泄漏</w:t>
            </w:r>
          </w:p>
        </w:tc>
        <w:tc>
          <w:tcPr>
            <w:tcW w:w="1035" w:type="pct"/>
            <w:vAlign w:val="center"/>
          </w:tcPr>
          <w:p w14:paraId="6916CDB6">
            <w:pPr>
              <w:widowControl/>
              <w:adjustRightInd w:val="0"/>
              <w:snapToGrid w:val="0"/>
              <w:spacing w:line="240" w:lineRule="exact"/>
              <w:rPr>
                <w:rFonts w:ascii="Times New Roman"/>
                <w:sz w:val="21"/>
                <w:szCs w:val="21"/>
              </w:rPr>
            </w:pPr>
            <w:r>
              <w:rPr>
                <w:rFonts w:ascii="Times New Roman"/>
                <w:sz w:val="21"/>
                <w:szCs w:val="21"/>
              </w:rPr>
              <w:t>未及时收集处理，导致风险物质在储存区、生产使用区及厂区地面溢出，进而污染土壤及地下水</w:t>
            </w:r>
          </w:p>
        </w:tc>
      </w:tr>
      <w:tr w14:paraId="7027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45" w:type="pct"/>
            <w:vMerge w:val="continue"/>
            <w:vAlign w:val="center"/>
          </w:tcPr>
          <w:p w14:paraId="56198036">
            <w:pPr>
              <w:widowControl/>
              <w:adjustRightInd w:val="0"/>
              <w:snapToGrid w:val="0"/>
              <w:spacing w:line="240" w:lineRule="exact"/>
              <w:rPr>
                <w:rFonts w:ascii="Times New Roman"/>
                <w:sz w:val="21"/>
                <w:szCs w:val="21"/>
              </w:rPr>
            </w:pPr>
          </w:p>
        </w:tc>
        <w:tc>
          <w:tcPr>
            <w:tcW w:w="507" w:type="pct"/>
            <w:vMerge w:val="continue"/>
            <w:vAlign w:val="center"/>
          </w:tcPr>
          <w:p w14:paraId="7E023FB2">
            <w:pPr>
              <w:widowControl/>
              <w:adjustRightInd w:val="0"/>
              <w:snapToGrid w:val="0"/>
              <w:spacing w:line="240" w:lineRule="exact"/>
              <w:rPr>
                <w:rFonts w:ascii="Times New Roman"/>
                <w:sz w:val="21"/>
                <w:szCs w:val="21"/>
              </w:rPr>
            </w:pPr>
          </w:p>
        </w:tc>
        <w:tc>
          <w:tcPr>
            <w:tcW w:w="693" w:type="pct"/>
            <w:vMerge w:val="continue"/>
            <w:vAlign w:val="center"/>
          </w:tcPr>
          <w:p w14:paraId="152944B0">
            <w:pPr>
              <w:widowControl/>
              <w:adjustRightInd w:val="0"/>
              <w:snapToGrid w:val="0"/>
              <w:spacing w:line="240" w:lineRule="exact"/>
              <w:rPr>
                <w:rFonts w:ascii="Times New Roman"/>
                <w:sz w:val="21"/>
                <w:szCs w:val="21"/>
              </w:rPr>
            </w:pPr>
          </w:p>
        </w:tc>
        <w:tc>
          <w:tcPr>
            <w:tcW w:w="494" w:type="pct"/>
            <w:vMerge w:val="continue"/>
            <w:vAlign w:val="center"/>
          </w:tcPr>
          <w:p w14:paraId="0069DDBC">
            <w:pPr>
              <w:widowControl/>
              <w:adjustRightInd w:val="0"/>
              <w:snapToGrid w:val="0"/>
              <w:spacing w:line="240" w:lineRule="exact"/>
              <w:rPr>
                <w:rFonts w:ascii="Times New Roman"/>
                <w:sz w:val="21"/>
                <w:szCs w:val="21"/>
              </w:rPr>
            </w:pPr>
          </w:p>
        </w:tc>
        <w:tc>
          <w:tcPr>
            <w:tcW w:w="832" w:type="pct"/>
            <w:vAlign w:val="center"/>
          </w:tcPr>
          <w:p w14:paraId="6EDC579A">
            <w:pPr>
              <w:widowControl/>
              <w:adjustRightInd w:val="0"/>
              <w:snapToGrid w:val="0"/>
              <w:spacing w:line="240" w:lineRule="exact"/>
              <w:rPr>
                <w:rFonts w:ascii="Times New Roman"/>
                <w:sz w:val="21"/>
                <w:szCs w:val="21"/>
              </w:rPr>
            </w:pPr>
            <w:r>
              <w:rPr>
                <w:rFonts w:ascii="Times New Roman"/>
                <w:sz w:val="21"/>
                <w:szCs w:val="21"/>
              </w:rPr>
              <w:t>火灾、爆炸等引发的伴生/次生污染物排放</w:t>
            </w:r>
          </w:p>
        </w:tc>
        <w:tc>
          <w:tcPr>
            <w:tcW w:w="1192" w:type="pct"/>
            <w:vAlign w:val="center"/>
          </w:tcPr>
          <w:p w14:paraId="70436F3D">
            <w:pPr>
              <w:widowControl/>
              <w:adjustRightInd w:val="0"/>
              <w:snapToGrid w:val="0"/>
              <w:spacing w:line="240" w:lineRule="exact"/>
              <w:rPr>
                <w:rFonts w:ascii="Times New Roman"/>
                <w:sz w:val="21"/>
                <w:szCs w:val="21"/>
              </w:rPr>
            </w:pPr>
            <w:r>
              <w:rPr>
                <w:rFonts w:ascii="Times New Roman"/>
                <w:sz w:val="21"/>
                <w:szCs w:val="21"/>
              </w:rPr>
              <w:t>泄漏后遇火源燃烧、爆炸，主要生成CO有毒气体，产生洗消废水</w:t>
            </w:r>
          </w:p>
        </w:tc>
        <w:tc>
          <w:tcPr>
            <w:tcW w:w="1035" w:type="pct"/>
            <w:vAlign w:val="center"/>
          </w:tcPr>
          <w:p w14:paraId="3FA7A804">
            <w:pPr>
              <w:widowControl/>
              <w:adjustRightInd w:val="0"/>
              <w:snapToGrid w:val="0"/>
              <w:spacing w:line="240" w:lineRule="exact"/>
              <w:rPr>
                <w:rFonts w:ascii="Times New Roman"/>
                <w:sz w:val="21"/>
                <w:szCs w:val="21"/>
              </w:rPr>
            </w:pPr>
            <w:r>
              <w:rPr>
                <w:rFonts w:ascii="Times New Roman"/>
                <w:sz w:val="21"/>
                <w:szCs w:val="21"/>
              </w:rPr>
              <w:t>可能影响周边居住区</w:t>
            </w:r>
          </w:p>
        </w:tc>
      </w:tr>
      <w:tr w14:paraId="28EE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5" w:type="pct"/>
            <w:vAlign w:val="center"/>
          </w:tcPr>
          <w:p w14:paraId="798A1CC5">
            <w:pPr>
              <w:widowControl/>
              <w:adjustRightInd w:val="0"/>
              <w:snapToGrid w:val="0"/>
              <w:spacing w:line="240" w:lineRule="exact"/>
              <w:rPr>
                <w:rFonts w:ascii="Times New Roman"/>
                <w:sz w:val="21"/>
                <w:szCs w:val="21"/>
              </w:rPr>
            </w:pPr>
            <w:r>
              <w:rPr>
                <w:rFonts w:hint="eastAsia" w:ascii="Times New Roman"/>
                <w:sz w:val="21"/>
                <w:szCs w:val="21"/>
              </w:rPr>
              <w:t>4</w:t>
            </w:r>
          </w:p>
        </w:tc>
        <w:tc>
          <w:tcPr>
            <w:tcW w:w="507" w:type="pct"/>
            <w:vAlign w:val="center"/>
          </w:tcPr>
          <w:p w14:paraId="1C07EF44">
            <w:pPr>
              <w:widowControl/>
              <w:adjustRightInd w:val="0"/>
              <w:snapToGrid w:val="0"/>
              <w:spacing w:line="240" w:lineRule="exact"/>
              <w:rPr>
                <w:rFonts w:ascii="Times New Roman"/>
                <w:sz w:val="21"/>
                <w:szCs w:val="21"/>
              </w:rPr>
            </w:pPr>
            <w:r>
              <w:rPr>
                <w:rFonts w:ascii="Times New Roman"/>
                <w:sz w:val="21"/>
                <w:szCs w:val="21"/>
              </w:rPr>
              <w:t>废气治理设施</w:t>
            </w:r>
          </w:p>
        </w:tc>
        <w:tc>
          <w:tcPr>
            <w:tcW w:w="693" w:type="pct"/>
            <w:vAlign w:val="center"/>
          </w:tcPr>
          <w:p w14:paraId="3245404E">
            <w:pPr>
              <w:widowControl/>
              <w:adjustRightInd w:val="0"/>
              <w:snapToGrid w:val="0"/>
              <w:spacing w:line="240" w:lineRule="exact"/>
              <w:rPr>
                <w:rFonts w:ascii="Times New Roman"/>
                <w:sz w:val="21"/>
                <w:szCs w:val="21"/>
              </w:rPr>
            </w:pPr>
            <w:r>
              <w:rPr>
                <w:rFonts w:ascii="Times New Roman"/>
                <w:sz w:val="21"/>
                <w:szCs w:val="21"/>
              </w:rPr>
              <w:t>废气治理设施</w:t>
            </w:r>
          </w:p>
        </w:tc>
        <w:tc>
          <w:tcPr>
            <w:tcW w:w="494" w:type="pct"/>
            <w:vAlign w:val="center"/>
          </w:tcPr>
          <w:p w14:paraId="2BD601D9">
            <w:pPr>
              <w:widowControl/>
              <w:adjustRightInd w:val="0"/>
              <w:snapToGrid w:val="0"/>
              <w:spacing w:line="240" w:lineRule="exact"/>
              <w:rPr>
                <w:rFonts w:ascii="Times New Roman"/>
                <w:sz w:val="21"/>
                <w:szCs w:val="21"/>
              </w:rPr>
            </w:pPr>
            <w:r>
              <w:rPr>
                <w:rFonts w:ascii="Times New Roman"/>
                <w:sz w:val="21"/>
                <w:szCs w:val="21"/>
              </w:rPr>
              <w:t>二甲苯等</w:t>
            </w:r>
          </w:p>
        </w:tc>
        <w:tc>
          <w:tcPr>
            <w:tcW w:w="832" w:type="pct"/>
            <w:vAlign w:val="center"/>
          </w:tcPr>
          <w:p w14:paraId="624A3B04">
            <w:pPr>
              <w:widowControl/>
              <w:adjustRightInd w:val="0"/>
              <w:snapToGrid w:val="0"/>
              <w:spacing w:line="240" w:lineRule="exact"/>
              <w:rPr>
                <w:rFonts w:ascii="Times New Roman"/>
                <w:sz w:val="21"/>
                <w:szCs w:val="21"/>
              </w:rPr>
            </w:pPr>
            <w:r>
              <w:rPr>
                <w:rFonts w:ascii="Times New Roman"/>
                <w:sz w:val="21"/>
                <w:szCs w:val="21"/>
              </w:rPr>
              <w:t>废气处理设备故障导致事故排放</w:t>
            </w:r>
          </w:p>
        </w:tc>
        <w:tc>
          <w:tcPr>
            <w:tcW w:w="1192" w:type="pct"/>
            <w:vAlign w:val="center"/>
          </w:tcPr>
          <w:p w14:paraId="0FDD886A">
            <w:pPr>
              <w:widowControl/>
              <w:adjustRightInd w:val="0"/>
              <w:snapToGrid w:val="0"/>
              <w:spacing w:line="240" w:lineRule="exact"/>
              <w:rPr>
                <w:rFonts w:ascii="Times New Roman"/>
                <w:sz w:val="21"/>
                <w:szCs w:val="21"/>
              </w:rPr>
            </w:pPr>
            <w:r>
              <w:rPr>
                <w:rFonts w:ascii="Times New Roman"/>
                <w:sz w:val="21"/>
                <w:szCs w:val="21"/>
              </w:rPr>
              <w:t>电机损坏等，有毒有害气体弥散于车间，废气净化装置因故障失去净化作用等</w:t>
            </w:r>
          </w:p>
        </w:tc>
        <w:tc>
          <w:tcPr>
            <w:tcW w:w="1035" w:type="pct"/>
            <w:vAlign w:val="center"/>
          </w:tcPr>
          <w:p w14:paraId="53FB851F">
            <w:pPr>
              <w:widowControl/>
              <w:adjustRightInd w:val="0"/>
              <w:snapToGrid w:val="0"/>
              <w:spacing w:line="240" w:lineRule="exact"/>
              <w:rPr>
                <w:rFonts w:ascii="Times New Roman"/>
                <w:sz w:val="21"/>
                <w:szCs w:val="21"/>
              </w:rPr>
            </w:pPr>
            <w:r>
              <w:rPr>
                <w:rFonts w:ascii="Times New Roman"/>
                <w:sz w:val="21"/>
                <w:szCs w:val="21"/>
              </w:rPr>
              <w:t>可能影响周边居住区</w:t>
            </w:r>
          </w:p>
        </w:tc>
      </w:tr>
      <w:tr w14:paraId="1E75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5" w:type="pct"/>
            <w:vAlign w:val="center"/>
          </w:tcPr>
          <w:p w14:paraId="1DA1F05F">
            <w:pPr>
              <w:widowControl/>
              <w:adjustRightInd w:val="0"/>
              <w:snapToGrid w:val="0"/>
              <w:spacing w:line="240" w:lineRule="exact"/>
              <w:rPr>
                <w:rFonts w:ascii="Times New Roman"/>
                <w:sz w:val="21"/>
                <w:szCs w:val="21"/>
              </w:rPr>
            </w:pPr>
            <w:r>
              <w:rPr>
                <w:rFonts w:hint="eastAsia" w:ascii="Times New Roman"/>
                <w:sz w:val="21"/>
                <w:szCs w:val="21"/>
              </w:rPr>
              <w:t>5</w:t>
            </w:r>
          </w:p>
        </w:tc>
        <w:tc>
          <w:tcPr>
            <w:tcW w:w="507" w:type="pct"/>
            <w:vAlign w:val="center"/>
          </w:tcPr>
          <w:p w14:paraId="630BB475">
            <w:pPr>
              <w:widowControl/>
              <w:adjustRightInd w:val="0"/>
              <w:snapToGrid w:val="0"/>
              <w:spacing w:line="240" w:lineRule="exact"/>
              <w:rPr>
                <w:rFonts w:ascii="Times New Roman"/>
                <w:sz w:val="21"/>
                <w:szCs w:val="21"/>
              </w:rPr>
            </w:pPr>
            <w:r>
              <w:rPr>
                <w:rFonts w:ascii="Times New Roman"/>
                <w:sz w:val="21"/>
                <w:szCs w:val="21"/>
              </w:rPr>
              <w:t>废</w:t>
            </w:r>
            <w:r>
              <w:rPr>
                <w:rFonts w:hint="eastAsia" w:ascii="Times New Roman"/>
                <w:sz w:val="21"/>
                <w:szCs w:val="21"/>
              </w:rPr>
              <w:t>水</w:t>
            </w:r>
            <w:r>
              <w:rPr>
                <w:rFonts w:ascii="Times New Roman"/>
                <w:sz w:val="21"/>
                <w:szCs w:val="21"/>
              </w:rPr>
              <w:t>治理设施</w:t>
            </w:r>
          </w:p>
        </w:tc>
        <w:tc>
          <w:tcPr>
            <w:tcW w:w="693" w:type="pct"/>
            <w:vAlign w:val="center"/>
          </w:tcPr>
          <w:p w14:paraId="28BEB835">
            <w:pPr>
              <w:widowControl/>
              <w:adjustRightInd w:val="0"/>
              <w:snapToGrid w:val="0"/>
              <w:spacing w:line="240" w:lineRule="exact"/>
              <w:rPr>
                <w:rFonts w:ascii="Times New Roman"/>
                <w:sz w:val="21"/>
                <w:szCs w:val="21"/>
              </w:rPr>
            </w:pPr>
            <w:r>
              <w:rPr>
                <w:rFonts w:ascii="Times New Roman"/>
                <w:sz w:val="21"/>
                <w:szCs w:val="21"/>
              </w:rPr>
              <w:t>废</w:t>
            </w:r>
            <w:r>
              <w:rPr>
                <w:rFonts w:hint="eastAsia" w:ascii="Times New Roman"/>
                <w:sz w:val="21"/>
                <w:szCs w:val="21"/>
              </w:rPr>
              <w:t>水</w:t>
            </w:r>
            <w:r>
              <w:rPr>
                <w:rFonts w:ascii="Times New Roman"/>
                <w:sz w:val="21"/>
                <w:szCs w:val="21"/>
              </w:rPr>
              <w:t>治理设施</w:t>
            </w:r>
          </w:p>
        </w:tc>
        <w:tc>
          <w:tcPr>
            <w:tcW w:w="494" w:type="pct"/>
            <w:vAlign w:val="center"/>
          </w:tcPr>
          <w:p w14:paraId="582A4DA1">
            <w:pPr>
              <w:widowControl/>
              <w:adjustRightInd w:val="0"/>
              <w:snapToGrid w:val="0"/>
              <w:spacing w:line="240" w:lineRule="exact"/>
              <w:rPr>
                <w:rFonts w:ascii="Times New Roman"/>
                <w:sz w:val="21"/>
                <w:szCs w:val="21"/>
              </w:rPr>
            </w:pPr>
            <w:r>
              <w:rPr>
                <w:rFonts w:hint="eastAsia" w:ascii="Times New Roman"/>
                <w:sz w:val="21"/>
                <w:szCs w:val="21"/>
              </w:rPr>
              <w:t>硫酸</w:t>
            </w:r>
          </w:p>
        </w:tc>
        <w:tc>
          <w:tcPr>
            <w:tcW w:w="832" w:type="pct"/>
            <w:vAlign w:val="center"/>
          </w:tcPr>
          <w:p w14:paraId="6AE39FB7">
            <w:pPr>
              <w:widowControl/>
              <w:adjustRightInd w:val="0"/>
              <w:snapToGrid w:val="0"/>
              <w:spacing w:line="240" w:lineRule="exact"/>
              <w:rPr>
                <w:rFonts w:ascii="Times New Roman"/>
                <w:sz w:val="21"/>
                <w:szCs w:val="21"/>
              </w:rPr>
            </w:pPr>
            <w:r>
              <w:rPr>
                <w:rFonts w:ascii="Times New Roman"/>
                <w:sz w:val="21"/>
                <w:szCs w:val="21"/>
              </w:rPr>
              <w:t>泄漏</w:t>
            </w:r>
          </w:p>
        </w:tc>
        <w:tc>
          <w:tcPr>
            <w:tcW w:w="1192" w:type="pct"/>
            <w:shd w:val="clear" w:color="auto" w:fill="auto"/>
            <w:vAlign w:val="center"/>
          </w:tcPr>
          <w:p w14:paraId="456A3400">
            <w:pPr>
              <w:widowControl/>
              <w:adjustRightInd w:val="0"/>
              <w:snapToGrid w:val="0"/>
              <w:spacing w:line="240" w:lineRule="exact"/>
              <w:rPr>
                <w:rFonts w:ascii="Times New Roman"/>
                <w:sz w:val="21"/>
                <w:szCs w:val="21"/>
              </w:rPr>
            </w:pPr>
            <w:r>
              <w:rPr>
                <w:rFonts w:ascii="Times New Roman"/>
                <w:sz w:val="21"/>
                <w:szCs w:val="21"/>
              </w:rPr>
              <w:t>液体物质，主要是储存桶破损泄漏</w:t>
            </w:r>
          </w:p>
        </w:tc>
        <w:tc>
          <w:tcPr>
            <w:tcW w:w="1035" w:type="pct"/>
            <w:shd w:val="clear" w:color="auto" w:fill="auto"/>
            <w:vAlign w:val="center"/>
          </w:tcPr>
          <w:p w14:paraId="58720CFD">
            <w:pPr>
              <w:widowControl/>
              <w:adjustRightInd w:val="0"/>
              <w:snapToGrid w:val="0"/>
              <w:spacing w:line="240" w:lineRule="exact"/>
              <w:rPr>
                <w:rFonts w:ascii="Times New Roman"/>
                <w:sz w:val="21"/>
                <w:szCs w:val="21"/>
              </w:rPr>
            </w:pPr>
            <w:r>
              <w:rPr>
                <w:rFonts w:ascii="Times New Roman"/>
                <w:sz w:val="21"/>
                <w:szCs w:val="21"/>
              </w:rPr>
              <w:t>未及时收集处理，导致风险物质在储存区、生产使用区及厂区地面溢出，进而污染土壤及地下水</w:t>
            </w:r>
          </w:p>
        </w:tc>
      </w:tr>
      <w:tr w14:paraId="41ED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45" w:type="pct"/>
            <w:vMerge w:val="restart"/>
            <w:vAlign w:val="center"/>
          </w:tcPr>
          <w:p w14:paraId="5298DC5A">
            <w:pPr>
              <w:widowControl/>
              <w:adjustRightInd w:val="0"/>
              <w:snapToGrid w:val="0"/>
              <w:spacing w:line="240" w:lineRule="exact"/>
              <w:rPr>
                <w:rFonts w:ascii="Times New Roman"/>
                <w:sz w:val="21"/>
                <w:szCs w:val="21"/>
              </w:rPr>
            </w:pPr>
            <w:r>
              <w:rPr>
                <w:rFonts w:hint="eastAsia" w:ascii="Times New Roman"/>
                <w:sz w:val="21"/>
                <w:szCs w:val="21"/>
              </w:rPr>
              <w:t>6</w:t>
            </w:r>
          </w:p>
        </w:tc>
        <w:tc>
          <w:tcPr>
            <w:tcW w:w="507" w:type="pct"/>
            <w:vMerge w:val="restart"/>
            <w:vAlign w:val="center"/>
          </w:tcPr>
          <w:p w14:paraId="43E0EE1F">
            <w:pPr>
              <w:widowControl/>
              <w:adjustRightInd w:val="0"/>
              <w:snapToGrid w:val="0"/>
              <w:spacing w:line="240" w:lineRule="exact"/>
              <w:rPr>
                <w:rFonts w:ascii="Times New Roman"/>
                <w:sz w:val="21"/>
                <w:szCs w:val="21"/>
              </w:rPr>
            </w:pPr>
            <w:r>
              <w:rPr>
                <w:rFonts w:ascii="Times New Roman"/>
                <w:sz w:val="21"/>
                <w:szCs w:val="21"/>
              </w:rPr>
              <w:t>危废</w:t>
            </w:r>
            <w:r>
              <w:rPr>
                <w:rFonts w:hint="eastAsia" w:ascii="Times New Roman"/>
                <w:sz w:val="21"/>
                <w:szCs w:val="21"/>
              </w:rPr>
              <w:t>库</w:t>
            </w:r>
          </w:p>
        </w:tc>
        <w:tc>
          <w:tcPr>
            <w:tcW w:w="693" w:type="pct"/>
            <w:vMerge w:val="restart"/>
            <w:vAlign w:val="center"/>
          </w:tcPr>
          <w:p w14:paraId="7B8C7E42">
            <w:pPr>
              <w:widowControl/>
              <w:adjustRightInd w:val="0"/>
              <w:snapToGrid w:val="0"/>
              <w:spacing w:line="240" w:lineRule="exact"/>
              <w:rPr>
                <w:rFonts w:ascii="Times New Roman"/>
                <w:sz w:val="21"/>
                <w:szCs w:val="21"/>
              </w:rPr>
            </w:pPr>
            <w:r>
              <w:rPr>
                <w:rFonts w:ascii="Times New Roman"/>
                <w:sz w:val="21"/>
                <w:szCs w:val="21"/>
              </w:rPr>
              <w:t>储存</w:t>
            </w:r>
          </w:p>
        </w:tc>
        <w:tc>
          <w:tcPr>
            <w:tcW w:w="494" w:type="pct"/>
            <w:vMerge w:val="restart"/>
            <w:vAlign w:val="center"/>
          </w:tcPr>
          <w:p w14:paraId="56566F32">
            <w:pPr>
              <w:widowControl/>
              <w:adjustRightInd w:val="0"/>
              <w:snapToGrid w:val="0"/>
              <w:spacing w:line="240" w:lineRule="exact"/>
              <w:rPr>
                <w:rFonts w:ascii="Times New Roman"/>
                <w:sz w:val="21"/>
                <w:szCs w:val="21"/>
              </w:rPr>
            </w:pPr>
            <w:r>
              <w:rPr>
                <w:rFonts w:ascii="Times New Roman"/>
                <w:sz w:val="21"/>
                <w:szCs w:val="21"/>
              </w:rPr>
              <w:t>废油类物质</w:t>
            </w:r>
          </w:p>
        </w:tc>
        <w:tc>
          <w:tcPr>
            <w:tcW w:w="832" w:type="pct"/>
            <w:vAlign w:val="center"/>
          </w:tcPr>
          <w:p w14:paraId="544F9427">
            <w:pPr>
              <w:widowControl/>
              <w:adjustRightInd w:val="0"/>
              <w:snapToGrid w:val="0"/>
              <w:spacing w:line="240" w:lineRule="exact"/>
              <w:rPr>
                <w:rFonts w:ascii="Times New Roman"/>
                <w:sz w:val="21"/>
                <w:szCs w:val="21"/>
              </w:rPr>
            </w:pPr>
            <w:r>
              <w:rPr>
                <w:rFonts w:ascii="Times New Roman"/>
                <w:sz w:val="21"/>
                <w:szCs w:val="21"/>
              </w:rPr>
              <w:t>泄漏</w:t>
            </w:r>
          </w:p>
        </w:tc>
        <w:tc>
          <w:tcPr>
            <w:tcW w:w="1192" w:type="pct"/>
            <w:vAlign w:val="center"/>
          </w:tcPr>
          <w:p w14:paraId="5BEDDE9E">
            <w:pPr>
              <w:widowControl/>
              <w:adjustRightInd w:val="0"/>
              <w:snapToGrid w:val="0"/>
              <w:spacing w:line="240" w:lineRule="exact"/>
              <w:rPr>
                <w:rFonts w:ascii="Times New Roman"/>
                <w:sz w:val="21"/>
                <w:szCs w:val="21"/>
              </w:rPr>
            </w:pPr>
            <w:r>
              <w:rPr>
                <w:rFonts w:ascii="Times New Roman"/>
                <w:sz w:val="21"/>
                <w:szCs w:val="21"/>
              </w:rPr>
              <w:t>主要是储存装置等破损泄漏</w:t>
            </w:r>
          </w:p>
        </w:tc>
        <w:tc>
          <w:tcPr>
            <w:tcW w:w="1035" w:type="pct"/>
            <w:vAlign w:val="center"/>
          </w:tcPr>
          <w:p w14:paraId="30423A32">
            <w:pPr>
              <w:widowControl/>
              <w:adjustRightInd w:val="0"/>
              <w:snapToGrid w:val="0"/>
              <w:spacing w:line="240" w:lineRule="exact"/>
              <w:rPr>
                <w:rFonts w:ascii="Times New Roman"/>
                <w:sz w:val="21"/>
                <w:szCs w:val="21"/>
              </w:rPr>
            </w:pPr>
            <w:r>
              <w:rPr>
                <w:rFonts w:ascii="Times New Roman"/>
                <w:sz w:val="21"/>
                <w:szCs w:val="21"/>
              </w:rPr>
              <w:t>未及时收集处理可能污染土壤及地下水</w:t>
            </w:r>
          </w:p>
        </w:tc>
      </w:tr>
      <w:tr w14:paraId="773D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Merge w:val="continue"/>
            <w:vAlign w:val="center"/>
          </w:tcPr>
          <w:p w14:paraId="44A26872">
            <w:pPr>
              <w:widowControl/>
              <w:adjustRightInd w:val="0"/>
              <w:snapToGrid w:val="0"/>
              <w:spacing w:line="240" w:lineRule="exact"/>
              <w:rPr>
                <w:rFonts w:ascii="Times New Roman"/>
                <w:sz w:val="21"/>
                <w:szCs w:val="21"/>
              </w:rPr>
            </w:pPr>
          </w:p>
        </w:tc>
        <w:tc>
          <w:tcPr>
            <w:tcW w:w="507" w:type="pct"/>
            <w:vMerge w:val="continue"/>
            <w:vAlign w:val="center"/>
          </w:tcPr>
          <w:p w14:paraId="61F21E71">
            <w:pPr>
              <w:widowControl/>
              <w:adjustRightInd w:val="0"/>
              <w:snapToGrid w:val="0"/>
              <w:spacing w:line="240" w:lineRule="exact"/>
              <w:rPr>
                <w:rFonts w:ascii="Times New Roman"/>
                <w:sz w:val="21"/>
                <w:szCs w:val="21"/>
              </w:rPr>
            </w:pPr>
          </w:p>
        </w:tc>
        <w:tc>
          <w:tcPr>
            <w:tcW w:w="693" w:type="pct"/>
            <w:vMerge w:val="continue"/>
            <w:vAlign w:val="center"/>
          </w:tcPr>
          <w:p w14:paraId="248D068B">
            <w:pPr>
              <w:widowControl/>
              <w:adjustRightInd w:val="0"/>
              <w:snapToGrid w:val="0"/>
              <w:spacing w:line="240" w:lineRule="exact"/>
              <w:rPr>
                <w:rFonts w:ascii="Times New Roman"/>
                <w:sz w:val="21"/>
                <w:szCs w:val="21"/>
              </w:rPr>
            </w:pPr>
          </w:p>
        </w:tc>
        <w:tc>
          <w:tcPr>
            <w:tcW w:w="494" w:type="pct"/>
            <w:vMerge w:val="continue"/>
            <w:vAlign w:val="center"/>
          </w:tcPr>
          <w:p w14:paraId="7671102A">
            <w:pPr>
              <w:widowControl/>
              <w:adjustRightInd w:val="0"/>
              <w:snapToGrid w:val="0"/>
              <w:spacing w:line="240" w:lineRule="exact"/>
              <w:rPr>
                <w:rFonts w:ascii="Times New Roman"/>
                <w:sz w:val="21"/>
                <w:szCs w:val="21"/>
              </w:rPr>
            </w:pPr>
          </w:p>
        </w:tc>
        <w:tc>
          <w:tcPr>
            <w:tcW w:w="832" w:type="pct"/>
            <w:vAlign w:val="center"/>
          </w:tcPr>
          <w:p w14:paraId="2A07271F">
            <w:pPr>
              <w:widowControl/>
              <w:adjustRightInd w:val="0"/>
              <w:snapToGrid w:val="0"/>
              <w:spacing w:line="240" w:lineRule="exact"/>
              <w:rPr>
                <w:rFonts w:ascii="Times New Roman"/>
                <w:sz w:val="21"/>
                <w:szCs w:val="21"/>
              </w:rPr>
            </w:pPr>
            <w:r>
              <w:rPr>
                <w:rFonts w:ascii="Times New Roman"/>
                <w:sz w:val="21"/>
                <w:szCs w:val="21"/>
              </w:rPr>
              <w:t>火灾等引发的伴生/次生污染物排放</w:t>
            </w:r>
          </w:p>
        </w:tc>
        <w:tc>
          <w:tcPr>
            <w:tcW w:w="1192" w:type="pct"/>
            <w:vAlign w:val="center"/>
          </w:tcPr>
          <w:p w14:paraId="5120F518">
            <w:pPr>
              <w:widowControl/>
              <w:adjustRightInd w:val="0"/>
              <w:snapToGrid w:val="0"/>
              <w:spacing w:line="240" w:lineRule="exact"/>
              <w:rPr>
                <w:rFonts w:ascii="Times New Roman"/>
                <w:sz w:val="21"/>
                <w:szCs w:val="21"/>
              </w:rPr>
            </w:pPr>
            <w:r>
              <w:rPr>
                <w:rFonts w:ascii="Times New Roman"/>
                <w:sz w:val="21"/>
                <w:szCs w:val="21"/>
              </w:rPr>
              <w:t>泄漏后遇火源燃烧、爆炸，主要生成CO有害气体，产生洗消废水</w:t>
            </w:r>
          </w:p>
        </w:tc>
        <w:tc>
          <w:tcPr>
            <w:tcW w:w="1035" w:type="pct"/>
            <w:vAlign w:val="center"/>
          </w:tcPr>
          <w:p w14:paraId="4643223D">
            <w:pPr>
              <w:widowControl/>
              <w:adjustRightInd w:val="0"/>
              <w:snapToGrid w:val="0"/>
              <w:spacing w:line="240" w:lineRule="exact"/>
              <w:rPr>
                <w:rFonts w:ascii="Times New Roman"/>
                <w:sz w:val="21"/>
                <w:szCs w:val="21"/>
              </w:rPr>
            </w:pPr>
            <w:r>
              <w:rPr>
                <w:rFonts w:ascii="Times New Roman"/>
                <w:sz w:val="21"/>
                <w:szCs w:val="21"/>
              </w:rPr>
              <w:t>可能影响周边居住区</w:t>
            </w:r>
          </w:p>
        </w:tc>
      </w:tr>
    </w:tbl>
    <w:p w14:paraId="0B3B275B">
      <w:pPr>
        <w:spacing w:line="360" w:lineRule="auto"/>
        <w:outlineLvl w:val="3"/>
        <w:rPr>
          <w:rFonts w:ascii="Times New Roman"/>
          <w:b/>
          <w:sz w:val="24"/>
          <w:szCs w:val="24"/>
        </w:rPr>
      </w:pPr>
      <w:r>
        <w:rPr>
          <w:rFonts w:ascii="Times New Roman"/>
          <w:b/>
          <w:sz w:val="24"/>
          <w:szCs w:val="24"/>
        </w:rPr>
        <w:t>5.2.7.4环境影响分析</w:t>
      </w:r>
    </w:p>
    <w:p w14:paraId="56205F95">
      <w:pPr>
        <w:pStyle w:val="7"/>
        <w:spacing w:line="360" w:lineRule="auto"/>
        <w:rPr>
          <w:rFonts w:hint="default" w:ascii="Times New Roman" w:hAnsi="Times New Roman"/>
          <w:color w:val="auto"/>
        </w:rPr>
      </w:pPr>
      <w:r>
        <w:rPr>
          <w:rFonts w:hint="default" w:ascii="Times New Roman" w:hAnsi="Times New Roman"/>
          <w:color w:val="auto"/>
        </w:rPr>
        <w:t>5.2.7.4.1环境风险物质对大气环境的危害后果</w:t>
      </w:r>
    </w:p>
    <w:p w14:paraId="2F5FD0A0">
      <w:pPr>
        <w:spacing w:line="360" w:lineRule="auto"/>
        <w:ind w:firstLine="480" w:firstLineChars="200"/>
        <w:rPr>
          <w:rFonts w:ascii="Times New Roman"/>
          <w:bCs/>
          <w:snapToGrid w:val="0"/>
          <w:kern w:val="0"/>
          <w:sz w:val="24"/>
          <w:szCs w:val="24"/>
        </w:rPr>
      </w:pPr>
      <w:r>
        <w:rPr>
          <w:rFonts w:ascii="Times New Roman"/>
          <w:sz w:val="24"/>
        </w:rPr>
        <w:t>①天然气</w:t>
      </w:r>
      <w:r>
        <w:rPr>
          <w:rFonts w:hint="eastAsia" w:ascii="Times New Roman"/>
          <w:sz w:val="24"/>
        </w:rPr>
        <w:t>和丙烷</w:t>
      </w:r>
      <w:r>
        <w:rPr>
          <w:rFonts w:ascii="Times New Roman"/>
          <w:bCs/>
          <w:snapToGrid w:val="0"/>
          <w:kern w:val="0"/>
          <w:sz w:val="24"/>
          <w:szCs w:val="24"/>
        </w:rPr>
        <w:t>属易燃物质。厂区设有专门的管理人员、操作人员，对储罐、</w:t>
      </w:r>
      <w:r>
        <w:rPr>
          <w:rFonts w:hint="eastAsia" w:ascii="Times New Roman"/>
          <w:bCs/>
          <w:snapToGrid w:val="0"/>
          <w:kern w:val="0"/>
          <w:sz w:val="24"/>
          <w:szCs w:val="24"/>
        </w:rPr>
        <w:t>气瓶、</w:t>
      </w:r>
      <w:r>
        <w:rPr>
          <w:rFonts w:ascii="Times New Roman"/>
          <w:bCs/>
          <w:snapToGrid w:val="0"/>
          <w:kern w:val="0"/>
          <w:sz w:val="24"/>
          <w:szCs w:val="24"/>
        </w:rPr>
        <w:t>管线、阀门等进行定期检查，及时更换出现问题的管线、阀门，预防跑冒滴漏现象发生。发生泄漏并引起爆炸事故会造成局部大气污染，但具有发生机率小、持续时间短的特性。而且由于项目区块所处地势平坦，一次性事故形成的局部大气污染在一定的气象条件下会逐步自然净化，对周围大气环境的影响很小，不会对附近居住区居民产生明显影响。</w:t>
      </w:r>
    </w:p>
    <w:p w14:paraId="058ACAB1">
      <w:pPr>
        <w:spacing w:line="360" w:lineRule="auto"/>
        <w:ind w:firstLine="480" w:firstLineChars="200"/>
        <w:rPr>
          <w:rFonts w:ascii="Times New Roman"/>
          <w:sz w:val="24"/>
          <w:szCs w:val="22"/>
        </w:rPr>
      </w:pPr>
      <w:r>
        <w:rPr>
          <w:rFonts w:ascii="Times New Roman"/>
          <w:sz w:val="24"/>
        </w:rPr>
        <w:t>②厂区危废间临时暂存有危险废物，厂区设有专门的管理人员、操作人员，对危险物质的暂存情况等进行定期检查，及时更换出现问题的容器，预防跑冒滴漏现象发生，不会对周围大气环境的产生影响，不会对附近居住区居民产生影响。</w:t>
      </w:r>
    </w:p>
    <w:p w14:paraId="1CA5876B">
      <w:pPr>
        <w:spacing w:line="360" w:lineRule="auto"/>
        <w:ind w:firstLine="480" w:firstLineChars="200"/>
        <w:rPr>
          <w:rFonts w:ascii="Times New Roman"/>
          <w:sz w:val="24"/>
          <w:szCs w:val="20"/>
        </w:rPr>
      </w:pPr>
      <w:r>
        <w:rPr>
          <w:rFonts w:ascii="Times New Roman"/>
          <w:sz w:val="24"/>
        </w:rPr>
        <w:t>③项目事故状态下含二甲苯</w:t>
      </w:r>
      <w:r>
        <w:rPr>
          <w:rFonts w:hint="eastAsia" w:ascii="Times New Roman"/>
          <w:sz w:val="24"/>
        </w:rPr>
        <w:t>油漆</w:t>
      </w:r>
      <w:r>
        <w:rPr>
          <w:rFonts w:ascii="Times New Roman"/>
          <w:sz w:val="24"/>
        </w:rPr>
        <w:t>等液体泄漏采用砂石、白灰进行覆盖，泄漏量较大时由泵将其提升至备用储存装置内。厂区设有专门的管理人员、操作人员，对风险物质暂存情况等进行定期检查，及时更换出现问题的容器，预防跑冒滴漏现象发生，不会对周围大气环境的产生影响，不会对附近居住区居民产生影响。</w:t>
      </w:r>
    </w:p>
    <w:p w14:paraId="577650FC">
      <w:pPr>
        <w:pStyle w:val="7"/>
        <w:spacing w:line="360" w:lineRule="auto"/>
        <w:rPr>
          <w:rFonts w:hint="default" w:ascii="Times New Roman" w:hAnsi="Times New Roman"/>
          <w:color w:val="auto"/>
        </w:rPr>
      </w:pPr>
      <w:r>
        <w:rPr>
          <w:rFonts w:hint="default" w:ascii="Times New Roman" w:hAnsi="Times New Roman"/>
          <w:color w:val="auto"/>
        </w:rPr>
        <w:t>5.2.7.4.2环境风险物质对地下水环境的影响</w:t>
      </w:r>
    </w:p>
    <w:p w14:paraId="2788C013">
      <w:pPr>
        <w:spacing w:line="360" w:lineRule="auto"/>
        <w:ind w:firstLine="480" w:firstLineChars="200"/>
        <w:rPr>
          <w:rFonts w:ascii="Times New Roman"/>
          <w:sz w:val="24"/>
          <w:szCs w:val="24"/>
        </w:rPr>
      </w:pPr>
      <w:r>
        <w:rPr>
          <w:rFonts w:hint="eastAsia" w:ascii="Times New Roman"/>
          <w:sz w:val="24"/>
          <w:szCs w:val="24"/>
        </w:rPr>
        <w:t>油漆、稀释剂</w:t>
      </w:r>
      <w:r>
        <w:rPr>
          <w:rFonts w:ascii="Times New Roman"/>
          <w:sz w:val="24"/>
          <w:szCs w:val="24"/>
        </w:rPr>
        <w:t>（含二甲苯）、矿物质油等风险物质均为小桶包装，在生产使用区及储存区泄漏时，泄漏量较小，生产使用区及储存区均设置防腐防渗、防流失措施，不会溢流出生产使用区及储存区，对外界环境产生影响较小。</w:t>
      </w:r>
    </w:p>
    <w:p w14:paraId="1545631F">
      <w:pPr>
        <w:pStyle w:val="7"/>
        <w:spacing w:line="360" w:lineRule="auto"/>
        <w:rPr>
          <w:rFonts w:hint="default" w:ascii="Times New Roman" w:hAnsi="Times New Roman"/>
          <w:color w:val="auto"/>
        </w:rPr>
      </w:pPr>
      <w:r>
        <w:rPr>
          <w:rFonts w:hint="default" w:ascii="Times New Roman" w:hAnsi="Times New Roman"/>
          <w:color w:val="auto"/>
        </w:rPr>
        <w:t>5.2.7.4.3次生及伴生影响</w:t>
      </w:r>
    </w:p>
    <w:p w14:paraId="49911A46">
      <w:pPr>
        <w:snapToGrid w:val="0"/>
        <w:spacing w:line="360" w:lineRule="auto"/>
        <w:ind w:firstLine="480" w:firstLineChars="200"/>
        <w:rPr>
          <w:rFonts w:ascii="Times New Roman"/>
          <w:sz w:val="24"/>
        </w:rPr>
      </w:pPr>
      <w:r>
        <w:rPr>
          <w:rFonts w:ascii="Times New Roman"/>
          <w:bCs/>
          <w:sz w:val="24"/>
        </w:rPr>
        <w:t>火灾事故引起的次生及伴生影响主要体现在火灾过程产生的燃烧产物和灭火过程产生的消防水。</w:t>
      </w:r>
      <w:r>
        <w:rPr>
          <w:rFonts w:ascii="Times New Roman"/>
          <w:sz w:val="24"/>
        </w:rPr>
        <w:t>若遇到明火，引发的火灾事故</w:t>
      </w:r>
      <w:r>
        <w:rPr>
          <w:rFonts w:ascii="Times New Roman"/>
          <w:bCs/>
          <w:sz w:val="24"/>
        </w:rPr>
        <w:t>会产生CO等物质，并伴有烟雾产生。一旦发生事故，建设单位应及时对附近人员进行疏散，应急处理人员穿戴全身专用防护服，佩戴氧气呼吸器对事故进行应急处理，尽量减轻对人员的影响。如产生消防废水，关闭雨水、污水排放口阀门，</w:t>
      </w:r>
      <w:r>
        <w:rPr>
          <w:rFonts w:ascii="Times New Roman"/>
          <w:sz w:val="24"/>
        </w:rPr>
        <w:t>避免消防废水不经处理而直接排放至外环境</w:t>
      </w:r>
      <w:r>
        <w:rPr>
          <w:rFonts w:ascii="Times New Roman"/>
          <w:bCs/>
          <w:sz w:val="24"/>
        </w:rPr>
        <w:t>，不会对周边环境产生明显不利影响</w:t>
      </w:r>
      <w:r>
        <w:rPr>
          <w:rFonts w:ascii="Times New Roman"/>
          <w:sz w:val="24"/>
        </w:rPr>
        <w:t>。</w:t>
      </w:r>
    </w:p>
    <w:p w14:paraId="40FEAC5E">
      <w:pPr>
        <w:spacing w:line="360" w:lineRule="auto"/>
        <w:ind w:firstLine="480" w:firstLineChars="200"/>
        <w:rPr>
          <w:rFonts w:ascii="Times New Roman"/>
          <w:kern w:val="0"/>
          <w:sz w:val="24"/>
          <w:szCs w:val="24"/>
        </w:rPr>
      </w:pPr>
      <w:r>
        <w:rPr>
          <w:rFonts w:ascii="Times New Roman"/>
          <w:kern w:val="0"/>
          <w:sz w:val="24"/>
          <w:szCs w:val="24"/>
        </w:rPr>
        <w:t>本项目实施后，在严格执行防腐防渗等地下水防护措施的前提下，对区域地下水环境的影响可以接受，项目环境风险为可防控水平。</w:t>
      </w:r>
    </w:p>
    <w:p w14:paraId="05E1DEBE">
      <w:pPr>
        <w:spacing w:line="360" w:lineRule="auto"/>
        <w:outlineLvl w:val="3"/>
        <w:rPr>
          <w:rFonts w:ascii="Times New Roman"/>
          <w:b/>
          <w:sz w:val="24"/>
          <w:szCs w:val="24"/>
        </w:rPr>
      </w:pPr>
      <w:r>
        <w:rPr>
          <w:rFonts w:ascii="Times New Roman"/>
          <w:b/>
          <w:sz w:val="24"/>
          <w:szCs w:val="24"/>
        </w:rPr>
        <w:t>5.2.7.5环境风险防范措施及应急要求</w:t>
      </w:r>
    </w:p>
    <w:p w14:paraId="6E9E57E8">
      <w:pPr>
        <w:pStyle w:val="7"/>
        <w:spacing w:line="360" w:lineRule="auto"/>
        <w:rPr>
          <w:rFonts w:hint="default" w:ascii="Times New Roman" w:hAnsi="Times New Roman"/>
          <w:color w:val="auto"/>
        </w:rPr>
      </w:pPr>
      <w:r>
        <w:rPr>
          <w:rFonts w:hint="default" w:ascii="Times New Roman" w:hAnsi="Times New Roman"/>
          <w:color w:val="auto"/>
        </w:rPr>
        <w:t>5.2.7.5.</w:t>
      </w:r>
      <w:r>
        <w:rPr>
          <w:rFonts w:ascii="Times New Roman" w:hAnsi="Times New Roman"/>
          <w:color w:val="auto"/>
        </w:rPr>
        <w:t>1</w:t>
      </w:r>
      <w:r>
        <w:rPr>
          <w:rFonts w:hint="default" w:ascii="Times New Roman" w:hAnsi="Times New Roman"/>
          <w:color w:val="auto"/>
        </w:rPr>
        <w:t>环境风险防范措施</w:t>
      </w:r>
    </w:p>
    <w:p w14:paraId="187A1751">
      <w:pPr>
        <w:autoSpaceDE w:val="0"/>
        <w:autoSpaceDN w:val="0"/>
        <w:adjustRightInd w:val="0"/>
        <w:spacing w:line="360" w:lineRule="auto"/>
        <w:ind w:firstLine="480" w:firstLineChars="200"/>
        <w:rPr>
          <w:rFonts w:ascii="Times New Roman"/>
          <w:kern w:val="0"/>
          <w:sz w:val="24"/>
          <w:szCs w:val="24"/>
        </w:rPr>
      </w:pPr>
      <w:r>
        <w:rPr>
          <w:rFonts w:hint="eastAsia" w:ascii="Times New Roman"/>
          <w:kern w:val="0"/>
          <w:sz w:val="24"/>
          <w:szCs w:val="24"/>
        </w:rPr>
        <w:t>1、</w:t>
      </w:r>
      <w:r>
        <w:rPr>
          <w:rFonts w:ascii="Times New Roman"/>
          <w:kern w:val="0"/>
          <w:sz w:val="24"/>
          <w:szCs w:val="24"/>
        </w:rPr>
        <w:t>总图布置及建筑安全防范措施</w:t>
      </w:r>
    </w:p>
    <w:p w14:paraId="545B0FC1">
      <w:pPr>
        <w:autoSpaceDE w:val="0"/>
        <w:autoSpaceDN w:val="0"/>
        <w:adjustRightInd w:val="0"/>
        <w:spacing w:line="360" w:lineRule="auto"/>
        <w:ind w:firstLine="480" w:firstLineChars="200"/>
        <w:rPr>
          <w:rFonts w:ascii="Times New Roman"/>
          <w:kern w:val="0"/>
          <w:sz w:val="24"/>
          <w:szCs w:val="24"/>
        </w:rPr>
      </w:pPr>
      <w:r>
        <w:rPr>
          <w:rFonts w:ascii="Times New Roman"/>
          <w:kern w:val="0"/>
          <w:sz w:val="24"/>
          <w:szCs w:val="24"/>
        </w:rPr>
        <w:t>总图布置方面严格按照中相关消防要求对厂区总平面布置、厂内道路、工艺装置、工艺管道、储运设施、消防等进行设计施工。生产区平面布置、设备布置和贮存等设计严格执行有关防火、防爆规定，生产装置内部间距以及各建筑物间距严格按《工业企业总平面设计规范》、《中华人民共和国消防法》等法律、法规、标准、规范中规定的防火间距执行。</w:t>
      </w:r>
    </w:p>
    <w:p w14:paraId="013875EE">
      <w:pPr>
        <w:spacing w:line="360" w:lineRule="auto"/>
        <w:ind w:firstLine="480" w:firstLineChars="200"/>
        <w:rPr>
          <w:rFonts w:ascii="Times New Roman"/>
          <w:sz w:val="24"/>
        </w:rPr>
      </w:pPr>
      <w:r>
        <w:rPr>
          <w:rFonts w:hint="eastAsia" w:ascii="Times New Roman"/>
          <w:sz w:val="24"/>
        </w:rPr>
        <w:t>2、天然气管道和丙烷泄漏、火灾爆炸事故风险防范措施</w:t>
      </w:r>
    </w:p>
    <w:p w14:paraId="7E9829A5">
      <w:pPr>
        <w:spacing w:line="360" w:lineRule="auto"/>
        <w:ind w:firstLine="480" w:firstLineChars="200"/>
        <w:rPr>
          <w:rFonts w:ascii="Times New Roman"/>
          <w:sz w:val="24"/>
        </w:rPr>
      </w:pPr>
      <w:r>
        <w:rPr>
          <w:rFonts w:hint="eastAsia" w:ascii="Times New Roman"/>
          <w:sz w:val="24"/>
        </w:rPr>
        <w:t>（1）防范措施及监控要求</w:t>
      </w:r>
    </w:p>
    <w:p w14:paraId="5DE0C15F">
      <w:pPr>
        <w:spacing w:line="360" w:lineRule="auto"/>
        <w:ind w:firstLine="480" w:firstLineChars="200"/>
        <w:rPr>
          <w:rFonts w:ascii="Times New Roman"/>
          <w:sz w:val="24"/>
        </w:rPr>
      </w:pPr>
      <w:r>
        <w:rPr>
          <w:rFonts w:ascii="Times New Roman"/>
          <w:sz w:val="24"/>
        </w:rPr>
        <w:t>①施工及检修等过程中，应在施工区设置围挡，严禁动火，如确需采取焊接等动火工艺的，应向公司总经理请示，经总经理批准、并将其他装卸工作停止后，方可施工；施工过程中，远离物料输送管线、廊道等设施，防止发生连锁风险事故。</w:t>
      </w:r>
    </w:p>
    <w:p w14:paraId="17D0BA77">
      <w:pPr>
        <w:spacing w:line="360" w:lineRule="auto"/>
        <w:ind w:firstLine="480" w:firstLineChars="200"/>
        <w:rPr>
          <w:rFonts w:ascii="Times New Roman"/>
          <w:sz w:val="24"/>
        </w:rPr>
      </w:pPr>
      <w:r>
        <w:rPr>
          <w:rFonts w:ascii="Times New Roman"/>
          <w:sz w:val="24"/>
        </w:rPr>
        <w:t>②设置专人专岗，定期检查</w:t>
      </w:r>
      <w:r>
        <w:rPr>
          <w:rFonts w:hint="eastAsia" w:ascii="Times New Roman"/>
          <w:sz w:val="24"/>
        </w:rPr>
        <w:t>气瓶</w:t>
      </w:r>
      <w:r>
        <w:rPr>
          <w:rFonts w:ascii="Times New Roman"/>
          <w:sz w:val="24"/>
        </w:rPr>
        <w:t>及管道的完好性，阀门、法兰及焊接口的密闭性；严格执行国家有关防火防爆的规定，设备之间保证有足够的安全距离，并要求设计消防通道；</w:t>
      </w:r>
      <w:r>
        <w:rPr>
          <w:rFonts w:hint="eastAsia" w:ascii="Times New Roman"/>
          <w:sz w:val="24"/>
        </w:rPr>
        <w:t>气瓶</w:t>
      </w:r>
      <w:r>
        <w:rPr>
          <w:rFonts w:ascii="Times New Roman"/>
          <w:sz w:val="24"/>
        </w:rPr>
        <w:t>区张贴有“严禁明火”“严禁火源”等告示语，禁止出现一切着火源；厂区配备相应品种和数量的消防器材。</w:t>
      </w:r>
    </w:p>
    <w:p w14:paraId="5BE64B07">
      <w:pPr>
        <w:spacing w:line="360" w:lineRule="auto"/>
        <w:ind w:firstLine="480" w:firstLineChars="200"/>
        <w:rPr>
          <w:rFonts w:ascii="Times New Roman"/>
          <w:sz w:val="24"/>
        </w:rPr>
      </w:pPr>
      <w:r>
        <w:rPr>
          <w:rFonts w:hint="eastAsia" w:ascii="Times New Roman"/>
          <w:sz w:val="24"/>
        </w:rPr>
        <w:t>（2）减缓措施</w:t>
      </w:r>
    </w:p>
    <w:p w14:paraId="1024EEEF">
      <w:pPr>
        <w:spacing w:line="360" w:lineRule="auto"/>
        <w:ind w:firstLine="480" w:firstLineChars="200"/>
        <w:rPr>
          <w:rFonts w:ascii="Times New Roman"/>
          <w:sz w:val="24"/>
        </w:rPr>
      </w:pPr>
      <w:r>
        <w:rPr>
          <w:rFonts w:ascii="Times New Roman"/>
          <w:sz w:val="24"/>
        </w:rPr>
        <w:t>①泄漏事故</w:t>
      </w:r>
    </w:p>
    <w:p w14:paraId="64401230">
      <w:pPr>
        <w:spacing w:line="360" w:lineRule="auto"/>
        <w:ind w:firstLine="480" w:firstLineChars="200"/>
        <w:rPr>
          <w:rFonts w:ascii="Times New Roman"/>
          <w:sz w:val="24"/>
        </w:rPr>
      </w:pPr>
      <w:r>
        <w:rPr>
          <w:rFonts w:ascii="Times New Roman"/>
          <w:sz w:val="24"/>
        </w:rPr>
        <w:t>若</w:t>
      </w:r>
      <w:r>
        <w:rPr>
          <w:rFonts w:hint="eastAsia" w:ascii="Times New Roman"/>
          <w:sz w:val="24"/>
        </w:rPr>
        <w:t>气瓶</w:t>
      </w:r>
      <w:r>
        <w:rPr>
          <w:rFonts w:ascii="Times New Roman"/>
          <w:sz w:val="24"/>
        </w:rPr>
        <w:t>破裂，低温液体流出导致外罐壁冻裂，</w:t>
      </w:r>
      <w:r>
        <w:rPr>
          <w:rFonts w:hint="eastAsia" w:ascii="Times New Roman"/>
          <w:sz w:val="24"/>
        </w:rPr>
        <w:t>丙烷</w:t>
      </w:r>
      <w:r>
        <w:rPr>
          <w:rFonts w:ascii="Times New Roman"/>
          <w:sz w:val="24"/>
        </w:rPr>
        <w:t>溢出：1）立即关闭</w:t>
      </w:r>
      <w:r>
        <w:rPr>
          <w:rFonts w:hint="eastAsia" w:ascii="Times New Roman"/>
          <w:sz w:val="24"/>
        </w:rPr>
        <w:t>气瓶</w:t>
      </w:r>
      <w:r>
        <w:rPr>
          <w:rFonts w:ascii="Times New Roman"/>
          <w:sz w:val="24"/>
        </w:rPr>
        <w:t>进出口阀门；2）通过沙袋、防液堤、地形或其他方式把溢出的引到安全地方，防止流入污水管网；3）使用高倍数泡沫覆盖，减缓挥发速度；4）若</w:t>
      </w:r>
      <w:r>
        <w:rPr>
          <w:rFonts w:hint="eastAsia" w:ascii="Times New Roman"/>
          <w:sz w:val="24"/>
        </w:rPr>
        <w:t>瓶</w:t>
      </w:r>
      <w:r>
        <w:rPr>
          <w:rFonts w:ascii="Times New Roman"/>
          <w:sz w:val="24"/>
        </w:rPr>
        <w:t>体有异常响声，判断</w:t>
      </w:r>
      <w:r>
        <w:rPr>
          <w:rFonts w:hint="eastAsia" w:ascii="Times New Roman"/>
          <w:sz w:val="24"/>
        </w:rPr>
        <w:t>气瓶</w:t>
      </w:r>
      <w:r>
        <w:rPr>
          <w:rFonts w:ascii="Times New Roman"/>
          <w:sz w:val="24"/>
        </w:rPr>
        <w:t>可能发生爆炸时，应迅速组织人员撤离现场。</w:t>
      </w:r>
    </w:p>
    <w:p w14:paraId="661CEA00">
      <w:pPr>
        <w:spacing w:line="360" w:lineRule="auto"/>
        <w:ind w:firstLine="480" w:firstLineChars="200"/>
        <w:rPr>
          <w:rFonts w:ascii="Times New Roman"/>
          <w:sz w:val="24"/>
        </w:rPr>
      </w:pPr>
      <w:r>
        <w:rPr>
          <w:rFonts w:ascii="Times New Roman"/>
          <w:sz w:val="24"/>
        </w:rPr>
        <w:t>若管道、阀门、法兰等发生泄漏：1）查清泄漏部位，关闭上游阀门或两侧阀门；2）将管道内的残余气体放散；3）利用抢修器材和工具迅速抢修破损处；4）少量泄漏可用胶泥、石棉等物料封堵，也可用抱箍夹紧。法兰泄漏时，应采用无火花工具紧固螺栓；若因垫圈老化导致泄漏，应用专用法兰夹具堵漏，并在螺栓预留孔高压注射封胶堵漏。</w:t>
      </w:r>
    </w:p>
    <w:p w14:paraId="2423A1E7">
      <w:pPr>
        <w:spacing w:line="360" w:lineRule="auto"/>
        <w:ind w:firstLine="480" w:firstLineChars="200"/>
        <w:rPr>
          <w:rFonts w:ascii="Times New Roman"/>
          <w:sz w:val="24"/>
        </w:rPr>
      </w:pPr>
      <w:r>
        <w:rPr>
          <w:rFonts w:ascii="Times New Roman"/>
          <w:sz w:val="24"/>
        </w:rPr>
        <w:t>②火灾、爆炸事故</w:t>
      </w:r>
    </w:p>
    <w:p w14:paraId="6DD1C6FC">
      <w:pPr>
        <w:spacing w:line="360" w:lineRule="auto"/>
        <w:ind w:firstLine="480" w:firstLineChars="200"/>
        <w:rPr>
          <w:rFonts w:ascii="Times New Roman"/>
          <w:sz w:val="24"/>
        </w:rPr>
      </w:pPr>
      <w:r>
        <w:rPr>
          <w:rFonts w:hint="eastAsia" w:ascii="Times New Roman"/>
          <w:sz w:val="24"/>
        </w:rPr>
        <w:t>气瓶</w:t>
      </w:r>
      <w:r>
        <w:rPr>
          <w:rFonts w:ascii="Times New Roman"/>
          <w:sz w:val="24"/>
        </w:rPr>
        <w:t>着火：1）立即切断或关闭泄漏源；2）采用灭火器进行灭火，严禁用水灭火；3）随时监测爆炸浓度及范围，设置警戒范围，禁止周围一切车辆和行人通行，禁止一切明火；4）组织与抢险无关的人员向安全地点（上风方向）撤离；5）待火被灭后及时有组织地进行现场抢修。</w:t>
      </w:r>
    </w:p>
    <w:p w14:paraId="5292C6A2">
      <w:pPr>
        <w:spacing w:line="360" w:lineRule="auto"/>
        <w:ind w:firstLine="480" w:firstLineChars="200"/>
        <w:rPr>
          <w:rFonts w:ascii="Times New Roman"/>
          <w:sz w:val="24"/>
        </w:rPr>
      </w:pPr>
      <w:r>
        <w:rPr>
          <w:rFonts w:ascii="Times New Roman"/>
          <w:sz w:val="24"/>
        </w:rPr>
        <w:t>管道着火：1）迅速关闭管道泄漏两端的阀门，控制火势；2）切断事故现场电源，关闭常用通讯工具，迅速扑灭各种明火，灭绝一切可能引发火灾和爆炸的火种。</w:t>
      </w:r>
    </w:p>
    <w:p w14:paraId="7C1743F8">
      <w:pPr>
        <w:spacing w:line="360" w:lineRule="auto"/>
        <w:ind w:firstLine="480" w:firstLineChars="200"/>
        <w:rPr>
          <w:rFonts w:ascii="Times New Roman"/>
          <w:sz w:val="24"/>
        </w:rPr>
      </w:pPr>
      <w:r>
        <w:rPr>
          <w:rFonts w:ascii="Times New Roman"/>
          <w:sz w:val="24"/>
        </w:rPr>
        <w:t>若火灾、爆炸形势严峻，现场人员或其他人员应该立刻拨打火警电话 119 并立即通知有关人员停止作业，切断所有电源，组织人员和其他易燃物品的疏散，并利用就近的消防器材将火苗扑灭，但不可用水救火。当火灾进入发展阶段、猛烈阶段，无法依靠厂内力量解决，应由消防队来组织灭火，现场人员在确保安全的情况下不可逃离现场，应和消防人员配合，做好灭火工作。</w:t>
      </w:r>
    </w:p>
    <w:p w14:paraId="6260B3FD">
      <w:pPr>
        <w:spacing w:line="360" w:lineRule="auto"/>
        <w:ind w:firstLine="480" w:firstLineChars="200"/>
        <w:rPr>
          <w:rFonts w:ascii="Times New Roman"/>
          <w:sz w:val="24"/>
        </w:rPr>
      </w:pPr>
      <w:r>
        <w:rPr>
          <w:rFonts w:hint="eastAsia" w:ascii="Times New Roman"/>
          <w:sz w:val="24"/>
        </w:rPr>
        <w:t>3、危化库液体物料泄漏、火灾事故风险防范措施</w:t>
      </w:r>
    </w:p>
    <w:p w14:paraId="6C52FEB7">
      <w:pPr>
        <w:spacing w:line="360" w:lineRule="auto"/>
        <w:ind w:firstLine="480" w:firstLineChars="200"/>
        <w:rPr>
          <w:rFonts w:ascii="Times New Roman"/>
          <w:sz w:val="24"/>
        </w:rPr>
      </w:pPr>
      <w:r>
        <w:rPr>
          <w:rFonts w:ascii="Times New Roman"/>
          <w:sz w:val="24"/>
        </w:rPr>
        <w:t>（1）防范措施及监控要求</w:t>
      </w:r>
    </w:p>
    <w:p w14:paraId="1E9F6043">
      <w:pPr>
        <w:spacing w:line="360" w:lineRule="auto"/>
        <w:ind w:firstLine="480" w:firstLineChars="200"/>
        <w:rPr>
          <w:rFonts w:ascii="Times New Roman"/>
          <w:sz w:val="24"/>
        </w:rPr>
      </w:pPr>
      <w:r>
        <w:rPr>
          <w:rFonts w:ascii="Times New Roman"/>
          <w:sz w:val="24"/>
        </w:rPr>
        <w:t>各储存设备及储存方式符合国家标准要求，设置明显的标志，由专人管理，并定期检查。对存在安全问题的提出整改方案，合理控制各种液体物料的储存量。</w:t>
      </w:r>
    </w:p>
    <w:p w14:paraId="754B298A">
      <w:pPr>
        <w:spacing w:line="360" w:lineRule="auto"/>
        <w:ind w:firstLine="480" w:firstLineChars="200"/>
        <w:rPr>
          <w:rFonts w:ascii="Times New Roman"/>
          <w:sz w:val="24"/>
        </w:rPr>
      </w:pPr>
      <w:r>
        <w:rPr>
          <w:rFonts w:hint="eastAsia" w:ascii="Times New Roman"/>
          <w:sz w:val="24"/>
        </w:rPr>
        <w:t>危化库</w:t>
      </w:r>
      <w:r>
        <w:rPr>
          <w:rFonts w:ascii="Times New Roman"/>
          <w:sz w:val="24"/>
        </w:rPr>
        <w:t>液体原料存放间应设置备用容器，备用容器体积不小于最大单桶原料的包装桶体积。</w:t>
      </w:r>
    </w:p>
    <w:p w14:paraId="081F3162">
      <w:pPr>
        <w:spacing w:line="360" w:lineRule="auto"/>
        <w:ind w:firstLine="480" w:firstLineChars="200"/>
        <w:rPr>
          <w:rFonts w:ascii="Times New Roman"/>
          <w:sz w:val="24"/>
        </w:rPr>
      </w:pPr>
      <w:r>
        <w:rPr>
          <w:rFonts w:ascii="Times New Roman"/>
          <w:sz w:val="24"/>
        </w:rPr>
        <w:t>库房四周设置围堰、导流槽等，并设置了备用容器和风险物质收集设施，以保证事故情况下泄漏液体能迅速回收入备用容器，减轻环境污染。</w:t>
      </w:r>
    </w:p>
    <w:p w14:paraId="27BAFE50">
      <w:pPr>
        <w:spacing w:line="360" w:lineRule="auto"/>
        <w:ind w:firstLine="480" w:firstLineChars="200"/>
        <w:rPr>
          <w:rFonts w:ascii="Times New Roman"/>
          <w:sz w:val="24"/>
        </w:rPr>
      </w:pPr>
      <w:r>
        <w:rPr>
          <w:rFonts w:ascii="Times New Roman"/>
          <w:sz w:val="24"/>
        </w:rPr>
        <w:t>（2）减缓措施</w:t>
      </w:r>
    </w:p>
    <w:p w14:paraId="616BFB81">
      <w:pPr>
        <w:spacing w:line="360" w:lineRule="auto"/>
        <w:ind w:firstLine="480" w:firstLineChars="200"/>
        <w:rPr>
          <w:rFonts w:ascii="Times New Roman"/>
          <w:sz w:val="24"/>
        </w:rPr>
      </w:pPr>
      <w:r>
        <w:rPr>
          <w:rFonts w:ascii="Times New Roman"/>
          <w:sz w:val="24"/>
        </w:rPr>
        <w:t>①泄漏事故</w:t>
      </w:r>
    </w:p>
    <w:p w14:paraId="509CE6EB">
      <w:pPr>
        <w:spacing w:line="360" w:lineRule="auto"/>
        <w:ind w:firstLine="480" w:firstLineChars="200"/>
        <w:rPr>
          <w:rFonts w:ascii="Times New Roman"/>
          <w:sz w:val="24"/>
        </w:rPr>
      </w:pPr>
      <w:r>
        <w:rPr>
          <w:rFonts w:ascii="Times New Roman"/>
          <w:sz w:val="24"/>
        </w:rPr>
        <w:t>巡检人员发现</w:t>
      </w:r>
      <w:r>
        <w:rPr>
          <w:rFonts w:hint="eastAsia" w:ascii="Times New Roman"/>
          <w:sz w:val="24"/>
        </w:rPr>
        <w:t>危化库</w:t>
      </w:r>
      <w:r>
        <w:rPr>
          <w:rFonts w:ascii="Times New Roman"/>
          <w:sz w:val="24"/>
        </w:rPr>
        <w:t>盛装</w:t>
      </w:r>
      <w:r>
        <w:rPr>
          <w:rFonts w:hint="eastAsia" w:ascii="Times New Roman"/>
          <w:sz w:val="24"/>
        </w:rPr>
        <w:t>液体物料</w:t>
      </w:r>
      <w:r>
        <w:rPr>
          <w:rFonts w:ascii="Times New Roman"/>
          <w:sz w:val="24"/>
        </w:rPr>
        <w:t>的容器损坏后及时报告，佩戴防护用品，将危险废物转移至备用容器内，暂存于危废间，将事故控制在</w:t>
      </w:r>
      <w:r>
        <w:rPr>
          <w:rFonts w:hint="eastAsia" w:ascii="Times New Roman"/>
          <w:sz w:val="24"/>
        </w:rPr>
        <w:t>危化库</w:t>
      </w:r>
      <w:r>
        <w:rPr>
          <w:rFonts w:ascii="Times New Roman"/>
          <w:sz w:val="24"/>
        </w:rPr>
        <w:t>内；</w:t>
      </w:r>
    </w:p>
    <w:p w14:paraId="25DE7886">
      <w:pPr>
        <w:spacing w:line="360" w:lineRule="auto"/>
        <w:ind w:firstLine="480" w:firstLineChars="200"/>
        <w:rPr>
          <w:rFonts w:ascii="Times New Roman"/>
          <w:sz w:val="24"/>
        </w:rPr>
      </w:pPr>
      <w:r>
        <w:rPr>
          <w:rFonts w:ascii="Times New Roman"/>
          <w:sz w:val="24"/>
        </w:rPr>
        <w:t>遗撒的</w:t>
      </w:r>
      <w:r>
        <w:rPr>
          <w:rFonts w:hint="eastAsia" w:ascii="Times New Roman"/>
          <w:sz w:val="24"/>
        </w:rPr>
        <w:t>液体物料</w:t>
      </w:r>
      <w:r>
        <w:rPr>
          <w:rFonts w:ascii="Times New Roman"/>
          <w:sz w:val="24"/>
        </w:rPr>
        <w:t>由贮存容器下方托盘进行收集，并使用干燥沙土、锯末等吸附材料对地面遗留的</w:t>
      </w:r>
      <w:r>
        <w:rPr>
          <w:rFonts w:hint="eastAsia" w:ascii="Times New Roman"/>
          <w:sz w:val="24"/>
        </w:rPr>
        <w:t>液体物料</w:t>
      </w:r>
      <w:r>
        <w:rPr>
          <w:rFonts w:ascii="Times New Roman"/>
          <w:sz w:val="24"/>
        </w:rPr>
        <w:t>进行收集，现场处置过程产生的废锯末、废沙土均运至</w:t>
      </w:r>
      <w:r>
        <w:rPr>
          <w:rFonts w:hint="eastAsia" w:ascii="Times New Roman"/>
          <w:sz w:val="24"/>
        </w:rPr>
        <w:t>危化库</w:t>
      </w:r>
      <w:r>
        <w:rPr>
          <w:rFonts w:ascii="Times New Roman"/>
          <w:sz w:val="24"/>
        </w:rPr>
        <w:t>暂存，处置过程不得用水冲洗，防止污染区域扩大。</w:t>
      </w:r>
    </w:p>
    <w:p w14:paraId="0D259327">
      <w:pPr>
        <w:spacing w:line="360" w:lineRule="auto"/>
        <w:ind w:firstLine="480" w:firstLineChars="200"/>
        <w:rPr>
          <w:rFonts w:ascii="Times New Roman"/>
          <w:sz w:val="24"/>
        </w:rPr>
      </w:pPr>
      <w:r>
        <w:rPr>
          <w:rFonts w:ascii="Times New Roman"/>
          <w:sz w:val="24"/>
        </w:rPr>
        <w:t>②火灾事故</w:t>
      </w:r>
    </w:p>
    <w:p w14:paraId="46B94348">
      <w:pPr>
        <w:spacing w:line="360" w:lineRule="auto"/>
        <w:ind w:firstLine="480" w:firstLineChars="200"/>
        <w:rPr>
          <w:rFonts w:ascii="Times New Roman"/>
          <w:sz w:val="24"/>
        </w:rPr>
      </w:pPr>
      <w:r>
        <w:rPr>
          <w:rFonts w:ascii="Times New Roman"/>
          <w:sz w:val="24"/>
        </w:rPr>
        <w:t>一旦发生火灾事故，应立即组织厂内员工用干燥沙土、灭火器对着火点进行灭火，如火势较大不能控制时先行撤离着火点，请求厂区外部支援；</w:t>
      </w:r>
    </w:p>
    <w:p w14:paraId="014BFC5E">
      <w:pPr>
        <w:spacing w:line="360" w:lineRule="auto"/>
        <w:ind w:firstLine="480" w:firstLineChars="200"/>
        <w:rPr>
          <w:rFonts w:ascii="Times New Roman"/>
          <w:sz w:val="24"/>
        </w:rPr>
      </w:pPr>
      <w:r>
        <w:rPr>
          <w:rFonts w:ascii="Times New Roman"/>
          <w:sz w:val="24"/>
        </w:rPr>
        <w:t>迅速撤离污染区人员至安全区，并进行隔离，严格限制出入；厂区明火熄灭后，立即对着火点附近区域进行冷却，避免温度过高，造成复燃。</w:t>
      </w:r>
    </w:p>
    <w:p w14:paraId="6104FEC3">
      <w:pPr>
        <w:spacing w:line="360" w:lineRule="auto"/>
        <w:ind w:firstLine="480" w:firstLineChars="200"/>
        <w:rPr>
          <w:rFonts w:ascii="Times New Roman"/>
          <w:sz w:val="24"/>
        </w:rPr>
      </w:pPr>
      <w:r>
        <w:rPr>
          <w:rFonts w:hint="eastAsia" w:ascii="Times New Roman"/>
          <w:sz w:val="24"/>
        </w:rPr>
        <w:t>4、危废库泄漏、火灾事故风险防范措施</w:t>
      </w:r>
    </w:p>
    <w:p w14:paraId="05ED6044">
      <w:pPr>
        <w:spacing w:line="360" w:lineRule="auto"/>
        <w:ind w:firstLine="480" w:firstLineChars="200"/>
        <w:rPr>
          <w:rFonts w:ascii="Times New Roman"/>
          <w:sz w:val="24"/>
        </w:rPr>
      </w:pPr>
      <w:r>
        <w:rPr>
          <w:rFonts w:ascii="Times New Roman"/>
          <w:sz w:val="24"/>
        </w:rPr>
        <w:t>（1）防范措施及监控要求</w:t>
      </w:r>
    </w:p>
    <w:p w14:paraId="5D4246FC">
      <w:pPr>
        <w:spacing w:line="360" w:lineRule="auto"/>
        <w:ind w:firstLine="480" w:firstLineChars="200"/>
        <w:rPr>
          <w:rFonts w:ascii="Times New Roman"/>
          <w:sz w:val="24"/>
        </w:rPr>
      </w:pPr>
      <w:r>
        <w:rPr>
          <w:rFonts w:ascii="Times New Roman"/>
          <w:sz w:val="24"/>
        </w:rPr>
        <w:t>①废</w:t>
      </w:r>
      <w:r>
        <w:rPr>
          <w:rFonts w:hint="eastAsia" w:ascii="Times New Roman"/>
          <w:sz w:val="24"/>
        </w:rPr>
        <w:t>油类物质</w:t>
      </w:r>
      <w:r>
        <w:rPr>
          <w:rFonts w:ascii="Times New Roman"/>
          <w:sz w:val="24"/>
        </w:rPr>
        <w:t>采用耐腐蚀容器加盖存储，危废</w:t>
      </w:r>
      <w:r>
        <w:rPr>
          <w:rFonts w:hint="eastAsia" w:ascii="Times New Roman"/>
          <w:sz w:val="24"/>
        </w:rPr>
        <w:t>库</w:t>
      </w:r>
      <w:r>
        <w:rPr>
          <w:rFonts w:ascii="Times New Roman"/>
          <w:sz w:val="24"/>
        </w:rPr>
        <w:t>地面采用15cm抗渗混凝土浇筑，设有堵截泄漏的裙脚及分区，地面与墙面四周涂抹环氧树脂，符合《危险废物贮存污染控制标准》（GB18597-2023）要求。</w:t>
      </w:r>
    </w:p>
    <w:p w14:paraId="34BCC389">
      <w:pPr>
        <w:spacing w:line="360" w:lineRule="auto"/>
        <w:ind w:firstLine="480" w:firstLineChars="200"/>
        <w:rPr>
          <w:rFonts w:ascii="Times New Roman"/>
          <w:sz w:val="24"/>
        </w:rPr>
      </w:pPr>
      <w:r>
        <w:rPr>
          <w:rFonts w:ascii="Times New Roman"/>
          <w:sz w:val="24"/>
        </w:rPr>
        <w:t>②设置专人专岗，定期检查危废</w:t>
      </w:r>
      <w:r>
        <w:rPr>
          <w:rFonts w:hint="eastAsia" w:ascii="Times New Roman"/>
          <w:sz w:val="24"/>
        </w:rPr>
        <w:t>库</w:t>
      </w:r>
      <w:r>
        <w:rPr>
          <w:rFonts w:ascii="Times New Roman"/>
          <w:sz w:val="24"/>
        </w:rPr>
        <w:t>防渗措施；严格执行国家有关防火防爆的规定，张贴有“严禁明火”、“严禁火源”、危废标识等告示，禁止出现一切着火源；危废间区域配备相应品种和数量的消防器材。</w:t>
      </w:r>
    </w:p>
    <w:p w14:paraId="2238F9AD">
      <w:pPr>
        <w:spacing w:line="360" w:lineRule="auto"/>
        <w:ind w:firstLine="480" w:firstLineChars="200"/>
        <w:rPr>
          <w:rFonts w:ascii="Times New Roman"/>
          <w:sz w:val="24"/>
        </w:rPr>
      </w:pPr>
      <w:r>
        <w:rPr>
          <w:rFonts w:ascii="Times New Roman"/>
          <w:sz w:val="24"/>
        </w:rPr>
        <w:t>（2）减缓措施</w:t>
      </w:r>
    </w:p>
    <w:p w14:paraId="057DE755">
      <w:pPr>
        <w:spacing w:line="360" w:lineRule="auto"/>
        <w:ind w:firstLine="480" w:firstLineChars="200"/>
        <w:rPr>
          <w:rFonts w:ascii="Times New Roman"/>
          <w:sz w:val="24"/>
        </w:rPr>
      </w:pPr>
      <w:r>
        <w:rPr>
          <w:rFonts w:ascii="Times New Roman"/>
          <w:sz w:val="24"/>
        </w:rPr>
        <w:t>①泄漏事故</w:t>
      </w:r>
    </w:p>
    <w:p w14:paraId="746D75C8">
      <w:pPr>
        <w:spacing w:line="360" w:lineRule="auto"/>
        <w:ind w:firstLine="480" w:firstLineChars="200"/>
        <w:rPr>
          <w:rFonts w:ascii="Times New Roman"/>
          <w:sz w:val="24"/>
        </w:rPr>
      </w:pPr>
      <w:r>
        <w:rPr>
          <w:rFonts w:ascii="Times New Roman"/>
          <w:sz w:val="24"/>
        </w:rPr>
        <w:t>巡检人员发现危废</w:t>
      </w:r>
      <w:r>
        <w:rPr>
          <w:rFonts w:hint="eastAsia" w:ascii="Times New Roman"/>
          <w:sz w:val="24"/>
        </w:rPr>
        <w:t>库</w:t>
      </w:r>
      <w:r>
        <w:rPr>
          <w:rFonts w:ascii="Times New Roman"/>
          <w:sz w:val="24"/>
        </w:rPr>
        <w:t>盛装废</w:t>
      </w:r>
      <w:r>
        <w:rPr>
          <w:rFonts w:hint="eastAsia" w:ascii="Times New Roman"/>
          <w:sz w:val="24"/>
        </w:rPr>
        <w:t>油类物质</w:t>
      </w:r>
      <w:r>
        <w:rPr>
          <w:rFonts w:ascii="Times New Roman"/>
          <w:sz w:val="24"/>
        </w:rPr>
        <w:t>的容器损坏后及时报告，佩戴防护用品，将危险废物转移至备用容器内，暂存于危废</w:t>
      </w:r>
      <w:r>
        <w:rPr>
          <w:rFonts w:hint="eastAsia" w:ascii="Times New Roman"/>
          <w:sz w:val="24"/>
        </w:rPr>
        <w:t>库</w:t>
      </w:r>
      <w:r>
        <w:rPr>
          <w:rFonts w:ascii="Times New Roman"/>
          <w:sz w:val="24"/>
        </w:rPr>
        <w:t>，将事故控制在危废</w:t>
      </w:r>
      <w:r>
        <w:rPr>
          <w:rFonts w:hint="eastAsia" w:ascii="Times New Roman"/>
          <w:sz w:val="24"/>
        </w:rPr>
        <w:t>库</w:t>
      </w:r>
      <w:r>
        <w:rPr>
          <w:rFonts w:ascii="Times New Roman"/>
          <w:sz w:val="24"/>
        </w:rPr>
        <w:t>内；</w:t>
      </w:r>
    </w:p>
    <w:p w14:paraId="4CE50B1E">
      <w:pPr>
        <w:spacing w:line="360" w:lineRule="auto"/>
        <w:ind w:firstLine="480" w:firstLineChars="200"/>
        <w:rPr>
          <w:rFonts w:ascii="Times New Roman"/>
          <w:sz w:val="24"/>
        </w:rPr>
      </w:pPr>
      <w:r>
        <w:rPr>
          <w:rFonts w:ascii="Times New Roman"/>
          <w:sz w:val="24"/>
        </w:rPr>
        <w:t>遗撒的废</w:t>
      </w:r>
      <w:r>
        <w:rPr>
          <w:rFonts w:hint="eastAsia" w:ascii="Times New Roman"/>
          <w:sz w:val="24"/>
        </w:rPr>
        <w:t>油类物质</w:t>
      </w:r>
      <w:r>
        <w:rPr>
          <w:rFonts w:ascii="Times New Roman"/>
          <w:sz w:val="24"/>
        </w:rPr>
        <w:t>由贮存容器下方托盘进行收集，并使用干燥沙土、锯末等吸附材料对地面遗留的废</w:t>
      </w:r>
      <w:r>
        <w:rPr>
          <w:rFonts w:hint="eastAsia" w:ascii="Times New Roman"/>
          <w:sz w:val="24"/>
        </w:rPr>
        <w:t>油类物质</w:t>
      </w:r>
      <w:r>
        <w:rPr>
          <w:rFonts w:ascii="Times New Roman"/>
          <w:sz w:val="24"/>
        </w:rPr>
        <w:t>进行收集，现场处置过程产生的废锯末、废沙土均运至危废</w:t>
      </w:r>
      <w:r>
        <w:rPr>
          <w:rFonts w:hint="eastAsia" w:ascii="Times New Roman"/>
          <w:sz w:val="24"/>
        </w:rPr>
        <w:t>库</w:t>
      </w:r>
      <w:r>
        <w:rPr>
          <w:rFonts w:ascii="Times New Roman"/>
          <w:sz w:val="24"/>
        </w:rPr>
        <w:t>暂存，处置过程不得用水冲洗，防止污染区域扩大。</w:t>
      </w:r>
    </w:p>
    <w:p w14:paraId="0AB18B50">
      <w:pPr>
        <w:spacing w:line="360" w:lineRule="auto"/>
        <w:ind w:firstLine="480" w:firstLineChars="200"/>
        <w:rPr>
          <w:rFonts w:ascii="Times New Roman"/>
          <w:sz w:val="24"/>
        </w:rPr>
      </w:pPr>
      <w:r>
        <w:rPr>
          <w:rFonts w:ascii="Times New Roman"/>
          <w:sz w:val="24"/>
        </w:rPr>
        <w:t>②火灾事故</w:t>
      </w:r>
    </w:p>
    <w:p w14:paraId="50FB3820">
      <w:pPr>
        <w:spacing w:line="360" w:lineRule="auto"/>
        <w:ind w:firstLine="480" w:firstLineChars="200"/>
        <w:rPr>
          <w:rFonts w:ascii="Times New Roman"/>
          <w:sz w:val="24"/>
        </w:rPr>
      </w:pPr>
      <w:r>
        <w:rPr>
          <w:rFonts w:ascii="Times New Roman"/>
          <w:sz w:val="24"/>
        </w:rPr>
        <w:t>一旦发生火灾事故，应立即组织厂内员工用干燥沙土、灭火器对着火点进行灭火，如火势较大不能控制时先行撤离着火点，请求厂区外部支援；</w:t>
      </w:r>
    </w:p>
    <w:p w14:paraId="48D6BDEF">
      <w:pPr>
        <w:spacing w:line="360" w:lineRule="auto"/>
        <w:ind w:firstLine="480" w:firstLineChars="200"/>
        <w:rPr>
          <w:rFonts w:ascii="Times New Roman"/>
          <w:sz w:val="24"/>
        </w:rPr>
      </w:pPr>
      <w:r>
        <w:rPr>
          <w:rFonts w:ascii="Times New Roman"/>
          <w:sz w:val="24"/>
        </w:rPr>
        <w:t>迅速撤离污染区人员至安全区，并进行隔离，严格限制出入；厂区明火熄灭后，立即对着火点附近区域进行冷却，避免温度过高，造成复燃。</w:t>
      </w:r>
    </w:p>
    <w:p w14:paraId="31835EBE">
      <w:pPr>
        <w:spacing w:line="360" w:lineRule="auto"/>
        <w:ind w:firstLine="480" w:firstLineChars="200"/>
        <w:rPr>
          <w:rFonts w:ascii="Times New Roman"/>
          <w:sz w:val="24"/>
        </w:rPr>
      </w:pPr>
      <w:r>
        <w:rPr>
          <w:rFonts w:hint="eastAsia" w:ascii="Times New Roman"/>
          <w:sz w:val="24"/>
        </w:rPr>
        <w:t>5、</w:t>
      </w:r>
      <w:r>
        <w:rPr>
          <w:rFonts w:ascii="Times New Roman"/>
          <w:sz w:val="24"/>
        </w:rPr>
        <w:t>事故废水风险防范措施</w:t>
      </w:r>
    </w:p>
    <w:p w14:paraId="5D7EE0CD">
      <w:pPr>
        <w:spacing w:line="360" w:lineRule="auto"/>
        <w:ind w:firstLine="480" w:firstLineChars="200"/>
        <w:rPr>
          <w:rFonts w:ascii="Times New Roman"/>
          <w:sz w:val="24"/>
        </w:rPr>
      </w:pPr>
      <w:r>
        <w:rPr>
          <w:rFonts w:ascii="Times New Roman"/>
          <w:sz w:val="24"/>
        </w:rPr>
        <w:t>若天然气、废润滑油</w:t>
      </w:r>
      <w:r>
        <w:rPr>
          <w:rFonts w:hint="eastAsia" w:ascii="Times New Roman"/>
          <w:sz w:val="24"/>
        </w:rPr>
        <w:t>等</w:t>
      </w:r>
      <w:r>
        <w:rPr>
          <w:rFonts w:ascii="Times New Roman"/>
          <w:sz w:val="24"/>
        </w:rPr>
        <w:t>泄漏引发火灾事故，优选选用灭火器灭火，严禁用水灭火；若火势过大无法控制时，救援过程可能会产生消防废水，厂区配置沙包、沙袋及沙土等器材对消防废水进行围堵或引到安全的地方，严重时可修筑围堰拦截，并通知有资质的专业环保公司进行转运处理。</w:t>
      </w:r>
    </w:p>
    <w:p w14:paraId="17E0C252">
      <w:pPr>
        <w:spacing w:line="360" w:lineRule="auto"/>
        <w:ind w:firstLine="480" w:firstLineChars="200"/>
        <w:rPr>
          <w:rFonts w:ascii="Times New Roman"/>
          <w:sz w:val="24"/>
        </w:rPr>
      </w:pPr>
      <w:r>
        <w:rPr>
          <w:rFonts w:ascii="Times New Roman"/>
          <w:sz w:val="24"/>
        </w:rPr>
        <w:t>企业建立有效的厂区内外环保应急隔离系统，厂区在生活污水排入化粪池排放口末端设置应急闸门或阀门，闸门附近备好排水泵或临时污水输送设施，且落实专人管理，禁止事故状态下消防废水外排环境。</w:t>
      </w:r>
    </w:p>
    <w:p w14:paraId="37382936">
      <w:pPr>
        <w:spacing w:line="360" w:lineRule="auto"/>
        <w:ind w:firstLine="480" w:firstLineChars="200"/>
        <w:rPr>
          <w:rFonts w:ascii="Times New Roman"/>
          <w:sz w:val="24"/>
        </w:rPr>
      </w:pPr>
      <w:r>
        <w:rPr>
          <w:rFonts w:hint="eastAsia" w:ascii="Times New Roman"/>
          <w:sz w:val="24"/>
        </w:rPr>
        <w:t>6、</w:t>
      </w:r>
      <w:r>
        <w:rPr>
          <w:rFonts w:ascii="Times New Roman"/>
          <w:sz w:val="24"/>
        </w:rPr>
        <w:t>运输防范措施</w:t>
      </w:r>
    </w:p>
    <w:p w14:paraId="540752F3">
      <w:pPr>
        <w:spacing w:line="360" w:lineRule="auto"/>
        <w:ind w:firstLine="480" w:firstLineChars="200"/>
        <w:rPr>
          <w:rFonts w:ascii="Times New Roman"/>
          <w:sz w:val="24"/>
        </w:rPr>
      </w:pPr>
      <w:r>
        <w:rPr>
          <w:rFonts w:ascii="Times New Roman"/>
          <w:sz w:val="24"/>
        </w:rPr>
        <w:t>项目全厂危险废物全部委托有相关运输资质及处理资质的单位进行清运处置。</w:t>
      </w:r>
    </w:p>
    <w:p w14:paraId="4FBB2410">
      <w:pPr>
        <w:spacing w:line="360" w:lineRule="auto"/>
        <w:ind w:firstLine="480" w:firstLineChars="200"/>
        <w:rPr>
          <w:rFonts w:ascii="Times New Roman"/>
          <w:sz w:val="24"/>
        </w:rPr>
      </w:pPr>
      <w:r>
        <w:rPr>
          <w:rFonts w:hint="eastAsia" w:ascii="Times New Roman"/>
          <w:sz w:val="24"/>
        </w:rPr>
        <w:t>7、</w:t>
      </w:r>
      <w:r>
        <w:rPr>
          <w:rFonts w:ascii="Times New Roman"/>
          <w:sz w:val="24"/>
        </w:rPr>
        <w:t>储存防范措施</w:t>
      </w:r>
    </w:p>
    <w:p w14:paraId="1FC0922C">
      <w:pPr>
        <w:spacing w:line="360" w:lineRule="auto"/>
        <w:ind w:firstLine="480" w:firstLineChars="200"/>
        <w:rPr>
          <w:rFonts w:ascii="Times New Roman"/>
          <w:sz w:val="24"/>
        </w:rPr>
      </w:pPr>
      <w:r>
        <w:rPr>
          <w:rFonts w:ascii="Times New Roman"/>
          <w:sz w:val="24"/>
        </w:rPr>
        <w:t>①项目</w:t>
      </w:r>
      <w:r>
        <w:rPr>
          <w:rFonts w:hint="eastAsia" w:ascii="Times New Roman"/>
          <w:sz w:val="24"/>
        </w:rPr>
        <w:t>气瓶</w:t>
      </w:r>
      <w:r>
        <w:rPr>
          <w:rFonts w:ascii="Times New Roman"/>
          <w:sz w:val="24"/>
        </w:rPr>
        <w:t>应远离火源，并采取防泄漏、防火、防爆炸等预防措施；</w:t>
      </w:r>
    </w:p>
    <w:p w14:paraId="710844AE">
      <w:pPr>
        <w:spacing w:line="360" w:lineRule="auto"/>
        <w:ind w:firstLine="480" w:firstLineChars="200"/>
        <w:rPr>
          <w:rFonts w:ascii="Times New Roman"/>
          <w:sz w:val="24"/>
        </w:rPr>
      </w:pPr>
      <w:r>
        <w:rPr>
          <w:rFonts w:ascii="Times New Roman"/>
          <w:sz w:val="24"/>
        </w:rPr>
        <w:t>②定期对</w:t>
      </w:r>
      <w:r>
        <w:rPr>
          <w:rFonts w:hint="eastAsia" w:ascii="Times New Roman"/>
          <w:sz w:val="24"/>
        </w:rPr>
        <w:t>气瓶</w:t>
      </w:r>
      <w:r>
        <w:rPr>
          <w:rFonts w:ascii="Times New Roman"/>
          <w:sz w:val="24"/>
        </w:rPr>
        <w:t>进行安全检查，检查内容包括物料储存环境、容器及各类阀门、泵、仪表和附件的运行状态，排除安全隐患，确保安全运行。</w:t>
      </w:r>
    </w:p>
    <w:p w14:paraId="193CCB9D">
      <w:pPr>
        <w:spacing w:line="360" w:lineRule="auto"/>
        <w:ind w:firstLine="480" w:firstLineChars="200"/>
        <w:rPr>
          <w:rFonts w:ascii="Times New Roman"/>
          <w:sz w:val="24"/>
        </w:rPr>
      </w:pPr>
      <w:r>
        <w:rPr>
          <w:rFonts w:ascii="Times New Roman"/>
          <w:sz w:val="24"/>
        </w:rPr>
        <w:t>③</w:t>
      </w:r>
      <w:r>
        <w:rPr>
          <w:rFonts w:hint="eastAsia" w:ascii="Times New Roman"/>
          <w:sz w:val="24"/>
        </w:rPr>
        <w:t>气瓶</w:t>
      </w:r>
      <w:r>
        <w:rPr>
          <w:rFonts w:ascii="Times New Roman"/>
          <w:sz w:val="24"/>
        </w:rPr>
        <w:t>配备专业技术人员负责管理，设置泄漏检测器、火灾检测与报警系统、手动报警按钮以及针对储存物料的应急处置设施和消防设施，并配备个人防护用品，设置醒目的安全警示标志。</w:t>
      </w:r>
    </w:p>
    <w:p w14:paraId="27DE6CFA">
      <w:pPr>
        <w:spacing w:line="360" w:lineRule="auto"/>
        <w:ind w:firstLine="480" w:firstLineChars="200"/>
        <w:rPr>
          <w:rFonts w:ascii="Times New Roman"/>
          <w:sz w:val="24"/>
        </w:rPr>
      </w:pPr>
      <w:r>
        <w:rPr>
          <w:rFonts w:ascii="Times New Roman"/>
          <w:sz w:val="24"/>
        </w:rPr>
        <w:t>④项目废润滑油采用耐腐蚀容器加盖储存，于厂区现有危废间内暂存。危废间分区明确，建设符合《危险废物贮存污染控制标准》（GB18597-2023）要求，并安排专人专岗定期巡检。</w:t>
      </w:r>
    </w:p>
    <w:p w14:paraId="61AF74C7">
      <w:pPr>
        <w:spacing w:line="360" w:lineRule="auto"/>
        <w:ind w:firstLine="480" w:firstLineChars="200"/>
        <w:rPr>
          <w:rFonts w:ascii="Times New Roman"/>
          <w:sz w:val="24"/>
        </w:rPr>
      </w:pPr>
      <w:r>
        <w:rPr>
          <w:rFonts w:hint="eastAsia" w:ascii="Times New Roman"/>
          <w:sz w:val="24"/>
        </w:rPr>
        <w:t>8、</w:t>
      </w:r>
      <w:r>
        <w:rPr>
          <w:rFonts w:ascii="Times New Roman"/>
          <w:sz w:val="24"/>
        </w:rPr>
        <w:t>使用防范措施</w:t>
      </w:r>
    </w:p>
    <w:p w14:paraId="4E395E68">
      <w:pPr>
        <w:spacing w:line="360" w:lineRule="auto"/>
        <w:ind w:firstLine="480" w:firstLineChars="200"/>
        <w:rPr>
          <w:rFonts w:ascii="Times New Roman"/>
          <w:sz w:val="24"/>
        </w:rPr>
      </w:pPr>
      <w:r>
        <w:rPr>
          <w:rFonts w:ascii="Times New Roman"/>
          <w:sz w:val="24"/>
        </w:rPr>
        <w:t>①必须严格遵守使用安全操作规程；严禁携带烟火、火种、打火机、火柴等易燃品。照明设施全部采用防爆照明灯，非生产人员不得进入储罐及管道、危废</w:t>
      </w:r>
      <w:r>
        <w:rPr>
          <w:rFonts w:hint="eastAsia" w:ascii="Times New Roman"/>
          <w:sz w:val="24"/>
        </w:rPr>
        <w:t>库</w:t>
      </w:r>
      <w:r>
        <w:rPr>
          <w:rFonts w:ascii="Times New Roman"/>
          <w:sz w:val="24"/>
        </w:rPr>
        <w:t>等区域。</w:t>
      </w:r>
    </w:p>
    <w:p w14:paraId="7D12AD69">
      <w:pPr>
        <w:spacing w:line="360" w:lineRule="auto"/>
        <w:ind w:firstLine="480" w:firstLineChars="200"/>
        <w:rPr>
          <w:rFonts w:ascii="Times New Roman"/>
          <w:sz w:val="24"/>
        </w:rPr>
      </w:pPr>
      <w:r>
        <w:rPr>
          <w:rFonts w:ascii="Times New Roman"/>
          <w:sz w:val="24"/>
        </w:rPr>
        <w:t>②在使用之前，必须仔细阅读说明书，尤其是有关安全注意事项和应急处理方面的内容；使用作业时要精神集中，严禁打闹嬉戏；储罐及管道、危废</w:t>
      </w:r>
      <w:r>
        <w:rPr>
          <w:rFonts w:hint="eastAsia" w:ascii="Times New Roman"/>
          <w:sz w:val="24"/>
        </w:rPr>
        <w:t>库</w:t>
      </w:r>
      <w:r>
        <w:rPr>
          <w:rFonts w:ascii="Times New Roman"/>
          <w:sz w:val="24"/>
        </w:rPr>
        <w:t>及烘干机区域应配置手提式灭火器。</w:t>
      </w:r>
    </w:p>
    <w:p w14:paraId="0BC01F39">
      <w:pPr>
        <w:spacing w:line="360" w:lineRule="auto"/>
        <w:ind w:firstLine="480" w:firstLineChars="200"/>
        <w:rPr>
          <w:rFonts w:ascii="Times New Roman"/>
          <w:sz w:val="24"/>
        </w:rPr>
      </w:pPr>
      <w:r>
        <w:rPr>
          <w:rFonts w:hint="eastAsia" w:ascii="Times New Roman"/>
          <w:sz w:val="24"/>
        </w:rPr>
        <w:t>10、</w:t>
      </w:r>
      <w:r>
        <w:rPr>
          <w:rFonts w:ascii="Times New Roman"/>
          <w:sz w:val="24"/>
        </w:rPr>
        <w:t>大气风险事故应急撤离防范措施</w:t>
      </w:r>
    </w:p>
    <w:p w14:paraId="6AB04AFE">
      <w:pPr>
        <w:spacing w:line="360" w:lineRule="auto"/>
        <w:ind w:firstLine="480" w:firstLineChars="200"/>
        <w:rPr>
          <w:rFonts w:ascii="Times New Roman"/>
          <w:sz w:val="24"/>
        </w:rPr>
      </w:pPr>
      <w:r>
        <w:rPr>
          <w:rFonts w:ascii="Times New Roman"/>
          <w:sz w:val="24"/>
        </w:rPr>
        <w:t>发生有毒有害危险物质泄漏引发大气环境风险时，企业应按照突发事故报告与应急响应制度与规程，及时上报公司应急指挥部，在采取应急处理同时根据厂区风向标指示，按照厂区图示牌中的应急疏散撤离线路，迅速组织人员疏散群，保证应急疏散的快捷、有序、高效。</w:t>
      </w:r>
    </w:p>
    <w:p w14:paraId="26E9B268">
      <w:pPr>
        <w:pStyle w:val="7"/>
        <w:spacing w:line="360" w:lineRule="auto"/>
        <w:rPr>
          <w:rFonts w:hint="default" w:ascii="Times New Roman" w:hAnsi="Times New Roman"/>
          <w:color w:val="auto"/>
        </w:rPr>
      </w:pPr>
      <w:r>
        <w:rPr>
          <w:rFonts w:hint="default" w:ascii="Times New Roman" w:hAnsi="Times New Roman"/>
          <w:color w:val="auto"/>
        </w:rPr>
        <w:t>5.2.7.5.</w:t>
      </w:r>
      <w:r>
        <w:rPr>
          <w:rFonts w:ascii="Times New Roman" w:hAnsi="Times New Roman"/>
          <w:color w:val="auto"/>
        </w:rPr>
        <w:t>2应急要求</w:t>
      </w:r>
    </w:p>
    <w:p w14:paraId="0F5C230E">
      <w:pPr>
        <w:spacing w:line="360" w:lineRule="auto"/>
        <w:ind w:firstLine="480" w:firstLineChars="200"/>
        <w:rPr>
          <w:rFonts w:ascii="Times New Roman"/>
          <w:sz w:val="24"/>
          <w:szCs w:val="24"/>
        </w:rPr>
      </w:pPr>
      <w:r>
        <w:rPr>
          <w:rFonts w:ascii="Times New Roman"/>
          <w:bCs/>
          <w:sz w:val="24"/>
          <w:szCs w:val="22"/>
        </w:rPr>
        <w:t>根据环保部《突发环境事件应急管理办法》（环境保护部令第34号）、《企事业单位突发环境事件应急预案备案管理办法（试行）》（环发[2015]4号）、环保部《关于进一步加强环境影响评价管理防范环境风险的通知》（环发[2012]77号）等的规定和要求，建设单位应当尽快编制（或委托相关技术单位编制）突发环境事件应急预案，并向企业所在地环境保护主管部门备案，同时注意编制的应急预案应与沿线各区域、各相关企业应急系统衔接。建设单位的突发环境事件应急预案的编制、评估、备案和实施等，应按《企事业单位突发环境事件应急预案备案管理办法（试行）》（环发[2015]4号）等相关规定执行</w:t>
      </w:r>
      <w:r>
        <w:rPr>
          <w:rFonts w:ascii="Times New Roman"/>
          <w:sz w:val="24"/>
          <w:szCs w:val="24"/>
        </w:rPr>
        <w:t>。</w:t>
      </w:r>
    </w:p>
    <w:p w14:paraId="1E6A435C">
      <w:pPr>
        <w:spacing w:line="520" w:lineRule="exact"/>
        <w:outlineLvl w:val="3"/>
        <w:rPr>
          <w:rFonts w:ascii="Times New Roman"/>
          <w:b/>
          <w:sz w:val="24"/>
          <w:szCs w:val="24"/>
        </w:rPr>
      </w:pPr>
      <w:r>
        <w:rPr>
          <w:rFonts w:ascii="Times New Roman"/>
          <w:b/>
          <w:sz w:val="24"/>
          <w:szCs w:val="24"/>
        </w:rPr>
        <w:t>5.2.7.</w:t>
      </w:r>
      <w:r>
        <w:rPr>
          <w:rFonts w:hint="eastAsia" w:ascii="Times New Roman"/>
          <w:b/>
          <w:sz w:val="24"/>
          <w:szCs w:val="24"/>
        </w:rPr>
        <w:t>6</w:t>
      </w:r>
      <w:r>
        <w:rPr>
          <w:rFonts w:ascii="Times New Roman"/>
          <w:b/>
          <w:sz w:val="24"/>
          <w:szCs w:val="24"/>
        </w:rPr>
        <w:t>风险评价结论</w:t>
      </w:r>
    </w:p>
    <w:p w14:paraId="66074B9B">
      <w:pPr>
        <w:spacing w:line="360" w:lineRule="auto"/>
        <w:ind w:firstLine="482"/>
        <w:rPr>
          <w:rFonts w:ascii="Times New Roman"/>
          <w:kern w:val="0"/>
          <w:sz w:val="24"/>
          <w:szCs w:val="24"/>
        </w:rPr>
      </w:pPr>
      <w:r>
        <w:rPr>
          <w:rFonts w:ascii="Times New Roman"/>
          <w:sz w:val="24"/>
          <w:szCs w:val="20"/>
        </w:rPr>
        <w:t>项目涉及到的危险性物质主要有</w:t>
      </w:r>
      <w:r>
        <w:rPr>
          <w:rFonts w:hint="eastAsia" w:ascii="Times New Roman"/>
          <w:sz w:val="24"/>
          <w:szCs w:val="20"/>
        </w:rPr>
        <w:t>天然气、丙烷、硫酸、</w:t>
      </w:r>
      <w:r>
        <w:rPr>
          <w:rFonts w:ascii="Times New Roman"/>
          <w:sz w:val="24"/>
          <w:szCs w:val="20"/>
        </w:rPr>
        <w:t>稀释剂</w:t>
      </w:r>
      <w:r>
        <w:rPr>
          <w:rFonts w:hint="eastAsia" w:ascii="Times New Roman"/>
          <w:sz w:val="24"/>
          <w:szCs w:val="20"/>
        </w:rPr>
        <w:t>、油漆</w:t>
      </w:r>
      <w:r>
        <w:rPr>
          <w:rFonts w:ascii="Times New Roman"/>
          <w:sz w:val="24"/>
          <w:szCs w:val="20"/>
        </w:rPr>
        <w:t>（含二甲苯）、液压油、润滑油、</w:t>
      </w:r>
      <w:r>
        <w:rPr>
          <w:rFonts w:hint="eastAsia" w:ascii="Times New Roman"/>
          <w:sz w:val="24"/>
          <w:szCs w:val="20"/>
        </w:rPr>
        <w:t>危险废物</w:t>
      </w:r>
      <w:r>
        <w:rPr>
          <w:rFonts w:ascii="Times New Roman"/>
          <w:kern w:val="0"/>
          <w:sz w:val="24"/>
          <w:szCs w:val="24"/>
        </w:rPr>
        <w:t>，</w:t>
      </w:r>
      <w:r>
        <w:rPr>
          <w:rFonts w:ascii="Times New Roman"/>
          <w:sz w:val="24"/>
          <w:szCs w:val="24"/>
        </w:rPr>
        <w:t>主要存储于车间、</w:t>
      </w:r>
      <w:r>
        <w:rPr>
          <w:rFonts w:hint="eastAsia" w:ascii="Times New Roman"/>
          <w:sz w:val="24"/>
          <w:szCs w:val="24"/>
        </w:rPr>
        <w:t>危化库</w:t>
      </w:r>
      <w:r>
        <w:rPr>
          <w:rFonts w:ascii="Times New Roman"/>
          <w:sz w:val="24"/>
          <w:szCs w:val="24"/>
        </w:rPr>
        <w:t>及危废</w:t>
      </w:r>
      <w:r>
        <w:rPr>
          <w:rFonts w:hint="eastAsia" w:ascii="Times New Roman"/>
          <w:sz w:val="24"/>
          <w:szCs w:val="24"/>
        </w:rPr>
        <w:t>库</w:t>
      </w:r>
      <w:r>
        <w:rPr>
          <w:rFonts w:ascii="Times New Roman"/>
          <w:sz w:val="24"/>
          <w:szCs w:val="24"/>
        </w:rPr>
        <w:t>。项目存在的主要的环境风险为天然气</w:t>
      </w:r>
      <w:r>
        <w:rPr>
          <w:rFonts w:hint="eastAsia" w:ascii="Times New Roman"/>
          <w:sz w:val="24"/>
          <w:szCs w:val="24"/>
        </w:rPr>
        <w:t>或丙烷</w:t>
      </w:r>
      <w:r>
        <w:rPr>
          <w:rFonts w:ascii="Times New Roman"/>
        </w:rPr>
        <w:t>发生泄漏事故，</w:t>
      </w:r>
      <w:r>
        <w:rPr>
          <w:rFonts w:ascii="Times New Roman"/>
          <w:sz w:val="24"/>
          <w:szCs w:val="24"/>
        </w:rPr>
        <w:t>形成白色蒸汽云，</w:t>
      </w:r>
      <w:r>
        <w:rPr>
          <w:rFonts w:ascii="Times New Roman"/>
        </w:rPr>
        <w:t>如遇热源和明火可能引起火灾、爆炸风险事故，</w:t>
      </w:r>
      <w:r>
        <w:rPr>
          <w:rFonts w:ascii="Times New Roman"/>
          <w:sz w:val="24"/>
          <w:szCs w:val="24"/>
        </w:rPr>
        <w:t>燃烧产物为二氧化碳和水，不充分燃烧室会产生一氧化碳</w:t>
      </w:r>
      <w:r>
        <w:rPr>
          <w:rFonts w:ascii="Times New Roman"/>
        </w:rPr>
        <w:t>，会挥发至空气中，可能对厂区周边及下风向环境空气质量在短时间内产生一定的影响；</w:t>
      </w:r>
      <w:r>
        <w:rPr>
          <w:rFonts w:ascii="Times New Roman"/>
          <w:sz w:val="24"/>
          <w:szCs w:val="24"/>
        </w:rPr>
        <w:t>油类物质、涂料（含二甲苯）</w:t>
      </w:r>
      <w:r>
        <w:rPr>
          <w:rFonts w:hint="eastAsia" w:ascii="Times New Roman"/>
          <w:sz w:val="24"/>
          <w:szCs w:val="24"/>
        </w:rPr>
        <w:t>、危险废物</w:t>
      </w:r>
      <w:r>
        <w:rPr>
          <w:rFonts w:ascii="Times New Roman"/>
          <w:sz w:val="24"/>
          <w:szCs w:val="24"/>
        </w:rPr>
        <w:t>等泄露，可能对区域地下水、土壤环境存在一定影响</w:t>
      </w:r>
      <w:r>
        <w:rPr>
          <w:rFonts w:ascii="Times New Roman"/>
          <w:kern w:val="0"/>
          <w:sz w:val="24"/>
          <w:szCs w:val="24"/>
        </w:rPr>
        <w:t>。</w:t>
      </w:r>
    </w:p>
    <w:p w14:paraId="61ACB1A4">
      <w:pPr>
        <w:spacing w:line="360" w:lineRule="auto"/>
        <w:ind w:firstLine="482"/>
        <w:rPr>
          <w:rFonts w:ascii="Times New Roman"/>
          <w:sz w:val="24"/>
          <w:szCs w:val="20"/>
        </w:rPr>
      </w:pPr>
      <w:r>
        <w:rPr>
          <w:rFonts w:ascii="Times New Roman"/>
          <w:sz w:val="24"/>
          <w:szCs w:val="20"/>
        </w:rPr>
        <w:t>在建设单位严格落实环评提出的各项防范措施和应急预案编制要求后，其环境风险基本可控。</w:t>
      </w:r>
    </w:p>
    <w:p w14:paraId="62A435BD">
      <w:pPr>
        <w:widowControl/>
        <w:spacing w:line="360" w:lineRule="auto"/>
        <w:jc w:val="center"/>
        <w:rPr>
          <w:rFonts w:ascii="Times New Roman"/>
          <w:b/>
          <w:bCs/>
          <w:sz w:val="24"/>
          <w:szCs w:val="24"/>
        </w:rPr>
      </w:pPr>
      <w:r>
        <w:rPr>
          <w:rFonts w:ascii="Times New Roman"/>
          <w:b/>
          <w:bCs/>
          <w:sz w:val="24"/>
          <w:szCs w:val="24"/>
        </w:rPr>
        <w:t>表5.2</w:t>
      </w:r>
      <w:r>
        <w:rPr>
          <w:rFonts w:hint="eastAsia" w:ascii="Times New Roman"/>
          <w:b/>
          <w:bCs/>
          <w:sz w:val="24"/>
          <w:szCs w:val="24"/>
        </w:rPr>
        <w:t>.7-7</w:t>
      </w:r>
      <w:r>
        <w:rPr>
          <w:rFonts w:ascii="Times New Roman"/>
          <w:b/>
          <w:bCs/>
          <w:sz w:val="24"/>
          <w:szCs w:val="24"/>
        </w:rPr>
        <w:t xml:space="preserve">   建设项目环境风险简单分析内容表</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175"/>
        <w:gridCol w:w="1650"/>
        <w:gridCol w:w="1374"/>
        <w:gridCol w:w="816"/>
        <w:gridCol w:w="1979"/>
      </w:tblGrid>
      <w:tr w14:paraId="441F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dxa"/>
            <w:vAlign w:val="center"/>
          </w:tcPr>
          <w:p w14:paraId="56AC4A22">
            <w:pPr>
              <w:jc w:val="center"/>
              <w:rPr>
                <w:rFonts w:ascii="Times New Roman"/>
                <w:kern w:val="0"/>
                <w:sz w:val="21"/>
                <w:szCs w:val="21"/>
              </w:rPr>
            </w:pPr>
            <w:r>
              <w:rPr>
                <w:rFonts w:ascii="Times New Roman"/>
                <w:kern w:val="0"/>
                <w:sz w:val="21"/>
                <w:szCs w:val="21"/>
              </w:rPr>
              <w:t>建设项目名称</w:t>
            </w:r>
          </w:p>
        </w:tc>
        <w:tc>
          <w:tcPr>
            <w:tcW w:w="6994" w:type="dxa"/>
            <w:gridSpan w:val="5"/>
            <w:vAlign w:val="center"/>
          </w:tcPr>
          <w:p w14:paraId="0F8E1F83">
            <w:pPr>
              <w:jc w:val="center"/>
              <w:rPr>
                <w:rFonts w:ascii="Times New Roman"/>
                <w:kern w:val="0"/>
                <w:sz w:val="21"/>
                <w:szCs w:val="21"/>
              </w:rPr>
            </w:pPr>
            <w:r>
              <w:rPr>
                <w:rFonts w:hint="eastAsia" w:ascii="Times New Roman"/>
                <w:bCs/>
                <w:iCs/>
                <w:kern w:val="0"/>
                <w:sz w:val="21"/>
                <w:szCs w:val="21"/>
              </w:rPr>
              <w:t>运机(唐山)装备有限公司数字孪生智能输送机生产项目</w:t>
            </w:r>
          </w:p>
        </w:tc>
      </w:tr>
      <w:tr w14:paraId="042D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dxa"/>
            <w:vAlign w:val="center"/>
          </w:tcPr>
          <w:p w14:paraId="4B4A85DF">
            <w:pPr>
              <w:jc w:val="center"/>
              <w:rPr>
                <w:rFonts w:ascii="Times New Roman"/>
                <w:kern w:val="0"/>
                <w:sz w:val="21"/>
                <w:szCs w:val="21"/>
              </w:rPr>
            </w:pPr>
            <w:r>
              <w:rPr>
                <w:rFonts w:ascii="Times New Roman"/>
                <w:kern w:val="0"/>
                <w:sz w:val="21"/>
                <w:szCs w:val="21"/>
              </w:rPr>
              <w:t>建设地点</w:t>
            </w:r>
          </w:p>
        </w:tc>
        <w:tc>
          <w:tcPr>
            <w:tcW w:w="1175" w:type="dxa"/>
            <w:vAlign w:val="center"/>
          </w:tcPr>
          <w:p w14:paraId="2CD2F8D3">
            <w:pPr>
              <w:jc w:val="center"/>
              <w:rPr>
                <w:rFonts w:ascii="Times New Roman"/>
                <w:kern w:val="0"/>
                <w:sz w:val="21"/>
                <w:szCs w:val="21"/>
              </w:rPr>
            </w:pPr>
            <w:r>
              <w:rPr>
                <w:rFonts w:ascii="Times New Roman"/>
                <w:kern w:val="0"/>
                <w:sz w:val="21"/>
                <w:szCs w:val="21"/>
              </w:rPr>
              <w:t>（河北）省</w:t>
            </w:r>
          </w:p>
        </w:tc>
        <w:tc>
          <w:tcPr>
            <w:tcW w:w="1650" w:type="dxa"/>
            <w:vAlign w:val="center"/>
          </w:tcPr>
          <w:p w14:paraId="4174C72A">
            <w:pPr>
              <w:jc w:val="center"/>
              <w:rPr>
                <w:rFonts w:ascii="Times New Roman"/>
                <w:kern w:val="0"/>
                <w:sz w:val="21"/>
                <w:szCs w:val="21"/>
              </w:rPr>
            </w:pPr>
            <w:r>
              <w:rPr>
                <w:rFonts w:ascii="Times New Roman"/>
                <w:kern w:val="0"/>
                <w:sz w:val="21"/>
                <w:szCs w:val="21"/>
              </w:rPr>
              <w:t>（唐山）市</w:t>
            </w:r>
          </w:p>
        </w:tc>
        <w:tc>
          <w:tcPr>
            <w:tcW w:w="1374" w:type="dxa"/>
            <w:vAlign w:val="center"/>
          </w:tcPr>
          <w:p w14:paraId="4BC9CF91">
            <w:pPr>
              <w:jc w:val="center"/>
              <w:rPr>
                <w:rFonts w:ascii="Times New Roman"/>
                <w:kern w:val="0"/>
                <w:sz w:val="21"/>
                <w:szCs w:val="21"/>
              </w:rPr>
            </w:pPr>
            <w:r>
              <w:rPr>
                <w:rFonts w:ascii="Times New Roman"/>
                <w:kern w:val="0"/>
                <w:sz w:val="21"/>
                <w:szCs w:val="21"/>
              </w:rPr>
              <w:t>（曹妃甸）区</w:t>
            </w:r>
          </w:p>
        </w:tc>
        <w:tc>
          <w:tcPr>
            <w:tcW w:w="816" w:type="dxa"/>
            <w:vAlign w:val="center"/>
          </w:tcPr>
          <w:p w14:paraId="094D015D">
            <w:pPr>
              <w:jc w:val="center"/>
              <w:rPr>
                <w:rFonts w:ascii="Times New Roman"/>
                <w:kern w:val="0"/>
                <w:sz w:val="21"/>
                <w:szCs w:val="21"/>
              </w:rPr>
            </w:pPr>
            <w:r>
              <w:rPr>
                <w:rFonts w:ascii="Times New Roman"/>
                <w:kern w:val="0"/>
                <w:sz w:val="21"/>
                <w:szCs w:val="21"/>
              </w:rPr>
              <w:t>（--）县</w:t>
            </w:r>
          </w:p>
        </w:tc>
        <w:tc>
          <w:tcPr>
            <w:tcW w:w="1979" w:type="dxa"/>
            <w:vAlign w:val="center"/>
          </w:tcPr>
          <w:p w14:paraId="13D2B44E">
            <w:pPr>
              <w:jc w:val="center"/>
              <w:rPr>
                <w:rFonts w:ascii="Times New Roman"/>
                <w:kern w:val="0"/>
                <w:sz w:val="21"/>
                <w:szCs w:val="21"/>
              </w:rPr>
            </w:pPr>
            <w:r>
              <w:rPr>
                <w:rFonts w:ascii="Times New Roman"/>
                <w:kern w:val="0"/>
                <w:sz w:val="21"/>
                <w:szCs w:val="21"/>
              </w:rPr>
              <w:t>曹妃甸循环经济示范区装备制造园区</w:t>
            </w:r>
          </w:p>
        </w:tc>
      </w:tr>
      <w:tr w14:paraId="734A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dxa"/>
            <w:vAlign w:val="center"/>
          </w:tcPr>
          <w:p w14:paraId="104414DA">
            <w:pPr>
              <w:jc w:val="center"/>
              <w:rPr>
                <w:rFonts w:ascii="Times New Roman"/>
                <w:kern w:val="0"/>
                <w:sz w:val="21"/>
                <w:szCs w:val="21"/>
              </w:rPr>
            </w:pPr>
            <w:r>
              <w:rPr>
                <w:rFonts w:ascii="Times New Roman"/>
                <w:kern w:val="0"/>
                <w:sz w:val="21"/>
                <w:szCs w:val="21"/>
              </w:rPr>
              <w:t>地理坐标</w:t>
            </w:r>
          </w:p>
        </w:tc>
        <w:tc>
          <w:tcPr>
            <w:tcW w:w="1175" w:type="dxa"/>
            <w:vAlign w:val="center"/>
          </w:tcPr>
          <w:p w14:paraId="43F90650">
            <w:pPr>
              <w:jc w:val="center"/>
              <w:rPr>
                <w:rFonts w:ascii="Times New Roman"/>
                <w:kern w:val="0"/>
                <w:sz w:val="21"/>
                <w:szCs w:val="21"/>
              </w:rPr>
            </w:pPr>
            <w:r>
              <w:rPr>
                <w:rFonts w:ascii="Times New Roman"/>
                <w:kern w:val="0"/>
                <w:sz w:val="21"/>
                <w:szCs w:val="21"/>
              </w:rPr>
              <w:t>经度</w:t>
            </w:r>
          </w:p>
        </w:tc>
        <w:tc>
          <w:tcPr>
            <w:tcW w:w="1650" w:type="dxa"/>
            <w:vAlign w:val="center"/>
          </w:tcPr>
          <w:p w14:paraId="54F4E0A1">
            <w:pPr>
              <w:jc w:val="center"/>
              <w:rPr>
                <w:rFonts w:ascii="Times New Roman"/>
                <w:kern w:val="0"/>
                <w:sz w:val="21"/>
                <w:szCs w:val="21"/>
              </w:rPr>
            </w:pPr>
            <w:r>
              <w:rPr>
                <w:rFonts w:ascii="Times New Roman"/>
                <w:kern w:val="0"/>
                <w:sz w:val="21"/>
                <w:szCs w:val="21"/>
              </w:rPr>
              <w:t>118°30′14.633″</w:t>
            </w:r>
          </w:p>
        </w:tc>
        <w:tc>
          <w:tcPr>
            <w:tcW w:w="1374" w:type="dxa"/>
            <w:vAlign w:val="center"/>
          </w:tcPr>
          <w:p w14:paraId="1AAF5BC7">
            <w:pPr>
              <w:jc w:val="center"/>
              <w:rPr>
                <w:rFonts w:ascii="Times New Roman"/>
                <w:kern w:val="0"/>
                <w:sz w:val="21"/>
                <w:szCs w:val="21"/>
              </w:rPr>
            </w:pPr>
            <w:r>
              <w:rPr>
                <w:rFonts w:ascii="Times New Roman"/>
                <w:kern w:val="0"/>
                <w:sz w:val="21"/>
                <w:szCs w:val="21"/>
              </w:rPr>
              <w:t>纬度</w:t>
            </w:r>
          </w:p>
        </w:tc>
        <w:tc>
          <w:tcPr>
            <w:tcW w:w="2795" w:type="dxa"/>
            <w:gridSpan w:val="2"/>
            <w:vAlign w:val="center"/>
          </w:tcPr>
          <w:p w14:paraId="041641C3">
            <w:pPr>
              <w:jc w:val="center"/>
              <w:rPr>
                <w:rFonts w:ascii="Times New Roman"/>
                <w:kern w:val="0"/>
                <w:sz w:val="21"/>
                <w:szCs w:val="21"/>
              </w:rPr>
            </w:pPr>
            <w:r>
              <w:rPr>
                <w:rFonts w:ascii="Times New Roman"/>
                <w:kern w:val="0"/>
                <w:sz w:val="21"/>
                <w:szCs w:val="21"/>
              </w:rPr>
              <w:t>39°5′17.177″</w:t>
            </w:r>
          </w:p>
        </w:tc>
      </w:tr>
      <w:tr w14:paraId="4775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dxa"/>
            <w:vAlign w:val="center"/>
          </w:tcPr>
          <w:p w14:paraId="669FCD31">
            <w:pPr>
              <w:jc w:val="center"/>
              <w:rPr>
                <w:rFonts w:ascii="Times New Roman"/>
                <w:kern w:val="0"/>
                <w:sz w:val="21"/>
                <w:szCs w:val="21"/>
              </w:rPr>
            </w:pPr>
            <w:r>
              <w:rPr>
                <w:rFonts w:ascii="Times New Roman"/>
                <w:kern w:val="0"/>
                <w:sz w:val="21"/>
                <w:szCs w:val="21"/>
              </w:rPr>
              <w:t>主要危险物质及分布</w:t>
            </w:r>
          </w:p>
        </w:tc>
        <w:tc>
          <w:tcPr>
            <w:tcW w:w="6994" w:type="dxa"/>
            <w:gridSpan w:val="5"/>
            <w:vAlign w:val="center"/>
          </w:tcPr>
          <w:p w14:paraId="44F45BF1">
            <w:pPr>
              <w:jc w:val="center"/>
              <w:rPr>
                <w:rFonts w:ascii="Times New Roman"/>
                <w:kern w:val="0"/>
                <w:sz w:val="21"/>
                <w:szCs w:val="21"/>
              </w:rPr>
            </w:pPr>
            <w:r>
              <w:rPr>
                <w:rFonts w:ascii="Times New Roman"/>
                <w:kern w:val="0"/>
                <w:sz w:val="21"/>
                <w:szCs w:val="21"/>
              </w:rPr>
              <w:t>项目主要危险物质为</w:t>
            </w:r>
            <w:r>
              <w:rPr>
                <w:rFonts w:hint="eastAsia" w:ascii="Times New Roman"/>
                <w:kern w:val="0"/>
                <w:sz w:val="21"/>
                <w:szCs w:val="21"/>
              </w:rPr>
              <w:t>天然气（甲烷）、丙烷、油漆、稀释剂（含二甲苯）、油类物质、危险废物，主要存储于生产车间、危化库及危废库。</w:t>
            </w:r>
          </w:p>
        </w:tc>
      </w:tr>
      <w:tr w14:paraId="0CAE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dxa"/>
            <w:vAlign w:val="center"/>
          </w:tcPr>
          <w:p w14:paraId="12EF9587">
            <w:pPr>
              <w:jc w:val="center"/>
              <w:rPr>
                <w:rFonts w:ascii="Times New Roman"/>
                <w:kern w:val="0"/>
                <w:sz w:val="21"/>
                <w:szCs w:val="21"/>
              </w:rPr>
            </w:pPr>
            <w:r>
              <w:rPr>
                <w:rFonts w:ascii="Times New Roman"/>
                <w:kern w:val="0"/>
                <w:sz w:val="21"/>
                <w:szCs w:val="21"/>
              </w:rPr>
              <w:t>环境影响途径及危害后果</w:t>
            </w:r>
          </w:p>
        </w:tc>
        <w:tc>
          <w:tcPr>
            <w:tcW w:w="6994" w:type="dxa"/>
            <w:gridSpan w:val="5"/>
            <w:vAlign w:val="center"/>
          </w:tcPr>
          <w:p w14:paraId="42C400A7">
            <w:pPr>
              <w:rPr>
                <w:rFonts w:ascii="Times New Roman"/>
                <w:kern w:val="0"/>
                <w:sz w:val="21"/>
                <w:szCs w:val="21"/>
              </w:rPr>
            </w:pPr>
            <w:r>
              <w:rPr>
                <w:rFonts w:ascii="Times New Roman"/>
                <w:kern w:val="0"/>
                <w:sz w:val="21"/>
                <w:szCs w:val="21"/>
              </w:rPr>
              <w:t>大气、地表水：由于</w:t>
            </w:r>
            <w:r>
              <w:rPr>
                <w:rFonts w:hint="eastAsia" w:ascii="Times New Roman"/>
                <w:kern w:val="0"/>
                <w:sz w:val="21"/>
                <w:szCs w:val="21"/>
              </w:rPr>
              <w:t>天然气、丙烷、油类物质、危险废物</w:t>
            </w:r>
            <w:r>
              <w:rPr>
                <w:rFonts w:ascii="Times New Roman"/>
                <w:kern w:val="0"/>
                <w:sz w:val="21"/>
                <w:szCs w:val="21"/>
              </w:rPr>
              <w:t>具有可燃易燃性，泄漏后遇明火可能发生火灾，火灾伴生/次生污染物如CO</w:t>
            </w:r>
            <w:r>
              <w:rPr>
                <w:rFonts w:hint="eastAsia" w:ascii="Times New Roman"/>
                <w:kern w:val="0"/>
                <w:sz w:val="21"/>
                <w:szCs w:val="21"/>
              </w:rPr>
              <w:t>等</w:t>
            </w:r>
            <w:r>
              <w:rPr>
                <w:rFonts w:ascii="Times New Roman"/>
                <w:kern w:val="0"/>
                <w:sz w:val="21"/>
                <w:szCs w:val="21"/>
              </w:rPr>
              <w:t>排放进入大气环境。发生火灾后会产生消防废水，如果消防废水外排或渗漏，易对地表水体造成污染。</w:t>
            </w:r>
          </w:p>
          <w:p w14:paraId="3F7176FA">
            <w:pPr>
              <w:rPr>
                <w:rFonts w:ascii="Times New Roman"/>
                <w:kern w:val="0"/>
                <w:sz w:val="21"/>
                <w:szCs w:val="21"/>
              </w:rPr>
            </w:pPr>
            <w:r>
              <w:rPr>
                <w:rFonts w:ascii="Times New Roman"/>
                <w:kern w:val="0"/>
                <w:sz w:val="21"/>
                <w:szCs w:val="21"/>
              </w:rPr>
              <w:t>地下水：主要为</w:t>
            </w:r>
            <w:r>
              <w:rPr>
                <w:rFonts w:hint="eastAsia" w:ascii="Times New Roman"/>
                <w:kern w:val="0"/>
                <w:sz w:val="21"/>
                <w:szCs w:val="21"/>
              </w:rPr>
              <w:t>油漆、</w:t>
            </w:r>
            <w:r>
              <w:rPr>
                <w:rFonts w:ascii="Times New Roman"/>
                <w:kern w:val="0"/>
                <w:sz w:val="21"/>
                <w:szCs w:val="21"/>
              </w:rPr>
              <w:t>稀释剂</w:t>
            </w:r>
            <w:r>
              <w:rPr>
                <w:rFonts w:hint="eastAsia" w:ascii="Times New Roman"/>
                <w:kern w:val="0"/>
                <w:sz w:val="21"/>
                <w:szCs w:val="21"/>
              </w:rPr>
              <w:t>、油类物质、危险废物</w:t>
            </w:r>
            <w:r>
              <w:rPr>
                <w:rFonts w:ascii="Times New Roman"/>
                <w:kern w:val="0"/>
                <w:sz w:val="21"/>
                <w:szCs w:val="21"/>
              </w:rPr>
              <w:t>因碰撞、包装不合格、设备损坏等原因导致泄漏及泵类设备失灵导致风险物质溢出，并且未及时收集处理，导致风险物质在储存区、生产使用区及厂区地面溢出，进而污染土壤及地下水。</w:t>
            </w:r>
          </w:p>
        </w:tc>
      </w:tr>
      <w:tr w14:paraId="2AE5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dxa"/>
            <w:vAlign w:val="center"/>
          </w:tcPr>
          <w:p w14:paraId="75308A78">
            <w:pPr>
              <w:jc w:val="center"/>
              <w:rPr>
                <w:rFonts w:ascii="Times New Roman"/>
                <w:kern w:val="0"/>
                <w:sz w:val="21"/>
                <w:szCs w:val="21"/>
              </w:rPr>
            </w:pPr>
            <w:r>
              <w:rPr>
                <w:rFonts w:ascii="Times New Roman"/>
                <w:kern w:val="0"/>
                <w:sz w:val="21"/>
                <w:szCs w:val="21"/>
              </w:rPr>
              <w:t>风险防范措施要求</w:t>
            </w:r>
          </w:p>
        </w:tc>
        <w:tc>
          <w:tcPr>
            <w:tcW w:w="6994" w:type="dxa"/>
            <w:gridSpan w:val="5"/>
            <w:vAlign w:val="center"/>
          </w:tcPr>
          <w:p w14:paraId="1670727F">
            <w:pPr>
              <w:rPr>
                <w:rFonts w:ascii="Times New Roman"/>
                <w:kern w:val="0"/>
                <w:sz w:val="21"/>
                <w:szCs w:val="21"/>
              </w:rPr>
            </w:pPr>
            <w:r>
              <w:rPr>
                <w:rFonts w:ascii="Times New Roman"/>
                <w:kern w:val="0"/>
                <w:sz w:val="21"/>
                <w:szCs w:val="21"/>
              </w:rPr>
              <w:t>（1）环境风险防范措施：定期检查</w:t>
            </w:r>
            <w:r>
              <w:rPr>
                <w:rFonts w:hint="eastAsia" w:ascii="Times New Roman"/>
                <w:kern w:val="0"/>
                <w:sz w:val="21"/>
                <w:szCs w:val="21"/>
              </w:rPr>
              <w:t>丙烷气瓶</w:t>
            </w:r>
            <w:r>
              <w:rPr>
                <w:rFonts w:ascii="Times New Roman"/>
                <w:kern w:val="0"/>
                <w:sz w:val="21"/>
                <w:szCs w:val="21"/>
              </w:rPr>
              <w:t>及管道的完好性，阀门、法兰及焊接口的密闭性；严格执行国家有关防火防爆的规定，设备之间保证有足够的安全距离，并要求设计消防通道；</w:t>
            </w:r>
            <w:r>
              <w:rPr>
                <w:rFonts w:hint="eastAsia" w:ascii="Times New Roman"/>
                <w:kern w:val="0"/>
                <w:sz w:val="21"/>
                <w:szCs w:val="21"/>
              </w:rPr>
              <w:t>气瓶</w:t>
            </w:r>
            <w:r>
              <w:rPr>
                <w:rFonts w:ascii="Times New Roman"/>
                <w:kern w:val="0"/>
                <w:sz w:val="21"/>
                <w:szCs w:val="21"/>
              </w:rPr>
              <w:t>区张贴有“严禁明火”“严禁火源”等告示语，禁止出现一切着火源；厂区配备相应品种和数量的消防器材。生产厂房设置烟感、火灾报警系统，可燃气体在线报警装置。项目</w:t>
            </w:r>
            <w:r>
              <w:rPr>
                <w:rFonts w:hint="eastAsia" w:ascii="Times New Roman"/>
                <w:kern w:val="0"/>
                <w:sz w:val="21"/>
                <w:szCs w:val="21"/>
              </w:rPr>
              <w:t>危化库、危废库</w:t>
            </w:r>
            <w:r>
              <w:rPr>
                <w:rFonts w:ascii="Times New Roman"/>
                <w:kern w:val="0"/>
                <w:sz w:val="21"/>
                <w:szCs w:val="21"/>
              </w:rPr>
              <w:t>做防腐防渗处理，建设围堰、收液槽。</w:t>
            </w:r>
          </w:p>
          <w:p w14:paraId="08E395E4">
            <w:pPr>
              <w:rPr>
                <w:rFonts w:ascii="Times New Roman"/>
                <w:kern w:val="0"/>
                <w:sz w:val="21"/>
                <w:szCs w:val="21"/>
              </w:rPr>
            </w:pPr>
            <w:r>
              <w:rPr>
                <w:rFonts w:ascii="Times New Roman"/>
                <w:kern w:val="0"/>
                <w:sz w:val="21"/>
                <w:szCs w:val="21"/>
              </w:rPr>
              <w:t>当发生事故时，为不使事故扩大，防止二次灾害的发生，要求及时抢险抢修，必须对各种险情进行事故前预测，保证抢险队伍的素质，遇险时应及时与当地消防部门取得联系，以获得有力支持。</w:t>
            </w:r>
          </w:p>
          <w:p w14:paraId="3F0A09ED">
            <w:pPr>
              <w:rPr>
                <w:rFonts w:ascii="Times New Roman"/>
                <w:kern w:val="0"/>
                <w:sz w:val="21"/>
                <w:szCs w:val="21"/>
              </w:rPr>
            </w:pPr>
            <w:r>
              <w:rPr>
                <w:rFonts w:hint="eastAsia" w:ascii="Times New Roman"/>
                <w:kern w:val="0"/>
                <w:sz w:val="21"/>
                <w:szCs w:val="21"/>
              </w:rPr>
              <w:t>（2）</w:t>
            </w:r>
            <w:r>
              <w:rPr>
                <w:rFonts w:ascii="Times New Roman"/>
                <w:kern w:val="0"/>
                <w:sz w:val="21"/>
                <w:szCs w:val="21"/>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0F16D837">
            <w:pPr>
              <w:rPr>
                <w:rFonts w:ascii="Times New Roman"/>
                <w:kern w:val="0"/>
                <w:sz w:val="21"/>
                <w:szCs w:val="21"/>
              </w:rPr>
            </w:pPr>
            <w:r>
              <w:rPr>
                <w:rFonts w:ascii="Times New Roman"/>
                <w:kern w:val="0"/>
                <w:sz w:val="21"/>
                <w:szCs w:val="21"/>
              </w:rPr>
              <w:t>（</w:t>
            </w:r>
            <w:r>
              <w:rPr>
                <w:rFonts w:hint="eastAsia" w:ascii="Times New Roman"/>
                <w:kern w:val="0"/>
                <w:sz w:val="21"/>
                <w:szCs w:val="21"/>
              </w:rPr>
              <w:t>3</w:t>
            </w:r>
            <w:r>
              <w:rPr>
                <w:rFonts w:ascii="Times New Roman"/>
                <w:kern w:val="0"/>
                <w:sz w:val="21"/>
                <w:szCs w:val="21"/>
              </w:rPr>
              <w:t>）</w:t>
            </w:r>
            <w:r>
              <w:rPr>
                <w:rFonts w:hint="eastAsia" w:ascii="Times New Roman"/>
                <w:kern w:val="0"/>
                <w:sz w:val="21"/>
                <w:szCs w:val="21"/>
              </w:rPr>
              <w:t>及时制定</w:t>
            </w:r>
            <w:r>
              <w:rPr>
                <w:rFonts w:ascii="Times New Roman"/>
                <w:kern w:val="0"/>
                <w:sz w:val="21"/>
                <w:szCs w:val="21"/>
              </w:rPr>
              <w:t>突发环境事件应急预案</w:t>
            </w:r>
            <w:r>
              <w:rPr>
                <w:rFonts w:hint="eastAsia"/>
                <w:sz w:val="21"/>
                <w:szCs w:val="21"/>
              </w:rPr>
              <w:t>，并报主管部门备案，定期开展应急演练。</w:t>
            </w:r>
          </w:p>
        </w:tc>
      </w:tr>
      <w:tr w14:paraId="776F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9" w:type="dxa"/>
            <w:gridSpan w:val="6"/>
            <w:vAlign w:val="center"/>
          </w:tcPr>
          <w:p w14:paraId="77511BFD">
            <w:pPr>
              <w:rPr>
                <w:sz w:val="21"/>
                <w:szCs w:val="21"/>
              </w:rPr>
            </w:pPr>
            <w:r>
              <w:rPr>
                <w:sz w:val="21"/>
                <w:szCs w:val="21"/>
              </w:rPr>
              <w:t>填表说明（列出项目相关信息及评价说明）：</w:t>
            </w:r>
          </w:p>
          <w:p w14:paraId="5BD393BF">
            <w:pPr>
              <w:pStyle w:val="20"/>
              <w:rPr>
                <w:rFonts w:eastAsia="宋体"/>
                <w:szCs w:val="21"/>
              </w:rPr>
            </w:pPr>
            <w:r>
              <w:rPr>
                <w:rFonts w:eastAsia="宋体"/>
                <w:szCs w:val="21"/>
              </w:rPr>
              <w:t>经过风险分析和评价得出结论：本项目事故风险水平较低，在进一步采取安全防范措施和事故应急预案后，基本满足国家有关环境保护和安全法规、标准的要求。项目对厂外环境的风险影响处于可以接受的范围内，但企业仍需要提高风险管理水平和强化风险防范措施。因此，只要严格遵守各项安全操作规程和制度，加强安全管理，本项目完工后，其生产是安全可靠的</w:t>
            </w:r>
            <w:r>
              <w:rPr>
                <w:rFonts w:hint="eastAsia" w:eastAsia="宋体"/>
                <w:szCs w:val="21"/>
              </w:rPr>
              <w:t>。</w:t>
            </w:r>
          </w:p>
        </w:tc>
      </w:tr>
    </w:tbl>
    <w:p w14:paraId="0F75A0AF">
      <w:pPr>
        <w:tabs>
          <w:tab w:val="left" w:pos="1170"/>
        </w:tabs>
        <w:spacing w:line="520" w:lineRule="exact"/>
        <w:outlineLvl w:val="2"/>
        <w:rPr>
          <w:rFonts w:ascii="Times New Roman"/>
          <w:b/>
          <w:sz w:val="28"/>
          <w:szCs w:val="28"/>
        </w:rPr>
      </w:pPr>
      <w:r>
        <w:rPr>
          <w:rFonts w:ascii="Times New Roman"/>
          <w:b/>
          <w:sz w:val="28"/>
          <w:szCs w:val="28"/>
        </w:rPr>
        <w:t>5.2.8土壤环境影响预测与评价</w:t>
      </w:r>
    </w:p>
    <w:p w14:paraId="24C27964">
      <w:pPr>
        <w:spacing w:line="520" w:lineRule="exact"/>
        <w:outlineLvl w:val="3"/>
        <w:rPr>
          <w:rFonts w:ascii="Times New Roman"/>
          <w:b/>
          <w:sz w:val="24"/>
          <w:szCs w:val="24"/>
        </w:rPr>
      </w:pPr>
      <w:r>
        <w:rPr>
          <w:rFonts w:ascii="Times New Roman"/>
          <w:b/>
          <w:sz w:val="24"/>
          <w:szCs w:val="24"/>
        </w:rPr>
        <w:t>5.2.8.1预测评价范围</w:t>
      </w:r>
    </w:p>
    <w:p w14:paraId="582680FF">
      <w:pPr>
        <w:autoSpaceDE w:val="0"/>
        <w:autoSpaceDN w:val="0"/>
        <w:adjustRightInd w:val="0"/>
        <w:spacing w:line="480" w:lineRule="exact"/>
        <w:ind w:firstLine="480" w:firstLineChars="200"/>
        <w:jc w:val="left"/>
        <w:rPr>
          <w:rFonts w:ascii="Times New Roman"/>
          <w:sz w:val="24"/>
          <w:szCs w:val="24"/>
        </w:rPr>
      </w:pPr>
      <w:r>
        <w:rPr>
          <w:rFonts w:ascii="Times New Roman"/>
          <w:kern w:val="0"/>
          <w:sz w:val="24"/>
          <w:szCs w:val="24"/>
        </w:rPr>
        <w:t>依据《环境影响评价技术导则土壤环境（试行）》（HJ964-2018），</w:t>
      </w:r>
      <w:r>
        <w:rPr>
          <w:rFonts w:ascii="Times New Roman"/>
          <w:sz w:val="24"/>
          <w:szCs w:val="24"/>
        </w:rPr>
        <w:t>本项目土壤评价等级为二级，评价范围为</w:t>
      </w:r>
      <w:r>
        <w:rPr>
          <w:rFonts w:hint="eastAsia" w:ascii="Times New Roman"/>
          <w:sz w:val="24"/>
          <w:szCs w:val="24"/>
        </w:rPr>
        <w:t>厂区及</w:t>
      </w:r>
      <w:r>
        <w:rPr>
          <w:rFonts w:ascii="Times New Roman"/>
          <w:sz w:val="24"/>
          <w:szCs w:val="24"/>
        </w:rPr>
        <w:t>占地范围外0.2km范围内。本项目评价范围内无敏感目标，土地性质为工业用地。根据导则要求，本项目重点预测评价范围内土壤的累积影响，说明对土壤环境产生的影响及趋势。</w:t>
      </w:r>
    </w:p>
    <w:p w14:paraId="779CC518">
      <w:pPr>
        <w:jc w:val="center"/>
      </w:pPr>
      <w:r>
        <mc:AlternateContent>
          <mc:Choice Requires="wps">
            <w:drawing>
              <wp:anchor distT="0" distB="0" distL="114300" distR="114300" simplePos="0" relativeHeight="251703296" behindDoc="0" locked="0" layoutInCell="1" allowOverlap="1">
                <wp:simplePos x="0" y="0"/>
                <wp:positionH relativeFrom="column">
                  <wp:posOffset>4364990</wp:posOffset>
                </wp:positionH>
                <wp:positionV relativeFrom="paragraph">
                  <wp:posOffset>156210</wp:posOffset>
                </wp:positionV>
                <wp:extent cx="533400" cy="542925"/>
                <wp:effectExtent l="0" t="0" r="0" b="0"/>
                <wp:wrapNone/>
                <wp:docPr id="255" name="文本框 255"/>
                <wp:cNvGraphicFramePr/>
                <a:graphic xmlns:a="http://schemas.openxmlformats.org/drawingml/2006/main">
                  <a:graphicData uri="http://schemas.microsoft.com/office/word/2010/wordprocessingShape">
                    <wps:wsp>
                      <wps:cNvSpPr txBox="1"/>
                      <wps:spPr>
                        <a:xfrm>
                          <a:off x="6020435" y="5538470"/>
                          <a:ext cx="533400" cy="542925"/>
                        </a:xfrm>
                        <a:prstGeom prst="rect">
                          <a:avLst/>
                        </a:prstGeom>
                        <a:noFill/>
                        <a:ln w="6350">
                          <a:noFill/>
                        </a:ln>
                        <a:effectLst/>
                      </wps:spPr>
                      <wps:txbx>
                        <w:txbxContent>
                          <w:p w14:paraId="2BC14D7E">
                            <w:pPr>
                              <w:rPr>
                                <w:rFonts w:ascii="Times New Roman"/>
                                <w:b/>
                                <w:bCs/>
                                <w:highlight w:val="yellow"/>
                              </w:rPr>
                            </w:pPr>
                            <w:r>
                              <w:rPr>
                                <w:rFonts w:ascii="Times New Roman"/>
                                <w:b/>
                                <w:bCs/>
                                <w:highlight w:val="yellow"/>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7pt;margin-top:12.3pt;height:42.75pt;width:42pt;z-index:251703296;mso-width-relative:page;mso-height-relative:page;" filled="f" stroked="f" coordsize="21600,21600" o:gfxdata="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6mEh2gAAAAoBAAAP&#10;AAAAAAAAAAEAIAAAACIAAABkcnMvZG93bnJldi54bWxQSwECFAAUAAAACACHTuJAvwE4uE8CAACD&#10;BAAADgAAAAAAAAABACAAAAApAQAAZHJzL2Uyb0RvYy54bWxQSwUGAAAAAAYABgBZAQAA6gUAAAAA&#10;">
                <v:fill on="f" focussize="0,0"/>
                <v:stroke on="f" weight="0.5pt"/>
                <v:imagedata o:title=""/>
                <o:lock v:ext="edit" aspectratio="f"/>
                <v:textbox>
                  <w:txbxContent>
                    <w:p w14:paraId="2BC14D7E">
                      <w:pPr>
                        <w:rPr>
                          <w:rFonts w:ascii="Times New Roman"/>
                          <w:b/>
                          <w:bCs/>
                          <w:highlight w:val="yellow"/>
                        </w:rPr>
                      </w:pPr>
                      <w:r>
                        <w:rPr>
                          <w:rFonts w:ascii="Times New Roman"/>
                          <w:b/>
                          <w:bCs/>
                          <w:highlight w:val="yellow"/>
                        </w:rPr>
                        <w:t>N</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4280535</wp:posOffset>
                </wp:positionH>
                <wp:positionV relativeFrom="paragraph">
                  <wp:posOffset>43180</wp:posOffset>
                </wp:positionV>
                <wp:extent cx="171450" cy="533400"/>
                <wp:effectExtent l="12700" t="12700" r="19050" b="12700"/>
                <wp:wrapNone/>
                <wp:docPr id="256" name="上箭头 256"/>
                <wp:cNvGraphicFramePr/>
                <a:graphic xmlns:a="http://schemas.openxmlformats.org/drawingml/2006/main">
                  <a:graphicData uri="http://schemas.microsoft.com/office/word/2010/wordprocessingShape">
                    <wps:wsp>
                      <wps:cNvSpPr/>
                      <wps:spPr>
                        <a:xfrm>
                          <a:off x="5744210" y="5443220"/>
                          <a:ext cx="171450" cy="533400"/>
                        </a:xfrm>
                        <a:prstGeom prst="upArrow">
                          <a:avLst/>
                        </a:prstGeom>
                        <a:solidFill>
                          <a:srgbClr val="000000"/>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7.05pt;margin-top:3.4pt;height:42pt;width:13.5pt;z-index:251702272;v-text-anchor:middle;mso-width-relative:page;mso-height-relative:page;" fillcolor="#000000" filled="t" stroked="t" coordsize="21600,21600" o:gfxdata="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mQ6vS1QAAAAgBAAAPAAAAAAAAAAEAIAAAACIAAABkcnMv&#10;ZG93bnJldi54bWxQSwECFAAUAAAACACHTuJAb8LhM3gCAAAABQAADgAAAAAAAAABACAAAAAkAQAA&#10;ZHJzL2Uyb0RvYy54bWxQSwUGAAAAAAYABgBZAQAADgYAAAAA&#10;" adj="3471,5400">
                <v:fill on="t" focussize="0,0"/>
                <v:stroke weight="2pt" color="#000000" joinstyle="round"/>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1144905</wp:posOffset>
                </wp:positionH>
                <wp:positionV relativeFrom="paragraph">
                  <wp:posOffset>2987040</wp:posOffset>
                </wp:positionV>
                <wp:extent cx="1162050" cy="33401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162050" cy="334010"/>
                        </a:xfrm>
                        <a:prstGeom prst="rect">
                          <a:avLst/>
                        </a:prstGeom>
                        <a:noFill/>
                        <a:ln w="6350">
                          <a:noFill/>
                        </a:ln>
                        <a:effectLst/>
                      </wps:spPr>
                      <wps:txbx>
                        <w:txbxContent>
                          <w:p w14:paraId="4FE24730">
                            <w:pPr>
                              <w:rPr>
                                <w:sz w:val="21"/>
                                <w:szCs w:val="21"/>
                              </w:rPr>
                            </w:pPr>
                            <w:r>
                              <w:rPr>
                                <w:rFonts w:hint="eastAsia"/>
                                <w:sz w:val="21"/>
                                <w:szCs w:val="21"/>
                              </w:rPr>
                              <w:t>土壤评价范围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235.2pt;height:26.3pt;width:91.5pt;z-index:251708416;mso-width-relative:page;mso-height-relative:page;" filled="f" stroked="f" coordsize="21600,21600" o:gfxdata="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hL+IdsAAAALAQAADwAAAAAAAAABACAAAAAi&#10;AAAAZHJzL2Rvd25yZXYueG1sUEsBAhQAFAAAAAgAh07iQMM803dAAgAAeAQAAA4AAAAAAAAAAQAg&#10;AAAAKgEAAGRycy9lMm9Eb2MueG1sUEsFBgAAAAAGAAYAWQEAANwFAAAAAA==&#10;">
                <v:fill on="f" focussize="0,0"/>
                <v:stroke on="f" weight="0.5pt"/>
                <v:imagedata o:title=""/>
                <o:lock v:ext="edit" aspectratio="f"/>
                <v:textbox>
                  <w:txbxContent>
                    <w:p w14:paraId="4FE24730">
                      <w:pPr>
                        <w:rPr>
                          <w:sz w:val="21"/>
                          <w:szCs w:val="21"/>
                        </w:rPr>
                      </w:pPr>
                      <w:r>
                        <w:rPr>
                          <w:rFonts w:hint="eastAsia"/>
                          <w:sz w:val="21"/>
                          <w:szCs w:val="21"/>
                        </w:rPr>
                        <w:t>土壤评价范围</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1139190</wp:posOffset>
                </wp:positionH>
                <wp:positionV relativeFrom="paragraph">
                  <wp:posOffset>2616200</wp:posOffset>
                </wp:positionV>
                <wp:extent cx="1162050" cy="334010"/>
                <wp:effectExtent l="0" t="0" r="0" b="0"/>
                <wp:wrapNone/>
                <wp:docPr id="242" name="文本框 242"/>
                <wp:cNvGraphicFramePr/>
                <a:graphic xmlns:a="http://schemas.openxmlformats.org/drawingml/2006/main">
                  <a:graphicData uri="http://schemas.microsoft.com/office/word/2010/wordprocessingShape">
                    <wps:wsp>
                      <wps:cNvSpPr txBox="1"/>
                      <wps:spPr>
                        <a:xfrm>
                          <a:off x="1810385" y="8214995"/>
                          <a:ext cx="1162050" cy="334010"/>
                        </a:xfrm>
                        <a:prstGeom prst="rect">
                          <a:avLst/>
                        </a:prstGeom>
                        <a:noFill/>
                        <a:ln w="6350">
                          <a:noFill/>
                        </a:ln>
                        <a:effectLst/>
                      </wps:spPr>
                      <wps:txbx>
                        <w:txbxContent>
                          <w:p w14:paraId="04EE4064">
                            <w:pPr>
                              <w:rPr>
                                <w:sz w:val="21"/>
                                <w:szCs w:val="21"/>
                              </w:rPr>
                            </w:pPr>
                            <w:r>
                              <w:rPr>
                                <w:rFonts w:hint="eastAsia"/>
                                <w:sz w:val="21"/>
                                <w:szCs w:val="21"/>
                              </w:rPr>
                              <w:t>项目占地范围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7pt;margin-top:206pt;height:26.3pt;width:91.5pt;z-index:251707392;mso-width-relative:page;mso-height-relative:page;" filled="f" stroked="f" coordsize="21600,21600" o:gfxdata="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H3hb2wAAAAsBAAAP&#10;AAAAAAAAAAEAIAAAACIAAABkcnMvZG93bnJldi54bWxQSwECFAAUAAAACACHTuJABscvZE4CAACE&#10;BAAADgAAAAAAAAABACAAAAAqAQAAZHJzL2Uyb0RvYy54bWxQSwUGAAAAAAYABgBZAQAA6gUAAAAA&#10;">
                <v:fill on="f" focussize="0,0"/>
                <v:stroke on="f" weight="0.5pt"/>
                <v:imagedata o:title=""/>
                <o:lock v:ext="edit" aspectratio="f"/>
                <v:textbox>
                  <w:txbxContent>
                    <w:p w14:paraId="04EE4064">
                      <w:pPr>
                        <w:rPr>
                          <w:sz w:val="21"/>
                          <w:szCs w:val="21"/>
                        </w:rPr>
                      </w:pPr>
                      <w:r>
                        <w:rPr>
                          <w:rFonts w:hint="eastAsia"/>
                          <w:sz w:val="21"/>
                          <w:szCs w:val="21"/>
                        </w:rPr>
                        <w:t>项目占地范围</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736600</wp:posOffset>
                </wp:positionH>
                <wp:positionV relativeFrom="paragraph">
                  <wp:posOffset>3032760</wp:posOffset>
                </wp:positionV>
                <wp:extent cx="381000" cy="209550"/>
                <wp:effectExtent l="4445" t="4445" r="8255" b="14605"/>
                <wp:wrapNone/>
                <wp:docPr id="253" name="文本框 253"/>
                <wp:cNvGraphicFramePr/>
                <a:graphic xmlns:a="http://schemas.openxmlformats.org/drawingml/2006/main">
                  <a:graphicData uri="http://schemas.microsoft.com/office/word/2010/wordprocessingShape">
                    <wps:wsp>
                      <wps:cNvSpPr txBox="1"/>
                      <wps:spPr>
                        <a:xfrm>
                          <a:off x="0" y="0"/>
                          <a:ext cx="381000" cy="209550"/>
                        </a:xfrm>
                        <a:prstGeom prst="rect">
                          <a:avLst/>
                        </a:prstGeom>
                        <a:solidFill>
                          <a:srgbClr val="FFFFFF"/>
                        </a:solidFill>
                        <a:ln w="6350">
                          <a:solidFill>
                            <a:srgbClr val="0000E1"/>
                          </a:solidFill>
                        </a:ln>
                        <a:effectLst/>
                      </wps:spPr>
                      <wps:txbx>
                        <w:txbxContent>
                          <w:p w14:paraId="1CE54BD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238.8pt;height:16.5pt;width:30pt;z-index:251706368;mso-width-relative:page;mso-height-relative:page;" fillcolor="#FFFFFF" filled="t" stroked="t" coordsize="21600,21600" o:gfxdata="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C/4K1wAAAAsBAAAPAAAAAAAAAAEAIAAAACIAAABkcnMvZG93bnJldi54bWxQSwECFAAUAAAACACH&#10;TuJAT3775l4CAADJBAAADgAAAAAAAAABACAAAAAmAQAAZHJzL2Uyb0RvYy54bWxQSwUGAAAAAAYA&#10;BgBZAQAA9gUAAAAA&#10;">
                <v:fill on="t" focussize="0,0"/>
                <v:stroke weight="0.5pt" color="#0000E1" joinstyle="round"/>
                <v:imagedata o:title=""/>
                <o:lock v:ext="edit" aspectratio="f"/>
                <v:textbox>
                  <w:txbxContent>
                    <w:p w14:paraId="1CE54BDA"/>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660400</wp:posOffset>
                </wp:positionH>
                <wp:positionV relativeFrom="paragraph">
                  <wp:posOffset>2337435</wp:posOffset>
                </wp:positionV>
                <wp:extent cx="1657350" cy="1095375"/>
                <wp:effectExtent l="4445" t="4445" r="14605" b="5080"/>
                <wp:wrapNone/>
                <wp:docPr id="254" name="文本框 254"/>
                <wp:cNvGraphicFramePr/>
                <a:graphic xmlns:a="http://schemas.openxmlformats.org/drawingml/2006/main">
                  <a:graphicData uri="http://schemas.microsoft.com/office/word/2010/wordprocessingShape">
                    <wps:wsp>
                      <wps:cNvSpPr txBox="1"/>
                      <wps:spPr>
                        <a:xfrm>
                          <a:off x="1162685" y="8234045"/>
                          <a:ext cx="1657350" cy="1095375"/>
                        </a:xfrm>
                        <a:prstGeom prst="rect">
                          <a:avLst/>
                        </a:prstGeom>
                        <a:solidFill>
                          <a:srgbClr val="FFFFFF"/>
                        </a:solidFill>
                        <a:ln w="6350">
                          <a:solidFill>
                            <a:prstClr val="black"/>
                          </a:solidFill>
                        </a:ln>
                        <a:effectLst/>
                      </wps:spPr>
                      <wps:txbx>
                        <w:txbxContent>
                          <w:p w14:paraId="4A8DEE66">
                            <w:pPr>
                              <w:rPr>
                                <w:b/>
                                <w:bCs/>
                                <w:sz w:val="21"/>
                                <w:szCs w:val="21"/>
                              </w:rPr>
                            </w:pPr>
                            <w:r>
                              <w:rPr>
                                <w:rFonts w:hint="eastAsia"/>
                                <w:b/>
                                <w:bCs/>
                                <w:sz w:val="21"/>
                                <w:szCs w:val="21"/>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184.05pt;height:86.25pt;width:130.5pt;z-index:251704320;mso-width-relative:page;mso-height-relative:page;" fillcolor="#FFFFFF" filled="t" stroked="t" coordsize="21600,21600" o:gfxdata="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3hcIrXAAAACwEAAA8AAAAAAAAAAQAgAAAAIgAAAGRycy9kb3ducmV2&#10;LnhtbFBLAQIUABQAAAAIAIdO4kDhihokbwIAANYEAAAOAAAAAAAAAAEAIAAAACYBAABkcnMvZTJv&#10;RG9jLnhtbFBLBQYAAAAABgAGAFkBAAAHBgAAAAA=&#10;">
                <v:fill on="t" focussize="0,0"/>
                <v:stroke weight="0.5pt" color="#000000" joinstyle="round"/>
                <v:imagedata o:title=""/>
                <o:lock v:ext="edit" aspectratio="f"/>
                <v:textbox>
                  <w:txbxContent>
                    <w:p w14:paraId="4A8DEE66">
                      <w:pPr>
                        <w:rPr>
                          <w:b/>
                          <w:bCs/>
                          <w:sz w:val="21"/>
                          <w:szCs w:val="21"/>
                        </w:rPr>
                      </w:pPr>
                      <w:r>
                        <w:rPr>
                          <w:rFonts w:hint="eastAsia"/>
                          <w:b/>
                          <w:bCs/>
                          <w:sz w:val="21"/>
                          <w:szCs w:val="21"/>
                        </w:rPr>
                        <w:t>图例：</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746125</wp:posOffset>
                </wp:positionH>
                <wp:positionV relativeFrom="paragraph">
                  <wp:posOffset>2680335</wp:posOffset>
                </wp:positionV>
                <wp:extent cx="381000" cy="209550"/>
                <wp:effectExtent l="4445" t="4445" r="8255" b="14605"/>
                <wp:wrapNone/>
                <wp:docPr id="252" name="文本框 252"/>
                <wp:cNvGraphicFramePr/>
                <a:graphic xmlns:a="http://schemas.openxmlformats.org/drawingml/2006/main">
                  <a:graphicData uri="http://schemas.microsoft.com/office/word/2010/wordprocessingShape">
                    <wps:wsp>
                      <wps:cNvSpPr txBox="1"/>
                      <wps:spPr>
                        <a:xfrm>
                          <a:off x="1276985" y="8348345"/>
                          <a:ext cx="381000" cy="209550"/>
                        </a:xfrm>
                        <a:prstGeom prst="rect">
                          <a:avLst/>
                        </a:prstGeom>
                        <a:solidFill>
                          <a:srgbClr val="FFFFFF"/>
                        </a:solidFill>
                        <a:ln w="6350">
                          <a:solidFill>
                            <a:srgbClr val="FF0000"/>
                          </a:solidFill>
                        </a:ln>
                        <a:effectLst/>
                      </wps:spPr>
                      <wps:txbx>
                        <w:txbxContent>
                          <w:p w14:paraId="226D054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75pt;margin-top:211.05pt;height:16.5pt;width:30pt;z-index:251705344;mso-width-relative:page;mso-height-relative:page;" fillcolor="#FFFFFF" filled="t" stroked="t" coordsize="21600,21600" o:gfxdata="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8+Q5NoAAAALAQAADwAAAAAAAAABACAAAAAiAAAAZHJzL2Rvd25yZXYu&#10;eG1sUEsBAhQAFAAAAAgAh07iQLPmjbNrAgAA1QQAAA4AAAAAAAAAAQAgAAAAKQEAAGRycy9lMm9E&#10;b2MueG1sUEsFBgAAAAAGAAYAWQEAAAYGAAAAAA==&#10;">
                <v:fill on="t" focussize="0,0"/>
                <v:stroke weight="0.5pt" color="#FF0000" joinstyle="round"/>
                <v:imagedata o:title=""/>
                <o:lock v:ext="edit" aspectratio="f"/>
                <v:textbox>
                  <w:txbxContent>
                    <w:p w14:paraId="226D054D"/>
                  </w:txbxContent>
                </v:textbox>
              </v:shape>
            </w:pict>
          </mc:Fallback>
        </mc:AlternateContent>
      </w:r>
      <w:r>
        <w:drawing>
          <wp:inline distT="0" distB="0" distL="114300" distR="114300">
            <wp:extent cx="3952875" cy="3438525"/>
            <wp:effectExtent l="0" t="0" r="9525" b="952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66" cstate="print"/>
                    <a:stretch>
                      <a:fillRect/>
                    </a:stretch>
                  </pic:blipFill>
                  <pic:spPr>
                    <a:xfrm>
                      <a:off x="0" y="0"/>
                      <a:ext cx="3952875" cy="3438525"/>
                    </a:xfrm>
                    <a:prstGeom prst="rect">
                      <a:avLst/>
                    </a:prstGeom>
                    <a:noFill/>
                    <a:ln>
                      <a:noFill/>
                    </a:ln>
                  </pic:spPr>
                </pic:pic>
              </a:graphicData>
            </a:graphic>
          </wp:inline>
        </w:drawing>
      </w:r>
    </w:p>
    <w:p w14:paraId="20015FEE">
      <w:pPr>
        <w:tabs>
          <w:tab w:val="left" w:pos="360"/>
          <w:tab w:val="left" w:pos="2207"/>
        </w:tabs>
        <w:jc w:val="center"/>
        <w:rPr>
          <w:rFonts w:ascii="Times New Roman"/>
          <w:b/>
          <w:bCs/>
          <w:sz w:val="24"/>
          <w:szCs w:val="24"/>
        </w:rPr>
      </w:pPr>
      <w:r>
        <w:rPr>
          <w:rFonts w:ascii="Times New Roman"/>
          <w:b/>
          <w:bCs/>
          <w:sz w:val="24"/>
          <w:szCs w:val="24"/>
        </w:rPr>
        <w:t>图</w:t>
      </w:r>
      <w:r>
        <w:rPr>
          <w:rFonts w:hint="eastAsia" w:ascii="Times New Roman"/>
          <w:b/>
          <w:bCs/>
          <w:sz w:val="24"/>
          <w:szCs w:val="24"/>
        </w:rPr>
        <w:t>5.2.8</w:t>
      </w:r>
      <w:r>
        <w:rPr>
          <w:rFonts w:ascii="Times New Roman"/>
          <w:b/>
          <w:bCs/>
          <w:sz w:val="24"/>
          <w:szCs w:val="24"/>
        </w:rPr>
        <w:t>-</w:t>
      </w:r>
      <w:r>
        <w:rPr>
          <w:rFonts w:hint="eastAsia" w:ascii="Times New Roman"/>
          <w:b/>
          <w:bCs/>
          <w:sz w:val="24"/>
          <w:szCs w:val="24"/>
        </w:rPr>
        <w:t>1</w:t>
      </w:r>
      <w:r>
        <w:rPr>
          <w:rFonts w:ascii="Times New Roman"/>
          <w:b/>
          <w:bCs/>
          <w:sz w:val="24"/>
          <w:szCs w:val="24"/>
        </w:rPr>
        <w:t xml:space="preserve">  土壤环境评价范围图</w:t>
      </w:r>
    </w:p>
    <w:p w14:paraId="4C3EEFCE">
      <w:pPr>
        <w:spacing w:line="520" w:lineRule="exact"/>
        <w:outlineLvl w:val="3"/>
        <w:rPr>
          <w:rFonts w:ascii="Times New Roman"/>
          <w:b/>
          <w:sz w:val="24"/>
          <w:szCs w:val="24"/>
        </w:rPr>
      </w:pPr>
      <w:r>
        <w:rPr>
          <w:rFonts w:ascii="Times New Roman"/>
          <w:b/>
          <w:sz w:val="24"/>
          <w:szCs w:val="24"/>
        </w:rPr>
        <w:t>5.2.8.2影响途径</w:t>
      </w:r>
    </w:p>
    <w:p w14:paraId="0CC9D2D7">
      <w:pPr>
        <w:widowControl/>
        <w:autoSpaceDE w:val="0"/>
        <w:autoSpaceDN w:val="0"/>
        <w:adjustRightInd w:val="0"/>
        <w:spacing w:line="480" w:lineRule="exact"/>
        <w:ind w:firstLine="480" w:firstLineChars="200"/>
        <w:jc w:val="left"/>
        <w:rPr>
          <w:rFonts w:ascii="Times New Roman"/>
          <w:kern w:val="0"/>
          <w:sz w:val="24"/>
          <w:szCs w:val="24"/>
        </w:rPr>
      </w:pPr>
      <w:r>
        <w:rPr>
          <w:rFonts w:ascii="Times New Roman"/>
          <w:kern w:val="0"/>
          <w:sz w:val="24"/>
          <w:szCs w:val="24"/>
        </w:rPr>
        <w:t>拟建项目施工期主要为土方施工、厂房建设及设备安装，主要污染物为施工期扬尘，不涉及土壤污染影响。营运期污水处理站在事故泄露工况下下渗将会对土壤造成垂直入渗影响。本项目影响类型见</w:t>
      </w:r>
      <w:r>
        <w:rPr>
          <w:rFonts w:hint="eastAsia" w:ascii="Times New Roman"/>
          <w:kern w:val="0"/>
          <w:sz w:val="24"/>
          <w:szCs w:val="24"/>
        </w:rPr>
        <w:t>下</w:t>
      </w:r>
      <w:r>
        <w:rPr>
          <w:rFonts w:ascii="Times New Roman"/>
          <w:kern w:val="0"/>
          <w:sz w:val="24"/>
          <w:szCs w:val="24"/>
        </w:rPr>
        <w:t>表。</w:t>
      </w:r>
    </w:p>
    <w:p w14:paraId="030059B8">
      <w:pPr>
        <w:widowControl/>
        <w:autoSpaceDE w:val="0"/>
        <w:autoSpaceDN w:val="0"/>
        <w:adjustRightInd w:val="0"/>
        <w:spacing w:line="480" w:lineRule="exact"/>
        <w:jc w:val="center"/>
        <w:rPr>
          <w:rFonts w:ascii="Times New Roman"/>
          <w:b/>
          <w:kern w:val="0"/>
          <w:sz w:val="24"/>
          <w:szCs w:val="24"/>
        </w:rPr>
      </w:pPr>
      <w:r>
        <w:rPr>
          <w:rFonts w:ascii="Times New Roman"/>
          <w:b/>
          <w:kern w:val="0"/>
          <w:sz w:val="24"/>
          <w:szCs w:val="24"/>
        </w:rPr>
        <w:t>表5.2</w:t>
      </w:r>
      <w:r>
        <w:rPr>
          <w:rFonts w:hint="eastAsia" w:ascii="Times New Roman"/>
          <w:b/>
          <w:kern w:val="0"/>
          <w:sz w:val="24"/>
          <w:szCs w:val="24"/>
        </w:rPr>
        <w:t>.8</w:t>
      </w:r>
      <w:r>
        <w:rPr>
          <w:rFonts w:ascii="Times New Roman"/>
          <w:b/>
          <w:kern w:val="0"/>
          <w:sz w:val="24"/>
          <w:szCs w:val="24"/>
        </w:rPr>
        <w:t>-</w:t>
      </w:r>
      <w:r>
        <w:rPr>
          <w:rFonts w:hint="eastAsia" w:ascii="Times New Roman"/>
          <w:b/>
          <w:kern w:val="0"/>
          <w:sz w:val="24"/>
          <w:szCs w:val="24"/>
        </w:rPr>
        <w:t>1</w:t>
      </w:r>
      <w:r>
        <w:rPr>
          <w:rFonts w:ascii="Times New Roman"/>
          <w:b/>
          <w:kern w:val="0"/>
          <w:sz w:val="24"/>
          <w:szCs w:val="24"/>
        </w:rPr>
        <w:t xml:space="preserve">  建设项目土壤环境影响类型与影响途径表</w:t>
      </w:r>
    </w:p>
    <w:tbl>
      <w:tblPr>
        <w:tblStyle w:val="84"/>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100"/>
        <w:gridCol w:w="1104"/>
        <w:gridCol w:w="1101"/>
        <w:gridCol w:w="837"/>
        <w:gridCol w:w="686"/>
        <w:gridCol w:w="686"/>
        <w:gridCol w:w="691"/>
        <w:gridCol w:w="747"/>
      </w:tblGrid>
      <w:tr w14:paraId="74CD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12" w:type="pct"/>
            <w:vMerge w:val="restart"/>
            <w:vAlign w:val="center"/>
          </w:tcPr>
          <w:p w14:paraId="152E978C">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不同时段</w:t>
            </w:r>
          </w:p>
        </w:tc>
        <w:tc>
          <w:tcPr>
            <w:tcW w:w="2495" w:type="pct"/>
            <w:gridSpan w:val="4"/>
            <w:vAlign w:val="center"/>
          </w:tcPr>
          <w:p w14:paraId="59301F3A">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污染影响型</w:t>
            </w:r>
          </w:p>
        </w:tc>
        <w:tc>
          <w:tcPr>
            <w:tcW w:w="1692" w:type="pct"/>
            <w:gridSpan w:val="4"/>
            <w:vAlign w:val="center"/>
          </w:tcPr>
          <w:p w14:paraId="631AC325">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生态影响型</w:t>
            </w:r>
          </w:p>
        </w:tc>
      </w:tr>
      <w:tr w14:paraId="3D6A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12" w:type="pct"/>
            <w:vMerge w:val="continue"/>
            <w:vAlign w:val="center"/>
          </w:tcPr>
          <w:p w14:paraId="5AEB4162">
            <w:pPr>
              <w:widowControl/>
              <w:autoSpaceDE w:val="0"/>
              <w:autoSpaceDN w:val="0"/>
              <w:adjustRightInd w:val="0"/>
              <w:spacing w:line="300" w:lineRule="exact"/>
              <w:jc w:val="center"/>
              <w:rPr>
                <w:rFonts w:ascii="Times New Roman"/>
                <w:kern w:val="0"/>
                <w:sz w:val="21"/>
                <w:szCs w:val="21"/>
              </w:rPr>
            </w:pPr>
          </w:p>
        </w:tc>
        <w:tc>
          <w:tcPr>
            <w:tcW w:w="663" w:type="pct"/>
            <w:vAlign w:val="center"/>
          </w:tcPr>
          <w:p w14:paraId="5542D966">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大气沉降</w:t>
            </w:r>
          </w:p>
        </w:tc>
        <w:tc>
          <w:tcPr>
            <w:tcW w:w="665" w:type="pct"/>
            <w:vAlign w:val="center"/>
          </w:tcPr>
          <w:p w14:paraId="6D89812B">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地面漫流</w:t>
            </w:r>
          </w:p>
        </w:tc>
        <w:tc>
          <w:tcPr>
            <w:tcW w:w="663" w:type="pct"/>
            <w:vAlign w:val="center"/>
          </w:tcPr>
          <w:p w14:paraId="25A73031">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垂直入渗</w:t>
            </w:r>
          </w:p>
        </w:tc>
        <w:tc>
          <w:tcPr>
            <w:tcW w:w="502" w:type="pct"/>
            <w:vAlign w:val="center"/>
          </w:tcPr>
          <w:p w14:paraId="722D121B">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其它</w:t>
            </w:r>
          </w:p>
        </w:tc>
        <w:tc>
          <w:tcPr>
            <w:tcW w:w="413" w:type="pct"/>
            <w:vAlign w:val="center"/>
          </w:tcPr>
          <w:p w14:paraId="20EF3F2B">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盐化</w:t>
            </w:r>
          </w:p>
        </w:tc>
        <w:tc>
          <w:tcPr>
            <w:tcW w:w="413" w:type="pct"/>
            <w:vAlign w:val="center"/>
          </w:tcPr>
          <w:p w14:paraId="508DE0FE">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碱化</w:t>
            </w:r>
          </w:p>
        </w:tc>
        <w:tc>
          <w:tcPr>
            <w:tcW w:w="416" w:type="pct"/>
            <w:vAlign w:val="center"/>
          </w:tcPr>
          <w:p w14:paraId="355FD2D3">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酸化</w:t>
            </w:r>
          </w:p>
        </w:tc>
        <w:tc>
          <w:tcPr>
            <w:tcW w:w="449" w:type="pct"/>
            <w:vAlign w:val="center"/>
          </w:tcPr>
          <w:p w14:paraId="3C6807EE">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其它</w:t>
            </w:r>
          </w:p>
        </w:tc>
      </w:tr>
      <w:tr w14:paraId="5A20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12" w:type="pct"/>
            <w:vAlign w:val="center"/>
          </w:tcPr>
          <w:p w14:paraId="34D2D4C5">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建设期</w:t>
            </w:r>
          </w:p>
        </w:tc>
        <w:tc>
          <w:tcPr>
            <w:tcW w:w="663" w:type="pct"/>
            <w:vAlign w:val="center"/>
          </w:tcPr>
          <w:p w14:paraId="179BFF57">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665" w:type="pct"/>
            <w:vAlign w:val="center"/>
          </w:tcPr>
          <w:p w14:paraId="20E319EC">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663" w:type="pct"/>
            <w:vAlign w:val="center"/>
          </w:tcPr>
          <w:p w14:paraId="57584DE1">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502" w:type="pct"/>
            <w:vAlign w:val="center"/>
          </w:tcPr>
          <w:p w14:paraId="730783D3">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3" w:type="pct"/>
            <w:vAlign w:val="center"/>
          </w:tcPr>
          <w:p w14:paraId="0562AE68">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3" w:type="pct"/>
            <w:vAlign w:val="center"/>
          </w:tcPr>
          <w:p w14:paraId="299004A6">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6" w:type="pct"/>
            <w:vAlign w:val="center"/>
          </w:tcPr>
          <w:p w14:paraId="0BD65507">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49" w:type="pct"/>
            <w:vAlign w:val="center"/>
          </w:tcPr>
          <w:p w14:paraId="08832B6E">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r>
      <w:tr w14:paraId="015E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12" w:type="pct"/>
            <w:vAlign w:val="center"/>
          </w:tcPr>
          <w:p w14:paraId="1AD5ECF5">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运营期</w:t>
            </w:r>
          </w:p>
        </w:tc>
        <w:tc>
          <w:tcPr>
            <w:tcW w:w="663" w:type="pct"/>
            <w:vAlign w:val="center"/>
          </w:tcPr>
          <w:p w14:paraId="68DB34BE">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665" w:type="pct"/>
            <w:vAlign w:val="center"/>
          </w:tcPr>
          <w:p w14:paraId="3A63F91C">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663" w:type="pct"/>
            <w:vAlign w:val="center"/>
          </w:tcPr>
          <w:p w14:paraId="0211F536">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502" w:type="pct"/>
            <w:vAlign w:val="center"/>
          </w:tcPr>
          <w:p w14:paraId="320D098A">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3" w:type="pct"/>
            <w:vAlign w:val="center"/>
          </w:tcPr>
          <w:p w14:paraId="2853FFFD">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3" w:type="pct"/>
            <w:vAlign w:val="center"/>
          </w:tcPr>
          <w:p w14:paraId="0E8548EF">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6" w:type="pct"/>
            <w:vAlign w:val="center"/>
          </w:tcPr>
          <w:p w14:paraId="630D87F1">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49" w:type="pct"/>
            <w:vAlign w:val="center"/>
          </w:tcPr>
          <w:p w14:paraId="6F7989BA">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r>
      <w:tr w14:paraId="4E24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12" w:type="pct"/>
            <w:vAlign w:val="center"/>
          </w:tcPr>
          <w:p w14:paraId="20900050">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服务期满后</w:t>
            </w:r>
          </w:p>
        </w:tc>
        <w:tc>
          <w:tcPr>
            <w:tcW w:w="663" w:type="pct"/>
            <w:vAlign w:val="center"/>
          </w:tcPr>
          <w:p w14:paraId="4801DADF">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665" w:type="pct"/>
            <w:vAlign w:val="center"/>
          </w:tcPr>
          <w:p w14:paraId="03592081">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663" w:type="pct"/>
            <w:vAlign w:val="center"/>
          </w:tcPr>
          <w:p w14:paraId="48A9685A">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502" w:type="pct"/>
            <w:vAlign w:val="center"/>
          </w:tcPr>
          <w:p w14:paraId="05A349B7">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3" w:type="pct"/>
            <w:vAlign w:val="center"/>
          </w:tcPr>
          <w:p w14:paraId="3065A172">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3" w:type="pct"/>
            <w:vAlign w:val="center"/>
          </w:tcPr>
          <w:p w14:paraId="6420731F">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16" w:type="pct"/>
            <w:vAlign w:val="center"/>
          </w:tcPr>
          <w:p w14:paraId="501FF0AE">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c>
          <w:tcPr>
            <w:tcW w:w="449" w:type="pct"/>
            <w:vAlign w:val="center"/>
          </w:tcPr>
          <w:p w14:paraId="44535D23">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w:t>
            </w:r>
          </w:p>
        </w:tc>
      </w:tr>
    </w:tbl>
    <w:p w14:paraId="432C42A5">
      <w:pPr>
        <w:autoSpaceDE w:val="0"/>
        <w:autoSpaceDN w:val="0"/>
        <w:adjustRightInd w:val="0"/>
        <w:spacing w:line="480" w:lineRule="exact"/>
        <w:ind w:firstLine="480" w:firstLineChars="200"/>
        <w:jc w:val="left"/>
        <w:rPr>
          <w:rFonts w:ascii="Times New Roman"/>
          <w:kern w:val="0"/>
          <w:sz w:val="24"/>
          <w:szCs w:val="24"/>
        </w:rPr>
      </w:pPr>
      <w:r>
        <w:rPr>
          <w:rFonts w:ascii="Times New Roman"/>
          <w:kern w:val="0"/>
          <w:sz w:val="24"/>
          <w:szCs w:val="24"/>
        </w:rPr>
        <w:t>由表6.7-1可知，拟建项目影响途径主要为运营期垂直入渗污染，因此建设项目土壤环境影响类型为“污染影响型”。</w:t>
      </w:r>
    </w:p>
    <w:p w14:paraId="38F68943">
      <w:pPr>
        <w:spacing w:line="520" w:lineRule="exact"/>
        <w:outlineLvl w:val="3"/>
        <w:rPr>
          <w:rFonts w:ascii="Times New Roman"/>
          <w:b/>
          <w:sz w:val="24"/>
          <w:szCs w:val="24"/>
        </w:rPr>
      </w:pPr>
      <w:r>
        <w:rPr>
          <w:rFonts w:ascii="Times New Roman"/>
          <w:b/>
          <w:sz w:val="24"/>
          <w:szCs w:val="24"/>
        </w:rPr>
        <w:t>5.2.8.3评价因子筛选</w:t>
      </w:r>
    </w:p>
    <w:p w14:paraId="3D4FC384">
      <w:pPr>
        <w:widowControl/>
        <w:autoSpaceDE w:val="0"/>
        <w:autoSpaceDN w:val="0"/>
        <w:adjustRightInd w:val="0"/>
        <w:spacing w:line="480" w:lineRule="exact"/>
        <w:ind w:firstLine="480" w:firstLineChars="200"/>
        <w:jc w:val="left"/>
        <w:rPr>
          <w:rFonts w:ascii="Times New Roman"/>
          <w:kern w:val="0"/>
          <w:sz w:val="24"/>
          <w:szCs w:val="24"/>
        </w:rPr>
      </w:pPr>
      <w:r>
        <w:rPr>
          <w:rFonts w:ascii="Times New Roman"/>
          <w:kern w:val="0"/>
          <w:sz w:val="24"/>
          <w:szCs w:val="24"/>
        </w:rPr>
        <w:t>拟建项目土壤环境影响源及影响因子识别结果见</w:t>
      </w:r>
      <w:r>
        <w:rPr>
          <w:rFonts w:hint="eastAsia" w:ascii="Times New Roman"/>
          <w:kern w:val="0"/>
          <w:sz w:val="24"/>
          <w:szCs w:val="24"/>
        </w:rPr>
        <w:t>下</w:t>
      </w:r>
      <w:r>
        <w:rPr>
          <w:rFonts w:ascii="Times New Roman"/>
          <w:kern w:val="0"/>
          <w:sz w:val="24"/>
          <w:szCs w:val="24"/>
        </w:rPr>
        <w:t>表。</w:t>
      </w:r>
    </w:p>
    <w:p w14:paraId="298B9277">
      <w:pPr>
        <w:widowControl/>
        <w:autoSpaceDE w:val="0"/>
        <w:autoSpaceDN w:val="0"/>
        <w:adjustRightInd w:val="0"/>
        <w:spacing w:line="480" w:lineRule="exact"/>
        <w:jc w:val="center"/>
        <w:rPr>
          <w:rFonts w:ascii="Times New Roman"/>
          <w:b/>
          <w:kern w:val="0"/>
          <w:sz w:val="24"/>
          <w:szCs w:val="24"/>
        </w:rPr>
      </w:pPr>
      <w:r>
        <w:rPr>
          <w:rFonts w:ascii="Times New Roman"/>
          <w:b/>
          <w:kern w:val="0"/>
          <w:sz w:val="24"/>
          <w:szCs w:val="24"/>
        </w:rPr>
        <w:t>表5.2</w:t>
      </w:r>
      <w:r>
        <w:rPr>
          <w:rFonts w:hint="eastAsia" w:ascii="Times New Roman"/>
          <w:b/>
          <w:kern w:val="0"/>
          <w:sz w:val="24"/>
          <w:szCs w:val="24"/>
        </w:rPr>
        <w:t>.8</w:t>
      </w:r>
      <w:r>
        <w:rPr>
          <w:rFonts w:ascii="Times New Roman"/>
          <w:b/>
          <w:kern w:val="0"/>
          <w:sz w:val="24"/>
          <w:szCs w:val="24"/>
        </w:rPr>
        <w:t>-</w:t>
      </w:r>
      <w:r>
        <w:rPr>
          <w:rFonts w:hint="eastAsia" w:ascii="Times New Roman"/>
          <w:b/>
          <w:kern w:val="0"/>
          <w:sz w:val="24"/>
          <w:szCs w:val="24"/>
        </w:rPr>
        <w:t>2</w:t>
      </w:r>
      <w:r>
        <w:rPr>
          <w:rFonts w:ascii="Times New Roman"/>
          <w:b/>
          <w:kern w:val="0"/>
          <w:sz w:val="24"/>
          <w:szCs w:val="24"/>
        </w:rPr>
        <w:t xml:space="preserve">  土壤环境影响及影响因子识别表</w:t>
      </w:r>
    </w:p>
    <w:tbl>
      <w:tblPr>
        <w:tblStyle w:val="8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104"/>
        <w:gridCol w:w="1281"/>
        <w:gridCol w:w="2337"/>
        <w:gridCol w:w="1911"/>
        <w:gridCol w:w="898"/>
      </w:tblGrid>
      <w:tr w14:paraId="641A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Borders>
              <w:top w:val="single" w:color="auto" w:sz="4" w:space="0"/>
              <w:left w:val="single" w:color="auto" w:sz="4" w:space="0"/>
              <w:bottom w:val="single" w:color="auto" w:sz="4" w:space="0"/>
              <w:right w:val="single" w:color="auto" w:sz="4" w:space="0"/>
            </w:tcBorders>
            <w:vAlign w:val="center"/>
          </w:tcPr>
          <w:p w14:paraId="5E1B71B4">
            <w:pPr>
              <w:spacing w:line="360" w:lineRule="exact"/>
              <w:jc w:val="center"/>
              <w:rPr>
                <w:rFonts w:ascii="Times New Roman"/>
                <w:kern w:val="0"/>
                <w:sz w:val="21"/>
                <w:szCs w:val="21"/>
              </w:rPr>
            </w:pPr>
            <w:r>
              <w:rPr>
                <w:rFonts w:ascii="Times New Roman"/>
                <w:kern w:val="0"/>
                <w:sz w:val="21"/>
                <w:szCs w:val="21"/>
              </w:rPr>
              <w:t>污染源</w:t>
            </w:r>
          </w:p>
        </w:tc>
        <w:tc>
          <w:tcPr>
            <w:tcW w:w="1104" w:type="dxa"/>
            <w:tcBorders>
              <w:top w:val="single" w:color="auto" w:sz="4" w:space="0"/>
              <w:left w:val="nil"/>
              <w:bottom w:val="single" w:color="auto" w:sz="4" w:space="0"/>
              <w:right w:val="single" w:color="auto" w:sz="4" w:space="0"/>
            </w:tcBorders>
            <w:vAlign w:val="center"/>
          </w:tcPr>
          <w:p w14:paraId="6867F34C">
            <w:pPr>
              <w:spacing w:line="360" w:lineRule="exact"/>
              <w:jc w:val="center"/>
              <w:rPr>
                <w:rFonts w:ascii="Times New Roman"/>
                <w:kern w:val="0"/>
                <w:sz w:val="21"/>
                <w:szCs w:val="21"/>
              </w:rPr>
            </w:pPr>
            <w:r>
              <w:rPr>
                <w:rFonts w:ascii="Times New Roman"/>
                <w:kern w:val="0"/>
                <w:sz w:val="21"/>
                <w:szCs w:val="21"/>
              </w:rPr>
              <w:t>工艺流程/节点</w:t>
            </w:r>
          </w:p>
        </w:tc>
        <w:tc>
          <w:tcPr>
            <w:tcW w:w="1281" w:type="dxa"/>
            <w:tcBorders>
              <w:top w:val="single" w:color="auto" w:sz="4" w:space="0"/>
              <w:left w:val="nil"/>
              <w:bottom w:val="single" w:color="auto" w:sz="4" w:space="0"/>
              <w:right w:val="single" w:color="auto" w:sz="4" w:space="0"/>
            </w:tcBorders>
            <w:vAlign w:val="center"/>
          </w:tcPr>
          <w:p w14:paraId="4FC02DF5">
            <w:pPr>
              <w:spacing w:line="360" w:lineRule="exact"/>
              <w:jc w:val="center"/>
              <w:rPr>
                <w:rFonts w:ascii="Times New Roman"/>
                <w:kern w:val="0"/>
                <w:sz w:val="21"/>
                <w:szCs w:val="21"/>
              </w:rPr>
            </w:pPr>
            <w:r>
              <w:rPr>
                <w:rFonts w:ascii="Times New Roman"/>
                <w:kern w:val="0"/>
                <w:sz w:val="21"/>
                <w:szCs w:val="21"/>
              </w:rPr>
              <w:t>污染途径</w:t>
            </w:r>
          </w:p>
        </w:tc>
        <w:tc>
          <w:tcPr>
            <w:tcW w:w="2337" w:type="dxa"/>
            <w:tcBorders>
              <w:top w:val="single" w:color="auto" w:sz="4" w:space="0"/>
              <w:left w:val="nil"/>
              <w:bottom w:val="single" w:color="auto" w:sz="4" w:space="0"/>
              <w:right w:val="single" w:color="auto" w:sz="4" w:space="0"/>
            </w:tcBorders>
            <w:vAlign w:val="center"/>
          </w:tcPr>
          <w:p w14:paraId="15DD9132">
            <w:pPr>
              <w:spacing w:line="360" w:lineRule="exact"/>
              <w:jc w:val="center"/>
              <w:rPr>
                <w:rFonts w:ascii="Times New Roman"/>
                <w:kern w:val="0"/>
                <w:sz w:val="21"/>
                <w:szCs w:val="21"/>
              </w:rPr>
            </w:pPr>
            <w:r>
              <w:rPr>
                <w:rFonts w:ascii="Times New Roman"/>
                <w:kern w:val="0"/>
                <w:sz w:val="21"/>
                <w:szCs w:val="21"/>
              </w:rPr>
              <w:t>全部污染物指标</w:t>
            </w:r>
          </w:p>
        </w:tc>
        <w:tc>
          <w:tcPr>
            <w:tcW w:w="1911" w:type="dxa"/>
            <w:tcBorders>
              <w:top w:val="single" w:color="auto" w:sz="4" w:space="0"/>
              <w:left w:val="nil"/>
              <w:bottom w:val="single" w:color="auto" w:sz="4" w:space="0"/>
              <w:right w:val="single" w:color="auto" w:sz="4" w:space="0"/>
            </w:tcBorders>
            <w:vAlign w:val="center"/>
          </w:tcPr>
          <w:p w14:paraId="59A5271D">
            <w:pPr>
              <w:spacing w:line="360" w:lineRule="exact"/>
              <w:jc w:val="center"/>
              <w:rPr>
                <w:rFonts w:ascii="Times New Roman"/>
                <w:kern w:val="0"/>
                <w:sz w:val="21"/>
                <w:szCs w:val="21"/>
              </w:rPr>
            </w:pPr>
            <w:r>
              <w:rPr>
                <w:rFonts w:ascii="Times New Roman"/>
                <w:kern w:val="0"/>
                <w:sz w:val="21"/>
                <w:szCs w:val="21"/>
              </w:rPr>
              <w:t>特征因子</w:t>
            </w:r>
          </w:p>
        </w:tc>
        <w:tc>
          <w:tcPr>
            <w:tcW w:w="898" w:type="dxa"/>
            <w:tcBorders>
              <w:top w:val="single" w:color="auto" w:sz="4" w:space="0"/>
              <w:left w:val="nil"/>
              <w:bottom w:val="single" w:color="auto" w:sz="4" w:space="0"/>
              <w:right w:val="single" w:color="auto" w:sz="4" w:space="0"/>
            </w:tcBorders>
            <w:vAlign w:val="center"/>
          </w:tcPr>
          <w:p w14:paraId="6721B13C">
            <w:pPr>
              <w:spacing w:line="360" w:lineRule="exact"/>
              <w:jc w:val="center"/>
              <w:rPr>
                <w:rFonts w:ascii="Times New Roman"/>
                <w:kern w:val="0"/>
                <w:sz w:val="21"/>
                <w:szCs w:val="21"/>
              </w:rPr>
            </w:pPr>
            <w:r>
              <w:rPr>
                <w:rFonts w:ascii="Times New Roman"/>
                <w:kern w:val="0"/>
                <w:sz w:val="21"/>
                <w:szCs w:val="21"/>
              </w:rPr>
              <w:t>备注</w:t>
            </w:r>
          </w:p>
        </w:tc>
      </w:tr>
      <w:tr w14:paraId="5580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91" w:type="dxa"/>
            <w:tcBorders>
              <w:top w:val="single" w:color="auto" w:sz="4" w:space="0"/>
              <w:left w:val="single" w:color="auto" w:sz="4" w:space="0"/>
              <w:bottom w:val="single" w:color="auto" w:sz="4" w:space="0"/>
              <w:right w:val="single" w:color="auto" w:sz="4" w:space="0"/>
            </w:tcBorders>
            <w:vAlign w:val="center"/>
          </w:tcPr>
          <w:p w14:paraId="517409B7">
            <w:pPr>
              <w:spacing w:line="360" w:lineRule="exact"/>
              <w:jc w:val="center"/>
              <w:rPr>
                <w:rFonts w:ascii="Times New Roman"/>
                <w:kern w:val="0"/>
                <w:sz w:val="21"/>
                <w:szCs w:val="21"/>
              </w:rPr>
            </w:pPr>
            <w:r>
              <w:rPr>
                <w:rFonts w:ascii="Times New Roman"/>
                <w:kern w:val="0"/>
                <w:sz w:val="21"/>
                <w:szCs w:val="21"/>
              </w:rPr>
              <w:t>车间</w:t>
            </w:r>
          </w:p>
        </w:tc>
        <w:tc>
          <w:tcPr>
            <w:tcW w:w="1104" w:type="dxa"/>
            <w:tcBorders>
              <w:top w:val="single" w:color="auto" w:sz="4" w:space="0"/>
              <w:left w:val="nil"/>
              <w:bottom w:val="single" w:color="auto" w:sz="4" w:space="0"/>
              <w:right w:val="single" w:color="auto" w:sz="4" w:space="0"/>
            </w:tcBorders>
            <w:vAlign w:val="center"/>
          </w:tcPr>
          <w:p w14:paraId="063E4A28">
            <w:pPr>
              <w:spacing w:line="360" w:lineRule="exact"/>
              <w:jc w:val="center"/>
              <w:rPr>
                <w:rFonts w:ascii="Times New Roman"/>
                <w:kern w:val="0"/>
                <w:sz w:val="21"/>
                <w:szCs w:val="21"/>
              </w:rPr>
            </w:pPr>
            <w:r>
              <w:rPr>
                <w:rFonts w:ascii="Times New Roman"/>
                <w:kern w:val="0"/>
                <w:sz w:val="21"/>
                <w:szCs w:val="21"/>
              </w:rPr>
              <w:t>喷漆</w:t>
            </w:r>
          </w:p>
        </w:tc>
        <w:tc>
          <w:tcPr>
            <w:tcW w:w="1281" w:type="dxa"/>
            <w:tcBorders>
              <w:top w:val="single" w:color="auto" w:sz="4" w:space="0"/>
              <w:left w:val="nil"/>
              <w:bottom w:val="single" w:color="auto" w:sz="4" w:space="0"/>
              <w:right w:val="single" w:color="auto" w:sz="4" w:space="0"/>
            </w:tcBorders>
            <w:vAlign w:val="center"/>
          </w:tcPr>
          <w:p w14:paraId="6F5D9B47">
            <w:pPr>
              <w:spacing w:line="360" w:lineRule="exact"/>
              <w:jc w:val="center"/>
              <w:rPr>
                <w:rFonts w:ascii="Times New Roman"/>
                <w:kern w:val="0"/>
                <w:sz w:val="21"/>
                <w:szCs w:val="21"/>
              </w:rPr>
            </w:pPr>
            <w:r>
              <w:rPr>
                <w:rFonts w:ascii="Times New Roman"/>
                <w:kern w:val="0"/>
                <w:sz w:val="21"/>
                <w:szCs w:val="21"/>
              </w:rPr>
              <w:t>大气沉降</w:t>
            </w:r>
          </w:p>
        </w:tc>
        <w:tc>
          <w:tcPr>
            <w:tcW w:w="2337" w:type="dxa"/>
            <w:tcBorders>
              <w:top w:val="single" w:color="auto" w:sz="4" w:space="0"/>
              <w:left w:val="nil"/>
              <w:bottom w:val="single" w:color="auto" w:sz="4" w:space="0"/>
              <w:right w:val="single" w:color="auto" w:sz="4" w:space="0"/>
            </w:tcBorders>
            <w:vAlign w:val="center"/>
          </w:tcPr>
          <w:p w14:paraId="24DCB32D">
            <w:pPr>
              <w:spacing w:line="360" w:lineRule="exact"/>
              <w:jc w:val="center"/>
              <w:rPr>
                <w:rFonts w:ascii="Times New Roman"/>
                <w:kern w:val="0"/>
                <w:sz w:val="21"/>
                <w:szCs w:val="21"/>
              </w:rPr>
            </w:pPr>
            <w:r>
              <w:rPr>
                <w:rFonts w:ascii="Times New Roman"/>
                <w:kern w:val="0"/>
                <w:sz w:val="21"/>
                <w:szCs w:val="21"/>
              </w:rPr>
              <w:t>颗粒物、二甲苯、非甲烷总烃</w:t>
            </w:r>
          </w:p>
        </w:tc>
        <w:tc>
          <w:tcPr>
            <w:tcW w:w="1911" w:type="dxa"/>
            <w:tcBorders>
              <w:top w:val="single" w:color="auto" w:sz="4" w:space="0"/>
              <w:left w:val="nil"/>
              <w:bottom w:val="single" w:color="auto" w:sz="4" w:space="0"/>
              <w:right w:val="single" w:color="auto" w:sz="4" w:space="0"/>
            </w:tcBorders>
            <w:vAlign w:val="center"/>
          </w:tcPr>
          <w:p w14:paraId="49365508">
            <w:pPr>
              <w:spacing w:line="360" w:lineRule="exact"/>
              <w:jc w:val="center"/>
              <w:rPr>
                <w:rFonts w:ascii="Times New Roman"/>
                <w:kern w:val="0"/>
                <w:sz w:val="21"/>
                <w:szCs w:val="21"/>
              </w:rPr>
            </w:pPr>
            <w:r>
              <w:rPr>
                <w:rFonts w:ascii="Times New Roman"/>
                <w:kern w:val="0"/>
                <w:sz w:val="21"/>
                <w:szCs w:val="21"/>
              </w:rPr>
              <w:t>二甲苯</w:t>
            </w:r>
          </w:p>
        </w:tc>
        <w:tc>
          <w:tcPr>
            <w:tcW w:w="898" w:type="dxa"/>
            <w:tcBorders>
              <w:top w:val="single" w:color="auto" w:sz="4" w:space="0"/>
              <w:left w:val="nil"/>
              <w:bottom w:val="single" w:color="auto" w:sz="4" w:space="0"/>
              <w:right w:val="single" w:color="auto" w:sz="4" w:space="0"/>
            </w:tcBorders>
            <w:vAlign w:val="center"/>
          </w:tcPr>
          <w:p w14:paraId="4F800214">
            <w:pPr>
              <w:spacing w:line="360" w:lineRule="exact"/>
              <w:jc w:val="center"/>
              <w:rPr>
                <w:rFonts w:ascii="Times New Roman"/>
                <w:kern w:val="0"/>
                <w:sz w:val="21"/>
                <w:szCs w:val="21"/>
              </w:rPr>
            </w:pPr>
            <w:r>
              <w:rPr>
                <w:rFonts w:ascii="Times New Roman"/>
                <w:kern w:val="0"/>
                <w:sz w:val="21"/>
                <w:szCs w:val="21"/>
              </w:rPr>
              <w:t>连续排放</w:t>
            </w:r>
          </w:p>
        </w:tc>
      </w:tr>
      <w:tr w14:paraId="5D3E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Borders>
              <w:top w:val="single" w:color="auto" w:sz="4" w:space="0"/>
              <w:left w:val="single" w:color="auto" w:sz="4" w:space="0"/>
              <w:bottom w:val="single" w:color="auto" w:sz="4" w:space="0"/>
              <w:right w:val="single" w:color="auto" w:sz="4" w:space="0"/>
            </w:tcBorders>
            <w:vAlign w:val="center"/>
          </w:tcPr>
          <w:p w14:paraId="26ACB0AD">
            <w:pPr>
              <w:spacing w:line="360" w:lineRule="exact"/>
              <w:jc w:val="center"/>
              <w:rPr>
                <w:rFonts w:ascii="Times New Roman"/>
                <w:kern w:val="0"/>
                <w:sz w:val="21"/>
                <w:szCs w:val="21"/>
              </w:rPr>
            </w:pPr>
            <w:r>
              <w:rPr>
                <w:rFonts w:hint="eastAsia" w:ascii="Times New Roman"/>
                <w:kern w:val="0"/>
                <w:sz w:val="21"/>
                <w:szCs w:val="21"/>
              </w:rPr>
              <w:t>危化库</w:t>
            </w:r>
            <w:r>
              <w:rPr>
                <w:rFonts w:ascii="Times New Roman"/>
                <w:kern w:val="0"/>
                <w:sz w:val="21"/>
                <w:szCs w:val="21"/>
              </w:rPr>
              <w:t>、危废</w:t>
            </w:r>
            <w:r>
              <w:rPr>
                <w:rFonts w:hint="eastAsia" w:ascii="Times New Roman"/>
                <w:kern w:val="0"/>
                <w:sz w:val="21"/>
                <w:szCs w:val="21"/>
              </w:rPr>
              <w:t>库</w:t>
            </w:r>
          </w:p>
        </w:tc>
        <w:tc>
          <w:tcPr>
            <w:tcW w:w="1104" w:type="dxa"/>
            <w:tcBorders>
              <w:top w:val="single" w:color="auto" w:sz="4" w:space="0"/>
              <w:left w:val="nil"/>
              <w:bottom w:val="single" w:color="auto" w:sz="4" w:space="0"/>
              <w:right w:val="single" w:color="auto" w:sz="4" w:space="0"/>
            </w:tcBorders>
            <w:vAlign w:val="center"/>
          </w:tcPr>
          <w:p w14:paraId="740E3674">
            <w:pPr>
              <w:spacing w:line="360" w:lineRule="exact"/>
              <w:jc w:val="center"/>
              <w:rPr>
                <w:rFonts w:ascii="Times New Roman"/>
                <w:kern w:val="0"/>
                <w:sz w:val="21"/>
                <w:szCs w:val="21"/>
              </w:rPr>
            </w:pPr>
            <w:r>
              <w:rPr>
                <w:rFonts w:ascii="Times New Roman"/>
                <w:kern w:val="0"/>
                <w:sz w:val="21"/>
                <w:szCs w:val="21"/>
              </w:rPr>
              <w:t>贮存</w:t>
            </w:r>
          </w:p>
        </w:tc>
        <w:tc>
          <w:tcPr>
            <w:tcW w:w="1281" w:type="dxa"/>
            <w:tcBorders>
              <w:top w:val="single" w:color="auto" w:sz="4" w:space="0"/>
              <w:left w:val="nil"/>
              <w:bottom w:val="single" w:color="auto" w:sz="4" w:space="0"/>
              <w:right w:val="single" w:color="auto" w:sz="4" w:space="0"/>
            </w:tcBorders>
            <w:vAlign w:val="center"/>
          </w:tcPr>
          <w:p w14:paraId="38F7AFC2">
            <w:pPr>
              <w:spacing w:line="360" w:lineRule="exact"/>
              <w:jc w:val="center"/>
              <w:rPr>
                <w:rFonts w:ascii="Times New Roman"/>
                <w:kern w:val="0"/>
                <w:sz w:val="21"/>
                <w:szCs w:val="21"/>
              </w:rPr>
            </w:pPr>
            <w:r>
              <w:rPr>
                <w:rFonts w:ascii="Times New Roman"/>
                <w:kern w:val="0"/>
                <w:sz w:val="21"/>
                <w:szCs w:val="21"/>
              </w:rPr>
              <w:t>垂直入渗</w:t>
            </w:r>
          </w:p>
        </w:tc>
        <w:tc>
          <w:tcPr>
            <w:tcW w:w="2337" w:type="dxa"/>
            <w:tcBorders>
              <w:top w:val="single" w:color="auto" w:sz="4" w:space="0"/>
              <w:left w:val="nil"/>
              <w:bottom w:val="single" w:color="auto" w:sz="4" w:space="0"/>
              <w:right w:val="single" w:color="auto" w:sz="4" w:space="0"/>
            </w:tcBorders>
            <w:vAlign w:val="center"/>
          </w:tcPr>
          <w:p w14:paraId="606C41CC">
            <w:pPr>
              <w:spacing w:line="360" w:lineRule="exact"/>
              <w:jc w:val="center"/>
              <w:rPr>
                <w:rFonts w:ascii="Times New Roman"/>
                <w:kern w:val="0"/>
                <w:sz w:val="21"/>
                <w:szCs w:val="21"/>
              </w:rPr>
            </w:pPr>
            <w:r>
              <w:rPr>
                <w:rFonts w:ascii="Times New Roman"/>
                <w:kern w:val="0"/>
                <w:sz w:val="21"/>
                <w:szCs w:val="21"/>
              </w:rPr>
              <w:t>二甲苯、石油烃</w:t>
            </w:r>
          </w:p>
        </w:tc>
        <w:tc>
          <w:tcPr>
            <w:tcW w:w="1911" w:type="dxa"/>
            <w:tcBorders>
              <w:top w:val="single" w:color="auto" w:sz="4" w:space="0"/>
              <w:left w:val="nil"/>
              <w:bottom w:val="single" w:color="auto" w:sz="4" w:space="0"/>
              <w:right w:val="single" w:color="auto" w:sz="4" w:space="0"/>
            </w:tcBorders>
            <w:vAlign w:val="center"/>
          </w:tcPr>
          <w:p w14:paraId="4E1052BF">
            <w:pPr>
              <w:spacing w:line="360" w:lineRule="exact"/>
              <w:jc w:val="center"/>
              <w:rPr>
                <w:rFonts w:ascii="Times New Roman"/>
                <w:kern w:val="0"/>
                <w:sz w:val="21"/>
                <w:szCs w:val="21"/>
              </w:rPr>
            </w:pPr>
            <w:r>
              <w:rPr>
                <w:rFonts w:ascii="Times New Roman"/>
                <w:kern w:val="0"/>
                <w:sz w:val="21"/>
                <w:szCs w:val="21"/>
              </w:rPr>
              <w:t>二甲苯、石油烃</w:t>
            </w:r>
          </w:p>
        </w:tc>
        <w:tc>
          <w:tcPr>
            <w:tcW w:w="898" w:type="dxa"/>
            <w:tcBorders>
              <w:top w:val="single" w:color="auto" w:sz="4" w:space="0"/>
              <w:left w:val="nil"/>
              <w:bottom w:val="single" w:color="auto" w:sz="4" w:space="0"/>
              <w:right w:val="single" w:color="auto" w:sz="4" w:space="0"/>
            </w:tcBorders>
            <w:vAlign w:val="center"/>
          </w:tcPr>
          <w:p w14:paraId="6F6B29BF">
            <w:pPr>
              <w:spacing w:line="360" w:lineRule="exact"/>
              <w:jc w:val="center"/>
              <w:rPr>
                <w:rFonts w:ascii="Times New Roman"/>
                <w:kern w:val="0"/>
                <w:sz w:val="21"/>
                <w:szCs w:val="21"/>
              </w:rPr>
            </w:pPr>
            <w:r>
              <w:rPr>
                <w:rFonts w:ascii="Times New Roman"/>
                <w:kern w:val="0"/>
                <w:sz w:val="21"/>
                <w:szCs w:val="21"/>
              </w:rPr>
              <w:t>事故状态泄露</w:t>
            </w:r>
          </w:p>
        </w:tc>
      </w:tr>
      <w:tr w14:paraId="617D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14:paraId="7AC73FAD">
            <w:pPr>
              <w:pStyle w:val="1979"/>
              <w:widowControl w:val="0"/>
              <w:kinsoku w:val="0"/>
              <w:overflowPunct w:val="0"/>
              <w:adjustRightInd w:val="0"/>
              <w:jc w:val="center"/>
              <w:rPr>
                <w:rFonts w:ascii="Times New Roman" w:hAnsi="Times New Roman" w:cs="Times New Roman"/>
                <w:sz w:val="21"/>
                <w:szCs w:val="21"/>
              </w:rPr>
            </w:pPr>
            <w:r>
              <w:rPr>
                <w:rFonts w:hint="eastAsia" w:ascii="Times New Roman" w:hAnsi="Times New Roman" w:cs="Times New Roman"/>
                <w:sz w:val="21"/>
                <w:szCs w:val="21"/>
              </w:rPr>
              <w:t>污水处理设施</w:t>
            </w:r>
          </w:p>
        </w:tc>
        <w:tc>
          <w:tcPr>
            <w:tcW w:w="1104" w:type="dxa"/>
            <w:tcBorders>
              <w:top w:val="single" w:color="auto" w:sz="4" w:space="0"/>
              <w:left w:val="nil"/>
              <w:bottom w:val="single" w:color="auto" w:sz="4" w:space="0"/>
              <w:right w:val="single" w:color="auto" w:sz="4" w:space="0"/>
            </w:tcBorders>
            <w:shd w:val="clear" w:color="auto" w:fill="auto"/>
            <w:vAlign w:val="center"/>
          </w:tcPr>
          <w:p w14:paraId="2D02A2E4">
            <w:pPr>
              <w:adjustRightInd w:val="0"/>
              <w:jc w:val="center"/>
              <w:rPr>
                <w:rFonts w:ascii="Times New Roman"/>
                <w:sz w:val="21"/>
                <w:szCs w:val="21"/>
              </w:rPr>
            </w:pPr>
            <w:r>
              <w:rPr>
                <w:rFonts w:hint="eastAsia" w:ascii="Times New Roman"/>
                <w:sz w:val="21"/>
                <w:szCs w:val="21"/>
              </w:rPr>
              <w:t>污水处理</w:t>
            </w:r>
          </w:p>
        </w:tc>
        <w:tc>
          <w:tcPr>
            <w:tcW w:w="1281" w:type="dxa"/>
            <w:tcBorders>
              <w:top w:val="single" w:color="auto" w:sz="4" w:space="0"/>
              <w:left w:val="nil"/>
              <w:bottom w:val="single" w:color="auto" w:sz="4" w:space="0"/>
              <w:right w:val="single" w:color="auto" w:sz="4" w:space="0"/>
            </w:tcBorders>
            <w:shd w:val="clear" w:color="auto" w:fill="auto"/>
            <w:vAlign w:val="center"/>
          </w:tcPr>
          <w:p w14:paraId="512E7C60">
            <w:pPr>
              <w:pStyle w:val="1979"/>
              <w:widowControl w:val="0"/>
              <w:kinsoku w:val="0"/>
              <w:overflowPunct w:val="0"/>
              <w:adjustRightInd w:val="0"/>
              <w:jc w:val="center"/>
              <w:rPr>
                <w:rFonts w:ascii="Times New Roman" w:hAnsi="Times New Roman" w:cs="Times New Roman"/>
                <w:kern w:val="2"/>
                <w:sz w:val="21"/>
                <w:szCs w:val="21"/>
              </w:rPr>
            </w:pPr>
            <w:r>
              <w:rPr>
                <w:rFonts w:ascii="Times New Roman" w:hAnsi="Times New Roman" w:cs="Times New Roman"/>
                <w:sz w:val="21"/>
                <w:szCs w:val="21"/>
              </w:rPr>
              <w:t>垂直入渗</w:t>
            </w:r>
          </w:p>
        </w:tc>
        <w:tc>
          <w:tcPr>
            <w:tcW w:w="2337" w:type="dxa"/>
            <w:tcBorders>
              <w:top w:val="single" w:color="auto" w:sz="4" w:space="0"/>
              <w:left w:val="nil"/>
              <w:bottom w:val="single" w:color="auto" w:sz="4" w:space="0"/>
              <w:right w:val="single" w:color="auto" w:sz="4" w:space="0"/>
            </w:tcBorders>
            <w:shd w:val="clear" w:color="auto" w:fill="auto"/>
            <w:vAlign w:val="center"/>
          </w:tcPr>
          <w:p w14:paraId="3EEEEB9E">
            <w:pPr>
              <w:adjustRightInd w:val="0"/>
              <w:jc w:val="center"/>
              <w:rPr>
                <w:rFonts w:ascii="Times New Roman"/>
                <w:sz w:val="21"/>
                <w:szCs w:val="21"/>
              </w:rPr>
            </w:pPr>
            <w:r>
              <w:rPr>
                <w:rFonts w:hint="eastAsia" w:ascii="Times New Roman"/>
                <w:sz w:val="21"/>
                <w:szCs w:val="21"/>
              </w:rPr>
              <w:t>COD、氨氮、</w:t>
            </w:r>
            <w:r>
              <w:rPr>
                <w:rFonts w:ascii="Times New Roman"/>
                <w:sz w:val="21"/>
                <w:szCs w:val="21"/>
              </w:rPr>
              <w:t>SS、BOD</w:t>
            </w:r>
            <w:r>
              <w:rPr>
                <w:rFonts w:ascii="Times New Roman"/>
                <w:sz w:val="21"/>
                <w:szCs w:val="21"/>
                <w:vertAlign w:val="subscript"/>
              </w:rPr>
              <w:t>5</w:t>
            </w:r>
            <w:r>
              <w:rPr>
                <w:rFonts w:ascii="Times New Roman"/>
                <w:sz w:val="21"/>
                <w:szCs w:val="21"/>
              </w:rPr>
              <w:t>、</w:t>
            </w:r>
            <w:r>
              <w:rPr>
                <w:rFonts w:hint="eastAsia" w:ascii="Times New Roman"/>
                <w:sz w:val="21"/>
                <w:szCs w:val="21"/>
              </w:rPr>
              <w:t>总磷、总氮、石油类</w:t>
            </w:r>
          </w:p>
        </w:tc>
        <w:tc>
          <w:tcPr>
            <w:tcW w:w="1911" w:type="dxa"/>
            <w:tcBorders>
              <w:top w:val="single" w:color="auto" w:sz="4" w:space="0"/>
              <w:left w:val="nil"/>
              <w:bottom w:val="single" w:color="auto" w:sz="4" w:space="0"/>
              <w:right w:val="single" w:color="auto" w:sz="4" w:space="0"/>
            </w:tcBorders>
            <w:shd w:val="clear" w:color="auto" w:fill="auto"/>
            <w:vAlign w:val="center"/>
          </w:tcPr>
          <w:p w14:paraId="62BE51FB">
            <w:pPr>
              <w:adjustRightInd w:val="0"/>
              <w:jc w:val="center"/>
              <w:rPr>
                <w:rFonts w:ascii="Times New Roman"/>
                <w:sz w:val="21"/>
                <w:szCs w:val="21"/>
              </w:rPr>
            </w:pPr>
            <w:r>
              <w:rPr>
                <w:rFonts w:hint="eastAsia" w:ascii="Times New Roman"/>
                <w:sz w:val="21"/>
                <w:szCs w:val="21"/>
              </w:rPr>
              <w:t>石油</w:t>
            </w:r>
            <w:r>
              <w:rPr>
                <w:rFonts w:ascii="Times New Roman"/>
                <w:sz w:val="21"/>
                <w:szCs w:val="21"/>
              </w:rPr>
              <w:t>烃</w:t>
            </w:r>
          </w:p>
        </w:tc>
        <w:tc>
          <w:tcPr>
            <w:tcW w:w="898" w:type="dxa"/>
            <w:tcBorders>
              <w:top w:val="single" w:color="auto" w:sz="4" w:space="0"/>
              <w:left w:val="nil"/>
              <w:bottom w:val="single" w:color="auto" w:sz="4" w:space="0"/>
              <w:right w:val="single" w:color="auto" w:sz="4" w:space="0"/>
            </w:tcBorders>
            <w:shd w:val="clear" w:color="auto" w:fill="auto"/>
            <w:vAlign w:val="center"/>
          </w:tcPr>
          <w:p w14:paraId="070799AF">
            <w:pPr>
              <w:adjustRightInd w:val="0"/>
              <w:jc w:val="center"/>
              <w:rPr>
                <w:rFonts w:ascii="Times New Roman"/>
                <w:sz w:val="21"/>
                <w:szCs w:val="21"/>
              </w:rPr>
            </w:pPr>
            <w:r>
              <w:rPr>
                <w:rFonts w:ascii="Times New Roman"/>
                <w:sz w:val="21"/>
                <w:szCs w:val="21"/>
              </w:rPr>
              <w:t>事故</w:t>
            </w:r>
          </w:p>
        </w:tc>
      </w:tr>
    </w:tbl>
    <w:p w14:paraId="3C324F7A">
      <w:pPr>
        <w:spacing w:line="520" w:lineRule="exact"/>
        <w:outlineLvl w:val="3"/>
        <w:rPr>
          <w:rFonts w:ascii="Times New Roman"/>
          <w:b/>
          <w:sz w:val="24"/>
          <w:szCs w:val="24"/>
        </w:rPr>
      </w:pPr>
      <w:r>
        <w:rPr>
          <w:rFonts w:ascii="Times New Roman"/>
          <w:b/>
          <w:sz w:val="24"/>
          <w:szCs w:val="24"/>
        </w:rPr>
        <w:t>5.2.8.4土地利用类型调查</w:t>
      </w:r>
    </w:p>
    <w:p w14:paraId="6F0D0552">
      <w:pPr>
        <w:widowControl/>
        <w:autoSpaceDE w:val="0"/>
        <w:autoSpaceDN w:val="0"/>
        <w:adjustRightInd w:val="0"/>
        <w:spacing w:line="480" w:lineRule="exact"/>
        <w:ind w:firstLine="480" w:firstLineChars="200"/>
        <w:jc w:val="left"/>
        <w:rPr>
          <w:rFonts w:ascii="Times New Roman"/>
          <w:kern w:val="0"/>
          <w:sz w:val="24"/>
          <w:szCs w:val="24"/>
        </w:rPr>
      </w:pPr>
      <w:r>
        <w:rPr>
          <w:rFonts w:ascii="Times New Roman"/>
          <w:kern w:val="0"/>
          <w:sz w:val="24"/>
          <w:szCs w:val="24"/>
        </w:rPr>
        <w:t>根据现场调查结果，拟建项目场地及周边土地利用类型均为工业用地。评价区域土地利用类型现状图见图5.2</w:t>
      </w:r>
      <w:r>
        <w:rPr>
          <w:rFonts w:hint="eastAsia" w:ascii="Times New Roman"/>
          <w:kern w:val="0"/>
          <w:sz w:val="24"/>
          <w:szCs w:val="24"/>
        </w:rPr>
        <w:t>.8</w:t>
      </w:r>
      <w:r>
        <w:rPr>
          <w:rFonts w:ascii="Times New Roman"/>
          <w:kern w:val="0"/>
          <w:sz w:val="24"/>
          <w:szCs w:val="24"/>
        </w:rPr>
        <w:t>-</w:t>
      </w:r>
      <w:r>
        <w:rPr>
          <w:rFonts w:hint="eastAsia" w:ascii="Times New Roman"/>
          <w:kern w:val="0"/>
          <w:sz w:val="24"/>
          <w:szCs w:val="24"/>
        </w:rPr>
        <w:t>1</w:t>
      </w:r>
      <w:r>
        <w:rPr>
          <w:rFonts w:ascii="Times New Roman"/>
          <w:kern w:val="0"/>
          <w:sz w:val="24"/>
          <w:szCs w:val="24"/>
        </w:rPr>
        <w:t>。</w:t>
      </w:r>
    </w:p>
    <w:p w14:paraId="79A6328F">
      <w:pPr>
        <w:spacing w:line="520" w:lineRule="exact"/>
        <w:outlineLvl w:val="3"/>
        <w:rPr>
          <w:rFonts w:ascii="Times New Roman"/>
          <w:b/>
          <w:sz w:val="24"/>
          <w:szCs w:val="24"/>
        </w:rPr>
      </w:pPr>
      <w:r>
        <w:rPr>
          <w:rFonts w:ascii="Times New Roman"/>
          <w:b/>
          <w:sz w:val="24"/>
          <w:szCs w:val="24"/>
        </w:rPr>
        <w:t>5.2.8.5土壤类型调查</w:t>
      </w:r>
    </w:p>
    <w:p w14:paraId="61B802AB">
      <w:pPr>
        <w:widowControl/>
        <w:autoSpaceDE w:val="0"/>
        <w:autoSpaceDN w:val="0"/>
        <w:adjustRightInd w:val="0"/>
        <w:spacing w:line="440" w:lineRule="exact"/>
        <w:ind w:firstLine="480" w:firstLineChars="200"/>
        <w:rPr>
          <w:rFonts w:ascii="Times New Roman"/>
          <w:kern w:val="0"/>
          <w:sz w:val="24"/>
          <w:szCs w:val="24"/>
        </w:rPr>
      </w:pPr>
      <w:r>
        <w:rPr>
          <w:rFonts w:ascii="Times New Roman"/>
          <w:kern w:val="0"/>
          <w:sz w:val="24"/>
          <w:szCs w:val="24"/>
        </w:rPr>
        <w:t>根据国家土壤信息服务平台发布的中国1km发生分类土壤图（数据来源：二普调查，2016年），《中国土壤分类与代码》（GB/T17296-2009）中土壤分类，评价范围内土壤类型为滨海潮滩盐土。评价区土壤类型分布图见图</w:t>
      </w:r>
      <w:r>
        <w:rPr>
          <w:rFonts w:hint="eastAsia" w:ascii="Times New Roman"/>
          <w:kern w:val="0"/>
          <w:sz w:val="24"/>
          <w:szCs w:val="24"/>
        </w:rPr>
        <w:t>4.1-3</w:t>
      </w:r>
      <w:r>
        <w:rPr>
          <w:rFonts w:ascii="Times New Roman"/>
          <w:kern w:val="0"/>
          <w:sz w:val="24"/>
          <w:szCs w:val="24"/>
        </w:rPr>
        <w:t>，土壤类型表见</w:t>
      </w:r>
      <w:r>
        <w:rPr>
          <w:rFonts w:hint="eastAsia" w:ascii="Times New Roman"/>
          <w:kern w:val="0"/>
          <w:sz w:val="24"/>
          <w:szCs w:val="24"/>
        </w:rPr>
        <w:t>下</w:t>
      </w:r>
      <w:r>
        <w:rPr>
          <w:rFonts w:ascii="Times New Roman"/>
          <w:kern w:val="0"/>
          <w:sz w:val="24"/>
          <w:szCs w:val="24"/>
        </w:rPr>
        <w:t>表。</w:t>
      </w:r>
    </w:p>
    <w:p w14:paraId="47E9A29F">
      <w:pPr>
        <w:widowControl/>
        <w:autoSpaceDE w:val="0"/>
        <w:autoSpaceDN w:val="0"/>
        <w:adjustRightInd w:val="0"/>
        <w:spacing w:line="440" w:lineRule="exact"/>
        <w:jc w:val="center"/>
        <w:rPr>
          <w:rFonts w:ascii="Times New Roman"/>
          <w:b/>
          <w:kern w:val="0"/>
          <w:sz w:val="24"/>
          <w:szCs w:val="24"/>
        </w:rPr>
      </w:pPr>
      <w:r>
        <w:rPr>
          <w:rFonts w:ascii="Times New Roman"/>
          <w:b/>
          <w:kern w:val="0"/>
          <w:sz w:val="24"/>
          <w:szCs w:val="24"/>
        </w:rPr>
        <w:t>表5.2</w:t>
      </w:r>
      <w:r>
        <w:rPr>
          <w:rFonts w:hint="eastAsia" w:ascii="Times New Roman"/>
          <w:b/>
          <w:kern w:val="0"/>
          <w:sz w:val="24"/>
          <w:szCs w:val="24"/>
        </w:rPr>
        <w:t>.8</w:t>
      </w:r>
      <w:r>
        <w:rPr>
          <w:rFonts w:ascii="Times New Roman"/>
          <w:b/>
          <w:kern w:val="0"/>
          <w:sz w:val="24"/>
          <w:szCs w:val="24"/>
        </w:rPr>
        <w:t>-</w:t>
      </w:r>
      <w:r>
        <w:rPr>
          <w:rFonts w:hint="eastAsia" w:ascii="Times New Roman"/>
          <w:b/>
          <w:kern w:val="0"/>
          <w:sz w:val="24"/>
          <w:szCs w:val="24"/>
        </w:rPr>
        <w:t>3</w:t>
      </w:r>
      <w:r>
        <w:rPr>
          <w:rFonts w:ascii="Times New Roman"/>
          <w:b/>
          <w:kern w:val="0"/>
          <w:sz w:val="24"/>
          <w:szCs w:val="24"/>
        </w:rPr>
        <w:t xml:space="preserve">  土壤调查范围内土壤类型表</w:t>
      </w:r>
    </w:p>
    <w:tbl>
      <w:tblPr>
        <w:tblStyle w:val="84"/>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2065"/>
        <w:gridCol w:w="2143"/>
        <w:gridCol w:w="2487"/>
      </w:tblGrid>
      <w:tr w14:paraId="6564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59" w:type="pct"/>
            <w:vAlign w:val="center"/>
          </w:tcPr>
          <w:p w14:paraId="3179E062">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土壤类型</w:t>
            </w:r>
          </w:p>
        </w:tc>
        <w:tc>
          <w:tcPr>
            <w:tcW w:w="1215" w:type="pct"/>
            <w:vAlign w:val="center"/>
          </w:tcPr>
          <w:p w14:paraId="14DE9BAA">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面积（hm</w:t>
            </w:r>
            <w:r>
              <w:rPr>
                <w:rFonts w:ascii="Times New Roman"/>
                <w:kern w:val="0"/>
                <w:sz w:val="21"/>
                <w:szCs w:val="21"/>
                <w:vertAlign w:val="superscript"/>
              </w:rPr>
              <w:t>2</w:t>
            </w:r>
            <w:r>
              <w:rPr>
                <w:rFonts w:ascii="Times New Roman"/>
                <w:kern w:val="0"/>
                <w:sz w:val="21"/>
                <w:szCs w:val="21"/>
              </w:rPr>
              <w:t>）</w:t>
            </w:r>
          </w:p>
        </w:tc>
        <w:tc>
          <w:tcPr>
            <w:tcW w:w="1261" w:type="pct"/>
            <w:vAlign w:val="center"/>
          </w:tcPr>
          <w:p w14:paraId="53C15ADA">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占比（%）</w:t>
            </w:r>
          </w:p>
        </w:tc>
        <w:tc>
          <w:tcPr>
            <w:tcW w:w="1463" w:type="pct"/>
            <w:vAlign w:val="center"/>
          </w:tcPr>
          <w:p w14:paraId="53D88AF9">
            <w:pPr>
              <w:widowControl/>
              <w:autoSpaceDE w:val="0"/>
              <w:autoSpaceDN w:val="0"/>
              <w:adjustRightInd w:val="0"/>
              <w:spacing w:line="300" w:lineRule="exact"/>
              <w:jc w:val="center"/>
              <w:rPr>
                <w:rFonts w:ascii="Times New Roman"/>
                <w:kern w:val="0"/>
                <w:sz w:val="21"/>
                <w:szCs w:val="21"/>
              </w:rPr>
            </w:pPr>
            <w:r>
              <w:rPr>
                <w:rFonts w:hint="eastAsia" w:ascii="Times New Roman"/>
                <w:kern w:val="0"/>
                <w:sz w:val="21"/>
                <w:szCs w:val="21"/>
              </w:rPr>
              <w:t>调查范围</w:t>
            </w:r>
          </w:p>
        </w:tc>
      </w:tr>
      <w:tr w14:paraId="2ECD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59" w:type="pct"/>
            <w:vAlign w:val="center"/>
          </w:tcPr>
          <w:p w14:paraId="007EDEA4">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潮土</w:t>
            </w:r>
          </w:p>
        </w:tc>
        <w:tc>
          <w:tcPr>
            <w:tcW w:w="1215" w:type="pct"/>
            <w:vAlign w:val="center"/>
          </w:tcPr>
          <w:p w14:paraId="7D6BA5C9">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335</w:t>
            </w:r>
          </w:p>
        </w:tc>
        <w:tc>
          <w:tcPr>
            <w:tcW w:w="1261" w:type="pct"/>
            <w:vAlign w:val="center"/>
          </w:tcPr>
          <w:p w14:paraId="687A3306">
            <w:pPr>
              <w:widowControl/>
              <w:autoSpaceDE w:val="0"/>
              <w:autoSpaceDN w:val="0"/>
              <w:adjustRightInd w:val="0"/>
              <w:spacing w:line="300" w:lineRule="exact"/>
              <w:jc w:val="center"/>
              <w:rPr>
                <w:rFonts w:ascii="Times New Roman"/>
                <w:kern w:val="0"/>
                <w:sz w:val="21"/>
                <w:szCs w:val="21"/>
              </w:rPr>
            </w:pPr>
            <w:r>
              <w:rPr>
                <w:rFonts w:ascii="Times New Roman"/>
                <w:kern w:val="0"/>
                <w:sz w:val="21"/>
                <w:szCs w:val="21"/>
              </w:rPr>
              <w:t>100</w:t>
            </w:r>
          </w:p>
        </w:tc>
        <w:tc>
          <w:tcPr>
            <w:tcW w:w="1463" w:type="pct"/>
            <w:vAlign w:val="center"/>
          </w:tcPr>
          <w:p w14:paraId="57DA3893">
            <w:pPr>
              <w:widowControl/>
              <w:autoSpaceDE w:val="0"/>
              <w:autoSpaceDN w:val="0"/>
              <w:adjustRightInd w:val="0"/>
              <w:spacing w:line="300" w:lineRule="exact"/>
              <w:jc w:val="center"/>
              <w:rPr>
                <w:rFonts w:ascii="Times New Roman"/>
                <w:kern w:val="0"/>
                <w:sz w:val="21"/>
                <w:szCs w:val="21"/>
              </w:rPr>
            </w:pPr>
            <w:r>
              <w:rPr>
                <w:rFonts w:hint="eastAsia" w:ascii="Times New Roman"/>
                <w:kern w:val="0"/>
                <w:sz w:val="21"/>
                <w:szCs w:val="21"/>
              </w:rPr>
              <w:t>厂界外200m</w:t>
            </w:r>
          </w:p>
        </w:tc>
      </w:tr>
    </w:tbl>
    <w:p w14:paraId="4FCA3927">
      <w:pPr>
        <w:spacing w:line="360" w:lineRule="auto"/>
        <w:outlineLvl w:val="3"/>
        <w:rPr>
          <w:rFonts w:ascii="Times New Roman"/>
          <w:b/>
          <w:sz w:val="24"/>
          <w:szCs w:val="24"/>
        </w:rPr>
      </w:pPr>
      <w:r>
        <w:rPr>
          <w:rFonts w:ascii="Times New Roman"/>
          <w:b/>
          <w:sz w:val="24"/>
          <w:szCs w:val="24"/>
        </w:rPr>
        <w:t>5.2.8.6评价标准</w:t>
      </w:r>
    </w:p>
    <w:p w14:paraId="4A443AE9">
      <w:pPr>
        <w:spacing w:line="360" w:lineRule="auto"/>
        <w:ind w:firstLine="480" w:firstLineChars="200"/>
        <w:rPr>
          <w:rFonts w:ascii="Times New Roman"/>
          <w:sz w:val="24"/>
          <w:szCs w:val="24"/>
        </w:rPr>
      </w:pPr>
      <w:r>
        <w:rPr>
          <w:rFonts w:ascii="Times New Roman"/>
          <w:sz w:val="24"/>
          <w:szCs w:val="24"/>
        </w:rPr>
        <w:t>建设用地土壤执行《土壤环境质量 建设用地土壤污染风险管控标准（试行）》（GB36600-2018）表1</w:t>
      </w:r>
      <w:r>
        <w:rPr>
          <w:rFonts w:ascii="Times New Roman"/>
        </w:rPr>
        <w:t>中第二类用地土壤风险筛选值标准</w:t>
      </w:r>
      <w:r>
        <w:rPr>
          <w:rFonts w:ascii="Times New Roman"/>
          <w:sz w:val="24"/>
          <w:szCs w:val="24"/>
        </w:rPr>
        <w:t>、《建设用地土壤污染风险筛选值》（DB13/T5216-2020）表1相关标准要求。</w:t>
      </w:r>
    </w:p>
    <w:p w14:paraId="641676B1">
      <w:pPr>
        <w:spacing w:line="360" w:lineRule="auto"/>
        <w:outlineLvl w:val="3"/>
        <w:rPr>
          <w:rFonts w:ascii="Times New Roman"/>
          <w:b/>
          <w:sz w:val="24"/>
          <w:szCs w:val="24"/>
        </w:rPr>
      </w:pPr>
      <w:r>
        <w:rPr>
          <w:rFonts w:ascii="Times New Roman"/>
          <w:b/>
          <w:sz w:val="24"/>
          <w:szCs w:val="24"/>
        </w:rPr>
        <w:t>5.2.8.</w:t>
      </w:r>
      <w:r>
        <w:rPr>
          <w:rFonts w:hint="eastAsia" w:ascii="Times New Roman"/>
          <w:b/>
          <w:sz w:val="24"/>
          <w:szCs w:val="24"/>
        </w:rPr>
        <w:t>7</w:t>
      </w:r>
      <w:r>
        <w:rPr>
          <w:rFonts w:ascii="Times New Roman"/>
          <w:b/>
          <w:sz w:val="24"/>
          <w:szCs w:val="24"/>
        </w:rPr>
        <w:t>土壤环境影响预测与评价</w:t>
      </w:r>
    </w:p>
    <w:p w14:paraId="02D313BB">
      <w:pPr>
        <w:adjustRightInd w:val="0"/>
        <w:snapToGrid w:val="0"/>
        <w:spacing w:line="360" w:lineRule="auto"/>
        <w:ind w:firstLine="500" w:firstLineChars="200"/>
        <w:rPr>
          <w:rFonts w:ascii="Times New Roman"/>
          <w:szCs w:val="22"/>
        </w:rPr>
      </w:pPr>
      <w:r>
        <w:rPr>
          <w:rFonts w:ascii="Times New Roman"/>
          <w:szCs w:val="22"/>
        </w:rPr>
        <w:t>（1）大气沉降土壤环境影响预测与评价</w:t>
      </w:r>
    </w:p>
    <w:p w14:paraId="4496BFDB">
      <w:pPr>
        <w:adjustRightInd w:val="0"/>
        <w:snapToGrid w:val="0"/>
        <w:spacing w:line="360" w:lineRule="auto"/>
        <w:ind w:firstLine="500" w:firstLineChars="200"/>
        <w:rPr>
          <w:rFonts w:ascii="Times New Roman"/>
          <w:szCs w:val="22"/>
        </w:rPr>
      </w:pPr>
      <w:r>
        <w:rPr>
          <w:rFonts w:ascii="Times New Roman"/>
          <w:szCs w:val="22"/>
        </w:rPr>
        <w:t>根据工程分析，本项目营运期产生喷漆废气，废气中外排的有机废气大气沉降对评价范围内土壤造成污染影响。因此，本评价将本项目实施后喷漆房产生的废气作为影响源，预测二甲苯大气沉降的土壤环境影响。</w:t>
      </w:r>
    </w:p>
    <w:p w14:paraId="05DC2C76">
      <w:pPr>
        <w:adjustRightInd w:val="0"/>
        <w:snapToGrid w:val="0"/>
        <w:spacing w:line="360" w:lineRule="auto"/>
        <w:ind w:firstLine="500" w:firstLineChars="200"/>
        <w:rPr>
          <w:rFonts w:ascii="Times New Roman"/>
          <w:szCs w:val="22"/>
        </w:rPr>
      </w:pPr>
      <w:r>
        <w:rPr>
          <w:rFonts w:ascii="Times New Roman"/>
          <w:szCs w:val="22"/>
        </w:rPr>
        <w:t>①预测模型</w:t>
      </w:r>
    </w:p>
    <w:p w14:paraId="29B33997">
      <w:pPr>
        <w:adjustRightInd w:val="0"/>
        <w:snapToGrid w:val="0"/>
        <w:spacing w:line="360" w:lineRule="auto"/>
        <w:ind w:firstLine="500" w:firstLineChars="200"/>
        <w:rPr>
          <w:rFonts w:ascii="Times New Roman"/>
          <w:szCs w:val="22"/>
        </w:rPr>
      </w:pPr>
      <w:r>
        <w:rPr>
          <w:rFonts w:ascii="Times New Roman"/>
          <w:szCs w:val="22"/>
        </w:rPr>
        <w:t>本评价采用《环境影响评价技术导则 土壤环境(试行)》(HJ964-2018)附录E中预测方法，预测公式如下：</w:t>
      </w:r>
    </w:p>
    <w:p w14:paraId="09964B21">
      <w:pPr>
        <w:adjustRightInd w:val="0"/>
        <w:snapToGrid w:val="0"/>
        <w:spacing w:line="360" w:lineRule="auto"/>
        <w:ind w:firstLine="500" w:firstLineChars="200"/>
        <w:rPr>
          <w:rFonts w:ascii="Times New Roman"/>
          <w:szCs w:val="22"/>
        </w:rPr>
      </w:pPr>
      <w:r>
        <w:rPr>
          <w:rFonts w:ascii="Times New Roman"/>
          <w:szCs w:val="22"/>
        </w:rPr>
        <w:t>单位土壤中某种物质的增量计算公式：</w:t>
      </w:r>
    </w:p>
    <w:p w14:paraId="381157CB">
      <w:pPr>
        <w:adjustRightInd w:val="0"/>
        <w:snapToGrid w:val="0"/>
        <w:spacing w:line="360" w:lineRule="auto"/>
        <w:ind w:firstLine="540"/>
        <w:jc w:val="center"/>
        <w:rPr>
          <w:rFonts w:ascii="Times New Roman"/>
        </w:rPr>
      </w:pPr>
      <w:r>
        <w:rPr>
          <w:rFonts w:ascii="Times New Roman"/>
        </w:rPr>
        <w:drawing>
          <wp:inline distT="0" distB="0" distL="114300" distR="114300">
            <wp:extent cx="2027555" cy="23050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67"/>
                    <a:stretch>
                      <a:fillRect/>
                    </a:stretch>
                  </pic:blipFill>
                  <pic:spPr>
                    <a:xfrm>
                      <a:off x="0" y="0"/>
                      <a:ext cx="2027555" cy="230505"/>
                    </a:xfrm>
                    <a:prstGeom prst="rect">
                      <a:avLst/>
                    </a:prstGeom>
                    <a:noFill/>
                    <a:ln>
                      <a:noFill/>
                    </a:ln>
                  </pic:spPr>
                </pic:pic>
              </a:graphicData>
            </a:graphic>
          </wp:inline>
        </w:drawing>
      </w:r>
    </w:p>
    <w:p w14:paraId="53CE569B">
      <w:pPr>
        <w:adjustRightInd w:val="0"/>
        <w:snapToGrid w:val="0"/>
        <w:spacing w:line="360" w:lineRule="auto"/>
        <w:ind w:firstLine="500" w:firstLineChars="200"/>
        <w:rPr>
          <w:rFonts w:ascii="Times New Roman"/>
          <w:szCs w:val="22"/>
        </w:rPr>
      </w:pPr>
      <w:r>
        <w:rPr>
          <w:rFonts w:ascii="Times New Roman"/>
          <w:szCs w:val="22"/>
        </w:rPr>
        <w:t>式中：</w:t>
      </w:r>
      <w:r>
        <w:rPr>
          <w:rFonts w:ascii="Times New Roman"/>
          <w:szCs w:val="22"/>
        </w:rPr>
        <w:drawing>
          <wp:inline distT="0" distB="0" distL="114300" distR="114300">
            <wp:extent cx="161925" cy="200025"/>
            <wp:effectExtent l="0" t="0" r="9525" b="6985"/>
            <wp:docPr id="2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
                    <pic:cNvPicPr>
                      <a:picLocks noChangeAspect="1"/>
                    </pic:cNvPicPr>
                  </pic:nvPicPr>
                  <pic:blipFill>
                    <a:blip r:embed="rId68" cstate="print">
                      <a:clrChange>
                        <a:clrFrom>
                          <a:srgbClr val="FFFFFF"/>
                        </a:clrFrom>
                        <a:clrTo>
                          <a:srgbClr val="FFFFFF">
                            <a:alpha val="0"/>
                          </a:srgbClr>
                        </a:clrTo>
                      </a:clrChange>
                    </a:blip>
                    <a:stretch>
                      <a:fillRect/>
                    </a:stretch>
                  </pic:blipFill>
                  <pic:spPr>
                    <a:xfrm>
                      <a:off x="0" y="0"/>
                      <a:ext cx="161925" cy="200025"/>
                    </a:xfrm>
                    <a:prstGeom prst="rect">
                      <a:avLst/>
                    </a:prstGeom>
                    <a:noFill/>
                    <a:ln>
                      <a:noFill/>
                    </a:ln>
                  </pic:spPr>
                </pic:pic>
              </a:graphicData>
            </a:graphic>
          </wp:inline>
        </w:drawing>
      </w:r>
      <w:r>
        <w:rPr>
          <w:rFonts w:ascii="Times New Roman"/>
          <w:szCs w:val="22"/>
        </w:rPr>
        <w:t>—单位质量表层土壤中某种物质的增量，g/kg；</w:t>
      </w:r>
    </w:p>
    <w:p w14:paraId="7CF7BBA1">
      <w:pPr>
        <w:adjustRightInd w:val="0"/>
        <w:snapToGrid w:val="0"/>
        <w:spacing w:line="360" w:lineRule="auto"/>
        <w:ind w:firstLine="500" w:firstLineChars="200"/>
        <w:rPr>
          <w:rFonts w:ascii="Times New Roman"/>
          <w:szCs w:val="22"/>
        </w:rPr>
      </w:pPr>
      <w:r>
        <w:rPr>
          <w:rFonts w:ascii="Times New Roman"/>
          <w:szCs w:val="22"/>
        </w:rPr>
        <w:drawing>
          <wp:inline distT="0" distB="0" distL="114300" distR="114300">
            <wp:extent cx="114300" cy="200025"/>
            <wp:effectExtent l="0" t="0" r="0" b="6985"/>
            <wp:docPr id="2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7"/>
                    <pic:cNvPicPr>
                      <a:picLocks noChangeAspect="1"/>
                    </pic:cNvPicPr>
                  </pic:nvPicPr>
                  <pic:blipFill>
                    <a:blip r:embed="rId69" cstate="print">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ascii="Times New Roman"/>
          <w:szCs w:val="22"/>
        </w:rPr>
        <w:t>—预测评价范围内单位年份表层土壤中某种物质的输入量，g；根据大气预测结果，项目二甲苯最大落地浓度距离为1</w:t>
      </w:r>
      <w:r>
        <w:rPr>
          <w:rFonts w:hint="eastAsia" w:ascii="Times New Roman"/>
          <w:szCs w:val="22"/>
        </w:rPr>
        <w:t>2</w:t>
      </w:r>
      <w:r>
        <w:rPr>
          <w:rFonts w:ascii="Times New Roman"/>
          <w:szCs w:val="22"/>
        </w:rPr>
        <w:t>6m（自排气筒开始），位于本次预测评价范围内，二甲苯年排放量</w:t>
      </w:r>
      <w:r>
        <w:rPr>
          <w:rFonts w:hint="eastAsia" w:ascii="Times New Roman"/>
          <w:szCs w:val="22"/>
        </w:rPr>
        <w:t>4.587</w:t>
      </w:r>
      <w:r>
        <w:rPr>
          <w:rFonts w:ascii="Times New Roman"/>
          <w:szCs w:val="22"/>
        </w:rPr>
        <w:t>t。</w:t>
      </w:r>
    </w:p>
    <w:p w14:paraId="53C67074">
      <w:pPr>
        <w:adjustRightInd w:val="0"/>
        <w:snapToGrid w:val="0"/>
        <w:spacing w:line="360" w:lineRule="auto"/>
        <w:ind w:firstLine="500" w:firstLineChars="200"/>
        <w:rPr>
          <w:rFonts w:ascii="Times New Roman"/>
          <w:szCs w:val="22"/>
        </w:rPr>
      </w:pPr>
      <w:r>
        <w:rPr>
          <w:rFonts w:ascii="Times New Roman"/>
          <w:szCs w:val="22"/>
        </w:rPr>
        <w:t>Ls—预测评价范围内单位年份表层土壤中某种物质经淋滤排出的量，g；</w:t>
      </w:r>
    </w:p>
    <w:p w14:paraId="37319860">
      <w:pPr>
        <w:adjustRightInd w:val="0"/>
        <w:snapToGrid w:val="0"/>
        <w:spacing w:line="360" w:lineRule="auto"/>
        <w:ind w:firstLine="500" w:firstLineChars="200"/>
        <w:rPr>
          <w:rFonts w:ascii="Times New Roman"/>
          <w:szCs w:val="22"/>
        </w:rPr>
      </w:pPr>
      <w:r>
        <w:rPr>
          <w:rFonts w:ascii="Times New Roman"/>
          <w:szCs w:val="22"/>
        </w:rPr>
        <w:t>Rs—预测评价范围内单位年份表层土壤中某种物质经径流排出的量，g；</w:t>
      </w:r>
    </w:p>
    <w:p w14:paraId="79A0D319">
      <w:pPr>
        <w:adjustRightInd w:val="0"/>
        <w:snapToGrid w:val="0"/>
        <w:spacing w:line="360" w:lineRule="auto"/>
        <w:ind w:firstLine="500" w:firstLineChars="200"/>
        <w:rPr>
          <w:rFonts w:ascii="Times New Roman"/>
          <w:szCs w:val="22"/>
        </w:rPr>
      </w:pPr>
      <w:r>
        <w:rPr>
          <w:rFonts w:ascii="Times New Roman"/>
          <w:szCs w:val="22"/>
        </w:rPr>
        <w:t>按照最不利情形考虑，二甲苯淋滤和径流排出量为0，故Ls、Rs之和取0；</w:t>
      </w:r>
    </w:p>
    <w:p w14:paraId="3611918D">
      <w:pPr>
        <w:adjustRightInd w:val="0"/>
        <w:snapToGrid w:val="0"/>
        <w:spacing w:line="360" w:lineRule="auto"/>
        <w:ind w:firstLine="500" w:firstLineChars="200"/>
        <w:rPr>
          <w:rFonts w:ascii="Times New Roman"/>
          <w:szCs w:val="22"/>
        </w:rPr>
      </w:pPr>
      <w:r>
        <w:rPr>
          <w:rFonts w:ascii="Times New Roman"/>
          <w:szCs w:val="22"/>
        </w:rPr>
        <w:drawing>
          <wp:inline distT="0" distB="0" distL="114300" distR="114300">
            <wp:extent cx="152400" cy="200025"/>
            <wp:effectExtent l="0" t="0" r="0" b="6350"/>
            <wp:docPr id="2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8"/>
                    <pic:cNvPicPr>
                      <a:picLocks noChangeAspect="1"/>
                    </pic:cNvPicPr>
                  </pic:nvPicPr>
                  <pic:blipFill>
                    <a:blip r:embed="rId70" cstate="print">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ascii="Times New Roman"/>
          <w:szCs w:val="22"/>
        </w:rPr>
        <w:t>—表层土壤容重，kg/m</w:t>
      </w:r>
      <w:r>
        <w:rPr>
          <w:rFonts w:ascii="Times New Roman"/>
          <w:szCs w:val="22"/>
          <w:vertAlign w:val="superscript"/>
        </w:rPr>
        <w:t>3</w:t>
      </w:r>
      <w:r>
        <w:rPr>
          <w:rFonts w:ascii="Times New Roman"/>
          <w:szCs w:val="22"/>
        </w:rPr>
        <w:t>，表层以轻壤土为主，容重取1.47×10</w:t>
      </w:r>
      <w:r>
        <w:rPr>
          <w:rFonts w:ascii="Times New Roman"/>
          <w:szCs w:val="22"/>
          <w:vertAlign w:val="superscript"/>
        </w:rPr>
        <w:t>3</w:t>
      </w:r>
      <w:r>
        <w:rPr>
          <w:rFonts w:ascii="Times New Roman"/>
          <w:szCs w:val="22"/>
        </w:rPr>
        <w:t>kg/m</w:t>
      </w:r>
      <w:r>
        <w:rPr>
          <w:rFonts w:ascii="Times New Roman"/>
          <w:szCs w:val="22"/>
          <w:vertAlign w:val="superscript"/>
        </w:rPr>
        <w:t>3</w:t>
      </w:r>
      <w:r>
        <w:rPr>
          <w:rFonts w:ascii="Times New Roman"/>
          <w:szCs w:val="22"/>
        </w:rPr>
        <w:t>；</w:t>
      </w:r>
    </w:p>
    <w:p w14:paraId="1201A432">
      <w:pPr>
        <w:adjustRightInd w:val="0"/>
        <w:snapToGrid w:val="0"/>
        <w:spacing w:line="360" w:lineRule="auto"/>
        <w:ind w:firstLine="500" w:firstLineChars="200"/>
        <w:rPr>
          <w:rFonts w:ascii="Times New Roman"/>
          <w:szCs w:val="22"/>
        </w:rPr>
      </w:pPr>
      <w:r>
        <w:rPr>
          <w:rFonts w:ascii="Times New Roman"/>
          <w:szCs w:val="22"/>
        </w:rPr>
        <w:drawing>
          <wp:inline distT="0" distB="0" distL="114300" distR="114300">
            <wp:extent cx="95250" cy="200025"/>
            <wp:effectExtent l="0" t="0" r="0" b="6985"/>
            <wp:docPr id="2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9"/>
                    <pic:cNvPicPr>
                      <a:picLocks noChangeAspect="1"/>
                    </pic:cNvPicPr>
                  </pic:nvPicPr>
                  <pic:blipFill>
                    <a:blip r:embed="rId71" cstate="print">
                      <a:clrChange>
                        <a:clrFrom>
                          <a:srgbClr val="FFFFFF"/>
                        </a:clrFrom>
                        <a:clrTo>
                          <a:srgbClr val="FFFFFF">
                            <a:alpha val="0"/>
                          </a:srgbClr>
                        </a:clrTo>
                      </a:clrChange>
                    </a:blip>
                    <a:stretch>
                      <a:fillRect/>
                    </a:stretch>
                  </pic:blipFill>
                  <pic:spPr>
                    <a:xfrm>
                      <a:off x="0" y="0"/>
                      <a:ext cx="95250" cy="200025"/>
                    </a:xfrm>
                    <a:prstGeom prst="rect">
                      <a:avLst/>
                    </a:prstGeom>
                    <a:noFill/>
                    <a:ln>
                      <a:noFill/>
                    </a:ln>
                  </pic:spPr>
                </pic:pic>
              </a:graphicData>
            </a:graphic>
          </wp:inline>
        </w:drawing>
      </w:r>
      <w:r>
        <w:rPr>
          <w:rFonts w:ascii="Times New Roman"/>
          <w:szCs w:val="22"/>
        </w:rPr>
        <w:t>—1m</w:t>
      </w:r>
      <w:r>
        <w:rPr>
          <w:rFonts w:ascii="Times New Roman"/>
          <w:szCs w:val="22"/>
          <w:vertAlign w:val="superscript"/>
        </w:rPr>
        <w:t>2</w:t>
      </w:r>
      <w:r>
        <w:rPr>
          <w:rFonts w:ascii="Times New Roman"/>
          <w:szCs w:val="22"/>
        </w:rPr>
        <w:t>网格面积，m</w:t>
      </w:r>
      <w:r>
        <w:rPr>
          <w:rFonts w:ascii="Times New Roman"/>
          <w:szCs w:val="22"/>
          <w:vertAlign w:val="superscript"/>
        </w:rPr>
        <w:t>2</w:t>
      </w:r>
      <w:r>
        <w:rPr>
          <w:rFonts w:ascii="Times New Roman"/>
          <w:szCs w:val="22"/>
        </w:rPr>
        <w:t>；（本次取4540000m</w:t>
      </w:r>
      <w:r>
        <w:rPr>
          <w:rFonts w:ascii="Times New Roman"/>
          <w:szCs w:val="22"/>
          <w:vertAlign w:val="superscript"/>
        </w:rPr>
        <w:t>2</w:t>
      </w:r>
      <w:r>
        <w:rPr>
          <w:rFonts w:ascii="Times New Roman"/>
          <w:szCs w:val="22"/>
        </w:rPr>
        <w:t>）</w:t>
      </w:r>
    </w:p>
    <w:p w14:paraId="3FCEF82D">
      <w:pPr>
        <w:adjustRightInd w:val="0"/>
        <w:snapToGrid w:val="0"/>
        <w:spacing w:line="360" w:lineRule="auto"/>
        <w:ind w:firstLine="500" w:firstLineChars="200"/>
        <w:rPr>
          <w:rFonts w:ascii="Times New Roman"/>
          <w:szCs w:val="22"/>
        </w:rPr>
      </w:pPr>
      <w:r>
        <w:rPr>
          <w:rFonts w:ascii="Times New Roman"/>
          <w:szCs w:val="22"/>
        </w:rPr>
        <w:drawing>
          <wp:inline distT="0" distB="0" distL="114300" distR="114300">
            <wp:extent cx="114300" cy="200025"/>
            <wp:effectExtent l="0" t="0" r="0" b="6985"/>
            <wp:docPr id="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
                    <pic:cNvPicPr>
                      <a:picLocks noChangeAspect="1"/>
                    </pic:cNvPicPr>
                  </pic:nvPicPr>
                  <pic:blipFill>
                    <a:blip r:embed="rId72" cstate="print">
                      <a:clrChange>
                        <a:clrFrom>
                          <a:srgbClr val="FFFFFF"/>
                        </a:clrFrom>
                        <a:clrTo>
                          <a:srgbClr val="FFFFFF">
                            <a:alpha val="0"/>
                          </a:srgbClr>
                        </a:clrTo>
                      </a:clrChange>
                    </a:blip>
                    <a:stretch>
                      <a:fillRect/>
                    </a:stretch>
                  </pic:blipFill>
                  <pic:spPr>
                    <a:xfrm>
                      <a:off x="0" y="0"/>
                      <a:ext cx="114300" cy="200025"/>
                    </a:xfrm>
                    <a:prstGeom prst="rect">
                      <a:avLst/>
                    </a:prstGeom>
                    <a:noFill/>
                    <a:ln>
                      <a:noFill/>
                    </a:ln>
                  </pic:spPr>
                </pic:pic>
              </a:graphicData>
            </a:graphic>
          </wp:inline>
        </w:drawing>
      </w:r>
      <w:r>
        <w:rPr>
          <w:rFonts w:ascii="Times New Roman"/>
          <w:szCs w:val="22"/>
        </w:rPr>
        <w:t>—表层土壤深度，取0.2m；</w:t>
      </w:r>
    </w:p>
    <w:p w14:paraId="0A6EFBBD">
      <w:pPr>
        <w:adjustRightInd w:val="0"/>
        <w:snapToGrid w:val="0"/>
        <w:spacing w:line="360" w:lineRule="auto"/>
        <w:ind w:firstLine="500" w:firstLineChars="200"/>
        <w:rPr>
          <w:rFonts w:ascii="Times New Roman"/>
          <w:szCs w:val="22"/>
        </w:rPr>
      </w:pPr>
      <w:r>
        <w:rPr>
          <w:rFonts w:ascii="Times New Roman"/>
          <w:szCs w:val="22"/>
        </w:rPr>
        <w:drawing>
          <wp:inline distT="0" distB="0" distL="114300" distR="114300">
            <wp:extent cx="85725" cy="200025"/>
            <wp:effectExtent l="0" t="0" r="9525" b="6350"/>
            <wp:docPr id="2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1"/>
                    <pic:cNvPicPr>
                      <a:picLocks noChangeAspect="1"/>
                    </pic:cNvPicPr>
                  </pic:nvPicPr>
                  <pic:blipFill>
                    <a:blip r:embed="rId73" cstate="print">
                      <a:clrChange>
                        <a:clrFrom>
                          <a:srgbClr val="FFFFFF"/>
                        </a:clrFrom>
                        <a:clrTo>
                          <a:srgbClr val="FFFFFF">
                            <a:alpha val="0"/>
                          </a:srgbClr>
                        </a:clrTo>
                      </a:clrChange>
                    </a:blip>
                    <a:stretch>
                      <a:fillRect/>
                    </a:stretch>
                  </pic:blipFill>
                  <pic:spPr>
                    <a:xfrm>
                      <a:off x="0" y="0"/>
                      <a:ext cx="85725" cy="200025"/>
                    </a:xfrm>
                    <a:prstGeom prst="rect">
                      <a:avLst/>
                    </a:prstGeom>
                    <a:noFill/>
                    <a:ln>
                      <a:noFill/>
                    </a:ln>
                  </pic:spPr>
                </pic:pic>
              </a:graphicData>
            </a:graphic>
          </wp:inline>
        </w:drawing>
      </w:r>
      <w:r>
        <w:rPr>
          <w:rFonts w:ascii="Times New Roman"/>
          <w:szCs w:val="22"/>
        </w:rPr>
        <w:t>—持续年份，a。</w:t>
      </w:r>
    </w:p>
    <w:p w14:paraId="17AAC799">
      <w:pPr>
        <w:adjustRightInd w:val="0"/>
        <w:snapToGrid w:val="0"/>
        <w:spacing w:line="360" w:lineRule="auto"/>
        <w:ind w:firstLine="500" w:firstLineChars="200"/>
        <w:rPr>
          <w:rFonts w:ascii="Times New Roman"/>
          <w:szCs w:val="22"/>
        </w:rPr>
      </w:pPr>
      <w:r>
        <w:rPr>
          <w:rFonts w:ascii="Times New Roman"/>
          <w:szCs w:val="22"/>
        </w:rPr>
        <w:t>单位土壤中某种物质的预测值计算公式：</w:t>
      </w:r>
    </w:p>
    <w:p w14:paraId="272DB71B">
      <w:pPr>
        <w:adjustRightInd w:val="0"/>
        <w:snapToGrid w:val="0"/>
        <w:spacing w:line="360" w:lineRule="auto"/>
        <w:ind w:firstLine="500" w:firstLineChars="200"/>
        <w:rPr>
          <w:rFonts w:ascii="Times New Roman"/>
          <w:szCs w:val="22"/>
        </w:rPr>
      </w:pPr>
      <w:r>
        <w:rPr>
          <w:rFonts w:ascii="Times New Roman"/>
          <w:szCs w:val="22"/>
        </w:rPr>
        <w:drawing>
          <wp:inline distT="0" distB="0" distL="114300" distR="114300">
            <wp:extent cx="787400" cy="230505"/>
            <wp:effectExtent l="0" t="0" r="0" b="0"/>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74"/>
                    <a:stretch>
                      <a:fillRect/>
                    </a:stretch>
                  </pic:blipFill>
                  <pic:spPr>
                    <a:xfrm>
                      <a:off x="0" y="0"/>
                      <a:ext cx="787400" cy="230505"/>
                    </a:xfrm>
                    <a:prstGeom prst="rect">
                      <a:avLst/>
                    </a:prstGeom>
                    <a:noFill/>
                    <a:ln>
                      <a:noFill/>
                    </a:ln>
                  </pic:spPr>
                </pic:pic>
              </a:graphicData>
            </a:graphic>
          </wp:inline>
        </w:drawing>
      </w:r>
    </w:p>
    <w:p w14:paraId="3090E18E">
      <w:pPr>
        <w:adjustRightInd w:val="0"/>
        <w:snapToGrid w:val="0"/>
        <w:spacing w:line="360" w:lineRule="auto"/>
        <w:ind w:firstLine="500" w:firstLineChars="200"/>
        <w:rPr>
          <w:rFonts w:ascii="Times New Roman"/>
          <w:szCs w:val="22"/>
        </w:rPr>
      </w:pPr>
      <w:r>
        <w:rPr>
          <w:rFonts w:ascii="Times New Roman"/>
          <w:szCs w:val="22"/>
        </w:rPr>
        <w:t>式中：S—单位质量表层土壤中某种物质的预测值；</w:t>
      </w:r>
    </w:p>
    <w:p w14:paraId="6D2B8736">
      <w:pPr>
        <w:adjustRightInd w:val="0"/>
        <w:snapToGrid w:val="0"/>
        <w:spacing w:line="360" w:lineRule="auto"/>
        <w:ind w:firstLine="500" w:firstLineChars="200"/>
        <w:rPr>
          <w:rFonts w:ascii="Times New Roman"/>
          <w:szCs w:val="22"/>
        </w:rPr>
      </w:pPr>
      <w:r>
        <w:rPr>
          <w:rFonts w:ascii="Times New Roman"/>
          <w:szCs w:val="22"/>
        </w:rPr>
        <w:t>S</w:t>
      </w:r>
      <w:r>
        <w:rPr>
          <w:rFonts w:ascii="Times New Roman"/>
          <w:szCs w:val="22"/>
          <w:vertAlign w:val="subscript"/>
        </w:rPr>
        <w:t>b</w:t>
      </w:r>
      <w:r>
        <w:rPr>
          <w:rFonts w:ascii="Times New Roman"/>
          <w:szCs w:val="22"/>
        </w:rPr>
        <w:t>—单位质量表层土壤中某种物质的现状值，其中厂外沉降背景值取监测最大值，二甲苯均未检出。</w:t>
      </w:r>
    </w:p>
    <w:p w14:paraId="09950D95">
      <w:pPr>
        <w:adjustRightInd w:val="0"/>
        <w:spacing w:line="360" w:lineRule="auto"/>
        <w:ind w:firstLine="500" w:firstLineChars="200"/>
        <w:rPr>
          <w:rFonts w:ascii="Times New Roman"/>
          <w:sz w:val="24"/>
          <w:szCs w:val="24"/>
        </w:rPr>
      </w:pPr>
      <w:r>
        <w:rPr>
          <w:rFonts w:ascii="Times New Roman"/>
          <w:szCs w:val="22"/>
        </w:rPr>
        <w:t>②</w:t>
      </w:r>
      <w:r>
        <w:rPr>
          <w:rFonts w:ascii="Times New Roman"/>
          <w:sz w:val="24"/>
          <w:szCs w:val="24"/>
        </w:rPr>
        <w:t>预测结果及评价</w:t>
      </w:r>
    </w:p>
    <w:p w14:paraId="52B84F0B">
      <w:pPr>
        <w:adjustRightInd w:val="0"/>
        <w:spacing w:line="360" w:lineRule="auto"/>
        <w:ind w:firstLine="480" w:firstLineChars="200"/>
        <w:rPr>
          <w:rFonts w:ascii="Times New Roman"/>
          <w:sz w:val="24"/>
          <w:szCs w:val="24"/>
        </w:rPr>
      </w:pPr>
      <w:r>
        <w:rPr>
          <w:rFonts w:ascii="Times New Roman"/>
          <w:sz w:val="24"/>
          <w:szCs w:val="24"/>
        </w:rPr>
        <w:t>△S=n(I</w:t>
      </w:r>
      <w:r>
        <w:rPr>
          <w:rFonts w:ascii="Times New Roman"/>
          <w:sz w:val="24"/>
          <w:szCs w:val="24"/>
          <w:vertAlign w:val="subscript"/>
        </w:rPr>
        <w:t>S</w:t>
      </w:r>
      <w:r>
        <w:rPr>
          <w:rFonts w:ascii="Times New Roman"/>
          <w:sz w:val="24"/>
          <w:szCs w:val="24"/>
        </w:rPr>
        <w:t>-L</w:t>
      </w:r>
      <w:r>
        <w:rPr>
          <w:rFonts w:ascii="Times New Roman"/>
          <w:sz w:val="24"/>
          <w:szCs w:val="24"/>
          <w:vertAlign w:val="subscript"/>
        </w:rPr>
        <w:t>S</w:t>
      </w:r>
      <w:r>
        <w:rPr>
          <w:rFonts w:ascii="Times New Roman"/>
          <w:sz w:val="24"/>
          <w:szCs w:val="24"/>
        </w:rPr>
        <w:t>-R</w:t>
      </w:r>
      <w:r>
        <w:rPr>
          <w:rFonts w:ascii="Times New Roman"/>
          <w:sz w:val="24"/>
          <w:szCs w:val="24"/>
          <w:vertAlign w:val="subscript"/>
        </w:rPr>
        <w:t>S</w:t>
      </w:r>
      <w:r>
        <w:rPr>
          <w:rFonts w:ascii="Times New Roman"/>
          <w:sz w:val="24"/>
          <w:szCs w:val="24"/>
        </w:rPr>
        <w:t>)/(ρ</w:t>
      </w:r>
      <w:r>
        <w:rPr>
          <w:rFonts w:ascii="Times New Roman"/>
          <w:sz w:val="24"/>
          <w:szCs w:val="24"/>
          <w:vertAlign w:val="subscript"/>
        </w:rPr>
        <w:t>b</w:t>
      </w:r>
      <w:r>
        <w:rPr>
          <w:rFonts w:ascii="Times New Roman"/>
          <w:sz w:val="24"/>
          <w:szCs w:val="24"/>
        </w:rPr>
        <w:t>×A×D)</w:t>
      </w:r>
    </w:p>
    <w:p w14:paraId="32E522CF">
      <w:pPr>
        <w:adjustRightInd w:val="0"/>
        <w:spacing w:line="360" w:lineRule="auto"/>
        <w:ind w:firstLine="1200" w:firstLineChars="500"/>
        <w:rPr>
          <w:rFonts w:ascii="Times New Roman"/>
          <w:sz w:val="24"/>
          <w:szCs w:val="24"/>
        </w:rPr>
      </w:pPr>
      <w:r>
        <w:rPr>
          <w:rFonts w:ascii="Times New Roman"/>
          <w:sz w:val="24"/>
          <w:szCs w:val="24"/>
        </w:rPr>
        <w:t>=1×（</w:t>
      </w:r>
      <w:r>
        <w:rPr>
          <w:rFonts w:hint="eastAsia" w:ascii="Times New Roman"/>
          <w:sz w:val="24"/>
          <w:szCs w:val="24"/>
        </w:rPr>
        <w:t>4.587</w:t>
      </w:r>
      <w:r>
        <w:rPr>
          <w:rFonts w:ascii="Times New Roman"/>
          <w:sz w:val="24"/>
          <w:szCs w:val="24"/>
        </w:rPr>
        <w:t>×10</w:t>
      </w:r>
      <w:r>
        <w:rPr>
          <w:rFonts w:ascii="Times New Roman"/>
          <w:sz w:val="24"/>
          <w:szCs w:val="24"/>
          <w:vertAlign w:val="superscript"/>
        </w:rPr>
        <w:t>9</w:t>
      </w:r>
      <w:r>
        <w:rPr>
          <w:rFonts w:ascii="Times New Roman"/>
          <w:sz w:val="24"/>
          <w:szCs w:val="24"/>
        </w:rPr>
        <w:t>-0-0）÷（</w:t>
      </w:r>
      <w:r>
        <w:rPr>
          <w:rFonts w:hint="eastAsia" w:ascii="Times New Roman"/>
          <w:sz w:val="24"/>
          <w:szCs w:val="24"/>
        </w:rPr>
        <w:t>1470</w:t>
      </w:r>
      <w:r>
        <w:rPr>
          <w:rFonts w:ascii="Times New Roman"/>
          <w:sz w:val="24"/>
          <w:szCs w:val="24"/>
        </w:rPr>
        <w:t>×4540000×0.2）</w:t>
      </w:r>
    </w:p>
    <w:p w14:paraId="4F266AC3">
      <w:pPr>
        <w:adjustRightInd w:val="0"/>
        <w:spacing w:line="360" w:lineRule="auto"/>
        <w:ind w:firstLine="1200" w:firstLineChars="500"/>
        <w:rPr>
          <w:rFonts w:ascii="Times New Roman"/>
          <w:sz w:val="24"/>
          <w:szCs w:val="24"/>
        </w:rPr>
      </w:pPr>
      <w:r>
        <w:rPr>
          <w:rFonts w:ascii="Times New Roman"/>
          <w:sz w:val="24"/>
          <w:szCs w:val="24"/>
        </w:rPr>
        <w:t>=</w:t>
      </w:r>
      <w:r>
        <w:rPr>
          <w:rFonts w:hint="eastAsia" w:ascii="Times New Roman"/>
          <w:sz w:val="24"/>
          <w:szCs w:val="24"/>
        </w:rPr>
        <w:t>3.436</w:t>
      </w:r>
      <w:r>
        <w:rPr>
          <w:rFonts w:ascii="Times New Roman"/>
          <w:sz w:val="24"/>
          <w:szCs w:val="24"/>
        </w:rPr>
        <w:t>mg/kg</w:t>
      </w:r>
    </w:p>
    <w:p w14:paraId="7C71B36F">
      <w:pPr>
        <w:spacing w:line="360" w:lineRule="auto"/>
        <w:ind w:firstLine="480" w:firstLineChars="200"/>
        <w:rPr>
          <w:rFonts w:ascii="Times New Roman"/>
          <w:sz w:val="24"/>
          <w:szCs w:val="24"/>
        </w:rPr>
      </w:pPr>
      <w:r>
        <w:rPr>
          <w:rFonts w:ascii="Times New Roman"/>
          <w:sz w:val="24"/>
          <w:szCs w:val="24"/>
        </w:rPr>
        <w:t>S=Sb+△S=0+</w:t>
      </w:r>
      <w:r>
        <w:rPr>
          <w:rFonts w:hint="eastAsia" w:ascii="Times New Roman"/>
          <w:sz w:val="24"/>
          <w:szCs w:val="24"/>
        </w:rPr>
        <w:t>3.436</w:t>
      </w:r>
      <w:r>
        <w:rPr>
          <w:rFonts w:ascii="Times New Roman"/>
          <w:sz w:val="24"/>
          <w:szCs w:val="24"/>
        </w:rPr>
        <w:t>=</w:t>
      </w:r>
      <w:r>
        <w:rPr>
          <w:rFonts w:hint="eastAsia" w:ascii="Times New Roman"/>
          <w:sz w:val="24"/>
          <w:szCs w:val="24"/>
        </w:rPr>
        <w:t>3.436</w:t>
      </w:r>
      <w:r>
        <w:rPr>
          <w:rFonts w:ascii="Times New Roman"/>
          <w:sz w:val="24"/>
          <w:szCs w:val="24"/>
        </w:rPr>
        <w:t>mg/kg，＜570mg/kg</w:t>
      </w:r>
    </w:p>
    <w:p w14:paraId="62C455F4">
      <w:pPr>
        <w:spacing w:line="360" w:lineRule="auto"/>
        <w:ind w:firstLine="500" w:firstLineChars="200"/>
        <w:rPr>
          <w:rFonts w:ascii="Times New Roman"/>
          <w:szCs w:val="22"/>
        </w:rPr>
      </w:pPr>
      <w:r>
        <w:rPr>
          <w:rFonts w:ascii="Times New Roman"/>
          <w:szCs w:val="22"/>
        </w:rPr>
        <w:t>③预测评价结论</w:t>
      </w:r>
    </w:p>
    <w:p w14:paraId="331E733B">
      <w:pPr>
        <w:spacing w:line="360" w:lineRule="auto"/>
        <w:ind w:firstLine="500" w:firstLineChars="200"/>
        <w:rPr>
          <w:rFonts w:ascii="Times New Roman"/>
          <w:szCs w:val="22"/>
        </w:rPr>
      </w:pPr>
      <w:r>
        <w:rPr>
          <w:rFonts w:ascii="Times New Roman"/>
          <w:szCs w:val="22"/>
        </w:rPr>
        <w:t>通过预测，本项目大气沉降情况下，项目生产过程中排放的二甲苯对周围土壤环境影响较小，二甲苯可满足《土壤环境质量 建设用地土壤污染风险管控标准（试行）》（GB36600-2018）第二类用地筛选值。</w:t>
      </w:r>
    </w:p>
    <w:p w14:paraId="619017F2">
      <w:pPr>
        <w:spacing w:line="360" w:lineRule="auto"/>
        <w:ind w:firstLine="500" w:firstLineChars="200"/>
        <w:rPr>
          <w:rFonts w:ascii="Times New Roman"/>
          <w:szCs w:val="22"/>
        </w:rPr>
      </w:pPr>
      <w:r>
        <w:rPr>
          <w:rFonts w:ascii="Times New Roman"/>
          <w:szCs w:val="22"/>
        </w:rPr>
        <w:t>（2）垂直入渗土壤环境影响预测与评价</w:t>
      </w:r>
    </w:p>
    <w:p w14:paraId="533C8D25">
      <w:pPr>
        <w:spacing w:line="360" w:lineRule="auto"/>
        <w:ind w:firstLine="500" w:firstLineChars="200"/>
        <w:rPr>
          <w:rFonts w:ascii="Times New Roman"/>
          <w:szCs w:val="22"/>
        </w:rPr>
      </w:pPr>
      <w:r>
        <w:rPr>
          <w:rFonts w:hint="eastAsia" w:ascii="Times New Roman"/>
          <w:szCs w:val="22"/>
        </w:rPr>
        <w:t>①</w:t>
      </w:r>
      <w:r>
        <w:rPr>
          <w:rFonts w:ascii="Times New Roman"/>
          <w:szCs w:val="22"/>
        </w:rPr>
        <w:t>预测情景、评价时段</w:t>
      </w:r>
    </w:p>
    <w:p w14:paraId="476F9115">
      <w:pPr>
        <w:spacing w:line="360" w:lineRule="auto"/>
        <w:ind w:firstLine="500" w:firstLineChars="200"/>
        <w:rPr>
          <w:rFonts w:ascii="Times New Roman"/>
          <w:szCs w:val="22"/>
        </w:rPr>
      </w:pPr>
      <w:r>
        <w:rPr>
          <w:rFonts w:ascii="Times New Roman"/>
          <w:szCs w:val="22"/>
        </w:rPr>
        <w:t>建设项目</w:t>
      </w:r>
      <w:r>
        <w:rPr>
          <w:rFonts w:hint="eastAsia" w:ascii="Times New Roman"/>
          <w:szCs w:val="22"/>
        </w:rPr>
        <w:t>危化库</w:t>
      </w:r>
      <w:r>
        <w:rPr>
          <w:rFonts w:ascii="Times New Roman"/>
          <w:szCs w:val="22"/>
        </w:rPr>
        <w:t>、危废</w:t>
      </w:r>
      <w:r>
        <w:rPr>
          <w:rFonts w:hint="eastAsia" w:ascii="Times New Roman"/>
          <w:szCs w:val="22"/>
        </w:rPr>
        <w:t>库</w:t>
      </w:r>
      <w:r>
        <w:rPr>
          <w:rFonts w:ascii="Times New Roman"/>
          <w:szCs w:val="22"/>
        </w:rPr>
        <w:t>等重要建(构)筑物均采取了有效的防渗措施，正常工况下，</w:t>
      </w:r>
      <w:r>
        <w:rPr>
          <w:rFonts w:hint="eastAsia" w:ascii="Times New Roman"/>
          <w:szCs w:val="22"/>
        </w:rPr>
        <w:t>稀释剂</w:t>
      </w:r>
      <w:r>
        <w:rPr>
          <w:rFonts w:ascii="Times New Roman"/>
          <w:szCs w:val="22"/>
        </w:rPr>
        <w:t>、润滑油等不会直接和下部土壤层接触；在厂区防渗层老化破损，防渗性能降低的情况下，污染物会渗透进入下部土壤环境，然后沿岩土层孔隙向下迁移，造成土壤的污染。</w:t>
      </w:r>
    </w:p>
    <w:p w14:paraId="5DD1B9C8">
      <w:pPr>
        <w:spacing w:line="360" w:lineRule="auto"/>
        <w:ind w:firstLine="500" w:firstLineChars="200"/>
        <w:rPr>
          <w:rFonts w:ascii="Times New Roman"/>
          <w:szCs w:val="22"/>
        </w:rPr>
      </w:pPr>
      <w:r>
        <w:rPr>
          <w:rFonts w:ascii="Times New Roman"/>
          <w:szCs w:val="22"/>
        </w:rPr>
        <w:t>结合项目泄漏特点，确定本项目预测情景：①事故状态下选取1桶</w:t>
      </w:r>
      <w:r>
        <w:rPr>
          <w:rFonts w:hint="eastAsia" w:ascii="Times New Roman"/>
          <w:szCs w:val="22"/>
        </w:rPr>
        <w:t>稀释剂</w:t>
      </w:r>
      <w:r>
        <w:rPr>
          <w:rFonts w:ascii="Times New Roman"/>
          <w:szCs w:val="22"/>
        </w:rPr>
        <w:t>(25L/桶)瞬时泄漏，</w:t>
      </w:r>
      <w:r>
        <w:rPr>
          <w:rFonts w:hint="eastAsia" w:ascii="Times New Roman"/>
          <w:szCs w:val="22"/>
        </w:rPr>
        <w:t>渗入量为50%，</w:t>
      </w:r>
      <w:r>
        <w:rPr>
          <w:rFonts w:ascii="Times New Roman"/>
          <w:szCs w:val="22"/>
        </w:rPr>
        <w:t>同时地面防渗层破损</w:t>
      </w:r>
      <w:r>
        <w:rPr>
          <w:rFonts w:hint="eastAsia" w:ascii="Times New Roman"/>
          <w:szCs w:val="22"/>
        </w:rPr>
        <w:t>，二甲苯</w:t>
      </w:r>
      <w:r>
        <w:rPr>
          <w:rFonts w:ascii="Times New Roman"/>
          <w:szCs w:val="22"/>
        </w:rPr>
        <w:t>通过破损层渗透至土壤层。②事故状态下1桶润滑油(200L/桶)瞬时泄漏，</w:t>
      </w:r>
      <w:r>
        <w:rPr>
          <w:rFonts w:hint="eastAsia" w:ascii="Times New Roman"/>
          <w:szCs w:val="22"/>
        </w:rPr>
        <w:t>渗入量为50%，</w:t>
      </w:r>
      <w:r>
        <w:rPr>
          <w:rFonts w:ascii="Times New Roman"/>
          <w:szCs w:val="22"/>
        </w:rPr>
        <w:t>同时地面防渗层破损，润滑油通过破损层渗透至土壤层。</w:t>
      </w:r>
    </w:p>
    <w:p w14:paraId="0EA4B775">
      <w:pPr>
        <w:spacing w:line="360" w:lineRule="auto"/>
        <w:ind w:firstLine="500" w:firstLineChars="200"/>
        <w:rPr>
          <w:rFonts w:ascii="Times New Roman"/>
          <w:szCs w:val="22"/>
        </w:rPr>
      </w:pPr>
      <w:r>
        <w:rPr>
          <w:rFonts w:hint="eastAsia" w:ascii="Times New Roman"/>
          <w:szCs w:val="22"/>
        </w:rPr>
        <w:t>②</w:t>
      </w:r>
      <w:r>
        <w:rPr>
          <w:rFonts w:ascii="Times New Roman"/>
          <w:szCs w:val="22"/>
        </w:rPr>
        <w:t>泄漏源强参数确定</w:t>
      </w:r>
    </w:p>
    <w:p w14:paraId="7AFF27B4">
      <w:pPr>
        <w:spacing w:line="360" w:lineRule="auto"/>
        <w:ind w:firstLine="492" w:firstLineChars="200"/>
        <w:rPr>
          <w:rFonts w:ascii="Times New Roman"/>
          <w:spacing w:val="-2"/>
          <w:kern w:val="0"/>
          <w:szCs w:val="24"/>
        </w:rPr>
      </w:pPr>
      <w:r>
        <w:rPr>
          <w:rFonts w:ascii="Times New Roman"/>
          <w:spacing w:val="-2"/>
          <w:kern w:val="0"/>
          <w:szCs w:val="24"/>
        </w:rPr>
        <w:t>本次评价非正常状况厂区储存的油漆</w:t>
      </w:r>
      <w:r>
        <w:rPr>
          <w:rFonts w:hint="eastAsia"/>
          <w:spacing w:val="-2"/>
          <w:kern w:val="0"/>
          <w:szCs w:val="24"/>
        </w:rPr>
        <w:t>、废润滑油</w:t>
      </w:r>
      <w:r>
        <w:rPr>
          <w:rFonts w:ascii="Times New Roman"/>
          <w:spacing w:val="-2"/>
          <w:kern w:val="0"/>
          <w:szCs w:val="24"/>
        </w:rPr>
        <w:t>等泄漏对土壤造成污染，由于现状土壤中石油烃</w:t>
      </w:r>
      <w:r>
        <w:rPr>
          <w:rFonts w:hint="eastAsia"/>
          <w:spacing w:val="-2"/>
          <w:kern w:val="0"/>
          <w:szCs w:val="24"/>
        </w:rPr>
        <w:t>、二甲苯</w:t>
      </w:r>
      <w:r>
        <w:rPr>
          <w:rFonts w:ascii="Times New Roman"/>
          <w:spacing w:val="-2"/>
          <w:kern w:val="0"/>
          <w:szCs w:val="24"/>
        </w:rPr>
        <w:t>未检出，含量较小，考虑最不利影响，预测源强如下表。</w:t>
      </w:r>
    </w:p>
    <w:p w14:paraId="245485F0">
      <w:pPr>
        <w:snapToGrid w:val="0"/>
        <w:spacing w:line="480" w:lineRule="exact"/>
        <w:ind w:firstLine="482" w:firstLineChars="200"/>
        <w:contextualSpacing/>
        <w:jc w:val="center"/>
        <w:rPr>
          <w:rFonts w:ascii="Times New Roman"/>
          <w:b/>
          <w:bCs/>
          <w:sz w:val="24"/>
          <w:szCs w:val="24"/>
        </w:rPr>
      </w:pPr>
      <w:r>
        <w:rPr>
          <w:rFonts w:ascii="Times New Roman"/>
          <w:b/>
          <w:bCs/>
          <w:sz w:val="24"/>
          <w:szCs w:val="24"/>
        </w:rPr>
        <w:t>表</w:t>
      </w:r>
      <w:r>
        <w:rPr>
          <w:rFonts w:hint="eastAsia" w:ascii="Times New Roman"/>
          <w:b/>
          <w:bCs/>
          <w:sz w:val="24"/>
          <w:szCs w:val="24"/>
        </w:rPr>
        <w:t>5.2.8</w:t>
      </w:r>
      <w:r>
        <w:rPr>
          <w:rFonts w:ascii="Times New Roman"/>
          <w:b/>
          <w:bCs/>
          <w:sz w:val="24"/>
          <w:szCs w:val="24"/>
        </w:rPr>
        <w:t>-</w:t>
      </w:r>
      <w:r>
        <w:rPr>
          <w:rFonts w:hint="eastAsia" w:ascii="Times New Roman"/>
          <w:b/>
          <w:bCs/>
          <w:sz w:val="24"/>
          <w:szCs w:val="24"/>
        </w:rPr>
        <w:t>4</w:t>
      </w:r>
      <w:r>
        <w:rPr>
          <w:rFonts w:ascii="Times New Roman"/>
          <w:b/>
          <w:bCs/>
          <w:sz w:val="24"/>
          <w:szCs w:val="24"/>
        </w:rPr>
        <w:t xml:space="preserve">  土壤预测源强表</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417"/>
        <w:gridCol w:w="1899"/>
      </w:tblGrid>
      <w:tr w14:paraId="0FE2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14:paraId="03F64E77">
            <w:pPr>
              <w:snapToGrid w:val="0"/>
              <w:spacing w:line="320" w:lineRule="exact"/>
              <w:contextualSpacing/>
              <w:jc w:val="center"/>
              <w:rPr>
                <w:rFonts w:ascii="Times New Roman"/>
                <w:sz w:val="21"/>
                <w:szCs w:val="21"/>
              </w:rPr>
            </w:pPr>
            <w:r>
              <w:rPr>
                <w:rFonts w:ascii="Times New Roman"/>
                <w:sz w:val="21"/>
                <w:szCs w:val="21"/>
              </w:rPr>
              <w:t>情景设定</w:t>
            </w:r>
          </w:p>
        </w:tc>
        <w:tc>
          <w:tcPr>
            <w:tcW w:w="1985" w:type="dxa"/>
            <w:vAlign w:val="center"/>
          </w:tcPr>
          <w:p w14:paraId="7C45FAD9">
            <w:pPr>
              <w:snapToGrid w:val="0"/>
              <w:spacing w:line="320" w:lineRule="exact"/>
              <w:contextualSpacing/>
              <w:jc w:val="center"/>
              <w:rPr>
                <w:rFonts w:ascii="Times New Roman"/>
                <w:sz w:val="21"/>
                <w:szCs w:val="21"/>
              </w:rPr>
            </w:pPr>
            <w:r>
              <w:rPr>
                <w:rFonts w:ascii="Times New Roman"/>
                <w:sz w:val="21"/>
                <w:szCs w:val="21"/>
              </w:rPr>
              <w:t>渗漏点</w:t>
            </w:r>
          </w:p>
        </w:tc>
        <w:tc>
          <w:tcPr>
            <w:tcW w:w="1559" w:type="dxa"/>
            <w:vAlign w:val="center"/>
          </w:tcPr>
          <w:p w14:paraId="76F9FBED">
            <w:pPr>
              <w:snapToGrid w:val="0"/>
              <w:spacing w:line="320" w:lineRule="exact"/>
              <w:contextualSpacing/>
              <w:jc w:val="center"/>
              <w:rPr>
                <w:rFonts w:ascii="Times New Roman"/>
                <w:sz w:val="21"/>
                <w:szCs w:val="21"/>
              </w:rPr>
            </w:pPr>
            <w:r>
              <w:rPr>
                <w:rFonts w:ascii="Times New Roman"/>
                <w:sz w:val="21"/>
                <w:szCs w:val="21"/>
              </w:rPr>
              <w:t>特征污染物</w:t>
            </w:r>
          </w:p>
        </w:tc>
        <w:tc>
          <w:tcPr>
            <w:tcW w:w="1417" w:type="dxa"/>
            <w:vAlign w:val="center"/>
          </w:tcPr>
          <w:p w14:paraId="03FC0E1E">
            <w:pPr>
              <w:snapToGrid w:val="0"/>
              <w:spacing w:line="320" w:lineRule="exact"/>
              <w:contextualSpacing/>
              <w:jc w:val="center"/>
              <w:rPr>
                <w:rFonts w:ascii="Times New Roman"/>
                <w:sz w:val="21"/>
                <w:szCs w:val="21"/>
              </w:rPr>
            </w:pPr>
            <w:r>
              <w:rPr>
                <w:rFonts w:ascii="Times New Roman"/>
                <w:sz w:val="21"/>
                <w:szCs w:val="21"/>
              </w:rPr>
              <w:t>浓度mg/L</w:t>
            </w:r>
          </w:p>
        </w:tc>
        <w:tc>
          <w:tcPr>
            <w:tcW w:w="1899" w:type="dxa"/>
            <w:vAlign w:val="center"/>
          </w:tcPr>
          <w:p w14:paraId="12AEA5D3">
            <w:pPr>
              <w:snapToGrid w:val="0"/>
              <w:spacing w:line="320" w:lineRule="exact"/>
              <w:contextualSpacing/>
              <w:jc w:val="center"/>
              <w:rPr>
                <w:rFonts w:ascii="Times New Roman"/>
                <w:sz w:val="21"/>
                <w:szCs w:val="21"/>
              </w:rPr>
            </w:pPr>
            <w:r>
              <w:rPr>
                <w:rFonts w:ascii="Times New Roman"/>
                <w:sz w:val="21"/>
                <w:szCs w:val="21"/>
              </w:rPr>
              <w:t>渗漏特征</w:t>
            </w:r>
          </w:p>
        </w:tc>
      </w:tr>
      <w:tr w14:paraId="063C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384" w:type="dxa"/>
            <w:vMerge w:val="restart"/>
            <w:vAlign w:val="center"/>
          </w:tcPr>
          <w:p w14:paraId="4C5B8D49">
            <w:pPr>
              <w:snapToGrid w:val="0"/>
              <w:spacing w:line="320" w:lineRule="exact"/>
              <w:contextualSpacing/>
              <w:jc w:val="center"/>
              <w:rPr>
                <w:rFonts w:ascii="Times New Roman"/>
                <w:sz w:val="21"/>
                <w:szCs w:val="21"/>
              </w:rPr>
            </w:pPr>
            <w:r>
              <w:rPr>
                <w:rFonts w:ascii="Times New Roman"/>
                <w:sz w:val="21"/>
                <w:szCs w:val="21"/>
              </w:rPr>
              <w:t>非正常状况</w:t>
            </w:r>
          </w:p>
        </w:tc>
        <w:tc>
          <w:tcPr>
            <w:tcW w:w="1985" w:type="dxa"/>
            <w:vAlign w:val="center"/>
          </w:tcPr>
          <w:p w14:paraId="35FABCCD">
            <w:pPr>
              <w:snapToGrid w:val="0"/>
              <w:spacing w:line="320" w:lineRule="exact"/>
              <w:contextualSpacing/>
              <w:jc w:val="center"/>
              <w:rPr>
                <w:rFonts w:ascii="Times New Roman"/>
                <w:sz w:val="21"/>
                <w:szCs w:val="21"/>
              </w:rPr>
            </w:pPr>
            <w:r>
              <w:rPr>
                <w:rFonts w:hint="eastAsia" w:ascii="Times New Roman"/>
                <w:sz w:val="21"/>
                <w:szCs w:val="21"/>
              </w:rPr>
              <w:t>危废库</w:t>
            </w:r>
          </w:p>
        </w:tc>
        <w:tc>
          <w:tcPr>
            <w:tcW w:w="1559" w:type="dxa"/>
            <w:vAlign w:val="center"/>
          </w:tcPr>
          <w:p w14:paraId="6BF68878">
            <w:pPr>
              <w:snapToGrid w:val="0"/>
              <w:spacing w:line="320" w:lineRule="exact"/>
              <w:contextualSpacing/>
              <w:jc w:val="center"/>
              <w:rPr>
                <w:rFonts w:ascii="Times New Roman"/>
                <w:sz w:val="21"/>
                <w:szCs w:val="21"/>
              </w:rPr>
            </w:pPr>
            <w:r>
              <w:rPr>
                <w:rFonts w:ascii="Times New Roman"/>
                <w:sz w:val="21"/>
                <w:szCs w:val="21"/>
              </w:rPr>
              <w:t>石油烃</w:t>
            </w:r>
          </w:p>
        </w:tc>
        <w:tc>
          <w:tcPr>
            <w:tcW w:w="1417" w:type="dxa"/>
            <w:vAlign w:val="center"/>
          </w:tcPr>
          <w:p w14:paraId="4135FF15">
            <w:pPr>
              <w:snapToGrid w:val="0"/>
              <w:spacing w:line="320" w:lineRule="exact"/>
              <w:contextualSpacing/>
              <w:jc w:val="center"/>
              <w:rPr>
                <w:rFonts w:ascii="Times New Roman"/>
                <w:sz w:val="21"/>
                <w:szCs w:val="21"/>
              </w:rPr>
            </w:pPr>
            <w:r>
              <w:rPr>
                <w:rFonts w:hint="eastAsia" w:ascii="Times New Roman"/>
                <w:sz w:val="21"/>
                <w:szCs w:val="21"/>
              </w:rPr>
              <w:t>900000</w:t>
            </w:r>
          </w:p>
        </w:tc>
        <w:tc>
          <w:tcPr>
            <w:tcW w:w="1899" w:type="dxa"/>
            <w:vMerge w:val="restart"/>
            <w:vAlign w:val="center"/>
          </w:tcPr>
          <w:p w14:paraId="58D56DB3">
            <w:pPr>
              <w:snapToGrid w:val="0"/>
              <w:spacing w:line="320" w:lineRule="exact"/>
              <w:contextualSpacing/>
              <w:jc w:val="center"/>
              <w:rPr>
                <w:rFonts w:ascii="Times New Roman"/>
                <w:sz w:val="21"/>
                <w:szCs w:val="21"/>
              </w:rPr>
            </w:pPr>
            <w:r>
              <w:rPr>
                <w:rFonts w:ascii="Times New Roman"/>
                <w:sz w:val="21"/>
                <w:szCs w:val="21"/>
              </w:rPr>
              <w:t>持续</w:t>
            </w:r>
          </w:p>
        </w:tc>
      </w:tr>
      <w:tr w14:paraId="5CB2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84" w:type="dxa"/>
            <w:vMerge w:val="continue"/>
            <w:vAlign w:val="center"/>
          </w:tcPr>
          <w:p w14:paraId="45914263">
            <w:pPr>
              <w:snapToGrid w:val="0"/>
              <w:spacing w:line="320" w:lineRule="exact"/>
              <w:contextualSpacing/>
              <w:jc w:val="center"/>
              <w:rPr>
                <w:rFonts w:ascii="Times New Roman"/>
                <w:sz w:val="21"/>
                <w:szCs w:val="21"/>
              </w:rPr>
            </w:pPr>
          </w:p>
        </w:tc>
        <w:tc>
          <w:tcPr>
            <w:tcW w:w="1985" w:type="dxa"/>
            <w:vAlign w:val="center"/>
          </w:tcPr>
          <w:p w14:paraId="1A1851F0">
            <w:pPr>
              <w:snapToGrid w:val="0"/>
              <w:spacing w:line="320" w:lineRule="exact"/>
              <w:contextualSpacing/>
              <w:jc w:val="center"/>
              <w:rPr>
                <w:rFonts w:ascii="Times New Roman"/>
                <w:sz w:val="21"/>
                <w:szCs w:val="21"/>
              </w:rPr>
            </w:pPr>
            <w:r>
              <w:rPr>
                <w:rFonts w:hint="eastAsia" w:ascii="Times New Roman"/>
                <w:sz w:val="21"/>
                <w:szCs w:val="21"/>
              </w:rPr>
              <w:t>危化库</w:t>
            </w:r>
          </w:p>
        </w:tc>
        <w:tc>
          <w:tcPr>
            <w:tcW w:w="1559" w:type="dxa"/>
            <w:vAlign w:val="center"/>
          </w:tcPr>
          <w:p w14:paraId="259C540B">
            <w:pPr>
              <w:snapToGrid w:val="0"/>
              <w:spacing w:line="320" w:lineRule="exact"/>
              <w:contextualSpacing/>
              <w:jc w:val="center"/>
              <w:rPr>
                <w:rFonts w:ascii="Times New Roman"/>
                <w:sz w:val="21"/>
                <w:szCs w:val="21"/>
              </w:rPr>
            </w:pPr>
            <w:r>
              <w:rPr>
                <w:rFonts w:hint="eastAsia" w:ascii="Times New Roman"/>
                <w:sz w:val="21"/>
                <w:szCs w:val="21"/>
              </w:rPr>
              <w:t>二甲苯</w:t>
            </w:r>
          </w:p>
        </w:tc>
        <w:tc>
          <w:tcPr>
            <w:tcW w:w="1417" w:type="dxa"/>
            <w:vAlign w:val="center"/>
          </w:tcPr>
          <w:p w14:paraId="72615E76">
            <w:pPr>
              <w:snapToGrid w:val="0"/>
              <w:spacing w:line="320" w:lineRule="exact"/>
              <w:contextualSpacing/>
              <w:jc w:val="center"/>
              <w:rPr>
                <w:rFonts w:ascii="Times New Roman"/>
                <w:sz w:val="21"/>
                <w:szCs w:val="21"/>
              </w:rPr>
            </w:pPr>
            <w:r>
              <w:rPr>
                <w:rFonts w:hint="eastAsia" w:ascii="Times New Roman"/>
                <w:sz w:val="21"/>
                <w:szCs w:val="21"/>
              </w:rPr>
              <w:t>400000</w:t>
            </w:r>
          </w:p>
        </w:tc>
        <w:tc>
          <w:tcPr>
            <w:tcW w:w="1899" w:type="dxa"/>
            <w:vMerge w:val="continue"/>
            <w:vAlign w:val="center"/>
          </w:tcPr>
          <w:p w14:paraId="237E520B">
            <w:pPr>
              <w:snapToGrid w:val="0"/>
              <w:spacing w:line="320" w:lineRule="exact"/>
              <w:contextualSpacing/>
              <w:jc w:val="center"/>
              <w:rPr>
                <w:rFonts w:ascii="Times New Roman"/>
                <w:sz w:val="21"/>
                <w:szCs w:val="21"/>
              </w:rPr>
            </w:pPr>
          </w:p>
        </w:tc>
      </w:tr>
    </w:tbl>
    <w:p w14:paraId="41B4A1D1">
      <w:pPr>
        <w:spacing w:line="360" w:lineRule="auto"/>
        <w:ind w:firstLine="500" w:firstLineChars="200"/>
        <w:rPr>
          <w:rFonts w:ascii="Times New Roman"/>
          <w:szCs w:val="22"/>
        </w:rPr>
      </w:pPr>
      <w:r>
        <w:rPr>
          <w:rFonts w:hint="eastAsia" w:ascii="Times New Roman"/>
          <w:szCs w:val="22"/>
        </w:rPr>
        <w:t>③</w:t>
      </w:r>
      <w:r>
        <w:rPr>
          <w:rFonts w:ascii="Times New Roman"/>
          <w:szCs w:val="22"/>
        </w:rPr>
        <w:t>预测评价标准</w:t>
      </w:r>
    </w:p>
    <w:p w14:paraId="12F4CEF9">
      <w:pPr>
        <w:spacing w:line="360" w:lineRule="auto"/>
        <w:ind w:firstLine="500" w:firstLineChars="200"/>
        <w:rPr>
          <w:rFonts w:ascii="Times New Roman"/>
          <w:szCs w:val="22"/>
        </w:rPr>
      </w:pPr>
      <w:r>
        <w:rPr>
          <w:rFonts w:ascii="Times New Roman"/>
          <w:szCs w:val="22"/>
        </w:rPr>
        <w:t>本项目污染途径为垂直入渗，污染影响表现在垂向上污染物的扩散，水平方向上的扩散趋势甚微，因此本项目不考虑对场区外的土壤产生的影响。场区内建设用地预测点采用《土壤环境质量建设用地土壤污染风险管控标准(试行)》(GB36600-2018)中筛选值进行预测评价。</w:t>
      </w:r>
    </w:p>
    <w:p w14:paraId="21DBB2A7">
      <w:pPr>
        <w:spacing w:line="360" w:lineRule="auto"/>
        <w:ind w:firstLine="500" w:firstLineChars="200"/>
        <w:rPr>
          <w:rFonts w:ascii="Times New Roman"/>
          <w:szCs w:val="22"/>
        </w:rPr>
      </w:pPr>
      <w:r>
        <w:rPr>
          <w:rFonts w:hint="eastAsia" w:ascii="Times New Roman"/>
          <w:szCs w:val="22"/>
        </w:rPr>
        <w:t>④</w:t>
      </w:r>
      <w:r>
        <w:rPr>
          <w:rFonts w:ascii="Times New Roman"/>
          <w:szCs w:val="22"/>
        </w:rPr>
        <w:t>污染预测方法</w:t>
      </w:r>
    </w:p>
    <w:p w14:paraId="09ADEC32">
      <w:pPr>
        <w:spacing w:line="360" w:lineRule="auto"/>
        <w:ind w:firstLine="500" w:firstLineChars="200"/>
        <w:rPr>
          <w:rFonts w:ascii="Times New Roman"/>
          <w:szCs w:val="22"/>
        </w:rPr>
      </w:pPr>
      <w:r>
        <w:rPr>
          <w:rFonts w:ascii="Times New Roman"/>
          <w:szCs w:val="22"/>
        </w:rPr>
        <w:t>根据《环境影响评价技术导则 土壤环境（试行）》（HJ964-2018）附录E中预测方法对本项目垂直入渗对区域土壤环境影响进行预测，预测模型如下：</w:t>
      </w:r>
    </w:p>
    <w:p w14:paraId="258D0634">
      <w:pPr>
        <w:spacing w:line="360" w:lineRule="auto"/>
        <w:ind w:firstLine="500" w:firstLineChars="200"/>
        <w:rPr>
          <w:rFonts w:ascii="Times New Roman"/>
          <w:szCs w:val="22"/>
        </w:rPr>
      </w:pPr>
      <w:r>
        <w:rPr>
          <w:rFonts w:ascii="Times New Roman"/>
          <w:szCs w:val="22"/>
        </w:rPr>
        <w:t>一维非饱和溶质垂向运移控制方程：</w:t>
      </w:r>
    </w:p>
    <w:p w14:paraId="12AD3E97">
      <w:pPr>
        <w:spacing w:line="360" w:lineRule="auto"/>
        <w:ind w:firstLine="500" w:firstLineChars="200"/>
        <w:jc w:val="center"/>
        <w:rPr>
          <w:rFonts w:ascii="Times New Roman"/>
        </w:rPr>
      </w:pPr>
      <w:r>
        <w:drawing>
          <wp:inline distT="0" distB="0" distL="114300" distR="114300">
            <wp:extent cx="1885950" cy="400050"/>
            <wp:effectExtent l="0" t="0" r="0" b="0"/>
            <wp:docPr id="2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0"/>
                    <pic:cNvPicPr>
                      <a:picLocks noChangeAspect="1"/>
                    </pic:cNvPicPr>
                  </pic:nvPicPr>
                  <pic:blipFill>
                    <a:blip r:embed="rId75" cstate="print">
                      <a:clrChange>
                        <a:clrFrom>
                          <a:srgbClr val="FFFFFF"/>
                        </a:clrFrom>
                        <a:clrTo>
                          <a:srgbClr val="FFFFFF">
                            <a:alpha val="0"/>
                          </a:srgbClr>
                        </a:clrTo>
                      </a:clrChange>
                    </a:blip>
                    <a:stretch>
                      <a:fillRect/>
                    </a:stretch>
                  </pic:blipFill>
                  <pic:spPr>
                    <a:xfrm>
                      <a:off x="0" y="0"/>
                      <a:ext cx="1885950" cy="400050"/>
                    </a:xfrm>
                    <a:prstGeom prst="rect">
                      <a:avLst/>
                    </a:prstGeom>
                    <a:noFill/>
                    <a:ln>
                      <a:noFill/>
                    </a:ln>
                  </pic:spPr>
                </pic:pic>
              </a:graphicData>
            </a:graphic>
          </wp:inline>
        </w:drawing>
      </w:r>
    </w:p>
    <w:p w14:paraId="09FB43A0">
      <w:pPr>
        <w:spacing w:line="360" w:lineRule="auto"/>
        <w:ind w:firstLine="500" w:firstLineChars="200"/>
        <w:rPr>
          <w:rFonts w:ascii="Times New Roman"/>
          <w:szCs w:val="24"/>
        </w:rPr>
      </w:pPr>
      <w:r>
        <w:rPr>
          <w:rFonts w:ascii="Times New Roman"/>
          <w:szCs w:val="24"/>
        </w:rPr>
        <w:t>式中：</w:t>
      </w:r>
      <w:r>
        <w:rPr>
          <w:rFonts w:ascii="Times New Roman"/>
          <w:szCs w:val="24"/>
        </w:rPr>
        <w:drawing>
          <wp:inline distT="0" distB="0" distL="114300" distR="114300">
            <wp:extent cx="66675" cy="200025"/>
            <wp:effectExtent l="0" t="0" r="9525" b="6350"/>
            <wp:docPr id="2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4"/>
                    <pic:cNvPicPr>
                      <a:picLocks noChangeAspect="1"/>
                    </pic:cNvPicPr>
                  </pic:nvPicPr>
                  <pic:blipFill>
                    <a:blip r:embed="rId76" cstate="print">
                      <a:clrChange>
                        <a:clrFrom>
                          <a:srgbClr val="FFFFFF"/>
                        </a:clrFrom>
                        <a:clrTo>
                          <a:srgbClr val="FFFFFF">
                            <a:alpha val="0"/>
                          </a:srgbClr>
                        </a:clrTo>
                      </a:clrChange>
                    </a:blip>
                    <a:stretch>
                      <a:fillRect/>
                    </a:stretch>
                  </pic:blipFill>
                  <pic:spPr>
                    <a:xfrm>
                      <a:off x="0" y="0"/>
                      <a:ext cx="66675" cy="200025"/>
                    </a:xfrm>
                    <a:prstGeom prst="rect">
                      <a:avLst/>
                    </a:prstGeom>
                    <a:noFill/>
                    <a:ln>
                      <a:noFill/>
                    </a:ln>
                  </pic:spPr>
                </pic:pic>
              </a:graphicData>
            </a:graphic>
          </wp:inline>
        </w:drawing>
      </w:r>
      <w:r>
        <w:rPr>
          <w:rFonts w:ascii="Times New Roman"/>
          <w:szCs w:val="24"/>
        </w:rPr>
        <w:t>——污染物介质中的浓度，mg/L；</w:t>
      </w:r>
    </w:p>
    <w:p w14:paraId="6ADBA108">
      <w:pPr>
        <w:spacing w:line="360" w:lineRule="auto"/>
        <w:ind w:firstLine="500" w:firstLineChars="200"/>
        <w:rPr>
          <w:rFonts w:ascii="Times New Roman"/>
          <w:szCs w:val="24"/>
        </w:rPr>
      </w:pPr>
      <w:r>
        <w:rPr>
          <w:rFonts w:ascii="Times New Roman"/>
          <w:szCs w:val="24"/>
        </w:rPr>
        <w:t xml:space="preserve">      </w:t>
      </w:r>
      <w:r>
        <w:rPr>
          <w:rFonts w:ascii="Times New Roman"/>
          <w:szCs w:val="24"/>
        </w:rPr>
        <w:drawing>
          <wp:inline distT="0" distB="0" distL="114300" distR="114300">
            <wp:extent cx="104775" cy="200025"/>
            <wp:effectExtent l="0" t="0" r="9525" b="6985"/>
            <wp:docPr id="2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5"/>
                    <pic:cNvPicPr>
                      <a:picLocks noChangeAspect="1"/>
                    </pic:cNvPicPr>
                  </pic:nvPicPr>
                  <pic:blipFill>
                    <a:blip r:embed="rId77" cstate="print">
                      <a:clrChange>
                        <a:clrFrom>
                          <a:srgbClr val="FFFFFF"/>
                        </a:clrFrom>
                        <a:clrTo>
                          <a:srgbClr val="FFFFFF">
                            <a:alpha val="0"/>
                          </a:srgbClr>
                        </a:clrTo>
                      </a:clrChange>
                    </a:blip>
                    <a:stretch>
                      <a:fillRect/>
                    </a:stretch>
                  </pic:blipFill>
                  <pic:spPr>
                    <a:xfrm>
                      <a:off x="0" y="0"/>
                      <a:ext cx="104775" cy="200025"/>
                    </a:xfrm>
                    <a:prstGeom prst="rect">
                      <a:avLst/>
                    </a:prstGeom>
                    <a:noFill/>
                    <a:ln>
                      <a:noFill/>
                    </a:ln>
                  </pic:spPr>
                </pic:pic>
              </a:graphicData>
            </a:graphic>
          </wp:inline>
        </w:drawing>
      </w:r>
      <w:r>
        <w:rPr>
          <w:rFonts w:ascii="Times New Roman"/>
          <w:szCs w:val="24"/>
        </w:rPr>
        <w:t>——弥散系数，m</w:t>
      </w:r>
      <w:r>
        <w:rPr>
          <w:rFonts w:ascii="Times New Roman"/>
          <w:szCs w:val="24"/>
          <w:vertAlign w:val="superscript"/>
        </w:rPr>
        <w:t>2</w:t>
      </w:r>
      <w:r>
        <w:rPr>
          <w:rFonts w:ascii="Times New Roman"/>
          <w:szCs w:val="24"/>
        </w:rPr>
        <w:t>/d；</w:t>
      </w:r>
    </w:p>
    <w:p w14:paraId="6DAF6B60">
      <w:pPr>
        <w:spacing w:line="360" w:lineRule="auto"/>
        <w:ind w:firstLine="500" w:firstLineChars="200"/>
        <w:rPr>
          <w:rFonts w:ascii="Times New Roman"/>
          <w:szCs w:val="24"/>
        </w:rPr>
      </w:pPr>
      <w:r>
        <w:rPr>
          <w:rFonts w:ascii="Times New Roman"/>
          <w:szCs w:val="24"/>
        </w:rPr>
        <w:t xml:space="preserve">      </w:t>
      </w:r>
      <w:r>
        <w:rPr>
          <w:rFonts w:ascii="Times New Roman"/>
          <w:szCs w:val="24"/>
        </w:rPr>
        <w:drawing>
          <wp:inline distT="0" distB="0" distL="114300" distR="114300">
            <wp:extent cx="85725" cy="200025"/>
            <wp:effectExtent l="0" t="0" r="9525" b="6350"/>
            <wp:docPr id="3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6"/>
                    <pic:cNvPicPr>
                      <a:picLocks noChangeAspect="1"/>
                    </pic:cNvPicPr>
                  </pic:nvPicPr>
                  <pic:blipFill>
                    <a:blip r:embed="rId78" cstate="print">
                      <a:clrChange>
                        <a:clrFrom>
                          <a:srgbClr val="FFFFFF"/>
                        </a:clrFrom>
                        <a:clrTo>
                          <a:srgbClr val="FFFFFF">
                            <a:alpha val="0"/>
                          </a:srgbClr>
                        </a:clrTo>
                      </a:clrChange>
                    </a:blip>
                    <a:stretch>
                      <a:fillRect/>
                    </a:stretch>
                  </pic:blipFill>
                  <pic:spPr>
                    <a:xfrm>
                      <a:off x="0" y="0"/>
                      <a:ext cx="85725" cy="200025"/>
                    </a:xfrm>
                    <a:prstGeom prst="rect">
                      <a:avLst/>
                    </a:prstGeom>
                    <a:noFill/>
                    <a:ln>
                      <a:noFill/>
                    </a:ln>
                  </pic:spPr>
                </pic:pic>
              </a:graphicData>
            </a:graphic>
          </wp:inline>
        </w:drawing>
      </w:r>
      <w:r>
        <w:rPr>
          <w:rFonts w:ascii="Times New Roman"/>
          <w:szCs w:val="24"/>
        </w:rPr>
        <w:t>——渗流速度，m/d；</w:t>
      </w:r>
    </w:p>
    <w:p w14:paraId="3E353463">
      <w:pPr>
        <w:spacing w:line="360" w:lineRule="auto"/>
        <w:ind w:firstLine="500" w:firstLineChars="200"/>
        <w:rPr>
          <w:rFonts w:ascii="Times New Roman"/>
          <w:szCs w:val="24"/>
        </w:rPr>
      </w:pPr>
      <w:r>
        <w:rPr>
          <w:rFonts w:ascii="Times New Roman"/>
          <w:szCs w:val="24"/>
        </w:rPr>
        <w:t xml:space="preserve">      </w:t>
      </w:r>
      <w:r>
        <w:rPr>
          <w:rFonts w:ascii="Times New Roman"/>
          <w:szCs w:val="24"/>
        </w:rPr>
        <w:drawing>
          <wp:inline distT="0" distB="0" distL="114300" distR="114300">
            <wp:extent cx="66675" cy="200025"/>
            <wp:effectExtent l="0" t="0" r="9525" b="6350"/>
            <wp:docPr id="3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7"/>
                    <pic:cNvPicPr>
                      <a:picLocks noChangeAspect="1"/>
                    </pic:cNvPicPr>
                  </pic:nvPicPr>
                  <pic:blipFill>
                    <a:blip r:embed="rId79" cstate="print">
                      <a:clrChange>
                        <a:clrFrom>
                          <a:srgbClr val="FFFFFF"/>
                        </a:clrFrom>
                        <a:clrTo>
                          <a:srgbClr val="FFFFFF">
                            <a:alpha val="0"/>
                          </a:srgbClr>
                        </a:clrTo>
                      </a:clrChange>
                    </a:blip>
                    <a:stretch>
                      <a:fillRect/>
                    </a:stretch>
                  </pic:blipFill>
                  <pic:spPr>
                    <a:xfrm>
                      <a:off x="0" y="0"/>
                      <a:ext cx="66675" cy="200025"/>
                    </a:xfrm>
                    <a:prstGeom prst="rect">
                      <a:avLst/>
                    </a:prstGeom>
                    <a:noFill/>
                    <a:ln>
                      <a:noFill/>
                    </a:ln>
                  </pic:spPr>
                </pic:pic>
              </a:graphicData>
            </a:graphic>
          </wp:inline>
        </w:drawing>
      </w:r>
      <w:r>
        <w:rPr>
          <w:rFonts w:ascii="Times New Roman"/>
          <w:szCs w:val="24"/>
        </w:rPr>
        <w:t>——沿</w:t>
      </w:r>
      <w:r>
        <w:rPr>
          <w:rFonts w:ascii="Times New Roman"/>
          <w:szCs w:val="24"/>
        </w:rPr>
        <w:drawing>
          <wp:inline distT="0" distB="0" distL="114300" distR="114300">
            <wp:extent cx="66675" cy="200025"/>
            <wp:effectExtent l="0" t="0" r="9525" b="6350"/>
            <wp:docPr id="30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8"/>
                    <pic:cNvPicPr>
                      <a:picLocks noChangeAspect="1"/>
                    </pic:cNvPicPr>
                  </pic:nvPicPr>
                  <pic:blipFill>
                    <a:blip r:embed="rId79" cstate="print">
                      <a:clrChange>
                        <a:clrFrom>
                          <a:srgbClr val="FFFFFF"/>
                        </a:clrFrom>
                        <a:clrTo>
                          <a:srgbClr val="FFFFFF">
                            <a:alpha val="0"/>
                          </a:srgbClr>
                        </a:clrTo>
                      </a:clrChange>
                    </a:blip>
                    <a:stretch>
                      <a:fillRect/>
                    </a:stretch>
                  </pic:blipFill>
                  <pic:spPr>
                    <a:xfrm>
                      <a:off x="0" y="0"/>
                      <a:ext cx="66675" cy="200025"/>
                    </a:xfrm>
                    <a:prstGeom prst="rect">
                      <a:avLst/>
                    </a:prstGeom>
                    <a:noFill/>
                    <a:ln>
                      <a:noFill/>
                    </a:ln>
                  </pic:spPr>
                </pic:pic>
              </a:graphicData>
            </a:graphic>
          </wp:inline>
        </w:drawing>
      </w:r>
      <w:r>
        <w:rPr>
          <w:rFonts w:ascii="Times New Roman"/>
          <w:szCs w:val="24"/>
        </w:rPr>
        <w:t>轴的距离，m；</w:t>
      </w:r>
    </w:p>
    <w:p w14:paraId="3A81DF6C">
      <w:pPr>
        <w:spacing w:line="360" w:lineRule="auto"/>
        <w:ind w:firstLine="500" w:firstLineChars="200"/>
        <w:rPr>
          <w:rFonts w:ascii="Times New Roman"/>
          <w:szCs w:val="24"/>
        </w:rPr>
      </w:pPr>
      <w:r>
        <w:rPr>
          <w:rFonts w:ascii="Times New Roman"/>
          <w:szCs w:val="24"/>
        </w:rPr>
        <w:t xml:space="preserve">      </w:t>
      </w:r>
      <w:r>
        <w:rPr>
          <w:rFonts w:ascii="Times New Roman"/>
          <w:szCs w:val="24"/>
        </w:rPr>
        <w:drawing>
          <wp:inline distT="0" distB="0" distL="114300" distR="114300">
            <wp:extent cx="47625" cy="200025"/>
            <wp:effectExtent l="0" t="0" r="9525" b="6985"/>
            <wp:docPr id="3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9"/>
                    <pic:cNvPicPr>
                      <a:picLocks noChangeAspect="1"/>
                    </pic:cNvPicPr>
                  </pic:nvPicPr>
                  <pic:blipFill>
                    <a:blip r:embed="rId80" cstate="print">
                      <a:clrChange>
                        <a:clrFrom>
                          <a:srgbClr val="FFFFFF"/>
                        </a:clrFrom>
                        <a:clrTo>
                          <a:srgbClr val="FFFFFF">
                            <a:alpha val="0"/>
                          </a:srgbClr>
                        </a:clrTo>
                      </a:clrChange>
                    </a:blip>
                    <a:stretch>
                      <a:fillRect/>
                    </a:stretch>
                  </pic:blipFill>
                  <pic:spPr>
                    <a:xfrm>
                      <a:off x="0" y="0"/>
                      <a:ext cx="47625" cy="200025"/>
                    </a:xfrm>
                    <a:prstGeom prst="rect">
                      <a:avLst/>
                    </a:prstGeom>
                    <a:noFill/>
                    <a:ln>
                      <a:noFill/>
                    </a:ln>
                  </pic:spPr>
                </pic:pic>
              </a:graphicData>
            </a:graphic>
          </wp:inline>
        </w:drawing>
      </w:r>
      <w:r>
        <w:rPr>
          <w:rFonts w:ascii="Times New Roman"/>
          <w:szCs w:val="24"/>
        </w:rPr>
        <w:t>——时间变量，d；</w:t>
      </w:r>
    </w:p>
    <w:p w14:paraId="62456737">
      <w:pPr>
        <w:spacing w:line="360" w:lineRule="auto"/>
        <w:ind w:firstLine="500" w:firstLineChars="200"/>
        <w:rPr>
          <w:rFonts w:ascii="Times New Roman"/>
          <w:szCs w:val="24"/>
        </w:rPr>
      </w:pPr>
      <w:r>
        <w:rPr>
          <w:rFonts w:ascii="Times New Roman"/>
          <w:szCs w:val="24"/>
        </w:rPr>
        <w:t xml:space="preserve">      </w:t>
      </w:r>
      <w:r>
        <w:rPr>
          <w:rFonts w:ascii="Times New Roman"/>
          <w:szCs w:val="24"/>
        </w:rPr>
        <w:drawing>
          <wp:inline distT="0" distB="0" distL="114300" distR="114300">
            <wp:extent cx="85725" cy="200025"/>
            <wp:effectExtent l="0" t="0" r="9525" b="7620"/>
            <wp:docPr id="3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0"/>
                    <pic:cNvPicPr>
                      <a:picLocks noChangeAspect="1"/>
                    </pic:cNvPicPr>
                  </pic:nvPicPr>
                  <pic:blipFill>
                    <a:blip r:embed="rId81" cstate="print">
                      <a:clrChange>
                        <a:clrFrom>
                          <a:srgbClr val="FFFFFF"/>
                        </a:clrFrom>
                        <a:clrTo>
                          <a:srgbClr val="FFFFFF">
                            <a:alpha val="0"/>
                          </a:srgbClr>
                        </a:clrTo>
                      </a:clrChange>
                    </a:blip>
                    <a:stretch>
                      <a:fillRect/>
                    </a:stretch>
                  </pic:blipFill>
                  <pic:spPr>
                    <a:xfrm>
                      <a:off x="0" y="0"/>
                      <a:ext cx="85725" cy="200025"/>
                    </a:xfrm>
                    <a:prstGeom prst="rect">
                      <a:avLst/>
                    </a:prstGeom>
                    <a:noFill/>
                    <a:ln>
                      <a:noFill/>
                    </a:ln>
                  </pic:spPr>
                </pic:pic>
              </a:graphicData>
            </a:graphic>
          </wp:inline>
        </w:drawing>
      </w:r>
      <w:r>
        <w:rPr>
          <w:rFonts w:ascii="Times New Roman"/>
          <w:szCs w:val="24"/>
        </w:rPr>
        <w:t>——土壤含水率，%。</w:t>
      </w:r>
    </w:p>
    <w:p w14:paraId="34FA43F3">
      <w:pPr>
        <w:snapToGrid w:val="0"/>
        <w:spacing w:line="360" w:lineRule="auto"/>
        <w:ind w:firstLine="480" w:firstLineChars="200"/>
        <w:rPr>
          <w:rFonts w:ascii="Times New Roman"/>
          <w:sz w:val="24"/>
          <w:szCs w:val="24"/>
        </w:rPr>
      </w:pPr>
      <w:r>
        <w:rPr>
          <w:rFonts w:ascii="Times New Roman"/>
          <w:sz w:val="24"/>
          <w:szCs w:val="24"/>
        </w:rPr>
        <w:t>⑤预测软件的选择</w:t>
      </w:r>
    </w:p>
    <w:p w14:paraId="42F44B07">
      <w:pPr>
        <w:snapToGrid w:val="0"/>
        <w:spacing w:line="360" w:lineRule="auto"/>
        <w:ind w:firstLine="480" w:firstLineChars="200"/>
        <w:rPr>
          <w:rFonts w:ascii="Times New Roman"/>
          <w:sz w:val="24"/>
          <w:szCs w:val="24"/>
        </w:rPr>
      </w:pPr>
      <w:r>
        <w:rPr>
          <w:rFonts w:ascii="Times New Roman"/>
          <w:sz w:val="24"/>
          <w:szCs w:val="24"/>
        </w:rPr>
        <w:t>使用HYDRUS-1D模拟软件进行模型的建立和计算。该软件由美国农业部、农业研究会、美国盐土改良中心（US Salinity laboratory）于1991年联合研制的，用于模拟变饱和多孔介质中水分、溶质、能量运移的数值模型。该模型经多年使用和完善，能够较好的模拟变饱和带中水分、溶质和能量运移规律和时空分布。目前已在包气带中水分、盐分、农药、有机石油烃运移方面得到广泛应用。HYDRUS-1D具有灵活的输入输出功能，可适用于多种源汇项及边界条件，方程求解方法采用伽辽金（Calerkin）有限元法。</w:t>
      </w:r>
    </w:p>
    <w:p w14:paraId="48CF91E5">
      <w:pPr>
        <w:snapToGrid w:val="0"/>
        <w:spacing w:line="360" w:lineRule="auto"/>
        <w:ind w:firstLine="480" w:firstLineChars="200"/>
        <w:rPr>
          <w:rFonts w:ascii="Times New Roman"/>
          <w:sz w:val="24"/>
          <w:szCs w:val="24"/>
        </w:rPr>
      </w:pPr>
      <w:r>
        <w:rPr>
          <w:rFonts w:ascii="Times New Roman"/>
          <w:sz w:val="24"/>
          <w:szCs w:val="24"/>
        </w:rPr>
        <w:t>⑥模型离散</w:t>
      </w:r>
    </w:p>
    <w:p w14:paraId="5E891BD6">
      <w:pPr>
        <w:snapToGrid w:val="0"/>
        <w:spacing w:line="360" w:lineRule="auto"/>
        <w:ind w:firstLine="484" w:firstLineChars="200"/>
        <w:rPr>
          <w:rFonts w:ascii="Times New Roman"/>
          <w:sz w:val="24"/>
          <w:szCs w:val="24"/>
        </w:rPr>
      </w:pPr>
      <w:r>
        <w:rPr>
          <w:rFonts w:ascii="Times New Roman"/>
          <w:spacing w:val="-4"/>
          <w:szCs w:val="24"/>
        </w:rPr>
        <w:t>本次预测模型假设入渗面以下的非饱和带作为模拟剖面，入渗面作为上边界，潜水面作为下边界，模拟厚度设置</w:t>
      </w:r>
      <w:r>
        <w:rPr>
          <w:rFonts w:hint="eastAsia" w:ascii="Times New Roman"/>
          <w:spacing w:val="-4"/>
          <w:szCs w:val="24"/>
        </w:rPr>
        <w:t>3</w:t>
      </w:r>
      <w:r>
        <w:rPr>
          <w:rFonts w:ascii="Times New Roman"/>
          <w:spacing w:val="-4"/>
          <w:szCs w:val="24"/>
        </w:rPr>
        <w:t>m，根据岩性特征分为3层，包含</w:t>
      </w:r>
      <w:r>
        <w:rPr>
          <w:rFonts w:hint="eastAsia"/>
          <w:spacing w:val="-4"/>
          <w:szCs w:val="24"/>
        </w:rPr>
        <w:t>1</w:t>
      </w:r>
      <w:r>
        <w:rPr>
          <w:rFonts w:ascii="Times New Roman"/>
          <w:spacing w:val="-4"/>
          <w:szCs w:val="24"/>
        </w:rPr>
        <w:t>种岩性，以岩性分层剖分垂向网格，剖分间隔为0.01m，最大剖分间隔为0.5m，模型周期为3年。时间剖分方式采用变时间步长法，初始时间步长设定为0.001d，最大步长为5d。根据收敛0迭代次数来调整时间步长，即采用自动控制时间步长的方法来处理迭代的收敛性。</w:t>
      </w:r>
    </w:p>
    <w:p w14:paraId="0CCE65C3">
      <w:pPr>
        <w:snapToGrid w:val="0"/>
        <w:spacing w:line="360" w:lineRule="auto"/>
        <w:ind w:firstLine="480" w:firstLineChars="200"/>
        <w:rPr>
          <w:rFonts w:ascii="Times New Roman"/>
          <w:sz w:val="24"/>
          <w:szCs w:val="24"/>
        </w:rPr>
      </w:pPr>
      <w:r>
        <w:rPr>
          <w:rFonts w:ascii="Times New Roman"/>
          <w:sz w:val="24"/>
          <w:szCs w:val="24"/>
        </w:rPr>
        <w:t>土壤水分模型采用单孔模型中的VanGenuchten-Mualem模型，忽略水分滞后效应，不考虑土壤吸附作用。模型中水流模拟的上边界为定水头边界，水流模拟的下边界为自由排水边界。土壤溶质运移模拟的上边界为溶质浓度通量边界，下边界为溶质浓度零梯度边界，即自由下渗边界。</w:t>
      </w:r>
    </w:p>
    <w:p w14:paraId="5EDB2365">
      <w:pPr>
        <w:snapToGrid w:val="0"/>
        <w:spacing w:line="360" w:lineRule="auto"/>
        <w:ind w:firstLine="480" w:firstLineChars="200"/>
        <w:rPr>
          <w:rFonts w:ascii="Times New Roman"/>
          <w:sz w:val="24"/>
          <w:szCs w:val="24"/>
        </w:rPr>
      </w:pPr>
      <w:r>
        <w:rPr>
          <w:rFonts w:ascii="Times New Roman"/>
          <w:sz w:val="24"/>
          <w:szCs w:val="24"/>
        </w:rPr>
        <w:t>⑦模型参数</w:t>
      </w:r>
    </w:p>
    <w:p w14:paraId="4A437275">
      <w:pPr>
        <w:snapToGrid w:val="0"/>
        <w:spacing w:line="360" w:lineRule="auto"/>
        <w:ind w:firstLine="480" w:firstLineChars="200"/>
        <w:rPr>
          <w:rFonts w:ascii="Times New Roman"/>
          <w:spacing w:val="-4"/>
          <w:sz w:val="24"/>
          <w:szCs w:val="24"/>
        </w:rPr>
      </w:pPr>
      <w:r>
        <w:rPr>
          <w:rFonts w:ascii="Times New Roman"/>
          <w:sz w:val="24"/>
          <w:szCs w:val="24"/>
        </w:rPr>
        <w:t>本次模拟中，根据厂区所在区域岩性资料结合hydrus1D自带的不同岩性参考数据包。水动力弥散度（D）选取15m。具体参数详见下</w:t>
      </w:r>
      <w:r>
        <w:rPr>
          <w:rFonts w:ascii="Times New Roman"/>
          <w:bCs/>
          <w:sz w:val="24"/>
          <w:szCs w:val="24"/>
        </w:rPr>
        <w:t>表</w:t>
      </w:r>
      <w:r>
        <w:rPr>
          <w:rFonts w:ascii="Times New Roman"/>
          <w:sz w:val="24"/>
          <w:szCs w:val="24"/>
        </w:rPr>
        <w:t>。</w:t>
      </w:r>
    </w:p>
    <w:p w14:paraId="59BB4B62">
      <w:pPr>
        <w:tabs>
          <w:tab w:val="left" w:pos="5580"/>
        </w:tabs>
        <w:adjustRightInd w:val="0"/>
        <w:snapToGrid w:val="0"/>
        <w:spacing w:line="360" w:lineRule="auto"/>
        <w:jc w:val="center"/>
        <w:rPr>
          <w:rFonts w:ascii="Times New Roman"/>
          <w:b/>
          <w:szCs w:val="24"/>
        </w:rPr>
      </w:pPr>
      <w:r>
        <w:rPr>
          <w:rFonts w:ascii="Times New Roman"/>
          <w:b/>
          <w:szCs w:val="24"/>
        </w:rPr>
        <w:t>表5.2</w:t>
      </w:r>
      <w:r>
        <w:rPr>
          <w:rFonts w:hint="eastAsia" w:ascii="Times New Roman"/>
          <w:b/>
          <w:szCs w:val="24"/>
        </w:rPr>
        <w:t>.8</w:t>
      </w:r>
      <w:r>
        <w:rPr>
          <w:rFonts w:ascii="Times New Roman"/>
          <w:b/>
          <w:szCs w:val="24"/>
        </w:rPr>
        <w:t>-</w:t>
      </w:r>
      <w:r>
        <w:rPr>
          <w:rFonts w:hint="eastAsia" w:ascii="Times New Roman"/>
          <w:b/>
          <w:szCs w:val="24"/>
        </w:rPr>
        <w:t>5</w:t>
      </w:r>
      <w:r>
        <w:rPr>
          <w:rFonts w:ascii="Times New Roman"/>
          <w:b/>
          <w:szCs w:val="24"/>
        </w:rPr>
        <w:t xml:space="preserve">  预测模拟参数</w:t>
      </w:r>
      <w:r>
        <w:rPr>
          <w:rFonts w:hint="eastAsia" w:ascii="Times New Roman"/>
          <w:b/>
          <w:szCs w:val="24"/>
        </w:rPr>
        <w:t>一览</w:t>
      </w:r>
      <w:r>
        <w:rPr>
          <w:rFonts w:ascii="Times New Roman"/>
          <w:b/>
          <w:szCs w:val="24"/>
        </w:rPr>
        <w:t>表</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8"/>
        <w:gridCol w:w="1251"/>
        <w:gridCol w:w="853"/>
        <w:gridCol w:w="853"/>
        <w:gridCol w:w="853"/>
        <w:gridCol w:w="833"/>
        <w:gridCol w:w="1104"/>
        <w:gridCol w:w="822"/>
      </w:tblGrid>
      <w:tr w14:paraId="2620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96" w:type="pct"/>
            <w:vAlign w:val="center"/>
          </w:tcPr>
          <w:p w14:paraId="2E13ABFB">
            <w:pPr>
              <w:snapToGrid w:val="0"/>
              <w:jc w:val="center"/>
              <w:rPr>
                <w:rFonts w:ascii="Times New Roman"/>
                <w:spacing w:val="-4"/>
                <w:sz w:val="21"/>
                <w:szCs w:val="21"/>
              </w:rPr>
            </w:pPr>
            <w:r>
              <w:rPr>
                <w:rFonts w:ascii="Times New Roman"/>
                <w:spacing w:val="-4"/>
                <w:sz w:val="21"/>
                <w:szCs w:val="21"/>
              </w:rPr>
              <w:t>层号</w:t>
            </w:r>
          </w:p>
        </w:tc>
        <w:tc>
          <w:tcPr>
            <w:tcW w:w="749" w:type="pct"/>
            <w:vAlign w:val="center"/>
          </w:tcPr>
          <w:p w14:paraId="0C40BF5E">
            <w:pPr>
              <w:snapToGrid w:val="0"/>
              <w:jc w:val="center"/>
              <w:rPr>
                <w:rFonts w:ascii="Times New Roman"/>
                <w:spacing w:val="-4"/>
                <w:sz w:val="21"/>
                <w:szCs w:val="21"/>
              </w:rPr>
            </w:pPr>
            <w:r>
              <w:rPr>
                <w:rFonts w:ascii="Times New Roman"/>
                <w:spacing w:val="-4"/>
                <w:sz w:val="21"/>
                <w:szCs w:val="21"/>
              </w:rPr>
              <w:t>深度</w:t>
            </w:r>
          </w:p>
        </w:tc>
        <w:tc>
          <w:tcPr>
            <w:tcW w:w="733" w:type="pct"/>
            <w:vAlign w:val="center"/>
          </w:tcPr>
          <w:p w14:paraId="4F375591">
            <w:pPr>
              <w:snapToGrid w:val="0"/>
              <w:jc w:val="center"/>
              <w:rPr>
                <w:rFonts w:ascii="Times New Roman"/>
                <w:spacing w:val="-4"/>
                <w:sz w:val="21"/>
                <w:szCs w:val="21"/>
              </w:rPr>
            </w:pPr>
            <w:r>
              <w:rPr>
                <w:rFonts w:ascii="Times New Roman"/>
                <w:spacing w:val="-4"/>
                <w:sz w:val="21"/>
                <w:szCs w:val="21"/>
              </w:rPr>
              <w:t>岩性</w:t>
            </w:r>
          </w:p>
        </w:tc>
        <w:tc>
          <w:tcPr>
            <w:tcW w:w="500" w:type="pct"/>
            <w:vAlign w:val="center"/>
          </w:tcPr>
          <w:p w14:paraId="52573164">
            <w:pPr>
              <w:snapToGrid w:val="0"/>
              <w:jc w:val="center"/>
              <w:rPr>
                <w:rFonts w:ascii="Times New Roman"/>
                <w:spacing w:val="-4"/>
                <w:sz w:val="21"/>
                <w:szCs w:val="21"/>
              </w:rPr>
            </w:pPr>
            <w:r>
              <w:rPr>
                <w:rFonts w:ascii="Times New Roman"/>
                <w:spacing w:val="-4"/>
                <w:sz w:val="21"/>
                <w:szCs w:val="21"/>
              </w:rPr>
              <w:t>θr</w:t>
            </w:r>
          </w:p>
        </w:tc>
        <w:tc>
          <w:tcPr>
            <w:tcW w:w="500" w:type="pct"/>
            <w:vAlign w:val="center"/>
          </w:tcPr>
          <w:p w14:paraId="6923D7D1">
            <w:pPr>
              <w:snapToGrid w:val="0"/>
              <w:jc w:val="center"/>
              <w:rPr>
                <w:rFonts w:ascii="Times New Roman"/>
                <w:spacing w:val="-4"/>
                <w:sz w:val="21"/>
                <w:szCs w:val="21"/>
              </w:rPr>
            </w:pPr>
            <w:r>
              <w:rPr>
                <w:rFonts w:ascii="Times New Roman"/>
                <w:spacing w:val="-4"/>
                <w:sz w:val="21"/>
                <w:szCs w:val="21"/>
              </w:rPr>
              <w:t>θs</w:t>
            </w:r>
          </w:p>
        </w:tc>
        <w:tc>
          <w:tcPr>
            <w:tcW w:w="500" w:type="pct"/>
            <w:vAlign w:val="center"/>
          </w:tcPr>
          <w:p w14:paraId="5497FF47">
            <w:pPr>
              <w:snapToGrid w:val="0"/>
              <w:jc w:val="center"/>
              <w:rPr>
                <w:rFonts w:ascii="Times New Roman"/>
                <w:spacing w:val="-4"/>
                <w:sz w:val="21"/>
                <w:szCs w:val="21"/>
              </w:rPr>
            </w:pPr>
            <w:r>
              <w:rPr>
                <w:rFonts w:ascii="Times New Roman"/>
                <w:spacing w:val="-4"/>
                <w:sz w:val="21"/>
                <w:szCs w:val="21"/>
              </w:rPr>
              <w:t>α(1/d)</w:t>
            </w:r>
          </w:p>
        </w:tc>
        <w:tc>
          <w:tcPr>
            <w:tcW w:w="488" w:type="pct"/>
            <w:vAlign w:val="center"/>
          </w:tcPr>
          <w:p w14:paraId="2393D577">
            <w:pPr>
              <w:snapToGrid w:val="0"/>
              <w:jc w:val="center"/>
              <w:rPr>
                <w:rFonts w:ascii="Times New Roman"/>
                <w:spacing w:val="-4"/>
                <w:sz w:val="21"/>
                <w:szCs w:val="21"/>
              </w:rPr>
            </w:pPr>
            <w:r>
              <w:rPr>
                <w:rFonts w:ascii="Times New Roman"/>
                <w:spacing w:val="-4"/>
                <w:sz w:val="21"/>
                <w:szCs w:val="21"/>
              </w:rPr>
              <w:t>n</w:t>
            </w:r>
          </w:p>
        </w:tc>
        <w:tc>
          <w:tcPr>
            <w:tcW w:w="647" w:type="pct"/>
            <w:vAlign w:val="center"/>
          </w:tcPr>
          <w:p w14:paraId="37B4C4E7">
            <w:pPr>
              <w:snapToGrid w:val="0"/>
              <w:jc w:val="center"/>
              <w:rPr>
                <w:rFonts w:ascii="Times New Roman"/>
                <w:spacing w:val="-4"/>
                <w:sz w:val="21"/>
                <w:szCs w:val="21"/>
              </w:rPr>
            </w:pPr>
            <w:r>
              <w:rPr>
                <w:rFonts w:ascii="Times New Roman"/>
                <w:spacing w:val="-4"/>
                <w:sz w:val="21"/>
                <w:szCs w:val="21"/>
              </w:rPr>
              <w:t>Ks(cm/d)</w:t>
            </w:r>
          </w:p>
        </w:tc>
        <w:tc>
          <w:tcPr>
            <w:tcW w:w="482" w:type="pct"/>
            <w:vAlign w:val="center"/>
          </w:tcPr>
          <w:p w14:paraId="71676BB8">
            <w:pPr>
              <w:snapToGrid w:val="0"/>
              <w:jc w:val="center"/>
              <w:rPr>
                <w:rFonts w:ascii="Times New Roman"/>
                <w:spacing w:val="-4"/>
                <w:sz w:val="21"/>
                <w:szCs w:val="21"/>
              </w:rPr>
            </w:pPr>
            <w:r>
              <w:rPr>
                <w:rFonts w:ascii="Times New Roman"/>
                <w:spacing w:val="-4"/>
                <w:sz w:val="21"/>
                <w:szCs w:val="21"/>
              </w:rPr>
              <w:t>I</w:t>
            </w:r>
          </w:p>
        </w:tc>
      </w:tr>
      <w:tr w14:paraId="6885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Align w:val="center"/>
          </w:tcPr>
          <w:p w14:paraId="620898DF">
            <w:pPr>
              <w:snapToGrid w:val="0"/>
              <w:jc w:val="center"/>
              <w:rPr>
                <w:rFonts w:ascii="Times New Roman"/>
                <w:spacing w:val="-4"/>
                <w:sz w:val="21"/>
                <w:szCs w:val="21"/>
              </w:rPr>
            </w:pPr>
            <w:r>
              <w:rPr>
                <w:rFonts w:ascii="Times New Roman"/>
                <w:spacing w:val="-4"/>
                <w:sz w:val="21"/>
                <w:szCs w:val="21"/>
              </w:rPr>
              <w:t>1</w:t>
            </w:r>
          </w:p>
        </w:tc>
        <w:tc>
          <w:tcPr>
            <w:tcW w:w="749" w:type="pct"/>
            <w:vAlign w:val="center"/>
          </w:tcPr>
          <w:p w14:paraId="16B8588D">
            <w:pPr>
              <w:snapToGrid w:val="0"/>
              <w:jc w:val="center"/>
              <w:rPr>
                <w:rFonts w:ascii="Times New Roman"/>
                <w:spacing w:val="-4"/>
                <w:sz w:val="21"/>
                <w:szCs w:val="21"/>
              </w:rPr>
            </w:pPr>
            <w:r>
              <w:rPr>
                <w:rFonts w:ascii="Times New Roman"/>
                <w:spacing w:val="-4"/>
                <w:sz w:val="21"/>
                <w:szCs w:val="21"/>
              </w:rPr>
              <w:t>0-3</w:t>
            </w:r>
          </w:p>
        </w:tc>
        <w:tc>
          <w:tcPr>
            <w:tcW w:w="733" w:type="pct"/>
            <w:vAlign w:val="center"/>
          </w:tcPr>
          <w:p w14:paraId="37EB9889">
            <w:pPr>
              <w:snapToGrid w:val="0"/>
              <w:jc w:val="center"/>
              <w:rPr>
                <w:rFonts w:ascii="Times New Roman"/>
                <w:spacing w:val="-4"/>
                <w:sz w:val="21"/>
                <w:szCs w:val="21"/>
              </w:rPr>
            </w:pPr>
            <w:r>
              <w:rPr>
                <w:rFonts w:ascii="Times New Roman"/>
                <w:spacing w:val="-4"/>
                <w:sz w:val="21"/>
                <w:szCs w:val="21"/>
              </w:rPr>
              <w:t>砂壤土</w:t>
            </w:r>
          </w:p>
        </w:tc>
        <w:tc>
          <w:tcPr>
            <w:tcW w:w="500" w:type="pct"/>
            <w:vAlign w:val="center"/>
          </w:tcPr>
          <w:p w14:paraId="19941826">
            <w:pPr>
              <w:jc w:val="center"/>
              <w:rPr>
                <w:rFonts w:ascii="Times New Roman"/>
                <w:sz w:val="21"/>
                <w:szCs w:val="21"/>
              </w:rPr>
            </w:pPr>
            <w:r>
              <w:rPr>
                <w:rFonts w:ascii="Times New Roman"/>
                <w:sz w:val="21"/>
                <w:szCs w:val="21"/>
              </w:rPr>
              <w:t>0.065</w:t>
            </w:r>
          </w:p>
        </w:tc>
        <w:tc>
          <w:tcPr>
            <w:tcW w:w="500" w:type="pct"/>
            <w:vAlign w:val="center"/>
          </w:tcPr>
          <w:p w14:paraId="3564A1F0">
            <w:pPr>
              <w:jc w:val="center"/>
              <w:rPr>
                <w:rFonts w:ascii="Times New Roman"/>
                <w:sz w:val="21"/>
                <w:szCs w:val="21"/>
              </w:rPr>
            </w:pPr>
            <w:r>
              <w:rPr>
                <w:rFonts w:ascii="Times New Roman"/>
                <w:sz w:val="21"/>
                <w:szCs w:val="21"/>
              </w:rPr>
              <w:t>0.41</w:t>
            </w:r>
          </w:p>
        </w:tc>
        <w:tc>
          <w:tcPr>
            <w:tcW w:w="500" w:type="pct"/>
            <w:vAlign w:val="center"/>
          </w:tcPr>
          <w:p w14:paraId="46411F6D">
            <w:pPr>
              <w:jc w:val="center"/>
              <w:rPr>
                <w:rFonts w:ascii="Times New Roman"/>
                <w:sz w:val="21"/>
                <w:szCs w:val="21"/>
              </w:rPr>
            </w:pPr>
            <w:r>
              <w:rPr>
                <w:rFonts w:ascii="Times New Roman"/>
                <w:sz w:val="21"/>
                <w:szCs w:val="21"/>
              </w:rPr>
              <w:t>0.075</w:t>
            </w:r>
          </w:p>
        </w:tc>
        <w:tc>
          <w:tcPr>
            <w:tcW w:w="488" w:type="pct"/>
            <w:vAlign w:val="center"/>
          </w:tcPr>
          <w:p w14:paraId="15C1C133">
            <w:pPr>
              <w:jc w:val="center"/>
              <w:rPr>
                <w:rFonts w:ascii="Times New Roman"/>
                <w:sz w:val="21"/>
                <w:szCs w:val="21"/>
              </w:rPr>
            </w:pPr>
            <w:r>
              <w:rPr>
                <w:rFonts w:ascii="Times New Roman"/>
                <w:sz w:val="21"/>
                <w:szCs w:val="21"/>
              </w:rPr>
              <w:t>1.89</w:t>
            </w:r>
          </w:p>
        </w:tc>
        <w:tc>
          <w:tcPr>
            <w:tcW w:w="647" w:type="pct"/>
            <w:vAlign w:val="center"/>
          </w:tcPr>
          <w:p w14:paraId="56B0BA63">
            <w:pPr>
              <w:jc w:val="center"/>
              <w:rPr>
                <w:rFonts w:ascii="Times New Roman"/>
                <w:sz w:val="21"/>
                <w:szCs w:val="21"/>
              </w:rPr>
            </w:pPr>
            <w:r>
              <w:rPr>
                <w:rFonts w:ascii="Times New Roman"/>
                <w:sz w:val="21"/>
                <w:szCs w:val="21"/>
              </w:rPr>
              <w:t>106.1</w:t>
            </w:r>
          </w:p>
        </w:tc>
        <w:tc>
          <w:tcPr>
            <w:tcW w:w="482" w:type="pct"/>
            <w:vAlign w:val="center"/>
          </w:tcPr>
          <w:p w14:paraId="7576983B">
            <w:pPr>
              <w:jc w:val="center"/>
              <w:rPr>
                <w:rFonts w:ascii="Times New Roman"/>
                <w:sz w:val="21"/>
                <w:szCs w:val="21"/>
              </w:rPr>
            </w:pPr>
            <w:r>
              <w:rPr>
                <w:rFonts w:ascii="Times New Roman"/>
                <w:sz w:val="21"/>
                <w:szCs w:val="21"/>
              </w:rPr>
              <w:t>0.5</w:t>
            </w:r>
          </w:p>
        </w:tc>
      </w:tr>
    </w:tbl>
    <w:p w14:paraId="132EF8F3">
      <w:pPr>
        <w:snapToGrid w:val="0"/>
        <w:spacing w:line="360" w:lineRule="auto"/>
        <w:ind w:firstLine="480" w:firstLineChars="200"/>
        <w:rPr>
          <w:rFonts w:ascii="Times New Roman"/>
          <w:sz w:val="24"/>
          <w:szCs w:val="24"/>
        </w:rPr>
      </w:pPr>
      <w:r>
        <w:rPr>
          <w:rFonts w:hint="eastAsia" w:ascii="Times New Roman"/>
          <w:sz w:val="24"/>
          <w:szCs w:val="24"/>
        </w:rPr>
        <w:t>⑧</w:t>
      </w:r>
      <w:r>
        <w:rPr>
          <w:rFonts w:ascii="Times New Roman"/>
          <w:sz w:val="24"/>
          <w:szCs w:val="24"/>
        </w:rPr>
        <w:t>观测点及时间设置</w:t>
      </w:r>
    </w:p>
    <w:p w14:paraId="55545F56">
      <w:pPr>
        <w:snapToGrid w:val="0"/>
        <w:spacing w:line="360" w:lineRule="auto"/>
        <w:ind w:firstLine="480" w:firstLineChars="200"/>
        <w:rPr>
          <w:rFonts w:ascii="Times New Roman"/>
          <w:sz w:val="24"/>
          <w:szCs w:val="24"/>
        </w:rPr>
      </w:pPr>
      <w:r>
        <w:rPr>
          <w:rFonts w:ascii="Times New Roman"/>
          <w:sz w:val="24"/>
          <w:szCs w:val="24"/>
        </w:rPr>
        <w:t>运营期项目场地污染物（石油烃、二甲苯）以点源形式垂直进入土壤环境。预测时段按项目运行期10a考虑。</w:t>
      </w:r>
    </w:p>
    <w:p w14:paraId="62775804">
      <w:pPr>
        <w:snapToGrid w:val="0"/>
        <w:spacing w:line="360" w:lineRule="auto"/>
        <w:ind w:firstLine="464" w:firstLineChars="200"/>
        <w:rPr>
          <w:rFonts w:ascii="Times New Roman"/>
          <w:spacing w:val="-4"/>
          <w:sz w:val="24"/>
          <w:szCs w:val="24"/>
        </w:rPr>
      </w:pPr>
      <w:r>
        <w:rPr>
          <w:rFonts w:ascii="Times New Roman"/>
          <w:spacing w:val="-4"/>
          <w:sz w:val="24"/>
          <w:szCs w:val="24"/>
        </w:rPr>
        <w:t>7）预测结果</w:t>
      </w:r>
    </w:p>
    <w:p w14:paraId="7D0431A4">
      <w:pPr>
        <w:snapToGrid w:val="0"/>
        <w:spacing w:line="360" w:lineRule="auto"/>
        <w:ind w:firstLine="464" w:firstLineChars="200"/>
        <w:rPr>
          <w:rFonts w:ascii="Times New Roman"/>
          <w:spacing w:val="-4"/>
          <w:sz w:val="24"/>
          <w:szCs w:val="24"/>
        </w:rPr>
      </w:pPr>
      <w:r>
        <w:rPr>
          <w:rFonts w:ascii="Times New Roman"/>
          <w:spacing w:val="-4"/>
          <w:sz w:val="24"/>
          <w:szCs w:val="24"/>
        </w:rPr>
        <w:t>a危废间</w:t>
      </w:r>
    </w:p>
    <w:p w14:paraId="18C6A9FC">
      <w:pPr>
        <w:snapToGrid w:val="0"/>
        <w:spacing w:line="360" w:lineRule="auto"/>
        <w:ind w:firstLine="464" w:firstLineChars="200"/>
        <w:rPr>
          <w:rFonts w:ascii="Times New Roman"/>
          <w:spacing w:val="-4"/>
          <w:sz w:val="24"/>
          <w:szCs w:val="24"/>
        </w:rPr>
      </w:pPr>
      <w:r>
        <w:rPr>
          <w:rFonts w:ascii="Times New Roman"/>
          <w:spacing w:val="-4"/>
          <w:sz w:val="24"/>
          <w:szCs w:val="24"/>
        </w:rPr>
        <w:t>当危废间防渗层破损且废润滑油泄露下渗时，石油烃初始浓度为900000mg/L，在不同水平年石油烃沿土壤迁移模拟结果如图</w:t>
      </w:r>
      <w:r>
        <w:rPr>
          <w:rFonts w:hint="eastAsia" w:ascii="Times New Roman"/>
          <w:spacing w:val="-4"/>
          <w:sz w:val="24"/>
          <w:szCs w:val="24"/>
        </w:rPr>
        <w:t>5.2.8-2</w:t>
      </w:r>
      <w:r>
        <w:rPr>
          <w:rFonts w:ascii="Times New Roman"/>
          <w:spacing w:val="-4"/>
          <w:sz w:val="24"/>
          <w:szCs w:val="24"/>
        </w:rPr>
        <w:t>示，土壤底部石油烃浓度随时间变化模拟结果如图</w:t>
      </w:r>
      <w:r>
        <w:rPr>
          <w:rFonts w:hint="eastAsia" w:ascii="Times New Roman"/>
          <w:spacing w:val="-4"/>
          <w:sz w:val="24"/>
          <w:szCs w:val="24"/>
        </w:rPr>
        <w:t>5.2.8-3</w:t>
      </w:r>
      <w:r>
        <w:rPr>
          <w:rFonts w:ascii="Times New Roman"/>
          <w:spacing w:val="-4"/>
          <w:sz w:val="24"/>
          <w:szCs w:val="24"/>
        </w:rPr>
        <w:t>示。</w:t>
      </w:r>
    </w:p>
    <w:p w14:paraId="02199130">
      <w:pPr>
        <w:spacing w:line="360" w:lineRule="auto"/>
        <w:jc w:val="center"/>
        <w:rPr>
          <w:rFonts w:ascii="Times New Roman" w:eastAsia="黑体"/>
          <w:sz w:val="24"/>
          <w:szCs w:val="24"/>
        </w:rPr>
      </w:pPr>
      <w:r>
        <w:rPr>
          <w:rFonts w:ascii="Times New Roman"/>
          <w:sz w:val="24"/>
          <w:szCs w:val="24"/>
        </w:rPr>
        <w:drawing>
          <wp:inline distT="0" distB="0" distL="114300" distR="114300">
            <wp:extent cx="3686175" cy="2886075"/>
            <wp:effectExtent l="0" t="0" r="9525"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82" cstate="print"/>
                    <a:stretch>
                      <a:fillRect/>
                    </a:stretch>
                  </pic:blipFill>
                  <pic:spPr>
                    <a:xfrm>
                      <a:off x="0" y="0"/>
                      <a:ext cx="3686175" cy="2886075"/>
                    </a:xfrm>
                    <a:prstGeom prst="rect">
                      <a:avLst/>
                    </a:prstGeom>
                    <a:noFill/>
                    <a:ln>
                      <a:noFill/>
                    </a:ln>
                  </pic:spPr>
                </pic:pic>
              </a:graphicData>
            </a:graphic>
          </wp:inline>
        </w:drawing>
      </w:r>
      <w:r>
        <w:rPr>
          <w:rFonts w:ascii="Times New Roman"/>
          <w:sz w:val="24"/>
          <w:szCs w:val="24"/>
        </w:rPr>
        <w:drawing>
          <wp:inline distT="0" distB="0" distL="114300" distR="114300">
            <wp:extent cx="942975" cy="150495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3" cstate="print"/>
                    <a:srcRect/>
                    <a:stretch>
                      <a:fillRect/>
                    </a:stretch>
                  </pic:blipFill>
                  <pic:spPr>
                    <a:xfrm>
                      <a:off x="0" y="0"/>
                      <a:ext cx="942975" cy="1504950"/>
                    </a:xfrm>
                    <a:prstGeom prst="rect">
                      <a:avLst/>
                    </a:prstGeom>
                    <a:noFill/>
                    <a:ln>
                      <a:noFill/>
                    </a:ln>
                  </pic:spPr>
                </pic:pic>
              </a:graphicData>
            </a:graphic>
          </wp:inline>
        </w:drawing>
      </w:r>
    </w:p>
    <w:p w14:paraId="30B08587">
      <w:pPr>
        <w:spacing w:line="360" w:lineRule="auto"/>
        <w:jc w:val="center"/>
        <w:rPr>
          <w:rFonts w:ascii="Times New Roman"/>
          <w:b/>
          <w:bCs/>
          <w:sz w:val="24"/>
          <w:szCs w:val="24"/>
        </w:rPr>
      </w:pPr>
      <w:r>
        <w:rPr>
          <w:rFonts w:ascii="Times New Roman"/>
          <w:b/>
          <w:bCs/>
          <w:sz w:val="24"/>
          <w:szCs w:val="24"/>
        </w:rPr>
        <w:t>图</w:t>
      </w:r>
      <w:r>
        <w:rPr>
          <w:rFonts w:hint="eastAsia" w:ascii="Times New Roman"/>
          <w:b/>
          <w:bCs/>
          <w:sz w:val="24"/>
          <w:szCs w:val="24"/>
        </w:rPr>
        <w:t>5.2.8</w:t>
      </w:r>
      <w:r>
        <w:rPr>
          <w:rFonts w:ascii="Times New Roman"/>
          <w:b/>
          <w:bCs/>
          <w:sz w:val="24"/>
          <w:szCs w:val="24"/>
        </w:rPr>
        <w:t>-</w:t>
      </w:r>
      <w:r>
        <w:rPr>
          <w:rFonts w:hint="eastAsia" w:ascii="Times New Roman"/>
          <w:b/>
          <w:bCs/>
          <w:sz w:val="24"/>
          <w:szCs w:val="24"/>
        </w:rPr>
        <w:t>2</w:t>
      </w:r>
      <w:r>
        <w:rPr>
          <w:rFonts w:ascii="Times New Roman"/>
          <w:b/>
          <w:bCs/>
          <w:sz w:val="24"/>
          <w:szCs w:val="24"/>
        </w:rPr>
        <w:t xml:space="preserve">  土壤不同深度石油烃浓度观测曲线图</w:t>
      </w:r>
    </w:p>
    <w:p w14:paraId="1004F7E0">
      <w:pPr>
        <w:autoSpaceDE w:val="0"/>
        <w:autoSpaceDN w:val="0"/>
        <w:adjustRightInd w:val="0"/>
        <w:spacing w:line="360" w:lineRule="auto"/>
        <w:jc w:val="center"/>
        <w:rPr>
          <w:rFonts w:ascii="Times New Roman" w:eastAsia="黑体"/>
          <w:sz w:val="24"/>
          <w:szCs w:val="24"/>
        </w:rPr>
      </w:pPr>
      <w:r>
        <w:rPr>
          <w:rFonts w:ascii="Times New Roman"/>
          <w:sz w:val="24"/>
          <w:szCs w:val="24"/>
        </w:rPr>
        <w:drawing>
          <wp:inline distT="0" distB="0" distL="114300" distR="114300">
            <wp:extent cx="3277870" cy="2560955"/>
            <wp:effectExtent l="0" t="0" r="1778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4" cstate="print"/>
                    <a:stretch>
                      <a:fillRect/>
                    </a:stretch>
                  </pic:blipFill>
                  <pic:spPr>
                    <a:xfrm>
                      <a:off x="0" y="0"/>
                      <a:ext cx="3277870" cy="2560955"/>
                    </a:xfrm>
                    <a:prstGeom prst="rect">
                      <a:avLst/>
                    </a:prstGeom>
                    <a:noFill/>
                    <a:ln>
                      <a:noFill/>
                    </a:ln>
                  </pic:spPr>
                </pic:pic>
              </a:graphicData>
            </a:graphic>
          </wp:inline>
        </w:drawing>
      </w:r>
    </w:p>
    <w:p w14:paraId="71B7AD08">
      <w:pPr>
        <w:autoSpaceDE w:val="0"/>
        <w:autoSpaceDN w:val="0"/>
        <w:adjustRightInd w:val="0"/>
        <w:spacing w:line="360" w:lineRule="auto"/>
        <w:jc w:val="center"/>
        <w:rPr>
          <w:rFonts w:ascii="Times New Roman"/>
          <w:b/>
          <w:bCs/>
          <w:snapToGrid w:val="0"/>
          <w:sz w:val="24"/>
          <w:szCs w:val="24"/>
        </w:rPr>
      </w:pPr>
      <w:r>
        <w:rPr>
          <w:rFonts w:ascii="Times New Roman"/>
          <w:b/>
          <w:bCs/>
          <w:snapToGrid w:val="0"/>
          <w:sz w:val="24"/>
          <w:szCs w:val="24"/>
        </w:rPr>
        <w:t>图</w:t>
      </w:r>
      <w:r>
        <w:rPr>
          <w:rFonts w:hint="eastAsia" w:ascii="Times New Roman"/>
          <w:b/>
          <w:bCs/>
          <w:snapToGrid w:val="0"/>
          <w:sz w:val="24"/>
          <w:szCs w:val="24"/>
        </w:rPr>
        <w:t>5.2.8-3</w:t>
      </w:r>
      <w:r>
        <w:rPr>
          <w:rFonts w:ascii="Times New Roman"/>
          <w:b/>
          <w:bCs/>
          <w:snapToGrid w:val="0"/>
          <w:sz w:val="24"/>
          <w:szCs w:val="24"/>
        </w:rPr>
        <w:t xml:space="preserve">  土壤底部石油烃浓度-时间曲线</w:t>
      </w:r>
    </w:p>
    <w:p w14:paraId="05E7EBF7">
      <w:pPr>
        <w:snapToGrid w:val="0"/>
        <w:spacing w:line="360" w:lineRule="auto"/>
        <w:ind w:firstLine="480" w:firstLineChars="200"/>
        <w:rPr>
          <w:rFonts w:ascii="Times New Roman"/>
          <w:spacing w:val="-4"/>
          <w:sz w:val="24"/>
          <w:szCs w:val="24"/>
        </w:rPr>
      </w:pPr>
      <w:r>
        <w:rPr>
          <w:rFonts w:ascii="Times New Roman"/>
          <w:kern w:val="0"/>
          <w:sz w:val="24"/>
          <w:szCs w:val="24"/>
        </w:rPr>
        <w:t>由图</w:t>
      </w:r>
      <w:r>
        <w:rPr>
          <w:rFonts w:hint="eastAsia" w:ascii="Times New Roman"/>
          <w:kern w:val="0"/>
          <w:sz w:val="24"/>
          <w:szCs w:val="24"/>
        </w:rPr>
        <w:t>5.2.8-2</w:t>
      </w:r>
      <w:r>
        <w:rPr>
          <w:rFonts w:ascii="Times New Roman"/>
          <w:kern w:val="0"/>
          <w:sz w:val="24"/>
          <w:szCs w:val="24"/>
        </w:rPr>
        <w:t>土壤模拟结果可知，污染物石油烃在土壤中随时间不断向下迁移，且峰值数据不断降低，渗漏100d后，污染深度为0.75m；渗漏1a后，污染深度为1.15m；渗漏3a后，污染深度为1.51m；渗漏5a后，污染深度为1.92m；渗漏10a后，污染深度为2.95m。由图</w:t>
      </w:r>
      <w:r>
        <w:rPr>
          <w:rFonts w:hint="eastAsia" w:ascii="Times New Roman"/>
          <w:kern w:val="0"/>
          <w:sz w:val="24"/>
          <w:szCs w:val="24"/>
        </w:rPr>
        <w:t>5.2.8-3</w:t>
      </w:r>
      <w:r>
        <w:rPr>
          <w:rFonts w:ascii="Times New Roman"/>
          <w:kern w:val="0"/>
          <w:sz w:val="24"/>
          <w:szCs w:val="24"/>
        </w:rPr>
        <w:t>壤底部石油烃浓度-时间曲线图可知，渗漏7.4a后，土壤底部石油烃检出。</w:t>
      </w:r>
    </w:p>
    <w:p w14:paraId="47B8FF3D">
      <w:pPr>
        <w:snapToGrid w:val="0"/>
        <w:spacing w:line="360" w:lineRule="auto"/>
        <w:ind w:firstLine="464" w:firstLineChars="200"/>
        <w:rPr>
          <w:rFonts w:ascii="Times New Roman"/>
          <w:spacing w:val="-4"/>
          <w:sz w:val="24"/>
          <w:szCs w:val="24"/>
        </w:rPr>
      </w:pPr>
      <w:r>
        <w:rPr>
          <w:rFonts w:hint="eastAsia" w:ascii="Times New Roman"/>
          <w:spacing w:val="-4"/>
          <w:sz w:val="24"/>
          <w:szCs w:val="24"/>
        </w:rPr>
        <w:t>b危化库</w:t>
      </w:r>
    </w:p>
    <w:p w14:paraId="29B72F5B">
      <w:pPr>
        <w:snapToGrid w:val="0"/>
        <w:spacing w:line="360" w:lineRule="auto"/>
        <w:ind w:firstLine="464" w:firstLineChars="200"/>
        <w:rPr>
          <w:rFonts w:ascii="Times New Roman"/>
          <w:spacing w:val="-4"/>
          <w:sz w:val="24"/>
          <w:szCs w:val="24"/>
        </w:rPr>
      </w:pPr>
      <w:r>
        <w:rPr>
          <w:rFonts w:ascii="Times New Roman"/>
          <w:spacing w:val="-4"/>
          <w:sz w:val="24"/>
          <w:szCs w:val="24"/>
        </w:rPr>
        <w:t>当漆料储存区防渗层破损且稀释剂泄露下渗时，二甲苯初始浓度为400000mg/L，在不同水平年石油烃沿土壤迁移模拟结果如图</w:t>
      </w:r>
      <w:r>
        <w:rPr>
          <w:rFonts w:hint="eastAsia" w:ascii="Times New Roman"/>
          <w:spacing w:val="-4"/>
          <w:sz w:val="24"/>
          <w:szCs w:val="24"/>
        </w:rPr>
        <w:t>5.2.8-4</w:t>
      </w:r>
      <w:r>
        <w:rPr>
          <w:rFonts w:ascii="Times New Roman"/>
          <w:spacing w:val="-4"/>
          <w:sz w:val="24"/>
          <w:szCs w:val="24"/>
        </w:rPr>
        <w:t>示，土壤底部石油烃浓度随时间变化模拟结果如图</w:t>
      </w:r>
      <w:r>
        <w:rPr>
          <w:rFonts w:hint="eastAsia" w:ascii="Times New Roman"/>
          <w:spacing w:val="-4"/>
          <w:sz w:val="24"/>
          <w:szCs w:val="24"/>
        </w:rPr>
        <w:t>5.2.8-5</w:t>
      </w:r>
      <w:r>
        <w:rPr>
          <w:rFonts w:ascii="Times New Roman"/>
          <w:spacing w:val="-4"/>
          <w:sz w:val="24"/>
          <w:szCs w:val="24"/>
        </w:rPr>
        <w:t>示。</w:t>
      </w:r>
    </w:p>
    <w:p w14:paraId="4281D763">
      <w:pPr>
        <w:spacing w:line="360" w:lineRule="auto"/>
        <w:jc w:val="center"/>
        <w:rPr>
          <w:rFonts w:ascii="Times New Roman" w:eastAsia="黑体"/>
          <w:sz w:val="24"/>
          <w:szCs w:val="24"/>
        </w:rPr>
      </w:pPr>
      <w:r>
        <w:rPr>
          <w:rFonts w:ascii="Times New Roman"/>
          <w:sz w:val="24"/>
          <w:szCs w:val="24"/>
        </w:rPr>
        <w:drawing>
          <wp:inline distT="0" distB="0" distL="114300" distR="114300">
            <wp:extent cx="3385820" cy="2670810"/>
            <wp:effectExtent l="0" t="0" r="5080" b="1524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85" cstate="print"/>
                    <a:stretch>
                      <a:fillRect/>
                    </a:stretch>
                  </pic:blipFill>
                  <pic:spPr>
                    <a:xfrm>
                      <a:off x="0" y="0"/>
                      <a:ext cx="3385820" cy="2670810"/>
                    </a:xfrm>
                    <a:prstGeom prst="rect">
                      <a:avLst/>
                    </a:prstGeom>
                    <a:noFill/>
                    <a:ln>
                      <a:noFill/>
                    </a:ln>
                  </pic:spPr>
                </pic:pic>
              </a:graphicData>
            </a:graphic>
          </wp:inline>
        </w:drawing>
      </w:r>
      <w:r>
        <w:rPr>
          <w:rFonts w:ascii="Times New Roman"/>
          <w:sz w:val="24"/>
          <w:szCs w:val="24"/>
        </w:rPr>
        <w:drawing>
          <wp:inline distT="0" distB="0" distL="114300" distR="114300">
            <wp:extent cx="901065" cy="1439545"/>
            <wp:effectExtent l="0" t="0" r="13335"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3" cstate="print"/>
                    <a:srcRect/>
                    <a:stretch>
                      <a:fillRect/>
                    </a:stretch>
                  </pic:blipFill>
                  <pic:spPr>
                    <a:xfrm>
                      <a:off x="0" y="0"/>
                      <a:ext cx="901065" cy="1439545"/>
                    </a:xfrm>
                    <a:prstGeom prst="rect">
                      <a:avLst/>
                    </a:prstGeom>
                    <a:noFill/>
                    <a:ln>
                      <a:noFill/>
                    </a:ln>
                  </pic:spPr>
                </pic:pic>
              </a:graphicData>
            </a:graphic>
          </wp:inline>
        </w:drawing>
      </w:r>
    </w:p>
    <w:p w14:paraId="1DE3C360">
      <w:pPr>
        <w:autoSpaceDE w:val="0"/>
        <w:autoSpaceDN w:val="0"/>
        <w:adjustRightInd w:val="0"/>
        <w:spacing w:line="360" w:lineRule="auto"/>
        <w:jc w:val="center"/>
        <w:rPr>
          <w:rFonts w:ascii="Times New Roman"/>
          <w:b/>
          <w:bCs/>
          <w:snapToGrid w:val="0"/>
          <w:sz w:val="24"/>
          <w:szCs w:val="24"/>
        </w:rPr>
      </w:pPr>
      <w:r>
        <w:rPr>
          <w:rFonts w:ascii="Times New Roman"/>
          <w:b/>
          <w:bCs/>
          <w:snapToGrid w:val="0"/>
          <w:sz w:val="24"/>
          <w:szCs w:val="24"/>
        </w:rPr>
        <w:t>图</w:t>
      </w:r>
      <w:r>
        <w:rPr>
          <w:rFonts w:hint="eastAsia" w:ascii="Times New Roman"/>
          <w:b/>
          <w:bCs/>
          <w:snapToGrid w:val="0"/>
          <w:sz w:val="24"/>
          <w:szCs w:val="24"/>
        </w:rPr>
        <w:t>5.2.8-4</w:t>
      </w:r>
      <w:r>
        <w:rPr>
          <w:rFonts w:ascii="Times New Roman"/>
          <w:b/>
          <w:bCs/>
          <w:snapToGrid w:val="0"/>
          <w:sz w:val="24"/>
          <w:szCs w:val="24"/>
        </w:rPr>
        <w:t xml:space="preserve">  土壤不同深度二甲苯浓度观测曲线图</w:t>
      </w:r>
    </w:p>
    <w:p w14:paraId="3D5E7BC3">
      <w:pPr>
        <w:autoSpaceDE w:val="0"/>
        <w:autoSpaceDN w:val="0"/>
        <w:adjustRightInd w:val="0"/>
        <w:spacing w:line="360" w:lineRule="auto"/>
        <w:jc w:val="center"/>
        <w:rPr>
          <w:rFonts w:ascii="Times New Roman" w:eastAsia="黑体"/>
          <w:sz w:val="24"/>
          <w:szCs w:val="24"/>
        </w:rPr>
      </w:pPr>
      <w:r>
        <w:rPr>
          <w:rFonts w:ascii="Times New Roman"/>
          <w:sz w:val="24"/>
          <w:szCs w:val="24"/>
        </w:rPr>
        <w:drawing>
          <wp:inline distT="0" distB="0" distL="114300" distR="114300">
            <wp:extent cx="3648075" cy="2819400"/>
            <wp:effectExtent l="0" t="0" r="9525"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6" cstate="print"/>
                    <a:stretch>
                      <a:fillRect/>
                    </a:stretch>
                  </pic:blipFill>
                  <pic:spPr>
                    <a:xfrm>
                      <a:off x="0" y="0"/>
                      <a:ext cx="3648075" cy="2819400"/>
                    </a:xfrm>
                    <a:prstGeom prst="rect">
                      <a:avLst/>
                    </a:prstGeom>
                    <a:noFill/>
                    <a:ln>
                      <a:noFill/>
                    </a:ln>
                  </pic:spPr>
                </pic:pic>
              </a:graphicData>
            </a:graphic>
          </wp:inline>
        </w:drawing>
      </w:r>
    </w:p>
    <w:p w14:paraId="51BEA14A">
      <w:pPr>
        <w:autoSpaceDE w:val="0"/>
        <w:autoSpaceDN w:val="0"/>
        <w:adjustRightInd w:val="0"/>
        <w:spacing w:line="360" w:lineRule="auto"/>
        <w:jc w:val="center"/>
        <w:rPr>
          <w:rFonts w:ascii="Times New Roman"/>
          <w:b/>
          <w:bCs/>
          <w:snapToGrid w:val="0"/>
          <w:sz w:val="24"/>
          <w:szCs w:val="24"/>
        </w:rPr>
      </w:pPr>
      <w:r>
        <w:rPr>
          <w:rFonts w:ascii="Times New Roman"/>
          <w:b/>
          <w:bCs/>
          <w:snapToGrid w:val="0"/>
          <w:sz w:val="24"/>
          <w:szCs w:val="24"/>
        </w:rPr>
        <w:t>图</w:t>
      </w:r>
      <w:r>
        <w:rPr>
          <w:rFonts w:hint="eastAsia" w:ascii="Times New Roman"/>
          <w:b/>
          <w:bCs/>
          <w:snapToGrid w:val="0"/>
          <w:sz w:val="24"/>
          <w:szCs w:val="24"/>
        </w:rPr>
        <w:t>5.2.8-5</w:t>
      </w:r>
      <w:r>
        <w:rPr>
          <w:rFonts w:ascii="Times New Roman"/>
          <w:b/>
          <w:bCs/>
          <w:snapToGrid w:val="0"/>
          <w:sz w:val="24"/>
          <w:szCs w:val="24"/>
        </w:rPr>
        <w:t xml:space="preserve">  土壤底部二甲苯浓度-时间曲线</w:t>
      </w:r>
    </w:p>
    <w:p w14:paraId="7B44C6BC">
      <w:pPr>
        <w:snapToGrid w:val="0"/>
        <w:spacing w:line="360" w:lineRule="auto"/>
        <w:ind w:firstLine="480" w:firstLineChars="200"/>
        <w:rPr>
          <w:rFonts w:ascii="Times New Roman"/>
          <w:sz w:val="24"/>
          <w:szCs w:val="24"/>
        </w:rPr>
      </w:pPr>
      <w:r>
        <w:rPr>
          <w:rFonts w:ascii="Times New Roman"/>
          <w:kern w:val="0"/>
          <w:sz w:val="24"/>
          <w:szCs w:val="24"/>
        </w:rPr>
        <w:t>由图</w:t>
      </w:r>
      <w:r>
        <w:rPr>
          <w:rFonts w:hint="eastAsia" w:ascii="Times New Roman"/>
          <w:kern w:val="0"/>
          <w:sz w:val="24"/>
          <w:szCs w:val="24"/>
        </w:rPr>
        <w:t>5.2.8-4</w:t>
      </w:r>
      <w:r>
        <w:rPr>
          <w:rFonts w:ascii="Times New Roman"/>
          <w:kern w:val="0"/>
          <w:sz w:val="24"/>
          <w:szCs w:val="24"/>
        </w:rPr>
        <w:t>土壤模拟结果可知，污染物二甲苯在土壤中随时间不断向下迁移，且峰值数据不断降低，渗漏100d后，污染深度为0.75m；渗漏1a后，污染深度为1.15m；渗漏3a后，污染深度为1.51m；渗漏5a后，污染深度为1.92m；渗漏10a后，污染深度为2.95m。由图</w:t>
      </w:r>
      <w:r>
        <w:rPr>
          <w:rFonts w:hint="eastAsia" w:ascii="Times New Roman"/>
          <w:kern w:val="0"/>
          <w:sz w:val="24"/>
          <w:szCs w:val="24"/>
        </w:rPr>
        <w:t>5.2.8-5</w:t>
      </w:r>
      <w:r>
        <w:rPr>
          <w:rFonts w:ascii="Times New Roman"/>
          <w:kern w:val="0"/>
          <w:sz w:val="24"/>
          <w:szCs w:val="24"/>
        </w:rPr>
        <w:t>壤底部二甲苯浓度-时间曲线图可知，渗漏7.4a后，土壤底部石油烃检出。</w:t>
      </w:r>
    </w:p>
    <w:p w14:paraId="3D9D068B">
      <w:pPr>
        <w:spacing w:line="360" w:lineRule="auto"/>
        <w:ind w:firstLine="480" w:firstLineChars="200"/>
        <w:rPr>
          <w:rFonts w:ascii="Times New Roman"/>
          <w:sz w:val="24"/>
          <w:szCs w:val="24"/>
        </w:rPr>
      </w:pPr>
      <w:r>
        <w:rPr>
          <w:rFonts w:ascii="Times New Roman"/>
          <w:kern w:val="0"/>
          <w:sz w:val="24"/>
          <w:szCs w:val="24"/>
        </w:rPr>
        <w:t>本项目通过定量与定性相结合的办法，从大气沉降和污染物垂直入渗影响途径，分析项目运营对土壤环境的影响。项目场地建有完善的环保设施及处置措施，能有效防控污染物进入土壤环境，项目在严格做好地面分区防渗措施的建设，采取必要的检修、监测、管理措施条件下，工程建设对土壤的影响较小。</w:t>
      </w:r>
    </w:p>
    <w:p w14:paraId="72A3AB4C">
      <w:pPr>
        <w:spacing w:line="520" w:lineRule="exact"/>
        <w:outlineLvl w:val="3"/>
        <w:rPr>
          <w:rFonts w:ascii="Times New Roman"/>
          <w:b/>
          <w:sz w:val="24"/>
          <w:szCs w:val="24"/>
        </w:rPr>
      </w:pPr>
      <w:r>
        <w:rPr>
          <w:rFonts w:ascii="Times New Roman"/>
          <w:b/>
          <w:sz w:val="24"/>
          <w:szCs w:val="24"/>
        </w:rPr>
        <w:t>5.2.8.6土壤环境保护措施</w:t>
      </w:r>
    </w:p>
    <w:p w14:paraId="438A18F5">
      <w:pPr>
        <w:autoSpaceDE w:val="0"/>
        <w:autoSpaceDN w:val="0"/>
        <w:adjustRightInd w:val="0"/>
        <w:spacing w:line="480" w:lineRule="exact"/>
        <w:ind w:firstLine="480" w:firstLineChars="200"/>
        <w:rPr>
          <w:rFonts w:ascii="Times New Roman"/>
          <w:sz w:val="24"/>
          <w:szCs w:val="24"/>
        </w:rPr>
      </w:pPr>
      <w:r>
        <w:rPr>
          <w:rFonts w:ascii="Times New Roman"/>
          <w:sz w:val="24"/>
          <w:szCs w:val="24"/>
        </w:rPr>
        <w:t>（1）现状保障措施</w:t>
      </w:r>
    </w:p>
    <w:p w14:paraId="39ADCB7C">
      <w:pPr>
        <w:autoSpaceDE w:val="0"/>
        <w:autoSpaceDN w:val="0"/>
        <w:adjustRightInd w:val="0"/>
        <w:spacing w:line="480" w:lineRule="exact"/>
        <w:ind w:firstLine="480" w:firstLineChars="200"/>
        <w:rPr>
          <w:rFonts w:ascii="Times New Roman"/>
          <w:sz w:val="24"/>
          <w:szCs w:val="24"/>
        </w:rPr>
      </w:pPr>
      <w:r>
        <w:rPr>
          <w:rFonts w:ascii="Times New Roman"/>
          <w:sz w:val="24"/>
          <w:szCs w:val="24"/>
        </w:rPr>
        <w:t>根据项目土壤质量现状检测结果，项目评价区域各监测点各监测因子均不超标，满足《土壤环境质量 建设用地土壤污染风险管控标准（试行）》（GB36600-2018）表1建设用地土壤污染风险筛选值第二类用地标准要求及《建设用地土壤污染风险筛选值》（DB13/T5216-2020）表1相关标准要求。</w:t>
      </w:r>
    </w:p>
    <w:p w14:paraId="5EE1813E">
      <w:pPr>
        <w:autoSpaceDE w:val="0"/>
        <w:autoSpaceDN w:val="0"/>
        <w:adjustRightInd w:val="0"/>
        <w:spacing w:line="480" w:lineRule="exact"/>
        <w:ind w:firstLine="480" w:firstLineChars="200"/>
        <w:rPr>
          <w:rFonts w:ascii="Times New Roman"/>
          <w:sz w:val="24"/>
          <w:szCs w:val="24"/>
        </w:rPr>
      </w:pPr>
      <w:r>
        <w:rPr>
          <w:rFonts w:ascii="Times New Roman"/>
          <w:sz w:val="24"/>
          <w:szCs w:val="24"/>
        </w:rPr>
        <w:t>（2）源头控制措施</w:t>
      </w:r>
    </w:p>
    <w:p w14:paraId="05AF2641">
      <w:pPr>
        <w:autoSpaceDE w:val="0"/>
        <w:autoSpaceDN w:val="0"/>
        <w:adjustRightInd w:val="0"/>
        <w:spacing w:line="480" w:lineRule="exact"/>
        <w:ind w:firstLine="480" w:firstLineChars="200"/>
        <w:rPr>
          <w:rFonts w:ascii="Times New Roman"/>
          <w:sz w:val="24"/>
          <w:szCs w:val="24"/>
        </w:rPr>
      </w:pPr>
      <w:r>
        <w:rPr>
          <w:rFonts w:ascii="Times New Roman"/>
          <w:sz w:val="24"/>
          <w:szCs w:val="24"/>
        </w:rPr>
        <w:t>本项目厂区按照重点防渗区、一般防渗区、简单防渗区进行防渗处理，各污染防治区分别满足不同等级的防渗技术要求，可有效阻止污染物下渗。</w:t>
      </w:r>
    </w:p>
    <w:p w14:paraId="48B465B6">
      <w:pPr>
        <w:autoSpaceDE w:val="0"/>
        <w:autoSpaceDN w:val="0"/>
        <w:adjustRightInd w:val="0"/>
        <w:spacing w:line="480" w:lineRule="exact"/>
        <w:ind w:firstLine="480" w:firstLineChars="200"/>
        <w:rPr>
          <w:rFonts w:ascii="Times New Roman"/>
          <w:sz w:val="24"/>
          <w:szCs w:val="24"/>
        </w:rPr>
      </w:pPr>
      <w:r>
        <w:rPr>
          <w:rFonts w:ascii="Times New Roman"/>
          <w:sz w:val="24"/>
          <w:szCs w:val="24"/>
        </w:rPr>
        <w:t>（3）跟踪监测</w:t>
      </w:r>
    </w:p>
    <w:p w14:paraId="1729E04E">
      <w:pPr>
        <w:autoSpaceDE w:val="0"/>
        <w:autoSpaceDN w:val="0"/>
        <w:adjustRightInd w:val="0"/>
        <w:spacing w:line="480" w:lineRule="exact"/>
        <w:ind w:firstLine="480" w:firstLineChars="200"/>
        <w:rPr>
          <w:rFonts w:ascii="Times New Roman"/>
          <w:sz w:val="24"/>
          <w:szCs w:val="24"/>
        </w:rPr>
      </w:pPr>
      <w:r>
        <w:rPr>
          <w:rFonts w:ascii="Times New Roman"/>
          <w:sz w:val="24"/>
          <w:szCs w:val="24"/>
        </w:rPr>
        <w:t>根据《环境影响评价技术导则 土壤环境》（HJ964-2018）的要求确定土壤跟踪监测点布设原则，结合厂区占地位置，共布设3个土壤跟踪监测点。监测点布设情况见</w:t>
      </w:r>
      <w:r>
        <w:rPr>
          <w:rFonts w:hint="eastAsia" w:ascii="Times New Roman"/>
          <w:sz w:val="24"/>
          <w:szCs w:val="24"/>
        </w:rPr>
        <w:t>下</w:t>
      </w:r>
      <w:r>
        <w:rPr>
          <w:rFonts w:ascii="Times New Roman"/>
          <w:sz w:val="24"/>
          <w:szCs w:val="24"/>
        </w:rPr>
        <w:t>表。</w:t>
      </w:r>
    </w:p>
    <w:p w14:paraId="3E7E3F14">
      <w:pPr>
        <w:autoSpaceDE w:val="0"/>
        <w:autoSpaceDN w:val="0"/>
        <w:adjustRightInd w:val="0"/>
        <w:spacing w:line="480" w:lineRule="exact"/>
        <w:jc w:val="center"/>
        <w:rPr>
          <w:rFonts w:ascii="Times New Roman"/>
          <w:b/>
          <w:bCs/>
          <w:sz w:val="24"/>
          <w:szCs w:val="24"/>
        </w:rPr>
      </w:pPr>
      <w:r>
        <w:rPr>
          <w:rFonts w:ascii="Times New Roman"/>
          <w:b/>
          <w:bCs/>
          <w:sz w:val="24"/>
          <w:szCs w:val="24"/>
        </w:rPr>
        <w:t>表5.2</w:t>
      </w:r>
      <w:r>
        <w:rPr>
          <w:rFonts w:hint="eastAsia" w:ascii="Times New Roman"/>
          <w:b/>
          <w:bCs/>
          <w:sz w:val="24"/>
          <w:szCs w:val="24"/>
        </w:rPr>
        <w:t>.8</w:t>
      </w:r>
      <w:r>
        <w:rPr>
          <w:rFonts w:ascii="Times New Roman"/>
          <w:b/>
          <w:bCs/>
          <w:sz w:val="24"/>
          <w:szCs w:val="24"/>
        </w:rPr>
        <w:t>-</w:t>
      </w:r>
      <w:r>
        <w:rPr>
          <w:rFonts w:hint="eastAsia" w:ascii="Times New Roman"/>
          <w:b/>
          <w:bCs/>
          <w:sz w:val="24"/>
          <w:szCs w:val="24"/>
        </w:rPr>
        <w:t>8</w:t>
      </w:r>
      <w:r>
        <w:rPr>
          <w:rFonts w:ascii="Times New Roman"/>
          <w:b/>
          <w:bCs/>
          <w:sz w:val="24"/>
          <w:szCs w:val="24"/>
        </w:rPr>
        <w:t xml:space="preserve">  土壤跟踪监测点布置一览表</w:t>
      </w:r>
    </w:p>
    <w:tbl>
      <w:tblPr>
        <w:tblStyle w:val="8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68"/>
        <w:gridCol w:w="1007"/>
        <w:gridCol w:w="1160"/>
        <w:gridCol w:w="1124"/>
        <w:gridCol w:w="750"/>
        <w:gridCol w:w="1874"/>
        <w:gridCol w:w="2076"/>
      </w:tblGrid>
      <w:tr w14:paraId="0A8DF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0" w:type="pct"/>
            <w:vAlign w:val="center"/>
          </w:tcPr>
          <w:p w14:paraId="05B206CD">
            <w:pPr>
              <w:spacing w:line="0" w:lineRule="atLeast"/>
              <w:jc w:val="center"/>
              <w:rPr>
                <w:rFonts w:ascii="Times New Roman"/>
                <w:b/>
                <w:bCs/>
                <w:sz w:val="21"/>
                <w:szCs w:val="21"/>
              </w:rPr>
            </w:pPr>
            <w:r>
              <w:rPr>
                <w:rFonts w:ascii="Times New Roman"/>
                <w:b/>
                <w:bCs/>
                <w:sz w:val="21"/>
                <w:szCs w:val="21"/>
              </w:rPr>
              <w:t>点号</w:t>
            </w:r>
          </w:p>
        </w:tc>
        <w:tc>
          <w:tcPr>
            <w:tcW w:w="602" w:type="pct"/>
            <w:vAlign w:val="center"/>
          </w:tcPr>
          <w:p w14:paraId="04324924">
            <w:pPr>
              <w:spacing w:line="0" w:lineRule="atLeast"/>
              <w:jc w:val="center"/>
              <w:rPr>
                <w:rFonts w:ascii="Times New Roman"/>
                <w:b/>
                <w:bCs/>
                <w:sz w:val="21"/>
                <w:szCs w:val="21"/>
              </w:rPr>
            </w:pPr>
            <w:r>
              <w:rPr>
                <w:rFonts w:ascii="Times New Roman"/>
                <w:b/>
                <w:bCs/>
                <w:sz w:val="21"/>
                <w:szCs w:val="21"/>
              </w:rPr>
              <w:t>监测点</w:t>
            </w:r>
          </w:p>
          <w:p w14:paraId="4F65EF88">
            <w:pPr>
              <w:spacing w:line="0" w:lineRule="atLeast"/>
              <w:jc w:val="center"/>
              <w:rPr>
                <w:rFonts w:ascii="Times New Roman"/>
                <w:b/>
                <w:bCs/>
                <w:sz w:val="21"/>
                <w:szCs w:val="21"/>
              </w:rPr>
            </w:pPr>
            <w:r>
              <w:rPr>
                <w:rFonts w:ascii="Times New Roman"/>
                <w:b/>
                <w:bCs/>
                <w:sz w:val="21"/>
                <w:szCs w:val="21"/>
              </w:rPr>
              <w:t>位置</w:t>
            </w:r>
          </w:p>
        </w:tc>
        <w:tc>
          <w:tcPr>
            <w:tcW w:w="693" w:type="pct"/>
            <w:vAlign w:val="center"/>
          </w:tcPr>
          <w:p w14:paraId="38DF9ACD">
            <w:pPr>
              <w:spacing w:line="0" w:lineRule="atLeast"/>
              <w:jc w:val="center"/>
              <w:rPr>
                <w:rFonts w:ascii="Times New Roman"/>
                <w:b/>
                <w:bCs/>
                <w:sz w:val="21"/>
                <w:szCs w:val="21"/>
              </w:rPr>
            </w:pPr>
            <w:r>
              <w:rPr>
                <w:rFonts w:ascii="Times New Roman"/>
                <w:b/>
                <w:bCs/>
                <w:sz w:val="21"/>
                <w:szCs w:val="21"/>
              </w:rPr>
              <w:t>监测点类型</w:t>
            </w:r>
          </w:p>
        </w:tc>
        <w:tc>
          <w:tcPr>
            <w:tcW w:w="672" w:type="pct"/>
            <w:vAlign w:val="center"/>
          </w:tcPr>
          <w:p w14:paraId="0ABEED07">
            <w:pPr>
              <w:spacing w:line="0" w:lineRule="atLeast"/>
              <w:jc w:val="center"/>
              <w:rPr>
                <w:rFonts w:ascii="Times New Roman"/>
                <w:b/>
                <w:bCs/>
                <w:sz w:val="21"/>
                <w:szCs w:val="21"/>
              </w:rPr>
            </w:pPr>
            <w:r>
              <w:rPr>
                <w:rFonts w:ascii="Times New Roman"/>
                <w:b/>
                <w:bCs/>
                <w:sz w:val="21"/>
                <w:szCs w:val="21"/>
              </w:rPr>
              <w:t>采样深度</w:t>
            </w:r>
          </w:p>
        </w:tc>
        <w:tc>
          <w:tcPr>
            <w:tcW w:w="448" w:type="pct"/>
            <w:vAlign w:val="center"/>
          </w:tcPr>
          <w:p w14:paraId="538EBE42">
            <w:pPr>
              <w:spacing w:line="0" w:lineRule="atLeast"/>
              <w:jc w:val="center"/>
              <w:rPr>
                <w:rFonts w:ascii="Times New Roman"/>
                <w:b/>
                <w:bCs/>
                <w:sz w:val="21"/>
                <w:szCs w:val="21"/>
              </w:rPr>
            </w:pPr>
            <w:r>
              <w:rPr>
                <w:rFonts w:ascii="Times New Roman"/>
                <w:b/>
                <w:bCs/>
                <w:sz w:val="21"/>
                <w:szCs w:val="21"/>
              </w:rPr>
              <w:t>监测</w:t>
            </w:r>
          </w:p>
          <w:p w14:paraId="28170A03">
            <w:pPr>
              <w:spacing w:line="0" w:lineRule="atLeast"/>
              <w:jc w:val="center"/>
              <w:rPr>
                <w:rFonts w:ascii="Times New Roman"/>
                <w:b/>
                <w:bCs/>
                <w:sz w:val="21"/>
                <w:szCs w:val="21"/>
              </w:rPr>
            </w:pPr>
            <w:r>
              <w:rPr>
                <w:rFonts w:ascii="Times New Roman"/>
                <w:b/>
                <w:bCs/>
                <w:sz w:val="21"/>
                <w:szCs w:val="21"/>
              </w:rPr>
              <w:t>频率</w:t>
            </w:r>
          </w:p>
        </w:tc>
        <w:tc>
          <w:tcPr>
            <w:tcW w:w="1120" w:type="pct"/>
            <w:vAlign w:val="center"/>
          </w:tcPr>
          <w:p w14:paraId="5FFA86B1">
            <w:pPr>
              <w:spacing w:line="0" w:lineRule="atLeast"/>
              <w:jc w:val="center"/>
              <w:rPr>
                <w:rFonts w:ascii="Times New Roman"/>
                <w:b/>
                <w:bCs/>
                <w:sz w:val="21"/>
                <w:szCs w:val="21"/>
              </w:rPr>
            </w:pPr>
            <w:r>
              <w:rPr>
                <w:rFonts w:ascii="Times New Roman"/>
                <w:b/>
                <w:bCs/>
                <w:sz w:val="21"/>
                <w:szCs w:val="21"/>
              </w:rPr>
              <w:t>监测因子</w:t>
            </w:r>
          </w:p>
        </w:tc>
        <w:tc>
          <w:tcPr>
            <w:tcW w:w="1241" w:type="pct"/>
            <w:vAlign w:val="center"/>
          </w:tcPr>
          <w:p w14:paraId="41785AA1">
            <w:pPr>
              <w:spacing w:line="0" w:lineRule="atLeast"/>
              <w:jc w:val="center"/>
              <w:rPr>
                <w:rFonts w:ascii="Times New Roman"/>
                <w:b/>
                <w:bCs/>
                <w:sz w:val="21"/>
                <w:szCs w:val="21"/>
              </w:rPr>
            </w:pPr>
            <w:r>
              <w:rPr>
                <w:rFonts w:ascii="Times New Roman"/>
                <w:b/>
                <w:bCs/>
                <w:sz w:val="21"/>
                <w:szCs w:val="21"/>
              </w:rPr>
              <w:t>执行</w:t>
            </w:r>
          </w:p>
          <w:p w14:paraId="54F0FA00">
            <w:pPr>
              <w:spacing w:line="0" w:lineRule="atLeast"/>
              <w:jc w:val="center"/>
              <w:rPr>
                <w:rFonts w:ascii="Times New Roman"/>
                <w:b/>
                <w:bCs/>
                <w:sz w:val="21"/>
                <w:szCs w:val="21"/>
              </w:rPr>
            </w:pPr>
            <w:r>
              <w:rPr>
                <w:rFonts w:ascii="Times New Roman"/>
                <w:b/>
                <w:bCs/>
                <w:sz w:val="21"/>
                <w:szCs w:val="21"/>
              </w:rPr>
              <w:t>标准</w:t>
            </w:r>
          </w:p>
        </w:tc>
      </w:tr>
      <w:tr w14:paraId="4E6DC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8" w:hRule="atLeast"/>
          <w:jc w:val="center"/>
        </w:trPr>
        <w:tc>
          <w:tcPr>
            <w:tcW w:w="220" w:type="pct"/>
            <w:vAlign w:val="center"/>
          </w:tcPr>
          <w:p w14:paraId="19C24E99">
            <w:pPr>
              <w:spacing w:line="0" w:lineRule="atLeast"/>
              <w:jc w:val="center"/>
              <w:rPr>
                <w:rFonts w:ascii="Times New Roman"/>
                <w:sz w:val="21"/>
                <w:szCs w:val="21"/>
              </w:rPr>
            </w:pPr>
            <w:r>
              <w:rPr>
                <w:rFonts w:ascii="Times New Roman"/>
                <w:sz w:val="21"/>
                <w:szCs w:val="21"/>
              </w:rPr>
              <w:t>1</w:t>
            </w:r>
          </w:p>
        </w:tc>
        <w:tc>
          <w:tcPr>
            <w:tcW w:w="602" w:type="pct"/>
            <w:vAlign w:val="center"/>
          </w:tcPr>
          <w:p w14:paraId="1AD658AF">
            <w:pPr>
              <w:spacing w:line="0" w:lineRule="atLeast"/>
              <w:jc w:val="center"/>
              <w:rPr>
                <w:rFonts w:ascii="Times New Roman"/>
                <w:sz w:val="21"/>
                <w:szCs w:val="21"/>
              </w:rPr>
            </w:pPr>
            <w:r>
              <w:rPr>
                <w:rFonts w:hint="eastAsia" w:ascii="Times New Roman"/>
                <w:sz w:val="21"/>
                <w:szCs w:val="21"/>
              </w:rPr>
              <w:t>污水处理站</w:t>
            </w:r>
          </w:p>
        </w:tc>
        <w:tc>
          <w:tcPr>
            <w:tcW w:w="693" w:type="pct"/>
            <w:vAlign w:val="center"/>
          </w:tcPr>
          <w:p w14:paraId="0C0BFC53">
            <w:pPr>
              <w:spacing w:line="0" w:lineRule="atLeast"/>
              <w:jc w:val="center"/>
              <w:rPr>
                <w:rFonts w:ascii="Times New Roman"/>
                <w:sz w:val="21"/>
                <w:szCs w:val="21"/>
              </w:rPr>
            </w:pPr>
            <w:r>
              <w:rPr>
                <w:rFonts w:ascii="Times New Roman"/>
                <w:sz w:val="21"/>
                <w:szCs w:val="21"/>
              </w:rPr>
              <w:t>敏感点</w:t>
            </w:r>
          </w:p>
          <w:p w14:paraId="1ABB2289">
            <w:pPr>
              <w:spacing w:line="0" w:lineRule="atLeast"/>
              <w:jc w:val="center"/>
              <w:rPr>
                <w:rFonts w:ascii="Times New Roman"/>
                <w:sz w:val="21"/>
                <w:szCs w:val="21"/>
              </w:rPr>
            </w:pPr>
            <w:r>
              <w:rPr>
                <w:rFonts w:ascii="Times New Roman"/>
                <w:sz w:val="21"/>
                <w:szCs w:val="21"/>
              </w:rPr>
              <w:t>监测点</w:t>
            </w:r>
          </w:p>
        </w:tc>
        <w:tc>
          <w:tcPr>
            <w:tcW w:w="672" w:type="pct"/>
            <w:vAlign w:val="center"/>
          </w:tcPr>
          <w:p w14:paraId="5260C996">
            <w:pPr>
              <w:spacing w:line="0" w:lineRule="atLeast"/>
              <w:jc w:val="center"/>
              <w:rPr>
                <w:rFonts w:ascii="Times New Roman"/>
                <w:sz w:val="21"/>
                <w:szCs w:val="21"/>
              </w:rPr>
            </w:pPr>
            <w:r>
              <w:rPr>
                <w:rFonts w:ascii="Times New Roman"/>
                <w:sz w:val="21"/>
                <w:szCs w:val="21"/>
              </w:rPr>
              <w:t>0.2m</w:t>
            </w:r>
          </w:p>
        </w:tc>
        <w:tc>
          <w:tcPr>
            <w:tcW w:w="448" w:type="pct"/>
            <w:vMerge w:val="restart"/>
            <w:vAlign w:val="center"/>
          </w:tcPr>
          <w:p w14:paraId="07375049">
            <w:pPr>
              <w:spacing w:line="0" w:lineRule="atLeast"/>
              <w:jc w:val="center"/>
              <w:rPr>
                <w:rFonts w:ascii="Times New Roman"/>
                <w:sz w:val="21"/>
                <w:szCs w:val="21"/>
              </w:rPr>
            </w:pPr>
            <w:r>
              <w:rPr>
                <w:rFonts w:ascii="Times New Roman"/>
                <w:sz w:val="21"/>
                <w:szCs w:val="21"/>
              </w:rPr>
              <w:t>每5年监测一次</w:t>
            </w:r>
          </w:p>
        </w:tc>
        <w:tc>
          <w:tcPr>
            <w:tcW w:w="1120" w:type="pct"/>
            <w:vAlign w:val="center"/>
          </w:tcPr>
          <w:p w14:paraId="1A1FFB2A">
            <w:pPr>
              <w:spacing w:line="0" w:lineRule="atLeast"/>
              <w:jc w:val="center"/>
              <w:rPr>
                <w:rFonts w:ascii="Times New Roman"/>
                <w:sz w:val="21"/>
                <w:szCs w:val="21"/>
              </w:rPr>
            </w:pPr>
            <w:r>
              <w:rPr>
                <w:rFonts w:ascii="Times New Roman"/>
                <w:kern w:val="0"/>
                <w:sz w:val="21"/>
                <w:szCs w:val="21"/>
              </w:rPr>
              <w:t>间二甲苯、对二甲苯、邻二甲苯</w:t>
            </w:r>
            <w:r>
              <w:rPr>
                <w:rFonts w:hint="eastAsia" w:ascii="Times New Roman"/>
                <w:kern w:val="0"/>
                <w:sz w:val="21"/>
                <w:szCs w:val="21"/>
              </w:rPr>
              <w:t>、石油烃</w:t>
            </w:r>
          </w:p>
        </w:tc>
        <w:tc>
          <w:tcPr>
            <w:tcW w:w="1241" w:type="pct"/>
            <w:vMerge w:val="restart"/>
            <w:vAlign w:val="center"/>
          </w:tcPr>
          <w:p w14:paraId="4B61D4F9">
            <w:pPr>
              <w:spacing w:line="0" w:lineRule="atLeast"/>
              <w:jc w:val="center"/>
              <w:rPr>
                <w:rFonts w:ascii="Times New Roman"/>
                <w:sz w:val="21"/>
                <w:szCs w:val="21"/>
              </w:rPr>
            </w:pPr>
            <w:r>
              <w:rPr>
                <w:rFonts w:ascii="Times New Roman"/>
                <w:kern w:val="0"/>
                <w:sz w:val="21"/>
                <w:szCs w:val="21"/>
              </w:rPr>
              <w:t>《土壤环境质量 建设用地土壤污染风险管控标准(试行)》(GB36600-2018)及《建设用地土壤污染风险筛选值》（DB13/T5216-2020）</w:t>
            </w:r>
          </w:p>
        </w:tc>
      </w:tr>
      <w:tr w14:paraId="7E978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8" w:hRule="atLeast"/>
          <w:jc w:val="center"/>
        </w:trPr>
        <w:tc>
          <w:tcPr>
            <w:tcW w:w="220" w:type="pct"/>
            <w:vAlign w:val="center"/>
          </w:tcPr>
          <w:p w14:paraId="49FAF226">
            <w:pPr>
              <w:spacing w:line="0" w:lineRule="atLeast"/>
              <w:jc w:val="center"/>
              <w:rPr>
                <w:rFonts w:ascii="Times New Roman"/>
                <w:sz w:val="21"/>
                <w:szCs w:val="21"/>
              </w:rPr>
            </w:pPr>
            <w:r>
              <w:rPr>
                <w:rFonts w:ascii="Times New Roman"/>
                <w:sz w:val="21"/>
                <w:szCs w:val="21"/>
              </w:rPr>
              <w:t>2</w:t>
            </w:r>
          </w:p>
        </w:tc>
        <w:tc>
          <w:tcPr>
            <w:tcW w:w="602" w:type="pct"/>
            <w:vAlign w:val="center"/>
          </w:tcPr>
          <w:p w14:paraId="40294490">
            <w:pPr>
              <w:spacing w:line="0" w:lineRule="atLeast"/>
              <w:jc w:val="center"/>
              <w:rPr>
                <w:rFonts w:ascii="Times New Roman"/>
                <w:sz w:val="21"/>
                <w:szCs w:val="21"/>
              </w:rPr>
            </w:pPr>
            <w:r>
              <w:rPr>
                <w:rFonts w:hint="eastAsia" w:ascii="Times New Roman"/>
                <w:sz w:val="21"/>
                <w:szCs w:val="21"/>
              </w:rPr>
              <w:t>表面涂装区</w:t>
            </w:r>
          </w:p>
        </w:tc>
        <w:tc>
          <w:tcPr>
            <w:tcW w:w="693" w:type="pct"/>
            <w:vAlign w:val="center"/>
          </w:tcPr>
          <w:p w14:paraId="42A9D7BD">
            <w:pPr>
              <w:spacing w:line="0" w:lineRule="atLeast"/>
              <w:jc w:val="center"/>
              <w:rPr>
                <w:rFonts w:ascii="Times New Roman"/>
                <w:sz w:val="21"/>
                <w:szCs w:val="21"/>
              </w:rPr>
            </w:pPr>
            <w:r>
              <w:rPr>
                <w:rFonts w:ascii="Times New Roman"/>
                <w:sz w:val="21"/>
                <w:szCs w:val="21"/>
              </w:rPr>
              <w:t>垂直入渗影响区监测点</w:t>
            </w:r>
          </w:p>
        </w:tc>
        <w:tc>
          <w:tcPr>
            <w:tcW w:w="672" w:type="pct"/>
            <w:vAlign w:val="center"/>
          </w:tcPr>
          <w:p w14:paraId="2B4991C3">
            <w:pPr>
              <w:spacing w:line="0" w:lineRule="atLeast"/>
              <w:jc w:val="center"/>
              <w:rPr>
                <w:rFonts w:ascii="Times New Roman"/>
                <w:sz w:val="21"/>
                <w:szCs w:val="21"/>
              </w:rPr>
            </w:pPr>
            <w:r>
              <w:rPr>
                <w:rFonts w:ascii="Times New Roman"/>
                <w:sz w:val="21"/>
                <w:szCs w:val="21"/>
              </w:rPr>
              <w:t>0.2m</w:t>
            </w:r>
          </w:p>
        </w:tc>
        <w:tc>
          <w:tcPr>
            <w:tcW w:w="448" w:type="pct"/>
            <w:vMerge w:val="continue"/>
            <w:vAlign w:val="center"/>
          </w:tcPr>
          <w:p w14:paraId="1F0352FD">
            <w:pPr>
              <w:spacing w:line="0" w:lineRule="atLeast"/>
              <w:jc w:val="center"/>
              <w:rPr>
                <w:rFonts w:ascii="Times New Roman"/>
                <w:sz w:val="21"/>
                <w:szCs w:val="21"/>
              </w:rPr>
            </w:pPr>
          </w:p>
        </w:tc>
        <w:tc>
          <w:tcPr>
            <w:tcW w:w="1120" w:type="pct"/>
            <w:vAlign w:val="center"/>
          </w:tcPr>
          <w:p w14:paraId="3AACF0F6">
            <w:pPr>
              <w:spacing w:line="0" w:lineRule="atLeast"/>
              <w:jc w:val="center"/>
              <w:rPr>
                <w:rFonts w:ascii="Times New Roman"/>
                <w:kern w:val="0"/>
                <w:sz w:val="18"/>
                <w:szCs w:val="18"/>
              </w:rPr>
            </w:pPr>
            <w:r>
              <w:rPr>
                <w:rFonts w:ascii="Times New Roman"/>
                <w:kern w:val="0"/>
                <w:sz w:val="21"/>
                <w:szCs w:val="21"/>
              </w:rPr>
              <w:t>间二甲苯、对二甲苯、邻二甲苯</w:t>
            </w:r>
            <w:r>
              <w:rPr>
                <w:rFonts w:hint="eastAsia" w:ascii="Times New Roman"/>
                <w:kern w:val="0"/>
                <w:sz w:val="21"/>
                <w:szCs w:val="21"/>
              </w:rPr>
              <w:t>、石油烃</w:t>
            </w:r>
          </w:p>
        </w:tc>
        <w:tc>
          <w:tcPr>
            <w:tcW w:w="1241" w:type="pct"/>
            <w:vMerge w:val="continue"/>
            <w:vAlign w:val="center"/>
          </w:tcPr>
          <w:p w14:paraId="4901A6C8">
            <w:pPr>
              <w:spacing w:line="0" w:lineRule="atLeast"/>
              <w:jc w:val="center"/>
              <w:rPr>
                <w:rFonts w:ascii="Times New Roman"/>
                <w:sz w:val="21"/>
                <w:szCs w:val="21"/>
              </w:rPr>
            </w:pPr>
          </w:p>
        </w:tc>
      </w:tr>
      <w:tr w14:paraId="66861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60" w:hRule="atLeast"/>
          <w:jc w:val="center"/>
        </w:trPr>
        <w:tc>
          <w:tcPr>
            <w:tcW w:w="220" w:type="pct"/>
            <w:vAlign w:val="center"/>
          </w:tcPr>
          <w:p w14:paraId="577AECEA">
            <w:pPr>
              <w:spacing w:line="0" w:lineRule="atLeast"/>
              <w:jc w:val="center"/>
              <w:rPr>
                <w:rFonts w:ascii="Times New Roman"/>
                <w:sz w:val="21"/>
                <w:szCs w:val="21"/>
              </w:rPr>
            </w:pPr>
            <w:r>
              <w:rPr>
                <w:rFonts w:ascii="Times New Roman"/>
                <w:sz w:val="21"/>
                <w:szCs w:val="21"/>
              </w:rPr>
              <w:t>3</w:t>
            </w:r>
          </w:p>
        </w:tc>
        <w:tc>
          <w:tcPr>
            <w:tcW w:w="602" w:type="pct"/>
            <w:vAlign w:val="center"/>
          </w:tcPr>
          <w:p w14:paraId="0F327CE4">
            <w:pPr>
              <w:spacing w:line="0" w:lineRule="atLeast"/>
              <w:jc w:val="center"/>
              <w:rPr>
                <w:rFonts w:ascii="Times New Roman"/>
                <w:sz w:val="21"/>
                <w:szCs w:val="21"/>
              </w:rPr>
            </w:pPr>
            <w:r>
              <w:rPr>
                <w:rFonts w:hint="eastAsia" w:ascii="Times New Roman"/>
                <w:sz w:val="21"/>
                <w:szCs w:val="21"/>
              </w:rPr>
              <w:t>危化库</w:t>
            </w:r>
          </w:p>
        </w:tc>
        <w:tc>
          <w:tcPr>
            <w:tcW w:w="693" w:type="pct"/>
            <w:vAlign w:val="center"/>
          </w:tcPr>
          <w:p w14:paraId="0A2E448A">
            <w:pPr>
              <w:spacing w:line="0" w:lineRule="atLeast"/>
              <w:jc w:val="center"/>
              <w:rPr>
                <w:rFonts w:ascii="Times New Roman"/>
                <w:sz w:val="21"/>
                <w:szCs w:val="21"/>
              </w:rPr>
            </w:pPr>
            <w:r>
              <w:rPr>
                <w:rFonts w:ascii="Times New Roman"/>
                <w:sz w:val="21"/>
                <w:szCs w:val="21"/>
              </w:rPr>
              <w:t>垂直入渗影响区监测点</w:t>
            </w:r>
          </w:p>
        </w:tc>
        <w:tc>
          <w:tcPr>
            <w:tcW w:w="672" w:type="pct"/>
            <w:vAlign w:val="center"/>
          </w:tcPr>
          <w:p w14:paraId="387A96FB">
            <w:pPr>
              <w:spacing w:line="0" w:lineRule="atLeast"/>
              <w:jc w:val="center"/>
              <w:rPr>
                <w:rFonts w:ascii="Times New Roman"/>
                <w:sz w:val="21"/>
                <w:szCs w:val="21"/>
              </w:rPr>
            </w:pPr>
            <w:r>
              <w:rPr>
                <w:rFonts w:ascii="Times New Roman"/>
                <w:sz w:val="21"/>
                <w:szCs w:val="21"/>
              </w:rPr>
              <w:t>0.2m</w:t>
            </w:r>
          </w:p>
        </w:tc>
        <w:tc>
          <w:tcPr>
            <w:tcW w:w="448" w:type="pct"/>
            <w:vMerge w:val="continue"/>
            <w:vAlign w:val="center"/>
          </w:tcPr>
          <w:p w14:paraId="16E984D8">
            <w:pPr>
              <w:widowControl/>
              <w:spacing w:line="0" w:lineRule="atLeast"/>
              <w:jc w:val="left"/>
              <w:rPr>
                <w:rFonts w:ascii="Times New Roman"/>
                <w:sz w:val="21"/>
                <w:szCs w:val="21"/>
              </w:rPr>
            </w:pPr>
          </w:p>
        </w:tc>
        <w:tc>
          <w:tcPr>
            <w:tcW w:w="1120" w:type="pct"/>
            <w:vAlign w:val="center"/>
          </w:tcPr>
          <w:p w14:paraId="582B6D43">
            <w:pPr>
              <w:spacing w:line="0" w:lineRule="atLeast"/>
              <w:jc w:val="center"/>
              <w:rPr>
                <w:rFonts w:ascii="Times New Roman"/>
                <w:sz w:val="21"/>
                <w:szCs w:val="21"/>
              </w:rPr>
            </w:pPr>
            <w:r>
              <w:rPr>
                <w:rFonts w:ascii="Times New Roman"/>
                <w:kern w:val="0"/>
                <w:sz w:val="21"/>
                <w:szCs w:val="21"/>
              </w:rPr>
              <w:t>间二甲苯、对二甲苯、邻二甲苯</w:t>
            </w:r>
            <w:r>
              <w:rPr>
                <w:rFonts w:hint="eastAsia" w:ascii="Times New Roman"/>
                <w:kern w:val="0"/>
                <w:sz w:val="21"/>
                <w:szCs w:val="21"/>
              </w:rPr>
              <w:t>、石油烃</w:t>
            </w:r>
          </w:p>
        </w:tc>
        <w:tc>
          <w:tcPr>
            <w:tcW w:w="1241" w:type="pct"/>
            <w:vMerge w:val="continue"/>
            <w:vAlign w:val="center"/>
          </w:tcPr>
          <w:p w14:paraId="257A2434">
            <w:pPr>
              <w:spacing w:line="0" w:lineRule="atLeast"/>
              <w:jc w:val="center"/>
              <w:rPr>
                <w:rFonts w:ascii="Times New Roman"/>
                <w:sz w:val="21"/>
                <w:szCs w:val="21"/>
              </w:rPr>
            </w:pPr>
          </w:p>
        </w:tc>
      </w:tr>
    </w:tbl>
    <w:p w14:paraId="6631B077">
      <w:pPr>
        <w:spacing w:line="520" w:lineRule="exact"/>
        <w:outlineLvl w:val="3"/>
        <w:rPr>
          <w:rFonts w:ascii="Times New Roman"/>
          <w:b/>
          <w:sz w:val="24"/>
          <w:szCs w:val="24"/>
        </w:rPr>
      </w:pPr>
      <w:r>
        <w:rPr>
          <w:rFonts w:ascii="Times New Roman"/>
          <w:b/>
          <w:sz w:val="24"/>
          <w:szCs w:val="24"/>
        </w:rPr>
        <w:t>5.2.8.7土壤评价结论</w:t>
      </w:r>
    </w:p>
    <w:p w14:paraId="76CCD06A">
      <w:pPr>
        <w:spacing w:line="480" w:lineRule="exact"/>
        <w:ind w:firstLine="480" w:firstLineChars="200"/>
        <w:rPr>
          <w:rFonts w:ascii="Times New Roman"/>
          <w:sz w:val="24"/>
          <w:szCs w:val="24"/>
        </w:rPr>
      </w:pPr>
      <w:r>
        <w:rPr>
          <w:rFonts w:ascii="Times New Roman"/>
          <w:bCs/>
          <w:sz w:val="24"/>
          <w:szCs w:val="24"/>
        </w:rPr>
        <w:t>项目土壤污染物预测值均小于《土壤环境质量建设用地土壤污染风险管控标准（试行）》(GB36600-2018)表1第二类用地筛选值及</w:t>
      </w:r>
      <w:r>
        <w:rPr>
          <w:rFonts w:ascii="Times New Roman"/>
          <w:sz w:val="24"/>
          <w:szCs w:val="24"/>
        </w:rPr>
        <w:t>《建设用地土壤污染风险筛选值》（DB13/T5216-2020）表1相关标准要求</w:t>
      </w:r>
      <w:r>
        <w:rPr>
          <w:rFonts w:ascii="Times New Roman"/>
          <w:bCs/>
          <w:sz w:val="24"/>
          <w:szCs w:val="24"/>
        </w:rPr>
        <w:t>；由影响分析结果可知，本项目建成运营过程中对土壤环境的影响是可接受的；严格按要求落实废气治理措施及分区防腐防渗措施，从土壤环境影响的角度，建设项目可行</w:t>
      </w:r>
      <w:r>
        <w:rPr>
          <w:rFonts w:ascii="Times New Roman"/>
          <w:sz w:val="24"/>
          <w:szCs w:val="24"/>
        </w:rPr>
        <w:t>。</w:t>
      </w:r>
    </w:p>
    <w:p w14:paraId="56AE301F">
      <w:pPr>
        <w:spacing w:line="520" w:lineRule="exact"/>
        <w:outlineLvl w:val="3"/>
        <w:rPr>
          <w:rFonts w:ascii="Times New Roman"/>
          <w:b/>
          <w:sz w:val="24"/>
          <w:szCs w:val="24"/>
        </w:rPr>
      </w:pPr>
      <w:r>
        <w:rPr>
          <w:rFonts w:ascii="Times New Roman"/>
          <w:b/>
          <w:sz w:val="24"/>
          <w:szCs w:val="24"/>
        </w:rPr>
        <w:t>5.2.8.8土壤环境影响评价自查表</w:t>
      </w:r>
    </w:p>
    <w:p w14:paraId="30FE531B">
      <w:pPr>
        <w:kinsoku w:val="0"/>
        <w:overflowPunct w:val="0"/>
        <w:adjustRightInd w:val="0"/>
        <w:snapToGrid w:val="0"/>
        <w:spacing w:line="480" w:lineRule="exact"/>
        <w:jc w:val="center"/>
        <w:rPr>
          <w:rFonts w:ascii="Times New Roman"/>
          <w:b/>
          <w:snapToGrid w:val="0"/>
          <w:sz w:val="24"/>
          <w:szCs w:val="24"/>
          <w:lang w:val="zh-CN"/>
        </w:rPr>
      </w:pPr>
      <w:r>
        <w:rPr>
          <w:rFonts w:ascii="Times New Roman"/>
          <w:b/>
          <w:snapToGrid w:val="0"/>
          <w:sz w:val="24"/>
          <w:szCs w:val="24"/>
          <w:lang w:val="zh-CN"/>
        </w:rPr>
        <w:t>表</w:t>
      </w:r>
      <w:r>
        <w:rPr>
          <w:rFonts w:hint="eastAsia" w:ascii="Times New Roman"/>
          <w:b/>
          <w:snapToGrid w:val="0"/>
          <w:sz w:val="24"/>
          <w:szCs w:val="24"/>
        </w:rPr>
        <w:t>5.2.8-9</w:t>
      </w:r>
      <w:r>
        <w:rPr>
          <w:rFonts w:ascii="Times New Roman"/>
          <w:b/>
          <w:snapToGrid w:val="0"/>
          <w:sz w:val="24"/>
          <w:szCs w:val="24"/>
          <w:lang w:val="zh-CN"/>
        </w:rPr>
        <w:t xml:space="preserve">  土壤环境影响评价自查表</w:t>
      </w:r>
    </w:p>
    <w:tbl>
      <w:tblPr>
        <w:tblStyle w:val="1041"/>
        <w:tblW w:w="4974"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325"/>
        <w:gridCol w:w="1536"/>
        <w:gridCol w:w="1205"/>
        <w:gridCol w:w="138"/>
        <w:gridCol w:w="1035"/>
        <w:gridCol w:w="213"/>
        <w:gridCol w:w="1210"/>
        <w:gridCol w:w="797"/>
        <w:gridCol w:w="923"/>
        <w:gridCol w:w="937"/>
      </w:tblGrid>
      <w:tr w14:paraId="4ECAD5F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119" w:type="pct"/>
            <w:gridSpan w:val="2"/>
            <w:tcBorders>
              <w:tl2br w:val="nil"/>
              <w:tr2bl w:val="nil"/>
            </w:tcBorders>
            <w:shd w:val="clear" w:color="auto" w:fill="auto"/>
            <w:tcMar>
              <w:left w:w="28" w:type="dxa"/>
              <w:right w:w="28" w:type="dxa"/>
            </w:tcMar>
            <w:vAlign w:val="center"/>
          </w:tcPr>
          <w:p w14:paraId="039BD5A0">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工作内容</w:t>
            </w:r>
          </w:p>
        </w:tc>
        <w:tc>
          <w:tcPr>
            <w:tcW w:w="3318" w:type="pct"/>
            <w:gridSpan w:val="7"/>
            <w:tcBorders>
              <w:tl2br w:val="nil"/>
              <w:tr2bl w:val="nil"/>
            </w:tcBorders>
            <w:shd w:val="clear" w:color="auto" w:fill="auto"/>
            <w:tcMar>
              <w:left w:w="28" w:type="dxa"/>
              <w:right w:w="28" w:type="dxa"/>
            </w:tcMar>
            <w:vAlign w:val="center"/>
          </w:tcPr>
          <w:p w14:paraId="039105E8">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完成情况</w:t>
            </w:r>
          </w:p>
        </w:tc>
        <w:tc>
          <w:tcPr>
            <w:tcW w:w="561" w:type="pct"/>
            <w:tcBorders>
              <w:tl2br w:val="nil"/>
              <w:tr2bl w:val="nil"/>
            </w:tcBorders>
            <w:shd w:val="clear" w:color="auto" w:fill="auto"/>
            <w:tcMar>
              <w:left w:w="28" w:type="dxa"/>
              <w:right w:w="28" w:type="dxa"/>
            </w:tcMar>
            <w:vAlign w:val="center"/>
          </w:tcPr>
          <w:p w14:paraId="1D3B1379">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备注</w:t>
            </w:r>
          </w:p>
        </w:tc>
      </w:tr>
      <w:tr w14:paraId="32DC867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restart"/>
            <w:tcBorders>
              <w:tl2br w:val="nil"/>
              <w:tr2bl w:val="nil"/>
            </w:tcBorders>
            <w:shd w:val="clear" w:color="auto" w:fill="auto"/>
            <w:tcMar>
              <w:left w:w="28" w:type="dxa"/>
              <w:right w:w="28" w:type="dxa"/>
            </w:tcMar>
            <w:vAlign w:val="center"/>
          </w:tcPr>
          <w:p w14:paraId="795E25C9">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影响识别</w:t>
            </w:r>
          </w:p>
        </w:tc>
        <w:tc>
          <w:tcPr>
            <w:tcW w:w="923" w:type="pct"/>
            <w:shd w:val="clear" w:color="auto" w:fill="auto"/>
            <w:tcMar>
              <w:left w:w="28" w:type="dxa"/>
              <w:right w:w="28" w:type="dxa"/>
            </w:tcMar>
            <w:vAlign w:val="center"/>
          </w:tcPr>
          <w:p w14:paraId="2FFC835A">
            <w:pPr>
              <w:spacing w:line="320" w:lineRule="exact"/>
              <w:jc w:val="center"/>
              <w:rPr>
                <w:rFonts w:ascii="Times New Roman"/>
                <w:snapToGrid w:val="0"/>
                <w:sz w:val="21"/>
                <w:szCs w:val="21"/>
                <w:lang w:eastAsia="en-US"/>
              </w:rPr>
            </w:pPr>
            <w:r>
              <w:rPr>
                <w:rFonts w:ascii="Times New Roman"/>
                <w:snapToGrid w:val="0"/>
                <w:sz w:val="21"/>
                <w:szCs w:val="21"/>
                <w:lang w:eastAsia="en-US"/>
              </w:rPr>
              <w:t>影响类型</w:t>
            </w:r>
          </w:p>
        </w:tc>
        <w:tc>
          <w:tcPr>
            <w:tcW w:w="3318" w:type="pct"/>
            <w:gridSpan w:val="7"/>
            <w:shd w:val="clear" w:color="auto" w:fill="auto"/>
            <w:tcMar>
              <w:left w:w="28" w:type="dxa"/>
              <w:right w:w="28" w:type="dxa"/>
            </w:tcMar>
            <w:vAlign w:val="center"/>
          </w:tcPr>
          <w:p w14:paraId="7C05BC17">
            <w:pPr>
              <w:spacing w:line="320" w:lineRule="exact"/>
              <w:jc w:val="center"/>
              <w:rPr>
                <w:rFonts w:ascii="Times New Roman"/>
                <w:snapToGrid w:val="0"/>
                <w:sz w:val="21"/>
                <w:szCs w:val="21"/>
              </w:rPr>
            </w:pPr>
            <w:r>
              <w:rPr>
                <w:rFonts w:ascii="Times New Roman"/>
                <w:snapToGrid w:val="0"/>
                <w:sz w:val="21"/>
                <w:szCs w:val="21"/>
              </w:rPr>
              <w:t>污染影响型√；生态影响型□；两种兼有□</w:t>
            </w:r>
          </w:p>
        </w:tc>
        <w:tc>
          <w:tcPr>
            <w:tcW w:w="561" w:type="pct"/>
            <w:shd w:val="clear" w:color="auto" w:fill="auto"/>
            <w:tcMar>
              <w:left w:w="28" w:type="dxa"/>
              <w:right w:w="28" w:type="dxa"/>
            </w:tcMar>
            <w:vAlign w:val="center"/>
          </w:tcPr>
          <w:p w14:paraId="1748B364">
            <w:pPr>
              <w:spacing w:line="320" w:lineRule="exact"/>
              <w:jc w:val="center"/>
              <w:rPr>
                <w:rFonts w:ascii="Times New Roman"/>
                <w:snapToGrid w:val="0"/>
                <w:sz w:val="21"/>
                <w:szCs w:val="21"/>
              </w:rPr>
            </w:pPr>
          </w:p>
        </w:tc>
      </w:tr>
      <w:tr w14:paraId="77C23D6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34DD683E">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1329D60F">
            <w:pPr>
              <w:spacing w:line="320" w:lineRule="exact"/>
              <w:jc w:val="center"/>
              <w:rPr>
                <w:rFonts w:ascii="Times New Roman"/>
                <w:snapToGrid w:val="0"/>
                <w:sz w:val="21"/>
                <w:szCs w:val="21"/>
                <w:lang w:eastAsia="en-US"/>
              </w:rPr>
            </w:pPr>
            <w:r>
              <w:rPr>
                <w:rFonts w:ascii="Times New Roman"/>
                <w:snapToGrid w:val="0"/>
                <w:sz w:val="21"/>
                <w:szCs w:val="21"/>
                <w:lang w:eastAsia="en-US"/>
              </w:rPr>
              <w:t>土地利用类型</w:t>
            </w:r>
          </w:p>
        </w:tc>
        <w:tc>
          <w:tcPr>
            <w:tcW w:w="3318" w:type="pct"/>
            <w:gridSpan w:val="7"/>
            <w:shd w:val="clear" w:color="auto" w:fill="auto"/>
            <w:tcMar>
              <w:left w:w="28" w:type="dxa"/>
              <w:right w:w="28" w:type="dxa"/>
            </w:tcMar>
            <w:vAlign w:val="center"/>
          </w:tcPr>
          <w:p w14:paraId="05BC1590">
            <w:pPr>
              <w:spacing w:line="320" w:lineRule="exact"/>
              <w:jc w:val="center"/>
              <w:rPr>
                <w:rFonts w:ascii="Times New Roman"/>
                <w:snapToGrid w:val="0"/>
                <w:sz w:val="21"/>
                <w:szCs w:val="21"/>
              </w:rPr>
            </w:pPr>
            <w:r>
              <w:rPr>
                <w:rFonts w:ascii="Times New Roman"/>
                <w:snapToGrid w:val="0"/>
                <w:sz w:val="21"/>
                <w:szCs w:val="21"/>
              </w:rPr>
              <w:t>建设用地√；农用地□；未利用地□</w:t>
            </w:r>
          </w:p>
        </w:tc>
        <w:tc>
          <w:tcPr>
            <w:tcW w:w="561" w:type="pct"/>
            <w:shd w:val="clear" w:color="auto" w:fill="auto"/>
            <w:tcMar>
              <w:left w:w="28" w:type="dxa"/>
              <w:right w:w="28" w:type="dxa"/>
            </w:tcMar>
            <w:vAlign w:val="center"/>
          </w:tcPr>
          <w:p w14:paraId="5A50D6EF">
            <w:pPr>
              <w:spacing w:line="320" w:lineRule="exact"/>
              <w:jc w:val="center"/>
              <w:rPr>
                <w:rFonts w:ascii="Times New Roman"/>
                <w:snapToGrid w:val="0"/>
                <w:sz w:val="21"/>
                <w:szCs w:val="21"/>
                <w:lang w:eastAsia="en-US"/>
              </w:rPr>
            </w:pPr>
            <w:r>
              <w:rPr>
                <w:rFonts w:ascii="Times New Roman"/>
                <w:snapToGrid w:val="0"/>
                <w:sz w:val="21"/>
                <w:szCs w:val="21"/>
                <w:lang w:eastAsia="en-US"/>
              </w:rPr>
              <w:t>土地利用类型图</w:t>
            </w:r>
          </w:p>
        </w:tc>
      </w:tr>
      <w:tr w14:paraId="3CCCED3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291BB29D">
            <w:pPr>
              <w:spacing w:line="320" w:lineRule="exact"/>
              <w:jc w:val="center"/>
              <w:rPr>
                <w:rFonts w:ascii="Times New Roman"/>
                <w:b/>
                <w:bCs w:val="0"/>
                <w:snapToGrid w:val="0"/>
                <w:sz w:val="21"/>
                <w:szCs w:val="21"/>
                <w:lang w:eastAsia="en-US"/>
              </w:rPr>
            </w:pPr>
          </w:p>
        </w:tc>
        <w:tc>
          <w:tcPr>
            <w:tcW w:w="923" w:type="pct"/>
            <w:shd w:val="clear" w:color="auto" w:fill="auto"/>
            <w:tcMar>
              <w:left w:w="28" w:type="dxa"/>
              <w:right w:w="28" w:type="dxa"/>
            </w:tcMar>
            <w:vAlign w:val="center"/>
          </w:tcPr>
          <w:p w14:paraId="223DCDB1">
            <w:pPr>
              <w:spacing w:line="320" w:lineRule="exact"/>
              <w:jc w:val="center"/>
              <w:rPr>
                <w:rFonts w:ascii="Times New Roman"/>
                <w:snapToGrid w:val="0"/>
                <w:sz w:val="21"/>
                <w:szCs w:val="21"/>
                <w:lang w:eastAsia="en-US"/>
              </w:rPr>
            </w:pPr>
            <w:r>
              <w:rPr>
                <w:rFonts w:ascii="Times New Roman"/>
                <w:snapToGrid w:val="0"/>
                <w:sz w:val="21"/>
                <w:szCs w:val="21"/>
                <w:lang w:eastAsia="en-US"/>
              </w:rPr>
              <w:t>占地规模</w:t>
            </w:r>
          </w:p>
        </w:tc>
        <w:tc>
          <w:tcPr>
            <w:tcW w:w="3318" w:type="pct"/>
            <w:gridSpan w:val="7"/>
            <w:shd w:val="clear" w:color="auto" w:fill="auto"/>
            <w:tcMar>
              <w:left w:w="28" w:type="dxa"/>
              <w:right w:w="28" w:type="dxa"/>
            </w:tcMar>
            <w:vAlign w:val="center"/>
          </w:tcPr>
          <w:p w14:paraId="1B944F8C">
            <w:pPr>
              <w:spacing w:line="320" w:lineRule="exact"/>
              <w:jc w:val="center"/>
              <w:rPr>
                <w:rFonts w:ascii="Times New Roman"/>
                <w:snapToGrid w:val="0"/>
                <w:sz w:val="21"/>
                <w:szCs w:val="21"/>
                <w:lang w:eastAsia="en-US"/>
              </w:rPr>
            </w:pPr>
            <w:r>
              <w:rPr>
                <w:rFonts w:ascii="Times New Roman"/>
                <w:snapToGrid w:val="0"/>
                <w:sz w:val="21"/>
                <w:szCs w:val="21"/>
                <w:lang w:eastAsia="en-US"/>
              </w:rPr>
              <w:t>（</w:t>
            </w:r>
            <w:r>
              <w:rPr>
                <w:rFonts w:hint="eastAsia" w:ascii="Times New Roman"/>
                <w:snapToGrid w:val="0"/>
                <w:sz w:val="21"/>
                <w:szCs w:val="21"/>
              </w:rPr>
              <w:t>20</w:t>
            </w:r>
            <w:r>
              <w:rPr>
                <w:rFonts w:ascii="Times New Roman"/>
                <w:snapToGrid w:val="0"/>
                <w:sz w:val="21"/>
                <w:szCs w:val="21"/>
                <w:lang w:eastAsia="en-US"/>
              </w:rPr>
              <w:t>）hm</w:t>
            </w:r>
            <w:r>
              <w:rPr>
                <w:rFonts w:ascii="Times New Roman"/>
                <w:snapToGrid w:val="0"/>
                <w:sz w:val="21"/>
                <w:szCs w:val="21"/>
                <w:vertAlign w:val="superscript"/>
                <w:lang w:eastAsia="en-US"/>
              </w:rPr>
              <w:t>2</w:t>
            </w:r>
          </w:p>
        </w:tc>
        <w:tc>
          <w:tcPr>
            <w:tcW w:w="561" w:type="pct"/>
            <w:shd w:val="clear" w:color="auto" w:fill="auto"/>
            <w:tcMar>
              <w:left w:w="28" w:type="dxa"/>
              <w:right w:w="28" w:type="dxa"/>
            </w:tcMar>
            <w:vAlign w:val="center"/>
          </w:tcPr>
          <w:p w14:paraId="49FA0CA7">
            <w:pPr>
              <w:spacing w:line="320" w:lineRule="exact"/>
              <w:jc w:val="center"/>
              <w:rPr>
                <w:rFonts w:ascii="Times New Roman"/>
                <w:snapToGrid w:val="0"/>
                <w:sz w:val="21"/>
                <w:szCs w:val="21"/>
                <w:lang w:eastAsia="en-US"/>
              </w:rPr>
            </w:pPr>
          </w:p>
        </w:tc>
      </w:tr>
      <w:tr w14:paraId="6E94973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4A665E4F">
            <w:pPr>
              <w:spacing w:line="320" w:lineRule="exact"/>
              <w:jc w:val="center"/>
              <w:rPr>
                <w:rFonts w:ascii="Times New Roman"/>
                <w:b/>
                <w:bCs w:val="0"/>
                <w:snapToGrid w:val="0"/>
                <w:sz w:val="21"/>
                <w:szCs w:val="21"/>
                <w:lang w:eastAsia="en-US"/>
              </w:rPr>
            </w:pPr>
          </w:p>
        </w:tc>
        <w:tc>
          <w:tcPr>
            <w:tcW w:w="923" w:type="pct"/>
            <w:vMerge w:val="restart"/>
            <w:shd w:val="clear" w:color="auto" w:fill="auto"/>
            <w:tcMar>
              <w:left w:w="28" w:type="dxa"/>
              <w:right w:w="28" w:type="dxa"/>
            </w:tcMar>
            <w:vAlign w:val="center"/>
          </w:tcPr>
          <w:p w14:paraId="54B5108B">
            <w:pPr>
              <w:spacing w:line="320" w:lineRule="exact"/>
              <w:jc w:val="center"/>
              <w:rPr>
                <w:rFonts w:ascii="Times New Roman"/>
                <w:snapToGrid w:val="0"/>
                <w:sz w:val="21"/>
                <w:szCs w:val="21"/>
                <w:lang w:eastAsia="en-US"/>
              </w:rPr>
            </w:pPr>
            <w:r>
              <w:rPr>
                <w:rFonts w:ascii="Times New Roman"/>
                <w:snapToGrid w:val="0"/>
                <w:sz w:val="21"/>
                <w:szCs w:val="21"/>
                <w:lang w:eastAsia="en-US"/>
              </w:rPr>
              <w:t>敏感目标信息</w:t>
            </w:r>
          </w:p>
        </w:tc>
        <w:tc>
          <w:tcPr>
            <w:tcW w:w="3318" w:type="pct"/>
            <w:gridSpan w:val="7"/>
            <w:shd w:val="clear" w:color="auto" w:fill="auto"/>
            <w:tcMar>
              <w:left w:w="28" w:type="dxa"/>
              <w:right w:w="28" w:type="dxa"/>
            </w:tcMar>
            <w:vAlign w:val="center"/>
          </w:tcPr>
          <w:p w14:paraId="738DEE95">
            <w:pPr>
              <w:spacing w:line="320" w:lineRule="exact"/>
              <w:jc w:val="center"/>
              <w:rPr>
                <w:rFonts w:ascii="Times New Roman"/>
                <w:snapToGrid w:val="0"/>
                <w:sz w:val="21"/>
                <w:szCs w:val="21"/>
              </w:rPr>
            </w:pPr>
            <w:r>
              <w:rPr>
                <w:rFonts w:ascii="Times New Roman"/>
                <w:snapToGrid w:val="0"/>
                <w:sz w:val="21"/>
                <w:szCs w:val="21"/>
              </w:rPr>
              <w:t>敏感目标（无）、方位（/）、距离（/）</w:t>
            </w:r>
          </w:p>
        </w:tc>
        <w:tc>
          <w:tcPr>
            <w:tcW w:w="561" w:type="pct"/>
            <w:shd w:val="clear" w:color="auto" w:fill="auto"/>
            <w:tcMar>
              <w:left w:w="28" w:type="dxa"/>
              <w:right w:w="28" w:type="dxa"/>
            </w:tcMar>
            <w:vAlign w:val="center"/>
          </w:tcPr>
          <w:p w14:paraId="7114A27F">
            <w:pPr>
              <w:spacing w:line="320" w:lineRule="exact"/>
              <w:jc w:val="center"/>
              <w:rPr>
                <w:rFonts w:ascii="Times New Roman"/>
                <w:snapToGrid w:val="0"/>
                <w:sz w:val="21"/>
                <w:szCs w:val="21"/>
              </w:rPr>
            </w:pPr>
          </w:p>
        </w:tc>
      </w:tr>
      <w:tr w14:paraId="2B90528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162CBEE0">
            <w:pPr>
              <w:spacing w:line="320" w:lineRule="exact"/>
              <w:jc w:val="center"/>
              <w:rPr>
                <w:rFonts w:ascii="Times New Roman"/>
                <w:b/>
                <w:bCs w:val="0"/>
                <w:snapToGrid w:val="0"/>
                <w:sz w:val="21"/>
                <w:szCs w:val="21"/>
              </w:rPr>
            </w:pPr>
          </w:p>
        </w:tc>
        <w:tc>
          <w:tcPr>
            <w:tcW w:w="923" w:type="pct"/>
            <w:vMerge w:val="continue"/>
            <w:shd w:val="clear" w:color="auto" w:fill="auto"/>
            <w:tcMar>
              <w:left w:w="28" w:type="dxa"/>
              <w:right w:w="28" w:type="dxa"/>
            </w:tcMar>
            <w:vAlign w:val="center"/>
          </w:tcPr>
          <w:p w14:paraId="2C0386AE">
            <w:pPr>
              <w:spacing w:line="320" w:lineRule="exact"/>
              <w:jc w:val="center"/>
              <w:rPr>
                <w:rFonts w:ascii="Times New Roman"/>
                <w:snapToGrid w:val="0"/>
                <w:sz w:val="21"/>
                <w:szCs w:val="21"/>
              </w:rPr>
            </w:pPr>
          </w:p>
        </w:tc>
        <w:tc>
          <w:tcPr>
            <w:tcW w:w="3318" w:type="pct"/>
            <w:gridSpan w:val="7"/>
            <w:shd w:val="clear" w:color="auto" w:fill="auto"/>
            <w:tcMar>
              <w:left w:w="28" w:type="dxa"/>
              <w:right w:w="28" w:type="dxa"/>
            </w:tcMar>
            <w:vAlign w:val="center"/>
          </w:tcPr>
          <w:p w14:paraId="5C24D830">
            <w:pPr>
              <w:spacing w:line="320" w:lineRule="exact"/>
              <w:jc w:val="center"/>
              <w:rPr>
                <w:rFonts w:ascii="Times New Roman"/>
                <w:snapToGrid w:val="0"/>
                <w:sz w:val="21"/>
                <w:szCs w:val="21"/>
              </w:rPr>
            </w:pPr>
            <w:r>
              <w:rPr>
                <w:rFonts w:ascii="Times New Roman"/>
                <w:snapToGrid w:val="0"/>
                <w:sz w:val="21"/>
                <w:szCs w:val="21"/>
              </w:rPr>
              <w:t>敏感目标（无）、方位（/）、距离（/）</w:t>
            </w:r>
          </w:p>
        </w:tc>
        <w:tc>
          <w:tcPr>
            <w:tcW w:w="561" w:type="pct"/>
            <w:shd w:val="clear" w:color="auto" w:fill="auto"/>
            <w:tcMar>
              <w:left w:w="28" w:type="dxa"/>
              <w:right w:w="28" w:type="dxa"/>
            </w:tcMar>
            <w:vAlign w:val="center"/>
          </w:tcPr>
          <w:p w14:paraId="1AAC6E00">
            <w:pPr>
              <w:spacing w:line="320" w:lineRule="exact"/>
              <w:jc w:val="center"/>
              <w:rPr>
                <w:rFonts w:ascii="Times New Roman"/>
                <w:snapToGrid w:val="0"/>
                <w:sz w:val="21"/>
                <w:szCs w:val="21"/>
              </w:rPr>
            </w:pPr>
          </w:p>
        </w:tc>
      </w:tr>
      <w:tr w14:paraId="0C02D51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4DD0474F">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427C5969">
            <w:pPr>
              <w:spacing w:line="320" w:lineRule="exact"/>
              <w:jc w:val="center"/>
              <w:rPr>
                <w:rFonts w:ascii="Times New Roman"/>
                <w:snapToGrid w:val="0"/>
                <w:sz w:val="21"/>
                <w:szCs w:val="21"/>
                <w:lang w:eastAsia="en-US"/>
              </w:rPr>
            </w:pPr>
            <w:r>
              <w:rPr>
                <w:rFonts w:ascii="Times New Roman"/>
                <w:snapToGrid w:val="0"/>
                <w:sz w:val="21"/>
                <w:szCs w:val="21"/>
                <w:lang w:eastAsia="en-US"/>
              </w:rPr>
              <w:t>影响途径</w:t>
            </w:r>
          </w:p>
        </w:tc>
        <w:tc>
          <w:tcPr>
            <w:tcW w:w="3318" w:type="pct"/>
            <w:gridSpan w:val="7"/>
            <w:shd w:val="clear" w:color="auto" w:fill="auto"/>
            <w:tcMar>
              <w:left w:w="28" w:type="dxa"/>
              <w:right w:w="28" w:type="dxa"/>
            </w:tcMar>
            <w:vAlign w:val="center"/>
          </w:tcPr>
          <w:p w14:paraId="62B856B6">
            <w:pPr>
              <w:spacing w:line="320" w:lineRule="exact"/>
              <w:jc w:val="center"/>
              <w:rPr>
                <w:rFonts w:ascii="Times New Roman"/>
                <w:snapToGrid w:val="0"/>
                <w:sz w:val="21"/>
                <w:szCs w:val="21"/>
              </w:rPr>
            </w:pPr>
            <w:r>
              <w:rPr>
                <w:rFonts w:ascii="Times New Roman"/>
                <w:snapToGrid w:val="0"/>
                <w:sz w:val="21"/>
                <w:szCs w:val="21"/>
              </w:rPr>
              <w:t>大气沉降</w:t>
            </w:r>
            <w:r>
              <w:rPr>
                <w:rFonts w:hint="eastAsia" w:ascii="Times New Roman"/>
                <w:snapToGrid w:val="0"/>
                <w:sz w:val="21"/>
                <w:szCs w:val="21"/>
              </w:rPr>
              <w:t>☑</w:t>
            </w:r>
            <w:r>
              <w:rPr>
                <w:rFonts w:ascii="Times New Roman"/>
                <w:snapToGrid w:val="0"/>
                <w:sz w:val="21"/>
                <w:szCs w:val="21"/>
              </w:rPr>
              <w:t>；地面漫流□；垂直入渗√；地下水位□；其他□</w:t>
            </w:r>
          </w:p>
        </w:tc>
        <w:tc>
          <w:tcPr>
            <w:tcW w:w="561" w:type="pct"/>
            <w:shd w:val="clear" w:color="auto" w:fill="auto"/>
            <w:tcMar>
              <w:left w:w="28" w:type="dxa"/>
              <w:right w:w="28" w:type="dxa"/>
            </w:tcMar>
            <w:vAlign w:val="center"/>
          </w:tcPr>
          <w:p w14:paraId="257178EA">
            <w:pPr>
              <w:spacing w:line="320" w:lineRule="exact"/>
              <w:jc w:val="center"/>
              <w:rPr>
                <w:rFonts w:ascii="Times New Roman"/>
                <w:snapToGrid w:val="0"/>
                <w:sz w:val="21"/>
                <w:szCs w:val="21"/>
              </w:rPr>
            </w:pPr>
          </w:p>
        </w:tc>
      </w:tr>
      <w:tr w14:paraId="3281E39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0B549348">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645F9099">
            <w:pPr>
              <w:spacing w:line="320" w:lineRule="exact"/>
              <w:jc w:val="center"/>
              <w:rPr>
                <w:rFonts w:ascii="Times New Roman"/>
                <w:snapToGrid w:val="0"/>
                <w:sz w:val="21"/>
                <w:szCs w:val="21"/>
                <w:lang w:eastAsia="en-US"/>
              </w:rPr>
            </w:pPr>
            <w:r>
              <w:rPr>
                <w:rFonts w:ascii="Times New Roman"/>
                <w:snapToGrid w:val="0"/>
                <w:sz w:val="21"/>
                <w:szCs w:val="21"/>
                <w:lang w:eastAsia="en-US"/>
              </w:rPr>
              <w:t>全部污染物</w:t>
            </w:r>
          </w:p>
        </w:tc>
        <w:tc>
          <w:tcPr>
            <w:tcW w:w="3318" w:type="pct"/>
            <w:gridSpan w:val="7"/>
            <w:shd w:val="clear" w:color="auto" w:fill="auto"/>
            <w:tcMar>
              <w:left w:w="28" w:type="dxa"/>
              <w:right w:w="28" w:type="dxa"/>
            </w:tcMar>
            <w:vAlign w:val="center"/>
          </w:tcPr>
          <w:p w14:paraId="02AE6ACF">
            <w:pPr>
              <w:spacing w:line="320" w:lineRule="exact"/>
              <w:jc w:val="center"/>
              <w:rPr>
                <w:rFonts w:ascii="Times New Roman"/>
                <w:snapToGrid w:val="0"/>
                <w:sz w:val="21"/>
                <w:szCs w:val="21"/>
              </w:rPr>
            </w:pPr>
            <w:r>
              <w:rPr>
                <w:rFonts w:ascii="Times New Roman"/>
                <w:snapToGrid w:val="0"/>
                <w:sz w:val="21"/>
                <w:szCs w:val="21"/>
              </w:rPr>
              <w:t>二甲苯、石油烃</w:t>
            </w:r>
          </w:p>
        </w:tc>
        <w:tc>
          <w:tcPr>
            <w:tcW w:w="561" w:type="pct"/>
            <w:shd w:val="clear" w:color="auto" w:fill="auto"/>
            <w:tcMar>
              <w:left w:w="28" w:type="dxa"/>
              <w:right w:w="28" w:type="dxa"/>
            </w:tcMar>
            <w:vAlign w:val="center"/>
          </w:tcPr>
          <w:p w14:paraId="4276F42D">
            <w:pPr>
              <w:spacing w:line="320" w:lineRule="exact"/>
              <w:jc w:val="center"/>
              <w:rPr>
                <w:rFonts w:ascii="Times New Roman"/>
                <w:snapToGrid w:val="0"/>
                <w:sz w:val="21"/>
                <w:szCs w:val="21"/>
              </w:rPr>
            </w:pPr>
          </w:p>
        </w:tc>
      </w:tr>
      <w:tr w14:paraId="4581D82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10376101">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3ECCAAD4">
            <w:pPr>
              <w:spacing w:line="320" w:lineRule="exact"/>
              <w:jc w:val="center"/>
              <w:rPr>
                <w:rFonts w:ascii="Times New Roman"/>
                <w:snapToGrid w:val="0"/>
                <w:sz w:val="21"/>
                <w:szCs w:val="21"/>
                <w:lang w:eastAsia="en-US"/>
              </w:rPr>
            </w:pPr>
            <w:r>
              <w:rPr>
                <w:rFonts w:ascii="Times New Roman"/>
                <w:snapToGrid w:val="0"/>
                <w:sz w:val="21"/>
                <w:szCs w:val="21"/>
                <w:lang w:eastAsia="en-US"/>
              </w:rPr>
              <w:t>特征因子</w:t>
            </w:r>
          </w:p>
        </w:tc>
        <w:tc>
          <w:tcPr>
            <w:tcW w:w="3318" w:type="pct"/>
            <w:gridSpan w:val="7"/>
            <w:shd w:val="clear" w:color="auto" w:fill="auto"/>
            <w:tcMar>
              <w:left w:w="28" w:type="dxa"/>
              <w:right w:w="28" w:type="dxa"/>
            </w:tcMar>
            <w:vAlign w:val="center"/>
          </w:tcPr>
          <w:p w14:paraId="165FC650">
            <w:pPr>
              <w:spacing w:line="320" w:lineRule="exact"/>
              <w:jc w:val="center"/>
              <w:rPr>
                <w:rFonts w:ascii="Times New Roman"/>
                <w:snapToGrid w:val="0"/>
                <w:sz w:val="21"/>
                <w:szCs w:val="21"/>
                <w:lang w:eastAsia="en-US"/>
              </w:rPr>
            </w:pPr>
            <w:r>
              <w:rPr>
                <w:rFonts w:ascii="Times New Roman"/>
                <w:snapToGrid w:val="0"/>
                <w:sz w:val="21"/>
                <w:szCs w:val="21"/>
              </w:rPr>
              <w:t>二甲苯、石油烃</w:t>
            </w:r>
          </w:p>
        </w:tc>
        <w:tc>
          <w:tcPr>
            <w:tcW w:w="561" w:type="pct"/>
            <w:shd w:val="clear" w:color="auto" w:fill="auto"/>
            <w:tcMar>
              <w:left w:w="28" w:type="dxa"/>
              <w:right w:w="28" w:type="dxa"/>
            </w:tcMar>
            <w:vAlign w:val="center"/>
          </w:tcPr>
          <w:p w14:paraId="387CB545">
            <w:pPr>
              <w:spacing w:line="320" w:lineRule="exact"/>
              <w:jc w:val="center"/>
              <w:rPr>
                <w:rFonts w:ascii="Times New Roman"/>
                <w:snapToGrid w:val="0"/>
                <w:sz w:val="21"/>
                <w:szCs w:val="21"/>
                <w:lang w:eastAsia="en-US"/>
              </w:rPr>
            </w:pPr>
          </w:p>
        </w:tc>
      </w:tr>
      <w:tr w14:paraId="3CF27A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39F928E1">
            <w:pPr>
              <w:spacing w:line="320" w:lineRule="exact"/>
              <w:jc w:val="center"/>
              <w:rPr>
                <w:rFonts w:ascii="Times New Roman"/>
                <w:b/>
                <w:bCs w:val="0"/>
                <w:snapToGrid w:val="0"/>
                <w:sz w:val="21"/>
                <w:szCs w:val="21"/>
                <w:lang w:eastAsia="en-US"/>
              </w:rPr>
            </w:pPr>
          </w:p>
        </w:tc>
        <w:tc>
          <w:tcPr>
            <w:tcW w:w="923" w:type="pct"/>
            <w:shd w:val="clear" w:color="auto" w:fill="auto"/>
            <w:tcMar>
              <w:left w:w="28" w:type="dxa"/>
              <w:right w:w="28" w:type="dxa"/>
            </w:tcMar>
            <w:vAlign w:val="center"/>
          </w:tcPr>
          <w:p w14:paraId="07F9E07B">
            <w:pPr>
              <w:spacing w:line="320" w:lineRule="exact"/>
              <w:jc w:val="center"/>
              <w:rPr>
                <w:rFonts w:ascii="Times New Roman"/>
                <w:snapToGrid w:val="0"/>
                <w:sz w:val="21"/>
                <w:szCs w:val="21"/>
              </w:rPr>
            </w:pPr>
            <w:r>
              <w:rPr>
                <w:rFonts w:ascii="Times New Roman"/>
                <w:snapToGrid w:val="0"/>
                <w:sz w:val="21"/>
                <w:szCs w:val="21"/>
              </w:rPr>
              <w:t>所属土壤环境影响评价项目类别</w:t>
            </w:r>
          </w:p>
        </w:tc>
        <w:tc>
          <w:tcPr>
            <w:tcW w:w="3318" w:type="pct"/>
            <w:gridSpan w:val="7"/>
            <w:shd w:val="clear" w:color="auto" w:fill="auto"/>
            <w:tcMar>
              <w:left w:w="28" w:type="dxa"/>
              <w:right w:w="28" w:type="dxa"/>
            </w:tcMar>
            <w:vAlign w:val="center"/>
          </w:tcPr>
          <w:p w14:paraId="7258198D">
            <w:pPr>
              <w:spacing w:line="320" w:lineRule="exact"/>
              <w:jc w:val="center"/>
              <w:rPr>
                <w:rFonts w:ascii="Times New Roman"/>
                <w:snapToGrid w:val="0"/>
                <w:sz w:val="21"/>
                <w:szCs w:val="21"/>
              </w:rPr>
            </w:pPr>
            <w:r>
              <w:rPr>
                <w:rFonts w:ascii="Times New Roman"/>
                <w:snapToGrid w:val="0"/>
                <w:sz w:val="21"/>
                <w:szCs w:val="21"/>
              </w:rPr>
              <w:t>Ⅰ类√；Ⅱ类□；Ⅲ类□；Ⅳ类□</w:t>
            </w:r>
          </w:p>
        </w:tc>
        <w:tc>
          <w:tcPr>
            <w:tcW w:w="561" w:type="pct"/>
            <w:shd w:val="clear" w:color="auto" w:fill="auto"/>
            <w:tcMar>
              <w:left w:w="28" w:type="dxa"/>
              <w:right w:w="28" w:type="dxa"/>
            </w:tcMar>
            <w:vAlign w:val="center"/>
          </w:tcPr>
          <w:p w14:paraId="1169B410">
            <w:pPr>
              <w:spacing w:line="320" w:lineRule="exact"/>
              <w:jc w:val="center"/>
              <w:rPr>
                <w:rFonts w:ascii="Times New Roman"/>
                <w:snapToGrid w:val="0"/>
                <w:sz w:val="21"/>
                <w:szCs w:val="21"/>
              </w:rPr>
            </w:pPr>
          </w:p>
        </w:tc>
      </w:tr>
      <w:tr w14:paraId="7B2CDCA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1B13203F">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7FE87039">
            <w:pPr>
              <w:spacing w:line="320" w:lineRule="exact"/>
              <w:jc w:val="center"/>
              <w:rPr>
                <w:rFonts w:ascii="Times New Roman"/>
                <w:snapToGrid w:val="0"/>
                <w:sz w:val="21"/>
                <w:szCs w:val="21"/>
                <w:lang w:eastAsia="en-US"/>
              </w:rPr>
            </w:pPr>
            <w:r>
              <w:rPr>
                <w:rFonts w:ascii="Times New Roman"/>
                <w:snapToGrid w:val="0"/>
                <w:sz w:val="21"/>
                <w:szCs w:val="21"/>
                <w:lang w:eastAsia="en-US"/>
              </w:rPr>
              <w:t>敏感程度</w:t>
            </w:r>
          </w:p>
        </w:tc>
        <w:tc>
          <w:tcPr>
            <w:tcW w:w="3318" w:type="pct"/>
            <w:gridSpan w:val="7"/>
            <w:shd w:val="clear" w:color="auto" w:fill="auto"/>
            <w:tcMar>
              <w:left w:w="28" w:type="dxa"/>
              <w:right w:w="28" w:type="dxa"/>
            </w:tcMar>
            <w:vAlign w:val="center"/>
          </w:tcPr>
          <w:p w14:paraId="62DE76D3">
            <w:pPr>
              <w:spacing w:line="320" w:lineRule="exact"/>
              <w:jc w:val="center"/>
              <w:rPr>
                <w:rFonts w:ascii="Times New Roman"/>
                <w:snapToGrid w:val="0"/>
                <w:sz w:val="21"/>
                <w:szCs w:val="21"/>
              </w:rPr>
            </w:pPr>
            <w:r>
              <w:rPr>
                <w:rFonts w:ascii="Times New Roman"/>
                <w:snapToGrid w:val="0"/>
                <w:sz w:val="21"/>
                <w:szCs w:val="21"/>
              </w:rPr>
              <w:t>敏感□；较敏感□；不敏感√</w:t>
            </w:r>
          </w:p>
        </w:tc>
        <w:tc>
          <w:tcPr>
            <w:tcW w:w="561" w:type="pct"/>
            <w:shd w:val="clear" w:color="auto" w:fill="auto"/>
            <w:tcMar>
              <w:left w:w="28" w:type="dxa"/>
              <w:right w:w="28" w:type="dxa"/>
            </w:tcMar>
            <w:vAlign w:val="center"/>
          </w:tcPr>
          <w:p w14:paraId="07890E29">
            <w:pPr>
              <w:spacing w:line="320" w:lineRule="exact"/>
              <w:jc w:val="center"/>
              <w:rPr>
                <w:rFonts w:ascii="Times New Roman"/>
                <w:snapToGrid w:val="0"/>
                <w:sz w:val="21"/>
                <w:szCs w:val="21"/>
              </w:rPr>
            </w:pPr>
          </w:p>
        </w:tc>
      </w:tr>
      <w:tr w14:paraId="55B8D8D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119" w:type="pct"/>
            <w:gridSpan w:val="2"/>
            <w:tcBorders>
              <w:tl2br w:val="nil"/>
              <w:tr2bl w:val="nil"/>
            </w:tcBorders>
            <w:shd w:val="clear" w:color="auto" w:fill="auto"/>
            <w:tcMar>
              <w:left w:w="28" w:type="dxa"/>
              <w:right w:w="28" w:type="dxa"/>
            </w:tcMar>
            <w:vAlign w:val="center"/>
          </w:tcPr>
          <w:p w14:paraId="0B77E7AE">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评价工作等级</w:t>
            </w:r>
          </w:p>
        </w:tc>
        <w:tc>
          <w:tcPr>
            <w:tcW w:w="3318" w:type="pct"/>
            <w:gridSpan w:val="7"/>
            <w:shd w:val="clear" w:color="auto" w:fill="auto"/>
            <w:tcMar>
              <w:left w:w="28" w:type="dxa"/>
              <w:right w:w="28" w:type="dxa"/>
            </w:tcMar>
            <w:vAlign w:val="center"/>
          </w:tcPr>
          <w:p w14:paraId="50B6E9ED">
            <w:pPr>
              <w:spacing w:line="320" w:lineRule="exact"/>
              <w:jc w:val="center"/>
              <w:rPr>
                <w:rFonts w:ascii="Times New Roman"/>
                <w:snapToGrid w:val="0"/>
                <w:sz w:val="21"/>
                <w:szCs w:val="21"/>
              </w:rPr>
            </w:pPr>
            <w:r>
              <w:rPr>
                <w:rFonts w:ascii="Times New Roman"/>
                <w:snapToGrid w:val="0"/>
                <w:sz w:val="21"/>
                <w:szCs w:val="21"/>
              </w:rPr>
              <w:t>一级□；二级√；三级□</w:t>
            </w:r>
          </w:p>
        </w:tc>
        <w:tc>
          <w:tcPr>
            <w:tcW w:w="561" w:type="pct"/>
            <w:shd w:val="clear" w:color="auto" w:fill="auto"/>
            <w:tcMar>
              <w:left w:w="28" w:type="dxa"/>
              <w:right w:w="28" w:type="dxa"/>
            </w:tcMar>
            <w:vAlign w:val="center"/>
          </w:tcPr>
          <w:p w14:paraId="32FC91CE">
            <w:pPr>
              <w:spacing w:line="320" w:lineRule="exact"/>
              <w:jc w:val="center"/>
              <w:rPr>
                <w:rFonts w:ascii="Times New Roman"/>
                <w:snapToGrid w:val="0"/>
                <w:sz w:val="21"/>
                <w:szCs w:val="21"/>
              </w:rPr>
            </w:pPr>
          </w:p>
        </w:tc>
      </w:tr>
      <w:tr w14:paraId="78FD474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restart"/>
            <w:tcBorders>
              <w:tl2br w:val="nil"/>
              <w:tr2bl w:val="nil"/>
            </w:tcBorders>
            <w:shd w:val="clear" w:color="auto" w:fill="auto"/>
            <w:tcMar>
              <w:left w:w="28" w:type="dxa"/>
              <w:right w:w="28" w:type="dxa"/>
            </w:tcMar>
            <w:vAlign w:val="center"/>
          </w:tcPr>
          <w:p w14:paraId="1D38C2A8">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现状调查内容</w:t>
            </w:r>
          </w:p>
        </w:tc>
        <w:tc>
          <w:tcPr>
            <w:tcW w:w="923" w:type="pct"/>
            <w:shd w:val="clear" w:color="auto" w:fill="auto"/>
            <w:tcMar>
              <w:left w:w="28" w:type="dxa"/>
              <w:right w:w="28" w:type="dxa"/>
            </w:tcMar>
            <w:vAlign w:val="center"/>
          </w:tcPr>
          <w:p w14:paraId="20AB0AE1">
            <w:pPr>
              <w:spacing w:line="320" w:lineRule="exact"/>
              <w:jc w:val="center"/>
              <w:rPr>
                <w:rFonts w:ascii="Times New Roman"/>
                <w:snapToGrid w:val="0"/>
                <w:sz w:val="21"/>
                <w:szCs w:val="21"/>
                <w:lang w:eastAsia="en-US"/>
              </w:rPr>
            </w:pPr>
            <w:r>
              <w:rPr>
                <w:rFonts w:ascii="Times New Roman"/>
                <w:snapToGrid w:val="0"/>
                <w:sz w:val="21"/>
                <w:szCs w:val="21"/>
                <w:lang w:eastAsia="en-US"/>
              </w:rPr>
              <w:t>资料收集</w:t>
            </w:r>
          </w:p>
        </w:tc>
        <w:tc>
          <w:tcPr>
            <w:tcW w:w="3318" w:type="pct"/>
            <w:gridSpan w:val="7"/>
            <w:shd w:val="clear" w:color="auto" w:fill="auto"/>
            <w:tcMar>
              <w:left w:w="28" w:type="dxa"/>
              <w:right w:w="28" w:type="dxa"/>
            </w:tcMar>
            <w:vAlign w:val="center"/>
          </w:tcPr>
          <w:p w14:paraId="7F82AEF5">
            <w:pPr>
              <w:spacing w:line="320" w:lineRule="exact"/>
              <w:jc w:val="center"/>
              <w:rPr>
                <w:rFonts w:ascii="Times New Roman"/>
                <w:snapToGrid w:val="0"/>
                <w:sz w:val="21"/>
                <w:szCs w:val="21"/>
                <w:lang w:eastAsia="en-US"/>
              </w:rPr>
            </w:pPr>
            <w:r>
              <w:rPr>
                <w:rFonts w:ascii="Times New Roman"/>
                <w:snapToGrid w:val="0"/>
                <w:sz w:val="21"/>
                <w:szCs w:val="21"/>
                <w:lang w:eastAsia="en-US"/>
              </w:rPr>
              <w:t>a）√；b）√；c）√；d）√</w:t>
            </w:r>
          </w:p>
        </w:tc>
        <w:tc>
          <w:tcPr>
            <w:tcW w:w="561" w:type="pct"/>
            <w:shd w:val="clear" w:color="auto" w:fill="auto"/>
            <w:tcMar>
              <w:left w:w="28" w:type="dxa"/>
              <w:right w:w="28" w:type="dxa"/>
            </w:tcMar>
            <w:vAlign w:val="center"/>
          </w:tcPr>
          <w:p w14:paraId="4D6EAA7A">
            <w:pPr>
              <w:spacing w:line="320" w:lineRule="exact"/>
              <w:jc w:val="center"/>
              <w:rPr>
                <w:rFonts w:ascii="Times New Roman"/>
                <w:snapToGrid w:val="0"/>
                <w:sz w:val="21"/>
                <w:szCs w:val="21"/>
                <w:lang w:eastAsia="en-US"/>
              </w:rPr>
            </w:pPr>
          </w:p>
        </w:tc>
      </w:tr>
      <w:tr w14:paraId="185DF50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07CDCB61">
            <w:pPr>
              <w:spacing w:line="320" w:lineRule="exact"/>
              <w:jc w:val="center"/>
              <w:rPr>
                <w:rFonts w:ascii="Times New Roman"/>
                <w:b/>
                <w:bCs w:val="0"/>
                <w:snapToGrid w:val="0"/>
                <w:sz w:val="21"/>
                <w:szCs w:val="21"/>
                <w:lang w:eastAsia="en-US"/>
              </w:rPr>
            </w:pPr>
          </w:p>
        </w:tc>
        <w:tc>
          <w:tcPr>
            <w:tcW w:w="923" w:type="pct"/>
            <w:shd w:val="clear" w:color="auto" w:fill="auto"/>
            <w:tcMar>
              <w:left w:w="28" w:type="dxa"/>
              <w:right w:w="28" w:type="dxa"/>
            </w:tcMar>
            <w:vAlign w:val="center"/>
          </w:tcPr>
          <w:p w14:paraId="345E25A4">
            <w:pPr>
              <w:spacing w:line="320" w:lineRule="exact"/>
              <w:jc w:val="center"/>
              <w:rPr>
                <w:rFonts w:ascii="Times New Roman"/>
                <w:snapToGrid w:val="0"/>
                <w:sz w:val="21"/>
                <w:szCs w:val="21"/>
                <w:lang w:eastAsia="en-US"/>
              </w:rPr>
            </w:pPr>
            <w:r>
              <w:rPr>
                <w:rFonts w:ascii="Times New Roman"/>
                <w:snapToGrid w:val="0"/>
                <w:sz w:val="21"/>
                <w:szCs w:val="21"/>
                <w:lang w:eastAsia="en-US"/>
              </w:rPr>
              <w:t>理化特性</w:t>
            </w:r>
          </w:p>
        </w:tc>
        <w:tc>
          <w:tcPr>
            <w:tcW w:w="3318" w:type="pct"/>
            <w:gridSpan w:val="7"/>
            <w:shd w:val="clear" w:color="auto" w:fill="auto"/>
            <w:tcMar>
              <w:left w:w="28" w:type="dxa"/>
              <w:right w:w="28" w:type="dxa"/>
            </w:tcMar>
            <w:vAlign w:val="center"/>
          </w:tcPr>
          <w:p w14:paraId="46A6EC47">
            <w:pPr>
              <w:spacing w:line="320" w:lineRule="exact"/>
              <w:jc w:val="center"/>
              <w:rPr>
                <w:rFonts w:ascii="Times New Roman"/>
                <w:snapToGrid w:val="0"/>
                <w:sz w:val="21"/>
                <w:szCs w:val="21"/>
              </w:rPr>
            </w:pPr>
            <w:r>
              <w:rPr>
                <w:rFonts w:ascii="Times New Roman"/>
                <w:snapToGrid w:val="0"/>
                <w:sz w:val="21"/>
                <w:szCs w:val="21"/>
                <w:lang w:eastAsia="en-US"/>
              </w:rPr>
              <w:t>详见表</w:t>
            </w:r>
            <w:r>
              <w:rPr>
                <w:rFonts w:ascii="Times New Roman"/>
                <w:snapToGrid w:val="0"/>
                <w:sz w:val="21"/>
                <w:szCs w:val="21"/>
              </w:rPr>
              <w:t>6.7-1</w:t>
            </w:r>
          </w:p>
        </w:tc>
        <w:tc>
          <w:tcPr>
            <w:tcW w:w="561" w:type="pct"/>
            <w:shd w:val="clear" w:color="auto" w:fill="auto"/>
            <w:tcMar>
              <w:left w:w="28" w:type="dxa"/>
              <w:right w:w="28" w:type="dxa"/>
            </w:tcMar>
            <w:vAlign w:val="center"/>
          </w:tcPr>
          <w:p w14:paraId="195857B3">
            <w:pPr>
              <w:spacing w:line="320" w:lineRule="exact"/>
              <w:jc w:val="center"/>
              <w:rPr>
                <w:rFonts w:ascii="Times New Roman"/>
                <w:snapToGrid w:val="0"/>
                <w:sz w:val="21"/>
                <w:szCs w:val="21"/>
                <w:lang w:eastAsia="en-US"/>
              </w:rPr>
            </w:pPr>
            <w:r>
              <w:rPr>
                <w:rFonts w:ascii="Times New Roman"/>
                <w:snapToGrid w:val="0"/>
                <w:sz w:val="21"/>
                <w:szCs w:val="21"/>
                <w:lang w:eastAsia="en-US"/>
              </w:rPr>
              <w:t>同附录 C</w:t>
            </w:r>
          </w:p>
        </w:tc>
      </w:tr>
      <w:tr w14:paraId="599B46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5DC58B97">
            <w:pPr>
              <w:spacing w:line="320" w:lineRule="exact"/>
              <w:jc w:val="center"/>
              <w:rPr>
                <w:rFonts w:ascii="Times New Roman"/>
                <w:b/>
                <w:bCs w:val="0"/>
                <w:snapToGrid w:val="0"/>
                <w:sz w:val="21"/>
                <w:szCs w:val="21"/>
                <w:lang w:eastAsia="en-US"/>
              </w:rPr>
            </w:pPr>
          </w:p>
        </w:tc>
        <w:tc>
          <w:tcPr>
            <w:tcW w:w="923" w:type="pct"/>
            <w:vMerge w:val="restart"/>
            <w:shd w:val="clear" w:color="auto" w:fill="auto"/>
            <w:tcMar>
              <w:left w:w="28" w:type="dxa"/>
              <w:right w:w="28" w:type="dxa"/>
            </w:tcMar>
            <w:vAlign w:val="center"/>
          </w:tcPr>
          <w:p w14:paraId="15110393">
            <w:pPr>
              <w:spacing w:line="320" w:lineRule="exact"/>
              <w:jc w:val="center"/>
              <w:rPr>
                <w:rFonts w:ascii="Times New Roman"/>
                <w:snapToGrid w:val="0"/>
                <w:sz w:val="21"/>
                <w:szCs w:val="21"/>
                <w:lang w:eastAsia="en-US"/>
              </w:rPr>
            </w:pPr>
            <w:r>
              <w:rPr>
                <w:rFonts w:ascii="Times New Roman"/>
                <w:snapToGrid w:val="0"/>
                <w:sz w:val="21"/>
                <w:szCs w:val="21"/>
                <w:lang w:eastAsia="en-US"/>
              </w:rPr>
              <w:t>现状监测点位</w:t>
            </w:r>
          </w:p>
        </w:tc>
        <w:tc>
          <w:tcPr>
            <w:tcW w:w="724" w:type="pct"/>
            <w:shd w:val="clear" w:color="auto" w:fill="auto"/>
            <w:tcMar>
              <w:left w:w="28" w:type="dxa"/>
              <w:right w:w="28" w:type="dxa"/>
            </w:tcMar>
            <w:vAlign w:val="center"/>
          </w:tcPr>
          <w:p w14:paraId="754669D3">
            <w:pPr>
              <w:spacing w:line="320" w:lineRule="exact"/>
              <w:jc w:val="center"/>
              <w:rPr>
                <w:rFonts w:ascii="Times New Roman"/>
                <w:snapToGrid w:val="0"/>
                <w:sz w:val="21"/>
                <w:szCs w:val="21"/>
                <w:lang w:eastAsia="en-US"/>
              </w:rPr>
            </w:pPr>
            <w:r>
              <w:rPr>
                <w:rFonts w:ascii="Times New Roman"/>
                <w:snapToGrid w:val="0"/>
                <w:sz w:val="21"/>
                <w:szCs w:val="21"/>
                <w:lang w:eastAsia="en-US"/>
              </w:rPr>
              <w:t>/</w:t>
            </w:r>
          </w:p>
        </w:tc>
        <w:tc>
          <w:tcPr>
            <w:tcW w:w="833" w:type="pct"/>
            <w:gridSpan w:val="3"/>
            <w:shd w:val="clear" w:color="auto" w:fill="auto"/>
            <w:tcMar>
              <w:left w:w="28" w:type="dxa"/>
              <w:right w:w="28" w:type="dxa"/>
            </w:tcMar>
            <w:vAlign w:val="center"/>
          </w:tcPr>
          <w:p w14:paraId="6B8D8375">
            <w:pPr>
              <w:spacing w:line="320" w:lineRule="exact"/>
              <w:jc w:val="center"/>
              <w:rPr>
                <w:rFonts w:ascii="Times New Roman"/>
                <w:snapToGrid w:val="0"/>
                <w:sz w:val="21"/>
                <w:szCs w:val="21"/>
                <w:lang w:eastAsia="en-US"/>
              </w:rPr>
            </w:pPr>
            <w:r>
              <w:rPr>
                <w:rFonts w:ascii="Times New Roman"/>
                <w:snapToGrid w:val="0"/>
                <w:sz w:val="21"/>
                <w:szCs w:val="21"/>
                <w:lang w:eastAsia="en-US"/>
              </w:rPr>
              <w:t>占地范围内</w:t>
            </w:r>
          </w:p>
        </w:tc>
        <w:tc>
          <w:tcPr>
            <w:tcW w:w="727" w:type="pct"/>
            <w:shd w:val="clear" w:color="auto" w:fill="auto"/>
            <w:tcMar>
              <w:left w:w="28" w:type="dxa"/>
              <w:right w:w="28" w:type="dxa"/>
            </w:tcMar>
            <w:vAlign w:val="center"/>
          </w:tcPr>
          <w:p w14:paraId="689787FA">
            <w:pPr>
              <w:spacing w:line="320" w:lineRule="exact"/>
              <w:jc w:val="center"/>
              <w:rPr>
                <w:rFonts w:ascii="Times New Roman"/>
                <w:snapToGrid w:val="0"/>
                <w:sz w:val="21"/>
                <w:szCs w:val="21"/>
                <w:lang w:eastAsia="en-US"/>
              </w:rPr>
            </w:pPr>
            <w:r>
              <w:rPr>
                <w:rFonts w:ascii="Times New Roman"/>
                <w:snapToGrid w:val="0"/>
                <w:sz w:val="21"/>
                <w:szCs w:val="21"/>
                <w:lang w:eastAsia="en-US"/>
              </w:rPr>
              <w:t>占地范围外</w:t>
            </w:r>
          </w:p>
        </w:tc>
        <w:tc>
          <w:tcPr>
            <w:tcW w:w="1033" w:type="pct"/>
            <w:gridSpan w:val="2"/>
            <w:shd w:val="clear" w:color="auto" w:fill="auto"/>
            <w:tcMar>
              <w:left w:w="28" w:type="dxa"/>
              <w:right w:w="28" w:type="dxa"/>
            </w:tcMar>
            <w:vAlign w:val="center"/>
          </w:tcPr>
          <w:p w14:paraId="4DC83A0F">
            <w:pPr>
              <w:spacing w:line="320" w:lineRule="exact"/>
              <w:jc w:val="center"/>
              <w:rPr>
                <w:rFonts w:ascii="Times New Roman"/>
                <w:snapToGrid w:val="0"/>
                <w:sz w:val="21"/>
                <w:szCs w:val="21"/>
                <w:lang w:eastAsia="en-US"/>
              </w:rPr>
            </w:pPr>
            <w:r>
              <w:rPr>
                <w:rFonts w:ascii="Times New Roman"/>
                <w:snapToGrid w:val="0"/>
                <w:sz w:val="21"/>
                <w:szCs w:val="21"/>
                <w:lang w:eastAsia="en-US"/>
              </w:rPr>
              <w:t>深度</w:t>
            </w:r>
          </w:p>
        </w:tc>
        <w:tc>
          <w:tcPr>
            <w:tcW w:w="561" w:type="pct"/>
            <w:vMerge w:val="restart"/>
            <w:shd w:val="clear" w:color="auto" w:fill="auto"/>
            <w:tcMar>
              <w:left w:w="28" w:type="dxa"/>
              <w:right w:w="28" w:type="dxa"/>
            </w:tcMar>
            <w:vAlign w:val="center"/>
          </w:tcPr>
          <w:p w14:paraId="1F2C9560">
            <w:pPr>
              <w:spacing w:line="320" w:lineRule="exact"/>
              <w:jc w:val="center"/>
              <w:rPr>
                <w:rFonts w:ascii="Times New Roman"/>
                <w:snapToGrid w:val="0"/>
                <w:sz w:val="21"/>
                <w:szCs w:val="21"/>
                <w:lang w:eastAsia="en-US"/>
              </w:rPr>
            </w:pPr>
            <w:r>
              <w:rPr>
                <w:rFonts w:ascii="Times New Roman"/>
                <w:snapToGrid w:val="0"/>
                <w:sz w:val="21"/>
                <w:szCs w:val="21"/>
                <w:lang w:eastAsia="en-US"/>
              </w:rPr>
              <w:t>点位布置图</w:t>
            </w:r>
          </w:p>
        </w:tc>
      </w:tr>
      <w:tr w14:paraId="78B7DF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3" w:hRule="atLeast"/>
          <w:jc w:val="center"/>
        </w:trPr>
        <w:tc>
          <w:tcPr>
            <w:tcW w:w="196" w:type="pct"/>
            <w:vMerge w:val="continue"/>
            <w:tcBorders>
              <w:tl2br w:val="nil"/>
              <w:tr2bl w:val="nil"/>
            </w:tcBorders>
            <w:shd w:val="clear" w:color="auto" w:fill="auto"/>
            <w:tcMar>
              <w:left w:w="28" w:type="dxa"/>
              <w:right w:w="28" w:type="dxa"/>
            </w:tcMar>
            <w:vAlign w:val="center"/>
          </w:tcPr>
          <w:p w14:paraId="627AD983">
            <w:pPr>
              <w:spacing w:line="320" w:lineRule="exact"/>
              <w:jc w:val="center"/>
              <w:rPr>
                <w:rFonts w:ascii="Times New Roman"/>
                <w:b/>
                <w:bCs w:val="0"/>
                <w:snapToGrid w:val="0"/>
                <w:sz w:val="21"/>
                <w:szCs w:val="21"/>
                <w:lang w:eastAsia="en-US"/>
              </w:rPr>
            </w:pPr>
          </w:p>
        </w:tc>
        <w:tc>
          <w:tcPr>
            <w:tcW w:w="923" w:type="pct"/>
            <w:vMerge w:val="continue"/>
            <w:shd w:val="clear" w:color="auto" w:fill="auto"/>
            <w:tcMar>
              <w:left w:w="28" w:type="dxa"/>
              <w:right w:w="28" w:type="dxa"/>
            </w:tcMar>
            <w:vAlign w:val="center"/>
          </w:tcPr>
          <w:p w14:paraId="78A60561">
            <w:pPr>
              <w:spacing w:line="320" w:lineRule="exact"/>
              <w:jc w:val="center"/>
              <w:rPr>
                <w:rFonts w:ascii="Times New Roman"/>
                <w:snapToGrid w:val="0"/>
                <w:sz w:val="21"/>
                <w:szCs w:val="21"/>
                <w:lang w:eastAsia="en-US"/>
              </w:rPr>
            </w:pPr>
          </w:p>
        </w:tc>
        <w:tc>
          <w:tcPr>
            <w:tcW w:w="724" w:type="pct"/>
            <w:shd w:val="clear" w:color="auto" w:fill="auto"/>
            <w:tcMar>
              <w:left w:w="28" w:type="dxa"/>
              <w:right w:w="28" w:type="dxa"/>
            </w:tcMar>
            <w:vAlign w:val="center"/>
          </w:tcPr>
          <w:p w14:paraId="2820AC99">
            <w:pPr>
              <w:spacing w:line="320" w:lineRule="exact"/>
              <w:jc w:val="center"/>
              <w:rPr>
                <w:rFonts w:ascii="Times New Roman"/>
                <w:snapToGrid w:val="0"/>
                <w:sz w:val="21"/>
                <w:szCs w:val="21"/>
                <w:lang w:eastAsia="en-US"/>
              </w:rPr>
            </w:pPr>
            <w:r>
              <w:rPr>
                <w:rFonts w:ascii="Times New Roman"/>
                <w:snapToGrid w:val="0"/>
                <w:sz w:val="21"/>
                <w:szCs w:val="21"/>
                <w:lang w:eastAsia="en-US"/>
              </w:rPr>
              <w:t>表层样点数</w:t>
            </w:r>
          </w:p>
        </w:tc>
        <w:tc>
          <w:tcPr>
            <w:tcW w:w="833" w:type="pct"/>
            <w:gridSpan w:val="3"/>
            <w:shd w:val="clear" w:color="auto" w:fill="auto"/>
            <w:tcMar>
              <w:left w:w="28" w:type="dxa"/>
              <w:right w:w="28" w:type="dxa"/>
            </w:tcMar>
            <w:vAlign w:val="center"/>
          </w:tcPr>
          <w:p w14:paraId="030C57DC">
            <w:pPr>
              <w:spacing w:line="320" w:lineRule="exact"/>
              <w:jc w:val="center"/>
              <w:rPr>
                <w:rFonts w:ascii="Times New Roman"/>
                <w:snapToGrid w:val="0"/>
                <w:sz w:val="21"/>
                <w:szCs w:val="21"/>
                <w:lang w:eastAsia="en-US"/>
              </w:rPr>
            </w:pPr>
            <w:r>
              <w:rPr>
                <w:rFonts w:ascii="Times New Roman"/>
                <w:snapToGrid w:val="0"/>
                <w:sz w:val="21"/>
                <w:szCs w:val="21"/>
                <w:lang w:eastAsia="en-US"/>
              </w:rPr>
              <w:t>1个</w:t>
            </w:r>
          </w:p>
        </w:tc>
        <w:tc>
          <w:tcPr>
            <w:tcW w:w="727" w:type="pct"/>
            <w:shd w:val="clear" w:color="auto" w:fill="auto"/>
            <w:tcMar>
              <w:left w:w="28" w:type="dxa"/>
              <w:right w:w="28" w:type="dxa"/>
            </w:tcMar>
            <w:vAlign w:val="center"/>
          </w:tcPr>
          <w:p w14:paraId="5E09706C">
            <w:pPr>
              <w:spacing w:line="320" w:lineRule="exact"/>
              <w:jc w:val="center"/>
              <w:rPr>
                <w:rFonts w:ascii="Times New Roman"/>
                <w:snapToGrid w:val="0"/>
                <w:sz w:val="21"/>
                <w:szCs w:val="21"/>
                <w:lang w:eastAsia="en-US"/>
              </w:rPr>
            </w:pPr>
            <w:r>
              <w:rPr>
                <w:rFonts w:ascii="Times New Roman"/>
                <w:snapToGrid w:val="0"/>
                <w:sz w:val="21"/>
                <w:szCs w:val="21"/>
                <w:lang w:eastAsia="en-US"/>
              </w:rPr>
              <w:t>2个</w:t>
            </w:r>
          </w:p>
        </w:tc>
        <w:tc>
          <w:tcPr>
            <w:tcW w:w="1033" w:type="pct"/>
            <w:gridSpan w:val="2"/>
            <w:shd w:val="clear" w:color="auto" w:fill="auto"/>
            <w:tcMar>
              <w:left w:w="28" w:type="dxa"/>
              <w:right w:w="28" w:type="dxa"/>
            </w:tcMar>
            <w:vAlign w:val="center"/>
          </w:tcPr>
          <w:p w14:paraId="01948610">
            <w:pPr>
              <w:spacing w:line="320" w:lineRule="exact"/>
              <w:jc w:val="center"/>
              <w:rPr>
                <w:rFonts w:ascii="Times New Roman"/>
                <w:snapToGrid w:val="0"/>
                <w:sz w:val="21"/>
                <w:szCs w:val="21"/>
                <w:lang w:eastAsia="en-US"/>
              </w:rPr>
            </w:pPr>
            <w:r>
              <w:rPr>
                <w:rFonts w:ascii="Times New Roman"/>
                <w:snapToGrid w:val="0"/>
                <w:sz w:val="21"/>
                <w:szCs w:val="21"/>
                <w:lang w:eastAsia="en-US"/>
              </w:rPr>
              <w:t>0~0.2m</w:t>
            </w:r>
          </w:p>
        </w:tc>
        <w:tc>
          <w:tcPr>
            <w:tcW w:w="561" w:type="pct"/>
            <w:vMerge w:val="continue"/>
            <w:shd w:val="clear" w:color="auto" w:fill="auto"/>
            <w:tcMar>
              <w:left w:w="28" w:type="dxa"/>
              <w:right w:w="28" w:type="dxa"/>
            </w:tcMar>
            <w:vAlign w:val="center"/>
          </w:tcPr>
          <w:p w14:paraId="60029C8A">
            <w:pPr>
              <w:spacing w:line="320" w:lineRule="exact"/>
              <w:jc w:val="center"/>
              <w:rPr>
                <w:rFonts w:ascii="Times New Roman"/>
                <w:snapToGrid w:val="0"/>
                <w:sz w:val="21"/>
                <w:szCs w:val="21"/>
                <w:lang w:eastAsia="en-US"/>
              </w:rPr>
            </w:pPr>
          </w:p>
        </w:tc>
      </w:tr>
      <w:tr w14:paraId="23A8F7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31401B57">
            <w:pPr>
              <w:spacing w:line="320" w:lineRule="exact"/>
              <w:jc w:val="center"/>
              <w:rPr>
                <w:rFonts w:ascii="Times New Roman"/>
                <w:b/>
                <w:bCs w:val="0"/>
                <w:snapToGrid w:val="0"/>
                <w:sz w:val="21"/>
                <w:szCs w:val="21"/>
                <w:lang w:eastAsia="en-US"/>
              </w:rPr>
            </w:pPr>
          </w:p>
        </w:tc>
        <w:tc>
          <w:tcPr>
            <w:tcW w:w="923" w:type="pct"/>
            <w:vMerge w:val="continue"/>
            <w:shd w:val="clear" w:color="auto" w:fill="auto"/>
            <w:tcMar>
              <w:left w:w="28" w:type="dxa"/>
              <w:right w:w="28" w:type="dxa"/>
            </w:tcMar>
            <w:vAlign w:val="center"/>
          </w:tcPr>
          <w:p w14:paraId="151E00FA">
            <w:pPr>
              <w:spacing w:line="320" w:lineRule="exact"/>
              <w:jc w:val="center"/>
              <w:rPr>
                <w:rFonts w:ascii="Times New Roman"/>
                <w:snapToGrid w:val="0"/>
                <w:sz w:val="21"/>
                <w:szCs w:val="21"/>
                <w:lang w:eastAsia="en-US"/>
              </w:rPr>
            </w:pPr>
          </w:p>
        </w:tc>
        <w:tc>
          <w:tcPr>
            <w:tcW w:w="724" w:type="pct"/>
            <w:shd w:val="clear" w:color="auto" w:fill="auto"/>
            <w:tcMar>
              <w:left w:w="28" w:type="dxa"/>
              <w:right w:w="28" w:type="dxa"/>
            </w:tcMar>
            <w:vAlign w:val="center"/>
          </w:tcPr>
          <w:p w14:paraId="686693FE">
            <w:pPr>
              <w:spacing w:line="320" w:lineRule="exact"/>
              <w:jc w:val="center"/>
              <w:rPr>
                <w:rFonts w:ascii="Times New Roman"/>
                <w:snapToGrid w:val="0"/>
                <w:sz w:val="21"/>
                <w:szCs w:val="21"/>
                <w:lang w:eastAsia="en-US"/>
              </w:rPr>
            </w:pPr>
            <w:r>
              <w:rPr>
                <w:rFonts w:ascii="Times New Roman"/>
                <w:snapToGrid w:val="0"/>
                <w:sz w:val="21"/>
                <w:szCs w:val="21"/>
                <w:lang w:eastAsia="en-US"/>
              </w:rPr>
              <w:t>柱状样点数</w:t>
            </w:r>
          </w:p>
        </w:tc>
        <w:tc>
          <w:tcPr>
            <w:tcW w:w="833" w:type="pct"/>
            <w:gridSpan w:val="3"/>
            <w:shd w:val="clear" w:color="auto" w:fill="auto"/>
            <w:tcMar>
              <w:left w:w="28" w:type="dxa"/>
              <w:right w:w="28" w:type="dxa"/>
            </w:tcMar>
            <w:vAlign w:val="center"/>
          </w:tcPr>
          <w:p w14:paraId="749A021C">
            <w:pPr>
              <w:spacing w:line="320" w:lineRule="exact"/>
              <w:jc w:val="center"/>
              <w:rPr>
                <w:rFonts w:ascii="Times New Roman"/>
                <w:snapToGrid w:val="0"/>
                <w:sz w:val="21"/>
                <w:szCs w:val="21"/>
                <w:lang w:eastAsia="en-US"/>
              </w:rPr>
            </w:pPr>
            <w:r>
              <w:rPr>
                <w:rFonts w:ascii="Times New Roman"/>
                <w:snapToGrid w:val="0"/>
                <w:sz w:val="21"/>
                <w:szCs w:val="21"/>
                <w:lang w:eastAsia="en-US"/>
              </w:rPr>
              <w:t>3个</w:t>
            </w:r>
          </w:p>
        </w:tc>
        <w:tc>
          <w:tcPr>
            <w:tcW w:w="727" w:type="pct"/>
            <w:shd w:val="clear" w:color="auto" w:fill="auto"/>
            <w:tcMar>
              <w:left w:w="28" w:type="dxa"/>
              <w:right w:w="28" w:type="dxa"/>
            </w:tcMar>
            <w:vAlign w:val="center"/>
          </w:tcPr>
          <w:p w14:paraId="2EF1AE0B">
            <w:pPr>
              <w:spacing w:line="320" w:lineRule="exact"/>
              <w:jc w:val="center"/>
              <w:rPr>
                <w:rFonts w:ascii="Times New Roman"/>
                <w:snapToGrid w:val="0"/>
                <w:sz w:val="21"/>
                <w:szCs w:val="21"/>
                <w:lang w:eastAsia="en-US"/>
              </w:rPr>
            </w:pPr>
            <w:r>
              <w:rPr>
                <w:rFonts w:ascii="Times New Roman"/>
                <w:snapToGrid w:val="0"/>
                <w:sz w:val="21"/>
                <w:szCs w:val="21"/>
                <w:lang w:eastAsia="en-US"/>
              </w:rPr>
              <w:t>0个</w:t>
            </w:r>
          </w:p>
        </w:tc>
        <w:tc>
          <w:tcPr>
            <w:tcW w:w="1033" w:type="pct"/>
            <w:gridSpan w:val="2"/>
            <w:shd w:val="clear" w:color="auto" w:fill="auto"/>
            <w:tcMar>
              <w:left w:w="28" w:type="dxa"/>
              <w:right w:w="28" w:type="dxa"/>
            </w:tcMar>
            <w:vAlign w:val="center"/>
          </w:tcPr>
          <w:p w14:paraId="1A4B100C">
            <w:pPr>
              <w:spacing w:line="320" w:lineRule="exact"/>
              <w:jc w:val="center"/>
              <w:rPr>
                <w:rFonts w:ascii="Times New Roman"/>
                <w:snapToGrid w:val="0"/>
                <w:sz w:val="21"/>
                <w:szCs w:val="21"/>
                <w:lang w:eastAsia="en-US"/>
              </w:rPr>
            </w:pPr>
            <w:r>
              <w:rPr>
                <w:rFonts w:ascii="Times New Roman"/>
                <w:snapToGrid w:val="0"/>
                <w:sz w:val="21"/>
                <w:szCs w:val="21"/>
                <w:lang w:eastAsia="en-US"/>
              </w:rPr>
              <w:t>0.3~0.5m、</w:t>
            </w:r>
            <w:r>
              <w:rPr>
                <w:rFonts w:ascii="Times New Roman"/>
                <w:snapToGrid w:val="0"/>
                <w:sz w:val="21"/>
                <w:szCs w:val="21"/>
              </w:rPr>
              <w:t>0.5</w:t>
            </w:r>
            <w:r>
              <w:rPr>
                <w:rFonts w:ascii="Times New Roman"/>
                <w:snapToGrid w:val="0"/>
                <w:sz w:val="21"/>
                <w:szCs w:val="21"/>
                <w:lang w:eastAsia="en-US"/>
              </w:rPr>
              <w:t>~1.5m</w:t>
            </w:r>
          </w:p>
        </w:tc>
        <w:tc>
          <w:tcPr>
            <w:tcW w:w="561" w:type="pct"/>
            <w:vMerge w:val="continue"/>
            <w:shd w:val="clear" w:color="auto" w:fill="auto"/>
            <w:tcMar>
              <w:left w:w="28" w:type="dxa"/>
              <w:right w:w="28" w:type="dxa"/>
            </w:tcMar>
            <w:vAlign w:val="center"/>
          </w:tcPr>
          <w:p w14:paraId="2F654CD3">
            <w:pPr>
              <w:spacing w:line="320" w:lineRule="exact"/>
              <w:jc w:val="center"/>
              <w:rPr>
                <w:rFonts w:ascii="Times New Roman"/>
                <w:snapToGrid w:val="0"/>
                <w:sz w:val="21"/>
                <w:szCs w:val="21"/>
                <w:lang w:eastAsia="en-US"/>
              </w:rPr>
            </w:pPr>
          </w:p>
        </w:tc>
      </w:tr>
      <w:tr w14:paraId="0E5F08E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579" w:hRule="atLeast"/>
          <w:jc w:val="center"/>
        </w:trPr>
        <w:tc>
          <w:tcPr>
            <w:tcW w:w="196" w:type="pct"/>
            <w:vMerge w:val="continue"/>
            <w:tcBorders>
              <w:tl2br w:val="nil"/>
              <w:tr2bl w:val="nil"/>
            </w:tcBorders>
            <w:shd w:val="clear" w:color="auto" w:fill="auto"/>
            <w:tcMar>
              <w:left w:w="28" w:type="dxa"/>
              <w:right w:w="28" w:type="dxa"/>
            </w:tcMar>
            <w:vAlign w:val="center"/>
          </w:tcPr>
          <w:p w14:paraId="10020EC4">
            <w:pPr>
              <w:spacing w:line="320" w:lineRule="exact"/>
              <w:jc w:val="center"/>
              <w:rPr>
                <w:rFonts w:ascii="Times New Roman"/>
                <w:b/>
                <w:bCs w:val="0"/>
                <w:snapToGrid w:val="0"/>
                <w:sz w:val="21"/>
                <w:szCs w:val="21"/>
                <w:lang w:eastAsia="en-US"/>
              </w:rPr>
            </w:pPr>
          </w:p>
        </w:tc>
        <w:tc>
          <w:tcPr>
            <w:tcW w:w="923" w:type="pct"/>
            <w:shd w:val="clear" w:color="auto" w:fill="auto"/>
            <w:tcMar>
              <w:left w:w="28" w:type="dxa"/>
              <w:right w:w="28" w:type="dxa"/>
            </w:tcMar>
            <w:vAlign w:val="center"/>
          </w:tcPr>
          <w:p w14:paraId="18DCC042">
            <w:pPr>
              <w:spacing w:line="320" w:lineRule="exact"/>
              <w:jc w:val="center"/>
              <w:rPr>
                <w:rFonts w:ascii="Times New Roman"/>
                <w:snapToGrid w:val="0"/>
                <w:sz w:val="21"/>
                <w:szCs w:val="21"/>
                <w:lang w:eastAsia="en-US"/>
              </w:rPr>
            </w:pPr>
            <w:r>
              <w:rPr>
                <w:rFonts w:ascii="Times New Roman"/>
                <w:snapToGrid w:val="0"/>
                <w:sz w:val="21"/>
                <w:szCs w:val="21"/>
                <w:lang w:eastAsia="en-US"/>
              </w:rPr>
              <w:t>现状监测因子</w:t>
            </w:r>
          </w:p>
        </w:tc>
        <w:tc>
          <w:tcPr>
            <w:tcW w:w="3318" w:type="pct"/>
            <w:gridSpan w:val="7"/>
            <w:shd w:val="clear" w:color="auto" w:fill="auto"/>
            <w:tcMar>
              <w:left w:w="28" w:type="dxa"/>
              <w:right w:w="28" w:type="dxa"/>
            </w:tcMar>
            <w:vAlign w:val="center"/>
          </w:tcPr>
          <w:p w14:paraId="4503F05E">
            <w:pPr>
              <w:spacing w:line="320" w:lineRule="exact"/>
              <w:jc w:val="center"/>
              <w:rPr>
                <w:rFonts w:ascii="Times New Roman"/>
                <w:sz w:val="21"/>
                <w:szCs w:val="16"/>
              </w:rPr>
            </w:pPr>
            <w:r>
              <w:rPr>
                <w:rFonts w:ascii="Times New Roman"/>
                <w:sz w:val="21"/>
                <w:szCs w:val="16"/>
              </w:rPr>
              <w:t>45项基本因子：镉、铬（六价）、铜、铅、镍、汞、砷、氯甲烷、1</w:t>
            </w:r>
            <w:r>
              <w:rPr>
                <w:rFonts w:hint="eastAsia" w:ascii="Times New Roman"/>
                <w:sz w:val="21"/>
                <w:szCs w:val="16"/>
              </w:rPr>
              <w:t>，</w:t>
            </w:r>
            <w:r>
              <w:rPr>
                <w:rFonts w:ascii="Times New Roman"/>
                <w:sz w:val="21"/>
                <w:szCs w:val="16"/>
              </w:rPr>
              <w:t>1-二氯乙烯、二氯甲烷、反-1</w:t>
            </w:r>
            <w:r>
              <w:rPr>
                <w:rFonts w:hint="eastAsia" w:ascii="Times New Roman"/>
                <w:sz w:val="21"/>
                <w:szCs w:val="16"/>
              </w:rPr>
              <w:t>，</w:t>
            </w:r>
            <w:r>
              <w:rPr>
                <w:rFonts w:ascii="Times New Roman"/>
                <w:sz w:val="21"/>
                <w:szCs w:val="16"/>
              </w:rPr>
              <w:t>2-二氯乙烯、1</w:t>
            </w:r>
            <w:r>
              <w:rPr>
                <w:rFonts w:hint="eastAsia" w:ascii="Times New Roman"/>
                <w:sz w:val="21"/>
                <w:szCs w:val="16"/>
              </w:rPr>
              <w:t>，</w:t>
            </w:r>
            <w:r>
              <w:rPr>
                <w:rFonts w:ascii="Times New Roman"/>
                <w:sz w:val="21"/>
                <w:szCs w:val="16"/>
              </w:rPr>
              <w:t>1-二氯乙烷、顺-1</w:t>
            </w:r>
            <w:r>
              <w:rPr>
                <w:rFonts w:hint="eastAsia" w:ascii="Times New Roman"/>
                <w:sz w:val="21"/>
                <w:szCs w:val="16"/>
              </w:rPr>
              <w:t>，</w:t>
            </w:r>
            <w:r>
              <w:rPr>
                <w:rFonts w:ascii="Times New Roman"/>
                <w:sz w:val="21"/>
                <w:szCs w:val="16"/>
              </w:rPr>
              <w:t>2-二氯乙烯、氯仿、1</w:t>
            </w:r>
            <w:r>
              <w:rPr>
                <w:rFonts w:hint="eastAsia" w:ascii="Times New Roman"/>
                <w:sz w:val="21"/>
                <w:szCs w:val="16"/>
              </w:rPr>
              <w:t>，</w:t>
            </w:r>
            <w:r>
              <w:rPr>
                <w:rFonts w:ascii="Times New Roman"/>
                <w:sz w:val="21"/>
                <w:szCs w:val="16"/>
              </w:rPr>
              <w:t>2-二氯乙烷、1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1-三氯乙烷、四氯化碳、苯、三氯乙烯、1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2-三氯乙烷、1</w:t>
            </w:r>
            <w:r>
              <w:rPr>
                <w:rFonts w:hint="eastAsia" w:ascii="Times New Roman"/>
                <w:sz w:val="21"/>
                <w:szCs w:val="16"/>
              </w:rPr>
              <w:t>，</w:t>
            </w:r>
            <w:r>
              <w:rPr>
                <w:rFonts w:ascii="Times New Roman"/>
                <w:sz w:val="21"/>
                <w:szCs w:val="16"/>
              </w:rPr>
              <w:t>2-二氯丙烷、甲苯、四氯乙烯、1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2-四氯乙烷、氯苯、乙苯、间二甲苯/对二甲苯、苯乙烯、邻二甲苯、1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2</w:t>
            </w:r>
            <w:r>
              <w:rPr>
                <w:rFonts w:hint="eastAsia" w:ascii="Times New Roman"/>
                <w:sz w:val="21"/>
                <w:szCs w:val="16"/>
              </w:rPr>
              <w:t>，</w:t>
            </w:r>
            <w:r>
              <w:rPr>
                <w:rFonts w:ascii="Times New Roman"/>
                <w:sz w:val="21"/>
                <w:szCs w:val="16"/>
              </w:rPr>
              <w:t>2-四氯乙烷、1</w:t>
            </w:r>
            <w:r>
              <w:rPr>
                <w:rFonts w:hint="eastAsia" w:ascii="Times New Roman"/>
                <w:sz w:val="21"/>
                <w:szCs w:val="16"/>
              </w:rPr>
              <w:t>，</w:t>
            </w:r>
            <w:r>
              <w:rPr>
                <w:rFonts w:ascii="Times New Roman"/>
                <w:sz w:val="21"/>
                <w:szCs w:val="16"/>
              </w:rPr>
              <w:t>2</w:t>
            </w:r>
            <w:r>
              <w:rPr>
                <w:rFonts w:hint="eastAsia" w:ascii="Times New Roman"/>
                <w:sz w:val="21"/>
                <w:szCs w:val="16"/>
              </w:rPr>
              <w:t>，</w:t>
            </w:r>
            <w:r>
              <w:rPr>
                <w:rFonts w:ascii="Times New Roman"/>
                <w:sz w:val="21"/>
                <w:szCs w:val="16"/>
              </w:rPr>
              <w:t>3-三氯丙烷、1</w:t>
            </w:r>
            <w:r>
              <w:rPr>
                <w:rFonts w:hint="eastAsia" w:ascii="Times New Roman"/>
                <w:sz w:val="21"/>
                <w:szCs w:val="16"/>
              </w:rPr>
              <w:t>，</w:t>
            </w:r>
            <w:r>
              <w:rPr>
                <w:rFonts w:ascii="Times New Roman"/>
                <w:sz w:val="21"/>
                <w:szCs w:val="16"/>
              </w:rPr>
              <w:t>4-二氯苯、1</w:t>
            </w:r>
            <w:r>
              <w:rPr>
                <w:rFonts w:hint="eastAsia" w:ascii="Times New Roman"/>
                <w:sz w:val="21"/>
                <w:szCs w:val="16"/>
              </w:rPr>
              <w:t>，</w:t>
            </w:r>
            <w:r>
              <w:rPr>
                <w:rFonts w:ascii="Times New Roman"/>
                <w:sz w:val="21"/>
                <w:szCs w:val="16"/>
              </w:rPr>
              <w:t>2-二氯苯、氯乙烯、苯胺、2-氯酚、硝基苯、萘、苯并〔a〕蒽、䓛、苯并〔b〕荧蒽、苯并〔k〕荧蒽、苯并〔a〕芘、二苯并〔a</w:t>
            </w:r>
            <w:r>
              <w:rPr>
                <w:rFonts w:hint="eastAsia" w:ascii="Times New Roman"/>
                <w:sz w:val="21"/>
                <w:szCs w:val="16"/>
              </w:rPr>
              <w:t>，</w:t>
            </w:r>
            <w:r>
              <w:rPr>
                <w:rFonts w:ascii="Times New Roman"/>
                <w:sz w:val="21"/>
                <w:szCs w:val="16"/>
              </w:rPr>
              <w:t xml:space="preserve"> h〕蒽、茚并〔1</w:t>
            </w:r>
            <w:r>
              <w:rPr>
                <w:rFonts w:hint="eastAsia" w:ascii="Times New Roman"/>
                <w:sz w:val="21"/>
                <w:szCs w:val="16"/>
              </w:rPr>
              <w:t>，</w:t>
            </w:r>
            <w:r>
              <w:rPr>
                <w:rFonts w:ascii="Times New Roman"/>
                <w:sz w:val="21"/>
                <w:szCs w:val="16"/>
              </w:rPr>
              <w:t>2</w:t>
            </w:r>
            <w:r>
              <w:rPr>
                <w:rFonts w:hint="eastAsia" w:ascii="Times New Roman"/>
                <w:sz w:val="21"/>
                <w:szCs w:val="16"/>
              </w:rPr>
              <w:t>，</w:t>
            </w:r>
            <w:r>
              <w:rPr>
                <w:rFonts w:ascii="Times New Roman"/>
                <w:sz w:val="21"/>
                <w:szCs w:val="16"/>
              </w:rPr>
              <w:t>3-cd〕芘</w:t>
            </w:r>
          </w:p>
          <w:p w14:paraId="0A7E8689">
            <w:pPr>
              <w:spacing w:line="320" w:lineRule="exact"/>
              <w:jc w:val="center"/>
              <w:rPr>
                <w:rFonts w:ascii="Times New Roman"/>
                <w:snapToGrid w:val="0"/>
                <w:sz w:val="21"/>
                <w:szCs w:val="21"/>
              </w:rPr>
            </w:pPr>
            <w:r>
              <w:rPr>
                <w:rFonts w:ascii="Times New Roman"/>
                <w:sz w:val="21"/>
                <w:szCs w:val="16"/>
              </w:rPr>
              <w:t>其他因子：pH值、石油烃、氨氮</w:t>
            </w:r>
          </w:p>
        </w:tc>
        <w:tc>
          <w:tcPr>
            <w:tcW w:w="561" w:type="pct"/>
            <w:shd w:val="clear" w:color="auto" w:fill="auto"/>
            <w:tcMar>
              <w:left w:w="28" w:type="dxa"/>
              <w:right w:w="28" w:type="dxa"/>
            </w:tcMar>
            <w:vAlign w:val="center"/>
          </w:tcPr>
          <w:p w14:paraId="47699A3F">
            <w:pPr>
              <w:spacing w:line="320" w:lineRule="exact"/>
              <w:jc w:val="center"/>
              <w:rPr>
                <w:rFonts w:ascii="Times New Roman"/>
                <w:snapToGrid w:val="0"/>
                <w:sz w:val="21"/>
                <w:szCs w:val="21"/>
              </w:rPr>
            </w:pPr>
          </w:p>
        </w:tc>
      </w:tr>
      <w:tr w14:paraId="37BB63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579" w:hRule="atLeast"/>
          <w:jc w:val="center"/>
        </w:trPr>
        <w:tc>
          <w:tcPr>
            <w:tcW w:w="196" w:type="pct"/>
            <w:vMerge w:val="restart"/>
            <w:tcBorders>
              <w:tl2br w:val="nil"/>
              <w:tr2bl w:val="nil"/>
            </w:tcBorders>
            <w:shd w:val="clear" w:color="auto" w:fill="auto"/>
            <w:tcMar>
              <w:left w:w="28" w:type="dxa"/>
              <w:right w:w="28" w:type="dxa"/>
            </w:tcMar>
            <w:vAlign w:val="center"/>
          </w:tcPr>
          <w:p w14:paraId="5588F6B1">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现状评价</w:t>
            </w:r>
          </w:p>
        </w:tc>
        <w:tc>
          <w:tcPr>
            <w:tcW w:w="923" w:type="pct"/>
            <w:shd w:val="clear" w:color="auto" w:fill="auto"/>
            <w:tcMar>
              <w:left w:w="28" w:type="dxa"/>
              <w:right w:w="28" w:type="dxa"/>
            </w:tcMar>
            <w:vAlign w:val="center"/>
          </w:tcPr>
          <w:p w14:paraId="23218F99">
            <w:pPr>
              <w:spacing w:line="320" w:lineRule="exact"/>
              <w:jc w:val="center"/>
              <w:rPr>
                <w:rFonts w:ascii="Times New Roman"/>
                <w:snapToGrid w:val="0"/>
                <w:sz w:val="21"/>
                <w:szCs w:val="21"/>
                <w:lang w:eastAsia="en-US"/>
              </w:rPr>
            </w:pPr>
            <w:r>
              <w:rPr>
                <w:rFonts w:ascii="Times New Roman"/>
                <w:snapToGrid w:val="0"/>
                <w:sz w:val="21"/>
                <w:szCs w:val="21"/>
                <w:lang w:eastAsia="en-US"/>
              </w:rPr>
              <w:t>评价因子</w:t>
            </w:r>
          </w:p>
        </w:tc>
        <w:tc>
          <w:tcPr>
            <w:tcW w:w="3318" w:type="pct"/>
            <w:gridSpan w:val="7"/>
            <w:shd w:val="clear" w:color="auto" w:fill="auto"/>
            <w:tcMar>
              <w:left w:w="28" w:type="dxa"/>
              <w:right w:w="28" w:type="dxa"/>
            </w:tcMar>
            <w:vAlign w:val="center"/>
          </w:tcPr>
          <w:p w14:paraId="32ACCC72">
            <w:pPr>
              <w:spacing w:line="320" w:lineRule="exact"/>
              <w:jc w:val="center"/>
              <w:rPr>
                <w:rFonts w:ascii="Times New Roman"/>
                <w:sz w:val="21"/>
                <w:szCs w:val="16"/>
              </w:rPr>
            </w:pPr>
            <w:r>
              <w:rPr>
                <w:rFonts w:ascii="Times New Roman"/>
                <w:sz w:val="21"/>
                <w:szCs w:val="16"/>
              </w:rPr>
              <w:t>45项基本因子：镉、铬（六价）、铜、铅、镍、汞、砷、氯甲烷、1</w:t>
            </w:r>
            <w:r>
              <w:rPr>
                <w:rFonts w:hint="eastAsia" w:ascii="Times New Roman"/>
                <w:sz w:val="21"/>
                <w:szCs w:val="16"/>
              </w:rPr>
              <w:t>，</w:t>
            </w:r>
            <w:r>
              <w:rPr>
                <w:rFonts w:ascii="Times New Roman"/>
                <w:sz w:val="21"/>
                <w:szCs w:val="16"/>
              </w:rPr>
              <w:t>1-二氯乙烯、二氯甲烷、反-1</w:t>
            </w:r>
            <w:r>
              <w:rPr>
                <w:rFonts w:hint="eastAsia" w:ascii="Times New Roman"/>
                <w:sz w:val="21"/>
                <w:szCs w:val="16"/>
              </w:rPr>
              <w:t>，</w:t>
            </w:r>
            <w:r>
              <w:rPr>
                <w:rFonts w:ascii="Times New Roman"/>
                <w:sz w:val="21"/>
                <w:szCs w:val="16"/>
              </w:rPr>
              <w:t>2-二氯乙烯、1</w:t>
            </w:r>
            <w:r>
              <w:rPr>
                <w:rFonts w:hint="eastAsia" w:ascii="Times New Roman"/>
                <w:sz w:val="21"/>
                <w:szCs w:val="16"/>
              </w:rPr>
              <w:t>，</w:t>
            </w:r>
            <w:r>
              <w:rPr>
                <w:rFonts w:ascii="Times New Roman"/>
                <w:sz w:val="21"/>
                <w:szCs w:val="16"/>
              </w:rPr>
              <w:t>1-二氯乙烷、顺-1</w:t>
            </w:r>
            <w:r>
              <w:rPr>
                <w:rFonts w:hint="eastAsia" w:ascii="Times New Roman"/>
                <w:sz w:val="21"/>
                <w:szCs w:val="16"/>
              </w:rPr>
              <w:t>，</w:t>
            </w:r>
            <w:r>
              <w:rPr>
                <w:rFonts w:ascii="Times New Roman"/>
                <w:sz w:val="21"/>
                <w:szCs w:val="16"/>
              </w:rPr>
              <w:t>2-二氯乙烯、氯仿、1</w:t>
            </w:r>
            <w:r>
              <w:rPr>
                <w:rFonts w:hint="eastAsia" w:ascii="Times New Roman"/>
                <w:sz w:val="21"/>
                <w:szCs w:val="16"/>
              </w:rPr>
              <w:t>，</w:t>
            </w:r>
            <w:r>
              <w:rPr>
                <w:rFonts w:ascii="Times New Roman"/>
                <w:sz w:val="21"/>
                <w:szCs w:val="16"/>
              </w:rPr>
              <w:t>2-二氯乙烷、1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1-三氯乙烷、四氯化碳、苯、三氯乙烯、1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2-三氯乙烷、1</w:t>
            </w:r>
            <w:r>
              <w:rPr>
                <w:rFonts w:hint="eastAsia" w:ascii="Times New Roman"/>
                <w:sz w:val="21"/>
                <w:szCs w:val="16"/>
              </w:rPr>
              <w:t>，</w:t>
            </w:r>
            <w:r>
              <w:rPr>
                <w:rFonts w:ascii="Times New Roman"/>
                <w:sz w:val="21"/>
                <w:szCs w:val="16"/>
              </w:rPr>
              <w:t>2-二氯丙烷、甲苯、四氯乙烯、1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2-四氯乙烷、氯苯、乙苯、间二甲苯/对二甲苯、苯乙烯、邻二甲苯、1</w:t>
            </w:r>
            <w:r>
              <w:rPr>
                <w:rFonts w:hint="eastAsia" w:ascii="Times New Roman"/>
                <w:sz w:val="21"/>
                <w:szCs w:val="16"/>
              </w:rPr>
              <w:t>，</w:t>
            </w:r>
            <w:r>
              <w:rPr>
                <w:rFonts w:ascii="Times New Roman"/>
                <w:sz w:val="21"/>
                <w:szCs w:val="16"/>
              </w:rPr>
              <w:t>1</w:t>
            </w:r>
            <w:r>
              <w:rPr>
                <w:rFonts w:hint="eastAsia" w:ascii="Times New Roman"/>
                <w:sz w:val="21"/>
                <w:szCs w:val="16"/>
              </w:rPr>
              <w:t>，</w:t>
            </w:r>
            <w:r>
              <w:rPr>
                <w:rFonts w:ascii="Times New Roman"/>
                <w:sz w:val="21"/>
                <w:szCs w:val="16"/>
              </w:rPr>
              <w:t>2</w:t>
            </w:r>
            <w:r>
              <w:rPr>
                <w:rFonts w:hint="eastAsia" w:ascii="Times New Roman"/>
                <w:sz w:val="21"/>
                <w:szCs w:val="16"/>
              </w:rPr>
              <w:t>，</w:t>
            </w:r>
            <w:r>
              <w:rPr>
                <w:rFonts w:ascii="Times New Roman"/>
                <w:sz w:val="21"/>
                <w:szCs w:val="16"/>
              </w:rPr>
              <w:t>2-四氯乙烷、1</w:t>
            </w:r>
            <w:r>
              <w:rPr>
                <w:rFonts w:hint="eastAsia" w:ascii="Times New Roman"/>
                <w:sz w:val="21"/>
                <w:szCs w:val="16"/>
              </w:rPr>
              <w:t>，</w:t>
            </w:r>
            <w:r>
              <w:rPr>
                <w:rFonts w:ascii="Times New Roman"/>
                <w:sz w:val="21"/>
                <w:szCs w:val="16"/>
              </w:rPr>
              <w:t>2</w:t>
            </w:r>
            <w:r>
              <w:rPr>
                <w:rFonts w:hint="eastAsia" w:ascii="Times New Roman"/>
                <w:sz w:val="21"/>
                <w:szCs w:val="16"/>
              </w:rPr>
              <w:t>，</w:t>
            </w:r>
            <w:r>
              <w:rPr>
                <w:rFonts w:ascii="Times New Roman"/>
                <w:sz w:val="21"/>
                <w:szCs w:val="16"/>
              </w:rPr>
              <w:t>3-三氯丙烷、1</w:t>
            </w:r>
            <w:r>
              <w:rPr>
                <w:rFonts w:hint="eastAsia" w:ascii="Times New Roman"/>
                <w:sz w:val="21"/>
                <w:szCs w:val="16"/>
              </w:rPr>
              <w:t>，</w:t>
            </w:r>
            <w:r>
              <w:rPr>
                <w:rFonts w:ascii="Times New Roman"/>
                <w:sz w:val="21"/>
                <w:szCs w:val="16"/>
              </w:rPr>
              <w:t>4-二氯苯、1</w:t>
            </w:r>
            <w:r>
              <w:rPr>
                <w:rFonts w:hint="eastAsia" w:ascii="Times New Roman"/>
                <w:sz w:val="21"/>
                <w:szCs w:val="16"/>
              </w:rPr>
              <w:t>，</w:t>
            </w:r>
            <w:r>
              <w:rPr>
                <w:rFonts w:ascii="Times New Roman"/>
                <w:sz w:val="21"/>
                <w:szCs w:val="16"/>
              </w:rPr>
              <w:t>2-二氯苯、氯乙烯、苯胺、2-氯酚、硝基苯、萘、苯并〔a〕蒽、䓛、苯并〔b〕荧蒽、苯并〔k〕荧蒽、苯并〔a〕芘、二苯并〔a</w:t>
            </w:r>
            <w:r>
              <w:rPr>
                <w:rFonts w:hint="eastAsia" w:ascii="Times New Roman"/>
                <w:sz w:val="21"/>
                <w:szCs w:val="16"/>
              </w:rPr>
              <w:t>，</w:t>
            </w:r>
            <w:r>
              <w:rPr>
                <w:rFonts w:ascii="Times New Roman"/>
                <w:sz w:val="21"/>
                <w:szCs w:val="16"/>
              </w:rPr>
              <w:t xml:space="preserve"> h〕蒽、茚并〔1</w:t>
            </w:r>
            <w:r>
              <w:rPr>
                <w:rFonts w:hint="eastAsia" w:ascii="Times New Roman"/>
                <w:sz w:val="21"/>
                <w:szCs w:val="16"/>
              </w:rPr>
              <w:t>，</w:t>
            </w:r>
            <w:r>
              <w:rPr>
                <w:rFonts w:ascii="Times New Roman"/>
                <w:sz w:val="21"/>
                <w:szCs w:val="16"/>
              </w:rPr>
              <w:t>2</w:t>
            </w:r>
            <w:r>
              <w:rPr>
                <w:rFonts w:hint="eastAsia" w:ascii="Times New Roman"/>
                <w:sz w:val="21"/>
                <w:szCs w:val="16"/>
              </w:rPr>
              <w:t>，</w:t>
            </w:r>
            <w:r>
              <w:rPr>
                <w:rFonts w:ascii="Times New Roman"/>
                <w:sz w:val="21"/>
                <w:szCs w:val="16"/>
              </w:rPr>
              <w:t>3-cd〕芘</w:t>
            </w:r>
          </w:p>
          <w:p w14:paraId="0184318E">
            <w:pPr>
              <w:spacing w:line="320" w:lineRule="exact"/>
              <w:jc w:val="center"/>
              <w:rPr>
                <w:rFonts w:ascii="Times New Roman"/>
                <w:snapToGrid w:val="0"/>
                <w:sz w:val="21"/>
                <w:szCs w:val="21"/>
              </w:rPr>
            </w:pPr>
            <w:r>
              <w:rPr>
                <w:rFonts w:ascii="Times New Roman"/>
                <w:sz w:val="21"/>
                <w:szCs w:val="16"/>
              </w:rPr>
              <w:t>其他因子：pH值、石油烃、氨氮</w:t>
            </w:r>
          </w:p>
        </w:tc>
        <w:tc>
          <w:tcPr>
            <w:tcW w:w="561" w:type="pct"/>
            <w:shd w:val="clear" w:color="auto" w:fill="auto"/>
            <w:tcMar>
              <w:left w:w="28" w:type="dxa"/>
              <w:right w:w="28" w:type="dxa"/>
            </w:tcMar>
            <w:vAlign w:val="center"/>
          </w:tcPr>
          <w:p w14:paraId="5F7E08A6">
            <w:pPr>
              <w:spacing w:line="320" w:lineRule="exact"/>
              <w:jc w:val="center"/>
              <w:rPr>
                <w:rFonts w:ascii="Times New Roman"/>
                <w:snapToGrid w:val="0"/>
                <w:sz w:val="21"/>
                <w:szCs w:val="21"/>
              </w:rPr>
            </w:pPr>
          </w:p>
        </w:tc>
      </w:tr>
      <w:tr w14:paraId="7B49FF6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21DE7B50">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5DBECB78">
            <w:pPr>
              <w:spacing w:line="320" w:lineRule="exact"/>
              <w:jc w:val="center"/>
              <w:rPr>
                <w:rFonts w:ascii="Times New Roman"/>
                <w:snapToGrid w:val="0"/>
                <w:sz w:val="21"/>
                <w:szCs w:val="21"/>
                <w:lang w:eastAsia="en-US"/>
              </w:rPr>
            </w:pPr>
            <w:r>
              <w:rPr>
                <w:rFonts w:ascii="Times New Roman"/>
                <w:snapToGrid w:val="0"/>
                <w:sz w:val="21"/>
                <w:szCs w:val="21"/>
                <w:lang w:eastAsia="en-US"/>
              </w:rPr>
              <w:t>评价标准</w:t>
            </w:r>
          </w:p>
        </w:tc>
        <w:tc>
          <w:tcPr>
            <w:tcW w:w="3318" w:type="pct"/>
            <w:gridSpan w:val="7"/>
            <w:shd w:val="clear" w:color="auto" w:fill="auto"/>
            <w:tcMar>
              <w:left w:w="28" w:type="dxa"/>
              <w:right w:w="28" w:type="dxa"/>
            </w:tcMar>
            <w:vAlign w:val="center"/>
          </w:tcPr>
          <w:p w14:paraId="0C350063">
            <w:pPr>
              <w:spacing w:line="320" w:lineRule="exact"/>
              <w:jc w:val="center"/>
              <w:rPr>
                <w:rFonts w:ascii="Times New Roman"/>
                <w:snapToGrid w:val="0"/>
                <w:sz w:val="21"/>
                <w:szCs w:val="21"/>
                <w:lang w:eastAsia="en-US"/>
              </w:rPr>
            </w:pPr>
            <w:r>
              <w:rPr>
                <w:rFonts w:ascii="Times New Roman"/>
                <w:snapToGrid w:val="0"/>
                <w:sz w:val="21"/>
                <w:szCs w:val="21"/>
                <w:lang w:eastAsia="en-US"/>
              </w:rPr>
              <w:t>GB 15618□；GB 36600√；表 D.1□；表 D.2□；其他（）</w:t>
            </w:r>
          </w:p>
        </w:tc>
        <w:tc>
          <w:tcPr>
            <w:tcW w:w="561" w:type="pct"/>
            <w:shd w:val="clear" w:color="auto" w:fill="auto"/>
            <w:tcMar>
              <w:left w:w="28" w:type="dxa"/>
              <w:right w:w="28" w:type="dxa"/>
            </w:tcMar>
            <w:vAlign w:val="center"/>
          </w:tcPr>
          <w:p w14:paraId="064F786E">
            <w:pPr>
              <w:spacing w:line="320" w:lineRule="exact"/>
              <w:jc w:val="center"/>
              <w:rPr>
                <w:rFonts w:ascii="Times New Roman"/>
                <w:snapToGrid w:val="0"/>
                <w:sz w:val="21"/>
                <w:szCs w:val="21"/>
                <w:lang w:eastAsia="en-US"/>
              </w:rPr>
            </w:pPr>
          </w:p>
        </w:tc>
      </w:tr>
      <w:tr w14:paraId="39751C7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79141179">
            <w:pPr>
              <w:spacing w:line="320" w:lineRule="exact"/>
              <w:jc w:val="center"/>
              <w:rPr>
                <w:rFonts w:ascii="Times New Roman"/>
                <w:b/>
                <w:bCs w:val="0"/>
                <w:snapToGrid w:val="0"/>
                <w:sz w:val="21"/>
                <w:szCs w:val="21"/>
                <w:lang w:eastAsia="en-US"/>
              </w:rPr>
            </w:pPr>
          </w:p>
        </w:tc>
        <w:tc>
          <w:tcPr>
            <w:tcW w:w="923" w:type="pct"/>
            <w:shd w:val="clear" w:color="auto" w:fill="auto"/>
            <w:tcMar>
              <w:left w:w="28" w:type="dxa"/>
              <w:right w:w="28" w:type="dxa"/>
            </w:tcMar>
            <w:vAlign w:val="center"/>
          </w:tcPr>
          <w:p w14:paraId="2A4D5F13">
            <w:pPr>
              <w:spacing w:line="320" w:lineRule="exact"/>
              <w:jc w:val="center"/>
              <w:rPr>
                <w:rFonts w:ascii="Times New Roman"/>
                <w:snapToGrid w:val="0"/>
                <w:sz w:val="21"/>
                <w:szCs w:val="21"/>
                <w:lang w:eastAsia="en-US"/>
              </w:rPr>
            </w:pPr>
            <w:r>
              <w:rPr>
                <w:rFonts w:ascii="Times New Roman"/>
                <w:snapToGrid w:val="0"/>
                <w:sz w:val="21"/>
                <w:szCs w:val="21"/>
                <w:lang w:eastAsia="en-US"/>
              </w:rPr>
              <w:t>现状评价结论</w:t>
            </w:r>
          </w:p>
        </w:tc>
        <w:tc>
          <w:tcPr>
            <w:tcW w:w="3318" w:type="pct"/>
            <w:gridSpan w:val="7"/>
            <w:shd w:val="clear" w:color="auto" w:fill="auto"/>
            <w:tcMar>
              <w:left w:w="28" w:type="dxa"/>
              <w:right w:w="28" w:type="dxa"/>
            </w:tcMar>
            <w:vAlign w:val="center"/>
          </w:tcPr>
          <w:p w14:paraId="05C10BDA">
            <w:pPr>
              <w:spacing w:line="320" w:lineRule="exact"/>
              <w:jc w:val="center"/>
              <w:rPr>
                <w:rFonts w:ascii="Times New Roman"/>
                <w:snapToGrid w:val="0"/>
                <w:sz w:val="21"/>
                <w:szCs w:val="21"/>
              </w:rPr>
            </w:pPr>
            <w:r>
              <w:rPr>
                <w:rFonts w:ascii="Times New Roman"/>
                <w:sz w:val="21"/>
                <w:szCs w:val="21"/>
              </w:rPr>
              <w:t>本项目占地范围内及占地范围外各监测因子土壤质量现状均满足相应标准限值要求</w:t>
            </w:r>
            <w:r>
              <w:rPr>
                <w:rFonts w:ascii="Times New Roman"/>
                <w:snapToGrid w:val="0"/>
                <w:sz w:val="21"/>
                <w:szCs w:val="21"/>
              </w:rPr>
              <w:t>。</w:t>
            </w:r>
          </w:p>
        </w:tc>
        <w:tc>
          <w:tcPr>
            <w:tcW w:w="561" w:type="pct"/>
            <w:shd w:val="clear" w:color="auto" w:fill="auto"/>
            <w:tcMar>
              <w:left w:w="28" w:type="dxa"/>
              <w:right w:w="28" w:type="dxa"/>
            </w:tcMar>
            <w:vAlign w:val="center"/>
          </w:tcPr>
          <w:p w14:paraId="79BDC7B1">
            <w:pPr>
              <w:spacing w:line="320" w:lineRule="exact"/>
              <w:jc w:val="center"/>
              <w:rPr>
                <w:rFonts w:ascii="Times New Roman"/>
                <w:snapToGrid w:val="0"/>
                <w:sz w:val="21"/>
                <w:szCs w:val="21"/>
              </w:rPr>
            </w:pPr>
          </w:p>
        </w:tc>
      </w:tr>
      <w:tr w14:paraId="3731B74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restart"/>
            <w:tcBorders>
              <w:tl2br w:val="nil"/>
              <w:tr2bl w:val="nil"/>
            </w:tcBorders>
            <w:shd w:val="clear" w:color="auto" w:fill="auto"/>
            <w:tcMar>
              <w:left w:w="28" w:type="dxa"/>
              <w:right w:w="28" w:type="dxa"/>
            </w:tcMar>
            <w:vAlign w:val="center"/>
          </w:tcPr>
          <w:p w14:paraId="5E7ECAD1">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影响预测</w:t>
            </w:r>
          </w:p>
        </w:tc>
        <w:tc>
          <w:tcPr>
            <w:tcW w:w="923" w:type="pct"/>
            <w:shd w:val="clear" w:color="auto" w:fill="auto"/>
            <w:tcMar>
              <w:left w:w="28" w:type="dxa"/>
              <w:right w:w="28" w:type="dxa"/>
            </w:tcMar>
            <w:vAlign w:val="center"/>
          </w:tcPr>
          <w:p w14:paraId="436B0EDA">
            <w:pPr>
              <w:spacing w:line="320" w:lineRule="exact"/>
              <w:jc w:val="center"/>
              <w:rPr>
                <w:rFonts w:ascii="Times New Roman"/>
                <w:snapToGrid w:val="0"/>
                <w:sz w:val="21"/>
                <w:szCs w:val="21"/>
                <w:lang w:eastAsia="en-US"/>
              </w:rPr>
            </w:pPr>
            <w:r>
              <w:rPr>
                <w:rFonts w:ascii="Times New Roman"/>
                <w:snapToGrid w:val="0"/>
                <w:sz w:val="21"/>
                <w:szCs w:val="21"/>
                <w:lang w:eastAsia="en-US"/>
              </w:rPr>
              <w:t>预测因子</w:t>
            </w:r>
          </w:p>
        </w:tc>
        <w:tc>
          <w:tcPr>
            <w:tcW w:w="3318" w:type="pct"/>
            <w:gridSpan w:val="7"/>
            <w:shd w:val="clear" w:color="auto" w:fill="auto"/>
            <w:tcMar>
              <w:left w:w="28" w:type="dxa"/>
              <w:right w:w="28" w:type="dxa"/>
            </w:tcMar>
            <w:vAlign w:val="center"/>
          </w:tcPr>
          <w:p w14:paraId="7CF15F21">
            <w:pPr>
              <w:spacing w:line="320" w:lineRule="exact"/>
              <w:jc w:val="center"/>
              <w:rPr>
                <w:rFonts w:ascii="Times New Roman"/>
                <w:snapToGrid w:val="0"/>
                <w:sz w:val="21"/>
                <w:szCs w:val="21"/>
              </w:rPr>
            </w:pPr>
            <w:r>
              <w:rPr>
                <w:rFonts w:ascii="Times New Roman"/>
                <w:sz w:val="21"/>
                <w:szCs w:val="21"/>
              </w:rPr>
              <w:t>二甲苯、石油</w:t>
            </w:r>
            <w:r>
              <w:rPr>
                <w:rFonts w:ascii="Times New Roman"/>
                <w:bCs/>
                <w:iCs/>
                <w:sz w:val="21"/>
                <w:szCs w:val="21"/>
              </w:rPr>
              <w:t>烃</w:t>
            </w:r>
          </w:p>
        </w:tc>
        <w:tc>
          <w:tcPr>
            <w:tcW w:w="561" w:type="pct"/>
            <w:shd w:val="clear" w:color="auto" w:fill="auto"/>
            <w:tcMar>
              <w:left w:w="28" w:type="dxa"/>
              <w:right w:w="28" w:type="dxa"/>
            </w:tcMar>
            <w:vAlign w:val="center"/>
          </w:tcPr>
          <w:p w14:paraId="6A7D1083">
            <w:pPr>
              <w:spacing w:line="320" w:lineRule="exact"/>
              <w:jc w:val="center"/>
              <w:rPr>
                <w:rFonts w:ascii="Times New Roman"/>
                <w:snapToGrid w:val="0"/>
                <w:sz w:val="21"/>
                <w:szCs w:val="21"/>
                <w:lang w:eastAsia="en-US"/>
              </w:rPr>
            </w:pPr>
          </w:p>
        </w:tc>
      </w:tr>
      <w:tr w14:paraId="4FF16BD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325A83BB">
            <w:pPr>
              <w:spacing w:line="320" w:lineRule="exact"/>
              <w:jc w:val="center"/>
              <w:rPr>
                <w:rFonts w:ascii="Times New Roman"/>
                <w:b/>
                <w:bCs w:val="0"/>
                <w:snapToGrid w:val="0"/>
                <w:sz w:val="21"/>
                <w:szCs w:val="21"/>
                <w:lang w:eastAsia="en-US"/>
              </w:rPr>
            </w:pPr>
          </w:p>
        </w:tc>
        <w:tc>
          <w:tcPr>
            <w:tcW w:w="923" w:type="pct"/>
            <w:shd w:val="clear" w:color="auto" w:fill="auto"/>
            <w:tcMar>
              <w:left w:w="28" w:type="dxa"/>
              <w:right w:w="28" w:type="dxa"/>
            </w:tcMar>
            <w:vAlign w:val="center"/>
          </w:tcPr>
          <w:p w14:paraId="21D26F51">
            <w:pPr>
              <w:spacing w:line="320" w:lineRule="exact"/>
              <w:jc w:val="center"/>
              <w:rPr>
                <w:rFonts w:ascii="Times New Roman"/>
                <w:snapToGrid w:val="0"/>
                <w:sz w:val="21"/>
                <w:szCs w:val="21"/>
                <w:lang w:eastAsia="en-US"/>
              </w:rPr>
            </w:pPr>
            <w:r>
              <w:rPr>
                <w:rFonts w:ascii="Times New Roman"/>
                <w:snapToGrid w:val="0"/>
                <w:sz w:val="21"/>
                <w:szCs w:val="21"/>
                <w:lang w:eastAsia="en-US"/>
              </w:rPr>
              <w:t>预测方法</w:t>
            </w:r>
          </w:p>
        </w:tc>
        <w:tc>
          <w:tcPr>
            <w:tcW w:w="3318" w:type="pct"/>
            <w:gridSpan w:val="7"/>
            <w:shd w:val="clear" w:color="auto" w:fill="auto"/>
            <w:tcMar>
              <w:left w:w="28" w:type="dxa"/>
              <w:right w:w="28" w:type="dxa"/>
            </w:tcMar>
            <w:vAlign w:val="center"/>
          </w:tcPr>
          <w:p w14:paraId="2D279FE2">
            <w:pPr>
              <w:spacing w:line="320" w:lineRule="exact"/>
              <w:jc w:val="center"/>
              <w:rPr>
                <w:rFonts w:ascii="Times New Roman"/>
                <w:snapToGrid w:val="0"/>
                <w:sz w:val="21"/>
                <w:szCs w:val="21"/>
              </w:rPr>
            </w:pPr>
            <w:r>
              <w:rPr>
                <w:rFonts w:ascii="Times New Roman"/>
                <w:snapToGrid w:val="0"/>
                <w:sz w:val="21"/>
                <w:szCs w:val="21"/>
              </w:rPr>
              <w:t>附录 E√；附录 F□；其他（）</w:t>
            </w:r>
          </w:p>
        </w:tc>
        <w:tc>
          <w:tcPr>
            <w:tcW w:w="561" w:type="pct"/>
            <w:shd w:val="clear" w:color="auto" w:fill="auto"/>
            <w:tcMar>
              <w:left w:w="28" w:type="dxa"/>
              <w:right w:w="28" w:type="dxa"/>
            </w:tcMar>
            <w:vAlign w:val="center"/>
          </w:tcPr>
          <w:p w14:paraId="46D7C91B">
            <w:pPr>
              <w:spacing w:line="320" w:lineRule="exact"/>
              <w:jc w:val="center"/>
              <w:rPr>
                <w:rFonts w:ascii="Times New Roman"/>
                <w:snapToGrid w:val="0"/>
                <w:sz w:val="21"/>
                <w:szCs w:val="21"/>
              </w:rPr>
            </w:pPr>
          </w:p>
        </w:tc>
      </w:tr>
      <w:tr w14:paraId="2D8F012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3" w:hRule="atLeast"/>
          <w:jc w:val="center"/>
        </w:trPr>
        <w:tc>
          <w:tcPr>
            <w:tcW w:w="196" w:type="pct"/>
            <w:vMerge w:val="continue"/>
            <w:tcBorders>
              <w:tl2br w:val="nil"/>
              <w:tr2bl w:val="nil"/>
            </w:tcBorders>
            <w:shd w:val="clear" w:color="auto" w:fill="auto"/>
            <w:tcMar>
              <w:left w:w="28" w:type="dxa"/>
              <w:right w:w="28" w:type="dxa"/>
            </w:tcMar>
            <w:vAlign w:val="center"/>
          </w:tcPr>
          <w:p w14:paraId="40F7680B">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738297B1">
            <w:pPr>
              <w:spacing w:line="320" w:lineRule="exact"/>
              <w:jc w:val="center"/>
              <w:rPr>
                <w:rFonts w:ascii="Times New Roman"/>
                <w:snapToGrid w:val="0"/>
                <w:sz w:val="21"/>
                <w:szCs w:val="21"/>
                <w:lang w:eastAsia="en-US"/>
              </w:rPr>
            </w:pPr>
            <w:r>
              <w:rPr>
                <w:rFonts w:ascii="Times New Roman"/>
                <w:snapToGrid w:val="0"/>
                <w:sz w:val="21"/>
                <w:szCs w:val="21"/>
                <w:lang w:eastAsia="en-US"/>
              </w:rPr>
              <w:t>预测分析内容</w:t>
            </w:r>
          </w:p>
        </w:tc>
        <w:tc>
          <w:tcPr>
            <w:tcW w:w="3318" w:type="pct"/>
            <w:gridSpan w:val="7"/>
            <w:shd w:val="clear" w:color="auto" w:fill="auto"/>
            <w:tcMar>
              <w:left w:w="28" w:type="dxa"/>
              <w:right w:w="28" w:type="dxa"/>
            </w:tcMar>
            <w:vAlign w:val="center"/>
          </w:tcPr>
          <w:p w14:paraId="73138ACE">
            <w:pPr>
              <w:spacing w:line="320" w:lineRule="exact"/>
              <w:jc w:val="center"/>
              <w:rPr>
                <w:rFonts w:ascii="Times New Roman"/>
                <w:snapToGrid w:val="0"/>
                <w:sz w:val="21"/>
                <w:szCs w:val="21"/>
              </w:rPr>
            </w:pPr>
            <w:r>
              <w:rPr>
                <w:rFonts w:ascii="Times New Roman"/>
                <w:snapToGrid w:val="0"/>
                <w:sz w:val="21"/>
                <w:szCs w:val="21"/>
              </w:rPr>
              <w:t>影响范围（200m）</w:t>
            </w:r>
            <w:r>
              <w:rPr>
                <w:rFonts w:hint="eastAsia" w:ascii="Times New Roman"/>
                <w:snapToGrid w:val="0"/>
                <w:sz w:val="21"/>
                <w:szCs w:val="21"/>
              </w:rPr>
              <w:t>，</w:t>
            </w:r>
            <w:r>
              <w:rPr>
                <w:rFonts w:ascii="Times New Roman"/>
                <w:snapToGrid w:val="0"/>
                <w:sz w:val="21"/>
                <w:szCs w:val="21"/>
              </w:rPr>
              <w:t>影响程度（可接受）</w:t>
            </w:r>
          </w:p>
        </w:tc>
        <w:tc>
          <w:tcPr>
            <w:tcW w:w="561" w:type="pct"/>
            <w:shd w:val="clear" w:color="auto" w:fill="auto"/>
            <w:tcMar>
              <w:left w:w="28" w:type="dxa"/>
              <w:right w:w="28" w:type="dxa"/>
            </w:tcMar>
            <w:vAlign w:val="center"/>
          </w:tcPr>
          <w:p w14:paraId="4300B00D">
            <w:pPr>
              <w:spacing w:line="320" w:lineRule="exact"/>
              <w:jc w:val="center"/>
              <w:rPr>
                <w:rFonts w:ascii="Times New Roman"/>
                <w:snapToGrid w:val="0"/>
                <w:sz w:val="21"/>
                <w:szCs w:val="21"/>
              </w:rPr>
            </w:pPr>
          </w:p>
        </w:tc>
      </w:tr>
      <w:tr w14:paraId="7607863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96" w:type="pct"/>
            <w:vMerge w:val="continue"/>
            <w:tcBorders>
              <w:tl2br w:val="nil"/>
              <w:tr2bl w:val="nil"/>
            </w:tcBorders>
            <w:shd w:val="clear" w:color="auto" w:fill="auto"/>
            <w:tcMar>
              <w:left w:w="28" w:type="dxa"/>
              <w:right w:w="28" w:type="dxa"/>
            </w:tcMar>
            <w:vAlign w:val="center"/>
          </w:tcPr>
          <w:p w14:paraId="14CF1EC3">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7A41F693">
            <w:pPr>
              <w:spacing w:line="320" w:lineRule="exact"/>
              <w:jc w:val="center"/>
              <w:rPr>
                <w:rFonts w:ascii="Times New Roman"/>
                <w:snapToGrid w:val="0"/>
                <w:sz w:val="21"/>
                <w:szCs w:val="21"/>
                <w:lang w:eastAsia="en-US"/>
              </w:rPr>
            </w:pPr>
            <w:r>
              <w:rPr>
                <w:rFonts w:ascii="Times New Roman"/>
                <w:snapToGrid w:val="0"/>
                <w:sz w:val="21"/>
                <w:szCs w:val="21"/>
                <w:lang w:eastAsia="en-US"/>
              </w:rPr>
              <w:t>预测结论</w:t>
            </w:r>
          </w:p>
        </w:tc>
        <w:tc>
          <w:tcPr>
            <w:tcW w:w="3318" w:type="pct"/>
            <w:gridSpan w:val="7"/>
            <w:shd w:val="clear" w:color="auto" w:fill="auto"/>
            <w:tcMar>
              <w:left w:w="28" w:type="dxa"/>
              <w:right w:w="28" w:type="dxa"/>
            </w:tcMar>
            <w:vAlign w:val="center"/>
          </w:tcPr>
          <w:p w14:paraId="05AB6B03">
            <w:pPr>
              <w:spacing w:line="320" w:lineRule="exact"/>
              <w:jc w:val="center"/>
              <w:rPr>
                <w:rFonts w:ascii="Times New Roman"/>
                <w:snapToGrid w:val="0"/>
                <w:sz w:val="21"/>
                <w:szCs w:val="21"/>
              </w:rPr>
            </w:pPr>
            <w:r>
              <w:rPr>
                <w:rFonts w:ascii="Times New Roman"/>
                <w:snapToGrid w:val="0"/>
                <w:sz w:val="21"/>
                <w:szCs w:val="21"/>
              </w:rPr>
              <w:t>达标结论：a）√；b）□；c）□</w:t>
            </w:r>
          </w:p>
          <w:p w14:paraId="42FFB13E">
            <w:pPr>
              <w:spacing w:line="320" w:lineRule="exact"/>
              <w:jc w:val="center"/>
              <w:rPr>
                <w:rFonts w:ascii="Times New Roman"/>
                <w:snapToGrid w:val="0"/>
                <w:sz w:val="21"/>
                <w:szCs w:val="21"/>
              </w:rPr>
            </w:pPr>
            <w:r>
              <w:rPr>
                <w:rFonts w:ascii="Times New Roman"/>
                <w:snapToGrid w:val="0"/>
                <w:sz w:val="21"/>
                <w:szCs w:val="21"/>
              </w:rPr>
              <w:t>不达标结论：a）□；b）□</w:t>
            </w:r>
          </w:p>
        </w:tc>
        <w:tc>
          <w:tcPr>
            <w:tcW w:w="561" w:type="pct"/>
            <w:shd w:val="clear" w:color="auto" w:fill="auto"/>
            <w:tcMar>
              <w:left w:w="28" w:type="dxa"/>
              <w:right w:w="28" w:type="dxa"/>
            </w:tcMar>
            <w:vAlign w:val="center"/>
          </w:tcPr>
          <w:p w14:paraId="06AC5A7F">
            <w:pPr>
              <w:spacing w:line="320" w:lineRule="exact"/>
              <w:jc w:val="center"/>
              <w:rPr>
                <w:rFonts w:ascii="Times New Roman"/>
                <w:snapToGrid w:val="0"/>
                <w:sz w:val="21"/>
                <w:szCs w:val="21"/>
              </w:rPr>
            </w:pPr>
          </w:p>
        </w:tc>
      </w:tr>
      <w:tr w14:paraId="5437C08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restart"/>
            <w:tcBorders>
              <w:tl2br w:val="nil"/>
              <w:tr2bl w:val="nil"/>
            </w:tcBorders>
            <w:shd w:val="clear" w:color="auto" w:fill="auto"/>
            <w:tcMar>
              <w:left w:w="28" w:type="dxa"/>
              <w:right w:w="28" w:type="dxa"/>
            </w:tcMar>
            <w:vAlign w:val="center"/>
          </w:tcPr>
          <w:p w14:paraId="60D0AABB">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防治措施</w:t>
            </w:r>
          </w:p>
        </w:tc>
        <w:tc>
          <w:tcPr>
            <w:tcW w:w="923" w:type="pct"/>
            <w:shd w:val="clear" w:color="auto" w:fill="auto"/>
            <w:tcMar>
              <w:left w:w="28" w:type="dxa"/>
              <w:right w:w="28" w:type="dxa"/>
            </w:tcMar>
            <w:vAlign w:val="center"/>
          </w:tcPr>
          <w:p w14:paraId="5D0D16B4">
            <w:pPr>
              <w:spacing w:line="320" w:lineRule="exact"/>
              <w:jc w:val="center"/>
              <w:rPr>
                <w:rFonts w:ascii="Times New Roman"/>
                <w:snapToGrid w:val="0"/>
                <w:sz w:val="21"/>
                <w:szCs w:val="21"/>
                <w:lang w:eastAsia="en-US"/>
              </w:rPr>
            </w:pPr>
            <w:r>
              <w:rPr>
                <w:rFonts w:ascii="Times New Roman"/>
                <w:snapToGrid w:val="0"/>
                <w:sz w:val="21"/>
                <w:szCs w:val="21"/>
                <w:lang w:eastAsia="en-US"/>
              </w:rPr>
              <w:t>防控措施</w:t>
            </w:r>
          </w:p>
        </w:tc>
        <w:tc>
          <w:tcPr>
            <w:tcW w:w="3318" w:type="pct"/>
            <w:gridSpan w:val="7"/>
            <w:shd w:val="clear" w:color="auto" w:fill="auto"/>
            <w:tcMar>
              <w:left w:w="28" w:type="dxa"/>
              <w:right w:w="28" w:type="dxa"/>
            </w:tcMar>
            <w:vAlign w:val="center"/>
          </w:tcPr>
          <w:p w14:paraId="12B9EB00">
            <w:pPr>
              <w:spacing w:line="320" w:lineRule="exact"/>
              <w:jc w:val="center"/>
              <w:rPr>
                <w:rFonts w:ascii="Times New Roman"/>
                <w:snapToGrid w:val="0"/>
                <w:sz w:val="21"/>
                <w:szCs w:val="21"/>
              </w:rPr>
            </w:pPr>
            <w:r>
              <w:rPr>
                <w:rFonts w:ascii="Times New Roman"/>
                <w:snapToGrid w:val="0"/>
                <w:sz w:val="21"/>
                <w:szCs w:val="21"/>
              </w:rPr>
              <w:t>土壤环境质量现状保障√；源头控制√；过程防控√；其他（）</w:t>
            </w:r>
          </w:p>
        </w:tc>
        <w:tc>
          <w:tcPr>
            <w:tcW w:w="561" w:type="pct"/>
            <w:shd w:val="clear" w:color="auto" w:fill="auto"/>
            <w:tcMar>
              <w:left w:w="28" w:type="dxa"/>
              <w:right w:w="28" w:type="dxa"/>
            </w:tcMar>
            <w:vAlign w:val="center"/>
          </w:tcPr>
          <w:p w14:paraId="45DB71FE">
            <w:pPr>
              <w:spacing w:line="320" w:lineRule="exact"/>
              <w:jc w:val="center"/>
              <w:rPr>
                <w:rFonts w:ascii="Times New Roman"/>
                <w:snapToGrid w:val="0"/>
                <w:sz w:val="21"/>
                <w:szCs w:val="21"/>
              </w:rPr>
            </w:pPr>
          </w:p>
        </w:tc>
      </w:tr>
      <w:tr w14:paraId="7BB5D9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8" w:hRule="atLeast"/>
          <w:jc w:val="center"/>
        </w:trPr>
        <w:tc>
          <w:tcPr>
            <w:tcW w:w="196" w:type="pct"/>
            <w:vMerge w:val="continue"/>
            <w:tcBorders>
              <w:tl2br w:val="nil"/>
              <w:tr2bl w:val="nil"/>
            </w:tcBorders>
            <w:shd w:val="clear" w:color="auto" w:fill="auto"/>
            <w:tcMar>
              <w:left w:w="28" w:type="dxa"/>
              <w:right w:w="28" w:type="dxa"/>
            </w:tcMar>
            <w:vAlign w:val="center"/>
          </w:tcPr>
          <w:p w14:paraId="0F25D2C6">
            <w:pPr>
              <w:spacing w:line="320" w:lineRule="exact"/>
              <w:jc w:val="center"/>
              <w:rPr>
                <w:rFonts w:ascii="Times New Roman"/>
                <w:b/>
                <w:bCs w:val="0"/>
                <w:snapToGrid w:val="0"/>
                <w:sz w:val="21"/>
                <w:szCs w:val="21"/>
              </w:rPr>
            </w:pPr>
          </w:p>
        </w:tc>
        <w:tc>
          <w:tcPr>
            <w:tcW w:w="923" w:type="pct"/>
            <w:vMerge w:val="restart"/>
            <w:shd w:val="clear" w:color="auto" w:fill="auto"/>
            <w:tcMar>
              <w:left w:w="28" w:type="dxa"/>
              <w:right w:w="28" w:type="dxa"/>
            </w:tcMar>
            <w:vAlign w:val="center"/>
          </w:tcPr>
          <w:p w14:paraId="2292CC11">
            <w:pPr>
              <w:spacing w:line="320" w:lineRule="exact"/>
              <w:jc w:val="center"/>
              <w:rPr>
                <w:rFonts w:ascii="Times New Roman"/>
                <w:snapToGrid w:val="0"/>
                <w:sz w:val="21"/>
                <w:szCs w:val="21"/>
                <w:lang w:eastAsia="en-US"/>
              </w:rPr>
            </w:pPr>
            <w:r>
              <w:rPr>
                <w:rFonts w:ascii="Times New Roman"/>
                <w:snapToGrid w:val="0"/>
                <w:sz w:val="21"/>
                <w:szCs w:val="21"/>
                <w:lang w:eastAsia="en-US"/>
              </w:rPr>
              <w:t>跟踪监测</w:t>
            </w:r>
          </w:p>
        </w:tc>
        <w:tc>
          <w:tcPr>
            <w:tcW w:w="807" w:type="pct"/>
            <w:gridSpan w:val="2"/>
            <w:shd w:val="clear" w:color="auto" w:fill="auto"/>
            <w:tcMar>
              <w:left w:w="28" w:type="dxa"/>
              <w:right w:w="28" w:type="dxa"/>
            </w:tcMar>
            <w:vAlign w:val="center"/>
          </w:tcPr>
          <w:p w14:paraId="598EC1F8">
            <w:pPr>
              <w:spacing w:line="320" w:lineRule="exact"/>
              <w:jc w:val="center"/>
              <w:rPr>
                <w:rFonts w:ascii="Times New Roman"/>
                <w:snapToGrid w:val="0"/>
                <w:sz w:val="21"/>
                <w:szCs w:val="21"/>
                <w:lang w:eastAsia="en-US"/>
              </w:rPr>
            </w:pPr>
            <w:r>
              <w:rPr>
                <w:rFonts w:ascii="Times New Roman"/>
                <w:snapToGrid w:val="0"/>
                <w:sz w:val="21"/>
                <w:szCs w:val="21"/>
                <w:lang w:eastAsia="en-US"/>
              </w:rPr>
              <w:t>监测点数</w:t>
            </w:r>
          </w:p>
        </w:tc>
        <w:tc>
          <w:tcPr>
            <w:tcW w:w="622" w:type="pct"/>
            <w:tcBorders>
              <w:right w:val="single" w:color="auto" w:sz="4" w:space="0"/>
            </w:tcBorders>
            <w:shd w:val="clear" w:color="auto" w:fill="auto"/>
            <w:tcMar>
              <w:left w:w="28" w:type="dxa"/>
              <w:right w:w="28" w:type="dxa"/>
            </w:tcMar>
            <w:vAlign w:val="center"/>
          </w:tcPr>
          <w:p w14:paraId="1EE1F3F9">
            <w:pPr>
              <w:spacing w:line="320" w:lineRule="exact"/>
              <w:jc w:val="center"/>
              <w:rPr>
                <w:rFonts w:ascii="Times New Roman"/>
                <w:snapToGrid w:val="0"/>
                <w:sz w:val="21"/>
                <w:szCs w:val="21"/>
                <w:lang w:eastAsia="en-US"/>
              </w:rPr>
            </w:pPr>
            <w:r>
              <w:rPr>
                <w:rFonts w:ascii="Times New Roman"/>
                <w:snapToGrid w:val="0"/>
                <w:sz w:val="21"/>
                <w:szCs w:val="21"/>
                <w:lang w:eastAsia="en-US"/>
              </w:rPr>
              <w:t>位置</w:t>
            </w:r>
          </w:p>
        </w:tc>
        <w:tc>
          <w:tcPr>
            <w:tcW w:w="1334" w:type="pct"/>
            <w:gridSpan w:val="3"/>
            <w:tcBorders>
              <w:left w:val="single" w:color="auto" w:sz="4" w:space="0"/>
            </w:tcBorders>
            <w:shd w:val="clear" w:color="auto" w:fill="auto"/>
            <w:vAlign w:val="center"/>
          </w:tcPr>
          <w:p w14:paraId="01760096">
            <w:pPr>
              <w:spacing w:line="320" w:lineRule="exact"/>
              <w:jc w:val="center"/>
              <w:rPr>
                <w:rFonts w:ascii="Times New Roman"/>
                <w:snapToGrid w:val="0"/>
                <w:sz w:val="21"/>
                <w:szCs w:val="21"/>
                <w:lang w:eastAsia="en-US"/>
              </w:rPr>
            </w:pPr>
            <w:r>
              <w:rPr>
                <w:rFonts w:ascii="Times New Roman"/>
                <w:snapToGrid w:val="0"/>
                <w:sz w:val="21"/>
                <w:szCs w:val="21"/>
                <w:lang w:eastAsia="en-US"/>
              </w:rPr>
              <w:t>监测指标</w:t>
            </w:r>
          </w:p>
        </w:tc>
        <w:tc>
          <w:tcPr>
            <w:tcW w:w="554" w:type="pct"/>
            <w:shd w:val="clear" w:color="auto" w:fill="auto"/>
            <w:tcMar>
              <w:left w:w="28" w:type="dxa"/>
              <w:right w:w="28" w:type="dxa"/>
            </w:tcMar>
            <w:vAlign w:val="center"/>
          </w:tcPr>
          <w:p w14:paraId="64D69961">
            <w:pPr>
              <w:spacing w:line="320" w:lineRule="exact"/>
              <w:jc w:val="center"/>
              <w:rPr>
                <w:rFonts w:ascii="Times New Roman"/>
                <w:snapToGrid w:val="0"/>
                <w:sz w:val="21"/>
                <w:szCs w:val="21"/>
                <w:lang w:eastAsia="en-US"/>
              </w:rPr>
            </w:pPr>
            <w:r>
              <w:rPr>
                <w:rFonts w:ascii="Times New Roman"/>
                <w:snapToGrid w:val="0"/>
                <w:sz w:val="21"/>
                <w:szCs w:val="21"/>
                <w:lang w:eastAsia="en-US"/>
              </w:rPr>
              <w:t>监测频次</w:t>
            </w:r>
          </w:p>
        </w:tc>
        <w:tc>
          <w:tcPr>
            <w:tcW w:w="561" w:type="pct"/>
            <w:vMerge w:val="restart"/>
            <w:shd w:val="clear" w:color="auto" w:fill="auto"/>
            <w:tcMar>
              <w:left w:w="28" w:type="dxa"/>
              <w:right w:w="28" w:type="dxa"/>
            </w:tcMar>
            <w:vAlign w:val="center"/>
          </w:tcPr>
          <w:p w14:paraId="4509C348">
            <w:pPr>
              <w:spacing w:line="320" w:lineRule="exact"/>
              <w:jc w:val="center"/>
              <w:rPr>
                <w:rFonts w:ascii="Times New Roman"/>
                <w:snapToGrid w:val="0"/>
                <w:sz w:val="21"/>
                <w:szCs w:val="21"/>
                <w:lang w:eastAsia="en-US"/>
              </w:rPr>
            </w:pPr>
          </w:p>
        </w:tc>
      </w:tr>
      <w:tr w14:paraId="7CFA4A9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8" w:hRule="atLeast"/>
          <w:jc w:val="center"/>
        </w:trPr>
        <w:tc>
          <w:tcPr>
            <w:tcW w:w="196" w:type="pct"/>
            <w:vMerge w:val="continue"/>
            <w:tcBorders>
              <w:tl2br w:val="nil"/>
              <w:tr2bl w:val="nil"/>
            </w:tcBorders>
            <w:shd w:val="clear" w:color="auto" w:fill="auto"/>
            <w:tcMar>
              <w:left w:w="28" w:type="dxa"/>
              <w:right w:w="28" w:type="dxa"/>
            </w:tcMar>
            <w:vAlign w:val="center"/>
          </w:tcPr>
          <w:p w14:paraId="1A4CFCA0">
            <w:pPr>
              <w:spacing w:line="320" w:lineRule="exact"/>
              <w:jc w:val="center"/>
              <w:rPr>
                <w:rFonts w:ascii="Times New Roman"/>
                <w:b/>
                <w:bCs w:val="0"/>
                <w:snapToGrid w:val="0"/>
                <w:sz w:val="21"/>
                <w:szCs w:val="21"/>
                <w:lang w:eastAsia="en-US"/>
              </w:rPr>
            </w:pPr>
          </w:p>
        </w:tc>
        <w:tc>
          <w:tcPr>
            <w:tcW w:w="923" w:type="pct"/>
            <w:vMerge w:val="continue"/>
            <w:shd w:val="clear" w:color="auto" w:fill="auto"/>
            <w:tcMar>
              <w:left w:w="28" w:type="dxa"/>
              <w:right w:w="28" w:type="dxa"/>
            </w:tcMar>
            <w:vAlign w:val="center"/>
          </w:tcPr>
          <w:p w14:paraId="785857A2">
            <w:pPr>
              <w:spacing w:line="320" w:lineRule="exact"/>
              <w:jc w:val="center"/>
              <w:rPr>
                <w:rFonts w:ascii="Times New Roman"/>
                <w:snapToGrid w:val="0"/>
                <w:sz w:val="21"/>
                <w:szCs w:val="21"/>
                <w:lang w:eastAsia="en-US"/>
              </w:rPr>
            </w:pPr>
          </w:p>
        </w:tc>
        <w:tc>
          <w:tcPr>
            <w:tcW w:w="807" w:type="pct"/>
            <w:gridSpan w:val="2"/>
            <w:vMerge w:val="restart"/>
            <w:shd w:val="clear" w:color="auto" w:fill="auto"/>
            <w:tcMar>
              <w:left w:w="28" w:type="dxa"/>
              <w:right w:w="28" w:type="dxa"/>
            </w:tcMar>
            <w:vAlign w:val="center"/>
          </w:tcPr>
          <w:p w14:paraId="1CEAE742">
            <w:pPr>
              <w:spacing w:line="320" w:lineRule="exact"/>
              <w:jc w:val="center"/>
              <w:rPr>
                <w:rFonts w:ascii="Times New Roman"/>
                <w:snapToGrid w:val="0"/>
                <w:sz w:val="21"/>
                <w:szCs w:val="21"/>
              </w:rPr>
            </w:pPr>
            <w:r>
              <w:rPr>
                <w:rFonts w:ascii="Times New Roman"/>
                <w:snapToGrid w:val="0"/>
                <w:sz w:val="21"/>
                <w:szCs w:val="21"/>
              </w:rPr>
              <w:t>3</w:t>
            </w:r>
          </w:p>
        </w:tc>
        <w:tc>
          <w:tcPr>
            <w:tcW w:w="622" w:type="pct"/>
            <w:tcBorders>
              <w:right w:val="single" w:color="auto" w:sz="4" w:space="0"/>
            </w:tcBorders>
            <w:shd w:val="clear" w:color="auto" w:fill="auto"/>
            <w:tcMar>
              <w:left w:w="28" w:type="dxa"/>
              <w:right w:w="28" w:type="dxa"/>
            </w:tcMar>
            <w:vAlign w:val="center"/>
          </w:tcPr>
          <w:p w14:paraId="47E0345B">
            <w:pPr>
              <w:spacing w:line="0" w:lineRule="atLeast"/>
              <w:jc w:val="center"/>
              <w:rPr>
                <w:rFonts w:ascii="Times New Roman"/>
                <w:sz w:val="21"/>
                <w:szCs w:val="21"/>
                <w:lang w:eastAsia="en-US"/>
              </w:rPr>
            </w:pPr>
            <w:r>
              <w:rPr>
                <w:rFonts w:hint="eastAsia" w:ascii="Times New Roman"/>
                <w:sz w:val="21"/>
                <w:szCs w:val="21"/>
              </w:rPr>
              <w:t>污水处理站</w:t>
            </w:r>
          </w:p>
        </w:tc>
        <w:tc>
          <w:tcPr>
            <w:tcW w:w="1334" w:type="pct"/>
            <w:gridSpan w:val="3"/>
            <w:tcBorders>
              <w:left w:val="single" w:color="auto" w:sz="4" w:space="0"/>
            </w:tcBorders>
            <w:shd w:val="clear" w:color="auto" w:fill="auto"/>
            <w:vAlign w:val="center"/>
          </w:tcPr>
          <w:p w14:paraId="5C4C4066">
            <w:pPr>
              <w:spacing w:line="0" w:lineRule="atLeast"/>
              <w:jc w:val="center"/>
              <w:rPr>
                <w:rFonts w:ascii="Times New Roman"/>
                <w:snapToGrid w:val="0"/>
                <w:sz w:val="21"/>
                <w:szCs w:val="21"/>
              </w:rPr>
            </w:pPr>
            <w:r>
              <w:rPr>
                <w:rFonts w:ascii="Times New Roman"/>
                <w:kern w:val="0"/>
                <w:sz w:val="21"/>
                <w:szCs w:val="21"/>
              </w:rPr>
              <w:t>间二甲苯、对二甲苯、邻二甲苯</w:t>
            </w:r>
            <w:r>
              <w:rPr>
                <w:rFonts w:hint="eastAsia" w:ascii="Times New Roman"/>
                <w:kern w:val="0"/>
                <w:sz w:val="21"/>
                <w:szCs w:val="21"/>
              </w:rPr>
              <w:t>、石油烃</w:t>
            </w:r>
          </w:p>
        </w:tc>
        <w:tc>
          <w:tcPr>
            <w:tcW w:w="554" w:type="pct"/>
            <w:vMerge w:val="restart"/>
            <w:shd w:val="clear" w:color="auto" w:fill="auto"/>
            <w:tcMar>
              <w:left w:w="28" w:type="dxa"/>
              <w:right w:w="28" w:type="dxa"/>
            </w:tcMar>
            <w:vAlign w:val="center"/>
          </w:tcPr>
          <w:p w14:paraId="6CB91991">
            <w:pPr>
              <w:spacing w:line="320" w:lineRule="exact"/>
              <w:jc w:val="center"/>
              <w:rPr>
                <w:rFonts w:ascii="Times New Roman"/>
                <w:snapToGrid w:val="0"/>
                <w:sz w:val="21"/>
                <w:szCs w:val="21"/>
                <w:lang w:eastAsia="en-US"/>
              </w:rPr>
            </w:pPr>
            <w:r>
              <w:rPr>
                <w:rFonts w:ascii="Times New Roman"/>
                <w:snapToGrid w:val="0"/>
                <w:sz w:val="21"/>
                <w:szCs w:val="21"/>
                <w:lang w:eastAsia="en-US"/>
              </w:rPr>
              <w:t>1次/5年</w:t>
            </w:r>
          </w:p>
        </w:tc>
        <w:tc>
          <w:tcPr>
            <w:tcW w:w="561" w:type="pct"/>
            <w:vMerge w:val="continue"/>
            <w:shd w:val="clear" w:color="auto" w:fill="auto"/>
            <w:tcMar>
              <w:left w:w="28" w:type="dxa"/>
              <w:right w:w="28" w:type="dxa"/>
            </w:tcMar>
            <w:vAlign w:val="center"/>
          </w:tcPr>
          <w:p w14:paraId="30D9DACE">
            <w:pPr>
              <w:adjustRightInd w:val="0"/>
              <w:snapToGrid w:val="0"/>
              <w:ind w:firstLine="420" w:firstLineChars="200"/>
              <w:jc w:val="center"/>
              <w:rPr>
                <w:rFonts w:ascii="Times New Roman"/>
                <w:snapToGrid w:val="0"/>
                <w:sz w:val="21"/>
                <w:szCs w:val="21"/>
                <w:lang w:eastAsia="en-US"/>
              </w:rPr>
            </w:pPr>
          </w:p>
        </w:tc>
      </w:tr>
      <w:tr w14:paraId="10DF044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8" w:hRule="atLeast"/>
          <w:jc w:val="center"/>
        </w:trPr>
        <w:tc>
          <w:tcPr>
            <w:tcW w:w="196" w:type="pct"/>
            <w:vMerge w:val="continue"/>
            <w:tcBorders>
              <w:tl2br w:val="nil"/>
              <w:tr2bl w:val="nil"/>
            </w:tcBorders>
            <w:shd w:val="clear" w:color="auto" w:fill="auto"/>
            <w:tcMar>
              <w:left w:w="28" w:type="dxa"/>
              <w:right w:w="28" w:type="dxa"/>
            </w:tcMar>
            <w:vAlign w:val="center"/>
          </w:tcPr>
          <w:p w14:paraId="084417E3">
            <w:pPr>
              <w:spacing w:line="320" w:lineRule="exact"/>
              <w:jc w:val="center"/>
              <w:rPr>
                <w:rFonts w:ascii="Times New Roman"/>
                <w:b/>
                <w:bCs w:val="0"/>
                <w:snapToGrid w:val="0"/>
                <w:sz w:val="21"/>
                <w:szCs w:val="21"/>
                <w:lang w:eastAsia="en-US"/>
              </w:rPr>
            </w:pPr>
          </w:p>
        </w:tc>
        <w:tc>
          <w:tcPr>
            <w:tcW w:w="923" w:type="pct"/>
            <w:vMerge w:val="continue"/>
            <w:shd w:val="clear" w:color="auto" w:fill="auto"/>
            <w:tcMar>
              <w:left w:w="28" w:type="dxa"/>
              <w:right w:w="28" w:type="dxa"/>
            </w:tcMar>
            <w:vAlign w:val="center"/>
          </w:tcPr>
          <w:p w14:paraId="764DAD8D">
            <w:pPr>
              <w:spacing w:line="320" w:lineRule="exact"/>
              <w:jc w:val="center"/>
              <w:rPr>
                <w:rFonts w:ascii="Times New Roman"/>
                <w:snapToGrid w:val="0"/>
                <w:sz w:val="21"/>
                <w:szCs w:val="21"/>
                <w:lang w:eastAsia="en-US"/>
              </w:rPr>
            </w:pPr>
          </w:p>
        </w:tc>
        <w:tc>
          <w:tcPr>
            <w:tcW w:w="807" w:type="pct"/>
            <w:gridSpan w:val="2"/>
            <w:vMerge w:val="continue"/>
            <w:shd w:val="clear" w:color="auto" w:fill="auto"/>
            <w:tcMar>
              <w:left w:w="28" w:type="dxa"/>
              <w:right w:w="28" w:type="dxa"/>
            </w:tcMar>
            <w:vAlign w:val="center"/>
          </w:tcPr>
          <w:p w14:paraId="6A8562CC">
            <w:pPr>
              <w:spacing w:line="320" w:lineRule="exact"/>
              <w:jc w:val="center"/>
              <w:rPr>
                <w:rFonts w:ascii="Times New Roman"/>
                <w:snapToGrid w:val="0"/>
                <w:sz w:val="21"/>
                <w:szCs w:val="21"/>
              </w:rPr>
            </w:pPr>
          </w:p>
        </w:tc>
        <w:tc>
          <w:tcPr>
            <w:tcW w:w="622" w:type="pct"/>
            <w:tcBorders>
              <w:right w:val="single" w:color="auto" w:sz="4" w:space="0"/>
            </w:tcBorders>
            <w:shd w:val="clear" w:color="auto" w:fill="auto"/>
            <w:tcMar>
              <w:left w:w="28" w:type="dxa"/>
              <w:right w:w="28" w:type="dxa"/>
            </w:tcMar>
            <w:vAlign w:val="center"/>
          </w:tcPr>
          <w:p w14:paraId="4D052227">
            <w:pPr>
              <w:spacing w:line="0" w:lineRule="atLeast"/>
              <w:jc w:val="center"/>
              <w:rPr>
                <w:rFonts w:ascii="Times New Roman"/>
                <w:sz w:val="21"/>
                <w:szCs w:val="21"/>
                <w:lang w:eastAsia="en-US"/>
              </w:rPr>
            </w:pPr>
            <w:r>
              <w:rPr>
                <w:rFonts w:hint="eastAsia" w:ascii="Times New Roman"/>
                <w:sz w:val="21"/>
                <w:szCs w:val="21"/>
              </w:rPr>
              <w:t>表面涂装区</w:t>
            </w:r>
          </w:p>
        </w:tc>
        <w:tc>
          <w:tcPr>
            <w:tcW w:w="1334" w:type="pct"/>
            <w:gridSpan w:val="3"/>
            <w:tcBorders>
              <w:left w:val="single" w:color="auto" w:sz="4" w:space="0"/>
            </w:tcBorders>
            <w:shd w:val="clear" w:color="auto" w:fill="auto"/>
            <w:vAlign w:val="center"/>
          </w:tcPr>
          <w:p w14:paraId="55824918">
            <w:pPr>
              <w:spacing w:line="0" w:lineRule="atLeast"/>
              <w:jc w:val="center"/>
              <w:rPr>
                <w:rFonts w:ascii="Times New Roman"/>
                <w:snapToGrid w:val="0"/>
                <w:sz w:val="21"/>
                <w:szCs w:val="21"/>
                <w:lang w:eastAsia="en-US"/>
              </w:rPr>
            </w:pPr>
            <w:r>
              <w:rPr>
                <w:rFonts w:ascii="Times New Roman"/>
                <w:kern w:val="0"/>
                <w:sz w:val="21"/>
                <w:szCs w:val="21"/>
              </w:rPr>
              <w:t>间二甲苯、对二甲苯、邻二甲苯</w:t>
            </w:r>
            <w:r>
              <w:rPr>
                <w:rFonts w:hint="eastAsia" w:ascii="Times New Roman"/>
                <w:kern w:val="0"/>
                <w:sz w:val="21"/>
                <w:szCs w:val="21"/>
              </w:rPr>
              <w:t>、石油烃</w:t>
            </w:r>
          </w:p>
        </w:tc>
        <w:tc>
          <w:tcPr>
            <w:tcW w:w="554" w:type="pct"/>
            <w:vMerge w:val="continue"/>
            <w:shd w:val="clear" w:color="auto" w:fill="auto"/>
            <w:tcMar>
              <w:left w:w="28" w:type="dxa"/>
              <w:right w:w="28" w:type="dxa"/>
            </w:tcMar>
            <w:vAlign w:val="center"/>
          </w:tcPr>
          <w:p w14:paraId="33A792B5">
            <w:pPr>
              <w:spacing w:line="320" w:lineRule="exact"/>
              <w:jc w:val="center"/>
              <w:rPr>
                <w:rFonts w:ascii="Times New Roman"/>
                <w:snapToGrid w:val="0"/>
                <w:sz w:val="21"/>
                <w:szCs w:val="21"/>
                <w:lang w:eastAsia="en-US"/>
              </w:rPr>
            </w:pPr>
          </w:p>
        </w:tc>
        <w:tc>
          <w:tcPr>
            <w:tcW w:w="561" w:type="pct"/>
            <w:vMerge w:val="continue"/>
            <w:shd w:val="clear" w:color="auto" w:fill="auto"/>
            <w:tcMar>
              <w:left w:w="28" w:type="dxa"/>
              <w:right w:w="28" w:type="dxa"/>
            </w:tcMar>
            <w:vAlign w:val="center"/>
          </w:tcPr>
          <w:p w14:paraId="798B56F3">
            <w:pPr>
              <w:adjustRightInd w:val="0"/>
              <w:snapToGrid w:val="0"/>
              <w:ind w:firstLine="420" w:firstLineChars="200"/>
              <w:jc w:val="center"/>
              <w:rPr>
                <w:rFonts w:ascii="Times New Roman"/>
                <w:snapToGrid w:val="0"/>
                <w:sz w:val="21"/>
                <w:szCs w:val="21"/>
                <w:lang w:eastAsia="en-US"/>
              </w:rPr>
            </w:pPr>
          </w:p>
        </w:tc>
      </w:tr>
      <w:tr w14:paraId="10D170B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8" w:hRule="atLeast"/>
          <w:jc w:val="center"/>
        </w:trPr>
        <w:tc>
          <w:tcPr>
            <w:tcW w:w="196" w:type="pct"/>
            <w:vMerge w:val="continue"/>
            <w:tcBorders>
              <w:tl2br w:val="nil"/>
              <w:tr2bl w:val="nil"/>
            </w:tcBorders>
            <w:shd w:val="clear" w:color="auto" w:fill="auto"/>
            <w:tcMar>
              <w:left w:w="28" w:type="dxa"/>
              <w:right w:w="28" w:type="dxa"/>
            </w:tcMar>
            <w:vAlign w:val="center"/>
          </w:tcPr>
          <w:p w14:paraId="40F04D1C">
            <w:pPr>
              <w:spacing w:line="320" w:lineRule="exact"/>
              <w:jc w:val="center"/>
              <w:rPr>
                <w:rFonts w:ascii="Times New Roman"/>
                <w:b/>
                <w:bCs w:val="0"/>
                <w:snapToGrid w:val="0"/>
                <w:sz w:val="21"/>
                <w:szCs w:val="21"/>
                <w:lang w:eastAsia="en-US"/>
              </w:rPr>
            </w:pPr>
          </w:p>
        </w:tc>
        <w:tc>
          <w:tcPr>
            <w:tcW w:w="923" w:type="pct"/>
            <w:vMerge w:val="continue"/>
            <w:shd w:val="clear" w:color="auto" w:fill="auto"/>
            <w:tcMar>
              <w:left w:w="28" w:type="dxa"/>
              <w:right w:w="28" w:type="dxa"/>
            </w:tcMar>
            <w:vAlign w:val="center"/>
          </w:tcPr>
          <w:p w14:paraId="1BE05132">
            <w:pPr>
              <w:spacing w:line="320" w:lineRule="exact"/>
              <w:jc w:val="center"/>
              <w:rPr>
                <w:rFonts w:ascii="Times New Roman"/>
                <w:snapToGrid w:val="0"/>
                <w:sz w:val="21"/>
                <w:szCs w:val="21"/>
                <w:lang w:eastAsia="en-US"/>
              </w:rPr>
            </w:pPr>
          </w:p>
        </w:tc>
        <w:tc>
          <w:tcPr>
            <w:tcW w:w="807" w:type="pct"/>
            <w:gridSpan w:val="2"/>
            <w:vMerge w:val="continue"/>
            <w:shd w:val="clear" w:color="auto" w:fill="auto"/>
            <w:tcMar>
              <w:left w:w="28" w:type="dxa"/>
              <w:right w:w="28" w:type="dxa"/>
            </w:tcMar>
            <w:vAlign w:val="center"/>
          </w:tcPr>
          <w:p w14:paraId="7C456ACB">
            <w:pPr>
              <w:spacing w:line="320" w:lineRule="exact"/>
              <w:jc w:val="center"/>
              <w:rPr>
                <w:rFonts w:ascii="Times New Roman"/>
                <w:snapToGrid w:val="0"/>
                <w:sz w:val="21"/>
                <w:szCs w:val="21"/>
              </w:rPr>
            </w:pPr>
          </w:p>
        </w:tc>
        <w:tc>
          <w:tcPr>
            <w:tcW w:w="622" w:type="pct"/>
            <w:tcBorders>
              <w:right w:val="single" w:color="auto" w:sz="4" w:space="0"/>
            </w:tcBorders>
            <w:shd w:val="clear" w:color="auto" w:fill="auto"/>
            <w:tcMar>
              <w:left w:w="28" w:type="dxa"/>
              <w:right w:w="28" w:type="dxa"/>
            </w:tcMar>
            <w:vAlign w:val="center"/>
          </w:tcPr>
          <w:p w14:paraId="1C6689D1">
            <w:pPr>
              <w:spacing w:line="0" w:lineRule="atLeast"/>
              <w:jc w:val="center"/>
              <w:rPr>
                <w:rFonts w:ascii="Times New Roman"/>
                <w:sz w:val="21"/>
                <w:szCs w:val="21"/>
                <w:lang w:eastAsia="en-US"/>
              </w:rPr>
            </w:pPr>
            <w:r>
              <w:rPr>
                <w:rFonts w:hint="eastAsia" w:ascii="Times New Roman"/>
                <w:sz w:val="21"/>
                <w:szCs w:val="21"/>
              </w:rPr>
              <w:t>危化库</w:t>
            </w:r>
          </w:p>
        </w:tc>
        <w:tc>
          <w:tcPr>
            <w:tcW w:w="1334" w:type="pct"/>
            <w:gridSpan w:val="3"/>
            <w:tcBorders>
              <w:left w:val="single" w:color="auto" w:sz="4" w:space="0"/>
            </w:tcBorders>
            <w:shd w:val="clear" w:color="auto" w:fill="auto"/>
            <w:vAlign w:val="center"/>
          </w:tcPr>
          <w:p w14:paraId="71E376ED">
            <w:pPr>
              <w:spacing w:line="0" w:lineRule="atLeast"/>
              <w:jc w:val="center"/>
              <w:rPr>
                <w:rFonts w:ascii="Times New Roman"/>
                <w:snapToGrid w:val="0"/>
                <w:sz w:val="21"/>
                <w:szCs w:val="21"/>
              </w:rPr>
            </w:pPr>
            <w:r>
              <w:rPr>
                <w:rFonts w:ascii="Times New Roman"/>
                <w:kern w:val="0"/>
                <w:sz w:val="21"/>
                <w:szCs w:val="21"/>
              </w:rPr>
              <w:t>间二甲苯、对二甲苯、邻二甲苯</w:t>
            </w:r>
            <w:r>
              <w:rPr>
                <w:rFonts w:hint="eastAsia" w:ascii="Times New Roman"/>
                <w:kern w:val="0"/>
                <w:sz w:val="21"/>
                <w:szCs w:val="21"/>
              </w:rPr>
              <w:t>、石油烃</w:t>
            </w:r>
          </w:p>
        </w:tc>
        <w:tc>
          <w:tcPr>
            <w:tcW w:w="554" w:type="pct"/>
            <w:vMerge w:val="continue"/>
            <w:shd w:val="clear" w:color="auto" w:fill="auto"/>
            <w:tcMar>
              <w:left w:w="28" w:type="dxa"/>
              <w:right w:w="28" w:type="dxa"/>
            </w:tcMar>
            <w:vAlign w:val="center"/>
          </w:tcPr>
          <w:p w14:paraId="3A2F2824">
            <w:pPr>
              <w:spacing w:line="320" w:lineRule="exact"/>
              <w:jc w:val="center"/>
              <w:rPr>
                <w:rFonts w:ascii="Times New Roman"/>
                <w:snapToGrid w:val="0"/>
                <w:sz w:val="21"/>
                <w:szCs w:val="21"/>
              </w:rPr>
            </w:pPr>
          </w:p>
        </w:tc>
        <w:tc>
          <w:tcPr>
            <w:tcW w:w="561" w:type="pct"/>
            <w:vMerge w:val="continue"/>
            <w:shd w:val="clear" w:color="auto" w:fill="auto"/>
            <w:tcMar>
              <w:left w:w="28" w:type="dxa"/>
              <w:right w:w="28" w:type="dxa"/>
            </w:tcMar>
            <w:vAlign w:val="center"/>
          </w:tcPr>
          <w:p w14:paraId="62FA5CAB">
            <w:pPr>
              <w:adjustRightInd w:val="0"/>
              <w:snapToGrid w:val="0"/>
              <w:ind w:firstLine="420" w:firstLineChars="200"/>
              <w:jc w:val="center"/>
              <w:rPr>
                <w:rFonts w:ascii="Times New Roman"/>
                <w:snapToGrid w:val="0"/>
                <w:sz w:val="21"/>
                <w:szCs w:val="21"/>
              </w:rPr>
            </w:pPr>
          </w:p>
        </w:tc>
      </w:tr>
      <w:tr w14:paraId="01EBEA4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96" w:type="pct"/>
            <w:vMerge w:val="continue"/>
            <w:tcBorders>
              <w:tl2br w:val="nil"/>
              <w:tr2bl w:val="nil"/>
            </w:tcBorders>
            <w:shd w:val="clear" w:color="auto" w:fill="auto"/>
            <w:tcMar>
              <w:left w:w="28" w:type="dxa"/>
              <w:right w:w="28" w:type="dxa"/>
            </w:tcMar>
            <w:vAlign w:val="center"/>
          </w:tcPr>
          <w:p w14:paraId="2CAC6651">
            <w:pPr>
              <w:spacing w:line="320" w:lineRule="exact"/>
              <w:jc w:val="center"/>
              <w:rPr>
                <w:rFonts w:ascii="Times New Roman"/>
                <w:b/>
                <w:bCs w:val="0"/>
                <w:snapToGrid w:val="0"/>
                <w:sz w:val="21"/>
                <w:szCs w:val="21"/>
              </w:rPr>
            </w:pPr>
          </w:p>
        </w:tc>
        <w:tc>
          <w:tcPr>
            <w:tcW w:w="923" w:type="pct"/>
            <w:shd w:val="clear" w:color="auto" w:fill="auto"/>
            <w:tcMar>
              <w:left w:w="28" w:type="dxa"/>
              <w:right w:w="28" w:type="dxa"/>
            </w:tcMar>
            <w:vAlign w:val="center"/>
          </w:tcPr>
          <w:p w14:paraId="55A56C4C">
            <w:pPr>
              <w:spacing w:line="320" w:lineRule="exact"/>
              <w:jc w:val="center"/>
              <w:rPr>
                <w:rFonts w:ascii="Times New Roman"/>
                <w:snapToGrid w:val="0"/>
                <w:sz w:val="21"/>
                <w:szCs w:val="21"/>
                <w:lang w:eastAsia="en-US"/>
              </w:rPr>
            </w:pPr>
            <w:r>
              <w:rPr>
                <w:rFonts w:ascii="Times New Roman"/>
                <w:snapToGrid w:val="0"/>
                <w:sz w:val="21"/>
                <w:szCs w:val="21"/>
                <w:lang w:eastAsia="en-US"/>
              </w:rPr>
              <w:t>信息公开指标</w:t>
            </w:r>
          </w:p>
        </w:tc>
        <w:tc>
          <w:tcPr>
            <w:tcW w:w="3318" w:type="pct"/>
            <w:gridSpan w:val="7"/>
            <w:shd w:val="clear" w:color="auto" w:fill="auto"/>
            <w:tcMar>
              <w:left w:w="28" w:type="dxa"/>
              <w:right w:w="28" w:type="dxa"/>
            </w:tcMar>
            <w:vAlign w:val="center"/>
          </w:tcPr>
          <w:p w14:paraId="5CB974A6">
            <w:pPr>
              <w:spacing w:line="320" w:lineRule="exact"/>
              <w:jc w:val="center"/>
              <w:rPr>
                <w:rFonts w:ascii="Times New Roman"/>
                <w:snapToGrid w:val="0"/>
                <w:sz w:val="21"/>
                <w:szCs w:val="21"/>
                <w:lang w:eastAsia="en-US"/>
              </w:rPr>
            </w:pPr>
            <w:r>
              <w:rPr>
                <w:rFonts w:ascii="Times New Roman"/>
                <w:snapToGrid w:val="0"/>
                <w:sz w:val="21"/>
                <w:szCs w:val="21"/>
                <w:lang w:eastAsia="en-US"/>
              </w:rPr>
              <w:t>监测方案、监测报告</w:t>
            </w:r>
          </w:p>
        </w:tc>
        <w:tc>
          <w:tcPr>
            <w:tcW w:w="561" w:type="pct"/>
            <w:vMerge w:val="continue"/>
            <w:shd w:val="clear" w:color="auto" w:fill="auto"/>
            <w:tcMar>
              <w:left w:w="28" w:type="dxa"/>
              <w:right w:w="28" w:type="dxa"/>
            </w:tcMar>
            <w:vAlign w:val="center"/>
          </w:tcPr>
          <w:p w14:paraId="6E2D87FB">
            <w:pPr>
              <w:adjustRightInd w:val="0"/>
              <w:snapToGrid w:val="0"/>
              <w:ind w:firstLine="420" w:firstLineChars="200"/>
              <w:jc w:val="center"/>
              <w:rPr>
                <w:rFonts w:ascii="Times New Roman"/>
                <w:snapToGrid w:val="0"/>
                <w:sz w:val="21"/>
                <w:szCs w:val="21"/>
                <w:lang w:eastAsia="en-US"/>
              </w:rPr>
            </w:pPr>
          </w:p>
        </w:tc>
      </w:tr>
      <w:tr w14:paraId="2767B95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1119" w:type="pct"/>
            <w:gridSpan w:val="2"/>
            <w:tcBorders>
              <w:tl2br w:val="nil"/>
              <w:tr2bl w:val="nil"/>
            </w:tcBorders>
            <w:shd w:val="clear" w:color="auto" w:fill="auto"/>
            <w:tcMar>
              <w:left w:w="28" w:type="dxa"/>
              <w:right w:w="28" w:type="dxa"/>
            </w:tcMar>
            <w:vAlign w:val="center"/>
          </w:tcPr>
          <w:p w14:paraId="34957E26">
            <w:pPr>
              <w:spacing w:line="320" w:lineRule="exact"/>
              <w:jc w:val="center"/>
              <w:rPr>
                <w:rFonts w:ascii="Times New Roman"/>
                <w:b/>
                <w:bCs w:val="0"/>
                <w:snapToGrid w:val="0"/>
                <w:sz w:val="21"/>
                <w:szCs w:val="21"/>
                <w:lang w:eastAsia="en-US"/>
              </w:rPr>
            </w:pPr>
            <w:r>
              <w:rPr>
                <w:rFonts w:ascii="Times New Roman"/>
                <w:b w:val="0"/>
                <w:bCs/>
                <w:snapToGrid w:val="0"/>
                <w:sz w:val="21"/>
                <w:szCs w:val="21"/>
                <w:lang w:eastAsia="en-US"/>
              </w:rPr>
              <w:t>评价结论</w:t>
            </w:r>
          </w:p>
        </w:tc>
        <w:tc>
          <w:tcPr>
            <w:tcW w:w="3318" w:type="pct"/>
            <w:gridSpan w:val="7"/>
            <w:shd w:val="clear" w:color="auto" w:fill="auto"/>
            <w:tcMar>
              <w:left w:w="28" w:type="dxa"/>
              <w:right w:w="28" w:type="dxa"/>
            </w:tcMar>
            <w:vAlign w:val="center"/>
          </w:tcPr>
          <w:p w14:paraId="1FD4B2B8">
            <w:pPr>
              <w:spacing w:line="320" w:lineRule="exact"/>
              <w:jc w:val="center"/>
              <w:rPr>
                <w:rFonts w:ascii="Times New Roman"/>
                <w:snapToGrid w:val="0"/>
                <w:sz w:val="21"/>
                <w:szCs w:val="21"/>
                <w:lang w:eastAsia="en-US"/>
              </w:rPr>
            </w:pPr>
            <w:r>
              <w:rPr>
                <w:rFonts w:ascii="Times New Roman"/>
                <w:snapToGrid w:val="0"/>
                <w:sz w:val="21"/>
                <w:szCs w:val="21"/>
                <w:lang w:eastAsia="en-US"/>
              </w:rPr>
              <w:t>土壤环境影响可接受</w:t>
            </w:r>
          </w:p>
        </w:tc>
        <w:tc>
          <w:tcPr>
            <w:tcW w:w="561" w:type="pct"/>
            <w:shd w:val="clear" w:color="auto" w:fill="auto"/>
            <w:tcMar>
              <w:left w:w="28" w:type="dxa"/>
              <w:right w:w="28" w:type="dxa"/>
            </w:tcMar>
            <w:vAlign w:val="center"/>
          </w:tcPr>
          <w:p w14:paraId="54092CA4">
            <w:pPr>
              <w:adjustRightInd w:val="0"/>
              <w:snapToGrid w:val="0"/>
              <w:ind w:firstLine="420" w:firstLineChars="200"/>
              <w:jc w:val="center"/>
              <w:rPr>
                <w:rFonts w:ascii="Times New Roman"/>
                <w:snapToGrid w:val="0"/>
                <w:sz w:val="21"/>
                <w:szCs w:val="21"/>
                <w:lang w:eastAsia="en-US"/>
              </w:rPr>
            </w:pPr>
          </w:p>
        </w:tc>
      </w:tr>
      <w:tr w14:paraId="6196295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85" w:hRule="atLeast"/>
          <w:jc w:val="center"/>
        </w:trPr>
        <w:tc>
          <w:tcPr>
            <w:tcW w:w="5000" w:type="pct"/>
            <w:gridSpan w:val="10"/>
            <w:tcBorders>
              <w:tl2br w:val="nil"/>
              <w:tr2bl w:val="nil"/>
            </w:tcBorders>
            <w:shd w:val="clear" w:color="auto" w:fill="auto"/>
            <w:tcMar>
              <w:left w:w="28" w:type="dxa"/>
              <w:right w:w="28" w:type="dxa"/>
            </w:tcMar>
            <w:vAlign w:val="center"/>
          </w:tcPr>
          <w:p w14:paraId="770CF6C0">
            <w:pPr>
              <w:spacing w:line="320" w:lineRule="exact"/>
              <w:jc w:val="left"/>
              <w:rPr>
                <w:rFonts w:ascii="Times New Roman"/>
                <w:b/>
                <w:bCs w:val="0"/>
                <w:snapToGrid w:val="0"/>
                <w:sz w:val="21"/>
                <w:szCs w:val="21"/>
              </w:rPr>
            </w:pPr>
            <w:r>
              <w:rPr>
                <w:rFonts w:ascii="Times New Roman"/>
                <w:b w:val="0"/>
                <w:bCs/>
                <w:snapToGrid w:val="0"/>
                <w:sz w:val="21"/>
                <w:szCs w:val="21"/>
              </w:rPr>
              <w:t>注 1：“□”为勾选项，可√；“（ ）”为内容填写项；“备注”为其他补充内容。</w:t>
            </w:r>
          </w:p>
          <w:p w14:paraId="6B7EE6EA">
            <w:pPr>
              <w:spacing w:line="320" w:lineRule="exact"/>
              <w:jc w:val="left"/>
              <w:rPr>
                <w:rFonts w:ascii="Times New Roman"/>
                <w:b/>
                <w:bCs w:val="0"/>
                <w:snapToGrid w:val="0"/>
                <w:sz w:val="21"/>
                <w:szCs w:val="21"/>
              </w:rPr>
            </w:pPr>
            <w:r>
              <w:rPr>
                <w:rFonts w:ascii="Times New Roman"/>
                <w:b w:val="0"/>
                <w:bCs/>
                <w:snapToGrid w:val="0"/>
                <w:sz w:val="21"/>
                <w:szCs w:val="21"/>
              </w:rPr>
              <w:t>注 2：需要分别开展土壤环境影响评级工作的，分别填写自查表。</w:t>
            </w:r>
          </w:p>
        </w:tc>
      </w:tr>
    </w:tbl>
    <w:p w14:paraId="5F8F0F09">
      <w:pPr>
        <w:spacing w:line="500" w:lineRule="exact"/>
        <w:rPr>
          <w:rFonts w:ascii="Times New Roman"/>
          <w:sz w:val="24"/>
          <w:szCs w:val="24"/>
        </w:rPr>
        <w:sectPr>
          <w:pgSz w:w="11906" w:h="16838"/>
          <w:pgMar w:top="1440" w:right="1800" w:bottom="1440" w:left="1800" w:header="1134" w:footer="1134" w:gutter="0"/>
          <w:cols w:space="425" w:num="1"/>
          <w:docGrid w:type="lines" w:linePitch="340" w:charSpace="0"/>
        </w:sectPr>
      </w:pPr>
    </w:p>
    <w:p w14:paraId="70D70B3E">
      <w:pPr>
        <w:spacing w:beforeLines="50" w:afterLines="50" w:line="520" w:lineRule="exact"/>
        <w:outlineLvl w:val="0"/>
        <w:rPr>
          <w:rFonts w:ascii="Times New Roman"/>
          <w:b/>
          <w:sz w:val="32"/>
          <w:szCs w:val="32"/>
        </w:rPr>
      </w:pPr>
      <w:bookmarkStart w:id="181" w:name="_Toc11599"/>
      <w:r>
        <w:rPr>
          <w:rFonts w:ascii="Times New Roman"/>
          <w:b/>
          <w:sz w:val="32"/>
          <w:szCs w:val="32"/>
        </w:rPr>
        <w:t>6</w:t>
      </w:r>
      <w:r>
        <w:rPr>
          <w:rFonts w:hint="eastAsia" w:ascii="Times New Roman"/>
          <w:b/>
          <w:sz w:val="32"/>
          <w:szCs w:val="32"/>
        </w:rPr>
        <w:t>环境保护措施及其</w:t>
      </w:r>
      <w:r>
        <w:rPr>
          <w:rFonts w:ascii="Times New Roman"/>
          <w:b/>
          <w:sz w:val="32"/>
          <w:szCs w:val="32"/>
        </w:rPr>
        <w:t>可行性论证</w:t>
      </w:r>
      <w:bookmarkEnd w:id="181"/>
    </w:p>
    <w:p w14:paraId="20BAA4A6">
      <w:pPr>
        <w:widowControl/>
        <w:spacing w:line="520" w:lineRule="exact"/>
        <w:jc w:val="left"/>
        <w:outlineLvl w:val="1"/>
        <w:rPr>
          <w:rFonts w:ascii="Times New Roman"/>
          <w:b/>
          <w:sz w:val="30"/>
          <w:szCs w:val="30"/>
        </w:rPr>
      </w:pPr>
      <w:bookmarkStart w:id="182" w:name="_Toc946"/>
      <w:r>
        <w:rPr>
          <w:rFonts w:ascii="Times New Roman"/>
          <w:b/>
          <w:sz w:val="30"/>
          <w:szCs w:val="30"/>
        </w:rPr>
        <w:t>6.1废气治理措施可行性论证</w:t>
      </w:r>
      <w:bookmarkEnd w:id="182"/>
    </w:p>
    <w:p w14:paraId="2D4580FB">
      <w:pPr>
        <w:widowControl/>
        <w:spacing w:line="520" w:lineRule="exact"/>
        <w:jc w:val="left"/>
        <w:outlineLvl w:val="2"/>
        <w:rPr>
          <w:rFonts w:ascii="Times New Roman"/>
          <w:b/>
          <w:sz w:val="30"/>
          <w:szCs w:val="30"/>
        </w:rPr>
      </w:pPr>
      <w:bookmarkStart w:id="183" w:name="_Toc25937"/>
      <w:bookmarkStart w:id="184" w:name="_Toc499735540"/>
      <w:bookmarkStart w:id="185" w:name="_Toc17573"/>
      <w:bookmarkStart w:id="186" w:name="_Toc30249"/>
      <w:bookmarkStart w:id="187" w:name="_Toc8946"/>
      <w:bookmarkStart w:id="188" w:name="_Toc20111"/>
      <w:bookmarkStart w:id="189" w:name="_Toc19472"/>
      <w:bookmarkStart w:id="190" w:name="_Toc4632"/>
      <w:r>
        <w:rPr>
          <w:rFonts w:hint="eastAsia" w:ascii="Times New Roman"/>
          <w:b/>
          <w:sz w:val="30"/>
          <w:szCs w:val="30"/>
        </w:rPr>
        <w:t>6</w:t>
      </w:r>
      <w:r>
        <w:rPr>
          <w:rFonts w:ascii="Times New Roman"/>
          <w:b/>
          <w:sz w:val="30"/>
          <w:szCs w:val="30"/>
        </w:rPr>
        <w:t>.1.1</w:t>
      </w:r>
      <w:bookmarkEnd w:id="183"/>
      <w:bookmarkEnd w:id="184"/>
      <w:bookmarkEnd w:id="185"/>
      <w:bookmarkEnd w:id="186"/>
      <w:bookmarkEnd w:id="187"/>
      <w:bookmarkEnd w:id="188"/>
      <w:bookmarkEnd w:id="189"/>
      <w:bookmarkEnd w:id="190"/>
      <w:r>
        <w:rPr>
          <w:rFonts w:ascii="Times New Roman"/>
          <w:b/>
          <w:sz w:val="30"/>
          <w:szCs w:val="30"/>
        </w:rPr>
        <w:t>VOCs废气治理工艺比选</w:t>
      </w:r>
    </w:p>
    <w:p w14:paraId="427DAAE9">
      <w:pPr>
        <w:spacing w:line="360" w:lineRule="auto"/>
        <w:ind w:firstLine="505" w:firstLineChars="202"/>
        <w:rPr>
          <w:rFonts w:ascii="Times New Roman"/>
        </w:rPr>
      </w:pPr>
      <w:r>
        <w:rPr>
          <w:rFonts w:ascii="Times New Roman"/>
        </w:rPr>
        <w:t>有机废气的主要治理方法有四种：活性炭吸附法，催化燃烧法，洗涤吸收法和直接燃烧法，目前前三种在国内已有生产厂家，应用也较多。各种处理方法的运用范围和优缺点比较见表</w:t>
      </w:r>
      <w:r>
        <w:rPr>
          <w:rFonts w:hint="eastAsia" w:ascii="Times New Roman"/>
        </w:rPr>
        <w:t>6</w:t>
      </w:r>
      <w:r>
        <w:rPr>
          <w:rFonts w:ascii="Times New Roman"/>
        </w:rPr>
        <w:t>.1-1。</w:t>
      </w:r>
    </w:p>
    <w:p w14:paraId="3BD83B3B">
      <w:pPr>
        <w:jc w:val="center"/>
        <w:rPr>
          <w:rFonts w:ascii="Times New Roman"/>
          <w:b/>
          <w:bCs/>
          <w:szCs w:val="24"/>
        </w:rPr>
      </w:pPr>
      <w:r>
        <w:rPr>
          <w:rFonts w:ascii="Times New Roman"/>
          <w:b/>
          <w:bCs/>
          <w:szCs w:val="24"/>
        </w:rPr>
        <w:t>表</w:t>
      </w:r>
      <w:r>
        <w:rPr>
          <w:rFonts w:hint="eastAsia" w:ascii="Times New Roman"/>
          <w:b/>
          <w:bCs/>
          <w:szCs w:val="24"/>
        </w:rPr>
        <w:t>6</w:t>
      </w:r>
      <w:r>
        <w:rPr>
          <w:rFonts w:ascii="Times New Roman"/>
          <w:b/>
          <w:bCs/>
          <w:szCs w:val="24"/>
        </w:rPr>
        <w:t>.1-1  几种常见VOC废气处理方法及其特点</w:t>
      </w:r>
    </w:p>
    <w:tbl>
      <w:tblPr>
        <w:tblStyle w:val="8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2804"/>
        <w:gridCol w:w="2633"/>
        <w:gridCol w:w="2359"/>
      </w:tblGrid>
      <w:tr w14:paraId="2DCF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14:paraId="5BA6EA46">
            <w:pPr>
              <w:adjustRightInd w:val="0"/>
              <w:jc w:val="center"/>
              <w:rPr>
                <w:rFonts w:ascii="Times New Roman"/>
                <w:sz w:val="21"/>
                <w:szCs w:val="21"/>
              </w:rPr>
            </w:pPr>
            <w:r>
              <w:rPr>
                <w:rFonts w:ascii="Times New Roman"/>
                <w:sz w:val="21"/>
                <w:szCs w:val="21"/>
              </w:rPr>
              <w:t>处理</w:t>
            </w:r>
          </w:p>
          <w:p w14:paraId="6D1999CF">
            <w:pPr>
              <w:adjustRightInd w:val="0"/>
              <w:jc w:val="center"/>
              <w:rPr>
                <w:rFonts w:ascii="Times New Roman"/>
                <w:sz w:val="21"/>
                <w:szCs w:val="21"/>
              </w:rPr>
            </w:pPr>
            <w:r>
              <w:rPr>
                <w:rFonts w:ascii="Times New Roman"/>
                <w:sz w:val="21"/>
                <w:szCs w:val="21"/>
              </w:rPr>
              <w:t>方法</w:t>
            </w:r>
          </w:p>
        </w:tc>
        <w:tc>
          <w:tcPr>
            <w:tcW w:w="1656" w:type="pct"/>
            <w:vAlign w:val="center"/>
          </w:tcPr>
          <w:p w14:paraId="5E563FEA">
            <w:pPr>
              <w:adjustRightInd w:val="0"/>
              <w:jc w:val="center"/>
              <w:rPr>
                <w:rFonts w:ascii="Times New Roman"/>
                <w:sz w:val="21"/>
                <w:szCs w:val="21"/>
              </w:rPr>
            </w:pPr>
            <w:r>
              <w:rPr>
                <w:rFonts w:ascii="Times New Roman"/>
                <w:sz w:val="21"/>
                <w:szCs w:val="21"/>
              </w:rPr>
              <w:t>原理</w:t>
            </w:r>
          </w:p>
        </w:tc>
        <w:tc>
          <w:tcPr>
            <w:tcW w:w="1555" w:type="pct"/>
            <w:vAlign w:val="center"/>
          </w:tcPr>
          <w:p w14:paraId="0CF17C3E">
            <w:pPr>
              <w:adjustRightInd w:val="0"/>
              <w:jc w:val="center"/>
              <w:rPr>
                <w:rFonts w:ascii="Times New Roman"/>
                <w:sz w:val="21"/>
                <w:szCs w:val="21"/>
              </w:rPr>
            </w:pPr>
            <w:r>
              <w:rPr>
                <w:rFonts w:ascii="Times New Roman"/>
                <w:sz w:val="21"/>
                <w:szCs w:val="21"/>
              </w:rPr>
              <w:t>优点</w:t>
            </w:r>
          </w:p>
        </w:tc>
        <w:tc>
          <w:tcPr>
            <w:tcW w:w="1393" w:type="pct"/>
            <w:vAlign w:val="center"/>
          </w:tcPr>
          <w:p w14:paraId="430D821E">
            <w:pPr>
              <w:adjustRightInd w:val="0"/>
              <w:jc w:val="center"/>
              <w:rPr>
                <w:rFonts w:ascii="Times New Roman"/>
                <w:sz w:val="21"/>
                <w:szCs w:val="21"/>
              </w:rPr>
            </w:pPr>
            <w:r>
              <w:rPr>
                <w:rFonts w:ascii="Times New Roman"/>
                <w:sz w:val="21"/>
                <w:szCs w:val="21"/>
              </w:rPr>
              <w:t>缺点</w:t>
            </w:r>
          </w:p>
        </w:tc>
      </w:tr>
      <w:tr w14:paraId="30DA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14:paraId="37CA8AAE">
            <w:pPr>
              <w:adjustRightInd w:val="0"/>
              <w:jc w:val="center"/>
              <w:rPr>
                <w:rFonts w:ascii="Times New Roman"/>
                <w:sz w:val="21"/>
                <w:szCs w:val="21"/>
              </w:rPr>
            </w:pPr>
            <w:r>
              <w:rPr>
                <w:rFonts w:ascii="Times New Roman"/>
                <w:sz w:val="21"/>
                <w:szCs w:val="21"/>
              </w:rPr>
              <w:t>直接燃烧法</w:t>
            </w:r>
          </w:p>
        </w:tc>
        <w:tc>
          <w:tcPr>
            <w:tcW w:w="1656" w:type="pct"/>
            <w:vAlign w:val="center"/>
          </w:tcPr>
          <w:p w14:paraId="1924C655">
            <w:pPr>
              <w:adjustRightInd w:val="0"/>
              <w:rPr>
                <w:rFonts w:ascii="Times New Roman"/>
                <w:sz w:val="21"/>
                <w:szCs w:val="21"/>
              </w:rPr>
            </w:pPr>
            <w:r>
              <w:rPr>
                <w:rFonts w:ascii="Times New Roman"/>
                <w:sz w:val="21"/>
                <w:szCs w:val="21"/>
              </w:rPr>
              <w:t>废气引入燃烧室与火焰直接接触，使有害物燃烧生成CO</w:t>
            </w:r>
            <w:r>
              <w:rPr>
                <w:rFonts w:ascii="Times New Roman"/>
                <w:sz w:val="21"/>
                <w:szCs w:val="21"/>
                <w:vertAlign w:val="subscript"/>
              </w:rPr>
              <w:t>2</w:t>
            </w:r>
            <w:r>
              <w:rPr>
                <w:rFonts w:ascii="Times New Roman"/>
                <w:sz w:val="21"/>
                <w:szCs w:val="21"/>
              </w:rPr>
              <w:t>和H</w:t>
            </w:r>
            <w:r>
              <w:rPr>
                <w:rFonts w:ascii="Times New Roman"/>
                <w:sz w:val="21"/>
                <w:szCs w:val="21"/>
                <w:vertAlign w:val="subscript"/>
              </w:rPr>
              <w:t>2</w:t>
            </w:r>
            <w:r>
              <w:rPr>
                <w:rFonts w:ascii="Times New Roman"/>
                <w:sz w:val="21"/>
                <w:szCs w:val="21"/>
              </w:rPr>
              <w:t>O，使废气净化</w:t>
            </w:r>
          </w:p>
        </w:tc>
        <w:tc>
          <w:tcPr>
            <w:tcW w:w="1555" w:type="pct"/>
            <w:vAlign w:val="center"/>
          </w:tcPr>
          <w:p w14:paraId="24C0D659">
            <w:pPr>
              <w:adjustRightInd w:val="0"/>
              <w:rPr>
                <w:rFonts w:ascii="Times New Roman"/>
                <w:sz w:val="21"/>
                <w:szCs w:val="21"/>
              </w:rPr>
            </w:pPr>
            <w:r>
              <w:rPr>
                <w:rFonts w:ascii="Times New Roman"/>
                <w:sz w:val="21"/>
                <w:szCs w:val="21"/>
              </w:rPr>
              <w:t>①燃烧效率高，管理容易</w:t>
            </w:r>
          </w:p>
          <w:p w14:paraId="51BF877B">
            <w:pPr>
              <w:adjustRightInd w:val="0"/>
              <w:rPr>
                <w:rFonts w:ascii="Times New Roman"/>
                <w:sz w:val="21"/>
                <w:szCs w:val="21"/>
              </w:rPr>
            </w:pPr>
            <w:r>
              <w:rPr>
                <w:rFonts w:ascii="Times New Roman"/>
                <w:sz w:val="21"/>
                <w:szCs w:val="21"/>
              </w:rPr>
              <w:t>②仅烧嘴需经常维护，维护简单</w:t>
            </w:r>
          </w:p>
          <w:p w14:paraId="5775D06A">
            <w:pPr>
              <w:adjustRightInd w:val="0"/>
              <w:rPr>
                <w:rFonts w:ascii="Times New Roman"/>
                <w:sz w:val="21"/>
                <w:szCs w:val="21"/>
              </w:rPr>
            </w:pPr>
            <w:r>
              <w:rPr>
                <w:rFonts w:ascii="Times New Roman"/>
                <w:sz w:val="21"/>
                <w:szCs w:val="21"/>
              </w:rPr>
              <w:t>③装置占地面积小</w:t>
            </w:r>
          </w:p>
          <w:p w14:paraId="6F714785">
            <w:pPr>
              <w:adjustRightInd w:val="0"/>
              <w:rPr>
                <w:rFonts w:ascii="Times New Roman"/>
                <w:sz w:val="21"/>
                <w:szCs w:val="21"/>
              </w:rPr>
            </w:pPr>
            <w:r>
              <w:rPr>
                <w:rFonts w:ascii="Times New Roman"/>
                <w:sz w:val="21"/>
                <w:szCs w:val="21"/>
              </w:rPr>
              <w:t>④不稳定因素少，可靠性高</w:t>
            </w:r>
          </w:p>
        </w:tc>
        <w:tc>
          <w:tcPr>
            <w:tcW w:w="1393" w:type="pct"/>
            <w:vAlign w:val="center"/>
          </w:tcPr>
          <w:p w14:paraId="0DCEC98D">
            <w:pPr>
              <w:adjustRightInd w:val="0"/>
              <w:rPr>
                <w:rFonts w:ascii="Times New Roman"/>
                <w:sz w:val="21"/>
                <w:szCs w:val="21"/>
              </w:rPr>
            </w:pPr>
            <w:r>
              <w:rPr>
                <w:rFonts w:ascii="Times New Roman"/>
                <w:sz w:val="21"/>
                <w:szCs w:val="21"/>
              </w:rPr>
              <w:t>①处理温度高，需燃料费高</w:t>
            </w:r>
          </w:p>
          <w:p w14:paraId="6E8903A8">
            <w:pPr>
              <w:adjustRightInd w:val="0"/>
              <w:rPr>
                <w:rFonts w:ascii="Times New Roman"/>
                <w:sz w:val="21"/>
                <w:szCs w:val="21"/>
              </w:rPr>
            </w:pPr>
            <w:r>
              <w:rPr>
                <w:rFonts w:ascii="Times New Roman"/>
                <w:sz w:val="21"/>
                <w:szCs w:val="21"/>
              </w:rPr>
              <w:t>②燃烧装置、燃烧室、热回收装置等设备造价高</w:t>
            </w:r>
          </w:p>
        </w:tc>
      </w:tr>
      <w:tr w14:paraId="699E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14:paraId="074C11C2">
            <w:pPr>
              <w:adjustRightInd w:val="0"/>
              <w:jc w:val="center"/>
              <w:rPr>
                <w:rFonts w:ascii="Times New Roman"/>
                <w:sz w:val="21"/>
                <w:szCs w:val="21"/>
              </w:rPr>
            </w:pPr>
            <w:r>
              <w:rPr>
                <w:rFonts w:ascii="Times New Roman"/>
                <w:sz w:val="21"/>
                <w:szCs w:val="21"/>
              </w:rPr>
              <w:t>催化燃烧法</w:t>
            </w:r>
          </w:p>
        </w:tc>
        <w:tc>
          <w:tcPr>
            <w:tcW w:w="1656" w:type="pct"/>
            <w:vAlign w:val="center"/>
          </w:tcPr>
          <w:p w14:paraId="150E9517">
            <w:pPr>
              <w:adjustRightInd w:val="0"/>
              <w:rPr>
                <w:rFonts w:ascii="Times New Roman"/>
                <w:sz w:val="21"/>
                <w:szCs w:val="21"/>
              </w:rPr>
            </w:pPr>
            <w:r>
              <w:rPr>
                <w:rFonts w:ascii="Times New Roman"/>
                <w:sz w:val="21"/>
                <w:szCs w:val="21"/>
              </w:rPr>
              <w:t>废气在催化剂作用下，使有机废气在引燃点温度以下燃烧生成CO</w:t>
            </w:r>
            <w:r>
              <w:rPr>
                <w:rFonts w:ascii="Times New Roman"/>
                <w:sz w:val="21"/>
                <w:szCs w:val="21"/>
                <w:vertAlign w:val="subscript"/>
              </w:rPr>
              <w:t>2</w:t>
            </w:r>
            <w:r>
              <w:rPr>
                <w:rFonts w:ascii="Times New Roman"/>
                <w:sz w:val="21"/>
                <w:szCs w:val="21"/>
              </w:rPr>
              <w:t>和H</w:t>
            </w:r>
            <w:r>
              <w:rPr>
                <w:rFonts w:ascii="Times New Roman"/>
                <w:sz w:val="21"/>
                <w:szCs w:val="21"/>
                <w:vertAlign w:val="subscript"/>
              </w:rPr>
              <w:t>2</w:t>
            </w:r>
            <w:r>
              <w:rPr>
                <w:rFonts w:ascii="Times New Roman"/>
                <w:sz w:val="21"/>
                <w:szCs w:val="21"/>
              </w:rPr>
              <w:t>O，而被净化</w:t>
            </w:r>
          </w:p>
        </w:tc>
        <w:tc>
          <w:tcPr>
            <w:tcW w:w="1555" w:type="pct"/>
            <w:vAlign w:val="center"/>
          </w:tcPr>
          <w:p w14:paraId="6BEDF3E1">
            <w:pPr>
              <w:adjustRightInd w:val="0"/>
              <w:rPr>
                <w:rFonts w:ascii="Times New Roman"/>
                <w:sz w:val="21"/>
                <w:szCs w:val="21"/>
              </w:rPr>
            </w:pPr>
            <w:r>
              <w:rPr>
                <w:rFonts w:ascii="Times New Roman"/>
                <w:sz w:val="21"/>
                <w:szCs w:val="21"/>
              </w:rPr>
              <w:t>①与直接燃烧法相比，以在低温下氧化分解，燃料费用小</w:t>
            </w:r>
          </w:p>
          <w:p w14:paraId="5D3C218D">
            <w:pPr>
              <w:adjustRightInd w:val="0"/>
              <w:rPr>
                <w:rFonts w:ascii="Times New Roman"/>
                <w:sz w:val="21"/>
                <w:szCs w:val="21"/>
              </w:rPr>
            </w:pPr>
            <w:r>
              <w:rPr>
                <w:rFonts w:ascii="Times New Roman"/>
                <w:sz w:val="21"/>
                <w:szCs w:val="21"/>
              </w:rPr>
              <w:t>②装置占地面积小</w:t>
            </w:r>
          </w:p>
        </w:tc>
        <w:tc>
          <w:tcPr>
            <w:tcW w:w="1393" w:type="pct"/>
            <w:vAlign w:val="center"/>
          </w:tcPr>
          <w:p w14:paraId="5DEC2F36">
            <w:pPr>
              <w:adjustRightInd w:val="0"/>
              <w:rPr>
                <w:rFonts w:ascii="Times New Roman"/>
                <w:sz w:val="21"/>
                <w:szCs w:val="21"/>
              </w:rPr>
            </w:pPr>
            <w:r>
              <w:rPr>
                <w:rFonts w:ascii="Times New Roman"/>
                <w:sz w:val="21"/>
                <w:szCs w:val="21"/>
              </w:rPr>
              <w:t>①催化剂价格高，必须考虑催化剂中毒和催化剂寿命</w:t>
            </w:r>
          </w:p>
          <w:p w14:paraId="7A4C174A">
            <w:pPr>
              <w:adjustRightInd w:val="0"/>
              <w:rPr>
                <w:rFonts w:ascii="Times New Roman"/>
                <w:sz w:val="21"/>
                <w:szCs w:val="21"/>
              </w:rPr>
            </w:pPr>
            <w:r>
              <w:rPr>
                <w:rFonts w:ascii="Times New Roman"/>
                <w:sz w:val="21"/>
                <w:szCs w:val="21"/>
              </w:rPr>
              <w:t>②必须进行前期处理除去尘埃等</w:t>
            </w:r>
          </w:p>
          <w:p w14:paraId="6E432A85">
            <w:pPr>
              <w:adjustRightInd w:val="0"/>
              <w:rPr>
                <w:rFonts w:ascii="Times New Roman"/>
                <w:sz w:val="21"/>
                <w:szCs w:val="21"/>
              </w:rPr>
            </w:pPr>
            <w:r>
              <w:rPr>
                <w:rFonts w:ascii="Times New Roman"/>
                <w:sz w:val="21"/>
                <w:szCs w:val="21"/>
              </w:rPr>
              <w:t>③启动时间约0.5~1h，启动时间长，适用于连续性生产</w:t>
            </w:r>
          </w:p>
        </w:tc>
      </w:tr>
      <w:tr w14:paraId="7E18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14:paraId="4026D792">
            <w:pPr>
              <w:adjustRightInd w:val="0"/>
              <w:jc w:val="center"/>
              <w:rPr>
                <w:rFonts w:ascii="Times New Roman"/>
                <w:sz w:val="21"/>
                <w:szCs w:val="21"/>
              </w:rPr>
            </w:pPr>
            <w:r>
              <w:rPr>
                <w:rFonts w:ascii="Times New Roman"/>
                <w:sz w:val="21"/>
                <w:szCs w:val="21"/>
              </w:rPr>
              <w:t>活性炭吸附法</w:t>
            </w:r>
          </w:p>
        </w:tc>
        <w:tc>
          <w:tcPr>
            <w:tcW w:w="1656" w:type="pct"/>
            <w:vAlign w:val="center"/>
          </w:tcPr>
          <w:p w14:paraId="1DD4292C">
            <w:pPr>
              <w:adjustRightInd w:val="0"/>
              <w:rPr>
                <w:rFonts w:ascii="Times New Roman"/>
                <w:sz w:val="21"/>
                <w:szCs w:val="21"/>
              </w:rPr>
            </w:pPr>
            <w:r>
              <w:rPr>
                <w:rFonts w:ascii="Times New Roman"/>
                <w:sz w:val="21"/>
                <w:szCs w:val="21"/>
              </w:rPr>
              <w:t>废气的分子扩散到固体吸附剂表面，有害成分被吸附而达到净化</w:t>
            </w:r>
          </w:p>
        </w:tc>
        <w:tc>
          <w:tcPr>
            <w:tcW w:w="1555" w:type="pct"/>
            <w:vAlign w:val="center"/>
          </w:tcPr>
          <w:p w14:paraId="31B4B4CA">
            <w:pPr>
              <w:adjustRightInd w:val="0"/>
              <w:rPr>
                <w:rFonts w:ascii="Times New Roman"/>
                <w:sz w:val="21"/>
                <w:szCs w:val="21"/>
              </w:rPr>
            </w:pPr>
            <w:r>
              <w:rPr>
                <w:rFonts w:ascii="Times New Roman"/>
                <w:sz w:val="21"/>
                <w:szCs w:val="21"/>
              </w:rPr>
              <w:t>①可处理含有低浓度的碳氢化合物和低温废气</w:t>
            </w:r>
          </w:p>
          <w:p w14:paraId="3850D411">
            <w:pPr>
              <w:adjustRightInd w:val="0"/>
              <w:rPr>
                <w:rFonts w:ascii="Times New Roman"/>
                <w:sz w:val="21"/>
                <w:szCs w:val="21"/>
              </w:rPr>
            </w:pPr>
            <w:r>
              <w:rPr>
                <w:rFonts w:ascii="Times New Roman"/>
                <w:sz w:val="21"/>
                <w:szCs w:val="21"/>
              </w:rPr>
              <w:t>②溶剂可回收，进行有效利用</w:t>
            </w:r>
          </w:p>
          <w:p w14:paraId="02B71A00">
            <w:pPr>
              <w:adjustRightInd w:val="0"/>
              <w:rPr>
                <w:rFonts w:ascii="Times New Roman"/>
                <w:sz w:val="21"/>
                <w:szCs w:val="21"/>
              </w:rPr>
            </w:pPr>
            <w:r>
              <w:rPr>
                <w:rFonts w:ascii="Times New Roman"/>
                <w:sz w:val="21"/>
                <w:szCs w:val="21"/>
              </w:rPr>
              <w:t>③处理程度可以控制</w:t>
            </w:r>
          </w:p>
          <w:p w14:paraId="34304DD8">
            <w:pPr>
              <w:adjustRightInd w:val="0"/>
              <w:rPr>
                <w:rFonts w:ascii="Times New Roman"/>
                <w:sz w:val="21"/>
                <w:szCs w:val="21"/>
              </w:rPr>
            </w:pPr>
            <w:r>
              <w:rPr>
                <w:rFonts w:ascii="Times New Roman"/>
                <w:sz w:val="21"/>
                <w:szCs w:val="21"/>
              </w:rPr>
              <w:t>④效率高，运转费用低</w:t>
            </w:r>
          </w:p>
        </w:tc>
        <w:tc>
          <w:tcPr>
            <w:tcW w:w="1393" w:type="pct"/>
            <w:vAlign w:val="center"/>
          </w:tcPr>
          <w:p w14:paraId="499EB712">
            <w:pPr>
              <w:adjustRightInd w:val="0"/>
              <w:rPr>
                <w:rFonts w:ascii="Times New Roman"/>
                <w:sz w:val="21"/>
                <w:szCs w:val="21"/>
              </w:rPr>
            </w:pPr>
            <w:r>
              <w:rPr>
                <w:rFonts w:ascii="Times New Roman"/>
                <w:sz w:val="21"/>
                <w:szCs w:val="21"/>
              </w:rPr>
              <w:t>①活性炭的再生和补充需要花费的费用多</w:t>
            </w:r>
          </w:p>
          <w:p w14:paraId="138BEAA0">
            <w:pPr>
              <w:adjustRightInd w:val="0"/>
              <w:rPr>
                <w:rFonts w:ascii="Times New Roman"/>
                <w:sz w:val="21"/>
                <w:szCs w:val="21"/>
              </w:rPr>
            </w:pPr>
            <w:r>
              <w:rPr>
                <w:rFonts w:ascii="Times New Roman"/>
                <w:sz w:val="21"/>
                <w:szCs w:val="21"/>
              </w:rPr>
              <w:t>②需经常更换活性炭以保证净化效果，会产生废活性炭</w:t>
            </w:r>
          </w:p>
        </w:tc>
      </w:tr>
      <w:tr w14:paraId="26AB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14:paraId="437F3323">
            <w:pPr>
              <w:adjustRightInd w:val="0"/>
              <w:jc w:val="center"/>
              <w:rPr>
                <w:rFonts w:ascii="Times New Roman"/>
                <w:sz w:val="21"/>
                <w:szCs w:val="21"/>
              </w:rPr>
            </w:pPr>
            <w:r>
              <w:rPr>
                <w:rFonts w:ascii="Times New Roman"/>
                <w:sz w:val="21"/>
                <w:szCs w:val="21"/>
              </w:rPr>
              <w:t>吸收法</w:t>
            </w:r>
          </w:p>
        </w:tc>
        <w:tc>
          <w:tcPr>
            <w:tcW w:w="1656" w:type="pct"/>
            <w:vAlign w:val="center"/>
          </w:tcPr>
          <w:p w14:paraId="3F8EF2DA">
            <w:pPr>
              <w:adjustRightInd w:val="0"/>
              <w:rPr>
                <w:rFonts w:ascii="Times New Roman"/>
                <w:sz w:val="21"/>
                <w:szCs w:val="21"/>
              </w:rPr>
            </w:pPr>
            <w:r>
              <w:rPr>
                <w:rFonts w:ascii="Times New Roman"/>
                <w:sz w:val="21"/>
                <w:szCs w:val="21"/>
              </w:rPr>
              <w:t>液体作为吸收剂，使废气中有害气体被吸收剂所吸收从而达到净化</w:t>
            </w:r>
          </w:p>
        </w:tc>
        <w:tc>
          <w:tcPr>
            <w:tcW w:w="1555" w:type="pct"/>
            <w:vAlign w:val="center"/>
          </w:tcPr>
          <w:p w14:paraId="1858654B">
            <w:pPr>
              <w:adjustRightInd w:val="0"/>
              <w:rPr>
                <w:rFonts w:ascii="Times New Roman"/>
                <w:sz w:val="21"/>
                <w:szCs w:val="21"/>
              </w:rPr>
            </w:pPr>
            <w:r>
              <w:rPr>
                <w:rFonts w:ascii="Times New Roman"/>
                <w:sz w:val="21"/>
                <w:szCs w:val="21"/>
              </w:rPr>
              <w:t>①仅以水作为吸收剂，处理亲水性溶剂场合有效，具有：设备费用低，运转费用少</w:t>
            </w:r>
          </w:p>
          <w:p w14:paraId="1CDE9D04">
            <w:pPr>
              <w:adjustRightInd w:val="0"/>
              <w:rPr>
                <w:rFonts w:ascii="Times New Roman"/>
                <w:sz w:val="21"/>
                <w:szCs w:val="21"/>
              </w:rPr>
            </w:pPr>
            <w:r>
              <w:rPr>
                <w:rFonts w:ascii="Times New Roman"/>
                <w:sz w:val="21"/>
                <w:szCs w:val="21"/>
              </w:rPr>
              <w:t>②无爆炸，火灾等危险，安全性高</w:t>
            </w:r>
          </w:p>
          <w:p w14:paraId="601DA6E4">
            <w:pPr>
              <w:adjustRightInd w:val="0"/>
              <w:rPr>
                <w:rFonts w:ascii="Times New Roman"/>
                <w:sz w:val="21"/>
                <w:szCs w:val="21"/>
              </w:rPr>
            </w:pPr>
            <w:r>
              <w:rPr>
                <w:rFonts w:ascii="Times New Roman"/>
                <w:sz w:val="21"/>
                <w:szCs w:val="21"/>
              </w:rPr>
              <w:t>③适宜处理挥发室排出废气</w:t>
            </w:r>
          </w:p>
        </w:tc>
        <w:tc>
          <w:tcPr>
            <w:tcW w:w="1393" w:type="pct"/>
            <w:vAlign w:val="center"/>
          </w:tcPr>
          <w:p w14:paraId="359569D9">
            <w:pPr>
              <w:adjustRightInd w:val="0"/>
              <w:rPr>
                <w:rFonts w:ascii="Times New Roman"/>
                <w:sz w:val="21"/>
                <w:szCs w:val="21"/>
              </w:rPr>
            </w:pPr>
            <w:r>
              <w:rPr>
                <w:rFonts w:ascii="Times New Roman"/>
                <w:sz w:val="21"/>
                <w:szCs w:val="21"/>
              </w:rPr>
              <w:t>①需要对产生废水进行二次处理</w:t>
            </w:r>
          </w:p>
          <w:p w14:paraId="3635903D">
            <w:pPr>
              <w:adjustRightInd w:val="0"/>
              <w:rPr>
                <w:rFonts w:ascii="Times New Roman"/>
                <w:sz w:val="21"/>
                <w:szCs w:val="21"/>
              </w:rPr>
            </w:pPr>
            <w:r>
              <w:rPr>
                <w:rFonts w:ascii="Times New Roman"/>
                <w:sz w:val="21"/>
                <w:szCs w:val="21"/>
              </w:rPr>
              <w:t>②对品种有限制</w:t>
            </w:r>
          </w:p>
        </w:tc>
      </w:tr>
      <w:tr w14:paraId="7A71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14:paraId="3711D37F">
            <w:pPr>
              <w:adjustRightInd w:val="0"/>
              <w:jc w:val="center"/>
              <w:rPr>
                <w:rFonts w:ascii="Times New Roman"/>
                <w:sz w:val="21"/>
                <w:szCs w:val="21"/>
              </w:rPr>
            </w:pPr>
            <w:r>
              <w:rPr>
                <w:rFonts w:ascii="Times New Roman"/>
                <w:sz w:val="21"/>
                <w:szCs w:val="21"/>
              </w:rPr>
              <w:t>光催化氧化法</w:t>
            </w:r>
          </w:p>
        </w:tc>
        <w:tc>
          <w:tcPr>
            <w:tcW w:w="1656" w:type="pct"/>
            <w:vAlign w:val="center"/>
          </w:tcPr>
          <w:p w14:paraId="24860049">
            <w:pPr>
              <w:adjustRightInd w:val="0"/>
              <w:rPr>
                <w:rFonts w:ascii="Times New Roman"/>
                <w:sz w:val="21"/>
                <w:szCs w:val="21"/>
              </w:rPr>
            </w:pPr>
            <w:r>
              <w:rPr>
                <w:rFonts w:ascii="Times New Roman"/>
                <w:sz w:val="21"/>
                <w:szCs w:val="21"/>
              </w:rPr>
              <w:t>首先对废气分子中部分颗粒物可进行吸附在通过UV紫外线照射把废气分子从常态变为高速运动状态再利用高能-C波段粉碎分子链结构，将恶臭、有机物质分子链，改变物质结构，把有机化合物变成小分子、中子、原子，利用紫外线产生的O</w:t>
            </w:r>
            <w:r>
              <w:rPr>
                <w:rFonts w:ascii="Times New Roman"/>
                <w:sz w:val="21"/>
                <w:szCs w:val="21"/>
                <w:vertAlign w:val="subscript"/>
              </w:rPr>
              <w:t>3</w:t>
            </w:r>
            <w:r>
              <w:rPr>
                <w:rFonts w:ascii="Times New Roman"/>
                <w:sz w:val="21"/>
                <w:szCs w:val="21"/>
              </w:rPr>
              <w:t>进行氧化</w:t>
            </w:r>
          </w:p>
        </w:tc>
        <w:tc>
          <w:tcPr>
            <w:tcW w:w="1555" w:type="pct"/>
            <w:vAlign w:val="center"/>
          </w:tcPr>
          <w:p w14:paraId="08DCF769">
            <w:pPr>
              <w:adjustRightInd w:val="0"/>
              <w:rPr>
                <w:rFonts w:ascii="Times New Roman"/>
                <w:sz w:val="21"/>
                <w:szCs w:val="21"/>
              </w:rPr>
            </w:pPr>
            <w:r>
              <w:rPr>
                <w:rFonts w:ascii="Times New Roman"/>
                <w:sz w:val="21"/>
                <w:szCs w:val="21"/>
              </w:rPr>
              <w:t>①脱臭净化效果可达40%以上</w:t>
            </w:r>
          </w:p>
          <w:p w14:paraId="2D3708B8">
            <w:pPr>
              <w:adjustRightInd w:val="0"/>
              <w:rPr>
                <w:rFonts w:ascii="Times New Roman"/>
                <w:sz w:val="21"/>
                <w:szCs w:val="21"/>
              </w:rPr>
            </w:pPr>
            <w:r>
              <w:rPr>
                <w:rFonts w:ascii="Times New Roman"/>
                <w:sz w:val="21"/>
                <w:szCs w:val="21"/>
              </w:rPr>
              <w:t>②净化技术可靠且非常稳定，净化设备无需日常维护，只需接通电源，即可正常工作，运行维护费用极低</w:t>
            </w:r>
          </w:p>
          <w:p w14:paraId="7944475D">
            <w:pPr>
              <w:adjustRightInd w:val="0"/>
              <w:rPr>
                <w:rFonts w:ascii="Times New Roman"/>
                <w:sz w:val="21"/>
                <w:szCs w:val="21"/>
              </w:rPr>
            </w:pPr>
            <w:r>
              <w:rPr>
                <w:rFonts w:ascii="Times New Roman"/>
                <w:sz w:val="21"/>
                <w:szCs w:val="21"/>
              </w:rPr>
              <w:t>③启动时间短，适用于间歇性生产</w:t>
            </w:r>
          </w:p>
        </w:tc>
        <w:tc>
          <w:tcPr>
            <w:tcW w:w="1393" w:type="pct"/>
            <w:vAlign w:val="center"/>
          </w:tcPr>
          <w:p w14:paraId="70640229">
            <w:pPr>
              <w:adjustRightInd w:val="0"/>
              <w:rPr>
                <w:rFonts w:ascii="Times New Roman"/>
                <w:sz w:val="21"/>
                <w:szCs w:val="21"/>
              </w:rPr>
            </w:pPr>
            <w:r>
              <w:rPr>
                <w:rFonts w:ascii="Times New Roman"/>
                <w:sz w:val="21"/>
                <w:szCs w:val="21"/>
              </w:rPr>
              <w:t>废UV灯管为危险废物，为二次污染</w:t>
            </w:r>
          </w:p>
        </w:tc>
      </w:tr>
    </w:tbl>
    <w:p w14:paraId="3FBFA7A5">
      <w:pPr>
        <w:spacing w:line="480" w:lineRule="exact"/>
        <w:ind w:firstLine="480" w:firstLineChars="200"/>
        <w:rPr>
          <w:rFonts w:ascii="Times New Roman"/>
          <w:sz w:val="24"/>
          <w:szCs w:val="24"/>
        </w:rPr>
      </w:pPr>
      <w:r>
        <w:rPr>
          <w:rFonts w:ascii="Times New Roman"/>
          <w:sz w:val="24"/>
          <w:szCs w:val="24"/>
        </w:rPr>
        <w:t>经综合对比，并结合同类企业环保措施及厂区实际情况，本项目</w:t>
      </w:r>
      <w:r>
        <w:rPr>
          <w:rFonts w:hint="eastAsia" w:ascii="Times New Roman"/>
          <w:sz w:val="24"/>
          <w:szCs w:val="20"/>
        </w:rPr>
        <w:t>电泳、</w:t>
      </w:r>
      <w:r>
        <w:rPr>
          <w:rFonts w:ascii="Times New Roman"/>
          <w:sz w:val="24"/>
          <w:szCs w:val="24"/>
        </w:rPr>
        <w:t>调漆、喷漆和烘干废气经“4级干式过滤器+沸石轮转吸附+RTO焚烧装置”净化处理后经20m高排气筒（DA009）排放；喷塑固化废气经两级活性炭吸附装置进行处理，处理后经1根20m高排气筒（DA009</w:t>
      </w:r>
      <w:r>
        <w:rPr>
          <w:rFonts w:hint="eastAsia" w:ascii="Times New Roman"/>
          <w:sz w:val="24"/>
          <w:szCs w:val="24"/>
        </w:rPr>
        <w:t>、DA011</w:t>
      </w:r>
      <w:r>
        <w:rPr>
          <w:rFonts w:ascii="Times New Roman"/>
          <w:sz w:val="24"/>
          <w:szCs w:val="24"/>
        </w:rPr>
        <w:t>）排放。</w:t>
      </w:r>
    </w:p>
    <w:p w14:paraId="4E9B5AB5">
      <w:pPr>
        <w:spacing w:line="520" w:lineRule="exact"/>
        <w:outlineLvl w:val="2"/>
        <w:rPr>
          <w:rFonts w:ascii="Times New Roman"/>
          <w:b/>
          <w:sz w:val="28"/>
          <w:szCs w:val="28"/>
        </w:rPr>
      </w:pPr>
      <w:r>
        <w:rPr>
          <w:rFonts w:ascii="Times New Roman"/>
          <w:b/>
          <w:sz w:val="28"/>
          <w:szCs w:val="28"/>
        </w:rPr>
        <w:t>6.1.</w:t>
      </w:r>
      <w:r>
        <w:rPr>
          <w:rFonts w:hint="eastAsia" w:ascii="Times New Roman"/>
          <w:b/>
          <w:sz w:val="28"/>
          <w:szCs w:val="28"/>
        </w:rPr>
        <w:t>2</w:t>
      </w:r>
      <w:r>
        <w:rPr>
          <w:rFonts w:ascii="Times New Roman"/>
          <w:b/>
          <w:sz w:val="28"/>
          <w:szCs w:val="28"/>
        </w:rPr>
        <w:t>喷</w:t>
      </w:r>
      <w:r>
        <w:rPr>
          <w:rFonts w:hint="eastAsia" w:ascii="Times New Roman"/>
          <w:b/>
          <w:sz w:val="28"/>
          <w:szCs w:val="28"/>
        </w:rPr>
        <w:t>涂</w:t>
      </w:r>
      <w:r>
        <w:rPr>
          <w:rFonts w:ascii="Times New Roman"/>
          <w:b/>
          <w:sz w:val="28"/>
          <w:szCs w:val="28"/>
        </w:rPr>
        <w:t>废气治理设施可行性分析</w:t>
      </w:r>
    </w:p>
    <w:p w14:paraId="631C2849">
      <w:pPr>
        <w:spacing w:line="360" w:lineRule="auto"/>
        <w:ind w:firstLine="480" w:firstLineChars="200"/>
        <w:rPr>
          <w:rFonts w:ascii="Times New Roman"/>
          <w:sz w:val="24"/>
          <w:szCs w:val="20"/>
        </w:rPr>
      </w:pPr>
      <w:r>
        <w:rPr>
          <w:rFonts w:ascii="Times New Roman"/>
          <w:sz w:val="24"/>
          <w:szCs w:val="20"/>
        </w:rPr>
        <w:t>项目</w:t>
      </w:r>
      <w:r>
        <w:rPr>
          <w:rFonts w:hint="eastAsia" w:ascii="Times New Roman"/>
          <w:sz w:val="24"/>
          <w:szCs w:val="20"/>
        </w:rPr>
        <w:t>电泳、</w:t>
      </w:r>
      <w:r>
        <w:rPr>
          <w:rFonts w:ascii="Times New Roman"/>
          <w:sz w:val="24"/>
          <w:szCs w:val="24"/>
        </w:rPr>
        <w:t>调漆、喷漆和烘干废气经“4级干式过滤器+沸石轮转吸附+RTO焚烧装置”净化处理后经20m高排气筒（DA009）排放</w:t>
      </w:r>
      <w:r>
        <w:rPr>
          <w:rFonts w:ascii="Times New Roman"/>
          <w:sz w:val="24"/>
          <w:szCs w:val="20"/>
        </w:rPr>
        <w:t>。</w:t>
      </w:r>
    </w:p>
    <w:p w14:paraId="244EDDB5">
      <w:pPr>
        <w:spacing w:line="360" w:lineRule="auto"/>
        <w:ind w:firstLine="480" w:firstLineChars="200"/>
        <w:rPr>
          <w:rFonts w:ascii="Times New Roman"/>
          <w:sz w:val="24"/>
          <w:szCs w:val="24"/>
        </w:rPr>
      </w:pPr>
      <w:r>
        <w:rPr>
          <w:rFonts w:ascii="Times New Roman"/>
          <w:sz w:val="24"/>
          <w:szCs w:val="24"/>
        </w:rPr>
        <w:t>（1）漆雾</w:t>
      </w:r>
    </w:p>
    <w:p w14:paraId="02141428">
      <w:pPr>
        <w:spacing w:line="360" w:lineRule="auto"/>
        <w:ind w:firstLine="480" w:firstLineChars="200"/>
        <w:rPr>
          <w:rFonts w:ascii="Times New Roman"/>
          <w:sz w:val="24"/>
          <w:szCs w:val="24"/>
        </w:rPr>
      </w:pPr>
      <w:r>
        <w:rPr>
          <w:rFonts w:hint="eastAsia" w:ascii="Times New Roman"/>
          <w:sz w:val="24"/>
          <w:szCs w:val="24"/>
        </w:rPr>
        <w:t>项目喷漆房采用</w:t>
      </w:r>
      <w:r>
        <w:rPr>
          <w:rFonts w:ascii="Times New Roman"/>
          <w:sz w:val="24"/>
          <w:szCs w:val="24"/>
        </w:rPr>
        <w:t>“4级干式过滤器</w:t>
      </w:r>
      <w:r>
        <w:rPr>
          <w:rFonts w:hint="eastAsia" w:ascii="Times New Roman"/>
          <w:sz w:val="24"/>
          <w:szCs w:val="24"/>
        </w:rPr>
        <w:t>”的方式，用于吸附漆雾颗粒，</w:t>
      </w:r>
      <w:r>
        <w:rPr>
          <w:rFonts w:ascii="Times New Roman"/>
          <w:sz w:val="24"/>
          <w:szCs w:val="24"/>
        </w:rPr>
        <w:t>第一级：过滤精度G4，第二级：过滤精度F5，第三级：过滤精度F7，第四级：过滤精度F9，</w:t>
      </w:r>
      <w:r>
        <w:rPr>
          <w:rFonts w:hint="eastAsia" w:ascii="Times New Roman"/>
          <w:sz w:val="24"/>
          <w:szCs w:val="24"/>
        </w:rPr>
        <w:t>过滤精度逐级递增。废气进入干式过滤器中经过滤模块时，废气中携带的粉尘颗粒物等会附在过滤棉的表面，对废气起到净化作用。干式过滤器中的每层过滤均安装有压差变送器，并且PLC连锁控制，当检测干式过滤器的进出口压差达到设定值时（一般压差值设定在1000-1500pa左右），系统发生声光报警，提示企业更换过滤材料。过滤器采用金属网制成框加架，内夹过滤材料，过滤器安装在金属箱体内。过滤棉的安装采用抽拉式框架设计，滤棉更换时可在干式过滤器外部进行，操作简单方便。</w:t>
      </w:r>
    </w:p>
    <w:p w14:paraId="52B6B84E">
      <w:pPr>
        <w:spacing w:line="360" w:lineRule="auto"/>
        <w:ind w:firstLine="480" w:firstLineChars="200"/>
        <w:rPr>
          <w:rFonts w:ascii="Times New Roman"/>
          <w:sz w:val="24"/>
          <w:szCs w:val="24"/>
        </w:rPr>
      </w:pPr>
      <w:r>
        <w:rPr>
          <w:rFonts w:hint="eastAsia" w:ascii="Times New Roman"/>
          <w:sz w:val="24"/>
          <w:szCs w:val="24"/>
        </w:rPr>
        <w:t>根据环保部2020年7月发布的《其他工业涂装挥发性有机物治理实用手册》中“新建线宜采用干式漆雾过滤系统”；根据《唐山市2021年挥发性有机物综合治理工作方案》中提到“（一）工业涂装（2）过程控制③d.建设干式喷漆房；（3）末端治理①预处理a.喷涂废气应设置有效的漆雾处理装置，可采用干式的石灰石、纸盒或湿式文丘里等高效处理方式预处理后，进入后续VOCs治理设施；”。</w:t>
      </w:r>
    </w:p>
    <w:p w14:paraId="532FF248">
      <w:pPr>
        <w:spacing w:line="360" w:lineRule="auto"/>
        <w:ind w:firstLine="480" w:firstLineChars="200"/>
        <w:rPr>
          <w:rFonts w:ascii="Times New Roman"/>
          <w:sz w:val="24"/>
          <w:szCs w:val="24"/>
        </w:rPr>
      </w:pPr>
      <w:r>
        <w:rPr>
          <w:rFonts w:hint="eastAsia" w:ascii="Times New Roman"/>
          <w:sz w:val="24"/>
          <w:szCs w:val="24"/>
        </w:rPr>
        <w:t>项目为干式喷漆房，漆雾采用</w:t>
      </w:r>
      <w:r>
        <w:rPr>
          <w:rFonts w:ascii="Times New Roman"/>
          <w:sz w:val="24"/>
          <w:szCs w:val="24"/>
        </w:rPr>
        <w:t>“4级干式过滤器”</w:t>
      </w:r>
      <w:r>
        <w:rPr>
          <w:rFonts w:hint="eastAsia" w:ascii="Times New Roman"/>
          <w:sz w:val="24"/>
          <w:szCs w:val="24"/>
        </w:rPr>
        <w:t>且</w:t>
      </w:r>
      <w:r>
        <w:rPr>
          <w:rFonts w:ascii="Times New Roman"/>
          <w:sz w:val="24"/>
          <w:szCs w:val="24"/>
        </w:rPr>
        <w:t>过滤箱设置压差计，通过压差输出数据配报警装置，通知维修人员更换过滤材质，</w:t>
      </w:r>
      <w:r>
        <w:rPr>
          <w:rFonts w:hint="eastAsia" w:ascii="Times New Roman"/>
          <w:sz w:val="24"/>
          <w:szCs w:val="24"/>
        </w:rPr>
        <w:t>避免了</w:t>
      </w:r>
      <w:r>
        <w:rPr>
          <w:rFonts w:ascii="Times New Roman"/>
          <w:sz w:val="24"/>
          <w:szCs w:val="24"/>
        </w:rPr>
        <w:t>在过滤器堵塞状态下进行设备运行。</w:t>
      </w:r>
      <w:r>
        <w:rPr>
          <w:rFonts w:hint="eastAsia" w:ascii="Times New Roman"/>
          <w:sz w:val="24"/>
          <w:szCs w:val="24"/>
        </w:rPr>
        <w:t>项目漆雾处理措施</w:t>
      </w:r>
      <w:r>
        <w:rPr>
          <w:rFonts w:ascii="Times New Roman"/>
          <w:sz w:val="24"/>
          <w:szCs w:val="24"/>
        </w:rPr>
        <w:t>符合现行推荐治理方案要求，措施可行。</w:t>
      </w:r>
    </w:p>
    <w:p w14:paraId="596364BE">
      <w:pPr>
        <w:spacing w:line="360" w:lineRule="auto"/>
        <w:ind w:firstLine="480" w:firstLineChars="200"/>
        <w:rPr>
          <w:rFonts w:ascii="Times New Roman"/>
          <w:sz w:val="24"/>
          <w:szCs w:val="24"/>
        </w:rPr>
      </w:pPr>
      <w:r>
        <w:rPr>
          <w:rFonts w:ascii="Times New Roman"/>
          <w:sz w:val="24"/>
          <w:szCs w:val="24"/>
        </w:rPr>
        <w:t>（</w:t>
      </w:r>
      <w:r>
        <w:rPr>
          <w:rFonts w:hint="eastAsia" w:ascii="Times New Roman"/>
          <w:sz w:val="24"/>
          <w:szCs w:val="24"/>
        </w:rPr>
        <w:t>2</w:t>
      </w:r>
      <w:r>
        <w:rPr>
          <w:rFonts w:ascii="Times New Roman"/>
          <w:sz w:val="24"/>
          <w:szCs w:val="24"/>
        </w:rPr>
        <w:t>）</w:t>
      </w:r>
      <w:r>
        <w:rPr>
          <w:rFonts w:hint="eastAsia" w:ascii="Times New Roman"/>
          <w:sz w:val="24"/>
          <w:szCs w:val="24"/>
        </w:rPr>
        <w:t>有机废气</w:t>
      </w:r>
    </w:p>
    <w:p w14:paraId="70AAEC05">
      <w:pPr>
        <w:spacing w:line="360" w:lineRule="auto"/>
        <w:ind w:firstLine="480" w:firstLineChars="200"/>
        <w:rPr>
          <w:rFonts w:ascii="Times New Roman"/>
          <w:sz w:val="24"/>
          <w:szCs w:val="24"/>
        </w:rPr>
      </w:pPr>
      <w:r>
        <w:rPr>
          <w:rFonts w:ascii="Times New Roman"/>
          <w:sz w:val="24"/>
          <w:szCs w:val="24"/>
        </w:rPr>
        <w:t>工业固定污染源VOCs废气治理技术可分为回收和销毁两种方式。回收是通过物理的方法，改变温度、压力或采用选择性吸附剂和选择性渗透膜等方法来富集分离有机气相污染物，主要有吸附、吸收、冷凝及膜分离法。回收的挥发性有机物可以直接或经过简单纯化后返回工艺过程再利用，以减少原料的消耗，或者用于有机溶剂质量要求较低的生产工艺，或者集中进行分离提纯。销毁主要是通过化学或生化反应，用热、光、催化剂和微生物等将有机化合物转变成为二氧化碳和水等无毒害或低毒害的无机小分子化合物，主要治理技术有直接焚烧、蓄热式直接焚烧、催化燃烧、蓄热式催化燃烧、生物法、光催化氧化、等离子体破坏等。</w:t>
      </w:r>
    </w:p>
    <w:p w14:paraId="33D28EC8">
      <w:pPr>
        <w:spacing w:line="360" w:lineRule="auto"/>
        <w:ind w:firstLine="480" w:firstLineChars="200"/>
        <w:rPr>
          <w:rFonts w:ascii="Times New Roman"/>
          <w:sz w:val="24"/>
          <w:szCs w:val="24"/>
        </w:rPr>
      </w:pPr>
      <w:r>
        <w:rPr>
          <w:rFonts w:ascii="Times New Roman"/>
          <w:sz w:val="24"/>
          <w:szCs w:val="24"/>
        </w:rPr>
        <w:t>根据2020年7月发布的《其他工业涂装挥发性有机物治理实用手册》中“喷涂、晾（风）干废气宜采用吸附浓缩+燃烧或其他等效方式处理”；根据《唐山市2021年挥发性有机物综合治理工作方案》中提到“（一）工业涂装</w:t>
      </w:r>
      <w:r>
        <w:rPr>
          <w:rFonts w:hint="eastAsia" w:ascii="Times New Roman"/>
          <w:sz w:val="24"/>
          <w:szCs w:val="24"/>
        </w:rPr>
        <w:t xml:space="preserve"> </w:t>
      </w:r>
      <w:r>
        <w:rPr>
          <w:rFonts w:ascii="Times New Roman"/>
          <w:sz w:val="24"/>
          <w:szCs w:val="24"/>
        </w:rPr>
        <w:t>（3）末端治理 ②治理工艺推荐 a.溶剂型涂料：喷涂、流平废气宜采用湿式除尘或干式过滤+吸附/吸附+燃烧技术。其中，中、小规模工业涂装工序或集中式喷涂中心可采用活性炭吸附+催化燃烧/蓄热催化燃烧”；</w:t>
      </w:r>
    </w:p>
    <w:p w14:paraId="44319C74">
      <w:pPr>
        <w:spacing w:line="360" w:lineRule="auto"/>
        <w:ind w:firstLine="480" w:firstLineChars="200"/>
        <w:rPr>
          <w:rFonts w:ascii="Times New Roman"/>
          <w:sz w:val="24"/>
          <w:szCs w:val="24"/>
        </w:rPr>
      </w:pPr>
      <w:r>
        <w:rPr>
          <w:rFonts w:ascii="Times New Roman"/>
          <w:sz w:val="24"/>
          <w:szCs w:val="24"/>
        </w:rPr>
        <w:t>因此，本次项目有机废气选用“沸石轮转吸附+RTO焚烧装置”净化工艺，满足现行推荐治理方案要求，措施可行。</w:t>
      </w:r>
    </w:p>
    <w:p w14:paraId="4FE58EA9">
      <w:pPr>
        <w:spacing w:line="440" w:lineRule="exact"/>
        <w:ind w:firstLine="480" w:firstLineChars="200"/>
        <w:rPr>
          <w:sz w:val="24"/>
          <w:szCs w:val="24"/>
        </w:rPr>
      </w:pPr>
      <w:r>
        <w:rPr>
          <w:rFonts w:hint="eastAsia"/>
          <w:sz w:val="24"/>
          <w:szCs w:val="24"/>
        </w:rPr>
        <w:t>项目废气治理设施工艺流程示意图如下：</w:t>
      </w:r>
    </w:p>
    <w:p w14:paraId="78DF2BCB">
      <w:pPr>
        <w:jc w:val="center"/>
        <w:rPr>
          <w:rFonts w:ascii="Times New Roman"/>
          <w:b/>
          <w:sz w:val="24"/>
          <w:szCs w:val="24"/>
        </w:rPr>
      </w:pPr>
      <w:r>
        <w:rPr>
          <w:rFonts w:hAnsi="宋体"/>
        </w:rPr>
        <w:drawing>
          <wp:inline distT="0" distB="0" distL="0" distR="0">
            <wp:extent cx="4690745" cy="3121660"/>
            <wp:effectExtent l="0" t="0" r="14605" b="2540"/>
            <wp:docPr id="179108220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82209" name="图片 44"/>
                    <pic:cNvPicPr>
                      <a:picLocks noChangeAspect="1" noChangeArrowheads="1"/>
                    </pic:cNvPicPr>
                  </pic:nvPicPr>
                  <pic:blipFill>
                    <a:blip r:embed="rId87" cstate="print">
                      <a:extLst>
                        <a:ext uri="{28A0092B-C50C-407E-A947-70E740481C1C}">
                          <a14:useLocalDpi xmlns:a14="http://schemas.microsoft.com/office/drawing/2010/main" val="0"/>
                        </a:ext>
                      </a:extLst>
                    </a:blip>
                    <a:srcRect t="-444" r="46129" b="9204"/>
                    <a:stretch>
                      <a:fillRect/>
                    </a:stretch>
                  </pic:blipFill>
                  <pic:spPr>
                    <a:xfrm>
                      <a:off x="0" y="0"/>
                      <a:ext cx="4690745" cy="3121660"/>
                    </a:xfrm>
                    <a:prstGeom prst="rect">
                      <a:avLst/>
                    </a:prstGeom>
                    <a:noFill/>
                    <a:ln>
                      <a:noFill/>
                    </a:ln>
                  </pic:spPr>
                </pic:pic>
              </a:graphicData>
            </a:graphic>
          </wp:inline>
        </w:drawing>
      </w:r>
    </w:p>
    <w:p w14:paraId="29288411">
      <w:pPr>
        <w:ind w:firstLine="482" w:firstLineChars="200"/>
        <w:jc w:val="center"/>
        <w:rPr>
          <w:rFonts w:ascii="Times New Roman"/>
          <w:b/>
          <w:sz w:val="24"/>
          <w:szCs w:val="24"/>
        </w:rPr>
      </w:pPr>
      <w:r>
        <w:rPr>
          <w:rFonts w:ascii="Times New Roman"/>
          <w:b/>
          <w:sz w:val="24"/>
          <w:szCs w:val="24"/>
        </w:rPr>
        <w:t>图6.1</w:t>
      </w:r>
      <w:r>
        <w:rPr>
          <w:rFonts w:ascii="Times New Roman"/>
          <w:b/>
          <w:sz w:val="24"/>
          <w:szCs w:val="24"/>
        </w:rPr>
        <w:noBreakHyphen/>
      </w:r>
      <w:r>
        <w:rPr>
          <w:rFonts w:hint="eastAsia" w:ascii="Times New Roman"/>
          <w:b/>
          <w:sz w:val="24"/>
          <w:szCs w:val="24"/>
        </w:rPr>
        <w:t>3</w:t>
      </w:r>
      <w:r>
        <w:rPr>
          <w:rFonts w:ascii="Times New Roman"/>
          <w:b/>
          <w:sz w:val="24"/>
          <w:szCs w:val="24"/>
        </w:rPr>
        <w:t xml:space="preserve">  废气治理工艺流程图</w:t>
      </w:r>
    </w:p>
    <w:p w14:paraId="1483CBDC">
      <w:pPr>
        <w:spacing w:line="360" w:lineRule="auto"/>
        <w:ind w:firstLine="480" w:firstLineChars="200"/>
        <w:rPr>
          <w:rFonts w:ascii="Times New Roman"/>
          <w:sz w:val="24"/>
          <w:szCs w:val="20"/>
        </w:rPr>
      </w:pPr>
      <w:r>
        <w:rPr>
          <w:rFonts w:ascii="Times New Roman"/>
          <w:sz w:val="24"/>
          <w:szCs w:val="20"/>
        </w:rPr>
        <w:t>①预处理装置</w:t>
      </w:r>
    </w:p>
    <w:p w14:paraId="01897A9A">
      <w:pPr>
        <w:spacing w:line="360" w:lineRule="auto"/>
        <w:ind w:firstLine="480" w:firstLineChars="200"/>
        <w:rPr>
          <w:rFonts w:ascii="Times New Roman"/>
          <w:sz w:val="24"/>
          <w:szCs w:val="20"/>
        </w:rPr>
      </w:pPr>
      <w:r>
        <w:rPr>
          <w:rFonts w:ascii="Times New Roman"/>
          <w:sz w:val="24"/>
          <w:szCs w:val="20"/>
        </w:rPr>
        <w:t>根据“唐山市VOCs活性炭吸附技术指南”，活性炭工艺性能要求：“活性炭过滤箱结构设计合理，不得让未经过滤的气体进入后续工艺流程；多层过滤材料应按照过滤等级高低随气体流动方向由低到高布置，各层过滤材料应间隔一定距离布置。过滤箱应有压差计，压力过大时及时更换并记录。”项目活性炭吸附箱前设有“干式过滤器”对漆雾进行净化处理，过滤箱根据要求，设置压差计，通过压差输出数据配报警装置，通知维修人员更换过滤材质。</w:t>
      </w:r>
    </w:p>
    <w:p w14:paraId="1D176600">
      <w:pPr>
        <w:spacing w:line="360" w:lineRule="auto"/>
        <w:ind w:firstLine="480" w:firstLineChars="200"/>
        <w:rPr>
          <w:rFonts w:ascii="Times New Roman"/>
          <w:sz w:val="24"/>
          <w:szCs w:val="20"/>
        </w:rPr>
      </w:pPr>
      <w:r>
        <w:rPr>
          <w:rFonts w:hint="eastAsia" w:ascii="Times New Roman"/>
          <w:sz w:val="24"/>
          <w:szCs w:val="20"/>
        </w:rPr>
        <w:t>②沸石轮转吸附+RTO焚烧装置</w:t>
      </w:r>
    </w:p>
    <w:p w14:paraId="48E8A98B">
      <w:pPr>
        <w:spacing w:line="360" w:lineRule="auto"/>
        <w:ind w:firstLine="480" w:firstLineChars="200"/>
        <w:rPr>
          <w:rFonts w:hAnsi="宋体"/>
          <w:sz w:val="24"/>
          <w:szCs w:val="24"/>
        </w:rPr>
      </w:pPr>
      <w:r>
        <w:rPr>
          <w:rFonts w:hint="eastAsia" w:hAnsi="宋体"/>
          <w:sz w:val="24"/>
          <w:szCs w:val="24"/>
        </w:rPr>
        <w:t>沸石转轮（也叫分子筛）吸附浓缩装置采用日本进口产品，吸附材质为沸石，沸石结构类似于晶体状，分子像搭架子似地连在一起，中间形成很多空腔，这便形成了很多的微孔具有很强的吸附能力，对吸附质分子的吸附能力远超过其他类型的吸附剂。</w:t>
      </w:r>
    </w:p>
    <w:p w14:paraId="65711F61">
      <w:pPr>
        <w:spacing w:line="360" w:lineRule="auto"/>
        <w:ind w:firstLine="480" w:firstLineChars="200"/>
        <w:rPr>
          <w:rFonts w:hAnsi="宋体"/>
          <w:sz w:val="24"/>
          <w:szCs w:val="24"/>
        </w:rPr>
      </w:pPr>
      <w:r>
        <w:rPr>
          <w:rFonts w:hint="eastAsia" w:hAnsi="宋体"/>
          <w:sz w:val="24"/>
          <w:szCs w:val="24"/>
        </w:rPr>
        <w:t>转轮通常分成三块，一块大扇形和两块小扇形部分，大扇形部分吸附有机物，两个小扇形部分进行冷却和高温脱附，转轮以一定的速度在转动，吸附饱和后的沸石自动转入脱附区域进行脱附再生，形成了吸附浓缩和脱附再生同时运行，连续性生产。</w:t>
      </w:r>
    </w:p>
    <w:p w14:paraId="1CF6CE47">
      <w:pPr>
        <w:spacing w:line="360" w:lineRule="auto"/>
        <w:ind w:firstLine="480" w:firstLineChars="200"/>
        <w:rPr>
          <w:rFonts w:ascii="Times New Roman"/>
          <w:sz w:val="24"/>
          <w:szCs w:val="24"/>
        </w:rPr>
      </w:pPr>
      <w:r>
        <w:rPr>
          <w:rFonts w:ascii="Times New Roman"/>
          <w:sz w:val="24"/>
          <w:szCs w:val="20"/>
        </w:rPr>
        <w:t>预处理</w:t>
      </w:r>
      <w:r>
        <w:rPr>
          <w:rFonts w:hint="eastAsia" w:ascii="Times New Roman"/>
          <w:sz w:val="24"/>
          <w:szCs w:val="20"/>
        </w:rPr>
        <w:t>后的废气</w:t>
      </w:r>
      <w:r>
        <w:rPr>
          <w:rFonts w:ascii="Times New Roman"/>
          <w:sz w:val="24"/>
          <w:szCs w:val="24"/>
        </w:rPr>
        <w:t>进入缓慢转动的沸石转轮吸附，经过一定的驻留时间，废气中的有机VOCs被沸石特有的吸附能力吸附后排空，设计吸附率≥92%；</w:t>
      </w:r>
    </w:p>
    <w:p w14:paraId="457FE781">
      <w:pPr>
        <w:spacing w:line="360" w:lineRule="auto"/>
        <w:ind w:firstLine="480" w:firstLineChars="200"/>
        <w:rPr>
          <w:rFonts w:ascii="Times New Roman"/>
          <w:sz w:val="24"/>
          <w:szCs w:val="24"/>
        </w:rPr>
      </w:pPr>
      <w:r>
        <w:rPr>
          <w:rFonts w:ascii="Times New Roman"/>
          <w:sz w:val="24"/>
          <w:szCs w:val="24"/>
        </w:rPr>
        <w:t>经过一段时间吸附后，沸石转轮达到饱和状态后缓慢转动进入脱附区，脱附区180-230℃的热气流按设计流速通过沸石转轮，吸附在沸石上的有机VOCs被加热达到沸点挥发，顺着气流被抽风机吸入、此时、脱附出来的废气属于经浓缩的高浓度、小风量的有机VOCs，送到蓄热式焚烧炉RTO的炉膛进行高温焚烧，直接进入RTO焚烧炉氧化后释放出大量热能，有机物利用自身氧化、裂解释放出的热量按设计可以维持自燃（根据浓度自动比例补偿），RTO正常使用需要很少的天然气甚至不需要天然气加热，做到节能、环保的同时，整套装置安全、可靠、无任何二次污染。焚烧后的氧化室高温气体与箱体内的陶瓷热交换器进行热交换，使废气换热后排烟温度比进气温度高30-50℃左右，热回收效率达到设计值95%。RTO焚烧后的洁净气体被分成两部分，大部分烟囱排放，另一小部分回送至转轮过滤箱入口加调节阀，用来升温调节转轮入口湿度使其维持在75%左右。</w:t>
      </w:r>
    </w:p>
    <w:p w14:paraId="5C9AD729">
      <w:pPr>
        <w:spacing w:line="360" w:lineRule="auto"/>
        <w:ind w:firstLine="480" w:firstLineChars="200"/>
        <w:rPr>
          <w:rFonts w:ascii="Times New Roman"/>
          <w:sz w:val="24"/>
          <w:szCs w:val="24"/>
        </w:rPr>
      </w:pPr>
      <w:r>
        <w:rPr>
          <w:rFonts w:ascii="Times New Roman"/>
          <w:sz w:val="24"/>
          <w:szCs w:val="24"/>
        </w:rPr>
        <w:t>被脱附加热的沸石转轮从脱附区缓慢转出进入冷却区，经风冷后进入下一个吸附、脱附、冷却循环周期，实现均匀吸附、稳定脱附运行要求。冷却转轮后的相对高温气体（约100℃）直接进入脱附换热器，利用RTO炉膛高温余热间接换热升温至转轮脱附需要的温度180-230℃。</w:t>
      </w:r>
    </w:p>
    <w:p w14:paraId="4394DA34">
      <w:pPr>
        <w:widowControl/>
        <w:spacing w:line="520" w:lineRule="exact"/>
        <w:jc w:val="left"/>
        <w:outlineLvl w:val="2"/>
        <w:rPr>
          <w:rFonts w:ascii="Times New Roman"/>
          <w:b/>
          <w:sz w:val="30"/>
          <w:szCs w:val="30"/>
        </w:rPr>
      </w:pPr>
      <w:r>
        <w:rPr>
          <w:rFonts w:hint="eastAsia" w:ascii="Times New Roman"/>
          <w:b/>
          <w:sz w:val="30"/>
          <w:szCs w:val="30"/>
        </w:rPr>
        <w:t>6</w:t>
      </w:r>
      <w:r>
        <w:rPr>
          <w:rFonts w:ascii="Times New Roman"/>
          <w:b/>
          <w:sz w:val="30"/>
          <w:szCs w:val="30"/>
        </w:rPr>
        <w:t>.1.</w:t>
      </w:r>
      <w:r>
        <w:rPr>
          <w:rFonts w:hint="eastAsia" w:ascii="Times New Roman"/>
          <w:b/>
          <w:sz w:val="30"/>
          <w:szCs w:val="30"/>
        </w:rPr>
        <w:t>3</w:t>
      </w:r>
      <w:r>
        <w:rPr>
          <w:rFonts w:ascii="Times New Roman"/>
          <w:b/>
          <w:sz w:val="30"/>
          <w:szCs w:val="30"/>
        </w:rPr>
        <w:t>含尘废气治理措施</w:t>
      </w:r>
    </w:p>
    <w:p w14:paraId="312378A9">
      <w:pPr>
        <w:spacing w:line="480" w:lineRule="exact"/>
        <w:ind w:firstLine="480" w:firstLineChars="200"/>
        <w:rPr>
          <w:rFonts w:ascii="Times New Roman"/>
          <w:sz w:val="24"/>
          <w:szCs w:val="24"/>
        </w:rPr>
      </w:pPr>
      <w:r>
        <w:rPr>
          <w:rFonts w:ascii="Times New Roman"/>
          <w:sz w:val="24"/>
          <w:szCs w:val="24"/>
        </w:rPr>
        <w:t>本项目颗粒物采用布袋除尘器</w:t>
      </w:r>
      <w:r>
        <w:rPr>
          <w:rFonts w:hint="eastAsia" w:ascii="Times New Roman"/>
          <w:sz w:val="24"/>
          <w:szCs w:val="24"/>
        </w:rPr>
        <w:t>、滤筒除尘器</w:t>
      </w:r>
      <w:r>
        <w:rPr>
          <w:rFonts w:ascii="Times New Roman"/>
          <w:sz w:val="24"/>
          <w:szCs w:val="24"/>
        </w:rPr>
        <w:t>处理后可达标排放。</w:t>
      </w:r>
    </w:p>
    <w:p w14:paraId="0538606F">
      <w:pPr>
        <w:spacing w:line="480" w:lineRule="exact"/>
        <w:ind w:firstLine="480" w:firstLineChars="200"/>
        <w:rPr>
          <w:rFonts w:ascii="Times New Roman"/>
          <w:sz w:val="24"/>
          <w:szCs w:val="24"/>
        </w:rPr>
      </w:pPr>
      <w:r>
        <w:rPr>
          <w:rFonts w:hint="eastAsia" w:ascii="Times New Roman"/>
          <w:sz w:val="24"/>
          <w:szCs w:val="24"/>
        </w:rPr>
        <w:t>①布袋除尘器</w:t>
      </w:r>
    </w:p>
    <w:p w14:paraId="23947A35">
      <w:pPr>
        <w:spacing w:line="480" w:lineRule="exact"/>
        <w:ind w:firstLine="480" w:firstLineChars="200"/>
        <w:rPr>
          <w:rFonts w:ascii="Times New Roman"/>
          <w:sz w:val="24"/>
          <w:szCs w:val="24"/>
        </w:rPr>
      </w:pPr>
      <w:r>
        <w:rPr>
          <w:rFonts w:hint="eastAsia" w:ascii="Times New Roman"/>
          <w:sz w:val="24"/>
          <w:szCs w:val="24"/>
        </w:rPr>
        <w:t>袋式除尘器也称为过滤式除尘器，是一种干式高效除尘器，它利用纤维编制物制作的袋式过滤元件来捕集含尘气体中固体颗粒物。其作用原理是尘粒在绕过滤布纤维时因惯性力作用与纤维碰撞而被拦截。细微的尘粒则受气体分子冲击(布朗运动)不断改变着运动方向，由于纤维间的空隙小于气体分子布朗运动的自由路径，尘粒便与纤维碰撞接触而被分离出来。其工作过程与滤料的编织方法、纤维的密度及粉尘的扩散、惯性、遮挡、重力和静电作用等因素及其清灰方法有关。滤布材料是布袋除尘器的关键；性能良好的滤布，除特定的致密度和透气性外，还应有良好的耐腐蚀性、耐热性及较高的机械强度，耐热性能良好的纤维，其耐热度目前可达到 250</w:t>
      </w:r>
      <w:r>
        <w:rPr>
          <w:rFonts w:ascii="Times New Roman"/>
          <w:sz w:val="24"/>
          <w:szCs w:val="24"/>
        </w:rPr>
        <w:t>～350℃。</w:t>
      </w:r>
    </w:p>
    <w:p w14:paraId="035EA085">
      <w:pPr>
        <w:spacing w:line="480" w:lineRule="exact"/>
        <w:ind w:firstLine="480" w:firstLineChars="200"/>
        <w:rPr>
          <w:rFonts w:ascii="Times New Roman"/>
          <w:sz w:val="24"/>
          <w:szCs w:val="24"/>
        </w:rPr>
      </w:pPr>
      <w:r>
        <w:rPr>
          <w:rFonts w:hint="eastAsia" w:ascii="Times New Roman"/>
          <w:sz w:val="24"/>
          <w:szCs w:val="24"/>
        </w:rPr>
        <w:t>袋式除尘器按清灰方式不同可分为振动式、气环反吹式、脉冲式、声波式及复合式等5种类型。脉冲反吹式布袋除尘器由于其脉冲喷吹强度和频率可进行调节，清灰效果好，是目前世界上最为广泛应用的除尘装置，本项目依托现有的布袋除尘器。</w:t>
      </w:r>
    </w:p>
    <w:p w14:paraId="6E4113B5">
      <w:pPr>
        <w:spacing w:line="480" w:lineRule="exact"/>
        <w:ind w:firstLine="480" w:firstLineChars="200"/>
        <w:rPr>
          <w:rFonts w:ascii="Times New Roman"/>
          <w:sz w:val="24"/>
          <w:szCs w:val="24"/>
        </w:rPr>
      </w:pPr>
      <w:r>
        <w:rPr>
          <w:rFonts w:hint="eastAsia" w:ascii="Times New Roman"/>
          <w:sz w:val="24"/>
          <w:szCs w:val="24"/>
        </w:rPr>
        <w:t>处理流程：含尘气体从袋式除尘器入口进入后，由导流管进入各单元室，在导流装置的作用下，大颗粒粉尘分离后直接落入灰斗，其余粉尘随气流均匀进入各仓室过滤区，过滤后的洁净气体透过滤袋经上箱体、提升阀、排风管排出。随着过滤工况的进行，当滤袋表面积尘达到一定厚度时，由清灰控制装置(差压或定时、手动控制)按设定程序关闭提升阀，并打开电磁脉冲阀喷吹抖落滤袋上的粉尘。落入灰斗中的粉尘经由卸灰阀排出后，利用输灰系统送出。</w:t>
      </w:r>
    </w:p>
    <w:p w14:paraId="013CB5C4">
      <w:pPr>
        <w:spacing w:line="480" w:lineRule="exact"/>
        <w:ind w:firstLine="480" w:firstLineChars="200"/>
        <w:rPr>
          <w:rFonts w:ascii="Times New Roman"/>
          <w:sz w:val="24"/>
          <w:szCs w:val="24"/>
        </w:rPr>
      </w:pPr>
      <w:r>
        <w:rPr>
          <w:rFonts w:hint="eastAsia" w:ascii="Times New Roman"/>
          <w:sz w:val="24"/>
          <w:szCs w:val="24"/>
        </w:rPr>
        <w:t>布袋除尘器除尘效果的优劣与多种因素有关，但主要取决于滤料。布袋除尘器的滤料是合成纤维、天然纤维或玻璃纤维织成的布或毡。根据需要再把布或毡缝成圆筒或扁平形滤袋。根据烟气性质，选择出适合于应用条件的滤料。通常，烟气温度低于120℃，要求滤料具有耐酸性和耐久性的情况下，常选用涤纶绒布和涤纶针刺毡。布袋除尘器运行中控制烟气通过滤料的速度(称为过滤速度)颇为重要。一般取过滤速度为0.5-2m/min，除尘效率可高达99.99%。</w:t>
      </w:r>
    </w:p>
    <w:p w14:paraId="3E84FEC6">
      <w:pPr>
        <w:spacing w:line="480" w:lineRule="exact"/>
        <w:ind w:firstLine="480" w:firstLineChars="200"/>
        <w:rPr>
          <w:rFonts w:ascii="Times New Roman"/>
          <w:sz w:val="24"/>
          <w:szCs w:val="24"/>
        </w:rPr>
      </w:pPr>
      <w:r>
        <w:rPr>
          <w:rFonts w:hint="eastAsia" w:ascii="Times New Roman"/>
          <w:sz w:val="24"/>
          <w:szCs w:val="24"/>
        </w:rPr>
        <w:t>②滤筒除尘器</w:t>
      </w:r>
    </w:p>
    <w:p w14:paraId="2A0ADF83">
      <w:pPr>
        <w:spacing w:line="480" w:lineRule="exact"/>
        <w:ind w:firstLine="480" w:firstLineChars="200"/>
        <w:rPr>
          <w:rFonts w:ascii="Times New Roman"/>
          <w:sz w:val="24"/>
          <w:szCs w:val="24"/>
        </w:rPr>
      </w:pPr>
      <w:r>
        <w:rPr>
          <w:rFonts w:ascii="Times New Roman"/>
          <w:sz w:val="24"/>
          <w:szCs w:val="24"/>
        </w:rPr>
        <w:t>滤筒除尘器是干式净化器中过滤效率最高的一种</w:t>
      </w:r>
      <w:r>
        <w:rPr>
          <w:rFonts w:hint="eastAsia" w:ascii="Times New Roman"/>
          <w:sz w:val="24"/>
          <w:szCs w:val="24"/>
        </w:rPr>
        <w:t>，</w:t>
      </w:r>
      <w:r>
        <w:rPr>
          <w:rFonts w:ascii="Times New Roman"/>
          <w:sz w:val="24"/>
          <w:szCs w:val="24"/>
        </w:rPr>
        <w:t>它利用滤筒式过滤组件来捕集含尘气体中固体颗粒物</w:t>
      </w:r>
      <w:r>
        <w:rPr>
          <w:rFonts w:hint="eastAsia" w:ascii="Times New Roman"/>
          <w:sz w:val="24"/>
          <w:szCs w:val="24"/>
        </w:rPr>
        <w:t>，</w:t>
      </w:r>
      <w:r>
        <w:rPr>
          <w:rFonts w:ascii="Times New Roman"/>
          <w:sz w:val="24"/>
          <w:szCs w:val="24"/>
        </w:rPr>
        <w:t>其作用原理是尘粒在绕过滤芯纤维时因惯性力作用与纤维碰撞而被拦藏，细微的尘粒(粒径为lμm 或更小）受气体分子冲击(布朗运动)不断改变着运动方向，由于纤维间的空隙小于气体分子布朗运动的自由路径，尘粒便与纤维碰撞接触而被分离出来。</w:t>
      </w:r>
    </w:p>
    <w:p w14:paraId="3DD698F6">
      <w:pPr>
        <w:spacing w:line="360" w:lineRule="auto"/>
        <w:ind w:firstLine="480" w:firstLineChars="200"/>
        <w:rPr>
          <w:rFonts w:ascii="Times New Roman"/>
          <w:sz w:val="24"/>
          <w:szCs w:val="24"/>
        </w:rPr>
      </w:pPr>
      <w:r>
        <w:rPr>
          <w:rFonts w:ascii="Times New Roman"/>
          <w:sz w:val="24"/>
          <w:szCs w:val="24"/>
        </w:rPr>
        <w:t>综上，项目含尘废气污染治理设施可行。</w:t>
      </w:r>
    </w:p>
    <w:p w14:paraId="3217FD1C">
      <w:pPr>
        <w:widowControl/>
        <w:spacing w:line="520" w:lineRule="exact"/>
        <w:jc w:val="left"/>
        <w:outlineLvl w:val="2"/>
        <w:rPr>
          <w:rFonts w:ascii="Times New Roman"/>
          <w:b/>
          <w:sz w:val="30"/>
          <w:szCs w:val="30"/>
        </w:rPr>
      </w:pPr>
      <w:r>
        <w:rPr>
          <w:rFonts w:hint="eastAsia" w:ascii="Times New Roman"/>
          <w:b/>
          <w:sz w:val="30"/>
          <w:szCs w:val="30"/>
        </w:rPr>
        <w:t>6</w:t>
      </w:r>
      <w:r>
        <w:rPr>
          <w:rFonts w:ascii="Times New Roman"/>
          <w:b/>
          <w:sz w:val="30"/>
          <w:szCs w:val="30"/>
        </w:rPr>
        <w:t>.1.</w:t>
      </w:r>
      <w:bookmarkStart w:id="191" w:name="_Toc23433"/>
      <w:bookmarkStart w:id="192" w:name="_Toc445993834"/>
      <w:bookmarkStart w:id="193" w:name="_Toc19945_WPSOffice_Level3"/>
      <w:bookmarkStart w:id="194" w:name="_Toc437350963"/>
      <w:bookmarkStart w:id="195" w:name="_Toc1892"/>
      <w:bookmarkStart w:id="196" w:name="_Toc26603_WPSOffice_Level3"/>
      <w:r>
        <w:rPr>
          <w:rFonts w:hint="eastAsia" w:ascii="Times New Roman"/>
          <w:b/>
          <w:sz w:val="30"/>
          <w:szCs w:val="30"/>
        </w:rPr>
        <w:t>4</w:t>
      </w:r>
      <w:r>
        <w:rPr>
          <w:rFonts w:ascii="Times New Roman"/>
          <w:b/>
          <w:sz w:val="30"/>
          <w:szCs w:val="30"/>
        </w:rPr>
        <w:t>废气治理措施可行性论证</w:t>
      </w:r>
      <w:bookmarkEnd w:id="191"/>
      <w:bookmarkEnd w:id="192"/>
      <w:bookmarkEnd w:id="193"/>
      <w:bookmarkEnd w:id="194"/>
      <w:bookmarkEnd w:id="195"/>
      <w:bookmarkEnd w:id="196"/>
    </w:p>
    <w:p w14:paraId="47FB5C7D">
      <w:pPr>
        <w:spacing w:line="480" w:lineRule="exact"/>
        <w:ind w:firstLine="482" w:firstLineChars="200"/>
        <w:rPr>
          <w:rFonts w:ascii="Times New Roman"/>
          <w:sz w:val="24"/>
          <w:szCs w:val="24"/>
        </w:rPr>
      </w:pPr>
      <w:r>
        <w:rPr>
          <w:rFonts w:hint="eastAsia" w:ascii="Times New Roman"/>
          <w:b/>
          <w:bCs/>
          <w:sz w:val="24"/>
          <w:szCs w:val="24"/>
        </w:rPr>
        <w:t>技术可行性、经济合理性分析：</w:t>
      </w:r>
      <w:r>
        <w:rPr>
          <w:rFonts w:hint="eastAsia" w:ascii="Times New Roman"/>
          <w:sz w:val="24"/>
          <w:szCs w:val="24"/>
        </w:rPr>
        <w:t>根据上述6.1.1VOCs废气治理工艺比选及6.1.2分析，项目电泳、调漆、喷漆和烘干废气经“4级干式过滤器+沸石轮转吸附+RTO焚烧装置”净化处理；喷塑固化废气经两级活性炭吸附装置进行处理，下料、焊接、抛丸、喷砂废气经布袋除尘器处理，喷塑废气经自带滤筒除尘器收集处理，技术可行，经济合理。</w:t>
      </w:r>
    </w:p>
    <w:p w14:paraId="7900AD7D">
      <w:pPr>
        <w:spacing w:line="480" w:lineRule="exact"/>
        <w:ind w:firstLine="482" w:firstLineChars="200"/>
        <w:rPr>
          <w:rFonts w:ascii="Times New Roman"/>
          <w:sz w:val="24"/>
          <w:szCs w:val="24"/>
        </w:rPr>
      </w:pPr>
      <w:r>
        <w:rPr>
          <w:rFonts w:ascii="Times New Roman"/>
          <w:b/>
          <w:bCs/>
          <w:sz w:val="24"/>
          <w:szCs w:val="24"/>
        </w:rPr>
        <w:t>排污许可要求可行性</w:t>
      </w:r>
      <w:r>
        <w:rPr>
          <w:rFonts w:hint="eastAsia" w:ascii="Times New Roman"/>
          <w:b/>
          <w:bCs/>
          <w:sz w:val="24"/>
          <w:szCs w:val="24"/>
        </w:rPr>
        <w:t>：</w:t>
      </w:r>
      <w:r>
        <w:rPr>
          <w:rFonts w:hint="eastAsia" w:ascii="Times New Roman"/>
          <w:sz w:val="24"/>
          <w:szCs w:val="24"/>
        </w:rPr>
        <w:t>本项目属于C3434连续搬运设备制造项目，排污许可证申请与核发技术规范无本项目相关，根据上述分析，项目废气治理措施可行。</w:t>
      </w:r>
    </w:p>
    <w:p w14:paraId="6E5E0A01">
      <w:pPr>
        <w:spacing w:line="480" w:lineRule="exact"/>
        <w:ind w:firstLine="482" w:firstLineChars="200"/>
        <w:rPr>
          <w:rFonts w:ascii="Times New Roman"/>
          <w:sz w:val="24"/>
          <w:szCs w:val="24"/>
        </w:rPr>
      </w:pPr>
      <w:r>
        <w:rPr>
          <w:rFonts w:hint="eastAsia" w:ascii="Times New Roman"/>
          <w:b/>
          <w:bCs/>
          <w:sz w:val="24"/>
          <w:szCs w:val="24"/>
        </w:rPr>
        <w:t>达标排放的可靠性：</w:t>
      </w:r>
      <w:r>
        <w:rPr>
          <w:rFonts w:ascii="Times New Roman"/>
          <w:sz w:val="24"/>
          <w:szCs w:val="24"/>
        </w:rPr>
        <w:t>根据</w:t>
      </w:r>
      <w:r>
        <w:rPr>
          <w:rFonts w:hint="eastAsia" w:ascii="Times New Roman"/>
          <w:sz w:val="24"/>
          <w:szCs w:val="24"/>
        </w:rPr>
        <w:t>第三章废气源强核算结果</w:t>
      </w:r>
      <w:r>
        <w:rPr>
          <w:rFonts w:ascii="Times New Roman"/>
          <w:sz w:val="24"/>
          <w:szCs w:val="24"/>
        </w:rPr>
        <w:t>，项目</w:t>
      </w:r>
      <w:r>
        <w:rPr>
          <w:rFonts w:hint="eastAsia" w:ascii="Times New Roman"/>
          <w:sz w:val="24"/>
          <w:szCs w:val="24"/>
        </w:rPr>
        <w:t>废气排放均能满足标准要求</w:t>
      </w:r>
      <w:r>
        <w:rPr>
          <w:rFonts w:ascii="Times New Roman"/>
          <w:sz w:val="24"/>
          <w:szCs w:val="24"/>
        </w:rPr>
        <w:t>。</w:t>
      </w:r>
    </w:p>
    <w:p w14:paraId="206FE617">
      <w:pPr>
        <w:spacing w:line="480" w:lineRule="exact"/>
        <w:ind w:firstLine="480" w:firstLineChars="200"/>
        <w:rPr>
          <w:rFonts w:ascii="Times New Roman"/>
          <w:sz w:val="24"/>
          <w:szCs w:val="20"/>
        </w:rPr>
      </w:pPr>
      <w:r>
        <w:rPr>
          <w:rFonts w:ascii="Times New Roman"/>
          <w:sz w:val="24"/>
          <w:szCs w:val="20"/>
        </w:rPr>
        <w:t>综上，项目废气治理设施可行。</w:t>
      </w:r>
    </w:p>
    <w:p w14:paraId="6602F89F">
      <w:pPr>
        <w:widowControl/>
        <w:spacing w:line="360" w:lineRule="auto"/>
        <w:jc w:val="left"/>
        <w:outlineLvl w:val="1"/>
        <w:rPr>
          <w:rFonts w:ascii="Times New Roman"/>
          <w:b/>
          <w:sz w:val="30"/>
          <w:szCs w:val="30"/>
        </w:rPr>
      </w:pPr>
      <w:bookmarkStart w:id="197" w:name="_Toc16103"/>
      <w:r>
        <w:rPr>
          <w:rFonts w:ascii="Times New Roman"/>
          <w:b/>
          <w:sz w:val="30"/>
          <w:szCs w:val="30"/>
        </w:rPr>
        <w:t>6.</w:t>
      </w:r>
      <w:r>
        <w:rPr>
          <w:rFonts w:hint="eastAsia" w:ascii="Times New Roman"/>
          <w:b/>
          <w:sz w:val="30"/>
          <w:szCs w:val="30"/>
        </w:rPr>
        <w:t>2废水</w:t>
      </w:r>
      <w:r>
        <w:rPr>
          <w:rFonts w:ascii="Times New Roman"/>
          <w:b/>
          <w:sz w:val="30"/>
          <w:szCs w:val="30"/>
        </w:rPr>
        <w:t>污染防治措施可行性论证</w:t>
      </w:r>
      <w:bookmarkEnd w:id="197"/>
    </w:p>
    <w:p w14:paraId="08E133C0">
      <w:pPr>
        <w:widowControl/>
        <w:spacing w:line="360" w:lineRule="auto"/>
        <w:ind w:firstLine="480" w:firstLineChars="200"/>
        <w:jc w:val="left"/>
        <w:rPr>
          <w:rFonts w:ascii="Times New Roman"/>
          <w:b/>
          <w:sz w:val="30"/>
          <w:szCs w:val="30"/>
        </w:rPr>
      </w:pPr>
      <w:r>
        <w:rPr>
          <w:rFonts w:ascii="Times New Roman"/>
          <w:sz w:val="24"/>
          <w:szCs w:val="24"/>
        </w:rPr>
        <w:t>项目废水主要为</w:t>
      </w:r>
      <w:r>
        <w:rPr>
          <w:rFonts w:hint="eastAsia"/>
          <w:sz w:val="24"/>
          <w:szCs w:val="24"/>
        </w:rPr>
        <w:t>生产废水和</w:t>
      </w:r>
      <w:r>
        <w:rPr>
          <w:rFonts w:ascii="Times New Roman"/>
          <w:sz w:val="24"/>
          <w:szCs w:val="24"/>
        </w:rPr>
        <w:t>生活污水</w:t>
      </w:r>
      <w:r>
        <w:rPr>
          <w:rFonts w:hint="eastAsia"/>
          <w:sz w:val="24"/>
          <w:szCs w:val="24"/>
        </w:rPr>
        <w:t>。</w:t>
      </w:r>
      <w:r>
        <w:rPr>
          <w:rFonts w:ascii="Times New Roman"/>
          <w:sz w:val="24"/>
          <w:szCs w:val="24"/>
        </w:rPr>
        <w:t>生活污水经化粪池处理后排入市政污水管网，最终排入曹妃甸装备制造园区</w:t>
      </w:r>
      <w:r>
        <w:rPr>
          <w:rFonts w:hint="eastAsia"/>
          <w:sz w:val="24"/>
          <w:szCs w:val="24"/>
        </w:rPr>
        <w:t>污水处理站</w:t>
      </w:r>
      <w:r>
        <w:rPr>
          <w:rFonts w:ascii="Times New Roman"/>
          <w:sz w:val="24"/>
          <w:szCs w:val="24"/>
        </w:rPr>
        <w:t>进一步处理</w:t>
      </w:r>
      <w:r>
        <w:rPr>
          <w:rFonts w:hint="eastAsia"/>
          <w:sz w:val="24"/>
          <w:szCs w:val="24"/>
        </w:rPr>
        <w:t>；生产废水经厂区内污水处理站处理后</w:t>
      </w:r>
      <w:r>
        <w:rPr>
          <w:rFonts w:ascii="Times New Roman"/>
          <w:sz w:val="24"/>
          <w:szCs w:val="24"/>
        </w:rPr>
        <w:t>排入曹妃甸装备制造园区</w:t>
      </w:r>
      <w:r>
        <w:rPr>
          <w:rFonts w:hint="eastAsia"/>
          <w:sz w:val="24"/>
          <w:szCs w:val="24"/>
        </w:rPr>
        <w:t>污水处理站</w:t>
      </w:r>
      <w:r>
        <w:rPr>
          <w:rFonts w:ascii="Times New Roman"/>
          <w:sz w:val="24"/>
          <w:szCs w:val="24"/>
        </w:rPr>
        <w:t>进一步处理。</w:t>
      </w:r>
    </w:p>
    <w:p w14:paraId="197C13A7">
      <w:pPr>
        <w:widowControl/>
        <w:spacing w:line="360" w:lineRule="auto"/>
        <w:ind w:firstLine="480" w:firstLineChars="200"/>
        <w:jc w:val="left"/>
        <w:rPr>
          <w:rFonts w:ascii="Times New Roman"/>
          <w:sz w:val="24"/>
          <w:szCs w:val="24"/>
        </w:rPr>
      </w:pPr>
      <w:r>
        <w:rPr>
          <w:rFonts w:ascii="Times New Roman"/>
          <w:sz w:val="24"/>
          <w:szCs w:val="24"/>
        </w:rPr>
        <w:t>厂区内污水处理站处理规模为</w:t>
      </w:r>
      <w:r>
        <w:rPr>
          <w:rFonts w:hint="eastAsia" w:ascii="Times New Roman"/>
          <w:sz w:val="24"/>
          <w:szCs w:val="24"/>
        </w:rPr>
        <w:t>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h</w:t>
      </w:r>
      <w:r>
        <w:rPr>
          <w:rFonts w:ascii="Times New Roman"/>
          <w:sz w:val="24"/>
          <w:szCs w:val="24"/>
        </w:rPr>
        <w:t>。根据排放标准，本项目要求三级</w:t>
      </w:r>
      <w:r>
        <w:rPr>
          <w:rFonts w:hint="eastAsia" w:ascii="Times New Roman"/>
          <w:sz w:val="24"/>
          <w:szCs w:val="24"/>
        </w:rPr>
        <w:t>处理</w:t>
      </w:r>
      <w:r>
        <w:rPr>
          <w:rFonts w:ascii="Times New Roman"/>
          <w:sz w:val="24"/>
          <w:szCs w:val="24"/>
        </w:rPr>
        <w:t>，废水处理达标后外排，产生的污泥作为危废委外处置。采用预处理反应斜管沉淀槽，去除电泳废水高COD组分油漆树脂，以及对收集的浓液进行预处理。综合废水采用“一体化气浮槽+综合反应斜管沉淀槽+综合芬顿反应槽+多介质过滤器+活性炭过滤器”工艺处理，主要去除COD和悬浮物，芬顿系统是处理难降解的COD组分，确保综合废水中COD的去除。综合废水最终经“多介质过滤器+活性炭过滤器”组合过滤工艺，强化去除废水中较为细小的胶体颗粒等，保障了出水水质达到排放标准。</w:t>
      </w:r>
    </w:p>
    <w:p w14:paraId="0EA662A9">
      <w:pPr>
        <w:widowControl/>
        <w:spacing w:line="360" w:lineRule="auto"/>
        <w:ind w:firstLine="482" w:firstLineChars="200"/>
        <w:jc w:val="left"/>
        <w:rPr>
          <w:rFonts w:ascii="Times New Roman"/>
          <w:b/>
          <w:bCs/>
          <w:sz w:val="24"/>
          <w:szCs w:val="24"/>
        </w:rPr>
      </w:pPr>
      <w:r>
        <w:rPr>
          <w:rFonts w:ascii="Times New Roman"/>
          <w:b/>
          <w:bCs/>
          <w:sz w:val="24"/>
          <w:szCs w:val="24"/>
        </w:rPr>
        <w:t>流程简介</w:t>
      </w:r>
    </w:p>
    <w:p w14:paraId="507F8DDE">
      <w:pPr>
        <w:widowControl/>
        <w:spacing w:line="360" w:lineRule="auto"/>
        <w:ind w:firstLine="480" w:firstLineChars="200"/>
        <w:jc w:val="left"/>
        <w:rPr>
          <w:rFonts w:ascii="Times New Roman"/>
          <w:sz w:val="24"/>
          <w:szCs w:val="24"/>
        </w:rPr>
      </w:pPr>
      <w:r>
        <w:rPr>
          <w:rFonts w:ascii="Times New Roman"/>
          <w:sz w:val="24"/>
          <w:szCs w:val="24"/>
        </w:rPr>
        <w:t>为使进入废水处理设备的水质波动范围较小，设计将碱性脱脂倒槽浓液、酸性浓液（硅烷倒槽浓液、电泳槽洗槽废水）、溢流废水分开收集，为节省投资及占地面积，并考虑倒槽体积，设计废水收集槽分为三类：脱脂浓液收集槽、硅烷电泳浓液收集槽、综合废水收集槽。</w:t>
      </w:r>
    </w:p>
    <w:p w14:paraId="36EF7C2A">
      <w:pPr>
        <w:widowControl/>
        <w:spacing w:line="360" w:lineRule="auto"/>
        <w:ind w:firstLine="480" w:firstLineChars="200"/>
        <w:jc w:val="left"/>
        <w:rPr>
          <w:rFonts w:ascii="Times New Roman"/>
          <w:sz w:val="24"/>
          <w:szCs w:val="24"/>
        </w:rPr>
      </w:pPr>
      <w:r>
        <w:rPr>
          <w:rFonts w:ascii="Times New Roman"/>
          <w:sz w:val="24"/>
          <w:szCs w:val="24"/>
        </w:rPr>
        <w:t>前处理工段产生的各类废水通过地沟重力自流至上述三个水槽，再由泵打入废水反应槽处理。</w:t>
      </w:r>
    </w:p>
    <w:p w14:paraId="6C7B6827">
      <w:pPr>
        <w:widowControl/>
        <w:spacing w:line="360" w:lineRule="auto"/>
        <w:ind w:firstLine="480" w:firstLineChars="200"/>
        <w:jc w:val="left"/>
        <w:rPr>
          <w:rFonts w:ascii="Times New Roman"/>
          <w:sz w:val="24"/>
          <w:szCs w:val="24"/>
        </w:rPr>
      </w:pPr>
      <w:r>
        <w:rPr>
          <w:rFonts w:ascii="Times New Roman"/>
          <w:sz w:val="24"/>
          <w:szCs w:val="24"/>
        </w:rPr>
        <w:t>电泳废水以及脱脂浓液首先进入预处理斜管反应沉淀槽，加入的化学药剂为碱、酸、钙盐、PAC、PAM，去除油漆树脂、石油类、悬浮物。</w:t>
      </w:r>
    </w:p>
    <w:p w14:paraId="2C5BCD44">
      <w:pPr>
        <w:widowControl/>
        <w:spacing w:line="360" w:lineRule="auto"/>
        <w:ind w:firstLine="480" w:firstLineChars="200"/>
        <w:jc w:val="left"/>
        <w:rPr>
          <w:rFonts w:ascii="Times New Roman"/>
          <w:sz w:val="24"/>
          <w:szCs w:val="24"/>
        </w:rPr>
      </w:pPr>
      <w:r>
        <w:rPr>
          <w:rFonts w:ascii="Times New Roman"/>
          <w:sz w:val="24"/>
          <w:szCs w:val="24"/>
        </w:rPr>
        <w:t>综合废水首先进入一体化气浮机，加入的化学药剂为碱、酸、钙盐、PAC、PAM，去除大部分的悬浮物如油脂等。</w:t>
      </w:r>
    </w:p>
    <w:p w14:paraId="444BA781">
      <w:pPr>
        <w:widowControl/>
        <w:spacing w:line="360" w:lineRule="auto"/>
        <w:ind w:firstLine="480" w:firstLineChars="200"/>
        <w:jc w:val="left"/>
        <w:rPr>
          <w:rFonts w:ascii="Times New Roman"/>
          <w:sz w:val="24"/>
          <w:szCs w:val="24"/>
        </w:rPr>
      </w:pPr>
      <w:r>
        <w:rPr>
          <w:rFonts w:ascii="Times New Roman"/>
          <w:sz w:val="24"/>
          <w:szCs w:val="24"/>
        </w:rPr>
        <w:t>气浮槽出水重力自流至综合反应斜管沉淀槽处理，加入的化学药剂为碱、酸、钙盐、PAC、PAM，除重金属、磷酸盐、树脂颜料等悬浮物。</w:t>
      </w:r>
    </w:p>
    <w:p w14:paraId="5A94B3CF">
      <w:pPr>
        <w:widowControl/>
        <w:spacing w:line="360" w:lineRule="auto"/>
        <w:ind w:firstLine="480" w:firstLineChars="200"/>
        <w:jc w:val="left"/>
        <w:rPr>
          <w:rFonts w:ascii="Times New Roman"/>
          <w:sz w:val="24"/>
          <w:szCs w:val="24"/>
        </w:rPr>
      </w:pPr>
      <w:r>
        <w:rPr>
          <w:rFonts w:ascii="Times New Roman"/>
          <w:sz w:val="24"/>
          <w:szCs w:val="24"/>
        </w:rPr>
        <w:t>综合反应斜管沉淀槽出水中仍然含有少量难降解有机物，考虑到本项目执行的COD标准较三级排放严格，因此需设置综合芬顿反应系统，用芬顿系统中强氧化性的羟基自由基氧化去除难降解的小分子有机物。保障废水COD能处理到较低值。</w:t>
      </w:r>
    </w:p>
    <w:p w14:paraId="6EC8A574">
      <w:pPr>
        <w:widowControl/>
        <w:spacing w:line="360" w:lineRule="auto"/>
        <w:ind w:firstLine="480" w:firstLineChars="200"/>
        <w:jc w:val="left"/>
        <w:rPr>
          <w:rFonts w:ascii="Times New Roman"/>
          <w:sz w:val="24"/>
          <w:szCs w:val="24"/>
        </w:rPr>
      </w:pPr>
      <w:r>
        <w:rPr>
          <w:rFonts w:ascii="Times New Roman"/>
          <w:sz w:val="24"/>
          <w:szCs w:val="24"/>
        </w:rPr>
        <w:t>最终，废水泵至多介质过滤器和活性炭过滤器，进一步网捕和吸附微小污染物，保障了出水指标，至此，废水达标后排至厂区污水管网。</w:t>
      </w:r>
    </w:p>
    <w:p w14:paraId="40B09C9E">
      <w:pPr>
        <w:widowControl/>
        <w:spacing w:line="360" w:lineRule="auto"/>
        <w:ind w:firstLine="480" w:firstLineChars="200"/>
        <w:jc w:val="left"/>
        <w:rPr>
          <w:rFonts w:ascii="Times New Roman"/>
          <w:sz w:val="24"/>
          <w:szCs w:val="24"/>
        </w:rPr>
      </w:pPr>
      <w:r>
        <w:rPr>
          <w:rFonts w:ascii="Times New Roman"/>
          <w:sz w:val="24"/>
          <w:szCs w:val="24"/>
        </w:rPr>
        <w:t>气浮机、综合反应斜管沉淀槽、芬顿槽处理废水的同时会产生浓度较高的污泥，这些污泥经污泥浓缩槽浓缩后由污泥泵泵至压滤机压滤减量后形成污泥泥饼，委托有资质的单位处置。</w:t>
      </w:r>
    </w:p>
    <w:p w14:paraId="5D3EDDEE">
      <w:pPr>
        <w:widowControl/>
        <w:spacing w:line="360" w:lineRule="auto"/>
        <w:ind w:firstLine="480" w:firstLineChars="200"/>
        <w:jc w:val="left"/>
        <w:rPr>
          <w:rFonts w:ascii="Times New Roman"/>
          <w:sz w:val="24"/>
          <w:szCs w:val="24"/>
        </w:rPr>
      </w:pPr>
      <w:r>
        <w:rPr>
          <w:rFonts w:ascii="Times New Roman"/>
          <w:sz w:val="24"/>
          <w:szCs w:val="24"/>
        </w:rPr>
        <w:t>废水站房处理过程中产生的压滤液、砂碳过滤器反冲洗废水等汇入综合废水收集槽。</w:t>
      </w:r>
    </w:p>
    <w:p w14:paraId="38CD393D">
      <w:pPr>
        <w:widowControl/>
        <w:spacing w:line="360" w:lineRule="auto"/>
        <w:ind w:firstLine="480" w:firstLineChars="200"/>
        <w:jc w:val="left"/>
        <w:rPr>
          <w:rFonts w:ascii="Times New Roman"/>
          <w:sz w:val="24"/>
          <w:szCs w:val="20"/>
        </w:rPr>
      </w:pPr>
      <w:r>
        <w:rPr>
          <w:rFonts w:hint="eastAsia"/>
          <w:sz w:val="24"/>
          <w:szCs w:val="24"/>
        </w:rPr>
        <w:t>经计算，</w:t>
      </w:r>
      <w:r>
        <w:rPr>
          <w:rFonts w:ascii="Times New Roman"/>
          <w:bCs/>
          <w:sz w:val="24"/>
        </w:rPr>
        <w:t>厂区废水总排放口</w:t>
      </w:r>
      <w:r>
        <w:rPr>
          <w:rFonts w:ascii="Times New Roman"/>
          <w:sz w:val="24"/>
          <w:szCs w:val="24"/>
        </w:rPr>
        <w:t>废水水质满足《污水综合排放标准》(GB8978-1996)表4三级标准及曹妃甸装备制造园区</w:t>
      </w:r>
      <w:r>
        <w:rPr>
          <w:rFonts w:hint="eastAsia" w:ascii="Times New Roman"/>
          <w:sz w:val="24"/>
          <w:szCs w:val="24"/>
        </w:rPr>
        <w:t>污水处理站</w:t>
      </w:r>
      <w:r>
        <w:rPr>
          <w:rFonts w:ascii="Times New Roman"/>
          <w:sz w:val="24"/>
          <w:szCs w:val="24"/>
        </w:rPr>
        <w:t>进水水质要求</w:t>
      </w:r>
      <w:r>
        <w:rPr>
          <w:rFonts w:ascii="Times New Roman"/>
          <w:bCs/>
          <w:sz w:val="24"/>
          <w:lang w:val="en-GB"/>
        </w:rPr>
        <w:t>，</w:t>
      </w:r>
      <w:r>
        <w:rPr>
          <w:rFonts w:ascii="Times New Roman"/>
          <w:sz w:val="24"/>
          <w:szCs w:val="24"/>
        </w:rPr>
        <w:t>达标处理后废水外排曹妃甸装备制造园区</w:t>
      </w:r>
      <w:r>
        <w:rPr>
          <w:rFonts w:hint="eastAsia" w:ascii="Times New Roman"/>
          <w:sz w:val="24"/>
          <w:szCs w:val="24"/>
        </w:rPr>
        <w:t>污水处理站</w:t>
      </w:r>
      <w:r>
        <w:rPr>
          <w:rFonts w:ascii="Times New Roman"/>
          <w:sz w:val="24"/>
          <w:szCs w:val="24"/>
        </w:rPr>
        <w:t>进一步处理</w:t>
      </w:r>
      <w:r>
        <w:rPr>
          <w:rFonts w:ascii="Times New Roman"/>
          <w:sz w:val="24"/>
          <w:szCs w:val="20"/>
        </w:rPr>
        <w:t>。</w:t>
      </w:r>
    </w:p>
    <w:p w14:paraId="7E9D14E7">
      <w:pPr>
        <w:spacing w:line="500" w:lineRule="exact"/>
        <w:ind w:firstLine="482" w:firstLineChars="200"/>
        <w:rPr>
          <w:rFonts w:ascii="Times New Roman"/>
          <w:sz w:val="24"/>
          <w:szCs w:val="24"/>
        </w:rPr>
      </w:pPr>
      <w:r>
        <w:rPr>
          <w:rFonts w:ascii="Times New Roman"/>
          <w:b/>
          <w:bCs/>
          <w:sz w:val="24"/>
        </w:rPr>
        <w:t>依托污水处理厂可行性</w:t>
      </w:r>
      <w:r>
        <w:rPr>
          <w:rFonts w:hint="eastAsia" w:ascii="Times New Roman"/>
          <w:b/>
          <w:bCs/>
          <w:sz w:val="24"/>
        </w:rPr>
        <w:t>：</w:t>
      </w:r>
      <w:r>
        <w:rPr>
          <w:rFonts w:ascii="Times New Roman"/>
          <w:sz w:val="24"/>
          <w:szCs w:val="24"/>
        </w:rPr>
        <w:t>曹妃甸工业区装备制造区污水处理站位于曹妃甸装备园区A6路以东，装备道以北，占地面积2000平方米，污水处理规模为1500m</w:t>
      </w:r>
      <w:r>
        <w:rPr>
          <w:rFonts w:ascii="Times New Roman"/>
          <w:sz w:val="24"/>
          <w:szCs w:val="24"/>
          <w:vertAlign w:val="superscript"/>
        </w:rPr>
        <w:t>3</w:t>
      </w:r>
      <w:r>
        <w:rPr>
          <w:rFonts w:ascii="Times New Roman"/>
          <w:sz w:val="24"/>
          <w:szCs w:val="24"/>
        </w:rPr>
        <w:t>/d，服务范围为曹妃甸工业区装备区（含综合保税区）。污水处理站总体工艺流程包括：一级预处理段（格栅+细格栅+调节池）、二级生物处理段（生物流化床技术（MBBR），包含厌氧+缺氧+好氧）、三级深度处理段（斜管沉淀池+砂滤池）、消毒处理（次氯酸钠消毒工艺）、污泥处理段，出水达到《城镇污水处理厂污染物排放标准》（GB18918-2002）中一级A标准要求，同时达到《城镇污水再生利用城市杂用水水质》（GB/T18920-2002）表1标准。</w:t>
      </w:r>
    </w:p>
    <w:p w14:paraId="04EFD6FB">
      <w:pPr>
        <w:widowControl/>
        <w:spacing w:line="360" w:lineRule="auto"/>
        <w:ind w:firstLine="480" w:firstLineChars="200"/>
        <w:jc w:val="left"/>
        <w:rPr>
          <w:rFonts w:ascii="Times New Roman"/>
          <w:sz w:val="24"/>
          <w:szCs w:val="24"/>
        </w:rPr>
      </w:pPr>
      <w:r>
        <w:rPr>
          <w:rFonts w:ascii="Times New Roman"/>
          <w:sz w:val="24"/>
          <w:szCs w:val="24"/>
        </w:rPr>
        <w:t>目前园区污水处理厂及配套管网已建成，收水管网已覆盖项目区域，且企业已于园区管委会签订投资协议，同意且支持项目项目建设，即项目外排废水从水质及水量上不会对园区污水处理厂的运行造成不良影响。</w:t>
      </w:r>
    </w:p>
    <w:p w14:paraId="3EEB95DF">
      <w:pPr>
        <w:widowControl/>
        <w:spacing w:line="360" w:lineRule="auto"/>
        <w:ind w:firstLine="480" w:firstLineChars="200"/>
        <w:jc w:val="left"/>
        <w:rPr>
          <w:rFonts w:ascii="Times New Roman"/>
          <w:sz w:val="24"/>
          <w:szCs w:val="24"/>
        </w:rPr>
      </w:pPr>
      <w:r>
        <w:rPr>
          <w:rFonts w:ascii="Times New Roman"/>
          <w:sz w:val="24"/>
        </w:rPr>
        <w:t>综上本项目废水可全部排至</w:t>
      </w:r>
      <w:r>
        <w:rPr>
          <w:rFonts w:ascii="Times New Roman"/>
          <w:sz w:val="24"/>
          <w:szCs w:val="24"/>
        </w:rPr>
        <w:t>曹妃甸工业区装备制造区污水处理站</w:t>
      </w:r>
      <w:r>
        <w:rPr>
          <w:rFonts w:ascii="Times New Roman"/>
          <w:sz w:val="24"/>
        </w:rPr>
        <w:t>，废水依托性可行。</w:t>
      </w:r>
    </w:p>
    <w:p w14:paraId="7AFB0E34">
      <w:pPr>
        <w:widowControl/>
        <w:spacing w:line="520" w:lineRule="exact"/>
        <w:jc w:val="left"/>
        <w:outlineLvl w:val="1"/>
        <w:rPr>
          <w:rFonts w:ascii="Times New Roman"/>
          <w:b/>
          <w:sz w:val="30"/>
          <w:szCs w:val="30"/>
        </w:rPr>
      </w:pPr>
      <w:bookmarkStart w:id="198" w:name="_Toc17689"/>
      <w:r>
        <w:rPr>
          <w:rFonts w:ascii="Times New Roman"/>
          <w:b/>
          <w:sz w:val="30"/>
          <w:szCs w:val="30"/>
        </w:rPr>
        <w:t>6.3地下水、土壤环境污染防治措施可行性论证</w:t>
      </w:r>
      <w:bookmarkEnd w:id="198"/>
    </w:p>
    <w:p w14:paraId="76D7005B">
      <w:pPr>
        <w:spacing w:line="520" w:lineRule="exact"/>
        <w:outlineLvl w:val="2"/>
        <w:rPr>
          <w:rFonts w:ascii="Times New Roman"/>
          <w:b/>
          <w:sz w:val="28"/>
          <w:szCs w:val="28"/>
        </w:rPr>
      </w:pPr>
      <w:r>
        <w:rPr>
          <w:rFonts w:ascii="Times New Roman"/>
          <w:b/>
          <w:sz w:val="28"/>
          <w:szCs w:val="28"/>
        </w:rPr>
        <w:t>6.3.1污染控制原则</w:t>
      </w:r>
    </w:p>
    <w:p w14:paraId="6C55A660">
      <w:pPr>
        <w:widowControl/>
        <w:spacing w:line="360" w:lineRule="auto"/>
        <w:ind w:firstLine="480" w:firstLineChars="200"/>
        <w:jc w:val="left"/>
        <w:rPr>
          <w:rFonts w:ascii="Times New Roman"/>
          <w:sz w:val="24"/>
          <w:szCs w:val="24"/>
        </w:rPr>
      </w:pPr>
      <w:r>
        <w:rPr>
          <w:rFonts w:ascii="Times New Roman"/>
          <w:sz w:val="24"/>
          <w:szCs w:val="24"/>
        </w:rPr>
        <w:t>针对项目可能发生的地下水、土壤污染，污染防治措施按照“源头控制、分区防治、污染监控、应急响应”相结合的原则，从污染物的产生、入渗、扩散、应急响应全阶段进行控制。</w:t>
      </w:r>
    </w:p>
    <w:p w14:paraId="36E54797">
      <w:pPr>
        <w:widowControl/>
        <w:spacing w:line="360" w:lineRule="auto"/>
        <w:ind w:firstLine="480" w:firstLineChars="200"/>
        <w:jc w:val="left"/>
        <w:rPr>
          <w:rFonts w:ascii="Times New Roman"/>
          <w:sz w:val="24"/>
          <w:szCs w:val="24"/>
        </w:rPr>
      </w:pPr>
      <w:r>
        <w:rPr>
          <w:rFonts w:hint="eastAsia" w:ascii="Times New Roman"/>
          <w:sz w:val="24"/>
          <w:szCs w:val="24"/>
        </w:rPr>
        <w:t>（1）</w:t>
      </w:r>
      <w:r>
        <w:rPr>
          <w:rFonts w:ascii="Times New Roman"/>
          <w:sz w:val="24"/>
          <w:szCs w:val="24"/>
        </w:rPr>
        <w:t>源头控制措施：加强设施的维护和管理，选用优质设备和管件，并加强日常管理和维修维护工作，防止和减少跑冒滴漏现象的发生和非正常状况情况发生。本评价要求建设单位采取完善的防渗措施，为确保防渗措施的防渗效果，工程施工过程中建设单位应进行环境监理，严格按防渗设计要求进行施工，加强防渗措施的日常维护，使防渗措施达到应有的防渗效果。</w:t>
      </w:r>
    </w:p>
    <w:p w14:paraId="55EFBBDF">
      <w:pPr>
        <w:widowControl/>
        <w:spacing w:line="360" w:lineRule="auto"/>
        <w:ind w:firstLine="480" w:firstLineChars="200"/>
        <w:jc w:val="left"/>
        <w:rPr>
          <w:rFonts w:ascii="Times New Roman"/>
          <w:sz w:val="24"/>
          <w:szCs w:val="24"/>
        </w:rPr>
      </w:pPr>
      <w:r>
        <w:rPr>
          <w:rFonts w:hint="eastAsia" w:ascii="Times New Roman"/>
          <w:sz w:val="24"/>
          <w:szCs w:val="24"/>
        </w:rPr>
        <w:t>（2）</w:t>
      </w:r>
      <w:r>
        <w:rPr>
          <w:rFonts w:ascii="Times New Roman"/>
          <w:sz w:val="24"/>
          <w:szCs w:val="24"/>
        </w:rPr>
        <w:t>分区防治措施：主要包括厂内污染区地面的防渗措施和泄漏、渗漏污染物收集措施，即在污染区地面进行防渗处理，防止洒落地面的污染物渗入地下；末端控制采取分区防渗，重点污染防治区、一般污染防治区防渗措施有区别的防渗原则。</w:t>
      </w:r>
    </w:p>
    <w:p w14:paraId="4F3C9C19">
      <w:pPr>
        <w:snapToGrid w:val="0"/>
        <w:spacing w:line="360" w:lineRule="auto"/>
        <w:ind w:firstLine="480" w:firstLineChars="200"/>
        <w:rPr>
          <w:rFonts w:ascii="Times New Roman"/>
          <w:sz w:val="24"/>
          <w:szCs w:val="24"/>
        </w:rPr>
      </w:pPr>
      <w:r>
        <w:rPr>
          <w:rFonts w:hint="eastAsia" w:ascii="Times New Roman"/>
          <w:sz w:val="24"/>
          <w:szCs w:val="24"/>
        </w:rPr>
        <w:t>（3）</w:t>
      </w:r>
      <w:r>
        <w:rPr>
          <w:rFonts w:ascii="Times New Roman"/>
          <w:sz w:val="24"/>
          <w:szCs w:val="24"/>
        </w:rPr>
        <w:t>污染监控体系：包括建立完善的监测制度，科学、合理设置地下水污染监控井、土壤监测点，及时发现污染、及时控制；</w:t>
      </w:r>
    </w:p>
    <w:p w14:paraId="28F7510B">
      <w:pPr>
        <w:snapToGrid w:val="0"/>
        <w:spacing w:line="360" w:lineRule="auto"/>
        <w:ind w:firstLine="480" w:firstLineChars="200"/>
        <w:rPr>
          <w:rFonts w:ascii="Times New Roman"/>
          <w:sz w:val="24"/>
          <w:szCs w:val="24"/>
        </w:rPr>
      </w:pPr>
      <w:r>
        <w:rPr>
          <w:rFonts w:hint="eastAsia" w:ascii="Times New Roman"/>
          <w:sz w:val="24"/>
          <w:szCs w:val="24"/>
        </w:rPr>
        <w:t>（4）</w:t>
      </w:r>
      <w:r>
        <w:rPr>
          <w:rFonts w:ascii="Times New Roman"/>
          <w:sz w:val="24"/>
          <w:szCs w:val="24"/>
        </w:rPr>
        <w:t>应急响应措施：包括一旦发现地下水、土壤污染事故，立即启动应急预案、采取应急措施控制地下水、土壤污染，并使污染得到治理。</w:t>
      </w:r>
    </w:p>
    <w:p w14:paraId="5AEE3C6E">
      <w:pPr>
        <w:snapToGrid w:val="0"/>
        <w:spacing w:line="360" w:lineRule="auto"/>
        <w:ind w:firstLine="480" w:firstLineChars="200"/>
        <w:rPr>
          <w:rFonts w:ascii="Times New Roman"/>
          <w:sz w:val="24"/>
          <w:szCs w:val="24"/>
        </w:rPr>
      </w:pPr>
    </w:p>
    <w:p w14:paraId="6CFD588A">
      <w:pPr>
        <w:spacing w:line="520" w:lineRule="exact"/>
        <w:outlineLvl w:val="2"/>
        <w:rPr>
          <w:rFonts w:ascii="Times New Roman"/>
          <w:b/>
          <w:sz w:val="28"/>
          <w:szCs w:val="28"/>
        </w:rPr>
      </w:pPr>
      <w:r>
        <w:rPr>
          <w:rFonts w:ascii="Times New Roman"/>
          <w:b/>
          <w:sz w:val="28"/>
          <w:szCs w:val="28"/>
        </w:rPr>
        <w:t>6.3.2防渗措施</w:t>
      </w:r>
    </w:p>
    <w:p w14:paraId="06E7280B">
      <w:pPr>
        <w:snapToGrid w:val="0"/>
        <w:spacing w:beforeLines="50" w:line="360" w:lineRule="auto"/>
        <w:ind w:firstLine="480" w:firstLineChars="200"/>
        <w:rPr>
          <w:rFonts w:ascii="Times New Roman"/>
          <w:sz w:val="24"/>
          <w:szCs w:val="24"/>
        </w:rPr>
      </w:pPr>
      <w:r>
        <w:rPr>
          <w:rFonts w:ascii="Times New Roman"/>
          <w:sz w:val="24"/>
          <w:szCs w:val="24"/>
        </w:rPr>
        <w:t>1、防渗基础条件</w:t>
      </w:r>
    </w:p>
    <w:p w14:paraId="4AD7B473">
      <w:pPr>
        <w:snapToGrid w:val="0"/>
        <w:spacing w:line="360" w:lineRule="auto"/>
        <w:ind w:firstLine="480" w:firstLineChars="200"/>
        <w:rPr>
          <w:rFonts w:ascii="Times New Roman"/>
          <w:sz w:val="24"/>
          <w:szCs w:val="24"/>
        </w:rPr>
      </w:pPr>
      <w:r>
        <w:rPr>
          <w:rFonts w:ascii="Times New Roman"/>
          <w:sz w:val="24"/>
          <w:szCs w:val="24"/>
        </w:rPr>
        <w:t>地面防渗措施，即末端控制措施，主要包括厂内污染区地面的防渗措施和泄漏、渗漏污染物收集措施。通过在污染区地面进行防渗处理，防止洒落地面的污染物渗入地下，并把滞留在地面的污染物收集起来，集中</w:t>
      </w:r>
      <w:r>
        <w:rPr>
          <w:rFonts w:hint="eastAsia" w:ascii="Times New Roman"/>
          <w:sz w:val="24"/>
          <w:szCs w:val="24"/>
        </w:rPr>
        <w:t>交有资质单位处理</w:t>
      </w:r>
      <w:r>
        <w:rPr>
          <w:rFonts w:ascii="Times New Roman"/>
          <w:sz w:val="24"/>
          <w:szCs w:val="24"/>
        </w:rPr>
        <w:t>。</w:t>
      </w:r>
    </w:p>
    <w:p w14:paraId="464AA130">
      <w:pPr>
        <w:snapToGrid w:val="0"/>
        <w:spacing w:line="360" w:lineRule="auto"/>
        <w:ind w:firstLine="480" w:firstLineChars="200"/>
        <w:rPr>
          <w:rFonts w:ascii="Times New Roman"/>
          <w:sz w:val="24"/>
          <w:szCs w:val="24"/>
        </w:rPr>
      </w:pPr>
      <w:r>
        <w:rPr>
          <w:rFonts w:ascii="Times New Roman"/>
          <w:sz w:val="24"/>
          <w:szCs w:val="24"/>
        </w:rPr>
        <w:t>2、地面防渗工程设计原则</w:t>
      </w:r>
    </w:p>
    <w:p w14:paraId="3CF2FD8A">
      <w:pPr>
        <w:snapToGrid w:val="0"/>
        <w:spacing w:line="360" w:lineRule="auto"/>
        <w:ind w:firstLine="480" w:firstLineChars="200"/>
        <w:rPr>
          <w:rFonts w:ascii="Times New Roman"/>
          <w:sz w:val="24"/>
          <w:szCs w:val="24"/>
        </w:rPr>
      </w:pPr>
      <w:r>
        <w:rPr>
          <w:rFonts w:hint="eastAsia" w:ascii="Times New Roman"/>
          <w:sz w:val="24"/>
          <w:szCs w:val="24"/>
        </w:rPr>
        <w:t>（1）</w:t>
      </w:r>
      <w:r>
        <w:rPr>
          <w:rFonts w:ascii="Times New Roman"/>
          <w:sz w:val="24"/>
          <w:szCs w:val="24"/>
        </w:rPr>
        <w:t>采用国际国内先进的防渗材料、技术和实施手段，确保工程建设对区域内地下水、土壤影响较小。</w:t>
      </w:r>
    </w:p>
    <w:p w14:paraId="5FE966DF">
      <w:pPr>
        <w:snapToGrid w:val="0"/>
        <w:spacing w:line="360" w:lineRule="auto"/>
        <w:ind w:firstLine="480" w:firstLineChars="200"/>
        <w:rPr>
          <w:rFonts w:ascii="Times New Roman"/>
          <w:sz w:val="24"/>
          <w:szCs w:val="24"/>
        </w:rPr>
      </w:pPr>
      <w:r>
        <w:rPr>
          <w:rFonts w:hint="eastAsia" w:ascii="Times New Roman"/>
          <w:sz w:val="24"/>
          <w:szCs w:val="24"/>
        </w:rPr>
        <w:t>（2）</w:t>
      </w:r>
      <w:r>
        <w:rPr>
          <w:rFonts w:ascii="Times New Roman"/>
          <w:sz w:val="24"/>
          <w:szCs w:val="24"/>
        </w:rPr>
        <w:t>坚持分区管理和控制原则，根据场址所在地的工程地质、水文地质条件和全厂可能发生泄漏的物料性质、排放量，参照相应标准要求有针对性的分区，并分别设计地面防渗层结构。</w:t>
      </w:r>
    </w:p>
    <w:p w14:paraId="22F1E39E">
      <w:pPr>
        <w:snapToGrid w:val="0"/>
        <w:spacing w:line="360" w:lineRule="auto"/>
        <w:ind w:firstLine="480" w:firstLineChars="200"/>
        <w:rPr>
          <w:rFonts w:ascii="Times New Roman"/>
          <w:sz w:val="24"/>
          <w:szCs w:val="24"/>
        </w:rPr>
      </w:pPr>
      <w:r>
        <w:rPr>
          <w:rFonts w:hint="eastAsia" w:ascii="Times New Roman"/>
          <w:sz w:val="24"/>
          <w:szCs w:val="24"/>
        </w:rPr>
        <w:t>（3）</w:t>
      </w:r>
      <w:r>
        <w:rPr>
          <w:rFonts w:ascii="Times New Roman"/>
          <w:sz w:val="24"/>
          <w:szCs w:val="24"/>
        </w:rPr>
        <w:t>坚持“可视化”原则，在满足工程和防渗层结构标准要求的前提下，尽量在地表面实施防腐防渗措施，便于泄漏物质的收集和及时发现破损的防渗层。</w:t>
      </w:r>
    </w:p>
    <w:p w14:paraId="48096398">
      <w:pPr>
        <w:snapToGrid w:val="0"/>
        <w:spacing w:line="360" w:lineRule="auto"/>
        <w:ind w:firstLine="480" w:firstLineChars="200"/>
        <w:rPr>
          <w:rFonts w:ascii="Times New Roman"/>
          <w:sz w:val="24"/>
          <w:szCs w:val="24"/>
        </w:rPr>
      </w:pPr>
      <w:r>
        <w:rPr>
          <w:rFonts w:hint="eastAsia" w:ascii="Times New Roman"/>
          <w:sz w:val="24"/>
          <w:szCs w:val="24"/>
        </w:rPr>
        <w:t>（4）</w:t>
      </w:r>
      <w:r>
        <w:rPr>
          <w:rFonts w:ascii="Times New Roman"/>
          <w:sz w:val="24"/>
          <w:szCs w:val="24"/>
        </w:rPr>
        <w:t>防渗层上渗漏污染物和防腐防渗层内渗漏污染物收集系统与全厂“三废”处理措施统筹考虑，统一处理。</w:t>
      </w:r>
    </w:p>
    <w:p w14:paraId="6E6E9A7D">
      <w:pPr>
        <w:snapToGrid w:val="0"/>
        <w:spacing w:line="360" w:lineRule="auto"/>
        <w:ind w:firstLine="480" w:firstLineChars="200"/>
        <w:rPr>
          <w:rFonts w:ascii="Times New Roman"/>
          <w:sz w:val="24"/>
          <w:szCs w:val="24"/>
        </w:rPr>
      </w:pPr>
      <w:r>
        <w:rPr>
          <w:rFonts w:ascii="Times New Roman"/>
          <w:sz w:val="24"/>
          <w:szCs w:val="24"/>
        </w:rPr>
        <w:t>3、防渗方案设计参照标准</w:t>
      </w:r>
    </w:p>
    <w:p w14:paraId="2AE6D62D">
      <w:pPr>
        <w:snapToGrid w:val="0"/>
        <w:spacing w:line="360" w:lineRule="auto"/>
        <w:ind w:firstLine="480" w:firstLineChars="200"/>
        <w:rPr>
          <w:rFonts w:ascii="Times New Roman"/>
          <w:sz w:val="24"/>
          <w:szCs w:val="24"/>
        </w:rPr>
      </w:pPr>
      <w:r>
        <w:rPr>
          <w:rFonts w:ascii="Times New Roman"/>
          <w:sz w:val="24"/>
          <w:szCs w:val="24"/>
        </w:rPr>
        <w:t>要求按照《环境影响评价技术导则 地下水环境》（HJ610-2016）、《危险废物贮存污染控制标准》(GB18597-2001)等文件中的相关要求对厂区进行分区防渗，重点防渗区要求防渗系数小于10</w:t>
      </w:r>
      <w:r>
        <w:rPr>
          <w:rFonts w:ascii="Times New Roman"/>
          <w:sz w:val="24"/>
          <w:szCs w:val="24"/>
          <w:vertAlign w:val="superscript"/>
        </w:rPr>
        <w:t>-10</w:t>
      </w:r>
      <w:r>
        <w:rPr>
          <w:rFonts w:ascii="Times New Roman"/>
          <w:sz w:val="24"/>
          <w:szCs w:val="24"/>
        </w:rPr>
        <w:t>cm/s，一般防渗区防渗措施要求防渗系数小于10</w:t>
      </w:r>
      <w:r>
        <w:rPr>
          <w:rFonts w:ascii="Times New Roman"/>
          <w:sz w:val="24"/>
          <w:szCs w:val="24"/>
          <w:vertAlign w:val="superscript"/>
        </w:rPr>
        <w:t>-7</w:t>
      </w:r>
      <w:r>
        <w:rPr>
          <w:rFonts w:ascii="Times New Roman"/>
          <w:sz w:val="24"/>
          <w:szCs w:val="24"/>
        </w:rPr>
        <w:t>cm/s。</w:t>
      </w:r>
    </w:p>
    <w:p w14:paraId="1B88F823">
      <w:pPr>
        <w:snapToGrid w:val="0"/>
        <w:spacing w:line="360" w:lineRule="auto"/>
        <w:ind w:firstLine="480" w:firstLineChars="200"/>
        <w:rPr>
          <w:rFonts w:ascii="Times New Roman"/>
          <w:sz w:val="24"/>
          <w:szCs w:val="24"/>
        </w:rPr>
      </w:pPr>
      <w:r>
        <w:rPr>
          <w:rFonts w:ascii="Times New Roman"/>
          <w:sz w:val="24"/>
          <w:szCs w:val="24"/>
        </w:rPr>
        <w:t>4、防渗措施</w:t>
      </w:r>
    </w:p>
    <w:p w14:paraId="2A85B40E">
      <w:pPr>
        <w:snapToGrid w:val="0"/>
        <w:spacing w:line="360" w:lineRule="auto"/>
        <w:ind w:firstLine="480" w:firstLineChars="200"/>
        <w:rPr>
          <w:rFonts w:ascii="Times New Roman"/>
          <w:sz w:val="24"/>
          <w:szCs w:val="24"/>
        </w:rPr>
      </w:pPr>
      <w:r>
        <w:rPr>
          <w:rFonts w:ascii="Times New Roman"/>
          <w:sz w:val="24"/>
          <w:szCs w:val="24"/>
        </w:rPr>
        <w:t>本项目采用防渗要求见表5.2</w:t>
      </w:r>
      <w:r>
        <w:rPr>
          <w:rFonts w:hint="eastAsia" w:ascii="Times New Roman"/>
          <w:sz w:val="24"/>
          <w:szCs w:val="24"/>
        </w:rPr>
        <w:t>.3</w:t>
      </w:r>
      <w:r>
        <w:rPr>
          <w:rFonts w:ascii="Times New Roman"/>
          <w:sz w:val="24"/>
          <w:szCs w:val="24"/>
        </w:rPr>
        <w:t>-2、5.2</w:t>
      </w:r>
      <w:r>
        <w:rPr>
          <w:rFonts w:hint="eastAsia" w:ascii="Times New Roman"/>
          <w:sz w:val="24"/>
          <w:szCs w:val="24"/>
        </w:rPr>
        <w:t>.3</w:t>
      </w:r>
      <w:r>
        <w:rPr>
          <w:rFonts w:ascii="Times New Roman"/>
          <w:sz w:val="24"/>
          <w:szCs w:val="24"/>
        </w:rPr>
        <w:t>-3，采取防渗措施后，可以有效控制污染物的渗漏。</w:t>
      </w:r>
    </w:p>
    <w:p w14:paraId="7C71626F">
      <w:pPr>
        <w:snapToGrid w:val="0"/>
        <w:spacing w:line="360" w:lineRule="auto"/>
        <w:ind w:firstLine="480" w:firstLineChars="200"/>
        <w:rPr>
          <w:rFonts w:ascii="Times New Roman"/>
          <w:sz w:val="24"/>
          <w:szCs w:val="24"/>
        </w:rPr>
      </w:pPr>
      <w:r>
        <w:rPr>
          <w:rFonts w:ascii="Times New Roman"/>
          <w:sz w:val="24"/>
          <w:szCs w:val="24"/>
        </w:rPr>
        <w:t>综上，本项目地下水、土壤污染防治措施可行。</w:t>
      </w:r>
    </w:p>
    <w:p w14:paraId="47AF7396">
      <w:pPr>
        <w:widowControl/>
        <w:spacing w:line="520" w:lineRule="exact"/>
        <w:jc w:val="left"/>
        <w:outlineLvl w:val="1"/>
        <w:rPr>
          <w:rFonts w:ascii="Times New Roman"/>
          <w:b/>
          <w:sz w:val="30"/>
          <w:szCs w:val="30"/>
        </w:rPr>
      </w:pPr>
      <w:bookmarkStart w:id="199" w:name="_Toc29251"/>
      <w:r>
        <w:rPr>
          <w:rFonts w:ascii="Times New Roman"/>
          <w:b/>
          <w:sz w:val="30"/>
          <w:szCs w:val="30"/>
        </w:rPr>
        <w:t>6.4噪声治理措施可行性论证</w:t>
      </w:r>
      <w:bookmarkEnd w:id="199"/>
    </w:p>
    <w:p w14:paraId="298FBF18">
      <w:pPr>
        <w:tabs>
          <w:tab w:val="left" w:pos="3261"/>
        </w:tabs>
        <w:spacing w:line="480" w:lineRule="exact"/>
        <w:ind w:firstLine="480" w:firstLineChars="200"/>
        <w:rPr>
          <w:rFonts w:ascii="Times New Roman"/>
          <w:sz w:val="24"/>
          <w:szCs w:val="24"/>
        </w:rPr>
      </w:pPr>
      <w:r>
        <w:rPr>
          <w:rFonts w:ascii="Times New Roman"/>
          <w:sz w:val="24"/>
          <w:szCs w:val="24"/>
        </w:rPr>
        <w:t>本项目噪声源主要为设备和环保设备风机等，通过工程分析知道，项目对各类产噪设备采取了多种降噪措施，主要有：①源强控制，即在设备选型上采用低噪声设备；②隔声，主要是将一些机械动力性噪声设备设置于车间；③减振、隔振、消声等措施。</w:t>
      </w:r>
    </w:p>
    <w:p w14:paraId="063EFA48">
      <w:pPr>
        <w:tabs>
          <w:tab w:val="left" w:pos="3261"/>
        </w:tabs>
        <w:spacing w:line="480" w:lineRule="exact"/>
        <w:ind w:firstLine="480" w:firstLineChars="200"/>
        <w:rPr>
          <w:rFonts w:ascii="Times New Roman"/>
          <w:sz w:val="24"/>
          <w:szCs w:val="24"/>
        </w:rPr>
      </w:pPr>
      <w:r>
        <w:rPr>
          <w:rFonts w:ascii="Times New Roman"/>
          <w:sz w:val="24"/>
          <w:szCs w:val="24"/>
        </w:rPr>
        <w:t>通过采取以上措施，各种噪声设备的噪声值得以较大幅度的削减，削减量在20~30dB(A)之间，另外，由声环境影响预测的结果可以看出，采取上述措施后，厂界的贡献值满足《工业企业厂界环境噪声排放标准》（GB12348-2008）表中的3类标准；本项目运营期噪声对周边环境影响较小，噪声防治措施可行。</w:t>
      </w:r>
    </w:p>
    <w:p w14:paraId="4073CF22">
      <w:pPr>
        <w:widowControl/>
        <w:spacing w:line="520" w:lineRule="exact"/>
        <w:jc w:val="left"/>
        <w:outlineLvl w:val="1"/>
        <w:rPr>
          <w:rFonts w:ascii="Times New Roman"/>
          <w:b/>
          <w:sz w:val="30"/>
          <w:szCs w:val="30"/>
        </w:rPr>
      </w:pPr>
      <w:bookmarkStart w:id="200" w:name="_Toc13813"/>
      <w:r>
        <w:rPr>
          <w:rFonts w:ascii="Times New Roman"/>
          <w:b/>
          <w:sz w:val="30"/>
          <w:szCs w:val="30"/>
        </w:rPr>
        <w:t>6.5固体废物治理措施可行性论证</w:t>
      </w:r>
      <w:bookmarkEnd w:id="200"/>
    </w:p>
    <w:p w14:paraId="255E077B">
      <w:pPr>
        <w:spacing w:line="480" w:lineRule="exact"/>
        <w:ind w:firstLine="480" w:firstLineChars="200"/>
        <w:rPr>
          <w:rFonts w:ascii="Times New Roman"/>
          <w:sz w:val="24"/>
          <w:szCs w:val="24"/>
        </w:rPr>
      </w:pPr>
      <w:r>
        <w:rPr>
          <w:rFonts w:ascii="Times New Roman"/>
          <w:sz w:val="24"/>
          <w:szCs w:val="24"/>
        </w:rPr>
        <w:t>本项目固废处置方式按照危险废物和一般固废分类处置。</w:t>
      </w:r>
    </w:p>
    <w:p w14:paraId="06F147B1">
      <w:pPr>
        <w:spacing w:line="480" w:lineRule="exact"/>
        <w:ind w:firstLine="480" w:firstLineChars="200"/>
        <w:rPr>
          <w:rFonts w:ascii="Times New Roman"/>
          <w:sz w:val="24"/>
          <w:szCs w:val="24"/>
        </w:rPr>
      </w:pPr>
      <w:r>
        <w:rPr>
          <w:rFonts w:ascii="Times New Roman"/>
          <w:sz w:val="24"/>
          <w:szCs w:val="24"/>
        </w:rPr>
        <w:t>1、一般工业固体废物处置措施可行性分析</w:t>
      </w:r>
    </w:p>
    <w:p w14:paraId="7D299ED0">
      <w:pPr>
        <w:spacing w:line="480" w:lineRule="exact"/>
        <w:ind w:firstLine="480" w:firstLineChars="200"/>
        <w:rPr>
          <w:rFonts w:ascii="Times New Roman"/>
          <w:sz w:val="24"/>
          <w:szCs w:val="24"/>
        </w:rPr>
      </w:pPr>
      <w:r>
        <w:rPr>
          <w:rFonts w:ascii="Times New Roman"/>
          <w:sz w:val="24"/>
          <w:szCs w:val="24"/>
        </w:rPr>
        <w:t>本项目产生的一般固废主要为</w:t>
      </w:r>
      <w:r>
        <w:rPr>
          <w:rFonts w:hint="eastAsia" w:ascii="Times New Roman"/>
          <w:sz w:val="24"/>
          <w:szCs w:val="24"/>
        </w:rPr>
        <w:t>废</w:t>
      </w:r>
      <w:r>
        <w:rPr>
          <w:rFonts w:ascii="Times New Roman"/>
          <w:sz w:val="24"/>
          <w:szCs w:val="24"/>
        </w:rPr>
        <w:t>边角料、废焊材、金属碎屑、</w:t>
      </w:r>
      <w:r>
        <w:rPr>
          <w:rFonts w:hint="eastAsia" w:ascii="Times New Roman"/>
          <w:sz w:val="24"/>
          <w:szCs w:val="24"/>
        </w:rPr>
        <w:t>槽渣、</w:t>
      </w:r>
      <w:r>
        <w:rPr>
          <w:rFonts w:ascii="Times New Roman"/>
          <w:sz w:val="24"/>
          <w:szCs w:val="24"/>
        </w:rPr>
        <w:t>废钢丸、废钢砂、除尘灰、废布袋、废包装材料等分类收集后外售综合利用；收尘灰回用于喷塑工序</w:t>
      </w:r>
      <w:r>
        <w:rPr>
          <w:rFonts w:hint="eastAsia" w:ascii="Times New Roman"/>
          <w:sz w:val="24"/>
          <w:szCs w:val="24"/>
        </w:rPr>
        <w:t>，废反渗透膜、废超滤膜由厂家回收再生处理</w:t>
      </w:r>
      <w:r>
        <w:rPr>
          <w:rFonts w:ascii="Times New Roman"/>
          <w:sz w:val="24"/>
          <w:szCs w:val="24"/>
        </w:rPr>
        <w:t>。</w:t>
      </w:r>
    </w:p>
    <w:p w14:paraId="214BE3D6">
      <w:pPr>
        <w:spacing w:line="480" w:lineRule="exact"/>
        <w:ind w:firstLine="480" w:firstLineChars="200"/>
        <w:rPr>
          <w:rFonts w:ascii="Times New Roman"/>
          <w:sz w:val="24"/>
          <w:szCs w:val="24"/>
        </w:rPr>
      </w:pPr>
      <w:r>
        <w:rPr>
          <w:rFonts w:ascii="Times New Roman"/>
          <w:sz w:val="24"/>
          <w:szCs w:val="24"/>
        </w:rPr>
        <w:t>2、危险废物处置措施可行性分析</w:t>
      </w:r>
    </w:p>
    <w:p w14:paraId="5DD18BEE">
      <w:pPr>
        <w:spacing w:line="480" w:lineRule="exact"/>
        <w:ind w:firstLine="480" w:firstLineChars="200"/>
        <w:rPr>
          <w:rFonts w:ascii="Times New Roman"/>
          <w:sz w:val="24"/>
          <w:szCs w:val="24"/>
        </w:rPr>
      </w:pPr>
      <w:r>
        <w:rPr>
          <w:rFonts w:ascii="Times New Roman"/>
          <w:sz w:val="24"/>
          <w:szCs w:val="24"/>
        </w:rPr>
        <w:t>处置可行性分析：本项目产生的危险废物为</w:t>
      </w:r>
      <w:r>
        <w:rPr>
          <w:rFonts w:hint="eastAsia" w:ascii="Times New Roman"/>
          <w:sz w:val="24"/>
          <w:szCs w:val="24"/>
        </w:rPr>
        <w:t>电泳、</w:t>
      </w:r>
      <w:r>
        <w:rPr>
          <w:rFonts w:ascii="Times New Roman"/>
          <w:sz w:val="24"/>
          <w:szCs w:val="24"/>
        </w:rPr>
        <w:t>喷漆产生的漆渣、废油漆桶、废稀释剂桶，</w:t>
      </w:r>
      <w:r>
        <w:rPr>
          <w:rFonts w:hint="eastAsia" w:ascii="Times New Roman"/>
          <w:sz w:val="24"/>
          <w:szCs w:val="24"/>
        </w:rPr>
        <w:t>脱脂工序产生的浮油，脱脂、硅烷化工序产生的废滤芯、杂质；</w:t>
      </w:r>
      <w:r>
        <w:rPr>
          <w:rFonts w:ascii="Times New Roman"/>
          <w:sz w:val="24"/>
          <w:szCs w:val="24"/>
        </w:rPr>
        <w:t>机械设备产生的废液压油和废切削液、废润滑油、废油桶、</w:t>
      </w:r>
      <w:r>
        <w:rPr>
          <w:rFonts w:hint="eastAsia" w:ascii="Times New Roman"/>
          <w:sz w:val="24"/>
          <w:szCs w:val="24"/>
        </w:rPr>
        <w:t>废切削液桶、</w:t>
      </w:r>
      <w:r>
        <w:rPr>
          <w:rFonts w:ascii="Times New Roman"/>
          <w:sz w:val="24"/>
          <w:szCs w:val="24"/>
        </w:rPr>
        <w:t>含油金属屑，</w:t>
      </w:r>
      <w:r>
        <w:rPr>
          <w:rFonts w:hint="eastAsia" w:ascii="Times New Roman"/>
          <w:sz w:val="24"/>
          <w:szCs w:val="24"/>
        </w:rPr>
        <w:t>污水处理站产生的污泥，</w:t>
      </w:r>
      <w:r>
        <w:rPr>
          <w:rFonts w:ascii="Times New Roman"/>
          <w:sz w:val="24"/>
          <w:szCs w:val="24"/>
        </w:rPr>
        <w:t>有机废气净化装置产生的废活性炭、</w:t>
      </w:r>
      <w:r>
        <w:rPr>
          <w:rFonts w:hAnsi="宋体" w:cs="宋体"/>
          <w:sz w:val="24"/>
          <w:szCs w:val="24"/>
        </w:rPr>
        <w:t>废沸石分子筛</w:t>
      </w:r>
      <w:r>
        <w:rPr>
          <w:rFonts w:hint="eastAsia" w:ascii="Times New Roman"/>
          <w:sz w:val="24"/>
          <w:szCs w:val="24"/>
        </w:rPr>
        <w:t>、</w:t>
      </w:r>
      <w:r>
        <w:rPr>
          <w:rFonts w:ascii="Times New Roman"/>
          <w:sz w:val="24"/>
          <w:szCs w:val="24"/>
        </w:rPr>
        <w:t>废过滤棉，均属于危险废物，分类暂存危废间，定期交由资质单位处置</w:t>
      </w:r>
      <w:r>
        <w:rPr>
          <w:rFonts w:hint="eastAsia" w:ascii="Times New Roman"/>
          <w:sz w:val="24"/>
          <w:szCs w:val="24"/>
        </w:rPr>
        <w:t>。</w:t>
      </w:r>
      <w:r>
        <w:rPr>
          <w:rFonts w:ascii="Times New Roman"/>
          <w:sz w:val="24"/>
          <w:szCs w:val="24"/>
        </w:rPr>
        <w:t>项目危险废物全部得到合理处置，采取的防治措施在技术上可行。</w:t>
      </w:r>
    </w:p>
    <w:p w14:paraId="1A86CFDD">
      <w:pPr>
        <w:spacing w:line="480" w:lineRule="exact"/>
        <w:ind w:firstLine="480" w:firstLineChars="200"/>
        <w:rPr>
          <w:rFonts w:ascii="Times New Roman"/>
          <w:sz w:val="24"/>
          <w:szCs w:val="24"/>
        </w:rPr>
      </w:pPr>
      <w:r>
        <w:rPr>
          <w:rFonts w:ascii="Times New Roman"/>
          <w:sz w:val="24"/>
          <w:szCs w:val="24"/>
        </w:rPr>
        <w:t>危险废物储存能力分析：项目建设1座危废库，设置在厂区西北侧，建筑面积为223.98m</w:t>
      </w:r>
      <w:r>
        <w:rPr>
          <w:rFonts w:ascii="Times New Roman"/>
          <w:sz w:val="24"/>
          <w:szCs w:val="24"/>
          <w:vertAlign w:val="superscript"/>
        </w:rPr>
        <w:t>2</w:t>
      </w:r>
      <w:r>
        <w:rPr>
          <w:rFonts w:ascii="Times New Roman"/>
          <w:sz w:val="24"/>
          <w:szCs w:val="24"/>
        </w:rPr>
        <w:t>，储存能力1</w:t>
      </w:r>
      <w:r>
        <w:rPr>
          <w:rFonts w:hint="eastAsia" w:ascii="Times New Roman"/>
          <w:sz w:val="24"/>
          <w:szCs w:val="24"/>
        </w:rPr>
        <w:t>89</w:t>
      </w:r>
      <w:r>
        <w:rPr>
          <w:rFonts w:ascii="Times New Roman"/>
          <w:sz w:val="24"/>
          <w:szCs w:val="24"/>
        </w:rPr>
        <w:t>t，用于危险废物暂存。厂区危险废物最大储存量为1</w:t>
      </w:r>
      <w:r>
        <w:rPr>
          <w:rFonts w:hint="eastAsia" w:ascii="Times New Roman"/>
          <w:sz w:val="24"/>
          <w:szCs w:val="24"/>
        </w:rPr>
        <w:t>22.894</w:t>
      </w:r>
      <w:r>
        <w:rPr>
          <w:rFonts w:ascii="Times New Roman"/>
          <w:sz w:val="24"/>
          <w:szCs w:val="24"/>
        </w:rPr>
        <w:t>t，危废间面积可满足本项目需求。</w:t>
      </w:r>
    </w:p>
    <w:p w14:paraId="6E57F601">
      <w:pPr>
        <w:spacing w:line="480" w:lineRule="exact"/>
        <w:ind w:firstLine="480" w:firstLineChars="200"/>
        <w:rPr>
          <w:rFonts w:ascii="Times New Roman"/>
          <w:sz w:val="24"/>
          <w:szCs w:val="24"/>
        </w:rPr>
      </w:pPr>
      <w:r>
        <w:rPr>
          <w:rFonts w:ascii="Times New Roman"/>
          <w:sz w:val="24"/>
          <w:szCs w:val="24"/>
        </w:rPr>
        <w:t>运输可行性分析：项目危险废物由专人进行管理，危废间定期检修维护，危险废物存储及转运均按照相关要求进行管理，在全面落实以上要求条件下，项目固废污染防治措施具备长期稳定运行可靠性，措施可行。</w:t>
      </w:r>
    </w:p>
    <w:p w14:paraId="3BA67ABB">
      <w:pPr>
        <w:spacing w:line="480" w:lineRule="exact"/>
        <w:ind w:firstLine="480" w:firstLineChars="200"/>
        <w:rPr>
          <w:rFonts w:ascii="Times New Roman"/>
          <w:sz w:val="24"/>
          <w:szCs w:val="24"/>
        </w:rPr>
      </w:pPr>
      <w:r>
        <w:rPr>
          <w:rFonts w:ascii="Times New Roman"/>
          <w:sz w:val="24"/>
          <w:szCs w:val="24"/>
        </w:rPr>
        <w:t>危废间已按照《危险废物贮存污染控制标准》(GB 18597-2023）的相关要求采取了防火、防雨、防渗处理，可有效防止危险废物泄漏可能对地下水、地表水及土壤环境的产生影响。</w:t>
      </w:r>
    </w:p>
    <w:p w14:paraId="6F2FA8CB">
      <w:pPr>
        <w:spacing w:line="480" w:lineRule="exact"/>
        <w:ind w:firstLine="480" w:firstLineChars="200"/>
        <w:rPr>
          <w:rFonts w:ascii="Times New Roman"/>
          <w:sz w:val="24"/>
          <w:szCs w:val="24"/>
        </w:rPr>
      </w:pPr>
      <w:r>
        <w:rPr>
          <w:rFonts w:ascii="Times New Roman"/>
          <w:sz w:val="24"/>
          <w:szCs w:val="24"/>
        </w:rPr>
        <w:t>日常管理要求：危险废物按照《危险废物贮存污染控制标准》（GB18597-2023）及《危险废物转移联单管理办法》的规定进行：①必须将危险废物装入容器内，禁止将不相容（相互反应）的危险废物在同一容器内混装。②容器应粘贴符合标准中附录A所示标签。③容器应满足相应强度要求，且完好无损，容器材质和衬里与危险废物相容（不相互反应）。④必须定期对贮存的危险废物包装容器及贮存设施进行检查，发现破损，应及时采取措施清理更换。⑤做好危险废物台账管理，台账注明危险废物的名称、来源、数量、特性、入库日期、出库日期、接受单位名称等。⑥危废间实行“双人双锁”制度。⑦危废转移前向主管环保部门报批转移计划，经批准后向其申领联单，并按照规定转移。</w:t>
      </w:r>
    </w:p>
    <w:p w14:paraId="2BA87300">
      <w:pPr>
        <w:spacing w:line="480" w:lineRule="exact"/>
        <w:ind w:firstLine="480" w:firstLineChars="200"/>
        <w:rPr>
          <w:rFonts w:ascii="Times New Roman"/>
          <w:sz w:val="24"/>
          <w:szCs w:val="24"/>
        </w:rPr>
      </w:pPr>
      <w:r>
        <w:rPr>
          <w:rFonts w:ascii="Times New Roman"/>
          <w:sz w:val="24"/>
          <w:szCs w:val="24"/>
        </w:rPr>
        <w:t>采取以上措施后，项目固体废物均能得到妥善处置，不会对周围环境产生影响。</w:t>
      </w:r>
    </w:p>
    <w:p w14:paraId="3ACE5CB6">
      <w:pPr>
        <w:pStyle w:val="20"/>
      </w:pPr>
    </w:p>
    <w:p w14:paraId="63CB3364">
      <w:pPr>
        <w:spacing w:line="360" w:lineRule="auto"/>
        <w:rPr>
          <w:rFonts w:ascii="Times New Roman"/>
          <w:sz w:val="24"/>
          <w:szCs w:val="24"/>
        </w:rPr>
        <w:sectPr>
          <w:pgSz w:w="11850" w:h="16783"/>
          <w:pgMar w:top="1440" w:right="1800" w:bottom="1440" w:left="1800" w:header="1134" w:footer="1134" w:gutter="0"/>
          <w:cols w:space="425" w:num="1"/>
          <w:docGrid w:type="lines" w:linePitch="340" w:charSpace="0"/>
        </w:sectPr>
      </w:pPr>
    </w:p>
    <w:p w14:paraId="3E0C9507">
      <w:pPr>
        <w:spacing w:beforeLines="50" w:afterLines="50" w:line="520" w:lineRule="exact"/>
        <w:outlineLvl w:val="0"/>
        <w:rPr>
          <w:rFonts w:ascii="Times New Roman"/>
          <w:b/>
          <w:sz w:val="32"/>
          <w:szCs w:val="32"/>
        </w:rPr>
      </w:pPr>
      <w:bookmarkStart w:id="201" w:name="_Toc10751"/>
      <w:r>
        <w:rPr>
          <w:rFonts w:ascii="Times New Roman"/>
          <w:b/>
          <w:sz w:val="32"/>
          <w:szCs w:val="32"/>
        </w:rPr>
        <w:t>7环境影响经济损益分析</w:t>
      </w:r>
      <w:bookmarkEnd w:id="201"/>
    </w:p>
    <w:p w14:paraId="40C8CB82">
      <w:pPr>
        <w:spacing w:line="480" w:lineRule="exact"/>
        <w:ind w:firstLine="480" w:firstLineChars="200"/>
        <w:rPr>
          <w:rFonts w:ascii="Times New Roman"/>
          <w:sz w:val="24"/>
          <w:szCs w:val="20"/>
        </w:rPr>
      </w:pPr>
      <w:r>
        <w:rPr>
          <w:rFonts w:ascii="Times New Roman"/>
          <w:sz w:val="24"/>
          <w:szCs w:val="20"/>
        </w:rPr>
        <w:t>环境经济损益分析是环境影响评价工作中的重要环节之一，主要任务是衡量建设项目需要投入的环保投资所能收到的环保效果，以及建设项目对外界产生的环境影响、经济影响和社会影响。</w:t>
      </w:r>
    </w:p>
    <w:p w14:paraId="1620AA25">
      <w:pPr>
        <w:widowControl/>
        <w:spacing w:line="520" w:lineRule="exact"/>
        <w:jc w:val="left"/>
        <w:outlineLvl w:val="1"/>
        <w:rPr>
          <w:rFonts w:ascii="Times New Roman"/>
          <w:b/>
          <w:sz w:val="30"/>
          <w:szCs w:val="30"/>
        </w:rPr>
      </w:pPr>
      <w:bookmarkStart w:id="202" w:name="_Toc460255669"/>
      <w:bookmarkStart w:id="203" w:name="_Toc448899559"/>
      <w:bookmarkStart w:id="204" w:name="_Toc28275"/>
      <w:bookmarkStart w:id="205" w:name="_Toc418174966"/>
      <w:bookmarkStart w:id="206" w:name="_Toc14803"/>
      <w:r>
        <w:rPr>
          <w:rFonts w:ascii="Times New Roman"/>
          <w:b/>
          <w:sz w:val="30"/>
          <w:szCs w:val="30"/>
        </w:rPr>
        <w:t>7.1社会效益分析</w:t>
      </w:r>
      <w:bookmarkEnd w:id="202"/>
      <w:bookmarkEnd w:id="203"/>
      <w:bookmarkEnd w:id="204"/>
      <w:bookmarkEnd w:id="205"/>
      <w:bookmarkEnd w:id="206"/>
    </w:p>
    <w:p w14:paraId="7AEAEE55">
      <w:pPr>
        <w:spacing w:line="480" w:lineRule="exact"/>
        <w:ind w:firstLine="480" w:firstLineChars="200"/>
        <w:rPr>
          <w:rFonts w:ascii="Times New Roman"/>
          <w:sz w:val="21"/>
          <w:szCs w:val="20"/>
        </w:rPr>
      </w:pPr>
      <w:r>
        <w:rPr>
          <w:rFonts w:ascii="Times New Roman"/>
          <w:sz w:val="24"/>
          <w:szCs w:val="20"/>
        </w:rPr>
        <w:t>本项目的实施，在提高企业经济效益的同时，可通过增加纳税增加地方财政收入，带动当地经济的发展，具有较明显的社会效益</w:t>
      </w:r>
      <w:r>
        <w:rPr>
          <w:rFonts w:ascii="Times New Roman"/>
          <w:sz w:val="21"/>
          <w:szCs w:val="20"/>
        </w:rPr>
        <w:t>。</w:t>
      </w:r>
    </w:p>
    <w:p w14:paraId="609DC8D9">
      <w:pPr>
        <w:widowControl/>
        <w:spacing w:line="520" w:lineRule="exact"/>
        <w:jc w:val="left"/>
        <w:outlineLvl w:val="1"/>
        <w:rPr>
          <w:rFonts w:ascii="Times New Roman"/>
          <w:b/>
          <w:sz w:val="30"/>
          <w:szCs w:val="30"/>
        </w:rPr>
      </w:pPr>
      <w:bookmarkStart w:id="207" w:name="_Toc448899560"/>
      <w:bookmarkStart w:id="208" w:name="_Toc460255670"/>
      <w:bookmarkStart w:id="209" w:name="_Toc30046"/>
      <w:bookmarkStart w:id="210" w:name="_Toc418174967"/>
      <w:bookmarkStart w:id="211" w:name="_Toc25996"/>
      <w:r>
        <w:rPr>
          <w:rFonts w:ascii="Times New Roman"/>
          <w:b/>
          <w:sz w:val="30"/>
          <w:szCs w:val="30"/>
        </w:rPr>
        <w:t>7.2经济效益分析</w:t>
      </w:r>
      <w:bookmarkEnd w:id="207"/>
      <w:bookmarkEnd w:id="208"/>
      <w:bookmarkEnd w:id="209"/>
      <w:bookmarkEnd w:id="210"/>
      <w:bookmarkEnd w:id="211"/>
    </w:p>
    <w:p w14:paraId="5BCB8503">
      <w:pPr>
        <w:spacing w:line="480" w:lineRule="exact"/>
        <w:ind w:firstLine="480" w:firstLineChars="200"/>
        <w:rPr>
          <w:rFonts w:ascii="Times New Roman"/>
          <w:sz w:val="24"/>
          <w:szCs w:val="20"/>
        </w:rPr>
      </w:pPr>
      <w:r>
        <w:rPr>
          <w:rFonts w:ascii="Times New Roman"/>
          <w:sz w:val="24"/>
          <w:szCs w:val="20"/>
        </w:rPr>
        <w:t>经核算，该项目经济效益见表7.2-1。</w:t>
      </w:r>
    </w:p>
    <w:p w14:paraId="652AD74D">
      <w:pPr>
        <w:spacing w:line="480" w:lineRule="exact"/>
        <w:jc w:val="center"/>
        <w:rPr>
          <w:rFonts w:ascii="Times New Roman"/>
          <w:b/>
          <w:sz w:val="24"/>
          <w:szCs w:val="24"/>
        </w:rPr>
      </w:pPr>
      <w:r>
        <w:rPr>
          <w:rFonts w:ascii="Times New Roman"/>
          <w:b/>
          <w:sz w:val="24"/>
          <w:szCs w:val="24"/>
        </w:rPr>
        <w:t>表7.2-1  拟建项目经济效益一览表</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768"/>
        <w:gridCol w:w="2885"/>
        <w:gridCol w:w="2715"/>
      </w:tblGrid>
      <w:tr w14:paraId="50AA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4" w:type="pct"/>
            <w:vAlign w:val="center"/>
          </w:tcPr>
          <w:p w14:paraId="3E4C999A">
            <w:pPr>
              <w:spacing w:line="0" w:lineRule="atLeast"/>
              <w:jc w:val="center"/>
              <w:rPr>
                <w:rFonts w:ascii="Times New Roman"/>
                <w:snapToGrid w:val="0"/>
                <w:sz w:val="21"/>
                <w:szCs w:val="21"/>
              </w:rPr>
            </w:pPr>
            <w:r>
              <w:rPr>
                <w:rFonts w:ascii="Times New Roman"/>
                <w:snapToGrid w:val="0"/>
                <w:sz w:val="21"/>
                <w:szCs w:val="21"/>
              </w:rPr>
              <w:t>项目</w:t>
            </w:r>
          </w:p>
        </w:tc>
        <w:tc>
          <w:tcPr>
            <w:tcW w:w="1724" w:type="pct"/>
            <w:vAlign w:val="center"/>
          </w:tcPr>
          <w:p w14:paraId="26CCADD0">
            <w:pPr>
              <w:spacing w:line="0" w:lineRule="atLeast"/>
              <w:jc w:val="center"/>
              <w:rPr>
                <w:rFonts w:ascii="Times New Roman"/>
                <w:snapToGrid w:val="0"/>
                <w:sz w:val="21"/>
                <w:szCs w:val="21"/>
              </w:rPr>
            </w:pPr>
            <w:r>
              <w:rPr>
                <w:rFonts w:ascii="Times New Roman"/>
                <w:snapToGrid w:val="0"/>
                <w:sz w:val="21"/>
                <w:szCs w:val="21"/>
              </w:rPr>
              <w:t>单位</w:t>
            </w:r>
          </w:p>
        </w:tc>
        <w:tc>
          <w:tcPr>
            <w:tcW w:w="1622" w:type="pct"/>
            <w:vAlign w:val="center"/>
          </w:tcPr>
          <w:p w14:paraId="6890B307">
            <w:pPr>
              <w:spacing w:line="0" w:lineRule="atLeast"/>
              <w:jc w:val="center"/>
              <w:rPr>
                <w:rFonts w:ascii="Times New Roman"/>
                <w:snapToGrid w:val="0"/>
                <w:sz w:val="21"/>
                <w:szCs w:val="21"/>
              </w:rPr>
            </w:pPr>
            <w:r>
              <w:rPr>
                <w:rFonts w:ascii="Times New Roman"/>
                <w:snapToGrid w:val="0"/>
                <w:sz w:val="21"/>
                <w:szCs w:val="21"/>
              </w:rPr>
              <w:t>指标</w:t>
            </w:r>
          </w:p>
        </w:tc>
      </w:tr>
      <w:tr w14:paraId="7403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4" w:type="pct"/>
            <w:vAlign w:val="center"/>
          </w:tcPr>
          <w:p w14:paraId="0E424369">
            <w:pPr>
              <w:spacing w:line="0" w:lineRule="atLeast"/>
              <w:jc w:val="center"/>
              <w:rPr>
                <w:rFonts w:ascii="Times New Roman"/>
                <w:snapToGrid w:val="0"/>
                <w:sz w:val="21"/>
                <w:szCs w:val="21"/>
              </w:rPr>
            </w:pPr>
            <w:r>
              <w:rPr>
                <w:rFonts w:ascii="Times New Roman"/>
                <w:snapToGrid w:val="0"/>
                <w:sz w:val="21"/>
                <w:szCs w:val="21"/>
              </w:rPr>
              <w:t>工程总投资</w:t>
            </w:r>
          </w:p>
        </w:tc>
        <w:tc>
          <w:tcPr>
            <w:tcW w:w="1724" w:type="pct"/>
            <w:vAlign w:val="center"/>
          </w:tcPr>
          <w:p w14:paraId="2985C0F4">
            <w:pPr>
              <w:spacing w:line="0" w:lineRule="atLeast"/>
              <w:jc w:val="center"/>
              <w:rPr>
                <w:rFonts w:ascii="Times New Roman"/>
                <w:snapToGrid w:val="0"/>
                <w:sz w:val="21"/>
                <w:szCs w:val="21"/>
              </w:rPr>
            </w:pPr>
            <w:r>
              <w:rPr>
                <w:rFonts w:ascii="Times New Roman"/>
                <w:snapToGrid w:val="0"/>
                <w:sz w:val="21"/>
                <w:szCs w:val="21"/>
              </w:rPr>
              <w:t>万元</w:t>
            </w:r>
          </w:p>
        </w:tc>
        <w:tc>
          <w:tcPr>
            <w:tcW w:w="1622" w:type="pct"/>
            <w:vAlign w:val="center"/>
          </w:tcPr>
          <w:p w14:paraId="59E158F0">
            <w:pPr>
              <w:spacing w:line="0" w:lineRule="atLeast"/>
              <w:jc w:val="center"/>
              <w:rPr>
                <w:rFonts w:ascii="Times New Roman"/>
                <w:snapToGrid w:val="0"/>
                <w:sz w:val="21"/>
                <w:szCs w:val="21"/>
              </w:rPr>
            </w:pPr>
            <w:r>
              <w:rPr>
                <w:rFonts w:hint="eastAsia" w:ascii="Times New Roman"/>
                <w:snapToGrid w:val="0"/>
                <w:sz w:val="21"/>
                <w:szCs w:val="21"/>
              </w:rPr>
              <w:t>106600</w:t>
            </w:r>
          </w:p>
        </w:tc>
      </w:tr>
      <w:tr w14:paraId="1685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4" w:type="pct"/>
            <w:vAlign w:val="center"/>
          </w:tcPr>
          <w:p w14:paraId="6F331557">
            <w:pPr>
              <w:spacing w:line="0" w:lineRule="atLeast"/>
              <w:jc w:val="center"/>
              <w:rPr>
                <w:rFonts w:ascii="Times New Roman"/>
                <w:snapToGrid w:val="0"/>
                <w:sz w:val="21"/>
                <w:szCs w:val="21"/>
              </w:rPr>
            </w:pPr>
            <w:r>
              <w:rPr>
                <w:rFonts w:ascii="Times New Roman"/>
                <w:snapToGrid w:val="0"/>
                <w:sz w:val="21"/>
                <w:szCs w:val="21"/>
              </w:rPr>
              <w:t>销售收入</w:t>
            </w:r>
          </w:p>
        </w:tc>
        <w:tc>
          <w:tcPr>
            <w:tcW w:w="1724" w:type="pct"/>
            <w:vAlign w:val="center"/>
          </w:tcPr>
          <w:p w14:paraId="73B71DEE">
            <w:pPr>
              <w:spacing w:line="0" w:lineRule="atLeast"/>
              <w:jc w:val="center"/>
              <w:rPr>
                <w:rFonts w:ascii="Times New Roman"/>
                <w:snapToGrid w:val="0"/>
                <w:sz w:val="21"/>
                <w:szCs w:val="21"/>
              </w:rPr>
            </w:pPr>
            <w:r>
              <w:rPr>
                <w:rFonts w:ascii="Times New Roman"/>
                <w:snapToGrid w:val="0"/>
                <w:sz w:val="21"/>
                <w:szCs w:val="21"/>
              </w:rPr>
              <w:t>万元/年</w:t>
            </w:r>
          </w:p>
        </w:tc>
        <w:tc>
          <w:tcPr>
            <w:tcW w:w="1622" w:type="pct"/>
            <w:vAlign w:val="center"/>
          </w:tcPr>
          <w:p w14:paraId="705F3616">
            <w:pPr>
              <w:spacing w:line="0" w:lineRule="atLeast"/>
              <w:jc w:val="center"/>
              <w:rPr>
                <w:rFonts w:ascii="Times New Roman"/>
                <w:snapToGrid w:val="0"/>
                <w:sz w:val="21"/>
                <w:szCs w:val="21"/>
              </w:rPr>
            </w:pPr>
            <w:r>
              <w:rPr>
                <w:rFonts w:hint="eastAsia" w:ascii="Times New Roman"/>
                <w:sz w:val="21"/>
                <w:szCs w:val="21"/>
              </w:rPr>
              <w:t>252988</w:t>
            </w:r>
          </w:p>
        </w:tc>
      </w:tr>
      <w:tr w14:paraId="5371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4" w:type="pct"/>
            <w:vAlign w:val="center"/>
          </w:tcPr>
          <w:p w14:paraId="4F5D107D">
            <w:pPr>
              <w:spacing w:line="0" w:lineRule="atLeast"/>
              <w:jc w:val="center"/>
              <w:rPr>
                <w:rFonts w:ascii="Times New Roman"/>
                <w:snapToGrid w:val="0"/>
                <w:sz w:val="21"/>
                <w:szCs w:val="21"/>
              </w:rPr>
            </w:pPr>
            <w:r>
              <w:rPr>
                <w:rFonts w:ascii="Times New Roman"/>
                <w:snapToGrid w:val="0"/>
                <w:sz w:val="21"/>
                <w:szCs w:val="21"/>
              </w:rPr>
              <w:t>年平均利润总额</w:t>
            </w:r>
          </w:p>
        </w:tc>
        <w:tc>
          <w:tcPr>
            <w:tcW w:w="1724" w:type="pct"/>
            <w:vAlign w:val="center"/>
          </w:tcPr>
          <w:p w14:paraId="7B45F555">
            <w:pPr>
              <w:spacing w:line="0" w:lineRule="atLeast"/>
              <w:jc w:val="center"/>
              <w:rPr>
                <w:rFonts w:ascii="Times New Roman"/>
                <w:snapToGrid w:val="0"/>
                <w:sz w:val="21"/>
                <w:szCs w:val="21"/>
              </w:rPr>
            </w:pPr>
            <w:r>
              <w:rPr>
                <w:rFonts w:ascii="Times New Roman"/>
                <w:snapToGrid w:val="0"/>
                <w:sz w:val="21"/>
                <w:szCs w:val="21"/>
              </w:rPr>
              <w:t>万元/年</w:t>
            </w:r>
          </w:p>
        </w:tc>
        <w:tc>
          <w:tcPr>
            <w:tcW w:w="1622" w:type="pct"/>
            <w:vAlign w:val="center"/>
          </w:tcPr>
          <w:p w14:paraId="089A9AA6">
            <w:pPr>
              <w:spacing w:line="0" w:lineRule="atLeast"/>
              <w:jc w:val="center"/>
              <w:rPr>
                <w:rFonts w:ascii="Times New Roman"/>
                <w:snapToGrid w:val="0"/>
                <w:sz w:val="21"/>
                <w:szCs w:val="21"/>
              </w:rPr>
            </w:pPr>
            <w:r>
              <w:rPr>
                <w:rFonts w:hint="eastAsia" w:ascii="Times New Roman"/>
                <w:sz w:val="21"/>
                <w:szCs w:val="21"/>
              </w:rPr>
              <w:t>32189</w:t>
            </w:r>
          </w:p>
        </w:tc>
      </w:tr>
      <w:tr w14:paraId="5CCF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4" w:type="pct"/>
            <w:vAlign w:val="center"/>
          </w:tcPr>
          <w:p w14:paraId="2FCD3196">
            <w:pPr>
              <w:spacing w:line="0" w:lineRule="atLeast"/>
              <w:jc w:val="center"/>
              <w:rPr>
                <w:rFonts w:ascii="Times New Roman"/>
                <w:snapToGrid w:val="0"/>
                <w:sz w:val="21"/>
                <w:szCs w:val="21"/>
              </w:rPr>
            </w:pPr>
            <w:r>
              <w:rPr>
                <w:rFonts w:ascii="Times New Roman"/>
                <w:snapToGrid w:val="0"/>
                <w:sz w:val="21"/>
                <w:szCs w:val="21"/>
              </w:rPr>
              <w:t>投资回收期</w:t>
            </w:r>
          </w:p>
        </w:tc>
        <w:tc>
          <w:tcPr>
            <w:tcW w:w="1724" w:type="pct"/>
            <w:vAlign w:val="center"/>
          </w:tcPr>
          <w:p w14:paraId="0A0F5E9F">
            <w:pPr>
              <w:spacing w:line="0" w:lineRule="atLeast"/>
              <w:jc w:val="center"/>
              <w:rPr>
                <w:rFonts w:ascii="Times New Roman"/>
                <w:snapToGrid w:val="0"/>
                <w:sz w:val="21"/>
                <w:szCs w:val="21"/>
              </w:rPr>
            </w:pPr>
            <w:r>
              <w:rPr>
                <w:rFonts w:ascii="Times New Roman"/>
                <w:snapToGrid w:val="0"/>
                <w:sz w:val="21"/>
                <w:szCs w:val="21"/>
              </w:rPr>
              <w:t>年</w:t>
            </w:r>
          </w:p>
        </w:tc>
        <w:tc>
          <w:tcPr>
            <w:tcW w:w="1622" w:type="pct"/>
            <w:vAlign w:val="center"/>
          </w:tcPr>
          <w:p w14:paraId="6022A871">
            <w:pPr>
              <w:spacing w:line="0" w:lineRule="atLeast"/>
              <w:jc w:val="center"/>
              <w:rPr>
                <w:rFonts w:ascii="Times New Roman"/>
                <w:snapToGrid w:val="0"/>
                <w:sz w:val="21"/>
                <w:szCs w:val="21"/>
              </w:rPr>
            </w:pPr>
            <w:r>
              <w:rPr>
                <w:rFonts w:hint="eastAsia" w:ascii="Times New Roman"/>
                <w:snapToGrid w:val="0"/>
                <w:sz w:val="21"/>
                <w:szCs w:val="21"/>
              </w:rPr>
              <w:t>7.7</w:t>
            </w:r>
          </w:p>
        </w:tc>
      </w:tr>
    </w:tbl>
    <w:p w14:paraId="07D62C73">
      <w:pPr>
        <w:spacing w:line="480" w:lineRule="exact"/>
        <w:ind w:firstLine="480" w:firstLineChars="200"/>
        <w:rPr>
          <w:rFonts w:ascii="Times New Roman"/>
          <w:sz w:val="24"/>
          <w:szCs w:val="20"/>
        </w:rPr>
      </w:pPr>
      <w:r>
        <w:rPr>
          <w:rFonts w:ascii="Times New Roman"/>
          <w:sz w:val="24"/>
          <w:szCs w:val="20"/>
        </w:rPr>
        <w:t>由</w:t>
      </w:r>
      <w:r>
        <w:rPr>
          <w:rFonts w:hint="eastAsia" w:ascii="Times New Roman"/>
          <w:sz w:val="24"/>
          <w:szCs w:val="20"/>
        </w:rPr>
        <w:t>上表</w:t>
      </w:r>
      <w:r>
        <w:rPr>
          <w:rFonts w:ascii="Times New Roman"/>
          <w:sz w:val="24"/>
          <w:szCs w:val="20"/>
        </w:rPr>
        <w:t>可以看出，拟建项目具有较好的经济效益。</w:t>
      </w:r>
    </w:p>
    <w:p w14:paraId="7BCC4883">
      <w:pPr>
        <w:widowControl/>
        <w:spacing w:line="520" w:lineRule="exact"/>
        <w:jc w:val="left"/>
        <w:outlineLvl w:val="1"/>
        <w:rPr>
          <w:rFonts w:ascii="Times New Roman"/>
          <w:b/>
          <w:sz w:val="30"/>
          <w:szCs w:val="30"/>
        </w:rPr>
      </w:pPr>
      <w:bookmarkStart w:id="212" w:name="_Toc84"/>
      <w:bookmarkStart w:id="213" w:name="_Toc17158"/>
      <w:bookmarkStart w:id="214" w:name="_Toc460255671"/>
      <w:bookmarkStart w:id="215" w:name="_Toc448899561"/>
      <w:r>
        <w:rPr>
          <w:rFonts w:ascii="Times New Roman"/>
          <w:b/>
          <w:sz w:val="30"/>
          <w:szCs w:val="30"/>
        </w:rPr>
        <w:t>7.3环保投资效益分析</w:t>
      </w:r>
      <w:bookmarkEnd w:id="212"/>
      <w:bookmarkEnd w:id="213"/>
      <w:bookmarkEnd w:id="214"/>
      <w:bookmarkEnd w:id="215"/>
    </w:p>
    <w:p w14:paraId="0C2DE86F">
      <w:pPr>
        <w:spacing w:line="480" w:lineRule="exact"/>
        <w:ind w:firstLine="475" w:firstLineChars="198"/>
        <w:rPr>
          <w:rFonts w:ascii="Times New Roman"/>
          <w:sz w:val="24"/>
          <w:szCs w:val="20"/>
        </w:rPr>
      </w:pPr>
      <w:r>
        <w:rPr>
          <w:rFonts w:ascii="Times New Roman"/>
          <w:sz w:val="24"/>
          <w:szCs w:val="20"/>
        </w:rPr>
        <w:t>（1）环保投资</w:t>
      </w:r>
    </w:p>
    <w:p w14:paraId="0F532477">
      <w:pPr>
        <w:spacing w:line="480" w:lineRule="exact"/>
        <w:ind w:firstLine="475" w:firstLineChars="198"/>
        <w:rPr>
          <w:rFonts w:ascii="Times New Roman"/>
          <w:sz w:val="24"/>
          <w:szCs w:val="20"/>
        </w:rPr>
      </w:pPr>
      <w:r>
        <w:rPr>
          <w:rFonts w:ascii="Times New Roman"/>
          <w:sz w:val="24"/>
          <w:szCs w:val="20"/>
        </w:rPr>
        <w:t>为实现工程运行过程对环境污染的控制，在建设项目中必须投入一定比例的环保资金，用于环保设施及与环境保护有关的项目。项目建设环保措施及投资估算，见表7.3-1。</w:t>
      </w:r>
    </w:p>
    <w:p w14:paraId="2B45BE96">
      <w:pPr>
        <w:spacing w:line="480" w:lineRule="exact"/>
        <w:jc w:val="center"/>
        <w:rPr>
          <w:rFonts w:ascii="Times New Roman"/>
          <w:b/>
          <w:sz w:val="24"/>
          <w:szCs w:val="24"/>
        </w:rPr>
      </w:pPr>
      <w:r>
        <w:rPr>
          <w:rFonts w:ascii="Times New Roman"/>
          <w:b/>
          <w:sz w:val="24"/>
          <w:szCs w:val="24"/>
        </w:rPr>
        <w:t>表7.3-1  环保投资估算一览表</w:t>
      </w:r>
    </w:p>
    <w:tbl>
      <w:tblPr>
        <w:tblStyle w:val="84"/>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3"/>
        <w:gridCol w:w="783"/>
        <w:gridCol w:w="2257"/>
        <w:gridCol w:w="3610"/>
        <w:gridCol w:w="876"/>
      </w:tblGrid>
      <w:tr w14:paraId="3A65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Align w:val="center"/>
          </w:tcPr>
          <w:p w14:paraId="2869DC1F">
            <w:pPr>
              <w:spacing w:line="320" w:lineRule="exact"/>
              <w:jc w:val="center"/>
              <w:rPr>
                <w:rFonts w:ascii="Times New Roman"/>
                <w:sz w:val="21"/>
                <w:szCs w:val="21"/>
              </w:rPr>
            </w:pPr>
            <w:r>
              <w:rPr>
                <w:rFonts w:ascii="Times New Roman"/>
                <w:sz w:val="21"/>
                <w:szCs w:val="21"/>
              </w:rPr>
              <w:t>治理对象</w:t>
            </w:r>
          </w:p>
        </w:tc>
        <w:tc>
          <w:tcPr>
            <w:tcW w:w="3971" w:type="pct"/>
            <w:gridSpan w:val="3"/>
            <w:tcBorders>
              <w:left w:val="single" w:color="auto" w:sz="4" w:space="0"/>
              <w:right w:val="single" w:color="auto" w:sz="4" w:space="0"/>
            </w:tcBorders>
            <w:vAlign w:val="center"/>
          </w:tcPr>
          <w:p w14:paraId="626F53F6">
            <w:pPr>
              <w:spacing w:line="320" w:lineRule="exact"/>
              <w:jc w:val="center"/>
              <w:rPr>
                <w:rFonts w:ascii="Times New Roman"/>
                <w:sz w:val="21"/>
                <w:szCs w:val="21"/>
              </w:rPr>
            </w:pPr>
            <w:r>
              <w:rPr>
                <w:rFonts w:ascii="Times New Roman"/>
                <w:spacing w:val="-6"/>
                <w:sz w:val="21"/>
                <w:szCs w:val="21"/>
              </w:rPr>
              <w:t>治理措施</w:t>
            </w:r>
          </w:p>
        </w:tc>
        <w:tc>
          <w:tcPr>
            <w:tcW w:w="523" w:type="pct"/>
            <w:tcBorders>
              <w:left w:val="single" w:color="auto" w:sz="4" w:space="0"/>
              <w:right w:val="single" w:color="auto" w:sz="4" w:space="0"/>
            </w:tcBorders>
            <w:vAlign w:val="center"/>
          </w:tcPr>
          <w:p w14:paraId="03471E16">
            <w:pPr>
              <w:spacing w:line="320" w:lineRule="exact"/>
              <w:jc w:val="center"/>
              <w:rPr>
                <w:rFonts w:ascii="Times New Roman"/>
                <w:spacing w:val="-14"/>
                <w:sz w:val="21"/>
                <w:szCs w:val="21"/>
              </w:rPr>
            </w:pPr>
            <w:r>
              <w:rPr>
                <w:rFonts w:ascii="Times New Roman"/>
                <w:spacing w:val="-14"/>
                <w:sz w:val="21"/>
                <w:szCs w:val="21"/>
              </w:rPr>
              <w:t>环保投资（万元）</w:t>
            </w:r>
          </w:p>
        </w:tc>
      </w:tr>
      <w:tr w14:paraId="7D01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504" w:type="pct"/>
            <w:vMerge w:val="restart"/>
            <w:vAlign w:val="center"/>
          </w:tcPr>
          <w:p w14:paraId="7A0946D5">
            <w:pPr>
              <w:spacing w:line="320" w:lineRule="exact"/>
              <w:jc w:val="center"/>
              <w:rPr>
                <w:rFonts w:ascii="Times New Roman"/>
                <w:sz w:val="21"/>
                <w:szCs w:val="21"/>
              </w:rPr>
            </w:pPr>
            <w:r>
              <w:rPr>
                <w:rFonts w:ascii="Times New Roman"/>
                <w:sz w:val="21"/>
                <w:szCs w:val="21"/>
              </w:rPr>
              <w:t>废气</w:t>
            </w:r>
          </w:p>
        </w:tc>
        <w:tc>
          <w:tcPr>
            <w:tcW w:w="468" w:type="pct"/>
            <w:tcBorders>
              <w:left w:val="single" w:color="auto" w:sz="4" w:space="0"/>
              <w:right w:val="single" w:color="auto" w:sz="4" w:space="0"/>
            </w:tcBorders>
            <w:vAlign w:val="center"/>
          </w:tcPr>
          <w:p w14:paraId="55C08A1E">
            <w:pPr>
              <w:spacing w:line="320" w:lineRule="exact"/>
              <w:jc w:val="center"/>
              <w:rPr>
                <w:rFonts w:ascii="Times New Roman"/>
                <w:sz w:val="21"/>
                <w:szCs w:val="21"/>
              </w:rPr>
            </w:pPr>
            <w:r>
              <w:rPr>
                <w:rFonts w:ascii="Times New Roman"/>
                <w:sz w:val="21"/>
                <w:szCs w:val="21"/>
              </w:rPr>
              <w:t>下料</w:t>
            </w:r>
            <w:r>
              <w:rPr>
                <w:rFonts w:hint="eastAsia" w:ascii="Times New Roman"/>
                <w:sz w:val="21"/>
                <w:szCs w:val="21"/>
              </w:rPr>
              <w:t>生产线</w:t>
            </w:r>
          </w:p>
        </w:tc>
        <w:tc>
          <w:tcPr>
            <w:tcW w:w="1348" w:type="pct"/>
            <w:tcBorders>
              <w:left w:val="single" w:color="auto" w:sz="4" w:space="0"/>
              <w:right w:val="single" w:color="auto" w:sz="4" w:space="0"/>
            </w:tcBorders>
            <w:vAlign w:val="center"/>
          </w:tcPr>
          <w:p w14:paraId="3DDBE7A5">
            <w:pPr>
              <w:spacing w:line="320" w:lineRule="exact"/>
              <w:jc w:val="center"/>
              <w:rPr>
                <w:rFonts w:ascii="Times New Roman"/>
                <w:sz w:val="21"/>
                <w:szCs w:val="21"/>
              </w:rPr>
            </w:pPr>
            <w:r>
              <w:rPr>
                <w:rFonts w:hint="eastAsia" w:ascii="Times New Roman"/>
                <w:sz w:val="21"/>
                <w:szCs w:val="21"/>
              </w:rPr>
              <w:t>切割</w:t>
            </w:r>
          </w:p>
          <w:p w14:paraId="308C03A0">
            <w:pPr>
              <w:spacing w:line="320" w:lineRule="exact"/>
              <w:jc w:val="center"/>
              <w:rPr>
                <w:rFonts w:ascii="Times New Roman"/>
                <w:sz w:val="21"/>
                <w:szCs w:val="21"/>
              </w:rPr>
            </w:pPr>
            <w:r>
              <w:rPr>
                <w:rFonts w:hint="eastAsia" w:ascii="Times New Roman"/>
                <w:sz w:val="21"/>
                <w:szCs w:val="21"/>
              </w:rPr>
              <w:t>清理、打磨</w:t>
            </w:r>
          </w:p>
        </w:tc>
        <w:tc>
          <w:tcPr>
            <w:tcW w:w="2154" w:type="pct"/>
            <w:tcBorders>
              <w:left w:val="single" w:color="auto" w:sz="4" w:space="0"/>
              <w:right w:val="single" w:color="auto" w:sz="4" w:space="0"/>
            </w:tcBorders>
            <w:vAlign w:val="center"/>
          </w:tcPr>
          <w:p w14:paraId="2E13C678">
            <w:pPr>
              <w:spacing w:line="320" w:lineRule="exact"/>
              <w:jc w:val="center"/>
              <w:rPr>
                <w:rFonts w:ascii="Times New Roman"/>
                <w:sz w:val="21"/>
                <w:szCs w:val="21"/>
              </w:rPr>
            </w:pPr>
            <w:r>
              <w:rPr>
                <w:rFonts w:hint="eastAsia" w:ascii="Times New Roman"/>
                <w:sz w:val="21"/>
                <w:szCs w:val="21"/>
              </w:rPr>
              <w:t>集气罩+布袋除尘器（TA001）</w:t>
            </w:r>
            <w:r>
              <w:rPr>
                <w:rFonts w:ascii="Times New Roman"/>
                <w:sz w:val="21"/>
                <w:szCs w:val="21"/>
              </w:rPr>
              <w:t>+</w:t>
            </w:r>
            <w:r>
              <w:rPr>
                <w:rFonts w:hint="eastAsia" w:ascii="Times New Roman"/>
                <w:sz w:val="21"/>
                <w:szCs w:val="21"/>
              </w:rPr>
              <w:t>20m</w:t>
            </w:r>
            <w:r>
              <w:rPr>
                <w:rFonts w:ascii="Times New Roman"/>
                <w:sz w:val="21"/>
                <w:szCs w:val="21"/>
              </w:rPr>
              <w:t>高排气筒</w:t>
            </w:r>
            <w:r>
              <w:rPr>
                <w:rFonts w:hint="eastAsia" w:ascii="Times New Roman"/>
                <w:sz w:val="21"/>
                <w:szCs w:val="21"/>
              </w:rPr>
              <w:t>(DA001）</w:t>
            </w:r>
          </w:p>
        </w:tc>
        <w:tc>
          <w:tcPr>
            <w:tcW w:w="523" w:type="pct"/>
            <w:tcBorders>
              <w:left w:val="single" w:color="auto" w:sz="4" w:space="0"/>
              <w:right w:val="single" w:color="auto" w:sz="4" w:space="0"/>
            </w:tcBorders>
            <w:vAlign w:val="center"/>
          </w:tcPr>
          <w:p w14:paraId="4C6773D0">
            <w:pPr>
              <w:spacing w:line="320" w:lineRule="exact"/>
              <w:jc w:val="center"/>
              <w:rPr>
                <w:rFonts w:ascii="Times New Roman"/>
                <w:sz w:val="21"/>
                <w:szCs w:val="21"/>
              </w:rPr>
            </w:pPr>
            <w:r>
              <w:rPr>
                <w:rFonts w:hint="eastAsia" w:ascii="Times New Roman"/>
                <w:sz w:val="21"/>
                <w:szCs w:val="21"/>
              </w:rPr>
              <w:t>50</w:t>
            </w:r>
          </w:p>
        </w:tc>
      </w:tr>
      <w:tr w14:paraId="331B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2C15346C">
            <w:pPr>
              <w:spacing w:line="320" w:lineRule="exact"/>
              <w:jc w:val="center"/>
              <w:rPr>
                <w:rFonts w:ascii="Times New Roman"/>
                <w:sz w:val="21"/>
                <w:szCs w:val="21"/>
              </w:rPr>
            </w:pPr>
          </w:p>
        </w:tc>
        <w:tc>
          <w:tcPr>
            <w:tcW w:w="468" w:type="pct"/>
            <w:vMerge w:val="restart"/>
            <w:tcBorders>
              <w:left w:val="single" w:color="auto" w:sz="4" w:space="0"/>
              <w:right w:val="single" w:color="auto" w:sz="4" w:space="0"/>
            </w:tcBorders>
            <w:vAlign w:val="center"/>
          </w:tcPr>
          <w:p w14:paraId="75BC46DF">
            <w:pPr>
              <w:spacing w:line="320" w:lineRule="exact"/>
              <w:jc w:val="center"/>
              <w:rPr>
                <w:rFonts w:ascii="Times New Roman"/>
                <w:sz w:val="21"/>
                <w:szCs w:val="21"/>
              </w:rPr>
            </w:pPr>
            <w:r>
              <w:rPr>
                <w:rFonts w:hint="eastAsia" w:ascii="Times New Roman"/>
                <w:sz w:val="21"/>
                <w:szCs w:val="21"/>
              </w:rPr>
              <w:t>联合厂房-</w:t>
            </w:r>
            <w:r>
              <w:rPr>
                <w:rFonts w:ascii="Times New Roman"/>
                <w:sz w:val="21"/>
                <w:szCs w:val="21"/>
              </w:rPr>
              <w:t>焊接、滚筒生产线</w:t>
            </w:r>
          </w:p>
        </w:tc>
        <w:tc>
          <w:tcPr>
            <w:tcW w:w="1348" w:type="pct"/>
            <w:tcBorders>
              <w:left w:val="single" w:color="auto" w:sz="4" w:space="0"/>
              <w:right w:val="single" w:color="auto" w:sz="4" w:space="0"/>
            </w:tcBorders>
            <w:vAlign w:val="center"/>
          </w:tcPr>
          <w:p w14:paraId="4C37D09A">
            <w:pPr>
              <w:spacing w:line="320" w:lineRule="exact"/>
              <w:jc w:val="center"/>
              <w:rPr>
                <w:rFonts w:ascii="Times New Roman"/>
                <w:sz w:val="21"/>
                <w:szCs w:val="21"/>
              </w:rPr>
            </w:pPr>
            <w:r>
              <w:rPr>
                <w:rFonts w:hint="eastAsia" w:ascii="Times New Roman"/>
                <w:sz w:val="21"/>
                <w:szCs w:val="21"/>
              </w:rPr>
              <w:t>桁架类、钣焊类、型（管）板类结构件焊接工序（区域4~10、区域15~16）</w:t>
            </w:r>
          </w:p>
        </w:tc>
        <w:tc>
          <w:tcPr>
            <w:tcW w:w="2154" w:type="pct"/>
            <w:tcBorders>
              <w:left w:val="single" w:color="auto" w:sz="4" w:space="0"/>
              <w:right w:val="single" w:color="auto" w:sz="4" w:space="0"/>
            </w:tcBorders>
            <w:vAlign w:val="center"/>
          </w:tcPr>
          <w:p w14:paraId="7847A47B">
            <w:pPr>
              <w:spacing w:line="320" w:lineRule="exact"/>
              <w:jc w:val="center"/>
              <w:rPr>
                <w:rFonts w:ascii="Times New Roman"/>
                <w:sz w:val="21"/>
                <w:szCs w:val="21"/>
              </w:rPr>
            </w:pPr>
            <w:r>
              <w:rPr>
                <w:rFonts w:hint="eastAsia" w:ascii="Times New Roman"/>
                <w:sz w:val="21"/>
                <w:szCs w:val="21"/>
              </w:rPr>
              <w:t>集气罩（四周设置软帘）+3套布袋除尘器处理，后由3根20m高排气筒（DA002~DA004）排放</w:t>
            </w:r>
          </w:p>
        </w:tc>
        <w:tc>
          <w:tcPr>
            <w:tcW w:w="523" w:type="pct"/>
            <w:tcBorders>
              <w:left w:val="single" w:color="auto" w:sz="4" w:space="0"/>
              <w:right w:val="single" w:color="auto" w:sz="4" w:space="0"/>
            </w:tcBorders>
            <w:vAlign w:val="center"/>
          </w:tcPr>
          <w:p w14:paraId="7B88B497">
            <w:pPr>
              <w:spacing w:line="320" w:lineRule="exact"/>
              <w:jc w:val="center"/>
              <w:rPr>
                <w:rFonts w:ascii="Times New Roman"/>
                <w:sz w:val="21"/>
                <w:szCs w:val="21"/>
              </w:rPr>
            </w:pPr>
            <w:r>
              <w:rPr>
                <w:rFonts w:hint="eastAsia" w:ascii="Times New Roman"/>
                <w:sz w:val="21"/>
                <w:szCs w:val="21"/>
              </w:rPr>
              <w:t>400</w:t>
            </w:r>
          </w:p>
        </w:tc>
      </w:tr>
      <w:tr w14:paraId="4F40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504" w:type="pct"/>
            <w:vMerge w:val="continue"/>
            <w:vAlign w:val="center"/>
          </w:tcPr>
          <w:p w14:paraId="2BF5AE1F">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0AB30D39">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377DEEBA">
            <w:pPr>
              <w:spacing w:line="320" w:lineRule="exact"/>
              <w:jc w:val="center"/>
              <w:rPr>
                <w:rFonts w:ascii="Times New Roman"/>
                <w:sz w:val="21"/>
                <w:szCs w:val="21"/>
              </w:rPr>
            </w:pPr>
            <w:r>
              <w:rPr>
                <w:rFonts w:hint="eastAsia" w:ascii="Times New Roman"/>
                <w:sz w:val="21"/>
                <w:szCs w:val="21"/>
              </w:rPr>
              <w:t>滚筒类结构件及滚筒车间焊接工序（区域1~3、区域11~14）</w:t>
            </w:r>
          </w:p>
        </w:tc>
        <w:tc>
          <w:tcPr>
            <w:tcW w:w="2154" w:type="pct"/>
            <w:tcBorders>
              <w:left w:val="single" w:color="auto" w:sz="4" w:space="0"/>
              <w:right w:val="single" w:color="auto" w:sz="4" w:space="0"/>
            </w:tcBorders>
            <w:vAlign w:val="center"/>
          </w:tcPr>
          <w:p w14:paraId="3A783B74">
            <w:pPr>
              <w:spacing w:line="320" w:lineRule="exact"/>
              <w:jc w:val="center"/>
              <w:rPr>
                <w:rFonts w:ascii="Times New Roman"/>
                <w:sz w:val="21"/>
                <w:szCs w:val="21"/>
              </w:rPr>
            </w:pPr>
            <w:r>
              <w:rPr>
                <w:rFonts w:hint="eastAsia" w:ascii="Times New Roman"/>
                <w:sz w:val="21"/>
                <w:szCs w:val="21"/>
              </w:rPr>
              <w:t>集气罩（四周设置软帘）+7套布袋除尘器（各区域设置1套）处理后无组织外排</w:t>
            </w:r>
          </w:p>
        </w:tc>
        <w:tc>
          <w:tcPr>
            <w:tcW w:w="523" w:type="pct"/>
            <w:tcBorders>
              <w:left w:val="single" w:color="auto" w:sz="4" w:space="0"/>
              <w:right w:val="single" w:color="auto" w:sz="4" w:space="0"/>
            </w:tcBorders>
            <w:vAlign w:val="center"/>
          </w:tcPr>
          <w:p w14:paraId="500DA6F1">
            <w:pPr>
              <w:spacing w:line="320" w:lineRule="exact"/>
              <w:jc w:val="center"/>
              <w:rPr>
                <w:rFonts w:ascii="Times New Roman"/>
                <w:sz w:val="21"/>
                <w:szCs w:val="21"/>
              </w:rPr>
            </w:pPr>
            <w:r>
              <w:rPr>
                <w:rFonts w:hint="eastAsia" w:ascii="Times New Roman"/>
                <w:sz w:val="21"/>
                <w:szCs w:val="21"/>
              </w:rPr>
              <w:t>100</w:t>
            </w:r>
          </w:p>
        </w:tc>
      </w:tr>
      <w:tr w14:paraId="4D18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66F5E8FE">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15D48A77">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53092D62">
            <w:pPr>
              <w:spacing w:line="320" w:lineRule="exact"/>
              <w:jc w:val="center"/>
              <w:rPr>
                <w:rFonts w:ascii="Times New Roman"/>
                <w:sz w:val="21"/>
                <w:szCs w:val="21"/>
              </w:rPr>
            </w:pPr>
            <w:r>
              <w:rPr>
                <w:rFonts w:ascii="Times New Roman"/>
                <w:sz w:val="21"/>
                <w:szCs w:val="21"/>
              </w:rPr>
              <w:t>热处理车炉加热</w:t>
            </w:r>
          </w:p>
        </w:tc>
        <w:tc>
          <w:tcPr>
            <w:tcW w:w="2154" w:type="pct"/>
            <w:tcBorders>
              <w:left w:val="single" w:color="auto" w:sz="4" w:space="0"/>
              <w:right w:val="single" w:color="auto" w:sz="4" w:space="0"/>
            </w:tcBorders>
            <w:vAlign w:val="center"/>
          </w:tcPr>
          <w:p w14:paraId="1842218B">
            <w:pPr>
              <w:spacing w:line="320" w:lineRule="exact"/>
              <w:jc w:val="center"/>
              <w:rPr>
                <w:rFonts w:ascii="Times New Roman"/>
                <w:sz w:val="21"/>
                <w:szCs w:val="21"/>
              </w:rPr>
            </w:pPr>
            <w:r>
              <w:rPr>
                <w:rFonts w:hint="eastAsia" w:ascii="Times New Roman"/>
                <w:sz w:val="21"/>
                <w:szCs w:val="21"/>
              </w:rPr>
              <w:t>低氮燃烧器处理后由1根20m高排气筒DA005排放</w:t>
            </w:r>
          </w:p>
        </w:tc>
        <w:tc>
          <w:tcPr>
            <w:tcW w:w="523" w:type="pct"/>
            <w:tcBorders>
              <w:left w:val="single" w:color="auto" w:sz="4" w:space="0"/>
              <w:right w:val="single" w:color="auto" w:sz="4" w:space="0"/>
            </w:tcBorders>
            <w:vAlign w:val="center"/>
          </w:tcPr>
          <w:p w14:paraId="356029EE">
            <w:pPr>
              <w:spacing w:line="320" w:lineRule="exact"/>
              <w:jc w:val="center"/>
              <w:rPr>
                <w:rFonts w:ascii="Times New Roman"/>
                <w:sz w:val="21"/>
                <w:szCs w:val="21"/>
              </w:rPr>
            </w:pPr>
            <w:r>
              <w:rPr>
                <w:rFonts w:hint="eastAsia" w:ascii="Times New Roman"/>
                <w:sz w:val="21"/>
                <w:szCs w:val="21"/>
              </w:rPr>
              <w:t>200</w:t>
            </w:r>
          </w:p>
        </w:tc>
      </w:tr>
      <w:tr w14:paraId="55CB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632EF66D">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7FA788B2">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0F1F39CF">
            <w:pPr>
              <w:spacing w:line="320" w:lineRule="exact"/>
              <w:jc w:val="center"/>
              <w:rPr>
                <w:rFonts w:ascii="Times New Roman"/>
                <w:sz w:val="21"/>
                <w:szCs w:val="21"/>
              </w:rPr>
            </w:pPr>
            <w:r>
              <w:rPr>
                <w:rFonts w:hint="eastAsia" w:ascii="Times New Roman"/>
                <w:sz w:val="21"/>
                <w:szCs w:val="21"/>
              </w:rPr>
              <w:t>淬油工序</w:t>
            </w:r>
          </w:p>
        </w:tc>
        <w:tc>
          <w:tcPr>
            <w:tcW w:w="2154" w:type="pct"/>
            <w:tcBorders>
              <w:left w:val="single" w:color="auto" w:sz="4" w:space="0"/>
              <w:right w:val="single" w:color="auto" w:sz="4" w:space="0"/>
            </w:tcBorders>
            <w:vAlign w:val="center"/>
          </w:tcPr>
          <w:p w14:paraId="34FF0062">
            <w:pPr>
              <w:spacing w:line="320" w:lineRule="exact"/>
              <w:jc w:val="center"/>
              <w:rPr>
                <w:rFonts w:ascii="Times New Roman"/>
                <w:sz w:val="21"/>
                <w:szCs w:val="21"/>
              </w:rPr>
            </w:pPr>
            <w:r>
              <w:rPr>
                <w:rFonts w:hint="eastAsia" w:ascii="Times New Roman"/>
                <w:sz w:val="21"/>
                <w:szCs w:val="21"/>
              </w:rPr>
              <w:t>集气罩+油雾净化器+二级活性炭吸附装置处理后20m高排气筒（DA006）</w:t>
            </w:r>
          </w:p>
        </w:tc>
        <w:tc>
          <w:tcPr>
            <w:tcW w:w="523" w:type="pct"/>
            <w:tcBorders>
              <w:left w:val="single" w:color="auto" w:sz="4" w:space="0"/>
              <w:right w:val="single" w:color="auto" w:sz="4" w:space="0"/>
            </w:tcBorders>
            <w:vAlign w:val="center"/>
          </w:tcPr>
          <w:p w14:paraId="72CBD01B">
            <w:pPr>
              <w:spacing w:line="320" w:lineRule="exact"/>
              <w:jc w:val="center"/>
              <w:rPr>
                <w:rFonts w:ascii="Times New Roman"/>
                <w:sz w:val="21"/>
                <w:szCs w:val="21"/>
              </w:rPr>
            </w:pPr>
            <w:r>
              <w:rPr>
                <w:rFonts w:hint="eastAsia" w:ascii="Times New Roman"/>
                <w:sz w:val="21"/>
                <w:szCs w:val="21"/>
              </w:rPr>
              <w:t>200</w:t>
            </w:r>
          </w:p>
        </w:tc>
      </w:tr>
      <w:tr w14:paraId="1137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7019C72A">
            <w:pPr>
              <w:spacing w:line="320" w:lineRule="exact"/>
              <w:jc w:val="center"/>
              <w:rPr>
                <w:rFonts w:ascii="Times New Roman"/>
                <w:sz w:val="21"/>
                <w:szCs w:val="21"/>
              </w:rPr>
            </w:pPr>
          </w:p>
        </w:tc>
        <w:tc>
          <w:tcPr>
            <w:tcW w:w="468" w:type="pct"/>
            <w:vMerge w:val="restart"/>
            <w:tcBorders>
              <w:left w:val="single" w:color="auto" w:sz="4" w:space="0"/>
              <w:right w:val="single" w:color="auto" w:sz="4" w:space="0"/>
            </w:tcBorders>
            <w:vAlign w:val="center"/>
          </w:tcPr>
          <w:p w14:paraId="695C9A41">
            <w:pPr>
              <w:spacing w:line="320" w:lineRule="exact"/>
              <w:jc w:val="center"/>
              <w:rPr>
                <w:rFonts w:ascii="Times New Roman"/>
                <w:sz w:val="21"/>
                <w:szCs w:val="21"/>
              </w:rPr>
            </w:pPr>
            <w:r>
              <w:rPr>
                <w:rFonts w:hint="eastAsia" w:ascii="Times New Roman"/>
                <w:sz w:val="21"/>
                <w:szCs w:val="21"/>
              </w:rPr>
              <w:t>联合厂房-</w:t>
            </w:r>
            <w:r>
              <w:rPr>
                <w:rFonts w:ascii="Times New Roman"/>
                <w:sz w:val="21"/>
                <w:szCs w:val="21"/>
              </w:rPr>
              <w:t>预处理及喷涂生产线</w:t>
            </w:r>
          </w:p>
        </w:tc>
        <w:tc>
          <w:tcPr>
            <w:tcW w:w="1348" w:type="pct"/>
            <w:tcBorders>
              <w:left w:val="single" w:color="auto" w:sz="4" w:space="0"/>
              <w:right w:val="single" w:color="auto" w:sz="4" w:space="0"/>
            </w:tcBorders>
            <w:vAlign w:val="center"/>
          </w:tcPr>
          <w:p w14:paraId="2B75EADF">
            <w:pPr>
              <w:spacing w:line="320" w:lineRule="exact"/>
              <w:jc w:val="center"/>
              <w:rPr>
                <w:rFonts w:ascii="Times New Roman"/>
                <w:sz w:val="21"/>
                <w:szCs w:val="21"/>
              </w:rPr>
            </w:pPr>
            <w:r>
              <w:rPr>
                <w:rFonts w:hint="eastAsia" w:ascii="Times New Roman"/>
                <w:sz w:val="21"/>
                <w:szCs w:val="21"/>
              </w:rPr>
              <w:t>抛丸、喷砂</w:t>
            </w:r>
          </w:p>
        </w:tc>
        <w:tc>
          <w:tcPr>
            <w:tcW w:w="2154" w:type="pct"/>
            <w:tcBorders>
              <w:left w:val="single" w:color="auto" w:sz="4" w:space="0"/>
              <w:right w:val="single" w:color="auto" w:sz="4" w:space="0"/>
            </w:tcBorders>
            <w:vAlign w:val="center"/>
          </w:tcPr>
          <w:p w14:paraId="37851CB9">
            <w:pPr>
              <w:spacing w:line="320" w:lineRule="exact"/>
              <w:jc w:val="center"/>
              <w:rPr>
                <w:rFonts w:ascii="Times New Roman"/>
                <w:sz w:val="21"/>
                <w:szCs w:val="21"/>
              </w:rPr>
            </w:pPr>
            <w:r>
              <w:rPr>
                <w:rFonts w:hint="eastAsia" w:ascii="Times New Roman"/>
                <w:sz w:val="21"/>
                <w:szCs w:val="21"/>
              </w:rPr>
              <w:t>抛丸工序废气管道收集，喷砂废气经集气罩收集后与抛丸废气经布袋除尘器处理后由1根20m高排气筒（DA007）排放</w:t>
            </w:r>
          </w:p>
        </w:tc>
        <w:tc>
          <w:tcPr>
            <w:tcW w:w="523" w:type="pct"/>
            <w:tcBorders>
              <w:left w:val="single" w:color="auto" w:sz="4" w:space="0"/>
              <w:right w:val="single" w:color="auto" w:sz="4" w:space="0"/>
            </w:tcBorders>
            <w:vAlign w:val="center"/>
          </w:tcPr>
          <w:p w14:paraId="7C81D188">
            <w:pPr>
              <w:spacing w:line="320" w:lineRule="exact"/>
              <w:jc w:val="center"/>
              <w:rPr>
                <w:rFonts w:ascii="Times New Roman"/>
                <w:sz w:val="21"/>
                <w:szCs w:val="21"/>
              </w:rPr>
            </w:pPr>
            <w:r>
              <w:rPr>
                <w:rFonts w:hint="eastAsia" w:ascii="Times New Roman"/>
                <w:sz w:val="21"/>
                <w:szCs w:val="21"/>
              </w:rPr>
              <w:t>100</w:t>
            </w:r>
          </w:p>
        </w:tc>
      </w:tr>
      <w:tr w14:paraId="3C63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295F1709">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1BB5F4B8">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1BA8D3C8">
            <w:pPr>
              <w:spacing w:line="320" w:lineRule="exact"/>
              <w:jc w:val="center"/>
              <w:rPr>
                <w:rFonts w:ascii="Times New Roman"/>
                <w:sz w:val="21"/>
                <w:szCs w:val="21"/>
              </w:rPr>
            </w:pPr>
            <w:r>
              <w:rPr>
                <w:rFonts w:hint="eastAsia" w:ascii="Times New Roman"/>
                <w:sz w:val="21"/>
                <w:szCs w:val="21"/>
              </w:rPr>
              <w:t>喷塑</w:t>
            </w:r>
          </w:p>
        </w:tc>
        <w:tc>
          <w:tcPr>
            <w:tcW w:w="2154" w:type="pct"/>
            <w:tcBorders>
              <w:left w:val="single" w:color="auto" w:sz="4" w:space="0"/>
              <w:right w:val="single" w:color="auto" w:sz="4" w:space="0"/>
            </w:tcBorders>
            <w:vAlign w:val="center"/>
          </w:tcPr>
          <w:p w14:paraId="5175E570">
            <w:pPr>
              <w:spacing w:line="320" w:lineRule="exact"/>
              <w:jc w:val="center"/>
              <w:rPr>
                <w:rFonts w:ascii="Times New Roman"/>
                <w:sz w:val="21"/>
                <w:szCs w:val="21"/>
              </w:rPr>
            </w:pPr>
            <w:r>
              <w:rPr>
                <w:rFonts w:hint="eastAsia" w:ascii="Times New Roman"/>
                <w:sz w:val="21"/>
                <w:szCs w:val="21"/>
              </w:rPr>
              <w:t>自带滤筒除尘器收集处理后，由1根20m高排气筒（DA008）排放</w:t>
            </w:r>
          </w:p>
        </w:tc>
        <w:tc>
          <w:tcPr>
            <w:tcW w:w="523" w:type="pct"/>
            <w:tcBorders>
              <w:left w:val="single" w:color="auto" w:sz="4" w:space="0"/>
              <w:right w:val="single" w:color="auto" w:sz="4" w:space="0"/>
            </w:tcBorders>
            <w:vAlign w:val="center"/>
          </w:tcPr>
          <w:p w14:paraId="16303F31">
            <w:pPr>
              <w:spacing w:line="320" w:lineRule="exact"/>
              <w:jc w:val="center"/>
              <w:rPr>
                <w:rFonts w:ascii="Times New Roman"/>
                <w:sz w:val="21"/>
                <w:szCs w:val="21"/>
              </w:rPr>
            </w:pPr>
            <w:r>
              <w:rPr>
                <w:rFonts w:hint="eastAsia" w:ascii="Times New Roman"/>
                <w:sz w:val="21"/>
                <w:szCs w:val="21"/>
              </w:rPr>
              <w:t>100</w:t>
            </w:r>
          </w:p>
        </w:tc>
      </w:tr>
      <w:tr w14:paraId="4470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68630811">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0088414E">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19220062">
            <w:pPr>
              <w:spacing w:line="320" w:lineRule="exact"/>
              <w:jc w:val="center"/>
              <w:rPr>
                <w:rFonts w:ascii="Times New Roman"/>
                <w:sz w:val="21"/>
                <w:szCs w:val="21"/>
              </w:rPr>
            </w:pPr>
            <w:r>
              <w:rPr>
                <w:rFonts w:hint="eastAsia" w:ascii="Times New Roman"/>
                <w:sz w:val="21"/>
                <w:szCs w:val="21"/>
              </w:rPr>
              <w:t>喷塑固化、强冷</w:t>
            </w:r>
          </w:p>
        </w:tc>
        <w:tc>
          <w:tcPr>
            <w:tcW w:w="2154" w:type="pct"/>
            <w:tcBorders>
              <w:left w:val="single" w:color="auto" w:sz="4" w:space="0"/>
              <w:right w:val="single" w:color="auto" w:sz="4" w:space="0"/>
            </w:tcBorders>
            <w:vAlign w:val="center"/>
          </w:tcPr>
          <w:p w14:paraId="6EA3F3A1">
            <w:pPr>
              <w:spacing w:line="320" w:lineRule="exact"/>
              <w:jc w:val="center"/>
              <w:rPr>
                <w:rFonts w:ascii="Times New Roman"/>
                <w:sz w:val="21"/>
                <w:szCs w:val="21"/>
              </w:rPr>
            </w:pPr>
            <w:r>
              <w:rPr>
                <w:rFonts w:hint="eastAsia" w:ascii="Times New Roman"/>
                <w:sz w:val="21"/>
                <w:szCs w:val="21"/>
              </w:rPr>
              <w:t>负压收集引入“二级活性炭吸附装置”净化工艺处理后，由1根20m高排气筒（DA009）排放</w:t>
            </w:r>
          </w:p>
        </w:tc>
        <w:tc>
          <w:tcPr>
            <w:tcW w:w="523" w:type="pct"/>
            <w:tcBorders>
              <w:left w:val="single" w:color="auto" w:sz="4" w:space="0"/>
              <w:right w:val="single" w:color="auto" w:sz="4" w:space="0"/>
            </w:tcBorders>
            <w:vAlign w:val="center"/>
          </w:tcPr>
          <w:p w14:paraId="37A0B1C3">
            <w:pPr>
              <w:spacing w:line="320" w:lineRule="exact"/>
              <w:jc w:val="center"/>
              <w:rPr>
                <w:rFonts w:ascii="Times New Roman"/>
                <w:sz w:val="21"/>
                <w:szCs w:val="21"/>
              </w:rPr>
            </w:pPr>
            <w:r>
              <w:rPr>
                <w:rFonts w:hint="eastAsia" w:ascii="Times New Roman"/>
                <w:sz w:val="21"/>
                <w:szCs w:val="21"/>
              </w:rPr>
              <w:t>100</w:t>
            </w:r>
          </w:p>
        </w:tc>
      </w:tr>
      <w:tr w14:paraId="0700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76985153">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451CBF20">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177DA81A">
            <w:pPr>
              <w:spacing w:line="320" w:lineRule="exact"/>
              <w:jc w:val="center"/>
              <w:rPr>
                <w:rFonts w:ascii="Times New Roman"/>
                <w:sz w:val="21"/>
                <w:szCs w:val="21"/>
              </w:rPr>
            </w:pPr>
            <w:r>
              <w:rPr>
                <w:rFonts w:hint="eastAsia" w:ascii="Times New Roman"/>
                <w:sz w:val="21"/>
                <w:szCs w:val="21"/>
              </w:rPr>
              <w:t>喷漆、烘干、固化</w:t>
            </w:r>
          </w:p>
        </w:tc>
        <w:tc>
          <w:tcPr>
            <w:tcW w:w="2154" w:type="pct"/>
            <w:tcBorders>
              <w:left w:val="single" w:color="auto" w:sz="4" w:space="0"/>
              <w:right w:val="single" w:color="auto" w:sz="4" w:space="0"/>
            </w:tcBorders>
            <w:vAlign w:val="center"/>
          </w:tcPr>
          <w:p w14:paraId="62C6636B">
            <w:pPr>
              <w:spacing w:line="320" w:lineRule="exact"/>
              <w:jc w:val="center"/>
              <w:rPr>
                <w:rFonts w:ascii="Times New Roman"/>
                <w:sz w:val="21"/>
                <w:szCs w:val="21"/>
              </w:rPr>
            </w:pPr>
            <w:r>
              <w:rPr>
                <w:rFonts w:hint="eastAsia" w:ascii="Times New Roman"/>
                <w:sz w:val="21"/>
                <w:szCs w:val="21"/>
              </w:rPr>
              <w:t>喷漆房为干式，电泳、喷漆、流平废气与烘干固化、强冷废气负压收集一并引入“4级干式过滤器+沸石轮转吸附+RTO焚烧装置”净化工艺处理后，由1根20米高排气筒（DA009）排放</w:t>
            </w:r>
          </w:p>
        </w:tc>
        <w:tc>
          <w:tcPr>
            <w:tcW w:w="523" w:type="pct"/>
            <w:tcBorders>
              <w:left w:val="single" w:color="auto" w:sz="4" w:space="0"/>
              <w:right w:val="single" w:color="auto" w:sz="4" w:space="0"/>
            </w:tcBorders>
            <w:vAlign w:val="center"/>
          </w:tcPr>
          <w:p w14:paraId="5FBF19DC">
            <w:pPr>
              <w:spacing w:line="320" w:lineRule="exact"/>
              <w:jc w:val="center"/>
              <w:rPr>
                <w:rFonts w:ascii="Times New Roman"/>
                <w:sz w:val="21"/>
                <w:szCs w:val="21"/>
              </w:rPr>
            </w:pPr>
            <w:r>
              <w:rPr>
                <w:rFonts w:hint="eastAsia" w:ascii="Times New Roman"/>
                <w:sz w:val="21"/>
                <w:szCs w:val="21"/>
              </w:rPr>
              <w:t>400</w:t>
            </w:r>
          </w:p>
        </w:tc>
      </w:tr>
      <w:tr w14:paraId="06A8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04" w:type="pct"/>
            <w:vMerge w:val="continue"/>
            <w:vAlign w:val="center"/>
          </w:tcPr>
          <w:p w14:paraId="5FBCBC0B">
            <w:pPr>
              <w:spacing w:line="320" w:lineRule="exact"/>
              <w:jc w:val="center"/>
              <w:rPr>
                <w:rFonts w:ascii="Times New Roman"/>
                <w:sz w:val="21"/>
                <w:szCs w:val="21"/>
              </w:rPr>
            </w:pPr>
          </w:p>
        </w:tc>
        <w:tc>
          <w:tcPr>
            <w:tcW w:w="468" w:type="pct"/>
            <w:vMerge w:val="restart"/>
            <w:tcBorders>
              <w:left w:val="single" w:color="auto" w:sz="4" w:space="0"/>
              <w:right w:val="single" w:color="auto" w:sz="4" w:space="0"/>
            </w:tcBorders>
            <w:vAlign w:val="center"/>
          </w:tcPr>
          <w:p w14:paraId="19A73F56">
            <w:pPr>
              <w:spacing w:line="320" w:lineRule="exact"/>
              <w:jc w:val="center"/>
              <w:rPr>
                <w:rFonts w:ascii="Times New Roman"/>
                <w:sz w:val="21"/>
                <w:szCs w:val="21"/>
              </w:rPr>
            </w:pPr>
            <w:r>
              <w:rPr>
                <w:rFonts w:hint="eastAsia" w:ascii="Times New Roman"/>
                <w:sz w:val="21"/>
                <w:szCs w:val="21"/>
              </w:rPr>
              <w:t>托辊及装配厂房-托辊生产线</w:t>
            </w:r>
          </w:p>
        </w:tc>
        <w:tc>
          <w:tcPr>
            <w:tcW w:w="1348" w:type="pct"/>
            <w:tcBorders>
              <w:left w:val="single" w:color="auto" w:sz="4" w:space="0"/>
              <w:right w:val="single" w:color="auto" w:sz="4" w:space="0"/>
            </w:tcBorders>
            <w:vAlign w:val="center"/>
          </w:tcPr>
          <w:p w14:paraId="7E553C1C">
            <w:pPr>
              <w:spacing w:line="320" w:lineRule="exact"/>
              <w:jc w:val="center"/>
              <w:rPr>
                <w:rFonts w:ascii="Times New Roman"/>
                <w:sz w:val="21"/>
                <w:szCs w:val="21"/>
              </w:rPr>
            </w:pPr>
            <w:r>
              <w:rPr>
                <w:rFonts w:hint="eastAsia" w:ascii="Times New Roman"/>
                <w:sz w:val="21"/>
                <w:szCs w:val="21"/>
              </w:rPr>
              <w:t>焊接、除锈</w:t>
            </w:r>
          </w:p>
        </w:tc>
        <w:tc>
          <w:tcPr>
            <w:tcW w:w="2154" w:type="pct"/>
            <w:tcBorders>
              <w:left w:val="single" w:color="auto" w:sz="4" w:space="0"/>
              <w:right w:val="single" w:color="auto" w:sz="4" w:space="0"/>
            </w:tcBorders>
            <w:vAlign w:val="center"/>
          </w:tcPr>
          <w:p w14:paraId="1F8F406F">
            <w:pPr>
              <w:spacing w:line="320" w:lineRule="exact"/>
              <w:jc w:val="center"/>
              <w:rPr>
                <w:rFonts w:ascii="Times New Roman"/>
                <w:sz w:val="21"/>
                <w:szCs w:val="21"/>
              </w:rPr>
            </w:pPr>
            <w:r>
              <w:rPr>
                <w:rFonts w:hint="eastAsia" w:ascii="Times New Roman"/>
                <w:sz w:val="21"/>
                <w:szCs w:val="21"/>
              </w:rPr>
              <w:t>托辊生产焊接、除锈工序经集气罩（四面设置软帘）收集后经布袋除尘器处理后无组织外排</w:t>
            </w:r>
          </w:p>
        </w:tc>
        <w:tc>
          <w:tcPr>
            <w:tcW w:w="523" w:type="pct"/>
            <w:vMerge w:val="restart"/>
            <w:tcBorders>
              <w:left w:val="single" w:color="auto" w:sz="4" w:space="0"/>
              <w:right w:val="single" w:color="auto" w:sz="4" w:space="0"/>
            </w:tcBorders>
            <w:vAlign w:val="center"/>
          </w:tcPr>
          <w:p w14:paraId="34AF88C6">
            <w:pPr>
              <w:spacing w:line="320" w:lineRule="exact"/>
              <w:jc w:val="center"/>
              <w:rPr>
                <w:rFonts w:ascii="Times New Roman"/>
                <w:sz w:val="21"/>
                <w:szCs w:val="21"/>
              </w:rPr>
            </w:pPr>
            <w:r>
              <w:rPr>
                <w:rFonts w:hint="eastAsia" w:ascii="Times New Roman"/>
                <w:sz w:val="21"/>
                <w:szCs w:val="21"/>
              </w:rPr>
              <w:t>110</w:t>
            </w:r>
          </w:p>
        </w:tc>
      </w:tr>
      <w:tr w14:paraId="3F26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04" w:type="pct"/>
            <w:vMerge w:val="continue"/>
            <w:vAlign w:val="center"/>
          </w:tcPr>
          <w:p w14:paraId="7ECFBAC7">
            <w:pPr>
              <w:spacing w:line="320" w:lineRule="exact"/>
              <w:jc w:val="center"/>
            </w:pPr>
          </w:p>
        </w:tc>
        <w:tc>
          <w:tcPr>
            <w:tcW w:w="468" w:type="pct"/>
            <w:vMerge w:val="continue"/>
            <w:tcBorders>
              <w:left w:val="single" w:color="auto" w:sz="4" w:space="0"/>
              <w:right w:val="single" w:color="auto" w:sz="4" w:space="0"/>
            </w:tcBorders>
            <w:vAlign w:val="center"/>
          </w:tcPr>
          <w:p w14:paraId="5B09F817">
            <w:pPr>
              <w:spacing w:line="320" w:lineRule="exact"/>
              <w:jc w:val="center"/>
            </w:pPr>
          </w:p>
        </w:tc>
        <w:tc>
          <w:tcPr>
            <w:tcW w:w="1348" w:type="pct"/>
            <w:tcBorders>
              <w:left w:val="single" w:color="auto" w:sz="4" w:space="0"/>
              <w:right w:val="single" w:color="auto" w:sz="4" w:space="0"/>
            </w:tcBorders>
            <w:vAlign w:val="center"/>
          </w:tcPr>
          <w:p w14:paraId="31E848FD">
            <w:pPr>
              <w:spacing w:line="320" w:lineRule="exact"/>
              <w:jc w:val="center"/>
              <w:rPr>
                <w:rFonts w:ascii="Times New Roman"/>
                <w:sz w:val="21"/>
                <w:szCs w:val="21"/>
              </w:rPr>
            </w:pPr>
            <w:r>
              <w:rPr>
                <w:rFonts w:hint="eastAsia" w:ascii="Times New Roman"/>
                <w:sz w:val="21"/>
                <w:szCs w:val="21"/>
              </w:rPr>
              <w:t>喷塑</w:t>
            </w:r>
          </w:p>
        </w:tc>
        <w:tc>
          <w:tcPr>
            <w:tcW w:w="2154" w:type="pct"/>
            <w:tcBorders>
              <w:left w:val="single" w:color="auto" w:sz="4" w:space="0"/>
              <w:right w:val="single" w:color="auto" w:sz="4" w:space="0"/>
            </w:tcBorders>
            <w:vAlign w:val="center"/>
          </w:tcPr>
          <w:p w14:paraId="7B0F4B3E">
            <w:pPr>
              <w:spacing w:line="320" w:lineRule="exact"/>
              <w:jc w:val="center"/>
              <w:rPr>
                <w:rFonts w:ascii="Times New Roman"/>
                <w:sz w:val="21"/>
                <w:szCs w:val="21"/>
              </w:rPr>
            </w:pPr>
            <w:r>
              <w:rPr>
                <w:rFonts w:hint="eastAsia" w:ascii="Times New Roman"/>
                <w:sz w:val="21"/>
                <w:szCs w:val="21"/>
              </w:rPr>
              <w:t>自带滤筒除尘器收集处理后，由1根20m高排气筒DA010排放</w:t>
            </w:r>
          </w:p>
        </w:tc>
        <w:tc>
          <w:tcPr>
            <w:tcW w:w="523" w:type="pct"/>
            <w:vMerge w:val="continue"/>
            <w:tcBorders>
              <w:left w:val="single" w:color="auto" w:sz="4" w:space="0"/>
              <w:right w:val="single" w:color="auto" w:sz="4" w:space="0"/>
            </w:tcBorders>
            <w:vAlign w:val="center"/>
          </w:tcPr>
          <w:p w14:paraId="2DAD3270">
            <w:pPr>
              <w:spacing w:line="320" w:lineRule="exact"/>
              <w:jc w:val="center"/>
              <w:rPr>
                <w:rFonts w:ascii="Times New Roman"/>
                <w:sz w:val="21"/>
                <w:szCs w:val="21"/>
              </w:rPr>
            </w:pPr>
          </w:p>
        </w:tc>
      </w:tr>
      <w:tr w14:paraId="2C5A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04" w:type="pct"/>
            <w:vMerge w:val="continue"/>
            <w:vAlign w:val="center"/>
          </w:tcPr>
          <w:p w14:paraId="57572684">
            <w:pPr>
              <w:spacing w:line="320" w:lineRule="exact"/>
              <w:jc w:val="center"/>
              <w:rPr>
                <w:rFonts w:ascii="Times New Roman"/>
                <w:sz w:val="21"/>
                <w:szCs w:val="21"/>
              </w:rPr>
            </w:pPr>
          </w:p>
        </w:tc>
        <w:tc>
          <w:tcPr>
            <w:tcW w:w="468" w:type="pct"/>
            <w:vMerge w:val="continue"/>
            <w:tcBorders>
              <w:left w:val="single" w:color="auto" w:sz="4" w:space="0"/>
              <w:right w:val="single" w:color="auto" w:sz="4" w:space="0"/>
            </w:tcBorders>
            <w:vAlign w:val="center"/>
          </w:tcPr>
          <w:p w14:paraId="32045C80">
            <w:pPr>
              <w:spacing w:line="320" w:lineRule="exact"/>
              <w:jc w:val="center"/>
              <w:rPr>
                <w:rFonts w:ascii="Times New Roman"/>
                <w:sz w:val="21"/>
                <w:szCs w:val="21"/>
              </w:rPr>
            </w:pPr>
          </w:p>
        </w:tc>
        <w:tc>
          <w:tcPr>
            <w:tcW w:w="1348" w:type="pct"/>
            <w:tcBorders>
              <w:left w:val="single" w:color="auto" w:sz="4" w:space="0"/>
              <w:right w:val="single" w:color="auto" w:sz="4" w:space="0"/>
            </w:tcBorders>
            <w:vAlign w:val="center"/>
          </w:tcPr>
          <w:p w14:paraId="25583441">
            <w:pPr>
              <w:spacing w:line="320" w:lineRule="exact"/>
              <w:jc w:val="center"/>
              <w:rPr>
                <w:rFonts w:ascii="Times New Roman"/>
                <w:sz w:val="21"/>
                <w:szCs w:val="21"/>
              </w:rPr>
            </w:pPr>
            <w:r>
              <w:rPr>
                <w:rFonts w:hint="eastAsia" w:ascii="Times New Roman"/>
                <w:sz w:val="21"/>
                <w:szCs w:val="21"/>
              </w:rPr>
              <w:t>喷塑固化</w:t>
            </w:r>
          </w:p>
        </w:tc>
        <w:tc>
          <w:tcPr>
            <w:tcW w:w="2154" w:type="pct"/>
            <w:tcBorders>
              <w:left w:val="single" w:color="auto" w:sz="4" w:space="0"/>
              <w:right w:val="single" w:color="auto" w:sz="4" w:space="0"/>
            </w:tcBorders>
            <w:vAlign w:val="center"/>
          </w:tcPr>
          <w:p w14:paraId="5F48DDD3">
            <w:pPr>
              <w:spacing w:line="320" w:lineRule="exact"/>
              <w:jc w:val="center"/>
              <w:rPr>
                <w:rFonts w:ascii="Times New Roman"/>
                <w:sz w:val="21"/>
                <w:szCs w:val="21"/>
              </w:rPr>
            </w:pPr>
            <w:r>
              <w:rPr>
                <w:rFonts w:hint="eastAsia" w:ascii="Times New Roman"/>
                <w:sz w:val="21"/>
                <w:szCs w:val="21"/>
              </w:rPr>
              <w:t>喷塑固化工序废气经负压收集引入“二级活性炭吸附装置”净化工艺处理后，由1根20m高排气筒（DA011）排放</w:t>
            </w:r>
          </w:p>
        </w:tc>
        <w:tc>
          <w:tcPr>
            <w:tcW w:w="523" w:type="pct"/>
            <w:vMerge w:val="continue"/>
            <w:tcBorders>
              <w:left w:val="single" w:color="auto" w:sz="4" w:space="0"/>
              <w:right w:val="single" w:color="auto" w:sz="4" w:space="0"/>
            </w:tcBorders>
            <w:vAlign w:val="center"/>
          </w:tcPr>
          <w:p w14:paraId="76B82B3F">
            <w:pPr>
              <w:spacing w:line="320" w:lineRule="exact"/>
              <w:jc w:val="center"/>
              <w:rPr>
                <w:rFonts w:ascii="Times New Roman"/>
                <w:sz w:val="21"/>
                <w:szCs w:val="21"/>
              </w:rPr>
            </w:pPr>
          </w:p>
        </w:tc>
      </w:tr>
      <w:tr w14:paraId="492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028ED34C">
            <w:pPr>
              <w:spacing w:line="320" w:lineRule="exact"/>
              <w:jc w:val="center"/>
              <w:rPr>
                <w:rFonts w:ascii="Times New Roman"/>
                <w:sz w:val="21"/>
                <w:szCs w:val="21"/>
              </w:rPr>
            </w:pPr>
          </w:p>
        </w:tc>
        <w:tc>
          <w:tcPr>
            <w:tcW w:w="468" w:type="pct"/>
            <w:tcBorders>
              <w:left w:val="single" w:color="auto" w:sz="4" w:space="0"/>
              <w:right w:val="single" w:color="auto" w:sz="4" w:space="0"/>
            </w:tcBorders>
            <w:vAlign w:val="center"/>
          </w:tcPr>
          <w:p w14:paraId="4D4F55AE">
            <w:pPr>
              <w:spacing w:line="320" w:lineRule="exact"/>
              <w:jc w:val="center"/>
              <w:rPr>
                <w:rFonts w:ascii="Times New Roman"/>
                <w:sz w:val="21"/>
                <w:szCs w:val="21"/>
              </w:rPr>
            </w:pPr>
            <w:r>
              <w:rPr>
                <w:rFonts w:hint="eastAsia" w:ascii="Times New Roman"/>
                <w:sz w:val="21"/>
                <w:szCs w:val="21"/>
              </w:rPr>
              <w:t>污水处理站</w:t>
            </w:r>
          </w:p>
        </w:tc>
        <w:tc>
          <w:tcPr>
            <w:tcW w:w="1348" w:type="pct"/>
            <w:tcBorders>
              <w:left w:val="single" w:color="auto" w:sz="4" w:space="0"/>
              <w:right w:val="single" w:color="auto" w:sz="4" w:space="0"/>
            </w:tcBorders>
            <w:vAlign w:val="center"/>
          </w:tcPr>
          <w:p w14:paraId="1EF179CF">
            <w:pPr>
              <w:spacing w:line="320" w:lineRule="exact"/>
              <w:jc w:val="center"/>
              <w:rPr>
                <w:rFonts w:ascii="Times New Roman"/>
                <w:sz w:val="21"/>
                <w:szCs w:val="21"/>
              </w:rPr>
            </w:pPr>
            <w:r>
              <w:rPr>
                <w:rFonts w:hint="eastAsia" w:ascii="Times New Roman"/>
                <w:sz w:val="21"/>
                <w:szCs w:val="21"/>
              </w:rPr>
              <w:t>污水处理站废气</w:t>
            </w:r>
          </w:p>
        </w:tc>
        <w:tc>
          <w:tcPr>
            <w:tcW w:w="2154" w:type="pct"/>
            <w:tcBorders>
              <w:left w:val="single" w:color="auto" w:sz="4" w:space="0"/>
              <w:right w:val="single" w:color="auto" w:sz="4" w:space="0"/>
            </w:tcBorders>
            <w:vAlign w:val="center"/>
          </w:tcPr>
          <w:p w14:paraId="576348F5">
            <w:pPr>
              <w:spacing w:line="320" w:lineRule="exact"/>
              <w:jc w:val="center"/>
              <w:rPr>
                <w:rFonts w:ascii="Times New Roman"/>
                <w:sz w:val="21"/>
                <w:szCs w:val="21"/>
              </w:rPr>
            </w:pPr>
            <w:r>
              <w:rPr>
                <w:rFonts w:hint="eastAsia" w:ascii="Times New Roman"/>
                <w:sz w:val="21"/>
                <w:szCs w:val="21"/>
              </w:rPr>
              <w:t>污水处理站密闭，定期喷洒微生物除臭剂，产生的废气无组织排放</w:t>
            </w:r>
          </w:p>
        </w:tc>
        <w:tc>
          <w:tcPr>
            <w:tcW w:w="523" w:type="pct"/>
            <w:tcBorders>
              <w:left w:val="single" w:color="auto" w:sz="4" w:space="0"/>
              <w:right w:val="single" w:color="auto" w:sz="4" w:space="0"/>
            </w:tcBorders>
            <w:vAlign w:val="center"/>
          </w:tcPr>
          <w:p w14:paraId="54EC1A2E">
            <w:pPr>
              <w:spacing w:line="320" w:lineRule="exact"/>
              <w:jc w:val="center"/>
              <w:rPr>
                <w:rFonts w:ascii="Times New Roman"/>
                <w:sz w:val="21"/>
                <w:szCs w:val="21"/>
              </w:rPr>
            </w:pPr>
            <w:r>
              <w:rPr>
                <w:rFonts w:hint="eastAsia" w:ascii="Times New Roman"/>
                <w:sz w:val="21"/>
                <w:szCs w:val="21"/>
              </w:rPr>
              <w:t>50</w:t>
            </w:r>
          </w:p>
        </w:tc>
      </w:tr>
      <w:tr w14:paraId="118F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582F59FD">
            <w:pPr>
              <w:spacing w:line="320" w:lineRule="exact"/>
              <w:jc w:val="center"/>
              <w:rPr>
                <w:rFonts w:ascii="Times New Roman"/>
                <w:sz w:val="21"/>
                <w:szCs w:val="21"/>
              </w:rPr>
            </w:pPr>
          </w:p>
        </w:tc>
        <w:tc>
          <w:tcPr>
            <w:tcW w:w="468" w:type="pct"/>
            <w:tcBorders>
              <w:left w:val="single" w:color="auto" w:sz="4" w:space="0"/>
              <w:right w:val="single" w:color="auto" w:sz="4" w:space="0"/>
            </w:tcBorders>
            <w:vAlign w:val="center"/>
          </w:tcPr>
          <w:p w14:paraId="3161A98A">
            <w:pPr>
              <w:spacing w:line="320" w:lineRule="exact"/>
              <w:jc w:val="center"/>
              <w:rPr>
                <w:rFonts w:ascii="Times New Roman"/>
                <w:sz w:val="21"/>
                <w:szCs w:val="21"/>
              </w:rPr>
            </w:pPr>
            <w:r>
              <w:rPr>
                <w:rFonts w:hint="eastAsia" w:ascii="Times New Roman"/>
                <w:sz w:val="21"/>
                <w:szCs w:val="21"/>
              </w:rPr>
              <w:t>食堂</w:t>
            </w:r>
          </w:p>
        </w:tc>
        <w:tc>
          <w:tcPr>
            <w:tcW w:w="1348" w:type="pct"/>
            <w:tcBorders>
              <w:left w:val="single" w:color="auto" w:sz="4" w:space="0"/>
              <w:right w:val="single" w:color="auto" w:sz="4" w:space="0"/>
            </w:tcBorders>
            <w:vAlign w:val="center"/>
          </w:tcPr>
          <w:p w14:paraId="4551D373">
            <w:pPr>
              <w:spacing w:line="320" w:lineRule="exact"/>
              <w:jc w:val="center"/>
              <w:rPr>
                <w:rFonts w:ascii="Times New Roman"/>
                <w:sz w:val="21"/>
                <w:szCs w:val="21"/>
              </w:rPr>
            </w:pPr>
            <w:r>
              <w:rPr>
                <w:rFonts w:hint="eastAsia" w:ascii="Times New Roman"/>
                <w:sz w:val="21"/>
                <w:szCs w:val="21"/>
              </w:rPr>
              <w:t>食堂油烟</w:t>
            </w:r>
          </w:p>
        </w:tc>
        <w:tc>
          <w:tcPr>
            <w:tcW w:w="2154" w:type="pct"/>
            <w:tcBorders>
              <w:left w:val="single" w:color="auto" w:sz="4" w:space="0"/>
              <w:right w:val="single" w:color="auto" w:sz="4" w:space="0"/>
            </w:tcBorders>
            <w:vAlign w:val="center"/>
          </w:tcPr>
          <w:p w14:paraId="65F9DA52">
            <w:pPr>
              <w:spacing w:line="320" w:lineRule="exact"/>
              <w:jc w:val="center"/>
              <w:rPr>
                <w:rFonts w:ascii="Times New Roman"/>
                <w:sz w:val="21"/>
                <w:szCs w:val="21"/>
              </w:rPr>
            </w:pPr>
            <w:r>
              <w:rPr>
                <w:rFonts w:hint="eastAsia" w:ascii="Times New Roman"/>
                <w:sz w:val="21"/>
                <w:szCs w:val="21"/>
              </w:rPr>
              <w:t>食堂油烟经油烟净化器装置处理后，由专用烟道DA012楼顶排放</w:t>
            </w:r>
          </w:p>
        </w:tc>
        <w:tc>
          <w:tcPr>
            <w:tcW w:w="523" w:type="pct"/>
            <w:tcBorders>
              <w:left w:val="single" w:color="auto" w:sz="4" w:space="0"/>
              <w:right w:val="single" w:color="auto" w:sz="4" w:space="0"/>
            </w:tcBorders>
            <w:vAlign w:val="center"/>
          </w:tcPr>
          <w:p w14:paraId="25EC50E7">
            <w:pPr>
              <w:spacing w:line="320" w:lineRule="exact"/>
              <w:jc w:val="center"/>
              <w:rPr>
                <w:rFonts w:ascii="Times New Roman"/>
                <w:sz w:val="21"/>
                <w:szCs w:val="21"/>
              </w:rPr>
            </w:pPr>
            <w:r>
              <w:rPr>
                <w:rFonts w:hint="eastAsia" w:ascii="Times New Roman"/>
                <w:sz w:val="21"/>
                <w:szCs w:val="21"/>
              </w:rPr>
              <w:t>5</w:t>
            </w:r>
          </w:p>
        </w:tc>
      </w:tr>
      <w:tr w14:paraId="729E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5F3DE4B4">
            <w:pPr>
              <w:spacing w:line="320" w:lineRule="exact"/>
              <w:jc w:val="center"/>
              <w:rPr>
                <w:rFonts w:ascii="Times New Roman"/>
                <w:sz w:val="21"/>
                <w:szCs w:val="21"/>
              </w:rPr>
            </w:pPr>
          </w:p>
        </w:tc>
        <w:tc>
          <w:tcPr>
            <w:tcW w:w="3971" w:type="pct"/>
            <w:gridSpan w:val="3"/>
            <w:tcBorders>
              <w:left w:val="single" w:color="auto" w:sz="4" w:space="0"/>
              <w:right w:val="single" w:color="auto" w:sz="4" w:space="0"/>
            </w:tcBorders>
            <w:vAlign w:val="center"/>
          </w:tcPr>
          <w:p w14:paraId="2B5EDDB8">
            <w:pPr>
              <w:spacing w:line="360" w:lineRule="exact"/>
              <w:rPr>
                <w:rFonts w:ascii="Times New Roman"/>
                <w:sz w:val="21"/>
                <w:szCs w:val="21"/>
              </w:rPr>
            </w:pPr>
            <w:r>
              <w:rPr>
                <w:rFonts w:ascii="Times New Roman"/>
                <w:kern w:val="0"/>
                <w:sz w:val="21"/>
                <w:szCs w:val="21"/>
              </w:rPr>
              <w:t>VOC</w:t>
            </w:r>
            <w:r>
              <w:rPr>
                <w:rFonts w:ascii="Times New Roman" w:eastAsia="仿宋_GB2312"/>
                <w:sz w:val="21"/>
                <w:szCs w:val="21"/>
                <w:lang w:eastAsia="en-US" w:bidi="en-US"/>
              </w:rPr>
              <w:t>s</w:t>
            </w:r>
            <w:r>
              <w:rPr>
                <w:rFonts w:ascii="Times New Roman"/>
                <w:sz w:val="21"/>
                <w:szCs w:val="21"/>
              </w:rPr>
              <w:t>在线监测设施</w:t>
            </w:r>
            <w:r>
              <w:rPr>
                <w:rFonts w:hint="eastAsia" w:ascii="Times New Roman"/>
                <w:sz w:val="21"/>
                <w:szCs w:val="21"/>
              </w:rPr>
              <w:t>、</w:t>
            </w:r>
            <w:r>
              <w:rPr>
                <w:rFonts w:ascii="Times New Roman"/>
                <w:sz w:val="21"/>
                <w:szCs w:val="21"/>
              </w:rPr>
              <w:t>VOCs超标报警传感装置</w:t>
            </w:r>
            <w:r>
              <w:rPr>
                <w:rFonts w:ascii="Times New Roman"/>
                <w:kern w:val="0"/>
                <w:sz w:val="21"/>
                <w:szCs w:val="21"/>
              </w:rPr>
              <w:t>。</w:t>
            </w:r>
          </w:p>
        </w:tc>
        <w:tc>
          <w:tcPr>
            <w:tcW w:w="523" w:type="pct"/>
            <w:tcBorders>
              <w:left w:val="single" w:color="auto" w:sz="4" w:space="0"/>
              <w:right w:val="single" w:color="auto" w:sz="4" w:space="0"/>
            </w:tcBorders>
            <w:vAlign w:val="center"/>
          </w:tcPr>
          <w:p w14:paraId="0C60AD49">
            <w:pPr>
              <w:spacing w:line="320" w:lineRule="exact"/>
              <w:jc w:val="center"/>
              <w:rPr>
                <w:rFonts w:ascii="Times New Roman"/>
                <w:sz w:val="21"/>
                <w:szCs w:val="21"/>
              </w:rPr>
            </w:pPr>
            <w:r>
              <w:rPr>
                <w:rFonts w:hint="eastAsia" w:ascii="Times New Roman"/>
                <w:sz w:val="21"/>
                <w:szCs w:val="21"/>
              </w:rPr>
              <w:t>5</w:t>
            </w:r>
          </w:p>
        </w:tc>
      </w:tr>
      <w:tr w14:paraId="5C83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Align w:val="center"/>
          </w:tcPr>
          <w:p w14:paraId="74EB6DF9">
            <w:pPr>
              <w:spacing w:line="320" w:lineRule="exact"/>
              <w:jc w:val="center"/>
              <w:rPr>
                <w:rFonts w:ascii="Times New Roman"/>
                <w:sz w:val="21"/>
                <w:szCs w:val="21"/>
              </w:rPr>
            </w:pPr>
            <w:r>
              <w:rPr>
                <w:rFonts w:hint="eastAsia" w:ascii="Times New Roman"/>
                <w:sz w:val="21"/>
                <w:szCs w:val="21"/>
              </w:rPr>
              <w:t>废水</w:t>
            </w:r>
          </w:p>
        </w:tc>
        <w:tc>
          <w:tcPr>
            <w:tcW w:w="3971" w:type="pct"/>
            <w:gridSpan w:val="3"/>
            <w:vAlign w:val="center"/>
          </w:tcPr>
          <w:p w14:paraId="1E3C1643">
            <w:pPr>
              <w:autoSpaceDE w:val="0"/>
              <w:autoSpaceDN w:val="0"/>
              <w:adjustRightInd w:val="0"/>
              <w:snapToGrid w:val="0"/>
              <w:spacing w:line="360" w:lineRule="auto"/>
              <w:ind w:firstLine="420" w:firstLineChars="200"/>
              <w:rPr>
                <w:rFonts w:ascii="Times New Roman"/>
                <w:sz w:val="21"/>
                <w:szCs w:val="21"/>
              </w:rPr>
            </w:pPr>
            <w:r>
              <w:rPr>
                <w:rFonts w:hint="eastAsia" w:ascii="Times New Roman"/>
                <w:sz w:val="21"/>
                <w:szCs w:val="21"/>
              </w:rPr>
              <w:t>水洗</w:t>
            </w:r>
            <w:r>
              <w:rPr>
                <w:rFonts w:ascii="Times New Roman"/>
                <w:sz w:val="21"/>
                <w:szCs w:val="21"/>
              </w:rPr>
              <w:t>、纯水洗2、电泳槽清洗</w:t>
            </w:r>
            <w:r>
              <w:rPr>
                <w:rFonts w:hint="eastAsia" w:ascii="Times New Roman"/>
                <w:sz w:val="21"/>
                <w:szCs w:val="21"/>
              </w:rPr>
              <w:t>废水先经预处理反应斜管槽处理后，热水洗与预脱脂、脱脂</w:t>
            </w:r>
            <w:r>
              <w:rPr>
                <w:rFonts w:ascii="Times New Roman"/>
                <w:sz w:val="21"/>
                <w:szCs w:val="21"/>
              </w:rPr>
              <w:t>、</w:t>
            </w:r>
            <w:r>
              <w:rPr>
                <w:rFonts w:hint="eastAsia" w:ascii="Times New Roman"/>
                <w:sz w:val="21"/>
                <w:szCs w:val="21"/>
              </w:rPr>
              <w:t>硅烷化槽体清洗废水一同进入污水处理站“一体化气浮槽+</w:t>
            </w:r>
            <w:r>
              <w:rPr>
                <w:rFonts w:ascii="Times New Roman"/>
                <w:sz w:val="21"/>
                <w:szCs w:val="21"/>
              </w:rPr>
              <w:t>综合反应斜管沉淀槽+综合芬顿反应槽+多介质过滤器+活性炭过滤器</w:t>
            </w:r>
            <w:r>
              <w:rPr>
                <w:rFonts w:hint="eastAsia" w:ascii="Times New Roman"/>
                <w:sz w:val="21"/>
                <w:szCs w:val="21"/>
              </w:rPr>
              <w:t>”</w:t>
            </w:r>
            <w:r>
              <w:rPr>
                <w:rFonts w:ascii="Times New Roman"/>
                <w:sz w:val="21"/>
                <w:szCs w:val="21"/>
              </w:rPr>
              <w:t>系统进行处理</w:t>
            </w:r>
            <w:r>
              <w:rPr>
                <w:rFonts w:hint="eastAsia" w:ascii="Times New Roman"/>
                <w:sz w:val="21"/>
                <w:szCs w:val="21"/>
              </w:rPr>
              <w:t>，</w:t>
            </w:r>
            <w:r>
              <w:rPr>
                <w:rFonts w:ascii="Times New Roman"/>
                <w:sz w:val="21"/>
                <w:szCs w:val="21"/>
              </w:rPr>
              <w:t>处理达标后由园区污水管网，入园区污水处理厂进一步处理。污泥经压滤后，委托资质单位处置。食堂废水采用隔油池预处理后，与日常生活污水一并入化粪池处理，</w:t>
            </w:r>
            <w:r>
              <w:rPr>
                <w:rFonts w:hint="eastAsia" w:ascii="Times New Roman"/>
                <w:sz w:val="21"/>
                <w:szCs w:val="21"/>
              </w:rPr>
              <w:t>后经园区污水管网排入</w:t>
            </w:r>
            <w:r>
              <w:rPr>
                <w:rFonts w:ascii="Times New Roman"/>
                <w:sz w:val="21"/>
                <w:szCs w:val="21"/>
              </w:rPr>
              <w:t>园区污水处理厂进一步处理。</w:t>
            </w:r>
          </w:p>
        </w:tc>
        <w:tc>
          <w:tcPr>
            <w:tcW w:w="523" w:type="pct"/>
            <w:vAlign w:val="center"/>
          </w:tcPr>
          <w:p w14:paraId="565697AF">
            <w:pPr>
              <w:spacing w:line="320" w:lineRule="exact"/>
              <w:jc w:val="center"/>
              <w:rPr>
                <w:rFonts w:ascii="Times New Roman"/>
                <w:sz w:val="21"/>
                <w:szCs w:val="21"/>
              </w:rPr>
            </w:pPr>
            <w:r>
              <w:rPr>
                <w:rFonts w:hint="eastAsia" w:ascii="Times New Roman"/>
                <w:sz w:val="21"/>
                <w:szCs w:val="21"/>
              </w:rPr>
              <w:t>100</w:t>
            </w:r>
          </w:p>
        </w:tc>
      </w:tr>
      <w:tr w14:paraId="6419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Align w:val="center"/>
          </w:tcPr>
          <w:p w14:paraId="5CC592CB">
            <w:pPr>
              <w:spacing w:line="320" w:lineRule="exact"/>
              <w:jc w:val="center"/>
              <w:rPr>
                <w:rFonts w:ascii="Times New Roman"/>
                <w:sz w:val="21"/>
                <w:szCs w:val="21"/>
              </w:rPr>
            </w:pPr>
            <w:r>
              <w:rPr>
                <w:rFonts w:ascii="Times New Roman"/>
                <w:sz w:val="21"/>
                <w:szCs w:val="21"/>
              </w:rPr>
              <w:t>噪声</w:t>
            </w:r>
          </w:p>
        </w:tc>
        <w:tc>
          <w:tcPr>
            <w:tcW w:w="3971" w:type="pct"/>
            <w:gridSpan w:val="3"/>
            <w:vAlign w:val="center"/>
          </w:tcPr>
          <w:p w14:paraId="5CDCE7F0">
            <w:pPr>
              <w:spacing w:line="320" w:lineRule="exact"/>
              <w:jc w:val="center"/>
              <w:rPr>
                <w:rFonts w:ascii="Times New Roman"/>
                <w:sz w:val="21"/>
                <w:szCs w:val="21"/>
              </w:rPr>
            </w:pPr>
            <w:r>
              <w:rPr>
                <w:rFonts w:ascii="Times New Roman"/>
                <w:sz w:val="21"/>
                <w:szCs w:val="21"/>
              </w:rPr>
              <w:t>选用低噪声设备，采用基础减振、车间隔声、风机加装消声器</w:t>
            </w:r>
          </w:p>
        </w:tc>
        <w:tc>
          <w:tcPr>
            <w:tcW w:w="523" w:type="pct"/>
            <w:vAlign w:val="center"/>
          </w:tcPr>
          <w:p w14:paraId="7DD17E40">
            <w:pPr>
              <w:spacing w:line="320" w:lineRule="exact"/>
              <w:jc w:val="center"/>
              <w:rPr>
                <w:rFonts w:ascii="Times New Roman"/>
                <w:sz w:val="21"/>
                <w:szCs w:val="21"/>
              </w:rPr>
            </w:pPr>
            <w:r>
              <w:rPr>
                <w:rFonts w:hint="eastAsia" w:ascii="Times New Roman"/>
                <w:sz w:val="21"/>
                <w:szCs w:val="21"/>
              </w:rPr>
              <w:t>10</w:t>
            </w:r>
          </w:p>
        </w:tc>
      </w:tr>
      <w:tr w14:paraId="0C64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restart"/>
            <w:vAlign w:val="center"/>
          </w:tcPr>
          <w:p w14:paraId="6FEEEE73">
            <w:pPr>
              <w:spacing w:line="320" w:lineRule="exact"/>
              <w:jc w:val="center"/>
              <w:rPr>
                <w:rFonts w:ascii="Times New Roman"/>
                <w:sz w:val="21"/>
                <w:szCs w:val="21"/>
              </w:rPr>
            </w:pPr>
            <w:r>
              <w:rPr>
                <w:rFonts w:ascii="Times New Roman"/>
                <w:sz w:val="21"/>
                <w:szCs w:val="21"/>
              </w:rPr>
              <w:t>固废</w:t>
            </w:r>
          </w:p>
        </w:tc>
        <w:tc>
          <w:tcPr>
            <w:tcW w:w="3971" w:type="pct"/>
            <w:gridSpan w:val="3"/>
            <w:vAlign w:val="center"/>
          </w:tcPr>
          <w:p w14:paraId="7039B7C6">
            <w:pPr>
              <w:spacing w:line="320" w:lineRule="exact"/>
              <w:jc w:val="center"/>
              <w:rPr>
                <w:rFonts w:ascii="Times New Roman"/>
                <w:sz w:val="21"/>
                <w:szCs w:val="21"/>
              </w:rPr>
            </w:pPr>
            <w:r>
              <w:rPr>
                <w:rFonts w:ascii="Times New Roman"/>
                <w:sz w:val="21"/>
                <w:szCs w:val="21"/>
              </w:rPr>
              <w:t>1座</w:t>
            </w:r>
            <w:r>
              <w:rPr>
                <w:rFonts w:hint="eastAsia" w:ascii="Times New Roman"/>
                <w:sz w:val="21"/>
                <w:szCs w:val="21"/>
              </w:rPr>
              <w:t>390.30</w:t>
            </w:r>
            <w:r>
              <w:rPr>
                <w:rFonts w:ascii="Times New Roman"/>
                <w:sz w:val="21"/>
                <w:szCs w:val="21"/>
              </w:rPr>
              <w:t>m</w:t>
            </w:r>
            <w:r>
              <w:rPr>
                <w:rFonts w:ascii="Times New Roman"/>
                <w:sz w:val="21"/>
                <w:szCs w:val="21"/>
                <w:vertAlign w:val="superscript"/>
              </w:rPr>
              <w:t>2</w:t>
            </w:r>
            <w:r>
              <w:rPr>
                <w:rFonts w:hint="eastAsia" w:ascii="Times New Roman"/>
                <w:sz w:val="21"/>
                <w:szCs w:val="21"/>
              </w:rPr>
              <w:t>垃圾回收房</w:t>
            </w:r>
          </w:p>
        </w:tc>
        <w:tc>
          <w:tcPr>
            <w:tcW w:w="523" w:type="pct"/>
            <w:vAlign w:val="center"/>
          </w:tcPr>
          <w:p w14:paraId="4943F41A">
            <w:pPr>
              <w:spacing w:line="320" w:lineRule="exact"/>
              <w:jc w:val="center"/>
              <w:rPr>
                <w:rFonts w:ascii="Times New Roman"/>
                <w:sz w:val="21"/>
                <w:szCs w:val="21"/>
              </w:rPr>
            </w:pPr>
            <w:r>
              <w:rPr>
                <w:rFonts w:hint="eastAsia" w:ascii="Times New Roman"/>
                <w:sz w:val="21"/>
                <w:szCs w:val="21"/>
              </w:rPr>
              <w:t>10</w:t>
            </w:r>
          </w:p>
        </w:tc>
      </w:tr>
      <w:tr w14:paraId="3608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Merge w:val="continue"/>
            <w:vAlign w:val="center"/>
          </w:tcPr>
          <w:p w14:paraId="4EF971E4">
            <w:pPr>
              <w:spacing w:line="320" w:lineRule="exact"/>
              <w:jc w:val="center"/>
              <w:rPr>
                <w:rFonts w:ascii="Times New Roman"/>
                <w:sz w:val="21"/>
                <w:szCs w:val="21"/>
              </w:rPr>
            </w:pPr>
          </w:p>
        </w:tc>
        <w:tc>
          <w:tcPr>
            <w:tcW w:w="3971" w:type="pct"/>
            <w:gridSpan w:val="3"/>
            <w:vAlign w:val="center"/>
          </w:tcPr>
          <w:p w14:paraId="540AA07C">
            <w:pPr>
              <w:spacing w:line="320" w:lineRule="exact"/>
              <w:jc w:val="center"/>
              <w:rPr>
                <w:rFonts w:ascii="Times New Roman"/>
                <w:sz w:val="21"/>
                <w:szCs w:val="21"/>
              </w:rPr>
            </w:pPr>
            <w:r>
              <w:rPr>
                <w:rFonts w:ascii="Times New Roman"/>
                <w:sz w:val="21"/>
                <w:szCs w:val="21"/>
              </w:rPr>
              <w:t>1座</w:t>
            </w:r>
            <w:r>
              <w:rPr>
                <w:rFonts w:hint="eastAsia" w:ascii="Times New Roman"/>
                <w:sz w:val="21"/>
                <w:szCs w:val="21"/>
              </w:rPr>
              <w:t>223.98</w:t>
            </w:r>
            <w:r>
              <w:rPr>
                <w:rFonts w:ascii="Times New Roman"/>
                <w:sz w:val="21"/>
                <w:szCs w:val="21"/>
              </w:rPr>
              <w:t>m</w:t>
            </w:r>
            <w:r>
              <w:rPr>
                <w:rFonts w:ascii="Times New Roman"/>
                <w:sz w:val="21"/>
                <w:szCs w:val="21"/>
                <w:vertAlign w:val="superscript"/>
              </w:rPr>
              <w:t>2</w:t>
            </w:r>
            <w:r>
              <w:rPr>
                <w:rFonts w:ascii="Times New Roman"/>
                <w:sz w:val="21"/>
                <w:szCs w:val="21"/>
              </w:rPr>
              <w:t>危险</w:t>
            </w:r>
            <w:r>
              <w:rPr>
                <w:rFonts w:hint="eastAsia" w:ascii="Times New Roman"/>
                <w:sz w:val="21"/>
                <w:szCs w:val="21"/>
              </w:rPr>
              <w:t>库</w:t>
            </w:r>
            <w:r>
              <w:rPr>
                <w:rFonts w:ascii="Times New Roman"/>
                <w:sz w:val="21"/>
                <w:szCs w:val="21"/>
              </w:rPr>
              <w:t>，危险废物定期交由危废处置单位处置</w:t>
            </w:r>
          </w:p>
        </w:tc>
        <w:tc>
          <w:tcPr>
            <w:tcW w:w="523" w:type="pct"/>
            <w:vAlign w:val="center"/>
          </w:tcPr>
          <w:p w14:paraId="218C0D28">
            <w:pPr>
              <w:spacing w:line="320" w:lineRule="exact"/>
              <w:jc w:val="center"/>
              <w:rPr>
                <w:rFonts w:ascii="Times New Roman"/>
                <w:sz w:val="21"/>
                <w:szCs w:val="21"/>
              </w:rPr>
            </w:pPr>
            <w:r>
              <w:rPr>
                <w:rFonts w:hint="eastAsia" w:ascii="Times New Roman"/>
                <w:sz w:val="21"/>
                <w:szCs w:val="21"/>
              </w:rPr>
              <w:t>10</w:t>
            </w:r>
          </w:p>
        </w:tc>
      </w:tr>
      <w:tr w14:paraId="1F80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04" w:type="pct"/>
            <w:vAlign w:val="center"/>
          </w:tcPr>
          <w:p w14:paraId="4DB0B6A3">
            <w:pPr>
              <w:spacing w:line="320" w:lineRule="exact"/>
              <w:jc w:val="center"/>
              <w:rPr>
                <w:rFonts w:ascii="Times New Roman"/>
                <w:sz w:val="21"/>
                <w:szCs w:val="21"/>
              </w:rPr>
            </w:pPr>
            <w:r>
              <w:rPr>
                <w:rFonts w:ascii="Times New Roman"/>
                <w:sz w:val="21"/>
                <w:szCs w:val="21"/>
              </w:rPr>
              <w:t>防渗工程</w:t>
            </w:r>
          </w:p>
        </w:tc>
        <w:tc>
          <w:tcPr>
            <w:tcW w:w="3971" w:type="pct"/>
            <w:gridSpan w:val="3"/>
            <w:vAlign w:val="center"/>
          </w:tcPr>
          <w:p w14:paraId="0AA7AA35">
            <w:pPr>
              <w:spacing w:line="320" w:lineRule="exact"/>
              <w:jc w:val="left"/>
              <w:rPr>
                <w:rFonts w:ascii="Times New Roman"/>
                <w:sz w:val="21"/>
                <w:szCs w:val="21"/>
              </w:rPr>
            </w:pPr>
            <w:r>
              <w:rPr>
                <w:rFonts w:hint="eastAsia" w:ascii="Times New Roman"/>
                <w:sz w:val="21"/>
                <w:szCs w:val="16"/>
              </w:rPr>
              <w:t>表面处理区</w:t>
            </w:r>
            <w:r>
              <w:rPr>
                <w:rFonts w:ascii="Times New Roman"/>
                <w:sz w:val="21"/>
                <w:szCs w:val="16"/>
              </w:rPr>
              <w:t>、</w:t>
            </w:r>
            <w:r>
              <w:rPr>
                <w:rFonts w:hint="eastAsia" w:ascii="Times New Roman"/>
                <w:sz w:val="21"/>
                <w:szCs w:val="16"/>
              </w:rPr>
              <w:t>消防水池</w:t>
            </w:r>
            <w:r>
              <w:rPr>
                <w:rFonts w:ascii="Times New Roman"/>
                <w:sz w:val="21"/>
                <w:szCs w:val="16"/>
              </w:rPr>
              <w:t>、</w:t>
            </w:r>
            <w:r>
              <w:rPr>
                <w:rFonts w:hint="eastAsia" w:ascii="Times New Roman"/>
                <w:sz w:val="21"/>
                <w:szCs w:val="16"/>
              </w:rPr>
              <w:t>污水处理站、危化库</w:t>
            </w:r>
            <w:r>
              <w:rPr>
                <w:rFonts w:ascii="Times New Roman"/>
                <w:sz w:val="21"/>
                <w:szCs w:val="16"/>
              </w:rPr>
              <w:t>、</w:t>
            </w:r>
            <w:r>
              <w:rPr>
                <w:rFonts w:ascii="Times New Roman"/>
                <w:bCs/>
                <w:spacing w:val="-6"/>
                <w:sz w:val="21"/>
                <w:szCs w:val="21"/>
              </w:rPr>
              <w:t>危废</w:t>
            </w:r>
            <w:r>
              <w:rPr>
                <w:rFonts w:hint="eastAsia" w:ascii="Times New Roman"/>
                <w:bCs/>
                <w:spacing w:val="-6"/>
                <w:sz w:val="21"/>
                <w:szCs w:val="21"/>
              </w:rPr>
              <w:t>库</w:t>
            </w:r>
            <w:r>
              <w:rPr>
                <w:rFonts w:ascii="Times New Roman"/>
                <w:sz w:val="21"/>
                <w:szCs w:val="16"/>
              </w:rPr>
              <w:t>设置为重点防渗区，生产车间其他区域一般防渗，除绿化外其他全部区域设置为简单防渗</w:t>
            </w:r>
          </w:p>
        </w:tc>
        <w:tc>
          <w:tcPr>
            <w:tcW w:w="523" w:type="pct"/>
            <w:vAlign w:val="center"/>
          </w:tcPr>
          <w:p w14:paraId="2AD8E52B">
            <w:pPr>
              <w:spacing w:line="320" w:lineRule="exact"/>
              <w:jc w:val="center"/>
              <w:rPr>
                <w:rFonts w:ascii="Times New Roman"/>
                <w:sz w:val="21"/>
                <w:szCs w:val="21"/>
              </w:rPr>
            </w:pPr>
            <w:r>
              <w:rPr>
                <w:rFonts w:hint="eastAsia" w:ascii="Times New Roman"/>
                <w:sz w:val="21"/>
                <w:szCs w:val="21"/>
              </w:rPr>
              <w:t>50</w:t>
            </w:r>
          </w:p>
        </w:tc>
      </w:tr>
      <w:tr w14:paraId="6047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76" w:type="pct"/>
            <w:gridSpan w:val="4"/>
            <w:vAlign w:val="center"/>
          </w:tcPr>
          <w:p w14:paraId="4CEAFE59">
            <w:pPr>
              <w:spacing w:line="320" w:lineRule="exact"/>
              <w:jc w:val="center"/>
              <w:rPr>
                <w:rFonts w:ascii="Times New Roman"/>
                <w:sz w:val="21"/>
                <w:szCs w:val="21"/>
              </w:rPr>
            </w:pPr>
            <w:r>
              <w:rPr>
                <w:rFonts w:ascii="Times New Roman"/>
                <w:sz w:val="21"/>
                <w:szCs w:val="21"/>
              </w:rPr>
              <w:t>合计</w:t>
            </w:r>
          </w:p>
        </w:tc>
        <w:tc>
          <w:tcPr>
            <w:tcW w:w="523" w:type="pct"/>
            <w:vAlign w:val="center"/>
          </w:tcPr>
          <w:p w14:paraId="28D7B6CC">
            <w:pPr>
              <w:spacing w:line="320" w:lineRule="exact"/>
              <w:jc w:val="center"/>
              <w:rPr>
                <w:rFonts w:ascii="Times New Roman"/>
                <w:sz w:val="21"/>
                <w:szCs w:val="21"/>
              </w:rPr>
            </w:pPr>
            <w:r>
              <w:rPr>
                <w:rFonts w:hint="eastAsia" w:ascii="Times New Roman"/>
                <w:sz w:val="21"/>
                <w:szCs w:val="21"/>
              </w:rPr>
              <w:t>2000</w:t>
            </w:r>
          </w:p>
        </w:tc>
      </w:tr>
    </w:tbl>
    <w:p w14:paraId="76AFFF00">
      <w:pPr>
        <w:spacing w:line="480" w:lineRule="exact"/>
        <w:ind w:firstLine="480" w:firstLineChars="200"/>
        <w:rPr>
          <w:rFonts w:ascii="Times New Roman"/>
          <w:sz w:val="24"/>
          <w:szCs w:val="20"/>
        </w:rPr>
      </w:pPr>
      <w:r>
        <w:rPr>
          <w:rFonts w:ascii="Times New Roman"/>
          <w:sz w:val="24"/>
          <w:szCs w:val="20"/>
        </w:rPr>
        <w:t>（2）环保设施运行费用：环保设施经营支出包括环保设施折旧费、运行费和环保管理费。</w:t>
      </w:r>
    </w:p>
    <w:p w14:paraId="1D349D86">
      <w:pPr>
        <w:spacing w:line="440" w:lineRule="exact"/>
        <w:ind w:firstLine="480" w:firstLineChars="200"/>
        <w:rPr>
          <w:rFonts w:ascii="Times New Roman"/>
          <w:sz w:val="24"/>
          <w:szCs w:val="20"/>
        </w:rPr>
      </w:pPr>
      <w:r>
        <w:rPr>
          <w:rFonts w:ascii="Times New Roman"/>
          <w:sz w:val="24"/>
          <w:szCs w:val="20"/>
        </w:rPr>
        <w:t>①环保设施折旧费C</w:t>
      </w:r>
      <w:r>
        <w:rPr>
          <w:rFonts w:ascii="Times New Roman"/>
          <w:sz w:val="24"/>
          <w:szCs w:val="20"/>
          <w:vertAlign w:val="subscript"/>
        </w:rPr>
        <w:t>1</w:t>
      </w:r>
    </w:p>
    <w:p w14:paraId="267E0DD3">
      <w:pPr>
        <w:spacing w:line="440" w:lineRule="exact"/>
        <w:ind w:firstLine="1200" w:firstLineChars="500"/>
        <w:rPr>
          <w:rFonts w:ascii="Times New Roman"/>
          <w:sz w:val="24"/>
          <w:szCs w:val="20"/>
        </w:rPr>
      </w:pPr>
      <w:r>
        <w:rPr>
          <w:rFonts w:ascii="Times New Roman"/>
          <w:sz w:val="24"/>
          <w:szCs w:val="20"/>
        </w:rPr>
        <w:t>C</w:t>
      </w:r>
      <w:r>
        <w:rPr>
          <w:rFonts w:ascii="Times New Roman"/>
          <w:sz w:val="24"/>
          <w:szCs w:val="20"/>
          <w:vertAlign w:val="subscript"/>
        </w:rPr>
        <w:t>1</w:t>
      </w:r>
      <w:r>
        <w:rPr>
          <w:rFonts w:ascii="Times New Roman"/>
          <w:sz w:val="24"/>
          <w:szCs w:val="20"/>
        </w:rPr>
        <w:t>=a×C</w:t>
      </w:r>
      <w:r>
        <w:rPr>
          <w:rFonts w:ascii="Times New Roman"/>
          <w:sz w:val="24"/>
          <w:szCs w:val="20"/>
          <w:vertAlign w:val="subscript"/>
        </w:rPr>
        <w:t>0</w:t>
      </w:r>
      <w:r>
        <w:rPr>
          <w:rFonts w:ascii="Times New Roman"/>
          <w:sz w:val="24"/>
          <w:szCs w:val="20"/>
        </w:rPr>
        <w:t>/n</w:t>
      </w:r>
    </w:p>
    <w:p w14:paraId="0D9E4741">
      <w:pPr>
        <w:spacing w:line="440" w:lineRule="exact"/>
        <w:ind w:firstLine="480" w:firstLineChars="200"/>
        <w:rPr>
          <w:rFonts w:ascii="Times New Roman"/>
          <w:sz w:val="24"/>
          <w:szCs w:val="20"/>
        </w:rPr>
      </w:pPr>
      <w:r>
        <w:rPr>
          <w:rFonts w:ascii="Times New Roman"/>
          <w:sz w:val="24"/>
          <w:szCs w:val="20"/>
        </w:rPr>
        <w:t>式中：a—固定资产形成率，取95%；</w:t>
      </w:r>
    </w:p>
    <w:p w14:paraId="0DF80E97">
      <w:pPr>
        <w:spacing w:line="440" w:lineRule="exact"/>
        <w:ind w:left="1350" w:leftChars="540"/>
        <w:rPr>
          <w:rFonts w:ascii="Times New Roman"/>
          <w:sz w:val="24"/>
          <w:szCs w:val="20"/>
        </w:rPr>
      </w:pPr>
      <w:r>
        <w:rPr>
          <w:rFonts w:ascii="Times New Roman"/>
          <w:sz w:val="24"/>
          <w:szCs w:val="20"/>
        </w:rPr>
        <w:t>C</w:t>
      </w:r>
      <w:r>
        <w:rPr>
          <w:rFonts w:ascii="Times New Roman"/>
          <w:sz w:val="24"/>
          <w:szCs w:val="20"/>
          <w:vertAlign w:val="subscript"/>
        </w:rPr>
        <w:t>0</w:t>
      </w:r>
      <w:r>
        <w:rPr>
          <w:rFonts w:ascii="Times New Roman"/>
          <w:sz w:val="24"/>
          <w:szCs w:val="20"/>
        </w:rPr>
        <w:t>—环保总投资（万元）；</w:t>
      </w:r>
    </w:p>
    <w:p w14:paraId="6AD99AB2">
      <w:pPr>
        <w:spacing w:line="440" w:lineRule="exact"/>
        <w:ind w:left="1350" w:leftChars="540"/>
        <w:rPr>
          <w:rFonts w:ascii="Times New Roman"/>
          <w:sz w:val="24"/>
          <w:szCs w:val="20"/>
        </w:rPr>
      </w:pPr>
      <w:r>
        <w:rPr>
          <w:rFonts w:ascii="Times New Roman"/>
          <w:sz w:val="24"/>
          <w:szCs w:val="20"/>
        </w:rPr>
        <w:t>n—折旧年限，取10年；</w:t>
      </w:r>
    </w:p>
    <w:p w14:paraId="39852FEC">
      <w:pPr>
        <w:spacing w:line="440" w:lineRule="exact"/>
        <w:ind w:firstLine="480" w:firstLineChars="200"/>
        <w:rPr>
          <w:rFonts w:ascii="Times New Roman"/>
          <w:sz w:val="24"/>
          <w:szCs w:val="20"/>
        </w:rPr>
      </w:pPr>
      <w:r>
        <w:rPr>
          <w:rFonts w:ascii="Times New Roman"/>
          <w:sz w:val="24"/>
          <w:szCs w:val="20"/>
        </w:rPr>
        <w:t>②环保设施运行费C</w:t>
      </w:r>
      <w:r>
        <w:rPr>
          <w:rFonts w:ascii="Times New Roman"/>
          <w:sz w:val="24"/>
          <w:szCs w:val="20"/>
          <w:vertAlign w:val="subscript"/>
        </w:rPr>
        <w:t>2</w:t>
      </w:r>
    </w:p>
    <w:p w14:paraId="2698115F">
      <w:pPr>
        <w:spacing w:line="440" w:lineRule="exact"/>
        <w:ind w:firstLine="480" w:firstLineChars="200"/>
        <w:rPr>
          <w:rFonts w:ascii="Times New Roman"/>
          <w:sz w:val="24"/>
          <w:szCs w:val="20"/>
        </w:rPr>
      </w:pPr>
      <w:r>
        <w:rPr>
          <w:rFonts w:ascii="Times New Roman"/>
          <w:sz w:val="24"/>
          <w:szCs w:val="20"/>
        </w:rPr>
        <w:t>参照国内其它企业的有关资料，环保及综合利用设施的年运行费可按环保总投资的10%计算。</w:t>
      </w:r>
    </w:p>
    <w:p w14:paraId="6C8E24D4">
      <w:pPr>
        <w:spacing w:line="440" w:lineRule="exact"/>
        <w:ind w:left="839" w:firstLine="480" w:firstLineChars="200"/>
        <w:rPr>
          <w:rFonts w:ascii="Times New Roman"/>
          <w:sz w:val="24"/>
          <w:szCs w:val="20"/>
        </w:rPr>
      </w:pPr>
      <w:bookmarkStart w:id="216" w:name="_Toc389681335"/>
      <w:r>
        <w:rPr>
          <w:rFonts w:ascii="Times New Roman"/>
          <w:sz w:val="24"/>
          <w:szCs w:val="20"/>
        </w:rPr>
        <w:t>C</w:t>
      </w:r>
      <w:r>
        <w:rPr>
          <w:rFonts w:ascii="Times New Roman"/>
          <w:sz w:val="24"/>
          <w:szCs w:val="20"/>
          <w:vertAlign w:val="subscript"/>
        </w:rPr>
        <w:t>2</w:t>
      </w:r>
      <w:r>
        <w:rPr>
          <w:rFonts w:ascii="Times New Roman"/>
          <w:sz w:val="24"/>
          <w:szCs w:val="20"/>
        </w:rPr>
        <w:t>=C</w:t>
      </w:r>
      <w:r>
        <w:rPr>
          <w:rFonts w:ascii="Times New Roman"/>
          <w:sz w:val="24"/>
          <w:szCs w:val="20"/>
          <w:vertAlign w:val="subscript"/>
        </w:rPr>
        <w:t>0</w:t>
      </w:r>
      <w:r>
        <w:rPr>
          <w:rFonts w:ascii="Times New Roman"/>
          <w:sz w:val="24"/>
          <w:szCs w:val="20"/>
        </w:rPr>
        <w:t>×10%</w:t>
      </w:r>
      <w:bookmarkEnd w:id="216"/>
    </w:p>
    <w:p w14:paraId="24DD7065">
      <w:pPr>
        <w:spacing w:line="440" w:lineRule="exact"/>
        <w:ind w:firstLine="480" w:firstLineChars="200"/>
        <w:rPr>
          <w:rFonts w:ascii="Times New Roman"/>
          <w:sz w:val="24"/>
          <w:szCs w:val="20"/>
        </w:rPr>
      </w:pPr>
      <w:r>
        <w:rPr>
          <w:rFonts w:ascii="Times New Roman"/>
          <w:sz w:val="24"/>
          <w:szCs w:val="20"/>
        </w:rPr>
        <w:t>③管理费C</w:t>
      </w:r>
      <w:r>
        <w:rPr>
          <w:rFonts w:ascii="Times New Roman"/>
          <w:sz w:val="24"/>
          <w:szCs w:val="20"/>
          <w:vertAlign w:val="subscript"/>
        </w:rPr>
        <w:t>3</w:t>
      </w:r>
    </w:p>
    <w:p w14:paraId="4207FF83">
      <w:pPr>
        <w:spacing w:line="440" w:lineRule="exact"/>
        <w:ind w:left="839" w:firstLine="480" w:firstLineChars="200"/>
        <w:rPr>
          <w:rFonts w:ascii="Times New Roman"/>
          <w:sz w:val="24"/>
          <w:szCs w:val="20"/>
        </w:rPr>
      </w:pPr>
      <w:bookmarkStart w:id="217" w:name="_Toc389681336"/>
      <w:r>
        <w:rPr>
          <w:rFonts w:ascii="Times New Roman"/>
          <w:sz w:val="24"/>
          <w:szCs w:val="20"/>
        </w:rPr>
        <w:t>C</w:t>
      </w:r>
      <w:r>
        <w:rPr>
          <w:rFonts w:ascii="Times New Roman"/>
          <w:sz w:val="24"/>
          <w:szCs w:val="20"/>
          <w:vertAlign w:val="subscript"/>
        </w:rPr>
        <w:t>3</w:t>
      </w:r>
      <w:r>
        <w:rPr>
          <w:rFonts w:ascii="Times New Roman"/>
          <w:sz w:val="24"/>
          <w:szCs w:val="20"/>
        </w:rPr>
        <w:t>=（C</w:t>
      </w:r>
      <w:r>
        <w:rPr>
          <w:rFonts w:ascii="Times New Roman"/>
          <w:sz w:val="24"/>
          <w:szCs w:val="20"/>
          <w:vertAlign w:val="subscript"/>
        </w:rPr>
        <w:t>1</w:t>
      </w:r>
      <w:r>
        <w:rPr>
          <w:rFonts w:ascii="Times New Roman"/>
          <w:sz w:val="24"/>
          <w:szCs w:val="20"/>
        </w:rPr>
        <w:t>+C</w:t>
      </w:r>
      <w:r>
        <w:rPr>
          <w:rFonts w:ascii="Times New Roman"/>
          <w:sz w:val="24"/>
          <w:szCs w:val="20"/>
          <w:vertAlign w:val="subscript"/>
        </w:rPr>
        <w:t>2</w:t>
      </w:r>
      <w:r>
        <w:rPr>
          <w:rFonts w:ascii="Times New Roman"/>
          <w:sz w:val="24"/>
          <w:szCs w:val="20"/>
        </w:rPr>
        <w:t>）×15%</w:t>
      </w:r>
      <w:bookmarkEnd w:id="217"/>
    </w:p>
    <w:p w14:paraId="1682E677">
      <w:pPr>
        <w:spacing w:line="440" w:lineRule="exact"/>
        <w:ind w:firstLine="480" w:firstLineChars="200"/>
        <w:rPr>
          <w:rFonts w:ascii="Times New Roman"/>
          <w:sz w:val="24"/>
          <w:szCs w:val="20"/>
        </w:rPr>
      </w:pPr>
      <w:r>
        <w:rPr>
          <w:rFonts w:ascii="Times New Roman"/>
          <w:sz w:val="24"/>
          <w:szCs w:val="20"/>
        </w:rPr>
        <w:t>④环保设施经营支出C</w:t>
      </w:r>
    </w:p>
    <w:p w14:paraId="14A67EC2">
      <w:pPr>
        <w:spacing w:line="440" w:lineRule="exact"/>
        <w:ind w:firstLine="480" w:firstLineChars="200"/>
        <w:rPr>
          <w:rFonts w:ascii="Times New Roman"/>
          <w:sz w:val="24"/>
          <w:szCs w:val="20"/>
        </w:rPr>
      </w:pPr>
      <w:r>
        <w:rPr>
          <w:rFonts w:ascii="Times New Roman"/>
          <w:sz w:val="24"/>
          <w:szCs w:val="20"/>
        </w:rPr>
        <w:t>环保设施经营支出计算结果见表7.3-2。</w:t>
      </w:r>
    </w:p>
    <w:p w14:paraId="2ABD7A2F">
      <w:pPr>
        <w:spacing w:line="480" w:lineRule="exact"/>
        <w:jc w:val="center"/>
        <w:rPr>
          <w:rFonts w:ascii="Times New Roman"/>
          <w:b/>
          <w:sz w:val="24"/>
          <w:szCs w:val="24"/>
        </w:rPr>
      </w:pPr>
      <w:r>
        <w:rPr>
          <w:rFonts w:ascii="Times New Roman"/>
          <w:b/>
          <w:sz w:val="24"/>
          <w:szCs w:val="24"/>
        </w:rPr>
        <w:t>表7.3-2  环保设施经营支出费用一览表</w:t>
      </w:r>
    </w:p>
    <w:tbl>
      <w:tblPr>
        <w:tblStyle w:val="84"/>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968"/>
        <w:gridCol w:w="2755"/>
        <w:gridCol w:w="2804"/>
        <w:gridCol w:w="2001"/>
      </w:tblGrid>
      <w:tr w14:paraId="411409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568" w:type="pct"/>
            <w:vAlign w:val="center"/>
          </w:tcPr>
          <w:p w14:paraId="04299FED">
            <w:pPr>
              <w:jc w:val="center"/>
              <w:rPr>
                <w:rFonts w:ascii="Times New Roman"/>
                <w:sz w:val="21"/>
                <w:szCs w:val="21"/>
              </w:rPr>
            </w:pPr>
            <w:r>
              <w:rPr>
                <w:rFonts w:ascii="Times New Roman"/>
                <w:sz w:val="21"/>
                <w:szCs w:val="21"/>
              </w:rPr>
              <w:t>序号</w:t>
            </w:r>
          </w:p>
        </w:tc>
        <w:tc>
          <w:tcPr>
            <w:tcW w:w="1615" w:type="pct"/>
            <w:vAlign w:val="center"/>
          </w:tcPr>
          <w:p w14:paraId="06C7ADC3">
            <w:pPr>
              <w:jc w:val="center"/>
              <w:rPr>
                <w:rFonts w:ascii="Times New Roman"/>
                <w:sz w:val="21"/>
                <w:szCs w:val="21"/>
              </w:rPr>
            </w:pPr>
            <w:r>
              <w:rPr>
                <w:rFonts w:ascii="Times New Roman"/>
                <w:sz w:val="21"/>
                <w:szCs w:val="21"/>
              </w:rPr>
              <w:t>项目</w:t>
            </w:r>
          </w:p>
        </w:tc>
        <w:tc>
          <w:tcPr>
            <w:tcW w:w="1644" w:type="pct"/>
            <w:vAlign w:val="center"/>
          </w:tcPr>
          <w:p w14:paraId="7DA206EC">
            <w:pPr>
              <w:jc w:val="center"/>
              <w:rPr>
                <w:rFonts w:ascii="Times New Roman"/>
                <w:sz w:val="21"/>
                <w:szCs w:val="21"/>
              </w:rPr>
            </w:pPr>
            <w:r>
              <w:rPr>
                <w:rFonts w:ascii="Times New Roman"/>
                <w:sz w:val="21"/>
                <w:szCs w:val="21"/>
              </w:rPr>
              <w:t>计算方法</w:t>
            </w:r>
          </w:p>
        </w:tc>
        <w:tc>
          <w:tcPr>
            <w:tcW w:w="1173" w:type="pct"/>
            <w:vAlign w:val="center"/>
          </w:tcPr>
          <w:p w14:paraId="0885718D">
            <w:pPr>
              <w:jc w:val="center"/>
              <w:rPr>
                <w:rFonts w:ascii="Times New Roman"/>
                <w:sz w:val="21"/>
                <w:szCs w:val="21"/>
              </w:rPr>
            </w:pPr>
            <w:r>
              <w:rPr>
                <w:rFonts w:ascii="Times New Roman"/>
                <w:sz w:val="21"/>
                <w:szCs w:val="21"/>
              </w:rPr>
              <w:t>费用（万元）</w:t>
            </w:r>
          </w:p>
        </w:tc>
      </w:tr>
      <w:tr w14:paraId="0908B3B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568" w:type="pct"/>
            <w:vAlign w:val="center"/>
          </w:tcPr>
          <w:p w14:paraId="327D7534">
            <w:pPr>
              <w:jc w:val="center"/>
              <w:rPr>
                <w:rFonts w:ascii="Times New Roman"/>
                <w:sz w:val="21"/>
                <w:szCs w:val="21"/>
              </w:rPr>
            </w:pPr>
            <w:r>
              <w:rPr>
                <w:rFonts w:ascii="Times New Roman"/>
                <w:sz w:val="21"/>
                <w:szCs w:val="21"/>
              </w:rPr>
              <w:t>1</w:t>
            </w:r>
          </w:p>
        </w:tc>
        <w:tc>
          <w:tcPr>
            <w:tcW w:w="1615" w:type="pct"/>
            <w:vAlign w:val="center"/>
          </w:tcPr>
          <w:p w14:paraId="506229D1">
            <w:pPr>
              <w:jc w:val="center"/>
              <w:rPr>
                <w:rFonts w:ascii="Times New Roman"/>
                <w:sz w:val="21"/>
                <w:szCs w:val="21"/>
              </w:rPr>
            </w:pPr>
            <w:r>
              <w:rPr>
                <w:rFonts w:ascii="Times New Roman"/>
                <w:sz w:val="21"/>
                <w:szCs w:val="21"/>
              </w:rPr>
              <w:t>环保设施折旧费C</w:t>
            </w:r>
            <w:r>
              <w:rPr>
                <w:rFonts w:ascii="Times New Roman"/>
                <w:sz w:val="21"/>
                <w:szCs w:val="21"/>
                <w:vertAlign w:val="subscript"/>
              </w:rPr>
              <w:t>1</w:t>
            </w:r>
          </w:p>
        </w:tc>
        <w:tc>
          <w:tcPr>
            <w:tcW w:w="1644" w:type="pct"/>
            <w:vAlign w:val="center"/>
          </w:tcPr>
          <w:p w14:paraId="46CD288A">
            <w:pPr>
              <w:jc w:val="center"/>
              <w:rPr>
                <w:rFonts w:ascii="Times New Roman"/>
                <w:sz w:val="21"/>
                <w:szCs w:val="21"/>
              </w:rPr>
            </w:pPr>
            <w:r>
              <w:rPr>
                <w:rFonts w:ascii="Times New Roman"/>
                <w:sz w:val="21"/>
                <w:szCs w:val="21"/>
              </w:rPr>
              <w:t>C</w:t>
            </w:r>
            <w:r>
              <w:rPr>
                <w:rFonts w:ascii="Times New Roman"/>
                <w:sz w:val="21"/>
                <w:szCs w:val="21"/>
                <w:vertAlign w:val="subscript"/>
              </w:rPr>
              <w:t>1</w:t>
            </w:r>
            <w:r>
              <w:rPr>
                <w:rFonts w:ascii="Times New Roman"/>
                <w:sz w:val="21"/>
                <w:szCs w:val="21"/>
              </w:rPr>
              <w:t>=a×C</w:t>
            </w:r>
            <w:r>
              <w:rPr>
                <w:rFonts w:ascii="Times New Roman"/>
                <w:sz w:val="21"/>
                <w:szCs w:val="21"/>
                <w:vertAlign w:val="subscript"/>
              </w:rPr>
              <w:t>0</w:t>
            </w:r>
            <w:r>
              <w:rPr>
                <w:rFonts w:ascii="Times New Roman"/>
                <w:sz w:val="21"/>
                <w:szCs w:val="21"/>
              </w:rPr>
              <w:t>/n</w:t>
            </w:r>
          </w:p>
        </w:tc>
        <w:tc>
          <w:tcPr>
            <w:tcW w:w="1173" w:type="pct"/>
            <w:vAlign w:val="center"/>
          </w:tcPr>
          <w:p w14:paraId="4EA1CB3D">
            <w:pPr>
              <w:jc w:val="center"/>
              <w:rPr>
                <w:rFonts w:ascii="Times New Roman"/>
                <w:sz w:val="21"/>
                <w:szCs w:val="21"/>
              </w:rPr>
            </w:pPr>
            <w:r>
              <w:rPr>
                <w:rFonts w:hint="eastAsia" w:ascii="Times New Roman"/>
                <w:sz w:val="21"/>
                <w:szCs w:val="21"/>
              </w:rPr>
              <w:t>190</w:t>
            </w:r>
          </w:p>
        </w:tc>
      </w:tr>
      <w:tr w14:paraId="0A94151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568" w:type="pct"/>
            <w:vAlign w:val="center"/>
          </w:tcPr>
          <w:p w14:paraId="569E0F6D">
            <w:pPr>
              <w:jc w:val="center"/>
              <w:rPr>
                <w:rFonts w:ascii="Times New Roman"/>
                <w:sz w:val="21"/>
                <w:szCs w:val="21"/>
              </w:rPr>
            </w:pPr>
            <w:r>
              <w:rPr>
                <w:rFonts w:ascii="Times New Roman"/>
                <w:sz w:val="21"/>
                <w:szCs w:val="21"/>
              </w:rPr>
              <w:t>2</w:t>
            </w:r>
          </w:p>
        </w:tc>
        <w:tc>
          <w:tcPr>
            <w:tcW w:w="1615" w:type="pct"/>
            <w:vAlign w:val="center"/>
          </w:tcPr>
          <w:p w14:paraId="6F3DAA42">
            <w:pPr>
              <w:jc w:val="center"/>
              <w:rPr>
                <w:rFonts w:ascii="Times New Roman"/>
                <w:sz w:val="21"/>
                <w:szCs w:val="21"/>
              </w:rPr>
            </w:pPr>
            <w:r>
              <w:rPr>
                <w:rFonts w:ascii="Times New Roman"/>
                <w:sz w:val="21"/>
                <w:szCs w:val="21"/>
              </w:rPr>
              <w:t>环保设施运行费C</w:t>
            </w:r>
            <w:r>
              <w:rPr>
                <w:rFonts w:ascii="Times New Roman"/>
                <w:sz w:val="21"/>
                <w:szCs w:val="21"/>
                <w:vertAlign w:val="subscript"/>
              </w:rPr>
              <w:t>2</w:t>
            </w:r>
          </w:p>
        </w:tc>
        <w:tc>
          <w:tcPr>
            <w:tcW w:w="1644" w:type="pct"/>
            <w:vAlign w:val="center"/>
          </w:tcPr>
          <w:p w14:paraId="3ADEC4D7">
            <w:pPr>
              <w:jc w:val="center"/>
              <w:rPr>
                <w:rFonts w:ascii="Times New Roman"/>
                <w:sz w:val="21"/>
                <w:szCs w:val="21"/>
              </w:rPr>
            </w:pPr>
            <w:r>
              <w:rPr>
                <w:rFonts w:ascii="Times New Roman"/>
                <w:sz w:val="21"/>
                <w:szCs w:val="21"/>
              </w:rPr>
              <w:t>C</w:t>
            </w:r>
            <w:r>
              <w:rPr>
                <w:rFonts w:ascii="Times New Roman"/>
                <w:sz w:val="21"/>
                <w:szCs w:val="21"/>
                <w:vertAlign w:val="subscript"/>
              </w:rPr>
              <w:t>2</w:t>
            </w:r>
            <w:r>
              <w:rPr>
                <w:rFonts w:ascii="Times New Roman"/>
                <w:sz w:val="21"/>
                <w:szCs w:val="21"/>
              </w:rPr>
              <w:t>=C</w:t>
            </w:r>
            <w:r>
              <w:rPr>
                <w:rFonts w:ascii="Times New Roman"/>
                <w:sz w:val="21"/>
                <w:szCs w:val="21"/>
                <w:vertAlign w:val="subscript"/>
              </w:rPr>
              <w:t>0</w:t>
            </w:r>
            <w:r>
              <w:rPr>
                <w:rFonts w:ascii="Times New Roman"/>
                <w:sz w:val="21"/>
                <w:szCs w:val="21"/>
              </w:rPr>
              <w:t>×10%</w:t>
            </w:r>
          </w:p>
        </w:tc>
        <w:tc>
          <w:tcPr>
            <w:tcW w:w="1173" w:type="pct"/>
            <w:vAlign w:val="center"/>
          </w:tcPr>
          <w:p w14:paraId="025011B7">
            <w:pPr>
              <w:jc w:val="center"/>
              <w:rPr>
                <w:rFonts w:ascii="Times New Roman"/>
                <w:sz w:val="21"/>
                <w:szCs w:val="21"/>
              </w:rPr>
            </w:pPr>
            <w:r>
              <w:rPr>
                <w:rFonts w:hint="eastAsia" w:ascii="Times New Roman"/>
                <w:sz w:val="21"/>
                <w:szCs w:val="21"/>
              </w:rPr>
              <w:t>200</w:t>
            </w:r>
          </w:p>
        </w:tc>
      </w:tr>
      <w:tr w14:paraId="580C16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568" w:type="pct"/>
            <w:vAlign w:val="center"/>
          </w:tcPr>
          <w:p w14:paraId="1FC2B12B">
            <w:pPr>
              <w:jc w:val="center"/>
              <w:rPr>
                <w:rFonts w:ascii="Times New Roman"/>
                <w:sz w:val="21"/>
                <w:szCs w:val="21"/>
              </w:rPr>
            </w:pPr>
            <w:r>
              <w:rPr>
                <w:rFonts w:ascii="Times New Roman"/>
                <w:sz w:val="21"/>
                <w:szCs w:val="21"/>
              </w:rPr>
              <w:t>3</w:t>
            </w:r>
          </w:p>
        </w:tc>
        <w:tc>
          <w:tcPr>
            <w:tcW w:w="1615" w:type="pct"/>
            <w:vAlign w:val="center"/>
          </w:tcPr>
          <w:p w14:paraId="2DC7F7A7">
            <w:pPr>
              <w:jc w:val="center"/>
              <w:rPr>
                <w:rFonts w:ascii="Times New Roman"/>
                <w:sz w:val="21"/>
                <w:szCs w:val="21"/>
              </w:rPr>
            </w:pPr>
            <w:r>
              <w:rPr>
                <w:rFonts w:ascii="Times New Roman"/>
                <w:sz w:val="21"/>
                <w:szCs w:val="21"/>
              </w:rPr>
              <w:t>环保管理费用C</w:t>
            </w:r>
            <w:r>
              <w:rPr>
                <w:rFonts w:ascii="Times New Roman"/>
                <w:sz w:val="21"/>
                <w:szCs w:val="21"/>
                <w:vertAlign w:val="subscript"/>
              </w:rPr>
              <w:t>3</w:t>
            </w:r>
          </w:p>
        </w:tc>
        <w:tc>
          <w:tcPr>
            <w:tcW w:w="1644" w:type="pct"/>
            <w:vAlign w:val="center"/>
          </w:tcPr>
          <w:p w14:paraId="77214E43">
            <w:pPr>
              <w:jc w:val="center"/>
              <w:rPr>
                <w:rFonts w:ascii="Times New Roman"/>
                <w:sz w:val="21"/>
                <w:szCs w:val="21"/>
              </w:rPr>
            </w:pPr>
            <w:r>
              <w:rPr>
                <w:rFonts w:ascii="Times New Roman"/>
                <w:sz w:val="21"/>
                <w:szCs w:val="21"/>
              </w:rPr>
              <w:t>C</w:t>
            </w:r>
            <w:r>
              <w:rPr>
                <w:rFonts w:ascii="Times New Roman"/>
                <w:sz w:val="21"/>
                <w:szCs w:val="21"/>
                <w:vertAlign w:val="subscript"/>
              </w:rPr>
              <w:t>3</w:t>
            </w:r>
            <w:r>
              <w:rPr>
                <w:rFonts w:ascii="Times New Roman"/>
                <w:sz w:val="21"/>
                <w:szCs w:val="21"/>
              </w:rPr>
              <w:t>=（C</w:t>
            </w:r>
            <w:r>
              <w:rPr>
                <w:rFonts w:ascii="Times New Roman"/>
                <w:sz w:val="21"/>
                <w:szCs w:val="21"/>
                <w:vertAlign w:val="subscript"/>
              </w:rPr>
              <w:t>1</w:t>
            </w:r>
            <w:r>
              <w:rPr>
                <w:rFonts w:ascii="Times New Roman"/>
                <w:sz w:val="21"/>
                <w:szCs w:val="21"/>
              </w:rPr>
              <w:t>+C</w:t>
            </w:r>
            <w:r>
              <w:rPr>
                <w:rFonts w:ascii="Times New Roman"/>
                <w:sz w:val="21"/>
                <w:szCs w:val="21"/>
                <w:vertAlign w:val="subscript"/>
              </w:rPr>
              <w:t>2</w:t>
            </w:r>
            <w:r>
              <w:rPr>
                <w:rFonts w:ascii="Times New Roman"/>
                <w:sz w:val="21"/>
                <w:szCs w:val="21"/>
              </w:rPr>
              <w:t>）×15%</w:t>
            </w:r>
          </w:p>
        </w:tc>
        <w:tc>
          <w:tcPr>
            <w:tcW w:w="1173" w:type="pct"/>
            <w:vAlign w:val="center"/>
          </w:tcPr>
          <w:p w14:paraId="6C985C7E">
            <w:pPr>
              <w:jc w:val="center"/>
              <w:rPr>
                <w:rFonts w:ascii="Times New Roman"/>
                <w:sz w:val="21"/>
                <w:szCs w:val="21"/>
              </w:rPr>
            </w:pPr>
            <w:r>
              <w:rPr>
                <w:rFonts w:hint="eastAsia" w:ascii="Times New Roman"/>
                <w:sz w:val="21"/>
                <w:szCs w:val="21"/>
              </w:rPr>
              <w:t>58.5</w:t>
            </w:r>
          </w:p>
        </w:tc>
      </w:tr>
      <w:tr w14:paraId="411B31A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568" w:type="pct"/>
            <w:vAlign w:val="center"/>
          </w:tcPr>
          <w:p w14:paraId="7370B455">
            <w:pPr>
              <w:jc w:val="center"/>
              <w:rPr>
                <w:rFonts w:ascii="Times New Roman"/>
                <w:sz w:val="21"/>
                <w:szCs w:val="21"/>
              </w:rPr>
            </w:pPr>
            <w:r>
              <w:rPr>
                <w:rFonts w:ascii="Times New Roman"/>
                <w:sz w:val="21"/>
                <w:szCs w:val="21"/>
              </w:rPr>
              <w:t>4</w:t>
            </w:r>
          </w:p>
        </w:tc>
        <w:tc>
          <w:tcPr>
            <w:tcW w:w="1615" w:type="pct"/>
            <w:vAlign w:val="center"/>
          </w:tcPr>
          <w:p w14:paraId="6B1AC0AB">
            <w:pPr>
              <w:jc w:val="center"/>
              <w:rPr>
                <w:rFonts w:ascii="Times New Roman"/>
                <w:sz w:val="21"/>
                <w:szCs w:val="21"/>
              </w:rPr>
            </w:pPr>
            <w:r>
              <w:rPr>
                <w:rFonts w:ascii="Times New Roman"/>
                <w:sz w:val="21"/>
                <w:szCs w:val="21"/>
              </w:rPr>
              <w:t>环保设施经营支出C</w:t>
            </w:r>
          </w:p>
        </w:tc>
        <w:tc>
          <w:tcPr>
            <w:tcW w:w="1644" w:type="pct"/>
            <w:vAlign w:val="center"/>
          </w:tcPr>
          <w:p w14:paraId="70F3D598">
            <w:pPr>
              <w:jc w:val="center"/>
              <w:rPr>
                <w:rFonts w:ascii="Times New Roman"/>
                <w:sz w:val="21"/>
                <w:szCs w:val="21"/>
              </w:rPr>
            </w:pPr>
            <w:r>
              <w:rPr>
                <w:rFonts w:ascii="Times New Roman"/>
                <w:sz w:val="21"/>
                <w:szCs w:val="21"/>
              </w:rPr>
              <w:t>C=C</w:t>
            </w:r>
            <w:r>
              <w:rPr>
                <w:rFonts w:ascii="Times New Roman"/>
                <w:sz w:val="21"/>
                <w:szCs w:val="21"/>
                <w:vertAlign w:val="subscript"/>
              </w:rPr>
              <w:t>1</w:t>
            </w:r>
            <w:r>
              <w:rPr>
                <w:rFonts w:ascii="Times New Roman"/>
                <w:sz w:val="21"/>
                <w:szCs w:val="21"/>
              </w:rPr>
              <w:t>+C</w:t>
            </w:r>
            <w:r>
              <w:rPr>
                <w:rFonts w:ascii="Times New Roman"/>
                <w:sz w:val="21"/>
                <w:szCs w:val="21"/>
                <w:vertAlign w:val="subscript"/>
              </w:rPr>
              <w:t>2</w:t>
            </w:r>
            <w:r>
              <w:rPr>
                <w:rFonts w:ascii="Times New Roman"/>
                <w:sz w:val="21"/>
                <w:szCs w:val="21"/>
              </w:rPr>
              <w:t>+C</w:t>
            </w:r>
            <w:r>
              <w:rPr>
                <w:rFonts w:ascii="Times New Roman"/>
                <w:sz w:val="21"/>
                <w:szCs w:val="21"/>
                <w:vertAlign w:val="subscript"/>
              </w:rPr>
              <w:t>3</w:t>
            </w:r>
          </w:p>
        </w:tc>
        <w:tc>
          <w:tcPr>
            <w:tcW w:w="1173" w:type="pct"/>
            <w:vAlign w:val="center"/>
          </w:tcPr>
          <w:p w14:paraId="0BCEF4F2">
            <w:pPr>
              <w:jc w:val="center"/>
              <w:rPr>
                <w:rFonts w:ascii="Times New Roman"/>
                <w:sz w:val="21"/>
                <w:szCs w:val="21"/>
              </w:rPr>
            </w:pPr>
            <w:r>
              <w:rPr>
                <w:rFonts w:hint="eastAsia" w:ascii="Times New Roman"/>
                <w:sz w:val="21"/>
                <w:szCs w:val="21"/>
              </w:rPr>
              <w:t>448.5</w:t>
            </w:r>
          </w:p>
        </w:tc>
      </w:tr>
    </w:tbl>
    <w:p w14:paraId="4F42ABC9">
      <w:pPr>
        <w:spacing w:line="480" w:lineRule="exact"/>
        <w:ind w:firstLine="480" w:firstLineChars="200"/>
        <w:rPr>
          <w:rFonts w:ascii="Times New Roman"/>
          <w:sz w:val="24"/>
          <w:szCs w:val="20"/>
        </w:rPr>
      </w:pPr>
      <w:r>
        <w:rPr>
          <w:rFonts w:ascii="Times New Roman"/>
          <w:sz w:val="24"/>
          <w:szCs w:val="20"/>
        </w:rPr>
        <w:t>（3）环保投资效益分析</w:t>
      </w:r>
    </w:p>
    <w:p w14:paraId="6A501B4E">
      <w:pPr>
        <w:spacing w:line="480" w:lineRule="exact"/>
        <w:ind w:firstLine="480" w:firstLineChars="200"/>
        <w:rPr>
          <w:rFonts w:ascii="Times New Roman"/>
          <w:sz w:val="24"/>
          <w:szCs w:val="20"/>
        </w:rPr>
      </w:pPr>
      <w:r>
        <w:rPr>
          <w:rFonts w:ascii="Times New Roman"/>
          <w:sz w:val="24"/>
          <w:szCs w:val="20"/>
        </w:rPr>
        <w:t>项目投产后所带来的税后利润总额约</w:t>
      </w:r>
      <w:r>
        <w:rPr>
          <w:rFonts w:hint="eastAsia" w:ascii="Times New Roman"/>
          <w:sz w:val="24"/>
          <w:szCs w:val="20"/>
        </w:rPr>
        <w:t>32189万元</w:t>
      </w:r>
      <w:r>
        <w:rPr>
          <w:rFonts w:ascii="Times New Roman"/>
          <w:sz w:val="24"/>
          <w:szCs w:val="20"/>
        </w:rPr>
        <w:t>/年，环保设施经营支出</w:t>
      </w:r>
      <w:r>
        <w:rPr>
          <w:rFonts w:hint="eastAsia" w:ascii="Times New Roman"/>
          <w:sz w:val="24"/>
          <w:szCs w:val="20"/>
        </w:rPr>
        <w:t>448.5</w:t>
      </w:r>
      <w:r>
        <w:rPr>
          <w:rFonts w:ascii="Times New Roman"/>
          <w:sz w:val="24"/>
          <w:szCs w:val="20"/>
        </w:rPr>
        <w:t>万元，污染治理运行费用占年利润总额的</w:t>
      </w:r>
      <w:r>
        <w:rPr>
          <w:rFonts w:hint="eastAsia" w:ascii="Times New Roman"/>
          <w:sz w:val="24"/>
          <w:szCs w:val="20"/>
        </w:rPr>
        <w:t>1.4</w:t>
      </w:r>
      <w:r>
        <w:rPr>
          <w:rFonts w:ascii="Times New Roman"/>
          <w:sz w:val="24"/>
          <w:szCs w:val="20"/>
        </w:rPr>
        <w:t>%，本项目完全有能力承担污染治理及环保设施的日常运行费用，且环保设施的运行将取得较好的环境效益。综上所述，本工程的实施具有良好的社会效益、经济效益和环境效益。</w:t>
      </w:r>
    </w:p>
    <w:p w14:paraId="6177504A">
      <w:pPr>
        <w:widowControl/>
        <w:spacing w:line="480" w:lineRule="exact"/>
        <w:jc w:val="left"/>
        <w:outlineLvl w:val="1"/>
        <w:rPr>
          <w:rFonts w:ascii="Times New Roman"/>
          <w:b/>
          <w:sz w:val="30"/>
          <w:szCs w:val="30"/>
        </w:rPr>
      </w:pPr>
      <w:bookmarkStart w:id="218" w:name="_Toc1909"/>
      <w:bookmarkStart w:id="219" w:name="_Toc4319"/>
      <w:bookmarkStart w:id="220" w:name="_Toc390963225"/>
      <w:bookmarkStart w:id="221" w:name="_Toc460255672"/>
      <w:bookmarkStart w:id="222" w:name="_Toc448899562"/>
      <w:bookmarkStart w:id="223" w:name="_Toc246763574"/>
      <w:r>
        <w:rPr>
          <w:rFonts w:ascii="Times New Roman"/>
          <w:b/>
          <w:sz w:val="30"/>
          <w:szCs w:val="30"/>
        </w:rPr>
        <w:t>7.4环境效益分析</w:t>
      </w:r>
      <w:bookmarkEnd w:id="218"/>
      <w:bookmarkEnd w:id="219"/>
      <w:bookmarkEnd w:id="220"/>
      <w:bookmarkEnd w:id="221"/>
      <w:bookmarkEnd w:id="222"/>
      <w:bookmarkEnd w:id="223"/>
    </w:p>
    <w:p w14:paraId="2D93F5BA">
      <w:pPr>
        <w:spacing w:line="480" w:lineRule="exact"/>
        <w:ind w:firstLine="480" w:firstLineChars="200"/>
        <w:rPr>
          <w:rFonts w:ascii="Times New Roman"/>
          <w:sz w:val="24"/>
        </w:rPr>
      </w:pPr>
      <w:bookmarkStart w:id="224" w:name="_Toc390963226"/>
      <w:bookmarkStart w:id="225" w:name="_Toc246763575"/>
      <w:r>
        <w:rPr>
          <w:rFonts w:ascii="Times New Roman"/>
          <w:sz w:val="24"/>
        </w:rPr>
        <w:t>该项目环保设施的建设虽然在经济效益上体现为负效益，会造成生产成本的增加，但该项目环保设备的运行不会影响企业产品的市场竞争力，企业有维护其正常运行的能力，而且环保设施的具有非常显著的社会效益和环境效益。排污单位必须负担相应的环保支出。</w:t>
      </w:r>
    </w:p>
    <w:bookmarkEnd w:id="224"/>
    <w:bookmarkEnd w:id="225"/>
    <w:p w14:paraId="17D69595">
      <w:pPr>
        <w:widowControl/>
        <w:spacing w:line="480" w:lineRule="exact"/>
        <w:jc w:val="left"/>
        <w:outlineLvl w:val="1"/>
        <w:rPr>
          <w:rFonts w:ascii="Times New Roman"/>
          <w:b/>
          <w:sz w:val="30"/>
          <w:szCs w:val="30"/>
        </w:rPr>
      </w:pPr>
      <w:bookmarkStart w:id="226" w:name="_Toc9366"/>
      <w:bookmarkStart w:id="227" w:name="_Toc7120"/>
      <w:bookmarkStart w:id="228" w:name="_Toc390963227"/>
      <w:bookmarkStart w:id="229" w:name="_Toc448899563"/>
      <w:bookmarkStart w:id="230" w:name="_Toc460255673"/>
      <w:r>
        <w:rPr>
          <w:rFonts w:ascii="Times New Roman"/>
          <w:b/>
          <w:sz w:val="30"/>
          <w:szCs w:val="30"/>
        </w:rPr>
        <w:t>7.5结论</w:t>
      </w:r>
      <w:bookmarkEnd w:id="226"/>
      <w:bookmarkEnd w:id="227"/>
      <w:bookmarkEnd w:id="228"/>
      <w:bookmarkEnd w:id="229"/>
      <w:bookmarkEnd w:id="230"/>
    </w:p>
    <w:p w14:paraId="2A243FDC">
      <w:pPr>
        <w:spacing w:line="460" w:lineRule="exact"/>
        <w:ind w:firstLine="480" w:firstLineChars="200"/>
        <w:rPr>
          <w:rFonts w:ascii="Times New Roman"/>
          <w:sz w:val="24"/>
          <w:szCs w:val="20"/>
        </w:rPr>
      </w:pPr>
      <w:r>
        <w:rPr>
          <w:rFonts w:ascii="Times New Roman"/>
          <w:sz w:val="24"/>
          <w:szCs w:val="20"/>
        </w:rPr>
        <w:t>综上所述，本项目具有较好的经济效益和社会效益。同时，工程在采取完善的环保治理措施后，亦不会对当地环境产生明显影响，可以做到环境效益、经济效益和社会效益的协调发展。</w:t>
      </w:r>
    </w:p>
    <w:p w14:paraId="7ABF0254">
      <w:pPr>
        <w:spacing w:line="500" w:lineRule="exact"/>
        <w:ind w:firstLine="480" w:firstLineChars="200"/>
        <w:rPr>
          <w:rFonts w:ascii="Times New Roman"/>
          <w:sz w:val="24"/>
          <w:szCs w:val="20"/>
        </w:rPr>
        <w:sectPr>
          <w:pgSz w:w="11906" w:h="16838"/>
          <w:pgMar w:top="1440" w:right="1797" w:bottom="1440" w:left="1797" w:header="1134" w:footer="1134" w:gutter="0"/>
          <w:cols w:space="720" w:num="1"/>
          <w:docGrid w:linePitch="340" w:charSpace="0"/>
        </w:sectPr>
      </w:pPr>
    </w:p>
    <w:p w14:paraId="05E1AA3F">
      <w:pPr>
        <w:spacing w:line="360" w:lineRule="auto"/>
        <w:outlineLvl w:val="0"/>
        <w:rPr>
          <w:rFonts w:ascii="Times New Roman"/>
          <w:b/>
          <w:sz w:val="32"/>
          <w:szCs w:val="32"/>
        </w:rPr>
      </w:pPr>
      <w:bookmarkStart w:id="231" w:name="_Toc19160"/>
      <w:r>
        <w:rPr>
          <w:rFonts w:ascii="Times New Roman"/>
          <w:b/>
          <w:sz w:val="32"/>
          <w:szCs w:val="32"/>
        </w:rPr>
        <w:t>8环境管理与监测计划</w:t>
      </w:r>
      <w:bookmarkEnd w:id="231"/>
    </w:p>
    <w:p w14:paraId="7F84BF20">
      <w:pPr>
        <w:spacing w:line="360" w:lineRule="auto"/>
        <w:ind w:firstLine="480" w:firstLineChars="200"/>
        <w:rPr>
          <w:rFonts w:ascii="Times New Roman"/>
          <w:kern w:val="0"/>
          <w:sz w:val="24"/>
          <w:szCs w:val="20"/>
        </w:rPr>
      </w:pPr>
      <w:bookmarkStart w:id="232" w:name="_Toc161056745"/>
      <w:bookmarkStart w:id="233" w:name="_Toc162858756"/>
      <w:bookmarkStart w:id="234" w:name="_Toc164000636"/>
      <w:bookmarkStart w:id="235" w:name="_Toc162858938"/>
      <w:bookmarkStart w:id="236" w:name="_Toc250734531"/>
      <w:bookmarkStart w:id="237" w:name="_Toc162857337"/>
      <w:bookmarkStart w:id="238" w:name="_Toc3353"/>
      <w:bookmarkStart w:id="239" w:name="_Toc181015507"/>
      <w:bookmarkStart w:id="240" w:name="_Toc182638522"/>
      <w:bookmarkStart w:id="241" w:name="_Toc215548936"/>
      <w:bookmarkStart w:id="242" w:name="_Toc160508035"/>
      <w:bookmarkStart w:id="243" w:name="_Toc160615899"/>
      <w:bookmarkStart w:id="244" w:name="_Toc162864545"/>
      <w:bookmarkStart w:id="245" w:name="_Toc162859024"/>
      <w:bookmarkStart w:id="246" w:name="_Toc485999677"/>
      <w:bookmarkStart w:id="247" w:name="_Toc180808321"/>
      <w:bookmarkStart w:id="248" w:name="_Toc160145978"/>
      <w:bookmarkStart w:id="249" w:name="_Toc289868677"/>
      <w:bookmarkStart w:id="250" w:name="_Toc446509397"/>
      <w:bookmarkStart w:id="251" w:name="_Toc181686489"/>
      <w:bookmarkStart w:id="252" w:name="_Toc418174973"/>
      <w:bookmarkStart w:id="253" w:name="_Toc246763580"/>
      <w:bookmarkStart w:id="254" w:name="_Toc390963232"/>
      <w:r>
        <w:rPr>
          <w:rFonts w:ascii="Times New Roman"/>
          <w:kern w:val="0"/>
          <w:sz w:val="24"/>
          <w:szCs w:val="20"/>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与监测实施计划。</w:t>
      </w:r>
    </w:p>
    <w:p w14:paraId="7CF727B1">
      <w:pPr>
        <w:widowControl/>
        <w:spacing w:line="360" w:lineRule="auto"/>
        <w:jc w:val="left"/>
        <w:outlineLvl w:val="1"/>
        <w:rPr>
          <w:rFonts w:ascii="Times New Roman"/>
          <w:b/>
          <w:sz w:val="30"/>
          <w:szCs w:val="30"/>
        </w:rPr>
      </w:pPr>
      <w:bookmarkStart w:id="255" w:name="_Toc24466"/>
      <w:bookmarkStart w:id="256" w:name="_Toc499746249"/>
      <w:bookmarkStart w:id="257" w:name="_Toc18226"/>
      <w:r>
        <w:rPr>
          <w:rFonts w:ascii="Times New Roman"/>
          <w:b/>
          <w:sz w:val="30"/>
          <w:szCs w:val="30"/>
        </w:rPr>
        <w:t>8.1环境保护管理</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5"/>
      <w:bookmarkEnd w:id="256"/>
      <w:bookmarkEnd w:id="257"/>
    </w:p>
    <w:p w14:paraId="049894E3">
      <w:pPr>
        <w:spacing w:line="360" w:lineRule="auto"/>
        <w:ind w:firstLine="480" w:firstLineChars="200"/>
        <w:rPr>
          <w:rFonts w:ascii="Times New Roman"/>
          <w:sz w:val="24"/>
          <w:szCs w:val="20"/>
        </w:rPr>
      </w:pPr>
      <w:r>
        <w:rPr>
          <w:rFonts w:ascii="Times New Roman"/>
          <w:sz w:val="24"/>
          <w:szCs w:val="20"/>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14:paraId="3CEFAD86">
      <w:pPr>
        <w:spacing w:line="360" w:lineRule="auto"/>
        <w:outlineLvl w:val="2"/>
        <w:rPr>
          <w:rFonts w:ascii="Times New Roman"/>
          <w:b/>
          <w:sz w:val="28"/>
          <w:szCs w:val="28"/>
        </w:rPr>
      </w:pPr>
      <w:bookmarkStart w:id="258" w:name="_Toc446509398"/>
      <w:r>
        <w:rPr>
          <w:rFonts w:ascii="Times New Roman"/>
          <w:b/>
          <w:sz w:val="28"/>
          <w:szCs w:val="28"/>
        </w:rPr>
        <w:t>8.1.1环保管理机构</w:t>
      </w:r>
      <w:bookmarkEnd w:id="258"/>
    </w:p>
    <w:p w14:paraId="77E3A833">
      <w:pPr>
        <w:spacing w:line="360" w:lineRule="auto"/>
        <w:ind w:firstLine="480" w:firstLineChars="200"/>
        <w:rPr>
          <w:rFonts w:ascii="Times New Roman"/>
          <w:sz w:val="24"/>
          <w:szCs w:val="20"/>
        </w:rPr>
      </w:pPr>
      <w:bookmarkStart w:id="259" w:name="_Toc446509399"/>
      <w:r>
        <w:rPr>
          <w:rFonts w:ascii="Times New Roman"/>
          <w:sz w:val="24"/>
          <w:szCs w:val="20"/>
        </w:rPr>
        <w:t>建设项目环境保护管理是指工程在施工期、运营期执行和遵守国家、省、市的有关环境保护法律、法规、政策和标准，接受地方环境保护主管部门的环境监督，调整和制定环境保护规划和目标，把不利影响减免到最低限度，加强项目环境管理，及时调整工程运行方式和环境保护措施，最终达到保护环境的目的，取得更好的综合环境效益。</w:t>
      </w:r>
    </w:p>
    <w:p w14:paraId="0D24EAAA">
      <w:pPr>
        <w:spacing w:line="360" w:lineRule="auto"/>
        <w:ind w:firstLine="480" w:firstLineChars="200"/>
        <w:rPr>
          <w:rFonts w:ascii="Times New Roman"/>
          <w:sz w:val="24"/>
          <w:szCs w:val="20"/>
        </w:rPr>
      </w:pPr>
      <w:r>
        <w:rPr>
          <w:rFonts w:ascii="Times New Roman"/>
          <w:sz w:val="24"/>
          <w:szCs w:val="20"/>
        </w:rPr>
        <w:t>本工程将设置专门环境保护管理部门。该部门是集企业环境管理和污染防治为一体的综合性职能机构。公司组成以总经理为首的环境管理机构，并由一名副总分管环保工作，设置主抓环保工作的专职环保技术管理员，具体负责项目的环境管理和污染防治。</w:t>
      </w:r>
    </w:p>
    <w:p w14:paraId="0F7977C6">
      <w:pPr>
        <w:spacing w:line="360" w:lineRule="auto"/>
        <w:outlineLvl w:val="2"/>
        <w:rPr>
          <w:rFonts w:ascii="Times New Roman"/>
          <w:b/>
          <w:sz w:val="28"/>
          <w:szCs w:val="28"/>
        </w:rPr>
      </w:pPr>
      <w:r>
        <w:rPr>
          <w:rFonts w:ascii="Times New Roman"/>
          <w:b/>
          <w:sz w:val="28"/>
          <w:szCs w:val="28"/>
        </w:rPr>
        <w:t>8.1.2环保管理机构</w:t>
      </w:r>
      <w:bookmarkEnd w:id="259"/>
      <w:r>
        <w:rPr>
          <w:rFonts w:ascii="Times New Roman"/>
          <w:b/>
          <w:sz w:val="28"/>
          <w:szCs w:val="28"/>
        </w:rPr>
        <w:t>人员及相关职责</w:t>
      </w:r>
    </w:p>
    <w:p w14:paraId="42210609">
      <w:pPr>
        <w:spacing w:line="360" w:lineRule="auto"/>
        <w:ind w:firstLine="480" w:firstLineChars="200"/>
        <w:rPr>
          <w:rFonts w:ascii="Times New Roman"/>
          <w:sz w:val="24"/>
          <w:szCs w:val="20"/>
        </w:rPr>
      </w:pPr>
      <w:bookmarkStart w:id="260" w:name="_Toc446509400"/>
      <w:r>
        <w:rPr>
          <w:rFonts w:ascii="Times New Roman"/>
          <w:sz w:val="24"/>
          <w:szCs w:val="20"/>
        </w:rPr>
        <w:t>公司设环境保护管理部门，并设专职环保管理人员负责全厂的环境管理、污染源治理及监测管理工作。</w:t>
      </w:r>
    </w:p>
    <w:p w14:paraId="373D6510">
      <w:pPr>
        <w:spacing w:line="360" w:lineRule="auto"/>
        <w:ind w:firstLine="480" w:firstLineChars="200"/>
        <w:rPr>
          <w:rFonts w:ascii="Times New Roman"/>
          <w:sz w:val="24"/>
          <w:szCs w:val="20"/>
        </w:rPr>
      </w:pPr>
      <w:r>
        <w:rPr>
          <w:rFonts w:ascii="Times New Roman"/>
          <w:sz w:val="24"/>
          <w:szCs w:val="20"/>
        </w:rPr>
        <w:t>（1）施工期环保管理机构设置</w:t>
      </w:r>
    </w:p>
    <w:p w14:paraId="7F140BEB">
      <w:pPr>
        <w:spacing w:line="360" w:lineRule="auto"/>
        <w:ind w:firstLine="480" w:firstLineChars="200"/>
        <w:rPr>
          <w:rFonts w:ascii="Times New Roman"/>
          <w:sz w:val="24"/>
          <w:szCs w:val="20"/>
        </w:rPr>
      </w:pPr>
      <w:r>
        <w:rPr>
          <w:rFonts w:ascii="Times New Roman"/>
          <w:sz w:val="24"/>
          <w:szCs w:val="20"/>
        </w:rPr>
        <w:t>建设单位配备一名具有环保专业知识的工程技术人员，专职负责施工期的环境保护工作；施工单位应设置一名专职或兼职环境保护人员。</w:t>
      </w:r>
    </w:p>
    <w:p w14:paraId="46962987">
      <w:pPr>
        <w:spacing w:line="360" w:lineRule="auto"/>
        <w:ind w:firstLine="480" w:firstLineChars="200"/>
        <w:rPr>
          <w:rFonts w:ascii="Times New Roman"/>
          <w:sz w:val="24"/>
          <w:szCs w:val="20"/>
        </w:rPr>
      </w:pPr>
      <w:r>
        <w:rPr>
          <w:rFonts w:ascii="Times New Roman"/>
          <w:sz w:val="24"/>
          <w:szCs w:val="20"/>
        </w:rPr>
        <w:t>（2）运营期环保管理机构设置</w:t>
      </w:r>
    </w:p>
    <w:p w14:paraId="38D50882">
      <w:pPr>
        <w:spacing w:line="480" w:lineRule="exact"/>
        <w:ind w:firstLine="480" w:firstLineChars="200"/>
        <w:rPr>
          <w:rFonts w:ascii="Times New Roman"/>
          <w:sz w:val="24"/>
          <w:szCs w:val="20"/>
        </w:rPr>
      </w:pPr>
      <w:r>
        <w:rPr>
          <w:rFonts w:ascii="Times New Roman"/>
          <w:sz w:val="24"/>
          <w:szCs w:val="20"/>
        </w:rPr>
        <w:t>①贯彻执行环保法律法规和环境标准，编制并组织实施全厂的环境保护规划和计划，并对要企业的执行情况进行监督；</w:t>
      </w:r>
    </w:p>
    <w:p w14:paraId="69AE8BA2">
      <w:pPr>
        <w:spacing w:line="480" w:lineRule="exact"/>
        <w:ind w:firstLine="480" w:firstLineChars="200"/>
        <w:rPr>
          <w:rFonts w:ascii="Times New Roman"/>
          <w:sz w:val="24"/>
          <w:szCs w:val="20"/>
        </w:rPr>
      </w:pPr>
      <w:r>
        <w:rPr>
          <w:rFonts w:ascii="Times New Roman"/>
          <w:sz w:val="24"/>
          <w:szCs w:val="20"/>
        </w:rPr>
        <w:t>②制定生产过程中各项污染物的排放指标和各项环保设施运转指标，定期考核统计，向公司和环保管理部门汇报；</w:t>
      </w:r>
    </w:p>
    <w:p w14:paraId="63B08FE8">
      <w:pPr>
        <w:spacing w:line="480" w:lineRule="exact"/>
        <w:ind w:firstLine="480" w:firstLineChars="200"/>
        <w:rPr>
          <w:rFonts w:ascii="Times New Roman"/>
          <w:sz w:val="24"/>
          <w:szCs w:val="20"/>
        </w:rPr>
      </w:pPr>
      <w:r>
        <w:rPr>
          <w:rFonts w:ascii="Times New Roman"/>
          <w:sz w:val="24"/>
          <w:szCs w:val="20"/>
        </w:rPr>
        <w:t>③将环保工作的措施和指标落实到各个班组，并制定相应的奖惩办法，定期监督检查各部门执行环保法规的情况；</w:t>
      </w:r>
    </w:p>
    <w:p w14:paraId="53F604F8">
      <w:pPr>
        <w:spacing w:line="480" w:lineRule="exact"/>
        <w:ind w:firstLine="480" w:firstLineChars="200"/>
        <w:rPr>
          <w:rFonts w:ascii="Times New Roman"/>
          <w:sz w:val="24"/>
          <w:szCs w:val="20"/>
        </w:rPr>
      </w:pPr>
      <w:r>
        <w:rPr>
          <w:rFonts w:ascii="Times New Roman"/>
          <w:sz w:val="24"/>
          <w:szCs w:val="20"/>
        </w:rPr>
        <w:t>④在生产检修期间，应组织人员对环保设施进行全面检修，确保环保设备正常有效的运行；</w:t>
      </w:r>
    </w:p>
    <w:p w14:paraId="319A83F9">
      <w:pPr>
        <w:spacing w:line="480" w:lineRule="exact"/>
        <w:ind w:firstLine="480" w:firstLineChars="200"/>
        <w:rPr>
          <w:rFonts w:ascii="Times New Roman"/>
          <w:sz w:val="24"/>
          <w:szCs w:val="20"/>
        </w:rPr>
      </w:pPr>
      <w:r>
        <w:rPr>
          <w:rFonts w:ascii="Times New Roman"/>
          <w:sz w:val="24"/>
          <w:szCs w:val="20"/>
        </w:rPr>
        <w:t>⑤负责推行应用清洁生产工艺及污染治理先进技术和经验，不断提高公司污染治理设施的技术水平及环保工作的管理水平；</w:t>
      </w:r>
    </w:p>
    <w:p w14:paraId="298E5D54">
      <w:pPr>
        <w:spacing w:line="480" w:lineRule="exact"/>
        <w:ind w:firstLine="480" w:firstLineChars="200"/>
        <w:rPr>
          <w:rFonts w:ascii="Times New Roman"/>
          <w:sz w:val="24"/>
          <w:szCs w:val="20"/>
        </w:rPr>
      </w:pPr>
      <w:r>
        <w:rPr>
          <w:rFonts w:ascii="Times New Roman"/>
          <w:sz w:val="24"/>
          <w:szCs w:val="20"/>
        </w:rPr>
        <w:t>⑥负责组织与领导环境监测与统计工作，掌握污染动态，提出改善措施。</w:t>
      </w:r>
    </w:p>
    <w:p w14:paraId="4F6A1B3F">
      <w:pPr>
        <w:spacing w:line="520" w:lineRule="exact"/>
        <w:outlineLvl w:val="2"/>
        <w:rPr>
          <w:rFonts w:ascii="Times New Roman"/>
          <w:b/>
          <w:sz w:val="28"/>
          <w:szCs w:val="28"/>
        </w:rPr>
      </w:pPr>
      <w:r>
        <w:rPr>
          <w:rFonts w:ascii="Times New Roman"/>
          <w:b/>
          <w:sz w:val="28"/>
          <w:szCs w:val="28"/>
        </w:rPr>
        <w:t>8.1.3施工期的</w:t>
      </w:r>
      <w:bookmarkEnd w:id="260"/>
      <w:r>
        <w:rPr>
          <w:rFonts w:ascii="Times New Roman"/>
          <w:b/>
          <w:sz w:val="28"/>
          <w:szCs w:val="28"/>
        </w:rPr>
        <w:t>环境保护管理</w:t>
      </w:r>
    </w:p>
    <w:p w14:paraId="6AEC4FE0">
      <w:pPr>
        <w:spacing w:line="480" w:lineRule="exact"/>
        <w:ind w:firstLine="480" w:firstLineChars="200"/>
        <w:rPr>
          <w:rFonts w:ascii="Times New Roman"/>
          <w:sz w:val="24"/>
          <w:szCs w:val="20"/>
        </w:rPr>
      </w:pPr>
      <w:r>
        <w:rPr>
          <w:rFonts w:ascii="Times New Roman"/>
          <w:sz w:val="24"/>
          <w:szCs w:val="20"/>
        </w:rPr>
        <w:t>（1）根据国家环保政策、标准及环境保护要求，制定该项目施工期环保管理规章制度、各种污染物排放及控制指标；</w:t>
      </w:r>
    </w:p>
    <w:p w14:paraId="12C464E4">
      <w:pPr>
        <w:spacing w:line="480" w:lineRule="exact"/>
        <w:ind w:firstLine="480" w:firstLineChars="200"/>
        <w:rPr>
          <w:rFonts w:ascii="Times New Roman"/>
          <w:sz w:val="24"/>
          <w:szCs w:val="20"/>
        </w:rPr>
      </w:pPr>
      <w:r>
        <w:rPr>
          <w:rFonts w:ascii="Times New Roman"/>
          <w:sz w:val="24"/>
          <w:szCs w:val="20"/>
        </w:rPr>
        <w:t>（2）当地环境监测部门负责对施工场界噪声、扬尘监测，及时掌握该项目污染状况，提出抑尘、降噪措施，建设单位按照要求进行整改；</w:t>
      </w:r>
    </w:p>
    <w:p w14:paraId="0598FF68">
      <w:pPr>
        <w:spacing w:line="480" w:lineRule="exact"/>
        <w:ind w:firstLine="480" w:firstLineChars="200"/>
        <w:rPr>
          <w:rFonts w:ascii="Times New Roman"/>
          <w:sz w:val="24"/>
          <w:szCs w:val="20"/>
        </w:rPr>
      </w:pPr>
      <w:r>
        <w:rPr>
          <w:rFonts w:ascii="Times New Roman"/>
          <w:sz w:val="24"/>
          <w:szCs w:val="20"/>
        </w:rPr>
        <w:t>（3）建筑施工单位在办理完招投标手续后，在工程开工十五日前，携带施工合同等有关资料到当地生态环境局进行施工备案。</w:t>
      </w:r>
    </w:p>
    <w:p w14:paraId="3C87BFAF">
      <w:pPr>
        <w:spacing w:line="520" w:lineRule="exact"/>
        <w:outlineLvl w:val="2"/>
        <w:rPr>
          <w:rFonts w:ascii="Times New Roman"/>
          <w:b/>
          <w:sz w:val="28"/>
          <w:szCs w:val="28"/>
        </w:rPr>
      </w:pPr>
      <w:r>
        <w:rPr>
          <w:rFonts w:ascii="Times New Roman"/>
          <w:b/>
          <w:sz w:val="28"/>
          <w:szCs w:val="28"/>
        </w:rPr>
        <w:t>8.1.4运营期的环境保护管理</w:t>
      </w:r>
    </w:p>
    <w:p w14:paraId="1BC726A5">
      <w:pPr>
        <w:spacing w:line="480" w:lineRule="exact"/>
        <w:ind w:firstLine="480" w:firstLineChars="200"/>
        <w:rPr>
          <w:rFonts w:ascii="Times New Roman"/>
          <w:sz w:val="24"/>
          <w:szCs w:val="20"/>
        </w:rPr>
      </w:pPr>
      <w:r>
        <w:rPr>
          <w:rFonts w:ascii="Times New Roman"/>
          <w:sz w:val="24"/>
          <w:szCs w:val="20"/>
        </w:rPr>
        <w:t>（1）根据国家环保政策、标准及环境监测要求，制定该项目运行期环保管理规章制度、各种污染物排放控制指标；</w:t>
      </w:r>
    </w:p>
    <w:p w14:paraId="0B8187D8">
      <w:pPr>
        <w:spacing w:line="480" w:lineRule="exact"/>
        <w:ind w:firstLine="480" w:firstLineChars="200"/>
        <w:rPr>
          <w:rFonts w:ascii="Times New Roman"/>
          <w:sz w:val="24"/>
          <w:szCs w:val="20"/>
        </w:rPr>
      </w:pPr>
      <w:r>
        <w:rPr>
          <w:rFonts w:ascii="Times New Roman"/>
          <w:sz w:val="24"/>
          <w:szCs w:val="20"/>
        </w:rPr>
        <w:t>（2）负责该项目内所有环保设施的日常运行管理，保障各环保设施的正常运行，并对环保设施的改进提出积极的建议；</w:t>
      </w:r>
    </w:p>
    <w:p w14:paraId="10EE6613">
      <w:pPr>
        <w:spacing w:line="480" w:lineRule="exact"/>
        <w:ind w:firstLine="480" w:firstLineChars="200"/>
        <w:rPr>
          <w:rFonts w:ascii="Times New Roman"/>
          <w:sz w:val="24"/>
          <w:szCs w:val="20"/>
        </w:rPr>
      </w:pPr>
      <w:r>
        <w:rPr>
          <w:rFonts w:ascii="Times New Roman"/>
          <w:sz w:val="24"/>
          <w:szCs w:val="20"/>
        </w:rPr>
        <w:t>（3）负责该项目运行期环境监测工作，及时掌握该项目污染状况，整理监测数据，建立污染源档案；</w:t>
      </w:r>
    </w:p>
    <w:p w14:paraId="77336D22">
      <w:pPr>
        <w:spacing w:line="480" w:lineRule="exact"/>
        <w:ind w:firstLine="480" w:firstLineChars="200"/>
        <w:rPr>
          <w:rFonts w:ascii="Times New Roman"/>
          <w:sz w:val="24"/>
          <w:szCs w:val="20"/>
        </w:rPr>
      </w:pPr>
      <w:r>
        <w:rPr>
          <w:rFonts w:ascii="Times New Roman"/>
          <w:sz w:val="24"/>
          <w:szCs w:val="20"/>
        </w:rPr>
        <w:t>（4）该项目运行期的环境管理由安全生产环保科承担；负责该项目内所有环保设施的日常运行管理，保障各环保设施的正常运行，并对环保设施的改进提出积极的建议；</w:t>
      </w:r>
    </w:p>
    <w:p w14:paraId="2B394D94">
      <w:pPr>
        <w:spacing w:line="480" w:lineRule="exact"/>
        <w:ind w:firstLine="480" w:firstLineChars="200"/>
        <w:rPr>
          <w:rFonts w:ascii="Times New Roman"/>
          <w:sz w:val="24"/>
          <w:szCs w:val="20"/>
        </w:rPr>
      </w:pPr>
      <w:r>
        <w:rPr>
          <w:rFonts w:ascii="Times New Roman"/>
          <w:sz w:val="24"/>
          <w:szCs w:val="20"/>
        </w:rPr>
        <w:t>（5）负责对职工进行环保宣传教育工作，以及检查、监督各单位环保制度的执行情况；</w:t>
      </w:r>
    </w:p>
    <w:p w14:paraId="42B35E26">
      <w:pPr>
        <w:spacing w:line="480" w:lineRule="exact"/>
        <w:ind w:firstLine="480" w:firstLineChars="200"/>
        <w:rPr>
          <w:rFonts w:ascii="Times New Roman"/>
          <w:sz w:val="24"/>
          <w:szCs w:val="20"/>
        </w:rPr>
      </w:pPr>
      <w:r>
        <w:rPr>
          <w:rFonts w:ascii="Times New Roman"/>
          <w:sz w:val="24"/>
          <w:szCs w:val="20"/>
        </w:rPr>
        <w:t>（6）建立健全环境档案管理与保密制度、污染防治设施设计技术改进及运行资料、污染源调查技术档案、环境监测及评价资料、项目平面图和给排水管网图等。</w:t>
      </w:r>
    </w:p>
    <w:p w14:paraId="085B7B3C">
      <w:pPr>
        <w:spacing w:line="520" w:lineRule="exact"/>
        <w:outlineLvl w:val="2"/>
        <w:rPr>
          <w:rFonts w:ascii="Times New Roman"/>
          <w:b/>
          <w:sz w:val="28"/>
          <w:szCs w:val="28"/>
        </w:rPr>
      </w:pPr>
      <w:r>
        <w:rPr>
          <w:rFonts w:ascii="Times New Roman"/>
          <w:b/>
          <w:sz w:val="28"/>
          <w:szCs w:val="28"/>
        </w:rPr>
        <w:t>8.1.5排污许可管理</w:t>
      </w:r>
    </w:p>
    <w:p w14:paraId="3FB6A3A6">
      <w:pPr>
        <w:spacing w:line="480" w:lineRule="exact"/>
        <w:ind w:firstLine="480" w:firstLineChars="200"/>
        <w:rPr>
          <w:rFonts w:ascii="Times New Roman"/>
          <w:kern w:val="0"/>
          <w:sz w:val="24"/>
          <w:szCs w:val="20"/>
        </w:rPr>
      </w:pPr>
      <w:r>
        <w:rPr>
          <w:rFonts w:ascii="Times New Roman"/>
          <w:kern w:val="0"/>
          <w:sz w:val="24"/>
          <w:szCs w:val="20"/>
        </w:rPr>
        <w:t>（1）排污许可管理内容</w:t>
      </w:r>
    </w:p>
    <w:p w14:paraId="20D1425B">
      <w:pPr>
        <w:spacing w:line="480" w:lineRule="exact"/>
        <w:ind w:firstLine="480" w:firstLineChars="200"/>
        <w:rPr>
          <w:rFonts w:ascii="Times New Roman"/>
          <w:kern w:val="0"/>
          <w:sz w:val="24"/>
          <w:szCs w:val="20"/>
        </w:rPr>
      </w:pPr>
      <w:r>
        <w:rPr>
          <w:rFonts w:ascii="Times New Roman"/>
          <w:kern w:val="0"/>
          <w:sz w:val="24"/>
          <w:szCs w:val="24"/>
        </w:rPr>
        <w:t>根据《排污许可管理条例》（国务院令第736号）：依照法律规定实行排污许可管理的企业事业单位和其他生产经营者（以下简称排污单位）应当按照条例规定申请取得排污许可证；未取得排污许可证的，不得排放污染物</w:t>
      </w:r>
      <w:r>
        <w:rPr>
          <w:rFonts w:ascii="Times New Roman"/>
          <w:kern w:val="0"/>
          <w:sz w:val="24"/>
          <w:szCs w:val="20"/>
        </w:rPr>
        <w:t>。</w:t>
      </w:r>
    </w:p>
    <w:p w14:paraId="35194F79">
      <w:pPr>
        <w:spacing w:line="480" w:lineRule="exact"/>
        <w:ind w:firstLine="480" w:firstLineChars="200"/>
        <w:rPr>
          <w:rFonts w:ascii="Times New Roman"/>
          <w:kern w:val="0"/>
          <w:sz w:val="24"/>
          <w:szCs w:val="20"/>
        </w:rPr>
      </w:pPr>
      <w:r>
        <w:rPr>
          <w:rFonts w:ascii="Times New Roman"/>
          <w:kern w:val="0"/>
          <w:sz w:val="24"/>
          <w:szCs w:val="20"/>
        </w:rPr>
        <w:t>（2）许可管理类别</w:t>
      </w:r>
    </w:p>
    <w:p w14:paraId="51B8F50B">
      <w:pPr>
        <w:spacing w:line="480" w:lineRule="exact"/>
        <w:ind w:firstLine="480" w:firstLineChars="200"/>
        <w:rPr>
          <w:rFonts w:ascii="Times New Roman"/>
          <w:kern w:val="0"/>
          <w:sz w:val="24"/>
          <w:szCs w:val="20"/>
        </w:rPr>
      </w:pPr>
      <w:r>
        <w:rPr>
          <w:rFonts w:ascii="Times New Roman"/>
          <w:kern w:val="0"/>
          <w:sz w:val="24"/>
          <w:szCs w:val="20"/>
        </w:rPr>
        <w:t>本项目属于</w:t>
      </w:r>
      <w:r>
        <w:rPr>
          <w:rFonts w:ascii="Times New Roman"/>
          <w:sz w:val="24"/>
          <w:szCs w:val="24"/>
        </w:rPr>
        <w:t>“C3434连续搬运设备制造”</w:t>
      </w:r>
      <w:r>
        <w:rPr>
          <w:rFonts w:ascii="Times New Roman"/>
          <w:kern w:val="0"/>
          <w:sz w:val="24"/>
          <w:szCs w:val="20"/>
        </w:rPr>
        <w:t>，对照《固定污染源排污许可分类管理名录》（2019年版）中“</w:t>
      </w:r>
      <w:r>
        <w:rPr>
          <w:rFonts w:ascii="Times New Roman"/>
          <w:sz w:val="24"/>
          <w:szCs w:val="24"/>
        </w:rPr>
        <w:t xml:space="preserve">二十九、通用设备制造业 </w:t>
      </w:r>
      <w:r>
        <w:rPr>
          <w:rFonts w:hint="eastAsia" w:ascii="Times New Roman"/>
          <w:sz w:val="24"/>
          <w:szCs w:val="24"/>
        </w:rPr>
        <w:t>物料搬运设备制造</w:t>
      </w:r>
      <w:r>
        <w:rPr>
          <w:rFonts w:ascii="Times New Roman"/>
          <w:sz w:val="24"/>
          <w:szCs w:val="24"/>
        </w:rPr>
        <w:t>34</w:t>
      </w:r>
      <w:r>
        <w:rPr>
          <w:rFonts w:hint="eastAsia" w:ascii="Times New Roman"/>
          <w:sz w:val="24"/>
          <w:szCs w:val="24"/>
        </w:rPr>
        <w:t>3</w:t>
      </w:r>
      <w:r>
        <w:rPr>
          <w:rFonts w:ascii="Times New Roman"/>
        </w:rPr>
        <w:t>涉及通用工序简化管理的</w:t>
      </w:r>
      <w:r>
        <w:rPr>
          <w:rFonts w:ascii="Times New Roman"/>
          <w:kern w:val="0"/>
          <w:sz w:val="24"/>
          <w:szCs w:val="20"/>
        </w:rPr>
        <w:t>”，本项目属于“五十一、通用工序 111表面处理-年使用10吨及以上有机溶剂的”，属于简化管理</w:t>
      </w:r>
      <w:r>
        <w:rPr>
          <w:rFonts w:hint="eastAsia" w:ascii="Times New Roman"/>
          <w:kern w:val="0"/>
          <w:sz w:val="24"/>
          <w:szCs w:val="20"/>
        </w:rPr>
        <w:t>；根据</w:t>
      </w:r>
      <w:r>
        <w:rPr>
          <w:rFonts w:ascii="Times New Roman"/>
          <w:kern w:val="0"/>
          <w:sz w:val="24"/>
          <w:szCs w:val="20"/>
        </w:rPr>
        <w:t>环境监管重点单位名录管理办法</w:t>
      </w:r>
      <w:r>
        <w:rPr>
          <w:rFonts w:hint="eastAsia" w:ascii="Times New Roman"/>
          <w:kern w:val="0"/>
          <w:sz w:val="24"/>
          <w:szCs w:val="20"/>
        </w:rPr>
        <w:t>，</w:t>
      </w:r>
      <w:r>
        <w:rPr>
          <w:rFonts w:ascii="Times New Roman"/>
          <w:kern w:val="0"/>
          <w:sz w:val="24"/>
          <w:szCs w:val="20"/>
        </w:rPr>
        <w:t>年产生危险废物100吨以上的企业</w:t>
      </w:r>
      <w:r>
        <w:rPr>
          <w:rFonts w:hint="eastAsia" w:ascii="Times New Roman"/>
          <w:kern w:val="0"/>
          <w:sz w:val="24"/>
          <w:szCs w:val="20"/>
        </w:rPr>
        <w:t>，列为环境风险重点管控单位，属于重点管理，因此本项目属于重点管理</w:t>
      </w:r>
      <w:r>
        <w:rPr>
          <w:rFonts w:ascii="Times New Roman"/>
          <w:kern w:val="0"/>
          <w:sz w:val="24"/>
          <w:szCs w:val="20"/>
        </w:rPr>
        <w:t>。</w:t>
      </w:r>
    </w:p>
    <w:p w14:paraId="0BD33886">
      <w:pPr>
        <w:widowControl/>
        <w:spacing w:line="520" w:lineRule="exact"/>
        <w:jc w:val="left"/>
        <w:outlineLvl w:val="1"/>
        <w:rPr>
          <w:rFonts w:ascii="Times New Roman"/>
          <w:b/>
          <w:sz w:val="30"/>
          <w:szCs w:val="30"/>
        </w:rPr>
      </w:pPr>
      <w:bookmarkStart w:id="261" w:name="_Toc499746250"/>
      <w:bookmarkStart w:id="262" w:name="_Toc31959"/>
      <w:bookmarkStart w:id="263" w:name="_Toc18837"/>
      <w:r>
        <w:rPr>
          <w:rFonts w:ascii="Times New Roman"/>
          <w:b/>
          <w:sz w:val="30"/>
          <w:szCs w:val="30"/>
        </w:rPr>
        <w:t>8.2环境监测</w:t>
      </w:r>
      <w:bookmarkEnd w:id="252"/>
      <w:r>
        <w:rPr>
          <w:rFonts w:ascii="Times New Roman"/>
          <w:b/>
          <w:sz w:val="30"/>
          <w:szCs w:val="30"/>
        </w:rPr>
        <w:t>计划</w:t>
      </w:r>
      <w:bookmarkEnd w:id="261"/>
      <w:bookmarkEnd w:id="262"/>
      <w:bookmarkEnd w:id="263"/>
    </w:p>
    <w:p w14:paraId="7B76754F">
      <w:pPr>
        <w:spacing w:line="360" w:lineRule="auto"/>
        <w:outlineLvl w:val="2"/>
        <w:rPr>
          <w:rFonts w:ascii="Times New Roman"/>
          <w:b/>
          <w:sz w:val="28"/>
          <w:szCs w:val="28"/>
        </w:rPr>
      </w:pPr>
      <w:bookmarkStart w:id="264" w:name="_Toc170811642"/>
      <w:r>
        <w:rPr>
          <w:rFonts w:ascii="Times New Roman"/>
          <w:b/>
          <w:sz w:val="28"/>
          <w:szCs w:val="28"/>
        </w:rPr>
        <w:t>8.2.1监测目的与制定监测计划的原则</w:t>
      </w:r>
    </w:p>
    <w:p w14:paraId="7DD1FE86">
      <w:pPr>
        <w:spacing w:line="360" w:lineRule="auto"/>
        <w:ind w:firstLine="480" w:firstLineChars="200"/>
        <w:rPr>
          <w:rFonts w:ascii="Times New Roman"/>
          <w:kern w:val="24"/>
          <w:sz w:val="24"/>
          <w:szCs w:val="20"/>
        </w:rPr>
      </w:pPr>
      <w:r>
        <w:rPr>
          <w:rFonts w:ascii="Times New Roman"/>
          <w:sz w:val="24"/>
          <w:szCs w:val="20"/>
        </w:rPr>
        <w:t>（1）环境监测目的</w:t>
      </w:r>
    </w:p>
    <w:p w14:paraId="2CCAB869">
      <w:pPr>
        <w:spacing w:line="360" w:lineRule="auto"/>
        <w:ind w:firstLine="480" w:firstLineChars="200"/>
        <w:rPr>
          <w:rFonts w:ascii="Times New Roman"/>
          <w:kern w:val="24"/>
          <w:sz w:val="24"/>
          <w:szCs w:val="20"/>
        </w:rPr>
      </w:pPr>
      <w:r>
        <w:rPr>
          <w:rFonts w:ascii="Times New Roman"/>
          <w:kern w:val="24"/>
          <w:sz w:val="24"/>
          <w:szCs w:val="20"/>
        </w:rPr>
        <w:t>环境监测为企业的环境监测工作提供指导，并为环境管理部门提供执行的依据。</w:t>
      </w:r>
    </w:p>
    <w:p w14:paraId="4C0B9E30">
      <w:pPr>
        <w:spacing w:line="360" w:lineRule="auto"/>
        <w:ind w:firstLine="480" w:firstLineChars="200"/>
        <w:rPr>
          <w:rFonts w:ascii="Times New Roman"/>
          <w:kern w:val="24"/>
          <w:sz w:val="24"/>
          <w:szCs w:val="20"/>
        </w:rPr>
      </w:pPr>
      <w:r>
        <w:rPr>
          <w:rFonts w:ascii="Times New Roman"/>
          <w:sz w:val="24"/>
          <w:szCs w:val="20"/>
        </w:rPr>
        <w:t>（2）制定监测计划的原则</w:t>
      </w:r>
    </w:p>
    <w:p w14:paraId="7129FDB4">
      <w:pPr>
        <w:spacing w:line="360" w:lineRule="auto"/>
        <w:ind w:firstLine="480" w:firstLineChars="200"/>
        <w:rPr>
          <w:rFonts w:ascii="Times New Roman"/>
          <w:kern w:val="24"/>
          <w:sz w:val="24"/>
          <w:szCs w:val="20"/>
        </w:rPr>
      </w:pPr>
      <w:r>
        <w:rPr>
          <w:rFonts w:ascii="Times New Roman"/>
          <w:kern w:val="24"/>
          <w:sz w:val="24"/>
          <w:szCs w:val="20"/>
        </w:rPr>
        <w:t>环境监测的目的是保证环保设施正常运行和监测周围环境是否符合执行标准，因此只要保证监测数据具有代表性，准确、有效即可。</w:t>
      </w:r>
    </w:p>
    <w:p w14:paraId="07774810">
      <w:pPr>
        <w:spacing w:line="360" w:lineRule="auto"/>
        <w:ind w:firstLine="480" w:firstLineChars="200"/>
        <w:rPr>
          <w:rFonts w:ascii="Times New Roman"/>
          <w:sz w:val="24"/>
          <w:szCs w:val="20"/>
        </w:rPr>
      </w:pPr>
      <w:r>
        <w:rPr>
          <w:rFonts w:ascii="Times New Roman"/>
          <w:kern w:val="24"/>
          <w:sz w:val="24"/>
          <w:szCs w:val="20"/>
        </w:rPr>
        <w:t>对排放源强大，可能带来较大环境影响的的设备及容易发生故障的设备重点监测。不仅要监测环保设施，还要监测周围环境。</w:t>
      </w:r>
    </w:p>
    <w:p w14:paraId="731DD1F8">
      <w:pPr>
        <w:spacing w:line="360" w:lineRule="auto"/>
        <w:outlineLvl w:val="2"/>
        <w:rPr>
          <w:rFonts w:ascii="Times New Roman"/>
          <w:b/>
          <w:sz w:val="28"/>
          <w:szCs w:val="28"/>
        </w:rPr>
      </w:pPr>
      <w:r>
        <w:rPr>
          <w:rFonts w:ascii="Times New Roman"/>
          <w:b/>
          <w:sz w:val="28"/>
          <w:szCs w:val="28"/>
        </w:rPr>
        <w:t>8.2.2环境监测机构设置</w:t>
      </w:r>
    </w:p>
    <w:p w14:paraId="40991EE8">
      <w:pPr>
        <w:spacing w:line="360" w:lineRule="auto"/>
        <w:ind w:firstLine="480" w:firstLineChars="200"/>
        <w:rPr>
          <w:rFonts w:ascii="Times New Roman"/>
          <w:sz w:val="24"/>
          <w:szCs w:val="20"/>
        </w:rPr>
      </w:pPr>
      <w:r>
        <w:rPr>
          <w:rFonts w:ascii="Times New Roman"/>
          <w:sz w:val="24"/>
          <w:szCs w:val="20"/>
        </w:rPr>
        <w:t>鉴于本企业污染物特点，企业可组建环保监测机构负责监测计划的落实，也可委托当地环保部门进行监测。</w:t>
      </w:r>
    </w:p>
    <w:p w14:paraId="1D00D379">
      <w:pPr>
        <w:spacing w:line="360" w:lineRule="auto"/>
        <w:outlineLvl w:val="2"/>
        <w:rPr>
          <w:rFonts w:ascii="Times New Roman"/>
          <w:b/>
          <w:sz w:val="28"/>
          <w:szCs w:val="28"/>
        </w:rPr>
      </w:pPr>
      <w:r>
        <w:rPr>
          <w:rFonts w:ascii="Times New Roman"/>
          <w:b/>
          <w:sz w:val="28"/>
          <w:szCs w:val="28"/>
        </w:rPr>
        <w:t>8.2.3环境监测机构职责</w:t>
      </w:r>
    </w:p>
    <w:p w14:paraId="3AFC356E">
      <w:pPr>
        <w:spacing w:line="360" w:lineRule="auto"/>
        <w:ind w:firstLine="480" w:firstLineChars="200"/>
        <w:rPr>
          <w:rFonts w:ascii="Times New Roman"/>
          <w:sz w:val="24"/>
          <w:szCs w:val="20"/>
        </w:rPr>
      </w:pPr>
      <w:r>
        <w:rPr>
          <w:rFonts w:ascii="Times New Roman"/>
          <w:sz w:val="24"/>
          <w:szCs w:val="20"/>
        </w:rPr>
        <w:t>（1）制定本企业环境监测的年度计划；</w:t>
      </w:r>
    </w:p>
    <w:p w14:paraId="09E46033">
      <w:pPr>
        <w:spacing w:line="360" w:lineRule="auto"/>
        <w:ind w:firstLine="480" w:firstLineChars="200"/>
        <w:rPr>
          <w:rFonts w:ascii="Times New Roman"/>
          <w:sz w:val="24"/>
          <w:szCs w:val="20"/>
        </w:rPr>
      </w:pPr>
      <w:r>
        <w:rPr>
          <w:rFonts w:ascii="Times New Roman"/>
          <w:sz w:val="24"/>
          <w:szCs w:val="20"/>
        </w:rPr>
        <w:t>（2）根据有关规定和要求，对本企业的各种污染源、厂区的环境状况开展日常例行监测，并确保监测任务完成；</w:t>
      </w:r>
    </w:p>
    <w:p w14:paraId="33F2E092">
      <w:pPr>
        <w:spacing w:line="360" w:lineRule="auto"/>
        <w:ind w:firstLine="480" w:firstLineChars="200"/>
        <w:rPr>
          <w:rFonts w:ascii="Times New Roman"/>
          <w:sz w:val="24"/>
          <w:szCs w:val="20"/>
        </w:rPr>
      </w:pPr>
      <w:r>
        <w:rPr>
          <w:rFonts w:ascii="Times New Roman"/>
          <w:sz w:val="24"/>
          <w:szCs w:val="20"/>
        </w:rPr>
        <w:t>（3）对本企业污染源和环境质量进行调查分析，掌握主要污染物的排放规律和环境质量发展趋势，按规定编制报表和报告，上报有关主管部门；</w:t>
      </w:r>
    </w:p>
    <w:p w14:paraId="174D018B">
      <w:pPr>
        <w:spacing w:line="360" w:lineRule="auto"/>
        <w:ind w:firstLine="480" w:firstLineChars="200"/>
        <w:rPr>
          <w:rFonts w:ascii="Times New Roman"/>
          <w:sz w:val="24"/>
          <w:szCs w:val="20"/>
        </w:rPr>
      </w:pPr>
      <w:r>
        <w:rPr>
          <w:rFonts w:ascii="Times New Roman"/>
          <w:sz w:val="24"/>
          <w:szCs w:val="20"/>
        </w:rPr>
        <w:t>（4）负责本企业污染事故的调查及监测，及时将监测结果上报有关主管部门；</w:t>
      </w:r>
    </w:p>
    <w:p w14:paraId="37A9812B">
      <w:pPr>
        <w:spacing w:line="360" w:lineRule="auto"/>
        <w:ind w:firstLine="480" w:firstLineChars="200"/>
        <w:rPr>
          <w:rFonts w:ascii="Times New Roman"/>
          <w:sz w:val="24"/>
          <w:szCs w:val="20"/>
        </w:rPr>
      </w:pPr>
      <w:r>
        <w:rPr>
          <w:rFonts w:ascii="Times New Roman"/>
          <w:sz w:val="24"/>
          <w:szCs w:val="20"/>
        </w:rPr>
        <w:t>（5）参加企业环保设施的验收和污染事故的调查工作；</w:t>
      </w:r>
    </w:p>
    <w:p w14:paraId="5B8888C8">
      <w:pPr>
        <w:spacing w:line="360" w:lineRule="auto"/>
        <w:ind w:firstLine="480" w:firstLineChars="200"/>
        <w:rPr>
          <w:rFonts w:ascii="Times New Roman"/>
          <w:sz w:val="24"/>
          <w:szCs w:val="20"/>
        </w:rPr>
      </w:pPr>
      <w:r>
        <w:rPr>
          <w:rFonts w:ascii="Times New Roman"/>
          <w:sz w:val="24"/>
          <w:szCs w:val="20"/>
        </w:rPr>
        <w:t>（6）做好监测设备的维护保养，定期检验，以保证监测工作正常运行。</w:t>
      </w:r>
    </w:p>
    <w:p w14:paraId="44A7B01B">
      <w:pPr>
        <w:spacing w:line="360" w:lineRule="auto"/>
        <w:outlineLvl w:val="2"/>
        <w:rPr>
          <w:rFonts w:ascii="Times New Roman"/>
          <w:b/>
          <w:sz w:val="28"/>
          <w:szCs w:val="28"/>
        </w:rPr>
      </w:pPr>
      <w:r>
        <w:rPr>
          <w:rFonts w:ascii="Times New Roman"/>
          <w:b/>
          <w:sz w:val="28"/>
          <w:szCs w:val="28"/>
        </w:rPr>
        <w:t>8.2.4监测计划</w:t>
      </w:r>
    </w:p>
    <w:p w14:paraId="31B8E64C">
      <w:pPr>
        <w:spacing w:line="360" w:lineRule="auto"/>
        <w:ind w:firstLine="480" w:firstLineChars="200"/>
        <w:rPr>
          <w:rFonts w:ascii="Times New Roman"/>
          <w:sz w:val="24"/>
          <w:szCs w:val="24"/>
        </w:rPr>
      </w:pPr>
      <w:r>
        <w:rPr>
          <w:rFonts w:ascii="Times New Roman"/>
          <w:sz w:val="24"/>
          <w:szCs w:val="24"/>
        </w:rPr>
        <w:t>（1）污染源环境监测工作计划</w:t>
      </w:r>
    </w:p>
    <w:p w14:paraId="22219206">
      <w:pPr>
        <w:spacing w:line="360" w:lineRule="auto"/>
        <w:ind w:firstLine="480" w:firstLineChars="200"/>
        <w:rPr>
          <w:rFonts w:ascii="Times New Roman"/>
          <w:sz w:val="24"/>
          <w:szCs w:val="24"/>
        </w:rPr>
      </w:pPr>
      <w:r>
        <w:rPr>
          <w:rFonts w:ascii="Times New Roman"/>
          <w:sz w:val="24"/>
          <w:szCs w:val="24"/>
        </w:rPr>
        <w:t>根据区域环境特点及项目污染物排放情况，依据《排污单位自行监测技术指南 总则》（HJ819-2017）、</w:t>
      </w:r>
      <w:r>
        <w:rPr>
          <w:rFonts w:ascii="Times New Roman"/>
          <w:sz w:val="24"/>
        </w:rPr>
        <w:t>《排污单位自行监测技术指南 涂装》（HJ1086-2020）</w:t>
      </w:r>
      <w:r>
        <w:rPr>
          <w:rFonts w:hint="eastAsia" w:ascii="Times New Roman"/>
          <w:sz w:val="24"/>
        </w:rPr>
        <w:t>和</w:t>
      </w:r>
      <w:r>
        <w:rPr>
          <w:rFonts w:ascii="Times New Roman"/>
          <w:sz w:val="24"/>
        </w:rPr>
        <w:t>《排污单位自行监测技术指南 火力发电及锅炉》（HJ</w:t>
      </w:r>
      <w:r>
        <w:rPr>
          <w:rFonts w:hint="eastAsia" w:ascii="Times New Roman"/>
          <w:sz w:val="24"/>
        </w:rPr>
        <w:t>820</w:t>
      </w:r>
      <w:r>
        <w:rPr>
          <w:rFonts w:ascii="Times New Roman"/>
          <w:sz w:val="24"/>
        </w:rPr>
        <w:t>-</w:t>
      </w:r>
      <w:r>
        <w:rPr>
          <w:rFonts w:hint="eastAsia" w:ascii="Times New Roman"/>
          <w:sz w:val="24"/>
        </w:rPr>
        <w:t>2017</w:t>
      </w:r>
      <w:r>
        <w:rPr>
          <w:rFonts w:ascii="Times New Roman"/>
          <w:sz w:val="24"/>
        </w:rPr>
        <w:t>）</w:t>
      </w:r>
      <w:r>
        <w:rPr>
          <w:rFonts w:ascii="Times New Roman"/>
          <w:sz w:val="24"/>
          <w:szCs w:val="24"/>
        </w:rPr>
        <w:t>提出如下监测要求：</w:t>
      </w:r>
    </w:p>
    <w:p w14:paraId="09EC4F36">
      <w:pPr>
        <w:spacing w:line="360" w:lineRule="auto"/>
        <w:ind w:firstLine="480" w:firstLineChars="200"/>
        <w:rPr>
          <w:rFonts w:ascii="Times New Roman"/>
          <w:sz w:val="24"/>
          <w:szCs w:val="24"/>
        </w:rPr>
      </w:pPr>
      <w:r>
        <w:rPr>
          <w:rFonts w:ascii="Times New Roman"/>
          <w:sz w:val="24"/>
          <w:szCs w:val="24"/>
        </w:rPr>
        <w:t>①建设方应定期对产生的废气、废水及厂界噪声进行监测；</w:t>
      </w:r>
    </w:p>
    <w:p w14:paraId="1B1BCA07">
      <w:pPr>
        <w:spacing w:line="360" w:lineRule="auto"/>
        <w:ind w:firstLine="480" w:firstLineChars="200"/>
        <w:rPr>
          <w:rFonts w:ascii="Times New Roman"/>
          <w:sz w:val="24"/>
          <w:szCs w:val="24"/>
        </w:rPr>
      </w:pPr>
      <w:r>
        <w:rPr>
          <w:rFonts w:ascii="Times New Roman"/>
          <w:sz w:val="24"/>
          <w:szCs w:val="24"/>
        </w:rPr>
        <w:t>②定期向当地环保主管部门上报监测结果；</w:t>
      </w:r>
    </w:p>
    <w:p w14:paraId="647A6839">
      <w:pPr>
        <w:spacing w:line="360" w:lineRule="auto"/>
        <w:ind w:firstLine="480" w:firstLineChars="200"/>
        <w:rPr>
          <w:rFonts w:ascii="Times New Roman"/>
          <w:sz w:val="24"/>
          <w:szCs w:val="24"/>
        </w:rPr>
      </w:pPr>
      <w:r>
        <w:rPr>
          <w:rFonts w:ascii="Times New Roman"/>
          <w:sz w:val="24"/>
          <w:szCs w:val="24"/>
        </w:rPr>
        <w:t>③监测中发现超标排放或其他异常情况，及时报告企业管理部门查找原因、解决处理，预测特殊情况应随时监测。</w:t>
      </w:r>
    </w:p>
    <w:p w14:paraId="486CB784">
      <w:pPr>
        <w:jc w:val="center"/>
        <w:rPr>
          <w:rFonts w:ascii="Times New Roman"/>
        </w:rPr>
      </w:pPr>
      <w:r>
        <w:rPr>
          <w:rFonts w:ascii="Times New Roman"/>
        </w:rPr>
        <w:t>表8.2-1  污染源监测工作计划</w:t>
      </w:r>
    </w:p>
    <w:bookmarkEnd w:id="264"/>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00"/>
        <w:gridCol w:w="2657"/>
        <w:gridCol w:w="2545"/>
        <w:gridCol w:w="1585"/>
      </w:tblGrid>
      <w:tr w14:paraId="2C12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255" w:type="pct"/>
            <w:vAlign w:val="center"/>
          </w:tcPr>
          <w:p w14:paraId="475B3E38">
            <w:pPr>
              <w:spacing w:line="280" w:lineRule="exact"/>
              <w:jc w:val="center"/>
              <w:rPr>
                <w:rFonts w:ascii="Times New Roman"/>
                <w:sz w:val="21"/>
                <w:szCs w:val="21"/>
              </w:rPr>
            </w:pPr>
            <w:r>
              <w:rPr>
                <w:rFonts w:ascii="Times New Roman"/>
                <w:sz w:val="21"/>
                <w:szCs w:val="21"/>
              </w:rPr>
              <w:t>项目</w:t>
            </w:r>
          </w:p>
        </w:tc>
        <w:tc>
          <w:tcPr>
            <w:tcW w:w="2322" w:type="pct"/>
            <w:gridSpan w:val="2"/>
            <w:vAlign w:val="center"/>
          </w:tcPr>
          <w:p w14:paraId="73CC3841">
            <w:pPr>
              <w:spacing w:line="280" w:lineRule="exact"/>
              <w:jc w:val="center"/>
              <w:rPr>
                <w:rFonts w:ascii="Times New Roman"/>
                <w:sz w:val="21"/>
                <w:szCs w:val="21"/>
              </w:rPr>
            </w:pPr>
            <w:r>
              <w:rPr>
                <w:rFonts w:ascii="Times New Roman"/>
                <w:sz w:val="21"/>
                <w:szCs w:val="21"/>
              </w:rPr>
              <w:t>监测点位</w:t>
            </w:r>
          </w:p>
        </w:tc>
        <w:tc>
          <w:tcPr>
            <w:tcW w:w="1493" w:type="pct"/>
            <w:vAlign w:val="center"/>
          </w:tcPr>
          <w:p w14:paraId="09A8FD8E">
            <w:pPr>
              <w:spacing w:line="280" w:lineRule="exact"/>
              <w:jc w:val="center"/>
              <w:rPr>
                <w:rFonts w:ascii="Times New Roman"/>
                <w:sz w:val="21"/>
                <w:szCs w:val="21"/>
              </w:rPr>
            </w:pPr>
            <w:r>
              <w:rPr>
                <w:rFonts w:ascii="Times New Roman"/>
                <w:sz w:val="21"/>
                <w:szCs w:val="21"/>
              </w:rPr>
              <w:t>监测因子</w:t>
            </w:r>
          </w:p>
        </w:tc>
        <w:tc>
          <w:tcPr>
            <w:tcW w:w="927" w:type="pct"/>
            <w:vAlign w:val="center"/>
          </w:tcPr>
          <w:p w14:paraId="1A79147F">
            <w:pPr>
              <w:spacing w:line="280" w:lineRule="exact"/>
              <w:jc w:val="center"/>
              <w:rPr>
                <w:rFonts w:ascii="Times New Roman"/>
                <w:sz w:val="21"/>
                <w:szCs w:val="21"/>
              </w:rPr>
            </w:pPr>
            <w:r>
              <w:rPr>
                <w:rFonts w:ascii="Times New Roman"/>
                <w:sz w:val="21"/>
                <w:szCs w:val="21"/>
              </w:rPr>
              <w:t>监测频率</w:t>
            </w:r>
          </w:p>
        </w:tc>
      </w:tr>
      <w:tr w14:paraId="6936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5"/>
            <w:vAlign w:val="center"/>
          </w:tcPr>
          <w:p w14:paraId="3904020D">
            <w:pPr>
              <w:spacing w:line="280" w:lineRule="exact"/>
              <w:jc w:val="center"/>
              <w:rPr>
                <w:rFonts w:ascii="Times New Roman"/>
                <w:sz w:val="21"/>
                <w:szCs w:val="21"/>
              </w:rPr>
            </w:pPr>
            <w:r>
              <w:rPr>
                <w:rFonts w:ascii="Times New Roman"/>
                <w:sz w:val="21"/>
                <w:szCs w:val="21"/>
              </w:rPr>
              <w:t>污染源监测</w:t>
            </w:r>
          </w:p>
        </w:tc>
      </w:tr>
      <w:tr w14:paraId="660E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255" w:type="pct"/>
            <w:vMerge w:val="restart"/>
            <w:vAlign w:val="center"/>
          </w:tcPr>
          <w:p w14:paraId="751B9AEB">
            <w:pPr>
              <w:spacing w:line="280" w:lineRule="exact"/>
              <w:jc w:val="center"/>
              <w:rPr>
                <w:rFonts w:ascii="Times New Roman"/>
                <w:sz w:val="21"/>
                <w:szCs w:val="21"/>
              </w:rPr>
            </w:pPr>
            <w:r>
              <w:rPr>
                <w:rFonts w:ascii="Times New Roman"/>
                <w:sz w:val="21"/>
                <w:szCs w:val="21"/>
              </w:rPr>
              <w:t>废气</w:t>
            </w:r>
          </w:p>
        </w:tc>
        <w:tc>
          <w:tcPr>
            <w:tcW w:w="763" w:type="pct"/>
            <w:shd w:val="clear" w:color="auto" w:fill="auto"/>
            <w:noWrap/>
            <w:vAlign w:val="center"/>
          </w:tcPr>
          <w:p w14:paraId="2A3355EA">
            <w:pPr>
              <w:spacing w:line="280" w:lineRule="exact"/>
              <w:jc w:val="center"/>
              <w:rPr>
                <w:rFonts w:ascii="Times New Roman"/>
                <w:sz w:val="21"/>
                <w:szCs w:val="21"/>
              </w:rPr>
            </w:pPr>
            <w:r>
              <w:rPr>
                <w:rFonts w:hint="eastAsia" w:ascii="Times New Roman"/>
                <w:sz w:val="21"/>
                <w:szCs w:val="21"/>
              </w:rPr>
              <w:t>下料生产线</w:t>
            </w:r>
          </w:p>
        </w:tc>
        <w:tc>
          <w:tcPr>
            <w:tcW w:w="1559" w:type="pct"/>
            <w:vAlign w:val="center"/>
          </w:tcPr>
          <w:p w14:paraId="3F881F75">
            <w:pPr>
              <w:spacing w:line="280" w:lineRule="exact"/>
              <w:jc w:val="center"/>
              <w:rPr>
                <w:rFonts w:ascii="Times New Roman"/>
                <w:sz w:val="21"/>
                <w:szCs w:val="21"/>
              </w:rPr>
            </w:pPr>
            <w:r>
              <w:rPr>
                <w:rFonts w:hint="eastAsia" w:ascii="Times New Roman"/>
                <w:sz w:val="21"/>
                <w:szCs w:val="21"/>
              </w:rPr>
              <w:t>切割、清理、打磨（DA001）</w:t>
            </w:r>
          </w:p>
        </w:tc>
        <w:tc>
          <w:tcPr>
            <w:tcW w:w="1493" w:type="pct"/>
            <w:vAlign w:val="center"/>
          </w:tcPr>
          <w:p w14:paraId="6DB0E879">
            <w:pPr>
              <w:spacing w:line="280" w:lineRule="exact"/>
              <w:jc w:val="center"/>
              <w:rPr>
                <w:rFonts w:ascii="Times New Roman"/>
                <w:sz w:val="21"/>
                <w:szCs w:val="21"/>
              </w:rPr>
            </w:pPr>
            <w:r>
              <w:rPr>
                <w:rFonts w:ascii="Times New Roman"/>
                <w:sz w:val="21"/>
                <w:szCs w:val="21"/>
              </w:rPr>
              <w:t>颗粒物</w:t>
            </w:r>
          </w:p>
        </w:tc>
        <w:tc>
          <w:tcPr>
            <w:tcW w:w="927" w:type="pct"/>
            <w:vAlign w:val="center"/>
          </w:tcPr>
          <w:p w14:paraId="40513A03">
            <w:pPr>
              <w:spacing w:line="280" w:lineRule="exact"/>
              <w:jc w:val="center"/>
              <w:rPr>
                <w:rFonts w:ascii="Times New Roman"/>
                <w:sz w:val="21"/>
                <w:szCs w:val="21"/>
              </w:rPr>
            </w:pPr>
            <w:r>
              <w:rPr>
                <w:rFonts w:ascii="Times New Roman"/>
                <w:sz w:val="21"/>
                <w:szCs w:val="21"/>
              </w:rPr>
              <w:t>1次/年</w:t>
            </w:r>
          </w:p>
        </w:tc>
      </w:tr>
      <w:tr w14:paraId="180A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255" w:type="pct"/>
            <w:vMerge w:val="continue"/>
            <w:vAlign w:val="center"/>
          </w:tcPr>
          <w:p w14:paraId="692E1D37">
            <w:pPr>
              <w:spacing w:line="280" w:lineRule="exact"/>
              <w:jc w:val="center"/>
              <w:rPr>
                <w:rFonts w:ascii="Times New Roman"/>
                <w:sz w:val="21"/>
                <w:szCs w:val="21"/>
              </w:rPr>
            </w:pPr>
          </w:p>
        </w:tc>
        <w:tc>
          <w:tcPr>
            <w:tcW w:w="763" w:type="pct"/>
            <w:vMerge w:val="restart"/>
            <w:shd w:val="clear" w:color="auto" w:fill="auto"/>
            <w:noWrap/>
            <w:vAlign w:val="center"/>
          </w:tcPr>
          <w:p w14:paraId="7C17AF1D">
            <w:pPr>
              <w:spacing w:line="280" w:lineRule="exact"/>
              <w:jc w:val="center"/>
              <w:rPr>
                <w:rFonts w:ascii="Times New Roman"/>
                <w:sz w:val="21"/>
                <w:szCs w:val="21"/>
              </w:rPr>
            </w:pPr>
            <w:r>
              <w:rPr>
                <w:rFonts w:hint="eastAsia" w:ascii="Times New Roman"/>
                <w:sz w:val="21"/>
                <w:szCs w:val="21"/>
              </w:rPr>
              <w:t>联合厂房-</w:t>
            </w:r>
            <w:r>
              <w:rPr>
                <w:rFonts w:ascii="Times New Roman"/>
                <w:sz w:val="21"/>
                <w:szCs w:val="21"/>
              </w:rPr>
              <w:t>焊接、滚筒生产线</w:t>
            </w:r>
          </w:p>
        </w:tc>
        <w:tc>
          <w:tcPr>
            <w:tcW w:w="1559" w:type="pct"/>
            <w:vAlign w:val="center"/>
          </w:tcPr>
          <w:p w14:paraId="698B4ED0">
            <w:pPr>
              <w:spacing w:line="280" w:lineRule="exact"/>
              <w:jc w:val="center"/>
              <w:rPr>
                <w:rFonts w:ascii="Times New Roman"/>
                <w:sz w:val="21"/>
                <w:szCs w:val="21"/>
              </w:rPr>
            </w:pPr>
            <w:r>
              <w:rPr>
                <w:rFonts w:hint="eastAsia" w:ascii="Times New Roman"/>
                <w:sz w:val="21"/>
                <w:szCs w:val="21"/>
              </w:rPr>
              <w:t>焊接工序（DA002-DA004)</w:t>
            </w:r>
          </w:p>
        </w:tc>
        <w:tc>
          <w:tcPr>
            <w:tcW w:w="1493" w:type="pct"/>
            <w:vAlign w:val="center"/>
          </w:tcPr>
          <w:p w14:paraId="6CDF3AA1">
            <w:pPr>
              <w:spacing w:line="280" w:lineRule="exact"/>
              <w:jc w:val="center"/>
              <w:rPr>
                <w:rFonts w:ascii="Times New Roman"/>
                <w:sz w:val="21"/>
                <w:szCs w:val="21"/>
              </w:rPr>
            </w:pPr>
            <w:r>
              <w:rPr>
                <w:rFonts w:ascii="Times New Roman"/>
                <w:sz w:val="21"/>
                <w:szCs w:val="21"/>
              </w:rPr>
              <w:t>颗粒物</w:t>
            </w:r>
          </w:p>
        </w:tc>
        <w:tc>
          <w:tcPr>
            <w:tcW w:w="927" w:type="pct"/>
            <w:vAlign w:val="center"/>
          </w:tcPr>
          <w:p w14:paraId="55FF556F">
            <w:pPr>
              <w:spacing w:line="280" w:lineRule="exact"/>
              <w:jc w:val="center"/>
              <w:rPr>
                <w:rFonts w:ascii="Times New Roman"/>
                <w:sz w:val="21"/>
                <w:szCs w:val="21"/>
              </w:rPr>
            </w:pPr>
            <w:r>
              <w:rPr>
                <w:rFonts w:ascii="Times New Roman"/>
                <w:sz w:val="21"/>
                <w:szCs w:val="21"/>
              </w:rPr>
              <w:t>1次/年</w:t>
            </w:r>
          </w:p>
        </w:tc>
      </w:tr>
      <w:tr w14:paraId="3260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73929AB1">
            <w:pPr>
              <w:spacing w:line="280" w:lineRule="exact"/>
              <w:jc w:val="center"/>
              <w:rPr>
                <w:rFonts w:ascii="Times New Roman"/>
                <w:sz w:val="21"/>
                <w:szCs w:val="21"/>
              </w:rPr>
            </w:pPr>
          </w:p>
        </w:tc>
        <w:tc>
          <w:tcPr>
            <w:tcW w:w="763" w:type="pct"/>
            <w:vMerge w:val="continue"/>
            <w:shd w:val="clear" w:color="auto" w:fill="auto"/>
            <w:noWrap/>
            <w:vAlign w:val="center"/>
          </w:tcPr>
          <w:p w14:paraId="5ADB54C8">
            <w:pPr>
              <w:spacing w:line="280" w:lineRule="exact"/>
              <w:jc w:val="center"/>
              <w:rPr>
                <w:rFonts w:ascii="Times New Roman"/>
                <w:sz w:val="21"/>
                <w:szCs w:val="21"/>
              </w:rPr>
            </w:pPr>
          </w:p>
        </w:tc>
        <w:tc>
          <w:tcPr>
            <w:tcW w:w="1559" w:type="pct"/>
            <w:vMerge w:val="restart"/>
            <w:vAlign w:val="center"/>
          </w:tcPr>
          <w:p w14:paraId="2DC279B0">
            <w:pPr>
              <w:spacing w:line="280" w:lineRule="exact"/>
              <w:jc w:val="center"/>
              <w:rPr>
                <w:rFonts w:ascii="Times New Roman"/>
                <w:sz w:val="21"/>
                <w:szCs w:val="21"/>
              </w:rPr>
            </w:pPr>
            <w:r>
              <w:rPr>
                <w:rFonts w:ascii="Times New Roman"/>
                <w:sz w:val="21"/>
                <w:szCs w:val="21"/>
              </w:rPr>
              <w:t>热处理车炉加热</w:t>
            </w:r>
            <w:r>
              <w:rPr>
                <w:rFonts w:hint="eastAsia" w:ascii="Times New Roman"/>
                <w:sz w:val="21"/>
                <w:szCs w:val="21"/>
              </w:rPr>
              <w:t>（DA005）</w:t>
            </w:r>
          </w:p>
        </w:tc>
        <w:tc>
          <w:tcPr>
            <w:tcW w:w="1493" w:type="pct"/>
            <w:vAlign w:val="center"/>
          </w:tcPr>
          <w:p w14:paraId="7B97C3CF">
            <w:pPr>
              <w:spacing w:line="280" w:lineRule="exact"/>
              <w:jc w:val="center"/>
              <w:rPr>
                <w:rFonts w:ascii="Times New Roman"/>
                <w:sz w:val="21"/>
                <w:szCs w:val="21"/>
              </w:rPr>
            </w:pPr>
            <w:r>
              <w:rPr>
                <w:rFonts w:ascii="Times New Roman"/>
                <w:sz w:val="21"/>
                <w:szCs w:val="21"/>
              </w:rPr>
              <w:t>颗粒物</w:t>
            </w:r>
            <w:r>
              <w:rPr>
                <w:rFonts w:hint="eastAsia" w:ascii="Times New Roman"/>
                <w:sz w:val="21"/>
                <w:szCs w:val="21"/>
              </w:rPr>
              <w:t>、二氧化硫、非甲烷总烃</w:t>
            </w:r>
            <w:r>
              <w:rPr>
                <w:rFonts w:ascii="Times New Roman"/>
                <w:snapToGrid w:val="0"/>
                <w:sz w:val="21"/>
                <w:szCs w:val="21"/>
              </w:rPr>
              <w:t>、</w:t>
            </w:r>
            <w:r>
              <w:rPr>
                <w:rFonts w:hint="eastAsia" w:ascii="Times New Roman"/>
                <w:snapToGrid w:val="0"/>
                <w:sz w:val="21"/>
                <w:szCs w:val="21"/>
              </w:rPr>
              <w:t>烟气黑度</w:t>
            </w:r>
          </w:p>
        </w:tc>
        <w:tc>
          <w:tcPr>
            <w:tcW w:w="927" w:type="pct"/>
            <w:vAlign w:val="center"/>
          </w:tcPr>
          <w:p w14:paraId="39CDEFFB">
            <w:pPr>
              <w:spacing w:line="280" w:lineRule="exact"/>
              <w:jc w:val="center"/>
              <w:rPr>
                <w:rFonts w:ascii="Times New Roman"/>
                <w:sz w:val="21"/>
                <w:szCs w:val="21"/>
              </w:rPr>
            </w:pPr>
            <w:r>
              <w:rPr>
                <w:rFonts w:ascii="Times New Roman"/>
                <w:sz w:val="21"/>
                <w:szCs w:val="21"/>
              </w:rPr>
              <w:t>1次/年</w:t>
            </w:r>
          </w:p>
        </w:tc>
      </w:tr>
      <w:tr w14:paraId="25B2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4E9E88DD">
            <w:pPr>
              <w:spacing w:line="280" w:lineRule="exact"/>
              <w:jc w:val="center"/>
            </w:pPr>
          </w:p>
        </w:tc>
        <w:tc>
          <w:tcPr>
            <w:tcW w:w="763" w:type="pct"/>
            <w:vMerge w:val="continue"/>
            <w:shd w:val="clear" w:color="auto" w:fill="auto"/>
            <w:noWrap/>
            <w:vAlign w:val="center"/>
          </w:tcPr>
          <w:p w14:paraId="06C692B0">
            <w:pPr>
              <w:spacing w:line="280" w:lineRule="exact"/>
              <w:jc w:val="center"/>
            </w:pPr>
          </w:p>
        </w:tc>
        <w:tc>
          <w:tcPr>
            <w:tcW w:w="1559" w:type="pct"/>
            <w:vMerge w:val="continue"/>
            <w:vAlign w:val="center"/>
          </w:tcPr>
          <w:p w14:paraId="398E04CD">
            <w:pPr>
              <w:spacing w:line="280" w:lineRule="exact"/>
              <w:jc w:val="center"/>
            </w:pPr>
          </w:p>
        </w:tc>
        <w:tc>
          <w:tcPr>
            <w:tcW w:w="1493" w:type="pct"/>
            <w:vAlign w:val="center"/>
          </w:tcPr>
          <w:p w14:paraId="02F03179">
            <w:pPr>
              <w:spacing w:line="280" w:lineRule="exact"/>
              <w:jc w:val="center"/>
              <w:rPr>
                <w:rFonts w:ascii="Times New Roman"/>
                <w:sz w:val="21"/>
                <w:szCs w:val="21"/>
              </w:rPr>
            </w:pPr>
            <w:r>
              <w:rPr>
                <w:rFonts w:hint="eastAsia" w:ascii="Times New Roman"/>
                <w:sz w:val="21"/>
                <w:szCs w:val="21"/>
              </w:rPr>
              <w:t>氮氧化物</w:t>
            </w:r>
          </w:p>
        </w:tc>
        <w:tc>
          <w:tcPr>
            <w:tcW w:w="927" w:type="pct"/>
            <w:vAlign w:val="center"/>
          </w:tcPr>
          <w:p w14:paraId="108DC993">
            <w:pPr>
              <w:spacing w:line="280" w:lineRule="exact"/>
              <w:jc w:val="center"/>
              <w:rPr>
                <w:rFonts w:ascii="Times New Roman"/>
                <w:sz w:val="21"/>
                <w:szCs w:val="21"/>
              </w:rPr>
            </w:pPr>
            <w:r>
              <w:rPr>
                <w:rFonts w:hint="eastAsia" w:ascii="Times New Roman"/>
                <w:sz w:val="21"/>
                <w:szCs w:val="21"/>
              </w:rPr>
              <w:t>1次/月</w:t>
            </w:r>
          </w:p>
        </w:tc>
      </w:tr>
      <w:tr w14:paraId="767D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15E3B861">
            <w:pPr>
              <w:spacing w:line="280" w:lineRule="exact"/>
              <w:jc w:val="center"/>
            </w:pPr>
          </w:p>
        </w:tc>
        <w:tc>
          <w:tcPr>
            <w:tcW w:w="763" w:type="pct"/>
            <w:vMerge w:val="continue"/>
            <w:shd w:val="clear" w:color="auto" w:fill="auto"/>
            <w:noWrap/>
            <w:vAlign w:val="center"/>
          </w:tcPr>
          <w:p w14:paraId="670D5D9B">
            <w:pPr>
              <w:spacing w:line="280" w:lineRule="exact"/>
              <w:jc w:val="center"/>
            </w:pPr>
          </w:p>
        </w:tc>
        <w:tc>
          <w:tcPr>
            <w:tcW w:w="1559" w:type="pct"/>
            <w:vAlign w:val="center"/>
          </w:tcPr>
          <w:p w14:paraId="763631C3">
            <w:pPr>
              <w:spacing w:line="280" w:lineRule="exact"/>
              <w:jc w:val="center"/>
            </w:pPr>
            <w:r>
              <w:rPr>
                <w:rFonts w:hint="eastAsia" w:ascii="Times New Roman"/>
                <w:sz w:val="21"/>
                <w:szCs w:val="21"/>
              </w:rPr>
              <w:t>热处理淬油（DA006）</w:t>
            </w:r>
          </w:p>
        </w:tc>
        <w:tc>
          <w:tcPr>
            <w:tcW w:w="1493" w:type="pct"/>
            <w:vAlign w:val="center"/>
          </w:tcPr>
          <w:p w14:paraId="768D09FC">
            <w:pPr>
              <w:spacing w:line="280" w:lineRule="exact"/>
              <w:jc w:val="center"/>
              <w:rPr>
                <w:rFonts w:ascii="Times New Roman"/>
                <w:sz w:val="21"/>
                <w:szCs w:val="21"/>
              </w:rPr>
            </w:pPr>
            <w:r>
              <w:rPr>
                <w:rFonts w:hint="eastAsia" w:ascii="Times New Roman"/>
                <w:sz w:val="21"/>
                <w:szCs w:val="21"/>
              </w:rPr>
              <w:t>非甲烷总烃、油雾（以颗粒物计）</w:t>
            </w:r>
          </w:p>
        </w:tc>
        <w:tc>
          <w:tcPr>
            <w:tcW w:w="927" w:type="pct"/>
            <w:vAlign w:val="center"/>
          </w:tcPr>
          <w:p w14:paraId="60C49EBB">
            <w:pPr>
              <w:spacing w:line="280" w:lineRule="exact"/>
              <w:jc w:val="center"/>
              <w:rPr>
                <w:rFonts w:ascii="Times New Roman"/>
                <w:sz w:val="21"/>
                <w:szCs w:val="21"/>
              </w:rPr>
            </w:pPr>
            <w:r>
              <w:rPr>
                <w:rFonts w:ascii="Times New Roman"/>
                <w:sz w:val="21"/>
                <w:szCs w:val="21"/>
              </w:rPr>
              <w:t>1次/年</w:t>
            </w:r>
          </w:p>
        </w:tc>
      </w:tr>
      <w:tr w14:paraId="6C8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2A818B49">
            <w:pPr>
              <w:spacing w:line="280" w:lineRule="exact"/>
              <w:jc w:val="center"/>
            </w:pPr>
          </w:p>
        </w:tc>
        <w:tc>
          <w:tcPr>
            <w:tcW w:w="763" w:type="pct"/>
            <w:vMerge w:val="restart"/>
            <w:shd w:val="clear" w:color="auto" w:fill="auto"/>
            <w:noWrap/>
            <w:vAlign w:val="center"/>
          </w:tcPr>
          <w:p w14:paraId="30FA3ADB">
            <w:pPr>
              <w:spacing w:line="280" w:lineRule="exact"/>
              <w:jc w:val="center"/>
            </w:pPr>
            <w:r>
              <w:rPr>
                <w:rFonts w:hint="eastAsia" w:ascii="Times New Roman"/>
                <w:sz w:val="21"/>
                <w:szCs w:val="21"/>
              </w:rPr>
              <w:t>联合厂房-</w:t>
            </w:r>
            <w:r>
              <w:rPr>
                <w:rFonts w:ascii="Times New Roman"/>
                <w:sz w:val="21"/>
                <w:szCs w:val="21"/>
              </w:rPr>
              <w:t>预处理及喷涂生产线</w:t>
            </w:r>
          </w:p>
        </w:tc>
        <w:tc>
          <w:tcPr>
            <w:tcW w:w="1559" w:type="pct"/>
            <w:vAlign w:val="center"/>
          </w:tcPr>
          <w:p w14:paraId="6454C58A">
            <w:pPr>
              <w:spacing w:line="280" w:lineRule="exact"/>
              <w:jc w:val="center"/>
              <w:rPr>
                <w:rFonts w:ascii="Times New Roman"/>
                <w:sz w:val="21"/>
                <w:szCs w:val="21"/>
              </w:rPr>
            </w:pPr>
            <w:r>
              <w:rPr>
                <w:rFonts w:hint="eastAsia" w:ascii="Times New Roman"/>
                <w:sz w:val="21"/>
                <w:szCs w:val="21"/>
              </w:rPr>
              <w:t>抛丸、喷砂工序（DA007）</w:t>
            </w:r>
          </w:p>
        </w:tc>
        <w:tc>
          <w:tcPr>
            <w:tcW w:w="1493" w:type="pct"/>
            <w:vAlign w:val="center"/>
          </w:tcPr>
          <w:p w14:paraId="1409D5F9">
            <w:pPr>
              <w:spacing w:line="280" w:lineRule="exact"/>
              <w:jc w:val="center"/>
              <w:rPr>
                <w:rFonts w:ascii="Times New Roman"/>
                <w:sz w:val="21"/>
                <w:szCs w:val="21"/>
              </w:rPr>
            </w:pPr>
            <w:r>
              <w:rPr>
                <w:rFonts w:ascii="Times New Roman"/>
                <w:sz w:val="21"/>
                <w:szCs w:val="21"/>
              </w:rPr>
              <w:t>颗粒物</w:t>
            </w:r>
          </w:p>
        </w:tc>
        <w:tc>
          <w:tcPr>
            <w:tcW w:w="927" w:type="pct"/>
            <w:vAlign w:val="center"/>
          </w:tcPr>
          <w:p w14:paraId="5394A146">
            <w:pPr>
              <w:spacing w:line="280" w:lineRule="exact"/>
              <w:jc w:val="center"/>
              <w:rPr>
                <w:rFonts w:ascii="Times New Roman"/>
                <w:sz w:val="21"/>
                <w:szCs w:val="21"/>
              </w:rPr>
            </w:pPr>
            <w:r>
              <w:rPr>
                <w:rFonts w:ascii="Times New Roman"/>
                <w:sz w:val="21"/>
                <w:szCs w:val="21"/>
              </w:rPr>
              <w:t>1次/年</w:t>
            </w:r>
          </w:p>
        </w:tc>
      </w:tr>
      <w:tr w14:paraId="56E6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46269146">
            <w:pPr>
              <w:spacing w:line="280" w:lineRule="exact"/>
              <w:jc w:val="center"/>
            </w:pPr>
          </w:p>
        </w:tc>
        <w:tc>
          <w:tcPr>
            <w:tcW w:w="763" w:type="pct"/>
            <w:vMerge w:val="continue"/>
            <w:shd w:val="clear" w:color="auto" w:fill="auto"/>
            <w:noWrap/>
            <w:vAlign w:val="center"/>
          </w:tcPr>
          <w:p w14:paraId="3CF2D23F">
            <w:pPr>
              <w:spacing w:line="280" w:lineRule="exact"/>
              <w:jc w:val="center"/>
            </w:pPr>
          </w:p>
        </w:tc>
        <w:tc>
          <w:tcPr>
            <w:tcW w:w="1559" w:type="pct"/>
            <w:vAlign w:val="center"/>
          </w:tcPr>
          <w:p w14:paraId="418F5F54">
            <w:pPr>
              <w:spacing w:line="280" w:lineRule="exact"/>
              <w:jc w:val="center"/>
              <w:rPr>
                <w:rFonts w:ascii="Times New Roman"/>
                <w:sz w:val="21"/>
                <w:szCs w:val="21"/>
              </w:rPr>
            </w:pPr>
            <w:r>
              <w:rPr>
                <w:rFonts w:hint="eastAsia" w:ascii="Times New Roman"/>
                <w:sz w:val="21"/>
                <w:szCs w:val="21"/>
              </w:rPr>
              <w:t>喷塑工序（DA008）</w:t>
            </w:r>
          </w:p>
        </w:tc>
        <w:tc>
          <w:tcPr>
            <w:tcW w:w="1493" w:type="pct"/>
            <w:vAlign w:val="center"/>
          </w:tcPr>
          <w:p w14:paraId="0412B847">
            <w:pPr>
              <w:spacing w:line="280" w:lineRule="exact"/>
              <w:jc w:val="center"/>
              <w:rPr>
                <w:rFonts w:ascii="Times New Roman"/>
                <w:sz w:val="21"/>
                <w:szCs w:val="21"/>
              </w:rPr>
            </w:pPr>
            <w:r>
              <w:rPr>
                <w:rFonts w:ascii="Times New Roman"/>
                <w:sz w:val="21"/>
                <w:szCs w:val="21"/>
              </w:rPr>
              <w:t>颗粒物</w:t>
            </w:r>
          </w:p>
        </w:tc>
        <w:tc>
          <w:tcPr>
            <w:tcW w:w="927" w:type="pct"/>
            <w:vAlign w:val="center"/>
          </w:tcPr>
          <w:p w14:paraId="5EC8B337">
            <w:pPr>
              <w:spacing w:line="280" w:lineRule="exact"/>
              <w:jc w:val="center"/>
              <w:rPr>
                <w:rFonts w:ascii="Times New Roman"/>
                <w:sz w:val="21"/>
                <w:szCs w:val="21"/>
              </w:rPr>
            </w:pPr>
            <w:r>
              <w:rPr>
                <w:rFonts w:ascii="Times New Roman"/>
                <w:sz w:val="21"/>
                <w:szCs w:val="21"/>
              </w:rPr>
              <w:t>1次/年</w:t>
            </w:r>
          </w:p>
        </w:tc>
      </w:tr>
      <w:tr w14:paraId="2AC5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1ABAA9D5">
            <w:pPr>
              <w:spacing w:line="280" w:lineRule="exact"/>
              <w:jc w:val="center"/>
            </w:pPr>
          </w:p>
        </w:tc>
        <w:tc>
          <w:tcPr>
            <w:tcW w:w="763" w:type="pct"/>
            <w:vMerge w:val="continue"/>
            <w:shd w:val="clear" w:color="auto" w:fill="auto"/>
            <w:noWrap/>
            <w:vAlign w:val="center"/>
          </w:tcPr>
          <w:p w14:paraId="3E2D07E7">
            <w:pPr>
              <w:spacing w:line="280" w:lineRule="exact"/>
              <w:jc w:val="center"/>
            </w:pPr>
          </w:p>
        </w:tc>
        <w:tc>
          <w:tcPr>
            <w:tcW w:w="1559" w:type="pct"/>
            <w:vMerge w:val="restart"/>
            <w:vAlign w:val="center"/>
          </w:tcPr>
          <w:p w14:paraId="38A41452">
            <w:pPr>
              <w:spacing w:line="280" w:lineRule="exact"/>
              <w:jc w:val="center"/>
              <w:rPr>
                <w:rFonts w:ascii="Times New Roman"/>
                <w:sz w:val="21"/>
                <w:szCs w:val="21"/>
              </w:rPr>
            </w:pPr>
            <w:r>
              <w:rPr>
                <w:rFonts w:hint="eastAsia" w:ascii="Times New Roman"/>
                <w:sz w:val="21"/>
                <w:szCs w:val="21"/>
              </w:rPr>
              <w:t>喷塑固化、强冷、电泳、喷漆、流平、烘干固化工序（DA009)</w:t>
            </w:r>
          </w:p>
        </w:tc>
        <w:tc>
          <w:tcPr>
            <w:tcW w:w="1493" w:type="pct"/>
            <w:vAlign w:val="center"/>
          </w:tcPr>
          <w:p w14:paraId="64CD32AB">
            <w:pPr>
              <w:spacing w:line="280" w:lineRule="exact"/>
              <w:jc w:val="center"/>
              <w:rPr>
                <w:rFonts w:ascii="Times New Roman"/>
                <w:sz w:val="21"/>
                <w:szCs w:val="21"/>
              </w:rPr>
            </w:pPr>
            <w:r>
              <w:rPr>
                <w:rFonts w:ascii="Times New Roman"/>
                <w:sz w:val="21"/>
                <w:szCs w:val="21"/>
              </w:rPr>
              <w:t>颗粒物</w:t>
            </w:r>
            <w:r>
              <w:rPr>
                <w:rFonts w:hint="eastAsia" w:ascii="Times New Roman"/>
                <w:sz w:val="21"/>
                <w:szCs w:val="21"/>
              </w:rPr>
              <w:t>、二氧化硫、</w:t>
            </w:r>
            <w:r>
              <w:rPr>
                <w:rFonts w:hint="eastAsia" w:ascii="Times New Roman"/>
                <w:snapToGrid w:val="0"/>
                <w:sz w:val="21"/>
                <w:szCs w:val="21"/>
              </w:rPr>
              <w:t>烟气黑度、</w:t>
            </w:r>
            <w:r>
              <w:rPr>
                <w:rFonts w:hint="eastAsia" w:ascii="Times New Roman"/>
                <w:sz w:val="21"/>
                <w:szCs w:val="21"/>
              </w:rPr>
              <w:t>非甲烷总烃</w:t>
            </w:r>
            <w:r>
              <w:rPr>
                <w:rFonts w:ascii="Times New Roman"/>
                <w:snapToGrid w:val="0"/>
                <w:sz w:val="21"/>
                <w:szCs w:val="21"/>
              </w:rPr>
              <w:t>、</w:t>
            </w:r>
            <w:r>
              <w:rPr>
                <w:rFonts w:hint="eastAsia" w:ascii="Times New Roman"/>
                <w:snapToGrid w:val="0"/>
                <w:sz w:val="21"/>
                <w:szCs w:val="21"/>
              </w:rPr>
              <w:t>二甲苯</w:t>
            </w:r>
          </w:p>
        </w:tc>
        <w:tc>
          <w:tcPr>
            <w:tcW w:w="927" w:type="pct"/>
            <w:vAlign w:val="center"/>
          </w:tcPr>
          <w:p w14:paraId="4169E45A">
            <w:pPr>
              <w:spacing w:line="280" w:lineRule="exact"/>
              <w:jc w:val="center"/>
              <w:rPr>
                <w:rFonts w:ascii="Times New Roman"/>
                <w:sz w:val="21"/>
                <w:szCs w:val="21"/>
              </w:rPr>
            </w:pPr>
            <w:r>
              <w:rPr>
                <w:rFonts w:ascii="Times New Roman"/>
                <w:sz w:val="21"/>
                <w:szCs w:val="21"/>
              </w:rPr>
              <w:t>1次/</w:t>
            </w:r>
            <w:r>
              <w:rPr>
                <w:rFonts w:hint="eastAsia" w:ascii="Times New Roman"/>
                <w:sz w:val="21"/>
                <w:szCs w:val="21"/>
              </w:rPr>
              <w:t>年</w:t>
            </w:r>
          </w:p>
        </w:tc>
      </w:tr>
      <w:tr w14:paraId="500D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55" w:type="pct"/>
            <w:vMerge w:val="continue"/>
            <w:vAlign w:val="center"/>
          </w:tcPr>
          <w:p w14:paraId="396E628A">
            <w:pPr>
              <w:spacing w:line="280" w:lineRule="exact"/>
              <w:jc w:val="center"/>
            </w:pPr>
          </w:p>
        </w:tc>
        <w:tc>
          <w:tcPr>
            <w:tcW w:w="763" w:type="pct"/>
            <w:vMerge w:val="continue"/>
            <w:shd w:val="clear" w:color="auto" w:fill="auto"/>
            <w:noWrap/>
            <w:vAlign w:val="center"/>
          </w:tcPr>
          <w:p w14:paraId="6B69B5C9">
            <w:pPr>
              <w:spacing w:line="280" w:lineRule="exact"/>
              <w:jc w:val="center"/>
            </w:pPr>
          </w:p>
        </w:tc>
        <w:tc>
          <w:tcPr>
            <w:tcW w:w="1559" w:type="pct"/>
            <w:vMerge w:val="continue"/>
            <w:vAlign w:val="center"/>
          </w:tcPr>
          <w:p w14:paraId="67ACFC70">
            <w:pPr>
              <w:spacing w:line="280" w:lineRule="exact"/>
              <w:jc w:val="center"/>
              <w:rPr>
                <w:rFonts w:ascii="Times New Roman"/>
                <w:sz w:val="21"/>
                <w:szCs w:val="21"/>
              </w:rPr>
            </w:pPr>
          </w:p>
        </w:tc>
        <w:tc>
          <w:tcPr>
            <w:tcW w:w="1493" w:type="pct"/>
            <w:vAlign w:val="center"/>
          </w:tcPr>
          <w:p w14:paraId="2CB6C806">
            <w:pPr>
              <w:spacing w:line="280" w:lineRule="exact"/>
              <w:jc w:val="center"/>
              <w:rPr>
                <w:rFonts w:ascii="Times New Roman"/>
                <w:sz w:val="21"/>
                <w:szCs w:val="21"/>
              </w:rPr>
            </w:pPr>
            <w:r>
              <w:rPr>
                <w:rFonts w:hint="eastAsia" w:ascii="Times New Roman"/>
                <w:sz w:val="21"/>
                <w:szCs w:val="21"/>
              </w:rPr>
              <w:t>氮氧化物</w:t>
            </w:r>
          </w:p>
        </w:tc>
        <w:tc>
          <w:tcPr>
            <w:tcW w:w="927" w:type="pct"/>
            <w:vAlign w:val="center"/>
          </w:tcPr>
          <w:p w14:paraId="63C1BC63">
            <w:pPr>
              <w:spacing w:line="280" w:lineRule="exact"/>
              <w:jc w:val="center"/>
              <w:rPr>
                <w:rFonts w:ascii="Times New Roman"/>
                <w:sz w:val="21"/>
                <w:szCs w:val="21"/>
              </w:rPr>
            </w:pPr>
            <w:r>
              <w:rPr>
                <w:rFonts w:hint="eastAsia" w:ascii="Times New Roman"/>
                <w:sz w:val="21"/>
                <w:szCs w:val="21"/>
              </w:rPr>
              <w:t>1次/月</w:t>
            </w:r>
          </w:p>
        </w:tc>
      </w:tr>
      <w:tr w14:paraId="77D4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55" w:type="pct"/>
            <w:vMerge w:val="continue"/>
            <w:vAlign w:val="center"/>
          </w:tcPr>
          <w:p w14:paraId="196C0382">
            <w:pPr>
              <w:spacing w:line="280" w:lineRule="exact"/>
              <w:jc w:val="center"/>
              <w:rPr>
                <w:rFonts w:ascii="Times New Roman"/>
                <w:sz w:val="21"/>
                <w:szCs w:val="21"/>
              </w:rPr>
            </w:pPr>
          </w:p>
        </w:tc>
        <w:tc>
          <w:tcPr>
            <w:tcW w:w="763" w:type="pct"/>
            <w:vMerge w:val="restart"/>
            <w:shd w:val="clear" w:color="auto" w:fill="auto"/>
            <w:noWrap/>
            <w:vAlign w:val="center"/>
          </w:tcPr>
          <w:p w14:paraId="5649FDB4">
            <w:pPr>
              <w:spacing w:line="280" w:lineRule="exact"/>
              <w:jc w:val="center"/>
              <w:rPr>
                <w:rFonts w:ascii="Times New Roman"/>
                <w:sz w:val="21"/>
                <w:szCs w:val="21"/>
              </w:rPr>
            </w:pPr>
            <w:r>
              <w:rPr>
                <w:rFonts w:hint="eastAsia" w:ascii="Times New Roman"/>
                <w:sz w:val="21"/>
                <w:szCs w:val="21"/>
              </w:rPr>
              <w:t>托辊及装配厂房-托辊生产线</w:t>
            </w:r>
          </w:p>
        </w:tc>
        <w:tc>
          <w:tcPr>
            <w:tcW w:w="1559" w:type="pct"/>
            <w:vAlign w:val="center"/>
          </w:tcPr>
          <w:p w14:paraId="64E4FBD8">
            <w:pPr>
              <w:spacing w:line="280" w:lineRule="exact"/>
              <w:jc w:val="center"/>
              <w:rPr>
                <w:rFonts w:ascii="Times New Roman"/>
                <w:sz w:val="21"/>
                <w:szCs w:val="21"/>
              </w:rPr>
            </w:pPr>
            <w:r>
              <w:rPr>
                <w:rFonts w:hint="eastAsia" w:ascii="Times New Roman"/>
                <w:sz w:val="21"/>
                <w:szCs w:val="21"/>
              </w:rPr>
              <w:t>喷塑工序（DA010）</w:t>
            </w:r>
          </w:p>
        </w:tc>
        <w:tc>
          <w:tcPr>
            <w:tcW w:w="1493" w:type="pct"/>
            <w:vAlign w:val="center"/>
          </w:tcPr>
          <w:p w14:paraId="1C7E9098">
            <w:pPr>
              <w:spacing w:line="280" w:lineRule="exact"/>
              <w:jc w:val="center"/>
              <w:rPr>
                <w:rFonts w:ascii="Times New Roman"/>
                <w:sz w:val="21"/>
                <w:szCs w:val="21"/>
              </w:rPr>
            </w:pPr>
            <w:r>
              <w:rPr>
                <w:rFonts w:ascii="Times New Roman"/>
                <w:sz w:val="21"/>
                <w:szCs w:val="21"/>
              </w:rPr>
              <w:t>颗粒物</w:t>
            </w:r>
          </w:p>
        </w:tc>
        <w:tc>
          <w:tcPr>
            <w:tcW w:w="927" w:type="pct"/>
            <w:vAlign w:val="center"/>
          </w:tcPr>
          <w:p w14:paraId="5FAA0E93">
            <w:pPr>
              <w:spacing w:line="280" w:lineRule="exact"/>
              <w:jc w:val="center"/>
              <w:rPr>
                <w:rFonts w:ascii="Times New Roman"/>
                <w:sz w:val="21"/>
                <w:szCs w:val="21"/>
              </w:rPr>
            </w:pPr>
            <w:r>
              <w:rPr>
                <w:rFonts w:ascii="Times New Roman"/>
                <w:sz w:val="21"/>
                <w:szCs w:val="21"/>
              </w:rPr>
              <w:t>1次/年</w:t>
            </w:r>
          </w:p>
        </w:tc>
      </w:tr>
      <w:tr w14:paraId="6FBA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55" w:type="pct"/>
            <w:vMerge w:val="continue"/>
            <w:vAlign w:val="center"/>
          </w:tcPr>
          <w:p w14:paraId="3F3C7C4E">
            <w:pPr>
              <w:spacing w:line="280" w:lineRule="exact"/>
              <w:jc w:val="center"/>
              <w:rPr>
                <w:rFonts w:ascii="Times New Roman"/>
                <w:sz w:val="21"/>
                <w:szCs w:val="21"/>
              </w:rPr>
            </w:pPr>
          </w:p>
        </w:tc>
        <w:tc>
          <w:tcPr>
            <w:tcW w:w="763" w:type="pct"/>
            <w:vMerge w:val="continue"/>
            <w:shd w:val="clear" w:color="auto" w:fill="auto"/>
            <w:noWrap/>
            <w:vAlign w:val="center"/>
          </w:tcPr>
          <w:p w14:paraId="09585214">
            <w:pPr>
              <w:spacing w:line="280" w:lineRule="exact"/>
              <w:jc w:val="center"/>
              <w:rPr>
                <w:rFonts w:ascii="Times New Roman"/>
                <w:sz w:val="21"/>
                <w:szCs w:val="21"/>
              </w:rPr>
            </w:pPr>
          </w:p>
        </w:tc>
        <w:tc>
          <w:tcPr>
            <w:tcW w:w="1559" w:type="pct"/>
            <w:vMerge w:val="restart"/>
            <w:vAlign w:val="center"/>
          </w:tcPr>
          <w:p w14:paraId="74ED6CE6">
            <w:pPr>
              <w:spacing w:line="280" w:lineRule="exact"/>
              <w:jc w:val="center"/>
              <w:rPr>
                <w:rFonts w:ascii="Times New Roman"/>
                <w:sz w:val="21"/>
                <w:szCs w:val="21"/>
              </w:rPr>
            </w:pPr>
            <w:r>
              <w:rPr>
                <w:rFonts w:hint="eastAsia" w:ascii="Times New Roman"/>
                <w:sz w:val="21"/>
                <w:szCs w:val="21"/>
              </w:rPr>
              <w:t>喷塑固化（DA011）</w:t>
            </w:r>
          </w:p>
        </w:tc>
        <w:tc>
          <w:tcPr>
            <w:tcW w:w="1493" w:type="pct"/>
            <w:vAlign w:val="center"/>
          </w:tcPr>
          <w:p w14:paraId="49D176D7">
            <w:pPr>
              <w:spacing w:line="280" w:lineRule="exact"/>
              <w:jc w:val="center"/>
              <w:rPr>
                <w:rFonts w:ascii="Times New Roman"/>
                <w:sz w:val="21"/>
                <w:szCs w:val="21"/>
              </w:rPr>
            </w:pPr>
            <w:r>
              <w:rPr>
                <w:rFonts w:ascii="Times New Roman"/>
                <w:sz w:val="21"/>
                <w:szCs w:val="21"/>
              </w:rPr>
              <w:t>颗粒物</w:t>
            </w:r>
            <w:r>
              <w:rPr>
                <w:rFonts w:hint="eastAsia" w:ascii="Times New Roman"/>
                <w:sz w:val="21"/>
                <w:szCs w:val="21"/>
              </w:rPr>
              <w:t>、二氧化硫、</w:t>
            </w:r>
            <w:r>
              <w:rPr>
                <w:rFonts w:hint="eastAsia" w:ascii="Times New Roman"/>
                <w:snapToGrid w:val="0"/>
                <w:sz w:val="21"/>
                <w:szCs w:val="21"/>
              </w:rPr>
              <w:t>烟气黑度、</w:t>
            </w:r>
            <w:r>
              <w:rPr>
                <w:rFonts w:hint="eastAsia" w:ascii="Times New Roman"/>
                <w:sz w:val="21"/>
                <w:szCs w:val="21"/>
              </w:rPr>
              <w:t>非甲烷总烃</w:t>
            </w:r>
          </w:p>
        </w:tc>
        <w:tc>
          <w:tcPr>
            <w:tcW w:w="927" w:type="pct"/>
            <w:vAlign w:val="center"/>
          </w:tcPr>
          <w:p w14:paraId="6B8B41FD">
            <w:pPr>
              <w:spacing w:line="280" w:lineRule="exact"/>
              <w:jc w:val="center"/>
              <w:rPr>
                <w:rFonts w:ascii="Times New Roman"/>
                <w:sz w:val="21"/>
                <w:szCs w:val="21"/>
              </w:rPr>
            </w:pPr>
            <w:r>
              <w:rPr>
                <w:rFonts w:ascii="Times New Roman"/>
                <w:sz w:val="21"/>
                <w:szCs w:val="21"/>
              </w:rPr>
              <w:t>1次/</w:t>
            </w:r>
            <w:r>
              <w:rPr>
                <w:rFonts w:hint="eastAsia" w:ascii="Times New Roman"/>
                <w:sz w:val="21"/>
                <w:szCs w:val="21"/>
              </w:rPr>
              <w:t>年</w:t>
            </w:r>
          </w:p>
        </w:tc>
      </w:tr>
      <w:tr w14:paraId="21B7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55" w:type="pct"/>
            <w:vMerge w:val="continue"/>
            <w:vAlign w:val="center"/>
          </w:tcPr>
          <w:p w14:paraId="5B20DCCE">
            <w:pPr>
              <w:spacing w:line="280" w:lineRule="exact"/>
              <w:jc w:val="center"/>
              <w:rPr>
                <w:rFonts w:ascii="Times New Roman"/>
                <w:sz w:val="21"/>
                <w:szCs w:val="21"/>
              </w:rPr>
            </w:pPr>
          </w:p>
        </w:tc>
        <w:tc>
          <w:tcPr>
            <w:tcW w:w="763" w:type="pct"/>
            <w:vMerge w:val="continue"/>
            <w:shd w:val="clear" w:color="auto" w:fill="auto"/>
            <w:noWrap/>
            <w:vAlign w:val="center"/>
          </w:tcPr>
          <w:p w14:paraId="6617F8DF">
            <w:pPr>
              <w:spacing w:line="280" w:lineRule="exact"/>
              <w:jc w:val="center"/>
              <w:rPr>
                <w:rFonts w:ascii="Times New Roman"/>
                <w:sz w:val="21"/>
                <w:szCs w:val="21"/>
              </w:rPr>
            </w:pPr>
          </w:p>
        </w:tc>
        <w:tc>
          <w:tcPr>
            <w:tcW w:w="1559" w:type="pct"/>
            <w:vMerge w:val="continue"/>
            <w:vAlign w:val="center"/>
          </w:tcPr>
          <w:p w14:paraId="7CF9FEEE">
            <w:pPr>
              <w:spacing w:line="280" w:lineRule="exact"/>
              <w:jc w:val="center"/>
              <w:rPr>
                <w:rFonts w:ascii="Times New Roman"/>
                <w:sz w:val="21"/>
                <w:szCs w:val="21"/>
              </w:rPr>
            </w:pPr>
          </w:p>
        </w:tc>
        <w:tc>
          <w:tcPr>
            <w:tcW w:w="1493" w:type="pct"/>
            <w:vAlign w:val="center"/>
          </w:tcPr>
          <w:p w14:paraId="7F5AA039">
            <w:pPr>
              <w:spacing w:line="280" w:lineRule="exact"/>
              <w:jc w:val="center"/>
              <w:rPr>
                <w:rFonts w:ascii="Times New Roman"/>
                <w:sz w:val="21"/>
                <w:szCs w:val="21"/>
              </w:rPr>
            </w:pPr>
            <w:r>
              <w:rPr>
                <w:rFonts w:hint="eastAsia" w:ascii="Times New Roman"/>
                <w:sz w:val="21"/>
                <w:szCs w:val="21"/>
              </w:rPr>
              <w:t>氮氧化物</w:t>
            </w:r>
          </w:p>
        </w:tc>
        <w:tc>
          <w:tcPr>
            <w:tcW w:w="927" w:type="pct"/>
            <w:vAlign w:val="center"/>
          </w:tcPr>
          <w:p w14:paraId="31D9AD77">
            <w:pPr>
              <w:spacing w:line="280" w:lineRule="exact"/>
              <w:jc w:val="center"/>
              <w:rPr>
                <w:rFonts w:ascii="Times New Roman"/>
                <w:sz w:val="21"/>
                <w:szCs w:val="21"/>
              </w:rPr>
            </w:pPr>
            <w:r>
              <w:rPr>
                <w:rFonts w:hint="eastAsia" w:ascii="Times New Roman"/>
                <w:sz w:val="21"/>
                <w:szCs w:val="21"/>
              </w:rPr>
              <w:t>1次/月</w:t>
            </w:r>
          </w:p>
        </w:tc>
      </w:tr>
      <w:tr w14:paraId="47C4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6E935038">
            <w:pPr>
              <w:spacing w:line="280" w:lineRule="exact"/>
              <w:jc w:val="center"/>
              <w:rPr>
                <w:rFonts w:ascii="Times New Roman"/>
                <w:sz w:val="21"/>
                <w:szCs w:val="21"/>
              </w:rPr>
            </w:pPr>
          </w:p>
        </w:tc>
        <w:tc>
          <w:tcPr>
            <w:tcW w:w="763" w:type="pct"/>
            <w:shd w:val="clear" w:color="auto" w:fill="auto"/>
            <w:noWrap/>
            <w:vAlign w:val="center"/>
          </w:tcPr>
          <w:p w14:paraId="48B687C7">
            <w:pPr>
              <w:spacing w:line="280" w:lineRule="exact"/>
              <w:jc w:val="center"/>
              <w:rPr>
                <w:rFonts w:ascii="Times New Roman"/>
                <w:sz w:val="21"/>
                <w:szCs w:val="21"/>
              </w:rPr>
            </w:pPr>
            <w:r>
              <w:rPr>
                <w:rFonts w:hint="eastAsia" w:ascii="Times New Roman"/>
                <w:sz w:val="21"/>
                <w:szCs w:val="21"/>
              </w:rPr>
              <w:t>食堂</w:t>
            </w:r>
          </w:p>
        </w:tc>
        <w:tc>
          <w:tcPr>
            <w:tcW w:w="1559" w:type="pct"/>
            <w:vAlign w:val="center"/>
          </w:tcPr>
          <w:p w14:paraId="1F29B30F">
            <w:pPr>
              <w:spacing w:line="280" w:lineRule="exact"/>
              <w:jc w:val="center"/>
              <w:rPr>
                <w:rFonts w:ascii="Times New Roman"/>
                <w:sz w:val="21"/>
                <w:szCs w:val="21"/>
              </w:rPr>
            </w:pPr>
            <w:r>
              <w:rPr>
                <w:rFonts w:hint="eastAsia" w:ascii="Times New Roman"/>
                <w:sz w:val="21"/>
                <w:szCs w:val="21"/>
              </w:rPr>
              <w:t>食堂油烟（DA0012）</w:t>
            </w:r>
          </w:p>
        </w:tc>
        <w:tc>
          <w:tcPr>
            <w:tcW w:w="1493" w:type="pct"/>
            <w:vAlign w:val="center"/>
          </w:tcPr>
          <w:p w14:paraId="330CE044">
            <w:pPr>
              <w:spacing w:line="280" w:lineRule="exact"/>
              <w:jc w:val="center"/>
              <w:rPr>
                <w:rFonts w:ascii="Times New Roman"/>
                <w:sz w:val="21"/>
                <w:szCs w:val="21"/>
              </w:rPr>
            </w:pPr>
            <w:r>
              <w:rPr>
                <w:rFonts w:hint="eastAsia" w:ascii="Times New Roman"/>
                <w:sz w:val="21"/>
                <w:szCs w:val="21"/>
              </w:rPr>
              <w:t>油烟、非甲烷总烃</w:t>
            </w:r>
          </w:p>
        </w:tc>
        <w:tc>
          <w:tcPr>
            <w:tcW w:w="927" w:type="pct"/>
            <w:vAlign w:val="center"/>
          </w:tcPr>
          <w:p w14:paraId="2A216735">
            <w:pPr>
              <w:spacing w:line="280" w:lineRule="exact"/>
              <w:jc w:val="center"/>
              <w:rPr>
                <w:rFonts w:ascii="Times New Roman"/>
                <w:sz w:val="21"/>
                <w:szCs w:val="21"/>
              </w:rPr>
            </w:pPr>
            <w:r>
              <w:rPr>
                <w:rFonts w:ascii="Times New Roman"/>
                <w:sz w:val="21"/>
                <w:szCs w:val="21"/>
              </w:rPr>
              <w:t>1次/年</w:t>
            </w:r>
          </w:p>
        </w:tc>
      </w:tr>
      <w:tr w14:paraId="1465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03AE68F1">
            <w:pPr>
              <w:spacing w:line="280" w:lineRule="exact"/>
              <w:jc w:val="center"/>
              <w:rPr>
                <w:rFonts w:ascii="Times New Roman"/>
                <w:sz w:val="21"/>
                <w:szCs w:val="21"/>
              </w:rPr>
            </w:pPr>
          </w:p>
        </w:tc>
        <w:tc>
          <w:tcPr>
            <w:tcW w:w="2322" w:type="pct"/>
            <w:gridSpan w:val="2"/>
            <w:shd w:val="clear" w:color="auto" w:fill="auto"/>
            <w:noWrap/>
            <w:vAlign w:val="center"/>
          </w:tcPr>
          <w:p w14:paraId="19380CCA">
            <w:pPr>
              <w:spacing w:line="280" w:lineRule="exact"/>
              <w:jc w:val="center"/>
              <w:rPr>
                <w:rFonts w:ascii="Times New Roman"/>
                <w:sz w:val="21"/>
                <w:szCs w:val="21"/>
              </w:rPr>
            </w:pPr>
            <w:r>
              <w:rPr>
                <w:rFonts w:ascii="Times New Roman"/>
                <w:sz w:val="21"/>
                <w:szCs w:val="21"/>
              </w:rPr>
              <w:t>厂界</w:t>
            </w:r>
          </w:p>
        </w:tc>
        <w:tc>
          <w:tcPr>
            <w:tcW w:w="1493" w:type="pct"/>
            <w:vAlign w:val="center"/>
          </w:tcPr>
          <w:p w14:paraId="1CD4EE05">
            <w:pPr>
              <w:spacing w:line="280" w:lineRule="exact"/>
              <w:jc w:val="center"/>
              <w:rPr>
                <w:rFonts w:ascii="Times New Roman"/>
                <w:sz w:val="21"/>
                <w:szCs w:val="21"/>
              </w:rPr>
            </w:pPr>
            <w:r>
              <w:rPr>
                <w:rFonts w:ascii="Times New Roman"/>
                <w:sz w:val="21"/>
                <w:szCs w:val="21"/>
              </w:rPr>
              <w:t>颗粒物、非甲烷总烃、二甲苯、</w:t>
            </w:r>
            <w:r>
              <w:rPr>
                <w:rFonts w:hint="eastAsia" w:ascii="Times New Roman"/>
                <w:sz w:val="21"/>
                <w:szCs w:val="21"/>
              </w:rPr>
              <w:t>臭气浓度</w:t>
            </w:r>
          </w:p>
        </w:tc>
        <w:tc>
          <w:tcPr>
            <w:tcW w:w="927" w:type="pct"/>
            <w:vAlign w:val="center"/>
          </w:tcPr>
          <w:p w14:paraId="78B9F1AF">
            <w:pPr>
              <w:spacing w:line="280" w:lineRule="exact"/>
              <w:jc w:val="center"/>
              <w:rPr>
                <w:rFonts w:ascii="Times New Roman"/>
                <w:sz w:val="21"/>
                <w:szCs w:val="21"/>
              </w:rPr>
            </w:pPr>
            <w:r>
              <w:rPr>
                <w:rFonts w:ascii="Times New Roman"/>
                <w:sz w:val="21"/>
                <w:szCs w:val="21"/>
              </w:rPr>
              <w:t>1次/半年</w:t>
            </w:r>
          </w:p>
        </w:tc>
      </w:tr>
      <w:tr w14:paraId="5D29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Merge w:val="continue"/>
            <w:vAlign w:val="center"/>
          </w:tcPr>
          <w:p w14:paraId="6CCFEE90">
            <w:pPr>
              <w:spacing w:line="280" w:lineRule="exact"/>
              <w:jc w:val="center"/>
              <w:rPr>
                <w:rFonts w:ascii="Times New Roman"/>
                <w:sz w:val="21"/>
                <w:szCs w:val="21"/>
              </w:rPr>
            </w:pPr>
          </w:p>
        </w:tc>
        <w:tc>
          <w:tcPr>
            <w:tcW w:w="2322" w:type="pct"/>
            <w:gridSpan w:val="2"/>
            <w:shd w:val="clear" w:color="auto" w:fill="auto"/>
            <w:noWrap/>
            <w:vAlign w:val="center"/>
          </w:tcPr>
          <w:p w14:paraId="5864EC8B">
            <w:pPr>
              <w:spacing w:line="280" w:lineRule="exact"/>
              <w:jc w:val="center"/>
              <w:rPr>
                <w:rFonts w:ascii="Times New Roman"/>
                <w:sz w:val="21"/>
                <w:szCs w:val="21"/>
              </w:rPr>
            </w:pPr>
            <w:r>
              <w:rPr>
                <w:rFonts w:hint="eastAsia" w:ascii="Times New Roman"/>
                <w:sz w:val="21"/>
                <w:szCs w:val="21"/>
              </w:rPr>
              <w:t>厂区内</w:t>
            </w:r>
          </w:p>
        </w:tc>
        <w:tc>
          <w:tcPr>
            <w:tcW w:w="1493" w:type="pct"/>
            <w:shd w:val="clear" w:color="auto" w:fill="auto"/>
            <w:vAlign w:val="center"/>
          </w:tcPr>
          <w:p w14:paraId="134EBB25">
            <w:pPr>
              <w:spacing w:line="280" w:lineRule="exact"/>
              <w:jc w:val="center"/>
              <w:rPr>
                <w:rFonts w:ascii="Times New Roman"/>
                <w:sz w:val="21"/>
                <w:szCs w:val="21"/>
              </w:rPr>
            </w:pPr>
            <w:r>
              <w:rPr>
                <w:rFonts w:hint="eastAsia" w:ascii="Times New Roman"/>
                <w:sz w:val="21"/>
                <w:szCs w:val="21"/>
              </w:rPr>
              <w:t>非甲烷总烃</w:t>
            </w:r>
          </w:p>
        </w:tc>
        <w:tc>
          <w:tcPr>
            <w:tcW w:w="927" w:type="pct"/>
            <w:shd w:val="clear" w:color="auto" w:fill="auto"/>
            <w:vAlign w:val="center"/>
          </w:tcPr>
          <w:p w14:paraId="2DD6535B">
            <w:pPr>
              <w:spacing w:line="280" w:lineRule="exact"/>
              <w:jc w:val="center"/>
              <w:rPr>
                <w:rFonts w:ascii="Times New Roman"/>
                <w:sz w:val="21"/>
                <w:szCs w:val="21"/>
              </w:rPr>
            </w:pPr>
            <w:r>
              <w:rPr>
                <w:rFonts w:ascii="Times New Roman"/>
                <w:sz w:val="21"/>
                <w:szCs w:val="21"/>
              </w:rPr>
              <w:t>1次/半年</w:t>
            </w:r>
          </w:p>
        </w:tc>
      </w:tr>
      <w:tr w14:paraId="73FC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55" w:type="pct"/>
            <w:vAlign w:val="center"/>
          </w:tcPr>
          <w:p w14:paraId="305AC55D">
            <w:pPr>
              <w:spacing w:line="280" w:lineRule="exact"/>
              <w:jc w:val="center"/>
              <w:rPr>
                <w:rFonts w:ascii="Times New Roman"/>
                <w:sz w:val="21"/>
                <w:szCs w:val="21"/>
              </w:rPr>
            </w:pPr>
            <w:r>
              <w:rPr>
                <w:rFonts w:ascii="Times New Roman"/>
                <w:sz w:val="21"/>
                <w:szCs w:val="21"/>
              </w:rPr>
              <w:t>废水</w:t>
            </w:r>
          </w:p>
        </w:tc>
        <w:tc>
          <w:tcPr>
            <w:tcW w:w="2322" w:type="pct"/>
            <w:gridSpan w:val="2"/>
            <w:shd w:val="clear" w:color="auto" w:fill="auto"/>
            <w:noWrap/>
            <w:vAlign w:val="center"/>
          </w:tcPr>
          <w:p w14:paraId="5B1C0EA9">
            <w:pPr>
              <w:spacing w:line="280" w:lineRule="exact"/>
              <w:jc w:val="center"/>
              <w:rPr>
                <w:rFonts w:ascii="Times New Roman"/>
                <w:sz w:val="21"/>
                <w:szCs w:val="21"/>
              </w:rPr>
            </w:pPr>
            <w:r>
              <w:rPr>
                <w:rFonts w:ascii="Times New Roman"/>
                <w:sz w:val="21"/>
                <w:szCs w:val="21"/>
              </w:rPr>
              <w:t>废水总排放口</w:t>
            </w:r>
          </w:p>
        </w:tc>
        <w:tc>
          <w:tcPr>
            <w:tcW w:w="1493" w:type="pct"/>
            <w:vAlign w:val="center"/>
          </w:tcPr>
          <w:p w14:paraId="319F1E2F">
            <w:pPr>
              <w:spacing w:line="280" w:lineRule="exact"/>
              <w:jc w:val="center"/>
              <w:rPr>
                <w:rFonts w:ascii="Times New Roman"/>
                <w:sz w:val="21"/>
                <w:szCs w:val="21"/>
              </w:rPr>
            </w:pPr>
            <w:r>
              <w:rPr>
                <w:rFonts w:ascii="Times New Roman"/>
                <w:sz w:val="21"/>
                <w:szCs w:val="21"/>
              </w:rPr>
              <w:t>pH、COD、氨氮</w:t>
            </w:r>
          </w:p>
          <w:p w14:paraId="589C80E6">
            <w:pPr>
              <w:spacing w:line="280" w:lineRule="exact"/>
              <w:jc w:val="center"/>
              <w:rPr>
                <w:rFonts w:ascii="Times New Roman"/>
                <w:sz w:val="21"/>
                <w:szCs w:val="21"/>
              </w:rPr>
            </w:pPr>
            <w:r>
              <w:rPr>
                <w:rFonts w:ascii="Times New Roman"/>
                <w:sz w:val="21"/>
                <w:szCs w:val="21"/>
              </w:rPr>
              <w:t>BOD</w:t>
            </w:r>
            <w:r>
              <w:rPr>
                <w:rFonts w:ascii="Times New Roman"/>
                <w:sz w:val="21"/>
                <w:szCs w:val="21"/>
                <w:vertAlign w:val="subscript"/>
              </w:rPr>
              <w:t>5</w:t>
            </w:r>
            <w:r>
              <w:rPr>
                <w:rFonts w:ascii="Times New Roman"/>
                <w:sz w:val="21"/>
                <w:szCs w:val="21"/>
              </w:rPr>
              <w:t>、悬浮物、总氮、</w:t>
            </w:r>
            <w:r>
              <w:rPr>
                <w:rFonts w:hint="eastAsia" w:ascii="Times New Roman"/>
                <w:sz w:val="21"/>
                <w:szCs w:val="21"/>
              </w:rPr>
              <w:t>总磷、动植物油、石油类</w:t>
            </w:r>
          </w:p>
        </w:tc>
        <w:tc>
          <w:tcPr>
            <w:tcW w:w="927" w:type="pct"/>
            <w:vAlign w:val="center"/>
          </w:tcPr>
          <w:p w14:paraId="75C4FE69">
            <w:pPr>
              <w:spacing w:line="280" w:lineRule="exact"/>
              <w:jc w:val="center"/>
              <w:rPr>
                <w:rFonts w:ascii="Times New Roman"/>
                <w:sz w:val="21"/>
                <w:szCs w:val="21"/>
              </w:rPr>
            </w:pPr>
            <w:r>
              <w:rPr>
                <w:rFonts w:ascii="Times New Roman"/>
                <w:sz w:val="21"/>
                <w:szCs w:val="21"/>
              </w:rPr>
              <w:t>1次/</w:t>
            </w:r>
            <w:r>
              <w:rPr>
                <w:rFonts w:hint="eastAsia" w:ascii="Times New Roman"/>
                <w:sz w:val="21"/>
                <w:szCs w:val="21"/>
              </w:rPr>
              <w:t>半</w:t>
            </w:r>
            <w:r>
              <w:rPr>
                <w:rFonts w:ascii="Times New Roman"/>
                <w:sz w:val="21"/>
                <w:szCs w:val="21"/>
              </w:rPr>
              <w:t>年</w:t>
            </w:r>
          </w:p>
        </w:tc>
      </w:tr>
      <w:tr w14:paraId="0E7C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5" w:type="pct"/>
            <w:vAlign w:val="center"/>
          </w:tcPr>
          <w:p w14:paraId="23BF0AA6">
            <w:pPr>
              <w:spacing w:line="280" w:lineRule="exact"/>
              <w:jc w:val="center"/>
              <w:rPr>
                <w:rFonts w:ascii="Times New Roman"/>
                <w:sz w:val="21"/>
                <w:szCs w:val="21"/>
              </w:rPr>
            </w:pPr>
            <w:r>
              <w:rPr>
                <w:rFonts w:ascii="Times New Roman"/>
                <w:sz w:val="21"/>
                <w:szCs w:val="21"/>
              </w:rPr>
              <w:t>噪声</w:t>
            </w:r>
          </w:p>
        </w:tc>
        <w:tc>
          <w:tcPr>
            <w:tcW w:w="2322" w:type="pct"/>
            <w:gridSpan w:val="2"/>
            <w:shd w:val="clear" w:color="auto" w:fill="auto"/>
            <w:noWrap/>
            <w:vAlign w:val="center"/>
          </w:tcPr>
          <w:p w14:paraId="7F1C9E4C">
            <w:pPr>
              <w:spacing w:line="280" w:lineRule="exact"/>
              <w:jc w:val="center"/>
              <w:rPr>
                <w:rFonts w:ascii="Times New Roman"/>
                <w:sz w:val="21"/>
                <w:szCs w:val="21"/>
              </w:rPr>
            </w:pPr>
            <w:r>
              <w:rPr>
                <w:rFonts w:ascii="Times New Roman"/>
                <w:sz w:val="21"/>
                <w:szCs w:val="21"/>
              </w:rPr>
              <w:t>厂界</w:t>
            </w:r>
          </w:p>
        </w:tc>
        <w:tc>
          <w:tcPr>
            <w:tcW w:w="1493" w:type="pct"/>
            <w:vAlign w:val="center"/>
          </w:tcPr>
          <w:p w14:paraId="04212095">
            <w:pPr>
              <w:spacing w:line="280" w:lineRule="exact"/>
              <w:jc w:val="center"/>
              <w:rPr>
                <w:rFonts w:ascii="Times New Roman"/>
                <w:sz w:val="21"/>
                <w:szCs w:val="21"/>
              </w:rPr>
            </w:pPr>
            <w:r>
              <w:rPr>
                <w:rFonts w:hint="eastAsia" w:ascii="Times New Roman"/>
                <w:sz w:val="21"/>
                <w:szCs w:val="21"/>
              </w:rPr>
              <w:t>厂界环境噪声</w:t>
            </w:r>
          </w:p>
        </w:tc>
        <w:tc>
          <w:tcPr>
            <w:tcW w:w="927" w:type="pct"/>
            <w:vAlign w:val="center"/>
          </w:tcPr>
          <w:p w14:paraId="4C335017">
            <w:pPr>
              <w:spacing w:line="280" w:lineRule="exact"/>
              <w:jc w:val="center"/>
              <w:rPr>
                <w:rFonts w:ascii="Times New Roman"/>
                <w:sz w:val="21"/>
                <w:szCs w:val="21"/>
              </w:rPr>
            </w:pPr>
            <w:r>
              <w:rPr>
                <w:rFonts w:ascii="Times New Roman"/>
                <w:sz w:val="21"/>
                <w:szCs w:val="21"/>
              </w:rPr>
              <w:t>1次/季度</w:t>
            </w:r>
          </w:p>
        </w:tc>
      </w:tr>
    </w:tbl>
    <w:p w14:paraId="6F971120">
      <w:pPr>
        <w:numPr>
          <w:ilvl w:val="0"/>
          <w:numId w:val="19"/>
        </w:numPr>
        <w:spacing w:line="360" w:lineRule="auto"/>
        <w:ind w:firstLine="480" w:firstLineChars="200"/>
        <w:rPr>
          <w:rFonts w:ascii="Times New Roman"/>
          <w:sz w:val="24"/>
          <w:szCs w:val="24"/>
        </w:rPr>
      </w:pPr>
      <w:bookmarkStart w:id="265" w:name="_Toc499746251"/>
      <w:r>
        <w:rPr>
          <w:rFonts w:ascii="Times New Roman"/>
          <w:sz w:val="24"/>
          <w:szCs w:val="24"/>
        </w:rPr>
        <w:t>环境质量监测计划</w:t>
      </w:r>
    </w:p>
    <w:p w14:paraId="179D0BF2">
      <w:pPr>
        <w:spacing w:line="360" w:lineRule="auto"/>
        <w:ind w:firstLine="480" w:firstLineChars="200"/>
        <w:rPr>
          <w:rFonts w:ascii="Times New Roman"/>
          <w:sz w:val="24"/>
          <w:szCs w:val="24"/>
        </w:rPr>
      </w:pPr>
      <w:r>
        <w:rPr>
          <w:rFonts w:ascii="Times New Roman"/>
          <w:sz w:val="24"/>
          <w:szCs w:val="24"/>
        </w:rPr>
        <w:t>①建设方应定期对所在区域环境质量进行监测。</w:t>
      </w:r>
    </w:p>
    <w:p w14:paraId="1DA3EA9C">
      <w:pPr>
        <w:spacing w:line="360" w:lineRule="auto"/>
        <w:ind w:firstLine="480" w:firstLineChars="200"/>
        <w:rPr>
          <w:rFonts w:ascii="Times New Roman"/>
          <w:sz w:val="24"/>
          <w:szCs w:val="24"/>
        </w:rPr>
      </w:pPr>
      <w:r>
        <w:rPr>
          <w:rFonts w:ascii="Times New Roman"/>
          <w:sz w:val="24"/>
          <w:szCs w:val="24"/>
        </w:rPr>
        <w:t>②定期向环保局上报监测结果。</w:t>
      </w:r>
    </w:p>
    <w:p w14:paraId="3FE447D4">
      <w:pPr>
        <w:spacing w:line="360" w:lineRule="auto"/>
        <w:ind w:firstLine="480" w:firstLineChars="200"/>
        <w:rPr>
          <w:rFonts w:ascii="Times New Roman"/>
          <w:sz w:val="24"/>
          <w:szCs w:val="24"/>
        </w:rPr>
      </w:pPr>
      <w:r>
        <w:rPr>
          <w:rFonts w:ascii="Times New Roman"/>
          <w:sz w:val="24"/>
          <w:szCs w:val="24"/>
        </w:rPr>
        <w:t>③监测中发现超标排放或其他异常情况，及时报告企业管理部门查找原因、解决处理，预测特殊情况应随时监测。</w:t>
      </w:r>
    </w:p>
    <w:p w14:paraId="15FF8359">
      <w:pPr>
        <w:spacing w:line="360" w:lineRule="auto"/>
        <w:ind w:firstLine="480" w:firstLineChars="200"/>
        <w:rPr>
          <w:rFonts w:ascii="Times New Roman"/>
          <w:sz w:val="24"/>
          <w:szCs w:val="24"/>
        </w:rPr>
      </w:pPr>
      <w:r>
        <w:rPr>
          <w:rFonts w:ascii="Times New Roman"/>
          <w:sz w:val="24"/>
          <w:szCs w:val="24"/>
        </w:rPr>
        <w:t>环境质量监测工作计划见表8.2-2：</w:t>
      </w:r>
    </w:p>
    <w:p w14:paraId="4F908D4B">
      <w:pPr>
        <w:jc w:val="center"/>
        <w:rPr>
          <w:rFonts w:ascii="Times New Roman"/>
        </w:rPr>
      </w:pPr>
      <w:r>
        <w:rPr>
          <w:rFonts w:ascii="Times New Roman"/>
        </w:rPr>
        <w:t>表8.2-2  环境质量监测工作计划</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141"/>
        <w:gridCol w:w="4172"/>
        <w:gridCol w:w="1244"/>
      </w:tblGrid>
      <w:tr w14:paraId="170A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6" w:type="pct"/>
            <w:vAlign w:val="center"/>
          </w:tcPr>
          <w:p w14:paraId="3DC1EF46">
            <w:pPr>
              <w:spacing w:line="280" w:lineRule="exact"/>
              <w:jc w:val="center"/>
              <w:rPr>
                <w:rFonts w:ascii="Times New Roman"/>
                <w:sz w:val="21"/>
                <w:szCs w:val="21"/>
              </w:rPr>
            </w:pPr>
            <w:r>
              <w:rPr>
                <w:rFonts w:ascii="Times New Roman"/>
                <w:sz w:val="21"/>
                <w:szCs w:val="21"/>
              </w:rPr>
              <w:t>类别</w:t>
            </w:r>
          </w:p>
        </w:tc>
        <w:tc>
          <w:tcPr>
            <w:tcW w:w="1256" w:type="pct"/>
            <w:vAlign w:val="center"/>
          </w:tcPr>
          <w:p w14:paraId="493139D2">
            <w:pPr>
              <w:spacing w:line="280" w:lineRule="exact"/>
              <w:jc w:val="center"/>
              <w:rPr>
                <w:rFonts w:ascii="Times New Roman"/>
                <w:sz w:val="21"/>
                <w:szCs w:val="21"/>
              </w:rPr>
            </w:pPr>
            <w:r>
              <w:rPr>
                <w:rFonts w:ascii="Times New Roman"/>
                <w:sz w:val="21"/>
                <w:szCs w:val="21"/>
              </w:rPr>
              <w:t>点位</w:t>
            </w:r>
          </w:p>
        </w:tc>
        <w:tc>
          <w:tcPr>
            <w:tcW w:w="2448" w:type="pct"/>
            <w:vAlign w:val="center"/>
          </w:tcPr>
          <w:p w14:paraId="6F7C086C">
            <w:pPr>
              <w:spacing w:line="280" w:lineRule="exact"/>
              <w:jc w:val="center"/>
              <w:rPr>
                <w:rFonts w:ascii="Times New Roman"/>
                <w:sz w:val="21"/>
                <w:szCs w:val="21"/>
              </w:rPr>
            </w:pPr>
            <w:r>
              <w:rPr>
                <w:rFonts w:ascii="Times New Roman"/>
                <w:sz w:val="21"/>
                <w:szCs w:val="21"/>
              </w:rPr>
              <w:t>因子</w:t>
            </w:r>
          </w:p>
        </w:tc>
        <w:tc>
          <w:tcPr>
            <w:tcW w:w="728" w:type="pct"/>
            <w:vAlign w:val="center"/>
          </w:tcPr>
          <w:p w14:paraId="01A02FA4">
            <w:pPr>
              <w:spacing w:line="280" w:lineRule="exact"/>
              <w:jc w:val="center"/>
              <w:rPr>
                <w:rFonts w:ascii="Times New Roman"/>
                <w:sz w:val="21"/>
                <w:szCs w:val="21"/>
              </w:rPr>
            </w:pPr>
            <w:r>
              <w:rPr>
                <w:rFonts w:ascii="Times New Roman"/>
                <w:sz w:val="21"/>
                <w:szCs w:val="21"/>
              </w:rPr>
              <w:t>频次</w:t>
            </w:r>
          </w:p>
        </w:tc>
      </w:tr>
      <w:tr w14:paraId="5AE3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6" w:type="pct"/>
            <w:vAlign w:val="center"/>
          </w:tcPr>
          <w:p w14:paraId="5969E9F7">
            <w:pPr>
              <w:spacing w:line="280" w:lineRule="exact"/>
              <w:jc w:val="center"/>
              <w:rPr>
                <w:rFonts w:ascii="Times New Roman"/>
                <w:sz w:val="21"/>
                <w:szCs w:val="21"/>
              </w:rPr>
            </w:pPr>
            <w:r>
              <w:rPr>
                <w:rFonts w:ascii="Times New Roman"/>
                <w:sz w:val="21"/>
                <w:szCs w:val="21"/>
              </w:rPr>
              <w:t>地下水</w:t>
            </w:r>
          </w:p>
        </w:tc>
        <w:tc>
          <w:tcPr>
            <w:tcW w:w="1256" w:type="pct"/>
            <w:shd w:val="clear" w:color="auto" w:fill="auto"/>
            <w:noWrap/>
            <w:vAlign w:val="center"/>
          </w:tcPr>
          <w:p w14:paraId="504A3702">
            <w:pPr>
              <w:spacing w:line="280" w:lineRule="exact"/>
              <w:jc w:val="center"/>
              <w:rPr>
                <w:rFonts w:ascii="Times New Roman"/>
                <w:sz w:val="21"/>
                <w:szCs w:val="21"/>
              </w:rPr>
            </w:pPr>
            <w:r>
              <w:rPr>
                <w:rFonts w:ascii="Times New Roman"/>
                <w:sz w:val="21"/>
                <w:szCs w:val="21"/>
              </w:rPr>
              <w:t>厂区下游</w:t>
            </w:r>
          </w:p>
        </w:tc>
        <w:tc>
          <w:tcPr>
            <w:tcW w:w="2447" w:type="pct"/>
            <w:vAlign w:val="center"/>
          </w:tcPr>
          <w:p w14:paraId="63BFB0A2">
            <w:pPr>
              <w:spacing w:line="280" w:lineRule="exact"/>
              <w:jc w:val="center"/>
              <w:rPr>
                <w:rFonts w:ascii="Times New Roman"/>
                <w:sz w:val="21"/>
                <w:szCs w:val="21"/>
              </w:rPr>
            </w:pPr>
            <w:r>
              <w:rPr>
                <w:rFonts w:hint="eastAsia" w:ascii="Times New Roman"/>
                <w:sz w:val="21"/>
                <w:szCs w:val="21"/>
              </w:rPr>
              <w:t>COD、</w:t>
            </w:r>
            <w:r>
              <w:rPr>
                <w:rFonts w:ascii="Times New Roman"/>
                <w:sz w:val="21"/>
                <w:szCs w:val="21"/>
              </w:rPr>
              <w:t>石油类</w:t>
            </w:r>
            <w:r>
              <w:rPr>
                <w:rFonts w:hint="eastAsia" w:ascii="Times New Roman"/>
                <w:sz w:val="21"/>
                <w:szCs w:val="21"/>
              </w:rPr>
              <w:t>、</w:t>
            </w:r>
            <w:r>
              <w:rPr>
                <w:rFonts w:ascii="Times New Roman"/>
                <w:sz w:val="21"/>
                <w:szCs w:val="21"/>
              </w:rPr>
              <w:t>二甲苯</w:t>
            </w:r>
          </w:p>
        </w:tc>
        <w:tc>
          <w:tcPr>
            <w:tcW w:w="730" w:type="pct"/>
            <w:vAlign w:val="center"/>
          </w:tcPr>
          <w:p w14:paraId="5DF8BB5D">
            <w:pPr>
              <w:spacing w:line="280" w:lineRule="exact"/>
              <w:jc w:val="center"/>
              <w:rPr>
                <w:rFonts w:ascii="Times New Roman"/>
                <w:sz w:val="21"/>
                <w:szCs w:val="21"/>
              </w:rPr>
            </w:pPr>
            <w:r>
              <w:rPr>
                <w:rFonts w:ascii="Times New Roman"/>
                <w:sz w:val="21"/>
                <w:szCs w:val="21"/>
              </w:rPr>
              <w:t>1次/年</w:t>
            </w:r>
          </w:p>
          <w:p w14:paraId="5FCB4C76">
            <w:pPr>
              <w:spacing w:line="280" w:lineRule="exact"/>
              <w:jc w:val="center"/>
              <w:rPr>
                <w:rFonts w:ascii="Times New Roman"/>
                <w:sz w:val="21"/>
                <w:szCs w:val="21"/>
              </w:rPr>
            </w:pPr>
            <w:r>
              <w:rPr>
                <w:rFonts w:ascii="Times New Roman"/>
                <w:sz w:val="21"/>
                <w:szCs w:val="21"/>
              </w:rPr>
              <w:t>（枯水期）</w:t>
            </w:r>
          </w:p>
        </w:tc>
      </w:tr>
      <w:tr w14:paraId="2F8F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6" w:type="pct"/>
            <w:vMerge w:val="restart"/>
            <w:vAlign w:val="center"/>
          </w:tcPr>
          <w:p w14:paraId="36B18507">
            <w:pPr>
              <w:spacing w:line="280" w:lineRule="exact"/>
              <w:jc w:val="center"/>
              <w:rPr>
                <w:rFonts w:ascii="Times New Roman"/>
                <w:sz w:val="21"/>
                <w:szCs w:val="21"/>
              </w:rPr>
            </w:pPr>
            <w:r>
              <w:rPr>
                <w:rFonts w:ascii="Times New Roman"/>
                <w:sz w:val="21"/>
                <w:szCs w:val="21"/>
              </w:rPr>
              <w:t>土壤</w:t>
            </w:r>
          </w:p>
        </w:tc>
        <w:tc>
          <w:tcPr>
            <w:tcW w:w="1256" w:type="pct"/>
            <w:shd w:val="clear" w:color="auto" w:fill="auto"/>
            <w:noWrap/>
            <w:vAlign w:val="center"/>
          </w:tcPr>
          <w:p w14:paraId="3CFD3258">
            <w:pPr>
              <w:spacing w:line="320" w:lineRule="exact"/>
              <w:jc w:val="center"/>
              <w:rPr>
                <w:rFonts w:ascii="Times New Roman"/>
                <w:spacing w:val="-6"/>
                <w:kern w:val="21"/>
                <w:sz w:val="21"/>
                <w:szCs w:val="21"/>
              </w:rPr>
            </w:pPr>
            <w:r>
              <w:rPr>
                <w:rFonts w:hint="eastAsia" w:ascii="Times New Roman"/>
                <w:sz w:val="21"/>
                <w:szCs w:val="21"/>
              </w:rPr>
              <w:t>污水处理站</w:t>
            </w:r>
          </w:p>
        </w:tc>
        <w:tc>
          <w:tcPr>
            <w:tcW w:w="2447" w:type="pct"/>
            <w:vAlign w:val="center"/>
          </w:tcPr>
          <w:p w14:paraId="3EE286D3">
            <w:pPr>
              <w:spacing w:line="0" w:lineRule="atLeast"/>
              <w:jc w:val="center"/>
              <w:rPr>
                <w:rFonts w:ascii="Times New Roman"/>
                <w:sz w:val="21"/>
                <w:szCs w:val="21"/>
              </w:rPr>
            </w:pPr>
            <w:r>
              <w:rPr>
                <w:rFonts w:ascii="Times New Roman"/>
                <w:kern w:val="0"/>
                <w:sz w:val="21"/>
                <w:szCs w:val="21"/>
              </w:rPr>
              <w:t>间二甲苯、对二甲苯、邻二甲苯</w:t>
            </w:r>
          </w:p>
        </w:tc>
        <w:tc>
          <w:tcPr>
            <w:tcW w:w="730" w:type="pct"/>
            <w:vMerge w:val="restart"/>
            <w:vAlign w:val="center"/>
          </w:tcPr>
          <w:p w14:paraId="7F6F68DA">
            <w:pPr>
              <w:spacing w:line="280" w:lineRule="exact"/>
              <w:jc w:val="center"/>
              <w:rPr>
                <w:rFonts w:ascii="Times New Roman"/>
                <w:sz w:val="21"/>
                <w:szCs w:val="21"/>
              </w:rPr>
            </w:pPr>
            <w:r>
              <w:rPr>
                <w:rFonts w:ascii="Times New Roman"/>
                <w:sz w:val="21"/>
                <w:szCs w:val="21"/>
              </w:rPr>
              <w:t>1次/5年</w:t>
            </w:r>
          </w:p>
        </w:tc>
      </w:tr>
      <w:tr w14:paraId="425F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6" w:type="pct"/>
            <w:vMerge w:val="continue"/>
            <w:vAlign w:val="center"/>
          </w:tcPr>
          <w:p w14:paraId="2BF62A28">
            <w:pPr>
              <w:spacing w:line="280" w:lineRule="exact"/>
              <w:jc w:val="center"/>
              <w:rPr>
                <w:rFonts w:ascii="Times New Roman"/>
                <w:sz w:val="21"/>
                <w:szCs w:val="21"/>
              </w:rPr>
            </w:pPr>
          </w:p>
        </w:tc>
        <w:tc>
          <w:tcPr>
            <w:tcW w:w="1256" w:type="pct"/>
            <w:shd w:val="clear" w:color="auto" w:fill="auto"/>
            <w:noWrap/>
            <w:vAlign w:val="center"/>
          </w:tcPr>
          <w:p w14:paraId="21416868">
            <w:pPr>
              <w:spacing w:line="0" w:lineRule="atLeast"/>
              <w:jc w:val="center"/>
              <w:rPr>
                <w:rFonts w:ascii="Times New Roman"/>
                <w:sz w:val="21"/>
                <w:szCs w:val="21"/>
              </w:rPr>
            </w:pPr>
            <w:r>
              <w:rPr>
                <w:rFonts w:hint="eastAsia" w:ascii="Times New Roman"/>
                <w:sz w:val="21"/>
                <w:szCs w:val="21"/>
              </w:rPr>
              <w:t>表面涂装区</w:t>
            </w:r>
          </w:p>
        </w:tc>
        <w:tc>
          <w:tcPr>
            <w:tcW w:w="2447" w:type="pct"/>
            <w:vAlign w:val="center"/>
          </w:tcPr>
          <w:p w14:paraId="71D31197">
            <w:pPr>
              <w:spacing w:line="0" w:lineRule="atLeast"/>
              <w:jc w:val="center"/>
              <w:rPr>
                <w:rFonts w:ascii="Times New Roman"/>
                <w:kern w:val="0"/>
                <w:sz w:val="18"/>
                <w:szCs w:val="18"/>
              </w:rPr>
            </w:pPr>
            <w:r>
              <w:rPr>
                <w:rFonts w:ascii="Times New Roman"/>
                <w:kern w:val="0"/>
                <w:sz w:val="21"/>
                <w:szCs w:val="21"/>
              </w:rPr>
              <w:t>间二甲苯、对二甲苯、邻二甲苯</w:t>
            </w:r>
          </w:p>
        </w:tc>
        <w:tc>
          <w:tcPr>
            <w:tcW w:w="730" w:type="pct"/>
            <w:vMerge w:val="continue"/>
            <w:vAlign w:val="center"/>
          </w:tcPr>
          <w:p w14:paraId="6777C1EC">
            <w:pPr>
              <w:spacing w:line="280" w:lineRule="exact"/>
              <w:jc w:val="center"/>
              <w:rPr>
                <w:rFonts w:ascii="Times New Roman"/>
                <w:sz w:val="21"/>
                <w:szCs w:val="21"/>
              </w:rPr>
            </w:pPr>
          </w:p>
        </w:tc>
      </w:tr>
      <w:tr w14:paraId="7B5C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6" w:type="pct"/>
            <w:vMerge w:val="continue"/>
            <w:vAlign w:val="center"/>
          </w:tcPr>
          <w:p w14:paraId="7E5D88F6">
            <w:pPr>
              <w:spacing w:line="280" w:lineRule="exact"/>
              <w:jc w:val="center"/>
              <w:rPr>
                <w:rFonts w:ascii="Times New Roman"/>
                <w:sz w:val="21"/>
                <w:szCs w:val="21"/>
              </w:rPr>
            </w:pPr>
          </w:p>
        </w:tc>
        <w:tc>
          <w:tcPr>
            <w:tcW w:w="1256" w:type="pct"/>
            <w:shd w:val="clear" w:color="auto" w:fill="auto"/>
            <w:noWrap/>
            <w:vAlign w:val="center"/>
          </w:tcPr>
          <w:p w14:paraId="39A0CAA5">
            <w:pPr>
              <w:spacing w:line="0" w:lineRule="atLeast"/>
              <w:jc w:val="center"/>
              <w:rPr>
                <w:rFonts w:ascii="Times New Roman"/>
                <w:sz w:val="21"/>
                <w:szCs w:val="21"/>
              </w:rPr>
            </w:pPr>
            <w:r>
              <w:rPr>
                <w:rFonts w:hint="eastAsia" w:ascii="Times New Roman"/>
                <w:sz w:val="21"/>
                <w:szCs w:val="21"/>
              </w:rPr>
              <w:t>危化库</w:t>
            </w:r>
          </w:p>
        </w:tc>
        <w:tc>
          <w:tcPr>
            <w:tcW w:w="2447" w:type="pct"/>
            <w:vAlign w:val="center"/>
          </w:tcPr>
          <w:p w14:paraId="0AB09AA1">
            <w:pPr>
              <w:spacing w:line="0" w:lineRule="atLeast"/>
              <w:jc w:val="center"/>
              <w:rPr>
                <w:rFonts w:ascii="Times New Roman"/>
                <w:sz w:val="21"/>
                <w:szCs w:val="21"/>
              </w:rPr>
            </w:pPr>
            <w:r>
              <w:rPr>
                <w:rFonts w:ascii="Times New Roman"/>
                <w:kern w:val="0"/>
                <w:sz w:val="21"/>
                <w:szCs w:val="21"/>
              </w:rPr>
              <w:t>间二甲苯、对二甲苯、邻二甲苯</w:t>
            </w:r>
            <w:r>
              <w:rPr>
                <w:rFonts w:hint="eastAsia" w:ascii="Times New Roman"/>
                <w:kern w:val="0"/>
                <w:sz w:val="21"/>
                <w:szCs w:val="21"/>
              </w:rPr>
              <w:t>、石油烃</w:t>
            </w:r>
          </w:p>
        </w:tc>
        <w:tc>
          <w:tcPr>
            <w:tcW w:w="730" w:type="pct"/>
            <w:vMerge w:val="continue"/>
            <w:vAlign w:val="center"/>
          </w:tcPr>
          <w:p w14:paraId="76B01CCC">
            <w:pPr>
              <w:spacing w:line="280" w:lineRule="exact"/>
              <w:jc w:val="center"/>
              <w:rPr>
                <w:rFonts w:ascii="Times New Roman"/>
                <w:sz w:val="21"/>
                <w:szCs w:val="21"/>
              </w:rPr>
            </w:pPr>
          </w:p>
        </w:tc>
      </w:tr>
    </w:tbl>
    <w:p w14:paraId="5D788211">
      <w:pPr>
        <w:spacing w:line="520" w:lineRule="exact"/>
        <w:outlineLvl w:val="2"/>
        <w:rPr>
          <w:rFonts w:ascii="Times New Roman"/>
          <w:b/>
          <w:sz w:val="28"/>
          <w:szCs w:val="28"/>
        </w:rPr>
      </w:pPr>
      <w:r>
        <w:rPr>
          <w:rFonts w:ascii="Times New Roman"/>
          <w:b/>
          <w:sz w:val="28"/>
          <w:szCs w:val="28"/>
        </w:rPr>
        <w:t>8.2.5</w:t>
      </w:r>
      <w:r>
        <w:rPr>
          <w:rFonts w:hint="eastAsia" w:ascii="Times New Roman"/>
          <w:b/>
          <w:sz w:val="28"/>
          <w:szCs w:val="28"/>
        </w:rPr>
        <w:t xml:space="preserve"> </w:t>
      </w:r>
      <w:r>
        <w:rPr>
          <w:rFonts w:ascii="Times New Roman"/>
          <w:b/>
          <w:sz w:val="28"/>
          <w:szCs w:val="28"/>
        </w:rPr>
        <w:t>VOCs在线监测装置</w:t>
      </w:r>
    </w:p>
    <w:p w14:paraId="760F83AA">
      <w:pPr>
        <w:pStyle w:val="2759"/>
        <w:spacing w:line="480" w:lineRule="exact"/>
        <w:ind w:firstLine="480"/>
        <w:jc w:val="both"/>
      </w:pPr>
      <w:r>
        <w:t>根据唐山市生态环境局曹妃甸分局《关于我区涉VOCs企业提标改造期限治理的紧急通知》（2021.3.16：“涉VOCs化工、玻璃钢、包装印刷等行业企业以及排放速率大于2.5kg/h或排气量大于30000m</w:t>
      </w:r>
      <w:r>
        <w:rPr>
          <w:vertAlign w:val="superscript"/>
        </w:rPr>
        <w:t>3</w:t>
      </w:r>
      <w:r>
        <w:rPr>
          <w:rFonts w:hint="eastAsia"/>
        </w:rPr>
        <w:t>/h</w:t>
      </w:r>
      <w:r>
        <w:t>的其他涉VOCs企业</w:t>
      </w:r>
      <w:r>
        <w:rPr>
          <w:rFonts w:hint="eastAsia"/>
        </w:rPr>
        <w:t>，</w:t>
      </w:r>
      <w:r>
        <w:t>安装VOCs在线监测设施，未达到以上在线监测设施安装条件的其他企业在涉VOCs车间主要出入口安装VOCs超标报警传感装置”。</w:t>
      </w:r>
    </w:p>
    <w:p w14:paraId="19A7B384">
      <w:pPr>
        <w:pStyle w:val="2759"/>
        <w:spacing w:line="480" w:lineRule="exact"/>
        <w:ind w:firstLine="480"/>
        <w:jc w:val="both"/>
        <w:rPr>
          <w:szCs w:val="24"/>
        </w:rPr>
      </w:pPr>
      <w:r>
        <w:t>本项目喷塑固化、强冷、电泳、喷漆、流平、烘干固化工序（DA009)</w:t>
      </w:r>
      <w:r>
        <w:rPr>
          <w:rFonts w:hint="eastAsia"/>
        </w:rPr>
        <w:t>排气筒风机风量为232000</w:t>
      </w:r>
      <w:r>
        <w:t>m</w:t>
      </w:r>
      <w:r>
        <w:rPr>
          <w:vertAlign w:val="superscript"/>
        </w:rPr>
        <w:t>3</w:t>
      </w:r>
      <w:r>
        <w:rPr>
          <w:rFonts w:hint="eastAsia"/>
        </w:rPr>
        <w:t>/h，</w:t>
      </w:r>
      <w:r>
        <w:t>达到在线监测设施安装条件，</w:t>
      </w:r>
      <w:r>
        <w:rPr>
          <w:rFonts w:hint="eastAsia"/>
        </w:rPr>
        <w:t>按要求安装</w:t>
      </w:r>
      <w:r>
        <w:t>在线监测设施</w:t>
      </w:r>
      <w:r>
        <w:rPr>
          <w:rFonts w:hint="eastAsia"/>
        </w:rPr>
        <w:t>；联合厂房、托辊及装配厂房</w:t>
      </w:r>
      <w:r>
        <w:t>主要出入口安装VOCs超标报警传感装置。</w:t>
      </w:r>
      <w:r>
        <w:rPr>
          <w:szCs w:val="24"/>
        </w:rPr>
        <w:t>报警设备直出数据和区环保指挥中心联网，自行验收后，报区生态环境分局备案。</w:t>
      </w:r>
    </w:p>
    <w:p w14:paraId="019A76E7">
      <w:pPr>
        <w:widowControl/>
        <w:spacing w:line="520" w:lineRule="exact"/>
        <w:jc w:val="left"/>
        <w:outlineLvl w:val="1"/>
        <w:rPr>
          <w:rFonts w:ascii="Times New Roman"/>
          <w:b/>
          <w:sz w:val="30"/>
          <w:szCs w:val="30"/>
        </w:rPr>
      </w:pPr>
      <w:bookmarkStart w:id="266" w:name="_Toc18110"/>
      <w:bookmarkStart w:id="267" w:name="_Toc5865"/>
      <w:r>
        <w:rPr>
          <w:rFonts w:ascii="Times New Roman"/>
          <w:b/>
          <w:sz w:val="30"/>
          <w:szCs w:val="30"/>
        </w:rPr>
        <w:t>8.3</w:t>
      </w:r>
      <w:bookmarkEnd w:id="265"/>
      <w:r>
        <w:rPr>
          <w:rFonts w:ascii="Times New Roman"/>
          <w:b/>
          <w:kern w:val="0"/>
          <w:sz w:val="28"/>
          <w:szCs w:val="22"/>
        </w:rPr>
        <w:t>污染源排放口规范化要求</w:t>
      </w:r>
      <w:bookmarkEnd w:id="266"/>
      <w:bookmarkEnd w:id="267"/>
    </w:p>
    <w:p w14:paraId="09BC16DB">
      <w:pPr>
        <w:spacing w:line="480" w:lineRule="exact"/>
        <w:ind w:firstLine="480" w:firstLineChars="200"/>
        <w:rPr>
          <w:rFonts w:ascii="Times New Roman"/>
          <w:kern w:val="0"/>
          <w:sz w:val="24"/>
          <w:szCs w:val="24"/>
        </w:rPr>
      </w:pPr>
      <w:r>
        <w:rPr>
          <w:rFonts w:ascii="Times New Roman"/>
          <w:kern w:val="0"/>
          <w:sz w:val="24"/>
          <w:szCs w:val="24"/>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对治理设施安装运行监控装置。排污口的规范化要符合唐山市环境监测部门的有关要求。</w:t>
      </w:r>
    </w:p>
    <w:p w14:paraId="2E206D82">
      <w:pPr>
        <w:spacing w:line="480" w:lineRule="exact"/>
        <w:ind w:firstLine="480" w:firstLineChars="200"/>
        <w:rPr>
          <w:rFonts w:ascii="Times New Roman"/>
          <w:kern w:val="0"/>
          <w:sz w:val="24"/>
          <w:szCs w:val="24"/>
        </w:rPr>
      </w:pPr>
      <w:r>
        <w:rPr>
          <w:rFonts w:ascii="Times New Roman"/>
          <w:kern w:val="0"/>
          <w:sz w:val="24"/>
          <w:szCs w:val="24"/>
        </w:rPr>
        <w:t>①在各排污口处设立较明显的排污口标志牌，其上应注明主要排放污染物的名称。</w:t>
      </w:r>
    </w:p>
    <w:p w14:paraId="148FDE0B">
      <w:pPr>
        <w:spacing w:line="480" w:lineRule="exact"/>
        <w:ind w:firstLine="480" w:firstLineChars="200"/>
        <w:rPr>
          <w:rFonts w:ascii="Times New Roman"/>
          <w:kern w:val="0"/>
          <w:sz w:val="24"/>
          <w:szCs w:val="24"/>
        </w:rPr>
      </w:pPr>
      <w:r>
        <w:rPr>
          <w:rFonts w:ascii="Times New Roman"/>
          <w:kern w:val="0"/>
          <w:sz w:val="24"/>
          <w:szCs w:val="24"/>
        </w:rPr>
        <w:t>②如实填写《中华人民共和国规范化排污口标志登记证》的有关内容，由环保主管部门签发登记证。</w:t>
      </w:r>
    </w:p>
    <w:p w14:paraId="529348DC">
      <w:pPr>
        <w:spacing w:line="480" w:lineRule="exact"/>
        <w:ind w:firstLine="480" w:firstLineChars="200"/>
        <w:rPr>
          <w:rFonts w:ascii="Times New Roman"/>
          <w:kern w:val="0"/>
          <w:sz w:val="24"/>
          <w:szCs w:val="24"/>
        </w:rPr>
      </w:pPr>
      <w:r>
        <w:rPr>
          <w:rFonts w:ascii="Times New Roman"/>
          <w:kern w:val="0"/>
          <w:sz w:val="24"/>
          <w:szCs w:val="24"/>
        </w:rPr>
        <w:t>③将有关排污口的情况如：排污口的性质、编号、排污口的位置；主要排放的污染物种类、数量、浓度、排放规律、排放去向；污染治理设施的运行情况等进行建档管理，并报送环保主管部门备案。</w:t>
      </w:r>
    </w:p>
    <w:p w14:paraId="1E1B2863">
      <w:pPr>
        <w:spacing w:line="480" w:lineRule="exact"/>
        <w:ind w:firstLine="480" w:firstLineChars="200"/>
        <w:rPr>
          <w:rFonts w:ascii="Times New Roman"/>
          <w:kern w:val="0"/>
          <w:sz w:val="24"/>
          <w:szCs w:val="24"/>
        </w:rPr>
      </w:pPr>
      <w:r>
        <w:rPr>
          <w:rFonts w:ascii="Times New Roman"/>
          <w:kern w:val="0"/>
          <w:sz w:val="24"/>
          <w:szCs w:val="24"/>
        </w:rPr>
        <w:t>④按照排污口规范管理及排放口环境保护图形标志管理有关规定，在排污口附近设置环境保护图形标志牌，根据《环境保护图形标志》实施细则，填写本工程的主要污染物；标志牌必须保持清晰、完整，发现形象损坏、颜色污染或有变化、退色等不符合图形标志标准的情况，应及时修复或更换，检查时间至少每年一次。</w:t>
      </w:r>
    </w:p>
    <w:p w14:paraId="6A30752F">
      <w:pPr>
        <w:spacing w:line="480" w:lineRule="exact"/>
        <w:ind w:firstLine="480" w:firstLineChars="200"/>
        <w:rPr>
          <w:rFonts w:ascii="Times New Roman"/>
          <w:kern w:val="0"/>
          <w:sz w:val="24"/>
          <w:szCs w:val="24"/>
        </w:rPr>
      </w:pPr>
      <w:r>
        <w:rPr>
          <w:rFonts w:ascii="Times New Roman"/>
          <w:kern w:val="0"/>
          <w:sz w:val="24"/>
          <w:szCs w:val="24"/>
        </w:rPr>
        <w:t>⑤排放口规范化整治要遵循便于采集样品、便于监测计量、便于日常监督管理的原则，严格按排放口规范化整治技术要求进行。</w:t>
      </w:r>
    </w:p>
    <w:p w14:paraId="7A053699">
      <w:pPr>
        <w:spacing w:line="480" w:lineRule="exact"/>
        <w:ind w:firstLine="480" w:firstLineChars="200"/>
        <w:rPr>
          <w:rFonts w:ascii="Times New Roman"/>
          <w:kern w:val="0"/>
          <w:sz w:val="24"/>
          <w:szCs w:val="24"/>
        </w:rPr>
      </w:pPr>
      <w:r>
        <w:rPr>
          <w:rFonts w:ascii="Times New Roman"/>
          <w:kern w:val="0"/>
          <w:sz w:val="24"/>
          <w:szCs w:val="24"/>
        </w:rPr>
        <w:t>⑥环境保护图形标志牌设置位置应距污染物排放口及固体废物堆放场或采样点较近且醒目处，设置高度一般为标志牌上缘距离地面约2m。</w:t>
      </w:r>
    </w:p>
    <w:p w14:paraId="63AD5C93">
      <w:pPr>
        <w:spacing w:line="480" w:lineRule="exact"/>
        <w:ind w:firstLine="480" w:firstLineChars="200"/>
        <w:rPr>
          <w:rFonts w:ascii="Times New Roman"/>
          <w:kern w:val="0"/>
          <w:sz w:val="24"/>
          <w:szCs w:val="24"/>
        </w:rPr>
      </w:pPr>
      <w:r>
        <w:rPr>
          <w:rFonts w:ascii="Times New Roman"/>
          <w:kern w:val="0"/>
          <w:sz w:val="24"/>
          <w:szCs w:val="24"/>
        </w:rPr>
        <w:t>环境保护图形标志在厂区的废水排放口、废气排放源、固体废物贮存处置场应设置环境保护图形标志，图形符号分提示图形和警告图形符号两种，分别按 GB15562.1-1995、GB15562.2-1995执行。环境保护图形符号见表8.3-1。</w:t>
      </w:r>
    </w:p>
    <w:p w14:paraId="0F07FC74">
      <w:pPr>
        <w:spacing w:line="480" w:lineRule="exact"/>
        <w:jc w:val="center"/>
        <w:rPr>
          <w:rFonts w:ascii="Times New Roman"/>
          <w:b/>
          <w:kern w:val="0"/>
          <w:sz w:val="24"/>
          <w:szCs w:val="24"/>
        </w:rPr>
      </w:pPr>
      <w:r>
        <w:rPr>
          <w:rFonts w:ascii="Times New Roman"/>
          <w:b/>
          <w:kern w:val="0"/>
          <w:sz w:val="24"/>
          <w:szCs w:val="24"/>
        </w:rPr>
        <w:t>表8.3-1  项目环境保护图形符号一览表</w:t>
      </w:r>
    </w:p>
    <w:tbl>
      <w:tblPr>
        <w:tblStyle w:val="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0"/>
        <w:gridCol w:w="1642"/>
        <w:gridCol w:w="1788"/>
        <w:gridCol w:w="1587"/>
        <w:gridCol w:w="2629"/>
      </w:tblGrid>
      <w:tr w14:paraId="5208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403" w:type="pct"/>
            <w:vAlign w:val="center"/>
          </w:tcPr>
          <w:p w14:paraId="79632C60">
            <w:pPr>
              <w:kinsoku w:val="0"/>
              <w:overflowPunct w:val="0"/>
              <w:jc w:val="center"/>
              <w:rPr>
                <w:rFonts w:ascii="Times New Roman"/>
                <w:sz w:val="21"/>
                <w:szCs w:val="21"/>
                <w:lang w:val="zh-CN"/>
              </w:rPr>
            </w:pPr>
            <w:r>
              <w:rPr>
                <w:rFonts w:ascii="Times New Roman"/>
                <w:sz w:val="21"/>
                <w:szCs w:val="21"/>
                <w:lang w:val="zh-CN"/>
              </w:rPr>
              <w:t>序号</w:t>
            </w:r>
          </w:p>
        </w:tc>
        <w:tc>
          <w:tcPr>
            <w:tcW w:w="987" w:type="pct"/>
            <w:vAlign w:val="center"/>
          </w:tcPr>
          <w:p w14:paraId="2A714AC6">
            <w:pPr>
              <w:kinsoku w:val="0"/>
              <w:overflowPunct w:val="0"/>
              <w:jc w:val="center"/>
              <w:rPr>
                <w:rFonts w:ascii="Times New Roman"/>
                <w:sz w:val="21"/>
                <w:szCs w:val="21"/>
                <w:lang w:val="zh-CN"/>
              </w:rPr>
            </w:pPr>
            <w:r>
              <w:rPr>
                <w:rFonts w:ascii="Times New Roman"/>
                <w:sz w:val="21"/>
                <w:szCs w:val="21"/>
                <w:lang w:val="zh-CN"/>
              </w:rPr>
              <w:t>提示图形符号</w:t>
            </w:r>
          </w:p>
        </w:tc>
        <w:tc>
          <w:tcPr>
            <w:tcW w:w="1075" w:type="pct"/>
            <w:vAlign w:val="center"/>
          </w:tcPr>
          <w:p w14:paraId="18C7190C">
            <w:pPr>
              <w:kinsoku w:val="0"/>
              <w:overflowPunct w:val="0"/>
              <w:jc w:val="center"/>
              <w:rPr>
                <w:rFonts w:ascii="Times New Roman"/>
                <w:sz w:val="21"/>
                <w:szCs w:val="21"/>
                <w:lang w:val="zh-CN"/>
              </w:rPr>
            </w:pPr>
            <w:r>
              <w:rPr>
                <w:rFonts w:ascii="Times New Roman"/>
                <w:sz w:val="21"/>
                <w:szCs w:val="21"/>
                <w:lang w:val="zh-CN"/>
              </w:rPr>
              <w:t>警告图形符号</w:t>
            </w:r>
          </w:p>
        </w:tc>
        <w:tc>
          <w:tcPr>
            <w:tcW w:w="954" w:type="pct"/>
            <w:vAlign w:val="center"/>
          </w:tcPr>
          <w:p w14:paraId="1421B12A">
            <w:pPr>
              <w:kinsoku w:val="0"/>
              <w:overflowPunct w:val="0"/>
              <w:jc w:val="center"/>
              <w:rPr>
                <w:rFonts w:ascii="Times New Roman"/>
                <w:sz w:val="21"/>
                <w:szCs w:val="21"/>
                <w:lang w:val="zh-CN"/>
              </w:rPr>
            </w:pPr>
            <w:r>
              <w:rPr>
                <w:rFonts w:ascii="Times New Roman"/>
                <w:sz w:val="21"/>
                <w:szCs w:val="21"/>
                <w:lang w:val="zh-CN"/>
              </w:rPr>
              <w:t>名称</w:t>
            </w:r>
          </w:p>
        </w:tc>
        <w:tc>
          <w:tcPr>
            <w:tcW w:w="1580" w:type="pct"/>
            <w:vAlign w:val="center"/>
          </w:tcPr>
          <w:p w14:paraId="3C38DED6">
            <w:pPr>
              <w:kinsoku w:val="0"/>
              <w:overflowPunct w:val="0"/>
              <w:jc w:val="center"/>
              <w:rPr>
                <w:rFonts w:ascii="Times New Roman"/>
                <w:sz w:val="21"/>
                <w:szCs w:val="21"/>
                <w:lang w:val="zh-CN"/>
              </w:rPr>
            </w:pPr>
            <w:r>
              <w:rPr>
                <w:rFonts w:ascii="Times New Roman"/>
                <w:sz w:val="21"/>
                <w:szCs w:val="21"/>
                <w:lang w:val="zh-CN"/>
              </w:rPr>
              <w:t>功能</w:t>
            </w:r>
          </w:p>
        </w:tc>
      </w:tr>
      <w:tr w14:paraId="6AF4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atLeast"/>
          <w:jc w:val="center"/>
        </w:trPr>
        <w:tc>
          <w:tcPr>
            <w:tcW w:w="403" w:type="pct"/>
            <w:vAlign w:val="center"/>
          </w:tcPr>
          <w:p w14:paraId="0BC40688">
            <w:pPr>
              <w:jc w:val="center"/>
              <w:rPr>
                <w:rFonts w:ascii="Times New Roman"/>
                <w:sz w:val="21"/>
                <w:szCs w:val="21"/>
              </w:rPr>
            </w:pPr>
            <w:r>
              <w:rPr>
                <w:rFonts w:ascii="Times New Roman"/>
                <w:sz w:val="21"/>
                <w:szCs w:val="21"/>
              </w:rPr>
              <w:t>1</w:t>
            </w:r>
          </w:p>
        </w:tc>
        <w:tc>
          <w:tcPr>
            <w:tcW w:w="987" w:type="pct"/>
            <w:vAlign w:val="center"/>
          </w:tcPr>
          <w:p w14:paraId="3045C6B8">
            <w:pPr>
              <w:jc w:val="center"/>
              <w:rPr>
                <w:rFonts w:ascii="Times New Roman"/>
                <w:sz w:val="21"/>
                <w:szCs w:val="21"/>
              </w:rPr>
            </w:pPr>
            <w:r>
              <w:rPr>
                <w:rFonts w:ascii="Times New Roman"/>
                <w:sz w:val="21"/>
                <w:szCs w:val="21"/>
              </w:rPr>
              <w:drawing>
                <wp:inline distT="0" distB="0" distL="0" distR="0">
                  <wp:extent cx="821690" cy="821690"/>
                  <wp:effectExtent l="0" t="0" r="1651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824166" cy="824166"/>
                          </a:xfrm>
                          <a:prstGeom prst="rect">
                            <a:avLst/>
                          </a:prstGeom>
                          <a:noFill/>
                          <a:ln>
                            <a:noFill/>
                          </a:ln>
                        </pic:spPr>
                      </pic:pic>
                    </a:graphicData>
                  </a:graphic>
                </wp:inline>
              </w:drawing>
            </w:r>
          </w:p>
        </w:tc>
        <w:tc>
          <w:tcPr>
            <w:tcW w:w="1075" w:type="pct"/>
            <w:vAlign w:val="center"/>
          </w:tcPr>
          <w:p w14:paraId="1A8B07F5">
            <w:pPr>
              <w:jc w:val="center"/>
              <w:rPr>
                <w:rFonts w:ascii="Times New Roman"/>
                <w:sz w:val="21"/>
                <w:szCs w:val="21"/>
              </w:rPr>
            </w:pPr>
            <w:r>
              <w:rPr>
                <w:rFonts w:ascii="Times New Roman"/>
                <w:sz w:val="21"/>
                <w:szCs w:val="21"/>
              </w:rPr>
              <w:drawing>
                <wp:inline distT="0" distB="0" distL="0" distR="0">
                  <wp:extent cx="819150" cy="8318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819150" cy="831850"/>
                          </a:xfrm>
                          <a:prstGeom prst="rect">
                            <a:avLst/>
                          </a:prstGeom>
                          <a:noFill/>
                          <a:ln>
                            <a:noFill/>
                          </a:ln>
                        </pic:spPr>
                      </pic:pic>
                    </a:graphicData>
                  </a:graphic>
                </wp:inline>
              </w:drawing>
            </w:r>
          </w:p>
        </w:tc>
        <w:tc>
          <w:tcPr>
            <w:tcW w:w="954" w:type="pct"/>
            <w:vAlign w:val="center"/>
          </w:tcPr>
          <w:p w14:paraId="63FDBE28">
            <w:pPr>
              <w:kinsoku w:val="0"/>
              <w:overflowPunct w:val="0"/>
              <w:jc w:val="center"/>
              <w:rPr>
                <w:rFonts w:ascii="Times New Roman"/>
                <w:sz w:val="21"/>
                <w:szCs w:val="21"/>
              </w:rPr>
            </w:pPr>
            <w:r>
              <w:rPr>
                <w:rFonts w:ascii="Times New Roman"/>
                <w:sz w:val="21"/>
                <w:szCs w:val="21"/>
              </w:rPr>
              <w:t>废气</w:t>
            </w:r>
            <w:r>
              <w:rPr>
                <w:rFonts w:ascii="Times New Roman"/>
                <w:spacing w:val="-3"/>
                <w:sz w:val="21"/>
                <w:szCs w:val="21"/>
              </w:rPr>
              <w:t>排</w:t>
            </w:r>
            <w:r>
              <w:rPr>
                <w:rFonts w:ascii="Times New Roman"/>
                <w:sz w:val="21"/>
                <w:szCs w:val="21"/>
              </w:rPr>
              <w:t>放口</w:t>
            </w:r>
          </w:p>
        </w:tc>
        <w:tc>
          <w:tcPr>
            <w:tcW w:w="1580" w:type="pct"/>
            <w:vAlign w:val="center"/>
          </w:tcPr>
          <w:p w14:paraId="1F8C196B">
            <w:pPr>
              <w:kinsoku w:val="0"/>
              <w:overflowPunct w:val="0"/>
              <w:jc w:val="center"/>
              <w:rPr>
                <w:rFonts w:ascii="Times New Roman"/>
                <w:sz w:val="21"/>
                <w:szCs w:val="21"/>
              </w:rPr>
            </w:pPr>
            <w:r>
              <w:rPr>
                <w:rFonts w:ascii="Times New Roman"/>
                <w:sz w:val="21"/>
                <w:szCs w:val="21"/>
              </w:rPr>
              <w:t>表示</w:t>
            </w:r>
            <w:r>
              <w:rPr>
                <w:rFonts w:ascii="Times New Roman"/>
                <w:spacing w:val="-3"/>
                <w:sz w:val="21"/>
                <w:szCs w:val="21"/>
              </w:rPr>
              <w:t>废</w:t>
            </w:r>
            <w:r>
              <w:rPr>
                <w:rFonts w:ascii="Times New Roman"/>
                <w:sz w:val="21"/>
                <w:szCs w:val="21"/>
              </w:rPr>
              <w:t>气</w:t>
            </w:r>
            <w:r>
              <w:rPr>
                <w:rFonts w:ascii="Times New Roman"/>
                <w:spacing w:val="-3"/>
                <w:sz w:val="21"/>
                <w:szCs w:val="21"/>
              </w:rPr>
              <w:t>向</w:t>
            </w:r>
            <w:r>
              <w:rPr>
                <w:rFonts w:ascii="Times New Roman"/>
                <w:sz w:val="21"/>
                <w:szCs w:val="21"/>
              </w:rPr>
              <w:t>大</w:t>
            </w:r>
            <w:r>
              <w:rPr>
                <w:rFonts w:ascii="Times New Roman"/>
                <w:spacing w:val="-3"/>
                <w:sz w:val="21"/>
                <w:szCs w:val="21"/>
              </w:rPr>
              <w:t>气</w:t>
            </w:r>
            <w:r>
              <w:rPr>
                <w:rFonts w:ascii="Times New Roman"/>
                <w:sz w:val="21"/>
                <w:szCs w:val="21"/>
              </w:rPr>
              <w:t>环</w:t>
            </w:r>
            <w:r>
              <w:rPr>
                <w:rFonts w:ascii="Times New Roman"/>
                <w:spacing w:val="-3"/>
                <w:sz w:val="21"/>
                <w:szCs w:val="21"/>
              </w:rPr>
              <w:t>境</w:t>
            </w:r>
            <w:r>
              <w:rPr>
                <w:rFonts w:ascii="Times New Roman"/>
                <w:sz w:val="21"/>
                <w:szCs w:val="21"/>
              </w:rPr>
              <w:t>排放</w:t>
            </w:r>
          </w:p>
        </w:tc>
      </w:tr>
      <w:tr w14:paraId="27A2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403" w:type="pct"/>
            <w:vAlign w:val="center"/>
          </w:tcPr>
          <w:p w14:paraId="2FD28125">
            <w:pPr>
              <w:jc w:val="center"/>
              <w:rPr>
                <w:rFonts w:ascii="Times New Roman"/>
                <w:sz w:val="21"/>
                <w:szCs w:val="21"/>
              </w:rPr>
            </w:pPr>
            <w:r>
              <w:rPr>
                <w:rFonts w:ascii="Times New Roman"/>
                <w:sz w:val="21"/>
                <w:szCs w:val="21"/>
              </w:rPr>
              <w:t>2</w:t>
            </w:r>
          </w:p>
        </w:tc>
        <w:tc>
          <w:tcPr>
            <w:tcW w:w="987" w:type="pct"/>
            <w:vAlign w:val="center"/>
          </w:tcPr>
          <w:p w14:paraId="5CE256BA">
            <w:pPr>
              <w:jc w:val="center"/>
              <w:rPr>
                <w:rFonts w:ascii="Times New Roman"/>
                <w:sz w:val="21"/>
                <w:szCs w:val="21"/>
              </w:rPr>
            </w:pPr>
            <w:r>
              <w:rPr>
                <w:rFonts w:ascii="Times New Roman"/>
                <w:sz w:val="21"/>
                <w:szCs w:val="21"/>
              </w:rPr>
              <w:drawing>
                <wp:inline distT="0" distB="0" distL="0" distR="0">
                  <wp:extent cx="889000" cy="85090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889000" cy="850900"/>
                          </a:xfrm>
                          <a:prstGeom prst="rect">
                            <a:avLst/>
                          </a:prstGeom>
                          <a:noFill/>
                          <a:ln>
                            <a:noFill/>
                          </a:ln>
                        </pic:spPr>
                      </pic:pic>
                    </a:graphicData>
                  </a:graphic>
                </wp:inline>
              </w:drawing>
            </w:r>
          </w:p>
        </w:tc>
        <w:tc>
          <w:tcPr>
            <w:tcW w:w="1075" w:type="pct"/>
            <w:vAlign w:val="center"/>
          </w:tcPr>
          <w:p w14:paraId="78E9D2B5">
            <w:pPr>
              <w:jc w:val="center"/>
              <w:rPr>
                <w:rFonts w:ascii="Times New Roman"/>
                <w:sz w:val="21"/>
                <w:szCs w:val="21"/>
              </w:rPr>
            </w:pPr>
            <w:r>
              <w:rPr>
                <w:rFonts w:ascii="Times New Roman"/>
                <w:sz w:val="21"/>
                <w:szCs w:val="21"/>
              </w:rPr>
              <w:drawing>
                <wp:inline distT="0" distB="0" distL="0" distR="0">
                  <wp:extent cx="920750" cy="857250"/>
                  <wp:effectExtent l="0" t="0" r="1270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920750" cy="857250"/>
                          </a:xfrm>
                          <a:prstGeom prst="rect">
                            <a:avLst/>
                          </a:prstGeom>
                          <a:noFill/>
                          <a:ln>
                            <a:noFill/>
                          </a:ln>
                        </pic:spPr>
                      </pic:pic>
                    </a:graphicData>
                  </a:graphic>
                </wp:inline>
              </w:drawing>
            </w:r>
          </w:p>
        </w:tc>
        <w:tc>
          <w:tcPr>
            <w:tcW w:w="954" w:type="pct"/>
            <w:vAlign w:val="center"/>
          </w:tcPr>
          <w:p w14:paraId="50D44893">
            <w:pPr>
              <w:kinsoku w:val="0"/>
              <w:overflowPunct w:val="0"/>
              <w:jc w:val="center"/>
              <w:rPr>
                <w:rFonts w:ascii="Times New Roman"/>
                <w:sz w:val="21"/>
                <w:szCs w:val="21"/>
              </w:rPr>
            </w:pPr>
            <w:r>
              <w:rPr>
                <w:rFonts w:ascii="Times New Roman"/>
                <w:sz w:val="21"/>
                <w:szCs w:val="21"/>
              </w:rPr>
              <w:t>废水排放口</w:t>
            </w:r>
          </w:p>
        </w:tc>
        <w:tc>
          <w:tcPr>
            <w:tcW w:w="1580" w:type="pct"/>
            <w:vAlign w:val="center"/>
          </w:tcPr>
          <w:p w14:paraId="4003B3A0">
            <w:pPr>
              <w:kinsoku w:val="0"/>
              <w:overflowPunct w:val="0"/>
              <w:jc w:val="center"/>
              <w:rPr>
                <w:rFonts w:ascii="Times New Roman"/>
                <w:sz w:val="21"/>
                <w:szCs w:val="21"/>
              </w:rPr>
            </w:pPr>
            <w:r>
              <w:rPr>
                <w:rFonts w:ascii="Times New Roman"/>
                <w:sz w:val="21"/>
                <w:szCs w:val="21"/>
              </w:rPr>
              <w:t>表示废水向水体排放</w:t>
            </w:r>
          </w:p>
        </w:tc>
      </w:tr>
      <w:tr w14:paraId="6354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403" w:type="pct"/>
            <w:vAlign w:val="center"/>
          </w:tcPr>
          <w:p w14:paraId="4E86D56A">
            <w:pPr>
              <w:jc w:val="center"/>
              <w:rPr>
                <w:rFonts w:ascii="Times New Roman"/>
                <w:sz w:val="21"/>
                <w:szCs w:val="21"/>
              </w:rPr>
            </w:pPr>
            <w:r>
              <w:rPr>
                <w:rFonts w:ascii="Times New Roman"/>
                <w:sz w:val="21"/>
                <w:szCs w:val="21"/>
              </w:rPr>
              <w:t>3</w:t>
            </w:r>
          </w:p>
        </w:tc>
        <w:tc>
          <w:tcPr>
            <w:tcW w:w="987" w:type="pct"/>
            <w:vAlign w:val="center"/>
          </w:tcPr>
          <w:p w14:paraId="2F8F4358">
            <w:pPr>
              <w:jc w:val="center"/>
              <w:rPr>
                <w:rFonts w:ascii="Times New Roman"/>
                <w:sz w:val="21"/>
                <w:szCs w:val="21"/>
              </w:rPr>
            </w:pPr>
            <w:r>
              <w:rPr>
                <w:rFonts w:ascii="Times New Roman"/>
                <w:sz w:val="21"/>
                <w:szCs w:val="21"/>
              </w:rPr>
              <w:drawing>
                <wp:inline distT="0" distB="0" distL="0" distR="0">
                  <wp:extent cx="892810" cy="885190"/>
                  <wp:effectExtent l="0" t="0" r="2540"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895077" cy="887618"/>
                          </a:xfrm>
                          <a:prstGeom prst="rect">
                            <a:avLst/>
                          </a:prstGeom>
                          <a:noFill/>
                          <a:ln>
                            <a:noFill/>
                          </a:ln>
                        </pic:spPr>
                      </pic:pic>
                    </a:graphicData>
                  </a:graphic>
                </wp:inline>
              </w:drawing>
            </w:r>
          </w:p>
        </w:tc>
        <w:tc>
          <w:tcPr>
            <w:tcW w:w="1075" w:type="pct"/>
            <w:vAlign w:val="center"/>
          </w:tcPr>
          <w:p w14:paraId="40B6C4F2">
            <w:pPr>
              <w:jc w:val="center"/>
              <w:rPr>
                <w:rFonts w:ascii="Times New Roman"/>
                <w:sz w:val="21"/>
                <w:szCs w:val="21"/>
              </w:rPr>
            </w:pPr>
            <w:r>
              <w:rPr>
                <w:rFonts w:ascii="Times New Roman"/>
                <w:sz w:val="21"/>
                <w:szCs w:val="21"/>
              </w:rPr>
              <w:drawing>
                <wp:inline distT="0" distB="0" distL="0" distR="0">
                  <wp:extent cx="850900" cy="79375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850900" cy="793750"/>
                          </a:xfrm>
                          <a:prstGeom prst="rect">
                            <a:avLst/>
                          </a:prstGeom>
                          <a:noFill/>
                          <a:ln>
                            <a:noFill/>
                          </a:ln>
                        </pic:spPr>
                      </pic:pic>
                    </a:graphicData>
                  </a:graphic>
                </wp:inline>
              </w:drawing>
            </w:r>
          </w:p>
        </w:tc>
        <w:tc>
          <w:tcPr>
            <w:tcW w:w="954" w:type="pct"/>
            <w:vAlign w:val="center"/>
          </w:tcPr>
          <w:p w14:paraId="321EC880">
            <w:pPr>
              <w:kinsoku w:val="0"/>
              <w:overflowPunct w:val="0"/>
              <w:jc w:val="center"/>
              <w:rPr>
                <w:rFonts w:ascii="Times New Roman"/>
                <w:sz w:val="21"/>
                <w:szCs w:val="21"/>
              </w:rPr>
            </w:pPr>
            <w:r>
              <w:rPr>
                <w:rFonts w:ascii="Times New Roman"/>
                <w:sz w:val="21"/>
                <w:szCs w:val="21"/>
              </w:rPr>
              <w:t>一般</w:t>
            </w:r>
            <w:r>
              <w:rPr>
                <w:rFonts w:ascii="Times New Roman"/>
                <w:spacing w:val="-3"/>
                <w:sz w:val="21"/>
                <w:szCs w:val="21"/>
              </w:rPr>
              <w:t>固</w:t>
            </w:r>
            <w:r>
              <w:rPr>
                <w:rFonts w:ascii="Times New Roman"/>
                <w:sz w:val="21"/>
                <w:szCs w:val="21"/>
              </w:rPr>
              <w:t>体</w:t>
            </w:r>
            <w:r>
              <w:rPr>
                <w:rFonts w:ascii="Times New Roman"/>
                <w:spacing w:val="-3"/>
                <w:sz w:val="21"/>
                <w:szCs w:val="21"/>
              </w:rPr>
              <w:t>废</w:t>
            </w:r>
            <w:r>
              <w:rPr>
                <w:rFonts w:ascii="Times New Roman"/>
                <w:sz w:val="21"/>
                <w:szCs w:val="21"/>
              </w:rPr>
              <w:t>物</w:t>
            </w:r>
          </w:p>
        </w:tc>
        <w:tc>
          <w:tcPr>
            <w:tcW w:w="1580" w:type="pct"/>
            <w:vAlign w:val="center"/>
          </w:tcPr>
          <w:p w14:paraId="0C3A61B8">
            <w:pPr>
              <w:kinsoku w:val="0"/>
              <w:overflowPunct w:val="0"/>
              <w:jc w:val="center"/>
              <w:rPr>
                <w:rFonts w:ascii="Times New Roman"/>
                <w:sz w:val="21"/>
                <w:szCs w:val="21"/>
              </w:rPr>
            </w:pPr>
            <w:r>
              <w:rPr>
                <w:rFonts w:ascii="Times New Roman"/>
                <w:sz w:val="21"/>
                <w:szCs w:val="21"/>
              </w:rPr>
              <w:t>表示</w:t>
            </w:r>
            <w:r>
              <w:rPr>
                <w:rFonts w:ascii="Times New Roman"/>
                <w:spacing w:val="-3"/>
                <w:sz w:val="21"/>
                <w:szCs w:val="21"/>
              </w:rPr>
              <w:t>一</w:t>
            </w:r>
            <w:r>
              <w:rPr>
                <w:rFonts w:ascii="Times New Roman"/>
                <w:sz w:val="21"/>
                <w:szCs w:val="21"/>
              </w:rPr>
              <w:t>般</w:t>
            </w:r>
            <w:r>
              <w:rPr>
                <w:rFonts w:ascii="Times New Roman"/>
                <w:spacing w:val="-3"/>
                <w:sz w:val="21"/>
                <w:szCs w:val="21"/>
              </w:rPr>
              <w:t>固</w:t>
            </w:r>
            <w:r>
              <w:rPr>
                <w:rFonts w:ascii="Times New Roman"/>
                <w:sz w:val="21"/>
                <w:szCs w:val="21"/>
              </w:rPr>
              <w:t>体</w:t>
            </w:r>
            <w:r>
              <w:rPr>
                <w:rFonts w:ascii="Times New Roman"/>
                <w:spacing w:val="-3"/>
                <w:sz w:val="21"/>
                <w:szCs w:val="21"/>
              </w:rPr>
              <w:t>废</w:t>
            </w:r>
            <w:r>
              <w:rPr>
                <w:rFonts w:ascii="Times New Roman"/>
                <w:sz w:val="21"/>
                <w:szCs w:val="21"/>
              </w:rPr>
              <w:t>物</w:t>
            </w:r>
            <w:r>
              <w:rPr>
                <w:rFonts w:ascii="Times New Roman"/>
                <w:spacing w:val="-3"/>
                <w:sz w:val="21"/>
                <w:szCs w:val="21"/>
              </w:rPr>
              <w:t>贮</w:t>
            </w:r>
            <w:r>
              <w:rPr>
                <w:rFonts w:ascii="Times New Roman"/>
                <w:sz w:val="21"/>
                <w:szCs w:val="21"/>
              </w:rPr>
              <w:t>存</w:t>
            </w:r>
            <w:r>
              <w:rPr>
                <w:rFonts w:ascii="Times New Roman"/>
                <w:spacing w:val="-3"/>
                <w:sz w:val="21"/>
                <w:szCs w:val="21"/>
              </w:rPr>
              <w:t>、</w:t>
            </w:r>
            <w:r>
              <w:rPr>
                <w:rFonts w:ascii="Times New Roman"/>
                <w:sz w:val="21"/>
                <w:szCs w:val="21"/>
              </w:rPr>
              <w:t>处置场</w:t>
            </w:r>
          </w:p>
        </w:tc>
      </w:tr>
      <w:tr w14:paraId="794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5" w:hRule="atLeast"/>
          <w:jc w:val="center"/>
        </w:trPr>
        <w:tc>
          <w:tcPr>
            <w:tcW w:w="403" w:type="pct"/>
            <w:vAlign w:val="center"/>
          </w:tcPr>
          <w:p w14:paraId="33D70959">
            <w:pPr>
              <w:jc w:val="center"/>
              <w:rPr>
                <w:rFonts w:ascii="Times New Roman"/>
                <w:sz w:val="21"/>
                <w:szCs w:val="21"/>
              </w:rPr>
            </w:pPr>
            <w:r>
              <w:rPr>
                <w:rFonts w:ascii="Times New Roman"/>
                <w:sz w:val="21"/>
                <w:szCs w:val="21"/>
              </w:rPr>
              <w:t>4</w:t>
            </w:r>
          </w:p>
        </w:tc>
        <w:tc>
          <w:tcPr>
            <w:tcW w:w="987" w:type="pct"/>
            <w:vAlign w:val="center"/>
          </w:tcPr>
          <w:p w14:paraId="60F6282A">
            <w:pPr>
              <w:jc w:val="center"/>
              <w:rPr>
                <w:rFonts w:ascii="Times New Roman"/>
                <w:sz w:val="21"/>
                <w:szCs w:val="21"/>
              </w:rPr>
            </w:pPr>
            <w:r>
              <w:rPr>
                <w:rFonts w:ascii="Times New Roman"/>
                <w:sz w:val="21"/>
                <w:szCs w:val="21"/>
              </w:rPr>
              <w:drawing>
                <wp:inline distT="0" distB="0" distL="0" distR="0">
                  <wp:extent cx="960120" cy="960120"/>
                  <wp:effectExtent l="0" t="0" r="1143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961720" cy="961720"/>
                          </a:xfrm>
                          <a:prstGeom prst="rect">
                            <a:avLst/>
                          </a:prstGeom>
                          <a:noFill/>
                          <a:ln>
                            <a:noFill/>
                          </a:ln>
                        </pic:spPr>
                      </pic:pic>
                    </a:graphicData>
                  </a:graphic>
                </wp:inline>
              </w:drawing>
            </w:r>
          </w:p>
        </w:tc>
        <w:tc>
          <w:tcPr>
            <w:tcW w:w="1075" w:type="pct"/>
            <w:vAlign w:val="center"/>
          </w:tcPr>
          <w:p w14:paraId="178E086A">
            <w:pPr>
              <w:jc w:val="center"/>
              <w:rPr>
                <w:rFonts w:ascii="Times New Roman"/>
                <w:sz w:val="21"/>
                <w:szCs w:val="21"/>
              </w:rPr>
            </w:pPr>
            <w:r>
              <w:rPr>
                <w:rFonts w:ascii="Times New Roman"/>
                <w:sz w:val="21"/>
                <w:szCs w:val="21"/>
              </w:rPr>
              <w:drawing>
                <wp:inline distT="0" distB="0" distL="0" distR="0">
                  <wp:extent cx="971550" cy="8699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971550" cy="869950"/>
                          </a:xfrm>
                          <a:prstGeom prst="rect">
                            <a:avLst/>
                          </a:prstGeom>
                          <a:noFill/>
                          <a:ln>
                            <a:noFill/>
                          </a:ln>
                        </pic:spPr>
                      </pic:pic>
                    </a:graphicData>
                  </a:graphic>
                </wp:inline>
              </w:drawing>
            </w:r>
          </w:p>
        </w:tc>
        <w:tc>
          <w:tcPr>
            <w:tcW w:w="954" w:type="pct"/>
            <w:vAlign w:val="center"/>
          </w:tcPr>
          <w:p w14:paraId="2C16E52F">
            <w:pPr>
              <w:kinsoku w:val="0"/>
              <w:overflowPunct w:val="0"/>
              <w:jc w:val="center"/>
              <w:rPr>
                <w:rFonts w:ascii="Times New Roman"/>
                <w:sz w:val="21"/>
                <w:szCs w:val="21"/>
              </w:rPr>
            </w:pPr>
            <w:r>
              <w:rPr>
                <w:rFonts w:ascii="Times New Roman"/>
                <w:sz w:val="21"/>
                <w:szCs w:val="21"/>
              </w:rPr>
              <w:t>噪声</w:t>
            </w:r>
            <w:r>
              <w:rPr>
                <w:rFonts w:ascii="Times New Roman"/>
                <w:spacing w:val="-3"/>
                <w:sz w:val="21"/>
                <w:szCs w:val="21"/>
              </w:rPr>
              <w:t>排</w:t>
            </w:r>
            <w:r>
              <w:rPr>
                <w:rFonts w:ascii="Times New Roman"/>
                <w:sz w:val="21"/>
                <w:szCs w:val="21"/>
              </w:rPr>
              <w:t>放源</w:t>
            </w:r>
          </w:p>
        </w:tc>
        <w:tc>
          <w:tcPr>
            <w:tcW w:w="1580" w:type="pct"/>
            <w:vAlign w:val="center"/>
          </w:tcPr>
          <w:p w14:paraId="58AB146A">
            <w:pPr>
              <w:kinsoku w:val="0"/>
              <w:overflowPunct w:val="0"/>
              <w:jc w:val="center"/>
              <w:rPr>
                <w:rFonts w:ascii="Times New Roman"/>
                <w:sz w:val="21"/>
                <w:szCs w:val="21"/>
              </w:rPr>
            </w:pPr>
            <w:r>
              <w:rPr>
                <w:rFonts w:ascii="Times New Roman"/>
                <w:sz w:val="21"/>
                <w:szCs w:val="21"/>
              </w:rPr>
              <w:t>表示</w:t>
            </w:r>
            <w:r>
              <w:rPr>
                <w:rFonts w:ascii="Times New Roman"/>
                <w:spacing w:val="-3"/>
                <w:sz w:val="21"/>
                <w:szCs w:val="21"/>
              </w:rPr>
              <w:t>噪</w:t>
            </w:r>
            <w:r>
              <w:rPr>
                <w:rFonts w:ascii="Times New Roman"/>
                <w:sz w:val="21"/>
                <w:szCs w:val="21"/>
              </w:rPr>
              <w:t>声</w:t>
            </w:r>
            <w:r>
              <w:rPr>
                <w:rFonts w:ascii="Times New Roman"/>
                <w:spacing w:val="-3"/>
                <w:sz w:val="21"/>
                <w:szCs w:val="21"/>
              </w:rPr>
              <w:t>向</w:t>
            </w:r>
            <w:r>
              <w:rPr>
                <w:rFonts w:ascii="Times New Roman"/>
                <w:sz w:val="21"/>
                <w:szCs w:val="21"/>
              </w:rPr>
              <w:t>外</w:t>
            </w:r>
            <w:r>
              <w:rPr>
                <w:rFonts w:ascii="Times New Roman"/>
                <w:spacing w:val="-3"/>
                <w:sz w:val="21"/>
                <w:szCs w:val="21"/>
              </w:rPr>
              <w:t>环</w:t>
            </w:r>
            <w:r>
              <w:rPr>
                <w:rFonts w:ascii="Times New Roman"/>
                <w:sz w:val="21"/>
                <w:szCs w:val="21"/>
              </w:rPr>
              <w:t>境</w:t>
            </w:r>
            <w:r>
              <w:rPr>
                <w:rFonts w:ascii="Times New Roman"/>
                <w:spacing w:val="-3"/>
                <w:sz w:val="21"/>
                <w:szCs w:val="21"/>
              </w:rPr>
              <w:t>排</w:t>
            </w:r>
            <w:r>
              <w:rPr>
                <w:rFonts w:ascii="Times New Roman"/>
                <w:sz w:val="21"/>
                <w:szCs w:val="21"/>
              </w:rPr>
              <w:t>放</w:t>
            </w:r>
          </w:p>
        </w:tc>
      </w:tr>
    </w:tbl>
    <w:p w14:paraId="1BCDF5D5">
      <w:pPr>
        <w:pStyle w:val="522"/>
        <w:widowControl w:val="0"/>
        <w:tabs>
          <w:tab w:val="left" w:pos="5040"/>
        </w:tabs>
        <w:snapToGrid w:val="0"/>
        <w:spacing w:line="440" w:lineRule="atLeast"/>
        <w:ind w:firstLine="480" w:firstLineChars="200"/>
        <w:rPr>
          <w:sz w:val="24"/>
          <w:szCs w:val="24"/>
        </w:rPr>
      </w:pPr>
      <w:bookmarkStart w:id="268" w:name="_Toc499746253"/>
      <w:r>
        <w:rPr>
          <w:sz w:val="24"/>
          <w:szCs w:val="24"/>
        </w:rPr>
        <w:t>危废贮存间建设应遵循《危险废物贮存污染控制标准》（GB18597-20</w:t>
      </w:r>
      <w:r>
        <w:rPr>
          <w:rFonts w:hint="eastAsia"/>
          <w:sz w:val="24"/>
          <w:szCs w:val="24"/>
        </w:rPr>
        <w:t>23</w:t>
      </w:r>
      <w:r>
        <w:rPr>
          <w:sz w:val="24"/>
          <w:szCs w:val="24"/>
        </w:rPr>
        <w:t>）的相关要求，并设立标志牌。由于本项目生产过程中会产生危险废物，按照《危险废物贮存污染控制标准》（GB18597-20</w:t>
      </w:r>
      <w:r>
        <w:rPr>
          <w:rFonts w:hint="eastAsia"/>
          <w:sz w:val="24"/>
          <w:szCs w:val="24"/>
        </w:rPr>
        <w:t>23</w:t>
      </w:r>
      <w:r>
        <w:rPr>
          <w:sz w:val="24"/>
          <w:szCs w:val="24"/>
        </w:rPr>
        <w:t>）相关规定要求，危废间及危险废物储存容器上需要张贴标签，具体要求如下：</w:t>
      </w:r>
    </w:p>
    <w:p w14:paraId="79C512DF">
      <w:pPr>
        <w:spacing w:line="480" w:lineRule="exact"/>
        <w:jc w:val="center"/>
        <w:rPr>
          <w:rFonts w:ascii="Times New Roman"/>
          <w:b/>
          <w:kern w:val="0"/>
          <w:sz w:val="24"/>
          <w:szCs w:val="24"/>
        </w:rPr>
      </w:pPr>
      <w:r>
        <w:rPr>
          <w:rFonts w:ascii="Times New Roman"/>
          <w:b/>
          <w:kern w:val="0"/>
          <w:sz w:val="24"/>
          <w:szCs w:val="24"/>
        </w:rPr>
        <w:t xml:space="preserve">表8.3-2 </w:t>
      </w:r>
      <w:r>
        <w:rPr>
          <w:rFonts w:hint="eastAsia" w:ascii="Times New Roman"/>
          <w:b/>
          <w:kern w:val="0"/>
          <w:sz w:val="24"/>
          <w:szCs w:val="24"/>
        </w:rPr>
        <w:t xml:space="preserve"> </w:t>
      </w:r>
      <w:r>
        <w:rPr>
          <w:rFonts w:ascii="Times New Roman"/>
          <w:b/>
          <w:kern w:val="0"/>
          <w:sz w:val="24"/>
          <w:szCs w:val="24"/>
        </w:rPr>
        <w:t>危废暂存间及储存容器标签示例</w:t>
      </w:r>
    </w:p>
    <w:tbl>
      <w:tblPr>
        <w:tblStyle w:val="84"/>
        <w:tblW w:w="82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2797"/>
        <w:gridCol w:w="4191"/>
      </w:tblGrid>
      <w:tr w14:paraId="29DE7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8" w:type="pct"/>
            <w:tcMar>
              <w:top w:w="28" w:type="dxa"/>
              <w:bottom w:w="28" w:type="dxa"/>
            </w:tcMar>
            <w:vAlign w:val="center"/>
          </w:tcPr>
          <w:p w14:paraId="586FBE41">
            <w:pPr>
              <w:jc w:val="center"/>
              <w:rPr>
                <w:rFonts w:ascii="Times New Roman"/>
                <w:sz w:val="21"/>
                <w:szCs w:val="21"/>
              </w:rPr>
            </w:pPr>
            <w:r>
              <w:rPr>
                <w:rFonts w:ascii="Times New Roman"/>
                <w:sz w:val="21"/>
                <w:szCs w:val="21"/>
              </w:rPr>
              <w:t>场合</w:t>
            </w:r>
          </w:p>
        </w:tc>
        <w:tc>
          <w:tcPr>
            <w:tcW w:w="1686" w:type="pct"/>
            <w:tcMar>
              <w:top w:w="28" w:type="dxa"/>
              <w:bottom w:w="28" w:type="dxa"/>
            </w:tcMar>
            <w:vAlign w:val="center"/>
          </w:tcPr>
          <w:p w14:paraId="1EAB40B7">
            <w:pPr>
              <w:jc w:val="center"/>
              <w:rPr>
                <w:rFonts w:ascii="Times New Roman"/>
                <w:sz w:val="21"/>
                <w:szCs w:val="21"/>
              </w:rPr>
            </w:pPr>
            <w:r>
              <w:rPr>
                <w:rFonts w:ascii="Times New Roman"/>
                <w:sz w:val="21"/>
                <w:szCs w:val="21"/>
              </w:rPr>
              <w:t>样式</w:t>
            </w:r>
          </w:p>
        </w:tc>
        <w:tc>
          <w:tcPr>
            <w:tcW w:w="2526" w:type="pct"/>
            <w:tcMar>
              <w:top w:w="28" w:type="dxa"/>
              <w:bottom w:w="28" w:type="dxa"/>
            </w:tcMar>
            <w:vAlign w:val="center"/>
          </w:tcPr>
          <w:p w14:paraId="4D5AEA2A">
            <w:pPr>
              <w:jc w:val="center"/>
              <w:rPr>
                <w:rFonts w:ascii="Times New Roman"/>
                <w:sz w:val="21"/>
                <w:szCs w:val="21"/>
              </w:rPr>
            </w:pPr>
            <w:r>
              <w:rPr>
                <w:rFonts w:ascii="Times New Roman"/>
                <w:sz w:val="21"/>
                <w:szCs w:val="21"/>
              </w:rPr>
              <w:t>要求</w:t>
            </w:r>
          </w:p>
        </w:tc>
      </w:tr>
      <w:tr w14:paraId="64CCD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8" w:type="pct"/>
            <w:tcMar>
              <w:top w:w="28" w:type="dxa"/>
              <w:bottom w:w="28" w:type="dxa"/>
            </w:tcMar>
            <w:vAlign w:val="center"/>
          </w:tcPr>
          <w:p w14:paraId="1BFBBD84">
            <w:pPr>
              <w:jc w:val="center"/>
              <w:rPr>
                <w:rFonts w:ascii="Times New Roman"/>
                <w:sz w:val="21"/>
                <w:szCs w:val="21"/>
              </w:rPr>
            </w:pPr>
            <w:r>
              <w:rPr>
                <w:rFonts w:ascii="Times New Roman"/>
                <w:sz w:val="21"/>
                <w:szCs w:val="21"/>
              </w:rPr>
              <w:t>室外</w:t>
            </w:r>
          </w:p>
          <w:p w14:paraId="12365072">
            <w:pPr>
              <w:jc w:val="center"/>
              <w:rPr>
                <w:rFonts w:ascii="Times New Roman"/>
                <w:sz w:val="21"/>
                <w:szCs w:val="21"/>
              </w:rPr>
            </w:pPr>
            <w:r>
              <w:rPr>
                <w:rFonts w:ascii="Times New Roman"/>
                <w:sz w:val="21"/>
                <w:szCs w:val="21"/>
              </w:rPr>
              <w:t>（粘贴于门上或悬挂）</w:t>
            </w:r>
          </w:p>
        </w:tc>
        <w:tc>
          <w:tcPr>
            <w:tcW w:w="1686" w:type="pct"/>
            <w:tcMar>
              <w:top w:w="28" w:type="dxa"/>
              <w:bottom w:w="28" w:type="dxa"/>
            </w:tcMar>
            <w:vAlign w:val="center"/>
          </w:tcPr>
          <w:p w14:paraId="13EC8B2B">
            <w:pPr>
              <w:jc w:val="center"/>
              <w:rPr>
                <w:rFonts w:ascii="Times New Roman"/>
                <w:sz w:val="21"/>
                <w:szCs w:val="21"/>
              </w:rPr>
            </w:pPr>
            <w:r>
              <w:rPr>
                <w:rFonts w:ascii="Times New Roman"/>
                <w:sz w:val="21"/>
                <w:szCs w:val="21"/>
              </w:rPr>
              <w:drawing>
                <wp:inline distT="0" distB="0" distL="0" distR="0">
                  <wp:extent cx="1508125" cy="1508125"/>
                  <wp:effectExtent l="0" t="0" r="15875" b="15875"/>
                  <wp:docPr id="36" name="图片 1499" descr="wpsF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99" descr="wpsF9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508125" cy="1508125"/>
                          </a:xfrm>
                          <a:prstGeom prst="rect">
                            <a:avLst/>
                          </a:prstGeom>
                          <a:noFill/>
                          <a:ln>
                            <a:noFill/>
                          </a:ln>
                        </pic:spPr>
                      </pic:pic>
                    </a:graphicData>
                  </a:graphic>
                </wp:inline>
              </w:drawing>
            </w:r>
          </w:p>
        </w:tc>
        <w:tc>
          <w:tcPr>
            <w:tcW w:w="2526" w:type="pct"/>
            <w:tcMar>
              <w:top w:w="28" w:type="dxa"/>
              <w:bottom w:w="28" w:type="dxa"/>
            </w:tcMar>
            <w:vAlign w:val="center"/>
          </w:tcPr>
          <w:p w14:paraId="32F6F73F">
            <w:pPr>
              <w:rPr>
                <w:rFonts w:ascii="Times New Roman"/>
                <w:sz w:val="21"/>
                <w:szCs w:val="21"/>
              </w:rPr>
            </w:pPr>
            <w:r>
              <w:rPr>
                <w:rFonts w:ascii="Times New Roman"/>
                <w:sz w:val="21"/>
                <w:szCs w:val="21"/>
              </w:rPr>
              <w:t>1、危险废物警告标志规格颜色：</w:t>
            </w:r>
          </w:p>
          <w:p w14:paraId="314CE1D2">
            <w:pPr>
              <w:rPr>
                <w:rFonts w:ascii="Times New Roman"/>
                <w:sz w:val="21"/>
                <w:szCs w:val="21"/>
              </w:rPr>
            </w:pPr>
            <w:r>
              <w:rPr>
                <w:rFonts w:ascii="Times New Roman"/>
                <w:sz w:val="21"/>
                <w:szCs w:val="21"/>
              </w:rPr>
              <w:t>形状：等边三角形，边长40cm</w:t>
            </w:r>
          </w:p>
          <w:p w14:paraId="22BD4346">
            <w:pPr>
              <w:rPr>
                <w:rFonts w:ascii="Times New Roman"/>
                <w:sz w:val="21"/>
                <w:szCs w:val="21"/>
              </w:rPr>
            </w:pPr>
            <w:r>
              <w:rPr>
                <w:rFonts w:ascii="Times New Roman"/>
                <w:sz w:val="21"/>
                <w:szCs w:val="21"/>
              </w:rPr>
              <w:t>颜色：背景为黄色、图形为黑色</w:t>
            </w:r>
          </w:p>
          <w:p w14:paraId="2E98EE96">
            <w:pPr>
              <w:rPr>
                <w:rFonts w:ascii="Times New Roman"/>
                <w:sz w:val="21"/>
                <w:szCs w:val="21"/>
              </w:rPr>
            </w:pPr>
            <w:r>
              <w:rPr>
                <w:rFonts w:ascii="Times New Roman"/>
                <w:sz w:val="21"/>
                <w:szCs w:val="21"/>
              </w:rPr>
              <w:t>2、警告标志外檐2.5cm</w:t>
            </w:r>
          </w:p>
          <w:p w14:paraId="0C92F414">
            <w:pPr>
              <w:rPr>
                <w:rFonts w:ascii="Times New Roman"/>
                <w:sz w:val="21"/>
                <w:szCs w:val="21"/>
              </w:rPr>
            </w:pPr>
            <w:r>
              <w:rPr>
                <w:rFonts w:ascii="Times New Roman"/>
                <w:sz w:val="21"/>
                <w:szCs w:val="21"/>
              </w:rPr>
              <w:t>3、使用于：危险废物贮存设施为房屋的，建有围墙或防护栅栏，且高度高于100cm时；部分危险废物利用、处置场所</w:t>
            </w:r>
          </w:p>
        </w:tc>
      </w:tr>
      <w:tr w14:paraId="6F166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8" w:type="pct"/>
            <w:tcMar>
              <w:top w:w="28" w:type="dxa"/>
              <w:bottom w:w="28" w:type="dxa"/>
            </w:tcMar>
            <w:vAlign w:val="center"/>
          </w:tcPr>
          <w:p w14:paraId="37B311CC">
            <w:pPr>
              <w:jc w:val="center"/>
              <w:rPr>
                <w:rFonts w:ascii="Times New Roman"/>
                <w:sz w:val="21"/>
                <w:szCs w:val="21"/>
              </w:rPr>
            </w:pPr>
            <w:r>
              <w:rPr>
                <w:rFonts w:ascii="Times New Roman"/>
                <w:sz w:val="21"/>
                <w:szCs w:val="21"/>
              </w:rPr>
              <w:t>室外</w:t>
            </w:r>
          </w:p>
          <w:p w14:paraId="2C1A7733">
            <w:pPr>
              <w:jc w:val="center"/>
              <w:rPr>
                <w:rFonts w:ascii="Times New Roman"/>
                <w:sz w:val="21"/>
                <w:szCs w:val="21"/>
              </w:rPr>
            </w:pPr>
            <w:r>
              <w:rPr>
                <w:rFonts w:ascii="Times New Roman"/>
                <w:sz w:val="21"/>
                <w:szCs w:val="21"/>
              </w:rPr>
              <w:t>（粘贴于门上或悬挂）</w:t>
            </w:r>
          </w:p>
        </w:tc>
        <w:tc>
          <w:tcPr>
            <w:tcW w:w="1686" w:type="pct"/>
            <w:tcMar>
              <w:top w:w="28" w:type="dxa"/>
              <w:bottom w:w="28" w:type="dxa"/>
            </w:tcMar>
            <w:vAlign w:val="center"/>
          </w:tcPr>
          <w:p w14:paraId="7A35BA45">
            <w:pPr>
              <w:jc w:val="center"/>
              <w:rPr>
                <w:rFonts w:ascii="Times New Roman"/>
                <w:sz w:val="21"/>
                <w:szCs w:val="21"/>
              </w:rPr>
            </w:pPr>
            <w:r>
              <w:rPr>
                <w:rFonts w:ascii="Times New Roman"/>
                <w:sz w:val="21"/>
                <w:szCs w:val="21"/>
              </w:rPr>
              <w:drawing>
                <wp:inline distT="0" distB="0" distL="0" distR="0">
                  <wp:extent cx="1520190" cy="1139825"/>
                  <wp:effectExtent l="0" t="0" r="3810" b="3175"/>
                  <wp:docPr id="40" name="图片 1101" descr="wpsF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01" descr="wpsF9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20190" cy="1139825"/>
                          </a:xfrm>
                          <a:prstGeom prst="rect">
                            <a:avLst/>
                          </a:prstGeom>
                          <a:noFill/>
                          <a:ln>
                            <a:noFill/>
                          </a:ln>
                        </pic:spPr>
                      </pic:pic>
                    </a:graphicData>
                  </a:graphic>
                </wp:inline>
              </w:drawing>
            </w:r>
          </w:p>
        </w:tc>
        <w:tc>
          <w:tcPr>
            <w:tcW w:w="2526" w:type="pct"/>
            <w:tcMar>
              <w:top w:w="28" w:type="dxa"/>
              <w:bottom w:w="28" w:type="dxa"/>
            </w:tcMar>
            <w:vAlign w:val="center"/>
          </w:tcPr>
          <w:p w14:paraId="63204359">
            <w:pPr>
              <w:rPr>
                <w:rFonts w:ascii="Times New Roman"/>
                <w:sz w:val="21"/>
                <w:szCs w:val="21"/>
              </w:rPr>
            </w:pPr>
            <w:r>
              <w:rPr>
                <w:rFonts w:ascii="Times New Roman"/>
                <w:sz w:val="21"/>
                <w:szCs w:val="21"/>
              </w:rPr>
              <w:t>1、危险废物标签尺寸颜色：</w:t>
            </w:r>
          </w:p>
          <w:p w14:paraId="2C8E13DF">
            <w:pPr>
              <w:rPr>
                <w:rFonts w:ascii="Times New Roman"/>
                <w:sz w:val="21"/>
                <w:szCs w:val="21"/>
              </w:rPr>
            </w:pPr>
            <w:r>
              <w:rPr>
                <w:rFonts w:ascii="Times New Roman"/>
                <w:sz w:val="21"/>
                <w:szCs w:val="21"/>
              </w:rPr>
              <w:t>尺寸：40×40cm</w:t>
            </w:r>
          </w:p>
          <w:p w14:paraId="6B9C50DF">
            <w:pPr>
              <w:rPr>
                <w:rFonts w:ascii="Times New Roman"/>
                <w:sz w:val="21"/>
                <w:szCs w:val="21"/>
              </w:rPr>
            </w:pPr>
            <w:r>
              <w:rPr>
                <w:rFonts w:ascii="Times New Roman"/>
                <w:sz w:val="21"/>
                <w:szCs w:val="21"/>
              </w:rPr>
              <w:t>底色：醒目的橘黄色</w:t>
            </w:r>
          </w:p>
          <w:p w14:paraId="274BC12D">
            <w:pPr>
              <w:rPr>
                <w:rFonts w:ascii="Times New Roman"/>
                <w:sz w:val="21"/>
                <w:szCs w:val="21"/>
              </w:rPr>
            </w:pPr>
            <w:r>
              <w:rPr>
                <w:rFonts w:ascii="Times New Roman"/>
                <w:sz w:val="21"/>
                <w:szCs w:val="21"/>
              </w:rPr>
              <w:t>字体：黑体字</w:t>
            </w:r>
          </w:p>
          <w:p w14:paraId="7047B2C8">
            <w:pPr>
              <w:rPr>
                <w:rFonts w:ascii="Times New Roman"/>
                <w:sz w:val="21"/>
                <w:szCs w:val="21"/>
              </w:rPr>
            </w:pPr>
            <w:r>
              <w:rPr>
                <w:rFonts w:ascii="Times New Roman"/>
                <w:sz w:val="21"/>
                <w:szCs w:val="21"/>
              </w:rPr>
              <w:t>字体颜色：黑色</w:t>
            </w:r>
          </w:p>
          <w:p w14:paraId="4636BB7D">
            <w:pPr>
              <w:rPr>
                <w:rFonts w:ascii="Times New Roman"/>
                <w:sz w:val="21"/>
                <w:szCs w:val="21"/>
              </w:rPr>
            </w:pPr>
            <w:r>
              <w:rPr>
                <w:rFonts w:ascii="Times New Roman"/>
                <w:sz w:val="21"/>
                <w:szCs w:val="21"/>
              </w:rPr>
              <w:t>2、危险类别：按危险废物种类选择</w:t>
            </w:r>
          </w:p>
        </w:tc>
      </w:tr>
      <w:tr w14:paraId="3F1C4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8" w:type="pct"/>
            <w:tcMar>
              <w:top w:w="28" w:type="dxa"/>
              <w:bottom w:w="28" w:type="dxa"/>
            </w:tcMar>
            <w:vAlign w:val="center"/>
          </w:tcPr>
          <w:p w14:paraId="4F966045">
            <w:pPr>
              <w:jc w:val="center"/>
              <w:rPr>
                <w:rFonts w:ascii="Times New Roman"/>
                <w:sz w:val="21"/>
                <w:szCs w:val="21"/>
              </w:rPr>
            </w:pPr>
            <w:r>
              <w:rPr>
                <w:rFonts w:ascii="Times New Roman"/>
                <w:sz w:val="21"/>
                <w:szCs w:val="21"/>
              </w:rPr>
              <w:t>粘贴于危险废物储存容器</w:t>
            </w:r>
          </w:p>
        </w:tc>
        <w:tc>
          <w:tcPr>
            <w:tcW w:w="1686" w:type="pct"/>
            <w:tcMar>
              <w:top w:w="28" w:type="dxa"/>
              <w:bottom w:w="28" w:type="dxa"/>
            </w:tcMar>
            <w:vAlign w:val="center"/>
          </w:tcPr>
          <w:p w14:paraId="31BD01DE">
            <w:pPr>
              <w:jc w:val="center"/>
              <w:rPr>
                <w:rFonts w:ascii="Times New Roman"/>
                <w:sz w:val="21"/>
                <w:szCs w:val="21"/>
              </w:rPr>
            </w:pPr>
            <w:r>
              <w:rPr>
                <w:rFonts w:ascii="Times New Roman"/>
                <w:sz w:val="21"/>
                <w:szCs w:val="21"/>
              </w:rPr>
              <w:drawing>
                <wp:inline distT="0" distB="0" distL="0" distR="0">
                  <wp:extent cx="1520190" cy="1139825"/>
                  <wp:effectExtent l="0" t="0" r="3810" b="3175"/>
                  <wp:docPr id="41" name="图片 1500" descr="wpsF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00" descr="wpsF9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20190" cy="1139825"/>
                          </a:xfrm>
                          <a:prstGeom prst="rect">
                            <a:avLst/>
                          </a:prstGeom>
                          <a:noFill/>
                          <a:ln>
                            <a:noFill/>
                          </a:ln>
                        </pic:spPr>
                      </pic:pic>
                    </a:graphicData>
                  </a:graphic>
                </wp:inline>
              </w:drawing>
            </w:r>
          </w:p>
        </w:tc>
        <w:tc>
          <w:tcPr>
            <w:tcW w:w="2526" w:type="pct"/>
            <w:tcMar>
              <w:top w:w="28" w:type="dxa"/>
              <w:bottom w:w="28" w:type="dxa"/>
            </w:tcMar>
            <w:vAlign w:val="center"/>
          </w:tcPr>
          <w:p w14:paraId="6E3F9E2B">
            <w:pPr>
              <w:rPr>
                <w:rFonts w:ascii="Times New Roman"/>
                <w:sz w:val="21"/>
                <w:szCs w:val="21"/>
              </w:rPr>
            </w:pPr>
            <w:r>
              <w:rPr>
                <w:rFonts w:ascii="Times New Roman"/>
                <w:sz w:val="21"/>
                <w:szCs w:val="21"/>
              </w:rPr>
              <w:t>1、危险废物标签尺寸颜色：</w:t>
            </w:r>
          </w:p>
          <w:p w14:paraId="1749915C">
            <w:pPr>
              <w:rPr>
                <w:rFonts w:ascii="Times New Roman"/>
                <w:sz w:val="21"/>
                <w:szCs w:val="21"/>
              </w:rPr>
            </w:pPr>
            <w:r>
              <w:rPr>
                <w:rFonts w:ascii="Times New Roman"/>
                <w:sz w:val="21"/>
                <w:szCs w:val="21"/>
              </w:rPr>
              <w:t>尺寸：20×20cm</w:t>
            </w:r>
          </w:p>
          <w:p w14:paraId="024C53A4">
            <w:pPr>
              <w:rPr>
                <w:rFonts w:ascii="Times New Roman"/>
                <w:sz w:val="21"/>
                <w:szCs w:val="21"/>
              </w:rPr>
            </w:pPr>
            <w:r>
              <w:rPr>
                <w:rFonts w:ascii="Times New Roman"/>
                <w:sz w:val="21"/>
                <w:szCs w:val="21"/>
              </w:rPr>
              <w:t>底色：醒目的橘黄色</w:t>
            </w:r>
          </w:p>
          <w:p w14:paraId="68C0D3FD">
            <w:pPr>
              <w:rPr>
                <w:rFonts w:ascii="Times New Roman"/>
                <w:sz w:val="21"/>
                <w:szCs w:val="21"/>
              </w:rPr>
            </w:pPr>
            <w:r>
              <w:rPr>
                <w:rFonts w:ascii="Times New Roman"/>
                <w:sz w:val="21"/>
                <w:szCs w:val="21"/>
              </w:rPr>
              <w:t>字体：黑体字</w:t>
            </w:r>
          </w:p>
          <w:p w14:paraId="56478C8A">
            <w:pPr>
              <w:rPr>
                <w:rFonts w:ascii="Times New Roman"/>
                <w:sz w:val="21"/>
                <w:szCs w:val="21"/>
              </w:rPr>
            </w:pPr>
            <w:r>
              <w:rPr>
                <w:rFonts w:ascii="Times New Roman"/>
                <w:sz w:val="21"/>
                <w:szCs w:val="21"/>
              </w:rPr>
              <w:t>字体颜色：黑色</w:t>
            </w:r>
          </w:p>
          <w:p w14:paraId="70431AD8">
            <w:pPr>
              <w:rPr>
                <w:rFonts w:ascii="Times New Roman"/>
                <w:sz w:val="21"/>
                <w:szCs w:val="21"/>
              </w:rPr>
            </w:pPr>
            <w:r>
              <w:rPr>
                <w:rFonts w:ascii="Times New Roman"/>
                <w:sz w:val="21"/>
                <w:szCs w:val="21"/>
              </w:rPr>
              <w:t>2、危险类别：按危险废物种类选择</w:t>
            </w:r>
          </w:p>
        </w:tc>
      </w:tr>
    </w:tbl>
    <w:p w14:paraId="11503D5D">
      <w:pPr>
        <w:widowControl/>
        <w:spacing w:line="520" w:lineRule="exact"/>
        <w:jc w:val="left"/>
        <w:outlineLvl w:val="1"/>
        <w:rPr>
          <w:rFonts w:ascii="Times New Roman"/>
          <w:b/>
          <w:sz w:val="30"/>
          <w:szCs w:val="30"/>
        </w:rPr>
      </w:pPr>
      <w:bookmarkStart w:id="269" w:name="_Toc15539"/>
      <w:bookmarkStart w:id="270" w:name="_Toc16640"/>
      <w:r>
        <w:rPr>
          <w:rFonts w:ascii="Times New Roman"/>
          <w:b/>
          <w:sz w:val="30"/>
          <w:szCs w:val="30"/>
        </w:rPr>
        <w:t>8.4污染源排放清单</w:t>
      </w:r>
      <w:bookmarkEnd w:id="268"/>
      <w:bookmarkEnd w:id="269"/>
      <w:bookmarkEnd w:id="270"/>
    </w:p>
    <w:p w14:paraId="44077FB8">
      <w:pPr>
        <w:spacing w:line="480" w:lineRule="exact"/>
        <w:ind w:firstLine="480" w:firstLineChars="200"/>
        <w:rPr>
          <w:rFonts w:ascii="Times New Roman"/>
          <w:sz w:val="24"/>
          <w:szCs w:val="20"/>
        </w:rPr>
      </w:pPr>
      <w:r>
        <w:rPr>
          <w:rFonts w:ascii="Times New Roman"/>
          <w:sz w:val="24"/>
          <w:szCs w:val="20"/>
        </w:rPr>
        <w:t>按照《建设项目环境影响评价技术导则 总纲》（HJ2.1-2016）要求，需要给出拟建项目的污染源排放清单。</w:t>
      </w:r>
    </w:p>
    <w:p w14:paraId="0A26DF56">
      <w:pPr>
        <w:spacing w:line="480" w:lineRule="exact"/>
        <w:ind w:firstLine="480" w:firstLineChars="200"/>
        <w:rPr>
          <w:rFonts w:ascii="Times New Roman"/>
          <w:sz w:val="24"/>
          <w:szCs w:val="20"/>
        </w:rPr>
      </w:pPr>
      <w:r>
        <w:rPr>
          <w:rFonts w:ascii="Times New Roman"/>
          <w:sz w:val="24"/>
          <w:szCs w:val="20"/>
        </w:rPr>
        <w:t>明确污染物排放的管理要求。具体排放清单见表8.4-1~表8.4-4。</w:t>
      </w:r>
    </w:p>
    <w:p w14:paraId="34775983">
      <w:pPr>
        <w:spacing w:line="480" w:lineRule="exact"/>
        <w:jc w:val="center"/>
        <w:rPr>
          <w:rFonts w:ascii="Times New Roman"/>
          <w:b/>
          <w:sz w:val="24"/>
          <w:szCs w:val="20"/>
        </w:rPr>
      </w:pPr>
      <w:r>
        <w:rPr>
          <w:rFonts w:ascii="Times New Roman"/>
          <w:b/>
          <w:sz w:val="24"/>
          <w:szCs w:val="20"/>
        </w:rPr>
        <w:t>表8.4-1  污染源排放清单-主体工程</w:t>
      </w:r>
    </w:p>
    <w:tbl>
      <w:tblPr>
        <w:tblStyle w:val="8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0"/>
        <w:gridCol w:w="1127"/>
        <w:gridCol w:w="6568"/>
      </w:tblGrid>
      <w:tr w14:paraId="68D7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008F5277">
            <w:pPr>
              <w:snapToGrid w:val="0"/>
              <w:spacing w:line="300" w:lineRule="exact"/>
              <w:jc w:val="center"/>
              <w:rPr>
                <w:rFonts w:ascii="Times New Roman"/>
                <w:sz w:val="21"/>
                <w:szCs w:val="21"/>
              </w:rPr>
            </w:pPr>
            <w:r>
              <w:rPr>
                <w:rFonts w:ascii="Times New Roman"/>
                <w:sz w:val="21"/>
                <w:szCs w:val="21"/>
              </w:rPr>
              <w:t>序号</w:t>
            </w:r>
          </w:p>
        </w:tc>
        <w:tc>
          <w:tcPr>
            <w:tcW w:w="679" w:type="pct"/>
            <w:vAlign w:val="center"/>
          </w:tcPr>
          <w:p w14:paraId="0F986BF1">
            <w:pPr>
              <w:snapToGrid w:val="0"/>
              <w:spacing w:line="300" w:lineRule="exact"/>
              <w:jc w:val="center"/>
              <w:rPr>
                <w:rFonts w:ascii="Times New Roman"/>
                <w:sz w:val="21"/>
                <w:szCs w:val="21"/>
              </w:rPr>
            </w:pPr>
            <w:r>
              <w:rPr>
                <w:rFonts w:ascii="Times New Roman"/>
                <w:sz w:val="21"/>
                <w:szCs w:val="21"/>
              </w:rPr>
              <w:t>项目</w:t>
            </w:r>
          </w:p>
        </w:tc>
        <w:tc>
          <w:tcPr>
            <w:tcW w:w="3958" w:type="pct"/>
            <w:vAlign w:val="center"/>
          </w:tcPr>
          <w:p w14:paraId="4C537500">
            <w:pPr>
              <w:snapToGrid w:val="0"/>
              <w:spacing w:line="300" w:lineRule="exact"/>
              <w:jc w:val="center"/>
              <w:rPr>
                <w:rFonts w:ascii="Times New Roman"/>
                <w:sz w:val="21"/>
                <w:szCs w:val="21"/>
              </w:rPr>
            </w:pPr>
            <w:r>
              <w:rPr>
                <w:rFonts w:hint="eastAsia" w:ascii="Times New Roman"/>
                <w:sz w:val="21"/>
                <w:szCs w:val="21"/>
              </w:rPr>
              <w:t>数字孪生智能输送机生产项目</w:t>
            </w:r>
          </w:p>
        </w:tc>
      </w:tr>
      <w:tr w14:paraId="24F4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38B48F6C">
            <w:pPr>
              <w:snapToGrid w:val="0"/>
              <w:spacing w:line="300" w:lineRule="exact"/>
              <w:jc w:val="center"/>
              <w:rPr>
                <w:rFonts w:ascii="Times New Roman"/>
                <w:sz w:val="21"/>
                <w:szCs w:val="21"/>
              </w:rPr>
            </w:pPr>
            <w:r>
              <w:rPr>
                <w:rFonts w:ascii="Times New Roman"/>
                <w:sz w:val="21"/>
                <w:szCs w:val="21"/>
              </w:rPr>
              <w:t>1</w:t>
            </w:r>
          </w:p>
        </w:tc>
        <w:tc>
          <w:tcPr>
            <w:tcW w:w="679" w:type="pct"/>
            <w:vAlign w:val="center"/>
          </w:tcPr>
          <w:p w14:paraId="3A3DEB3C">
            <w:pPr>
              <w:snapToGrid w:val="0"/>
              <w:spacing w:line="300" w:lineRule="exact"/>
              <w:jc w:val="center"/>
              <w:rPr>
                <w:rFonts w:ascii="Times New Roman"/>
                <w:sz w:val="21"/>
                <w:szCs w:val="21"/>
              </w:rPr>
            </w:pPr>
            <w:r>
              <w:rPr>
                <w:rFonts w:ascii="Times New Roman"/>
                <w:sz w:val="21"/>
                <w:szCs w:val="21"/>
              </w:rPr>
              <w:t>工作方式</w:t>
            </w:r>
          </w:p>
        </w:tc>
        <w:tc>
          <w:tcPr>
            <w:tcW w:w="3958" w:type="pct"/>
            <w:vAlign w:val="center"/>
          </w:tcPr>
          <w:p w14:paraId="0EB94DB1">
            <w:pPr>
              <w:snapToGrid w:val="0"/>
              <w:spacing w:line="300" w:lineRule="exact"/>
              <w:jc w:val="center"/>
              <w:rPr>
                <w:rFonts w:ascii="Times New Roman"/>
                <w:sz w:val="21"/>
                <w:szCs w:val="21"/>
              </w:rPr>
            </w:pPr>
            <w:r>
              <w:rPr>
                <w:rFonts w:ascii="Times New Roman"/>
                <w:sz w:val="21"/>
                <w:szCs w:val="21"/>
              </w:rPr>
              <w:t>实行</w:t>
            </w:r>
            <w:r>
              <w:rPr>
                <w:rFonts w:hint="eastAsia" w:ascii="Times New Roman"/>
                <w:sz w:val="21"/>
                <w:szCs w:val="21"/>
              </w:rPr>
              <w:t>三</w:t>
            </w:r>
            <w:r>
              <w:rPr>
                <w:rFonts w:ascii="Times New Roman"/>
                <w:sz w:val="21"/>
                <w:szCs w:val="21"/>
              </w:rPr>
              <w:t>班制，每班工作8小时，全年工作时间</w:t>
            </w:r>
            <w:r>
              <w:rPr>
                <w:rFonts w:hint="eastAsia" w:ascii="Times New Roman"/>
                <w:sz w:val="21"/>
                <w:szCs w:val="21"/>
              </w:rPr>
              <w:t>7200</w:t>
            </w:r>
            <w:r>
              <w:rPr>
                <w:rFonts w:ascii="Times New Roman"/>
                <w:sz w:val="21"/>
                <w:szCs w:val="21"/>
              </w:rPr>
              <w:t>小时</w:t>
            </w:r>
          </w:p>
        </w:tc>
      </w:tr>
      <w:tr w14:paraId="6BEE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3E281176">
            <w:pPr>
              <w:snapToGrid w:val="0"/>
              <w:spacing w:line="300" w:lineRule="exact"/>
              <w:jc w:val="center"/>
              <w:rPr>
                <w:rFonts w:ascii="Times New Roman"/>
                <w:sz w:val="21"/>
                <w:szCs w:val="21"/>
              </w:rPr>
            </w:pPr>
            <w:r>
              <w:rPr>
                <w:rFonts w:ascii="Times New Roman"/>
                <w:sz w:val="21"/>
                <w:szCs w:val="21"/>
              </w:rPr>
              <w:t>2</w:t>
            </w:r>
          </w:p>
        </w:tc>
        <w:tc>
          <w:tcPr>
            <w:tcW w:w="679" w:type="pct"/>
            <w:vAlign w:val="center"/>
          </w:tcPr>
          <w:p w14:paraId="6828B46C">
            <w:pPr>
              <w:snapToGrid w:val="0"/>
              <w:spacing w:line="300" w:lineRule="exact"/>
              <w:jc w:val="center"/>
              <w:rPr>
                <w:rFonts w:ascii="Times New Roman"/>
                <w:sz w:val="21"/>
                <w:szCs w:val="21"/>
              </w:rPr>
            </w:pPr>
            <w:r>
              <w:rPr>
                <w:rFonts w:ascii="Times New Roman"/>
                <w:sz w:val="21"/>
                <w:szCs w:val="21"/>
              </w:rPr>
              <w:t>设备</w:t>
            </w:r>
          </w:p>
        </w:tc>
        <w:tc>
          <w:tcPr>
            <w:tcW w:w="3958" w:type="pct"/>
            <w:vAlign w:val="center"/>
          </w:tcPr>
          <w:p w14:paraId="22C9BEC3">
            <w:pPr>
              <w:snapToGrid w:val="0"/>
              <w:spacing w:line="300" w:lineRule="exact"/>
              <w:jc w:val="center"/>
              <w:rPr>
                <w:rFonts w:ascii="Times New Roman"/>
                <w:sz w:val="21"/>
                <w:szCs w:val="21"/>
              </w:rPr>
            </w:pPr>
            <w:r>
              <w:rPr>
                <w:rFonts w:ascii="Times New Roman"/>
                <w:kern w:val="0"/>
                <w:sz w:val="21"/>
                <w:szCs w:val="21"/>
              </w:rPr>
              <w:t>机加工设备、预处理生产线、喷漆线</w:t>
            </w:r>
            <w:r>
              <w:rPr>
                <w:rFonts w:ascii="Times New Roman"/>
                <w:sz w:val="21"/>
                <w:szCs w:val="21"/>
              </w:rPr>
              <w:t>等</w:t>
            </w:r>
          </w:p>
        </w:tc>
      </w:tr>
      <w:tr w14:paraId="0407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5DF09C0A">
            <w:pPr>
              <w:snapToGrid w:val="0"/>
              <w:spacing w:line="300" w:lineRule="exact"/>
              <w:jc w:val="center"/>
              <w:rPr>
                <w:rFonts w:ascii="Times New Roman"/>
                <w:sz w:val="21"/>
                <w:szCs w:val="21"/>
              </w:rPr>
            </w:pPr>
            <w:r>
              <w:rPr>
                <w:rFonts w:ascii="Times New Roman"/>
                <w:sz w:val="21"/>
                <w:szCs w:val="21"/>
              </w:rPr>
              <w:t>3</w:t>
            </w:r>
          </w:p>
        </w:tc>
        <w:tc>
          <w:tcPr>
            <w:tcW w:w="679" w:type="pct"/>
            <w:vAlign w:val="center"/>
          </w:tcPr>
          <w:p w14:paraId="06DB61DA">
            <w:pPr>
              <w:snapToGrid w:val="0"/>
              <w:spacing w:line="300" w:lineRule="exact"/>
              <w:jc w:val="center"/>
              <w:rPr>
                <w:rFonts w:ascii="Times New Roman"/>
                <w:sz w:val="21"/>
                <w:szCs w:val="21"/>
              </w:rPr>
            </w:pPr>
            <w:r>
              <w:rPr>
                <w:rFonts w:ascii="Times New Roman"/>
                <w:sz w:val="21"/>
                <w:szCs w:val="21"/>
              </w:rPr>
              <w:t>运行时间</w:t>
            </w:r>
          </w:p>
        </w:tc>
        <w:tc>
          <w:tcPr>
            <w:tcW w:w="3958" w:type="pct"/>
            <w:vAlign w:val="center"/>
          </w:tcPr>
          <w:p w14:paraId="1810F52E">
            <w:pPr>
              <w:snapToGrid w:val="0"/>
              <w:spacing w:line="300" w:lineRule="exact"/>
              <w:jc w:val="center"/>
              <w:rPr>
                <w:rFonts w:ascii="Times New Roman"/>
                <w:sz w:val="21"/>
                <w:szCs w:val="21"/>
              </w:rPr>
            </w:pPr>
            <w:r>
              <w:rPr>
                <w:rFonts w:ascii="Times New Roman"/>
                <w:sz w:val="21"/>
                <w:szCs w:val="21"/>
              </w:rPr>
              <w:t>全年工作时间</w:t>
            </w:r>
            <w:r>
              <w:rPr>
                <w:rFonts w:hint="eastAsia" w:ascii="Times New Roman"/>
                <w:sz w:val="21"/>
                <w:szCs w:val="21"/>
              </w:rPr>
              <w:t>7200</w:t>
            </w:r>
            <w:r>
              <w:rPr>
                <w:rFonts w:ascii="Times New Roman"/>
                <w:sz w:val="21"/>
                <w:szCs w:val="21"/>
              </w:rPr>
              <w:t>小时</w:t>
            </w:r>
          </w:p>
        </w:tc>
      </w:tr>
      <w:tr w14:paraId="1C0E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74FA4A15">
            <w:pPr>
              <w:snapToGrid w:val="0"/>
              <w:spacing w:line="300" w:lineRule="exact"/>
              <w:jc w:val="center"/>
              <w:rPr>
                <w:rFonts w:ascii="Times New Roman"/>
                <w:sz w:val="21"/>
                <w:szCs w:val="21"/>
              </w:rPr>
            </w:pPr>
            <w:r>
              <w:rPr>
                <w:rFonts w:ascii="Times New Roman"/>
                <w:sz w:val="21"/>
                <w:szCs w:val="21"/>
              </w:rPr>
              <w:t>4</w:t>
            </w:r>
          </w:p>
        </w:tc>
        <w:tc>
          <w:tcPr>
            <w:tcW w:w="679" w:type="pct"/>
            <w:vAlign w:val="center"/>
          </w:tcPr>
          <w:p w14:paraId="121D664A">
            <w:pPr>
              <w:tabs>
                <w:tab w:val="left" w:pos="0"/>
                <w:tab w:val="left" w:pos="600"/>
              </w:tabs>
              <w:snapToGrid w:val="0"/>
              <w:spacing w:line="300" w:lineRule="exact"/>
              <w:ind w:left="-125" w:leftChars="-50" w:right="-125" w:rightChars="-50"/>
              <w:jc w:val="center"/>
              <w:rPr>
                <w:rFonts w:ascii="Times New Roman"/>
                <w:sz w:val="21"/>
                <w:szCs w:val="21"/>
              </w:rPr>
            </w:pPr>
            <w:r>
              <w:rPr>
                <w:rFonts w:ascii="Times New Roman"/>
                <w:sz w:val="21"/>
                <w:szCs w:val="21"/>
              </w:rPr>
              <w:t>产品及产能</w:t>
            </w:r>
          </w:p>
        </w:tc>
        <w:tc>
          <w:tcPr>
            <w:tcW w:w="3958" w:type="pct"/>
            <w:vAlign w:val="center"/>
          </w:tcPr>
          <w:p w14:paraId="00FECCA1">
            <w:pPr>
              <w:tabs>
                <w:tab w:val="left" w:pos="0"/>
                <w:tab w:val="left" w:pos="600"/>
              </w:tabs>
              <w:snapToGrid w:val="0"/>
              <w:spacing w:line="300" w:lineRule="exact"/>
              <w:jc w:val="center"/>
              <w:rPr>
                <w:rFonts w:ascii="Times New Roman"/>
                <w:sz w:val="21"/>
                <w:szCs w:val="21"/>
              </w:rPr>
            </w:pPr>
            <w:r>
              <w:rPr>
                <w:rFonts w:ascii="Times New Roman"/>
                <w:sz w:val="21"/>
                <w:szCs w:val="21"/>
              </w:rPr>
              <w:t>年产</w:t>
            </w:r>
            <w:r>
              <w:rPr>
                <w:rFonts w:hint="eastAsia" w:ascii="Times New Roman"/>
                <w:sz w:val="21"/>
                <w:szCs w:val="21"/>
              </w:rPr>
              <w:t>数字孪生智能输送机4万米</w:t>
            </w:r>
          </w:p>
        </w:tc>
      </w:tr>
      <w:tr w14:paraId="3E9C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35B2A7AD">
            <w:pPr>
              <w:snapToGrid w:val="0"/>
              <w:spacing w:line="300" w:lineRule="exact"/>
              <w:jc w:val="center"/>
              <w:rPr>
                <w:rFonts w:ascii="Times New Roman"/>
                <w:sz w:val="21"/>
                <w:szCs w:val="21"/>
              </w:rPr>
            </w:pPr>
            <w:r>
              <w:rPr>
                <w:rFonts w:ascii="Times New Roman"/>
                <w:sz w:val="21"/>
                <w:szCs w:val="21"/>
              </w:rPr>
              <w:t>5</w:t>
            </w:r>
          </w:p>
        </w:tc>
        <w:tc>
          <w:tcPr>
            <w:tcW w:w="679" w:type="pct"/>
            <w:vAlign w:val="center"/>
          </w:tcPr>
          <w:p w14:paraId="2E98D380">
            <w:pPr>
              <w:snapToGrid w:val="0"/>
              <w:spacing w:line="300" w:lineRule="exact"/>
              <w:jc w:val="center"/>
              <w:rPr>
                <w:rFonts w:ascii="Times New Roman"/>
                <w:sz w:val="21"/>
                <w:szCs w:val="21"/>
              </w:rPr>
            </w:pPr>
            <w:r>
              <w:rPr>
                <w:rFonts w:ascii="Times New Roman"/>
                <w:sz w:val="21"/>
                <w:szCs w:val="21"/>
              </w:rPr>
              <w:t>原料</w:t>
            </w:r>
          </w:p>
        </w:tc>
        <w:tc>
          <w:tcPr>
            <w:tcW w:w="3958" w:type="pct"/>
            <w:vAlign w:val="center"/>
          </w:tcPr>
          <w:p w14:paraId="0F7016EF">
            <w:pPr>
              <w:snapToGrid w:val="0"/>
              <w:spacing w:line="300" w:lineRule="exact"/>
              <w:jc w:val="center"/>
              <w:rPr>
                <w:rFonts w:ascii="Times New Roman"/>
                <w:sz w:val="21"/>
                <w:szCs w:val="21"/>
              </w:rPr>
            </w:pPr>
            <w:r>
              <w:rPr>
                <w:rFonts w:ascii="Times New Roman"/>
                <w:sz w:val="21"/>
                <w:szCs w:val="21"/>
              </w:rPr>
              <w:t>钢材、水性漆、油漆等</w:t>
            </w:r>
          </w:p>
        </w:tc>
      </w:tr>
      <w:tr w14:paraId="08D6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62" w:type="pct"/>
            <w:vAlign w:val="center"/>
          </w:tcPr>
          <w:p w14:paraId="50851CB3">
            <w:pPr>
              <w:snapToGrid w:val="0"/>
              <w:spacing w:line="300" w:lineRule="exact"/>
              <w:jc w:val="center"/>
              <w:rPr>
                <w:rFonts w:ascii="Times New Roman"/>
                <w:sz w:val="21"/>
                <w:szCs w:val="21"/>
              </w:rPr>
            </w:pPr>
            <w:r>
              <w:rPr>
                <w:rFonts w:ascii="Times New Roman"/>
                <w:sz w:val="21"/>
                <w:szCs w:val="21"/>
              </w:rPr>
              <w:t>6</w:t>
            </w:r>
          </w:p>
        </w:tc>
        <w:tc>
          <w:tcPr>
            <w:tcW w:w="679" w:type="pct"/>
            <w:vAlign w:val="center"/>
          </w:tcPr>
          <w:p w14:paraId="6D5B2B79">
            <w:pPr>
              <w:snapToGrid w:val="0"/>
              <w:spacing w:line="300" w:lineRule="exact"/>
              <w:jc w:val="center"/>
              <w:rPr>
                <w:rFonts w:ascii="Times New Roman"/>
                <w:sz w:val="21"/>
                <w:szCs w:val="21"/>
              </w:rPr>
            </w:pPr>
            <w:r>
              <w:rPr>
                <w:rFonts w:ascii="Times New Roman"/>
                <w:sz w:val="21"/>
                <w:szCs w:val="21"/>
              </w:rPr>
              <w:t>能源</w:t>
            </w:r>
          </w:p>
        </w:tc>
        <w:tc>
          <w:tcPr>
            <w:tcW w:w="3958" w:type="pct"/>
            <w:vAlign w:val="center"/>
          </w:tcPr>
          <w:p w14:paraId="2B77F486">
            <w:pPr>
              <w:snapToGrid w:val="0"/>
              <w:spacing w:line="300" w:lineRule="exact"/>
              <w:jc w:val="center"/>
              <w:rPr>
                <w:rFonts w:ascii="Times New Roman"/>
                <w:sz w:val="21"/>
                <w:szCs w:val="21"/>
              </w:rPr>
            </w:pPr>
            <w:r>
              <w:rPr>
                <w:rFonts w:ascii="Times New Roman"/>
                <w:sz w:val="21"/>
                <w:szCs w:val="21"/>
              </w:rPr>
              <w:t>新鲜用水量</w:t>
            </w:r>
            <w:r>
              <w:rPr>
                <w:rFonts w:hint="eastAsia" w:ascii="Times New Roman"/>
                <w:sz w:val="21"/>
                <w:szCs w:val="21"/>
              </w:rPr>
              <w:t>93565.09</w:t>
            </w:r>
            <w:r>
              <w:rPr>
                <w:rFonts w:ascii="Times New Roman"/>
                <w:spacing w:val="-4"/>
                <w:sz w:val="21"/>
                <w:szCs w:val="21"/>
              </w:rPr>
              <w:t>m</w:t>
            </w:r>
            <w:r>
              <w:rPr>
                <w:rFonts w:hint="eastAsia" w:ascii="Times New Roman"/>
                <w:spacing w:val="-4"/>
                <w:sz w:val="21"/>
                <w:szCs w:val="21"/>
                <w:vertAlign w:val="superscript"/>
              </w:rPr>
              <w:t>3</w:t>
            </w:r>
            <w:r>
              <w:rPr>
                <w:rFonts w:ascii="Times New Roman"/>
                <w:spacing w:val="-4"/>
                <w:sz w:val="21"/>
                <w:szCs w:val="21"/>
              </w:rPr>
              <w:t>/d</w:t>
            </w:r>
            <w:r>
              <w:rPr>
                <w:rFonts w:ascii="Times New Roman"/>
                <w:sz w:val="21"/>
                <w:szCs w:val="21"/>
              </w:rPr>
              <w:t>；用电量</w:t>
            </w:r>
            <w:r>
              <w:rPr>
                <w:rFonts w:hint="eastAsia" w:ascii="Times New Roman"/>
                <w:sz w:val="21"/>
                <w:szCs w:val="21"/>
              </w:rPr>
              <w:t>15950</w:t>
            </w:r>
            <w:r>
              <w:rPr>
                <w:rFonts w:ascii="Times New Roman"/>
                <w:sz w:val="21"/>
                <w:szCs w:val="21"/>
              </w:rPr>
              <w:t>kWh/a；</w:t>
            </w:r>
          </w:p>
          <w:p w14:paraId="50A364F7">
            <w:pPr>
              <w:snapToGrid w:val="0"/>
              <w:spacing w:line="300" w:lineRule="exact"/>
              <w:jc w:val="center"/>
              <w:rPr>
                <w:rFonts w:ascii="Times New Roman"/>
                <w:sz w:val="21"/>
                <w:szCs w:val="21"/>
              </w:rPr>
            </w:pPr>
            <w:r>
              <w:rPr>
                <w:rFonts w:ascii="Times New Roman"/>
                <w:sz w:val="21"/>
                <w:szCs w:val="21"/>
              </w:rPr>
              <w:t>年用气量</w:t>
            </w:r>
            <w:r>
              <w:rPr>
                <w:rFonts w:hint="eastAsia" w:ascii="Times New Roman"/>
                <w:sz w:val="21"/>
                <w:szCs w:val="21"/>
              </w:rPr>
              <w:t>272.88</w:t>
            </w:r>
            <w:r>
              <w:rPr>
                <w:rFonts w:ascii="Times New Roman"/>
                <w:sz w:val="21"/>
                <w:szCs w:val="21"/>
              </w:rPr>
              <w:t>万m</w:t>
            </w:r>
            <w:r>
              <w:rPr>
                <w:rFonts w:ascii="Times New Roman"/>
                <w:sz w:val="21"/>
                <w:szCs w:val="21"/>
                <w:vertAlign w:val="superscript"/>
              </w:rPr>
              <w:t>3</w:t>
            </w:r>
          </w:p>
        </w:tc>
      </w:tr>
    </w:tbl>
    <w:p w14:paraId="1C4624A0">
      <w:pPr>
        <w:spacing w:line="480" w:lineRule="exact"/>
        <w:jc w:val="center"/>
        <w:rPr>
          <w:rFonts w:ascii="Times New Roman"/>
          <w:b/>
          <w:sz w:val="24"/>
          <w:szCs w:val="20"/>
        </w:rPr>
      </w:pPr>
      <w:r>
        <w:rPr>
          <w:rFonts w:ascii="Times New Roman"/>
          <w:b/>
          <w:sz w:val="24"/>
          <w:szCs w:val="20"/>
        </w:rPr>
        <w:t>表8.4-2 污染源排放清单-环保措施及排污口介绍</w:t>
      </w:r>
    </w:p>
    <w:tbl>
      <w:tblPr>
        <w:tblStyle w:val="8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994"/>
        <w:gridCol w:w="979"/>
        <w:gridCol w:w="1943"/>
        <w:gridCol w:w="889"/>
        <w:gridCol w:w="1054"/>
        <w:gridCol w:w="899"/>
        <w:gridCol w:w="1119"/>
      </w:tblGrid>
      <w:tr w14:paraId="1E99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53" w:type="pct"/>
            <w:gridSpan w:val="3"/>
            <w:vAlign w:val="center"/>
          </w:tcPr>
          <w:p w14:paraId="481C14A7">
            <w:pPr>
              <w:spacing w:line="280" w:lineRule="exact"/>
              <w:jc w:val="center"/>
              <w:rPr>
                <w:rFonts w:ascii="Times New Roman"/>
                <w:sz w:val="21"/>
                <w:szCs w:val="21"/>
              </w:rPr>
            </w:pPr>
            <w:r>
              <w:rPr>
                <w:rFonts w:ascii="Times New Roman"/>
                <w:sz w:val="21"/>
                <w:szCs w:val="21"/>
              </w:rPr>
              <w:t>排污节点</w:t>
            </w:r>
          </w:p>
        </w:tc>
        <w:tc>
          <w:tcPr>
            <w:tcW w:w="1165" w:type="pct"/>
            <w:vAlign w:val="center"/>
          </w:tcPr>
          <w:p w14:paraId="77910A3A">
            <w:pPr>
              <w:spacing w:line="280" w:lineRule="exact"/>
              <w:jc w:val="center"/>
              <w:rPr>
                <w:rFonts w:ascii="Times New Roman"/>
                <w:sz w:val="21"/>
                <w:szCs w:val="21"/>
              </w:rPr>
            </w:pPr>
            <w:r>
              <w:rPr>
                <w:rFonts w:ascii="Times New Roman"/>
                <w:sz w:val="21"/>
                <w:szCs w:val="21"/>
              </w:rPr>
              <w:t>治理措施</w:t>
            </w:r>
          </w:p>
        </w:tc>
        <w:tc>
          <w:tcPr>
            <w:tcW w:w="534" w:type="pct"/>
            <w:vAlign w:val="center"/>
          </w:tcPr>
          <w:p w14:paraId="69E2B701">
            <w:pPr>
              <w:spacing w:line="280" w:lineRule="exact"/>
              <w:jc w:val="center"/>
              <w:rPr>
                <w:rFonts w:ascii="Times New Roman"/>
                <w:sz w:val="21"/>
                <w:szCs w:val="21"/>
              </w:rPr>
            </w:pPr>
            <w:r>
              <w:rPr>
                <w:rFonts w:ascii="Times New Roman"/>
                <w:sz w:val="21"/>
                <w:szCs w:val="21"/>
              </w:rPr>
              <w:t>去除效率</w:t>
            </w:r>
          </w:p>
        </w:tc>
        <w:tc>
          <w:tcPr>
            <w:tcW w:w="633" w:type="pct"/>
            <w:vAlign w:val="center"/>
          </w:tcPr>
          <w:p w14:paraId="572E91AF">
            <w:pPr>
              <w:spacing w:line="280" w:lineRule="exact"/>
              <w:jc w:val="center"/>
              <w:rPr>
                <w:rFonts w:ascii="Times New Roman"/>
                <w:sz w:val="21"/>
                <w:szCs w:val="21"/>
              </w:rPr>
            </w:pPr>
            <w:r>
              <w:rPr>
                <w:rFonts w:ascii="Times New Roman"/>
                <w:sz w:val="21"/>
                <w:szCs w:val="21"/>
              </w:rPr>
              <w:t>风量(m</w:t>
            </w:r>
            <w:r>
              <w:rPr>
                <w:rFonts w:ascii="Times New Roman"/>
                <w:sz w:val="21"/>
                <w:szCs w:val="21"/>
                <w:vertAlign w:val="superscript"/>
              </w:rPr>
              <w:t>3</w:t>
            </w:r>
            <w:r>
              <w:rPr>
                <w:rFonts w:ascii="Times New Roman"/>
                <w:sz w:val="21"/>
                <w:szCs w:val="21"/>
              </w:rPr>
              <w:t>/h)</w:t>
            </w:r>
          </w:p>
        </w:tc>
        <w:tc>
          <w:tcPr>
            <w:tcW w:w="540" w:type="pct"/>
            <w:vAlign w:val="center"/>
          </w:tcPr>
          <w:p w14:paraId="4E90ACE9">
            <w:pPr>
              <w:spacing w:line="280" w:lineRule="exact"/>
              <w:jc w:val="center"/>
              <w:rPr>
                <w:rFonts w:ascii="Times New Roman"/>
                <w:sz w:val="21"/>
                <w:szCs w:val="21"/>
              </w:rPr>
            </w:pPr>
            <w:r>
              <w:rPr>
                <w:rFonts w:ascii="Times New Roman"/>
                <w:sz w:val="21"/>
                <w:szCs w:val="21"/>
              </w:rPr>
              <w:t>排污口编号</w:t>
            </w:r>
          </w:p>
        </w:tc>
        <w:tc>
          <w:tcPr>
            <w:tcW w:w="672" w:type="pct"/>
            <w:shd w:val="clear" w:color="auto" w:fill="auto"/>
            <w:vAlign w:val="center"/>
          </w:tcPr>
          <w:p w14:paraId="797D9DDE">
            <w:pPr>
              <w:spacing w:line="280" w:lineRule="exact"/>
              <w:jc w:val="center"/>
              <w:rPr>
                <w:rFonts w:ascii="Times New Roman"/>
                <w:sz w:val="21"/>
                <w:szCs w:val="21"/>
              </w:rPr>
            </w:pPr>
            <w:r>
              <w:rPr>
                <w:rFonts w:ascii="Times New Roman"/>
                <w:sz w:val="21"/>
                <w:szCs w:val="21"/>
              </w:rPr>
              <w:t>排污口信息</w:t>
            </w:r>
          </w:p>
        </w:tc>
      </w:tr>
      <w:tr w14:paraId="412B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restart"/>
            <w:vAlign w:val="center"/>
          </w:tcPr>
          <w:p w14:paraId="76ED1F25">
            <w:pPr>
              <w:spacing w:line="280" w:lineRule="exact"/>
              <w:jc w:val="center"/>
              <w:rPr>
                <w:rFonts w:ascii="Times New Roman"/>
                <w:sz w:val="21"/>
                <w:szCs w:val="21"/>
              </w:rPr>
            </w:pPr>
            <w:r>
              <w:rPr>
                <w:rFonts w:ascii="Times New Roman"/>
                <w:sz w:val="21"/>
                <w:szCs w:val="21"/>
              </w:rPr>
              <w:t>有组织</w:t>
            </w:r>
          </w:p>
        </w:tc>
        <w:tc>
          <w:tcPr>
            <w:tcW w:w="596" w:type="pct"/>
            <w:shd w:val="clear" w:color="auto" w:fill="auto"/>
            <w:noWrap/>
            <w:vAlign w:val="center"/>
          </w:tcPr>
          <w:p w14:paraId="415DD97D">
            <w:pPr>
              <w:spacing w:line="280" w:lineRule="exact"/>
              <w:jc w:val="center"/>
              <w:rPr>
                <w:rFonts w:ascii="Times New Roman"/>
                <w:sz w:val="21"/>
                <w:szCs w:val="21"/>
              </w:rPr>
            </w:pPr>
            <w:r>
              <w:rPr>
                <w:rFonts w:hint="eastAsia" w:ascii="Times New Roman"/>
                <w:sz w:val="21"/>
                <w:szCs w:val="21"/>
              </w:rPr>
              <w:t>下料生产线</w:t>
            </w:r>
          </w:p>
        </w:tc>
        <w:tc>
          <w:tcPr>
            <w:tcW w:w="586" w:type="pct"/>
            <w:vAlign w:val="center"/>
          </w:tcPr>
          <w:p w14:paraId="56745A99">
            <w:pPr>
              <w:spacing w:line="280" w:lineRule="exact"/>
              <w:jc w:val="center"/>
              <w:rPr>
                <w:rFonts w:ascii="Times New Roman"/>
                <w:sz w:val="21"/>
                <w:szCs w:val="21"/>
              </w:rPr>
            </w:pPr>
            <w:r>
              <w:rPr>
                <w:rFonts w:hint="eastAsia" w:ascii="Times New Roman"/>
                <w:sz w:val="21"/>
                <w:szCs w:val="21"/>
              </w:rPr>
              <w:t>切割、清理、打磨</w:t>
            </w:r>
          </w:p>
        </w:tc>
        <w:tc>
          <w:tcPr>
            <w:tcW w:w="1165" w:type="pct"/>
            <w:vAlign w:val="center"/>
          </w:tcPr>
          <w:p w14:paraId="57235D7F">
            <w:pPr>
              <w:spacing w:line="280" w:lineRule="exact"/>
              <w:jc w:val="center"/>
              <w:rPr>
                <w:rFonts w:ascii="Times New Roman"/>
                <w:sz w:val="21"/>
                <w:szCs w:val="21"/>
              </w:rPr>
            </w:pPr>
            <w:r>
              <w:rPr>
                <w:rFonts w:hint="eastAsia" w:ascii="Times New Roman"/>
                <w:sz w:val="21"/>
                <w:szCs w:val="21"/>
              </w:rPr>
              <w:t>集气罩</w:t>
            </w:r>
            <w:r>
              <w:rPr>
                <w:rFonts w:ascii="Times New Roman"/>
                <w:sz w:val="21"/>
                <w:szCs w:val="21"/>
              </w:rPr>
              <w:t>+</w:t>
            </w:r>
            <w:r>
              <w:rPr>
                <w:rFonts w:hint="eastAsia" w:ascii="Times New Roman"/>
                <w:sz w:val="21"/>
                <w:szCs w:val="21"/>
              </w:rPr>
              <w:t>布袋除尘器</w:t>
            </w:r>
            <w:r>
              <w:rPr>
                <w:rFonts w:ascii="Times New Roman"/>
                <w:sz w:val="21"/>
                <w:szCs w:val="21"/>
              </w:rPr>
              <w:t>+</w:t>
            </w:r>
            <w:r>
              <w:rPr>
                <w:rFonts w:hint="eastAsia" w:ascii="Times New Roman"/>
                <w:sz w:val="21"/>
                <w:szCs w:val="21"/>
              </w:rPr>
              <w:t>20m</w:t>
            </w:r>
            <w:r>
              <w:rPr>
                <w:rFonts w:ascii="Times New Roman"/>
                <w:sz w:val="21"/>
                <w:szCs w:val="21"/>
              </w:rPr>
              <w:t>高排气筒（</w:t>
            </w:r>
            <w:r>
              <w:rPr>
                <w:rFonts w:hint="eastAsia" w:ascii="Times New Roman"/>
                <w:sz w:val="21"/>
                <w:szCs w:val="21"/>
              </w:rPr>
              <w:t>DA001</w:t>
            </w:r>
            <w:r>
              <w:rPr>
                <w:rFonts w:ascii="Times New Roman"/>
                <w:sz w:val="21"/>
                <w:szCs w:val="21"/>
              </w:rPr>
              <w:t>）</w:t>
            </w:r>
          </w:p>
        </w:tc>
        <w:tc>
          <w:tcPr>
            <w:tcW w:w="534" w:type="pct"/>
            <w:vAlign w:val="center"/>
          </w:tcPr>
          <w:p w14:paraId="1073B105">
            <w:pPr>
              <w:spacing w:line="280" w:lineRule="exact"/>
              <w:jc w:val="center"/>
              <w:rPr>
                <w:rFonts w:ascii="Times New Roman"/>
                <w:sz w:val="21"/>
                <w:szCs w:val="21"/>
              </w:rPr>
            </w:pPr>
            <w:r>
              <w:rPr>
                <w:rFonts w:hint="eastAsia" w:ascii="Times New Roman"/>
                <w:sz w:val="21"/>
                <w:szCs w:val="21"/>
              </w:rPr>
              <w:t>布袋除尘器</w:t>
            </w:r>
            <w:r>
              <w:rPr>
                <w:rFonts w:ascii="Times New Roman"/>
                <w:sz w:val="21"/>
                <w:szCs w:val="21"/>
              </w:rPr>
              <w:t>处理效率99%</w:t>
            </w:r>
          </w:p>
        </w:tc>
        <w:tc>
          <w:tcPr>
            <w:tcW w:w="633" w:type="pct"/>
            <w:vAlign w:val="center"/>
          </w:tcPr>
          <w:p w14:paraId="0BC7E2E0">
            <w:pPr>
              <w:spacing w:line="280" w:lineRule="exact"/>
              <w:jc w:val="center"/>
              <w:rPr>
                <w:rFonts w:ascii="Times New Roman"/>
                <w:sz w:val="21"/>
                <w:szCs w:val="21"/>
              </w:rPr>
            </w:pPr>
            <w:r>
              <w:rPr>
                <w:rFonts w:ascii="Times New Roman"/>
                <w:sz w:val="21"/>
                <w:szCs w:val="21"/>
              </w:rPr>
              <w:t>20000</w:t>
            </w:r>
          </w:p>
        </w:tc>
        <w:tc>
          <w:tcPr>
            <w:tcW w:w="540" w:type="pct"/>
            <w:vAlign w:val="center"/>
          </w:tcPr>
          <w:p w14:paraId="41513BF6">
            <w:pPr>
              <w:spacing w:line="280" w:lineRule="exact"/>
              <w:jc w:val="center"/>
              <w:rPr>
                <w:rFonts w:ascii="Times New Roman"/>
                <w:sz w:val="21"/>
                <w:szCs w:val="21"/>
              </w:rPr>
            </w:pPr>
            <w:r>
              <w:rPr>
                <w:rFonts w:ascii="Times New Roman"/>
                <w:sz w:val="21"/>
                <w:szCs w:val="21"/>
              </w:rPr>
              <w:t>DA001</w:t>
            </w:r>
          </w:p>
        </w:tc>
        <w:tc>
          <w:tcPr>
            <w:tcW w:w="672" w:type="pct"/>
            <w:vAlign w:val="center"/>
          </w:tcPr>
          <w:p w14:paraId="1C90B15E">
            <w:pPr>
              <w:spacing w:line="280" w:lineRule="exact"/>
              <w:jc w:val="center"/>
              <w:rPr>
                <w:rFonts w:ascii="Times New Roman"/>
                <w:sz w:val="21"/>
                <w:szCs w:val="21"/>
              </w:rPr>
            </w:pPr>
            <w:r>
              <w:rPr>
                <w:rFonts w:ascii="Times New Roman"/>
                <w:sz w:val="21"/>
                <w:szCs w:val="21"/>
              </w:rPr>
              <w:t>高</w:t>
            </w:r>
            <w:r>
              <w:rPr>
                <w:rFonts w:hint="eastAsia" w:ascii="Times New Roman"/>
                <w:sz w:val="21"/>
                <w:szCs w:val="21"/>
              </w:rPr>
              <w:t>20m</w:t>
            </w:r>
            <w:r>
              <w:rPr>
                <w:rFonts w:ascii="Times New Roman"/>
                <w:sz w:val="21"/>
                <w:szCs w:val="21"/>
              </w:rPr>
              <w:t>，</w:t>
            </w:r>
          </w:p>
          <w:p w14:paraId="774846E9">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0.7</w:t>
            </w:r>
            <w:r>
              <w:rPr>
                <w:rFonts w:ascii="Times New Roman"/>
                <w:sz w:val="21"/>
                <w:szCs w:val="21"/>
              </w:rPr>
              <w:t>m</w:t>
            </w:r>
          </w:p>
        </w:tc>
      </w:tr>
      <w:tr w14:paraId="7E22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35E871EE">
            <w:pPr>
              <w:spacing w:line="280" w:lineRule="exact"/>
              <w:jc w:val="center"/>
              <w:rPr>
                <w:rFonts w:ascii="Times New Roman"/>
                <w:sz w:val="21"/>
                <w:szCs w:val="21"/>
              </w:rPr>
            </w:pPr>
          </w:p>
        </w:tc>
        <w:tc>
          <w:tcPr>
            <w:tcW w:w="596" w:type="pct"/>
            <w:vMerge w:val="restart"/>
            <w:shd w:val="clear" w:color="auto" w:fill="auto"/>
            <w:noWrap/>
            <w:vAlign w:val="center"/>
          </w:tcPr>
          <w:p w14:paraId="001DA8F7">
            <w:pPr>
              <w:spacing w:line="280" w:lineRule="exact"/>
              <w:jc w:val="center"/>
              <w:rPr>
                <w:rFonts w:ascii="Times New Roman"/>
                <w:sz w:val="21"/>
                <w:szCs w:val="21"/>
              </w:rPr>
            </w:pPr>
            <w:r>
              <w:rPr>
                <w:rFonts w:hint="eastAsia" w:ascii="Times New Roman"/>
                <w:sz w:val="21"/>
                <w:szCs w:val="21"/>
              </w:rPr>
              <w:t>联合厂房-</w:t>
            </w:r>
            <w:r>
              <w:rPr>
                <w:rFonts w:ascii="Times New Roman"/>
                <w:sz w:val="21"/>
                <w:szCs w:val="21"/>
              </w:rPr>
              <w:t>焊接、滚筒生产线</w:t>
            </w:r>
          </w:p>
        </w:tc>
        <w:tc>
          <w:tcPr>
            <w:tcW w:w="586" w:type="pct"/>
            <w:vAlign w:val="center"/>
          </w:tcPr>
          <w:p w14:paraId="674A1BF0">
            <w:pPr>
              <w:spacing w:line="280" w:lineRule="exact"/>
              <w:jc w:val="center"/>
              <w:rPr>
                <w:rFonts w:ascii="Times New Roman"/>
                <w:sz w:val="21"/>
                <w:szCs w:val="21"/>
              </w:rPr>
            </w:pPr>
            <w:r>
              <w:rPr>
                <w:rFonts w:hint="eastAsia" w:ascii="Times New Roman"/>
                <w:sz w:val="21"/>
                <w:szCs w:val="21"/>
              </w:rPr>
              <w:t>焊接</w:t>
            </w:r>
          </w:p>
        </w:tc>
        <w:tc>
          <w:tcPr>
            <w:tcW w:w="1165" w:type="pct"/>
            <w:vAlign w:val="center"/>
          </w:tcPr>
          <w:p w14:paraId="6C95FC4F">
            <w:pPr>
              <w:spacing w:line="280" w:lineRule="exact"/>
              <w:jc w:val="center"/>
              <w:rPr>
                <w:rFonts w:ascii="Times New Roman"/>
                <w:sz w:val="21"/>
                <w:szCs w:val="21"/>
              </w:rPr>
            </w:pPr>
            <w:r>
              <w:rPr>
                <w:rFonts w:hint="eastAsia" w:ascii="Times New Roman"/>
                <w:sz w:val="21"/>
                <w:szCs w:val="21"/>
              </w:rPr>
              <w:t>集气罩+3套滤筒除尘器+3跟15m高排气筒（DA002-DA004）</w:t>
            </w:r>
          </w:p>
        </w:tc>
        <w:tc>
          <w:tcPr>
            <w:tcW w:w="534" w:type="pct"/>
            <w:vAlign w:val="center"/>
          </w:tcPr>
          <w:p w14:paraId="187249E0">
            <w:pPr>
              <w:spacing w:line="280" w:lineRule="exact"/>
              <w:jc w:val="center"/>
              <w:rPr>
                <w:rFonts w:ascii="Times New Roman"/>
                <w:sz w:val="21"/>
                <w:szCs w:val="21"/>
              </w:rPr>
            </w:pPr>
            <w:r>
              <w:rPr>
                <w:rFonts w:hint="eastAsia" w:ascii="Times New Roman"/>
                <w:sz w:val="21"/>
                <w:szCs w:val="21"/>
              </w:rPr>
              <w:t>滤筒</w:t>
            </w:r>
            <w:r>
              <w:rPr>
                <w:rFonts w:ascii="Times New Roman"/>
                <w:sz w:val="21"/>
                <w:szCs w:val="21"/>
              </w:rPr>
              <w:t>除尘器处理效率99%</w:t>
            </w:r>
          </w:p>
        </w:tc>
        <w:tc>
          <w:tcPr>
            <w:tcW w:w="633" w:type="pct"/>
            <w:vAlign w:val="center"/>
          </w:tcPr>
          <w:p w14:paraId="4C4C51F0">
            <w:pPr>
              <w:spacing w:line="280" w:lineRule="exact"/>
              <w:jc w:val="center"/>
              <w:rPr>
                <w:rFonts w:ascii="Times New Roman"/>
                <w:sz w:val="21"/>
                <w:szCs w:val="21"/>
              </w:rPr>
            </w:pPr>
            <w:r>
              <w:rPr>
                <w:rFonts w:hint="eastAsia" w:ascii="Times New Roman"/>
                <w:sz w:val="21"/>
                <w:szCs w:val="21"/>
              </w:rPr>
              <w:t>15000</w:t>
            </w:r>
          </w:p>
        </w:tc>
        <w:tc>
          <w:tcPr>
            <w:tcW w:w="540" w:type="pct"/>
            <w:vAlign w:val="center"/>
          </w:tcPr>
          <w:p w14:paraId="2D58037D">
            <w:pPr>
              <w:spacing w:line="280" w:lineRule="exact"/>
              <w:jc w:val="center"/>
              <w:rPr>
                <w:rFonts w:ascii="Times New Roman"/>
                <w:sz w:val="21"/>
                <w:szCs w:val="21"/>
              </w:rPr>
            </w:pPr>
            <w:r>
              <w:rPr>
                <w:rFonts w:hint="eastAsia" w:ascii="Times New Roman"/>
                <w:sz w:val="21"/>
                <w:szCs w:val="21"/>
              </w:rPr>
              <w:t>DA002-</w:t>
            </w:r>
          </w:p>
          <w:p w14:paraId="2BA5C666">
            <w:pPr>
              <w:spacing w:line="280" w:lineRule="exact"/>
              <w:jc w:val="center"/>
              <w:rPr>
                <w:rFonts w:ascii="Times New Roman"/>
                <w:sz w:val="21"/>
                <w:szCs w:val="21"/>
              </w:rPr>
            </w:pPr>
            <w:r>
              <w:rPr>
                <w:rFonts w:hint="eastAsia" w:ascii="Times New Roman"/>
                <w:sz w:val="21"/>
                <w:szCs w:val="21"/>
              </w:rPr>
              <w:t>DA004</w:t>
            </w:r>
          </w:p>
        </w:tc>
        <w:tc>
          <w:tcPr>
            <w:tcW w:w="672" w:type="pct"/>
            <w:vAlign w:val="center"/>
          </w:tcPr>
          <w:p w14:paraId="6714EAB1">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6F35B996">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0.5</w:t>
            </w:r>
            <w:r>
              <w:rPr>
                <w:rFonts w:ascii="Times New Roman"/>
                <w:sz w:val="21"/>
                <w:szCs w:val="21"/>
              </w:rPr>
              <w:t>m</w:t>
            </w:r>
          </w:p>
        </w:tc>
      </w:tr>
      <w:tr w14:paraId="7304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580A1DE1">
            <w:pPr>
              <w:spacing w:line="280" w:lineRule="exact"/>
              <w:jc w:val="center"/>
              <w:rPr>
                <w:rFonts w:ascii="Times New Roman"/>
                <w:sz w:val="21"/>
                <w:szCs w:val="21"/>
              </w:rPr>
            </w:pPr>
          </w:p>
        </w:tc>
        <w:tc>
          <w:tcPr>
            <w:tcW w:w="596" w:type="pct"/>
            <w:vMerge w:val="continue"/>
            <w:shd w:val="clear" w:color="auto" w:fill="auto"/>
            <w:noWrap/>
            <w:vAlign w:val="center"/>
          </w:tcPr>
          <w:p w14:paraId="7BC58C02">
            <w:pPr>
              <w:spacing w:line="280" w:lineRule="exact"/>
              <w:jc w:val="center"/>
              <w:rPr>
                <w:rFonts w:ascii="Times New Roman"/>
                <w:sz w:val="21"/>
                <w:szCs w:val="21"/>
              </w:rPr>
            </w:pPr>
          </w:p>
        </w:tc>
        <w:tc>
          <w:tcPr>
            <w:tcW w:w="586" w:type="pct"/>
            <w:vAlign w:val="center"/>
          </w:tcPr>
          <w:p w14:paraId="11A9C138">
            <w:pPr>
              <w:spacing w:line="280" w:lineRule="exact"/>
              <w:jc w:val="center"/>
              <w:rPr>
                <w:rFonts w:ascii="Times New Roman"/>
                <w:sz w:val="21"/>
                <w:szCs w:val="21"/>
              </w:rPr>
            </w:pPr>
            <w:r>
              <w:rPr>
                <w:rFonts w:ascii="Times New Roman"/>
                <w:sz w:val="21"/>
                <w:szCs w:val="21"/>
              </w:rPr>
              <w:t>热处理车炉加热</w:t>
            </w:r>
          </w:p>
        </w:tc>
        <w:tc>
          <w:tcPr>
            <w:tcW w:w="1165" w:type="pct"/>
            <w:vAlign w:val="center"/>
          </w:tcPr>
          <w:p w14:paraId="0AA5649F">
            <w:pPr>
              <w:spacing w:line="280" w:lineRule="exact"/>
              <w:jc w:val="center"/>
              <w:rPr>
                <w:rFonts w:ascii="Times New Roman"/>
                <w:sz w:val="21"/>
                <w:szCs w:val="21"/>
              </w:rPr>
            </w:pPr>
            <w:r>
              <w:rPr>
                <w:rFonts w:hint="eastAsia" w:ascii="Times New Roman"/>
                <w:sz w:val="21"/>
                <w:szCs w:val="21"/>
              </w:rPr>
              <w:t>低氮燃烧器+20m高排气筒（DA005）</w:t>
            </w:r>
          </w:p>
        </w:tc>
        <w:tc>
          <w:tcPr>
            <w:tcW w:w="534" w:type="pct"/>
            <w:vAlign w:val="center"/>
          </w:tcPr>
          <w:p w14:paraId="4DC0C5FA">
            <w:pPr>
              <w:spacing w:line="280" w:lineRule="exact"/>
              <w:jc w:val="center"/>
              <w:rPr>
                <w:rFonts w:ascii="Times New Roman"/>
                <w:sz w:val="21"/>
                <w:szCs w:val="21"/>
              </w:rPr>
            </w:pPr>
            <w:r>
              <w:rPr>
                <w:rFonts w:ascii="Times New Roman"/>
                <w:sz w:val="21"/>
                <w:szCs w:val="21"/>
              </w:rPr>
              <w:t>低氮燃烧器去除效率</w:t>
            </w:r>
            <w:r>
              <w:rPr>
                <w:rFonts w:hint="eastAsia" w:ascii="Times New Roman"/>
                <w:sz w:val="21"/>
                <w:szCs w:val="21"/>
              </w:rPr>
              <w:t>50</w:t>
            </w:r>
            <w:r>
              <w:rPr>
                <w:rFonts w:ascii="Times New Roman"/>
                <w:sz w:val="21"/>
                <w:szCs w:val="21"/>
              </w:rPr>
              <w:t>%</w:t>
            </w:r>
          </w:p>
        </w:tc>
        <w:tc>
          <w:tcPr>
            <w:tcW w:w="633" w:type="pct"/>
            <w:vAlign w:val="center"/>
          </w:tcPr>
          <w:p w14:paraId="35D3782A">
            <w:pPr>
              <w:spacing w:line="280" w:lineRule="exact"/>
              <w:jc w:val="center"/>
              <w:rPr>
                <w:rFonts w:ascii="Times New Roman"/>
                <w:sz w:val="21"/>
                <w:szCs w:val="21"/>
              </w:rPr>
            </w:pPr>
            <w:r>
              <w:rPr>
                <w:rFonts w:hint="eastAsia" w:ascii="Times New Roman"/>
                <w:sz w:val="21"/>
                <w:szCs w:val="21"/>
              </w:rPr>
              <w:t>1677</w:t>
            </w:r>
          </w:p>
        </w:tc>
        <w:tc>
          <w:tcPr>
            <w:tcW w:w="540" w:type="pct"/>
            <w:vAlign w:val="center"/>
          </w:tcPr>
          <w:p w14:paraId="2D308E6C">
            <w:pPr>
              <w:spacing w:line="280" w:lineRule="exact"/>
              <w:jc w:val="center"/>
              <w:rPr>
                <w:rFonts w:ascii="Times New Roman"/>
                <w:sz w:val="21"/>
                <w:szCs w:val="21"/>
              </w:rPr>
            </w:pPr>
            <w:r>
              <w:rPr>
                <w:rFonts w:hint="eastAsia" w:ascii="Times New Roman"/>
                <w:sz w:val="21"/>
                <w:szCs w:val="21"/>
              </w:rPr>
              <w:t>DA005</w:t>
            </w:r>
          </w:p>
        </w:tc>
        <w:tc>
          <w:tcPr>
            <w:tcW w:w="672" w:type="pct"/>
            <w:vAlign w:val="center"/>
          </w:tcPr>
          <w:p w14:paraId="43EA54BA">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2243B5C7">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0.2</w:t>
            </w:r>
            <w:r>
              <w:rPr>
                <w:rFonts w:ascii="Times New Roman"/>
                <w:sz w:val="21"/>
                <w:szCs w:val="21"/>
              </w:rPr>
              <w:t>m</w:t>
            </w:r>
          </w:p>
        </w:tc>
      </w:tr>
      <w:tr w14:paraId="1688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24EB9635">
            <w:pPr>
              <w:spacing w:line="280" w:lineRule="exact"/>
              <w:jc w:val="center"/>
              <w:rPr>
                <w:rFonts w:ascii="Times New Roman"/>
                <w:sz w:val="21"/>
                <w:szCs w:val="21"/>
              </w:rPr>
            </w:pPr>
          </w:p>
        </w:tc>
        <w:tc>
          <w:tcPr>
            <w:tcW w:w="596" w:type="pct"/>
            <w:vMerge w:val="continue"/>
            <w:shd w:val="clear" w:color="auto" w:fill="auto"/>
            <w:noWrap/>
            <w:vAlign w:val="center"/>
          </w:tcPr>
          <w:p w14:paraId="37DF9BA8">
            <w:pPr>
              <w:spacing w:line="280" w:lineRule="exact"/>
              <w:jc w:val="center"/>
              <w:rPr>
                <w:rFonts w:ascii="Times New Roman"/>
                <w:sz w:val="21"/>
                <w:szCs w:val="21"/>
              </w:rPr>
            </w:pPr>
          </w:p>
        </w:tc>
        <w:tc>
          <w:tcPr>
            <w:tcW w:w="586" w:type="pct"/>
            <w:vAlign w:val="center"/>
          </w:tcPr>
          <w:p w14:paraId="03ABE371">
            <w:pPr>
              <w:spacing w:line="280" w:lineRule="exact"/>
              <w:jc w:val="center"/>
              <w:rPr>
                <w:rFonts w:ascii="Times New Roman"/>
                <w:sz w:val="21"/>
                <w:szCs w:val="21"/>
              </w:rPr>
            </w:pPr>
            <w:r>
              <w:rPr>
                <w:rFonts w:hint="eastAsia" w:ascii="Times New Roman"/>
                <w:sz w:val="21"/>
                <w:szCs w:val="21"/>
              </w:rPr>
              <w:t>热处理淬油</w:t>
            </w:r>
          </w:p>
        </w:tc>
        <w:tc>
          <w:tcPr>
            <w:tcW w:w="1165" w:type="pct"/>
            <w:vAlign w:val="center"/>
          </w:tcPr>
          <w:p w14:paraId="5CD317A9">
            <w:pPr>
              <w:spacing w:line="280" w:lineRule="exact"/>
              <w:jc w:val="center"/>
              <w:rPr>
                <w:rFonts w:ascii="Times New Roman"/>
                <w:sz w:val="21"/>
                <w:szCs w:val="21"/>
              </w:rPr>
            </w:pPr>
            <w:r>
              <w:rPr>
                <w:rFonts w:hint="eastAsia" w:ascii="Times New Roman"/>
                <w:sz w:val="21"/>
                <w:szCs w:val="21"/>
              </w:rPr>
              <w:t>集气罩+油雾净化器+二级活性炭吸附+20m高排气筒（DA006）</w:t>
            </w:r>
          </w:p>
        </w:tc>
        <w:tc>
          <w:tcPr>
            <w:tcW w:w="534" w:type="pct"/>
            <w:vAlign w:val="center"/>
          </w:tcPr>
          <w:p w14:paraId="1ED2A79B">
            <w:pPr>
              <w:spacing w:line="280" w:lineRule="exact"/>
              <w:jc w:val="center"/>
              <w:rPr>
                <w:rFonts w:ascii="Times New Roman"/>
                <w:sz w:val="21"/>
                <w:szCs w:val="21"/>
              </w:rPr>
            </w:pPr>
            <w:r>
              <w:rPr>
                <w:rFonts w:hint="eastAsia" w:ascii="Times New Roman"/>
                <w:sz w:val="21"/>
                <w:szCs w:val="21"/>
              </w:rPr>
              <w:t>油雾净化器去除效率90%；二级活性炭吸附效率60%</w:t>
            </w:r>
          </w:p>
        </w:tc>
        <w:tc>
          <w:tcPr>
            <w:tcW w:w="633" w:type="pct"/>
            <w:vAlign w:val="center"/>
          </w:tcPr>
          <w:p w14:paraId="13F6A385">
            <w:pPr>
              <w:spacing w:line="280" w:lineRule="exact"/>
              <w:jc w:val="center"/>
              <w:rPr>
                <w:rFonts w:ascii="Times New Roman"/>
                <w:sz w:val="21"/>
                <w:szCs w:val="21"/>
              </w:rPr>
            </w:pPr>
            <w:r>
              <w:rPr>
                <w:rFonts w:hint="eastAsia" w:ascii="Times New Roman"/>
                <w:sz w:val="21"/>
                <w:szCs w:val="21"/>
              </w:rPr>
              <w:t>50000</w:t>
            </w:r>
          </w:p>
        </w:tc>
        <w:tc>
          <w:tcPr>
            <w:tcW w:w="540" w:type="pct"/>
            <w:vAlign w:val="center"/>
          </w:tcPr>
          <w:p w14:paraId="5C329CF9">
            <w:pPr>
              <w:spacing w:line="280" w:lineRule="exact"/>
              <w:jc w:val="center"/>
              <w:rPr>
                <w:rFonts w:ascii="Times New Roman"/>
                <w:sz w:val="21"/>
                <w:szCs w:val="21"/>
              </w:rPr>
            </w:pPr>
            <w:r>
              <w:rPr>
                <w:rFonts w:hint="eastAsia" w:ascii="Times New Roman"/>
                <w:sz w:val="21"/>
                <w:szCs w:val="21"/>
              </w:rPr>
              <w:t>DA006</w:t>
            </w:r>
          </w:p>
        </w:tc>
        <w:tc>
          <w:tcPr>
            <w:tcW w:w="672" w:type="pct"/>
            <w:vAlign w:val="center"/>
          </w:tcPr>
          <w:p w14:paraId="646EC430">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13E4DD65">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0.3</w:t>
            </w:r>
            <w:r>
              <w:rPr>
                <w:rFonts w:ascii="Times New Roman"/>
                <w:sz w:val="21"/>
                <w:szCs w:val="21"/>
              </w:rPr>
              <w:t>m</w:t>
            </w:r>
          </w:p>
        </w:tc>
      </w:tr>
      <w:tr w14:paraId="31EC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69B11E00">
            <w:pPr>
              <w:spacing w:line="280" w:lineRule="exact"/>
              <w:jc w:val="center"/>
              <w:rPr>
                <w:rFonts w:ascii="Times New Roman"/>
                <w:sz w:val="21"/>
                <w:szCs w:val="21"/>
              </w:rPr>
            </w:pPr>
          </w:p>
        </w:tc>
        <w:tc>
          <w:tcPr>
            <w:tcW w:w="596" w:type="pct"/>
            <w:vMerge w:val="restart"/>
            <w:shd w:val="clear" w:color="auto" w:fill="auto"/>
            <w:noWrap/>
            <w:vAlign w:val="center"/>
          </w:tcPr>
          <w:p w14:paraId="7418420E">
            <w:pPr>
              <w:spacing w:line="280" w:lineRule="exact"/>
              <w:jc w:val="center"/>
              <w:rPr>
                <w:rFonts w:ascii="Times New Roman"/>
                <w:sz w:val="21"/>
                <w:szCs w:val="21"/>
              </w:rPr>
            </w:pPr>
            <w:r>
              <w:rPr>
                <w:rFonts w:hint="eastAsia" w:ascii="Times New Roman"/>
                <w:sz w:val="21"/>
                <w:szCs w:val="21"/>
              </w:rPr>
              <w:t>联合厂房-</w:t>
            </w:r>
            <w:r>
              <w:rPr>
                <w:rFonts w:ascii="Times New Roman"/>
                <w:sz w:val="21"/>
                <w:szCs w:val="21"/>
              </w:rPr>
              <w:t>预处理及喷涂生产线</w:t>
            </w:r>
          </w:p>
        </w:tc>
        <w:tc>
          <w:tcPr>
            <w:tcW w:w="586" w:type="pct"/>
            <w:vAlign w:val="center"/>
          </w:tcPr>
          <w:p w14:paraId="79764720">
            <w:pPr>
              <w:spacing w:line="280" w:lineRule="exact"/>
              <w:jc w:val="center"/>
              <w:rPr>
                <w:rFonts w:ascii="Times New Roman"/>
                <w:sz w:val="21"/>
                <w:szCs w:val="21"/>
              </w:rPr>
            </w:pPr>
            <w:r>
              <w:rPr>
                <w:rFonts w:hint="eastAsia" w:ascii="Times New Roman"/>
                <w:sz w:val="21"/>
                <w:szCs w:val="21"/>
              </w:rPr>
              <w:t>抛丸</w:t>
            </w:r>
          </w:p>
        </w:tc>
        <w:tc>
          <w:tcPr>
            <w:tcW w:w="1165" w:type="pct"/>
            <w:vAlign w:val="center"/>
          </w:tcPr>
          <w:p w14:paraId="21C1B0D6">
            <w:pPr>
              <w:spacing w:line="280" w:lineRule="exact"/>
              <w:jc w:val="center"/>
              <w:rPr>
                <w:rFonts w:ascii="Times New Roman"/>
                <w:sz w:val="21"/>
                <w:szCs w:val="21"/>
              </w:rPr>
            </w:pPr>
            <w:r>
              <w:rPr>
                <w:rFonts w:hint="eastAsia" w:ascii="Times New Roman"/>
                <w:sz w:val="21"/>
                <w:szCs w:val="21"/>
              </w:rPr>
              <w:t>管道收集+布袋除尘器+20m高排气筒（DA007）</w:t>
            </w:r>
          </w:p>
        </w:tc>
        <w:tc>
          <w:tcPr>
            <w:tcW w:w="534" w:type="pct"/>
            <w:vAlign w:val="center"/>
          </w:tcPr>
          <w:p w14:paraId="2D45FFA7">
            <w:pPr>
              <w:spacing w:line="280" w:lineRule="exact"/>
              <w:jc w:val="center"/>
              <w:rPr>
                <w:rFonts w:ascii="Times New Roman"/>
                <w:sz w:val="21"/>
                <w:szCs w:val="21"/>
              </w:rPr>
            </w:pPr>
            <w:r>
              <w:rPr>
                <w:rFonts w:hint="eastAsia" w:ascii="Times New Roman"/>
                <w:sz w:val="21"/>
                <w:szCs w:val="21"/>
              </w:rPr>
              <w:t>布袋除尘器</w:t>
            </w:r>
            <w:r>
              <w:rPr>
                <w:rFonts w:ascii="Times New Roman"/>
                <w:sz w:val="21"/>
                <w:szCs w:val="21"/>
              </w:rPr>
              <w:t>处理效率99%</w:t>
            </w:r>
          </w:p>
        </w:tc>
        <w:tc>
          <w:tcPr>
            <w:tcW w:w="633" w:type="pct"/>
            <w:vAlign w:val="center"/>
          </w:tcPr>
          <w:p w14:paraId="464C6B61">
            <w:pPr>
              <w:spacing w:line="280" w:lineRule="exact"/>
              <w:jc w:val="center"/>
              <w:rPr>
                <w:rFonts w:ascii="Times New Roman"/>
                <w:sz w:val="21"/>
                <w:szCs w:val="21"/>
              </w:rPr>
            </w:pPr>
            <w:r>
              <w:rPr>
                <w:rFonts w:hint="eastAsia" w:ascii="Times New Roman"/>
                <w:sz w:val="21"/>
                <w:szCs w:val="21"/>
              </w:rPr>
              <w:t>20000</w:t>
            </w:r>
          </w:p>
        </w:tc>
        <w:tc>
          <w:tcPr>
            <w:tcW w:w="540" w:type="pct"/>
            <w:vAlign w:val="center"/>
          </w:tcPr>
          <w:p w14:paraId="64D4CE78">
            <w:pPr>
              <w:spacing w:line="280" w:lineRule="exact"/>
              <w:jc w:val="center"/>
              <w:rPr>
                <w:rFonts w:ascii="Times New Roman"/>
                <w:sz w:val="21"/>
                <w:szCs w:val="21"/>
              </w:rPr>
            </w:pPr>
            <w:r>
              <w:rPr>
                <w:rFonts w:hint="eastAsia" w:ascii="Times New Roman"/>
                <w:sz w:val="21"/>
                <w:szCs w:val="21"/>
              </w:rPr>
              <w:t>DA007</w:t>
            </w:r>
          </w:p>
        </w:tc>
        <w:tc>
          <w:tcPr>
            <w:tcW w:w="672" w:type="pct"/>
            <w:vAlign w:val="center"/>
          </w:tcPr>
          <w:p w14:paraId="2D2D0635">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21ED18DC">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0.7</w:t>
            </w:r>
            <w:r>
              <w:rPr>
                <w:rFonts w:ascii="Times New Roman"/>
                <w:sz w:val="21"/>
                <w:szCs w:val="21"/>
              </w:rPr>
              <w:t>m</w:t>
            </w:r>
          </w:p>
        </w:tc>
      </w:tr>
      <w:tr w14:paraId="38DC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2745006A">
            <w:pPr>
              <w:spacing w:line="280" w:lineRule="exact"/>
              <w:jc w:val="center"/>
              <w:rPr>
                <w:rFonts w:ascii="Times New Roman"/>
                <w:sz w:val="21"/>
                <w:szCs w:val="21"/>
              </w:rPr>
            </w:pPr>
          </w:p>
        </w:tc>
        <w:tc>
          <w:tcPr>
            <w:tcW w:w="596" w:type="pct"/>
            <w:vMerge w:val="continue"/>
            <w:shd w:val="clear" w:color="auto" w:fill="auto"/>
            <w:noWrap/>
            <w:vAlign w:val="center"/>
          </w:tcPr>
          <w:p w14:paraId="733C3640">
            <w:pPr>
              <w:spacing w:line="280" w:lineRule="exact"/>
              <w:jc w:val="center"/>
              <w:rPr>
                <w:rFonts w:ascii="Times New Roman"/>
                <w:sz w:val="21"/>
                <w:szCs w:val="21"/>
              </w:rPr>
            </w:pPr>
          </w:p>
        </w:tc>
        <w:tc>
          <w:tcPr>
            <w:tcW w:w="586" w:type="pct"/>
            <w:vAlign w:val="center"/>
          </w:tcPr>
          <w:p w14:paraId="646F7822">
            <w:pPr>
              <w:spacing w:line="280" w:lineRule="exact"/>
              <w:jc w:val="center"/>
              <w:rPr>
                <w:rFonts w:ascii="Times New Roman"/>
                <w:sz w:val="21"/>
                <w:szCs w:val="21"/>
              </w:rPr>
            </w:pPr>
            <w:r>
              <w:rPr>
                <w:rFonts w:hint="eastAsia" w:ascii="Times New Roman"/>
                <w:sz w:val="21"/>
                <w:szCs w:val="21"/>
              </w:rPr>
              <w:t>喷砂</w:t>
            </w:r>
          </w:p>
        </w:tc>
        <w:tc>
          <w:tcPr>
            <w:tcW w:w="1165" w:type="pct"/>
            <w:vAlign w:val="center"/>
          </w:tcPr>
          <w:p w14:paraId="08652295">
            <w:pPr>
              <w:spacing w:line="280" w:lineRule="exact"/>
              <w:jc w:val="center"/>
              <w:rPr>
                <w:rFonts w:ascii="Times New Roman"/>
                <w:sz w:val="21"/>
                <w:szCs w:val="21"/>
              </w:rPr>
            </w:pPr>
            <w:r>
              <w:rPr>
                <w:rFonts w:hint="eastAsia" w:ascii="Times New Roman"/>
                <w:sz w:val="21"/>
                <w:szCs w:val="21"/>
              </w:rPr>
              <w:t>集气罩收集+布袋除尘器+20m高排气筒（DA007）</w:t>
            </w:r>
          </w:p>
        </w:tc>
        <w:tc>
          <w:tcPr>
            <w:tcW w:w="534" w:type="pct"/>
            <w:vAlign w:val="center"/>
          </w:tcPr>
          <w:p w14:paraId="4E8C7C14">
            <w:pPr>
              <w:spacing w:line="280" w:lineRule="exact"/>
              <w:jc w:val="center"/>
              <w:rPr>
                <w:rFonts w:ascii="Times New Roman"/>
                <w:sz w:val="21"/>
                <w:szCs w:val="21"/>
              </w:rPr>
            </w:pPr>
            <w:r>
              <w:rPr>
                <w:rFonts w:hint="eastAsia" w:ascii="Times New Roman"/>
                <w:sz w:val="21"/>
                <w:szCs w:val="21"/>
              </w:rPr>
              <w:t>布袋除尘器</w:t>
            </w:r>
            <w:r>
              <w:rPr>
                <w:rFonts w:ascii="Times New Roman"/>
                <w:sz w:val="21"/>
                <w:szCs w:val="21"/>
              </w:rPr>
              <w:t>处理效率9</w:t>
            </w:r>
            <w:r>
              <w:rPr>
                <w:rFonts w:hint="eastAsia" w:ascii="Times New Roman"/>
                <w:sz w:val="21"/>
                <w:szCs w:val="21"/>
              </w:rPr>
              <w:t>9.</w:t>
            </w:r>
            <w:r>
              <w:rPr>
                <w:rFonts w:ascii="Times New Roman"/>
                <w:sz w:val="21"/>
                <w:szCs w:val="21"/>
              </w:rPr>
              <w:t>9%</w:t>
            </w:r>
          </w:p>
        </w:tc>
        <w:tc>
          <w:tcPr>
            <w:tcW w:w="633" w:type="pct"/>
            <w:vAlign w:val="center"/>
          </w:tcPr>
          <w:p w14:paraId="59EE5A36">
            <w:pPr>
              <w:spacing w:line="280" w:lineRule="exact"/>
              <w:jc w:val="center"/>
              <w:rPr>
                <w:rFonts w:ascii="Times New Roman"/>
                <w:sz w:val="21"/>
                <w:szCs w:val="21"/>
              </w:rPr>
            </w:pPr>
            <w:r>
              <w:rPr>
                <w:rFonts w:hint="eastAsia" w:ascii="Times New Roman"/>
                <w:sz w:val="21"/>
                <w:szCs w:val="21"/>
              </w:rPr>
              <w:t>20000</w:t>
            </w:r>
          </w:p>
        </w:tc>
        <w:tc>
          <w:tcPr>
            <w:tcW w:w="540" w:type="pct"/>
            <w:vAlign w:val="center"/>
          </w:tcPr>
          <w:p w14:paraId="1248E570">
            <w:pPr>
              <w:spacing w:line="280" w:lineRule="exact"/>
              <w:jc w:val="center"/>
              <w:rPr>
                <w:rFonts w:ascii="Times New Roman"/>
                <w:sz w:val="21"/>
                <w:szCs w:val="21"/>
              </w:rPr>
            </w:pPr>
            <w:r>
              <w:rPr>
                <w:rFonts w:hint="eastAsia" w:ascii="Times New Roman"/>
                <w:sz w:val="21"/>
                <w:szCs w:val="21"/>
              </w:rPr>
              <w:t>DA007</w:t>
            </w:r>
          </w:p>
        </w:tc>
        <w:tc>
          <w:tcPr>
            <w:tcW w:w="672" w:type="pct"/>
            <w:vAlign w:val="center"/>
          </w:tcPr>
          <w:p w14:paraId="1827CD26">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6CAE9D26">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0.7</w:t>
            </w:r>
            <w:r>
              <w:rPr>
                <w:rFonts w:ascii="Times New Roman"/>
                <w:sz w:val="21"/>
                <w:szCs w:val="21"/>
              </w:rPr>
              <w:t>m</w:t>
            </w:r>
          </w:p>
        </w:tc>
      </w:tr>
      <w:tr w14:paraId="3874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76A83799">
            <w:pPr>
              <w:spacing w:line="280" w:lineRule="exact"/>
              <w:jc w:val="center"/>
              <w:rPr>
                <w:rFonts w:ascii="Times New Roman"/>
                <w:sz w:val="21"/>
                <w:szCs w:val="21"/>
              </w:rPr>
            </w:pPr>
          </w:p>
        </w:tc>
        <w:tc>
          <w:tcPr>
            <w:tcW w:w="596" w:type="pct"/>
            <w:vMerge w:val="continue"/>
            <w:shd w:val="clear" w:color="auto" w:fill="auto"/>
            <w:noWrap/>
            <w:vAlign w:val="center"/>
          </w:tcPr>
          <w:p w14:paraId="0364C944">
            <w:pPr>
              <w:spacing w:line="280" w:lineRule="exact"/>
              <w:jc w:val="center"/>
              <w:rPr>
                <w:rFonts w:ascii="Times New Roman"/>
                <w:sz w:val="21"/>
                <w:szCs w:val="21"/>
              </w:rPr>
            </w:pPr>
          </w:p>
        </w:tc>
        <w:tc>
          <w:tcPr>
            <w:tcW w:w="586" w:type="pct"/>
            <w:vAlign w:val="center"/>
          </w:tcPr>
          <w:p w14:paraId="0CBCD3ED">
            <w:pPr>
              <w:spacing w:line="280" w:lineRule="exact"/>
              <w:jc w:val="center"/>
              <w:rPr>
                <w:rFonts w:ascii="Times New Roman"/>
                <w:sz w:val="21"/>
                <w:szCs w:val="21"/>
              </w:rPr>
            </w:pPr>
            <w:r>
              <w:rPr>
                <w:rFonts w:hint="eastAsia" w:ascii="Times New Roman"/>
                <w:sz w:val="21"/>
                <w:szCs w:val="21"/>
              </w:rPr>
              <w:t>喷塑</w:t>
            </w:r>
          </w:p>
        </w:tc>
        <w:tc>
          <w:tcPr>
            <w:tcW w:w="1165" w:type="pct"/>
            <w:vAlign w:val="center"/>
          </w:tcPr>
          <w:p w14:paraId="027470F7">
            <w:pPr>
              <w:spacing w:line="280" w:lineRule="exact"/>
              <w:jc w:val="center"/>
              <w:rPr>
                <w:rFonts w:ascii="Times New Roman"/>
                <w:sz w:val="21"/>
                <w:szCs w:val="21"/>
              </w:rPr>
            </w:pPr>
            <w:r>
              <w:rPr>
                <w:rFonts w:hint="eastAsia" w:ascii="Times New Roman"/>
                <w:sz w:val="21"/>
                <w:szCs w:val="21"/>
              </w:rPr>
              <w:t>自带滤筒除尘器+20m高排气筒（DA008）</w:t>
            </w:r>
          </w:p>
        </w:tc>
        <w:tc>
          <w:tcPr>
            <w:tcW w:w="534" w:type="pct"/>
            <w:vAlign w:val="center"/>
          </w:tcPr>
          <w:p w14:paraId="03C61D1B">
            <w:pPr>
              <w:spacing w:line="280" w:lineRule="exact"/>
              <w:jc w:val="center"/>
              <w:rPr>
                <w:rFonts w:ascii="Times New Roman"/>
                <w:sz w:val="21"/>
                <w:szCs w:val="21"/>
              </w:rPr>
            </w:pPr>
            <w:r>
              <w:rPr>
                <w:rFonts w:hint="eastAsia" w:ascii="Times New Roman"/>
                <w:sz w:val="21"/>
                <w:szCs w:val="21"/>
              </w:rPr>
              <w:t>滤筒除尘器处理效率99%</w:t>
            </w:r>
          </w:p>
        </w:tc>
        <w:tc>
          <w:tcPr>
            <w:tcW w:w="633" w:type="pct"/>
            <w:vAlign w:val="center"/>
          </w:tcPr>
          <w:p w14:paraId="7914F3DA">
            <w:pPr>
              <w:spacing w:line="280" w:lineRule="exact"/>
              <w:jc w:val="center"/>
              <w:rPr>
                <w:rFonts w:ascii="Times New Roman"/>
                <w:sz w:val="21"/>
                <w:szCs w:val="21"/>
              </w:rPr>
            </w:pPr>
            <w:r>
              <w:rPr>
                <w:rFonts w:hint="eastAsia" w:ascii="Times New Roman"/>
                <w:sz w:val="21"/>
                <w:szCs w:val="21"/>
              </w:rPr>
              <w:t>15000</w:t>
            </w:r>
          </w:p>
        </w:tc>
        <w:tc>
          <w:tcPr>
            <w:tcW w:w="540" w:type="pct"/>
            <w:vAlign w:val="center"/>
          </w:tcPr>
          <w:p w14:paraId="2576DD34">
            <w:pPr>
              <w:spacing w:line="280" w:lineRule="exact"/>
              <w:jc w:val="center"/>
              <w:rPr>
                <w:rFonts w:ascii="Times New Roman"/>
                <w:sz w:val="21"/>
                <w:szCs w:val="21"/>
              </w:rPr>
            </w:pPr>
            <w:r>
              <w:rPr>
                <w:rFonts w:hint="eastAsia" w:ascii="Times New Roman"/>
                <w:sz w:val="21"/>
                <w:szCs w:val="21"/>
              </w:rPr>
              <w:t>DA008</w:t>
            </w:r>
          </w:p>
        </w:tc>
        <w:tc>
          <w:tcPr>
            <w:tcW w:w="672" w:type="pct"/>
            <w:vAlign w:val="center"/>
          </w:tcPr>
          <w:p w14:paraId="49A56C24">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11587303">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0.5</w:t>
            </w:r>
            <w:r>
              <w:rPr>
                <w:rFonts w:ascii="Times New Roman"/>
                <w:sz w:val="21"/>
                <w:szCs w:val="21"/>
              </w:rPr>
              <w:t>m</w:t>
            </w:r>
          </w:p>
        </w:tc>
      </w:tr>
      <w:tr w14:paraId="2F4E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73C8254D">
            <w:pPr>
              <w:spacing w:line="280" w:lineRule="exact"/>
              <w:jc w:val="center"/>
              <w:rPr>
                <w:rFonts w:ascii="Times New Roman"/>
                <w:sz w:val="21"/>
                <w:szCs w:val="21"/>
              </w:rPr>
            </w:pPr>
          </w:p>
        </w:tc>
        <w:tc>
          <w:tcPr>
            <w:tcW w:w="596" w:type="pct"/>
            <w:vMerge w:val="continue"/>
            <w:shd w:val="clear" w:color="auto" w:fill="auto"/>
            <w:noWrap/>
            <w:vAlign w:val="center"/>
          </w:tcPr>
          <w:p w14:paraId="2E0014B5">
            <w:pPr>
              <w:spacing w:line="280" w:lineRule="exact"/>
              <w:jc w:val="center"/>
              <w:rPr>
                <w:rFonts w:ascii="Times New Roman"/>
                <w:sz w:val="21"/>
                <w:szCs w:val="21"/>
              </w:rPr>
            </w:pPr>
          </w:p>
        </w:tc>
        <w:tc>
          <w:tcPr>
            <w:tcW w:w="586" w:type="pct"/>
            <w:vAlign w:val="center"/>
          </w:tcPr>
          <w:p w14:paraId="144E2883">
            <w:pPr>
              <w:spacing w:line="280" w:lineRule="exact"/>
              <w:jc w:val="center"/>
              <w:rPr>
                <w:rFonts w:ascii="Times New Roman"/>
                <w:sz w:val="21"/>
                <w:szCs w:val="21"/>
              </w:rPr>
            </w:pPr>
            <w:r>
              <w:rPr>
                <w:rFonts w:hint="eastAsia" w:ascii="Times New Roman"/>
                <w:sz w:val="21"/>
                <w:szCs w:val="21"/>
              </w:rPr>
              <w:t>喷塑固化、强冷</w:t>
            </w:r>
          </w:p>
        </w:tc>
        <w:tc>
          <w:tcPr>
            <w:tcW w:w="1165" w:type="pct"/>
            <w:vAlign w:val="center"/>
          </w:tcPr>
          <w:p w14:paraId="1AC3A8A1">
            <w:pPr>
              <w:spacing w:line="280" w:lineRule="exact"/>
              <w:jc w:val="center"/>
              <w:rPr>
                <w:rFonts w:ascii="Times New Roman"/>
                <w:sz w:val="21"/>
                <w:szCs w:val="21"/>
              </w:rPr>
            </w:pPr>
            <w:r>
              <w:rPr>
                <w:rFonts w:hint="eastAsia" w:ascii="Times New Roman"/>
                <w:sz w:val="21"/>
                <w:szCs w:val="21"/>
              </w:rPr>
              <w:t>负压收集+二级活性炭吸附装置+20m高排气筒（DA009）</w:t>
            </w:r>
          </w:p>
        </w:tc>
        <w:tc>
          <w:tcPr>
            <w:tcW w:w="534" w:type="pct"/>
            <w:vAlign w:val="center"/>
          </w:tcPr>
          <w:p w14:paraId="325FC539">
            <w:pPr>
              <w:spacing w:line="280" w:lineRule="exact"/>
              <w:jc w:val="center"/>
              <w:rPr>
                <w:rFonts w:ascii="Times New Roman"/>
                <w:sz w:val="21"/>
                <w:szCs w:val="21"/>
              </w:rPr>
            </w:pPr>
            <w:r>
              <w:rPr>
                <w:rFonts w:hint="eastAsia" w:ascii="Times New Roman"/>
                <w:sz w:val="21"/>
                <w:szCs w:val="21"/>
              </w:rPr>
              <w:t>二级活性炭吸附效率70%</w:t>
            </w:r>
          </w:p>
        </w:tc>
        <w:tc>
          <w:tcPr>
            <w:tcW w:w="633" w:type="pct"/>
            <w:vAlign w:val="center"/>
          </w:tcPr>
          <w:p w14:paraId="5CB91947">
            <w:pPr>
              <w:spacing w:line="280" w:lineRule="exact"/>
              <w:jc w:val="center"/>
              <w:rPr>
                <w:rFonts w:ascii="Times New Roman"/>
                <w:sz w:val="21"/>
                <w:szCs w:val="21"/>
              </w:rPr>
            </w:pPr>
            <w:r>
              <w:rPr>
                <w:rFonts w:hint="eastAsia" w:ascii="Times New Roman"/>
                <w:sz w:val="21"/>
                <w:szCs w:val="21"/>
              </w:rPr>
              <w:t>12000</w:t>
            </w:r>
          </w:p>
        </w:tc>
        <w:tc>
          <w:tcPr>
            <w:tcW w:w="540" w:type="pct"/>
            <w:vMerge w:val="restart"/>
            <w:vAlign w:val="center"/>
          </w:tcPr>
          <w:p w14:paraId="11390953">
            <w:pPr>
              <w:spacing w:line="280" w:lineRule="exact"/>
              <w:jc w:val="center"/>
              <w:rPr>
                <w:rFonts w:ascii="Times New Roman"/>
                <w:sz w:val="21"/>
                <w:szCs w:val="21"/>
              </w:rPr>
            </w:pPr>
            <w:r>
              <w:rPr>
                <w:rFonts w:hint="eastAsia" w:ascii="Times New Roman"/>
                <w:sz w:val="21"/>
                <w:szCs w:val="21"/>
              </w:rPr>
              <w:t>DA009</w:t>
            </w:r>
          </w:p>
        </w:tc>
        <w:tc>
          <w:tcPr>
            <w:tcW w:w="672" w:type="pct"/>
            <w:vMerge w:val="restart"/>
            <w:vAlign w:val="center"/>
          </w:tcPr>
          <w:p w14:paraId="7267A490">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25384855">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1.5</w:t>
            </w:r>
            <w:r>
              <w:rPr>
                <w:rFonts w:ascii="Times New Roman"/>
                <w:sz w:val="21"/>
                <w:szCs w:val="21"/>
              </w:rPr>
              <w:t>m</w:t>
            </w:r>
          </w:p>
        </w:tc>
      </w:tr>
      <w:tr w14:paraId="0940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70" w:type="pct"/>
            <w:vMerge w:val="continue"/>
            <w:vAlign w:val="center"/>
          </w:tcPr>
          <w:p w14:paraId="7A65F642">
            <w:pPr>
              <w:spacing w:line="280" w:lineRule="exact"/>
              <w:jc w:val="center"/>
              <w:rPr>
                <w:rFonts w:ascii="Times New Roman"/>
                <w:sz w:val="21"/>
                <w:szCs w:val="21"/>
              </w:rPr>
            </w:pPr>
          </w:p>
        </w:tc>
        <w:tc>
          <w:tcPr>
            <w:tcW w:w="596" w:type="pct"/>
            <w:vMerge w:val="continue"/>
            <w:shd w:val="clear" w:color="auto" w:fill="auto"/>
            <w:noWrap/>
            <w:vAlign w:val="center"/>
          </w:tcPr>
          <w:p w14:paraId="4795BD58">
            <w:pPr>
              <w:spacing w:line="280" w:lineRule="exact"/>
              <w:jc w:val="center"/>
              <w:rPr>
                <w:rFonts w:ascii="Times New Roman"/>
                <w:sz w:val="21"/>
                <w:szCs w:val="21"/>
              </w:rPr>
            </w:pPr>
          </w:p>
        </w:tc>
        <w:tc>
          <w:tcPr>
            <w:tcW w:w="586" w:type="pct"/>
            <w:vAlign w:val="center"/>
          </w:tcPr>
          <w:p w14:paraId="44A94160">
            <w:pPr>
              <w:spacing w:line="280" w:lineRule="exact"/>
              <w:jc w:val="center"/>
              <w:rPr>
                <w:rFonts w:ascii="Times New Roman"/>
                <w:sz w:val="21"/>
                <w:szCs w:val="21"/>
              </w:rPr>
            </w:pPr>
            <w:r>
              <w:rPr>
                <w:rFonts w:hint="eastAsia" w:ascii="Times New Roman"/>
                <w:sz w:val="21"/>
                <w:szCs w:val="21"/>
              </w:rPr>
              <w:t>电泳、喷漆、流平、烘干固化</w:t>
            </w:r>
          </w:p>
        </w:tc>
        <w:tc>
          <w:tcPr>
            <w:tcW w:w="1165" w:type="pct"/>
            <w:vAlign w:val="center"/>
          </w:tcPr>
          <w:p w14:paraId="35A582F6">
            <w:pPr>
              <w:spacing w:line="280" w:lineRule="exact"/>
              <w:jc w:val="center"/>
              <w:rPr>
                <w:rFonts w:ascii="Times New Roman"/>
                <w:sz w:val="21"/>
                <w:szCs w:val="21"/>
              </w:rPr>
            </w:pPr>
            <w:r>
              <w:rPr>
                <w:rFonts w:hint="eastAsia" w:ascii="Times New Roman"/>
                <w:sz w:val="21"/>
                <w:szCs w:val="21"/>
              </w:rPr>
              <w:t>负压收集+4级干式过滤器+沸石轮转吸附+RTO焚烧装置+20m高排气筒（DA009）</w:t>
            </w:r>
          </w:p>
        </w:tc>
        <w:tc>
          <w:tcPr>
            <w:tcW w:w="534" w:type="pct"/>
            <w:vAlign w:val="center"/>
          </w:tcPr>
          <w:p w14:paraId="094F44B2">
            <w:pPr>
              <w:spacing w:line="280" w:lineRule="exact"/>
              <w:jc w:val="center"/>
              <w:rPr>
                <w:rFonts w:ascii="Times New Roman"/>
                <w:sz w:val="21"/>
                <w:szCs w:val="21"/>
              </w:rPr>
            </w:pPr>
            <w:r>
              <w:rPr>
                <w:rFonts w:hint="eastAsia" w:ascii="Times New Roman"/>
                <w:sz w:val="21"/>
                <w:szCs w:val="21"/>
              </w:rPr>
              <w:t>沸石轮转吸附RTO焚烧装置去除效率95%</w:t>
            </w:r>
          </w:p>
        </w:tc>
        <w:tc>
          <w:tcPr>
            <w:tcW w:w="633" w:type="pct"/>
            <w:vAlign w:val="center"/>
          </w:tcPr>
          <w:p w14:paraId="1483088F">
            <w:pPr>
              <w:spacing w:line="280" w:lineRule="exact"/>
              <w:jc w:val="center"/>
              <w:rPr>
                <w:rFonts w:ascii="Times New Roman"/>
                <w:sz w:val="21"/>
                <w:szCs w:val="21"/>
              </w:rPr>
            </w:pPr>
            <w:r>
              <w:rPr>
                <w:rFonts w:hint="eastAsia" w:ascii="Times New Roman"/>
                <w:sz w:val="21"/>
                <w:szCs w:val="21"/>
              </w:rPr>
              <w:t>232000</w:t>
            </w:r>
          </w:p>
        </w:tc>
        <w:tc>
          <w:tcPr>
            <w:tcW w:w="540" w:type="pct"/>
            <w:vMerge w:val="continue"/>
            <w:vAlign w:val="center"/>
          </w:tcPr>
          <w:p w14:paraId="030FB7DA">
            <w:pPr>
              <w:spacing w:line="280" w:lineRule="exact"/>
              <w:jc w:val="center"/>
              <w:rPr>
                <w:rFonts w:ascii="Times New Roman"/>
                <w:sz w:val="21"/>
                <w:szCs w:val="21"/>
              </w:rPr>
            </w:pPr>
          </w:p>
        </w:tc>
        <w:tc>
          <w:tcPr>
            <w:tcW w:w="672" w:type="pct"/>
            <w:vMerge w:val="continue"/>
            <w:vAlign w:val="center"/>
          </w:tcPr>
          <w:p w14:paraId="76BE95CD">
            <w:pPr>
              <w:spacing w:line="280" w:lineRule="exact"/>
              <w:jc w:val="center"/>
              <w:rPr>
                <w:rFonts w:ascii="Times New Roman"/>
                <w:sz w:val="21"/>
                <w:szCs w:val="21"/>
              </w:rPr>
            </w:pPr>
          </w:p>
        </w:tc>
      </w:tr>
      <w:tr w14:paraId="40D8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6AA0F94E">
            <w:pPr>
              <w:spacing w:line="280" w:lineRule="exact"/>
              <w:jc w:val="center"/>
              <w:rPr>
                <w:rFonts w:ascii="Times New Roman"/>
                <w:sz w:val="21"/>
                <w:szCs w:val="21"/>
              </w:rPr>
            </w:pPr>
          </w:p>
        </w:tc>
        <w:tc>
          <w:tcPr>
            <w:tcW w:w="596" w:type="pct"/>
            <w:vMerge w:val="continue"/>
            <w:shd w:val="clear" w:color="auto" w:fill="auto"/>
            <w:noWrap/>
            <w:vAlign w:val="center"/>
          </w:tcPr>
          <w:p w14:paraId="3751789C">
            <w:pPr>
              <w:spacing w:line="280" w:lineRule="exact"/>
              <w:jc w:val="center"/>
              <w:rPr>
                <w:rFonts w:ascii="Times New Roman"/>
                <w:sz w:val="21"/>
                <w:szCs w:val="21"/>
              </w:rPr>
            </w:pPr>
          </w:p>
        </w:tc>
        <w:tc>
          <w:tcPr>
            <w:tcW w:w="586" w:type="pct"/>
            <w:vAlign w:val="center"/>
          </w:tcPr>
          <w:p w14:paraId="06C3C72D">
            <w:pPr>
              <w:spacing w:line="280" w:lineRule="exact"/>
              <w:jc w:val="center"/>
              <w:rPr>
                <w:rFonts w:ascii="Times New Roman"/>
                <w:sz w:val="21"/>
                <w:szCs w:val="21"/>
              </w:rPr>
            </w:pPr>
            <w:r>
              <w:rPr>
                <w:rFonts w:hint="eastAsia" w:ascii="Times New Roman"/>
                <w:sz w:val="21"/>
                <w:szCs w:val="21"/>
              </w:rPr>
              <w:t>天然气燃烧机</w:t>
            </w:r>
          </w:p>
        </w:tc>
        <w:tc>
          <w:tcPr>
            <w:tcW w:w="1165" w:type="pct"/>
            <w:vAlign w:val="center"/>
          </w:tcPr>
          <w:p w14:paraId="3545909D">
            <w:pPr>
              <w:spacing w:line="280" w:lineRule="exact"/>
              <w:jc w:val="center"/>
              <w:rPr>
                <w:rFonts w:ascii="Times New Roman"/>
                <w:sz w:val="21"/>
                <w:szCs w:val="21"/>
              </w:rPr>
            </w:pPr>
            <w:r>
              <w:rPr>
                <w:rFonts w:hint="eastAsia" w:ascii="Times New Roman"/>
                <w:sz w:val="21"/>
                <w:szCs w:val="21"/>
              </w:rPr>
              <w:t>低氮燃烧器</w:t>
            </w:r>
          </w:p>
        </w:tc>
        <w:tc>
          <w:tcPr>
            <w:tcW w:w="534" w:type="pct"/>
            <w:vAlign w:val="center"/>
          </w:tcPr>
          <w:p w14:paraId="4E05D7D5">
            <w:pPr>
              <w:spacing w:line="280" w:lineRule="exact"/>
              <w:jc w:val="center"/>
              <w:rPr>
                <w:rFonts w:ascii="Times New Roman"/>
                <w:sz w:val="21"/>
                <w:szCs w:val="21"/>
              </w:rPr>
            </w:pPr>
            <w:r>
              <w:rPr>
                <w:rFonts w:ascii="Times New Roman"/>
                <w:sz w:val="21"/>
                <w:szCs w:val="21"/>
              </w:rPr>
              <w:t>低氮燃烧器去除效率</w:t>
            </w:r>
            <w:r>
              <w:rPr>
                <w:rFonts w:hint="eastAsia" w:ascii="Times New Roman"/>
                <w:sz w:val="21"/>
                <w:szCs w:val="21"/>
              </w:rPr>
              <w:t>50</w:t>
            </w:r>
            <w:r>
              <w:rPr>
                <w:rFonts w:ascii="Times New Roman"/>
                <w:sz w:val="21"/>
                <w:szCs w:val="21"/>
              </w:rPr>
              <w:t>%</w:t>
            </w:r>
          </w:p>
        </w:tc>
        <w:tc>
          <w:tcPr>
            <w:tcW w:w="633" w:type="pct"/>
            <w:vAlign w:val="center"/>
          </w:tcPr>
          <w:p w14:paraId="50F84ADB">
            <w:pPr>
              <w:spacing w:line="280" w:lineRule="exact"/>
              <w:jc w:val="center"/>
              <w:rPr>
                <w:rFonts w:ascii="Times New Roman"/>
                <w:sz w:val="21"/>
                <w:szCs w:val="21"/>
              </w:rPr>
            </w:pPr>
            <w:r>
              <w:rPr>
                <w:rFonts w:hint="eastAsia" w:ascii="Times New Roman"/>
                <w:sz w:val="21"/>
                <w:szCs w:val="21"/>
              </w:rPr>
              <w:t>6824</w:t>
            </w:r>
          </w:p>
        </w:tc>
        <w:tc>
          <w:tcPr>
            <w:tcW w:w="540" w:type="pct"/>
            <w:vMerge w:val="continue"/>
            <w:vAlign w:val="center"/>
          </w:tcPr>
          <w:p w14:paraId="18C8B837">
            <w:pPr>
              <w:spacing w:line="280" w:lineRule="exact"/>
              <w:jc w:val="center"/>
              <w:rPr>
                <w:rFonts w:ascii="Times New Roman"/>
                <w:sz w:val="21"/>
                <w:szCs w:val="21"/>
              </w:rPr>
            </w:pPr>
          </w:p>
        </w:tc>
        <w:tc>
          <w:tcPr>
            <w:tcW w:w="672" w:type="pct"/>
            <w:vMerge w:val="continue"/>
            <w:vAlign w:val="center"/>
          </w:tcPr>
          <w:p w14:paraId="159B1C19">
            <w:pPr>
              <w:spacing w:line="280" w:lineRule="exact"/>
              <w:jc w:val="center"/>
              <w:rPr>
                <w:rFonts w:ascii="Times New Roman"/>
                <w:sz w:val="21"/>
                <w:szCs w:val="21"/>
              </w:rPr>
            </w:pPr>
          </w:p>
        </w:tc>
      </w:tr>
      <w:tr w14:paraId="496B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4E520CB6">
            <w:pPr>
              <w:spacing w:line="280" w:lineRule="exact"/>
              <w:jc w:val="center"/>
              <w:rPr>
                <w:rFonts w:ascii="Times New Roman"/>
                <w:sz w:val="21"/>
                <w:szCs w:val="21"/>
              </w:rPr>
            </w:pPr>
          </w:p>
        </w:tc>
        <w:tc>
          <w:tcPr>
            <w:tcW w:w="596" w:type="pct"/>
            <w:vMerge w:val="restart"/>
            <w:shd w:val="clear" w:color="auto" w:fill="auto"/>
            <w:noWrap/>
            <w:vAlign w:val="center"/>
          </w:tcPr>
          <w:p w14:paraId="183D788B">
            <w:pPr>
              <w:spacing w:line="280" w:lineRule="exact"/>
              <w:jc w:val="center"/>
              <w:rPr>
                <w:rFonts w:ascii="Times New Roman"/>
                <w:sz w:val="21"/>
                <w:szCs w:val="21"/>
              </w:rPr>
            </w:pPr>
            <w:r>
              <w:rPr>
                <w:rFonts w:hint="eastAsia" w:ascii="Times New Roman"/>
                <w:sz w:val="21"/>
                <w:szCs w:val="21"/>
              </w:rPr>
              <w:t>托辊及装配厂房-托辊生产线</w:t>
            </w:r>
          </w:p>
        </w:tc>
        <w:tc>
          <w:tcPr>
            <w:tcW w:w="586" w:type="pct"/>
            <w:vAlign w:val="center"/>
          </w:tcPr>
          <w:p w14:paraId="0B26A224">
            <w:pPr>
              <w:spacing w:line="280" w:lineRule="exact"/>
              <w:jc w:val="center"/>
              <w:rPr>
                <w:rFonts w:ascii="Times New Roman"/>
                <w:sz w:val="21"/>
                <w:szCs w:val="21"/>
              </w:rPr>
            </w:pPr>
            <w:r>
              <w:rPr>
                <w:rFonts w:hint="eastAsia" w:ascii="Times New Roman"/>
                <w:sz w:val="21"/>
                <w:szCs w:val="21"/>
              </w:rPr>
              <w:t>喷塑</w:t>
            </w:r>
          </w:p>
        </w:tc>
        <w:tc>
          <w:tcPr>
            <w:tcW w:w="1165" w:type="pct"/>
            <w:vAlign w:val="center"/>
          </w:tcPr>
          <w:p w14:paraId="419BC8BE">
            <w:pPr>
              <w:spacing w:line="280" w:lineRule="exact"/>
              <w:jc w:val="center"/>
              <w:rPr>
                <w:rFonts w:ascii="Times New Roman"/>
                <w:sz w:val="21"/>
                <w:szCs w:val="21"/>
              </w:rPr>
            </w:pPr>
            <w:r>
              <w:rPr>
                <w:rFonts w:hint="eastAsia" w:ascii="Times New Roman"/>
                <w:sz w:val="21"/>
                <w:szCs w:val="21"/>
              </w:rPr>
              <w:t>自带滤筒除尘器+20m高排气筒（DA010）</w:t>
            </w:r>
          </w:p>
        </w:tc>
        <w:tc>
          <w:tcPr>
            <w:tcW w:w="534" w:type="pct"/>
            <w:vAlign w:val="center"/>
          </w:tcPr>
          <w:p w14:paraId="11365B70">
            <w:pPr>
              <w:spacing w:line="280" w:lineRule="exact"/>
              <w:jc w:val="center"/>
              <w:rPr>
                <w:rFonts w:ascii="Times New Roman"/>
                <w:sz w:val="21"/>
                <w:szCs w:val="21"/>
              </w:rPr>
            </w:pPr>
            <w:r>
              <w:rPr>
                <w:rFonts w:hint="eastAsia" w:ascii="Times New Roman"/>
                <w:sz w:val="21"/>
                <w:szCs w:val="21"/>
              </w:rPr>
              <w:t>滤筒除尘器处理效率99%</w:t>
            </w:r>
          </w:p>
        </w:tc>
        <w:tc>
          <w:tcPr>
            <w:tcW w:w="633" w:type="pct"/>
            <w:vAlign w:val="center"/>
          </w:tcPr>
          <w:p w14:paraId="34B1C795">
            <w:pPr>
              <w:spacing w:line="280" w:lineRule="exact"/>
              <w:jc w:val="center"/>
              <w:rPr>
                <w:rFonts w:ascii="Times New Roman"/>
                <w:sz w:val="21"/>
                <w:szCs w:val="21"/>
              </w:rPr>
            </w:pPr>
            <w:r>
              <w:rPr>
                <w:rFonts w:hint="eastAsia" w:ascii="Times New Roman"/>
                <w:sz w:val="21"/>
                <w:szCs w:val="21"/>
              </w:rPr>
              <w:t>10000</w:t>
            </w:r>
          </w:p>
        </w:tc>
        <w:tc>
          <w:tcPr>
            <w:tcW w:w="540" w:type="pct"/>
            <w:vAlign w:val="center"/>
          </w:tcPr>
          <w:p w14:paraId="0C45C809">
            <w:pPr>
              <w:spacing w:line="280" w:lineRule="exact"/>
              <w:jc w:val="center"/>
              <w:rPr>
                <w:rFonts w:ascii="Times New Roman"/>
                <w:sz w:val="21"/>
                <w:szCs w:val="21"/>
              </w:rPr>
            </w:pPr>
            <w:r>
              <w:rPr>
                <w:rFonts w:hint="eastAsia" w:ascii="Times New Roman"/>
                <w:sz w:val="21"/>
                <w:szCs w:val="21"/>
              </w:rPr>
              <w:t>DA010</w:t>
            </w:r>
          </w:p>
        </w:tc>
        <w:tc>
          <w:tcPr>
            <w:tcW w:w="672" w:type="pct"/>
            <w:vAlign w:val="center"/>
          </w:tcPr>
          <w:p w14:paraId="14347F5A">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21F5DA60">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0.4</w:t>
            </w:r>
            <w:r>
              <w:rPr>
                <w:rFonts w:ascii="Times New Roman"/>
                <w:sz w:val="21"/>
                <w:szCs w:val="21"/>
              </w:rPr>
              <w:t>m</w:t>
            </w:r>
          </w:p>
        </w:tc>
      </w:tr>
      <w:tr w14:paraId="0E55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70" w:type="pct"/>
            <w:vMerge w:val="continue"/>
            <w:vAlign w:val="center"/>
          </w:tcPr>
          <w:p w14:paraId="2F5A0206">
            <w:pPr>
              <w:spacing w:line="280" w:lineRule="exact"/>
              <w:jc w:val="center"/>
              <w:rPr>
                <w:rFonts w:ascii="Times New Roman"/>
                <w:sz w:val="21"/>
                <w:szCs w:val="21"/>
              </w:rPr>
            </w:pPr>
          </w:p>
        </w:tc>
        <w:tc>
          <w:tcPr>
            <w:tcW w:w="596" w:type="pct"/>
            <w:vMerge w:val="continue"/>
            <w:shd w:val="clear" w:color="auto" w:fill="auto"/>
            <w:noWrap/>
            <w:vAlign w:val="center"/>
          </w:tcPr>
          <w:p w14:paraId="16E6D014">
            <w:pPr>
              <w:spacing w:line="280" w:lineRule="exact"/>
              <w:jc w:val="center"/>
              <w:rPr>
                <w:rFonts w:ascii="Times New Roman"/>
                <w:sz w:val="21"/>
                <w:szCs w:val="21"/>
              </w:rPr>
            </w:pPr>
          </w:p>
        </w:tc>
        <w:tc>
          <w:tcPr>
            <w:tcW w:w="586" w:type="pct"/>
            <w:vAlign w:val="center"/>
          </w:tcPr>
          <w:p w14:paraId="7E51A455">
            <w:pPr>
              <w:spacing w:line="280" w:lineRule="exact"/>
              <w:jc w:val="center"/>
              <w:rPr>
                <w:rFonts w:ascii="Times New Roman"/>
                <w:sz w:val="21"/>
                <w:szCs w:val="21"/>
              </w:rPr>
            </w:pPr>
            <w:r>
              <w:rPr>
                <w:rFonts w:hint="eastAsia" w:ascii="Times New Roman"/>
                <w:sz w:val="21"/>
                <w:szCs w:val="21"/>
              </w:rPr>
              <w:t>喷塑固化</w:t>
            </w:r>
          </w:p>
        </w:tc>
        <w:tc>
          <w:tcPr>
            <w:tcW w:w="1165" w:type="pct"/>
            <w:vAlign w:val="center"/>
          </w:tcPr>
          <w:p w14:paraId="5B44807B">
            <w:pPr>
              <w:spacing w:line="280" w:lineRule="exact"/>
              <w:jc w:val="center"/>
              <w:rPr>
                <w:rFonts w:ascii="Times New Roman"/>
                <w:sz w:val="21"/>
                <w:szCs w:val="21"/>
              </w:rPr>
            </w:pPr>
            <w:r>
              <w:rPr>
                <w:rFonts w:hint="eastAsia" w:ascii="Times New Roman"/>
                <w:sz w:val="21"/>
                <w:szCs w:val="21"/>
              </w:rPr>
              <w:t>负压收集+二级活性炭吸附装置+20m高排气筒（DA011）</w:t>
            </w:r>
          </w:p>
        </w:tc>
        <w:tc>
          <w:tcPr>
            <w:tcW w:w="534" w:type="pct"/>
            <w:vAlign w:val="center"/>
          </w:tcPr>
          <w:p w14:paraId="04F756C7">
            <w:pPr>
              <w:spacing w:line="280" w:lineRule="exact"/>
              <w:jc w:val="center"/>
              <w:rPr>
                <w:rFonts w:ascii="Times New Roman"/>
                <w:sz w:val="21"/>
                <w:szCs w:val="21"/>
              </w:rPr>
            </w:pPr>
            <w:r>
              <w:rPr>
                <w:rFonts w:hint="eastAsia" w:ascii="Times New Roman"/>
                <w:sz w:val="21"/>
                <w:szCs w:val="21"/>
              </w:rPr>
              <w:t>二级活性炭吸附效率70%</w:t>
            </w:r>
          </w:p>
        </w:tc>
        <w:tc>
          <w:tcPr>
            <w:tcW w:w="633" w:type="pct"/>
            <w:vAlign w:val="center"/>
          </w:tcPr>
          <w:p w14:paraId="2CA8BC19">
            <w:pPr>
              <w:spacing w:line="280" w:lineRule="exact"/>
              <w:jc w:val="center"/>
              <w:rPr>
                <w:rFonts w:ascii="Times New Roman"/>
                <w:sz w:val="21"/>
                <w:szCs w:val="21"/>
              </w:rPr>
            </w:pPr>
            <w:r>
              <w:rPr>
                <w:rFonts w:hint="eastAsia" w:ascii="Times New Roman"/>
                <w:sz w:val="21"/>
                <w:szCs w:val="21"/>
              </w:rPr>
              <w:t>8000</w:t>
            </w:r>
          </w:p>
        </w:tc>
        <w:tc>
          <w:tcPr>
            <w:tcW w:w="540" w:type="pct"/>
            <w:vAlign w:val="center"/>
          </w:tcPr>
          <w:p w14:paraId="6BF1AB94">
            <w:pPr>
              <w:spacing w:line="280" w:lineRule="exact"/>
              <w:jc w:val="center"/>
              <w:rPr>
                <w:rFonts w:ascii="Times New Roman"/>
                <w:sz w:val="21"/>
                <w:szCs w:val="21"/>
              </w:rPr>
            </w:pPr>
            <w:r>
              <w:rPr>
                <w:rFonts w:hint="eastAsia" w:ascii="Times New Roman"/>
                <w:sz w:val="21"/>
                <w:szCs w:val="21"/>
              </w:rPr>
              <w:t>DA011</w:t>
            </w:r>
          </w:p>
        </w:tc>
        <w:tc>
          <w:tcPr>
            <w:tcW w:w="672" w:type="pct"/>
            <w:vAlign w:val="center"/>
          </w:tcPr>
          <w:p w14:paraId="7C1F6669">
            <w:pPr>
              <w:spacing w:line="280" w:lineRule="exact"/>
              <w:jc w:val="center"/>
              <w:rPr>
                <w:rFonts w:ascii="Times New Roman"/>
                <w:sz w:val="21"/>
                <w:szCs w:val="21"/>
              </w:rPr>
            </w:pPr>
            <w:r>
              <w:rPr>
                <w:rFonts w:hint="eastAsia" w:ascii="Times New Roman"/>
                <w:sz w:val="21"/>
                <w:szCs w:val="21"/>
              </w:rPr>
              <w:t>高20m</w:t>
            </w:r>
            <w:r>
              <w:rPr>
                <w:rFonts w:ascii="Times New Roman"/>
                <w:sz w:val="21"/>
                <w:szCs w:val="21"/>
              </w:rPr>
              <w:t>，</w:t>
            </w:r>
          </w:p>
          <w:p w14:paraId="16BEFF8E">
            <w:pPr>
              <w:spacing w:line="280" w:lineRule="exact"/>
              <w:jc w:val="center"/>
              <w:rPr>
                <w:rFonts w:ascii="Times New Roman"/>
                <w:sz w:val="21"/>
                <w:szCs w:val="21"/>
              </w:rPr>
            </w:pPr>
            <w:r>
              <w:rPr>
                <w:rFonts w:ascii="Times New Roman"/>
                <w:sz w:val="21"/>
                <w:szCs w:val="21"/>
              </w:rPr>
              <w:t>直径</w:t>
            </w:r>
            <w:r>
              <w:rPr>
                <w:rFonts w:hint="eastAsia" w:ascii="Times New Roman"/>
                <w:sz w:val="21"/>
                <w:szCs w:val="21"/>
              </w:rPr>
              <w:t>0.3</w:t>
            </w:r>
            <w:r>
              <w:rPr>
                <w:rFonts w:ascii="Times New Roman"/>
                <w:sz w:val="21"/>
                <w:szCs w:val="21"/>
              </w:rPr>
              <w:t>m</w:t>
            </w:r>
          </w:p>
        </w:tc>
      </w:tr>
      <w:tr w14:paraId="3007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0" w:type="pct"/>
            <w:vMerge w:val="continue"/>
            <w:vAlign w:val="center"/>
          </w:tcPr>
          <w:p w14:paraId="1F54091D">
            <w:pPr>
              <w:spacing w:line="280" w:lineRule="exact"/>
              <w:jc w:val="center"/>
              <w:rPr>
                <w:rFonts w:ascii="Times New Roman"/>
                <w:sz w:val="21"/>
                <w:szCs w:val="21"/>
              </w:rPr>
            </w:pPr>
          </w:p>
        </w:tc>
        <w:tc>
          <w:tcPr>
            <w:tcW w:w="596" w:type="pct"/>
            <w:shd w:val="clear" w:color="auto" w:fill="auto"/>
            <w:noWrap/>
            <w:vAlign w:val="center"/>
          </w:tcPr>
          <w:p w14:paraId="39DA1408">
            <w:pPr>
              <w:spacing w:line="280" w:lineRule="exact"/>
              <w:jc w:val="center"/>
              <w:rPr>
                <w:rFonts w:ascii="Times New Roman"/>
                <w:sz w:val="21"/>
                <w:szCs w:val="21"/>
              </w:rPr>
            </w:pPr>
            <w:r>
              <w:rPr>
                <w:rFonts w:hint="eastAsia" w:ascii="Times New Roman"/>
                <w:sz w:val="21"/>
                <w:szCs w:val="21"/>
              </w:rPr>
              <w:t>食堂</w:t>
            </w:r>
          </w:p>
        </w:tc>
        <w:tc>
          <w:tcPr>
            <w:tcW w:w="586" w:type="pct"/>
            <w:vAlign w:val="center"/>
          </w:tcPr>
          <w:p w14:paraId="34DC1B73">
            <w:pPr>
              <w:spacing w:line="280" w:lineRule="exact"/>
              <w:jc w:val="center"/>
              <w:rPr>
                <w:rFonts w:ascii="Times New Roman"/>
                <w:sz w:val="21"/>
                <w:szCs w:val="21"/>
              </w:rPr>
            </w:pPr>
            <w:r>
              <w:rPr>
                <w:rFonts w:hint="eastAsia" w:ascii="Times New Roman"/>
                <w:sz w:val="21"/>
                <w:szCs w:val="21"/>
              </w:rPr>
              <w:t>食堂油烟</w:t>
            </w:r>
          </w:p>
        </w:tc>
        <w:tc>
          <w:tcPr>
            <w:tcW w:w="1165" w:type="pct"/>
            <w:vAlign w:val="center"/>
          </w:tcPr>
          <w:p w14:paraId="59B55AB8">
            <w:pPr>
              <w:spacing w:line="280" w:lineRule="exact"/>
              <w:jc w:val="center"/>
              <w:rPr>
                <w:rFonts w:ascii="Times New Roman"/>
                <w:sz w:val="21"/>
                <w:szCs w:val="21"/>
              </w:rPr>
            </w:pPr>
            <w:r>
              <w:rPr>
                <w:rFonts w:ascii="Times New Roman"/>
                <w:sz w:val="21"/>
                <w:szCs w:val="21"/>
              </w:rPr>
              <w:t>油烟净化器+</w:t>
            </w:r>
            <w:r>
              <w:rPr>
                <w:rFonts w:hint="eastAsia" w:ascii="Times New Roman"/>
                <w:sz w:val="21"/>
                <w:szCs w:val="21"/>
              </w:rPr>
              <w:t>专用烟道</w:t>
            </w:r>
            <w:r>
              <w:rPr>
                <w:rFonts w:ascii="Times New Roman"/>
                <w:sz w:val="21"/>
                <w:szCs w:val="21"/>
              </w:rPr>
              <w:t>排放</w:t>
            </w:r>
            <w:r>
              <w:rPr>
                <w:rFonts w:hint="eastAsia" w:ascii="Times New Roman"/>
                <w:sz w:val="21"/>
                <w:szCs w:val="21"/>
              </w:rPr>
              <w:t>（DA012）</w:t>
            </w:r>
          </w:p>
        </w:tc>
        <w:tc>
          <w:tcPr>
            <w:tcW w:w="534" w:type="pct"/>
            <w:vAlign w:val="center"/>
          </w:tcPr>
          <w:p w14:paraId="2B18898D">
            <w:pPr>
              <w:spacing w:line="260" w:lineRule="exact"/>
              <w:jc w:val="center"/>
              <w:rPr>
                <w:rFonts w:ascii="Times New Roman"/>
                <w:sz w:val="21"/>
                <w:szCs w:val="21"/>
              </w:rPr>
            </w:pPr>
            <w:r>
              <w:rPr>
                <w:rFonts w:hint="eastAsia" w:ascii="Times New Roman"/>
                <w:sz w:val="21"/>
                <w:szCs w:val="21"/>
              </w:rPr>
              <w:t>油烟净化器效率75%</w:t>
            </w:r>
          </w:p>
        </w:tc>
        <w:tc>
          <w:tcPr>
            <w:tcW w:w="633" w:type="pct"/>
            <w:vAlign w:val="center"/>
          </w:tcPr>
          <w:p w14:paraId="15600CDF">
            <w:pPr>
              <w:spacing w:line="280" w:lineRule="exact"/>
              <w:jc w:val="center"/>
              <w:rPr>
                <w:rFonts w:ascii="Times New Roman"/>
                <w:sz w:val="21"/>
                <w:szCs w:val="21"/>
              </w:rPr>
            </w:pPr>
            <w:r>
              <w:rPr>
                <w:rFonts w:hint="eastAsia" w:ascii="Times New Roman"/>
                <w:sz w:val="21"/>
                <w:szCs w:val="21"/>
              </w:rPr>
              <w:t>6000</w:t>
            </w:r>
          </w:p>
        </w:tc>
        <w:tc>
          <w:tcPr>
            <w:tcW w:w="540" w:type="pct"/>
            <w:vAlign w:val="center"/>
          </w:tcPr>
          <w:p w14:paraId="2EA8D50C">
            <w:pPr>
              <w:spacing w:line="280" w:lineRule="exact"/>
              <w:jc w:val="center"/>
              <w:rPr>
                <w:rFonts w:ascii="Times New Roman"/>
                <w:sz w:val="21"/>
                <w:szCs w:val="21"/>
              </w:rPr>
            </w:pPr>
            <w:r>
              <w:rPr>
                <w:rFonts w:ascii="Times New Roman"/>
                <w:sz w:val="21"/>
                <w:szCs w:val="21"/>
              </w:rPr>
              <w:t>DA0</w:t>
            </w:r>
            <w:r>
              <w:rPr>
                <w:rFonts w:hint="eastAsia" w:ascii="Times New Roman"/>
                <w:sz w:val="21"/>
                <w:szCs w:val="21"/>
              </w:rPr>
              <w:t>12</w:t>
            </w:r>
          </w:p>
        </w:tc>
        <w:tc>
          <w:tcPr>
            <w:tcW w:w="672" w:type="pct"/>
            <w:vAlign w:val="center"/>
          </w:tcPr>
          <w:p w14:paraId="403A41D3">
            <w:pPr>
              <w:spacing w:line="280" w:lineRule="exact"/>
              <w:jc w:val="center"/>
              <w:rPr>
                <w:rFonts w:ascii="Times New Roman"/>
                <w:sz w:val="21"/>
                <w:szCs w:val="21"/>
              </w:rPr>
            </w:pPr>
            <w:r>
              <w:rPr>
                <w:rFonts w:hint="eastAsia" w:ascii="Times New Roman"/>
                <w:sz w:val="21"/>
                <w:szCs w:val="21"/>
              </w:rPr>
              <w:t>高15m</w:t>
            </w:r>
            <w:r>
              <w:rPr>
                <w:rFonts w:ascii="Times New Roman"/>
                <w:sz w:val="21"/>
                <w:szCs w:val="21"/>
              </w:rPr>
              <w:t>，</w:t>
            </w:r>
          </w:p>
          <w:p w14:paraId="4045D59C">
            <w:pPr>
              <w:spacing w:line="280" w:lineRule="exact"/>
              <w:jc w:val="center"/>
              <w:rPr>
                <w:rFonts w:ascii="Times New Roman"/>
                <w:sz w:val="18"/>
                <w:szCs w:val="21"/>
              </w:rPr>
            </w:pPr>
            <w:r>
              <w:rPr>
                <w:rFonts w:ascii="Times New Roman"/>
                <w:sz w:val="21"/>
                <w:szCs w:val="21"/>
              </w:rPr>
              <w:t>直径</w:t>
            </w:r>
            <w:r>
              <w:rPr>
                <w:rFonts w:hint="eastAsia" w:ascii="Times New Roman"/>
                <w:sz w:val="21"/>
                <w:szCs w:val="21"/>
              </w:rPr>
              <w:t>0.4</w:t>
            </w:r>
            <w:r>
              <w:rPr>
                <w:rFonts w:ascii="Times New Roman"/>
                <w:sz w:val="21"/>
                <w:szCs w:val="21"/>
              </w:rPr>
              <w:t>m</w:t>
            </w:r>
          </w:p>
        </w:tc>
      </w:tr>
    </w:tbl>
    <w:p w14:paraId="41445814">
      <w:pPr>
        <w:spacing w:line="480" w:lineRule="exact"/>
        <w:jc w:val="center"/>
        <w:rPr>
          <w:rFonts w:ascii="Times New Roman"/>
          <w:b/>
          <w:sz w:val="24"/>
          <w:szCs w:val="20"/>
        </w:rPr>
      </w:pPr>
      <w:r>
        <w:rPr>
          <w:rFonts w:ascii="Times New Roman"/>
          <w:b/>
          <w:sz w:val="24"/>
          <w:szCs w:val="20"/>
        </w:rPr>
        <w:t>表8.4-3 污染源排放清单-执行标准</w:t>
      </w:r>
    </w:p>
    <w:tbl>
      <w:tblPr>
        <w:tblStyle w:val="84"/>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4"/>
        <w:gridCol w:w="979"/>
        <w:gridCol w:w="446"/>
        <w:gridCol w:w="745"/>
        <w:gridCol w:w="789"/>
        <w:gridCol w:w="835"/>
        <w:gridCol w:w="3705"/>
      </w:tblGrid>
      <w:tr w14:paraId="4E20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Align w:val="center"/>
          </w:tcPr>
          <w:p w14:paraId="658D6DD7">
            <w:pPr>
              <w:jc w:val="center"/>
              <w:rPr>
                <w:rFonts w:ascii="Times New Roman"/>
                <w:bCs/>
                <w:sz w:val="21"/>
                <w:szCs w:val="21"/>
              </w:rPr>
            </w:pPr>
            <w:r>
              <w:rPr>
                <w:rFonts w:ascii="Times New Roman"/>
                <w:bCs/>
                <w:sz w:val="21"/>
                <w:szCs w:val="21"/>
              </w:rPr>
              <w:t>类型</w:t>
            </w:r>
          </w:p>
        </w:tc>
        <w:tc>
          <w:tcPr>
            <w:tcW w:w="1299" w:type="pct"/>
            <w:gridSpan w:val="3"/>
            <w:vAlign w:val="center"/>
          </w:tcPr>
          <w:p w14:paraId="4F390F03">
            <w:pPr>
              <w:jc w:val="center"/>
              <w:rPr>
                <w:rFonts w:ascii="Times New Roman"/>
                <w:bCs/>
                <w:sz w:val="21"/>
                <w:szCs w:val="21"/>
              </w:rPr>
            </w:pPr>
            <w:r>
              <w:rPr>
                <w:rFonts w:ascii="Times New Roman"/>
                <w:bCs/>
                <w:sz w:val="21"/>
                <w:szCs w:val="21"/>
              </w:rPr>
              <w:t>污染物</w:t>
            </w:r>
          </w:p>
        </w:tc>
        <w:tc>
          <w:tcPr>
            <w:tcW w:w="472" w:type="pct"/>
            <w:vAlign w:val="center"/>
          </w:tcPr>
          <w:p w14:paraId="4DD68BD9">
            <w:pPr>
              <w:jc w:val="center"/>
              <w:rPr>
                <w:rFonts w:ascii="Times New Roman"/>
                <w:bCs/>
                <w:sz w:val="21"/>
                <w:szCs w:val="21"/>
              </w:rPr>
            </w:pPr>
            <w:r>
              <w:rPr>
                <w:rFonts w:ascii="Times New Roman"/>
                <w:bCs/>
                <w:sz w:val="21"/>
                <w:szCs w:val="21"/>
              </w:rPr>
              <w:t>标准值</w:t>
            </w:r>
          </w:p>
        </w:tc>
        <w:tc>
          <w:tcPr>
            <w:tcW w:w="499" w:type="pct"/>
            <w:vAlign w:val="center"/>
          </w:tcPr>
          <w:p w14:paraId="2B3250AC">
            <w:pPr>
              <w:jc w:val="center"/>
              <w:rPr>
                <w:rFonts w:ascii="Times New Roman"/>
                <w:bCs/>
                <w:sz w:val="21"/>
                <w:szCs w:val="21"/>
              </w:rPr>
            </w:pPr>
            <w:r>
              <w:rPr>
                <w:rFonts w:ascii="Times New Roman"/>
                <w:bCs/>
                <w:sz w:val="21"/>
                <w:szCs w:val="21"/>
              </w:rPr>
              <w:t>单位</w:t>
            </w:r>
          </w:p>
        </w:tc>
        <w:tc>
          <w:tcPr>
            <w:tcW w:w="2216" w:type="pct"/>
            <w:vAlign w:val="center"/>
          </w:tcPr>
          <w:p w14:paraId="38FF423F">
            <w:pPr>
              <w:jc w:val="center"/>
              <w:rPr>
                <w:rFonts w:ascii="Times New Roman"/>
                <w:bCs/>
                <w:sz w:val="21"/>
                <w:szCs w:val="21"/>
              </w:rPr>
            </w:pPr>
            <w:r>
              <w:rPr>
                <w:rFonts w:ascii="Times New Roman"/>
                <w:bCs/>
                <w:sz w:val="21"/>
                <w:szCs w:val="21"/>
              </w:rPr>
              <w:t>标准来源</w:t>
            </w:r>
          </w:p>
        </w:tc>
      </w:tr>
      <w:tr w14:paraId="6B3C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11" w:type="pct"/>
            <w:vAlign w:val="center"/>
          </w:tcPr>
          <w:p w14:paraId="6A45E4A9">
            <w:pPr>
              <w:jc w:val="center"/>
              <w:rPr>
                <w:rFonts w:ascii="Times New Roman"/>
                <w:bCs/>
                <w:sz w:val="21"/>
                <w:szCs w:val="21"/>
              </w:rPr>
            </w:pPr>
            <w:r>
              <w:rPr>
                <w:rFonts w:hint="eastAsia" w:ascii="Times New Roman"/>
                <w:bCs/>
                <w:sz w:val="21"/>
                <w:szCs w:val="21"/>
              </w:rPr>
              <w:t>DA001</w:t>
            </w:r>
          </w:p>
        </w:tc>
        <w:tc>
          <w:tcPr>
            <w:tcW w:w="586" w:type="pct"/>
            <w:vAlign w:val="center"/>
          </w:tcPr>
          <w:p w14:paraId="697F26E5">
            <w:pPr>
              <w:jc w:val="center"/>
              <w:rPr>
                <w:rFonts w:ascii="Times New Roman"/>
                <w:bCs/>
                <w:sz w:val="21"/>
                <w:szCs w:val="21"/>
              </w:rPr>
            </w:pPr>
            <w:r>
              <w:rPr>
                <w:rFonts w:ascii="Times New Roman"/>
                <w:bCs/>
                <w:sz w:val="21"/>
                <w:szCs w:val="21"/>
              </w:rPr>
              <w:t>颗粒物</w:t>
            </w:r>
          </w:p>
        </w:tc>
        <w:tc>
          <w:tcPr>
            <w:tcW w:w="713" w:type="pct"/>
            <w:gridSpan w:val="2"/>
            <w:vAlign w:val="center"/>
          </w:tcPr>
          <w:p w14:paraId="38653326">
            <w:pPr>
              <w:jc w:val="center"/>
              <w:rPr>
                <w:rFonts w:ascii="Times New Roman"/>
                <w:bCs/>
                <w:sz w:val="21"/>
                <w:szCs w:val="21"/>
              </w:rPr>
            </w:pPr>
            <w:r>
              <w:rPr>
                <w:rFonts w:ascii="Times New Roman"/>
                <w:bCs/>
                <w:sz w:val="21"/>
                <w:szCs w:val="21"/>
              </w:rPr>
              <w:t>排放浓度</w:t>
            </w:r>
          </w:p>
        </w:tc>
        <w:tc>
          <w:tcPr>
            <w:tcW w:w="472" w:type="pct"/>
            <w:vAlign w:val="center"/>
          </w:tcPr>
          <w:p w14:paraId="610ADFC7">
            <w:pPr>
              <w:jc w:val="center"/>
              <w:rPr>
                <w:rFonts w:ascii="Times New Roman"/>
                <w:bCs/>
                <w:sz w:val="21"/>
                <w:szCs w:val="21"/>
              </w:rPr>
            </w:pPr>
            <w:r>
              <w:rPr>
                <w:rFonts w:ascii="Times New Roman"/>
                <w:bCs/>
                <w:sz w:val="21"/>
                <w:szCs w:val="21"/>
              </w:rPr>
              <w:t>10</w:t>
            </w:r>
          </w:p>
        </w:tc>
        <w:tc>
          <w:tcPr>
            <w:tcW w:w="499" w:type="pct"/>
            <w:vAlign w:val="center"/>
          </w:tcPr>
          <w:p w14:paraId="511E1FC4">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Align w:val="center"/>
          </w:tcPr>
          <w:p w14:paraId="7FAC5A4B">
            <w:pPr>
              <w:jc w:val="center"/>
              <w:rPr>
                <w:rFonts w:ascii="Times New Roman"/>
                <w:bCs/>
                <w:sz w:val="21"/>
                <w:szCs w:val="21"/>
              </w:rPr>
            </w:pPr>
            <w:r>
              <w:rPr>
                <w:rFonts w:ascii="Times New Roman"/>
                <w:sz w:val="21"/>
                <w:szCs w:val="21"/>
              </w:rPr>
              <w:t>《钢铁工业大气污染物超低排放标准》（</w:t>
            </w:r>
            <w:r>
              <w:rPr>
                <w:rFonts w:hint="eastAsia" w:ascii="Times New Roman"/>
                <w:sz w:val="21"/>
                <w:szCs w:val="21"/>
              </w:rPr>
              <w:t>DB13/2169</w:t>
            </w:r>
            <w:r>
              <w:rPr>
                <w:rFonts w:ascii="Times New Roman"/>
                <w:sz w:val="21"/>
                <w:szCs w:val="21"/>
              </w:rPr>
              <w:t>-2018）表1轧钢“热处理炉、拉矫、精整、抛丸、修磨、焊接机及其他生产设施”排放限值要求</w:t>
            </w:r>
          </w:p>
        </w:tc>
      </w:tr>
      <w:tr w14:paraId="7A96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11" w:type="pct"/>
            <w:vAlign w:val="center"/>
          </w:tcPr>
          <w:p w14:paraId="3F8B3B3A">
            <w:pPr>
              <w:jc w:val="center"/>
              <w:rPr>
                <w:rFonts w:ascii="Times New Roman"/>
                <w:bCs/>
                <w:sz w:val="21"/>
                <w:szCs w:val="21"/>
              </w:rPr>
            </w:pPr>
            <w:r>
              <w:rPr>
                <w:rFonts w:hint="eastAsia" w:ascii="Times New Roman"/>
                <w:bCs/>
                <w:sz w:val="21"/>
                <w:szCs w:val="21"/>
              </w:rPr>
              <w:t>DA002-</w:t>
            </w:r>
          </w:p>
          <w:p w14:paraId="10D38D25">
            <w:pPr>
              <w:jc w:val="center"/>
              <w:rPr>
                <w:rFonts w:ascii="Times New Roman"/>
                <w:bCs/>
                <w:sz w:val="21"/>
                <w:szCs w:val="21"/>
              </w:rPr>
            </w:pPr>
            <w:r>
              <w:rPr>
                <w:rFonts w:hint="eastAsia" w:ascii="Times New Roman"/>
                <w:bCs/>
                <w:sz w:val="21"/>
                <w:szCs w:val="21"/>
              </w:rPr>
              <w:t>DA004</w:t>
            </w:r>
          </w:p>
        </w:tc>
        <w:tc>
          <w:tcPr>
            <w:tcW w:w="586" w:type="pct"/>
            <w:vAlign w:val="center"/>
          </w:tcPr>
          <w:p w14:paraId="210BC3B3">
            <w:pPr>
              <w:jc w:val="center"/>
              <w:rPr>
                <w:rFonts w:ascii="Times New Roman"/>
                <w:bCs/>
                <w:sz w:val="21"/>
                <w:szCs w:val="21"/>
              </w:rPr>
            </w:pPr>
            <w:r>
              <w:rPr>
                <w:rFonts w:hint="eastAsia" w:ascii="Times New Roman"/>
                <w:bCs/>
                <w:sz w:val="21"/>
                <w:szCs w:val="21"/>
              </w:rPr>
              <w:t>颗粒物</w:t>
            </w:r>
          </w:p>
        </w:tc>
        <w:tc>
          <w:tcPr>
            <w:tcW w:w="713" w:type="pct"/>
            <w:gridSpan w:val="2"/>
            <w:vAlign w:val="center"/>
          </w:tcPr>
          <w:p w14:paraId="35DE57F1">
            <w:pPr>
              <w:jc w:val="center"/>
              <w:rPr>
                <w:rFonts w:ascii="Times New Roman"/>
                <w:bCs/>
                <w:sz w:val="21"/>
                <w:szCs w:val="21"/>
              </w:rPr>
            </w:pPr>
            <w:r>
              <w:rPr>
                <w:rFonts w:ascii="Times New Roman"/>
                <w:bCs/>
                <w:sz w:val="21"/>
                <w:szCs w:val="21"/>
              </w:rPr>
              <w:t>排放浓度</w:t>
            </w:r>
          </w:p>
        </w:tc>
        <w:tc>
          <w:tcPr>
            <w:tcW w:w="472" w:type="pct"/>
            <w:vAlign w:val="center"/>
          </w:tcPr>
          <w:p w14:paraId="045BE47B">
            <w:pPr>
              <w:jc w:val="center"/>
              <w:rPr>
                <w:rFonts w:ascii="Times New Roman"/>
                <w:bCs/>
                <w:sz w:val="21"/>
                <w:szCs w:val="21"/>
              </w:rPr>
            </w:pPr>
            <w:r>
              <w:rPr>
                <w:rFonts w:ascii="Times New Roman"/>
                <w:bCs/>
                <w:sz w:val="21"/>
                <w:szCs w:val="21"/>
              </w:rPr>
              <w:t>10</w:t>
            </w:r>
          </w:p>
        </w:tc>
        <w:tc>
          <w:tcPr>
            <w:tcW w:w="499" w:type="pct"/>
            <w:vAlign w:val="center"/>
          </w:tcPr>
          <w:p w14:paraId="6E79E312">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Align w:val="center"/>
          </w:tcPr>
          <w:p w14:paraId="5BE5E993">
            <w:pPr>
              <w:jc w:val="center"/>
              <w:rPr>
                <w:rFonts w:ascii="Times New Roman"/>
                <w:sz w:val="21"/>
                <w:szCs w:val="21"/>
              </w:rPr>
            </w:pPr>
            <w:r>
              <w:rPr>
                <w:rFonts w:ascii="Times New Roman"/>
                <w:sz w:val="21"/>
                <w:szCs w:val="21"/>
              </w:rPr>
              <w:t>《钢铁工业大气污染物超低排放标准》（DB13/2169-2018）表1轧钢“热处理炉、拉矫、精整、抛丸、修磨、焊接机及其他生产设施”排放限值要求</w:t>
            </w:r>
            <w:r>
              <w:rPr>
                <w:rFonts w:hint="eastAsia" w:ascii="Times New Roman"/>
                <w:sz w:val="21"/>
                <w:szCs w:val="21"/>
              </w:rPr>
              <w:t>。</w:t>
            </w:r>
          </w:p>
        </w:tc>
      </w:tr>
      <w:tr w14:paraId="1753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511" w:type="pct"/>
            <w:vMerge w:val="restart"/>
            <w:vAlign w:val="center"/>
          </w:tcPr>
          <w:p w14:paraId="23844302">
            <w:pPr>
              <w:jc w:val="center"/>
              <w:rPr>
                <w:rFonts w:ascii="Times New Roman"/>
                <w:bCs/>
                <w:sz w:val="21"/>
                <w:szCs w:val="21"/>
              </w:rPr>
            </w:pPr>
            <w:r>
              <w:rPr>
                <w:rFonts w:hint="eastAsia" w:ascii="Times New Roman"/>
                <w:bCs/>
                <w:sz w:val="21"/>
                <w:szCs w:val="21"/>
              </w:rPr>
              <w:t>DA005</w:t>
            </w:r>
          </w:p>
        </w:tc>
        <w:tc>
          <w:tcPr>
            <w:tcW w:w="586" w:type="pct"/>
            <w:vAlign w:val="center"/>
          </w:tcPr>
          <w:p w14:paraId="2BE0073D">
            <w:pPr>
              <w:jc w:val="center"/>
              <w:rPr>
                <w:rFonts w:ascii="Times New Roman"/>
                <w:bCs/>
                <w:sz w:val="21"/>
                <w:szCs w:val="21"/>
              </w:rPr>
            </w:pPr>
            <w:r>
              <w:rPr>
                <w:rFonts w:ascii="Times New Roman"/>
                <w:bCs/>
                <w:sz w:val="21"/>
                <w:szCs w:val="21"/>
              </w:rPr>
              <w:t>颗粒物</w:t>
            </w:r>
          </w:p>
        </w:tc>
        <w:tc>
          <w:tcPr>
            <w:tcW w:w="713" w:type="pct"/>
            <w:gridSpan w:val="2"/>
            <w:vAlign w:val="center"/>
          </w:tcPr>
          <w:p w14:paraId="554C1EAE">
            <w:pPr>
              <w:jc w:val="center"/>
              <w:rPr>
                <w:rFonts w:ascii="Times New Roman"/>
                <w:bCs/>
                <w:sz w:val="21"/>
                <w:szCs w:val="21"/>
              </w:rPr>
            </w:pPr>
            <w:r>
              <w:rPr>
                <w:rFonts w:ascii="Times New Roman"/>
                <w:bCs/>
                <w:sz w:val="21"/>
                <w:szCs w:val="21"/>
              </w:rPr>
              <w:t>排放浓度</w:t>
            </w:r>
          </w:p>
        </w:tc>
        <w:tc>
          <w:tcPr>
            <w:tcW w:w="472" w:type="pct"/>
            <w:vAlign w:val="center"/>
          </w:tcPr>
          <w:p w14:paraId="6A81C7C9">
            <w:pPr>
              <w:jc w:val="center"/>
              <w:rPr>
                <w:rFonts w:ascii="Times New Roman"/>
                <w:bCs/>
                <w:sz w:val="21"/>
                <w:szCs w:val="21"/>
              </w:rPr>
            </w:pPr>
            <w:r>
              <w:rPr>
                <w:rFonts w:hint="eastAsia" w:ascii="Times New Roman"/>
                <w:bCs/>
                <w:sz w:val="21"/>
                <w:szCs w:val="21"/>
              </w:rPr>
              <w:t>30</w:t>
            </w:r>
          </w:p>
        </w:tc>
        <w:tc>
          <w:tcPr>
            <w:tcW w:w="499" w:type="pct"/>
            <w:vAlign w:val="center"/>
          </w:tcPr>
          <w:p w14:paraId="164A35E8">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32302DE5">
            <w:pPr>
              <w:jc w:val="center"/>
              <w:rPr>
                <w:rFonts w:ascii="Times New Roman"/>
                <w:bCs/>
                <w:sz w:val="21"/>
                <w:szCs w:val="21"/>
              </w:rPr>
            </w:pPr>
            <w:r>
              <w:rPr>
                <w:rFonts w:ascii="Times New Roman"/>
                <w:sz w:val="21"/>
                <w:szCs w:val="21"/>
              </w:rPr>
              <w:t>《工业炉窑大气污染物排放标准》（DB13/1640-2012）标准</w:t>
            </w:r>
            <w:r>
              <w:rPr>
                <w:rFonts w:hint="eastAsia" w:ascii="Times New Roman"/>
                <w:sz w:val="21"/>
                <w:szCs w:val="21"/>
              </w:rPr>
              <w:t>和</w:t>
            </w:r>
            <w:r>
              <w:rPr>
                <w:rFonts w:ascii="Times New Roman"/>
                <w:bCs/>
                <w:sz w:val="21"/>
                <w:szCs w:val="21"/>
              </w:rPr>
              <w:t>《关于印发&lt;工业炉窑大气污染综合治理方案&gt;的通知》（环大气[2019]56号）排放标准</w:t>
            </w:r>
          </w:p>
        </w:tc>
      </w:tr>
      <w:tr w14:paraId="673F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3FBBF4D7">
            <w:pPr>
              <w:jc w:val="center"/>
              <w:rPr>
                <w:rFonts w:ascii="Times New Roman"/>
                <w:bCs/>
                <w:sz w:val="21"/>
                <w:szCs w:val="21"/>
              </w:rPr>
            </w:pPr>
          </w:p>
        </w:tc>
        <w:tc>
          <w:tcPr>
            <w:tcW w:w="586" w:type="pct"/>
            <w:vAlign w:val="center"/>
          </w:tcPr>
          <w:p w14:paraId="2425E5E7">
            <w:pPr>
              <w:spacing w:line="320" w:lineRule="exact"/>
              <w:jc w:val="center"/>
              <w:rPr>
                <w:rFonts w:ascii="Times New Roman"/>
                <w:bCs/>
                <w:sz w:val="21"/>
                <w:szCs w:val="21"/>
              </w:rPr>
            </w:pPr>
            <w:r>
              <w:rPr>
                <w:rFonts w:hint="eastAsia" w:ascii="Times New Roman"/>
                <w:bCs/>
                <w:sz w:val="21"/>
                <w:szCs w:val="21"/>
              </w:rPr>
              <w:t>二氧化硫</w:t>
            </w:r>
          </w:p>
        </w:tc>
        <w:tc>
          <w:tcPr>
            <w:tcW w:w="713" w:type="pct"/>
            <w:gridSpan w:val="2"/>
            <w:vAlign w:val="center"/>
          </w:tcPr>
          <w:p w14:paraId="55E0626C">
            <w:pPr>
              <w:spacing w:line="320" w:lineRule="exact"/>
              <w:jc w:val="center"/>
              <w:rPr>
                <w:rFonts w:ascii="Times New Roman"/>
                <w:bCs/>
                <w:sz w:val="21"/>
                <w:szCs w:val="21"/>
              </w:rPr>
            </w:pPr>
            <w:r>
              <w:rPr>
                <w:rFonts w:ascii="Times New Roman"/>
                <w:bCs/>
                <w:sz w:val="21"/>
                <w:szCs w:val="21"/>
              </w:rPr>
              <w:t>排放浓度</w:t>
            </w:r>
          </w:p>
        </w:tc>
        <w:tc>
          <w:tcPr>
            <w:tcW w:w="472" w:type="pct"/>
            <w:vAlign w:val="center"/>
          </w:tcPr>
          <w:p w14:paraId="349546EC">
            <w:pPr>
              <w:spacing w:line="320" w:lineRule="exact"/>
              <w:jc w:val="center"/>
              <w:rPr>
                <w:rFonts w:ascii="Times New Roman"/>
                <w:bCs/>
                <w:sz w:val="21"/>
                <w:szCs w:val="21"/>
              </w:rPr>
            </w:pPr>
            <w:r>
              <w:rPr>
                <w:rFonts w:hint="eastAsia" w:ascii="Times New Roman"/>
                <w:bCs/>
                <w:sz w:val="21"/>
                <w:szCs w:val="21"/>
              </w:rPr>
              <w:t>200</w:t>
            </w:r>
          </w:p>
        </w:tc>
        <w:tc>
          <w:tcPr>
            <w:tcW w:w="499" w:type="pct"/>
            <w:vAlign w:val="center"/>
          </w:tcPr>
          <w:p w14:paraId="504E15B6">
            <w:pPr>
              <w:spacing w:line="320" w:lineRule="exact"/>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3951EDC7">
            <w:pPr>
              <w:jc w:val="center"/>
              <w:rPr>
                <w:rFonts w:ascii="Times New Roman"/>
                <w:bCs/>
                <w:sz w:val="21"/>
                <w:szCs w:val="21"/>
              </w:rPr>
            </w:pPr>
          </w:p>
        </w:tc>
      </w:tr>
      <w:tr w14:paraId="1F7C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continue"/>
            <w:vAlign w:val="center"/>
          </w:tcPr>
          <w:p w14:paraId="13A06C1D">
            <w:pPr>
              <w:jc w:val="center"/>
              <w:rPr>
                <w:rFonts w:ascii="Times New Roman"/>
                <w:bCs/>
                <w:sz w:val="21"/>
                <w:szCs w:val="21"/>
              </w:rPr>
            </w:pPr>
          </w:p>
        </w:tc>
        <w:tc>
          <w:tcPr>
            <w:tcW w:w="586" w:type="pct"/>
            <w:shd w:val="clear" w:color="auto" w:fill="auto"/>
            <w:vAlign w:val="center"/>
          </w:tcPr>
          <w:p w14:paraId="107CACF0">
            <w:pPr>
              <w:jc w:val="center"/>
              <w:rPr>
                <w:rFonts w:ascii="Times New Roman"/>
                <w:bCs/>
                <w:sz w:val="21"/>
                <w:szCs w:val="21"/>
              </w:rPr>
            </w:pPr>
            <w:r>
              <w:rPr>
                <w:rFonts w:hint="eastAsia" w:ascii="Times New Roman"/>
                <w:bCs/>
                <w:sz w:val="21"/>
                <w:szCs w:val="21"/>
              </w:rPr>
              <w:t>氮氧化物</w:t>
            </w:r>
          </w:p>
        </w:tc>
        <w:tc>
          <w:tcPr>
            <w:tcW w:w="713" w:type="pct"/>
            <w:gridSpan w:val="2"/>
            <w:shd w:val="clear" w:color="auto" w:fill="auto"/>
            <w:vAlign w:val="center"/>
          </w:tcPr>
          <w:p w14:paraId="23A6DF11">
            <w:pPr>
              <w:jc w:val="center"/>
              <w:rPr>
                <w:rFonts w:ascii="Times New Roman"/>
                <w:bCs/>
                <w:sz w:val="21"/>
                <w:szCs w:val="21"/>
              </w:rPr>
            </w:pPr>
            <w:r>
              <w:rPr>
                <w:rFonts w:ascii="Times New Roman"/>
                <w:bCs/>
                <w:sz w:val="21"/>
                <w:szCs w:val="21"/>
              </w:rPr>
              <w:t>排放浓度</w:t>
            </w:r>
          </w:p>
        </w:tc>
        <w:tc>
          <w:tcPr>
            <w:tcW w:w="472" w:type="pct"/>
            <w:shd w:val="clear" w:color="auto" w:fill="auto"/>
            <w:vAlign w:val="center"/>
          </w:tcPr>
          <w:p w14:paraId="35550F2D">
            <w:pPr>
              <w:jc w:val="center"/>
              <w:rPr>
                <w:rFonts w:ascii="Times New Roman"/>
                <w:bCs/>
                <w:sz w:val="21"/>
                <w:szCs w:val="21"/>
              </w:rPr>
            </w:pPr>
            <w:r>
              <w:rPr>
                <w:rFonts w:hint="eastAsia" w:ascii="Times New Roman"/>
                <w:bCs/>
                <w:sz w:val="21"/>
                <w:szCs w:val="21"/>
              </w:rPr>
              <w:t>300</w:t>
            </w:r>
          </w:p>
        </w:tc>
        <w:tc>
          <w:tcPr>
            <w:tcW w:w="499" w:type="pct"/>
            <w:shd w:val="clear" w:color="auto" w:fill="auto"/>
            <w:vAlign w:val="center"/>
          </w:tcPr>
          <w:p w14:paraId="01A76FD9">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7A02DA7D">
            <w:pPr>
              <w:jc w:val="center"/>
              <w:rPr>
                <w:rFonts w:ascii="Times New Roman"/>
                <w:bCs/>
                <w:sz w:val="21"/>
                <w:szCs w:val="21"/>
              </w:rPr>
            </w:pPr>
          </w:p>
        </w:tc>
      </w:tr>
      <w:tr w14:paraId="2B31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continue"/>
            <w:vAlign w:val="center"/>
          </w:tcPr>
          <w:p w14:paraId="32D689B5">
            <w:pPr>
              <w:jc w:val="center"/>
              <w:rPr>
                <w:rFonts w:ascii="Times New Roman"/>
                <w:bCs/>
                <w:sz w:val="21"/>
                <w:szCs w:val="21"/>
              </w:rPr>
            </w:pPr>
          </w:p>
        </w:tc>
        <w:tc>
          <w:tcPr>
            <w:tcW w:w="586" w:type="pct"/>
            <w:shd w:val="clear" w:color="auto" w:fill="auto"/>
            <w:vAlign w:val="center"/>
          </w:tcPr>
          <w:p w14:paraId="3FBBB0FF">
            <w:pPr>
              <w:jc w:val="center"/>
              <w:rPr>
                <w:rFonts w:ascii="Times New Roman"/>
                <w:bCs/>
                <w:sz w:val="21"/>
                <w:szCs w:val="21"/>
              </w:rPr>
            </w:pPr>
            <w:r>
              <w:rPr>
                <w:rFonts w:hint="eastAsia" w:ascii="Times New Roman"/>
                <w:bCs/>
                <w:sz w:val="21"/>
                <w:szCs w:val="21"/>
              </w:rPr>
              <w:t>烟气黑度</w:t>
            </w:r>
          </w:p>
        </w:tc>
        <w:tc>
          <w:tcPr>
            <w:tcW w:w="713" w:type="pct"/>
            <w:gridSpan w:val="2"/>
            <w:shd w:val="clear" w:color="auto" w:fill="auto"/>
            <w:vAlign w:val="center"/>
          </w:tcPr>
          <w:p w14:paraId="4172E573">
            <w:pPr>
              <w:jc w:val="center"/>
              <w:rPr>
                <w:rFonts w:ascii="Times New Roman"/>
                <w:bCs/>
                <w:sz w:val="21"/>
                <w:szCs w:val="21"/>
              </w:rPr>
            </w:pPr>
            <w:r>
              <w:rPr>
                <w:rFonts w:hint="eastAsia" w:ascii="Times New Roman"/>
                <w:bCs/>
                <w:sz w:val="21"/>
                <w:szCs w:val="21"/>
              </w:rPr>
              <w:t>/</w:t>
            </w:r>
          </w:p>
        </w:tc>
        <w:tc>
          <w:tcPr>
            <w:tcW w:w="472" w:type="pct"/>
            <w:shd w:val="clear" w:color="auto" w:fill="auto"/>
            <w:vAlign w:val="center"/>
          </w:tcPr>
          <w:p w14:paraId="3CDC6CAA">
            <w:pPr>
              <w:jc w:val="center"/>
              <w:rPr>
                <w:rFonts w:ascii="Times New Roman"/>
                <w:bCs/>
                <w:sz w:val="21"/>
                <w:szCs w:val="21"/>
              </w:rPr>
            </w:pPr>
            <w:r>
              <w:rPr>
                <w:rFonts w:hint="eastAsia" w:ascii="Times New Roman"/>
                <w:bCs/>
                <w:sz w:val="21"/>
                <w:szCs w:val="21"/>
              </w:rPr>
              <w:t>1</w:t>
            </w:r>
          </w:p>
        </w:tc>
        <w:tc>
          <w:tcPr>
            <w:tcW w:w="499" w:type="pct"/>
            <w:shd w:val="clear" w:color="auto" w:fill="auto"/>
            <w:vAlign w:val="center"/>
          </w:tcPr>
          <w:p w14:paraId="73D25A80">
            <w:pPr>
              <w:jc w:val="center"/>
              <w:rPr>
                <w:rFonts w:ascii="Times New Roman"/>
                <w:bCs/>
                <w:sz w:val="21"/>
                <w:szCs w:val="21"/>
              </w:rPr>
            </w:pPr>
            <w:r>
              <w:rPr>
                <w:rFonts w:ascii="Times New Roman"/>
                <w:bCs/>
                <w:sz w:val="21"/>
                <w:szCs w:val="21"/>
              </w:rPr>
              <w:t>林格曼黑度，级</w:t>
            </w:r>
          </w:p>
        </w:tc>
        <w:tc>
          <w:tcPr>
            <w:tcW w:w="2216" w:type="pct"/>
            <w:vMerge w:val="continue"/>
            <w:vAlign w:val="center"/>
          </w:tcPr>
          <w:p w14:paraId="7637D51C">
            <w:pPr>
              <w:jc w:val="center"/>
              <w:rPr>
                <w:rFonts w:ascii="Times New Roman"/>
                <w:bCs/>
                <w:sz w:val="21"/>
                <w:szCs w:val="21"/>
              </w:rPr>
            </w:pPr>
          </w:p>
        </w:tc>
      </w:tr>
      <w:tr w14:paraId="0DAC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restart"/>
            <w:vAlign w:val="center"/>
          </w:tcPr>
          <w:p w14:paraId="5B8C1930">
            <w:pPr>
              <w:jc w:val="center"/>
              <w:rPr>
                <w:rFonts w:ascii="Times New Roman"/>
                <w:bCs/>
                <w:sz w:val="21"/>
                <w:szCs w:val="21"/>
              </w:rPr>
            </w:pPr>
            <w:r>
              <w:rPr>
                <w:rFonts w:hint="eastAsia" w:ascii="Times New Roman"/>
                <w:bCs/>
                <w:sz w:val="21"/>
                <w:szCs w:val="21"/>
              </w:rPr>
              <w:t>DA006</w:t>
            </w:r>
          </w:p>
        </w:tc>
        <w:tc>
          <w:tcPr>
            <w:tcW w:w="586" w:type="pct"/>
            <w:vAlign w:val="center"/>
          </w:tcPr>
          <w:p w14:paraId="1256C3FC">
            <w:pPr>
              <w:jc w:val="center"/>
              <w:rPr>
                <w:rFonts w:ascii="Times New Roman"/>
                <w:bCs/>
                <w:sz w:val="21"/>
                <w:szCs w:val="21"/>
              </w:rPr>
            </w:pPr>
            <w:r>
              <w:rPr>
                <w:rFonts w:hint="eastAsia" w:ascii="Times New Roman"/>
                <w:bCs/>
                <w:sz w:val="21"/>
                <w:szCs w:val="21"/>
              </w:rPr>
              <w:t>油雾</w:t>
            </w:r>
          </w:p>
        </w:tc>
        <w:tc>
          <w:tcPr>
            <w:tcW w:w="713" w:type="pct"/>
            <w:gridSpan w:val="2"/>
            <w:vAlign w:val="center"/>
          </w:tcPr>
          <w:p w14:paraId="7FB81141">
            <w:pPr>
              <w:jc w:val="center"/>
              <w:rPr>
                <w:rFonts w:ascii="Times New Roman"/>
                <w:bCs/>
                <w:sz w:val="21"/>
                <w:szCs w:val="21"/>
              </w:rPr>
            </w:pPr>
            <w:r>
              <w:rPr>
                <w:rFonts w:ascii="Times New Roman"/>
                <w:bCs/>
                <w:sz w:val="21"/>
                <w:szCs w:val="21"/>
              </w:rPr>
              <w:t>排放浓度</w:t>
            </w:r>
          </w:p>
        </w:tc>
        <w:tc>
          <w:tcPr>
            <w:tcW w:w="472" w:type="pct"/>
            <w:vAlign w:val="center"/>
          </w:tcPr>
          <w:p w14:paraId="78EB990F">
            <w:pPr>
              <w:jc w:val="center"/>
              <w:rPr>
                <w:rFonts w:ascii="Times New Roman"/>
                <w:bCs/>
                <w:sz w:val="21"/>
                <w:szCs w:val="21"/>
              </w:rPr>
            </w:pPr>
            <w:r>
              <w:rPr>
                <w:rFonts w:hint="eastAsia" w:ascii="Times New Roman"/>
                <w:bCs/>
                <w:sz w:val="21"/>
                <w:szCs w:val="21"/>
              </w:rPr>
              <w:t>2</w:t>
            </w:r>
            <w:r>
              <w:rPr>
                <w:rFonts w:ascii="Times New Roman"/>
                <w:bCs/>
                <w:sz w:val="21"/>
                <w:szCs w:val="21"/>
              </w:rPr>
              <w:t>0</w:t>
            </w:r>
          </w:p>
        </w:tc>
        <w:tc>
          <w:tcPr>
            <w:tcW w:w="499" w:type="pct"/>
            <w:vAlign w:val="center"/>
          </w:tcPr>
          <w:p w14:paraId="03C65908">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Align w:val="center"/>
          </w:tcPr>
          <w:p w14:paraId="503E8E52">
            <w:pPr>
              <w:jc w:val="center"/>
              <w:rPr>
                <w:rFonts w:ascii="Times New Roman"/>
                <w:bCs/>
                <w:sz w:val="21"/>
                <w:szCs w:val="21"/>
              </w:rPr>
            </w:pPr>
            <w:r>
              <w:rPr>
                <w:rFonts w:ascii="Times New Roman"/>
                <w:sz w:val="21"/>
                <w:szCs w:val="21"/>
              </w:rPr>
              <w:t>《钢铁工业大气污染物超低排放标准》（DB13/2169-2018）表4中的排放浓度限值</w:t>
            </w:r>
          </w:p>
        </w:tc>
      </w:tr>
      <w:tr w14:paraId="3572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continue"/>
            <w:vAlign w:val="center"/>
          </w:tcPr>
          <w:p w14:paraId="37F4871A">
            <w:pPr>
              <w:jc w:val="center"/>
              <w:rPr>
                <w:rFonts w:ascii="Times New Roman"/>
                <w:bCs/>
                <w:sz w:val="21"/>
                <w:szCs w:val="21"/>
              </w:rPr>
            </w:pPr>
          </w:p>
        </w:tc>
        <w:tc>
          <w:tcPr>
            <w:tcW w:w="586" w:type="pct"/>
            <w:vAlign w:val="center"/>
          </w:tcPr>
          <w:p w14:paraId="1099B82D">
            <w:pPr>
              <w:jc w:val="center"/>
              <w:rPr>
                <w:rFonts w:ascii="Times New Roman"/>
                <w:bCs/>
                <w:sz w:val="21"/>
                <w:szCs w:val="21"/>
              </w:rPr>
            </w:pPr>
            <w:r>
              <w:rPr>
                <w:rFonts w:hint="eastAsia" w:ascii="Times New Roman"/>
                <w:bCs/>
                <w:sz w:val="21"/>
                <w:szCs w:val="21"/>
              </w:rPr>
              <w:t>非甲烷总烃</w:t>
            </w:r>
          </w:p>
        </w:tc>
        <w:tc>
          <w:tcPr>
            <w:tcW w:w="713" w:type="pct"/>
            <w:gridSpan w:val="2"/>
            <w:vAlign w:val="center"/>
          </w:tcPr>
          <w:p w14:paraId="72404DF8">
            <w:pPr>
              <w:jc w:val="center"/>
              <w:rPr>
                <w:rFonts w:ascii="Times New Roman"/>
                <w:bCs/>
                <w:sz w:val="21"/>
                <w:szCs w:val="21"/>
              </w:rPr>
            </w:pPr>
            <w:r>
              <w:rPr>
                <w:rFonts w:ascii="Times New Roman"/>
                <w:bCs/>
                <w:sz w:val="21"/>
                <w:szCs w:val="21"/>
              </w:rPr>
              <w:t>排放浓度</w:t>
            </w:r>
          </w:p>
        </w:tc>
        <w:tc>
          <w:tcPr>
            <w:tcW w:w="472" w:type="pct"/>
            <w:vAlign w:val="center"/>
          </w:tcPr>
          <w:p w14:paraId="2BEBB51C">
            <w:pPr>
              <w:jc w:val="center"/>
              <w:rPr>
                <w:rFonts w:ascii="Times New Roman"/>
                <w:bCs/>
                <w:sz w:val="21"/>
                <w:szCs w:val="21"/>
              </w:rPr>
            </w:pPr>
            <w:r>
              <w:rPr>
                <w:rFonts w:hint="eastAsia" w:ascii="Times New Roman"/>
                <w:bCs/>
                <w:sz w:val="21"/>
                <w:szCs w:val="21"/>
              </w:rPr>
              <w:t>40</w:t>
            </w:r>
          </w:p>
        </w:tc>
        <w:tc>
          <w:tcPr>
            <w:tcW w:w="499" w:type="pct"/>
            <w:vAlign w:val="center"/>
          </w:tcPr>
          <w:p w14:paraId="06B975CF">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Align w:val="center"/>
          </w:tcPr>
          <w:p w14:paraId="575CDA21">
            <w:pPr>
              <w:jc w:val="center"/>
              <w:rPr>
                <w:rFonts w:ascii="Times New Roman"/>
                <w:sz w:val="21"/>
                <w:szCs w:val="21"/>
              </w:rPr>
            </w:pPr>
            <w:r>
              <w:rPr>
                <w:rFonts w:ascii="Times New Roman"/>
                <w:sz w:val="21"/>
                <w:szCs w:val="21"/>
              </w:rPr>
              <w:t>《工业企业挥发性有机物排放控制标准》（DB13/2322</w:t>
            </w:r>
            <w:r>
              <w:rPr>
                <w:rFonts w:hint="eastAsia" w:ascii="Times New Roman"/>
                <w:sz w:val="21"/>
                <w:szCs w:val="21"/>
              </w:rPr>
              <w:t>-</w:t>
            </w:r>
            <w:r>
              <w:rPr>
                <w:rFonts w:ascii="Times New Roman"/>
                <w:sz w:val="21"/>
                <w:szCs w:val="21"/>
              </w:rPr>
              <w:t>2016）表1</w:t>
            </w:r>
            <w:r>
              <w:rPr>
                <w:rFonts w:hint="eastAsia" w:ascii="Times New Roman"/>
                <w:sz w:val="21"/>
                <w:szCs w:val="21"/>
              </w:rPr>
              <w:t>其他行业</w:t>
            </w:r>
            <w:r>
              <w:rPr>
                <w:rFonts w:ascii="Times New Roman"/>
                <w:sz w:val="21"/>
                <w:szCs w:val="21"/>
              </w:rPr>
              <w:t>限值要求</w:t>
            </w:r>
          </w:p>
        </w:tc>
      </w:tr>
      <w:tr w14:paraId="74C3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Align w:val="center"/>
          </w:tcPr>
          <w:p w14:paraId="426FEE2C">
            <w:pPr>
              <w:jc w:val="center"/>
              <w:rPr>
                <w:rFonts w:ascii="Times New Roman"/>
                <w:bCs/>
                <w:sz w:val="21"/>
                <w:szCs w:val="21"/>
              </w:rPr>
            </w:pPr>
            <w:r>
              <w:rPr>
                <w:rFonts w:hint="eastAsia" w:ascii="Times New Roman"/>
                <w:bCs/>
                <w:sz w:val="21"/>
                <w:szCs w:val="21"/>
              </w:rPr>
              <w:t>DA007</w:t>
            </w:r>
          </w:p>
        </w:tc>
        <w:tc>
          <w:tcPr>
            <w:tcW w:w="586" w:type="pct"/>
            <w:vAlign w:val="center"/>
          </w:tcPr>
          <w:p w14:paraId="088F33A6">
            <w:pPr>
              <w:jc w:val="center"/>
              <w:rPr>
                <w:rFonts w:ascii="Times New Roman"/>
                <w:bCs/>
                <w:sz w:val="21"/>
                <w:szCs w:val="21"/>
              </w:rPr>
            </w:pPr>
            <w:r>
              <w:rPr>
                <w:rFonts w:ascii="Times New Roman"/>
                <w:bCs/>
                <w:sz w:val="21"/>
                <w:szCs w:val="21"/>
              </w:rPr>
              <w:t>颗粒物</w:t>
            </w:r>
          </w:p>
        </w:tc>
        <w:tc>
          <w:tcPr>
            <w:tcW w:w="713" w:type="pct"/>
            <w:gridSpan w:val="2"/>
            <w:vAlign w:val="center"/>
          </w:tcPr>
          <w:p w14:paraId="71C6DC0B">
            <w:pPr>
              <w:jc w:val="center"/>
              <w:rPr>
                <w:rFonts w:ascii="Times New Roman"/>
                <w:bCs/>
                <w:sz w:val="21"/>
                <w:szCs w:val="21"/>
              </w:rPr>
            </w:pPr>
            <w:r>
              <w:rPr>
                <w:rFonts w:ascii="Times New Roman"/>
                <w:bCs/>
                <w:sz w:val="21"/>
                <w:szCs w:val="21"/>
              </w:rPr>
              <w:t>排放浓度</w:t>
            </w:r>
          </w:p>
        </w:tc>
        <w:tc>
          <w:tcPr>
            <w:tcW w:w="472" w:type="pct"/>
            <w:vAlign w:val="center"/>
          </w:tcPr>
          <w:p w14:paraId="6774D8C2">
            <w:pPr>
              <w:jc w:val="center"/>
              <w:rPr>
                <w:rFonts w:ascii="Times New Roman"/>
                <w:bCs/>
                <w:sz w:val="21"/>
                <w:szCs w:val="21"/>
              </w:rPr>
            </w:pPr>
            <w:r>
              <w:rPr>
                <w:rFonts w:ascii="Times New Roman"/>
                <w:bCs/>
                <w:sz w:val="21"/>
                <w:szCs w:val="21"/>
              </w:rPr>
              <w:t>10</w:t>
            </w:r>
          </w:p>
        </w:tc>
        <w:tc>
          <w:tcPr>
            <w:tcW w:w="499" w:type="pct"/>
            <w:vAlign w:val="center"/>
          </w:tcPr>
          <w:p w14:paraId="715009B4">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Align w:val="center"/>
          </w:tcPr>
          <w:p w14:paraId="24717415">
            <w:pPr>
              <w:jc w:val="center"/>
              <w:rPr>
                <w:rFonts w:ascii="Times New Roman"/>
                <w:bCs/>
                <w:sz w:val="21"/>
                <w:szCs w:val="21"/>
              </w:rPr>
            </w:pPr>
            <w:r>
              <w:rPr>
                <w:rFonts w:ascii="Times New Roman"/>
                <w:sz w:val="21"/>
                <w:szCs w:val="21"/>
              </w:rPr>
              <w:t>《钢铁工业大气污染物超低排放标准》（DB13/2169-2018）表1轧钢“热处理炉、拉矫、精整、抛丸、修磨、焊接机及</w:t>
            </w:r>
            <w:r>
              <w:rPr>
                <w:rFonts w:hint="eastAsia" w:ascii="Times New Roman"/>
                <w:sz w:val="21"/>
                <w:szCs w:val="21"/>
              </w:rPr>
              <w:t>其</w:t>
            </w:r>
            <w:r>
              <w:rPr>
                <w:rFonts w:ascii="Times New Roman"/>
                <w:sz w:val="21"/>
                <w:szCs w:val="21"/>
              </w:rPr>
              <w:t>他生产设施”排放限值要求</w:t>
            </w:r>
          </w:p>
        </w:tc>
      </w:tr>
      <w:tr w14:paraId="7467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restart"/>
            <w:vAlign w:val="center"/>
          </w:tcPr>
          <w:p w14:paraId="3AB318A4">
            <w:pPr>
              <w:jc w:val="center"/>
              <w:rPr>
                <w:rFonts w:ascii="Times New Roman"/>
                <w:bCs/>
                <w:sz w:val="21"/>
                <w:szCs w:val="21"/>
              </w:rPr>
            </w:pPr>
            <w:r>
              <w:rPr>
                <w:rFonts w:hint="eastAsia" w:ascii="Times New Roman"/>
                <w:bCs/>
                <w:sz w:val="21"/>
                <w:szCs w:val="21"/>
              </w:rPr>
              <w:t>DA008</w:t>
            </w:r>
          </w:p>
        </w:tc>
        <w:tc>
          <w:tcPr>
            <w:tcW w:w="586" w:type="pct"/>
            <w:vMerge w:val="restart"/>
            <w:vAlign w:val="center"/>
          </w:tcPr>
          <w:p w14:paraId="32871C48">
            <w:pPr>
              <w:jc w:val="center"/>
              <w:rPr>
                <w:rFonts w:ascii="Times New Roman"/>
                <w:bCs/>
                <w:sz w:val="21"/>
                <w:szCs w:val="21"/>
              </w:rPr>
            </w:pPr>
            <w:r>
              <w:rPr>
                <w:rFonts w:ascii="Times New Roman"/>
                <w:bCs/>
                <w:sz w:val="21"/>
                <w:szCs w:val="21"/>
              </w:rPr>
              <w:t>颗粒物</w:t>
            </w:r>
          </w:p>
        </w:tc>
        <w:tc>
          <w:tcPr>
            <w:tcW w:w="713" w:type="pct"/>
            <w:gridSpan w:val="2"/>
            <w:vAlign w:val="center"/>
          </w:tcPr>
          <w:p w14:paraId="1A84833E">
            <w:pPr>
              <w:jc w:val="center"/>
              <w:rPr>
                <w:rFonts w:ascii="Times New Roman"/>
                <w:bCs/>
                <w:sz w:val="21"/>
                <w:szCs w:val="21"/>
              </w:rPr>
            </w:pPr>
            <w:r>
              <w:rPr>
                <w:rFonts w:hint="eastAsia" w:ascii="Times New Roman"/>
                <w:bCs/>
                <w:sz w:val="21"/>
                <w:szCs w:val="21"/>
              </w:rPr>
              <w:t>排放浓度</w:t>
            </w:r>
          </w:p>
        </w:tc>
        <w:tc>
          <w:tcPr>
            <w:tcW w:w="472" w:type="pct"/>
            <w:vAlign w:val="center"/>
          </w:tcPr>
          <w:p w14:paraId="497F18AF">
            <w:pPr>
              <w:jc w:val="center"/>
              <w:rPr>
                <w:rFonts w:ascii="Times New Roman"/>
                <w:bCs/>
                <w:sz w:val="21"/>
                <w:szCs w:val="21"/>
              </w:rPr>
            </w:pPr>
            <w:r>
              <w:rPr>
                <w:rFonts w:hint="eastAsia" w:ascii="Times New Roman"/>
                <w:bCs/>
                <w:sz w:val="21"/>
                <w:szCs w:val="21"/>
              </w:rPr>
              <w:t>18</w:t>
            </w:r>
          </w:p>
        </w:tc>
        <w:tc>
          <w:tcPr>
            <w:tcW w:w="499" w:type="pct"/>
            <w:vAlign w:val="center"/>
          </w:tcPr>
          <w:p w14:paraId="1B152FC3">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60D7F118">
            <w:pPr>
              <w:jc w:val="center"/>
              <w:rPr>
                <w:rFonts w:ascii="Times New Roman"/>
                <w:sz w:val="21"/>
                <w:szCs w:val="21"/>
              </w:rPr>
            </w:pPr>
            <w:r>
              <w:rPr>
                <w:rFonts w:ascii="Times New Roman"/>
                <w:sz w:val="21"/>
                <w:szCs w:val="21"/>
              </w:rPr>
              <w:t>《大气污染物综合排放标准》（GB16297-1996）表2中“染料尘”标准限值要求</w:t>
            </w:r>
          </w:p>
        </w:tc>
      </w:tr>
      <w:tr w14:paraId="5593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continue"/>
            <w:vAlign w:val="center"/>
          </w:tcPr>
          <w:p w14:paraId="707CCA6D">
            <w:pPr>
              <w:jc w:val="center"/>
              <w:rPr>
                <w:rFonts w:ascii="Times New Roman"/>
                <w:bCs/>
                <w:sz w:val="21"/>
                <w:szCs w:val="21"/>
              </w:rPr>
            </w:pPr>
          </w:p>
        </w:tc>
        <w:tc>
          <w:tcPr>
            <w:tcW w:w="586" w:type="pct"/>
            <w:vMerge w:val="continue"/>
            <w:vAlign w:val="center"/>
          </w:tcPr>
          <w:p w14:paraId="2BD6B693">
            <w:pPr>
              <w:jc w:val="center"/>
              <w:rPr>
                <w:rFonts w:ascii="Times New Roman"/>
                <w:bCs/>
                <w:sz w:val="21"/>
                <w:szCs w:val="21"/>
              </w:rPr>
            </w:pPr>
          </w:p>
        </w:tc>
        <w:tc>
          <w:tcPr>
            <w:tcW w:w="713" w:type="pct"/>
            <w:gridSpan w:val="2"/>
            <w:vAlign w:val="center"/>
          </w:tcPr>
          <w:p w14:paraId="30A50502">
            <w:pPr>
              <w:jc w:val="center"/>
              <w:rPr>
                <w:rFonts w:ascii="Times New Roman"/>
                <w:bCs/>
                <w:sz w:val="21"/>
                <w:szCs w:val="21"/>
              </w:rPr>
            </w:pPr>
            <w:r>
              <w:rPr>
                <w:rFonts w:hint="eastAsia" w:ascii="Times New Roman"/>
                <w:bCs/>
                <w:sz w:val="21"/>
                <w:szCs w:val="21"/>
              </w:rPr>
              <w:t>排放速率</w:t>
            </w:r>
          </w:p>
        </w:tc>
        <w:tc>
          <w:tcPr>
            <w:tcW w:w="472" w:type="pct"/>
            <w:vAlign w:val="center"/>
          </w:tcPr>
          <w:p w14:paraId="76D05057">
            <w:pPr>
              <w:jc w:val="center"/>
              <w:rPr>
                <w:rFonts w:ascii="Times New Roman"/>
                <w:bCs/>
                <w:sz w:val="21"/>
                <w:szCs w:val="21"/>
              </w:rPr>
            </w:pPr>
            <w:r>
              <w:rPr>
                <w:rFonts w:hint="eastAsia" w:ascii="Times New Roman"/>
                <w:bCs/>
                <w:sz w:val="21"/>
                <w:szCs w:val="21"/>
              </w:rPr>
              <w:t>0.425</w:t>
            </w:r>
          </w:p>
        </w:tc>
        <w:tc>
          <w:tcPr>
            <w:tcW w:w="499" w:type="pct"/>
            <w:vAlign w:val="center"/>
          </w:tcPr>
          <w:p w14:paraId="45935C37">
            <w:pPr>
              <w:jc w:val="center"/>
              <w:rPr>
                <w:rFonts w:ascii="Times New Roman"/>
                <w:bCs/>
                <w:sz w:val="21"/>
                <w:szCs w:val="21"/>
              </w:rPr>
            </w:pPr>
            <w:r>
              <w:rPr>
                <w:rFonts w:hint="eastAsia" w:ascii="Times New Roman"/>
                <w:bCs/>
                <w:sz w:val="21"/>
                <w:szCs w:val="21"/>
              </w:rPr>
              <w:t>kg/h</w:t>
            </w:r>
          </w:p>
        </w:tc>
        <w:tc>
          <w:tcPr>
            <w:tcW w:w="2216" w:type="pct"/>
            <w:vMerge w:val="continue"/>
            <w:vAlign w:val="center"/>
          </w:tcPr>
          <w:p w14:paraId="26ADB910">
            <w:pPr>
              <w:jc w:val="center"/>
              <w:rPr>
                <w:rFonts w:ascii="Times New Roman"/>
                <w:sz w:val="21"/>
                <w:szCs w:val="21"/>
              </w:rPr>
            </w:pPr>
          </w:p>
        </w:tc>
      </w:tr>
      <w:tr w14:paraId="0677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restart"/>
            <w:vAlign w:val="center"/>
          </w:tcPr>
          <w:p w14:paraId="4B40CA8E">
            <w:pPr>
              <w:jc w:val="center"/>
              <w:rPr>
                <w:rFonts w:ascii="Times New Roman"/>
                <w:bCs/>
                <w:sz w:val="21"/>
                <w:szCs w:val="21"/>
              </w:rPr>
            </w:pPr>
            <w:r>
              <w:rPr>
                <w:rFonts w:hint="eastAsia" w:ascii="Times New Roman"/>
                <w:bCs/>
                <w:sz w:val="21"/>
                <w:szCs w:val="21"/>
              </w:rPr>
              <w:t>DA009</w:t>
            </w:r>
          </w:p>
        </w:tc>
        <w:tc>
          <w:tcPr>
            <w:tcW w:w="586" w:type="pct"/>
            <w:vMerge w:val="restart"/>
            <w:vAlign w:val="center"/>
          </w:tcPr>
          <w:p w14:paraId="77E9146C">
            <w:pPr>
              <w:jc w:val="center"/>
              <w:rPr>
                <w:rFonts w:ascii="Times New Roman"/>
                <w:bCs/>
                <w:sz w:val="21"/>
                <w:szCs w:val="21"/>
              </w:rPr>
            </w:pPr>
            <w:r>
              <w:rPr>
                <w:rFonts w:ascii="Times New Roman"/>
                <w:bCs/>
                <w:sz w:val="21"/>
                <w:szCs w:val="21"/>
              </w:rPr>
              <w:t>颗粒物</w:t>
            </w:r>
          </w:p>
        </w:tc>
        <w:tc>
          <w:tcPr>
            <w:tcW w:w="713" w:type="pct"/>
            <w:gridSpan w:val="2"/>
            <w:vAlign w:val="center"/>
          </w:tcPr>
          <w:p w14:paraId="49C76D7A">
            <w:pPr>
              <w:jc w:val="center"/>
              <w:rPr>
                <w:rFonts w:ascii="Times New Roman"/>
                <w:bCs/>
                <w:sz w:val="21"/>
                <w:szCs w:val="21"/>
              </w:rPr>
            </w:pPr>
            <w:r>
              <w:rPr>
                <w:rFonts w:ascii="Times New Roman"/>
                <w:bCs/>
                <w:sz w:val="21"/>
                <w:szCs w:val="21"/>
              </w:rPr>
              <w:t>排放浓度</w:t>
            </w:r>
          </w:p>
        </w:tc>
        <w:tc>
          <w:tcPr>
            <w:tcW w:w="472" w:type="pct"/>
            <w:vAlign w:val="center"/>
          </w:tcPr>
          <w:p w14:paraId="474DD6D5">
            <w:pPr>
              <w:jc w:val="center"/>
              <w:rPr>
                <w:rFonts w:ascii="Times New Roman"/>
                <w:bCs/>
                <w:sz w:val="21"/>
                <w:szCs w:val="21"/>
              </w:rPr>
            </w:pPr>
            <w:r>
              <w:rPr>
                <w:rFonts w:hint="eastAsia" w:ascii="Times New Roman"/>
                <w:bCs/>
                <w:sz w:val="21"/>
                <w:szCs w:val="21"/>
              </w:rPr>
              <w:t>18</w:t>
            </w:r>
          </w:p>
        </w:tc>
        <w:tc>
          <w:tcPr>
            <w:tcW w:w="499" w:type="pct"/>
            <w:vAlign w:val="center"/>
          </w:tcPr>
          <w:p w14:paraId="6BF2A5E4">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27A758B8">
            <w:pPr>
              <w:jc w:val="center"/>
              <w:rPr>
                <w:rFonts w:ascii="Times New Roman"/>
                <w:bCs/>
                <w:sz w:val="21"/>
                <w:szCs w:val="21"/>
              </w:rPr>
            </w:pPr>
            <w:r>
              <w:rPr>
                <w:rFonts w:ascii="Times New Roman"/>
                <w:sz w:val="21"/>
                <w:szCs w:val="21"/>
              </w:rPr>
              <w:t>《大气污染物综合排放标准》（GB16297-1996）表2</w:t>
            </w:r>
            <w:r>
              <w:rPr>
                <w:rFonts w:hint="eastAsia" w:ascii="Times New Roman"/>
                <w:sz w:val="21"/>
                <w:szCs w:val="21"/>
              </w:rPr>
              <w:t>中</w:t>
            </w:r>
            <w:r>
              <w:rPr>
                <w:rFonts w:ascii="Times New Roman"/>
                <w:sz w:val="21"/>
                <w:szCs w:val="21"/>
              </w:rPr>
              <w:t>“染料尘”标准限值要求</w:t>
            </w:r>
            <w:r>
              <w:rPr>
                <w:rFonts w:hint="eastAsia" w:ascii="Times New Roman"/>
                <w:sz w:val="21"/>
                <w:szCs w:val="21"/>
              </w:rPr>
              <w:t>；</w:t>
            </w:r>
            <w:r>
              <w:rPr>
                <w:rFonts w:ascii="Times New Roman"/>
                <w:sz w:val="21"/>
                <w:szCs w:val="21"/>
              </w:rPr>
              <w:t>《工业炉窑大气污染物排放标准》（DB13/1640-2012）标准</w:t>
            </w:r>
            <w:r>
              <w:rPr>
                <w:rFonts w:hint="eastAsia" w:ascii="Times New Roman"/>
                <w:sz w:val="21"/>
                <w:szCs w:val="21"/>
              </w:rPr>
              <w:t>；</w:t>
            </w:r>
            <w:r>
              <w:rPr>
                <w:rFonts w:ascii="Times New Roman"/>
                <w:bCs/>
                <w:sz w:val="21"/>
                <w:szCs w:val="21"/>
              </w:rPr>
              <w:t>《关于印发&lt;工业炉窑大气污染综合治理方案&gt;的通知》（环大气[2019]56号）排放标准</w:t>
            </w:r>
          </w:p>
        </w:tc>
      </w:tr>
      <w:tr w14:paraId="1FA2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0F55DDAE">
            <w:pPr>
              <w:jc w:val="center"/>
              <w:rPr>
                <w:rFonts w:ascii="Times New Roman"/>
                <w:bCs/>
                <w:sz w:val="21"/>
                <w:szCs w:val="21"/>
              </w:rPr>
            </w:pPr>
          </w:p>
        </w:tc>
        <w:tc>
          <w:tcPr>
            <w:tcW w:w="586" w:type="pct"/>
            <w:vMerge w:val="continue"/>
            <w:vAlign w:val="center"/>
          </w:tcPr>
          <w:p w14:paraId="182E5853">
            <w:pPr>
              <w:jc w:val="center"/>
              <w:rPr>
                <w:rFonts w:ascii="Times New Roman"/>
                <w:bCs/>
                <w:sz w:val="21"/>
                <w:szCs w:val="21"/>
              </w:rPr>
            </w:pPr>
          </w:p>
        </w:tc>
        <w:tc>
          <w:tcPr>
            <w:tcW w:w="713" w:type="pct"/>
            <w:gridSpan w:val="2"/>
            <w:vAlign w:val="center"/>
          </w:tcPr>
          <w:p w14:paraId="4A87E51B">
            <w:pPr>
              <w:jc w:val="center"/>
              <w:rPr>
                <w:rFonts w:ascii="Times New Roman"/>
                <w:bCs/>
                <w:sz w:val="21"/>
                <w:szCs w:val="21"/>
              </w:rPr>
            </w:pPr>
            <w:r>
              <w:rPr>
                <w:rFonts w:ascii="Times New Roman"/>
                <w:sz w:val="21"/>
                <w:szCs w:val="21"/>
              </w:rPr>
              <w:t>最高允许排放速率</w:t>
            </w:r>
          </w:p>
        </w:tc>
        <w:tc>
          <w:tcPr>
            <w:tcW w:w="472" w:type="pct"/>
            <w:vAlign w:val="center"/>
          </w:tcPr>
          <w:p w14:paraId="58C3D743">
            <w:pPr>
              <w:jc w:val="center"/>
              <w:rPr>
                <w:rFonts w:ascii="Times New Roman"/>
                <w:bCs/>
                <w:sz w:val="21"/>
                <w:szCs w:val="21"/>
              </w:rPr>
            </w:pPr>
            <w:r>
              <w:rPr>
                <w:rFonts w:hint="eastAsia" w:ascii="Times New Roman"/>
                <w:bCs/>
                <w:sz w:val="21"/>
                <w:szCs w:val="21"/>
              </w:rPr>
              <w:t>0.425</w:t>
            </w:r>
          </w:p>
        </w:tc>
        <w:tc>
          <w:tcPr>
            <w:tcW w:w="499" w:type="pct"/>
            <w:vAlign w:val="center"/>
          </w:tcPr>
          <w:p w14:paraId="3171ED43">
            <w:pPr>
              <w:jc w:val="center"/>
              <w:rPr>
                <w:rFonts w:ascii="Times New Roman"/>
                <w:bCs/>
                <w:sz w:val="21"/>
                <w:szCs w:val="21"/>
              </w:rPr>
            </w:pPr>
            <w:r>
              <w:rPr>
                <w:rFonts w:hint="eastAsia" w:ascii="Times New Roman"/>
                <w:bCs/>
                <w:sz w:val="21"/>
                <w:szCs w:val="21"/>
              </w:rPr>
              <w:t>kg/h</w:t>
            </w:r>
          </w:p>
        </w:tc>
        <w:tc>
          <w:tcPr>
            <w:tcW w:w="2216" w:type="pct"/>
            <w:vMerge w:val="continue"/>
            <w:vAlign w:val="center"/>
          </w:tcPr>
          <w:p w14:paraId="4FC6C5BE">
            <w:pPr>
              <w:jc w:val="center"/>
              <w:rPr>
                <w:rFonts w:ascii="Times New Roman"/>
                <w:sz w:val="21"/>
                <w:szCs w:val="21"/>
              </w:rPr>
            </w:pPr>
          </w:p>
        </w:tc>
      </w:tr>
      <w:tr w14:paraId="182B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379617C3">
            <w:pPr>
              <w:jc w:val="center"/>
              <w:rPr>
                <w:rFonts w:ascii="Times New Roman"/>
                <w:bCs/>
                <w:sz w:val="21"/>
                <w:szCs w:val="21"/>
              </w:rPr>
            </w:pPr>
          </w:p>
        </w:tc>
        <w:tc>
          <w:tcPr>
            <w:tcW w:w="586" w:type="pct"/>
            <w:vAlign w:val="center"/>
          </w:tcPr>
          <w:p w14:paraId="6B0F903E">
            <w:pPr>
              <w:jc w:val="center"/>
              <w:rPr>
                <w:rFonts w:ascii="Times New Roman"/>
                <w:bCs/>
                <w:sz w:val="21"/>
                <w:szCs w:val="21"/>
              </w:rPr>
            </w:pPr>
            <w:r>
              <w:rPr>
                <w:rFonts w:ascii="Times New Roman"/>
                <w:bCs/>
                <w:sz w:val="21"/>
                <w:szCs w:val="21"/>
              </w:rPr>
              <w:t>二氧化硫</w:t>
            </w:r>
          </w:p>
        </w:tc>
        <w:tc>
          <w:tcPr>
            <w:tcW w:w="713" w:type="pct"/>
            <w:gridSpan w:val="2"/>
            <w:vAlign w:val="center"/>
          </w:tcPr>
          <w:p w14:paraId="1B928DFF">
            <w:pPr>
              <w:jc w:val="center"/>
              <w:rPr>
                <w:rFonts w:ascii="Times New Roman"/>
                <w:bCs/>
                <w:sz w:val="21"/>
                <w:szCs w:val="21"/>
              </w:rPr>
            </w:pPr>
            <w:r>
              <w:rPr>
                <w:rFonts w:ascii="Times New Roman"/>
                <w:bCs/>
                <w:sz w:val="21"/>
                <w:szCs w:val="21"/>
              </w:rPr>
              <w:t>排放浓度</w:t>
            </w:r>
          </w:p>
        </w:tc>
        <w:tc>
          <w:tcPr>
            <w:tcW w:w="472" w:type="pct"/>
            <w:vAlign w:val="center"/>
          </w:tcPr>
          <w:p w14:paraId="13521355">
            <w:pPr>
              <w:jc w:val="center"/>
              <w:rPr>
                <w:rFonts w:ascii="Times New Roman"/>
                <w:bCs/>
                <w:sz w:val="21"/>
                <w:szCs w:val="21"/>
              </w:rPr>
            </w:pPr>
            <w:r>
              <w:rPr>
                <w:rFonts w:hint="eastAsia" w:ascii="Times New Roman"/>
                <w:bCs/>
                <w:sz w:val="21"/>
                <w:szCs w:val="21"/>
              </w:rPr>
              <w:t>200</w:t>
            </w:r>
          </w:p>
        </w:tc>
        <w:tc>
          <w:tcPr>
            <w:tcW w:w="499" w:type="pct"/>
            <w:vAlign w:val="center"/>
          </w:tcPr>
          <w:p w14:paraId="50C7C741">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2F01BA34">
            <w:pPr>
              <w:jc w:val="center"/>
              <w:rPr>
                <w:rFonts w:ascii="Times New Roman"/>
                <w:bCs/>
                <w:sz w:val="21"/>
                <w:szCs w:val="21"/>
              </w:rPr>
            </w:pPr>
          </w:p>
        </w:tc>
      </w:tr>
      <w:tr w14:paraId="035F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066BB109">
            <w:pPr>
              <w:jc w:val="center"/>
              <w:rPr>
                <w:rFonts w:ascii="Times New Roman"/>
                <w:bCs/>
                <w:sz w:val="21"/>
                <w:szCs w:val="21"/>
              </w:rPr>
            </w:pPr>
          </w:p>
        </w:tc>
        <w:tc>
          <w:tcPr>
            <w:tcW w:w="586" w:type="pct"/>
            <w:vAlign w:val="center"/>
          </w:tcPr>
          <w:p w14:paraId="773BCC74">
            <w:pPr>
              <w:jc w:val="center"/>
              <w:rPr>
                <w:rFonts w:ascii="Times New Roman"/>
                <w:bCs/>
                <w:sz w:val="21"/>
                <w:szCs w:val="21"/>
              </w:rPr>
            </w:pPr>
            <w:r>
              <w:rPr>
                <w:rFonts w:ascii="Times New Roman"/>
                <w:bCs/>
                <w:sz w:val="21"/>
                <w:szCs w:val="21"/>
              </w:rPr>
              <w:t>氮氧化物</w:t>
            </w:r>
          </w:p>
        </w:tc>
        <w:tc>
          <w:tcPr>
            <w:tcW w:w="713" w:type="pct"/>
            <w:gridSpan w:val="2"/>
            <w:vAlign w:val="center"/>
          </w:tcPr>
          <w:p w14:paraId="6462AD5D">
            <w:pPr>
              <w:jc w:val="center"/>
              <w:rPr>
                <w:rFonts w:ascii="Times New Roman"/>
                <w:bCs/>
                <w:sz w:val="21"/>
                <w:szCs w:val="21"/>
              </w:rPr>
            </w:pPr>
            <w:r>
              <w:rPr>
                <w:rFonts w:ascii="Times New Roman"/>
                <w:bCs/>
                <w:sz w:val="21"/>
                <w:szCs w:val="21"/>
              </w:rPr>
              <w:t>排放浓度</w:t>
            </w:r>
          </w:p>
        </w:tc>
        <w:tc>
          <w:tcPr>
            <w:tcW w:w="472" w:type="pct"/>
            <w:vAlign w:val="center"/>
          </w:tcPr>
          <w:p w14:paraId="71E2B6DB">
            <w:pPr>
              <w:jc w:val="center"/>
              <w:rPr>
                <w:rFonts w:ascii="Times New Roman"/>
                <w:bCs/>
                <w:sz w:val="21"/>
                <w:szCs w:val="21"/>
              </w:rPr>
            </w:pPr>
            <w:r>
              <w:rPr>
                <w:rFonts w:hint="eastAsia" w:ascii="Times New Roman"/>
                <w:bCs/>
                <w:sz w:val="21"/>
                <w:szCs w:val="21"/>
              </w:rPr>
              <w:t>300</w:t>
            </w:r>
          </w:p>
        </w:tc>
        <w:tc>
          <w:tcPr>
            <w:tcW w:w="499" w:type="pct"/>
            <w:vAlign w:val="center"/>
          </w:tcPr>
          <w:p w14:paraId="52C2C882">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2A8A97E0">
            <w:pPr>
              <w:jc w:val="center"/>
              <w:rPr>
                <w:rFonts w:ascii="Times New Roman"/>
                <w:bCs/>
                <w:sz w:val="21"/>
                <w:szCs w:val="21"/>
              </w:rPr>
            </w:pPr>
          </w:p>
        </w:tc>
      </w:tr>
      <w:tr w14:paraId="6623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continue"/>
            <w:vAlign w:val="center"/>
          </w:tcPr>
          <w:p w14:paraId="0E884648">
            <w:pPr>
              <w:jc w:val="center"/>
              <w:rPr>
                <w:rFonts w:ascii="Times New Roman"/>
                <w:bCs/>
                <w:sz w:val="21"/>
                <w:szCs w:val="21"/>
              </w:rPr>
            </w:pPr>
          </w:p>
        </w:tc>
        <w:tc>
          <w:tcPr>
            <w:tcW w:w="586" w:type="pct"/>
            <w:vAlign w:val="center"/>
          </w:tcPr>
          <w:p w14:paraId="5CBC2313">
            <w:pPr>
              <w:jc w:val="center"/>
              <w:rPr>
                <w:rFonts w:ascii="Times New Roman"/>
                <w:bCs/>
                <w:sz w:val="21"/>
                <w:szCs w:val="21"/>
              </w:rPr>
            </w:pPr>
            <w:r>
              <w:rPr>
                <w:rFonts w:ascii="Times New Roman"/>
                <w:bCs/>
                <w:sz w:val="21"/>
                <w:szCs w:val="21"/>
              </w:rPr>
              <w:t>烟气黑度</w:t>
            </w:r>
          </w:p>
        </w:tc>
        <w:tc>
          <w:tcPr>
            <w:tcW w:w="713" w:type="pct"/>
            <w:gridSpan w:val="2"/>
            <w:vAlign w:val="center"/>
          </w:tcPr>
          <w:p w14:paraId="739ABFC0">
            <w:pPr>
              <w:jc w:val="center"/>
              <w:rPr>
                <w:rFonts w:ascii="Times New Roman"/>
                <w:bCs/>
                <w:sz w:val="21"/>
                <w:szCs w:val="21"/>
              </w:rPr>
            </w:pPr>
            <w:r>
              <w:rPr>
                <w:rFonts w:ascii="Times New Roman"/>
                <w:bCs/>
                <w:sz w:val="21"/>
                <w:szCs w:val="21"/>
              </w:rPr>
              <w:t>排放浓度</w:t>
            </w:r>
          </w:p>
        </w:tc>
        <w:tc>
          <w:tcPr>
            <w:tcW w:w="472" w:type="pct"/>
            <w:vAlign w:val="center"/>
          </w:tcPr>
          <w:p w14:paraId="4934C687">
            <w:pPr>
              <w:jc w:val="center"/>
              <w:rPr>
                <w:rFonts w:ascii="Times New Roman"/>
                <w:bCs/>
                <w:sz w:val="21"/>
                <w:szCs w:val="21"/>
              </w:rPr>
            </w:pPr>
            <w:r>
              <w:rPr>
                <w:rFonts w:ascii="Times New Roman"/>
                <w:bCs/>
                <w:sz w:val="21"/>
                <w:szCs w:val="21"/>
              </w:rPr>
              <w:t>1</w:t>
            </w:r>
          </w:p>
        </w:tc>
        <w:tc>
          <w:tcPr>
            <w:tcW w:w="499" w:type="pct"/>
            <w:vAlign w:val="center"/>
          </w:tcPr>
          <w:p w14:paraId="04BC4335">
            <w:pPr>
              <w:jc w:val="center"/>
              <w:rPr>
                <w:rFonts w:ascii="Times New Roman"/>
                <w:bCs/>
                <w:sz w:val="21"/>
                <w:szCs w:val="21"/>
              </w:rPr>
            </w:pPr>
            <w:r>
              <w:rPr>
                <w:rFonts w:ascii="Times New Roman"/>
                <w:bCs/>
                <w:sz w:val="21"/>
                <w:szCs w:val="21"/>
              </w:rPr>
              <w:t>林格曼黑度，级</w:t>
            </w:r>
          </w:p>
        </w:tc>
        <w:tc>
          <w:tcPr>
            <w:tcW w:w="2216" w:type="pct"/>
            <w:vMerge w:val="continue"/>
            <w:vAlign w:val="center"/>
          </w:tcPr>
          <w:p w14:paraId="2E480EF6">
            <w:pPr>
              <w:jc w:val="center"/>
              <w:rPr>
                <w:rFonts w:ascii="Times New Roman"/>
                <w:bCs/>
                <w:sz w:val="21"/>
                <w:szCs w:val="21"/>
              </w:rPr>
            </w:pPr>
          </w:p>
        </w:tc>
      </w:tr>
      <w:tr w14:paraId="5B1A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continue"/>
            <w:vAlign w:val="center"/>
          </w:tcPr>
          <w:p w14:paraId="72E5E01E">
            <w:pPr>
              <w:jc w:val="center"/>
              <w:rPr>
                <w:rFonts w:ascii="Times New Roman"/>
                <w:bCs/>
                <w:sz w:val="21"/>
                <w:szCs w:val="21"/>
              </w:rPr>
            </w:pPr>
          </w:p>
        </w:tc>
        <w:tc>
          <w:tcPr>
            <w:tcW w:w="586" w:type="pct"/>
            <w:vAlign w:val="center"/>
          </w:tcPr>
          <w:p w14:paraId="719F63DC">
            <w:pPr>
              <w:spacing w:line="320" w:lineRule="exact"/>
              <w:jc w:val="center"/>
              <w:rPr>
                <w:rFonts w:ascii="Times New Roman"/>
                <w:bCs/>
                <w:sz w:val="21"/>
                <w:szCs w:val="21"/>
              </w:rPr>
            </w:pPr>
            <w:r>
              <w:rPr>
                <w:rFonts w:hint="eastAsia" w:ascii="Times New Roman"/>
                <w:bCs/>
                <w:sz w:val="21"/>
                <w:szCs w:val="21"/>
              </w:rPr>
              <w:t>苯</w:t>
            </w:r>
          </w:p>
        </w:tc>
        <w:tc>
          <w:tcPr>
            <w:tcW w:w="713" w:type="pct"/>
            <w:gridSpan w:val="2"/>
            <w:vAlign w:val="center"/>
          </w:tcPr>
          <w:p w14:paraId="08F2156D">
            <w:pPr>
              <w:jc w:val="center"/>
              <w:rPr>
                <w:rFonts w:ascii="Times New Roman"/>
                <w:bCs/>
                <w:sz w:val="21"/>
                <w:szCs w:val="21"/>
              </w:rPr>
            </w:pPr>
            <w:r>
              <w:rPr>
                <w:rFonts w:ascii="Times New Roman"/>
                <w:bCs/>
                <w:sz w:val="21"/>
                <w:szCs w:val="21"/>
              </w:rPr>
              <w:t>排放浓度</w:t>
            </w:r>
          </w:p>
        </w:tc>
        <w:tc>
          <w:tcPr>
            <w:tcW w:w="472" w:type="pct"/>
            <w:vAlign w:val="center"/>
          </w:tcPr>
          <w:p w14:paraId="06324502">
            <w:pPr>
              <w:jc w:val="center"/>
              <w:rPr>
                <w:rFonts w:ascii="Times New Roman"/>
                <w:bCs/>
                <w:sz w:val="21"/>
                <w:szCs w:val="21"/>
              </w:rPr>
            </w:pPr>
            <w:r>
              <w:rPr>
                <w:rFonts w:hint="eastAsia" w:ascii="Times New Roman"/>
                <w:bCs/>
                <w:sz w:val="21"/>
                <w:szCs w:val="21"/>
              </w:rPr>
              <w:t>0.5</w:t>
            </w:r>
          </w:p>
        </w:tc>
        <w:tc>
          <w:tcPr>
            <w:tcW w:w="499" w:type="pct"/>
            <w:vAlign w:val="center"/>
          </w:tcPr>
          <w:p w14:paraId="53A0D772">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7B07B47C">
            <w:pPr>
              <w:jc w:val="center"/>
              <w:rPr>
                <w:rFonts w:ascii="Times New Roman"/>
                <w:bCs/>
                <w:sz w:val="21"/>
                <w:szCs w:val="21"/>
              </w:rPr>
            </w:pPr>
            <w:r>
              <w:rPr>
                <w:rFonts w:ascii="Times New Roman"/>
                <w:bCs/>
                <w:sz w:val="21"/>
                <w:szCs w:val="21"/>
              </w:rPr>
              <w:t>《工业企业挥发性有机物排放控制标准》（DB13/2322-2016）表1表面涂装业标准限值要求</w:t>
            </w:r>
          </w:p>
        </w:tc>
      </w:tr>
      <w:tr w14:paraId="59D0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continue"/>
            <w:vAlign w:val="center"/>
          </w:tcPr>
          <w:p w14:paraId="7F5A17DD">
            <w:pPr>
              <w:jc w:val="center"/>
              <w:rPr>
                <w:rFonts w:ascii="Times New Roman"/>
                <w:bCs/>
                <w:sz w:val="21"/>
                <w:szCs w:val="21"/>
              </w:rPr>
            </w:pPr>
          </w:p>
        </w:tc>
        <w:tc>
          <w:tcPr>
            <w:tcW w:w="586" w:type="pct"/>
            <w:vAlign w:val="center"/>
          </w:tcPr>
          <w:p w14:paraId="2FF1F460">
            <w:pPr>
              <w:spacing w:line="320" w:lineRule="exact"/>
              <w:jc w:val="center"/>
              <w:rPr>
                <w:rFonts w:ascii="Times New Roman"/>
                <w:bCs/>
                <w:sz w:val="21"/>
                <w:szCs w:val="21"/>
              </w:rPr>
            </w:pPr>
            <w:r>
              <w:rPr>
                <w:rFonts w:hint="eastAsia" w:ascii="Times New Roman"/>
                <w:bCs/>
                <w:sz w:val="21"/>
                <w:szCs w:val="21"/>
              </w:rPr>
              <w:t>甲苯+二甲苯</w:t>
            </w:r>
          </w:p>
        </w:tc>
        <w:tc>
          <w:tcPr>
            <w:tcW w:w="713" w:type="pct"/>
            <w:gridSpan w:val="2"/>
            <w:vAlign w:val="center"/>
          </w:tcPr>
          <w:p w14:paraId="1D206412">
            <w:pPr>
              <w:jc w:val="center"/>
              <w:rPr>
                <w:rFonts w:ascii="Times New Roman"/>
                <w:bCs/>
                <w:sz w:val="21"/>
                <w:szCs w:val="21"/>
              </w:rPr>
            </w:pPr>
            <w:r>
              <w:rPr>
                <w:rFonts w:ascii="Times New Roman"/>
                <w:bCs/>
                <w:sz w:val="21"/>
                <w:szCs w:val="21"/>
              </w:rPr>
              <w:t>排放浓度</w:t>
            </w:r>
          </w:p>
        </w:tc>
        <w:tc>
          <w:tcPr>
            <w:tcW w:w="472" w:type="pct"/>
            <w:vAlign w:val="center"/>
          </w:tcPr>
          <w:p w14:paraId="52BB19B4">
            <w:pPr>
              <w:jc w:val="center"/>
              <w:rPr>
                <w:rFonts w:ascii="Times New Roman"/>
                <w:bCs/>
                <w:sz w:val="21"/>
                <w:szCs w:val="21"/>
              </w:rPr>
            </w:pPr>
            <w:r>
              <w:rPr>
                <w:rFonts w:hint="eastAsia" w:ascii="Times New Roman"/>
                <w:bCs/>
                <w:sz w:val="21"/>
                <w:szCs w:val="21"/>
              </w:rPr>
              <w:t>10</w:t>
            </w:r>
          </w:p>
        </w:tc>
        <w:tc>
          <w:tcPr>
            <w:tcW w:w="499" w:type="pct"/>
            <w:vAlign w:val="center"/>
          </w:tcPr>
          <w:p w14:paraId="16F404CB">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4942999E">
            <w:pPr>
              <w:jc w:val="center"/>
              <w:rPr>
                <w:rFonts w:ascii="Times New Roman"/>
                <w:bCs/>
                <w:sz w:val="21"/>
                <w:szCs w:val="21"/>
              </w:rPr>
            </w:pPr>
          </w:p>
        </w:tc>
      </w:tr>
      <w:tr w14:paraId="7AB8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continue"/>
            <w:vAlign w:val="center"/>
          </w:tcPr>
          <w:p w14:paraId="04376133">
            <w:pPr>
              <w:jc w:val="center"/>
              <w:rPr>
                <w:rFonts w:ascii="Times New Roman"/>
                <w:bCs/>
                <w:sz w:val="21"/>
                <w:szCs w:val="21"/>
              </w:rPr>
            </w:pPr>
          </w:p>
        </w:tc>
        <w:tc>
          <w:tcPr>
            <w:tcW w:w="586" w:type="pct"/>
            <w:vMerge w:val="restart"/>
            <w:vAlign w:val="center"/>
          </w:tcPr>
          <w:p w14:paraId="11CB7C47">
            <w:pPr>
              <w:jc w:val="center"/>
              <w:rPr>
                <w:rFonts w:ascii="Times New Roman"/>
                <w:bCs/>
                <w:sz w:val="21"/>
                <w:szCs w:val="21"/>
              </w:rPr>
            </w:pPr>
            <w:r>
              <w:rPr>
                <w:rFonts w:hint="eastAsia" w:ascii="Times New Roman"/>
                <w:bCs/>
                <w:sz w:val="21"/>
                <w:szCs w:val="21"/>
              </w:rPr>
              <w:t>非甲烷总烃</w:t>
            </w:r>
          </w:p>
        </w:tc>
        <w:tc>
          <w:tcPr>
            <w:tcW w:w="713" w:type="pct"/>
            <w:gridSpan w:val="2"/>
            <w:vAlign w:val="center"/>
          </w:tcPr>
          <w:p w14:paraId="3857AC60">
            <w:pPr>
              <w:jc w:val="center"/>
              <w:rPr>
                <w:rFonts w:ascii="Times New Roman"/>
                <w:bCs/>
                <w:sz w:val="21"/>
                <w:szCs w:val="21"/>
              </w:rPr>
            </w:pPr>
            <w:r>
              <w:rPr>
                <w:rFonts w:ascii="Times New Roman"/>
                <w:bCs/>
                <w:sz w:val="21"/>
                <w:szCs w:val="21"/>
              </w:rPr>
              <w:t>排放浓度</w:t>
            </w:r>
          </w:p>
        </w:tc>
        <w:tc>
          <w:tcPr>
            <w:tcW w:w="472" w:type="pct"/>
            <w:vAlign w:val="center"/>
          </w:tcPr>
          <w:p w14:paraId="13BF2234">
            <w:pPr>
              <w:jc w:val="center"/>
              <w:rPr>
                <w:rFonts w:ascii="Times New Roman"/>
                <w:bCs/>
                <w:sz w:val="21"/>
                <w:szCs w:val="21"/>
              </w:rPr>
            </w:pPr>
            <w:r>
              <w:rPr>
                <w:rFonts w:hint="eastAsia" w:ascii="Times New Roman"/>
                <w:bCs/>
                <w:sz w:val="21"/>
                <w:szCs w:val="21"/>
              </w:rPr>
              <w:t>30</w:t>
            </w:r>
          </w:p>
        </w:tc>
        <w:tc>
          <w:tcPr>
            <w:tcW w:w="499" w:type="pct"/>
            <w:vAlign w:val="center"/>
          </w:tcPr>
          <w:p w14:paraId="3D61B00A">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1B404DAE">
            <w:pPr>
              <w:jc w:val="center"/>
              <w:rPr>
                <w:rFonts w:ascii="Times New Roman"/>
                <w:bCs/>
                <w:sz w:val="21"/>
                <w:szCs w:val="21"/>
              </w:rPr>
            </w:pPr>
          </w:p>
        </w:tc>
      </w:tr>
      <w:tr w14:paraId="6836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continue"/>
            <w:vAlign w:val="center"/>
          </w:tcPr>
          <w:p w14:paraId="536BA1B5">
            <w:pPr>
              <w:jc w:val="center"/>
              <w:rPr>
                <w:rFonts w:ascii="Times New Roman"/>
                <w:bCs/>
                <w:sz w:val="21"/>
                <w:szCs w:val="21"/>
              </w:rPr>
            </w:pPr>
          </w:p>
        </w:tc>
        <w:tc>
          <w:tcPr>
            <w:tcW w:w="586" w:type="pct"/>
            <w:vMerge w:val="continue"/>
            <w:vAlign w:val="center"/>
          </w:tcPr>
          <w:p w14:paraId="66FDF16B">
            <w:pPr>
              <w:jc w:val="center"/>
              <w:rPr>
                <w:rFonts w:ascii="Times New Roman"/>
                <w:bCs/>
                <w:sz w:val="21"/>
                <w:szCs w:val="21"/>
              </w:rPr>
            </w:pPr>
          </w:p>
        </w:tc>
        <w:tc>
          <w:tcPr>
            <w:tcW w:w="713" w:type="pct"/>
            <w:gridSpan w:val="2"/>
            <w:vAlign w:val="center"/>
          </w:tcPr>
          <w:p w14:paraId="36DA2CFC">
            <w:pPr>
              <w:jc w:val="center"/>
              <w:rPr>
                <w:rFonts w:ascii="Times New Roman"/>
                <w:bCs/>
                <w:sz w:val="21"/>
                <w:szCs w:val="21"/>
              </w:rPr>
            </w:pPr>
            <w:r>
              <w:rPr>
                <w:rFonts w:hint="eastAsia" w:ascii="Times New Roman"/>
                <w:bCs/>
                <w:sz w:val="21"/>
                <w:szCs w:val="21"/>
              </w:rPr>
              <w:t>最低去除效率</w:t>
            </w:r>
          </w:p>
        </w:tc>
        <w:tc>
          <w:tcPr>
            <w:tcW w:w="472" w:type="pct"/>
            <w:vAlign w:val="center"/>
          </w:tcPr>
          <w:p w14:paraId="1024DA9D">
            <w:pPr>
              <w:jc w:val="center"/>
              <w:rPr>
                <w:rFonts w:ascii="Times New Roman"/>
                <w:bCs/>
                <w:sz w:val="21"/>
                <w:szCs w:val="21"/>
              </w:rPr>
            </w:pPr>
            <w:r>
              <w:rPr>
                <w:rFonts w:hint="eastAsia" w:ascii="Times New Roman"/>
                <w:bCs/>
                <w:sz w:val="21"/>
                <w:szCs w:val="21"/>
              </w:rPr>
              <w:t>70</w:t>
            </w:r>
          </w:p>
        </w:tc>
        <w:tc>
          <w:tcPr>
            <w:tcW w:w="499" w:type="pct"/>
            <w:vAlign w:val="center"/>
          </w:tcPr>
          <w:p w14:paraId="67FD19AF">
            <w:pPr>
              <w:jc w:val="center"/>
              <w:rPr>
                <w:rFonts w:ascii="Times New Roman"/>
                <w:bCs/>
                <w:sz w:val="21"/>
                <w:szCs w:val="21"/>
              </w:rPr>
            </w:pPr>
            <w:r>
              <w:rPr>
                <w:rFonts w:hint="eastAsia" w:ascii="Times New Roman"/>
                <w:bCs/>
                <w:sz w:val="21"/>
                <w:szCs w:val="21"/>
              </w:rPr>
              <w:t>%</w:t>
            </w:r>
          </w:p>
        </w:tc>
        <w:tc>
          <w:tcPr>
            <w:tcW w:w="2216" w:type="pct"/>
            <w:vMerge w:val="continue"/>
            <w:vAlign w:val="center"/>
          </w:tcPr>
          <w:p w14:paraId="232732AD">
            <w:pPr>
              <w:jc w:val="center"/>
              <w:rPr>
                <w:rFonts w:ascii="Times New Roman"/>
                <w:bCs/>
                <w:sz w:val="21"/>
                <w:szCs w:val="21"/>
              </w:rPr>
            </w:pPr>
          </w:p>
        </w:tc>
      </w:tr>
      <w:tr w14:paraId="4779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restart"/>
            <w:vAlign w:val="center"/>
          </w:tcPr>
          <w:p w14:paraId="773CBE61">
            <w:pPr>
              <w:jc w:val="center"/>
              <w:rPr>
                <w:rFonts w:ascii="Times New Roman"/>
                <w:bCs/>
                <w:sz w:val="21"/>
                <w:szCs w:val="21"/>
              </w:rPr>
            </w:pPr>
            <w:r>
              <w:rPr>
                <w:rFonts w:hint="eastAsia" w:ascii="Times New Roman"/>
                <w:bCs/>
                <w:sz w:val="21"/>
                <w:szCs w:val="21"/>
              </w:rPr>
              <w:t>DA010</w:t>
            </w:r>
          </w:p>
        </w:tc>
        <w:tc>
          <w:tcPr>
            <w:tcW w:w="586" w:type="pct"/>
            <w:vMerge w:val="restart"/>
            <w:vAlign w:val="center"/>
          </w:tcPr>
          <w:p w14:paraId="55B2D3FA">
            <w:pPr>
              <w:jc w:val="center"/>
              <w:rPr>
                <w:rFonts w:ascii="Times New Roman"/>
                <w:bCs/>
                <w:sz w:val="21"/>
                <w:szCs w:val="21"/>
              </w:rPr>
            </w:pPr>
            <w:r>
              <w:rPr>
                <w:rFonts w:hint="eastAsia" w:ascii="Times New Roman"/>
                <w:bCs/>
                <w:sz w:val="21"/>
                <w:szCs w:val="21"/>
              </w:rPr>
              <w:t>颗粒物</w:t>
            </w:r>
          </w:p>
        </w:tc>
        <w:tc>
          <w:tcPr>
            <w:tcW w:w="713" w:type="pct"/>
            <w:gridSpan w:val="2"/>
            <w:vAlign w:val="center"/>
          </w:tcPr>
          <w:p w14:paraId="297B84B1">
            <w:pPr>
              <w:jc w:val="center"/>
              <w:rPr>
                <w:rFonts w:ascii="Times New Roman"/>
                <w:bCs/>
                <w:sz w:val="21"/>
                <w:szCs w:val="21"/>
              </w:rPr>
            </w:pPr>
            <w:r>
              <w:rPr>
                <w:rFonts w:ascii="Times New Roman"/>
                <w:bCs/>
                <w:sz w:val="21"/>
                <w:szCs w:val="21"/>
              </w:rPr>
              <w:t>排放浓度</w:t>
            </w:r>
          </w:p>
        </w:tc>
        <w:tc>
          <w:tcPr>
            <w:tcW w:w="472" w:type="pct"/>
            <w:vAlign w:val="center"/>
          </w:tcPr>
          <w:p w14:paraId="77E1FF30">
            <w:pPr>
              <w:jc w:val="center"/>
              <w:rPr>
                <w:rFonts w:ascii="Times New Roman"/>
                <w:bCs/>
                <w:sz w:val="21"/>
                <w:szCs w:val="21"/>
              </w:rPr>
            </w:pPr>
            <w:r>
              <w:rPr>
                <w:rFonts w:hint="eastAsia" w:ascii="Times New Roman"/>
                <w:bCs/>
                <w:sz w:val="21"/>
                <w:szCs w:val="21"/>
              </w:rPr>
              <w:t>18</w:t>
            </w:r>
          </w:p>
        </w:tc>
        <w:tc>
          <w:tcPr>
            <w:tcW w:w="499" w:type="pct"/>
            <w:vAlign w:val="center"/>
          </w:tcPr>
          <w:p w14:paraId="2EA721F4">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11462F30">
            <w:pPr>
              <w:jc w:val="center"/>
              <w:rPr>
                <w:rFonts w:ascii="Times New Roman"/>
                <w:bCs/>
                <w:sz w:val="21"/>
                <w:szCs w:val="21"/>
              </w:rPr>
            </w:pPr>
            <w:r>
              <w:rPr>
                <w:rFonts w:ascii="Times New Roman"/>
                <w:sz w:val="21"/>
                <w:szCs w:val="21"/>
              </w:rPr>
              <w:t>《大气污染物综合排放标准》（GB16297-1996）表2中“染料尘”标准限值要求</w:t>
            </w:r>
          </w:p>
        </w:tc>
      </w:tr>
      <w:tr w14:paraId="6F1B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511" w:type="pct"/>
            <w:vMerge w:val="continue"/>
            <w:vAlign w:val="center"/>
          </w:tcPr>
          <w:p w14:paraId="3EFF9597">
            <w:pPr>
              <w:jc w:val="center"/>
              <w:rPr>
                <w:rFonts w:ascii="Times New Roman"/>
                <w:bCs/>
                <w:sz w:val="21"/>
                <w:szCs w:val="21"/>
              </w:rPr>
            </w:pPr>
          </w:p>
        </w:tc>
        <w:tc>
          <w:tcPr>
            <w:tcW w:w="586" w:type="pct"/>
            <w:vMerge w:val="continue"/>
            <w:vAlign w:val="center"/>
          </w:tcPr>
          <w:p w14:paraId="29CDC5D9">
            <w:pPr>
              <w:jc w:val="center"/>
              <w:rPr>
                <w:rFonts w:ascii="Times New Roman"/>
                <w:bCs/>
                <w:sz w:val="21"/>
                <w:szCs w:val="21"/>
              </w:rPr>
            </w:pPr>
          </w:p>
        </w:tc>
        <w:tc>
          <w:tcPr>
            <w:tcW w:w="713" w:type="pct"/>
            <w:gridSpan w:val="2"/>
            <w:vAlign w:val="center"/>
          </w:tcPr>
          <w:p w14:paraId="001FE8D9">
            <w:pPr>
              <w:jc w:val="center"/>
              <w:rPr>
                <w:rFonts w:ascii="Times New Roman"/>
                <w:bCs/>
                <w:sz w:val="21"/>
                <w:szCs w:val="21"/>
              </w:rPr>
            </w:pPr>
            <w:r>
              <w:rPr>
                <w:rFonts w:ascii="Times New Roman"/>
                <w:sz w:val="21"/>
                <w:szCs w:val="21"/>
              </w:rPr>
              <w:t>最高允许排放速率</w:t>
            </w:r>
          </w:p>
        </w:tc>
        <w:tc>
          <w:tcPr>
            <w:tcW w:w="472" w:type="pct"/>
            <w:vAlign w:val="center"/>
          </w:tcPr>
          <w:p w14:paraId="4A9DACCC">
            <w:pPr>
              <w:jc w:val="center"/>
              <w:rPr>
                <w:rFonts w:ascii="Times New Roman"/>
                <w:bCs/>
                <w:sz w:val="21"/>
                <w:szCs w:val="21"/>
              </w:rPr>
            </w:pPr>
            <w:r>
              <w:rPr>
                <w:rFonts w:hint="eastAsia" w:ascii="Times New Roman"/>
                <w:bCs/>
                <w:sz w:val="21"/>
                <w:szCs w:val="21"/>
              </w:rPr>
              <w:t>0.425</w:t>
            </w:r>
          </w:p>
        </w:tc>
        <w:tc>
          <w:tcPr>
            <w:tcW w:w="499" w:type="pct"/>
            <w:vAlign w:val="center"/>
          </w:tcPr>
          <w:p w14:paraId="14283B3C">
            <w:pPr>
              <w:jc w:val="center"/>
              <w:rPr>
                <w:rFonts w:ascii="Times New Roman"/>
                <w:bCs/>
                <w:sz w:val="21"/>
                <w:szCs w:val="21"/>
              </w:rPr>
            </w:pPr>
            <w:r>
              <w:rPr>
                <w:rFonts w:hint="eastAsia" w:ascii="Times New Roman"/>
                <w:bCs/>
                <w:sz w:val="21"/>
                <w:szCs w:val="21"/>
              </w:rPr>
              <w:t>kg/h</w:t>
            </w:r>
          </w:p>
        </w:tc>
        <w:tc>
          <w:tcPr>
            <w:tcW w:w="2216" w:type="pct"/>
            <w:vMerge w:val="continue"/>
            <w:vAlign w:val="center"/>
          </w:tcPr>
          <w:p w14:paraId="0A14B840">
            <w:pPr>
              <w:jc w:val="center"/>
              <w:rPr>
                <w:rFonts w:ascii="Times New Roman"/>
                <w:bCs/>
                <w:sz w:val="21"/>
                <w:szCs w:val="21"/>
              </w:rPr>
            </w:pPr>
          </w:p>
        </w:tc>
      </w:tr>
      <w:tr w14:paraId="78A5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11" w:type="pct"/>
            <w:vMerge w:val="restart"/>
            <w:vAlign w:val="center"/>
          </w:tcPr>
          <w:p w14:paraId="4F41ECB2">
            <w:pPr>
              <w:jc w:val="center"/>
              <w:rPr>
                <w:rFonts w:ascii="Times New Roman"/>
                <w:bCs/>
                <w:sz w:val="21"/>
                <w:szCs w:val="21"/>
              </w:rPr>
            </w:pPr>
            <w:r>
              <w:rPr>
                <w:rFonts w:hint="eastAsia" w:ascii="Times New Roman"/>
                <w:bCs/>
                <w:sz w:val="21"/>
                <w:szCs w:val="21"/>
              </w:rPr>
              <w:t>DA011</w:t>
            </w:r>
          </w:p>
        </w:tc>
        <w:tc>
          <w:tcPr>
            <w:tcW w:w="586" w:type="pct"/>
            <w:vMerge w:val="restart"/>
            <w:vAlign w:val="center"/>
          </w:tcPr>
          <w:p w14:paraId="0C79F2EE">
            <w:pPr>
              <w:jc w:val="center"/>
              <w:rPr>
                <w:rFonts w:ascii="Times New Roman"/>
                <w:bCs/>
                <w:sz w:val="21"/>
                <w:szCs w:val="21"/>
              </w:rPr>
            </w:pPr>
            <w:r>
              <w:rPr>
                <w:rFonts w:hint="eastAsia" w:ascii="Times New Roman"/>
                <w:bCs/>
                <w:sz w:val="21"/>
                <w:szCs w:val="21"/>
              </w:rPr>
              <w:t>非甲烷总烃</w:t>
            </w:r>
          </w:p>
        </w:tc>
        <w:tc>
          <w:tcPr>
            <w:tcW w:w="713" w:type="pct"/>
            <w:gridSpan w:val="2"/>
            <w:vAlign w:val="center"/>
          </w:tcPr>
          <w:p w14:paraId="5B37E2FD">
            <w:pPr>
              <w:jc w:val="center"/>
              <w:rPr>
                <w:rFonts w:ascii="Times New Roman"/>
                <w:sz w:val="21"/>
                <w:szCs w:val="21"/>
              </w:rPr>
            </w:pPr>
            <w:r>
              <w:rPr>
                <w:rFonts w:ascii="Times New Roman"/>
                <w:bCs/>
                <w:sz w:val="21"/>
                <w:szCs w:val="21"/>
              </w:rPr>
              <w:t>排放浓度</w:t>
            </w:r>
          </w:p>
        </w:tc>
        <w:tc>
          <w:tcPr>
            <w:tcW w:w="472" w:type="pct"/>
            <w:vAlign w:val="center"/>
          </w:tcPr>
          <w:p w14:paraId="0C198239">
            <w:pPr>
              <w:jc w:val="center"/>
              <w:rPr>
                <w:rFonts w:ascii="Times New Roman"/>
                <w:bCs/>
                <w:sz w:val="21"/>
                <w:szCs w:val="21"/>
              </w:rPr>
            </w:pPr>
            <w:r>
              <w:rPr>
                <w:rFonts w:hint="eastAsia" w:ascii="Times New Roman"/>
                <w:bCs/>
                <w:sz w:val="21"/>
                <w:szCs w:val="21"/>
              </w:rPr>
              <w:t>30</w:t>
            </w:r>
          </w:p>
        </w:tc>
        <w:tc>
          <w:tcPr>
            <w:tcW w:w="499" w:type="pct"/>
            <w:vAlign w:val="center"/>
          </w:tcPr>
          <w:p w14:paraId="49F81705">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7CED2E53">
            <w:pPr>
              <w:jc w:val="center"/>
              <w:rPr>
                <w:rFonts w:ascii="Times New Roman"/>
                <w:bCs/>
                <w:sz w:val="21"/>
                <w:szCs w:val="21"/>
              </w:rPr>
            </w:pPr>
            <w:r>
              <w:rPr>
                <w:rFonts w:ascii="Times New Roman"/>
                <w:sz w:val="21"/>
                <w:szCs w:val="21"/>
              </w:rPr>
              <w:t>《工业企业挥发性有机物排放控制标准》（DB13/2322</w:t>
            </w:r>
            <w:r>
              <w:rPr>
                <w:rFonts w:hint="eastAsia" w:ascii="Times New Roman"/>
                <w:sz w:val="21"/>
                <w:szCs w:val="21"/>
              </w:rPr>
              <w:t>-</w:t>
            </w:r>
            <w:r>
              <w:rPr>
                <w:rFonts w:ascii="Times New Roman"/>
                <w:sz w:val="21"/>
                <w:szCs w:val="21"/>
              </w:rPr>
              <w:t>2016）表1表面涂装业标准限值要求</w:t>
            </w:r>
          </w:p>
        </w:tc>
      </w:tr>
      <w:tr w14:paraId="4FB1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511" w:type="pct"/>
            <w:vMerge w:val="continue"/>
            <w:vAlign w:val="center"/>
          </w:tcPr>
          <w:p w14:paraId="238C28EB">
            <w:pPr>
              <w:jc w:val="center"/>
              <w:rPr>
                <w:rFonts w:ascii="Times New Roman"/>
                <w:bCs/>
                <w:sz w:val="21"/>
                <w:szCs w:val="21"/>
              </w:rPr>
            </w:pPr>
          </w:p>
        </w:tc>
        <w:tc>
          <w:tcPr>
            <w:tcW w:w="586" w:type="pct"/>
            <w:vMerge w:val="continue"/>
            <w:vAlign w:val="center"/>
          </w:tcPr>
          <w:p w14:paraId="212BBB5D">
            <w:pPr>
              <w:jc w:val="center"/>
              <w:rPr>
                <w:rFonts w:ascii="Times New Roman"/>
                <w:bCs/>
                <w:sz w:val="21"/>
                <w:szCs w:val="21"/>
              </w:rPr>
            </w:pPr>
          </w:p>
        </w:tc>
        <w:tc>
          <w:tcPr>
            <w:tcW w:w="713" w:type="pct"/>
            <w:gridSpan w:val="2"/>
            <w:vAlign w:val="center"/>
          </w:tcPr>
          <w:p w14:paraId="05142068">
            <w:pPr>
              <w:jc w:val="center"/>
              <w:rPr>
                <w:rFonts w:ascii="Times New Roman"/>
                <w:bCs/>
                <w:sz w:val="21"/>
                <w:szCs w:val="21"/>
              </w:rPr>
            </w:pPr>
            <w:r>
              <w:rPr>
                <w:rFonts w:hint="eastAsia" w:ascii="Times New Roman"/>
                <w:bCs/>
                <w:sz w:val="21"/>
                <w:szCs w:val="21"/>
              </w:rPr>
              <w:t>最低去除效率</w:t>
            </w:r>
          </w:p>
        </w:tc>
        <w:tc>
          <w:tcPr>
            <w:tcW w:w="472" w:type="pct"/>
            <w:vAlign w:val="center"/>
          </w:tcPr>
          <w:p w14:paraId="087A6223">
            <w:pPr>
              <w:jc w:val="center"/>
              <w:rPr>
                <w:rFonts w:ascii="Times New Roman"/>
                <w:bCs/>
                <w:sz w:val="21"/>
                <w:szCs w:val="21"/>
              </w:rPr>
            </w:pPr>
            <w:r>
              <w:rPr>
                <w:rFonts w:hint="eastAsia" w:ascii="Times New Roman"/>
                <w:bCs/>
                <w:sz w:val="21"/>
                <w:szCs w:val="21"/>
              </w:rPr>
              <w:t>70</w:t>
            </w:r>
          </w:p>
        </w:tc>
        <w:tc>
          <w:tcPr>
            <w:tcW w:w="499" w:type="pct"/>
            <w:vAlign w:val="center"/>
          </w:tcPr>
          <w:p w14:paraId="30E627BF">
            <w:pPr>
              <w:jc w:val="center"/>
              <w:rPr>
                <w:rFonts w:ascii="Times New Roman"/>
                <w:bCs/>
                <w:sz w:val="21"/>
                <w:szCs w:val="21"/>
              </w:rPr>
            </w:pPr>
            <w:r>
              <w:rPr>
                <w:rFonts w:hint="eastAsia" w:ascii="Times New Roman"/>
                <w:bCs/>
                <w:sz w:val="21"/>
                <w:szCs w:val="21"/>
              </w:rPr>
              <w:t>%</w:t>
            </w:r>
          </w:p>
        </w:tc>
        <w:tc>
          <w:tcPr>
            <w:tcW w:w="2216" w:type="pct"/>
            <w:vMerge w:val="continue"/>
            <w:vAlign w:val="center"/>
          </w:tcPr>
          <w:p w14:paraId="1E77E58D">
            <w:pPr>
              <w:jc w:val="center"/>
              <w:rPr>
                <w:rFonts w:ascii="Times New Roman"/>
                <w:sz w:val="21"/>
                <w:szCs w:val="21"/>
              </w:rPr>
            </w:pPr>
          </w:p>
        </w:tc>
      </w:tr>
      <w:tr w14:paraId="1A65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11" w:type="pct"/>
            <w:vMerge w:val="continue"/>
            <w:vAlign w:val="center"/>
          </w:tcPr>
          <w:p w14:paraId="1EE226BD">
            <w:pPr>
              <w:jc w:val="center"/>
              <w:rPr>
                <w:rFonts w:ascii="Times New Roman"/>
                <w:bCs/>
                <w:sz w:val="21"/>
                <w:szCs w:val="21"/>
              </w:rPr>
            </w:pPr>
          </w:p>
        </w:tc>
        <w:tc>
          <w:tcPr>
            <w:tcW w:w="586" w:type="pct"/>
            <w:vAlign w:val="center"/>
          </w:tcPr>
          <w:p w14:paraId="7C635DD1">
            <w:pPr>
              <w:jc w:val="center"/>
              <w:rPr>
                <w:rFonts w:ascii="Times New Roman"/>
                <w:bCs/>
                <w:sz w:val="21"/>
                <w:szCs w:val="21"/>
              </w:rPr>
            </w:pPr>
            <w:r>
              <w:rPr>
                <w:rFonts w:hint="eastAsia" w:ascii="Times New Roman"/>
                <w:bCs/>
                <w:sz w:val="21"/>
                <w:szCs w:val="21"/>
              </w:rPr>
              <w:t>颗粒物</w:t>
            </w:r>
          </w:p>
        </w:tc>
        <w:tc>
          <w:tcPr>
            <w:tcW w:w="713" w:type="pct"/>
            <w:gridSpan w:val="2"/>
            <w:vAlign w:val="center"/>
          </w:tcPr>
          <w:p w14:paraId="31F0CC2E">
            <w:pPr>
              <w:jc w:val="center"/>
              <w:rPr>
                <w:rFonts w:ascii="Times New Roman"/>
                <w:sz w:val="21"/>
                <w:szCs w:val="21"/>
              </w:rPr>
            </w:pPr>
            <w:r>
              <w:rPr>
                <w:rFonts w:ascii="Times New Roman"/>
                <w:bCs/>
                <w:sz w:val="21"/>
                <w:szCs w:val="21"/>
              </w:rPr>
              <w:t>排放浓度</w:t>
            </w:r>
          </w:p>
        </w:tc>
        <w:tc>
          <w:tcPr>
            <w:tcW w:w="472" w:type="pct"/>
            <w:vAlign w:val="center"/>
          </w:tcPr>
          <w:p w14:paraId="6B4DE325">
            <w:pPr>
              <w:jc w:val="center"/>
              <w:rPr>
                <w:rFonts w:ascii="Times New Roman"/>
                <w:bCs/>
                <w:sz w:val="21"/>
                <w:szCs w:val="21"/>
              </w:rPr>
            </w:pPr>
            <w:r>
              <w:rPr>
                <w:rFonts w:hint="eastAsia" w:ascii="Times New Roman"/>
                <w:bCs/>
                <w:sz w:val="21"/>
                <w:szCs w:val="21"/>
              </w:rPr>
              <w:t>25</w:t>
            </w:r>
          </w:p>
        </w:tc>
        <w:tc>
          <w:tcPr>
            <w:tcW w:w="499" w:type="pct"/>
            <w:vAlign w:val="center"/>
          </w:tcPr>
          <w:p w14:paraId="4125FE35">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2D7AB994">
            <w:pPr>
              <w:jc w:val="center"/>
              <w:rPr>
                <w:rFonts w:ascii="Times New Roman"/>
                <w:bCs/>
                <w:sz w:val="21"/>
                <w:szCs w:val="21"/>
              </w:rPr>
            </w:pPr>
            <w:r>
              <w:rPr>
                <w:rFonts w:ascii="Times New Roman"/>
                <w:sz w:val="21"/>
                <w:szCs w:val="21"/>
              </w:rPr>
              <w:t>《工业炉窑大气污染物排放标准》（DB13/1640-2012）标准</w:t>
            </w:r>
            <w:r>
              <w:rPr>
                <w:rFonts w:hint="eastAsia" w:ascii="Times New Roman"/>
                <w:sz w:val="21"/>
                <w:szCs w:val="21"/>
              </w:rPr>
              <w:t>；</w:t>
            </w:r>
            <w:r>
              <w:rPr>
                <w:rFonts w:ascii="Times New Roman"/>
                <w:bCs/>
                <w:sz w:val="21"/>
                <w:szCs w:val="21"/>
              </w:rPr>
              <w:t>《关于印发&lt;工业炉窑大气污染综合治理方案&gt;的通知》（环大气[2019]56号）排放标准</w:t>
            </w:r>
          </w:p>
        </w:tc>
      </w:tr>
      <w:tr w14:paraId="4397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511" w:type="pct"/>
            <w:vMerge w:val="continue"/>
            <w:vAlign w:val="center"/>
          </w:tcPr>
          <w:p w14:paraId="1003D73B">
            <w:pPr>
              <w:jc w:val="center"/>
              <w:rPr>
                <w:rFonts w:ascii="Times New Roman"/>
                <w:bCs/>
                <w:sz w:val="21"/>
                <w:szCs w:val="21"/>
              </w:rPr>
            </w:pPr>
          </w:p>
        </w:tc>
        <w:tc>
          <w:tcPr>
            <w:tcW w:w="586" w:type="pct"/>
            <w:vAlign w:val="center"/>
          </w:tcPr>
          <w:p w14:paraId="7BCB60C5">
            <w:pPr>
              <w:jc w:val="center"/>
              <w:rPr>
                <w:rFonts w:ascii="Times New Roman"/>
                <w:bCs/>
                <w:sz w:val="21"/>
                <w:szCs w:val="21"/>
              </w:rPr>
            </w:pPr>
            <w:r>
              <w:rPr>
                <w:rFonts w:hint="eastAsia" w:ascii="Times New Roman"/>
                <w:bCs/>
                <w:sz w:val="21"/>
                <w:szCs w:val="21"/>
              </w:rPr>
              <w:t>二氧化硫</w:t>
            </w:r>
          </w:p>
        </w:tc>
        <w:tc>
          <w:tcPr>
            <w:tcW w:w="713" w:type="pct"/>
            <w:gridSpan w:val="2"/>
            <w:vAlign w:val="center"/>
          </w:tcPr>
          <w:p w14:paraId="5FAECB7D">
            <w:pPr>
              <w:jc w:val="center"/>
              <w:rPr>
                <w:rFonts w:ascii="Times New Roman"/>
                <w:sz w:val="21"/>
                <w:szCs w:val="21"/>
              </w:rPr>
            </w:pPr>
            <w:r>
              <w:rPr>
                <w:rFonts w:ascii="Times New Roman"/>
                <w:bCs/>
                <w:sz w:val="21"/>
                <w:szCs w:val="21"/>
              </w:rPr>
              <w:t>排放浓度</w:t>
            </w:r>
          </w:p>
        </w:tc>
        <w:tc>
          <w:tcPr>
            <w:tcW w:w="472" w:type="pct"/>
            <w:vAlign w:val="center"/>
          </w:tcPr>
          <w:p w14:paraId="0A424A14">
            <w:pPr>
              <w:jc w:val="center"/>
              <w:rPr>
                <w:rFonts w:ascii="Times New Roman"/>
                <w:bCs/>
                <w:sz w:val="21"/>
                <w:szCs w:val="21"/>
              </w:rPr>
            </w:pPr>
            <w:r>
              <w:rPr>
                <w:rFonts w:hint="eastAsia" w:ascii="Times New Roman"/>
                <w:bCs/>
                <w:sz w:val="21"/>
                <w:szCs w:val="21"/>
              </w:rPr>
              <w:t>200</w:t>
            </w:r>
          </w:p>
        </w:tc>
        <w:tc>
          <w:tcPr>
            <w:tcW w:w="499" w:type="pct"/>
            <w:vAlign w:val="center"/>
          </w:tcPr>
          <w:p w14:paraId="761FA1BC">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0ECD4D58">
            <w:pPr>
              <w:jc w:val="center"/>
              <w:rPr>
                <w:rFonts w:ascii="Times New Roman"/>
                <w:bCs/>
                <w:sz w:val="21"/>
                <w:szCs w:val="21"/>
              </w:rPr>
            </w:pPr>
          </w:p>
        </w:tc>
      </w:tr>
      <w:tr w14:paraId="4190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11" w:type="pct"/>
            <w:vMerge w:val="continue"/>
            <w:vAlign w:val="center"/>
          </w:tcPr>
          <w:p w14:paraId="6E6A4DC4">
            <w:pPr>
              <w:jc w:val="center"/>
              <w:rPr>
                <w:rFonts w:ascii="Times New Roman"/>
                <w:bCs/>
                <w:sz w:val="21"/>
                <w:szCs w:val="21"/>
              </w:rPr>
            </w:pPr>
          </w:p>
        </w:tc>
        <w:tc>
          <w:tcPr>
            <w:tcW w:w="586" w:type="pct"/>
            <w:shd w:val="clear" w:color="auto" w:fill="auto"/>
            <w:vAlign w:val="center"/>
          </w:tcPr>
          <w:p w14:paraId="1B476216">
            <w:pPr>
              <w:jc w:val="center"/>
              <w:rPr>
                <w:rFonts w:ascii="Times New Roman"/>
                <w:bCs/>
                <w:sz w:val="21"/>
                <w:szCs w:val="21"/>
              </w:rPr>
            </w:pPr>
            <w:r>
              <w:rPr>
                <w:rFonts w:hint="eastAsia" w:ascii="Times New Roman"/>
                <w:bCs/>
                <w:sz w:val="21"/>
                <w:szCs w:val="21"/>
              </w:rPr>
              <w:t>氮氧化物</w:t>
            </w:r>
          </w:p>
        </w:tc>
        <w:tc>
          <w:tcPr>
            <w:tcW w:w="713" w:type="pct"/>
            <w:gridSpan w:val="2"/>
            <w:shd w:val="clear" w:color="auto" w:fill="auto"/>
            <w:vAlign w:val="center"/>
          </w:tcPr>
          <w:p w14:paraId="7F4E41BB">
            <w:pPr>
              <w:jc w:val="center"/>
              <w:rPr>
                <w:rFonts w:ascii="Times New Roman"/>
                <w:sz w:val="21"/>
                <w:szCs w:val="21"/>
              </w:rPr>
            </w:pPr>
            <w:r>
              <w:rPr>
                <w:rFonts w:ascii="Times New Roman"/>
                <w:bCs/>
                <w:sz w:val="21"/>
                <w:szCs w:val="21"/>
              </w:rPr>
              <w:t>排放浓度</w:t>
            </w:r>
          </w:p>
        </w:tc>
        <w:tc>
          <w:tcPr>
            <w:tcW w:w="472" w:type="pct"/>
            <w:shd w:val="clear" w:color="auto" w:fill="auto"/>
            <w:vAlign w:val="center"/>
          </w:tcPr>
          <w:p w14:paraId="40DF2A60">
            <w:pPr>
              <w:jc w:val="center"/>
              <w:rPr>
                <w:rFonts w:ascii="Times New Roman"/>
                <w:bCs/>
                <w:sz w:val="21"/>
                <w:szCs w:val="21"/>
              </w:rPr>
            </w:pPr>
            <w:r>
              <w:rPr>
                <w:rFonts w:hint="eastAsia" w:ascii="Times New Roman"/>
                <w:bCs/>
                <w:sz w:val="21"/>
                <w:szCs w:val="21"/>
              </w:rPr>
              <w:t>200</w:t>
            </w:r>
          </w:p>
        </w:tc>
        <w:tc>
          <w:tcPr>
            <w:tcW w:w="499" w:type="pct"/>
            <w:shd w:val="clear" w:color="auto" w:fill="auto"/>
            <w:vAlign w:val="center"/>
          </w:tcPr>
          <w:p w14:paraId="4FF5EF1B">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1B3E5341">
            <w:pPr>
              <w:jc w:val="center"/>
              <w:rPr>
                <w:rFonts w:ascii="Times New Roman"/>
                <w:bCs/>
                <w:sz w:val="21"/>
                <w:szCs w:val="21"/>
              </w:rPr>
            </w:pPr>
          </w:p>
        </w:tc>
      </w:tr>
      <w:tr w14:paraId="49AF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511" w:type="pct"/>
            <w:vMerge w:val="continue"/>
            <w:vAlign w:val="center"/>
          </w:tcPr>
          <w:p w14:paraId="6F8CBBC5">
            <w:pPr>
              <w:jc w:val="center"/>
              <w:rPr>
                <w:rFonts w:ascii="Times New Roman"/>
                <w:bCs/>
                <w:sz w:val="21"/>
                <w:szCs w:val="21"/>
              </w:rPr>
            </w:pPr>
          </w:p>
        </w:tc>
        <w:tc>
          <w:tcPr>
            <w:tcW w:w="586" w:type="pct"/>
            <w:shd w:val="clear" w:color="auto" w:fill="auto"/>
            <w:vAlign w:val="center"/>
          </w:tcPr>
          <w:p w14:paraId="5665E0C0">
            <w:pPr>
              <w:jc w:val="center"/>
              <w:rPr>
                <w:rFonts w:ascii="Times New Roman"/>
                <w:bCs/>
                <w:sz w:val="21"/>
                <w:szCs w:val="21"/>
              </w:rPr>
            </w:pPr>
            <w:r>
              <w:rPr>
                <w:rFonts w:hint="eastAsia" w:ascii="Times New Roman"/>
                <w:bCs/>
                <w:sz w:val="21"/>
                <w:szCs w:val="21"/>
              </w:rPr>
              <w:t>烟气黑度</w:t>
            </w:r>
          </w:p>
        </w:tc>
        <w:tc>
          <w:tcPr>
            <w:tcW w:w="713" w:type="pct"/>
            <w:gridSpan w:val="2"/>
            <w:shd w:val="clear" w:color="auto" w:fill="auto"/>
            <w:vAlign w:val="center"/>
          </w:tcPr>
          <w:p w14:paraId="36D75411">
            <w:pPr>
              <w:jc w:val="center"/>
              <w:rPr>
                <w:rFonts w:ascii="Times New Roman"/>
                <w:bCs/>
                <w:sz w:val="21"/>
                <w:szCs w:val="21"/>
              </w:rPr>
            </w:pPr>
            <w:r>
              <w:rPr>
                <w:rFonts w:hint="eastAsia" w:ascii="Times New Roman"/>
                <w:bCs/>
                <w:sz w:val="21"/>
                <w:szCs w:val="21"/>
              </w:rPr>
              <w:t>/</w:t>
            </w:r>
          </w:p>
        </w:tc>
        <w:tc>
          <w:tcPr>
            <w:tcW w:w="472" w:type="pct"/>
            <w:shd w:val="clear" w:color="auto" w:fill="auto"/>
            <w:vAlign w:val="center"/>
          </w:tcPr>
          <w:p w14:paraId="2CA5779B">
            <w:pPr>
              <w:jc w:val="center"/>
              <w:rPr>
                <w:rFonts w:ascii="Times New Roman"/>
                <w:bCs/>
                <w:sz w:val="21"/>
                <w:szCs w:val="21"/>
              </w:rPr>
            </w:pPr>
            <w:r>
              <w:rPr>
                <w:rFonts w:hint="eastAsia" w:ascii="Times New Roman"/>
                <w:bCs/>
                <w:sz w:val="21"/>
                <w:szCs w:val="21"/>
              </w:rPr>
              <w:t>1</w:t>
            </w:r>
          </w:p>
        </w:tc>
        <w:tc>
          <w:tcPr>
            <w:tcW w:w="499" w:type="pct"/>
            <w:shd w:val="clear" w:color="auto" w:fill="auto"/>
            <w:vAlign w:val="center"/>
          </w:tcPr>
          <w:p w14:paraId="3EAE3DB0">
            <w:pPr>
              <w:jc w:val="center"/>
              <w:rPr>
                <w:rFonts w:ascii="Times New Roman"/>
                <w:bCs/>
                <w:sz w:val="21"/>
                <w:szCs w:val="21"/>
              </w:rPr>
            </w:pPr>
            <w:r>
              <w:rPr>
                <w:rFonts w:ascii="Times New Roman"/>
                <w:bCs/>
                <w:sz w:val="21"/>
                <w:szCs w:val="21"/>
              </w:rPr>
              <w:t>林格曼黑度，级</w:t>
            </w:r>
          </w:p>
        </w:tc>
        <w:tc>
          <w:tcPr>
            <w:tcW w:w="2216" w:type="pct"/>
            <w:vMerge w:val="continue"/>
            <w:vAlign w:val="center"/>
          </w:tcPr>
          <w:p w14:paraId="211AD1CA">
            <w:pPr>
              <w:jc w:val="center"/>
              <w:rPr>
                <w:rFonts w:ascii="Times New Roman"/>
                <w:bCs/>
                <w:sz w:val="21"/>
                <w:szCs w:val="21"/>
              </w:rPr>
            </w:pPr>
          </w:p>
        </w:tc>
      </w:tr>
      <w:tr w14:paraId="4B49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restart"/>
            <w:vAlign w:val="center"/>
          </w:tcPr>
          <w:p w14:paraId="3083FFDF">
            <w:pPr>
              <w:jc w:val="center"/>
              <w:rPr>
                <w:rFonts w:ascii="Times New Roman"/>
                <w:bCs/>
                <w:sz w:val="21"/>
                <w:szCs w:val="21"/>
              </w:rPr>
            </w:pPr>
            <w:r>
              <w:rPr>
                <w:rFonts w:hint="eastAsia" w:ascii="Times New Roman"/>
                <w:bCs/>
                <w:sz w:val="21"/>
                <w:szCs w:val="21"/>
              </w:rPr>
              <w:t>DA012</w:t>
            </w:r>
          </w:p>
        </w:tc>
        <w:tc>
          <w:tcPr>
            <w:tcW w:w="586" w:type="pct"/>
            <w:vAlign w:val="center"/>
          </w:tcPr>
          <w:p w14:paraId="2922617B">
            <w:pPr>
              <w:jc w:val="center"/>
              <w:rPr>
                <w:rFonts w:ascii="Times New Roman"/>
                <w:bCs/>
                <w:sz w:val="21"/>
                <w:szCs w:val="21"/>
              </w:rPr>
            </w:pPr>
            <w:r>
              <w:rPr>
                <w:rFonts w:hint="eastAsia" w:ascii="Times New Roman"/>
                <w:bCs/>
                <w:sz w:val="21"/>
                <w:szCs w:val="21"/>
              </w:rPr>
              <w:t>油烟</w:t>
            </w:r>
          </w:p>
        </w:tc>
        <w:tc>
          <w:tcPr>
            <w:tcW w:w="713" w:type="pct"/>
            <w:gridSpan w:val="2"/>
            <w:vAlign w:val="center"/>
          </w:tcPr>
          <w:p w14:paraId="0BD3CF19">
            <w:pPr>
              <w:jc w:val="center"/>
              <w:rPr>
                <w:rFonts w:ascii="Times New Roman"/>
                <w:bCs/>
                <w:sz w:val="21"/>
                <w:szCs w:val="21"/>
              </w:rPr>
            </w:pPr>
            <w:r>
              <w:rPr>
                <w:rFonts w:ascii="Times New Roman"/>
                <w:bCs/>
                <w:sz w:val="21"/>
                <w:szCs w:val="21"/>
              </w:rPr>
              <w:t>排放浓度</w:t>
            </w:r>
          </w:p>
        </w:tc>
        <w:tc>
          <w:tcPr>
            <w:tcW w:w="472" w:type="pct"/>
            <w:vAlign w:val="center"/>
          </w:tcPr>
          <w:p w14:paraId="4C833630">
            <w:pPr>
              <w:jc w:val="center"/>
              <w:rPr>
                <w:rFonts w:ascii="Times New Roman"/>
                <w:bCs/>
                <w:sz w:val="21"/>
                <w:szCs w:val="21"/>
              </w:rPr>
            </w:pPr>
            <w:r>
              <w:rPr>
                <w:rFonts w:hint="eastAsia" w:ascii="Times New Roman"/>
                <w:bCs/>
                <w:sz w:val="21"/>
                <w:szCs w:val="21"/>
              </w:rPr>
              <w:t>1.0</w:t>
            </w:r>
          </w:p>
        </w:tc>
        <w:tc>
          <w:tcPr>
            <w:tcW w:w="499" w:type="pct"/>
            <w:vAlign w:val="center"/>
          </w:tcPr>
          <w:p w14:paraId="7B263355">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7205513F">
            <w:pPr>
              <w:jc w:val="center"/>
              <w:rPr>
                <w:rFonts w:ascii="Times New Roman"/>
                <w:bCs/>
                <w:sz w:val="21"/>
                <w:szCs w:val="21"/>
              </w:rPr>
            </w:pPr>
            <w:r>
              <w:rPr>
                <w:rFonts w:hint="eastAsia" w:ascii="Times New Roman"/>
                <w:sz w:val="21"/>
                <w:szCs w:val="21"/>
              </w:rPr>
              <w:t>《餐饮业大气污染物排放标准》（DB13/5808-2023）大型</w:t>
            </w:r>
            <w:r>
              <w:rPr>
                <w:rFonts w:ascii="Times New Roman"/>
                <w:sz w:val="21"/>
                <w:szCs w:val="21"/>
              </w:rPr>
              <w:t>规模标准</w:t>
            </w:r>
          </w:p>
        </w:tc>
      </w:tr>
      <w:tr w14:paraId="144A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1" w:type="pct"/>
            <w:vMerge w:val="continue"/>
            <w:vAlign w:val="center"/>
          </w:tcPr>
          <w:p w14:paraId="21BFE73B">
            <w:pPr>
              <w:jc w:val="center"/>
              <w:rPr>
                <w:rFonts w:ascii="Times New Roman"/>
                <w:bCs/>
                <w:sz w:val="21"/>
                <w:szCs w:val="21"/>
              </w:rPr>
            </w:pPr>
          </w:p>
        </w:tc>
        <w:tc>
          <w:tcPr>
            <w:tcW w:w="586" w:type="pct"/>
            <w:vAlign w:val="center"/>
          </w:tcPr>
          <w:p w14:paraId="3DCC7290">
            <w:pPr>
              <w:jc w:val="center"/>
              <w:rPr>
                <w:rFonts w:ascii="Times New Roman"/>
                <w:bCs/>
                <w:sz w:val="21"/>
                <w:szCs w:val="21"/>
              </w:rPr>
            </w:pPr>
            <w:r>
              <w:rPr>
                <w:rFonts w:hint="eastAsia" w:ascii="Times New Roman"/>
                <w:bCs/>
                <w:sz w:val="21"/>
                <w:szCs w:val="21"/>
              </w:rPr>
              <w:t>非甲烷总烃</w:t>
            </w:r>
          </w:p>
        </w:tc>
        <w:tc>
          <w:tcPr>
            <w:tcW w:w="713" w:type="pct"/>
            <w:gridSpan w:val="2"/>
            <w:vAlign w:val="center"/>
          </w:tcPr>
          <w:p w14:paraId="272EDEAB">
            <w:pPr>
              <w:jc w:val="center"/>
              <w:rPr>
                <w:rFonts w:ascii="Times New Roman"/>
                <w:bCs/>
                <w:sz w:val="21"/>
                <w:szCs w:val="21"/>
              </w:rPr>
            </w:pPr>
            <w:r>
              <w:rPr>
                <w:rFonts w:hint="eastAsia" w:ascii="Times New Roman"/>
                <w:bCs/>
                <w:sz w:val="21"/>
                <w:szCs w:val="21"/>
              </w:rPr>
              <w:t>排放浓度</w:t>
            </w:r>
          </w:p>
        </w:tc>
        <w:tc>
          <w:tcPr>
            <w:tcW w:w="472" w:type="pct"/>
            <w:vAlign w:val="center"/>
          </w:tcPr>
          <w:p w14:paraId="392D9F95">
            <w:pPr>
              <w:jc w:val="center"/>
              <w:rPr>
                <w:rFonts w:ascii="Times New Roman"/>
                <w:bCs/>
                <w:sz w:val="21"/>
                <w:szCs w:val="21"/>
              </w:rPr>
            </w:pPr>
            <w:r>
              <w:rPr>
                <w:rFonts w:hint="eastAsia" w:ascii="Times New Roman"/>
                <w:bCs/>
                <w:sz w:val="21"/>
                <w:szCs w:val="21"/>
              </w:rPr>
              <w:t>10.0</w:t>
            </w:r>
          </w:p>
        </w:tc>
        <w:tc>
          <w:tcPr>
            <w:tcW w:w="499" w:type="pct"/>
            <w:vAlign w:val="center"/>
          </w:tcPr>
          <w:p w14:paraId="2614B3C2">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23BAE701">
            <w:pPr>
              <w:jc w:val="center"/>
              <w:rPr>
                <w:rFonts w:ascii="Times New Roman"/>
                <w:bCs/>
                <w:sz w:val="21"/>
                <w:szCs w:val="21"/>
              </w:rPr>
            </w:pPr>
          </w:p>
        </w:tc>
      </w:tr>
      <w:tr w14:paraId="0619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511" w:type="pct"/>
            <w:vMerge w:val="restart"/>
            <w:vAlign w:val="center"/>
          </w:tcPr>
          <w:p w14:paraId="5AAC66CC">
            <w:pPr>
              <w:jc w:val="center"/>
              <w:rPr>
                <w:rFonts w:ascii="Times New Roman"/>
                <w:bCs/>
                <w:sz w:val="21"/>
                <w:szCs w:val="21"/>
              </w:rPr>
            </w:pPr>
            <w:r>
              <w:rPr>
                <w:rFonts w:ascii="Times New Roman"/>
                <w:bCs/>
                <w:sz w:val="21"/>
                <w:szCs w:val="21"/>
              </w:rPr>
              <w:t>无组织废气</w:t>
            </w:r>
          </w:p>
        </w:tc>
        <w:tc>
          <w:tcPr>
            <w:tcW w:w="586" w:type="pct"/>
            <w:vAlign w:val="center"/>
          </w:tcPr>
          <w:p w14:paraId="0EF8BFC4">
            <w:pPr>
              <w:jc w:val="center"/>
              <w:rPr>
                <w:rFonts w:ascii="Times New Roman"/>
                <w:bCs/>
                <w:sz w:val="21"/>
                <w:szCs w:val="21"/>
              </w:rPr>
            </w:pPr>
            <w:r>
              <w:rPr>
                <w:rFonts w:ascii="Times New Roman"/>
                <w:bCs/>
                <w:sz w:val="21"/>
                <w:szCs w:val="21"/>
              </w:rPr>
              <w:t>颗粒物</w:t>
            </w:r>
          </w:p>
        </w:tc>
        <w:tc>
          <w:tcPr>
            <w:tcW w:w="713" w:type="pct"/>
            <w:gridSpan w:val="2"/>
            <w:vAlign w:val="center"/>
          </w:tcPr>
          <w:p w14:paraId="0E804330">
            <w:pPr>
              <w:jc w:val="center"/>
              <w:rPr>
                <w:rFonts w:ascii="Times New Roman"/>
                <w:bCs/>
                <w:sz w:val="21"/>
                <w:szCs w:val="21"/>
              </w:rPr>
            </w:pPr>
            <w:r>
              <w:rPr>
                <w:rFonts w:ascii="Times New Roman"/>
                <w:bCs/>
                <w:sz w:val="21"/>
                <w:szCs w:val="21"/>
              </w:rPr>
              <w:t>厂界</w:t>
            </w:r>
          </w:p>
        </w:tc>
        <w:tc>
          <w:tcPr>
            <w:tcW w:w="472" w:type="pct"/>
            <w:vAlign w:val="center"/>
          </w:tcPr>
          <w:p w14:paraId="7AF8CC0C">
            <w:pPr>
              <w:jc w:val="center"/>
              <w:rPr>
                <w:rFonts w:ascii="Times New Roman"/>
                <w:bCs/>
                <w:sz w:val="21"/>
                <w:szCs w:val="21"/>
              </w:rPr>
            </w:pPr>
            <w:r>
              <w:rPr>
                <w:rFonts w:ascii="Times New Roman"/>
                <w:bCs/>
                <w:sz w:val="21"/>
                <w:szCs w:val="21"/>
              </w:rPr>
              <w:t>1</w:t>
            </w:r>
          </w:p>
        </w:tc>
        <w:tc>
          <w:tcPr>
            <w:tcW w:w="499" w:type="pct"/>
            <w:vAlign w:val="center"/>
          </w:tcPr>
          <w:p w14:paraId="0DB4BF2E">
            <w:pPr>
              <w:jc w:val="center"/>
              <w:rPr>
                <w:rFonts w:ascii="Times New Roman"/>
                <w:sz w:val="21"/>
                <w:szCs w:val="21"/>
              </w:rPr>
            </w:pPr>
            <w:r>
              <w:rPr>
                <w:rFonts w:ascii="Times New Roman"/>
                <w:bCs/>
                <w:sz w:val="21"/>
                <w:szCs w:val="21"/>
              </w:rPr>
              <w:t>mg/m</w:t>
            </w:r>
            <w:r>
              <w:rPr>
                <w:rFonts w:ascii="Times New Roman"/>
                <w:bCs/>
                <w:sz w:val="21"/>
                <w:szCs w:val="21"/>
                <w:vertAlign w:val="superscript"/>
              </w:rPr>
              <w:t>3</w:t>
            </w:r>
          </w:p>
        </w:tc>
        <w:tc>
          <w:tcPr>
            <w:tcW w:w="2216" w:type="pct"/>
            <w:vAlign w:val="center"/>
          </w:tcPr>
          <w:p w14:paraId="72D419B9">
            <w:pPr>
              <w:jc w:val="center"/>
              <w:rPr>
                <w:rFonts w:ascii="Times New Roman"/>
                <w:bCs/>
                <w:sz w:val="21"/>
                <w:szCs w:val="21"/>
              </w:rPr>
            </w:pPr>
            <w:r>
              <w:rPr>
                <w:rFonts w:ascii="Times New Roman"/>
                <w:sz w:val="21"/>
                <w:szCs w:val="21"/>
                <w:lang w:val="zh-CN"/>
              </w:rPr>
              <w:t>《钢铁工业大气污染物超低排放标准》（DB13/2169-201</w:t>
            </w:r>
            <w:r>
              <w:rPr>
                <w:rFonts w:ascii="Times New Roman"/>
                <w:sz w:val="21"/>
                <w:szCs w:val="21"/>
              </w:rPr>
              <w:t>8</w:t>
            </w:r>
            <w:r>
              <w:rPr>
                <w:rFonts w:ascii="Times New Roman"/>
                <w:sz w:val="21"/>
                <w:szCs w:val="21"/>
                <w:lang w:val="zh-CN"/>
              </w:rPr>
              <w:t>）表</w:t>
            </w:r>
            <w:r>
              <w:rPr>
                <w:rFonts w:ascii="Times New Roman"/>
                <w:sz w:val="21"/>
                <w:szCs w:val="21"/>
              </w:rPr>
              <w:t>5企业大气污染物</w:t>
            </w:r>
            <w:r>
              <w:rPr>
                <w:rFonts w:ascii="Times New Roman"/>
                <w:sz w:val="21"/>
                <w:szCs w:val="21"/>
                <w:lang w:val="zh-CN"/>
              </w:rPr>
              <w:t>无组织排放浓度限值</w:t>
            </w:r>
          </w:p>
        </w:tc>
      </w:tr>
      <w:tr w14:paraId="2ACC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511" w:type="pct"/>
            <w:vMerge w:val="continue"/>
            <w:vAlign w:val="center"/>
          </w:tcPr>
          <w:p w14:paraId="4DB9A008">
            <w:pPr>
              <w:jc w:val="center"/>
              <w:rPr>
                <w:rFonts w:ascii="Times New Roman"/>
                <w:bCs/>
                <w:sz w:val="21"/>
                <w:szCs w:val="21"/>
              </w:rPr>
            </w:pPr>
          </w:p>
        </w:tc>
        <w:tc>
          <w:tcPr>
            <w:tcW w:w="586" w:type="pct"/>
            <w:vAlign w:val="center"/>
          </w:tcPr>
          <w:p w14:paraId="4EE62086">
            <w:pPr>
              <w:jc w:val="center"/>
              <w:rPr>
                <w:rFonts w:ascii="Times New Roman"/>
                <w:bCs/>
                <w:sz w:val="21"/>
                <w:szCs w:val="21"/>
              </w:rPr>
            </w:pPr>
            <w:r>
              <w:rPr>
                <w:rFonts w:hint="eastAsia" w:ascii="Times New Roman"/>
                <w:bCs/>
                <w:sz w:val="21"/>
                <w:szCs w:val="21"/>
              </w:rPr>
              <w:t>臭气浓度</w:t>
            </w:r>
          </w:p>
        </w:tc>
        <w:tc>
          <w:tcPr>
            <w:tcW w:w="713" w:type="pct"/>
            <w:gridSpan w:val="2"/>
            <w:vAlign w:val="center"/>
          </w:tcPr>
          <w:p w14:paraId="09A10C34">
            <w:pPr>
              <w:jc w:val="center"/>
              <w:rPr>
                <w:rFonts w:ascii="Times New Roman"/>
                <w:bCs/>
                <w:sz w:val="21"/>
                <w:szCs w:val="21"/>
              </w:rPr>
            </w:pPr>
            <w:r>
              <w:rPr>
                <w:rFonts w:ascii="Times New Roman"/>
                <w:bCs/>
                <w:sz w:val="21"/>
                <w:szCs w:val="21"/>
              </w:rPr>
              <w:t>厂界</w:t>
            </w:r>
          </w:p>
        </w:tc>
        <w:tc>
          <w:tcPr>
            <w:tcW w:w="472" w:type="pct"/>
            <w:vAlign w:val="center"/>
          </w:tcPr>
          <w:p w14:paraId="5E850C6E">
            <w:pPr>
              <w:jc w:val="center"/>
              <w:rPr>
                <w:rFonts w:ascii="Times New Roman"/>
                <w:bCs/>
                <w:sz w:val="21"/>
                <w:szCs w:val="21"/>
              </w:rPr>
            </w:pPr>
            <w:r>
              <w:rPr>
                <w:rFonts w:hint="eastAsia" w:ascii="Times New Roman"/>
                <w:bCs/>
                <w:sz w:val="21"/>
                <w:szCs w:val="21"/>
              </w:rPr>
              <w:t>20</w:t>
            </w:r>
          </w:p>
        </w:tc>
        <w:tc>
          <w:tcPr>
            <w:tcW w:w="499" w:type="pct"/>
            <w:vAlign w:val="center"/>
          </w:tcPr>
          <w:p w14:paraId="1CE72004">
            <w:pPr>
              <w:jc w:val="center"/>
              <w:rPr>
                <w:rFonts w:ascii="Times New Roman"/>
                <w:bCs/>
                <w:sz w:val="21"/>
                <w:szCs w:val="21"/>
              </w:rPr>
            </w:pPr>
            <w:r>
              <w:rPr>
                <w:rFonts w:hint="eastAsia" w:ascii="Times New Roman"/>
                <w:bCs/>
                <w:sz w:val="21"/>
                <w:szCs w:val="21"/>
              </w:rPr>
              <w:t>无量纲</w:t>
            </w:r>
          </w:p>
        </w:tc>
        <w:tc>
          <w:tcPr>
            <w:tcW w:w="2216" w:type="pct"/>
            <w:vAlign w:val="center"/>
          </w:tcPr>
          <w:p w14:paraId="067FC902">
            <w:pPr>
              <w:jc w:val="center"/>
              <w:rPr>
                <w:rFonts w:ascii="Times New Roman"/>
                <w:sz w:val="21"/>
                <w:szCs w:val="21"/>
                <w:lang w:val="zh-CN"/>
              </w:rPr>
            </w:pPr>
            <w:r>
              <w:rPr>
                <w:rFonts w:ascii="Times New Roman"/>
                <w:sz w:val="21"/>
                <w:szCs w:val="21"/>
                <w:lang w:val="zh-CN"/>
              </w:rPr>
              <w:t>《恶臭污染物排放标准》</w:t>
            </w:r>
            <w:r>
              <w:rPr>
                <w:rFonts w:hint="eastAsia" w:ascii="Times New Roman"/>
                <w:sz w:val="21"/>
                <w:szCs w:val="21"/>
                <w:lang w:val="zh-CN"/>
              </w:rPr>
              <w:t>（</w:t>
            </w:r>
            <w:r>
              <w:rPr>
                <w:rFonts w:ascii="Times New Roman"/>
                <w:sz w:val="21"/>
                <w:szCs w:val="21"/>
                <w:lang w:val="zh-CN"/>
              </w:rPr>
              <w:t>GB14554</w:t>
            </w:r>
            <w:r>
              <w:rPr>
                <w:rFonts w:hint="eastAsia" w:ascii="Times New Roman"/>
                <w:sz w:val="21"/>
                <w:szCs w:val="21"/>
              </w:rPr>
              <w:t>-</w:t>
            </w:r>
            <w:r>
              <w:rPr>
                <w:rFonts w:ascii="Times New Roman"/>
                <w:sz w:val="21"/>
                <w:szCs w:val="21"/>
                <w:lang w:val="zh-CN"/>
              </w:rPr>
              <w:t>93</w:t>
            </w:r>
            <w:r>
              <w:rPr>
                <w:rFonts w:hint="eastAsia" w:ascii="Times New Roman"/>
                <w:sz w:val="21"/>
                <w:szCs w:val="21"/>
                <w:lang w:val="zh-CN"/>
              </w:rPr>
              <w:t>）</w:t>
            </w:r>
            <w:r>
              <w:rPr>
                <w:rFonts w:ascii="Times New Roman"/>
                <w:sz w:val="21"/>
                <w:szCs w:val="21"/>
                <w:lang w:val="zh-CN"/>
              </w:rPr>
              <w:t>表1二级新扩改建标准</w:t>
            </w:r>
          </w:p>
        </w:tc>
      </w:tr>
      <w:tr w14:paraId="2F78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106F1245">
            <w:pPr>
              <w:jc w:val="center"/>
              <w:rPr>
                <w:rFonts w:ascii="Times New Roman"/>
                <w:bCs/>
                <w:sz w:val="21"/>
                <w:szCs w:val="21"/>
              </w:rPr>
            </w:pPr>
          </w:p>
        </w:tc>
        <w:tc>
          <w:tcPr>
            <w:tcW w:w="586" w:type="pct"/>
            <w:vAlign w:val="center"/>
          </w:tcPr>
          <w:p w14:paraId="407EAF2A">
            <w:pPr>
              <w:jc w:val="center"/>
              <w:rPr>
                <w:rFonts w:ascii="Times New Roman"/>
                <w:bCs/>
                <w:sz w:val="21"/>
                <w:szCs w:val="21"/>
              </w:rPr>
            </w:pPr>
            <w:r>
              <w:rPr>
                <w:rFonts w:ascii="Times New Roman"/>
                <w:bCs/>
                <w:sz w:val="21"/>
                <w:szCs w:val="21"/>
              </w:rPr>
              <w:t>二甲苯</w:t>
            </w:r>
          </w:p>
        </w:tc>
        <w:tc>
          <w:tcPr>
            <w:tcW w:w="713" w:type="pct"/>
            <w:gridSpan w:val="2"/>
            <w:vAlign w:val="center"/>
          </w:tcPr>
          <w:p w14:paraId="6E9ACB58">
            <w:pPr>
              <w:jc w:val="center"/>
              <w:rPr>
                <w:rFonts w:ascii="Times New Roman"/>
                <w:bCs/>
                <w:sz w:val="21"/>
                <w:szCs w:val="21"/>
              </w:rPr>
            </w:pPr>
            <w:r>
              <w:rPr>
                <w:rFonts w:ascii="Times New Roman"/>
                <w:bCs/>
                <w:sz w:val="21"/>
                <w:szCs w:val="21"/>
              </w:rPr>
              <w:t>厂界</w:t>
            </w:r>
          </w:p>
        </w:tc>
        <w:tc>
          <w:tcPr>
            <w:tcW w:w="472" w:type="pct"/>
            <w:vAlign w:val="center"/>
          </w:tcPr>
          <w:p w14:paraId="0079C372">
            <w:pPr>
              <w:jc w:val="center"/>
              <w:rPr>
                <w:rFonts w:ascii="Times New Roman"/>
                <w:bCs/>
                <w:sz w:val="21"/>
                <w:szCs w:val="21"/>
              </w:rPr>
            </w:pPr>
            <w:r>
              <w:rPr>
                <w:rFonts w:ascii="Times New Roman"/>
                <w:bCs/>
                <w:sz w:val="21"/>
                <w:szCs w:val="21"/>
              </w:rPr>
              <w:t>0.2</w:t>
            </w:r>
          </w:p>
        </w:tc>
        <w:tc>
          <w:tcPr>
            <w:tcW w:w="499" w:type="pct"/>
            <w:vAlign w:val="center"/>
          </w:tcPr>
          <w:p w14:paraId="478151F5">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765BA529">
            <w:pPr>
              <w:jc w:val="center"/>
              <w:rPr>
                <w:rFonts w:ascii="Times New Roman"/>
                <w:bCs/>
                <w:sz w:val="21"/>
                <w:szCs w:val="21"/>
              </w:rPr>
            </w:pPr>
          </w:p>
        </w:tc>
      </w:tr>
      <w:tr w14:paraId="4F2A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70FC760B">
            <w:pPr>
              <w:jc w:val="center"/>
              <w:rPr>
                <w:rFonts w:ascii="Times New Roman"/>
                <w:bCs/>
                <w:sz w:val="21"/>
                <w:szCs w:val="21"/>
              </w:rPr>
            </w:pPr>
          </w:p>
        </w:tc>
        <w:tc>
          <w:tcPr>
            <w:tcW w:w="586" w:type="pct"/>
            <w:vMerge w:val="restart"/>
            <w:vAlign w:val="center"/>
          </w:tcPr>
          <w:p w14:paraId="0438B024">
            <w:pPr>
              <w:jc w:val="center"/>
              <w:rPr>
                <w:rFonts w:ascii="Times New Roman"/>
                <w:bCs/>
                <w:sz w:val="21"/>
                <w:szCs w:val="21"/>
              </w:rPr>
            </w:pPr>
            <w:r>
              <w:rPr>
                <w:rFonts w:ascii="Times New Roman"/>
                <w:bCs/>
                <w:sz w:val="21"/>
                <w:szCs w:val="21"/>
              </w:rPr>
              <w:t>非甲烷总烃</w:t>
            </w:r>
          </w:p>
        </w:tc>
        <w:tc>
          <w:tcPr>
            <w:tcW w:w="713" w:type="pct"/>
            <w:gridSpan w:val="2"/>
            <w:vAlign w:val="center"/>
          </w:tcPr>
          <w:p w14:paraId="040DEB7D">
            <w:pPr>
              <w:jc w:val="center"/>
              <w:rPr>
                <w:rFonts w:ascii="Times New Roman"/>
                <w:bCs/>
                <w:sz w:val="21"/>
                <w:szCs w:val="21"/>
              </w:rPr>
            </w:pPr>
            <w:r>
              <w:rPr>
                <w:rFonts w:ascii="Times New Roman"/>
                <w:bCs/>
                <w:sz w:val="21"/>
                <w:szCs w:val="21"/>
              </w:rPr>
              <w:t>厂界</w:t>
            </w:r>
          </w:p>
        </w:tc>
        <w:tc>
          <w:tcPr>
            <w:tcW w:w="472" w:type="pct"/>
            <w:vAlign w:val="center"/>
          </w:tcPr>
          <w:p w14:paraId="11E62844">
            <w:pPr>
              <w:jc w:val="center"/>
              <w:rPr>
                <w:rFonts w:ascii="Times New Roman"/>
                <w:bCs/>
                <w:sz w:val="21"/>
                <w:szCs w:val="21"/>
              </w:rPr>
            </w:pPr>
            <w:r>
              <w:rPr>
                <w:rFonts w:ascii="Times New Roman"/>
                <w:bCs/>
                <w:sz w:val="21"/>
                <w:szCs w:val="21"/>
              </w:rPr>
              <w:t>2.0</w:t>
            </w:r>
          </w:p>
        </w:tc>
        <w:tc>
          <w:tcPr>
            <w:tcW w:w="499" w:type="pct"/>
            <w:vAlign w:val="center"/>
          </w:tcPr>
          <w:p w14:paraId="52D51B49">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7A9505D4">
            <w:pPr>
              <w:jc w:val="center"/>
              <w:rPr>
                <w:rFonts w:ascii="Times New Roman"/>
                <w:bCs/>
                <w:sz w:val="21"/>
                <w:szCs w:val="21"/>
              </w:rPr>
            </w:pPr>
          </w:p>
        </w:tc>
      </w:tr>
      <w:tr w14:paraId="63E3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511" w:type="pct"/>
            <w:vMerge w:val="continue"/>
            <w:vAlign w:val="center"/>
          </w:tcPr>
          <w:p w14:paraId="5B889AE0">
            <w:pPr>
              <w:jc w:val="center"/>
              <w:rPr>
                <w:rFonts w:ascii="Times New Roman"/>
                <w:bCs/>
                <w:sz w:val="21"/>
                <w:szCs w:val="21"/>
              </w:rPr>
            </w:pPr>
          </w:p>
        </w:tc>
        <w:tc>
          <w:tcPr>
            <w:tcW w:w="586" w:type="pct"/>
            <w:vMerge w:val="continue"/>
            <w:vAlign w:val="center"/>
          </w:tcPr>
          <w:p w14:paraId="39C918FB">
            <w:pPr>
              <w:jc w:val="center"/>
              <w:rPr>
                <w:rFonts w:ascii="Times New Roman"/>
                <w:bCs/>
                <w:sz w:val="21"/>
                <w:szCs w:val="21"/>
              </w:rPr>
            </w:pPr>
          </w:p>
        </w:tc>
        <w:tc>
          <w:tcPr>
            <w:tcW w:w="267" w:type="pct"/>
            <w:vMerge w:val="restart"/>
            <w:vAlign w:val="center"/>
          </w:tcPr>
          <w:p w14:paraId="12F75BD9">
            <w:pPr>
              <w:jc w:val="center"/>
              <w:rPr>
                <w:rFonts w:ascii="Times New Roman"/>
                <w:bCs/>
                <w:sz w:val="21"/>
                <w:szCs w:val="21"/>
              </w:rPr>
            </w:pPr>
            <w:r>
              <w:rPr>
                <w:rFonts w:ascii="Times New Roman"/>
                <w:bCs/>
                <w:sz w:val="21"/>
                <w:szCs w:val="21"/>
              </w:rPr>
              <w:t>厂区</w:t>
            </w:r>
          </w:p>
        </w:tc>
        <w:tc>
          <w:tcPr>
            <w:tcW w:w="445" w:type="pct"/>
            <w:vAlign w:val="center"/>
          </w:tcPr>
          <w:p w14:paraId="292A9D06">
            <w:pPr>
              <w:jc w:val="center"/>
              <w:rPr>
                <w:rFonts w:ascii="Times New Roman"/>
                <w:bCs/>
                <w:sz w:val="21"/>
                <w:szCs w:val="21"/>
              </w:rPr>
            </w:pPr>
            <w:r>
              <w:rPr>
                <w:rFonts w:ascii="Times New Roman"/>
                <w:bCs/>
                <w:sz w:val="21"/>
                <w:szCs w:val="21"/>
              </w:rPr>
              <w:t>监控点1h平均浓度</w:t>
            </w:r>
          </w:p>
        </w:tc>
        <w:tc>
          <w:tcPr>
            <w:tcW w:w="472" w:type="pct"/>
            <w:vAlign w:val="center"/>
          </w:tcPr>
          <w:p w14:paraId="49728BD8">
            <w:pPr>
              <w:jc w:val="center"/>
              <w:rPr>
                <w:rFonts w:ascii="Times New Roman"/>
                <w:bCs/>
                <w:sz w:val="21"/>
                <w:szCs w:val="21"/>
              </w:rPr>
            </w:pPr>
            <w:r>
              <w:rPr>
                <w:rFonts w:ascii="Times New Roman"/>
                <w:bCs/>
                <w:sz w:val="21"/>
                <w:szCs w:val="21"/>
              </w:rPr>
              <w:t>6.0</w:t>
            </w:r>
          </w:p>
        </w:tc>
        <w:tc>
          <w:tcPr>
            <w:tcW w:w="499" w:type="pct"/>
            <w:vAlign w:val="center"/>
          </w:tcPr>
          <w:p w14:paraId="653BF333">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4AFF4BEA">
            <w:pPr>
              <w:jc w:val="center"/>
              <w:rPr>
                <w:rFonts w:ascii="Times New Roman"/>
                <w:bCs/>
                <w:sz w:val="21"/>
                <w:szCs w:val="21"/>
              </w:rPr>
            </w:pPr>
            <w:r>
              <w:rPr>
                <w:rFonts w:ascii="Times New Roman"/>
                <w:bCs/>
                <w:sz w:val="21"/>
                <w:szCs w:val="21"/>
              </w:rPr>
              <w:t>《挥发性有机物无组织排放控制标准》（GB 37822-2019）标准要求</w:t>
            </w:r>
          </w:p>
        </w:tc>
      </w:tr>
      <w:tr w14:paraId="4D31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511" w:type="pct"/>
            <w:vMerge w:val="continue"/>
            <w:vAlign w:val="center"/>
          </w:tcPr>
          <w:p w14:paraId="02E5487C">
            <w:pPr>
              <w:jc w:val="center"/>
              <w:rPr>
                <w:rFonts w:ascii="Times New Roman"/>
                <w:bCs/>
                <w:sz w:val="21"/>
                <w:szCs w:val="21"/>
              </w:rPr>
            </w:pPr>
          </w:p>
        </w:tc>
        <w:tc>
          <w:tcPr>
            <w:tcW w:w="586" w:type="pct"/>
            <w:vMerge w:val="continue"/>
            <w:vAlign w:val="center"/>
          </w:tcPr>
          <w:p w14:paraId="0E1A492A">
            <w:pPr>
              <w:jc w:val="center"/>
              <w:rPr>
                <w:rFonts w:ascii="Times New Roman"/>
                <w:bCs/>
                <w:sz w:val="21"/>
                <w:szCs w:val="21"/>
              </w:rPr>
            </w:pPr>
          </w:p>
        </w:tc>
        <w:tc>
          <w:tcPr>
            <w:tcW w:w="267" w:type="pct"/>
            <w:vMerge w:val="continue"/>
            <w:vAlign w:val="center"/>
          </w:tcPr>
          <w:p w14:paraId="68ACF6BB">
            <w:pPr>
              <w:jc w:val="center"/>
              <w:rPr>
                <w:rFonts w:ascii="Times New Roman"/>
                <w:bCs/>
                <w:sz w:val="21"/>
                <w:szCs w:val="21"/>
              </w:rPr>
            </w:pPr>
          </w:p>
        </w:tc>
        <w:tc>
          <w:tcPr>
            <w:tcW w:w="445" w:type="pct"/>
            <w:vAlign w:val="center"/>
          </w:tcPr>
          <w:p w14:paraId="60DE5BDF">
            <w:pPr>
              <w:jc w:val="center"/>
              <w:rPr>
                <w:rFonts w:ascii="Times New Roman"/>
                <w:bCs/>
                <w:sz w:val="21"/>
                <w:szCs w:val="21"/>
              </w:rPr>
            </w:pPr>
            <w:r>
              <w:rPr>
                <w:rFonts w:ascii="Times New Roman"/>
                <w:bCs/>
                <w:sz w:val="21"/>
                <w:szCs w:val="21"/>
              </w:rPr>
              <w:t>监控点任意一次浓度</w:t>
            </w:r>
          </w:p>
        </w:tc>
        <w:tc>
          <w:tcPr>
            <w:tcW w:w="472" w:type="pct"/>
            <w:vAlign w:val="center"/>
          </w:tcPr>
          <w:p w14:paraId="66A176ED">
            <w:pPr>
              <w:jc w:val="center"/>
              <w:rPr>
                <w:rFonts w:ascii="Times New Roman"/>
                <w:bCs/>
                <w:sz w:val="21"/>
                <w:szCs w:val="21"/>
              </w:rPr>
            </w:pPr>
            <w:r>
              <w:rPr>
                <w:rFonts w:ascii="Times New Roman"/>
                <w:bCs/>
                <w:sz w:val="21"/>
                <w:szCs w:val="21"/>
              </w:rPr>
              <w:t>20</w:t>
            </w:r>
          </w:p>
        </w:tc>
        <w:tc>
          <w:tcPr>
            <w:tcW w:w="499" w:type="pct"/>
            <w:vAlign w:val="center"/>
          </w:tcPr>
          <w:p w14:paraId="73B62474">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17566042">
            <w:pPr>
              <w:jc w:val="center"/>
              <w:rPr>
                <w:rFonts w:ascii="Times New Roman"/>
                <w:bCs/>
                <w:sz w:val="21"/>
                <w:szCs w:val="21"/>
              </w:rPr>
            </w:pPr>
          </w:p>
        </w:tc>
      </w:tr>
      <w:tr w14:paraId="4D89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continue"/>
            <w:vAlign w:val="center"/>
          </w:tcPr>
          <w:p w14:paraId="52251A9F">
            <w:pPr>
              <w:jc w:val="center"/>
              <w:rPr>
                <w:rFonts w:ascii="Times New Roman"/>
                <w:bCs/>
                <w:sz w:val="21"/>
                <w:szCs w:val="21"/>
              </w:rPr>
            </w:pPr>
          </w:p>
        </w:tc>
        <w:tc>
          <w:tcPr>
            <w:tcW w:w="586" w:type="pct"/>
            <w:vAlign w:val="center"/>
          </w:tcPr>
          <w:p w14:paraId="579BB054">
            <w:pPr>
              <w:jc w:val="center"/>
              <w:rPr>
                <w:rFonts w:ascii="Times New Roman"/>
                <w:bCs/>
                <w:sz w:val="21"/>
                <w:szCs w:val="21"/>
              </w:rPr>
            </w:pPr>
            <w:r>
              <w:rPr>
                <w:rFonts w:ascii="Times New Roman"/>
                <w:bCs/>
                <w:sz w:val="21"/>
                <w:szCs w:val="21"/>
              </w:rPr>
              <w:t>非甲烷总烃</w:t>
            </w:r>
          </w:p>
        </w:tc>
        <w:tc>
          <w:tcPr>
            <w:tcW w:w="713" w:type="pct"/>
            <w:gridSpan w:val="2"/>
            <w:vMerge w:val="restart"/>
            <w:vAlign w:val="center"/>
          </w:tcPr>
          <w:p w14:paraId="63502D1B">
            <w:pPr>
              <w:jc w:val="center"/>
              <w:rPr>
                <w:rFonts w:ascii="Times New Roman"/>
                <w:bCs/>
                <w:sz w:val="21"/>
                <w:szCs w:val="21"/>
              </w:rPr>
            </w:pPr>
            <w:r>
              <w:rPr>
                <w:rFonts w:ascii="Times New Roman"/>
                <w:bCs/>
                <w:sz w:val="21"/>
                <w:szCs w:val="21"/>
              </w:rPr>
              <w:t>生产车间或者设备边界</w:t>
            </w:r>
          </w:p>
        </w:tc>
        <w:tc>
          <w:tcPr>
            <w:tcW w:w="472" w:type="pct"/>
            <w:vAlign w:val="center"/>
          </w:tcPr>
          <w:p w14:paraId="48B01EED">
            <w:pPr>
              <w:jc w:val="center"/>
              <w:rPr>
                <w:rFonts w:ascii="Times New Roman"/>
                <w:bCs/>
                <w:sz w:val="21"/>
                <w:szCs w:val="21"/>
              </w:rPr>
            </w:pPr>
            <w:r>
              <w:rPr>
                <w:rFonts w:ascii="Times New Roman"/>
                <w:bCs/>
                <w:sz w:val="21"/>
                <w:szCs w:val="21"/>
              </w:rPr>
              <w:t>4.0</w:t>
            </w:r>
          </w:p>
        </w:tc>
        <w:tc>
          <w:tcPr>
            <w:tcW w:w="499" w:type="pct"/>
            <w:vAlign w:val="center"/>
          </w:tcPr>
          <w:p w14:paraId="357E29F1">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restart"/>
            <w:vAlign w:val="center"/>
          </w:tcPr>
          <w:p w14:paraId="31DB1183">
            <w:pPr>
              <w:jc w:val="center"/>
              <w:rPr>
                <w:rFonts w:ascii="Times New Roman"/>
                <w:bCs/>
                <w:sz w:val="21"/>
                <w:szCs w:val="21"/>
              </w:rPr>
            </w:pPr>
            <w:r>
              <w:rPr>
                <w:rFonts w:ascii="Times New Roman"/>
                <w:bCs/>
                <w:sz w:val="21"/>
                <w:szCs w:val="21"/>
              </w:rPr>
              <w:t>《工业企业挥发性有机物排放控制标准》（DB13/2322-2016）表3生产车间或生产设备边界大气污染物浓度限值</w:t>
            </w:r>
          </w:p>
        </w:tc>
      </w:tr>
      <w:tr w14:paraId="6B47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11" w:type="pct"/>
            <w:vMerge w:val="continue"/>
            <w:vAlign w:val="center"/>
          </w:tcPr>
          <w:p w14:paraId="3F246BA9">
            <w:pPr>
              <w:jc w:val="center"/>
              <w:rPr>
                <w:rFonts w:ascii="Times New Roman"/>
                <w:bCs/>
                <w:sz w:val="21"/>
                <w:szCs w:val="21"/>
              </w:rPr>
            </w:pPr>
          </w:p>
        </w:tc>
        <w:tc>
          <w:tcPr>
            <w:tcW w:w="586" w:type="pct"/>
            <w:vAlign w:val="center"/>
          </w:tcPr>
          <w:p w14:paraId="7C61D1BA">
            <w:pPr>
              <w:jc w:val="center"/>
              <w:rPr>
                <w:rFonts w:ascii="Times New Roman"/>
                <w:bCs/>
                <w:sz w:val="21"/>
                <w:szCs w:val="21"/>
              </w:rPr>
            </w:pPr>
            <w:r>
              <w:rPr>
                <w:rFonts w:ascii="Times New Roman"/>
                <w:bCs/>
                <w:sz w:val="21"/>
                <w:szCs w:val="21"/>
              </w:rPr>
              <w:t>二甲苯</w:t>
            </w:r>
          </w:p>
        </w:tc>
        <w:tc>
          <w:tcPr>
            <w:tcW w:w="713" w:type="pct"/>
            <w:gridSpan w:val="2"/>
            <w:vMerge w:val="continue"/>
            <w:vAlign w:val="center"/>
          </w:tcPr>
          <w:p w14:paraId="2687171F">
            <w:pPr>
              <w:jc w:val="center"/>
              <w:rPr>
                <w:rFonts w:ascii="Times New Roman"/>
                <w:bCs/>
                <w:sz w:val="21"/>
                <w:szCs w:val="21"/>
              </w:rPr>
            </w:pPr>
          </w:p>
        </w:tc>
        <w:tc>
          <w:tcPr>
            <w:tcW w:w="472" w:type="pct"/>
            <w:vAlign w:val="center"/>
          </w:tcPr>
          <w:p w14:paraId="0C71A2FA">
            <w:pPr>
              <w:jc w:val="center"/>
              <w:rPr>
                <w:rFonts w:ascii="Times New Roman"/>
                <w:bCs/>
                <w:sz w:val="21"/>
                <w:szCs w:val="21"/>
              </w:rPr>
            </w:pPr>
            <w:r>
              <w:rPr>
                <w:rFonts w:ascii="Times New Roman"/>
                <w:bCs/>
                <w:sz w:val="21"/>
                <w:szCs w:val="21"/>
              </w:rPr>
              <w:t>1.2</w:t>
            </w:r>
          </w:p>
        </w:tc>
        <w:tc>
          <w:tcPr>
            <w:tcW w:w="499" w:type="pct"/>
            <w:vAlign w:val="center"/>
          </w:tcPr>
          <w:p w14:paraId="3B7FA2AF">
            <w:pPr>
              <w:jc w:val="center"/>
              <w:rPr>
                <w:rFonts w:ascii="Times New Roman"/>
                <w:bCs/>
                <w:sz w:val="21"/>
                <w:szCs w:val="21"/>
              </w:rPr>
            </w:pPr>
            <w:r>
              <w:rPr>
                <w:rFonts w:ascii="Times New Roman"/>
                <w:bCs/>
                <w:sz w:val="21"/>
                <w:szCs w:val="21"/>
              </w:rPr>
              <w:t>mg/m</w:t>
            </w:r>
            <w:r>
              <w:rPr>
                <w:rFonts w:ascii="Times New Roman"/>
                <w:bCs/>
                <w:sz w:val="21"/>
                <w:szCs w:val="21"/>
                <w:vertAlign w:val="superscript"/>
              </w:rPr>
              <w:t>3</w:t>
            </w:r>
          </w:p>
        </w:tc>
        <w:tc>
          <w:tcPr>
            <w:tcW w:w="2216" w:type="pct"/>
            <w:vMerge w:val="continue"/>
            <w:vAlign w:val="center"/>
          </w:tcPr>
          <w:p w14:paraId="373BC3D2">
            <w:pPr>
              <w:jc w:val="center"/>
              <w:rPr>
                <w:rFonts w:ascii="Times New Roman"/>
                <w:bCs/>
                <w:sz w:val="21"/>
                <w:szCs w:val="21"/>
              </w:rPr>
            </w:pPr>
          </w:p>
        </w:tc>
      </w:tr>
      <w:tr w14:paraId="2F90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511" w:type="pct"/>
            <w:vAlign w:val="center"/>
          </w:tcPr>
          <w:p w14:paraId="76F65636">
            <w:pPr>
              <w:jc w:val="center"/>
              <w:rPr>
                <w:rFonts w:ascii="Times New Roman"/>
                <w:bCs/>
                <w:sz w:val="21"/>
                <w:szCs w:val="21"/>
              </w:rPr>
            </w:pPr>
            <w:r>
              <w:rPr>
                <w:rFonts w:ascii="Times New Roman"/>
                <w:bCs/>
                <w:sz w:val="21"/>
                <w:szCs w:val="21"/>
              </w:rPr>
              <w:t>废水</w:t>
            </w:r>
          </w:p>
        </w:tc>
        <w:tc>
          <w:tcPr>
            <w:tcW w:w="586" w:type="pct"/>
            <w:vAlign w:val="center"/>
          </w:tcPr>
          <w:p w14:paraId="25CBBDFC">
            <w:pPr>
              <w:jc w:val="center"/>
              <w:rPr>
                <w:rFonts w:ascii="Times New Roman"/>
                <w:bCs/>
                <w:sz w:val="21"/>
                <w:szCs w:val="21"/>
              </w:rPr>
            </w:pPr>
            <w:r>
              <w:rPr>
                <w:rFonts w:ascii="Times New Roman"/>
                <w:bCs/>
                <w:sz w:val="21"/>
                <w:szCs w:val="21"/>
              </w:rPr>
              <w:t>废水总排口</w:t>
            </w:r>
          </w:p>
        </w:tc>
        <w:tc>
          <w:tcPr>
            <w:tcW w:w="1685" w:type="pct"/>
            <w:gridSpan w:val="4"/>
            <w:vAlign w:val="center"/>
          </w:tcPr>
          <w:p w14:paraId="63F5B1DE">
            <w:pPr>
              <w:jc w:val="center"/>
              <w:rPr>
                <w:rFonts w:ascii="Times New Roman"/>
                <w:bCs/>
                <w:sz w:val="21"/>
                <w:szCs w:val="21"/>
              </w:rPr>
            </w:pPr>
            <w:r>
              <w:rPr>
                <w:rFonts w:ascii="Times New Roman"/>
                <w:bCs/>
                <w:sz w:val="21"/>
                <w:szCs w:val="21"/>
              </w:rPr>
              <w:t>pH：6~9</w:t>
            </w:r>
          </w:p>
          <w:p w14:paraId="3378E7C7">
            <w:pPr>
              <w:jc w:val="center"/>
              <w:rPr>
                <w:rFonts w:ascii="Times New Roman"/>
                <w:bCs/>
                <w:sz w:val="21"/>
                <w:szCs w:val="21"/>
              </w:rPr>
            </w:pPr>
            <w:r>
              <w:rPr>
                <w:rFonts w:ascii="Times New Roman"/>
                <w:bCs/>
                <w:sz w:val="21"/>
                <w:szCs w:val="21"/>
              </w:rPr>
              <w:t>SS：</w:t>
            </w:r>
            <w:r>
              <w:rPr>
                <w:rFonts w:hint="eastAsia" w:ascii="Times New Roman"/>
                <w:bCs/>
                <w:sz w:val="21"/>
                <w:szCs w:val="21"/>
              </w:rPr>
              <w:t>39</w:t>
            </w:r>
            <w:r>
              <w:rPr>
                <w:rFonts w:ascii="Times New Roman"/>
                <w:bCs/>
                <w:sz w:val="21"/>
                <w:szCs w:val="21"/>
              </w:rPr>
              <w:t>0mg/L，</w:t>
            </w:r>
          </w:p>
          <w:p w14:paraId="6A393D65">
            <w:pPr>
              <w:jc w:val="center"/>
              <w:rPr>
                <w:rFonts w:ascii="Times New Roman"/>
                <w:bCs/>
                <w:sz w:val="21"/>
                <w:szCs w:val="21"/>
              </w:rPr>
            </w:pPr>
            <w:r>
              <w:rPr>
                <w:rFonts w:ascii="Times New Roman"/>
                <w:bCs/>
                <w:sz w:val="21"/>
                <w:szCs w:val="21"/>
              </w:rPr>
              <w:t>COD：350mg/L</w:t>
            </w:r>
          </w:p>
          <w:p w14:paraId="64A0B74D">
            <w:pPr>
              <w:jc w:val="center"/>
              <w:rPr>
                <w:rFonts w:ascii="Times New Roman"/>
                <w:bCs/>
                <w:sz w:val="21"/>
                <w:szCs w:val="21"/>
              </w:rPr>
            </w:pPr>
            <w:r>
              <w:rPr>
                <w:rFonts w:ascii="Times New Roman"/>
                <w:bCs/>
                <w:sz w:val="21"/>
                <w:szCs w:val="21"/>
              </w:rPr>
              <w:t>BOD</w:t>
            </w:r>
            <w:r>
              <w:rPr>
                <w:rFonts w:ascii="Times New Roman"/>
                <w:bCs/>
                <w:sz w:val="21"/>
                <w:szCs w:val="21"/>
                <w:vertAlign w:val="subscript"/>
              </w:rPr>
              <w:t>5</w:t>
            </w:r>
            <w:r>
              <w:rPr>
                <w:rFonts w:ascii="Times New Roman"/>
                <w:bCs/>
                <w:sz w:val="21"/>
                <w:szCs w:val="21"/>
              </w:rPr>
              <w:t>：1</w:t>
            </w:r>
            <w:r>
              <w:rPr>
                <w:rFonts w:hint="eastAsia" w:ascii="Times New Roman"/>
                <w:bCs/>
                <w:sz w:val="21"/>
                <w:szCs w:val="21"/>
              </w:rPr>
              <w:t>5</w:t>
            </w:r>
            <w:r>
              <w:rPr>
                <w:rFonts w:ascii="Times New Roman"/>
                <w:bCs/>
                <w:sz w:val="21"/>
                <w:szCs w:val="21"/>
              </w:rPr>
              <w:t>0mg/L，</w:t>
            </w:r>
          </w:p>
          <w:p w14:paraId="5D6A9560">
            <w:pPr>
              <w:jc w:val="center"/>
              <w:rPr>
                <w:rFonts w:ascii="Times New Roman"/>
                <w:bCs/>
                <w:sz w:val="21"/>
                <w:szCs w:val="21"/>
              </w:rPr>
            </w:pPr>
            <w:r>
              <w:rPr>
                <w:rFonts w:ascii="Times New Roman"/>
                <w:bCs/>
                <w:sz w:val="21"/>
                <w:szCs w:val="21"/>
              </w:rPr>
              <w:t>NH</w:t>
            </w:r>
            <w:r>
              <w:rPr>
                <w:rFonts w:ascii="Times New Roman"/>
                <w:bCs/>
                <w:sz w:val="21"/>
                <w:szCs w:val="21"/>
                <w:vertAlign w:val="subscript"/>
              </w:rPr>
              <w:t>3</w:t>
            </w:r>
            <w:r>
              <w:rPr>
                <w:rFonts w:ascii="Times New Roman"/>
                <w:bCs/>
                <w:sz w:val="21"/>
                <w:szCs w:val="21"/>
              </w:rPr>
              <w:t>-N：35mg/L</w:t>
            </w:r>
          </w:p>
          <w:p w14:paraId="112D2AA3">
            <w:pPr>
              <w:jc w:val="center"/>
              <w:rPr>
                <w:rFonts w:ascii="Times New Roman"/>
                <w:bCs/>
                <w:sz w:val="21"/>
                <w:szCs w:val="21"/>
              </w:rPr>
            </w:pPr>
            <w:r>
              <w:rPr>
                <w:rFonts w:ascii="Times New Roman"/>
                <w:bCs/>
                <w:sz w:val="21"/>
                <w:szCs w:val="21"/>
              </w:rPr>
              <w:t>总氮：40mg/L，</w:t>
            </w:r>
          </w:p>
          <w:p w14:paraId="44C8D040">
            <w:pPr>
              <w:jc w:val="center"/>
              <w:rPr>
                <w:rFonts w:ascii="Times New Roman"/>
                <w:bCs/>
                <w:sz w:val="21"/>
                <w:szCs w:val="21"/>
              </w:rPr>
            </w:pPr>
            <w:r>
              <w:rPr>
                <w:rFonts w:ascii="Times New Roman"/>
                <w:bCs/>
                <w:sz w:val="21"/>
                <w:szCs w:val="21"/>
              </w:rPr>
              <w:t>总磷：</w:t>
            </w:r>
            <w:r>
              <w:rPr>
                <w:rFonts w:hint="eastAsia" w:ascii="Times New Roman"/>
                <w:bCs/>
                <w:sz w:val="21"/>
                <w:szCs w:val="21"/>
              </w:rPr>
              <w:t>6</w:t>
            </w:r>
            <w:r>
              <w:rPr>
                <w:rFonts w:ascii="Times New Roman"/>
                <w:bCs/>
                <w:sz w:val="21"/>
                <w:szCs w:val="21"/>
              </w:rPr>
              <w:t>mg/L</w:t>
            </w:r>
            <w:r>
              <w:rPr>
                <w:rFonts w:hint="eastAsia" w:ascii="Times New Roman"/>
                <w:bCs/>
                <w:sz w:val="21"/>
                <w:szCs w:val="21"/>
              </w:rPr>
              <w:t>，</w:t>
            </w:r>
          </w:p>
          <w:p w14:paraId="47CF2415">
            <w:pPr>
              <w:jc w:val="center"/>
              <w:rPr>
                <w:rFonts w:ascii="Times New Roman"/>
                <w:bCs/>
                <w:sz w:val="21"/>
                <w:szCs w:val="21"/>
              </w:rPr>
            </w:pPr>
            <w:r>
              <w:rPr>
                <w:rFonts w:hint="eastAsia" w:ascii="Times New Roman"/>
                <w:bCs/>
                <w:sz w:val="21"/>
                <w:szCs w:val="21"/>
              </w:rPr>
              <w:t>动植物油：100</w:t>
            </w:r>
            <w:r>
              <w:rPr>
                <w:rFonts w:ascii="Times New Roman"/>
                <w:bCs/>
                <w:sz w:val="21"/>
                <w:szCs w:val="21"/>
              </w:rPr>
              <w:t>mg/L</w:t>
            </w:r>
          </w:p>
          <w:p w14:paraId="25DD90C9">
            <w:pPr>
              <w:jc w:val="center"/>
            </w:pPr>
            <w:r>
              <w:rPr>
                <w:rFonts w:hint="eastAsia" w:ascii="Times New Roman"/>
                <w:bCs/>
                <w:sz w:val="21"/>
                <w:szCs w:val="21"/>
              </w:rPr>
              <w:t>石油类：20</w:t>
            </w:r>
            <w:r>
              <w:rPr>
                <w:rFonts w:ascii="Times New Roman"/>
                <w:bCs/>
                <w:sz w:val="21"/>
                <w:szCs w:val="21"/>
              </w:rPr>
              <w:t>mg/L</w:t>
            </w:r>
          </w:p>
        </w:tc>
        <w:tc>
          <w:tcPr>
            <w:tcW w:w="2216" w:type="pct"/>
            <w:vAlign w:val="center"/>
          </w:tcPr>
          <w:p w14:paraId="6C9CEC9D">
            <w:pPr>
              <w:jc w:val="center"/>
              <w:rPr>
                <w:rFonts w:ascii="Times New Roman"/>
                <w:bCs/>
                <w:sz w:val="21"/>
                <w:szCs w:val="21"/>
              </w:rPr>
            </w:pPr>
            <w:r>
              <w:rPr>
                <w:rFonts w:ascii="Times New Roman"/>
                <w:bCs/>
                <w:sz w:val="21"/>
                <w:szCs w:val="21"/>
              </w:rPr>
              <w:t>《污水综合排放标准》（GB8978-1996）表4中三级标准，同时满足曹妃甸装备制造园区</w:t>
            </w:r>
            <w:r>
              <w:rPr>
                <w:rFonts w:hint="eastAsia" w:ascii="Times New Roman"/>
                <w:bCs/>
                <w:sz w:val="21"/>
                <w:szCs w:val="21"/>
              </w:rPr>
              <w:t>污水处理站</w:t>
            </w:r>
            <w:r>
              <w:rPr>
                <w:rFonts w:ascii="Times New Roman"/>
                <w:bCs/>
                <w:sz w:val="21"/>
                <w:szCs w:val="21"/>
              </w:rPr>
              <w:t>进水水质要求</w:t>
            </w:r>
          </w:p>
        </w:tc>
      </w:tr>
      <w:tr w14:paraId="1C87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restart"/>
            <w:vAlign w:val="center"/>
          </w:tcPr>
          <w:p w14:paraId="6F973D72">
            <w:pPr>
              <w:jc w:val="center"/>
              <w:rPr>
                <w:rFonts w:ascii="Times New Roman"/>
                <w:bCs/>
                <w:sz w:val="21"/>
                <w:szCs w:val="21"/>
              </w:rPr>
            </w:pPr>
            <w:r>
              <w:rPr>
                <w:rFonts w:ascii="Times New Roman"/>
                <w:sz w:val="21"/>
                <w:szCs w:val="21"/>
              </w:rPr>
              <w:t>噪声</w:t>
            </w:r>
          </w:p>
        </w:tc>
        <w:tc>
          <w:tcPr>
            <w:tcW w:w="586" w:type="pct"/>
            <w:vAlign w:val="center"/>
          </w:tcPr>
          <w:p w14:paraId="73F8C97F">
            <w:pPr>
              <w:jc w:val="center"/>
              <w:rPr>
                <w:rFonts w:ascii="Times New Roman"/>
                <w:bCs/>
                <w:sz w:val="21"/>
                <w:szCs w:val="21"/>
              </w:rPr>
            </w:pPr>
            <w:r>
              <w:rPr>
                <w:rFonts w:ascii="Times New Roman"/>
                <w:sz w:val="21"/>
                <w:szCs w:val="21"/>
              </w:rPr>
              <w:t>施工期</w:t>
            </w:r>
          </w:p>
        </w:tc>
        <w:tc>
          <w:tcPr>
            <w:tcW w:w="1685" w:type="pct"/>
            <w:gridSpan w:val="4"/>
            <w:vAlign w:val="center"/>
          </w:tcPr>
          <w:p w14:paraId="3BF7ABF8">
            <w:pPr>
              <w:jc w:val="center"/>
              <w:rPr>
                <w:rFonts w:ascii="Times New Roman"/>
                <w:bCs/>
                <w:sz w:val="21"/>
                <w:szCs w:val="21"/>
              </w:rPr>
            </w:pPr>
            <w:r>
              <w:rPr>
                <w:rFonts w:ascii="Times New Roman"/>
                <w:sz w:val="21"/>
                <w:szCs w:val="21"/>
              </w:rPr>
              <w:t>昼：70dB（A） 夜：55dB（A）</w:t>
            </w:r>
          </w:p>
        </w:tc>
        <w:tc>
          <w:tcPr>
            <w:tcW w:w="2216" w:type="pct"/>
            <w:vAlign w:val="center"/>
          </w:tcPr>
          <w:p w14:paraId="6C14CA7E">
            <w:pPr>
              <w:jc w:val="center"/>
              <w:rPr>
                <w:rFonts w:ascii="Times New Roman"/>
                <w:bCs/>
                <w:sz w:val="21"/>
                <w:szCs w:val="21"/>
              </w:rPr>
            </w:pPr>
            <w:r>
              <w:rPr>
                <w:rFonts w:ascii="Times New Roman"/>
                <w:sz w:val="21"/>
                <w:szCs w:val="21"/>
              </w:rPr>
              <w:t>《建筑施工场界环境噪声排放标准》（GB12523-2011）中标准限值</w:t>
            </w:r>
          </w:p>
        </w:tc>
      </w:tr>
      <w:tr w14:paraId="4B2E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11" w:type="pct"/>
            <w:vMerge w:val="continue"/>
            <w:vAlign w:val="center"/>
          </w:tcPr>
          <w:p w14:paraId="3A8B8EF5">
            <w:pPr>
              <w:jc w:val="center"/>
              <w:rPr>
                <w:rFonts w:ascii="Times New Roman"/>
                <w:sz w:val="21"/>
                <w:szCs w:val="21"/>
              </w:rPr>
            </w:pPr>
          </w:p>
        </w:tc>
        <w:tc>
          <w:tcPr>
            <w:tcW w:w="586" w:type="pct"/>
            <w:vAlign w:val="center"/>
          </w:tcPr>
          <w:p w14:paraId="2933BE25">
            <w:pPr>
              <w:jc w:val="center"/>
              <w:rPr>
                <w:rFonts w:ascii="Times New Roman"/>
                <w:sz w:val="21"/>
                <w:szCs w:val="21"/>
              </w:rPr>
            </w:pPr>
            <w:r>
              <w:rPr>
                <w:rFonts w:ascii="Times New Roman"/>
                <w:sz w:val="21"/>
                <w:szCs w:val="21"/>
              </w:rPr>
              <w:t>运营期</w:t>
            </w:r>
          </w:p>
        </w:tc>
        <w:tc>
          <w:tcPr>
            <w:tcW w:w="1685" w:type="pct"/>
            <w:gridSpan w:val="4"/>
            <w:vAlign w:val="center"/>
          </w:tcPr>
          <w:p w14:paraId="27400724">
            <w:pPr>
              <w:jc w:val="center"/>
              <w:rPr>
                <w:rFonts w:ascii="Times New Roman"/>
                <w:sz w:val="21"/>
                <w:szCs w:val="21"/>
              </w:rPr>
            </w:pPr>
            <w:r>
              <w:rPr>
                <w:rFonts w:ascii="Times New Roman"/>
                <w:sz w:val="21"/>
                <w:szCs w:val="21"/>
              </w:rPr>
              <w:t>厂界：</w:t>
            </w:r>
          </w:p>
          <w:p w14:paraId="6F90E834">
            <w:pPr>
              <w:jc w:val="center"/>
              <w:rPr>
                <w:rFonts w:ascii="Times New Roman"/>
                <w:bCs/>
                <w:sz w:val="21"/>
                <w:szCs w:val="21"/>
              </w:rPr>
            </w:pPr>
            <w:r>
              <w:rPr>
                <w:rFonts w:ascii="Times New Roman"/>
                <w:sz w:val="21"/>
                <w:szCs w:val="21"/>
              </w:rPr>
              <w:t>昼：65dB（A） 夜：55dB（A）</w:t>
            </w:r>
          </w:p>
        </w:tc>
        <w:tc>
          <w:tcPr>
            <w:tcW w:w="2216" w:type="pct"/>
            <w:vAlign w:val="center"/>
          </w:tcPr>
          <w:p w14:paraId="5FAB5632">
            <w:pPr>
              <w:jc w:val="center"/>
              <w:rPr>
                <w:rFonts w:ascii="Times New Roman"/>
                <w:bCs/>
                <w:sz w:val="21"/>
                <w:szCs w:val="21"/>
              </w:rPr>
            </w:pPr>
            <w:r>
              <w:rPr>
                <w:rFonts w:ascii="Times New Roman"/>
                <w:sz w:val="21"/>
                <w:szCs w:val="21"/>
              </w:rPr>
              <w:t>《工业企业厂界环境噪声排放标准》（GB12348-2008）3类标准</w:t>
            </w:r>
          </w:p>
        </w:tc>
      </w:tr>
      <w:tr w14:paraId="5AF7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511" w:type="pct"/>
            <w:vAlign w:val="center"/>
          </w:tcPr>
          <w:p w14:paraId="0D78CE0C">
            <w:pPr>
              <w:jc w:val="center"/>
              <w:rPr>
                <w:rFonts w:ascii="Times New Roman"/>
                <w:sz w:val="21"/>
                <w:szCs w:val="21"/>
              </w:rPr>
            </w:pPr>
            <w:r>
              <w:rPr>
                <w:rFonts w:ascii="Times New Roman"/>
                <w:sz w:val="21"/>
                <w:szCs w:val="21"/>
              </w:rPr>
              <w:t>固废</w:t>
            </w:r>
          </w:p>
        </w:tc>
        <w:tc>
          <w:tcPr>
            <w:tcW w:w="4488" w:type="pct"/>
            <w:gridSpan w:val="6"/>
            <w:vAlign w:val="center"/>
          </w:tcPr>
          <w:p w14:paraId="3FEA4822">
            <w:pPr>
              <w:jc w:val="left"/>
              <w:rPr>
                <w:rFonts w:ascii="Times New Roman"/>
                <w:sz w:val="21"/>
                <w:szCs w:val="21"/>
              </w:rPr>
            </w:pPr>
            <w:r>
              <w:rPr>
                <w:rFonts w:ascii="Times New Roman"/>
                <w:sz w:val="21"/>
                <w:szCs w:val="21"/>
              </w:rPr>
              <w:t>一般固废</w:t>
            </w:r>
            <w:r>
              <w:rPr>
                <w:rFonts w:hint="eastAsia" w:ascii="Times New Roman"/>
                <w:sz w:val="21"/>
                <w:szCs w:val="21"/>
              </w:rPr>
              <w:t>参照</w:t>
            </w:r>
            <w:r>
              <w:rPr>
                <w:rFonts w:ascii="Times New Roman"/>
                <w:sz w:val="21"/>
                <w:szCs w:val="21"/>
              </w:rPr>
              <w:t>执行《中华人民共和国固体废物污染环境防治法》；危险废物执行《危险废物贮存污染控制标准》（GB18597-20</w:t>
            </w:r>
            <w:r>
              <w:rPr>
                <w:rFonts w:hint="eastAsia" w:ascii="Times New Roman"/>
                <w:sz w:val="21"/>
                <w:szCs w:val="21"/>
              </w:rPr>
              <w:t>23</w:t>
            </w:r>
            <w:r>
              <w:rPr>
                <w:rFonts w:ascii="Times New Roman"/>
                <w:sz w:val="21"/>
                <w:szCs w:val="21"/>
              </w:rPr>
              <w:t>）</w:t>
            </w:r>
            <w:r>
              <w:rPr>
                <w:rFonts w:hint="eastAsia" w:ascii="Times New Roman"/>
                <w:sz w:val="21"/>
                <w:szCs w:val="21"/>
              </w:rPr>
              <w:t>，</w:t>
            </w:r>
            <w:r>
              <w:rPr>
                <w:rFonts w:ascii="Times New Roman"/>
                <w:sz w:val="21"/>
                <w:szCs w:val="21"/>
              </w:rPr>
              <w:t>生活垃圾执行《中华人民共和国固体废物污染环境防治法》（2020年4月29日修正版）</w:t>
            </w:r>
            <w:r>
              <w:rPr>
                <w:rFonts w:hint="eastAsia" w:ascii="Times New Roman"/>
                <w:sz w:val="21"/>
                <w:szCs w:val="21"/>
              </w:rPr>
              <w:t>“</w:t>
            </w:r>
            <w:r>
              <w:rPr>
                <w:rFonts w:ascii="Times New Roman"/>
                <w:sz w:val="21"/>
                <w:szCs w:val="21"/>
              </w:rPr>
              <w:t>生活垃圾污染环境的防治</w:t>
            </w:r>
            <w:r>
              <w:rPr>
                <w:rFonts w:hint="eastAsia" w:ascii="Times New Roman"/>
                <w:sz w:val="21"/>
                <w:szCs w:val="21"/>
              </w:rPr>
              <w:t>”</w:t>
            </w:r>
            <w:r>
              <w:rPr>
                <w:rFonts w:ascii="Times New Roman"/>
                <w:sz w:val="21"/>
                <w:szCs w:val="21"/>
              </w:rPr>
              <w:t>中规定</w:t>
            </w:r>
            <w:r>
              <w:rPr>
                <w:rFonts w:hint="eastAsia" w:ascii="Times New Roman"/>
                <w:sz w:val="21"/>
                <w:szCs w:val="21"/>
              </w:rPr>
              <w:t>。</w:t>
            </w:r>
          </w:p>
        </w:tc>
      </w:tr>
      <w:tr w14:paraId="0E79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5000" w:type="pct"/>
            <w:gridSpan w:val="7"/>
            <w:tcBorders>
              <w:bottom w:val="single" w:color="auto" w:sz="4" w:space="0"/>
            </w:tcBorders>
            <w:vAlign w:val="center"/>
          </w:tcPr>
          <w:p w14:paraId="62536C49">
            <w:pPr>
              <w:jc w:val="left"/>
              <w:rPr>
                <w:rFonts w:ascii="Times New Roman"/>
                <w:sz w:val="21"/>
                <w:szCs w:val="21"/>
              </w:rPr>
            </w:pPr>
            <w:r>
              <w:rPr>
                <w:rFonts w:ascii="Times New Roman"/>
                <w:sz w:val="18"/>
                <w:szCs w:val="18"/>
              </w:rPr>
              <w:t>注：如有机废气除效率不满足要求的情况下执行《工业企业挥发性有机物排放控制标准》（DB13/2322-2016）表3生产车间或生产设备边界大气污染物浓度限值。</w:t>
            </w:r>
          </w:p>
        </w:tc>
      </w:tr>
    </w:tbl>
    <w:p w14:paraId="0EB6B68A">
      <w:pPr>
        <w:widowControl/>
        <w:spacing w:line="520" w:lineRule="exact"/>
        <w:jc w:val="left"/>
        <w:outlineLvl w:val="1"/>
        <w:rPr>
          <w:rFonts w:ascii="Times New Roman"/>
          <w:b/>
          <w:sz w:val="30"/>
          <w:szCs w:val="30"/>
        </w:rPr>
      </w:pPr>
      <w:bookmarkStart w:id="271" w:name="_Toc25416"/>
      <w:bookmarkStart w:id="272" w:name="_Toc12277"/>
      <w:bookmarkStart w:id="273" w:name="_Toc499746254"/>
      <w:r>
        <w:rPr>
          <w:rFonts w:ascii="Times New Roman"/>
          <w:b/>
          <w:sz w:val="30"/>
          <w:szCs w:val="30"/>
        </w:rPr>
        <w:t>8.5企业信息公开</w:t>
      </w:r>
      <w:bookmarkEnd w:id="271"/>
      <w:bookmarkEnd w:id="272"/>
      <w:bookmarkEnd w:id="273"/>
    </w:p>
    <w:p w14:paraId="123D0F7B">
      <w:pPr>
        <w:spacing w:line="480" w:lineRule="exact"/>
        <w:ind w:firstLine="482"/>
        <w:rPr>
          <w:rFonts w:ascii="Times New Roman"/>
          <w:sz w:val="24"/>
          <w:szCs w:val="24"/>
        </w:rPr>
      </w:pPr>
      <w:r>
        <w:rPr>
          <w:rFonts w:ascii="Times New Roman"/>
          <w:sz w:val="24"/>
          <w:szCs w:val="24"/>
        </w:rPr>
        <w:t>按照</w:t>
      </w:r>
      <w:r>
        <w:rPr>
          <w:rFonts w:hint="eastAsia"/>
        </w:rPr>
        <w:t>《企业环境信息依法披露管理办法》</w:t>
      </w:r>
      <w:r>
        <w:rPr>
          <w:rFonts w:ascii="Times New Roman"/>
          <w:sz w:val="24"/>
          <w:szCs w:val="24"/>
        </w:rPr>
        <w:t>规定，市级以上重点排污单位需公开企业环境信息，目前该单位尚未划分为市级以上重点排污单位。但建议企业按照信息公开办法公开以下排污信息：</w:t>
      </w:r>
    </w:p>
    <w:p w14:paraId="2417C909">
      <w:pPr>
        <w:spacing w:line="480" w:lineRule="exact"/>
        <w:ind w:firstLine="482"/>
        <w:rPr>
          <w:rFonts w:ascii="Times New Roman"/>
          <w:sz w:val="24"/>
          <w:szCs w:val="24"/>
        </w:rPr>
      </w:pPr>
      <w:r>
        <w:rPr>
          <w:rFonts w:ascii="Times New Roman"/>
          <w:sz w:val="24"/>
          <w:szCs w:val="24"/>
        </w:rPr>
        <w:t>（1）基础信息，包括单位名称、组织机构代码、法定代表人、生产地址、联系方式，以及生产经营和管理服务的主要内容、产品及规模；</w:t>
      </w:r>
    </w:p>
    <w:p w14:paraId="6719982F">
      <w:pPr>
        <w:spacing w:line="480" w:lineRule="exact"/>
        <w:ind w:firstLine="482"/>
        <w:rPr>
          <w:rFonts w:ascii="Times New Roman"/>
          <w:sz w:val="24"/>
          <w:szCs w:val="24"/>
        </w:rPr>
      </w:pPr>
      <w:r>
        <w:rPr>
          <w:rFonts w:ascii="Times New Roman"/>
          <w:sz w:val="24"/>
          <w:szCs w:val="24"/>
        </w:rPr>
        <w:t>（2）排污信息，包括主要污染物及特征污染物的名称、排放方式、排放口数量和分布情况、排放浓度和总量、超标情况，以及执行的污染物排放标准、核定的排放总量；</w:t>
      </w:r>
    </w:p>
    <w:p w14:paraId="1CAD3765">
      <w:pPr>
        <w:spacing w:line="480" w:lineRule="exact"/>
        <w:ind w:firstLine="482"/>
        <w:rPr>
          <w:rFonts w:ascii="Times New Roman"/>
          <w:sz w:val="24"/>
          <w:szCs w:val="24"/>
        </w:rPr>
      </w:pPr>
      <w:r>
        <w:rPr>
          <w:rFonts w:ascii="Times New Roman"/>
          <w:sz w:val="24"/>
          <w:szCs w:val="24"/>
        </w:rPr>
        <w:t>（3）防治污染设施的建设和运行情况；</w:t>
      </w:r>
    </w:p>
    <w:p w14:paraId="04F6C6A7">
      <w:pPr>
        <w:spacing w:line="480" w:lineRule="exact"/>
        <w:ind w:firstLine="482"/>
        <w:rPr>
          <w:rFonts w:ascii="Times New Roman"/>
          <w:sz w:val="24"/>
          <w:szCs w:val="24"/>
        </w:rPr>
      </w:pPr>
      <w:r>
        <w:rPr>
          <w:rFonts w:ascii="Times New Roman"/>
          <w:sz w:val="24"/>
          <w:szCs w:val="24"/>
        </w:rPr>
        <w:t>（4）建设项目环境影响评价及其他环境保护行政许可情况；</w:t>
      </w:r>
    </w:p>
    <w:p w14:paraId="71F3D942">
      <w:pPr>
        <w:spacing w:line="480" w:lineRule="exact"/>
        <w:ind w:firstLine="482"/>
        <w:rPr>
          <w:rFonts w:ascii="Times New Roman"/>
          <w:sz w:val="24"/>
          <w:szCs w:val="24"/>
        </w:rPr>
      </w:pPr>
      <w:r>
        <w:rPr>
          <w:rFonts w:ascii="Times New Roman"/>
          <w:sz w:val="24"/>
          <w:szCs w:val="24"/>
        </w:rPr>
        <w:t>（5）突发环境事件应急预案；</w:t>
      </w:r>
    </w:p>
    <w:p w14:paraId="4788D81C">
      <w:pPr>
        <w:spacing w:line="480" w:lineRule="exact"/>
        <w:ind w:firstLine="482"/>
        <w:rPr>
          <w:rFonts w:ascii="Times New Roman"/>
          <w:sz w:val="24"/>
          <w:szCs w:val="24"/>
        </w:rPr>
      </w:pPr>
      <w:r>
        <w:rPr>
          <w:rFonts w:ascii="Times New Roman"/>
          <w:sz w:val="24"/>
          <w:szCs w:val="24"/>
        </w:rPr>
        <w:t>（6）其他应当公开的环境信息。</w:t>
      </w:r>
    </w:p>
    <w:p w14:paraId="76DF4D6C">
      <w:pPr>
        <w:spacing w:line="480" w:lineRule="exact"/>
        <w:ind w:firstLine="482"/>
        <w:rPr>
          <w:rFonts w:ascii="Times New Roman"/>
          <w:sz w:val="24"/>
          <w:szCs w:val="24"/>
        </w:rPr>
      </w:pPr>
      <w:r>
        <w:rPr>
          <w:rFonts w:ascii="Times New Roman"/>
          <w:sz w:val="24"/>
          <w:szCs w:val="24"/>
        </w:rPr>
        <w:t>企业应当通过其网站、企业事业单位环境信息公开平台或者当地报刊等便于公众知晓的方式公开环境信息。</w:t>
      </w:r>
    </w:p>
    <w:bookmarkEnd w:id="253"/>
    <w:bookmarkEnd w:id="254"/>
    <w:p w14:paraId="77100FD8">
      <w:pPr>
        <w:spacing w:beforeLines="50" w:afterLines="50" w:line="520" w:lineRule="exact"/>
        <w:outlineLvl w:val="0"/>
        <w:rPr>
          <w:rFonts w:ascii="Times New Roman"/>
          <w:b/>
          <w:sz w:val="32"/>
          <w:szCs w:val="32"/>
        </w:rPr>
      </w:pPr>
      <w:bookmarkStart w:id="274" w:name="_Toc17046"/>
      <w:r>
        <w:rPr>
          <w:rFonts w:ascii="Times New Roman"/>
          <w:b/>
          <w:sz w:val="32"/>
          <w:szCs w:val="32"/>
        </w:rPr>
        <w:t>9结论与建议</w:t>
      </w:r>
      <w:bookmarkEnd w:id="274"/>
    </w:p>
    <w:p w14:paraId="30C06B92">
      <w:pPr>
        <w:widowControl/>
        <w:spacing w:line="520" w:lineRule="exact"/>
        <w:jc w:val="left"/>
        <w:outlineLvl w:val="1"/>
        <w:rPr>
          <w:rFonts w:ascii="Times New Roman"/>
          <w:b/>
          <w:sz w:val="30"/>
          <w:szCs w:val="30"/>
        </w:rPr>
      </w:pPr>
      <w:bookmarkStart w:id="275" w:name="_Toc4760"/>
      <w:r>
        <w:rPr>
          <w:rFonts w:ascii="Times New Roman"/>
          <w:b/>
          <w:sz w:val="30"/>
          <w:szCs w:val="30"/>
        </w:rPr>
        <w:t>9.1结论</w:t>
      </w:r>
      <w:bookmarkEnd w:id="275"/>
    </w:p>
    <w:p w14:paraId="00A5A543">
      <w:pPr>
        <w:widowControl/>
        <w:spacing w:line="520" w:lineRule="exact"/>
        <w:jc w:val="left"/>
        <w:outlineLvl w:val="1"/>
        <w:rPr>
          <w:rFonts w:ascii="Times New Roman"/>
          <w:b/>
          <w:sz w:val="30"/>
          <w:szCs w:val="30"/>
        </w:rPr>
      </w:pPr>
      <w:bookmarkStart w:id="276" w:name="_Toc28952"/>
      <w:bookmarkStart w:id="277" w:name="_Toc499746255"/>
      <w:bookmarkStart w:id="278" w:name="_Toc3043"/>
      <w:r>
        <w:rPr>
          <w:rFonts w:ascii="Times New Roman"/>
          <w:b/>
          <w:sz w:val="30"/>
          <w:szCs w:val="30"/>
        </w:rPr>
        <w:t>8.6环保设施“三同时”验收一览表</w:t>
      </w:r>
      <w:bookmarkEnd w:id="276"/>
      <w:bookmarkEnd w:id="277"/>
      <w:bookmarkEnd w:id="278"/>
    </w:p>
    <w:p w14:paraId="15F18701">
      <w:pPr>
        <w:spacing w:line="500" w:lineRule="exact"/>
        <w:ind w:left="-7" w:leftChars="-3" w:firstLine="480" w:firstLineChars="200"/>
        <w:rPr>
          <w:rFonts w:ascii="Times New Roman"/>
          <w:sz w:val="24"/>
          <w:szCs w:val="20"/>
        </w:rPr>
        <w:sectPr>
          <w:pgSz w:w="11906" w:h="16838"/>
          <w:pgMar w:top="1440" w:right="1800" w:bottom="1440" w:left="1800" w:header="1134" w:footer="1134" w:gutter="0"/>
          <w:cols w:space="425" w:num="1"/>
          <w:docGrid w:type="lines" w:linePitch="340" w:charSpace="0"/>
        </w:sectPr>
      </w:pPr>
      <w:r>
        <w:rPr>
          <w:rFonts w:ascii="Times New Roman"/>
          <w:sz w:val="24"/>
          <w:szCs w:val="20"/>
        </w:rPr>
        <w:t>根据建设项目环境管理办法，环境污染防治设施必须与主体工程同时设计、同时施工、同时投产使用。本项目环保设施“三同时”验收清单见表8.6-1。</w:t>
      </w:r>
    </w:p>
    <w:p w14:paraId="643DCC89">
      <w:pPr>
        <w:spacing w:line="480" w:lineRule="exact"/>
        <w:jc w:val="center"/>
        <w:rPr>
          <w:rFonts w:ascii="Times New Roman"/>
          <w:b/>
          <w:sz w:val="24"/>
          <w:szCs w:val="24"/>
        </w:rPr>
      </w:pPr>
      <w:r>
        <w:rPr>
          <w:rFonts w:ascii="Times New Roman"/>
          <w:b/>
          <w:sz w:val="24"/>
          <w:szCs w:val="24"/>
        </w:rPr>
        <w:t>表8.6-1  项目工程环保“三同时”验收一览表</w:t>
      </w:r>
    </w:p>
    <w:tbl>
      <w:tblPr>
        <w:tblStyle w:val="84"/>
        <w:tblW w:w="50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2"/>
        <w:gridCol w:w="718"/>
        <w:gridCol w:w="906"/>
        <w:gridCol w:w="1495"/>
        <w:gridCol w:w="3280"/>
        <w:gridCol w:w="1215"/>
        <w:gridCol w:w="1580"/>
        <w:gridCol w:w="640"/>
        <w:gridCol w:w="3463"/>
      </w:tblGrid>
      <w:tr w14:paraId="2A71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Align w:val="center"/>
          </w:tcPr>
          <w:p w14:paraId="73B03F96">
            <w:pPr>
              <w:jc w:val="center"/>
              <w:rPr>
                <w:rFonts w:ascii="Times New Roman"/>
                <w:b/>
                <w:bCs/>
                <w:sz w:val="21"/>
                <w:szCs w:val="21"/>
              </w:rPr>
            </w:pPr>
            <w:r>
              <w:rPr>
                <w:rFonts w:ascii="Times New Roman"/>
                <w:b/>
                <w:bCs/>
                <w:sz w:val="21"/>
                <w:szCs w:val="21"/>
              </w:rPr>
              <w:t>治理对象</w:t>
            </w:r>
          </w:p>
        </w:tc>
        <w:tc>
          <w:tcPr>
            <w:tcW w:w="579" w:type="pct"/>
            <w:gridSpan w:val="2"/>
            <w:tcBorders>
              <w:left w:val="single" w:color="auto" w:sz="4" w:space="0"/>
              <w:right w:val="single" w:color="auto" w:sz="4" w:space="0"/>
            </w:tcBorders>
            <w:vAlign w:val="center"/>
          </w:tcPr>
          <w:p w14:paraId="7DB9568A">
            <w:pPr>
              <w:jc w:val="center"/>
              <w:rPr>
                <w:rFonts w:ascii="Times New Roman"/>
                <w:b/>
                <w:bCs/>
                <w:sz w:val="21"/>
                <w:szCs w:val="21"/>
              </w:rPr>
            </w:pPr>
            <w:r>
              <w:rPr>
                <w:rFonts w:ascii="Times New Roman"/>
                <w:b/>
                <w:bCs/>
                <w:sz w:val="21"/>
                <w:szCs w:val="21"/>
              </w:rPr>
              <w:t>治理对象</w:t>
            </w:r>
          </w:p>
        </w:tc>
        <w:tc>
          <w:tcPr>
            <w:tcW w:w="1702" w:type="pct"/>
            <w:gridSpan w:val="2"/>
            <w:tcBorders>
              <w:left w:val="single" w:color="auto" w:sz="4" w:space="0"/>
              <w:right w:val="single" w:color="auto" w:sz="4" w:space="0"/>
            </w:tcBorders>
            <w:vAlign w:val="center"/>
          </w:tcPr>
          <w:p w14:paraId="0E4877E5">
            <w:pPr>
              <w:jc w:val="center"/>
              <w:rPr>
                <w:rFonts w:ascii="Times New Roman"/>
                <w:b/>
                <w:bCs/>
                <w:sz w:val="21"/>
                <w:szCs w:val="21"/>
              </w:rPr>
            </w:pPr>
            <w:r>
              <w:rPr>
                <w:rFonts w:ascii="Times New Roman"/>
                <w:b/>
                <w:bCs/>
                <w:sz w:val="21"/>
                <w:szCs w:val="21"/>
              </w:rPr>
              <w:t>治理措施</w:t>
            </w:r>
          </w:p>
        </w:tc>
        <w:tc>
          <w:tcPr>
            <w:tcW w:w="433" w:type="pct"/>
            <w:tcBorders>
              <w:left w:val="single" w:color="auto" w:sz="4" w:space="0"/>
              <w:right w:val="single" w:color="auto" w:sz="4" w:space="0"/>
            </w:tcBorders>
            <w:vAlign w:val="center"/>
          </w:tcPr>
          <w:p w14:paraId="62F77C84">
            <w:pPr>
              <w:jc w:val="center"/>
              <w:rPr>
                <w:rFonts w:ascii="Times New Roman"/>
                <w:b/>
                <w:bCs/>
                <w:sz w:val="21"/>
                <w:szCs w:val="21"/>
              </w:rPr>
            </w:pPr>
            <w:r>
              <w:rPr>
                <w:rFonts w:ascii="Times New Roman"/>
                <w:b/>
                <w:bCs/>
                <w:sz w:val="21"/>
                <w:szCs w:val="21"/>
              </w:rPr>
              <w:t>污染因子</w:t>
            </w:r>
          </w:p>
        </w:tc>
        <w:tc>
          <w:tcPr>
            <w:tcW w:w="562" w:type="pct"/>
            <w:tcBorders>
              <w:left w:val="single" w:color="auto" w:sz="4" w:space="0"/>
              <w:right w:val="single" w:color="auto" w:sz="4" w:space="0"/>
            </w:tcBorders>
            <w:vAlign w:val="center"/>
          </w:tcPr>
          <w:p w14:paraId="7624DF32">
            <w:pPr>
              <w:jc w:val="center"/>
              <w:rPr>
                <w:rFonts w:ascii="Times New Roman"/>
                <w:b/>
                <w:bCs/>
                <w:sz w:val="21"/>
                <w:szCs w:val="21"/>
              </w:rPr>
            </w:pPr>
            <w:r>
              <w:rPr>
                <w:rFonts w:ascii="Times New Roman"/>
                <w:b/>
                <w:bCs/>
                <w:sz w:val="21"/>
                <w:szCs w:val="21"/>
              </w:rPr>
              <w:t>验收指标</w:t>
            </w:r>
          </w:p>
        </w:tc>
        <w:tc>
          <w:tcPr>
            <w:tcW w:w="1461" w:type="pct"/>
            <w:gridSpan w:val="2"/>
            <w:tcBorders>
              <w:left w:val="single" w:color="auto" w:sz="4" w:space="0"/>
              <w:right w:val="single" w:color="auto" w:sz="4" w:space="0"/>
            </w:tcBorders>
            <w:vAlign w:val="center"/>
          </w:tcPr>
          <w:p w14:paraId="3C2AB8B3">
            <w:pPr>
              <w:jc w:val="center"/>
              <w:rPr>
                <w:rFonts w:ascii="Times New Roman"/>
                <w:b/>
                <w:bCs/>
                <w:sz w:val="21"/>
                <w:szCs w:val="21"/>
              </w:rPr>
            </w:pPr>
            <w:r>
              <w:rPr>
                <w:rFonts w:ascii="Times New Roman"/>
                <w:b/>
                <w:bCs/>
                <w:sz w:val="21"/>
                <w:szCs w:val="21"/>
              </w:rPr>
              <w:t>执行标准</w:t>
            </w:r>
          </w:p>
        </w:tc>
      </w:tr>
      <w:tr w14:paraId="24D6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4" w:hRule="atLeast"/>
        </w:trPr>
        <w:tc>
          <w:tcPr>
            <w:tcW w:w="261" w:type="pct"/>
            <w:vMerge w:val="restart"/>
            <w:vAlign w:val="center"/>
          </w:tcPr>
          <w:p w14:paraId="6709F1B5">
            <w:pPr>
              <w:jc w:val="center"/>
              <w:rPr>
                <w:rFonts w:ascii="Times New Roman"/>
                <w:sz w:val="21"/>
                <w:szCs w:val="21"/>
              </w:rPr>
            </w:pPr>
            <w:r>
              <w:rPr>
                <w:rFonts w:ascii="Times New Roman"/>
                <w:sz w:val="21"/>
                <w:szCs w:val="21"/>
              </w:rPr>
              <w:t>废气</w:t>
            </w:r>
          </w:p>
        </w:tc>
        <w:tc>
          <w:tcPr>
            <w:tcW w:w="256" w:type="pct"/>
            <w:tcBorders>
              <w:left w:val="single" w:color="auto" w:sz="4" w:space="0"/>
              <w:right w:val="single" w:color="auto" w:sz="4" w:space="0"/>
            </w:tcBorders>
            <w:vAlign w:val="center"/>
          </w:tcPr>
          <w:p w14:paraId="3A509C6F">
            <w:pPr>
              <w:jc w:val="center"/>
              <w:rPr>
                <w:rFonts w:ascii="Times New Roman"/>
                <w:sz w:val="21"/>
                <w:szCs w:val="21"/>
              </w:rPr>
            </w:pPr>
            <w:r>
              <w:rPr>
                <w:rFonts w:hint="eastAsia" w:ascii="Times New Roman"/>
                <w:sz w:val="21"/>
                <w:szCs w:val="21"/>
              </w:rPr>
              <w:t>下料车间</w:t>
            </w:r>
          </w:p>
        </w:tc>
        <w:tc>
          <w:tcPr>
            <w:tcW w:w="323" w:type="pct"/>
            <w:tcBorders>
              <w:left w:val="single" w:color="auto" w:sz="4" w:space="0"/>
              <w:right w:val="single" w:color="auto" w:sz="4" w:space="0"/>
            </w:tcBorders>
            <w:vAlign w:val="center"/>
          </w:tcPr>
          <w:p w14:paraId="6F71389F">
            <w:pPr>
              <w:jc w:val="center"/>
              <w:rPr>
                <w:rFonts w:ascii="Times New Roman"/>
                <w:sz w:val="21"/>
                <w:szCs w:val="21"/>
              </w:rPr>
            </w:pPr>
            <w:r>
              <w:rPr>
                <w:rFonts w:hint="eastAsia" w:ascii="Times New Roman"/>
                <w:sz w:val="21"/>
                <w:szCs w:val="21"/>
              </w:rPr>
              <w:t>切割、清理、打磨</w:t>
            </w:r>
            <w:r>
              <w:rPr>
                <w:rFonts w:ascii="Times New Roman"/>
                <w:sz w:val="21"/>
                <w:szCs w:val="21"/>
              </w:rPr>
              <w:t>废气</w:t>
            </w:r>
          </w:p>
        </w:tc>
        <w:tc>
          <w:tcPr>
            <w:tcW w:w="1702" w:type="pct"/>
            <w:gridSpan w:val="2"/>
            <w:tcBorders>
              <w:left w:val="single" w:color="auto" w:sz="4" w:space="0"/>
              <w:right w:val="single" w:color="auto" w:sz="4" w:space="0"/>
            </w:tcBorders>
            <w:vAlign w:val="center"/>
          </w:tcPr>
          <w:p w14:paraId="495FC594">
            <w:pPr>
              <w:jc w:val="center"/>
              <w:rPr>
                <w:rFonts w:ascii="Times New Roman"/>
                <w:sz w:val="21"/>
                <w:szCs w:val="21"/>
              </w:rPr>
            </w:pPr>
            <w:r>
              <w:rPr>
                <w:rFonts w:hint="eastAsia" w:ascii="Times New Roman"/>
                <w:sz w:val="21"/>
                <w:szCs w:val="21"/>
              </w:rPr>
              <w:t>风量：</w:t>
            </w:r>
            <w:r>
              <w:rPr>
                <w:rFonts w:hint="eastAsia" w:ascii="Times New Roman" w:eastAsia="等线"/>
                <w:sz w:val="21"/>
                <w:szCs w:val="21"/>
              </w:rPr>
              <w:t>2</w:t>
            </w:r>
            <w:r>
              <w:rPr>
                <w:rFonts w:ascii="Times New Roman" w:eastAsia="等线"/>
                <w:sz w:val="21"/>
                <w:szCs w:val="21"/>
              </w:rPr>
              <w:t>0000</w:t>
            </w:r>
            <w:r>
              <w:rPr>
                <w:rFonts w:hint="eastAsia" w:ascii="Times New Roman"/>
                <w:sz w:val="21"/>
                <w:szCs w:val="21"/>
              </w:rPr>
              <w:t>m</w:t>
            </w:r>
            <w:r>
              <w:rPr>
                <w:rFonts w:hint="eastAsia" w:ascii="Times New Roman"/>
                <w:sz w:val="21"/>
                <w:szCs w:val="21"/>
                <w:vertAlign w:val="superscript"/>
              </w:rPr>
              <w:t>3</w:t>
            </w:r>
            <w:r>
              <w:rPr>
                <w:rFonts w:hint="eastAsia" w:ascii="Times New Roman"/>
                <w:sz w:val="21"/>
                <w:szCs w:val="21"/>
              </w:rPr>
              <w:t>/h，集气罩</w:t>
            </w:r>
            <w:r>
              <w:rPr>
                <w:rFonts w:ascii="Times New Roman"/>
                <w:sz w:val="21"/>
                <w:szCs w:val="21"/>
              </w:rPr>
              <w:t>+</w:t>
            </w:r>
            <w:r>
              <w:rPr>
                <w:rFonts w:hint="eastAsia" w:ascii="Times New Roman"/>
                <w:sz w:val="21"/>
                <w:szCs w:val="21"/>
              </w:rPr>
              <w:t>布袋</w:t>
            </w:r>
            <w:r>
              <w:rPr>
                <w:rFonts w:ascii="Times New Roman"/>
                <w:sz w:val="21"/>
                <w:szCs w:val="21"/>
              </w:rPr>
              <w:t>除尘器+</w:t>
            </w:r>
            <w:r>
              <w:rPr>
                <w:rFonts w:hint="eastAsia" w:ascii="Times New Roman"/>
                <w:sz w:val="21"/>
                <w:szCs w:val="21"/>
              </w:rPr>
              <w:t>20m</w:t>
            </w:r>
            <w:r>
              <w:rPr>
                <w:rFonts w:ascii="Times New Roman"/>
                <w:sz w:val="21"/>
                <w:szCs w:val="21"/>
              </w:rPr>
              <w:t>高排气筒（</w:t>
            </w:r>
            <w:r>
              <w:rPr>
                <w:rFonts w:hint="eastAsia" w:ascii="Times New Roman"/>
                <w:sz w:val="21"/>
                <w:szCs w:val="21"/>
              </w:rPr>
              <w:t>DA001</w:t>
            </w:r>
            <w:r>
              <w:rPr>
                <w:rFonts w:ascii="Times New Roman"/>
                <w:sz w:val="21"/>
                <w:szCs w:val="21"/>
              </w:rPr>
              <w:t>）</w:t>
            </w:r>
          </w:p>
        </w:tc>
        <w:tc>
          <w:tcPr>
            <w:tcW w:w="433" w:type="pct"/>
            <w:tcBorders>
              <w:left w:val="single" w:color="auto" w:sz="4" w:space="0"/>
              <w:right w:val="single" w:color="auto" w:sz="4" w:space="0"/>
            </w:tcBorders>
            <w:vAlign w:val="center"/>
          </w:tcPr>
          <w:p w14:paraId="11980C69">
            <w:pPr>
              <w:jc w:val="center"/>
              <w:rPr>
                <w:rFonts w:ascii="Times New Roman"/>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29F92E2C">
            <w:pPr>
              <w:jc w:val="center"/>
              <w:rPr>
                <w:rFonts w:ascii="Times New Roman"/>
                <w:sz w:val="21"/>
                <w:szCs w:val="21"/>
              </w:rPr>
            </w:pPr>
            <w:r>
              <w:rPr>
                <w:rFonts w:ascii="Times New Roman"/>
                <w:sz w:val="21"/>
                <w:szCs w:val="21"/>
              </w:rPr>
              <w:t>排放浓度≤10mg/m</w:t>
            </w:r>
            <w:r>
              <w:rPr>
                <w:rFonts w:ascii="Times New Roman"/>
                <w:sz w:val="21"/>
                <w:szCs w:val="21"/>
                <w:vertAlign w:val="superscript"/>
              </w:rPr>
              <w:t>3</w:t>
            </w:r>
          </w:p>
        </w:tc>
        <w:tc>
          <w:tcPr>
            <w:tcW w:w="1461" w:type="pct"/>
            <w:gridSpan w:val="2"/>
            <w:tcBorders>
              <w:left w:val="single" w:color="auto" w:sz="4" w:space="0"/>
              <w:right w:val="single" w:color="auto" w:sz="4" w:space="0"/>
            </w:tcBorders>
            <w:vAlign w:val="center"/>
          </w:tcPr>
          <w:p w14:paraId="0F0ABC39">
            <w:pPr>
              <w:jc w:val="center"/>
              <w:rPr>
                <w:rFonts w:ascii="Times New Roman"/>
                <w:sz w:val="21"/>
                <w:szCs w:val="21"/>
              </w:rPr>
            </w:pPr>
            <w:r>
              <w:rPr>
                <w:rFonts w:ascii="Times New Roman"/>
                <w:sz w:val="21"/>
                <w:szCs w:val="21"/>
              </w:rPr>
              <w:t>《钢铁工业大气污染物超低排放标准》（</w:t>
            </w:r>
            <w:r>
              <w:rPr>
                <w:rFonts w:hint="eastAsia" w:ascii="Times New Roman"/>
                <w:sz w:val="21"/>
                <w:szCs w:val="21"/>
              </w:rPr>
              <w:t>DB13/2169</w:t>
            </w:r>
            <w:r>
              <w:rPr>
                <w:rFonts w:ascii="Times New Roman"/>
                <w:sz w:val="21"/>
                <w:szCs w:val="21"/>
              </w:rPr>
              <w:t>-2018）表1轧钢“热处理炉、拉矫、精整、抛丸、修磨、焊接机及其他生产设施”排放限值要求</w:t>
            </w:r>
          </w:p>
        </w:tc>
      </w:tr>
      <w:tr w14:paraId="6BC1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7" w:hRule="atLeast"/>
        </w:trPr>
        <w:tc>
          <w:tcPr>
            <w:tcW w:w="261" w:type="pct"/>
            <w:vMerge w:val="continue"/>
            <w:vAlign w:val="center"/>
          </w:tcPr>
          <w:p w14:paraId="5C1718E0">
            <w:pPr>
              <w:jc w:val="center"/>
              <w:rPr>
                <w:rFonts w:ascii="Times New Roman"/>
                <w:sz w:val="21"/>
                <w:szCs w:val="21"/>
              </w:rPr>
            </w:pPr>
          </w:p>
        </w:tc>
        <w:tc>
          <w:tcPr>
            <w:tcW w:w="256" w:type="pct"/>
            <w:vMerge w:val="restart"/>
            <w:tcBorders>
              <w:left w:val="single" w:color="auto" w:sz="4" w:space="0"/>
              <w:right w:val="single" w:color="auto" w:sz="4" w:space="0"/>
            </w:tcBorders>
            <w:vAlign w:val="center"/>
          </w:tcPr>
          <w:p w14:paraId="6167C3D4">
            <w:pPr>
              <w:jc w:val="center"/>
              <w:rPr>
                <w:rFonts w:ascii="Times New Roman"/>
                <w:sz w:val="21"/>
                <w:szCs w:val="21"/>
              </w:rPr>
            </w:pPr>
            <w:r>
              <w:rPr>
                <w:rFonts w:hint="eastAsia" w:ascii="Times New Roman"/>
                <w:sz w:val="21"/>
                <w:szCs w:val="21"/>
              </w:rPr>
              <w:t>联合厂房-</w:t>
            </w:r>
            <w:r>
              <w:rPr>
                <w:rFonts w:ascii="Times New Roman"/>
                <w:sz w:val="21"/>
                <w:szCs w:val="21"/>
              </w:rPr>
              <w:t>焊接、滚筒生产线</w:t>
            </w:r>
          </w:p>
        </w:tc>
        <w:tc>
          <w:tcPr>
            <w:tcW w:w="323" w:type="pct"/>
            <w:tcBorders>
              <w:left w:val="single" w:color="auto" w:sz="4" w:space="0"/>
              <w:right w:val="single" w:color="auto" w:sz="4" w:space="0"/>
            </w:tcBorders>
            <w:vAlign w:val="center"/>
          </w:tcPr>
          <w:p w14:paraId="419790F2">
            <w:pPr>
              <w:jc w:val="center"/>
              <w:rPr>
                <w:rFonts w:ascii="Times New Roman"/>
                <w:sz w:val="21"/>
                <w:szCs w:val="21"/>
              </w:rPr>
            </w:pPr>
            <w:r>
              <w:rPr>
                <w:rFonts w:hint="eastAsia" w:ascii="Times New Roman"/>
                <w:sz w:val="21"/>
                <w:szCs w:val="21"/>
              </w:rPr>
              <w:t>焊接</w:t>
            </w:r>
          </w:p>
        </w:tc>
        <w:tc>
          <w:tcPr>
            <w:tcW w:w="1702" w:type="pct"/>
            <w:gridSpan w:val="2"/>
            <w:tcBorders>
              <w:left w:val="single" w:color="auto" w:sz="4" w:space="0"/>
              <w:right w:val="single" w:color="auto" w:sz="4" w:space="0"/>
            </w:tcBorders>
            <w:vAlign w:val="center"/>
          </w:tcPr>
          <w:p w14:paraId="104A9393">
            <w:pPr>
              <w:jc w:val="center"/>
              <w:rPr>
                <w:rFonts w:ascii="Times New Roman"/>
                <w:sz w:val="21"/>
                <w:szCs w:val="21"/>
              </w:rPr>
            </w:pPr>
            <w:r>
              <w:rPr>
                <w:rFonts w:hint="eastAsia" w:ascii="Times New Roman"/>
                <w:sz w:val="21"/>
                <w:szCs w:val="21"/>
              </w:rPr>
              <w:t>风量：</w:t>
            </w:r>
            <w:r>
              <w:rPr>
                <w:rFonts w:hint="eastAsia" w:ascii="Times New Roman" w:eastAsia="等线"/>
                <w:sz w:val="21"/>
                <w:szCs w:val="21"/>
              </w:rPr>
              <w:t>15000</w:t>
            </w:r>
            <w:r>
              <w:rPr>
                <w:rFonts w:hint="eastAsia" w:ascii="Times New Roman"/>
                <w:sz w:val="21"/>
                <w:szCs w:val="21"/>
              </w:rPr>
              <w:t>m</w:t>
            </w:r>
            <w:r>
              <w:rPr>
                <w:rFonts w:hint="eastAsia" w:ascii="Times New Roman"/>
                <w:sz w:val="21"/>
                <w:szCs w:val="21"/>
                <w:vertAlign w:val="superscript"/>
              </w:rPr>
              <w:t>3</w:t>
            </w:r>
            <w:r>
              <w:rPr>
                <w:rFonts w:hint="eastAsia" w:ascii="Times New Roman"/>
                <w:sz w:val="21"/>
                <w:szCs w:val="21"/>
              </w:rPr>
              <w:t>/h，集气罩（四周设置软帘）+3套布袋除尘器+3根20m高排气筒（DA002~DA004）</w:t>
            </w:r>
          </w:p>
        </w:tc>
        <w:tc>
          <w:tcPr>
            <w:tcW w:w="433" w:type="pct"/>
            <w:tcBorders>
              <w:left w:val="single" w:color="auto" w:sz="4" w:space="0"/>
              <w:right w:val="single" w:color="auto" w:sz="4" w:space="0"/>
            </w:tcBorders>
            <w:vAlign w:val="center"/>
          </w:tcPr>
          <w:p w14:paraId="16933E81">
            <w:pPr>
              <w:jc w:val="center"/>
              <w:rPr>
                <w:rFonts w:ascii="Times New Roman"/>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2FBC019F">
            <w:pPr>
              <w:jc w:val="center"/>
              <w:rPr>
                <w:rFonts w:ascii="Times New Roman"/>
                <w:sz w:val="21"/>
                <w:szCs w:val="21"/>
              </w:rPr>
            </w:pPr>
            <w:r>
              <w:rPr>
                <w:rFonts w:ascii="Times New Roman"/>
                <w:sz w:val="21"/>
                <w:szCs w:val="21"/>
              </w:rPr>
              <w:t>排放浓度≤10mg/m</w:t>
            </w:r>
            <w:r>
              <w:rPr>
                <w:rFonts w:ascii="Times New Roman"/>
                <w:sz w:val="21"/>
                <w:szCs w:val="21"/>
                <w:vertAlign w:val="superscript"/>
              </w:rPr>
              <w:t>3</w:t>
            </w:r>
          </w:p>
        </w:tc>
        <w:tc>
          <w:tcPr>
            <w:tcW w:w="1461" w:type="pct"/>
            <w:gridSpan w:val="2"/>
            <w:tcBorders>
              <w:left w:val="single" w:color="auto" w:sz="4" w:space="0"/>
              <w:right w:val="single" w:color="auto" w:sz="4" w:space="0"/>
            </w:tcBorders>
            <w:vAlign w:val="center"/>
          </w:tcPr>
          <w:p w14:paraId="17FEFB6F">
            <w:pPr>
              <w:jc w:val="center"/>
              <w:rPr>
                <w:rFonts w:ascii="Times New Roman"/>
                <w:sz w:val="21"/>
                <w:szCs w:val="21"/>
              </w:rPr>
            </w:pPr>
            <w:r>
              <w:rPr>
                <w:rFonts w:ascii="Times New Roman"/>
                <w:sz w:val="21"/>
                <w:szCs w:val="21"/>
              </w:rPr>
              <w:t>《钢铁工业大气污染物超低排放标准》（DB13/2169-2018）表1轧钢“热处理炉、拉矫、精整、抛丸、修磨、焊接机及其他生产设施”排放限值要求</w:t>
            </w:r>
            <w:r>
              <w:rPr>
                <w:rFonts w:hint="eastAsia" w:ascii="Times New Roman"/>
                <w:sz w:val="21"/>
                <w:szCs w:val="21"/>
              </w:rPr>
              <w:t>。</w:t>
            </w:r>
          </w:p>
        </w:tc>
      </w:tr>
      <w:tr w14:paraId="4201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390C56AF">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01884622">
            <w:pPr>
              <w:jc w:val="center"/>
              <w:rPr>
                <w:rFonts w:ascii="Times New Roman"/>
                <w:sz w:val="21"/>
                <w:szCs w:val="21"/>
              </w:rPr>
            </w:pPr>
          </w:p>
        </w:tc>
        <w:tc>
          <w:tcPr>
            <w:tcW w:w="323" w:type="pct"/>
            <w:vMerge w:val="restart"/>
            <w:tcBorders>
              <w:left w:val="single" w:color="auto" w:sz="4" w:space="0"/>
              <w:right w:val="single" w:color="auto" w:sz="4" w:space="0"/>
            </w:tcBorders>
            <w:vAlign w:val="center"/>
          </w:tcPr>
          <w:p w14:paraId="2ACDE6BA">
            <w:pPr>
              <w:jc w:val="center"/>
              <w:rPr>
                <w:rFonts w:ascii="Times New Roman"/>
                <w:sz w:val="21"/>
                <w:szCs w:val="21"/>
              </w:rPr>
            </w:pPr>
            <w:r>
              <w:rPr>
                <w:rFonts w:ascii="Times New Roman"/>
                <w:sz w:val="21"/>
                <w:szCs w:val="21"/>
              </w:rPr>
              <w:t>热处理车炉加热</w:t>
            </w:r>
          </w:p>
        </w:tc>
        <w:tc>
          <w:tcPr>
            <w:tcW w:w="1702" w:type="pct"/>
            <w:gridSpan w:val="2"/>
            <w:vMerge w:val="restart"/>
            <w:tcBorders>
              <w:left w:val="single" w:color="auto" w:sz="4" w:space="0"/>
              <w:right w:val="single" w:color="auto" w:sz="4" w:space="0"/>
            </w:tcBorders>
            <w:vAlign w:val="center"/>
          </w:tcPr>
          <w:p w14:paraId="0ACD5F7E">
            <w:pPr>
              <w:jc w:val="center"/>
              <w:rPr>
                <w:rFonts w:ascii="Times New Roman"/>
                <w:sz w:val="21"/>
                <w:szCs w:val="21"/>
              </w:rPr>
            </w:pPr>
            <w:r>
              <w:rPr>
                <w:rFonts w:ascii="Times New Roman"/>
                <w:sz w:val="21"/>
                <w:szCs w:val="21"/>
              </w:rPr>
              <w:t>低氮燃烧+</w:t>
            </w:r>
            <w:r>
              <w:rPr>
                <w:rFonts w:hint="eastAsia" w:ascii="Times New Roman"/>
                <w:sz w:val="21"/>
                <w:szCs w:val="21"/>
              </w:rPr>
              <w:t>20m</w:t>
            </w:r>
            <w:r>
              <w:rPr>
                <w:rFonts w:ascii="Times New Roman"/>
                <w:sz w:val="21"/>
                <w:szCs w:val="21"/>
              </w:rPr>
              <w:t>高排气筒（</w:t>
            </w:r>
            <w:r>
              <w:rPr>
                <w:rFonts w:hint="eastAsia" w:ascii="Times New Roman"/>
                <w:sz w:val="21"/>
                <w:szCs w:val="21"/>
              </w:rPr>
              <w:t>DA005</w:t>
            </w:r>
            <w:r>
              <w:rPr>
                <w:rFonts w:ascii="Times New Roman"/>
                <w:sz w:val="21"/>
                <w:szCs w:val="21"/>
              </w:rPr>
              <w:t>）排放</w:t>
            </w:r>
          </w:p>
        </w:tc>
        <w:tc>
          <w:tcPr>
            <w:tcW w:w="433" w:type="pct"/>
            <w:tcBorders>
              <w:left w:val="single" w:color="auto" w:sz="4" w:space="0"/>
              <w:right w:val="single" w:color="auto" w:sz="4" w:space="0"/>
            </w:tcBorders>
            <w:vAlign w:val="center"/>
          </w:tcPr>
          <w:p w14:paraId="6D2E2236">
            <w:pPr>
              <w:jc w:val="center"/>
              <w:rPr>
                <w:rFonts w:ascii="Times New Roman"/>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2888A415">
            <w:pPr>
              <w:jc w:val="center"/>
              <w:rPr>
                <w:rFonts w:ascii="Times New Roman"/>
                <w:sz w:val="21"/>
                <w:szCs w:val="21"/>
              </w:rPr>
            </w:pPr>
            <w:r>
              <w:rPr>
                <w:rFonts w:ascii="Times New Roman"/>
                <w:sz w:val="21"/>
                <w:szCs w:val="21"/>
              </w:rPr>
              <w:t>≤</w:t>
            </w:r>
            <w:r>
              <w:rPr>
                <w:rFonts w:hint="eastAsia" w:ascii="Times New Roman"/>
                <w:sz w:val="21"/>
                <w:szCs w:val="21"/>
              </w:rPr>
              <w:t>30</w:t>
            </w:r>
            <w:r>
              <w:rPr>
                <w:rFonts w:ascii="Times New Roman"/>
                <w:sz w:val="21"/>
                <w:szCs w:val="21"/>
              </w:rPr>
              <w:t>mg/m</w:t>
            </w:r>
            <w:r>
              <w:rPr>
                <w:rFonts w:ascii="Times New Roman"/>
                <w:sz w:val="21"/>
                <w:szCs w:val="21"/>
                <w:vertAlign w:val="superscript"/>
              </w:rPr>
              <w:t>3</w:t>
            </w:r>
          </w:p>
        </w:tc>
        <w:tc>
          <w:tcPr>
            <w:tcW w:w="1461" w:type="pct"/>
            <w:gridSpan w:val="2"/>
            <w:vMerge w:val="restart"/>
            <w:tcBorders>
              <w:left w:val="single" w:color="auto" w:sz="4" w:space="0"/>
              <w:right w:val="single" w:color="auto" w:sz="4" w:space="0"/>
            </w:tcBorders>
            <w:vAlign w:val="center"/>
          </w:tcPr>
          <w:p w14:paraId="6049C86D">
            <w:pPr>
              <w:jc w:val="center"/>
              <w:rPr>
                <w:rFonts w:ascii="Times New Roman"/>
                <w:sz w:val="21"/>
                <w:szCs w:val="21"/>
              </w:rPr>
            </w:pPr>
            <w:r>
              <w:rPr>
                <w:rFonts w:ascii="Times New Roman"/>
                <w:sz w:val="21"/>
                <w:szCs w:val="21"/>
              </w:rPr>
              <w:t>《工业炉窑大气污染物排放标准》（DB13/1640-2012）标准</w:t>
            </w:r>
            <w:r>
              <w:rPr>
                <w:rFonts w:hint="eastAsia" w:ascii="Times New Roman"/>
                <w:sz w:val="21"/>
                <w:szCs w:val="21"/>
              </w:rPr>
              <w:t>和</w:t>
            </w:r>
            <w:r>
              <w:rPr>
                <w:rFonts w:ascii="Times New Roman"/>
                <w:bCs/>
                <w:sz w:val="21"/>
                <w:szCs w:val="21"/>
              </w:rPr>
              <w:t>《关于印发&lt;工业炉窑大气污染综合治理方案&gt;的通知》（环大气[2019]56号）排放标准</w:t>
            </w:r>
          </w:p>
        </w:tc>
      </w:tr>
      <w:tr w14:paraId="722B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1" w:type="pct"/>
            <w:vMerge w:val="continue"/>
            <w:vAlign w:val="center"/>
          </w:tcPr>
          <w:p w14:paraId="32B52209">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6B9FEBDB">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74A82DED">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536898F9">
            <w:pPr>
              <w:jc w:val="center"/>
              <w:rPr>
                <w:rFonts w:ascii="Times New Roman"/>
                <w:sz w:val="21"/>
                <w:szCs w:val="21"/>
              </w:rPr>
            </w:pPr>
          </w:p>
        </w:tc>
        <w:tc>
          <w:tcPr>
            <w:tcW w:w="433" w:type="pct"/>
            <w:tcBorders>
              <w:left w:val="single" w:color="auto" w:sz="4" w:space="0"/>
              <w:right w:val="single" w:color="auto" w:sz="4" w:space="0"/>
            </w:tcBorders>
            <w:vAlign w:val="center"/>
          </w:tcPr>
          <w:p w14:paraId="33165FE5">
            <w:pPr>
              <w:jc w:val="center"/>
              <w:rPr>
                <w:rFonts w:ascii="Times New Roman"/>
                <w:sz w:val="21"/>
                <w:szCs w:val="21"/>
              </w:rPr>
            </w:pPr>
            <w:r>
              <w:rPr>
                <w:rFonts w:ascii="Times New Roman"/>
                <w:snapToGrid w:val="0"/>
                <w:sz w:val="21"/>
                <w:szCs w:val="21"/>
              </w:rPr>
              <w:t>SO</w:t>
            </w:r>
            <w:r>
              <w:rPr>
                <w:rFonts w:ascii="Times New Roman"/>
                <w:snapToGrid w:val="0"/>
                <w:sz w:val="21"/>
                <w:szCs w:val="21"/>
                <w:vertAlign w:val="subscript"/>
              </w:rPr>
              <w:t>2</w:t>
            </w:r>
          </w:p>
        </w:tc>
        <w:tc>
          <w:tcPr>
            <w:tcW w:w="562" w:type="pct"/>
            <w:tcBorders>
              <w:left w:val="single" w:color="auto" w:sz="4" w:space="0"/>
              <w:right w:val="single" w:color="auto" w:sz="4" w:space="0"/>
            </w:tcBorders>
            <w:vAlign w:val="center"/>
          </w:tcPr>
          <w:p w14:paraId="3A91D3D4">
            <w:pPr>
              <w:jc w:val="center"/>
              <w:rPr>
                <w:rFonts w:ascii="Times New Roman"/>
                <w:sz w:val="21"/>
                <w:szCs w:val="21"/>
              </w:rPr>
            </w:pPr>
            <w:r>
              <w:rPr>
                <w:rFonts w:ascii="Times New Roman"/>
                <w:sz w:val="21"/>
                <w:szCs w:val="21"/>
              </w:rPr>
              <w:t>≤</w:t>
            </w:r>
            <w:r>
              <w:rPr>
                <w:rFonts w:hint="eastAsia" w:ascii="Times New Roman"/>
                <w:sz w:val="21"/>
                <w:szCs w:val="21"/>
              </w:rPr>
              <w:t>200</w:t>
            </w:r>
            <w:r>
              <w:rPr>
                <w:rFonts w:ascii="Times New Roman"/>
                <w:sz w:val="21"/>
                <w:szCs w:val="21"/>
              </w:rPr>
              <w:t>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7290BD4D">
            <w:pPr>
              <w:jc w:val="center"/>
              <w:rPr>
                <w:rFonts w:ascii="Times New Roman"/>
                <w:sz w:val="21"/>
                <w:szCs w:val="21"/>
              </w:rPr>
            </w:pPr>
          </w:p>
        </w:tc>
      </w:tr>
      <w:tr w14:paraId="6E57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5" w:hRule="atLeast"/>
        </w:trPr>
        <w:tc>
          <w:tcPr>
            <w:tcW w:w="261" w:type="pct"/>
            <w:vMerge w:val="continue"/>
            <w:vAlign w:val="center"/>
          </w:tcPr>
          <w:p w14:paraId="10309B32">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414E5930">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74E0195F">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1E3224AF">
            <w:pPr>
              <w:jc w:val="center"/>
              <w:rPr>
                <w:rFonts w:ascii="Times New Roman"/>
                <w:sz w:val="21"/>
                <w:szCs w:val="21"/>
              </w:rPr>
            </w:pPr>
          </w:p>
        </w:tc>
        <w:tc>
          <w:tcPr>
            <w:tcW w:w="433" w:type="pct"/>
            <w:tcBorders>
              <w:left w:val="single" w:color="auto" w:sz="4" w:space="0"/>
              <w:right w:val="single" w:color="auto" w:sz="4" w:space="0"/>
            </w:tcBorders>
            <w:vAlign w:val="center"/>
          </w:tcPr>
          <w:p w14:paraId="0383806F">
            <w:pPr>
              <w:jc w:val="center"/>
              <w:rPr>
                <w:rFonts w:ascii="Times New Roman"/>
                <w:sz w:val="21"/>
                <w:szCs w:val="21"/>
              </w:rPr>
            </w:pPr>
            <w:r>
              <w:rPr>
                <w:rFonts w:ascii="Times New Roman"/>
                <w:snapToGrid w:val="0"/>
                <w:sz w:val="21"/>
                <w:szCs w:val="21"/>
              </w:rPr>
              <w:t>NOx</w:t>
            </w:r>
          </w:p>
        </w:tc>
        <w:tc>
          <w:tcPr>
            <w:tcW w:w="562" w:type="pct"/>
            <w:tcBorders>
              <w:left w:val="single" w:color="auto" w:sz="4" w:space="0"/>
              <w:right w:val="single" w:color="auto" w:sz="4" w:space="0"/>
            </w:tcBorders>
            <w:vAlign w:val="center"/>
          </w:tcPr>
          <w:p w14:paraId="7E3181DC">
            <w:pPr>
              <w:jc w:val="center"/>
              <w:rPr>
                <w:rFonts w:ascii="Times New Roman"/>
                <w:sz w:val="21"/>
                <w:szCs w:val="21"/>
              </w:rPr>
            </w:pPr>
            <w:r>
              <w:rPr>
                <w:rFonts w:ascii="Times New Roman"/>
                <w:sz w:val="21"/>
                <w:szCs w:val="21"/>
              </w:rPr>
              <w:t>≤</w:t>
            </w:r>
            <w:r>
              <w:rPr>
                <w:rFonts w:hint="eastAsia" w:ascii="Times New Roman"/>
                <w:sz w:val="21"/>
                <w:szCs w:val="21"/>
              </w:rPr>
              <w:t>300</w:t>
            </w:r>
            <w:r>
              <w:rPr>
                <w:rFonts w:ascii="Times New Roman"/>
                <w:sz w:val="21"/>
                <w:szCs w:val="21"/>
              </w:rPr>
              <w:t>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13386546">
            <w:pPr>
              <w:jc w:val="center"/>
              <w:rPr>
                <w:rFonts w:ascii="Times New Roman"/>
                <w:sz w:val="21"/>
                <w:szCs w:val="21"/>
              </w:rPr>
            </w:pPr>
          </w:p>
        </w:tc>
      </w:tr>
      <w:tr w14:paraId="12BA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61" w:type="pct"/>
            <w:vMerge w:val="continue"/>
            <w:vAlign w:val="center"/>
          </w:tcPr>
          <w:p w14:paraId="0ECA2F54">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0AA4CA0B">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78015606">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6052EE33">
            <w:pPr>
              <w:jc w:val="center"/>
              <w:rPr>
                <w:rFonts w:ascii="Times New Roman"/>
                <w:sz w:val="21"/>
                <w:szCs w:val="21"/>
              </w:rPr>
            </w:pPr>
          </w:p>
        </w:tc>
        <w:tc>
          <w:tcPr>
            <w:tcW w:w="433" w:type="pct"/>
            <w:tcBorders>
              <w:left w:val="single" w:color="auto" w:sz="4" w:space="0"/>
              <w:right w:val="single" w:color="auto" w:sz="4" w:space="0"/>
            </w:tcBorders>
            <w:vAlign w:val="center"/>
          </w:tcPr>
          <w:p w14:paraId="75F447D4">
            <w:pPr>
              <w:jc w:val="center"/>
              <w:rPr>
                <w:rFonts w:ascii="Times New Roman"/>
                <w:snapToGrid w:val="0"/>
                <w:sz w:val="21"/>
                <w:szCs w:val="21"/>
              </w:rPr>
            </w:pPr>
            <w:r>
              <w:rPr>
                <w:rFonts w:ascii="Times New Roman"/>
                <w:snapToGrid w:val="0"/>
                <w:sz w:val="21"/>
                <w:szCs w:val="21"/>
              </w:rPr>
              <w:t>烟气黑度</w:t>
            </w:r>
          </w:p>
        </w:tc>
        <w:tc>
          <w:tcPr>
            <w:tcW w:w="562" w:type="pct"/>
            <w:tcBorders>
              <w:left w:val="single" w:color="auto" w:sz="4" w:space="0"/>
              <w:right w:val="single" w:color="auto" w:sz="4" w:space="0"/>
            </w:tcBorders>
            <w:vAlign w:val="center"/>
          </w:tcPr>
          <w:p w14:paraId="30E6E8CC">
            <w:pPr>
              <w:jc w:val="center"/>
              <w:rPr>
                <w:rFonts w:ascii="Times New Roman"/>
                <w:sz w:val="21"/>
                <w:szCs w:val="21"/>
              </w:rPr>
            </w:pPr>
            <w:r>
              <w:rPr>
                <w:rFonts w:ascii="Times New Roman"/>
                <w:sz w:val="21"/>
                <w:szCs w:val="21"/>
              </w:rPr>
              <w:t>＜1</w:t>
            </w:r>
            <w:r>
              <w:rPr>
                <w:rFonts w:hint="eastAsia" w:ascii="Times New Roman"/>
                <w:sz w:val="21"/>
                <w:szCs w:val="21"/>
              </w:rPr>
              <w:t>级</w:t>
            </w:r>
          </w:p>
        </w:tc>
        <w:tc>
          <w:tcPr>
            <w:tcW w:w="1461" w:type="pct"/>
            <w:gridSpan w:val="2"/>
            <w:vMerge w:val="continue"/>
            <w:tcBorders>
              <w:left w:val="single" w:color="auto" w:sz="4" w:space="0"/>
              <w:right w:val="single" w:color="auto" w:sz="4" w:space="0"/>
            </w:tcBorders>
            <w:vAlign w:val="center"/>
          </w:tcPr>
          <w:p w14:paraId="70D28F07">
            <w:pPr>
              <w:jc w:val="center"/>
              <w:rPr>
                <w:rFonts w:ascii="Times New Roman"/>
                <w:sz w:val="21"/>
                <w:szCs w:val="21"/>
              </w:rPr>
            </w:pPr>
          </w:p>
        </w:tc>
      </w:tr>
      <w:tr w14:paraId="1574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61" w:type="pct"/>
            <w:vMerge w:val="continue"/>
            <w:vAlign w:val="center"/>
          </w:tcPr>
          <w:p w14:paraId="79DCCCFD">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59251269">
            <w:pPr>
              <w:jc w:val="center"/>
              <w:rPr>
                <w:rFonts w:ascii="Times New Roman"/>
                <w:sz w:val="21"/>
                <w:szCs w:val="21"/>
              </w:rPr>
            </w:pPr>
          </w:p>
        </w:tc>
        <w:tc>
          <w:tcPr>
            <w:tcW w:w="323" w:type="pct"/>
            <w:vMerge w:val="restart"/>
            <w:tcBorders>
              <w:left w:val="single" w:color="auto" w:sz="4" w:space="0"/>
              <w:right w:val="single" w:color="auto" w:sz="4" w:space="0"/>
            </w:tcBorders>
            <w:vAlign w:val="center"/>
          </w:tcPr>
          <w:p w14:paraId="1D19E0D3">
            <w:pPr>
              <w:jc w:val="center"/>
              <w:rPr>
                <w:rFonts w:ascii="Times New Roman"/>
                <w:sz w:val="21"/>
                <w:szCs w:val="21"/>
              </w:rPr>
            </w:pPr>
            <w:r>
              <w:rPr>
                <w:rFonts w:hint="eastAsia" w:ascii="Times New Roman"/>
                <w:sz w:val="21"/>
                <w:szCs w:val="21"/>
              </w:rPr>
              <w:t>热处理淬油</w:t>
            </w:r>
          </w:p>
        </w:tc>
        <w:tc>
          <w:tcPr>
            <w:tcW w:w="1702" w:type="pct"/>
            <w:gridSpan w:val="2"/>
            <w:vMerge w:val="restart"/>
            <w:tcBorders>
              <w:left w:val="single" w:color="auto" w:sz="4" w:space="0"/>
              <w:right w:val="single" w:color="auto" w:sz="4" w:space="0"/>
            </w:tcBorders>
            <w:vAlign w:val="center"/>
          </w:tcPr>
          <w:p w14:paraId="552D3CA2">
            <w:pPr>
              <w:jc w:val="center"/>
              <w:rPr>
                <w:rFonts w:ascii="Times New Roman"/>
                <w:sz w:val="21"/>
                <w:szCs w:val="21"/>
              </w:rPr>
            </w:pPr>
            <w:r>
              <w:rPr>
                <w:rFonts w:hint="eastAsia" w:ascii="Times New Roman"/>
                <w:sz w:val="21"/>
                <w:szCs w:val="21"/>
              </w:rPr>
              <w:t>风量：</w:t>
            </w:r>
            <w:r>
              <w:rPr>
                <w:rFonts w:hint="eastAsia" w:ascii="Times New Roman" w:eastAsia="等线"/>
                <w:sz w:val="21"/>
                <w:szCs w:val="21"/>
              </w:rPr>
              <w:t>50000</w:t>
            </w:r>
            <w:r>
              <w:rPr>
                <w:rFonts w:hint="eastAsia" w:ascii="Times New Roman"/>
                <w:sz w:val="21"/>
                <w:szCs w:val="21"/>
              </w:rPr>
              <w:t>m</w:t>
            </w:r>
            <w:r>
              <w:rPr>
                <w:rFonts w:hint="eastAsia" w:ascii="Times New Roman"/>
                <w:sz w:val="21"/>
                <w:szCs w:val="21"/>
                <w:vertAlign w:val="superscript"/>
              </w:rPr>
              <w:t>3</w:t>
            </w:r>
            <w:r>
              <w:rPr>
                <w:rFonts w:hint="eastAsia" w:ascii="Times New Roman"/>
                <w:sz w:val="21"/>
                <w:szCs w:val="21"/>
              </w:rPr>
              <w:t>/h，集气罩收集+油雾净化器+二级活性炭吸附装置+20m高排气筒（DA006）排放</w:t>
            </w:r>
          </w:p>
        </w:tc>
        <w:tc>
          <w:tcPr>
            <w:tcW w:w="433" w:type="pct"/>
            <w:tcBorders>
              <w:left w:val="single" w:color="auto" w:sz="4" w:space="0"/>
              <w:right w:val="single" w:color="auto" w:sz="4" w:space="0"/>
            </w:tcBorders>
            <w:vAlign w:val="center"/>
          </w:tcPr>
          <w:p w14:paraId="375E5D72">
            <w:pPr>
              <w:jc w:val="center"/>
              <w:rPr>
                <w:rFonts w:ascii="Times New Roman"/>
                <w:snapToGrid w:val="0"/>
                <w:sz w:val="21"/>
                <w:szCs w:val="21"/>
              </w:rPr>
            </w:pPr>
            <w:r>
              <w:rPr>
                <w:rFonts w:hint="eastAsia" w:ascii="Times New Roman"/>
                <w:snapToGrid w:val="0"/>
                <w:sz w:val="21"/>
                <w:szCs w:val="21"/>
              </w:rPr>
              <w:t>油雾</w:t>
            </w:r>
          </w:p>
        </w:tc>
        <w:tc>
          <w:tcPr>
            <w:tcW w:w="562" w:type="pct"/>
            <w:tcBorders>
              <w:left w:val="single" w:color="auto" w:sz="4" w:space="0"/>
              <w:right w:val="single" w:color="auto" w:sz="4" w:space="0"/>
            </w:tcBorders>
            <w:vAlign w:val="center"/>
          </w:tcPr>
          <w:p w14:paraId="210897AE">
            <w:pPr>
              <w:jc w:val="center"/>
              <w:rPr>
                <w:rFonts w:ascii="Times New Roman"/>
                <w:sz w:val="21"/>
                <w:szCs w:val="21"/>
              </w:rPr>
            </w:pPr>
            <w:r>
              <w:rPr>
                <w:rFonts w:hint="eastAsia" w:ascii="Times New Roman"/>
                <w:bCs/>
                <w:sz w:val="21"/>
                <w:szCs w:val="21"/>
              </w:rPr>
              <w:t>2</w:t>
            </w:r>
            <w:r>
              <w:rPr>
                <w:rFonts w:ascii="Times New Roman"/>
                <w:bCs/>
                <w:sz w:val="21"/>
                <w:szCs w:val="21"/>
              </w:rPr>
              <w:t>0</w:t>
            </w:r>
            <w:r>
              <w:rPr>
                <w:rFonts w:ascii="Times New Roman"/>
                <w:sz w:val="21"/>
                <w:szCs w:val="21"/>
              </w:rPr>
              <w:t>mg/m</w:t>
            </w:r>
            <w:r>
              <w:rPr>
                <w:rFonts w:ascii="Times New Roman"/>
                <w:sz w:val="21"/>
                <w:szCs w:val="21"/>
                <w:vertAlign w:val="superscript"/>
              </w:rPr>
              <w:t>3</w:t>
            </w:r>
          </w:p>
        </w:tc>
        <w:tc>
          <w:tcPr>
            <w:tcW w:w="1461" w:type="pct"/>
            <w:gridSpan w:val="2"/>
            <w:tcBorders>
              <w:left w:val="single" w:color="auto" w:sz="4" w:space="0"/>
              <w:right w:val="single" w:color="auto" w:sz="4" w:space="0"/>
            </w:tcBorders>
            <w:vAlign w:val="center"/>
          </w:tcPr>
          <w:p w14:paraId="356A9BB3">
            <w:pPr>
              <w:jc w:val="center"/>
              <w:rPr>
                <w:rFonts w:ascii="Times New Roman"/>
                <w:sz w:val="21"/>
                <w:szCs w:val="21"/>
              </w:rPr>
            </w:pPr>
            <w:r>
              <w:rPr>
                <w:rFonts w:ascii="Times New Roman"/>
                <w:sz w:val="21"/>
                <w:szCs w:val="21"/>
              </w:rPr>
              <w:t>《钢铁工业大气污染物超低排放标准》（DB13/2169-2018）表4中的排放浓度限值</w:t>
            </w:r>
          </w:p>
        </w:tc>
      </w:tr>
      <w:tr w14:paraId="477E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61" w:type="pct"/>
            <w:vMerge w:val="continue"/>
            <w:vAlign w:val="center"/>
          </w:tcPr>
          <w:p w14:paraId="7A1548F1">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1C420EAD">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5354F9C4">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2FFF6527">
            <w:pPr>
              <w:jc w:val="center"/>
              <w:rPr>
                <w:rFonts w:ascii="Times New Roman"/>
                <w:sz w:val="21"/>
                <w:szCs w:val="21"/>
              </w:rPr>
            </w:pPr>
          </w:p>
        </w:tc>
        <w:tc>
          <w:tcPr>
            <w:tcW w:w="433" w:type="pct"/>
            <w:tcBorders>
              <w:left w:val="single" w:color="auto" w:sz="4" w:space="0"/>
              <w:right w:val="single" w:color="auto" w:sz="4" w:space="0"/>
            </w:tcBorders>
            <w:vAlign w:val="center"/>
          </w:tcPr>
          <w:p w14:paraId="2B2D498E">
            <w:pPr>
              <w:jc w:val="center"/>
              <w:rPr>
                <w:rFonts w:ascii="Times New Roman"/>
                <w:snapToGrid w:val="0"/>
                <w:sz w:val="21"/>
                <w:szCs w:val="21"/>
              </w:rPr>
            </w:pPr>
            <w:r>
              <w:rPr>
                <w:rFonts w:hint="eastAsia" w:ascii="Times New Roman"/>
                <w:snapToGrid w:val="0"/>
                <w:sz w:val="21"/>
                <w:szCs w:val="21"/>
              </w:rPr>
              <w:t>非甲烷总烃</w:t>
            </w:r>
          </w:p>
        </w:tc>
        <w:tc>
          <w:tcPr>
            <w:tcW w:w="562" w:type="pct"/>
            <w:tcBorders>
              <w:left w:val="single" w:color="auto" w:sz="4" w:space="0"/>
              <w:right w:val="single" w:color="auto" w:sz="4" w:space="0"/>
            </w:tcBorders>
            <w:vAlign w:val="center"/>
          </w:tcPr>
          <w:p w14:paraId="0390FF72">
            <w:pPr>
              <w:jc w:val="center"/>
              <w:rPr>
                <w:rFonts w:ascii="Times New Roman"/>
                <w:sz w:val="21"/>
                <w:szCs w:val="21"/>
              </w:rPr>
            </w:pPr>
            <w:r>
              <w:rPr>
                <w:rFonts w:hint="eastAsia" w:ascii="Times New Roman"/>
                <w:bCs/>
                <w:sz w:val="21"/>
                <w:szCs w:val="21"/>
              </w:rPr>
              <w:t>40</w:t>
            </w:r>
            <w:r>
              <w:rPr>
                <w:rFonts w:ascii="Times New Roman"/>
                <w:sz w:val="21"/>
                <w:szCs w:val="21"/>
              </w:rPr>
              <w:t>mg/m</w:t>
            </w:r>
            <w:r>
              <w:rPr>
                <w:rFonts w:ascii="Times New Roman"/>
                <w:sz w:val="21"/>
                <w:szCs w:val="21"/>
                <w:vertAlign w:val="superscript"/>
              </w:rPr>
              <w:t>3</w:t>
            </w:r>
          </w:p>
        </w:tc>
        <w:tc>
          <w:tcPr>
            <w:tcW w:w="1461" w:type="pct"/>
            <w:gridSpan w:val="2"/>
            <w:tcBorders>
              <w:left w:val="single" w:color="auto" w:sz="4" w:space="0"/>
              <w:right w:val="single" w:color="auto" w:sz="4" w:space="0"/>
            </w:tcBorders>
            <w:vAlign w:val="center"/>
          </w:tcPr>
          <w:p w14:paraId="2A9918BD">
            <w:pPr>
              <w:jc w:val="center"/>
              <w:rPr>
                <w:rFonts w:ascii="Times New Roman"/>
                <w:sz w:val="21"/>
                <w:szCs w:val="21"/>
              </w:rPr>
            </w:pPr>
            <w:r>
              <w:rPr>
                <w:rFonts w:ascii="Times New Roman"/>
                <w:sz w:val="21"/>
                <w:szCs w:val="21"/>
              </w:rPr>
              <w:t>《工业企业挥发性有机物排放控制标准》（DB13/2322</w:t>
            </w:r>
            <w:r>
              <w:rPr>
                <w:rFonts w:hint="eastAsia" w:ascii="Times New Roman"/>
                <w:sz w:val="21"/>
                <w:szCs w:val="21"/>
              </w:rPr>
              <w:t>-</w:t>
            </w:r>
            <w:r>
              <w:rPr>
                <w:rFonts w:ascii="Times New Roman"/>
                <w:sz w:val="21"/>
                <w:szCs w:val="21"/>
              </w:rPr>
              <w:t>2016）表1</w:t>
            </w:r>
            <w:r>
              <w:rPr>
                <w:rFonts w:hint="eastAsia" w:ascii="Times New Roman"/>
                <w:sz w:val="21"/>
                <w:szCs w:val="21"/>
              </w:rPr>
              <w:t>其他行业</w:t>
            </w:r>
            <w:r>
              <w:rPr>
                <w:rFonts w:ascii="Times New Roman"/>
                <w:sz w:val="21"/>
                <w:szCs w:val="21"/>
              </w:rPr>
              <w:t>限值要求</w:t>
            </w:r>
          </w:p>
        </w:tc>
      </w:tr>
      <w:tr w14:paraId="0119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61" w:type="pct"/>
            <w:vMerge w:val="continue"/>
            <w:vAlign w:val="center"/>
          </w:tcPr>
          <w:p w14:paraId="2501A8BC">
            <w:pPr>
              <w:jc w:val="center"/>
              <w:rPr>
                <w:rFonts w:ascii="Times New Roman"/>
                <w:sz w:val="21"/>
                <w:szCs w:val="21"/>
              </w:rPr>
            </w:pPr>
          </w:p>
        </w:tc>
        <w:tc>
          <w:tcPr>
            <w:tcW w:w="256" w:type="pct"/>
            <w:vMerge w:val="restart"/>
            <w:tcBorders>
              <w:left w:val="single" w:color="auto" w:sz="4" w:space="0"/>
              <w:right w:val="single" w:color="auto" w:sz="4" w:space="0"/>
            </w:tcBorders>
            <w:vAlign w:val="center"/>
          </w:tcPr>
          <w:p w14:paraId="2A511AF7">
            <w:pPr>
              <w:jc w:val="center"/>
              <w:rPr>
                <w:rFonts w:ascii="Times New Roman"/>
                <w:sz w:val="21"/>
                <w:szCs w:val="21"/>
              </w:rPr>
            </w:pPr>
            <w:r>
              <w:rPr>
                <w:rFonts w:hint="eastAsia" w:ascii="Times New Roman"/>
                <w:sz w:val="21"/>
                <w:szCs w:val="21"/>
              </w:rPr>
              <w:t>联合厂房-</w:t>
            </w:r>
            <w:r>
              <w:rPr>
                <w:rFonts w:ascii="Times New Roman"/>
                <w:sz w:val="21"/>
                <w:szCs w:val="21"/>
              </w:rPr>
              <w:t>预处理及喷涂生产线</w:t>
            </w:r>
          </w:p>
        </w:tc>
        <w:tc>
          <w:tcPr>
            <w:tcW w:w="323" w:type="pct"/>
            <w:tcBorders>
              <w:left w:val="single" w:color="auto" w:sz="4" w:space="0"/>
              <w:right w:val="single" w:color="auto" w:sz="4" w:space="0"/>
            </w:tcBorders>
            <w:vAlign w:val="center"/>
          </w:tcPr>
          <w:p w14:paraId="01E70D66">
            <w:pPr>
              <w:jc w:val="center"/>
              <w:rPr>
                <w:rFonts w:ascii="Times New Roman"/>
                <w:sz w:val="21"/>
                <w:szCs w:val="21"/>
              </w:rPr>
            </w:pPr>
            <w:r>
              <w:rPr>
                <w:rFonts w:hint="eastAsia" w:ascii="Times New Roman"/>
                <w:sz w:val="21"/>
                <w:szCs w:val="21"/>
              </w:rPr>
              <w:t>抛丸、喷砂</w:t>
            </w:r>
          </w:p>
        </w:tc>
        <w:tc>
          <w:tcPr>
            <w:tcW w:w="1702" w:type="pct"/>
            <w:gridSpan w:val="2"/>
            <w:tcBorders>
              <w:left w:val="single" w:color="auto" w:sz="4" w:space="0"/>
              <w:right w:val="single" w:color="auto" w:sz="4" w:space="0"/>
            </w:tcBorders>
            <w:vAlign w:val="center"/>
          </w:tcPr>
          <w:p w14:paraId="63ADE606">
            <w:pPr>
              <w:jc w:val="center"/>
              <w:rPr>
                <w:rFonts w:ascii="Times New Roman"/>
                <w:sz w:val="21"/>
                <w:szCs w:val="21"/>
              </w:rPr>
            </w:pPr>
            <w:r>
              <w:rPr>
                <w:rFonts w:hint="eastAsia" w:ascii="Times New Roman"/>
                <w:sz w:val="21"/>
                <w:szCs w:val="21"/>
              </w:rPr>
              <w:t>风量：</w:t>
            </w:r>
            <w:r>
              <w:rPr>
                <w:rFonts w:hint="eastAsia" w:ascii="Times New Roman" w:eastAsia="等线"/>
                <w:sz w:val="21"/>
                <w:szCs w:val="21"/>
              </w:rPr>
              <w:t>2</w:t>
            </w:r>
            <w:r>
              <w:rPr>
                <w:rFonts w:ascii="Times New Roman" w:eastAsia="等线"/>
                <w:sz w:val="21"/>
                <w:szCs w:val="21"/>
              </w:rPr>
              <w:t>0000</w:t>
            </w:r>
            <w:r>
              <w:rPr>
                <w:rFonts w:hint="eastAsia" w:ascii="Times New Roman"/>
                <w:sz w:val="21"/>
                <w:szCs w:val="21"/>
              </w:rPr>
              <w:t>m</w:t>
            </w:r>
            <w:r>
              <w:rPr>
                <w:rFonts w:hint="eastAsia" w:ascii="Times New Roman"/>
                <w:sz w:val="21"/>
                <w:szCs w:val="21"/>
                <w:vertAlign w:val="superscript"/>
              </w:rPr>
              <w:t>3</w:t>
            </w:r>
            <w:r>
              <w:rPr>
                <w:rFonts w:hint="eastAsia" w:ascii="Times New Roman"/>
                <w:sz w:val="21"/>
                <w:szCs w:val="21"/>
              </w:rPr>
              <w:t>/h，抛丸工序管道收集、喷砂废气集气罩收集+布袋除尘器+20m高排气筒（DA007）</w:t>
            </w:r>
          </w:p>
        </w:tc>
        <w:tc>
          <w:tcPr>
            <w:tcW w:w="433" w:type="pct"/>
            <w:tcBorders>
              <w:left w:val="single" w:color="auto" w:sz="4" w:space="0"/>
              <w:right w:val="single" w:color="auto" w:sz="4" w:space="0"/>
            </w:tcBorders>
            <w:vAlign w:val="center"/>
          </w:tcPr>
          <w:p w14:paraId="7B17263B">
            <w:pPr>
              <w:jc w:val="center"/>
              <w:rPr>
                <w:rFonts w:ascii="Times New Roman"/>
                <w:snapToGrid w:val="0"/>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4F76146B">
            <w:pPr>
              <w:jc w:val="center"/>
              <w:rPr>
                <w:rFonts w:ascii="Times New Roman"/>
                <w:sz w:val="21"/>
                <w:szCs w:val="21"/>
              </w:rPr>
            </w:pPr>
            <w:r>
              <w:rPr>
                <w:rFonts w:ascii="Times New Roman"/>
                <w:sz w:val="21"/>
                <w:szCs w:val="21"/>
              </w:rPr>
              <w:t>排放浓度≤10mg/m</w:t>
            </w:r>
            <w:r>
              <w:rPr>
                <w:rFonts w:ascii="Times New Roman"/>
                <w:sz w:val="21"/>
                <w:szCs w:val="21"/>
                <w:vertAlign w:val="superscript"/>
              </w:rPr>
              <w:t>3</w:t>
            </w:r>
          </w:p>
        </w:tc>
        <w:tc>
          <w:tcPr>
            <w:tcW w:w="1461" w:type="pct"/>
            <w:gridSpan w:val="2"/>
            <w:tcBorders>
              <w:left w:val="single" w:color="auto" w:sz="4" w:space="0"/>
              <w:right w:val="single" w:color="auto" w:sz="4" w:space="0"/>
            </w:tcBorders>
            <w:vAlign w:val="center"/>
          </w:tcPr>
          <w:p w14:paraId="0521D22E">
            <w:pPr>
              <w:jc w:val="center"/>
              <w:rPr>
                <w:rFonts w:ascii="Times New Roman"/>
                <w:sz w:val="21"/>
                <w:szCs w:val="21"/>
              </w:rPr>
            </w:pPr>
            <w:r>
              <w:rPr>
                <w:rFonts w:ascii="Times New Roman"/>
                <w:sz w:val="21"/>
                <w:szCs w:val="21"/>
              </w:rPr>
              <w:t>《钢铁工业大气污染物超低排放标准》（DB13/2169-2018）表1轧钢“热处理炉、拉矫、精整、抛丸、修磨、焊接机及</w:t>
            </w:r>
            <w:r>
              <w:rPr>
                <w:rFonts w:hint="eastAsia" w:ascii="Times New Roman"/>
                <w:sz w:val="21"/>
                <w:szCs w:val="21"/>
              </w:rPr>
              <w:t>其</w:t>
            </w:r>
            <w:r>
              <w:rPr>
                <w:rFonts w:ascii="Times New Roman"/>
                <w:sz w:val="21"/>
                <w:szCs w:val="21"/>
              </w:rPr>
              <w:t>他生产设施”排放限值要求</w:t>
            </w:r>
          </w:p>
        </w:tc>
      </w:tr>
      <w:tr w14:paraId="35F4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61" w:type="pct"/>
            <w:vMerge w:val="continue"/>
            <w:vAlign w:val="center"/>
          </w:tcPr>
          <w:p w14:paraId="07F11141">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76561D22">
            <w:pPr>
              <w:jc w:val="center"/>
              <w:rPr>
                <w:rFonts w:ascii="Times New Roman"/>
                <w:sz w:val="21"/>
                <w:szCs w:val="21"/>
              </w:rPr>
            </w:pPr>
          </w:p>
        </w:tc>
        <w:tc>
          <w:tcPr>
            <w:tcW w:w="323" w:type="pct"/>
            <w:tcBorders>
              <w:left w:val="single" w:color="auto" w:sz="4" w:space="0"/>
              <w:right w:val="single" w:color="auto" w:sz="4" w:space="0"/>
            </w:tcBorders>
            <w:vAlign w:val="center"/>
          </w:tcPr>
          <w:p w14:paraId="687938DD">
            <w:pPr>
              <w:jc w:val="center"/>
              <w:rPr>
                <w:rFonts w:ascii="Times New Roman"/>
                <w:sz w:val="21"/>
                <w:szCs w:val="21"/>
              </w:rPr>
            </w:pPr>
            <w:r>
              <w:rPr>
                <w:rFonts w:hint="eastAsia" w:ascii="Times New Roman"/>
                <w:sz w:val="21"/>
                <w:szCs w:val="21"/>
              </w:rPr>
              <w:t>喷塑</w:t>
            </w:r>
          </w:p>
        </w:tc>
        <w:tc>
          <w:tcPr>
            <w:tcW w:w="1702" w:type="pct"/>
            <w:gridSpan w:val="2"/>
            <w:tcBorders>
              <w:left w:val="single" w:color="auto" w:sz="4" w:space="0"/>
              <w:right w:val="single" w:color="auto" w:sz="4" w:space="0"/>
            </w:tcBorders>
            <w:vAlign w:val="center"/>
          </w:tcPr>
          <w:p w14:paraId="16D09FD0">
            <w:pPr>
              <w:jc w:val="center"/>
              <w:rPr>
                <w:rFonts w:ascii="Times New Roman"/>
                <w:sz w:val="21"/>
                <w:szCs w:val="21"/>
              </w:rPr>
            </w:pPr>
            <w:r>
              <w:rPr>
                <w:rFonts w:hint="eastAsia" w:ascii="Times New Roman"/>
                <w:sz w:val="21"/>
                <w:szCs w:val="21"/>
              </w:rPr>
              <w:t>风量：</w:t>
            </w:r>
            <w:r>
              <w:rPr>
                <w:rFonts w:hint="eastAsia" w:ascii="Times New Roman" w:eastAsia="等线"/>
                <w:sz w:val="21"/>
                <w:szCs w:val="21"/>
              </w:rPr>
              <w:t>15000</w:t>
            </w:r>
            <w:r>
              <w:rPr>
                <w:rFonts w:hint="eastAsia" w:ascii="Times New Roman"/>
                <w:sz w:val="21"/>
                <w:szCs w:val="21"/>
              </w:rPr>
              <w:t>m</w:t>
            </w:r>
            <w:r>
              <w:rPr>
                <w:rFonts w:hint="eastAsia" w:ascii="Times New Roman"/>
                <w:sz w:val="21"/>
                <w:szCs w:val="21"/>
                <w:vertAlign w:val="superscript"/>
              </w:rPr>
              <w:t>3</w:t>
            </w:r>
            <w:r>
              <w:rPr>
                <w:rFonts w:hint="eastAsia" w:ascii="Times New Roman"/>
                <w:sz w:val="21"/>
                <w:szCs w:val="21"/>
              </w:rPr>
              <w:t>/h，自带滤筒除尘器+20m高排气筒（DA008）</w:t>
            </w:r>
          </w:p>
        </w:tc>
        <w:tc>
          <w:tcPr>
            <w:tcW w:w="433" w:type="pct"/>
            <w:tcBorders>
              <w:left w:val="single" w:color="auto" w:sz="4" w:space="0"/>
              <w:right w:val="single" w:color="auto" w:sz="4" w:space="0"/>
            </w:tcBorders>
            <w:vAlign w:val="center"/>
          </w:tcPr>
          <w:p w14:paraId="16E4D4FF">
            <w:pPr>
              <w:jc w:val="center"/>
              <w:rPr>
                <w:rFonts w:ascii="Times New Roman"/>
                <w:snapToGrid w:val="0"/>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3688D97C">
            <w:pPr>
              <w:jc w:val="center"/>
              <w:rPr>
                <w:rFonts w:ascii="Times New Roman"/>
                <w:sz w:val="21"/>
                <w:szCs w:val="21"/>
                <w:vertAlign w:val="superscript"/>
              </w:rPr>
            </w:pPr>
            <w:r>
              <w:rPr>
                <w:rFonts w:ascii="Times New Roman"/>
                <w:sz w:val="21"/>
                <w:szCs w:val="21"/>
              </w:rPr>
              <w:t>排放浓度≤18mg/m</w:t>
            </w:r>
            <w:r>
              <w:rPr>
                <w:rFonts w:ascii="Times New Roman"/>
                <w:sz w:val="21"/>
                <w:szCs w:val="21"/>
                <w:vertAlign w:val="superscript"/>
              </w:rPr>
              <w:t>3</w:t>
            </w:r>
          </w:p>
          <w:p w14:paraId="59F674C7">
            <w:pPr>
              <w:jc w:val="center"/>
              <w:rPr>
                <w:rFonts w:ascii="Times New Roman"/>
                <w:sz w:val="21"/>
                <w:szCs w:val="21"/>
              </w:rPr>
            </w:pPr>
            <w:r>
              <w:rPr>
                <w:rFonts w:ascii="Times New Roman"/>
                <w:sz w:val="21"/>
                <w:szCs w:val="21"/>
              </w:rPr>
              <w:t>排放速率≤</w:t>
            </w:r>
            <w:r>
              <w:rPr>
                <w:rFonts w:hint="eastAsia" w:ascii="Times New Roman"/>
                <w:bCs/>
                <w:sz w:val="21"/>
                <w:szCs w:val="21"/>
              </w:rPr>
              <w:t>0.425</w:t>
            </w:r>
            <w:r>
              <w:rPr>
                <w:rFonts w:ascii="Times New Roman"/>
                <w:bCs/>
                <w:sz w:val="21"/>
                <w:szCs w:val="21"/>
              </w:rPr>
              <w:t>kg/h</w:t>
            </w:r>
          </w:p>
        </w:tc>
        <w:tc>
          <w:tcPr>
            <w:tcW w:w="1461" w:type="pct"/>
            <w:gridSpan w:val="2"/>
            <w:tcBorders>
              <w:left w:val="single" w:color="auto" w:sz="4" w:space="0"/>
              <w:right w:val="single" w:color="auto" w:sz="4" w:space="0"/>
            </w:tcBorders>
            <w:vAlign w:val="center"/>
          </w:tcPr>
          <w:p w14:paraId="476CB087">
            <w:pPr>
              <w:jc w:val="center"/>
              <w:rPr>
                <w:rFonts w:ascii="Times New Roman"/>
                <w:sz w:val="21"/>
                <w:szCs w:val="21"/>
              </w:rPr>
            </w:pPr>
            <w:r>
              <w:rPr>
                <w:rFonts w:ascii="Times New Roman"/>
                <w:sz w:val="21"/>
                <w:szCs w:val="21"/>
              </w:rPr>
              <w:t>《大气污染物综合排放标准》（GB16297-1996）表2中“染料尘”标准限值要求</w:t>
            </w:r>
          </w:p>
        </w:tc>
      </w:tr>
      <w:tr w14:paraId="6DCB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3CD79D8E">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3E9E2FC6">
            <w:pPr>
              <w:jc w:val="center"/>
              <w:rPr>
                <w:rFonts w:ascii="Times New Roman"/>
                <w:sz w:val="21"/>
                <w:szCs w:val="21"/>
              </w:rPr>
            </w:pPr>
          </w:p>
        </w:tc>
        <w:tc>
          <w:tcPr>
            <w:tcW w:w="323" w:type="pct"/>
            <w:vMerge w:val="restart"/>
            <w:tcBorders>
              <w:left w:val="single" w:color="auto" w:sz="4" w:space="0"/>
              <w:right w:val="single" w:color="auto" w:sz="4" w:space="0"/>
            </w:tcBorders>
            <w:vAlign w:val="center"/>
          </w:tcPr>
          <w:p w14:paraId="4E1367EC">
            <w:pPr>
              <w:jc w:val="center"/>
              <w:rPr>
                <w:rFonts w:ascii="Times New Roman"/>
                <w:sz w:val="21"/>
                <w:szCs w:val="21"/>
              </w:rPr>
            </w:pPr>
            <w:r>
              <w:rPr>
                <w:rFonts w:hint="eastAsia" w:ascii="Times New Roman"/>
                <w:sz w:val="21"/>
                <w:szCs w:val="21"/>
              </w:rPr>
              <w:t>喷塑固化、强冷、喷漆、电泳、流平</w:t>
            </w:r>
          </w:p>
        </w:tc>
        <w:tc>
          <w:tcPr>
            <w:tcW w:w="1702" w:type="pct"/>
            <w:gridSpan w:val="2"/>
            <w:vMerge w:val="restart"/>
            <w:tcBorders>
              <w:left w:val="single" w:color="auto" w:sz="4" w:space="0"/>
              <w:right w:val="single" w:color="auto" w:sz="4" w:space="0"/>
            </w:tcBorders>
            <w:vAlign w:val="center"/>
          </w:tcPr>
          <w:p w14:paraId="08F2909C">
            <w:pPr>
              <w:jc w:val="center"/>
              <w:rPr>
                <w:rFonts w:ascii="Times New Roman"/>
                <w:sz w:val="21"/>
                <w:szCs w:val="21"/>
              </w:rPr>
            </w:pPr>
            <w:r>
              <w:rPr>
                <w:rFonts w:hint="eastAsia" w:ascii="Times New Roman"/>
                <w:sz w:val="21"/>
                <w:szCs w:val="21"/>
              </w:rPr>
              <w:t>风量：250824m</w:t>
            </w:r>
            <w:r>
              <w:rPr>
                <w:rFonts w:hint="eastAsia" w:ascii="Times New Roman"/>
                <w:sz w:val="21"/>
                <w:szCs w:val="21"/>
                <w:vertAlign w:val="superscript"/>
              </w:rPr>
              <w:t>3</w:t>
            </w:r>
            <w:r>
              <w:rPr>
                <w:rFonts w:hint="eastAsia" w:ascii="Times New Roman"/>
                <w:sz w:val="21"/>
                <w:szCs w:val="21"/>
              </w:rPr>
              <w:t>/h，喷塑固化、强冷工序负压收集后引入二级活性炭吸附装置处理，喷漆、电泳、流平负压收集</w:t>
            </w:r>
            <w:r>
              <w:rPr>
                <w:rFonts w:ascii="Times New Roman"/>
                <w:sz w:val="21"/>
                <w:szCs w:val="21"/>
              </w:rPr>
              <w:t>+</w:t>
            </w:r>
            <w:r>
              <w:rPr>
                <w:rFonts w:hint="eastAsia" w:ascii="Times New Roman"/>
                <w:sz w:val="21"/>
                <w:szCs w:val="21"/>
              </w:rPr>
              <w:t>“4级干式过滤器+沸石轮转吸附+RTO焚烧装置”+20m</w:t>
            </w:r>
            <w:r>
              <w:rPr>
                <w:rFonts w:ascii="Times New Roman"/>
                <w:sz w:val="21"/>
                <w:szCs w:val="21"/>
              </w:rPr>
              <w:t>高排气筒（</w:t>
            </w:r>
            <w:r>
              <w:rPr>
                <w:rFonts w:hint="eastAsia" w:ascii="Times New Roman"/>
                <w:sz w:val="21"/>
                <w:szCs w:val="21"/>
              </w:rPr>
              <w:t>DA009</w:t>
            </w:r>
            <w:r>
              <w:rPr>
                <w:rFonts w:ascii="Times New Roman"/>
                <w:sz w:val="21"/>
                <w:szCs w:val="21"/>
              </w:rPr>
              <w:t>）排放</w:t>
            </w:r>
          </w:p>
        </w:tc>
        <w:tc>
          <w:tcPr>
            <w:tcW w:w="433" w:type="pct"/>
            <w:tcBorders>
              <w:left w:val="single" w:color="auto" w:sz="4" w:space="0"/>
              <w:right w:val="single" w:color="auto" w:sz="4" w:space="0"/>
            </w:tcBorders>
            <w:vAlign w:val="center"/>
          </w:tcPr>
          <w:p w14:paraId="2252303A">
            <w:pPr>
              <w:jc w:val="center"/>
              <w:rPr>
                <w:rFonts w:ascii="Times New Roman"/>
                <w:bCs/>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3D3DC3AC">
            <w:pPr>
              <w:jc w:val="center"/>
              <w:rPr>
                <w:rFonts w:ascii="Times New Roman"/>
                <w:sz w:val="21"/>
                <w:szCs w:val="21"/>
                <w:vertAlign w:val="superscript"/>
              </w:rPr>
            </w:pPr>
            <w:r>
              <w:rPr>
                <w:rFonts w:ascii="Times New Roman"/>
                <w:sz w:val="21"/>
                <w:szCs w:val="21"/>
              </w:rPr>
              <w:t>排放浓度≤</w:t>
            </w:r>
            <w:r>
              <w:rPr>
                <w:rFonts w:hint="eastAsia" w:ascii="Times New Roman"/>
                <w:sz w:val="21"/>
                <w:szCs w:val="21"/>
              </w:rPr>
              <w:t>18</w:t>
            </w:r>
            <w:r>
              <w:rPr>
                <w:rFonts w:ascii="Times New Roman"/>
                <w:sz w:val="21"/>
                <w:szCs w:val="21"/>
              </w:rPr>
              <w:t>mg/m</w:t>
            </w:r>
            <w:r>
              <w:rPr>
                <w:rFonts w:ascii="Times New Roman"/>
                <w:sz w:val="21"/>
                <w:szCs w:val="21"/>
                <w:vertAlign w:val="superscript"/>
              </w:rPr>
              <w:t>3</w:t>
            </w:r>
          </w:p>
          <w:p w14:paraId="429A180A">
            <w:pPr>
              <w:jc w:val="center"/>
              <w:rPr>
                <w:rFonts w:ascii="Times New Roman"/>
                <w:sz w:val="21"/>
                <w:szCs w:val="21"/>
              </w:rPr>
            </w:pPr>
            <w:r>
              <w:rPr>
                <w:rFonts w:ascii="Times New Roman"/>
                <w:sz w:val="21"/>
                <w:szCs w:val="21"/>
              </w:rPr>
              <w:t>排放速率≤</w:t>
            </w:r>
            <w:r>
              <w:rPr>
                <w:rFonts w:hint="eastAsia" w:ascii="Times New Roman"/>
                <w:bCs/>
                <w:sz w:val="21"/>
                <w:szCs w:val="21"/>
              </w:rPr>
              <w:t>0.425</w:t>
            </w:r>
            <w:r>
              <w:rPr>
                <w:rFonts w:ascii="Times New Roman"/>
                <w:bCs/>
                <w:sz w:val="21"/>
                <w:szCs w:val="21"/>
              </w:rPr>
              <w:t>kg/h</w:t>
            </w:r>
          </w:p>
        </w:tc>
        <w:tc>
          <w:tcPr>
            <w:tcW w:w="1461" w:type="pct"/>
            <w:gridSpan w:val="2"/>
            <w:vMerge w:val="restart"/>
            <w:tcBorders>
              <w:left w:val="single" w:color="auto" w:sz="4" w:space="0"/>
              <w:right w:val="single" w:color="auto" w:sz="4" w:space="0"/>
            </w:tcBorders>
            <w:vAlign w:val="center"/>
          </w:tcPr>
          <w:p w14:paraId="62752D46">
            <w:pPr>
              <w:jc w:val="center"/>
              <w:rPr>
                <w:rFonts w:ascii="Times New Roman"/>
                <w:sz w:val="21"/>
                <w:szCs w:val="21"/>
              </w:rPr>
            </w:pPr>
            <w:r>
              <w:rPr>
                <w:rFonts w:ascii="Times New Roman"/>
                <w:sz w:val="21"/>
                <w:szCs w:val="21"/>
              </w:rPr>
              <w:t>《大气污染物综合排放标准》（GB16297-1996）表2</w:t>
            </w:r>
            <w:r>
              <w:rPr>
                <w:rFonts w:hint="eastAsia" w:ascii="Times New Roman"/>
                <w:sz w:val="21"/>
                <w:szCs w:val="21"/>
              </w:rPr>
              <w:t>中</w:t>
            </w:r>
            <w:r>
              <w:rPr>
                <w:rFonts w:ascii="Times New Roman"/>
                <w:sz w:val="21"/>
                <w:szCs w:val="21"/>
              </w:rPr>
              <w:t>“染料尘”标准限值要求</w:t>
            </w:r>
            <w:r>
              <w:rPr>
                <w:rFonts w:hint="eastAsia" w:ascii="Times New Roman"/>
                <w:sz w:val="21"/>
                <w:szCs w:val="21"/>
              </w:rPr>
              <w:t>；</w:t>
            </w:r>
            <w:r>
              <w:rPr>
                <w:rFonts w:ascii="Times New Roman"/>
                <w:sz w:val="21"/>
                <w:szCs w:val="21"/>
              </w:rPr>
              <w:t>《工业炉窑大气污染物排放标准》（DB13/1640-2012）标准</w:t>
            </w:r>
            <w:r>
              <w:rPr>
                <w:rFonts w:hint="eastAsia" w:ascii="Times New Roman"/>
                <w:sz w:val="21"/>
                <w:szCs w:val="21"/>
              </w:rPr>
              <w:t>；</w:t>
            </w:r>
            <w:r>
              <w:rPr>
                <w:rFonts w:ascii="Times New Roman"/>
                <w:bCs/>
                <w:sz w:val="21"/>
                <w:szCs w:val="21"/>
              </w:rPr>
              <w:t>《关于印发&lt;工业炉窑大气污染综合治理方案&gt;的通知》（环大气[2019]56号）排放标准</w:t>
            </w:r>
          </w:p>
        </w:tc>
      </w:tr>
      <w:tr w14:paraId="06BB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1" w:type="pct"/>
            <w:vMerge w:val="continue"/>
            <w:vAlign w:val="center"/>
          </w:tcPr>
          <w:p w14:paraId="14FDC2CE">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09AC4920">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119DB4DA">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7B03F33E">
            <w:pPr>
              <w:jc w:val="center"/>
              <w:rPr>
                <w:rFonts w:ascii="Times New Roman"/>
                <w:sz w:val="21"/>
                <w:szCs w:val="21"/>
              </w:rPr>
            </w:pPr>
          </w:p>
        </w:tc>
        <w:tc>
          <w:tcPr>
            <w:tcW w:w="433" w:type="pct"/>
            <w:tcBorders>
              <w:left w:val="single" w:color="auto" w:sz="4" w:space="0"/>
              <w:right w:val="single" w:color="auto" w:sz="4" w:space="0"/>
            </w:tcBorders>
            <w:vAlign w:val="center"/>
          </w:tcPr>
          <w:p w14:paraId="2E83889D">
            <w:pPr>
              <w:jc w:val="center"/>
              <w:rPr>
                <w:rFonts w:ascii="Times New Roman"/>
                <w:bCs/>
                <w:sz w:val="21"/>
                <w:szCs w:val="21"/>
              </w:rPr>
            </w:pPr>
            <w:r>
              <w:rPr>
                <w:rFonts w:ascii="Times New Roman"/>
                <w:snapToGrid w:val="0"/>
                <w:sz w:val="21"/>
                <w:szCs w:val="21"/>
              </w:rPr>
              <w:t>SO</w:t>
            </w:r>
            <w:r>
              <w:rPr>
                <w:rFonts w:ascii="Times New Roman"/>
                <w:snapToGrid w:val="0"/>
                <w:sz w:val="21"/>
                <w:szCs w:val="21"/>
                <w:vertAlign w:val="subscript"/>
              </w:rPr>
              <w:t>2</w:t>
            </w:r>
          </w:p>
        </w:tc>
        <w:tc>
          <w:tcPr>
            <w:tcW w:w="562" w:type="pct"/>
            <w:tcBorders>
              <w:left w:val="single" w:color="auto" w:sz="4" w:space="0"/>
              <w:right w:val="single" w:color="auto" w:sz="4" w:space="0"/>
            </w:tcBorders>
            <w:vAlign w:val="center"/>
          </w:tcPr>
          <w:p w14:paraId="46A2AADE">
            <w:pPr>
              <w:jc w:val="center"/>
              <w:rPr>
                <w:rFonts w:ascii="Times New Roman"/>
                <w:sz w:val="21"/>
                <w:szCs w:val="21"/>
              </w:rPr>
            </w:pPr>
            <w:r>
              <w:rPr>
                <w:rFonts w:ascii="Times New Roman"/>
                <w:sz w:val="21"/>
                <w:szCs w:val="21"/>
              </w:rPr>
              <w:t>≤200mg/m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679B317E">
            <w:pPr>
              <w:jc w:val="center"/>
              <w:rPr>
                <w:rFonts w:ascii="Times New Roman"/>
                <w:sz w:val="21"/>
                <w:szCs w:val="21"/>
              </w:rPr>
            </w:pPr>
          </w:p>
        </w:tc>
      </w:tr>
      <w:tr w14:paraId="0288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1" w:type="pct"/>
            <w:vMerge w:val="continue"/>
            <w:vAlign w:val="center"/>
          </w:tcPr>
          <w:p w14:paraId="11CB668B">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6F05CFB2">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62AA0A75">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3BE03271">
            <w:pPr>
              <w:jc w:val="center"/>
              <w:rPr>
                <w:rFonts w:ascii="Times New Roman"/>
                <w:sz w:val="21"/>
                <w:szCs w:val="21"/>
              </w:rPr>
            </w:pPr>
          </w:p>
        </w:tc>
        <w:tc>
          <w:tcPr>
            <w:tcW w:w="433" w:type="pct"/>
            <w:tcBorders>
              <w:left w:val="single" w:color="auto" w:sz="4" w:space="0"/>
              <w:right w:val="single" w:color="auto" w:sz="4" w:space="0"/>
            </w:tcBorders>
            <w:vAlign w:val="center"/>
          </w:tcPr>
          <w:p w14:paraId="32F6F867">
            <w:pPr>
              <w:jc w:val="center"/>
              <w:rPr>
                <w:rFonts w:ascii="Times New Roman"/>
                <w:bCs/>
                <w:sz w:val="21"/>
                <w:szCs w:val="21"/>
              </w:rPr>
            </w:pPr>
            <w:r>
              <w:rPr>
                <w:rFonts w:ascii="Times New Roman"/>
                <w:snapToGrid w:val="0"/>
                <w:sz w:val="21"/>
                <w:szCs w:val="21"/>
              </w:rPr>
              <w:t>NOx</w:t>
            </w:r>
          </w:p>
        </w:tc>
        <w:tc>
          <w:tcPr>
            <w:tcW w:w="562" w:type="pct"/>
            <w:tcBorders>
              <w:left w:val="single" w:color="auto" w:sz="4" w:space="0"/>
              <w:right w:val="single" w:color="auto" w:sz="4" w:space="0"/>
            </w:tcBorders>
            <w:vAlign w:val="center"/>
          </w:tcPr>
          <w:p w14:paraId="3F457D8C">
            <w:pPr>
              <w:jc w:val="center"/>
              <w:rPr>
                <w:rFonts w:ascii="Times New Roman"/>
                <w:sz w:val="21"/>
                <w:szCs w:val="21"/>
              </w:rPr>
            </w:pPr>
            <w:r>
              <w:rPr>
                <w:rFonts w:ascii="Times New Roman"/>
                <w:sz w:val="21"/>
                <w:szCs w:val="21"/>
              </w:rPr>
              <w:t>≤300mg/m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07FB35B2">
            <w:pPr>
              <w:jc w:val="center"/>
              <w:rPr>
                <w:rFonts w:ascii="Times New Roman"/>
                <w:sz w:val="21"/>
                <w:szCs w:val="21"/>
              </w:rPr>
            </w:pPr>
          </w:p>
        </w:tc>
      </w:tr>
      <w:tr w14:paraId="63FB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61" w:type="pct"/>
            <w:vMerge w:val="continue"/>
            <w:vAlign w:val="center"/>
          </w:tcPr>
          <w:p w14:paraId="2EC4B5D9">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28492361">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2D56F5AF">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306FA840">
            <w:pPr>
              <w:jc w:val="center"/>
              <w:rPr>
                <w:rFonts w:ascii="Times New Roman"/>
                <w:sz w:val="21"/>
                <w:szCs w:val="21"/>
              </w:rPr>
            </w:pPr>
          </w:p>
        </w:tc>
        <w:tc>
          <w:tcPr>
            <w:tcW w:w="433" w:type="pct"/>
            <w:tcBorders>
              <w:left w:val="single" w:color="auto" w:sz="4" w:space="0"/>
              <w:right w:val="single" w:color="auto" w:sz="4" w:space="0"/>
            </w:tcBorders>
            <w:vAlign w:val="center"/>
          </w:tcPr>
          <w:p w14:paraId="7BD0C25B">
            <w:pPr>
              <w:jc w:val="center"/>
              <w:rPr>
                <w:rFonts w:ascii="Times New Roman"/>
                <w:bCs/>
                <w:sz w:val="21"/>
                <w:szCs w:val="21"/>
              </w:rPr>
            </w:pPr>
            <w:r>
              <w:rPr>
                <w:rFonts w:ascii="Times New Roman"/>
                <w:snapToGrid w:val="0"/>
                <w:sz w:val="21"/>
                <w:szCs w:val="21"/>
              </w:rPr>
              <w:t>烟气黑度</w:t>
            </w:r>
          </w:p>
        </w:tc>
        <w:tc>
          <w:tcPr>
            <w:tcW w:w="562" w:type="pct"/>
            <w:tcBorders>
              <w:left w:val="single" w:color="auto" w:sz="4" w:space="0"/>
              <w:right w:val="single" w:color="auto" w:sz="4" w:space="0"/>
            </w:tcBorders>
            <w:vAlign w:val="center"/>
          </w:tcPr>
          <w:p w14:paraId="73CC534A">
            <w:pPr>
              <w:jc w:val="center"/>
              <w:rPr>
                <w:rFonts w:ascii="Times New Roman"/>
                <w:sz w:val="21"/>
                <w:szCs w:val="21"/>
              </w:rPr>
            </w:pPr>
            <w:r>
              <w:rPr>
                <w:rFonts w:ascii="Times New Roman"/>
                <w:sz w:val="21"/>
                <w:szCs w:val="21"/>
              </w:rPr>
              <w:t>＜1</w:t>
            </w:r>
            <w:r>
              <w:rPr>
                <w:rFonts w:hint="eastAsia" w:ascii="Times New Roman"/>
                <w:sz w:val="21"/>
                <w:szCs w:val="21"/>
              </w:rPr>
              <w:t>级</w:t>
            </w:r>
          </w:p>
        </w:tc>
        <w:tc>
          <w:tcPr>
            <w:tcW w:w="1461" w:type="pct"/>
            <w:gridSpan w:val="2"/>
            <w:vMerge w:val="continue"/>
            <w:tcBorders>
              <w:left w:val="single" w:color="auto" w:sz="4" w:space="0"/>
              <w:right w:val="single" w:color="auto" w:sz="4" w:space="0"/>
            </w:tcBorders>
            <w:vAlign w:val="center"/>
          </w:tcPr>
          <w:p w14:paraId="41660D3B">
            <w:pPr>
              <w:jc w:val="center"/>
              <w:rPr>
                <w:rFonts w:ascii="Times New Roman"/>
                <w:sz w:val="21"/>
                <w:szCs w:val="21"/>
              </w:rPr>
            </w:pPr>
          </w:p>
        </w:tc>
      </w:tr>
      <w:tr w14:paraId="5F40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5319B3A0">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62536928">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486691B2">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6624C7AF">
            <w:pPr>
              <w:jc w:val="center"/>
              <w:rPr>
                <w:rFonts w:ascii="Times New Roman"/>
                <w:sz w:val="21"/>
                <w:szCs w:val="21"/>
              </w:rPr>
            </w:pPr>
          </w:p>
        </w:tc>
        <w:tc>
          <w:tcPr>
            <w:tcW w:w="433" w:type="pct"/>
            <w:tcBorders>
              <w:left w:val="single" w:color="auto" w:sz="4" w:space="0"/>
              <w:right w:val="single" w:color="auto" w:sz="4" w:space="0"/>
            </w:tcBorders>
            <w:vAlign w:val="center"/>
          </w:tcPr>
          <w:p w14:paraId="47FDE9FD">
            <w:pPr>
              <w:jc w:val="center"/>
              <w:rPr>
                <w:rFonts w:ascii="Times New Roman"/>
                <w:bCs/>
                <w:sz w:val="21"/>
                <w:szCs w:val="21"/>
              </w:rPr>
            </w:pPr>
            <w:r>
              <w:rPr>
                <w:rFonts w:ascii="Times New Roman"/>
                <w:sz w:val="21"/>
                <w:szCs w:val="21"/>
              </w:rPr>
              <w:t>非甲烷总烃</w:t>
            </w:r>
          </w:p>
        </w:tc>
        <w:tc>
          <w:tcPr>
            <w:tcW w:w="562" w:type="pct"/>
            <w:tcBorders>
              <w:left w:val="single" w:color="auto" w:sz="4" w:space="0"/>
              <w:right w:val="single" w:color="auto" w:sz="4" w:space="0"/>
            </w:tcBorders>
            <w:vAlign w:val="center"/>
          </w:tcPr>
          <w:p w14:paraId="25B873B1">
            <w:pPr>
              <w:jc w:val="center"/>
              <w:rPr>
                <w:rFonts w:ascii="Times New Roman"/>
                <w:sz w:val="21"/>
                <w:szCs w:val="21"/>
                <w:vertAlign w:val="superscript"/>
              </w:rPr>
            </w:pPr>
            <w:r>
              <w:rPr>
                <w:rFonts w:ascii="Times New Roman"/>
                <w:sz w:val="21"/>
                <w:szCs w:val="21"/>
              </w:rPr>
              <w:t>≤</w:t>
            </w:r>
            <w:r>
              <w:rPr>
                <w:rFonts w:hint="eastAsia" w:ascii="Times New Roman"/>
                <w:sz w:val="21"/>
                <w:szCs w:val="21"/>
              </w:rPr>
              <w:t>30</w:t>
            </w:r>
            <w:r>
              <w:rPr>
                <w:rFonts w:ascii="Times New Roman"/>
                <w:sz w:val="21"/>
                <w:szCs w:val="21"/>
              </w:rPr>
              <w:t>mg/m</w:t>
            </w:r>
            <w:r>
              <w:rPr>
                <w:rFonts w:ascii="Times New Roman"/>
                <w:sz w:val="21"/>
                <w:szCs w:val="21"/>
                <w:vertAlign w:val="superscript"/>
              </w:rPr>
              <w:t>3</w:t>
            </w:r>
          </w:p>
          <w:p w14:paraId="37A20BDD">
            <w:pPr>
              <w:jc w:val="center"/>
              <w:rPr>
                <w:rFonts w:ascii="Times New Roman"/>
                <w:sz w:val="21"/>
                <w:szCs w:val="21"/>
              </w:rPr>
            </w:pPr>
            <w:r>
              <w:rPr>
                <w:rFonts w:ascii="Times New Roman"/>
                <w:sz w:val="21"/>
                <w:szCs w:val="21"/>
              </w:rPr>
              <w:t>去除效率70%</w:t>
            </w:r>
          </w:p>
        </w:tc>
        <w:tc>
          <w:tcPr>
            <w:tcW w:w="1461" w:type="pct"/>
            <w:gridSpan w:val="2"/>
            <w:vMerge w:val="restart"/>
            <w:tcBorders>
              <w:left w:val="single" w:color="auto" w:sz="4" w:space="0"/>
              <w:right w:val="single" w:color="auto" w:sz="4" w:space="0"/>
            </w:tcBorders>
            <w:vAlign w:val="center"/>
          </w:tcPr>
          <w:p w14:paraId="26A1E7DA">
            <w:pPr>
              <w:jc w:val="center"/>
              <w:rPr>
                <w:rFonts w:ascii="Times New Roman"/>
                <w:sz w:val="21"/>
                <w:szCs w:val="21"/>
              </w:rPr>
            </w:pPr>
            <w:r>
              <w:rPr>
                <w:rFonts w:ascii="Times New Roman"/>
                <w:bCs/>
                <w:sz w:val="21"/>
                <w:szCs w:val="21"/>
              </w:rPr>
              <w:t>《工业企业挥发性有机物排放控制标准》（DB13/2322-2016）表1表面涂装业标准限值要求</w:t>
            </w:r>
          </w:p>
        </w:tc>
      </w:tr>
      <w:tr w14:paraId="460A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78AD10FD">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5186D5D8">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2739AD16">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1044EC49">
            <w:pPr>
              <w:jc w:val="center"/>
              <w:rPr>
                <w:rFonts w:ascii="Times New Roman"/>
                <w:sz w:val="21"/>
                <w:szCs w:val="21"/>
              </w:rPr>
            </w:pPr>
          </w:p>
        </w:tc>
        <w:tc>
          <w:tcPr>
            <w:tcW w:w="433" w:type="pct"/>
            <w:tcBorders>
              <w:left w:val="single" w:color="auto" w:sz="4" w:space="0"/>
              <w:right w:val="single" w:color="auto" w:sz="4" w:space="0"/>
            </w:tcBorders>
            <w:vAlign w:val="center"/>
          </w:tcPr>
          <w:p w14:paraId="59EFA5C9">
            <w:pPr>
              <w:jc w:val="center"/>
              <w:rPr>
                <w:rFonts w:ascii="Times New Roman"/>
                <w:bCs/>
                <w:sz w:val="21"/>
                <w:szCs w:val="21"/>
              </w:rPr>
            </w:pPr>
            <w:r>
              <w:rPr>
                <w:rFonts w:ascii="Times New Roman"/>
                <w:bCs/>
                <w:sz w:val="21"/>
                <w:szCs w:val="21"/>
              </w:rPr>
              <w:t>甲苯与二甲苯合计</w:t>
            </w:r>
          </w:p>
        </w:tc>
        <w:tc>
          <w:tcPr>
            <w:tcW w:w="562" w:type="pct"/>
            <w:tcBorders>
              <w:left w:val="single" w:color="auto" w:sz="4" w:space="0"/>
              <w:right w:val="single" w:color="auto" w:sz="4" w:space="0"/>
            </w:tcBorders>
            <w:vAlign w:val="center"/>
          </w:tcPr>
          <w:p w14:paraId="3E4A220B">
            <w:pPr>
              <w:jc w:val="center"/>
              <w:rPr>
                <w:rFonts w:ascii="Times New Roman"/>
                <w:sz w:val="21"/>
                <w:szCs w:val="21"/>
              </w:rPr>
            </w:pPr>
            <w:r>
              <w:rPr>
                <w:rFonts w:ascii="Times New Roman"/>
                <w:sz w:val="21"/>
                <w:szCs w:val="21"/>
              </w:rPr>
              <w:t>≤</w:t>
            </w:r>
            <w:r>
              <w:rPr>
                <w:rFonts w:hint="eastAsia" w:ascii="Times New Roman"/>
                <w:sz w:val="21"/>
                <w:szCs w:val="21"/>
              </w:rPr>
              <w:t>10</w:t>
            </w:r>
            <w:r>
              <w:rPr>
                <w:rFonts w:ascii="Times New Roman"/>
                <w:sz w:val="21"/>
                <w:szCs w:val="21"/>
              </w:rPr>
              <w:t>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7FE3E751">
            <w:pPr>
              <w:jc w:val="center"/>
              <w:rPr>
                <w:rFonts w:ascii="Times New Roman"/>
                <w:sz w:val="21"/>
                <w:szCs w:val="21"/>
              </w:rPr>
            </w:pPr>
          </w:p>
        </w:tc>
      </w:tr>
      <w:tr w14:paraId="588C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trPr>
        <w:tc>
          <w:tcPr>
            <w:tcW w:w="261" w:type="pct"/>
            <w:vMerge w:val="continue"/>
            <w:vAlign w:val="center"/>
          </w:tcPr>
          <w:p w14:paraId="544314C1">
            <w:pPr>
              <w:jc w:val="center"/>
              <w:rPr>
                <w:rFonts w:ascii="Times New Roman"/>
                <w:sz w:val="21"/>
                <w:szCs w:val="21"/>
              </w:rPr>
            </w:pPr>
          </w:p>
        </w:tc>
        <w:tc>
          <w:tcPr>
            <w:tcW w:w="256" w:type="pct"/>
            <w:vMerge w:val="restart"/>
            <w:tcBorders>
              <w:left w:val="single" w:color="auto" w:sz="4" w:space="0"/>
              <w:right w:val="single" w:color="auto" w:sz="4" w:space="0"/>
            </w:tcBorders>
            <w:vAlign w:val="center"/>
          </w:tcPr>
          <w:p w14:paraId="7A830F64">
            <w:pPr>
              <w:jc w:val="center"/>
              <w:rPr>
                <w:rFonts w:ascii="Times New Roman"/>
                <w:sz w:val="21"/>
                <w:szCs w:val="21"/>
              </w:rPr>
            </w:pPr>
            <w:r>
              <w:rPr>
                <w:rFonts w:hint="eastAsia" w:ascii="Times New Roman"/>
                <w:sz w:val="21"/>
                <w:szCs w:val="21"/>
              </w:rPr>
              <w:t>托辊及装配厂房-托辊生产线</w:t>
            </w:r>
          </w:p>
        </w:tc>
        <w:tc>
          <w:tcPr>
            <w:tcW w:w="323" w:type="pct"/>
            <w:tcBorders>
              <w:left w:val="single" w:color="auto" w:sz="4" w:space="0"/>
              <w:right w:val="single" w:color="auto" w:sz="4" w:space="0"/>
            </w:tcBorders>
            <w:vAlign w:val="center"/>
          </w:tcPr>
          <w:p w14:paraId="15616E34">
            <w:pPr>
              <w:jc w:val="center"/>
              <w:rPr>
                <w:rFonts w:ascii="Times New Roman"/>
                <w:sz w:val="21"/>
                <w:szCs w:val="21"/>
              </w:rPr>
            </w:pPr>
            <w:r>
              <w:rPr>
                <w:rFonts w:hint="eastAsia" w:ascii="Times New Roman"/>
                <w:sz w:val="21"/>
                <w:szCs w:val="21"/>
              </w:rPr>
              <w:t>喷塑</w:t>
            </w:r>
          </w:p>
        </w:tc>
        <w:tc>
          <w:tcPr>
            <w:tcW w:w="1702" w:type="pct"/>
            <w:gridSpan w:val="2"/>
            <w:tcBorders>
              <w:left w:val="single" w:color="auto" w:sz="4" w:space="0"/>
              <w:right w:val="single" w:color="auto" w:sz="4" w:space="0"/>
            </w:tcBorders>
            <w:vAlign w:val="center"/>
          </w:tcPr>
          <w:p w14:paraId="284885E9">
            <w:pPr>
              <w:jc w:val="center"/>
              <w:rPr>
                <w:rFonts w:ascii="Times New Roman"/>
                <w:sz w:val="21"/>
                <w:szCs w:val="21"/>
              </w:rPr>
            </w:pPr>
            <w:r>
              <w:rPr>
                <w:rFonts w:hint="eastAsia" w:ascii="Times New Roman"/>
                <w:sz w:val="21"/>
                <w:szCs w:val="21"/>
              </w:rPr>
              <w:t>风量：10000m</w:t>
            </w:r>
            <w:r>
              <w:rPr>
                <w:rFonts w:hint="eastAsia" w:ascii="Times New Roman"/>
                <w:sz w:val="21"/>
                <w:szCs w:val="21"/>
                <w:vertAlign w:val="superscript"/>
              </w:rPr>
              <w:t>3</w:t>
            </w:r>
            <w:r>
              <w:rPr>
                <w:rFonts w:hint="eastAsia" w:ascii="Times New Roman"/>
                <w:sz w:val="21"/>
                <w:szCs w:val="21"/>
              </w:rPr>
              <w:t>/h，自带滤筒除尘器收集处理后由1根20m高排气筒（DA010）排放</w:t>
            </w:r>
          </w:p>
        </w:tc>
        <w:tc>
          <w:tcPr>
            <w:tcW w:w="433" w:type="pct"/>
            <w:tcBorders>
              <w:left w:val="single" w:color="auto" w:sz="4" w:space="0"/>
              <w:right w:val="single" w:color="auto" w:sz="4" w:space="0"/>
            </w:tcBorders>
            <w:vAlign w:val="center"/>
          </w:tcPr>
          <w:p w14:paraId="6F9F798C">
            <w:pPr>
              <w:jc w:val="center"/>
              <w:rPr>
                <w:rFonts w:ascii="Times New Roman"/>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5C4CC340">
            <w:pPr>
              <w:jc w:val="center"/>
              <w:rPr>
                <w:rFonts w:ascii="Times New Roman"/>
                <w:sz w:val="21"/>
                <w:szCs w:val="21"/>
                <w:vertAlign w:val="superscript"/>
              </w:rPr>
            </w:pPr>
            <w:r>
              <w:rPr>
                <w:rFonts w:ascii="Times New Roman"/>
                <w:sz w:val="21"/>
                <w:szCs w:val="21"/>
              </w:rPr>
              <w:t>排放浓度≤</w:t>
            </w:r>
            <w:r>
              <w:rPr>
                <w:rFonts w:hint="eastAsia" w:ascii="Times New Roman"/>
                <w:sz w:val="21"/>
                <w:szCs w:val="21"/>
              </w:rPr>
              <w:t>18</w:t>
            </w:r>
            <w:r>
              <w:rPr>
                <w:rFonts w:ascii="Times New Roman"/>
                <w:sz w:val="21"/>
                <w:szCs w:val="21"/>
              </w:rPr>
              <w:t>mg/m</w:t>
            </w:r>
            <w:r>
              <w:rPr>
                <w:rFonts w:ascii="Times New Roman"/>
                <w:sz w:val="21"/>
                <w:szCs w:val="21"/>
                <w:vertAlign w:val="superscript"/>
              </w:rPr>
              <w:t>3</w:t>
            </w:r>
          </w:p>
          <w:p w14:paraId="4928724E">
            <w:pPr>
              <w:jc w:val="center"/>
              <w:rPr>
                <w:rFonts w:ascii="Times New Roman"/>
                <w:sz w:val="21"/>
                <w:szCs w:val="21"/>
              </w:rPr>
            </w:pPr>
            <w:r>
              <w:rPr>
                <w:rFonts w:ascii="Times New Roman"/>
                <w:sz w:val="21"/>
                <w:szCs w:val="21"/>
              </w:rPr>
              <w:t>排放速率≤</w:t>
            </w:r>
            <w:r>
              <w:rPr>
                <w:rFonts w:hint="eastAsia" w:ascii="Times New Roman"/>
                <w:bCs/>
                <w:sz w:val="21"/>
                <w:szCs w:val="21"/>
              </w:rPr>
              <w:t>0.425</w:t>
            </w:r>
            <w:r>
              <w:rPr>
                <w:rFonts w:ascii="Times New Roman"/>
                <w:bCs/>
                <w:sz w:val="21"/>
                <w:szCs w:val="21"/>
              </w:rPr>
              <w:t>kg/h</w:t>
            </w:r>
          </w:p>
        </w:tc>
        <w:tc>
          <w:tcPr>
            <w:tcW w:w="1461" w:type="pct"/>
            <w:gridSpan w:val="2"/>
            <w:tcBorders>
              <w:left w:val="single" w:color="auto" w:sz="4" w:space="0"/>
              <w:right w:val="single" w:color="auto" w:sz="4" w:space="0"/>
            </w:tcBorders>
            <w:vAlign w:val="center"/>
          </w:tcPr>
          <w:p w14:paraId="6EBB373A">
            <w:pPr>
              <w:jc w:val="center"/>
              <w:rPr>
                <w:rFonts w:ascii="Times New Roman"/>
                <w:sz w:val="21"/>
                <w:szCs w:val="21"/>
              </w:rPr>
            </w:pPr>
            <w:r>
              <w:rPr>
                <w:rFonts w:ascii="Times New Roman"/>
                <w:sz w:val="21"/>
                <w:szCs w:val="21"/>
              </w:rPr>
              <w:t>《大气污染物综合排放标准》（GB16297-1996）表2中“染料尘”标准限值要求</w:t>
            </w:r>
          </w:p>
        </w:tc>
      </w:tr>
      <w:tr w14:paraId="18BC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1A3C3AA3">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609C1F19">
            <w:pPr>
              <w:jc w:val="center"/>
              <w:rPr>
                <w:rFonts w:ascii="Times New Roman"/>
                <w:sz w:val="21"/>
                <w:szCs w:val="21"/>
              </w:rPr>
            </w:pPr>
          </w:p>
        </w:tc>
        <w:tc>
          <w:tcPr>
            <w:tcW w:w="323" w:type="pct"/>
            <w:vMerge w:val="restart"/>
            <w:tcBorders>
              <w:left w:val="single" w:color="auto" w:sz="4" w:space="0"/>
              <w:right w:val="single" w:color="auto" w:sz="4" w:space="0"/>
            </w:tcBorders>
            <w:vAlign w:val="center"/>
          </w:tcPr>
          <w:p w14:paraId="75FFEEAB">
            <w:pPr>
              <w:jc w:val="center"/>
              <w:rPr>
                <w:rFonts w:ascii="Times New Roman"/>
                <w:sz w:val="21"/>
                <w:szCs w:val="21"/>
              </w:rPr>
            </w:pPr>
            <w:r>
              <w:rPr>
                <w:rFonts w:hint="eastAsia" w:ascii="Times New Roman"/>
                <w:sz w:val="21"/>
                <w:szCs w:val="21"/>
              </w:rPr>
              <w:t>喷塑固化</w:t>
            </w:r>
          </w:p>
        </w:tc>
        <w:tc>
          <w:tcPr>
            <w:tcW w:w="1702" w:type="pct"/>
            <w:gridSpan w:val="2"/>
            <w:vMerge w:val="restart"/>
            <w:tcBorders>
              <w:left w:val="single" w:color="auto" w:sz="4" w:space="0"/>
              <w:right w:val="single" w:color="auto" w:sz="4" w:space="0"/>
            </w:tcBorders>
            <w:vAlign w:val="center"/>
          </w:tcPr>
          <w:p w14:paraId="61614B3B">
            <w:pPr>
              <w:jc w:val="center"/>
              <w:rPr>
                <w:rFonts w:ascii="Times New Roman"/>
                <w:sz w:val="21"/>
                <w:szCs w:val="21"/>
              </w:rPr>
            </w:pPr>
            <w:r>
              <w:rPr>
                <w:rFonts w:hint="eastAsia" w:ascii="Times New Roman"/>
                <w:sz w:val="21"/>
                <w:szCs w:val="21"/>
              </w:rPr>
              <w:t>风量：8000m</w:t>
            </w:r>
            <w:r>
              <w:rPr>
                <w:rFonts w:hint="eastAsia" w:ascii="Times New Roman"/>
                <w:sz w:val="21"/>
                <w:szCs w:val="21"/>
                <w:vertAlign w:val="superscript"/>
              </w:rPr>
              <w:t>3</w:t>
            </w:r>
            <w:r>
              <w:rPr>
                <w:rFonts w:hint="eastAsia" w:ascii="Times New Roman"/>
                <w:sz w:val="21"/>
                <w:szCs w:val="21"/>
              </w:rPr>
              <w:t>/h，废气负压收集+二级活性炭吸附装置+20m高排气筒（DA011）排放</w:t>
            </w:r>
          </w:p>
        </w:tc>
        <w:tc>
          <w:tcPr>
            <w:tcW w:w="433" w:type="pct"/>
            <w:tcBorders>
              <w:left w:val="single" w:color="auto" w:sz="4" w:space="0"/>
              <w:right w:val="single" w:color="auto" w:sz="4" w:space="0"/>
            </w:tcBorders>
            <w:vAlign w:val="center"/>
          </w:tcPr>
          <w:p w14:paraId="443CA06A">
            <w:pPr>
              <w:jc w:val="center"/>
              <w:rPr>
                <w:rFonts w:ascii="Times New Roman"/>
                <w:sz w:val="21"/>
                <w:szCs w:val="21"/>
              </w:rPr>
            </w:pPr>
            <w:r>
              <w:rPr>
                <w:rFonts w:hint="eastAsia" w:ascii="Times New Roman"/>
                <w:bCs/>
                <w:sz w:val="21"/>
                <w:szCs w:val="21"/>
              </w:rPr>
              <w:t>非甲烷总烃</w:t>
            </w:r>
          </w:p>
        </w:tc>
        <w:tc>
          <w:tcPr>
            <w:tcW w:w="562" w:type="pct"/>
            <w:tcBorders>
              <w:left w:val="single" w:color="auto" w:sz="4" w:space="0"/>
              <w:right w:val="single" w:color="auto" w:sz="4" w:space="0"/>
            </w:tcBorders>
            <w:vAlign w:val="center"/>
          </w:tcPr>
          <w:p w14:paraId="296592A5">
            <w:pPr>
              <w:jc w:val="center"/>
              <w:rPr>
                <w:rFonts w:ascii="Times New Roman"/>
                <w:sz w:val="21"/>
                <w:szCs w:val="21"/>
                <w:vertAlign w:val="superscript"/>
              </w:rPr>
            </w:pPr>
            <w:r>
              <w:rPr>
                <w:rFonts w:ascii="Times New Roman"/>
                <w:sz w:val="21"/>
                <w:szCs w:val="21"/>
              </w:rPr>
              <w:t>≤</w:t>
            </w:r>
            <w:r>
              <w:rPr>
                <w:rFonts w:hint="eastAsia" w:ascii="Times New Roman"/>
                <w:sz w:val="21"/>
                <w:szCs w:val="21"/>
              </w:rPr>
              <w:t>30</w:t>
            </w:r>
            <w:r>
              <w:rPr>
                <w:rFonts w:ascii="Times New Roman"/>
                <w:sz w:val="21"/>
                <w:szCs w:val="21"/>
              </w:rPr>
              <w:t>mg/m</w:t>
            </w:r>
            <w:r>
              <w:rPr>
                <w:rFonts w:ascii="Times New Roman"/>
                <w:sz w:val="21"/>
                <w:szCs w:val="21"/>
                <w:vertAlign w:val="superscript"/>
              </w:rPr>
              <w:t>3</w:t>
            </w:r>
          </w:p>
          <w:p w14:paraId="346F14C2">
            <w:pPr>
              <w:jc w:val="center"/>
              <w:rPr>
                <w:rFonts w:ascii="Times New Roman"/>
                <w:sz w:val="21"/>
                <w:szCs w:val="21"/>
              </w:rPr>
            </w:pPr>
            <w:r>
              <w:rPr>
                <w:rFonts w:ascii="Times New Roman"/>
                <w:sz w:val="21"/>
                <w:szCs w:val="21"/>
              </w:rPr>
              <w:t>去除效率70%</w:t>
            </w:r>
          </w:p>
        </w:tc>
        <w:tc>
          <w:tcPr>
            <w:tcW w:w="1461" w:type="pct"/>
            <w:gridSpan w:val="2"/>
            <w:tcBorders>
              <w:left w:val="single" w:color="auto" w:sz="4" w:space="0"/>
              <w:right w:val="single" w:color="auto" w:sz="4" w:space="0"/>
            </w:tcBorders>
            <w:vAlign w:val="center"/>
          </w:tcPr>
          <w:p w14:paraId="6345DA98">
            <w:pPr>
              <w:jc w:val="center"/>
              <w:rPr>
                <w:rFonts w:ascii="Times New Roman"/>
                <w:sz w:val="21"/>
                <w:szCs w:val="21"/>
              </w:rPr>
            </w:pPr>
            <w:r>
              <w:rPr>
                <w:rFonts w:ascii="Times New Roman"/>
                <w:sz w:val="21"/>
                <w:szCs w:val="21"/>
              </w:rPr>
              <w:t>《工业企业挥发性有机物排放控制标准》（DB13/2322</w:t>
            </w:r>
            <w:r>
              <w:rPr>
                <w:rFonts w:hint="eastAsia" w:ascii="Times New Roman"/>
                <w:sz w:val="21"/>
                <w:szCs w:val="21"/>
              </w:rPr>
              <w:t>-</w:t>
            </w:r>
            <w:r>
              <w:rPr>
                <w:rFonts w:ascii="Times New Roman"/>
                <w:sz w:val="21"/>
                <w:szCs w:val="21"/>
              </w:rPr>
              <w:t>2016）表1表面涂装业标准限值要求</w:t>
            </w:r>
          </w:p>
        </w:tc>
      </w:tr>
      <w:tr w14:paraId="5D1E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trPr>
        <w:tc>
          <w:tcPr>
            <w:tcW w:w="261" w:type="pct"/>
            <w:vMerge w:val="continue"/>
            <w:vAlign w:val="center"/>
          </w:tcPr>
          <w:p w14:paraId="2287F5D2">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5CB4C753">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69550BA5">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388FC106">
            <w:pPr>
              <w:jc w:val="center"/>
              <w:rPr>
                <w:rFonts w:ascii="Times New Roman"/>
                <w:sz w:val="21"/>
                <w:szCs w:val="21"/>
              </w:rPr>
            </w:pPr>
          </w:p>
        </w:tc>
        <w:tc>
          <w:tcPr>
            <w:tcW w:w="433" w:type="pct"/>
            <w:tcBorders>
              <w:left w:val="single" w:color="auto" w:sz="4" w:space="0"/>
              <w:right w:val="single" w:color="auto" w:sz="4" w:space="0"/>
            </w:tcBorders>
            <w:vAlign w:val="center"/>
          </w:tcPr>
          <w:p w14:paraId="6749D1F6">
            <w:pPr>
              <w:jc w:val="center"/>
              <w:rPr>
                <w:rFonts w:ascii="Times New Roman"/>
                <w:sz w:val="21"/>
                <w:szCs w:val="21"/>
              </w:rPr>
            </w:pPr>
            <w:r>
              <w:rPr>
                <w:rFonts w:hint="eastAsia" w:ascii="Times New Roman"/>
                <w:sz w:val="21"/>
                <w:szCs w:val="21"/>
              </w:rPr>
              <w:t>颗粒物</w:t>
            </w:r>
          </w:p>
        </w:tc>
        <w:tc>
          <w:tcPr>
            <w:tcW w:w="562" w:type="pct"/>
            <w:tcBorders>
              <w:left w:val="single" w:color="auto" w:sz="4" w:space="0"/>
              <w:right w:val="single" w:color="auto" w:sz="4" w:space="0"/>
            </w:tcBorders>
            <w:vAlign w:val="center"/>
          </w:tcPr>
          <w:p w14:paraId="0621B418">
            <w:pPr>
              <w:jc w:val="center"/>
              <w:rPr>
                <w:rFonts w:ascii="Times New Roman"/>
                <w:sz w:val="21"/>
                <w:szCs w:val="21"/>
              </w:rPr>
            </w:pPr>
            <w:r>
              <w:rPr>
                <w:rFonts w:ascii="Times New Roman"/>
                <w:sz w:val="21"/>
                <w:szCs w:val="21"/>
              </w:rPr>
              <w:t>排放浓度≤</w:t>
            </w:r>
            <w:r>
              <w:rPr>
                <w:rFonts w:hint="eastAsia" w:ascii="Times New Roman"/>
                <w:sz w:val="21"/>
                <w:szCs w:val="21"/>
              </w:rPr>
              <w:t>25</w:t>
            </w:r>
            <w:r>
              <w:rPr>
                <w:rFonts w:ascii="Times New Roman"/>
                <w:sz w:val="21"/>
                <w:szCs w:val="21"/>
              </w:rPr>
              <w:t>mg/m</w:t>
            </w:r>
            <w:r>
              <w:rPr>
                <w:rFonts w:ascii="Times New Roman"/>
                <w:sz w:val="21"/>
                <w:szCs w:val="21"/>
                <w:vertAlign w:val="superscript"/>
              </w:rPr>
              <w:t>3</w:t>
            </w:r>
          </w:p>
        </w:tc>
        <w:tc>
          <w:tcPr>
            <w:tcW w:w="1461" w:type="pct"/>
            <w:gridSpan w:val="2"/>
            <w:vMerge w:val="restart"/>
            <w:tcBorders>
              <w:left w:val="single" w:color="auto" w:sz="4" w:space="0"/>
              <w:right w:val="single" w:color="auto" w:sz="4" w:space="0"/>
            </w:tcBorders>
            <w:vAlign w:val="center"/>
          </w:tcPr>
          <w:p w14:paraId="57AB297E">
            <w:pPr>
              <w:jc w:val="center"/>
              <w:rPr>
                <w:rFonts w:ascii="Times New Roman"/>
                <w:sz w:val="21"/>
                <w:szCs w:val="21"/>
              </w:rPr>
            </w:pPr>
            <w:r>
              <w:rPr>
                <w:rFonts w:ascii="Times New Roman"/>
                <w:sz w:val="21"/>
                <w:szCs w:val="21"/>
              </w:rPr>
              <w:t>《工业炉窑大气污染物排放标准》（DB13/1640-2012）标准</w:t>
            </w:r>
            <w:r>
              <w:rPr>
                <w:rFonts w:hint="eastAsia" w:ascii="Times New Roman"/>
                <w:sz w:val="21"/>
                <w:szCs w:val="21"/>
              </w:rPr>
              <w:t>；</w:t>
            </w:r>
            <w:r>
              <w:rPr>
                <w:rFonts w:ascii="Times New Roman"/>
                <w:bCs/>
                <w:sz w:val="21"/>
                <w:szCs w:val="21"/>
              </w:rPr>
              <w:t>《关于印发&lt;工业炉窑大气污染综合治理方案&gt;的通知》（环大气[2019]56号）排放标准</w:t>
            </w:r>
          </w:p>
        </w:tc>
      </w:tr>
      <w:tr w14:paraId="6241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trPr>
        <w:tc>
          <w:tcPr>
            <w:tcW w:w="261" w:type="pct"/>
            <w:vMerge w:val="continue"/>
            <w:vAlign w:val="center"/>
          </w:tcPr>
          <w:p w14:paraId="55D29F85">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4F5A14E6">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4BBB9953">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54C0AC61">
            <w:pPr>
              <w:jc w:val="center"/>
              <w:rPr>
                <w:rFonts w:ascii="Times New Roman"/>
                <w:sz w:val="21"/>
                <w:szCs w:val="21"/>
              </w:rPr>
            </w:pPr>
          </w:p>
        </w:tc>
        <w:tc>
          <w:tcPr>
            <w:tcW w:w="433" w:type="pct"/>
            <w:tcBorders>
              <w:left w:val="single" w:color="auto" w:sz="4" w:space="0"/>
              <w:right w:val="single" w:color="auto" w:sz="4" w:space="0"/>
            </w:tcBorders>
            <w:vAlign w:val="center"/>
          </w:tcPr>
          <w:p w14:paraId="032374C6">
            <w:pPr>
              <w:jc w:val="center"/>
              <w:rPr>
                <w:rFonts w:ascii="Times New Roman"/>
                <w:sz w:val="21"/>
                <w:szCs w:val="21"/>
              </w:rPr>
            </w:pPr>
            <w:r>
              <w:rPr>
                <w:rFonts w:hint="eastAsia" w:ascii="Times New Roman"/>
                <w:sz w:val="21"/>
                <w:szCs w:val="21"/>
              </w:rPr>
              <w:t>二氧化硫</w:t>
            </w:r>
          </w:p>
        </w:tc>
        <w:tc>
          <w:tcPr>
            <w:tcW w:w="562" w:type="pct"/>
            <w:tcBorders>
              <w:left w:val="single" w:color="auto" w:sz="4" w:space="0"/>
              <w:right w:val="single" w:color="auto" w:sz="4" w:space="0"/>
            </w:tcBorders>
            <w:vAlign w:val="center"/>
          </w:tcPr>
          <w:p w14:paraId="041CE43B">
            <w:pPr>
              <w:jc w:val="center"/>
              <w:rPr>
                <w:rFonts w:ascii="Times New Roman"/>
                <w:sz w:val="21"/>
                <w:szCs w:val="21"/>
              </w:rPr>
            </w:pPr>
            <w:r>
              <w:rPr>
                <w:rFonts w:ascii="Times New Roman"/>
                <w:sz w:val="21"/>
                <w:szCs w:val="21"/>
              </w:rPr>
              <w:t>≤200mg/m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6D286817">
            <w:pPr>
              <w:jc w:val="center"/>
              <w:rPr>
                <w:rFonts w:ascii="Times New Roman"/>
                <w:sz w:val="21"/>
                <w:szCs w:val="21"/>
              </w:rPr>
            </w:pPr>
          </w:p>
        </w:tc>
      </w:tr>
      <w:tr w14:paraId="318A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trPr>
        <w:tc>
          <w:tcPr>
            <w:tcW w:w="261" w:type="pct"/>
            <w:vMerge w:val="continue"/>
            <w:vAlign w:val="center"/>
          </w:tcPr>
          <w:p w14:paraId="08335B94">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06629222">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66DF5023">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41F9BE47">
            <w:pPr>
              <w:jc w:val="center"/>
              <w:rPr>
                <w:rFonts w:ascii="Times New Roman"/>
                <w:sz w:val="21"/>
                <w:szCs w:val="21"/>
              </w:rPr>
            </w:pPr>
          </w:p>
        </w:tc>
        <w:tc>
          <w:tcPr>
            <w:tcW w:w="433" w:type="pct"/>
            <w:tcBorders>
              <w:left w:val="single" w:color="auto" w:sz="4" w:space="0"/>
              <w:right w:val="single" w:color="auto" w:sz="4" w:space="0"/>
            </w:tcBorders>
            <w:vAlign w:val="center"/>
          </w:tcPr>
          <w:p w14:paraId="3413D1FD">
            <w:pPr>
              <w:jc w:val="center"/>
              <w:rPr>
                <w:rFonts w:ascii="Times New Roman"/>
                <w:sz w:val="21"/>
                <w:szCs w:val="21"/>
              </w:rPr>
            </w:pPr>
            <w:r>
              <w:rPr>
                <w:rFonts w:hint="eastAsia" w:ascii="Times New Roman"/>
                <w:sz w:val="21"/>
                <w:szCs w:val="21"/>
              </w:rPr>
              <w:t>氮氧化物</w:t>
            </w:r>
          </w:p>
        </w:tc>
        <w:tc>
          <w:tcPr>
            <w:tcW w:w="562" w:type="pct"/>
            <w:tcBorders>
              <w:left w:val="single" w:color="auto" w:sz="4" w:space="0"/>
              <w:right w:val="single" w:color="auto" w:sz="4" w:space="0"/>
            </w:tcBorders>
            <w:vAlign w:val="center"/>
          </w:tcPr>
          <w:p w14:paraId="1B81A4D3">
            <w:pPr>
              <w:jc w:val="center"/>
              <w:rPr>
                <w:rFonts w:ascii="Times New Roman"/>
                <w:sz w:val="21"/>
                <w:szCs w:val="21"/>
              </w:rPr>
            </w:pPr>
            <w:r>
              <w:rPr>
                <w:rFonts w:ascii="Times New Roman"/>
                <w:sz w:val="21"/>
                <w:szCs w:val="21"/>
              </w:rPr>
              <w:t>≤</w:t>
            </w:r>
            <w:r>
              <w:rPr>
                <w:rFonts w:hint="eastAsia" w:ascii="Times New Roman"/>
                <w:sz w:val="21"/>
                <w:szCs w:val="21"/>
              </w:rPr>
              <w:t>2</w:t>
            </w:r>
            <w:r>
              <w:rPr>
                <w:rFonts w:ascii="Times New Roman"/>
                <w:sz w:val="21"/>
                <w:szCs w:val="21"/>
              </w:rPr>
              <w:t>00mg/m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054944F2">
            <w:pPr>
              <w:jc w:val="center"/>
              <w:rPr>
                <w:rFonts w:ascii="Times New Roman"/>
                <w:sz w:val="21"/>
                <w:szCs w:val="21"/>
              </w:rPr>
            </w:pPr>
          </w:p>
        </w:tc>
      </w:tr>
      <w:tr w14:paraId="17BF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1B8F22F9">
            <w:pPr>
              <w:jc w:val="center"/>
              <w:rPr>
                <w:rFonts w:ascii="Times New Roman"/>
                <w:sz w:val="21"/>
                <w:szCs w:val="21"/>
              </w:rPr>
            </w:pPr>
          </w:p>
        </w:tc>
        <w:tc>
          <w:tcPr>
            <w:tcW w:w="256" w:type="pct"/>
            <w:vMerge w:val="restart"/>
            <w:tcBorders>
              <w:left w:val="single" w:color="auto" w:sz="4" w:space="0"/>
              <w:right w:val="single" w:color="auto" w:sz="4" w:space="0"/>
            </w:tcBorders>
            <w:vAlign w:val="center"/>
          </w:tcPr>
          <w:p w14:paraId="2686FB91">
            <w:pPr>
              <w:jc w:val="center"/>
              <w:rPr>
                <w:rFonts w:ascii="Times New Roman"/>
                <w:sz w:val="21"/>
                <w:szCs w:val="21"/>
              </w:rPr>
            </w:pPr>
            <w:r>
              <w:rPr>
                <w:rFonts w:hint="eastAsia" w:ascii="Times New Roman"/>
                <w:sz w:val="21"/>
                <w:szCs w:val="21"/>
              </w:rPr>
              <w:t>食堂</w:t>
            </w:r>
          </w:p>
        </w:tc>
        <w:tc>
          <w:tcPr>
            <w:tcW w:w="323" w:type="pct"/>
            <w:vMerge w:val="restart"/>
            <w:tcBorders>
              <w:left w:val="single" w:color="auto" w:sz="4" w:space="0"/>
              <w:right w:val="single" w:color="auto" w:sz="4" w:space="0"/>
            </w:tcBorders>
            <w:vAlign w:val="center"/>
          </w:tcPr>
          <w:p w14:paraId="2BFBA921">
            <w:pPr>
              <w:jc w:val="center"/>
              <w:rPr>
                <w:rFonts w:ascii="Times New Roman"/>
                <w:sz w:val="21"/>
                <w:szCs w:val="21"/>
              </w:rPr>
            </w:pPr>
            <w:r>
              <w:rPr>
                <w:rFonts w:hint="eastAsia" w:ascii="Times New Roman"/>
                <w:sz w:val="21"/>
                <w:szCs w:val="21"/>
              </w:rPr>
              <w:t>食堂油烟</w:t>
            </w:r>
          </w:p>
        </w:tc>
        <w:tc>
          <w:tcPr>
            <w:tcW w:w="1702" w:type="pct"/>
            <w:gridSpan w:val="2"/>
            <w:vMerge w:val="restart"/>
            <w:tcBorders>
              <w:left w:val="single" w:color="auto" w:sz="4" w:space="0"/>
              <w:right w:val="single" w:color="auto" w:sz="4" w:space="0"/>
            </w:tcBorders>
            <w:vAlign w:val="center"/>
          </w:tcPr>
          <w:p w14:paraId="6E21170C">
            <w:pPr>
              <w:jc w:val="center"/>
              <w:rPr>
                <w:rFonts w:ascii="Times New Roman"/>
                <w:sz w:val="21"/>
                <w:szCs w:val="21"/>
              </w:rPr>
            </w:pPr>
            <w:r>
              <w:rPr>
                <w:rFonts w:hint="eastAsia" w:ascii="Times New Roman"/>
                <w:sz w:val="21"/>
                <w:szCs w:val="21"/>
              </w:rPr>
              <w:t>风量：6000m</w:t>
            </w:r>
            <w:r>
              <w:rPr>
                <w:rFonts w:hint="eastAsia" w:ascii="Times New Roman"/>
                <w:sz w:val="21"/>
                <w:szCs w:val="21"/>
                <w:vertAlign w:val="superscript"/>
              </w:rPr>
              <w:t>3</w:t>
            </w:r>
            <w:r>
              <w:rPr>
                <w:rFonts w:hint="eastAsia" w:ascii="Times New Roman"/>
                <w:sz w:val="21"/>
                <w:szCs w:val="21"/>
              </w:rPr>
              <w:t>/h，</w:t>
            </w:r>
            <w:r>
              <w:rPr>
                <w:rFonts w:ascii="Times New Roman"/>
                <w:sz w:val="21"/>
                <w:szCs w:val="21"/>
              </w:rPr>
              <w:t>油烟净化器+</w:t>
            </w:r>
            <w:r>
              <w:rPr>
                <w:rFonts w:hint="eastAsia" w:ascii="Times New Roman"/>
                <w:sz w:val="21"/>
                <w:szCs w:val="21"/>
              </w:rPr>
              <w:t>专用烟道（DA012）</w:t>
            </w:r>
            <w:r>
              <w:rPr>
                <w:rFonts w:ascii="Times New Roman"/>
                <w:sz w:val="21"/>
                <w:szCs w:val="21"/>
              </w:rPr>
              <w:t>排放</w:t>
            </w:r>
          </w:p>
        </w:tc>
        <w:tc>
          <w:tcPr>
            <w:tcW w:w="433" w:type="pct"/>
            <w:tcBorders>
              <w:left w:val="single" w:color="auto" w:sz="4" w:space="0"/>
              <w:right w:val="single" w:color="auto" w:sz="4" w:space="0"/>
            </w:tcBorders>
            <w:vAlign w:val="center"/>
          </w:tcPr>
          <w:p w14:paraId="5605ADD3">
            <w:pPr>
              <w:jc w:val="center"/>
              <w:rPr>
                <w:rFonts w:ascii="Times New Roman"/>
                <w:bCs/>
                <w:sz w:val="21"/>
                <w:szCs w:val="21"/>
              </w:rPr>
            </w:pPr>
            <w:r>
              <w:rPr>
                <w:rFonts w:hint="eastAsia" w:ascii="Times New Roman"/>
                <w:sz w:val="21"/>
                <w:szCs w:val="21"/>
              </w:rPr>
              <w:t>油烟</w:t>
            </w:r>
          </w:p>
        </w:tc>
        <w:tc>
          <w:tcPr>
            <w:tcW w:w="562" w:type="pct"/>
            <w:tcBorders>
              <w:left w:val="single" w:color="auto" w:sz="4" w:space="0"/>
              <w:right w:val="single" w:color="auto" w:sz="4" w:space="0"/>
            </w:tcBorders>
            <w:vAlign w:val="center"/>
          </w:tcPr>
          <w:p w14:paraId="343D7EAF">
            <w:pPr>
              <w:jc w:val="center"/>
              <w:rPr>
                <w:rFonts w:ascii="Times New Roman"/>
                <w:sz w:val="21"/>
                <w:szCs w:val="21"/>
              </w:rPr>
            </w:pPr>
            <w:r>
              <w:rPr>
                <w:rFonts w:ascii="Times New Roman"/>
                <w:sz w:val="21"/>
                <w:szCs w:val="21"/>
              </w:rPr>
              <w:t>≤</w:t>
            </w:r>
            <w:r>
              <w:rPr>
                <w:rFonts w:hint="eastAsia" w:ascii="Times New Roman"/>
                <w:sz w:val="21"/>
                <w:szCs w:val="21"/>
              </w:rPr>
              <w:t>1.0</w:t>
            </w:r>
            <w:r>
              <w:rPr>
                <w:rFonts w:ascii="Times New Roman"/>
                <w:sz w:val="21"/>
                <w:szCs w:val="21"/>
              </w:rPr>
              <w:t>mg/m</w:t>
            </w:r>
            <w:r>
              <w:rPr>
                <w:rFonts w:ascii="Times New Roman"/>
                <w:sz w:val="21"/>
                <w:szCs w:val="21"/>
                <w:vertAlign w:val="superscript"/>
              </w:rPr>
              <w:t>3</w:t>
            </w:r>
          </w:p>
        </w:tc>
        <w:tc>
          <w:tcPr>
            <w:tcW w:w="1461" w:type="pct"/>
            <w:gridSpan w:val="2"/>
            <w:vMerge w:val="restart"/>
            <w:tcBorders>
              <w:left w:val="single" w:color="auto" w:sz="4" w:space="0"/>
              <w:right w:val="single" w:color="auto" w:sz="4" w:space="0"/>
            </w:tcBorders>
            <w:vAlign w:val="center"/>
          </w:tcPr>
          <w:p w14:paraId="663527F2">
            <w:pPr>
              <w:jc w:val="center"/>
              <w:rPr>
                <w:rFonts w:ascii="Times New Roman"/>
                <w:sz w:val="21"/>
                <w:szCs w:val="21"/>
              </w:rPr>
            </w:pPr>
            <w:r>
              <w:rPr>
                <w:rFonts w:hint="eastAsia" w:ascii="Times New Roman"/>
                <w:sz w:val="21"/>
                <w:szCs w:val="21"/>
              </w:rPr>
              <w:t>《餐饮业大气污染物排放标准》（DB13/5808-2023）大</w:t>
            </w:r>
            <w:r>
              <w:rPr>
                <w:rFonts w:ascii="Times New Roman"/>
                <w:sz w:val="21"/>
                <w:szCs w:val="21"/>
              </w:rPr>
              <w:t>型规模标准</w:t>
            </w:r>
          </w:p>
        </w:tc>
      </w:tr>
      <w:tr w14:paraId="050A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0940218C">
            <w:pPr>
              <w:jc w:val="center"/>
              <w:rPr>
                <w:rFonts w:ascii="Times New Roman"/>
                <w:sz w:val="21"/>
                <w:szCs w:val="21"/>
              </w:rPr>
            </w:pPr>
          </w:p>
        </w:tc>
        <w:tc>
          <w:tcPr>
            <w:tcW w:w="256" w:type="pct"/>
            <w:vMerge w:val="continue"/>
            <w:tcBorders>
              <w:left w:val="single" w:color="auto" w:sz="4" w:space="0"/>
              <w:right w:val="single" w:color="auto" w:sz="4" w:space="0"/>
            </w:tcBorders>
            <w:vAlign w:val="center"/>
          </w:tcPr>
          <w:p w14:paraId="4CA457F6">
            <w:pPr>
              <w:jc w:val="center"/>
              <w:rPr>
                <w:rFonts w:ascii="Times New Roman"/>
                <w:sz w:val="21"/>
                <w:szCs w:val="21"/>
              </w:rPr>
            </w:pPr>
          </w:p>
        </w:tc>
        <w:tc>
          <w:tcPr>
            <w:tcW w:w="323" w:type="pct"/>
            <w:vMerge w:val="continue"/>
            <w:tcBorders>
              <w:left w:val="single" w:color="auto" w:sz="4" w:space="0"/>
              <w:right w:val="single" w:color="auto" w:sz="4" w:space="0"/>
            </w:tcBorders>
            <w:vAlign w:val="center"/>
          </w:tcPr>
          <w:p w14:paraId="41A1CC76">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6B87DB02">
            <w:pPr>
              <w:jc w:val="center"/>
              <w:rPr>
                <w:rFonts w:ascii="Times New Roman"/>
                <w:sz w:val="21"/>
                <w:szCs w:val="21"/>
              </w:rPr>
            </w:pPr>
          </w:p>
        </w:tc>
        <w:tc>
          <w:tcPr>
            <w:tcW w:w="433" w:type="pct"/>
            <w:tcBorders>
              <w:left w:val="single" w:color="auto" w:sz="4" w:space="0"/>
              <w:right w:val="single" w:color="auto" w:sz="4" w:space="0"/>
            </w:tcBorders>
            <w:vAlign w:val="center"/>
          </w:tcPr>
          <w:p w14:paraId="68B18EB6">
            <w:pPr>
              <w:jc w:val="center"/>
              <w:rPr>
                <w:rFonts w:ascii="Times New Roman"/>
                <w:sz w:val="21"/>
                <w:szCs w:val="21"/>
              </w:rPr>
            </w:pPr>
            <w:r>
              <w:rPr>
                <w:rFonts w:hint="eastAsia" w:ascii="Times New Roman"/>
                <w:bCs/>
                <w:sz w:val="21"/>
                <w:szCs w:val="21"/>
              </w:rPr>
              <w:t>非甲烷总烃</w:t>
            </w:r>
          </w:p>
        </w:tc>
        <w:tc>
          <w:tcPr>
            <w:tcW w:w="562" w:type="pct"/>
            <w:tcBorders>
              <w:left w:val="single" w:color="auto" w:sz="4" w:space="0"/>
              <w:right w:val="single" w:color="auto" w:sz="4" w:space="0"/>
            </w:tcBorders>
            <w:vAlign w:val="center"/>
          </w:tcPr>
          <w:p w14:paraId="00C81265">
            <w:pPr>
              <w:jc w:val="center"/>
              <w:rPr>
                <w:rFonts w:ascii="Times New Roman"/>
                <w:sz w:val="21"/>
                <w:szCs w:val="21"/>
              </w:rPr>
            </w:pPr>
            <w:r>
              <w:rPr>
                <w:rFonts w:ascii="Times New Roman"/>
                <w:sz w:val="21"/>
                <w:szCs w:val="21"/>
              </w:rPr>
              <w:t>≤</w:t>
            </w:r>
            <w:r>
              <w:rPr>
                <w:rFonts w:hint="eastAsia" w:ascii="Times New Roman"/>
                <w:sz w:val="21"/>
                <w:szCs w:val="21"/>
              </w:rPr>
              <w:t>10</w:t>
            </w:r>
            <w:r>
              <w:rPr>
                <w:rFonts w:ascii="Times New Roman"/>
                <w:sz w:val="21"/>
                <w:szCs w:val="21"/>
              </w:rPr>
              <w:t>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1A82CF4D">
            <w:pPr>
              <w:jc w:val="center"/>
              <w:rPr>
                <w:rFonts w:ascii="Times New Roman"/>
                <w:sz w:val="21"/>
                <w:szCs w:val="21"/>
              </w:rPr>
            </w:pPr>
          </w:p>
        </w:tc>
      </w:tr>
      <w:tr w14:paraId="11B3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E2C4233">
            <w:pPr>
              <w:jc w:val="center"/>
              <w:rPr>
                <w:rFonts w:ascii="Times New Roman"/>
                <w:sz w:val="21"/>
                <w:szCs w:val="21"/>
              </w:rPr>
            </w:pPr>
          </w:p>
        </w:tc>
        <w:tc>
          <w:tcPr>
            <w:tcW w:w="579" w:type="pct"/>
            <w:gridSpan w:val="2"/>
            <w:vMerge w:val="restart"/>
            <w:tcBorders>
              <w:left w:val="single" w:color="auto" w:sz="4" w:space="0"/>
              <w:right w:val="single" w:color="auto" w:sz="4" w:space="0"/>
            </w:tcBorders>
            <w:vAlign w:val="center"/>
          </w:tcPr>
          <w:p w14:paraId="2B22F015">
            <w:pPr>
              <w:jc w:val="center"/>
              <w:rPr>
                <w:rFonts w:ascii="Times New Roman"/>
                <w:sz w:val="21"/>
                <w:szCs w:val="21"/>
              </w:rPr>
            </w:pPr>
            <w:r>
              <w:rPr>
                <w:rFonts w:ascii="Times New Roman"/>
                <w:sz w:val="21"/>
                <w:szCs w:val="21"/>
              </w:rPr>
              <w:t>生产车间</w:t>
            </w:r>
          </w:p>
        </w:tc>
        <w:tc>
          <w:tcPr>
            <w:tcW w:w="1702" w:type="pct"/>
            <w:gridSpan w:val="2"/>
            <w:vMerge w:val="restart"/>
            <w:tcBorders>
              <w:left w:val="single" w:color="auto" w:sz="4" w:space="0"/>
              <w:right w:val="single" w:color="auto" w:sz="4" w:space="0"/>
            </w:tcBorders>
            <w:vAlign w:val="center"/>
          </w:tcPr>
          <w:p w14:paraId="7A80A238">
            <w:pPr>
              <w:jc w:val="center"/>
              <w:rPr>
                <w:rFonts w:ascii="Times New Roman"/>
                <w:sz w:val="21"/>
                <w:szCs w:val="21"/>
              </w:rPr>
            </w:pPr>
            <w:r>
              <w:rPr>
                <w:rFonts w:ascii="Times New Roman"/>
                <w:sz w:val="21"/>
                <w:szCs w:val="21"/>
              </w:rPr>
              <w:t>增强废气收集效率，调漆、喷漆、烘干均位于密闭作业间等</w:t>
            </w:r>
          </w:p>
        </w:tc>
        <w:tc>
          <w:tcPr>
            <w:tcW w:w="433" w:type="pct"/>
            <w:tcBorders>
              <w:left w:val="single" w:color="auto" w:sz="4" w:space="0"/>
              <w:right w:val="single" w:color="auto" w:sz="4" w:space="0"/>
            </w:tcBorders>
            <w:vAlign w:val="center"/>
          </w:tcPr>
          <w:p w14:paraId="2A3B8E90">
            <w:pPr>
              <w:jc w:val="center"/>
              <w:rPr>
                <w:rFonts w:ascii="Times New Roman"/>
                <w:sz w:val="21"/>
                <w:szCs w:val="21"/>
              </w:rPr>
            </w:pPr>
            <w:r>
              <w:rPr>
                <w:rFonts w:ascii="Times New Roman"/>
                <w:sz w:val="21"/>
                <w:szCs w:val="21"/>
              </w:rPr>
              <w:t>颗粒物</w:t>
            </w:r>
          </w:p>
        </w:tc>
        <w:tc>
          <w:tcPr>
            <w:tcW w:w="562" w:type="pct"/>
            <w:tcBorders>
              <w:left w:val="single" w:color="auto" w:sz="4" w:space="0"/>
              <w:right w:val="single" w:color="auto" w:sz="4" w:space="0"/>
            </w:tcBorders>
            <w:vAlign w:val="center"/>
          </w:tcPr>
          <w:p w14:paraId="4F639BB7">
            <w:pPr>
              <w:jc w:val="center"/>
              <w:rPr>
                <w:rFonts w:ascii="Times New Roman"/>
                <w:sz w:val="21"/>
                <w:szCs w:val="21"/>
              </w:rPr>
            </w:pPr>
            <w:r>
              <w:rPr>
                <w:rFonts w:ascii="Times New Roman"/>
                <w:bCs/>
                <w:sz w:val="21"/>
                <w:szCs w:val="21"/>
              </w:rPr>
              <w:t>厂界</w:t>
            </w:r>
            <w:r>
              <w:rPr>
                <w:rFonts w:ascii="Times New Roman"/>
                <w:sz w:val="21"/>
                <w:szCs w:val="21"/>
              </w:rPr>
              <w:t>≤1.0mg/m</w:t>
            </w:r>
            <w:r>
              <w:rPr>
                <w:rFonts w:ascii="Times New Roman"/>
                <w:sz w:val="21"/>
                <w:szCs w:val="21"/>
                <w:vertAlign w:val="superscript"/>
              </w:rPr>
              <w:t>3</w:t>
            </w:r>
          </w:p>
        </w:tc>
        <w:tc>
          <w:tcPr>
            <w:tcW w:w="1461" w:type="pct"/>
            <w:gridSpan w:val="2"/>
            <w:tcBorders>
              <w:left w:val="single" w:color="auto" w:sz="4" w:space="0"/>
              <w:right w:val="single" w:color="auto" w:sz="4" w:space="0"/>
            </w:tcBorders>
            <w:vAlign w:val="center"/>
          </w:tcPr>
          <w:p w14:paraId="4A8088BD">
            <w:pPr>
              <w:jc w:val="center"/>
              <w:rPr>
                <w:rFonts w:ascii="Times New Roman"/>
                <w:sz w:val="21"/>
                <w:szCs w:val="21"/>
              </w:rPr>
            </w:pPr>
            <w:r>
              <w:rPr>
                <w:rFonts w:ascii="Times New Roman"/>
                <w:sz w:val="21"/>
                <w:szCs w:val="21"/>
                <w:lang w:val="zh-CN"/>
              </w:rPr>
              <w:t>《钢铁工业大气污染物超低排放标准》（DB13/2169-201</w:t>
            </w:r>
            <w:r>
              <w:rPr>
                <w:rFonts w:ascii="Times New Roman"/>
                <w:sz w:val="21"/>
                <w:szCs w:val="21"/>
              </w:rPr>
              <w:t>8</w:t>
            </w:r>
            <w:r>
              <w:rPr>
                <w:rFonts w:ascii="Times New Roman"/>
                <w:sz w:val="21"/>
                <w:szCs w:val="21"/>
                <w:lang w:val="zh-CN"/>
              </w:rPr>
              <w:t>）表</w:t>
            </w:r>
            <w:r>
              <w:rPr>
                <w:rFonts w:ascii="Times New Roman"/>
                <w:sz w:val="21"/>
                <w:szCs w:val="21"/>
              </w:rPr>
              <w:t>5企业大气污染物</w:t>
            </w:r>
            <w:r>
              <w:rPr>
                <w:rFonts w:ascii="Times New Roman"/>
                <w:sz w:val="21"/>
                <w:szCs w:val="21"/>
                <w:lang w:val="zh-CN"/>
              </w:rPr>
              <w:t>无组织排放浓度限值</w:t>
            </w:r>
          </w:p>
        </w:tc>
      </w:tr>
      <w:tr w14:paraId="22B4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rPr>
        <w:tc>
          <w:tcPr>
            <w:tcW w:w="261" w:type="pct"/>
            <w:vMerge w:val="continue"/>
            <w:vAlign w:val="center"/>
          </w:tcPr>
          <w:p w14:paraId="7FC24B69">
            <w:pPr>
              <w:jc w:val="center"/>
              <w:rPr>
                <w:rFonts w:ascii="Times New Roman"/>
                <w:sz w:val="21"/>
                <w:szCs w:val="21"/>
              </w:rPr>
            </w:pPr>
          </w:p>
        </w:tc>
        <w:tc>
          <w:tcPr>
            <w:tcW w:w="579" w:type="pct"/>
            <w:gridSpan w:val="2"/>
            <w:vMerge w:val="continue"/>
            <w:tcBorders>
              <w:left w:val="single" w:color="auto" w:sz="4" w:space="0"/>
              <w:right w:val="single" w:color="auto" w:sz="4" w:space="0"/>
            </w:tcBorders>
            <w:vAlign w:val="center"/>
          </w:tcPr>
          <w:p w14:paraId="00A1A479">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7A8CF3D7">
            <w:pPr>
              <w:jc w:val="center"/>
              <w:rPr>
                <w:rFonts w:ascii="Times New Roman"/>
                <w:sz w:val="21"/>
                <w:szCs w:val="21"/>
              </w:rPr>
            </w:pPr>
          </w:p>
        </w:tc>
        <w:tc>
          <w:tcPr>
            <w:tcW w:w="433" w:type="pct"/>
            <w:vMerge w:val="restart"/>
            <w:tcBorders>
              <w:left w:val="single" w:color="auto" w:sz="4" w:space="0"/>
              <w:right w:val="single" w:color="auto" w:sz="4" w:space="0"/>
            </w:tcBorders>
            <w:vAlign w:val="center"/>
          </w:tcPr>
          <w:p w14:paraId="58D6ADA5">
            <w:pPr>
              <w:jc w:val="center"/>
              <w:rPr>
                <w:rFonts w:ascii="Times New Roman"/>
                <w:sz w:val="21"/>
                <w:szCs w:val="21"/>
              </w:rPr>
            </w:pPr>
            <w:r>
              <w:rPr>
                <w:rFonts w:ascii="Times New Roman"/>
                <w:sz w:val="21"/>
                <w:szCs w:val="21"/>
              </w:rPr>
              <w:t>非甲烷总烃</w:t>
            </w:r>
          </w:p>
        </w:tc>
        <w:tc>
          <w:tcPr>
            <w:tcW w:w="562" w:type="pct"/>
            <w:tcBorders>
              <w:left w:val="single" w:color="auto" w:sz="4" w:space="0"/>
              <w:right w:val="single" w:color="auto" w:sz="4" w:space="0"/>
            </w:tcBorders>
            <w:vAlign w:val="center"/>
          </w:tcPr>
          <w:p w14:paraId="0DF53B94">
            <w:pPr>
              <w:jc w:val="center"/>
              <w:rPr>
                <w:rFonts w:ascii="Times New Roman"/>
                <w:sz w:val="21"/>
                <w:szCs w:val="21"/>
                <w:vertAlign w:val="superscript"/>
              </w:rPr>
            </w:pPr>
            <w:r>
              <w:rPr>
                <w:rFonts w:ascii="Times New Roman"/>
                <w:bCs/>
                <w:sz w:val="21"/>
                <w:szCs w:val="21"/>
              </w:rPr>
              <w:t>监控点1h平均浓度</w:t>
            </w:r>
            <w:r>
              <w:rPr>
                <w:rFonts w:ascii="Times New Roman"/>
                <w:sz w:val="21"/>
                <w:szCs w:val="21"/>
              </w:rPr>
              <w:t>≤6.0mg/m</w:t>
            </w:r>
            <w:r>
              <w:rPr>
                <w:rFonts w:ascii="Times New Roman"/>
                <w:sz w:val="21"/>
                <w:szCs w:val="21"/>
                <w:vertAlign w:val="superscript"/>
              </w:rPr>
              <w:t>3</w:t>
            </w:r>
          </w:p>
          <w:p w14:paraId="5ADBC65C">
            <w:pPr>
              <w:jc w:val="center"/>
              <w:rPr>
                <w:rFonts w:ascii="Times New Roman"/>
                <w:bCs/>
                <w:sz w:val="21"/>
                <w:szCs w:val="21"/>
              </w:rPr>
            </w:pPr>
            <w:r>
              <w:rPr>
                <w:rFonts w:ascii="Times New Roman"/>
                <w:bCs/>
                <w:sz w:val="21"/>
                <w:szCs w:val="21"/>
              </w:rPr>
              <w:t>监控点任意一次浓度</w:t>
            </w:r>
            <w:r>
              <w:rPr>
                <w:rFonts w:ascii="Times New Roman"/>
                <w:sz w:val="21"/>
                <w:szCs w:val="21"/>
              </w:rPr>
              <w:t>≤20mg/m</w:t>
            </w:r>
            <w:r>
              <w:rPr>
                <w:rFonts w:ascii="Times New Roman"/>
                <w:sz w:val="21"/>
                <w:szCs w:val="21"/>
                <w:vertAlign w:val="superscript"/>
              </w:rPr>
              <w:t>3</w:t>
            </w:r>
          </w:p>
        </w:tc>
        <w:tc>
          <w:tcPr>
            <w:tcW w:w="1461" w:type="pct"/>
            <w:gridSpan w:val="2"/>
            <w:vMerge w:val="restart"/>
            <w:tcBorders>
              <w:left w:val="single" w:color="auto" w:sz="4" w:space="0"/>
              <w:right w:val="single" w:color="auto" w:sz="4" w:space="0"/>
            </w:tcBorders>
            <w:vAlign w:val="center"/>
          </w:tcPr>
          <w:p w14:paraId="423C3E52">
            <w:pPr>
              <w:jc w:val="center"/>
              <w:rPr>
                <w:rFonts w:ascii="Times New Roman"/>
                <w:sz w:val="21"/>
                <w:szCs w:val="21"/>
              </w:rPr>
            </w:pPr>
            <w:r>
              <w:rPr>
                <w:rFonts w:ascii="Times New Roman"/>
                <w:bCs/>
                <w:sz w:val="21"/>
                <w:szCs w:val="21"/>
              </w:rPr>
              <w:t>《工业企业挥发性有机物排放控制标准》(DB13/2322-2016)表2企业边界大气污染物浓度限值及《挥发性有机物无组织排放控制标准》（GB 37822-2019）无组织管控要求</w:t>
            </w:r>
          </w:p>
        </w:tc>
      </w:tr>
      <w:tr w14:paraId="11AC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667951F6">
            <w:pPr>
              <w:jc w:val="center"/>
              <w:rPr>
                <w:rFonts w:ascii="Times New Roman"/>
                <w:sz w:val="21"/>
                <w:szCs w:val="21"/>
              </w:rPr>
            </w:pPr>
          </w:p>
        </w:tc>
        <w:tc>
          <w:tcPr>
            <w:tcW w:w="579" w:type="pct"/>
            <w:gridSpan w:val="2"/>
            <w:vMerge w:val="continue"/>
            <w:tcBorders>
              <w:left w:val="single" w:color="auto" w:sz="4" w:space="0"/>
              <w:right w:val="single" w:color="auto" w:sz="4" w:space="0"/>
            </w:tcBorders>
            <w:vAlign w:val="center"/>
          </w:tcPr>
          <w:p w14:paraId="44B119EE">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119CE192">
            <w:pPr>
              <w:jc w:val="center"/>
              <w:rPr>
                <w:rFonts w:ascii="Times New Roman"/>
                <w:sz w:val="21"/>
                <w:szCs w:val="21"/>
              </w:rPr>
            </w:pPr>
          </w:p>
        </w:tc>
        <w:tc>
          <w:tcPr>
            <w:tcW w:w="433" w:type="pct"/>
            <w:vMerge w:val="continue"/>
            <w:tcBorders>
              <w:left w:val="single" w:color="auto" w:sz="4" w:space="0"/>
              <w:right w:val="single" w:color="auto" w:sz="4" w:space="0"/>
            </w:tcBorders>
            <w:vAlign w:val="center"/>
          </w:tcPr>
          <w:p w14:paraId="11F6372F">
            <w:pPr>
              <w:jc w:val="center"/>
              <w:rPr>
                <w:rFonts w:ascii="Times New Roman"/>
                <w:sz w:val="21"/>
                <w:szCs w:val="21"/>
              </w:rPr>
            </w:pPr>
          </w:p>
        </w:tc>
        <w:tc>
          <w:tcPr>
            <w:tcW w:w="562" w:type="pct"/>
            <w:tcBorders>
              <w:left w:val="single" w:color="auto" w:sz="4" w:space="0"/>
              <w:right w:val="single" w:color="auto" w:sz="4" w:space="0"/>
            </w:tcBorders>
            <w:vAlign w:val="center"/>
          </w:tcPr>
          <w:p w14:paraId="2CC18701">
            <w:pPr>
              <w:jc w:val="center"/>
              <w:rPr>
                <w:rFonts w:ascii="Times New Roman"/>
                <w:sz w:val="21"/>
                <w:szCs w:val="21"/>
              </w:rPr>
            </w:pPr>
            <w:r>
              <w:rPr>
                <w:rFonts w:ascii="Times New Roman"/>
                <w:bCs/>
                <w:sz w:val="21"/>
                <w:szCs w:val="21"/>
              </w:rPr>
              <w:t>厂界</w:t>
            </w:r>
          </w:p>
          <w:p w14:paraId="4B4A7802">
            <w:pPr>
              <w:jc w:val="center"/>
              <w:rPr>
                <w:rFonts w:ascii="Times New Roman"/>
                <w:sz w:val="21"/>
                <w:szCs w:val="21"/>
              </w:rPr>
            </w:pPr>
            <w:r>
              <w:rPr>
                <w:rFonts w:ascii="Times New Roman"/>
                <w:sz w:val="21"/>
                <w:szCs w:val="21"/>
              </w:rPr>
              <w:t>≤2.0mg/m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521273FB">
            <w:pPr>
              <w:jc w:val="center"/>
              <w:rPr>
                <w:rFonts w:ascii="Times New Roman"/>
                <w:sz w:val="21"/>
                <w:szCs w:val="21"/>
              </w:rPr>
            </w:pPr>
          </w:p>
        </w:tc>
      </w:tr>
      <w:tr w14:paraId="5787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1" w:type="pct"/>
            <w:vMerge w:val="continue"/>
            <w:vAlign w:val="center"/>
          </w:tcPr>
          <w:p w14:paraId="692516B9">
            <w:pPr>
              <w:jc w:val="center"/>
              <w:rPr>
                <w:rFonts w:ascii="Times New Roman"/>
                <w:sz w:val="21"/>
                <w:szCs w:val="21"/>
              </w:rPr>
            </w:pPr>
          </w:p>
        </w:tc>
        <w:tc>
          <w:tcPr>
            <w:tcW w:w="579" w:type="pct"/>
            <w:gridSpan w:val="2"/>
            <w:vMerge w:val="continue"/>
            <w:tcBorders>
              <w:left w:val="single" w:color="auto" w:sz="4" w:space="0"/>
              <w:right w:val="single" w:color="auto" w:sz="4" w:space="0"/>
            </w:tcBorders>
            <w:vAlign w:val="center"/>
          </w:tcPr>
          <w:p w14:paraId="083E2C5F">
            <w:pPr>
              <w:jc w:val="center"/>
              <w:rPr>
                <w:rFonts w:ascii="Times New Roman"/>
                <w:sz w:val="21"/>
                <w:szCs w:val="21"/>
              </w:rPr>
            </w:pPr>
          </w:p>
        </w:tc>
        <w:tc>
          <w:tcPr>
            <w:tcW w:w="1702" w:type="pct"/>
            <w:gridSpan w:val="2"/>
            <w:vMerge w:val="continue"/>
            <w:tcBorders>
              <w:left w:val="single" w:color="auto" w:sz="4" w:space="0"/>
              <w:right w:val="single" w:color="auto" w:sz="4" w:space="0"/>
            </w:tcBorders>
            <w:vAlign w:val="center"/>
          </w:tcPr>
          <w:p w14:paraId="2656AB6D">
            <w:pPr>
              <w:jc w:val="center"/>
              <w:rPr>
                <w:rFonts w:ascii="Times New Roman"/>
                <w:sz w:val="21"/>
                <w:szCs w:val="21"/>
              </w:rPr>
            </w:pPr>
          </w:p>
        </w:tc>
        <w:tc>
          <w:tcPr>
            <w:tcW w:w="433" w:type="pct"/>
            <w:tcBorders>
              <w:left w:val="single" w:color="auto" w:sz="4" w:space="0"/>
              <w:right w:val="single" w:color="auto" w:sz="4" w:space="0"/>
            </w:tcBorders>
            <w:vAlign w:val="center"/>
          </w:tcPr>
          <w:p w14:paraId="1B41CF0D">
            <w:pPr>
              <w:jc w:val="center"/>
              <w:rPr>
                <w:rFonts w:ascii="Times New Roman"/>
                <w:sz w:val="21"/>
                <w:szCs w:val="21"/>
              </w:rPr>
            </w:pPr>
            <w:r>
              <w:rPr>
                <w:rFonts w:ascii="Times New Roman"/>
                <w:sz w:val="21"/>
                <w:szCs w:val="21"/>
              </w:rPr>
              <w:t>二甲苯</w:t>
            </w:r>
          </w:p>
        </w:tc>
        <w:tc>
          <w:tcPr>
            <w:tcW w:w="562" w:type="pct"/>
            <w:tcBorders>
              <w:left w:val="single" w:color="auto" w:sz="4" w:space="0"/>
              <w:right w:val="single" w:color="auto" w:sz="4" w:space="0"/>
            </w:tcBorders>
            <w:vAlign w:val="center"/>
          </w:tcPr>
          <w:p w14:paraId="00DEBA3C">
            <w:pPr>
              <w:jc w:val="center"/>
              <w:rPr>
                <w:rFonts w:ascii="Times New Roman"/>
                <w:sz w:val="21"/>
                <w:szCs w:val="21"/>
              </w:rPr>
            </w:pPr>
            <w:r>
              <w:rPr>
                <w:rFonts w:ascii="Times New Roman"/>
                <w:sz w:val="21"/>
                <w:szCs w:val="21"/>
              </w:rPr>
              <w:t>厂界≤0.2mg/m</w:t>
            </w:r>
            <w:r>
              <w:rPr>
                <w:rFonts w:ascii="Times New Roman"/>
                <w:sz w:val="21"/>
                <w:szCs w:val="21"/>
                <w:vertAlign w:val="superscript"/>
              </w:rPr>
              <w:t>3</w:t>
            </w:r>
          </w:p>
        </w:tc>
        <w:tc>
          <w:tcPr>
            <w:tcW w:w="1461" w:type="pct"/>
            <w:gridSpan w:val="2"/>
            <w:vMerge w:val="continue"/>
            <w:tcBorders>
              <w:left w:val="single" w:color="auto" w:sz="4" w:space="0"/>
              <w:right w:val="single" w:color="auto" w:sz="4" w:space="0"/>
            </w:tcBorders>
            <w:vAlign w:val="center"/>
          </w:tcPr>
          <w:p w14:paraId="776130D7">
            <w:pPr>
              <w:jc w:val="center"/>
              <w:rPr>
                <w:rFonts w:ascii="Times New Roman"/>
                <w:sz w:val="21"/>
                <w:szCs w:val="21"/>
              </w:rPr>
            </w:pPr>
          </w:p>
        </w:tc>
      </w:tr>
      <w:tr w14:paraId="18E7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261" w:type="pct"/>
            <w:vMerge w:val="restart"/>
            <w:vAlign w:val="center"/>
          </w:tcPr>
          <w:p w14:paraId="128A438E">
            <w:pPr>
              <w:jc w:val="center"/>
              <w:rPr>
                <w:rFonts w:ascii="Times New Roman"/>
                <w:sz w:val="21"/>
                <w:szCs w:val="21"/>
              </w:rPr>
            </w:pPr>
            <w:r>
              <w:rPr>
                <w:rFonts w:ascii="Times New Roman"/>
                <w:sz w:val="21"/>
                <w:szCs w:val="21"/>
              </w:rPr>
              <w:t>废水</w:t>
            </w:r>
          </w:p>
        </w:tc>
        <w:tc>
          <w:tcPr>
            <w:tcW w:w="579" w:type="pct"/>
            <w:gridSpan w:val="2"/>
            <w:shd w:val="clear" w:color="auto" w:fill="auto"/>
            <w:vAlign w:val="center"/>
          </w:tcPr>
          <w:p w14:paraId="7D73DA9C">
            <w:pPr>
              <w:jc w:val="center"/>
              <w:rPr>
                <w:rFonts w:ascii="Times New Roman"/>
                <w:sz w:val="21"/>
                <w:szCs w:val="21"/>
              </w:rPr>
            </w:pPr>
            <w:r>
              <w:rPr>
                <w:rFonts w:hint="eastAsia" w:ascii="Times New Roman"/>
                <w:sz w:val="21"/>
                <w:szCs w:val="21"/>
              </w:rPr>
              <w:t>水洗、</w:t>
            </w:r>
            <w:r>
              <w:rPr>
                <w:rFonts w:ascii="Times New Roman"/>
                <w:sz w:val="21"/>
                <w:szCs w:val="21"/>
              </w:rPr>
              <w:t>纯水洗2、电泳槽清洗、</w:t>
            </w:r>
            <w:r>
              <w:rPr>
                <w:rFonts w:hint="eastAsia" w:ascii="Times New Roman"/>
                <w:sz w:val="21"/>
                <w:szCs w:val="21"/>
              </w:rPr>
              <w:t>预脱脂、脱脂、</w:t>
            </w:r>
            <w:r>
              <w:rPr>
                <w:rFonts w:ascii="Times New Roman"/>
                <w:sz w:val="21"/>
                <w:szCs w:val="21"/>
              </w:rPr>
              <w:t>硅烷化</w:t>
            </w:r>
            <w:r>
              <w:rPr>
                <w:rFonts w:hint="eastAsia" w:ascii="Times New Roman"/>
                <w:sz w:val="21"/>
                <w:szCs w:val="21"/>
              </w:rPr>
              <w:t>槽体清洗</w:t>
            </w:r>
            <w:r>
              <w:rPr>
                <w:rFonts w:ascii="Times New Roman"/>
                <w:sz w:val="21"/>
                <w:szCs w:val="21"/>
              </w:rPr>
              <w:t>废水</w:t>
            </w:r>
          </w:p>
        </w:tc>
        <w:tc>
          <w:tcPr>
            <w:tcW w:w="1702" w:type="pct"/>
            <w:gridSpan w:val="2"/>
            <w:shd w:val="clear" w:color="auto" w:fill="auto"/>
            <w:vAlign w:val="center"/>
          </w:tcPr>
          <w:p w14:paraId="6CBB099E">
            <w:pPr>
              <w:jc w:val="center"/>
              <w:rPr>
                <w:rFonts w:ascii="Times New Roman"/>
                <w:sz w:val="21"/>
                <w:szCs w:val="21"/>
              </w:rPr>
            </w:pPr>
            <w:r>
              <w:rPr>
                <w:rFonts w:hint="eastAsia" w:ascii="Times New Roman"/>
                <w:sz w:val="21"/>
                <w:szCs w:val="21"/>
              </w:rPr>
              <w:t>水洗</w:t>
            </w:r>
            <w:r>
              <w:rPr>
                <w:rFonts w:ascii="Times New Roman"/>
                <w:sz w:val="21"/>
                <w:szCs w:val="21"/>
              </w:rPr>
              <w:t>、纯水洗2、电泳槽清洗</w:t>
            </w:r>
            <w:r>
              <w:rPr>
                <w:rFonts w:hint="eastAsia" w:ascii="Times New Roman"/>
                <w:sz w:val="21"/>
                <w:szCs w:val="21"/>
              </w:rPr>
              <w:t>废水先经预处理反应斜管槽处理后，热水洗与预脱脂、脱脂</w:t>
            </w:r>
            <w:r>
              <w:rPr>
                <w:rFonts w:ascii="Times New Roman"/>
                <w:sz w:val="21"/>
                <w:szCs w:val="21"/>
              </w:rPr>
              <w:t>、</w:t>
            </w:r>
            <w:r>
              <w:rPr>
                <w:rFonts w:hint="eastAsia" w:ascii="Times New Roman"/>
                <w:sz w:val="21"/>
                <w:szCs w:val="21"/>
              </w:rPr>
              <w:t>硅烷化槽体清洗废水一同进入污水处理站“一体化气浮槽+</w:t>
            </w:r>
            <w:r>
              <w:rPr>
                <w:rFonts w:ascii="Times New Roman"/>
                <w:sz w:val="21"/>
                <w:szCs w:val="21"/>
              </w:rPr>
              <w:t>综合反应斜管沉淀槽+综合芬顿反应槽+多介质过滤器+活性炭过滤器</w:t>
            </w:r>
            <w:r>
              <w:rPr>
                <w:rFonts w:hint="eastAsia" w:ascii="Times New Roman"/>
                <w:sz w:val="21"/>
                <w:szCs w:val="21"/>
              </w:rPr>
              <w:t>”</w:t>
            </w:r>
            <w:r>
              <w:rPr>
                <w:rFonts w:ascii="Times New Roman"/>
                <w:sz w:val="21"/>
                <w:szCs w:val="21"/>
              </w:rPr>
              <w:t>系统进行处理</w:t>
            </w:r>
            <w:r>
              <w:rPr>
                <w:rFonts w:hint="eastAsia" w:ascii="Times New Roman"/>
                <w:sz w:val="21"/>
                <w:szCs w:val="21"/>
              </w:rPr>
              <w:t>，</w:t>
            </w:r>
            <w:r>
              <w:rPr>
                <w:rFonts w:ascii="Times New Roman"/>
                <w:sz w:val="21"/>
                <w:szCs w:val="21"/>
              </w:rPr>
              <w:t>处理达标后由园区污水管网，入园区污水处理厂进一步处理。</w:t>
            </w:r>
          </w:p>
        </w:tc>
        <w:tc>
          <w:tcPr>
            <w:tcW w:w="996" w:type="pct"/>
            <w:gridSpan w:val="2"/>
            <w:vMerge w:val="restart"/>
            <w:vAlign w:val="center"/>
          </w:tcPr>
          <w:p w14:paraId="232093A6">
            <w:pPr>
              <w:jc w:val="center"/>
              <w:rPr>
                <w:rFonts w:ascii="Times New Roman"/>
                <w:bCs/>
                <w:sz w:val="21"/>
                <w:szCs w:val="21"/>
              </w:rPr>
            </w:pPr>
            <w:r>
              <w:rPr>
                <w:rFonts w:ascii="Times New Roman"/>
                <w:bCs/>
                <w:sz w:val="21"/>
                <w:szCs w:val="21"/>
              </w:rPr>
              <w:t>pH：6~9</w:t>
            </w:r>
          </w:p>
          <w:p w14:paraId="5C4C40CF">
            <w:pPr>
              <w:jc w:val="center"/>
              <w:rPr>
                <w:rFonts w:ascii="Times New Roman"/>
                <w:bCs/>
                <w:sz w:val="21"/>
                <w:szCs w:val="21"/>
              </w:rPr>
            </w:pPr>
            <w:r>
              <w:rPr>
                <w:rFonts w:ascii="Times New Roman"/>
                <w:bCs/>
                <w:sz w:val="21"/>
                <w:szCs w:val="21"/>
              </w:rPr>
              <w:t>SS：3</w:t>
            </w:r>
            <w:r>
              <w:rPr>
                <w:rFonts w:hint="eastAsia" w:ascii="Times New Roman"/>
                <w:bCs/>
                <w:sz w:val="21"/>
                <w:szCs w:val="21"/>
              </w:rPr>
              <w:t>9</w:t>
            </w:r>
            <w:r>
              <w:rPr>
                <w:rFonts w:ascii="Times New Roman"/>
                <w:bCs/>
                <w:sz w:val="21"/>
                <w:szCs w:val="21"/>
              </w:rPr>
              <w:t>0mg/L</w:t>
            </w:r>
          </w:p>
          <w:p w14:paraId="35FF8500">
            <w:pPr>
              <w:jc w:val="center"/>
              <w:rPr>
                <w:rFonts w:ascii="Times New Roman"/>
                <w:bCs/>
                <w:sz w:val="21"/>
                <w:szCs w:val="21"/>
              </w:rPr>
            </w:pPr>
            <w:r>
              <w:rPr>
                <w:rFonts w:ascii="Times New Roman"/>
                <w:bCs/>
                <w:sz w:val="21"/>
                <w:szCs w:val="21"/>
              </w:rPr>
              <w:t>COD：350mg/L</w:t>
            </w:r>
          </w:p>
          <w:p w14:paraId="36CF85FA">
            <w:pPr>
              <w:jc w:val="center"/>
              <w:rPr>
                <w:rFonts w:ascii="Times New Roman"/>
                <w:bCs/>
                <w:sz w:val="21"/>
                <w:szCs w:val="21"/>
              </w:rPr>
            </w:pPr>
            <w:r>
              <w:rPr>
                <w:rFonts w:ascii="Times New Roman"/>
                <w:bCs/>
                <w:sz w:val="21"/>
                <w:szCs w:val="21"/>
              </w:rPr>
              <w:t>BOD</w:t>
            </w:r>
            <w:r>
              <w:rPr>
                <w:rFonts w:ascii="Times New Roman"/>
                <w:bCs/>
                <w:sz w:val="21"/>
                <w:szCs w:val="21"/>
                <w:vertAlign w:val="subscript"/>
              </w:rPr>
              <w:t>5</w:t>
            </w:r>
            <w:r>
              <w:rPr>
                <w:rFonts w:ascii="Times New Roman"/>
                <w:bCs/>
                <w:sz w:val="21"/>
                <w:szCs w:val="21"/>
              </w:rPr>
              <w:t>：1</w:t>
            </w:r>
            <w:r>
              <w:rPr>
                <w:rFonts w:hint="eastAsia" w:ascii="Times New Roman"/>
                <w:bCs/>
                <w:sz w:val="21"/>
                <w:szCs w:val="21"/>
              </w:rPr>
              <w:t>5</w:t>
            </w:r>
            <w:r>
              <w:rPr>
                <w:rFonts w:ascii="Times New Roman"/>
                <w:bCs/>
                <w:sz w:val="21"/>
                <w:szCs w:val="21"/>
              </w:rPr>
              <w:t>0mg/L</w:t>
            </w:r>
          </w:p>
          <w:p w14:paraId="2BBEED4C">
            <w:pPr>
              <w:jc w:val="center"/>
              <w:rPr>
                <w:rFonts w:ascii="Times New Roman"/>
                <w:bCs/>
                <w:sz w:val="21"/>
                <w:szCs w:val="21"/>
              </w:rPr>
            </w:pPr>
            <w:r>
              <w:rPr>
                <w:rFonts w:ascii="Times New Roman"/>
                <w:bCs/>
                <w:sz w:val="21"/>
                <w:szCs w:val="21"/>
              </w:rPr>
              <w:t>NH</w:t>
            </w:r>
            <w:r>
              <w:rPr>
                <w:rFonts w:ascii="Times New Roman"/>
                <w:bCs/>
                <w:sz w:val="21"/>
                <w:szCs w:val="21"/>
                <w:vertAlign w:val="subscript"/>
              </w:rPr>
              <w:t>3</w:t>
            </w:r>
            <w:r>
              <w:rPr>
                <w:rFonts w:ascii="Times New Roman"/>
                <w:bCs/>
                <w:sz w:val="21"/>
                <w:szCs w:val="21"/>
              </w:rPr>
              <w:t>-N：35mg/L</w:t>
            </w:r>
          </w:p>
          <w:p w14:paraId="41CD03BE">
            <w:pPr>
              <w:jc w:val="center"/>
              <w:rPr>
                <w:rFonts w:ascii="Times New Roman"/>
                <w:bCs/>
                <w:sz w:val="21"/>
                <w:szCs w:val="21"/>
              </w:rPr>
            </w:pPr>
            <w:r>
              <w:rPr>
                <w:rFonts w:ascii="Times New Roman"/>
                <w:bCs/>
                <w:sz w:val="21"/>
                <w:szCs w:val="21"/>
              </w:rPr>
              <w:t>总氮：40mg/L</w:t>
            </w:r>
          </w:p>
          <w:p w14:paraId="4D56E1E8">
            <w:pPr>
              <w:jc w:val="center"/>
              <w:rPr>
                <w:rFonts w:ascii="Times New Roman"/>
                <w:bCs/>
                <w:sz w:val="21"/>
                <w:szCs w:val="21"/>
              </w:rPr>
            </w:pPr>
            <w:r>
              <w:rPr>
                <w:rFonts w:ascii="Times New Roman"/>
                <w:bCs/>
                <w:sz w:val="21"/>
                <w:szCs w:val="21"/>
              </w:rPr>
              <w:t>总磷：</w:t>
            </w:r>
            <w:r>
              <w:rPr>
                <w:rFonts w:hint="eastAsia" w:ascii="Times New Roman"/>
                <w:bCs/>
                <w:sz w:val="21"/>
                <w:szCs w:val="21"/>
              </w:rPr>
              <w:t>6</w:t>
            </w:r>
            <w:r>
              <w:rPr>
                <w:rFonts w:ascii="Times New Roman"/>
                <w:bCs/>
                <w:sz w:val="21"/>
                <w:szCs w:val="21"/>
              </w:rPr>
              <w:t>mg/L</w:t>
            </w:r>
          </w:p>
          <w:p w14:paraId="6B87240C">
            <w:pPr>
              <w:jc w:val="center"/>
              <w:rPr>
                <w:rFonts w:ascii="Times New Roman"/>
                <w:bCs/>
                <w:sz w:val="21"/>
                <w:szCs w:val="21"/>
              </w:rPr>
            </w:pPr>
            <w:r>
              <w:rPr>
                <w:rFonts w:hint="eastAsia" w:ascii="Times New Roman"/>
                <w:bCs/>
                <w:sz w:val="21"/>
                <w:szCs w:val="21"/>
              </w:rPr>
              <w:t>动植物油：100mg/L</w:t>
            </w:r>
          </w:p>
          <w:p w14:paraId="11936DF9">
            <w:pPr>
              <w:pStyle w:val="151"/>
              <w:widowControl w:val="0"/>
              <w:spacing w:line="240" w:lineRule="auto"/>
              <w:ind w:left="0" w:leftChars="0"/>
              <w:rPr>
                <w:lang w:val="en-US"/>
              </w:rPr>
            </w:pPr>
            <w:r>
              <w:rPr>
                <w:rFonts w:hint="eastAsia" w:eastAsia="宋体" w:cs="Times New Roman"/>
                <w:bCs/>
                <w:w w:val="100"/>
                <w:kern w:val="2"/>
                <w:sz w:val="21"/>
                <w:szCs w:val="21"/>
                <w:lang w:val="en-US" w:bidi="ar-SA"/>
              </w:rPr>
              <w:t>石油类：20</w:t>
            </w:r>
            <w:r>
              <w:rPr>
                <w:rFonts w:eastAsia="宋体" w:cs="Times New Roman"/>
                <w:bCs/>
                <w:w w:val="100"/>
                <w:kern w:val="2"/>
                <w:sz w:val="21"/>
                <w:szCs w:val="21"/>
                <w:lang w:val="en-US" w:bidi="ar-SA"/>
              </w:rPr>
              <w:t>mg/L</w:t>
            </w:r>
          </w:p>
        </w:tc>
        <w:tc>
          <w:tcPr>
            <w:tcW w:w="1461" w:type="pct"/>
            <w:gridSpan w:val="2"/>
            <w:vMerge w:val="restart"/>
            <w:vAlign w:val="center"/>
          </w:tcPr>
          <w:p w14:paraId="7E82283E">
            <w:pPr>
              <w:jc w:val="center"/>
              <w:rPr>
                <w:rFonts w:ascii="Times New Roman"/>
                <w:sz w:val="21"/>
                <w:szCs w:val="21"/>
              </w:rPr>
            </w:pPr>
            <w:r>
              <w:rPr>
                <w:rFonts w:ascii="Times New Roman"/>
                <w:bCs/>
                <w:sz w:val="21"/>
                <w:szCs w:val="21"/>
              </w:rPr>
              <w:t>《污水综合排放标准》（GB8978-1996）表4中三级标准，同时满足曹妃甸装备制造园区</w:t>
            </w:r>
            <w:r>
              <w:rPr>
                <w:rFonts w:hint="eastAsia" w:ascii="Times New Roman"/>
                <w:bCs/>
                <w:sz w:val="21"/>
                <w:szCs w:val="21"/>
              </w:rPr>
              <w:t>污水处理站</w:t>
            </w:r>
            <w:r>
              <w:rPr>
                <w:rFonts w:ascii="Times New Roman"/>
                <w:bCs/>
                <w:sz w:val="21"/>
                <w:szCs w:val="21"/>
              </w:rPr>
              <w:t>进水水质要求</w:t>
            </w:r>
          </w:p>
        </w:tc>
      </w:tr>
      <w:tr w14:paraId="791D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261" w:type="pct"/>
            <w:vMerge w:val="continue"/>
            <w:vAlign w:val="center"/>
          </w:tcPr>
          <w:p w14:paraId="7D351410">
            <w:pPr>
              <w:jc w:val="center"/>
              <w:rPr>
                <w:rFonts w:ascii="Times New Roman"/>
                <w:sz w:val="21"/>
                <w:szCs w:val="21"/>
              </w:rPr>
            </w:pPr>
          </w:p>
        </w:tc>
        <w:tc>
          <w:tcPr>
            <w:tcW w:w="579" w:type="pct"/>
            <w:gridSpan w:val="2"/>
            <w:vAlign w:val="center"/>
          </w:tcPr>
          <w:p w14:paraId="25AF6645">
            <w:pPr>
              <w:jc w:val="center"/>
              <w:rPr>
                <w:rFonts w:ascii="Times New Roman"/>
                <w:sz w:val="21"/>
                <w:szCs w:val="21"/>
              </w:rPr>
            </w:pPr>
            <w:r>
              <w:rPr>
                <w:rFonts w:ascii="Times New Roman"/>
                <w:sz w:val="21"/>
                <w:szCs w:val="21"/>
              </w:rPr>
              <w:t>生活污水</w:t>
            </w:r>
          </w:p>
        </w:tc>
        <w:tc>
          <w:tcPr>
            <w:tcW w:w="1702" w:type="pct"/>
            <w:gridSpan w:val="2"/>
            <w:vAlign w:val="center"/>
          </w:tcPr>
          <w:p w14:paraId="6E5CF0F5">
            <w:pPr>
              <w:jc w:val="center"/>
              <w:rPr>
                <w:rFonts w:ascii="Times New Roman"/>
                <w:sz w:val="21"/>
                <w:szCs w:val="21"/>
              </w:rPr>
            </w:pPr>
            <w:r>
              <w:rPr>
                <w:rFonts w:ascii="Times New Roman"/>
                <w:sz w:val="21"/>
                <w:szCs w:val="21"/>
              </w:rPr>
              <w:t>食堂废水采用隔油池预处理后，与日常生活污水一并入化粪池处理，由园区污水管网，入园区污水处理厂进一步处理。</w:t>
            </w:r>
          </w:p>
        </w:tc>
        <w:tc>
          <w:tcPr>
            <w:tcW w:w="996" w:type="pct"/>
            <w:gridSpan w:val="2"/>
            <w:vMerge w:val="continue"/>
            <w:vAlign w:val="center"/>
          </w:tcPr>
          <w:p w14:paraId="635545AE">
            <w:pPr>
              <w:jc w:val="center"/>
              <w:rPr>
                <w:rFonts w:ascii="Times New Roman"/>
                <w:sz w:val="21"/>
                <w:szCs w:val="21"/>
              </w:rPr>
            </w:pPr>
          </w:p>
        </w:tc>
        <w:tc>
          <w:tcPr>
            <w:tcW w:w="1461" w:type="pct"/>
            <w:gridSpan w:val="2"/>
            <w:vMerge w:val="continue"/>
            <w:vAlign w:val="center"/>
          </w:tcPr>
          <w:p w14:paraId="69E48143">
            <w:pPr>
              <w:jc w:val="center"/>
              <w:rPr>
                <w:rFonts w:ascii="Times New Roman"/>
                <w:sz w:val="21"/>
                <w:szCs w:val="21"/>
              </w:rPr>
            </w:pPr>
          </w:p>
        </w:tc>
      </w:tr>
      <w:tr w14:paraId="242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Align w:val="center"/>
          </w:tcPr>
          <w:p w14:paraId="151AB8C3">
            <w:pPr>
              <w:jc w:val="center"/>
              <w:rPr>
                <w:rFonts w:ascii="Times New Roman"/>
                <w:sz w:val="21"/>
                <w:szCs w:val="21"/>
              </w:rPr>
            </w:pPr>
            <w:r>
              <w:rPr>
                <w:rFonts w:ascii="Times New Roman"/>
                <w:sz w:val="21"/>
                <w:szCs w:val="21"/>
              </w:rPr>
              <w:t>噪声</w:t>
            </w:r>
          </w:p>
        </w:tc>
        <w:tc>
          <w:tcPr>
            <w:tcW w:w="2281" w:type="pct"/>
            <w:gridSpan w:val="4"/>
            <w:vAlign w:val="center"/>
          </w:tcPr>
          <w:p w14:paraId="55968A43">
            <w:pPr>
              <w:jc w:val="center"/>
              <w:rPr>
                <w:rFonts w:ascii="Times New Roman"/>
                <w:sz w:val="21"/>
                <w:szCs w:val="21"/>
              </w:rPr>
            </w:pPr>
            <w:r>
              <w:rPr>
                <w:rFonts w:ascii="Times New Roman"/>
                <w:sz w:val="21"/>
                <w:szCs w:val="21"/>
              </w:rPr>
              <w:t>选用低噪声设备，采用基础减振、车间隔声，空压机、风机加装消声器</w:t>
            </w:r>
          </w:p>
        </w:tc>
        <w:tc>
          <w:tcPr>
            <w:tcW w:w="996" w:type="pct"/>
            <w:gridSpan w:val="2"/>
            <w:vAlign w:val="center"/>
          </w:tcPr>
          <w:p w14:paraId="0D701668">
            <w:pPr>
              <w:jc w:val="center"/>
              <w:rPr>
                <w:rFonts w:ascii="Times New Roman"/>
                <w:spacing w:val="5"/>
                <w:sz w:val="21"/>
                <w:szCs w:val="21"/>
              </w:rPr>
            </w:pPr>
            <w:r>
              <w:rPr>
                <w:rFonts w:ascii="Times New Roman"/>
                <w:spacing w:val="5"/>
                <w:sz w:val="21"/>
                <w:szCs w:val="21"/>
              </w:rPr>
              <w:t>厂界</w:t>
            </w:r>
            <w:r>
              <w:rPr>
                <w:rFonts w:hint="eastAsia" w:ascii="Times New Roman"/>
                <w:spacing w:val="5"/>
                <w:sz w:val="21"/>
                <w:szCs w:val="21"/>
              </w:rPr>
              <w:t>：</w:t>
            </w:r>
          </w:p>
          <w:p w14:paraId="66663B47">
            <w:pPr>
              <w:jc w:val="center"/>
              <w:rPr>
                <w:rFonts w:ascii="Times New Roman"/>
                <w:spacing w:val="5"/>
                <w:sz w:val="21"/>
                <w:szCs w:val="21"/>
              </w:rPr>
            </w:pPr>
            <w:r>
              <w:rPr>
                <w:rFonts w:ascii="Times New Roman"/>
                <w:spacing w:val="5"/>
                <w:sz w:val="21"/>
                <w:szCs w:val="21"/>
              </w:rPr>
              <w:t>昼：65dB(A)夜：55dB(A)</w:t>
            </w:r>
          </w:p>
        </w:tc>
        <w:tc>
          <w:tcPr>
            <w:tcW w:w="1461" w:type="pct"/>
            <w:gridSpan w:val="2"/>
            <w:vAlign w:val="center"/>
          </w:tcPr>
          <w:p w14:paraId="46B9ECC6">
            <w:pPr>
              <w:jc w:val="center"/>
              <w:rPr>
                <w:rFonts w:ascii="Times New Roman"/>
                <w:spacing w:val="-10"/>
                <w:sz w:val="21"/>
                <w:szCs w:val="21"/>
              </w:rPr>
            </w:pPr>
            <w:r>
              <w:rPr>
                <w:rFonts w:ascii="Times New Roman"/>
                <w:spacing w:val="-10"/>
                <w:sz w:val="21"/>
                <w:szCs w:val="21"/>
              </w:rPr>
              <w:t>《工业企业厂界环境噪声排放标准》（GB12348-2008）3类标准</w:t>
            </w:r>
          </w:p>
        </w:tc>
      </w:tr>
      <w:tr w14:paraId="2E44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restart"/>
            <w:vAlign w:val="center"/>
          </w:tcPr>
          <w:p w14:paraId="41F52578">
            <w:pPr>
              <w:jc w:val="center"/>
              <w:rPr>
                <w:rFonts w:ascii="Times New Roman"/>
                <w:sz w:val="21"/>
                <w:szCs w:val="21"/>
              </w:rPr>
            </w:pPr>
            <w:r>
              <w:rPr>
                <w:rFonts w:ascii="Times New Roman"/>
                <w:sz w:val="21"/>
                <w:szCs w:val="21"/>
              </w:rPr>
              <w:t>固废</w:t>
            </w:r>
          </w:p>
        </w:tc>
        <w:tc>
          <w:tcPr>
            <w:tcW w:w="579" w:type="pct"/>
            <w:gridSpan w:val="2"/>
            <w:vAlign w:val="center"/>
          </w:tcPr>
          <w:p w14:paraId="3A6AA75D">
            <w:pPr>
              <w:jc w:val="center"/>
              <w:rPr>
                <w:rFonts w:ascii="Times New Roman"/>
                <w:sz w:val="21"/>
                <w:szCs w:val="21"/>
              </w:rPr>
            </w:pPr>
            <w:r>
              <w:rPr>
                <w:rFonts w:hint="eastAsia" w:ascii="Times New Roman"/>
                <w:sz w:val="21"/>
                <w:szCs w:val="21"/>
              </w:rPr>
              <w:t>下料工序</w:t>
            </w:r>
          </w:p>
        </w:tc>
        <w:tc>
          <w:tcPr>
            <w:tcW w:w="533" w:type="pct"/>
            <w:vAlign w:val="center"/>
          </w:tcPr>
          <w:p w14:paraId="5BC87336">
            <w:pPr>
              <w:jc w:val="center"/>
              <w:rPr>
                <w:rFonts w:ascii="Times New Roman"/>
                <w:sz w:val="21"/>
                <w:szCs w:val="21"/>
              </w:rPr>
            </w:pPr>
            <w:r>
              <w:rPr>
                <w:rFonts w:hint="eastAsia" w:ascii="Times New Roman"/>
                <w:sz w:val="21"/>
                <w:szCs w:val="21"/>
              </w:rPr>
              <w:t>钢材边角料</w:t>
            </w:r>
          </w:p>
        </w:tc>
        <w:tc>
          <w:tcPr>
            <w:tcW w:w="1169" w:type="pct"/>
            <w:vMerge w:val="restart"/>
            <w:vAlign w:val="center"/>
          </w:tcPr>
          <w:p w14:paraId="3FE1B329">
            <w:pPr>
              <w:jc w:val="center"/>
              <w:rPr>
                <w:rFonts w:ascii="Times New Roman"/>
                <w:sz w:val="21"/>
                <w:szCs w:val="21"/>
              </w:rPr>
            </w:pPr>
            <w:r>
              <w:rPr>
                <w:rFonts w:hint="eastAsia" w:ascii="Times New Roman"/>
                <w:sz w:val="21"/>
                <w:szCs w:val="21"/>
              </w:rPr>
              <w:t>收集后外售</w:t>
            </w:r>
          </w:p>
        </w:tc>
        <w:tc>
          <w:tcPr>
            <w:tcW w:w="2457" w:type="pct"/>
            <w:gridSpan w:val="4"/>
            <w:vMerge w:val="restart"/>
            <w:vAlign w:val="center"/>
          </w:tcPr>
          <w:p w14:paraId="4E88554F">
            <w:pPr>
              <w:jc w:val="center"/>
              <w:rPr>
                <w:rFonts w:ascii="Times New Roman"/>
                <w:sz w:val="21"/>
                <w:szCs w:val="21"/>
              </w:rPr>
            </w:pPr>
            <w:r>
              <w:rPr>
                <w:rFonts w:ascii="Times New Roman"/>
                <w:sz w:val="21"/>
                <w:szCs w:val="21"/>
              </w:rPr>
              <w:t>一般固废参照执行《一般工业固体废物贮存和填埋污染控制标准》（GB18599-2020），危险废物的暂时贮存执行《危险废物贮存污染控制标准》（GB 18597-2023）中有关规定，生活垃圾执行《中华人民共和国固体废物污染环境防治法》（2020年4月29日修正版）“生活垃圾污染环境的防治”中规定。</w:t>
            </w:r>
          </w:p>
        </w:tc>
      </w:tr>
      <w:tr w14:paraId="342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12E78D2A">
            <w:pPr>
              <w:jc w:val="center"/>
              <w:rPr>
                <w:rFonts w:ascii="Times New Roman"/>
                <w:sz w:val="21"/>
                <w:szCs w:val="21"/>
              </w:rPr>
            </w:pPr>
          </w:p>
        </w:tc>
        <w:tc>
          <w:tcPr>
            <w:tcW w:w="579" w:type="pct"/>
            <w:gridSpan w:val="2"/>
            <w:vAlign w:val="center"/>
          </w:tcPr>
          <w:p w14:paraId="27B51445">
            <w:pPr>
              <w:jc w:val="center"/>
              <w:rPr>
                <w:rFonts w:ascii="Times New Roman"/>
                <w:sz w:val="21"/>
                <w:szCs w:val="21"/>
              </w:rPr>
            </w:pPr>
            <w:r>
              <w:rPr>
                <w:rFonts w:hint="eastAsia" w:ascii="Times New Roman"/>
                <w:sz w:val="21"/>
                <w:szCs w:val="21"/>
              </w:rPr>
              <w:t>焊接工序</w:t>
            </w:r>
          </w:p>
        </w:tc>
        <w:tc>
          <w:tcPr>
            <w:tcW w:w="533" w:type="pct"/>
            <w:vAlign w:val="center"/>
          </w:tcPr>
          <w:p w14:paraId="54DC074C">
            <w:pPr>
              <w:jc w:val="center"/>
              <w:rPr>
                <w:rFonts w:ascii="Times New Roman"/>
                <w:sz w:val="21"/>
                <w:szCs w:val="21"/>
              </w:rPr>
            </w:pPr>
            <w:r>
              <w:rPr>
                <w:rFonts w:hint="eastAsia" w:ascii="Times New Roman"/>
                <w:sz w:val="21"/>
                <w:szCs w:val="21"/>
              </w:rPr>
              <w:t>废焊材</w:t>
            </w:r>
          </w:p>
        </w:tc>
        <w:tc>
          <w:tcPr>
            <w:tcW w:w="1169" w:type="pct"/>
            <w:vMerge w:val="continue"/>
            <w:vAlign w:val="center"/>
          </w:tcPr>
          <w:p w14:paraId="3736C90A">
            <w:pPr>
              <w:jc w:val="center"/>
              <w:rPr>
                <w:rFonts w:ascii="Times New Roman"/>
                <w:sz w:val="21"/>
                <w:szCs w:val="21"/>
              </w:rPr>
            </w:pPr>
          </w:p>
        </w:tc>
        <w:tc>
          <w:tcPr>
            <w:tcW w:w="2457" w:type="pct"/>
            <w:gridSpan w:val="4"/>
            <w:vMerge w:val="continue"/>
            <w:vAlign w:val="center"/>
          </w:tcPr>
          <w:p w14:paraId="5FB6BE4B">
            <w:pPr>
              <w:jc w:val="center"/>
              <w:rPr>
                <w:rFonts w:ascii="Times New Roman"/>
                <w:sz w:val="21"/>
                <w:szCs w:val="21"/>
              </w:rPr>
            </w:pPr>
          </w:p>
        </w:tc>
      </w:tr>
      <w:tr w14:paraId="20AC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5593773E">
            <w:pPr>
              <w:jc w:val="center"/>
              <w:rPr>
                <w:rFonts w:ascii="Times New Roman"/>
                <w:sz w:val="21"/>
                <w:szCs w:val="21"/>
              </w:rPr>
            </w:pPr>
          </w:p>
        </w:tc>
        <w:tc>
          <w:tcPr>
            <w:tcW w:w="579" w:type="pct"/>
            <w:gridSpan w:val="2"/>
            <w:vAlign w:val="center"/>
          </w:tcPr>
          <w:p w14:paraId="39836529">
            <w:pPr>
              <w:jc w:val="center"/>
              <w:rPr>
                <w:rFonts w:ascii="Times New Roman"/>
                <w:sz w:val="21"/>
                <w:szCs w:val="21"/>
              </w:rPr>
            </w:pPr>
            <w:r>
              <w:rPr>
                <w:rFonts w:hint="eastAsia" w:ascii="Times New Roman"/>
                <w:sz w:val="21"/>
                <w:szCs w:val="21"/>
              </w:rPr>
              <w:t>机加工工序</w:t>
            </w:r>
          </w:p>
        </w:tc>
        <w:tc>
          <w:tcPr>
            <w:tcW w:w="533" w:type="pct"/>
            <w:vAlign w:val="center"/>
          </w:tcPr>
          <w:p w14:paraId="3FFA4EF3">
            <w:pPr>
              <w:jc w:val="center"/>
              <w:rPr>
                <w:rFonts w:ascii="Times New Roman"/>
                <w:sz w:val="21"/>
                <w:szCs w:val="21"/>
              </w:rPr>
            </w:pPr>
            <w:r>
              <w:rPr>
                <w:rFonts w:hint="eastAsia" w:ascii="Times New Roman"/>
                <w:sz w:val="21"/>
                <w:szCs w:val="21"/>
              </w:rPr>
              <w:t>废边角料</w:t>
            </w:r>
          </w:p>
        </w:tc>
        <w:tc>
          <w:tcPr>
            <w:tcW w:w="1169" w:type="pct"/>
            <w:vMerge w:val="continue"/>
            <w:vAlign w:val="center"/>
          </w:tcPr>
          <w:p w14:paraId="199FF7B4">
            <w:pPr>
              <w:jc w:val="center"/>
              <w:rPr>
                <w:rFonts w:ascii="Times New Roman"/>
                <w:sz w:val="21"/>
                <w:szCs w:val="21"/>
              </w:rPr>
            </w:pPr>
          </w:p>
        </w:tc>
        <w:tc>
          <w:tcPr>
            <w:tcW w:w="2457" w:type="pct"/>
            <w:gridSpan w:val="4"/>
            <w:vMerge w:val="continue"/>
            <w:vAlign w:val="center"/>
          </w:tcPr>
          <w:p w14:paraId="7F65A72A">
            <w:pPr>
              <w:jc w:val="center"/>
              <w:rPr>
                <w:rFonts w:ascii="Times New Roman"/>
                <w:sz w:val="21"/>
                <w:szCs w:val="21"/>
              </w:rPr>
            </w:pPr>
          </w:p>
        </w:tc>
      </w:tr>
      <w:tr w14:paraId="75BC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04AADA4D">
            <w:pPr>
              <w:jc w:val="center"/>
              <w:rPr>
                <w:rFonts w:ascii="Times New Roman"/>
                <w:sz w:val="21"/>
                <w:szCs w:val="21"/>
              </w:rPr>
            </w:pPr>
          </w:p>
        </w:tc>
        <w:tc>
          <w:tcPr>
            <w:tcW w:w="579" w:type="pct"/>
            <w:gridSpan w:val="2"/>
            <w:vAlign w:val="center"/>
          </w:tcPr>
          <w:p w14:paraId="362D8C45">
            <w:pPr>
              <w:jc w:val="center"/>
              <w:rPr>
                <w:rFonts w:ascii="Times New Roman"/>
                <w:sz w:val="21"/>
                <w:szCs w:val="21"/>
              </w:rPr>
            </w:pPr>
            <w:r>
              <w:rPr>
                <w:rFonts w:hint="eastAsia" w:ascii="Times New Roman"/>
                <w:sz w:val="21"/>
                <w:szCs w:val="21"/>
              </w:rPr>
              <w:t>坡口加工、清理打磨工序</w:t>
            </w:r>
          </w:p>
        </w:tc>
        <w:tc>
          <w:tcPr>
            <w:tcW w:w="533" w:type="pct"/>
            <w:vAlign w:val="center"/>
          </w:tcPr>
          <w:p w14:paraId="25DBA645">
            <w:pPr>
              <w:jc w:val="center"/>
              <w:rPr>
                <w:rFonts w:ascii="Times New Roman"/>
                <w:sz w:val="21"/>
                <w:szCs w:val="21"/>
              </w:rPr>
            </w:pPr>
            <w:r>
              <w:rPr>
                <w:rFonts w:hint="eastAsia" w:ascii="Times New Roman"/>
                <w:sz w:val="21"/>
                <w:szCs w:val="21"/>
              </w:rPr>
              <w:t>金属碎屑</w:t>
            </w:r>
          </w:p>
        </w:tc>
        <w:tc>
          <w:tcPr>
            <w:tcW w:w="1169" w:type="pct"/>
            <w:vMerge w:val="continue"/>
            <w:vAlign w:val="center"/>
          </w:tcPr>
          <w:p w14:paraId="64DEB4EB">
            <w:pPr>
              <w:jc w:val="center"/>
              <w:rPr>
                <w:rFonts w:ascii="Times New Roman"/>
                <w:sz w:val="21"/>
                <w:szCs w:val="21"/>
              </w:rPr>
            </w:pPr>
          </w:p>
        </w:tc>
        <w:tc>
          <w:tcPr>
            <w:tcW w:w="2457" w:type="pct"/>
            <w:gridSpan w:val="4"/>
            <w:vMerge w:val="continue"/>
            <w:vAlign w:val="center"/>
          </w:tcPr>
          <w:p w14:paraId="16B4B109">
            <w:pPr>
              <w:jc w:val="center"/>
              <w:rPr>
                <w:rFonts w:ascii="Times New Roman"/>
                <w:sz w:val="21"/>
                <w:szCs w:val="21"/>
              </w:rPr>
            </w:pPr>
          </w:p>
        </w:tc>
      </w:tr>
      <w:tr w14:paraId="2800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03777275">
            <w:pPr>
              <w:jc w:val="center"/>
              <w:rPr>
                <w:rFonts w:ascii="Times New Roman"/>
                <w:sz w:val="21"/>
                <w:szCs w:val="21"/>
              </w:rPr>
            </w:pPr>
          </w:p>
        </w:tc>
        <w:tc>
          <w:tcPr>
            <w:tcW w:w="579" w:type="pct"/>
            <w:gridSpan w:val="2"/>
            <w:shd w:val="clear" w:color="auto" w:fill="auto"/>
            <w:vAlign w:val="center"/>
          </w:tcPr>
          <w:p w14:paraId="37AF3C8D">
            <w:pPr>
              <w:jc w:val="center"/>
              <w:rPr>
                <w:rFonts w:ascii="Times New Roman"/>
                <w:sz w:val="21"/>
                <w:szCs w:val="21"/>
              </w:rPr>
            </w:pPr>
            <w:r>
              <w:rPr>
                <w:rFonts w:hint="eastAsia" w:ascii="Times New Roman"/>
                <w:sz w:val="21"/>
                <w:szCs w:val="21"/>
              </w:rPr>
              <w:t>淬火、回火工序</w:t>
            </w:r>
          </w:p>
        </w:tc>
        <w:tc>
          <w:tcPr>
            <w:tcW w:w="533" w:type="pct"/>
            <w:shd w:val="clear" w:color="auto" w:fill="auto"/>
            <w:vAlign w:val="center"/>
          </w:tcPr>
          <w:p w14:paraId="386CB188">
            <w:pPr>
              <w:jc w:val="center"/>
              <w:rPr>
                <w:rFonts w:ascii="Times New Roman"/>
                <w:sz w:val="21"/>
                <w:szCs w:val="21"/>
              </w:rPr>
            </w:pPr>
            <w:r>
              <w:rPr>
                <w:rFonts w:hint="eastAsia" w:ascii="Times New Roman"/>
                <w:sz w:val="21"/>
                <w:szCs w:val="21"/>
              </w:rPr>
              <w:t>槽渣</w:t>
            </w:r>
          </w:p>
        </w:tc>
        <w:tc>
          <w:tcPr>
            <w:tcW w:w="1169" w:type="pct"/>
            <w:vMerge w:val="continue"/>
            <w:vAlign w:val="center"/>
          </w:tcPr>
          <w:p w14:paraId="59FFAB0E">
            <w:pPr>
              <w:jc w:val="center"/>
              <w:rPr>
                <w:rFonts w:ascii="Times New Roman"/>
                <w:sz w:val="21"/>
                <w:szCs w:val="21"/>
              </w:rPr>
            </w:pPr>
          </w:p>
        </w:tc>
        <w:tc>
          <w:tcPr>
            <w:tcW w:w="2457" w:type="pct"/>
            <w:gridSpan w:val="4"/>
            <w:vMerge w:val="continue"/>
            <w:vAlign w:val="center"/>
          </w:tcPr>
          <w:p w14:paraId="35EDEA0A">
            <w:pPr>
              <w:jc w:val="center"/>
              <w:rPr>
                <w:rFonts w:ascii="Times New Roman"/>
                <w:sz w:val="21"/>
                <w:szCs w:val="21"/>
              </w:rPr>
            </w:pPr>
          </w:p>
        </w:tc>
      </w:tr>
      <w:tr w14:paraId="5E08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3F56CB40">
            <w:pPr>
              <w:jc w:val="center"/>
              <w:rPr>
                <w:rFonts w:ascii="Times New Roman"/>
                <w:sz w:val="21"/>
                <w:szCs w:val="21"/>
              </w:rPr>
            </w:pPr>
          </w:p>
        </w:tc>
        <w:tc>
          <w:tcPr>
            <w:tcW w:w="579" w:type="pct"/>
            <w:gridSpan w:val="2"/>
            <w:vAlign w:val="center"/>
          </w:tcPr>
          <w:p w14:paraId="01564F03">
            <w:pPr>
              <w:jc w:val="center"/>
              <w:rPr>
                <w:rFonts w:ascii="Times New Roman"/>
                <w:sz w:val="21"/>
                <w:szCs w:val="21"/>
              </w:rPr>
            </w:pPr>
            <w:r>
              <w:rPr>
                <w:rFonts w:hint="eastAsia" w:ascii="Times New Roman"/>
                <w:sz w:val="21"/>
                <w:szCs w:val="21"/>
              </w:rPr>
              <w:t>抛丸工序</w:t>
            </w:r>
          </w:p>
        </w:tc>
        <w:tc>
          <w:tcPr>
            <w:tcW w:w="533" w:type="pct"/>
            <w:vAlign w:val="center"/>
          </w:tcPr>
          <w:p w14:paraId="1E2575CE">
            <w:pPr>
              <w:jc w:val="center"/>
              <w:rPr>
                <w:rFonts w:ascii="Times New Roman"/>
                <w:sz w:val="21"/>
                <w:szCs w:val="21"/>
              </w:rPr>
            </w:pPr>
            <w:r>
              <w:rPr>
                <w:rFonts w:hint="eastAsia" w:ascii="Times New Roman"/>
                <w:sz w:val="21"/>
                <w:szCs w:val="21"/>
              </w:rPr>
              <w:t>废钢丸</w:t>
            </w:r>
          </w:p>
        </w:tc>
        <w:tc>
          <w:tcPr>
            <w:tcW w:w="1169" w:type="pct"/>
            <w:vMerge w:val="continue"/>
            <w:vAlign w:val="center"/>
          </w:tcPr>
          <w:p w14:paraId="5572C16D">
            <w:pPr>
              <w:jc w:val="center"/>
              <w:rPr>
                <w:rFonts w:ascii="Times New Roman"/>
                <w:sz w:val="21"/>
                <w:szCs w:val="21"/>
              </w:rPr>
            </w:pPr>
          </w:p>
        </w:tc>
        <w:tc>
          <w:tcPr>
            <w:tcW w:w="2457" w:type="pct"/>
            <w:gridSpan w:val="4"/>
            <w:vMerge w:val="continue"/>
            <w:vAlign w:val="center"/>
          </w:tcPr>
          <w:p w14:paraId="735EC2F6">
            <w:pPr>
              <w:jc w:val="center"/>
              <w:rPr>
                <w:rFonts w:ascii="Times New Roman"/>
                <w:sz w:val="21"/>
                <w:szCs w:val="21"/>
              </w:rPr>
            </w:pPr>
          </w:p>
        </w:tc>
      </w:tr>
      <w:tr w14:paraId="0888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CA9AD24">
            <w:pPr>
              <w:jc w:val="center"/>
              <w:rPr>
                <w:rFonts w:ascii="Times New Roman"/>
                <w:sz w:val="21"/>
                <w:szCs w:val="21"/>
              </w:rPr>
            </w:pPr>
          </w:p>
        </w:tc>
        <w:tc>
          <w:tcPr>
            <w:tcW w:w="579" w:type="pct"/>
            <w:gridSpan w:val="2"/>
            <w:shd w:val="clear" w:color="auto" w:fill="auto"/>
            <w:vAlign w:val="center"/>
          </w:tcPr>
          <w:p w14:paraId="0906B283">
            <w:pPr>
              <w:jc w:val="center"/>
              <w:rPr>
                <w:rFonts w:ascii="Times New Roman"/>
                <w:sz w:val="21"/>
                <w:szCs w:val="21"/>
              </w:rPr>
            </w:pPr>
            <w:r>
              <w:rPr>
                <w:rFonts w:hint="eastAsia" w:ascii="Times New Roman"/>
                <w:sz w:val="21"/>
                <w:szCs w:val="21"/>
              </w:rPr>
              <w:t>脱脂工序</w:t>
            </w:r>
          </w:p>
        </w:tc>
        <w:tc>
          <w:tcPr>
            <w:tcW w:w="533" w:type="pct"/>
            <w:shd w:val="clear" w:color="auto" w:fill="auto"/>
            <w:vAlign w:val="center"/>
          </w:tcPr>
          <w:p w14:paraId="2C359D7C">
            <w:pPr>
              <w:jc w:val="center"/>
              <w:rPr>
                <w:rFonts w:ascii="Times New Roman"/>
                <w:sz w:val="21"/>
                <w:szCs w:val="21"/>
              </w:rPr>
            </w:pPr>
            <w:r>
              <w:rPr>
                <w:rFonts w:hint="eastAsia" w:ascii="Times New Roman"/>
                <w:sz w:val="21"/>
                <w:szCs w:val="21"/>
              </w:rPr>
              <w:t>浮油</w:t>
            </w:r>
          </w:p>
        </w:tc>
        <w:tc>
          <w:tcPr>
            <w:tcW w:w="1169" w:type="pct"/>
            <w:vMerge w:val="restart"/>
            <w:vAlign w:val="center"/>
          </w:tcPr>
          <w:p w14:paraId="31DA5C06">
            <w:pPr>
              <w:jc w:val="center"/>
              <w:rPr>
                <w:rFonts w:ascii="Times New Roman"/>
                <w:sz w:val="21"/>
                <w:szCs w:val="21"/>
              </w:rPr>
            </w:pPr>
            <w:r>
              <w:rPr>
                <w:rFonts w:hint="eastAsia" w:ascii="Times New Roman"/>
                <w:sz w:val="21"/>
                <w:szCs w:val="21"/>
              </w:rPr>
              <w:t>分类暂存危废间，定期交由有资质单位处置</w:t>
            </w:r>
          </w:p>
        </w:tc>
        <w:tc>
          <w:tcPr>
            <w:tcW w:w="2457" w:type="pct"/>
            <w:gridSpan w:val="4"/>
            <w:vMerge w:val="continue"/>
            <w:vAlign w:val="center"/>
          </w:tcPr>
          <w:p w14:paraId="2A1BC863">
            <w:pPr>
              <w:jc w:val="center"/>
              <w:rPr>
                <w:rFonts w:ascii="Times New Roman"/>
                <w:sz w:val="21"/>
                <w:szCs w:val="21"/>
              </w:rPr>
            </w:pPr>
          </w:p>
        </w:tc>
      </w:tr>
      <w:tr w14:paraId="5A30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22B9796">
            <w:pPr>
              <w:jc w:val="center"/>
              <w:rPr>
                <w:rFonts w:ascii="Times New Roman"/>
                <w:sz w:val="21"/>
                <w:szCs w:val="21"/>
              </w:rPr>
            </w:pPr>
          </w:p>
        </w:tc>
        <w:tc>
          <w:tcPr>
            <w:tcW w:w="579" w:type="pct"/>
            <w:gridSpan w:val="2"/>
            <w:vAlign w:val="center"/>
          </w:tcPr>
          <w:p w14:paraId="60577483">
            <w:pPr>
              <w:jc w:val="center"/>
              <w:rPr>
                <w:rFonts w:ascii="Times New Roman"/>
                <w:sz w:val="21"/>
                <w:szCs w:val="21"/>
              </w:rPr>
            </w:pPr>
            <w:r>
              <w:rPr>
                <w:rFonts w:hint="eastAsia" w:ascii="Times New Roman"/>
                <w:sz w:val="21"/>
                <w:szCs w:val="21"/>
              </w:rPr>
              <w:t>硅烷化工序</w:t>
            </w:r>
          </w:p>
        </w:tc>
        <w:tc>
          <w:tcPr>
            <w:tcW w:w="533" w:type="pct"/>
            <w:vAlign w:val="center"/>
          </w:tcPr>
          <w:p w14:paraId="48ADEBC0">
            <w:pPr>
              <w:jc w:val="center"/>
              <w:rPr>
                <w:rFonts w:ascii="Times New Roman"/>
                <w:sz w:val="21"/>
                <w:szCs w:val="21"/>
              </w:rPr>
            </w:pPr>
            <w:r>
              <w:rPr>
                <w:rFonts w:hint="eastAsia" w:ascii="Times New Roman"/>
                <w:sz w:val="21"/>
                <w:szCs w:val="21"/>
              </w:rPr>
              <w:t>废滤芯、杂质</w:t>
            </w:r>
          </w:p>
        </w:tc>
        <w:tc>
          <w:tcPr>
            <w:tcW w:w="1169" w:type="pct"/>
            <w:vMerge w:val="continue"/>
            <w:vAlign w:val="center"/>
          </w:tcPr>
          <w:p w14:paraId="31997ADE">
            <w:pPr>
              <w:jc w:val="center"/>
              <w:rPr>
                <w:rFonts w:ascii="Times New Roman"/>
                <w:sz w:val="21"/>
                <w:szCs w:val="21"/>
              </w:rPr>
            </w:pPr>
          </w:p>
        </w:tc>
        <w:tc>
          <w:tcPr>
            <w:tcW w:w="2457" w:type="pct"/>
            <w:gridSpan w:val="4"/>
            <w:vMerge w:val="continue"/>
            <w:vAlign w:val="center"/>
          </w:tcPr>
          <w:p w14:paraId="631C541C">
            <w:pPr>
              <w:jc w:val="center"/>
              <w:rPr>
                <w:rFonts w:ascii="Times New Roman"/>
                <w:sz w:val="21"/>
                <w:szCs w:val="21"/>
              </w:rPr>
            </w:pPr>
          </w:p>
        </w:tc>
      </w:tr>
      <w:tr w14:paraId="3002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1AF29B10">
            <w:pPr>
              <w:jc w:val="center"/>
              <w:rPr>
                <w:rFonts w:ascii="Times New Roman"/>
                <w:sz w:val="21"/>
                <w:szCs w:val="21"/>
              </w:rPr>
            </w:pPr>
          </w:p>
        </w:tc>
        <w:tc>
          <w:tcPr>
            <w:tcW w:w="579" w:type="pct"/>
            <w:gridSpan w:val="2"/>
            <w:vAlign w:val="center"/>
          </w:tcPr>
          <w:p w14:paraId="65ED4D8B">
            <w:pPr>
              <w:jc w:val="center"/>
              <w:rPr>
                <w:rFonts w:ascii="Times New Roman"/>
                <w:sz w:val="21"/>
                <w:szCs w:val="21"/>
              </w:rPr>
            </w:pPr>
            <w:r>
              <w:rPr>
                <w:rFonts w:hint="eastAsia" w:ascii="Times New Roman"/>
                <w:sz w:val="21"/>
                <w:szCs w:val="21"/>
              </w:rPr>
              <w:t>喷砂工序</w:t>
            </w:r>
          </w:p>
        </w:tc>
        <w:tc>
          <w:tcPr>
            <w:tcW w:w="533" w:type="pct"/>
            <w:vAlign w:val="center"/>
          </w:tcPr>
          <w:p w14:paraId="6F22AB97">
            <w:pPr>
              <w:jc w:val="center"/>
              <w:rPr>
                <w:rFonts w:ascii="Times New Roman"/>
                <w:sz w:val="21"/>
                <w:szCs w:val="21"/>
              </w:rPr>
            </w:pPr>
            <w:r>
              <w:rPr>
                <w:rFonts w:hint="eastAsia" w:ascii="Times New Roman"/>
                <w:sz w:val="21"/>
                <w:szCs w:val="21"/>
              </w:rPr>
              <w:t>废钢砂</w:t>
            </w:r>
          </w:p>
        </w:tc>
        <w:tc>
          <w:tcPr>
            <w:tcW w:w="1169" w:type="pct"/>
            <w:vMerge w:val="restart"/>
            <w:vAlign w:val="center"/>
          </w:tcPr>
          <w:p w14:paraId="7FF29DD7">
            <w:pPr>
              <w:jc w:val="center"/>
              <w:rPr>
                <w:rFonts w:ascii="Times New Roman"/>
                <w:sz w:val="21"/>
                <w:szCs w:val="21"/>
              </w:rPr>
            </w:pPr>
            <w:r>
              <w:rPr>
                <w:rFonts w:hint="eastAsia" w:ascii="Times New Roman"/>
                <w:sz w:val="21"/>
                <w:szCs w:val="21"/>
              </w:rPr>
              <w:t>收集后外售</w:t>
            </w:r>
          </w:p>
        </w:tc>
        <w:tc>
          <w:tcPr>
            <w:tcW w:w="2457" w:type="pct"/>
            <w:gridSpan w:val="4"/>
            <w:vMerge w:val="continue"/>
            <w:vAlign w:val="center"/>
          </w:tcPr>
          <w:p w14:paraId="49A540EB">
            <w:pPr>
              <w:jc w:val="center"/>
              <w:rPr>
                <w:rFonts w:ascii="Times New Roman"/>
                <w:sz w:val="21"/>
                <w:szCs w:val="21"/>
              </w:rPr>
            </w:pPr>
          </w:p>
        </w:tc>
      </w:tr>
      <w:tr w14:paraId="5AC5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00778933">
            <w:pPr>
              <w:jc w:val="center"/>
              <w:rPr>
                <w:rFonts w:ascii="Times New Roman"/>
                <w:sz w:val="21"/>
                <w:szCs w:val="21"/>
              </w:rPr>
            </w:pPr>
          </w:p>
        </w:tc>
        <w:tc>
          <w:tcPr>
            <w:tcW w:w="579" w:type="pct"/>
            <w:gridSpan w:val="2"/>
            <w:vAlign w:val="center"/>
          </w:tcPr>
          <w:p w14:paraId="4402E1B5">
            <w:pPr>
              <w:jc w:val="center"/>
              <w:rPr>
                <w:rFonts w:ascii="Times New Roman"/>
                <w:sz w:val="21"/>
                <w:szCs w:val="21"/>
              </w:rPr>
            </w:pPr>
            <w:r>
              <w:rPr>
                <w:rFonts w:hint="eastAsia" w:ascii="Times New Roman"/>
                <w:sz w:val="21"/>
                <w:szCs w:val="21"/>
              </w:rPr>
              <w:t>原料包装</w:t>
            </w:r>
          </w:p>
        </w:tc>
        <w:tc>
          <w:tcPr>
            <w:tcW w:w="533" w:type="pct"/>
            <w:vAlign w:val="center"/>
          </w:tcPr>
          <w:p w14:paraId="7B124137">
            <w:pPr>
              <w:jc w:val="center"/>
              <w:rPr>
                <w:rFonts w:ascii="Times New Roman"/>
                <w:sz w:val="21"/>
                <w:szCs w:val="21"/>
              </w:rPr>
            </w:pPr>
            <w:r>
              <w:rPr>
                <w:rFonts w:hint="eastAsia" w:ascii="Times New Roman"/>
                <w:sz w:val="21"/>
                <w:szCs w:val="21"/>
              </w:rPr>
              <w:t>废包装材料</w:t>
            </w:r>
          </w:p>
        </w:tc>
        <w:tc>
          <w:tcPr>
            <w:tcW w:w="1169" w:type="pct"/>
            <w:vMerge w:val="continue"/>
            <w:vAlign w:val="center"/>
          </w:tcPr>
          <w:p w14:paraId="42C09F8E">
            <w:pPr>
              <w:jc w:val="center"/>
              <w:rPr>
                <w:rFonts w:ascii="Times New Roman"/>
                <w:sz w:val="21"/>
                <w:szCs w:val="21"/>
              </w:rPr>
            </w:pPr>
          </w:p>
        </w:tc>
        <w:tc>
          <w:tcPr>
            <w:tcW w:w="2457" w:type="pct"/>
            <w:gridSpan w:val="4"/>
            <w:vMerge w:val="continue"/>
            <w:vAlign w:val="center"/>
          </w:tcPr>
          <w:p w14:paraId="513FC631">
            <w:pPr>
              <w:jc w:val="center"/>
              <w:rPr>
                <w:rFonts w:ascii="Times New Roman"/>
                <w:sz w:val="21"/>
                <w:szCs w:val="21"/>
              </w:rPr>
            </w:pPr>
          </w:p>
        </w:tc>
      </w:tr>
      <w:tr w14:paraId="0A4B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603E8CE4">
            <w:pPr>
              <w:jc w:val="center"/>
              <w:rPr>
                <w:rFonts w:ascii="Times New Roman"/>
                <w:sz w:val="21"/>
                <w:szCs w:val="21"/>
              </w:rPr>
            </w:pPr>
          </w:p>
        </w:tc>
        <w:tc>
          <w:tcPr>
            <w:tcW w:w="579" w:type="pct"/>
            <w:gridSpan w:val="2"/>
            <w:vAlign w:val="center"/>
          </w:tcPr>
          <w:p w14:paraId="0A1EF4F0">
            <w:pPr>
              <w:jc w:val="center"/>
              <w:rPr>
                <w:rFonts w:ascii="Times New Roman"/>
                <w:sz w:val="21"/>
                <w:szCs w:val="21"/>
              </w:rPr>
            </w:pPr>
            <w:r>
              <w:rPr>
                <w:rFonts w:hint="eastAsia" w:ascii="Times New Roman"/>
                <w:sz w:val="21"/>
                <w:szCs w:val="21"/>
              </w:rPr>
              <w:t>滤筒除尘器</w:t>
            </w:r>
          </w:p>
        </w:tc>
        <w:tc>
          <w:tcPr>
            <w:tcW w:w="533" w:type="pct"/>
            <w:vAlign w:val="center"/>
          </w:tcPr>
          <w:p w14:paraId="4A5827A5">
            <w:pPr>
              <w:jc w:val="center"/>
              <w:rPr>
                <w:rFonts w:ascii="Times New Roman"/>
                <w:sz w:val="21"/>
                <w:szCs w:val="21"/>
              </w:rPr>
            </w:pPr>
            <w:r>
              <w:rPr>
                <w:rFonts w:hint="eastAsia" w:ascii="Times New Roman"/>
                <w:sz w:val="21"/>
                <w:szCs w:val="21"/>
              </w:rPr>
              <w:t>收尘灰</w:t>
            </w:r>
          </w:p>
        </w:tc>
        <w:tc>
          <w:tcPr>
            <w:tcW w:w="1169" w:type="pct"/>
            <w:vAlign w:val="center"/>
          </w:tcPr>
          <w:p w14:paraId="4D8DEC81">
            <w:pPr>
              <w:jc w:val="center"/>
              <w:rPr>
                <w:rFonts w:ascii="Times New Roman"/>
                <w:sz w:val="21"/>
                <w:szCs w:val="21"/>
              </w:rPr>
            </w:pPr>
            <w:r>
              <w:rPr>
                <w:rFonts w:hint="eastAsia" w:ascii="Times New Roman"/>
                <w:sz w:val="21"/>
                <w:szCs w:val="21"/>
              </w:rPr>
              <w:t>回用于喷塑工序</w:t>
            </w:r>
          </w:p>
        </w:tc>
        <w:tc>
          <w:tcPr>
            <w:tcW w:w="2457" w:type="pct"/>
            <w:gridSpan w:val="4"/>
            <w:vMerge w:val="continue"/>
            <w:vAlign w:val="center"/>
          </w:tcPr>
          <w:p w14:paraId="66738E28">
            <w:pPr>
              <w:jc w:val="center"/>
              <w:rPr>
                <w:rFonts w:ascii="Times New Roman"/>
                <w:sz w:val="21"/>
                <w:szCs w:val="21"/>
              </w:rPr>
            </w:pPr>
          </w:p>
        </w:tc>
      </w:tr>
      <w:tr w14:paraId="5F93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7B10A9DC">
            <w:pPr>
              <w:jc w:val="center"/>
              <w:rPr>
                <w:rFonts w:ascii="Times New Roman"/>
                <w:sz w:val="21"/>
                <w:szCs w:val="21"/>
              </w:rPr>
            </w:pPr>
          </w:p>
        </w:tc>
        <w:tc>
          <w:tcPr>
            <w:tcW w:w="579" w:type="pct"/>
            <w:gridSpan w:val="2"/>
            <w:vAlign w:val="center"/>
          </w:tcPr>
          <w:p w14:paraId="224F3114">
            <w:pPr>
              <w:jc w:val="center"/>
              <w:rPr>
                <w:rFonts w:ascii="Times New Roman"/>
                <w:sz w:val="21"/>
                <w:szCs w:val="21"/>
              </w:rPr>
            </w:pPr>
            <w:r>
              <w:rPr>
                <w:rFonts w:hint="eastAsia" w:ascii="Times New Roman"/>
                <w:sz w:val="21"/>
                <w:szCs w:val="21"/>
              </w:rPr>
              <w:t>布袋除尘器</w:t>
            </w:r>
          </w:p>
        </w:tc>
        <w:tc>
          <w:tcPr>
            <w:tcW w:w="533" w:type="pct"/>
            <w:vAlign w:val="center"/>
          </w:tcPr>
          <w:p w14:paraId="2214A84D">
            <w:pPr>
              <w:jc w:val="center"/>
              <w:rPr>
                <w:rFonts w:ascii="Times New Roman"/>
                <w:sz w:val="21"/>
                <w:szCs w:val="21"/>
              </w:rPr>
            </w:pPr>
            <w:r>
              <w:rPr>
                <w:rFonts w:hint="eastAsia" w:ascii="Times New Roman"/>
                <w:sz w:val="21"/>
                <w:szCs w:val="21"/>
              </w:rPr>
              <w:t>除尘灰、废布袋</w:t>
            </w:r>
          </w:p>
        </w:tc>
        <w:tc>
          <w:tcPr>
            <w:tcW w:w="1169" w:type="pct"/>
            <w:vAlign w:val="center"/>
          </w:tcPr>
          <w:p w14:paraId="678709F7">
            <w:pPr>
              <w:jc w:val="center"/>
              <w:rPr>
                <w:rFonts w:ascii="Times New Roman"/>
                <w:sz w:val="21"/>
                <w:szCs w:val="21"/>
              </w:rPr>
            </w:pPr>
            <w:r>
              <w:rPr>
                <w:rFonts w:hint="eastAsia" w:ascii="Times New Roman"/>
                <w:sz w:val="21"/>
                <w:szCs w:val="21"/>
              </w:rPr>
              <w:t>收集后外售</w:t>
            </w:r>
          </w:p>
        </w:tc>
        <w:tc>
          <w:tcPr>
            <w:tcW w:w="2457" w:type="pct"/>
            <w:gridSpan w:val="4"/>
            <w:vMerge w:val="continue"/>
            <w:vAlign w:val="center"/>
          </w:tcPr>
          <w:p w14:paraId="0618AC9F">
            <w:pPr>
              <w:jc w:val="center"/>
              <w:rPr>
                <w:rFonts w:ascii="Times New Roman"/>
                <w:sz w:val="21"/>
                <w:szCs w:val="21"/>
              </w:rPr>
            </w:pPr>
          </w:p>
        </w:tc>
      </w:tr>
      <w:tr w14:paraId="1682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69C96B89">
            <w:pPr>
              <w:jc w:val="center"/>
              <w:rPr>
                <w:rFonts w:ascii="Times New Roman"/>
                <w:sz w:val="21"/>
                <w:szCs w:val="21"/>
              </w:rPr>
            </w:pPr>
          </w:p>
        </w:tc>
        <w:tc>
          <w:tcPr>
            <w:tcW w:w="579" w:type="pct"/>
            <w:gridSpan w:val="2"/>
            <w:vAlign w:val="center"/>
          </w:tcPr>
          <w:p w14:paraId="777F8BFD">
            <w:pPr>
              <w:jc w:val="center"/>
              <w:rPr>
                <w:rFonts w:ascii="Times New Roman"/>
                <w:sz w:val="21"/>
                <w:szCs w:val="21"/>
              </w:rPr>
            </w:pPr>
            <w:r>
              <w:rPr>
                <w:rFonts w:hint="eastAsia" w:ascii="Times New Roman"/>
                <w:sz w:val="21"/>
                <w:szCs w:val="21"/>
              </w:rPr>
              <w:t>软化水制备</w:t>
            </w:r>
          </w:p>
        </w:tc>
        <w:tc>
          <w:tcPr>
            <w:tcW w:w="533" w:type="pct"/>
            <w:vAlign w:val="center"/>
          </w:tcPr>
          <w:p w14:paraId="6D034161">
            <w:pPr>
              <w:jc w:val="center"/>
              <w:rPr>
                <w:rFonts w:ascii="Times New Roman"/>
                <w:sz w:val="21"/>
                <w:szCs w:val="21"/>
              </w:rPr>
            </w:pPr>
            <w:r>
              <w:rPr>
                <w:rFonts w:hint="eastAsia" w:ascii="Times New Roman"/>
                <w:sz w:val="21"/>
                <w:szCs w:val="21"/>
              </w:rPr>
              <w:t>废反渗透膜</w:t>
            </w:r>
          </w:p>
        </w:tc>
        <w:tc>
          <w:tcPr>
            <w:tcW w:w="1169" w:type="pct"/>
            <w:vMerge w:val="restart"/>
            <w:vAlign w:val="center"/>
          </w:tcPr>
          <w:p w14:paraId="4CCF550F">
            <w:pPr>
              <w:jc w:val="center"/>
              <w:rPr>
                <w:rFonts w:ascii="Times New Roman"/>
                <w:sz w:val="21"/>
                <w:szCs w:val="21"/>
              </w:rPr>
            </w:pPr>
            <w:r>
              <w:rPr>
                <w:rFonts w:hint="eastAsia" w:ascii="Times New Roman"/>
                <w:sz w:val="21"/>
                <w:szCs w:val="21"/>
              </w:rPr>
              <w:t>由厂家回收再生处理</w:t>
            </w:r>
          </w:p>
        </w:tc>
        <w:tc>
          <w:tcPr>
            <w:tcW w:w="2457" w:type="pct"/>
            <w:gridSpan w:val="4"/>
            <w:vMerge w:val="continue"/>
            <w:vAlign w:val="center"/>
          </w:tcPr>
          <w:p w14:paraId="1F74A1C6">
            <w:pPr>
              <w:jc w:val="center"/>
              <w:rPr>
                <w:rFonts w:ascii="Times New Roman"/>
                <w:sz w:val="21"/>
                <w:szCs w:val="21"/>
              </w:rPr>
            </w:pPr>
          </w:p>
        </w:tc>
      </w:tr>
      <w:tr w14:paraId="48EE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53909D5">
            <w:pPr>
              <w:jc w:val="center"/>
              <w:rPr>
                <w:rFonts w:ascii="Times New Roman"/>
                <w:sz w:val="21"/>
                <w:szCs w:val="21"/>
              </w:rPr>
            </w:pPr>
          </w:p>
        </w:tc>
        <w:tc>
          <w:tcPr>
            <w:tcW w:w="579" w:type="pct"/>
            <w:gridSpan w:val="2"/>
            <w:shd w:val="clear" w:color="auto" w:fill="auto"/>
            <w:vAlign w:val="center"/>
          </w:tcPr>
          <w:p w14:paraId="27A54218">
            <w:pPr>
              <w:jc w:val="center"/>
              <w:rPr>
                <w:rFonts w:ascii="Times New Roman"/>
                <w:sz w:val="21"/>
                <w:szCs w:val="21"/>
              </w:rPr>
            </w:pPr>
            <w:r>
              <w:rPr>
                <w:rFonts w:hint="eastAsia" w:ascii="Times New Roman"/>
                <w:sz w:val="21"/>
                <w:szCs w:val="21"/>
              </w:rPr>
              <w:t>UF1、UF2</w:t>
            </w:r>
          </w:p>
        </w:tc>
        <w:tc>
          <w:tcPr>
            <w:tcW w:w="533" w:type="pct"/>
            <w:shd w:val="clear" w:color="auto" w:fill="auto"/>
            <w:vAlign w:val="center"/>
          </w:tcPr>
          <w:p w14:paraId="46519607">
            <w:pPr>
              <w:jc w:val="center"/>
              <w:rPr>
                <w:rFonts w:ascii="Times New Roman"/>
                <w:sz w:val="21"/>
                <w:szCs w:val="21"/>
              </w:rPr>
            </w:pPr>
            <w:r>
              <w:rPr>
                <w:rFonts w:hint="eastAsia" w:ascii="Times New Roman"/>
                <w:sz w:val="21"/>
                <w:szCs w:val="21"/>
              </w:rPr>
              <w:t>废超滤膜</w:t>
            </w:r>
          </w:p>
        </w:tc>
        <w:tc>
          <w:tcPr>
            <w:tcW w:w="1169" w:type="pct"/>
            <w:vMerge w:val="continue"/>
            <w:vAlign w:val="center"/>
          </w:tcPr>
          <w:p w14:paraId="769DA934">
            <w:pPr>
              <w:jc w:val="center"/>
              <w:rPr>
                <w:rFonts w:ascii="Times New Roman"/>
                <w:sz w:val="21"/>
                <w:szCs w:val="21"/>
              </w:rPr>
            </w:pPr>
          </w:p>
        </w:tc>
        <w:tc>
          <w:tcPr>
            <w:tcW w:w="2457" w:type="pct"/>
            <w:gridSpan w:val="4"/>
            <w:vMerge w:val="continue"/>
            <w:vAlign w:val="center"/>
          </w:tcPr>
          <w:p w14:paraId="72B84AD5">
            <w:pPr>
              <w:jc w:val="center"/>
              <w:rPr>
                <w:rFonts w:ascii="Times New Roman"/>
                <w:sz w:val="21"/>
                <w:szCs w:val="21"/>
              </w:rPr>
            </w:pPr>
          </w:p>
        </w:tc>
      </w:tr>
      <w:tr w14:paraId="2887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341AED9E">
            <w:pPr>
              <w:jc w:val="center"/>
              <w:rPr>
                <w:rFonts w:ascii="Times New Roman"/>
                <w:sz w:val="21"/>
                <w:szCs w:val="21"/>
              </w:rPr>
            </w:pPr>
          </w:p>
        </w:tc>
        <w:tc>
          <w:tcPr>
            <w:tcW w:w="579" w:type="pct"/>
            <w:gridSpan w:val="2"/>
            <w:vAlign w:val="center"/>
          </w:tcPr>
          <w:p w14:paraId="032F2E1C">
            <w:pPr>
              <w:jc w:val="center"/>
              <w:rPr>
                <w:rFonts w:ascii="Times New Roman"/>
                <w:sz w:val="21"/>
                <w:szCs w:val="21"/>
              </w:rPr>
            </w:pPr>
            <w:r>
              <w:rPr>
                <w:rFonts w:hint="eastAsia" w:ascii="Times New Roman"/>
                <w:sz w:val="21"/>
                <w:szCs w:val="21"/>
              </w:rPr>
              <w:t>喷漆</w:t>
            </w:r>
          </w:p>
        </w:tc>
        <w:tc>
          <w:tcPr>
            <w:tcW w:w="533" w:type="pct"/>
            <w:vAlign w:val="center"/>
          </w:tcPr>
          <w:p w14:paraId="3841BA8E">
            <w:pPr>
              <w:jc w:val="center"/>
              <w:rPr>
                <w:rFonts w:ascii="Times New Roman"/>
                <w:sz w:val="21"/>
                <w:szCs w:val="21"/>
              </w:rPr>
            </w:pPr>
            <w:r>
              <w:rPr>
                <w:rFonts w:hint="eastAsia" w:ascii="Times New Roman"/>
                <w:sz w:val="21"/>
                <w:szCs w:val="21"/>
              </w:rPr>
              <w:t>漆渣、废漆桶、废稀释剂桶</w:t>
            </w:r>
          </w:p>
        </w:tc>
        <w:tc>
          <w:tcPr>
            <w:tcW w:w="1169" w:type="pct"/>
            <w:vMerge w:val="restart"/>
            <w:vAlign w:val="center"/>
          </w:tcPr>
          <w:p w14:paraId="7F1BBDB7">
            <w:pPr>
              <w:jc w:val="center"/>
              <w:rPr>
                <w:rFonts w:ascii="Times New Roman"/>
                <w:sz w:val="21"/>
                <w:szCs w:val="21"/>
              </w:rPr>
            </w:pPr>
            <w:r>
              <w:rPr>
                <w:rFonts w:hint="eastAsia" w:ascii="Times New Roman"/>
                <w:sz w:val="21"/>
                <w:szCs w:val="21"/>
              </w:rPr>
              <w:t>分类暂存危废间，定期交由有资质单位处置</w:t>
            </w:r>
          </w:p>
        </w:tc>
        <w:tc>
          <w:tcPr>
            <w:tcW w:w="2457" w:type="pct"/>
            <w:gridSpan w:val="4"/>
            <w:vMerge w:val="continue"/>
            <w:vAlign w:val="center"/>
          </w:tcPr>
          <w:p w14:paraId="2FF3B31C">
            <w:pPr>
              <w:jc w:val="center"/>
              <w:rPr>
                <w:rFonts w:ascii="Times New Roman"/>
                <w:sz w:val="21"/>
                <w:szCs w:val="21"/>
              </w:rPr>
            </w:pPr>
          </w:p>
        </w:tc>
      </w:tr>
      <w:tr w14:paraId="2BE5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B6A12E0">
            <w:pPr>
              <w:jc w:val="center"/>
              <w:rPr>
                <w:rFonts w:ascii="Times New Roman"/>
                <w:sz w:val="21"/>
                <w:szCs w:val="21"/>
              </w:rPr>
            </w:pPr>
          </w:p>
        </w:tc>
        <w:tc>
          <w:tcPr>
            <w:tcW w:w="579" w:type="pct"/>
            <w:gridSpan w:val="2"/>
            <w:vMerge w:val="restart"/>
            <w:vAlign w:val="center"/>
          </w:tcPr>
          <w:p w14:paraId="52FCCAAC">
            <w:pPr>
              <w:jc w:val="center"/>
              <w:rPr>
                <w:rFonts w:ascii="Times New Roman"/>
                <w:sz w:val="21"/>
                <w:szCs w:val="21"/>
              </w:rPr>
            </w:pPr>
            <w:r>
              <w:rPr>
                <w:rFonts w:hint="eastAsia" w:ascii="Times New Roman"/>
                <w:sz w:val="21"/>
                <w:szCs w:val="21"/>
              </w:rPr>
              <w:t>机械加工</w:t>
            </w:r>
          </w:p>
        </w:tc>
        <w:tc>
          <w:tcPr>
            <w:tcW w:w="533" w:type="pct"/>
            <w:vAlign w:val="center"/>
          </w:tcPr>
          <w:p w14:paraId="243C491E">
            <w:pPr>
              <w:jc w:val="center"/>
              <w:rPr>
                <w:rFonts w:ascii="Times New Roman"/>
                <w:sz w:val="21"/>
                <w:szCs w:val="21"/>
              </w:rPr>
            </w:pPr>
            <w:r>
              <w:rPr>
                <w:rFonts w:hint="eastAsia" w:ascii="Times New Roman"/>
                <w:sz w:val="21"/>
                <w:szCs w:val="21"/>
              </w:rPr>
              <w:t>废液压油</w:t>
            </w:r>
          </w:p>
        </w:tc>
        <w:tc>
          <w:tcPr>
            <w:tcW w:w="1169" w:type="pct"/>
            <w:vMerge w:val="continue"/>
            <w:vAlign w:val="center"/>
          </w:tcPr>
          <w:p w14:paraId="485D4443">
            <w:pPr>
              <w:jc w:val="center"/>
              <w:rPr>
                <w:rFonts w:ascii="Times New Roman"/>
                <w:sz w:val="21"/>
                <w:szCs w:val="21"/>
              </w:rPr>
            </w:pPr>
          </w:p>
        </w:tc>
        <w:tc>
          <w:tcPr>
            <w:tcW w:w="2457" w:type="pct"/>
            <w:gridSpan w:val="4"/>
            <w:vMerge w:val="continue"/>
            <w:vAlign w:val="center"/>
          </w:tcPr>
          <w:p w14:paraId="070FD8DA">
            <w:pPr>
              <w:jc w:val="center"/>
              <w:rPr>
                <w:rFonts w:ascii="Times New Roman"/>
                <w:sz w:val="21"/>
                <w:szCs w:val="21"/>
              </w:rPr>
            </w:pPr>
          </w:p>
        </w:tc>
      </w:tr>
      <w:tr w14:paraId="00CA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66BA9DF1">
            <w:pPr>
              <w:jc w:val="center"/>
              <w:rPr>
                <w:rFonts w:ascii="Times New Roman"/>
                <w:sz w:val="21"/>
                <w:szCs w:val="21"/>
              </w:rPr>
            </w:pPr>
          </w:p>
        </w:tc>
        <w:tc>
          <w:tcPr>
            <w:tcW w:w="579" w:type="pct"/>
            <w:gridSpan w:val="2"/>
            <w:vMerge w:val="continue"/>
            <w:vAlign w:val="center"/>
          </w:tcPr>
          <w:p w14:paraId="24BD53BD">
            <w:pPr>
              <w:jc w:val="center"/>
              <w:rPr>
                <w:rFonts w:ascii="Times New Roman"/>
                <w:sz w:val="21"/>
                <w:szCs w:val="21"/>
              </w:rPr>
            </w:pPr>
          </w:p>
        </w:tc>
        <w:tc>
          <w:tcPr>
            <w:tcW w:w="533" w:type="pct"/>
            <w:vAlign w:val="center"/>
          </w:tcPr>
          <w:p w14:paraId="1A529596">
            <w:pPr>
              <w:jc w:val="center"/>
              <w:rPr>
                <w:rFonts w:ascii="Times New Roman"/>
                <w:sz w:val="21"/>
                <w:szCs w:val="21"/>
              </w:rPr>
            </w:pPr>
            <w:r>
              <w:rPr>
                <w:rFonts w:hint="eastAsia" w:ascii="Times New Roman"/>
                <w:sz w:val="21"/>
                <w:szCs w:val="21"/>
              </w:rPr>
              <w:t>废润滑油</w:t>
            </w:r>
          </w:p>
        </w:tc>
        <w:tc>
          <w:tcPr>
            <w:tcW w:w="1169" w:type="pct"/>
            <w:vMerge w:val="continue"/>
            <w:vAlign w:val="center"/>
          </w:tcPr>
          <w:p w14:paraId="7BA2A47F">
            <w:pPr>
              <w:jc w:val="center"/>
              <w:rPr>
                <w:rFonts w:ascii="Times New Roman"/>
                <w:sz w:val="21"/>
                <w:szCs w:val="21"/>
              </w:rPr>
            </w:pPr>
          </w:p>
        </w:tc>
        <w:tc>
          <w:tcPr>
            <w:tcW w:w="2457" w:type="pct"/>
            <w:gridSpan w:val="4"/>
            <w:vMerge w:val="continue"/>
            <w:vAlign w:val="center"/>
          </w:tcPr>
          <w:p w14:paraId="0C4B0FFD">
            <w:pPr>
              <w:jc w:val="center"/>
              <w:rPr>
                <w:rFonts w:ascii="Times New Roman"/>
                <w:sz w:val="21"/>
                <w:szCs w:val="21"/>
              </w:rPr>
            </w:pPr>
          </w:p>
        </w:tc>
      </w:tr>
      <w:tr w14:paraId="3F3A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132ACDF6">
            <w:pPr>
              <w:jc w:val="center"/>
              <w:rPr>
                <w:rFonts w:ascii="Times New Roman"/>
                <w:sz w:val="21"/>
                <w:szCs w:val="21"/>
              </w:rPr>
            </w:pPr>
          </w:p>
        </w:tc>
        <w:tc>
          <w:tcPr>
            <w:tcW w:w="579" w:type="pct"/>
            <w:gridSpan w:val="2"/>
            <w:vMerge w:val="continue"/>
            <w:vAlign w:val="center"/>
          </w:tcPr>
          <w:p w14:paraId="6B000F42">
            <w:pPr>
              <w:jc w:val="center"/>
              <w:rPr>
                <w:rFonts w:ascii="Times New Roman"/>
                <w:sz w:val="21"/>
                <w:szCs w:val="21"/>
              </w:rPr>
            </w:pPr>
          </w:p>
        </w:tc>
        <w:tc>
          <w:tcPr>
            <w:tcW w:w="533" w:type="pct"/>
            <w:vAlign w:val="center"/>
          </w:tcPr>
          <w:p w14:paraId="496786DE">
            <w:pPr>
              <w:jc w:val="center"/>
              <w:rPr>
                <w:rFonts w:ascii="Times New Roman"/>
                <w:sz w:val="21"/>
                <w:szCs w:val="21"/>
              </w:rPr>
            </w:pPr>
            <w:r>
              <w:rPr>
                <w:rFonts w:hint="eastAsia" w:ascii="Times New Roman"/>
                <w:sz w:val="21"/>
                <w:szCs w:val="21"/>
              </w:rPr>
              <w:t>废油桶</w:t>
            </w:r>
          </w:p>
        </w:tc>
        <w:tc>
          <w:tcPr>
            <w:tcW w:w="1169" w:type="pct"/>
            <w:vMerge w:val="continue"/>
            <w:vAlign w:val="center"/>
          </w:tcPr>
          <w:p w14:paraId="19980F5D">
            <w:pPr>
              <w:jc w:val="center"/>
              <w:rPr>
                <w:rFonts w:ascii="Times New Roman"/>
                <w:sz w:val="21"/>
                <w:szCs w:val="21"/>
              </w:rPr>
            </w:pPr>
          </w:p>
        </w:tc>
        <w:tc>
          <w:tcPr>
            <w:tcW w:w="2457" w:type="pct"/>
            <w:gridSpan w:val="4"/>
            <w:vMerge w:val="continue"/>
            <w:vAlign w:val="center"/>
          </w:tcPr>
          <w:p w14:paraId="478BDB27">
            <w:pPr>
              <w:jc w:val="center"/>
              <w:rPr>
                <w:rFonts w:ascii="Times New Roman"/>
                <w:sz w:val="21"/>
                <w:szCs w:val="21"/>
              </w:rPr>
            </w:pPr>
          </w:p>
        </w:tc>
      </w:tr>
      <w:tr w14:paraId="144B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1F041CE5">
            <w:pPr>
              <w:jc w:val="center"/>
              <w:rPr>
                <w:rFonts w:ascii="Times New Roman"/>
                <w:sz w:val="21"/>
                <w:szCs w:val="21"/>
              </w:rPr>
            </w:pPr>
          </w:p>
        </w:tc>
        <w:tc>
          <w:tcPr>
            <w:tcW w:w="579" w:type="pct"/>
            <w:gridSpan w:val="2"/>
            <w:vMerge w:val="continue"/>
            <w:vAlign w:val="center"/>
          </w:tcPr>
          <w:p w14:paraId="2CBBB908">
            <w:pPr>
              <w:jc w:val="center"/>
              <w:rPr>
                <w:rFonts w:ascii="Times New Roman"/>
                <w:sz w:val="21"/>
                <w:szCs w:val="21"/>
              </w:rPr>
            </w:pPr>
          </w:p>
        </w:tc>
        <w:tc>
          <w:tcPr>
            <w:tcW w:w="533" w:type="pct"/>
            <w:vAlign w:val="center"/>
          </w:tcPr>
          <w:p w14:paraId="2595D946">
            <w:pPr>
              <w:jc w:val="center"/>
              <w:rPr>
                <w:rFonts w:ascii="Times New Roman"/>
                <w:sz w:val="21"/>
                <w:szCs w:val="21"/>
              </w:rPr>
            </w:pPr>
            <w:r>
              <w:rPr>
                <w:rFonts w:hint="eastAsia" w:ascii="Times New Roman"/>
                <w:sz w:val="21"/>
                <w:szCs w:val="21"/>
              </w:rPr>
              <w:t>废切削液</w:t>
            </w:r>
          </w:p>
        </w:tc>
        <w:tc>
          <w:tcPr>
            <w:tcW w:w="1169" w:type="pct"/>
            <w:vMerge w:val="continue"/>
            <w:vAlign w:val="center"/>
          </w:tcPr>
          <w:p w14:paraId="3A2D3014">
            <w:pPr>
              <w:jc w:val="center"/>
              <w:rPr>
                <w:rFonts w:ascii="Times New Roman"/>
                <w:sz w:val="21"/>
                <w:szCs w:val="21"/>
              </w:rPr>
            </w:pPr>
          </w:p>
        </w:tc>
        <w:tc>
          <w:tcPr>
            <w:tcW w:w="2457" w:type="pct"/>
            <w:gridSpan w:val="4"/>
            <w:vMerge w:val="continue"/>
            <w:vAlign w:val="center"/>
          </w:tcPr>
          <w:p w14:paraId="7CF06730">
            <w:pPr>
              <w:jc w:val="center"/>
              <w:rPr>
                <w:rFonts w:ascii="Times New Roman"/>
                <w:sz w:val="21"/>
                <w:szCs w:val="21"/>
              </w:rPr>
            </w:pPr>
          </w:p>
        </w:tc>
      </w:tr>
      <w:tr w14:paraId="6331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EB7EAA2">
            <w:pPr>
              <w:jc w:val="center"/>
              <w:rPr>
                <w:rFonts w:ascii="Times New Roman"/>
                <w:sz w:val="21"/>
                <w:szCs w:val="21"/>
              </w:rPr>
            </w:pPr>
          </w:p>
        </w:tc>
        <w:tc>
          <w:tcPr>
            <w:tcW w:w="579" w:type="pct"/>
            <w:gridSpan w:val="2"/>
            <w:vMerge w:val="continue"/>
            <w:vAlign w:val="center"/>
          </w:tcPr>
          <w:p w14:paraId="1F727498">
            <w:pPr>
              <w:jc w:val="center"/>
              <w:rPr>
                <w:rFonts w:ascii="Times New Roman"/>
                <w:sz w:val="21"/>
                <w:szCs w:val="21"/>
              </w:rPr>
            </w:pPr>
          </w:p>
        </w:tc>
        <w:tc>
          <w:tcPr>
            <w:tcW w:w="533" w:type="pct"/>
            <w:vAlign w:val="center"/>
          </w:tcPr>
          <w:p w14:paraId="72AB9F95">
            <w:pPr>
              <w:jc w:val="center"/>
              <w:rPr>
                <w:rFonts w:ascii="Times New Roman"/>
                <w:sz w:val="21"/>
                <w:szCs w:val="21"/>
              </w:rPr>
            </w:pPr>
            <w:r>
              <w:rPr>
                <w:rFonts w:hint="eastAsia" w:ascii="Times New Roman"/>
                <w:sz w:val="21"/>
                <w:szCs w:val="21"/>
              </w:rPr>
              <w:t>废切削液桶</w:t>
            </w:r>
          </w:p>
        </w:tc>
        <w:tc>
          <w:tcPr>
            <w:tcW w:w="1169" w:type="pct"/>
            <w:vMerge w:val="continue"/>
            <w:vAlign w:val="center"/>
          </w:tcPr>
          <w:p w14:paraId="79C40B12">
            <w:pPr>
              <w:jc w:val="center"/>
              <w:rPr>
                <w:rFonts w:ascii="Times New Roman"/>
                <w:sz w:val="21"/>
                <w:szCs w:val="21"/>
              </w:rPr>
            </w:pPr>
          </w:p>
        </w:tc>
        <w:tc>
          <w:tcPr>
            <w:tcW w:w="2457" w:type="pct"/>
            <w:gridSpan w:val="4"/>
            <w:vMerge w:val="continue"/>
            <w:vAlign w:val="center"/>
          </w:tcPr>
          <w:p w14:paraId="73868CD1">
            <w:pPr>
              <w:jc w:val="center"/>
              <w:rPr>
                <w:rFonts w:ascii="Times New Roman"/>
                <w:sz w:val="21"/>
                <w:szCs w:val="21"/>
              </w:rPr>
            </w:pPr>
          </w:p>
        </w:tc>
      </w:tr>
      <w:tr w14:paraId="4E4D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2427FCFF">
            <w:pPr>
              <w:jc w:val="center"/>
              <w:rPr>
                <w:rFonts w:ascii="Times New Roman"/>
                <w:sz w:val="21"/>
                <w:szCs w:val="21"/>
              </w:rPr>
            </w:pPr>
          </w:p>
        </w:tc>
        <w:tc>
          <w:tcPr>
            <w:tcW w:w="579" w:type="pct"/>
            <w:gridSpan w:val="2"/>
            <w:vMerge w:val="continue"/>
            <w:vAlign w:val="center"/>
          </w:tcPr>
          <w:p w14:paraId="7ED69708">
            <w:pPr>
              <w:jc w:val="center"/>
              <w:rPr>
                <w:rFonts w:ascii="Times New Roman"/>
                <w:sz w:val="21"/>
                <w:szCs w:val="21"/>
              </w:rPr>
            </w:pPr>
          </w:p>
        </w:tc>
        <w:tc>
          <w:tcPr>
            <w:tcW w:w="533" w:type="pct"/>
            <w:vAlign w:val="center"/>
          </w:tcPr>
          <w:p w14:paraId="3D984312">
            <w:pPr>
              <w:jc w:val="center"/>
              <w:rPr>
                <w:rFonts w:ascii="Times New Roman"/>
                <w:sz w:val="21"/>
                <w:szCs w:val="21"/>
              </w:rPr>
            </w:pPr>
            <w:r>
              <w:rPr>
                <w:rFonts w:hint="eastAsia" w:ascii="Times New Roman"/>
                <w:sz w:val="21"/>
                <w:szCs w:val="21"/>
              </w:rPr>
              <w:t>含油金属屑</w:t>
            </w:r>
          </w:p>
        </w:tc>
        <w:tc>
          <w:tcPr>
            <w:tcW w:w="1169" w:type="pct"/>
            <w:vMerge w:val="continue"/>
            <w:vAlign w:val="center"/>
          </w:tcPr>
          <w:p w14:paraId="4C0ED16F">
            <w:pPr>
              <w:jc w:val="center"/>
              <w:rPr>
                <w:rFonts w:ascii="Times New Roman"/>
                <w:sz w:val="21"/>
                <w:szCs w:val="21"/>
              </w:rPr>
            </w:pPr>
          </w:p>
        </w:tc>
        <w:tc>
          <w:tcPr>
            <w:tcW w:w="2457" w:type="pct"/>
            <w:gridSpan w:val="4"/>
            <w:vMerge w:val="continue"/>
            <w:vAlign w:val="center"/>
          </w:tcPr>
          <w:p w14:paraId="3D3BAAB0">
            <w:pPr>
              <w:jc w:val="center"/>
              <w:rPr>
                <w:rFonts w:ascii="Times New Roman"/>
                <w:sz w:val="21"/>
                <w:szCs w:val="21"/>
              </w:rPr>
            </w:pPr>
          </w:p>
        </w:tc>
      </w:tr>
      <w:tr w14:paraId="74F5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0E140EAC">
            <w:pPr>
              <w:jc w:val="center"/>
              <w:rPr>
                <w:rFonts w:ascii="Times New Roman"/>
                <w:sz w:val="21"/>
                <w:szCs w:val="21"/>
              </w:rPr>
            </w:pPr>
          </w:p>
        </w:tc>
        <w:tc>
          <w:tcPr>
            <w:tcW w:w="579" w:type="pct"/>
            <w:gridSpan w:val="2"/>
            <w:vMerge w:val="restart"/>
            <w:vAlign w:val="center"/>
          </w:tcPr>
          <w:p w14:paraId="123C2C9E">
            <w:pPr>
              <w:jc w:val="center"/>
              <w:rPr>
                <w:rFonts w:ascii="Times New Roman"/>
                <w:sz w:val="21"/>
                <w:szCs w:val="21"/>
              </w:rPr>
            </w:pPr>
            <w:r>
              <w:rPr>
                <w:rFonts w:hint="eastAsia" w:ascii="Times New Roman"/>
                <w:sz w:val="21"/>
                <w:szCs w:val="21"/>
              </w:rPr>
              <w:t>有机废气净化装置</w:t>
            </w:r>
          </w:p>
        </w:tc>
        <w:tc>
          <w:tcPr>
            <w:tcW w:w="533" w:type="pct"/>
            <w:vAlign w:val="center"/>
          </w:tcPr>
          <w:p w14:paraId="4B4C3FFD">
            <w:pPr>
              <w:jc w:val="center"/>
              <w:rPr>
                <w:rFonts w:ascii="Times New Roman"/>
                <w:sz w:val="21"/>
                <w:szCs w:val="21"/>
              </w:rPr>
            </w:pPr>
            <w:r>
              <w:rPr>
                <w:rFonts w:hint="eastAsia" w:ascii="Times New Roman"/>
                <w:sz w:val="21"/>
                <w:szCs w:val="21"/>
              </w:rPr>
              <w:t>废催化剂</w:t>
            </w:r>
          </w:p>
        </w:tc>
        <w:tc>
          <w:tcPr>
            <w:tcW w:w="1169" w:type="pct"/>
            <w:vMerge w:val="continue"/>
            <w:vAlign w:val="center"/>
          </w:tcPr>
          <w:p w14:paraId="552B92BB">
            <w:pPr>
              <w:jc w:val="center"/>
              <w:rPr>
                <w:rFonts w:ascii="Times New Roman"/>
                <w:sz w:val="21"/>
                <w:szCs w:val="21"/>
              </w:rPr>
            </w:pPr>
          </w:p>
        </w:tc>
        <w:tc>
          <w:tcPr>
            <w:tcW w:w="2457" w:type="pct"/>
            <w:gridSpan w:val="4"/>
            <w:vMerge w:val="continue"/>
            <w:vAlign w:val="center"/>
          </w:tcPr>
          <w:p w14:paraId="5A59FEB5">
            <w:pPr>
              <w:jc w:val="center"/>
              <w:rPr>
                <w:rFonts w:ascii="Times New Roman"/>
                <w:sz w:val="21"/>
                <w:szCs w:val="21"/>
              </w:rPr>
            </w:pPr>
          </w:p>
        </w:tc>
      </w:tr>
      <w:tr w14:paraId="63E2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3E4A2191">
            <w:pPr>
              <w:jc w:val="center"/>
              <w:rPr>
                <w:rFonts w:ascii="Times New Roman"/>
                <w:sz w:val="21"/>
                <w:szCs w:val="21"/>
              </w:rPr>
            </w:pPr>
          </w:p>
        </w:tc>
        <w:tc>
          <w:tcPr>
            <w:tcW w:w="579" w:type="pct"/>
            <w:gridSpan w:val="2"/>
            <w:vMerge w:val="continue"/>
            <w:vAlign w:val="center"/>
          </w:tcPr>
          <w:p w14:paraId="41F0BAD1">
            <w:pPr>
              <w:jc w:val="center"/>
              <w:rPr>
                <w:rFonts w:ascii="Times New Roman"/>
                <w:sz w:val="21"/>
                <w:szCs w:val="21"/>
              </w:rPr>
            </w:pPr>
          </w:p>
        </w:tc>
        <w:tc>
          <w:tcPr>
            <w:tcW w:w="533" w:type="pct"/>
            <w:vAlign w:val="center"/>
          </w:tcPr>
          <w:p w14:paraId="568A2DC9">
            <w:pPr>
              <w:jc w:val="center"/>
              <w:rPr>
                <w:rFonts w:ascii="Times New Roman"/>
                <w:sz w:val="21"/>
                <w:szCs w:val="21"/>
              </w:rPr>
            </w:pPr>
            <w:r>
              <w:rPr>
                <w:rFonts w:hint="eastAsia" w:ascii="Times New Roman"/>
                <w:sz w:val="21"/>
                <w:szCs w:val="21"/>
              </w:rPr>
              <w:t>废过滤棉</w:t>
            </w:r>
          </w:p>
        </w:tc>
        <w:tc>
          <w:tcPr>
            <w:tcW w:w="1169" w:type="pct"/>
            <w:vMerge w:val="continue"/>
            <w:vAlign w:val="center"/>
          </w:tcPr>
          <w:p w14:paraId="36282053">
            <w:pPr>
              <w:jc w:val="center"/>
              <w:rPr>
                <w:rFonts w:ascii="Times New Roman"/>
                <w:sz w:val="21"/>
                <w:szCs w:val="21"/>
              </w:rPr>
            </w:pPr>
          </w:p>
        </w:tc>
        <w:tc>
          <w:tcPr>
            <w:tcW w:w="2457" w:type="pct"/>
            <w:gridSpan w:val="4"/>
            <w:vMerge w:val="continue"/>
            <w:vAlign w:val="center"/>
          </w:tcPr>
          <w:p w14:paraId="3343E551">
            <w:pPr>
              <w:jc w:val="center"/>
              <w:rPr>
                <w:rFonts w:ascii="Times New Roman"/>
                <w:sz w:val="21"/>
                <w:szCs w:val="21"/>
              </w:rPr>
            </w:pPr>
          </w:p>
        </w:tc>
      </w:tr>
      <w:tr w14:paraId="252A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5FC4909F">
            <w:pPr>
              <w:jc w:val="center"/>
              <w:rPr>
                <w:rFonts w:ascii="Times New Roman"/>
                <w:sz w:val="21"/>
                <w:szCs w:val="21"/>
              </w:rPr>
            </w:pPr>
          </w:p>
        </w:tc>
        <w:tc>
          <w:tcPr>
            <w:tcW w:w="579" w:type="pct"/>
            <w:gridSpan w:val="2"/>
            <w:vMerge w:val="continue"/>
            <w:vAlign w:val="center"/>
          </w:tcPr>
          <w:p w14:paraId="7A3B2B29">
            <w:pPr>
              <w:jc w:val="center"/>
              <w:rPr>
                <w:rFonts w:ascii="Times New Roman"/>
                <w:sz w:val="21"/>
                <w:szCs w:val="21"/>
              </w:rPr>
            </w:pPr>
          </w:p>
        </w:tc>
        <w:tc>
          <w:tcPr>
            <w:tcW w:w="533" w:type="pct"/>
            <w:vAlign w:val="center"/>
          </w:tcPr>
          <w:p w14:paraId="45680DB3">
            <w:pPr>
              <w:jc w:val="center"/>
              <w:rPr>
                <w:rFonts w:ascii="Times New Roman"/>
                <w:sz w:val="21"/>
                <w:szCs w:val="21"/>
              </w:rPr>
            </w:pPr>
            <w:r>
              <w:rPr>
                <w:rFonts w:hint="eastAsia" w:ascii="Times New Roman"/>
                <w:sz w:val="21"/>
                <w:szCs w:val="21"/>
              </w:rPr>
              <w:t>废沸石分子筛</w:t>
            </w:r>
          </w:p>
        </w:tc>
        <w:tc>
          <w:tcPr>
            <w:tcW w:w="1169" w:type="pct"/>
            <w:vMerge w:val="continue"/>
            <w:vAlign w:val="center"/>
          </w:tcPr>
          <w:p w14:paraId="2B95015A">
            <w:pPr>
              <w:jc w:val="center"/>
              <w:rPr>
                <w:rFonts w:ascii="Times New Roman"/>
                <w:sz w:val="21"/>
                <w:szCs w:val="21"/>
              </w:rPr>
            </w:pPr>
          </w:p>
        </w:tc>
        <w:tc>
          <w:tcPr>
            <w:tcW w:w="2457" w:type="pct"/>
            <w:gridSpan w:val="4"/>
            <w:vMerge w:val="continue"/>
            <w:vAlign w:val="center"/>
          </w:tcPr>
          <w:p w14:paraId="5FE3EDA2">
            <w:pPr>
              <w:jc w:val="center"/>
              <w:rPr>
                <w:rFonts w:ascii="Times New Roman"/>
                <w:sz w:val="21"/>
                <w:szCs w:val="21"/>
              </w:rPr>
            </w:pPr>
          </w:p>
        </w:tc>
      </w:tr>
      <w:tr w14:paraId="173D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trPr>
        <w:tc>
          <w:tcPr>
            <w:tcW w:w="261" w:type="pct"/>
            <w:vMerge w:val="continue"/>
            <w:vAlign w:val="center"/>
          </w:tcPr>
          <w:p w14:paraId="3E84FDDE">
            <w:pPr>
              <w:jc w:val="center"/>
              <w:rPr>
                <w:rFonts w:ascii="Times New Roman"/>
                <w:sz w:val="21"/>
                <w:szCs w:val="21"/>
              </w:rPr>
            </w:pPr>
          </w:p>
        </w:tc>
        <w:tc>
          <w:tcPr>
            <w:tcW w:w="579" w:type="pct"/>
            <w:gridSpan w:val="2"/>
            <w:vMerge w:val="continue"/>
            <w:vAlign w:val="center"/>
          </w:tcPr>
          <w:p w14:paraId="31BB13F8">
            <w:pPr>
              <w:jc w:val="center"/>
              <w:rPr>
                <w:rFonts w:ascii="Times New Roman"/>
                <w:sz w:val="21"/>
                <w:szCs w:val="21"/>
              </w:rPr>
            </w:pPr>
          </w:p>
        </w:tc>
        <w:tc>
          <w:tcPr>
            <w:tcW w:w="533" w:type="pct"/>
            <w:vAlign w:val="center"/>
          </w:tcPr>
          <w:p w14:paraId="29B54F13">
            <w:pPr>
              <w:jc w:val="center"/>
              <w:rPr>
                <w:rFonts w:ascii="Times New Roman"/>
                <w:sz w:val="21"/>
                <w:szCs w:val="21"/>
              </w:rPr>
            </w:pPr>
            <w:r>
              <w:rPr>
                <w:rFonts w:hint="eastAsia" w:ascii="Times New Roman"/>
                <w:sz w:val="21"/>
                <w:szCs w:val="21"/>
              </w:rPr>
              <w:t>废活性炭</w:t>
            </w:r>
          </w:p>
        </w:tc>
        <w:tc>
          <w:tcPr>
            <w:tcW w:w="1169" w:type="pct"/>
            <w:vMerge w:val="continue"/>
            <w:vAlign w:val="center"/>
          </w:tcPr>
          <w:p w14:paraId="229582ED">
            <w:pPr>
              <w:jc w:val="center"/>
              <w:rPr>
                <w:rFonts w:ascii="Times New Roman"/>
                <w:sz w:val="21"/>
                <w:szCs w:val="21"/>
              </w:rPr>
            </w:pPr>
          </w:p>
        </w:tc>
        <w:tc>
          <w:tcPr>
            <w:tcW w:w="2457" w:type="pct"/>
            <w:gridSpan w:val="4"/>
            <w:vMerge w:val="continue"/>
            <w:vAlign w:val="center"/>
          </w:tcPr>
          <w:p w14:paraId="0410A7AC">
            <w:pPr>
              <w:jc w:val="center"/>
              <w:rPr>
                <w:rFonts w:ascii="Times New Roman"/>
                <w:sz w:val="21"/>
                <w:szCs w:val="21"/>
              </w:rPr>
            </w:pPr>
          </w:p>
        </w:tc>
      </w:tr>
      <w:tr w14:paraId="41BC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261" w:type="pct"/>
            <w:vMerge w:val="continue"/>
            <w:vAlign w:val="center"/>
          </w:tcPr>
          <w:p w14:paraId="377F1580">
            <w:pPr>
              <w:jc w:val="center"/>
              <w:rPr>
                <w:rFonts w:ascii="Times New Roman"/>
                <w:sz w:val="21"/>
                <w:szCs w:val="21"/>
              </w:rPr>
            </w:pPr>
          </w:p>
        </w:tc>
        <w:tc>
          <w:tcPr>
            <w:tcW w:w="579" w:type="pct"/>
            <w:gridSpan w:val="2"/>
            <w:vAlign w:val="center"/>
          </w:tcPr>
          <w:p w14:paraId="68691B87">
            <w:pPr>
              <w:jc w:val="center"/>
              <w:rPr>
                <w:rFonts w:ascii="Times New Roman"/>
                <w:sz w:val="21"/>
                <w:szCs w:val="21"/>
              </w:rPr>
            </w:pPr>
            <w:r>
              <w:rPr>
                <w:rFonts w:ascii="Times New Roman"/>
                <w:sz w:val="21"/>
                <w:szCs w:val="21"/>
              </w:rPr>
              <w:t>职工生活</w:t>
            </w:r>
          </w:p>
        </w:tc>
        <w:tc>
          <w:tcPr>
            <w:tcW w:w="533" w:type="pct"/>
            <w:vAlign w:val="center"/>
          </w:tcPr>
          <w:p w14:paraId="328531F6">
            <w:pPr>
              <w:jc w:val="center"/>
              <w:rPr>
                <w:rFonts w:ascii="Times New Roman"/>
                <w:sz w:val="21"/>
                <w:szCs w:val="21"/>
              </w:rPr>
            </w:pPr>
            <w:r>
              <w:rPr>
                <w:rFonts w:ascii="Times New Roman"/>
                <w:sz w:val="21"/>
                <w:szCs w:val="21"/>
              </w:rPr>
              <w:t>生活垃圾</w:t>
            </w:r>
          </w:p>
        </w:tc>
        <w:tc>
          <w:tcPr>
            <w:tcW w:w="1169" w:type="pct"/>
            <w:vAlign w:val="center"/>
          </w:tcPr>
          <w:p w14:paraId="2BBF1B25">
            <w:pPr>
              <w:jc w:val="center"/>
              <w:rPr>
                <w:rFonts w:ascii="Times New Roman"/>
                <w:sz w:val="21"/>
                <w:szCs w:val="21"/>
              </w:rPr>
            </w:pPr>
            <w:r>
              <w:rPr>
                <w:rFonts w:hint="eastAsia" w:ascii="Times New Roman"/>
                <w:sz w:val="21"/>
                <w:szCs w:val="21"/>
              </w:rPr>
              <w:t>定期交由环卫部门处置</w:t>
            </w:r>
          </w:p>
        </w:tc>
        <w:tc>
          <w:tcPr>
            <w:tcW w:w="2457" w:type="pct"/>
            <w:gridSpan w:val="4"/>
            <w:vMerge w:val="continue"/>
            <w:vAlign w:val="center"/>
          </w:tcPr>
          <w:p w14:paraId="3821766D">
            <w:pPr>
              <w:jc w:val="center"/>
              <w:rPr>
                <w:rFonts w:ascii="Times New Roman"/>
                <w:sz w:val="21"/>
                <w:szCs w:val="21"/>
              </w:rPr>
            </w:pPr>
          </w:p>
        </w:tc>
      </w:tr>
      <w:tr w14:paraId="02F8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restart"/>
            <w:vAlign w:val="center"/>
          </w:tcPr>
          <w:p w14:paraId="0776BAC1">
            <w:pPr>
              <w:jc w:val="center"/>
              <w:rPr>
                <w:rFonts w:ascii="Times New Roman"/>
                <w:sz w:val="21"/>
                <w:szCs w:val="21"/>
              </w:rPr>
            </w:pPr>
            <w:r>
              <w:rPr>
                <w:rFonts w:ascii="Times New Roman"/>
                <w:sz w:val="21"/>
                <w:szCs w:val="21"/>
              </w:rPr>
              <w:t>防渗工程</w:t>
            </w:r>
          </w:p>
        </w:tc>
        <w:tc>
          <w:tcPr>
            <w:tcW w:w="1112" w:type="pct"/>
            <w:gridSpan w:val="3"/>
            <w:vAlign w:val="center"/>
          </w:tcPr>
          <w:p w14:paraId="0B1AC690">
            <w:pPr>
              <w:jc w:val="center"/>
              <w:rPr>
                <w:rFonts w:ascii="Times New Roman"/>
                <w:bCs/>
                <w:sz w:val="21"/>
                <w:szCs w:val="21"/>
              </w:rPr>
            </w:pPr>
            <w:r>
              <w:rPr>
                <w:rFonts w:ascii="Times New Roman"/>
                <w:bCs/>
                <w:sz w:val="21"/>
                <w:szCs w:val="21"/>
              </w:rPr>
              <w:t>分级</w:t>
            </w:r>
          </w:p>
        </w:tc>
        <w:tc>
          <w:tcPr>
            <w:tcW w:w="2392" w:type="pct"/>
            <w:gridSpan w:val="4"/>
            <w:vAlign w:val="center"/>
          </w:tcPr>
          <w:p w14:paraId="48717AE4">
            <w:pPr>
              <w:jc w:val="center"/>
              <w:rPr>
                <w:rFonts w:ascii="Times New Roman"/>
                <w:bCs/>
                <w:spacing w:val="-6"/>
                <w:sz w:val="21"/>
                <w:szCs w:val="21"/>
              </w:rPr>
            </w:pPr>
            <w:r>
              <w:rPr>
                <w:rFonts w:ascii="Times New Roman"/>
                <w:bCs/>
                <w:sz w:val="21"/>
                <w:szCs w:val="21"/>
              </w:rPr>
              <w:t>项目</w:t>
            </w:r>
            <w:r>
              <w:rPr>
                <w:rFonts w:hint="eastAsia" w:ascii="Times New Roman"/>
                <w:bCs/>
                <w:sz w:val="21"/>
                <w:szCs w:val="21"/>
              </w:rPr>
              <w:t>区域</w:t>
            </w:r>
          </w:p>
        </w:tc>
        <w:tc>
          <w:tcPr>
            <w:tcW w:w="1234" w:type="pct"/>
            <w:vAlign w:val="center"/>
          </w:tcPr>
          <w:p w14:paraId="3B53EF6F">
            <w:pPr>
              <w:jc w:val="center"/>
              <w:rPr>
                <w:rFonts w:ascii="Times New Roman"/>
                <w:bCs/>
                <w:sz w:val="21"/>
                <w:szCs w:val="21"/>
              </w:rPr>
            </w:pPr>
            <w:r>
              <w:rPr>
                <w:rFonts w:ascii="Times New Roman"/>
                <w:bCs/>
                <w:sz w:val="21"/>
                <w:szCs w:val="21"/>
              </w:rPr>
              <w:t>防渗技术要求</w:t>
            </w:r>
          </w:p>
        </w:tc>
      </w:tr>
      <w:tr w14:paraId="51C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261" w:type="pct"/>
            <w:vMerge w:val="continue"/>
            <w:vAlign w:val="center"/>
          </w:tcPr>
          <w:p w14:paraId="55807113">
            <w:pPr>
              <w:jc w:val="center"/>
              <w:rPr>
                <w:rFonts w:ascii="Times New Roman"/>
                <w:sz w:val="21"/>
                <w:szCs w:val="21"/>
              </w:rPr>
            </w:pPr>
          </w:p>
        </w:tc>
        <w:tc>
          <w:tcPr>
            <w:tcW w:w="1112" w:type="pct"/>
            <w:gridSpan w:val="3"/>
            <w:vAlign w:val="center"/>
          </w:tcPr>
          <w:p w14:paraId="151AEFFC">
            <w:pPr>
              <w:jc w:val="center"/>
              <w:rPr>
                <w:rFonts w:ascii="Times New Roman"/>
                <w:sz w:val="21"/>
                <w:szCs w:val="21"/>
              </w:rPr>
            </w:pPr>
            <w:r>
              <w:rPr>
                <w:rFonts w:ascii="Times New Roman"/>
                <w:bCs/>
                <w:sz w:val="21"/>
                <w:szCs w:val="21"/>
              </w:rPr>
              <w:t>重点防渗区</w:t>
            </w:r>
          </w:p>
        </w:tc>
        <w:tc>
          <w:tcPr>
            <w:tcW w:w="2392" w:type="pct"/>
            <w:gridSpan w:val="4"/>
            <w:vAlign w:val="center"/>
          </w:tcPr>
          <w:p w14:paraId="510A285A">
            <w:pPr>
              <w:jc w:val="center"/>
              <w:rPr>
                <w:rFonts w:ascii="Times New Roman"/>
                <w:sz w:val="21"/>
                <w:szCs w:val="21"/>
              </w:rPr>
            </w:pPr>
            <w:r>
              <w:rPr>
                <w:rFonts w:hint="eastAsia" w:ascii="Times New Roman"/>
                <w:bCs/>
                <w:sz w:val="21"/>
                <w:szCs w:val="21"/>
              </w:rPr>
              <w:t>表面涂装区</w:t>
            </w:r>
            <w:r>
              <w:rPr>
                <w:rFonts w:ascii="Times New Roman"/>
                <w:bCs/>
                <w:sz w:val="21"/>
                <w:szCs w:val="21"/>
              </w:rPr>
              <w:t>、</w:t>
            </w:r>
            <w:r>
              <w:rPr>
                <w:rFonts w:hint="eastAsia" w:ascii="Times New Roman"/>
                <w:bCs/>
                <w:sz w:val="21"/>
                <w:szCs w:val="21"/>
              </w:rPr>
              <w:t>消防水池、污水处理站</w:t>
            </w:r>
            <w:r>
              <w:rPr>
                <w:rFonts w:ascii="Times New Roman"/>
                <w:bCs/>
                <w:sz w:val="21"/>
                <w:szCs w:val="21"/>
              </w:rPr>
              <w:t>、</w:t>
            </w:r>
            <w:r>
              <w:rPr>
                <w:rFonts w:hint="eastAsia" w:ascii="Times New Roman"/>
                <w:bCs/>
                <w:sz w:val="21"/>
                <w:szCs w:val="21"/>
              </w:rPr>
              <w:t>危化库</w:t>
            </w:r>
            <w:r>
              <w:rPr>
                <w:rFonts w:ascii="Times New Roman"/>
                <w:bCs/>
                <w:sz w:val="21"/>
                <w:szCs w:val="21"/>
              </w:rPr>
              <w:t>、危废</w:t>
            </w:r>
            <w:r>
              <w:rPr>
                <w:rFonts w:hint="eastAsia" w:ascii="Times New Roman"/>
                <w:bCs/>
                <w:sz w:val="21"/>
                <w:szCs w:val="21"/>
              </w:rPr>
              <w:t>库</w:t>
            </w:r>
          </w:p>
        </w:tc>
        <w:tc>
          <w:tcPr>
            <w:tcW w:w="1234" w:type="pct"/>
            <w:vAlign w:val="center"/>
          </w:tcPr>
          <w:p w14:paraId="0A929058">
            <w:pPr>
              <w:jc w:val="center"/>
              <w:rPr>
                <w:rFonts w:ascii="Times New Roman"/>
                <w:sz w:val="21"/>
                <w:szCs w:val="21"/>
              </w:rPr>
            </w:pPr>
            <w:r>
              <w:rPr>
                <w:rFonts w:ascii="Times New Roman"/>
                <w:bCs/>
                <w:sz w:val="21"/>
                <w:szCs w:val="21"/>
              </w:rPr>
              <w:t>K≤1×10</w:t>
            </w:r>
            <w:r>
              <w:rPr>
                <w:rFonts w:ascii="Times New Roman"/>
                <w:bCs/>
                <w:sz w:val="21"/>
                <w:szCs w:val="21"/>
                <w:vertAlign w:val="superscript"/>
              </w:rPr>
              <w:t>-10</w:t>
            </w:r>
            <w:r>
              <w:rPr>
                <w:rFonts w:ascii="Times New Roman"/>
                <w:bCs/>
                <w:sz w:val="21"/>
                <w:szCs w:val="21"/>
              </w:rPr>
              <w:t>cm/s</w:t>
            </w:r>
          </w:p>
        </w:tc>
      </w:tr>
      <w:tr w14:paraId="7C58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46485584">
            <w:pPr>
              <w:jc w:val="center"/>
              <w:rPr>
                <w:rFonts w:ascii="Times New Roman"/>
                <w:sz w:val="21"/>
                <w:szCs w:val="21"/>
              </w:rPr>
            </w:pPr>
          </w:p>
        </w:tc>
        <w:tc>
          <w:tcPr>
            <w:tcW w:w="1112" w:type="pct"/>
            <w:gridSpan w:val="3"/>
            <w:vAlign w:val="center"/>
          </w:tcPr>
          <w:p w14:paraId="005A3636">
            <w:pPr>
              <w:jc w:val="center"/>
              <w:rPr>
                <w:rFonts w:ascii="Times New Roman"/>
                <w:sz w:val="21"/>
                <w:szCs w:val="21"/>
              </w:rPr>
            </w:pPr>
            <w:r>
              <w:rPr>
                <w:rFonts w:ascii="Times New Roman"/>
                <w:bCs/>
                <w:sz w:val="21"/>
                <w:szCs w:val="21"/>
              </w:rPr>
              <w:t>一般防渗区</w:t>
            </w:r>
          </w:p>
        </w:tc>
        <w:tc>
          <w:tcPr>
            <w:tcW w:w="2392" w:type="pct"/>
            <w:gridSpan w:val="4"/>
            <w:vAlign w:val="center"/>
          </w:tcPr>
          <w:p w14:paraId="298E1DBB">
            <w:pPr>
              <w:jc w:val="center"/>
              <w:rPr>
                <w:rFonts w:ascii="Times New Roman"/>
                <w:sz w:val="21"/>
                <w:szCs w:val="21"/>
              </w:rPr>
            </w:pPr>
            <w:r>
              <w:rPr>
                <w:rFonts w:ascii="Times New Roman"/>
                <w:bCs/>
                <w:sz w:val="21"/>
                <w:szCs w:val="21"/>
              </w:rPr>
              <w:t>车间其他区域</w:t>
            </w:r>
            <w:r>
              <w:rPr>
                <w:rFonts w:hint="eastAsia" w:ascii="Times New Roman"/>
                <w:bCs/>
                <w:sz w:val="21"/>
                <w:szCs w:val="21"/>
              </w:rPr>
              <w:t>、</w:t>
            </w:r>
            <w:r>
              <w:rPr>
                <w:rFonts w:ascii="Times New Roman"/>
                <w:sz w:val="21"/>
                <w:szCs w:val="21"/>
              </w:rPr>
              <w:t>垃圾回收房</w:t>
            </w:r>
            <w:r>
              <w:rPr>
                <w:rFonts w:hint="eastAsia" w:ascii="Times New Roman"/>
                <w:sz w:val="21"/>
                <w:szCs w:val="21"/>
              </w:rPr>
              <w:t>等</w:t>
            </w:r>
          </w:p>
        </w:tc>
        <w:tc>
          <w:tcPr>
            <w:tcW w:w="1234" w:type="pct"/>
            <w:vAlign w:val="center"/>
          </w:tcPr>
          <w:p w14:paraId="0EEAC4E2">
            <w:pPr>
              <w:jc w:val="center"/>
              <w:rPr>
                <w:rFonts w:ascii="Times New Roman"/>
                <w:sz w:val="21"/>
                <w:szCs w:val="21"/>
              </w:rPr>
            </w:pPr>
            <w:r>
              <w:rPr>
                <w:rFonts w:ascii="Times New Roman"/>
                <w:sz w:val="21"/>
                <w:szCs w:val="21"/>
              </w:rPr>
              <w:t>K≤1×10</w:t>
            </w:r>
            <w:r>
              <w:rPr>
                <w:rFonts w:ascii="Times New Roman"/>
                <w:sz w:val="21"/>
                <w:szCs w:val="21"/>
                <w:vertAlign w:val="superscript"/>
              </w:rPr>
              <w:t>-7</w:t>
            </w:r>
            <w:r>
              <w:rPr>
                <w:rFonts w:ascii="Times New Roman"/>
                <w:sz w:val="21"/>
                <w:szCs w:val="21"/>
              </w:rPr>
              <w:t>cm/s</w:t>
            </w:r>
          </w:p>
        </w:tc>
      </w:tr>
      <w:tr w14:paraId="79B1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Merge w:val="continue"/>
            <w:vAlign w:val="center"/>
          </w:tcPr>
          <w:p w14:paraId="50C8B3ED">
            <w:pPr>
              <w:jc w:val="center"/>
              <w:rPr>
                <w:rFonts w:ascii="Times New Roman"/>
                <w:sz w:val="21"/>
                <w:szCs w:val="21"/>
              </w:rPr>
            </w:pPr>
          </w:p>
        </w:tc>
        <w:tc>
          <w:tcPr>
            <w:tcW w:w="1112" w:type="pct"/>
            <w:gridSpan w:val="3"/>
            <w:vAlign w:val="center"/>
          </w:tcPr>
          <w:p w14:paraId="0C971862">
            <w:pPr>
              <w:jc w:val="center"/>
              <w:rPr>
                <w:rFonts w:ascii="Times New Roman"/>
                <w:sz w:val="21"/>
                <w:szCs w:val="16"/>
              </w:rPr>
            </w:pPr>
            <w:r>
              <w:rPr>
                <w:rFonts w:ascii="Times New Roman"/>
                <w:bCs/>
                <w:sz w:val="21"/>
                <w:szCs w:val="21"/>
              </w:rPr>
              <w:t>简单防渗区</w:t>
            </w:r>
          </w:p>
        </w:tc>
        <w:tc>
          <w:tcPr>
            <w:tcW w:w="2392" w:type="pct"/>
            <w:gridSpan w:val="4"/>
            <w:vAlign w:val="center"/>
          </w:tcPr>
          <w:p w14:paraId="53D4213C">
            <w:pPr>
              <w:jc w:val="center"/>
              <w:rPr>
                <w:rFonts w:ascii="Times New Roman"/>
                <w:sz w:val="21"/>
                <w:szCs w:val="16"/>
              </w:rPr>
            </w:pPr>
            <w:r>
              <w:rPr>
                <w:rFonts w:ascii="Times New Roman"/>
                <w:bCs/>
                <w:sz w:val="21"/>
                <w:szCs w:val="21"/>
              </w:rPr>
              <w:t>除绿化外其他全部区域</w:t>
            </w:r>
          </w:p>
        </w:tc>
        <w:tc>
          <w:tcPr>
            <w:tcW w:w="1234" w:type="pct"/>
            <w:vAlign w:val="center"/>
          </w:tcPr>
          <w:p w14:paraId="13D17F32">
            <w:pPr>
              <w:jc w:val="center"/>
              <w:rPr>
                <w:rFonts w:ascii="Times New Roman"/>
                <w:sz w:val="21"/>
                <w:szCs w:val="16"/>
              </w:rPr>
            </w:pPr>
            <w:r>
              <w:rPr>
                <w:rFonts w:ascii="Times New Roman"/>
                <w:sz w:val="21"/>
                <w:szCs w:val="21"/>
              </w:rPr>
              <w:t>一般水泥硬化</w:t>
            </w:r>
          </w:p>
        </w:tc>
      </w:tr>
      <w:tr w14:paraId="46F0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vAlign w:val="center"/>
          </w:tcPr>
          <w:p w14:paraId="39E0F47F">
            <w:pPr>
              <w:jc w:val="center"/>
              <w:rPr>
                <w:rFonts w:ascii="Times New Roman"/>
                <w:sz w:val="21"/>
                <w:szCs w:val="16"/>
              </w:rPr>
            </w:pPr>
            <w:r>
              <w:rPr>
                <w:rFonts w:ascii="Times New Roman"/>
                <w:sz w:val="21"/>
                <w:szCs w:val="16"/>
              </w:rPr>
              <w:t>应急预案</w:t>
            </w:r>
          </w:p>
        </w:tc>
        <w:tc>
          <w:tcPr>
            <w:tcW w:w="4738" w:type="pct"/>
            <w:gridSpan w:val="8"/>
            <w:tcBorders>
              <w:bottom w:val="single" w:color="auto" w:sz="4" w:space="0"/>
            </w:tcBorders>
            <w:vAlign w:val="center"/>
          </w:tcPr>
          <w:p w14:paraId="550455E3">
            <w:pPr>
              <w:jc w:val="left"/>
              <w:rPr>
                <w:rFonts w:ascii="Times New Roman"/>
                <w:sz w:val="21"/>
                <w:szCs w:val="16"/>
              </w:rPr>
            </w:pPr>
            <w:r>
              <w:rPr>
                <w:rFonts w:ascii="Times New Roman"/>
                <w:sz w:val="21"/>
                <w:szCs w:val="16"/>
              </w:rPr>
              <w:t>编制突发环境事故应急预案，并报主管环保管理部门备案，定期开展应急演练。</w:t>
            </w:r>
          </w:p>
        </w:tc>
      </w:tr>
      <w:tr w14:paraId="19FB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1" w:type="pct"/>
            <w:tcBorders>
              <w:right w:val="single" w:color="auto" w:sz="4" w:space="0"/>
            </w:tcBorders>
            <w:vAlign w:val="center"/>
          </w:tcPr>
          <w:p w14:paraId="378F16C5">
            <w:pPr>
              <w:jc w:val="center"/>
              <w:rPr>
                <w:rFonts w:ascii="Times New Roman"/>
                <w:sz w:val="21"/>
                <w:szCs w:val="21"/>
              </w:rPr>
            </w:pPr>
            <w:r>
              <w:rPr>
                <w:rFonts w:ascii="Times New Roman"/>
                <w:sz w:val="21"/>
                <w:szCs w:val="21"/>
              </w:rPr>
              <w:t>其他</w:t>
            </w:r>
          </w:p>
        </w:tc>
        <w:tc>
          <w:tcPr>
            <w:tcW w:w="4738" w:type="pct"/>
            <w:gridSpan w:val="8"/>
            <w:tcBorders>
              <w:top w:val="single" w:color="auto" w:sz="4" w:space="0"/>
              <w:left w:val="single" w:color="auto" w:sz="4" w:space="0"/>
              <w:bottom w:val="single" w:color="auto" w:sz="4" w:space="0"/>
              <w:right w:val="single" w:color="auto" w:sz="4" w:space="0"/>
            </w:tcBorders>
            <w:vAlign w:val="center"/>
          </w:tcPr>
          <w:p w14:paraId="35FA3688">
            <w:pPr>
              <w:jc w:val="left"/>
              <w:rPr>
                <w:rFonts w:ascii="Times New Roman"/>
              </w:rPr>
            </w:pPr>
            <w:r>
              <w:rPr>
                <w:rFonts w:hint="eastAsia" w:ascii="Times New Roman"/>
                <w:sz w:val="21"/>
                <w:szCs w:val="16"/>
              </w:rPr>
              <w:t>①</w:t>
            </w:r>
            <w:r>
              <w:rPr>
                <w:rFonts w:ascii="Times New Roman"/>
                <w:sz w:val="21"/>
                <w:szCs w:val="16"/>
              </w:rPr>
              <w:t>所有生产设备和治理设施采取分表计电方式，并与生态环境部门联网；</w:t>
            </w:r>
            <w:r>
              <w:rPr>
                <w:rFonts w:hint="eastAsia" w:ascii="Times New Roman"/>
                <w:sz w:val="21"/>
                <w:szCs w:val="16"/>
              </w:rPr>
              <w:t>②</w:t>
            </w:r>
            <w:r>
              <w:rPr>
                <w:rFonts w:ascii="Times New Roman"/>
                <w:sz w:val="21"/>
                <w:szCs w:val="16"/>
              </w:rPr>
              <w:t>各排污点建设规范排污口，设立标志牌、采样平台，并建立规范化排污口档案；</w:t>
            </w:r>
            <w:r>
              <w:rPr>
                <w:rFonts w:hint="eastAsia" w:ascii="Times New Roman"/>
                <w:sz w:val="21"/>
                <w:szCs w:val="16"/>
              </w:rPr>
              <w:t>③</w:t>
            </w:r>
            <w:r>
              <w:rPr>
                <w:rFonts w:ascii="Times New Roman"/>
                <w:sz w:val="21"/>
                <w:szCs w:val="16"/>
              </w:rPr>
              <w:t>加强VOCs污染控制及治理设施运行记录管理</w:t>
            </w:r>
            <w:r>
              <w:rPr>
                <w:rFonts w:hint="eastAsia" w:ascii="Times New Roman"/>
                <w:sz w:val="21"/>
                <w:szCs w:val="16"/>
              </w:rPr>
              <w:t>；④排气筒DA009安装在线监测设施；联合厂房、托辊及装配厂房主要出入口安装VOCs超标报警传感装置</w:t>
            </w:r>
            <w:r>
              <w:rPr>
                <w:rFonts w:ascii="Times New Roman"/>
                <w:sz w:val="21"/>
                <w:szCs w:val="16"/>
              </w:rPr>
              <w:t>，并与生态环境部门联网。</w:t>
            </w:r>
          </w:p>
        </w:tc>
      </w:tr>
    </w:tbl>
    <w:p w14:paraId="6178B7E8">
      <w:pPr>
        <w:spacing w:line="500" w:lineRule="exact"/>
        <w:ind w:left="-7" w:leftChars="-3" w:firstLine="480" w:firstLineChars="200"/>
        <w:rPr>
          <w:rFonts w:ascii="Times New Roman"/>
          <w:sz w:val="24"/>
          <w:szCs w:val="20"/>
        </w:rPr>
        <w:sectPr>
          <w:pgSz w:w="16838" w:h="11906" w:orient="landscape"/>
          <w:pgMar w:top="1800" w:right="1440" w:bottom="1800" w:left="1440" w:header="1474" w:footer="1474" w:gutter="0"/>
          <w:cols w:space="425" w:num="1"/>
          <w:docGrid w:type="lines" w:linePitch="340" w:charSpace="0"/>
        </w:sectPr>
      </w:pPr>
    </w:p>
    <w:p w14:paraId="16DB1A8F">
      <w:pPr>
        <w:spacing w:line="520" w:lineRule="exact"/>
        <w:outlineLvl w:val="2"/>
        <w:rPr>
          <w:rFonts w:ascii="Times New Roman"/>
          <w:b/>
          <w:sz w:val="28"/>
          <w:szCs w:val="28"/>
        </w:rPr>
      </w:pPr>
      <w:r>
        <w:rPr>
          <w:rFonts w:ascii="Times New Roman"/>
          <w:b/>
          <w:sz w:val="28"/>
          <w:szCs w:val="28"/>
        </w:rPr>
        <w:t>9.1.1建设项目情况</w:t>
      </w:r>
    </w:p>
    <w:p w14:paraId="40B1946B">
      <w:pPr>
        <w:tabs>
          <w:tab w:val="left" w:pos="0"/>
        </w:tabs>
        <w:spacing w:line="480" w:lineRule="exact"/>
        <w:ind w:firstLine="460" w:firstLineChars="192"/>
        <w:rPr>
          <w:rFonts w:ascii="Times New Roman"/>
          <w:sz w:val="24"/>
          <w:szCs w:val="24"/>
        </w:rPr>
      </w:pPr>
      <w:r>
        <w:rPr>
          <w:rFonts w:ascii="Times New Roman"/>
          <w:sz w:val="24"/>
          <w:szCs w:val="24"/>
        </w:rPr>
        <w:t>（1）项目名称：数字孪生智能输送机生产项目。</w:t>
      </w:r>
    </w:p>
    <w:p w14:paraId="64F0A67A">
      <w:pPr>
        <w:tabs>
          <w:tab w:val="left" w:pos="0"/>
        </w:tabs>
        <w:spacing w:line="480" w:lineRule="exact"/>
        <w:ind w:firstLine="460" w:firstLineChars="192"/>
        <w:rPr>
          <w:rFonts w:ascii="Times New Roman"/>
          <w:sz w:val="24"/>
          <w:szCs w:val="24"/>
        </w:rPr>
      </w:pPr>
      <w:r>
        <w:rPr>
          <w:rFonts w:ascii="Times New Roman"/>
          <w:sz w:val="24"/>
          <w:szCs w:val="24"/>
        </w:rPr>
        <w:t>（2）建设单位：运机(唐山)装备有限公司。</w:t>
      </w:r>
    </w:p>
    <w:p w14:paraId="4F4A13E8">
      <w:pPr>
        <w:tabs>
          <w:tab w:val="left" w:pos="0"/>
        </w:tabs>
        <w:spacing w:line="480" w:lineRule="exact"/>
        <w:ind w:firstLine="460" w:firstLineChars="192"/>
        <w:rPr>
          <w:rFonts w:ascii="Times New Roman"/>
          <w:sz w:val="24"/>
          <w:szCs w:val="24"/>
        </w:rPr>
      </w:pPr>
      <w:r>
        <w:rPr>
          <w:rFonts w:ascii="Times New Roman"/>
          <w:sz w:val="24"/>
          <w:szCs w:val="24"/>
        </w:rPr>
        <w:t>（3）建设性质：新建。</w:t>
      </w:r>
    </w:p>
    <w:p w14:paraId="056BFFEF">
      <w:pPr>
        <w:tabs>
          <w:tab w:val="left" w:pos="0"/>
        </w:tabs>
        <w:spacing w:line="480" w:lineRule="exact"/>
        <w:ind w:firstLine="460" w:firstLineChars="192"/>
        <w:rPr>
          <w:rFonts w:ascii="Times New Roman"/>
          <w:sz w:val="24"/>
          <w:szCs w:val="24"/>
        </w:rPr>
      </w:pPr>
      <w:r>
        <w:rPr>
          <w:rFonts w:ascii="Times New Roman"/>
          <w:sz w:val="24"/>
          <w:szCs w:val="24"/>
        </w:rPr>
        <w:t>（4）建设地点：项目位于曹妃甸工业区装备制造园区，厂址中心位置地理坐标为：东经118°30′14.633″，北纬39°5′17.177″。厂区西侧、东侧、北侧为空地，南侧为华电曹妃甸重工装备有限公司。项目地理位置见附图1，项目周边关系见附图2。</w:t>
      </w:r>
    </w:p>
    <w:p w14:paraId="2F5D971F">
      <w:pPr>
        <w:tabs>
          <w:tab w:val="left" w:pos="0"/>
        </w:tabs>
        <w:spacing w:line="480" w:lineRule="exact"/>
        <w:ind w:firstLine="460" w:firstLineChars="192"/>
        <w:rPr>
          <w:rFonts w:ascii="Times New Roman"/>
          <w:sz w:val="24"/>
          <w:szCs w:val="24"/>
        </w:rPr>
      </w:pPr>
      <w:r>
        <w:rPr>
          <w:rFonts w:ascii="Times New Roman"/>
          <w:sz w:val="24"/>
          <w:szCs w:val="24"/>
        </w:rPr>
        <w:t>（5）工程投资：项目总投资48349.51万元，环保投资2000万元，环保投资占总投资的4.14%。</w:t>
      </w:r>
    </w:p>
    <w:p w14:paraId="472F5C04">
      <w:pPr>
        <w:tabs>
          <w:tab w:val="left" w:pos="0"/>
        </w:tabs>
        <w:spacing w:line="480" w:lineRule="exact"/>
        <w:ind w:firstLine="460" w:firstLineChars="192"/>
        <w:rPr>
          <w:rFonts w:ascii="Times New Roman"/>
          <w:sz w:val="24"/>
          <w:szCs w:val="24"/>
        </w:rPr>
      </w:pPr>
      <w:r>
        <w:rPr>
          <w:rFonts w:ascii="Times New Roman"/>
          <w:sz w:val="24"/>
          <w:szCs w:val="24"/>
        </w:rPr>
        <w:t>（6）占地面积：</w:t>
      </w:r>
      <w:r>
        <w:rPr>
          <w:rFonts w:ascii="Times New Roman"/>
          <w:sz w:val="24"/>
          <w:szCs w:val="20"/>
        </w:rPr>
        <w:t>项目总占地面积300亩（200000m</w:t>
      </w:r>
      <w:r>
        <w:rPr>
          <w:rFonts w:ascii="Times New Roman"/>
          <w:sz w:val="24"/>
          <w:szCs w:val="20"/>
          <w:vertAlign w:val="superscript"/>
        </w:rPr>
        <w:t>2</w:t>
      </w:r>
      <w:r>
        <w:rPr>
          <w:rFonts w:ascii="Times New Roman"/>
          <w:sz w:val="24"/>
          <w:szCs w:val="20"/>
        </w:rPr>
        <w:t>）</w:t>
      </w:r>
      <w:r>
        <w:rPr>
          <w:rFonts w:ascii="Times New Roman"/>
          <w:sz w:val="24"/>
          <w:szCs w:val="24"/>
        </w:rPr>
        <w:t>。</w:t>
      </w:r>
    </w:p>
    <w:p w14:paraId="5C2F13E9">
      <w:pPr>
        <w:widowControl/>
        <w:spacing w:line="480" w:lineRule="exact"/>
        <w:ind w:firstLine="480" w:firstLineChars="200"/>
        <w:rPr>
          <w:rFonts w:ascii="Times New Roman"/>
          <w:sz w:val="24"/>
          <w:szCs w:val="20"/>
        </w:rPr>
      </w:pPr>
      <w:r>
        <w:rPr>
          <w:rFonts w:ascii="Times New Roman"/>
          <w:sz w:val="24"/>
          <w:szCs w:val="24"/>
        </w:rPr>
        <w:t>（7）</w:t>
      </w:r>
      <w:r>
        <w:rPr>
          <w:rFonts w:ascii="Times New Roman"/>
          <w:sz w:val="24"/>
          <w:szCs w:val="20"/>
        </w:rPr>
        <w:t>平面布置：本项目大门位于厂区西部和南部，紧邻道路，方便车辆进出。厂区主要分办公区及生产区两部分。研发中心（5F）位于厂区西南部，研发中心北侧为倒班宿舍（5F）和食堂（3F），东侧为消防水池和泵房(地下)。生产区位于厂区东侧和北侧，生产区有三个生产厂房。厂区西北侧为成品堆场和托辊及装配厂房，其中托辊及装配厂房从南至北依次为托辊区、结构件装配区、滚筒装配区。厂区东侧为联合厂房，联合厂房从南至北依次为原料库、下料区、焊接区、表面处理及涂装区。厂区西北侧角从西至东依次为垃圾回收房、危废</w:t>
      </w:r>
      <w:r>
        <w:rPr>
          <w:rFonts w:hint="eastAsia" w:ascii="Times New Roman"/>
          <w:sz w:val="24"/>
          <w:szCs w:val="20"/>
        </w:rPr>
        <w:t>库</w:t>
      </w:r>
      <w:r>
        <w:rPr>
          <w:rFonts w:ascii="Times New Roman"/>
          <w:sz w:val="24"/>
          <w:szCs w:val="20"/>
        </w:rPr>
        <w:t>、危化库、液气站。厂区将生产区及人员工作区有效分离，整个厂区建构筑物布局合理。项目厂区总平面布置见附图3。</w:t>
      </w:r>
    </w:p>
    <w:p w14:paraId="01505686">
      <w:pPr>
        <w:spacing w:line="480" w:lineRule="exact"/>
        <w:ind w:firstLine="480" w:firstLineChars="200"/>
        <w:rPr>
          <w:rFonts w:ascii="Times New Roman"/>
          <w:sz w:val="24"/>
          <w:szCs w:val="20"/>
        </w:rPr>
      </w:pPr>
      <w:r>
        <w:rPr>
          <w:rFonts w:ascii="Times New Roman"/>
          <w:sz w:val="24"/>
          <w:szCs w:val="20"/>
        </w:rPr>
        <w:t>（8）劳动定员及工作制度：项目劳动定员为600人</w:t>
      </w:r>
      <w:r>
        <w:rPr>
          <w:rFonts w:hint="eastAsia" w:ascii="Times New Roman"/>
          <w:sz w:val="24"/>
          <w:szCs w:val="20"/>
        </w:rPr>
        <w:t>。项目涂装生产线单班12小时工作制；板材下料生产线双班，单班作业时间10小时工作制；其它工序单班10小时工作制</w:t>
      </w:r>
      <w:r>
        <w:rPr>
          <w:rFonts w:ascii="Times New Roman"/>
          <w:sz w:val="24"/>
          <w:szCs w:val="20"/>
        </w:rPr>
        <w:t>。</w:t>
      </w:r>
    </w:p>
    <w:p w14:paraId="1B6635EC">
      <w:pPr>
        <w:spacing w:line="520" w:lineRule="exact"/>
        <w:outlineLvl w:val="2"/>
        <w:rPr>
          <w:rFonts w:ascii="Times New Roman"/>
          <w:b/>
          <w:sz w:val="28"/>
          <w:szCs w:val="28"/>
        </w:rPr>
      </w:pPr>
      <w:r>
        <w:rPr>
          <w:rFonts w:ascii="Times New Roman"/>
          <w:b/>
          <w:sz w:val="28"/>
          <w:szCs w:val="28"/>
        </w:rPr>
        <w:t>9.1.2项目选址</w:t>
      </w:r>
    </w:p>
    <w:p w14:paraId="0E30DC32">
      <w:pPr>
        <w:tabs>
          <w:tab w:val="left" w:pos="0"/>
        </w:tabs>
        <w:spacing w:line="480" w:lineRule="exact"/>
        <w:ind w:firstLine="460" w:firstLineChars="192"/>
        <w:rPr>
          <w:rFonts w:ascii="Times New Roman"/>
          <w:sz w:val="24"/>
          <w:szCs w:val="24"/>
        </w:rPr>
      </w:pPr>
      <w:r>
        <w:rPr>
          <w:rFonts w:ascii="Times New Roman"/>
          <w:sz w:val="24"/>
          <w:szCs w:val="24"/>
        </w:rPr>
        <w:t>本项目位于唐山市曹妃甸装备制造园区，厂址中心位置地理坐标为：东经118°30′14.633″，北纬39°5′17.177″。厂区西侧、东侧、北侧为空地，南侧为华电曹妃甸重工装备有限公司。项目占地为工业用地，符合土地利用规划。本项目行业类别为C3434连续搬运设备制造，符合园区产业定位；企业已于曹妃甸装备制造园区管理委员签订项目投资协议书，园区同意并支持项目建设。根据《曹妃甸循环经济示范区规划环境影响跟踪评价报告》，项目不属于环境准入负面清单内建设项目，项目所在区域附近无国家、省、市规定的重点文物保护单位、风景名胜区、革命历史古迹、集中式水源地等环境敏感点。</w:t>
      </w:r>
    </w:p>
    <w:p w14:paraId="73453B44">
      <w:pPr>
        <w:spacing w:line="520" w:lineRule="exact"/>
        <w:outlineLvl w:val="2"/>
        <w:rPr>
          <w:rFonts w:ascii="Times New Roman"/>
          <w:b/>
          <w:sz w:val="28"/>
          <w:szCs w:val="28"/>
        </w:rPr>
      </w:pPr>
      <w:r>
        <w:rPr>
          <w:rFonts w:ascii="Times New Roman"/>
          <w:b/>
          <w:sz w:val="28"/>
          <w:szCs w:val="28"/>
        </w:rPr>
        <w:t>9.1.3项目衔接</w:t>
      </w:r>
    </w:p>
    <w:p w14:paraId="6F1B5E11">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供电：由园区供电系统提供，年用电量为</w:t>
      </w:r>
      <w:r>
        <w:rPr>
          <w:rFonts w:hint="eastAsia" w:ascii="Times New Roman"/>
          <w:sz w:val="24"/>
          <w:szCs w:val="24"/>
        </w:rPr>
        <w:t>15950</w:t>
      </w:r>
      <w:r>
        <w:rPr>
          <w:rFonts w:ascii="Times New Roman"/>
          <w:sz w:val="24"/>
          <w:szCs w:val="24"/>
        </w:rPr>
        <w:t>kWh/a。</w:t>
      </w:r>
    </w:p>
    <w:p w14:paraId="32077616">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4"/>
        </w:rPr>
        <w:t>给水：由园区供水管网提供，新鲜用水量为93565.09m</w:t>
      </w:r>
      <w:r>
        <w:rPr>
          <w:rFonts w:hint="eastAsia"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sz w:val="24"/>
          <w:szCs w:val="24"/>
        </w:rPr>
        <w:t>。</w:t>
      </w:r>
    </w:p>
    <w:p w14:paraId="1E1D2713">
      <w:pPr>
        <w:autoSpaceDE w:val="0"/>
        <w:autoSpaceDN w:val="0"/>
        <w:adjustRightInd w:val="0"/>
        <w:snapToGrid w:val="0"/>
        <w:spacing w:line="360" w:lineRule="auto"/>
        <w:ind w:firstLine="480" w:firstLineChars="200"/>
        <w:rPr>
          <w:rFonts w:ascii="Times New Roman"/>
          <w:sz w:val="24"/>
          <w:szCs w:val="24"/>
        </w:rPr>
      </w:pPr>
      <w:r>
        <w:rPr>
          <w:rFonts w:ascii="Times New Roman"/>
          <w:sz w:val="24"/>
          <w:szCs w:val="20"/>
        </w:rPr>
        <w:t>排水：</w:t>
      </w:r>
      <w:r>
        <w:rPr>
          <w:rFonts w:ascii="Times New Roman"/>
          <w:bCs/>
          <w:sz w:val="24"/>
          <w:szCs w:val="24"/>
        </w:rPr>
        <w:t>项目废水主要为生产废水和生活废水，项目产生的职工生活污水</w:t>
      </w:r>
      <w:r>
        <w:rPr>
          <w:rFonts w:ascii="Times New Roman"/>
          <w:sz w:val="24"/>
          <w:szCs w:val="24"/>
        </w:rPr>
        <w:t>量按用水量的80%计，则生活废水（含食堂废水）量为32m</w:t>
      </w:r>
      <w:r>
        <w:rPr>
          <w:rFonts w:ascii="Times New Roman"/>
          <w:sz w:val="24"/>
          <w:szCs w:val="24"/>
          <w:vertAlign w:val="superscript"/>
        </w:rPr>
        <w:t>3</w:t>
      </w:r>
      <w:r>
        <w:rPr>
          <w:rFonts w:ascii="Times New Roman"/>
          <w:sz w:val="24"/>
          <w:szCs w:val="24"/>
        </w:rPr>
        <w:t>/d</w:t>
      </w:r>
      <w:r>
        <w:rPr>
          <w:rFonts w:ascii="Times New Roman"/>
          <w:kern w:val="0"/>
          <w:sz w:val="24"/>
          <w:szCs w:val="24"/>
        </w:rPr>
        <w:t>（9600m</w:t>
      </w:r>
      <w:r>
        <w:rPr>
          <w:rFonts w:ascii="Times New Roman"/>
          <w:kern w:val="0"/>
          <w:sz w:val="24"/>
          <w:szCs w:val="24"/>
          <w:vertAlign w:val="superscript"/>
        </w:rPr>
        <w:t>3</w:t>
      </w:r>
      <w:r>
        <w:rPr>
          <w:rFonts w:ascii="Times New Roman"/>
          <w:kern w:val="0"/>
          <w:sz w:val="24"/>
          <w:szCs w:val="24"/>
        </w:rPr>
        <w:t>/a）</w:t>
      </w:r>
      <w:r>
        <w:rPr>
          <w:rFonts w:ascii="Times New Roman"/>
          <w:sz w:val="24"/>
          <w:szCs w:val="24"/>
        </w:rPr>
        <w:t>，食堂废水采用隔油池预处理后，与日常生活污水一并入化粪池处理，</w:t>
      </w:r>
      <w:r>
        <w:rPr>
          <w:rFonts w:hint="eastAsia" w:ascii="Times New Roman"/>
          <w:sz w:val="24"/>
          <w:szCs w:val="24"/>
        </w:rPr>
        <w:t>后经</w:t>
      </w:r>
      <w:r>
        <w:rPr>
          <w:rFonts w:ascii="Times New Roman"/>
          <w:sz w:val="24"/>
          <w:szCs w:val="24"/>
        </w:rPr>
        <w:t>园区污水管网</w:t>
      </w:r>
      <w:r>
        <w:rPr>
          <w:rFonts w:hint="eastAsia" w:ascii="Times New Roman"/>
          <w:sz w:val="24"/>
          <w:szCs w:val="24"/>
        </w:rPr>
        <w:t>排</w:t>
      </w:r>
      <w:r>
        <w:rPr>
          <w:rFonts w:ascii="Times New Roman"/>
          <w:sz w:val="24"/>
          <w:szCs w:val="24"/>
        </w:rPr>
        <w:t>入园区污水处理厂进一步处理。</w:t>
      </w:r>
    </w:p>
    <w:p w14:paraId="64254266">
      <w:pPr>
        <w:autoSpaceDE w:val="0"/>
        <w:autoSpaceDN w:val="0"/>
        <w:adjustRightInd w:val="0"/>
        <w:snapToGrid w:val="0"/>
        <w:spacing w:line="360" w:lineRule="auto"/>
        <w:ind w:firstLine="500" w:firstLineChars="200"/>
        <w:rPr>
          <w:rFonts w:ascii="Times New Roman"/>
          <w:bCs/>
          <w:sz w:val="24"/>
          <w:szCs w:val="24"/>
        </w:rPr>
      </w:pPr>
      <w:r>
        <w:rPr>
          <w:rFonts w:hint="eastAsia"/>
        </w:rPr>
        <w:t>水洗</w:t>
      </w:r>
      <w:r>
        <w:rPr>
          <w:rFonts w:ascii="Times New Roman"/>
          <w:kern w:val="0"/>
          <w:sz w:val="24"/>
          <w:szCs w:val="24"/>
        </w:rPr>
        <w:t>（</w:t>
      </w:r>
      <w:r>
        <w:rPr>
          <w:rFonts w:hint="eastAsia" w:ascii="Times New Roman"/>
          <w:kern w:val="0"/>
          <w:sz w:val="24"/>
          <w:szCs w:val="24"/>
        </w:rPr>
        <w:t>140.6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、纯水洗2</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、电泳槽清洗</w:t>
      </w:r>
      <w:r>
        <w:rPr>
          <w:rFonts w:ascii="Times New Roman"/>
          <w:kern w:val="0"/>
          <w:sz w:val="24"/>
          <w:szCs w:val="24"/>
        </w:rPr>
        <w:t>（</w:t>
      </w:r>
      <w:r>
        <w:rPr>
          <w:rFonts w:hint="eastAsia" w:ascii="Times New Roman"/>
          <w:kern w:val="0"/>
          <w:sz w:val="24"/>
          <w:szCs w:val="24"/>
        </w:rPr>
        <w:t>12.744</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废水先经预处理反应斜管沉淀槽处理后，热水洗</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与预脱脂、脱脂、</w:t>
      </w:r>
      <w:r>
        <w:rPr>
          <w:rFonts w:hint="eastAsia" w:ascii="Times New Roman"/>
          <w:bCs/>
          <w:sz w:val="24"/>
          <w:szCs w:val="24"/>
        </w:rPr>
        <w:t>硅烷化</w:t>
      </w:r>
      <w:r>
        <w:rPr>
          <w:rFonts w:ascii="Times New Roman"/>
          <w:bCs/>
          <w:sz w:val="24"/>
          <w:szCs w:val="24"/>
        </w:rPr>
        <w:t>槽体清洗废水</w:t>
      </w:r>
      <w:r>
        <w:rPr>
          <w:rFonts w:ascii="Times New Roman"/>
          <w:kern w:val="0"/>
          <w:sz w:val="24"/>
          <w:szCs w:val="24"/>
        </w:rPr>
        <w:t>（</w:t>
      </w:r>
      <w:r>
        <w:rPr>
          <w:rFonts w:hint="eastAsia" w:ascii="Times New Roman"/>
          <w:kern w:val="0"/>
          <w:sz w:val="24"/>
          <w:szCs w:val="24"/>
        </w:rPr>
        <w:t>38.232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一同进入污水处理站“一体化气浮槽+综合反应斜管沉淀槽+综合芬顿反应槽+多介质过滤器+活性炭过滤器”系统进行处理，处理达标后由园区污水管网，入园区污水处理厂进一步处理。</w:t>
      </w:r>
    </w:p>
    <w:p w14:paraId="6DBB17D7">
      <w:pPr>
        <w:autoSpaceDE w:val="0"/>
        <w:autoSpaceDN w:val="0"/>
        <w:adjustRightInd w:val="0"/>
        <w:snapToGrid w:val="0"/>
        <w:spacing w:line="360" w:lineRule="auto"/>
        <w:ind w:firstLine="480" w:firstLineChars="200"/>
        <w:rPr>
          <w:rFonts w:ascii="Times New Roman"/>
          <w:bCs/>
          <w:sz w:val="24"/>
          <w:szCs w:val="24"/>
        </w:rPr>
      </w:pPr>
      <w:r>
        <w:rPr>
          <w:rFonts w:ascii="Times New Roman"/>
          <w:bCs/>
          <w:sz w:val="24"/>
          <w:szCs w:val="24"/>
        </w:rPr>
        <w:t>纯水制备废水</w:t>
      </w:r>
      <w:r>
        <w:rPr>
          <w:rFonts w:hint="eastAsia" w:ascii="Times New Roman"/>
          <w:bCs/>
          <w:sz w:val="24"/>
          <w:szCs w:val="24"/>
        </w:rPr>
        <w:t>(</w:t>
      </w:r>
      <w:r>
        <w:rPr>
          <w:rFonts w:hint="eastAsia" w:ascii="Times New Roman"/>
          <w:sz w:val="24"/>
          <w:szCs w:val="24"/>
        </w:rPr>
        <w:t>8145.49</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bCs/>
          <w:sz w:val="24"/>
          <w:szCs w:val="24"/>
        </w:rPr>
        <w:t>，直接由园区污水管网，入园区污水处理厂处理。</w:t>
      </w:r>
    </w:p>
    <w:p w14:paraId="53CD3841">
      <w:pPr>
        <w:spacing w:line="520" w:lineRule="exact"/>
        <w:outlineLvl w:val="2"/>
        <w:rPr>
          <w:rFonts w:ascii="Times New Roman"/>
          <w:b/>
          <w:sz w:val="28"/>
          <w:szCs w:val="28"/>
        </w:rPr>
      </w:pPr>
      <w:r>
        <w:rPr>
          <w:rFonts w:ascii="Times New Roman"/>
          <w:b/>
          <w:sz w:val="28"/>
          <w:szCs w:val="28"/>
        </w:rPr>
        <w:t>9.1.4产业政策</w:t>
      </w:r>
    </w:p>
    <w:p w14:paraId="29B62DD7">
      <w:pPr>
        <w:spacing w:line="480" w:lineRule="exact"/>
        <w:ind w:firstLine="480" w:firstLineChars="200"/>
        <w:rPr>
          <w:rFonts w:ascii="Times New Roman"/>
          <w:sz w:val="24"/>
          <w:szCs w:val="24"/>
        </w:rPr>
      </w:pPr>
      <w:r>
        <w:rPr>
          <w:rFonts w:ascii="Times New Roman"/>
          <w:sz w:val="24"/>
          <w:szCs w:val="24"/>
        </w:rPr>
        <w:t>根据《产业结构调整指导目录（2024年本）》可知，项目不属于其中的鼓励、限制或淘汰类，为允许类</w:t>
      </w:r>
      <w:r>
        <w:rPr>
          <w:rFonts w:hint="eastAsia" w:ascii="Times New Roman"/>
          <w:sz w:val="24"/>
          <w:szCs w:val="24"/>
        </w:rPr>
        <w:t>建设项目</w:t>
      </w:r>
      <w:r>
        <w:rPr>
          <w:rFonts w:ascii="Times New Roman"/>
          <w:sz w:val="24"/>
          <w:szCs w:val="24"/>
        </w:rPr>
        <w:t>。不属于《市场准入负面清单（2022年版）》中禁止准入类和许可准入类项目。本项目《河北省发展和改革委员会关于加强新建“两高”项目管理的通知》（冀发改环资[2022]691号）附件1“两高”项目管理目录中“两高”项目。不属于《环境保护综合名录（2021年版）》“高污染”、“高环境风险”、“高污染、高环境风险”项目。</w:t>
      </w:r>
    </w:p>
    <w:p w14:paraId="779C7082">
      <w:pPr>
        <w:spacing w:line="480" w:lineRule="exact"/>
        <w:ind w:firstLine="480" w:firstLineChars="200"/>
        <w:rPr>
          <w:rFonts w:ascii="Times New Roman"/>
          <w:sz w:val="24"/>
          <w:szCs w:val="24"/>
        </w:rPr>
      </w:pPr>
      <w:r>
        <w:rPr>
          <w:rFonts w:ascii="Times New Roman"/>
          <w:bCs/>
          <w:sz w:val="24"/>
          <w:szCs w:val="20"/>
        </w:rPr>
        <w:t>该</w:t>
      </w:r>
      <w:r>
        <w:rPr>
          <w:rFonts w:ascii="Times New Roman"/>
          <w:sz w:val="24"/>
          <w:szCs w:val="20"/>
        </w:rPr>
        <w:t>项目已取得唐山市曹妃甸区行政审批局出具的企业投资项目备案信息表（备案编号：唐曹审批投资备〔2024〕254号）</w:t>
      </w:r>
      <w:r>
        <w:rPr>
          <w:rFonts w:ascii="Times New Roman"/>
          <w:sz w:val="24"/>
          <w:szCs w:val="24"/>
        </w:rPr>
        <w:t>。</w:t>
      </w:r>
    </w:p>
    <w:p w14:paraId="706F45C3">
      <w:pPr>
        <w:spacing w:line="480" w:lineRule="exact"/>
        <w:ind w:firstLine="480" w:firstLineChars="200"/>
        <w:rPr>
          <w:rFonts w:ascii="Times New Roman"/>
          <w:sz w:val="24"/>
          <w:szCs w:val="20"/>
        </w:rPr>
      </w:pPr>
      <w:r>
        <w:rPr>
          <w:rFonts w:ascii="Times New Roman"/>
          <w:sz w:val="24"/>
          <w:szCs w:val="20"/>
        </w:rPr>
        <w:t>本项目建设符合国家产业政策的要求。</w:t>
      </w:r>
    </w:p>
    <w:p w14:paraId="6D13908B">
      <w:pPr>
        <w:spacing w:line="520" w:lineRule="exact"/>
        <w:outlineLvl w:val="2"/>
        <w:rPr>
          <w:rFonts w:ascii="Times New Roman"/>
          <w:b/>
          <w:sz w:val="28"/>
          <w:szCs w:val="28"/>
        </w:rPr>
      </w:pPr>
      <w:r>
        <w:rPr>
          <w:rFonts w:ascii="Times New Roman"/>
          <w:b/>
          <w:sz w:val="28"/>
          <w:szCs w:val="28"/>
        </w:rPr>
        <w:t>9.1.5环境质量现状</w:t>
      </w:r>
    </w:p>
    <w:p w14:paraId="50BF7DFA">
      <w:pPr>
        <w:spacing w:line="480" w:lineRule="exact"/>
        <w:ind w:firstLine="480" w:firstLineChars="200"/>
        <w:rPr>
          <w:rFonts w:ascii="Times New Roman"/>
          <w:sz w:val="24"/>
          <w:szCs w:val="24"/>
        </w:rPr>
      </w:pPr>
      <w:r>
        <w:rPr>
          <w:rFonts w:ascii="Times New Roman"/>
          <w:sz w:val="24"/>
          <w:szCs w:val="24"/>
        </w:rPr>
        <w:t>（1）环境空气质量现状</w:t>
      </w:r>
    </w:p>
    <w:p w14:paraId="356F6649">
      <w:pPr>
        <w:spacing w:line="460" w:lineRule="atLeast"/>
        <w:ind w:firstLine="480"/>
        <w:rPr>
          <w:rFonts w:ascii="Times New Roman"/>
          <w:sz w:val="24"/>
          <w:szCs w:val="24"/>
        </w:rPr>
      </w:pPr>
      <w:r>
        <w:rPr>
          <w:rFonts w:ascii="Times New Roman"/>
          <w:sz w:val="24"/>
          <w:szCs w:val="24"/>
        </w:rPr>
        <w:t>根据《唐山市生态环境状况公报2023年》，PM</w:t>
      </w:r>
      <w:r>
        <w:rPr>
          <w:rFonts w:hint="eastAsia" w:ascii="Times New Roman"/>
          <w:sz w:val="24"/>
          <w:szCs w:val="24"/>
          <w:vertAlign w:val="subscript"/>
        </w:rPr>
        <w:t>2.5</w:t>
      </w:r>
      <w:r>
        <w:rPr>
          <w:rFonts w:ascii="Times New Roman"/>
          <w:sz w:val="24"/>
          <w:szCs w:val="24"/>
        </w:rPr>
        <w:t>的</w:t>
      </w:r>
      <w:r>
        <w:rPr>
          <w:rFonts w:ascii="Times New Roman"/>
          <w:kern w:val="0"/>
          <w:sz w:val="24"/>
          <w:szCs w:val="24"/>
        </w:rPr>
        <w:t>年平均质量浓度</w:t>
      </w:r>
      <w:r>
        <w:rPr>
          <w:rFonts w:ascii="Times New Roman"/>
          <w:sz w:val="24"/>
          <w:szCs w:val="24"/>
        </w:rPr>
        <w:t>和O</w:t>
      </w:r>
      <w:r>
        <w:rPr>
          <w:rFonts w:ascii="Times New Roman"/>
          <w:sz w:val="24"/>
          <w:szCs w:val="24"/>
          <w:vertAlign w:val="subscript"/>
        </w:rPr>
        <w:t>3</w:t>
      </w:r>
      <w:r>
        <w:rPr>
          <w:rFonts w:ascii="Times New Roman"/>
          <w:sz w:val="24"/>
          <w:szCs w:val="24"/>
        </w:rPr>
        <w:t>的</w:t>
      </w:r>
      <w:r>
        <w:rPr>
          <w:rFonts w:ascii="Times New Roman"/>
          <w:kern w:val="0"/>
          <w:sz w:val="24"/>
          <w:szCs w:val="24"/>
        </w:rPr>
        <w:t>日最大8小时平均第90百分位平均浓度</w:t>
      </w:r>
      <w:r>
        <w:rPr>
          <w:rFonts w:ascii="Times New Roman"/>
          <w:sz w:val="24"/>
          <w:szCs w:val="24"/>
        </w:rPr>
        <w:t>不</w:t>
      </w:r>
      <w:r>
        <w:rPr>
          <w:rFonts w:ascii="Times New Roman"/>
          <w:kern w:val="0"/>
          <w:sz w:val="24"/>
          <w:szCs w:val="24"/>
        </w:rPr>
        <w:t>满足《环境空气质量标准》（GB3095-2012）中二级标准及其修改单</w:t>
      </w:r>
      <w:r>
        <w:rPr>
          <w:rFonts w:ascii="Times New Roman"/>
          <w:spacing w:val="4"/>
          <w:kern w:val="0"/>
          <w:sz w:val="24"/>
          <w:szCs w:val="24"/>
        </w:rPr>
        <w:t>，即项目所在区域为不达标区</w:t>
      </w:r>
      <w:r>
        <w:rPr>
          <w:rFonts w:ascii="Times New Roman"/>
          <w:sz w:val="24"/>
          <w:szCs w:val="24"/>
        </w:rPr>
        <w:t>。</w:t>
      </w:r>
    </w:p>
    <w:p w14:paraId="659C836B">
      <w:pPr>
        <w:spacing w:line="480" w:lineRule="exact"/>
        <w:ind w:firstLine="480" w:firstLineChars="200"/>
        <w:rPr>
          <w:rFonts w:ascii="Times New Roman"/>
          <w:snapToGrid w:val="0"/>
          <w:kern w:val="0"/>
          <w:sz w:val="24"/>
          <w:szCs w:val="24"/>
        </w:rPr>
      </w:pPr>
      <w:r>
        <w:rPr>
          <w:rFonts w:ascii="Times New Roman"/>
          <w:sz w:val="24"/>
          <w:szCs w:val="24"/>
        </w:rPr>
        <w:t>根据《唐山市空气质量综合指数“退后十”攻坚行动方案》可知，通过调整优化产业结构、能源结构，深入开展大气污染治理攻坚行动，切实改善环境空气质量，通过控制扬尘污染、削减燃煤总量、控制机动车污染和严把燃煤质量关等方面的行动，项目所在区域将会逐步得到改善</w:t>
      </w:r>
      <w:r>
        <w:rPr>
          <w:rFonts w:ascii="Times New Roman"/>
          <w:bCs/>
          <w:sz w:val="24"/>
          <w:szCs w:val="24"/>
        </w:rPr>
        <w:t>。</w:t>
      </w:r>
    </w:p>
    <w:p w14:paraId="27E0603C">
      <w:pPr>
        <w:spacing w:line="480" w:lineRule="exact"/>
        <w:ind w:firstLine="480" w:firstLineChars="200"/>
        <w:rPr>
          <w:rFonts w:ascii="Times New Roman"/>
          <w:sz w:val="24"/>
          <w:szCs w:val="24"/>
        </w:rPr>
      </w:pPr>
      <w:r>
        <w:rPr>
          <w:rFonts w:ascii="Times New Roman"/>
          <w:sz w:val="24"/>
          <w:szCs w:val="24"/>
        </w:rPr>
        <w:t>根据本项目现状监测结构，项目所在区域TSP满足《环境空气质量标准》（GB3095-2012）及修改单中的二级标准；非甲烷总烃小时浓度满足《环境空气质量 非甲烷总烃限值》（DB13/1577-2012）表1中标准；二甲苯满足《环境影响评价技术导则 大气环境》（HJ2.2-2018）中附录D其他污染物空气质量浓度参考限值要求。</w:t>
      </w:r>
    </w:p>
    <w:p w14:paraId="5AD2DE5F">
      <w:pPr>
        <w:spacing w:line="480" w:lineRule="exact"/>
        <w:ind w:firstLine="480" w:firstLineChars="200"/>
        <w:rPr>
          <w:rFonts w:ascii="Times New Roman"/>
          <w:sz w:val="24"/>
          <w:szCs w:val="24"/>
        </w:rPr>
      </w:pPr>
      <w:r>
        <w:rPr>
          <w:rFonts w:ascii="Times New Roman"/>
          <w:sz w:val="24"/>
          <w:szCs w:val="24"/>
        </w:rPr>
        <w:t>（2）地下水质量现状</w:t>
      </w:r>
    </w:p>
    <w:p w14:paraId="25A1D7FC">
      <w:pPr>
        <w:spacing w:line="480" w:lineRule="exact"/>
        <w:ind w:firstLine="480" w:firstLineChars="200"/>
        <w:jc w:val="left"/>
        <w:rPr>
          <w:rFonts w:ascii="Times New Roman"/>
          <w:sz w:val="24"/>
          <w:szCs w:val="24"/>
        </w:rPr>
      </w:pPr>
      <w:r>
        <w:rPr>
          <w:rFonts w:ascii="Times New Roman"/>
          <w:sz w:val="24"/>
          <w:szCs w:val="24"/>
        </w:rPr>
        <w:t>根据监测结果及统计分析，评价区潜水水质超标因子为：</w:t>
      </w:r>
      <w:r>
        <w:rPr>
          <w:rFonts w:ascii="Times New Roman"/>
          <w:kern w:val="0"/>
          <w:sz w:val="24"/>
          <w:szCs w:val="24"/>
        </w:rPr>
        <w:t>总硬度、溶解性总固体、氯化物和氟化物</w:t>
      </w:r>
      <w:r>
        <w:rPr>
          <w:rFonts w:ascii="Times New Roman"/>
          <w:sz w:val="24"/>
          <w:szCs w:val="24"/>
        </w:rPr>
        <w:t>，超标原因主要是由于评价区地处滨海海积平原地区，浅层水为无供水意义的咸水，是由于海水入侵及潜水蒸发的交替造成的，属原生地质环境问题。其余各监测因子均满足《地下水质量标准（GB/T14848-2017）Ⅲ类标准要求，</w:t>
      </w:r>
      <w:r>
        <w:rPr>
          <w:rFonts w:ascii="Times New Roman"/>
          <w:snapToGrid w:val="0"/>
          <w:kern w:val="0"/>
          <w:sz w:val="24"/>
          <w:szCs w:val="24"/>
        </w:rPr>
        <w:t>石油类满足</w:t>
      </w:r>
      <w:r>
        <w:rPr>
          <w:rFonts w:ascii="Times New Roman"/>
          <w:sz w:val="24"/>
          <w:szCs w:val="24"/>
        </w:rPr>
        <w:t>《地表水环境质量标准》（GB3838-2002）III类标准。</w:t>
      </w:r>
    </w:p>
    <w:p w14:paraId="389E03E5">
      <w:pPr>
        <w:spacing w:line="480" w:lineRule="exact"/>
        <w:ind w:firstLine="480" w:firstLineChars="200"/>
        <w:rPr>
          <w:rFonts w:ascii="Times New Roman"/>
          <w:sz w:val="24"/>
          <w:szCs w:val="24"/>
        </w:rPr>
      </w:pPr>
      <w:r>
        <w:rPr>
          <w:rFonts w:ascii="Times New Roman"/>
          <w:sz w:val="24"/>
          <w:szCs w:val="24"/>
        </w:rPr>
        <w:t>（3）声环境质量现状</w:t>
      </w:r>
    </w:p>
    <w:p w14:paraId="5E481A32">
      <w:pPr>
        <w:spacing w:line="480" w:lineRule="exact"/>
        <w:ind w:firstLine="480" w:firstLineChars="200"/>
        <w:rPr>
          <w:rFonts w:ascii="Times New Roman"/>
          <w:sz w:val="24"/>
          <w:szCs w:val="24"/>
        </w:rPr>
      </w:pPr>
      <w:r>
        <w:rPr>
          <w:rFonts w:ascii="Times New Roman"/>
          <w:sz w:val="24"/>
          <w:szCs w:val="24"/>
        </w:rPr>
        <w:t>项目厂界声环境监测值昼间和夜间值，满足《声环境质量标准》（GB3096-2008）3类标准要求。</w:t>
      </w:r>
    </w:p>
    <w:p w14:paraId="440880AB">
      <w:pPr>
        <w:spacing w:line="480" w:lineRule="exact"/>
        <w:ind w:firstLine="480" w:firstLineChars="200"/>
        <w:rPr>
          <w:rFonts w:ascii="Times New Roman"/>
          <w:sz w:val="24"/>
          <w:szCs w:val="24"/>
        </w:rPr>
      </w:pPr>
      <w:r>
        <w:rPr>
          <w:rFonts w:ascii="Times New Roman"/>
          <w:sz w:val="24"/>
          <w:szCs w:val="24"/>
        </w:rPr>
        <w:t>（4）土壤环境</w:t>
      </w:r>
    </w:p>
    <w:p w14:paraId="5A37508A">
      <w:pPr>
        <w:spacing w:line="480" w:lineRule="exact"/>
        <w:ind w:firstLine="480" w:firstLineChars="200"/>
        <w:rPr>
          <w:rFonts w:ascii="Times New Roman"/>
          <w:sz w:val="24"/>
          <w:szCs w:val="20"/>
        </w:rPr>
      </w:pPr>
      <w:r>
        <w:rPr>
          <w:rFonts w:ascii="Times New Roman"/>
          <w:kern w:val="0"/>
          <w:sz w:val="24"/>
          <w:szCs w:val="24"/>
        </w:rPr>
        <w:t>土壤环境质量现状评价结果可知，厂内外监测点位所有监测因子均符合</w:t>
      </w:r>
      <w:r>
        <w:rPr>
          <w:rFonts w:ascii="Times New Roman"/>
          <w:sz w:val="24"/>
          <w:szCs w:val="24"/>
        </w:rPr>
        <w:t>《土壤环境质量 建设用地土壤污染风险管控标准（试行）》（GB36600-2018）表1二类用地筛选值要求、《建设用地土壤污染风险筛选值》（DB13/T5216-2020）表1相关标准要求</w:t>
      </w:r>
      <w:r>
        <w:rPr>
          <w:rFonts w:ascii="Times New Roman"/>
          <w:kern w:val="0"/>
          <w:sz w:val="24"/>
          <w:szCs w:val="24"/>
        </w:rPr>
        <w:t>。土壤现状质量良好。</w:t>
      </w:r>
    </w:p>
    <w:p w14:paraId="31A8E9D8">
      <w:pPr>
        <w:spacing w:line="520" w:lineRule="exact"/>
        <w:outlineLvl w:val="2"/>
        <w:rPr>
          <w:rFonts w:ascii="Times New Roman"/>
          <w:b/>
          <w:sz w:val="28"/>
          <w:szCs w:val="28"/>
        </w:rPr>
      </w:pPr>
      <w:r>
        <w:rPr>
          <w:rFonts w:ascii="Times New Roman"/>
          <w:b/>
          <w:sz w:val="28"/>
          <w:szCs w:val="28"/>
        </w:rPr>
        <w:t>9.1.6拟采取环保措施的可行性</w:t>
      </w:r>
    </w:p>
    <w:p w14:paraId="215BC52C">
      <w:pPr>
        <w:spacing w:line="480" w:lineRule="exact"/>
        <w:ind w:firstLine="480" w:firstLineChars="200"/>
        <w:rPr>
          <w:rFonts w:ascii="Times New Roman"/>
          <w:sz w:val="24"/>
          <w:szCs w:val="20"/>
        </w:rPr>
      </w:pPr>
      <w:r>
        <w:rPr>
          <w:rFonts w:ascii="Times New Roman"/>
          <w:sz w:val="24"/>
          <w:szCs w:val="20"/>
        </w:rPr>
        <w:t>（1）废气污染源及治理措施可行性</w:t>
      </w:r>
    </w:p>
    <w:p w14:paraId="14BA0939">
      <w:pPr>
        <w:spacing w:line="480" w:lineRule="exact"/>
        <w:ind w:firstLine="480" w:firstLineChars="200"/>
        <w:rPr>
          <w:rFonts w:ascii="Times New Roman"/>
          <w:sz w:val="24"/>
          <w:szCs w:val="20"/>
        </w:rPr>
      </w:pPr>
      <w:r>
        <w:rPr>
          <w:rFonts w:hint="eastAsia" w:ascii="Times New Roman"/>
          <w:sz w:val="24"/>
          <w:szCs w:val="20"/>
        </w:rPr>
        <w:t>1、有组织废气</w:t>
      </w:r>
    </w:p>
    <w:p w14:paraId="4120BBFE">
      <w:pPr>
        <w:spacing w:line="480" w:lineRule="exact"/>
        <w:ind w:firstLine="480" w:firstLineChars="200"/>
        <w:rPr>
          <w:rFonts w:ascii="Times New Roman"/>
          <w:sz w:val="24"/>
          <w:szCs w:val="20"/>
        </w:rPr>
      </w:pPr>
      <w:r>
        <w:rPr>
          <w:rFonts w:ascii="Times New Roman"/>
          <w:sz w:val="24"/>
          <w:szCs w:val="20"/>
        </w:rPr>
        <w:t>①下料</w:t>
      </w:r>
      <w:r>
        <w:rPr>
          <w:rFonts w:hint="eastAsia" w:ascii="Times New Roman"/>
          <w:sz w:val="24"/>
          <w:szCs w:val="20"/>
        </w:rPr>
        <w:t>工序废气：</w:t>
      </w:r>
      <w:r>
        <w:rPr>
          <w:rFonts w:ascii="Times New Roman"/>
          <w:sz w:val="24"/>
          <w:szCs w:val="24"/>
        </w:rPr>
        <w:t>下料工序产生的烟尘经布袋除尘器处理后通过1根20m高排气筒（DA001）排放，颗粒物满足《钢铁工业大气污染物超低排放标准》（</w:t>
      </w:r>
      <w:r>
        <w:rPr>
          <w:rFonts w:hint="eastAsia" w:ascii="Times New Roman"/>
          <w:sz w:val="24"/>
          <w:szCs w:val="24"/>
        </w:rPr>
        <w:t>DB13/2169</w:t>
      </w:r>
      <w:r>
        <w:rPr>
          <w:rFonts w:ascii="Times New Roman"/>
          <w:sz w:val="24"/>
          <w:szCs w:val="24"/>
        </w:rPr>
        <w:t>-2018）表1轧钢“热处理炉、拉矫、精整、抛丸、修磨、焊接机及其他生产设施”排放限值要求；</w:t>
      </w:r>
    </w:p>
    <w:p w14:paraId="309535B2">
      <w:pPr>
        <w:spacing w:line="480" w:lineRule="exact"/>
        <w:ind w:firstLine="480" w:firstLineChars="200"/>
        <w:rPr>
          <w:rFonts w:ascii="Times New Roman"/>
          <w:sz w:val="24"/>
          <w:szCs w:val="20"/>
        </w:rPr>
      </w:pPr>
      <w:r>
        <w:rPr>
          <w:rFonts w:hint="eastAsia" w:ascii="Times New Roman"/>
          <w:sz w:val="24"/>
          <w:szCs w:val="20"/>
        </w:rPr>
        <w:t>②焊接、滚筒生产线废气：</w:t>
      </w:r>
      <w:r>
        <w:rPr>
          <w:rFonts w:ascii="Times New Roman"/>
          <w:sz w:val="24"/>
          <w:szCs w:val="24"/>
        </w:rPr>
        <w:t>项目（区域5、7）焊接废气经集气罩收集，引入</w:t>
      </w:r>
      <w:r>
        <w:rPr>
          <w:rFonts w:hint="eastAsia" w:ascii="Times New Roman"/>
          <w:sz w:val="24"/>
          <w:szCs w:val="24"/>
        </w:rPr>
        <w:t>滤筒</w:t>
      </w:r>
      <w:r>
        <w:rPr>
          <w:rFonts w:ascii="Times New Roman"/>
          <w:sz w:val="24"/>
          <w:szCs w:val="24"/>
        </w:rPr>
        <w:t>除尘器处理后通过1根20米高排气筒（DA002）排放；（区域6、8、13）焊接废气经集气罩收集，引入</w:t>
      </w:r>
      <w:r>
        <w:rPr>
          <w:rFonts w:hint="eastAsia" w:ascii="Times New Roman"/>
          <w:sz w:val="24"/>
          <w:szCs w:val="24"/>
        </w:rPr>
        <w:t>滤筒</w:t>
      </w:r>
      <w:r>
        <w:rPr>
          <w:rFonts w:ascii="Times New Roman"/>
          <w:sz w:val="24"/>
          <w:szCs w:val="24"/>
        </w:rPr>
        <w:t>除尘器处理后通过1根20米高排气筒（DA003）排放；（区域9、10、11、12）焊接废气经集气罩收集，引入</w:t>
      </w:r>
      <w:r>
        <w:rPr>
          <w:rFonts w:hint="eastAsia" w:ascii="Times New Roman"/>
          <w:sz w:val="24"/>
          <w:szCs w:val="24"/>
        </w:rPr>
        <w:t>滤筒</w:t>
      </w:r>
      <w:r>
        <w:rPr>
          <w:rFonts w:ascii="Times New Roman"/>
          <w:sz w:val="24"/>
          <w:szCs w:val="24"/>
        </w:rPr>
        <w:t>除尘器处理后通过1根20米高排气筒（DA004）排放。焊接废气颗粒物排放均满足《钢铁工业大气污染物超低排放标准》（DB13/2169-2018）表1轧钢“热处理炉、拉矫、精整、抛丸、修磨、焊接机及其他生产设施”排放限值要求</w:t>
      </w:r>
      <w:r>
        <w:rPr>
          <w:rFonts w:ascii="Times New Roman"/>
          <w:sz w:val="24"/>
          <w:szCs w:val="20"/>
        </w:rPr>
        <w:t>。</w:t>
      </w:r>
    </w:p>
    <w:p w14:paraId="45BCA79B">
      <w:pPr>
        <w:spacing w:line="480" w:lineRule="exact"/>
        <w:ind w:firstLine="480" w:firstLineChars="200"/>
        <w:rPr>
          <w:rFonts w:ascii="Times New Roman"/>
          <w:sz w:val="24"/>
          <w:szCs w:val="20"/>
        </w:rPr>
      </w:pPr>
      <w:r>
        <w:rPr>
          <w:rFonts w:ascii="Times New Roman"/>
          <w:bCs/>
          <w:sz w:val="24"/>
          <w:szCs w:val="24"/>
        </w:rPr>
        <w:t>项目</w:t>
      </w:r>
      <w:r>
        <w:rPr>
          <w:rFonts w:ascii="Times New Roman"/>
          <w:spacing w:val="9"/>
          <w:sz w:val="24"/>
          <w:szCs w:val="24"/>
        </w:rPr>
        <w:t>热处理车炉</w:t>
      </w:r>
      <w:r>
        <w:rPr>
          <w:rFonts w:hint="eastAsia" w:ascii="Times New Roman"/>
          <w:spacing w:val="9"/>
          <w:sz w:val="24"/>
          <w:szCs w:val="24"/>
        </w:rPr>
        <w:t>加热</w:t>
      </w:r>
      <w:r>
        <w:rPr>
          <w:rFonts w:ascii="Times New Roman"/>
          <w:bCs/>
          <w:sz w:val="24"/>
          <w:szCs w:val="24"/>
        </w:rPr>
        <w:t>废气通过1根20m高排气筒（DA005）排放</w:t>
      </w:r>
      <w:r>
        <w:rPr>
          <w:rFonts w:hint="eastAsia" w:ascii="Times New Roman"/>
          <w:bCs/>
          <w:sz w:val="24"/>
          <w:szCs w:val="24"/>
        </w:rPr>
        <w:t>，</w:t>
      </w:r>
      <w:r>
        <w:rPr>
          <w:rFonts w:ascii="Times New Roman"/>
          <w:kern w:val="0"/>
          <w:sz w:val="24"/>
          <w:szCs w:val="24"/>
        </w:rPr>
        <w:t>排气筒出口的颗粒物、二氧化硫、氮氧化物和烟气黑度，均满足《工业炉窑大气污染物排放标准》（DB13/1640-2012）表1、2标准及《工业炉窑大气污染综合治理方案》（环大气〔2019〕56号）标准要求</w:t>
      </w:r>
      <w:r>
        <w:rPr>
          <w:rFonts w:ascii="Times New Roman"/>
          <w:bCs/>
          <w:sz w:val="24"/>
          <w:szCs w:val="24"/>
        </w:rPr>
        <w:t>。</w:t>
      </w:r>
    </w:p>
    <w:p w14:paraId="4A830849">
      <w:pPr>
        <w:spacing w:line="480" w:lineRule="exact"/>
        <w:ind w:firstLine="516" w:firstLineChars="200"/>
        <w:rPr>
          <w:rFonts w:ascii="Times New Roman"/>
          <w:sz w:val="24"/>
          <w:szCs w:val="20"/>
        </w:rPr>
      </w:pPr>
      <w:r>
        <w:rPr>
          <w:rFonts w:hint="eastAsia" w:ascii="Times New Roman"/>
          <w:spacing w:val="9"/>
          <w:sz w:val="24"/>
          <w:szCs w:val="24"/>
        </w:rPr>
        <w:t>项目油</w:t>
      </w:r>
      <w:r>
        <w:rPr>
          <w:rFonts w:ascii="Times New Roman"/>
          <w:spacing w:val="9"/>
          <w:sz w:val="24"/>
          <w:szCs w:val="24"/>
        </w:rPr>
        <w:t>淬、回火工序废气引入一套油雾净化器+二级活性炭吸附装置处理，处理后经一根20m高排气筒(DA006)排放</w:t>
      </w:r>
      <w:r>
        <w:rPr>
          <w:rFonts w:hint="eastAsia" w:ascii="Times New Roman"/>
          <w:spacing w:val="9"/>
          <w:sz w:val="24"/>
          <w:szCs w:val="24"/>
        </w:rPr>
        <w:t>，</w:t>
      </w:r>
      <w:r>
        <w:rPr>
          <w:rFonts w:ascii="Times New Roman"/>
          <w:spacing w:val="9"/>
          <w:sz w:val="24"/>
          <w:szCs w:val="24"/>
        </w:rPr>
        <w:t>颗粒物排放浓度满足《钢铁工业大气污染物超低排放标准》(DB13/2169-2018)表4中的排放浓度限值</w:t>
      </w:r>
      <w:r>
        <w:rPr>
          <w:rFonts w:hint="eastAsia" w:ascii="Times New Roman"/>
          <w:spacing w:val="9"/>
          <w:sz w:val="24"/>
          <w:szCs w:val="24"/>
        </w:rPr>
        <w:t>，</w:t>
      </w:r>
      <w:r>
        <w:rPr>
          <w:rFonts w:ascii="Times New Roman"/>
          <w:spacing w:val="9"/>
          <w:sz w:val="24"/>
          <w:szCs w:val="24"/>
        </w:rPr>
        <w:t>非甲烷总烃满足《工业企业挥发性有机物排放控制标准》(DB13/2322-2016)表1“其他行业”排放限值。</w:t>
      </w:r>
    </w:p>
    <w:p w14:paraId="1C57BCA2">
      <w:pPr>
        <w:spacing w:line="480" w:lineRule="exact"/>
        <w:ind w:firstLine="480" w:firstLineChars="200"/>
        <w:rPr>
          <w:rFonts w:ascii="Times New Roman"/>
          <w:sz w:val="24"/>
          <w:szCs w:val="20"/>
        </w:rPr>
      </w:pPr>
      <w:r>
        <w:rPr>
          <w:rFonts w:hint="eastAsia" w:ascii="Times New Roman"/>
          <w:sz w:val="24"/>
          <w:szCs w:val="20"/>
        </w:rPr>
        <w:t>③预处理废气：预处理抛丸、喷砂工序废气经自带旋风除尘器收集处理后，引入滤筒除尘器处理后</w:t>
      </w:r>
      <w:r>
        <w:rPr>
          <w:rFonts w:ascii="Times New Roman"/>
          <w:sz w:val="24"/>
          <w:szCs w:val="24"/>
        </w:rPr>
        <w:t>，经</w:t>
      </w:r>
      <w:r>
        <w:rPr>
          <w:rFonts w:ascii="Times New Roman" w:eastAsia="Times New Roman"/>
          <w:sz w:val="24"/>
          <w:szCs w:val="24"/>
        </w:rPr>
        <w:t>1</w:t>
      </w:r>
      <w:r>
        <w:rPr>
          <w:rFonts w:ascii="Times New Roman"/>
          <w:sz w:val="24"/>
          <w:szCs w:val="24"/>
        </w:rPr>
        <w:t>根20m高排气筒排放（DA007）</w:t>
      </w:r>
      <w:r>
        <w:rPr>
          <w:rFonts w:hint="eastAsia" w:ascii="Times New Roman"/>
          <w:sz w:val="24"/>
          <w:szCs w:val="24"/>
        </w:rPr>
        <w:t>，</w:t>
      </w:r>
      <w:r>
        <w:rPr>
          <w:rFonts w:ascii="Times New Roman"/>
          <w:sz w:val="24"/>
          <w:szCs w:val="24"/>
        </w:rPr>
        <w:t>颗粒物排放满足《钢铁工业大气污染物超低排放标准》（DB13/2169-2018）表1轧钢“热处理炉、拉矫、精整、抛丸、修磨、焊接机及其他生产设施”排放限值要求。</w:t>
      </w:r>
    </w:p>
    <w:p w14:paraId="2C305C11">
      <w:pPr>
        <w:spacing w:line="480" w:lineRule="exact"/>
        <w:ind w:firstLine="480" w:firstLineChars="200"/>
        <w:rPr>
          <w:rFonts w:ascii="Times New Roman"/>
          <w:sz w:val="24"/>
          <w:szCs w:val="24"/>
        </w:rPr>
      </w:pPr>
      <w:r>
        <w:rPr>
          <w:rFonts w:hint="eastAsia" w:ascii="Times New Roman"/>
          <w:sz w:val="24"/>
          <w:szCs w:val="24"/>
        </w:rPr>
        <w:t>电泳前处理热水炉燃烧废气，采用低氮燃烧器，</w:t>
      </w:r>
      <w:r>
        <w:rPr>
          <w:rFonts w:ascii="Times New Roman"/>
          <w:sz w:val="24"/>
          <w:szCs w:val="24"/>
        </w:rPr>
        <w:t>由1根2</w:t>
      </w:r>
      <w:r>
        <w:rPr>
          <w:rFonts w:hint="eastAsia" w:ascii="Times New Roman"/>
          <w:sz w:val="24"/>
          <w:szCs w:val="24"/>
        </w:rPr>
        <w:t>2</w:t>
      </w:r>
      <w:r>
        <w:rPr>
          <w:rFonts w:ascii="Times New Roman"/>
          <w:sz w:val="24"/>
          <w:szCs w:val="24"/>
        </w:rPr>
        <w:t>m高排气筒DA008排放</w:t>
      </w:r>
      <w:r>
        <w:rPr>
          <w:rFonts w:hint="eastAsia" w:ascii="Times New Roman"/>
          <w:sz w:val="24"/>
          <w:szCs w:val="24"/>
        </w:rPr>
        <w:t>，</w:t>
      </w:r>
      <w:r>
        <w:rPr>
          <w:rFonts w:ascii="Times New Roman"/>
          <w:kern w:val="0"/>
          <w:sz w:val="24"/>
          <w:szCs w:val="24"/>
        </w:rPr>
        <w:t>排气筒出口的颗粒物、二氧化硫、氮氧化物和烟气黑度，均满足《锅炉大气污染物排放标准》（DB13/5161-2020）表1排放标准</w:t>
      </w:r>
      <w:r>
        <w:rPr>
          <w:rFonts w:hint="eastAsia" w:ascii="Times New Roman"/>
          <w:kern w:val="0"/>
          <w:sz w:val="24"/>
          <w:szCs w:val="24"/>
        </w:rPr>
        <w:t>要求。</w:t>
      </w:r>
    </w:p>
    <w:p w14:paraId="23B200EF">
      <w:pPr>
        <w:spacing w:line="480" w:lineRule="exact"/>
        <w:ind w:firstLine="480" w:firstLineChars="200"/>
        <w:rPr>
          <w:rFonts w:ascii="Times New Roman"/>
          <w:sz w:val="24"/>
          <w:szCs w:val="20"/>
        </w:rPr>
      </w:pPr>
      <w:r>
        <w:rPr>
          <w:rFonts w:hint="eastAsia" w:ascii="Times New Roman"/>
          <w:sz w:val="24"/>
          <w:szCs w:val="20"/>
        </w:rPr>
        <w:t>④电泳及喷涂生产线废气：</w:t>
      </w:r>
      <w:r>
        <w:rPr>
          <w:rFonts w:ascii="Times New Roman"/>
          <w:sz w:val="24"/>
          <w:szCs w:val="24"/>
        </w:rPr>
        <w:t>项目喷塑废气经自带滤筒除尘器收集处理后，通过</w:t>
      </w:r>
      <w:r>
        <w:rPr>
          <w:rFonts w:hint="eastAsia" w:ascii="Times New Roman"/>
          <w:sz w:val="24"/>
          <w:szCs w:val="24"/>
        </w:rPr>
        <w:t>22</w:t>
      </w:r>
      <w:r>
        <w:rPr>
          <w:rFonts w:ascii="Times New Roman"/>
          <w:sz w:val="24"/>
          <w:szCs w:val="24"/>
        </w:rPr>
        <w:t>m排气筒（DA00</w:t>
      </w:r>
      <w:r>
        <w:rPr>
          <w:rFonts w:hint="eastAsia" w:ascii="Times New Roman"/>
          <w:sz w:val="24"/>
          <w:szCs w:val="24"/>
        </w:rPr>
        <w:t>9</w:t>
      </w:r>
      <w:r>
        <w:rPr>
          <w:rFonts w:ascii="Times New Roman"/>
          <w:sz w:val="24"/>
          <w:szCs w:val="24"/>
        </w:rPr>
        <w:t>）排放</w:t>
      </w:r>
      <w:r>
        <w:rPr>
          <w:rFonts w:hint="eastAsia" w:ascii="Times New Roman"/>
          <w:sz w:val="24"/>
          <w:szCs w:val="24"/>
        </w:rPr>
        <w:t>，颗粒物排放</w:t>
      </w:r>
      <w:r>
        <w:rPr>
          <w:rFonts w:ascii="Times New Roman"/>
          <w:sz w:val="24"/>
          <w:szCs w:val="24"/>
        </w:rPr>
        <w:t>满足《大气污染物综合排放标准》(GB16297-1996)表2染料尘二级标准要求。</w:t>
      </w:r>
    </w:p>
    <w:p w14:paraId="21FA4D5E">
      <w:pPr>
        <w:spacing w:line="480" w:lineRule="exact"/>
        <w:ind w:firstLine="480" w:firstLineChars="200"/>
        <w:rPr>
          <w:rFonts w:ascii="Times New Roman"/>
          <w:sz w:val="24"/>
          <w:szCs w:val="20"/>
        </w:rPr>
      </w:pPr>
      <w:r>
        <w:rPr>
          <w:rFonts w:ascii="Times New Roman"/>
          <w:sz w:val="24"/>
          <w:szCs w:val="24"/>
        </w:rPr>
        <w:t>喷塑固化废气经</w:t>
      </w:r>
      <w:r>
        <w:rPr>
          <w:rFonts w:hint="eastAsia" w:ascii="Times New Roman"/>
          <w:sz w:val="24"/>
          <w:szCs w:val="24"/>
        </w:rPr>
        <w:t>“水喷淋+</w:t>
      </w:r>
      <w:r>
        <w:rPr>
          <w:rFonts w:ascii="Times New Roman"/>
          <w:sz w:val="24"/>
          <w:szCs w:val="24"/>
        </w:rPr>
        <w:t>两级活性炭吸附装置</w:t>
      </w:r>
      <w:r>
        <w:rPr>
          <w:rFonts w:hint="eastAsia" w:ascii="Times New Roman"/>
          <w:sz w:val="24"/>
          <w:szCs w:val="24"/>
        </w:rPr>
        <w:t>”</w:t>
      </w:r>
      <w:r>
        <w:rPr>
          <w:rFonts w:ascii="Times New Roman"/>
          <w:sz w:val="24"/>
          <w:szCs w:val="24"/>
        </w:rPr>
        <w:t>进行处理，处理后经1根</w:t>
      </w:r>
      <w:r>
        <w:rPr>
          <w:rFonts w:hint="eastAsia" w:ascii="Times New Roman"/>
          <w:sz w:val="24"/>
          <w:szCs w:val="24"/>
        </w:rPr>
        <w:t>22</w:t>
      </w:r>
      <w:r>
        <w:rPr>
          <w:rFonts w:ascii="Times New Roman"/>
          <w:sz w:val="24"/>
          <w:szCs w:val="24"/>
        </w:rPr>
        <w:t>m高排气筒（DA0</w:t>
      </w:r>
      <w:r>
        <w:rPr>
          <w:rFonts w:hint="eastAsia" w:ascii="Times New Roman"/>
          <w:sz w:val="24"/>
          <w:szCs w:val="24"/>
        </w:rPr>
        <w:t>10</w:t>
      </w:r>
      <w:r>
        <w:rPr>
          <w:rFonts w:ascii="Times New Roman"/>
          <w:sz w:val="24"/>
          <w:szCs w:val="24"/>
        </w:rPr>
        <w:t>）排放</w:t>
      </w:r>
      <w:r>
        <w:rPr>
          <w:rFonts w:hint="eastAsia" w:ascii="Times New Roman"/>
          <w:sz w:val="24"/>
          <w:szCs w:val="24"/>
        </w:rPr>
        <w:t>，非甲烷总烃</w:t>
      </w:r>
      <w:r>
        <w:rPr>
          <w:rFonts w:ascii="Times New Roman"/>
          <w:sz w:val="24"/>
          <w:szCs w:val="24"/>
        </w:rPr>
        <w:t>满足《工业企业挥发性有机物排放控制标准》（DB13/2322-2016）表1表面涂装业排放限值要求</w:t>
      </w:r>
      <w:r>
        <w:rPr>
          <w:rFonts w:hint="eastAsia" w:ascii="Times New Roman"/>
          <w:sz w:val="24"/>
          <w:szCs w:val="24"/>
        </w:rPr>
        <w:t>；</w:t>
      </w:r>
    </w:p>
    <w:p w14:paraId="41E976C2">
      <w:pPr>
        <w:spacing w:line="480" w:lineRule="exact"/>
        <w:ind w:firstLine="480" w:firstLineChars="200"/>
        <w:rPr>
          <w:rFonts w:ascii="Times New Roman"/>
          <w:sz w:val="24"/>
          <w:szCs w:val="20"/>
        </w:rPr>
      </w:pPr>
      <w:r>
        <w:rPr>
          <w:rFonts w:hint="eastAsia" w:ascii="Times New Roman"/>
          <w:sz w:val="24"/>
          <w:szCs w:val="20"/>
        </w:rPr>
        <w:t>项目电泳、</w:t>
      </w:r>
      <w:r>
        <w:rPr>
          <w:rFonts w:ascii="Times New Roman"/>
          <w:sz w:val="24"/>
          <w:szCs w:val="24"/>
        </w:rPr>
        <w:t>调漆、喷漆和烘干废气经“4级干式过滤器+沸石轮转吸附+RTO焚烧装置”净化处理后经2</w:t>
      </w:r>
      <w:r>
        <w:rPr>
          <w:rFonts w:hint="eastAsia" w:ascii="Times New Roman"/>
          <w:sz w:val="24"/>
          <w:szCs w:val="24"/>
        </w:rPr>
        <w:t>2</w:t>
      </w:r>
      <w:r>
        <w:rPr>
          <w:rFonts w:ascii="Times New Roman"/>
          <w:sz w:val="24"/>
          <w:szCs w:val="24"/>
        </w:rPr>
        <w:t>m高排气筒（DA0</w:t>
      </w:r>
      <w:r>
        <w:rPr>
          <w:rFonts w:hint="eastAsia" w:ascii="Times New Roman"/>
          <w:sz w:val="24"/>
          <w:szCs w:val="24"/>
        </w:rPr>
        <w:t>11</w:t>
      </w:r>
      <w:r>
        <w:rPr>
          <w:rFonts w:ascii="Times New Roman"/>
          <w:sz w:val="24"/>
          <w:szCs w:val="24"/>
        </w:rPr>
        <w:t>）排放</w:t>
      </w:r>
      <w:r>
        <w:rPr>
          <w:rFonts w:hint="eastAsia" w:ascii="Times New Roman"/>
          <w:sz w:val="24"/>
          <w:szCs w:val="24"/>
        </w:rPr>
        <w:t>，颗粒物满足</w:t>
      </w:r>
      <w:r>
        <w:rPr>
          <w:rFonts w:ascii="Times New Roman"/>
          <w:sz w:val="24"/>
          <w:szCs w:val="24"/>
        </w:rPr>
        <w:t>《大气污染物综合排放标准》(GB16297-1996)表2染料尘二级标准要求</w:t>
      </w:r>
      <w:r>
        <w:rPr>
          <w:rFonts w:hint="eastAsia" w:ascii="Times New Roman"/>
          <w:sz w:val="24"/>
          <w:szCs w:val="24"/>
        </w:rPr>
        <w:t>，非甲烷总烃、二甲苯满足</w:t>
      </w:r>
      <w:r>
        <w:rPr>
          <w:rFonts w:ascii="Times New Roman"/>
          <w:sz w:val="24"/>
          <w:szCs w:val="24"/>
        </w:rPr>
        <w:t>《工业企业挥发性有机物排放控制标准》（DB13/2322-2016）表1表面涂装业排放限值要求</w:t>
      </w:r>
      <w:r>
        <w:rPr>
          <w:rFonts w:hint="eastAsia" w:ascii="Times New Roman"/>
          <w:sz w:val="24"/>
          <w:szCs w:val="24"/>
        </w:rPr>
        <w:t>；</w:t>
      </w:r>
    </w:p>
    <w:p w14:paraId="47F308A5">
      <w:pPr>
        <w:spacing w:line="480" w:lineRule="exact"/>
        <w:ind w:firstLine="480" w:firstLineChars="200"/>
        <w:rPr>
          <w:rFonts w:ascii="Times New Roman"/>
          <w:sz w:val="24"/>
          <w:szCs w:val="20"/>
        </w:rPr>
      </w:pPr>
      <w:r>
        <w:rPr>
          <w:rFonts w:ascii="Times New Roman"/>
          <w:sz w:val="24"/>
          <w:szCs w:val="24"/>
        </w:rPr>
        <w:t>电泳、喷涂生产线天然气燃烧废气</w:t>
      </w:r>
      <w:r>
        <w:rPr>
          <w:rFonts w:hint="eastAsia" w:ascii="Times New Roman"/>
          <w:sz w:val="24"/>
          <w:szCs w:val="24"/>
        </w:rPr>
        <w:t>，设置低氮燃烧器，废气排放</w:t>
      </w:r>
      <w:r>
        <w:rPr>
          <w:rFonts w:ascii="Times New Roman"/>
          <w:sz w:val="24"/>
          <w:szCs w:val="24"/>
        </w:rPr>
        <w:t>满足</w:t>
      </w:r>
      <w:r>
        <w:rPr>
          <w:rFonts w:ascii="Times New Roman"/>
          <w:kern w:val="0"/>
          <w:sz w:val="24"/>
          <w:szCs w:val="24"/>
        </w:rPr>
        <w:t>《工业炉窑大气污染物排放标准》（DB13/1640-2012）表1、2标准及《工业炉窑大气污染综合治理方案》（环大气〔2019〕56号）标准要求</w:t>
      </w:r>
      <w:r>
        <w:rPr>
          <w:rFonts w:hint="eastAsia" w:ascii="Times New Roman"/>
          <w:kern w:val="0"/>
          <w:sz w:val="24"/>
          <w:szCs w:val="24"/>
        </w:rPr>
        <w:t>。</w:t>
      </w:r>
    </w:p>
    <w:p w14:paraId="300A238E">
      <w:pPr>
        <w:spacing w:line="480" w:lineRule="exact"/>
        <w:ind w:firstLine="480" w:firstLineChars="200"/>
        <w:rPr>
          <w:rFonts w:ascii="Times New Roman"/>
          <w:sz w:val="24"/>
          <w:szCs w:val="24"/>
        </w:rPr>
      </w:pPr>
      <w:r>
        <w:rPr>
          <w:rFonts w:hint="eastAsia" w:ascii="Times New Roman"/>
          <w:sz w:val="24"/>
          <w:szCs w:val="20"/>
        </w:rPr>
        <w:t>⑤托辊生产线废气：</w:t>
      </w:r>
      <w:r>
        <w:rPr>
          <w:rFonts w:ascii="Times New Roman"/>
          <w:sz w:val="24"/>
          <w:szCs w:val="24"/>
        </w:rPr>
        <w:t>托辊生产喷塑</w:t>
      </w:r>
      <w:r>
        <w:rPr>
          <w:rFonts w:hint="eastAsia" w:ascii="Times New Roman"/>
          <w:sz w:val="24"/>
          <w:szCs w:val="20"/>
        </w:rPr>
        <w:t>废气</w:t>
      </w:r>
      <w:r>
        <w:rPr>
          <w:rFonts w:ascii="Times New Roman"/>
          <w:sz w:val="24"/>
          <w:szCs w:val="24"/>
        </w:rPr>
        <w:t>经自带滤筒除尘器收集处理后，通过15m排气筒（DA01</w:t>
      </w:r>
      <w:r>
        <w:rPr>
          <w:rFonts w:hint="eastAsia" w:ascii="Times New Roman"/>
          <w:sz w:val="24"/>
          <w:szCs w:val="24"/>
        </w:rPr>
        <w:t>2</w:t>
      </w:r>
      <w:r>
        <w:rPr>
          <w:rFonts w:ascii="Times New Roman"/>
          <w:sz w:val="24"/>
          <w:szCs w:val="24"/>
        </w:rPr>
        <w:t>）排放</w:t>
      </w:r>
      <w:r>
        <w:rPr>
          <w:rFonts w:hint="eastAsia" w:ascii="Times New Roman"/>
          <w:sz w:val="24"/>
          <w:szCs w:val="24"/>
        </w:rPr>
        <w:t>，颗粒物排放</w:t>
      </w:r>
      <w:r>
        <w:rPr>
          <w:rFonts w:ascii="Times New Roman"/>
          <w:sz w:val="24"/>
          <w:szCs w:val="24"/>
        </w:rPr>
        <w:t>满足《大气污染物综合排放标准》(GB16297-1996)表2染料尘二级标准要求。</w:t>
      </w:r>
    </w:p>
    <w:p w14:paraId="0B2CC9F2">
      <w:pPr>
        <w:spacing w:line="480" w:lineRule="exact"/>
        <w:ind w:firstLine="480" w:firstLineChars="200"/>
        <w:rPr>
          <w:rFonts w:ascii="Times New Roman"/>
          <w:sz w:val="24"/>
          <w:szCs w:val="20"/>
        </w:rPr>
      </w:pPr>
      <w:r>
        <w:rPr>
          <w:rFonts w:ascii="Times New Roman"/>
          <w:kern w:val="0"/>
          <w:sz w:val="24"/>
          <w:szCs w:val="24"/>
        </w:rPr>
        <w:t>项目燃烧机配备低氮燃烧器；固化、天然气燃烧废气经</w:t>
      </w:r>
      <w:r>
        <w:rPr>
          <w:rFonts w:hint="eastAsia" w:ascii="Times New Roman"/>
          <w:kern w:val="0"/>
          <w:sz w:val="24"/>
          <w:szCs w:val="24"/>
        </w:rPr>
        <w:t>“水喷淋+</w:t>
      </w:r>
      <w:r>
        <w:rPr>
          <w:rFonts w:ascii="Times New Roman"/>
          <w:kern w:val="0"/>
          <w:sz w:val="24"/>
          <w:szCs w:val="24"/>
        </w:rPr>
        <w:t>两级活性炭吸附装置</w:t>
      </w:r>
      <w:r>
        <w:rPr>
          <w:rFonts w:hint="eastAsia" w:ascii="Times New Roman"/>
          <w:kern w:val="0"/>
          <w:sz w:val="24"/>
          <w:szCs w:val="24"/>
        </w:rPr>
        <w:t>”</w:t>
      </w:r>
      <w:r>
        <w:rPr>
          <w:rFonts w:ascii="Times New Roman"/>
          <w:kern w:val="0"/>
          <w:sz w:val="24"/>
          <w:szCs w:val="24"/>
        </w:rPr>
        <w:t>进行处理，处理后经1根15m高排气筒（DA01</w:t>
      </w:r>
      <w:r>
        <w:rPr>
          <w:rFonts w:hint="eastAsia" w:ascii="Times New Roman"/>
          <w:kern w:val="0"/>
          <w:sz w:val="24"/>
          <w:szCs w:val="24"/>
        </w:rPr>
        <w:t>3</w:t>
      </w:r>
      <w:r>
        <w:rPr>
          <w:rFonts w:ascii="Times New Roman"/>
          <w:kern w:val="0"/>
          <w:sz w:val="24"/>
          <w:szCs w:val="24"/>
        </w:rPr>
        <w:t>）排放</w:t>
      </w:r>
      <w:r>
        <w:rPr>
          <w:rFonts w:hint="eastAsia" w:ascii="Times New Roman"/>
          <w:kern w:val="0"/>
          <w:sz w:val="24"/>
          <w:szCs w:val="24"/>
        </w:rPr>
        <w:t>，非甲烷总烃</w:t>
      </w:r>
      <w:r>
        <w:rPr>
          <w:rFonts w:ascii="Times New Roman"/>
          <w:sz w:val="24"/>
          <w:szCs w:val="24"/>
        </w:rPr>
        <w:t>满足《工业企业挥发性有机物排放控制标准》（DB13/2322-2016）表1表面涂装业排放限值要求</w:t>
      </w:r>
      <w:r>
        <w:rPr>
          <w:rFonts w:hint="eastAsia" w:ascii="Times New Roman"/>
          <w:sz w:val="24"/>
          <w:szCs w:val="24"/>
        </w:rPr>
        <w:t>，颗粒物、二氧化硫、氮氧化物排放</w:t>
      </w:r>
      <w:r>
        <w:rPr>
          <w:rFonts w:ascii="Times New Roman"/>
          <w:sz w:val="24"/>
          <w:szCs w:val="24"/>
        </w:rPr>
        <w:t>满足</w:t>
      </w:r>
      <w:r>
        <w:rPr>
          <w:rFonts w:ascii="Times New Roman"/>
          <w:kern w:val="0"/>
          <w:sz w:val="24"/>
          <w:szCs w:val="24"/>
        </w:rPr>
        <w:t>《工业炉窑大气污染物排放标准》（DB13/1640-2012）表1、2标准及《工业炉窑大气污染综合治理方案》（环大气〔2019〕56号）标准要求。</w:t>
      </w:r>
    </w:p>
    <w:p w14:paraId="4744BE31">
      <w:pPr>
        <w:spacing w:line="480" w:lineRule="exact"/>
        <w:ind w:firstLine="480" w:firstLineChars="200"/>
        <w:rPr>
          <w:rFonts w:ascii="Times New Roman"/>
          <w:sz w:val="24"/>
          <w:szCs w:val="20"/>
        </w:rPr>
      </w:pPr>
      <w:r>
        <w:rPr>
          <w:rFonts w:hint="eastAsia" w:ascii="Times New Roman"/>
          <w:sz w:val="24"/>
          <w:szCs w:val="20"/>
        </w:rPr>
        <w:t>⑥食堂油烟经油烟净化器+排气筒</w:t>
      </w:r>
      <w:r>
        <w:rPr>
          <w:rFonts w:ascii="Times New Roman"/>
          <w:sz w:val="24"/>
          <w:szCs w:val="20"/>
        </w:rPr>
        <w:t>（</w:t>
      </w:r>
      <w:r>
        <w:rPr>
          <w:rFonts w:hint="eastAsia" w:ascii="Times New Roman"/>
          <w:sz w:val="24"/>
          <w:szCs w:val="20"/>
        </w:rPr>
        <w:t>DA014</w:t>
      </w:r>
      <w:r>
        <w:rPr>
          <w:rFonts w:ascii="Times New Roman"/>
          <w:sz w:val="24"/>
          <w:szCs w:val="20"/>
        </w:rPr>
        <w:t>）</w:t>
      </w:r>
      <w:r>
        <w:rPr>
          <w:rFonts w:hint="eastAsia" w:ascii="Times New Roman"/>
          <w:sz w:val="24"/>
          <w:szCs w:val="20"/>
        </w:rPr>
        <w:t>引屋顶排放，油烟满足《餐饮业大气污染物排放标准》（DB13/5808-2023）中型规模标准。</w:t>
      </w:r>
    </w:p>
    <w:p w14:paraId="27EEA911">
      <w:pPr>
        <w:spacing w:line="480" w:lineRule="exact"/>
        <w:ind w:firstLine="480" w:firstLineChars="200"/>
        <w:rPr>
          <w:rFonts w:ascii="Times New Roman"/>
          <w:sz w:val="24"/>
          <w:szCs w:val="20"/>
        </w:rPr>
      </w:pPr>
      <w:r>
        <w:rPr>
          <w:rFonts w:hint="eastAsia" w:ascii="Times New Roman"/>
          <w:sz w:val="24"/>
          <w:szCs w:val="20"/>
        </w:rPr>
        <w:t>2、无组织废气</w:t>
      </w:r>
    </w:p>
    <w:p w14:paraId="5ED78669">
      <w:pPr>
        <w:spacing w:line="480" w:lineRule="exact"/>
        <w:ind w:firstLine="480" w:firstLineChars="200"/>
        <w:rPr>
          <w:rFonts w:ascii="Times New Roman"/>
          <w:sz w:val="24"/>
          <w:szCs w:val="20"/>
        </w:rPr>
      </w:pPr>
      <w:r>
        <w:rPr>
          <w:rFonts w:ascii="Times New Roman"/>
          <w:sz w:val="24"/>
          <w:szCs w:val="24"/>
        </w:rPr>
        <w:t>无组织废气中颗粒物满足排放浓度限值</w:t>
      </w:r>
      <w:r>
        <w:rPr>
          <w:rFonts w:ascii="Times New Roman"/>
          <w:bCs/>
          <w:sz w:val="24"/>
          <w:szCs w:val="24"/>
        </w:rPr>
        <w:t>；非甲烷总烃</w:t>
      </w:r>
      <w:r>
        <w:rPr>
          <w:rFonts w:hint="eastAsia" w:ascii="Times New Roman"/>
          <w:bCs/>
          <w:sz w:val="24"/>
          <w:szCs w:val="24"/>
        </w:rPr>
        <w:t>、</w:t>
      </w:r>
      <w:r>
        <w:rPr>
          <w:rFonts w:ascii="Times New Roman"/>
          <w:sz w:val="24"/>
          <w:szCs w:val="24"/>
        </w:rPr>
        <w:t>二甲苯</w:t>
      </w:r>
      <w:r>
        <w:rPr>
          <w:rFonts w:ascii="Times New Roman"/>
          <w:bCs/>
          <w:sz w:val="24"/>
          <w:szCs w:val="24"/>
        </w:rPr>
        <w:t>满足《工业企业挥发性有机物排放控制标准》（DB13/2322-2016）表2企业边界大气污染物浓度限值</w:t>
      </w:r>
      <w:r>
        <w:rPr>
          <w:rFonts w:hint="eastAsia" w:ascii="Times New Roman"/>
          <w:bCs/>
          <w:sz w:val="24"/>
          <w:szCs w:val="24"/>
        </w:rPr>
        <w:t>要求。</w:t>
      </w:r>
    </w:p>
    <w:p w14:paraId="1FE2C594">
      <w:pPr>
        <w:spacing w:line="480" w:lineRule="exact"/>
        <w:ind w:firstLine="480" w:firstLineChars="200"/>
        <w:rPr>
          <w:rFonts w:ascii="Times New Roman"/>
          <w:sz w:val="24"/>
          <w:szCs w:val="20"/>
        </w:rPr>
      </w:pPr>
      <w:r>
        <w:rPr>
          <w:rFonts w:ascii="Times New Roman"/>
          <w:sz w:val="24"/>
          <w:szCs w:val="20"/>
        </w:rPr>
        <w:t>综上所述，本项目运营期采取的废气防治措施可行。</w:t>
      </w:r>
    </w:p>
    <w:p w14:paraId="5801AD24">
      <w:pPr>
        <w:spacing w:line="480" w:lineRule="exact"/>
        <w:ind w:firstLine="480" w:firstLineChars="200"/>
        <w:rPr>
          <w:rFonts w:ascii="Times New Roman"/>
          <w:sz w:val="24"/>
          <w:szCs w:val="20"/>
        </w:rPr>
      </w:pPr>
      <w:r>
        <w:rPr>
          <w:rFonts w:ascii="Times New Roman"/>
          <w:sz w:val="24"/>
          <w:szCs w:val="20"/>
        </w:rPr>
        <w:t>（2）废水防治措施可行性</w:t>
      </w:r>
    </w:p>
    <w:p w14:paraId="7DD73EE4">
      <w:pPr>
        <w:autoSpaceDE w:val="0"/>
        <w:autoSpaceDN w:val="0"/>
        <w:adjustRightInd w:val="0"/>
        <w:snapToGrid w:val="0"/>
        <w:spacing w:line="360" w:lineRule="auto"/>
        <w:ind w:firstLine="480" w:firstLineChars="200"/>
        <w:rPr>
          <w:rFonts w:ascii="Times New Roman"/>
          <w:sz w:val="24"/>
          <w:szCs w:val="24"/>
        </w:rPr>
      </w:pPr>
      <w:r>
        <w:rPr>
          <w:rFonts w:ascii="Times New Roman"/>
          <w:bCs/>
          <w:sz w:val="24"/>
          <w:szCs w:val="24"/>
        </w:rPr>
        <w:t>项目废水主要为生产废水和生活废水，项目产生的职工生活污水</w:t>
      </w:r>
      <w:r>
        <w:rPr>
          <w:rFonts w:ascii="Times New Roman"/>
          <w:sz w:val="24"/>
          <w:szCs w:val="24"/>
        </w:rPr>
        <w:t>量按用水量的80%计，则生活废水（含食堂废水）量为32m</w:t>
      </w:r>
      <w:r>
        <w:rPr>
          <w:rFonts w:ascii="Times New Roman"/>
          <w:sz w:val="24"/>
          <w:szCs w:val="24"/>
          <w:vertAlign w:val="superscript"/>
        </w:rPr>
        <w:t>3</w:t>
      </w:r>
      <w:r>
        <w:rPr>
          <w:rFonts w:ascii="Times New Roman"/>
          <w:sz w:val="24"/>
          <w:szCs w:val="24"/>
        </w:rPr>
        <w:t>/d</w:t>
      </w:r>
      <w:r>
        <w:rPr>
          <w:rFonts w:ascii="Times New Roman"/>
          <w:kern w:val="0"/>
          <w:sz w:val="24"/>
          <w:szCs w:val="24"/>
        </w:rPr>
        <w:t>（9600m</w:t>
      </w:r>
      <w:r>
        <w:rPr>
          <w:rFonts w:ascii="Times New Roman"/>
          <w:kern w:val="0"/>
          <w:sz w:val="24"/>
          <w:szCs w:val="24"/>
          <w:vertAlign w:val="superscript"/>
        </w:rPr>
        <w:t>3</w:t>
      </w:r>
      <w:r>
        <w:rPr>
          <w:rFonts w:ascii="Times New Roman"/>
          <w:kern w:val="0"/>
          <w:sz w:val="24"/>
          <w:szCs w:val="24"/>
        </w:rPr>
        <w:t>/a）</w:t>
      </w:r>
      <w:r>
        <w:rPr>
          <w:rFonts w:ascii="Times New Roman"/>
          <w:sz w:val="24"/>
          <w:szCs w:val="24"/>
        </w:rPr>
        <w:t>，食堂废水采用隔油池预处理后，与日常生活污水一并入化粪池处理，</w:t>
      </w:r>
      <w:r>
        <w:rPr>
          <w:rFonts w:hint="eastAsia" w:ascii="Times New Roman"/>
          <w:sz w:val="24"/>
          <w:szCs w:val="24"/>
        </w:rPr>
        <w:t>后经</w:t>
      </w:r>
      <w:r>
        <w:rPr>
          <w:rFonts w:ascii="Times New Roman"/>
          <w:sz w:val="24"/>
          <w:szCs w:val="24"/>
        </w:rPr>
        <w:t>园区污水管网</w:t>
      </w:r>
      <w:r>
        <w:rPr>
          <w:rFonts w:hint="eastAsia" w:ascii="Times New Roman"/>
          <w:sz w:val="24"/>
          <w:szCs w:val="24"/>
        </w:rPr>
        <w:t>排</w:t>
      </w:r>
      <w:r>
        <w:rPr>
          <w:rFonts w:ascii="Times New Roman"/>
          <w:sz w:val="24"/>
          <w:szCs w:val="24"/>
        </w:rPr>
        <w:t>入园区污水处理厂进一步处理。</w:t>
      </w:r>
    </w:p>
    <w:p w14:paraId="33228945">
      <w:pPr>
        <w:autoSpaceDE w:val="0"/>
        <w:autoSpaceDN w:val="0"/>
        <w:adjustRightInd w:val="0"/>
        <w:snapToGrid w:val="0"/>
        <w:spacing w:line="360" w:lineRule="auto"/>
        <w:ind w:firstLine="500" w:firstLineChars="200"/>
        <w:rPr>
          <w:rFonts w:ascii="Times New Roman"/>
          <w:bCs/>
          <w:sz w:val="24"/>
          <w:szCs w:val="24"/>
        </w:rPr>
      </w:pPr>
      <w:r>
        <w:rPr>
          <w:rFonts w:hint="eastAsia"/>
        </w:rPr>
        <w:t>水洗</w:t>
      </w:r>
      <w:r>
        <w:rPr>
          <w:rFonts w:ascii="Times New Roman"/>
          <w:kern w:val="0"/>
          <w:sz w:val="24"/>
          <w:szCs w:val="24"/>
        </w:rPr>
        <w:t>（</w:t>
      </w:r>
      <w:r>
        <w:rPr>
          <w:rFonts w:hint="eastAsia" w:ascii="Times New Roman"/>
          <w:kern w:val="0"/>
          <w:sz w:val="24"/>
          <w:szCs w:val="24"/>
        </w:rPr>
        <w:t>140.6</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、纯水洗2</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、电泳槽清洗</w:t>
      </w:r>
      <w:r>
        <w:rPr>
          <w:rFonts w:ascii="Times New Roman"/>
          <w:kern w:val="0"/>
          <w:sz w:val="24"/>
          <w:szCs w:val="24"/>
        </w:rPr>
        <w:t>（</w:t>
      </w:r>
      <w:r>
        <w:rPr>
          <w:rFonts w:hint="eastAsia" w:ascii="Times New Roman"/>
          <w:kern w:val="0"/>
          <w:sz w:val="24"/>
          <w:szCs w:val="24"/>
        </w:rPr>
        <w:t>12.744</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废水先经预处理反应斜管沉淀槽处理后，热水洗</w:t>
      </w:r>
      <w:r>
        <w:rPr>
          <w:rFonts w:ascii="Times New Roman"/>
          <w:kern w:val="0"/>
          <w:sz w:val="24"/>
          <w:szCs w:val="24"/>
        </w:rPr>
        <w:t>（</w:t>
      </w:r>
      <w:r>
        <w:rPr>
          <w:rFonts w:hint="eastAsia" w:ascii="Times New Roman"/>
          <w:sz w:val="24"/>
          <w:szCs w:val="24"/>
        </w:rPr>
        <w:t>10080</w:t>
      </w:r>
      <w:r>
        <w:rPr>
          <w:rFonts w:ascii="Times New Roman"/>
          <w:sz w:val="24"/>
          <w:szCs w:val="24"/>
        </w:rPr>
        <w:t>m</w:t>
      </w:r>
      <w:r>
        <w:rPr>
          <w:rFonts w:ascii="Times New Roman"/>
          <w:sz w:val="24"/>
          <w:szCs w:val="24"/>
          <w:vertAlign w:val="superscript"/>
        </w:rPr>
        <w:t>3</w:t>
      </w:r>
      <w:r>
        <w:rPr>
          <w:rFonts w:ascii="Times New Roman"/>
          <w:sz w:val="24"/>
          <w:szCs w:val="24"/>
        </w:rPr>
        <w:t>/</w:t>
      </w:r>
      <w:r>
        <w:rPr>
          <w:rFonts w:hint="eastAsia" w:ascii="Times New Roman"/>
          <w:sz w:val="24"/>
          <w:szCs w:val="24"/>
        </w:rPr>
        <w:t>a</w:t>
      </w:r>
      <w:r>
        <w:rPr>
          <w:rFonts w:ascii="Times New Roman"/>
          <w:kern w:val="0"/>
          <w:sz w:val="24"/>
          <w:szCs w:val="24"/>
        </w:rPr>
        <w:t>）</w:t>
      </w:r>
      <w:r>
        <w:rPr>
          <w:rFonts w:ascii="Times New Roman"/>
          <w:bCs/>
          <w:sz w:val="24"/>
          <w:szCs w:val="24"/>
        </w:rPr>
        <w:t>与预脱脂、脱脂、</w:t>
      </w:r>
      <w:r>
        <w:rPr>
          <w:rFonts w:hint="eastAsia" w:ascii="Times New Roman"/>
          <w:bCs/>
          <w:sz w:val="24"/>
          <w:szCs w:val="24"/>
        </w:rPr>
        <w:t>硅烷化</w:t>
      </w:r>
      <w:r>
        <w:rPr>
          <w:rFonts w:ascii="Times New Roman"/>
          <w:bCs/>
          <w:sz w:val="24"/>
          <w:szCs w:val="24"/>
        </w:rPr>
        <w:t>槽体清洗废水</w:t>
      </w:r>
      <w:r>
        <w:rPr>
          <w:rFonts w:ascii="Times New Roman"/>
          <w:kern w:val="0"/>
          <w:sz w:val="24"/>
          <w:szCs w:val="24"/>
        </w:rPr>
        <w:t>（</w:t>
      </w:r>
      <w:r>
        <w:rPr>
          <w:rFonts w:hint="eastAsia" w:ascii="Times New Roman"/>
          <w:kern w:val="0"/>
          <w:sz w:val="24"/>
          <w:szCs w:val="24"/>
        </w:rPr>
        <w:t>38.232</w:t>
      </w:r>
      <w:r>
        <w:rPr>
          <w:rFonts w:ascii="Times New Roman"/>
          <w:kern w:val="0"/>
          <w:sz w:val="24"/>
          <w:szCs w:val="24"/>
        </w:rPr>
        <w:t>m</w:t>
      </w:r>
      <w:r>
        <w:rPr>
          <w:rFonts w:ascii="Times New Roman"/>
          <w:kern w:val="0"/>
          <w:sz w:val="24"/>
          <w:szCs w:val="24"/>
          <w:vertAlign w:val="superscript"/>
        </w:rPr>
        <w:t>3</w:t>
      </w:r>
      <w:r>
        <w:rPr>
          <w:rFonts w:ascii="Times New Roman"/>
          <w:kern w:val="0"/>
          <w:sz w:val="24"/>
          <w:szCs w:val="24"/>
        </w:rPr>
        <w:t>/</w:t>
      </w:r>
      <w:r>
        <w:rPr>
          <w:rFonts w:hint="eastAsia" w:ascii="Times New Roman"/>
          <w:kern w:val="0"/>
          <w:sz w:val="24"/>
          <w:szCs w:val="24"/>
        </w:rPr>
        <w:t>a</w:t>
      </w:r>
      <w:r>
        <w:rPr>
          <w:rFonts w:ascii="Times New Roman"/>
          <w:kern w:val="0"/>
          <w:sz w:val="24"/>
          <w:szCs w:val="24"/>
        </w:rPr>
        <w:t>）</w:t>
      </w:r>
      <w:r>
        <w:rPr>
          <w:rFonts w:ascii="Times New Roman"/>
          <w:bCs/>
          <w:sz w:val="24"/>
          <w:szCs w:val="24"/>
        </w:rPr>
        <w:t>一同进入污水处理站“一体化气浮槽+综合反应斜管沉淀槽+综合芬顿反应槽+多介质过滤器+活性炭过滤器”系统进行处理，处理达标后由园区污水管网，入园区污水处理厂进一步处理。</w:t>
      </w:r>
    </w:p>
    <w:p w14:paraId="2264BFE2">
      <w:pPr>
        <w:autoSpaceDE w:val="0"/>
        <w:autoSpaceDN w:val="0"/>
        <w:adjustRightInd w:val="0"/>
        <w:snapToGrid w:val="0"/>
        <w:spacing w:line="360" w:lineRule="auto"/>
        <w:ind w:firstLine="480" w:firstLineChars="200"/>
        <w:rPr>
          <w:rFonts w:ascii="Times New Roman"/>
          <w:sz w:val="24"/>
          <w:szCs w:val="20"/>
        </w:rPr>
      </w:pPr>
      <w:r>
        <w:rPr>
          <w:rFonts w:ascii="Times New Roman"/>
          <w:bCs/>
          <w:sz w:val="24"/>
          <w:szCs w:val="24"/>
        </w:rPr>
        <w:t>纯水制备废水</w:t>
      </w:r>
      <w:r>
        <w:rPr>
          <w:rFonts w:hint="eastAsia" w:ascii="Times New Roman"/>
          <w:bCs/>
          <w:sz w:val="24"/>
          <w:szCs w:val="24"/>
        </w:rPr>
        <w:t>(</w:t>
      </w:r>
      <w:r>
        <w:rPr>
          <w:rFonts w:hint="eastAsia" w:ascii="Times New Roman"/>
          <w:sz w:val="24"/>
          <w:szCs w:val="24"/>
        </w:rPr>
        <w:t>8145.49</w:t>
      </w:r>
      <w:r>
        <w:rPr>
          <w:rFonts w:ascii="Times New Roman"/>
          <w:sz w:val="24"/>
          <w:szCs w:val="24"/>
        </w:rPr>
        <w:t>m</w:t>
      </w:r>
      <w:r>
        <w:rPr>
          <w:rFonts w:ascii="Times New Roman"/>
          <w:sz w:val="24"/>
          <w:szCs w:val="24"/>
          <w:vertAlign w:val="superscript"/>
        </w:rPr>
        <w:t>3</w:t>
      </w:r>
      <w:r>
        <w:rPr>
          <w:rFonts w:ascii="Times New Roman"/>
          <w:sz w:val="24"/>
          <w:szCs w:val="24"/>
        </w:rPr>
        <w:t>/a</w:t>
      </w:r>
      <w:r>
        <w:rPr>
          <w:rFonts w:hint="eastAsia" w:ascii="Times New Roman"/>
          <w:sz w:val="24"/>
          <w:szCs w:val="24"/>
        </w:rPr>
        <w:t>)</w:t>
      </w:r>
      <w:r>
        <w:rPr>
          <w:rFonts w:ascii="Times New Roman"/>
          <w:bCs/>
          <w:sz w:val="24"/>
          <w:szCs w:val="24"/>
        </w:rPr>
        <w:t>，直接由园区污水管网，入园区污水处理厂处理</w:t>
      </w:r>
      <w:r>
        <w:rPr>
          <w:rFonts w:ascii="Times New Roman"/>
          <w:sz w:val="24"/>
          <w:szCs w:val="20"/>
        </w:rPr>
        <w:t>。</w:t>
      </w:r>
    </w:p>
    <w:p w14:paraId="5839CBD3">
      <w:pPr>
        <w:spacing w:line="480" w:lineRule="exact"/>
        <w:ind w:firstLine="480" w:firstLineChars="200"/>
        <w:rPr>
          <w:rFonts w:ascii="Times New Roman"/>
          <w:sz w:val="24"/>
          <w:szCs w:val="20"/>
        </w:rPr>
      </w:pPr>
      <w:r>
        <w:rPr>
          <w:rFonts w:ascii="Times New Roman"/>
          <w:sz w:val="24"/>
          <w:szCs w:val="20"/>
        </w:rPr>
        <w:t>（3）噪声控制措施可行性</w:t>
      </w:r>
    </w:p>
    <w:p w14:paraId="5E669A8A">
      <w:pPr>
        <w:spacing w:line="480" w:lineRule="exact"/>
        <w:ind w:firstLine="480" w:firstLineChars="200"/>
        <w:rPr>
          <w:rFonts w:ascii="Times New Roman"/>
          <w:sz w:val="24"/>
          <w:szCs w:val="20"/>
        </w:rPr>
      </w:pPr>
      <w:r>
        <w:rPr>
          <w:rFonts w:ascii="Times New Roman"/>
          <w:sz w:val="24"/>
          <w:szCs w:val="20"/>
        </w:rPr>
        <w:t>对于噪声污染源，采取控制措施如下：采取选用低噪声设备、将产噪设备布置于厂房内、振动设备加减振装置、加装消音器等隔声降噪措施，降噪声值可达20~30dB（A）以上，可有效控制噪声对周围环境的影响。措施可行。</w:t>
      </w:r>
    </w:p>
    <w:p w14:paraId="6D2C631B">
      <w:pPr>
        <w:spacing w:line="480" w:lineRule="exact"/>
        <w:ind w:firstLine="480" w:firstLineChars="200"/>
        <w:rPr>
          <w:rFonts w:ascii="Times New Roman"/>
          <w:sz w:val="24"/>
          <w:szCs w:val="20"/>
        </w:rPr>
      </w:pPr>
      <w:r>
        <w:rPr>
          <w:rFonts w:ascii="Times New Roman"/>
          <w:sz w:val="24"/>
          <w:szCs w:val="20"/>
        </w:rPr>
        <w:t>（4）固体废物防治措施可行性</w:t>
      </w:r>
    </w:p>
    <w:p w14:paraId="70D78D0E">
      <w:pPr>
        <w:spacing w:line="480" w:lineRule="exact"/>
        <w:ind w:firstLine="482" w:firstLineChars="200"/>
        <w:rPr>
          <w:rFonts w:ascii="Times New Roman"/>
          <w:sz w:val="24"/>
          <w:szCs w:val="24"/>
        </w:rPr>
      </w:pPr>
      <w:r>
        <w:rPr>
          <w:rFonts w:ascii="Times New Roman"/>
          <w:b/>
          <w:sz w:val="24"/>
          <w:szCs w:val="24"/>
        </w:rPr>
        <w:t>一般固体废物：</w:t>
      </w:r>
      <w:r>
        <w:rPr>
          <w:rFonts w:hint="eastAsia" w:ascii="Times New Roman"/>
          <w:sz w:val="24"/>
          <w:szCs w:val="24"/>
        </w:rPr>
        <w:t>废</w:t>
      </w:r>
      <w:r>
        <w:rPr>
          <w:rFonts w:ascii="Times New Roman"/>
          <w:sz w:val="24"/>
          <w:szCs w:val="24"/>
        </w:rPr>
        <w:t>边角料、废焊材、金属碎屑、</w:t>
      </w:r>
      <w:r>
        <w:rPr>
          <w:rFonts w:hint="eastAsia" w:ascii="Times New Roman"/>
          <w:sz w:val="24"/>
          <w:szCs w:val="24"/>
        </w:rPr>
        <w:t>槽渣、</w:t>
      </w:r>
      <w:r>
        <w:rPr>
          <w:rFonts w:ascii="Times New Roman"/>
          <w:sz w:val="24"/>
          <w:szCs w:val="24"/>
        </w:rPr>
        <w:t>废钢丸、废钢砂、除尘灰、废布袋、废包装材料等分类收集后外售综合利用；收尘灰回用于喷塑工序</w:t>
      </w:r>
      <w:r>
        <w:rPr>
          <w:rFonts w:hint="eastAsia" w:ascii="Times New Roman"/>
          <w:sz w:val="24"/>
          <w:szCs w:val="24"/>
        </w:rPr>
        <w:t>，废反渗透膜、废超滤膜由厂家回收再生处理</w:t>
      </w:r>
      <w:r>
        <w:rPr>
          <w:rFonts w:ascii="Times New Roman"/>
          <w:sz w:val="24"/>
          <w:szCs w:val="24"/>
        </w:rPr>
        <w:t>。项目建设1座垃圾回收房，用于一般固体废物的暂存，设置在厂区西北侧，建筑面积为390.30m</w:t>
      </w:r>
      <w:r>
        <w:rPr>
          <w:rFonts w:ascii="Times New Roman"/>
          <w:sz w:val="24"/>
          <w:szCs w:val="24"/>
          <w:vertAlign w:val="superscript"/>
        </w:rPr>
        <w:t>2</w:t>
      </w:r>
      <w:r>
        <w:rPr>
          <w:rFonts w:ascii="Times New Roman"/>
          <w:sz w:val="24"/>
          <w:szCs w:val="24"/>
        </w:rPr>
        <w:t>。</w:t>
      </w:r>
    </w:p>
    <w:p w14:paraId="26A2D436">
      <w:pPr>
        <w:spacing w:line="480" w:lineRule="exact"/>
        <w:ind w:firstLine="482" w:firstLineChars="200"/>
        <w:rPr>
          <w:rFonts w:ascii="Times New Roman"/>
          <w:sz w:val="24"/>
          <w:szCs w:val="24"/>
        </w:rPr>
      </w:pPr>
      <w:r>
        <w:rPr>
          <w:rFonts w:ascii="Times New Roman"/>
          <w:b/>
          <w:sz w:val="24"/>
          <w:szCs w:val="24"/>
        </w:rPr>
        <w:t>危险固废：</w:t>
      </w:r>
      <w:r>
        <w:rPr>
          <w:rFonts w:ascii="Times New Roman"/>
          <w:sz w:val="24"/>
          <w:szCs w:val="24"/>
        </w:rPr>
        <w:t>对照《国家危险废物名录》（2025年版），</w:t>
      </w:r>
      <w:r>
        <w:rPr>
          <w:rFonts w:hint="eastAsia" w:ascii="Times New Roman"/>
          <w:sz w:val="24"/>
          <w:szCs w:val="24"/>
        </w:rPr>
        <w:t>电泳、</w:t>
      </w:r>
      <w:r>
        <w:rPr>
          <w:rFonts w:ascii="Times New Roman"/>
          <w:sz w:val="24"/>
          <w:szCs w:val="24"/>
        </w:rPr>
        <w:t>喷漆产生的漆渣、废油漆桶、废稀释剂桶，</w:t>
      </w:r>
      <w:r>
        <w:rPr>
          <w:rFonts w:hint="eastAsia" w:ascii="Times New Roman"/>
          <w:sz w:val="24"/>
          <w:szCs w:val="24"/>
        </w:rPr>
        <w:t>脱脂工序产生的浮油，脱脂、硅烷化工序产生的废滤芯、杂质；</w:t>
      </w:r>
      <w:r>
        <w:rPr>
          <w:rFonts w:ascii="Times New Roman"/>
          <w:sz w:val="24"/>
          <w:szCs w:val="24"/>
        </w:rPr>
        <w:t>机械设备产生的废液压油和废切削液、废润滑油、废油桶、</w:t>
      </w:r>
      <w:r>
        <w:rPr>
          <w:rFonts w:hint="eastAsia" w:ascii="Times New Roman"/>
          <w:sz w:val="24"/>
          <w:szCs w:val="24"/>
        </w:rPr>
        <w:t>废切削液桶、</w:t>
      </w:r>
      <w:r>
        <w:rPr>
          <w:rFonts w:ascii="Times New Roman"/>
          <w:sz w:val="24"/>
          <w:szCs w:val="24"/>
        </w:rPr>
        <w:t>含油金属屑，</w:t>
      </w:r>
      <w:r>
        <w:rPr>
          <w:rFonts w:hint="eastAsia" w:ascii="Times New Roman"/>
          <w:sz w:val="24"/>
          <w:szCs w:val="24"/>
        </w:rPr>
        <w:t>污水处理站产生的污泥，</w:t>
      </w:r>
      <w:r>
        <w:rPr>
          <w:rFonts w:ascii="Times New Roman"/>
          <w:sz w:val="24"/>
          <w:szCs w:val="24"/>
        </w:rPr>
        <w:t>有机废气净化装置产生的废活性炭、</w:t>
      </w:r>
      <w:r>
        <w:rPr>
          <w:rFonts w:hAnsi="宋体" w:cs="宋体"/>
          <w:sz w:val="24"/>
          <w:szCs w:val="24"/>
        </w:rPr>
        <w:t>废沸石分子筛</w:t>
      </w:r>
      <w:r>
        <w:rPr>
          <w:rFonts w:hint="eastAsia" w:ascii="Times New Roman"/>
          <w:sz w:val="24"/>
          <w:szCs w:val="24"/>
        </w:rPr>
        <w:t>、</w:t>
      </w:r>
      <w:r>
        <w:rPr>
          <w:rFonts w:ascii="Times New Roman"/>
          <w:sz w:val="24"/>
          <w:szCs w:val="24"/>
        </w:rPr>
        <w:t>废过滤棉</w:t>
      </w:r>
      <w:r>
        <w:rPr>
          <w:rFonts w:hint="eastAsia" w:ascii="Times New Roman"/>
          <w:sz w:val="24"/>
          <w:szCs w:val="24"/>
        </w:rPr>
        <w:t>，均</w:t>
      </w:r>
      <w:r>
        <w:rPr>
          <w:rFonts w:ascii="Times New Roman"/>
          <w:sz w:val="24"/>
          <w:szCs w:val="24"/>
        </w:rPr>
        <w:t>属于危险废物，分类暂存危废间，定期交由资质单位处置。</w:t>
      </w:r>
    </w:p>
    <w:p w14:paraId="4CAC0044">
      <w:pPr>
        <w:spacing w:line="480" w:lineRule="exact"/>
        <w:ind w:firstLine="480" w:firstLineChars="200"/>
        <w:rPr>
          <w:rFonts w:ascii="Times New Roman"/>
          <w:sz w:val="24"/>
          <w:szCs w:val="24"/>
        </w:rPr>
      </w:pPr>
      <w:r>
        <w:rPr>
          <w:rFonts w:ascii="Times New Roman"/>
          <w:sz w:val="24"/>
          <w:szCs w:val="24"/>
        </w:rPr>
        <w:t>本项目建设1座危废库，设置在厂区西北侧，建筑面积为223.98m</w:t>
      </w:r>
      <w:r>
        <w:rPr>
          <w:rFonts w:ascii="Times New Roman"/>
          <w:sz w:val="24"/>
          <w:szCs w:val="24"/>
          <w:vertAlign w:val="superscript"/>
        </w:rPr>
        <w:t>2</w:t>
      </w:r>
      <w:r>
        <w:rPr>
          <w:rFonts w:ascii="Times New Roman"/>
          <w:sz w:val="24"/>
          <w:szCs w:val="24"/>
        </w:rPr>
        <w:t>。根据《危险废物贮存污染控制标准》（GB18597-2023）设计建设防风、防晒、防雨、防渗等措施。</w:t>
      </w:r>
    </w:p>
    <w:p w14:paraId="351AFB62">
      <w:pPr>
        <w:spacing w:line="520" w:lineRule="exact"/>
        <w:outlineLvl w:val="2"/>
        <w:rPr>
          <w:rFonts w:ascii="Times New Roman"/>
          <w:b/>
          <w:sz w:val="28"/>
          <w:szCs w:val="28"/>
        </w:rPr>
      </w:pPr>
      <w:r>
        <w:rPr>
          <w:rFonts w:ascii="Times New Roman"/>
          <w:b/>
          <w:sz w:val="28"/>
          <w:szCs w:val="28"/>
        </w:rPr>
        <w:t>9.1.7清洁生产水平</w:t>
      </w:r>
    </w:p>
    <w:p w14:paraId="2D1BD44A">
      <w:pPr>
        <w:spacing w:line="480" w:lineRule="exact"/>
        <w:ind w:firstLine="480" w:firstLineChars="200"/>
        <w:rPr>
          <w:rFonts w:ascii="Times New Roman"/>
          <w:sz w:val="24"/>
          <w:szCs w:val="24"/>
        </w:rPr>
      </w:pPr>
      <w:r>
        <w:rPr>
          <w:rFonts w:ascii="Times New Roman"/>
          <w:sz w:val="24"/>
          <w:szCs w:val="24"/>
        </w:rPr>
        <w:t>项目主体工艺装置和配套装置应按照清洁生产水平达到国际先进水平进行设计、建设，并在项目建成投产后，开展清洁生产评估，确保各工艺装置清洁生产水平达到国际先进水平，并持续改进</w:t>
      </w:r>
      <w:r>
        <w:rPr>
          <w:rFonts w:ascii="Times New Roman"/>
          <w:sz w:val="24"/>
          <w:szCs w:val="20"/>
        </w:rPr>
        <w:t>。</w:t>
      </w:r>
    </w:p>
    <w:p w14:paraId="65504FC0">
      <w:pPr>
        <w:spacing w:line="520" w:lineRule="exact"/>
        <w:outlineLvl w:val="2"/>
        <w:rPr>
          <w:rFonts w:ascii="Times New Roman"/>
          <w:b/>
          <w:sz w:val="28"/>
          <w:szCs w:val="28"/>
        </w:rPr>
      </w:pPr>
      <w:r>
        <w:rPr>
          <w:rFonts w:ascii="Times New Roman"/>
          <w:b/>
          <w:sz w:val="28"/>
          <w:szCs w:val="28"/>
        </w:rPr>
        <w:t>9.1.8项目建成后环境影响</w:t>
      </w:r>
    </w:p>
    <w:p w14:paraId="68BB4AA4">
      <w:pPr>
        <w:spacing w:line="480" w:lineRule="exact"/>
        <w:ind w:firstLine="480" w:firstLineChars="200"/>
        <w:rPr>
          <w:rFonts w:ascii="Times New Roman"/>
          <w:sz w:val="24"/>
          <w:szCs w:val="20"/>
        </w:rPr>
      </w:pPr>
      <w:r>
        <w:rPr>
          <w:rFonts w:ascii="Times New Roman"/>
          <w:sz w:val="24"/>
          <w:szCs w:val="20"/>
        </w:rPr>
        <w:t>（1）环境空气影响</w:t>
      </w:r>
    </w:p>
    <w:p w14:paraId="75B4F85E">
      <w:pPr>
        <w:snapToGrid w:val="0"/>
        <w:spacing w:line="480" w:lineRule="exact"/>
        <w:ind w:firstLine="480" w:firstLineChars="200"/>
        <w:rPr>
          <w:rFonts w:ascii="Times New Roman"/>
          <w:sz w:val="24"/>
        </w:rPr>
      </w:pPr>
      <w:r>
        <w:rPr>
          <w:rFonts w:ascii="Times New Roman"/>
          <w:sz w:val="24"/>
        </w:rPr>
        <w:t>根据AERSCREEN估算模式估算，</w:t>
      </w:r>
      <w:r>
        <w:rPr>
          <w:rFonts w:ascii="Times New Roman"/>
          <w:sz w:val="24"/>
          <w:szCs w:val="24"/>
        </w:rPr>
        <w:t>项目大气有组织点源和无组织面源中污染物浓度贡献值占标率均小于10%，因此项目运营后对周围大气环境质量影响较小</w:t>
      </w:r>
      <w:r>
        <w:rPr>
          <w:rFonts w:ascii="Times New Roman"/>
          <w:sz w:val="24"/>
        </w:rPr>
        <w:t>。</w:t>
      </w:r>
      <w:r>
        <w:rPr>
          <w:rFonts w:ascii="Times New Roman"/>
          <w:sz w:val="24"/>
          <w:szCs w:val="24"/>
        </w:rPr>
        <w:t>无组织废气中颗粒物满足排放浓度限值</w:t>
      </w:r>
      <w:r>
        <w:rPr>
          <w:rFonts w:ascii="Times New Roman"/>
          <w:bCs/>
          <w:sz w:val="24"/>
          <w:szCs w:val="24"/>
        </w:rPr>
        <w:t>；非甲烷总烃</w:t>
      </w:r>
      <w:r>
        <w:rPr>
          <w:rFonts w:hint="eastAsia" w:ascii="Times New Roman"/>
          <w:bCs/>
          <w:sz w:val="24"/>
          <w:szCs w:val="24"/>
        </w:rPr>
        <w:t>、</w:t>
      </w:r>
      <w:r>
        <w:rPr>
          <w:rFonts w:ascii="Times New Roman"/>
          <w:sz w:val="24"/>
          <w:szCs w:val="24"/>
        </w:rPr>
        <w:t>二甲苯</w:t>
      </w:r>
      <w:r>
        <w:rPr>
          <w:rFonts w:ascii="Times New Roman"/>
          <w:bCs/>
          <w:sz w:val="24"/>
          <w:szCs w:val="24"/>
        </w:rPr>
        <w:t>满足《工业企业挥发性有机物排放控制标准》（DB13/2322-2016）表2企业边界大气污染物浓度限值。</w:t>
      </w:r>
    </w:p>
    <w:p w14:paraId="0DF6262A">
      <w:pPr>
        <w:snapToGrid w:val="0"/>
        <w:spacing w:line="480" w:lineRule="exact"/>
        <w:ind w:firstLine="480" w:firstLineChars="200"/>
        <w:rPr>
          <w:rFonts w:ascii="Times New Roman"/>
          <w:sz w:val="24"/>
        </w:rPr>
      </w:pPr>
      <w:r>
        <w:rPr>
          <w:rFonts w:ascii="Times New Roman"/>
          <w:sz w:val="24"/>
        </w:rPr>
        <w:t>项目运营后对周围大气环境影响可接受。</w:t>
      </w:r>
    </w:p>
    <w:p w14:paraId="432E54F9">
      <w:pPr>
        <w:spacing w:line="480" w:lineRule="exact"/>
        <w:ind w:firstLine="480" w:firstLineChars="200"/>
        <w:rPr>
          <w:rFonts w:ascii="Times New Roman"/>
          <w:sz w:val="24"/>
          <w:szCs w:val="20"/>
        </w:rPr>
      </w:pPr>
      <w:r>
        <w:rPr>
          <w:rFonts w:ascii="Times New Roman"/>
          <w:sz w:val="24"/>
          <w:szCs w:val="20"/>
        </w:rPr>
        <w:t>（2）地表水影响</w:t>
      </w:r>
    </w:p>
    <w:p w14:paraId="717D21D6">
      <w:pPr>
        <w:autoSpaceDE w:val="0"/>
        <w:autoSpaceDN w:val="0"/>
        <w:adjustRightInd w:val="0"/>
        <w:snapToGrid w:val="0"/>
        <w:spacing w:line="480" w:lineRule="exact"/>
        <w:ind w:firstLine="480" w:firstLineChars="200"/>
        <w:rPr>
          <w:rFonts w:ascii="Times New Roman"/>
          <w:sz w:val="24"/>
          <w:szCs w:val="20"/>
        </w:rPr>
      </w:pPr>
      <w:r>
        <w:rPr>
          <w:rFonts w:ascii="Times New Roman"/>
          <w:bCs/>
          <w:sz w:val="24"/>
          <w:szCs w:val="24"/>
        </w:rPr>
        <w:t>项目废水主要为生产废水和生活废水</w:t>
      </w:r>
      <w:r>
        <w:rPr>
          <w:rFonts w:hint="eastAsia" w:ascii="Times New Roman"/>
          <w:bCs/>
          <w:sz w:val="24"/>
          <w:szCs w:val="24"/>
        </w:rPr>
        <w:t>。</w:t>
      </w:r>
      <w:r>
        <w:rPr>
          <w:rFonts w:ascii="Times New Roman"/>
          <w:bCs/>
          <w:sz w:val="24"/>
          <w:szCs w:val="24"/>
        </w:rPr>
        <w:t>项目</w:t>
      </w:r>
      <w:r>
        <w:rPr>
          <w:rFonts w:ascii="Times New Roman"/>
          <w:sz w:val="24"/>
          <w:szCs w:val="24"/>
        </w:rPr>
        <w:t>食堂废水采用隔油池预处理后，与日常生活污水一并入化粪池处理，由园区污水管网，入园区污水处理厂进一步处理</w:t>
      </w:r>
      <w:r>
        <w:rPr>
          <w:rFonts w:hint="eastAsia" w:ascii="Times New Roman"/>
          <w:sz w:val="24"/>
          <w:szCs w:val="24"/>
        </w:rPr>
        <w:t>；</w:t>
      </w:r>
      <w:r>
        <w:rPr>
          <w:rFonts w:ascii="Times New Roman"/>
          <w:bCs/>
          <w:sz w:val="24"/>
          <w:szCs w:val="24"/>
        </w:rPr>
        <w:t>预脱脂、脱脂</w:t>
      </w:r>
      <w:r>
        <w:rPr>
          <w:rFonts w:hint="eastAsia" w:ascii="Times New Roman"/>
          <w:bCs/>
          <w:sz w:val="24"/>
          <w:szCs w:val="24"/>
        </w:rPr>
        <w:t>废水先经隔油+中和预处理，</w:t>
      </w:r>
      <w:r>
        <w:rPr>
          <w:rFonts w:ascii="Times New Roman"/>
          <w:bCs/>
          <w:sz w:val="24"/>
          <w:szCs w:val="24"/>
        </w:rPr>
        <w:t>硅烷化、纯水洗2 、电泳槽清洗、UF1</w:t>
      </w:r>
      <w:r>
        <w:rPr>
          <w:rFonts w:hint="eastAsia" w:ascii="Times New Roman"/>
          <w:bCs/>
          <w:sz w:val="24"/>
          <w:szCs w:val="24"/>
        </w:rPr>
        <w:t>、</w:t>
      </w:r>
      <w:r>
        <w:rPr>
          <w:rFonts w:ascii="Times New Roman"/>
          <w:bCs/>
          <w:sz w:val="24"/>
          <w:szCs w:val="24"/>
        </w:rPr>
        <w:t>UF2废水先经预处理反应斜管沉淀槽处理后，与热水洗、槽体清洗废水一同进入污水处理站“一体化气浮槽+综合反应斜管沉淀槽+综合芬顿反应槽+多介质过滤器+活性炭过滤器”系统进行处理，处理达标后由园区污水管网，入园区污水处理厂进一步处理</w:t>
      </w:r>
      <w:r>
        <w:rPr>
          <w:rFonts w:hint="eastAsia" w:ascii="Times New Roman"/>
          <w:bCs/>
          <w:sz w:val="24"/>
          <w:szCs w:val="24"/>
        </w:rPr>
        <w:t>；</w:t>
      </w:r>
      <w:r>
        <w:rPr>
          <w:rFonts w:ascii="Times New Roman"/>
          <w:bCs/>
          <w:sz w:val="24"/>
          <w:szCs w:val="24"/>
        </w:rPr>
        <w:t>纯水制备废水，直接由园区污水管网，入园区污水处理厂处理</w:t>
      </w:r>
      <w:r>
        <w:rPr>
          <w:rFonts w:ascii="Times New Roman"/>
          <w:sz w:val="24"/>
          <w:szCs w:val="20"/>
        </w:rPr>
        <w:t>。</w:t>
      </w:r>
    </w:p>
    <w:p w14:paraId="565B2AB0">
      <w:pPr>
        <w:spacing w:line="480" w:lineRule="exact"/>
        <w:ind w:firstLine="480" w:firstLineChars="200"/>
        <w:rPr>
          <w:rFonts w:ascii="Times New Roman"/>
          <w:kern w:val="0"/>
          <w:sz w:val="24"/>
          <w:szCs w:val="20"/>
        </w:rPr>
      </w:pPr>
      <w:r>
        <w:rPr>
          <w:rFonts w:ascii="Times New Roman"/>
          <w:sz w:val="24"/>
          <w:szCs w:val="20"/>
        </w:rPr>
        <w:t>不会对地表水环境产生明显影响。</w:t>
      </w:r>
    </w:p>
    <w:p w14:paraId="365B7C58">
      <w:pPr>
        <w:spacing w:line="480" w:lineRule="exact"/>
        <w:ind w:firstLine="480" w:firstLineChars="200"/>
        <w:rPr>
          <w:rFonts w:ascii="Times New Roman"/>
          <w:sz w:val="24"/>
          <w:szCs w:val="20"/>
        </w:rPr>
      </w:pPr>
      <w:r>
        <w:rPr>
          <w:rFonts w:ascii="Times New Roman"/>
          <w:sz w:val="24"/>
          <w:szCs w:val="20"/>
        </w:rPr>
        <w:t>（3）声环境影响</w:t>
      </w:r>
    </w:p>
    <w:p w14:paraId="2DF7F81C">
      <w:pPr>
        <w:spacing w:line="480" w:lineRule="exact"/>
        <w:ind w:firstLine="480" w:firstLineChars="200"/>
        <w:rPr>
          <w:rFonts w:ascii="Times New Roman"/>
          <w:sz w:val="24"/>
          <w:szCs w:val="24"/>
        </w:rPr>
      </w:pPr>
      <w:r>
        <w:rPr>
          <w:rFonts w:ascii="Times New Roman"/>
          <w:sz w:val="24"/>
          <w:szCs w:val="24"/>
        </w:rPr>
        <w:t>项目厂界噪声预测值满足《工业企业厂界环境噪声排放标准》（GB12348-2008）表中的3类标准的要求，本项目运营期噪声对周边环境影响较小。</w:t>
      </w:r>
    </w:p>
    <w:p w14:paraId="32FE1115">
      <w:pPr>
        <w:spacing w:line="480" w:lineRule="exact"/>
        <w:ind w:firstLine="480" w:firstLineChars="200"/>
        <w:rPr>
          <w:rFonts w:ascii="Times New Roman"/>
          <w:sz w:val="24"/>
          <w:szCs w:val="20"/>
        </w:rPr>
      </w:pPr>
      <w:r>
        <w:rPr>
          <w:rFonts w:ascii="Times New Roman"/>
          <w:sz w:val="24"/>
          <w:szCs w:val="20"/>
        </w:rPr>
        <w:t>（4）固体废物影响</w:t>
      </w:r>
    </w:p>
    <w:p w14:paraId="6D684115">
      <w:pPr>
        <w:spacing w:line="480" w:lineRule="exact"/>
        <w:ind w:firstLine="480" w:firstLineChars="200"/>
        <w:rPr>
          <w:rFonts w:ascii="Times New Roman"/>
          <w:sz w:val="24"/>
          <w:szCs w:val="20"/>
        </w:rPr>
      </w:pPr>
      <w:r>
        <w:rPr>
          <w:rFonts w:ascii="Times New Roman"/>
          <w:sz w:val="24"/>
          <w:szCs w:val="24"/>
        </w:rPr>
        <w:t>本项目运营期产生的固体废物，均得到妥善处置，运营期固体废物不外排，运营期固体废物对周围环境无影响。</w:t>
      </w:r>
    </w:p>
    <w:p w14:paraId="05F2B18D">
      <w:pPr>
        <w:spacing w:line="520" w:lineRule="exact"/>
        <w:outlineLvl w:val="2"/>
        <w:rPr>
          <w:rFonts w:ascii="Times New Roman"/>
          <w:b/>
          <w:sz w:val="28"/>
          <w:szCs w:val="28"/>
        </w:rPr>
      </w:pPr>
      <w:r>
        <w:rPr>
          <w:rFonts w:ascii="Times New Roman"/>
          <w:b/>
          <w:sz w:val="28"/>
          <w:szCs w:val="28"/>
        </w:rPr>
        <w:t>9.1.9总量控制指标</w:t>
      </w:r>
    </w:p>
    <w:p w14:paraId="7F456A2A">
      <w:pPr>
        <w:spacing w:line="480" w:lineRule="exact"/>
        <w:ind w:firstLine="480" w:firstLineChars="200"/>
        <w:rPr>
          <w:rFonts w:ascii="Times New Roman"/>
          <w:sz w:val="24"/>
          <w:szCs w:val="20"/>
        </w:rPr>
      </w:pPr>
      <w:r>
        <w:rPr>
          <w:rFonts w:ascii="Times New Roman"/>
          <w:sz w:val="24"/>
          <w:szCs w:val="20"/>
        </w:rPr>
        <w:t>本项目总量控制指标值为：</w:t>
      </w:r>
      <w:r>
        <w:rPr>
          <w:rFonts w:hint="eastAsia" w:ascii="Times New Roman"/>
          <w:sz w:val="24"/>
          <w:szCs w:val="24"/>
        </w:rPr>
        <w:t>COD：1.535</w:t>
      </w:r>
      <w:r>
        <w:rPr>
          <w:rFonts w:ascii="Times New Roman"/>
          <w:sz w:val="24"/>
          <w:szCs w:val="24"/>
        </w:rPr>
        <w:t>t/a，</w:t>
      </w:r>
      <w:r>
        <w:rPr>
          <w:rFonts w:hint="eastAsia" w:ascii="Times New Roman"/>
          <w:sz w:val="24"/>
          <w:szCs w:val="24"/>
        </w:rPr>
        <w:t>氨氮0.154</w:t>
      </w:r>
      <w:r>
        <w:rPr>
          <w:rFonts w:ascii="Times New Roman"/>
          <w:sz w:val="24"/>
          <w:szCs w:val="24"/>
        </w:rPr>
        <w:t>t/a，</w:t>
      </w:r>
      <w:r>
        <w:rPr>
          <w:rFonts w:ascii="Times New Roman"/>
          <w:spacing w:val="-6"/>
          <w:sz w:val="24"/>
          <w:szCs w:val="24"/>
        </w:rPr>
        <w:t>SO</w:t>
      </w:r>
      <w:r>
        <w:rPr>
          <w:rFonts w:ascii="Times New Roman"/>
          <w:spacing w:val="-6"/>
          <w:sz w:val="24"/>
          <w:szCs w:val="24"/>
          <w:vertAlign w:val="subscript"/>
        </w:rPr>
        <w:t>2</w:t>
      </w:r>
      <w:r>
        <w:rPr>
          <w:rFonts w:ascii="Times New Roman"/>
          <w:spacing w:val="-6"/>
          <w:sz w:val="24"/>
          <w:szCs w:val="24"/>
        </w:rPr>
        <w:t>：</w:t>
      </w:r>
      <w:r>
        <w:rPr>
          <w:rFonts w:hint="eastAsia" w:ascii="Times New Roman"/>
          <w:spacing w:val="-6"/>
          <w:sz w:val="24"/>
          <w:szCs w:val="24"/>
        </w:rPr>
        <w:t>6.364</w:t>
      </w:r>
      <w:r>
        <w:rPr>
          <w:rFonts w:ascii="Times New Roman"/>
          <w:sz w:val="24"/>
          <w:szCs w:val="24"/>
        </w:rPr>
        <w:t>t/a，</w:t>
      </w:r>
      <w:r>
        <w:rPr>
          <w:rFonts w:ascii="Times New Roman"/>
          <w:spacing w:val="-6"/>
          <w:sz w:val="24"/>
          <w:szCs w:val="24"/>
        </w:rPr>
        <w:t>NO</w:t>
      </w:r>
      <w:r>
        <w:rPr>
          <w:rFonts w:ascii="Times New Roman"/>
          <w:spacing w:val="-6"/>
          <w:sz w:val="24"/>
          <w:szCs w:val="24"/>
          <w:vertAlign w:val="subscript"/>
        </w:rPr>
        <w:t>X</w:t>
      </w:r>
      <w:r>
        <w:rPr>
          <w:rFonts w:ascii="Times New Roman"/>
          <w:spacing w:val="-6"/>
          <w:sz w:val="24"/>
          <w:szCs w:val="24"/>
        </w:rPr>
        <w:t>：</w:t>
      </w:r>
      <w:r>
        <w:rPr>
          <w:rFonts w:hint="eastAsia" w:ascii="Times New Roman"/>
          <w:spacing w:val="-6"/>
          <w:sz w:val="24"/>
          <w:szCs w:val="24"/>
        </w:rPr>
        <w:t>9.682</w:t>
      </w:r>
      <w:r>
        <w:rPr>
          <w:rFonts w:ascii="Times New Roman"/>
          <w:sz w:val="24"/>
          <w:szCs w:val="24"/>
        </w:rPr>
        <w:t>t/a，</w:t>
      </w:r>
      <w:r>
        <w:rPr>
          <w:rFonts w:ascii="Times New Roman"/>
          <w:spacing w:val="-6"/>
          <w:sz w:val="24"/>
          <w:szCs w:val="24"/>
        </w:rPr>
        <w:t>颗粒物：</w:t>
      </w:r>
      <w:r>
        <w:rPr>
          <w:rFonts w:hint="eastAsia" w:ascii="Times New Roman"/>
          <w:spacing w:val="-6"/>
          <w:sz w:val="24"/>
          <w:szCs w:val="24"/>
        </w:rPr>
        <w:t>41.805</w:t>
      </w:r>
      <w:r>
        <w:rPr>
          <w:rFonts w:ascii="Times New Roman"/>
          <w:spacing w:val="-6"/>
          <w:sz w:val="24"/>
          <w:szCs w:val="24"/>
        </w:rPr>
        <w:t>t/a，非甲烷总烃：</w:t>
      </w:r>
      <w:r>
        <w:rPr>
          <w:rFonts w:hint="eastAsia" w:ascii="Times New Roman"/>
          <w:spacing w:val="-6"/>
          <w:sz w:val="24"/>
          <w:szCs w:val="24"/>
        </w:rPr>
        <w:t>16.704</w:t>
      </w:r>
      <w:r>
        <w:rPr>
          <w:rFonts w:ascii="Times New Roman"/>
          <w:sz w:val="24"/>
          <w:szCs w:val="24"/>
        </w:rPr>
        <w:t>t/a</w:t>
      </w:r>
      <w:r>
        <w:rPr>
          <w:rFonts w:hint="eastAsia" w:ascii="Times New Roman"/>
          <w:sz w:val="24"/>
          <w:szCs w:val="24"/>
        </w:rPr>
        <w:t>，二甲苯16.704</w:t>
      </w:r>
      <w:r>
        <w:rPr>
          <w:rFonts w:ascii="Times New Roman"/>
          <w:sz w:val="24"/>
          <w:szCs w:val="24"/>
        </w:rPr>
        <w:t>t/a</w:t>
      </w:r>
      <w:r>
        <w:rPr>
          <w:rFonts w:hint="eastAsia" w:ascii="Times New Roman"/>
          <w:sz w:val="24"/>
          <w:szCs w:val="24"/>
        </w:rPr>
        <w:t>。</w:t>
      </w:r>
    </w:p>
    <w:p w14:paraId="1E700D39">
      <w:pPr>
        <w:spacing w:line="520" w:lineRule="exact"/>
        <w:outlineLvl w:val="2"/>
        <w:rPr>
          <w:rFonts w:ascii="Times New Roman"/>
          <w:b/>
          <w:sz w:val="28"/>
          <w:szCs w:val="28"/>
        </w:rPr>
      </w:pPr>
      <w:r>
        <w:rPr>
          <w:rFonts w:ascii="Times New Roman"/>
          <w:b/>
          <w:sz w:val="28"/>
          <w:szCs w:val="28"/>
        </w:rPr>
        <w:t>9.1.10公众参与调查结论</w:t>
      </w:r>
    </w:p>
    <w:p w14:paraId="69D650E6">
      <w:pPr>
        <w:spacing w:line="460" w:lineRule="exact"/>
        <w:ind w:firstLine="480" w:firstLineChars="200"/>
        <w:rPr>
          <w:rFonts w:ascii="Times New Roman"/>
          <w:sz w:val="24"/>
          <w:szCs w:val="20"/>
        </w:rPr>
      </w:pPr>
      <w:r>
        <w:rPr>
          <w:rFonts w:ascii="Times New Roman"/>
          <w:sz w:val="24"/>
          <w:szCs w:val="20"/>
        </w:rPr>
        <w:t>本次环评过程中，建设单位采取网络、报纸的方式进行了公众参与调查，广泛调查了解公众对本项目建设的看法。本项目征求意见稿公示期间，未收到公众关于本项目的反馈意见。</w:t>
      </w:r>
    </w:p>
    <w:p w14:paraId="3DB3DE13">
      <w:pPr>
        <w:spacing w:line="520" w:lineRule="exact"/>
        <w:outlineLvl w:val="2"/>
        <w:rPr>
          <w:rFonts w:ascii="Times New Roman"/>
          <w:b/>
          <w:sz w:val="28"/>
          <w:szCs w:val="28"/>
        </w:rPr>
      </w:pPr>
      <w:r>
        <w:rPr>
          <w:rFonts w:ascii="Times New Roman"/>
          <w:b/>
          <w:sz w:val="28"/>
          <w:szCs w:val="28"/>
        </w:rPr>
        <w:t>9.1.11其他分析结论</w:t>
      </w:r>
    </w:p>
    <w:p w14:paraId="7F39F785">
      <w:pPr>
        <w:widowControl/>
        <w:spacing w:line="440" w:lineRule="exact"/>
        <w:ind w:firstLine="480" w:firstLineChars="200"/>
        <w:rPr>
          <w:rFonts w:ascii="Times New Roman"/>
          <w:sz w:val="24"/>
        </w:rPr>
      </w:pPr>
      <w:r>
        <w:rPr>
          <w:rFonts w:ascii="Times New Roman"/>
          <w:snapToGrid w:val="0"/>
          <w:kern w:val="0"/>
          <w:sz w:val="24"/>
          <w:szCs w:val="24"/>
        </w:rPr>
        <w:t>本项目具有较好的经济效益和社会效益。同时，工程在采取完善的环保治理措施后，不会对当地环境产生明显影响，基本做到环境效益和社会效益的协调发展。</w:t>
      </w:r>
    </w:p>
    <w:p w14:paraId="7B8728BB">
      <w:pPr>
        <w:widowControl/>
        <w:spacing w:line="440" w:lineRule="exact"/>
        <w:ind w:firstLine="480" w:firstLineChars="200"/>
        <w:rPr>
          <w:rFonts w:ascii="Times New Roman"/>
          <w:sz w:val="24"/>
        </w:rPr>
      </w:pPr>
      <w:r>
        <w:rPr>
          <w:rFonts w:ascii="Times New Roman"/>
          <w:sz w:val="24"/>
        </w:rPr>
        <w:t>本项目根据《排污单位自行监测技术指南 总则》（HJ 819-2017）</w:t>
      </w:r>
      <w:r>
        <w:rPr>
          <w:rFonts w:ascii="Times New Roman"/>
          <w:sz w:val="24"/>
          <w:szCs w:val="24"/>
        </w:rPr>
        <w:t>）、</w:t>
      </w:r>
      <w:r>
        <w:rPr>
          <w:rFonts w:ascii="Times New Roman"/>
          <w:sz w:val="24"/>
        </w:rPr>
        <w:t>《排污单位自行监测技术指南 涂装》（HJ1086-2020）</w:t>
      </w:r>
      <w:r>
        <w:rPr>
          <w:rFonts w:hint="eastAsia" w:ascii="Times New Roman"/>
          <w:sz w:val="24"/>
        </w:rPr>
        <w:t>和</w:t>
      </w:r>
      <w:r>
        <w:rPr>
          <w:rFonts w:ascii="Times New Roman"/>
          <w:sz w:val="24"/>
        </w:rPr>
        <w:t>《排污单位自行监测技术指南 火力发电及锅炉》要求对本项目涉及的废气污染源、厂界噪声等提出了污染源监测计划及环境质量现状监测计划，并对排污口提出了规范化管理的要求。</w:t>
      </w:r>
    </w:p>
    <w:p w14:paraId="35458FDB">
      <w:pPr>
        <w:spacing w:line="520" w:lineRule="exact"/>
        <w:outlineLvl w:val="2"/>
        <w:rPr>
          <w:rFonts w:ascii="Times New Roman"/>
          <w:b/>
          <w:sz w:val="28"/>
          <w:szCs w:val="28"/>
        </w:rPr>
      </w:pPr>
      <w:r>
        <w:rPr>
          <w:rFonts w:ascii="Times New Roman"/>
          <w:b/>
          <w:sz w:val="28"/>
          <w:szCs w:val="28"/>
        </w:rPr>
        <w:t>9.1.12项目可行性结论</w:t>
      </w:r>
    </w:p>
    <w:p w14:paraId="65502377">
      <w:pPr>
        <w:tabs>
          <w:tab w:val="left" w:pos="0"/>
        </w:tabs>
        <w:spacing w:line="480" w:lineRule="exact"/>
        <w:ind w:firstLine="480" w:firstLineChars="200"/>
        <w:rPr>
          <w:rFonts w:ascii="Times New Roman"/>
          <w:sz w:val="24"/>
          <w:szCs w:val="24"/>
        </w:rPr>
      </w:pPr>
      <w:r>
        <w:rPr>
          <w:rFonts w:hint="eastAsia" w:ascii="Times New Roman"/>
          <w:sz w:val="24"/>
          <w:szCs w:val="24"/>
        </w:rPr>
        <w:t>运机(唐山)装备有限公司数字孪生智能输送机生产项目</w:t>
      </w:r>
      <w:r>
        <w:rPr>
          <w:rFonts w:ascii="Times New Roman"/>
          <w:sz w:val="24"/>
          <w:szCs w:val="24"/>
        </w:rPr>
        <w:t>符合国家及地方产业政策，选址符合相关规划要求。污染源治理措施可靠有效，污染物均能够达标排放，固体废物能得到合理处置，根据建设单位提供的公众参与调查单行本表明，公示期间未收到任何公众反馈意见，无公众反对项目建设。在全面加强监督管理，执行环保“三同时”制度和认真落实各项环保措施的条件下，从环境保护角度分析，项目建设可行。</w:t>
      </w:r>
    </w:p>
    <w:p w14:paraId="2F5E71FD">
      <w:pPr>
        <w:widowControl/>
        <w:spacing w:line="520" w:lineRule="exact"/>
        <w:jc w:val="left"/>
        <w:outlineLvl w:val="1"/>
        <w:rPr>
          <w:rFonts w:ascii="Times New Roman"/>
          <w:b/>
          <w:sz w:val="30"/>
          <w:szCs w:val="30"/>
        </w:rPr>
      </w:pPr>
      <w:bookmarkStart w:id="279" w:name="_Toc2963"/>
      <w:r>
        <w:rPr>
          <w:rFonts w:ascii="Times New Roman"/>
          <w:b/>
          <w:sz w:val="30"/>
          <w:szCs w:val="30"/>
        </w:rPr>
        <w:t>9.2建议</w:t>
      </w:r>
      <w:bookmarkEnd w:id="279"/>
    </w:p>
    <w:p w14:paraId="3FC039BA">
      <w:pPr>
        <w:spacing w:line="440" w:lineRule="exact"/>
        <w:ind w:firstLine="482"/>
        <w:rPr>
          <w:rFonts w:ascii="Times New Roman"/>
          <w:sz w:val="24"/>
          <w:szCs w:val="24"/>
        </w:rPr>
      </w:pPr>
      <w:r>
        <w:rPr>
          <w:rFonts w:ascii="Times New Roman"/>
          <w:sz w:val="24"/>
          <w:szCs w:val="24"/>
        </w:rPr>
        <w:t>（1）严格执行“三同时”制度，打足用好环保资金，确保各类环保设施与主体工程同时设计、同时施工、同时投入运行。</w:t>
      </w:r>
    </w:p>
    <w:p w14:paraId="1C9FF9E1">
      <w:pPr>
        <w:spacing w:line="440" w:lineRule="exact"/>
        <w:ind w:firstLine="482"/>
        <w:rPr>
          <w:rFonts w:ascii="Times New Roman"/>
          <w:sz w:val="24"/>
          <w:szCs w:val="24"/>
        </w:rPr>
      </w:pPr>
      <w:r>
        <w:rPr>
          <w:rFonts w:ascii="Times New Roman"/>
          <w:sz w:val="24"/>
          <w:szCs w:val="24"/>
        </w:rPr>
        <w:t>（2）重视和加强对企业内部环境保护工作的领导和管理，明确职责和分工；定期对废气、废水、噪声、固废等治理、暂存设施进行检查和维修，保证污染治理设施长期稳定达标排放，最大限度地减少污染物的排放量。</w:t>
      </w:r>
    </w:p>
    <w:p w14:paraId="29A65CD0">
      <w:pPr>
        <w:spacing w:line="440" w:lineRule="exact"/>
        <w:ind w:firstLine="482"/>
        <w:rPr>
          <w:rFonts w:ascii="Times New Roman"/>
          <w:sz w:val="24"/>
          <w:szCs w:val="24"/>
        </w:rPr>
      </w:pPr>
      <w:r>
        <w:rPr>
          <w:rFonts w:ascii="Times New Roman"/>
          <w:sz w:val="24"/>
          <w:szCs w:val="24"/>
        </w:rPr>
        <w:t>（3）搞好厂区防渗处理和硬化，减少污染物下渗对地下水、土壤等外环境的影响。</w:t>
      </w:r>
    </w:p>
    <w:p w14:paraId="16FF42D2">
      <w:pPr>
        <w:spacing w:line="360" w:lineRule="auto"/>
        <w:ind w:left="-7" w:leftChars="-3" w:firstLine="480" w:firstLineChars="200"/>
        <w:jc w:val="left"/>
        <w:rPr>
          <w:rFonts w:ascii="Times New Roman"/>
          <w:sz w:val="24"/>
          <w:szCs w:val="20"/>
        </w:rPr>
      </w:pPr>
      <w:r>
        <w:rPr>
          <w:rFonts w:ascii="Times New Roman"/>
          <w:sz w:val="24"/>
          <w:szCs w:val="24"/>
        </w:rPr>
        <w:t>（4）应重视引进和建立先进的环保管理模式，完善管理机制，强化职工自身的环保意识，注重企业的持续清洁生产改进</w:t>
      </w:r>
      <w:r>
        <w:rPr>
          <w:rFonts w:ascii="Times New Roman"/>
          <w:sz w:val="24"/>
          <w:szCs w:val="20"/>
        </w:rPr>
        <w:t>。</w:t>
      </w:r>
      <w:bookmarkEnd w:id="164"/>
      <w:bookmarkEnd w:id="165"/>
      <w:bookmarkEnd w:id="166"/>
      <w:bookmarkEnd w:id="167"/>
    </w:p>
    <w:sectPr>
      <w:pgSz w:w="11906" w:h="16838"/>
      <w:pgMar w:top="1440" w:right="1800" w:bottom="1440" w:left="1800" w:header="1134" w:footer="1134" w:gutter="0"/>
      <w:cols w:space="425" w:num="1"/>
      <w:docGrid w:type="lines"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FLGPEK+TimesNewRoman,Italic">
    <w:altName w:val="宋体"/>
    <w:panose1 w:val="00000000000000000000"/>
    <w:charset w:val="86"/>
    <w:family w:val="roman"/>
    <w:pitch w:val="default"/>
    <w:sig w:usb0="00000000" w:usb1="00000000" w:usb2="0000001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微软雅黑"/>
    <w:panose1 w:val="00000000000000000000"/>
    <w:charset w:val="00"/>
    <w:family w:val="auto"/>
    <w:pitch w:val="default"/>
    <w:sig w:usb0="00000000" w:usb1="00000000" w:usb2="00000000" w:usb3="00000000" w:csb0="00000000" w:csb1="00000000"/>
  </w:font>
  <w:font w:name="Batang">
    <w:panose1 w:val="02030600000101010101"/>
    <w:charset w:val="81"/>
    <w:family w:val="roman"/>
    <w:pitch w:val="default"/>
    <w:sig w:usb0="B00002AF" w:usb1="69D77CFB" w:usb2="00000030" w:usb3="00000000" w:csb0="4008009F" w:csb1="DFD7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monospace">
    <w:altName w:val="hakuyoxingshu7000"/>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汉仪中宋简">
    <w:altName w:val="宋体"/>
    <w:panose1 w:val="00000000000000000000"/>
    <w:charset w:val="00"/>
    <w:family w:val="auto"/>
    <w:pitch w:val="default"/>
    <w:sig w:usb0="00000000" w:usb1="00000000" w:usb2="00000000" w:usb3="00000000" w:csb0="00000000" w:csb1="00000000"/>
  </w:font>
  <w:font w:name="华康简仿宋">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FreeSerif">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Matisse ITC">
    <w:altName w:val="Segoe Print"/>
    <w:panose1 w:val="00000000000000000000"/>
    <w:charset w:val="00"/>
    <w:family w:val="auto"/>
    <w:pitch w:val="default"/>
    <w:sig w:usb0="00000000" w:usb1="00000000" w:usb2="00000000" w:usb3="00000000" w:csb0="00000001" w:csb1="00000000"/>
  </w:font>
  <w:font w:name="URW Bookman">
    <w:altName w:val="Segoe Print"/>
    <w:panose1 w:val="00000400000000000000"/>
    <w:charset w:val="00"/>
    <w:family w:val="auto"/>
    <w:pitch w:val="default"/>
    <w:sig w:usb0="00000000" w:usb1="00000000" w:usb2="00000000" w:usb3="00000000" w:csb0="6000009F" w:csb1="00000000"/>
  </w:font>
  <w:font w:name="lucida Grande">
    <w:altName w:val="hakuyoxingshu7000"/>
    <w:panose1 w:val="00000000000000000000"/>
    <w:charset w:val="01"/>
    <w:family w:val="auto"/>
    <w:pitch w:val="default"/>
    <w:sig w:usb0="00000000" w:usb1="00000000" w:usb2="00000000" w:usb3="00000000" w:csb0="00040001" w:csb1="00000000"/>
  </w:font>
  <w:font w:name="AngsanaUPC">
    <w:panose1 w:val="02020603050405020304"/>
    <w:charset w:val="00"/>
    <w:family w:val="roman"/>
    <w:pitch w:val="default"/>
    <w:sig w:usb0="81000003" w:usb1="00000000" w:usb2="00000000" w:usb3="00000000" w:csb0="00010001" w:csb1="00000000"/>
  </w:font>
  <w:font w:name="Sim Sun">
    <w:altName w:val="宋体"/>
    <w:panose1 w:val="00000000000000000000"/>
    <w:charset w:val="86"/>
    <w:family w:val="swiss"/>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体">
    <w:altName w:val="仿宋"/>
    <w:panose1 w:val="00000000000000000000"/>
    <w:charset w:val="86"/>
    <w:family w:val="roman"/>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方正书宋_GBK">
    <w:altName w:val="微软雅黑"/>
    <w:panose1 w:val="02000000000000000000"/>
    <w:charset w:val="86"/>
    <w:family w:val="auto"/>
    <w:pitch w:val="default"/>
    <w:sig w:usb0="00000000" w:usb1="00000000" w:usb2="00082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长城楷体">
    <w:altName w:val="宋体"/>
    <w:panose1 w:val="00000000000000000000"/>
    <w:charset w:val="86"/>
    <w:family w:val="modern"/>
    <w:pitch w:val="default"/>
    <w:sig w:usb0="00000000" w:usb1="00000000" w:usb2="00000010" w:usb3="00000000" w:csb0="00040000" w:csb1="00000000"/>
  </w:font>
  <w:font w:name="Century">
    <w:altName w:val="Nyala"/>
    <w:panose1 w:val="0204060405050502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80F3C52" w:usb2="00000016" w:usb3="00000000" w:csb0="0004001F" w:csb1="00000000"/>
  </w:font>
  <w:font w:name="Garamond">
    <w:altName w:val="PMingLiU-ExtB"/>
    <w:panose1 w:val="02020404030301010803"/>
    <w:charset w:val="00"/>
    <w:family w:val="roman"/>
    <w:pitch w:val="default"/>
    <w:sig w:usb0="00000000" w:usb1="00000000" w:usb2="00000000" w:usb3="00000000" w:csb0="0000009F" w:csb1="00000000"/>
  </w:font>
  <w:font w:name="Arial Narrow">
    <w:altName w:val="Arial"/>
    <w:panose1 w:val="020B0606020202030204"/>
    <w:charset w:val="00"/>
    <w:family w:val="swiss"/>
    <w:pitch w:val="default"/>
    <w:sig w:usb0="00000000" w:usb1="00000000" w:usb2="00000000" w:usb3="00000000" w:csb0="0000009F" w:csb1="00000000"/>
  </w:font>
  <w:font w:name="Gungsuh">
    <w:panose1 w:val="02030600000101010101"/>
    <w:charset w:val="81"/>
    <w:family w:val="roman"/>
    <w:pitch w:val="default"/>
    <w:sig w:usb0="B00002AF" w:usb1="69D77CFB" w:usb2="00000030" w:usb3="00000000" w:csb0="4008009F" w:csb1="DFD70000"/>
  </w:font>
  <w:font w:name="Vladimir Script">
    <w:altName w:val="DejaVu Math TeX Gyre"/>
    <w:panose1 w:val="03050402040407070305"/>
    <w:charset w:val="00"/>
    <w:family w:val="script"/>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ӗԲ">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hicago">
    <w:altName w:val="Segoe Print"/>
    <w:panose1 w:val="00000000000000000000"/>
    <w:charset w:val="00"/>
    <w:family w:val="swiss"/>
    <w:pitch w:val="default"/>
    <w:sig w:usb0="00000000" w:usb1="00000000" w:usb2="00000000" w:usb3="00000000" w:csb0="00000001" w:csb1="00000000"/>
  </w:font>
  <w:font w:name="DFKai-SB">
    <w:panose1 w:val="03000509000000000000"/>
    <w:charset w:val="88"/>
    <w:family w:val="script"/>
    <w:pitch w:val="default"/>
    <w:sig w:usb0="00000003" w:usb1="082E0000" w:usb2="00000016" w:usb3="00000000" w:csb0="00100001" w:csb1="00000000"/>
  </w:font>
  <w:font w:name="Century Schoolbook">
    <w:altName w:val="Segoe Print"/>
    <w:panose1 w:val="02040604050505020304"/>
    <w:charset w:val="00"/>
    <w:family w:val="roman"/>
    <w:pitch w:val="default"/>
    <w:sig w:usb0="00000000" w:usb1="00000000" w:usb2="00000000" w:usb3="00000000" w:csb0="0000009F" w:csb1="00000000"/>
  </w:font>
  <w:font w:name="@宋体">
    <w:panose1 w:val="02010600030101010101"/>
    <w:charset w:val="86"/>
    <w:family w:val="auto"/>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 w:name="汉鼎简书宋">
    <w:altName w:val="宋体"/>
    <w:panose1 w:val="00000000000000000000"/>
    <w:charset w:val="00"/>
    <w:family w:val="auto"/>
    <w:pitch w:val="default"/>
    <w:sig w:usb0="00000000" w:usb1="00000000" w:usb2="00000000"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華康中楷體">
    <w:altName w:val="Microsoft JhengHei"/>
    <w:panose1 w:val="00000000000000000000"/>
    <w:charset w:val="88"/>
    <w:family w:val="modern"/>
    <w:pitch w:val="default"/>
    <w:sig w:usb0="00000000" w:usb1="00000000" w:usb2="00000010" w:usb3="00000000" w:csb0="00100000" w:csb1="00000000"/>
  </w:font>
  <w:font w:name="Symusic">
    <w:altName w:val="Segoe Print"/>
    <w:panose1 w:val="00000000000000000000"/>
    <w:charset w:val="00"/>
    <w:family w:val="auto"/>
    <w:pitch w:val="default"/>
    <w:sig w:usb0="00000000" w:usb1="00000000" w:usb2="00000000" w:usb3="00000000" w:csb0="000001FF" w:csb1="00000000"/>
  </w:font>
  <w:font w:name="JIJGJC+TimesNewRomanPS">
    <w:altName w:val="宋体"/>
    <w:panose1 w:val="00000000000000000000"/>
    <w:charset w:val="86"/>
    <w:family w:val="roman"/>
    <w:pitch w:val="default"/>
    <w:sig w:usb0="00000000" w:usb1="00000000" w:usb2="00000010" w:usb3="00000000" w:csb0="00040000" w:csb1="00000000"/>
  </w:font>
  <w:font w:name="Mincho">
    <w:altName w:val="MS Mincho"/>
    <w:panose1 w:val="02020609040305080305"/>
    <w:charset w:val="80"/>
    <w:family w:val="roman"/>
    <w:pitch w:val="default"/>
    <w:sig w:usb0="00000000" w:usb1="00000000" w:usb2="00000010" w:usb3="00000000" w:csb0="00020000" w:csb1="00000000"/>
  </w:font>
  <w:font w:name="Arial Black">
    <w:panose1 w:val="020B0A04020102020204"/>
    <w:charset w:val="00"/>
    <w:family w:val="swiss"/>
    <w:pitch w:val="default"/>
    <w:sig w:usb0="00000287" w:usb1="00000000" w:usb2="00000000" w:usb3="00000000" w:csb0="2000009F" w:csb1="DFD70000"/>
  </w:font>
  <w:font w:name="Sim Sun+ 2">
    <w:altName w:val="宋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方正隶书_GBK">
    <w:altName w:val="宋体"/>
    <w:panose1 w:val="00000000000000000000"/>
    <w:charset w:val="00"/>
    <w:family w:val="auto"/>
    <w:pitch w:val="default"/>
    <w:sig w:usb0="00000000" w:usb1="00000000" w:usb2="00000000" w:usb3="00000000" w:csb0="00000000" w:csb1="00000000"/>
  </w:font>
  <w:font w:name="华文行楷">
    <w:altName w:val="微软雅黑"/>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PMingLiU-ExtB">
    <w:panose1 w:val="02020500000000000000"/>
    <w:charset w:val="88"/>
    <w:family w:val="roman"/>
    <w:pitch w:val="default"/>
    <w:sig w:usb0="8000002F" w:usb1="02000008" w:usb2="00000000" w:usb3="00000000" w:csb0="00100001" w:csb1="00000000"/>
  </w:font>
  <w:font w:name="等线">
    <w:altName w:val="微软雅黑"/>
    <w:panose1 w:val="00000000000000000000"/>
    <w:charset w:val="86"/>
    <w:family w:val="roman"/>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Standard Symbols PS">
    <w:altName w:val="Segoe Print"/>
    <w:panose1 w:val="05050102010706020507"/>
    <w:charset w:val="00"/>
    <w:family w:val="auto"/>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Segoe Print">
    <w:panose1 w:val="02000600000000000000"/>
    <w:charset w:val="00"/>
    <w:family w:val="auto"/>
    <w:pitch w:val="default"/>
    <w:sig w:usb0="0000028F" w:usb1="00000000" w:usb2="00000000" w:usb3="00000000" w:csb0="2000009F" w:csb1="47010000"/>
  </w:font>
  <w:font w:name="hakuyoxingshu7000">
    <w:panose1 w:val="02000600000000000000"/>
    <w:charset w:val="86"/>
    <w:family w:val="auto"/>
    <w:pitch w:val="default"/>
    <w:sig w:usb0="FFFFFFFF" w:usb1="E9FFFFFF" w:usb2="0000003F" w:usb3="00000000" w:csb0="603F00FF" w:csb1="FFFF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276A6">
    <w:pPr>
      <w:pStyle w:val="51"/>
      <w:jc w:val="center"/>
    </w:pPr>
  </w:p>
  <w:p w14:paraId="304D7D1B">
    <w:pPr>
      <w:pStyle w:val="5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5E685">
    <w:pPr>
      <w:pStyle w:val="51"/>
      <w:pBdr>
        <w:top w:val="thickThinSmallGap" w:color="auto" w:sz="24" w:space="1"/>
        <w:left w:val="none" w:color="auto" w:sz="0" w:space="4"/>
        <w:bottom w:val="none" w:color="auto" w:sz="0" w:space="1"/>
        <w:right w:val="none" w:color="auto" w:sz="0" w:space="4"/>
      </w:pBd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C2DB69">
                          <w:pPr>
                            <w:pStyle w:val="51"/>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VbXugzsCAABxBAAADgAAAAAAAAABACAAAAAfAQAAZHJzL2Uyb0Rv&#10;Yy54bWxQSwUGAAAAAAYABgBZAQAAzAUAAAAA&#10;">
              <v:fill on="f" focussize="0,0"/>
              <v:stroke on="f" weight="0.5pt"/>
              <v:imagedata o:title=""/>
              <o:lock v:ext="edit" aspectratio="f"/>
              <v:textbox inset="0mm,0mm,0mm,0mm" style="mso-fit-shape-to-text:t;">
                <w:txbxContent>
                  <w:p w14:paraId="18C2DB69">
                    <w:pPr>
                      <w:pStyle w:val="51"/>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38200">
    <w:pPr>
      <w:pStyle w:val="51"/>
      <w:pBdr>
        <w:top w:val="thickThinSmallGap" w:color="333333" w:sz="24" w:space="1"/>
      </w:pBdr>
      <w:jc w:val="center"/>
      <w:rPr>
        <w:sz w:val="21"/>
        <w:szCs w:val="3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EFE4CC">
                          <w:pPr>
                            <w:pStyle w:val="5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z+Z0HOgIAAHEEAAAOAAAAAAAAAAEAIAAAAB8BAABkcnMvZTJvRG9j&#10;LnhtbFBLBQYAAAAABgAGAFkBAADLBQAAAAA=&#10;">
              <v:fill on="f" focussize="0,0"/>
              <v:stroke on="f" weight="0.5pt"/>
              <v:imagedata o:title=""/>
              <o:lock v:ext="edit" aspectratio="f"/>
              <v:textbox inset="0mm,0mm,0mm,0mm" style="mso-fit-shape-to-text:t;">
                <w:txbxContent>
                  <w:p w14:paraId="4AEFE4CC">
                    <w:pPr>
                      <w:pStyle w:val="5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1857"/>
    </w:sdtPr>
    <w:sdtEndPr>
      <w:rPr>
        <w:sz w:val="21"/>
        <w:szCs w:val="32"/>
      </w:rPr>
    </w:sdtEndPr>
    <w:sdtContent>
      <w:p w14:paraId="0CA505B5">
        <w:pPr>
          <w:pStyle w:val="51"/>
          <w:pBdr>
            <w:top w:val="thickThinSmallGap" w:color="333333" w:sz="24" w:space="1"/>
          </w:pBdr>
          <w:jc w:val="center"/>
          <w:rPr>
            <w:sz w:val="21"/>
            <w:szCs w:val="32"/>
          </w:rPr>
        </w:pPr>
        <w:r>
          <w:rPr>
            <w:sz w:val="21"/>
            <w:szCs w:val="32"/>
          </w:rPr>
          <w:fldChar w:fldCharType="begin"/>
        </w:r>
        <w:r>
          <w:rPr>
            <w:sz w:val="21"/>
            <w:szCs w:val="32"/>
          </w:rPr>
          <w:instrText xml:space="preserve">PAGE   \* MERGEFORMAT</w:instrText>
        </w:r>
        <w:r>
          <w:rPr>
            <w:sz w:val="21"/>
            <w:szCs w:val="32"/>
          </w:rPr>
          <w:fldChar w:fldCharType="separate"/>
        </w:r>
        <w:r>
          <w:rPr>
            <w:sz w:val="21"/>
            <w:szCs w:val="32"/>
            <w:lang w:val="zh-CN"/>
          </w:rPr>
          <w:t>79</w:t>
        </w:r>
        <w:r>
          <w:rPr>
            <w:sz w:val="21"/>
            <w:szCs w:val="32"/>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3418496"/>
    </w:sdtPr>
    <w:sdtEndPr>
      <w:rPr>
        <w:sz w:val="21"/>
        <w:szCs w:val="32"/>
      </w:rPr>
    </w:sdtEndPr>
    <w:sdtContent>
      <w:p w14:paraId="4810FEE5">
        <w:pPr>
          <w:pStyle w:val="51"/>
          <w:pBdr>
            <w:top w:val="thickThinSmallGap" w:color="333333" w:sz="24" w:space="1"/>
          </w:pBdr>
          <w:jc w:val="center"/>
          <w:rPr>
            <w:sz w:val="21"/>
            <w:szCs w:val="32"/>
          </w:rPr>
        </w:pPr>
        <w:r>
          <w:rPr>
            <w:sz w:val="21"/>
            <w:szCs w:val="32"/>
          </w:rPr>
          <w:fldChar w:fldCharType="begin"/>
        </w:r>
        <w:r>
          <w:rPr>
            <w:sz w:val="21"/>
            <w:szCs w:val="32"/>
          </w:rPr>
          <w:instrText xml:space="preserve">PAGE   \* MERGEFORMAT</w:instrText>
        </w:r>
        <w:r>
          <w:rPr>
            <w:sz w:val="21"/>
            <w:szCs w:val="32"/>
          </w:rPr>
          <w:fldChar w:fldCharType="separate"/>
        </w:r>
        <w:r>
          <w:rPr>
            <w:sz w:val="21"/>
            <w:szCs w:val="32"/>
            <w:lang w:val="zh-CN"/>
          </w:rPr>
          <w:t>93</w:t>
        </w:r>
        <w:r>
          <w:rPr>
            <w:sz w:val="21"/>
            <w:szCs w:val="32"/>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85322">
    <w:pPr>
      <w:pStyle w:val="51"/>
      <w:framePr w:wrap="around" w:vAnchor="text" w:hAnchor="margin" w:xAlign="center" w:y="1"/>
      <w:ind w:firstLine="360"/>
      <w:rPr>
        <w:rStyle w:val="132"/>
      </w:rPr>
    </w:pPr>
    <w:r>
      <w:fldChar w:fldCharType="begin"/>
    </w:r>
    <w:r>
      <w:rPr>
        <w:rStyle w:val="132"/>
      </w:rPr>
      <w:instrText xml:space="preserve">PAGE  </w:instrText>
    </w:r>
    <w:r>
      <w:fldChar w:fldCharType="end"/>
    </w:r>
  </w:p>
  <w:p w14:paraId="3E4B97FC">
    <w:pPr>
      <w:pStyle w:val="5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41C5D">
    <w:pPr>
      <w:pStyle w:val="51"/>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FBD3">
    <w:pPr>
      <w:wordWrap w:val="0"/>
      <w:jc w:val="left"/>
      <w:rPr>
        <w:rFonts w:ascii="黑体" w:eastAsia="黑体"/>
        <w:szCs w:val="21"/>
      </w:rPr>
    </w:pPr>
    <w:r>
      <w:rPr>
        <w:rFonts w:ascii="黑体" w:eastAsia="黑体"/>
        <w:b/>
        <w:szCs w:val="21"/>
      </w:rPr>
      <mc:AlternateContent>
        <mc:Choice Requires="wps">
          <w:drawing>
            <wp:anchor distT="0" distB="0" distL="114300" distR="114300" simplePos="0" relativeHeight="251684864" behindDoc="0" locked="0" layoutInCell="1" allowOverlap="1">
              <wp:simplePos x="0" y="0"/>
              <wp:positionH relativeFrom="column">
                <wp:posOffset>-8255</wp:posOffset>
              </wp:positionH>
              <wp:positionV relativeFrom="paragraph">
                <wp:posOffset>-10160</wp:posOffset>
              </wp:positionV>
              <wp:extent cx="5561965" cy="0"/>
              <wp:effectExtent l="0" t="4445" r="0" b="5080"/>
              <wp:wrapNone/>
              <wp:docPr id="110" name="AutoShape 4"/>
              <wp:cNvGraphicFramePr/>
              <a:graphic xmlns:a="http://schemas.openxmlformats.org/drawingml/2006/main">
                <a:graphicData uri="http://schemas.microsoft.com/office/word/2010/wordprocessingShape">
                  <wps:wsp>
                    <wps:cNvCnPr>
                      <a:cxnSpLocks noChangeShapeType="1"/>
                    </wps:cNvCnPr>
                    <wps:spPr bwMode="auto">
                      <a:xfrm>
                        <a:off x="0" y="0"/>
                        <a:ext cx="5561965" cy="0"/>
                      </a:xfrm>
                      <a:prstGeom prst="straightConnector1">
                        <a:avLst/>
                      </a:prstGeom>
                      <a:noFill/>
                      <a:ln w="9525">
                        <a:solidFill>
                          <a:srgbClr val="000000"/>
                        </a:solidFill>
                        <a:round/>
                      </a:ln>
                      <a:effectLst/>
                    </wps:spPr>
                    <wps:bodyPr/>
                  </wps:wsp>
                </a:graphicData>
              </a:graphic>
            </wp:anchor>
          </w:drawing>
        </mc:Choice>
        <mc:Fallback>
          <w:pict>
            <v:shape id="AutoShape 4" o:spid="_x0000_s1026" o:spt="32" type="#_x0000_t32" style="position:absolute;left:0pt;margin-left:-0.65pt;margin-top:-0.8pt;height:0pt;width:437.95pt;z-index:251684864;mso-width-relative:page;mso-height-relative:page;" filled="f" stroked="t" coordsize="21600,21600" o:gfxdata="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Cmhxv1gAAAAgBAAAPAAAAAAAA&#10;AAEAIAAAACIAAABkcnMvZG93bnJldi54bWxQSwECFAAUAAAACACHTuJARrYsetsBAADCAwAADgAA&#10;AAAAAAABACAAAAAlAQAAZHJzL2Uyb0RvYy54bWxQSwUGAAAAAAYABgBZAQAAcgUAAAAA&#10;">
              <v:fill on="f" focussize="0,0"/>
              <v:stroke color="#000000" joinstyle="round"/>
              <v:imagedata o:title=""/>
              <o:lock v:ext="edit" aspectratio="f"/>
            </v:shape>
          </w:pict>
        </mc:Fallback>
      </mc:AlternateContent>
    </w:r>
    <w:r>
      <w:rPr>
        <w:rStyle w:val="132"/>
        <w:rFonts w:hint="eastAsia" w:ascii="黑体" w:eastAsia="黑体"/>
        <w:b/>
        <w:szCs w:val="21"/>
      </w:rPr>
      <w:t xml:space="preserve">- </w:t>
    </w:r>
    <w:r>
      <w:rPr>
        <w:rStyle w:val="132"/>
        <w:rFonts w:hint="eastAsia" w:ascii="黑体" w:eastAsia="黑体"/>
        <w:b/>
        <w:szCs w:val="21"/>
      </w:rPr>
      <w:fldChar w:fldCharType="begin"/>
    </w:r>
    <w:r>
      <w:rPr>
        <w:rStyle w:val="132"/>
        <w:rFonts w:hint="eastAsia" w:ascii="黑体" w:eastAsia="黑体"/>
        <w:b/>
        <w:szCs w:val="21"/>
      </w:rPr>
      <w:instrText xml:space="preserve"> PAGE </w:instrText>
    </w:r>
    <w:r>
      <w:rPr>
        <w:rStyle w:val="132"/>
        <w:rFonts w:hint="eastAsia" w:ascii="黑体" w:eastAsia="黑体"/>
        <w:b/>
        <w:szCs w:val="21"/>
      </w:rPr>
      <w:fldChar w:fldCharType="separate"/>
    </w:r>
    <w:r>
      <w:rPr>
        <w:rStyle w:val="132"/>
        <w:rFonts w:ascii="黑体" w:eastAsia="黑体"/>
        <w:b/>
        <w:szCs w:val="21"/>
      </w:rPr>
      <w:t>256</w:t>
    </w:r>
    <w:r>
      <w:rPr>
        <w:rStyle w:val="132"/>
        <w:rFonts w:hint="eastAsia" w:ascii="黑体" w:eastAsia="黑体"/>
        <w:b/>
        <w:szCs w:val="21"/>
      </w:rPr>
      <w:fldChar w:fldCharType="end"/>
    </w:r>
    <w:r>
      <w:rPr>
        <w:rStyle w:val="132"/>
        <w:rFonts w:hint="eastAsia" w:ascii="黑体" w:eastAsia="黑体"/>
        <w:b/>
        <w:szCs w:val="21"/>
      </w:rPr>
      <w:t xml:space="preserve"> -</w:t>
    </w:r>
    <w:r>
      <w:tab/>
    </w:r>
    <w:r>
      <w:rPr>
        <w:rFonts w:hint="eastAsia"/>
      </w:rPr>
      <w:t xml:space="preserve">         </w:t>
    </w:r>
    <w:r>
      <w:rPr>
        <w:rFonts w:hint="eastAsia" w:ascii="黑体" w:eastAsia="黑体"/>
        <w:szCs w:val="21"/>
      </w:rPr>
      <w:t xml:space="preserve">                                                      河北师范大学</w:t>
    </w:r>
  </w:p>
  <w:p w14:paraId="794874A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164FC">
    <w:pPr>
      <w:pBdr>
        <w:bottom w:val="thinThickSmallGap" w:color="333333" w:sz="24" w:space="1"/>
      </w:pBdr>
      <w:tabs>
        <w:tab w:val="center" w:pos="4153"/>
        <w:tab w:val="right" w:pos="8306"/>
      </w:tabs>
      <w:snapToGrid w:val="0"/>
      <w:jc w:val="center"/>
      <w:rPr>
        <w:b/>
        <w:bCs/>
        <w:sz w:val="18"/>
        <w:szCs w:val="18"/>
      </w:rPr>
    </w:pPr>
    <w:r>
      <w:rPr>
        <w:rFonts w:hint="eastAsia" w:asciiTheme="minorEastAsia" w:hAnsiTheme="minorEastAsia" w:eastAsiaTheme="minorEastAsia" w:cstheme="minorEastAsia"/>
        <w:b/>
        <w:bCs/>
        <w:sz w:val="18"/>
        <w:szCs w:val="18"/>
      </w:rPr>
      <w:t>运机(唐山)装备有限公司数字孪生智能输送机生产项目环境影响报告书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DFFFD">
    <w:pPr>
      <w:pBdr>
        <w:bottom w:val="thinThickSmallGap" w:color="333333" w:sz="24" w:space="1"/>
      </w:pBdr>
      <w:tabs>
        <w:tab w:val="center" w:pos="4153"/>
        <w:tab w:val="right" w:pos="8306"/>
      </w:tabs>
      <w:snapToGrid w:val="0"/>
      <w:jc w:val="cente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运机(唐山)装备有限公司数字孪生智能输送机生产项目环境影响报告书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24524">
    <w:pPr>
      <w:pBdr>
        <w:bottom w:val="thinThickSmallGap" w:color="333333" w:sz="24" w:space="1"/>
      </w:pBdr>
      <w:tabs>
        <w:tab w:val="center" w:pos="4153"/>
        <w:tab w:val="right" w:pos="8306"/>
      </w:tabs>
      <w:snapToGrid w:val="0"/>
      <w:jc w:val="center"/>
      <w:rPr>
        <w:rFonts w:hAnsi="宋体" w:cs="宋体"/>
        <w:b/>
        <w:bCs/>
        <w:sz w:val="18"/>
        <w:szCs w:val="18"/>
      </w:rPr>
    </w:pPr>
    <w:r>
      <w:rPr>
        <w:rFonts w:hint="eastAsia" w:hAnsi="宋体" w:cs="宋体"/>
        <w:b/>
        <w:bCs/>
        <w:sz w:val="18"/>
        <w:szCs w:val="18"/>
      </w:rPr>
      <w:t>数字孪生智能输送机生产项目环境影响报告书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6AE20">
    <w:pPr>
      <w:pBdr>
        <w:bottom w:val="thinThickSmallGap" w:color="333333" w:sz="24" w:space="1"/>
      </w:pBdr>
      <w:tabs>
        <w:tab w:val="center" w:pos="4153"/>
        <w:tab w:val="right" w:pos="8306"/>
      </w:tabs>
      <w:snapToGrid w:val="0"/>
      <w:jc w:val="center"/>
      <w:rPr>
        <w:rFonts w:hAnsi="宋体" w:cs="宋体"/>
        <w:b/>
        <w:bCs/>
        <w:sz w:val="18"/>
        <w:szCs w:val="18"/>
      </w:rPr>
    </w:pPr>
    <w:r>
      <w:rPr>
        <w:rFonts w:hint="eastAsia" w:asciiTheme="minorEastAsia" w:hAnsiTheme="minorEastAsia" w:eastAsiaTheme="minorEastAsia" w:cstheme="minorEastAsia"/>
        <w:b/>
        <w:bCs/>
        <w:sz w:val="18"/>
        <w:szCs w:val="18"/>
      </w:rPr>
      <w:t>运机(唐山)装备有限公司数字孪生智能输送机生产项目环境影响报告书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67BAA">
    <w:pPr>
      <w:pStyle w:val="5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F1C0B">
    <w:pPr>
      <w:pStyle w:val="53"/>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6A45">
    <w:pPr>
      <w:pStyle w:val="53"/>
      <w:ind w:firstLine="3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C871FA"/>
    <w:multiLevelType w:val="singleLevel"/>
    <w:tmpl w:val="A8C871FA"/>
    <w:lvl w:ilvl="0" w:tentative="0">
      <w:start w:val="2"/>
      <w:numFmt w:val="decimal"/>
      <w:suff w:val="nothing"/>
      <w:lvlText w:val="（%1）"/>
      <w:lvlJc w:val="left"/>
    </w:lvl>
  </w:abstractNum>
  <w:abstractNum w:abstractNumId="1">
    <w:nsid w:val="ABA09169"/>
    <w:multiLevelType w:val="singleLevel"/>
    <w:tmpl w:val="ABA09169"/>
    <w:lvl w:ilvl="0" w:tentative="0">
      <w:start w:val="3"/>
      <w:numFmt w:val="decimal"/>
      <w:suff w:val="nothing"/>
      <w:lvlText w:val="（%1）"/>
      <w:lvlJc w:val="left"/>
    </w:lvl>
  </w:abstractNum>
  <w:abstractNum w:abstractNumId="2">
    <w:nsid w:val="BA8D737F"/>
    <w:multiLevelType w:val="singleLevel"/>
    <w:tmpl w:val="BA8D737F"/>
    <w:lvl w:ilvl="0" w:tentative="0">
      <w:start w:val="2"/>
      <w:numFmt w:val="decimal"/>
      <w:suff w:val="nothing"/>
      <w:lvlText w:val="（%1）"/>
      <w:lvlJc w:val="left"/>
    </w:lvl>
  </w:abstractNum>
  <w:abstractNum w:abstractNumId="3">
    <w:nsid w:val="C09CF4E7"/>
    <w:multiLevelType w:val="singleLevel"/>
    <w:tmpl w:val="C09CF4E7"/>
    <w:lvl w:ilvl="0" w:tentative="0">
      <w:start w:val="2"/>
      <w:numFmt w:val="decimal"/>
      <w:suff w:val="nothing"/>
      <w:lvlText w:val="（%1）"/>
      <w:lvlJc w:val="left"/>
    </w:lvl>
  </w:abstractNum>
  <w:abstractNum w:abstractNumId="4">
    <w:nsid w:val="DDCFE11A"/>
    <w:multiLevelType w:val="singleLevel"/>
    <w:tmpl w:val="DDCFE11A"/>
    <w:lvl w:ilvl="0" w:tentative="0">
      <w:start w:val="1"/>
      <w:numFmt w:val="chineseCounting"/>
      <w:suff w:val="nothing"/>
      <w:lvlText w:val="（%1）"/>
      <w:lvlJc w:val="left"/>
      <w:rPr>
        <w:rFonts w:hint="eastAsia"/>
      </w:rPr>
    </w:lvl>
  </w:abstractNum>
  <w:abstractNum w:abstractNumId="5">
    <w:nsid w:val="EB062F64"/>
    <w:multiLevelType w:val="singleLevel"/>
    <w:tmpl w:val="EB062F64"/>
    <w:lvl w:ilvl="0" w:tentative="0">
      <w:start w:val="20"/>
      <w:numFmt w:val="upperLetter"/>
      <w:suff w:val="nothing"/>
      <w:lvlText w:val="%1-"/>
      <w:lvlJc w:val="left"/>
    </w:lvl>
  </w:abstractNum>
  <w:abstractNum w:abstractNumId="6">
    <w:nsid w:val="FE6A471F"/>
    <w:multiLevelType w:val="singleLevel"/>
    <w:tmpl w:val="FE6A471F"/>
    <w:lvl w:ilvl="0" w:tentative="0">
      <w:start w:val="14"/>
      <w:numFmt w:val="upperLetter"/>
      <w:suff w:val="nothing"/>
      <w:lvlText w:val="%1-"/>
      <w:lvlJc w:val="left"/>
    </w:lvl>
  </w:abstractNum>
  <w:abstractNum w:abstractNumId="7">
    <w:nsid w:val="0000001B"/>
    <w:multiLevelType w:val="multilevel"/>
    <w:tmpl w:val="0000001B"/>
    <w:lvl w:ilvl="0" w:tentative="0">
      <w:start w:val="1"/>
      <w:numFmt w:val="decimal"/>
      <w:lvlText w:val="（%1）"/>
      <w:lvlJc w:val="left"/>
      <w:pPr>
        <w:ind w:left="1914" w:hanging="780"/>
      </w:pPr>
      <w:rPr>
        <w:rFonts w:hint="default"/>
      </w:rPr>
    </w:lvl>
    <w:lvl w:ilvl="1" w:tentative="0">
      <w:start w:val="1"/>
      <w:numFmt w:val="lowerLetter"/>
      <w:lvlText w:val="%2)"/>
      <w:lvlJc w:val="left"/>
      <w:pPr>
        <w:tabs>
          <w:tab w:val="left" w:pos="1974"/>
        </w:tabs>
        <w:ind w:left="1974" w:hanging="420"/>
      </w:pPr>
      <w:rPr>
        <w:rFonts w:hint="eastAsia"/>
      </w:rPr>
    </w:lvl>
    <w:lvl w:ilvl="2" w:tentative="0">
      <w:start w:val="1"/>
      <w:numFmt w:val="lowerRoman"/>
      <w:lvlText w:val="%3."/>
      <w:lvlJc w:val="right"/>
      <w:pPr>
        <w:tabs>
          <w:tab w:val="left" w:pos="2394"/>
        </w:tabs>
        <w:ind w:left="2394" w:hanging="420"/>
      </w:pPr>
      <w:rPr>
        <w:rFonts w:hint="eastAsia"/>
      </w:rPr>
    </w:lvl>
    <w:lvl w:ilvl="3" w:tentative="0">
      <w:start w:val="1"/>
      <w:numFmt w:val="decimal"/>
      <w:lvlText w:val="%4."/>
      <w:lvlJc w:val="left"/>
      <w:pPr>
        <w:tabs>
          <w:tab w:val="left" w:pos="2814"/>
        </w:tabs>
        <w:ind w:left="2814" w:hanging="420"/>
      </w:pPr>
      <w:rPr>
        <w:rFonts w:hint="default"/>
      </w:rPr>
    </w:lvl>
    <w:lvl w:ilvl="4" w:tentative="0">
      <w:start w:val="1"/>
      <w:numFmt w:val="lowerLetter"/>
      <w:lvlText w:val="%5)"/>
      <w:lvlJc w:val="left"/>
      <w:pPr>
        <w:tabs>
          <w:tab w:val="left" w:pos="3234"/>
        </w:tabs>
        <w:ind w:left="3234" w:hanging="420"/>
      </w:pPr>
      <w:rPr>
        <w:rFonts w:hint="eastAsia"/>
      </w:rPr>
    </w:lvl>
    <w:lvl w:ilvl="5" w:tentative="0">
      <w:start w:val="1"/>
      <w:numFmt w:val="lowerRoman"/>
      <w:lvlText w:val="%6."/>
      <w:lvlJc w:val="right"/>
      <w:pPr>
        <w:tabs>
          <w:tab w:val="left" w:pos="3654"/>
        </w:tabs>
        <w:ind w:left="3654" w:hanging="420"/>
      </w:pPr>
      <w:rPr>
        <w:rFonts w:hint="eastAsia"/>
      </w:rPr>
    </w:lvl>
    <w:lvl w:ilvl="6" w:tentative="0">
      <w:start w:val="1"/>
      <w:numFmt w:val="decimal"/>
      <w:lvlText w:val="%7."/>
      <w:lvlJc w:val="left"/>
      <w:pPr>
        <w:tabs>
          <w:tab w:val="left" w:pos="4074"/>
        </w:tabs>
        <w:ind w:left="4074" w:hanging="420"/>
      </w:pPr>
      <w:rPr>
        <w:rFonts w:hint="eastAsia"/>
      </w:rPr>
    </w:lvl>
    <w:lvl w:ilvl="7" w:tentative="0">
      <w:start w:val="1"/>
      <w:numFmt w:val="lowerLetter"/>
      <w:lvlText w:val="%8)"/>
      <w:lvlJc w:val="left"/>
      <w:pPr>
        <w:tabs>
          <w:tab w:val="left" w:pos="4494"/>
        </w:tabs>
        <w:ind w:left="4494" w:hanging="420"/>
      </w:pPr>
      <w:rPr>
        <w:rFonts w:hint="eastAsia"/>
      </w:rPr>
    </w:lvl>
    <w:lvl w:ilvl="8" w:tentative="0">
      <w:start w:val="1"/>
      <w:numFmt w:val="lowerRoman"/>
      <w:lvlText w:val="%9."/>
      <w:lvlJc w:val="right"/>
      <w:pPr>
        <w:tabs>
          <w:tab w:val="left" w:pos="4914"/>
        </w:tabs>
        <w:ind w:left="4914" w:hanging="420"/>
      </w:pPr>
      <w:rPr>
        <w:rFonts w:hint="eastAsia"/>
      </w:rPr>
    </w:lvl>
  </w:abstractNum>
  <w:abstractNum w:abstractNumId="8">
    <w:nsid w:val="0B53ADE1"/>
    <w:multiLevelType w:val="singleLevel"/>
    <w:tmpl w:val="0B53ADE1"/>
    <w:lvl w:ilvl="0" w:tentative="0">
      <w:start w:val="2"/>
      <w:numFmt w:val="decimal"/>
      <w:suff w:val="nothing"/>
      <w:lvlText w:val="（%1）"/>
      <w:lvlJc w:val="left"/>
      <w:pPr>
        <w:ind w:left="18"/>
      </w:pPr>
    </w:lvl>
  </w:abstractNum>
  <w:abstractNum w:abstractNumId="9">
    <w:nsid w:val="10E80DFB"/>
    <w:multiLevelType w:val="singleLevel"/>
    <w:tmpl w:val="10E80DFB"/>
    <w:lvl w:ilvl="0" w:tentative="0">
      <w:start w:val="2"/>
      <w:numFmt w:val="decimal"/>
      <w:suff w:val="nothing"/>
      <w:lvlText w:val="%1、"/>
      <w:lvlJc w:val="left"/>
    </w:lvl>
  </w:abstractNum>
  <w:abstractNum w:abstractNumId="10">
    <w:nsid w:val="23941C5F"/>
    <w:multiLevelType w:val="multilevel"/>
    <w:tmpl w:val="23941C5F"/>
    <w:lvl w:ilvl="0" w:tentative="0">
      <w:start w:val="1"/>
      <w:numFmt w:val="decimal"/>
      <w:lvlText w:val="（%1）"/>
      <w:lvlJc w:val="left"/>
      <w:pPr>
        <w:ind w:left="1260" w:hanging="780"/>
      </w:pPr>
      <w:rPr>
        <w:rFonts w:hint="eastAsia"/>
      </w:rPr>
    </w:lvl>
    <w:lvl w:ilvl="1" w:tentative="0">
      <w:start w:val="1"/>
      <w:numFmt w:val="decimal"/>
      <w:lvlText w:val="%2."/>
      <w:lvlJc w:val="left"/>
      <w:pPr>
        <w:tabs>
          <w:tab w:val="left" w:pos="1320"/>
        </w:tabs>
        <w:ind w:left="1320" w:hanging="42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11">
    <w:nsid w:val="24DF2BEB"/>
    <w:multiLevelType w:val="multilevel"/>
    <w:tmpl w:val="24DF2BEB"/>
    <w:lvl w:ilvl="0" w:tentative="0">
      <w:start w:val="1"/>
      <w:numFmt w:val="decimal"/>
      <w:lvlText w:val="（%1）"/>
      <w:lvlJc w:val="left"/>
      <w:pPr>
        <w:ind w:left="0" w:firstLine="0"/>
      </w:pPr>
      <w:rPr>
        <w:rFonts w:hint="default"/>
      </w:rPr>
    </w:lvl>
    <w:lvl w:ilvl="1" w:tentative="0">
      <w:start w:val="1"/>
      <w:numFmt w:val="lowerLetter"/>
      <w:lvlText w:val="%2)"/>
      <w:lvlJc w:val="left"/>
      <w:pPr>
        <w:tabs>
          <w:tab w:val="left" w:pos="1689"/>
        </w:tabs>
        <w:ind w:left="1689" w:hanging="420"/>
      </w:pPr>
      <w:rPr>
        <w:rFonts w:hint="eastAsia"/>
      </w:rPr>
    </w:lvl>
    <w:lvl w:ilvl="2" w:tentative="0">
      <w:start w:val="1"/>
      <w:numFmt w:val="lowerRoman"/>
      <w:lvlText w:val="%3."/>
      <w:lvlJc w:val="right"/>
      <w:pPr>
        <w:tabs>
          <w:tab w:val="left" w:pos="2109"/>
        </w:tabs>
        <w:ind w:left="2109" w:hanging="420"/>
      </w:pPr>
      <w:rPr>
        <w:rFonts w:hint="eastAsia"/>
      </w:rPr>
    </w:lvl>
    <w:lvl w:ilvl="3" w:tentative="0">
      <w:start w:val="1"/>
      <w:numFmt w:val="decimal"/>
      <w:lvlText w:val="%4."/>
      <w:lvlJc w:val="left"/>
      <w:pPr>
        <w:tabs>
          <w:tab w:val="left" w:pos="2529"/>
        </w:tabs>
        <w:ind w:left="2529" w:hanging="420"/>
      </w:pPr>
      <w:rPr>
        <w:rFonts w:hint="default"/>
      </w:rPr>
    </w:lvl>
    <w:lvl w:ilvl="4" w:tentative="0">
      <w:start w:val="1"/>
      <w:numFmt w:val="lowerLetter"/>
      <w:lvlText w:val="%5)"/>
      <w:lvlJc w:val="left"/>
      <w:pPr>
        <w:tabs>
          <w:tab w:val="left" w:pos="2949"/>
        </w:tabs>
        <w:ind w:left="2949" w:hanging="420"/>
      </w:pPr>
      <w:rPr>
        <w:rFonts w:hint="eastAsia"/>
      </w:rPr>
    </w:lvl>
    <w:lvl w:ilvl="5" w:tentative="0">
      <w:start w:val="1"/>
      <w:numFmt w:val="lowerRoman"/>
      <w:lvlText w:val="%6."/>
      <w:lvlJc w:val="right"/>
      <w:pPr>
        <w:tabs>
          <w:tab w:val="left" w:pos="3369"/>
        </w:tabs>
        <w:ind w:left="3369" w:hanging="420"/>
      </w:pPr>
      <w:rPr>
        <w:rFonts w:hint="eastAsia"/>
      </w:rPr>
    </w:lvl>
    <w:lvl w:ilvl="6" w:tentative="0">
      <w:start w:val="1"/>
      <w:numFmt w:val="decimal"/>
      <w:lvlText w:val="%7."/>
      <w:lvlJc w:val="left"/>
      <w:pPr>
        <w:tabs>
          <w:tab w:val="left" w:pos="3789"/>
        </w:tabs>
        <w:ind w:left="3789" w:hanging="420"/>
      </w:pPr>
      <w:rPr>
        <w:rFonts w:hint="eastAsia"/>
      </w:rPr>
    </w:lvl>
    <w:lvl w:ilvl="7" w:tentative="0">
      <w:start w:val="1"/>
      <w:numFmt w:val="lowerLetter"/>
      <w:lvlText w:val="%8)"/>
      <w:lvlJc w:val="left"/>
      <w:pPr>
        <w:tabs>
          <w:tab w:val="left" w:pos="4209"/>
        </w:tabs>
        <w:ind w:left="4209" w:hanging="420"/>
      </w:pPr>
      <w:rPr>
        <w:rFonts w:hint="eastAsia"/>
      </w:rPr>
    </w:lvl>
    <w:lvl w:ilvl="8" w:tentative="0">
      <w:start w:val="1"/>
      <w:numFmt w:val="lowerRoman"/>
      <w:lvlText w:val="%9."/>
      <w:lvlJc w:val="right"/>
      <w:pPr>
        <w:tabs>
          <w:tab w:val="left" w:pos="4629"/>
        </w:tabs>
        <w:ind w:left="4629" w:hanging="420"/>
      </w:pPr>
      <w:rPr>
        <w:rFonts w:hint="eastAsia"/>
      </w:rPr>
    </w:lvl>
  </w:abstractNum>
  <w:abstractNum w:abstractNumId="12">
    <w:nsid w:val="26DF9158"/>
    <w:multiLevelType w:val="singleLevel"/>
    <w:tmpl w:val="26DF9158"/>
    <w:lvl w:ilvl="0" w:tentative="0">
      <w:start w:val="2"/>
      <w:numFmt w:val="decimal"/>
      <w:suff w:val="nothing"/>
      <w:lvlText w:val="%1、"/>
      <w:lvlJc w:val="left"/>
    </w:lvl>
  </w:abstractNum>
  <w:abstractNum w:abstractNumId="13">
    <w:nsid w:val="2DE8F43A"/>
    <w:multiLevelType w:val="singleLevel"/>
    <w:tmpl w:val="2DE8F43A"/>
    <w:lvl w:ilvl="0" w:tentative="0">
      <w:start w:val="2"/>
      <w:numFmt w:val="chineseCounting"/>
      <w:suff w:val="nothing"/>
      <w:lvlText w:val="%1、"/>
      <w:lvlJc w:val="left"/>
      <w:rPr>
        <w:rFonts w:hint="eastAsia"/>
      </w:rPr>
    </w:lvl>
  </w:abstractNum>
  <w:abstractNum w:abstractNumId="14">
    <w:nsid w:val="4646418B"/>
    <w:multiLevelType w:val="multilevel"/>
    <w:tmpl w:val="4646418B"/>
    <w:lvl w:ilvl="0" w:tentative="0">
      <w:start w:val="1"/>
      <w:numFmt w:val="decimal"/>
      <w:pStyle w:val="3561"/>
      <w:suff w:val="space"/>
      <w:lvlText w:val="%1"/>
      <w:lvlJc w:val="left"/>
      <w:pPr>
        <w:ind w:left="0" w:firstLine="0"/>
      </w:pPr>
      <w:rPr>
        <w:rFonts w:hint="eastAsia" w:ascii="黑体" w:eastAsia="黑体"/>
        <w:b w:val="0"/>
        <w:bCs w:val="0"/>
        <w:i w:val="0"/>
        <w:iCs w:val="0"/>
        <w:color w:val="auto"/>
        <w:sz w:val="28"/>
        <w:szCs w:val="28"/>
      </w:rPr>
    </w:lvl>
    <w:lvl w:ilvl="1" w:tentative="0">
      <w:start w:val="1"/>
      <w:numFmt w:val="decimal"/>
      <w:suff w:val="space"/>
      <w:lvlText w:val="%1.%2"/>
      <w:lvlJc w:val="left"/>
      <w:pPr>
        <w:ind w:left="0" w:firstLine="0"/>
      </w:pPr>
      <w:rPr>
        <w:rFonts w:hint="eastAsia"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suff w:val="space"/>
      <w:lvlText w:val="%1.%2.%3"/>
      <w:lvlJc w:val="left"/>
      <w:pPr>
        <w:ind w:left="0" w:firstLine="0"/>
      </w:pPr>
      <w:rPr>
        <w:rFonts w:hint="eastAsia" w:ascii="宋体" w:eastAsia="宋体"/>
        <w:b w:val="0"/>
        <w:bCs w:val="0"/>
        <w:i w:val="0"/>
        <w:iCs w:val="0"/>
        <w:caps w:val="0"/>
        <w:smallCaps w:val="0"/>
        <w:strike w:val="0"/>
        <w:color w:val="auto"/>
        <w:spacing w:val="0"/>
        <w:sz w:val="28"/>
        <w:szCs w:val="28"/>
        <w:u w:val="none"/>
      </w:rPr>
    </w:lvl>
    <w:lvl w:ilvl="3" w:tentative="0">
      <w:start w:val="1"/>
      <w:numFmt w:val="decimal"/>
      <w:suff w:val="space"/>
      <w:lvlText w:val="%1.%2.%3.%4"/>
      <w:lvlJc w:val="left"/>
      <w:pPr>
        <w:ind w:left="0" w:firstLine="0"/>
      </w:pPr>
      <w:rPr>
        <w:rFonts w:hint="eastAsia" w:ascii="宋体" w:hAnsi="Arial" w:eastAsia="宋体"/>
        <w:b w:val="0"/>
        <w:bCs w:val="0"/>
        <w:i w:val="0"/>
        <w:iCs w:val="0"/>
        <w:color w:val="auto"/>
        <w:sz w:val="28"/>
        <w:szCs w:val="28"/>
      </w:rPr>
    </w:lvl>
    <w:lvl w:ilvl="4" w:tentative="0">
      <w:start w:val="1"/>
      <w:numFmt w:val="decimal"/>
      <w:suff w:val="space"/>
      <w:lvlText w:val="%5)"/>
      <w:lvlJc w:val="left"/>
      <w:pPr>
        <w:ind w:left="153" w:firstLine="567"/>
      </w:pPr>
      <w:rPr>
        <w:rFonts w:hint="eastAsia" w:ascii="宋体" w:eastAsia="宋体"/>
        <w:b w:val="0"/>
        <w:i w:val="0"/>
        <w:sz w:val="28"/>
        <w:szCs w:val="28"/>
      </w:rPr>
    </w:lvl>
    <w:lvl w:ilvl="5" w:tentative="0">
      <w:start w:val="1"/>
      <w:numFmt w:val="decimal"/>
      <w:suff w:val="space"/>
      <w:lvlText w:val="(%6)"/>
      <w:lvlJc w:val="left"/>
      <w:pPr>
        <w:ind w:left="0" w:firstLine="567"/>
      </w:pPr>
      <w:rPr>
        <w:rFonts w:hint="eastAsia" w:ascii="宋体" w:eastAsia="宋体"/>
        <w:b w:val="0"/>
        <w:bCs w:val="0"/>
        <w:i w:val="0"/>
        <w:iCs w:val="0"/>
        <w:sz w:val="28"/>
        <w:szCs w:val="28"/>
      </w:rPr>
    </w:lvl>
    <w:lvl w:ilvl="6" w:tentative="0">
      <w:start w:val="1"/>
      <w:numFmt w:val="decimal"/>
      <w:lvlText w:val="%1.%2.%3.%4.%5.%6.%7"/>
      <w:lvlJc w:val="left"/>
      <w:pPr>
        <w:tabs>
          <w:tab w:val="left" w:pos="936"/>
        </w:tabs>
        <w:ind w:left="936" w:hanging="1296"/>
      </w:pPr>
      <w:rPr>
        <w:rFonts w:hint="eastAsia"/>
      </w:rPr>
    </w:lvl>
    <w:lvl w:ilvl="7" w:tentative="0">
      <w:start w:val="1"/>
      <w:numFmt w:val="decimal"/>
      <w:lvlText w:val="%1.%2.%3.%4.%5.%6.%7.%8"/>
      <w:lvlJc w:val="left"/>
      <w:pPr>
        <w:tabs>
          <w:tab w:val="left" w:pos="1080"/>
        </w:tabs>
        <w:ind w:left="1080" w:hanging="1440"/>
      </w:pPr>
      <w:rPr>
        <w:rFonts w:hint="eastAsia"/>
      </w:rPr>
    </w:lvl>
    <w:lvl w:ilvl="8" w:tentative="0">
      <w:start w:val="1"/>
      <w:numFmt w:val="decimal"/>
      <w:lvlText w:val="%1.%2.%3.%4.%5.%6.%7.%8.%9"/>
      <w:lvlJc w:val="left"/>
      <w:pPr>
        <w:tabs>
          <w:tab w:val="left" w:pos="1224"/>
        </w:tabs>
        <w:ind w:left="1224" w:hanging="1584"/>
      </w:pPr>
      <w:rPr>
        <w:rFonts w:hint="eastAsia"/>
      </w:rPr>
    </w:lvl>
  </w:abstractNum>
  <w:abstractNum w:abstractNumId="15">
    <w:nsid w:val="5D3C22D7"/>
    <w:multiLevelType w:val="multilevel"/>
    <w:tmpl w:val="5D3C22D7"/>
    <w:lvl w:ilvl="0" w:tentative="0">
      <w:start w:val="3"/>
      <w:numFmt w:val="decimal"/>
      <w:lvlText w:val="%1"/>
      <w:lvlJc w:val="left"/>
      <w:pPr>
        <w:tabs>
          <w:tab w:val="left" w:pos="975"/>
        </w:tabs>
        <w:ind w:left="975" w:hanging="975"/>
      </w:pPr>
      <w:rPr>
        <w:rFonts w:hint="default"/>
      </w:rPr>
    </w:lvl>
    <w:lvl w:ilvl="1" w:tentative="0">
      <w:start w:val="5"/>
      <w:numFmt w:val="decimal"/>
      <w:pStyle w:val="3762"/>
      <w:lvlText w:val="%1.%2"/>
      <w:lvlJc w:val="left"/>
      <w:pPr>
        <w:tabs>
          <w:tab w:val="left" w:pos="975"/>
        </w:tabs>
        <w:ind w:left="975" w:hanging="975"/>
      </w:pPr>
      <w:rPr>
        <w:rFonts w:hint="default"/>
      </w:rPr>
    </w:lvl>
    <w:lvl w:ilvl="2" w:tentative="0">
      <w:start w:val="8"/>
      <w:numFmt w:val="decimal"/>
      <w:lvlText w:val="%1.%2-%3"/>
      <w:lvlJc w:val="left"/>
      <w:pPr>
        <w:tabs>
          <w:tab w:val="left" w:pos="975"/>
        </w:tabs>
        <w:ind w:left="975" w:hanging="975"/>
      </w:pPr>
      <w:rPr>
        <w:rFonts w:hint="default"/>
      </w:rPr>
    </w:lvl>
    <w:lvl w:ilvl="3" w:tentative="0">
      <w:start w:val="1"/>
      <w:numFmt w:val="decimal"/>
      <w:lvlText w:val="%1.%2-%3.%4"/>
      <w:lvlJc w:val="left"/>
      <w:pPr>
        <w:tabs>
          <w:tab w:val="left" w:pos="975"/>
        </w:tabs>
        <w:ind w:left="975" w:hanging="975"/>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6">
    <w:nsid w:val="76933334"/>
    <w:multiLevelType w:val="multilevel"/>
    <w:tmpl w:val="76933334"/>
    <w:lvl w:ilvl="0" w:tentative="0">
      <w:start w:val="1"/>
      <w:numFmt w:val="none"/>
      <w:pStyle w:val="367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7596A85"/>
    <w:multiLevelType w:val="multilevel"/>
    <w:tmpl w:val="77596A85"/>
    <w:lvl w:ilvl="0" w:tentative="0">
      <w:start w:val="2"/>
      <w:numFmt w:val="decimal"/>
      <w:lvlText w:val="%1"/>
      <w:lvlJc w:val="left"/>
      <w:pPr>
        <w:tabs>
          <w:tab w:val="left" w:pos="435"/>
        </w:tabs>
        <w:ind w:left="435" w:hanging="435"/>
      </w:pPr>
      <w:rPr>
        <w:rFonts w:hint="eastAsia"/>
      </w:rPr>
    </w:lvl>
    <w:lvl w:ilvl="1" w:tentative="0">
      <w:start w:val="4"/>
      <w:numFmt w:val="decimal"/>
      <w:pStyle w:val="3326"/>
      <w:lvlText w:val="%1.%2"/>
      <w:lvlJc w:val="left"/>
      <w:pPr>
        <w:tabs>
          <w:tab w:val="left" w:pos="720"/>
        </w:tabs>
        <w:ind w:left="720" w:hanging="72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800"/>
        </w:tabs>
        <w:ind w:left="1800" w:hanging="1800"/>
      </w:pPr>
      <w:rPr>
        <w:rFonts w:hint="eastAsia"/>
      </w:rPr>
    </w:lvl>
    <w:lvl w:ilvl="6" w:tentative="0">
      <w:start w:val="1"/>
      <w:numFmt w:val="decimal"/>
      <w:lvlText w:val="%1.%2.%3.%4.%5.%6.%7"/>
      <w:lvlJc w:val="left"/>
      <w:pPr>
        <w:tabs>
          <w:tab w:val="left" w:pos="2160"/>
        </w:tabs>
        <w:ind w:left="2160" w:hanging="216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520"/>
        </w:tabs>
        <w:ind w:left="2520" w:hanging="2520"/>
      </w:pPr>
      <w:rPr>
        <w:rFonts w:hint="eastAsia"/>
      </w:rPr>
    </w:lvl>
  </w:abstractNum>
  <w:abstractNum w:abstractNumId="18">
    <w:nsid w:val="7F6BD49B"/>
    <w:multiLevelType w:val="multilevel"/>
    <w:tmpl w:val="7F6BD49B"/>
    <w:lvl w:ilvl="0" w:tentative="0">
      <w:start w:val="1"/>
      <w:numFmt w:val="decimal"/>
      <w:suff w:val="nothing"/>
      <w:lvlText w:val="（%1）"/>
      <w:lvlJc w:val="left"/>
      <w:pPr>
        <w:ind w:left="1270" w:firstLine="0"/>
      </w:pPr>
      <w:rPr>
        <w:rFonts w:hint="default"/>
        <w:lang w:val="en-US"/>
      </w:rPr>
    </w:lvl>
    <w:lvl w:ilvl="1" w:tentative="0">
      <w:start w:val="1"/>
      <w:numFmt w:val="lowerLetter"/>
      <w:lvlText w:val="%2)"/>
      <w:lvlJc w:val="left"/>
      <w:pPr>
        <w:tabs>
          <w:tab w:val="left" w:pos="1689"/>
        </w:tabs>
        <w:ind w:left="1689" w:hanging="420"/>
      </w:pPr>
      <w:rPr>
        <w:rFonts w:hint="eastAsia"/>
      </w:rPr>
    </w:lvl>
    <w:lvl w:ilvl="2" w:tentative="0">
      <w:start w:val="1"/>
      <w:numFmt w:val="lowerRoman"/>
      <w:lvlText w:val="%3."/>
      <w:lvlJc w:val="right"/>
      <w:pPr>
        <w:tabs>
          <w:tab w:val="left" w:pos="2109"/>
        </w:tabs>
        <w:ind w:left="2109" w:hanging="420"/>
      </w:pPr>
      <w:rPr>
        <w:rFonts w:hint="eastAsia"/>
      </w:rPr>
    </w:lvl>
    <w:lvl w:ilvl="3" w:tentative="0">
      <w:start w:val="1"/>
      <w:numFmt w:val="decimal"/>
      <w:lvlText w:val="%4."/>
      <w:lvlJc w:val="left"/>
      <w:pPr>
        <w:tabs>
          <w:tab w:val="left" w:pos="2529"/>
        </w:tabs>
        <w:ind w:left="2529" w:hanging="420"/>
      </w:pPr>
      <w:rPr>
        <w:rFonts w:hint="default"/>
      </w:rPr>
    </w:lvl>
    <w:lvl w:ilvl="4" w:tentative="0">
      <w:start w:val="1"/>
      <w:numFmt w:val="lowerLetter"/>
      <w:lvlText w:val="%5)"/>
      <w:lvlJc w:val="left"/>
      <w:pPr>
        <w:tabs>
          <w:tab w:val="left" w:pos="2949"/>
        </w:tabs>
        <w:ind w:left="2949" w:hanging="420"/>
      </w:pPr>
      <w:rPr>
        <w:rFonts w:hint="eastAsia"/>
      </w:rPr>
    </w:lvl>
    <w:lvl w:ilvl="5" w:tentative="0">
      <w:start w:val="1"/>
      <w:numFmt w:val="lowerRoman"/>
      <w:lvlText w:val="%6."/>
      <w:lvlJc w:val="right"/>
      <w:pPr>
        <w:tabs>
          <w:tab w:val="left" w:pos="3369"/>
        </w:tabs>
        <w:ind w:left="3369" w:hanging="420"/>
      </w:pPr>
      <w:rPr>
        <w:rFonts w:hint="eastAsia"/>
      </w:rPr>
    </w:lvl>
    <w:lvl w:ilvl="6" w:tentative="0">
      <w:start w:val="1"/>
      <w:numFmt w:val="decimal"/>
      <w:lvlText w:val="%7."/>
      <w:lvlJc w:val="left"/>
      <w:pPr>
        <w:tabs>
          <w:tab w:val="left" w:pos="3789"/>
        </w:tabs>
        <w:ind w:left="3789" w:hanging="420"/>
      </w:pPr>
      <w:rPr>
        <w:rFonts w:hint="eastAsia"/>
      </w:rPr>
    </w:lvl>
    <w:lvl w:ilvl="7" w:tentative="0">
      <w:start w:val="1"/>
      <w:numFmt w:val="lowerLetter"/>
      <w:lvlText w:val="%8)"/>
      <w:lvlJc w:val="left"/>
      <w:pPr>
        <w:tabs>
          <w:tab w:val="left" w:pos="4209"/>
        </w:tabs>
        <w:ind w:left="4209" w:hanging="420"/>
      </w:pPr>
      <w:rPr>
        <w:rFonts w:hint="eastAsia"/>
      </w:rPr>
    </w:lvl>
    <w:lvl w:ilvl="8" w:tentative="0">
      <w:start w:val="1"/>
      <w:numFmt w:val="lowerRoman"/>
      <w:lvlText w:val="%9."/>
      <w:lvlJc w:val="right"/>
      <w:pPr>
        <w:tabs>
          <w:tab w:val="left" w:pos="4629"/>
        </w:tabs>
        <w:ind w:left="4629" w:hanging="420"/>
      </w:pPr>
      <w:rPr>
        <w:rFonts w:hint="eastAsia"/>
      </w:rPr>
    </w:lvl>
  </w:abstractNum>
  <w:num w:numId="1">
    <w:abstractNumId w:val="17"/>
  </w:num>
  <w:num w:numId="2">
    <w:abstractNumId w:val="14"/>
  </w:num>
  <w:num w:numId="3">
    <w:abstractNumId w:val="16"/>
  </w:num>
  <w:num w:numId="4">
    <w:abstractNumId w:val="15"/>
  </w:num>
  <w:num w:numId="5">
    <w:abstractNumId w:val="7"/>
    <w:lvlOverride w:ilvl="0">
      <w:lvl w:ilvl="0" w:tentative="1">
        <w:start w:val="1"/>
        <w:numFmt w:val="decimal"/>
        <w:lvlText w:val="（%1）"/>
        <w:lvlJc w:val="left"/>
        <w:pPr>
          <w:ind w:left="1914" w:hanging="780"/>
        </w:pPr>
        <w:rPr>
          <w:rFonts w:hint="default"/>
        </w:rPr>
      </w:lvl>
    </w:lvlOverride>
  </w:num>
  <w:num w:numId="6">
    <w:abstractNumId w:val="11"/>
  </w:num>
  <w:num w:numId="7">
    <w:abstractNumId w:val="18"/>
  </w:num>
  <w:num w:numId="8">
    <w:abstractNumId w:val="10"/>
  </w:num>
  <w:num w:numId="9">
    <w:abstractNumId w:val="13"/>
  </w:num>
  <w:num w:numId="10">
    <w:abstractNumId w:val="1"/>
  </w:num>
  <w:num w:numId="11">
    <w:abstractNumId w:val="4"/>
  </w:num>
  <w:num w:numId="12">
    <w:abstractNumId w:val="8"/>
  </w:num>
  <w:num w:numId="13">
    <w:abstractNumId w:val="3"/>
  </w:num>
  <w:num w:numId="14">
    <w:abstractNumId w:val="9"/>
  </w:num>
  <w:num w:numId="15">
    <w:abstractNumId w:val="12"/>
  </w:num>
  <w:num w:numId="16">
    <w:abstractNumId w:val="2"/>
  </w:num>
  <w:num w:numId="17">
    <w:abstractNumId w:val="5"/>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hideGrammaticalErrors/>
  <w:documentProtection w:enforcement="0"/>
  <w:defaultTabStop w:val="420"/>
  <w:drawingGridHorizontalSpacing w:val="125"/>
  <w:drawingGridVerticalSpacing w:val="170"/>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TdkZjk3MWVlYTJlYWMwNTU2OTA3MzIyZjZmZjQifQ=="/>
  </w:docVars>
  <w:rsids>
    <w:rsidRoot w:val="00561BA6"/>
    <w:rsid w:val="00000143"/>
    <w:rsid w:val="000004FF"/>
    <w:rsid w:val="0000077A"/>
    <w:rsid w:val="00000AF0"/>
    <w:rsid w:val="00000EF5"/>
    <w:rsid w:val="00000FF2"/>
    <w:rsid w:val="0000127C"/>
    <w:rsid w:val="00001430"/>
    <w:rsid w:val="00001D3D"/>
    <w:rsid w:val="00002C88"/>
    <w:rsid w:val="00002CA2"/>
    <w:rsid w:val="0000300C"/>
    <w:rsid w:val="00003135"/>
    <w:rsid w:val="00003185"/>
    <w:rsid w:val="000038DD"/>
    <w:rsid w:val="00003D47"/>
    <w:rsid w:val="0000419D"/>
    <w:rsid w:val="00005414"/>
    <w:rsid w:val="000056C2"/>
    <w:rsid w:val="00005BD1"/>
    <w:rsid w:val="0000604A"/>
    <w:rsid w:val="000066E9"/>
    <w:rsid w:val="00006769"/>
    <w:rsid w:val="00007290"/>
    <w:rsid w:val="00007E15"/>
    <w:rsid w:val="00010481"/>
    <w:rsid w:val="0001077C"/>
    <w:rsid w:val="00010ADE"/>
    <w:rsid w:val="00010D28"/>
    <w:rsid w:val="00010FA4"/>
    <w:rsid w:val="00011109"/>
    <w:rsid w:val="0001132F"/>
    <w:rsid w:val="000114BB"/>
    <w:rsid w:val="00011BD6"/>
    <w:rsid w:val="00012027"/>
    <w:rsid w:val="00012694"/>
    <w:rsid w:val="0001279E"/>
    <w:rsid w:val="00012BF1"/>
    <w:rsid w:val="00012D54"/>
    <w:rsid w:val="000138E8"/>
    <w:rsid w:val="0001419C"/>
    <w:rsid w:val="00014B69"/>
    <w:rsid w:val="00014D82"/>
    <w:rsid w:val="00015082"/>
    <w:rsid w:val="000158DA"/>
    <w:rsid w:val="0001603E"/>
    <w:rsid w:val="00016070"/>
    <w:rsid w:val="000163A4"/>
    <w:rsid w:val="000163C5"/>
    <w:rsid w:val="000169E2"/>
    <w:rsid w:val="00017DED"/>
    <w:rsid w:val="000200DC"/>
    <w:rsid w:val="000202C7"/>
    <w:rsid w:val="000206BC"/>
    <w:rsid w:val="000208B9"/>
    <w:rsid w:val="00021366"/>
    <w:rsid w:val="000224AB"/>
    <w:rsid w:val="00022858"/>
    <w:rsid w:val="000233CD"/>
    <w:rsid w:val="000235E8"/>
    <w:rsid w:val="00023A56"/>
    <w:rsid w:val="000246A0"/>
    <w:rsid w:val="0002504D"/>
    <w:rsid w:val="000253B7"/>
    <w:rsid w:val="0002597C"/>
    <w:rsid w:val="0002601B"/>
    <w:rsid w:val="00026655"/>
    <w:rsid w:val="00026C8C"/>
    <w:rsid w:val="00026D4B"/>
    <w:rsid w:val="000272F7"/>
    <w:rsid w:val="0002766D"/>
    <w:rsid w:val="00030B2E"/>
    <w:rsid w:val="000311E4"/>
    <w:rsid w:val="00031546"/>
    <w:rsid w:val="00031946"/>
    <w:rsid w:val="000319BC"/>
    <w:rsid w:val="00031EF3"/>
    <w:rsid w:val="00032037"/>
    <w:rsid w:val="0003204F"/>
    <w:rsid w:val="00032735"/>
    <w:rsid w:val="000328DE"/>
    <w:rsid w:val="0003293D"/>
    <w:rsid w:val="000339AA"/>
    <w:rsid w:val="00034227"/>
    <w:rsid w:val="00034325"/>
    <w:rsid w:val="000343ED"/>
    <w:rsid w:val="00035057"/>
    <w:rsid w:val="000352FD"/>
    <w:rsid w:val="000356CB"/>
    <w:rsid w:val="00035A77"/>
    <w:rsid w:val="0003677B"/>
    <w:rsid w:val="0003704B"/>
    <w:rsid w:val="0003756A"/>
    <w:rsid w:val="00040667"/>
    <w:rsid w:val="000408FF"/>
    <w:rsid w:val="0004186E"/>
    <w:rsid w:val="00041EAC"/>
    <w:rsid w:val="00042558"/>
    <w:rsid w:val="00042610"/>
    <w:rsid w:val="00042DE2"/>
    <w:rsid w:val="00042EC8"/>
    <w:rsid w:val="00043BB4"/>
    <w:rsid w:val="00043DFD"/>
    <w:rsid w:val="00044711"/>
    <w:rsid w:val="000460A8"/>
    <w:rsid w:val="000463EC"/>
    <w:rsid w:val="000479C9"/>
    <w:rsid w:val="00047E01"/>
    <w:rsid w:val="000501B4"/>
    <w:rsid w:val="00050938"/>
    <w:rsid w:val="0005153D"/>
    <w:rsid w:val="00051DFB"/>
    <w:rsid w:val="00051F09"/>
    <w:rsid w:val="0005212D"/>
    <w:rsid w:val="000521E9"/>
    <w:rsid w:val="0005282D"/>
    <w:rsid w:val="0005319C"/>
    <w:rsid w:val="0005325C"/>
    <w:rsid w:val="00053304"/>
    <w:rsid w:val="00053CC2"/>
    <w:rsid w:val="0005496F"/>
    <w:rsid w:val="00054982"/>
    <w:rsid w:val="00054F9C"/>
    <w:rsid w:val="00055100"/>
    <w:rsid w:val="00055B5A"/>
    <w:rsid w:val="00055C50"/>
    <w:rsid w:val="00055CE8"/>
    <w:rsid w:val="00056BCF"/>
    <w:rsid w:val="00056C0B"/>
    <w:rsid w:val="00056FB7"/>
    <w:rsid w:val="0005727B"/>
    <w:rsid w:val="000572C1"/>
    <w:rsid w:val="000574F7"/>
    <w:rsid w:val="00057C80"/>
    <w:rsid w:val="000606CA"/>
    <w:rsid w:val="00060EF6"/>
    <w:rsid w:val="000615CB"/>
    <w:rsid w:val="0006197D"/>
    <w:rsid w:val="00061DD3"/>
    <w:rsid w:val="00061F58"/>
    <w:rsid w:val="000626E1"/>
    <w:rsid w:val="00063115"/>
    <w:rsid w:val="000636A2"/>
    <w:rsid w:val="00063838"/>
    <w:rsid w:val="00063ABC"/>
    <w:rsid w:val="00063CEF"/>
    <w:rsid w:val="00063D0C"/>
    <w:rsid w:val="000643DC"/>
    <w:rsid w:val="0006503E"/>
    <w:rsid w:val="00065195"/>
    <w:rsid w:val="000651C6"/>
    <w:rsid w:val="000659BE"/>
    <w:rsid w:val="00066B35"/>
    <w:rsid w:val="00066B40"/>
    <w:rsid w:val="0006704E"/>
    <w:rsid w:val="0007023B"/>
    <w:rsid w:val="000706B7"/>
    <w:rsid w:val="00070AC9"/>
    <w:rsid w:val="000715E5"/>
    <w:rsid w:val="00071753"/>
    <w:rsid w:val="0007179C"/>
    <w:rsid w:val="00071F01"/>
    <w:rsid w:val="00072181"/>
    <w:rsid w:val="000721EC"/>
    <w:rsid w:val="000723C9"/>
    <w:rsid w:val="00072763"/>
    <w:rsid w:val="0007354C"/>
    <w:rsid w:val="00073F0C"/>
    <w:rsid w:val="0007410E"/>
    <w:rsid w:val="00074B03"/>
    <w:rsid w:val="0007501F"/>
    <w:rsid w:val="000759FD"/>
    <w:rsid w:val="00077111"/>
    <w:rsid w:val="000776E5"/>
    <w:rsid w:val="00077A54"/>
    <w:rsid w:val="000807D7"/>
    <w:rsid w:val="00080823"/>
    <w:rsid w:val="00080EA3"/>
    <w:rsid w:val="000817D7"/>
    <w:rsid w:val="00081810"/>
    <w:rsid w:val="00081A6E"/>
    <w:rsid w:val="00081CC8"/>
    <w:rsid w:val="000822DE"/>
    <w:rsid w:val="000836D7"/>
    <w:rsid w:val="0008383F"/>
    <w:rsid w:val="00083CFE"/>
    <w:rsid w:val="00083E09"/>
    <w:rsid w:val="00083F22"/>
    <w:rsid w:val="00083F5E"/>
    <w:rsid w:val="000862DE"/>
    <w:rsid w:val="000863F8"/>
    <w:rsid w:val="00086C26"/>
    <w:rsid w:val="00086F3C"/>
    <w:rsid w:val="0008728A"/>
    <w:rsid w:val="0008731D"/>
    <w:rsid w:val="000875E8"/>
    <w:rsid w:val="00087A2F"/>
    <w:rsid w:val="000904DD"/>
    <w:rsid w:val="00090819"/>
    <w:rsid w:val="00090C0F"/>
    <w:rsid w:val="00090CF7"/>
    <w:rsid w:val="000910C5"/>
    <w:rsid w:val="000912DF"/>
    <w:rsid w:val="00091378"/>
    <w:rsid w:val="00091B44"/>
    <w:rsid w:val="00091C38"/>
    <w:rsid w:val="00091FE2"/>
    <w:rsid w:val="00092166"/>
    <w:rsid w:val="0009258F"/>
    <w:rsid w:val="00092D20"/>
    <w:rsid w:val="00092FB6"/>
    <w:rsid w:val="000930B3"/>
    <w:rsid w:val="0009383F"/>
    <w:rsid w:val="00093BAC"/>
    <w:rsid w:val="00093D3E"/>
    <w:rsid w:val="0009414E"/>
    <w:rsid w:val="00094B2B"/>
    <w:rsid w:val="00094D40"/>
    <w:rsid w:val="00094F35"/>
    <w:rsid w:val="00094F49"/>
    <w:rsid w:val="00095439"/>
    <w:rsid w:val="0009596E"/>
    <w:rsid w:val="00095C52"/>
    <w:rsid w:val="00096472"/>
    <w:rsid w:val="00096E01"/>
    <w:rsid w:val="000975CE"/>
    <w:rsid w:val="00097604"/>
    <w:rsid w:val="00097723"/>
    <w:rsid w:val="00097EB6"/>
    <w:rsid w:val="000A0139"/>
    <w:rsid w:val="000A065C"/>
    <w:rsid w:val="000A0D22"/>
    <w:rsid w:val="000A1104"/>
    <w:rsid w:val="000A1217"/>
    <w:rsid w:val="000A13C4"/>
    <w:rsid w:val="000A1A0F"/>
    <w:rsid w:val="000A2580"/>
    <w:rsid w:val="000A27D9"/>
    <w:rsid w:val="000A28D2"/>
    <w:rsid w:val="000A32C2"/>
    <w:rsid w:val="000A3326"/>
    <w:rsid w:val="000A37AB"/>
    <w:rsid w:val="000A3C90"/>
    <w:rsid w:val="000A3CA5"/>
    <w:rsid w:val="000A3F1F"/>
    <w:rsid w:val="000A4274"/>
    <w:rsid w:val="000A4837"/>
    <w:rsid w:val="000A4C9E"/>
    <w:rsid w:val="000A5114"/>
    <w:rsid w:val="000A5A2E"/>
    <w:rsid w:val="000A5AB8"/>
    <w:rsid w:val="000A5B9D"/>
    <w:rsid w:val="000A5E49"/>
    <w:rsid w:val="000A6009"/>
    <w:rsid w:val="000A6647"/>
    <w:rsid w:val="000A6786"/>
    <w:rsid w:val="000A6AE3"/>
    <w:rsid w:val="000A6B4C"/>
    <w:rsid w:val="000A7588"/>
    <w:rsid w:val="000A7B49"/>
    <w:rsid w:val="000B0661"/>
    <w:rsid w:val="000B1B3B"/>
    <w:rsid w:val="000B1BCF"/>
    <w:rsid w:val="000B1C7C"/>
    <w:rsid w:val="000B27B4"/>
    <w:rsid w:val="000B3CAC"/>
    <w:rsid w:val="000B3FEF"/>
    <w:rsid w:val="000B4747"/>
    <w:rsid w:val="000B4AB9"/>
    <w:rsid w:val="000B4D80"/>
    <w:rsid w:val="000B4DFF"/>
    <w:rsid w:val="000B4E81"/>
    <w:rsid w:val="000B61B3"/>
    <w:rsid w:val="000B669F"/>
    <w:rsid w:val="000B66D7"/>
    <w:rsid w:val="000B67FD"/>
    <w:rsid w:val="000B79CF"/>
    <w:rsid w:val="000B7AC3"/>
    <w:rsid w:val="000B7ED3"/>
    <w:rsid w:val="000C02C2"/>
    <w:rsid w:val="000C0917"/>
    <w:rsid w:val="000C0975"/>
    <w:rsid w:val="000C0C88"/>
    <w:rsid w:val="000C0DDF"/>
    <w:rsid w:val="000C166A"/>
    <w:rsid w:val="000C1858"/>
    <w:rsid w:val="000C225E"/>
    <w:rsid w:val="000C22DB"/>
    <w:rsid w:val="000C2431"/>
    <w:rsid w:val="000C263F"/>
    <w:rsid w:val="000C27C8"/>
    <w:rsid w:val="000C2950"/>
    <w:rsid w:val="000C3EA3"/>
    <w:rsid w:val="000C404D"/>
    <w:rsid w:val="000C5A46"/>
    <w:rsid w:val="000C5F2C"/>
    <w:rsid w:val="000C6988"/>
    <w:rsid w:val="000C69BF"/>
    <w:rsid w:val="000C6B67"/>
    <w:rsid w:val="000C6D18"/>
    <w:rsid w:val="000C6DEB"/>
    <w:rsid w:val="000C6E17"/>
    <w:rsid w:val="000C713B"/>
    <w:rsid w:val="000C7A55"/>
    <w:rsid w:val="000D02C7"/>
    <w:rsid w:val="000D0318"/>
    <w:rsid w:val="000D05D6"/>
    <w:rsid w:val="000D0D5C"/>
    <w:rsid w:val="000D0E80"/>
    <w:rsid w:val="000D144A"/>
    <w:rsid w:val="000D144E"/>
    <w:rsid w:val="000D1C10"/>
    <w:rsid w:val="000D25B3"/>
    <w:rsid w:val="000D26EA"/>
    <w:rsid w:val="000D28EC"/>
    <w:rsid w:val="000D3A5F"/>
    <w:rsid w:val="000D3B6A"/>
    <w:rsid w:val="000D4DC0"/>
    <w:rsid w:val="000D5547"/>
    <w:rsid w:val="000D588D"/>
    <w:rsid w:val="000D5E49"/>
    <w:rsid w:val="000D720F"/>
    <w:rsid w:val="000D79E0"/>
    <w:rsid w:val="000D7C60"/>
    <w:rsid w:val="000D7C7B"/>
    <w:rsid w:val="000D7DE9"/>
    <w:rsid w:val="000E0516"/>
    <w:rsid w:val="000E07C4"/>
    <w:rsid w:val="000E0D97"/>
    <w:rsid w:val="000E1170"/>
    <w:rsid w:val="000E2622"/>
    <w:rsid w:val="000E2AD2"/>
    <w:rsid w:val="000E3066"/>
    <w:rsid w:val="000E318C"/>
    <w:rsid w:val="000E4558"/>
    <w:rsid w:val="000E482D"/>
    <w:rsid w:val="000E4E12"/>
    <w:rsid w:val="000E5423"/>
    <w:rsid w:val="000E5565"/>
    <w:rsid w:val="000E5659"/>
    <w:rsid w:val="000E5DF1"/>
    <w:rsid w:val="000E6667"/>
    <w:rsid w:val="000E69E0"/>
    <w:rsid w:val="000E75DA"/>
    <w:rsid w:val="000E7E12"/>
    <w:rsid w:val="000E7FE7"/>
    <w:rsid w:val="000F02DE"/>
    <w:rsid w:val="000F060C"/>
    <w:rsid w:val="000F0B95"/>
    <w:rsid w:val="000F1467"/>
    <w:rsid w:val="000F192C"/>
    <w:rsid w:val="000F1CA8"/>
    <w:rsid w:val="000F2122"/>
    <w:rsid w:val="000F21BC"/>
    <w:rsid w:val="000F2737"/>
    <w:rsid w:val="000F2B8E"/>
    <w:rsid w:val="000F2FF2"/>
    <w:rsid w:val="000F30B1"/>
    <w:rsid w:val="000F44E8"/>
    <w:rsid w:val="000F4AD4"/>
    <w:rsid w:val="000F4CB6"/>
    <w:rsid w:val="000F4EC6"/>
    <w:rsid w:val="000F664B"/>
    <w:rsid w:val="000F6B03"/>
    <w:rsid w:val="000F6CB2"/>
    <w:rsid w:val="000F7572"/>
    <w:rsid w:val="000F7B57"/>
    <w:rsid w:val="000F7B86"/>
    <w:rsid w:val="001002FE"/>
    <w:rsid w:val="001005E3"/>
    <w:rsid w:val="00100688"/>
    <w:rsid w:val="0010082E"/>
    <w:rsid w:val="00100B77"/>
    <w:rsid w:val="00100F70"/>
    <w:rsid w:val="00101262"/>
    <w:rsid w:val="0010136C"/>
    <w:rsid w:val="0010137D"/>
    <w:rsid w:val="00101441"/>
    <w:rsid w:val="0010180F"/>
    <w:rsid w:val="00101812"/>
    <w:rsid w:val="0010183E"/>
    <w:rsid w:val="00101B29"/>
    <w:rsid w:val="00102556"/>
    <w:rsid w:val="00103B2E"/>
    <w:rsid w:val="00103F57"/>
    <w:rsid w:val="00104679"/>
    <w:rsid w:val="001048C4"/>
    <w:rsid w:val="00104AF9"/>
    <w:rsid w:val="00104CD1"/>
    <w:rsid w:val="001052D7"/>
    <w:rsid w:val="00105400"/>
    <w:rsid w:val="00105D14"/>
    <w:rsid w:val="001071BE"/>
    <w:rsid w:val="00107E7F"/>
    <w:rsid w:val="00110309"/>
    <w:rsid w:val="00110465"/>
    <w:rsid w:val="00110575"/>
    <w:rsid w:val="001109A8"/>
    <w:rsid w:val="001109ED"/>
    <w:rsid w:val="00110E4D"/>
    <w:rsid w:val="00111060"/>
    <w:rsid w:val="001113AA"/>
    <w:rsid w:val="00111867"/>
    <w:rsid w:val="00112169"/>
    <w:rsid w:val="001121A2"/>
    <w:rsid w:val="0011232A"/>
    <w:rsid w:val="00112DA2"/>
    <w:rsid w:val="0011300A"/>
    <w:rsid w:val="001133AD"/>
    <w:rsid w:val="0011369C"/>
    <w:rsid w:val="001145DF"/>
    <w:rsid w:val="001148F0"/>
    <w:rsid w:val="00115A13"/>
    <w:rsid w:val="00116C73"/>
    <w:rsid w:val="00116F54"/>
    <w:rsid w:val="00117357"/>
    <w:rsid w:val="0011768F"/>
    <w:rsid w:val="00117C3A"/>
    <w:rsid w:val="00120762"/>
    <w:rsid w:val="001207F7"/>
    <w:rsid w:val="001208B7"/>
    <w:rsid w:val="00120A87"/>
    <w:rsid w:val="00120B12"/>
    <w:rsid w:val="0012102C"/>
    <w:rsid w:val="00121204"/>
    <w:rsid w:val="00121360"/>
    <w:rsid w:val="00121A31"/>
    <w:rsid w:val="00122223"/>
    <w:rsid w:val="0012232B"/>
    <w:rsid w:val="00122A27"/>
    <w:rsid w:val="00122A97"/>
    <w:rsid w:val="0012439B"/>
    <w:rsid w:val="00124B4F"/>
    <w:rsid w:val="00125A21"/>
    <w:rsid w:val="00125DE4"/>
    <w:rsid w:val="00126258"/>
    <w:rsid w:val="0012664B"/>
    <w:rsid w:val="00126876"/>
    <w:rsid w:val="00126F4D"/>
    <w:rsid w:val="001277A1"/>
    <w:rsid w:val="001278AA"/>
    <w:rsid w:val="00127A05"/>
    <w:rsid w:val="0013019C"/>
    <w:rsid w:val="0013059A"/>
    <w:rsid w:val="00130D02"/>
    <w:rsid w:val="00130E6C"/>
    <w:rsid w:val="00131B5C"/>
    <w:rsid w:val="00131C78"/>
    <w:rsid w:val="00132CF0"/>
    <w:rsid w:val="00133306"/>
    <w:rsid w:val="001333D2"/>
    <w:rsid w:val="0013358E"/>
    <w:rsid w:val="001337CB"/>
    <w:rsid w:val="00133C17"/>
    <w:rsid w:val="00134456"/>
    <w:rsid w:val="001355C4"/>
    <w:rsid w:val="001356FD"/>
    <w:rsid w:val="001363C3"/>
    <w:rsid w:val="00136406"/>
    <w:rsid w:val="0013677E"/>
    <w:rsid w:val="00136C9D"/>
    <w:rsid w:val="00136D75"/>
    <w:rsid w:val="0013762E"/>
    <w:rsid w:val="00137960"/>
    <w:rsid w:val="00137A29"/>
    <w:rsid w:val="00137C53"/>
    <w:rsid w:val="00140292"/>
    <w:rsid w:val="00140BF6"/>
    <w:rsid w:val="00141552"/>
    <w:rsid w:val="00141758"/>
    <w:rsid w:val="00141D6A"/>
    <w:rsid w:val="00141DFF"/>
    <w:rsid w:val="001423D5"/>
    <w:rsid w:val="00142B7B"/>
    <w:rsid w:val="00142EC4"/>
    <w:rsid w:val="00142FC7"/>
    <w:rsid w:val="00143119"/>
    <w:rsid w:val="0014378D"/>
    <w:rsid w:val="0014390C"/>
    <w:rsid w:val="00143A0D"/>
    <w:rsid w:val="00144516"/>
    <w:rsid w:val="0014493A"/>
    <w:rsid w:val="00144A0E"/>
    <w:rsid w:val="00144C34"/>
    <w:rsid w:val="00144CDA"/>
    <w:rsid w:val="00144D99"/>
    <w:rsid w:val="001453DD"/>
    <w:rsid w:val="001456DB"/>
    <w:rsid w:val="001458C1"/>
    <w:rsid w:val="00145A67"/>
    <w:rsid w:val="0014675F"/>
    <w:rsid w:val="00147DC8"/>
    <w:rsid w:val="00147F22"/>
    <w:rsid w:val="001505B2"/>
    <w:rsid w:val="0015093B"/>
    <w:rsid w:val="00150B07"/>
    <w:rsid w:val="00150CAA"/>
    <w:rsid w:val="00150D3C"/>
    <w:rsid w:val="00150E48"/>
    <w:rsid w:val="00151042"/>
    <w:rsid w:val="00151A8B"/>
    <w:rsid w:val="00151EB9"/>
    <w:rsid w:val="00152364"/>
    <w:rsid w:val="00152908"/>
    <w:rsid w:val="00153E84"/>
    <w:rsid w:val="00153E9E"/>
    <w:rsid w:val="001542C9"/>
    <w:rsid w:val="00155EC0"/>
    <w:rsid w:val="00156696"/>
    <w:rsid w:val="00157943"/>
    <w:rsid w:val="00157DAC"/>
    <w:rsid w:val="00160088"/>
    <w:rsid w:val="001609F0"/>
    <w:rsid w:val="00160F28"/>
    <w:rsid w:val="00161242"/>
    <w:rsid w:val="001613C3"/>
    <w:rsid w:val="00163365"/>
    <w:rsid w:val="001635FD"/>
    <w:rsid w:val="00163754"/>
    <w:rsid w:val="00163D74"/>
    <w:rsid w:val="00163DD4"/>
    <w:rsid w:val="001653F0"/>
    <w:rsid w:val="0016541B"/>
    <w:rsid w:val="001657BB"/>
    <w:rsid w:val="00165E32"/>
    <w:rsid w:val="001660CF"/>
    <w:rsid w:val="0016647C"/>
    <w:rsid w:val="001666B2"/>
    <w:rsid w:val="00166C48"/>
    <w:rsid w:val="00166C78"/>
    <w:rsid w:val="00166CA7"/>
    <w:rsid w:val="00166D6B"/>
    <w:rsid w:val="00166D99"/>
    <w:rsid w:val="0016727F"/>
    <w:rsid w:val="001673BA"/>
    <w:rsid w:val="001702CD"/>
    <w:rsid w:val="001703E7"/>
    <w:rsid w:val="00170AA3"/>
    <w:rsid w:val="0017158C"/>
    <w:rsid w:val="00171A52"/>
    <w:rsid w:val="00171C3F"/>
    <w:rsid w:val="00171C7D"/>
    <w:rsid w:val="00171E75"/>
    <w:rsid w:val="00172A75"/>
    <w:rsid w:val="00172B57"/>
    <w:rsid w:val="001730D7"/>
    <w:rsid w:val="001733A0"/>
    <w:rsid w:val="00174226"/>
    <w:rsid w:val="001745CD"/>
    <w:rsid w:val="0017460E"/>
    <w:rsid w:val="001748A3"/>
    <w:rsid w:val="001749A1"/>
    <w:rsid w:val="00175126"/>
    <w:rsid w:val="0017583E"/>
    <w:rsid w:val="00175B18"/>
    <w:rsid w:val="0017650A"/>
    <w:rsid w:val="0017689C"/>
    <w:rsid w:val="00176CD0"/>
    <w:rsid w:val="00176D5D"/>
    <w:rsid w:val="001770A9"/>
    <w:rsid w:val="00177469"/>
    <w:rsid w:val="001778B5"/>
    <w:rsid w:val="00177B5A"/>
    <w:rsid w:val="00177F33"/>
    <w:rsid w:val="00180B9C"/>
    <w:rsid w:val="001814DE"/>
    <w:rsid w:val="001819C7"/>
    <w:rsid w:val="00181B24"/>
    <w:rsid w:val="00181CEF"/>
    <w:rsid w:val="00181ECB"/>
    <w:rsid w:val="001820E9"/>
    <w:rsid w:val="001823BA"/>
    <w:rsid w:val="0018250C"/>
    <w:rsid w:val="001828FE"/>
    <w:rsid w:val="0018396B"/>
    <w:rsid w:val="00184294"/>
    <w:rsid w:val="00184702"/>
    <w:rsid w:val="00184DB8"/>
    <w:rsid w:val="00184F1B"/>
    <w:rsid w:val="001851CE"/>
    <w:rsid w:val="001855C7"/>
    <w:rsid w:val="0018571E"/>
    <w:rsid w:val="001857EC"/>
    <w:rsid w:val="00185D74"/>
    <w:rsid w:val="00186378"/>
    <w:rsid w:val="0018657C"/>
    <w:rsid w:val="00186BDD"/>
    <w:rsid w:val="00186C7B"/>
    <w:rsid w:val="00187169"/>
    <w:rsid w:val="001875DB"/>
    <w:rsid w:val="0019144A"/>
    <w:rsid w:val="0019146B"/>
    <w:rsid w:val="00191476"/>
    <w:rsid w:val="00191818"/>
    <w:rsid w:val="00191E28"/>
    <w:rsid w:val="001924EC"/>
    <w:rsid w:val="001926D8"/>
    <w:rsid w:val="00192770"/>
    <w:rsid w:val="00192A8B"/>
    <w:rsid w:val="00193FCA"/>
    <w:rsid w:val="001940D5"/>
    <w:rsid w:val="00194125"/>
    <w:rsid w:val="001955D4"/>
    <w:rsid w:val="001962E8"/>
    <w:rsid w:val="0019658B"/>
    <w:rsid w:val="001966FE"/>
    <w:rsid w:val="00196EF9"/>
    <w:rsid w:val="00197077"/>
    <w:rsid w:val="001970E5"/>
    <w:rsid w:val="00197322"/>
    <w:rsid w:val="001973F1"/>
    <w:rsid w:val="00197F70"/>
    <w:rsid w:val="001A062C"/>
    <w:rsid w:val="001A069E"/>
    <w:rsid w:val="001A13BD"/>
    <w:rsid w:val="001A1DDA"/>
    <w:rsid w:val="001A1E6C"/>
    <w:rsid w:val="001A266F"/>
    <w:rsid w:val="001A27E4"/>
    <w:rsid w:val="001A3694"/>
    <w:rsid w:val="001A3937"/>
    <w:rsid w:val="001A4294"/>
    <w:rsid w:val="001A46E7"/>
    <w:rsid w:val="001A565B"/>
    <w:rsid w:val="001A5683"/>
    <w:rsid w:val="001A5718"/>
    <w:rsid w:val="001A5919"/>
    <w:rsid w:val="001A5D73"/>
    <w:rsid w:val="001A6066"/>
    <w:rsid w:val="001A6290"/>
    <w:rsid w:val="001A6B0C"/>
    <w:rsid w:val="001A6D45"/>
    <w:rsid w:val="001A710C"/>
    <w:rsid w:val="001A77AC"/>
    <w:rsid w:val="001A7C39"/>
    <w:rsid w:val="001B04FC"/>
    <w:rsid w:val="001B08E7"/>
    <w:rsid w:val="001B12D0"/>
    <w:rsid w:val="001B1CC2"/>
    <w:rsid w:val="001B1E64"/>
    <w:rsid w:val="001B26E4"/>
    <w:rsid w:val="001B2ABB"/>
    <w:rsid w:val="001B2DF9"/>
    <w:rsid w:val="001B2E29"/>
    <w:rsid w:val="001B39B2"/>
    <w:rsid w:val="001B4091"/>
    <w:rsid w:val="001B43C1"/>
    <w:rsid w:val="001B4413"/>
    <w:rsid w:val="001B4D0B"/>
    <w:rsid w:val="001B4E59"/>
    <w:rsid w:val="001B5D0A"/>
    <w:rsid w:val="001B61D0"/>
    <w:rsid w:val="001B667F"/>
    <w:rsid w:val="001B679F"/>
    <w:rsid w:val="001B684E"/>
    <w:rsid w:val="001B6B2A"/>
    <w:rsid w:val="001B7118"/>
    <w:rsid w:val="001B737B"/>
    <w:rsid w:val="001B74B2"/>
    <w:rsid w:val="001B7922"/>
    <w:rsid w:val="001B7F75"/>
    <w:rsid w:val="001C098B"/>
    <w:rsid w:val="001C0AD9"/>
    <w:rsid w:val="001C0B94"/>
    <w:rsid w:val="001C1B60"/>
    <w:rsid w:val="001C254E"/>
    <w:rsid w:val="001C2B1E"/>
    <w:rsid w:val="001C3199"/>
    <w:rsid w:val="001C33E2"/>
    <w:rsid w:val="001C3600"/>
    <w:rsid w:val="001C363D"/>
    <w:rsid w:val="001C3664"/>
    <w:rsid w:val="001C3CCB"/>
    <w:rsid w:val="001C3E6E"/>
    <w:rsid w:val="001C428B"/>
    <w:rsid w:val="001C4EBC"/>
    <w:rsid w:val="001C5138"/>
    <w:rsid w:val="001C61C7"/>
    <w:rsid w:val="001C6692"/>
    <w:rsid w:val="001C66E0"/>
    <w:rsid w:val="001C6CF4"/>
    <w:rsid w:val="001C72C9"/>
    <w:rsid w:val="001C7458"/>
    <w:rsid w:val="001C7845"/>
    <w:rsid w:val="001D02FF"/>
    <w:rsid w:val="001D05C7"/>
    <w:rsid w:val="001D08A9"/>
    <w:rsid w:val="001D0E2F"/>
    <w:rsid w:val="001D1544"/>
    <w:rsid w:val="001D2B3D"/>
    <w:rsid w:val="001D2CCE"/>
    <w:rsid w:val="001D3E8E"/>
    <w:rsid w:val="001D3F45"/>
    <w:rsid w:val="001D4347"/>
    <w:rsid w:val="001D4534"/>
    <w:rsid w:val="001D464A"/>
    <w:rsid w:val="001D4E97"/>
    <w:rsid w:val="001D51BE"/>
    <w:rsid w:val="001D54DF"/>
    <w:rsid w:val="001D5BCC"/>
    <w:rsid w:val="001D60FB"/>
    <w:rsid w:val="001D6D86"/>
    <w:rsid w:val="001D6EB1"/>
    <w:rsid w:val="001D70E7"/>
    <w:rsid w:val="001D7489"/>
    <w:rsid w:val="001E01AF"/>
    <w:rsid w:val="001E03C5"/>
    <w:rsid w:val="001E06E5"/>
    <w:rsid w:val="001E11C1"/>
    <w:rsid w:val="001E1575"/>
    <w:rsid w:val="001E177A"/>
    <w:rsid w:val="001E254D"/>
    <w:rsid w:val="001E2712"/>
    <w:rsid w:val="001E2C16"/>
    <w:rsid w:val="001E2ED0"/>
    <w:rsid w:val="001E2F39"/>
    <w:rsid w:val="001E3F01"/>
    <w:rsid w:val="001E3FB1"/>
    <w:rsid w:val="001E434A"/>
    <w:rsid w:val="001E4E44"/>
    <w:rsid w:val="001E4E9E"/>
    <w:rsid w:val="001E5C5F"/>
    <w:rsid w:val="001E5D7D"/>
    <w:rsid w:val="001E642B"/>
    <w:rsid w:val="001E6525"/>
    <w:rsid w:val="001E66E5"/>
    <w:rsid w:val="001E7051"/>
    <w:rsid w:val="001E7149"/>
    <w:rsid w:val="001E780F"/>
    <w:rsid w:val="001E7997"/>
    <w:rsid w:val="001E7ACA"/>
    <w:rsid w:val="001E7F52"/>
    <w:rsid w:val="001F00D4"/>
    <w:rsid w:val="001F01B1"/>
    <w:rsid w:val="001F0576"/>
    <w:rsid w:val="001F058D"/>
    <w:rsid w:val="001F0BAC"/>
    <w:rsid w:val="001F0C15"/>
    <w:rsid w:val="001F0C2A"/>
    <w:rsid w:val="001F0C54"/>
    <w:rsid w:val="001F0D65"/>
    <w:rsid w:val="001F0FF1"/>
    <w:rsid w:val="001F0FF8"/>
    <w:rsid w:val="001F107F"/>
    <w:rsid w:val="001F2752"/>
    <w:rsid w:val="001F2BDE"/>
    <w:rsid w:val="001F3013"/>
    <w:rsid w:val="001F35B3"/>
    <w:rsid w:val="001F361E"/>
    <w:rsid w:val="001F4723"/>
    <w:rsid w:val="001F5487"/>
    <w:rsid w:val="001F5561"/>
    <w:rsid w:val="001F572B"/>
    <w:rsid w:val="001F5BE4"/>
    <w:rsid w:val="001F6FB2"/>
    <w:rsid w:val="001F7DC4"/>
    <w:rsid w:val="001F7F50"/>
    <w:rsid w:val="002010D6"/>
    <w:rsid w:val="0020135B"/>
    <w:rsid w:val="00201CE1"/>
    <w:rsid w:val="00203065"/>
    <w:rsid w:val="00203B7D"/>
    <w:rsid w:val="00203EA6"/>
    <w:rsid w:val="002044FA"/>
    <w:rsid w:val="00204545"/>
    <w:rsid w:val="002053A8"/>
    <w:rsid w:val="0020570A"/>
    <w:rsid w:val="00205801"/>
    <w:rsid w:val="002058CF"/>
    <w:rsid w:val="002058E7"/>
    <w:rsid w:val="00205E1D"/>
    <w:rsid w:val="00205E68"/>
    <w:rsid w:val="00206304"/>
    <w:rsid w:val="002064AD"/>
    <w:rsid w:val="00206A37"/>
    <w:rsid w:val="00206D94"/>
    <w:rsid w:val="0020733B"/>
    <w:rsid w:val="0021006B"/>
    <w:rsid w:val="0021055F"/>
    <w:rsid w:val="0021151E"/>
    <w:rsid w:val="002115C9"/>
    <w:rsid w:val="002116F6"/>
    <w:rsid w:val="00211778"/>
    <w:rsid w:val="00211E4B"/>
    <w:rsid w:val="002125E0"/>
    <w:rsid w:val="0021283C"/>
    <w:rsid w:val="00212B0B"/>
    <w:rsid w:val="00212D0D"/>
    <w:rsid w:val="002131F4"/>
    <w:rsid w:val="002136F0"/>
    <w:rsid w:val="00213A9F"/>
    <w:rsid w:val="00214290"/>
    <w:rsid w:val="002143FF"/>
    <w:rsid w:val="002149A2"/>
    <w:rsid w:val="00215148"/>
    <w:rsid w:val="00215679"/>
    <w:rsid w:val="0021589A"/>
    <w:rsid w:val="002165CB"/>
    <w:rsid w:val="002165E3"/>
    <w:rsid w:val="00216BE2"/>
    <w:rsid w:val="00216C6D"/>
    <w:rsid w:val="002171CF"/>
    <w:rsid w:val="002179F0"/>
    <w:rsid w:val="00220CDE"/>
    <w:rsid w:val="00221413"/>
    <w:rsid w:val="00221446"/>
    <w:rsid w:val="002215A8"/>
    <w:rsid w:val="00221C84"/>
    <w:rsid w:val="00221DB4"/>
    <w:rsid w:val="00222438"/>
    <w:rsid w:val="00223954"/>
    <w:rsid w:val="00223D49"/>
    <w:rsid w:val="00224087"/>
    <w:rsid w:val="00224C16"/>
    <w:rsid w:val="00224C36"/>
    <w:rsid w:val="002251C6"/>
    <w:rsid w:val="00225759"/>
    <w:rsid w:val="00225802"/>
    <w:rsid w:val="00225C39"/>
    <w:rsid w:val="00225FA6"/>
    <w:rsid w:val="0022616D"/>
    <w:rsid w:val="0022664F"/>
    <w:rsid w:val="00226664"/>
    <w:rsid w:val="00226E92"/>
    <w:rsid w:val="002272B6"/>
    <w:rsid w:val="00227B34"/>
    <w:rsid w:val="00227CC5"/>
    <w:rsid w:val="00230829"/>
    <w:rsid w:val="00231919"/>
    <w:rsid w:val="00232B7D"/>
    <w:rsid w:val="00233356"/>
    <w:rsid w:val="0023467B"/>
    <w:rsid w:val="00234A49"/>
    <w:rsid w:val="00234A86"/>
    <w:rsid w:val="00235AF5"/>
    <w:rsid w:val="00235DFF"/>
    <w:rsid w:val="0023608E"/>
    <w:rsid w:val="0023699B"/>
    <w:rsid w:val="002370F5"/>
    <w:rsid w:val="00237342"/>
    <w:rsid w:val="002378E8"/>
    <w:rsid w:val="00240286"/>
    <w:rsid w:val="00240BD6"/>
    <w:rsid w:val="00240E9B"/>
    <w:rsid w:val="0024213D"/>
    <w:rsid w:val="00242269"/>
    <w:rsid w:val="0024263F"/>
    <w:rsid w:val="00242E1F"/>
    <w:rsid w:val="00243239"/>
    <w:rsid w:val="00243930"/>
    <w:rsid w:val="00243C21"/>
    <w:rsid w:val="00243C22"/>
    <w:rsid w:val="00244FC0"/>
    <w:rsid w:val="00245059"/>
    <w:rsid w:val="00245148"/>
    <w:rsid w:val="00245286"/>
    <w:rsid w:val="0024546B"/>
    <w:rsid w:val="0024548E"/>
    <w:rsid w:val="00245AF1"/>
    <w:rsid w:val="00245E91"/>
    <w:rsid w:val="00246016"/>
    <w:rsid w:val="0024607B"/>
    <w:rsid w:val="002474F4"/>
    <w:rsid w:val="00247D4D"/>
    <w:rsid w:val="002503A5"/>
    <w:rsid w:val="00250916"/>
    <w:rsid w:val="00250980"/>
    <w:rsid w:val="002509D3"/>
    <w:rsid w:val="00251331"/>
    <w:rsid w:val="002520CF"/>
    <w:rsid w:val="0025217D"/>
    <w:rsid w:val="00252A9F"/>
    <w:rsid w:val="00252B16"/>
    <w:rsid w:val="00252BC7"/>
    <w:rsid w:val="00252E19"/>
    <w:rsid w:val="00252E86"/>
    <w:rsid w:val="00253206"/>
    <w:rsid w:val="00253AE3"/>
    <w:rsid w:val="00253C2D"/>
    <w:rsid w:val="00254D6C"/>
    <w:rsid w:val="00254D9C"/>
    <w:rsid w:val="00254FB1"/>
    <w:rsid w:val="00254FE3"/>
    <w:rsid w:val="002551BD"/>
    <w:rsid w:val="00255871"/>
    <w:rsid w:val="00255AEB"/>
    <w:rsid w:val="00255E44"/>
    <w:rsid w:val="00256181"/>
    <w:rsid w:val="002564C6"/>
    <w:rsid w:val="00256E61"/>
    <w:rsid w:val="00257C5B"/>
    <w:rsid w:val="0026034F"/>
    <w:rsid w:val="00260606"/>
    <w:rsid w:val="002613C9"/>
    <w:rsid w:val="00261771"/>
    <w:rsid w:val="00261856"/>
    <w:rsid w:val="00261903"/>
    <w:rsid w:val="00261BBD"/>
    <w:rsid w:val="0026230D"/>
    <w:rsid w:val="00262D0F"/>
    <w:rsid w:val="00262EA5"/>
    <w:rsid w:val="00262FC6"/>
    <w:rsid w:val="00263510"/>
    <w:rsid w:val="00263997"/>
    <w:rsid w:val="00263BFB"/>
    <w:rsid w:val="00263DD9"/>
    <w:rsid w:val="002640B2"/>
    <w:rsid w:val="00264105"/>
    <w:rsid w:val="00264D72"/>
    <w:rsid w:val="00265469"/>
    <w:rsid w:val="00265DB4"/>
    <w:rsid w:val="0026641C"/>
    <w:rsid w:val="0026666B"/>
    <w:rsid w:val="0026668D"/>
    <w:rsid w:val="00266710"/>
    <w:rsid w:val="00266C26"/>
    <w:rsid w:val="00266DE4"/>
    <w:rsid w:val="002673F0"/>
    <w:rsid w:val="002676C1"/>
    <w:rsid w:val="00267780"/>
    <w:rsid w:val="00267B04"/>
    <w:rsid w:val="00270B06"/>
    <w:rsid w:val="00270D64"/>
    <w:rsid w:val="0027158D"/>
    <w:rsid w:val="00272959"/>
    <w:rsid w:val="0027381B"/>
    <w:rsid w:val="00273FB9"/>
    <w:rsid w:val="00274EF9"/>
    <w:rsid w:val="00275771"/>
    <w:rsid w:val="00275BCD"/>
    <w:rsid w:val="00276136"/>
    <w:rsid w:val="002768E2"/>
    <w:rsid w:val="00276B00"/>
    <w:rsid w:val="00276DE6"/>
    <w:rsid w:val="00277006"/>
    <w:rsid w:val="002771B4"/>
    <w:rsid w:val="00277441"/>
    <w:rsid w:val="002774C0"/>
    <w:rsid w:val="00277BEC"/>
    <w:rsid w:val="00277E2A"/>
    <w:rsid w:val="00277FBD"/>
    <w:rsid w:val="00280F03"/>
    <w:rsid w:val="00281173"/>
    <w:rsid w:val="002816C9"/>
    <w:rsid w:val="00281FDE"/>
    <w:rsid w:val="00282773"/>
    <w:rsid w:val="002827C4"/>
    <w:rsid w:val="00282804"/>
    <w:rsid w:val="00282A4A"/>
    <w:rsid w:val="0028364B"/>
    <w:rsid w:val="00283E04"/>
    <w:rsid w:val="00284120"/>
    <w:rsid w:val="002842BF"/>
    <w:rsid w:val="00284581"/>
    <w:rsid w:val="002846CD"/>
    <w:rsid w:val="002849E7"/>
    <w:rsid w:val="0028500E"/>
    <w:rsid w:val="00285C60"/>
    <w:rsid w:val="002861A0"/>
    <w:rsid w:val="0028687E"/>
    <w:rsid w:val="00286B3E"/>
    <w:rsid w:val="00286C1E"/>
    <w:rsid w:val="00286E71"/>
    <w:rsid w:val="002871D6"/>
    <w:rsid w:val="0028723A"/>
    <w:rsid w:val="00287444"/>
    <w:rsid w:val="00287477"/>
    <w:rsid w:val="00287686"/>
    <w:rsid w:val="002877CB"/>
    <w:rsid w:val="00287AB4"/>
    <w:rsid w:val="002901DF"/>
    <w:rsid w:val="00290AFA"/>
    <w:rsid w:val="00290CC3"/>
    <w:rsid w:val="002914ED"/>
    <w:rsid w:val="00291E06"/>
    <w:rsid w:val="00291FD4"/>
    <w:rsid w:val="002921F2"/>
    <w:rsid w:val="00292221"/>
    <w:rsid w:val="002937A8"/>
    <w:rsid w:val="00293ABC"/>
    <w:rsid w:val="00293B22"/>
    <w:rsid w:val="00293DF9"/>
    <w:rsid w:val="00294387"/>
    <w:rsid w:val="00294765"/>
    <w:rsid w:val="00294EB5"/>
    <w:rsid w:val="00295E58"/>
    <w:rsid w:val="00295FD1"/>
    <w:rsid w:val="00296229"/>
    <w:rsid w:val="002962D5"/>
    <w:rsid w:val="00296B99"/>
    <w:rsid w:val="00296E17"/>
    <w:rsid w:val="002972E4"/>
    <w:rsid w:val="00297803"/>
    <w:rsid w:val="00297A0F"/>
    <w:rsid w:val="00297AC7"/>
    <w:rsid w:val="002A0268"/>
    <w:rsid w:val="002A09CD"/>
    <w:rsid w:val="002A0E1F"/>
    <w:rsid w:val="002A1432"/>
    <w:rsid w:val="002A1977"/>
    <w:rsid w:val="002A1A72"/>
    <w:rsid w:val="002A1CB2"/>
    <w:rsid w:val="002A1D91"/>
    <w:rsid w:val="002A2EB1"/>
    <w:rsid w:val="002A37A9"/>
    <w:rsid w:val="002A3947"/>
    <w:rsid w:val="002A3C95"/>
    <w:rsid w:val="002A3EBB"/>
    <w:rsid w:val="002A45B4"/>
    <w:rsid w:val="002A4D3B"/>
    <w:rsid w:val="002A4F26"/>
    <w:rsid w:val="002A5612"/>
    <w:rsid w:val="002A5D1C"/>
    <w:rsid w:val="002A605B"/>
    <w:rsid w:val="002A66D4"/>
    <w:rsid w:val="002A676E"/>
    <w:rsid w:val="002A6E94"/>
    <w:rsid w:val="002A7E7A"/>
    <w:rsid w:val="002A7F3A"/>
    <w:rsid w:val="002B0506"/>
    <w:rsid w:val="002B0C5D"/>
    <w:rsid w:val="002B0E50"/>
    <w:rsid w:val="002B0FCA"/>
    <w:rsid w:val="002B1479"/>
    <w:rsid w:val="002B19F8"/>
    <w:rsid w:val="002B1CF9"/>
    <w:rsid w:val="002B206E"/>
    <w:rsid w:val="002B2114"/>
    <w:rsid w:val="002B27DB"/>
    <w:rsid w:val="002B28C8"/>
    <w:rsid w:val="002B3743"/>
    <w:rsid w:val="002B38C4"/>
    <w:rsid w:val="002B4742"/>
    <w:rsid w:val="002B4953"/>
    <w:rsid w:val="002B54F8"/>
    <w:rsid w:val="002B5DA0"/>
    <w:rsid w:val="002B5F42"/>
    <w:rsid w:val="002B6263"/>
    <w:rsid w:val="002B6B47"/>
    <w:rsid w:val="002B6BD2"/>
    <w:rsid w:val="002B70EB"/>
    <w:rsid w:val="002B71F5"/>
    <w:rsid w:val="002B75E6"/>
    <w:rsid w:val="002B76D4"/>
    <w:rsid w:val="002B7798"/>
    <w:rsid w:val="002B7A37"/>
    <w:rsid w:val="002C0412"/>
    <w:rsid w:val="002C07C1"/>
    <w:rsid w:val="002C0BF5"/>
    <w:rsid w:val="002C0CBA"/>
    <w:rsid w:val="002C0DC7"/>
    <w:rsid w:val="002C2E19"/>
    <w:rsid w:val="002C3F08"/>
    <w:rsid w:val="002C3FD0"/>
    <w:rsid w:val="002C4071"/>
    <w:rsid w:val="002C4221"/>
    <w:rsid w:val="002C4883"/>
    <w:rsid w:val="002C4F39"/>
    <w:rsid w:val="002C54C6"/>
    <w:rsid w:val="002C5754"/>
    <w:rsid w:val="002C575F"/>
    <w:rsid w:val="002C5B14"/>
    <w:rsid w:val="002C5E6B"/>
    <w:rsid w:val="002C65BB"/>
    <w:rsid w:val="002C6608"/>
    <w:rsid w:val="002C6CEE"/>
    <w:rsid w:val="002C71A1"/>
    <w:rsid w:val="002C74E8"/>
    <w:rsid w:val="002C7664"/>
    <w:rsid w:val="002C7E0C"/>
    <w:rsid w:val="002D0DFE"/>
    <w:rsid w:val="002D13D9"/>
    <w:rsid w:val="002D2435"/>
    <w:rsid w:val="002D295D"/>
    <w:rsid w:val="002D2C62"/>
    <w:rsid w:val="002D312E"/>
    <w:rsid w:val="002D36C0"/>
    <w:rsid w:val="002D3EB6"/>
    <w:rsid w:val="002D402C"/>
    <w:rsid w:val="002D4090"/>
    <w:rsid w:val="002D4434"/>
    <w:rsid w:val="002D4B86"/>
    <w:rsid w:val="002D52C6"/>
    <w:rsid w:val="002D5889"/>
    <w:rsid w:val="002D59B1"/>
    <w:rsid w:val="002D59E7"/>
    <w:rsid w:val="002D5DFE"/>
    <w:rsid w:val="002D637D"/>
    <w:rsid w:val="002D664E"/>
    <w:rsid w:val="002D6F2B"/>
    <w:rsid w:val="002D7147"/>
    <w:rsid w:val="002D7941"/>
    <w:rsid w:val="002D79D9"/>
    <w:rsid w:val="002E0B07"/>
    <w:rsid w:val="002E0B8B"/>
    <w:rsid w:val="002E0D98"/>
    <w:rsid w:val="002E0E67"/>
    <w:rsid w:val="002E1088"/>
    <w:rsid w:val="002E1511"/>
    <w:rsid w:val="002E1520"/>
    <w:rsid w:val="002E16C4"/>
    <w:rsid w:val="002E18A7"/>
    <w:rsid w:val="002E1937"/>
    <w:rsid w:val="002E19DC"/>
    <w:rsid w:val="002E1DB1"/>
    <w:rsid w:val="002E2449"/>
    <w:rsid w:val="002E2A08"/>
    <w:rsid w:val="002E3010"/>
    <w:rsid w:val="002E3231"/>
    <w:rsid w:val="002E3820"/>
    <w:rsid w:val="002E3ED7"/>
    <w:rsid w:val="002E4083"/>
    <w:rsid w:val="002E4168"/>
    <w:rsid w:val="002E49F2"/>
    <w:rsid w:val="002E4B52"/>
    <w:rsid w:val="002E5DE0"/>
    <w:rsid w:val="002E63A8"/>
    <w:rsid w:val="002E700E"/>
    <w:rsid w:val="002E708C"/>
    <w:rsid w:val="002E74CD"/>
    <w:rsid w:val="002F0B55"/>
    <w:rsid w:val="002F1634"/>
    <w:rsid w:val="002F1DF4"/>
    <w:rsid w:val="002F20FF"/>
    <w:rsid w:val="002F314B"/>
    <w:rsid w:val="002F3680"/>
    <w:rsid w:val="002F36DD"/>
    <w:rsid w:val="002F3813"/>
    <w:rsid w:val="002F3CC8"/>
    <w:rsid w:val="002F3F20"/>
    <w:rsid w:val="002F52F6"/>
    <w:rsid w:val="002F551C"/>
    <w:rsid w:val="002F5B5E"/>
    <w:rsid w:val="002F5DCB"/>
    <w:rsid w:val="002F5FF7"/>
    <w:rsid w:val="002F62B7"/>
    <w:rsid w:val="002F66FC"/>
    <w:rsid w:val="002F6B16"/>
    <w:rsid w:val="002F6F36"/>
    <w:rsid w:val="002F7424"/>
    <w:rsid w:val="002F761D"/>
    <w:rsid w:val="002F76C1"/>
    <w:rsid w:val="002F7F38"/>
    <w:rsid w:val="00300990"/>
    <w:rsid w:val="003009F6"/>
    <w:rsid w:val="0030152D"/>
    <w:rsid w:val="003016F5"/>
    <w:rsid w:val="00301A98"/>
    <w:rsid w:val="00301C09"/>
    <w:rsid w:val="00301C81"/>
    <w:rsid w:val="003026BA"/>
    <w:rsid w:val="00303751"/>
    <w:rsid w:val="00303BA8"/>
    <w:rsid w:val="00303E12"/>
    <w:rsid w:val="00303E4A"/>
    <w:rsid w:val="003049D6"/>
    <w:rsid w:val="00304E83"/>
    <w:rsid w:val="00305913"/>
    <w:rsid w:val="00305BB6"/>
    <w:rsid w:val="00305BBE"/>
    <w:rsid w:val="00305CC1"/>
    <w:rsid w:val="00306069"/>
    <w:rsid w:val="00306161"/>
    <w:rsid w:val="00306422"/>
    <w:rsid w:val="00306AF3"/>
    <w:rsid w:val="003073A0"/>
    <w:rsid w:val="00307E2A"/>
    <w:rsid w:val="00307F06"/>
    <w:rsid w:val="00310A2E"/>
    <w:rsid w:val="003112FC"/>
    <w:rsid w:val="0031160D"/>
    <w:rsid w:val="00311734"/>
    <w:rsid w:val="00312581"/>
    <w:rsid w:val="0031295F"/>
    <w:rsid w:val="00312C86"/>
    <w:rsid w:val="00312FEB"/>
    <w:rsid w:val="00313320"/>
    <w:rsid w:val="003138E7"/>
    <w:rsid w:val="00313FEF"/>
    <w:rsid w:val="00314C6A"/>
    <w:rsid w:val="00316BB1"/>
    <w:rsid w:val="00316C43"/>
    <w:rsid w:val="00316D31"/>
    <w:rsid w:val="00317190"/>
    <w:rsid w:val="00317715"/>
    <w:rsid w:val="00320937"/>
    <w:rsid w:val="00320B95"/>
    <w:rsid w:val="00320B9D"/>
    <w:rsid w:val="00320E42"/>
    <w:rsid w:val="00321A44"/>
    <w:rsid w:val="00321B6F"/>
    <w:rsid w:val="00321C5D"/>
    <w:rsid w:val="00322198"/>
    <w:rsid w:val="003221F1"/>
    <w:rsid w:val="00322526"/>
    <w:rsid w:val="00323DBB"/>
    <w:rsid w:val="0032446D"/>
    <w:rsid w:val="0032456F"/>
    <w:rsid w:val="00324712"/>
    <w:rsid w:val="003254B2"/>
    <w:rsid w:val="00325836"/>
    <w:rsid w:val="00325D7B"/>
    <w:rsid w:val="00325FB5"/>
    <w:rsid w:val="00326409"/>
    <w:rsid w:val="00326FFA"/>
    <w:rsid w:val="003277BE"/>
    <w:rsid w:val="003277EE"/>
    <w:rsid w:val="00327817"/>
    <w:rsid w:val="00327FFA"/>
    <w:rsid w:val="003302D1"/>
    <w:rsid w:val="00330408"/>
    <w:rsid w:val="003305ED"/>
    <w:rsid w:val="00330C19"/>
    <w:rsid w:val="0033144E"/>
    <w:rsid w:val="00331A36"/>
    <w:rsid w:val="00331AD8"/>
    <w:rsid w:val="00331D28"/>
    <w:rsid w:val="00331FC5"/>
    <w:rsid w:val="0033276D"/>
    <w:rsid w:val="00332BB9"/>
    <w:rsid w:val="003330B3"/>
    <w:rsid w:val="003346B8"/>
    <w:rsid w:val="003353CB"/>
    <w:rsid w:val="00335B1D"/>
    <w:rsid w:val="00335FC2"/>
    <w:rsid w:val="003360AE"/>
    <w:rsid w:val="00336408"/>
    <w:rsid w:val="003366A6"/>
    <w:rsid w:val="00336EB7"/>
    <w:rsid w:val="00336ED7"/>
    <w:rsid w:val="0033721A"/>
    <w:rsid w:val="0033733F"/>
    <w:rsid w:val="00337BCD"/>
    <w:rsid w:val="00337FFE"/>
    <w:rsid w:val="00340239"/>
    <w:rsid w:val="00340FC2"/>
    <w:rsid w:val="0034117C"/>
    <w:rsid w:val="00341C0F"/>
    <w:rsid w:val="003429E3"/>
    <w:rsid w:val="0034338A"/>
    <w:rsid w:val="0034350F"/>
    <w:rsid w:val="003436AF"/>
    <w:rsid w:val="003437A7"/>
    <w:rsid w:val="00343874"/>
    <w:rsid w:val="0034391B"/>
    <w:rsid w:val="00344C1A"/>
    <w:rsid w:val="00344C50"/>
    <w:rsid w:val="0034545C"/>
    <w:rsid w:val="003458A0"/>
    <w:rsid w:val="00345AC4"/>
    <w:rsid w:val="00345B2E"/>
    <w:rsid w:val="00345C89"/>
    <w:rsid w:val="00345E24"/>
    <w:rsid w:val="00345E9A"/>
    <w:rsid w:val="00346BE1"/>
    <w:rsid w:val="00347867"/>
    <w:rsid w:val="003478E3"/>
    <w:rsid w:val="00347B38"/>
    <w:rsid w:val="00347EC9"/>
    <w:rsid w:val="003500E1"/>
    <w:rsid w:val="00350503"/>
    <w:rsid w:val="00350924"/>
    <w:rsid w:val="00350973"/>
    <w:rsid w:val="00350DE5"/>
    <w:rsid w:val="003515CC"/>
    <w:rsid w:val="00351878"/>
    <w:rsid w:val="00351DBA"/>
    <w:rsid w:val="00351E35"/>
    <w:rsid w:val="00352820"/>
    <w:rsid w:val="00352850"/>
    <w:rsid w:val="00353840"/>
    <w:rsid w:val="00354032"/>
    <w:rsid w:val="003541CF"/>
    <w:rsid w:val="00354241"/>
    <w:rsid w:val="00354352"/>
    <w:rsid w:val="003543C6"/>
    <w:rsid w:val="00354887"/>
    <w:rsid w:val="00354A51"/>
    <w:rsid w:val="00354AF3"/>
    <w:rsid w:val="00354DEC"/>
    <w:rsid w:val="003555A7"/>
    <w:rsid w:val="00355E7A"/>
    <w:rsid w:val="00355ED3"/>
    <w:rsid w:val="003560D3"/>
    <w:rsid w:val="003562AE"/>
    <w:rsid w:val="00356300"/>
    <w:rsid w:val="003563A4"/>
    <w:rsid w:val="00356BE5"/>
    <w:rsid w:val="00357308"/>
    <w:rsid w:val="003576DB"/>
    <w:rsid w:val="00357C5B"/>
    <w:rsid w:val="00357CFD"/>
    <w:rsid w:val="003601C2"/>
    <w:rsid w:val="00360484"/>
    <w:rsid w:val="0036053F"/>
    <w:rsid w:val="00360832"/>
    <w:rsid w:val="00360C6A"/>
    <w:rsid w:val="0036144C"/>
    <w:rsid w:val="003619B8"/>
    <w:rsid w:val="00361B77"/>
    <w:rsid w:val="00362317"/>
    <w:rsid w:val="00362705"/>
    <w:rsid w:val="0036363D"/>
    <w:rsid w:val="003637F4"/>
    <w:rsid w:val="00363A9E"/>
    <w:rsid w:val="00363D76"/>
    <w:rsid w:val="0036427A"/>
    <w:rsid w:val="00364354"/>
    <w:rsid w:val="00364929"/>
    <w:rsid w:val="00364D54"/>
    <w:rsid w:val="00364E55"/>
    <w:rsid w:val="00364F49"/>
    <w:rsid w:val="0036564E"/>
    <w:rsid w:val="00366929"/>
    <w:rsid w:val="00366E99"/>
    <w:rsid w:val="0036719A"/>
    <w:rsid w:val="0036799B"/>
    <w:rsid w:val="00370511"/>
    <w:rsid w:val="00370C59"/>
    <w:rsid w:val="003713AD"/>
    <w:rsid w:val="00371859"/>
    <w:rsid w:val="00372539"/>
    <w:rsid w:val="0037266D"/>
    <w:rsid w:val="0037287F"/>
    <w:rsid w:val="00372969"/>
    <w:rsid w:val="00372C89"/>
    <w:rsid w:val="00372E49"/>
    <w:rsid w:val="00372ED5"/>
    <w:rsid w:val="003730B3"/>
    <w:rsid w:val="00373143"/>
    <w:rsid w:val="003731F2"/>
    <w:rsid w:val="00373283"/>
    <w:rsid w:val="00373518"/>
    <w:rsid w:val="0037368C"/>
    <w:rsid w:val="00373703"/>
    <w:rsid w:val="003742F9"/>
    <w:rsid w:val="00375016"/>
    <w:rsid w:val="003753C5"/>
    <w:rsid w:val="00375BFF"/>
    <w:rsid w:val="00375D1F"/>
    <w:rsid w:val="00377943"/>
    <w:rsid w:val="00377AA0"/>
    <w:rsid w:val="0038009C"/>
    <w:rsid w:val="00380119"/>
    <w:rsid w:val="00380284"/>
    <w:rsid w:val="00380330"/>
    <w:rsid w:val="00380736"/>
    <w:rsid w:val="0038097C"/>
    <w:rsid w:val="00381101"/>
    <w:rsid w:val="0038129D"/>
    <w:rsid w:val="00381749"/>
    <w:rsid w:val="003819A9"/>
    <w:rsid w:val="00381A14"/>
    <w:rsid w:val="00382650"/>
    <w:rsid w:val="0038266D"/>
    <w:rsid w:val="00382B79"/>
    <w:rsid w:val="003837D2"/>
    <w:rsid w:val="003839FD"/>
    <w:rsid w:val="00383CE7"/>
    <w:rsid w:val="003850F5"/>
    <w:rsid w:val="00385551"/>
    <w:rsid w:val="00385EDB"/>
    <w:rsid w:val="003861CF"/>
    <w:rsid w:val="0038653F"/>
    <w:rsid w:val="00386830"/>
    <w:rsid w:val="00386B07"/>
    <w:rsid w:val="00386FFE"/>
    <w:rsid w:val="00387029"/>
    <w:rsid w:val="0038708C"/>
    <w:rsid w:val="00387440"/>
    <w:rsid w:val="003874A8"/>
    <w:rsid w:val="003879E5"/>
    <w:rsid w:val="00387AA6"/>
    <w:rsid w:val="003901A4"/>
    <w:rsid w:val="003902FA"/>
    <w:rsid w:val="00390796"/>
    <w:rsid w:val="00390901"/>
    <w:rsid w:val="00390A3E"/>
    <w:rsid w:val="00390BF4"/>
    <w:rsid w:val="00390D56"/>
    <w:rsid w:val="00390F49"/>
    <w:rsid w:val="0039104D"/>
    <w:rsid w:val="00391463"/>
    <w:rsid w:val="00391672"/>
    <w:rsid w:val="003923C0"/>
    <w:rsid w:val="003926D3"/>
    <w:rsid w:val="00392ED0"/>
    <w:rsid w:val="00393491"/>
    <w:rsid w:val="003948C4"/>
    <w:rsid w:val="0039493E"/>
    <w:rsid w:val="00394DD4"/>
    <w:rsid w:val="00395584"/>
    <w:rsid w:val="00395DF1"/>
    <w:rsid w:val="003960E5"/>
    <w:rsid w:val="003964AF"/>
    <w:rsid w:val="00396B23"/>
    <w:rsid w:val="00397188"/>
    <w:rsid w:val="003971EB"/>
    <w:rsid w:val="00397252"/>
    <w:rsid w:val="00397267"/>
    <w:rsid w:val="00397E08"/>
    <w:rsid w:val="003A0318"/>
    <w:rsid w:val="003A03E8"/>
    <w:rsid w:val="003A11A3"/>
    <w:rsid w:val="003A1C43"/>
    <w:rsid w:val="003A1E90"/>
    <w:rsid w:val="003A3032"/>
    <w:rsid w:val="003A343E"/>
    <w:rsid w:val="003A3C1F"/>
    <w:rsid w:val="003A3C27"/>
    <w:rsid w:val="003A496F"/>
    <w:rsid w:val="003A4CCC"/>
    <w:rsid w:val="003A5789"/>
    <w:rsid w:val="003A5B1E"/>
    <w:rsid w:val="003A5D8D"/>
    <w:rsid w:val="003A5E22"/>
    <w:rsid w:val="003A6666"/>
    <w:rsid w:val="003A675C"/>
    <w:rsid w:val="003A6910"/>
    <w:rsid w:val="003A70EB"/>
    <w:rsid w:val="003A73AF"/>
    <w:rsid w:val="003A76EE"/>
    <w:rsid w:val="003A7BC0"/>
    <w:rsid w:val="003A7FDC"/>
    <w:rsid w:val="003B0E8E"/>
    <w:rsid w:val="003B0F78"/>
    <w:rsid w:val="003B0FF9"/>
    <w:rsid w:val="003B103F"/>
    <w:rsid w:val="003B16C1"/>
    <w:rsid w:val="003B172A"/>
    <w:rsid w:val="003B18C6"/>
    <w:rsid w:val="003B1F7B"/>
    <w:rsid w:val="003B1FEB"/>
    <w:rsid w:val="003B2377"/>
    <w:rsid w:val="003B252C"/>
    <w:rsid w:val="003B27F9"/>
    <w:rsid w:val="003B295C"/>
    <w:rsid w:val="003B30B4"/>
    <w:rsid w:val="003B340E"/>
    <w:rsid w:val="003B4248"/>
    <w:rsid w:val="003B4649"/>
    <w:rsid w:val="003B624D"/>
    <w:rsid w:val="003B6314"/>
    <w:rsid w:val="003B6533"/>
    <w:rsid w:val="003B66BF"/>
    <w:rsid w:val="003B67D4"/>
    <w:rsid w:val="003B681A"/>
    <w:rsid w:val="003B69CE"/>
    <w:rsid w:val="003B6A9A"/>
    <w:rsid w:val="003B764B"/>
    <w:rsid w:val="003B7B29"/>
    <w:rsid w:val="003C00DE"/>
    <w:rsid w:val="003C0439"/>
    <w:rsid w:val="003C04DE"/>
    <w:rsid w:val="003C0556"/>
    <w:rsid w:val="003C05D0"/>
    <w:rsid w:val="003C0932"/>
    <w:rsid w:val="003C0BEF"/>
    <w:rsid w:val="003C0C8E"/>
    <w:rsid w:val="003C14B0"/>
    <w:rsid w:val="003C166C"/>
    <w:rsid w:val="003C16D6"/>
    <w:rsid w:val="003C1D74"/>
    <w:rsid w:val="003C228C"/>
    <w:rsid w:val="003C271D"/>
    <w:rsid w:val="003C2A1E"/>
    <w:rsid w:val="003C2A33"/>
    <w:rsid w:val="003C390F"/>
    <w:rsid w:val="003C3CDF"/>
    <w:rsid w:val="003C3E7E"/>
    <w:rsid w:val="003C3F2C"/>
    <w:rsid w:val="003C4123"/>
    <w:rsid w:val="003C41D1"/>
    <w:rsid w:val="003C45A5"/>
    <w:rsid w:val="003C45BB"/>
    <w:rsid w:val="003C5738"/>
    <w:rsid w:val="003C5925"/>
    <w:rsid w:val="003C5D4A"/>
    <w:rsid w:val="003C6425"/>
    <w:rsid w:val="003C6895"/>
    <w:rsid w:val="003C691F"/>
    <w:rsid w:val="003C6C58"/>
    <w:rsid w:val="003C7036"/>
    <w:rsid w:val="003C7148"/>
    <w:rsid w:val="003C7748"/>
    <w:rsid w:val="003C786F"/>
    <w:rsid w:val="003D1EBD"/>
    <w:rsid w:val="003D21F9"/>
    <w:rsid w:val="003D23F4"/>
    <w:rsid w:val="003D29D0"/>
    <w:rsid w:val="003D2CA9"/>
    <w:rsid w:val="003D3C53"/>
    <w:rsid w:val="003D402A"/>
    <w:rsid w:val="003D4876"/>
    <w:rsid w:val="003D49B6"/>
    <w:rsid w:val="003D5A8C"/>
    <w:rsid w:val="003D5FDD"/>
    <w:rsid w:val="003D604D"/>
    <w:rsid w:val="003D6566"/>
    <w:rsid w:val="003D7265"/>
    <w:rsid w:val="003D730A"/>
    <w:rsid w:val="003D7894"/>
    <w:rsid w:val="003D7B51"/>
    <w:rsid w:val="003D7F17"/>
    <w:rsid w:val="003D7F7B"/>
    <w:rsid w:val="003E00D6"/>
    <w:rsid w:val="003E064A"/>
    <w:rsid w:val="003E115A"/>
    <w:rsid w:val="003E1297"/>
    <w:rsid w:val="003E16F7"/>
    <w:rsid w:val="003E19CA"/>
    <w:rsid w:val="003E19E4"/>
    <w:rsid w:val="003E1B53"/>
    <w:rsid w:val="003E1C27"/>
    <w:rsid w:val="003E22F8"/>
    <w:rsid w:val="003E2986"/>
    <w:rsid w:val="003E2CAA"/>
    <w:rsid w:val="003E3251"/>
    <w:rsid w:val="003E3425"/>
    <w:rsid w:val="003E37A2"/>
    <w:rsid w:val="003E4110"/>
    <w:rsid w:val="003E4519"/>
    <w:rsid w:val="003E458A"/>
    <w:rsid w:val="003E47E3"/>
    <w:rsid w:val="003E4926"/>
    <w:rsid w:val="003E4A17"/>
    <w:rsid w:val="003E4BA4"/>
    <w:rsid w:val="003E4D7F"/>
    <w:rsid w:val="003E5293"/>
    <w:rsid w:val="003E5298"/>
    <w:rsid w:val="003E644D"/>
    <w:rsid w:val="003E687D"/>
    <w:rsid w:val="003E699B"/>
    <w:rsid w:val="003E6B33"/>
    <w:rsid w:val="003E6B67"/>
    <w:rsid w:val="003E6D5B"/>
    <w:rsid w:val="003E7454"/>
    <w:rsid w:val="003E7492"/>
    <w:rsid w:val="003E7A04"/>
    <w:rsid w:val="003E7AEA"/>
    <w:rsid w:val="003E7FDF"/>
    <w:rsid w:val="003F00A3"/>
    <w:rsid w:val="003F0635"/>
    <w:rsid w:val="003F0A98"/>
    <w:rsid w:val="003F0AE3"/>
    <w:rsid w:val="003F0FA9"/>
    <w:rsid w:val="003F174E"/>
    <w:rsid w:val="003F17C8"/>
    <w:rsid w:val="003F18F2"/>
    <w:rsid w:val="003F208D"/>
    <w:rsid w:val="003F23B3"/>
    <w:rsid w:val="003F25D5"/>
    <w:rsid w:val="003F28E3"/>
    <w:rsid w:val="003F294E"/>
    <w:rsid w:val="003F2CDB"/>
    <w:rsid w:val="003F3526"/>
    <w:rsid w:val="003F36EA"/>
    <w:rsid w:val="003F3C13"/>
    <w:rsid w:val="003F3EB0"/>
    <w:rsid w:val="003F3FD5"/>
    <w:rsid w:val="003F4991"/>
    <w:rsid w:val="003F4B3C"/>
    <w:rsid w:val="003F54EB"/>
    <w:rsid w:val="003F5AB8"/>
    <w:rsid w:val="003F6105"/>
    <w:rsid w:val="003F62BE"/>
    <w:rsid w:val="003F697B"/>
    <w:rsid w:val="003F72CD"/>
    <w:rsid w:val="003F7720"/>
    <w:rsid w:val="003F774C"/>
    <w:rsid w:val="003F778F"/>
    <w:rsid w:val="003F781B"/>
    <w:rsid w:val="00400804"/>
    <w:rsid w:val="00400887"/>
    <w:rsid w:val="00400939"/>
    <w:rsid w:val="0040098B"/>
    <w:rsid w:val="00400D91"/>
    <w:rsid w:val="00401047"/>
    <w:rsid w:val="00401451"/>
    <w:rsid w:val="004014FD"/>
    <w:rsid w:val="00401B56"/>
    <w:rsid w:val="00401E46"/>
    <w:rsid w:val="004026AF"/>
    <w:rsid w:val="004027A9"/>
    <w:rsid w:val="0040288D"/>
    <w:rsid w:val="00402CF6"/>
    <w:rsid w:val="00402D22"/>
    <w:rsid w:val="004030CF"/>
    <w:rsid w:val="0040343B"/>
    <w:rsid w:val="00403812"/>
    <w:rsid w:val="00404665"/>
    <w:rsid w:val="00404792"/>
    <w:rsid w:val="00404D09"/>
    <w:rsid w:val="004055E6"/>
    <w:rsid w:val="0040583A"/>
    <w:rsid w:val="00405D7C"/>
    <w:rsid w:val="00405FEC"/>
    <w:rsid w:val="00406C46"/>
    <w:rsid w:val="00406DFD"/>
    <w:rsid w:val="00406E07"/>
    <w:rsid w:val="0040740D"/>
    <w:rsid w:val="00410154"/>
    <w:rsid w:val="004105AD"/>
    <w:rsid w:val="00410629"/>
    <w:rsid w:val="00411803"/>
    <w:rsid w:val="004118F9"/>
    <w:rsid w:val="00411995"/>
    <w:rsid w:val="00411B57"/>
    <w:rsid w:val="00411BEA"/>
    <w:rsid w:val="00412219"/>
    <w:rsid w:val="00412DC4"/>
    <w:rsid w:val="00413068"/>
    <w:rsid w:val="004139FB"/>
    <w:rsid w:val="00413F8F"/>
    <w:rsid w:val="0041411E"/>
    <w:rsid w:val="00414B07"/>
    <w:rsid w:val="00414BE5"/>
    <w:rsid w:val="00414FCD"/>
    <w:rsid w:val="0041578E"/>
    <w:rsid w:val="00415BC6"/>
    <w:rsid w:val="00416AF2"/>
    <w:rsid w:val="00417574"/>
    <w:rsid w:val="00417AA2"/>
    <w:rsid w:val="00417C96"/>
    <w:rsid w:val="0042036E"/>
    <w:rsid w:val="00420938"/>
    <w:rsid w:val="004209B1"/>
    <w:rsid w:val="00420A3A"/>
    <w:rsid w:val="00421010"/>
    <w:rsid w:val="0042142B"/>
    <w:rsid w:val="0042231F"/>
    <w:rsid w:val="00423FA7"/>
    <w:rsid w:val="004245CB"/>
    <w:rsid w:val="004247DB"/>
    <w:rsid w:val="00424A91"/>
    <w:rsid w:val="00425000"/>
    <w:rsid w:val="00425767"/>
    <w:rsid w:val="00425CF7"/>
    <w:rsid w:val="00425ED6"/>
    <w:rsid w:val="0042627F"/>
    <w:rsid w:val="00426885"/>
    <w:rsid w:val="00427872"/>
    <w:rsid w:val="00427AD5"/>
    <w:rsid w:val="0043012C"/>
    <w:rsid w:val="00430DB8"/>
    <w:rsid w:val="00431A92"/>
    <w:rsid w:val="00431C44"/>
    <w:rsid w:val="00431CCB"/>
    <w:rsid w:val="0043277B"/>
    <w:rsid w:val="00432C1F"/>
    <w:rsid w:val="00433238"/>
    <w:rsid w:val="0043330D"/>
    <w:rsid w:val="004334DD"/>
    <w:rsid w:val="004336D2"/>
    <w:rsid w:val="00433A5F"/>
    <w:rsid w:val="004342EF"/>
    <w:rsid w:val="0043452F"/>
    <w:rsid w:val="00435A92"/>
    <w:rsid w:val="00435CEC"/>
    <w:rsid w:val="00435E6F"/>
    <w:rsid w:val="0043663F"/>
    <w:rsid w:val="00436894"/>
    <w:rsid w:val="00436AA1"/>
    <w:rsid w:val="00436B2D"/>
    <w:rsid w:val="00436B44"/>
    <w:rsid w:val="00436B49"/>
    <w:rsid w:val="004370A6"/>
    <w:rsid w:val="004370F9"/>
    <w:rsid w:val="00437177"/>
    <w:rsid w:val="004379AD"/>
    <w:rsid w:val="004379DE"/>
    <w:rsid w:val="00437E93"/>
    <w:rsid w:val="00437F0F"/>
    <w:rsid w:val="00440256"/>
    <w:rsid w:val="00440A0C"/>
    <w:rsid w:val="00440B44"/>
    <w:rsid w:val="00440BCB"/>
    <w:rsid w:val="004412BF"/>
    <w:rsid w:val="00441613"/>
    <w:rsid w:val="00441C4F"/>
    <w:rsid w:val="00441D31"/>
    <w:rsid w:val="004421F2"/>
    <w:rsid w:val="00442346"/>
    <w:rsid w:val="00442368"/>
    <w:rsid w:val="00442592"/>
    <w:rsid w:val="00442973"/>
    <w:rsid w:val="00442AED"/>
    <w:rsid w:val="00443063"/>
    <w:rsid w:val="004431A7"/>
    <w:rsid w:val="004439DD"/>
    <w:rsid w:val="004443D3"/>
    <w:rsid w:val="00445256"/>
    <w:rsid w:val="00445658"/>
    <w:rsid w:val="00445EB3"/>
    <w:rsid w:val="004464D7"/>
    <w:rsid w:val="0044668D"/>
    <w:rsid w:val="00446B44"/>
    <w:rsid w:val="00446DDA"/>
    <w:rsid w:val="00447324"/>
    <w:rsid w:val="0044780E"/>
    <w:rsid w:val="004478E5"/>
    <w:rsid w:val="00447E7B"/>
    <w:rsid w:val="00447F0F"/>
    <w:rsid w:val="0045084F"/>
    <w:rsid w:val="0045086A"/>
    <w:rsid w:val="00451472"/>
    <w:rsid w:val="00451709"/>
    <w:rsid w:val="004517DB"/>
    <w:rsid w:val="00451C6F"/>
    <w:rsid w:val="004522E9"/>
    <w:rsid w:val="0045245D"/>
    <w:rsid w:val="0045255B"/>
    <w:rsid w:val="00452B24"/>
    <w:rsid w:val="004534E5"/>
    <w:rsid w:val="00453A4D"/>
    <w:rsid w:val="00453CFA"/>
    <w:rsid w:val="004546C8"/>
    <w:rsid w:val="00454EB2"/>
    <w:rsid w:val="004555FD"/>
    <w:rsid w:val="00456C82"/>
    <w:rsid w:val="00457192"/>
    <w:rsid w:val="00457594"/>
    <w:rsid w:val="004577CE"/>
    <w:rsid w:val="00457FDF"/>
    <w:rsid w:val="00460667"/>
    <w:rsid w:val="00460BB8"/>
    <w:rsid w:val="00461693"/>
    <w:rsid w:val="00461A88"/>
    <w:rsid w:val="00461B34"/>
    <w:rsid w:val="00462452"/>
    <w:rsid w:val="0046252C"/>
    <w:rsid w:val="00462843"/>
    <w:rsid w:val="004628F4"/>
    <w:rsid w:val="0046310A"/>
    <w:rsid w:val="004639A6"/>
    <w:rsid w:val="00463E8B"/>
    <w:rsid w:val="00464588"/>
    <w:rsid w:val="00464918"/>
    <w:rsid w:val="00465B79"/>
    <w:rsid w:val="00466E7D"/>
    <w:rsid w:val="00467864"/>
    <w:rsid w:val="0046786B"/>
    <w:rsid w:val="00467A36"/>
    <w:rsid w:val="00470042"/>
    <w:rsid w:val="00470BF9"/>
    <w:rsid w:val="00470D22"/>
    <w:rsid w:val="00470E7A"/>
    <w:rsid w:val="0047186A"/>
    <w:rsid w:val="00471A80"/>
    <w:rsid w:val="00471A97"/>
    <w:rsid w:val="00472054"/>
    <w:rsid w:val="00472F86"/>
    <w:rsid w:val="00473475"/>
    <w:rsid w:val="004734B5"/>
    <w:rsid w:val="00473872"/>
    <w:rsid w:val="004738C6"/>
    <w:rsid w:val="004739D0"/>
    <w:rsid w:val="00473E93"/>
    <w:rsid w:val="00474815"/>
    <w:rsid w:val="004755F1"/>
    <w:rsid w:val="00475669"/>
    <w:rsid w:val="00475F32"/>
    <w:rsid w:val="004762DC"/>
    <w:rsid w:val="00476406"/>
    <w:rsid w:val="004768BE"/>
    <w:rsid w:val="00476CB3"/>
    <w:rsid w:val="00476F2A"/>
    <w:rsid w:val="004770FD"/>
    <w:rsid w:val="00477A0F"/>
    <w:rsid w:val="004803FD"/>
    <w:rsid w:val="00480431"/>
    <w:rsid w:val="00480A00"/>
    <w:rsid w:val="0048109A"/>
    <w:rsid w:val="00481629"/>
    <w:rsid w:val="004819AC"/>
    <w:rsid w:val="00481D94"/>
    <w:rsid w:val="00481EAF"/>
    <w:rsid w:val="004822CB"/>
    <w:rsid w:val="004822D4"/>
    <w:rsid w:val="004823FB"/>
    <w:rsid w:val="00482F44"/>
    <w:rsid w:val="00483279"/>
    <w:rsid w:val="0048375C"/>
    <w:rsid w:val="00483823"/>
    <w:rsid w:val="00483959"/>
    <w:rsid w:val="004843F8"/>
    <w:rsid w:val="00484E49"/>
    <w:rsid w:val="00485382"/>
    <w:rsid w:val="00485876"/>
    <w:rsid w:val="004859D6"/>
    <w:rsid w:val="00485BE1"/>
    <w:rsid w:val="00485D84"/>
    <w:rsid w:val="00485E5A"/>
    <w:rsid w:val="00486160"/>
    <w:rsid w:val="00486511"/>
    <w:rsid w:val="00486A0F"/>
    <w:rsid w:val="00486D71"/>
    <w:rsid w:val="00486F9A"/>
    <w:rsid w:val="0048727A"/>
    <w:rsid w:val="004877A8"/>
    <w:rsid w:val="00487A4F"/>
    <w:rsid w:val="00487DCB"/>
    <w:rsid w:val="00487E9A"/>
    <w:rsid w:val="00490146"/>
    <w:rsid w:val="0049055D"/>
    <w:rsid w:val="00490882"/>
    <w:rsid w:val="00490B57"/>
    <w:rsid w:val="004920F8"/>
    <w:rsid w:val="004922EF"/>
    <w:rsid w:val="00493695"/>
    <w:rsid w:val="0049404F"/>
    <w:rsid w:val="0049420E"/>
    <w:rsid w:val="00494508"/>
    <w:rsid w:val="00494D29"/>
    <w:rsid w:val="00495115"/>
    <w:rsid w:val="0049514F"/>
    <w:rsid w:val="004951D2"/>
    <w:rsid w:val="00495256"/>
    <w:rsid w:val="00495A17"/>
    <w:rsid w:val="00495D7E"/>
    <w:rsid w:val="00495EC4"/>
    <w:rsid w:val="00497161"/>
    <w:rsid w:val="00497AC9"/>
    <w:rsid w:val="004A100D"/>
    <w:rsid w:val="004A11DE"/>
    <w:rsid w:val="004A12A4"/>
    <w:rsid w:val="004A13CF"/>
    <w:rsid w:val="004A1771"/>
    <w:rsid w:val="004A2121"/>
    <w:rsid w:val="004A299E"/>
    <w:rsid w:val="004A2C25"/>
    <w:rsid w:val="004A319A"/>
    <w:rsid w:val="004A37BD"/>
    <w:rsid w:val="004A3C04"/>
    <w:rsid w:val="004A3D0C"/>
    <w:rsid w:val="004A4092"/>
    <w:rsid w:val="004A41BC"/>
    <w:rsid w:val="004A45C2"/>
    <w:rsid w:val="004A4617"/>
    <w:rsid w:val="004A4740"/>
    <w:rsid w:val="004A48D9"/>
    <w:rsid w:val="004A4AAB"/>
    <w:rsid w:val="004A4CAA"/>
    <w:rsid w:val="004A52BC"/>
    <w:rsid w:val="004A54EC"/>
    <w:rsid w:val="004A6EE9"/>
    <w:rsid w:val="004B03D6"/>
    <w:rsid w:val="004B0ACA"/>
    <w:rsid w:val="004B0C44"/>
    <w:rsid w:val="004B170B"/>
    <w:rsid w:val="004B254D"/>
    <w:rsid w:val="004B2A78"/>
    <w:rsid w:val="004B2C26"/>
    <w:rsid w:val="004B2D4D"/>
    <w:rsid w:val="004B2E64"/>
    <w:rsid w:val="004B312E"/>
    <w:rsid w:val="004B34B4"/>
    <w:rsid w:val="004B46E5"/>
    <w:rsid w:val="004B4C5B"/>
    <w:rsid w:val="004B518C"/>
    <w:rsid w:val="004B54C9"/>
    <w:rsid w:val="004B5974"/>
    <w:rsid w:val="004B5B10"/>
    <w:rsid w:val="004B65DB"/>
    <w:rsid w:val="004B6A5A"/>
    <w:rsid w:val="004B7C38"/>
    <w:rsid w:val="004B7EC8"/>
    <w:rsid w:val="004C042B"/>
    <w:rsid w:val="004C0EF7"/>
    <w:rsid w:val="004C1478"/>
    <w:rsid w:val="004C1B7C"/>
    <w:rsid w:val="004C1C48"/>
    <w:rsid w:val="004C26E9"/>
    <w:rsid w:val="004C3047"/>
    <w:rsid w:val="004C318F"/>
    <w:rsid w:val="004C3230"/>
    <w:rsid w:val="004C32AA"/>
    <w:rsid w:val="004C32CC"/>
    <w:rsid w:val="004C35B6"/>
    <w:rsid w:val="004C4250"/>
    <w:rsid w:val="004C49AD"/>
    <w:rsid w:val="004C4A07"/>
    <w:rsid w:val="004C543F"/>
    <w:rsid w:val="004C5AE0"/>
    <w:rsid w:val="004C64AA"/>
    <w:rsid w:val="004C65B1"/>
    <w:rsid w:val="004C6B85"/>
    <w:rsid w:val="004C7D6B"/>
    <w:rsid w:val="004D0647"/>
    <w:rsid w:val="004D1295"/>
    <w:rsid w:val="004D15A8"/>
    <w:rsid w:val="004D1AA7"/>
    <w:rsid w:val="004D1EA5"/>
    <w:rsid w:val="004D250D"/>
    <w:rsid w:val="004D2DED"/>
    <w:rsid w:val="004D30A8"/>
    <w:rsid w:val="004D34A3"/>
    <w:rsid w:val="004D3A19"/>
    <w:rsid w:val="004D3F7F"/>
    <w:rsid w:val="004D464C"/>
    <w:rsid w:val="004D4959"/>
    <w:rsid w:val="004D4B02"/>
    <w:rsid w:val="004D4FEF"/>
    <w:rsid w:val="004D52E2"/>
    <w:rsid w:val="004D53E0"/>
    <w:rsid w:val="004D541E"/>
    <w:rsid w:val="004D56AE"/>
    <w:rsid w:val="004D56D2"/>
    <w:rsid w:val="004D5F7E"/>
    <w:rsid w:val="004D63F7"/>
    <w:rsid w:val="004D678F"/>
    <w:rsid w:val="004D6BD8"/>
    <w:rsid w:val="004D7CE3"/>
    <w:rsid w:val="004E0055"/>
    <w:rsid w:val="004E0822"/>
    <w:rsid w:val="004E0DD7"/>
    <w:rsid w:val="004E0DDD"/>
    <w:rsid w:val="004E13AE"/>
    <w:rsid w:val="004E1682"/>
    <w:rsid w:val="004E2BB0"/>
    <w:rsid w:val="004E3331"/>
    <w:rsid w:val="004E3420"/>
    <w:rsid w:val="004E42A4"/>
    <w:rsid w:val="004E42B1"/>
    <w:rsid w:val="004E5124"/>
    <w:rsid w:val="004E5464"/>
    <w:rsid w:val="004E5818"/>
    <w:rsid w:val="004E5F77"/>
    <w:rsid w:val="004E608F"/>
    <w:rsid w:val="004E60E5"/>
    <w:rsid w:val="004E6FDA"/>
    <w:rsid w:val="004E72C7"/>
    <w:rsid w:val="004E73F4"/>
    <w:rsid w:val="004E7E3A"/>
    <w:rsid w:val="004F0280"/>
    <w:rsid w:val="004F04F0"/>
    <w:rsid w:val="004F095B"/>
    <w:rsid w:val="004F0DA3"/>
    <w:rsid w:val="004F1A9C"/>
    <w:rsid w:val="004F218E"/>
    <w:rsid w:val="004F23BF"/>
    <w:rsid w:val="004F24C5"/>
    <w:rsid w:val="004F2A5B"/>
    <w:rsid w:val="004F363B"/>
    <w:rsid w:val="004F3865"/>
    <w:rsid w:val="004F3B28"/>
    <w:rsid w:val="004F500B"/>
    <w:rsid w:val="004F51EB"/>
    <w:rsid w:val="004F597C"/>
    <w:rsid w:val="004F6485"/>
    <w:rsid w:val="004F6564"/>
    <w:rsid w:val="004F67ED"/>
    <w:rsid w:val="004F70BF"/>
    <w:rsid w:val="004F74CF"/>
    <w:rsid w:val="004F7E10"/>
    <w:rsid w:val="00500087"/>
    <w:rsid w:val="00500656"/>
    <w:rsid w:val="0050090F"/>
    <w:rsid w:val="0050093F"/>
    <w:rsid w:val="00500BF5"/>
    <w:rsid w:val="00500DB8"/>
    <w:rsid w:val="00501265"/>
    <w:rsid w:val="0050198C"/>
    <w:rsid w:val="00501AF1"/>
    <w:rsid w:val="00501FC1"/>
    <w:rsid w:val="005029DA"/>
    <w:rsid w:val="00502D3F"/>
    <w:rsid w:val="00502D9B"/>
    <w:rsid w:val="005030F6"/>
    <w:rsid w:val="00503861"/>
    <w:rsid w:val="00503F68"/>
    <w:rsid w:val="00504125"/>
    <w:rsid w:val="00504943"/>
    <w:rsid w:val="00504F00"/>
    <w:rsid w:val="005053C4"/>
    <w:rsid w:val="00505888"/>
    <w:rsid w:val="005058BD"/>
    <w:rsid w:val="00505927"/>
    <w:rsid w:val="005060FA"/>
    <w:rsid w:val="00506241"/>
    <w:rsid w:val="00506EBB"/>
    <w:rsid w:val="005072ED"/>
    <w:rsid w:val="00507A72"/>
    <w:rsid w:val="00507B9C"/>
    <w:rsid w:val="00507DCF"/>
    <w:rsid w:val="00507DF4"/>
    <w:rsid w:val="0051024E"/>
    <w:rsid w:val="0051026D"/>
    <w:rsid w:val="00510A20"/>
    <w:rsid w:val="00510A72"/>
    <w:rsid w:val="0051108C"/>
    <w:rsid w:val="00511197"/>
    <w:rsid w:val="005119F4"/>
    <w:rsid w:val="00511C43"/>
    <w:rsid w:val="00511F0F"/>
    <w:rsid w:val="0051267B"/>
    <w:rsid w:val="005126AB"/>
    <w:rsid w:val="00512E98"/>
    <w:rsid w:val="005130E7"/>
    <w:rsid w:val="00513425"/>
    <w:rsid w:val="00513500"/>
    <w:rsid w:val="0051367D"/>
    <w:rsid w:val="00514C1E"/>
    <w:rsid w:val="00514C6A"/>
    <w:rsid w:val="00514FB5"/>
    <w:rsid w:val="005159BB"/>
    <w:rsid w:val="00516A4E"/>
    <w:rsid w:val="0051700F"/>
    <w:rsid w:val="005177FE"/>
    <w:rsid w:val="005200B9"/>
    <w:rsid w:val="00520884"/>
    <w:rsid w:val="00520899"/>
    <w:rsid w:val="00520A03"/>
    <w:rsid w:val="00520BBB"/>
    <w:rsid w:val="00520C18"/>
    <w:rsid w:val="00521241"/>
    <w:rsid w:val="00521BD4"/>
    <w:rsid w:val="00521C5B"/>
    <w:rsid w:val="0052257A"/>
    <w:rsid w:val="00522AA4"/>
    <w:rsid w:val="00522C33"/>
    <w:rsid w:val="005236C1"/>
    <w:rsid w:val="00523A67"/>
    <w:rsid w:val="00524105"/>
    <w:rsid w:val="00524129"/>
    <w:rsid w:val="005247BF"/>
    <w:rsid w:val="005250A8"/>
    <w:rsid w:val="0052527B"/>
    <w:rsid w:val="00525A63"/>
    <w:rsid w:val="00525DD3"/>
    <w:rsid w:val="005267BB"/>
    <w:rsid w:val="005272D0"/>
    <w:rsid w:val="00527DAB"/>
    <w:rsid w:val="00527E59"/>
    <w:rsid w:val="00527EA7"/>
    <w:rsid w:val="00527ED6"/>
    <w:rsid w:val="00530494"/>
    <w:rsid w:val="00530B17"/>
    <w:rsid w:val="00531A1C"/>
    <w:rsid w:val="00531C20"/>
    <w:rsid w:val="005324F6"/>
    <w:rsid w:val="00532777"/>
    <w:rsid w:val="00533203"/>
    <w:rsid w:val="00533231"/>
    <w:rsid w:val="0053338A"/>
    <w:rsid w:val="005341C5"/>
    <w:rsid w:val="0053477E"/>
    <w:rsid w:val="005348F9"/>
    <w:rsid w:val="00535584"/>
    <w:rsid w:val="00535B39"/>
    <w:rsid w:val="00535D35"/>
    <w:rsid w:val="00535EB9"/>
    <w:rsid w:val="0053607C"/>
    <w:rsid w:val="00536540"/>
    <w:rsid w:val="0053679A"/>
    <w:rsid w:val="0053758C"/>
    <w:rsid w:val="005377F0"/>
    <w:rsid w:val="00537982"/>
    <w:rsid w:val="005379C6"/>
    <w:rsid w:val="00537BEC"/>
    <w:rsid w:val="00540025"/>
    <w:rsid w:val="0054021F"/>
    <w:rsid w:val="0054038E"/>
    <w:rsid w:val="00540CAD"/>
    <w:rsid w:val="00541F60"/>
    <w:rsid w:val="00542033"/>
    <w:rsid w:val="00542141"/>
    <w:rsid w:val="005421CF"/>
    <w:rsid w:val="005423CD"/>
    <w:rsid w:val="00542974"/>
    <w:rsid w:val="005433CE"/>
    <w:rsid w:val="0054559F"/>
    <w:rsid w:val="0054560B"/>
    <w:rsid w:val="0054577B"/>
    <w:rsid w:val="00545C21"/>
    <w:rsid w:val="00546466"/>
    <w:rsid w:val="00546BBA"/>
    <w:rsid w:val="00546DDA"/>
    <w:rsid w:val="00546E67"/>
    <w:rsid w:val="00546EFF"/>
    <w:rsid w:val="0054729A"/>
    <w:rsid w:val="005476F1"/>
    <w:rsid w:val="00547793"/>
    <w:rsid w:val="00547984"/>
    <w:rsid w:val="00547AB5"/>
    <w:rsid w:val="00547AC7"/>
    <w:rsid w:val="00550151"/>
    <w:rsid w:val="0055018F"/>
    <w:rsid w:val="0055032C"/>
    <w:rsid w:val="0055037D"/>
    <w:rsid w:val="00550769"/>
    <w:rsid w:val="00550EEE"/>
    <w:rsid w:val="00550F3F"/>
    <w:rsid w:val="00550F43"/>
    <w:rsid w:val="00550FBD"/>
    <w:rsid w:val="00551339"/>
    <w:rsid w:val="00551459"/>
    <w:rsid w:val="00552053"/>
    <w:rsid w:val="00552247"/>
    <w:rsid w:val="005524ED"/>
    <w:rsid w:val="005526E6"/>
    <w:rsid w:val="005534C1"/>
    <w:rsid w:val="005535B8"/>
    <w:rsid w:val="005535F6"/>
    <w:rsid w:val="00553676"/>
    <w:rsid w:val="005538BB"/>
    <w:rsid w:val="0055427E"/>
    <w:rsid w:val="00554966"/>
    <w:rsid w:val="00555070"/>
    <w:rsid w:val="005558C2"/>
    <w:rsid w:val="00555999"/>
    <w:rsid w:val="00555F54"/>
    <w:rsid w:val="00556406"/>
    <w:rsid w:val="0055650E"/>
    <w:rsid w:val="00556B0B"/>
    <w:rsid w:val="00556CFB"/>
    <w:rsid w:val="00557D0A"/>
    <w:rsid w:val="0056039C"/>
    <w:rsid w:val="005608B0"/>
    <w:rsid w:val="00560B7F"/>
    <w:rsid w:val="00561257"/>
    <w:rsid w:val="00561429"/>
    <w:rsid w:val="00561994"/>
    <w:rsid w:val="005619B6"/>
    <w:rsid w:val="00561BA6"/>
    <w:rsid w:val="00561BBA"/>
    <w:rsid w:val="00561BF8"/>
    <w:rsid w:val="00561E90"/>
    <w:rsid w:val="00562452"/>
    <w:rsid w:val="00563271"/>
    <w:rsid w:val="0056330B"/>
    <w:rsid w:val="00563529"/>
    <w:rsid w:val="0056380B"/>
    <w:rsid w:val="00563BFE"/>
    <w:rsid w:val="00563CE0"/>
    <w:rsid w:val="00563ED0"/>
    <w:rsid w:val="00564521"/>
    <w:rsid w:val="00564BAE"/>
    <w:rsid w:val="00565391"/>
    <w:rsid w:val="00565D3E"/>
    <w:rsid w:val="005662E4"/>
    <w:rsid w:val="00566A2A"/>
    <w:rsid w:val="00566AAC"/>
    <w:rsid w:val="0056777D"/>
    <w:rsid w:val="00567AAA"/>
    <w:rsid w:val="0057008D"/>
    <w:rsid w:val="00571188"/>
    <w:rsid w:val="00572260"/>
    <w:rsid w:val="00573114"/>
    <w:rsid w:val="00573603"/>
    <w:rsid w:val="00573BB1"/>
    <w:rsid w:val="00574479"/>
    <w:rsid w:val="0057452C"/>
    <w:rsid w:val="0057458B"/>
    <w:rsid w:val="005745E6"/>
    <w:rsid w:val="005749BE"/>
    <w:rsid w:val="00574B3C"/>
    <w:rsid w:val="00575050"/>
    <w:rsid w:val="0057510E"/>
    <w:rsid w:val="00575A0B"/>
    <w:rsid w:val="00575AC4"/>
    <w:rsid w:val="005769FE"/>
    <w:rsid w:val="0057768A"/>
    <w:rsid w:val="00577739"/>
    <w:rsid w:val="00577F50"/>
    <w:rsid w:val="0058099B"/>
    <w:rsid w:val="005809AA"/>
    <w:rsid w:val="00580EB5"/>
    <w:rsid w:val="00581185"/>
    <w:rsid w:val="005812F6"/>
    <w:rsid w:val="00581808"/>
    <w:rsid w:val="00581F31"/>
    <w:rsid w:val="005821B8"/>
    <w:rsid w:val="0058220A"/>
    <w:rsid w:val="005822C9"/>
    <w:rsid w:val="005828A3"/>
    <w:rsid w:val="00582D88"/>
    <w:rsid w:val="00583BC2"/>
    <w:rsid w:val="00583BF2"/>
    <w:rsid w:val="005843DC"/>
    <w:rsid w:val="005850A0"/>
    <w:rsid w:val="00585411"/>
    <w:rsid w:val="00585537"/>
    <w:rsid w:val="00585AE7"/>
    <w:rsid w:val="005879D6"/>
    <w:rsid w:val="00587A08"/>
    <w:rsid w:val="00587BA1"/>
    <w:rsid w:val="00590F15"/>
    <w:rsid w:val="0059120D"/>
    <w:rsid w:val="00591684"/>
    <w:rsid w:val="005916CF"/>
    <w:rsid w:val="005919C7"/>
    <w:rsid w:val="00591C4A"/>
    <w:rsid w:val="00593325"/>
    <w:rsid w:val="005934C8"/>
    <w:rsid w:val="00593ED8"/>
    <w:rsid w:val="005945EA"/>
    <w:rsid w:val="0059471E"/>
    <w:rsid w:val="00594AAD"/>
    <w:rsid w:val="00594EA0"/>
    <w:rsid w:val="00595D90"/>
    <w:rsid w:val="0059618E"/>
    <w:rsid w:val="005963CD"/>
    <w:rsid w:val="0059649F"/>
    <w:rsid w:val="00596932"/>
    <w:rsid w:val="005969F0"/>
    <w:rsid w:val="00596C0A"/>
    <w:rsid w:val="00597BB5"/>
    <w:rsid w:val="005A1DBB"/>
    <w:rsid w:val="005A2106"/>
    <w:rsid w:val="005A31B1"/>
    <w:rsid w:val="005A367B"/>
    <w:rsid w:val="005A4BD7"/>
    <w:rsid w:val="005A5A06"/>
    <w:rsid w:val="005A6A71"/>
    <w:rsid w:val="005A6CB7"/>
    <w:rsid w:val="005A7006"/>
    <w:rsid w:val="005A77B3"/>
    <w:rsid w:val="005A7B4A"/>
    <w:rsid w:val="005A7DDD"/>
    <w:rsid w:val="005A7E55"/>
    <w:rsid w:val="005B003D"/>
    <w:rsid w:val="005B05A9"/>
    <w:rsid w:val="005B0EC3"/>
    <w:rsid w:val="005B105B"/>
    <w:rsid w:val="005B111A"/>
    <w:rsid w:val="005B1722"/>
    <w:rsid w:val="005B19A7"/>
    <w:rsid w:val="005B19AB"/>
    <w:rsid w:val="005B226A"/>
    <w:rsid w:val="005B264E"/>
    <w:rsid w:val="005B2B56"/>
    <w:rsid w:val="005B3729"/>
    <w:rsid w:val="005B3A7B"/>
    <w:rsid w:val="005B442B"/>
    <w:rsid w:val="005B464A"/>
    <w:rsid w:val="005B4A90"/>
    <w:rsid w:val="005B4B56"/>
    <w:rsid w:val="005B5B0A"/>
    <w:rsid w:val="005B5CC1"/>
    <w:rsid w:val="005B5CE0"/>
    <w:rsid w:val="005B5D9A"/>
    <w:rsid w:val="005B63A2"/>
    <w:rsid w:val="005B6602"/>
    <w:rsid w:val="005B6FE3"/>
    <w:rsid w:val="005C00A7"/>
    <w:rsid w:val="005C0436"/>
    <w:rsid w:val="005C07F6"/>
    <w:rsid w:val="005C183B"/>
    <w:rsid w:val="005C232A"/>
    <w:rsid w:val="005C2B22"/>
    <w:rsid w:val="005C2DC8"/>
    <w:rsid w:val="005C3E20"/>
    <w:rsid w:val="005C3E21"/>
    <w:rsid w:val="005C3E24"/>
    <w:rsid w:val="005C46EB"/>
    <w:rsid w:val="005C4ABF"/>
    <w:rsid w:val="005C4AE2"/>
    <w:rsid w:val="005C5163"/>
    <w:rsid w:val="005C562F"/>
    <w:rsid w:val="005C5B2A"/>
    <w:rsid w:val="005C5EC3"/>
    <w:rsid w:val="005C619B"/>
    <w:rsid w:val="005C65C7"/>
    <w:rsid w:val="005C6714"/>
    <w:rsid w:val="005C68B8"/>
    <w:rsid w:val="005C75A4"/>
    <w:rsid w:val="005D01F7"/>
    <w:rsid w:val="005D1679"/>
    <w:rsid w:val="005D1799"/>
    <w:rsid w:val="005D1B94"/>
    <w:rsid w:val="005D1C92"/>
    <w:rsid w:val="005D2448"/>
    <w:rsid w:val="005D2A20"/>
    <w:rsid w:val="005D2A7F"/>
    <w:rsid w:val="005D3106"/>
    <w:rsid w:val="005D3201"/>
    <w:rsid w:val="005D3955"/>
    <w:rsid w:val="005D47A2"/>
    <w:rsid w:val="005D5B5F"/>
    <w:rsid w:val="005D5C0F"/>
    <w:rsid w:val="005D6360"/>
    <w:rsid w:val="005D69A3"/>
    <w:rsid w:val="005D71EE"/>
    <w:rsid w:val="005D7700"/>
    <w:rsid w:val="005E027F"/>
    <w:rsid w:val="005E044F"/>
    <w:rsid w:val="005E0602"/>
    <w:rsid w:val="005E0E47"/>
    <w:rsid w:val="005E0EA0"/>
    <w:rsid w:val="005E10C8"/>
    <w:rsid w:val="005E2A7E"/>
    <w:rsid w:val="005E2AFD"/>
    <w:rsid w:val="005E2BB9"/>
    <w:rsid w:val="005E2C4C"/>
    <w:rsid w:val="005E2FCF"/>
    <w:rsid w:val="005E3CF8"/>
    <w:rsid w:val="005E4459"/>
    <w:rsid w:val="005E484B"/>
    <w:rsid w:val="005E4ADF"/>
    <w:rsid w:val="005E524A"/>
    <w:rsid w:val="005E5886"/>
    <w:rsid w:val="005E5D00"/>
    <w:rsid w:val="005E6C15"/>
    <w:rsid w:val="005E6D6E"/>
    <w:rsid w:val="005E6DCE"/>
    <w:rsid w:val="005E6E43"/>
    <w:rsid w:val="005E7378"/>
    <w:rsid w:val="005E750B"/>
    <w:rsid w:val="005E7A65"/>
    <w:rsid w:val="005E7D4E"/>
    <w:rsid w:val="005E7DB1"/>
    <w:rsid w:val="005F0B07"/>
    <w:rsid w:val="005F0C99"/>
    <w:rsid w:val="005F0E45"/>
    <w:rsid w:val="005F102C"/>
    <w:rsid w:val="005F1B88"/>
    <w:rsid w:val="005F1BB8"/>
    <w:rsid w:val="005F1F6B"/>
    <w:rsid w:val="005F230E"/>
    <w:rsid w:val="005F3313"/>
    <w:rsid w:val="005F34D0"/>
    <w:rsid w:val="005F3D86"/>
    <w:rsid w:val="005F3F33"/>
    <w:rsid w:val="005F41D0"/>
    <w:rsid w:val="005F4206"/>
    <w:rsid w:val="005F442B"/>
    <w:rsid w:val="005F45B4"/>
    <w:rsid w:val="005F49D8"/>
    <w:rsid w:val="005F4FC4"/>
    <w:rsid w:val="005F53BD"/>
    <w:rsid w:val="005F54ED"/>
    <w:rsid w:val="005F5510"/>
    <w:rsid w:val="005F5790"/>
    <w:rsid w:val="005F597F"/>
    <w:rsid w:val="005F5BEB"/>
    <w:rsid w:val="005F5E11"/>
    <w:rsid w:val="005F5FA1"/>
    <w:rsid w:val="005F6927"/>
    <w:rsid w:val="005F736C"/>
    <w:rsid w:val="005F768C"/>
    <w:rsid w:val="005F7916"/>
    <w:rsid w:val="005F7E4B"/>
    <w:rsid w:val="006001ED"/>
    <w:rsid w:val="00600334"/>
    <w:rsid w:val="0060042E"/>
    <w:rsid w:val="006008BA"/>
    <w:rsid w:val="006011FE"/>
    <w:rsid w:val="006013EE"/>
    <w:rsid w:val="0060180D"/>
    <w:rsid w:val="00601A12"/>
    <w:rsid w:val="00601B37"/>
    <w:rsid w:val="00601E2E"/>
    <w:rsid w:val="00601F56"/>
    <w:rsid w:val="006026E2"/>
    <w:rsid w:val="006028E2"/>
    <w:rsid w:val="006043E7"/>
    <w:rsid w:val="00604B6C"/>
    <w:rsid w:val="00604F92"/>
    <w:rsid w:val="00605663"/>
    <w:rsid w:val="0060591F"/>
    <w:rsid w:val="00605B96"/>
    <w:rsid w:val="00605CE2"/>
    <w:rsid w:val="00605DE7"/>
    <w:rsid w:val="00606207"/>
    <w:rsid w:val="006065BC"/>
    <w:rsid w:val="00607032"/>
    <w:rsid w:val="0060711C"/>
    <w:rsid w:val="00607189"/>
    <w:rsid w:val="006075A2"/>
    <w:rsid w:val="0060795E"/>
    <w:rsid w:val="00607FB0"/>
    <w:rsid w:val="0061013A"/>
    <w:rsid w:val="006102C4"/>
    <w:rsid w:val="006103E9"/>
    <w:rsid w:val="00611123"/>
    <w:rsid w:val="006114FD"/>
    <w:rsid w:val="00611A06"/>
    <w:rsid w:val="00611E34"/>
    <w:rsid w:val="00612039"/>
    <w:rsid w:val="006122D2"/>
    <w:rsid w:val="006123B0"/>
    <w:rsid w:val="006129AC"/>
    <w:rsid w:val="00613482"/>
    <w:rsid w:val="006141EB"/>
    <w:rsid w:val="00614264"/>
    <w:rsid w:val="0061441B"/>
    <w:rsid w:val="00614B67"/>
    <w:rsid w:val="00614D38"/>
    <w:rsid w:val="00614FE1"/>
    <w:rsid w:val="0061505E"/>
    <w:rsid w:val="0061571A"/>
    <w:rsid w:val="006159E3"/>
    <w:rsid w:val="00615A63"/>
    <w:rsid w:val="00616F3A"/>
    <w:rsid w:val="006172F1"/>
    <w:rsid w:val="0061754D"/>
    <w:rsid w:val="006175BA"/>
    <w:rsid w:val="006176EA"/>
    <w:rsid w:val="00617B6B"/>
    <w:rsid w:val="0062001C"/>
    <w:rsid w:val="00620727"/>
    <w:rsid w:val="00621B50"/>
    <w:rsid w:val="00622944"/>
    <w:rsid w:val="00622C76"/>
    <w:rsid w:val="006238AA"/>
    <w:rsid w:val="00623F9E"/>
    <w:rsid w:val="006247D8"/>
    <w:rsid w:val="00624CDD"/>
    <w:rsid w:val="00624DB9"/>
    <w:rsid w:val="00624E84"/>
    <w:rsid w:val="00625562"/>
    <w:rsid w:val="006262E8"/>
    <w:rsid w:val="00626B9A"/>
    <w:rsid w:val="00626D0E"/>
    <w:rsid w:val="00626D74"/>
    <w:rsid w:val="006276F9"/>
    <w:rsid w:val="00627FBE"/>
    <w:rsid w:val="00630B9D"/>
    <w:rsid w:val="00630D1E"/>
    <w:rsid w:val="006315EA"/>
    <w:rsid w:val="006316DA"/>
    <w:rsid w:val="006319A1"/>
    <w:rsid w:val="00631E04"/>
    <w:rsid w:val="006328C2"/>
    <w:rsid w:val="00633EBE"/>
    <w:rsid w:val="00633FB2"/>
    <w:rsid w:val="00633FC1"/>
    <w:rsid w:val="006344B4"/>
    <w:rsid w:val="00634973"/>
    <w:rsid w:val="006350A5"/>
    <w:rsid w:val="006355C0"/>
    <w:rsid w:val="006358EA"/>
    <w:rsid w:val="00635AB8"/>
    <w:rsid w:val="00635BE4"/>
    <w:rsid w:val="00635C73"/>
    <w:rsid w:val="00635F4C"/>
    <w:rsid w:val="00636009"/>
    <w:rsid w:val="006361A7"/>
    <w:rsid w:val="006361E1"/>
    <w:rsid w:val="006366F8"/>
    <w:rsid w:val="00636B88"/>
    <w:rsid w:val="00636C4E"/>
    <w:rsid w:val="0064066E"/>
    <w:rsid w:val="0064147E"/>
    <w:rsid w:val="006417B6"/>
    <w:rsid w:val="00641AB1"/>
    <w:rsid w:val="00642487"/>
    <w:rsid w:val="00642BB4"/>
    <w:rsid w:val="0064315A"/>
    <w:rsid w:val="006434C1"/>
    <w:rsid w:val="0064379F"/>
    <w:rsid w:val="00643B3D"/>
    <w:rsid w:val="00643F51"/>
    <w:rsid w:val="00644357"/>
    <w:rsid w:val="00644388"/>
    <w:rsid w:val="006448AE"/>
    <w:rsid w:val="00644AE8"/>
    <w:rsid w:val="0064556C"/>
    <w:rsid w:val="006464B0"/>
    <w:rsid w:val="0064652B"/>
    <w:rsid w:val="00646CCA"/>
    <w:rsid w:val="0064724F"/>
    <w:rsid w:val="0064730B"/>
    <w:rsid w:val="006476DA"/>
    <w:rsid w:val="00647999"/>
    <w:rsid w:val="006506C2"/>
    <w:rsid w:val="00650903"/>
    <w:rsid w:val="00650AAA"/>
    <w:rsid w:val="006511D3"/>
    <w:rsid w:val="0065137E"/>
    <w:rsid w:val="006516C6"/>
    <w:rsid w:val="00651C34"/>
    <w:rsid w:val="0065228D"/>
    <w:rsid w:val="00652524"/>
    <w:rsid w:val="0065271C"/>
    <w:rsid w:val="0065280D"/>
    <w:rsid w:val="00652ADB"/>
    <w:rsid w:val="00653634"/>
    <w:rsid w:val="00653D56"/>
    <w:rsid w:val="00654452"/>
    <w:rsid w:val="00655211"/>
    <w:rsid w:val="0065533A"/>
    <w:rsid w:val="00655620"/>
    <w:rsid w:val="006559A3"/>
    <w:rsid w:val="00656F69"/>
    <w:rsid w:val="006574F6"/>
    <w:rsid w:val="006600E6"/>
    <w:rsid w:val="0066020A"/>
    <w:rsid w:val="00660912"/>
    <w:rsid w:val="00661040"/>
    <w:rsid w:val="006611DA"/>
    <w:rsid w:val="0066216A"/>
    <w:rsid w:val="00662224"/>
    <w:rsid w:val="0066224C"/>
    <w:rsid w:val="006625F6"/>
    <w:rsid w:val="00662E38"/>
    <w:rsid w:val="006638F5"/>
    <w:rsid w:val="00663968"/>
    <w:rsid w:val="00663E14"/>
    <w:rsid w:val="00663F1E"/>
    <w:rsid w:val="00664453"/>
    <w:rsid w:val="006646B0"/>
    <w:rsid w:val="006656E1"/>
    <w:rsid w:val="00665F1A"/>
    <w:rsid w:val="00666211"/>
    <w:rsid w:val="00666513"/>
    <w:rsid w:val="006674A3"/>
    <w:rsid w:val="00667E6D"/>
    <w:rsid w:val="00670816"/>
    <w:rsid w:val="00670869"/>
    <w:rsid w:val="00670937"/>
    <w:rsid w:val="006709D1"/>
    <w:rsid w:val="00671176"/>
    <w:rsid w:val="00671181"/>
    <w:rsid w:val="006715A5"/>
    <w:rsid w:val="00671AB1"/>
    <w:rsid w:val="00672985"/>
    <w:rsid w:val="0067306C"/>
    <w:rsid w:val="006736E1"/>
    <w:rsid w:val="00673A88"/>
    <w:rsid w:val="00674455"/>
    <w:rsid w:val="006748BA"/>
    <w:rsid w:val="006749DA"/>
    <w:rsid w:val="00674F97"/>
    <w:rsid w:val="00675754"/>
    <w:rsid w:val="00675FE1"/>
    <w:rsid w:val="00676315"/>
    <w:rsid w:val="006763BB"/>
    <w:rsid w:val="006763C3"/>
    <w:rsid w:val="00676AE9"/>
    <w:rsid w:val="00677448"/>
    <w:rsid w:val="0067765E"/>
    <w:rsid w:val="0067774A"/>
    <w:rsid w:val="00677DE9"/>
    <w:rsid w:val="00677EA1"/>
    <w:rsid w:val="006801EB"/>
    <w:rsid w:val="00681B3E"/>
    <w:rsid w:val="00681FB3"/>
    <w:rsid w:val="006828CB"/>
    <w:rsid w:val="006828DA"/>
    <w:rsid w:val="00682E80"/>
    <w:rsid w:val="00683226"/>
    <w:rsid w:val="00683794"/>
    <w:rsid w:val="006838AD"/>
    <w:rsid w:val="00683EAA"/>
    <w:rsid w:val="0068407B"/>
    <w:rsid w:val="006841B0"/>
    <w:rsid w:val="006841CE"/>
    <w:rsid w:val="00684513"/>
    <w:rsid w:val="0068462B"/>
    <w:rsid w:val="00684898"/>
    <w:rsid w:val="00684F4C"/>
    <w:rsid w:val="006852BF"/>
    <w:rsid w:val="006854BB"/>
    <w:rsid w:val="00685C1C"/>
    <w:rsid w:val="00685D4E"/>
    <w:rsid w:val="00685E5F"/>
    <w:rsid w:val="00685EAA"/>
    <w:rsid w:val="00685F5C"/>
    <w:rsid w:val="00686099"/>
    <w:rsid w:val="00686A74"/>
    <w:rsid w:val="00686EE4"/>
    <w:rsid w:val="006876BA"/>
    <w:rsid w:val="00687851"/>
    <w:rsid w:val="00687917"/>
    <w:rsid w:val="0069149D"/>
    <w:rsid w:val="00691502"/>
    <w:rsid w:val="006917C6"/>
    <w:rsid w:val="00692565"/>
    <w:rsid w:val="00692801"/>
    <w:rsid w:val="00692808"/>
    <w:rsid w:val="00692987"/>
    <w:rsid w:val="00692CF5"/>
    <w:rsid w:val="00692FB3"/>
    <w:rsid w:val="0069307E"/>
    <w:rsid w:val="00693BD4"/>
    <w:rsid w:val="00693C9E"/>
    <w:rsid w:val="00693E49"/>
    <w:rsid w:val="00694E5F"/>
    <w:rsid w:val="006962F5"/>
    <w:rsid w:val="00696B26"/>
    <w:rsid w:val="00697788"/>
    <w:rsid w:val="006A01B5"/>
    <w:rsid w:val="006A0665"/>
    <w:rsid w:val="006A0D45"/>
    <w:rsid w:val="006A0E5F"/>
    <w:rsid w:val="006A11F1"/>
    <w:rsid w:val="006A13D9"/>
    <w:rsid w:val="006A147E"/>
    <w:rsid w:val="006A1C52"/>
    <w:rsid w:val="006A1F4D"/>
    <w:rsid w:val="006A2068"/>
    <w:rsid w:val="006A2969"/>
    <w:rsid w:val="006A29D0"/>
    <w:rsid w:val="006A29E9"/>
    <w:rsid w:val="006A2B93"/>
    <w:rsid w:val="006A2FD0"/>
    <w:rsid w:val="006A2FE0"/>
    <w:rsid w:val="006A3089"/>
    <w:rsid w:val="006A328C"/>
    <w:rsid w:val="006A3563"/>
    <w:rsid w:val="006A3B13"/>
    <w:rsid w:val="006A4017"/>
    <w:rsid w:val="006A44B9"/>
    <w:rsid w:val="006A4AD2"/>
    <w:rsid w:val="006A4C2F"/>
    <w:rsid w:val="006A4D64"/>
    <w:rsid w:val="006A5007"/>
    <w:rsid w:val="006A5137"/>
    <w:rsid w:val="006A525D"/>
    <w:rsid w:val="006A548F"/>
    <w:rsid w:val="006A5505"/>
    <w:rsid w:val="006A65A3"/>
    <w:rsid w:val="006A6AC4"/>
    <w:rsid w:val="006A6B57"/>
    <w:rsid w:val="006A6E41"/>
    <w:rsid w:val="006A7024"/>
    <w:rsid w:val="006A76E1"/>
    <w:rsid w:val="006A7AC9"/>
    <w:rsid w:val="006A7CE2"/>
    <w:rsid w:val="006B0007"/>
    <w:rsid w:val="006B0272"/>
    <w:rsid w:val="006B041D"/>
    <w:rsid w:val="006B06FB"/>
    <w:rsid w:val="006B0796"/>
    <w:rsid w:val="006B0CC5"/>
    <w:rsid w:val="006B0DEE"/>
    <w:rsid w:val="006B0E91"/>
    <w:rsid w:val="006B1254"/>
    <w:rsid w:val="006B1E13"/>
    <w:rsid w:val="006B32A7"/>
    <w:rsid w:val="006B34FA"/>
    <w:rsid w:val="006B389E"/>
    <w:rsid w:val="006B3B3E"/>
    <w:rsid w:val="006B3C24"/>
    <w:rsid w:val="006B401F"/>
    <w:rsid w:val="006B467F"/>
    <w:rsid w:val="006B4B3A"/>
    <w:rsid w:val="006B50D5"/>
    <w:rsid w:val="006B539F"/>
    <w:rsid w:val="006B5FB7"/>
    <w:rsid w:val="006B7195"/>
    <w:rsid w:val="006B7262"/>
    <w:rsid w:val="006C028A"/>
    <w:rsid w:val="006C097B"/>
    <w:rsid w:val="006C0A2F"/>
    <w:rsid w:val="006C14DE"/>
    <w:rsid w:val="006C1655"/>
    <w:rsid w:val="006C1675"/>
    <w:rsid w:val="006C2351"/>
    <w:rsid w:val="006C2392"/>
    <w:rsid w:val="006C27A1"/>
    <w:rsid w:val="006C3158"/>
    <w:rsid w:val="006C3244"/>
    <w:rsid w:val="006C3A88"/>
    <w:rsid w:val="006C4938"/>
    <w:rsid w:val="006C4A07"/>
    <w:rsid w:val="006C597F"/>
    <w:rsid w:val="006C5E70"/>
    <w:rsid w:val="006C7425"/>
    <w:rsid w:val="006C7534"/>
    <w:rsid w:val="006C7816"/>
    <w:rsid w:val="006C7BCA"/>
    <w:rsid w:val="006D0045"/>
    <w:rsid w:val="006D1252"/>
    <w:rsid w:val="006D2564"/>
    <w:rsid w:val="006D279F"/>
    <w:rsid w:val="006D2BB8"/>
    <w:rsid w:val="006D2C2A"/>
    <w:rsid w:val="006D3255"/>
    <w:rsid w:val="006D3A87"/>
    <w:rsid w:val="006D3BE5"/>
    <w:rsid w:val="006D3CF8"/>
    <w:rsid w:val="006D40A3"/>
    <w:rsid w:val="006D45DD"/>
    <w:rsid w:val="006D4801"/>
    <w:rsid w:val="006D4DCC"/>
    <w:rsid w:val="006D4F13"/>
    <w:rsid w:val="006D5691"/>
    <w:rsid w:val="006D5B73"/>
    <w:rsid w:val="006D6081"/>
    <w:rsid w:val="006D6326"/>
    <w:rsid w:val="006D633F"/>
    <w:rsid w:val="006D6365"/>
    <w:rsid w:val="006D66A0"/>
    <w:rsid w:val="006D6902"/>
    <w:rsid w:val="006D73E8"/>
    <w:rsid w:val="006D7A69"/>
    <w:rsid w:val="006D7C06"/>
    <w:rsid w:val="006E039E"/>
    <w:rsid w:val="006E06FF"/>
    <w:rsid w:val="006E0835"/>
    <w:rsid w:val="006E0F89"/>
    <w:rsid w:val="006E13F4"/>
    <w:rsid w:val="006E2CB9"/>
    <w:rsid w:val="006E2D87"/>
    <w:rsid w:val="006E2D88"/>
    <w:rsid w:val="006E3679"/>
    <w:rsid w:val="006E3A76"/>
    <w:rsid w:val="006E3DAC"/>
    <w:rsid w:val="006E44FD"/>
    <w:rsid w:val="006E4516"/>
    <w:rsid w:val="006E4684"/>
    <w:rsid w:val="006E4DAF"/>
    <w:rsid w:val="006E4DE3"/>
    <w:rsid w:val="006E4FD7"/>
    <w:rsid w:val="006E527B"/>
    <w:rsid w:val="006E5294"/>
    <w:rsid w:val="006E58E0"/>
    <w:rsid w:val="006E6188"/>
    <w:rsid w:val="006E62A9"/>
    <w:rsid w:val="006E62CD"/>
    <w:rsid w:val="006E69C9"/>
    <w:rsid w:val="006E6E65"/>
    <w:rsid w:val="006E707C"/>
    <w:rsid w:val="006E7236"/>
    <w:rsid w:val="006E7729"/>
    <w:rsid w:val="006E773F"/>
    <w:rsid w:val="006E7782"/>
    <w:rsid w:val="006F0D2F"/>
    <w:rsid w:val="006F101F"/>
    <w:rsid w:val="006F1738"/>
    <w:rsid w:val="006F19AD"/>
    <w:rsid w:val="006F1B5F"/>
    <w:rsid w:val="006F1DBA"/>
    <w:rsid w:val="006F251B"/>
    <w:rsid w:val="006F2A96"/>
    <w:rsid w:val="006F2DEC"/>
    <w:rsid w:val="006F3329"/>
    <w:rsid w:val="006F3912"/>
    <w:rsid w:val="006F4903"/>
    <w:rsid w:val="006F4AD0"/>
    <w:rsid w:val="006F4F41"/>
    <w:rsid w:val="006F5CCB"/>
    <w:rsid w:val="006F64AD"/>
    <w:rsid w:val="006F6D9E"/>
    <w:rsid w:val="006F7D9A"/>
    <w:rsid w:val="0070020C"/>
    <w:rsid w:val="00700728"/>
    <w:rsid w:val="00700BED"/>
    <w:rsid w:val="007014BD"/>
    <w:rsid w:val="00701AB9"/>
    <w:rsid w:val="007023A9"/>
    <w:rsid w:val="00702FAE"/>
    <w:rsid w:val="007035D4"/>
    <w:rsid w:val="00703610"/>
    <w:rsid w:val="00703623"/>
    <w:rsid w:val="00703C03"/>
    <w:rsid w:val="007041F6"/>
    <w:rsid w:val="0070435A"/>
    <w:rsid w:val="00704A81"/>
    <w:rsid w:val="00704C5E"/>
    <w:rsid w:val="00704F7B"/>
    <w:rsid w:val="00705178"/>
    <w:rsid w:val="007052DC"/>
    <w:rsid w:val="00705727"/>
    <w:rsid w:val="00705F72"/>
    <w:rsid w:val="00706194"/>
    <w:rsid w:val="0070660A"/>
    <w:rsid w:val="0070684C"/>
    <w:rsid w:val="00706B7B"/>
    <w:rsid w:val="00706EBD"/>
    <w:rsid w:val="00707187"/>
    <w:rsid w:val="00707204"/>
    <w:rsid w:val="00707272"/>
    <w:rsid w:val="007073DD"/>
    <w:rsid w:val="00707844"/>
    <w:rsid w:val="00707C6C"/>
    <w:rsid w:val="007105C0"/>
    <w:rsid w:val="0071093C"/>
    <w:rsid w:val="00711AE7"/>
    <w:rsid w:val="00712116"/>
    <w:rsid w:val="007122D1"/>
    <w:rsid w:val="00712D47"/>
    <w:rsid w:val="00712DAD"/>
    <w:rsid w:val="00713008"/>
    <w:rsid w:val="007131C5"/>
    <w:rsid w:val="00713797"/>
    <w:rsid w:val="00713AB6"/>
    <w:rsid w:val="00713B0F"/>
    <w:rsid w:val="00713C18"/>
    <w:rsid w:val="00713E90"/>
    <w:rsid w:val="007143EC"/>
    <w:rsid w:val="007147D9"/>
    <w:rsid w:val="00714AFF"/>
    <w:rsid w:val="0071743A"/>
    <w:rsid w:val="007205BF"/>
    <w:rsid w:val="00720B15"/>
    <w:rsid w:val="00721308"/>
    <w:rsid w:val="0072154F"/>
    <w:rsid w:val="00722193"/>
    <w:rsid w:val="00722293"/>
    <w:rsid w:val="007226FB"/>
    <w:rsid w:val="00722889"/>
    <w:rsid w:val="00722F93"/>
    <w:rsid w:val="00723408"/>
    <w:rsid w:val="007235A7"/>
    <w:rsid w:val="007235E8"/>
    <w:rsid w:val="007238D1"/>
    <w:rsid w:val="00723E54"/>
    <w:rsid w:val="00723ED3"/>
    <w:rsid w:val="00724975"/>
    <w:rsid w:val="00724B87"/>
    <w:rsid w:val="00724E23"/>
    <w:rsid w:val="007253D2"/>
    <w:rsid w:val="0072590C"/>
    <w:rsid w:val="00726E74"/>
    <w:rsid w:val="007274B8"/>
    <w:rsid w:val="007278C7"/>
    <w:rsid w:val="00727AC4"/>
    <w:rsid w:val="00727C63"/>
    <w:rsid w:val="00730A39"/>
    <w:rsid w:val="00730A82"/>
    <w:rsid w:val="00730E61"/>
    <w:rsid w:val="00731459"/>
    <w:rsid w:val="00731597"/>
    <w:rsid w:val="00731872"/>
    <w:rsid w:val="00731B6B"/>
    <w:rsid w:val="00731B6C"/>
    <w:rsid w:val="00732285"/>
    <w:rsid w:val="00732D1E"/>
    <w:rsid w:val="00732FE6"/>
    <w:rsid w:val="00733AD1"/>
    <w:rsid w:val="00733B27"/>
    <w:rsid w:val="00733BCE"/>
    <w:rsid w:val="00733F56"/>
    <w:rsid w:val="00734907"/>
    <w:rsid w:val="0073500D"/>
    <w:rsid w:val="00735AEB"/>
    <w:rsid w:val="00735C28"/>
    <w:rsid w:val="00735C99"/>
    <w:rsid w:val="00735F9B"/>
    <w:rsid w:val="00735FD9"/>
    <w:rsid w:val="007361F9"/>
    <w:rsid w:val="007367B5"/>
    <w:rsid w:val="00736DF9"/>
    <w:rsid w:val="00737005"/>
    <w:rsid w:val="007371AA"/>
    <w:rsid w:val="00737293"/>
    <w:rsid w:val="00737CB7"/>
    <w:rsid w:val="00737D48"/>
    <w:rsid w:val="0074023D"/>
    <w:rsid w:val="00740291"/>
    <w:rsid w:val="00740A0F"/>
    <w:rsid w:val="00740F5E"/>
    <w:rsid w:val="0074174F"/>
    <w:rsid w:val="00741996"/>
    <w:rsid w:val="00742E29"/>
    <w:rsid w:val="00743D6B"/>
    <w:rsid w:val="00744149"/>
    <w:rsid w:val="00744487"/>
    <w:rsid w:val="00744AD0"/>
    <w:rsid w:val="0074547D"/>
    <w:rsid w:val="00745906"/>
    <w:rsid w:val="00745ABA"/>
    <w:rsid w:val="00745BDC"/>
    <w:rsid w:val="00745EE2"/>
    <w:rsid w:val="0074644A"/>
    <w:rsid w:val="007464FE"/>
    <w:rsid w:val="00746E3B"/>
    <w:rsid w:val="00746ED5"/>
    <w:rsid w:val="007471AE"/>
    <w:rsid w:val="00747AD7"/>
    <w:rsid w:val="0075007D"/>
    <w:rsid w:val="00750695"/>
    <w:rsid w:val="00750ABA"/>
    <w:rsid w:val="0075100E"/>
    <w:rsid w:val="007513B3"/>
    <w:rsid w:val="007518E9"/>
    <w:rsid w:val="00751AC0"/>
    <w:rsid w:val="007529C4"/>
    <w:rsid w:val="00752A47"/>
    <w:rsid w:val="00752F1B"/>
    <w:rsid w:val="007532C0"/>
    <w:rsid w:val="00753CC2"/>
    <w:rsid w:val="00754A4D"/>
    <w:rsid w:val="00754B3D"/>
    <w:rsid w:val="00754D4A"/>
    <w:rsid w:val="00754E59"/>
    <w:rsid w:val="00755F7B"/>
    <w:rsid w:val="0075636C"/>
    <w:rsid w:val="00756A71"/>
    <w:rsid w:val="00756ED4"/>
    <w:rsid w:val="0075727E"/>
    <w:rsid w:val="007577D3"/>
    <w:rsid w:val="00757A3C"/>
    <w:rsid w:val="00757A69"/>
    <w:rsid w:val="00757B21"/>
    <w:rsid w:val="00757D86"/>
    <w:rsid w:val="00757F82"/>
    <w:rsid w:val="007602D7"/>
    <w:rsid w:val="0076070F"/>
    <w:rsid w:val="00760918"/>
    <w:rsid w:val="00760CF3"/>
    <w:rsid w:val="00761E85"/>
    <w:rsid w:val="00761F19"/>
    <w:rsid w:val="00761FFD"/>
    <w:rsid w:val="00762065"/>
    <w:rsid w:val="00762313"/>
    <w:rsid w:val="00762737"/>
    <w:rsid w:val="00762B87"/>
    <w:rsid w:val="00762EA5"/>
    <w:rsid w:val="00763AAB"/>
    <w:rsid w:val="00763E98"/>
    <w:rsid w:val="00763EC4"/>
    <w:rsid w:val="0076449E"/>
    <w:rsid w:val="00764D7F"/>
    <w:rsid w:val="0076599F"/>
    <w:rsid w:val="00765B83"/>
    <w:rsid w:val="00766619"/>
    <w:rsid w:val="00766CAA"/>
    <w:rsid w:val="00766F15"/>
    <w:rsid w:val="0076723F"/>
    <w:rsid w:val="00767DFF"/>
    <w:rsid w:val="00767E19"/>
    <w:rsid w:val="0077024B"/>
    <w:rsid w:val="007706C4"/>
    <w:rsid w:val="00770964"/>
    <w:rsid w:val="00770B2F"/>
    <w:rsid w:val="00771226"/>
    <w:rsid w:val="007712D6"/>
    <w:rsid w:val="007715E8"/>
    <w:rsid w:val="00771A9E"/>
    <w:rsid w:val="007721BE"/>
    <w:rsid w:val="007722E5"/>
    <w:rsid w:val="00772B9B"/>
    <w:rsid w:val="0077313B"/>
    <w:rsid w:val="00773314"/>
    <w:rsid w:val="00773DC6"/>
    <w:rsid w:val="0077445D"/>
    <w:rsid w:val="0077460A"/>
    <w:rsid w:val="0077549E"/>
    <w:rsid w:val="00776138"/>
    <w:rsid w:val="007764A8"/>
    <w:rsid w:val="0077683E"/>
    <w:rsid w:val="00776F2C"/>
    <w:rsid w:val="0077798B"/>
    <w:rsid w:val="00777D95"/>
    <w:rsid w:val="00780470"/>
    <w:rsid w:val="0078048F"/>
    <w:rsid w:val="00781A9B"/>
    <w:rsid w:val="00781BD2"/>
    <w:rsid w:val="0078210A"/>
    <w:rsid w:val="007825E4"/>
    <w:rsid w:val="007830C2"/>
    <w:rsid w:val="007839E3"/>
    <w:rsid w:val="00783F1D"/>
    <w:rsid w:val="00784167"/>
    <w:rsid w:val="00784377"/>
    <w:rsid w:val="00784F19"/>
    <w:rsid w:val="00785540"/>
    <w:rsid w:val="00785B9D"/>
    <w:rsid w:val="00785C93"/>
    <w:rsid w:val="00785CAC"/>
    <w:rsid w:val="00785DBF"/>
    <w:rsid w:val="00785F1D"/>
    <w:rsid w:val="00786186"/>
    <w:rsid w:val="00786187"/>
    <w:rsid w:val="007863A2"/>
    <w:rsid w:val="0078644A"/>
    <w:rsid w:val="00786ADB"/>
    <w:rsid w:val="00787022"/>
    <w:rsid w:val="0078750E"/>
    <w:rsid w:val="00787586"/>
    <w:rsid w:val="00787E3C"/>
    <w:rsid w:val="00790434"/>
    <w:rsid w:val="00790D6B"/>
    <w:rsid w:val="00791078"/>
    <w:rsid w:val="0079137E"/>
    <w:rsid w:val="00791819"/>
    <w:rsid w:val="00791FDA"/>
    <w:rsid w:val="007925DB"/>
    <w:rsid w:val="00792678"/>
    <w:rsid w:val="007926A5"/>
    <w:rsid w:val="0079282D"/>
    <w:rsid w:val="007928C4"/>
    <w:rsid w:val="00792B0A"/>
    <w:rsid w:val="00792B30"/>
    <w:rsid w:val="00793440"/>
    <w:rsid w:val="00793A46"/>
    <w:rsid w:val="00793CCF"/>
    <w:rsid w:val="007943BC"/>
    <w:rsid w:val="007947B4"/>
    <w:rsid w:val="00794D4F"/>
    <w:rsid w:val="0079539A"/>
    <w:rsid w:val="0079549D"/>
    <w:rsid w:val="0079558D"/>
    <w:rsid w:val="007962B3"/>
    <w:rsid w:val="0079635E"/>
    <w:rsid w:val="0079640A"/>
    <w:rsid w:val="007967FD"/>
    <w:rsid w:val="00796CE0"/>
    <w:rsid w:val="00797887"/>
    <w:rsid w:val="007A082E"/>
    <w:rsid w:val="007A0E32"/>
    <w:rsid w:val="007A1649"/>
    <w:rsid w:val="007A1E98"/>
    <w:rsid w:val="007A26FF"/>
    <w:rsid w:val="007A28D5"/>
    <w:rsid w:val="007A2A2A"/>
    <w:rsid w:val="007A2C9F"/>
    <w:rsid w:val="007A31F4"/>
    <w:rsid w:val="007A3811"/>
    <w:rsid w:val="007A3955"/>
    <w:rsid w:val="007A4FC8"/>
    <w:rsid w:val="007A52A7"/>
    <w:rsid w:val="007A55E9"/>
    <w:rsid w:val="007A56F0"/>
    <w:rsid w:val="007A5D30"/>
    <w:rsid w:val="007A6A26"/>
    <w:rsid w:val="007A6A95"/>
    <w:rsid w:val="007A6EBD"/>
    <w:rsid w:val="007A6FB5"/>
    <w:rsid w:val="007A747A"/>
    <w:rsid w:val="007B0057"/>
    <w:rsid w:val="007B019D"/>
    <w:rsid w:val="007B03CE"/>
    <w:rsid w:val="007B0486"/>
    <w:rsid w:val="007B069C"/>
    <w:rsid w:val="007B08F3"/>
    <w:rsid w:val="007B096A"/>
    <w:rsid w:val="007B0F6B"/>
    <w:rsid w:val="007B1B80"/>
    <w:rsid w:val="007B2296"/>
    <w:rsid w:val="007B250E"/>
    <w:rsid w:val="007B2920"/>
    <w:rsid w:val="007B29F8"/>
    <w:rsid w:val="007B3933"/>
    <w:rsid w:val="007B3AE6"/>
    <w:rsid w:val="007B3C48"/>
    <w:rsid w:val="007B3D36"/>
    <w:rsid w:val="007B4BF0"/>
    <w:rsid w:val="007B53BD"/>
    <w:rsid w:val="007B54A0"/>
    <w:rsid w:val="007B587C"/>
    <w:rsid w:val="007B6B00"/>
    <w:rsid w:val="007B709B"/>
    <w:rsid w:val="007B7228"/>
    <w:rsid w:val="007B7366"/>
    <w:rsid w:val="007B7606"/>
    <w:rsid w:val="007B789A"/>
    <w:rsid w:val="007B7981"/>
    <w:rsid w:val="007B7D7B"/>
    <w:rsid w:val="007B7E80"/>
    <w:rsid w:val="007C024A"/>
    <w:rsid w:val="007C035F"/>
    <w:rsid w:val="007C0596"/>
    <w:rsid w:val="007C13BA"/>
    <w:rsid w:val="007C223C"/>
    <w:rsid w:val="007C307D"/>
    <w:rsid w:val="007C368F"/>
    <w:rsid w:val="007C412B"/>
    <w:rsid w:val="007C55D2"/>
    <w:rsid w:val="007C5D8F"/>
    <w:rsid w:val="007C5E6D"/>
    <w:rsid w:val="007C5FEF"/>
    <w:rsid w:val="007C6245"/>
    <w:rsid w:val="007C63D4"/>
    <w:rsid w:val="007C6847"/>
    <w:rsid w:val="007C68FE"/>
    <w:rsid w:val="007C6D22"/>
    <w:rsid w:val="007C6D96"/>
    <w:rsid w:val="007C6F12"/>
    <w:rsid w:val="007C70B0"/>
    <w:rsid w:val="007C75A5"/>
    <w:rsid w:val="007C771F"/>
    <w:rsid w:val="007C7739"/>
    <w:rsid w:val="007C7804"/>
    <w:rsid w:val="007C7B1E"/>
    <w:rsid w:val="007C7CD2"/>
    <w:rsid w:val="007D0519"/>
    <w:rsid w:val="007D0764"/>
    <w:rsid w:val="007D079E"/>
    <w:rsid w:val="007D07E2"/>
    <w:rsid w:val="007D1152"/>
    <w:rsid w:val="007D1956"/>
    <w:rsid w:val="007D1E20"/>
    <w:rsid w:val="007D2EFB"/>
    <w:rsid w:val="007D30F1"/>
    <w:rsid w:val="007D31D4"/>
    <w:rsid w:val="007D31E9"/>
    <w:rsid w:val="007D3419"/>
    <w:rsid w:val="007D34D1"/>
    <w:rsid w:val="007D440C"/>
    <w:rsid w:val="007D44AE"/>
    <w:rsid w:val="007D459B"/>
    <w:rsid w:val="007D45C2"/>
    <w:rsid w:val="007D4798"/>
    <w:rsid w:val="007D49A0"/>
    <w:rsid w:val="007D4DDF"/>
    <w:rsid w:val="007D565E"/>
    <w:rsid w:val="007D5759"/>
    <w:rsid w:val="007D5891"/>
    <w:rsid w:val="007D648F"/>
    <w:rsid w:val="007D6514"/>
    <w:rsid w:val="007D6572"/>
    <w:rsid w:val="007D6C7A"/>
    <w:rsid w:val="007D7851"/>
    <w:rsid w:val="007D7BBC"/>
    <w:rsid w:val="007D7CD9"/>
    <w:rsid w:val="007D7F58"/>
    <w:rsid w:val="007D7F9E"/>
    <w:rsid w:val="007D7FAA"/>
    <w:rsid w:val="007E0253"/>
    <w:rsid w:val="007E0428"/>
    <w:rsid w:val="007E13CE"/>
    <w:rsid w:val="007E15C1"/>
    <w:rsid w:val="007E1798"/>
    <w:rsid w:val="007E2044"/>
    <w:rsid w:val="007E2457"/>
    <w:rsid w:val="007E276D"/>
    <w:rsid w:val="007E2EFE"/>
    <w:rsid w:val="007E4EB4"/>
    <w:rsid w:val="007E52A2"/>
    <w:rsid w:val="007E5348"/>
    <w:rsid w:val="007E543F"/>
    <w:rsid w:val="007E562C"/>
    <w:rsid w:val="007E5A96"/>
    <w:rsid w:val="007E75AC"/>
    <w:rsid w:val="007E75D2"/>
    <w:rsid w:val="007E7A1E"/>
    <w:rsid w:val="007E7E13"/>
    <w:rsid w:val="007F016F"/>
    <w:rsid w:val="007F0728"/>
    <w:rsid w:val="007F0B23"/>
    <w:rsid w:val="007F16D1"/>
    <w:rsid w:val="007F19AF"/>
    <w:rsid w:val="007F1BAB"/>
    <w:rsid w:val="007F1E75"/>
    <w:rsid w:val="007F1E8C"/>
    <w:rsid w:val="007F2133"/>
    <w:rsid w:val="007F21FE"/>
    <w:rsid w:val="007F233B"/>
    <w:rsid w:val="007F2352"/>
    <w:rsid w:val="007F2494"/>
    <w:rsid w:val="007F27ED"/>
    <w:rsid w:val="007F3733"/>
    <w:rsid w:val="007F3ACA"/>
    <w:rsid w:val="007F40EF"/>
    <w:rsid w:val="007F485D"/>
    <w:rsid w:val="007F4AE0"/>
    <w:rsid w:val="007F4E92"/>
    <w:rsid w:val="007F5D35"/>
    <w:rsid w:val="007F5E80"/>
    <w:rsid w:val="007F5EDC"/>
    <w:rsid w:val="007F645A"/>
    <w:rsid w:val="007F6883"/>
    <w:rsid w:val="007F6B97"/>
    <w:rsid w:val="00800311"/>
    <w:rsid w:val="0080042C"/>
    <w:rsid w:val="0080115C"/>
    <w:rsid w:val="00801F74"/>
    <w:rsid w:val="008029D9"/>
    <w:rsid w:val="00802B09"/>
    <w:rsid w:val="00802B28"/>
    <w:rsid w:val="00802F01"/>
    <w:rsid w:val="00803B95"/>
    <w:rsid w:val="00803F3F"/>
    <w:rsid w:val="00804AF3"/>
    <w:rsid w:val="00804DCC"/>
    <w:rsid w:val="00804FA3"/>
    <w:rsid w:val="00805737"/>
    <w:rsid w:val="00805833"/>
    <w:rsid w:val="008059AB"/>
    <w:rsid w:val="00805C46"/>
    <w:rsid w:val="00805D31"/>
    <w:rsid w:val="0080659F"/>
    <w:rsid w:val="00806983"/>
    <w:rsid w:val="00806F76"/>
    <w:rsid w:val="00806FA5"/>
    <w:rsid w:val="008070B0"/>
    <w:rsid w:val="00807634"/>
    <w:rsid w:val="008078AD"/>
    <w:rsid w:val="00807BFF"/>
    <w:rsid w:val="008105E1"/>
    <w:rsid w:val="00810F57"/>
    <w:rsid w:val="00810F9F"/>
    <w:rsid w:val="008113D7"/>
    <w:rsid w:val="00811C38"/>
    <w:rsid w:val="00812084"/>
    <w:rsid w:val="00812203"/>
    <w:rsid w:val="0081265D"/>
    <w:rsid w:val="00812ABE"/>
    <w:rsid w:val="00812C00"/>
    <w:rsid w:val="008133F1"/>
    <w:rsid w:val="0081345C"/>
    <w:rsid w:val="00813E04"/>
    <w:rsid w:val="00813FEF"/>
    <w:rsid w:val="008144D3"/>
    <w:rsid w:val="00814630"/>
    <w:rsid w:val="008150C4"/>
    <w:rsid w:val="0081540F"/>
    <w:rsid w:val="00815A57"/>
    <w:rsid w:val="00816518"/>
    <w:rsid w:val="00816AFE"/>
    <w:rsid w:val="00816DF7"/>
    <w:rsid w:val="008171CD"/>
    <w:rsid w:val="008178D4"/>
    <w:rsid w:val="00817A36"/>
    <w:rsid w:val="00817D4C"/>
    <w:rsid w:val="00817F3A"/>
    <w:rsid w:val="00820715"/>
    <w:rsid w:val="00820792"/>
    <w:rsid w:val="00820CA9"/>
    <w:rsid w:val="00821002"/>
    <w:rsid w:val="00821AF6"/>
    <w:rsid w:val="00822626"/>
    <w:rsid w:val="00822923"/>
    <w:rsid w:val="00822A54"/>
    <w:rsid w:val="00822B0D"/>
    <w:rsid w:val="008232B1"/>
    <w:rsid w:val="0082389A"/>
    <w:rsid w:val="008238EC"/>
    <w:rsid w:val="00823DE4"/>
    <w:rsid w:val="00824288"/>
    <w:rsid w:val="0082449A"/>
    <w:rsid w:val="00824DF9"/>
    <w:rsid w:val="00824F76"/>
    <w:rsid w:val="00825271"/>
    <w:rsid w:val="008254DE"/>
    <w:rsid w:val="00825FE9"/>
    <w:rsid w:val="00826250"/>
    <w:rsid w:val="00826AD2"/>
    <w:rsid w:val="00827B4A"/>
    <w:rsid w:val="00830460"/>
    <w:rsid w:val="00830870"/>
    <w:rsid w:val="00830C7F"/>
    <w:rsid w:val="00831124"/>
    <w:rsid w:val="008317A4"/>
    <w:rsid w:val="008323AC"/>
    <w:rsid w:val="008331B0"/>
    <w:rsid w:val="008336C0"/>
    <w:rsid w:val="00833D56"/>
    <w:rsid w:val="00833E67"/>
    <w:rsid w:val="00834230"/>
    <w:rsid w:val="0083447A"/>
    <w:rsid w:val="008348EA"/>
    <w:rsid w:val="0083516A"/>
    <w:rsid w:val="008352FD"/>
    <w:rsid w:val="008353BE"/>
    <w:rsid w:val="008354E2"/>
    <w:rsid w:val="008357A3"/>
    <w:rsid w:val="0083586C"/>
    <w:rsid w:val="00836047"/>
    <w:rsid w:val="00836DDC"/>
    <w:rsid w:val="00837775"/>
    <w:rsid w:val="008400FC"/>
    <w:rsid w:val="00841758"/>
    <w:rsid w:val="008420C8"/>
    <w:rsid w:val="00842A78"/>
    <w:rsid w:val="00843AD8"/>
    <w:rsid w:val="00843C43"/>
    <w:rsid w:val="00843D65"/>
    <w:rsid w:val="00844228"/>
    <w:rsid w:val="008447B3"/>
    <w:rsid w:val="00844A64"/>
    <w:rsid w:val="00844A9C"/>
    <w:rsid w:val="008468BA"/>
    <w:rsid w:val="00846958"/>
    <w:rsid w:val="00846A43"/>
    <w:rsid w:val="00846A6C"/>
    <w:rsid w:val="0084701F"/>
    <w:rsid w:val="0084783E"/>
    <w:rsid w:val="00847882"/>
    <w:rsid w:val="00847C12"/>
    <w:rsid w:val="00847FF0"/>
    <w:rsid w:val="00850393"/>
    <w:rsid w:val="00850483"/>
    <w:rsid w:val="00850C1B"/>
    <w:rsid w:val="00850D21"/>
    <w:rsid w:val="00851AE0"/>
    <w:rsid w:val="00851CEF"/>
    <w:rsid w:val="008524C9"/>
    <w:rsid w:val="008525C4"/>
    <w:rsid w:val="008526A5"/>
    <w:rsid w:val="00852AD3"/>
    <w:rsid w:val="00852C54"/>
    <w:rsid w:val="00853080"/>
    <w:rsid w:val="00853401"/>
    <w:rsid w:val="00853BCC"/>
    <w:rsid w:val="00854789"/>
    <w:rsid w:val="0085482C"/>
    <w:rsid w:val="00855EE4"/>
    <w:rsid w:val="00856CF7"/>
    <w:rsid w:val="00856DD8"/>
    <w:rsid w:val="0085797D"/>
    <w:rsid w:val="00857C57"/>
    <w:rsid w:val="00860127"/>
    <w:rsid w:val="008614FC"/>
    <w:rsid w:val="0086151D"/>
    <w:rsid w:val="0086172F"/>
    <w:rsid w:val="00862721"/>
    <w:rsid w:val="00862A90"/>
    <w:rsid w:val="00863699"/>
    <w:rsid w:val="00863A18"/>
    <w:rsid w:val="00863BFF"/>
    <w:rsid w:val="00863FF6"/>
    <w:rsid w:val="00864333"/>
    <w:rsid w:val="008647AB"/>
    <w:rsid w:val="00864BDF"/>
    <w:rsid w:val="00865430"/>
    <w:rsid w:val="00865728"/>
    <w:rsid w:val="00865A3B"/>
    <w:rsid w:val="00865ADB"/>
    <w:rsid w:val="00865BA8"/>
    <w:rsid w:val="00865FDA"/>
    <w:rsid w:val="008662F1"/>
    <w:rsid w:val="00866507"/>
    <w:rsid w:val="00866CBD"/>
    <w:rsid w:val="00866ED9"/>
    <w:rsid w:val="00867183"/>
    <w:rsid w:val="0086770B"/>
    <w:rsid w:val="00870B97"/>
    <w:rsid w:val="00870CF4"/>
    <w:rsid w:val="008717C4"/>
    <w:rsid w:val="008717C7"/>
    <w:rsid w:val="00871EC6"/>
    <w:rsid w:val="0087234C"/>
    <w:rsid w:val="00872A3E"/>
    <w:rsid w:val="00872CFB"/>
    <w:rsid w:val="00872E03"/>
    <w:rsid w:val="00872FCD"/>
    <w:rsid w:val="00873241"/>
    <w:rsid w:val="008734DE"/>
    <w:rsid w:val="0087372E"/>
    <w:rsid w:val="00873E81"/>
    <w:rsid w:val="00874676"/>
    <w:rsid w:val="00874807"/>
    <w:rsid w:val="00874E14"/>
    <w:rsid w:val="008750C6"/>
    <w:rsid w:val="00875637"/>
    <w:rsid w:val="00875A25"/>
    <w:rsid w:val="00875FB9"/>
    <w:rsid w:val="0087646E"/>
    <w:rsid w:val="008764EB"/>
    <w:rsid w:val="00876831"/>
    <w:rsid w:val="00876D7E"/>
    <w:rsid w:val="00877074"/>
    <w:rsid w:val="0087717D"/>
    <w:rsid w:val="00877C69"/>
    <w:rsid w:val="00880E67"/>
    <w:rsid w:val="00881154"/>
    <w:rsid w:val="008812A3"/>
    <w:rsid w:val="00881FB5"/>
    <w:rsid w:val="00882934"/>
    <w:rsid w:val="00882A48"/>
    <w:rsid w:val="00882BBC"/>
    <w:rsid w:val="008832F8"/>
    <w:rsid w:val="00883480"/>
    <w:rsid w:val="008846E6"/>
    <w:rsid w:val="0088487F"/>
    <w:rsid w:val="00884D16"/>
    <w:rsid w:val="00885135"/>
    <w:rsid w:val="0088538A"/>
    <w:rsid w:val="008857E0"/>
    <w:rsid w:val="008859BF"/>
    <w:rsid w:val="00885BEC"/>
    <w:rsid w:val="00885F34"/>
    <w:rsid w:val="00886FF7"/>
    <w:rsid w:val="0088771E"/>
    <w:rsid w:val="0088775A"/>
    <w:rsid w:val="0089010D"/>
    <w:rsid w:val="00890696"/>
    <w:rsid w:val="00890CFA"/>
    <w:rsid w:val="0089100A"/>
    <w:rsid w:val="008911BE"/>
    <w:rsid w:val="008911D2"/>
    <w:rsid w:val="00892083"/>
    <w:rsid w:val="00892DF1"/>
    <w:rsid w:val="00893AC4"/>
    <w:rsid w:val="00893B4A"/>
    <w:rsid w:val="008943F6"/>
    <w:rsid w:val="00894914"/>
    <w:rsid w:val="00894BBB"/>
    <w:rsid w:val="0089517B"/>
    <w:rsid w:val="00895CB0"/>
    <w:rsid w:val="008965C5"/>
    <w:rsid w:val="00896CAE"/>
    <w:rsid w:val="00897415"/>
    <w:rsid w:val="00897CEA"/>
    <w:rsid w:val="008A0194"/>
    <w:rsid w:val="008A0BC2"/>
    <w:rsid w:val="008A1350"/>
    <w:rsid w:val="008A13F8"/>
    <w:rsid w:val="008A1E00"/>
    <w:rsid w:val="008A1E14"/>
    <w:rsid w:val="008A2C36"/>
    <w:rsid w:val="008A4578"/>
    <w:rsid w:val="008A4D3D"/>
    <w:rsid w:val="008A5A69"/>
    <w:rsid w:val="008A5EC6"/>
    <w:rsid w:val="008A5EEE"/>
    <w:rsid w:val="008A6168"/>
    <w:rsid w:val="008A61FB"/>
    <w:rsid w:val="008A67F3"/>
    <w:rsid w:val="008A7850"/>
    <w:rsid w:val="008A792B"/>
    <w:rsid w:val="008A7B85"/>
    <w:rsid w:val="008B078A"/>
    <w:rsid w:val="008B07EC"/>
    <w:rsid w:val="008B0F41"/>
    <w:rsid w:val="008B1004"/>
    <w:rsid w:val="008B126A"/>
    <w:rsid w:val="008B17AD"/>
    <w:rsid w:val="008B1ABB"/>
    <w:rsid w:val="008B1CFF"/>
    <w:rsid w:val="008B207D"/>
    <w:rsid w:val="008B28AC"/>
    <w:rsid w:val="008B4409"/>
    <w:rsid w:val="008B44E4"/>
    <w:rsid w:val="008B4AF8"/>
    <w:rsid w:val="008B4D16"/>
    <w:rsid w:val="008B5265"/>
    <w:rsid w:val="008B53FF"/>
    <w:rsid w:val="008B5606"/>
    <w:rsid w:val="008B5715"/>
    <w:rsid w:val="008B7063"/>
    <w:rsid w:val="008C0248"/>
    <w:rsid w:val="008C029A"/>
    <w:rsid w:val="008C03E1"/>
    <w:rsid w:val="008C0E96"/>
    <w:rsid w:val="008C2386"/>
    <w:rsid w:val="008C2C30"/>
    <w:rsid w:val="008C2F1B"/>
    <w:rsid w:val="008C377F"/>
    <w:rsid w:val="008C3886"/>
    <w:rsid w:val="008C4369"/>
    <w:rsid w:val="008C437F"/>
    <w:rsid w:val="008C4CC7"/>
    <w:rsid w:val="008C4D99"/>
    <w:rsid w:val="008C52C2"/>
    <w:rsid w:val="008C5330"/>
    <w:rsid w:val="008C552E"/>
    <w:rsid w:val="008C5A27"/>
    <w:rsid w:val="008C6664"/>
    <w:rsid w:val="008C6930"/>
    <w:rsid w:val="008C7AF3"/>
    <w:rsid w:val="008D06D1"/>
    <w:rsid w:val="008D0773"/>
    <w:rsid w:val="008D0A31"/>
    <w:rsid w:val="008D0EA0"/>
    <w:rsid w:val="008D11DB"/>
    <w:rsid w:val="008D14D2"/>
    <w:rsid w:val="008D169D"/>
    <w:rsid w:val="008D171E"/>
    <w:rsid w:val="008D2B1C"/>
    <w:rsid w:val="008D2DD2"/>
    <w:rsid w:val="008D2FA0"/>
    <w:rsid w:val="008D30B5"/>
    <w:rsid w:val="008D399B"/>
    <w:rsid w:val="008D482D"/>
    <w:rsid w:val="008D5649"/>
    <w:rsid w:val="008D578A"/>
    <w:rsid w:val="008D5EAE"/>
    <w:rsid w:val="008D5FA5"/>
    <w:rsid w:val="008D669D"/>
    <w:rsid w:val="008D67DF"/>
    <w:rsid w:val="008D6D9A"/>
    <w:rsid w:val="008D7265"/>
    <w:rsid w:val="008D7690"/>
    <w:rsid w:val="008D7B6A"/>
    <w:rsid w:val="008E0830"/>
    <w:rsid w:val="008E108F"/>
    <w:rsid w:val="008E127B"/>
    <w:rsid w:val="008E1744"/>
    <w:rsid w:val="008E2370"/>
    <w:rsid w:val="008E241C"/>
    <w:rsid w:val="008E26D6"/>
    <w:rsid w:val="008E29C0"/>
    <w:rsid w:val="008E2F66"/>
    <w:rsid w:val="008E31D2"/>
    <w:rsid w:val="008E331D"/>
    <w:rsid w:val="008E334A"/>
    <w:rsid w:val="008E37AE"/>
    <w:rsid w:val="008E4379"/>
    <w:rsid w:val="008E4F1C"/>
    <w:rsid w:val="008E50E8"/>
    <w:rsid w:val="008E5139"/>
    <w:rsid w:val="008E51C7"/>
    <w:rsid w:val="008E5A2D"/>
    <w:rsid w:val="008E61B3"/>
    <w:rsid w:val="008E660A"/>
    <w:rsid w:val="008E714B"/>
    <w:rsid w:val="008F0448"/>
    <w:rsid w:val="008F0A90"/>
    <w:rsid w:val="008F0BE4"/>
    <w:rsid w:val="008F27EC"/>
    <w:rsid w:val="008F2BD8"/>
    <w:rsid w:val="008F3165"/>
    <w:rsid w:val="008F346C"/>
    <w:rsid w:val="008F38A6"/>
    <w:rsid w:val="008F3A5D"/>
    <w:rsid w:val="008F3B15"/>
    <w:rsid w:val="008F3DE3"/>
    <w:rsid w:val="008F41E5"/>
    <w:rsid w:val="008F4366"/>
    <w:rsid w:val="008F4899"/>
    <w:rsid w:val="008F4E1E"/>
    <w:rsid w:val="008F5380"/>
    <w:rsid w:val="008F53FA"/>
    <w:rsid w:val="008F56BB"/>
    <w:rsid w:val="008F6404"/>
    <w:rsid w:val="008F6539"/>
    <w:rsid w:val="008F673F"/>
    <w:rsid w:val="008F67EB"/>
    <w:rsid w:val="008F6B35"/>
    <w:rsid w:val="008F6D50"/>
    <w:rsid w:val="008F75EE"/>
    <w:rsid w:val="008F76C2"/>
    <w:rsid w:val="00900A3F"/>
    <w:rsid w:val="00900FB1"/>
    <w:rsid w:val="009010C2"/>
    <w:rsid w:val="00901715"/>
    <w:rsid w:val="009024BA"/>
    <w:rsid w:val="00902852"/>
    <w:rsid w:val="00902D50"/>
    <w:rsid w:val="00902E6D"/>
    <w:rsid w:val="00903243"/>
    <w:rsid w:val="00903483"/>
    <w:rsid w:val="009034D1"/>
    <w:rsid w:val="00904AC7"/>
    <w:rsid w:val="00904C6F"/>
    <w:rsid w:val="009055F7"/>
    <w:rsid w:val="00905634"/>
    <w:rsid w:val="0090574B"/>
    <w:rsid w:val="009069B6"/>
    <w:rsid w:val="00906A82"/>
    <w:rsid w:val="00906A98"/>
    <w:rsid w:val="00906D18"/>
    <w:rsid w:val="00906D87"/>
    <w:rsid w:val="00906DD7"/>
    <w:rsid w:val="009103CC"/>
    <w:rsid w:val="009108E0"/>
    <w:rsid w:val="00910D60"/>
    <w:rsid w:val="00911610"/>
    <w:rsid w:val="00911694"/>
    <w:rsid w:val="00911D63"/>
    <w:rsid w:val="00911F10"/>
    <w:rsid w:val="0091230C"/>
    <w:rsid w:val="00912800"/>
    <w:rsid w:val="00912831"/>
    <w:rsid w:val="00913014"/>
    <w:rsid w:val="00913228"/>
    <w:rsid w:val="009135E0"/>
    <w:rsid w:val="00913C06"/>
    <w:rsid w:val="009142D5"/>
    <w:rsid w:val="009143BE"/>
    <w:rsid w:val="0091471C"/>
    <w:rsid w:val="009152C0"/>
    <w:rsid w:val="0091531A"/>
    <w:rsid w:val="009157D3"/>
    <w:rsid w:val="00915A4D"/>
    <w:rsid w:val="00916D08"/>
    <w:rsid w:val="00917020"/>
    <w:rsid w:val="00917131"/>
    <w:rsid w:val="0091735F"/>
    <w:rsid w:val="009173AE"/>
    <w:rsid w:val="009179EA"/>
    <w:rsid w:val="00917D7E"/>
    <w:rsid w:val="00917E56"/>
    <w:rsid w:val="009203DE"/>
    <w:rsid w:val="00920427"/>
    <w:rsid w:val="009205F9"/>
    <w:rsid w:val="009209A9"/>
    <w:rsid w:val="00920C4A"/>
    <w:rsid w:val="009210B6"/>
    <w:rsid w:val="009210F3"/>
    <w:rsid w:val="00922184"/>
    <w:rsid w:val="00922533"/>
    <w:rsid w:val="0092294D"/>
    <w:rsid w:val="00923118"/>
    <w:rsid w:val="00923B5F"/>
    <w:rsid w:val="00923D15"/>
    <w:rsid w:val="0092408B"/>
    <w:rsid w:val="009246A7"/>
    <w:rsid w:val="0092498A"/>
    <w:rsid w:val="00924A1A"/>
    <w:rsid w:val="009258E3"/>
    <w:rsid w:val="00925B79"/>
    <w:rsid w:val="00925CBF"/>
    <w:rsid w:val="009261F0"/>
    <w:rsid w:val="009262BD"/>
    <w:rsid w:val="0092692F"/>
    <w:rsid w:val="00926BF2"/>
    <w:rsid w:val="00927582"/>
    <w:rsid w:val="0092788A"/>
    <w:rsid w:val="00927A83"/>
    <w:rsid w:val="00930418"/>
    <w:rsid w:val="0093060D"/>
    <w:rsid w:val="00930C92"/>
    <w:rsid w:val="00930ECE"/>
    <w:rsid w:val="00931106"/>
    <w:rsid w:val="009312FD"/>
    <w:rsid w:val="0093154B"/>
    <w:rsid w:val="00931642"/>
    <w:rsid w:val="0093167D"/>
    <w:rsid w:val="009320F7"/>
    <w:rsid w:val="00932711"/>
    <w:rsid w:val="009327B8"/>
    <w:rsid w:val="00932CE1"/>
    <w:rsid w:val="00933021"/>
    <w:rsid w:val="00933536"/>
    <w:rsid w:val="00933FC1"/>
    <w:rsid w:val="009342B6"/>
    <w:rsid w:val="00934820"/>
    <w:rsid w:val="00934A45"/>
    <w:rsid w:val="00934AC8"/>
    <w:rsid w:val="00934B64"/>
    <w:rsid w:val="00934B75"/>
    <w:rsid w:val="00936574"/>
    <w:rsid w:val="00937450"/>
    <w:rsid w:val="0093758C"/>
    <w:rsid w:val="0093777D"/>
    <w:rsid w:val="009377ED"/>
    <w:rsid w:val="00937D0C"/>
    <w:rsid w:val="00937D5C"/>
    <w:rsid w:val="00937DB3"/>
    <w:rsid w:val="00940CC2"/>
    <w:rsid w:val="009412F3"/>
    <w:rsid w:val="00941C1A"/>
    <w:rsid w:val="00941F85"/>
    <w:rsid w:val="009420BF"/>
    <w:rsid w:val="0094224E"/>
    <w:rsid w:val="00942342"/>
    <w:rsid w:val="00942442"/>
    <w:rsid w:val="009430A2"/>
    <w:rsid w:val="00943181"/>
    <w:rsid w:val="009431F7"/>
    <w:rsid w:val="00943298"/>
    <w:rsid w:val="009438B2"/>
    <w:rsid w:val="0094424E"/>
    <w:rsid w:val="0094449A"/>
    <w:rsid w:val="009451D8"/>
    <w:rsid w:val="009453AD"/>
    <w:rsid w:val="00945A91"/>
    <w:rsid w:val="00945B35"/>
    <w:rsid w:val="0094655F"/>
    <w:rsid w:val="009475CF"/>
    <w:rsid w:val="0094783C"/>
    <w:rsid w:val="00947BC3"/>
    <w:rsid w:val="00947D28"/>
    <w:rsid w:val="009500B5"/>
    <w:rsid w:val="00950484"/>
    <w:rsid w:val="00950587"/>
    <w:rsid w:val="0095061E"/>
    <w:rsid w:val="009508AB"/>
    <w:rsid w:val="00950A2D"/>
    <w:rsid w:val="00950CAF"/>
    <w:rsid w:val="009515A7"/>
    <w:rsid w:val="00951682"/>
    <w:rsid w:val="009521FB"/>
    <w:rsid w:val="009533C1"/>
    <w:rsid w:val="0095390C"/>
    <w:rsid w:val="00953AF7"/>
    <w:rsid w:val="00953E97"/>
    <w:rsid w:val="009540D3"/>
    <w:rsid w:val="0095450A"/>
    <w:rsid w:val="00954601"/>
    <w:rsid w:val="009547EF"/>
    <w:rsid w:val="00954C3B"/>
    <w:rsid w:val="00954D65"/>
    <w:rsid w:val="00954DCC"/>
    <w:rsid w:val="00955F46"/>
    <w:rsid w:val="00956306"/>
    <w:rsid w:val="00956B79"/>
    <w:rsid w:val="00956BF7"/>
    <w:rsid w:val="00957033"/>
    <w:rsid w:val="00957137"/>
    <w:rsid w:val="009576A3"/>
    <w:rsid w:val="009577DC"/>
    <w:rsid w:val="00957B5A"/>
    <w:rsid w:val="00957CC9"/>
    <w:rsid w:val="0096033B"/>
    <w:rsid w:val="009606A5"/>
    <w:rsid w:val="0096075E"/>
    <w:rsid w:val="00960BA8"/>
    <w:rsid w:val="00960C7C"/>
    <w:rsid w:val="00961177"/>
    <w:rsid w:val="009615DE"/>
    <w:rsid w:val="009616C0"/>
    <w:rsid w:val="009616E8"/>
    <w:rsid w:val="00962038"/>
    <w:rsid w:val="0096243C"/>
    <w:rsid w:val="00962CC4"/>
    <w:rsid w:val="009642E8"/>
    <w:rsid w:val="0096515D"/>
    <w:rsid w:val="0096516B"/>
    <w:rsid w:val="00965426"/>
    <w:rsid w:val="009654C3"/>
    <w:rsid w:val="00965602"/>
    <w:rsid w:val="00965C64"/>
    <w:rsid w:val="00965EF3"/>
    <w:rsid w:val="009660C2"/>
    <w:rsid w:val="00966CDE"/>
    <w:rsid w:val="00970691"/>
    <w:rsid w:val="0097074C"/>
    <w:rsid w:val="00970978"/>
    <w:rsid w:val="00970D16"/>
    <w:rsid w:val="00970E4F"/>
    <w:rsid w:val="009712DD"/>
    <w:rsid w:val="0097146C"/>
    <w:rsid w:val="00971740"/>
    <w:rsid w:val="009718DC"/>
    <w:rsid w:val="00971EEC"/>
    <w:rsid w:val="009725D7"/>
    <w:rsid w:val="0097296C"/>
    <w:rsid w:val="00972DC5"/>
    <w:rsid w:val="0097303F"/>
    <w:rsid w:val="00973BB4"/>
    <w:rsid w:val="00973CC9"/>
    <w:rsid w:val="00973D2D"/>
    <w:rsid w:val="00973FC5"/>
    <w:rsid w:val="00974160"/>
    <w:rsid w:val="00974A5C"/>
    <w:rsid w:val="00974CB8"/>
    <w:rsid w:val="00974F0E"/>
    <w:rsid w:val="00974F9C"/>
    <w:rsid w:val="0097500A"/>
    <w:rsid w:val="00975350"/>
    <w:rsid w:val="0097572B"/>
    <w:rsid w:val="00975961"/>
    <w:rsid w:val="00975E92"/>
    <w:rsid w:val="009763DF"/>
    <w:rsid w:val="00977F46"/>
    <w:rsid w:val="00980DEC"/>
    <w:rsid w:val="00981520"/>
    <w:rsid w:val="009817D2"/>
    <w:rsid w:val="00981C0F"/>
    <w:rsid w:val="00982020"/>
    <w:rsid w:val="00982078"/>
    <w:rsid w:val="00982757"/>
    <w:rsid w:val="00982CBD"/>
    <w:rsid w:val="00983147"/>
    <w:rsid w:val="0098314F"/>
    <w:rsid w:val="009831C0"/>
    <w:rsid w:val="009832A6"/>
    <w:rsid w:val="00983596"/>
    <w:rsid w:val="00983B0E"/>
    <w:rsid w:val="00984B8A"/>
    <w:rsid w:val="00984DAE"/>
    <w:rsid w:val="00984EAC"/>
    <w:rsid w:val="00985818"/>
    <w:rsid w:val="00986832"/>
    <w:rsid w:val="00986BAC"/>
    <w:rsid w:val="00986BAE"/>
    <w:rsid w:val="00987876"/>
    <w:rsid w:val="00987C0A"/>
    <w:rsid w:val="00987F48"/>
    <w:rsid w:val="009906E5"/>
    <w:rsid w:val="00990742"/>
    <w:rsid w:val="00990853"/>
    <w:rsid w:val="00990975"/>
    <w:rsid w:val="00990F64"/>
    <w:rsid w:val="009912D6"/>
    <w:rsid w:val="00991393"/>
    <w:rsid w:val="009916CD"/>
    <w:rsid w:val="0099171B"/>
    <w:rsid w:val="0099174E"/>
    <w:rsid w:val="00992069"/>
    <w:rsid w:val="00992631"/>
    <w:rsid w:val="00992AD7"/>
    <w:rsid w:val="00993100"/>
    <w:rsid w:val="00993C7A"/>
    <w:rsid w:val="00993DF6"/>
    <w:rsid w:val="00993EDE"/>
    <w:rsid w:val="00994409"/>
    <w:rsid w:val="00995333"/>
    <w:rsid w:val="00995AE0"/>
    <w:rsid w:val="00996223"/>
    <w:rsid w:val="00996E62"/>
    <w:rsid w:val="00996FF4"/>
    <w:rsid w:val="00997026"/>
    <w:rsid w:val="00997262"/>
    <w:rsid w:val="00997294"/>
    <w:rsid w:val="009974C4"/>
    <w:rsid w:val="00997C8A"/>
    <w:rsid w:val="00997F84"/>
    <w:rsid w:val="009A0079"/>
    <w:rsid w:val="009A020A"/>
    <w:rsid w:val="009A068C"/>
    <w:rsid w:val="009A0C70"/>
    <w:rsid w:val="009A0C89"/>
    <w:rsid w:val="009A13BB"/>
    <w:rsid w:val="009A13ED"/>
    <w:rsid w:val="009A14FC"/>
    <w:rsid w:val="009A1535"/>
    <w:rsid w:val="009A15EA"/>
    <w:rsid w:val="009A1876"/>
    <w:rsid w:val="009A1C8C"/>
    <w:rsid w:val="009A24E0"/>
    <w:rsid w:val="009A28CC"/>
    <w:rsid w:val="009A2C30"/>
    <w:rsid w:val="009A2E48"/>
    <w:rsid w:val="009A2E49"/>
    <w:rsid w:val="009A2F27"/>
    <w:rsid w:val="009A2FC0"/>
    <w:rsid w:val="009A338C"/>
    <w:rsid w:val="009A417C"/>
    <w:rsid w:val="009A426F"/>
    <w:rsid w:val="009A443A"/>
    <w:rsid w:val="009A4463"/>
    <w:rsid w:val="009A48D2"/>
    <w:rsid w:val="009A4BA5"/>
    <w:rsid w:val="009A4C59"/>
    <w:rsid w:val="009A4DAF"/>
    <w:rsid w:val="009A5358"/>
    <w:rsid w:val="009A5B8B"/>
    <w:rsid w:val="009A5C22"/>
    <w:rsid w:val="009A5EAA"/>
    <w:rsid w:val="009A670B"/>
    <w:rsid w:val="009A6BD8"/>
    <w:rsid w:val="009A73EF"/>
    <w:rsid w:val="009A7B9C"/>
    <w:rsid w:val="009B0220"/>
    <w:rsid w:val="009B083E"/>
    <w:rsid w:val="009B0B05"/>
    <w:rsid w:val="009B122C"/>
    <w:rsid w:val="009B1256"/>
    <w:rsid w:val="009B126B"/>
    <w:rsid w:val="009B12BB"/>
    <w:rsid w:val="009B175A"/>
    <w:rsid w:val="009B286F"/>
    <w:rsid w:val="009B2D9C"/>
    <w:rsid w:val="009B49A0"/>
    <w:rsid w:val="009B4BE8"/>
    <w:rsid w:val="009B510F"/>
    <w:rsid w:val="009B52B9"/>
    <w:rsid w:val="009B5583"/>
    <w:rsid w:val="009B5AF9"/>
    <w:rsid w:val="009B5B53"/>
    <w:rsid w:val="009B61D3"/>
    <w:rsid w:val="009B621F"/>
    <w:rsid w:val="009B6730"/>
    <w:rsid w:val="009B6A84"/>
    <w:rsid w:val="009B6B82"/>
    <w:rsid w:val="009B6E0F"/>
    <w:rsid w:val="009B6FA3"/>
    <w:rsid w:val="009B701F"/>
    <w:rsid w:val="009B7867"/>
    <w:rsid w:val="009B7872"/>
    <w:rsid w:val="009B7A71"/>
    <w:rsid w:val="009B7C68"/>
    <w:rsid w:val="009C03B0"/>
    <w:rsid w:val="009C0564"/>
    <w:rsid w:val="009C0A23"/>
    <w:rsid w:val="009C0AA1"/>
    <w:rsid w:val="009C0B39"/>
    <w:rsid w:val="009C2252"/>
    <w:rsid w:val="009C25B1"/>
    <w:rsid w:val="009C3A3E"/>
    <w:rsid w:val="009C40F2"/>
    <w:rsid w:val="009C5078"/>
    <w:rsid w:val="009C62C2"/>
    <w:rsid w:val="009C62EA"/>
    <w:rsid w:val="009C6753"/>
    <w:rsid w:val="009C74B1"/>
    <w:rsid w:val="009C751E"/>
    <w:rsid w:val="009D000D"/>
    <w:rsid w:val="009D013E"/>
    <w:rsid w:val="009D0428"/>
    <w:rsid w:val="009D0BAC"/>
    <w:rsid w:val="009D0C5D"/>
    <w:rsid w:val="009D10CA"/>
    <w:rsid w:val="009D10EB"/>
    <w:rsid w:val="009D176F"/>
    <w:rsid w:val="009D1EB2"/>
    <w:rsid w:val="009D2369"/>
    <w:rsid w:val="009D25B7"/>
    <w:rsid w:val="009D25E9"/>
    <w:rsid w:val="009D2866"/>
    <w:rsid w:val="009D29DB"/>
    <w:rsid w:val="009D38AE"/>
    <w:rsid w:val="009D3C46"/>
    <w:rsid w:val="009D4A81"/>
    <w:rsid w:val="009D4D12"/>
    <w:rsid w:val="009D5037"/>
    <w:rsid w:val="009D56B2"/>
    <w:rsid w:val="009D5761"/>
    <w:rsid w:val="009D5ADD"/>
    <w:rsid w:val="009D5D8A"/>
    <w:rsid w:val="009D5E2B"/>
    <w:rsid w:val="009D6A49"/>
    <w:rsid w:val="009D7092"/>
    <w:rsid w:val="009D7509"/>
    <w:rsid w:val="009D77BA"/>
    <w:rsid w:val="009D7F86"/>
    <w:rsid w:val="009E0215"/>
    <w:rsid w:val="009E027F"/>
    <w:rsid w:val="009E0F53"/>
    <w:rsid w:val="009E118C"/>
    <w:rsid w:val="009E14A3"/>
    <w:rsid w:val="009E222C"/>
    <w:rsid w:val="009E2626"/>
    <w:rsid w:val="009E26A3"/>
    <w:rsid w:val="009E2B43"/>
    <w:rsid w:val="009E3133"/>
    <w:rsid w:val="009E3308"/>
    <w:rsid w:val="009E398E"/>
    <w:rsid w:val="009E3E8E"/>
    <w:rsid w:val="009E4BC9"/>
    <w:rsid w:val="009E507F"/>
    <w:rsid w:val="009E5199"/>
    <w:rsid w:val="009E56C8"/>
    <w:rsid w:val="009E590C"/>
    <w:rsid w:val="009E5E1E"/>
    <w:rsid w:val="009E5EDC"/>
    <w:rsid w:val="009E63BF"/>
    <w:rsid w:val="009E6519"/>
    <w:rsid w:val="009E6AAB"/>
    <w:rsid w:val="009E74EA"/>
    <w:rsid w:val="009F0692"/>
    <w:rsid w:val="009F07B8"/>
    <w:rsid w:val="009F13DA"/>
    <w:rsid w:val="009F1783"/>
    <w:rsid w:val="009F2110"/>
    <w:rsid w:val="009F2582"/>
    <w:rsid w:val="009F2926"/>
    <w:rsid w:val="009F30FD"/>
    <w:rsid w:val="009F325A"/>
    <w:rsid w:val="009F353D"/>
    <w:rsid w:val="009F3DAD"/>
    <w:rsid w:val="009F44E5"/>
    <w:rsid w:val="009F452A"/>
    <w:rsid w:val="009F47E7"/>
    <w:rsid w:val="009F4837"/>
    <w:rsid w:val="009F5097"/>
    <w:rsid w:val="009F5112"/>
    <w:rsid w:val="009F55AB"/>
    <w:rsid w:val="009F6101"/>
    <w:rsid w:val="009F6258"/>
    <w:rsid w:val="009F65C7"/>
    <w:rsid w:val="009F6D83"/>
    <w:rsid w:val="009F6F6B"/>
    <w:rsid w:val="009F702D"/>
    <w:rsid w:val="009F767F"/>
    <w:rsid w:val="009F7C21"/>
    <w:rsid w:val="009F7C46"/>
    <w:rsid w:val="009F7C64"/>
    <w:rsid w:val="00A00390"/>
    <w:rsid w:val="00A003A7"/>
    <w:rsid w:val="00A01332"/>
    <w:rsid w:val="00A015E6"/>
    <w:rsid w:val="00A01B8C"/>
    <w:rsid w:val="00A01C07"/>
    <w:rsid w:val="00A020E5"/>
    <w:rsid w:val="00A021E6"/>
    <w:rsid w:val="00A0282A"/>
    <w:rsid w:val="00A0303E"/>
    <w:rsid w:val="00A0315C"/>
    <w:rsid w:val="00A03450"/>
    <w:rsid w:val="00A0479A"/>
    <w:rsid w:val="00A0484A"/>
    <w:rsid w:val="00A053D0"/>
    <w:rsid w:val="00A055CF"/>
    <w:rsid w:val="00A05BF1"/>
    <w:rsid w:val="00A05C22"/>
    <w:rsid w:val="00A05CF9"/>
    <w:rsid w:val="00A06034"/>
    <w:rsid w:val="00A0610A"/>
    <w:rsid w:val="00A06143"/>
    <w:rsid w:val="00A0671F"/>
    <w:rsid w:val="00A06758"/>
    <w:rsid w:val="00A0694D"/>
    <w:rsid w:val="00A06AF6"/>
    <w:rsid w:val="00A07158"/>
    <w:rsid w:val="00A074DC"/>
    <w:rsid w:val="00A077D1"/>
    <w:rsid w:val="00A07E32"/>
    <w:rsid w:val="00A105BC"/>
    <w:rsid w:val="00A10883"/>
    <w:rsid w:val="00A112BC"/>
    <w:rsid w:val="00A11608"/>
    <w:rsid w:val="00A1188B"/>
    <w:rsid w:val="00A12097"/>
    <w:rsid w:val="00A123F0"/>
    <w:rsid w:val="00A13068"/>
    <w:rsid w:val="00A132B5"/>
    <w:rsid w:val="00A13426"/>
    <w:rsid w:val="00A13731"/>
    <w:rsid w:val="00A13E84"/>
    <w:rsid w:val="00A14E1B"/>
    <w:rsid w:val="00A154B9"/>
    <w:rsid w:val="00A15637"/>
    <w:rsid w:val="00A158B4"/>
    <w:rsid w:val="00A15B9C"/>
    <w:rsid w:val="00A15C9F"/>
    <w:rsid w:val="00A16B51"/>
    <w:rsid w:val="00A16CC5"/>
    <w:rsid w:val="00A17962"/>
    <w:rsid w:val="00A201D1"/>
    <w:rsid w:val="00A20A17"/>
    <w:rsid w:val="00A20C36"/>
    <w:rsid w:val="00A20FCF"/>
    <w:rsid w:val="00A2121E"/>
    <w:rsid w:val="00A213D4"/>
    <w:rsid w:val="00A21750"/>
    <w:rsid w:val="00A21A82"/>
    <w:rsid w:val="00A21E84"/>
    <w:rsid w:val="00A22042"/>
    <w:rsid w:val="00A22058"/>
    <w:rsid w:val="00A224EC"/>
    <w:rsid w:val="00A23218"/>
    <w:rsid w:val="00A23264"/>
    <w:rsid w:val="00A236BA"/>
    <w:rsid w:val="00A2395B"/>
    <w:rsid w:val="00A241D6"/>
    <w:rsid w:val="00A2452B"/>
    <w:rsid w:val="00A2481F"/>
    <w:rsid w:val="00A24A6A"/>
    <w:rsid w:val="00A24D45"/>
    <w:rsid w:val="00A25D3C"/>
    <w:rsid w:val="00A2617D"/>
    <w:rsid w:val="00A269D8"/>
    <w:rsid w:val="00A27096"/>
    <w:rsid w:val="00A27A11"/>
    <w:rsid w:val="00A27E7F"/>
    <w:rsid w:val="00A3017D"/>
    <w:rsid w:val="00A30942"/>
    <w:rsid w:val="00A30F1F"/>
    <w:rsid w:val="00A30F3E"/>
    <w:rsid w:val="00A31405"/>
    <w:rsid w:val="00A316BD"/>
    <w:rsid w:val="00A31939"/>
    <w:rsid w:val="00A31DF3"/>
    <w:rsid w:val="00A325CB"/>
    <w:rsid w:val="00A32633"/>
    <w:rsid w:val="00A33FCC"/>
    <w:rsid w:val="00A33FE5"/>
    <w:rsid w:val="00A35050"/>
    <w:rsid w:val="00A35154"/>
    <w:rsid w:val="00A3524F"/>
    <w:rsid w:val="00A352A6"/>
    <w:rsid w:val="00A352CD"/>
    <w:rsid w:val="00A35477"/>
    <w:rsid w:val="00A35490"/>
    <w:rsid w:val="00A356C4"/>
    <w:rsid w:val="00A356CF"/>
    <w:rsid w:val="00A35EE1"/>
    <w:rsid w:val="00A36580"/>
    <w:rsid w:val="00A368E6"/>
    <w:rsid w:val="00A36B4A"/>
    <w:rsid w:val="00A36DD4"/>
    <w:rsid w:val="00A36FC5"/>
    <w:rsid w:val="00A372C0"/>
    <w:rsid w:val="00A3785A"/>
    <w:rsid w:val="00A37AD9"/>
    <w:rsid w:val="00A37C46"/>
    <w:rsid w:val="00A40009"/>
    <w:rsid w:val="00A408A1"/>
    <w:rsid w:val="00A40977"/>
    <w:rsid w:val="00A41056"/>
    <w:rsid w:val="00A418E1"/>
    <w:rsid w:val="00A41A1F"/>
    <w:rsid w:val="00A41CE5"/>
    <w:rsid w:val="00A425AF"/>
    <w:rsid w:val="00A426EF"/>
    <w:rsid w:val="00A43458"/>
    <w:rsid w:val="00A43A02"/>
    <w:rsid w:val="00A444F2"/>
    <w:rsid w:val="00A44864"/>
    <w:rsid w:val="00A44A5F"/>
    <w:rsid w:val="00A44F24"/>
    <w:rsid w:val="00A45B59"/>
    <w:rsid w:val="00A46376"/>
    <w:rsid w:val="00A4640E"/>
    <w:rsid w:val="00A46612"/>
    <w:rsid w:val="00A466C2"/>
    <w:rsid w:val="00A467C7"/>
    <w:rsid w:val="00A46801"/>
    <w:rsid w:val="00A47746"/>
    <w:rsid w:val="00A477E1"/>
    <w:rsid w:val="00A479B4"/>
    <w:rsid w:val="00A47ED0"/>
    <w:rsid w:val="00A504F1"/>
    <w:rsid w:val="00A50FBD"/>
    <w:rsid w:val="00A51582"/>
    <w:rsid w:val="00A518B9"/>
    <w:rsid w:val="00A52E05"/>
    <w:rsid w:val="00A531CA"/>
    <w:rsid w:val="00A53C3F"/>
    <w:rsid w:val="00A53E32"/>
    <w:rsid w:val="00A5428D"/>
    <w:rsid w:val="00A54CAD"/>
    <w:rsid w:val="00A54F07"/>
    <w:rsid w:val="00A55166"/>
    <w:rsid w:val="00A55275"/>
    <w:rsid w:val="00A55388"/>
    <w:rsid w:val="00A556CB"/>
    <w:rsid w:val="00A55B12"/>
    <w:rsid w:val="00A55DB6"/>
    <w:rsid w:val="00A5624A"/>
    <w:rsid w:val="00A56266"/>
    <w:rsid w:val="00A562BD"/>
    <w:rsid w:val="00A601D3"/>
    <w:rsid w:val="00A6066B"/>
    <w:rsid w:val="00A606E2"/>
    <w:rsid w:val="00A60C71"/>
    <w:rsid w:val="00A612C1"/>
    <w:rsid w:val="00A617DE"/>
    <w:rsid w:val="00A61899"/>
    <w:rsid w:val="00A61AFE"/>
    <w:rsid w:val="00A61E5D"/>
    <w:rsid w:val="00A61FD1"/>
    <w:rsid w:val="00A62ECE"/>
    <w:rsid w:val="00A63651"/>
    <w:rsid w:val="00A63791"/>
    <w:rsid w:val="00A63A43"/>
    <w:rsid w:val="00A63FF3"/>
    <w:rsid w:val="00A64046"/>
    <w:rsid w:val="00A6408B"/>
    <w:rsid w:val="00A640B3"/>
    <w:rsid w:val="00A64160"/>
    <w:rsid w:val="00A64290"/>
    <w:rsid w:val="00A643B7"/>
    <w:rsid w:val="00A64679"/>
    <w:rsid w:val="00A65559"/>
    <w:rsid w:val="00A656E6"/>
    <w:rsid w:val="00A65923"/>
    <w:rsid w:val="00A65D40"/>
    <w:rsid w:val="00A660D9"/>
    <w:rsid w:val="00A6695C"/>
    <w:rsid w:val="00A66AE9"/>
    <w:rsid w:val="00A66F74"/>
    <w:rsid w:val="00A67097"/>
    <w:rsid w:val="00A67731"/>
    <w:rsid w:val="00A67A62"/>
    <w:rsid w:val="00A67B2D"/>
    <w:rsid w:val="00A67B91"/>
    <w:rsid w:val="00A7035E"/>
    <w:rsid w:val="00A704F4"/>
    <w:rsid w:val="00A705D9"/>
    <w:rsid w:val="00A70648"/>
    <w:rsid w:val="00A712F1"/>
    <w:rsid w:val="00A71674"/>
    <w:rsid w:val="00A71BCF"/>
    <w:rsid w:val="00A71F05"/>
    <w:rsid w:val="00A7210B"/>
    <w:rsid w:val="00A72C0A"/>
    <w:rsid w:val="00A72C74"/>
    <w:rsid w:val="00A73169"/>
    <w:rsid w:val="00A7317C"/>
    <w:rsid w:val="00A733FA"/>
    <w:rsid w:val="00A7449E"/>
    <w:rsid w:val="00A7497C"/>
    <w:rsid w:val="00A7598F"/>
    <w:rsid w:val="00A75AAD"/>
    <w:rsid w:val="00A75B04"/>
    <w:rsid w:val="00A76585"/>
    <w:rsid w:val="00A767BD"/>
    <w:rsid w:val="00A76B0E"/>
    <w:rsid w:val="00A77307"/>
    <w:rsid w:val="00A7786B"/>
    <w:rsid w:val="00A778A5"/>
    <w:rsid w:val="00A77C30"/>
    <w:rsid w:val="00A77E3A"/>
    <w:rsid w:val="00A800B2"/>
    <w:rsid w:val="00A81032"/>
    <w:rsid w:val="00A81772"/>
    <w:rsid w:val="00A819E3"/>
    <w:rsid w:val="00A81A10"/>
    <w:rsid w:val="00A81F6B"/>
    <w:rsid w:val="00A82345"/>
    <w:rsid w:val="00A82D55"/>
    <w:rsid w:val="00A8350B"/>
    <w:rsid w:val="00A8397A"/>
    <w:rsid w:val="00A83AF9"/>
    <w:rsid w:val="00A84321"/>
    <w:rsid w:val="00A84467"/>
    <w:rsid w:val="00A84B79"/>
    <w:rsid w:val="00A85097"/>
    <w:rsid w:val="00A85639"/>
    <w:rsid w:val="00A85C43"/>
    <w:rsid w:val="00A861C5"/>
    <w:rsid w:val="00A861F0"/>
    <w:rsid w:val="00A861FA"/>
    <w:rsid w:val="00A865F2"/>
    <w:rsid w:val="00A86634"/>
    <w:rsid w:val="00A86954"/>
    <w:rsid w:val="00A869F7"/>
    <w:rsid w:val="00A86C0A"/>
    <w:rsid w:val="00A86CBF"/>
    <w:rsid w:val="00A86D87"/>
    <w:rsid w:val="00A86EFC"/>
    <w:rsid w:val="00A86F4B"/>
    <w:rsid w:val="00A877E1"/>
    <w:rsid w:val="00A90335"/>
    <w:rsid w:val="00A913B7"/>
    <w:rsid w:val="00A91615"/>
    <w:rsid w:val="00A91E3C"/>
    <w:rsid w:val="00A920FB"/>
    <w:rsid w:val="00A923CE"/>
    <w:rsid w:val="00A92440"/>
    <w:rsid w:val="00A9247A"/>
    <w:rsid w:val="00A924D0"/>
    <w:rsid w:val="00A926F8"/>
    <w:rsid w:val="00A929AA"/>
    <w:rsid w:val="00A92A4A"/>
    <w:rsid w:val="00A936BC"/>
    <w:rsid w:val="00A93E29"/>
    <w:rsid w:val="00A94389"/>
    <w:rsid w:val="00A9492C"/>
    <w:rsid w:val="00A95173"/>
    <w:rsid w:val="00A958BF"/>
    <w:rsid w:val="00A96373"/>
    <w:rsid w:val="00A96898"/>
    <w:rsid w:val="00A96B12"/>
    <w:rsid w:val="00A96B88"/>
    <w:rsid w:val="00A96CF3"/>
    <w:rsid w:val="00A96D84"/>
    <w:rsid w:val="00A96FBD"/>
    <w:rsid w:val="00A97236"/>
    <w:rsid w:val="00A973CC"/>
    <w:rsid w:val="00A97836"/>
    <w:rsid w:val="00A97940"/>
    <w:rsid w:val="00AA02D3"/>
    <w:rsid w:val="00AA0919"/>
    <w:rsid w:val="00AA11EC"/>
    <w:rsid w:val="00AA1984"/>
    <w:rsid w:val="00AA1DA5"/>
    <w:rsid w:val="00AA2929"/>
    <w:rsid w:val="00AA3581"/>
    <w:rsid w:val="00AA38A5"/>
    <w:rsid w:val="00AA39E0"/>
    <w:rsid w:val="00AA403B"/>
    <w:rsid w:val="00AA40FD"/>
    <w:rsid w:val="00AA46E7"/>
    <w:rsid w:val="00AA47BC"/>
    <w:rsid w:val="00AA4E2B"/>
    <w:rsid w:val="00AA4E53"/>
    <w:rsid w:val="00AA502B"/>
    <w:rsid w:val="00AA544A"/>
    <w:rsid w:val="00AA6210"/>
    <w:rsid w:val="00AA6664"/>
    <w:rsid w:val="00AA6971"/>
    <w:rsid w:val="00AA69E7"/>
    <w:rsid w:val="00AA6E4D"/>
    <w:rsid w:val="00AA70BA"/>
    <w:rsid w:val="00AA750F"/>
    <w:rsid w:val="00AA7737"/>
    <w:rsid w:val="00AA7986"/>
    <w:rsid w:val="00AB03D1"/>
    <w:rsid w:val="00AB1171"/>
    <w:rsid w:val="00AB172D"/>
    <w:rsid w:val="00AB1883"/>
    <w:rsid w:val="00AB2412"/>
    <w:rsid w:val="00AB241B"/>
    <w:rsid w:val="00AB2AC8"/>
    <w:rsid w:val="00AB2E31"/>
    <w:rsid w:val="00AB2E96"/>
    <w:rsid w:val="00AB3937"/>
    <w:rsid w:val="00AB3A48"/>
    <w:rsid w:val="00AB3B93"/>
    <w:rsid w:val="00AB4688"/>
    <w:rsid w:val="00AB5246"/>
    <w:rsid w:val="00AB55E2"/>
    <w:rsid w:val="00AB5D30"/>
    <w:rsid w:val="00AB6A34"/>
    <w:rsid w:val="00AB6F89"/>
    <w:rsid w:val="00AB7659"/>
    <w:rsid w:val="00AC01D0"/>
    <w:rsid w:val="00AC01D4"/>
    <w:rsid w:val="00AC0380"/>
    <w:rsid w:val="00AC1081"/>
    <w:rsid w:val="00AC12C4"/>
    <w:rsid w:val="00AC1702"/>
    <w:rsid w:val="00AC1ADD"/>
    <w:rsid w:val="00AC1B1D"/>
    <w:rsid w:val="00AC2766"/>
    <w:rsid w:val="00AC3AFD"/>
    <w:rsid w:val="00AC3B04"/>
    <w:rsid w:val="00AC4BC7"/>
    <w:rsid w:val="00AC4BEC"/>
    <w:rsid w:val="00AC502D"/>
    <w:rsid w:val="00AC5163"/>
    <w:rsid w:val="00AC57F2"/>
    <w:rsid w:val="00AC5C05"/>
    <w:rsid w:val="00AC6380"/>
    <w:rsid w:val="00AC669E"/>
    <w:rsid w:val="00AC6B46"/>
    <w:rsid w:val="00AC6BBA"/>
    <w:rsid w:val="00AC6E6C"/>
    <w:rsid w:val="00AC783D"/>
    <w:rsid w:val="00AC79B1"/>
    <w:rsid w:val="00AC7A00"/>
    <w:rsid w:val="00AC7C43"/>
    <w:rsid w:val="00AC7EA2"/>
    <w:rsid w:val="00AD012B"/>
    <w:rsid w:val="00AD0754"/>
    <w:rsid w:val="00AD0B26"/>
    <w:rsid w:val="00AD0CC2"/>
    <w:rsid w:val="00AD10E6"/>
    <w:rsid w:val="00AD11E9"/>
    <w:rsid w:val="00AD125F"/>
    <w:rsid w:val="00AD12F0"/>
    <w:rsid w:val="00AD1467"/>
    <w:rsid w:val="00AD16A0"/>
    <w:rsid w:val="00AD1C6B"/>
    <w:rsid w:val="00AD222D"/>
    <w:rsid w:val="00AD2BFA"/>
    <w:rsid w:val="00AD3329"/>
    <w:rsid w:val="00AD3966"/>
    <w:rsid w:val="00AD3C63"/>
    <w:rsid w:val="00AD3FD4"/>
    <w:rsid w:val="00AD4884"/>
    <w:rsid w:val="00AD4AEE"/>
    <w:rsid w:val="00AD4CCA"/>
    <w:rsid w:val="00AD5163"/>
    <w:rsid w:val="00AD5570"/>
    <w:rsid w:val="00AD5A8D"/>
    <w:rsid w:val="00AD5D05"/>
    <w:rsid w:val="00AD6250"/>
    <w:rsid w:val="00AD69E4"/>
    <w:rsid w:val="00AD72C5"/>
    <w:rsid w:val="00AE0EC1"/>
    <w:rsid w:val="00AE0EE8"/>
    <w:rsid w:val="00AE11C7"/>
    <w:rsid w:val="00AE1DA5"/>
    <w:rsid w:val="00AE22F7"/>
    <w:rsid w:val="00AE27F2"/>
    <w:rsid w:val="00AE38BC"/>
    <w:rsid w:val="00AE3ECB"/>
    <w:rsid w:val="00AE48FC"/>
    <w:rsid w:val="00AE4A11"/>
    <w:rsid w:val="00AE4A1D"/>
    <w:rsid w:val="00AE5B61"/>
    <w:rsid w:val="00AE689B"/>
    <w:rsid w:val="00AE691F"/>
    <w:rsid w:val="00AE6B57"/>
    <w:rsid w:val="00AE713B"/>
    <w:rsid w:val="00AE76E1"/>
    <w:rsid w:val="00AE7A88"/>
    <w:rsid w:val="00AF01B4"/>
    <w:rsid w:val="00AF08B5"/>
    <w:rsid w:val="00AF09D4"/>
    <w:rsid w:val="00AF0DE9"/>
    <w:rsid w:val="00AF1137"/>
    <w:rsid w:val="00AF1171"/>
    <w:rsid w:val="00AF139C"/>
    <w:rsid w:val="00AF15EA"/>
    <w:rsid w:val="00AF19E2"/>
    <w:rsid w:val="00AF2564"/>
    <w:rsid w:val="00AF27C6"/>
    <w:rsid w:val="00AF2E90"/>
    <w:rsid w:val="00AF32FA"/>
    <w:rsid w:val="00AF3786"/>
    <w:rsid w:val="00AF3A95"/>
    <w:rsid w:val="00AF41F9"/>
    <w:rsid w:val="00AF48B6"/>
    <w:rsid w:val="00AF494B"/>
    <w:rsid w:val="00AF5BB9"/>
    <w:rsid w:val="00AF5D71"/>
    <w:rsid w:val="00AF6065"/>
    <w:rsid w:val="00AF6DE8"/>
    <w:rsid w:val="00AF73A3"/>
    <w:rsid w:val="00B00197"/>
    <w:rsid w:val="00B00827"/>
    <w:rsid w:val="00B009D5"/>
    <w:rsid w:val="00B0160D"/>
    <w:rsid w:val="00B0160F"/>
    <w:rsid w:val="00B02343"/>
    <w:rsid w:val="00B0287D"/>
    <w:rsid w:val="00B031D9"/>
    <w:rsid w:val="00B0336F"/>
    <w:rsid w:val="00B03C7E"/>
    <w:rsid w:val="00B03E15"/>
    <w:rsid w:val="00B0414A"/>
    <w:rsid w:val="00B041FC"/>
    <w:rsid w:val="00B043BA"/>
    <w:rsid w:val="00B0452F"/>
    <w:rsid w:val="00B04676"/>
    <w:rsid w:val="00B04D80"/>
    <w:rsid w:val="00B04F9D"/>
    <w:rsid w:val="00B0534B"/>
    <w:rsid w:val="00B06208"/>
    <w:rsid w:val="00B064BC"/>
    <w:rsid w:val="00B07599"/>
    <w:rsid w:val="00B07795"/>
    <w:rsid w:val="00B100F3"/>
    <w:rsid w:val="00B103B8"/>
    <w:rsid w:val="00B10515"/>
    <w:rsid w:val="00B10AB4"/>
    <w:rsid w:val="00B1122C"/>
    <w:rsid w:val="00B1172B"/>
    <w:rsid w:val="00B11930"/>
    <w:rsid w:val="00B12167"/>
    <w:rsid w:val="00B12A13"/>
    <w:rsid w:val="00B12EA9"/>
    <w:rsid w:val="00B131A5"/>
    <w:rsid w:val="00B1325C"/>
    <w:rsid w:val="00B1363F"/>
    <w:rsid w:val="00B136CC"/>
    <w:rsid w:val="00B13C61"/>
    <w:rsid w:val="00B13CC7"/>
    <w:rsid w:val="00B1437D"/>
    <w:rsid w:val="00B14B56"/>
    <w:rsid w:val="00B14F95"/>
    <w:rsid w:val="00B15223"/>
    <w:rsid w:val="00B15E80"/>
    <w:rsid w:val="00B15E9D"/>
    <w:rsid w:val="00B16860"/>
    <w:rsid w:val="00B16869"/>
    <w:rsid w:val="00B170B6"/>
    <w:rsid w:val="00B171C0"/>
    <w:rsid w:val="00B17AA9"/>
    <w:rsid w:val="00B20AE1"/>
    <w:rsid w:val="00B20E6E"/>
    <w:rsid w:val="00B21199"/>
    <w:rsid w:val="00B21806"/>
    <w:rsid w:val="00B2187F"/>
    <w:rsid w:val="00B2246E"/>
    <w:rsid w:val="00B2269A"/>
    <w:rsid w:val="00B22C58"/>
    <w:rsid w:val="00B22E79"/>
    <w:rsid w:val="00B22F2C"/>
    <w:rsid w:val="00B234EB"/>
    <w:rsid w:val="00B2353A"/>
    <w:rsid w:val="00B2365F"/>
    <w:rsid w:val="00B24269"/>
    <w:rsid w:val="00B245AB"/>
    <w:rsid w:val="00B24B80"/>
    <w:rsid w:val="00B24F78"/>
    <w:rsid w:val="00B2520D"/>
    <w:rsid w:val="00B2557A"/>
    <w:rsid w:val="00B25FCF"/>
    <w:rsid w:val="00B263DD"/>
    <w:rsid w:val="00B26818"/>
    <w:rsid w:val="00B269BA"/>
    <w:rsid w:val="00B27358"/>
    <w:rsid w:val="00B274F9"/>
    <w:rsid w:val="00B27510"/>
    <w:rsid w:val="00B2753E"/>
    <w:rsid w:val="00B276DC"/>
    <w:rsid w:val="00B27C76"/>
    <w:rsid w:val="00B27C7C"/>
    <w:rsid w:val="00B310B7"/>
    <w:rsid w:val="00B31108"/>
    <w:rsid w:val="00B3131C"/>
    <w:rsid w:val="00B316AD"/>
    <w:rsid w:val="00B31A02"/>
    <w:rsid w:val="00B31F0D"/>
    <w:rsid w:val="00B32185"/>
    <w:rsid w:val="00B321A7"/>
    <w:rsid w:val="00B322FA"/>
    <w:rsid w:val="00B3261E"/>
    <w:rsid w:val="00B33295"/>
    <w:rsid w:val="00B33C09"/>
    <w:rsid w:val="00B33D8C"/>
    <w:rsid w:val="00B34133"/>
    <w:rsid w:val="00B3453C"/>
    <w:rsid w:val="00B345AA"/>
    <w:rsid w:val="00B3501E"/>
    <w:rsid w:val="00B350C5"/>
    <w:rsid w:val="00B3518A"/>
    <w:rsid w:val="00B351F0"/>
    <w:rsid w:val="00B35343"/>
    <w:rsid w:val="00B35881"/>
    <w:rsid w:val="00B36FD7"/>
    <w:rsid w:val="00B370D5"/>
    <w:rsid w:val="00B3721F"/>
    <w:rsid w:val="00B372AC"/>
    <w:rsid w:val="00B3754F"/>
    <w:rsid w:val="00B3786A"/>
    <w:rsid w:val="00B37AEF"/>
    <w:rsid w:val="00B40568"/>
    <w:rsid w:val="00B40825"/>
    <w:rsid w:val="00B40B36"/>
    <w:rsid w:val="00B40F0A"/>
    <w:rsid w:val="00B41045"/>
    <w:rsid w:val="00B41308"/>
    <w:rsid w:val="00B4171D"/>
    <w:rsid w:val="00B41B1B"/>
    <w:rsid w:val="00B41E52"/>
    <w:rsid w:val="00B41F60"/>
    <w:rsid w:val="00B426E4"/>
    <w:rsid w:val="00B43B96"/>
    <w:rsid w:val="00B4500E"/>
    <w:rsid w:val="00B45A5F"/>
    <w:rsid w:val="00B45D30"/>
    <w:rsid w:val="00B4607F"/>
    <w:rsid w:val="00B463C1"/>
    <w:rsid w:val="00B47B66"/>
    <w:rsid w:val="00B50242"/>
    <w:rsid w:val="00B502A7"/>
    <w:rsid w:val="00B50C0C"/>
    <w:rsid w:val="00B50E7D"/>
    <w:rsid w:val="00B51100"/>
    <w:rsid w:val="00B5127C"/>
    <w:rsid w:val="00B518D2"/>
    <w:rsid w:val="00B51F86"/>
    <w:rsid w:val="00B52DAF"/>
    <w:rsid w:val="00B53498"/>
    <w:rsid w:val="00B53D41"/>
    <w:rsid w:val="00B54005"/>
    <w:rsid w:val="00B5475C"/>
    <w:rsid w:val="00B549C3"/>
    <w:rsid w:val="00B54A8C"/>
    <w:rsid w:val="00B54E41"/>
    <w:rsid w:val="00B55058"/>
    <w:rsid w:val="00B55850"/>
    <w:rsid w:val="00B55D98"/>
    <w:rsid w:val="00B5617E"/>
    <w:rsid w:val="00B5696A"/>
    <w:rsid w:val="00B56975"/>
    <w:rsid w:val="00B569E3"/>
    <w:rsid w:val="00B56B01"/>
    <w:rsid w:val="00B56B75"/>
    <w:rsid w:val="00B56BBE"/>
    <w:rsid w:val="00B56D42"/>
    <w:rsid w:val="00B57181"/>
    <w:rsid w:val="00B573BA"/>
    <w:rsid w:val="00B57C9C"/>
    <w:rsid w:val="00B57EBC"/>
    <w:rsid w:val="00B60A28"/>
    <w:rsid w:val="00B60D73"/>
    <w:rsid w:val="00B60F71"/>
    <w:rsid w:val="00B614D1"/>
    <w:rsid w:val="00B615CE"/>
    <w:rsid w:val="00B61B5B"/>
    <w:rsid w:val="00B62227"/>
    <w:rsid w:val="00B623C6"/>
    <w:rsid w:val="00B62E9E"/>
    <w:rsid w:val="00B63009"/>
    <w:rsid w:val="00B63699"/>
    <w:rsid w:val="00B63860"/>
    <w:rsid w:val="00B6419C"/>
    <w:rsid w:val="00B64337"/>
    <w:rsid w:val="00B6448A"/>
    <w:rsid w:val="00B64E1E"/>
    <w:rsid w:val="00B64F38"/>
    <w:rsid w:val="00B65AA5"/>
    <w:rsid w:val="00B66207"/>
    <w:rsid w:val="00B6692D"/>
    <w:rsid w:val="00B66CDB"/>
    <w:rsid w:val="00B66E6A"/>
    <w:rsid w:val="00B66F40"/>
    <w:rsid w:val="00B7091B"/>
    <w:rsid w:val="00B709CE"/>
    <w:rsid w:val="00B7168D"/>
    <w:rsid w:val="00B7169A"/>
    <w:rsid w:val="00B717DA"/>
    <w:rsid w:val="00B719F0"/>
    <w:rsid w:val="00B71A9B"/>
    <w:rsid w:val="00B71B0D"/>
    <w:rsid w:val="00B71D85"/>
    <w:rsid w:val="00B7273E"/>
    <w:rsid w:val="00B735CD"/>
    <w:rsid w:val="00B73A3B"/>
    <w:rsid w:val="00B74692"/>
    <w:rsid w:val="00B74915"/>
    <w:rsid w:val="00B7493D"/>
    <w:rsid w:val="00B74A82"/>
    <w:rsid w:val="00B74D67"/>
    <w:rsid w:val="00B74EEC"/>
    <w:rsid w:val="00B74F5D"/>
    <w:rsid w:val="00B751B8"/>
    <w:rsid w:val="00B76387"/>
    <w:rsid w:val="00B77500"/>
    <w:rsid w:val="00B77EA1"/>
    <w:rsid w:val="00B803E0"/>
    <w:rsid w:val="00B8046F"/>
    <w:rsid w:val="00B8061A"/>
    <w:rsid w:val="00B80938"/>
    <w:rsid w:val="00B80AE1"/>
    <w:rsid w:val="00B80BF4"/>
    <w:rsid w:val="00B80C76"/>
    <w:rsid w:val="00B80FF4"/>
    <w:rsid w:val="00B8144E"/>
    <w:rsid w:val="00B81555"/>
    <w:rsid w:val="00B81747"/>
    <w:rsid w:val="00B81988"/>
    <w:rsid w:val="00B81AF1"/>
    <w:rsid w:val="00B81E3D"/>
    <w:rsid w:val="00B82337"/>
    <w:rsid w:val="00B83095"/>
    <w:rsid w:val="00B831A6"/>
    <w:rsid w:val="00B83277"/>
    <w:rsid w:val="00B83DC8"/>
    <w:rsid w:val="00B83E82"/>
    <w:rsid w:val="00B84126"/>
    <w:rsid w:val="00B843B6"/>
    <w:rsid w:val="00B844E7"/>
    <w:rsid w:val="00B8450B"/>
    <w:rsid w:val="00B84E6A"/>
    <w:rsid w:val="00B8504C"/>
    <w:rsid w:val="00B859FD"/>
    <w:rsid w:val="00B85A70"/>
    <w:rsid w:val="00B86399"/>
    <w:rsid w:val="00B8649B"/>
    <w:rsid w:val="00B864F1"/>
    <w:rsid w:val="00B865DF"/>
    <w:rsid w:val="00B87D07"/>
    <w:rsid w:val="00B901BA"/>
    <w:rsid w:val="00B91527"/>
    <w:rsid w:val="00B91D82"/>
    <w:rsid w:val="00B921B5"/>
    <w:rsid w:val="00B92571"/>
    <w:rsid w:val="00B92743"/>
    <w:rsid w:val="00B92EB1"/>
    <w:rsid w:val="00B92F24"/>
    <w:rsid w:val="00B92F36"/>
    <w:rsid w:val="00B933A7"/>
    <w:rsid w:val="00B9375E"/>
    <w:rsid w:val="00B93986"/>
    <w:rsid w:val="00B93C70"/>
    <w:rsid w:val="00B93DF2"/>
    <w:rsid w:val="00B94480"/>
    <w:rsid w:val="00B949BC"/>
    <w:rsid w:val="00B95355"/>
    <w:rsid w:val="00B9672F"/>
    <w:rsid w:val="00B969C1"/>
    <w:rsid w:val="00B96DC3"/>
    <w:rsid w:val="00B971CF"/>
    <w:rsid w:val="00BA051B"/>
    <w:rsid w:val="00BA18D8"/>
    <w:rsid w:val="00BA1BF1"/>
    <w:rsid w:val="00BA255B"/>
    <w:rsid w:val="00BA2668"/>
    <w:rsid w:val="00BA2A99"/>
    <w:rsid w:val="00BA2E16"/>
    <w:rsid w:val="00BA31F4"/>
    <w:rsid w:val="00BA33AB"/>
    <w:rsid w:val="00BA35C3"/>
    <w:rsid w:val="00BA3ABE"/>
    <w:rsid w:val="00BA3C03"/>
    <w:rsid w:val="00BA3E92"/>
    <w:rsid w:val="00BA40E5"/>
    <w:rsid w:val="00BA41BF"/>
    <w:rsid w:val="00BA436A"/>
    <w:rsid w:val="00BA4F46"/>
    <w:rsid w:val="00BA5000"/>
    <w:rsid w:val="00BA5266"/>
    <w:rsid w:val="00BA5D17"/>
    <w:rsid w:val="00BA605A"/>
    <w:rsid w:val="00BA6A1E"/>
    <w:rsid w:val="00BA6F61"/>
    <w:rsid w:val="00BA7832"/>
    <w:rsid w:val="00BA78CB"/>
    <w:rsid w:val="00BA7AD7"/>
    <w:rsid w:val="00BB0478"/>
    <w:rsid w:val="00BB0951"/>
    <w:rsid w:val="00BB0C2B"/>
    <w:rsid w:val="00BB1627"/>
    <w:rsid w:val="00BB2366"/>
    <w:rsid w:val="00BB29BE"/>
    <w:rsid w:val="00BB314E"/>
    <w:rsid w:val="00BB3266"/>
    <w:rsid w:val="00BB3396"/>
    <w:rsid w:val="00BB3476"/>
    <w:rsid w:val="00BB3806"/>
    <w:rsid w:val="00BB3A1D"/>
    <w:rsid w:val="00BB403A"/>
    <w:rsid w:val="00BB4838"/>
    <w:rsid w:val="00BB4E14"/>
    <w:rsid w:val="00BB50A4"/>
    <w:rsid w:val="00BB50AB"/>
    <w:rsid w:val="00BB53E3"/>
    <w:rsid w:val="00BB5412"/>
    <w:rsid w:val="00BB5487"/>
    <w:rsid w:val="00BB5519"/>
    <w:rsid w:val="00BB5ADC"/>
    <w:rsid w:val="00BB5C23"/>
    <w:rsid w:val="00BB5D7A"/>
    <w:rsid w:val="00BB61E6"/>
    <w:rsid w:val="00BB62BB"/>
    <w:rsid w:val="00BB6BAC"/>
    <w:rsid w:val="00BB6C66"/>
    <w:rsid w:val="00BB6CD0"/>
    <w:rsid w:val="00BB7506"/>
    <w:rsid w:val="00BB7DC4"/>
    <w:rsid w:val="00BB7E52"/>
    <w:rsid w:val="00BB7FE9"/>
    <w:rsid w:val="00BC044E"/>
    <w:rsid w:val="00BC04FE"/>
    <w:rsid w:val="00BC05CF"/>
    <w:rsid w:val="00BC07B4"/>
    <w:rsid w:val="00BC1429"/>
    <w:rsid w:val="00BC1616"/>
    <w:rsid w:val="00BC1B6F"/>
    <w:rsid w:val="00BC2027"/>
    <w:rsid w:val="00BC2533"/>
    <w:rsid w:val="00BC2581"/>
    <w:rsid w:val="00BC2BFB"/>
    <w:rsid w:val="00BC2CB3"/>
    <w:rsid w:val="00BC4698"/>
    <w:rsid w:val="00BC4996"/>
    <w:rsid w:val="00BC4EBD"/>
    <w:rsid w:val="00BC50D3"/>
    <w:rsid w:val="00BC55AF"/>
    <w:rsid w:val="00BC5D39"/>
    <w:rsid w:val="00BC680C"/>
    <w:rsid w:val="00BC685A"/>
    <w:rsid w:val="00BC6AAF"/>
    <w:rsid w:val="00BC6B1A"/>
    <w:rsid w:val="00BC705F"/>
    <w:rsid w:val="00BC78C8"/>
    <w:rsid w:val="00BC7916"/>
    <w:rsid w:val="00BC7E32"/>
    <w:rsid w:val="00BD005A"/>
    <w:rsid w:val="00BD0133"/>
    <w:rsid w:val="00BD0166"/>
    <w:rsid w:val="00BD037E"/>
    <w:rsid w:val="00BD0491"/>
    <w:rsid w:val="00BD0693"/>
    <w:rsid w:val="00BD11FB"/>
    <w:rsid w:val="00BD14C6"/>
    <w:rsid w:val="00BD1D35"/>
    <w:rsid w:val="00BD25F1"/>
    <w:rsid w:val="00BD33A2"/>
    <w:rsid w:val="00BD3CC1"/>
    <w:rsid w:val="00BD3E3F"/>
    <w:rsid w:val="00BD3E53"/>
    <w:rsid w:val="00BD4E76"/>
    <w:rsid w:val="00BD5641"/>
    <w:rsid w:val="00BD5CA1"/>
    <w:rsid w:val="00BD5E36"/>
    <w:rsid w:val="00BD63BC"/>
    <w:rsid w:val="00BD6478"/>
    <w:rsid w:val="00BD6844"/>
    <w:rsid w:val="00BD6B70"/>
    <w:rsid w:val="00BD6C1E"/>
    <w:rsid w:val="00BD6E50"/>
    <w:rsid w:val="00BD70F6"/>
    <w:rsid w:val="00BD72F1"/>
    <w:rsid w:val="00BD75C8"/>
    <w:rsid w:val="00BD767D"/>
    <w:rsid w:val="00BE0E2A"/>
    <w:rsid w:val="00BE1859"/>
    <w:rsid w:val="00BE1FB5"/>
    <w:rsid w:val="00BE22E1"/>
    <w:rsid w:val="00BE2C09"/>
    <w:rsid w:val="00BE2CD8"/>
    <w:rsid w:val="00BE3424"/>
    <w:rsid w:val="00BE35C4"/>
    <w:rsid w:val="00BE3727"/>
    <w:rsid w:val="00BE46BD"/>
    <w:rsid w:val="00BE48F2"/>
    <w:rsid w:val="00BE525B"/>
    <w:rsid w:val="00BE5870"/>
    <w:rsid w:val="00BE5E19"/>
    <w:rsid w:val="00BE5FB1"/>
    <w:rsid w:val="00BE628B"/>
    <w:rsid w:val="00BE6DA2"/>
    <w:rsid w:val="00BE6F06"/>
    <w:rsid w:val="00BE7192"/>
    <w:rsid w:val="00BE7775"/>
    <w:rsid w:val="00BE7ACA"/>
    <w:rsid w:val="00BE7B3B"/>
    <w:rsid w:val="00BE7FC2"/>
    <w:rsid w:val="00BF11AE"/>
    <w:rsid w:val="00BF1B02"/>
    <w:rsid w:val="00BF2568"/>
    <w:rsid w:val="00BF279A"/>
    <w:rsid w:val="00BF2F95"/>
    <w:rsid w:val="00BF30D9"/>
    <w:rsid w:val="00BF3970"/>
    <w:rsid w:val="00BF3C30"/>
    <w:rsid w:val="00BF4A1C"/>
    <w:rsid w:val="00BF5316"/>
    <w:rsid w:val="00BF6100"/>
    <w:rsid w:val="00BF61A4"/>
    <w:rsid w:val="00BF632F"/>
    <w:rsid w:val="00BF66A3"/>
    <w:rsid w:val="00BF68B7"/>
    <w:rsid w:val="00BF71FD"/>
    <w:rsid w:val="00BF735C"/>
    <w:rsid w:val="00BF75AE"/>
    <w:rsid w:val="00C00A2A"/>
    <w:rsid w:val="00C00BEC"/>
    <w:rsid w:val="00C00D58"/>
    <w:rsid w:val="00C00DA7"/>
    <w:rsid w:val="00C0111C"/>
    <w:rsid w:val="00C0126C"/>
    <w:rsid w:val="00C0148F"/>
    <w:rsid w:val="00C015F6"/>
    <w:rsid w:val="00C01C60"/>
    <w:rsid w:val="00C02C4A"/>
    <w:rsid w:val="00C02E08"/>
    <w:rsid w:val="00C02FCD"/>
    <w:rsid w:val="00C03587"/>
    <w:rsid w:val="00C0363A"/>
    <w:rsid w:val="00C03C80"/>
    <w:rsid w:val="00C03D4E"/>
    <w:rsid w:val="00C03F1A"/>
    <w:rsid w:val="00C04057"/>
    <w:rsid w:val="00C04315"/>
    <w:rsid w:val="00C051C1"/>
    <w:rsid w:val="00C0585F"/>
    <w:rsid w:val="00C05949"/>
    <w:rsid w:val="00C05AD7"/>
    <w:rsid w:val="00C05CCD"/>
    <w:rsid w:val="00C05CE8"/>
    <w:rsid w:val="00C05DB2"/>
    <w:rsid w:val="00C067B3"/>
    <w:rsid w:val="00C06E17"/>
    <w:rsid w:val="00C06F01"/>
    <w:rsid w:val="00C0702D"/>
    <w:rsid w:val="00C071B5"/>
    <w:rsid w:val="00C079A6"/>
    <w:rsid w:val="00C10675"/>
    <w:rsid w:val="00C106BD"/>
    <w:rsid w:val="00C116BB"/>
    <w:rsid w:val="00C11845"/>
    <w:rsid w:val="00C12104"/>
    <w:rsid w:val="00C13374"/>
    <w:rsid w:val="00C1341F"/>
    <w:rsid w:val="00C1394E"/>
    <w:rsid w:val="00C13F47"/>
    <w:rsid w:val="00C14395"/>
    <w:rsid w:val="00C14B0E"/>
    <w:rsid w:val="00C154AC"/>
    <w:rsid w:val="00C16A82"/>
    <w:rsid w:val="00C16BA1"/>
    <w:rsid w:val="00C16E96"/>
    <w:rsid w:val="00C16ECB"/>
    <w:rsid w:val="00C1705B"/>
    <w:rsid w:val="00C1707E"/>
    <w:rsid w:val="00C178F8"/>
    <w:rsid w:val="00C209BE"/>
    <w:rsid w:val="00C21613"/>
    <w:rsid w:val="00C219A5"/>
    <w:rsid w:val="00C22071"/>
    <w:rsid w:val="00C226F8"/>
    <w:rsid w:val="00C2275F"/>
    <w:rsid w:val="00C22FEF"/>
    <w:rsid w:val="00C234BC"/>
    <w:rsid w:val="00C234D1"/>
    <w:rsid w:val="00C2353C"/>
    <w:rsid w:val="00C23853"/>
    <w:rsid w:val="00C2395E"/>
    <w:rsid w:val="00C23A6C"/>
    <w:rsid w:val="00C23B88"/>
    <w:rsid w:val="00C248A6"/>
    <w:rsid w:val="00C24A93"/>
    <w:rsid w:val="00C24AF2"/>
    <w:rsid w:val="00C24B51"/>
    <w:rsid w:val="00C24B6E"/>
    <w:rsid w:val="00C24E18"/>
    <w:rsid w:val="00C2587F"/>
    <w:rsid w:val="00C261A4"/>
    <w:rsid w:val="00C267B1"/>
    <w:rsid w:val="00C26DD2"/>
    <w:rsid w:val="00C27F91"/>
    <w:rsid w:val="00C30051"/>
    <w:rsid w:val="00C30114"/>
    <w:rsid w:val="00C30117"/>
    <w:rsid w:val="00C304D2"/>
    <w:rsid w:val="00C31438"/>
    <w:rsid w:val="00C31628"/>
    <w:rsid w:val="00C32BE5"/>
    <w:rsid w:val="00C32F2C"/>
    <w:rsid w:val="00C3411A"/>
    <w:rsid w:val="00C342F9"/>
    <w:rsid w:val="00C34D18"/>
    <w:rsid w:val="00C35AC8"/>
    <w:rsid w:val="00C36251"/>
    <w:rsid w:val="00C36E1A"/>
    <w:rsid w:val="00C37035"/>
    <w:rsid w:val="00C376E1"/>
    <w:rsid w:val="00C37C98"/>
    <w:rsid w:val="00C37F0B"/>
    <w:rsid w:val="00C40367"/>
    <w:rsid w:val="00C40C4A"/>
    <w:rsid w:val="00C40E44"/>
    <w:rsid w:val="00C4102C"/>
    <w:rsid w:val="00C411E8"/>
    <w:rsid w:val="00C416FF"/>
    <w:rsid w:val="00C41A72"/>
    <w:rsid w:val="00C41FFB"/>
    <w:rsid w:val="00C42160"/>
    <w:rsid w:val="00C422E2"/>
    <w:rsid w:val="00C42876"/>
    <w:rsid w:val="00C43051"/>
    <w:rsid w:val="00C4341B"/>
    <w:rsid w:val="00C4383E"/>
    <w:rsid w:val="00C43A97"/>
    <w:rsid w:val="00C4408D"/>
    <w:rsid w:val="00C44878"/>
    <w:rsid w:val="00C45083"/>
    <w:rsid w:val="00C4520A"/>
    <w:rsid w:val="00C45714"/>
    <w:rsid w:val="00C4613C"/>
    <w:rsid w:val="00C466C6"/>
    <w:rsid w:val="00C46B36"/>
    <w:rsid w:val="00C474CB"/>
    <w:rsid w:val="00C47A66"/>
    <w:rsid w:val="00C50149"/>
    <w:rsid w:val="00C50B85"/>
    <w:rsid w:val="00C50DA1"/>
    <w:rsid w:val="00C51004"/>
    <w:rsid w:val="00C518B4"/>
    <w:rsid w:val="00C52517"/>
    <w:rsid w:val="00C526AD"/>
    <w:rsid w:val="00C529B9"/>
    <w:rsid w:val="00C53D90"/>
    <w:rsid w:val="00C54332"/>
    <w:rsid w:val="00C544CA"/>
    <w:rsid w:val="00C54980"/>
    <w:rsid w:val="00C55A58"/>
    <w:rsid w:val="00C56702"/>
    <w:rsid w:val="00C576E0"/>
    <w:rsid w:val="00C5785E"/>
    <w:rsid w:val="00C578F1"/>
    <w:rsid w:val="00C57941"/>
    <w:rsid w:val="00C57B9B"/>
    <w:rsid w:val="00C57C5B"/>
    <w:rsid w:val="00C57E43"/>
    <w:rsid w:val="00C60194"/>
    <w:rsid w:val="00C60601"/>
    <w:rsid w:val="00C60759"/>
    <w:rsid w:val="00C616B7"/>
    <w:rsid w:val="00C6194B"/>
    <w:rsid w:val="00C61FF8"/>
    <w:rsid w:val="00C621CC"/>
    <w:rsid w:val="00C62775"/>
    <w:rsid w:val="00C62B27"/>
    <w:rsid w:val="00C62F1F"/>
    <w:rsid w:val="00C6310F"/>
    <w:rsid w:val="00C6389D"/>
    <w:rsid w:val="00C63BB3"/>
    <w:rsid w:val="00C64376"/>
    <w:rsid w:val="00C64525"/>
    <w:rsid w:val="00C64992"/>
    <w:rsid w:val="00C64D0C"/>
    <w:rsid w:val="00C64DBC"/>
    <w:rsid w:val="00C657BD"/>
    <w:rsid w:val="00C6591B"/>
    <w:rsid w:val="00C65D16"/>
    <w:rsid w:val="00C65DF4"/>
    <w:rsid w:val="00C66E40"/>
    <w:rsid w:val="00C674D7"/>
    <w:rsid w:val="00C67F12"/>
    <w:rsid w:val="00C700A7"/>
    <w:rsid w:val="00C700D9"/>
    <w:rsid w:val="00C7198C"/>
    <w:rsid w:val="00C71C0F"/>
    <w:rsid w:val="00C72C6C"/>
    <w:rsid w:val="00C73333"/>
    <w:rsid w:val="00C736F3"/>
    <w:rsid w:val="00C73734"/>
    <w:rsid w:val="00C73DE3"/>
    <w:rsid w:val="00C74B06"/>
    <w:rsid w:val="00C756C6"/>
    <w:rsid w:val="00C75C51"/>
    <w:rsid w:val="00C776BB"/>
    <w:rsid w:val="00C77DBA"/>
    <w:rsid w:val="00C80119"/>
    <w:rsid w:val="00C80E0D"/>
    <w:rsid w:val="00C80E7A"/>
    <w:rsid w:val="00C816EB"/>
    <w:rsid w:val="00C81984"/>
    <w:rsid w:val="00C81B61"/>
    <w:rsid w:val="00C826C8"/>
    <w:rsid w:val="00C82C99"/>
    <w:rsid w:val="00C8378E"/>
    <w:rsid w:val="00C83A8F"/>
    <w:rsid w:val="00C83FF2"/>
    <w:rsid w:val="00C8433A"/>
    <w:rsid w:val="00C8456B"/>
    <w:rsid w:val="00C8474D"/>
    <w:rsid w:val="00C8488C"/>
    <w:rsid w:val="00C849F2"/>
    <w:rsid w:val="00C84BB0"/>
    <w:rsid w:val="00C84BFF"/>
    <w:rsid w:val="00C84E2C"/>
    <w:rsid w:val="00C8517A"/>
    <w:rsid w:val="00C855E3"/>
    <w:rsid w:val="00C8570A"/>
    <w:rsid w:val="00C85E09"/>
    <w:rsid w:val="00C8606D"/>
    <w:rsid w:val="00C86AC9"/>
    <w:rsid w:val="00C86B02"/>
    <w:rsid w:val="00C8726E"/>
    <w:rsid w:val="00C872E8"/>
    <w:rsid w:val="00C90147"/>
    <w:rsid w:val="00C90E70"/>
    <w:rsid w:val="00C9109B"/>
    <w:rsid w:val="00C91185"/>
    <w:rsid w:val="00C9153C"/>
    <w:rsid w:val="00C9270F"/>
    <w:rsid w:val="00C927E8"/>
    <w:rsid w:val="00C92A32"/>
    <w:rsid w:val="00C92D0E"/>
    <w:rsid w:val="00C93253"/>
    <w:rsid w:val="00C9346D"/>
    <w:rsid w:val="00C93860"/>
    <w:rsid w:val="00C938D3"/>
    <w:rsid w:val="00C93CE2"/>
    <w:rsid w:val="00C94383"/>
    <w:rsid w:val="00C946BC"/>
    <w:rsid w:val="00C94A74"/>
    <w:rsid w:val="00C952EE"/>
    <w:rsid w:val="00C95401"/>
    <w:rsid w:val="00C954AA"/>
    <w:rsid w:val="00C96934"/>
    <w:rsid w:val="00C96B91"/>
    <w:rsid w:val="00C97781"/>
    <w:rsid w:val="00C97F49"/>
    <w:rsid w:val="00CA09D0"/>
    <w:rsid w:val="00CA0FD6"/>
    <w:rsid w:val="00CA1E18"/>
    <w:rsid w:val="00CA31F3"/>
    <w:rsid w:val="00CA33DB"/>
    <w:rsid w:val="00CA38CB"/>
    <w:rsid w:val="00CA4738"/>
    <w:rsid w:val="00CA59D9"/>
    <w:rsid w:val="00CA6436"/>
    <w:rsid w:val="00CA6599"/>
    <w:rsid w:val="00CA69E4"/>
    <w:rsid w:val="00CA7037"/>
    <w:rsid w:val="00CA7772"/>
    <w:rsid w:val="00CB00AA"/>
    <w:rsid w:val="00CB034B"/>
    <w:rsid w:val="00CB03CF"/>
    <w:rsid w:val="00CB0916"/>
    <w:rsid w:val="00CB0E92"/>
    <w:rsid w:val="00CB0F5F"/>
    <w:rsid w:val="00CB11D0"/>
    <w:rsid w:val="00CB222A"/>
    <w:rsid w:val="00CB2567"/>
    <w:rsid w:val="00CB2D14"/>
    <w:rsid w:val="00CB2F2A"/>
    <w:rsid w:val="00CB3187"/>
    <w:rsid w:val="00CB35DB"/>
    <w:rsid w:val="00CB3608"/>
    <w:rsid w:val="00CB37E3"/>
    <w:rsid w:val="00CB37F3"/>
    <w:rsid w:val="00CB3C4F"/>
    <w:rsid w:val="00CB4371"/>
    <w:rsid w:val="00CB4843"/>
    <w:rsid w:val="00CB506C"/>
    <w:rsid w:val="00CB51B0"/>
    <w:rsid w:val="00CB5648"/>
    <w:rsid w:val="00CB6342"/>
    <w:rsid w:val="00CB6756"/>
    <w:rsid w:val="00CB7C5B"/>
    <w:rsid w:val="00CC0401"/>
    <w:rsid w:val="00CC0A9E"/>
    <w:rsid w:val="00CC1415"/>
    <w:rsid w:val="00CC1702"/>
    <w:rsid w:val="00CC2073"/>
    <w:rsid w:val="00CC2117"/>
    <w:rsid w:val="00CC24C3"/>
    <w:rsid w:val="00CC2709"/>
    <w:rsid w:val="00CC2B9D"/>
    <w:rsid w:val="00CC3004"/>
    <w:rsid w:val="00CC32D2"/>
    <w:rsid w:val="00CC4299"/>
    <w:rsid w:val="00CC4A6F"/>
    <w:rsid w:val="00CC4D7C"/>
    <w:rsid w:val="00CC4E48"/>
    <w:rsid w:val="00CC4F97"/>
    <w:rsid w:val="00CC55DC"/>
    <w:rsid w:val="00CC5D29"/>
    <w:rsid w:val="00CC6BCC"/>
    <w:rsid w:val="00CC6EED"/>
    <w:rsid w:val="00CD00BE"/>
    <w:rsid w:val="00CD0151"/>
    <w:rsid w:val="00CD02A8"/>
    <w:rsid w:val="00CD0382"/>
    <w:rsid w:val="00CD06E9"/>
    <w:rsid w:val="00CD07CA"/>
    <w:rsid w:val="00CD0C6F"/>
    <w:rsid w:val="00CD1400"/>
    <w:rsid w:val="00CD148D"/>
    <w:rsid w:val="00CD1704"/>
    <w:rsid w:val="00CD1CB2"/>
    <w:rsid w:val="00CD1CF0"/>
    <w:rsid w:val="00CD2126"/>
    <w:rsid w:val="00CD365F"/>
    <w:rsid w:val="00CD3D06"/>
    <w:rsid w:val="00CD45A6"/>
    <w:rsid w:val="00CD4A81"/>
    <w:rsid w:val="00CD503A"/>
    <w:rsid w:val="00CD5263"/>
    <w:rsid w:val="00CD60C9"/>
    <w:rsid w:val="00CD6136"/>
    <w:rsid w:val="00CD61FB"/>
    <w:rsid w:val="00CD6F58"/>
    <w:rsid w:val="00CD7A9A"/>
    <w:rsid w:val="00CD7F16"/>
    <w:rsid w:val="00CE0ECF"/>
    <w:rsid w:val="00CE1095"/>
    <w:rsid w:val="00CE16E8"/>
    <w:rsid w:val="00CE1979"/>
    <w:rsid w:val="00CE1CE8"/>
    <w:rsid w:val="00CE1D6F"/>
    <w:rsid w:val="00CE2626"/>
    <w:rsid w:val="00CE344D"/>
    <w:rsid w:val="00CE4964"/>
    <w:rsid w:val="00CE49D4"/>
    <w:rsid w:val="00CE4DA3"/>
    <w:rsid w:val="00CE4E75"/>
    <w:rsid w:val="00CE51B6"/>
    <w:rsid w:val="00CE5CFC"/>
    <w:rsid w:val="00CE698A"/>
    <w:rsid w:val="00CE6ADD"/>
    <w:rsid w:val="00CE74AC"/>
    <w:rsid w:val="00CE753E"/>
    <w:rsid w:val="00CE75F0"/>
    <w:rsid w:val="00CE7710"/>
    <w:rsid w:val="00CE797F"/>
    <w:rsid w:val="00CF02C5"/>
    <w:rsid w:val="00CF0AF4"/>
    <w:rsid w:val="00CF0C2C"/>
    <w:rsid w:val="00CF0DC5"/>
    <w:rsid w:val="00CF107D"/>
    <w:rsid w:val="00CF11C0"/>
    <w:rsid w:val="00CF1245"/>
    <w:rsid w:val="00CF183E"/>
    <w:rsid w:val="00CF1DD5"/>
    <w:rsid w:val="00CF1E34"/>
    <w:rsid w:val="00CF1F0A"/>
    <w:rsid w:val="00CF24B6"/>
    <w:rsid w:val="00CF2510"/>
    <w:rsid w:val="00CF2716"/>
    <w:rsid w:val="00CF27CC"/>
    <w:rsid w:val="00CF27D8"/>
    <w:rsid w:val="00CF29F8"/>
    <w:rsid w:val="00CF37E1"/>
    <w:rsid w:val="00CF3E4F"/>
    <w:rsid w:val="00CF4E77"/>
    <w:rsid w:val="00CF5156"/>
    <w:rsid w:val="00CF597E"/>
    <w:rsid w:val="00CF5D06"/>
    <w:rsid w:val="00CF66DE"/>
    <w:rsid w:val="00CF67A8"/>
    <w:rsid w:val="00CF6AA2"/>
    <w:rsid w:val="00CF6C20"/>
    <w:rsid w:val="00CF726E"/>
    <w:rsid w:val="00CF7EEA"/>
    <w:rsid w:val="00D00684"/>
    <w:rsid w:val="00D009E4"/>
    <w:rsid w:val="00D00B8F"/>
    <w:rsid w:val="00D0101C"/>
    <w:rsid w:val="00D01059"/>
    <w:rsid w:val="00D011EB"/>
    <w:rsid w:val="00D01F0E"/>
    <w:rsid w:val="00D0223F"/>
    <w:rsid w:val="00D02462"/>
    <w:rsid w:val="00D024AA"/>
    <w:rsid w:val="00D02580"/>
    <w:rsid w:val="00D027C6"/>
    <w:rsid w:val="00D02EFE"/>
    <w:rsid w:val="00D031AF"/>
    <w:rsid w:val="00D03BB9"/>
    <w:rsid w:val="00D04175"/>
    <w:rsid w:val="00D042CE"/>
    <w:rsid w:val="00D04358"/>
    <w:rsid w:val="00D043A0"/>
    <w:rsid w:val="00D046C4"/>
    <w:rsid w:val="00D04BEB"/>
    <w:rsid w:val="00D0503E"/>
    <w:rsid w:val="00D05236"/>
    <w:rsid w:val="00D055A0"/>
    <w:rsid w:val="00D06105"/>
    <w:rsid w:val="00D0640B"/>
    <w:rsid w:val="00D066F1"/>
    <w:rsid w:val="00D06710"/>
    <w:rsid w:val="00D069B4"/>
    <w:rsid w:val="00D10070"/>
    <w:rsid w:val="00D1078F"/>
    <w:rsid w:val="00D1095F"/>
    <w:rsid w:val="00D10E1D"/>
    <w:rsid w:val="00D114A1"/>
    <w:rsid w:val="00D12093"/>
    <w:rsid w:val="00D123A4"/>
    <w:rsid w:val="00D123E2"/>
    <w:rsid w:val="00D126AD"/>
    <w:rsid w:val="00D13292"/>
    <w:rsid w:val="00D135B3"/>
    <w:rsid w:val="00D13FEF"/>
    <w:rsid w:val="00D1424B"/>
    <w:rsid w:val="00D142C0"/>
    <w:rsid w:val="00D14461"/>
    <w:rsid w:val="00D1488F"/>
    <w:rsid w:val="00D1505F"/>
    <w:rsid w:val="00D15555"/>
    <w:rsid w:val="00D1567C"/>
    <w:rsid w:val="00D15768"/>
    <w:rsid w:val="00D15A3C"/>
    <w:rsid w:val="00D1641A"/>
    <w:rsid w:val="00D16495"/>
    <w:rsid w:val="00D165B3"/>
    <w:rsid w:val="00D16898"/>
    <w:rsid w:val="00D16991"/>
    <w:rsid w:val="00D16C30"/>
    <w:rsid w:val="00D16D19"/>
    <w:rsid w:val="00D16EB5"/>
    <w:rsid w:val="00D17272"/>
    <w:rsid w:val="00D179FB"/>
    <w:rsid w:val="00D17B0E"/>
    <w:rsid w:val="00D17B68"/>
    <w:rsid w:val="00D20016"/>
    <w:rsid w:val="00D21048"/>
    <w:rsid w:val="00D216AE"/>
    <w:rsid w:val="00D21755"/>
    <w:rsid w:val="00D21A48"/>
    <w:rsid w:val="00D21B0C"/>
    <w:rsid w:val="00D21BCF"/>
    <w:rsid w:val="00D2223B"/>
    <w:rsid w:val="00D22805"/>
    <w:rsid w:val="00D22A7F"/>
    <w:rsid w:val="00D234E5"/>
    <w:rsid w:val="00D23BF5"/>
    <w:rsid w:val="00D23DD5"/>
    <w:rsid w:val="00D246DC"/>
    <w:rsid w:val="00D24EE3"/>
    <w:rsid w:val="00D24FEC"/>
    <w:rsid w:val="00D25393"/>
    <w:rsid w:val="00D2542B"/>
    <w:rsid w:val="00D25A71"/>
    <w:rsid w:val="00D260A8"/>
    <w:rsid w:val="00D26585"/>
    <w:rsid w:val="00D26718"/>
    <w:rsid w:val="00D268E4"/>
    <w:rsid w:val="00D26A39"/>
    <w:rsid w:val="00D26CFE"/>
    <w:rsid w:val="00D26E58"/>
    <w:rsid w:val="00D27398"/>
    <w:rsid w:val="00D27883"/>
    <w:rsid w:val="00D27E98"/>
    <w:rsid w:val="00D27FDA"/>
    <w:rsid w:val="00D308E7"/>
    <w:rsid w:val="00D31BD3"/>
    <w:rsid w:val="00D31D33"/>
    <w:rsid w:val="00D31FED"/>
    <w:rsid w:val="00D32000"/>
    <w:rsid w:val="00D330BE"/>
    <w:rsid w:val="00D33506"/>
    <w:rsid w:val="00D33871"/>
    <w:rsid w:val="00D33956"/>
    <w:rsid w:val="00D33FC9"/>
    <w:rsid w:val="00D348C4"/>
    <w:rsid w:val="00D35471"/>
    <w:rsid w:val="00D3590D"/>
    <w:rsid w:val="00D35D53"/>
    <w:rsid w:val="00D360C6"/>
    <w:rsid w:val="00D37321"/>
    <w:rsid w:val="00D377FB"/>
    <w:rsid w:val="00D378BC"/>
    <w:rsid w:val="00D379E3"/>
    <w:rsid w:val="00D37CF0"/>
    <w:rsid w:val="00D37F29"/>
    <w:rsid w:val="00D4002E"/>
    <w:rsid w:val="00D401AE"/>
    <w:rsid w:val="00D40E82"/>
    <w:rsid w:val="00D4156C"/>
    <w:rsid w:val="00D416E5"/>
    <w:rsid w:val="00D41A33"/>
    <w:rsid w:val="00D41BFD"/>
    <w:rsid w:val="00D41FD7"/>
    <w:rsid w:val="00D42DB6"/>
    <w:rsid w:val="00D42F56"/>
    <w:rsid w:val="00D432CD"/>
    <w:rsid w:val="00D43CB9"/>
    <w:rsid w:val="00D442C8"/>
    <w:rsid w:val="00D444D3"/>
    <w:rsid w:val="00D445BF"/>
    <w:rsid w:val="00D44EE8"/>
    <w:rsid w:val="00D45601"/>
    <w:rsid w:val="00D45D02"/>
    <w:rsid w:val="00D45F3A"/>
    <w:rsid w:val="00D470BB"/>
    <w:rsid w:val="00D470BE"/>
    <w:rsid w:val="00D47357"/>
    <w:rsid w:val="00D478BF"/>
    <w:rsid w:val="00D50068"/>
    <w:rsid w:val="00D50625"/>
    <w:rsid w:val="00D50C12"/>
    <w:rsid w:val="00D50C8B"/>
    <w:rsid w:val="00D50D3C"/>
    <w:rsid w:val="00D50FBE"/>
    <w:rsid w:val="00D51407"/>
    <w:rsid w:val="00D51CD6"/>
    <w:rsid w:val="00D51DA3"/>
    <w:rsid w:val="00D52648"/>
    <w:rsid w:val="00D526A7"/>
    <w:rsid w:val="00D5273D"/>
    <w:rsid w:val="00D52B2C"/>
    <w:rsid w:val="00D52FED"/>
    <w:rsid w:val="00D53258"/>
    <w:rsid w:val="00D5331F"/>
    <w:rsid w:val="00D53D2A"/>
    <w:rsid w:val="00D53E3B"/>
    <w:rsid w:val="00D547EA"/>
    <w:rsid w:val="00D56868"/>
    <w:rsid w:val="00D568F2"/>
    <w:rsid w:val="00D56E66"/>
    <w:rsid w:val="00D574BD"/>
    <w:rsid w:val="00D57D12"/>
    <w:rsid w:val="00D57ED7"/>
    <w:rsid w:val="00D6083B"/>
    <w:rsid w:val="00D61096"/>
    <w:rsid w:val="00D61332"/>
    <w:rsid w:val="00D6150D"/>
    <w:rsid w:val="00D61D75"/>
    <w:rsid w:val="00D6217F"/>
    <w:rsid w:val="00D622AE"/>
    <w:rsid w:val="00D62BCD"/>
    <w:rsid w:val="00D6316A"/>
    <w:rsid w:val="00D63ABE"/>
    <w:rsid w:val="00D63DDD"/>
    <w:rsid w:val="00D63FFD"/>
    <w:rsid w:val="00D64E2B"/>
    <w:rsid w:val="00D64E38"/>
    <w:rsid w:val="00D650FE"/>
    <w:rsid w:val="00D65423"/>
    <w:rsid w:val="00D65791"/>
    <w:rsid w:val="00D65C65"/>
    <w:rsid w:val="00D65E9E"/>
    <w:rsid w:val="00D660FF"/>
    <w:rsid w:val="00D66B5B"/>
    <w:rsid w:val="00D66BCA"/>
    <w:rsid w:val="00D66D29"/>
    <w:rsid w:val="00D66DA3"/>
    <w:rsid w:val="00D70804"/>
    <w:rsid w:val="00D70842"/>
    <w:rsid w:val="00D70CFE"/>
    <w:rsid w:val="00D72EF7"/>
    <w:rsid w:val="00D73752"/>
    <w:rsid w:val="00D73A6A"/>
    <w:rsid w:val="00D73E1B"/>
    <w:rsid w:val="00D7406E"/>
    <w:rsid w:val="00D741C9"/>
    <w:rsid w:val="00D7420F"/>
    <w:rsid w:val="00D74331"/>
    <w:rsid w:val="00D7440B"/>
    <w:rsid w:val="00D7495A"/>
    <w:rsid w:val="00D74F24"/>
    <w:rsid w:val="00D75099"/>
    <w:rsid w:val="00D757B2"/>
    <w:rsid w:val="00D7585C"/>
    <w:rsid w:val="00D75920"/>
    <w:rsid w:val="00D75B0C"/>
    <w:rsid w:val="00D75CD6"/>
    <w:rsid w:val="00D76043"/>
    <w:rsid w:val="00D7666F"/>
    <w:rsid w:val="00D76F10"/>
    <w:rsid w:val="00D77B7C"/>
    <w:rsid w:val="00D77D2F"/>
    <w:rsid w:val="00D801C2"/>
    <w:rsid w:val="00D80B4A"/>
    <w:rsid w:val="00D80B7C"/>
    <w:rsid w:val="00D80D7E"/>
    <w:rsid w:val="00D80E39"/>
    <w:rsid w:val="00D80FC5"/>
    <w:rsid w:val="00D81870"/>
    <w:rsid w:val="00D823E7"/>
    <w:rsid w:val="00D824E2"/>
    <w:rsid w:val="00D83631"/>
    <w:rsid w:val="00D83906"/>
    <w:rsid w:val="00D83BC2"/>
    <w:rsid w:val="00D846E8"/>
    <w:rsid w:val="00D8489C"/>
    <w:rsid w:val="00D84FF6"/>
    <w:rsid w:val="00D851DD"/>
    <w:rsid w:val="00D8521E"/>
    <w:rsid w:val="00D8548D"/>
    <w:rsid w:val="00D85601"/>
    <w:rsid w:val="00D8568A"/>
    <w:rsid w:val="00D85C7B"/>
    <w:rsid w:val="00D86627"/>
    <w:rsid w:val="00D866ED"/>
    <w:rsid w:val="00D8696B"/>
    <w:rsid w:val="00D86A64"/>
    <w:rsid w:val="00D86CDC"/>
    <w:rsid w:val="00D86E1A"/>
    <w:rsid w:val="00D87B9C"/>
    <w:rsid w:val="00D87C7A"/>
    <w:rsid w:val="00D87D90"/>
    <w:rsid w:val="00D90650"/>
    <w:rsid w:val="00D9075B"/>
    <w:rsid w:val="00D90E3F"/>
    <w:rsid w:val="00D91059"/>
    <w:rsid w:val="00D913B3"/>
    <w:rsid w:val="00D92B11"/>
    <w:rsid w:val="00D92F18"/>
    <w:rsid w:val="00D9387F"/>
    <w:rsid w:val="00D93A8C"/>
    <w:rsid w:val="00D93E55"/>
    <w:rsid w:val="00D93FCF"/>
    <w:rsid w:val="00D9423C"/>
    <w:rsid w:val="00D94458"/>
    <w:rsid w:val="00D95870"/>
    <w:rsid w:val="00D96F21"/>
    <w:rsid w:val="00D9726D"/>
    <w:rsid w:val="00D975B5"/>
    <w:rsid w:val="00D97806"/>
    <w:rsid w:val="00D97D89"/>
    <w:rsid w:val="00DA0864"/>
    <w:rsid w:val="00DA0A1C"/>
    <w:rsid w:val="00DA1091"/>
    <w:rsid w:val="00DA162E"/>
    <w:rsid w:val="00DA2119"/>
    <w:rsid w:val="00DA2363"/>
    <w:rsid w:val="00DA26F8"/>
    <w:rsid w:val="00DA2705"/>
    <w:rsid w:val="00DA2747"/>
    <w:rsid w:val="00DA3402"/>
    <w:rsid w:val="00DA347B"/>
    <w:rsid w:val="00DA3EF3"/>
    <w:rsid w:val="00DA4637"/>
    <w:rsid w:val="00DA49D1"/>
    <w:rsid w:val="00DA4BE2"/>
    <w:rsid w:val="00DA4CD5"/>
    <w:rsid w:val="00DA5A0B"/>
    <w:rsid w:val="00DA5D9A"/>
    <w:rsid w:val="00DA5E39"/>
    <w:rsid w:val="00DA5E54"/>
    <w:rsid w:val="00DA631C"/>
    <w:rsid w:val="00DA6412"/>
    <w:rsid w:val="00DA647E"/>
    <w:rsid w:val="00DA725A"/>
    <w:rsid w:val="00DA7A14"/>
    <w:rsid w:val="00DA7C08"/>
    <w:rsid w:val="00DB0E19"/>
    <w:rsid w:val="00DB14F0"/>
    <w:rsid w:val="00DB1555"/>
    <w:rsid w:val="00DB1EBA"/>
    <w:rsid w:val="00DB20F1"/>
    <w:rsid w:val="00DB26FE"/>
    <w:rsid w:val="00DB2B85"/>
    <w:rsid w:val="00DB3071"/>
    <w:rsid w:val="00DB403C"/>
    <w:rsid w:val="00DB497D"/>
    <w:rsid w:val="00DB4A64"/>
    <w:rsid w:val="00DB4E65"/>
    <w:rsid w:val="00DB529E"/>
    <w:rsid w:val="00DB55B0"/>
    <w:rsid w:val="00DB59B4"/>
    <w:rsid w:val="00DB68A1"/>
    <w:rsid w:val="00DB6A1B"/>
    <w:rsid w:val="00DB6F18"/>
    <w:rsid w:val="00DB727D"/>
    <w:rsid w:val="00DB7584"/>
    <w:rsid w:val="00DB79E8"/>
    <w:rsid w:val="00DB7CC0"/>
    <w:rsid w:val="00DC01C8"/>
    <w:rsid w:val="00DC02D9"/>
    <w:rsid w:val="00DC0ACF"/>
    <w:rsid w:val="00DC0BC8"/>
    <w:rsid w:val="00DC1758"/>
    <w:rsid w:val="00DC1B09"/>
    <w:rsid w:val="00DC25EB"/>
    <w:rsid w:val="00DC263A"/>
    <w:rsid w:val="00DC281A"/>
    <w:rsid w:val="00DC3054"/>
    <w:rsid w:val="00DC30EB"/>
    <w:rsid w:val="00DC3104"/>
    <w:rsid w:val="00DC32F5"/>
    <w:rsid w:val="00DC34A4"/>
    <w:rsid w:val="00DC3809"/>
    <w:rsid w:val="00DC3BDE"/>
    <w:rsid w:val="00DC3E84"/>
    <w:rsid w:val="00DC3EE6"/>
    <w:rsid w:val="00DC4FA6"/>
    <w:rsid w:val="00DC5BB2"/>
    <w:rsid w:val="00DC64B3"/>
    <w:rsid w:val="00DC663A"/>
    <w:rsid w:val="00DC6D16"/>
    <w:rsid w:val="00DC740D"/>
    <w:rsid w:val="00DC798A"/>
    <w:rsid w:val="00DC7A4C"/>
    <w:rsid w:val="00DD0531"/>
    <w:rsid w:val="00DD0802"/>
    <w:rsid w:val="00DD0A57"/>
    <w:rsid w:val="00DD111D"/>
    <w:rsid w:val="00DD118E"/>
    <w:rsid w:val="00DD1852"/>
    <w:rsid w:val="00DD1A21"/>
    <w:rsid w:val="00DD1FBA"/>
    <w:rsid w:val="00DD2477"/>
    <w:rsid w:val="00DD283E"/>
    <w:rsid w:val="00DD30E6"/>
    <w:rsid w:val="00DD38C4"/>
    <w:rsid w:val="00DD3943"/>
    <w:rsid w:val="00DD3B8D"/>
    <w:rsid w:val="00DD42AE"/>
    <w:rsid w:val="00DD45CF"/>
    <w:rsid w:val="00DD4C31"/>
    <w:rsid w:val="00DD4D39"/>
    <w:rsid w:val="00DD51D9"/>
    <w:rsid w:val="00DD55B9"/>
    <w:rsid w:val="00DD5D80"/>
    <w:rsid w:val="00DD5D98"/>
    <w:rsid w:val="00DD619D"/>
    <w:rsid w:val="00DD61EF"/>
    <w:rsid w:val="00DD66BD"/>
    <w:rsid w:val="00DD6DEF"/>
    <w:rsid w:val="00DD729A"/>
    <w:rsid w:val="00DD76F2"/>
    <w:rsid w:val="00DD7839"/>
    <w:rsid w:val="00DD7DA1"/>
    <w:rsid w:val="00DD7DC9"/>
    <w:rsid w:val="00DD7E43"/>
    <w:rsid w:val="00DE010A"/>
    <w:rsid w:val="00DE0677"/>
    <w:rsid w:val="00DE09A8"/>
    <w:rsid w:val="00DE0BE3"/>
    <w:rsid w:val="00DE114F"/>
    <w:rsid w:val="00DE155F"/>
    <w:rsid w:val="00DE167D"/>
    <w:rsid w:val="00DE1B60"/>
    <w:rsid w:val="00DE2D31"/>
    <w:rsid w:val="00DE3A8F"/>
    <w:rsid w:val="00DE3CB6"/>
    <w:rsid w:val="00DE4176"/>
    <w:rsid w:val="00DE47FD"/>
    <w:rsid w:val="00DE4AE6"/>
    <w:rsid w:val="00DE4CD3"/>
    <w:rsid w:val="00DE4D3B"/>
    <w:rsid w:val="00DE4E45"/>
    <w:rsid w:val="00DE51A3"/>
    <w:rsid w:val="00DE5520"/>
    <w:rsid w:val="00DE5848"/>
    <w:rsid w:val="00DE59B0"/>
    <w:rsid w:val="00DE5E3D"/>
    <w:rsid w:val="00DE60B0"/>
    <w:rsid w:val="00DE6CA0"/>
    <w:rsid w:val="00DE6F9A"/>
    <w:rsid w:val="00DE7185"/>
    <w:rsid w:val="00DE775B"/>
    <w:rsid w:val="00DE7F2E"/>
    <w:rsid w:val="00DF0697"/>
    <w:rsid w:val="00DF070D"/>
    <w:rsid w:val="00DF0978"/>
    <w:rsid w:val="00DF0B2E"/>
    <w:rsid w:val="00DF0CF1"/>
    <w:rsid w:val="00DF0F86"/>
    <w:rsid w:val="00DF13D2"/>
    <w:rsid w:val="00DF1487"/>
    <w:rsid w:val="00DF1640"/>
    <w:rsid w:val="00DF1F76"/>
    <w:rsid w:val="00DF2241"/>
    <w:rsid w:val="00DF2AF0"/>
    <w:rsid w:val="00DF3A1D"/>
    <w:rsid w:val="00DF3AC8"/>
    <w:rsid w:val="00DF47AD"/>
    <w:rsid w:val="00DF4B31"/>
    <w:rsid w:val="00DF4F39"/>
    <w:rsid w:val="00DF51A5"/>
    <w:rsid w:val="00DF5229"/>
    <w:rsid w:val="00DF5A97"/>
    <w:rsid w:val="00DF5F67"/>
    <w:rsid w:val="00DF60BB"/>
    <w:rsid w:val="00DF6384"/>
    <w:rsid w:val="00DF6C66"/>
    <w:rsid w:val="00DF6D1C"/>
    <w:rsid w:val="00DF7218"/>
    <w:rsid w:val="00DF74DB"/>
    <w:rsid w:val="00DF7784"/>
    <w:rsid w:val="00E005A1"/>
    <w:rsid w:val="00E00907"/>
    <w:rsid w:val="00E00E6F"/>
    <w:rsid w:val="00E01264"/>
    <w:rsid w:val="00E01C7B"/>
    <w:rsid w:val="00E01C7D"/>
    <w:rsid w:val="00E01E58"/>
    <w:rsid w:val="00E02326"/>
    <w:rsid w:val="00E02494"/>
    <w:rsid w:val="00E02B26"/>
    <w:rsid w:val="00E03030"/>
    <w:rsid w:val="00E03862"/>
    <w:rsid w:val="00E0429B"/>
    <w:rsid w:val="00E04668"/>
    <w:rsid w:val="00E0579C"/>
    <w:rsid w:val="00E05818"/>
    <w:rsid w:val="00E06B6A"/>
    <w:rsid w:val="00E077C2"/>
    <w:rsid w:val="00E07992"/>
    <w:rsid w:val="00E1124E"/>
    <w:rsid w:val="00E11804"/>
    <w:rsid w:val="00E1234F"/>
    <w:rsid w:val="00E12DF4"/>
    <w:rsid w:val="00E13776"/>
    <w:rsid w:val="00E13D1F"/>
    <w:rsid w:val="00E13D56"/>
    <w:rsid w:val="00E13D62"/>
    <w:rsid w:val="00E1404A"/>
    <w:rsid w:val="00E14304"/>
    <w:rsid w:val="00E149A1"/>
    <w:rsid w:val="00E15173"/>
    <w:rsid w:val="00E1525A"/>
    <w:rsid w:val="00E1571F"/>
    <w:rsid w:val="00E15B04"/>
    <w:rsid w:val="00E160A9"/>
    <w:rsid w:val="00E162C9"/>
    <w:rsid w:val="00E16613"/>
    <w:rsid w:val="00E1666D"/>
    <w:rsid w:val="00E16768"/>
    <w:rsid w:val="00E16CCE"/>
    <w:rsid w:val="00E1738D"/>
    <w:rsid w:val="00E1756A"/>
    <w:rsid w:val="00E17959"/>
    <w:rsid w:val="00E17FBB"/>
    <w:rsid w:val="00E20051"/>
    <w:rsid w:val="00E204C7"/>
    <w:rsid w:val="00E206FF"/>
    <w:rsid w:val="00E207E4"/>
    <w:rsid w:val="00E209BC"/>
    <w:rsid w:val="00E20AA2"/>
    <w:rsid w:val="00E21326"/>
    <w:rsid w:val="00E21B63"/>
    <w:rsid w:val="00E21E74"/>
    <w:rsid w:val="00E221D4"/>
    <w:rsid w:val="00E22B23"/>
    <w:rsid w:val="00E2346E"/>
    <w:rsid w:val="00E23A7E"/>
    <w:rsid w:val="00E2411C"/>
    <w:rsid w:val="00E24A44"/>
    <w:rsid w:val="00E24E71"/>
    <w:rsid w:val="00E25071"/>
    <w:rsid w:val="00E252B5"/>
    <w:rsid w:val="00E256FB"/>
    <w:rsid w:val="00E25AA4"/>
    <w:rsid w:val="00E25B43"/>
    <w:rsid w:val="00E25FA1"/>
    <w:rsid w:val="00E26305"/>
    <w:rsid w:val="00E264CF"/>
    <w:rsid w:val="00E2666E"/>
    <w:rsid w:val="00E266C7"/>
    <w:rsid w:val="00E26755"/>
    <w:rsid w:val="00E269E0"/>
    <w:rsid w:val="00E272D1"/>
    <w:rsid w:val="00E277E4"/>
    <w:rsid w:val="00E277FD"/>
    <w:rsid w:val="00E27B50"/>
    <w:rsid w:val="00E27C20"/>
    <w:rsid w:val="00E3015A"/>
    <w:rsid w:val="00E309CC"/>
    <w:rsid w:val="00E31531"/>
    <w:rsid w:val="00E31677"/>
    <w:rsid w:val="00E31680"/>
    <w:rsid w:val="00E31766"/>
    <w:rsid w:val="00E327D7"/>
    <w:rsid w:val="00E32EE7"/>
    <w:rsid w:val="00E332E9"/>
    <w:rsid w:val="00E3369F"/>
    <w:rsid w:val="00E336A5"/>
    <w:rsid w:val="00E33967"/>
    <w:rsid w:val="00E33CB7"/>
    <w:rsid w:val="00E33E59"/>
    <w:rsid w:val="00E3400C"/>
    <w:rsid w:val="00E349C2"/>
    <w:rsid w:val="00E34ED0"/>
    <w:rsid w:val="00E3518D"/>
    <w:rsid w:val="00E356EE"/>
    <w:rsid w:val="00E36544"/>
    <w:rsid w:val="00E3654F"/>
    <w:rsid w:val="00E36C52"/>
    <w:rsid w:val="00E375FF"/>
    <w:rsid w:val="00E378BB"/>
    <w:rsid w:val="00E40944"/>
    <w:rsid w:val="00E4099E"/>
    <w:rsid w:val="00E4112F"/>
    <w:rsid w:val="00E41803"/>
    <w:rsid w:val="00E41863"/>
    <w:rsid w:val="00E41A72"/>
    <w:rsid w:val="00E41EDD"/>
    <w:rsid w:val="00E41F93"/>
    <w:rsid w:val="00E43150"/>
    <w:rsid w:val="00E43404"/>
    <w:rsid w:val="00E4349B"/>
    <w:rsid w:val="00E438EB"/>
    <w:rsid w:val="00E43965"/>
    <w:rsid w:val="00E43EAB"/>
    <w:rsid w:val="00E441B8"/>
    <w:rsid w:val="00E441C4"/>
    <w:rsid w:val="00E4496F"/>
    <w:rsid w:val="00E449E7"/>
    <w:rsid w:val="00E44D46"/>
    <w:rsid w:val="00E44D6F"/>
    <w:rsid w:val="00E44DC3"/>
    <w:rsid w:val="00E44EF4"/>
    <w:rsid w:val="00E4505C"/>
    <w:rsid w:val="00E45562"/>
    <w:rsid w:val="00E45D33"/>
    <w:rsid w:val="00E45D98"/>
    <w:rsid w:val="00E45E09"/>
    <w:rsid w:val="00E46BDB"/>
    <w:rsid w:val="00E46BEC"/>
    <w:rsid w:val="00E46D6E"/>
    <w:rsid w:val="00E471A0"/>
    <w:rsid w:val="00E475A5"/>
    <w:rsid w:val="00E506B9"/>
    <w:rsid w:val="00E5083B"/>
    <w:rsid w:val="00E50DA8"/>
    <w:rsid w:val="00E50DAE"/>
    <w:rsid w:val="00E51868"/>
    <w:rsid w:val="00E518EB"/>
    <w:rsid w:val="00E51E29"/>
    <w:rsid w:val="00E51FC8"/>
    <w:rsid w:val="00E525A0"/>
    <w:rsid w:val="00E529A0"/>
    <w:rsid w:val="00E52B4D"/>
    <w:rsid w:val="00E53447"/>
    <w:rsid w:val="00E53952"/>
    <w:rsid w:val="00E5397D"/>
    <w:rsid w:val="00E53F62"/>
    <w:rsid w:val="00E540A3"/>
    <w:rsid w:val="00E543CA"/>
    <w:rsid w:val="00E54818"/>
    <w:rsid w:val="00E550B7"/>
    <w:rsid w:val="00E55553"/>
    <w:rsid w:val="00E55895"/>
    <w:rsid w:val="00E55ACF"/>
    <w:rsid w:val="00E55C1C"/>
    <w:rsid w:val="00E5662F"/>
    <w:rsid w:val="00E568E3"/>
    <w:rsid w:val="00E56CEC"/>
    <w:rsid w:val="00E56EBF"/>
    <w:rsid w:val="00E5701E"/>
    <w:rsid w:val="00E60304"/>
    <w:rsid w:val="00E60635"/>
    <w:rsid w:val="00E6080F"/>
    <w:rsid w:val="00E60991"/>
    <w:rsid w:val="00E60CC7"/>
    <w:rsid w:val="00E6136C"/>
    <w:rsid w:val="00E61AB3"/>
    <w:rsid w:val="00E61D26"/>
    <w:rsid w:val="00E62295"/>
    <w:rsid w:val="00E62EE4"/>
    <w:rsid w:val="00E636BA"/>
    <w:rsid w:val="00E63B82"/>
    <w:rsid w:val="00E63C0D"/>
    <w:rsid w:val="00E64201"/>
    <w:rsid w:val="00E64568"/>
    <w:rsid w:val="00E64C64"/>
    <w:rsid w:val="00E653F4"/>
    <w:rsid w:val="00E6691F"/>
    <w:rsid w:val="00E66D4A"/>
    <w:rsid w:val="00E66F03"/>
    <w:rsid w:val="00E672E9"/>
    <w:rsid w:val="00E67354"/>
    <w:rsid w:val="00E678E6"/>
    <w:rsid w:val="00E679A4"/>
    <w:rsid w:val="00E67A97"/>
    <w:rsid w:val="00E67EAE"/>
    <w:rsid w:val="00E70202"/>
    <w:rsid w:val="00E703B7"/>
    <w:rsid w:val="00E711E2"/>
    <w:rsid w:val="00E7129D"/>
    <w:rsid w:val="00E715EF"/>
    <w:rsid w:val="00E71830"/>
    <w:rsid w:val="00E7187B"/>
    <w:rsid w:val="00E7200D"/>
    <w:rsid w:val="00E73214"/>
    <w:rsid w:val="00E73282"/>
    <w:rsid w:val="00E734F8"/>
    <w:rsid w:val="00E73E2E"/>
    <w:rsid w:val="00E73F7D"/>
    <w:rsid w:val="00E74508"/>
    <w:rsid w:val="00E745BD"/>
    <w:rsid w:val="00E745CA"/>
    <w:rsid w:val="00E747A7"/>
    <w:rsid w:val="00E74800"/>
    <w:rsid w:val="00E749D1"/>
    <w:rsid w:val="00E74BDA"/>
    <w:rsid w:val="00E74F74"/>
    <w:rsid w:val="00E75613"/>
    <w:rsid w:val="00E758ED"/>
    <w:rsid w:val="00E75A18"/>
    <w:rsid w:val="00E773B9"/>
    <w:rsid w:val="00E7785E"/>
    <w:rsid w:val="00E800BE"/>
    <w:rsid w:val="00E80246"/>
    <w:rsid w:val="00E80D28"/>
    <w:rsid w:val="00E816C4"/>
    <w:rsid w:val="00E81815"/>
    <w:rsid w:val="00E81AF3"/>
    <w:rsid w:val="00E81DAD"/>
    <w:rsid w:val="00E81DCD"/>
    <w:rsid w:val="00E81F72"/>
    <w:rsid w:val="00E820BF"/>
    <w:rsid w:val="00E824DF"/>
    <w:rsid w:val="00E82BAD"/>
    <w:rsid w:val="00E82FFE"/>
    <w:rsid w:val="00E833DA"/>
    <w:rsid w:val="00E83725"/>
    <w:rsid w:val="00E838C6"/>
    <w:rsid w:val="00E83C3C"/>
    <w:rsid w:val="00E847D1"/>
    <w:rsid w:val="00E847DE"/>
    <w:rsid w:val="00E8482B"/>
    <w:rsid w:val="00E85A4E"/>
    <w:rsid w:val="00E86278"/>
    <w:rsid w:val="00E863D6"/>
    <w:rsid w:val="00E86884"/>
    <w:rsid w:val="00E869A0"/>
    <w:rsid w:val="00E86C4B"/>
    <w:rsid w:val="00E86C8B"/>
    <w:rsid w:val="00E87D90"/>
    <w:rsid w:val="00E87DE0"/>
    <w:rsid w:val="00E87F3E"/>
    <w:rsid w:val="00E90407"/>
    <w:rsid w:val="00E907A9"/>
    <w:rsid w:val="00E90E72"/>
    <w:rsid w:val="00E911C6"/>
    <w:rsid w:val="00E914B4"/>
    <w:rsid w:val="00E91649"/>
    <w:rsid w:val="00E91D9B"/>
    <w:rsid w:val="00E92120"/>
    <w:rsid w:val="00E924AD"/>
    <w:rsid w:val="00E92B58"/>
    <w:rsid w:val="00E92FDC"/>
    <w:rsid w:val="00E9326A"/>
    <w:rsid w:val="00E932DE"/>
    <w:rsid w:val="00E933DA"/>
    <w:rsid w:val="00E93525"/>
    <w:rsid w:val="00E93814"/>
    <w:rsid w:val="00E93A82"/>
    <w:rsid w:val="00E94677"/>
    <w:rsid w:val="00E94877"/>
    <w:rsid w:val="00E95267"/>
    <w:rsid w:val="00E96547"/>
    <w:rsid w:val="00E96C68"/>
    <w:rsid w:val="00E9706B"/>
    <w:rsid w:val="00E97B99"/>
    <w:rsid w:val="00E97DDC"/>
    <w:rsid w:val="00EA01A8"/>
    <w:rsid w:val="00EA1698"/>
    <w:rsid w:val="00EA25B0"/>
    <w:rsid w:val="00EA2743"/>
    <w:rsid w:val="00EA4C5C"/>
    <w:rsid w:val="00EA4F23"/>
    <w:rsid w:val="00EA5026"/>
    <w:rsid w:val="00EA533C"/>
    <w:rsid w:val="00EA54F6"/>
    <w:rsid w:val="00EA57A6"/>
    <w:rsid w:val="00EA6186"/>
    <w:rsid w:val="00EA6566"/>
    <w:rsid w:val="00EA6EBE"/>
    <w:rsid w:val="00EA757D"/>
    <w:rsid w:val="00EA75AE"/>
    <w:rsid w:val="00EA79D9"/>
    <w:rsid w:val="00EB0839"/>
    <w:rsid w:val="00EB18AD"/>
    <w:rsid w:val="00EB2F5D"/>
    <w:rsid w:val="00EB3D30"/>
    <w:rsid w:val="00EB4266"/>
    <w:rsid w:val="00EB4546"/>
    <w:rsid w:val="00EB4A0D"/>
    <w:rsid w:val="00EB4C28"/>
    <w:rsid w:val="00EB4EE6"/>
    <w:rsid w:val="00EB4FBD"/>
    <w:rsid w:val="00EB5196"/>
    <w:rsid w:val="00EB5633"/>
    <w:rsid w:val="00EB5B7D"/>
    <w:rsid w:val="00EB5E9F"/>
    <w:rsid w:val="00EB62F9"/>
    <w:rsid w:val="00EB65CC"/>
    <w:rsid w:val="00EB6C84"/>
    <w:rsid w:val="00EB6FFC"/>
    <w:rsid w:val="00EB76B3"/>
    <w:rsid w:val="00EB7718"/>
    <w:rsid w:val="00EB777D"/>
    <w:rsid w:val="00EB77AC"/>
    <w:rsid w:val="00EB7800"/>
    <w:rsid w:val="00EB782A"/>
    <w:rsid w:val="00EB7D23"/>
    <w:rsid w:val="00EC0459"/>
    <w:rsid w:val="00EC04B3"/>
    <w:rsid w:val="00EC0AAB"/>
    <w:rsid w:val="00EC1131"/>
    <w:rsid w:val="00EC1447"/>
    <w:rsid w:val="00EC150C"/>
    <w:rsid w:val="00EC16B4"/>
    <w:rsid w:val="00EC31F7"/>
    <w:rsid w:val="00EC369F"/>
    <w:rsid w:val="00EC387A"/>
    <w:rsid w:val="00EC3B76"/>
    <w:rsid w:val="00EC51E6"/>
    <w:rsid w:val="00EC6437"/>
    <w:rsid w:val="00EC681D"/>
    <w:rsid w:val="00EC6B1E"/>
    <w:rsid w:val="00EC76D5"/>
    <w:rsid w:val="00ED038C"/>
    <w:rsid w:val="00ED0776"/>
    <w:rsid w:val="00ED081A"/>
    <w:rsid w:val="00ED0C77"/>
    <w:rsid w:val="00ED0F0D"/>
    <w:rsid w:val="00ED14C5"/>
    <w:rsid w:val="00ED1B5D"/>
    <w:rsid w:val="00ED1BB2"/>
    <w:rsid w:val="00ED3E79"/>
    <w:rsid w:val="00ED3F16"/>
    <w:rsid w:val="00ED4753"/>
    <w:rsid w:val="00ED4DF7"/>
    <w:rsid w:val="00ED52B7"/>
    <w:rsid w:val="00ED5A9F"/>
    <w:rsid w:val="00ED5F8E"/>
    <w:rsid w:val="00ED611D"/>
    <w:rsid w:val="00ED7027"/>
    <w:rsid w:val="00ED79AB"/>
    <w:rsid w:val="00EE02A1"/>
    <w:rsid w:val="00EE0931"/>
    <w:rsid w:val="00EE09D0"/>
    <w:rsid w:val="00EE0BD5"/>
    <w:rsid w:val="00EE1AF9"/>
    <w:rsid w:val="00EE1EEF"/>
    <w:rsid w:val="00EE243F"/>
    <w:rsid w:val="00EE2EDA"/>
    <w:rsid w:val="00EE3116"/>
    <w:rsid w:val="00EE4990"/>
    <w:rsid w:val="00EE4B55"/>
    <w:rsid w:val="00EE5386"/>
    <w:rsid w:val="00EE54C8"/>
    <w:rsid w:val="00EE58B0"/>
    <w:rsid w:val="00EE5D6B"/>
    <w:rsid w:val="00EE66D1"/>
    <w:rsid w:val="00EE7271"/>
    <w:rsid w:val="00EE7305"/>
    <w:rsid w:val="00EE78FC"/>
    <w:rsid w:val="00EE7B1E"/>
    <w:rsid w:val="00EE7B34"/>
    <w:rsid w:val="00EE7EDA"/>
    <w:rsid w:val="00EF04D9"/>
    <w:rsid w:val="00EF0727"/>
    <w:rsid w:val="00EF10B0"/>
    <w:rsid w:val="00EF14E8"/>
    <w:rsid w:val="00EF1E97"/>
    <w:rsid w:val="00EF2525"/>
    <w:rsid w:val="00EF2C9A"/>
    <w:rsid w:val="00EF2DA5"/>
    <w:rsid w:val="00EF4290"/>
    <w:rsid w:val="00EF4A55"/>
    <w:rsid w:val="00EF4C98"/>
    <w:rsid w:val="00EF5277"/>
    <w:rsid w:val="00EF5D60"/>
    <w:rsid w:val="00EF5DD5"/>
    <w:rsid w:val="00EF6054"/>
    <w:rsid w:val="00EF651F"/>
    <w:rsid w:val="00EF65DD"/>
    <w:rsid w:val="00EF6705"/>
    <w:rsid w:val="00EF69AA"/>
    <w:rsid w:val="00EF746A"/>
    <w:rsid w:val="00EF7864"/>
    <w:rsid w:val="00EF7C4A"/>
    <w:rsid w:val="00EF7F11"/>
    <w:rsid w:val="00F003D7"/>
    <w:rsid w:val="00F004E6"/>
    <w:rsid w:val="00F00CE8"/>
    <w:rsid w:val="00F014B3"/>
    <w:rsid w:val="00F01AFE"/>
    <w:rsid w:val="00F01F7C"/>
    <w:rsid w:val="00F02130"/>
    <w:rsid w:val="00F0238C"/>
    <w:rsid w:val="00F02534"/>
    <w:rsid w:val="00F028C9"/>
    <w:rsid w:val="00F02F15"/>
    <w:rsid w:val="00F02F6A"/>
    <w:rsid w:val="00F0350A"/>
    <w:rsid w:val="00F0381D"/>
    <w:rsid w:val="00F03A50"/>
    <w:rsid w:val="00F03AB8"/>
    <w:rsid w:val="00F03E03"/>
    <w:rsid w:val="00F03F6E"/>
    <w:rsid w:val="00F04052"/>
    <w:rsid w:val="00F041C8"/>
    <w:rsid w:val="00F05565"/>
    <w:rsid w:val="00F05B4F"/>
    <w:rsid w:val="00F061A8"/>
    <w:rsid w:val="00F06F27"/>
    <w:rsid w:val="00F07A6D"/>
    <w:rsid w:val="00F07E44"/>
    <w:rsid w:val="00F1027D"/>
    <w:rsid w:val="00F105CC"/>
    <w:rsid w:val="00F108EA"/>
    <w:rsid w:val="00F10C4E"/>
    <w:rsid w:val="00F10D42"/>
    <w:rsid w:val="00F11937"/>
    <w:rsid w:val="00F11997"/>
    <w:rsid w:val="00F11A96"/>
    <w:rsid w:val="00F11E8D"/>
    <w:rsid w:val="00F12089"/>
    <w:rsid w:val="00F120DC"/>
    <w:rsid w:val="00F121DD"/>
    <w:rsid w:val="00F12936"/>
    <w:rsid w:val="00F1294B"/>
    <w:rsid w:val="00F12B2D"/>
    <w:rsid w:val="00F12BA1"/>
    <w:rsid w:val="00F12F24"/>
    <w:rsid w:val="00F132FB"/>
    <w:rsid w:val="00F13BEE"/>
    <w:rsid w:val="00F14AD0"/>
    <w:rsid w:val="00F14BC4"/>
    <w:rsid w:val="00F14CAA"/>
    <w:rsid w:val="00F151EC"/>
    <w:rsid w:val="00F154FC"/>
    <w:rsid w:val="00F1641F"/>
    <w:rsid w:val="00F16A2D"/>
    <w:rsid w:val="00F16B18"/>
    <w:rsid w:val="00F16F61"/>
    <w:rsid w:val="00F177F9"/>
    <w:rsid w:val="00F17DE3"/>
    <w:rsid w:val="00F17E87"/>
    <w:rsid w:val="00F20573"/>
    <w:rsid w:val="00F20BBE"/>
    <w:rsid w:val="00F20E60"/>
    <w:rsid w:val="00F20E96"/>
    <w:rsid w:val="00F21229"/>
    <w:rsid w:val="00F213C4"/>
    <w:rsid w:val="00F21813"/>
    <w:rsid w:val="00F22126"/>
    <w:rsid w:val="00F223D0"/>
    <w:rsid w:val="00F224C8"/>
    <w:rsid w:val="00F22514"/>
    <w:rsid w:val="00F22A69"/>
    <w:rsid w:val="00F22F6D"/>
    <w:rsid w:val="00F2303D"/>
    <w:rsid w:val="00F231A7"/>
    <w:rsid w:val="00F238EE"/>
    <w:rsid w:val="00F23E17"/>
    <w:rsid w:val="00F243A3"/>
    <w:rsid w:val="00F24466"/>
    <w:rsid w:val="00F24537"/>
    <w:rsid w:val="00F252FB"/>
    <w:rsid w:val="00F25AAB"/>
    <w:rsid w:val="00F25BD4"/>
    <w:rsid w:val="00F25DE9"/>
    <w:rsid w:val="00F2618D"/>
    <w:rsid w:val="00F265CB"/>
    <w:rsid w:val="00F27443"/>
    <w:rsid w:val="00F276A2"/>
    <w:rsid w:val="00F27A35"/>
    <w:rsid w:val="00F30C62"/>
    <w:rsid w:val="00F30F23"/>
    <w:rsid w:val="00F313B4"/>
    <w:rsid w:val="00F315B9"/>
    <w:rsid w:val="00F31891"/>
    <w:rsid w:val="00F31ADF"/>
    <w:rsid w:val="00F31CBB"/>
    <w:rsid w:val="00F31D29"/>
    <w:rsid w:val="00F31F2C"/>
    <w:rsid w:val="00F32D62"/>
    <w:rsid w:val="00F339B4"/>
    <w:rsid w:val="00F33B6D"/>
    <w:rsid w:val="00F33C8D"/>
    <w:rsid w:val="00F33F50"/>
    <w:rsid w:val="00F342D2"/>
    <w:rsid w:val="00F34984"/>
    <w:rsid w:val="00F34C42"/>
    <w:rsid w:val="00F36073"/>
    <w:rsid w:val="00F36747"/>
    <w:rsid w:val="00F36911"/>
    <w:rsid w:val="00F36DF3"/>
    <w:rsid w:val="00F371DA"/>
    <w:rsid w:val="00F3722B"/>
    <w:rsid w:val="00F3791F"/>
    <w:rsid w:val="00F37A80"/>
    <w:rsid w:val="00F37DE6"/>
    <w:rsid w:val="00F40B6E"/>
    <w:rsid w:val="00F4161D"/>
    <w:rsid w:val="00F42EF9"/>
    <w:rsid w:val="00F44447"/>
    <w:rsid w:val="00F44A9E"/>
    <w:rsid w:val="00F44D79"/>
    <w:rsid w:val="00F4523A"/>
    <w:rsid w:val="00F46112"/>
    <w:rsid w:val="00F465F0"/>
    <w:rsid w:val="00F4695A"/>
    <w:rsid w:val="00F46FC0"/>
    <w:rsid w:val="00F4789E"/>
    <w:rsid w:val="00F479B7"/>
    <w:rsid w:val="00F50D27"/>
    <w:rsid w:val="00F50E0E"/>
    <w:rsid w:val="00F50EBB"/>
    <w:rsid w:val="00F510B1"/>
    <w:rsid w:val="00F51B9D"/>
    <w:rsid w:val="00F51D44"/>
    <w:rsid w:val="00F51E2C"/>
    <w:rsid w:val="00F52136"/>
    <w:rsid w:val="00F528AE"/>
    <w:rsid w:val="00F52909"/>
    <w:rsid w:val="00F52D23"/>
    <w:rsid w:val="00F52E13"/>
    <w:rsid w:val="00F52F9D"/>
    <w:rsid w:val="00F5309D"/>
    <w:rsid w:val="00F532A8"/>
    <w:rsid w:val="00F53513"/>
    <w:rsid w:val="00F537EB"/>
    <w:rsid w:val="00F5382D"/>
    <w:rsid w:val="00F543F6"/>
    <w:rsid w:val="00F54525"/>
    <w:rsid w:val="00F54747"/>
    <w:rsid w:val="00F54DDB"/>
    <w:rsid w:val="00F563C0"/>
    <w:rsid w:val="00F5680D"/>
    <w:rsid w:val="00F56AA8"/>
    <w:rsid w:val="00F56DA7"/>
    <w:rsid w:val="00F56E75"/>
    <w:rsid w:val="00F56FBC"/>
    <w:rsid w:val="00F57751"/>
    <w:rsid w:val="00F60214"/>
    <w:rsid w:val="00F60899"/>
    <w:rsid w:val="00F60A07"/>
    <w:rsid w:val="00F60B46"/>
    <w:rsid w:val="00F6143A"/>
    <w:rsid w:val="00F61948"/>
    <w:rsid w:val="00F6216F"/>
    <w:rsid w:val="00F6228C"/>
    <w:rsid w:val="00F62360"/>
    <w:rsid w:val="00F62586"/>
    <w:rsid w:val="00F628AC"/>
    <w:rsid w:val="00F6385D"/>
    <w:rsid w:val="00F63DAF"/>
    <w:rsid w:val="00F63F3A"/>
    <w:rsid w:val="00F63FAF"/>
    <w:rsid w:val="00F64478"/>
    <w:rsid w:val="00F64DD6"/>
    <w:rsid w:val="00F65139"/>
    <w:rsid w:val="00F6529E"/>
    <w:rsid w:val="00F6629D"/>
    <w:rsid w:val="00F66606"/>
    <w:rsid w:val="00F668D6"/>
    <w:rsid w:val="00F66D3F"/>
    <w:rsid w:val="00F67125"/>
    <w:rsid w:val="00F6736D"/>
    <w:rsid w:val="00F679D0"/>
    <w:rsid w:val="00F67D37"/>
    <w:rsid w:val="00F70115"/>
    <w:rsid w:val="00F71FB5"/>
    <w:rsid w:val="00F72EEF"/>
    <w:rsid w:val="00F74968"/>
    <w:rsid w:val="00F74B9E"/>
    <w:rsid w:val="00F74D45"/>
    <w:rsid w:val="00F756FF"/>
    <w:rsid w:val="00F768FD"/>
    <w:rsid w:val="00F76BBD"/>
    <w:rsid w:val="00F772C6"/>
    <w:rsid w:val="00F77BAD"/>
    <w:rsid w:val="00F8005A"/>
    <w:rsid w:val="00F81288"/>
    <w:rsid w:val="00F8145D"/>
    <w:rsid w:val="00F81667"/>
    <w:rsid w:val="00F81939"/>
    <w:rsid w:val="00F81A43"/>
    <w:rsid w:val="00F81E37"/>
    <w:rsid w:val="00F82188"/>
    <w:rsid w:val="00F82627"/>
    <w:rsid w:val="00F82BC1"/>
    <w:rsid w:val="00F82CC7"/>
    <w:rsid w:val="00F83062"/>
    <w:rsid w:val="00F847FB"/>
    <w:rsid w:val="00F84B88"/>
    <w:rsid w:val="00F85155"/>
    <w:rsid w:val="00F85157"/>
    <w:rsid w:val="00F851B4"/>
    <w:rsid w:val="00F85533"/>
    <w:rsid w:val="00F85869"/>
    <w:rsid w:val="00F85956"/>
    <w:rsid w:val="00F85A3D"/>
    <w:rsid w:val="00F85A51"/>
    <w:rsid w:val="00F85EFA"/>
    <w:rsid w:val="00F85FBC"/>
    <w:rsid w:val="00F860B2"/>
    <w:rsid w:val="00F863F1"/>
    <w:rsid w:val="00F86849"/>
    <w:rsid w:val="00F86913"/>
    <w:rsid w:val="00F869FA"/>
    <w:rsid w:val="00F86ED1"/>
    <w:rsid w:val="00F87414"/>
    <w:rsid w:val="00F8759F"/>
    <w:rsid w:val="00F87D43"/>
    <w:rsid w:val="00F902CA"/>
    <w:rsid w:val="00F911A6"/>
    <w:rsid w:val="00F912B8"/>
    <w:rsid w:val="00F91A3E"/>
    <w:rsid w:val="00F91D6D"/>
    <w:rsid w:val="00F92786"/>
    <w:rsid w:val="00F92C87"/>
    <w:rsid w:val="00F9329F"/>
    <w:rsid w:val="00F93EF3"/>
    <w:rsid w:val="00F943F2"/>
    <w:rsid w:val="00F946A5"/>
    <w:rsid w:val="00F94A57"/>
    <w:rsid w:val="00F94DE8"/>
    <w:rsid w:val="00F95042"/>
    <w:rsid w:val="00F95065"/>
    <w:rsid w:val="00F95960"/>
    <w:rsid w:val="00F95BFB"/>
    <w:rsid w:val="00F96942"/>
    <w:rsid w:val="00F96E6B"/>
    <w:rsid w:val="00F979BA"/>
    <w:rsid w:val="00F97BA0"/>
    <w:rsid w:val="00F97C9D"/>
    <w:rsid w:val="00F97F3A"/>
    <w:rsid w:val="00FA08CC"/>
    <w:rsid w:val="00FA10AB"/>
    <w:rsid w:val="00FA13D5"/>
    <w:rsid w:val="00FA1991"/>
    <w:rsid w:val="00FA1D32"/>
    <w:rsid w:val="00FA1F13"/>
    <w:rsid w:val="00FA27F6"/>
    <w:rsid w:val="00FA2B1B"/>
    <w:rsid w:val="00FA2D68"/>
    <w:rsid w:val="00FA3147"/>
    <w:rsid w:val="00FA329E"/>
    <w:rsid w:val="00FA33C9"/>
    <w:rsid w:val="00FA399E"/>
    <w:rsid w:val="00FA3B9B"/>
    <w:rsid w:val="00FA3C86"/>
    <w:rsid w:val="00FA447F"/>
    <w:rsid w:val="00FA465D"/>
    <w:rsid w:val="00FA4AB4"/>
    <w:rsid w:val="00FA4DB5"/>
    <w:rsid w:val="00FA547B"/>
    <w:rsid w:val="00FA5ACA"/>
    <w:rsid w:val="00FA60AC"/>
    <w:rsid w:val="00FA60BE"/>
    <w:rsid w:val="00FA60E5"/>
    <w:rsid w:val="00FA648B"/>
    <w:rsid w:val="00FA655D"/>
    <w:rsid w:val="00FA6635"/>
    <w:rsid w:val="00FA6A6D"/>
    <w:rsid w:val="00FA6E10"/>
    <w:rsid w:val="00FA6EAF"/>
    <w:rsid w:val="00FA6EFF"/>
    <w:rsid w:val="00FA70D0"/>
    <w:rsid w:val="00FA712F"/>
    <w:rsid w:val="00FA7301"/>
    <w:rsid w:val="00FB03ED"/>
    <w:rsid w:val="00FB060D"/>
    <w:rsid w:val="00FB0989"/>
    <w:rsid w:val="00FB211B"/>
    <w:rsid w:val="00FB2521"/>
    <w:rsid w:val="00FB267D"/>
    <w:rsid w:val="00FB286B"/>
    <w:rsid w:val="00FB2C04"/>
    <w:rsid w:val="00FB3411"/>
    <w:rsid w:val="00FB4780"/>
    <w:rsid w:val="00FB5E61"/>
    <w:rsid w:val="00FB74AC"/>
    <w:rsid w:val="00FB7D93"/>
    <w:rsid w:val="00FC038C"/>
    <w:rsid w:val="00FC072F"/>
    <w:rsid w:val="00FC0B10"/>
    <w:rsid w:val="00FC1511"/>
    <w:rsid w:val="00FC1783"/>
    <w:rsid w:val="00FC17BD"/>
    <w:rsid w:val="00FC1D3B"/>
    <w:rsid w:val="00FC1E27"/>
    <w:rsid w:val="00FC1EDA"/>
    <w:rsid w:val="00FC28C9"/>
    <w:rsid w:val="00FC2BC8"/>
    <w:rsid w:val="00FC2EBD"/>
    <w:rsid w:val="00FC3278"/>
    <w:rsid w:val="00FC37E6"/>
    <w:rsid w:val="00FC40D3"/>
    <w:rsid w:val="00FC4513"/>
    <w:rsid w:val="00FC4CB1"/>
    <w:rsid w:val="00FC4E2F"/>
    <w:rsid w:val="00FC5A72"/>
    <w:rsid w:val="00FC7465"/>
    <w:rsid w:val="00FD0717"/>
    <w:rsid w:val="00FD0D6A"/>
    <w:rsid w:val="00FD1236"/>
    <w:rsid w:val="00FD13B9"/>
    <w:rsid w:val="00FD184A"/>
    <w:rsid w:val="00FD1CA3"/>
    <w:rsid w:val="00FD291F"/>
    <w:rsid w:val="00FD2DAD"/>
    <w:rsid w:val="00FD31FC"/>
    <w:rsid w:val="00FD3E34"/>
    <w:rsid w:val="00FD3FEE"/>
    <w:rsid w:val="00FD4061"/>
    <w:rsid w:val="00FD4101"/>
    <w:rsid w:val="00FD4858"/>
    <w:rsid w:val="00FD4974"/>
    <w:rsid w:val="00FD4D31"/>
    <w:rsid w:val="00FD4EFA"/>
    <w:rsid w:val="00FD560E"/>
    <w:rsid w:val="00FD5FAD"/>
    <w:rsid w:val="00FD686D"/>
    <w:rsid w:val="00FD6C16"/>
    <w:rsid w:val="00FD72FB"/>
    <w:rsid w:val="00FD790C"/>
    <w:rsid w:val="00FD7E38"/>
    <w:rsid w:val="00FE03E9"/>
    <w:rsid w:val="00FE046C"/>
    <w:rsid w:val="00FE1AC7"/>
    <w:rsid w:val="00FE22E4"/>
    <w:rsid w:val="00FE2AD7"/>
    <w:rsid w:val="00FE2C5D"/>
    <w:rsid w:val="00FE3564"/>
    <w:rsid w:val="00FE4137"/>
    <w:rsid w:val="00FE445F"/>
    <w:rsid w:val="00FE4935"/>
    <w:rsid w:val="00FE5C6D"/>
    <w:rsid w:val="00FE60AB"/>
    <w:rsid w:val="00FE695A"/>
    <w:rsid w:val="00FE6B61"/>
    <w:rsid w:val="00FE6C7B"/>
    <w:rsid w:val="00FE6DB2"/>
    <w:rsid w:val="00FE7301"/>
    <w:rsid w:val="00FE7B64"/>
    <w:rsid w:val="00FF0C0E"/>
    <w:rsid w:val="00FF0DE3"/>
    <w:rsid w:val="00FF0F28"/>
    <w:rsid w:val="00FF11D2"/>
    <w:rsid w:val="00FF11D8"/>
    <w:rsid w:val="00FF18D2"/>
    <w:rsid w:val="00FF19BB"/>
    <w:rsid w:val="00FF19E8"/>
    <w:rsid w:val="00FF1ACE"/>
    <w:rsid w:val="00FF258C"/>
    <w:rsid w:val="00FF3322"/>
    <w:rsid w:val="00FF332D"/>
    <w:rsid w:val="00FF33BF"/>
    <w:rsid w:val="00FF35F3"/>
    <w:rsid w:val="00FF371A"/>
    <w:rsid w:val="00FF3750"/>
    <w:rsid w:val="00FF3E77"/>
    <w:rsid w:val="00FF420C"/>
    <w:rsid w:val="00FF42F4"/>
    <w:rsid w:val="00FF489D"/>
    <w:rsid w:val="00FF4959"/>
    <w:rsid w:val="00FF4CD1"/>
    <w:rsid w:val="00FF5117"/>
    <w:rsid w:val="00FF57D1"/>
    <w:rsid w:val="00FF706F"/>
    <w:rsid w:val="011B6D03"/>
    <w:rsid w:val="01341706"/>
    <w:rsid w:val="01375CAF"/>
    <w:rsid w:val="01542003"/>
    <w:rsid w:val="018504D7"/>
    <w:rsid w:val="019453F3"/>
    <w:rsid w:val="01A968C6"/>
    <w:rsid w:val="01B50179"/>
    <w:rsid w:val="01CC58C1"/>
    <w:rsid w:val="01D06506"/>
    <w:rsid w:val="01D63EE0"/>
    <w:rsid w:val="01DA2028"/>
    <w:rsid w:val="01DC6F4B"/>
    <w:rsid w:val="01EA5E99"/>
    <w:rsid w:val="01EA72E4"/>
    <w:rsid w:val="02521E2E"/>
    <w:rsid w:val="028B18FB"/>
    <w:rsid w:val="02C941D1"/>
    <w:rsid w:val="02E1151B"/>
    <w:rsid w:val="02F011FB"/>
    <w:rsid w:val="03282139"/>
    <w:rsid w:val="033251F3"/>
    <w:rsid w:val="034F0B7A"/>
    <w:rsid w:val="035937A7"/>
    <w:rsid w:val="0370464D"/>
    <w:rsid w:val="0399588E"/>
    <w:rsid w:val="03DE3CAC"/>
    <w:rsid w:val="0416009D"/>
    <w:rsid w:val="04211CBD"/>
    <w:rsid w:val="044B7594"/>
    <w:rsid w:val="046A32F8"/>
    <w:rsid w:val="047C1C47"/>
    <w:rsid w:val="04B5509F"/>
    <w:rsid w:val="04D05CEB"/>
    <w:rsid w:val="04E33F60"/>
    <w:rsid w:val="04E90B5B"/>
    <w:rsid w:val="05467A7C"/>
    <w:rsid w:val="05584D22"/>
    <w:rsid w:val="05766ADD"/>
    <w:rsid w:val="05777F65"/>
    <w:rsid w:val="05BE6C6D"/>
    <w:rsid w:val="05C53531"/>
    <w:rsid w:val="05C673F4"/>
    <w:rsid w:val="05DC0987"/>
    <w:rsid w:val="06113701"/>
    <w:rsid w:val="06357615"/>
    <w:rsid w:val="065B43CD"/>
    <w:rsid w:val="068F6234"/>
    <w:rsid w:val="06913258"/>
    <w:rsid w:val="06924CE1"/>
    <w:rsid w:val="069A3221"/>
    <w:rsid w:val="06A452F3"/>
    <w:rsid w:val="06AD62E4"/>
    <w:rsid w:val="06C726BC"/>
    <w:rsid w:val="06D25D4A"/>
    <w:rsid w:val="071307AC"/>
    <w:rsid w:val="0727020E"/>
    <w:rsid w:val="072A5A53"/>
    <w:rsid w:val="07377956"/>
    <w:rsid w:val="0739007D"/>
    <w:rsid w:val="074B1659"/>
    <w:rsid w:val="07952422"/>
    <w:rsid w:val="079F3753"/>
    <w:rsid w:val="07AD63D6"/>
    <w:rsid w:val="07D90C91"/>
    <w:rsid w:val="07DA52F7"/>
    <w:rsid w:val="07DB718E"/>
    <w:rsid w:val="08162444"/>
    <w:rsid w:val="08292BE9"/>
    <w:rsid w:val="0882654F"/>
    <w:rsid w:val="08955281"/>
    <w:rsid w:val="08AC6127"/>
    <w:rsid w:val="08BD2EC7"/>
    <w:rsid w:val="08C418BE"/>
    <w:rsid w:val="08FA3CDF"/>
    <w:rsid w:val="09077801"/>
    <w:rsid w:val="090F710E"/>
    <w:rsid w:val="092C3A18"/>
    <w:rsid w:val="0959224E"/>
    <w:rsid w:val="096A6746"/>
    <w:rsid w:val="0988401F"/>
    <w:rsid w:val="099B590B"/>
    <w:rsid w:val="09C92D58"/>
    <w:rsid w:val="09DD59B9"/>
    <w:rsid w:val="09E95615"/>
    <w:rsid w:val="09F57A16"/>
    <w:rsid w:val="09F618AF"/>
    <w:rsid w:val="09FB55B8"/>
    <w:rsid w:val="09FF7E17"/>
    <w:rsid w:val="0A042444"/>
    <w:rsid w:val="0A0F696E"/>
    <w:rsid w:val="0A121C94"/>
    <w:rsid w:val="0A171E50"/>
    <w:rsid w:val="0A2647F3"/>
    <w:rsid w:val="0A626A85"/>
    <w:rsid w:val="0A6D0D3A"/>
    <w:rsid w:val="0A820DC8"/>
    <w:rsid w:val="0A993DDB"/>
    <w:rsid w:val="0AC169A9"/>
    <w:rsid w:val="0ACD29C1"/>
    <w:rsid w:val="0B073AE9"/>
    <w:rsid w:val="0B3318E3"/>
    <w:rsid w:val="0B461FA7"/>
    <w:rsid w:val="0B4D3630"/>
    <w:rsid w:val="0BFC559F"/>
    <w:rsid w:val="0C0552EC"/>
    <w:rsid w:val="0C0A5C8E"/>
    <w:rsid w:val="0C185365"/>
    <w:rsid w:val="0C350D43"/>
    <w:rsid w:val="0C432A69"/>
    <w:rsid w:val="0C4905FF"/>
    <w:rsid w:val="0C4C3C90"/>
    <w:rsid w:val="0C514570"/>
    <w:rsid w:val="0C5B016E"/>
    <w:rsid w:val="0C691E05"/>
    <w:rsid w:val="0C7201AC"/>
    <w:rsid w:val="0CA1624D"/>
    <w:rsid w:val="0CB204AD"/>
    <w:rsid w:val="0CC51EAD"/>
    <w:rsid w:val="0CD16169"/>
    <w:rsid w:val="0CD852F6"/>
    <w:rsid w:val="0CED7D1B"/>
    <w:rsid w:val="0D452457"/>
    <w:rsid w:val="0D501777"/>
    <w:rsid w:val="0D510246"/>
    <w:rsid w:val="0D677505"/>
    <w:rsid w:val="0D687D01"/>
    <w:rsid w:val="0D9037B1"/>
    <w:rsid w:val="0DEC600A"/>
    <w:rsid w:val="0E30671B"/>
    <w:rsid w:val="0E6B099B"/>
    <w:rsid w:val="0E6F3E7F"/>
    <w:rsid w:val="0E86297B"/>
    <w:rsid w:val="0EAF4BC3"/>
    <w:rsid w:val="0EC63379"/>
    <w:rsid w:val="0ED17522"/>
    <w:rsid w:val="0ED725D0"/>
    <w:rsid w:val="0EF56A7A"/>
    <w:rsid w:val="0F3D3F7D"/>
    <w:rsid w:val="0F4A2578"/>
    <w:rsid w:val="0F6E49F1"/>
    <w:rsid w:val="0F99704C"/>
    <w:rsid w:val="0FA547BD"/>
    <w:rsid w:val="0FD57ABF"/>
    <w:rsid w:val="0FDD2C2E"/>
    <w:rsid w:val="0FE30BD2"/>
    <w:rsid w:val="0FED0721"/>
    <w:rsid w:val="0FFD50D4"/>
    <w:rsid w:val="0FFE370C"/>
    <w:rsid w:val="10052F11"/>
    <w:rsid w:val="10260EB5"/>
    <w:rsid w:val="10304977"/>
    <w:rsid w:val="103435D2"/>
    <w:rsid w:val="10436811"/>
    <w:rsid w:val="105A6344"/>
    <w:rsid w:val="106B30A8"/>
    <w:rsid w:val="107F4325"/>
    <w:rsid w:val="109B4426"/>
    <w:rsid w:val="10A13D2A"/>
    <w:rsid w:val="10AF0EAA"/>
    <w:rsid w:val="10AF33DE"/>
    <w:rsid w:val="10BA49E1"/>
    <w:rsid w:val="11445362"/>
    <w:rsid w:val="11857272"/>
    <w:rsid w:val="118916FB"/>
    <w:rsid w:val="11937635"/>
    <w:rsid w:val="11A51171"/>
    <w:rsid w:val="11AE72F3"/>
    <w:rsid w:val="11AF636F"/>
    <w:rsid w:val="11C655D1"/>
    <w:rsid w:val="11C676FA"/>
    <w:rsid w:val="11E7049D"/>
    <w:rsid w:val="11EB0671"/>
    <w:rsid w:val="11F70F2D"/>
    <w:rsid w:val="122E1943"/>
    <w:rsid w:val="122F4C5A"/>
    <w:rsid w:val="124D1FF7"/>
    <w:rsid w:val="124D2AC8"/>
    <w:rsid w:val="12623816"/>
    <w:rsid w:val="12703E85"/>
    <w:rsid w:val="129B27B5"/>
    <w:rsid w:val="12A8254A"/>
    <w:rsid w:val="12EE3177"/>
    <w:rsid w:val="13653AA2"/>
    <w:rsid w:val="13783181"/>
    <w:rsid w:val="13816B9E"/>
    <w:rsid w:val="13A10F7E"/>
    <w:rsid w:val="13A663FB"/>
    <w:rsid w:val="13BC2466"/>
    <w:rsid w:val="13C52C06"/>
    <w:rsid w:val="13C919B0"/>
    <w:rsid w:val="13DD3E12"/>
    <w:rsid w:val="13E75A89"/>
    <w:rsid w:val="14074B59"/>
    <w:rsid w:val="14177209"/>
    <w:rsid w:val="14342243"/>
    <w:rsid w:val="143D67CD"/>
    <w:rsid w:val="143D76C6"/>
    <w:rsid w:val="14492F2E"/>
    <w:rsid w:val="14626751"/>
    <w:rsid w:val="147278AD"/>
    <w:rsid w:val="14741878"/>
    <w:rsid w:val="14992FFA"/>
    <w:rsid w:val="14BE03E9"/>
    <w:rsid w:val="14E867DD"/>
    <w:rsid w:val="14E951B7"/>
    <w:rsid w:val="14ED2E2C"/>
    <w:rsid w:val="150921AD"/>
    <w:rsid w:val="155C2C83"/>
    <w:rsid w:val="158173B1"/>
    <w:rsid w:val="15AB369F"/>
    <w:rsid w:val="15AD7CE6"/>
    <w:rsid w:val="15C04170"/>
    <w:rsid w:val="15E06F12"/>
    <w:rsid w:val="15E96C0C"/>
    <w:rsid w:val="161C7862"/>
    <w:rsid w:val="1625648F"/>
    <w:rsid w:val="162E461F"/>
    <w:rsid w:val="163D6BFF"/>
    <w:rsid w:val="1660111E"/>
    <w:rsid w:val="16861EED"/>
    <w:rsid w:val="16940169"/>
    <w:rsid w:val="16B249D8"/>
    <w:rsid w:val="16C950A4"/>
    <w:rsid w:val="16D52CED"/>
    <w:rsid w:val="16E0291A"/>
    <w:rsid w:val="16EB1627"/>
    <w:rsid w:val="170A0BE8"/>
    <w:rsid w:val="171C5E98"/>
    <w:rsid w:val="17224844"/>
    <w:rsid w:val="17411499"/>
    <w:rsid w:val="17556537"/>
    <w:rsid w:val="17766688"/>
    <w:rsid w:val="17A70B2D"/>
    <w:rsid w:val="17B37F2A"/>
    <w:rsid w:val="17C14CA8"/>
    <w:rsid w:val="17E10A1E"/>
    <w:rsid w:val="17E336B3"/>
    <w:rsid w:val="17EA0DD1"/>
    <w:rsid w:val="18351C95"/>
    <w:rsid w:val="183B3024"/>
    <w:rsid w:val="185D224E"/>
    <w:rsid w:val="186107EB"/>
    <w:rsid w:val="18630802"/>
    <w:rsid w:val="187754E4"/>
    <w:rsid w:val="188D5A5F"/>
    <w:rsid w:val="18914A8D"/>
    <w:rsid w:val="18AB4BF6"/>
    <w:rsid w:val="18C13145"/>
    <w:rsid w:val="18E0057E"/>
    <w:rsid w:val="194E5A06"/>
    <w:rsid w:val="1956102A"/>
    <w:rsid w:val="197254B3"/>
    <w:rsid w:val="19861064"/>
    <w:rsid w:val="198B29AD"/>
    <w:rsid w:val="19B968F6"/>
    <w:rsid w:val="19E14F32"/>
    <w:rsid w:val="19EC1A48"/>
    <w:rsid w:val="19F54E2B"/>
    <w:rsid w:val="1A0A53A3"/>
    <w:rsid w:val="1A1F2E79"/>
    <w:rsid w:val="1A24272E"/>
    <w:rsid w:val="1A4A739A"/>
    <w:rsid w:val="1A51244B"/>
    <w:rsid w:val="1A5F03E3"/>
    <w:rsid w:val="1A666AF1"/>
    <w:rsid w:val="1A670100"/>
    <w:rsid w:val="1A79395F"/>
    <w:rsid w:val="1AB7066E"/>
    <w:rsid w:val="1ADB2D25"/>
    <w:rsid w:val="1ADE33D6"/>
    <w:rsid w:val="1B043BA1"/>
    <w:rsid w:val="1B1E7271"/>
    <w:rsid w:val="1B3A5B9B"/>
    <w:rsid w:val="1B3A75C2"/>
    <w:rsid w:val="1B431BD8"/>
    <w:rsid w:val="1B683161"/>
    <w:rsid w:val="1B76453A"/>
    <w:rsid w:val="1B7D5F7F"/>
    <w:rsid w:val="1BCA1012"/>
    <w:rsid w:val="1BE943DF"/>
    <w:rsid w:val="1C261927"/>
    <w:rsid w:val="1C4E19F9"/>
    <w:rsid w:val="1C6E7AFF"/>
    <w:rsid w:val="1C867338"/>
    <w:rsid w:val="1CAE0268"/>
    <w:rsid w:val="1CC32E70"/>
    <w:rsid w:val="1CC3789A"/>
    <w:rsid w:val="1CC57A77"/>
    <w:rsid w:val="1CD31A7D"/>
    <w:rsid w:val="1CD35F20"/>
    <w:rsid w:val="1D0D4CFB"/>
    <w:rsid w:val="1D16150A"/>
    <w:rsid w:val="1D363C95"/>
    <w:rsid w:val="1D3C41CF"/>
    <w:rsid w:val="1D41732E"/>
    <w:rsid w:val="1D4B61F4"/>
    <w:rsid w:val="1D6A09BE"/>
    <w:rsid w:val="1D707B22"/>
    <w:rsid w:val="1D90796E"/>
    <w:rsid w:val="1DA67191"/>
    <w:rsid w:val="1DBE44DB"/>
    <w:rsid w:val="1DF53AAF"/>
    <w:rsid w:val="1DFB2610"/>
    <w:rsid w:val="1E026ABD"/>
    <w:rsid w:val="1E25455A"/>
    <w:rsid w:val="1E3B5B21"/>
    <w:rsid w:val="1E4E5C7E"/>
    <w:rsid w:val="1E5E31D5"/>
    <w:rsid w:val="1E7352C5"/>
    <w:rsid w:val="1E812110"/>
    <w:rsid w:val="1EFF30AF"/>
    <w:rsid w:val="1F107B3F"/>
    <w:rsid w:val="1F2202C9"/>
    <w:rsid w:val="1F34017E"/>
    <w:rsid w:val="1F3621EB"/>
    <w:rsid w:val="1F3B5CE4"/>
    <w:rsid w:val="1F3C1A76"/>
    <w:rsid w:val="1F9574BD"/>
    <w:rsid w:val="1FCB707E"/>
    <w:rsid w:val="1FE3081B"/>
    <w:rsid w:val="1FF569E9"/>
    <w:rsid w:val="200C541F"/>
    <w:rsid w:val="202F7DBD"/>
    <w:rsid w:val="20313CF7"/>
    <w:rsid w:val="204A51B3"/>
    <w:rsid w:val="205E1FA5"/>
    <w:rsid w:val="20610DE7"/>
    <w:rsid w:val="2071725C"/>
    <w:rsid w:val="207B7C35"/>
    <w:rsid w:val="20991FC4"/>
    <w:rsid w:val="209C2781"/>
    <w:rsid w:val="20AD0837"/>
    <w:rsid w:val="20B544CD"/>
    <w:rsid w:val="20BB0AF7"/>
    <w:rsid w:val="20CC3E7E"/>
    <w:rsid w:val="20CC5B9F"/>
    <w:rsid w:val="20DB53A4"/>
    <w:rsid w:val="20E129EB"/>
    <w:rsid w:val="20E5411D"/>
    <w:rsid w:val="210F3F01"/>
    <w:rsid w:val="212A1E87"/>
    <w:rsid w:val="214B1CF4"/>
    <w:rsid w:val="214F7A70"/>
    <w:rsid w:val="21771570"/>
    <w:rsid w:val="21AE2042"/>
    <w:rsid w:val="21AE4FB0"/>
    <w:rsid w:val="21B43FCC"/>
    <w:rsid w:val="21B71F3D"/>
    <w:rsid w:val="21DC7414"/>
    <w:rsid w:val="21E91BA9"/>
    <w:rsid w:val="22116DDD"/>
    <w:rsid w:val="22182E86"/>
    <w:rsid w:val="225D0766"/>
    <w:rsid w:val="226906ED"/>
    <w:rsid w:val="226A08A3"/>
    <w:rsid w:val="226C1D80"/>
    <w:rsid w:val="227A6878"/>
    <w:rsid w:val="227B5E3D"/>
    <w:rsid w:val="22B1460E"/>
    <w:rsid w:val="22CA6438"/>
    <w:rsid w:val="22DE7405"/>
    <w:rsid w:val="22FB2DD9"/>
    <w:rsid w:val="23061C85"/>
    <w:rsid w:val="233B0BDF"/>
    <w:rsid w:val="234B572A"/>
    <w:rsid w:val="23523F9F"/>
    <w:rsid w:val="235F22BC"/>
    <w:rsid w:val="23615763"/>
    <w:rsid w:val="23706277"/>
    <w:rsid w:val="2386535F"/>
    <w:rsid w:val="2389042F"/>
    <w:rsid w:val="23C463ED"/>
    <w:rsid w:val="23DA69C3"/>
    <w:rsid w:val="2403533D"/>
    <w:rsid w:val="24311EAA"/>
    <w:rsid w:val="243F3A19"/>
    <w:rsid w:val="24467E33"/>
    <w:rsid w:val="24485B15"/>
    <w:rsid w:val="24537820"/>
    <w:rsid w:val="245817A7"/>
    <w:rsid w:val="245A706D"/>
    <w:rsid w:val="247824D6"/>
    <w:rsid w:val="24951237"/>
    <w:rsid w:val="24B74FEE"/>
    <w:rsid w:val="24BB5C18"/>
    <w:rsid w:val="24C91E6F"/>
    <w:rsid w:val="24EC25F4"/>
    <w:rsid w:val="24FB6014"/>
    <w:rsid w:val="255B2DEA"/>
    <w:rsid w:val="259F60FD"/>
    <w:rsid w:val="25A53A28"/>
    <w:rsid w:val="25BA7C7E"/>
    <w:rsid w:val="25CB36C6"/>
    <w:rsid w:val="25CD6381"/>
    <w:rsid w:val="25D66AD7"/>
    <w:rsid w:val="25E625C3"/>
    <w:rsid w:val="26435EC5"/>
    <w:rsid w:val="265E2E92"/>
    <w:rsid w:val="26676ED4"/>
    <w:rsid w:val="26747E2C"/>
    <w:rsid w:val="269B185D"/>
    <w:rsid w:val="26D611A6"/>
    <w:rsid w:val="26D715FB"/>
    <w:rsid w:val="26E56F7C"/>
    <w:rsid w:val="26F06B14"/>
    <w:rsid w:val="26F9012C"/>
    <w:rsid w:val="26FF4AA3"/>
    <w:rsid w:val="27054F28"/>
    <w:rsid w:val="270A7875"/>
    <w:rsid w:val="271706B5"/>
    <w:rsid w:val="27414187"/>
    <w:rsid w:val="274C6252"/>
    <w:rsid w:val="27736336"/>
    <w:rsid w:val="277B43D9"/>
    <w:rsid w:val="277F0A66"/>
    <w:rsid w:val="27843D31"/>
    <w:rsid w:val="27A801EB"/>
    <w:rsid w:val="27CF1939"/>
    <w:rsid w:val="27DB678C"/>
    <w:rsid w:val="27FD3FFF"/>
    <w:rsid w:val="280E1C50"/>
    <w:rsid w:val="2824553C"/>
    <w:rsid w:val="282C64B2"/>
    <w:rsid w:val="28355373"/>
    <w:rsid w:val="28623C6E"/>
    <w:rsid w:val="28675873"/>
    <w:rsid w:val="286B7E5B"/>
    <w:rsid w:val="28777BF4"/>
    <w:rsid w:val="28820C02"/>
    <w:rsid w:val="28A637BF"/>
    <w:rsid w:val="28AA1342"/>
    <w:rsid w:val="28AC4818"/>
    <w:rsid w:val="28AE730E"/>
    <w:rsid w:val="28B8633A"/>
    <w:rsid w:val="28CB3F50"/>
    <w:rsid w:val="28DC615D"/>
    <w:rsid w:val="28F6721F"/>
    <w:rsid w:val="29501FA1"/>
    <w:rsid w:val="295C2CA2"/>
    <w:rsid w:val="297E6248"/>
    <w:rsid w:val="29915617"/>
    <w:rsid w:val="29CB1807"/>
    <w:rsid w:val="29E925F6"/>
    <w:rsid w:val="29F93AEE"/>
    <w:rsid w:val="29FA2D3E"/>
    <w:rsid w:val="29FF4C7A"/>
    <w:rsid w:val="2AB56F73"/>
    <w:rsid w:val="2AC6688D"/>
    <w:rsid w:val="2AFB240D"/>
    <w:rsid w:val="2B150E00"/>
    <w:rsid w:val="2B3A455E"/>
    <w:rsid w:val="2B513311"/>
    <w:rsid w:val="2B756050"/>
    <w:rsid w:val="2B7A3843"/>
    <w:rsid w:val="2BAC7EA2"/>
    <w:rsid w:val="2BD32BF6"/>
    <w:rsid w:val="2BDF21EC"/>
    <w:rsid w:val="2BFA47AC"/>
    <w:rsid w:val="2C150057"/>
    <w:rsid w:val="2C21476B"/>
    <w:rsid w:val="2C2E7E76"/>
    <w:rsid w:val="2C3010D4"/>
    <w:rsid w:val="2CB01DDA"/>
    <w:rsid w:val="2CB847EB"/>
    <w:rsid w:val="2CBE4D95"/>
    <w:rsid w:val="2D423E98"/>
    <w:rsid w:val="2D554D75"/>
    <w:rsid w:val="2D5F168A"/>
    <w:rsid w:val="2D6F1634"/>
    <w:rsid w:val="2D8A4B6E"/>
    <w:rsid w:val="2DB70D70"/>
    <w:rsid w:val="2DB96A6D"/>
    <w:rsid w:val="2DCB42A5"/>
    <w:rsid w:val="2E0028ED"/>
    <w:rsid w:val="2E046AEC"/>
    <w:rsid w:val="2E097AB0"/>
    <w:rsid w:val="2E136AA5"/>
    <w:rsid w:val="2E491D94"/>
    <w:rsid w:val="2E6F1050"/>
    <w:rsid w:val="2E7118A5"/>
    <w:rsid w:val="2E7568BB"/>
    <w:rsid w:val="2E8E5251"/>
    <w:rsid w:val="2E9D77F8"/>
    <w:rsid w:val="2EBC045D"/>
    <w:rsid w:val="2EE63891"/>
    <w:rsid w:val="2F0660A4"/>
    <w:rsid w:val="2F082282"/>
    <w:rsid w:val="2F2D326E"/>
    <w:rsid w:val="2F4D71EA"/>
    <w:rsid w:val="2F5F53F2"/>
    <w:rsid w:val="2F6F1AD9"/>
    <w:rsid w:val="2F8004FB"/>
    <w:rsid w:val="2F935BB1"/>
    <w:rsid w:val="2FAE7142"/>
    <w:rsid w:val="2FB10C1B"/>
    <w:rsid w:val="2FDF1D04"/>
    <w:rsid w:val="300E4A2D"/>
    <w:rsid w:val="30124480"/>
    <w:rsid w:val="30126E54"/>
    <w:rsid w:val="3062519A"/>
    <w:rsid w:val="30986E0D"/>
    <w:rsid w:val="30BA1978"/>
    <w:rsid w:val="30CD6CEE"/>
    <w:rsid w:val="30D4293A"/>
    <w:rsid w:val="30D979E2"/>
    <w:rsid w:val="310F55E9"/>
    <w:rsid w:val="314A231E"/>
    <w:rsid w:val="314F44D0"/>
    <w:rsid w:val="31800F82"/>
    <w:rsid w:val="31AA504A"/>
    <w:rsid w:val="31B46114"/>
    <w:rsid w:val="31EA62B1"/>
    <w:rsid w:val="31F92BC4"/>
    <w:rsid w:val="31FC3E39"/>
    <w:rsid w:val="320311D7"/>
    <w:rsid w:val="321921D0"/>
    <w:rsid w:val="321B3508"/>
    <w:rsid w:val="32556074"/>
    <w:rsid w:val="32940808"/>
    <w:rsid w:val="329B78D9"/>
    <w:rsid w:val="32A221C5"/>
    <w:rsid w:val="32AF2778"/>
    <w:rsid w:val="32DC3B80"/>
    <w:rsid w:val="32DD0F84"/>
    <w:rsid w:val="32E574FF"/>
    <w:rsid w:val="330B38E2"/>
    <w:rsid w:val="33115D86"/>
    <w:rsid w:val="332645C9"/>
    <w:rsid w:val="334D3EDF"/>
    <w:rsid w:val="335753AF"/>
    <w:rsid w:val="33657B72"/>
    <w:rsid w:val="33680E45"/>
    <w:rsid w:val="336D7803"/>
    <w:rsid w:val="33745127"/>
    <w:rsid w:val="33BC2E13"/>
    <w:rsid w:val="33BF16D8"/>
    <w:rsid w:val="33F93154"/>
    <w:rsid w:val="3402116D"/>
    <w:rsid w:val="34027FCA"/>
    <w:rsid w:val="342D3AAD"/>
    <w:rsid w:val="34301848"/>
    <w:rsid w:val="34324646"/>
    <w:rsid w:val="344A2E72"/>
    <w:rsid w:val="34516B8C"/>
    <w:rsid w:val="34647517"/>
    <w:rsid w:val="3468363E"/>
    <w:rsid w:val="3469201D"/>
    <w:rsid w:val="346C75AA"/>
    <w:rsid w:val="34721206"/>
    <w:rsid w:val="34B56122"/>
    <w:rsid w:val="34CC6703"/>
    <w:rsid w:val="350902DA"/>
    <w:rsid w:val="3516639B"/>
    <w:rsid w:val="35240568"/>
    <w:rsid w:val="35635C3C"/>
    <w:rsid w:val="359F3D34"/>
    <w:rsid w:val="35A84C0B"/>
    <w:rsid w:val="35BE44CD"/>
    <w:rsid w:val="35E677CC"/>
    <w:rsid w:val="35FA2983"/>
    <w:rsid w:val="36107446"/>
    <w:rsid w:val="365F714B"/>
    <w:rsid w:val="36857C48"/>
    <w:rsid w:val="36E06005"/>
    <w:rsid w:val="36EA5EE9"/>
    <w:rsid w:val="36F55942"/>
    <w:rsid w:val="36FA7DAE"/>
    <w:rsid w:val="36FC48D2"/>
    <w:rsid w:val="37005379"/>
    <w:rsid w:val="370D5533"/>
    <w:rsid w:val="371A251D"/>
    <w:rsid w:val="3733045E"/>
    <w:rsid w:val="373E615D"/>
    <w:rsid w:val="37403D5B"/>
    <w:rsid w:val="3776183B"/>
    <w:rsid w:val="37797999"/>
    <w:rsid w:val="37B007C5"/>
    <w:rsid w:val="37B15CE9"/>
    <w:rsid w:val="37B229CC"/>
    <w:rsid w:val="37D0246B"/>
    <w:rsid w:val="37F25055"/>
    <w:rsid w:val="37F316BC"/>
    <w:rsid w:val="38342E0E"/>
    <w:rsid w:val="38431598"/>
    <w:rsid w:val="38580510"/>
    <w:rsid w:val="3871152F"/>
    <w:rsid w:val="38897C33"/>
    <w:rsid w:val="389E342F"/>
    <w:rsid w:val="38AF2F46"/>
    <w:rsid w:val="38C764E2"/>
    <w:rsid w:val="38D429AD"/>
    <w:rsid w:val="38E04065"/>
    <w:rsid w:val="38E8056B"/>
    <w:rsid w:val="38F079F6"/>
    <w:rsid w:val="391F722B"/>
    <w:rsid w:val="392B5D28"/>
    <w:rsid w:val="396A3EFB"/>
    <w:rsid w:val="397C7DF3"/>
    <w:rsid w:val="39802BE4"/>
    <w:rsid w:val="3996438F"/>
    <w:rsid w:val="39A113AE"/>
    <w:rsid w:val="39B94D03"/>
    <w:rsid w:val="39BE48B0"/>
    <w:rsid w:val="3A012EA3"/>
    <w:rsid w:val="3A035F9D"/>
    <w:rsid w:val="3A477AD5"/>
    <w:rsid w:val="3A4934F6"/>
    <w:rsid w:val="3A994EF0"/>
    <w:rsid w:val="3AA2053D"/>
    <w:rsid w:val="3AB05548"/>
    <w:rsid w:val="3AB94E96"/>
    <w:rsid w:val="3ACF5B21"/>
    <w:rsid w:val="3AF06E0C"/>
    <w:rsid w:val="3AF85FF0"/>
    <w:rsid w:val="3AFC3FAF"/>
    <w:rsid w:val="3B1D7407"/>
    <w:rsid w:val="3B2A71FC"/>
    <w:rsid w:val="3B2C63C1"/>
    <w:rsid w:val="3B53755F"/>
    <w:rsid w:val="3B70502D"/>
    <w:rsid w:val="3B8763FC"/>
    <w:rsid w:val="3B98661F"/>
    <w:rsid w:val="3BA81444"/>
    <w:rsid w:val="3BBC7B3B"/>
    <w:rsid w:val="3BBF7944"/>
    <w:rsid w:val="3BE1739C"/>
    <w:rsid w:val="3C047A4D"/>
    <w:rsid w:val="3C2123AD"/>
    <w:rsid w:val="3C3736CA"/>
    <w:rsid w:val="3C4741A8"/>
    <w:rsid w:val="3C683B38"/>
    <w:rsid w:val="3CC135BC"/>
    <w:rsid w:val="3CCB2319"/>
    <w:rsid w:val="3CD33ED9"/>
    <w:rsid w:val="3CDC62D4"/>
    <w:rsid w:val="3CF279A9"/>
    <w:rsid w:val="3D1B6DFC"/>
    <w:rsid w:val="3D255AFC"/>
    <w:rsid w:val="3D3C0CC3"/>
    <w:rsid w:val="3D5D477F"/>
    <w:rsid w:val="3D6662D9"/>
    <w:rsid w:val="3D824ECD"/>
    <w:rsid w:val="3DAE584C"/>
    <w:rsid w:val="3DBE52AC"/>
    <w:rsid w:val="3DD77DB1"/>
    <w:rsid w:val="3DDE328E"/>
    <w:rsid w:val="3DE83D38"/>
    <w:rsid w:val="3E0E7BD0"/>
    <w:rsid w:val="3E6D342C"/>
    <w:rsid w:val="3E82308D"/>
    <w:rsid w:val="3E9055C8"/>
    <w:rsid w:val="3E9B0AFF"/>
    <w:rsid w:val="3E9C0A12"/>
    <w:rsid w:val="3EA941D9"/>
    <w:rsid w:val="3EB22E36"/>
    <w:rsid w:val="3EB5502E"/>
    <w:rsid w:val="3ED03C16"/>
    <w:rsid w:val="3EDA2B6C"/>
    <w:rsid w:val="3EF76D77"/>
    <w:rsid w:val="3EFC2075"/>
    <w:rsid w:val="3F004B68"/>
    <w:rsid w:val="3F026E38"/>
    <w:rsid w:val="3F031E6B"/>
    <w:rsid w:val="3F404BF4"/>
    <w:rsid w:val="3F9115CA"/>
    <w:rsid w:val="3FB44C89"/>
    <w:rsid w:val="3FC14F83"/>
    <w:rsid w:val="3FD94515"/>
    <w:rsid w:val="3FF56F0F"/>
    <w:rsid w:val="3FF75052"/>
    <w:rsid w:val="40157135"/>
    <w:rsid w:val="402204A1"/>
    <w:rsid w:val="403266E4"/>
    <w:rsid w:val="403C3BC8"/>
    <w:rsid w:val="404B485D"/>
    <w:rsid w:val="40B3587A"/>
    <w:rsid w:val="40C311B9"/>
    <w:rsid w:val="40C57239"/>
    <w:rsid w:val="40D43B7A"/>
    <w:rsid w:val="40D479EE"/>
    <w:rsid w:val="40DF4B44"/>
    <w:rsid w:val="40E51BFB"/>
    <w:rsid w:val="41230B34"/>
    <w:rsid w:val="41253E48"/>
    <w:rsid w:val="413546C9"/>
    <w:rsid w:val="413E755D"/>
    <w:rsid w:val="41504427"/>
    <w:rsid w:val="41742F7F"/>
    <w:rsid w:val="417B295D"/>
    <w:rsid w:val="41816206"/>
    <w:rsid w:val="4198094B"/>
    <w:rsid w:val="419E7F5A"/>
    <w:rsid w:val="41A82FDB"/>
    <w:rsid w:val="41B45827"/>
    <w:rsid w:val="41BB7016"/>
    <w:rsid w:val="41C30EF6"/>
    <w:rsid w:val="41DB4805"/>
    <w:rsid w:val="41EF0008"/>
    <w:rsid w:val="41F20823"/>
    <w:rsid w:val="41F424E5"/>
    <w:rsid w:val="41FF027F"/>
    <w:rsid w:val="42116C0B"/>
    <w:rsid w:val="422E5D9C"/>
    <w:rsid w:val="42405C57"/>
    <w:rsid w:val="424D4FD1"/>
    <w:rsid w:val="42551862"/>
    <w:rsid w:val="425608AB"/>
    <w:rsid w:val="42747500"/>
    <w:rsid w:val="427C0D6E"/>
    <w:rsid w:val="428D4478"/>
    <w:rsid w:val="429C13EC"/>
    <w:rsid w:val="42F356A5"/>
    <w:rsid w:val="43450D4F"/>
    <w:rsid w:val="43AC6A00"/>
    <w:rsid w:val="43F57EB8"/>
    <w:rsid w:val="44120766"/>
    <w:rsid w:val="44394EB9"/>
    <w:rsid w:val="444E3F5B"/>
    <w:rsid w:val="445C6AB9"/>
    <w:rsid w:val="4462070E"/>
    <w:rsid w:val="446B2F2A"/>
    <w:rsid w:val="44874006"/>
    <w:rsid w:val="449159AC"/>
    <w:rsid w:val="44962FE7"/>
    <w:rsid w:val="44E57080"/>
    <w:rsid w:val="44FD3C1A"/>
    <w:rsid w:val="45082DAD"/>
    <w:rsid w:val="451844CA"/>
    <w:rsid w:val="452363E4"/>
    <w:rsid w:val="45613966"/>
    <w:rsid w:val="456A2F93"/>
    <w:rsid w:val="457F30CA"/>
    <w:rsid w:val="45984C98"/>
    <w:rsid w:val="459E7B33"/>
    <w:rsid w:val="45C30A54"/>
    <w:rsid w:val="45FA699F"/>
    <w:rsid w:val="461A22C2"/>
    <w:rsid w:val="464E79A4"/>
    <w:rsid w:val="46502789"/>
    <w:rsid w:val="46761547"/>
    <w:rsid w:val="467B2965"/>
    <w:rsid w:val="46846AE8"/>
    <w:rsid w:val="46986342"/>
    <w:rsid w:val="46C20057"/>
    <w:rsid w:val="46CF2D18"/>
    <w:rsid w:val="47011402"/>
    <w:rsid w:val="47070C12"/>
    <w:rsid w:val="470E1FAC"/>
    <w:rsid w:val="47104B00"/>
    <w:rsid w:val="47217705"/>
    <w:rsid w:val="473E02B7"/>
    <w:rsid w:val="47481C00"/>
    <w:rsid w:val="476B5506"/>
    <w:rsid w:val="476D64A6"/>
    <w:rsid w:val="47735562"/>
    <w:rsid w:val="477660A9"/>
    <w:rsid w:val="477777B9"/>
    <w:rsid w:val="478F7B9A"/>
    <w:rsid w:val="47A611C1"/>
    <w:rsid w:val="47C36A0E"/>
    <w:rsid w:val="47C8130C"/>
    <w:rsid w:val="47CD1AA7"/>
    <w:rsid w:val="480229D3"/>
    <w:rsid w:val="48065248"/>
    <w:rsid w:val="482A3023"/>
    <w:rsid w:val="48552DEA"/>
    <w:rsid w:val="48B16866"/>
    <w:rsid w:val="48B21E7C"/>
    <w:rsid w:val="48BA38C7"/>
    <w:rsid w:val="48BC39E8"/>
    <w:rsid w:val="48C653B0"/>
    <w:rsid w:val="48D74C90"/>
    <w:rsid w:val="48E56510"/>
    <w:rsid w:val="48EC1B26"/>
    <w:rsid w:val="48F53FDD"/>
    <w:rsid w:val="491C7888"/>
    <w:rsid w:val="496835F1"/>
    <w:rsid w:val="496F4D5C"/>
    <w:rsid w:val="49836947"/>
    <w:rsid w:val="49A73042"/>
    <w:rsid w:val="49DF1087"/>
    <w:rsid w:val="49FC2CFC"/>
    <w:rsid w:val="4A091788"/>
    <w:rsid w:val="4A0A7388"/>
    <w:rsid w:val="4A0F4E4B"/>
    <w:rsid w:val="4A23183D"/>
    <w:rsid w:val="4A396B13"/>
    <w:rsid w:val="4A630034"/>
    <w:rsid w:val="4A6D77C8"/>
    <w:rsid w:val="4A850FEF"/>
    <w:rsid w:val="4A8805E4"/>
    <w:rsid w:val="4AD94D79"/>
    <w:rsid w:val="4ADF1C32"/>
    <w:rsid w:val="4B08477A"/>
    <w:rsid w:val="4B101B5A"/>
    <w:rsid w:val="4B1650A7"/>
    <w:rsid w:val="4B4B6F6D"/>
    <w:rsid w:val="4B685FEA"/>
    <w:rsid w:val="4B7E7EDC"/>
    <w:rsid w:val="4BB02E05"/>
    <w:rsid w:val="4BB4538F"/>
    <w:rsid w:val="4BDC0CE6"/>
    <w:rsid w:val="4BDE289C"/>
    <w:rsid w:val="4C3D431A"/>
    <w:rsid w:val="4C417F01"/>
    <w:rsid w:val="4C5049CF"/>
    <w:rsid w:val="4C9E66F3"/>
    <w:rsid w:val="4CB74188"/>
    <w:rsid w:val="4CF013D7"/>
    <w:rsid w:val="4D0243C1"/>
    <w:rsid w:val="4D345C8F"/>
    <w:rsid w:val="4D41465D"/>
    <w:rsid w:val="4D50664E"/>
    <w:rsid w:val="4D714816"/>
    <w:rsid w:val="4D84279B"/>
    <w:rsid w:val="4DED255A"/>
    <w:rsid w:val="4DEE31FB"/>
    <w:rsid w:val="4DFC5A9A"/>
    <w:rsid w:val="4E055F43"/>
    <w:rsid w:val="4E0A4BEB"/>
    <w:rsid w:val="4E271C00"/>
    <w:rsid w:val="4E45017D"/>
    <w:rsid w:val="4E4F186F"/>
    <w:rsid w:val="4E58204C"/>
    <w:rsid w:val="4E7C16C5"/>
    <w:rsid w:val="4E8A4C53"/>
    <w:rsid w:val="4E984750"/>
    <w:rsid w:val="4E992277"/>
    <w:rsid w:val="4EEE3B67"/>
    <w:rsid w:val="4EF03945"/>
    <w:rsid w:val="4F275969"/>
    <w:rsid w:val="4F41214A"/>
    <w:rsid w:val="4F7112AF"/>
    <w:rsid w:val="4F9E1D38"/>
    <w:rsid w:val="4FA90414"/>
    <w:rsid w:val="4FC7765E"/>
    <w:rsid w:val="4FD01CC8"/>
    <w:rsid w:val="4FE614EB"/>
    <w:rsid w:val="4FFD78E6"/>
    <w:rsid w:val="503E4E84"/>
    <w:rsid w:val="505F4DFA"/>
    <w:rsid w:val="507F159E"/>
    <w:rsid w:val="50834F8C"/>
    <w:rsid w:val="50B741C7"/>
    <w:rsid w:val="50FF2147"/>
    <w:rsid w:val="512D1BEA"/>
    <w:rsid w:val="512E231A"/>
    <w:rsid w:val="514853E7"/>
    <w:rsid w:val="51685665"/>
    <w:rsid w:val="518C7498"/>
    <w:rsid w:val="518E4AB1"/>
    <w:rsid w:val="51AF4DD0"/>
    <w:rsid w:val="51AF590D"/>
    <w:rsid w:val="51BA243F"/>
    <w:rsid w:val="51BB54AE"/>
    <w:rsid w:val="51FA6891"/>
    <w:rsid w:val="52146C33"/>
    <w:rsid w:val="5226332C"/>
    <w:rsid w:val="52900663"/>
    <w:rsid w:val="529A65BD"/>
    <w:rsid w:val="52BB6C5F"/>
    <w:rsid w:val="52BF10EA"/>
    <w:rsid w:val="52D53BCE"/>
    <w:rsid w:val="52D66812"/>
    <w:rsid w:val="52E361B6"/>
    <w:rsid w:val="530443EF"/>
    <w:rsid w:val="532B33DE"/>
    <w:rsid w:val="533B675E"/>
    <w:rsid w:val="535463C1"/>
    <w:rsid w:val="538C5F06"/>
    <w:rsid w:val="539E083F"/>
    <w:rsid w:val="53A82B8E"/>
    <w:rsid w:val="53A97953"/>
    <w:rsid w:val="53B27781"/>
    <w:rsid w:val="53B67064"/>
    <w:rsid w:val="53C47D96"/>
    <w:rsid w:val="53CB06A8"/>
    <w:rsid w:val="53D36AD9"/>
    <w:rsid w:val="5415589E"/>
    <w:rsid w:val="54422516"/>
    <w:rsid w:val="54643886"/>
    <w:rsid w:val="547F120E"/>
    <w:rsid w:val="54905620"/>
    <w:rsid w:val="54A07D50"/>
    <w:rsid w:val="54E506A0"/>
    <w:rsid w:val="551112C8"/>
    <w:rsid w:val="551E7032"/>
    <w:rsid w:val="552114B7"/>
    <w:rsid w:val="55421D79"/>
    <w:rsid w:val="555C08EF"/>
    <w:rsid w:val="55946D85"/>
    <w:rsid w:val="55997260"/>
    <w:rsid w:val="55CC624C"/>
    <w:rsid w:val="55CD6188"/>
    <w:rsid w:val="55CE2806"/>
    <w:rsid w:val="55D2613C"/>
    <w:rsid w:val="55D417A9"/>
    <w:rsid w:val="55DD2E94"/>
    <w:rsid w:val="55E30278"/>
    <w:rsid w:val="55E35A8D"/>
    <w:rsid w:val="55FB7373"/>
    <w:rsid w:val="56091E64"/>
    <w:rsid w:val="56101070"/>
    <w:rsid w:val="56293EE0"/>
    <w:rsid w:val="563B584F"/>
    <w:rsid w:val="56564126"/>
    <w:rsid w:val="565A24F5"/>
    <w:rsid w:val="56692587"/>
    <w:rsid w:val="56B6654B"/>
    <w:rsid w:val="56D73FC0"/>
    <w:rsid w:val="56D93B5A"/>
    <w:rsid w:val="56DE2F1C"/>
    <w:rsid w:val="577F67A5"/>
    <w:rsid w:val="578810DA"/>
    <w:rsid w:val="579E08FE"/>
    <w:rsid w:val="57A953EA"/>
    <w:rsid w:val="57AB5FD2"/>
    <w:rsid w:val="57CC7219"/>
    <w:rsid w:val="57E1651A"/>
    <w:rsid w:val="582E773D"/>
    <w:rsid w:val="58307C33"/>
    <w:rsid w:val="583D6CDD"/>
    <w:rsid w:val="5877768F"/>
    <w:rsid w:val="58855AA4"/>
    <w:rsid w:val="58A604F2"/>
    <w:rsid w:val="58DB0FB8"/>
    <w:rsid w:val="58F5027A"/>
    <w:rsid w:val="59175E07"/>
    <w:rsid w:val="594B668F"/>
    <w:rsid w:val="595E1F6F"/>
    <w:rsid w:val="599752C0"/>
    <w:rsid w:val="59AF0BA0"/>
    <w:rsid w:val="59B9572A"/>
    <w:rsid w:val="59BE0DE3"/>
    <w:rsid w:val="59CD1026"/>
    <w:rsid w:val="59D27949"/>
    <w:rsid w:val="59E236CE"/>
    <w:rsid w:val="59ED4377"/>
    <w:rsid w:val="5A0752CB"/>
    <w:rsid w:val="5A1D3D5C"/>
    <w:rsid w:val="5A2570B4"/>
    <w:rsid w:val="5A2A711F"/>
    <w:rsid w:val="5A4862DD"/>
    <w:rsid w:val="5A512823"/>
    <w:rsid w:val="5A5A124E"/>
    <w:rsid w:val="5A710924"/>
    <w:rsid w:val="5A984C01"/>
    <w:rsid w:val="5AB17B53"/>
    <w:rsid w:val="5ACE314B"/>
    <w:rsid w:val="5AFF2922"/>
    <w:rsid w:val="5B0B53F3"/>
    <w:rsid w:val="5B0C00B4"/>
    <w:rsid w:val="5B127639"/>
    <w:rsid w:val="5B2807F7"/>
    <w:rsid w:val="5B351579"/>
    <w:rsid w:val="5B6A62CF"/>
    <w:rsid w:val="5B7621F1"/>
    <w:rsid w:val="5B920779"/>
    <w:rsid w:val="5B9C03E9"/>
    <w:rsid w:val="5BA72C6E"/>
    <w:rsid w:val="5BC70423"/>
    <w:rsid w:val="5BD137DB"/>
    <w:rsid w:val="5BEE5128"/>
    <w:rsid w:val="5C1856F3"/>
    <w:rsid w:val="5C284882"/>
    <w:rsid w:val="5C341831"/>
    <w:rsid w:val="5C381321"/>
    <w:rsid w:val="5C3B2947"/>
    <w:rsid w:val="5C763BF7"/>
    <w:rsid w:val="5C8A483D"/>
    <w:rsid w:val="5C9F17DE"/>
    <w:rsid w:val="5CA85321"/>
    <w:rsid w:val="5CD8040E"/>
    <w:rsid w:val="5CF423EC"/>
    <w:rsid w:val="5CF8460C"/>
    <w:rsid w:val="5D4A0DEE"/>
    <w:rsid w:val="5D940756"/>
    <w:rsid w:val="5DA03123"/>
    <w:rsid w:val="5DAE66A9"/>
    <w:rsid w:val="5DB06FB3"/>
    <w:rsid w:val="5DD341C3"/>
    <w:rsid w:val="5DDF1053"/>
    <w:rsid w:val="5DEA338B"/>
    <w:rsid w:val="5E053485"/>
    <w:rsid w:val="5E075B34"/>
    <w:rsid w:val="5E116BF7"/>
    <w:rsid w:val="5E2D4789"/>
    <w:rsid w:val="5E2E5994"/>
    <w:rsid w:val="5E6D340D"/>
    <w:rsid w:val="5E766130"/>
    <w:rsid w:val="5E811391"/>
    <w:rsid w:val="5E820CCC"/>
    <w:rsid w:val="5E8A3A3E"/>
    <w:rsid w:val="5E9408F6"/>
    <w:rsid w:val="5EB90612"/>
    <w:rsid w:val="5EC10B09"/>
    <w:rsid w:val="5ECF084E"/>
    <w:rsid w:val="5F0B1654"/>
    <w:rsid w:val="5F0F0A09"/>
    <w:rsid w:val="5F1733A7"/>
    <w:rsid w:val="5F1E4355"/>
    <w:rsid w:val="5F316DCE"/>
    <w:rsid w:val="5F626D0D"/>
    <w:rsid w:val="5F96724C"/>
    <w:rsid w:val="60121654"/>
    <w:rsid w:val="60676F7C"/>
    <w:rsid w:val="60747029"/>
    <w:rsid w:val="60C94DAB"/>
    <w:rsid w:val="60E05AE3"/>
    <w:rsid w:val="61185909"/>
    <w:rsid w:val="614933D4"/>
    <w:rsid w:val="614957A6"/>
    <w:rsid w:val="614D7F94"/>
    <w:rsid w:val="61B52D59"/>
    <w:rsid w:val="61C92D7A"/>
    <w:rsid w:val="61D30BF1"/>
    <w:rsid w:val="61DC274E"/>
    <w:rsid w:val="61E36656"/>
    <w:rsid w:val="61F71E1F"/>
    <w:rsid w:val="624C30F8"/>
    <w:rsid w:val="62514EEA"/>
    <w:rsid w:val="62546A9B"/>
    <w:rsid w:val="62600C89"/>
    <w:rsid w:val="62724E61"/>
    <w:rsid w:val="628036C8"/>
    <w:rsid w:val="628B23DE"/>
    <w:rsid w:val="629628FD"/>
    <w:rsid w:val="629B43B7"/>
    <w:rsid w:val="62A25A32"/>
    <w:rsid w:val="62B07FF3"/>
    <w:rsid w:val="62C82E3E"/>
    <w:rsid w:val="62D873C6"/>
    <w:rsid w:val="62E278F0"/>
    <w:rsid w:val="63084640"/>
    <w:rsid w:val="63135997"/>
    <w:rsid w:val="63161E33"/>
    <w:rsid w:val="631623AD"/>
    <w:rsid w:val="63626D12"/>
    <w:rsid w:val="636F3392"/>
    <w:rsid w:val="63A143F6"/>
    <w:rsid w:val="63A517B5"/>
    <w:rsid w:val="63A724A8"/>
    <w:rsid w:val="63C448A7"/>
    <w:rsid w:val="63CB7F7D"/>
    <w:rsid w:val="63DA2828"/>
    <w:rsid w:val="63DD51B4"/>
    <w:rsid w:val="63F31EF8"/>
    <w:rsid w:val="640B0CCD"/>
    <w:rsid w:val="64136C02"/>
    <w:rsid w:val="64206E49"/>
    <w:rsid w:val="64A20030"/>
    <w:rsid w:val="64D545B9"/>
    <w:rsid w:val="64D7381D"/>
    <w:rsid w:val="6516143A"/>
    <w:rsid w:val="652C579B"/>
    <w:rsid w:val="65416E4C"/>
    <w:rsid w:val="655527F7"/>
    <w:rsid w:val="655B7D9F"/>
    <w:rsid w:val="655F347A"/>
    <w:rsid w:val="6568114E"/>
    <w:rsid w:val="65763589"/>
    <w:rsid w:val="657E6B71"/>
    <w:rsid w:val="659C092C"/>
    <w:rsid w:val="65AC38DA"/>
    <w:rsid w:val="65C64A41"/>
    <w:rsid w:val="65F55301"/>
    <w:rsid w:val="660F71B1"/>
    <w:rsid w:val="662B5A52"/>
    <w:rsid w:val="663012BB"/>
    <w:rsid w:val="665A6D1B"/>
    <w:rsid w:val="667167E1"/>
    <w:rsid w:val="66784438"/>
    <w:rsid w:val="668B1FB4"/>
    <w:rsid w:val="66BD251B"/>
    <w:rsid w:val="66BD6B9B"/>
    <w:rsid w:val="66F47F6D"/>
    <w:rsid w:val="670047E9"/>
    <w:rsid w:val="670D48BC"/>
    <w:rsid w:val="673D44AF"/>
    <w:rsid w:val="6740552D"/>
    <w:rsid w:val="674B7864"/>
    <w:rsid w:val="676C53F7"/>
    <w:rsid w:val="676C5425"/>
    <w:rsid w:val="67784D28"/>
    <w:rsid w:val="678A2704"/>
    <w:rsid w:val="678A2A34"/>
    <w:rsid w:val="67A3724B"/>
    <w:rsid w:val="68103316"/>
    <w:rsid w:val="68104F00"/>
    <w:rsid w:val="681119AB"/>
    <w:rsid w:val="681903F3"/>
    <w:rsid w:val="683A298A"/>
    <w:rsid w:val="68547921"/>
    <w:rsid w:val="68684333"/>
    <w:rsid w:val="688558EE"/>
    <w:rsid w:val="6894316F"/>
    <w:rsid w:val="68B76F8C"/>
    <w:rsid w:val="68E142F9"/>
    <w:rsid w:val="68E55109"/>
    <w:rsid w:val="68E6295C"/>
    <w:rsid w:val="68F62A64"/>
    <w:rsid w:val="692A19CD"/>
    <w:rsid w:val="692B5C21"/>
    <w:rsid w:val="69640A69"/>
    <w:rsid w:val="6985191D"/>
    <w:rsid w:val="69891AD9"/>
    <w:rsid w:val="69930F2A"/>
    <w:rsid w:val="69A90EE5"/>
    <w:rsid w:val="69A91F10"/>
    <w:rsid w:val="69BF3E4E"/>
    <w:rsid w:val="69D837FB"/>
    <w:rsid w:val="69E13AAB"/>
    <w:rsid w:val="6A5B1BBF"/>
    <w:rsid w:val="6A5B7D15"/>
    <w:rsid w:val="6A614B20"/>
    <w:rsid w:val="6A8723D8"/>
    <w:rsid w:val="6A8B3FD5"/>
    <w:rsid w:val="6A9D05EB"/>
    <w:rsid w:val="6ACC0019"/>
    <w:rsid w:val="6B5F4FBF"/>
    <w:rsid w:val="6B5F6CDF"/>
    <w:rsid w:val="6B6934E5"/>
    <w:rsid w:val="6B7C599D"/>
    <w:rsid w:val="6B8537B8"/>
    <w:rsid w:val="6B8F0831"/>
    <w:rsid w:val="6B933BD1"/>
    <w:rsid w:val="6BDE3876"/>
    <w:rsid w:val="6C313697"/>
    <w:rsid w:val="6C375C0B"/>
    <w:rsid w:val="6C6D1DAA"/>
    <w:rsid w:val="6CAF593B"/>
    <w:rsid w:val="6CBA18DE"/>
    <w:rsid w:val="6CC629C5"/>
    <w:rsid w:val="6CDA3213"/>
    <w:rsid w:val="6D0540F4"/>
    <w:rsid w:val="6D0F0A70"/>
    <w:rsid w:val="6D260D22"/>
    <w:rsid w:val="6D356CAE"/>
    <w:rsid w:val="6D42270A"/>
    <w:rsid w:val="6D57626C"/>
    <w:rsid w:val="6D5B478D"/>
    <w:rsid w:val="6D67726A"/>
    <w:rsid w:val="6D6F1403"/>
    <w:rsid w:val="6D8D2B4F"/>
    <w:rsid w:val="6D983849"/>
    <w:rsid w:val="6D9B170F"/>
    <w:rsid w:val="6D9B77DD"/>
    <w:rsid w:val="6E015460"/>
    <w:rsid w:val="6E0A23F1"/>
    <w:rsid w:val="6E12060E"/>
    <w:rsid w:val="6E3E13AC"/>
    <w:rsid w:val="6E4E78DB"/>
    <w:rsid w:val="6E5630BE"/>
    <w:rsid w:val="6E6B7334"/>
    <w:rsid w:val="6E7A3C97"/>
    <w:rsid w:val="6EA077C9"/>
    <w:rsid w:val="6EC50A61"/>
    <w:rsid w:val="6ECB0FCD"/>
    <w:rsid w:val="6ECB2FF8"/>
    <w:rsid w:val="6EE20B07"/>
    <w:rsid w:val="6F0D0080"/>
    <w:rsid w:val="6F26091C"/>
    <w:rsid w:val="6F2968A7"/>
    <w:rsid w:val="6F3326BD"/>
    <w:rsid w:val="6F5235B2"/>
    <w:rsid w:val="6F96583D"/>
    <w:rsid w:val="6FCC0546"/>
    <w:rsid w:val="6FDE3155"/>
    <w:rsid w:val="6FF62ADC"/>
    <w:rsid w:val="7003136C"/>
    <w:rsid w:val="701366D6"/>
    <w:rsid w:val="70367068"/>
    <w:rsid w:val="706B47FB"/>
    <w:rsid w:val="707B180D"/>
    <w:rsid w:val="708C2478"/>
    <w:rsid w:val="708E17C0"/>
    <w:rsid w:val="70967F6C"/>
    <w:rsid w:val="709B4FC6"/>
    <w:rsid w:val="70A41E82"/>
    <w:rsid w:val="70C203B7"/>
    <w:rsid w:val="70C26FB3"/>
    <w:rsid w:val="70D77010"/>
    <w:rsid w:val="70F5205A"/>
    <w:rsid w:val="70FE7773"/>
    <w:rsid w:val="710C5AF6"/>
    <w:rsid w:val="711C47FF"/>
    <w:rsid w:val="7121017E"/>
    <w:rsid w:val="71213920"/>
    <w:rsid w:val="71237A52"/>
    <w:rsid w:val="713752AB"/>
    <w:rsid w:val="71405100"/>
    <w:rsid w:val="715A032F"/>
    <w:rsid w:val="715C3102"/>
    <w:rsid w:val="715F3681"/>
    <w:rsid w:val="71AB132F"/>
    <w:rsid w:val="71CE3C33"/>
    <w:rsid w:val="71D103F4"/>
    <w:rsid w:val="71D376CA"/>
    <w:rsid w:val="72177501"/>
    <w:rsid w:val="7231447A"/>
    <w:rsid w:val="7239166B"/>
    <w:rsid w:val="72565595"/>
    <w:rsid w:val="72630FC4"/>
    <w:rsid w:val="726B7DC7"/>
    <w:rsid w:val="72717057"/>
    <w:rsid w:val="72814B9F"/>
    <w:rsid w:val="72903933"/>
    <w:rsid w:val="72B33057"/>
    <w:rsid w:val="72C229B4"/>
    <w:rsid w:val="72FC1B90"/>
    <w:rsid w:val="73155AC0"/>
    <w:rsid w:val="731C56E6"/>
    <w:rsid w:val="73242F9A"/>
    <w:rsid w:val="73551986"/>
    <w:rsid w:val="736067E4"/>
    <w:rsid w:val="737F6D6D"/>
    <w:rsid w:val="73D03795"/>
    <w:rsid w:val="73D43285"/>
    <w:rsid w:val="73D96AEE"/>
    <w:rsid w:val="73DC255D"/>
    <w:rsid w:val="73F456D6"/>
    <w:rsid w:val="740D6797"/>
    <w:rsid w:val="741C5BF1"/>
    <w:rsid w:val="747F44C4"/>
    <w:rsid w:val="749331C2"/>
    <w:rsid w:val="74A57096"/>
    <w:rsid w:val="74D6127F"/>
    <w:rsid w:val="7500186E"/>
    <w:rsid w:val="75057D8D"/>
    <w:rsid w:val="754B7577"/>
    <w:rsid w:val="757F5473"/>
    <w:rsid w:val="75877E2C"/>
    <w:rsid w:val="758D193E"/>
    <w:rsid w:val="758D3148"/>
    <w:rsid w:val="75972021"/>
    <w:rsid w:val="75BC1016"/>
    <w:rsid w:val="75E672A0"/>
    <w:rsid w:val="760817C2"/>
    <w:rsid w:val="761C7EEF"/>
    <w:rsid w:val="76330BAD"/>
    <w:rsid w:val="764D253E"/>
    <w:rsid w:val="765349B9"/>
    <w:rsid w:val="7660583D"/>
    <w:rsid w:val="76650552"/>
    <w:rsid w:val="76811339"/>
    <w:rsid w:val="769624CF"/>
    <w:rsid w:val="76F0742D"/>
    <w:rsid w:val="77127C10"/>
    <w:rsid w:val="77277A40"/>
    <w:rsid w:val="772F09A1"/>
    <w:rsid w:val="774F126E"/>
    <w:rsid w:val="77A47D37"/>
    <w:rsid w:val="77BC24A1"/>
    <w:rsid w:val="77DC6BAC"/>
    <w:rsid w:val="77E7796F"/>
    <w:rsid w:val="77F959B0"/>
    <w:rsid w:val="77FA2550"/>
    <w:rsid w:val="78130B8C"/>
    <w:rsid w:val="78280044"/>
    <w:rsid w:val="782F5F2A"/>
    <w:rsid w:val="78460CA7"/>
    <w:rsid w:val="784B2E52"/>
    <w:rsid w:val="786B46BB"/>
    <w:rsid w:val="787C6035"/>
    <w:rsid w:val="788A7EBE"/>
    <w:rsid w:val="789E0725"/>
    <w:rsid w:val="78AF3026"/>
    <w:rsid w:val="78C34413"/>
    <w:rsid w:val="78EB2FD1"/>
    <w:rsid w:val="78F340F1"/>
    <w:rsid w:val="78F750F2"/>
    <w:rsid w:val="79205380"/>
    <w:rsid w:val="792F6301"/>
    <w:rsid w:val="793236F3"/>
    <w:rsid w:val="79935991"/>
    <w:rsid w:val="79B4528C"/>
    <w:rsid w:val="79D102AF"/>
    <w:rsid w:val="79DC7338"/>
    <w:rsid w:val="79FC618D"/>
    <w:rsid w:val="7A06451F"/>
    <w:rsid w:val="7A1A39BC"/>
    <w:rsid w:val="7A3C7DD6"/>
    <w:rsid w:val="7A41719B"/>
    <w:rsid w:val="7A483AC5"/>
    <w:rsid w:val="7A4F3BF4"/>
    <w:rsid w:val="7A5549F4"/>
    <w:rsid w:val="7A810B67"/>
    <w:rsid w:val="7A906689"/>
    <w:rsid w:val="7AA17C39"/>
    <w:rsid w:val="7AA5597C"/>
    <w:rsid w:val="7AB0675E"/>
    <w:rsid w:val="7AF71CB6"/>
    <w:rsid w:val="7B036FEB"/>
    <w:rsid w:val="7B1E4DDB"/>
    <w:rsid w:val="7B202810"/>
    <w:rsid w:val="7B496DBE"/>
    <w:rsid w:val="7B4D0314"/>
    <w:rsid w:val="7B4E56C0"/>
    <w:rsid w:val="7B622DB5"/>
    <w:rsid w:val="7B7541D7"/>
    <w:rsid w:val="7B841A35"/>
    <w:rsid w:val="7B93793E"/>
    <w:rsid w:val="7BA67BFD"/>
    <w:rsid w:val="7BE67FFA"/>
    <w:rsid w:val="7BEE57C9"/>
    <w:rsid w:val="7C0F5212"/>
    <w:rsid w:val="7C625205"/>
    <w:rsid w:val="7C757959"/>
    <w:rsid w:val="7C8214CC"/>
    <w:rsid w:val="7C8E78A6"/>
    <w:rsid w:val="7CD037BA"/>
    <w:rsid w:val="7CD12AFD"/>
    <w:rsid w:val="7CED13BD"/>
    <w:rsid w:val="7CF36E72"/>
    <w:rsid w:val="7D1A7F97"/>
    <w:rsid w:val="7D2124A7"/>
    <w:rsid w:val="7D363021"/>
    <w:rsid w:val="7D8319C8"/>
    <w:rsid w:val="7D8A613E"/>
    <w:rsid w:val="7D9D6DDE"/>
    <w:rsid w:val="7DA4350F"/>
    <w:rsid w:val="7DB72F84"/>
    <w:rsid w:val="7DD2095E"/>
    <w:rsid w:val="7DEC40D1"/>
    <w:rsid w:val="7E0B76D4"/>
    <w:rsid w:val="7E17020F"/>
    <w:rsid w:val="7E1E4705"/>
    <w:rsid w:val="7E4E6D4E"/>
    <w:rsid w:val="7E525AB0"/>
    <w:rsid w:val="7E8104AE"/>
    <w:rsid w:val="7EAF501B"/>
    <w:rsid w:val="7ED1597E"/>
    <w:rsid w:val="7F084567"/>
    <w:rsid w:val="7F0A6447"/>
    <w:rsid w:val="7F0F4F79"/>
    <w:rsid w:val="7F0F63BC"/>
    <w:rsid w:val="7F1615F4"/>
    <w:rsid w:val="7F196534"/>
    <w:rsid w:val="7F337BD2"/>
    <w:rsid w:val="7F3B657D"/>
    <w:rsid w:val="7F460421"/>
    <w:rsid w:val="7F504A21"/>
    <w:rsid w:val="7F6E6CF3"/>
    <w:rsid w:val="7F7F101C"/>
    <w:rsid w:val="7F870AE4"/>
    <w:rsid w:val="7F8C69DC"/>
    <w:rsid w:val="7F9B734D"/>
    <w:rsid w:val="7FB64839"/>
    <w:rsid w:val="EA7D7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0" w:semiHidden="0"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qFormat="1" w:unhideWhenUsed="0" w:uiPriority="0" w:semiHidden="0" w:name="line number"/>
    <w:lsdException w:qFormat="1" w:uiPriority="0" w:semiHidden="0" w:name="page number"/>
    <w:lsdException w:qFormat="1" w:uiPriority="0" w:semiHidden="0" w:name="endnote reference"/>
    <w:lsdException w:qFormat="1" w:uiPriority="0" w:semiHidden="0" w:name="endnote text"/>
    <w:lsdException w:uiPriority="99"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iPriority="0" w:semiHidden="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qFormat="1"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qFormat="1" w:uiPriority="0" w:semiHidden="0" w:name="Body Text First Indent"/>
    <w:lsdException w:qFormat="1" w:uiPriority="0" w:semiHidden="0" w:name="Body Text First Indent 2"/>
    <w:lsdException w:qFormat="1" w:uiPriority="0" w:semiHidden="0" w:name="Note Heading"/>
    <w:lsdException w:qFormat="1" w:uiPriority="0" w:semiHidden="0" w:name="Body Text 2"/>
    <w:lsdException w:qFormat="1" w:unhideWhenUsed="0" w:uiPriority="99"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iPriority="0" w:semiHidden="0" w:name="E-mail Signature"/>
    <w:lsdException w:qFormat="1" w:unhideWhenUsed="0" w:uiPriority="0" w:semiHidden="0" w:name="Normal (Web)"/>
    <w:lsdException w:qFormat="1" w:uiPriority="0" w:semiHidden="0" w:name="HTML Acronym"/>
    <w:lsdException w:qFormat="1" w:uiPriority="0" w:semiHidden="0" w:name="HTML Address"/>
    <w:lsdException w:qFormat="1" w:uiPriority="99"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nhideWhenUsed="0" w:uiPriority="0" w:semiHidden="0" w:name="HTML Typewriter"/>
    <w:lsdException w:qFormat="1" w:uiPriority="99"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iPriority="0" w:semiHidden="0" w:name="Table Simple 2"/>
    <w:lsdException w:qFormat="1" w:uiPriority="0" w:semiHidden="0" w:name="Table Simple 3"/>
    <w:lsdException w:qFormat="1" w:unhideWhenUsed="0" w:uiPriority="0" w:semiHidden="0" w:name="Table Classic 1"/>
    <w:lsdException w:qFormat="1" w:uiPriority="0" w:semiHidden="0" w:name="Table Classic 2"/>
    <w:lsdException w:qFormat="1" w:uiPriority="0" w:semiHidden="0" w:name="Table Classic 3"/>
    <w:lsdException w:qFormat="1"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iPriority="0" w:semiHidden="0" w:name="Table Columns 1"/>
    <w:lsdException w:qFormat="1" w:uiPriority="0" w:semiHidden="0" w:name="Table Columns 2"/>
    <w:lsdException w:qFormat="1" w:uiPriority="0" w:semiHidden="0" w:name="Table Columns 3"/>
    <w:lsdException w:qFormat="1" w:uiPriority="0" w:semiHidden="0" w:name="Table Columns 4"/>
    <w:lsdException w:qFormat="1" w:uiPriority="0" w:semiHidden="0" w:name="Table Columns 5"/>
    <w:lsdException w:qFormat="1" w:unhideWhenUsed="0" w:uiPriority="0" w:semiHidden="0" w:name="Table Grid 1"/>
    <w:lsdException w:qFormat="1" w:unhideWhenUsed="0" w:uiPriority="0" w:semiHidden="0" w:name="Table Grid 2"/>
    <w:lsdException w:qFormat="1" w:uiPriority="0" w:semiHidden="0" w:name="Table Grid 3"/>
    <w:lsdException w:qFormat="1"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iPriority="0" w:semiHidden="0" w:name="Table List 1"/>
    <w:lsdException w:qFormat="1" w:uiPriority="0" w:semiHidden="0" w:name="Table List 2"/>
    <w:lsdException w:qFormat="1" w:unhideWhenUsed="0" w:uiPriority="0" w:semiHidden="0" w:name="Table List 3"/>
    <w:lsdException w:qFormat="1" w:uiPriority="0" w:semiHidden="0" w:name="Table List 4"/>
    <w:lsdException w:qFormat="1" w:unhideWhenUsed="0" w:uiPriority="0" w:semiHidden="0" w:name="Table List 5"/>
    <w:lsdException w:qFormat="1" w:uiPriority="0" w:semiHidden="0" w:name="Table List 6"/>
    <w:lsdException w:qFormat="1" w:uiPriority="0" w:semiHidden="0" w:name="Table List 7"/>
    <w:lsdException w:qFormat="1" w:uiPriority="0" w:semiHidden="0" w:name="Table List 8"/>
    <w:lsdException w:qFormat="1" w:uiPriority="0" w:semiHidden="0" w:name="Table 3D effects 1"/>
    <w:lsdException w:qFormat="1" w:uiPriority="0" w:semiHidden="0" w:name="Table 3D effects 2"/>
    <w:lsdException w:qFormat="1" w:uiPriority="0" w:semiHidden="0" w:name="Table 3D effects 3"/>
    <w:lsdException w:qFormat="1" w:uiPriority="0" w:semiHidden="0" w:name="Table Contemporary"/>
    <w:lsdException w:qFormat="1" w:uiPriority="0" w:semiHidden="0" w:name="Table Elegant"/>
    <w:lsdException w:qFormat="1" w:unhideWhenUsed="0" w:uiPriority="0" w:semiHidden="0" w:name="Table Professional"/>
    <w:lsdException w:qFormat="1" w:uiPriority="0" w:semiHidden="0" w:name="Table Subtle 1"/>
    <w:lsdException w:qFormat="1" w:uiPriority="0" w:semiHidden="0" w:name="Table Subtle 2"/>
    <w:lsdException w:qFormat="1" w:uiPriority="0" w:semiHidden="0" w:name="Table Web 1"/>
    <w:lsdException w:qFormat="1" w:uiPriority="0" w:semiHidden="0" w:name="Table Web 2"/>
    <w:lsdException w:qFormat="1" w:uiPriority="0" w:semiHidden="0" w:name="Table Web 3"/>
    <w:lsdException w:qFormat="1" w:unhideWhenUsed="0" w:uiPriority="0" w:semiHidden="0" w:name="Balloon Text"/>
    <w:lsdException w:qFormat="1" w:uiPriority="0"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kern w:val="2"/>
      <w:sz w:val="25"/>
      <w:szCs w:val="25"/>
      <w:lang w:val="en-US" w:eastAsia="zh-CN" w:bidi="ar-SA"/>
    </w:rPr>
  </w:style>
  <w:style w:type="paragraph" w:styleId="3">
    <w:name w:val="heading 1"/>
    <w:basedOn w:val="1"/>
    <w:next w:val="1"/>
    <w:link w:val="162"/>
    <w:qFormat/>
    <w:uiPriority w:val="0"/>
    <w:pPr>
      <w:keepNext/>
      <w:keepLines/>
      <w:spacing w:beforeLines="200" w:line="360" w:lineRule="auto"/>
      <w:outlineLvl w:val="0"/>
    </w:pPr>
    <w:rPr>
      <w:rFonts w:ascii="Times New Roman" w:eastAsia="黑体"/>
      <w:snapToGrid w:val="0"/>
      <w:kern w:val="44"/>
      <w:sz w:val="24"/>
      <w:szCs w:val="24"/>
    </w:rPr>
  </w:style>
  <w:style w:type="paragraph" w:styleId="4">
    <w:name w:val="heading 2"/>
    <w:basedOn w:val="1"/>
    <w:next w:val="1"/>
    <w:link w:val="165"/>
    <w:qFormat/>
    <w:uiPriority w:val="0"/>
    <w:pPr>
      <w:keepNext/>
      <w:keepLines/>
      <w:spacing w:before="260" w:after="260" w:line="416" w:lineRule="auto"/>
      <w:outlineLvl w:val="1"/>
    </w:pPr>
    <w:rPr>
      <w:rFonts w:ascii="Calibri Light" w:hAnsi="Calibri Light"/>
      <w:b/>
      <w:bCs/>
      <w:snapToGrid w:val="0"/>
      <w:sz w:val="32"/>
      <w:szCs w:val="32"/>
    </w:rPr>
  </w:style>
  <w:style w:type="paragraph" w:styleId="5">
    <w:name w:val="heading 3"/>
    <w:basedOn w:val="1"/>
    <w:next w:val="1"/>
    <w:link w:val="168"/>
    <w:qFormat/>
    <w:uiPriority w:val="0"/>
    <w:pPr>
      <w:keepNext/>
      <w:keepLines/>
      <w:spacing w:before="260" w:after="260" w:line="500" w:lineRule="exact"/>
      <w:outlineLvl w:val="2"/>
    </w:pPr>
    <w:rPr>
      <w:rFonts w:ascii="Times New Roman"/>
      <w:b/>
      <w:bCs/>
      <w:sz w:val="30"/>
      <w:szCs w:val="32"/>
    </w:rPr>
  </w:style>
  <w:style w:type="paragraph" w:styleId="6">
    <w:name w:val="heading 4"/>
    <w:basedOn w:val="1"/>
    <w:next w:val="1"/>
    <w:link w:val="163"/>
    <w:qFormat/>
    <w:uiPriority w:val="0"/>
    <w:pPr>
      <w:tabs>
        <w:tab w:val="left" w:pos="360"/>
        <w:tab w:val="left" w:pos="2207"/>
      </w:tabs>
      <w:spacing w:beforeLines="50" w:afterLines="50"/>
      <w:outlineLvl w:val="3"/>
    </w:pPr>
    <w:rPr>
      <w:rFonts w:hAnsi="宋体" w:eastAsia="黑体"/>
      <w:snapToGrid w:val="0"/>
      <w:color w:val="000000"/>
      <w:sz w:val="24"/>
      <w:szCs w:val="24"/>
    </w:rPr>
  </w:style>
  <w:style w:type="paragraph" w:styleId="7">
    <w:name w:val="heading 5"/>
    <w:basedOn w:val="1"/>
    <w:next w:val="1"/>
    <w:link w:val="169"/>
    <w:qFormat/>
    <w:uiPriority w:val="0"/>
    <w:pPr>
      <w:tabs>
        <w:tab w:val="left" w:pos="1440"/>
        <w:tab w:val="left" w:pos="2627"/>
      </w:tabs>
      <w:ind w:left="1440" w:hanging="1440"/>
      <w:outlineLvl w:val="4"/>
    </w:pPr>
    <w:rPr>
      <w:rFonts w:hint="eastAsia" w:hAnsi="宋体"/>
      <w:color w:val="000000"/>
      <w:sz w:val="24"/>
      <w:szCs w:val="24"/>
    </w:rPr>
  </w:style>
  <w:style w:type="paragraph" w:styleId="8">
    <w:name w:val="heading 6"/>
    <w:next w:val="1"/>
    <w:link w:val="171"/>
    <w:qFormat/>
    <w:uiPriority w:val="0"/>
    <w:pPr>
      <w:tabs>
        <w:tab w:val="left" w:pos="1800"/>
        <w:tab w:val="left" w:pos="3047"/>
      </w:tabs>
      <w:ind w:firstLine="397"/>
      <w:outlineLvl w:val="5"/>
    </w:pPr>
    <w:rPr>
      <w:rFonts w:ascii="Times New Roman" w:hAnsi="Times New Roman" w:eastAsia="宋体" w:cs="Times New Roman"/>
      <w:lang w:val="en-US" w:eastAsia="zh-CN" w:bidi="ar-SA"/>
    </w:rPr>
  </w:style>
  <w:style w:type="paragraph" w:styleId="9">
    <w:name w:val="heading 7"/>
    <w:next w:val="1"/>
    <w:link w:val="172"/>
    <w:qFormat/>
    <w:uiPriority w:val="0"/>
    <w:pPr>
      <w:tabs>
        <w:tab w:val="left" w:pos="2160"/>
        <w:tab w:val="left" w:pos="3467"/>
      </w:tabs>
      <w:ind w:left="2160" w:hanging="2160"/>
      <w:outlineLvl w:val="6"/>
    </w:pPr>
    <w:rPr>
      <w:rFonts w:ascii="Times New Roman" w:hAnsi="Times New Roman" w:eastAsia="宋体" w:cs="Times New Roman"/>
      <w:lang w:val="en-US" w:eastAsia="zh-CN" w:bidi="ar-SA"/>
    </w:rPr>
  </w:style>
  <w:style w:type="paragraph" w:styleId="10">
    <w:name w:val="heading 8"/>
    <w:next w:val="1"/>
    <w:link w:val="173"/>
    <w:qFormat/>
    <w:uiPriority w:val="0"/>
    <w:pPr>
      <w:tabs>
        <w:tab w:val="left" w:pos="2160"/>
        <w:tab w:val="left" w:pos="3887"/>
      </w:tabs>
      <w:ind w:left="2160" w:hanging="2160"/>
      <w:outlineLvl w:val="7"/>
    </w:pPr>
    <w:rPr>
      <w:rFonts w:ascii="Times New Roman" w:hAnsi="Times New Roman" w:eastAsia="宋体" w:cs="Times New Roman"/>
      <w:lang w:val="en-US" w:eastAsia="zh-CN" w:bidi="ar-SA"/>
    </w:rPr>
  </w:style>
  <w:style w:type="paragraph" w:styleId="11">
    <w:name w:val="heading 9"/>
    <w:basedOn w:val="1"/>
    <w:next w:val="1"/>
    <w:link w:val="174"/>
    <w:qFormat/>
    <w:uiPriority w:val="0"/>
    <w:pPr>
      <w:keepNext/>
      <w:keepLines/>
      <w:adjustRightInd w:val="0"/>
      <w:spacing w:before="240" w:after="64" w:line="320" w:lineRule="atLeast"/>
      <w:textAlignment w:val="baseline"/>
      <w:outlineLvl w:val="8"/>
    </w:pPr>
    <w:rPr>
      <w:rFonts w:ascii="Arial" w:hAnsi="Arial" w:eastAsia="黑体"/>
      <w:kern w:val="0"/>
      <w:sz w:val="30"/>
      <w:szCs w:val="20"/>
    </w:rPr>
  </w:style>
  <w:style w:type="character" w:default="1" w:styleId="129">
    <w:name w:val="Default Paragraph Font"/>
    <w:semiHidden/>
    <w:unhideWhenUsed/>
    <w:qFormat/>
    <w:uiPriority w:val="1"/>
  </w:style>
  <w:style w:type="table" w:default="1" w:styleId="84">
    <w:name w:val="Normal Table"/>
    <w:semiHidden/>
    <w:unhideWhenUsed/>
    <w:qFormat/>
    <w:uiPriority w:val="99"/>
    <w:tblPr>
      <w:tblCellMar>
        <w:top w:w="0" w:type="dxa"/>
        <w:left w:w="108" w:type="dxa"/>
        <w:bottom w:w="0" w:type="dxa"/>
        <w:right w:w="108" w:type="dxa"/>
      </w:tblCellMar>
    </w:tblPr>
  </w:style>
  <w:style w:type="paragraph" w:styleId="2">
    <w:name w:val="macro"/>
    <w:link w:val="17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paragraph" w:styleId="12">
    <w:name w:val="List 3"/>
    <w:basedOn w:val="1"/>
    <w:qFormat/>
    <w:uiPriority w:val="0"/>
    <w:pPr>
      <w:widowControl/>
      <w:spacing w:line="480" w:lineRule="exact"/>
      <w:ind w:left="100" w:leftChars="400" w:hanging="200" w:hangingChars="200"/>
      <w:jc w:val="left"/>
    </w:pPr>
    <w:rPr>
      <w:rFonts w:ascii="Times New Roman" w:cs="宋体"/>
      <w:kern w:val="0"/>
      <w:sz w:val="24"/>
      <w:szCs w:val="24"/>
    </w:rPr>
  </w:style>
  <w:style w:type="paragraph" w:styleId="13">
    <w:name w:val="toc 7"/>
    <w:basedOn w:val="1"/>
    <w:next w:val="1"/>
    <w:link w:val="176"/>
    <w:qFormat/>
    <w:uiPriority w:val="39"/>
    <w:pPr>
      <w:ind w:left="1260"/>
      <w:jc w:val="left"/>
    </w:pPr>
    <w:rPr>
      <w:rFonts w:ascii="Times New Roman"/>
      <w:sz w:val="18"/>
      <w:szCs w:val="18"/>
    </w:rPr>
  </w:style>
  <w:style w:type="paragraph" w:styleId="14">
    <w:name w:val="List Number 2"/>
    <w:basedOn w:val="1"/>
    <w:qFormat/>
    <w:uiPriority w:val="0"/>
    <w:pPr>
      <w:widowControl/>
      <w:tabs>
        <w:tab w:val="left" w:pos="360"/>
      </w:tabs>
      <w:spacing w:line="480" w:lineRule="exact"/>
      <w:ind w:left="360" w:hanging="360"/>
      <w:jc w:val="left"/>
    </w:pPr>
    <w:rPr>
      <w:rFonts w:ascii="Times New Roman" w:cs="宋体"/>
      <w:kern w:val="0"/>
      <w:sz w:val="24"/>
      <w:szCs w:val="24"/>
    </w:rPr>
  </w:style>
  <w:style w:type="paragraph" w:styleId="15">
    <w:name w:val="Note Heading"/>
    <w:basedOn w:val="1"/>
    <w:next w:val="1"/>
    <w:link w:val="177"/>
    <w:unhideWhenUsed/>
    <w:qFormat/>
    <w:uiPriority w:val="0"/>
    <w:pPr>
      <w:jc w:val="center"/>
    </w:pPr>
    <w:rPr>
      <w:rFonts w:hAnsi="宋体" w:cs="宋体"/>
      <w:kern w:val="0"/>
      <w:sz w:val="24"/>
      <w:szCs w:val="24"/>
    </w:rPr>
  </w:style>
  <w:style w:type="paragraph" w:styleId="16">
    <w:name w:val="List Bullet 4"/>
    <w:basedOn w:val="1"/>
    <w:qFormat/>
    <w:uiPriority w:val="0"/>
    <w:pPr>
      <w:tabs>
        <w:tab w:val="left" w:pos="720"/>
      </w:tabs>
      <w:ind w:left="720" w:hanging="720"/>
    </w:pPr>
    <w:rPr>
      <w:spacing w:val="5"/>
    </w:rPr>
  </w:style>
  <w:style w:type="paragraph" w:styleId="17">
    <w:name w:val="index 8"/>
    <w:basedOn w:val="1"/>
    <w:next w:val="1"/>
    <w:qFormat/>
    <w:uiPriority w:val="0"/>
    <w:pPr>
      <w:ind w:left="2000" w:hanging="250"/>
      <w:jc w:val="left"/>
    </w:pPr>
    <w:rPr>
      <w:rFonts w:ascii="ˎ̥" w:hAnsi="ˎ̥" w:eastAsia="FLGPEK+TimesNewRoman,Italic" w:cs="ˎ̥"/>
      <w:spacing w:val="5"/>
      <w:sz w:val="20"/>
      <w:szCs w:val="20"/>
    </w:rPr>
  </w:style>
  <w:style w:type="paragraph" w:styleId="18">
    <w:name w:val="E-mail Signature"/>
    <w:basedOn w:val="1"/>
    <w:link w:val="178"/>
    <w:unhideWhenUsed/>
    <w:qFormat/>
    <w:uiPriority w:val="0"/>
    <w:rPr>
      <w:rFonts w:ascii="Calibri" w:hAnsi="Calibri"/>
      <w:kern w:val="0"/>
      <w:sz w:val="20"/>
      <w:szCs w:val="24"/>
    </w:rPr>
  </w:style>
  <w:style w:type="paragraph" w:styleId="19">
    <w:name w:val="List Number"/>
    <w:basedOn w:val="1"/>
    <w:qFormat/>
    <w:uiPriority w:val="0"/>
    <w:pPr>
      <w:widowControl/>
      <w:tabs>
        <w:tab w:val="left" w:pos="360"/>
      </w:tabs>
      <w:spacing w:line="480" w:lineRule="exact"/>
      <w:ind w:left="360" w:hanging="360"/>
      <w:jc w:val="left"/>
    </w:pPr>
    <w:rPr>
      <w:rFonts w:ascii="Times New Roman" w:cs="宋体"/>
      <w:kern w:val="0"/>
      <w:sz w:val="24"/>
      <w:szCs w:val="24"/>
    </w:rPr>
  </w:style>
  <w:style w:type="paragraph" w:styleId="20">
    <w:name w:val="Normal Indent"/>
    <w:basedOn w:val="1"/>
    <w:link w:val="179"/>
    <w:unhideWhenUsed/>
    <w:qFormat/>
    <w:uiPriority w:val="0"/>
    <w:pPr>
      <w:ind w:firstLine="420"/>
    </w:pPr>
    <w:rPr>
      <w:rFonts w:ascii="Times New Roman" w:eastAsia="黑体"/>
      <w:snapToGrid w:val="0"/>
      <w:sz w:val="21"/>
      <w:szCs w:val="24"/>
    </w:rPr>
  </w:style>
  <w:style w:type="paragraph" w:styleId="21">
    <w:name w:val="caption"/>
    <w:basedOn w:val="1"/>
    <w:next w:val="1"/>
    <w:link w:val="180"/>
    <w:qFormat/>
    <w:uiPriority w:val="0"/>
    <w:rPr>
      <w:rFonts w:ascii="Arial" w:hAnsi="Arial" w:eastAsia="黑体" w:cs="Arial"/>
      <w:sz w:val="20"/>
      <w:szCs w:val="20"/>
    </w:rPr>
  </w:style>
  <w:style w:type="paragraph" w:styleId="22">
    <w:name w:val="index 5"/>
    <w:basedOn w:val="1"/>
    <w:next w:val="1"/>
    <w:qFormat/>
    <w:uiPriority w:val="0"/>
    <w:pPr>
      <w:ind w:left="1250" w:hanging="250"/>
      <w:jc w:val="left"/>
    </w:pPr>
    <w:rPr>
      <w:rFonts w:ascii="ˎ̥" w:hAnsi="ˎ̥" w:eastAsia="FLGPEK+TimesNewRoman,Italic" w:cs="ˎ̥"/>
      <w:spacing w:val="5"/>
      <w:sz w:val="20"/>
      <w:szCs w:val="20"/>
    </w:rPr>
  </w:style>
  <w:style w:type="paragraph" w:styleId="23">
    <w:name w:val="List Bullet"/>
    <w:basedOn w:val="1"/>
    <w:qFormat/>
    <w:uiPriority w:val="0"/>
    <w:pPr>
      <w:tabs>
        <w:tab w:val="left" w:pos="360"/>
      </w:tabs>
      <w:adjustRightInd w:val="0"/>
      <w:spacing w:line="312" w:lineRule="atLeast"/>
      <w:ind w:left="360" w:hanging="360"/>
      <w:textAlignment w:val="baseline"/>
    </w:pPr>
    <w:rPr>
      <w:rFonts w:ascii="Times New Roman"/>
      <w:kern w:val="0"/>
      <w:sz w:val="21"/>
      <w:szCs w:val="20"/>
    </w:rPr>
  </w:style>
  <w:style w:type="paragraph" w:styleId="24">
    <w:name w:val="Document Map"/>
    <w:basedOn w:val="1"/>
    <w:link w:val="181"/>
    <w:qFormat/>
    <w:uiPriority w:val="0"/>
    <w:pPr>
      <w:shd w:val="clear" w:color="auto" w:fill="000080"/>
    </w:pPr>
    <w:rPr>
      <w:rFonts w:ascii="Times New Roman" w:eastAsia="黑体"/>
      <w:snapToGrid w:val="0"/>
      <w:sz w:val="21"/>
      <w:szCs w:val="24"/>
    </w:rPr>
  </w:style>
  <w:style w:type="paragraph" w:styleId="25">
    <w:name w:val="toa heading"/>
    <w:basedOn w:val="1"/>
    <w:next w:val="1"/>
    <w:qFormat/>
    <w:uiPriority w:val="0"/>
    <w:pPr>
      <w:spacing w:before="120"/>
    </w:pPr>
    <w:rPr>
      <w:rFonts w:ascii="Arial" w:hAnsi="Arial" w:cs="Arial"/>
      <w:sz w:val="24"/>
      <w:szCs w:val="24"/>
    </w:rPr>
  </w:style>
  <w:style w:type="paragraph" w:styleId="26">
    <w:name w:val="annotation text"/>
    <w:basedOn w:val="1"/>
    <w:link w:val="182"/>
    <w:unhideWhenUsed/>
    <w:qFormat/>
    <w:uiPriority w:val="0"/>
    <w:pPr>
      <w:jc w:val="left"/>
    </w:pPr>
  </w:style>
  <w:style w:type="paragraph" w:styleId="27">
    <w:name w:val="index 6"/>
    <w:basedOn w:val="1"/>
    <w:next w:val="1"/>
    <w:qFormat/>
    <w:uiPriority w:val="0"/>
    <w:pPr>
      <w:widowControl/>
      <w:spacing w:line="480" w:lineRule="exact"/>
      <w:ind w:left="1260" w:hanging="210" w:firstLineChars="200"/>
      <w:jc w:val="left"/>
    </w:pPr>
    <w:rPr>
      <w:rFonts w:hAnsi="宋体" w:cs="宋体"/>
      <w:kern w:val="0"/>
      <w:sz w:val="24"/>
      <w:szCs w:val="24"/>
    </w:rPr>
  </w:style>
  <w:style w:type="paragraph" w:styleId="28">
    <w:name w:val="Salutation"/>
    <w:basedOn w:val="1"/>
    <w:next w:val="1"/>
    <w:link w:val="183"/>
    <w:unhideWhenUsed/>
    <w:qFormat/>
    <w:uiPriority w:val="0"/>
    <w:rPr>
      <w:rFonts w:hAnsi="宋体" w:cs="宋体"/>
      <w:kern w:val="0"/>
      <w:sz w:val="28"/>
      <w:szCs w:val="24"/>
    </w:rPr>
  </w:style>
  <w:style w:type="paragraph" w:styleId="29">
    <w:name w:val="Body Text 3"/>
    <w:basedOn w:val="1"/>
    <w:link w:val="184"/>
    <w:qFormat/>
    <w:uiPriority w:val="99"/>
    <w:pPr>
      <w:spacing w:after="120"/>
    </w:pPr>
    <w:rPr>
      <w:spacing w:val="5"/>
      <w:sz w:val="16"/>
      <w:szCs w:val="16"/>
    </w:rPr>
  </w:style>
  <w:style w:type="paragraph" w:styleId="30">
    <w:name w:val="Closing"/>
    <w:basedOn w:val="1"/>
    <w:link w:val="185"/>
    <w:unhideWhenUsed/>
    <w:qFormat/>
    <w:uiPriority w:val="0"/>
    <w:pPr>
      <w:ind w:left="100" w:leftChars="2100"/>
    </w:pPr>
    <w:rPr>
      <w:rFonts w:ascii="Calibri" w:hAnsi="Calibri"/>
      <w:kern w:val="0"/>
      <w:sz w:val="16"/>
      <w:szCs w:val="20"/>
    </w:rPr>
  </w:style>
  <w:style w:type="paragraph" w:styleId="31">
    <w:name w:val="List Bullet 3"/>
    <w:basedOn w:val="1"/>
    <w:qFormat/>
    <w:uiPriority w:val="0"/>
    <w:pPr>
      <w:widowControl/>
      <w:tabs>
        <w:tab w:val="left" w:pos="1280"/>
      </w:tabs>
      <w:spacing w:line="480" w:lineRule="exact"/>
      <w:ind w:left="1280" w:hanging="720"/>
      <w:jc w:val="left"/>
    </w:pPr>
    <w:rPr>
      <w:rFonts w:ascii="Times New Roman" w:cs="宋体"/>
      <w:kern w:val="0"/>
      <w:sz w:val="24"/>
      <w:szCs w:val="24"/>
    </w:rPr>
  </w:style>
  <w:style w:type="paragraph" w:styleId="32">
    <w:name w:val="Body Text"/>
    <w:basedOn w:val="1"/>
    <w:link w:val="186"/>
    <w:unhideWhenUsed/>
    <w:qFormat/>
    <w:uiPriority w:val="0"/>
    <w:pPr>
      <w:spacing w:after="120"/>
    </w:pPr>
  </w:style>
  <w:style w:type="paragraph" w:styleId="33">
    <w:name w:val="Body Text Indent"/>
    <w:basedOn w:val="1"/>
    <w:link w:val="187"/>
    <w:unhideWhenUsed/>
    <w:qFormat/>
    <w:uiPriority w:val="0"/>
    <w:pPr>
      <w:spacing w:line="440" w:lineRule="atLeast"/>
      <w:ind w:firstLine="482"/>
    </w:pPr>
    <w:rPr>
      <w:rFonts w:hint="eastAsia" w:hAnsi="宋体" w:cs="Arial"/>
      <w:sz w:val="24"/>
      <w:szCs w:val="24"/>
    </w:rPr>
  </w:style>
  <w:style w:type="paragraph" w:styleId="34">
    <w:name w:val="List Number 3"/>
    <w:basedOn w:val="1"/>
    <w:qFormat/>
    <w:uiPriority w:val="0"/>
    <w:pPr>
      <w:widowControl/>
      <w:tabs>
        <w:tab w:val="left" w:pos="1415"/>
      </w:tabs>
      <w:spacing w:line="480" w:lineRule="exact"/>
      <w:ind w:left="1415" w:hanging="855"/>
      <w:jc w:val="left"/>
    </w:pPr>
    <w:rPr>
      <w:rFonts w:ascii="Times New Roman" w:cs="宋体"/>
      <w:kern w:val="0"/>
      <w:sz w:val="24"/>
      <w:szCs w:val="24"/>
    </w:rPr>
  </w:style>
  <w:style w:type="paragraph" w:styleId="35">
    <w:name w:val="List 2"/>
    <w:basedOn w:val="1"/>
    <w:qFormat/>
    <w:uiPriority w:val="0"/>
    <w:pPr>
      <w:spacing w:line="360" w:lineRule="exact"/>
      <w:jc w:val="center"/>
    </w:pPr>
    <w:rPr>
      <w:rFonts w:ascii="仿宋_GB2312" w:eastAsia="仿宋_GB2312"/>
      <w:sz w:val="21"/>
      <w:szCs w:val="24"/>
    </w:rPr>
  </w:style>
  <w:style w:type="paragraph" w:styleId="36">
    <w:name w:val="Block Text"/>
    <w:basedOn w:val="1"/>
    <w:next w:val="1"/>
    <w:link w:val="188"/>
    <w:qFormat/>
    <w:uiPriority w:val="0"/>
    <w:pPr>
      <w:widowControl/>
      <w:ind w:left="-178" w:leftChars="-85" w:right="-153" w:rightChars="-73" w:firstLine="480" w:firstLineChars="160"/>
      <w:jc w:val="left"/>
    </w:pPr>
    <w:rPr>
      <w:rFonts w:ascii="仿宋_GB2312" w:eastAsia="仿宋_GB2312" w:cs="宋体"/>
      <w:kern w:val="0"/>
      <w:sz w:val="30"/>
      <w:szCs w:val="24"/>
    </w:rPr>
  </w:style>
  <w:style w:type="paragraph" w:styleId="37">
    <w:name w:val="List Bullet 2"/>
    <w:basedOn w:val="1"/>
    <w:qFormat/>
    <w:uiPriority w:val="0"/>
    <w:pPr>
      <w:tabs>
        <w:tab w:val="left" w:pos="480"/>
      </w:tabs>
      <w:ind w:left="480" w:hanging="480"/>
    </w:pPr>
    <w:rPr>
      <w:spacing w:val="5"/>
    </w:rPr>
  </w:style>
  <w:style w:type="paragraph" w:styleId="38">
    <w:name w:val="HTML Address"/>
    <w:basedOn w:val="1"/>
    <w:link w:val="189"/>
    <w:unhideWhenUsed/>
    <w:qFormat/>
    <w:uiPriority w:val="0"/>
    <w:rPr>
      <w:rFonts w:ascii="Times New Roman"/>
      <w:i/>
      <w:iCs/>
      <w:kern w:val="0"/>
      <w:sz w:val="20"/>
      <w:szCs w:val="24"/>
    </w:rPr>
  </w:style>
  <w:style w:type="paragraph" w:styleId="39">
    <w:name w:val="index 4"/>
    <w:basedOn w:val="1"/>
    <w:next w:val="1"/>
    <w:qFormat/>
    <w:uiPriority w:val="0"/>
    <w:pPr>
      <w:ind w:left="1000" w:hanging="250"/>
      <w:jc w:val="left"/>
    </w:pPr>
    <w:rPr>
      <w:rFonts w:ascii="ˎ̥" w:hAnsi="ˎ̥" w:eastAsia="FLGPEK+TimesNewRoman,Italic" w:cs="ˎ̥"/>
      <w:spacing w:val="5"/>
      <w:sz w:val="20"/>
      <w:szCs w:val="20"/>
    </w:rPr>
  </w:style>
  <w:style w:type="paragraph" w:styleId="40">
    <w:name w:val="toc 5"/>
    <w:basedOn w:val="1"/>
    <w:next w:val="1"/>
    <w:qFormat/>
    <w:uiPriority w:val="39"/>
    <w:pPr>
      <w:ind w:left="840"/>
      <w:jc w:val="left"/>
    </w:pPr>
    <w:rPr>
      <w:rFonts w:ascii="Times New Roman"/>
      <w:sz w:val="18"/>
      <w:szCs w:val="18"/>
    </w:rPr>
  </w:style>
  <w:style w:type="paragraph" w:styleId="41">
    <w:name w:val="toc 3"/>
    <w:basedOn w:val="1"/>
    <w:next w:val="1"/>
    <w:qFormat/>
    <w:uiPriority w:val="39"/>
    <w:pPr>
      <w:ind w:left="420"/>
      <w:jc w:val="left"/>
    </w:pPr>
    <w:rPr>
      <w:rFonts w:ascii="Times New Roman"/>
      <w:i/>
      <w:iCs/>
      <w:sz w:val="20"/>
      <w:szCs w:val="20"/>
    </w:rPr>
  </w:style>
  <w:style w:type="paragraph" w:styleId="42">
    <w:name w:val="Plain Text"/>
    <w:basedOn w:val="1"/>
    <w:next w:val="1"/>
    <w:link w:val="190"/>
    <w:qFormat/>
    <w:uiPriority w:val="0"/>
    <w:rPr>
      <w:rFonts w:hAnsi="Courier New"/>
      <w:spacing w:val="5"/>
    </w:rPr>
  </w:style>
  <w:style w:type="paragraph" w:styleId="43">
    <w:name w:val="List Bullet 5"/>
    <w:basedOn w:val="1"/>
    <w:qFormat/>
    <w:uiPriority w:val="0"/>
    <w:pPr>
      <w:widowControl/>
      <w:tabs>
        <w:tab w:val="left" w:pos="1280"/>
      </w:tabs>
      <w:spacing w:line="480" w:lineRule="exact"/>
      <w:ind w:left="1280" w:hanging="720"/>
      <w:jc w:val="left"/>
    </w:pPr>
    <w:rPr>
      <w:rFonts w:ascii="Times New Roman" w:cs="宋体"/>
      <w:kern w:val="0"/>
      <w:sz w:val="24"/>
      <w:szCs w:val="24"/>
    </w:rPr>
  </w:style>
  <w:style w:type="paragraph" w:styleId="44">
    <w:name w:val="List Number 4"/>
    <w:basedOn w:val="1"/>
    <w:qFormat/>
    <w:uiPriority w:val="0"/>
    <w:pPr>
      <w:widowControl/>
      <w:tabs>
        <w:tab w:val="left" w:pos="1280"/>
      </w:tabs>
      <w:spacing w:line="480" w:lineRule="exact"/>
      <w:ind w:left="1280" w:hanging="720"/>
      <w:jc w:val="left"/>
    </w:pPr>
    <w:rPr>
      <w:rFonts w:ascii="Times New Roman" w:cs="宋体"/>
      <w:kern w:val="0"/>
      <w:sz w:val="24"/>
      <w:szCs w:val="24"/>
    </w:rPr>
  </w:style>
  <w:style w:type="paragraph" w:styleId="45">
    <w:name w:val="toc 8"/>
    <w:basedOn w:val="1"/>
    <w:next w:val="1"/>
    <w:qFormat/>
    <w:uiPriority w:val="39"/>
    <w:pPr>
      <w:ind w:left="1470"/>
      <w:jc w:val="left"/>
    </w:pPr>
    <w:rPr>
      <w:rFonts w:ascii="Times New Roman"/>
      <w:sz w:val="18"/>
      <w:szCs w:val="18"/>
    </w:rPr>
  </w:style>
  <w:style w:type="paragraph" w:styleId="46">
    <w:name w:val="index 3"/>
    <w:basedOn w:val="1"/>
    <w:next w:val="1"/>
    <w:qFormat/>
    <w:uiPriority w:val="0"/>
    <w:pPr>
      <w:ind w:left="750" w:hanging="250"/>
      <w:jc w:val="left"/>
    </w:pPr>
    <w:rPr>
      <w:rFonts w:ascii="ˎ̥" w:hAnsi="ˎ̥" w:eastAsia="FLGPEK+TimesNewRoman,Italic" w:cs="ˎ̥"/>
      <w:spacing w:val="5"/>
      <w:sz w:val="20"/>
      <w:szCs w:val="20"/>
    </w:rPr>
  </w:style>
  <w:style w:type="paragraph" w:styleId="47">
    <w:name w:val="Date"/>
    <w:basedOn w:val="1"/>
    <w:next w:val="1"/>
    <w:link w:val="191"/>
    <w:qFormat/>
    <w:uiPriority w:val="0"/>
    <w:rPr>
      <w:rFonts w:eastAsia="黑体"/>
      <w:snapToGrid w:val="0"/>
      <w:sz w:val="28"/>
      <w:szCs w:val="24"/>
    </w:rPr>
  </w:style>
  <w:style w:type="paragraph" w:styleId="48">
    <w:name w:val="Body Text Indent 2"/>
    <w:basedOn w:val="1"/>
    <w:link w:val="192"/>
    <w:qFormat/>
    <w:uiPriority w:val="0"/>
    <w:pPr>
      <w:spacing w:after="120" w:line="480" w:lineRule="auto"/>
      <w:ind w:left="420" w:leftChars="200"/>
    </w:pPr>
    <w:rPr>
      <w:rFonts w:ascii="Times New Roman" w:eastAsia="黑体"/>
      <w:snapToGrid w:val="0"/>
      <w:sz w:val="21"/>
      <w:szCs w:val="24"/>
    </w:rPr>
  </w:style>
  <w:style w:type="paragraph" w:styleId="49">
    <w:name w:val="endnote text"/>
    <w:basedOn w:val="1"/>
    <w:link w:val="193"/>
    <w:unhideWhenUsed/>
    <w:qFormat/>
    <w:uiPriority w:val="0"/>
    <w:pPr>
      <w:snapToGrid w:val="0"/>
      <w:jc w:val="left"/>
    </w:pPr>
    <w:rPr>
      <w:rFonts w:ascii="Calibri" w:hAnsi="Calibri" w:cs="宋体"/>
      <w:kern w:val="0"/>
      <w:sz w:val="24"/>
      <w:szCs w:val="24"/>
    </w:rPr>
  </w:style>
  <w:style w:type="paragraph" w:styleId="50">
    <w:name w:val="Balloon Text"/>
    <w:basedOn w:val="1"/>
    <w:link w:val="194"/>
    <w:qFormat/>
    <w:uiPriority w:val="0"/>
    <w:rPr>
      <w:rFonts w:ascii="Times New Roman" w:eastAsia="黑体"/>
      <w:snapToGrid w:val="0"/>
      <w:sz w:val="18"/>
      <w:szCs w:val="18"/>
    </w:rPr>
  </w:style>
  <w:style w:type="paragraph" w:styleId="51">
    <w:name w:val="footer"/>
    <w:basedOn w:val="1"/>
    <w:link w:val="195"/>
    <w:qFormat/>
    <w:uiPriority w:val="99"/>
    <w:pPr>
      <w:tabs>
        <w:tab w:val="center" w:pos="4153"/>
        <w:tab w:val="right" w:pos="8306"/>
      </w:tabs>
      <w:snapToGrid w:val="0"/>
      <w:jc w:val="left"/>
    </w:pPr>
    <w:rPr>
      <w:rFonts w:ascii="Times New Roman" w:eastAsia="黑体"/>
      <w:snapToGrid w:val="0"/>
      <w:sz w:val="18"/>
      <w:szCs w:val="24"/>
    </w:rPr>
  </w:style>
  <w:style w:type="paragraph" w:styleId="52">
    <w:name w:val="envelope return"/>
    <w:basedOn w:val="1"/>
    <w:qFormat/>
    <w:uiPriority w:val="0"/>
    <w:pPr>
      <w:snapToGrid w:val="0"/>
    </w:pPr>
    <w:rPr>
      <w:rFonts w:ascii="Arial" w:hAnsi="Arial"/>
      <w:color w:val="000000"/>
      <w:kern w:val="0"/>
      <w:sz w:val="20"/>
      <w:szCs w:val="20"/>
    </w:rPr>
  </w:style>
  <w:style w:type="paragraph" w:styleId="53">
    <w:name w:val="header"/>
    <w:basedOn w:val="1"/>
    <w:link w:val="19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eastAsia="黑体"/>
      <w:snapToGrid w:val="0"/>
      <w:sz w:val="18"/>
      <w:szCs w:val="24"/>
    </w:rPr>
  </w:style>
  <w:style w:type="paragraph" w:styleId="54">
    <w:name w:val="Signature"/>
    <w:basedOn w:val="1"/>
    <w:link w:val="197"/>
    <w:qFormat/>
    <w:uiPriority w:val="0"/>
    <w:pPr>
      <w:ind w:left="100" w:leftChars="2100"/>
    </w:pPr>
    <w:rPr>
      <w:spacing w:val="5"/>
    </w:rPr>
  </w:style>
  <w:style w:type="paragraph" w:styleId="55">
    <w:name w:val="toc 1"/>
    <w:basedOn w:val="1"/>
    <w:next w:val="1"/>
    <w:unhideWhenUsed/>
    <w:qFormat/>
    <w:uiPriority w:val="39"/>
    <w:pPr>
      <w:spacing w:before="120" w:after="120"/>
      <w:jc w:val="left"/>
    </w:pPr>
    <w:rPr>
      <w:rFonts w:ascii="Times New Roman"/>
      <w:b/>
      <w:bCs/>
      <w:caps/>
      <w:sz w:val="20"/>
      <w:szCs w:val="20"/>
    </w:rPr>
  </w:style>
  <w:style w:type="paragraph" w:styleId="56">
    <w:name w:val="List Continue 4"/>
    <w:basedOn w:val="1"/>
    <w:qFormat/>
    <w:uiPriority w:val="0"/>
    <w:pPr>
      <w:spacing w:after="120"/>
      <w:ind w:left="1680" w:leftChars="800"/>
    </w:pPr>
    <w:rPr>
      <w:rFonts w:ascii="Batang" w:hAnsi="Batang" w:cs="Batang"/>
      <w:sz w:val="21"/>
      <w:szCs w:val="24"/>
    </w:rPr>
  </w:style>
  <w:style w:type="paragraph" w:styleId="57">
    <w:name w:val="toc 4"/>
    <w:basedOn w:val="1"/>
    <w:next w:val="1"/>
    <w:qFormat/>
    <w:uiPriority w:val="39"/>
    <w:pPr>
      <w:ind w:left="630"/>
      <w:jc w:val="left"/>
    </w:pPr>
    <w:rPr>
      <w:rFonts w:ascii="Times New Roman"/>
      <w:sz w:val="18"/>
      <w:szCs w:val="18"/>
    </w:rPr>
  </w:style>
  <w:style w:type="paragraph" w:styleId="58">
    <w:name w:val="index heading"/>
    <w:basedOn w:val="1"/>
    <w:next w:val="59"/>
    <w:qFormat/>
    <w:uiPriority w:val="0"/>
    <w:rPr>
      <w:rFonts w:ascii="Times New Roman"/>
      <w:sz w:val="21"/>
      <w:szCs w:val="20"/>
    </w:rPr>
  </w:style>
  <w:style w:type="paragraph" w:styleId="59">
    <w:name w:val="index 1"/>
    <w:basedOn w:val="1"/>
    <w:next w:val="1"/>
    <w:unhideWhenUsed/>
    <w:qFormat/>
    <w:uiPriority w:val="0"/>
  </w:style>
  <w:style w:type="paragraph" w:styleId="60">
    <w:name w:val="Subtitle"/>
    <w:basedOn w:val="1"/>
    <w:next w:val="1"/>
    <w:link w:val="198"/>
    <w:qFormat/>
    <w:uiPriority w:val="0"/>
    <w:pPr>
      <w:spacing w:before="240" w:after="60" w:line="312" w:lineRule="auto"/>
      <w:jc w:val="center"/>
      <w:outlineLvl w:val="1"/>
    </w:pPr>
    <w:rPr>
      <w:rFonts w:ascii="黑体" w:hAnsi="黑体" w:eastAsia="黑体" w:cs="Arial"/>
      <w:bCs/>
      <w:kern w:val="28"/>
      <w:sz w:val="24"/>
      <w:szCs w:val="32"/>
    </w:rPr>
  </w:style>
  <w:style w:type="paragraph" w:styleId="61">
    <w:name w:val="List Number 5"/>
    <w:basedOn w:val="1"/>
    <w:link w:val="199"/>
    <w:qFormat/>
    <w:uiPriority w:val="0"/>
    <w:pPr>
      <w:widowControl/>
      <w:tabs>
        <w:tab w:val="left" w:pos="920"/>
      </w:tabs>
      <w:spacing w:line="480" w:lineRule="exact"/>
      <w:ind w:left="920" w:hanging="360"/>
      <w:jc w:val="left"/>
    </w:pPr>
    <w:rPr>
      <w:rFonts w:ascii="Times New Roman" w:cs="宋体"/>
      <w:kern w:val="0"/>
      <w:sz w:val="24"/>
      <w:szCs w:val="24"/>
    </w:rPr>
  </w:style>
  <w:style w:type="paragraph" w:styleId="62">
    <w:name w:val="List"/>
    <w:basedOn w:val="1"/>
    <w:link w:val="200"/>
    <w:qFormat/>
    <w:uiPriority w:val="0"/>
    <w:pPr>
      <w:ind w:left="200" w:hanging="200" w:hangingChars="200"/>
    </w:pPr>
    <w:rPr>
      <w:rFonts w:ascii="Times New Roman"/>
      <w:sz w:val="21"/>
      <w:szCs w:val="24"/>
    </w:rPr>
  </w:style>
  <w:style w:type="paragraph" w:styleId="63">
    <w:name w:val="footnote text"/>
    <w:basedOn w:val="1"/>
    <w:link w:val="201"/>
    <w:unhideWhenUsed/>
    <w:qFormat/>
    <w:uiPriority w:val="0"/>
    <w:pPr>
      <w:snapToGrid w:val="0"/>
      <w:jc w:val="left"/>
    </w:pPr>
    <w:rPr>
      <w:rFonts w:hAnsi="宋体" w:cs="宋体"/>
      <w:kern w:val="0"/>
      <w:sz w:val="18"/>
      <w:szCs w:val="24"/>
    </w:rPr>
  </w:style>
  <w:style w:type="paragraph" w:styleId="64">
    <w:name w:val="toc 6"/>
    <w:basedOn w:val="1"/>
    <w:next w:val="1"/>
    <w:qFormat/>
    <w:uiPriority w:val="39"/>
    <w:pPr>
      <w:ind w:left="1050"/>
      <w:jc w:val="left"/>
    </w:pPr>
    <w:rPr>
      <w:rFonts w:ascii="Times New Roman"/>
      <w:sz w:val="18"/>
      <w:szCs w:val="18"/>
    </w:rPr>
  </w:style>
  <w:style w:type="paragraph" w:styleId="65">
    <w:name w:val="List 5"/>
    <w:basedOn w:val="1"/>
    <w:qFormat/>
    <w:uiPriority w:val="0"/>
    <w:pPr>
      <w:widowControl/>
      <w:ind w:left="100" w:leftChars="800" w:hanging="200" w:hangingChars="200"/>
      <w:jc w:val="left"/>
    </w:pPr>
    <w:rPr>
      <w:rFonts w:hAnsi="宋体" w:cs="宋体"/>
      <w:kern w:val="0"/>
      <w:sz w:val="20"/>
      <w:szCs w:val="24"/>
    </w:rPr>
  </w:style>
  <w:style w:type="paragraph" w:styleId="66">
    <w:name w:val="Body Text Indent 3"/>
    <w:basedOn w:val="1"/>
    <w:link w:val="202"/>
    <w:unhideWhenUsed/>
    <w:qFormat/>
    <w:uiPriority w:val="0"/>
    <w:pPr>
      <w:tabs>
        <w:tab w:val="left" w:pos="0"/>
      </w:tabs>
      <w:spacing w:line="540" w:lineRule="exact"/>
      <w:ind w:firstLine="538" w:firstLineChars="192"/>
    </w:pPr>
    <w:rPr>
      <w:rFonts w:ascii="Times New Roman"/>
      <w:sz w:val="28"/>
      <w:szCs w:val="24"/>
    </w:rPr>
  </w:style>
  <w:style w:type="paragraph" w:styleId="67">
    <w:name w:val="index 7"/>
    <w:basedOn w:val="1"/>
    <w:next w:val="1"/>
    <w:qFormat/>
    <w:uiPriority w:val="0"/>
    <w:pPr>
      <w:ind w:left="1750" w:hanging="250"/>
      <w:jc w:val="left"/>
    </w:pPr>
    <w:rPr>
      <w:rFonts w:ascii="ˎ̥" w:hAnsi="ˎ̥" w:eastAsia="FLGPEK+TimesNewRoman,Italic" w:cs="ˎ̥"/>
      <w:spacing w:val="5"/>
      <w:sz w:val="20"/>
      <w:szCs w:val="20"/>
    </w:rPr>
  </w:style>
  <w:style w:type="paragraph" w:styleId="68">
    <w:name w:val="index 9"/>
    <w:basedOn w:val="1"/>
    <w:next w:val="1"/>
    <w:qFormat/>
    <w:uiPriority w:val="0"/>
    <w:pPr>
      <w:ind w:left="2250" w:hanging="250"/>
      <w:jc w:val="left"/>
    </w:pPr>
    <w:rPr>
      <w:rFonts w:ascii="ˎ̥" w:hAnsi="ˎ̥" w:eastAsia="FLGPEK+TimesNewRoman,Italic" w:cs="ˎ̥"/>
      <w:spacing w:val="5"/>
      <w:sz w:val="20"/>
      <w:szCs w:val="20"/>
    </w:rPr>
  </w:style>
  <w:style w:type="paragraph" w:styleId="69">
    <w:name w:val="table of figures"/>
    <w:basedOn w:val="1"/>
    <w:next w:val="1"/>
    <w:link w:val="203"/>
    <w:unhideWhenUsed/>
    <w:qFormat/>
    <w:uiPriority w:val="0"/>
    <w:pPr>
      <w:ind w:left="200" w:leftChars="200" w:hanging="200" w:hangingChars="200"/>
    </w:pPr>
    <w:rPr>
      <w:rFonts w:hAnsi="宋体" w:cs="宋体"/>
      <w:b/>
      <w:bCs/>
      <w:kern w:val="44"/>
      <w:sz w:val="24"/>
      <w:szCs w:val="44"/>
    </w:rPr>
  </w:style>
  <w:style w:type="paragraph" w:styleId="70">
    <w:name w:val="toc 2"/>
    <w:basedOn w:val="1"/>
    <w:next w:val="1"/>
    <w:link w:val="204"/>
    <w:unhideWhenUsed/>
    <w:qFormat/>
    <w:uiPriority w:val="39"/>
    <w:pPr>
      <w:ind w:left="210"/>
      <w:jc w:val="left"/>
    </w:pPr>
    <w:rPr>
      <w:rFonts w:ascii="Times New Roman"/>
      <w:smallCaps/>
      <w:sz w:val="20"/>
      <w:szCs w:val="20"/>
    </w:rPr>
  </w:style>
  <w:style w:type="paragraph" w:styleId="71">
    <w:name w:val="toc 9"/>
    <w:basedOn w:val="1"/>
    <w:next w:val="1"/>
    <w:qFormat/>
    <w:uiPriority w:val="39"/>
    <w:pPr>
      <w:ind w:left="1680"/>
      <w:jc w:val="left"/>
    </w:pPr>
    <w:rPr>
      <w:rFonts w:ascii="Times New Roman"/>
      <w:sz w:val="18"/>
      <w:szCs w:val="18"/>
    </w:rPr>
  </w:style>
  <w:style w:type="paragraph" w:styleId="72">
    <w:name w:val="Body Text 2"/>
    <w:basedOn w:val="1"/>
    <w:link w:val="205"/>
    <w:unhideWhenUsed/>
    <w:qFormat/>
    <w:uiPriority w:val="0"/>
    <w:pPr>
      <w:spacing w:line="280" w:lineRule="exact"/>
      <w:jc w:val="center"/>
    </w:pPr>
    <w:rPr>
      <w:rFonts w:hint="eastAsia" w:hAnsi="宋体" w:cs="宋体"/>
      <w:sz w:val="28"/>
      <w:szCs w:val="20"/>
    </w:rPr>
  </w:style>
  <w:style w:type="paragraph" w:styleId="73">
    <w:name w:val="List 4"/>
    <w:basedOn w:val="1"/>
    <w:qFormat/>
    <w:uiPriority w:val="0"/>
    <w:pPr>
      <w:widowControl/>
      <w:ind w:left="100" w:leftChars="600" w:hanging="200" w:hangingChars="200"/>
      <w:jc w:val="left"/>
    </w:pPr>
    <w:rPr>
      <w:rFonts w:hAnsi="宋体" w:cs="宋体"/>
      <w:kern w:val="0"/>
      <w:sz w:val="20"/>
      <w:szCs w:val="24"/>
    </w:rPr>
  </w:style>
  <w:style w:type="paragraph" w:styleId="74">
    <w:name w:val="List Continue 2"/>
    <w:basedOn w:val="1"/>
    <w:qFormat/>
    <w:uiPriority w:val="0"/>
    <w:pPr>
      <w:widowControl/>
      <w:spacing w:after="120" w:line="480" w:lineRule="exact"/>
      <w:ind w:left="840" w:leftChars="400" w:firstLine="200" w:firstLineChars="200"/>
      <w:jc w:val="left"/>
    </w:pPr>
    <w:rPr>
      <w:rFonts w:ascii="Times New Roman" w:cs="宋体"/>
      <w:kern w:val="0"/>
      <w:sz w:val="24"/>
      <w:szCs w:val="24"/>
    </w:rPr>
  </w:style>
  <w:style w:type="paragraph" w:styleId="75">
    <w:name w:val="Message Header"/>
    <w:basedOn w:val="1"/>
    <w:link w:val="206"/>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b/>
      <w:bCs/>
      <w:kern w:val="0"/>
      <w:sz w:val="24"/>
      <w:szCs w:val="32"/>
    </w:rPr>
  </w:style>
  <w:style w:type="paragraph" w:styleId="76">
    <w:name w:val="HTML Preformatted"/>
    <w:basedOn w:val="1"/>
    <w:link w:val="2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kern w:val="0"/>
      <w:sz w:val="24"/>
      <w:szCs w:val="24"/>
    </w:rPr>
  </w:style>
  <w:style w:type="paragraph" w:styleId="77">
    <w:name w:val="Normal (Web)"/>
    <w:basedOn w:val="1"/>
    <w:qFormat/>
    <w:uiPriority w:val="0"/>
    <w:pPr>
      <w:widowControl/>
      <w:spacing w:before="100" w:beforeAutospacing="1" w:after="100" w:afterAutospacing="1"/>
      <w:jc w:val="left"/>
    </w:pPr>
    <w:rPr>
      <w:rFonts w:hAnsi="宋体"/>
      <w:kern w:val="0"/>
      <w:sz w:val="24"/>
      <w:szCs w:val="24"/>
    </w:rPr>
  </w:style>
  <w:style w:type="paragraph" w:styleId="78">
    <w:name w:val="List Continue 3"/>
    <w:basedOn w:val="1"/>
    <w:qFormat/>
    <w:uiPriority w:val="0"/>
    <w:pPr>
      <w:widowControl/>
      <w:spacing w:after="120"/>
      <w:ind w:left="1260" w:leftChars="600"/>
      <w:jc w:val="left"/>
    </w:pPr>
    <w:rPr>
      <w:rFonts w:hAnsi="宋体" w:cs="宋体"/>
      <w:kern w:val="0"/>
      <w:sz w:val="20"/>
      <w:szCs w:val="24"/>
    </w:rPr>
  </w:style>
  <w:style w:type="paragraph" w:styleId="79">
    <w:name w:val="index 2"/>
    <w:basedOn w:val="1"/>
    <w:next w:val="1"/>
    <w:qFormat/>
    <w:uiPriority w:val="0"/>
    <w:pPr>
      <w:ind w:left="500" w:hanging="250"/>
      <w:jc w:val="left"/>
    </w:pPr>
    <w:rPr>
      <w:rFonts w:ascii="ˎ̥" w:hAnsi="ˎ̥" w:eastAsia="FLGPEK+TimesNewRoman,Italic" w:cs="ˎ̥"/>
      <w:spacing w:val="5"/>
      <w:sz w:val="20"/>
      <w:szCs w:val="20"/>
    </w:rPr>
  </w:style>
  <w:style w:type="paragraph" w:styleId="80">
    <w:name w:val="Title"/>
    <w:basedOn w:val="1"/>
    <w:next w:val="1"/>
    <w:link w:val="208"/>
    <w:qFormat/>
    <w:uiPriority w:val="0"/>
    <w:pPr>
      <w:spacing w:before="240" w:after="60"/>
      <w:jc w:val="center"/>
      <w:outlineLvl w:val="0"/>
    </w:pPr>
    <w:rPr>
      <w:rFonts w:ascii="Cambria" w:hAnsi="Cambria"/>
      <w:b/>
      <w:bCs/>
      <w:spacing w:val="5"/>
      <w:sz w:val="32"/>
      <w:szCs w:val="32"/>
    </w:rPr>
  </w:style>
  <w:style w:type="paragraph" w:styleId="81">
    <w:name w:val="annotation subject"/>
    <w:basedOn w:val="26"/>
    <w:next w:val="26"/>
    <w:link w:val="209"/>
    <w:qFormat/>
    <w:uiPriority w:val="0"/>
    <w:rPr>
      <w:rFonts w:ascii="Times New Roman" w:eastAsia="黑体"/>
      <w:b/>
      <w:bCs/>
      <w:snapToGrid w:val="0"/>
      <w:sz w:val="21"/>
      <w:szCs w:val="24"/>
    </w:rPr>
  </w:style>
  <w:style w:type="paragraph" w:styleId="82">
    <w:name w:val="Body Text First Indent"/>
    <w:basedOn w:val="32"/>
    <w:next w:val="1"/>
    <w:link w:val="210"/>
    <w:unhideWhenUsed/>
    <w:qFormat/>
    <w:uiPriority w:val="0"/>
    <w:pPr>
      <w:ind w:firstLine="420" w:firstLineChars="100"/>
    </w:pPr>
    <w:rPr>
      <w:rFonts w:hint="eastAsia" w:hAnsi="宋体" w:cs="宋体"/>
      <w:sz w:val="24"/>
      <w:szCs w:val="24"/>
    </w:rPr>
  </w:style>
  <w:style w:type="paragraph" w:styleId="83">
    <w:name w:val="Body Text First Indent 2"/>
    <w:next w:val="1"/>
    <w:link w:val="211"/>
    <w:unhideWhenUsed/>
    <w:qFormat/>
    <w:uiPriority w:val="0"/>
    <w:pPr>
      <w:spacing w:after="120"/>
      <w:ind w:left="420" w:leftChars="200" w:firstLine="420" w:firstLineChars="200"/>
    </w:pPr>
    <w:rPr>
      <w:rFonts w:ascii="Times New Roman" w:hAnsi="Times New Roman" w:eastAsia="宋体" w:cs="Times New Roman"/>
      <w:sz w:val="21"/>
      <w:lang w:val="en-US" w:eastAsia="zh-CN" w:bidi="ar-SA"/>
    </w:rPr>
  </w:style>
  <w:style w:type="table" w:styleId="85">
    <w:name w:val="Table Grid"/>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6">
    <w:name w:val="Table Theme"/>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7">
    <w:name w:val="Table Colorful 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8">
    <w:name w:val="Table Colorful 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9">
    <w:name w:val="Table Colorful 3"/>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Elegant"/>
    <w:basedOn w:val="84"/>
    <w:unhideWhenUsed/>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91">
    <w:name w:val="Table Classic 1"/>
    <w:basedOn w:val="84"/>
    <w:qFormat/>
    <w:uiPriority w:val="0"/>
    <w:pPr>
      <w:widowControl w:val="0"/>
      <w:jc w:val="both"/>
    </w:pPr>
    <w:rPr>
      <w:rFonts w:ascii="Calibri" w:hAnsi="Calibri"/>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Classic 2"/>
    <w:basedOn w:val="84"/>
    <w:unhideWhenUsed/>
    <w:qFormat/>
    <w:uiPriority w:val="0"/>
    <w:pPr>
      <w:widowControl w:val="0"/>
      <w:jc w:val="both"/>
    </w:pPr>
    <w:rPr>
      <w:rFonts w:ascii="Calibri" w:hAnsi="Calibri"/>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3">
    <w:name w:val="Table Classic 3"/>
    <w:basedOn w:val="84"/>
    <w:unhideWhenUsed/>
    <w:qFormat/>
    <w:uiPriority w:val="0"/>
    <w:pPr>
      <w:widowControl w:val="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4">
    <w:name w:val="Table Classic 4"/>
    <w:basedOn w:val="84"/>
    <w:unhideWhenUsed/>
    <w:qFormat/>
    <w:uiPriority w:val="0"/>
    <w:pPr>
      <w:widowControl w:val="0"/>
      <w:jc w:val="both"/>
    </w:pPr>
    <w:rPr>
      <w:rFonts w:ascii="Calibri" w:hAnsi="Calibri"/>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5">
    <w:name w:val="Table Simple 1"/>
    <w:basedOn w:val="84"/>
    <w:qFormat/>
    <w:uiPriority w:val="0"/>
    <w:pPr>
      <w:widowControl w:val="0"/>
      <w:jc w:val="both"/>
    </w:pPr>
    <w:rPr>
      <w:rFonts w:ascii="Calibri" w:hAnsi="Calibri"/>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6">
    <w:name w:val="Table Simple 2"/>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Simple 3"/>
    <w:basedOn w:val="84"/>
    <w:unhideWhenUsed/>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8">
    <w:name w:val="Table Subtle 1"/>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Subtle 2"/>
    <w:basedOn w:val="84"/>
    <w:unhideWhenUsed/>
    <w:qFormat/>
    <w:uiPriority w:val="0"/>
    <w:pPr>
      <w:widowControl w:val="0"/>
      <w:jc w:val="both"/>
    </w:pPr>
    <w:rPr>
      <w:rFonts w:ascii="Calibri" w:hAnsi="Calibri"/>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3D effects 1"/>
    <w:basedOn w:val="84"/>
    <w:unhideWhenUsed/>
    <w:qFormat/>
    <w:uiPriority w:val="0"/>
    <w:pPr>
      <w:widowControl w:val="0"/>
      <w:jc w:val="both"/>
    </w:pPr>
    <w:rPr>
      <w:rFonts w:ascii="Calibri" w:hAnsi="Calibri"/>
    </w:r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3D effects 2"/>
    <w:basedOn w:val="84"/>
    <w:unhideWhenUsed/>
    <w:qFormat/>
    <w:uiPriority w:val="0"/>
    <w:pPr>
      <w:widowControl w:val="0"/>
      <w:jc w:val="both"/>
    </w:pPr>
    <w:rPr>
      <w:rFonts w:ascii="Calibri" w:hAnsi="Calibri"/>
    </w:r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3D effects 3"/>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List 1"/>
    <w:basedOn w:val="84"/>
    <w:unhideWhenUsed/>
    <w:qFormat/>
    <w:uiPriority w:val="0"/>
    <w:pPr>
      <w:widowControl w:val="0"/>
      <w:jc w:val="both"/>
    </w:pPr>
    <w:rPr>
      <w:rFonts w:ascii="Calibri" w:hAnsi="Calibri"/>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2"/>
    <w:basedOn w:val="84"/>
    <w:unhideWhenUsed/>
    <w:qFormat/>
    <w:uiPriority w:val="0"/>
    <w:pPr>
      <w:widowControl w:val="0"/>
      <w:jc w:val="both"/>
    </w:pPr>
    <w:rPr>
      <w:rFonts w:ascii="Calibri" w:hAnsi="Calibri"/>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3"/>
    <w:basedOn w:val="84"/>
    <w:qFormat/>
    <w:uiPriority w:val="0"/>
    <w:pPr>
      <w:widowControl w:val="0"/>
      <w:jc w:val="both"/>
    </w:pPr>
    <w:rPr>
      <w:rFonts w:ascii="Calibri" w:hAnsi="Calibri"/>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6">
    <w:name w:val="Table List 4"/>
    <w:basedOn w:val="84"/>
    <w:unhideWhenUsed/>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7">
    <w:name w:val="Table List 5"/>
    <w:basedOn w:val="84"/>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8">
    <w:name w:val="Table List 6"/>
    <w:basedOn w:val="84"/>
    <w:unhideWhenUsed/>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9">
    <w:name w:val="Table List 7"/>
    <w:basedOn w:val="84"/>
    <w:unhideWhenUsed/>
    <w:qFormat/>
    <w:uiPriority w:val="0"/>
    <w:pPr>
      <w:widowControl w:val="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0">
    <w:name w:val="Table List 8"/>
    <w:basedOn w:val="84"/>
    <w:unhideWhenUsed/>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1">
    <w:name w:val="Table Contemporary"/>
    <w:basedOn w:val="84"/>
    <w:unhideWhenUsed/>
    <w:qFormat/>
    <w:uiPriority w:val="0"/>
    <w:pPr>
      <w:widowControl w:val="0"/>
      <w:jc w:val="both"/>
    </w:pPr>
    <w:rPr>
      <w:rFonts w:ascii="Calibri" w:hAnsi="Calibri"/>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2">
    <w:name w:val="Table Columns 1"/>
    <w:basedOn w:val="84"/>
    <w:unhideWhenUsed/>
    <w:qFormat/>
    <w:uiPriority w:val="0"/>
    <w:pPr>
      <w:widowControl w:val="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3">
    <w:name w:val="Table Columns 2"/>
    <w:basedOn w:val="84"/>
    <w:unhideWhenUsed/>
    <w:qFormat/>
    <w:uiPriority w:val="0"/>
    <w:pPr>
      <w:widowControl w:val="0"/>
      <w:jc w:val="both"/>
    </w:pPr>
    <w:rPr>
      <w:rFonts w:ascii="Calibri" w:hAnsi="Calibri"/>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3"/>
    <w:basedOn w:val="84"/>
    <w:unhideWhenUsed/>
    <w:qFormat/>
    <w:uiPriority w:val="0"/>
    <w:pPr>
      <w:widowControl w:val="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5">
    <w:name w:val="Table Columns 4"/>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6">
    <w:name w:val="Table Columns 5"/>
    <w:basedOn w:val="84"/>
    <w:unhideWhenUsed/>
    <w:qFormat/>
    <w:uiPriority w:val="0"/>
    <w:pPr>
      <w:widowControl w:val="0"/>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7">
    <w:name w:val="Table Grid 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8">
    <w:name w:val="Table Grid 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9">
    <w:name w:val="Table Grid 3"/>
    <w:basedOn w:val="84"/>
    <w:unhideWhenUsed/>
    <w:qFormat/>
    <w:uiPriority w:val="0"/>
    <w:pPr>
      <w:widowControl w:val="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0">
    <w:name w:val="Table Grid 4"/>
    <w:basedOn w:val="84"/>
    <w:unhideWhenUsed/>
    <w:qFormat/>
    <w:uiPriority w:val="0"/>
    <w:pPr>
      <w:widowControl w:val="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1">
    <w:name w:val="Table Grid 5"/>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6"/>
    <w:basedOn w:val="84"/>
    <w:qFormat/>
    <w:uiPriority w:val="0"/>
    <w:pPr>
      <w:widowControl w:val="0"/>
      <w:spacing w:line="48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7"/>
    <w:basedOn w:val="84"/>
    <w:qFormat/>
    <w:uiPriority w:val="0"/>
    <w:pPr>
      <w:widowControl w:val="0"/>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8"/>
    <w:basedOn w:val="84"/>
    <w:qFormat/>
    <w:uiPriority w:val="0"/>
    <w:pPr>
      <w:widowControl w:val="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Web 1"/>
    <w:basedOn w:val="84"/>
    <w:unhideWhenUsed/>
    <w:qFormat/>
    <w:uiPriority w:val="0"/>
    <w:pPr>
      <w:widowControl w:val="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26">
    <w:name w:val="Table Web 2"/>
    <w:basedOn w:val="84"/>
    <w:unhideWhenUsed/>
    <w:qFormat/>
    <w:uiPriority w:val="0"/>
    <w:pPr>
      <w:widowControl w:val="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3"/>
    <w:basedOn w:val="84"/>
    <w:unhideWhenUsed/>
    <w:qFormat/>
    <w:uiPriority w:val="0"/>
    <w:pPr>
      <w:widowControl w:val="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Professional"/>
    <w:basedOn w:val="84"/>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0">
    <w:name w:val="Strong"/>
    <w:qFormat/>
    <w:uiPriority w:val="0"/>
    <w:rPr>
      <w:rFonts w:eastAsia="黑体"/>
      <w:b/>
      <w:bCs/>
      <w:snapToGrid w:val="0"/>
      <w:szCs w:val="24"/>
    </w:rPr>
  </w:style>
  <w:style w:type="character" w:styleId="131">
    <w:name w:val="endnote reference"/>
    <w:unhideWhenUsed/>
    <w:qFormat/>
    <w:uiPriority w:val="0"/>
    <w:rPr>
      <w:vertAlign w:val="superscript"/>
    </w:rPr>
  </w:style>
  <w:style w:type="character" w:styleId="132">
    <w:name w:val="page number"/>
    <w:basedOn w:val="129"/>
    <w:unhideWhenUsed/>
    <w:qFormat/>
    <w:uiPriority w:val="0"/>
    <w:rPr>
      <w:rFonts w:cs="宋体"/>
      <w:kern w:val="0"/>
      <w:szCs w:val="24"/>
    </w:rPr>
  </w:style>
  <w:style w:type="character" w:styleId="133">
    <w:name w:val="FollowedHyperlink"/>
    <w:qFormat/>
    <w:uiPriority w:val="99"/>
    <w:rPr>
      <w:rFonts w:eastAsia="黑体"/>
      <w:snapToGrid w:val="0"/>
      <w:color w:val="800080"/>
      <w:szCs w:val="24"/>
      <w:u w:val="single"/>
    </w:rPr>
  </w:style>
  <w:style w:type="character" w:styleId="134">
    <w:name w:val="Emphasis"/>
    <w:qFormat/>
    <w:uiPriority w:val="20"/>
    <w:rPr>
      <w:rFonts w:eastAsia="黑体"/>
      <w:i/>
      <w:iCs/>
      <w:snapToGrid w:val="0"/>
      <w:szCs w:val="24"/>
    </w:rPr>
  </w:style>
  <w:style w:type="character" w:styleId="135">
    <w:name w:val="line number"/>
    <w:qFormat/>
    <w:uiPriority w:val="0"/>
  </w:style>
  <w:style w:type="character" w:styleId="136">
    <w:name w:val="HTML Definition"/>
    <w:basedOn w:val="129"/>
    <w:unhideWhenUsed/>
    <w:qFormat/>
    <w:uiPriority w:val="0"/>
    <w:rPr>
      <w:rFonts w:cs="宋体"/>
      <w:kern w:val="0"/>
      <w:szCs w:val="24"/>
    </w:rPr>
  </w:style>
  <w:style w:type="character" w:styleId="137">
    <w:name w:val="HTML Typewriter"/>
    <w:qFormat/>
    <w:uiPriority w:val="0"/>
    <w:rPr>
      <w:rFonts w:ascii="Arial Unicode MS" w:hAnsi="Arial Unicode MS" w:eastAsia="Courier New" w:cs="Courier New"/>
      <w:sz w:val="20"/>
      <w:szCs w:val="20"/>
    </w:rPr>
  </w:style>
  <w:style w:type="character" w:styleId="138">
    <w:name w:val="HTML Acronym"/>
    <w:basedOn w:val="129"/>
    <w:unhideWhenUsed/>
    <w:qFormat/>
    <w:uiPriority w:val="0"/>
    <w:rPr>
      <w:rFonts w:cs="宋体"/>
      <w:kern w:val="0"/>
      <w:szCs w:val="24"/>
    </w:rPr>
  </w:style>
  <w:style w:type="character" w:styleId="139">
    <w:name w:val="HTML Variable"/>
    <w:basedOn w:val="129"/>
    <w:unhideWhenUsed/>
    <w:qFormat/>
    <w:uiPriority w:val="99"/>
    <w:rPr>
      <w:rFonts w:cs="宋体"/>
      <w:kern w:val="0"/>
      <w:szCs w:val="24"/>
    </w:rPr>
  </w:style>
  <w:style w:type="character" w:styleId="140">
    <w:name w:val="Hyperlink"/>
    <w:basedOn w:val="129"/>
    <w:unhideWhenUsed/>
    <w:qFormat/>
    <w:uiPriority w:val="99"/>
    <w:rPr>
      <w:rFonts w:eastAsia="黑体"/>
      <w:bCs/>
      <w:snapToGrid w:val="0"/>
      <w:color w:val="0000FF"/>
      <w:szCs w:val="24"/>
      <w:u w:val="single"/>
    </w:rPr>
  </w:style>
  <w:style w:type="character" w:styleId="141">
    <w:name w:val="HTML Code"/>
    <w:unhideWhenUsed/>
    <w:qFormat/>
    <w:uiPriority w:val="0"/>
    <w:rPr>
      <w:rFonts w:ascii="monospace" w:hAnsi="monospace" w:eastAsia="monospace" w:cs="monospace"/>
      <w:sz w:val="24"/>
      <w:szCs w:val="24"/>
    </w:rPr>
  </w:style>
  <w:style w:type="character" w:styleId="142">
    <w:name w:val="annotation reference"/>
    <w:unhideWhenUsed/>
    <w:qFormat/>
    <w:uiPriority w:val="0"/>
    <w:rPr>
      <w:sz w:val="21"/>
      <w:szCs w:val="21"/>
    </w:rPr>
  </w:style>
  <w:style w:type="character" w:styleId="143">
    <w:name w:val="HTML Cite"/>
    <w:basedOn w:val="129"/>
    <w:unhideWhenUsed/>
    <w:qFormat/>
    <w:uiPriority w:val="99"/>
    <w:rPr>
      <w:rFonts w:cs="宋体"/>
      <w:kern w:val="0"/>
      <w:szCs w:val="24"/>
    </w:rPr>
  </w:style>
  <w:style w:type="character" w:styleId="144">
    <w:name w:val="footnote reference"/>
    <w:unhideWhenUsed/>
    <w:qFormat/>
    <w:uiPriority w:val="0"/>
    <w:rPr>
      <w:vertAlign w:val="superscript"/>
    </w:rPr>
  </w:style>
  <w:style w:type="character" w:styleId="145">
    <w:name w:val="HTML Keyboard"/>
    <w:unhideWhenUsed/>
    <w:qFormat/>
    <w:uiPriority w:val="0"/>
    <w:rPr>
      <w:rFonts w:hint="default" w:ascii="monospace" w:hAnsi="monospace" w:eastAsia="monospace" w:cs="monospace"/>
      <w:sz w:val="24"/>
      <w:szCs w:val="24"/>
    </w:rPr>
  </w:style>
  <w:style w:type="character" w:styleId="146">
    <w:name w:val="HTML Sample"/>
    <w:unhideWhenUsed/>
    <w:qFormat/>
    <w:uiPriority w:val="0"/>
    <w:rPr>
      <w:rFonts w:hint="default" w:ascii="monospace" w:hAnsi="monospace" w:eastAsia="monospace" w:cs="monospace"/>
      <w:sz w:val="24"/>
      <w:szCs w:val="24"/>
    </w:rPr>
  </w:style>
  <w:style w:type="paragraph" w:customStyle="1" w:styleId="147">
    <w:name w:val="样式5"/>
    <w:link w:val="407"/>
    <w:qFormat/>
    <w:uiPriority w:val="0"/>
    <w:pPr>
      <w:keepNext/>
      <w:tabs>
        <w:tab w:val="center" w:pos="4153"/>
        <w:tab w:val="right" w:pos="8306"/>
      </w:tabs>
      <w:outlineLvl w:val="0"/>
    </w:pPr>
    <w:rPr>
      <w:rFonts w:ascii="黑体" w:hAnsi="Times New Roman" w:eastAsia="宋体" w:cs="Times New Roman"/>
      <w:spacing w:val="5"/>
      <w:sz w:val="25"/>
      <w:szCs w:val="25"/>
      <w:lang w:val="en-US" w:eastAsia="zh-CN" w:bidi="ar-SA"/>
    </w:rPr>
  </w:style>
  <w:style w:type="paragraph" w:customStyle="1" w:styleId="148">
    <w:name w:val="正文1"/>
    <w:next w:val="1"/>
    <w:link w:val="314"/>
    <w:qFormat/>
    <w:uiPriority w:val="0"/>
    <w:pPr>
      <w:tabs>
        <w:tab w:val="center" w:pos="4153"/>
        <w:tab w:val="right" w:pos="8306"/>
      </w:tabs>
      <w:spacing w:line="360" w:lineRule="auto"/>
      <w:ind w:firstLine="425"/>
    </w:pPr>
    <w:rPr>
      <w:rFonts w:ascii="Times New Roman" w:hAnsi="Times New Roman" w:eastAsia="楷体_GB2312" w:cs="Times New Roman"/>
      <w:sz w:val="24"/>
      <w:lang w:val="en-US" w:eastAsia="zh-CN" w:bidi="ar-SA"/>
    </w:rPr>
  </w:style>
  <w:style w:type="paragraph" w:customStyle="1" w:styleId="149">
    <w:name w:val="图框文字"/>
    <w:basedOn w:val="1"/>
    <w:qFormat/>
    <w:uiPriority w:val="0"/>
    <w:pPr>
      <w:jc w:val="center"/>
      <w:textAlignment w:val="center"/>
    </w:pPr>
    <w:rPr>
      <w:rFonts w:ascii="Times New Roman"/>
      <w:szCs w:val="24"/>
    </w:rPr>
  </w:style>
  <w:style w:type="paragraph" w:customStyle="1" w:styleId="150">
    <w:name w:val="报告正文"/>
    <w:basedOn w:val="1"/>
    <w:link w:val="170"/>
    <w:qFormat/>
    <w:uiPriority w:val="0"/>
    <w:pPr>
      <w:spacing w:line="480" w:lineRule="exact"/>
      <w:ind w:firstLine="200" w:firstLineChars="200"/>
    </w:pPr>
    <w:rPr>
      <w:rFonts w:ascii="Times New Roman" w:eastAsia="黑体"/>
      <w:snapToGrid w:val="0"/>
      <w:color w:val="000000"/>
      <w:sz w:val="24"/>
      <w:szCs w:val="24"/>
    </w:rPr>
  </w:style>
  <w:style w:type="paragraph" w:customStyle="1" w:styleId="151">
    <w:name w:val="样式 样式 样式 四号 左侧:  1.53 厘米 + 首行缩进:  2 字符 + 居中 左侧:  2 字符 首行缩进:  2..."/>
    <w:qFormat/>
    <w:uiPriority w:val="0"/>
    <w:pPr>
      <w:autoSpaceDE w:val="0"/>
      <w:autoSpaceDN w:val="0"/>
      <w:adjustRightInd w:val="0"/>
      <w:snapToGrid w:val="0"/>
      <w:spacing w:line="500" w:lineRule="exact"/>
      <w:ind w:left="200" w:leftChars="200"/>
      <w:jc w:val="center"/>
    </w:pPr>
    <w:rPr>
      <w:rFonts w:ascii="Times New Roman" w:hAnsi="Times New Roman" w:eastAsia="华文中宋" w:cs="华康简仿宋"/>
      <w:w w:val="90"/>
      <w:sz w:val="28"/>
      <w:lang w:val="zh-CN" w:eastAsia="zh-CN" w:bidi="zh-CN"/>
    </w:rPr>
  </w:style>
  <w:style w:type="paragraph" w:customStyle="1" w:styleId="152">
    <w:name w:val="样式 样式 四号 左侧:  1.53 厘米 + 首行缩进:  2 字符"/>
    <w:qFormat/>
    <w:uiPriority w:val="0"/>
    <w:pPr>
      <w:ind w:left="200" w:leftChars="200"/>
    </w:pPr>
    <w:rPr>
      <w:rFonts w:ascii="Times New Roman" w:hAnsi="Times New Roman" w:eastAsia="宋体" w:cs="Times New Roman"/>
      <w:lang w:val="en-US" w:eastAsia="zh-CN" w:bidi="ar-SA"/>
    </w:rPr>
  </w:style>
  <w:style w:type="paragraph" w:customStyle="1" w:styleId="153">
    <w:name w:val="样式 四号 左侧:  1.53 厘米"/>
    <w:basedOn w:val="1"/>
    <w:qFormat/>
    <w:uiPriority w:val="0"/>
    <w:pPr>
      <w:adjustRightInd w:val="0"/>
    </w:pPr>
    <w:rPr>
      <w:w w:val="90"/>
      <w:sz w:val="28"/>
      <w:szCs w:val="28"/>
    </w:rPr>
  </w:style>
  <w:style w:type="paragraph" w:customStyle="1" w:styleId="154">
    <w:name w:val="Default"/>
    <w:link w:val="460"/>
    <w:qFormat/>
    <w:uiPriority w:val="0"/>
    <w:pPr>
      <w:widowControl w:val="0"/>
      <w:autoSpaceDE w:val="0"/>
      <w:autoSpaceDN w:val="0"/>
      <w:adjustRightInd w:val="0"/>
    </w:pPr>
    <w:rPr>
      <w:rFonts w:ascii="Arial" w:hAnsi="宋体" w:eastAsia="Arial" w:cs="Arial"/>
      <w:color w:val="000000"/>
      <w:sz w:val="24"/>
      <w:szCs w:val="24"/>
      <w:lang w:val="en-US" w:eastAsia="zh-CN" w:bidi="ar-SA"/>
    </w:rPr>
  </w:style>
  <w:style w:type="paragraph" w:customStyle="1" w:styleId="155">
    <w:name w:val="表内容@"/>
    <w:basedOn w:val="1"/>
    <w:link w:val="721"/>
    <w:qFormat/>
    <w:uiPriority w:val="0"/>
    <w:pPr>
      <w:adjustRightInd w:val="0"/>
      <w:spacing w:line="0" w:lineRule="atLeast"/>
      <w:jc w:val="center"/>
    </w:pPr>
    <w:rPr>
      <w:rFonts w:hAnsi="宋体" w:cs="Arial"/>
      <w:sz w:val="21"/>
      <w:szCs w:val="21"/>
    </w:rPr>
  </w:style>
  <w:style w:type="paragraph" w:customStyle="1" w:styleId="156">
    <w:name w:val="Char Char Char Char Char Char Char Char Char Char Char Char Char"/>
    <w:basedOn w:val="1"/>
    <w:qFormat/>
    <w:uiPriority w:val="0"/>
    <w:pPr>
      <w:widowControl/>
      <w:jc w:val="left"/>
    </w:pPr>
    <w:rPr>
      <w:rFonts w:hAnsi="宋体" w:cs="宋体"/>
      <w:kern w:val="0"/>
      <w:sz w:val="24"/>
      <w:szCs w:val="24"/>
    </w:rPr>
  </w:style>
  <w:style w:type="paragraph" w:customStyle="1" w:styleId="157">
    <w:name w:val="point101"/>
    <w:basedOn w:val="1"/>
    <w:next w:val="1"/>
    <w:qFormat/>
    <w:uiPriority w:val="0"/>
    <w:pPr>
      <w:widowControl/>
      <w:spacing w:before="100" w:beforeAutospacing="1" w:after="100" w:afterAutospacing="1" w:line="390" w:lineRule="exact"/>
      <w:jc w:val="left"/>
    </w:pPr>
    <w:rPr>
      <w:rFonts w:hAnsi="宋体" w:cs="宋体"/>
      <w:kern w:val="0"/>
      <w:sz w:val="18"/>
      <w:szCs w:val="18"/>
    </w:rPr>
  </w:style>
  <w:style w:type="paragraph" w:customStyle="1" w:styleId="158">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paragraph" w:customStyle="1" w:styleId="159">
    <w:name w:val="样式 正文文本 + 首行缩进:  2 字符"/>
    <w:basedOn w:val="32"/>
    <w:next w:val="1"/>
    <w:link w:val="934"/>
    <w:qFormat/>
    <w:uiPriority w:val="0"/>
    <w:pPr>
      <w:adjustRightInd w:val="0"/>
      <w:snapToGrid w:val="0"/>
      <w:spacing w:after="0" w:line="560" w:lineRule="atLeast"/>
      <w:ind w:firstLine="200" w:firstLineChars="200"/>
    </w:pPr>
    <w:rPr>
      <w:spacing w:val="20"/>
      <w:sz w:val="24"/>
      <w:szCs w:val="24"/>
      <w:lang w:val="zh-CN"/>
    </w:rPr>
  </w:style>
  <w:style w:type="paragraph" w:customStyle="1" w:styleId="160">
    <w:name w:val="图表头"/>
    <w:basedOn w:val="1"/>
    <w:qFormat/>
    <w:uiPriority w:val="0"/>
    <w:pPr>
      <w:adjustRightInd w:val="0"/>
      <w:spacing w:line="360" w:lineRule="auto"/>
      <w:jc w:val="center"/>
      <w:textAlignment w:val="baseline"/>
    </w:pPr>
    <w:rPr>
      <w:rFonts w:ascii="黑体" w:eastAsia="黑体"/>
      <w:spacing w:val="5"/>
      <w:kern w:val="0"/>
      <w:sz w:val="21"/>
      <w:szCs w:val="20"/>
    </w:rPr>
  </w:style>
  <w:style w:type="paragraph" w:customStyle="1" w:styleId="161">
    <w:name w:val="图表"/>
    <w:basedOn w:val="69"/>
    <w:qFormat/>
    <w:uiPriority w:val="0"/>
    <w:pPr>
      <w:widowControl/>
      <w:ind w:left="0" w:leftChars="0" w:firstLine="0" w:firstLineChars="0"/>
      <w:jc w:val="center"/>
    </w:pPr>
    <w:rPr>
      <w:szCs w:val="21"/>
    </w:rPr>
  </w:style>
  <w:style w:type="character" w:customStyle="1" w:styleId="162">
    <w:name w:val="标题 1 Char"/>
    <w:basedOn w:val="129"/>
    <w:link w:val="3"/>
    <w:qFormat/>
    <w:uiPriority w:val="0"/>
    <w:rPr>
      <w:rFonts w:eastAsia="黑体"/>
      <w:snapToGrid w:val="0"/>
      <w:kern w:val="44"/>
      <w:sz w:val="24"/>
      <w:szCs w:val="24"/>
    </w:rPr>
  </w:style>
  <w:style w:type="character" w:customStyle="1" w:styleId="163">
    <w:name w:val="标题 4 Char"/>
    <w:basedOn w:val="129"/>
    <w:link w:val="6"/>
    <w:qFormat/>
    <w:uiPriority w:val="0"/>
    <w:rPr>
      <w:rFonts w:ascii="宋体" w:hAnsi="宋体" w:eastAsia="黑体"/>
      <w:snapToGrid w:val="0"/>
      <w:color w:val="000000"/>
      <w:kern w:val="2"/>
      <w:sz w:val="24"/>
      <w:szCs w:val="24"/>
    </w:rPr>
  </w:style>
  <w:style w:type="character" w:customStyle="1" w:styleId="164">
    <w:name w:val="正文文本 Char"/>
    <w:qFormat/>
    <w:uiPriority w:val="0"/>
    <w:rPr>
      <w:kern w:val="2"/>
      <w:sz w:val="21"/>
    </w:rPr>
  </w:style>
  <w:style w:type="character" w:customStyle="1" w:styleId="165">
    <w:name w:val="标题 2 Char"/>
    <w:basedOn w:val="129"/>
    <w:link w:val="4"/>
    <w:qFormat/>
    <w:uiPriority w:val="0"/>
    <w:rPr>
      <w:rFonts w:ascii="Calibri Light" w:hAnsi="Calibri Light"/>
      <w:b/>
      <w:bCs/>
      <w:snapToGrid w:val="0"/>
      <w:kern w:val="2"/>
      <w:sz w:val="32"/>
      <w:szCs w:val="32"/>
    </w:rPr>
  </w:style>
  <w:style w:type="character" w:customStyle="1" w:styleId="166">
    <w:name w:val="标题 3 Char"/>
    <w:basedOn w:val="129"/>
    <w:qFormat/>
    <w:uiPriority w:val="0"/>
    <w:rPr>
      <w:rFonts w:ascii="宋体"/>
      <w:b/>
      <w:bCs/>
      <w:kern w:val="2"/>
      <w:sz w:val="32"/>
      <w:szCs w:val="32"/>
    </w:rPr>
  </w:style>
  <w:style w:type="paragraph" w:customStyle="1" w:styleId="167">
    <w:name w:val="1"/>
    <w:basedOn w:val="1"/>
    <w:next w:val="1"/>
    <w:qFormat/>
    <w:uiPriority w:val="0"/>
    <w:pPr>
      <w:spacing w:beforeLines="100" w:afterLines="50" w:line="360" w:lineRule="auto"/>
    </w:pPr>
    <w:rPr>
      <w:rFonts w:ascii="Times New Roman" w:eastAsia="黑体"/>
      <w:b/>
      <w:sz w:val="30"/>
      <w:szCs w:val="24"/>
    </w:rPr>
  </w:style>
  <w:style w:type="character" w:customStyle="1" w:styleId="168">
    <w:name w:val="标题 3 Char1"/>
    <w:link w:val="5"/>
    <w:qFormat/>
    <w:uiPriority w:val="0"/>
    <w:rPr>
      <w:b/>
      <w:bCs/>
      <w:kern w:val="2"/>
      <w:sz w:val="30"/>
      <w:szCs w:val="32"/>
    </w:rPr>
  </w:style>
  <w:style w:type="character" w:customStyle="1" w:styleId="169">
    <w:name w:val="标题 5 Char"/>
    <w:basedOn w:val="129"/>
    <w:link w:val="7"/>
    <w:qFormat/>
    <w:uiPriority w:val="0"/>
    <w:rPr>
      <w:rFonts w:ascii="宋体" w:hAnsi="宋体"/>
      <w:color w:val="000000"/>
      <w:kern w:val="2"/>
      <w:sz w:val="24"/>
      <w:szCs w:val="24"/>
    </w:rPr>
  </w:style>
  <w:style w:type="character" w:customStyle="1" w:styleId="170">
    <w:name w:val="报告正文 Char"/>
    <w:link w:val="150"/>
    <w:qFormat/>
    <w:uiPriority w:val="0"/>
    <w:rPr>
      <w:rFonts w:eastAsia="黑体"/>
      <w:snapToGrid w:val="0"/>
      <w:color w:val="000000"/>
      <w:kern w:val="2"/>
      <w:sz w:val="24"/>
      <w:szCs w:val="24"/>
    </w:rPr>
  </w:style>
  <w:style w:type="character" w:customStyle="1" w:styleId="171">
    <w:name w:val="标题 6 Char"/>
    <w:basedOn w:val="129"/>
    <w:link w:val="8"/>
    <w:qFormat/>
    <w:uiPriority w:val="0"/>
    <w:rPr>
      <w:color w:val="000000"/>
      <w:kern w:val="2"/>
      <w:sz w:val="24"/>
      <w:szCs w:val="24"/>
    </w:rPr>
  </w:style>
  <w:style w:type="character" w:customStyle="1" w:styleId="172">
    <w:name w:val="标题 7 Char"/>
    <w:basedOn w:val="129"/>
    <w:link w:val="9"/>
    <w:qFormat/>
    <w:uiPriority w:val="0"/>
    <w:rPr>
      <w:rFonts w:eastAsia="黑体"/>
      <w:snapToGrid w:val="0"/>
      <w:color w:val="000000"/>
      <w:kern w:val="2"/>
      <w:sz w:val="24"/>
      <w:szCs w:val="24"/>
    </w:rPr>
  </w:style>
  <w:style w:type="character" w:customStyle="1" w:styleId="173">
    <w:name w:val="标题 8 Char"/>
    <w:basedOn w:val="129"/>
    <w:link w:val="10"/>
    <w:qFormat/>
    <w:uiPriority w:val="0"/>
    <w:rPr>
      <w:rFonts w:eastAsia="黑体"/>
      <w:snapToGrid w:val="0"/>
      <w:color w:val="000000"/>
      <w:kern w:val="2"/>
      <w:sz w:val="24"/>
      <w:szCs w:val="24"/>
    </w:rPr>
  </w:style>
  <w:style w:type="character" w:customStyle="1" w:styleId="174">
    <w:name w:val="标题 9 Char"/>
    <w:basedOn w:val="129"/>
    <w:link w:val="11"/>
    <w:qFormat/>
    <w:uiPriority w:val="0"/>
    <w:rPr>
      <w:rFonts w:ascii="Arial" w:hAnsi="Arial" w:eastAsia="黑体"/>
      <w:sz w:val="30"/>
    </w:rPr>
  </w:style>
  <w:style w:type="character" w:customStyle="1" w:styleId="175">
    <w:name w:val="宏文本 Char"/>
    <w:link w:val="2"/>
    <w:qFormat/>
    <w:uiPriority w:val="0"/>
    <w:rPr>
      <w:rFonts w:ascii="Courier New" w:hAnsi="Courier New" w:cs="Courier New"/>
      <w:sz w:val="24"/>
      <w:szCs w:val="24"/>
    </w:rPr>
  </w:style>
  <w:style w:type="character" w:customStyle="1" w:styleId="176">
    <w:name w:val="目录 7 Char"/>
    <w:link w:val="13"/>
    <w:qFormat/>
    <w:uiPriority w:val="39"/>
    <w:rPr>
      <w:kern w:val="2"/>
      <w:sz w:val="18"/>
      <w:szCs w:val="18"/>
    </w:rPr>
  </w:style>
  <w:style w:type="character" w:customStyle="1" w:styleId="177">
    <w:name w:val="注释标题 Char"/>
    <w:link w:val="15"/>
    <w:qFormat/>
    <w:uiPriority w:val="0"/>
    <w:rPr>
      <w:rFonts w:ascii="宋体" w:hAnsi="宋体" w:cs="宋体"/>
      <w:sz w:val="24"/>
      <w:szCs w:val="24"/>
    </w:rPr>
  </w:style>
  <w:style w:type="character" w:customStyle="1" w:styleId="178">
    <w:name w:val="电子邮件签名 Char"/>
    <w:link w:val="18"/>
    <w:qFormat/>
    <w:uiPriority w:val="0"/>
    <w:rPr>
      <w:rFonts w:ascii="Calibri" w:hAnsi="Calibri"/>
      <w:szCs w:val="24"/>
    </w:rPr>
  </w:style>
  <w:style w:type="character" w:customStyle="1" w:styleId="179">
    <w:name w:val="正文缩进 Char"/>
    <w:link w:val="20"/>
    <w:qFormat/>
    <w:uiPriority w:val="0"/>
    <w:rPr>
      <w:rFonts w:eastAsia="黑体"/>
      <w:snapToGrid w:val="0"/>
      <w:kern w:val="2"/>
      <w:sz w:val="21"/>
      <w:szCs w:val="24"/>
    </w:rPr>
  </w:style>
  <w:style w:type="character" w:customStyle="1" w:styleId="180">
    <w:name w:val="题注 Char"/>
    <w:link w:val="21"/>
    <w:qFormat/>
    <w:uiPriority w:val="0"/>
    <w:rPr>
      <w:rFonts w:ascii="Arial" w:hAnsi="Arial" w:eastAsia="黑体" w:cs="Arial"/>
      <w:kern w:val="2"/>
    </w:rPr>
  </w:style>
  <w:style w:type="character" w:customStyle="1" w:styleId="181">
    <w:name w:val="文档结构图 Char"/>
    <w:link w:val="24"/>
    <w:qFormat/>
    <w:uiPriority w:val="0"/>
    <w:rPr>
      <w:rFonts w:eastAsia="黑体"/>
      <w:snapToGrid w:val="0"/>
      <w:kern w:val="2"/>
      <w:sz w:val="21"/>
      <w:szCs w:val="24"/>
      <w:shd w:val="clear" w:color="auto" w:fill="000080"/>
    </w:rPr>
  </w:style>
  <w:style w:type="character" w:customStyle="1" w:styleId="182">
    <w:name w:val="批注文字 Char2"/>
    <w:basedOn w:val="129"/>
    <w:link w:val="26"/>
    <w:qFormat/>
    <w:uiPriority w:val="0"/>
    <w:rPr>
      <w:rFonts w:ascii="宋体"/>
      <w:kern w:val="2"/>
      <w:sz w:val="25"/>
      <w:szCs w:val="25"/>
    </w:rPr>
  </w:style>
  <w:style w:type="character" w:customStyle="1" w:styleId="183">
    <w:name w:val="称呼 Char"/>
    <w:basedOn w:val="129"/>
    <w:link w:val="28"/>
    <w:qFormat/>
    <w:uiPriority w:val="0"/>
    <w:rPr>
      <w:rFonts w:ascii="宋体" w:hAnsi="宋体" w:cs="宋体"/>
      <w:sz w:val="28"/>
      <w:szCs w:val="24"/>
    </w:rPr>
  </w:style>
  <w:style w:type="character" w:customStyle="1" w:styleId="184">
    <w:name w:val="正文文本 3 Char"/>
    <w:link w:val="29"/>
    <w:qFormat/>
    <w:uiPriority w:val="99"/>
    <w:rPr>
      <w:rFonts w:ascii="宋体"/>
      <w:spacing w:val="5"/>
      <w:kern w:val="2"/>
      <w:sz w:val="16"/>
      <w:szCs w:val="16"/>
    </w:rPr>
  </w:style>
  <w:style w:type="character" w:customStyle="1" w:styleId="185">
    <w:name w:val="结束语 Char"/>
    <w:link w:val="30"/>
    <w:qFormat/>
    <w:uiPriority w:val="0"/>
    <w:rPr>
      <w:rFonts w:ascii="Calibri" w:hAnsi="Calibri"/>
      <w:sz w:val="16"/>
    </w:rPr>
  </w:style>
  <w:style w:type="character" w:customStyle="1" w:styleId="186">
    <w:name w:val="正文文本 Char2"/>
    <w:basedOn w:val="129"/>
    <w:link w:val="32"/>
    <w:qFormat/>
    <w:uiPriority w:val="0"/>
    <w:rPr>
      <w:rFonts w:ascii="宋体"/>
      <w:kern w:val="2"/>
      <w:sz w:val="25"/>
      <w:szCs w:val="25"/>
    </w:rPr>
  </w:style>
  <w:style w:type="character" w:customStyle="1" w:styleId="187">
    <w:name w:val="正文文本缩进 Char"/>
    <w:link w:val="33"/>
    <w:qFormat/>
    <w:uiPriority w:val="0"/>
    <w:rPr>
      <w:rFonts w:ascii="宋体" w:hAnsi="宋体" w:cs="Arial"/>
      <w:kern w:val="2"/>
      <w:sz w:val="24"/>
      <w:szCs w:val="24"/>
    </w:rPr>
  </w:style>
  <w:style w:type="character" w:customStyle="1" w:styleId="188">
    <w:name w:val="文本块 Char"/>
    <w:link w:val="36"/>
    <w:qFormat/>
    <w:uiPriority w:val="0"/>
    <w:rPr>
      <w:rFonts w:ascii="仿宋_GB2312" w:eastAsia="仿宋_GB2312" w:cs="宋体"/>
      <w:sz w:val="30"/>
      <w:szCs w:val="24"/>
    </w:rPr>
  </w:style>
  <w:style w:type="character" w:customStyle="1" w:styleId="189">
    <w:name w:val="HTML 地址 Char"/>
    <w:link w:val="38"/>
    <w:qFormat/>
    <w:uiPriority w:val="0"/>
    <w:rPr>
      <w:i/>
      <w:iCs/>
      <w:szCs w:val="24"/>
    </w:rPr>
  </w:style>
  <w:style w:type="character" w:customStyle="1" w:styleId="190">
    <w:name w:val="纯文本 Char"/>
    <w:link w:val="42"/>
    <w:qFormat/>
    <w:uiPriority w:val="0"/>
    <w:rPr>
      <w:rFonts w:ascii="宋体" w:hAnsi="Courier New"/>
      <w:spacing w:val="5"/>
      <w:kern w:val="2"/>
      <w:sz w:val="25"/>
      <w:szCs w:val="25"/>
    </w:rPr>
  </w:style>
  <w:style w:type="character" w:customStyle="1" w:styleId="191">
    <w:name w:val="日期 Char"/>
    <w:link w:val="47"/>
    <w:qFormat/>
    <w:uiPriority w:val="0"/>
    <w:rPr>
      <w:rFonts w:ascii="宋体" w:eastAsia="黑体"/>
      <w:snapToGrid w:val="0"/>
      <w:kern w:val="2"/>
      <w:sz w:val="28"/>
      <w:szCs w:val="24"/>
    </w:rPr>
  </w:style>
  <w:style w:type="character" w:customStyle="1" w:styleId="192">
    <w:name w:val="正文文本缩进 2 Char"/>
    <w:link w:val="48"/>
    <w:qFormat/>
    <w:uiPriority w:val="0"/>
    <w:rPr>
      <w:rFonts w:eastAsia="黑体"/>
      <w:snapToGrid w:val="0"/>
      <w:kern w:val="2"/>
      <w:sz w:val="21"/>
      <w:szCs w:val="24"/>
    </w:rPr>
  </w:style>
  <w:style w:type="character" w:customStyle="1" w:styleId="193">
    <w:name w:val="尾注文本 Char"/>
    <w:basedOn w:val="129"/>
    <w:link w:val="49"/>
    <w:qFormat/>
    <w:uiPriority w:val="0"/>
    <w:rPr>
      <w:rFonts w:ascii="Calibri" w:hAnsi="Calibri" w:cs="宋体"/>
      <w:sz w:val="24"/>
      <w:szCs w:val="24"/>
    </w:rPr>
  </w:style>
  <w:style w:type="character" w:customStyle="1" w:styleId="194">
    <w:name w:val="批注框文本 Char"/>
    <w:link w:val="50"/>
    <w:qFormat/>
    <w:uiPriority w:val="0"/>
    <w:rPr>
      <w:rFonts w:eastAsia="黑体"/>
      <w:snapToGrid w:val="0"/>
      <w:kern w:val="2"/>
      <w:sz w:val="18"/>
      <w:szCs w:val="18"/>
    </w:rPr>
  </w:style>
  <w:style w:type="character" w:customStyle="1" w:styleId="195">
    <w:name w:val="页脚 Char"/>
    <w:link w:val="51"/>
    <w:qFormat/>
    <w:uiPriority w:val="99"/>
    <w:rPr>
      <w:rFonts w:eastAsia="黑体"/>
      <w:snapToGrid w:val="0"/>
      <w:kern w:val="2"/>
      <w:sz w:val="18"/>
      <w:szCs w:val="24"/>
    </w:rPr>
  </w:style>
  <w:style w:type="character" w:customStyle="1" w:styleId="196">
    <w:name w:val="页眉 Char"/>
    <w:link w:val="53"/>
    <w:qFormat/>
    <w:uiPriority w:val="99"/>
    <w:rPr>
      <w:rFonts w:eastAsia="黑体"/>
      <w:snapToGrid w:val="0"/>
      <w:kern w:val="2"/>
      <w:sz w:val="18"/>
      <w:szCs w:val="24"/>
    </w:rPr>
  </w:style>
  <w:style w:type="character" w:customStyle="1" w:styleId="197">
    <w:name w:val="签名 Char"/>
    <w:link w:val="54"/>
    <w:qFormat/>
    <w:uiPriority w:val="0"/>
    <w:rPr>
      <w:rFonts w:ascii="宋体"/>
      <w:spacing w:val="5"/>
      <w:kern w:val="2"/>
      <w:sz w:val="25"/>
      <w:szCs w:val="25"/>
    </w:rPr>
  </w:style>
  <w:style w:type="character" w:customStyle="1" w:styleId="198">
    <w:name w:val="副标题 Char"/>
    <w:link w:val="60"/>
    <w:qFormat/>
    <w:uiPriority w:val="0"/>
    <w:rPr>
      <w:rFonts w:ascii="黑体" w:hAnsi="黑体" w:eastAsia="黑体" w:cs="Arial"/>
      <w:bCs/>
      <w:kern w:val="28"/>
      <w:sz w:val="24"/>
      <w:szCs w:val="32"/>
    </w:rPr>
  </w:style>
  <w:style w:type="character" w:customStyle="1" w:styleId="199">
    <w:name w:val="列表编号 5 Char"/>
    <w:link w:val="61"/>
    <w:qFormat/>
    <w:uiPriority w:val="0"/>
    <w:rPr>
      <w:rFonts w:cs="宋体"/>
      <w:sz w:val="24"/>
      <w:szCs w:val="24"/>
    </w:rPr>
  </w:style>
  <w:style w:type="character" w:customStyle="1" w:styleId="200">
    <w:name w:val="列表 Char"/>
    <w:link w:val="62"/>
    <w:qFormat/>
    <w:uiPriority w:val="0"/>
    <w:rPr>
      <w:kern w:val="2"/>
      <w:sz w:val="21"/>
      <w:szCs w:val="24"/>
    </w:rPr>
  </w:style>
  <w:style w:type="character" w:customStyle="1" w:styleId="201">
    <w:name w:val="脚注文本 Char"/>
    <w:basedOn w:val="129"/>
    <w:link w:val="63"/>
    <w:qFormat/>
    <w:uiPriority w:val="0"/>
    <w:rPr>
      <w:rFonts w:ascii="宋体" w:hAnsi="宋体" w:cs="宋体"/>
      <w:sz w:val="18"/>
      <w:szCs w:val="24"/>
    </w:rPr>
  </w:style>
  <w:style w:type="character" w:customStyle="1" w:styleId="202">
    <w:name w:val="正文文本缩进 3 Char"/>
    <w:link w:val="66"/>
    <w:qFormat/>
    <w:uiPriority w:val="0"/>
    <w:rPr>
      <w:kern w:val="2"/>
      <w:sz w:val="28"/>
      <w:szCs w:val="24"/>
    </w:rPr>
  </w:style>
  <w:style w:type="character" w:customStyle="1" w:styleId="203">
    <w:name w:val="图表目录 Char"/>
    <w:link w:val="69"/>
    <w:qFormat/>
    <w:uiPriority w:val="0"/>
    <w:rPr>
      <w:rFonts w:ascii="宋体" w:hAnsi="宋体" w:cs="宋体"/>
      <w:b/>
      <w:bCs/>
      <w:kern w:val="44"/>
      <w:sz w:val="24"/>
      <w:szCs w:val="44"/>
    </w:rPr>
  </w:style>
  <w:style w:type="character" w:customStyle="1" w:styleId="204">
    <w:name w:val="目录 2 Char"/>
    <w:link w:val="70"/>
    <w:qFormat/>
    <w:uiPriority w:val="39"/>
    <w:rPr>
      <w:smallCaps/>
      <w:kern w:val="2"/>
    </w:rPr>
  </w:style>
  <w:style w:type="character" w:customStyle="1" w:styleId="205">
    <w:name w:val="正文文本 2 Char"/>
    <w:link w:val="72"/>
    <w:qFormat/>
    <w:uiPriority w:val="0"/>
    <w:rPr>
      <w:rFonts w:ascii="宋体" w:hAnsi="宋体" w:cs="宋体"/>
      <w:kern w:val="2"/>
      <w:sz w:val="28"/>
    </w:rPr>
  </w:style>
  <w:style w:type="character" w:customStyle="1" w:styleId="206">
    <w:name w:val="信息标题 Char"/>
    <w:link w:val="75"/>
    <w:qFormat/>
    <w:uiPriority w:val="0"/>
    <w:rPr>
      <w:rFonts w:ascii="Arial" w:hAnsi="Arial" w:cs="Arial"/>
      <w:b/>
      <w:bCs/>
      <w:sz w:val="24"/>
      <w:szCs w:val="32"/>
      <w:shd w:val="pct20" w:color="auto" w:fill="auto"/>
    </w:rPr>
  </w:style>
  <w:style w:type="character" w:customStyle="1" w:styleId="207">
    <w:name w:val="HTML 预设格式 Char"/>
    <w:link w:val="76"/>
    <w:qFormat/>
    <w:uiPriority w:val="0"/>
    <w:rPr>
      <w:rFonts w:ascii="宋体" w:hAnsi="宋体"/>
      <w:sz w:val="24"/>
      <w:szCs w:val="24"/>
    </w:rPr>
  </w:style>
  <w:style w:type="character" w:customStyle="1" w:styleId="208">
    <w:name w:val="标题 Char"/>
    <w:link w:val="80"/>
    <w:qFormat/>
    <w:uiPriority w:val="0"/>
    <w:rPr>
      <w:rFonts w:ascii="Cambria" w:hAnsi="Cambria"/>
      <w:b/>
      <w:bCs/>
      <w:spacing w:val="5"/>
      <w:kern w:val="2"/>
      <w:sz w:val="32"/>
      <w:szCs w:val="32"/>
    </w:rPr>
  </w:style>
  <w:style w:type="character" w:customStyle="1" w:styleId="209">
    <w:name w:val="批注主题 Char"/>
    <w:link w:val="81"/>
    <w:qFormat/>
    <w:uiPriority w:val="0"/>
    <w:rPr>
      <w:rFonts w:eastAsia="黑体"/>
      <w:b/>
      <w:bCs/>
      <w:snapToGrid w:val="0"/>
      <w:kern w:val="2"/>
      <w:sz w:val="21"/>
      <w:szCs w:val="24"/>
    </w:rPr>
  </w:style>
  <w:style w:type="character" w:customStyle="1" w:styleId="210">
    <w:name w:val="正文首行缩进 Char"/>
    <w:link w:val="82"/>
    <w:qFormat/>
    <w:uiPriority w:val="0"/>
    <w:rPr>
      <w:rFonts w:ascii="宋体" w:hAnsi="宋体" w:cs="宋体"/>
      <w:kern w:val="2"/>
      <w:sz w:val="24"/>
      <w:szCs w:val="24"/>
    </w:rPr>
  </w:style>
  <w:style w:type="character" w:customStyle="1" w:styleId="211">
    <w:name w:val="正文首行缩进 2 Char"/>
    <w:link w:val="83"/>
    <w:qFormat/>
    <w:uiPriority w:val="0"/>
    <w:rPr>
      <w:rFonts w:cs="Arial"/>
      <w:kern w:val="2"/>
      <w:sz w:val="21"/>
    </w:rPr>
  </w:style>
  <w:style w:type="paragraph" w:customStyle="1" w:styleId="212">
    <w:name w:val="表文"/>
    <w:next w:val="1"/>
    <w:link w:val="213"/>
    <w:qFormat/>
    <w:uiPriority w:val="0"/>
    <w:pPr>
      <w:adjustRightInd w:val="0"/>
      <w:snapToGrid w:val="0"/>
      <w:jc w:val="center"/>
    </w:pPr>
    <w:rPr>
      <w:rFonts w:ascii="Calibri" w:hAnsi="Calibri" w:eastAsia="宋体" w:cs="Times New Roman"/>
      <w:snapToGrid w:val="0"/>
      <w:sz w:val="21"/>
      <w:szCs w:val="22"/>
      <w:lang w:val="en-US" w:eastAsia="zh-CN" w:bidi="ar-SA"/>
    </w:rPr>
  </w:style>
  <w:style w:type="character" w:customStyle="1" w:styleId="213">
    <w:name w:val="表文 Char"/>
    <w:link w:val="212"/>
    <w:qFormat/>
    <w:uiPriority w:val="0"/>
    <w:rPr>
      <w:rFonts w:ascii="Calibri" w:hAnsi="Calibri"/>
      <w:snapToGrid w:val="0"/>
      <w:sz w:val="21"/>
      <w:szCs w:val="22"/>
    </w:rPr>
  </w:style>
  <w:style w:type="character" w:customStyle="1" w:styleId="214">
    <w:name w:val="热电厂正文 Char Char"/>
    <w:link w:val="215"/>
    <w:qFormat/>
    <w:uiPriority w:val="0"/>
    <w:rPr>
      <w:kern w:val="2"/>
      <w:sz w:val="24"/>
      <w:szCs w:val="24"/>
    </w:rPr>
  </w:style>
  <w:style w:type="paragraph" w:customStyle="1" w:styleId="215">
    <w:name w:val="热电厂正文"/>
    <w:basedOn w:val="1"/>
    <w:link w:val="214"/>
    <w:qFormat/>
    <w:uiPriority w:val="0"/>
    <w:pPr>
      <w:spacing w:line="440" w:lineRule="exact"/>
      <w:ind w:firstLine="480" w:firstLineChars="200"/>
    </w:pPr>
    <w:rPr>
      <w:rFonts w:ascii="Times New Roman"/>
      <w:sz w:val="24"/>
      <w:szCs w:val="24"/>
    </w:rPr>
  </w:style>
  <w:style w:type="character" w:customStyle="1" w:styleId="216">
    <w:name w:val="标题 #3_"/>
    <w:link w:val="217"/>
    <w:qFormat/>
    <w:uiPriority w:val="0"/>
    <w:rPr>
      <w:rFonts w:ascii="MingLiU" w:eastAsia="MingLiU"/>
      <w:spacing w:val="10"/>
      <w:sz w:val="21"/>
      <w:szCs w:val="21"/>
      <w:shd w:val="clear" w:color="auto" w:fill="FFFFFF"/>
    </w:rPr>
  </w:style>
  <w:style w:type="paragraph" w:customStyle="1" w:styleId="217">
    <w:name w:val="标题 #3"/>
    <w:basedOn w:val="1"/>
    <w:link w:val="216"/>
    <w:qFormat/>
    <w:uiPriority w:val="0"/>
    <w:pPr>
      <w:shd w:val="clear" w:color="auto" w:fill="FFFFFF"/>
      <w:spacing w:before="300" w:after="300" w:line="240" w:lineRule="atLeast"/>
      <w:outlineLvl w:val="2"/>
    </w:pPr>
    <w:rPr>
      <w:rFonts w:ascii="MingLiU" w:eastAsia="MingLiU"/>
      <w:spacing w:val="10"/>
      <w:kern w:val="0"/>
      <w:sz w:val="21"/>
      <w:szCs w:val="21"/>
    </w:rPr>
  </w:style>
  <w:style w:type="character" w:customStyle="1" w:styleId="218">
    <w:name w:val="unnamed31"/>
    <w:qFormat/>
    <w:uiPriority w:val="0"/>
    <w:rPr>
      <w:sz w:val="23"/>
      <w:szCs w:val="23"/>
    </w:rPr>
  </w:style>
  <w:style w:type="character" w:customStyle="1" w:styleId="219">
    <w:name w:val="正文2 Char"/>
    <w:link w:val="220"/>
    <w:qFormat/>
    <w:uiPriority w:val="0"/>
    <w:rPr>
      <w:rFonts w:ascii="宋体" w:hAnsi="宋体"/>
      <w:kern w:val="2"/>
      <w:sz w:val="24"/>
      <w:szCs w:val="24"/>
    </w:rPr>
  </w:style>
  <w:style w:type="paragraph" w:customStyle="1" w:styleId="220">
    <w:name w:val="正文2"/>
    <w:basedOn w:val="1"/>
    <w:link w:val="219"/>
    <w:qFormat/>
    <w:uiPriority w:val="0"/>
    <w:pPr>
      <w:spacing w:line="360" w:lineRule="auto"/>
      <w:ind w:firstLine="480" w:firstLineChars="200"/>
    </w:pPr>
    <w:rPr>
      <w:rFonts w:hAnsi="宋体"/>
      <w:sz w:val="24"/>
      <w:szCs w:val="24"/>
    </w:rPr>
  </w:style>
  <w:style w:type="character" w:customStyle="1" w:styleId="221">
    <w:name w:val="my-notice"/>
    <w:basedOn w:val="129"/>
    <w:qFormat/>
    <w:uiPriority w:val="0"/>
    <w:rPr>
      <w:rFonts w:cs="宋体"/>
      <w:kern w:val="0"/>
      <w:szCs w:val="24"/>
    </w:rPr>
  </w:style>
  <w:style w:type="character" w:customStyle="1" w:styleId="222">
    <w:name w:val="我1.1 Char"/>
    <w:qFormat/>
    <w:uiPriority w:val="0"/>
    <w:rPr>
      <w:rFonts w:ascii="黑体" w:hAnsi="Arial" w:eastAsia="黑体" w:cs="宋体"/>
      <w:b/>
      <w:bCs/>
      <w:kern w:val="2"/>
      <w:sz w:val="24"/>
      <w:szCs w:val="32"/>
      <w:lang w:val="en-US" w:eastAsia="zh-CN" w:bidi="ar-SA"/>
    </w:rPr>
  </w:style>
  <w:style w:type="character" w:customStyle="1" w:styleId="223">
    <w:name w:val="批注主题 Char1"/>
    <w:qFormat/>
    <w:uiPriority w:val="0"/>
    <w:rPr>
      <w:rFonts w:ascii="宋体"/>
      <w:b/>
      <w:bCs/>
      <w:spacing w:val="5"/>
      <w:kern w:val="2"/>
      <w:sz w:val="25"/>
      <w:szCs w:val="24"/>
    </w:rPr>
  </w:style>
  <w:style w:type="character" w:customStyle="1" w:styleId="224">
    <w:name w:val="正文缩进41"/>
    <w:qFormat/>
    <w:uiPriority w:val="0"/>
    <w:rPr>
      <w:rFonts w:ascii="宋体" w:eastAsia="宋体"/>
      <w:kern w:val="2"/>
      <w:sz w:val="24"/>
      <w:szCs w:val="24"/>
      <w:lang w:val="en-US" w:eastAsia="zh-CN" w:bidi="ar-SA"/>
    </w:rPr>
  </w:style>
  <w:style w:type="character" w:customStyle="1" w:styleId="225">
    <w:name w:val="正文文本_"/>
    <w:qFormat/>
    <w:uiPriority w:val="0"/>
    <w:rPr>
      <w:rFonts w:eastAsia="宋体"/>
      <w:kern w:val="2"/>
      <w:sz w:val="21"/>
      <w:lang w:val="en-US" w:eastAsia="zh-CN" w:bidi="ar-SA"/>
    </w:rPr>
  </w:style>
  <w:style w:type="character" w:customStyle="1" w:styleId="226">
    <w:name w:val="grame"/>
    <w:basedOn w:val="129"/>
    <w:qFormat/>
    <w:uiPriority w:val="0"/>
    <w:rPr>
      <w:rFonts w:cs="宋体"/>
      <w:kern w:val="0"/>
      <w:szCs w:val="24"/>
    </w:rPr>
  </w:style>
  <w:style w:type="character" w:customStyle="1" w:styleId="227">
    <w:name w:val="viewthreadtxt"/>
    <w:qFormat/>
    <w:uiPriority w:val="0"/>
    <w:rPr>
      <w:rFonts w:eastAsia="黑体"/>
      <w:snapToGrid w:val="0"/>
      <w:szCs w:val="24"/>
    </w:rPr>
  </w:style>
  <w:style w:type="character" w:customStyle="1" w:styleId="228">
    <w:name w:val="ft-hanggao1"/>
    <w:qFormat/>
    <w:uiPriority w:val="0"/>
    <w:rPr>
      <w:color w:val="000000"/>
      <w:sz w:val="21"/>
      <w:szCs w:val="21"/>
    </w:rPr>
  </w:style>
  <w:style w:type="character" w:customStyle="1" w:styleId="229">
    <w:name w:val="正文首行缩进 Char2"/>
    <w:link w:val="230"/>
    <w:qFormat/>
    <w:uiPriority w:val="99"/>
    <w:rPr>
      <w:rFonts w:hint="eastAsia" w:ascii="宋体" w:hAnsi="宋体" w:eastAsia="宋体"/>
      <w:spacing w:val="5"/>
      <w:kern w:val="2"/>
      <w:sz w:val="21"/>
      <w:szCs w:val="24"/>
    </w:rPr>
  </w:style>
  <w:style w:type="paragraph" w:customStyle="1" w:styleId="230">
    <w:name w:val="正文首行缩进1"/>
    <w:basedOn w:val="32"/>
    <w:link w:val="229"/>
    <w:qFormat/>
    <w:uiPriority w:val="99"/>
    <w:pPr>
      <w:spacing w:line="440" w:lineRule="exact"/>
      <w:ind w:firstLine="420" w:firstLineChars="100"/>
    </w:pPr>
    <w:rPr>
      <w:rFonts w:hint="eastAsia" w:hAnsi="宋体"/>
      <w:spacing w:val="5"/>
      <w:sz w:val="21"/>
      <w:szCs w:val="24"/>
    </w:rPr>
  </w:style>
  <w:style w:type="character" w:customStyle="1" w:styleId="231">
    <w:name w:val="正文-自建 Char"/>
    <w:link w:val="232"/>
    <w:qFormat/>
    <w:uiPriority w:val="0"/>
    <w:rPr>
      <w:sz w:val="28"/>
      <w:szCs w:val="28"/>
    </w:rPr>
  </w:style>
  <w:style w:type="paragraph" w:customStyle="1" w:styleId="232">
    <w:name w:val="正文-自建"/>
    <w:basedOn w:val="20"/>
    <w:link w:val="231"/>
    <w:qFormat/>
    <w:uiPriority w:val="0"/>
    <w:pPr>
      <w:spacing w:line="600" w:lineRule="exact"/>
      <w:ind w:firstLine="200" w:firstLineChars="200"/>
    </w:pPr>
    <w:rPr>
      <w:rFonts w:eastAsia="宋体"/>
      <w:snapToGrid/>
      <w:kern w:val="0"/>
      <w:sz w:val="28"/>
      <w:szCs w:val="28"/>
    </w:rPr>
  </w:style>
  <w:style w:type="character" w:customStyle="1" w:styleId="233">
    <w:name w:val="标题 2 Char2"/>
    <w:qFormat/>
    <w:uiPriority w:val="0"/>
    <w:rPr>
      <w:rFonts w:hint="default" w:ascii="Cambria" w:hAnsi="Cambria" w:eastAsia="宋体" w:cs="Times New Roman"/>
      <w:b/>
      <w:bCs/>
      <w:spacing w:val="5"/>
      <w:kern w:val="2"/>
      <w:sz w:val="32"/>
      <w:szCs w:val="32"/>
    </w:rPr>
  </w:style>
  <w:style w:type="character" w:customStyle="1" w:styleId="234">
    <w:name w:val="z-窗体顶端 Char"/>
    <w:link w:val="235"/>
    <w:qFormat/>
    <w:uiPriority w:val="0"/>
    <w:rPr>
      <w:rFonts w:ascii="Arial" w:hAnsi="Arial" w:cs="Arial"/>
      <w:vanish/>
      <w:spacing w:val="5"/>
      <w:kern w:val="2"/>
      <w:sz w:val="16"/>
      <w:szCs w:val="16"/>
    </w:rPr>
  </w:style>
  <w:style w:type="paragraph" w:customStyle="1" w:styleId="235">
    <w:name w:val="z-窗体顶端1"/>
    <w:basedOn w:val="1"/>
    <w:next w:val="1"/>
    <w:link w:val="234"/>
    <w:unhideWhenUsed/>
    <w:qFormat/>
    <w:uiPriority w:val="0"/>
    <w:pPr>
      <w:pBdr>
        <w:bottom w:val="single" w:color="auto" w:sz="6" w:space="1"/>
      </w:pBdr>
      <w:jc w:val="center"/>
    </w:pPr>
    <w:rPr>
      <w:rFonts w:ascii="Arial" w:hAnsi="Arial" w:cs="Arial"/>
      <w:vanish/>
      <w:spacing w:val="5"/>
      <w:sz w:val="16"/>
      <w:szCs w:val="16"/>
    </w:rPr>
  </w:style>
  <w:style w:type="character" w:customStyle="1" w:styleId="236">
    <w:name w:val="font21"/>
    <w:qFormat/>
    <w:uiPriority w:val="0"/>
    <w:rPr>
      <w:rFonts w:hint="eastAsia" w:ascii="宋体" w:hAnsi="宋体" w:eastAsia="宋体" w:cs="宋体"/>
      <w:color w:val="000000"/>
      <w:sz w:val="15"/>
      <w:szCs w:val="15"/>
      <w:u w:val="none"/>
    </w:rPr>
  </w:style>
  <w:style w:type="character" w:customStyle="1" w:styleId="237">
    <w:name w:val="表编号 Char"/>
    <w:link w:val="238"/>
    <w:qFormat/>
    <w:uiPriority w:val="0"/>
    <w:rPr>
      <w:rFonts w:ascii="新宋体" w:hAnsi="新宋体" w:eastAsia="楷体" w:cs="Tms Rmn"/>
      <w:kern w:val="2"/>
      <w:sz w:val="24"/>
    </w:rPr>
  </w:style>
  <w:style w:type="paragraph" w:customStyle="1" w:styleId="238">
    <w:name w:val="表编号"/>
    <w:basedOn w:val="21"/>
    <w:link w:val="237"/>
    <w:qFormat/>
    <w:uiPriority w:val="0"/>
    <w:pPr>
      <w:tabs>
        <w:tab w:val="left" w:pos="0"/>
      </w:tabs>
      <w:spacing w:line="360" w:lineRule="auto"/>
      <w:jc w:val="center"/>
    </w:pPr>
    <w:rPr>
      <w:rFonts w:ascii="新宋体" w:hAnsi="新宋体" w:eastAsia="楷体" w:cs="Tms Rmn"/>
      <w:sz w:val="24"/>
    </w:rPr>
  </w:style>
  <w:style w:type="character" w:customStyle="1" w:styleId="239">
    <w:name w:val="Char Char5"/>
    <w:qFormat/>
    <w:uiPriority w:val="0"/>
    <w:rPr>
      <w:kern w:val="2"/>
      <w:sz w:val="18"/>
      <w:szCs w:val="18"/>
    </w:rPr>
  </w:style>
  <w:style w:type="character" w:customStyle="1" w:styleId="240">
    <w:name w:val="正文格式 Char Char"/>
    <w:qFormat/>
    <w:uiPriority w:val="0"/>
    <w:rPr>
      <w:rFonts w:ascii="宋体" w:hAnsi="宋体"/>
      <w:kern w:val="2"/>
      <w:sz w:val="24"/>
      <w:szCs w:val="24"/>
    </w:rPr>
  </w:style>
  <w:style w:type="character" w:customStyle="1" w:styleId="241">
    <w:name w:val="日期 Char2"/>
    <w:qFormat/>
    <w:uiPriority w:val="0"/>
    <w:rPr>
      <w:rFonts w:ascii="宋体"/>
      <w:spacing w:val="5"/>
      <w:kern w:val="2"/>
      <w:sz w:val="25"/>
      <w:szCs w:val="24"/>
    </w:rPr>
  </w:style>
  <w:style w:type="character" w:customStyle="1" w:styleId="242">
    <w:name w:val="中文报告书样式 Char"/>
    <w:link w:val="243"/>
    <w:qFormat/>
    <w:uiPriority w:val="0"/>
    <w:rPr>
      <w:rFonts w:ascii="宋体" w:hAnsi="宋体" w:eastAsia="黑体" w:cs="宋体"/>
      <w:snapToGrid w:val="0"/>
      <w:kern w:val="24"/>
      <w:sz w:val="24"/>
      <w:szCs w:val="24"/>
    </w:rPr>
  </w:style>
  <w:style w:type="paragraph" w:customStyle="1" w:styleId="243">
    <w:name w:val="中文报告书样式"/>
    <w:basedOn w:val="1"/>
    <w:link w:val="242"/>
    <w:qFormat/>
    <w:uiPriority w:val="0"/>
    <w:pPr>
      <w:adjustRightInd w:val="0"/>
      <w:spacing w:line="480" w:lineRule="atLeast"/>
      <w:ind w:firstLine="482"/>
      <w:textAlignment w:val="baseline"/>
    </w:pPr>
    <w:rPr>
      <w:rFonts w:hAnsi="宋体" w:eastAsia="黑体" w:cs="宋体"/>
      <w:snapToGrid w:val="0"/>
      <w:kern w:val="24"/>
      <w:sz w:val="24"/>
      <w:szCs w:val="24"/>
    </w:rPr>
  </w:style>
  <w:style w:type="character" w:customStyle="1" w:styleId="244">
    <w:name w:val="description"/>
    <w:basedOn w:val="129"/>
    <w:qFormat/>
    <w:uiPriority w:val="0"/>
    <w:rPr>
      <w:rFonts w:cs="宋体"/>
      <w:kern w:val="0"/>
      <w:szCs w:val="24"/>
    </w:rPr>
  </w:style>
  <w:style w:type="character" w:customStyle="1" w:styleId="245">
    <w:name w:val="批注文字 Char1"/>
    <w:qFormat/>
    <w:uiPriority w:val="0"/>
    <w:rPr>
      <w:rFonts w:ascii="宋体"/>
      <w:spacing w:val="5"/>
      <w:kern w:val="2"/>
      <w:sz w:val="25"/>
      <w:szCs w:val="24"/>
    </w:rPr>
  </w:style>
  <w:style w:type="character" w:customStyle="1" w:styleId="246">
    <w:name w:val="fs"/>
    <w:basedOn w:val="129"/>
    <w:qFormat/>
    <w:uiPriority w:val="0"/>
    <w:rPr>
      <w:rFonts w:cs="宋体"/>
      <w:kern w:val="0"/>
      <w:szCs w:val="24"/>
    </w:rPr>
  </w:style>
  <w:style w:type="character" w:customStyle="1" w:styleId="247">
    <w:name w:val="style21"/>
    <w:qFormat/>
    <w:uiPriority w:val="0"/>
    <w:rPr>
      <w:rFonts w:hint="default" w:ascii="Verdana" w:hAnsi="Verdana"/>
    </w:rPr>
  </w:style>
  <w:style w:type="character" w:customStyle="1" w:styleId="248">
    <w:name w:val="副标题 Char1"/>
    <w:qFormat/>
    <w:uiPriority w:val="11"/>
    <w:rPr>
      <w:rFonts w:ascii="Cambria" w:hAnsi="Cambria" w:cs="Times New Roman"/>
      <w:b/>
      <w:bCs/>
      <w:kern w:val="28"/>
      <w:sz w:val="32"/>
      <w:szCs w:val="32"/>
    </w:rPr>
  </w:style>
  <w:style w:type="character" w:customStyle="1" w:styleId="249">
    <w:name w:val="样式4 Char"/>
    <w:qFormat/>
    <w:uiPriority w:val="0"/>
    <w:rPr>
      <w:rFonts w:ascii="黑体" w:eastAsia="黑体"/>
      <w:spacing w:val="5"/>
      <w:kern w:val="2"/>
      <w:sz w:val="29"/>
      <w:szCs w:val="29"/>
    </w:rPr>
  </w:style>
  <w:style w:type="character" w:customStyle="1" w:styleId="250">
    <w:name w:val="javascript"/>
    <w:basedOn w:val="129"/>
    <w:qFormat/>
    <w:uiPriority w:val="0"/>
    <w:rPr>
      <w:rFonts w:cs="宋体"/>
      <w:kern w:val="0"/>
      <w:szCs w:val="24"/>
    </w:rPr>
  </w:style>
  <w:style w:type="character" w:customStyle="1" w:styleId="251">
    <w:name w:val="Char Char23"/>
    <w:qFormat/>
    <w:uiPriority w:val="0"/>
    <w:rPr>
      <w:rFonts w:hint="eastAsia" w:ascii="宋体" w:hAnsi="宋体" w:eastAsia="宋体" w:cs="宋体"/>
      <w:color w:val="000000"/>
      <w:kern w:val="2"/>
      <w:sz w:val="24"/>
      <w:szCs w:val="24"/>
    </w:rPr>
  </w:style>
  <w:style w:type="character" w:customStyle="1" w:styleId="252">
    <w:name w:val="样式1 Char"/>
    <w:link w:val="253"/>
    <w:qFormat/>
    <w:uiPriority w:val="0"/>
    <w:rPr>
      <w:rFonts w:ascii="Arial" w:hAnsi="Arial"/>
      <w:sz w:val="24"/>
      <w:szCs w:val="24"/>
    </w:rPr>
  </w:style>
  <w:style w:type="paragraph" w:customStyle="1" w:styleId="253">
    <w:name w:val="样式1"/>
    <w:basedOn w:val="1"/>
    <w:link w:val="252"/>
    <w:qFormat/>
    <w:uiPriority w:val="0"/>
    <w:pPr>
      <w:widowControl/>
      <w:spacing w:line="440" w:lineRule="exact"/>
      <w:ind w:firstLine="200" w:firstLineChars="200"/>
    </w:pPr>
    <w:rPr>
      <w:rFonts w:ascii="Arial" w:hAnsi="Arial"/>
      <w:kern w:val="0"/>
      <w:sz w:val="24"/>
      <w:szCs w:val="24"/>
    </w:rPr>
  </w:style>
  <w:style w:type="character" w:customStyle="1" w:styleId="254">
    <w:name w:val="Footer1 Char"/>
    <w:qFormat/>
    <w:uiPriority w:val="0"/>
    <w:rPr>
      <w:rFonts w:hint="eastAsia" w:ascii="宋体" w:hAnsi="宋体" w:eastAsia="宋体" w:cs="宋体"/>
      <w:sz w:val="18"/>
      <w:szCs w:val="18"/>
      <w:lang w:val="en-US" w:eastAsia="zh-CN" w:bidi="ar-SA"/>
    </w:rPr>
  </w:style>
  <w:style w:type="character" w:customStyle="1" w:styleId="255">
    <w:name w:val="文档结构图 Char1"/>
    <w:qFormat/>
    <w:uiPriority w:val="0"/>
    <w:rPr>
      <w:rFonts w:ascii="宋体"/>
      <w:spacing w:val="5"/>
      <w:kern w:val="2"/>
      <w:sz w:val="18"/>
      <w:szCs w:val="18"/>
    </w:rPr>
  </w:style>
  <w:style w:type="character" w:customStyle="1" w:styleId="256">
    <w:name w:val="font71"/>
    <w:qFormat/>
    <w:uiPriority w:val="0"/>
    <w:rPr>
      <w:rFonts w:hint="default" w:ascii="Times New Roman" w:hAnsi="Times New Roman" w:cs="Times New Roman"/>
      <w:color w:val="000000"/>
      <w:sz w:val="18"/>
      <w:szCs w:val="18"/>
      <w:u w:val="none"/>
    </w:rPr>
  </w:style>
  <w:style w:type="character" w:customStyle="1" w:styleId="257">
    <w:name w:val="样式 正文文本缩进 3 + (西文) Times New Roman (中文) 仿宋_GB2312 小四 Char"/>
    <w:link w:val="258"/>
    <w:qFormat/>
    <w:uiPriority w:val="0"/>
    <w:rPr>
      <w:b/>
      <w:color w:val="000000"/>
      <w:kern w:val="2"/>
      <w:sz w:val="24"/>
    </w:rPr>
  </w:style>
  <w:style w:type="paragraph" w:customStyle="1" w:styleId="258">
    <w:name w:val="样式 正文文本缩进 3 + (西文) Times New Roman (中文) 仿宋_GB2312 小四"/>
    <w:basedOn w:val="66"/>
    <w:link w:val="257"/>
    <w:qFormat/>
    <w:uiPriority w:val="0"/>
    <w:pPr>
      <w:tabs>
        <w:tab w:val="clear" w:pos="0"/>
      </w:tabs>
      <w:spacing w:line="520" w:lineRule="exact"/>
      <w:ind w:firstLine="200" w:firstLineChars="200"/>
    </w:pPr>
    <w:rPr>
      <w:b/>
      <w:color w:val="000000"/>
      <w:sz w:val="24"/>
      <w:szCs w:val="20"/>
    </w:rPr>
  </w:style>
  <w:style w:type="character" w:customStyle="1" w:styleId="259">
    <w:name w:val="正文文本缩进 21"/>
    <w:qFormat/>
    <w:uiPriority w:val="0"/>
    <w:rPr>
      <w:rFonts w:ascii="宋体" w:hAnsi="Matisse ITC" w:eastAsia="宋体"/>
      <w:snapToGrid w:val="0"/>
      <w:sz w:val="28"/>
      <w:szCs w:val="24"/>
      <w:lang w:val="en-US" w:eastAsia="zh-CN" w:bidi="ar-SA"/>
    </w:rPr>
  </w:style>
  <w:style w:type="character" w:customStyle="1" w:styleId="260">
    <w:name w:val="正 Char"/>
    <w:link w:val="261"/>
    <w:qFormat/>
    <w:uiPriority w:val="0"/>
    <w:rPr>
      <w:kern w:val="2"/>
      <w:sz w:val="24"/>
    </w:rPr>
  </w:style>
  <w:style w:type="paragraph" w:customStyle="1" w:styleId="261">
    <w:name w:val="正"/>
    <w:basedOn w:val="1"/>
    <w:link w:val="260"/>
    <w:qFormat/>
    <w:uiPriority w:val="0"/>
    <w:pPr>
      <w:ind w:firstLine="200"/>
    </w:pPr>
    <w:rPr>
      <w:rFonts w:ascii="Times New Roman"/>
      <w:sz w:val="24"/>
      <w:szCs w:val="20"/>
    </w:rPr>
  </w:style>
  <w:style w:type="character" w:customStyle="1" w:styleId="262">
    <w:name w:val="批注框文本 Char2"/>
    <w:qFormat/>
    <w:uiPriority w:val="0"/>
    <w:rPr>
      <w:rFonts w:ascii="宋体"/>
      <w:spacing w:val="5"/>
      <w:kern w:val="2"/>
      <w:sz w:val="18"/>
      <w:szCs w:val="18"/>
    </w:rPr>
  </w:style>
  <w:style w:type="character" w:customStyle="1" w:styleId="263">
    <w:name w:val="ca-3"/>
    <w:qFormat/>
    <w:uiPriority w:val="0"/>
    <w:rPr>
      <w:rFonts w:cs="Times New Roman"/>
    </w:rPr>
  </w:style>
  <w:style w:type="character" w:customStyle="1" w:styleId="264">
    <w:name w:val="样式 首行缩进:  2 字符 Char"/>
    <w:link w:val="265"/>
    <w:qFormat/>
    <w:uiPriority w:val="0"/>
    <w:rPr>
      <w:sz w:val="24"/>
    </w:rPr>
  </w:style>
  <w:style w:type="paragraph" w:customStyle="1" w:styleId="265">
    <w:name w:val="样式 首行缩进:  2 字符"/>
    <w:basedOn w:val="1"/>
    <w:link w:val="264"/>
    <w:qFormat/>
    <w:uiPriority w:val="0"/>
    <w:pPr>
      <w:spacing w:line="460" w:lineRule="exact"/>
      <w:ind w:firstLine="471"/>
    </w:pPr>
    <w:rPr>
      <w:rFonts w:ascii="Times New Roman"/>
      <w:kern w:val="0"/>
      <w:sz w:val="24"/>
      <w:szCs w:val="20"/>
    </w:rPr>
  </w:style>
  <w:style w:type="character" w:customStyle="1" w:styleId="266">
    <w:name w:val="样式4 Char Char Char"/>
    <w:qFormat/>
    <w:uiPriority w:val="0"/>
    <w:rPr>
      <w:rFonts w:ascii="Arial" w:hAnsi="Arial" w:eastAsia="宋体"/>
      <w:kern w:val="2"/>
      <w:sz w:val="24"/>
      <w:szCs w:val="24"/>
      <w:lang w:val="en-US" w:eastAsia="zh-CN" w:bidi="ar-SA"/>
    </w:rPr>
  </w:style>
  <w:style w:type="character" w:customStyle="1" w:styleId="267">
    <w:name w:val="正文首行缩进 2 Char1"/>
    <w:qFormat/>
    <w:uiPriority w:val="99"/>
    <w:rPr>
      <w:rFonts w:hint="eastAsia" w:ascii="宋体" w:hAnsi="宋体" w:eastAsia="宋体" w:cs="Arial"/>
      <w:kern w:val="2"/>
      <w:sz w:val="24"/>
      <w:szCs w:val="24"/>
    </w:rPr>
  </w:style>
  <w:style w:type="character" w:customStyle="1" w:styleId="268">
    <w:name w:val="yyp Char Char"/>
    <w:link w:val="269"/>
    <w:qFormat/>
    <w:uiPriority w:val="0"/>
    <w:rPr>
      <w:rFonts w:ascii="Calibri" w:hAnsi="Calibri"/>
      <w:kern w:val="2"/>
      <w:sz w:val="24"/>
      <w:szCs w:val="24"/>
    </w:rPr>
  </w:style>
  <w:style w:type="paragraph" w:customStyle="1" w:styleId="269">
    <w:name w:val="yyp"/>
    <w:basedOn w:val="1"/>
    <w:link w:val="268"/>
    <w:qFormat/>
    <w:uiPriority w:val="0"/>
    <w:pPr>
      <w:spacing w:after="120" w:line="360" w:lineRule="auto"/>
      <w:ind w:firstLine="480" w:firstLineChars="200"/>
    </w:pPr>
    <w:rPr>
      <w:rFonts w:ascii="Calibri" w:hAnsi="Calibri"/>
      <w:sz w:val="24"/>
      <w:szCs w:val="24"/>
    </w:rPr>
  </w:style>
  <w:style w:type="character" w:customStyle="1" w:styleId="270">
    <w:name w:val="正文文本 2 Char1"/>
    <w:qFormat/>
    <w:uiPriority w:val="0"/>
    <w:rPr>
      <w:rFonts w:ascii="宋体"/>
      <w:spacing w:val="5"/>
      <w:kern w:val="2"/>
      <w:sz w:val="25"/>
      <w:szCs w:val="24"/>
    </w:rPr>
  </w:style>
  <w:style w:type="character" w:customStyle="1" w:styleId="271">
    <w:name w:val="postbody1"/>
    <w:qFormat/>
    <w:uiPriority w:val="0"/>
    <w:rPr>
      <w:rFonts w:eastAsia="黑体" w:cs="宋体"/>
      <w:bCs/>
      <w:snapToGrid w:val="0"/>
      <w:kern w:val="0"/>
      <w:sz w:val="21"/>
      <w:szCs w:val="21"/>
    </w:rPr>
  </w:style>
  <w:style w:type="character" w:customStyle="1" w:styleId="272">
    <w:name w:val="正文(首行缩进) Char"/>
    <w:link w:val="273"/>
    <w:qFormat/>
    <w:uiPriority w:val="0"/>
    <w:rPr>
      <w:sz w:val="24"/>
      <w:szCs w:val="24"/>
    </w:rPr>
  </w:style>
  <w:style w:type="paragraph" w:customStyle="1" w:styleId="273">
    <w:name w:val="正文(首行缩进)"/>
    <w:basedOn w:val="1"/>
    <w:link w:val="272"/>
    <w:qFormat/>
    <w:uiPriority w:val="0"/>
    <w:pPr>
      <w:adjustRightInd w:val="0"/>
      <w:snapToGrid w:val="0"/>
      <w:spacing w:line="360" w:lineRule="auto"/>
      <w:ind w:firstLine="200" w:firstLineChars="200"/>
    </w:pPr>
    <w:rPr>
      <w:rFonts w:ascii="Times New Roman"/>
      <w:kern w:val="0"/>
      <w:sz w:val="24"/>
      <w:szCs w:val="24"/>
    </w:rPr>
  </w:style>
  <w:style w:type="character" w:customStyle="1" w:styleId="274">
    <w:name w:val="正文文字缩进 Char Char Char Char"/>
    <w:qFormat/>
    <w:uiPriority w:val="0"/>
    <w:rPr>
      <w:rFonts w:ascii="宋体" w:eastAsia="宋体"/>
      <w:spacing w:val="5"/>
      <w:kern w:val="2"/>
      <w:sz w:val="25"/>
      <w:szCs w:val="25"/>
      <w:lang w:val="en-US" w:eastAsia="zh-CN" w:bidi="ar-SA"/>
    </w:rPr>
  </w:style>
  <w:style w:type="character" w:customStyle="1" w:styleId="275">
    <w:name w:val="公路正文 Char"/>
    <w:link w:val="276"/>
    <w:qFormat/>
    <w:uiPriority w:val="0"/>
    <w:rPr>
      <w:rFonts w:ascii="Arial" w:hAnsi="Arial" w:eastAsia="黑体"/>
      <w:snapToGrid w:val="0"/>
      <w:kern w:val="2"/>
      <w:sz w:val="24"/>
      <w:szCs w:val="24"/>
    </w:rPr>
  </w:style>
  <w:style w:type="paragraph" w:customStyle="1" w:styleId="276">
    <w:name w:val="样式4"/>
    <w:basedOn w:val="20"/>
    <w:link w:val="275"/>
    <w:qFormat/>
    <w:uiPriority w:val="0"/>
    <w:pPr>
      <w:spacing w:line="460" w:lineRule="exact"/>
    </w:pPr>
    <w:rPr>
      <w:rFonts w:ascii="Arial" w:hAnsi="Arial"/>
      <w:sz w:val="24"/>
    </w:rPr>
  </w:style>
  <w:style w:type="character" w:customStyle="1" w:styleId="277">
    <w:name w:val="表头 Char Char"/>
    <w:link w:val="278"/>
    <w:qFormat/>
    <w:uiPriority w:val="0"/>
    <w:rPr>
      <w:rFonts w:eastAsia="黑体"/>
      <w:spacing w:val="-10"/>
      <w:sz w:val="21"/>
      <w:szCs w:val="11"/>
    </w:rPr>
  </w:style>
  <w:style w:type="paragraph" w:customStyle="1" w:styleId="278">
    <w:name w:val="表头"/>
    <w:basedOn w:val="1"/>
    <w:link w:val="277"/>
    <w:qFormat/>
    <w:uiPriority w:val="0"/>
    <w:pPr>
      <w:spacing w:line="320" w:lineRule="atLeast"/>
      <w:jc w:val="center"/>
    </w:pPr>
    <w:rPr>
      <w:rFonts w:ascii="Times New Roman" w:eastAsia="黑体"/>
      <w:spacing w:val="-10"/>
      <w:kern w:val="0"/>
      <w:sz w:val="21"/>
      <w:szCs w:val="11"/>
    </w:rPr>
  </w:style>
  <w:style w:type="character" w:customStyle="1" w:styleId="279">
    <w:name w:val="Char Char30"/>
    <w:qFormat/>
    <w:uiPriority w:val="0"/>
    <w:rPr>
      <w:rFonts w:ascii="Arial" w:hAnsi="Arial" w:eastAsia="黑体"/>
      <w:b/>
      <w:bCs/>
      <w:kern w:val="2"/>
      <w:sz w:val="24"/>
      <w:szCs w:val="24"/>
      <w:lang w:val="en-US" w:eastAsia="zh-CN" w:bidi="ar-SA"/>
    </w:rPr>
  </w:style>
  <w:style w:type="character" w:customStyle="1" w:styleId="280">
    <w:name w:val="正文首行缩进 Char1"/>
    <w:qFormat/>
    <w:uiPriority w:val="0"/>
    <w:rPr>
      <w:rFonts w:ascii="宋体"/>
      <w:spacing w:val="5"/>
      <w:kern w:val="2"/>
      <w:sz w:val="25"/>
      <w:szCs w:val="24"/>
    </w:rPr>
  </w:style>
  <w:style w:type="character" w:customStyle="1" w:styleId="281">
    <w:name w:val="表格 Char"/>
    <w:link w:val="282"/>
    <w:qFormat/>
    <w:uiPriority w:val="0"/>
    <w:rPr>
      <w:sz w:val="24"/>
    </w:rPr>
  </w:style>
  <w:style w:type="paragraph" w:customStyle="1" w:styleId="282">
    <w:name w:val="表格"/>
    <w:basedOn w:val="1"/>
    <w:next w:val="1"/>
    <w:link w:val="281"/>
    <w:qFormat/>
    <w:uiPriority w:val="0"/>
    <w:pPr>
      <w:adjustRightInd w:val="0"/>
      <w:spacing w:line="400" w:lineRule="atLeast"/>
      <w:jc w:val="center"/>
    </w:pPr>
    <w:rPr>
      <w:rFonts w:ascii="Times New Roman"/>
      <w:kern w:val="0"/>
      <w:sz w:val="24"/>
      <w:szCs w:val="20"/>
    </w:rPr>
  </w:style>
  <w:style w:type="character" w:customStyle="1" w:styleId="283">
    <w:name w:val="font61"/>
    <w:qFormat/>
    <w:uiPriority w:val="0"/>
    <w:rPr>
      <w:rFonts w:hint="default" w:ascii="Times New Roman" w:hAnsi="Times New Roman" w:cs="Times New Roman"/>
      <w:color w:val="000000"/>
      <w:sz w:val="18"/>
      <w:szCs w:val="18"/>
      <w:u w:val="none"/>
    </w:rPr>
  </w:style>
  <w:style w:type="character" w:customStyle="1" w:styleId="284">
    <w:name w:val="标题 7 Char1"/>
    <w:qFormat/>
    <w:uiPriority w:val="0"/>
    <w:rPr>
      <w:rFonts w:hint="eastAsia" w:ascii="宋体" w:hAnsi="宋体" w:eastAsia="宋体"/>
      <w:b/>
      <w:bCs/>
      <w:spacing w:val="5"/>
      <w:kern w:val="2"/>
      <w:sz w:val="24"/>
      <w:szCs w:val="24"/>
    </w:rPr>
  </w:style>
  <w:style w:type="character" w:customStyle="1" w:styleId="285">
    <w:name w:val="titlestyle1"/>
    <w:qFormat/>
    <w:uiPriority w:val="0"/>
    <w:rPr>
      <w:b/>
      <w:bCs/>
      <w:color w:val="993300"/>
    </w:rPr>
  </w:style>
  <w:style w:type="character" w:customStyle="1" w:styleId="286">
    <w:name w:val="Char Char22"/>
    <w:qFormat/>
    <w:uiPriority w:val="0"/>
    <w:rPr>
      <w:kern w:val="2"/>
      <w:sz w:val="18"/>
      <w:szCs w:val="18"/>
    </w:rPr>
  </w:style>
  <w:style w:type="character" w:customStyle="1" w:styleId="287">
    <w:name w:val="正文缩进42"/>
    <w:qFormat/>
    <w:uiPriority w:val="0"/>
    <w:rPr>
      <w:rFonts w:ascii="Arial" w:hAnsi="Arial" w:eastAsia="宋体"/>
      <w:kern w:val="2"/>
      <w:sz w:val="24"/>
      <w:lang w:val="en-US" w:eastAsia="zh-CN" w:bidi="ar-SA"/>
    </w:rPr>
  </w:style>
  <w:style w:type="character" w:customStyle="1" w:styleId="288">
    <w:name w:val="标题 9 Char1"/>
    <w:qFormat/>
    <w:uiPriority w:val="0"/>
    <w:rPr>
      <w:rFonts w:hint="default" w:ascii="Cambria" w:hAnsi="Cambria" w:eastAsia="宋体" w:cs="Times New Roman"/>
      <w:spacing w:val="5"/>
      <w:kern w:val="2"/>
      <w:sz w:val="21"/>
      <w:szCs w:val="21"/>
    </w:rPr>
  </w:style>
  <w:style w:type="character" w:customStyle="1" w:styleId="289">
    <w:name w:val="Char Char25"/>
    <w:qFormat/>
    <w:uiPriority w:val="0"/>
    <w:rPr>
      <w:b/>
      <w:bCs/>
      <w:kern w:val="2"/>
      <w:sz w:val="32"/>
      <w:szCs w:val="32"/>
    </w:rPr>
  </w:style>
  <w:style w:type="character" w:customStyle="1" w:styleId="290">
    <w:name w:val="hang1"/>
    <w:qFormat/>
    <w:uiPriority w:val="0"/>
    <w:rPr>
      <w:sz w:val="20"/>
      <w:szCs w:val="20"/>
    </w:rPr>
  </w:style>
  <w:style w:type="character" w:customStyle="1" w:styleId="291">
    <w:name w:val="正文文字缩进 2 Char Char1"/>
    <w:qFormat/>
    <w:uiPriority w:val="0"/>
    <w:rPr>
      <w:rFonts w:eastAsia="黑体"/>
      <w:snapToGrid w:val="0"/>
      <w:kern w:val="2"/>
      <w:sz w:val="21"/>
      <w:szCs w:val="24"/>
    </w:rPr>
  </w:style>
  <w:style w:type="character" w:customStyle="1" w:styleId="292">
    <w:name w:val="tcolor4"/>
    <w:qFormat/>
    <w:uiPriority w:val="0"/>
    <w:rPr>
      <w:rFonts w:ascii="lucida Grande" w:hAnsi="lucida Grande" w:eastAsia="lucida Grande" w:cs="lucida Grande"/>
      <w:color w:val="7F7F7F"/>
      <w:sz w:val="18"/>
      <w:szCs w:val="18"/>
    </w:rPr>
  </w:style>
  <w:style w:type="character" w:customStyle="1" w:styleId="293">
    <w:name w:val="日期 Char1"/>
    <w:qFormat/>
    <w:uiPriority w:val="0"/>
    <w:rPr>
      <w:rFonts w:eastAsia="仿宋_GB2312"/>
      <w:kern w:val="2"/>
      <w:sz w:val="32"/>
    </w:rPr>
  </w:style>
  <w:style w:type="character" w:customStyle="1" w:styleId="294">
    <w:name w:val="正文文本 (3) + AngsanaUPC"/>
    <w:qFormat/>
    <w:uiPriority w:val="0"/>
    <w:rPr>
      <w:rFonts w:ascii="AngsanaUPC" w:hAnsi="Arial Unicode MS" w:eastAsia="AngsanaUPC" w:cs="AngsanaUPC"/>
      <w:b/>
      <w:bCs/>
      <w:sz w:val="29"/>
      <w:szCs w:val="29"/>
      <w:lang w:val="en-US" w:eastAsia="en-US" w:bidi="ar-SA"/>
    </w:rPr>
  </w:style>
  <w:style w:type="character" w:customStyle="1" w:styleId="295">
    <w:name w:val="style51"/>
    <w:qFormat/>
    <w:uiPriority w:val="0"/>
    <w:rPr>
      <w:color w:val="CC0000"/>
    </w:rPr>
  </w:style>
  <w:style w:type="character" w:customStyle="1" w:styleId="296">
    <w:name w:val="sbody1"/>
    <w:qFormat/>
    <w:uiPriority w:val="0"/>
    <w:rPr>
      <w:sz w:val="14"/>
      <w:szCs w:val="14"/>
    </w:rPr>
  </w:style>
  <w:style w:type="character" w:customStyle="1" w:styleId="297">
    <w:name w:val="文字缩进 Char1"/>
    <w:qFormat/>
    <w:uiPriority w:val="0"/>
    <w:rPr>
      <w:rFonts w:hint="eastAsia" w:ascii="宋体" w:hAnsi="Courier New" w:eastAsia="宋体"/>
      <w:kern w:val="2"/>
      <w:sz w:val="21"/>
      <w:lang w:bidi="ar-SA"/>
    </w:rPr>
  </w:style>
  <w:style w:type="character" w:customStyle="1" w:styleId="298">
    <w:name w:val="font01"/>
    <w:qFormat/>
    <w:uiPriority w:val="0"/>
    <w:rPr>
      <w:rFonts w:hint="default" w:ascii="Times New Roman" w:hAnsi="Times New Roman" w:cs="Times New Roman"/>
      <w:color w:val="000000"/>
      <w:sz w:val="15"/>
      <w:szCs w:val="15"/>
      <w:u w:val="none"/>
      <w:vertAlign w:val="superscript"/>
    </w:rPr>
  </w:style>
  <w:style w:type="character" w:customStyle="1" w:styleId="299">
    <w:name w:val="t-tag"/>
    <w:qFormat/>
    <w:uiPriority w:val="0"/>
    <w:rPr>
      <w:color w:val="FFFFFF"/>
      <w:sz w:val="18"/>
      <w:szCs w:val="18"/>
      <w:shd w:val="clear" w:color="auto" w:fill="FE8833"/>
    </w:rPr>
  </w:style>
  <w:style w:type="character" w:customStyle="1" w:styleId="300">
    <w:name w:val="Char Char8"/>
    <w:qFormat/>
    <w:uiPriority w:val="0"/>
    <w:rPr>
      <w:rFonts w:eastAsia="宋体"/>
      <w:kern w:val="2"/>
      <w:sz w:val="18"/>
      <w:lang w:val="en-US" w:eastAsia="zh-CN" w:bidi="ar-SA"/>
    </w:rPr>
  </w:style>
  <w:style w:type="character" w:customStyle="1" w:styleId="301">
    <w:name w:val="正文文本缩进 3 Char1"/>
    <w:qFormat/>
    <w:uiPriority w:val="99"/>
    <w:rPr>
      <w:rFonts w:ascii="宋体"/>
      <w:spacing w:val="5"/>
      <w:kern w:val="2"/>
      <w:sz w:val="16"/>
      <w:szCs w:val="16"/>
    </w:rPr>
  </w:style>
  <w:style w:type="character" w:customStyle="1" w:styleId="302">
    <w:name w:val="文本正文 Char"/>
    <w:link w:val="303"/>
    <w:qFormat/>
    <w:uiPriority w:val="0"/>
    <w:rPr>
      <w:rFonts w:ascii="宋体" w:eastAsia="黑体"/>
      <w:snapToGrid w:val="0"/>
      <w:spacing w:val="4"/>
      <w:kern w:val="24"/>
      <w:sz w:val="24"/>
      <w:szCs w:val="24"/>
      <w:lang w:val="zh-CN"/>
    </w:rPr>
  </w:style>
  <w:style w:type="paragraph" w:customStyle="1" w:styleId="303">
    <w:name w:val="文本正文"/>
    <w:basedOn w:val="1"/>
    <w:link w:val="302"/>
    <w:qFormat/>
    <w:uiPriority w:val="0"/>
    <w:pPr>
      <w:snapToGrid w:val="0"/>
      <w:spacing w:line="360" w:lineRule="auto"/>
      <w:ind w:firstLine="510"/>
      <w:jc w:val="left"/>
    </w:pPr>
    <w:rPr>
      <w:rFonts w:eastAsia="黑体"/>
      <w:snapToGrid w:val="0"/>
      <w:spacing w:val="4"/>
      <w:kern w:val="24"/>
      <w:sz w:val="24"/>
      <w:szCs w:val="24"/>
      <w:lang w:val="zh-CN"/>
    </w:rPr>
  </w:style>
  <w:style w:type="character" w:customStyle="1" w:styleId="304">
    <w:name w:val="页脚 Char1"/>
    <w:qFormat/>
    <w:uiPriority w:val="0"/>
    <w:rPr>
      <w:kern w:val="2"/>
      <w:sz w:val="18"/>
      <w:szCs w:val="18"/>
    </w:rPr>
  </w:style>
  <w:style w:type="character" w:customStyle="1" w:styleId="305">
    <w:name w:val="正文缩进2 Char Char Char Char Char Char Cha"/>
    <w:qFormat/>
    <w:uiPriority w:val="0"/>
    <w:rPr>
      <w:rFonts w:ascii="宋体" w:eastAsia="宋体"/>
      <w:snapToGrid w:val="0"/>
      <w:kern w:val="2"/>
      <w:sz w:val="24"/>
      <w:szCs w:val="24"/>
      <w:lang w:val="en-US" w:eastAsia="zh-CN" w:bidi="ar-SA"/>
    </w:rPr>
  </w:style>
  <w:style w:type="character" w:customStyle="1" w:styleId="306">
    <w:name w:val="二级标题 Char"/>
    <w:link w:val="307"/>
    <w:qFormat/>
    <w:uiPriority w:val="0"/>
    <w:rPr>
      <w:rFonts w:eastAsia="Times New Roman"/>
      <w:b/>
      <w:color w:val="000000"/>
      <w:kern w:val="2"/>
      <w:sz w:val="30"/>
      <w:szCs w:val="30"/>
    </w:rPr>
  </w:style>
  <w:style w:type="paragraph" w:customStyle="1" w:styleId="307">
    <w:name w:val="二级标题"/>
    <w:basedOn w:val="1"/>
    <w:link w:val="306"/>
    <w:qFormat/>
    <w:uiPriority w:val="0"/>
    <w:pPr>
      <w:spacing w:line="600" w:lineRule="exact"/>
      <w:outlineLvl w:val="1"/>
    </w:pPr>
    <w:rPr>
      <w:rFonts w:ascii="Times New Roman" w:eastAsia="Times New Roman"/>
      <w:b/>
      <w:color w:val="000000"/>
      <w:sz w:val="30"/>
      <w:szCs w:val="30"/>
    </w:rPr>
  </w:style>
  <w:style w:type="character" w:customStyle="1" w:styleId="308">
    <w:name w:val="标题 Char1"/>
    <w:qFormat/>
    <w:uiPriority w:val="10"/>
    <w:rPr>
      <w:rFonts w:ascii="Cambria" w:hAnsi="Cambria" w:cs="Times New Roman"/>
      <w:b/>
      <w:bCs/>
      <w:spacing w:val="5"/>
      <w:kern w:val="2"/>
      <w:sz w:val="32"/>
      <w:szCs w:val="32"/>
    </w:rPr>
  </w:style>
  <w:style w:type="character" w:customStyle="1" w:styleId="309">
    <w:name w:val="font31"/>
    <w:qFormat/>
    <w:uiPriority w:val="0"/>
    <w:rPr>
      <w:rFonts w:hint="eastAsia" w:ascii="宋体" w:hAnsi="宋体" w:eastAsia="宋体" w:cs="宋体"/>
      <w:color w:val="000000"/>
      <w:sz w:val="18"/>
      <w:szCs w:val="18"/>
      <w:u w:val="none"/>
    </w:rPr>
  </w:style>
  <w:style w:type="character" w:customStyle="1" w:styleId="310">
    <w:name w:val="样式 正文文字 + 首行缩进:  2 字符 行距: 最小值 24 磅 Char"/>
    <w:link w:val="311"/>
    <w:qFormat/>
    <w:uiPriority w:val="0"/>
    <w:rPr>
      <w:rFonts w:ascii="宋体" w:hAnsi="宋体" w:eastAsia="黑体" w:cs="楷体"/>
      <w:snapToGrid w:val="0"/>
      <w:kern w:val="2"/>
      <w:sz w:val="24"/>
      <w:szCs w:val="24"/>
    </w:rPr>
  </w:style>
  <w:style w:type="paragraph" w:customStyle="1" w:styleId="311">
    <w:name w:val="样式 正文文字 + 首行缩进:  2 字符 行距: 最小值 24 磅"/>
    <w:basedOn w:val="1"/>
    <w:link w:val="310"/>
    <w:qFormat/>
    <w:uiPriority w:val="0"/>
    <w:pPr>
      <w:adjustRightInd w:val="0"/>
      <w:snapToGrid w:val="0"/>
      <w:spacing w:line="480" w:lineRule="atLeast"/>
      <w:ind w:firstLine="480" w:firstLineChars="200"/>
    </w:pPr>
    <w:rPr>
      <w:rFonts w:hAnsi="宋体" w:eastAsia="黑体" w:cs="楷体"/>
      <w:snapToGrid w:val="0"/>
      <w:sz w:val="24"/>
      <w:szCs w:val="24"/>
    </w:rPr>
  </w:style>
  <w:style w:type="character" w:customStyle="1" w:styleId="312">
    <w:name w:val="样式 正文1 + 加粗1 Char Char"/>
    <w:link w:val="313"/>
    <w:qFormat/>
    <w:uiPriority w:val="0"/>
    <w:rPr>
      <w:kern w:val="2"/>
      <w:sz w:val="24"/>
    </w:rPr>
  </w:style>
  <w:style w:type="paragraph" w:customStyle="1" w:styleId="313">
    <w:name w:val="样式 正文1 + 加粗1"/>
    <w:basedOn w:val="148"/>
    <w:link w:val="312"/>
    <w:qFormat/>
    <w:uiPriority w:val="0"/>
    <w:pPr>
      <w:spacing w:beforeLines="20"/>
      <w:ind w:firstLine="480"/>
    </w:pPr>
    <w:rPr>
      <w:rFonts w:eastAsia="宋体"/>
    </w:rPr>
  </w:style>
  <w:style w:type="character" w:customStyle="1" w:styleId="314">
    <w:name w:val="正文1 Char"/>
    <w:link w:val="148"/>
    <w:qFormat/>
    <w:uiPriority w:val="0"/>
    <w:rPr>
      <w:rFonts w:eastAsia="楷体_GB2312"/>
      <w:kern w:val="2"/>
      <w:sz w:val="24"/>
    </w:rPr>
  </w:style>
  <w:style w:type="character" w:customStyle="1" w:styleId="315">
    <w:name w:val="我的正文 Char"/>
    <w:link w:val="316"/>
    <w:qFormat/>
    <w:uiPriority w:val="0"/>
    <w:rPr>
      <w:rFonts w:cs="宋体"/>
      <w:kern w:val="2"/>
      <w:sz w:val="28"/>
    </w:rPr>
  </w:style>
  <w:style w:type="paragraph" w:customStyle="1" w:styleId="316">
    <w:name w:val="我的正文"/>
    <w:basedOn w:val="1"/>
    <w:link w:val="315"/>
    <w:qFormat/>
    <w:uiPriority w:val="0"/>
    <w:pPr>
      <w:ind w:firstLine="560" w:firstLineChars="200"/>
    </w:pPr>
    <w:rPr>
      <w:rFonts w:ascii="Times New Roman" w:cs="宋体"/>
      <w:sz w:val="28"/>
      <w:szCs w:val="20"/>
    </w:rPr>
  </w:style>
  <w:style w:type="character" w:customStyle="1" w:styleId="317">
    <w:name w:val="z-窗体底端 Char"/>
    <w:link w:val="318"/>
    <w:qFormat/>
    <w:uiPriority w:val="0"/>
    <w:rPr>
      <w:rFonts w:ascii="Arial" w:hAnsi="Arial" w:cs="Arial"/>
      <w:vanish/>
      <w:spacing w:val="5"/>
      <w:kern w:val="2"/>
      <w:sz w:val="16"/>
      <w:szCs w:val="16"/>
    </w:rPr>
  </w:style>
  <w:style w:type="paragraph" w:customStyle="1" w:styleId="318">
    <w:name w:val="z-窗体底端1"/>
    <w:basedOn w:val="1"/>
    <w:next w:val="1"/>
    <w:link w:val="317"/>
    <w:unhideWhenUsed/>
    <w:qFormat/>
    <w:uiPriority w:val="0"/>
    <w:pPr>
      <w:pBdr>
        <w:top w:val="single" w:color="auto" w:sz="6" w:space="1"/>
      </w:pBdr>
      <w:jc w:val="center"/>
    </w:pPr>
    <w:rPr>
      <w:rFonts w:ascii="Arial" w:hAnsi="Arial" w:cs="Arial"/>
      <w:vanish/>
      <w:spacing w:val="5"/>
      <w:sz w:val="16"/>
      <w:szCs w:val="16"/>
    </w:rPr>
  </w:style>
  <w:style w:type="character" w:customStyle="1" w:styleId="319">
    <w:name w:val="正文01 Char"/>
    <w:link w:val="320"/>
    <w:qFormat/>
    <w:uiPriority w:val="0"/>
    <w:rPr>
      <w:rFonts w:ascii="Tms Rmn" w:hAnsi="Tms Rmn" w:eastAsia="楷体"/>
      <w:snapToGrid w:val="0"/>
      <w:kern w:val="2"/>
      <w:sz w:val="24"/>
      <w:szCs w:val="24"/>
    </w:rPr>
  </w:style>
  <w:style w:type="paragraph" w:customStyle="1" w:styleId="320">
    <w:name w:val="正文01"/>
    <w:basedOn w:val="1"/>
    <w:link w:val="319"/>
    <w:qFormat/>
    <w:uiPriority w:val="0"/>
    <w:pPr>
      <w:spacing w:before="60" w:line="460" w:lineRule="exact"/>
      <w:ind w:firstLine="200" w:firstLineChars="200"/>
    </w:pPr>
    <w:rPr>
      <w:rFonts w:ascii="Tms Rmn" w:hAnsi="Tms Rmn" w:eastAsia="楷体"/>
      <w:snapToGrid w:val="0"/>
      <w:sz w:val="24"/>
      <w:szCs w:val="24"/>
    </w:rPr>
  </w:style>
  <w:style w:type="character" w:customStyle="1" w:styleId="321">
    <w:name w:val="f-star"/>
    <w:qFormat/>
    <w:uiPriority w:val="0"/>
    <w:rPr>
      <w:color w:val="999999"/>
      <w:sz w:val="21"/>
      <w:szCs w:val="21"/>
    </w:rPr>
  </w:style>
  <w:style w:type="character" w:customStyle="1" w:styleId="322">
    <w:name w:val="正文小四首缩1.3行距 Char Char"/>
    <w:link w:val="323"/>
    <w:qFormat/>
    <w:uiPriority w:val="0"/>
    <w:rPr>
      <w:kern w:val="2"/>
      <w:sz w:val="24"/>
      <w:szCs w:val="24"/>
    </w:rPr>
  </w:style>
  <w:style w:type="paragraph" w:customStyle="1" w:styleId="323">
    <w:name w:val="正文小四首缩1.3行距"/>
    <w:basedOn w:val="1"/>
    <w:link w:val="322"/>
    <w:qFormat/>
    <w:uiPriority w:val="0"/>
    <w:pPr>
      <w:spacing w:line="312" w:lineRule="auto"/>
      <w:ind w:firstLine="420" w:firstLineChars="200"/>
    </w:pPr>
    <w:rPr>
      <w:rFonts w:ascii="Times New Roman"/>
      <w:sz w:val="24"/>
      <w:szCs w:val="24"/>
    </w:rPr>
  </w:style>
  <w:style w:type="character" w:customStyle="1" w:styleId="324">
    <w:name w:val="news1"/>
    <w:qFormat/>
    <w:uiPriority w:val="0"/>
    <w:rPr>
      <w:color w:val="000000"/>
      <w:sz w:val="21"/>
      <w:szCs w:val="21"/>
      <w:u w:val="none"/>
    </w:rPr>
  </w:style>
  <w:style w:type="character" w:customStyle="1" w:styleId="325">
    <w:name w:val="标题 4 Char1"/>
    <w:qFormat/>
    <w:uiPriority w:val="0"/>
    <w:rPr>
      <w:rFonts w:ascii="Arial" w:hAnsi="Arial" w:eastAsia="黑体"/>
      <w:b/>
      <w:bCs/>
      <w:kern w:val="2"/>
      <w:sz w:val="28"/>
      <w:szCs w:val="28"/>
      <w:lang w:val="en-US" w:eastAsia="zh-CN" w:bidi="ar-SA"/>
    </w:rPr>
  </w:style>
  <w:style w:type="character" w:customStyle="1" w:styleId="326">
    <w:name w:val="样式4 Char1"/>
    <w:qFormat/>
    <w:uiPriority w:val="0"/>
    <w:rPr>
      <w:rFonts w:ascii="Arial" w:hAnsi="Arial" w:eastAsia="宋体"/>
      <w:kern w:val="2"/>
      <w:sz w:val="24"/>
      <w:szCs w:val="24"/>
      <w:lang w:val="en-US" w:eastAsia="zh-CN" w:bidi="ar-SA"/>
    </w:rPr>
  </w:style>
  <w:style w:type="character" w:customStyle="1" w:styleId="327">
    <w:name w:val="lh13"/>
    <w:basedOn w:val="129"/>
    <w:qFormat/>
    <w:uiPriority w:val="0"/>
    <w:rPr>
      <w:rFonts w:cs="宋体"/>
      <w:kern w:val="0"/>
      <w:szCs w:val="24"/>
    </w:rPr>
  </w:style>
  <w:style w:type="character" w:customStyle="1" w:styleId="328">
    <w:name w:val="标题 41"/>
    <w:qFormat/>
    <w:uiPriority w:val="0"/>
    <w:rPr>
      <w:rFonts w:ascii="Arial" w:hAnsi="Arial" w:eastAsia="宋体"/>
      <w:b/>
      <w:bCs/>
      <w:kern w:val="2"/>
      <w:sz w:val="28"/>
      <w:szCs w:val="28"/>
      <w:lang w:val="en-US" w:eastAsia="zh-CN" w:bidi="ar-SA"/>
    </w:rPr>
  </w:style>
  <w:style w:type="character" w:customStyle="1" w:styleId="329">
    <w:name w:val="font91"/>
    <w:qFormat/>
    <w:uiPriority w:val="0"/>
    <w:rPr>
      <w:rFonts w:hint="default" w:ascii="Times New Roman" w:hAnsi="Times New Roman" w:cs="Times New Roman"/>
      <w:color w:val="000000"/>
      <w:sz w:val="18"/>
      <w:szCs w:val="18"/>
      <w:u w:val="none"/>
    </w:rPr>
  </w:style>
  <w:style w:type="character" w:customStyle="1" w:styleId="330">
    <w:name w:val="font41"/>
    <w:qFormat/>
    <w:uiPriority w:val="0"/>
    <w:rPr>
      <w:rFonts w:hint="default" w:ascii="Times New Roman" w:hAnsi="Times New Roman" w:cs="Times New Roman"/>
      <w:color w:val="000000"/>
      <w:sz w:val="18"/>
      <w:szCs w:val="18"/>
      <w:u w:val="none"/>
    </w:rPr>
  </w:style>
  <w:style w:type="character" w:customStyle="1" w:styleId="331">
    <w:name w:val="正文首行缩进2 Char Char"/>
    <w:link w:val="332"/>
    <w:qFormat/>
    <w:uiPriority w:val="0"/>
    <w:rPr>
      <w:rFonts w:ascii="宋体"/>
      <w:sz w:val="24"/>
      <w:szCs w:val="24"/>
    </w:rPr>
  </w:style>
  <w:style w:type="paragraph" w:customStyle="1" w:styleId="332">
    <w:name w:val="正文首行缩进2"/>
    <w:basedOn w:val="1"/>
    <w:link w:val="331"/>
    <w:qFormat/>
    <w:uiPriority w:val="0"/>
    <w:pPr>
      <w:tabs>
        <w:tab w:val="left" w:pos="0"/>
        <w:tab w:val="left" w:pos="870"/>
        <w:tab w:val="left" w:pos="3150"/>
      </w:tabs>
      <w:autoSpaceDE w:val="0"/>
      <w:autoSpaceDN w:val="0"/>
      <w:spacing w:line="360" w:lineRule="auto"/>
      <w:ind w:firstLine="200" w:firstLineChars="200"/>
      <w:jc w:val="left"/>
    </w:pPr>
    <w:rPr>
      <w:kern w:val="0"/>
      <w:sz w:val="24"/>
      <w:szCs w:val="24"/>
    </w:rPr>
  </w:style>
  <w:style w:type="character" w:customStyle="1" w:styleId="333">
    <w:name w:val="表头文字 Char"/>
    <w:link w:val="334"/>
    <w:qFormat/>
    <w:uiPriority w:val="0"/>
    <w:rPr>
      <w:rFonts w:eastAsia="黑体"/>
      <w:kern w:val="2"/>
      <w:sz w:val="24"/>
    </w:rPr>
  </w:style>
  <w:style w:type="paragraph" w:customStyle="1" w:styleId="334">
    <w:name w:val="表头文字"/>
    <w:basedOn w:val="1"/>
    <w:link w:val="333"/>
    <w:qFormat/>
    <w:uiPriority w:val="0"/>
    <w:pPr>
      <w:jc w:val="center"/>
    </w:pPr>
    <w:rPr>
      <w:rFonts w:ascii="Times New Roman" w:eastAsia="黑体"/>
      <w:sz w:val="24"/>
      <w:szCs w:val="20"/>
    </w:rPr>
  </w:style>
  <w:style w:type="character" w:customStyle="1" w:styleId="335">
    <w:name w:val="曹文本 Char"/>
    <w:link w:val="336"/>
    <w:qFormat/>
    <w:uiPriority w:val="0"/>
    <w:rPr>
      <w:kern w:val="2"/>
      <w:sz w:val="24"/>
    </w:rPr>
  </w:style>
  <w:style w:type="paragraph" w:customStyle="1" w:styleId="336">
    <w:name w:val="曹文本"/>
    <w:basedOn w:val="1"/>
    <w:link w:val="335"/>
    <w:qFormat/>
    <w:uiPriority w:val="0"/>
    <w:pPr>
      <w:spacing w:beforeLines="10" w:afterLines="10" w:line="500" w:lineRule="exact"/>
      <w:ind w:firstLine="200" w:firstLineChars="200"/>
    </w:pPr>
    <w:rPr>
      <w:rFonts w:ascii="Times New Roman"/>
      <w:sz w:val="24"/>
      <w:szCs w:val="20"/>
    </w:rPr>
  </w:style>
  <w:style w:type="character" w:customStyle="1" w:styleId="337">
    <w:name w:val="bg-hover1"/>
    <w:basedOn w:val="129"/>
    <w:qFormat/>
    <w:uiPriority w:val="0"/>
    <w:rPr>
      <w:rFonts w:cs="宋体"/>
      <w:kern w:val="0"/>
      <w:szCs w:val="24"/>
    </w:rPr>
  </w:style>
  <w:style w:type="character" w:customStyle="1" w:styleId="338">
    <w:name w:val="正文文字缩进 Char Char Char Char Char"/>
    <w:qFormat/>
    <w:uiPriority w:val="0"/>
    <w:rPr>
      <w:rFonts w:ascii="宋体" w:eastAsia="宋体"/>
      <w:spacing w:val="5"/>
      <w:kern w:val="2"/>
      <w:sz w:val="25"/>
      <w:szCs w:val="44"/>
      <w:lang w:val="en-US" w:eastAsia="zh-CN" w:bidi="ar-SA"/>
    </w:rPr>
  </w:style>
  <w:style w:type="character" w:customStyle="1" w:styleId="339">
    <w:name w:val="no62"/>
    <w:basedOn w:val="129"/>
    <w:qFormat/>
    <w:uiPriority w:val="0"/>
    <w:rPr>
      <w:rFonts w:cs="宋体"/>
      <w:kern w:val="0"/>
      <w:szCs w:val="24"/>
    </w:rPr>
  </w:style>
  <w:style w:type="character" w:customStyle="1" w:styleId="340">
    <w:name w:val="普 Char1"/>
    <w:qFormat/>
    <w:uiPriority w:val="0"/>
    <w:rPr>
      <w:rFonts w:hint="eastAsia" w:ascii="宋体" w:hAnsi="Courier New" w:eastAsia="宋体" w:cs="Courier New"/>
      <w:kern w:val="2"/>
      <w:sz w:val="21"/>
      <w:szCs w:val="21"/>
    </w:rPr>
  </w:style>
  <w:style w:type="character" w:customStyle="1" w:styleId="341">
    <w:name w:val="text_l1"/>
    <w:qFormat/>
    <w:uiPriority w:val="0"/>
    <w:rPr>
      <w:color w:val="000066"/>
      <w:sz w:val="18"/>
      <w:szCs w:val="18"/>
    </w:rPr>
  </w:style>
  <w:style w:type="character" w:customStyle="1" w:styleId="342">
    <w:name w:val="样式 标题 3Re + 黑体 小四 非加粗 Char"/>
    <w:link w:val="343"/>
    <w:qFormat/>
    <w:uiPriority w:val="0"/>
    <w:rPr>
      <w:rFonts w:ascii="黑体" w:hAnsi="黑体" w:eastAsia="黑体"/>
      <w:sz w:val="24"/>
      <w:szCs w:val="24"/>
    </w:rPr>
  </w:style>
  <w:style w:type="paragraph" w:customStyle="1" w:styleId="343">
    <w:name w:val="样式 标题 3Re + 黑体 小四 非加粗"/>
    <w:basedOn w:val="5"/>
    <w:link w:val="342"/>
    <w:qFormat/>
    <w:uiPriority w:val="0"/>
    <w:pPr>
      <w:widowControl/>
      <w:spacing w:before="120" w:after="120" w:line="360" w:lineRule="auto"/>
      <w:jc w:val="left"/>
    </w:pPr>
    <w:rPr>
      <w:rFonts w:ascii="黑体" w:hAnsi="黑体" w:eastAsia="黑体"/>
      <w:b w:val="0"/>
      <w:bCs w:val="0"/>
      <w:kern w:val="0"/>
      <w:sz w:val="24"/>
      <w:szCs w:val="24"/>
    </w:rPr>
  </w:style>
  <w:style w:type="character" w:customStyle="1" w:styleId="344">
    <w:name w:val="表头 Char"/>
    <w:qFormat/>
    <w:uiPriority w:val="0"/>
    <w:rPr>
      <w:rFonts w:hAnsi="Calibri"/>
      <w:b/>
      <w:kern w:val="2"/>
      <w:sz w:val="24"/>
      <w:szCs w:val="24"/>
    </w:rPr>
  </w:style>
  <w:style w:type="character" w:customStyle="1" w:styleId="345">
    <w:name w:val="普通(网站) Char"/>
    <w:qFormat/>
    <w:uiPriority w:val="0"/>
    <w:rPr>
      <w:rFonts w:hint="eastAsia" w:ascii="宋体" w:hAnsi="宋体" w:eastAsia="宋体"/>
      <w:spacing w:val="5"/>
      <w:kern w:val="2"/>
      <w:sz w:val="18"/>
      <w:szCs w:val="18"/>
    </w:rPr>
  </w:style>
  <w:style w:type="character" w:customStyle="1" w:styleId="346">
    <w:name w:val="t1"/>
    <w:qFormat/>
    <w:uiPriority w:val="0"/>
    <w:rPr>
      <w:rFonts w:eastAsia="黑体"/>
      <w:snapToGrid w:val="0"/>
      <w:sz w:val="21"/>
      <w:szCs w:val="21"/>
    </w:rPr>
  </w:style>
  <w:style w:type="character" w:customStyle="1" w:styleId="347">
    <w:name w:val="正文(首行缩进)宋旭峰 Char Char"/>
    <w:link w:val="348"/>
    <w:qFormat/>
    <w:uiPriority w:val="0"/>
    <w:rPr>
      <w:sz w:val="24"/>
    </w:rPr>
  </w:style>
  <w:style w:type="paragraph" w:customStyle="1" w:styleId="348">
    <w:name w:val="正文(首行缩进)宋旭峰"/>
    <w:basedOn w:val="20"/>
    <w:link w:val="347"/>
    <w:qFormat/>
    <w:uiPriority w:val="0"/>
    <w:pPr>
      <w:spacing w:line="360" w:lineRule="auto"/>
      <w:ind w:firstLine="480" w:firstLineChars="200"/>
    </w:pPr>
    <w:rPr>
      <w:rFonts w:eastAsia="宋体"/>
      <w:snapToGrid/>
      <w:kern w:val="0"/>
      <w:sz w:val="24"/>
      <w:szCs w:val="20"/>
    </w:rPr>
  </w:style>
  <w:style w:type="character" w:customStyle="1" w:styleId="349">
    <w:name w:val="表头1 Char"/>
    <w:link w:val="350"/>
    <w:qFormat/>
    <w:uiPriority w:val="0"/>
    <w:rPr>
      <w:rFonts w:eastAsia="黑体"/>
      <w:sz w:val="21"/>
      <w:szCs w:val="28"/>
    </w:rPr>
  </w:style>
  <w:style w:type="paragraph" w:customStyle="1" w:styleId="350">
    <w:name w:val="表头1"/>
    <w:basedOn w:val="1"/>
    <w:next w:val="1"/>
    <w:link w:val="349"/>
    <w:qFormat/>
    <w:uiPriority w:val="0"/>
    <w:pPr>
      <w:widowControl/>
      <w:tabs>
        <w:tab w:val="left" w:pos="605"/>
      </w:tabs>
      <w:adjustRightInd w:val="0"/>
      <w:snapToGrid w:val="0"/>
      <w:jc w:val="center"/>
    </w:pPr>
    <w:rPr>
      <w:rFonts w:ascii="Times New Roman" w:eastAsia="黑体"/>
      <w:kern w:val="0"/>
      <w:sz w:val="21"/>
      <w:szCs w:val="28"/>
    </w:rPr>
  </w:style>
  <w:style w:type="character" w:customStyle="1" w:styleId="351">
    <w:name w:val="正文格式 Char"/>
    <w:link w:val="352"/>
    <w:qFormat/>
    <w:uiPriority w:val="0"/>
    <w:rPr>
      <w:rFonts w:ascii="宋体" w:hAnsi="宋体"/>
      <w:kern w:val="2"/>
      <w:sz w:val="24"/>
      <w:szCs w:val="24"/>
    </w:rPr>
  </w:style>
  <w:style w:type="paragraph" w:customStyle="1" w:styleId="352">
    <w:name w:val="正文格式"/>
    <w:basedOn w:val="1"/>
    <w:link w:val="351"/>
    <w:qFormat/>
    <w:uiPriority w:val="0"/>
    <w:pPr>
      <w:spacing w:beforeLines="10" w:afterLines="10" w:line="360" w:lineRule="auto"/>
      <w:ind w:firstLine="482" w:firstLineChars="200"/>
    </w:pPr>
    <w:rPr>
      <w:rFonts w:hAnsi="宋体"/>
      <w:sz w:val="24"/>
      <w:szCs w:val="24"/>
    </w:rPr>
  </w:style>
  <w:style w:type="character" w:customStyle="1" w:styleId="353">
    <w:name w:val="样式 正文文本缩进 2正文文字缩进 2 + 四号 蓝色 Char Char"/>
    <w:link w:val="354"/>
    <w:qFormat/>
    <w:uiPriority w:val="0"/>
    <w:rPr>
      <w:color w:val="0000FF"/>
      <w:kern w:val="2"/>
      <w:sz w:val="24"/>
      <w:szCs w:val="24"/>
    </w:rPr>
  </w:style>
  <w:style w:type="paragraph" w:customStyle="1" w:styleId="354">
    <w:name w:val="样式 正文文本缩进 2正文文字缩进 2 + 四号 蓝色 Char"/>
    <w:basedOn w:val="48"/>
    <w:link w:val="353"/>
    <w:qFormat/>
    <w:uiPriority w:val="0"/>
    <w:pPr>
      <w:widowControl/>
      <w:adjustRightInd w:val="0"/>
      <w:spacing w:after="0" w:line="480" w:lineRule="exact"/>
      <w:ind w:left="0" w:leftChars="0" w:firstLine="709"/>
      <w:jc w:val="left"/>
      <w:textAlignment w:val="baseline"/>
    </w:pPr>
    <w:rPr>
      <w:rFonts w:eastAsia="宋体"/>
      <w:snapToGrid/>
      <w:color w:val="0000FF"/>
      <w:sz w:val="24"/>
    </w:rPr>
  </w:style>
  <w:style w:type="character" w:customStyle="1" w:styleId="355">
    <w:name w:val="标题 8 Char1"/>
    <w:qFormat/>
    <w:uiPriority w:val="0"/>
    <w:rPr>
      <w:rFonts w:hint="default" w:ascii="Cambria" w:hAnsi="Cambria" w:eastAsia="宋体" w:cs="Times New Roman"/>
      <w:spacing w:val="5"/>
      <w:kern w:val="2"/>
      <w:sz w:val="24"/>
      <w:szCs w:val="24"/>
    </w:rPr>
  </w:style>
  <w:style w:type="character" w:customStyle="1" w:styleId="356">
    <w:name w:val="tcolor2"/>
    <w:qFormat/>
    <w:uiPriority w:val="0"/>
    <w:rPr>
      <w:rFonts w:ascii="lucida Grande" w:hAnsi="lucida Grande" w:eastAsia="lucida Grande" w:cs="lucida Grande"/>
      <w:color w:val="7F7F7F"/>
      <w:kern w:val="0"/>
      <w:sz w:val="18"/>
      <w:szCs w:val="18"/>
    </w:rPr>
  </w:style>
  <w:style w:type="character" w:customStyle="1" w:styleId="357">
    <w:name w:val="style41"/>
    <w:qFormat/>
    <w:uiPriority w:val="0"/>
    <w:rPr>
      <w:b/>
      <w:bCs/>
      <w:color w:val="CC0000"/>
      <w:sz w:val="21"/>
      <w:szCs w:val="21"/>
    </w:rPr>
  </w:style>
  <w:style w:type="character" w:customStyle="1" w:styleId="358">
    <w:name w:val="标题 1 Char Char Char"/>
    <w:qFormat/>
    <w:uiPriority w:val="0"/>
    <w:rPr>
      <w:rFonts w:ascii="宋体" w:hAnsi="宋体" w:eastAsia="黑体"/>
      <w:bCs/>
      <w:snapToGrid w:val="0"/>
      <w:sz w:val="28"/>
      <w:szCs w:val="24"/>
    </w:rPr>
  </w:style>
  <w:style w:type="character" w:customStyle="1" w:styleId="359">
    <w:name w:val="样式 标题 3Re + 黑体 小四 非加粗1 Char"/>
    <w:link w:val="360"/>
    <w:qFormat/>
    <w:uiPriority w:val="0"/>
    <w:rPr>
      <w:rFonts w:ascii="黑体" w:hAnsi="黑体" w:eastAsia="黑体"/>
      <w:sz w:val="24"/>
      <w:szCs w:val="24"/>
    </w:rPr>
  </w:style>
  <w:style w:type="paragraph" w:customStyle="1" w:styleId="360">
    <w:name w:val="样式 标题 3Re + 黑体 小四 非加粗1"/>
    <w:basedOn w:val="5"/>
    <w:link w:val="359"/>
    <w:qFormat/>
    <w:uiPriority w:val="0"/>
    <w:pPr>
      <w:widowControl/>
      <w:spacing w:before="120" w:after="120" w:line="360" w:lineRule="auto"/>
      <w:jc w:val="left"/>
    </w:pPr>
    <w:rPr>
      <w:rFonts w:ascii="黑体" w:hAnsi="黑体" w:eastAsia="黑体"/>
      <w:b w:val="0"/>
      <w:bCs w:val="0"/>
      <w:kern w:val="0"/>
      <w:sz w:val="24"/>
      <w:szCs w:val="24"/>
    </w:rPr>
  </w:style>
  <w:style w:type="character" w:customStyle="1" w:styleId="361">
    <w:name w:val="样式 正文（首行缩进两字） + 小三 首行缩进:  1 厘米 行距: 固定值 24 磅 Char"/>
    <w:link w:val="362"/>
    <w:qFormat/>
    <w:uiPriority w:val="0"/>
    <w:rPr>
      <w:kern w:val="2"/>
      <w:sz w:val="28"/>
    </w:rPr>
  </w:style>
  <w:style w:type="paragraph" w:customStyle="1" w:styleId="362">
    <w:name w:val="样式 正文（首行缩进两字） + 小三 首行缩进:  1 厘米 行距: 固定值 24 磅"/>
    <w:basedOn w:val="20"/>
    <w:link w:val="361"/>
    <w:qFormat/>
    <w:uiPriority w:val="0"/>
    <w:pPr>
      <w:adjustRightInd w:val="0"/>
      <w:spacing w:line="480" w:lineRule="exact"/>
      <w:ind w:firstLine="567"/>
      <w:textAlignment w:val="baseline"/>
    </w:pPr>
    <w:rPr>
      <w:rFonts w:eastAsia="宋体"/>
      <w:snapToGrid/>
      <w:sz w:val="28"/>
      <w:szCs w:val="20"/>
    </w:rPr>
  </w:style>
  <w:style w:type="character" w:customStyle="1" w:styleId="363">
    <w:name w:val="字体--自建"/>
    <w:qFormat/>
    <w:uiPriority w:val="0"/>
    <w:rPr>
      <w:rFonts w:hint="eastAsia" w:ascii="宋体" w:hAnsi="宋体" w:eastAsia="宋体"/>
      <w:sz w:val="28"/>
    </w:rPr>
  </w:style>
  <w:style w:type="character" w:customStyle="1" w:styleId="364">
    <w:name w:val="bds_more"/>
    <w:basedOn w:val="129"/>
    <w:qFormat/>
    <w:uiPriority w:val="0"/>
    <w:rPr>
      <w:rFonts w:cs="宋体"/>
      <w:kern w:val="0"/>
      <w:szCs w:val="24"/>
    </w:rPr>
  </w:style>
  <w:style w:type="character" w:customStyle="1" w:styleId="365">
    <w:name w:val="正文小四 Char"/>
    <w:link w:val="366"/>
    <w:qFormat/>
    <w:uiPriority w:val="0"/>
    <w:rPr>
      <w:kern w:val="2"/>
      <w:sz w:val="24"/>
    </w:rPr>
  </w:style>
  <w:style w:type="paragraph" w:customStyle="1" w:styleId="366">
    <w:name w:val="正文小四"/>
    <w:basedOn w:val="1"/>
    <w:link w:val="365"/>
    <w:qFormat/>
    <w:uiPriority w:val="0"/>
    <w:pPr>
      <w:ind w:firstLine="420" w:firstLineChars="200"/>
    </w:pPr>
    <w:rPr>
      <w:rFonts w:ascii="Times New Roman"/>
      <w:sz w:val="24"/>
      <w:szCs w:val="20"/>
    </w:rPr>
  </w:style>
  <w:style w:type="character" w:customStyle="1" w:styleId="367">
    <w:name w:val="二 Char Char"/>
    <w:qFormat/>
    <w:uiPriority w:val="0"/>
    <w:rPr>
      <w:rFonts w:hint="eastAsia" w:ascii="黑体" w:hAnsi="黑体" w:eastAsia="黑体"/>
      <w:b/>
      <w:kern w:val="2"/>
      <w:sz w:val="24"/>
      <w:lang w:val="en-US" w:eastAsia="zh-CN"/>
    </w:rPr>
  </w:style>
  <w:style w:type="character" w:customStyle="1" w:styleId="368">
    <w:name w:val="正文文本 Char1"/>
    <w:qFormat/>
    <w:uiPriority w:val="0"/>
    <w:rPr>
      <w:rFonts w:ascii="宋体"/>
      <w:spacing w:val="5"/>
      <w:kern w:val="2"/>
      <w:sz w:val="25"/>
      <w:szCs w:val="24"/>
    </w:rPr>
  </w:style>
  <w:style w:type="character" w:customStyle="1" w:styleId="369">
    <w:name w:val="font11"/>
    <w:qFormat/>
    <w:uiPriority w:val="0"/>
    <w:rPr>
      <w:rFonts w:hint="default" w:ascii="Times New Roman" w:hAnsi="Times New Roman" w:cs="Times New Roman"/>
      <w:color w:val="0000FF"/>
      <w:sz w:val="18"/>
      <w:szCs w:val="18"/>
      <w:u w:val="none"/>
      <w:vertAlign w:val="subscript"/>
    </w:rPr>
  </w:style>
  <w:style w:type="character" w:customStyle="1" w:styleId="370">
    <w:name w:val="bds_nopic1"/>
    <w:basedOn w:val="129"/>
    <w:qFormat/>
    <w:uiPriority w:val="0"/>
    <w:rPr>
      <w:rFonts w:cs="宋体"/>
      <w:kern w:val="0"/>
      <w:szCs w:val="24"/>
    </w:rPr>
  </w:style>
  <w:style w:type="character" w:customStyle="1" w:styleId="371">
    <w:name w:val="正文文本 + AngsanaUPC"/>
    <w:qFormat/>
    <w:uiPriority w:val="0"/>
    <w:rPr>
      <w:rFonts w:ascii="AngsanaUPC" w:eastAsia="AngsanaUPC" w:cs="AngsanaUPC"/>
      <w:spacing w:val="0"/>
      <w:kern w:val="2"/>
      <w:sz w:val="29"/>
      <w:szCs w:val="29"/>
      <w:u w:val="none"/>
      <w:lang w:val="en-US" w:eastAsia="en-US" w:bidi="ar-SA"/>
    </w:rPr>
  </w:style>
  <w:style w:type="character" w:customStyle="1" w:styleId="372">
    <w:name w:val="bds_nopic"/>
    <w:basedOn w:val="129"/>
    <w:qFormat/>
    <w:uiPriority w:val="0"/>
    <w:rPr>
      <w:rFonts w:cs="宋体"/>
      <w:kern w:val="0"/>
      <w:szCs w:val="24"/>
    </w:rPr>
  </w:style>
  <w:style w:type="character" w:customStyle="1" w:styleId="373">
    <w:name w:val="正文首行缩进 Char Char"/>
    <w:qFormat/>
    <w:uiPriority w:val="0"/>
    <w:rPr>
      <w:rFonts w:ascii="Arial" w:hAnsi="Arial" w:eastAsia="宋体"/>
      <w:kern w:val="28"/>
      <w:sz w:val="24"/>
      <w:lang w:val="en-US" w:eastAsia="zh-CN" w:bidi="ar-SA"/>
    </w:rPr>
  </w:style>
  <w:style w:type="character" w:customStyle="1" w:styleId="374">
    <w:name w:val="签名 Char1"/>
    <w:semiHidden/>
    <w:qFormat/>
    <w:uiPriority w:val="0"/>
    <w:rPr>
      <w:rFonts w:ascii="宋体"/>
      <w:spacing w:val="5"/>
      <w:kern w:val="2"/>
      <w:sz w:val="25"/>
      <w:szCs w:val="24"/>
    </w:rPr>
  </w:style>
  <w:style w:type="character" w:customStyle="1" w:styleId="375">
    <w:name w:val="orange"/>
    <w:qFormat/>
    <w:uiPriority w:val="0"/>
    <w:rPr>
      <w:color w:val="3FB58F"/>
    </w:rPr>
  </w:style>
  <w:style w:type="character" w:customStyle="1" w:styleId="376">
    <w:name w:val="bds_more2"/>
    <w:basedOn w:val="129"/>
    <w:qFormat/>
    <w:uiPriority w:val="0"/>
    <w:rPr>
      <w:rFonts w:cs="宋体"/>
      <w:kern w:val="0"/>
      <w:szCs w:val="24"/>
    </w:rPr>
  </w:style>
  <w:style w:type="character" w:customStyle="1" w:styleId="377">
    <w:name w:val="text1"/>
    <w:qFormat/>
    <w:uiPriority w:val="0"/>
    <w:rPr>
      <w:rFonts w:hint="default" w:ascii="ˎ̥" w:hAnsi="ˎ̥"/>
      <w:color w:val="72492B"/>
      <w:sz w:val="18"/>
      <w:szCs w:val="18"/>
      <w:u w:val="none"/>
    </w:rPr>
  </w:style>
  <w:style w:type="character" w:customStyle="1" w:styleId="378">
    <w:name w:val="正文文本 + 间距 4 pt"/>
    <w:qFormat/>
    <w:uiPriority w:val="0"/>
    <w:rPr>
      <w:rFonts w:ascii="MingLiU" w:eastAsia="MingLiU" w:cs="MingLiU"/>
      <w:spacing w:val="80"/>
      <w:kern w:val="2"/>
      <w:sz w:val="21"/>
      <w:szCs w:val="21"/>
      <w:u w:val="none"/>
      <w:lang w:val="en-US" w:eastAsia="zh-CN" w:bidi="ar-SA"/>
    </w:rPr>
  </w:style>
  <w:style w:type="character" w:customStyle="1" w:styleId="379">
    <w:name w:val="no7"/>
    <w:basedOn w:val="129"/>
    <w:qFormat/>
    <w:uiPriority w:val="0"/>
    <w:rPr>
      <w:rFonts w:cs="宋体"/>
      <w:kern w:val="0"/>
      <w:szCs w:val="24"/>
    </w:rPr>
  </w:style>
  <w:style w:type="character" w:customStyle="1" w:styleId="380">
    <w:name w:val="HTML 预设格式 Char1"/>
    <w:qFormat/>
    <w:uiPriority w:val="99"/>
    <w:rPr>
      <w:rFonts w:hint="eastAsia" w:ascii="宋体" w:hAnsi="宋体" w:eastAsia="宋体" w:cs="宋体"/>
      <w:sz w:val="24"/>
      <w:szCs w:val="24"/>
    </w:rPr>
  </w:style>
  <w:style w:type="character" w:customStyle="1" w:styleId="381">
    <w:name w:val="样式8 Char Char"/>
    <w:link w:val="382"/>
    <w:qFormat/>
    <w:uiPriority w:val="0"/>
    <w:rPr>
      <w:kern w:val="2"/>
      <w:sz w:val="24"/>
    </w:rPr>
  </w:style>
  <w:style w:type="paragraph" w:customStyle="1" w:styleId="382">
    <w:name w:val="样式8"/>
    <w:basedOn w:val="1"/>
    <w:link w:val="381"/>
    <w:qFormat/>
    <w:uiPriority w:val="0"/>
    <w:pPr>
      <w:spacing w:line="460" w:lineRule="exact"/>
      <w:ind w:firstLine="200" w:firstLineChars="200"/>
    </w:pPr>
    <w:rPr>
      <w:rFonts w:ascii="Times New Roman"/>
      <w:sz w:val="24"/>
      <w:szCs w:val="20"/>
    </w:rPr>
  </w:style>
  <w:style w:type="character" w:customStyle="1" w:styleId="383">
    <w:name w:val="表格正文 Char"/>
    <w:link w:val="384"/>
    <w:qFormat/>
    <w:uiPriority w:val="0"/>
    <w:rPr>
      <w:color w:val="000000"/>
      <w:spacing w:val="12"/>
      <w:sz w:val="24"/>
    </w:rPr>
  </w:style>
  <w:style w:type="paragraph" w:customStyle="1" w:styleId="384">
    <w:name w:val="表格正文"/>
    <w:basedOn w:val="20"/>
    <w:link w:val="383"/>
    <w:qFormat/>
    <w:uiPriority w:val="0"/>
    <w:pPr>
      <w:adjustRightInd w:val="0"/>
      <w:ind w:firstLine="0"/>
    </w:pPr>
    <w:rPr>
      <w:rFonts w:eastAsia="宋体"/>
      <w:snapToGrid/>
      <w:color w:val="000000"/>
      <w:spacing w:val="12"/>
      <w:kern w:val="0"/>
      <w:sz w:val="24"/>
      <w:szCs w:val="20"/>
    </w:rPr>
  </w:style>
  <w:style w:type="character" w:customStyle="1" w:styleId="385">
    <w:name w:val="保定正文 Char"/>
    <w:link w:val="386"/>
    <w:qFormat/>
    <w:uiPriority w:val="0"/>
    <w:rPr>
      <w:rFonts w:cs="宋体"/>
      <w:sz w:val="21"/>
    </w:rPr>
  </w:style>
  <w:style w:type="paragraph" w:customStyle="1" w:styleId="386">
    <w:name w:val="保定正文"/>
    <w:basedOn w:val="1"/>
    <w:link w:val="385"/>
    <w:qFormat/>
    <w:uiPriority w:val="0"/>
    <w:pPr>
      <w:spacing w:line="360" w:lineRule="auto"/>
      <w:ind w:firstLine="200" w:firstLineChars="200"/>
    </w:pPr>
    <w:rPr>
      <w:rFonts w:ascii="Times New Roman" w:cs="宋体"/>
      <w:kern w:val="0"/>
      <w:sz w:val="21"/>
      <w:szCs w:val="20"/>
    </w:rPr>
  </w:style>
  <w:style w:type="character" w:customStyle="1" w:styleId="387">
    <w:name w:val="样式 表头 + (西文) Times New Roman (中文) 宋体 Char"/>
    <w:link w:val="388"/>
    <w:qFormat/>
    <w:uiPriority w:val="0"/>
    <w:rPr>
      <w:rFonts w:eastAsia="黑体"/>
      <w:sz w:val="24"/>
      <w:szCs w:val="24"/>
      <w:lang w:val="zh-CN"/>
    </w:rPr>
  </w:style>
  <w:style w:type="paragraph" w:customStyle="1" w:styleId="388">
    <w:name w:val="样式 表头 + (西文) Times New Roman (中文) 宋体"/>
    <w:basedOn w:val="278"/>
    <w:link w:val="387"/>
    <w:qFormat/>
    <w:uiPriority w:val="0"/>
    <w:pPr>
      <w:keepNext/>
      <w:spacing w:line="480" w:lineRule="exact"/>
    </w:pPr>
    <w:rPr>
      <w:spacing w:val="0"/>
      <w:sz w:val="24"/>
      <w:szCs w:val="24"/>
      <w:lang w:val="zh-CN"/>
    </w:rPr>
  </w:style>
  <w:style w:type="character" w:customStyle="1" w:styleId="389">
    <w:name w:val="unnamed11"/>
    <w:qFormat/>
    <w:uiPriority w:val="0"/>
    <w:rPr>
      <w:sz w:val="18"/>
      <w:szCs w:val="18"/>
    </w:rPr>
  </w:style>
  <w:style w:type="character" w:customStyle="1" w:styleId="390">
    <w:name w:val="首行缩进"/>
    <w:qFormat/>
    <w:uiPriority w:val="0"/>
    <w:rPr>
      <w:rFonts w:ascii="Arial" w:hAnsi="Arial" w:eastAsia="宋体"/>
      <w:kern w:val="2"/>
      <w:sz w:val="24"/>
      <w:szCs w:val="24"/>
      <w:lang w:val="en-US" w:eastAsia="zh-CN" w:bidi="ar-SA"/>
    </w:rPr>
  </w:style>
  <w:style w:type="character" w:customStyle="1" w:styleId="391">
    <w:name w:val="正文样式 Char"/>
    <w:link w:val="392"/>
    <w:qFormat/>
    <w:uiPriority w:val="0"/>
    <w:rPr>
      <w:bCs/>
      <w:kern w:val="2"/>
      <w:sz w:val="28"/>
      <w:szCs w:val="28"/>
    </w:rPr>
  </w:style>
  <w:style w:type="paragraph" w:customStyle="1" w:styleId="392">
    <w:name w:val="正文样式"/>
    <w:link w:val="391"/>
    <w:qFormat/>
    <w:uiPriority w:val="0"/>
    <w:pPr>
      <w:tabs>
        <w:tab w:val="right" w:pos="2205"/>
      </w:tabs>
      <w:adjustRightInd w:val="0"/>
      <w:snapToGrid w:val="0"/>
      <w:spacing w:line="520" w:lineRule="exact"/>
      <w:ind w:firstLine="560" w:firstLineChars="200"/>
    </w:pPr>
    <w:rPr>
      <w:rFonts w:ascii="Times New Roman" w:hAnsi="Times New Roman" w:eastAsia="宋体" w:cs="Times New Roman"/>
      <w:bCs/>
      <w:kern w:val="2"/>
      <w:sz w:val="28"/>
      <w:szCs w:val="28"/>
      <w:lang w:val="en-US" w:eastAsia="zh-CN" w:bidi="ar-SA"/>
    </w:rPr>
  </w:style>
  <w:style w:type="character" w:customStyle="1" w:styleId="393">
    <w:name w:val="纯文本 Char Char Char Char Char Char Char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394">
    <w:name w:val="段 Char"/>
    <w:link w:val="395"/>
    <w:qFormat/>
    <w:uiPriority w:val="0"/>
    <w:rPr>
      <w:rFonts w:ascii="宋体"/>
      <w:kern w:val="2"/>
      <w:sz w:val="24"/>
      <w:szCs w:val="24"/>
    </w:rPr>
  </w:style>
  <w:style w:type="paragraph" w:customStyle="1" w:styleId="395">
    <w:name w:val="段"/>
    <w:basedOn w:val="1"/>
    <w:link w:val="394"/>
    <w:qFormat/>
    <w:uiPriority w:val="0"/>
    <w:pPr>
      <w:ind w:firstLine="200" w:firstLineChars="200"/>
      <w:jc w:val="left"/>
    </w:pPr>
    <w:rPr>
      <w:sz w:val="24"/>
      <w:szCs w:val="24"/>
    </w:rPr>
  </w:style>
  <w:style w:type="character" w:customStyle="1" w:styleId="396">
    <w:name w:val="mingcheng1"/>
    <w:qFormat/>
    <w:uiPriority w:val="0"/>
    <w:rPr>
      <w:rFonts w:eastAsia="黑体"/>
      <w:snapToGrid w:val="0"/>
      <w:szCs w:val="24"/>
    </w:rPr>
  </w:style>
  <w:style w:type="character" w:customStyle="1" w:styleId="397">
    <w:name w:val="标题1"/>
    <w:qFormat/>
    <w:uiPriority w:val="0"/>
  </w:style>
  <w:style w:type="character" w:customStyle="1" w:styleId="398">
    <w:name w:val="pro-normal-upcopy1"/>
    <w:qFormat/>
    <w:uiPriority w:val="0"/>
    <w:rPr>
      <w:rFonts w:hint="default" w:ascii="ˎ̥" w:hAnsi="ˎ̥"/>
      <w:color w:val="000000"/>
      <w:sz w:val="9"/>
      <w:szCs w:val="9"/>
    </w:rPr>
  </w:style>
  <w:style w:type="character" w:customStyle="1" w:styleId="399">
    <w:name w:val="tip7"/>
    <w:qFormat/>
    <w:uiPriority w:val="0"/>
    <w:rPr>
      <w:vanish/>
      <w:color w:val="FF0000"/>
      <w:sz w:val="18"/>
      <w:szCs w:val="18"/>
    </w:rPr>
  </w:style>
  <w:style w:type="character" w:customStyle="1" w:styleId="400">
    <w:name w:val="headline-content2"/>
    <w:basedOn w:val="129"/>
    <w:qFormat/>
    <w:uiPriority w:val="0"/>
    <w:rPr>
      <w:rFonts w:cs="宋体"/>
      <w:kern w:val="0"/>
      <w:szCs w:val="24"/>
    </w:rPr>
  </w:style>
  <w:style w:type="character" w:customStyle="1" w:styleId="401">
    <w:name w:val="top-icon"/>
    <w:basedOn w:val="129"/>
    <w:qFormat/>
    <w:uiPriority w:val="0"/>
    <w:rPr>
      <w:rFonts w:cs="宋体"/>
      <w:kern w:val="0"/>
      <w:szCs w:val="24"/>
    </w:rPr>
  </w:style>
  <w:style w:type="character" w:customStyle="1" w:styleId="402">
    <w:name w:val="t_tag"/>
    <w:qFormat/>
    <w:uiPriority w:val="0"/>
    <w:rPr>
      <w:rFonts w:eastAsia="黑体"/>
      <w:snapToGrid w:val="0"/>
      <w:szCs w:val="24"/>
    </w:rPr>
  </w:style>
  <w:style w:type="character" w:customStyle="1" w:styleId="403">
    <w:name w:val="表格内容 Char Char"/>
    <w:qFormat/>
    <w:uiPriority w:val="0"/>
    <w:rPr>
      <w:bCs/>
      <w:color w:val="FF0000"/>
      <w:kern w:val="24"/>
      <w:sz w:val="18"/>
      <w:szCs w:val="18"/>
    </w:rPr>
  </w:style>
  <w:style w:type="character" w:customStyle="1" w:styleId="404">
    <w:name w:val="正文内容 Char"/>
    <w:link w:val="405"/>
    <w:qFormat/>
    <w:uiPriority w:val="0"/>
    <w:rPr>
      <w:rFonts w:ascii="宋体"/>
      <w:kern w:val="2"/>
      <w:sz w:val="24"/>
      <w:szCs w:val="24"/>
    </w:rPr>
  </w:style>
  <w:style w:type="paragraph" w:customStyle="1" w:styleId="405">
    <w:name w:val="正文内容"/>
    <w:basedOn w:val="1"/>
    <w:link w:val="404"/>
    <w:qFormat/>
    <w:uiPriority w:val="0"/>
    <w:pPr>
      <w:spacing w:line="360" w:lineRule="auto"/>
      <w:ind w:firstLine="567"/>
    </w:pPr>
    <w:rPr>
      <w:sz w:val="24"/>
      <w:szCs w:val="24"/>
    </w:rPr>
  </w:style>
  <w:style w:type="character" w:customStyle="1" w:styleId="406">
    <w:name w:val="正文文本 + Arial Unicode MS"/>
    <w:qFormat/>
    <w:uiPriority w:val="0"/>
    <w:rPr>
      <w:rFonts w:ascii="Arial Unicode MS" w:hAnsi="Arial Unicode MS" w:eastAsia="宋体" w:cs="Arial Unicode MS"/>
      <w:b/>
      <w:bCs/>
      <w:spacing w:val="0"/>
      <w:kern w:val="2"/>
      <w:sz w:val="20"/>
      <w:szCs w:val="20"/>
      <w:lang w:val="en-US" w:eastAsia="en-US" w:bidi="ar-SA"/>
    </w:rPr>
  </w:style>
  <w:style w:type="character" w:customStyle="1" w:styleId="407">
    <w:name w:val="样式5 Char"/>
    <w:link w:val="147"/>
    <w:qFormat/>
    <w:uiPriority w:val="0"/>
    <w:rPr>
      <w:rFonts w:ascii="黑体" w:eastAsia="黑体"/>
      <w:spacing w:val="5"/>
      <w:kern w:val="2"/>
      <w:sz w:val="25"/>
      <w:szCs w:val="25"/>
    </w:rPr>
  </w:style>
  <w:style w:type="character" w:customStyle="1" w:styleId="408">
    <w:name w:val="no42"/>
    <w:basedOn w:val="129"/>
    <w:qFormat/>
    <w:uiPriority w:val="0"/>
    <w:rPr>
      <w:rFonts w:cs="宋体"/>
      <w:kern w:val="0"/>
      <w:szCs w:val="24"/>
    </w:rPr>
  </w:style>
  <w:style w:type="character" w:customStyle="1" w:styleId="409">
    <w:name w:val="批注框文本 Char1"/>
    <w:qFormat/>
    <w:uiPriority w:val="99"/>
    <w:rPr>
      <w:rFonts w:eastAsia="黑体"/>
      <w:snapToGrid w:val="0"/>
      <w:kern w:val="2"/>
      <w:sz w:val="18"/>
      <w:szCs w:val="18"/>
    </w:rPr>
  </w:style>
  <w:style w:type="character" w:customStyle="1" w:styleId="410">
    <w:name w:val="Char Char24"/>
    <w:qFormat/>
    <w:uiPriority w:val="0"/>
    <w:rPr>
      <w:rFonts w:ascii="宋体" w:hAnsi="宋体" w:eastAsia="黑体"/>
      <w:snapToGrid w:val="0"/>
      <w:color w:val="000000"/>
      <w:kern w:val="2"/>
      <w:sz w:val="24"/>
      <w:szCs w:val="24"/>
    </w:rPr>
  </w:style>
  <w:style w:type="character" w:customStyle="1" w:styleId="411">
    <w:name w:val="普通(网站) Char1"/>
    <w:qFormat/>
    <w:uiPriority w:val="0"/>
    <w:rPr>
      <w:rFonts w:ascii="宋体" w:hAnsi="宋体"/>
      <w:spacing w:val="5"/>
      <w:kern w:val="2"/>
      <w:sz w:val="18"/>
      <w:szCs w:val="18"/>
    </w:rPr>
  </w:style>
  <w:style w:type="character" w:customStyle="1" w:styleId="412">
    <w:name w:val="font81"/>
    <w:qFormat/>
    <w:uiPriority w:val="0"/>
    <w:rPr>
      <w:rFonts w:hint="default" w:ascii="Times New Roman" w:hAnsi="Times New Roman" w:cs="Times New Roman"/>
      <w:color w:val="000000"/>
      <w:sz w:val="18"/>
      <w:szCs w:val="18"/>
      <w:u w:val="none"/>
      <w:vertAlign w:val="subscript"/>
    </w:rPr>
  </w:style>
  <w:style w:type="character" w:customStyle="1" w:styleId="413">
    <w:name w:val="no52"/>
    <w:basedOn w:val="129"/>
    <w:qFormat/>
    <w:uiPriority w:val="0"/>
    <w:rPr>
      <w:rFonts w:cs="宋体"/>
      <w:kern w:val="0"/>
      <w:szCs w:val="24"/>
    </w:rPr>
  </w:style>
  <w:style w:type="character" w:customStyle="1" w:styleId="414">
    <w:name w:val="font51"/>
    <w:qFormat/>
    <w:uiPriority w:val="0"/>
    <w:rPr>
      <w:rFonts w:hint="default" w:ascii="Times New Roman" w:hAnsi="Times New Roman" w:cs="Times New Roman"/>
      <w:color w:val="000000"/>
      <w:sz w:val="15"/>
      <w:szCs w:val="15"/>
      <w:u w:val="none"/>
      <w:vertAlign w:val="superscript"/>
    </w:rPr>
  </w:style>
  <w:style w:type="character" w:customStyle="1" w:styleId="415">
    <w:name w:val="highlight1"/>
    <w:qFormat/>
    <w:uiPriority w:val="0"/>
    <w:rPr>
      <w:sz w:val="21"/>
      <w:szCs w:val="21"/>
    </w:rPr>
  </w:style>
  <w:style w:type="character" w:customStyle="1" w:styleId="416">
    <w:name w:val="tpc_content"/>
    <w:basedOn w:val="129"/>
    <w:qFormat/>
    <w:uiPriority w:val="0"/>
    <w:rPr>
      <w:rFonts w:cs="宋体"/>
      <w:kern w:val="0"/>
      <w:szCs w:val="24"/>
    </w:rPr>
  </w:style>
  <w:style w:type="character" w:customStyle="1" w:styleId="417">
    <w:name w:val="正文@ Char"/>
    <w:link w:val="418"/>
    <w:qFormat/>
    <w:uiPriority w:val="0"/>
    <w:rPr>
      <w:rFonts w:ascii="宋体" w:hAnsi="宋体" w:cs="宋体"/>
      <w:kern w:val="2"/>
      <w:sz w:val="24"/>
    </w:rPr>
  </w:style>
  <w:style w:type="paragraph" w:customStyle="1" w:styleId="418">
    <w:name w:val="正文@"/>
    <w:basedOn w:val="1"/>
    <w:link w:val="417"/>
    <w:qFormat/>
    <w:uiPriority w:val="0"/>
    <w:pPr>
      <w:spacing w:line="360" w:lineRule="auto"/>
      <w:ind w:firstLine="200" w:firstLineChars="200"/>
    </w:pPr>
    <w:rPr>
      <w:rFonts w:hAnsi="宋体" w:cs="宋体"/>
      <w:sz w:val="24"/>
      <w:szCs w:val="20"/>
    </w:rPr>
  </w:style>
  <w:style w:type="character" w:customStyle="1" w:styleId="419">
    <w:name w:val="正文文本 (3) + MingLiU"/>
    <w:qFormat/>
    <w:uiPriority w:val="0"/>
    <w:rPr>
      <w:rFonts w:ascii="MingLiU" w:hAnsi="Arial Unicode MS" w:eastAsia="MingLiU" w:cs="MingLiU"/>
      <w:b/>
      <w:bCs/>
      <w:spacing w:val="10"/>
      <w:sz w:val="21"/>
      <w:szCs w:val="21"/>
      <w:lang w:val="en-US" w:eastAsia="en-US" w:bidi="ar-SA"/>
    </w:rPr>
  </w:style>
  <w:style w:type="character" w:customStyle="1" w:styleId="420">
    <w:name w:val="style2_title1"/>
    <w:qFormat/>
    <w:uiPriority w:val="0"/>
    <w:rPr>
      <w:b/>
      <w:bCs/>
      <w:sz w:val="30"/>
      <w:szCs w:val="30"/>
    </w:rPr>
  </w:style>
  <w:style w:type="character" w:customStyle="1" w:styleId="421">
    <w:name w:val="bds_more1"/>
    <w:qFormat/>
    <w:uiPriority w:val="0"/>
    <w:rPr>
      <w:rFonts w:hint="eastAsia" w:ascii="宋体" w:hAnsi="宋体" w:eastAsia="宋体" w:cs="宋体"/>
    </w:rPr>
  </w:style>
  <w:style w:type="character" w:customStyle="1" w:styleId="422">
    <w:name w:val="报告书正文 Char"/>
    <w:link w:val="423"/>
    <w:qFormat/>
    <w:uiPriority w:val="0"/>
    <w:rPr>
      <w:rFonts w:ascii="华康简仿宋" w:hAnsi="华康简仿宋" w:eastAsia="华文中宋"/>
      <w:sz w:val="24"/>
      <w:szCs w:val="24"/>
    </w:rPr>
  </w:style>
  <w:style w:type="paragraph" w:customStyle="1" w:styleId="423">
    <w:name w:val="报告书正文"/>
    <w:basedOn w:val="1"/>
    <w:link w:val="422"/>
    <w:qFormat/>
    <w:uiPriority w:val="0"/>
    <w:pPr>
      <w:adjustRightInd w:val="0"/>
      <w:snapToGrid w:val="0"/>
      <w:spacing w:line="360" w:lineRule="auto"/>
      <w:ind w:firstLine="425"/>
      <w:textAlignment w:val="baseline"/>
    </w:pPr>
    <w:rPr>
      <w:rFonts w:ascii="华康简仿宋" w:hAnsi="华康简仿宋" w:eastAsia="华文中宋"/>
      <w:kern w:val="0"/>
      <w:sz w:val="24"/>
      <w:szCs w:val="24"/>
    </w:rPr>
  </w:style>
  <w:style w:type="character" w:customStyle="1" w:styleId="424">
    <w:name w:val="bg-hover"/>
    <w:qFormat/>
    <w:uiPriority w:val="0"/>
    <w:rPr>
      <w:shd w:val="clear" w:color="auto" w:fill="000000"/>
    </w:rPr>
  </w:style>
  <w:style w:type="character" w:customStyle="1" w:styleId="425">
    <w:name w:val="正文1 Char Char"/>
    <w:qFormat/>
    <w:uiPriority w:val="0"/>
    <w:rPr>
      <w:rFonts w:hint="eastAsia" w:ascii="宋体" w:hAnsi="宋体" w:eastAsia="宋体"/>
      <w:kern w:val="2"/>
      <w:sz w:val="24"/>
      <w:szCs w:val="24"/>
      <w:lang w:val="en-US" w:eastAsia="zh-CN" w:bidi="ar-SA"/>
    </w:rPr>
  </w:style>
  <w:style w:type="character" w:customStyle="1" w:styleId="426">
    <w:name w:val="正文文字 Char Char"/>
    <w:qFormat/>
    <w:uiPriority w:val="0"/>
    <w:rPr>
      <w:rFonts w:ascii="Arial" w:hAnsi="Arial" w:eastAsia="宋体"/>
      <w:kern w:val="2"/>
      <w:sz w:val="24"/>
      <w:lang w:val="en-US" w:eastAsia="zh-CN" w:bidi="ar-SA"/>
    </w:rPr>
  </w:style>
  <w:style w:type="character" w:customStyle="1" w:styleId="427">
    <w:name w:val="apple-converted-space"/>
    <w:qFormat/>
    <w:uiPriority w:val="0"/>
    <w:rPr>
      <w:rFonts w:eastAsia="黑体"/>
      <w:snapToGrid w:val="0"/>
      <w:szCs w:val="24"/>
    </w:rPr>
  </w:style>
  <w:style w:type="character" w:customStyle="1" w:styleId="428">
    <w:name w:val="正文文本 3 Char1"/>
    <w:qFormat/>
    <w:uiPriority w:val="0"/>
    <w:rPr>
      <w:rFonts w:ascii="宋体"/>
      <w:spacing w:val="5"/>
      <w:kern w:val="2"/>
      <w:sz w:val="16"/>
      <w:szCs w:val="16"/>
    </w:rPr>
  </w:style>
  <w:style w:type="character" w:customStyle="1" w:styleId="429">
    <w:name w:val="main1"/>
    <w:qFormat/>
    <w:uiPriority w:val="0"/>
    <w:rPr>
      <w:rFonts w:hint="default"/>
      <w:color w:val="0033CC"/>
      <w:sz w:val="18"/>
      <w:szCs w:val="18"/>
    </w:rPr>
  </w:style>
  <w:style w:type="character" w:customStyle="1" w:styleId="430">
    <w:name w:val="ca-2"/>
    <w:qFormat/>
    <w:uiPriority w:val="0"/>
    <w:rPr>
      <w:rFonts w:cs="Times New Roman"/>
    </w:rPr>
  </w:style>
  <w:style w:type="character" w:customStyle="1" w:styleId="431">
    <w:name w:val="批注文字 Char"/>
    <w:qFormat/>
    <w:uiPriority w:val="0"/>
    <w:rPr>
      <w:rFonts w:eastAsia="黑体"/>
      <w:snapToGrid w:val="0"/>
      <w:kern w:val="2"/>
      <w:sz w:val="21"/>
      <w:szCs w:val="24"/>
    </w:rPr>
  </w:style>
  <w:style w:type="character" w:customStyle="1" w:styleId="432">
    <w:name w:val="my-class"/>
    <w:basedOn w:val="129"/>
    <w:qFormat/>
    <w:uiPriority w:val="0"/>
    <w:rPr>
      <w:rFonts w:cs="宋体"/>
      <w:kern w:val="0"/>
      <w:szCs w:val="24"/>
    </w:rPr>
  </w:style>
  <w:style w:type="character" w:customStyle="1" w:styleId="433">
    <w:name w:val="页眉 Char1"/>
    <w:qFormat/>
    <w:uiPriority w:val="0"/>
    <w:rPr>
      <w:kern w:val="2"/>
      <w:sz w:val="18"/>
      <w:szCs w:val="18"/>
    </w:rPr>
  </w:style>
  <w:style w:type="character" w:customStyle="1" w:styleId="434">
    <w:name w:val="报告书表格 Char"/>
    <w:link w:val="435"/>
    <w:qFormat/>
    <w:uiPriority w:val="0"/>
    <w:rPr>
      <w:rFonts w:eastAsia="黑体"/>
      <w:snapToGrid w:val="0"/>
      <w:sz w:val="21"/>
      <w:szCs w:val="24"/>
    </w:rPr>
  </w:style>
  <w:style w:type="paragraph" w:customStyle="1" w:styleId="435">
    <w:name w:val="报告书表格"/>
    <w:basedOn w:val="1"/>
    <w:link w:val="434"/>
    <w:qFormat/>
    <w:uiPriority w:val="0"/>
    <w:pPr>
      <w:adjustRightInd w:val="0"/>
      <w:spacing w:before="60" w:after="60" w:line="240" w:lineRule="atLeast"/>
      <w:jc w:val="center"/>
      <w:textAlignment w:val="baseline"/>
    </w:pPr>
    <w:rPr>
      <w:rFonts w:ascii="Times New Roman" w:eastAsia="黑体"/>
      <w:snapToGrid w:val="0"/>
      <w:kern w:val="0"/>
      <w:sz w:val="21"/>
      <w:szCs w:val="24"/>
    </w:rPr>
  </w:style>
  <w:style w:type="character" w:customStyle="1" w:styleId="436">
    <w:name w:val="hottext"/>
    <w:basedOn w:val="129"/>
    <w:qFormat/>
    <w:uiPriority w:val="0"/>
    <w:rPr>
      <w:rFonts w:cs="宋体"/>
      <w:kern w:val="0"/>
      <w:szCs w:val="24"/>
    </w:rPr>
  </w:style>
  <w:style w:type="character" w:customStyle="1" w:styleId="437">
    <w:name w:val="style31"/>
    <w:qFormat/>
    <w:uiPriority w:val="0"/>
    <w:rPr>
      <w:color w:val="CC6600"/>
      <w:sz w:val="10"/>
      <w:szCs w:val="10"/>
    </w:rPr>
  </w:style>
  <w:style w:type="character" w:customStyle="1" w:styleId="438">
    <w:name w:val="样式 正文样式1 + 首行缩进:  2 字符 Char"/>
    <w:link w:val="439"/>
    <w:qFormat/>
    <w:uiPriority w:val="0"/>
    <w:rPr>
      <w:rFonts w:cs="宋体"/>
      <w:sz w:val="24"/>
    </w:rPr>
  </w:style>
  <w:style w:type="paragraph" w:customStyle="1" w:styleId="439">
    <w:name w:val="样式 正文样式1 + 首行缩进:  2 字符"/>
    <w:basedOn w:val="1"/>
    <w:link w:val="438"/>
    <w:qFormat/>
    <w:uiPriority w:val="0"/>
    <w:pPr>
      <w:widowControl/>
      <w:spacing w:line="360" w:lineRule="auto"/>
      <w:ind w:firstLine="200" w:firstLineChars="200"/>
    </w:pPr>
    <w:rPr>
      <w:rFonts w:ascii="Times New Roman" w:cs="宋体"/>
      <w:kern w:val="0"/>
      <w:sz w:val="24"/>
      <w:szCs w:val="20"/>
    </w:rPr>
  </w:style>
  <w:style w:type="character" w:customStyle="1" w:styleId="440">
    <w:name w:val="bds_nopic2"/>
    <w:basedOn w:val="129"/>
    <w:qFormat/>
    <w:uiPriority w:val="0"/>
    <w:rPr>
      <w:rFonts w:cs="宋体"/>
      <w:kern w:val="0"/>
      <w:szCs w:val="24"/>
    </w:rPr>
  </w:style>
  <w:style w:type="character" w:customStyle="1" w:styleId="441">
    <w:name w:val="样式2 Char"/>
    <w:link w:val="442"/>
    <w:qFormat/>
    <w:uiPriority w:val="0"/>
    <w:rPr>
      <w:rFonts w:ascii="楷体_GB2312" w:eastAsia="楷体_GB2312"/>
      <w:spacing w:val="5"/>
      <w:kern w:val="2"/>
      <w:sz w:val="23"/>
      <w:szCs w:val="23"/>
    </w:rPr>
  </w:style>
  <w:style w:type="paragraph" w:customStyle="1" w:styleId="442">
    <w:name w:val="样式2"/>
    <w:basedOn w:val="253"/>
    <w:link w:val="441"/>
    <w:qFormat/>
    <w:uiPriority w:val="0"/>
    <w:pPr>
      <w:widowControl w:val="0"/>
      <w:pBdr>
        <w:bottom w:val="thinThickMediumGap" w:color="auto" w:sz="12" w:space="0"/>
      </w:pBdr>
      <w:tabs>
        <w:tab w:val="center" w:pos="4153"/>
        <w:tab w:val="right" w:pos="8306"/>
      </w:tabs>
      <w:snapToGrid w:val="0"/>
      <w:spacing w:line="240" w:lineRule="auto"/>
      <w:ind w:firstLine="0" w:firstLineChars="0"/>
      <w:jc w:val="center"/>
    </w:pPr>
    <w:rPr>
      <w:rFonts w:ascii="楷体_GB2312" w:hAnsi="Times New Roman" w:eastAsia="楷体_GB2312"/>
      <w:spacing w:val="5"/>
      <w:kern w:val="2"/>
      <w:sz w:val="23"/>
      <w:szCs w:val="23"/>
    </w:rPr>
  </w:style>
  <w:style w:type="character" w:customStyle="1" w:styleId="443">
    <w:name w:val="aa1"/>
    <w:qFormat/>
    <w:uiPriority w:val="0"/>
    <w:rPr>
      <w:rFonts w:hint="eastAsia" w:ascii="宋体" w:hAnsi="宋体" w:eastAsia="宋体"/>
      <w:snapToGrid w:val="0"/>
      <w:color w:val="000000"/>
      <w:sz w:val="28"/>
      <w:szCs w:val="28"/>
    </w:rPr>
  </w:style>
  <w:style w:type="character" w:customStyle="1" w:styleId="444">
    <w:name w:val="样式21"/>
    <w:qFormat/>
    <w:uiPriority w:val="0"/>
    <w:rPr>
      <w:rFonts w:hint="default" w:ascii="Times New Roman" w:hAnsi="Times New Roman" w:cs="Times New Roman"/>
    </w:rPr>
  </w:style>
  <w:style w:type="character" w:customStyle="1" w:styleId="445">
    <w:name w:val="样式 题注图表注 + (西文) 宋体 小四 Char Char"/>
    <w:link w:val="446"/>
    <w:qFormat/>
    <w:uiPriority w:val="0"/>
    <w:rPr>
      <w:rFonts w:ascii="宋体" w:hAnsi="宋体" w:eastAsia="黑体" w:cs="Arial"/>
      <w:kern w:val="2"/>
      <w:sz w:val="24"/>
    </w:rPr>
  </w:style>
  <w:style w:type="paragraph" w:customStyle="1" w:styleId="446">
    <w:name w:val="样式 题注图表注 + (西文) 宋体 小四"/>
    <w:basedOn w:val="21"/>
    <w:link w:val="445"/>
    <w:qFormat/>
    <w:uiPriority w:val="0"/>
    <w:pPr>
      <w:ind w:firstLine="478" w:firstLineChars="200"/>
      <w:jc w:val="center"/>
    </w:pPr>
    <w:rPr>
      <w:rFonts w:ascii="宋体" w:hAnsi="宋体"/>
      <w:sz w:val="24"/>
    </w:rPr>
  </w:style>
  <w:style w:type="character" w:customStyle="1" w:styleId="447">
    <w:name w:val="style61"/>
    <w:qFormat/>
    <w:uiPriority w:val="0"/>
    <w:rPr>
      <w:color w:val="006600"/>
    </w:rPr>
  </w:style>
  <w:style w:type="character" w:customStyle="1" w:styleId="448">
    <w:name w:val="Char2"/>
    <w:qFormat/>
    <w:uiPriority w:val="0"/>
    <w:rPr>
      <w:rFonts w:ascii="宋体" w:hAnsi="Arial" w:eastAsia="宋体" w:cs="Arial"/>
      <w:kern w:val="2"/>
      <w:sz w:val="21"/>
      <w:lang w:val="en-US" w:eastAsia="zh-CN" w:bidi="ar-SA"/>
    </w:rPr>
  </w:style>
  <w:style w:type="character" w:customStyle="1" w:styleId="449">
    <w:name w:val="正文（首行缩进两字） Char Char Char Char Char Char Char Char Char"/>
    <w:qFormat/>
    <w:uiPriority w:val="0"/>
    <w:rPr>
      <w:rFonts w:eastAsia="宋体"/>
      <w:kern w:val="2"/>
      <w:sz w:val="21"/>
      <w:szCs w:val="24"/>
      <w:lang w:val="en-US" w:eastAsia="zh-CN" w:bidi="ar-SA"/>
    </w:rPr>
  </w:style>
  <w:style w:type="character" w:customStyle="1" w:styleId="450">
    <w:name w:val="表格标题 Char"/>
    <w:qFormat/>
    <w:uiPriority w:val="0"/>
    <w:rPr>
      <w:rFonts w:ascii="宋体" w:hAnsi="宋体" w:eastAsia="宋体"/>
      <w:snapToGrid w:val="0"/>
      <w:kern w:val="2"/>
      <w:sz w:val="21"/>
      <w:szCs w:val="24"/>
      <w:lang w:val="en-US" w:eastAsia="zh-CN" w:bidi="ar-SA"/>
    </w:rPr>
  </w:style>
  <w:style w:type="character" w:customStyle="1" w:styleId="451">
    <w:name w:val="表格 Char Char"/>
    <w:qFormat/>
    <w:uiPriority w:val="0"/>
    <w:rPr>
      <w:rFonts w:ascii="宋体" w:hAnsi="宋体" w:eastAsia="宋体"/>
      <w:snapToGrid w:val="0"/>
      <w:kern w:val="2"/>
      <w:sz w:val="24"/>
      <w:szCs w:val="24"/>
      <w:lang w:val="en-US" w:eastAsia="zh-CN" w:bidi="ar-SA"/>
    </w:rPr>
  </w:style>
  <w:style w:type="character" w:customStyle="1" w:styleId="452">
    <w:name w:val="无间隔 Char"/>
    <w:link w:val="453"/>
    <w:qFormat/>
    <w:uiPriority w:val="1"/>
    <w:rPr>
      <w:kern w:val="2"/>
      <w:sz w:val="24"/>
      <w:szCs w:val="24"/>
    </w:rPr>
  </w:style>
  <w:style w:type="paragraph" w:styleId="453">
    <w:name w:val="No Spacing"/>
    <w:link w:val="452"/>
    <w:qFormat/>
    <w:uiPriority w:val="1"/>
    <w:pPr>
      <w:widowControl w:val="0"/>
      <w:spacing w:beforeLines="50" w:afterLines="50"/>
      <w:jc w:val="both"/>
    </w:pPr>
    <w:rPr>
      <w:rFonts w:ascii="Times New Roman" w:hAnsi="Times New Roman" w:eastAsia="宋体" w:cs="Times New Roman"/>
      <w:kern w:val="2"/>
      <w:sz w:val="24"/>
      <w:szCs w:val="24"/>
      <w:lang w:val="en-US" w:eastAsia="zh-CN" w:bidi="ar-SA"/>
    </w:rPr>
  </w:style>
  <w:style w:type="character" w:customStyle="1" w:styleId="454">
    <w:name w:val="正文文本 (3)_"/>
    <w:link w:val="455"/>
    <w:qFormat/>
    <w:uiPriority w:val="0"/>
    <w:rPr>
      <w:rFonts w:ascii="Arial Unicode MS" w:hAnsi="Arial Unicode MS"/>
      <w:b/>
      <w:bCs/>
      <w:shd w:val="clear" w:color="auto" w:fill="FFFFFF"/>
      <w:lang w:eastAsia="en-US"/>
    </w:rPr>
  </w:style>
  <w:style w:type="paragraph" w:customStyle="1" w:styleId="455">
    <w:name w:val="正文文本 (3)1"/>
    <w:basedOn w:val="1"/>
    <w:link w:val="454"/>
    <w:qFormat/>
    <w:uiPriority w:val="0"/>
    <w:pPr>
      <w:shd w:val="clear" w:color="auto" w:fill="FFFFFF"/>
      <w:spacing w:after="180" w:line="240" w:lineRule="atLeast"/>
      <w:jc w:val="distribute"/>
    </w:pPr>
    <w:rPr>
      <w:rFonts w:ascii="Arial Unicode MS" w:hAnsi="Arial Unicode MS"/>
      <w:b/>
      <w:bCs/>
      <w:kern w:val="0"/>
      <w:sz w:val="20"/>
      <w:szCs w:val="20"/>
      <w:lang w:eastAsia="en-US"/>
    </w:rPr>
  </w:style>
  <w:style w:type="paragraph" w:customStyle="1" w:styleId="45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4"/>
    </w:rPr>
  </w:style>
  <w:style w:type="paragraph" w:customStyle="1" w:styleId="45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4"/>
    </w:rPr>
  </w:style>
  <w:style w:type="paragraph" w:customStyle="1" w:styleId="458">
    <w:name w:val="正文样式1"/>
    <w:basedOn w:val="1"/>
    <w:link w:val="459"/>
    <w:qFormat/>
    <w:uiPriority w:val="0"/>
    <w:pPr>
      <w:widowControl/>
      <w:adjustRightInd w:val="0"/>
      <w:snapToGrid w:val="0"/>
      <w:spacing w:line="360" w:lineRule="auto"/>
      <w:ind w:firstLine="510"/>
      <w:jc w:val="left"/>
      <w:textAlignment w:val="baseline"/>
    </w:pPr>
    <w:rPr>
      <w:rFonts w:ascii="Times New Roman" w:cs="宋体"/>
      <w:kern w:val="24"/>
      <w:sz w:val="24"/>
      <w:szCs w:val="24"/>
    </w:rPr>
  </w:style>
  <w:style w:type="character" w:customStyle="1" w:styleId="459">
    <w:name w:val="正文样式1 Char Char"/>
    <w:link w:val="458"/>
    <w:qFormat/>
    <w:uiPriority w:val="0"/>
    <w:rPr>
      <w:rFonts w:cs="宋体"/>
      <w:kern w:val="24"/>
      <w:sz w:val="24"/>
      <w:szCs w:val="24"/>
    </w:rPr>
  </w:style>
  <w:style w:type="character" w:customStyle="1" w:styleId="460">
    <w:name w:val="Default Char"/>
    <w:link w:val="154"/>
    <w:qFormat/>
    <w:uiPriority w:val="0"/>
    <w:rPr>
      <w:rFonts w:ascii="Arial" w:hAnsi="宋体" w:eastAsia="Arial" w:cs="Arial"/>
      <w:color w:val="000000"/>
      <w:sz w:val="24"/>
      <w:szCs w:val="24"/>
    </w:rPr>
  </w:style>
  <w:style w:type="paragraph" w:customStyle="1" w:styleId="461">
    <w:name w:val="表文字"/>
    <w:basedOn w:val="1"/>
    <w:link w:val="462"/>
    <w:qFormat/>
    <w:uiPriority w:val="0"/>
    <w:pPr>
      <w:widowControl/>
      <w:topLinePunct/>
      <w:adjustRightInd w:val="0"/>
      <w:spacing w:line="240" w:lineRule="exact"/>
      <w:jc w:val="left"/>
      <w:textAlignment w:val="baseline"/>
    </w:pPr>
    <w:rPr>
      <w:rFonts w:ascii="Times New Roman" w:cs="宋体"/>
      <w:kern w:val="0"/>
      <w:sz w:val="21"/>
      <w:szCs w:val="21"/>
    </w:rPr>
  </w:style>
  <w:style w:type="character" w:customStyle="1" w:styleId="462">
    <w:name w:val="表文字 Char"/>
    <w:link w:val="461"/>
    <w:qFormat/>
    <w:uiPriority w:val="0"/>
    <w:rPr>
      <w:rFonts w:cs="宋体"/>
      <w:sz w:val="21"/>
      <w:szCs w:val="21"/>
    </w:rPr>
  </w:style>
  <w:style w:type="paragraph" w:customStyle="1" w:styleId="463">
    <w:name w:val="图标题"/>
    <w:basedOn w:val="1"/>
    <w:qFormat/>
    <w:uiPriority w:val="0"/>
    <w:pPr>
      <w:spacing w:line="520" w:lineRule="exact"/>
      <w:jc w:val="center"/>
    </w:pPr>
    <w:rPr>
      <w:rFonts w:ascii="黑体" w:eastAsia="黑体"/>
      <w:sz w:val="24"/>
      <w:szCs w:val="20"/>
    </w:rPr>
  </w:style>
  <w:style w:type="character" w:customStyle="1" w:styleId="464">
    <w:name w:val="批注主题 Char2"/>
    <w:basedOn w:val="182"/>
    <w:semiHidden/>
    <w:qFormat/>
    <w:uiPriority w:val="0"/>
    <w:rPr>
      <w:rFonts w:ascii="宋体"/>
      <w:b/>
      <w:bCs/>
      <w:kern w:val="2"/>
      <w:sz w:val="25"/>
      <w:szCs w:val="25"/>
    </w:rPr>
  </w:style>
  <w:style w:type="character" w:customStyle="1" w:styleId="465">
    <w:name w:val="正文文本 2 Char2"/>
    <w:basedOn w:val="129"/>
    <w:semiHidden/>
    <w:qFormat/>
    <w:uiPriority w:val="99"/>
    <w:rPr>
      <w:rFonts w:ascii="宋体"/>
      <w:kern w:val="2"/>
      <w:sz w:val="25"/>
      <w:szCs w:val="25"/>
    </w:rPr>
  </w:style>
  <w:style w:type="character" w:customStyle="1" w:styleId="466">
    <w:name w:val="副标题 Char2"/>
    <w:basedOn w:val="129"/>
    <w:qFormat/>
    <w:uiPriority w:val="0"/>
    <w:rPr>
      <w:rFonts w:asciiTheme="majorHAnsi" w:hAnsiTheme="majorHAnsi" w:cstheme="majorBidi"/>
      <w:b/>
      <w:bCs/>
      <w:kern w:val="28"/>
      <w:sz w:val="32"/>
      <w:szCs w:val="32"/>
    </w:rPr>
  </w:style>
  <w:style w:type="character" w:customStyle="1" w:styleId="467">
    <w:name w:val="正文首行缩进 Char3"/>
    <w:basedOn w:val="186"/>
    <w:qFormat/>
    <w:uiPriority w:val="0"/>
    <w:rPr>
      <w:rFonts w:ascii="宋体"/>
      <w:kern w:val="2"/>
      <w:sz w:val="25"/>
      <w:szCs w:val="25"/>
    </w:rPr>
  </w:style>
  <w:style w:type="character" w:customStyle="1" w:styleId="468">
    <w:name w:val="日期 Char3"/>
    <w:basedOn w:val="129"/>
    <w:semiHidden/>
    <w:qFormat/>
    <w:uiPriority w:val="99"/>
    <w:rPr>
      <w:rFonts w:ascii="宋体"/>
      <w:kern w:val="2"/>
      <w:sz w:val="25"/>
      <w:szCs w:val="25"/>
    </w:rPr>
  </w:style>
  <w:style w:type="character" w:customStyle="1" w:styleId="469">
    <w:name w:val="正文文本缩进 3 Char2"/>
    <w:basedOn w:val="129"/>
    <w:qFormat/>
    <w:uiPriority w:val="0"/>
    <w:rPr>
      <w:rFonts w:ascii="宋体"/>
      <w:kern w:val="2"/>
      <w:sz w:val="16"/>
      <w:szCs w:val="16"/>
    </w:rPr>
  </w:style>
  <w:style w:type="character" w:customStyle="1" w:styleId="470">
    <w:name w:val="页眉 Char2"/>
    <w:basedOn w:val="129"/>
    <w:qFormat/>
    <w:uiPriority w:val="0"/>
    <w:rPr>
      <w:rFonts w:ascii="宋体"/>
      <w:kern w:val="2"/>
      <w:sz w:val="18"/>
      <w:szCs w:val="18"/>
    </w:rPr>
  </w:style>
  <w:style w:type="character" w:customStyle="1" w:styleId="471">
    <w:name w:val="批注框文本 Char3"/>
    <w:basedOn w:val="129"/>
    <w:semiHidden/>
    <w:qFormat/>
    <w:uiPriority w:val="99"/>
    <w:rPr>
      <w:rFonts w:ascii="宋体"/>
      <w:kern w:val="2"/>
      <w:sz w:val="18"/>
      <w:szCs w:val="18"/>
    </w:rPr>
  </w:style>
  <w:style w:type="character" w:customStyle="1" w:styleId="472">
    <w:name w:val="文档结构图 Char2"/>
    <w:basedOn w:val="129"/>
    <w:semiHidden/>
    <w:qFormat/>
    <w:uiPriority w:val="0"/>
    <w:rPr>
      <w:rFonts w:ascii="宋体"/>
      <w:kern w:val="2"/>
      <w:sz w:val="18"/>
      <w:szCs w:val="18"/>
    </w:rPr>
  </w:style>
  <w:style w:type="character" w:customStyle="1" w:styleId="473">
    <w:name w:val="z-窗体顶端 Char1"/>
    <w:basedOn w:val="129"/>
    <w:semiHidden/>
    <w:qFormat/>
    <w:uiPriority w:val="99"/>
    <w:rPr>
      <w:rFonts w:ascii="Arial" w:hAnsi="Arial" w:cs="Arial"/>
      <w:vanish/>
      <w:kern w:val="2"/>
      <w:sz w:val="16"/>
      <w:szCs w:val="16"/>
    </w:rPr>
  </w:style>
  <w:style w:type="paragraph" w:customStyle="1" w:styleId="474">
    <w:name w:val="标题111"/>
    <w:basedOn w:val="1"/>
    <w:qFormat/>
    <w:uiPriority w:val="0"/>
    <w:pPr>
      <w:spacing w:line="480" w:lineRule="exact"/>
    </w:pPr>
    <w:rPr>
      <w:rFonts w:ascii="Times New Roman"/>
      <w:b/>
      <w:sz w:val="24"/>
      <w:szCs w:val="24"/>
    </w:rPr>
  </w:style>
  <w:style w:type="character" w:customStyle="1" w:styleId="475">
    <w:name w:val="正文文本缩进 Char2"/>
    <w:basedOn w:val="129"/>
    <w:qFormat/>
    <w:uiPriority w:val="0"/>
    <w:rPr>
      <w:rFonts w:ascii="宋体"/>
      <w:kern w:val="2"/>
      <w:sz w:val="25"/>
      <w:szCs w:val="25"/>
    </w:rPr>
  </w:style>
  <w:style w:type="character" w:customStyle="1" w:styleId="476">
    <w:name w:val="签名 Char2"/>
    <w:basedOn w:val="129"/>
    <w:semiHidden/>
    <w:qFormat/>
    <w:uiPriority w:val="99"/>
    <w:rPr>
      <w:rFonts w:ascii="宋体"/>
      <w:kern w:val="2"/>
      <w:sz w:val="25"/>
      <w:szCs w:val="25"/>
    </w:rPr>
  </w:style>
  <w:style w:type="character" w:customStyle="1" w:styleId="477">
    <w:name w:val="正文文本 3 Char2"/>
    <w:basedOn w:val="129"/>
    <w:qFormat/>
    <w:uiPriority w:val="99"/>
    <w:rPr>
      <w:rFonts w:ascii="宋体"/>
      <w:kern w:val="2"/>
      <w:sz w:val="16"/>
      <w:szCs w:val="16"/>
    </w:rPr>
  </w:style>
  <w:style w:type="character" w:customStyle="1" w:styleId="478">
    <w:name w:val="页脚 Char2"/>
    <w:basedOn w:val="129"/>
    <w:qFormat/>
    <w:uiPriority w:val="0"/>
    <w:rPr>
      <w:rFonts w:ascii="宋体"/>
      <w:kern w:val="2"/>
      <w:sz w:val="18"/>
      <w:szCs w:val="18"/>
    </w:rPr>
  </w:style>
  <w:style w:type="character" w:customStyle="1" w:styleId="479">
    <w:name w:val="正文文本缩进 2 Char3"/>
    <w:basedOn w:val="129"/>
    <w:qFormat/>
    <w:uiPriority w:val="99"/>
    <w:rPr>
      <w:rFonts w:ascii="宋体"/>
      <w:kern w:val="2"/>
      <w:sz w:val="25"/>
      <w:szCs w:val="25"/>
    </w:rPr>
  </w:style>
  <w:style w:type="character" w:customStyle="1" w:styleId="480">
    <w:name w:val="正文首行缩进 2 Char2"/>
    <w:basedOn w:val="475"/>
    <w:semiHidden/>
    <w:qFormat/>
    <w:uiPriority w:val="99"/>
    <w:rPr>
      <w:rFonts w:ascii="宋体"/>
      <w:kern w:val="2"/>
      <w:sz w:val="25"/>
      <w:szCs w:val="25"/>
    </w:rPr>
  </w:style>
  <w:style w:type="paragraph" w:customStyle="1" w:styleId="481">
    <w:name w:val="样式 样式 标题 3 + 宋体 黑色 首行缩进:  2 字符 段前: 6 磅 段后: 6 磅 行距: 最小值 24 磅 + 首行..."/>
    <w:basedOn w:val="1"/>
    <w:qFormat/>
    <w:uiPriority w:val="0"/>
    <w:pPr>
      <w:keepNext/>
      <w:keepLines/>
      <w:widowControl/>
      <w:adjustRightInd w:val="0"/>
      <w:snapToGrid w:val="0"/>
      <w:spacing w:before="120" w:after="120" w:line="480" w:lineRule="atLeast"/>
      <w:ind w:firstLine="562" w:firstLineChars="200"/>
      <w:jc w:val="left"/>
      <w:outlineLvl w:val="2"/>
    </w:pPr>
    <w:rPr>
      <w:rFonts w:ascii="Times New Roman" w:cs="宋体"/>
      <w:b/>
      <w:bCs/>
      <w:color w:val="000000"/>
      <w:kern w:val="0"/>
      <w:sz w:val="28"/>
      <w:szCs w:val="28"/>
    </w:rPr>
  </w:style>
  <w:style w:type="paragraph" w:customStyle="1" w:styleId="482">
    <w:name w:val="文本框"/>
    <w:basedOn w:val="1"/>
    <w:qFormat/>
    <w:uiPriority w:val="0"/>
    <w:pPr>
      <w:widowControl/>
      <w:adjustRightInd w:val="0"/>
      <w:snapToGrid w:val="0"/>
      <w:spacing w:line="300" w:lineRule="exact"/>
      <w:jc w:val="center"/>
    </w:pPr>
    <w:rPr>
      <w:rFonts w:ascii="Times New Roman" w:cs="宋体"/>
      <w:kern w:val="0"/>
      <w:sz w:val="24"/>
      <w:szCs w:val="24"/>
    </w:rPr>
  </w:style>
  <w:style w:type="paragraph" w:customStyle="1" w:styleId="483">
    <w:name w:val="表格侧编号"/>
    <w:next w:val="1"/>
    <w:qFormat/>
    <w:uiPriority w:val="0"/>
    <w:pPr>
      <w:widowControl w:val="0"/>
      <w:adjustRightInd w:val="0"/>
      <w:spacing w:line="460" w:lineRule="exact"/>
      <w:jc w:val="center"/>
      <w:textAlignment w:val="baseline"/>
    </w:pPr>
    <w:rPr>
      <w:rFonts w:ascii="宋体" w:hAnsi="宋体" w:eastAsia="宋体" w:cs="Times New Roman"/>
      <w:b/>
      <w:bCs/>
      <w:sz w:val="28"/>
      <w:lang w:val="en-US" w:eastAsia="zh-CN" w:bidi="ar-SA"/>
    </w:rPr>
  </w:style>
  <w:style w:type="paragraph" w:customStyle="1" w:styleId="484">
    <w:name w:val="reader-word-layer reader-word-s10-13"/>
    <w:basedOn w:val="1"/>
    <w:qFormat/>
    <w:uiPriority w:val="0"/>
    <w:pPr>
      <w:widowControl/>
      <w:spacing w:before="100" w:beforeAutospacing="1" w:after="100" w:afterAutospacing="1"/>
      <w:jc w:val="left"/>
    </w:pPr>
    <w:rPr>
      <w:rFonts w:hAnsi="宋体" w:cs="宋体"/>
      <w:kern w:val="0"/>
      <w:sz w:val="24"/>
      <w:szCs w:val="24"/>
    </w:rPr>
  </w:style>
  <w:style w:type="character" w:customStyle="1" w:styleId="485">
    <w:name w:val="HTML 预设格式 Char2"/>
    <w:basedOn w:val="129"/>
    <w:semiHidden/>
    <w:qFormat/>
    <w:uiPriority w:val="99"/>
    <w:rPr>
      <w:rFonts w:ascii="Courier New" w:hAnsi="Courier New" w:cs="Courier New"/>
      <w:kern w:val="2"/>
    </w:rPr>
  </w:style>
  <w:style w:type="paragraph" w:customStyle="1" w:styleId="486">
    <w:name w:val="p16"/>
    <w:basedOn w:val="1"/>
    <w:qFormat/>
    <w:uiPriority w:val="0"/>
    <w:pPr>
      <w:widowControl/>
      <w:ind w:firstLine="567"/>
      <w:jc w:val="left"/>
    </w:pPr>
    <w:rPr>
      <w:rFonts w:hAnsi="宋体" w:cs="宋体"/>
      <w:kern w:val="0"/>
      <w:sz w:val="28"/>
      <w:szCs w:val="28"/>
    </w:rPr>
  </w:style>
  <w:style w:type="paragraph" w:customStyle="1" w:styleId="487">
    <w:name w:val="样式 (中文) 仿宋_GB2312 四号 首行缩进:  0.98 厘米 行距: 固定值 22 磅"/>
    <w:basedOn w:val="1"/>
    <w:qFormat/>
    <w:uiPriority w:val="39"/>
    <w:pPr>
      <w:spacing w:line="300" w:lineRule="auto"/>
      <w:ind w:firstLine="556"/>
    </w:pPr>
    <w:rPr>
      <w:rFonts w:ascii="Times New Roman" w:eastAsia="仿宋_GB2312" w:cs="宋体"/>
      <w:spacing w:val="-2"/>
      <w:sz w:val="28"/>
      <w:szCs w:val="24"/>
    </w:rPr>
  </w:style>
  <w:style w:type="character" w:customStyle="1" w:styleId="488">
    <w:name w:val="标题 Char2"/>
    <w:basedOn w:val="129"/>
    <w:qFormat/>
    <w:uiPriority w:val="0"/>
    <w:rPr>
      <w:rFonts w:asciiTheme="majorHAnsi" w:hAnsiTheme="majorHAnsi" w:cstheme="majorBidi"/>
      <w:b/>
      <w:bCs/>
      <w:kern w:val="2"/>
      <w:sz w:val="32"/>
      <w:szCs w:val="32"/>
    </w:rPr>
  </w:style>
  <w:style w:type="paragraph" w:customStyle="1" w:styleId="489">
    <w:name w:val="Char"/>
    <w:basedOn w:val="1"/>
    <w:qFormat/>
    <w:uiPriority w:val="0"/>
    <w:pPr>
      <w:widowControl/>
      <w:spacing w:line="560" w:lineRule="exact"/>
      <w:ind w:firstLine="200" w:firstLineChars="200"/>
      <w:jc w:val="left"/>
    </w:pPr>
    <w:rPr>
      <w:rFonts w:ascii="Verdana" w:hAnsi="Verdana"/>
      <w:kern w:val="0"/>
      <w:sz w:val="20"/>
      <w:szCs w:val="20"/>
      <w:lang w:eastAsia="en-US"/>
    </w:rPr>
  </w:style>
  <w:style w:type="paragraph" w:customStyle="1" w:styleId="490">
    <w:name w:val="样式 样式 样式 首行缩进:  2 字符 + 首行缩进:  2 字符 + 首行缩进:  2 字符"/>
    <w:basedOn w:val="1"/>
    <w:qFormat/>
    <w:uiPriority w:val="0"/>
    <w:pPr>
      <w:spacing w:line="360" w:lineRule="auto"/>
      <w:ind w:firstLine="480" w:firstLineChars="200"/>
    </w:pPr>
    <w:rPr>
      <w:rFonts w:ascii="Times New Roman" w:eastAsia="仿宋_GB2312" w:cs="宋体"/>
      <w:sz w:val="24"/>
      <w:szCs w:val="20"/>
    </w:rPr>
  </w:style>
  <w:style w:type="paragraph" w:customStyle="1" w:styleId="491">
    <w:name w:val="Char Char Char Char Char Char Char"/>
    <w:basedOn w:val="1"/>
    <w:qFormat/>
    <w:uiPriority w:val="0"/>
    <w:pPr>
      <w:widowControl/>
      <w:jc w:val="left"/>
    </w:pPr>
    <w:rPr>
      <w:rFonts w:ascii="Times New Roman" w:cs="宋体"/>
      <w:kern w:val="0"/>
      <w:sz w:val="21"/>
      <w:szCs w:val="24"/>
    </w:rPr>
  </w:style>
  <w:style w:type="paragraph" w:customStyle="1" w:styleId="492">
    <w:name w:val="Char1 Char Char Char1 Char Char Char"/>
    <w:basedOn w:val="1"/>
    <w:qFormat/>
    <w:uiPriority w:val="0"/>
    <w:pPr>
      <w:spacing w:line="360" w:lineRule="auto"/>
      <w:ind w:firstLine="200" w:firstLineChars="200"/>
    </w:pPr>
    <w:rPr>
      <w:rFonts w:hAnsi="宋体" w:cs="宋体"/>
      <w:sz w:val="24"/>
      <w:szCs w:val="24"/>
    </w:rPr>
  </w:style>
  <w:style w:type="paragraph" w:customStyle="1" w:styleId="493">
    <w:name w:val="一级标题"/>
    <w:basedOn w:val="1"/>
    <w:qFormat/>
    <w:uiPriority w:val="0"/>
    <w:pPr>
      <w:ind w:firstLine="539"/>
    </w:pPr>
    <w:rPr>
      <w:rFonts w:ascii="Times New Roman" w:eastAsia="黑体"/>
      <w:sz w:val="28"/>
      <w:szCs w:val="20"/>
    </w:rPr>
  </w:style>
  <w:style w:type="paragraph" w:customStyle="1" w:styleId="494">
    <w:name w:val="reader-word-layer reader-word-s10-8"/>
    <w:basedOn w:val="1"/>
    <w:qFormat/>
    <w:uiPriority w:val="0"/>
    <w:pPr>
      <w:widowControl/>
      <w:spacing w:before="100" w:beforeAutospacing="1" w:after="100" w:afterAutospacing="1"/>
      <w:jc w:val="left"/>
    </w:pPr>
    <w:rPr>
      <w:rFonts w:hAnsi="宋体" w:cs="宋体"/>
      <w:kern w:val="0"/>
      <w:sz w:val="24"/>
      <w:szCs w:val="24"/>
    </w:rPr>
  </w:style>
  <w:style w:type="paragraph" w:customStyle="1" w:styleId="495">
    <w:name w:val="2"/>
    <w:basedOn w:val="1"/>
    <w:next w:val="66"/>
    <w:qFormat/>
    <w:uiPriority w:val="0"/>
    <w:pPr>
      <w:ind w:firstLine="527" w:firstLineChars="200"/>
    </w:pPr>
    <w:rPr>
      <w:spacing w:val="5"/>
    </w:rPr>
  </w:style>
  <w:style w:type="paragraph" w:customStyle="1" w:styleId="496">
    <w:name w:val="正文缩进快"/>
    <w:basedOn w:val="1"/>
    <w:qFormat/>
    <w:uiPriority w:val="0"/>
    <w:pPr>
      <w:ind w:firstLine="539"/>
    </w:pPr>
    <w:rPr>
      <w:rFonts w:ascii="Times New Roman"/>
      <w:sz w:val="28"/>
      <w:szCs w:val="20"/>
    </w:rPr>
  </w:style>
  <w:style w:type="paragraph" w:customStyle="1" w:styleId="497">
    <w:name w:val="Char Char Char Char Char Char Char4"/>
    <w:basedOn w:val="1"/>
    <w:qFormat/>
    <w:uiPriority w:val="0"/>
    <w:pPr>
      <w:snapToGrid w:val="0"/>
      <w:spacing w:line="360" w:lineRule="auto"/>
      <w:ind w:firstLine="200" w:firstLineChars="200"/>
    </w:pPr>
    <w:rPr>
      <w:rFonts w:ascii="Times New Roman"/>
      <w:sz w:val="21"/>
      <w:szCs w:val="20"/>
    </w:rPr>
  </w:style>
  <w:style w:type="paragraph" w:customStyle="1" w:styleId="498">
    <w:name w:val="标题后正文"/>
    <w:basedOn w:val="1"/>
    <w:qFormat/>
    <w:uiPriority w:val="0"/>
    <w:pPr>
      <w:adjustRightInd w:val="0"/>
      <w:spacing w:line="360" w:lineRule="auto"/>
      <w:ind w:firstLine="200" w:firstLineChars="200"/>
      <w:textAlignment w:val="baseline"/>
    </w:pPr>
    <w:rPr>
      <w:rFonts w:ascii="Arial" w:hAnsi="Arial"/>
      <w:snapToGrid w:val="0"/>
      <w:kern w:val="28"/>
      <w:sz w:val="24"/>
      <w:szCs w:val="20"/>
    </w:rPr>
  </w:style>
  <w:style w:type="paragraph" w:customStyle="1" w:styleId="499">
    <w:name w:val="样式 表图头@ + 段前: 0.5 行"/>
    <w:basedOn w:val="1"/>
    <w:link w:val="500"/>
    <w:qFormat/>
    <w:uiPriority w:val="0"/>
    <w:pPr>
      <w:widowControl/>
      <w:adjustRightInd w:val="0"/>
      <w:jc w:val="center"/>
    </w:pPr>
    <w:rPr>
      <w:rFonts w:hAnsi="宋体" w:cs="宋体"/>
      <w:kern w:val="0"/>
      <w:sz w:val="24"/>
      <w:szCs w:val="24"/>
    </w:rPr>
  </w:style>
  <w:style w:type="character" w:customStyle="1" w:styleId="500">
    <w:name w:val="样式 表图头@ + 段前: 0.5 行 Char Char"/>
    <w:link w:val="499"/>
    <w:qFormat/>
    <w:uiPriority w:val="0"/>
    <w:rPr>
      <w:rFonts w:ascii="宋体" w:hAnsi="宋体" w:cs="宋体"/>
      <w:sz w:val="24"/>
      <w:szCs w:val="24"/>
    </w:rPr>
  </w:style>
  <w:style w:type="paragraph" w:customStyle="1" w:styleId="501">
    <w:name w:val="标题11"/>
    <w:basedOn w:val="1"/>
    <w:next w:val="1"/>
    <w:qFormat/>
    <w:uiPriority w:val="0"/>
    <w:pPr>
      <w:jc w:val="center"/>
    </w:pPr>
    <w:rPr>
      <w:rFonts w:ascii="Times New Roman" w:eastAsia="黑体"/>
      <w:sz w:val="32"/>
      <w:szCs w:val="20"/>
    </w:rPr>
  </w:style>
  <w:style w:type="paragraph" w:customStyle="1" w:styleId="502">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503">
    <w:name w:val="Char15 Char Char Char Char Char"/>
    <w:basedOn w:val="5"/>
    <w:qFormat/>
    <w:uiPriority w:val="0"/>
    <w:pPr>
      <w:tabs>
        <w:tab w:val="left" w:pos="360"/>
        <w:tab w:val="left" w:pos="900"/>
      </w:tabs>
      <w:snapToGrid w:val="0"/>
      <w:spacing w:before="120" w:after="120" w:line="360" w:lineRule="auto"/>
      <w:ind w:left="542" w:leftChars="-12" w:firstLine="200"/>
      <w:jc w:val="left"/>
    </w:pPr>
    <w:rPr>
      <w:sz w:val="32"/>
    </w:rPr>
  </w:style>
  <w:style w:type="paragraph" w:customStyle="1" w:styleId="504">
    <w:name w:val="Char Char Char Char Char Char Char Char1 Char Char Char Char Char Char Char Char Char Char Char Char1 Char"/>
    <w:basedOn w:val="1"/>
    <w:qFormat/>
    <w:uiPriority w:val="0"/>
    <w:rPr>
      <w:rFonts w:ascii="Times New Roman"/>
      <w:sz w:val="24"/>
      <w:szCs w:val="24"/>
    </w:rPr>
  </w:style>
  <w:style w:type="paragraph" w:customStyle="1" w:styleId="505">
    <w:name w:val="公式"/>
    <w:basedOn w:val="1"/>
    <w:qFormat/>
    <w:uiPriority w:val="0"/>
    <w:pPr>
      <w:widowControl/>
      <w:spacing w:beforeLines="200" w:afterLines="200" w:line="1000" w:lineRule="exact"/>
      <w:jc w:val="left"/>
    </w:pPr>
    <w:rPr>
      <w:rFonts w:ascii="Times New Roman" w:cs="宋体"/>
      <w:spacing w:val="20"/>
      <w:kern w:val="0"/>
      <w:sz w:val="28"/>
      <w:szCs w:val="24"/>
    </w:rPr>
  </w:style>
  <w:style w:type="paragraph" w:customStyle="1" w:styleId="506">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07">
    <w:name w:val="样式 (中文) 黑体 五号 加粗 居中 行距: 单倍行距"/>
    <w:basedOn w:val="1"/>
    <w:qFormat/>
    <w:uiPriority w:val="39"/>
    <w:pPr>
      <w:adjustRightInd w:val="0"/>
      <w:snapToGrid w:val="0"/>
      <w:jc w:val="center"/>
    </w:pPr>
    <w:rPr>
      <w:rFonts w:ascii="Times New Roman" w:eastAsia="黑体" w:cs="宋体"/>
      <w:b/>
      <w:bCs/>
      <w:sz w:val="21"/>
      <w:szCs w:val="20"/>
    </w:rPr>
  </w:style>
  <w:style w:type="paragraph" w:customStyle="1" w:styleId="508">
    <w:name w:val="表蕊"/>
    <w:basedOn w:val="1"/>
    <w:qFormat/>
    <w:uiPriority w:val="0"/>
    <w:pPr>
      <w:widowControl/>
      <w:adjustRightInd w:val="0"/>
      <w:spacing w:line="320" w:lineRule="atLeast"/>
      <w:jc w:val="left"/>
      <w:textAlignment w:val="baseline"/>
    </w:pPr>
    <w:rPr>
      <w:rFonts w:ascii="Times New Roman" w:eastAsia="楷体_GB2312" w:cs="宋体"/>
      <w:spacing w:val="-10"/>
      <w:kern w:val="0"/>
      <w:sz w:val="21"/>
      <w:szCs w:val="24"/>
    </w:rPr>
  </w:style>
  <w:style w:type="paragraph" w:customStyle="1" w:styleId="509">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510">
    <w:name w:val="6表格"/>
    <w:basedOn w:val="1"/>
    <w:qFormat/>
    <w:uiPriority w:val="39"/>
    <w:pPr>
      <w:adjustRightInd w:val="0"/>
      <w:snapToGrid w:val="0"/>
      <w:spacing w:before="60" w:line="240" w:lineRule="atLeast"/>
      <w:jc w:val="center"/>
    </w:pPr>
    <w:rPr>
      <w:rFonts w:ascii="Times New Roman"/>
      <w:kern w:val="0"/>
      <w:sz w:val="21"/>
      <w:szCs w:val="20"/>
    </w:rPr>
  </w:style>
  <w:style w:type="paragraph" w:customStyle="1" w:styleId="511">
    <w:name w:val="样式 标题 2节H2节标题 1.1 + (西文) Times New Roman (中文) 宋体 段前: 6 磅 段..."/>
    <w:basedOn w:val="4"/>
    <w:qFormat/>
    <w:uiPriority w:val="39"/>
    <w:pPr>
      <w:spacing w:before="120" w:after="120" w:line="500" w:lineRule="exact"/>
    </w:pPr>
    <w:rPr>
      <w:rFonts w:ascii="Times New Roman" w:hAnsi="Times New Roman" w:cs="宋体"/>
      <w:snapToGrid/>
      <w:szCs w:val="20"/>
    </w:rPr>
  </w:style>
  <w:style w:type="paragraph" w:customStyle="1" w:styleId="512">
    <w:name w:val="表格文字"/>
    <w:basedOn w:val="32"/>
    <w:link w:val="513"/>
    <w:qFormat/>
    <w:uiPriority w:val="0"/>
    <w:pPr>
      <w:spacing w:after="0" w:line="320" w:lineRule="exact"/>
      <w:jc w:val="center"/>
    </w:pPr>
    <w:rPr>
      <w:sz w:val="21"/>
      <w:szCs w:val="24"/>
    </w:rPr>
  </w:style>
  <w:style w:type="character" w:customStyle="1" w:styleId="513">
    <w:name w:val="表格文字 Char Char"/>
    <w:link w:val="512"/>
    <w:qFormat/>
    <w:uiPriority w:val="0"/>
    <w:rPr>
      <w:rFonts w:ascii="宋体"/>
      <w:kern w:val="2"/>
      <w:sz w:val="21"/>
      <w:szCs w:val="24"/>
    </w:rPr>
  </w:style>
  <w:style w:type="paragraph" w:customStyle="1" w:styleId="514">
    <w:name w:val="一级条标题"/>
    <w:next w:val="1"/>
    <w:qFormat/>
    <w:uiPriority w:val="0"/>
    <w:pPr>
      <w:tabs>
        <w:tab w:val="left" w:pos="360"/>
        <w:tab w:val="left" w:pos="903"/>
      </w:tabs>
      <w:outlineLvl w:val="2"/>
    </w:pPr>
    <w:rPr>
      <w:rFonts w:ascii="Times New Roman" w:hAnsi="Times New Roman" w:eastAsia="宋体" w:cs="Times New Roman"/>
      <w:lang w:val="en-US" w:eastAsia="zh-CN" w:bidi="ar-SA"/>
    </w:rPr>
  </w:style>
  <w:style w:type="paragraph" w:customStyle="1" w:styleId="515">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516">
    <w:name w:val="pa-3"/>
    <w:basedOn w:val="1"/>
    <w:qFormat/>
    <w:uiPriority w:val="0"/>
    <w:pPr>
      <w:widowControl/>
      <w:spacing w:before="100" w:beforeAutospacing="1" w:after="100" w:afterAutospacing="1"/>
      <w:jc w:val="left"/>
    </w:pPr>
    <w:rPr>
      <w:rFonts w:hAnsi="宋体" w:cs="宋体"/>
      <w:kern w:val="0"/>
      <w:sz w:val="24"/>
      <w:szCs w:val="24"/>
    </w:rPr>
  </w:style>
  <w:style w:type="paragraph" w:customStyle="1" w:styleId="517">
    <w:name w:val="样式 样式 小四 加粗 居中 行距: 最小值 12 磅 首行缩进:  2 字符 + 两端对齐1"/>
    <w:basedOn w:val="1"/>
    <w:qFormat/>
    <w:uiPriority w:val="39"/>
    <w:pPr>
      <w:tabs>
        <w:tab w:val="left" w:pos="420"/>
        <w:tab w:val="center" w:pos="4200"/>
        <w:tab w:val="right" w:pos="7980"/>
      </w:tabs>
      <w:adjustRightInd w:val="0"/>
      <w:snapToGrid w:val="0"/>
    </w:pPr>
    <w:rPr>
      <w:rFonts w:ascii="Times New Roman" w:cs="宋体"/>
      <w:b/>
      <w:bCs/>
      <w:kern w:val="0"/>
      <w:sz w:val="24"/>
      <w:szCs w:val="20"/>
    </w:rPr>
  </w:style>
  <w:style w:type="paragraph" w:customStyle="1" w:styleId="518">
    <w:name w:val="2.1.1"/>
    <w:basedOn w:val="1"/>
    <w:qFormat/>
    <w:uiPriority w:val="0"/>
    <w:rPr>
      <w:rFonts w:ascii="Times New Roman"/>
      <w:sz w:val="24"/>
      <w:szCs w:val="20"/>
    </w:rPr>
  </w:style>
  <w:style w:type="paragraph" w:customStyle="1" w:styleId="519">
    <w:name w:val="xl36"/>
    <w:basedOn w:val="1"/>
    <w:qFormat/>
    <w:uiPriority w:val="0"/>
    <w:pPr>
      <w:widowControl/>
      <w:pBdr>
        <w:bottom w:val="single" w:color="auto" w:sz="4" w:space="0"/>
      </w:pBdr>
      <w:spacing w:before="100" w:beforeAutospacing="1" w:after="100" w:afterAutospacing="1"/>
      <w:jc w:val="center"/>
    </w:pPr>
    <w:rPr>
      <w:rFonts w:hAnsi="宋体"/>
      <w:kern w:val="0"/>
      <w:sz w:val="24"/>
      <w:szCs w:val="24"/>
    </w:rPr>
  </w:style>
  <w:style w:type="paragraph" w:customStyle="1" w:styleId="520">
    <w:name w:val="样式 标题 3 + 非加粗 自动设置 段前: 0.3 行 段后: 0.3 行"/>
    <w:basedOn w:val="5"/>
    <w:qFormat/>
    <w:uiPriority w:val="0"/>
    <w:pPr>
      <w:widowControl/>
      <w:spacing w:beforeLines="30" w:afterLines="30" w:line="380" w:lineRule="exact"/>
    </w:pPr>
    <w:rPr>
      <w:rFonts w:ascii="宋体" w:hAnsi="宋体"/>
      <w:bCs w:val="0"/>
      <w:sz w:val="24"/>
      <w:szCs w:val="20"/>
    </w:rPr>
  </w:style>
  <w:style w:type="paragraph" w:customStyle="1" w:styleId="521">
    <w:name w:val="流程图"/>
    <w:basedOn w:val="1"/>
    <w:qFormat/>
    <w:uiPriority w:val="0"/>
    <w:pPr>
      <w:tabs>
        <w:tab w:val="left" w:pos="0"/>
      </w:tabs>
      <w:autoSpaceDE w:val="0"/>
      <w:autoSpaceDN w:val="0"/>
      <w:adjustRightInd w:val="0"/>
      <w:spacing w:line="240" w:lineRule="atLeast"/>
      <w:jc w:val="center"/>
      <w:textAlignment w:val="bottom"/>
    </w:pPr>
    <w:rPr>
      <w:sz w:val="21"/>
      <w:szCs w:val="20"/>
    </w:rPr>
  </w:style>
  <w:style w:type="paragraph" w:customStyle="1" w:styleId="522">
    <w:name w:val="表"/>
    <w:qFormat/>
    <w:uiPriority w:val="0"/>
    <w:pPr>
      <w:spacing w:line="320" w:lineRule="exact"/>
    </w:pPr>
    <w:rPr>
      <w:rFonts w:ascii="Times New Roman" w:hAnsi="Times New Roman" w:eastAsia="宋体" w:cs="Times New Roman"/>
      <w:sz w:val="21"/>
      <w:lang w:val="en-US" w:eastAsia="zh-CN" w:bidi="ar-SA"/>
    </w:rPr>
  </w:style>
  <w:style w:type="paragraph" w:customStyle="1" w:styleId="523">
    <w:name w:val="Char Char Char Char"/>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4">
    <w:name w:val="节"/>
    <w:basedOn w:val="1"/>
    <w:qFormat/>
    <w:uiPriority w:val="39"/>
    <w:pPr>
      <w:tabs>
        <w:tab w:val="left" w:pos="2736"/>
      </w:tabs>
      <w:spacing w:before="50" w:after="50"/>
      <w:ind w:left="2736" w:hanging="732"/>
      <w:jc w:val="center"/>
    </w:pPr>
    <w:rPr>
      <w:rFonts w:ascii="Times New Roman"/>
      <w:b/>
      <w:sz w:val="30"/>
      <w:szCs w:val="20"/>
    </w:rPr>
  </w:style>
  <w:style w:type="paragraph" w:customStyle="1" w:styleId="525">
    <w:name w:val="3级"/>
    <w:basedOn w:val="1"/>
    <w:link w:val="526"/>
    <w:qFormat/>
    <w:uiPriority w:val="0"/>
    <w:rPr>
      <w:rFonts w:ascii="Times New Roman"/>
      <w:sz w:val="24"/>
      <w:szCs w:val="20"/>
    </w:rPr>
  </w:style>
  <w:style w:type="character" w:customStyle="1" w:styleId="526">
    <w:name w:val="3级 Char"/>
    <w:link w:val="525"/>
    <w:qFormat/>
    <w:uiPriority w:val="0"/>
    <w:rPr>
      <w:kern w:val="2"/>
      <w:sz w:val="24"/>
    </w:rPr>
  </w:style>
  <w:style w:type="paragraph" w:customStyle="1" w:styleId="527">
    <w:name w:val="图标"/>
    <w:basedOn w:val="1"/>
    <w:qFormat/>
    <w:uiPriority w:val="0"/>
    <w:pPr>
      <w:widowControl/>
      <w:spacing w:line="440" w:lineRule="exact"/>
      <w:jc w:val="center"/>
    </w:pPr>
    <w:rPr>
      <w:rFonts w:ascii="黑体" w:hAnsi="Courier New" w:eastAsia="黑体" w:cs="宋体"/>
      <w:bCs/>
      <w:kern w:val="0"/>
      <w:sz w:val="28"/>
      <w:szCs w:val="24"/>
    </w:rPr>
  </w:style>
  <w:style w:type="paragraph" w:customStyle="1" w:styleId="528">
    <w:name w:val="4"/>
    <w:basedOn w:val="1"/>
    <w:next w:val="1"/>
    <w:unhideWhenUsed/>
    <w:qFormat/>
    <w:uiPriority w:val="0"/>
    <w:rPr>
      <w:rFonts w:ascii="Times New Roman"/>
      <w:sz w:val="21"/>
      <w:szCs w:val="20"/>
    </w:rPr>
  </w:style>
  <w:style w:type="paragraph" w:customStyle="1" w:styleId="529">
    <w:name w:val="标题3 Char Char Char Char"/>
    <w:basedOn w:val="1"/>
    <w:qFormat/>
    <w:uiPriority w:val="99"/>
    <w:pPr>
      <w:spacing w:afterLines="50" w:line="560" w:lineRule="exact"/>
    </w:pPr>
    <w:rPr>
      <w:rFonts w:ascii="Times New Roman" w:eastAsia="黑体"/>
      <w:sz w:val="30"/>
      <w:szCs w:val="30"/>
    </w:rPr>
  </w:style>
  <w:style w:type="paragraph" w:customStyle="1" w:styleId="530">
    <w:name w:val="正文首缩"/>
    <w:basedOn w:val="1"/>
    <w:link w:val="531"/>
    <w:qFormat/>
    <w:uiPriority w:val="0"/>
    <w:pPr>
      <w:ind w:firstLine="539"/>
    </w:pPr>
    <w:rPr>
      <w:rFonts w:ascii="Times New Roman"/>
      <w:sz w:val="28"/>
      <w:szCs w:val="20"/>
    </w:rPr>
  </w:style>
  <w:style w:type="character" w:customStyle="1" w:styleId="531">
    <w:name w:val="正文首缩 Char"/>
    <w:link w:val="530"/>
    <w:qFormat/>
    <w:uiPriority w:val="0"/>
    <w:rPr>
      <w:kern w:val="2"/>
      <w:sz w:val="28"/>
    </w:rPr>
  </w:style>
  <w:style w:type="paragraph" w:customStyle="1" w:styleId="532">
    <w:name w:val="样式 小四 行距: 固定值 24 磅 首行缩进:  2 字符"/>
    <w:basedOn w:val="1"/>
    <w:qFormat/>
    <w:uiPriority w:val="0"/>
    <w:pPr>
      <w:tabs>
        <w:tab w:val="left" w:pos="4500"/>
      </w:tabs>
      <w:snapToGrid w:val="0"/>
      <w:spacing w:line="460" w:lineRule="exact"/>
      <w:ind w:firstLine="200" w:firstLineChars="200"/>
    </w:pPr>
    <w:rPr>
      <w:rFonts w:ascii="Times New Roman"/>
      <w:color w:val="000000"/>
      <w:sz w:val="24"/>
      <w:szCs w:val="20"/>
    </w:rPr>
  </w:style>
  <w:style w:type="paragraph" w:customStyle="1" w:styleId="533">
    <w:name w:val="五级条标题"/>
    <w:next w:val="1"/>
    <w:qFormat/>
    <w:uiPriority w:val="0"/>
    <w:pPr>
      <w:tabs>
        <w:tab w:val="left" w:pos="360"/>
        <w:tab w:val="left" w:pos="903"/>
      </w:tabs>
      <w:outlineLvl w:val="6"/>
    </w:pPr>
    <w:rPr>
      <w:rFonts w:ascii="Times New Roman" w:hAnsi="Times New Roman" w:eastAsia="宋体" w:cs="Times New Roman"/>
      <w:lang w:val="en-US" w:eastAsia="zh-CN" w:bidi="ar-SA"/>
    </w:rPr>
  </w:style>
  <w:style w:type="paragraph" w:customStyle="1" w:styleId="534">
    <w:name w:val="四级条标题"/>
    <w:next w:val="1"/>
    <w:qFormat/>
    <w:uiPriority w:val="0"/>
    <w:pPr>
      <w:tabs>
        <w:tab w:val="left" w:pos="360"/>
        <w:tab w:val="left" w:pos="903"/>
      </w:tabs>
      <w:outlineLvl w:val="5"/>
    </w:pPr>
    <w:rPr>
      <w:rFonts w:ascii="Times New Roman" w:hAnsi="Times New Roman" w:eastAsia="宋体" w:cs="Times New Roman"/>
      <w:lang w:val="en-US" w:eastAsia="zh-CN" w:bidi="ar-SA"/>
    </w:rPr>
  </w:style>
  <w:style w:type="paragraph" w:customStyle="1" w:styleId="535">
    <w:name w:val="三级条标题"/>
    <w:next w:val="1"/>
    <w:qFormat/>
    <w:uiPriority w:val="0"/>
    <w:pPr>
      <w:tabs>
        <w:tab w:val="left" w:pos="360"/>
        <w:tab w:val="left" w:pos="903"/>
      </w:tabs>
      <w:outlineLvl w:val="4"/>
    </w:pPr>
    <w:rPr>
      <w:rFonts w:ascii="Times New Roman" w:hAnsi="Times New Roman" w:eastAsia="宋体" w:cs="Times New Roman"/>
      <w:lang w:val="en-US" w:eastAsia="zh-CN" w:bidi="ar-SA"/>
    </w:rPr>
  </w:style>
  <w:style w:type="paragraph" w:customStyle="1" w:styleId="536">
    <w:name w:val="二级条标题"/>
    <w:basedOn w:val="514"/>
    <w:next w:val="1"/>
    <w:qFormat/>
    <w:uiPriority w:val="0"/>
    <w:pPr>
      <w:outlineLvl w:val="3"/>
    </w:pPr>
  </w:style>
  <w:style w:type="paragraph" w:customStyle="1" w:styleId="537">
    <w:name w:val="font7"/>
    <w:basedOn w:val="1"/>
    <w:qFormat/>
    <w:uiPriority w:val="0"/>
    <w:pPr>
      <w:widowControl/>
      <w:spacing w:before="100" w:beforeAutospacing="1" w:after="100" w:afterAutospacing="1"/>
      <w:jc w:val="left"/>
    </w:pPr>
    <w:rPr>
      <w:rFonts w:ascii="Times New Roman" w:eastAsia="Arial Unicode MS" w:cs="宋体"/>
      <w:kern w:val="0"/>
      <w:sz w:val="20"/>
      <w:szCs w:val="24"/>
    </w:rPr>
  </w:style>
  <w:style w:type="paragraph" w:customStyle="1" w:styleId="538">
    <w:name w:val="样式 表格图文 + 五号 行距: 固定值 18 磅"/>
    <w:basedOn w:val="1"/>
    <w:link w:val="539"/>
    <w:qFormat/>
    <w:uiPriority w:val="0"/>
    <w:pPr>
      <w:widowControl/>
      <w:adjustRightInd w:val="0"/>
      <w:spacing w:line="360" w:lineRule="exact"/>
      <w:jc w:val="center"/>
      <w:textAlignment w:val="baseline"/>
    </w:pPr>
    <w:rPr>
      <w:rFonts w:ascii="Times New Roman"/>
      <w:kern w:val="0"/>
      <w:sz w:val="21"/>
      <w:szCs w:val="20"/>
    </w:rPr>
  </w:style>
  <w:style w:type="character" w:customStyle="1" w:styleId="539">
    <w:name w:val="样式 表格图文 + 五号 行距: 固定值 18 磅 Char"/>
    <w:link w:val="538"/>
    <w:qFormat/>
    <w:uiPriority w:val="0"/>
    <w:rPr>
      <w:sz w:val="21"/>
    </w:rPr>
  </w:style>
  <w:style w:type="paragraph" w:customStyle="1" w:styleId="540">
    <w:name w:val="表格中"/>
    <w:basedOn w:val="1"/>
    <w:qFormat/>
    <w:uiPriority w:val="0"/>
    <w:pPr>
      <w:adjustRightInd w:val="0"/>
      <w:snapToGrid w:val="0"/>
      <w:spacing w:line="0" w:lineRule="atLeast"/>
      <w:ind w:right="358" w:rightChars="136"/>
      <w:jc w:val="center"/>
    </w:pPr>
    <w:rPr>
      <w:sz w:val="18"/>
      <w:szCs w:val="24"/>
    </w:rPr>
  </w:style>
  <w:style w:type="paragraph" w:customStyle="1" w:styleId="541">
    <w:name w:val="1.1.1"/>
    <w:basedOn w:val="1"/>
    <w:qFormat/>
    <w:uiPriority w:val="0"/>
    <w:rPr>
      <w:rFonts w:hint="eastAsia" w:ascii="黑体"/>
      <w:sz w:val="24"/>
      <w:szCs w:val="24"/>
    </w:rPr>
  </w:style>
  <w:style w:type="paragraph" w:customStyle="1" w:styleId="542">
    <w:name w:val="表格2"/>
    <w:basedOn w:val="1"/>
    <w:qFormat/>
    <w:uiPriority w:val="0"/>
    <w:pPr>
      <w:spacing w:line="320" w:lineRule="exact"/>
      <w:jc w:val="center"/>
    </w:pPr>
    <w:rPr>
      <w:rFonts w:ascii="Times New Roman"/>
      <w:sz w:val="24"/>
      <w:szCs w:val="20"/>
    </w:rPr>
  </w:style>
  <w:style w:type="paragraph" w:customStyle="1" w:styleId="543">
    <w:name w:val="Char Char5 Char Char Char Char Char Char Char Char Char2"/>
    <w:basedOn w:val="5"/>
    <w:qFormat/>
    <w:uiPriority w:val="0"/>
    <w:pPr>
      <w:tabs>
        <w:tab w:val="left" w:pos="360"/>
        <w:tab w:val="left" w:pos="900"/>
      </w:tabs>
      <w:snapToGrid w:val="0"/>
      <w:spacing w:before="120" w:after="120" w:line="360" w:lineRule="auto"/>
      <w:ind w:left="542" w:leftChars="-12" w:firstLine="200"/>
      <w:jc w:val="left"/>
    </w:pPr>
    <w:rPr>
      <w:rFonts w:eastAsia="黑体"/>
      <w:b w:val="0"/>
      <w:bCs w:val="0"/>
      <w:snapToGrid w:val="0"/>
      <w:sz w:val="24"/>
      <w:szCs w:val="24"/>
    </w:rPr>
  </w:style>
  <w:style w:type="paragraph" w:customStyle="1" w:styleId="544">
    <w:name w:val="pic-info"/>
    <w:basedOn w:val="1"/>
    <w:qFormat/>
    <w:uiPriority w:val="0"/>
    <w:pPr>
      <w:widowControl/>
      <w:spacing w:before="100" w:beforeAutospacing="1" w:after="100" w:afterAutospacing="1"/>
      <w:jc w:val="left"/>
    </w:pPr>
    <w:rPr>
      <w:rFonts w:hAnsi="宋体" w:cs="宋体"/>
      <w:kern w:val="0"/>
      <w:sz w:val="24"/>
      <w:szCs w:val="24"/>
    </w:rPr>
  </w:style>
  <w:style w:type="paragraph" w:customStyle="1" w:styleId="545">
    <w:name w:val="目录1.1"/>
    <w:basedOn w:val="1"/>
    <w:qFormat/>
    <w:uiPriority w:val="0"/>
    <w:pPr>
      <w:widowControl/>
      <w:jc w:val="left"/>
    </w:pPr>
    <w:rPr>
      <w:rFonts w:ascii="Times New Roman" w:cs="宋体"/>
      <w:kern w:val="0"/>
      <w:sz w:val="21"/>
      <w:szCs w:val="24"/>
    </w:rPr>
  </w:style>
  <w:style w:type="paragraph" w:customStyle="1" w:styleId="546">
    <w:name w:val="xl35"/>
    <w:basedOn w:val="1"/>
    <w:link w:val="547"/>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4"/>
    </w:rPr>
  </w:style>
  <w:style w:type="character" w:customStyle="1" w:styleId="547">
    <w:name w:val="xl35 Char Char"/>
    <w:link w:val="546"/>
    <w:qFormat/>
    <w:uiPriority w:val="0"/>
    <w:rPr>
      <w:rFonts w:ascii="Arial Unicode MS" w:hAnsi="Arial Unicode MS" w:eastAsia="Arial Unicode MS"/>
      <w:sz w:val="24"/>
      <w:szCs w:val="24"/>
    </w:rPr>
  </w:style>
  <w:style w:type="paragraph" w:customStyle="1" w:styleId="548">
    <w:name w:val="font5"/>
    <w:basedOn w:val="1"/>
    <w:qFormat/>
    <w:uiPriority w:val="0"/>
    <w:pPr>
      <w:widowControl/>
      <w:spacing w:before="100" w:beforeAutospacing="1" w:after="100" w:afterAutospacing="1"/>
      <w:jc w:val="left"/>
    </w:pPr>
    <w:rPr>
      <w:rFonts w:hint="eastAsia" w:hAnsi="宋体" w:cs="Arial Unicode MS"/>
      <w:kern w:val="0"/>
      <w:sz w:val="18"/>
      <w:szCs w:val="18"/>
    </w:rPr>
  </w:style>
  <w:style w:type="paragraph" w:customStyle="1" w:styleId="549">
    <w:name w:val="1正文段落"/>
    <w:basedOn w:val="1"/>
    <w:link w:val="550"/>
    <w:qFormat/>
    <w:uiPriority w:val="0"/>
    <w:pPr>
      <w:widowControl/>
      <w:spacing w:line="360" w:lineRule="auto"/>
      <w:ind w:firstLine="480" w:firstLineChars="200"/>
      <w:jc w:val="left"/>
    </w:pPr>
    <w:rPr>
      <w:rFonts w:ascii="Times New Roman" w:cs="宋体"/>
      <w:snapToGrid w:val="0"/>
      <w:kern w:val="0"/>
      <w:sz w:val="24"/>
      <w:szCs w:val="24"/>
    </w:rPr>
  </w:style>
  <w:style w:type="character" w:customStyle="1" w:styleId="550">
    <w:name w:val="1正文段落 Char"/>
    <w:link w:val="549"/>
    <w:qFormat/>
    <w:uiPriority w:val="0"/>
    <w:rPr>
      <w:rFonts w:cs="宋体"/>
      <w:snapToGrid w:val="0"/>
      <w:sz w:val="24"/>
      <w:szCs w:val="24"/>
    </w:rPr>
  </w:style>
  <w:style w:type="paragraph" w:customStyle="1" w:styleId="551">
    <w:name w:val="（一）"/>
    <w:qFormat/>
    <w:uiPriority w:val="0"/>
    <w:pPr>
      <w:spacing w:line="460" w:lineRule="exact"/>
    </w:pPr>
    <w:rPr>
      <w:rFonts w:ascii="Times New Roman" w:hAnsi="Times New Roman" w:eastAsia="宋体" w:cs="Times New Roman"/>
      <w:lang w:val="en-US" w:eastAsia="zh-CN" w:bidi="ar-SA"/>
    </w:rPr>
  </w:style>
  <w:style w:type="paragraph" w:customStyle="1" w:styleId="552">
    <w:name w:val="(1)"/>
    <w:basedOn w:val="1"/>
    <w:qFormat/>
    <w:uiPriority w:val="0"/>
    <w:rPr>
      <w:rFonts w:ascii="Times New Roman"/>
      <w:sz w:val="24"/>
      <w:szCs w:val="20"/>
    </w:rPr>
  </w:style>
  <w:style w:type="paragraph" w:customStyle="1" w:styleId="553">
    <w:name w:val="样式 样式11 + 黑色"/>
    <w:qFormat/>
    <w:uiPriority w:val="0"/>
    <w:pPr>
      <w:keepNext/>
      <w:keepLines/>
      <w:tabs>
        <w:tab w:val="left" w:pos="567"/>
      </w:tabs>
      <w:overflowPunct w:val="0"/>
      <w:topLinePunct/>
      <w:autoSpaceDE w:val="0"/>
      <w:autoSpaceDN w:val="0"/>
      <w:adjustRightInd w:val="0"/>
      <w:snapToGrid w:val="0"/>
      <w:spacing w:before="120" w:after="120" w:line="480" w:lineRule="atLeast"/>
      <w:ind w:left="567"/>
      <w:textAlignment w:val="baseline"/>
      <w:outlineLvl w:val="2"/>
    </w:pPr>
    <w:rPr>
      <w:rFonts w:ascii="Times New Roman" w:hAnsi="Times New Roman" w:eastAsia="宋体" w:cs="Times New Roman"/>
      <w:color w:val="000000"/>
      <w:sz w:val="24"/>
      <w:lang w:val="en-US" w:eastAsia="zh-CN" w:bidi="ar-SA"/>
    </w:rPr>
  </w:style>
  <w:style w:type="paragraph" w:customStyle="1" w:styleId="554">
    <w:name w:val="样式11"/>
    <w:basedOn w:val="1"/>
    <w:qFormat/>
    <w:uiPriority w:val="39"/>
    <w:pPr>
      <w:spacing w:line="500" w:lineRule="exact"/>
    </w:pPr>
    <w:rPr>
      <w:rFonts w:ascii="黑体" w:eastAsia="黑体"/>
      <w:b/>
      <w:bCs/>
      <w:sz w:val="28"/>
      <w:szCs w:val="24"/>
    </w:rPr>
  </w:style>
  <w:style w:type="paragraph" w:customStyle="1" w:styleId="555">
    <w:name w:val="标准"/>
    <w:basedOn w:val="1"/>
    <w:link w:val="556"/>
    <w:qFormat/>
    <w:uiPriority w:val="0"/>
    <w:pPr>
      <w:adjustRightInd w:val="0"/>
      <w:spacing w:line="312" w:lineRule="atLeast"/>
      <w:jc w:val="center"/>
      <w:textAlignment w:val="baseline"/>
    </w:pPr>
    <w:rPr>
      <w:rFonts w:ascii="Times New Roman"/>
      <w:kern w:val="0"/>
      <w:sz w:val="21"/>
      <w:szCs w:val="21"/>
    </w:rPr>
  </w:style>
  <w:style w:type="character" w:customStyle="1" w:styleId="556">
    <w:name w:val="标准 Char"/>
    <w:link w:val="555"/>
    <w:qFormat/>
    <w:uiPriority w:val="0"/>
    <w:rPr>
      <w:sz w:val="21"/>
      <w:szCs w:val="21"/>
    </w:rPr>
  </w:style>
  <w:style w:type="paragraph" w:customStyle="1" w:styleId="557">
    <w:name w:val="Char2 Char Char Char Char Char Char"/>
    <w:basedOn w:val="1"/>
    <w:qFormat/>
    <w:uiPriority w:val="0"/>
    <w:pPr>
      <w:widowControl/>
      <w:jc w:val="left"/>
    </w:pPr>
    <w:rPr>
      <w:rFonts w:ascii="Times New Roman" w:cs="宋体"/>
      <w:kern w:val="0"/>
      <w:sz w:val="21"/>
      <w:szCs w:val="24"/>
    </w:rPr>
  </w:style>
  <w:style w:type="paragraph" w:customStyle="1" w:styleId="558">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Times New Roman" w:eastAsia="Arial Unicode MS" w:cs="宋体"/>
      <w:color w:val="008000"/>
      <w:kern w:val="0"/>
      <w:sz w:val="20"/>
      <w:szCs w:val="24"/>
    </w:rPr>
  </w:style>
  <w:style w:type="paragraph" w:customStyle="1" w:styleId="559">
    <w:name w:val="标题111 Char Char Char Char"/>
    <w:basedOn w:val="1"/>
    <w:qFormat/>
    <w:uiPriority w:val="0"/>
    <w:pPr>
      <w:widowControl/>
      <w:spacing w:line="360" w:lineRule="auto"/>
      <w:ind w:firstLine="200" w:firstLineChars="200"/>
      <w:jc w:val="left"/>
    </w:pPr>
    <w:rPr>
      <w:rFonts w:hAnsi="宋体" w:cs="宋体"/>
      <w:kern w:val="0"/>
      <w:sz w:val="24"/>
      <w:szCs w:val="24"/>
    </w:rPr>
  </w:style>
  <w:style w:type="paragraph" w:customStyle="1" w:styleId="560">
    <w:name w:val="图名"/>
    <w:basedOn w:val="1"/>
    <w:link w:val="561"/>
    <w:qFormat/>
    <w:uiPriority w:val="0"/>
    <w:pPr>
      <w:widowControl/>
      <w:adjustRightInd w:val="0"/>
      <w:snapToGrid w:val="0"/>
      <w:spacing w:line="500" w:lineRule="exact"/>
      <w:jc w:val="center"/>
    </w:pPr>
    <w:rPr>
      <w:rFonts w:ascii="Times New Roman" w:cs="宋体"/>
      <w:b/>
      <w:snapToGrid w:val="0"/>
      <w:kern w:val="0"/>
      <w:sz w:val="24"/>
      <w:szCs w:val="24"/>
      <w:lang w:bidi="he-IL"/>
    </w:rPr>
  </w:style>
  <w:style w:type="character" w:customStyle="1" w:styleId="561">
    <w:name w:val="图名 Char Char"/>
    <w:link w:val="560"/>
    <w:qFormat/>
    <w:uiPriority w:val="0"/>
    <w:rPr>
      <w:rFonts w:cs="宋体"/>
      <w:b/>
      <w:snapToGrid w:val="0"/>
      <w:sz w:val="24"/>
      <w:szCs w:val="24"/>
      <w:lang w:bidi="he-IL"/>
    </w:rPr>
  </w:style>
  <w:style w:type="paragraph" w:customStyle="1" w:styleId="562">
    <w:name w:val="表名"/>
    <w:basedOn w:val="1"/>
    <w:qFormat/>
    <w:uiPriority w:val="0"/>
    <w:pPr>
      <w:keepNext/>
      <w:overflowPunct w:val="0"/>
      <w:adjustRightInd w:val="0"/>
      <w:spacing w:before="240"/>
      <w:jc w:val="center"/>
      <w:textAlignment w:val="baseline"/>
      <w:outlineLvl w:val="3"/>
    </w:pPr>
    <w:rPr>
      <w:b/>
      <w:spacing w:val="10"/>
      <w:kern w:val="24"/>
      <w:sz w:val="24"/>
      <w:szCs w:val="20"/>
    </w:rPr>
  </w:style>
  <w:style w:type="paragraph" w:customStyle="1" w:styleId="563">
    <w:name w:val="Char Char Char Char7"/>
    <w:basedOn w:val="5"/>
    <w:qFormat/>
    <w:uiPriority w:val="0"/>
    <w:pPr>
      <w:widowControl/>
      <w:tabs>
        <w:tab w:val="left" w:pos="360"/>
        <w:tab w:val="left" w:pos="900"/>
      </w:tabs>
      <w:snapToGrid w:val="0"/>
      <w:spacing w:before="120" w:after="120" w:line="360" w:lineRule="auto"/>
      <w:ind w:left="542" w:leftChars="-12" w:firstLine="200"/>
      <w:jc w:val="left"/>
    </w:pPr>
    <w:rPr>
      <w:rFonts w:eastAsia="黑体" w:cs="宋体"/>
      <w:b w:val="0"/>
      <w:bCs w:val="0"/>
      <w:snapToGrid w:val="0"/>
      <w:kern w:val="0"/>
      <w:sz w:val="24"/>
      <w:szCs w:val="24"/>
    </w:rPr>
  </w:style>
  <w:style w:type="paragraph" w:customStyle="1" w:styleId="564">
    <w:name w:val="Char Char Char Char Char Char Char Char Char Char Char Char Char Char Char Char Char Char Char Char Char Char Char Char"/>
    <w:basedOn w:val="1"/>
    <w:qFormat/>
    <w:uiPriority w:val="0"/>
    <w:rPr>
      <w:rFonts w:ascii="Times New Roman"/>
      <w:sz w:val="21"/>
      <w:szCs w:val="20"/>
    </w:rPr>
  </w:style>
  <w:style w:type="paragraph" w:customStyle="1" w:styleId="565">
    <w:name w:val="Char1 Char Char Char Char Char Char Char Char1"/>
    <w:basedOn w:val="1"/>
    <w:qFormat/>
    <w:uiPriority w:val="0"/>
    <w:pPr>
      <w:widowControl/>
      <w:jc w:val="left"/>
    </w:pPr>
    <w:rPr>
      <w:rFonts w:ascii="Times New Roman" w:cs="宋体"/>
      <w:kern w:val="0"/>
      <w:sz w:val="21"/>
      <w:szCs w:val="24"/>
    </w:rPr>
  </w:style>
  <w:style w:type="paragraph" w:customStyle="1" w:styleId="566">
    <w:name w:val="Char1 Char Char Char"/>
    <w:basedOn w:val="1"/>
    <w:qFormat/>
    <w:uiPriority w:val="0"/>
    <w:rPr>
      <w:rFonts w:ascii="Times New Roman"/>
      <w:sz w:val="24"/>
      <w:szCs w:val="24"/>
    </w:rPr>
  </w:style>
  <w:style w:type="paragraph" w:customStyle="1" w:styleId="567">
    <w:name w:val="TOC 标题1"/>
    <w:basedOn w:val="3"/>
    <w:next w:val="1"/>
    <w:qFormat/>
    <w:uiPriority w:val="0"/>
    <w:pPr>
      <w:widowControl/>
      <w:spacing w:beforeLines="0" w:line="276" w:lineRule="auto"/>
      <w:jc w:val="left"/>
      <w:outlineLvl w:val="9"/>
    </w:pPr>
    <w:rPr>
      <w:rFonts w:ascii="Cambria" w:hAnsi="Cambria" w:eastAsia="宋体"/>
      <w:b/>
      <w:bCs/>
      <w:snapToGrid/>
      <w:color w:val="365F91"/>
      <w:kern w:val="0"/>
      <w:sz w:val="28"/>
      <w:szCs w:val="28"/>
    </w:rPr>
  </w:style>
  <w:style w:type="paragraph" w:customStyle="1" w:styleId="568">
    <w:name w:val="已访问的超级链接"/>
    <w:basedOn w:val="1"/>
    <w:next w:val="1"/>
    <w:qFormat/>
    <w:uiPriority w:val="0"/>
    <w:pPr>
      <w:widowControl/>
      <w:jc w:val="left"/>
    </w:pPr>
    <w:rPr>
      <w:rFonts w:hAnsi="宋体" w:cs="宋体"/>
      <w:kern w:val="0"/>
      <w:sz w:val="24"/>
      <w:szCs w:val="24"/>
    </w:rPr>
  </w:style>
  <w:style w:type="paragraph" w:customStyle="1" w:styleId="56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4"/>
    </w:rPr>
  </w:style>
  <w:style w:type="paragraph" w:customStyle="1" w:styleId="570">
    <w:name w:val="亚行正文"/>
    <w:basedOn w:val="1"/>
    <w:qFormat/>
    <w:uiPriority w:val="0"/>
    <w:pPr>
      <w:widowControl/>
      <w:spacing w:line="440" w:lineRule="exact"/>
      <w:jc w:val="left"/>
    </w:pPr>
    <w:rPr>
      <w:rFonts w:ascii="Times New Roman" w:cs="宋体"/>
      <w:kern w:val="0"/>
      <w:sz w:val="24"/>
      <w:szCs w:val="24"/>
    </w:rPr>
  </w:style>
  <w:style w:type="paragraph" w:customStyle="1" w:styleId="571">
    <w:name w:val="样式14"/>
    <w:basedOn w:val="6"/>
    <w:qFormat/>
    <w:uiPriority w:val="0"/>
    <w:pPr>
      <w:keepNext/>
      <w:keepLines/>
      <w:tabs>
        <w:tab w:val="left" w:pos="1800"/>
        <w:tab w:val="left" w:pos="2226"/>
        <w:tab w:val="clear" w:pos="360"/>
        <w:tab w:val="clear" w:pos="2207"/>
      </w:tabs>
      <w:overflowPunct w:val="0"/>
      <w:topLinePunct/>
      <w:autoSpaceDE w:val="0"/>
      <w:autoSpaceDN w:val="0"/>
      <w:adjustRightInd w:val="0"/>
      <w:snapToGrid w:val="0"/>
      <w:spacing w:beforeLines="0" w:afterLines="0" w:line="520" w:lineRule="exact"/>
      <w:ind w:left="2226" w:hanging="420"/>
      <w:jc w:val="left"/>
      <w:textAlignment w:val="baseline"/>
    </w:pPr>
    <w:rPr>
      <w:rFonts w:ascii="Times New Roman" w:eastAsia="宋体"/>
      <w:snapToGrid/>
      <w:color w:val="auto"/>
      <w:kern w:val="0"/>
      <w:szCs w:val="20"/>
    </w:rPr>
  </w:style>
  <w:style w:type="paragraph" w:customStyle="1" w:styleId="572">
    <w:name w:val="图用行距"/>
    <w:basedOn w:val="150"/>
    <w:qFormat/>
    <w:uiPriority w:val="0"/>
    <w:pPr>
      <w:keepNext/>
      <w:spacing w:line="480" w:lineRule="atLeast"/>
      <w:jc w:val="center"/>
    </w:pPr>
  </w:style>
  <w:style w:type="paragraph" w:customStyle="1" w:styleId="573">
    <w:name w:val="样式3"/>
    <w:basedOn w:val="1"/>
    <w:link w:val="574"/>
    <w:qFormat/>
    <w:uiPriority w:val="0"/>
    <w:pPr>
      <w:pBdr>
        <w:bottom w:val="thinThickLargeGap" w:color="auto" w:sz="12" w:space="2"/>
      </w:pBdr>
      <w:tabs>
        <w:tab w:val="center" w:pos="4153"/>
        <w:tab w:val="right" w:pos="8306"/>
      </w:tabs>
      <w:snapToGrid w:val="0"/>
      <w:jc w:val="center"/>
    </w:pPr>
    <w:rPr>
      <w:rFonts w:ascii="楷体_GB2312" w:eastAsia="楷体_GB2312"/>
      <w:spacing w:val="5"/>
      <w:sz w:val="23"/>
      <w:szCs w:val="23"/>
    </w:rPr>
  </w:style>
  <w:style w:type="character" w:customStyle="1" w:styleId="574">
    <w:name w:val="样式3 Char"/>
    <w:link w:val="573"/>
    <w:qFormat/>
    <w:uiPriority w:val="0"/>
    <w:rPr>
      <w:rFonts w:ascii="楷体_GB2312" w:eastAsia="楷体_GB2312"/>
      <w:spacing w:val="5"/>
      <w:kern w:val="2"/>
      <w:sz w:val="23"/>
      <w:szCs w:val="23"/>
    </w:rPr>
  </w:style>
  <w:style w:type="paragraph" w:customStyle="1" w:styleId="575">
    <w:name w:val="规划1-1-1"/>
    <w:basedOn w:val="1"/>
    <w:qFormat/>
    <w:uiPriority w:val="0"/>
    <w:pPr>
      <w:spacing w:line="460" w:lineRule="exact"/>
    </w:pPr>
    <w:rPr>
      <w:rFonts w:ascii="黑体" w:hAnsi="宋体" w:eastAsia="黑体"/>
      <w:b/>
      <w:sz w:val="24"/>
      <w:szCs w:val="24"/>
    </w:rPr>
  </w:style>
  <w:style w:type="paragraph" w:customStyle="1" w:styleId="576">
    <w:name w:val="正文正"/>
    <w:basedOn w:val="1"/>
    <w:qFormat/>
    <w:uiPriority w:val="0"/>
    <w:pPr>
      <w:ind w:firstLine="567"/>
    </w:pPr>
    <w:rPr>
      <w:bCs/>
      <w:sz w:val="24"/>
      <w:szCs w:val="20"/>
    </w:rPr>
  </w:style>
  <w:style w:type="paragraph" w:customStyle="1" w:styleId="577">
    <w:name w:val="样式10"/>
    <w:basedOn w:val="1"/>
    <w:qFormat/>
    <w:uiPriority w:val="0"/>
    <w:pPr>
      <w:autoSpaceDE w:val="0"/>
      <w:autoSpaceDN w:val="0"/>
      <w:adjustRightInd w:val="0"/>
      <w:spacing w:line="480" w:lineRule="exact"/>
      <w:ind w:firstLine="480" w:firstLineChars="200"/>
    </w:pPr>
    <w:rPr>
      <w:rFonts w:hAnsi="宋体"/>
      <w:color w:val="000000"/>
      <w:kern w:val="0"/>
      <w:sz w:val="24"/>
      <w:szCs w:val="28"/>
      <w:lang w:val="zh-CN"/>
    </w:rPr>
  </w:style>
  <w:style w:type="paragraph" w:customStyle="1" w:styleId="578">
    <w:name w:val="reader-word-layer"/>
    <w:basedOn w:val="1"/>
    <w:qFormat/>
    <w:uiPriority w:val="0"/>
    <w:pPr>
      <w:widowControl/>
      <w:spacing w:before="100" w:beforeAutospacing="1" w:after="100" w:afterAutospacing="1"/>
      <w:jc w:val="left"/>
    </w:pPr>
    <w:rPr>
      <w:rFonts w:hAnsi="宋体" w:cs="宋体"/>
      <w:kern w:val="0"/>
      <w:sz w:val="24"/>
      <w:szCs w:val="24"/>
    </w:rPr>
  </w:style>
  <w:style w:type="paragraph" w:customStyle="1" w:styleId="579">
    <w:name w:val="字元 字元"/>
    <w:basedOn w:val="1"/>
    <w:qFormat/>
    <w:uiPriority w:val="0"/>
    <w:rPr>
      <w:rFonts w:ascii="Times New Roman"/>
      <w:sz w:val="21"/>
      <w:szCs w:val="21"/>
    </w:rPr>
  </w:style>
  <w:style w:type="paragraph" w:customStyle="1" w:styleId="580">
    <w:name w:val="tblfont"/>
    <w:basedOn w:val="1"/>
    <w:qFormat/>
    <w:uiPriority w:val="0"/>
    <w:pPr>
      <w:widowControl/>
      <w:spacing w:before="100" w:beforeAutospacing="1" w:after="100" w:afterAutospacing="1"/>
      <w:jc w:val="left"/>
    </w:pPr>
    <w:rPr>
      <w:rFonts w:hAnsi="宋体" w:cs="宋体"/>
      <w:kern w:val="0"/>
      <w:sz w:val="18"/>
      <w:szCs w:val="18"/>
    </w:rPr>
  </w:style>
  <w:style w:type="paragraph" w:customStyle="1" w:styleId="581">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kern w:val="0"/>
      <w:sz w:val="21"/>
      <w:szCs w:val="21"/>
    </w:rPr>
  </w:style>
  <w:style w:type="paragraph" w:customStyle="1" w:styleId="582">
    <w:name w:val="main"/>
    <w:basedOn w:val="1"/>
    <w:qFormat/>
    <w:uiPriority w:val="0"/>
    <w:pPr>
      <w:widowControl/>
      <w:spacing w:before="100" w:beforeAutospacing="1" w:after="100" w:afterAutospacing="1"/>
      <w:ind w:firstLine="400"/>
      <w:jc w:val="left"/>
    </w:pPr>
    <w:rPr>
      <w:rFonts w:eastAsia="Arial Unicode MS" w:cs="Arial Unicode MS"/>
      <w:color w:val="0033CC"/>
      <w:kern w:val="0"/>
      <w:sz w:val="18"/>
      <w:szCs w:val="18"/>
    </w:rPr>
  </w:style>
  <w:style w:type="paragraph" w:customStyle="1" w:styleId="583">
    <w:name w:val="正文222"/>
    <w:basedOn w:val="1"/>
    <w:qFormat/>
    <w:uiPriority w:val="0"/>
    <w:pPr>
      <w:spacing w:line="480" w:lineRule="exact"/>
      <w:ind w:firstLine="200" w:firstLineChars="200"/>
    </w:pPr>
    <w:rPr>
      <w:rFonts w:ascii="Times New Roman" w:hAnsi="宋体"/>
      <w:sz w:val="24"/>
      <w:szCs w:val="20"/>
    </w:rPr>
  </w:style>
  <w:style w:type="paragraph" w:customStyle="1" w:styleId="584">
    <w:name w:val="_Style 35"/>
    <w:basedOn w:val="5"/>
    <w:qFormat/>
    <w:uiPriority w:val="99"/>
    <w:pPr>
      <w:tabs>
        <w:tab w:val="left" w:pos="360"/>
        <w:tab w:val="left" w:pos="900"/>
      </w:tabs>
      <w:snapToGrid w:val="0"/>
      <w:spacing w:before="120" w:after="120" w:line="360" w:lineRule="auto"/>
      <w:ind w:left="542" w:leftChars="-12" w:firstLine="200"/>
    </w:pPr>
    <w:rPr>
      <w:rFonts w:eastAsia="黑体"/>
      <w:b w:val="0"/>
      <w:bCs w:val="0"/>
      <w:sz w:val="32"/>
      <w:szCs w:val="24"/>
    </w:rPr>
  </w:style>
  <w:style w:type="paragraph" w:customStyle="1" w:styleId="585">
    <w:name w:val="1.1.1.1"/>
    <w:basedOn w:val="1"/>
    <w:qFormat/>
    <w:uiPriority w:val="39"/>
    <w:pPr>
      <w:widowControl/>
      <w:jc w:val="left"/>
    </w:pPr>
    <w:rPr>
      <w:rFonts w:hAnsi="宋体"/>
      <w:kern w:val="0"/>
      <w:sz w:val="28"/>
      <w:szCs w:val="20"/>
    </w:rPr>
  </w:style>
  <w:style w:type="paragraph" w:customStyle="1" w:styleId="586">
    <w:name w:val="正文A"/>
    <w:basedOn w:val="1"/>
    <w:qFormat/>
    <w:uiPriority w:val="0"/>
    <w:pPr>
      <w:keepNext/>
      <w:widowControl/>
      <w:adjustRightInd w:val="0"/>
      <w:spacing w:line="360" w:lineRule="auto"/>
      <w:ind w:firstLine="560" w:firstLineChars="200"/>
      <w:jc w:val="left"/>
      <w:textAlignment w:val="baseline"/>
    </w:pPr>
    <w:rPr>
      <w:rFonts w:ascii="Times New Roman" w:cs="宋体"/>
      <w:kern w:val="0"/>
      <w:sz w:val="28"/>
      <w:szCs w:val="24"/>
    </w:rPr>
  </w:style>
  <w:style w:type="paragraph" w:customStyle="1" w:styleId="587">
    <w:name w:val="样式7"/>
    <w:basedOn w:val="1"/>
    <w:link w:val="588"/>
    <w:qFormat/>
    <w:uiPriority w:val="0"/>
    <w:pPr>
      <w:spacing w:line="360" w:lineRule="auto"/>
      <w:ind w:firstLine="480" w:firstLineChars="200"/>
    </w:pPr>
    <w:rPr>
      <w:rFonts w:hAnsi="宋体"/>
      <w:sz w:val="24"/>
      <w:szCs w:val="24"/>
    </w:rPr>
  </w:style>
  <w:style w:type="character" w:customStyle="1" w:styleId="588">
    <w:name w:val="样式7 Char Char"/>
    <w:link w:val="587"/>
    <w:qFormat/>
    <w:uiPriority w:val="0"/>
    <w:rPr>
      <w:rFonts w:ascii="宋体" w:hAnsi="宋体"/>
      <w:kern w:val="2"/>
      <w:sz w:val="24"/>
      <w:szCs w:val="24"/>
    </w:rPr>
  </w:style>
  <w:style w:type="paragraph" w:customStyle="1" w:styleId="589">
    <w:name w:val="表第一列"/>
    <w:basedOn w:val="82"/>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hint="default"/>
      <w:color w:val="000000"/>
      <w:spacing w:val="-4"/>
      <w:sz w:val="21"/>
    </w:rPr>
  </w:style>
  <w:style w:type="paragraph" w:customStyle="1" w:styleId="590">
    <w:name w:val="Char1 Char Char Char Char Char Char"/>
    <w:basedOn w:val="1"/>
    <w:qFormat/>
    <w:uiPriority w:val="0"/>
    <w:pPr>
      <w:widowControl/>
      <w:tabs>
        <w:tab w:val="left" w:pos="420"/>
      </w:tabs>
      <w:ind w:left="420" w:hanging="420"/>
      <w:jc w:val="left"/>
    </w:pPr>
    <w:rPr>
      <w:rFonts w:ascii="Times New Roman" w:cs="宋体"/>
      <w:kern w:val="0"/>
      <w:sz w:val="24"/>
      <w:szCs w:val="24"/>
    </w:rPr>
  </w:style>
  <w:style w:type="paragraph" w:customStyle="1" w:styleId="591">
    <w:name w:val="文"/>
    <w:basedOn w:val="1"/>
    <w:qFormat/>
    <w:uiPriority w:val="0"/>
    <w:pPr>
      <w:spacing w:line="360" w:lineRule="auto"/>
      <w:ind w:firstLine="480" w:firstLineChars="200"/>
    </w:pPr>
    <w:rPr>
      <w:rFonts w:ascii="Times New Roman"/>
      <w:sz w:val="24"/>
      <w:szCs w:val="24"/>
    </w:rPr>
  </w:style>
  <w:style w:type="paragraph" w:customStyle="1" w:styleId="592">
    <w:name w:val="Char Char1 Char Char Char Char Char Char Char Char Char Char Char Char Char Char1 Char Char Char Char Char Char11"/>
    <w:basedOn w:val="1"/>
    <w:qFormat/>
    <w:uiPriority w:val="0"/>
    <w:pPr>
      <w:widowControl/>
      <w:spacing w:afterLines="50" w:line="300" w:lineRule="auto"/>
      <w:ind w:firstLine="200" w:firstLineChars="200"/>
    </w:pPr>
    <w:rPr>
      <w:rFonts w:ascii="Times New Roman"/>
      <w:sz w:val="21"/>
      <w:szCs w:val="24"/>
    </w:rPr>
  </w:style>
  <w:style w:type="paragraph" w:customStyle="1" w:styleId="593">
    <w:name w:val="日期2"/>
    <w:basedOn w:val="1"/>
    <w:next w:val="1"/>
    <w:qFormat/>
    <w:uiPriority w:val="0"/>
    <w:pPr>
      <w:spacing w:line="360" w:lineRule="atLeast"/>
      <w:ind w:left="100" w:leftChars="2500"/>
      <w:jc w:val="left"/>
      <w:textAlignment w:val="baseline"/>
    </w:pPr>
    <w:rPr>
      <w:rFonts w:hAnsi="宋体"/>
      <w:sz w:val="28"/>
      <w:szCs w:val="24"/>
    </w:rPr>
  </w:style>
  <w:style w:type="paragraph" w:customStyle="1" w:styleId="594">
    <w:name w:val="注"/>
    <w:basedOn w:val="62"/>
    <w:qFormat/>
    <w:uiPriority w:val="0"/>
    <w:pPr>
      <w:widowControl/>
      <w:spacing w:line="240" w:lineRule="exact"/>
      <w:ind w:left="0" w:firstLine="0" w:firstLineChars="0"/>
      <w:jc w:val="left"/>
    </w:pPr>
    <w:rPr>
      <w:rFonts w:ascii="宋体" w:hAnsi="宋体" w:cs="宋体"/>
      <w:kern w:val="0"/>
      <w:szCs w:val="20"/>
    </w:rPr>
  </w:style>
  <w:style w:type="paragraph" w:customStyle="1" w:styleId="595">
    <w:name w:val="表格内字体"/>
    <w:basedOn w:val="352"/>
    <w:next w:val="352"/>
    <w:link w:val="596"/>
    <w:qFormat/>
    <w:uiPriority w:val="0"/>
    <w:pPr>
      <w:spacing w:line="240" w:lineRule="auto"/>
      <w:ind w:firstLine="0"/>
      <w:jc w:val="center"/>
    </w:pPr>
    <w:rPr>
      <w:kern w:val="0"/>
      <w:sz w:val="20"/>
    </w:rPr>
  </w:style>
  <w:style w:type="character" w:customStyle="1" w:styleId="596">
    <w:name w:val="表格内字体 Char"/>
    <w:link w:val="595"/>
    <w:qFormat/>
    <w:uiPriority w:val="0"/>
    <w:rPr>
      <w:rFonts w:ascii="宋体" w:hAnsi="宋体"/>
      <w:szCs w:val="24"/>
    </w:rPr>
  </w:style>
  <w:style w:type="paragraph" w:customStyle="1" w:styleId="597">
    <w:name w:val="正文文字"/>
    <w:basedOn w:val="1"/>
    <w:qFormat/>
    <w:uiPriority w:val="0"/>
    <w:pPr>
      <w:adjustRightInd w:val="0"/>
      <w:snapToGrid w:val="0"/>
      <w:spacing w:line="440" w:lineRule="exact"/>
      <w:ind w:firstLine="200" w:firstLineChars="200"/>
    </w:pPr>
    <w:rPr>
      <w:rFonts w:ascii="Times New Roman"/>
      <w:sz w:val="24"/>
      <w:szCs w:val="24"/>
    </w:rPr>
  </w:style>
  <w:style w:type="paragraph" w:customStyle="1" w:styleId="598">
    <w:name w:val="正文文本缩进1"/>
    <w:basedOn w:val="1"/>
    <w:qFormat/>
    <w:uiPriority w:val="0"/>
    <w:pPr>
      <w:spacing w:after="120"/>
      <w:ind w:left="420" w:leftChars="200"/>
    </w:pPr>
    <w:rPr>
      <w:rFonts w:ascii="Times New Roman"/>
      <w:sz w:val="21"/>
      <w:szCs w:val="24"/>
    </w:rPr>
  </w:style>
  <w:style w:type="paragraph" w:customStyle="1" w:styleId="599">
    <w:name w:val="PP 行"/>
    <w:basedOn w:val="54"/>
    <w:qFormat/>
    <w:uiPriority w:val="0"/>
  </w:style>
  <w:style w:type="paragraph" w:customStyle="1" w:styleId="600">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601">
    <w:name w:val="日期1"/>
    <w:basedOn w:val="1"/>
    <w:next w:val="1"/>
    <w:qFormat/>
    <w:uiPriority w:val="0"/>
    <w:pPr>
      <w:spacing w:line="360" w:lineRule="atLeast"/>
      <w:ind w:left="100" w:leftChars="2500"/>
      <w:jc w:val="left"/>
      <w:textAlignment w:val="baseline"/>
    </w:pPr>
    <w:rPr>
      <w:rFonts w:hAnsi="宋体"/>
      <w:sz w:val="28"/>
      <w:szCs w:val="24"/>
    </w:rPr>
  </w:style>
  <w:style w:type="paragraph" w:customStyle="1" w:styleId="602">
    <w:name w:val="样式 样式18 + 黑色"/>
    <w:basedOn w:val="1"/>
    <w:qFormat/>
    <w:uiPriority w:val="0"/>
    <w:pPr>
      <w:keepNext/>
      <w:keepLines/>
      <w:tabs>
        <w:tab w:val="left" w:pos="1800"/>
        <w:tab w:val="left" w:pos="2226"/>
      </w:tabs>
      <w:overflowPunct w:val="0"/>
      <w:topLinePunct/>
      <w:autoSpaceDE w:val="0"/>
      <w:autoSpaceDN w:val="0"/>
      <w:adjustRightInd w:val="0"/>
      <w:snapToGrid w:val="0"/>
      <w:spacing w:line="480" w:lineRule="exact"/>
      <w:ind w:left="2226" w:hanging="420"/>
      <w:jc w:val="left"/>
      <w:textAlignment w:val="baseline"/>
      <w:outlineLvl w:val="3"/>
    </w:pPr>
    <w:rPr>
      <w:rFonts w:ascii="Times New Roman" w:hAnsi="宋体"/>
      <w:color w:val="000000"/>
      <w:kern w:val="0"/>
      <w:sz w:val="24"/>
      <w:szCs w:val="20"/>
    </w:rPr>
  </w:style>
  <w:style w:type="paragraph" w:customStyle="1" w:styleId="603">
    <w:name w:val="_Style 20"/>
    <w:basedOn w:val="1"/>
    <w:qFormat/>
    <w:uiPriority w:val="0"/>
    <w:pPr>
      <w:widowControl/>
      <w:spacing w:line="480" w:lineRule="exact"/>
      <w:ind w:firstLine="200" w:firstLineChars="200"/>
    </w:pPr>
    <w:rPr>
      <w:rFonts w:ascii="Times New Roman"/>
      <w:sz w:val="21"/>
      <w:szCs w:val="24"/>
    </w:rPr>
  </w:style>
  <w:style w:type="paragraph" w:customStyle="1" w:styleId="604">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Arial Unicode MS" w:hAnsi="Arial Unicode MS" w:eastAsia="Arial Unicode MS" w:cs="Arial Unicode MS"/>
      <w:color w:val="008000"/>
      <w:kern w:val="0"/>
      <w:sz w:val="20"/>
      <w:szCs w:val="24"/>
    </w:rPr>
  </w:style>
  <w:style w:type="paragraph" w:customStyle="1" w:styleId="605">
    <w:name w:val="Char Char Char Char Char Char Char2"/>
    <w:basedOn w:val="1"/>
    <w:qFormat/>
    <w:uiPriority w:val="0"/>
    <w:rPr>
      <w:rFonts w:ascii="Times New Roman"/>
      <w:sz w:val="21"/>
      <w:szCs w:val="24"/>
    </w:rPr>
  </w:style>
  <w:style w:type="paragraph" w:customStyle="1" w:styleId="606">
    <w:name w:val="p19"/>
    <w:basedOn w:val="1"/>
    <w:qFormat/>
    <w:uiPriority w:val="0"/>
    <w:pPr>
      <w:widowControl/>
      <w:spacing w:before="10" w:after="10" w:line="420" w:lineRule="atLeast"/>
      <w:ind w:firstLine="420"/>
    </w:pPr>
    <w:rPr>
      <w:rFonts w:ascii="Times New Roman"/>
      <w:kern w:val="0"/>
      <w:sz w:val="24"/>
      <w:szCs w:val="24"/>
    </w:rPr>
  </w:style>
  <w:style w:type="paragraph" w:customStyle="1" w:styleId="607">
    <w:name w:val="三"/>
    <w:basedOn w:val="1"/>
    <w:qFormat/>
    <w:uiPriority w:val="0"/>
    <w:rPr>
      <w:sz w:val="24"/>
      <w:szCs w:val="20"/>
    </w:rPr>
  </w:style>
  <w:style w:type="paragraph" w:customStyle="1" w:styleId="608">
    <w:name w:val="Char Char Char Char Char Char Char Char Char Char"/>
    <w:basedOn w:val="5"/>
    <w:qFormat/>
    <w:uiPriority w:val="0"/>
    <w:pPr>
      <w:tabs>
        <w:tab w:val="left" w:pos="360"/>
        <w:tab w:val="left" w:pos="900"/>
      </w:tabs>
      <w:snapToGrid w:val="0"/>
      <w:spacing w:before="120" w:after="120" w:line="360" w:lineRule="auto"/>
      <w:ind w:left="542" w:leftChars="-12" w:firstLine="200"/>
      <w:jc w:val="left"/>
    </w:pPr>
    <w:rPr>
      <w:rFonts w:eastAsia="黑体"/>
      <w:b w:val="0"/>
      <w:bCs w:val="0"/>
      <w:sz w:val="24"/>
      <w:szCs w:val="24"/>
    </w:rPr>
  </w:style>
  <w:style w:type="paragraph" w:customStyle="1" w:styleId="609">
    <w:name w:val="标题2"/>
    <w:basedOn w:val="5"/>
    <w:qFormat/>
    <w:uiPriority w:val="39"/>
    <w:pPr>
      <w:spacing w:before="0" w:after="0" w:line="240" w:lineRule="auto"/>
    </w:pPr>
    <w:rPr>
      <w:b w:val="0"/>
      <w:bCs w:val="0"/>
      <w:sz w:val="28"/>
      <w:szCs w:val="20"/>
    </w:rPr>
  </w:style>
  <w:style w:type="paragraph" w:customStyle="1" w:styleId="61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16"/>
      <w:szCs w:val="16"/>
    </w:rPr>
  </w:style>
  <w:style w:type="paragraph" w:customStyle="1" w:styleId="611">
    <w:name w:val="基准页脚样式"/>
    <w:basedOn w:val="32"/>
    <w:qFormat/>
    <w:uiPriority w:val="0"/>
    <w:pPr>
      <w:widowControl/>
      <w:spacing w:after="0" w:line="360" w:lineRule="exact"/>
      <w:jc w:val="center"/>
    </w:pPr>
    <w:rPr>
      <w:rFonts w:ascii="Times New Roman" w:cs="宋体"/>
      <w:kern w:val="0"/>
      <w:sz w:val="21"/>
      <w:szCs w:val="24"/>
    </w:rPr>
  </w:style>
  <w:style w:type="paragraph" w:customStyle="1" w:styleId="612">
    <w:name w:val="样式 标题 2标题2，@ + 段前: 0.5 行 段后: 0.5 行"/>
    <w:basedOn w:val="4"/>
    <w:qFormat/>
    <w:uiPriority w:val="0"/>
    <w:pPr>
      <w:keepNext w:val="0"/>
      <w:keepLines w:val="0"/>
      <w:spacing w:beforeLines="50" w:afterLines="50" w:line="360" w:lineRule="auto"/>
    </w:pPr>
    <w:rPr>
      <w:rFonts w:ascii="宋体" w:hAnsi="宋体" w:cs="宋体"/>
      <w:snapToGrid/>
      <w:sz w:val="24"/>
      <w:szCs w:val="20"/>
    </w:rPr>
  </w:style>
  <w:style w:type="paragraph" w:customStyle="1" w:styleId="613">
    <w:name w:val="宋体 13 磅 行距: 固定值 24 磅"/>
    <w:basedOn w:val="1"/>
    <w:link w:val="614"/>
    <w:qFormat/>
    <w:uiPriority w:val="0"/>
    <w:pPr>
      <w:spacing w:line="480" w:lineRule="exact"/>
      <w:ind w:firstLine="520" w:firstLineChars="200"/>
    </w:pPr>
    <w:rPr>
      <w:rFonts w:hAnsi="宋体" w:cs="宋体"/>
      <w:sz w:val="26"/>
      <w:szCs w:val="20"/>
    </w:rPr>
  </w:style>
  <w:style w:type="character" w:customStyle="1" w:styleId="614">
    <w:name w:val="宋体 13 磅 行距: 固定值 24 磅 Char"/>
    <w:link w:val="613"/>
    <w:qFormat/>
    <w:uiPriority w:val="0"/>
    <w:rPr>
      <w:rFonts w:ascii="宋体" w:hAnsi="宋体" w:cs="宋体"/>
      <w:kern w:val="2"/>
      <w:sz w:val="26"/>
    </w:rPr>
  </w:style>
  <w:style w:type="paragraph" w:customStyle="1" w:styleId="615">
    <w:name w:val="_Style 632"/>
    <w:basedOn w:val="1"/>
    <w:qFormat/>
    <w:uiPriority w:val="39"/>
    <w:pPr>
      <w:adjustRightInd w:val="0"/>
      <w:snapToGrid w:val="0"/>
      <w:spacing w:line="360" w:lineRule="auto"/>
      <w:ind w:firstLine="200" w:firstLineChars="200"/>
    </w:pPr>
    <w:rPr>
      <w:rFonts w:ascii="Times New Roman"/>
      <w:sz w:val="21"/>
      <w:szCs w:val="24"/>
    </w:rPr>
  </w:style>
  <w:style w:type="paragraph" w:customStyle="1" w:styleId="616">
    <w:name w:val="章"/>
    <w:basedOn w:val="1"/>
    <w:qFormat/>
    <w:uiPriority w:val="39"/>
    <w:pPr>
      <w:spacing w:beforeLines="50"/>
      <w:jc w:val="center"/>
    </w:pPr>
    <w:rPr>
      <w:rFonts w:ascii="Times New Roman" w:eastAsia="黑体"/>
      <w:sz w:val="32"/>
      <w:szCs w:val="20"/>
    </w:rPr>
  </w:style>
  <w:style w:type="paragraph" w:customStyle="1" w:styleId="617">
    <w:name w:val="小四表文左齐"/>
    <w:basedOn w:val="1"/>
    <w:qFormat/>
    <w:uiPriority w:val="0"/>
    <w:pPr>
      <w:widowControl/>
      <w:adjustRightInd w:val="0"/>
      <w:spacing w:line="360" w:lineRule="exact"/>
      <w:jc w:val="center"/>
    </w:pPr>
    <w:rPr>
      <w:rFonts w:ascii="Times New Roman"/>
      <w:kern w:val="24"/>
      <w:sz w:val="21"/>
      <w:szCs w:val="21"/>
    </w:rPr>
  </w:style>
  <w:style w:type="paragraph" w:customStyle="1" w:styleId="61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4"/>
    </w:rPr>
  </w:style>
  <w:style w:type="paragraph" w:customStyle="1" w:styleId="619">
    <w:name w:val="font8"/>
    <w:basedOn w:val="1"/>
    <w:qFormat/>
    <w:uiPriority w:val="0"/>
    <w:pPr>
      <w:widowControl/>
      <w:spacing w:before="100" w:beforeAutospacing="1" w:after="100" w:afterAutospacing="1"/>
      <w:jc w:val="left"/>
    </w:pPr>
    <w:rPr>
      <w:rFonts w:hint="eastAsia" w:hAnsi="宋体" w:cs="Arial Unicode MS"/>
      <w:color w:val="000000"/>
      <w:kern w:val="0"/>
      <w:sz w:val="18"/>
      <w:szCs w:val="18"/>
    </w:rPr>
  </w:style>
  <w:style w:type="paragraph" w:customStyle="1" w:styleId="620">
    <w:name w:val="表格1"/>
    <w:basedOn w:val="1"/>
    <w:link w:val="621"/>
    <w:qFormat/>
    <w:uiPriority w:val="0"/>
    <w:pPr>
      <w:widowControl/>
      <w:adjustRightInd w:val="0"/>
      <w:spacing w:line="400" w:lineRule="atLeast"/>
      <w:jc w:val="center"/>
      <w:textAlignment w:val="baseline"/>
    </w:pPr>
    <w:rPr>
      <w:rFonts w:ascii="Times New Roman" w:cs="宋体"/>
      <w:kern w:val="0"/>
      <w:sz w:val="24"/>
      <w:szCs w:val="24"/>
    </w:rPr>
  </w:style>
  <w:style w:type="character" w:customStyle="1" w:styleId="621">
    <w:name w:val="表格1 Char"/>
    <w:link w:val="620"/>
    <w:qFormat/>
    <w:uiPriority w:val="0"/>
    <w:rPr>
      <w:rFonts w:cs="宋体"/>
      <w:sz w:val="24"/>
      <w:szCs w:val="24"/>
    </w:rPr>
  </w:style>
  <w:style w:type="paragraph" w:customStyle="1" w:styleId="622">
    <w:name w:val="Char Char5 Char Char Char Char Char Char Char Char Char21"/>
    <w:basedOn w:val="5"/>
    <w:qFormat/>
    <w:uiPriority w:val="0"/>
    <w:pPr>
      <w:widowControl/>
      <w:tabs>
        <w:tab w:val="left" w:pos="360"/>
        <w:tab w:val="left" w:pos="900"/>
      </w:tabs>
      <w:snapToGrid w:val="0"/>
      <w:spacing w:before="120" w:after="120" w:line="360" w:lineRule="auto"/>
      <w:ind w:left="542" w:leftChars="-12" w:firstLine="200"/>
      <w:jc w:val="left"/>
    </w:pPr>
    <w:rPr>
      <w:rFonts w:eastAsia="黑体" w:cs="宋体"/>
      <w:b w:val="0"/>
      <w:bCs w:val="0"/>
      <w:snapToGrid w:val="0"/>
      <w:kern w:val="0"/>
      <w:sz w:val="24"/>
      <w:szCs w:val="24"/>
    </w:rPr>
  </w:style>
  <w:style w:type="paragraph" w:customStyle="1" w:styleId="623">
    <w:name w:val="xl26"/>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1"/>
      <w:szCs w:val="21"/>
    </w:rPr>
  </w:style>
  <w:style w:type="paragraph" w:customStyle="1" w:styleId="624">
    <w:name w:val="样式 标题 3 + 段前: 0.25 行 段后: 0.25 行1"/>
    <w:basedOn w:val="5"/>
    <w:qFormat/>
    <w:uiPriority w:val="0"/>
    <w:pPr>
      <w:tabs>
        <w:tab w:val="left" w:pos="565"/>
      </w:tabs>
      <w:spacing w:beforeLines="50" w:afterLines="50" w:line="360" w:lineRule="auto"/>
    </w:pPr>
    <w:rPr>
      <w:rFonts w:ascii="Cambria" w:hAnsi="Cambria"/>
      <w:szCs w:val="30"/>
    </w:rPr>
  </w:style>
  <w:style w:type="paragraph" w:customStyle="1" w:styleId="625">
    <w:name w:val="Char Char Char Char Char Char Char Char Char1 Char Char Char Char"/>
    <w:basedOn w:val="1"/>
    <w:qFormat/>
    <w:uiPriority w:val="0"/>
    <w:pPr>
      <w:widowControl/>
      <w:ind w:firstLine="480" w:firstLineChars="200"/>
      <w:jc w:val="left"/>
    </w:pPr>
    <w:rPr>
      <w:rFonts w:ascii="Times New Roman" w:cs="宋体"/>
      <w:kern w:val="0"/>
      <w:sz w:val="24"/>
      <w:szCs w:val="24"/>
    </w:rPr>
  </w:style>
  <w:style w:type="paragraph" w:customStyle="1" w:styleId="626">
    <w:name w:val="样式 正文文字 + 两端对齐 首行缩进:  0.92 厘米 行距: 单倍行距"/>
    <w:basedOn w:val="32"/>
    <w:qFormat/>
    <w:uiPriority w:val="0"/>
    <w:pPr>
      <w:widowControl/>
      <w:spacing w:after="0"/>
      <w:ind w:firstLine="522"/>
      <w:jc w:val="left"/>
    </w:pPr>
    <w:rPr>
      <w:rFonts w:hAnsi="宋体" w:cs="宋体"/>
      <w:kern w:val="0"/>
      <w:sz w:val="28"/>
      <w:szCs w:val="21"/>
    </w:rPr>
  </w:style>
  <w:style w:type="paragraph" w:customStyle="1" w:styleId="627">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628">
    <w:name w:val="p0"/>
    <w:basedOn w:val="1"/>
    <w:qFormat/>
    <w:uiPriority w:val="0"/>
    <w:pPr>
      <w:widowControl/>
      <w:spacing w:beforeLines="10" w:afterLines="10" w:line="420" w:lineRule="atLeast"/>
      <w:ind w:firstLine="420" w:firstLineChars="200"/>
    </w:pPr>
    <w:rPr>
      <w:rFonts w:ascii="Times New Roman"/>
      <w:kern w:val="0"/>
      <w:sz w:val="24"/>
      <w:szCs w:val="24"/>
    </w:rPr>
  </w:style>
  <w:style w:type="paragraph" w:customStyle="1" w:styleId="629">
    <w:name w:val="WPS Plain"/>
    <w:qFormat/>
    <w:uiPriority w:val="0"/>
    <w:rPr>
      <w:rFonts w:ascii="Times New Roman" w:hAnsi="Times New Roman" w:eastAsia="宋体" w:cs="Times New Roman"/>
      <w:lang w:val="en-US" w:eastAsia="zh-CN" w:bidi="ar-SA"/>
    </w:rPr>
  </w:style>
  <w:style w:type="paragraph" w:customStyle="1" w:styleId="630">
    <w:name w:val="p15"/>
    <w:basedOn w:val="1"/>
    <w:qFormat/>
    <w:uiPriority w:val="0"/>
    <w:pPr>
      <w:widowControl/>
      <w:spacing w:line="540" w:lineRule="atLeast"/>
      <w:ind w:firstLine="403"/>
    </w:pPr>
    <w:rPr>
      <w:rFonts w:hAnsi="宋体" w:cs="宋体"/>
      <w:kern w:val="0"/>
      <w:sz w:val="28"/>
      <w:szCs w:val="28"/>
    </w:rPr>
  </w:style>
  <w:style w:type="paragraph" w:customStyle="1" w:styleId="631">
    <w:name w:val="Char Char Char1 Char"/>
    <w:basedOn w:val="1"/>
    <w:qFormat/>
    <w:uiPriority w:val="0"/>
    <w:pPr>
      <w:spacing w:line="360" w:lineRule="auto"/>
      <w:ind w:firstLine="200" w:firstLineChars="200"/>
    </w:pPr>
    <w:rPr>
      <w:rFonts w:ascii="楷体" w:hAnsi="楷体" w:cs="楷体"/>
      <w:sz w:val="24"/>
      <w:szCs w:val="24"/>
    </w:rPr>
  </w:style>
  <w:style w:type="paragraph" w:customStyle="1" w:styleId="632">
    <w:name w:val="默认段落字体 Para Char Char Char Char"/>
    <w:basedOn w:val="1"/>
    <w:qFormat/>
    <w:uiPriority w:val="0"/>
    <w:rPr>
      <w:rFonts w:ascii="Times New Roman"/>
      <w:sz w:val="21"/>
      <w:szCs w:val="24"/>
    </w:rPr>
  </w:style>
  <w:style w:type="paragraph" w:customStyle="1" w:styleId="633">
    <w:name w:val="正文（首行缩进两字） Char Char Char"/>
    <w:basedOn w:val="1"/>
    <w:next w:val="20"/>
    <w:qFormat/>
    <w:uiPriority w:val="0"/>
    <w:pPr>
      <w:spacing w:line="440" w:lineRule="exact"/>
      <w:ind w:firstLine="200" w:firstLineChars="200"/>
    </w:pPr>
    <w:rPr>
      <w:rFonts w:ascii="Arial" w:hAnsi="Arial"/>
      <w:snapToGrid w:val="0"/>
      <w:sz w:val="24"/>
      <w:szCs w:val="24"/>
    </w:rPr>
  </w:style>
  <w:style w:type="paragraph" w:customStyle="1" w:styleId="634">
    <w:name w:val="样式 首行缩进:  0.99 厘米 行距: 1.5 倍行距2"/>
    <w:basedOn w:val="1"/>
    <w:qFormat/>
    <w:uiPriority w:val="0"/>
    <w:pPr>
      <w:widowControl/>
      <w:spacing w:line="360" w:lineRule="auto"/>
      <w:ind w:firstLine="560" w:firstLineChars="200"/>
      <w:jc w:val="left"/>
    </w:pPr>
    <w:rPr>
      <w:rFonts w:ascii="仿宋_GB2312" w:hAnsi="宋体" w:eastAsia="仿宋_GB2312" w:cs="宋体"/>
      <w:kern w:val="0"/>
      <w:sz w:val="28"/>
      <w:szCs w:val="24"/>
    </w:rPr>
  </w:style>
  <w:style w:type="character" w:customStyle="1" w:styleId="635">
    <w:name w:val="z-窗体底端 Char1"/>
    <w:basedOn w:val="129"/>
    <w:semiHidden/>
    <w:qFormat/>
    <w:uiPriority w:val="0"/>
    <w:rPr>
      <w:rFonts w:ascii="Arial" w:hAnsi="Arial" w:cs="Arial"/>
      <w:vanish/>
      <w:kern w:val="2"/>
      <w:sz w:val="16"/>
      <w:szCs w:val="16"/>
    </w:rPr>
  </w:style>
  <w:style w:type="paragraph" w:customStyle="1" w:styleId="636">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637">
    <w:name w:val="CM72"/>
    <w:basedOn w:val="154"/>
    <w:next w:val="154"/>
    <w:qFormat/>
    <w:uiPriority w:val="0"/>
    <w:pPr>
      <w:spacing w:line="323" w:lineRule="atLeast"/>
    </w:pPr>
    <w:rPr>
      <w:rFonts w:ascii="Sim Sun" w:hAnsi="Times New Roman" w:eastAsia="Sim Sun" w:cs="Times New Roman"/>
      <w:color w:val="auto"/>
    </w:rPr>
  </w:style>
  <w:style w:type="paragraph" w:customStyle="1" w:styleId="638">
    <w:name w:val="p21"/>
    <w:basedOn w:val="1"/>
    <w:qFormat/>
    <w:uiPriority w:val="0"/>
    <w:pPr>
      <w:widowControl/>
      <w:spacing w:beforeLines="10" w:afterLines="10" w:line="360" w:lineRule="auto"/>
      <w:ind w:firstLine="420"/>
    </w:pPr>
    <w:rPr>
      <w:rFonts w:ascii="Times New Roman"/>
      <w:color w:val="000000"/>
      <w:kern w:val="0"/>
      <w:sz w:val="24"/>
      <w:szCs w:val="24"/>
    </w:rPr>
  </w:style>
  <w:style w:type="paragraph" w:customStyle="1" w:styleId="639">
    <w:name w:val="样式 表格样式"/>
    <w:basedOn w:val="1"/>
    <w:qFormat/>
    <w:uiPriority w:val="0"/>
    <w:pPr>
      <w:snapToGrid w:val="0"/>
      <w:spacing w:line="240" w:lineRule="atLeast"/>
    </w:pPr>
    <w:rPr>
      <w:rFonts w:ascii="Times New Roman" w:cs="宋体"/>
      <w:sz w:val="21"/>
      <w:szCs w:val="20"/>
    </w:rPr>
  </w:style>
  <w:style w:type="paragraph" w:customStyle="1" w:styleId="640">
    <w:name w:val="样式 首行缩进:  2 字符 行距: 固定值 26 磅"/>
    <w:basedOn w:val="1"/>
    <w:qFormat/>
    <w:uiPriority w:val="0"/>
    <w:pPr>
      <w:widowControl/>
      <w:spacing w:line="480" w:lineRule="exact"/>
      <w:ind w:firstLine="200" w:firstLineChars="200"/>
      <w:jc w:val="left"/>
    </w:pPr>
    <w:rPr>
      <w:rFonts w:ascii="Times New Roman" w:cs="宋体"/>
      <w:kern w:val="0"/>
      <w:sz w:val="24"/>
      <w:szCs w:val="24"/>
    </w:rPr>
  </w:style>
  <w:style w:type="paragraph" w:customStyle="1" w:styleId="641">
    <w:name w:val="样式 Times New Roman 加粗 两端对齐 首行缩进:  0.85 厘米 行距: 固定值 22 磅"/>
    <w:basedOn w:val="1"/>
    <w:qFormat/>
    <w:uiPriority w:val="0"/>
    <w:pPr>
      <w:widowControl/>
      <w:spacing w:line="440" w:lineRule="exact"/>
      <w:ind w:firstLine="200" w:firstLineChars="200"/>
    </w:pPr>
    <w:rPr>
      <w:rFonts w:ascii="Times New Roman" w:cs="宋体"/>
      <w:b/>
      <w:bCs/>
      <w:kern w:val="0"/>
      <w:sz w:val="24"/>
      <w:szCs w:val="20"/>
    </w:rPr>
  </w:style>
  <w:style w:type="paragraph" w:customStyle="1" w:styleId="642">
    <w:name w:val="样式 标题 3"/>
    <w:basedOn w:val="5"/>
    <w:qFormat/>
    <w:uiPriority w:val="0"/>
    <w:pPr>
      <w:spacing w:before="0" w:after="0" w:line="480" w:lineRule="exact"/>
    </w:pPr>
    <w:rPr>
      <w:rFonts w:ascii="宋体" w:hAnsi="宋体"/>
      <w:sz w:val="24"/>
      <w:szCs w:val="20"/>
    </w:rPr>
  </w:style>
  <w:style w:type="paragraph" w:customStyle="1" w:styleId="643">
    <w:name w:val="正文标准样式"/>
    <w:basedOn w:val="1"/>
    <w:qFormat/>
    <w:uiPriority w:val="0"/>
    <w:pPr>
      <w:adjustRightInd w:val="0"/>
      <w:spacing w:line="300" w:lineRule="auto"/>
      <w:ind w:firstLine="482"/>
      <w:textAlignment w:val="baseline"/>
    </w:pPr>
    <w:rPr>
      <w:rFonts w:ascii="Times New Roman"/>
      <w:kern w:val="0"/>
      <w:sz w:val="24"/>
      <w:szCs w:val="20"/>
    </w:rPr>
  </w:style>
  <w:style w:type="paragraph" w:customStyle="1" w:styleId="644">
    <w:name w:val="样式 二级标题（赵志杰） + 段前: 0.5 行 段后: 0.5 行"/>
    <w:basedOn w:val="1"/>
    <w:qFormat/>
    <w:uiPriority w:val="0"/>
    <w:pPr>
      <w:keepNext/>
      <w:keepLines/>
      <w:spacing w:line="360" w:lineRule="auto"/>
      <w:outlineLvl w:val="1"/>
    </w:pPr>
    <w:rPr>
      <w:rFonts w:ascii="Arial" w:hAnsi="Arial" w:eastAsia="黑体" w:cs="宋体"/>
      <w:b/>
      <w:bCs/>
      <w:sz w:val="30"/>
      <w:szCs w:val="20"/>
    </w:rPr>
  </w:style>
  <w:style w:type="paragraph" w:customStyle="1" w:styleId="645">
    <w:name w:val="表中文字"/>
    <w:basedOn w:val="1"/>
    <w:qFormat/>
    <w:uiPriority w:val="0"/>
    <w:pPr>
      <w:widowControl/>
      <w:jc w:val="center"/>
    </w:pPr>
    <w:rPr>
      <w:rFonts w:ascii="Times New Roman" w:cs="宋体"/>
      <w:kern w:val="0"/>
      <w:sz w:val="21"/>
      <w:szCs w:val="24"/>
    </w:rPr>
  </w:style>
  <w:style w:type="paragraph" w:customStyle="1" w:styleId="646">
    <w:name w:val="Char1"/>
    <w:basedOn w:val="5"/>
    <w:qFormat/>
    <w:uiPriority w:val="0"/>
    <w:pPr>
      <w:tabs>
        <w:tab w:val="left" w:pos="360"/>
        <w:tab w:val="left" w:pos="900"/>
      </w:tabs>
      <w:snapToGrid w:val="0"/>
      <w:spacing w:before="120" w:after="120" w:line="360" w:lineRule="auto"/>
      <w:ind w:left="542" w:leftChars="-12" w:firstLine="200"/>
      <w:jc w:val="left"/>
    </w:pPr>
    <w:rPr>
      <w:rFonts w:eastAsia="黑体"/>
      <w:b w:val="0"/>
      <w:bCs w:val="0"/>
      <w:snapToGrid w:val="0"/>
      <w:sz w:val="24"/>
      <w:szCs w:val="24"/>
    </w:rPr>
  </w:style>
  <w:style w:type="paragraph" w:customStyle="1" w:styleId="647">
    <w:name w:val="2级"/>
    <w:basedOn w:val="1"/>
    <w:qFormat/>
    <w:uiPriority w:val="0"/>
    <w:rPr>
      <w:rFonts w:ascii="Times New Roman" w:eastAsia="黑体"/>
      <w:b/>
      <w:sz w:val="28"/>
      <w:szCs w:val="20"/>
    </w:rPr>
  </w:style>
  <w:style w:type="paragraph" w:customStyle="1" w:styleId="648">
    <w:name w:val="Char3"/>
    <w:basedOn w:val="1"/>
    <w:qFormat/>
    <w:uiPriority w:val="0"/>
    <w:pPr>
      <w:widowControl/>
      <w:adjustRightInd w:val="0"/>
      <w:snapToGrid w:val="0"/>
      <w:spacing w:line="360" w:lineRule="auto"/>
      <w:ind w:left="-48" w:firstLine="200" w:firstLineChars="200"/>
      <w:jc w:val="left"/>
    </w:pPr>
    <w:rPr>
      <w:rFonts w:ascii="Times New Roman" w:cs="宋体"/>
      <w:kern w:val="0"/>
      <w:sz w:val="24"/>
      <w:szCs w:val="24"/>
    </w:rPr>
  </w:style>
  <w:style w:type="paragraph" w:customStyle="1" w:styleId="649">
    <w:name w:val="f4"/>
    <w:basedOn w:val="1"/>
    <w:qFormat/>
    <w:uiPriority w:val="0"/>
    <w:pPr>
      <w:widowControl/>
      <w:spacing w:before="100" w:beforeAutospacing="1" w:after="100" w:afterAutospacing="1"/>
      <w:jc w:val="left"/>
    </w:pPr>
    <w:rPr>
      <w:rFonts w:hAnsi="宋体"/>
      <w:color w:val="333333"/>
      <w:kern w:val="0"/>
      <w:sz w:val="21"/>
      <w:szCs w:val="21"/>
    </w:rPr>
  </w:style>
  <w:style w:type="paragraph" w:customStyle="1" w:styleId="650">
    <w:name w:val="正文一"/>
    <w:basedOn w:val="1"/>
    <w:qFormat/>
    <w:uiPriority w:val="0"/>
    <w:pPr>
      <w:spacing w:line="460" w:lineRule="exact"/>
      <w:ind w:firstLine="200" w:firstLineChars="200"/>
    </w:pPr>
    <w:rPr>
      <w:rFonts w:ascii="Times New Roman"/>
      <w:sz w:val="24"/>
      <w:szCs w:val="20"/>
    </w:rPr>
  </w:style>
  <w:style w:type="paragraph" w:customStyle="1" w:styleId="651">
    <w:name w:val="Char Char1 Char Char Char Char Char Char Char Char Char Char Char Char Char Char Char Char Char Char Char Char1 Char"/>
    <w:basedOn w:val="1"/>
    <w:qFormat/>
    <w:uiPriority w:val="0"/>
    <w:pPr>
      <w:widowControl/>
      <w:spacing w:line="360" w:lineRule="auto"/>
      <w:ind w:firstLine="200" w:firstLineChars="200"/>
      <w:jc w:val="left"/>
    </w:pPr>
    <w:rPr>
      <w:rFonts w:hAnsi="宋体" w:cs="宋体"/>
      <w:kern w:val="0"/>
      <w:sz w:val="24"/>
      <w:szCs w:val="24"/>
    </w:rPr>
  </w:style>
  <w:style w:type="paragraph" w:customStyle="1" w:styleId="652">
    <w:name w:val="默认段落字体 Para Char Char Char Char Char Char Char Char Char Char Char Char Char"/>
    <w:basedOn w:val="1"/>
    <w:qFormat/>
    <w:uiPriority w:val="0"/>
    <w:pPr>
      <w:widowControl/>
      <w:jc w:val="left"/>
    </w:pPr>
    <w:rPr>
      <w:rFonts w:ascii="Times New Roman" w:cs="宋体"/>
      <w:kern w:val="0"/>
      <w:sz w:val="21"/>
      <w:szCs w:val="24"/>
    </w:rPr>
  </w:style>
  <w:style w:type="paragraph" w:customStyle="1" w:styleId="653">
    <w:name w:val="样式 标题 2 + 段前: 0.25 行 段后: 0.25 行"/>
    <w:basedOn w:val="4"/>
    <w:qFormat/>
    <w:uiPriority w:val="0"/>
    <w:pPr>
      <w:spacing w:before="0" w:after="0" w:line="360" w:lineRule="auto"/>
      <w:jc w:val="left"/>
    </w:pPr>
    <w:rPr>
      <w:rFonts w:ascii="Calibri" w:hAnsi="Calibri" w:cs="宋体"/>
      <w:snapToGrid/>
      <w:kern w:val="0"/>
      <w:szCs w:val="20"/>
    </w:rPr>
  </w:style>
  <w:style w:type="paragraph" w:customStyle="1" w:styleId="654">
    <w:name w:val="reader-word-layer reader-word-s10-14"/>
    <w:basedOn w:val="1"/>
    <w:qFormat/>
    <w:uiPriority w:val="0"/>
    <w:pPr>
      <w:widowControl/>
      <w:spacing w:before="100" w:beforeAutospacing="1" w:after="100" w:afterAutospacing="1"/>
      <w:jc w:val="left"/>
    </w:pPr>
    <w:rPr>
      <w:rFonts w:hAnsi="宋体" w:cs="宋体"/>
      <w:kern w:val="0"/>
      <w:sz w:val="24"/>
      <w:szCs w:val="24"/>
    </w:rPr>
  </w:style>
  <w:style w:type="paragraph" w:customStyle="1" w:styleId="655">
    <w:name w:val="样式 样式 标题 4 + 段前: 0.25 行 段后: 0.25 行3 + 段前: 0.25 行 段后: 0.25 行"/>
    <w:basedOn w:val="1"/>
    <w:qFormat/>
    <w:uiPriority w:val="0"/>
    <w:pPr>
      <w:keepNext/>
      <w:keepLines/>
      <w:tabs>
        <w:tab w:val="left" w:pos="0"/>
      </w:tabs>
      <w:spacing w:beforeLines="50" w:afterLines="50" w:line="360" w:lineRule="auto"/>
      <w:outlineLvl w:val="3"/>
    </w:pPr>
    <w:rPr>
      <w:rFonts w:ascii="Cambria" w:hAnsi="Cambria" w:cs="宋体"/>
      <w:b/>
      <w:bCs/>
      <w:sz w:val="24"/>
      <w:szCs w:val="24"/>
    </w:rPr>
  </w:style>
  <w:style w:type="paragraph" w:customStyle="1" w:styleId="656">
    <w:name w:val="Char Char Char Char Char Char Char Char Char Char1"/>
    <w:basedOn w:val="1"/>
    <w:qFormat/>
    <w:uiPriority w:val="0"/>
    <w:pPr>
      <w:widowControl/>
      <w:jc w:val="left"/>
    </w:pPr>
    <w:rPr>
      <w:rFonts w:ascii="Times New Roman" w:cs="宋体"/>
      <w:kern w:val="0"/>
      <w:sz w:val="24"/>
      <w:szCs w:val="24"/>
    </w:rPr>
  </w:style>
  <w:style w:type="paragraph" w:customStyle="1" w:styleId="657">
    <w:name w:val="样式 标题 3 + 段前: 0.5 行"/>
    <w:basedOn w:val="5"/>
    <w:qFormat/>
    <w:uiPriority w:val="0"/>
    <w:pPr>
      <w:keepNext w:val="0"/>
      <w:keepLines w:val="0"/>
      <w:spacing w:before="0" w:after="0" w:line="480" w:lineRule="exact"/>
      <w:jc w:val="center"/>
      <w:outlineLvl w:val="9"/>
    </w:pPr>
    <w:rPr>
      <w:b w:val="0"/>
      <w:bCs w:val="0"/>
      <w:sz w:val="21"/>
      <w:szCs w:val="20"/>
    </w:rPr>
  </w:style>
  <w:style w:type="paragraph" w:customStyle="1" w:styleId="658">
    <w:name w:val="样式 标题 3 + (西文) Times New Roman (中文) 宋体 小四 加粗"/>
    <w:basedOn w:val="5"/>
    <w:qFormat/>
    <w:uiPriority w:val="39"/>
    <w:pPr>
      <w:adjustRightInd w:val="0"/>
      <w:snapToGrid w:val="0"/>
      <w:spacing w:beforeLines="50" w:after="0" w:line="360" w:lineRule="auto"/>
      <w:jc w:val="left"/>
    </w:pPr>
    <w:rPr>
      <w:rFonts w:ascii="楷体_GB2312" w:hAnsi="华文楷体" w:eastAsia="楷体_GB2312"/>
      <w:sz w:val="24"/>
      <w:szCs w:val="24"/>
    </w:rPr>
  </w:style>
  <w:style w:type="paragraph" w:customStyle="1" w:styleId="659">
    <w:name w:val="样式 首行缩进:  1 厘米 行距: 固定值 24 磅"/>
    <w:basedOn w:val="1"/>
    <w:qFormat/>
    <w:uiPriority w:val="0"/>
    <w:pPr>
      <w:spacing w:line="480" w:lineRule="exact"/>
      <w:ind w:firstLine="480" w:firstLineChars="200"/>
    </w:pPr>
    <w:rPr>
      <w:rFonts w:hAnsi="宋体"/>
      <w:sz w:val="24"/>
      <w:szCs w:val="24"/>
    </w:rPr>
  </w:style>
  <w:style w:type="paragraph" w:customStyle="1" w:styleId="660">
    <w:name w:val="Char Char1 Char Char Char Char Char Char Char Char Char Char Char Char Char Char Char Char Char Char Char Char1 Char1"/>
    <w:basedOn w:val="1"/>
    <w:qFormat/>
    <w:uiPriority w:val="0"/>
    <w:pPr>
      <w:spacing w:line="360" w:lineRule="auto"/>
      <w:ind w:firstLine="200" w:firstLineChars="200"/>
    </w:pPr>
    <w:rPr>
      <w:rFonts w:hAnsi="宋体" w:cs="宋体"/>
      <w:sz w:val="24"/>
      <w:szCs w:val="24"/>
    </w:rPr>
  </w:style>
  <w:style w:type="paragraph" w:customStyle="1" w:styleId="661">
    <w:name w:val="样式 四号 首行缩进:  2 字符"/>
    <w:basedOn w:val="1"/>
    <w:qFormat/>
    <w:uiPriority w:val="0"/>
    <w:pPr>
      <w:spacing w:line="480" w:lineRule="atLeast"/>
      <w:ind w:firstLine="480" w:firstLineChars="200"/>
    </w:pPr>
    <w:rPr>
      <w:rFonts w:ascii="Times New Roman"/>
      <w:sz w:val="24"/>
      <w:szCs w:val="20"/>
    </w:rPr>
  </w:style>
  <w:style w:type="paragraph" w:customStyle="1" w:styleId="662">
    <w:name w:val="样式 (中文) 黑体"/>
    <w:basedOn w:val="1"/>
    <w:qFormat/>
    <w:uiPriority w:val="0"/>
    <w:pPr>
      <w:widowControl/>
      <w:spacing w:line="480" w:lineRule="exact"/>
      <w:ind w:firstLine="567"/>
      <w:jc w:val="left"/>
    </w:pPr>
    <w:rPr>
      <w:rFonts w:ascii="Times New Roman" w:eastAsia="黑体" w:cs="宋体"/>
      <w:kern w:val="0"/>
      <w:sz w:val="24"/>
      <w:szCs w:val="24"/>
    </w:rPr>
  </w:style>
  <w:style w:type="paragraph" w:customStyle="1" w:styleId="663">
    <w:name w:val="样式 标题 3 + 宋体 黑色 首行缩进:  2 字符 段前: 6 磅 段后: 6 磅 行距: 最小值 24 磅"/>
    <w:basedOn w:val="5"/>
    <w:qFormat/>
    <w:uiPriority w:val="0"/>
    <w:pPr>
      <w:widowControl/>
      <w:adjustRightInd w:val="0"/>
      <w:snapToGrid w:val="0"/>
      <w:spacing w:before="120" w:after="120" w:line="480" w:lineRule="atLeast"/>
      <w:ind w:firstLine="200"/>
      <w:jc w:val="left"/>
    </w:pPr>
    <w:rPr>
      <w:rFonts w:ascii="宋体" w:hAnsi="宋体" w:cs="宋体"/>
      <w:color w:val="000000"/>
      <w:kern w:val="0"/>
      <w:sz w:val="28"/>
      <w:szCs w:val="28"/>
    </w:rPr>
  </w:style>
  <w:style w:type="paragraph" w:customStyle="1" w:styleId="664">
    <w:name w:val="二 Char"/>
    <w:basedOn w:val="1"/>
    <w:link w:val="665"/>
    <w:qFormat/>
    <w:uiPriority w:val="0"/>
    <w:rPr>
      <w:rFonts w:ascii="黑体" w:eastAsia="黑体"/>
      <w:b/>
      <w:sz w:val="24"/>
      <w:szCs w:val="20"/>
    </w:rPr>
  </w:style>
  <w:style w:type="character" w:customStyle="1" w:styleId="665">
    <w:name w:val="二 Char Char Char"/>
    <w:link w:val="664"/>
    <w:qFormat/>
    <w:uiPriority w:val="0"/>
    <w:rPr>
      <w:rFonts w:ascii="黑体" w:eastAsia="黑体"/>
      <w:b/>
      <w:kern w:val="2"/>
      <w:sz w:val="24"/>
    </w:rPr>
  </w:style>
  <w:style w:type="paragraph" w:customStyle="1" w:styleId="666">
    <w:name w:val="5-正文"/>
    <w:basedOn w:val="1"/>
    <w:link w:val="667"/>
    <w:qFormat/>
    <w:uiPriority w:val="0"/>
    <w:pPr>
      <w:snapToGrid w:val="0"/>
      <w:spacing w:line="360" w:lineRule="auto"/>
      <w:ind w:firstLine="480" w:firstLineChars="200"/>
    </w:pPr>
    <w:rPr>
      <w:rFonts w:ascii="Times New Roman"/>
      <w:kern w:val="0"/>
      <w:sz w:val="21"/>
      <w:szCs w:val="20"/>
    </w:rPr>
  </w:style>
  <w:style w:type="character" w:customStyle="1" w:styleId="667">
    <w:name w:val="5-正文 Char Char"/>
    <w:link w:val="666"/>
    <w:qFormat/>
    <w:uiPriority w:val="0"/>
    <w:rPr>
      <w:sz w:val="21"/>
    </w:rPr>
  </w:style>
  <w:style w:type="paragraph" w:customStyle="1" w:styleId="668">
    <w:name w:val="正文（首行缩进两字） Char Char Char2"/>
    <w:basedOn w:val="1"/>
    <w:next w:val="20"/>
    <w:link w:val="669"/>
    <w:qFormat/>
    <w:uiPriority w:val="0"/>
    <w:pPr>
      <w:spacing w:line="440" w:lineRule="exact"/>
      <w:ind w:firstLine="200" w:firstLineChars="200"/>
    </w:pPr>
    <w:rPr>
      <w:rFonts w:ascii="Arial" w:hAnsi="Arial"/>
      <w:color w:val="000000"/>
      <w:sz w:val="24"/>
      <w:szCs w:val="20"/>
    </w:rPr>
  </w:style>
  <w:style w:type="character" w:customStyle="1" w:styleId="669">
    <w:name w:val="正文（首行缩进两字） Char Char1 Char"/>
    <w:link w:val="668"/>
    <w:qFormat/>
    <w:uiPriority w:val="0"/>
    <w:rPr>
      <w:rFonts w:ascii="Arial" w:hAnsi="Arial"/>
      <w:color w:val="000000"/>
      <w:kern w:val="2"/>
      <w:sz w:val="24"/>
    </w:rPr>
  </w:style>
  <w:style w:type="paragraph" w:customStyle="1" w:styleId="670">
    <w:name w:val="表格头"/>
    <w:link w:val="671"/>
    <w:qFormat/>
    <w:uiPriority w:val="0"/>
    <w:pPr>
      <w:spacing w:beforeLines="100" w:afterLines="50"/>
      <w:ind w:left="238" w:right="238"/>
      <w:jc w:val="center"/>
    </w:pPr>
    <w:rPr>
      <w:rFonts w:ascii="Tahoma" w:hAnsi="Tahoma" w:eastAsia="黑体" w:cs="Times New Roman"/>
      <w:b/>
      <w:snapToGrid w:val="0"/>
      <w:color w:val="000000"/>
      <w:spacing w:val="-4"/>
      <w:kern w:val="2"/>
      <w:sz w:val="24"/>
      <w:lang w:val="en-US" w:eastAsia="zh-CN" w:bidi="ar-SA"/>
    </w:rPr>
  </w:style>
  <w:style w:type="character" w:customStyle="1" w:styleId="671">
    <w:name w:val="表格头 Char Char"/>
    <w:link w:val="670"/>
    <w:qFormat/>
    <w:uiPriority w:val="0"/>
    <w:rPr>
      <w:rFonts w:ascii="Tahoma" w:hAnsi="Tahoma" w:eastAsia="黑体"/>
      <w:b/>
      <w:snapToGrid w:val="0"/>
      <w:color w:val="000000"/>
      <w:spacing w:val="-4"/>
      <w:kern w:val="2"/>
      <w:sz w:val="24"/>
    </w:rPr>
  </w:style>
  <w:style w:type="paragraph" w:customStyle="1" w:styleId="672">
    <w:name w:val="表标题"/>
    <w:basedOn w:val="1"/>
    <w:link w:val="673"/>
    <w:qFormat/>
    <w:uiPriority w:val="0"/>
    <w:pPr>
      <w:widowControl/>
      <w:spacing w:line="360" w:lineRule="auto"/>
      <w:jc w:val="center"/>
    </w:pPr>
    <w:rPr>
      <w:rFonts w:hAnsi="宋体" w:cs="宋体"/>
      <w:b/>
      <w:bCs/>
      <w:color w:val="000000"/>
      <w:kern w:val="0"/>
      <w:sz w:val="24"/>
      <w:szCs w:val="24"/>
    </w:rPr>
  </w:style>
  <w:style w:type="character" w:customStyle="1" w:styleId="673">
    <w:name w:val="表标题 Char"/>
    <w:link w:val="672"/>
    <w:qFormat/>
    <w:uiPriority w:val="0"/>
    <w:rPr>
      <w:rFonts w:ascii="宋体" w:hAnsi="宋体" w:cs="宋体"/>
      <w:b/>
      <w:bCs/>
      <w:color w:val="000000"/>
      <w:sz w:val="24"/>
      <w:szCs w:val="24"/>
    </w:rPr>
  </w:style>
  <w:style w:type="paragraph" w:customStyle="1" w:styleId="674">
    <w:name w:val="样式 标题 3Re + 宋体 小四 非加粗 段前: 0 磅 段后: 0 磅 行距: 固定值 24 磅"/>
    <w:basedOn w:val="5"/>
    <w:qFormat/>
    <w:uiPriority w:val="0"/>
    <w:pPr>
      <w:widowControl/>
      <w:spacing w:before="0" w:after="0" w:line="480" w:lineRule="exact"/>
      <w:jc w:val="left"/>
    </w:pPr>
    <w:rPr>
      <w:rFonts w:ascii="黑体" w:hAnsi="宋体" w:eastAsia="黑体" w:cs="宋体"/>
      <w:b w:val="0"/>
      <w:bCs w:val="0"/>
      <w:kern w:val="0"/>
      <w:sz w:val="24"/>
      <w:szCs w:val="24"/>
    </w:rPr>
  </w:style>
  <w:style w:type="paragraph" w:customStyle="1" w:styleId="675">
    <w:name w:val="封面标准文稿类别"/>
    <w:qFormat/>
    <w:uiPriority w:val="0"/>
    <w:pPr>
      <w:spacing w:before="440" w:line="400" w:lineRule="atLeast"/>
      <w:jc w:val="center"/>
    </w:pPr>
    <w:rPr>
      <w:rFonts w:hint="eastAsia" w:ascii="宋体" w:hAnsi="Times New Roman" w:eastAsia="宋体" w:cs="Times New Roman"/>
      <w:sz w:val="24"/>
      <w:lang w:val="en-US" w:eastAsia="zh-CN" w:bidi="ar-SA"/>
    </w:rPr>
  </w:style>
  <w:style w:type="paragraph" w:customStyle="1" w:styleId="676">
    <w:name w:val="6"/>
    <w:basedOn w:val="5"/>
    <w:qFormat/>
    <w:uiPriority w:val="0"/>
    <w:pPr>
      <w:widowControl/>
      <w:tabs>
        <w:tab w:val="left" w:pos="360"/>
        <w:tab w:val="left" w:pos="900"/>
      </w:tabs>
      <w:snapToGrid w:val="0"/>
      <w:spacing w:before="120" w:after="120" w:line="360" w:lineRule="auto"/>
      <w:ind w:left="542" w:leftChars="-12" w:firstLine="200"/>
      <w:jc w:val="left"/>
    </w:pPr>
    <w:rPr>
      <w:rFonts w:eastAsia="黑体" w:cs="宋体"/>
      <w:b w:val="0"/>
      <w:bCs w:val="0"/>
      <w:snapToGrid w:val="0"/>
      <w:kern w:val="0"/>
      <w:sz w:val="24"/>
      <w:szCs w:val="24"/>
    </w:rPr>
  </w:style>
  <w:style w:type="paragraph" w:customStyle="1" w:styleId="677">
    <w:name w:val="style2"/>
    <w:basedOn w:val="1"/>
    <w:qFormat/>
    <w:uiPriority w:val="0"/>
    <w:pPr>
      <w:widowControl/>
      <w:spacing w:before="100" w:beforeAutospacing="1" w:after="100" w:afterAutospacing="1"/>
      <w:jc w:val="left"/>
    </w:pPr>
    <w:rPr>
      <w:rFonts w:hAnsi="宋体" w:cs="宋体"/>
      <w:kern w:val="0"/>
      <w:sz w:val="27"/>
      <w:szCs w:val="27"/>
    </w:rPr>
  </w:style>
  <w:style w:type="paragraph" w:customStyle="1" w:styleId="678">
    <w:name w:val="样式6"/>
    <w:basedOn w:val="1"/>
    <w:link w:val="679"/>
    <w:qFormat/>
    <w:uiPriority w:val="0"/>
    <w:pPr>
      <w:snapToGrid w:val="0"/>
      <w:jc w:val="center"/>
    </w:pPr>
    <w:rPr>
      <w:rFonts w:ascii="Arial" w:hAnsi="Arial" w:cs="Arial"/>
      <w:sz w:val="24"/>
      <w:szCs w:val="24"/>
    </w:rPr>
  </w:style>
  <w:style w:type="character" w:customStyle="1" w:styleId="679">
    <w:name w:val="样式6 Char"/>
    <w:link w:val="678"/>
    <w:qFormat/>
    <w:uiPriority w:val="0"/>
    <w:rPr>
      <w:rFonts w:ascii="Arial" w:hAnsi="Arial" w:cs="Arial"/>
      <w:kern w:val="2"/>
      <w:sz w:val="24"/>
      <w:szCs w:val="24"/>
    </w:rPr>
  </w:style>
  <w:style w:type="paragraph" w:customStyle="1" w:styleId="680">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681">
    <w:name w:val="二级无标题条"/>
    <w:basedOn w:val="1"/>
    <w:qFormat/>
    <w:uiPriority w:val="0"/>
    <w:rPr>
      <w:rFonts w:ascii="Times New Roman"/>
      <w:sz w:val="21"/>
      <w:szCs w:val="24"/>
    </w:rPr>
  </w:style>
  <w:style w:type="paragraph" w:customStyle="1" w:styleId="682">
    <w:name w:val="表头及表尾"/>
    <w:link w:val="683"/>
    <w:qFormat/>
    <w:uiPriority w:val="0"/>
    <w:pPr>
      <w:tabs>
        <w:tab w:val="center" w:pos="4200"/>
        <w:tab w:val="right" w:pos="8400"/>
      </w:tabs>
      <w:adjustRightInd w:val="0"/>
      <w:snapToGrid w:val="0"/>
    </w:pPr>
    <w:rPr>
      <w:rFonts w:ascii="Times New Roman" w:hAnsi="Times New Roman" w:eastAsia="宋体" w:cs="Times New Roman"/>
      <w:b/>
      <w:snapToGrid w:val="0"/>
      <w:sz w:val="21"/>
      <w:szCs w:val="21"/>
      <w:lang w:val="en-US" w:eastAsia="zh-CN" w:bidi="ar-SA"/>
    </w:rPr>
  </w:style>
  <w:style w:type="character" w:customStyle="1" w:styleId="683">
    <w:name w:val="表头及表尾 Char Char"/>
    <w:link w:val="682"/>
    <w:qFormat/>
    <w:uiPriority w:val="0"/>
    <w:rPr>
      <w:b/>
      <w:snapToGrid w:val="0"/>
      <w:sz w:val="21"/>
      <w:szCs w:val="21"/>
    </w:rPr>
  </w:style>
  <w:style w:type="paragraph" w:customStyle="1" w:styleId="684">
    <w:name w:val="reader-word-layer reader-word-s10-7"/>
    <w:basedOn w:val="1"/>
    <w:qFormat/>
    <w:uiPriority w:val="0"/>
    <w:pPr>
      <w:widowControl/>
      <w:spacing w:before="100" w:beforeAutospacing="1" w:after="100" w:afterAutospacing="1"/>
      <w:jc w:val="left"/>
    </w:pPr>
    <w:rPr>
      <w:rFonts w:hAnsi="宋体" w:cs="宋体"/>
      <w:kern w:val="0"/>
      <w:sz w:val="24"/>
      <w:szCs w:val="24"/>
    </w:rPr>
  </w:style>
  <w:style w:type="paragraph" w:customStyle="1" w:styleId="685">
    <w:name w:val="样式9"/>
    <w:basedOn w:val="4"/>
    <w:qFormat/>
    <w:uiPriority w:val="0"/>
    <w:pPr>
      <w:widowControl/>
      <w:tabs>
        <w:tab w:val="left" w:pos="1260"/>
        <w:tab w:val="left" w:pos="1680"/>
      </w:tabs>
      <w:spacing w:before="0" w:after="0" w:line="300" w:lineRule="auto"/>
      <w:ind w:left="1260" w:hanging="420"/>
      <w:jc w:val="left"/>
    </w:pPr>
    <w:rPr>
      <w:rFonts w:ascii="宋体" w:hAnsi="宋体" w:eastAsia="楷体_GB2312" w:cs="宋体"/>
      <w:b w:val="0"/>
      <w:bCs w:val="0"/>
      <w:snapToGrid/>
      <w:spacing w:val="-10"/>
      <w:kern w:val="0"/>
      <w:sz w:val="30"/>
      <w:szCs w:val="20"/>
    </w:rPr>
  </w:style>
  <w:style w:type="paragraph" w:customStyle="1" w:styleId="686">
    <w:name w:val="正文(首行缩进两字2)"/>
    <w:basedOn w:val="20"/>
    <w:qFormat/>
    <w:uiPriority w:val="0"/>
    <w:pPr>
      <w:topLinePunct/>
      <w:spacing w:after="120"/>
      <w:ind w:left="400" w:leftChars="200" w:firstLine="0"/>
      <w:jc w:val="center"/>
    </w:pPr>
    <w:rPr>
      <w:rFonts w:ascii="宋体" w:hAnsi="宋体" w:eastAsia="宋体"/>
      <w:color w:val="000000"/>
      <w:szCs w:val="21"/>
    </w:rPr>
  </w:style>
  <w:style w:type="paragraph" w:customStyle="1" w:styleId="687">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Times New Roman" w:eastAsia="Arial Unicode MS" w:cs="宋体"/>
      <w:kern w:val="0"/>
      <w:sz w:val="20"/>
      <w:szCs w:val="24"/>
    </w:rPr>
  </w:style>
  <w:style w:type="paragraph" w:customStyle="1" w:styleId="688">
    <w:name w:val="2 Char"/>
    <w:basedOn w:val="1"/>
    <w:qFormat/>
    <w:uiPriority w:val="0"/>
    <w:pPr>
      <w:adjustRightInd w:val="0"/>
      <w:spacing w:line="360" w:lineRule="auto"/>
      <w:textAlignment w:val="baseline"/>
    </w:pPr>
    <w:rPr>
      <w:rFonts w:ascii="Times New Roman"/>
      <w:kern w:val="0"/>
      <w:sz w:val="24"/>
      <w:szCs w:val="20"/>
    </w:rPr>
  </w:style>
  <w:style w:type="paragraph" w:customStyle="1" w:styleId="68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kern w:val="0"/>
      <w:sz w:val="21"/>
      <w:szCs w:val="21"/>
    </w:rPr>
  </w:style>
  <w:style w:type="paragraph" w:customStyle="1" w:styleId="690">
    <w:name w:val="样式 标题 3Re + 黑体 小四 非加粗 红色 段前: 0 磅 段后: 0 磅 行距: 固定值 24 磅"/>
    <w:basedOn w:val="5"/>
    <w:qFormat/>
    <w:uiPriority w:val="0"/>
    <w:pPr>
      <w:widowControl/>
      <w:spacing w:before="0" w:after="0" w:line="480" w:lineRule="exact"/>
      <w:jc w:val="left"/>
    </w:pPr>
    <w:rPr>
      <w:rFonts w:ascii="黑体" w:hAnsi="黑体" w:eastAsia="黑体" w:cs="宋体"/>
      <w:b w:val="0"/>
      <w:bCs w:val="0"/>
      <w:kern w:val="0"/>
      <w:sz w:val="24"/>
      <w:szCs w:val="24"/>
    </w:rPr>
  </w:style>
  <w:style w:type="paragraph" w:customStyle="1" w:styleId="691">
    <w:name w:val="font0"/>
    <w:basedOn w:val="1"/>
    <w:qFormat/>
    <w:uiPriority w:val="0"/>
    <w:pPr>
      <w:widowControl/>
      <w:spacing w:before="100" w:beforeAutospacing="1" w:after="100" w:afterAutospacing="1"/>
      <w:jc w:val="left"/>
    </w:pPr>
    <w:rPr>
      <w:rFonts w:hint="eastAsia" w:hAnsi="宋体" w:cs="宋体"/>
      <w:kern w:val="0"/>
      <w:sz w:val="24"/>
      <w:szCs w:val="24"/>
    </w:rPr>
  </w:style>
  <w:style w:type="paragraph" w:customStyle="1" w:styleId="692">
    <w:name w:val="默认段落字体 Para Char Char Char Char Char Char Char Char Char Char"/>
    <w:basedOn w:val="5"/>
    <w:qFormat/>
    <w:uiPriority w:val="0"/>
    <w:pPr>
      <w:tabs>
        <w:tab w:val="left" w:pos="360"/>
        <w:tab w:val="left" w:pos="900"/>
      </w:tabs>
      <w:snapToGrid w:val="0"/>
      <w:spacing w:beforeLines="10" w:afterLines="10" w:line="416" w:lineRule="auto"/>
      <w:ind w:left="542" w:leftChars="-12" w:firstLine="200"/>
      <w:jc w:val="left"/>
    </w:pPr>
    <w:rPr>
      <w:rFonts w:eastAsia="黑体"/>
      <w:bCs w:val="0"/>
      <w:snapToGrid w:val="0"/>
      <w:sz w:val="32"/>
      <w:szCs w:val="24"/>
    </w:rPr>
  </w:style>
  <w:style w:type="paragraph" w:customStyle="1" w:styleId="693">
    <w:name w:val="正文3"/>
    <w:basedOn w:val="1"/>
    <w:qFormat/>
    <w:uiPriority w:val="0"/>
    <w:pPr>
      <w:adjustRightInd w:val="0"/>
      <w:spacing w:line="480" w:lineRule="exact"/>
    </w:pPr>
    <w:rPr>
      <w:rFonts w:ascii="Times New Roman"/>
      <w:spacing w:val="-2"/>
      <w:kern w:val="0"/>
      <w:sz w:val="28"/>
      <w:szCs w:val="20"/>
    </w:rPr>
  </w:style>
  <w:style w:type="paragraph" w:customStyle="1" w:styleId="694">
    <w:name w:val="正文首缩快"/>
    <w:basedOn w:val="1"/>
    <w:qFormat/>
    <w:uiPriority w:val="0"/>
    <w:pPr>
      <w:ind w:firstLine="539"/>
    </w:pPr>
    <w:rPr>
      <w:rFonts w:ascii="Times New Roman"/>
      <w:sz w:val="28"/>
      <w:szCs w:val="20"/>
    </w:rPr>
  </w:style>
  <w:style w:type="paragraph" w:customStyle="1" w:styleId="695">
    <w:name w:val="标题04"/>
    <w:basedOn w:val="6"/>
    <w:qFormat/>
    <w:uiPriority w:val="0"/>
    <w:pPr>
      <w:keepNext/>
      <w:keepLines/>
      <w:widowControl/>
      <w:tabs>
        <w:tab w:val="left" w:pos="1890"/>
        <w:tab w:val="clear" w:pos="360"/>
        <w:tab w:val="clear" w:pos="2207"/>
      </w:tabs>
      <w:spacing w:afterLines="20" w:line="360" w:lineRule="auto"/>
      <w:jc w:val="left"/>
    </w:pPr>
    <w:rPr>
      <w:rFonts w:ascii="Arial" w:hAnsi="Arial" w:eastAsia="仿宋_GB2312"/>
      <w:b/>
      <w:bCs/>
      <w:color w:val="auto"/>
      <w:kern w:val="0"/>
      <w:szCs w:val="28"/>
    </w:rPr>
  </w:style>
  <w:style w:type="paragraph" w:customStyle="1" w:styleId="696">
    <w:name w:val="表格标题"/>
    <w:basedOn w:val="1"/>
    <w:qFormat/>
    <w:uiPriority w:val="0"/>
    <w:pPr>
      <w:overflowPunct w:val="0"/>
      <w:topLinePunct/>
      <w:autoSpaceDE w:val="0"/>
      <w:autoSpaceDN w:val="0"/>
      <w:adjustRightInd w:val="0"/>
      <w:snapToGrid w:val="0"/>
      <w:spacing w:line="520" w:lineRule="exact"/>
      <w:ind w:firstLine="567"/>
      <w:textAlignment w:val="baseline"/>
    </w:pPr>
    <w:rPr>
      <w:rFonts w:ascii="Times New Roman" w:eastAsia="黑体"/>
      <w:b/>
      <w:spacing w:val="6"/>
      <w:kern w:val="0"/>
      <w:sz w:val="21"/>
      <w:szCs w:val="20"/>
    </w:rPr>
  </w:style>
  <w:style w:type="paragraph" w:customStyle="1" w:styleId="697">
    <w:name w:val="表格字体"/>
    <w:basedOn w:val="150"/>
    <w:qFormat/>
    <w:uiPriority w:val="0"/>
    <w:pPr>
      <w:adjustRightInd w:val="0"/>
      <w:spacing w:line="300" w:lineRule="exact"/>
      <w:ind w:firstLine="0" w:firstLineChars="0"/>
      <w:jc w:val="center"/>
    </w:pPr>
    <w:rPr>
      <w:sz w:val="18"/>
    </w:rPr>
  </w:style>
  <w:style w:type="paragraph" w:customStyle="1" w:styleId="69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8000"/>
      <w:kern w:val="0"/>
      <w:sz w:val="20"/>
      <w:szCs w:val="24"/>
    </w:rPr>
  </w:style>
  <w:style w:type="paragraph" w:customStyle="1" w:styleId="699">
    <w:name w:val="表内字"/>
    <w:link w:val="700"/>
    <w:qFormat/>
    <w:uiPriority w:val="0"/>
    <w:pPr>
      <w:spacing w:line="312" w:lineRule="auto"/>
      <w:jc w:val="center"/>
    </w:pPr>
    <w:rPr>
      <w:rFonts w:ascii="Times New Roman" w:hAnsi="Times New Roman" w:eastAsia="宋体" w:cs="Times New Roman"/>
      <w:color w:val="000000"/>
      <w:sz w:val="21"/>
      <w:lang w:val="en-US" w:eastAsia="zh-CN" w:bidi="ar-SA"/>
    </w:rPr>
  </w:style>
  <w:style w:type="character" w:customStyle="1" w:styleId="700">
    <w:name w:val="表内字 Char1"/>
    <w:link w:val="699"/>
    <w:qFormat/>
    <w:uiPriority w:val="0"/>
    <w:rPr>
      <w:color w:val="000000"/>
      <w:sz w:val="21"/>
    </w:rPr>
  </w:style>
  <w:style w:type="paragraph" w:customStyle="1" w:styleId="701">
    <w:name w:val="Char11"/>
    <w:basedOn w:val="1"/>
    <w:qFormat/>
    <w:uiPriority w:val="0"/>
    <w:pPr>
      <w:spacing w:line="360" w:lineRule="auto"/>
      <w:ind w:firstLine="200" w:firstLineChars="200"/>
    </w:pPr>
    <w:rPr>
      <w:rFonts w:hAnsi="宋体" w:cs="宋体"/>
      <w:sz w:val="24"/>
      <w:szCs w:val="24"/>
    </w:rPr>
  </w:style>
  <w:style w:type="paragraph" w:customStyle="1" w:styleId="702">
    <w:name w:val="样式 红色 首行缩进:  2 字符"/>
    <w:basedOn w:val="1"/>
    <w:qFormat/>
    <w:uiPriority w:val="0"/>
    <w:pPr>
      <w:widowControl/>
      <w:spacing w:line="480" w:lineRule="exact"/>
      <w:ind w:firstLine="480" w:firstLineChars="200"/>
      <w:jc w:val="left"/>
    </w:pPr>
    <w:rPr>
      <w:rFonts w:ascii="Times New Roman" w:cs="宋体"/>
      <w:color w:val="FF0000"/>
      <w:kern w:val="0"/>
      <w:sz w:val="24"/>
      <w:szCs w:val="24"/>
    </w:rPr>
  </w:style>
  <w:style w:type="paragraph" w:customStyle="1" w:styleId="703">
    <w:name w:val="Char Char1 Char Char Char Char Char Char Char Char Char Char Char Char Char Char1 Char Char Char Char Char Char1"/>
    <w:basedOn w:val="1"/>
    <w:qFormat/>
    <w:uiPriority w:val="0"/>
    <w:pPr>
      <w:widowControl/>
      <w:spacing w:afterLines="50" w:line="300" w:lineRule="auto"/>
      <w:ind w:firstLine="200" w:firstLineChars="200"/>
      <w:jc w:val="left"/>
    </w:pPr>
    <w:rPr>
      <w:rFonts w:ascii="Times New Roman" w:cs="宋体"/>
      <w:kern w:val="0"/>
      <w:sz w:val="21"/>
      <w:szCs w:val="24"/>
    </w:rPr>
  </w:style>
  <w:style w:type="paragraph" w:customStyle="1" w:styleId="704">
    <w:name w:val="默认段落字体 Para Char"/>
    <w:basedOn w:val="1"/>
    <w:qFormat/>
    <w:uiPriority w:val="0"/>
    <w:rPr>
      <w:rFonts w:ascii="Times New Roman"/>
      <w:sz w:val="24"/>
      <w:szCs w:val="24"/>
    </w:rPr>
  </w:style>
  <w:style w:type="paragraph" w:customStyle="1" w:styleId="705">
    <w:name w:val="正文 + 黑体"/>
    <w:basedOn w:val="1"/>
    <w:qFormat/>
    <w:uiPriority w:val="0"/>
    <w:pPr>
      <w:widowControl/>
      <w:spacing w:before="100" w:beforeAutospacing="1" w:after="100" w:afterAutospacing="1"/>
      <w:jc w:val="center"/>
    </w:pPr>
    <w:rPr>
      <w:rFonts w:ascii="黑体" w:hAnsi="宋体" w:eastAsia="黑体" w:cs="宋体"/>
      <w:color w:val="000000"/>
      <w:kern w:val="0"/>
      <w:sz w:val="18"/>
      <w:szCs w:val="18"/>
    </w:rPr>
  </w:style>
  <w:style w:type="paragraph" w:customStyle="1" w:styleId="706">
    <w:name w:val="reader-word-layer reader-word-s10-3"/>
    <w:basedOn w:val="1"/>
    <w:qFormat/>
    <w:uiPriority w:val="0"/>
    <w:pPr>
      <w:widowControl/>
      <w:spacing w:before="100" w:beforeAutospacing="1" w:after="100" w:afterAutospacing="1"/>
      <w:jc w:val="left"/>
    </w:pPr>
    <w:rPr>
      <w:rFonts w:hAnsi="宋体" w:cs="宋体"/>
      <w:kern w:val="0"/>
      <w:sz w:val="24"/>
      <w:szCs w:val="24"/>
    </w:rPr>
  </w:style>
  <w:style w:type="paragraph" w:customStyle="1" w:styleId="707">
    <w:name w:val="Char Char5 Char Char Char Char Char Char Char Char Char Char Char Char Char Char Char1 Char"/>
    <w:basedOn w:val="5"/>
    <w:qFormat/>
    <w:uiPriority w:val="0"/>
    <w:pPr>
      <w:tabs>
        <w:tab w:val="left" w:pos="360"/>
        <w:tab w:val="left" w:pos="900"/>
      </w:tabs>
      <w:snapToGrid w:val="0"/>
      <w:spacing w:before="120" w:after="120" w:line="360" w:lineRule="auto"/>
      <w:ind w:left="542" w:leftChars="-12" w:firstLine="200"/>
      <w:jc w:val="left"/>
    </w:pPr>
    <w:rPr>
      <w:bCs w:val="0"/>
      <w:sz w:val="21"/>
      <w:szCs w:val="20"/>
    </w:rPr>
  </w:style>
  <w:style w:type="paragraph" w:customStyle="1" w:styleId="708">
    <w:name w:val="Char1 Char Char Char1"/>
    <w:basedOn w:val="5"/>
    <w:qFormat/>
    <w:uiPriority w:val="0"/>
    <w:pPr>
      <w:spacing w:beforeLines="10" w:afterLines="10" w:line="360" w:lineRule="auto"/>
      <w:ind w:firstLine="200"/>
    </w:pPr>
    <w:rPr>
      <w:rFonts w:ascii="宋体" w:hAnsi="宋体" w:cs="宋体"/>
      <w:sz w:val="24"/>
      <w:szCs w:val="24"/>
    </w:rPr>
  </w:style>
  <w:style w:type="paragraph" w:customStyle="1" w:styleId="709">
    <w:name w:val="样式 样式 标题 2节 + (西文) Times New Roman (中文) 宋体 四号 段前: 0.5 行 段后: 0......"/>
    <w:basedOn w:val="1"/>
    <w:qFormat/>
    <w:uiPriority w:val="39"/>
    <w:pPr>
      <w:keepNext/>
      <w:keepLines/>
      <w:tabs>
        <w:tab w:val="left" w:pos="1021"/>
      </w:tabs>
      <w:adjustRightInd w:val="0"/>
      <w:snapToGrid w:val="0"/>
      <w:spacing w:beforeLines="50" w:line="300" w:lineRule="auto"/>
      <w:ind w:left="1021" w:hanging="397"/>
      <w:outlineLvl w:val="1"/>
    </w:pPr>
    <w:rPr>
      <w:rFonts w:ascii="楷体_GB2312" w:hAnsi="华文楷体" w:eastAsia="楷体_GB2312"/>
      <w:b/>
      <w:bCs/>
      <w:sz w:val="28"/>
      <w:szCs w:val="28"/>
    </w:rPr>
  </w:style>
  <w:style w:type="paragraph" w:customStyle="1" w:styleId="710">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hAnsi="宋体"/>
      <w:kern w:val="0"/>
      <w:sz w:val="24"/>
      <w:szCs w:val="24"/>
    </w:rPr>
  </w:style>
  <w:style w:type="paragraph" w:customStyle="1" w:styleId="711">
    <w:name w:val="表标"/>
    <w:basedOn w:val="1"/>
    <w:next w:val="1"/>
    <w:qFormat/>
    <w:uiPriority w:val="0"/>
    <w:pPr>
      <w:keepNext/>
      <w:keepLines/>
      <w:widowControl/>
      <w:autoSpaceDE w:val="0"/>
      <w:autoSpaceDN w:val="0"/>
      <w:adjustRightInd w:val="0"/>
      <w:snapToGrid w:val="0"/>
      <w:spacing w:before="80" w:after="80" w:line="300" w:lineRule="auto"/>
      <w:jc w:val="center"/>
    </w:pPr>
    <w:rPr>
      <w:rFonts w:ascii="黑体" w:eastAsia="黑体" w:cs="宋体"/>
      <w:color w:val="000000"/>
      <w:kern w:val="0"/>
      <w:sz w:val="24"/>
      <w:szCs w:val="24"/>
    </w:rPr>
  </w:style>
  <w:style w:type="paragraph" w:customStyle="1" w:styleId="712">
    <w:name w:val="标准条文"/>
    <w:basedOn w:val="154"/>
    <w:next w:val="154"/>
    <w:qFormat/>
    <w:uiPriority w:val="0"/>
    <w:rPr>
      <w:rFonts w:ascii="宋体" w:hAnsi="Times New Roman" w:eastAsia="宋体" w:cs="Times New Roman"/>
      <w:color w:val="auto"/>
    </w:rPr>
  </w:style>
  <w:style w:type="paragraph" w:customStyle="1" w:styleId="713">
    <w:name w:val="样式 Times New Roman 行距: 固定值 22 磅"/>
    <w:qFormat/>
    <w:uiPriority w:val="0"/>
    <w:pPr>
      <w:spacing w:line="440" w:lineRule="exact"/>
      <w:ind w:firstLine="480" w:firstLineChars="200"/>
      <w:jc w:val="both"/>
    </w:pPr>
    <w:rPr>
      <w:rFonts w:ascii="Times New Roman" w:hAnsi="Times New Roman" w:eastAsia="宋体" w:cs="Times New Roman"/>
      <w:lang w:val="en-US" w:eastAsia="zh-CN" w:bidi="ar-SA"/>
    </w:rPr>
  </w:style>
  <w:style w:type="paragraph" w:customStyle="1" w:styleId="714">
    <w:name w:val="表格式"/>
    <w:basedOn w:val="62"/>
    <w:qFormat/>
    <w:uiPriority w:val="0"/>
    <w:pPr>
      <w:spacing w:beforeLines="50" w:afterLines="50" w:line="200" w:lineRule="exact"/>
      <w:ind w:left="0" w:firstLine="0" w:firstLineChars="0"/>
      <w:jc w:val="center"/>
    </w:pPr>
    <w:rPr>
      <w:szCs w:val="20"/>
    </w:rPr>
  </w:style>
  <w:style w:type="paragraph" w:customStyle="1" w:styleId="715">
    <w:name w:val="Char Char Char Char Char Char Char1"/>
    <w:basedOn w:val="1"/>
    <w:qFormat/>
    <w:uiPriority w:val="0"/>
    <w:rPr>
      <w:rFonts w:ascii="Times New Roman"/>
      <w:sz w:val="21"/>
      <w:szCs w:val="20"/>
    </w:rPr>
  </w:style>
  <w:style w:type="paragraph" w:customStyle="1" w:styleId="716">
    <w:name w:val="样式 标题 3Re + 黑体 小四 非加粗 段前: 0 磅 段后: 0 磅 行距: 固定值 24 磅"/>
    <w:basedOn w:val="5"/>
    <w:qFormat/>
    <w:uiPriority w:val="0"/>
    <w:pPr>
      <w:widowControl/>
      <w:spacing w:before="0" w:after="0" w:line="480" w:lineRule="exact"/>
      <w:jc w:val="left"/>
    </w:pPr>
    <w:rPr>
      <w:rFonts w:ascii="黑体" w:hAnsi="黑体" w:eastAsia="黑体" w:cs="宋体"/>
      <w:b w:val="0"/>
      <w:bCs w:val="0"/>
      <w:kern w:val="0"/>
      <w:sz w:val="24"/>
      <w:szCs w:val="24"/>
    </w:rPr>
  </w:style>
  <w:style w:type="paragraph" w:customStyle="1" w:styleId="717">
    <w:name w:val="JHG.0"/>
    <w:basedOn w:val="1"/>
    <w:qFormat/>
    <w:uiPriority w:val="0"/>
    <w:pPr>
      <w:widowControl/>
      <w:spacing w:line="360" w:lineRule="auto"/>
      <w:ind w:firstLine="200" w:firstLineChars="200"/>
      <w:jc w:val="left"/>
    </w:pPr>
    <w:rPr>
      <w:rFonts w:ascii="Times New Roman" w:cs="宋体"/>
      <w:kern w:val="0"/>
      <w:sz w:val="24"/>
      <w:szCs w:val="24"/>
    </w:rPr>
  </w:style>
  <w:style w:type="paragraph" w:customStyle="1" w:styleId="718">
    <w:name w:val="dxj正文"/>
    <w:basedOn w:val="1"/>
    <w:link w:val="719"/>
    <w:qFormat/>
    <w:uiPriority w:val="0"/>
    <w:pPr>
      <w:spacing w:line="360" w:lineRule="auto"/>
      <w:ind w:firstLine="200" w:firstLineChars="200"/>
    </w:pPr>
    <w:rPr>
      <w:rFonts w:ascii="Times New Roman"/>
      <w:sz w:val="21"/>
      <w:szCs w:val="24"/>
    </w:rPr>
  </w:style>
  <w:style w:type="character" w:customStyle="1" w:styleId="719">
    <w:name w:val="dxj正文 Char Char"/>
    <w:link w:val="718"/>
    <w:qFormat/>
    <w:uiPriority w:val="0"/>
    <w:rPr>
      <w:kern w:val="2"/>
      <w:sz w:val="21"/>
      <w:szCs w:val="24"/>
    </w:rPr>
  </w:style>
  <w:style w:type="paragraph" w:customStyle="1" w:styleId="720">
    <w:name w:val="样式 Times New Roman 两端对齐 首行缩进:  0.85 厘米 行距: 固定值 22 磅"/>
    <w:basedOn w:val="1"/>
    <w:qFormat/>
    <w:uiPriority w:val="0"/>
    <w:pPr>
      <w:widowControl/>
      <w:spacing w:line="440" w:lineRule="exact"/>
      <w:ind w:firstLine="200" w:firstLineChars="200"/>
    </w:pPr>
    <w:rPr>
      <w:rFonts w:ascii="Times New Roman" w:cs="宋体"/>
      <w:kern w:val="0"/>
      <w:sz w:val="24"/>
      <w:szCs w:val="20"/>
    </w:rPr>
  </w:style>
  <w:style w:type="character" w:customStyle="1" w:styleId="721">
    <w:name w:val="表内容@ Char Char"/>
    <w:link w:val="155"/>
    <w:qFormat/>
    <w:uiPriority w:val="0"/>
    <w:rPr>
      <w:rFonts w:ascii="宋体" w:hAnsi="宋体" w:cs="Arial"/>
      <w:kern w:val="2"/>
      <w:sz w:val="21"/>
      <w:szCs w:val="21"/>
    </w:rPr>
  </w:style>
  <w:style w:type="paragraph" w:customStyle="1" w:styleId="722">
    <w:name w:val="默认段落字体 Para Char Char Char Char Char Char Char"/>
    <w:basedOn w:val="1"/>
    <w:qFormat/>
    <w:uiPriority w:val="0"/>
    <w:pPr>
      <w:adjustRightInd w:val="0"/>
      <w:spacing w:line="360" w:lineRule="auto"/>
      <w:textAlignment w:val="baseline"/>
    </w:pPr>
    <w:rPr>
      <w:rFonts w:ascii="Times New Roman"/>
      <w:kern w:val="0"/>
      <w:sz w:val="24"/>
      <w:szCs w:val="20"/>
    </w:rPr>
  </w:style>
  <w:style w:type="paragraph" w:customStyle="1" w:styleId="723">
    <w:name w:val="设计文本"/>
    <w:basedOn w:val="1"/>
    <w:qFormat/>
    <w:uiPriority w:val="0"/>
    <w:pPr>
      <w:widowControl/>
      <w:spacing w:line="360" w:lineRule="auto"/>
      <w:jc w:val="center"/>
    </w:pPr>
    <w:rPr>
      <w:rFonts w:ascii="Times New Roman" w:cs="宋体"/>
      <w:kern w:val="0"/>
      <w:sz w:val="24"/>
      <w:szCs w:val="24"/>
    </w:rPr>
  </w:style>
  <w:style w:type="paragraph" w:customStyle="1" w:styleId="724">
    <w:name w:val="font9"/>
    <w:basedOn w:val="1"/>
    <w:qFormat/>
    <w:uiPriority w:val="0"/>
    <w:pPr>
      <w:widowControl/>
      <w:spacing w:before="100" w:beforeAutospacing="1" w:after="100" w:afterAutospacing="1"/>
      <w:jc w:val="left"/>
    </w:pPr>
    <w:rPr>
      <w:rFonts w:hint="eastAsia" w:hAnsi="宋体" w:cs="Arial Unicode MS"/>
      <w:b/>
      <w:bCs/>
      <w:color w:val="000000"/>
      <w:kern w:val="0"/>
      <w:sz w:val="18"/>
      <w:szCs w:val="18"/>
    </w:rPr>
  </w:style>
  <w:style w:type="paragraph" w:customStyle="1" w:styleId="72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726">
    <w:name w:val="样式 (符号) 宋体 小四 左 行距: 1.5 倍行距 首行缩进:  2 字符"/>
    <w:basedOn w:val="1"/>
    <w:qFormat/>
    <w:uiPriority w:val="39"/>
    <w:pPr>
      <w:spacing w:line="360" w:lineRule="auto"/>
      <w:ind w:firstLine="480" w:firstLineChars="200"/>
      <w:jc w:val="left"/>
    </w:pPr>
    <w:rPr>
      <w:rFonts w:ascii="Times New Roman" w:hAnsi="宋体" w:cs="宋体"/>
      <w:kern w:val="0"/>
      <w:sz w:val="24"/>
      <w:szCs w:val="20"/>
    </w:rPr>
  </w:style>
  <w:style w:type="paragraph" w:customStyle="1" w:styleId="727">
    <w:name w:val="样式 标题 2标题 2 Char Char节标题 + 段前: 0.3 行 段后: 0.3 行"/>
    <w:basedOn w:val="4"/>
    <w:qFormat/>
    <w:uiPriority w:val="0"/>
    <w:pPr>
      <w:keepNext w:val="0"/>
      <w:widowControl/>
      <w:spacing w:beforeLines="30" w:afterLines="30" w:line="240" w:lineRule="auto"/>
      <w:jc w:val="left"/>
    </w:pPr>
    <w:rPr>
      <w:rFonts w:ascii="黑体" w:hAnsi="宋体" w:eastAsia="黑体" w:cs="宋体"/>
      <w:b w:val="0"/>
      <w:bCs w:val="0"/>
      <w:snapToGrid/>
      <w:kern w:val="0"/>
      <w:sz w:val="28"/>
      <w:szCs w:val="20"/>
    </w:rPr>
  </w:style>
  <w:style w:type="paragraph" w:customStyle="1" w:styleId="728">
    <w:name w:val="样式 标题 1 + 宋体"/>
    <w:basedOn w:val="3"/>
    <w:qFormat/>
    <w:uiPriority w:val="0"/>
    <w:pPr>
      <w:adjustRightInd w:val="0"/>
      <w:spacing w:beforeLines="100" w:line="500" w:lineRule="exact"/>
    </w:pPr>
    <w:rPr>
      <w:rFonts w:ascii="黑体" w:hAnsi="宋体"/>
      <w:b/>
      <w:bCs/>
      <w:snapToGrid/>
      <w:sz w:val="28"/>
      <w:szCs w:val="28"/>
    </w:rPr>
  </w:style>
  <w:style w:type="paragraph" w:customStyle="1" w:styleId="729">
    <w:name w:val="样式 五号 居中 行距: 单倍行距"/>
    <w:basedOn w:val="1"/>
    <w:qFormat/>
    <w:uiPriority w:val="39"/>
    <w:pPr>
      <w:adjustRightInd w:val="0"/>
      <w:snapToGrid w:val="0"/>
      <w:jc w:val="center"/>
    </w:pPr>
    <w:rPr>
      <w:rFonts w:ascii="Times New Roman" w:cs="宋体"/>
      <w:sz w:val="21"/>
      <w:szCs w:val="20"/>
    </w:rPr>
  </w:style>
  <w:style w:type="paragraph" w:customStyle="1" w:styleId="730">
    <w:name w:val="Char15 Char Char Char Char Char1"/>
    <w:basedOn w:val="5"/>
    <w:qFormat/>
    <w:uiPriority w:val="0"/>
    <w:pPr>
      <w:tabs>
        <w:tab w:val="left" w:pos="360"/>
        <w:tab w:val="left" w:pos="900"/>
      </w:tabs>
      <w:snapToGrid w:val="0"/>
      <w:spacing w:before="120" w:after="120" w:line="360" w:lineRule="auto"/>
      <w:ind w:left="542" w:leftChars="-12" w:firstLine="200"/>
      <w:jc w:val="left"/>
    </w:pPr>
    <w:rPr>
      <w:sz w:val="32"/>
    </w:rPr>
  </w:style>
  <w:style w:type="paragraph" w:customStyle="1" w:styleId="731">
    <w:name w:val="正文仿宋小四"/>
    <w:basedOn w:val="1"/>
    <w:qFormat/>
    <w:uiPriority w:val="0"/>
    <w:pPr>
      <w:adjustRightInd w:val="0"/>
      <w:snapToGrid w:val="0"/>
      <w:spacing w:line="360" w:lineRule="auto"/>
      <w:ind w:firstLine="480" w:firstLineChars="200"/>
    </w:pPr>
    <w:rPr>
      <w:rFonts w:ascii="Times New Roman" w:eastAsia="仿宋_GB2312"/>
      <w:sz w:val="24"/>
      <w:szCs w:val="20"/>
    </w:rPr>
  </w:style>
  <w:style w:type="paragraph" w:customStyle="1" w:styleId="732">
    <w:name w:val="5"/>
    <w:basedOn w:val="1"/>
    <w:next w:val="1"/>
    <w:unhideWhenUsed/>
    <w:qFormat/>
    <w:uiPriority w:val="0"/>
    <w:rPr>
      <w:rFonts w:ascii="Times New Roman"/>
      <w:sz w:val="21"/>
      <w:szCs w:val="20"/>
    </w:rPr>
  </w:style>
  <w:style w:type="paragraph" w:customStyle="1" w:styleId="733">
    <w:name w:val="p17"/>
    <w:basedOn w:val="1"/>
    <w:qFormat/>
    <w:uiPriority w:val="0"/>
    <w:pPr>
      <w:widowControl/>
      <w:spacing w:line="280" w:lineRule="atLeast"/>
      <w:jc w:val="center"/>
    </w:pPr>
    <w:rPr>
      <w:rFonts w:ascii="Times New Roman"/>
      <w:kern w:val="0"/>
      <w:sz w:val="21"/>
      <w:szCs w:val="21"/>
    </w:rPr>
  </w:style>
  <w:style w:type="paragraph" w:customStyle="1" w:styleId="734">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Times New Roman" w:eastAsia="Arial Unicode MS" w:cs="宋体"/>
      <w:kern w:val="0"/>
      <w:sz w:val="20"/>
      <w:szCs w:val="24"/>
    </w:rPr>
  </w:style>
  <w:style w:type="paragraph" w:customStyle="1" w:styleId="735">
    <w:name w:val="ky-txt Char"/>
    <w:qFormat/>
    <w:uiPriority w:val="0"/>
    <w:pPr>
      <w:widowControl w:val="0"/>
      <w:spacing w:line="56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736">
    <w:name w:val="Char Char5 Char Char Char Char Char Char Char Char Char Char Char Char Char Char Char1 Char1"/>
    <w:basedOn w:val="5"/>
    <w:qFormat/>
    <w:uiPriority w:val="0"/>
    <w:pPr>
      <w:tabs>
        <w:tab w:val="left" w:pos="360"/>
        <w:tab w:val="left" w:pos="900"/>
      </w:tabs>
      <w:snapToGrid w:val="0"/>
      <w:spacing w:before="120" w:after="120" w:line="360" w:lineRule="auto"/>
      <w:ind w:left="542" w:leftChars="-12" w:firstLine="200"/>
      <w:jc w:val="left"/>
    </w:pPr>
    <w:rPr>
      <w:bCs w:val="0"/>
      <w:sz w:val="21"/>
      <w:szCs w:val="20"/>
    </w:rPr>
  </w:style>
  <w:style w:type="paragraph" w:customStyle="1" w:styleId="737">
    <w:name w:val="样式 样式 正文（赵志杰） + 首行缩进:  0 字符 + 行距: 固定值 24 磅"/>
    <w:basedOn w:val="1"/>
    <w:qFormat/>
    <w:uiPriority w:val="0"/>
    <w:pPr>
      <w:spacing w:line="480" w:lineRule="exact"/>
      <w:ind w:firstLine="200" w:firstLineChars="200"/>
    </w:pPr>
    <w:rPr>
      <w:rFonts w:ascii="Times New Roman" w:cs="宋体"/>
      <w:sz w:val="21"/>
      <w:szCs w:val="20"/>
    </w:rPr>
  </w:style>
  <w:style w:type="paragraph" w:customStyle="1" w:styleId="738">
    <w:name w:val="样式 正文缩进 + 首行缩进:  0 厘米 行距: 固定值 26 磅"/>
    <w:basedOn w:val="20"/>
    <w:qFormat/>
    <w:uiPriority w:val="0"/>
    <w:pPr>
      <w:spacing w:line="520" w:lineRule="exact"/>
      <w:ind w:firstLine="200" w:firstLineChars="200"/>
      <w:jc w:val="left"/>
    </w:pPr>
    <w:rPr>
      <w:rFonts w:cs="宋体"/>
      <w:sz w:val="28"/>
    </w:rPr>
  </w:style>
  <w:style w:type="paragraph" w:customStyle="1" w:styleId="739">
    <w:name w:val="reader-word-layer reader-word-s10-9"/>
    <w:basedOn w:val="1"/>
    <w:qFormat/>
    <w:uiPriority w:val="0"/>
    <w:pPr>
      <w:widowControl/>
      <w:spacing w:before="100" w:beforeAutospacing="1" w:after="100" w:afterAutospacing="1"/>
      <w:jc w:val="left"/>
    </w:pPr>
    <w:rPr>
      <w:rFonts w:hAnsi="宋体" w:cs="宋体"/>
      <w:kern w:val="0"/>
      <w:sz w:val="24"/>
      <w:szCs w:val="24"/>
    </w:rPr>
  </w:style>
  <w:style w:type="paragraph" w:customStyle="1" w:styleId="740">
    <w:name w:val="表内"/>
    <w:basedOn w:val="591"/>
    <w:qFormat/>
    <w:uiPriority w:val="0"/>
    <w:pPr>
      <w:spacing w:line="240" w:lineRule="auto"/>
      <w:ind w:firstLine="0" w:firstLineChars="0"/>
      <w:jc w:val="center"/>
    </w:pPr>
    <w:rPr>
      <w:sz w:val="21"/>
    </w:rPr>
  </w:style>
  <w:style w:type="paragraph" w:customStyle="1" w:styleId="741">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color w:val="008000"/>
      <w:kern w:val="0"/>
      <w:sz w:val="20"/>
      <w:szCs w:val="24"/>
    </w:rPr>
  </w:style>
  <w:style w:type="paragraph" w:customStyle="1" w:styleId="742">
    <w:name w:val="大段表文"/>
    <w:basedOn w:val="212"/>
    <w:qFormat/>
    <w:uiPriority w:val="0"/>
    <w:pPr>
      <w:widowControl w:val="0"/>
      <w:adjustRightInd/>
      <w:snapToGrid/>
      <w:spacing w:line="280" w:lineRule="exact"/>
      <w:ind w:firstLine="200" w:firstLineChars="200"/>
      <w:jc w:val="left"/>
    </w:pPr>
    <w:rPr>
      <w:rFonts w:ascii="Times New Roman" w:hAnsi="Times New Roman"/>
      <w:snapToGrid/>
      <w:szCs w:val="20"/>
    </w:rPr>
  </w:style>
  <w:style w:type="paragraph" w:customStyle="1" w:styleId="743">
    <w:name w:val="样式 五号 居中 行距: 最小值 18 磅"/>
    <w:basedOn w:val="1"/>
    <w:qFormat/>
    <w:uiPriority w:val="0"/>
    <w:pPr>
      <w:widowControl/>
      <w:spacing w:line="360" w:lineRule="atLeast"/>
      <w:jc w:val="center"/>
    </w:pPr>
    <w:rPr>
      <w:rFonts w:ascii="Times New Roman" w:cs="宋体"/>
      <w:kern w:val="0"/>
      <w:sz w:val="21"/>
      <w:szCs w:val="24"/>
    </w:rPr>
  </w:style>
  <w:style w:type="paragraph" w:customStyle="1" w:styleId="744">
    <w:name w:val="标题二"/>
    <w:basedOn w:val="1"/>
    <w:qFormat/>
    <w:uiPriority w:val="0"/>
    <w:rPr>
      <w:rFonts w:ascii="Times New Roman"/>
      <w:sz w:val="24"/>
      <w:szCs w:val="20"/>
    </w:rPr>
  </w:style>
  <w:style w:type="paragraph" w:customStyle="1" w:styleId="745">
    <w:name w:val="样式 正文文本缩进 2正文文字缩进 2 + 四号 蓝色"/>
    <w:basedOn w:val="48"/>
    <w:qFormat/>
    <w:uiPriority w:val="0"/>
    <w:pPr>
      <w:widowControl/>
      <w:adjustRightInd w:val="0"/>
      <w:spacing w:after="0" w:line="480" w:lineRule="exact"/>
      <w:ind w:left="0" w:leftChars="0" w:firstLine="709"/>
      <w:jc w:val="left"/>
      <w:textAlignment w:val="baseline"/>
    </w:pPr>
    <w:rPr>
      <w:rFonts w:eastAsia="宋体" w:cs="宋体"/>
      <w:snapToGrid/>
      <w:color w:val="0000FF"/>
      <w:kern w:val="0"/>
      <w:sz w:val="24"/>
    </w:rPr>
  </w:style>
  <w:style w:type="paragraph" w:customStyle="1" w:styleId="746">
    <w:name w:val="Char Char Char Char2"/>
    <w:basedOn w:val="1"/>
    <w:qFormat/>
    <w:uiPriority w:val="0"/>
    <w:pPr>
      <w:tabs>
        <w:tab w:val="left" w:pos="360"/>
      </w:tabs>
      <w:spacing w:line="360" w:lineRule="auto"/>
      <w:ind w:firstLine="482"/>
    </w:pPr>
    <w:rPr>
      <w:rFonts w:ascii="Tahoma" w:hAnsi="Tahoma" w:eastAsia="黑体"/>
      <w:sz w:val="21"/>
      <w:szCs w:val="21"/>
    </w:rPr>
  </w:style>
  <w:style w:type="paragraph" w:customStyle="1" w:styleId="747">
    <w:name w:val="Char Char Char Char Char Char Char Char1 Char Char Char Char Char Char Char"/>
    <w:basedOn w:val="1"/>
    <w:qFormat/>
    <w:uiPriority w:val="0"/>
    <w:pPr>
      <w:widowControl/>
      <w:snapToGrid w:val="0"/>
      <w:spacing w:line="360" w:lineRule="auto"/>
      <w:ind w:firstLine="200" w:firstLineChars="200"/>
      <w:jc w:val="left"/>
    </w:pPr>
    <w:rPr>
      <w:rFonts w:ascii="Times New Roman" w:eastAsia="仿宋_GB2312"/>
      <w:kern w:val="0"/>
      <w:sz w:val="24"/>
      <w:szCs w:val="24"/>
    </w:rPr>
  </w:style>
  <w:style w:type="paragraph" w:customStyle="1" w:styleId="748">
    <w:name w:val="【表格】"/>
    <w:next w:val="1"/>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749">
    <w:name w:val="inspeacr"/>
    <w:basedOn w:val="1"/>
    <w:qFormat/>
    <w:uiPriority w:val="0"/>
    <w:pPr>
      <w:widowControl/>
      <w:spacing w:before="100" w:beforeAutospacing="1" w:after="100" w:afterAutospacing="1" w:line="288" w:lineRule="auto"/>
      <w:jc w:val="left"/>
    </w:pPr>
    <w:rPr>
      <w:rFonts w:hAnsi="宋体" w:cs="宋体"/>
      <w:kern w:val="0"/>
      <w:sz w:val="18"/>
      <w:szCs w:val="18"/>
    </w:rPr>
  </w:style>
  <w:style w:type="paragraph" w:customStyle="1" w:styleId="750">
    <w:name w:val="Char Char11 Char Char"/>
    <w:basedOn w:val="1"/>
    <w:next w:val="1"/>
    <w:qFormat/>
    <w:uiPriority w:val="0"/>
    <w:pPr>
      <w:spacing w:line="360" w:lineRule="auto"/>
      <w:ind w:firstLine="200" w:firstLineChars="200"/>
    </w:pPr>
    <w:rPr>
      <w:rFonts w:hAnsi="宋体" w:cs="宋体"/>
      <w:sz w:val="24"/>
      <w:szCs w:val="24"/>
    </w:rPr>
  </w:style>
  <w:style w:type="paragraph" w:customStyle="1" w:styleId="751">
    <w:name w:val="reader-word-layer reader-word-s10-10"/>
    <w:basedOn w:val="1"/>
    <w:qFormat/>
    <w:uiPriority w:val="0"/>
    <w:pPr>
      <w:widowControl/>
      <w:spacing w:before="100" w:beforeAutospacing="1" w:after="100" w:afterAutospacing="1"/>
      <w:jc w:val="left"/>
    </w:pPr>
    <w:rPr>
      <w:rFonts w:hAnsi="宋体" w:cs="宋体"/>
      <w:kern w:val="0"/>
      <w:sz w:val="24"/>
      <w:szCs w:val="24"/>
    </w:rPr>
  </w:style>
  <w:style w:type="paragraph" w:customStyle="1" w:styleId="752">
    <w:name w:val="Char1 Char Char"/>
    <w:basedOn w:val="5"/>
    <w:qFormat/>
    <w:uiPriority w:val="0"/>
    <w:pPr>
      <w:widowControl/>
      <w:tabs>
        <w:tab w:val="left" w:pos="360"/>
        <w:tab w:val="left" w:pos="900"/>
      </w:tabs>
      <w:snapToGrid w:val="0"/>
      <w:spacing w:before="120" w:after="120" w:line="360" w:lineRule="auto"/>
      <w:ind w:left="542" w:leftChars="-12" w:firstLine="200"/>
      <w:jc w:val="left"/>
    </w:pPr>
    <w:rPr>
      <w:rFonts w:eastAsia="黑体" w:cs="宋体"/>
      <w:b w:val="0"/>
      <w:bCs w:val="0"/>
      <w:snapToGrid w:val="0"/>
      <w:kern w:val="0"/>
      <w:sz w:val="24"/>
      <w:szCs w:val="24"/>
    </w:rPr>
  </w:style>
  <w:style w:type="paragraph" w:customStyle="1" w:styleId="753">
    <w:name w:val="15"/>
    <w:basedOn w:val="1"/>
    <w:next w:val="1"/>
    <w:qFormat/>
    <w:uiPriority w:val="0"/>
    <w:pPr>
      <w:widowControl/>
      <w:spacing w:line="288" w:lineRule="auto"/>
      <w:ind w:firstLine="480"/>
      <w:jc w:val="left"/>
    </w:pPr>
    <w:rPr>
      <w:rFonts w:hAnsi="宋体" w:cs="宋体"/>
      <w:kern w:val="0"/>
      <w:sz w:val="24"/>
      <w:szCs w:val="24"/>
    </w:rPr>
  </w:style>
  <w:style w:type="paragraph" w:customStyle="1" w:styleId="754">
    <w:name w:val="样式 正文1 + 居中 首行缩进:  2 字符"/>
    <w:basedOn w:val="148"/>
    <w:qFormat/>
    <w:uiPriority w:val="0"/>
    <w:pPr>
      <w:snapToGrid w:val="0"/>
      <w:spacing w:line="480" w:lineRule="exact"/>
      <w:ind w:firstLine="480" w:firstLineChars="200"/>
      <w:jc w:val="center"/>
    </w:pPr>
    <w:rPr>
      <w:rFonts w:ascii="宋体" w:hAnsi="宋体" w:eastAsia="宋体" w:cs="宋体"/>
    </w:rPr>
  </w:style>
  <w:style w:type="paragraph" w:customStyle="1" w:styleId="755">
    <w:name w:val="样式 样式2 + (符号) 宋体 Char"/>
    <w:basedOn w:val="1"/>
    <w:qFormat/>
    <w:uiPriority w:val="0"/>
    <w:pPr>
      <w:adjustRightInd w:val="0"/>
      <w:snapToGrid w:val="0"/>
      <w:jc w:val="center"/>
    </w:pPr>
    <w:rPr>
      <w:rFonts w:ascii="Times New Roman"/>
      <w:sz w:val="24"/>
      <w:szCs w:val="28"/>
    </w:rPr>
  </w:style>
  <w:style w:type="paragraph" w:customStyle="1" w:styleId="75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Times New Roman" w:eastAsia="Arial Unicode MS" w:cs="宋体"/>
      <w:kern w:val="0"/>
      <w:sz w:val="20"/>
      <w:szCs w:val="24"/>
    </w:rPr>
  </w:style>
  <w:style w:type="paragraph" w:customStyle="1" w:styleId="757">
    <w:name w:val="规划1-1-1-1"/>
    <w:basedOn w:val="1"/>
    <w:qFormat/>
    <w:uiPriority w:val="0"/>
    <w:pPr>
      <w:spacing w:line="360" w:lineRule="auto"/>
    </w:pPr>
    <w:rPr>
      <w:rFonts w:hAnsi="宋体"/>
      <w:sz w:val="24"/>
      <w:szCs w:val="20"/>
    </w:rPr>
  </w:style>
  <w:style w:type="paragraph" w:customStyle="1" w:styleId="758">
    <w:name w:val="7"/>
    <w:basedOn w:val="1"/>
    <w:next w:val="20"/>
    <w:qFormat/>
    <w:uiPriority w:val="0"/>
    <w:pPr>
      <w:ind w:firstLine="420"/>
    </w:pPr>
    <w:rPr>
      <w:rFonts w:ascii="Times New Roman"/>
      <w:sz w:val="24"/>
      <w:szCs w:val="20"/>
    </w:rPr>
  </w:style>
  <w:style w:type="paragraph" w:customStyle="1" w:styleId="759">
    <w:name w:val="样式 样式 标题 3 + 段前: 0.25 行 段后: 0.25 行1 + 黑色"/>
    <w:basedOn w:val="624"/>
    <w:qFormat/>
    <w:uiPriority w:val="0"/>
    <w:pPr>
      <w:spacing w:beforeLines="25" w:afterLines="25"/>
      <w:ind w:hanging="420"/>
    </w:pPr>
    <w:rPr>
      <w:color w:val="000000"/>
    </w:rPr>
  </w:style>
  <w:style w:type="paragraph" w:customStyle="1" w:styleId="760">
    <w:name w:val="Char Char1 Char Char1 Char Char1 Char Char1 Char Char Char Char Char Char Char"/>
    <w:basedOn w:val="1"/>
    <w:qFormat/>
    <w:uiPriority w:val="0"/>
    <w:pPr>
      <w:widowControl/>
      <w:jc w:val="left"/>
    </w:pPr>
    <w:rPr>
      <w:rFonts w:ascii="Times New Roman" w:cs="宋体"/>
      <w:kern w:val="0"/>
      <w:sz w:val="21"/>
      <w:szCs w:val="24"/>
    </w:rPr>
  </w:style>
  <w:style w:type="paragraph" w:customStyle="1" w:styleId="761">
    <w:name w:val="样式 小四 首行缩进:  1 厘米 加宽量  0.3 磅 行距: 固定值 24 磅"/>
    <w:basedOn w:val="1"/>
    <w:qFormat/>
    <w:uiPriority w:val="0"/>
    <w:pPr>
      <w:spacing w:line="480" w:lineRule="exact"/>
      <w:ind w:firstLine="504" w:firstLineChars="200"/>
    </w:pPr>
    <w:rPr>
      <w:rFonts w:ascii="Times New Roman"/>
      <w:spacing w:val="6"/>
      <w:sz w:val="24"/>
      <w:szCs w:val="20"/>
    </w:rPr>
  </w:style>
  <w:style w:type="paragraph" w:customStyle="1" w:styleId="762">
    <w:name w:val="Char Char Char Char Char Char Char3"/>
    <w:basedOn w:val="1"/>
    <w:qFormat/>
    <w:uiPriority w:val="0"/>
    <w:rPr>
      <w:rFonts w:ascii="Times New Roman"/>
      <w:sz w:val="21"/>
      <w:szCs w:val="20"/>
    </w:rPr>
  </w:style>
  <w:style w:type="paragraph" w:customStyle="1" w:styleId="763">
    <w:name w:val="p20"/>
    <w:basedOn w:val="1"/>
    <w:qFormat/>
    <w:uiPriority w:val="0"/>
    <w:pPr>
      <w:widowControl/>
    </w:pPr>
    <w:rPr>
      <w:rFonts w:ascii="Times New Roman"/>
      <w:sz w:val="20"/>
      <w:szCs w:val="20"/>
    </w:rPr>
  </w:style>
  <w:style w:type="paragraph" w:customStyle="1" w:styleId="764">
    <w:name w:val="简单回函地址"/>
    <w:basedOn w:val="1"/>
    <w:qFormat/>
    <w:uiPriority w:val="0"/>
    <w:rPr>
      <w:spacing w:val="5"/>
    </w:rPr>
  </w:style>
  <w:style w:type="paragraph" w:customStyle="1" w:styleId="765">
    <w:name w:val="样式 首行缩进:  0.99 厘米 行距: 固定值 21.5 磅"/>
    <w:basedOn w:val="1"/>
    <w:semiHidden/>
    <w:qFormat/>
    <w:uiPriority w:val="0"/>
    <w:pPr>
      <w:spacing w:line="480" w:lineRule="exact"/>
      <w:ind w:firstLine="561" w:firstLineChars="200"/>
    </w:pPr>
    <w:rPr>
      <w:rFonts w:ascii="Times New Roman"/>
      <w:sz w:val="24"/>
      <w:szCs w:val="20"/>
    </w:rPr>
  </w:style>
  <w:style w:type="paragraph" w:customStyle="1" w:styleId="766">
    <w:name w:val="Char Char Char Char Char Char"/>
    <w:basedOn w:val="1"/>
    <w:qFormat/>
    <w:uiPriority w:val="0"/>
    <w:pPr>
      <w:snapToGrid w:val="0"/>
      <w:spacing w:line="360" w:lineRule="auto"/>
      <w:ind w:firstLine="529" w:firstLineChars="200"/>
    </w:pPr>
    <w:rPr>
      <w:rFonts w:ascii="Times New Roman"/>
      <w:sz w:val="21"/>
      <w:szCs w:val="24"/>
    </w:rPr>
  </w:style>
  <w:style w:type="paragraph" w:customStyle="1" w:styleId="767">
    <w:name w:val="Char15 Char Char Char Char Char2"/>
    <w:basedOn w:val="5"/>
    <w:qFormat/>
    <w:uiPriority w:val="0"/>
    <w:pPr>
      <w:tabs>
        <w:tab w:val="left" w:pos="360"/>
        <w:tab w:val="left" w:pos="900"/>
      </w:tabs>
      <w:snapToGrid w:val="0"/>
      <w:spacing w:before="120" w:after="120" w:line="360" w:lineRule="auto"/>
      <w:ind w:left="542" w:leftChars="-12" w:firstLine="200"/>
      <w:jc w:val="left"/>
    </w:pPr>
    <w:rPr>
      <w:sz w:val="32"/>
    </w:rPr>
  </w:style>
  <w:style w:type="paragraph" w:customStyle="1" w:styleId="768">
    <w:name w:val="font6"/>
    <w:basedOn w:val="1"/>
    <w:qFormat/>
    <w:uiPriority w:val="0"/>
    <w:pPr>
      <w:widowControl/>
      <w:spacing w:before="100" w:beforeAutospacing="1" w:after="100" w:afterAutospacing="1"/>
      <w:jc w:val="left"/>
    </w:pPr>
    <w:rPr>
      <w:rFonts w:hint="eastAsia" w:hAnsi="宋体" w:cs="Arial Unicode MS"/>
      <w:kern w:val="0"/>
      <w:sz w:val="20"/>
      <w:szCs w:val="24"/>
    </w:rPr>
  </w:style>
  <w:style w:type="paragraph" w:customStyle="1" w:styleId="769">
    <w:name w:val="标题2 Char Char Char"/>
    <w:basedOn w:val="1"/>
    <w:qFormat/>
    <w:uiPriority w:val="0"/>
    <w:rPr>
      <w:rFonts w:ascii="Times New Roman"/>
      <w:sz w:val="30"/>
      <w:szCs w:val="24"/>
    </w:rPr>
  </w:style>
  <w:style w:type="paragraph" w:customStyle="1" w:styleId="770">
    <w:name w:val="Char Char Char Char1"/>
    <w:basedOn w:val="1"/>
    <w:qFormat/>
    <w:uiPriority w:val="0"/>
    <w:pPr>
      <w:snapToGrid w:val="0"/>
      <w:spacing w:line="360" w:lineRule="auto"/>
      <w:ind w:firstLine="529" w:firstLineChars="200"/>
    </w:pPr>
    <w:rPr>
      <w:rFonts w:hAnsi="宋体" w:cs="宋体"/>
      <w:b/>
      <w:bCs/>
      <w:sz w:val="21"/>
      <w:szCs w:val="21"/>
    </w:rPr>
  </w:style>
  <w:style w:type="paragraph" w:customStyle="1" w:styleId="771">
    <w:name w:val="一级"/>
    <w:basedOn w:val="1"/>
    <w:qFormat/>
    <w:uiPriority w:val="0"/>
    <w:pPr>
      <w:ind w:firstLine="539"/>
    </w:pPr>
    <w:rPr>
      <w:rFonts w:ascii="Times New Roman"/>
      <w:b/>
      <w:sz w:val="28"/>
      <w:szCs w:val="20"/>
    </w:rPr>
  </w:style>
  <w:style w:type="paragraph" w:customStyle="1" w:styleId="772">
    <w:name w:val="图"/>
    <w:basedOn w:val="463"/>
    <w:qFormat/>
    <w:uiPriority w:val="0"/>
    <w:pPr>
      <w:spacing w:line="240" w:lineRule="auto"/>
    </w:pPr>
  </w:style>
  <w:style w:type="paragraph" w:customStyle="1" w:styleId="773">
    <w:name w:val="In Table"/>
    <w:basedOn w:val="1"/>
    <w:qFormat/>
    <w:uiPriority w:val="0"/>
    <w:pPr>
      <w:widowControl/>
      <w:tabs>
        <w:tab w:val="left" w:pos="2200"/>
        <w:tab w:val="left" w:pos="3960"/>
        <w:tab w:val="left" w:pos="5280"/>
      </w:tabs>
      <w:spacing w:before="96" w:after="96" w:line="0" w:lineRule="atLeast"/>
      <w:jc w:val="center"/>
    </w:pPr>
    <w:rPr>
      <w:rFonts w:ascii="Tahoma" w:hAnsi="Tahoma" w:eastAsia="华文中宋" w:cs="宋体"/>
      <w:kern w:val="0"/>
      <w:sz w:val="21"/>
      <w:szCs w:val="24"/>
    </w:rPr>
  </w:style>
  <w:style w:type="paragraph" w:customStyle="1" w:styleId="774">
    <w:name w:val="2 Char Char Char Char"/>
    <w:basedOn w:val="1"/>
    <w:qFormat/>
    <w:uiPriority w:val="0"/>
    <w:pPr>
      <w:snapToGrid w:val="0"/>
      <w:spacing w:line="360" w:lineRule="auto"/>
      <w:ind w:firstLine="529" w:firstLineChars="200"/>
    </w:pPr>
    <w:rPr>
      <w:rFonts w:hAnsi="宋体"/>
      <w:b/>
      <w:sz w:val="21"/>
      <w:szCs w:val="24"/>
    </w:rPr>
  </w:style>
  <w:style w:type="paragraph" w:customStyle="1" w:styleId="775">
    <w:name w:val="xl23"/>
    <w:basedOn w:val="1"/>
    <w:qFormat/>
    <w:uiPriority w:val="0"/>
    <w:pPr>
      <w:widowControl/>
      <w:pBdr>
        <w:left w:val="single" w:color="auto" w:sz="8" w:space="0"/>
        <w:bottom w:val="single" w:color="auto" w:sz="4" w:space="0"/>
      </w:pBdr>
      <w:spacing w:before="100" w:after="100"/>
      <w:jc w:val="center"/>
    </w:pPr>
    <w:rPr>
      <w:rFonts w:hAnsi="宋体"/>
      <w:kern w:val="0"/>
      <w:sz w:val="28"/>
      <w:szCs w:val="28"/>
    </w:rPr>
  </w:style>
  <w:style w:type="paragraph" w:customStyle="1" w:styleId="776">
    <w:name w:val="样式 样式 小四 首行缩进:  1 厘米 加宽量  0.3 磅 行距: 固定值 24 磅 + 11.5 磅 首行缩进:  2 ...2"/>
    <w:basedOn w:val="1"/>
    <w:link w:val="777"/>
    <w:qFormat/>
    <w:uiPriority w:val="0"/>
    <w:pPr>
      <w:spacing w:line="480" w:lineRule="exact"/>
      <w:ind w:firstLine="484" w:firstLineChars="200"/>
    </w:pPr>
    <w:rPr>
      <w:rFonts w:ascii="Times New Roman" w:cs="宋体"/>
      <w:spacing w:val="6"/>
      <w:sz w:val="24"/>
      <w:szCs w:val="20"/>
    </w:rPr>
  </w:style>
  <w:style w:type="character" w:customStyle="1" w:styleId="777">
    <w:name w:val="样式 样式 小四 首行缩进:  1 厘米 加宽量  0.3 磅 行距: 固定值 24 磅 + 11.5 磅 首行缩进:  2 ...2 Char"/>
    <w:link w:val="776"/>
    <w:qFormat/>
    <w:uiPriority w:val="0"/>
    <w:rPr>
      <w:rFonts w:cs="宋体"/>
      <w:spacing w:val="6"/>
      <w:kern w:val="2"/>
      <w:sz w:val="24"/>
    </w:rPr>
  </w:style>
  <w:style w:type="paragraph" w:customStyle="1" w:styleId="778">
    <w:name w:val="reader-word-layer reader-word-s10-11"/>
    <w:basedOn w:val="1"/>
    <w:qFormat/>
    <w:uiPriority w:val="0"/>
    <w:pPr>
      <w:widowControl/>
      <w:spacing w:before="100" w:beforeAutospacing="1" w:after="100" w:afterAutospacing="1"/>
      <w:jc w:val="left"/>
    </w:pPr>
    <w:rPr>
      <w:rFonts w:hAnsi="宋体" w:cs="宋体"/>
      <w:kern w:val="0"/>
      <w:sz w:val="24"/>
      <w:szCs w:val="24"/>
    </w:rPr>
  </w:style>
  <w:style w:type="paragraph" w:customStyle="1" w:styleId="779">
    <w:name w:val="Char Char1 Char Char Char Char Char Char Char Char Char Char Char Char Char Char1 Char Char Char Char Char Char12"/>
    <w:basedOn w:val="1"/>
    <w:qFormat/>
    <w:uiPriority w:val="0"/>
    <w:pPr>
      <w:widowControl/>
      <w:spacing w:afterLines="50" w:line="300" w:lineRule="auto"/>
      <w:ind w:firstLine="200" w:firstLineChars="200"/>
    </w:pPr>
    <w:rPr>
      <w:rFonts w:ascii="Times New Roman"/>
      <w:sz w:val="21"/>
      <w:szCs w:val="24"/>
    </w:rPr>
  </w:style>
  <w:style w:type="paragraph" w:customStyle="1" w:styleId="780">
    <w:name w:val="表格内文字"/>
    <w:basedOn w:val="32"/>
    <w:qFormat/>
    <w:uiPriority w:val="0"/>
    <w:pPr>
      <w:widowControl/>
      <w:spacing w:after="0" w:line="320" w:lineRule="exact"/>
      <w:jc w:val="center"/>
    </w:pPr>
    <w:rPr>
      <w:rFonts w:ascii="Times New Roman" w:cs="宋体"/>
      <w:spacing w:val="10"/>
      <w:kern w:val="0"/>
      <w:sz w:val="24"/>
      <w:szCs w:val="24"/>
    </w:rPr>
  </w:style>
  <w:style w:type="paragraph" w:customStyle="1" w:styleId="781">
    <w:name w:val="reader-word-layer reader-word-s10-6"/>
    <w:basedOn w:val="1"/>
    <w:qFormat/>
    <w:uiPriority w:val="0"/>
    <w:pPr>
      <w:widowControl/>
      <w:spacing w:before="100" w:beforeAutospacing="1" w:after="100" w:afterAutospacing="1"/>
      <w:jc w:val="left"/>
    </w:pPr>
    <w:rPr>
      <w:rFonts w:hAnsi="宋体" w:cs="宋体"/>
      <w:kern w:val="0"/>
      <w:sz w:val="24"/>
      <w:szCs w:val="24"/>
    </w:rPr>
  </w:style>
  <w:style w:type="paragraph" w:customStyle="1" w:styleId="782">
    <w:name w:val="wtext"/>
    <w:basedOn w:val="1"/>
    <w:qFormat/>
    <w:uiPriority w:val="0"/>
    <w:pPr>
      <w:widowControl/>
      <w:spacing w:before="100" w:beforeAutospacing="1" w:after="100" w:afterAutospacing="1"/>
      <w:jc w:val="left"/>
    </w:pPr>
    <w:rPr>
      <w:rFonts w:hAnsi="宋体"/>
      <w:color w:val="000000"/>
      <w:kern w:val="0"/>
      <w:sz w:val="24"/>
      <w:szCs w:val="24"/>
    </w:rPr>
  </w:style>
  <w:style w:type="paragraph" w:styleId="783">
    <w:name w:val="List Paragraph"/>
    <w:basedOn w:val="1"/>
    <w:link w:val="784"/>
    <w:qFormat/>
    <w:uiPriority w:val="0"/>
    <w:pPr>
      <w:ind w:firstLine="420" w:firstLineChars="200"/>
    </w:pPr>
    <w:rPr>
      <w:rFonts w:ascii="Times New Roman"/>
      <w:sz w:val="21"/>
      <w:szCs w:val="20"/>
    </w:rPr>
  </w:style>
  <w:style w:type="character" w:customStyle="1" w:styleId="784">
    <w:name w:val="列出段落 Char1"/>
    <w:link w:val="783"/>
    <w:qFormat/>
    <w:uiPriority w:val="34"/>
    <w:rPr>
      <w:kern w:val="2"/>
      <w:sz w:val="21"/>
    </w:rPr>
  </w:style>
  <w:style w:type="paragraph" w:customStyle="1" w:styleId="785">
    <w:name w:val="列出段落1"/>
    <w:basedOn w:val="1"/>
    <w:link w:val="786"/>
    <w:qFormat/>
    <w:uiPriority w:val="0"/>
    <w:pPr>
      <w:ind w:left="-50" w:leftChars="-50" w:firstLine="420" w:firstLineChars="200"/>
    </w:pPr>
    <w:rPr>
      <w:rFonts w:ascii="Times New Roman"/>
      <w:sz w:val="21"/>
      <w:szCs w:val="24"/>
    </w:rPr>
  </w:style>
  <w:style w:type="character" w:customStyle="1" w:styleId="786">
    <w:name w:val="列出段落 Char"/>
    <w:link w:val="785"/>
    <w:qFormat/>
    <w:uiPriority w:val="0"/>
    <w:rPr>
      <w:kern w:val="2"/>
      <w:sz w:val="21"/>
      <w:szCs w:val="24"/>
    </w:rPr>
  </w:style>
  <w:style w:type="paragraph" w:customStyle="1" w:styleId="787">
    <w:name w:val="目录"/>
    <w:basedOn w:val="1"/>
    <w:qFormat/>
    <w:uiPriority w:val="0"/>
    <w:pPr>
      <w:widowControl/>
      <w:tabs>
        <w:tab w:val="right" w:leader="dot" w:pos="8495"/>
      </w:tabs>
      <w:jc w:val="left"/>
    </w:pPr>
    <w:rPr>
      <w:rFonts w:hAnsi="宋体" w:cs="宋体"/>
      <w:kern w:val="0"/>
      <w:sz w:val="24"/>
      <w:szCs w:val="24"/>
    </w:rPr>
  </w:style>
  <w:style w:type="paragraph" w:customStyle="1" w:styleId="788">
    <w:name w:val="0"/>
    <w:basedOn w:val="1"/>
    <w:qFormat/>
    <w:uiPriority w:val="0"/>
    <w:pPr>
      <w:widowControl/>
      <w:snapToGrid w:val="0"/>
    </w:pPr>
    <w:rPr>
      <w:rFonts w:ascii="Times New Roman"/>
      <w:kern w:val="0"/>
      <w:sz w:val="21"/>
      <w:szCs w:val="20"/>
    </w:rPr>
  </w:style>
  <w:style w:type="paragraph" w:customStyle="1" w:styleId="789">
    <w:name w:val="font10"/>
    <w:basedOn w:val="1"/>
    <w:qFormat/>
    <w:uiPriority w:val="0"/>
    <w:pPr>
      <w:widowControl/>
      <w:spacing w:before="100" w:beforeAutospacing="1" w:after="100" w:afterAutospacing="1"/>
      <w:jc w:val="left"/>
    </w:pPr>
    <w:rPr>
      <w:rFonts w:ascii="Times New Roman" w:eastAsia="Arial Unicode MS" w:cs="宋体"/>
      <w:b/>
      <w:bCs/>
      <w:color w:val="000000"/>
      <w:kern w:val="0"/>
      <w:sz w:val="18"/>
      <w:szCs w:val="18"/>
    </w:rPr>
  </w:style>
  <w:style w:type="paragraph" w:customStyle="1" w:styleId="790">
    <w:name w:val="style1"/>
    <w:basedOn w:val="1"/>
    <w:qFormat/>
    <w:uiPriority w:val="0"/>
    <w:pPr>
      <w:widowControl/>
      <w:spacing w:before="100" w:beforeAutospacing="1" w:after="100" w:afterAutospacing="1"/>
      <w:jc w:val="left"/>
    </w:pPr>
    <w:rPr>
      <w:rFonts w:hAnsi="宋体" w:cs="宋体"/>
      <w:kern w:val="0"/>
      <w:sz w:val="21"/>
      <w:szCs w:val="21"/>
    </w:rPr>
  </w:style>
  <w:style w:type="paragraph" w:customStyle="1" w:styleId="791">
    <w:name w:val="Char2 Char Char Char Char Char Char1"/>
    <w:basedOn w:val="1"/>
    <w:qFormat/>
    <w:uiPriority w:val="0"/>
    <w:rPr>
      <w:rFonts w:ascii="Times New Roman"/>
      <w:sz w:val="21"/>
      <w:szCs w:val="24"/>
    </w:rPr>
  </w:style>
  <w:style w:type="paragraph" w:customStyle="1" w:styleId="792">
    <w:name w:val="样式 正文@ + 首行缩进:  2 字符"/>
    <w:basedOn w:val="418"/>
    <w:qFormat/>
    <w:uiPriority w:val="0"/>
  </w:style>
  <w:style w:type="paragraph" w:customStyle="1" w:styleId="793">
    <w:name w:val="Char Char Char Char Char Char Char Char Char Char Char Char Char Char Char Char"/>
    <w:basedOn w:val="1"/>
    <w:qFormat/>
    <w:uiPriority w:val="0"/>
    <w:pPr>
      <w:widowControl/>
      <w:jc w:val="left"/>
    </w:pPr>
    <w:rPr>
      <w:rFonts w:ascii="Times New Roman" w:eastAsia="仿宋_GB2312" w:cs="宋体"/>
      <w:kern w:val="0"/>
      <w:sz w:val="30"/>
      <w:szCs w:val="24"/>
    </w:rPr>
  </w:style>
  <w:style w:type="paragraph" w:customStyle="1" w:styleId="794">
    <w:name w:val="Char21"/>
    <w:basedOn w:val="1"/>
    <w:qFormat/>
    <w:uiPriority w:val="0"/>
    <w:pPr>
      <w:spacing w:line="360" w:lineRule="auto"/>
      <w:ind w:firstLine="200" w:firstLineChars="200"/>
    </w:pPr>
    <w:rPr>
      <w:rFonts w:hAnsi="宋体" w:cs="宋体"/>
      <w:sz w:val="24"/>
      <w:szCs w:val="24"/>
    </w:rPr>
  </w:style>
  <w:style w:type="paragraph" w:customStyle="1" w:styleId="795">
    <w:name w:val="xl22"/>
    <w:basedOn w:val="1"/>
    <w:qFormat/>
    <w:uiPriority w:val="0"/>
    <w:pPr>
      <w:widowControl/>
      <w:pBdr>
        <w:bottom w:val="single" w:color="auto" w:sz="4" w:space="0"/>
        <w:right w:val="single" w:color="auto" w:sz="4" w:space="0"/>
      </w:pBdr>
      <w:spacing w:before="100" w:after="100"/>
      <w:jc w:val="center"/>
    </w:pPr>
    <w:rPr>
      <w:rFonts w:hAnsi="宋体" w:cs="宋体"/>
      <w:kern w:val="0"/>
      <w:sz w:val="21"/>
      <w:szCs w:val="24"/>
    </w:rPr>
  </w:style>
  <w:style w:type="paragraph" w:customStyle="1" w:styleId="796">
    <w:name w:val="标题 3+"/>
    <w:basedOn w:val="5"/>
    <w:qFormat/>
    <w:uiPriority w:val="0"/>
    <w:pPr>
      <w:keepNext w:val="0"/>
      <w:keepLines w:val="0"/>
      <w:widowControl/>
      <w:spacing w:before="0" w:after="0" w:line="480" w:lineRule="exact"/>
      <w:jc w:val="left"/>
      <w:textAlignment w:val="center"/>
    </w:pPr>
    <w:rPr>
      <w:rFonts w:ascii="宋体" w:hAnsi="宋体" w:cs="宋体"/>
      <w:kern w:val="0"/>
      <w:sz w:val="24"/>
      <w:szCs w:val="24"/>
    </w:rPr>
  </w:style>
  <w:style w:type="paragraph" w:customStyle="1" w:styleId="797">
    <w:name w:val="正文4"/>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798">
    <w:name w:val="Char2 Char Char Char"/>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paragraph" w:customStyle="1" w:styleId="799">
    <w:name w:val="Char Char Char Char11"/>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800">
    <w:name w:val="样式 加粗 段前: 3.6 磅 段后: 3.6 磅 行距: 固定值 19 磅"/>
    <w:basedOn w:val="1"/>
    <w:qFormat/>
    <w:uiPriority w:val="0"/>
    <w:pPr>
      <w:spacing w:beforeLines="50" w:after="72" w:line="380" w:lineRule="exact"/>
    </w:pPr>
    <w:rPr>
      <w:rFonts w:ascii="Arial" w:hAnsi="Arial" w:cs="宋体"/>
      <w:bCs/>
      <w:sz w:val="24"/>
      <w:szCs w:val="20"/>
    </w:rPr>
  </w:style>
  <w:style w:type="paragraph" w:customStyle="1" w:styleId="801">
    <w:name w:val="3级标题"/>
    <w:basedOn w:val="5"/>
    <w:qFormat/>
    <w:uiPriority w:val="0"/>
    <w:pPr>
      <w:keepNext w:val="0"/>
      <w:keepLines w:val="0"/>
      <w:spacing w:before="0" w:after="0" w:line="360" w:lineRule="auto"/>
      <w:jc w:val="left"/>
    </w:pPr>
    <w:rPr>
      <w:rFonts w:ascii="黑体" w:eastAsia="黑体"/>
      <w:b w:val="0"/>
      <w:bCs w:val="0"/>
      <w:kern w:val="0"/>
      <w:sz w:val="24"/>
    </w:rPr>
  </w:style>
  <w:style w:type="paragraph" w:customStyle="1" w:styleId="802">
    <w:name w:val="Char Char5 Char Char Char Char Char Char Char Char Char Char Char Char Char Char Char1"/>
    <w:basedOn w:val="5"/>
    <w:qFormat/>
    <w:uiPriority w:val="0"/>
    <w:pPr>
      <w:widowControl/>
      <w:tabs>
        <w:tab w:val="left" w:pos="360"/>
        <w:tab w:val="left" w:pos="900"/>
      </w:tabs>
      <w:snapToGrid w:val="0"/>
      <w:spacing w:before="120" w:after="120" w:line="360" w:lineRule="auto"/>
      <w:ind w:left="542" w:leftChars="-12" w:firstLine="200"/>
      <w:jc w:val="left"/>
    </w:pPr>
    <w:rPr>
      <w:rFonts w:eastAsia="黑体" w:cs="宋体"/>
      <w:b w:val="0"/>
      <w:bCs w:val="0"/>
      <w:snapToGrid w:val="0"/>
      <w:kern w:val="0"/>
      <w:sz w:val="24"/>
      <w:szCs w:val="24"/>
    </w:rPr>
  </w:style>
  <w:style w:type="paragraph" w:customStyle="1" w:styleId="803">
    <w:name w:val="样式 居中"/>
    <w:basedOn w:val="1"/>
    <w:qFormat/>
    <w:uiPriority w:val="0"/>
    <w:pPr>
      <w:adjustRightInd w:val="0"/>
      <w:snapToGrid w:val="0"/>
      <w:spacing w:line="440" w:lineRule="atLeast"/>
      <w:ind w:firstLine="200" w:firstLineChars="200"/>
      <w:jc w:val="center"/>
    </w:pPr>
    <w:rPr>
      <w:rFonts w:ascii="Times New Roman" w:cs="宋体"/>
      <w:sz w:val="24"/>
      <w:szCs w:val="20"/>
    </w:rPr>
  </w:style>
  <w:style w:type="table" w:customStyle="1" w:styleId="804">
    <w:name w:val="普通表格1"/>
    <w:semiHidden/>
    <w:qFormat/>
    <w:uiPriority w:val="0"/>
    <w:rPr>
      <w:rFonts w:eastAsia="Times New Roman"/>
    </w:rPr>
    <w:tblPr>
      <w:tblCellMar>
        <w:top w:w="0" w:type="dxa"/>
        <w:left w:w="108" w:type="dxa"/>
        <w:bottom w:w="0" w:type="dxa"/>
        <w:right w:w="108" w:type="dxa"/>
      </w:tblCellMar>
    </w:tblPr>
  </w:style>
  <w:style w:type="table" w:customStyle="1" w:styleId="805">
    <w:name w:val="表格样式777"/>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806">
    <w:name w:val="网格型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7">
    <w:name w:val="网格型2"/>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8">
    <w:name w:val="表格主题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9">
    <w:name w:val="彩色型 1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810">
    <w:name w:val="彩色型 2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811">
    <w:name w:val="彩色型 3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812">
    <w:name w:val="网格型 1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813">
    <w:name w:val="网格型 2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814">
    <w:name w:val="网格型 5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815">
    <w:name w:val="表格内容1"/>
    <w:basedOn w:val="1"/>
    <w:link w:val="816"/>
    <w:qFormat/>
    <w:uiPriority w:val="0"/>
    <w:pPr>
      <w:adjustRightInd w:val="0"/>
      <w:snapToGrid w:val="0"/>
      <w:spacing w:beforeLines="15" w:afterLines="15" w:line="240" w:lineRule="exact"/>
    </w:pPr>
    <w:rPr>
      <w:snapToGrid w:val="0"/>
      <w:kern w:val="0"/>
      <w:sz w:val="21"/>
      <w:szCs w:val="24"/>
    </w:rPr>
  </w:style>
  <w:style w:type="character" w:customStyle="1" w:styleId="816">
    <w:name w:val="表格内容1 Char Char"/>
    <w:link w:val="815"/>
    <w:qFormat/>
    <w:uiPriority w:val="0"/>
    <w:rPr>
      <w:rFonts w:ascii="宋体"/>
      <w:snapToGrid w:val="0"/>
      <w:sz w:val="21"/>
      <w:szCs w:val="24"/>
    </w:rPr>
  </w:style>
  <w:style w:type="paragraph" w:customStyle="1" w:styleId="817">
    <w:name w:val="Date1"/>
    <w:basedOn w:val="1"/>
    <w:next w:val="1"/>
    <w:qFormat/>
    <w:uiPriority w:val="0"/>
    <w:pPr>
      <w:widowControl/>
      <w:adjustRightInd w:val="0"/>
      <w:jc w:val="left"/>
      <w:textAlignment w:val="baseline"/>
    </w:pPr>
    <w:rPr>
      <w:rFonts w:hAnsi="宋体" w:cs="宋体"/>
      <w:kern w:val="0"/>
      <w:sz w:val="24"/>
      <w:szCs w:val="24"/>
    </w:rPr>
  </w:style>
  <w:style w:type="character" w:customStyle="1" w:styleId="818">
    <w:name w:val="f241"/>
    <w:qFormat/>
    <w:uiPriority w:val="0"/>
    <w:rPr>
      <w:sz w:val="24"/>
      <w:szCs w:val="24"/>
    </w:rPr>
  </w:style>
  <w:style w:type="character" w:customStyle="1" w:styleId="819">
    <w:name w:val="纯文本 Char2"/>
    <w:basedOn w:val="129"/>
    <w:qFormat/>
    <w:uiPriority w:val="0"/>
    <w:rPr>
      <w:rFonts w:ascii="宋体" w:hAnsi="Courier New" w:eastAsia="宋体" w:cs="Courier New"/>
      <w:kern w:val="2"/>
      <w:sz w:val="21"/>
      <w:szCs w:val="21"/>
    </w:rPr>
  </w:style>
  <w:style w:type="table" w:customStyle="1" w:styleId="820">
    <w:name w:val="网格型1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1">
    <w:name w:val="普通表格11"/>
    <w:semiHidden/>
    <w:qFormat/>
    <w:uiPriority w:val="0"/>
    <w:rPr>
      <w:rFonts w:eastAsia="Times New Roman"/>
    </w:rPr>
    <w:tblPr>
      <w:tblCellMar>
        <w:top w:w="0" w:type="dxa"/>
        <w:left w:w="108" w:type="dxa"/>
        <w:bottom w:w="0" w:type="dxa"/>
        <w:right w:w="108" w:type="dxa"/>
      </w:tblCellMar>
    </w:tblPr>
  </w:style>
  <w:style w:type="table" w:customStyle="1" w:styleId="822">
    <w:name w:val="表格样式7771"/>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character" w:customStyle="1" w:styleId="823">
    <w:name w:val="普通文字 Char Char"/>
    <w:qFormat/>
    <w:uiPriority w:val="0"/>
    <w:rPr>
      <w:rFonts w:ascii="宋体" w:hAnsi="Courier New" w:eastAsia="宋体"/>
      <w:spacing w:val="5"/>
      <w:kern w:val="2"/>
      <w:sz w:val="25"/>
      <w:szCs w:val="25"/>
      <w:lang w:val="en-US" w:eastAsia="zh-CN" w:bidi="ar-SA"/>
    </w:rPr>
  </w:style>
  <w:style w:type="paragraph" w:customStyle="1" w:styleId="824">
    <w:name w:val="TOC 标题111"/>
    <w:basedOn w:val="3"/>
    <w:next w:val="1"/>
    <w:qFormat/>
    <w:uiPriority w:val="0"/>
    <w:pPr>
      <w:widowControl/>
      <w:spacing w:beforeLines="0" w:line="276" w:lineRule="auto"/>
      <w:jc w:val="left"/>
      <w:outlineLvl w:val="9"/>
    </w:pPr>
    <w:rPr>
      <w:rFonts w:ascii="Cambria" w:hAnsi="Cambria" w:eastAsia="宋体"/>
      <w:b/>
      <w:bCs/>
      <w:snapToGrid/>
      <w:color w:val="365F91"/>
      <w:kern w:val="0"/>
      <w:sz w:val="28"/>
      <w:szCs w:val="28"/>
    </w:rPr>
  </w:style>
  <w:style w:type="paragraph" w:customStyle="1" w:styleId="825">
    <w:name w:val="列出段落11"/>
    <w:basedOn w:val="1"/>
    <w:qFormat/>
    <w:uiPriority w:val="0"/>
    <w:pPr>
      <w:ind w:left="-50" w:leftChars="-50" w:firstLine="420" w:firstLineChars="200"/>
    </w:pPr>
    <w:rPr>
      <w:rFonts w:ascii="Times New Roman"/>
      <w:sz w:val="21"/>
      <w:szCs w:val="24"/>
    </w:rPr>
  </w:style>
  <w:style w:type="paragraph" w:customStyle="1" w:styleId="826">
    <w:name w:val="z-窗体顶端11"/>
    <w:basedOn w:val="1"/>
    <w:next w:val="1"/>
    <w:unhideWhenUsed/>
    <w:qFormat/>
    <w:uiPriority w:val="0"/>
    <w:pPr>
      <w:pBdr>
        <w:bottom w:val="single" w:color="auto" w:sz="6" w:space="1"/>
      </w:pBdr>
      <w:jc w:val="center"/>
    </w:pPr>
    <w:rPr>
      <w:rFonts w:ascii="Arial" w:hAnsi="Arial" w:cs="Arial"/>
      <w:vanish/>
      <w:spacing w:val="5"/>
      <w:sz w:val="16"/>
      <w:szCs w:val="16"/>
    </w:rPr>
  </w:style>
  <w:style w:type="paragraph" w:customStyle="1" w:styleId="827">
    <w:name w:val="z-窗体底端11"/>
    <w:basedOn w:val="1"/>
    <w:next w:val="1"/>
    <w:unhideWhenUsed/>
    <w:qFormat/>
    <w:uiPriority w:val="0"/>
    <w:pPr>
      <w:pBdr>
        <w:top w:val="single" w:color="auto" w:sz="6" w:space="1"/>
      </w:pBdr>
      <w:jc w:val="center"/>
    </w:pPr>
    <w:rPr>
      <w:rFonts w:ascii="Arial" w:hAnsi="Arial" w:cs="Arial"/>
      <w:vanish/>
      <w:spacing w:val="5"/>
      <w:sz w:val="16"/>
      <w:szCs w:val="16"/>
    </w:rPr>
  </w:style>
  <w:style w:type="paragraph" w:customStyle="1" w:styleId="828">
    <w:name w:val="无间隔1"/>
    <w:qFormat/>
    <w:uiPriority w:val="0"/>
    <w:pPr>
      <w:widowControl w:val="0"/>
      <w:spacing w:beforeLines="50" w:afterLines="50"/>
      <w:jc w:val="both"/>
    </w:pPr>
    <w:rPr>
      <w:rFonts w:ascii="Times New Roman" w:hAnsi="Times New Roman" w:eastAsia="宋体" w:cs="Times New Roman"/>
      <w:kern w:val="2"/>
      <w:sz w:val="24"/>
      <w:szCs w:val="24"/>
      <w:lang w:val="en-US" w:eastAsia="zh-CN" w:bidi="ar-SA"/>
    </w:rPr>
  </w:style>
  <w:style w:type="table" w:customStyle="1" w:styleId="829">
    <w:name w:val="网格型（pxg）1"/>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0">
    <w:name w:val="列出段落2"/>
    <w:basedOn w:val="1"/>
    <w:qFormat/>
    <w:uiPriority w:val="0"/>
    <w:pPr>
      <w:ind w:firstLine="420" w:firstLineChars="200"/>
    </w:pPr>
    <w:rPr>
      <w:rFonts w:ascii="Times New Roman"/>
      <w:sz w:val="21"/>
      <w:szCs w:val="20"/>
    </w:rPr>
  </w:style>
  <w:style w:type="paragraph" w:customStyle="1" w:styleId="831">
    <w:name w:val="Char15 Char Char Char Char Char31"/>
    <w:basedOn w:val="5"/>
    <w:qFormat/>
    <w:uiPriority w:val="39"/>
    <w:pPr>
      <w:tabs>
        <w:tab w:val="left" w:pos="360"/>
        <w:tab w:val="left" w:pos="900"/>
      </w:tabs>
      <w:snapToGrid w:val="0"/>
      <w:spacing w:before="120" w:after="120" w:line="360" w:lineRule="auto"/>
      <w:ind w:left="542" w:leftChars="-12" w:firstLine="200" w:firstLineChars="200"/>
      <w:jc w:val="left"/>
    </w:pPr>
    <w:rPr>
      <w:sz w:val="32"/>
    </w:rPr>
  </w:style>
  <w:style w:type="table" w:customStyle="1" w:styleId="832">
    <w:name w:val="网格型（pxg）2"/>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3">
    <w:name w:val="Char121"/>
    <w:basedOn w:val="5"/>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table" w:customStyle="1" w:styleId="834">
    <w:name w:val="网格型 5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835">
    <w:name w:val="网格型1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6">
    <w:name w:val="普通表格12"/>
    <w:semiHidden/>
    <w:qFormat/>
    <w:uiPriority w:val="0"/>
    <w:rPr>
      <w:rFonts w:eastAsia="Times New Roman"/>
    </w:rPr>
    <w:tblPr>
      <w:tblCellMar>
        <w:top w:w="0" w:type="dxa"/>
        <w:left w:w="108" w:type="dxa"/>
        <w:bottom w:w="0" w:type="dxa"/>
        <w:right w:w="108" w:type="dxa"/>
      </w:tblCellMar>
    </w:tblPr>
  </w:style>
  <w:style w:type="table" w:customStyle="1" w:styleId="837">
    <w:name w:val="表格样式7772"/>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838">
    <w:name w:val="彩色型 1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839">
    <w:name w:val="表格主题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0">
    <w:name w:val="彩色型 2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841">
    <w:name w:val="彩色型 3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character" w:customStyle="1" w:styleId="842">
    <w:name w:val="标题4"/>
    <w:qFormat/>
    <w:uiPriority w:val="0"/>
  </w:style>
  <w:style w:type="paragraph" w:customStyle="1" w:styleId="843">
    <w:name w:val="TOC 标题2"/>
    <w:basedOn w:val="3"/>
    <w:next w:val="1"/>
    <w:qFormat/>
    <w:uiPriority w:val="0"/>
    <w:pPr>
      <w:widowControl/>
      <w:spacing w:beforeLines="0" w:line="276" w:lineRule="auto"/>
      <w:jc w:val="left"/>
      <w:outlineLvl w:val="9"/>
    </w:pPr>
    <w:rPr>
      <w:rFonts w:ascii="Cambria" w:hAnsi="Cambria" w:eastAsia="宋体"/>
      <w:b/>
      <w:bCs/>
      <w:snapToGrid/>
      <w:color w:val="365F91"/>
      <w:kern w:val="0"/>
      <w:sz w:val="28"/>
      <w:szCs w:val="28"/>
    </w:rPr>
  </w:style>
  <w:style w:type="table" w:customStyle="1" w:styleId="844">
    <w:name w:val="网格型 12"/>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845">
    <w:name w:val="z-窗体顶端2"/>
    <w:basedOn w:val="1"/>
    <w:next w:val="1"/>
    <w:link w:val="846"/>
    <w:unhideWhenUsed/>
    <w:qFormat/>
    <w:uiPriority w:val="0"/>
    <w:pPr>
      <w:pBdr>
        <w:bottom w:val="single" w:color="auto" w:sz="6" w:space="1"/>
      </w:pBdr>
      <w:jc w:val="center"/>
    </w:pPr>
    <w:rPr>
      <w:rFonts w:ascii="Arial" w:hAnsi="Arial" w:cs="Arial"/>
      <w:vanish/>
      <w:spacing w:val="5"/>
      <w:sz w:val="16"/>
      <w:szCs w:val="16"/>
    </w:rPr>
  </w:style>
  <w:style w:type="character" w:customStyle="1" w:styleId="846">
    <w:name w:val="z-窗体顶端 Char Char"/>
    <w:link w:val="845"/>
    <w:qFormat/>
    <w:uiPriority w:val="0"/>
    <w:rPr>
      <w:rFonts w:ascii="Arial" w:hAnsi="Arial" w:cs="Arial"/>
      <w:vanish/>
      <w:spacing w:val="5"/>
      <w:kern w:val="2"/>
      <w:sz w:val="16"/>
      <w:szCs w:val="16"/>
    </w:rPr>
  </w:style>
  <w:style w:type="paragraph" w:customStyle="1" w:styleId="847">
    <w:name w:val="z-窗体底端2"/>
    <w:basedOn w:val="1"/>
    <w:next w:val="1"/>
    <w:link w:val="848"/>
    <w:unhideWhenUsed/>
    <w:qFormat/>
    <w:uiPriority w:val="0"/>
    <w:pPr>
      <w:pBdr>
        <w:top w:val="single" w:color="auto" w:sz="6" w:space="1"/>
      </w:pBdr>
      <w:jc w:val="center"/>
    </w:pPr>
    <w:rPr>
      <w:rFonts w:ascii="Arial" w:hAnsi="Arial" w:cs="Arial"/>
      <w:vanish/>
      <w:spacing w:val="5"/>
      <w:sz w:val="16"/>
      <w:szCs w:val="16"/>
    </w:rPr>
  </w:style>
  <w:style w:type="character" w:customStyle="1" w:styleId="848">
    <w:name w:val="z-窗体底端 Char Char"/>
    <w:link w:val="847"/>
    <w:qFormat/>
    <w:uiPriority w:val="0"/>
    <w:rPr>
      <w:rFonts w:ascii="Arial" w:hAnsi="Arial" w:cs="Arial"/>
      <w:vanish/>
      <w:spacing w:val="5"/>
      <w:kern w:val="2"/>
      <w:sz w:val="16"/>
      <w:szCs w:val="16"/>
    </w:rPr>
  </w:style>
  <w:style w:type="character" w:customStyle="1" w:styleId="849">
    <w:name w:val="Char221"/>
    <w:qFormat/>
    <w:uiPriority w:val="0"/>
    <w:rPr>
      <w:rFonts w:ascii="宋体" w:hAnsi="Arial" w:eastAsia="宋体" w:cs="Arial"/>
      <w:kern w:val="2"/>
      <w:sz w:val="21"/>
      <w:lang w:val="en-US" w:eastAsia="zh-CN" w:bidi="ar-SA"/>
    </w:rPr>
  </w:style>
  <w:style w:type="character" w:customStyle="1" w:styleId="850">
    <w:name w:val="Char Char3011"/>
    <w:qFormat/>
    <w:uiPriority w:val="0"/>
    <w:rPr>
      <w:rFonts w:ascii="Arial" w:hAnsi="Arial" w:eastAsia="黑体"/>
      <w:b/>
      <w:bCs/>
      <w:kern w:val="2"/>
      <w:sz w:val="24"/>
      <w:szCs w:val="24"/>
      <w:lang w:val="en-US" w:eastAsia="zh-CN" w:bidi="ar-SA"/>
    </w:rPr>
  </w:style>
  <w:style w:type="paragraph" w:customStyle="1" w:styleId="851">
    <w:name w:val="Char Char Char Char121"/>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852">
    <w:name w:val="Char Char5 Char Char Char Char Char Char Char Char Char221"/>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853">
    <w:name w:val="Char Char Char Char31"/>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854">
    <w:name w:val="Char41"/>
    <w:basedOn w:val="1"/>
    <w:qFormat/>
    <w:uiPriority w:val="0"/>
    <w:pPr>
      <w:widowControl/>
      <w:adjustRightInd w:val="0"/>
      <w:snapToGrid w:val="0"/>
      <w:spacing w:line="360" w:lineRule="auto"/>
      <w:ind w:left="-48" w:firstLine="200" w:firstLineChars="200"/>
      <w:jc w:val="left"/>
    </w:pPr>
    <w:rPr>
      <w:rFonts w:ascii="Times New Roman" w:cs="宋体"/>
      <w:kern w:val="0"/>
      <w:sz w:val="24"/>
      <w:szCs w:val="24"/>
    </w:rPr>
  </w:style>
  <w:style w:type="paragraph" w:customStyle="1" w:styleId="855">
    <w:name w:val="Char Char1 Char Char Char Char Char Char Char Char Char Char Char Char Char Char Char Char Char Char Char Char1 Char21"/>
    <w:basedOn w:val="1"/>
    <w:qFormat/>
    <w:uiPriority w:val="0"/>
    <w:pPr>
      <w:widowControl/>
      <w:spacing w:line="360" w:lineRule="auto"/>
      <w:ind w:firstLine="200" w:firstLineChars="200"/>
      <w:jc w:val="left"/>
    </w:pPr>
    <w:rPr>
      <w:rFonts w:hAnsi="宋体" w:cs="宋体"/>
      <w:kern w:val="0"/>
      <w:sz w:val="24"/>
      <w:szCs w:val="24"/>
    </w:rPr>
  </w:style>
  <w:style w:type="paragraph" w:customStyle="1" w:styleId="856">
    <w:name w:val="Char Char Char Char Char Char Char Char Char1 Char Char Char Char11"/>
    <w:basedOn w:val="1"/>
    <w:qFormat/>
    <w:uiPriority w:val="0"/>
    <w:pPr>
      <w:widowControl/>
      <w:ind w:firstLine="480" w:firstLineChars="200"/>
      <w:jc w:val="left"/>
    </w:pPr>
    <w:rPr>
      <w:rFonts w:ascii="Times New Roman" w:cs="宋体"/>
      <w:kern w:val="0"/>
      <w:sz w:val="24"/>
      <w:szCs w:val="24"/>
    </w:rPr>
  </w:style>
  <w:style w:type="paragraph" w:customStyle="1" w:styleId="857">
    <w:name w:val="Char2 Char Char Char Char Char Char21"/>
    <w:basedOn w:val="1"/>
    <w:qFormat/>
    <w:uiPriority w:val="0"/>
    <w:pPr>
      <w:widowControl/>
      <w:jc w:val="left"/>
    </w:pPr>
    <w:rPr>
      <w:rFonts w:ascii="Times New Roman" w:cs="宋体"/>
      <w:kern w:val="0"/>
      <w:sz w:val="21"/>
      <w:szCs w:val="24"/>
    </w:rPr>
  </w:style>
  <w:style w:type="paragraph" w:customStyle="1" w:styleId="858">
    <w:name w:val="正文5"/>
    <w:link w:val="859"/>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character" w:customStyle="1" w:styleId="859">
    <w:name w:val="Normal Char Char"/>
    <w:link w:val="858"/>
    <w:qFormat/>
    <w:uiPriority w:val="0"/>
    <w:rPr>
      <w:rFonts w:ascii="Arial" w:eastAsia="楷体_GB2312"/>
      <w:spacing w:val="-6"/>
      <w:sz w:val="28"/>
    </w:rPr>
  </w:style>
  <w:style w:type="paragraph" w:customStyle="1" w:styleId="860">
    <w:name w:val="Char1 Char Char11"/>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861">
    <w:name w:val="Char Char5 Char Char Char Char Char Char Char Char Char Char Char Char Char Char Char111"/>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862">
    <w:name w:val="无间隔2"/>
    <w:qFormat/>
    <w:uiPriority w:val="0"/>
    <w:pPr>
      <w:widowControl w:val="0"/>
      <w:spacing w:beforeLines="50" w:afterLines="50"/>
      <w:jc w:val="both"/>
    </w:pPr>
    <w:rPr>
      <w:rFonts w:ascii="Times New Roman" w:hAnsi="Times New Roman" w:eastAsia="宋体" w:cs="Times New Roman"/>
      <w:kern w:val="2"/>
      <w:sz w:val="24"/>
      <w:szCs w:val="24"/>
      <w:lang w:val="en-US" w:eastAsia="zh-CN" w:bidi="ar-SA"/>
    </w:rPr>
  </w:style>
  <w:style w:type="paragraph" w:customStyle="1" w:styleId="863">
    <w:name w:val="Char Char Char Char Char Char Char Char Char Char Char Char Char Char Char Char11"/>
    <w:basedOn w:val="1"/>
    <w:qFormat/>
    <w:uiPriority w:val="0"/>
    <w:pPr>
      <w:widowControl/>
      <w:jc w:val="left"/>
    </w:pPr>
    <w:rPr>
      <w:rFonts w:ascii="Times New Roman" w:eastAsia="仿宋_GB2312" w:cs="宋体"/>
      <w:kern w:val="0"/>
      <w:sz w:val="30"/>
      <w:szCs w:val="24"/>
    </w:rPr>
  </w:style>
  <w:style w:type="paragraph" w:customStyle="1" w:styleId="864">
    <w:name w:val="Char Char1 Char Char Char Char Char Char Char Char Char Char Char Char Char Char1 Char Char Char Char Char Char131"/>
    <w:basedOn w:val="1"/>
    <w:qFormat/>
    <w:uiPriority w:val="0"/>
    <w:pPr>
      <w:widowControl/>
      <w:spacing w:afterLines="50" w:line="300" w:lineRule="auto"/>
      <w:ind w:firstLine="200" w:firstLineChars="200"/>
      <w:jc w:val="left"/>
    </w:pPr>
    <w:rPr>
      <w:rFonts w:ascii="Times New Roman" w:cs="宋体"/>
      <w:kern w:val="0"/>
      <w:sz w:val="21"/>
      <w:szCs w:val="24"/>
    </w:rPr>
  </w:style>
  <w:style w:type="paragraph" w:customStyle="1" w:styleId="865">
    <w:name w:val="Char Char Char Char Char Char Char51"/>
    <w:basedOn w:val="1"/>
    <w:qFormat/>
    <w:uiPriority w:val="0"/>
    <w:pPr>
      <w:widowControl/>
      <w:jc w:val="left"/>
    </w:pPr>
    <w:rPr>
      <w:rFonts w:ascii="Times New Roman" w:cs="宋体"/>
      <w:kern w:val="0"/>
      <w:sz w:val="21"/>
      <w:szCs w:val="24"/>
    </w:rPr>
  </w:style>
  <w:style w:type="paragraph" w:customStyle="1" w:styleId="866">
    <w:name w:val="Char Char Char Char Char Char Char Char Char Char21"/>
    <w:basedOn w:val="1"/>
    <w:qFormat/>
    <w:uiPriority w:val="0"/>
    <w:pPr>
      <w:widowControl/>
      <w:jc w:val="left"/>
    </w:pPr>
    <w:rPr>
      <w:rFonts w:ascii="Times New Roman" w:cs="宋体"/>
      <w:kern w:val="0"/>
      <w:sz w:val="24"/>
      <w:szCs w:val="24"/>
    </w:rPr>
  </w:style>
  <w:style w:type="paragraph" w:customStyle="1" w:styleId="867">
    <w:name w:val="Char1 Char Char Char Char Char Char11"/>
    <w:basedOn w:val="1"/>
    <w:qFormat/>
    <w:uiPriority w:val="0"/>
    <w:pPr>
      <w:widowControl/>
      <w:tabs>
        <w:tab w:val="left" w:pos="420"/>
      </w:tabs>
      <w:ind w:left="420" w:hanging="420"/>
      <w:jc w:val="left"/>
    </w:pPr>
    <w:rPr>
      <w:rFonts w:ascii="Times New Roman" w:cs="宋体"/>
      <w:kern w:val="0"/>
      <w:sz w:val="24"/>
      <w:szCs w:val="24"/>
    </w:rPr>
  </w:style>
  <w:style w:type="paragraph" w:customStyle="1" w:styleId="868">
    <w:name w:val="Char1 Char Char Char Char Char Char Char Char111"/>
    <w:basedOn w:val="1"/>
    <w:qFormat/>
    <w:uiPriority w:val="0"/>
    <w:pPr>
      <w:widowControl/>
      <w:jc w:val="left"/>
    </w:pPr>
    <w:rPr>
      <w:rFonts w:ascii="Times New Roman" w:cs="宋体"/>
      <w:kern w:val="0"/>
      <w:sz w:val="21"/>
      <w:szCs w:val="24"/>
    </w:rPr>
  </w:style>
  <w:style w:type="paragraph" w:customStyle="1" w:styleId="869">
    <w:name w:val="Char2 Char Char Char11"/>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table" w:customStyle="1" w:styleId="870">
    <w:name w:val="网格型 2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paragraph" w:customStyle="1" w:styleId="871">
    <w:name w:val="Char1 Char Char Char21"/>
    <w:basedOn w:val="1"/>
    <w:qFormat/>
    <w:uiPriority w:val="0"/>
    <w:rPr>
      <w:rFonts w:ascii="Times New Roman"/>
      <w:sz w:val="24"/>
      <w:szCs w:val="24"/>
    </w:rPr>
  </w:style>
  <w:style w:type="paragraph" w:customStyle="1" w:styleId="872">
    <w:name w:val="正文文本缩进2"/>
    <w:basedOn w:val="1"/>
    <w:qFormat/>
    <w:uiPriority w:val="0"/>
    <w:pPr>
      <w:spacing w:after="120"/>
      <w:ind w:left="420" w:leftChars="200"/>
    </w:pPr>
    <w:rPr>
      <w:rFonts w:ascii="Times New Roman"/>
      <w:sz w:val="21"/>
      <w:szCs w:val="24"/>
    </w:rPr>
  </w:style>
  <w:style w:type="paragraph" w:customStyle="1" w:styleId="873">
    <w:name w:val="Char Char5 Char Char Char Char Char Char Char Char Char Char Char Char Char Char Char1 Char21"/>
    <w:basedOn w:val="5"/>
    <w:qFormat/>
    <w:uiPriority w:val="0"/>
    <w:pPr>
      <w:tabs>
        <w:tab w:val="left" w:pos="360"/>
        <w:tab w:val="left" w:pos="900"/>
      </w:tabs>
      <w:snapToGrid w:val="0"/>
      <w:spacing w:before="120" w:after="120" w:line="360" w:lineRule="auto"/>
      <w:ind w:left="542" w:leftChars="-12" w:firstLine="200" w:firstLineChars="200"/>
      <w:jc w:val="left"/>
    </w:pPr>
    <w:rPr>
      <w:bCs w:val="0"/>
      <w:sz w:val="21"/>
      <w:szCs w:val="20"/>
    </w:rPr>
  </w:style>
  <w:style w:type="character" w:customStyle="1" w:styleId="874">
    <w:name w:val="Char Char2511"/>
    <w:qFormat/>
    <w:uiPriority w:val="0"/>
    <w:rPr>
      <w:b/>
      <w:bCs/>
      <w:kern w:val="2"/>
      <w:sz w:val="32"/>
      <w:szCs w:val="32"/>
    </w:rPr>
  </w:style>
  <w:style w:type="character" w:customStyle="1" w:styleId="875">
    <w:name w:val="Char Char2311"/>
    <w:qFormat/>
    <w:uiPriority w:val="0"/>
    <w:rPr>
      <w:rFonts w:hint="eastAsia" w:ascii="宋体" w:hAnsi="宋体" w:eastAsia="宋体" w:cs="宋体"/>
      <w:color w:val="000000"/>
      <w:kern w:val="2"/>
      <w:sz w:val="24"/>
      <w:szCs w:val="24"/>
    </w:rPr>
  </w:style>
  <w:style w:type="character" w:customStyle="1" w:styleId="876">
    <w:name w:val="Char Char2411"/>
    <w:qFormat/>
    <w:uiPriority w:val="0"/>
    <w:rPr>
      <w:rFonts w:ascii="宋体" w:hAnsi="宋体" w:eastAsia="黑体"/>
      <w:snapToGrid w:val="0"/>
      <w:color w:val="000000"/>
      <w:kern w:val="2"/>
      <w:sz w:val="24"/>
      <w:szCs w:val="24"/>
    </w:rPr>
  </w:style>
  <w:style w:type="table" w:customStyle="1" w:styleId="877">
    <w:name w:val="网格型3"/>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8">
    <w:name w:val="表格主题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9">
    <w:name w:val="彩色型 13"/>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880">
    <w:name w:val="彩色型 23"/>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881">
    <w:name w:val="彩色型 33"/>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882">
    <w:name w:val="网格型 13"/>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883">
    <w:name w:val="网格型 23"/>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884">
    <w:name w:val="网格型 53"/>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885">
    <w:name w:val="网格型1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6">
    <w:name w:val="普通表格13"/>
    <w:semiHidden/>
    <w:qFormat/>
    <w:uiPriority w:val="0"/>
    <w:rPr>
      <w:rFonts w:eastAsia="Times New Roman"/>
    </w:rPr>
    <w:tblPr>
      <w:tblCellMar>
        <w:top w:w="0" w:type="dxa"/>
        <w:left w:w="108" w:type="dxa"/>
        <w:bottom w:w="0" w:type="dxa"/>
        <w:right w:w="108" w:type="dxa"/>
      </w:tblCellMar>
    </w:tblPr>
  </w:style>
  <w:style w:type="table" w:customStyle="1" w:styleId="887">
    <w:name w:val="表格样式7773"/>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paragraph" w:customStyle="1" w:styleId="888">
    <w:name w:val="Char12"/>
    <w:basedOn w:val="1"/>
    <w:qFormat/>
    <w:uiPriority w:val="0"/>
    <w:pPr>
      <w:spacing w:line="360" w:lineRule="auto"/>
      <w:ind w:firstLine="200" w:firstLineChars="200"/>
    </w:pPr>
    <w:rPr>
      <w:rFonts w:hAnsi="宋体" w:cs="宋体"/>
      <w:sz w:val="24"/>
      <w:szCs w:val="24"/>
    </w:rPr>
  </w:style>
  <w:style w:type="paragraph" w:customStyle="1" w:styleId="889">
    <w:name w:val="Char15 Char Char Char Char Char3"/>
    <w:basedOn w:val="5"/>
    <w:qFormat/>
    <w:uiPriority w:val="39"/>
    <w:pPr>
      <w:tabs>
        <w:tab w:val="left" w:pos="360"/>
        <w:tab w:val="left" w:pos="900"/>
      </w:tabs>
      <w:snapToGrid w:val="0"/>
      <w:spacing w:before="120" w:after="120" w:line="360" w:lineRule="auto"/>
      <w:ind w:left="542" w:leftChars="-12" w:firstLine="200" w:firstLineChars="200"/>
      <w:jc w:val="left"/>
    </w:pPr>
    <w:rPr>
      <w:sz w:val="32"/>
      <w:lang w:val="zh-CN"/>
    </w:rPr>
  </w:style>
  <w:style w:type="paragraph" w:customStyle="1" w:styleId="890">
    <w:name w:val="Char15 Char Char Char Char Char4"/>
    <w:basedOn w:val="5"/>
    <w:qFormat/>
    <w:uiPriority w:val="0"/>
    <w:pPr>
      <w:tabs>
        <w:tab w:val="left" w:pos="360"/>
        <w:tab w:val="left" w:pos="900"/>
      </w:tabs>
      <w:snapToGrid w:val="0"/>
      <w:spacing w:before="120" w:after="120" w:line="360" w:lineRule="auto"/>
      <w:ind w:left="542" w:leftChars="-12" w:firstLine="200" w:firstLineChars="200"/>
      <w:jc w:val="left"/>
    </w:pPr>
    <w:rPr>
      <w:sz w:val="32"/>
    </w:rPr>
  </w:style>
  <w:style w:type="paragraph" w:customStyle="1" w:styleId="891">
    <w:name w:val="Char13"/>
    <w:basedOn w:val="5"/>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character" w:customStyle="1" w:styleId="892">
    <w:name w:val="标题5"/>
    <w:qFormat/>
    <w:uiPriority w:val="0"/>
  </w:style>
  <w:style w:type="character" w:customStyle="1" w:styleId="893">
    <w:name w:val="Char22"/>
    <w:qFormat/>
    <w:uiPriority w:val="0"/>
    <w:rPr>
      <w:rFonts w:ascii="宋体" w:hAnsi="Arial" w:eastAsia="宋体" w:cs="Arial"/>
      <w:kern w:val="2"/>
      <w:sz w:val="21"/>
      <w:lang w:val="en-US" w:eastAsia="zh-CN" w:bidi="ar-SA"/>
    </w:rPr>
  </w:style>
  <w:style w:type="character" w:customStyle="1" w:styleId="894">
    <w:name w:val="Char Char301"/>
    <w:qFormat/>
    <w:uiPriority w:val="0"/>
    <w:rPr>
      <w:rFonts w:ascii="Arial" w:hAnsi="Arial" w:eastAsia="黑体"/>
      <w:b/>
      <w:bCs/>
      <w:kern w:val="2"/>
      <w:sz w:val="24"/>
      <w:szCs w:val="24"/>
      <w:lang w:val="en-US" w:eastAsia="zh-CN" w:bidi="ar-SA"/>
    </w:rPr>
  </w:style>
  <w:style w:type="paragraph" w:customStyle="1" w:styleId="895">
    <w:name w:val="Char Char Char Char12"/>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896">
    <w:name w:val="Char Char5 Char Char Char Char Char Char Char Char Char22"/>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897">
    <w:name w:val="Char Char Char Char3"/>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898">
    <w:name w:val="Char4"/>
    <w:basedOn w:val="1"/>
    <w:qFormat/>
    <w:uiPriority w:val="0"/>
    <w:pPr>
      <w:widowControl/>
      <w:adjustRightInd w:val="0"/>
      <w:snapToGrid w:val="0"/>
      <w:spacing w:line="360" w:lineRule="auto"/>
      <w:ind w:left="-48" w:firstLine="200" w:firstLineChars="200"/>
      <w:jc w:val="left"/>
    </w:pPr>
    <w:rPr>
      <w:rFonts w:ascii="Times New Roman" w:cs="宋体"/>
      <w:kern w:val="0"/>
      <w:sz w:val="24"/>
      <w:szCs w:val="24"/>
    </w:rPr>
  </w:style>
  <w:style w:type="paragraph" w:customStyle="1" w:styleId="899">
    <w:name w:val="Char Char1 Char Char Char Char Char Char Char Char Char Char Char Char Char Char Char Char Char Char Char Char1 Char2"/>
    <w:basedOn w:val="1"/>
    <w:qFormat/>
    <w:uiPriority w:val="0"/>
    <w:pPr>
      <w:widowControl/>
      <w:spacing w:line="360" w:lineRule="auto"/>
      <w:ind w:firstLine="200" w:firstLineChars="200"/>
      <w:jc w:val="left"/>
    </w:pPr>
    <w:rPr>
      <w:rFonts w:hAnsi="宋体" w:cs="宋体"/>
      <w:kern w:val="0"/>
      <w:sz w:val="24"/>
      <w:szCs w:val="24"/>
    </w:rPr>
  </w:style>
  <w:style w:type="paragraph" w:customStyle="1" w:styleId="900">
    <w:name w:val="Char Char Char Char Char Char Char Char Char1 Char Char Char Char1"/>
    <w:basedOn w:val="1"/>
    <w:qFormat/>
    <w:uiPriority w:val="0"/>
    <w:pPr>
      <w:widowControl/>
      <w:ind w:firstLine="480" w:firstLineChars="200"/>
      <w:jc w:val="left"/>
    </w:pPr>
    <w:rPr>
      <w:rFonts w:ascii="Times New Roman" w:cs="宋体"/>
      <w:kern w:val="0"/>
      <w:sz w:val="24"/>
      <w:szCs w:val="24"/>
    </w:rPr>
  </w:style>
  <w:style w:type="paragraph" w:customStyle="1" w:styleId="901">
    <w:name w:val="Char2 Char Char Char Char Char Char2"/>
    <w:basedOn w:val="1"/>
    <w:qFormat/>
    <w:uiPriority w:val="0"/>
    <w:pPr>
      <w:widowControl/>
      <w:jc w:val="left"/>
    </w:pPr>
    <w:rPr>
      <w:rFonts w:ascii="Times New Roman" w:cs="宋体"/>
      <w:kern w:val="0"/>
      <w:sz w:val="21"/>
      <w:szCs w:val="24"/>
    </w:rPr>
  </w:style>
  <w:style w:type="paragraph" w:customStyle="1" w:styleId="902">
    <w:name w:val="Char1 Char Char1"/>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903">
    <w:name w:val="Char Char5 Char Char Char Char Char Char Char Char Char Char Char Char Char Char Char11"/>
    <w:basedOn w:val="5"/>
    <w:qFormat/>
    <w:uiPriority w:val="0"/>
    <w:pPr>
      <w:widowControl/>
      <w:tabs>
        <w:tab w:val="left" w:pos="360"/>
        <w:tab w:val="left" w:pos="900"/>
      </w:tabs>
      <w:snapToGrid w:val="0"/>
      <w:spacing w:before="120" w:after="120" w:line="360" w:lineRule="auto"/>
      <w:ind w:left="542" w:leftChars="-12" w:firstLine="200" w:firstLineChars="200"/>
      <w:jc w:val="left"/>
    </w:pPr>
    <w:rPr>
      <w:rFonts w:eastAsia="黑体" w:cs="宋体"/>
      <w:b w:val="0"/>
      <w:bCs w:val="0"/>
      <w:snapToGrid w:val="0"/>
      <w:kern w:val="0"/>
      <w:sz w:val="24"/>
      <w:szCs w:val="24"/>
    </w:rPr>
  </w:style>
  <w:style w:type="paragraph" w:customStyle="1" w:styleId="904">
    <w:name w:val="Char Char Char Char Char Char Char Char Char Char Char Char Char Char Char Char1"/>
    <w:basedOn w:val="1"/>
    <w:qFormat/>
    <w:uiPriority w:val="0"/>
    <w:pPr>
      <w:widowControl/>
      <w:jc w:val="left"/>
    </w:pPr>
    <w:rPr>
      <w:rFonts w:ascii="Times New Roman" w:eastAsia="仿宋_GB2312" w:cs="宋体"/>
      <w:kern w:val="0"/>
      <w:sz w:val="30"/>
      <w:szCs w:val="24"/>
    </w:rPr>
  </w:style>
  <w:style w:type="paragraph" w:customStyle="1" w:styleId="905">
    <w:name w:val="Char Char1 Char Char Char Char Char Char Char Char Char Char Char Char Char Char1 Char Char Char Char Char Char13"/>
    <w:basedOn w:val="1"/>
    <w:qFormat/>
    <w:uiPriority w:val="0"/>
    <w:pPr>
      <w:widowControl/>
      <w:spacing w:afterLines="50" w:line="300" w:lineRule="auto"/>
      <w:ind w:firstLine="200" w:firstLineChars="200"/>
      <w:jc w:val="left"/>
    </w:pPr>
    <w:rPr>
      <w:rFonts w:ascii="Times New Roman" w:cs="宋体"/>
      <w:kern w:val="0"/>
      <w:sz w:val="21"/>
      <w:szCs w:val="24"/>
    </w:rPr>
  </w:style>
  <w:style w:type="paragraph" w:customStyle="1" w:styleId="906">
    <w:name w:val="Char Char Char Char Char Char Char5"/>
    <w:basedOn w:val="1"/>
    <w:qFormat/>
    <w:uiPriority w:val="0"/>
    <w:pPr>
      <w:widowControl/>
      <w:jc w:val="left"/>
    </w:pPr>
    <w:rPr>
      <w:rFonts w:ascii="Times New Roman" w:cs="宋体"/>
      <w:kern w:val="0"/>
      <w:sz w:val="21"/>
      <w:szCs w:val="24"/>
    </w:rPr>
  </w:style>
  <w:style w:type="paragraph" w:customStyle="1" w:styleId="907">
    <w:name w:val="Char Char Char Char Char Char Char Char Char Char2"/>
    <w:basedOn w:val="1"/>
    <w:qFormat/>
    <w:uiPriority w:val="0"/>
    <w:pPr>
      <w:widowControl/>
      <w:jc w:val="left"/>
    </w:pPr>
    <w:rPr>
      <w:rFonts w:ascii="Times New Roman" w:cs="宋体"/>
      <w:kern w:val="0"/>
      <w:sz w:val="24"/>
      <w:szCs w:val="24"/>
    </w:rPr>
  </w:style>
  <w:style w:type="paragraph" w:customStyle="1" w:styleId="908">
    <w:name w:val="Char1 Char Char Char Char Char Char1"/>
    <w:basedOn w:val="1"/>
    <w:qFormat/>
    <w:uiPriority w:val="0"/>
    <w:pPr>
      <w:widowControl/>
      <w:tabs>
        <w:tab w:val="left" w:pos="420"/>
      </w:tabs>
      <w:ind w:left="420" w:hanging="420"/>
      <w:jc w:val="left"/>
    </w:pPr>
    <w:rPr>
      <w:rFonts w:ascii="Times New Roman" w:cs="宋体"/>
      <w:kern w:val="0"/>
      <w:sz w:val="24"/>
      <w:szCs w:val="24"/>
    </w:rPr>
  </w:style>
  <w:style w:type="paragraph" w:customStyle="1" w:styleId="909">
    <w:name w:val="Char1 Char Char Char Char Char Char Char Char11"/>
    <w:basedOn w:val="1"/>
    <w:qFormat/>
    <w:uiPriority w:val="0"/>
    <w:pPr>
      <w:widowControl/>
      <w:jc w:val="left"/>
    </w:pPr>
    <w:rPr>
      <w:rFonts w:ascii="Times New Roman" w:cs="宋体"/>
      <w:kern w:val="0"/>
      <w:sz w:val="21"/>
      <w:szCs w:val="24"/>
    </w:rPr>
  </w:style>
  <w:style w:type="paragraph" w:customStyle="1" w:styleId="910">
    <w:name w:val="Char2 Char Char Char1"/>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paragraph" w:customStyle="1" w:styleId="911">
    <w:name w:val="Char1 Char Char Char2"/>
    <w:basedOn w:val="1"/>
    <w:qFormat/>
    <w:uiPriority w:val="0"/>
    <w:rPr>
      <w:rFonts w:ascii="Times New Roman"/>
      <w:sz w:val="24"/>
      <w:szCs w:val="24"/>
    </w:rPr>
  </w:style>
  <w:style w:type="paragraph" w:customStyle="1" w:styleId="912">
    <w:name w:val="Char Char5 Char Char Char Char Char Char Char Char Char Char Char Char Char Char Char1 Char2"/>
    <w:basedOn w:val="5"/>
    <w:qFormat/>
    <w:uiPriority w:val="0"/>
    <w:pPr>
      <w:tabs>
        <w:tab w:val="left" w:pos="360"/>
        <w:tab w:val="left" w:pos="900"/>
      </w:tabs>
      <w:snapToGrid w:val="0"/>
      <w:spacing w:before="120" w:after="120" w:line="360" w:lineRule="auto"/>
      <w:ind w:left="542" w:leftChars="-12" w:firstLine="200" w:firstLineChars="200"/>
      <w:jc w:val="left"/>
    </w:pPr>
    <w:rPr>
      <w:bCs w:val="0"/>
      <w:sz w:val="21"/>
      <w:szCs w:val="20"/>
    </w:rPr>
  </w:style>
  <w:style w:type="character" w:customStyle="1" w:styleId="913">
    <w:name w:val="Char Char251"/>
    <w:qFormat/>
    <w:uiPriority w:val="0"/>
    <w:rPr>
      <w:b/>
      <w:bCs/>
      <w:kern w:val="2"/>
      <w:sz w:val="32"/>
      <w:szCs w:val="32"/>
    </w:rPr>
  </w:style>
  <w:style w:type="character" w:customStyle="1" w:styleId="914">
    <w:name w:val="Char Char231"/>
    <w:qFormat/>
    <w:uiPriority w:val="0"/>
    <w:rPr>
      <w:rFonts w:hint="eastAsia" w:ascii="宋体" w:hAnsi="宋体" w:eastAsia="宋体" w:cs="宋体"/>
      <w:color w:val="000000"/>
      <w:kern w:val="2"/>
      <w:sz w:val="24"/>
      <w:szCs w:val="24"/>
    </w:rPr>
  </w:style>
  <w:style w:type="character" w:customStyle="1" w:styleId="915">
    <w:name w:val="Char Char241"/>
    <w:qFormat/>
    <w:uiPriority w:val="0"/>
    <w:rPr>
      <w:rFonts w:ascii="宋体" w:hAnsi="宋体" w:eastAsia="黑体"/>
      <w:snapToGrid w:val="0"/>
      <w:color w:val="000000"/>
      <w:kern w:val="2"/>
      <w:sz w:val="24"/>
      <w:szCs w:val="24"/>
    </w:rPr>
  </w:style>
  <w:style w:type="table" w:customStyle="1" w:styleId="916">
    <w:name w:val="网格型2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7">
    <w:name w:val="样式 首行缩进:  2 字符8"/>
    <w:basedOn w:val="1"/>
    <w:qFormat/>
    <w:uiPriority w:val="0"/>
    <w:pPr>
      <w:spacing w:line="520" w:lineRule="exact"/>
      <w:ind w:firstLine="560" w:firstLineChars="200"/>
    </w:pPr>
    <w:rPr>
      <w:rFonts w:ascii="Calibri" w:hAnsi="Calibri"/>
      <w:sz w:val="21"/>
      <w:szCs w:val="22"/>
    </w:rPr>
  </w:style>
  <w:style w:type="table" w:customStyle="1" w:styleId="918">
    <w:name w:val="网格型31"/>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9">
    <w:name w:val="正文曹"/>
    <w:basedOn w:val="33"/>
    <w:qFormat/>
    <w:uiPriority w:val="0"/>
    <w:pPr>
      <w:spacing w:line="320" w:lineRule="exact"/>
      <w:ind w:firstLine="0"/>
      <w:jc w:val="center"/>
    </w:pPr>
    <w:rPr>
      <w:rFonts w:hint="default" w:ascii="Times New Roman" w:hAnsi="Times New Roman" w:cs="Times New Roman"/>
    </w:rPr>
  </w:style>
  <w:style w:type="paragraph" w:customStyle="1" w:styleId="920">
    <w:name w:val="样式 小四"/>
    <w:basedOn w:val="1"/>
    <w:qFormat/>
    <w:uiPriority w:val="0"/>
    <w:pPr>
      <w:adjustRightInd w:val="0"/>
      <w:spacing w:line="480" w:lineRule="atLeast"/>
      <w:ind w:firstLine="510"/>
      <w:textAlignment w:val="baseline"/>
    </w:pPr>
    <w:rPr>
      <w:rFonts w:ascii="Times New Roman"/>
      <w:kern w:val="0"/>
      <w:sz w:val="24"/>
      <w:szCs w:val="20"/>
    </w:rPr>
  </w:style>
  <w:style w:type="character" w:customStyle="1" w:styleId="921">
    <w:name w:val="number"/>
    <w:basedOn w:val="129"/>
    <w:qFormat/>
    <w:uiPriority w:val="0"/>
  </w:style>
  <w:style w:type="paragraph" w:customStyle="1" w:styleId="922">
    <w:name w:val="标 题 3"/>
    <w:basedOn w:val="5"/>
    <w:link w:val="923"/>
    <w:qFormat/>
    <w:uiPriority w:val="0"/>
    <w:pPr>
      <w:spacing w:before="0" w:after="0" w:line="240" w:lineRule="auto"/>
    </w:pPr>
    <w:rPr>
      <w:snapToGrid w:val="0"/>
      <w:sz w:val="24"/>
      <w:lang w:val="zh-CN"/>
    </w:rPr>
  </w:style>
  <w:style w:type="character" w:customStyle="1" w:styleId="923">
    <w:name w:val="标 题 3 Char"/>
    <w:link w:val="922"/>
    <w:qFormat/>
    <w:uiPriority w:val="0"/>
    <w:rPr>
      <w:b/>
      <w:bCs/>
      <w:snapToGrid w:val="0"/>
      <w:kern w:val="2"/>
      <w:sz w:val="24"/>
      <w:szCs w:val="32"/>
      <w:lang w:val="zh-CN"/>
    </w:rPr>
  </w:style>
  <w:style w:type="character" w:customStyle="1" w:styleId="924">
    <w:name w:val="不明显强调1"/>
    <w:qFormat/>
    <w:uiPriority w:val="0"/>
    <w:rPr>
      <w:i/>
      <w:iCs/>
      <w:color w:val="808080"/>
    </w:rPr>
  </w:style>
  <w:style w:type="paragraph" w:customStyle="1" w:styleId="925">
    <w:name w:val="CEE正文"/>
    <w:basedOn w:val="1"/>
    <w:link w:val="926"/>
    <w:qFormat/>
    <w:uiPriority w:val="0"/>
    <w:pPr>
      <w:spacing w:line="312" w:lineRule="auto"/>
      <w:ind w:firstLine="200" w:firstLineChars="200"/>
    </w:pPr>
    <w:rPr>
      <w:rFonts w:ascii="Times New Roman"/>
      <w:kern w:val="0"/>
      <w:sz w:val="24"/>
      <w:szCs w:val="24"/>
      <w:lang w:val="zh-CN"/>
    </w:rPr>
  </w:style>
  <w:style w:type="character" w:customStyle="1" w:styleId="926">
    <w:name w:val="CEE正文 Char"/>
    <w:link w:val="925"/>
    <w:qFormat/>
    <w:uiPriority w:val="0"/>
    <w:rPr>
      <w:sz w:val="24"/>
      <w:szCs w:val="24"/>
      <w:lang w:val="zh-CN"/>
    </w:rPr>
  </w:style>
  <w:style w:type="paragraph" w:customStyle="1" w:styleId="927">
    <w:name w:val="Body Text 21"/>
    <w:basedOn w:val="1"/>
    <w:qFormat/>
    <w:uiPriority w:val="0"/>
    <w:pPr>
      <w:adjustRightInd w:val="0"/>
      <w:textAlignment w:val="baseline"/>
    </w:pPr>
    <w:rPr>
      <w:rFonts w:ascii="仿宋_GB2312" w:eastAsia="仿宋体"/>
      <w:sz w:val="24"/>
      <w:szCs w:val="20"/>
    </w:rPr>
  </w:style>
  <w:style w:type="paragraph" w:customStyle="1" w:styleId="928">
    <w:name w:val="深泽正文"/>
    <w:basedOn w:val="42"/>
    <w:qFormat/>
    <w:uiPriority w:val="0"/>
    <w:pPr>
      <w:spacing w:line="440" w:lineRule="exact"/>
      <w:ind w:firstLine="488" w:firstLineChars="200"/>
    </w:pPr>
    <w:rPr>
      <w:rFonts w:ascii="Times New Roman" w:hAnsi="Times New Roman"/>
      <w:spacing w:val="4"/>
      <w:kern w:val="0"/>
      <w:sz w:val="24"/>
      <w:szCs w:val="24"/>
      <w:lang w:val="zh-CN"/>
    </w:rPr>
  </w:style>
  <w:style w:type="paragraph" w:customStyle="1" w:styleId="929">
    <w:name w:val="深泽图名"/>
    <w:basedOn w:val="1"/>
    <w:qFormat/>
    <w:uiPriority w:val="0"/>
    <w:pPr>
      <w:spacing w:line="440" w:lineRule="exact"/>
      <w:jc w:val="center"/>
    </w:pPr>
    <w:rPr>
      <w:rFonts w:ascii="Times New Roman"/>
      <w:b/>
      <w:sz w:val="21"/>
      <w:szCs w:val="21"/>
    </w:rPr>
  </w:style>
  <w:style w:type="character" w:customStyle="1" w:styleId="930">
    <w:name w:val="热电厂正文 Char"/>
    <w:qFormat/>
    <w:uiPriority w:val="0"/>
    <w:rPr>
      <w:rFonts w:eastAsia="宋体"/>
      <w:sz w:val="24"/>
      <w:szCs w:val="24"/>
    </w:rPr>
  </w:style>
  <w:style w:type="paragraph" w:customStyle="1" w:styleId="931">
    <w:name w:val="深泽表头"/>
    <w:basedOn w:val="33"/>
    <w:qFormat/>
    <w:uiPriority w:val="0"/>
    <w:pPr>
      <w:spacing w:before="120" w:line="440" w:lineRule="exact"/>
      <w:ind w:firstLine="0"/>
      <w:jc w:val="center"/>
    </w:pPr>
    <w:rPr>
      <w:rFonts w:hint="default" w:ascii="Times New Roman" w:hAnsi="Times New Roman" w:cs="Times New Roman"/>
      <w:b/>
      <w:spacing w:val="4"/>
      <w:szCs w:val="21"/>
      <w:lang w:val="zh-CN"/>
    </w:rPr>
  </w:style>
  <w:style w:type="character" w:customStyle="1" w:styleId="932">
    <w:name w:val="Char Char3"/>
    <w:qFormat/>
    <w:uiPriority w:val="0"/>
    <w:rPr>
      <w:kern w:val="2"/>
      <w:sz w:val="18"/>
    </w:rPr>
  </w:style>
  <w:style w:type="table" w:customStyle="1" w:styleId="933">
    <w:name w:val="网格型4"/>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34">
    <w:name w:val="样式 正文文本 + 首行缩进:  2 字符 Char"/>
    <w:link w:val="159"/>
    <w:qFormat/>
    <w:uiPriority w:val="0"/>
    <w:rPr>
      <w:rFonts w:ascii="宋体"/>
      <w:spacing w:val="20"/>
      <w:kern w:val="2"/>
      <w:sz w:val="24"/>
      <w:szCs w:val="24"/>
      <w:lang w:val="zh-CN"/>
    </w:rPr>
  </w:style>
  <w:style w:type="paragraph" w:customStyle="1" w:styleId="935">
    <w:name w:val="Char Char Char1 Char Char Char Char"/>
    <w:basedOn w:val="1"/>
    <w:qFormat/>
    <w:uiPriority w:val="0"/>
    <w:rPr>
      <w:rFonts w:hAnsi="宋体" w:cs="宋体"/>
      <w:kern w:val="0"/>
      <w:sz w:val="24"/>
      <w:szCs w:val="24"/>
    </w:rPr>
  </w:style>
  <w:style w:type="paragraph" w:customStyle="1" w:styleId="936">
    <w:name w:val="正文11"/>
    <w:basedOn w:val="1"/>
    <w:qFormat/>
    <w:uiPriority w:val="0"/>
    <w:pPr>
      <w:spacing w:line="360" w:lineRule="auto"/>
      <w:ind w:firstLine="480" w:firstLineChars="200"/>
    </w:pPr>
    <w:rPr>
      <w:rFonts w:ascii="Times New Roman" w:cs="宋体"/>
      <w:sz w:val="24"/>
      <w:szCs w:val="20"/>
    </w:rPr>
  </w:style>
  <w:style w:type="paragraph" w:customStyle="1" w:styleId="937">
    <w:name w:val="编制说明"/>
    <w:basedOn w:val="1"/>
    <w:qFormat/>
    <w:uiPriority w:val="0"/>
    <w:pPr>
      <w:topLinePunct/>
      <w:adjustRightInd w:val="0"/>
      <w:snapToGrid w:val="0"/>
      <w:spacing w:line="360" w:lineRule="auto"/>
      <w:ind w:firstLine="420"/>
    </w:pPr>
    <w:rPr>
      <w:rFonts w:ascii="Times New Roman" w:eastAsia="仿宋_GB2312"/>
      <w:sz w:val="21"/>
      <w:szCs w:val="20"/>
    </w:rPr>
  </w:style>
  <w:style w:type="paragraph" w:customStyle="1" w:styleId="938">
    <w:name w:val="Char Char Char Char Char Char Char Char Char Char Char Char Char Char Char Char Char Char Char Char Char Char"/>
    <w:basedOn w:val="1"/>
    <w:qFormat/>
    <w:uiPriority w:val="0"/>
    <w:rPr>
      <w:rFonts w:ascii="Times New Roman"/>
      <w:sz w:val="21"/>
      <w:szCs w:val="24"/>
    </w:rPr>
  </w:style>
  <w:style w:type="character" w:customStyle="1" w:styleId="939">
    <w:name w:val="燕山正文 Char1"/>
    <w:link w:val="940"/>
    <w:qFormat/>
    <w:uiPriority w:val="0"/>
    <w:rPr>
      <w:rFonts w:hAnsi="宋体"/>
      <w:kern w:val="2"/>
      <w:sz w:val="24"/>
      <w:szCs w:val="24"/>
    </w:rPr>
  </w:style>
  <w:style w:type="paragraph" w:customStyle="1" w:styleId="940">
    <w:name w:val="燕山正文"/>
    <w:basedOn w:val="1"/>
    <w:link w:val="939"/>
    <w:qFormat/>
    <w:uiPriority w:val="0"/>
    <w:pPr>
      <w:tabs>
        <w:tab w:val="left" w:pos="4680"/>
      </w:tabs>
      <w:adjustRightInd w:val="0"/>
      <w:snapToGrid w:val="0"/>
      <w:spacing w:line="360" w:lineRule="auto"/>
      <w:ind w:firstLine="480" w:firstLineChars="200"/>
    </w:pPr>
    <w:rPr>
      <w:rFonts w:ascii="Times New Roman" w:hAnsi="宋体"/>
      <w:sz w:val="24"/>
      <w:szCs w:val="24"/>
    </w:rPr>
  </w:style>
  <w:style w:type="character" w:customStyle="1" w:styleId="941">
    <w:name w:val="热电厂正文 Char Char Char"/>
    <w:qFormat/>
    <w:uiPriority w:val="0"/>
    <w:rPr>
      <w:kern w:val="2"/>
      <w:sz w:val="24"/>
      <w:szCs w:val="24"/>
    </w:rPr>
  </w:style>
  <w:style w:type="paragraph" w:customStyle="1" w:styleId="942">
    <w:name w:val="首行缩进:  2 字符"/>
    <w:basedOn w:val="1"/>
    <w:qFormat/>
    <w:uiPriority w:val="0"/>
    <w:pPr>
      <w:spacing w:line="300" w:lineRule="auto"/>
      <w:ind w:firstLine="480" w:firstLineChars="200"/>
    </w:pPr>
    <w:rPr>
      <w:rFonts w:ascii="Calibri" w:hAnsi="Calibri"/>
      <w:sz w:val="24"/>
      <w:szCs w:val="20"/>
      <w:lang w:val="zh-CN"/>
    </w:rPr>
  </w:style>
  <w:style w:type="character" w:customStyle="1" w:styleId="943">
    <w:name w:val="样式 正文文本缩进 2正文文字缩进 2 + 四号 蓝色 Char Char Char Char"/>
    <w:qFormat/>
    <w:uiPriority w:val="0"/>
    <w:rPr>
      <w:rFonts w:ascii="宋体" w:hAnsi="宋体" w:eastAsia="宋体"/>
      <w:color w:val="0000FF"/>
      <w:kern w:val="2"/>
      <w:sz w:val="28"/>
      <w:lang w:val="en-US" w:eastAsia="zh-CN"/>
    </w:rPr>
  </w:style>
  <w:style w:type="character" w:customStyle="1" w:styleId="944">
    <w:name w:val="yyp Char"/>
    <w:qFormat/>
    <w:uiPriority w:val="0"/>
    <w:rPr>
      <w:kern w:val="2"/>
      <w:sz w:val="24"/>
      <w:szCs w:val="24"/>
    </w:rPr>
  </w:style>
  <w:style w:type="character" w:customStyle="1" w:styleId="945">
    <w:name w:val="标2 Char Char"/>
    <w:qFormat/>
    <w:uiPriority w:val="0"/>
    <w:rPr>
      <w:b/>
      <w:kern w:val="2"/>
      <w:sz w:val="24"/>
      <w:szCs w:val="24"/>
    </w:rPr>
  </w:style>
  <w:style w:type="character" w:customStyle="1" w:styleId="946">
    <w:name w:val="【表头】 Char"/>
    <w:link w:val="947"/>
    <w:qFormat/>
    <w:uiPriority w:val="0"/>
    <w:rPr>
      <w:rFonts w:eastAsia="黑体"/>
      <w:b/>
      <w:szCs w:val="24"/>
    </w:rPr>
  </w:style>
  <w:style w:type="paragraph" w:customStyle="1" w:styleId="947">
    <w:name w:val="【表头】"/>
    <w:basedOn w:val="1"/>
    <w:link w:val="946"/>
    <w:qFormat/>
    <w:uiPriority w:val="0"/>
    <w:pPr>
      <w:spacing w:beforeLines="10" w:afterLines="10"/>
      <w:jc w:val="center"/>
    </w:pPr>
    <w:rPr>
      <w:rFonts w:ascii="Times New Roman" w:eastAsia="黑体"/>
      <w:b/>
      <w:kern w:val="0"/>
      <w:sz w:val="20"/>
      <w:szCs w:val="24"/>
    </w:rPr>
  </w:style>
  <w:style w:type="character" w:customStyle="1" w:styleId="948">
    <w:name w:val="图表题 Char"/>
    <w:link w:val="949"/>
    <w:qFormat/>
    <w:uiPriority w:val="0"/>
    <w:rPr>
      <w:rFonts w:ascii="黑体" w:hAnsi="宋体" w:eastAsia="黑体" w:cs="宋体"/>
      <w:b/>
      <w:bCs/>
      <w:kern w:val="2"/>
      <w:sz w:val="24"/>
      <w:szCs w:val="24"/>
    </w:rPr>
  </w:style>
  <w:style w:type="paragraph" w:customStyle="1" w:styleId="949">
    <w:name w:val="图表题"/>
    <w:basedOn w:val="352"/>
    <w:next w:val="352"/>
    <w:link w:val="948"/>
    <w:qFormat/>
    <w:uiPriority w:val="0"/>
    <w:pPr>
      <w:spacing w:beforeLines="0" w:afterLines="0"/>
      <w:ind w:firstLine="0" w:firstLineChars="0"/>
      <w:jc w:val="center"/>
    </w:pPr>
    <w:rPr>
      <w:rFonts w:ascii="黑体" w:eastAsia="黑体" w:cs="宋体"/>
      <w:b/>
      <w:bCs/>
    </w:rPr>
  </w:style>
  <w:style w:type="character" w:customStyle="1" w:styleId="950">
    <w:name w:val="图表标题 Char"/>
    <w:link w:val="951"/>
    <w:qFormat/>
    <w:uiPriority w:val="0"/>
    <w:rPr>
      <w:rFonts w:ascii="黑体" w:eastAsia="黑体"/>
      <w:b/>
      <w:color w:val="000000"/>
      <w:kern w:val="2"/>
      <w:sz w:val="24"/>
      <w:szCs w:val="21"/>
    </w:rPr>
  </w:style>
  <w:style w:type="paragraph" w:customStyle="1" w:styleId="951">
    <w:name w:val="图表标题"/>
    <w:basedOn w:val="1"/>
    <w:link w:val="950"/>
    <w:qFormat/>
    <w:uiPriority w:val="0"/>
    <w:pPr>
      <w:adjustRightInd w:val="0"/>
      <w:snapToGrid w:val="0"/>
      <w:spacing w:line="360" w:lineRule="auto"/>
      <w:jc w:val="center"/>
    </w:pPr>
    <w:rPr>
      <w:rFonts w:ascii="黑体" w:eastAsia="黑体"/>
      <w:b/>
      <w:color w:val="000000"/>
      <w:sz w:val="24"/>
      <w:szCs w:val="21"/>
    </w:rPr>
  </w:style>
  <w:style w:type="character" w:customStyle="1" w:styleId="952">
    <w:name w:val="保定正文 Char Char"/>
    <w:qFormat/>
    <w:uiPriority w:val="0"/>
    <w:rPr>
      <w:rFonts w:cs="宋体"/>
      <w:sz w:val="21"/>
    </w:rPr>
  </w:style>
  <w:style w:type="character" w:customStyle="1" w:styleId="953">
    <w:name w:val="正文小四首缩1.3行距 Char"/>
    <w:qFormat/>
    <w:uiPriority w:val="0"/>
    <w:rPr>
      <w:rFonts w:eastAsia="宋体"/>
      <w:kern w:val="2"/>
      <w:sz w:val="24"/>
      <w:szCs w:val="24"/>
      <w:lang w:val="en-US" w:eastAsia="zh-CN" w:bidi="ar-SA"/>
    </w:rPr>
  </w:style>
  <w:style w:type="character" w:customStyle="1" w:styleId="954">
    <w:name w:val="和"/>
    <w:qFormat/>
    <w:uiPriority w:val="0"/>
    <w:rPr>
      <w:rFonts w:ascii="Times New Roman" w:hAnsi="Times New Roman" w:eastAsia="Times New Roman"/>
      <w:sz w:val="28"/>
      <w:szCs w:val="28"/>
    </w:rPr>
  </w:style>
  <w:style w:type="character" w:customStyle="1" w:styleId="955">
    <w:name w:val="【图片】 Char"/>
    <w:link w:val="956"/>
    <w:qFormat/>
    <w:uiPriority w:val="0"/>
    <w:rPr>
      <w:rFonts w:ascii="宋体" w:hAnsi="宋体" w:eastAsia="Times New Roman"/>
      <w:sz w:val="24"/>
    </w:rPr>
  </w:style>
  <w:style w:type="paragraph" w:customStyle="1" w:styleId="956">
    <w:name w:val="【图片】"/>
    <w:next w:val="82"/>
    <w:link w:val="955"/>
    <w:qFormat/>
    <w:uiPriority w:val="0"/>
    <w:pPr>
      <w:jc w:val="center"/>
    </w:pPr>
    <w:rPr>
      <w:rFonts w:ascii="宋体" w:hAnsi="宋体" w:eastAsia="Times New Roman" w:cs="Times New Roman"/>
      <w:sz w:val="24"/>
      <w:lang w:val="en-US" w:eastAsia="zh-CN" w:bidi="ar-SA"/>
    </w:rPr>
  </w:style>
  <w:style w:type="character" w:customStyle="1" w:styleId="957">
    <w:name w:val="正文（首行缩进） Char1"/>
    <w:link w:val="958"/>
    <w:qFormat/>
    <w:uiPriority w:val="0"/>
    <w:rPr>
      <w:bCs/>
      <w:snapToGrid w:val="0"/>
      <w:sz w:val="24"/>
      <w:szCs w:val="24"/>
    </w:rPr>
  </w:style>
  <w:style w:type="paragraph" w:customStyle="1" w:styleId="958">
    <w:name w:val="正文（首行缩进）"/>
    <w:basedOn w:val="1"/>
    <w:link w:val="957"/>
    <w:qFormat/>
    <w:uiPriority w:val="0"/>
    <w:pPr>
      <w:widowControl/>
      <w:overflowPunct w:val="0"/>
      <w:topLinePunct/>
      <w:autoSpaceDE w:val="0"/>
      <w:autoSpaceDN w:val="0"/>
      <w:adjustRightInd w:val="0"/>
      <w:snapToGrid w:val="0"/>
      <w:spacing w:line="360" w:lineRule="auto"/>
      <w:ind w:firstLine="200" w:firstLineChars="200"/>
      <w:textAlignment w:val="baseline"/>
    </w:pPr>
    <w:rPr>
      <w:rFonts w:ascii="Times New Roman"/>
      <w:bCs/>
      <w:snapToGrid w:val="0"/>
      <w:kern w:val="0"/>
      <w:sz w:val="24"/>
      <w:szCs w:val="24"/>
    </w:rPr>
  </w:style>
  <w:style w:type="character" w:customStyle="1" w:styleId="959">
    <w:name w:val="【表头】 Char Char"/>
    <w:qFormat/>
    <w:uiPriority w:val="0"/>
    <w:rPr>
      <w:rFonts w:ascii="Times New Roman" w:hAnsi="Times New Roman" w:eastAsia="黑体"/>
      <w:b/>
      <w:szCs w:val="24"/>
    </w:rPr>
  </w:style>
  <w:style w:type="character" w:customStyle="1" w:styleId="960">
    <w:name w:val="a正文 Char"/>
    <w:link w:val="961"/>
    <w:qFormat/>
    <w:uiPriority w:val="0"/>
    <w:rPr>
      <w:spacing w:val="5"/>
      <w:sz w:val="25"/>
      <w:szCs w:val="25"/>
    </w:rPr>
  </w:style>
  <w:style w:type="paragraph" w:customStyle="1" w:styleId="961">
    <w:name w:val="a正文"/>
    <w:link w:val="960"/>
    <w:qFormat/>
    <w:uiPriority w:val="0"/>
    <w:pPr>
      <w:spacing w:line="480" w:lineRule="exact"/>
      <w:ind w:firstLine="200" w:firstLineChars="200"/>
      <w:jc w:val="both"/>
    </w:pPr>
    <w:rPr>
      <w:rFonts w:ascii="Times New Roman" w:hAnsi="Times New Roman" w:eastAsia="宋体" w:cs="Times New Roman"/>
      <w:spacing w:val="5"/>
      <w:sz w:val="25"/>
      <w:szCs w:val="25"/>
      <w:lang w:val="en-US" w:eastAsia="zh-CN" w:bidi="ar-SA"/>
    </w:rPr>
  </w:style>
  <w:style w:type="character" w:customStyle="1" w:styleId="962">
    <w:name w:val="表格内字体 Char Char"/>
    <w:qFormat/>
    <w:uiPriority w:val="0"/>
    <w:rPr>
      <w:rFonts w:ascii="宋体" w:hAnsi="宋体"/>
      <w:szCs w:val="24"/>
    </w:rPr>
  </w:style>
  <w:style w:type="paragraph" w:customStyle="1" w:styleId="963">
    <w:name w:val="a图表标题"/>
    <w:qFormat/>
    <w:uiPriority w:val="0"/>
    <w:pPr>
      <w:spacing w:line="480" w:lineRule="exact"/>
      <w:jc w:val="center"/>
    </w:pPr>
    <w:rPr>
      <w:rFonts w:ascii="Times New Roman" w:hAnsi="Times New Roman" w:eastAsia="黑体" w:cs="Times New Roman"/>
      <w:snapToGrid w:val="0"/>
      <w:sz w:val="25"/>
      <w:szCs w:val="21"/>
      <w:lang w:val="en-US" w:eastAsia="zh-CN" w:bidi="ar-SA"/>
    </w:rPr>
  </w:style>
  <w:style w:type="paragraph" w:customStyle="1" w:styleId="964">
    <w:name w:val="a表格内容"/>
    <w:qFormat/>
    <w:uiPriority w:val="0"/>
    <w:pPr>
      <w:spacing w:line="0" w:lineRule="atLeast"/>
      <w:jc w:val="center"/>
    </w:pPr>
    <w:rPr>
      <w:rFonts w:ascii="Times New Roman" w:hAnsi="Times New Roman" w:eastAsia="宋体" w:cs="Times New Roman"/>
      <w:spacing w:val="5"/>
      <w:kern w:val="2"/>
      <w:sz w:val="23"/>
      <w:szCs w:val="21"/>
      <w:lang w:val="en-US" w:eastAsia="zh-CN" w:bidi="ar-SA"/>
    </w:rPr>
  </w:style>
  <w:style w:type="paragraph" w:customStyle="1" w:styleId="965">
    <w:name w:val="修订1"/>
    <w:qFormat/>
    <w:uiPriority w:val="0"/>
    <w:rPr>
      <w:rFonts w:ascii="Times New Roman" w:hAnsi="Times New Roman" w:eastAsia="宋体" w:cs="Times New Roman"/>
      <w:kern w:val="2"/>
      <w:sz w:val="21"/>
      <w:szCs w:val="24"/>
      <w:lang w:val="en-US" w:eastAsia="zh-CN" w:bidi="ar-SA"/>
    </w:rPr>
  </w:style>
  <w:style w:type="paragraph" w:customStyle="1" w:styleId="966">
    <w:name w:val="样式 正文格式 + 仿宋_GB2312 首行缩进:  0.85 厘米 段前: 1.2 磅 段后: 1.2 磅"/>
    <w:basedOn w:val="352"/>
    <w:qFormat/>
    <w:uiPriority w:val="0"/>
    <w:pPr>
      <w:spacing w:beforeLines="0" w:afterLines="0"/>
      <w:ind w:firstLine="1134" w:firstLineChars="0"/>
    </w:pPr>
    <w:rPr>
      <w:rFonts w:ascii="仿宋_GB2312" w:cs="宋体"/>
      <w:sz w:val="28"/>
      <w:szCs w:val="20"/>
      <w:lang w:val="zh-CN"/>
    </w:rPr>
  </w:style>
  <w:style w:type="table" w:customStyle="1" w:styleId="967">
    <w:name w:val="网格型5"/>
    <w:basedOn w:val="8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8">
    <w:name w:val="网格型6"/>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9">
    <w:name w:val="网格型7"/>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0">
    <w:name w:val="表格主题4"/>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1">
    <w:name w:val="彩色型 14"/>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972">
    <w:name w:val="彩色型 24"/>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973">
    <w:name w:val="彩色型 34"/>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974">
    <w:name w:val="网格型 14"/>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975">
    <w:name w:val="网格型 24"/>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976">
    <w:name w:val="网格型 54"/>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977">
    <w:name w:val="网格型14"/>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8">
    <w:name w:val="普通表格14"/>
    <w:semiHidden/>
    <w:qFormat/>
    <w:uiPriority w:val="0"/>
    <w:rPr>
      <w:rFonts w:eastAsia="Times New Roman"/>
    </w:rPr>
    <w:tblPr>
      <w:tblCellMar>
        <w:top w:w="0" w:type="dxa"/>
        <w:left w:w="108" w:type="dxa"/>
        <w:bottom w:w="0" w:type="dxa"/>
        <w:right w:w="108" w:type="dxa"/>
      </w:tblCellMar>
    </w:tblPr>
  </w:style>
  <w:style w:type="table" w:customStyle="1" w:styleId="979">
    <w:name w:val="表格样式7774"/>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980">
    <w:name w:val="网格型（pxg）11"/>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1">
    <w:name w:val="网格型 51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982">
    <w:name w:val="网格型11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3">
    <w:name w:val="普通表格111"/>
    <w:semiHidden/>
    <w:qFormat/>
    <w:uiPriority w:val="0"/>
    <w:rPr>
      <w:rFonts w:eastAsia="Times New Roman"/>
    </w:rPr>
    <w:tblPr>
      <w:tblCellMar>
        <w:top w:w="0" w:type="dxa"/>
        <w:left w:w="108" w:type="dxa"/>
        <w:bottom w:w="0" w:type="dxa"/>
        <w:right w:w="108" w:type="dxa"/>
      </w:tblCellMar>
    </w:tblPr>
  </w:style>
  <w:style w:type="table" w:customStyle="1" w:styleId="984">
    <w:name w:val="表格样式77711"/>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985">
    <w:name w:val="彩色型 11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986">
    <w:name w:val="表格主题1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7">
    <w:name w:val="彩色型 21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988">
    <w:name w:val="彩色型 31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989">
    <w:name w:val="网格型 11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990">
    <w:name w:val="网格型 21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991">
    <w:name w:val="网格型（pxg）21"/>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2">
    <w:name w:val="网格型 52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993">
    <w:name w:val="网格型12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4">
    <w:name w:val="普通表格121"/>
    <w:semiHidden/>
    <w:qFormat/>
    <w:uiPriority w:val="0"/>
    <w:rPr>
      <w:rFonts w:eastAsia="Times New Roman"/>
    </w:rPr>
    <w:tblPr>
      <w:tblCellMar>
        <w:top w:w="0" w:type="dxa"/>
        <w:left w:w="108" w:type="dxa"/>
        <w:bottom w:w="0" w:type="dxa"/>
        <w:right w:w="108" w:type="dxa"/>
      </w:tblCellMar>
    </w:tblPr>
  </w:style>
  <w:style w:type="table" w:customStyle="1" w:styleId="995">
    <w:name w:val="表格样式77721"/>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996">
    <w:name w:val="彩色型 12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997">
    <w:name w:val="表格主题2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8">
    <w:name w:val="彩色型 22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999">
    <w:name w:val="彩色型 32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00">
    <w:name w:val="网格型 12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01">
    <w:name w:val="网格型 22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02">
    <w:name w:val="网格型22"/>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3">
    <w:name w:val="网格型32"/>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4">
    <w:name w:val="表格主题3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彩色型 13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06">
    <w:name w:val="彩色型 23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07">
    <w:name w:val="彩色型 33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08">
    <w:name w:val="网格型 13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09">
    <w:name w:val="网格型 23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10">
    <w:name w:val="网格型 53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11">
    <w:name w:val="网格型13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2">
    <w:name w:val="普通表格131"/>
    <w:semiHidden/>
    <w:qFormat/>
    <w:uiPriority w:val="0"/>
    <w:rPr>
      <w:rFonts w:eastAsia="Times New Roman"/>
    </w:rPr>
    <w:tblPr>
      <w:tblCellMar>
        <w:top w:w="0" w:type="dxa"/>
        <w:left w:w="108" w:type="dxa"/>
        <w:bottom w:w="0" w:type="dxa"/>
        <w:right w:w="108" w:type="dxa"/>
      </w:tblCellMar>
    </w:tblPr>
  </w:style>
  <w:style w:type="table" w:customStyle="1" w:styleId="1013">
    <w:name w:val="表格样式77731"/>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14">
    <w:name w:val="网格型21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5">
    <w:name w:val="网格型311"/>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6">
    <w:name w:val="网格型41"/>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7">
    <w:name w:val="网格型51"/>
    <w:basedOn w:val="8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8">
    <w:name w:val="网格型61"/>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9">
    <w:name w:val="网格型6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0">
    <w:name w:val="网格型8"/>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1">
    <w:name w:val="表格主题5"/>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2">
    <w:name w:val="彩色型 15"/>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23">
    <w:name w:val="彩色型 25"/>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24">
    <w:name w:val="彩色型 35"/>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25">
    <w:name w:val="网格型 15"/>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26">
    <w:name w:val="网格型 25"/>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27">
    <w:name w:val="网格型 55"/>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28">
    <w:name w:val="网格型15"/>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9">
    <w:name w:val="普通表格15"/>
    <w:semiHidden/>
    <w:qFormat/>
    <w:uiPriority w:val="0"/>
    <w:rPr>
      <w:rFonts w:eastAsia="Times New Roman"/>
    </w:rPr>
    <w:tblPr>
      <w:tblCellMar>
        <w:top w:w="0" w:type="dxa"/>
        <w:left w:w="108" w:type="dxa"/>
        <w:bottom w:w="0" w:type="dxa"/>
        <w:right w:w="108" w:type="dxa"/>
      </w:tblCellMar>
    </w:tblPr>
  </w:style>
  <w:style w:type="table" w:customStyle="1" w:styleId="1030">
    <w:name w:val="表格样式7775"/>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31">
    <w:name w:val="网格型（pxg）12"/>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2">
    <w:name w:val="网格型 51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33">
    <w:name w:val="网格型11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4">
    <w:name w:val="普通表格112"/>
    <w:semiHidden/>
    <w:qFormat/>
    <w:uiPriority w:val="0"/>
    <w:rPr>
      <w:rFonts w:eastAsia="Times New Roman"/>
    </w:rPr>
    <w:tblPr>
      <w:tblCellMar>
        <w:top w:w="0" w:type="dxa"/>
        <w:left w:w="108" w:type="dxa"/>
        <w:bottom w:w="0" w:type="dxa"/>
        <w:right w:w="108" w:type="dxa"/>
      </w:tblCellMar>
    </w:tblPr>
  </w:style>
  <w:style w:type="table" w:customStyle="1" w:styleId="1035">
    <w:name w:val="表格样式77712"/>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36">
    <w:name w:val="彩色型 11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37">
    <w:name w:val="表格主题1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8">
    <w:name w:val="彩色型 21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39">
    <w:name w:val="彩色型 31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40">
    <w:name w:val="网格型 112"/>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41">
    <w:name w:val="网格型 21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42">
    <w:name w:val="网格型（pxg）22"/>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3">
    <w:name w:val="网格型 52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44">
    <w:name w:val="网格型12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5">
    <w:name w:val="普通表格122"/>
    <w:semiHidden/>
    <w:qFormat/>
    <w:uiPriority w:val="0"/>
    <w:rPr>
      <w:rFonts w:eastAsia="Times New Roman"/>
    </w:rPr>
    <w:tblPr>
      <w:tblCellMar>
        <w:top w:w="0" w:type="dxa"/>
        <w:left w:w="108" w:type="dxa"/>
        <w:bottom w:w="0" w:type="dxa"/>
        <w:right w:w="108" w:type="dxa"/>
      </w:tblCellMar>
    </w:tblPr>
  </w:style>
  <w:style w:type="table" w:customStyle="1" w:styleId="1046">
    <w:name w:val="表格样式77722"/>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47">
    <w:name w:val="彩色型 12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48">
    <w:name w:val="表格主题2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9">
    <w:name w:val="彩色型 22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50">
    <w:name w:val="彩色型 32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51">
    <w:name w:val="网格型 122"/>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52">
    <w:name w:val="网格型 22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53">
    <w:name w:val="网格型23"/>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4">
    <w:name w:val="网格型33"/>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5">
    <w:name w:val="表格主题3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6">
    <w:name w:val="彩色型 13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57">
    <w:name w:val="彩色型 23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58">
    <w:name w:val="彩色型 33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59">
    <w:name w:val="网格型 132"/>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60">
    <w:name w:val="网格型 23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61">
    <w:name w:val="网格型 53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62">
    <w:name w:val="网格型13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3">
    <w:name w:val="普通表格132"/>
    <w:semiHidden/>
    <w:qFormat/>
    <w:uiPriority w:val="0"/>
    <w:rPr>
      <w:rFonts w:eastAsia="Times New Roman"/>
    </w:rPr>
    <w:tblPr>
      <w:tblCellMar>
        <w:top w:w="0" w:type="dxa"/>
        <w:left w:w="108" w:type="dxa"/>
        <w:bottom w:w="0" w:type="dxa"/>
        <w:right w:w="108" w:type="dxa"/>
      </w:tblCellMar>
    </w:tblPr>
  </w:style>
  <w:style w:type="table" w:customStyle="1" w:styleId="1064">
    <w:name w:val="表格样式77732"/>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65">
    <w:name w:val="网格型212"/>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6">
    <w:name w:val="网格型312"/>
    <w:basedOn w:val="8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7">
    <w:name w:val="网格型42"/>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8">
    <w:name w:val="网格型52"/>
    <w:basedOn w:val="8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9">
    <w:name w:val="网格型6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0">
    <w:name w:val="网格型9"/>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1">
    <w:name w:val="网格型10"/>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2">
    <w:name w:val="表格主题6"/>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3">
    <w:name w:val="彩色型 16"/>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74">
    <w:name w:val="彩色型 26"/>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75">
    <w:name w:val="彩色型 36"/>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76">
    <w:name w:val="网格型 16"/>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77">
    <w:name w:val="网格型 26"/>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78">
    <w:name w:val="网格型 56"/>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79">
    <w:name w:val="网格型16"/>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0">
    <w:name w:val="普通表格16"/>
    <w:semiHidden/>
    <w:qFormat/>
    <w:uiPriority w:val="0"/>
    <w:rPr>
      <w:rFonts w:eastAsia="Times New Roman"/>
    </w:rPr>
    <w:tblPr>
      <w:tblCellMar>
        <w:top w:w="0" w:type="dxa"/>
        <w:left w:w="108" w:type="dxa"/>
        <w:bottom w:w="0" w:type="dxa"/>
        <w:right w:w="108" w:type="dxa"/>
      </w:tblCellMar>
    </w:tblPr>
  </w:style>
  <w:style w:type="table" w:customStyle="1" w:styleId="1081">
    <w:name w:val="表格样式7776"/>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82">
    <w:name w:val="网格型（pxg）13"/>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3">
    <w:name w:val="网格型 513"/>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84">
    <w:name w:val="网格型11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普通表格113"/>
    <w:semiHidden/>
    <w:qFormat/>
    <w:uiPriority w:val="0"/>
    <w:rPr>
      <w:rFonts w:eastAsia="Times New Roman"/>
    </w:rPr>
    <w:tblPr>
      <w:tblCellMar>
        <w:top w:w="0" w:type="dxa"/>
        <w:left w:w="108" w:type="dxa"/>
        <w:bottom w:w="0" w:type="dxa"/>
        <w:right w:w="108" w:type="dxa"/>
      </w:tblCellMar>
    </w:tblPr>
  </w:style>
  <w:style w:type="table" w:customStyle="1" w:styleId="1086">
    <w:name w:val="表格样式77713"/>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87">
    <w:name w:val="彩色型 113"/>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88">
    <w:name w:val="表格主题1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9">
    <w:name w:val="彩色型 213"/>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090">
    <w:name w:val="彩色型 313"/>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091">
    <w:name w:val="网格型 113"/>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92">
    <w:name w:val="网格型 213"/>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093">
    <w:name w:val="网格型（pxg）23"/>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4">
    <w:name w:val="网格型 523"/>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095">
    <w:name w:val="网格型12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6">
    <w:name w:val="普通表格123"/>
    <w:semiHidden/>
    <w:qFormat/>
    <w:uiPriority w:val="0"/>
    <w:rPr>
      <w:rFonts w:eastAsia="Times New Roman"/>
    </w:rPr>
    <w:tblPr>
      <w:tblCellMar>
        <w:top w:w="0" w:type="dxa"/>
        <w:left w:w="108" w:type="dxa"/>
        <w:bottom w:w="0" w:type="dxa"/>
        <w:right w:w="108" w:type="dxa"/>
      </w:tblCellMar>
    </w:tblPr>
  </w:style>
  <w:style w:type="table" w:customStyle="1" w:styleId="1097">
    <w:name w:val="表格样式77723"/>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098">
    <w:name w:val="彩色型 123"/>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099">
    <w:name w:val="表格主题2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0">
    <w:name w:val="彩色型 223"/>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101">
    <w:name w:val="彩色型 323"/>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102">
    <w:name w:val="网格型 123"/>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103">
    <w:name w:val="网格型 223"/>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104">
    <w:name w:val="网格型24"/>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5">
    <w:name w:val="网格型34"/>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6">
    <w:name w:val="表格主题3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7">
    <w:name w:val="彩色型 133"/>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108">
    <w:name w:val="彩色型 233"/>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109">
    <w:name w:val="彩色型 333"/>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110">
    <w:name w:val="网格型 133"/>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111">
    <w:name w:val="网格型 233"/>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112">
    <w:name w:val="网格型 533"/>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113">
    <w:name w:val="网格型13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4">
    <w:name w:val="普通表格133"/>
    <w:semiHidden/>
    <w:qFormat/>
    <w:uiPriority w:val="0"/>
    <w:rPr>
      <w:rFonts w:eastAsia="Times New Roman"/>
    </w:rPr>
    <w:tblPr>
      <w:tblCellMar>
        <w:top w:w="0" w:type="dxa"/>
        <w:left w:w="108" w:type="dxa"/>
        <w:bottom w:w="0" w:type="dxa"/>
        <w:right w:w="108" w:type="dxa"/>
      </w:tblCellMar>
    </w:tblPr>
  </w:style>
  <w:style w:type="table" w:customStyle="1" w:styleId="1115">
    <w:name w:val="表格样式77733"/>
    <w:basedOn w:val="85"/>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116">
    <w:name w:val="网格型213"/>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7">
    <w:name w:val="网格型313"/>
    <w:basedOn w:val="8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8">
    <w:name w:val="网格型43"/>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9">
    <w:name w:val="网格型53"/>
    <w:basedOn w:val="8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0">
    <w:name w:val="网格型64"/>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1">
    <w:name w:val="网格型54"/>
    <w:basedOn w:val="8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22">
    <w:name w:val="a表内格式zzzzzzz"/>
    <w:basedOn w:val="1"/>
    <w:next w:val="1"/>
    <w:link w:val="1123"/>
    <w:qFormat/>
    <w:uiPriority w:val="0"/>
    <w:pPr>
      <w:spacing w:line="300" w:lineRule="exact"/>
      <w:jc w:val="center"/>
    </w:pPr>
    <w:rPr>
      <w:rFonts w:ascii="Times New Roman" w:cs="宋体"/>
      <w:sz w:val="21"/>
      <w:szCs w:val="20"/>
    </w:rPr>
  </w:style>
  <w:style w:type="character" w:customStyle="1" w:styleId="1123">
    <w:name w:val="a表内格式zzzzzzz Char"/>
    <w:link w:val="1122"/>
    <w:qFormat/>
    <w:uiPriority w:val="0"/>
    <w:rPr>
      <w:rFonts w:cs="宋体"/>
      <w:kern w:val="2"/>
      <w:sz w:val="21"/>
    </w:rPr>
  </w:style>
  <w:style w:type="character" w:customStyle="1" w:styleId="1124">
    <w:name w:val="Char Char9"/>
    <w:qFormat/>
    <w:uiPriority w:val="0"/>
    <w:rPr>
      <w:rFonts w:ascii="Arial" w:hAnsi="Arial" w:eastAsia="宋体"/>
      <w:kern w:val="2"/>
      <w:sz w:val="24"/>
      <w:lang w:val="en-US" w:eastAsia="zh-CN" w:bidi="ar-SA"/>
    </w:rPr>
  </w:style>
  <w:style w:type="character" w:customStyle="1" w:styleId="1125">
    <w:name w:val="Char Char16"/>
    <w:qFormat/>
    <w:uiPriority w:val="0"/>
    <w:rPr>
      <w:rFonts w:ascii="Arial" w:hAnsi="Arial" w:eastAsia="宋体"/>
      <w:kern w:val="2"/>
      <w:sz w:val="18"/>
      <w:szCs w:val="18"/>
      <w:lang w:val="en-US" w:eastAsia="zh-CN" w:bidi="ar-SA"/>
    </w:rPr>
  </w:style>
  <w:style w:type="character" w:customStyle="1" w:styleId="1126">
    <w:name w:val="标题 1 Char1"/>
    <w:qFormat/>
    <w:uiPriority w:val="0"/>
    <w:rPr>
      <w:rFonts w:ascii="Arial" w:hAnsi="Arial" w:eastAsia="黑体"/>
      <w:b/>
      <w:kern w:val="28"/>
      <w:sz w:val="30"/>
      <w:lang w:val="en-US" w:eastAsia="zh-CN" w:bidi="ar-SA"/>
    </w:rPr>
  </w:style>
  <w:style w:type="paragraph" w:customStyle="1" w:styleId="1127">
    <w:name w:val="我的4级标题样式12"/>
    <w:basedOn w:val="1"/>
    <w:link w:val="1128"/>
    <w:qFormat/>
    <w:uiPriority w:val="0"/>
    <w:pPr>
      <w:tabs>
        <w:tab w:val="left" w:pos="1170"/>
      </w:tabs>
      <w:spacing w:line="520" w:lineRule="exact"/>
    </w:pPr>
    <w:rPr>
      <w:rFonts w:ascii="Arial" w:hAnsi="Arial"/>
      <w:b/>
      <w:color w:val="000000"/>
      <w:sz w:val="24"/>
      <w:szCs w:val="28"/>
    </w:rPr>
  </w:style>
  <w:style w:type="character" w:customStyle="1" w:styleId="1128">
    <w:name w:val="我的4级标题样式12 Char"/>
    <w:link w:val="1127"/>
    <w:qFormat/>
    <w:uiPriority w:val="0"/>
    <w:rPr>
      <w:rFonts w:ascii="Arial" w:hAnsi="Arial"/>
      <w:b/>
      <w:color w:val="000000"/>
      <w:kern w:val="2"/>
      <w:sz w:val="24"/>
      <w:szCs w:val="28"/>
    </w:rPr>
  </w:style>
  <w:style w:type="paragraph" w:customStyle="1" w:styleId="1129">
    <w:name w:val="我的3级标题"/>
    <w:basedOn w:val="1"/>
    <w:link w:val="1130"/>
    <w:qFormat/>
    <w:uiPriority w:val="0"/>
    <w:pPr>
      <w:spacing w:line="600" w:lineRule="exact"/>
      <w:outlineLvl w:val="2"/>
    </w:pPr>
    <w:rPr>
      <w:rFonts w:ascii="Arial" w:hAnsi="Arial"/>
      <w:b/>
      <w:color w:val="000000"/>
      <w:sz w:val="28"/>
      <w:szCs w:val="30"/>
    </w:rPr>
  </w:style>
  <w:style w:type="character" w:customStyle="1" w:styleId="1130">
    <w:name w:val="我的3级标题 Char"/>
    <w:link w:val="1129"/>
    <w:qFormat/>
    <w:uiPriority w:val="0"/>
    <w:rPr>
      <w:rFonts w:ascii="Arial" w:hAnsi="Arial"/>
      <w:b/>
      <w:color w:val="000000"/>
      <w:kern w:val="2"/>
      <w:sz w:val="28"/>
      <w:szCs w:val="30"/>
    </w:rPr>
  </w:style>
  <w:style w:type="paragraph" w:customStyle="1" w:styleId="1131">
    <w:name w:val="我的2级标题"/>
    <w:basedOn w:val="20"/>
    <w:link w:val="1132"/>
    <w:qFormat/>
    <w:uiPriority w:val="0"/>
    <w:pPr>
      <w:spacing w:line="640" w:lineRule="exact"/>
      <w:ind w:firstLine="0"/>
      <w:outlineLvl w:val="1"/>
    </w:pPr>
    <w:rPr>
      <w:rFonts w:ascii="Arial" w:hAnsi="Arial" w:eastAsia="宋体"/>
      <w:b/>
      <w:snapToGrid/>
      <w:color w:val="000000"/>
      <w:sz w:val="32"/>
      <w:szCs w:val="32"/>
    </w:rPr>
  </w:style>
  <w:style w:type="character" w:customStyle="1" w:styleId="1132">
    <w:name w:val="我的2级标题 Char"/>
    <w:link w:val="1131"/>
    <w:qFormat/>
    <w:uiPriority w:val="0"/>
    <w:rPr>
      <w:rFonts w:ascii="Arial" w:hAnsi="Arial"/>
      <w:b/>
      <w:color w:val="000000"/>
      <w:kern w:val="2"/>
      <w:sz w:val="32"/>
      <w:szCs w:val="32"/>
    </w:rPr>
  </w:style>
  <w:style w:type="paragraph" w:customStyle="1" w:styleId="1133">
    <w:name w:val="Char6"/>
    <w:basedOn w:val="1"/>
    <w:qFormat/>
    <w:uiPriority w:val="0"/>
    <w:rPr>
      <w:rFonts w:ascii="Times New Roman"/>
      <w:sz w:val="28"/>
      <w:szCs w:val="24"/>
    </w:rPr>
  </w:style>
  <w:style w:type="paragraph" w:customStyle="1" w:styleId="1134">
    <w:name w:val="我的1级标题"/>
    <w:basedOn w:val="1"/>
    <w:link w:val="1135"/>
    <w:qFormat/>
    <w:uiPriority w:val="0"/>
    <w:pPr>
      <w:spacing w:line="700" w:lineRule="exact"/>
      <w:outlineLvl w:val="0"/>
    </w:pPr>
    <w:rPr>
      <w:rFonts w:ascii="Arial" w:hAnsi="Arial"/>
      <w:b/>
      <w:color w:val="000000"/>
      <w:sz w:val="36"/>
      <w:szCs w:val="36"/>
    </w:rPr>
  </w:style>
  <w:style w:type="character" w:customStyle="1" w:styleId="1135">
    <w:name w:val="我的1级标题 Char"/>
    <w:link w:val="1134"/>
    <w:qFormat/>
    <w:uiPriority w:val="0"/>
    <w:rPr>
      <w:rFonts w:ascii="Arial" w:hAnsi="Arial"/>
      <w:b/>
      <w:color w:val="000000"/>
      <w:kern w:val="2"/>
      <w:sz w:val="36"/>
      <w:szCs w:val="36"/>
    </w:rPr>
  </w:style>
  <w:style w:type="paragraph" w:customStyle="1" w:styleId="1136">
    <w:name w:val="Char Char Char Char Char Char1 Char Char Char Char"/>
    <w:basedOn w:val="1"/>
    <w:qFormat/>
    <w:uiPriority w:val="0"/>
    <w:rPr>
      <w:rFonts w:ascii="Tahoma" w:hAnsi="Tahoma"/>
      <w:sz w:val="24"/>
      <w:szCs w:val="20"/>
    </w:rPr>
  </w:style>
  <w:style w:type="table" w:customStyle="1" w:styleId="1137">
    <w:name w:val="网格型17"/>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38">
    <w:name w:val="Char Char91"/>
    <w:qFormat/>
    <w:uiPriority w:val="0"/>
    <w:rPr>
      <w:rFonts w:ascii="Arial" w:hAnsi="Arial" w:eastAsia="宋体"/>
      <w:kern w:val="2"/>
      <w:sz w:val="24"/>
      <w:lang w:val="en-US" w:eastAsia="zh-CN" w:bidi="ar-SA"/>
    </w:rPr>
  </w:style>
  <w:style w:type="character" w:customStyle="1" w:styleId="1139">
    <w:name w:val="Char Char161"/>
    <w:qFormat/>
    <w:uiPriority w:val="0"/>
    <w:rPr>
      <w:rFonts w:ascii="Arial" w:hAnsi="Arial" w:eastAsia="宋体"/>
      <w:kern w:val="2"/>
      <w:sz w:val="18"/>
      <w:szCs w:val="18"/>
      <w:lang w:val="en-US" w:eastAsia="zh-CN" w:bidi="ar-SA"/>
    </w:rPr>
  </w:style>
  <w:style w:type="paragraph" w:customStyle="1" w:styleId="1140">
    <w:name w:val="Char Char1 Char Char Char Char Char Char Char Char Char Char Char Char Char Char1 Char Char Char Char Char Char14"/>
    <w:basedOn w:val="1"/>
    <w:qFormat/>
    <w:uiPriority w:val="0"/>
    <w:pPr>
      <w:widowControl/>
      <w:spacing w:afterLines="50" w:line="300" w:lineRule="auto"/>
      <w:ind w:firstLine="200" w:firstLineChars="200"/>
    </w:pPr>
    <w:rPr>
      <w:rFonts w:ascii="Times New Roman"/>
      <w:sz w:val="21"/>
      <w:szCs w:val="24"/>
    </w:rPr>
  </w:style>
  <w:style w:type="paragraph" w:customStyle="1" w:styleId="1141">
    <w:name w:val="Char Char Char Char Char Char Char6"/>
    <w:basedOn w:val="1"/>
    <w:qFormat/>
    <w:uiPriority w:val="0"/>
    <w:rPr>
      <w:rFonts w:ascii="Times New Roman"/>
      <w:sz w:val="21"/>
      <w:szCs w:val="24"/>
    </w:rPr>
  </w:style>
  <w:style w:type="paragraph" w:customStyle="1" w:styleId="1142">
    <w:name w:val="Char Char5 Char Char Char Char Char Char Char Char Char23"/>
    <w:basedOn w:val="5"/>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1143">
    <w:name w:val="Char2 Char Char Char Char Char Char3"/>
    <w:basedOn w:val="1"/>
    <w:qFormat/>
    <w:uiPriority w:val="0"/>
    <w:rPr>
      <w:rFonts w:ascii="Times New Roman"/>
      <w:sz w:val="21"/>
      <w:szCs w:val="24"/>
    </w:rPr>
  </w:style>
  <w:style w:type="paragraph" w:customStyle="1" w:styleId="1144">
    <w:name w:val="Char Char Char Char4"/>
    <w:basedOn w:val="5"/>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1145">
    <w:name w:val="Char2 Char Char Char2"/>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paragraph" w:customStyle="1" w:styleId="1146">
    <w:name w:val="Char Char Char Char13"/>
    <w:basedOn w:val="1"/>
    <w:next w:val="1"/>
    <w:qFormat/>
    <w:uiPriority w:val="0"/>
    <w:pPr>
      <w:spacing w:line="360" w:lineRule="auto"/>
      <w:ind w:firstLine="200" w:firstLineChars="200"/>
    </w:pPr>
    <w:rPr>
      <w:rFonts w:hAnsi="宋体" w:cs="宋体"/>
      <w:sz w:val="24"/>
      <w:szCs w:val="24"/>
    </w:rPr>
  </w:style>
  <w:style w:type="paragraph" w:customStyle="1" w:styleId="1147">
    <w:name w:val="Char5"/>
    <w:basedOn w:val="1"/>
    <w:qFormat/>
    <w:uiPriority w:val="0"/>
    <w:rPr>
      <w:rFonts w:ascii="Times New Roman"/>
      <w:sz w:val="28"/>
      <w:szCs w:val="24"/>
    </w:rPr>
  </w:style>
  <w:style w:type="paragraph" w:customStyle="1" w:styleId="1148">
    <w:name w:val="Char Char Char Char Char Char1 Char Char Char Char1"/>
    <w:basedOn w:val="1"/>
    <w:qFormat/>
    <w:uiPriority w:val="0"/>
    <w:rPr>
      <w:rFonts w:ascii="Tahoma" w:hAnsi="Tahoma"/>
      <w:sz w:val="24"/>
      <w:szCs w:val="20"/>
    </w:rPr>
  </w:style>
  <w:style w:type="table" w:customStyle="1" w:styleId="1149">
    <w:name w:val="网格型 114"/>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0">
    <w:name w:val="网格型18"/>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1">
    <w:name w:val="彩色型 17"/>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152">
    <w:name w:val="彩色型 27"/>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153">
    <w:name w:val="彩色型 37"/>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154">
    <w:name w:val="网格型 27"/>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155">
    <w:name w:val="网格型 57"/>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1156">
    <w:name w:val="TOC 标题3"/>
    <w:basedOn w:val="3"/>
    <w:next w:val="1"/>
    <w:unhideWhenUsed/>
    <w:qFormat/>
    <w:uiPriority w:val="39"/>
    <w:pPr>
      <w:widowControl/>
      <w:spacing w:beforeLines="0" w:line="276" w:lineRule="auto"/>
      <w:jc w:val="left"/>
      <w:outlineLvl w:val="9"/>
    </w:pPr>
    <w:rPr>
      <w:rFonts w:ascii="Calibri Light" w:hAnsi="Calibri Light" w:eastAsia="宋体"/>
      <w:b/>
      <w:bCs/>
      <w:snapToGrid/>
      <w:color w:val="5A5C5E"/>
      <w:kern w:val="0"/>
      <w:sz w:val="28"/>
      <w:szCs w:val="28"/>
    </w:rPr>
  </w:style>
  <w:style w:type="character" w:customStyle="1" w:styleId="1157">
    <w:name w:val="z-窗体顶端 Char2"/>
    <w:basedOn w:val="129"/>
    <w:semiHidden/>
    <w:qFormat/>
    <w:uiPriority w:val="99"/>
    <w:rPr>
      <w:rFonts w:ascii="Arial" w:hAnsi="Arial" w:cs="Arial"/>
      <w:vanish/>
      <w:kern w:val="2"/>
      <w:sz w:val="16"/>
      <w:szCs w:val="16"/>
    </w:rPr>
  </w:style>
  <w:style w:type="character" w:customStyle="1" w:styleId="1158">
    <w:name w:val="z-窗体底端 Char2"/>
    <w:basedOn w:val="129"/>
    <w:semiHidden/>
    <w:qFormat/>
    <w:uiPriority w:val="99"/>
    <w:rPr>
      <w:rFonts w:ascii="Arial" w:hAnsi="Arial" w:cs="Arial"/>
      <w:vanish/>
      <w:kern w:val="2"/>
      <w:sz w:val="16"/>
      <w:szCs w:val="16"/>
    </w:rPr>
  </w:style>
  <w:style w:type="table" w:customStyle="1" w:styleId="1159">
    <w:name w:val="彩色型 24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60">
    <w:name w:val="彩色型 34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61">
    <w:name w:val="彩色型 14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62">
    <w:name w:val="网格型 24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63">
    <w:name w:val="网格型 54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4">
    <w:name w:val="彩色型 141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165">
    <w:name w:val="彩色型 241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166">
    <w:name w:val="彩色型 341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167">
    <w:name w:val="网格型 241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168">
    <w:name w:val="网格型 541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1169">
    <w:name w:val="样式 标题 4标题 4 Char标题 4（修改） + 左 段前: 0.5 行 段后: 0.2 行 行距: 多倍行距 1..."/>
    <w:basedOn w:val="6"/>
    <w:qFormat/>
    <w:uiPriority w:val="0"/>
    <w:pPr>
      <w:keepNext/>
      <w:keepLines/>
      <w:widowControl/>
      <w:tabs>
        <w:tab w:val="left" w:pos="864"/>
        <w:tab w:val="clear" w:pos="360"/>
        <w:tab w:val="clear" w:pos="2207"/>
      </w:tabs>
      <w:spacing w:afterLines="20" w:line="264" w:lineRule="auto"/>
      <w:ind w:left="864" w:hanging="864"/>
      <w:jc w:val="left"/>
    </w:pPr>
    <w:rPr>
      <w:rFonts w:ascii="Times New Roman" w:hAnsi="Times New Roman" w:eastAsia="华文仿宋"/>
      <w:snapToGrid/>
      <w:color w:val="auto"/>
      <w:kern w:val="0"/>
      <w:szCs w:val="20"/>
    </w:rPr>
  </w:style>
  <w:style w:type="paragraph" w:customStyle="1" w:styleId="1170">
    <w:name w:val="文档结构图1"/>
    <w:basedOn w:val="1"/>
    <w:qFormat/>
    <w:uiPriority w:val="0"/>
    <w:pPr>
      <w:shd w:val="clear" w:color="auto" w:fill="000080"/>
      <w:spacing w:line="360" w:lineRule="auto"/>
      <w:ind w:firstLine="200" w:firstLineChars="200"/>
    </w:pPr>
    <w:rPr>
      <w:rFonts w:ascii="Times New Roman"/>
      <w:sz w:val="21"/>
      <w:szCs w:val="24"/>
    </w:rPr>
  </w:style>
  <w:style w:type="paragraph" w:customStyle="1" w:styleId="1171">
    <w:name w:val="样式 题注 + 两端对齐"/>
    <w:basedOn w:val="21"/>
    <w:qFormat/>
    <w:uiPriority w:val="0"/>
    <w:pPr>
      <w:keepNext/>
      <w:widowControl/>
      <w:spacing w:line="360" w:lineRule="auto"/>
      <w:jc w:val="center"/>
    </w:pPr>
    <w:rPr>
      <w:rFonts w:hint="eastAsia" w:ascii="Times New Roman" w:hAnsi="Times New Roman" w:eastAsia="宋体" w:cs="宋体"/>
      <w:sz w:val="21"/>
    </w:rPr>
  </w:style>
  <w:style w:type="paragraph" w:customStyle="1" w:styleId="1172">
    <w:name w:val="Char Char1 Char Char Char Char Char Char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character" w:customStyle="1" w:styleId="1173">
    <w:name w:val="样式1 Char Char"/>
    <w:qFormat/>
    <w:uiPriority w:val="0"/>
    <w:rPr>
      <w:kern w:val="2"/>
      <w:sz w:val="21"/>
      <w:szCs w:val="24"/>
    </w:rPr>
  </w:style>
  <w:style w:type="paragraph" w:customStyle="1" w:styleId="1174">
    <w:name w:val="样式 标题 2标题2.1标题 1.1 + 黑体 四号 非加粗 蓝色 段前: 15.6 磅 段后: 7.8 磅 行..."/>
    <w:basedOn w:val="4"/>
    <w:qFormat/>
    <w:uiPriority w:val="0"/>
    <w:pPr>
      <w:keepNext w:val="0"/>
      <w:keepLines w:val="0"/>
      <w:widowControl/>
      <w:tabs>
        <w:tab w:val="left" w:pos="576"/>
      </w:tabs>
      <w:adjustRightInd w:val="0"/>
      <w:spacing w:before="312" w:after="240" w:line="360" w:lineRule="exact"/>
      <w:ind w:left="578" w:hanging="578"/>
      <w:jc w:val="left"/>
    </w:pPr>
    <w:rPr>
      <w:rFonts w:ascii="黑体" w:hAnsi="Times New Roman" w:eastAsia="黑体"/>
      <w:bCs w:val="0"/>
      <w:smallCaps/>
      <w:snapToGrid/>
      <w:color w:val="0000FF"/>
      <w:sz w:val="28"/>
      <w:szCs w:val="20"/>
    </w:rPr>
  </w:style>
  <w:style w:type="paragraph" w:customStyle="1" w:styleId="1175">
    <w:name w:val="样式 四号 黑色 首行缩进:  2 字符"/>
    <w:basedOn w:val="1"/>
    <w:qFormat/>
    <w:uiPriority w:val="0"/>
    <w:pPr>
      <w:widowControl/>
      <w:spacing w:line="480" w:lineRule="exact"/>
      <w:ind w:firstLine="200" w:firstLineChars="200"/>
      <w:jc w:val="left"/>
    </w:pPr>
    <w:rPr>
      <w:rFonts w:hAnsi="宋体" w:cs="宋体"/>
      <w:color w:val="000000"/>
      <w:kern w:val="0"/>
      <w:sz w:val="24"/>
      <w:szCs w:val="24"/>
    </w:rPr>
  </w:style>
  <w:style w:type="paragraph" w:customStyle="1" w:styleId="1176">
    <w:name w:val="样式 正文（首行缩进两字） + 宋体 小四 加粗 行距: 固定值 24 磅"/>
    <w:basedOn w:val="20"/>
    <w:qFormat/>
    <w:uiPriority w:val="0"/>
    <w:pPr>
      <w:widowControl/>
      <w:adjustRightInd w:val="0"/>
      <w:spacing w:line="480" w:lineRule="exact"/>
      <w:ind w:firstLine="480" w:firstLineChars="200"/>
      <w:jc w:val="left"/>
    </w:pPr>
    <w:rPr>
      <w:rFonts w:eastAsia="宋体"/>
      <w:snapToGrid/>
      <w:sz w:val="24"/>
      <w:szCs w:val="20"/>
      <w:lang w:val="en-GB"/>
    </w:rPr>
  </w:style>
  <w:style w:type="paragraph" w:customStyle="1" w:styleId="1177">
    <w:name w:val="表格用字 Char1"/>
    <w:basedOn w:val="72"/>
    <w:qFormat/>
    <w:uiPriority w:val="0"/>
    <w:pPr>
      <w:widowControl/>
      <w:spacing w:line="0" w:lineRule="atLeast"/>
      <w:jc w:val="both"/>
    </w:pPr>
    <w:rPr>
      <w:rFonts w:eastAsia="仿宋_GB2312"/>
      <w:b/>
      <w:kern w:val="0"/>
      <w:sz w:val="30"/>
      <w:szCs w:val="24"/>
    </w:rPr>
  </w:style>
  <w:style w:type="paragraph" w:customStyle="1" w:styleId="1178">
    <w:name w:val="Char Char7 Char Char Char Char Char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179">
    <w:name w:val="样式 标题 2标题2二级 标题 2H2h2第一层条标题 2 Char节标题节11 Char标题 2 Cha...2"/>
    <w:basedOn w:val="4"/>
    <w:qFormat/>
    <w:uiPriority w:val="0"/>
    <w:pPr>
      <w:keepNext w:val="0"/>
      <w:keepLines w:val="0"/>
      <w:widowControl/>
      <w:adjustRightInd w:val="0"/>
      <w:spacing w:before="240" w:after="240" w:line="360" w:lineRule="exact"/>
      <w:ind w:left="578" w:hanging="578"/>
      <w:jc w:val="left"/>
    </w:pPr>
    <w:rPr>
      <w:rFonts w:ascii="Times New Roman" w:hAnsi="Times New Roman" w:eastAsia="仿宋_GB2312"/>
      <w:bCs w:val="0"/>
      <w:smallCaps/>
      <w:snapToGrid/>
      <w:sz w:val="24"/>
      <w:szCs w:val="20"/>
    </w:rPr>
  </w:style>
  <w:style w:type="paragraph" w:customStyle="1" w:styleId="1180">
    <w:name w:val="样式 标题 3 + 行距: 固定值 28 磅"/>
    <w:basedOn w:val="5"/>
    <w:qFormat/>
    <w:uiPriority w:val="0"/>
    <w:pPr>
      <w:keepLines w:val="0"/>
      <w:adjustRightInd w:val="0"/>
      <w:spacing w:before="120" w:after="120" w:line="440" w:lineRule="exact"/>
    </w:pPr>
    <w:rPr>
      <w:rFonts w:eastAsia="黑体" w:cs="宋体"/>
      <w:i/>
      <w:iCs/>
      <w:sz w:val="24"/>
      <w:szCs w:val="24"/>
    </w:rPr>
  </w:style>
  <w:style w:type="paragraph" w:customStyle="1" w:styleId="1181">
    <w:name w:val="样式 标题 1标题 1 Char Char + Times New Roman 段后: 0.5 行"/>
    <w:basedOn w:val="3"/>
    <w:qFormat/>
    <w:uiPriority w:val="0"/>
    <w:pPr>
      <w:widowControl/>
      <w:tabs>
        <w:tab w:val="left" w:pos="4500"/>
      </w:tabs>
      <w:adjustRightInd w:val="0"/>
      <w:snapToGrid w:val="0"/>
      <w:spacing w:beforeLines="0" w:afterLines="50" w:line="460" w:lineRule="exact"/>
      <w:jc w:val="left"/>
    </w:pPr>
    <w:rPr>
      <w:rFonts w:ascii="宋体" w:hAnsi="宋体" w:eastAsia="宋体" w:cs="宋体"/>
      <w:b/>
      <w:snapToGrid/>
      <w:sz w:val="30"/>
      <w:szCs w:val="20"/>
    </w:rPr>
  </w:style>
  <w:style w:type="paragraph" w:customStyle="1" w:styleId="1182">
    <w:name w:val="表格统一样式 小五 局中"/>
    <w:basedOn w:val="1"/>
    <w:qFormat/>
    <w:uiPriority w:val="0"/>
    <w:pPr>
      <w:widowControl/>
      <w:autoSpaceDE w:val="0"/>
      <w:autoSpaceDN w:val="0"/>
      <w:jc w:val="center"/>
    </w:pPr>
    <w:rPr>
      <w:rFonts w:hAnsi="宋体" w:eastAsia="仿宋_GB2312" w:cs="宋体"/>
      <w:color w:val="000000"/>
      <w:kern w:val="0"/>
      <w:sz w:val="18"/>
      <w:szCs w:val="24"/>
    </w:rPr>
  </w:style>
  <w:style w:type="paragraph" w:customStyle="1" w:styleId="1183">
    <w:name w:val="LT表内容"/>
    <w:basedOn w:val="1"/>
    <w:qFormat/>
    <w:uiPriority w:val="0"/>
    <w:pPr>
      <w:widowControl/>
      <w:jc w:val="center"/>
    </w:pPr>
    <w:rPr>
      <w:rFonts w:hAnsi="宋体" w:cs="宋体"/>
      <w:kern w:val="28"/>
      <w:sz w:val="24"/>
      <w:szCs w:val="24"/>
    </w:rPr>
  </w:style>
  <w:style w:type="paragraph" w:customStyle="1" w:styleId="1184">
    <w:name w:val="样式 标题 2标题2H2h2第一层条 + 段前: 7.8 磅"/>
    <w:basedOn w:val="4"/>
    <w:qFormat/>
    <w:uiPriority w:val="0"/>
    <w:pPr>
      <w:keepNext w:val="0"/>
      <w:keepLines w:val="0"/>
      <w:widowControl/>
      <w:adjustRightInd w:val="0"/>
      <w:spacing w:before="240" w:after="240" w:line="360" w:lineRule="exact"/>
      <w:ind w:left="578" w:hanging="578"/>
      <w:jc w:val="left"/>
    </w:pPr>
    <w:rPr>
      <w:rFonts w:ascii="Times New Roman" w:hAnsi="Times New Roman" w:eastAsia="仿宋_GB2312"/>
      <w:bCs w:val="0"/>
      <w:smallCaps/>
      <w:snapToGrid/>
      <w:sz w:val="24"/>
      <w:szCs w:val="20"/>
    </w:rPr>
  </w:style>
  <w:style w:type="character" w:customStyle="1" w:styleId="1185">
    <w:name w:val="样式 标题 1 + (中文) 宋体 小四 Char Char"/>
    <w:link w:val="1186"/>
    <w:qFormat/>
    <w:uiPriority w:val="0"/>
    <w:rPr>
      <w:b/>
      <w:kern w:val="2"/>
      <w:sz w:val="44"/>
      <w:szCs w:val="24"/>
    </w:rPr>
  </w:style>
  <w:style w:type="paragraph" w:customStyle="1" w:styleId="1186">
    <w:name w:val="样式 标题 1 + (中文) 宋体 小四"/>
    <w:basedOn w:val="3"/>
    <w:link w:val="1185"/>
    <w:qFormat/>
    <w:uiPriority w:val="0"/>
    <w:pPr>
      <w:widowControl/>
      <w:spacing w:beforeLines="0"/>
      <w:jc w:val="left"/>
    </w:pPr>
    <w:rPr>
      <w:rFonts w:eastAsia="宋体"/>
      <w:b/>
      <w:snapToGrid/>
      <w:kern w:val="2"/>
      <w:sz w:val="44"/>
    </w:rPr>
  </w:style>
  <w:style w:type="paragraph" w:customStyle="1" w:styleId="1187">
    <w:name w:val="列图"/>
    <w:basedOn w:val="62"/>
    <w:next w:val="1"/>
    <w:qFormat/>
    <w:uiPriority w:val="0"/>
    <w:pPr>
      <w:keepLines/>
      <w:widowControl/>
      <w:spacing w:before="120" w:after="120" w:line="300" w:lineRule="exact"/>
      <w:ind w:left="0" w:firstLine="0" w:firstLineChars="0"/>
    </w:pPr>
    <w:rPr>
      <w:rFonts w:hAnsi="宋体" w:eastAsia="仿宋_GB2312" w:cs="宋体"/>
      <w:kern w:val="28"/>
    </w:rPr>
  </w:style>
  <w:style w:type="character" w:customStyle="1" w:styleId="1188">
    <w:name w:val="段落(G) Char Char"/>
    <w:link w:val="1189"/>
    <w:qFormat/>
    <w:uiPriority w:val="0"/>
    <w:rPr>
      <w:color w:val="000000"/>
      <w:kern w:val="24"/>
      <w:sz w:val="24"/>
      <w:szCs w:val="24"/>
      <w:lang w:val="zh-CN"/>
    </w:rPr>
  </w:style>
  <w:style w:type="paragraph" w:customStyle="1" w:styleId="1189">
    <w:name w:val="段落(G)"/>
    <w:basedOn w:val="1"/>
    <w:link w:val="1188"/>
    <w:qFormat/>
    <w:uiPriority w:val="0"/>
    <w:pPr>
      <w:tabs>
        <w:tab w:val="left" w:pos="1021"/>
        <w:tab w:val="left" w:pos="1320"/>
      </w:tabs>
      <w:spacing w:line="360" w:lineRule="auto"/>
      <w:ind w:firstLine="480" w:firstLineChars="200"/>
    </w:pPr>
    <w:rPr>
      <w:rFonts w:ascii="Times New Roman"/>
      <w:color w:val="000000"/>
      <w:kern w:val="24"/>
      <w:sz w:val="24"/>
      <w:szCs w:val="24"/>
      <w:lang w:val="zh-CN"/>
    </w:rPr>
  </w:style>
  <w:style w:type="paragraph" w:customStyle="1" w:styleId="1190">
    <w:name w:val="Char Char Char3 Char Char Char Char"/>
    <w:basedOn w:val="1"/>
    <w:next w:val="1"/>
    <w:qFormat/>
    <w:uiPriority w:val="0"/>
    <w:pPr>
      <w:spacing w:line="360" w:lineRule="auto"/>
      <w:ind w:firstLine="200" w:firstLineChars="200"/>
    </w:pPr>
    <w:rPr>
      <w:rFonts w:hAnsi="宋体" w:eastAsia="仿宋_GB2312" w:cs="宋体"/>
      <w:sz w:val="24"/>
      <w:szCs w:val="24"/>
    </w:rPr>
  </w:style>
  <w:style w:type="paragraph" w:customStyle="1" w:styleId="1191">
    <w:name w:val="s0"/>
    <w:qFormat/>
    <w:uiPriority w:val="0"/>
    <w:pPr>
      <w:widowControl w:val="0"/>
      <w:autoSpaceDE w:val="0"/>
      <w:autoSpaceDN w:val="0"/>
      <w:adjustRightInd w:val="0"/>
    </w:pPr>
    <w:rPr>
      <w:rFonts w:ascii="????" w:hAnsi="Times New Roman" w:eastAsia="????" w:cs="Times New Roman"/>
      <w:lang w:val="en-US" w:eastAsia="zh-CN" w:bidi="ar-SA"/>
    </w:rPr>
  </w:style>
  <w:style w:type="character" w:customStyle="1" w:styleId="1192">
    <w:name w:val="标题3 Char"/>
    <w:qFormat/>
    <w:uiPriority w:val="0"/>
    <w:rPr>
      <w:rFonts w:ascii="黑体" w:hAnsi="黑体" w:eastAsia="黑体"/>
      <w:color w:val="000000"/>
      <w:kern w:val="2"/>
      <w:sz w:val="28"/>
      <w:szCs w:val="24"/>
    </w:rPr>
  </w:style>
  <w:style w:type="paragraph" w:customStyle="1" w:styleId="1193">
    <w:name w:val="样式 标题 3标题3H3h33rd level第二层条头标题 3 Char Char小标题小节标题标题 3 ...3"/>
    <w:basedOn w:val="5"/>
    <w:qFormat/>
    <w:uiPriority w:val="0"/>
    <w:pPr>
      <w:tabs>
        <w:tab w:val="left" w:pos="709"/>
      </w:tabs>
      <w:spacing w:beforeLines="50" w:after="240" w:line="240" w:lineRule="exact"/>
      <w:ind w:left="709" w:hanging="709"/>
    </w:pPr>
    <w:rPr>
      <w:bCs w:val="0"/>
      <w:i/>
      <w:iCs/>
      <w:color w:val="000000"/>
      <w:sz w:val="24"/>
      <w:szCs w:val="24"/>
    </w:rPr>
  </w:style>
  <w:style w:type="paragraph" w:customStyle="1" w:styleId="1194">
    <w:name w:val="正文文本缩进 22"/>
    <w:basedOn w:val="1"/>
    <w:qFormat/>
    <w:uiPriority w:val="0"/>
    <w:pPr>
      <w:widowControl/>
      <w:adjustRightInd w:val="0"/>
      <w:spacing w:line="460" w:lineRule="exact"/>
      <w:ind w:firstLine="480"/>
      <w:jc w:val="left"/>
    </w:pPr>
    <w:rPr>
      <w:rFonts w:hAnsi="宋体" w:cs="宋体"/>
      <w:kern w:val="0"/>
      <w:sz w:val="24"/>
      <w:szCs w:val="24"/>
    </w:rPr>
  </w:style>
  <w:style w:type="paragraph" w:customStyle="1" w:styleId="1195">
    <w:name w:val="仪征表"/>
    <w:basedOn w:val="1"/>
    <w:qFormat/>
    <w:uiPriority w:val="0"/>
    <w:pPr>
      <w:widowControl/>
      <w:adjustRightInd w:val="0"/>
      <w:spacing w:line="312" w:lineRule="exact"/>
      <w:jc w:val="center"/>
    </w:pPr>
    <w:rPr>
      <w:rFonts w:ascii="Arial" w:hAnsi="Arial" w:eastAsia="仿宋_GB2312" w:cs="宋体"/>
      <w:b/>
      <w:color w:val="000000"/>
      <w:kern w:val="0"/>
      <w:sz w:val="24"/>
      <w:szCs w:val="24"/>
    </w:rPr>
  </w:style>
  <w:style w:type="paragraph" w:customStyle="1" w:styleId="1196">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197">
    <w:name w:val="LT正文1"/>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1198">
    <w:name w:val="样式 首行缩进:  2 字符5"/>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199">
    <w:name w:val="样式 标题 3标题 3 Char + 黑色 行距: 固定值 26 磅"/>
    <w:basedOn w:val="5"/>
    <w:qFormat/>
    <w:uiPriority w:val="0"/>
    <w:pPr>
      <w:tabs>
        <w:tab w:val="left" w:pos="720"/>
        <w:tab w:val="left" w:pos="900"/>
        <w:tab w:val="left" w:pos="1260"/>
        <w:tab w:val="left" w:pos="1800"/>
      </w:tabs>
      <w:adjustRightInd w:val="0"/>
      <w:spacing w:beforeLines="100" w:after="0" w:line="520" w:lineRule="exact"/>
      <w:ind w:left="1042" w:hanging="1042"/>
    </w:pPr>
    <w:rPr>
      <w:rFonts w:ascii="宋体" w:cs="宋体"/>
      <w:b w:val="0"/>
      <w:i/>
      <w:iCs/>
      <w:szCs w:val="24"/>
    </w:rPr>
  </w:style>
  <w:style w:type="paragraph" w:customStyle="1" w:styleId="1200">
    <w:name w:val="样式 段后: 6 磅 行距: 多倍行距 1.2 字行"/>
    <w:basedOn w:val="1"/>
    <w:qFormat/>
    <w:uiPriority w:val="0"/>
    <w:pPr>
      <w:widowControl/>
      <w:tabs>
        <w:tab w:val="left" w:pos="272"/>
      </w:tabs>
      <w:spacing w:after="120" w:line="288" w:lineRule="auto"/>
      <w:ind w:left="-227" w:firstLine="227"/>
      <w:jc w:val="left"/>
    </w:pPr>
    <w:rPr>
      <w:rFonts w:hAnsi="宋体" w:eastAsia="仿宋_GB2312" w:cs="宋体"/>
      <w:kern w:val="0"/>
      <w:sz w:val="24"/>
      <w:szCs w:val="24"/>
    </w:rPr>
  </w:style>
  <w:style w:type="paragraph" w:customStyle="1" w:styleId="1201">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1202">
    <w:name w:val="Char Char20"/>
    <w:basedOn w:val="1"/>
    <w:qFormat/>
    <w:uiPriority w:val="0"/>
    <w:pPr>
      <w:spacing w:line="375" w:lineRule="exact"/>
      <w:ind w:firstLine="128" w:firstLineChars="50"/>
      <w:jc w:val="left"/>
    </w:pPr>
    <w:rPr>
      <w:rFonts w:ascii="Times New Roman"/>
      <w:sz w:val="24"/>
      <w:szCs w:val="24"/>
    </w:rPr>
  </w:style>
  <w:style w:type="paragraph" w:customStyle="1" w:styleId="1203">
    <w:name w:val="样式 标题 11.标题 1一、标题 1 Char Char Char Char + 小四"/>
    <w:basedOn w:val="3"/>
    <w:qFormat/>
    <w:uiPriority w:val="0"/>
    <w:pPr>
      <w:widowControl/>
      <w:tabs>
        <w:tab w:val="left" w:pos="432"/>
      </w:tabs>
      <w:spacing w:beforeLines="50" w:afterLines="50" w:line="240" w:lineRule="auto"/>
      <w:ind w:left="432" w:hanging="432"/>
      <w:jc w:val="left"/>
    </w:pPr>
    <w:rPr>
      <w:rFonts w:ascii="黑体" w:hAnsi="宋体" w:cs="宋体"/>
      <w:b/>
      <w:snapToGrid/>
      <w:sz w:val="28"/>
      <w:szCs w:val="20"/>
    </w:rPr>
  </w:style>
  <w:style w:type="paragraph" w:customStyle="1" w:styleId="1204">
    <w:name w:val="正文表格"/>
    <w:basedOn w:val="1"/>
    <w:qFormat/>
    <w:uiPriority w:val="0"/>
    <w:pPr>
      <w:keepNext/>
      <w:keepLines/>
      <w:widowControl/>
      <w:overflowPunct w:val="0"/>
      <w:adjustRightInd w:val="0"/>
      <w:spacing w:before="80"/>
      <w:jc w:val="center"/>
    </w:pPr>
    <w:rPr>
      <w:rFonts w:hAnsi="宋体" w:cs="宋体"/>
      <w:kern w:val="0"/>
      <w:sz w:val="28"/>
      <w:szCs w:val="24"/>
    </w:rPr>
  </w:style>
  <w:style w:type="paragraph" w:customStyle="1" w:styleId="1205">
    <w:name w:val="样式节"/>
    <w:basedOn w:val="1"/>
    <w:qFormat/>
    <w:uiPriority w:val="0"/>
    <w:pPr>
      <w:widowControl/>
      <w:adjustRightInd w:val="0"/>
      <w:snapToGrid w:val="0"/>
      <w:spacing w:before="120" w:after="120" w:line="312" w:lineRule="auto"/>
      <w:ind w:firstLine="567"/>
      <w:jc w:val="left"/>
    </w:pPr>
    <w:rPr>
      <w:rFonts w:hAnsi="宋体" w:cs="宋体"/>
      <w:b/>
      <w:bCs/>
      <w:spacing w:val="6"/>
      <w:kern w:val="0"/>
      <w:sz w:val="32"/>
      <w:szCs w:val="32"/>
    </w:rPr>
  </w:style>
  <w:style w:type="paragraph" w:customStyle="1" w:styleId="1206">
    <w:name w:val="xl60"/>
    <w:basedOn w:val="1"/>
    <w:qFormat/>
    <w:uiPriority w:val="0"/>
    <w:pPr>
      <w:widowControl/>
      <w:pBdr>
        <w:left w:val="single" w:color="auto" w:sz="8" w:space="0"/>
        <w:right w:val="single" w:color="auto" w:sz="4" w:space="0"/>
      </w:pBdr>
      <w:spacing w:before="100" w:after="100"/>
      <w:jc w:val="center"/>
    </w:pPr>
    <w:rPr>
      <w:rFonts w:hAnsi="宋体" w:cs="宋体"/>
      <w:kern w:val="0"/>
      <w:sz w:val="24"/>
      <w:szCs w:val="24"/>
    </w:rPr>
  </w:style>
  <w:style w:type="paragraph" w:customStyle="1" w:styleId="1207">
    <w:name w:val="Char Char5 Char Char Char Char Char Char Char Char Char2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208">
    <w:name w:val="样式 小五 居中 首行缩进:  2 字符"/>
    <w:basedOn w:val="1"/>
    <w:qFormat/>
    <w:uiPriority w:val="0"/>
    <w:pPr>
      <w:widowControl/>
      <w:jc w:val="center"/>
    </w:pPr>
    <w:rPr>
      <w:rFonts w:hAnsi="宋体" w:cs="宋体"/>
      <w:kern w:val="0"/>
      <w:sz w:val="18"/>
      <w:szCs w:val="24"/>
    </w:rPr>
  </w:style>
  <w:style w:type="paragraph" w:customStyle="1" w:styleId="1209">
    <w:name w:val="1-表内"/>
    <w:basedOn w:val="1"/>
    <w:qFormat/>
    <w:uiPriority w:val="0"/>
    <w:pPr>
      <w:jc w:val="center"/>
    </w:pPr>
    <w:rPr>
      <w:rFonts w:ascii="Times New Roman"/>
      <w:sz w:val="21"/>
      <w:szCs w:val="21"/>
    </w:rPr>
  </w:style>
  <w:style w:type="paragraph" w:customStyle="1" w:styleId="1210">
    <w:name w:val="样式 题目 + 左侧:  1 字符 右侧:  1 字符"/>
    <w:basedOn w:val="3"/>
    <w:qFormat/>
    <w:uiPriority w:val="0"/>
    <w:pPr>
      <w:widowControl/>
      <w:adjustRightInd w:val="0"/>
      <w:snapToGrid w:val="0"/>
      <w:spacing w:beforeLines="0" w:beforeAutospacing="1" w:after="100" w:afterAutospacing="1"/>
      <w:ind w:right="238"/>
      <w:jc w:val="center"/>
    </w:pPr>
    <w:rPr>
      <w:rFonts w:ascii="宋体" w:hAnsi="宋体" w:cs="宋体"/>
      <w:b/>
      <w:bCs/>
      <w:snapToGrid/>
      <w:kern w:val="0"/>
      <w:szCs w:val="20"/>
    </w:rPr>
  </w:style>
  <w:style w:type="character" w:customStyle="1" w:styleId="1211">
    <w:name w:val="正文000 Char Char"/>
    <w:link w:val="1212"/>
    <w:qFormat/>
    <w:uiPriority w:val="0"/>
    <w:rPr>
      <w:kern w:val="2"/>
      <w:sz w:val="24"/>
    </w:rPr>
  </w:style>
  <w:style w:type="paragraph" w:customStyle="1" w:styleId="1212">
    <w:name w:val="正文000"/>
    <w:basedOn w:val="1"/>
    <w:link w:val="1211"/>
    <w:qFormat/>
    <w:uiPriority w:val="0"/>
    <w:pPr>
      <w:widowControl/>
      <w:spacing w:line="288" w:lineRule="auto"/>
      <w:ind w:firstLine="480" w:firstLineChars="200"/>
      <w:jc w:val="left"/>
    </w:pPr>
    <w:rPr>
      <w:rFonts w:ascii="Times New Roman"/>
      <w:sz w:val="24"/>
      <w:szCs w:val="20"/>
    </w:rPr>
  </w:style>
  <w:style w:type="paragraph" w:customStyle="1" w:styleId="1213">
    <w:name w:val="Char Char Char Char Char Char1"/>
    <w:basedOn w:val="1"/>
    <w:qFormat/>
    <w:uiPriority w:val="0"/>
    <w:pPr>
      <w:widowControl/>
      <w:spacing w:after="160" w:line="240" w:lineRule="exact"/>
      <w:jc w:val="left"/>
    </w:pPr>
    <w:rPr>
      <w:rFonts w:ascii="Verdana" w:hAnsi="Verdana" w:cs="宋体"/>
      <w:kern w:val="0"/>
      <w:sz w:val="20"/>
      <w:szCs w:val="24"/>
      <w:lang w:eastAsia="en-US"/>
    </w:rPr>
  </w:style>
  <w:style w:type="paragraph" w:customStyle="1" w:styleId="1214">
    <w:name w:val="样式 标题 4 + 四号"/>
    <w:basedOn w:val="6"/>
    <w:qFormat/>
    <w:uiPriority w:val="0"/>
    <w:pPr>
      <w:keepNext/>
      <w:keepLines/>
      <w:widowControl/>
      <w:tabs>
        <w:tab w:val="clear" w:pos="360"/>
        <w:tab w:val="clear" w:pos="2207"/>
      </w:tabs>
      <w:snapToGrid w:val="0"/>
      <w:spacing w:beforeLines="0" w:afterLines="0" w:line="480" w:lineRule="exact"/>
      <w:ind w:firstLine="200" w:firstLineChars="200"/>
      <w:jc w:val="left"/>
    </w:pPr>
    <w:rPr>
      <w:rFonts w:ascii="Times New Roman" w:hAnsi="Times New Roman" w:eastAsia="宋体"/>
      <w:snapToGrid/>
      <w:color w:val="auto"/>
      <w:kern w:val="0"/>
      <w:szCs w:val="20"/>
    </w:rPr>
  </w:style>
  <w:style w:type="character" w:customStyle="1" w:styleId="1215">
    <w:name w:val="新正文样式 Char Char"/>
    <w:link w:val="1216"/>
    <w:qFormat/>
    <w:uiPriority w:val="0"/>
    <w:rPr>
      <w:rFonts w:ascii="宋体" w:hAnsi="宋体" w:cs="宋体"/>
      <w:spacing w:val="20"/>
      <w:sz w:val="24"/>
      <w:szCs w:val="24"/>
    </w:rPr>
  </w:style>
  <w:style w:type="paragraph" w:customStyle="1" w:styleId="1216">
    <w:name w:val="新正文样式"/>
    <w:basedOn w:val="1"/>
    <w:link w:val="1215"/>
    <w:qFormat/>
    <w:uiPriority w:val="0"/>
    <w:pPr>
      <w:widowControl/>
      <w:tabs>
        <w:tab w:val="left" w:pos="567"/>
      </w:tabs>
      <w:spacing w:line="360" w:lineRule="auto"/>
      <w:ind w:firstLine="567"/>
      <w:jc w:val="left"/>
    </w:pPr>
    <w:rPr>
      <w:rFonts w:hAnsi="宋体" w:cs="宋体"/>
      <w:spacing w:val="20"/>
      <w:kern w:val="0"/>
      <w:sz w:val="24"/>
      <w:szCs w:val="24"/>
    </w:rPr>
  </w:style>
  <w:style w:type="paragraph" w:customStyle="1" w:styleId="1217">
    <w:name w:val="封皮字体1"/>
    <w:basedOn w:val="1"/>
    <w:qFormat/>
    <w:uiPriority w:val="0"/>
    <w:pPr>
      <w:widowControl/>
      <w:spacing w:line="360" w:lineRule="auto"/>
      <w:jc w:val="center"/>
    </w:pPr>
    <w:rPr>
      <w:rFonts w:ascii="黑体" w:hAnsi="宋体" w:eastAsia="黑体" w:cs="宋体"/>
      <w:bCs/>
      <w:kern w:val="0"/>
      <w:sz w:val="44"/>
      <w:szCs w:val="24"/>
    </w:rPr>
  </w:style>
  <w:style w:type="paragraph" w:customStyle="1" w:styleId="1218">
    <w:name w:val="Char Char1 Char"/>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1219">
    <w:name w:val="zhang正文"/>
    <w:basedOn w:val="33"/>
    <w:qFormat/>
    <w:uiPriority w:val="0"/>
    <w:pPr>
      <w:widowControl/>
      <w:autoSpaceDE w:val="0"/>
      <w:autoSpaceDN w:val="0"/>
      <w:adjustRightInd w:val="0"/>
      <w:snapToGrid w:val="0"/>
      <w:spacing w:line="360" w:lineRule="auto"/>
      <w:ind w:firstLine="539"/>
      <w:jc w:val="left"/>
    </w:pPr>
    <w:rPr>
      <w:rFonts w:eastAsia="楷体_GB2312" w:cs="宋体"/>
      <w:kern w:val="0"/>
      <w:sz w:val="28"/>
      <w:szCs w:val="20"/>
    </w:rPr>
  </w:style>
  <w:style w:type="paragraph" w:customStyle="1" w:styleId="1220">
    <w:name w:val="lou"/>
    <w:basedOn w:val="1"/>
    <w:qFormat/>
    <w:uiPriority w:val="0"/>
    <w:pPr>
      <w:widowControl/>
      <w:spacing w:before="100" w:beforeAutospacing="1" w:after="100" w:afterAutospacing="1"/>
      <w:jc w:val="left"/>
    </w:pPr>
    <w:rPr>
      <w:rFonts w:hAnsi="宋体" w:cs="宋体"/>
      <w:kern w:val="0"/>
      <w:sz w:val="24"/>
      <w:szCs w:val="24"/>
    </w:rPr>
  </w:style>
  <w:style w:type="paragraph" w:customStyle="1" w:styleId="1221">
    <w:name w:val="样式 小四 行距: 1.5 倍行距 首行缩进:  2 字符"/>
    <w:basedOn w:val="1"/>
    <w:qFormat/>
    <w:uiPriority w:val="0"/>
    <w:pPr>
      <w:widowControl/>
      <w:spacing w:line="360" w:lineRule="auto"/>
      <w:ind w:firstLine="480" w:firstLineChars="200"/>
      <w:jc w:val="left"/>
    </w:pPr>
    <w:rPr>
      <w:rFonts w:hAnsi="宋体" w:cs="宋体"/>
      <w:kern w:val="0"/>
      <w:sz w:val="24"/>
      <w:szCs w:val="24"/>
    </w:rPr>
  </w:style>
  <w:style w:type="character" w:customStyle="1" w:styleId="1222">
    <w:name w:val="样式 正文文本 + Char Char"/>
    <w:link w:val="1223"/>
    <w:qFormat/>
    <w:uiPriority w:val="0"/>
    <w:rPr>
      <w:rFonts w:ascii="仿宋_GB2312" w:eastAsia="仿宋_GB2312"/>
      <w:spacing w:val="-6"/>
      <w:kern w:val="2"/>
      <w:sz w:val="18"/>
    </w:rPr>
  </w:style>
  <w:style w:type="paragraph" w:customStyle="1" w:styleId="1223">
    <w:name w:val="样式 正文文本 +"/>
    <w:basedOn w:val="32"/>
    <w:link w:val="1222"/>
    <w:qFormat/>
    <w:uiPriority w:val="0"/>
    <w:pPr>
      <w:widowControl/>
      <w:adjustRightInd w:val="0"/>
      <w:snapToGrid w:val="0"/>
      <w:spacing w:before="60" w:after="60" w:line="264" w:lineRule="auto"/>
      <w:ind w:firstLine="200" w:firstLineChars="200"/>
      <w:jc w:val="left"/>
    </w:pPr>
    <w:rPr>
      <w:rFonts w:ascii="仿宋_GB2312" w:eastAsia="仿宋_GB2312"/>
      <w:spacing w:val="-6"/>
      <w:sz w:val="18"/>
      <w:szCs w:val="20"/>
    </w:rPr>
  </w:style>
  <w:style w:type="paragraph" w:customStyle="1" w:styleId="1224">
    <w:name w:val="Char Char Char1 Char Char Char Char Char Char Char Char Char"/>
    <w:basedOn w:val="1"/>
    <w:qFormat/>
    <w:uiPriority w:val="0"/>
    <w:pPr>
      <w:widowControl/>
      <w:jc w:val="left"/>
    </w:pPr>
    <w:rPr>
      <w:rFonts w:hAnsi="宋体" w:eastAsia="楷体_GB2312" w:cs="宋体"/>
      <w:b/>
      <w:kern w:val="0"/>
      <w:sz w:val="28"/>
      <w:szCs w:val="28"/>
    </w:rPr>
  </w:style>
  <w:style w:type="paragraph" w:customStyle="1" w:styleId="1225">
    <w:name w:val="样式 样式 首行缩进:  2 字符 + 首行缩进:  2 字符"/>
    <w:basedOn w:val="1"/>
    <w:qFormat/>
    <w:uiPriority w:val="0"/>
    <w:pPr>
      <w:spacing w:line="360" w:lineRule="auto"/>
      <w:ind w:firstLine="200" w:firstLineChars="200"/>
    </w:pPr>
    <w:rPr>
      <w:rFonts w:ascii="Times New Roman" w:cs="宋体"/>
      <w:kern w:val="0"/>
      <w:sz w:val="28"/>
      <w:szCs w:val="20"/>
    </w:rPr>
  </w:style>
  <w:style w:type="paragraph" w:customStyle="1" w:styleId="1226">
    <w:name w:val="正文文本 21"/>
    <w:basedOn w:val="1"/>
    <w:qFormat/>
    <w:uiPriority w:val="0"/>
    <w:pPr>
      <w:widowControl/>
      <w:adjustRightInd w:val="0"/>
      <w:spacing w:line="432" w:lineRule="auto"/>
      <w:ind w:firstLine="480"/>
      <w:jc w:val="left"/>
    </w:pPr>
    <w:rPr>
      <w:rFonts w:hAnsi="宋体" w:cs="宋体"/>
      <w:kern w:val="0"/>
      <w:sz w:val="24"/>
      <w:szCs w:val="24"/>
    </w:rPr>
  </w:style>
  <w:style w:type="paragraph" w:customStyle="1" w:styleId="1227">
    <w:name w:val="111"/>
    <w:basedOn w:val="1"/>
    <w:qFormat/>
    <w:uiPriority w:val="0"/>
    <w:pPr>
      <w:widowControl/>
      <w:spacing w:line="375" w:lineRule="exact"/>
      <w:ind w:firstLine="128" w:firstLineChars="50"/>
      <w:jc w:val="left"/>
    </w:pPr>
    <w:rPr>
      <w:rFonts w:hAnsi="宋体" w:cs="宋体"/>
      <w:color w:val="000000"/>
      <w:spacing w:val="8"/>
      <w:kern w:val="0"/>
      <w:sz w:val="24"/>
      <w:szCs w:val="24"/>
      <w:lang w:eastAsia="en-US"/>
    </w:rPr>
  </w:style>
  <w:style w:type="paragraph" w:customStyle="1" w:styleId="1228">
    <w:name w:val="Char Char7 Char Char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character" w:customStyle="1" w:styleId="1229">
    <w:name w:val="表格文字统一样式 Char Char"/>
    <w:link w:val="1230"/>
    <w:qFormat/>
    <w:uiPriority w:val="0"/>
    <w:rPr>
      <w:rFonts w:ascii="仿宋_GB2312" w:eastAsia="仿宋_GB2312"/>
      <w:kern w:val="2"/>
      <w:sz w:val="21"/>
    </w:rPr>
  </w:style>
  <w:style w:type="paragraph" w:customStyle="1" w:styleId="1230">
    <w:name w:val="表格文字统一样式"/>
    <w:basedOn w:val="1"/>
    <w:link w:val="1229"/>
    <w:qFormat/>
    <w:uiPriority w:val="0"/>
    <w:pPr>
      <w:widowControl/>
      <w:autoSpaceDE w:val="0"/>
      <w:autoSpaceDN w:val="0"/>
      <w:jc w:val="center"/>
    </w:pPr>
    <w:rPr>
      <w:rFonts w:ascii="仿宋_GB2312" w:eastAsia="仿宋_GB2312"/>
      <w:sz w:val="21"/>
      <w:szCs w:val="20"/>
    </w:rPr>
  </w:style>
  <w:style w:type="paragraph" w:customStyle="1" w:styleId="1231">
    <w:name w:val="xl70"/>
    <w:basedOn w:val="1"/>
    <w:qFormat/>
    <w:uiPriority w:val="0"/>
    <w:pPr>
      <w:widowControl/>
      <w:spacing w:before="100" w:beforeAutospacing="1" w:after="100" w:afterAutospacing="1"/>
      <w:jc w:val="center"/>
    </w:pPr>
    <w:rPr>
      <w:rFonts w:hAnsi="宋体" w:cs="宋体"/>
      <w:kern w:val="0"/>
      <w:sz w:val="24"/>
      <w:szCs w:val="24"/>
    </w:rPr>
  </w:style>
  <w:style w:type="paragraph" w:customStyle="1" w:styleId="1232">
    <w:name w:val="样式 标题 1 + 首行缩进:  2 字符"/>
    <w:basedOn w:val="3"/>
    <w:qFormat/>
    <w:uiPriority w:val="0"/>
    <w:pPr>
      <w:widowControl/>
      <w:spacing w:beforeLines="0" w:after="240" w:line="440" w:lineRule="exact"/>
      <w:jc w:val="left"/>
    </w:pPr>
    <w:rPr>
      <w:rFonts w:ascii="宋体" w:hAnsi="宋体" w:eastAsia="宋体" w:cs="宋体"/>
      <w:b/>
      <w:bCs/>
      <w:snapToGrid/>
      <w:sz w:val="30"/>
      <w:szCs w:val="30"/>
    </w:rPr>
  </w:style>
  <w:style w:type="paragraph" w:customStyle="1" w:styleId="1233">
    <w:name w:val="正文表标题"/>
    <w:next w:val="395"/>
    <w:qFormat/>
    <w:uiPriority w:val="0"/>
    <w:pPr>
      <w:jc w:val="center"/>
    </w:pPr>
    <w:rPr>
      <w:rFonts w:ascii="黑体" w:hAnsi="Times New Roman" w:eastAsia="黑体" w:cs="Times New Roman"/>
      <w:sz w:val="21"/>
      <w:lang w:val="en-US" w:eastAsia="zh-CN" w:bidi="ar-SA"/>
    </w:rPr>
  </w:style>
  <w:style w:type="paragraph" w:customStyle="1" w:styleId="1234">
    <w:name w:val="6表(图)头(治)"/>
    <w:next w:val="1"/>
    <w:qFormat/>
    <w:uiPriority w:val="0"/>
    <w:pPr>
      <w:widowControl w:val="0"/>
      <w:jc w:val="center"/>
    </w:pPr>
    <w:rPr>
      <w:rFonts w:ascii="Times New Roman" w:hAnsi="宋体" w:eastAsia="宋体" w:cs="Times New Roman"/>
      <w:sz w:val="24"/>
      <w:szCs w:val="24"/>
      <w:lang w:val="en-US" w:eastAsia="zh-CN" w:bidi="ar-SA"/>
    </w:rPr>
  </w:style>
  <w:style w:type="paragraph" w:customStyle="1" w:styleId="1235">
    <w:name w:val="Char Char Char Char Char Char Char Char Char1"/>
    <w:basedOn w:val="1"/>
    <w:qFormat/>
    <w:uiPriority w:val="0"/>
    <w:pPr>
      <w:widowControl/>
      <w:jc w:val="left"/>
    </w:pPr>
    <w:rPr>
      <w:rFonts w:hAnsi="宋体" w:cs="宋体"/>
      <w:kern w:val="0"/>
      <w:sz w:val="24"/>
      <w:szCs w:val="24"/>
    </w:rPr>
  </w:style>
  <w:style w:type="paragraph" w:customStyle="1" w:styleId="1236">
    <w:name w:val="日期3"/>
    <w:basedOn w:val="1"/>
    <w:next w:val="1"/>
    <w:qFormat/>
    <w:uiPriority w:val="0"/>
    <w:pPr>
      <w:widowControl/>
      <w:adjustRightInd w:val="0"/>
      <w:snapToGrid w:val="0"/>
      <w:jc w:val="left"/>
    </w:pPr>
    <w:rPr>
      <w:rFonts w:hAnsi="宋体" w:cs="宋体"/>
      <w:kern w:val="0"/>
      <w:sz w:val="24"/>
      <w:szCs w:val="24"/>
    </w:rPr>
  </w:style>
  <w:style w:type="paragraph" w:customStyle="1" w:styleId="1237">
    <w:name w:val="样式 小四 首行缩进:  2 字符"/>
    <w:basedOn w:val="1"/>
    <w:next w:val="1"/>
    <w:qFormat/>
    <w:uiPriority w:val="0"/>
    <w:pPr>
      <w:widowControl/>
      <w:adjustRightInd w:val="0"/>
      <w:spacing w:line="480" w:lineRule="exact"/>
      <w:ind w:firstLine="180" w:firstLineChars="180"/>
      <w:jc w:val="left"/>
    </w:pPr>
    <w:rPr>
      <w:rFonts w:hAnsi="宋体" w:cs="宋体"/>
      <w:kern w:val="0"/>
      <w:sz w:val="24"/>
      <w:szCs w:val="24"/>
    </w:rPr>
  </w:style>
  <w:style w:type="paragraph" w:customStyle="1" w:styleId="1238">
    <w:name w:val="LT表头表头表头表头表头表头"/>
    <w:basedOn w:val="1"/>
    <w:qFormat/>
    <w:uiPriority w:val="0"/>
    <w:pPr>
      <w:widowControl/>
      <w:spacing w:beforeLines="50" w:line="360" w:lineRule="auto"/>
      <w:jc w:val="center"/>
    </w:pPr>
    <w:rPr>
      <w:rFonts w:hAnsi="宋体" w:cs="宋体"/>
      <w:kern w:val="28"/>
      <w:sz w:val="24"/>
      <w:szCs w:val="24"/>
    </w:rPr>
  </w:style>
  <w:style w:type="paragraph" w:customStyle="1" w:styleId="1239">
    <w:name w:val="表、图名宋旭峰"/>
    <w:basedOn w:val="1"/>
    <w:qFormat/>
    <w:uiPriority w:val="0"/>
    <w:pPr>
      <w:spacing w:beforeLines="50" w:line="360" w:lineRule="auto"/>
      <w:jc w:val="center"/>
    </w:pPr>
    <w:rPr>
      <w:rFonts w:ascii="黑体" w:hAnsi="宋体" w:eastAsia="黑体"/>
      <w:kern w:val="0"/>
      <w:sz w:val="21"/>
      <w:szCs w:val="21"/>
    </w:rPr>
  </w:style>
  <w:style w:type="paragraph" w:customStyle="1" w:styleId="1240">
    <w:name w:val="样式 标题 2 + 宋体 行距: 固定值 30 磅"/>
    <w:basedOn w:val="4"/>
    <w:qFormat/>
    <w:uiPriority w:val="0"/>
    <w:pPr>
      <w:widowControl/>
      <w:snapToGrid w:val="0"/>
      <w:spacing w:before="140" w:after="140" w:line="600" w:lineRule="exact"/>
      <w:jc w:val="left"/>
    </w:pPr>
    <w:rPr>
      <w:rFonts w:ascii="Times New Roman" w:hAnsi="Times New Roman"/>
      <w:smallCaps/>
      <w:snapToGrid/>
      <w:sz w:val="24"/>
      <w:szCs w:val="20"/>
    </w:rPr>
  </w:style>
  <w:style w:type="paragraph" w:customStyle="1" w:styleId="1241">
    <w:name w:val="表格式样新"/>
    <w:basedOn w:val="1"/>
    <w:qFormat/>
    <w:uiPriority w:val="0"/>
    <w:pPr>
      <w:widowControl/>
      <w:autoSpaceDE w:val="0"/>
      <w:autoSpaceDN w:val="0"/>
      <w:spacing w:line="360" w:lineRule="exact"/>
      <w:ind w:left="-15" w:leftChars="-51" w:hanging="107" w:hangingChars="51"/>
      <w:jc w:val="center"/>
    </w:pPr>
    <w:rPr>
      <w:rFonts w:ascii="仿宋_GB2312" w:hAnsi="宋体" w:eastAsia="仿宋_GB2312" w:cs="宋体"/>
      <w:kern w:val="0"/>
      <w:sz w:val="24"/>
      <w:szCs w:val="24"/>
    </w:rPr>
  </w:style>
  <w:style w:type="paragraph" w:customStyle="1" w:styleId="1242">
    <w:name w:val="表格后正文"/>
    <w:basedOn w:val="1216"/>
    <w:qFormat/>
    <w:uiPriority w:val="0"/>
    <w:pPr>
      <w:widowControl w:val="0"/>
      <w:spacing w:before="200"/>
      <w:ind w:firstLine="560" w:firstLineChars="200"/>
      <w:jc w:val="both"/>
    </w:pPr>
    <w:rPr>
      <w:rFonts w:ascii="Times New Roman" w:hAnsi="Times New Roman" w:eastAsia="华文中宋" w:cs="Times New Roman"/>
      <w:kern w:val="2"/>
      <w:szCs w:val="20"/>
    </w:rPr>
  </w:style>
  <w:style w:type="paragraph" w:customStyle="1" w:styleId="1243">
    <w:name w:val="说明-正文"/>
    <w:basedOn w:val="1"/>
    <w:qFormat/>
    <w:uiPriority w:val="0"/>
    <w:pPr>
      <w:widowControl/>
      <w:spacing w:line="440" w:lineRule="exact"/>
      <w:ind w:firstLine="480" w:firstLineChars="200"/>
      <w:jc w:val="left"/>
    </w:pPr>
    <w:rPr>
      <w:rFonts w:hAnsi="宋体" w:cs="宋体"/>
      <w:bCs/>
      <w:color w:val="FF0000"/>
      <w:kern w:val="0"/>
      <w:sz w:val="24"/>
      <w:szCs w:val="24"/>
    </w:rPr>
  </w:style>
  <w:style w:type="paragraph" w:customStyle="1" w:styleId="1244">
    <w:name w:val="表头5"/>
    <w:basedOn w:val="1"/>
    <w:qFormat/>
    <w:uiPriority w:val="0"/>
    <w:pPr>
      <w:widowControl/>
      <w:tabs>
        <w:tab w:val="left" w:pos="625"/>
      </w:tabs>
      <w:adjustRightInd w:val="0"/>
      <w:snapToGrid w:val="0"/>
      <w:spacing w:beforeLines="100" w:line="240" w:lineRule="exact"/>
      <w:ind w:left="950" w:leftChars="250" w:hanging="425"/>
      <w:jc w:val="left"/>
    </w:pPr>
    <w:rPr>
      <w:rFonts w:hAnsi="宋体" w:cs="宋体"/>
      <w:b/>
      <w:kern w:val="0"/>
      <w:sz w:val="24"/>
      <w:szCs w:val="24"/>
    </w:rPr>
  </w:style>
  <w:style w:type="paragraph" w:customStyle="1" w:styleId="1245">
    <w:name w:val="样式 首行缩进:  0.80 厘米 段前: 7.8 磅"/>
    <w:basedOn w:val="1"/>
    <w:qFormat/>
    <w:uiPriority w:val="0"/>
    <w:pPr>
      <w:widowControl/>
      <w:adjustRightInd w:val="0"/>
      <w:snapToGrid w:val="0"/>
      <w:spacing w:before="156" w:line="312" w:lineRule="auto"/>
      <w:ind w:firstLine="480"/>
      <w:jc w:val="left"/>
    </w:pPr>
    <w:rPr>
      <w:rFonts w:hAnsi="宋体" w:cs="宋体"/>
      <w:kern w:val="0"/>
      <w:sz w:val="24"/>
      <w:szCs w:val="24"/>
    </w:rPr>
  </w:style>
  <w:style w:type="character" w:customStyle="1" w:styleId="1246">
    <w:name w:val="我的正文 Char Char"/>
    <w:qFormat/>
    <w:uiPriority w:val="0"/>
    <w:rPr>
      <w:rFonts w:ascii="宋体" w:hAnsi="宋体" w:cs="宋体"/>
      <w:kern w:val="2"/>
      <w:sz w:val="24"/>
    </w:rPr>
  </w:style>
  <w:style w:type="paragraph" w:customStyle="1" w:styleId="1247">
    <w:name w:val="标题 311"/>
    <w:basedOn w:val="1"/>
    <w:next w:val="1"/>
    <w:qFormat/>
    <w:uiPriority w:val="99"/>
    <w:pPr>
      <w:keepNext/>
      <w:keepLines/>
      <w:widowControl/>
      <w:spacing w:before="260" w:after="260" w:line="412" w:lineRule="auto"/>
      <w:ind w:firstLine="200" w:firstLineChars="200"/>
      <w:jc w:val="left"/>
      <w:outlineLvl w:val="2"/>
    </w:pPr>
    <w:rPr>
      <w:rFonts w:ascii="Times New Roman"/>
      <w:b/>
      <w:sz w:val="32"/>
      <w:szCs w:val="20"/>
    </w:rPr>
  </w:style>
  <w:style w:type="paragraph" w:customStyle="1" w:styleId="1248">
    <w:name w:val="样式 宋体 小四 首行缩进:  1.59 厘米 段后: 2.5 磅 行距: 固定值 20 磅"/>
    <w:basedOn w:val="1"/>
    <w:qFormat/>
    <w:uiPriority w:val="0"/>
    <w:pPr>
      <w:widowControl/>
      <w:spacing w:after="50" w:line="400" w:lineRule="exact"/>
      <w:ind w:firstLine="900"/>
      <w:jc w:val="left"/>
    </w:pPr>
    <w:rPr>
      <w:rFonts w:hAnsi="宋体" w:eastAsia="仿宋_GB2312" w:cs="宋体"/>
      <w:kern w:val="0"/>
      <w:sz w:val="24"/>
      <w:szCs w:val="24"/>
    </w:rPr>
  </w:style>
  <w:style w:type="paragraph" w:customStyle="1" w:styleId="1249">
    <w:name w:val="样式 首行缩进:  2 字符9"/>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250">
    <w:name w:val="正式节"/>
    <w:basedOn w:val="42"/>
    <w:qFormat/>
    <w:uiPriority w:val="0"/>
    <w:pPr>
      <w:widowControl/>
      <w:adjustRightInd w:val="0"/>
      <w:snapToGrid w:val="0"/>
      <w:spacing w:before="120" w:after="120" w:line="312" w:lineRule="auto"/>
      <w:ind w:firstLine="567"/>
    </w:pPr>
    <w:rPr>
      <w:rFonts w:hint="eastAsia" w:cs="仿宋_GB2312"/>
      <w:b/>
      <w:bCs/>
      <w:spacing w:val="6"/>
      <w:kern w:val="0"/>
      <w:sz w:val="32"/>
      <w:szCs w:val="21"/>
    </w:rPr>
  </w:style>
  <w:style w:type="paragraph" w:customStyle="1" w:styleId="1251">
    <w:name w:val="标题 31"/>
    <w:basedOn w:val="1"/>
    <w:next w:val="1"/>
    <w:qFormat/>
    <w:uiPriority w:val="0"/>
    <w:pPr>
      <w:keepNext/>
      <w:keepLines/>
      <w:widowControl/>
      <w:spacing w:before="260" w:after="260" w:line="412" w:lineRule="auto"/>
      <w:ind w:firstLine="200" w:firstLineChars="200"/>
      <w:jc w:val="left"/>
      <w:outlineLvl w:val="2"/>
    </w:pPr>
    <w:rPr>
      <w:rFonts w:ascii="Times New Roman"/>
      <w:b/>
      <w:sz w:val="32"/>
      <w:szCs w:val="20"/>
    </w:rPr>
  </w:style>
  <w:style w:type="paragraph" w:customStyle="1" w:styleId="1252">
    <w:name w:val="nv nslog-area"/>
    <w:basedOn w:val="1"/>
    <w:qFormat/>
    <w:uiPriority w:val="0"/>
    <w:pPr>
      <w:widowControl/>
      <w:spacing w:before="100" w:beforeAutospacing="1" w:after="100" w:afterAutospacing="1"/>
      <w:jc w:val="left"/>
    </w:pPr>
    <w:rPr>
      <w:rFonts w:hAnsi="宋体" w:cs="宋体"/>
      <w:kern w:val="0"/>
      <w:sz w:val="24"/>
      <w:szCs w:val="24"/>
    </w:rPr>
  </w:style>
  <w:style w:type="paragraph" w:customStyle="1" w:styleId="1253">
    <w:name w:val="表格新"/>
    <w:basedOn w:val="1"/>
    <w:qFormat/>
    <w:uiPriority w:val="0"/>
    <w:pPr>
      <w:widowControl/>
      <w:adjustRightInd w:val="0"/>
      <w:snapToGrid w:val="0"/>
      <w:spacing w:before="60" w:after="60"/>
      <w:jc w:val="center"/>
    </w:pPr>
    <w:rPr>
      <w:rFonts w:hAnsi="宋体" w:cs="宋体"/>
      <w:kern w:val="0"/>
      <w:sz w:val="24"/>
      <w:szCs w:val="24"/>
    </w:rPr>
  </w:style>
  <w:style w:type="character" w:customStyle="1" w:styleId="1254">
    <w:name w:val="正文28磅 Char Char"/>
    <w:link w:val="1255"/>
    <w:qFormat/>
    <w:uiPriority w:val="0"/>
    <w:rPr>
      <w:color w:val="000000"/>
      <w:kern w:val="28"/>
      <w:sz w:val="28"/>
      <w:u w:color="000000"/>
      <w:lang w:val="en-GB"/>
    </w:rPr>
  </w:style>
  <w:style w:type="paragraph" w:customStyle="1" w:styleId="1255">
    <w:name w:val="正文28磅"/>
    <w:basedOn w:val="1"/>
    <w:link w:val="1254"/>
    <w:qFormat/>
    <w:uiPriority w:val="0"/>
    <w:pPr>
      <w:spacing w:line="560" w:lineRule="exact"/>
      <w:ind w:firstLine="560" w:firstLineChars="200"/>
      <w:jc w:val="left"/>
    </w:pPr>
    <w:rPr>
      <w:rFonts w:ascii="Times New Roman"/>
      <w:color w:val="000000"/>
      <w:kern w:val="28"/>
      <w:sz w:val="28"/>
      <w:szCs w:val="20"/>
      <w:u w:color="000000"/>
      <w:lang w:val="en-GB"/>
    </w:rPr>
  </w:style>
  <w:style w:type="paragraph" w:customStyle="1" w:styleId="1256">
    <w:name w:val="正式文字"/>
    <w:basedOn w:val="42"/>
    <w:qFormat/>
    <w:uiPriority w:val="0"/>
    <w:pPr>
      <w:widowControl/>
      <w:adjustRightInd w:val="0"/>
      <w:snapToGrid w:val="0"/>
      <w:spacing w:line="312" w:lineRule="auto"/>
      <w:ind w:firstLine="567"/>
    </w:pPr>
    <w:rPr>
      <w:rFonts w:hint="eastAsia" w:cs="仿宋_GB2312"/>
      <w:spacing w:val="6"/>
      <w:kern w:val="0"/>
      <w:sz w:val="28"/>
      <w:szCs w:val="21"/>
    </w:rPr>
  </w:style>
  <w:style w:type="paragraph" w:customStyle="1" w:styleId="1257">
    <w:name w:val="a"/>
    <w:basedOn w:val="1"/>
    <w:qFormat/>
    <w:uiPriority w:val="0"/>
    <w:pPr>
      <w:widowControl/>
      <w:spacing w:before="100" w:beforeAutospacing="1" w:after="100" w:afterAutospacing="1"/>
      <w:jc w:val="left"/>
    </w:pPr>
    <w:rPr>
      <w:rFonts w:hAnsi="宋体" w:cs="宋体"/>
      <w:kern w:val="0"/>
      <w:sz w:val="24"/>
      <w:szCs w:val="24"/>
    </w:rPr>
  </w:style>
  <w:style w:type="paragraph" w:customStyle="1" w:styleId="1258">
    <w:name w:val="1.1"/>
    <w:basedOn w:val="1"/>
    <w:qFormat/>
    <w:uiPriority w:val="0"/>
    <w:pPr>
      <w:widowControl/>
      <w:jc w:val="left"/>
    </w:pPr>
    <w:rPr>
      <w:rFonts w:ascii="黑体" w:hAnsi="宋体" w:eastAsia="黑体" w:cs="宋体"/>
      <w:kern w:val="0"/>
      <w:sz w:val="28"/>
      <w:szCs w:val="24"/>
    </w:rPr>
  </w:style>
  <w:style w:type="paragraph" w:customStyle="1" w:styleId="1259">
    <w:name w:val="1文章"/>
    <w:basedOn w:val="1"/>
    <w:qFormat/>
    <w:uiPriority w:val="0"/>
    <w:pPr>
      <w:widowControl/>
      <w:snapToGrid w:val="0"/>
      <w:spacing w:line="360" w:lineRule="auto"/>
      <w:ind w:firstLine="496" w:firstLineChars="200"/>
      <w:jc w:val="left"/>
      <w:outlineLvl w:val="4"/>
    </w:pPr>
    <w:rPr>
      <w:rFonts w:hAnsi="宋体" w:cs="宋体"/>
      <w:bCs/>
      <w:spacing w:val="4"/>
      <w:kern w:val="0"/>
      <w:sz w:val="24"/>
      <w:szCs w:val="24"/>
    </w:rPr>
  </w:style>
  <w:style w:type="paragraph" w:customStyle="1" w:styleId="1260">
    <w:name w:val="样式 宋体 小四 左 首行缩进:  0.85 厘米 段后: 2.5 磅 行距: 固定值 20 磅"/>
    <w:basedOn w:val="1"/>
    <w:qFormat/>
    <w:uiPriority w:val="0"/>
    <w:pPr>
      <w:widowControl/>
      <w:spacing w:after="50" w:line="400" w:lineRule="exact"/>
      <w:ind w:firstLine="480"/>
      <w:jc w:val="left"/>
    </w:pPr>
    <w:rPr>
      <w:rFonts w:hAnsi="宋体" w:eastAsia="仿宋_GB2312" w:cs="宋体"/>
      <w:kern w:val="0"/>
      <w:sz w:val="24"/>
      <w:szCs w:val="24"/>
    </w:rPr>
  </w:style>
  <w:style w:type="paragraph" w:customStyle="1" w:styleId="1261">
    <w:name w:val="样式 标题 2标题2二级 标题 2H2h2第一层条标题 2 Char节标题节11 Char标题 2 Cha..."/>
    <w:basedOn w:val="4"/>
    <w:qFormat/>
    <w:uiPriority w:val="0"/>
    <w:pPr>
      <w:keepNext w:val="0"/>
      <w:keepLines w:val="0"/>
      <w:widowControl/>
      <w:tabs>
        <w:tab w:val="left" w:pos="900"/>
      </w:tabs>
      <w:adjustRightInd w:val="0"/>
      <w:snapToGrid w:val="0"/>
      <w:spacing w:before="0" w:after="0" w:line="240" w:lineRule="auto"/>
      <w:jc w:val="left"/>
      <w:outlineLvl w:val="9"/>
    </w:pPr>
    <w:rPr>
      <w:rFonts w:ascii="宋体" w:hAnsi="宋体"/>
      <w:b w:val="0"/>
      <w:bCs w:val="0"/>
      <w:smallCaps/>
      <w:snapToGrid/>
      <w:color w:val="000000"/>
      <w:sz w:val="24"/>
      <w:szCs w:val="20"/>
    </w:rPr>
  </w:style>
  <w:style w:type="character" w:customStyle="1" w:styleId="1262">
    <w:name w:val="武正文 Char Char"/>
    <w:link w:val="1263"/>
    <w:qFormat/>
    <w:uiPriority w:val="0"/>
    <w:rPr>
      <w:color w:val="000000"/>
      <w:sz w:val="24"/>
      <w:szCs w:val="24"/>
    </w:rPr>
  </w:style>
  <w:style w:type="paragraph" w:customStyle="1" w:styleId="1263">
    <w:name w:val="武正文"/>
    <w:basedOn w:val="1"/>
    <w:link w:val="1262"/>
    <w:qFormat/>
    <w:uiPriority w:val="0"/>
    <w:pPr>
      <w:widowControl/>
      <w:spacing w:line="440" w:lineRule="exact"/>
      <w:ind w:firstLine="200" w:firstLineChars="200"/>
      <w:jc w:val="left"/>
    </w:pPr>
    <w:rPr>
      <w:rFonts w:ascii="Times New Roman"/>
      <w:color w:val="000000"/>
      <w:kern w:val="0"/>
      <w:sz w:val="24"/>
      <w:szCs w:val="24"/>
    </w:rPr>
  </w:style>
  <w:style w:type="paragraph" w:customStyle="1" w:styleId="1264">
    <w:name w:val="普通(网站)1"/>
    <w:basedOn w:val="1"/>
    <w:qFormat/>
    <w:uiPriority w:val="0"/>
    <w:pPr>
      <w:widowControl/>
      <w:adjustRightInd w:val="0"/>
      <w:spacing w:before="100" w:after="100"/>
      <w:jc w:val="left"/>
    </w:pPr>
    <w:rPr>
      <w:rFonts w:hAnsi="宋体" w:cs="宋体"/>
      <w:color w:val="000000"/>
      <w:kern w:val="0"/>
      <w:sz w:val="24"/>
      <w:szCs w:val="24"/>
    </w:rPr>
  </w:style>
  <w:style w:type="paragraph" w:customStyle="1" w:styleId="1265">
    <w:name w:val="正文居中"/>
    <w:basedOn w:val="1"/>
    <w:qFormat/>
    <w:uiPriority w:val="0"/>
    <w:pPr>
      <w:widowControl/>
      <w:spacing w:line="400" w:lineRule="exact"/>
      <w:jc w:val="center"/>
    </w:pPr>
    <w:rPr>
      <w:rFonts w:hAnsi="宋体" w:cs="宋体"/>
      <w:kern w:val="0"/>
      <w:sz w:val="24"/>
      <w:szCs w:val="24"/>
    </w:rPr>
  </w:style>
  <w:style w:type="paragraph" w:customStyle="1" w:styleId="1266">
    <w:name w:val="样式 标题 2 + 段后: 0.5 行"/>
    <w:basedOn w:val="4"/>
    <w:qFormat/>
    <w:uiPriority w:val="0"/>
    <w:pPr>
      <w:widowControl/>
      <w:tabs>
        <w:tab w:val="left" w:pos="576"/>
      </w:tabs>
      <w:snapToGrid w:val="0"/>
      <w:spacing w:before="240" w:afterLines="20" w:line="360" w:lineRule="auto"/>
      <w:ind w:left="576" w:hanging="576"/>
      <w:jc w:val="left"/>
    </w:pPr>
    <w:rPr>
      <w:rFonts w:ascii="Arial" w:hAnsi="Arial" w:eastAsia="黑体"/>
      <w:b w:val="0"/>
      <w:bCs w:val="0"/>
      <w:smallCaps/>
      <w:snapToGrid/>
      <w:sz w:val="24"/>
      <w:szCs w:val="20"/>
    </w:rPr>
  </w:style>
  <w:style w:type="paragraph" w:customStyle="1" w:styleId="1267">
    <w:name w:val="方框"/>
    <w:basedOn w:val="1"/>
    <w:qFormat/>
    <w:uiPriority w:val="0"/>
    <w:pPr>
      <w:widowControl/>
      <w:spacing w:line="240" w:lineRule="exact"/>
      <w:jc w:val="left"/>
    </w:pPr>
    <w:rPr>
      <w:rFonts w:hAnsi="宋体" w:cs="宋体"/>
      <w:kern w:val="0"/>
      <w:sz w:val="24"/>
      <w:szCs w:val="24"/>
    </w:rPr>
  </w:style>
  <w:style w:type="character" w:customStyle="1" w:styleId="1268">
    <w:name w:val="表 Char"/>
    <w:link w:val="1269"/>
    <w:qFormat/>
    <w:uiPriority w:val="0"/>
    <w:rPr>
      <w:rFonts w:ascii="宋体" w:hAnsi="宋体" w:cs="宋体"/>
      <w:color w:val="000000"/>
      <w:sz w:val="24"/>
      <w:szCs w:val="24"/>
    </w:rPr>
  </w:style>
  <w:style w:type="paragraph" w:customStyle="1" w:styleId="1269">
    <w:name w:val="表2"/>
    <w:basedOn w:val="1"/>
    <w:link w:val="1268"/>
    <w:qFormat/>
    <w:uiPriority w:val="0"/>
    <w:pPr>
      <w:widowControl/>
      <w:tabs>
        <w:tab w:val="left" w:pos="5040"/>
      </w:tabs>
      <w:snapToGrid w:val="0"/>
      <w:spacing w:line="360" w:lineRule="exact"/>
      <w:ind w:left="-31" w:leftChars="-15" w:firstLine="31" w:firstLineChars="15"/>
      <w:jc w:val="center"/>
    </w:pPr>
    <w:rPr>
      <w:rFonts w:hAnsi="宋体" w:cs="宋体"/>
      <w:color w:val="000000"/>
      <w:kern w:val="0"/>
      <w:sz w:val="24"/>
      <w:szCs w:val="24"/>
    </w:rPr>
  </w:style>
  <w:style w:type="paragraph" w:customStyle="1" w:styleId="1270">
    <w:name w:val="附录章标题"/>
    <w:next w:val="1"/>
    <w:qFormat/>
    <w:uiPriority w:val="0"/>
    <w:p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character" w:customStyle="1" w:styleId="1271">
    <w:name w:val="新正文 Char Char"/>
    <w:link w:val="1272"/>
    <w:qFormat/>
    <w:uiPriority w:val="0"/>
    <w:rPr>
      <w:rFonts w:ascii="仿宋_GB2312" w:hAnsi="宋体" w:eastAsia="仿宋_GB2312" w:cs="宋体"/>
      <w:bCs/>
      <w:sz w:val="28"/>
      <w:szCs w:val="24"/>
    </w:rPr>
  </w:style>
  <w:style w:type="paragraph" w:customStyle="1" w:styleId="1272">
    <w:name w:val="新正文"/>
    <w:basedOn w:val="1"/>
    <w:link w:val="1271"/>
    <w:qFormat/>
    <w:uiPriority w:val="0"/>
    <w:pPr>
      <w:widowControl/>
      <w:spacing w:line="480" w:lineRule="exact"/>
      <w:ind w:firstLine="567"/>
      <w:jc w:val="left"/>
    </w:pPr>
    <w:rPr>
      <w:rFonts w:ascii="仿宋_GB2312" w:hAnsi="宋体" w:eastAsia="仿宋_GB2312" w:cs="宋体"/>
      <w:bCs/>
      <w:kern w:val="0"/>
      <w:sz w:val="28"/>
      <w:szCs w:val="24"/>
    </w:rPr>
  </w:style>
  <w:style w:type="paragraph" w:customStyle="1" w:styleId="1273">
    <w:name w:val="正文缩进2字符"/>
    <w:basedOn w:val="1"/>
    <w:qFormat/>
    <w:uiPriority w:val="0"/>
    <w:pPr>
      <w:widowControl/>
      <w:spacing w:line="520" w:lineRule="exact"/>
      <w:ind w:firstLine="200" w:firstLineChars="200"/>
      <w:jc w:val="left"/>
    </w:pPr>
    <w:rPr>
      <w:rFonts w:hAnsi="宋体" w:cs="宋体"/>
      <w:kern w:val="0"/>
      <w:sz w:val="28"/>
      <w:szCs w:val="24"/>
    </w:rPr>
  </w:style>
  <w:style w:type="character" w:customStyle="1" w:styleId="1274">
    <w:name w:val="dan7-1 Char Char"/>
    <w:link w:val="1275"/>
    <w:qFormat/>
    <w:uiPriority w:val="0"/>
    <w:rPr>
      <w:kern w:val="2"/>
      <w:sz w:val="24"/>
      <w:szCs w:val="24"/>
    </w:rPr>
  </w:style>
  <w:style w:type="paragraph" w:customStyle="1" w:styleId="1275">
    <w:name w:val="dan7-1"/>
    <w:basedOn w:val="1"/>
    <w:link w:val="1274"/>
    <w:qFormat/>
    <w:uiPriority w:val="0"/>
    <w:pPr>
      <w:widowControl/>
      <w:spacing w:before="40" w:after="40" w:line="360" w:lineRule="auto"/>
      <w:ind w:firstLine="200" w:firstLineChars="200"/>
      <w:jc w:val="left"/>
    </w:pPr>
    <w:rPr>
      <w:rFonts w:ascii="Times New Roman"/>
      <w:sz w:val="24"/>
      <w:szCs w:val="24"/>
    </w:rPr>
  </w:style>
  <w:style w:type="character" w:customStyle="1" w:styleId="1276">
    <w:name w:val="表内容 Char Char"/>
    <w:link w:val="1277"/>
    <w:qFormat/>
    <w:uiPriority w:val="0"/>
    <w:rPr>
      <w:rFonts w:ascii="宋体" w:hAnsi="宋体"/>
    </w:rPr>
  </w:style>
  <w:style w:type="paragraph" w:customStyle="1" w:styleId="1277">
    <w:name w:val="表内容"/>
    <w:link w:val="1276"/>
    <w:qFormat/>
    <w:uiPriority w:val="0"/>
    <w:pPr>
      <w:jc w:val="center"/>
    </w:pPr>
    <w:rPr>
      <w:rFonts w:ascii="宋体" w:hAnsi="宋体" w:eastAsia="宋体" w:cs="Times New Roman"/>
      <w:lang w:val="en-US" w:eastAsia="zh-CN" w:bidi="ar-SA"/>
    </w:rPr>
  </w:style>
  <w:style w:type="paragraph" w:customStyle="1" w:styleId="1278">
    <w:name w:val="目录标题"/>
    <w:basedOn w:val="1"/>
    <w:next w:val="1"/>
    <w:qFormat/>
    <w:uiPriority w:val="0"/>
    <w:pPr>
      <w:widowControl/>
      <w:spacing w:before="104" w:after="209" w:line="0" w:lineRule="atLeast"/>
      <w:ind w:left="1"/>
      <w:jc w:val="center"/>
    </w:pPr>
    <w:rPr>
      <w:rFonts w:ascii="Arial" w:hAnsi="Arial" w:eastAsia="黑体" w:cs="宋体"/>
      <w:spacing w:val="104"/>
      <w:kern w:val="0"/>
      <w:sz w:val="44"/>
      <w:szCs w:val="24"/>
    </w:rPr>
  </w:style>
  <w:style w:type="paragraph" w:customStyle="1" w:styleId="1279">
    <w:name w:val="Plain Text1"/>
    <w:basedOn w:val="1"/>
    <w:qFormat/>
    <w:uiPriority w:val="0"/>
    <w:pPr>
      <w:widowControl/>
      <w:adjustRightInd w:val="0"/>
      <w:jc w:val="left"/>
    </w:pPr>
    <w:rPr>
      <w:rFonts w:hAnsi="Courier New" w:cs="宋体"/>
      <w:kern w:val="0"/>
      <w:sz w:val="24"/>
      <w:szCs w:val="24"/>
    </w:rPr>
  </w:style>
  <w:style w:type="paragraph" w:customStyle="1" w:styleId="1280">
    <w:name w:val="王表头"/>
    <w:basedOn w:val="1"/>
    <w:qFormat/>
    <w:uiPriority w:val="0"/>
    <w:pPr>
      <w:widowControl/>
      <w:spacing w:beforeLines="30" w:line="560" w:lineRule="exact"/>
      <w:jc w:val="center"/>
    </w:pPr>
    <w:rPr>
      <w:rFonts w:hAnsi="宋体" w:eastAsia="黑体" w:cs="宋体"/>
      <w:bCs/>
      <w:kern w:val="0"/>
      <w:sz w:val="24"/>
      <w:szCs w:val="24"/>
    </w:rPr>
  </w:style>
  <w:style w:type="paragraph" w:customStyle="1" w:styleId="1281">
    <w:name w:val="Char Char Char1"/>
    <w:basedOn w:val="1"/>
    <w:qFormat/>
    <w:uiPriority w:val="0"/>
    <w:pPr>
      <w:widowControl/>
      <w:jc w:val="left"/>
    </w:pPr>
    <w:rPr>
      <w:rFonts w:hAnsi="宋体" w:cs="宋体"/>
      <w:kern w:val="0"/>
      <w:sz w:val="24"/>
      <w:szCs w:val="24"/>
    </w:rPr>
  </w:style>
  <w:style w:type="character" w:customStyle="1" w:styleId="1282">
    <w:name w:val="表格内容 Char1"/>
    <w:qFormat/>
    <w:uiPriority w:val="0"/>
    <w:rPr>
      <w:rFonts w:ascii="Arial" w:hAnsi="Arial" w:eastAsia="仿宋_GB2312" w:cs="宋体"/>
      <w:sz w:val="18"/>
      <w:szCs w:val="21"/>
    </w:rPr>
  </w:style>
  <w:style w:type="paragraph" w:customStyle="1" w:styleId="1283">
    <w:name w:val="正文正1"/>
    <w:basedOn w:val="1"/>
    <w:qFormat/>
    <w:uiPriority w:val="0"/>
    <w:pPr>
      <w:widowControl/>
      <w:spacing w:line="360" w:lineRule="exact"/>
      <w:jc w:val="center"/>
    </w:pPr>
    <w:rPr>
      <w:rFonts w:hAnsi="宋体" w:cs="宋体"/>
      <w:spacing w:val="-6"/>
      <w:kern w:val="0"/>
      <w:sz w:val="24"/>
      <w:szCs w:val="21"/>
    </w:rPr>
  </w:style>
  <w:style w:type="paragraph" w:customStyle="1" w:styleId="1284">
    <w:name w:val="正文样式3"/>
    <w:basedOn w:val="1"/>
    <w:qFormat/>
    <w:uiPriority w:val="0"/>
    <w:pPr>
      <w:keepLines/>
      <w:widowControl/>
      <w:adjustRightInd w:val="0"/>
      <w:spacing w:line="20" w:lineRule="exact"/>
      <w:jc w:val="center"/>
    </w:pPr>
    <w:rPr>
      <w:rFonts w:hAnsi="宋体" w:cs="宋体"/>
      <w:kern w:val="0"/>
      <w:sz w:val="24"/>
      <w:szCs w:val="24"/>
    </w:rPr>
  </w:style>
  <w:style w:type="paragraph" w:customStyle="1" w:styleId="1285">
    <w:name w:val="图片"/>
    <w:basedOn w:val="1"/>
    <w:qFormat/>
    <w:uiPriority w:val="0"/>
    <w:pPr>
      <w:spacing w:line="360" w:lineRule="auto"/>
      <w:ind w:left="210" w:leftChars="100" w:right="210" w:rightChars="100" w:firstLine="200" w:firstLineChars="200"/>
      <w:jc w:val="center"/>
    </w:pPr>
    <w:rPr>
      <w:rFonts w:ascii="Times" w:hAnsi="Times" w:eastAsia="黑体"/>
      <w:b/>
      <w:color w:val="000000"/>
      <w:spacing w:val="-4"/>
      <w:sz w:val="24"/>
      <w:szCs w:val="20"/>
    </w:rPr>
  </w:style>
  <w:style w:type="paragraph" w:customStyle="1" w:styleId="1286">
    <w:name w:val="样式 标题 1 + 非加粗 紧缩量  0.3 磅 行距: 单倍行距"/>
    <w:basedOn w:val="3"/>
    <w:qFormat/>
    <w:uiPriority w:val="0"/>
    <w:pPr>
      <w:keepNext w:val="0"/>
      <w:keepLines w:val="0"/>
      <w:pageBreakBefore/>
      <w:widowControl/>
      <w:spacing w:beforeLines="0" w:after="180" w:line="440" w:lineRule="exact"/>
      <w:jc w:val="left"/>
    </w:pPr>
    <w:rPr>
      <w:rFonts w:ascii="宋体" w:hAnsi="宋体" w:eastAsia="宋体" w:cs="宋体"/>
      <w:b/>
      <w:snapToGrid/>
      <w:spacing w:val="-6"/>
      <w:kern w:val="2"/>
    </w:rPr>
  </w:style>
  <w:style w:type="paragraph" w:customStyle="1" w:styleId="1287">
    <w:name w:val="ljw正文"/>
    <w:basedOn w:val="1"/>
    <w:qFormat/>
    <w:uiPriority w:val="0"/>
    <w:pPr>
      <w:adjustRightInd w:val="0"/>
      <w:snapToGrid w:val="0"/>
      <w:spacing w:afterLines="50" w:line="300" w:lineRule="auto"/>
      <w:ind w:firstLine="480" w:firstLineChars="200"/>
    </w:pPr>
    <w:rPr>
      <w:rFonts w:hAnsi="宋体"/>
      <w:sz w:val="24"/>
      <w:szCs w:val="20"/>
    </w:rPr>
  </w:style>
  <w:style w:type="paragraph" w:customStyle="1" w:styleId="1288">
    <w:name w:val="样式 标题 2 + 段前: 1 行"/>
    <w:basedOn w:val="4"/>
    <w:qFormat/>
    <w:uiPriority w:val="0"/>
    <w:pPr>
      <w:adjustRightInd w:val="0"/>
      <w:snapToGrid w:val="0"/>
      <w:spacing w:before="320" w:after="160" w:line="360" w:lineRule="auto"/>
      <w:ind w:firstLine="567"/>
      <w:jc w:val="left"/>
    </w:pPr>
    <w:rPr>
      <w:rFonts w:ascii="宋体" w:hAnsi="Times New Roman"/>
      <w:bCs w:val="0"/>
      <w:smallCaps/>
      <w:snapToGrid/>
      <w:sz w:val="28"/>
      <w:szCs w:val="20"/>
    </w:rPr>
  </w:style>
  <w:style w:type="paragraph" w:customStyle="1" w:styleId="1289">
    <w:name w:val="表名称"/>
    <w:basedOn w:val="1"/>
    <w:qFormat/>
    <w:uiPriority w:val="0"/>
    <w:pPr>
      <w:widowControl/>
      <w:tabs>
        <w:tab w:val="left" w:pos="-120"/>
      </w:tabs>
      <w:overflowPunct w:val="0"/>
      <w:topLinePunct/>
      <w:autoSpaceDE w:val="0"/>
      <w:adjustRightInd w:val="0"/>
      <w:snapToGrid w:val="0"/>
      <w:spacing w:after="240"/>
      <w:jc w:val="center"/>
    </w:pPr>
    <w:rPr>
      <w:rFonts w:hAnsi="宋体" w:cs="宋体"/>
      <w:bCs/>
      <w:spacing w:val="16"/>
      <w:kern w:val="0"/>
      <w:sz w:val="24"/>
      <w:szCs w:val="24"/>
    </w:rPr>
  </w:style>
  <w:style w:type="paragraph" w:customStyle="1" w:styleId="1290">
    <w:name w:val="样式 标题 1 + 加粗"/>
    <w:basedOn w:val="3"/>
    <w:qFormat/>
    <w:uiPriority w:val="0"/>
    <w:pPr>
      <w:widowControl/>
      <w:adjustRightInd w:val="0"/>
      <w:snapToGrid w:val="0"/>
      <w:spacing w:beforeLines="0" w:after="360" w:line="480" w:lineRule="exact"/>
      <w:jc w:val="left"/>
    </w:pPr>
    <w:rPr>
      <w:rFonts w:ascii="宋体" w:hAnsi="宋体" w:cs="宋体"/>
      <w:b/>
      <w:snapToGrid/>
      <w:sz w:val="36"/>
      <w:szCs w:val="20"/>
    </w:rPr>
  </w:style>
  <w:style w:type="paragraph" w:customStyle="1" w:styleId="1291">
    <w:name w:val="条题"/>
    <w:basedOn w:val="1"/>
    <w:qFormat/>
    <w:uiPriority w:val="0"/>
    <w:pPr>
      <w:widowControl/>
      <w:tabs>
        <w:tab w:val="left" w:pos="1640"/>
      </w:tabs>
      <w:spacing w:beforeLines="50" w:line="480" w:lineRule="exact"/>
      <w:ind w:firstLine="560"/>
      <w:jc w:val="left"/>
    </w:pPr>
    <w:rPr>
      <w:rFonts w:hAnsi="宋体" w:cs="宋体"/>
      <w:color w:val="000000"/>
      <w:kern w:val="0"/>
      <w:sz w:val="24"/>
      <w:szCs w:val="24"/>
    </w:rPr>
  </w:style>
  <w:style w:type="character" w:customStyle="1" w:styleId="1292">
    <w:name w:val="表文 Char Char"/>
    <w:qFormat/>
    <w:uiPriority w:val="0"/>
    <w:rPr>
      <w:kern w:val="2"/>
      <w:sz w:val="21"/>
    </w:rPr>
  </w:style>
  <w:style w:type="paragraph" w:customStyle="1" w:styleId="1293">
    <w:name w:val="正文 + 黑色"/>
    <w:basedOn w:val="1"/>
    <w:qFormat/>
    <w:uiPriority w:val="0"/>
    <w:pPr>
      <w:widowControl/>
      <w:ind w:firstLine="492" w:firstLineChars="200"/>
      <w:jc w:val="left"/>
    </w:pPr>
    <w:rPr>
      <w:rFonts w:hAnsi="宋体" w:cs="宋体"/>
      <w:color w:val="000000"/>
      <w:spacing w:val="-2"/>
      <w:kern w:val="0"/>
    </w:rPr>
  </w:style>
  <w:style w:type="paragraph" w:customStyle="1" w:styleId="1294">
    <w:name w:val="样式 标题 3标题3H3h33rd level第二层条头小标题小节标题标题 3 Char Char一海港标...1"/>
    <w:basedOn w:val="5"/>
    <w:qFormat/>
    <w:uiPriority w:val="0"/>
    <w:pPr>
      <w:keepLines w:val="0"/>
      <w:adjustRightInd w:val="0"/>
      <w:spacing w:before="120" w:after="120" w:line="360" w:lineRule="exact"/>
      <w:ind w:left="720" w:hanging="720"/>
    </w:pPr>
    <w:rPr>
      <w:rFonts w:eastAsia="仿宋_GB2312"/>
      <w:b w:val="0"/>
      <w:bCs w:val="0"/>
      <w:i/>
      <w:iCs/>
      <w:sz w:val="24"/>
      <w:szCs w:val="24"/>
    </w:rPr>
  </w:style>
  <w:style w:type="paragraph" w:customStyle="1" w:styleId="1295">
    <w:name w:val="表格小四"/>
    <w:basedOn w:val="1"/>
    <w:qFormat/>
    <w:uiPriority w:val="0"/>
    <w:pPr>
      <w:widowControl/>
      <w:jc w:val="center"/>
    </w:pPr>
    <w:rPr>
      <w:rFonts w:ascii="仿宋_GB2312" w:hAnsi="宋体" w:eastAsia="仿宋_GB2312" w:cs="宋体"/>
      <w:kern w:val="0"/>
      <w:sz w:val="24"/>
      <w:szCs w:val="24"/>
    </w:rPr>
  </w:style>
  <w:style w:type="paragraph" w:customStyle="1" w:styleId="1296">
    <w:name w:val="Char Char8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297">
    <w:name w:val="Char Char Char2 Char Char Char Char"/>
    <w:basedOn w:val="1"/>
    <w:qFormat/>
    <w:uiPriority w:val="0"/>
    <w:pPr>
      <w:tabs>
        <w:tab w:val="left" w:pos="7380"/>
      </w:tabs>
      <w:spacing w:before="120" w:after="120"/>
      <w:ind w:firstLine="200" w:firstLineChars="200"/>
    </w:pPr>
    <w:rPr>
      <w:rFonts w:ascii="Times New Roman"/>
      <w:sz w:val="24"/>
      <w:szCs w:val="24"/>
    </w:rPr>
  </w:style>
  <w:style w:type="paragraph" w:customStyle="1" w:styleId="1298">
    <w:name w:val="段落1"/>
    <w:basedOn w:val="1"/>
    <w:link w:val="1299"/>
    <w:qFormat/>
    <w:uiPriority w:val="0"/>
    <w:pPr>
      <w:adjustRightInd w:val="0"/>
      <w:spacing w:line="440" w:lineRule="exact"/>
      <w:ind w:firstLine="510"/>
    </w:pPr>
    <w:rPr>
      <w:rFonts w:ascii="Times New Roman" w:eastAsia="仿宋_GB2312"/>
      <w:spacing w:val="4"/>
      <w:kern w:val="0"/>
      <w:sz w:val="28"/>
      <w:szCs w:val="20"/>
    </w:rPr>
  </w:style>
  <w:style w:type="character" w:customStyle="1" w:styleId="1299">
    <w:name w:val="段落1 Char1"/>
    <w:link w:val="1298"/>
    <w:qFormat/>
    <w:uiPriority w:val="0"/>
    <w:rPr>
      <w:rFonts w:eastAsia="仿宋_GB2312"/>
      <w:spacing w:val="4"/>
      <w:sz w:val="28"/>
    </w:rPr>
  </w:style>
  <w:style w:type="character" w:customStyle="1" w:styleId="1300">
    <w:name w:val="报告正文 Char Char"/>
    <w:qFormat/>
    <w:uiPriority w:val="0"/>
    <w:rPr>
      <w:rFonts w:ascii="宋体" w:hAnsi="宋体" w:cs="宋体"/>
      <w:sz w:val="24"/>
      <w:szCs w:val="24"/>
    </w:rPr>
  </w:style>
  <w:style w:type="paragraph" w:customStyle="1" w:styleId="1301">
    <w:name w:val="样式 样式 标题 2 + 宋体 行距: 固定值 30 磅 + 行距: 固定值 28 磅"/>
    <w:basedOn w:val="1240"/>
    <w:qFormat/>
    <w:uiPriority w:val="0"/>
    <w:pPr>
      <w:snapToGrid/>
      <w:spacing w:line="560" w:lineRule="exact"/>
    </w:pPr>
    <w:rPr>
      <w:rFonts w:eastAsia="黑体"/>
      <w:sz w:val="28"/>
    </w:rPr>
  </w:style>
  <w:style w:type="paragraph" w:customStyle="1" w:styleId="1302">
    <w:name w:val="Char1 Char Char Char Char Char Char Char Char Char Char Char Char"/>
    <w:basedOn w:val="1"/>
    <w:qFormat/>
    <w:uiPriority w:val="0"/>
    <w:pPr>
      <w:widowControl/>
      <w:jc w:val="left"/>
    </w:pPr>
    <w:rPr>
      <w:rFonts w:hAnsi="宋体" w:cs="宋体"/>
      <w:kern w:val="0"/>
      <w:sz w:val="24"/>
      <w:szCs w:val="24"/>
    </w:rPr>
  </w:style>
  <w:style w:type="paragraph" w:customStyle="1" w:styleId="1303">
    <w:name w:val="表格04"/>
    <w:basedOn w:val="1"/>
    <w:qFormat/>
    <w:uiPriority w:val="0"/>
    <w:pPr>
      <w:adjustRightInd w:val="0"/>
      <w:spacing w:line="360" w:lineRule="exact"/>
      <w:jc w:val="center"/>
    </w:pPr>
    <w:rPr>
      <w:rFonts w:ascii="Times New Roman"/>
      <w:spacing w:val="-2"/>
      <w:kern w:val="0"/>
      <w:sz w:val="18"/>
      <w:szCs w:val="18"/>
    </w:rPr>
  </w:style>
  <w:style w:type="character" w:customStyle="1" w:styleId="1304">
    <w:name w:val="样式4 Char Char"/>
    <w:qFormat/>
    <w:uiPriority w:val="0"/>
    <w:rPr>
      <w:rFonts w:ascii="Arial" w:hAnsi="Arial" w:cs="Arial"/>
      <w:kern w:val="2"/>
      <w:sz w:val="24"/>
      <w:szCs w:val="24"/>
    </w:rPr>
  </w:style>
  <w:style w:type="paragraph" w:customStyle="1" w:styleId="1305">
    <w:name w:val="表格居中"/>
    <w:basedOn w:val="1"/>
    <w:qFormat/>
    <w:uiPriority w:val="0"/>
    <w:pPr>
      <w:widowControl/>
      <w:jc w:val="center"/>
    </w:pPr>
    <w:rPr>
      <w:rFonts w:hAnsi="宋体" w:cs="宋体"/>
      <w:kern w:val="0"/>
      <w:sz w:val="24"/>
      <w:szCs w:val="24"/>
    </w:rPr>
  </w:style>
  <w:style w:type="paragraph" w:customStyle="1" w:styleId="1306">
    <w:name w:val="正文样式100"/>
    <w:basedOn w:val="1"/>
    <w:qFormat/>
    <w:uiPriority w:val="0"/>
    <w:pPr>
      <w:widowControl/>
      <w:spacing w:before="50" w:after="50"/>
      <w:ind w:firstLine="480" w:firstLineChars="200"/>
      <w:jc w:val="left"/>
    </w:pPr>
    <w:rPr>
      <w:rFonts w:hAnsi="宋体" w:cs="宋体"/>
      <w:color w:val="000000"/>
      <w:kern w:val="0"/>
      <w:sz w:val="24"/>
      <w:szCs w:val="24"/>
      <w:lang w:val="zh-CN"/>
    </w:rPr>
  </w:style>
  <w:style w:type="paragraph" w:customStyle="1" w:styleId="1307">
    <w:name w:val="WW-普通文字"/>
    <w:basedOn w:val="1"/>
    <w:qFormat/>
    <w:uiPriority w:val="0"/>
    <w:pPr>
      <w:widowControl/>
      <w:suppressAutoHyphens/>
      <w:jc w:val="left"/>
    </w:pPr>
    <w:rPr>
      <w:rFonts w:hAnsi="宋体" w:cs="宋体"/>
      <w:sz w:val="24"/>
      <w:szCs w:val="24"/>
      <w:lang w:eastAsia="ar-SA"/>
    </w:rPr>
  </w:style>
  <w:style w:type="character" w:customStyle="1" w:styleId="1308">
    <w:name w:val="样式 正文（首行缩进两字） + 行距: 固定值 20 磅 Char Char"/>
    <w:link w:val="1309"/>
    <w:qFormat/>
    <w:uiPriority w:val="0"/>
    <w:rPr>
      <w:rFonts w:ascii="仿宋_GB2312" w:eastAsia="仿宋_GB2312"/>
      <w:kern w:val="2"/>
      <w:sz w:val="24"/>
    </w:rPr>
  </w:style>
  <w:style w:type="paragraph" w:customStyle="1" w:styleId="1309">
    <w:name w:val="样式 正文（首行缩进两字） + 行距: 固定值 20 磅"/>
    <w:basedOn w:val="20"/>
    <w:link w:val="1308"/>
    <w:qFormat/>
    <w:uiPriority w:val="0"/>
    <w:pPr>
      <w:widowControl/>
      <w:spacing w:line="400" w:lineRule="exact"/>
      <w:ind w:firstLine="480" w:firstLineChars="200"/>
      <w:jc w:val="left"/>
    </w:pPr>
    <w:rPr>
      <w:rFonts w:ascii="仿宋_GB2312" w:eastAsia="仿宋_GB2312"/>
      <w:snapToGrid/>
      <w:sz w:val="24"/>
      <w:szCs w:val="20"/>
    </w:rPr>
  </w:style>
  <w:style w:type="paragraph" w:customStyle="1" w:styleId="1310">
    <w:name w:val="正文文本缩进 32"/>
    <w:basedOn w:val="1"/>
    <w:qFormat/>
    <w:uiPriority w:val="0"/>
    <w:pPr>
      <w:widowControl/>
      <w:adjustRightInd w:val="0"/>
      <w:ind w:firstLine="640"/>
      <w:jc w:val="left"/>
    </w:pPr>
    <w:rPr>
      <w:rFonts w:ascii="仿宋_GB2312" w:hAnsi="宋体" w:eastAsia="仿宋_GB2312" w:cs="宋体"/>
      <w:color w:val="FF0000"/>
      <w:kern w:val="0"/>
      <w:sz w:val="32"/>
      <w:szCs w:val="24"/>
    </w:rPr>
  </w:style>
  <w:style w:type="paragraph" w:customStyle="1" w:styleId="1311">
    <w:name w:val="码头表"/>
    <w:basedOn w:val="1"/>
    <w:qFormat/>
    <w:uiPriority w:val="0"/>
    <w:pPr>
      <w:spacing w:line="390" w:lineRule="exact"/>
      <w:jc w:val="center"/>
    </w:pPr>
    <w:rPr>
      <w:rFonts w:ascii="Times New Roman"/>
      <w:sz w:val="21"/>
      <w:szCs w:val="24"/>
    </w:rPr>
  </w:style>
  <w:style w:type="paragraph" w:customStyle="1" w:styleId="1312">
    <w:name w:val="表格文字gh"/>
    <w:basedOn w:val="1"/>
    <w:qFormat/>
    <w:uiPriority w:val="0"/>
    <w:pPr>
      <w:widowControl/>
      <w:spacing w:line="280" w:lineRule="exact"/>
      <w:jc w:val="center"/>
    </w:pPr>
    <w:rPr>
      <w:rFonts w:ascii="仿宋_GB2312" w:hAnsi="宋体" w:eastAsia="仿宋_GB2312" w:cs="宋体"/>
      <w:color w:val="000000"/>
      <w:kern w:val="0"/>
      <w:sz w:val="24"/>
      <w:szCs w:val="24"/>
    </w:rPr>
  </w:style>
  <w:style w:type="paragraph" w:customStyle="1" w:styleId="1313">
    <w:name w:val="样式 样式 首行缩进:  2 字符 + 首行缩进:  2 字符 段前: 0.5 行 段后: 0.5 行"/>
    <w:basedOn w:val="1"/>
    <w:qFormat/>
    <w:uiPriority w:val="0"/>
    <w:pPr>
      <w:widowControl/>
      <w:spacing w:beforeLines="50" w:line="400" w:lineRule="exact"/>
      <w:ind w:firstLine="200" w:firstLineChars="200"/>
      <w:jc w:val="left"/>
    </w:pPr>
    <w:rPr>
      <w:rFonts w:hAnsi="宋体" w:cs="宋体"/>
      <w:kern w:val="0"/>
      <w:sz w:val="24"/>
      <w:szCs w:val="24"/>
    </w:rPr>
  </w:style>
  <w:style w:type="paragraph" w:customStyle="1" w:styleId="1314">
    <w:name w:val="样式 样式 标题 2标题2二级 标题 2H2h2第一层条标题 2 Char节标题节11 Char标题 2 Cha... +"/>
    <w:basedOn w:val="1261"/>
    <w:qFormat/>
    <w:uiPriority w:val="0"/>
    <w:pPr>
      <w:ind w:left="180"/>
    </w:pPr>
    <w:rPr>
      <w:b/>
    </w:rPr>
  </w:style>
  <w:style w:type="paragraph" w:customStyle="1" w:styleId="1315">
    <w:name w:val="块项目"/>
    <w:next w:val="1"/>
    <w:qFormat/>
    <w:uiPriority w:val="0"/>
    <w:pPr>
      <w:tabs>
        <w:tab w:val="left" w:pos="840"/>
      </w:tabs>
      <w:spacing w:before="120" w:after="120"/>
      <w:ind w:firstLine="420"/>
    </w:pPr>
    <w:rPr>
      <w:rFonts w:ascii="Times New Roman" w:hAnsi="Times New Roman" w:eastAsia="宋体" w:cs="Times New Roman"/>
      <w:b/>
      <w:spacing w:val="20"/>
      <w:sz w:val="24"/>
      <w:lang w:val="en-US" w:eastAsia="zh-CN" w:bidi="ar-SA"/>
    </w:rPr>
  </w:style>
  <w:style w:type="paragraph" w:customStyle="1" w:styleId="1316">
    <w:name w:val="表格名称"/>
    <w:basedOn w:val="1"/>
    <w:next w:val="1"/>
    <w:qFormat/>
    <w:uiPriority w:val="0"/>
    <w:pPr>
      <w:jc w:val="center"/>
    </w:pPr>
    <w:rPr>
      <w:rFonts w:ascii="Times New Roman" w:eastAsia="黑体"/>
      <w:bCs/>
      <w:sz w:val="24"/>
      <w:szCs w:val="24"/>
    </w:rPr>
  </w:style>
  <w:style w:type="paragraph" w:customStyle="1" w:styleId="1317">
    <w:name w:val="王正文"/>
    <w:basedOn w:val="1"/>
    <w:qFormat/>
    <w:uiPriority w:val="0"/>
    <w:pPr>
      <w:widowControl/>
      <w:spacing w:line="560" w:lineRule="exact"/>
      <w:ind w:firstLine="200" w:firstLineChars="200"/>
      <w:jc w:val="left"/>
    </w:pPr>
    <w:rPr>
      <w:rFonts w:hAnsi="宋体" w:cs="宋体"/>
      <w:kern w:val="0"/>
      <w:sz w:val="24"/>
      <w:szCs w:val="24"/>
    </w:rPr>
  </w:style>
  <w:style w:type="paragraph" w:customStyle="1" w:styleId="1318">
    <w:name w:val="缩进"/>
    <w:basedOn w:val="1"/>
    <w:qFormat/>
    <w:uiPriority w:val="0"/>
    <w:pPr>
      <w:widowControl/>
      <w:autoSpaceDE w:val="0"/>
      <w:autoSpaceDN w:val="0"/>
      <w:adjustRightInd w:val="0"/>
      <w:spacing w:line="400" w:lineRule="exact"/>
      <w:ind w:firstLine="425" w:firstLineChars="200"/>
      <w:jc w:val="left"/>
    </w:pPr>
    <w:rPr>
      <w:rFonts w:hAnsi="宋体" w:cs="宋体"/>
      <w:kern w:val="0"/>
      <w:sz w:val="24"/>
      <w:szCs w:val="24"/>
    </w:rPr>
  </w:style>
  <w:style w:type="paragraph" w:customStyle="1" w:styleId="1319">
    <w:name w:val="环评报告书"/>
    <w:basedOn w:val="6"/>
    <w:qFormat/>
    <w:uiPriority w:val="0"/>
    <w:pPr>
      <w:keepNext/>
      <w:keepLines/>
      <w:tabs>
        <w:tab w:val="left" w:pos="840"/>
        <w:tab w:val="clear" w:pos="360"/>
        <w:tab w:val="clear" w:pos="2207"/>
      </w:tabs>
      <w:autoSpaceDE w:val="0"/>
      <w:autoSpaceDN w:val="0"/>
      <w:adjustRightInd w:val="0"/>
      <w:spacing w:beforeLines="0" w:afterLines="0" w:line="360" w:lineRule="auto"/>
      <w:outlineLvl w:val="9"/>
    </w:pPr>
    <w:rPr>
      <w:rFonts w:ascii="Times New Roman" w:hAnsi="Times New Roman" w:eastAsia="长城楷体"/>
      <w:snapToGrid/>
      <w:color w:val="auto"/>
      <w:kern w:val="0"/>
      <w:sz w:val="28"/>
      <w:szCs w:val="20"/>
    </w:rPr>
  </w:style>
  <w:style w:type="paragraph" w:customStyle="1" w:styleId="1320">
    <w:name w:val="TOC 标题11"/>
    <w:basedOn w:val="3"/>
    <w:next w:val="1"/>
    <w:qFormat/>
    <w:uiPriority w:val="0"/>
    <w:pPr>
      <w:widowControl/>
      <w:spacing w:beforeLines="0" w:line="276" w:lineRule="auto"/>
      <w:jc w:val="left"/>
      <w:outlineLvl w:val="9"/>
    </w:pPr>
    <w:rPr>
      <w:rFonts w:ascii="Cambria" w:hAnsi="Cambria" w:eastAsia="宋体"/>
      <w:b/>
      <w:bCs/>
      <w:snapToGrid/>
      <w:color w:val="365F91"/>
      <w:kern w:val="0"/>
      <w:sz w:val="28"/>
      <w:szCs w:val="28"/>
    </w:rPr>
  </w:style>
  <w:style w:type="character" w:customStyle="1" w:styleId="1321">
    <w:name w:val="表头文字 Char Char"/>
    <w:qFormat/>
    <w:uiPriority w:val="0"/>
    <w:rPr>
      <w:rFonts w:ascii="黑体" w:hAnsi="黑体" w:eastAsia="黑体"/>
      <w:kern w:val="2"/>
      <w:sz w:val="24"/>
    </w:rPr>
  </w:style>
  <w:style w:type="paragraph" w:customStyle="1" w:styleId="1322">
    <w:name w:val="三级 标题"/>
    <w:basedOn w:val="1"/>
    <w:qFormat/>
    <w:uiPriority w:val="0"/>
    <w:pPr>
      <w:spacing w:before="60" w:after="60" w:line="440" w:lineRule="exact"/>
      <w:ind w:firstLine="560" w:firstLineChars="200"/>
    </w:pPr>
    <w:rPr>
      <w:rFonts w:ascii="Times New Roman"/>
      <w:b/>
      <w:sz w:val="24"/>
      <w:szCs w:val="24"/>
    </w:rPr>
  </w:style>
  <w:style w:type="paragraph" w:customStyle="1" w:styleId="1323">
    <w:name w:val="样式 标题 3标题 3 Char标题 3 Char Char Char Char Char标题 3 Char Char C..."/>
    <w:basedOn w:val="5"/>
    <w:qFormat/>
    <w:uiPriority w:val="0"/>
    <w:pPr>
      <w:tabs>
        <w:tab w:val="left" w:pos="636"/>
      </w:tabs>
      <w:adjustRightInd w:val="0"/>
      <w:spacing w:before="120" w:after="0" w:line="480" w:lineRule="exact"/>
    </w:pPr>
    <w:rPr>
      <w:rFonts w:eastAsia="黑体"/>
      <w:b w:val="0"/>
      <w:bCs w:val="0"/>
      <w:i/>
      <w:iCs/>
      <w:color w:val="000000"/>
      <w:sz w:val="24"/>
      <w:szCs w:val="20"/>
    </w:rPr>
  </w:style>
  <w:style w:type="paragraph" w:customStyle="1" w:styleId="1324">
    <w:name w:val="样式 首行缩进:  2 字符19"/>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325">
    <w:name w:val="样式 样式 首行缩进:  2 字符19 + 首行缩进:  2 字符"/>
    <w:basedOn w:val="1"/>
    <w:qFormat/>
    <w:uiPriority w:val="0"/>
    <w:pPr>
      <w:widowControl/>
      <w:spacing w:line="520" w:lineRule="exact"/>
      <w:ind w:firstLine="480" w:firstLineChars="200"/>
      <w:jc w:val="left"/>
    </w:pPr>
    <w:rPr>
      <w:rFonts w:hAnsi="宋体" w:cs="宋体"/>
      <w:kern w:val="0"/>
      <w:sz w:val="24"/>
      <w:szCs w:val="24"/>
    </w:rPr>
  </w:style>
  <w:style w:type="paragraph" w:customStyle="1" w:styleId="1326">
    <w:name w:val="小五表格"/>
    <w:basedOn w:val="1"/>
    <w:qFormat/>
    <w:uiPriority w:val="0"/>
    <w:pPr>
      <w:widowControl/>
      <w:jc w:val="left"/>
    </w:pPr>
    <w:rPr>
      <w:rFonts w:hAnsi="宋体" w:cs="宋体"/>
      <w:kern w:val="0"/>
      <w:sz w:val="18"/>
      <w:szCs w:val="24"/>
    </w:rPr>
  </w:style>
  <w:style w:type="paragraph" w:customStyle="1" w:styleId="1327">
    <w:name w:val="正文首行缩进 2 + Times New Roman"/>
    <w:basedOn w:val="1"/>
    <w:qFormat/>
    <w:uiPriority w:val="0"/>
    <w:pPr>
      <w:widowControl/>
      <w:tabs>
        <w:tab w:val="left" w:pos="0"/>
        <w:tab w:val="left" w:pos="870"/>
        <w:tab w:val="left" w:pos="3150"/>
      </w:tabs>
      <w:autoSpaceDE w:val="0"/>
      <w:autoSpaceDN w:val="0"/>
      <w:spacing w:line="360" w:lineRule="auto"/>
      <w:ind w:firstLine="200" w:firstLineChars="200"/>
      <w:jc w:val="left"/>
    </w:pPr>
    <w:rPr>
      <w:rFonts w:hAnsi="宋体" w:cs="宋体"/>
      <w:kern w:val="0"/>
      <w:sz w:val="24"/>
      <w:szCs w:val="24"/>
    </w:rPr>
  </w:style>
  <w:style w:type="paragraph" w:customStyle="1" w:styleId="1328">
    <w:name w:val="样式 标题 3 + 段前: 1 行"/>
    <w:basedOn w:val="5"/>
    <w:qFormat/>
    <w:uiPriority w:val="0"/>
    <w:pPr>
      <w:tabs>
        <w:tab w:val="left" w:pos="720"/>
      </w:tabs>
      <w:spacing w:beforeLines="50" w:after="0" w:line="240" w:lineRule="auto"/>
      <w:ind w:left="720" w:hanging="720"/>
    </w:pPr>
    <w:rPr>
      <w:rFonts w:ascii="宋体" w:eastAsia="仿宋_GB2312"/>
      <w:b w:val="0"/>
      <w:bCs w:val="0"/>
      <w:i/>
      <w:iCs/>
      <w:sz w:val="24"/>
      <w:szCs w:val="24"/>
    </w:rPr>
  </w:style>
  <w:style w:type="paragraph" w:customStyle="1" w:styleId="1329">
    <w:name w:val="样式 标题 1标题 1 1 + 小二"/>
    <w:basedOn w:val="3"/>
    <w:qFormat/>
    <w:uiPriority w:val="0"/>
    <w:pPr>
      <w:widowControl/>
      <w:tabs>
        <w:tab w:val="left" w:pos="432"/>
      </w:tabs>
      <w:spacing w:beforeLines="100" w:afterLines="50" w:line="240" w:lineRule="auto"/>
      <w:ind w:left="432" w:hanging="432"/>
      <w:jc w:val="left"/>
    </w:pPr>
    <w:rPr>
      <w:rFonts w:ascii="黑体" w:hAnsi="宋体" w:cs="宋体"/>
      <w:b/>
      <w:snapToGrid/>
      <w:sz w:val="36"/>
      <w:szCs w:val="20"/>
    </w:rPr>
  </w:style>
  <w:style w:type="character" w:customStyle="1" w:styleId="1330">
    <w:name w:val="样式 仪征正文 + 黑色 Char Char"/>
    <w:link w:val="1331"/>
    <w:qFormat/>
    <w:uiPriority w:val="0"/>
    <w:rPr>
      <w:rFonts w:ascii="Arial" w:hAnsi="Arial" w:eastAsia="仿宋_GB2312" w:cs="Arial"/>
      <w:color w:val="000000"/>
      <w:kern w:val="2"/>
      <w:sz w:val="24"/>
    </w:rPr>
  </w:style>
  <w:style w:type="paragraph" w:customStyle="1" w:styleId="1331">
    <w:name w:val="样式 仪征正文 + 黑色"/>
    <w:basedOn w:val="1"/>
    <w:link w:val="1330"/>
    <w:qFormat/>
    <w:uiPriority w:val="0"/>
    <w:pPr>
      <w:widowControl/>
      <w:spacing w:before="120" w:after="120" w:line="360" w:lineRule="exact"/>
      <w:ind w:firstLine="480" w:firstLineChars="200"/>
      <w:jc w:val="left"/>
    </w:pPr>
    <w:rPr>
      <w:rFonts w:ascii="Arial" w:hAnsi="Arial" w:eastAsia="仿宋_GB2312" w:cs="Arial"/>
      <w:color w:val="000000"/>
      <w:sz w:val="24"/>
      <w:szCs w:val="20"/>
    </w:rPr>
  </w:style>
  <w:style w:type="paragraph" w:customStyle="1" w:styleId="1332">
    <w:name w:val="样式 行距: 1.5 倍行距"/>
    <w:basedOn w:val="1"/>
    <w:qFormat/>
    <w:uiPriority w:val="0"/>
    <w:pPr>
      <w:widowControl/>
      <w:spacing w:line="480" w:lineRule="exact"/>
      <w:ind w:firstLine="200" w:firstLineChars="200"/>
      <w:jc w:val="left"/>
    </w:pPr>
    <w:rPr>
      <w:rFonts w:hAnsi="宋体" w:cs="宋体"/>
      <w:kern w:val="0"/>
      <w:sz w:val="24"/>
      <w:szCs w:val="24"/>
    </w:rPr>
  </w:style>
  <w:style w:type="paragraph" w:customStyle="1" w:styleId="1333">
    <w:name w:val="样式 标题 4 + 宋体 Char"/>
    <w:basedOn w:val="6"/>
    <w:qFormat/>
    <w:uiPriority w:val="0"/>
    <w:pPr>
      <w:keepNext/>
      <w:keepLines/>
      <w:widowControl/>
      <w:tabs>
        <w:tab w:val="left" w:pos="720"/>
        <w:tab w:val="clear" w:pos="360"/>
        <w:tab w:val="clear" w:pos="2207"/>
      </w:tabs>
      <w:spacing w:beforeLines="0" w:afterLines="0"/>
      <w:jc w:val="left"/>
    </w:pPr>
    <w:rPr>
      <w:rFonts w:eastAsia="宋体"/>
      <w:bCs/>
      <w:snapToGrid/>
      <w:color w:val="auto"/>
      <w:kern w:val="0"/>
      <w:sz w:val="28"/>
      <w:szCs w:val="28"/>
    </w:rPr>
  </w:style>
  <w:style w:type="paragraph" w:customStyle="1" w:styleId="1334">
    <w:name w:val="样式 样式 正文首行缩进 2 + 小四 首行缩进:  2 字符 + 左侧:  2 字符 首行缩进:  2 字符 段后: 0 ..."/>
    <w:basedOn w:val="1"/>
    <w:qFormat/>
    <w:uiPriority w:val="0"/>
    <w:pPr>
      <w:widowControl/>
      <w:spacing w:line="360" w:lineRule="auto"/>
      <w:ind w:left="200" w:leftChars="200" w:firstLine="200" w:firstLineChars="200"/>
      <w:jc w:val="left"/>
    </w:pPr>
    <w:rPr>
      <w:rFonts w:hAnsi="宋体" w:cs="Century"/>
      <w:kern w:val="0"/>
      <w:sz w:val="24"/>
      <w:szCs w:val="24"/>
    </w:rPr>
  </w:style>
  <w:style w:type="paragraph" w:customStyle="1" w:styleId="1335">
    <w:name w:val="样式 标题 3一标题3H3h33rd level第二层条头标题 3 Char Char标题 3 Char2标..."/>
    <w:basedOn w:val="5"/>
    <w:qFormat/>
    <w:uiPriority w:val="0"/>
    <w:pPr>
      <w:tabs>
        <w:tab w:val="left" w:pos="720"/>
      </w:tabs>
      <w:spacing w:beforeLines="50" w:after="0" w:line="360" w:lineRule="exact"/>
      <w:ind w:left="720" w:hanging="720"/>
    </w:pPr>
    <w:rPr>
      <w:rFonts w:eastAsia="仿宋_GB2312"/>
      <w:b w:val="0"/>
      <w:bCs w:val="0"/>
      <w:i/>
      <w:iCs/>
      <w:sz w:val="24"/>
      <w:szCs w:val="24"/>
    </w:rPr>
  </w:style>
  <w:style w:type="paragraph" w:customStyle="1" w:styleId="1336">
    <w:name w:val="标题-3"/>
    <w:basedOn w:val="5"/>
    <w:link w:val="1337"/>
    <w:qFormat/>
    <w:uiPriority w:val="0"/>
    <w:pPr>
      <w:snapToGrid w:val="0"/>
      <w:spacing w:before="0" w:after="0" w:line="360" w:lineRule="auto"/>
    </w:pPr>
    <w:rPr>
      <w:rFonts w:ascii="宋体"/>
      <w:i/>
      <w:iCs/>
      <w:sz w:val="24"/>
      <w:szCs w:val="24"/>
    </w:rPr>
  </w:style>
  <w:style w:type="character" w:customStyle="1" w:styleId="1337">
    <w:name w:val="标题-3 Char"/>
    <w:link w:val="1336"/>
    <w:qFormat/>
    <w:uiPriority w:val="0"/>
    <w:rPr>
      <w:rFonts w:ascii="宋体"/>
      <w:b/>
      <w:bCs/>
      <w:i/>
      <w:iCs/>
      <w:kern w:val="2"/>
      <w:sz w:val="24"/>
      <w:szCs w:val="24"/>
    </w:rPr>
  </w:style>
  <w:style w:type="paragraph" w:customStyle="1" w:styleId="1338">
    <w:name w:val="表体宋旭峰"/>
    <w:basedOn w:val="1"/>
    <w:qFormat/>
    <w:uiPriority w:val="0"/>
    <w:pPr>
      <w:overflowPunct w:val="0"/>
      <w:spacing w:line="280" w:lineRule="exact"/>
      <w:jc w:val="center"/>
    </w:pPr>
    <w:rPr>
      <w:rFonts w:hAnsi="Courier New" w:cs="Courier New"/>
      <w:kern w:val="24"/>
      <w:sz w:val="18"/>
      <w:szCs w:val="20"/>
    </w:rPr>
  </w:style>
  <w:style w:type="character" w:customStyle="1" w:styleId="1339">
    <w:name w:val="样式 标题 11.标题 1一、标题 1 Char Char Char Char1 南陵标题 1标题 1 Char标题...1 Char Char"/>
    <w:link w:val="1340"/>
    <w:qFormat/>
    <w:uiPriority w:val="0"/>
    <w:rPr>
      <w:rFonts w:ascii="仿宋_GB2312" w:eastAsia="仿宋_GB2312"/>
      <w:b/>
      <w:kern w:val="2"/>
      <w:sz w:val="28"/>
    </w:rPr>
  </w:style>
  <w:style w:type="paragraph" w:customStyle="1" w:styleId="1340">
    <w:name w:val="样式 标题 11.标题 1一、标题 1 Char Char Char Char1 南陵标题 1标题 1 Char标题...1"/>
    <w:basedOn w:val="3"/>
    <w:link w:val="1339"/>
    <w:qFormat/>
    <w:uiPriority w:val="0"/>
    <w:pPr>
      <w:keepLines w:val="0"/>
      <w:widowControl/>
      <w:adjustRightInd w:val="0"/>
      <w:spacing w:beforeLines="0" w:after="62" w:line="240" w:lineRule="auto"/>
      <w:jc w:val="left"/>
    </w:pPr>
    <w:rPr>
      <w:rFonts w:ascii="仿宋_GB2312" w:eastAsia="仿宋_GB2312"/>
      <w:b/>
      <w:snapToGrid/>
      <w:kern w:val="2"/>
      <w:sz w:val="28"/>
      <w:szCs w:val="20"/>
    </w:rPr>
  </w:style>
  <w:style w:type="paragraph" w:customStyle="1" w:styleId="1341">
    <w:name w:val="晓丹"/>
    <w:basedOn w:val="82"/>
    <w:qFormat/>
    <w:uiPriority w:val="0"/>
    <w:pPr>
      <w:widowControl/>
      <w:adjustRightInd w:val="0"/>
      <w:snapToGrid w:val="0"/>
      <w:spacing w:after="0" w:line="360" w:lineRule="auto"/>
      <w:ind w:firstLine="200" w:firstLineChars="200"/>
      <w:jc w:val="left"/>
    </w:pPr>
    <w:rPr>
      <w:rFonts w:hint="default" w:ascii="Times New Roman" w:hAnsi="Times New Roman" w:cs="Times New Roman"/>
      <w:color w:val="000000"/>
      <w:spacing w:val="6"/>
      <w:sz w:val="21"/>
      <w:szCs w:val="20"/>
    </w:rPr>
  </w:style>
  <w:style w:type="paragraph" w:customStyle="1" w:styleId="1342">
    <w:name w:val="标记文字"/>
    <w:basedOn w:val="21"/>
    <w:qFormat/>
    <w:uiPriority w:val="0"/>
    <w:pPr>
      <w:widowControl/>
      <w:ind w:left="200" w:hanging="200" w:hangingChars="200"/>
    </w:pPr>
    <w:rPr>
      <w:rFonts w:hint="eastAsia" w:eastAsia="宋体" w:cs="Times New Roman"/>
      <w:sz w:val="21"/>
    </w:rPr>
  </w:style>
  <w:style w:type="paragraph" w:customStyle="1" w:styleId="1343">
    <w:name w:val="无间隔11"/>
    <w:qFormat/>
    <w:uiPriority w:val="0"/>
    <w:pPr>
      <w:adjustRightInd w:val="0"/>
      <w:snapToGrid w:val="0"/>
      <w:ind w:firstLine="200" w:firstLineChars="200"/>
      <w:jc w:val="both"/>
    </w:pPr>
    <w:rPr>
      <w:rFonts w:ascii="Tahoma" w:hAnsi="Tahoma" w:eastAsia="微软雅黑" w:cs="Times New Roman"/>
      <w:sz w:val="22"/>
      <w:szCs w:val="22"/>
      <w:lang w:val="en-US" w:eastAsia="zh-CN" w:bidi="ar-SA"/>
    </w:rPr>
  </w:style>
  <w:style w:type="paragraph" w:customStyle="1" w:styleId="1344">
    <w:name w:val="列出段落3"/>
    <w:basedOn w:val="1"/>
    <w:qFormat/>
    <w:uiPriority w:val="0"/>
    <w:pPr>
      <w:widowControl/>
      <w:spacing w:before="100" w:beforeAutospacing="1" w:after="100" w:afterAutospacing="1" w:line="60" w:lineRule="auto"/>
      <w:ind w:firstLine="420" w:firstLineChars="200"/>
      <w:jc w:val="left"/>
    </w:pPr>
    <w:rPr>
      <w:rFonts w:ascii="Calibri" w:hAnsi="Calibri" w:cs="宋体"/>
      <w:bCs/>
      <w:kern w:val="0"/>
      <w:sz w:val="24"/>
      <w:szCs w:val="22"/>
    </w:rPr>
  </w:style>
  <w:style w:type="paragraph" w:customStyle="1" w:styleId="1345">
    <w:name w:val="样式 标题 2 + 首行缩进:  2 字符"/>
    <w:basedOn w:val="4"/>
    <w:qFormat/>
    <w:uiPriority w:val="0"/>
    <w:pPr>
      <w:widowControl/>
      <w:spacing w:before="120" w:after="120" w:line="440" w:lineRule="exact"/>
      <w:jc w:val="left"/>
    </w:pPr>
    <w:rPr>
      <w:rFonts w:ascii="Arial" w:hAnsi="Arial"/>
      <w:smallCaps/>
      <w:snapToGrid/>
      <w:sz w:val="28"/>
      <w:szCs w:val="20"/>
    </w:rPr>
  </w:style>
  <w:style w:type="paragraph" w:customStyle="1" w:styleId="1346">
    <w:name w:val="样式 热电厂正文 + 首行缩进:  2 字符"/>
    <w:basedOn w:val="1"/>
    <w:qFormat/>
    <w:uiPriority w:val="0"/>
    <w:pPr>
      <w:widowControl/>
      <w:spacing w:line="480" w:lineRule="exact"/>
      <w:ind w:firstLine="480" w:firstLineChars="200"/>
      <w:jc w:val="left"/>
    </w:pPr>
    <w:rPr>
      <w:rFonts w:hAnsi="宋体" w:cs="宋体"/>
      <w:kern w:val="0"/>
      <w:sz w:val="24"/>
      <w:szCs w:val="24"/>
    </w:rPr>
  </w:style>
  <w:style w:type="paragraph" w:customStyle="1" w:styleId="1347">
    <w:name w:val="Char Char Char Char Char1 Char"/>
    <w:basedOn w:val="5"/>
    <w:qFormat/>
    <w:uiPriority w:val="0"/>
    <w:pPr>
      <w:tabs>
        <w:tab w:val="left" w:pos="360"/>
        <w:tab w:val="left" w:pos="900"/>
      </w:tabs>
      <w:snapToGrid w:val="0"/>
      <w:spacing w:before="120" w:after="120" w:line="360" w:lineRule="auto"/>
      <w:ind w:left="542" w:leftChars="-12" w:firstLine="200" w:firstLineChars="200"/>
    </w:pPr>
    <w:rPr>
      <w:bCs w:val="0"/>
      <w:i/>
      <w:iCs/>
      <w:sz w:val="24"/>
      <w:szCs w:val="24"/>
    </w:rPr>
  </w:style>
  <w:style w:type="paragraph" w:customStyle="1" w:styleId="1348">
    <w:name w:val="正文文字缩进A"/>
    <w:basedOn w:val="1"/>
    <w:qFormat/>
    <w:uiPriority w:val="0"/>
    <w:pPr>
      <w:spacing w:line="360" w:lineRule="auto"/>
      <w:ind w:firstLine="480"/>
    </w:pPr>
    <w:rPr>
      <w:rFonts w:ascii="黑体" w:hAnsi="黑体" w:eastAsia="黑体"/>
      <w:b/>
      <w:color w:val="000000"/>
      <w:kern w:val="0"/>
      <w:sz w:val="24"/>
      <w:szCs w:val="20"/>
    </w:rPr>
  </w:style>
  <w:style w:type="paragraph" w:customStyle="1" w:styleId="1349">
    <w:name w:val="样式 标题 3标题3H3h33rd level第二层条头小标题小节标题标题 3 Char Char一海港标..."/>
    <w:basedOn w:val="5"/>
    <w:qFormat/>
    <w:uiPriority w:val="0"/>
    <w:pPr>
      <w:keepLines w:val="0"/>
      <w:tabs>
        <w:tab w:val="left" w:pos="720"/>
      </w:tabs>
      <w:adjustRightInd w:val="0"/>
      <w:spacing w:before="120" w:after="48" w:line="360" w:lineRule="exact"/>
      <w:ind w:left="720" w:hanging="720"/>
    </w:pPr>
    <w:rPr>
      <w:rFonts w:ascii="Arial" w:hAnsi="Arial" w:eastAsia="仿宋_GB2312"/>
      <w:b w:val="0"/>
      <w:bCs w:val="0"/>
      <w:i/>
      <w:iCs/>
      <w:sz w:val="24"/>
      <w:szCs w:val="24"/>
    </w:rPr>
  </w:style>
  <w:style w:type="paragraph" w:customStyle="1" w:styleId="1350">
    <w:name w:val="Char Char9 Char Char Char Char Char Char Char Char Char1 Char Char Char Char Char Char Char"/>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351">
    <w:name w:val="封面标准号1"/>
    <w:qFormat/>
    <w:uiPriority w:val="0"/>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1352">
    <w:name w:val="样式 标题 3头标题3H3h33rd level第二层条标题 3 Char小标题小节标题标题 3 Char ...1"/>
    <w:basedOn w:val="5"/>
    <w:qFormat/>
    <w:uiPriority w:val="0"/>
    <w:pPr>
      <w:tabs>
        <w:tab w:val="left" w:pos="1740"/>
      </w:tabs>
      <w:spacing w:before="240" w:after="240" w:line="240" w:lineRule="exact"/>
      <w:ind w:left="1740" w:hanging="420"/>
    </w:pPr>
    <w:rPr>
      <w:rFonts w:eastAsia="仿宋_GB2312"/>
      <w:bCs w:val="0"/>
      <w:i/>
      <w:iCs/>
      <w:color w:val="000000"/>
      <w:sz w:val="24"/>
      <w:szCs w:val="24"/>
    </w:rPr>
  </w:style>
  <w:style w:type="character" w:customStyle="1" w:styleId="1353">
    <w:name w:val="070706正文样式 Char Char"/>
    <w:link w:val="1354"/>
    <w:qFormat/>
    <w:uiPriority w:val="0"/>
    <w:rPr>
      <w:rFonts w:ascii="宋体" w:hAnsi="宋体"/>
      <w:kern w:val="2"/>
      <w:sz w:val="24"/>
    </w:rPr>
  </w:style>
  <w:style w:type="paragraph" w:customStyle="1" w:styleId="1354">
    <w:name w:val="070706正文样式"/>
    <w:basedOn w:val="33"/>
    <w:link w:val="1353"/>
    <w:qFormat/>
    <w:uiPriority w:val="0"/>
    <w:pPr>
      <w:adjustRightInd w:val="0"/>
      <w:snapToGrid w:val="0"/>
      <w:spacing w:line="336" w:lineRule="auto"/>
      <w:ind w:firstLine="480" w:firstLineChars="200"/>
    </w:pPr>
    <w:rPr>
      <w:rFonts w:hint="default" w:cs="Times New Roman"/>
      <w:szCs w:val="20"/>
    </w:rPr>
  </w:style>
  <w:style w:type="paragraph" w:customStyle="1" w:styleId="1355">
    <w:name w:val="表文(G)"/>
    <w:basedOn w:val="1"/>
    <w:qFormat/>
    <w:uiPriority w:val="0"/>
    <w:pPr>
      <w:tabs>
        <w:tab w:val="left" w:pos="1021"/>
      </w:tabs>
      <w:spacing w:line="360" w:lineRule="auto"/>
      <w:ind w:firstLine="200" w:firstLineChars="200"/>
      <w:jc w:val="center"/>
    </w:pPr>
    <w:rPr>
      <w:rFonts w:ascii="Times New Roman" w:hAnsi="宋体"/>
      <w:kern w:val="0"/>
      <w:position w:val="-24"/>
      <w:sz w:val="24"/>
      <w:szCs w:val="21"/>
    </w:rPr>
  </w:style>
  <w:style w:type="paragraph" w:customStyle="1" w:styleId="1356">
    <w:name w:val="LX正文"/>
    <w:basedOn w:val="1"/>
    <w:qFormat/>
    <w:uiPriority w:val="0"/>
    <w:pPr>
      <w:spacing w:line="360" w:lineRule="auto"/>
      <w:ind w:firstLine="200" w:firstLineChars="200"/>
    </w:pPr>
    <w:rPr>
      <w:rFonts w:ascii="Times New Roman"/>
      <w:sz w:val="24"/>
      <w:szCs w:val="20"/>
    </w:rPr>
  </w:style>
  <w:style w:type="paragraph" w:customStyle="1" w:styleId="1357">
    <w:name w:val="5文章(治)"/>
    <w:basedOn w:val="1"/>
    <w:link w:val="1358"/>
    <w:qFormat/>
    <w:uiPriority w:val="0"/>
    <w:pPr>
      <w:widowControl/>
      <w:spacing w:line="360" w:lineRule="auto"/>
      <w:ind w:firstLine="480" w:firstLineChars="200"/>
      <w:jc w:val="left"/>
    </w:pPr>
    <w:rPr>
      <w:rFonts w:hAnsi="宋体" w:cs="宋体"/>
      <w:kern w:val="0"/>
      <w:sz w:val="24"/>
      <w:szCs w:val="24"/>
    </w:rPr>
  </w:style>
  <w:style w:type="character" w:customStyle="1" w:styleId="1358">
    <w:name w:val="5文章(治) Char"/>
    <w:link w:val="1357"/>
    <w:qFormat/>
    <w:uiPriority w:val="0"/>
    <w:rPr>
      <w:rFonts w:ascii="宋体" w:hAnsi="宋体" w:cs="宋体"/>
      <w:sz w:val="24"/>
      <w:szCs w:val="24"/>
    </w:rPr>
  </w:style>
  <w:style w:type="paragraph" w:customStyle="1" w:styleId="1359">
    <w:name w:val="8说明(治)"/>
    <w:basedOn w:val="1"/>
    <w:next w:val="1357"/>
    <w:qFormat/>
    <w:uiPriority w:val="0"/>
    <w:pPr>
      <w:widowControl/>
      <w:ind w:firstLine="480" w:firstLineChars="200"/>
      <w:jc w:val="left"/>
    </w:pPr>
    <w:rPr>
      <w:rFonts w:hAnsi="宋体" w:cs="宋体"/>
      <w:kern w:val="0"/>
      <w:sz w:val="24"/>
      <w:szCs w:val="24"/>
    </w:rPr>
  </w:style>
  <w:style w:type="paragraph" w:customStyle="1" w:styleId="1360">
    <w:name w:val="样式 标题 3 + 首行缩进:  2 字符 段前: 6 磅 段后: 6 磅 行距: 最小值 24 磅"/>
    <w:basedOn w:val="5"/>
    <w:qFormat/>
    <w:uiPriority w:val="0"/>
    <w:pPr>
      <w:adjustRightInd w:val="0"/>
      <w:snapToGrid w:val="0"/>
      <w:spacing w:before="120" w:after="120" w:line="480" w:lineRule="exact"/>
      <w:ind w:firstLine="100" w:firstLineChars="100"/>
    </w:pPr>
    <w:rPr>
      <w:bCs w:val="0"/>
      <w:i/>
      <w:iCs/>
      <w:sz w:val="28"/>
      <w:szCs w:val="24"/>
    </w:rPr>
  </w:style>
  <w:style w:type="paragraph" w:customStyle="1" w:styleId="1361">
    <w:name w:val="样式 首行缩进:  2 字符17"/>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362">
    <w:name w:val="样式 正文文字 +"/>
    <w:basedOn w:val="32"/>
    <w:qFormat/>
    <w:uiPriority w:val="0"/>
    <w:pPr>
      <w:widowControl/>
      <w:adjustRightInd w:val="0"/>
      <w:spacing w:before="60" w:after="60" w:line="264" w:lineRule="auto"/>
      <w:ind w:firstLine="110" w:firstLineChars="110"/>
      <w:jc w:val="left"/>
    </w:pPr>
    <w:rPr>
      <w:rFonts w:ascii="Times New Roman" w:eastAsia="仿宋_GB2312"/>
      <w:sz w:val="21"/>
      <w:szCs w:val="20"/>
    </w:rPr>
  </w:style>
  <w:style w:type="paragraph" w:customStyle="1" w:styleId="1363">
    <w:name w:val="生物拉丁文"/>
    <w:basedOn w:val="1"/>
    <w:qFormat/>
    <w:uiPriority w:val="0"/>
    <w:pPr>
      <w:widowControl/>
      <w:tabs>
        <w:tab w:val="left" w:pos="-120"/>
        <w:tab w:val="left" w:pos="625"/>
      </w:tabs>
      <w:overflowPunct w:val="0"/>
      <w:topLinePunct/>
      <w:autoSpaceDE w:val="0"/>
      <w:adjustRightInd w:val="0"/>
      <w:snapToGrid w:val="0"/>
      <w:spacing w:before="60" w:line="0" w:lineRule="atLeast"/>
      <w:ind w:firstLine="454"/>
      <w:jc w:val="left"/>
    </w:pPr>
    <w:rPr>
      <w:rFonts w:hAnsi="宋体" w:cs="宋体"/>
      <w:i/>
      <w:spacing w:val="20"/>
      <w:kern w:val="0"/>
      <w:sz w:val="24"/>
      <w:szCs w:val="24"/>
    </w:rPr>
  </w:style>
  <w:style w:type="paragraph" w:customStyle="1" w:styleId="1364">
    <w:name w:val="表格文字2"/>
    <w:basedOn w:val="1"/>
    <w:link w:val="1365"/>
    <w:qFormat/>
    <w:uiPriority w:val="0"/>
    <w:pPr>
      <w:widowControl/>
      <w:tabs>
        <w:tab w:val="left" w:pos="277"/>
        <w:tab w:val="left" w:pos="600"/>
        <w:tab w:val="left" w:pos="780"/>
        <w:tab w:val="left" w:pos="2517"/>
      </w:tabs>
      <w:adjustRightInd w:val="0"/>
      <w:spacing w:before="60"/>
      <w:jc w:val="center"/>
    </w:pPr>
    <w:rPr>
      <w:rFonts w:hAnsi="宋体" w:cs="宋体"/>
      <w:kern w:val="0"/>
      <w:sz w:val="24"/>
      <w:szCs w:val="21"/>
    </w:rPr>
  </w:style>
  <w:style w:type="character" w:customStyle="1" w:styleId="1365">
    <w:name w:val="表格文字2 Char"/>
    <w:link w:val="1364"/>
    <w:qFormat/>
    <w:uiPriority w:val="0"/>
    <w:rPr>
      <w:rFonts w:ascii="宋体" w:hAnsi="宋体" w:cs="宋体"/>
      <w:sz w:val="24"/>
      <w:szCs w:val="21"/>
    </w:rPr>
  </w:style>
  <w:style w:type="paragraph" w:customStyle="1" w:styleId="1366">
    <w:name w:val="样式 标题 4标题 4 Char标题 4（修改） + 段前: 0.5 行 段后: 0.2 行 行距: 多倍行距 1.2 ..."/>
    <w:basedOn w:val="6"/>
    <w:qFormat/>
    <w:uiPriority w:val="0"/>
    <w:pPr>
      <w:keepNext/>
      <w:keepLines/>
      <w:widowControl/>
      <w:tabs>
        <w:tab w:val="left" w:pos="864"/>
        <w:tab w:val="clear" w:pos="360"/>
        <w:tab w:val="clear" w:pos="2207"/>
      </w:tabs>
      <w:spacing w:afterLines="20" w:line="288" w:lineRule="auto"/>
      <w:ind w:left="864" w:hanging="864"/>
      <w:jc w:val="left"/>
    </w:pPr>
    <w:rPr>
      <w:rFonts w:ascii="Times New Roman" w:hAnsi="Times New Roman" w:eastAsia="仿宋_GB2312"/>
      <w:snapToGrid/>
      <w:color w:val="auto"/>
      <w:kern w:val="0"/>
      <w:szCs w:val="20"/>
    </w:rPr>
  </w:style>
  <w:style w:type="paragraph" w:customStyle="1" w:styleId="1367">
    <w:name w:val="样式 样式 标题 3 + 首行缩进:  2 字符 段前: 6 磅 段后: 6 磅 行距: 最小值 24 磅 + 首行缩进:  1..."/>
    <w:basedOn w:val="1360"/>
    <w:qFormat/>
    <w:uiPriority w:val="0"/>
    <w:pPr>
      <w:ind w:firstLine="280"/>
    </w:pPr>
    <w:rPr>
      <w:b w:val="0"/>
    </w:rPr>
  </w:style>
  <w:style w:type="paragraph" w:customStyle="1" w:styleId="1368">
    <w:name w:val="表头0"/>
    <w:basedOn w:val="1212"/>
    <w:qFormat/>
    <w:uiPriority w:val="0"/>
    <w:pPr>
      <w:spacing w:line="240" w:lineRule="auto"/>
      <w:ind w:firstLine="0" w:firstLineChars="0"/>
      <w:jc w:val="center"/>
    </w:pPr>
  </w:style>
  <w:style w:type="paragraph" w:customStyle="1" w:styleId="1369">
    <w:name w:val="正文6"/>
    <w:qFormat/>
    <w:uiPriority w:val="0"/>
    <w:pPr>
      <w:widowControl w:val="0"/>
      <w:adjustRightInd w:val="0"/>
      <w:spacing w:line="312" w:lineRule="exact"/>
      <w:jc w:val="both"/>
    </w:pPr>
    <w:rPr>
      <w:rFonts w:ascii="Arial" w:hAnsi="Times New Roman" w:eastAsia="楷体_GB2312" w:cs="Times New Roman"/>
      <w:spacing w:val="-6"/>
      <w:sz w:val="28"/>
      <w:lang w:val="en-US" w:eastAsia="zh-CN" w:bidi="ar-SA"/>
    </w:rPr>
  </w:style>
  <w:style w:type="paragraph" w:customStyle="1" w:styleId="1370">
    <w:name w:val="!Texte courant"/>
    <w:qFormat/>
    <w:uiPriority w:val="0"/>
    <w:pPr>
      <w:spacing w:before="120" w:line="280" w:lineRule="exact"/>
      <w:jc w:val="both"/>
    </w:pPr>
    <w:rPr>
      <w:rFonts w:ascii="Times New Roman" w:hAnsi="Times New Roman" w:eastAsia="宋体" w:cs="Times New Roman"/>
      <w:sz w:val="24"/>
      <w:lang w:val="fr-FR" w:eastAsia="en-US" w:bidi="ar-SA"/>
    </w:rPr>
  </w:style>
  <w:style w:type="paragraph" w:customStyle="1" w:styleId="1371">
    <w:name w:val="1标题3级"/>
    <w:basedOn w:val="1"/>
    <w:qFormat/>
    <w:uiPriority w:val="0"/>
    <w:pPr>
      <w:keepNext/>
      <w:widowControl/>
      <w:snapToGrid w:val="0"/>
      <w:spacing w:beforeLines="50"/>
      <w:jc w:val="left"/>
      <w:outlineLvl w:val="2"/>
    </w:pPr>
    <w:rPr>
      <w:rFonts w:hAnsi="宋体" w:eastAsia="黑体" w:cs="宋体"/>
      <w:b/>
      <w:kern w:val="0"/>
      <w:sz w:val="24"/>
      <w:szCs w:val="24"/>
    </w:rPr>
  </w:style>
  <w:style w:type="paragraph" w:customStyle="1" w:styleId="1372">
    <w:name w:val="编号1"/>
    <w:basedOn w:val="1"/>
    <w:qFormat/>
    <w:uiPriority w:val="0"/>
    <w:pPr>
      <w:widowControl/>
      <w:tabs>
        <w:tab w:val="left" w:pos="1200"/>
      </w:tabs>
      <w:ind w:left="1200" w:hanging="720"/>
      <w:jc w:val="left"/>
    </w:pPr>
    <w:rPr>
      <w:rFonts w:hAnsi="宋体" w:cs="宋体"/>
      <w:kern w:val="0"/>
      <w:sz w:val="24"/>
      <w:szCs w:val="24"/>
    </w:rPr>
  </w:style>
  <w:style w:type="paragraph" w:customStyle="1" w:styleId="1373">
    <w:name w:val="样式 样式 标题 2 + 段后: 0.5 行 + (西文) Times New Roman (中文) 仿宋_GB2312 段..."/>
    <w:basedOn w:val="1266"/>
    <w:qFormat/>
    <w:uiPriority w:val="0"/>
    <w:pPr>
      <w:tabs>
        <w:tab w:val="left" w:pos="567"/>
        <w:tab w:val="clear" w:pos="576"/>
      </w:tabs>
      <w:spacing w:afterLines="0"/>
      <w:ind w:left="567" w:hanging="567"/>
    </w:pPr>
    <w:rPr>
      <w:rFonts w:ascii="Times New Roman" w:hAnsi="Times New Roman" w:eastAsia="仿宋_GB2312"/>
    </w:rPr>
  </w:style>
  <w:style w:type="paragraph" w:customStyle="1" w:styleId="1374">
    <w:name w:val="样式 正文文本正文文字 + 仿宋_GB2312 四号 红色 首行缩进:  2 字符"/>
    <w:basedOn w:val="32"/>
    <w:qFormat/>
    <w:uiPriority w:val="0"/>
    <w:pPr>
      <w:widowControl/>
      <w:adjustRightInd w:val="0"/>
      <w:snapToGrid w:val="0"/>
      <w:spacing w:before="60" w:after="60" w:line="264" w:lineRule="auto"/>
      <w:ind w:firstLine="560" w:firstLineChars="200"/>
      <w:jc w:val="left"/>
    </w:pPr>
    <w:rPr>
      <w:rFonts w:ascii="仿宋_GB2312" w:eastAsia="仿宋_GB2312"/>
      <w:color w:val="FF0000"/>
      <w:sz w:val="21"/>
      <w:szCs w:val="20"/>
    </w:rPr>
  </w:style>
  <w:style w:type="paragraph" w:customStyle="1" w:styleId="1375">
    <w:name w:val="a)"/>
    <w:basedOn w:val="1"/>
    <w:qFormat/>
    <w:uiPriority w:val="0"/>
    <w:pPr>
      <w:widowControl/>
      <w:jc w:val="left"/>
    </w:pPr>
    <w:rPr>
      <w:rFonts w:hAnsi="宋体" w:cs="宋体"/>
      <w:kern w:val="0"/>
      <w:sz w:val="24"/>
      <w:szCs w:val="24"/>
    </w:rPr>
  </w:style>
  <w:style w:type="paragraph" w:customStyle="1" w:styleId="1376">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1377">
    <w:name w:val="1说明"/>
    <w:basedOn w:val="1259"/>
    <w:qFormat/>
    <w:uiPriority w:val="0"/>
    <w:rPr>
      <w:bCs w:val="0"/>
      <w:kern w:val="2"/>
      <w:sz w:val="21"/>
    </w:rPr>
  </w:style>
  <w:style w:type="paragraph" w:customStyle="1" w:styleId="1378">
    <w:name w:val="Char Char5 Char Char Char Char Char Char Char Char Char2 Char1"/>
    <w:basedOn w:val="5"/>
    <w:qFormat/>
    <w:uiPriority w:val="0"/>
    <w:pPr>
      <w:tabs>
        <w:tab w:val="left" w:pos="360"/>
        <w:tab w:val="left" w:pos="900"/>
      </w:tabs>
      <w:snapToGrid w:val="0"/>
      <w:spacing w:before="120" w:after="120" w:line="360" w:lineRule="auto"/>
      <w:ind w:left="-12" w:leftChars="-12" w:firstLine="200" w:firstLineChars="200"/>
    </w:pPr>
    <w:rPr>
      <w:rFonts w:eastAsia="黑体"/>
      <w:b w:val="0"/>
      <w:bCs w:val="0"/>
      <w:i/>
      <w:iCs/>
      <w:sz w:val="24"/>
      <w:szCs w:val="24"/>
    </w:rPr>
  </w:style>
  <w:style w:type="paragraph" w:customStyle="1" w:styleId="1379">
    <w:name w:val="表内五中"/>
    <w:basedOn w:val="1"/>
    <w:qFormat/>
    <w:uiPriority w:val="0"/>
    <w:pPr>
      <w:widowControl/>
      <w:tabs>
        <w:tab w:val="left" w:pos="-120"/>
      </w:tabs>
      <w:spacing w:before="60" w:line="310" w:lineRule="exact"/>
      <w:jc w:val="center"/>
    </w:pPr>
    <w:rPr>
      <w:rFonts w:hAnsi="宋体" w:cs="宋体"/>
      <w:kern w:val="0"/>
      <w:sz w:val="24"/>
      <w:szCs w:val="24"/>
    </w:rPr>
  </w:style>
  <w:style w:type="paragraph" w:customStyle="1" w:styleId="1380">
    <w:name w:val="Plain Text2"/>
    <w:basedOn w:val="1"/>
    <w:qFormat/>
    <w:uiPriority w:val="0"/>
    <w:pPr>
      <w:widowControl/>
      <w:adjustRightInd w:val="0"/>
      <w:jc w:val="left"/>
    </w:pPr>
    <w:rPr>
      <w:rFonts w:hAnsi="Courier New" w:cs="宋体"/>
      <w:kern w:val="0"/>
      <w:sz w:val="24"/>
      <w:szCs w:val="24"/>
    </w:rPr>
  </w:style>
  <w:style w:type="paragraph" w:customStyle="1" w:styleId="1381">
    <w:name w:val="Char Char1 Char Char Char Char"/>
    <w:basedOn w:val="1"/>
    <w:qFormat/>
    <w:uiPriority w:val="0"/>
    <w:pPr>
      <w:widowControl/>
      <w:ind w:firstLine="200" w:firstLineChars="200"/>
      <w:jc w:val="left"/>
    </w:pPr>
    <w:rPr>
      <w:rFonts w:hAnsi="宋体" w:cs="宋体"/>
      <w:kern w:val="0"/>
      <w:sz w:val="24"/>
      <w:szCs w:val="24"/>
    </w:rPr>
  </w:style>
  <w:style w:type="paragraph" w:customStyle="1" w:styleId="1382">
    <w:name w:val="样式 表格文字统一样式 + Arial 小五 非加粗 自动设置 行距: 单倍行距"/>
    <w:basedOn w:val="1230"/>
    <w:qFormat/>
    <w:uiPriority w:val="0"/>
    <w:rPr>
      <w:rFonts w:ascii="Arial" w:hAnsi="Arial"/>
      <w:b/>
    </w:rPr>
  </w:style>
  <w:style w:type="paragraph" w:customStyle="1" w:styleId="1383">
    <w:name w:val="Char Char Char Char Char Char Char Char Char Char Char Char Char Char Char Char Char Char Char1"/>
    <w:basedOn w:val="1"/>
    <w:link w:val="1384"/>
    <w:qFormat/>
    <w:uiPriority w:val="0"/>
    <w:pPr>
      <w:widowControl/>
      <w:spacing w:line="360" w:lineRule="auto"/>
      <w:ind w:firstLine="200" w:firstLineChars="200"/>
      <w:jc w:val="left"/>
    </w:pPr>
    <w:rPr>
      <w:rFonts w:hAnsi="宋体" w:cs="宋体"/>
      <w:kern w:val="0"/>
      <w:sz w:val="24"/>
      <w:szCs w:val="24"/>
    </w:rPr>
  </w:style>
  <w:style w:type="character" w:customStyle="1" w:styleId="1384">
    <w:name w:val="Char Char Char Char Char Char Char Char Char Char Char Char Char Char Char Char Char Char Char1 Char"/>
    <w:link w:val="1383"/>
    <w:qFormat/>
    <w:uiPriority w:val="0"/>
    <w:rPr>
      <w:rFonts w:ascii="宋体" w:hAnsi="宋体" w:cs="宋体"/>
      <w:sz w:val="24"/>
      <w:szCs w:val="24"/>
    </w:rPr>
  </w:style>
  <w:style w:type="paragraph" w:customStyle="1" w:styleId="1385">
    <w:name w:val="正文段落（song1375）"/>
    <w:basedOn w:val="1"/>
    <w:qFormat/>
    <w:uiPriority w:val="0"/>
    <w:pPr>
      <w:snapToGrid w:val="0"/>
      <w:spacing w:line="360" w:lineRule="auto"/>
      <w:ind w:firstLine="200" w:firstLineChars="200"/>
      <w:jc w:val="left"/>
    </w:pPr>
    <w:rPr>
      <w:rFonts w:ascii="Times New Roman"/>
      <w:kern w:val="0"/>
      <w:sz w:val="24"/>
      <w:szCs w:val="20"/>
    </w:rPr>
  </w:style>
  <w:style w:type="character" w:customStyle="1" w:styleId="1386">
    <w:name w:val="样式 标题 1 + 宋体 小四 加粗 Char Char"/>
    <w:link w:val="1387"/>
    <w:qFormat/>
    <w:uiPriority w:val="0"/>
    <w:rPr>
      <w:rFonts w:ascii="黑体" w:hAnsi="黑体" w:eastAsia="黑体"/>
      <w:b/>
      <w:bCs/>
      <w:kern w:val="2"/>
      <w:sz w:val="28"/>
      <w:szCs w:val="28"/>
    </w:rPr>
  </w:style>
  <w:style w:type="paragraph" w:customStyle="1" w:styleId="1387">
    <w:name w:val="样式 标题 1 + 宋体 小四 加粗"/>
    <w:basedOn w:val="3"/>
    <w:link w:val="1386"/>
    <w:qFormat/>
    <w:uiPriority w:val="0"/>
    <w:pPr>
      <w:keepLines w:val="0"/>
      <w:widowControl/>
      <w:spacing w:beforeLines="0" w:after="180" w:line="440" w:lineRule="exact"/>
      <w:jc w:val="left"/>
    </w:pPr>
    <w:rPr>
      <w:rFonts w:ascii="黑体" w:hAnsi="黑体"/>
      <w:b/>
      <w:bCs/>
      <w:snapToGrid/>
      <w:kern w:val="2"/>
      <w:sz w:val="28"/>
      <w:szCs w:val="28"/>
    </w:rPr>
  </w:style>
  <w:style w:type="paragraph" w:customStyle="1" w:styleId="1388">
    <w:name w:val="正文样式一"/>
    <w:basedOn w:val="1"/>
    <w:qFormat/>
    <w:uiPriority w:val="0"/>
    <w:pPr>
      <w:widowControl/>
      <w:adjustRightInd w:val="0"/>
      <w:spacing w:line="400" w:lineRule="exact"/>
      <w:ind w:firstLine="510"/>
      <w:jc w:val="left"/>
    </w:pPr>
    <w:rPr>
      <w:rFonts w:hAnsi="宋体" w:cs="宋体"/>
      <w:kern w:val="0"/>
      <w:sz w:val="24"/>
      <w:szCs w:val="24"/>
    </w:rPr>
  </w:style>
  <w:style w:type="paragraph" w:customStyle="1" w:styleId="1389">
    <w:name w:val="±í"/>
    <w:basedOn w:val="1"/>
    <w:qFormat/>
    <w:uiPriority w:val="0"/>
    <w:pPr>
      <w:widowControl/>
      <w:tabs>
        <w:tab w:val="left" w:pos="480"/>
      </w:tabs>
      <w:autoSpaceDE w:val="0"/>
      <w:autoSpaceDN w:val="0"/>
      <w:jc w:val="left"/>
    </w:pPr>
    <w:rPr>
      <w:rFonts w:hAnsi="宋体" w:eastAsia="仿宋_GB2312" w:cs="宋体"/>
      <w:color w:val="000000"/>
      <w:kern w:val="0"/>
      <w:sz w:val="24"/>
      <w:szCs w:val="24"/>
      <w:lang w:val="en-GB"/>
    </w:rPr>
  </w:style>
  <w:style w:type="character" w:customStyle="1" w:styleId="1390">
    <w:name w:val="报告书正文 Char Char"/>
    <w:qFormat/>
    <w:uiPriority w:val="0"/>
    <w:rPr>
      <w:rFonts w:ascii="Arial" w:hAnsi="Arial" w:cs="宋体"/>
      <w:sz w:val="24"/>
      <w:szCs w:val="24"/>
    </w:rPr>
  </w:style>
  <w:style w:type="paragraph" w:customStyle="1" w:styleId="1391">
    <w:name w:val="样式 标题 11.标题 1一、标题 1 Char Char Char Char1 南陵标题 1标题 1 Char标题..."/>
    <w:basedOn w:val="3"/>
    <w:qFormat/>
    <w:uiPriority w:val="0"/>
    <w:pPr>
      <w:keepLines w:val="0"/>
      <w:widowControl/>
      <w:tabs>
        <w:tab w:val="left" w:pos="360"/>
      </w:tabs>
      <w:adjustRightInd w:val="0"/>
      <w:spacing w:beforeLines="0" w:after="62" w:line="240" w:lineRule="auto"/>
      <w:jc w:val="left"/>
    </w:pPr>
    <w:rPr>
      <w:rFonts w:ascii="宋体" w:hAnsi="宋体" w:eastAsia="仿宋_GB2312" w:cs="宋体"/>
      <w:b/>
      <w:snapToGrid/>
      <w:color w:val="000000"/>
      <w:kern w:val="2"/>
      <w:sz w:val="28"/>
      <w:szCs w:val="20"/>
    </w:rPr>
  </w:style>
  <w:style w:type="paragraph" w:customStyle="1" w:styleId="1392">
    <w:name w:val="样式 标题 1新标题1 + 段前: 0.5 行 段后: 0.5 行"/>
    <w:basedOn w:val="3"/>
    <w:qFormat/>
    <w:uiPriority w:val="0"/>
    <w:pPr>
      <w:widowControl/>
      <w:spacing w:beforeLines="50" w:afterLines="50" w:line="460" w:lineRule="exact"/>
      <w:jc w:val="left"/>
    </w:pPr>
    <w:rPr>
      <w:rFonts w:ascii="黑体" w:hAnsi="宋体" w:cs="宋体"/>
      <w:b/>
      <w:snapToGrid/>
      <w:sz w:val="28"/>
      <w:szCs w:val="20"/>
    </w:rPr>
  </w:style>
  <w:style w:type="paragraph" w:customStyle="1" w:styleId="1393">
    <w:name w:val="表体"/>
    <w:basedOn w:val="32"/>
    <w:qFormat/>
    <w:uiPriority w:val="0"/>
    <w:pPr>
      <w:widowControl/>
      <w:spacing w:after="0" w:line="280" w:lineRule="exact"/>
      <w:jc w:val="center"/>
    </w:pPr>
    <w:rPr>
      <w:rFonts w:ascii="Times New Roman"/>
      <w:sz w:val="18"/>
      <w:szCs w:val="20"/>
    </w:rPr>
  </w:style>
  <w:style w:type="paragraph" w:customStyle="1" w:styleId="1394">
    <w:name w:val="海港文字"/>
    <w:basedOn w:val="32"/>
    <w:qFormat/>
    <w:uiPriority w:val="0"/>
    <w:pPr>
      <w:widowControl/>
      <w:spacing w:after="0" w:line="360" w:lineRule="auto"/>
      <w:ind w:firstLine="480" w:firstLineChars="200"/>
      <w:jc w:val="left"/>
    </w:pPr>
    <w:rPr>
      <w:rFonts w:ascii="Times New Roman"/>
      <w:sz w:val="21"/>
      <w:szCs w:val="20"/>
    </w:rPr>
  </w:style>
  <w:style w:type="paragraph" w:customStyle="1" w:styleId="1395">
    <w:name w:val="评价样式1"/>
    <w:basedOn w:val="1"/>
    <w:next w:val="32"/>
    <w:qFormat/>
    <w:uiPriority w:val="0"/>
    <w:pPr>
      <w:widowControl/>
      <w:spacing w:line="360" w:lineRule="auto"/>
      <w:jc w:val="left"/>
    </w:pPr>
    <w:rPr>
      <w:rFonts w:ascii="Times" w:hAnsi="Times" w:cs="宋体"/>
      <w:bCs/>
      <w:kern w:val="0"/>
      <w:sz w:val="24"/>
      <w:szCs w:val="24"/>
    </w:rPr>
  </w:style>
  <w:style w:type="paragraph" w:customStyle="1" w:styleId="1396">
    <w:name w:val="样式 样式 标题 3标题3H3h33rd level第二层条头小标题小节标题标题 3 Char Char一海港标... +1"/>
    <w:basedOn w:val="1349"/>
    <w:qFormat/>
    <w:uiPriority w:val="0"/>
    <w:pPr>
      <w:spacing w:beforeLines="50" w:afterLines="50" w:line="360" w:lineRule="auto"/>
      <w:ind w:left="0" w:firstLine="0"/>
    </w:pPr>
    <w:rPr>
      <w:rFonts w:ascii="黑体" w:hAnsi="Times New Roman" w:eastAsia="黑体"/>
      <w:b/>
      <w:sz w:val="30"/>
    </w:rPr>
  </w:style>
  <w:style w:type="paragraph" w:customStyle="1" w:styleId="1397">
    <w:name w:val="照片"/>
    <w:basedOn w:val="1"/>
    <w:qFormat/>
    <w:uiPriority w:val="0"/>
    <w:pPr>
      <w:spacing w:line="360" w:lineRule="auto"/>
      <w:ind w:left="210" w:leftChars="100" w:right="210" w:rightChars="100" w:firstLine="200" w:firstLineChars="200"/>
      <w:jc w:val="center"/>
    </w:pPr>
    <w:rPr>
      <w:rFonts w:ascii="Times" w:hAnsi="Times" w:eastAsia="黑体"/>
      <w:b/>
      <w:color w:val="000000"/>
      <w:spacing w:val="-4"/>
      <w:sz w:val="24"/>
      <w:szCs w:val="20"/>
    </w:rPr>
  </w:style>
  <w:style w:type="paragraph" w:customStyle="1" w:styleId="1398">
    <w:name w:val="小标题@"/>
    <w:basedOn w:val="1"/>
    <w:qFormat/>
    <w:uiPriority w:val="0"/>
    <w:pPr>
      <w:widowControl/>
      <w:tabs>
        <w:tab w:val="left" w:pos="840"/>
      </w:tabs>
      <w:adjustRightInd w:val="0"/>
      <w:spacing w:before="60" w:after="60"/>
      <w:ind w:left="828" w:hanging="348"/>
      <w:jc w:val="left"/>
    </w:pPr>
    <w:rPr>
      <w:rFonts w:hAnsi="宋体" w:cs="宋体"/>
      <w:kern w:val="0"/>
      <w:sz w:val="24"/>
      <w:szCs w:val="24"/>
    </w:rPr>
  </w:style>
  <w:style w:type="paragraph" w:customStyle="1" w:styleId="1399">
    <w:name w:val="样式 样式 左侧:  2 字符 + 首行缩进:  2 字符"/>
    <w:basedOn w:val="1"/>
    <w:qFormat/>
    <w:uiPriority w:val="0"/>
    <w:pPr>
      <w:widowControl/>
      <w:jc w:val="left"/>
    </w:pPr>
    <w:rPr>
      <w:rFonts w:hAnsi="宋体" w:cs="宋体"/>
      <w:kern w:val="0"/>
      <w:sz w:val="24"/>
      <w:szCs w:val="24"/>
    </w:rPr>
  </w:style>
  <w:style w:type="paragraph" w:customStyle="1" w:styleId="1400">
    <w:name w:val="CV Control Valve Specification"/>
    <w:qFormat/>
    <w:uiPriority w:val="0"/>
    <w:pPr>
      <w:tabs>
        <w:tab w:val="left" w:pos="2160"/>
        <w:tab w:val="left" w:pos="5184"/>
      </w:tabs>
      <w:overflowPunct w:val="0"/>
      <w:autoSpaceDE w:val="0"/>
      <w:autoSpaceDN w:val="0"/>
      <w:adjustRightInd w:val="0"/>
      <w:spacing w:before="240"/>
    </w:pPr>
    <w:rPr>
      <w:rFonts w:ascii="Times New Roman" w:hAnsi="Times New Roman" w:eastAsia="宋体" w:cs="Times New Roman"/>
      <w:sz w:val="24"/>
      <w:lang w:val="en-US" w:eastAsia="en-US" w:bidi="ar-SA"/>
    </w:rPr>
  </w:style>
  <w:style w:type="paragraph" w:customStyle="1" w:styleId="1401">
    <w:name w:val="二次评价普通文字"/>
    <w:basedOn w:val="1"/>
    <w:qFormat/>
    <w:uiPriority w:val="99"/>
    <w:pPr>
      <w:ind w:firstLine="560" w:firstLineChars="200"/>
    </w:pPr>
    <w:rPr>
      <w:rFonts w:hAnsi="宋体"/>
      <w:bCs/>
      <w:sz w:val="28"/>
      <w:szCs w:val="28"/>
    </w:rPr>
  </w:style>
  <w:style w:type="paragraph" w:customStyle="1" w:styleId="1402">
    <w:name w:val="正文文本缩进3"/>
    <w:basedOn w:val="1"/>
    <w:qFormat/>
    <w:uiPriority w:val="0"/>
    <w:pPr>
      <w:widowControl/>
      <w:spacing w:line="360" w:lineRule="exact"/>
      <w:ind w:firstLine="480" w:firstLineChars="200"/>
      <w:jc w:val="left"/>
    </w:pPr>
    <w:rPr>
      <w:rFonts w:hAnsi="宋体" w:cs="宋体"/>
      <w:kern w:val="0"/>
      <w:sz w:val="24"/>
      <w:szCs w:val="24"/>
    </w:rPr>
  </w:style>
  <w:style w:type="paragraph" w:customStyle="1" w:styleId="1403">
    <w:name w:val="正文文本 22"/>
    <w:basedOn w:val="1"/>
    <w:qFormat/>
    <w:uiPriority w:val="0"/>
    <w:pPr>
      <w:widowControl/>
      <w:adjustRightInd w:val="0"/>
      <w:spacing w:line="432" w:lineRule="auto"/>
      <w:ind w:firstLine="480"/>
      <w:jc w:val="left"/>
    </w:pPr>
    <w:rPr>
      <w:rFonts w:hAnsi="宋体" w:cs="宋体"/>
      <w:kern w:val="0"/>
      <w:sz w:val="24"/>
      <w:szCs w:val="24"/>
    </w:rPr>
  </w:style>
  <w:style w:type="paragraph" w:customStyle="1" w:styleId="1404">
    <w:name w:val="样式 正文标准 + 首行缩进:  2 字符"/>
    <w:basedOn w:val="1"/>
    <w:qFormat/>
    <w:uiPriority w:val="0"/>
    <w:pPr>
      <w:widowControl/>
      <w:tabs>
        <w:tab w:val="left" w:pos="547"/>
        <w:tab w:val="left" w:pos="1080"/>
      </w:tabs>
      <w:ind w:firstLine="560" w:firstLineChars="200"/>
      <w:jc w:val="left"/>
    </w:pPr>
    <w:rPr>
      <w:rFonts w:hAnsi="宋体" w:cs="宋体"/>
      <w:kern w:val="0"/>
      <w:sz w:val="28"/>
      <w:szCs w:val="24"/>
    </w:rPr>
  </w:style>
  <w:style w:type="paragraph" w:customStyle="1" w:styleId="1405">
    <w:name w:val="样式 标题 3标题 3 Char + 小四 黑色"/>
    <w:basedOn w:val="5"/>
    <w:qFormat/>
    <w:uiPriority w:val="0"/>
    <w:pPr>
      <w:tabs>
        <w:tab w:val="left" w:pos="720"/>
        <w:tab w:val="left" w:pos="900"/>
        <w:tab w:val="left" w:pos="1260"/>
        <w:tab w:val="left" w:pos="1800"/>
      </w:tabs>
      <w:adjustRightInd w:val="0"/>
      <w:spacing w:beforeLines="50" w:after="0" w:line="240" w:lineRule="auto"/>
      <w:ind w:firstLine="567"/>
    </w:pPr>
    <w:rPr>
      <w:rFonts w:ascii="宋体"/>
      <w:b w:val="0"/>
      <w:i/>
      <w:iCs/>
      <w:color w:val="000000"/>
      <w:sz w:val="28"/>
      <w:szCs w:val="24"/>
    </w:rPr>
  </w:style>
  <w:style w:type="paragraph" w:customStyle="1" w:styleId="1406">
    <w:name w:val="列出段落21"/>
    <w:basedOn w:val="1"/>
    <w:qFormat/>
    <w:uiPriority w:val="0"/>
    <w:pPr>
      <w:widowControl/>
      <w:spacing w:before="100" w:beforeAutospacing="1" w:after="100" w:afterAutospacing="1" w:line="60" w:lineRule="auto"/>
      <w:ind w:firstLine="420" w:firstLineChars="200"/>
      <w:jc w:val="left"/>
    </w:pPr>
    <w:rPr>
      <w:rFonts w:ascii="Calibri" w:hAnsi="Calibri" w:cs="宋体"/>
      <w:bCs/>
      <w:kern w:val="0"/>
      <w:sz w:val="24"/>
      <w:szCs w:val="22"/>
    </w:rPr>
  </w:style>
  <w:style w:type="paragraph" w:customStyle="1" w:styleId="1407">
    <w:name w:val="表中"/>
    <w:basedOn w:val="212"/>
    <w:qFormat/>
    <w:uiPriority w:val="0"/>
    <w:pPr>
      <w:autoSpaceDE w:val="0"/>
      <w:autoSpaceDN w:val="0"/>
      <w:snapToGrid/>
      <w:spacing w:line="360" w:lineRule="exact"/>
      <w:outlineLvl w:val="7"/>
    </w:pPr>
    <w:rPr>
      <w:rFonts w:ascii="Arial" w:hAnsi="Arial" w:eastAsia="仿宋_GB2312"/>
      <w:snapToGrid/>
      <w:color w:val="000000"/>
      <w:kern w:val="2"/>
      <w:szCs w:val="20"/>
    </w:rPr>
  </w:style>
  <w:style w:type="paragraph" w:customStyle="1" w:styleId="1408">
    <w:name w:val="WW-正文缩进"/>
    <w:basedOn w:val="1"/>
    <w:qFormat/>
    <w:uiPriority w:val="0"/>
    <w:pPr>
      <w:widowControl/>
      <w:suppressAutoHyphens/>
      <w:spacing w:line="480" w:lineRule="exact"/>
      <w:ind w:firstLine="595"/>
      <w:jc w:val="left"/>
    </w:pPr>
    <w:rPr>
      <w:rFonts w:hAnsi="宋体" w:cs="宋体"/>
      <w:sz w:val="24"/>
      <w:szCs w:val="24"/>
      <w:lang w:eastAsia="ar-SA"/>
    </w:rPr>
  </w:style>
  <w:style w:type="paragraph" w:customStyle="1" w:styleId="1409">
    <w:name w:val="样式 样式 标题 2 + 左侧:  2 字符 + 首行缩进:  2 字符1"/>
    <w:basedOn w:val="1"/>
    <w:qFormat/>
    <w:uiPriority w:val="0"/>
    <w:pPr>
      <w:keepNext/>
      <w:keepLines/>
      <w:widowControl/>
      <w:adjustRightInd w:val="0"/>
      <w:snapToGrid w:val="0"/>
      <w:spacing w:before="260" w:after="260" w:line="416" w:lineRule="exact"/>
      <w:ind w:firstLine="640" w:firstLineChars="200"/>
      <w:jc w:val="left"/>
      <w:outlineLvl w:val="1"/>
    </w:pPr>
    <w:rPr>
      <w:rFonts w:ascii="Arial" w:hAnsi="Arial" w:eastAsia="黑体" w:cs="宋体"/>
      <w:b/>
      <w:bCs/>
      <w:kern w:val="0"/>
      <w:sz w:val="28"/>
      <w:szCs w:val="24"/>
    </w:rPr>
  </w:style>
  <w:style w:type="paragraph" w:customStyle="1" w:styleId="1410">
    <w:name w:val="样式 样式4 + 段前: 0.5 行 段后: 0.5 行"/>
    <w:basedOn w:val="276"/>
    <w:qFormat/>
    <w:uiPriority w:val="0"/>
    <w:pPr>
      <w:widowControl/>
      <w:tabs>
        <w:tab w:val="left" w:pos="987"/>
        <w:tab w:val="left" w:pos="1086"/>
      </w:tabs>
      <w:adjustRightInd w:val="0"/>
      <w:snapToGrid w:val="0"/>
      <w:spacing w:beforeLines="20" w:line="360" w:lineRule="auto"/>
      <w:ind w:left="1086" w:hanging="576"/>
      <w:jc w:val="left"/>
      <w:outlineLvl w:val="1"/>
    </w:pPr>
    <w:rPr>
      <w:rFonts w:ascii="Times New Roman" w:hAnsi="Times New Roman" w:cs="Arial"/>
      <w:b/>
      <w:bCs/>
      <w:snapToGrid/>
    </w:rPr>
  </w:style>
  <w:style w:type="paragraph" w:customStyle="1" w:styleId="1411">
    <w:name w:val="表注"/>
    <w:basedOn w:val="1"/>
    <w:qFormat/>
    <w:uiPriority w:val="0"/>
    <w:pPr>
      <w:widowControl/>
      <w:tabs>
        <w:tab w:val="left" w:pos="625"/>
      </w:tabs>
      <w:overflowPunct w:val="0"/>
      <w:topLinePunct/>
      <w:autoSpaceDE w:val="0"/>
      <w:adjustRightInd w:val="0"/>
      <w:snapToGrid w:val="0"/>
      <w:spacing w:before="120" w:line="288" w:lineRule="auto"/>
      <w:ind w:left="625" w:hanging="425"/>
      <w:jc w:val="center"/>
    </w:pPr>
    <w:rPr>
      <w:rFonts w:hAnsi="宋体" w:cs="宋体"/>
      <w:b/>
      <w:spacing w:val="20"/>
      <w:kern w:val="0"/>
      <w:sz w:val="28"/>
      <w:szCs w:val="24"/>
    </w:rPr>
  </w:style>
  <w:style w:type="paragraph" w:customStyle="1" w:styleId="1412">
    <w:name w:val="我的样式（正文）"/>
    <w:basedOn w:val="1"/>
    <w:qFormat/>
    <w:uiPriority w:val="0"/>
    <w:pPr>
      <w:widowControl/>
      <w:spacing w:line="440" w:lineRule="exact"/>
      <w:jc w:val="left"/>
    </w:pPr>
    <w:rPr>
      <w:rFonts w:hAnsi="宋体" w:cs="宋体"/>
      <w:kern w:val="0"/>
      <w:sz w:val="28"/>
      <w:szCs w:val="24"/>
    </w:rPr>
  </w:style>
  <w:style w:type="paragraph" w:customStyle="1" w:styleId="1413">
    <w:name w:val="目录 2 Char Char"/>
    <w:basedOn w:val="1"/>
    <w:next w:val="1"/>
    <w:qFormat/>
    <w:uiPriority w:val="0"/>
    <w:pPr>
      <w:widowControl/>
      <w:spacing w:line="460" w:lineRule="auto"/>
      <w:ind w:left="420"/>
      <w:jc w:val="left"/>
    </w:pPr>
    <w:rPr>
      <w:rFonts w:hAnsi="宋体" w:cs="宋体"/>
      <w:color w:val="000000"/>
      <w:kern w:val="0"/>
      <w:sz w:val="24"/>
      <w:szCs w:val="24"/>
    </w:rPr>
  </w:style>
  <w:style w:type="paragraph" w:customStyle="1" w:styleId="1414">
    <w:name w:val="w2"/>
    <w:basedOn w:val="1"/>
    <w:qFormat/>
    <w:uiPriority w:val="0"/>
    <w:pPr>
      <w:widowControl/>
      <w:adjustRightInd w:val="0"/>
      <w:spacing w:line="360" w:lineRule="auto"/>
      <w:ind w:left="720" w:firstLine="360"/>
      <w:jc w:val="left"/>
    </w:pPr>
    <w:rPr>
      <w:rFonts w:hAnsi="宋体" w:cs="宋体"/>
      <w:kern w:val="0"/>
      <w:sz w:val="28"/>
      <w:szCs w:val="24"/>
    </w:rPr>
  </w:style>
  <w:style w:type="paragraph" w:customStyle="1" w:styleId="1415">
    <w:name w:val="样式 粉红 首行缩进:  2 字符"/>
    <w:basedOn w:val="1"/>
    <w:qFormat/>
    <w:uiPriority w:val="0"/>
    <w:pPr>
      <w:widowControl/>
      <w:spacing w:line="480" w:lineRule="exact"/>
      <w:ind w:firstLine="480" w:firstLineChars="200"/>
      <w:jc w:val="left"/>
    </w:pPr>
    <w:rPr>
      <w:rFonts w:hAnsi="宋体" w:cs="宋体"/>
      <w:color w:val="FF0000"/>
      <w:kern w:val="0"/>
      <w:sz w:val="24"/>
      <w:szCs w:val="24"/>
    </w:rPr>
  </w:style>
  <w:style w:type="character" w:customStyle="1" w:styleId="1416">
    <w:name w:val="样式 报告正文 + 首行缩进:  2 字符 Char Char"/>
    <w:link w:val="1417"/>
    <w:qFormat/>
    <w:uiPriority w:val="0"/>
    <w:rPr>
      <w:rFonts w:ascii="宋体" w:hAnsi="宋体" w:cs="宋体"/>
      <w:kern w:val="2"/>
      <w:sz w:val="24"/>
    </w:rPr>
  </w:style>
  <w:style w:type="paragraph" w:customStyle="1" w:styleId="1417">
    <w:name w:val="样式 报告正文 + 首行缩进:  2 字符"/>
    <w:basedOn w:val="1"/>
    <w:link w:val="1416"/>
    <w:qFormat/>
    <w:uiPriority w:val="0"/>
    <w:pPr>
      <w:widowControl/>
      <w:autoSpaceDE w:val="0"/>
      <w:autoSpaceDN w:val="0"/>
      <w:spacing w:line="360" w:lineRule="auto"/>
      <w:ind w:firstLine="200" w:firstLineChars="200"/>
      <w:jc w:val="left"/>
    </w:pPr>
    <w:rPr>
      <w:rFonts w:hAnsi="宋体" w:cs="宋体"/>
      <w:sz w:val="24"/>
      <w:szCs w:val="20"/>
    </w:rPr>
  </w:style>
  <w:style w:type="paragraph" w:customStyle="1" w:styleId="1418">
    <w:name w:val="1正文"/>
    <w:basedOn w:val="1"/>
    <w:link w:val="1419"/>
    <w:qFormat/>
    <w:uiPriority w:val="0"/>
    <w:pPr>
      <w:spacing w:line="360" w:lineRule="auto"/>
      <w:ind w:firstLine="480" w:firstLineChars="200"/>
    </w:pPr>
    <w:rPr>
      <w:rFonts w:ascii="Times New Roman"/>
      <w:sz w:val="24"/>
      <w:szCs w:val="24"/>
    </w:rPr>
  </w:style>
  <w:style w:type="character" w:customStyle="1" w:styleId="1419">
    <w:name w:val="1正文 Char"/>
    <w:link w:val="1418"/>
    <w:qFormat/>
    <w:uiPriority w:val="0"/>
    <w:rPr>
      <w:kern w:val="2"/>
      <w:sz w:val="24"/>
      <w:szCs w:val="24"/>
    </w:rPr>
  </w:style>
  <w:style w:type="paragraph" w:customStyle="1" w:styleId="1420">
    <w:name w:val="表格001"/>
    <w:basedOn w:val="1"/>
    <w:qFormat/>
    <w:uiPriority w:val="0"/>
    <w:pPr>
      <w:widowControl/>
      <w:jc w:val="center"/>
    </w:pPr>
    <w:rPr>
      <w:rFonts w:hAnsi="宋体" w:cs="宋体"/>
      <w:kern w:val="0"/>
      <w:sz w:val="24"/>
      <w:szCs w:val="24"/>
    </w:rPr>
  </w:style>
  <w:style w:type="paragraph" w:customStyle="1" w:styleId="1421">
    <w:name w:val="样式 标题 3标题 3 Char Char标题 3 Char Char Char Char Char标题 3 Char C...3"/>
    <w:basedOn w:val="5"/>
    <w:qFormat/>
    <w:uiPriority w:val="0"/>
    <w:pPr>
      <w:keepNext w:val="0"/>
      <w:keepLines w:val="0"/>
      <w:tabs>
        <w:tab w:val="left" w:pos="4500"/>
      </w:tabs>
      <w:adjustRightInd w:val="0"/>
      <w:snapToGrid w:val="0"/>
      <w:spacing w:before="62" w:after="62" w:line="400" w:lineRule="exact"/>
    </w:pPr>
    <w:rPr>
      <w:bCs w:val="0"/>
      <w:i/>
      <w:iCs/>
      <w:sz w:val="24"/>
      <w:szCs w:val="24"/>
    </w:rPr>
  </w:style>
  <w:style w:type="paragraph" w:customStyle="1" w:styleId="1422">
    <w:name w:val="标题样式1"/>
    <w:basedOn w:val="32"/>
    <w:qFormat/>
    <w:uiPriority w:val="0"/>
    <w:pPr>
      <w:widowControl/>
      <w:adjustRightInd w:val="0"/>
      <w:snapToGrid w:val="0"/>
      <w:spacing w:after="0" w:line="0" w:lineRule="atLeast"/>
      <w:jc w:val="center"/>
    </w:pPr>
    <w:rPr>
      <w:rFonts w:ascii="Times New Roman"/>
      <w:b/>
      <w:bCs/>
      <w:sz w:val="21"/>
      <w:szCs w:val="20"/>
    </w:rPr>
  </w:style>
  <w:style w:type="paragraph" w:customStyle="1" w:styleId="1423">
    <w:name w:val="正文（1）"/>
    <w:basedOn w:val="20"/>
    <w:next w:val="82"/>
    <w:qFormat/>
    <w:uiPriority w:val="0"/>
    <w:pPr>
      <w:widowControl/>
      <w:tabs>
        <w:tab w:val="left" w:pos="4916"/>
      </w:tabs>
      <w:adjustRightInd w:val="0"/>
      <w:snapToGrid w:val="0"/>
      <w:spacing w:line="480" w:lineRule="exact"/>
      <w:ind w:firstLine="480" w:firstLineChars="200"/>
      <w:jc w:val="left"/>
    </w:pPr>
    <w:rPr>
      <w:rFonts w:eastAsia="宋体"/>
      <w:snapToGrid/>
      <w:sz w:val="24"/>
      <w:szCs w:val="20"/>
    </w:rPr>
  </w:style>
  <w:style w:type="paragraph" w:customStyle="1" w:styleId="1424">
    <w:name w:val="样式 正文文本缩进 + 小四 非加粗 非倾斜 行距: 固定值 20 磅"/>
    <w:basedOn w:val="33"/>
    <w:qFormat/>
    <w:uiPriority w:val="0"/>
    <w:pPr>
      <w:widowControl/>
      <w:spacing w:line="440" w:lineRule="exact"/>
      <w:ind w:firstLine="454"/>
      <w:jc w:val="left"/>
    </w:pPr>
    <w:rPr>
      <w:rFonts w:cs="宋体"/>
      <w:kern w:val="0"/>
      <w:szCs w:val="20"/>
    </w:rPr>
  </w:style>
  <w:style w:type="paragraph" w:customStyle="1" w:styleId="1425">
    <w:name w:val="样式 首行缩进:  2 字符10"/>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426">
    <w:name w:val="Char Char Char Char Char Char Char Char Char"/>
    <w:basedOn w:val="1"/>
    <w:qFormat/>
    <w:uiPriority w:val="0"/>
    <w:rPr>
      <w:rFonts w:ascii="Times New Roman"/>
      <w:sz w:val="24"/>
      <w:szCs w:val="20"/>
    </w:rPr>
  </w:style>
  <w:style w:type="paragraph" w:customStyle="1" w:styleId="1427">
    <w:name w:val="奇页页眉样式"/>
    <w:basedOn w:val="1"/>
    <w:qFormat/>
    <w:uiPriority w:val="0"/>
    <w:pPr>
      <w:keepLines/>
      <w:widowControl/>
      <w:tabs>
        <w:tab w:val="center" w:pos="-18551"/>
        <w:tab w:val="right" w:pos="4320"/>
      </w:tabs>
      <w:spacing w:after="480" w:line="240" w:lineRule="exact"/>
      <w:jc w:val="center"/>
    </w:pPr>
    <w:rPr>
      <w:rFonts w:ascii="Garamond" w:hAnsi="Garamond" w:cs="Garamond"/>
      <w:smallCaps/>
      <w:spacing w:val="15"/>
      <w:kern w:val="0"/>
      <w:sz w:val="24"/>
      <w:szCs w:val="21"/>
    </w:rPr>
  </w:style>
  <w:style w:type="character" w:customStyle="1" w:styleId="1428">
    <w:name w:val="样式 样式 仪征正文 + 黑色 + 红色 Char Char"/>
    <w:link w:val="1429"/>
    <w:qFormat/>
    <w:uiPriority w:val="0"/>
    <w:rPr>
      <w:rFonts w:ascii="Arial" w:hAnsi="Arial" w:eastAsia="仿宋_GB2312" w:cs="Arial"/>
      <w:color w:val="000000"/>
      <w:kern w:val="2"/>
      <w:sz w:val="24"/>
    </w:rPr>
  </w:style>
  <w:style w:type="paragraph" w:customStyle="1" w:styleId="1429">
    <w:name w:val="样式 样式 仪征正文 + 黑色 + 红色"/>
    <w:basedOn w:val="1331"/>
    <w:link w:val="1428"/>
    <w:qFormat/>
    <w:uiPriority w:val="0"/>
  </w:style>
  <w:style w:type="paragraph" w:customStyle="1" w:styleId="1430">
    <w:name w:val="样式 居中 首行缩进:  0.01 厘米 段后: 6 磅"/>
    <w:basedOn w:val="1"/>
    <w:qFormat/>
    <w:uiPriority w:val="0"/>
    <w:pPr>
      <w:widowControl/>
      <w:spacing w:after="120"/>
      <w:ind w:firstLine="4"/>
      <w:jc w:val="center"/>
    </w:pPr>
    <w:rPr>
      <w:rFonts w:hAnsi="宋体" w:eastAsia="华文仿宋" w:cs="宋体"/>
      <w:kern w:val="0"/>
      <w:sz w:val="24"/>
      <w:szCs w:val="24"/>
    </w:rPr>
  </w:style>
  <w:style w:type="paragraph" w:customStyle="1" w:styleId="1431">
    <w:name w:val="标题一"/>
    <w:basedOn w:val="1"/>
    <w:next w:val="3"/>
    <w:qFormat/>
    <w:uiPriority w:val="0"/>
    <w:pPr>
      <w:widowControl/>
      <w:tabs>
        <w:tab w:val="left" w:pos="720"/>
      </w:tabs>
      <w:ind w:left="720" w:hanging="720"/>
      <w:jc w:val="left"/>
    </w:pPr>
    <w:rPr>
      <w:rFonts w:hAnsi="宋体" w:cs="宋体"/>
      <w:kern w:val="0"/>
      <w:sz w:val="28"/>
      <w:szCs w:val="24"/>
    </w:rPr>
  </w:style>
  <w:style w:type="paragraph" w:customStyle="1" w:styleId="1432">
    <w:name w:val="样式 正文首行缩进 + 首行缩进:  0 字符"/>
    <w:basedOn w:val="82"/>
    <w:qFormat/>
    <w:uiPriority w:val="0"/>
    <w:pPr>
      <w:adjustRightInd w:val="0"/>
      <w:snapToGrid w:val="0"/>
      <w:spacing w:after="0" w:line="360" w:lineRule="auto"/>
      <w:ind w:firstLine="567" w:firstLineChars="0"/>
    </w:pPr>
    <w:rPr>
      <w:rFonts w:hint="default" w:ascii="Times New Roman" w:hAnsi="Times New Roman" w:cs="Times New Roman"/>
      <w:color w:val="0000FF"/>
      <w:sz w:val="28"/>
      <w:szCs w:val="28"/>
    </w:rPr>
  </w:style>
  <w:style w:type="paragraph" w:customStyle="1" w:styleId="1433">
    <w:name w:val="样式 正文首行缩进 2 + 首行缩进:  2 字符"/>
    <w:basedOn w:val="83"/>
    <w:qFormat/>
    <w:uiPriority w:val="0"/>
    <w:pPr>
      <w:spacing w:line="360" w:lineRule="auto"/>
      <w:ind w:left="0" w:leftChars="0" w:firstLine="480"/>
    </w:pPr>
    <w:rPr>
      <w:rFonts w:hint="eastAsia" w:ascii="宋体" w:hAnsi="宋体" w:cs="宋体"/>
      <w:sz w:val="24"/>
    </w:rPr>
  </w:style>
  <w:style w:type="paragraph" w:customStyle="1" w:styleId="1434">
    <w:name w:val="样式 表格文字统一样式 + Arial 非加粗 自动设置 行距: 单倍行距"/>
    <w:basedOn w:val="1230"/>
    <w:qFormat/>
    <w:uiPriority w:val="0"/>
    <w:pPr>
      <w:ind w:firstLine="405" w:firstLineChars="193"/>
      <w:jc w:val="both"/>
    </w:pPr>
    <w:rPr>
      <w:rFonts w:ascii="Arial" w:hAnsi="Arial"/>
    </w:rPr>
  </w:style>
  <w:style w:type="paragraph" w:customStyle="1" w:styleId="1435">
    <w:name w:val="封皮字体3"/>
    <w:basedOn w:val="1217"/>
    <w:qFormat/>
    <w:uiPriority w:val="0"/>
    <w:pPr>
      <w:spacing w:line="720" w:lineRule="auto"/>
    </w:pPr>
    <w:rPr>
      <w:sz w:val="30"/>
    </w:rPr>
  </w:style>
  <w:style w:type="paragraph" w:customStyle="1" w:styleId="1436">
    <w:name w:val="编号括号数字"/>
    <w:basedOn w:val="1"/>
    <w:qFormat/>
    <w:uiPriority w:val="0"/>
    <w:pPr>
      <w:widowControl/>
      <w:tabs>
        <w:tab w:val="left" w:pos="939"/>
      </w:tabs>
      <w:spacing w:line="360" w:lineRule="auto"/>
      <w:ind w:left="342" w:firstLine="198"/>
      <w:jc w:val="left"/>
      <w:outlineLvl w:val="4"/>
    </w:pPr>
    <w:rPr>
      <w:rFonts w:hAnsi="宋体" w:cs="宋体"/>
      <w:kern w:val="0"/>
      <w:sz w:val="24"/>
      <w:szCs w:val="24"/>
    </w:rPr>
  </w:style>
  <w:style w:type="paragraph" w:customStyle="1" w:styleId="1437">
    <w:name w:val="样式 标题 4 + 行距: 1.5 倍行距"/>
    <w:basedOn w:val="6"/>
    <w:qFormat/>
    <w:uiPriority w:val="0"/>
    <w:pPr>
      <w:keepNext/>
      <w:keepLines/>
      <w:widowControl/>
      <w:tabs>
        <w:tab w:val="clear" w:pos="360"/>
        <w:tab w:val="clear" w:pos="2207"/>
      </w:tabs>
      <w:spacing w:beforeLines="0" w:afterLines="0" w:line="360" w:lineRule="auto"/>
      <w:jc w:val="left"/>
    </w:pPr>
    <w:rPr>
      <w:rFonts w:eastAsia="宋体" w:cs="宋体"/>
      <w:b/>
      <w:bCs/>
      <w:snapToGrid/>
      <w:color w:val="auto"/>
      <w:kern w:val="0"/>
      <w:szCs w:val="20"/>
    </w:rPr>
  </w:style>
  <w:style w:type="paragraph" w:customStyle="1" w:styleId="1438">
    <w:name w:val="1标题2级"/>
    <w:basedOn w:val="1"/>
    <w:qFormat/>
    <w:uiPriority w:val="0"/>
    <w:pPr>
      <w:keepNext/>
      <w:widowControl/>
      <w:snapToGrid w:val="0"/>
      <w:spacing w:beforeLines="50"/>
      <w:jc w:val="left"/>
      <w:outlineLvl w:val="1"/>
    </w:pPr>
    <w:rPr>
      <w:rFonts w:hAnsi="宋体" w:eastAsia="黑体" w:cs="宋体"/>
      <w:b/>
      <w:kern w:val="0"/>
      <w:sz w:val="28"/>
      <w:szCs w:val="24"/>
    </w:rPr>
  </w:style>
  <w:style w:type="character" w:customStyle="1" w:styleId="1439">
    <w:name w:val="表头1 Char Char"/>
    <w:qFormat/>
    <w:uiPriority w:val="0"/>
    <w:rPr>
      <w:rFonts w:ascii="黑体" w:hAnsi="黑体" w:eastAsia="黑体"/>
      <w:sz w:val="21"/>
      <w:szCs w:val="28"/>
    </w:rPr>
  </w:style>
  <w:style w:type="paragraph" w:customStyle="1" w:styleId="1440">
    <w:name w:val="图名称"/>
    <w:basedOn w:val="1"/>
    <w:qFormat/>
    <w:uiPriority w:val="0"/>
    <w:pPr>
      <w:widowControl/>
      <w:tabs>
        <w:tab w:val="left" w:pos="2600"/>
        <w:tab w:val="center" w:pos="6622"/>
      </w:tabs>
      <w:adjustRightInd w:val="0"/>
      <w:snapToGrid w:val="0"/>
      <w:spacing w:before="50" w:line="312" w:lineRule="auto"/>
      <w:ind w:firstLine="178" w:firstLineChars="74"/>
      <w:jc w:val="center"/>
    </w:pPr>
    <w:rPr>
      <w:rFonts w:hAnsi="宋体" w:cs="宋体"/>
      <w:b/>
      <w:bCs/>
      <w:kern w:val="0"/>
      <w:sz w:val="24"/>
      <w:szCs w:val="24"/>
    </w:rPr>
  </w:style>
  <w:style w:type="paragraph" w:customStyle="1" w:styleId="1441">
    <w:name w:val="表格格式"/>
    <w:basedOn w:val="1"/>
    <w:qFormat/>
    <w:uiPriority w:val="0"/>
    <w:pPr>
      <w:adjustRightInd w:val="0"/>
      <w:snapToGrid w:val="0"/>
      <w:spacing w:line="300" w:lineRule="exact"/>
      <w:jc w:val="center"/>
    </w:pPr>
    <w:rPr>
      <w:rFonts w:ascii="Times New Roman"/>
      <w:kern w:val="21"/>
      <w:sz w:val="21"/>
      <w:szCs w:val="20"/>
    </w:rPr>
  </w:style>
  <w:style w:type="paragraph" w:customStyle="1" w:styleId="1442">
    <w:name w:val="样式 标题 1标题 1 1 + 黑体 小二 非加粗 蓝色 段前: 0 磅 段后: 7.8 磅 行距: 单倍行距"/>
    <w:basedOn w:val="3"/>
    <w:qFormat/>
    <w:uiPriority w:val="0"/>
    <w:pPr>
      <w:widowControl/>
      <w:tabs>
        <w:tab w:val="left" w:pos="432"/>
      </w:tabs>
      <w:spacing w:beforeLines="50" w:afterLines="50" w:line="240" w:lineRule="auto"/>
      <w:ind w:left="432" w:hanging="432"/>
      <w:jc w:val="left"/>
    </w:pPr>
    <w:rPr>
      <w:rFonts w:ascii="黑体" w:hAnsi="宋体" w:cs="宋体"/>
      <w:snapToGrid/>
      <w:color w:val="0000FF"/>
      <w:sz w:val="36"/>
      <w:szCs w:val="20"/>
    </w:rPr>
  </w:style>
  <w:style w:type="paragraph" w:customStyle="1" w:styleId="1443">
    <w:name w:val="LT标题3"/>
    <w:basedOn w:val="1"/>
    <w:next w:val="1"/>
    <w:qFormat/>
    <w:uiPriority w:val="0"/>
    <w:pPr>
      <w:keepNext/>
      <w:keepLines/>
      <w:spacing w:beforeLines="100" w:line="360" w:lineRule="auto"/>
      <w:outlineLvl w:val="2"/>
    </w:pPr>
    <w:rPr>
      <w:b/>
      <w:color w:val="0000FF"/>
      <w:spacing w:val="5"/>
      <w:sz w:val="28"/>
      <w:szCs w:val="20"/>
    </w:rPr>
  </w:style>
  <w:style w:type="paragraph" w:customStyle="1" w:styleId="1444">
    <w:name w:val="样式 标题 1 + 宋体 小四 加粗 行距: 固定值 28 磅"/>
    <w:basedOn w:val="3"/>
    <w:qFormat/>
    <w:uiPriority w:val="0"/>
    <w:pPr>
      <w:keepNext w:val="0"/>
      <w:keepLines w:val="0"/>
      <w:pageBreakBefore/>
      <w:widowControl/>
      <w:spacing w:beforeLines="0" w:after="180" w:line="560" w:lineRule="exact"/>
      <w:jc w:val="left"/>
    </w:pPr>
    <w:rPr>
      <w:rFonts w:ascii="宋体" w:hAnsi="宋体" w:eastAsia="宋体" w:cs="宋体"/>
      <w:b/>
      <w:bCs/>
      <w:snapToGrid/>
      <w:kern w:val="2"/>
    </w:rPr>
  </w:style>
  <w:style w:type="paragraph" w:customStyle="1" w:styleId="1445">
    <w:name w:val="样式 标题 1 + 非加粗 行距: 固定值 28 磅"/>
    <w:basedOn w:val="3"/>
    <w:qFormat/>
    <w:uiPriority w:val="0"/>
    <w:pPr>
      <w:keepNext w:val="0"/>
      <w:keepLines w:val="0"/>
      <w:pageBreakBefore/>
      <w:widowControl/>
      <w:spacing w:beforeLines="0" w:after="180" w:line="440" w:lineRule="exact"/>
      <w:jc w:val="left"/>
    </w:pPr>
    <w:rPr>
      <w:rFonts w:ascii="宋体" w:hAnsi="宋体" w:eastAsia="宋体" w:cs="宋体"/>
      <w:b/>
      <w:snapToGrid/>
      <w:kern w:val="2"/>
    </w:rPr>
  </w:style>
  <w:style w:type="paragraph" w:customStyle="1" w:styleId="1446">
    <w:name w:val="navitext"/>
    <w:basedOn w:val="1"/>
    <w:qFormat/>
    <w:uiPriority w:val="0"/>
    <w:pPr>
      <w:widowControl/>
      <w:spacing w:before="100" w:beforeAutospacing="1" w:after="100" w:afterAutospacing="1"/>
      <w:jc w:val="left"/>
    </w:pPr>
    <w:rPr>
      <w:rFonts w:hAnsi="宋体" w:cs="宋体"/>
      <w:color w:val="000000"/>
      <w:kern w:val="0"/>
      <w:sz w:val="18"/>
      <w:szCs w:val="18"/>
    </w:rPr>
  </w:style>
  <w:style w:type="paragraph" w:customStyle="1" w:styleId="1447">
    <w:name w:val="样式 标题 1 + 黑体 加粗 两端对齐 行距: 固定值 28 磅"/>
    <w:basedOn w:val="3"/>
    <w:qFormat/>
    <w:uiPriority w:val="0"/>
    <w:pPr>
      <w:keepLines w:val="0"/>
      <w:widowControl/>
      <w:spacing w:beforeLines="0" w:after="180" w:line="240" w:lineRule="auto"/>
      <w:jc w:val="left"/>
    </w:pPr>
    <w:rPr>
      <w:rFonts w:ascii="黑体" w:hAnsi="宋体" w:eastAsia="宋体" w:cs="宋体"/>
      <w:b/>
      <w:bCs/>
      <w:snapToGrid/>
      <w:kern w:val="2"/>
      <w:sz w:val="30"/>
      <w:szCs w:val="30"/>
    </w:rPr>
  </w:style>
  <w:style w:type="paragraph" w:customStyle="1" w:styleId="1448">
    <w:name w:val="WW-列表 2"/>
    <w:basedOn w:val="1"/>
    <w:qFormat/>
    <w:uiPriority w:val="0"/>
    <w:pPr>
      <w:widowControl/>
      <w:suppressAutoHyphens/>
      <w:ind w:left="840" w:hanging="420"/>
      <w:jc w:val="left"/>
    </w:pPr>
    <w:rPr>
      <w:rFonts w:hAnsi="宋体" w:cs="宋体"/>
      <w:sz w:val="24"/>
      <w:szCs w:val="24"/>
      <w:lang w:eastAsia="ar-SA"/>
    </w:rPr>
  </w:style>
  <w:style w:type="paragraph" w:customStyle="1" w:styleId="1449">
    <w:name w:val="表题1"/>
    <w:basedOn w:val="1"/>
    <w:qFormat/>
    <w:uiPriority w:val="0"/>
    <w:pPr>
      <w:adjustRightInd w:val="0"/>
      <w:snapToGrid w:val="0"/>
      <w:spacing w:beforeLines="10" w:line="300" w:lineRule="auto"/>
      <w:jc w:val="center"/>
    </w:pPr>
    <w:rPr>
      <w:rFonts w:ascii="Times New Roman"/>
      <w:kern w:val="0"/>
      <w:sz w:val="24"/>
      <w:szCs w:val="20"/>
    </w:rPr>
  </w:style>
  <w:style w:type="paragraph" w:customStyle="1" w:styleId="1450">
    <w:name w:val="字元 字元2"/>
    <w:basedOn w:val="1"/>
    <w:qFormat/>
    <w:uiPriority w:val="0"/>
    <w:pPr>
      <w:adjustRightInd w:val="0"/>
      <w:snapToGrid w:val="0"/>
      <w:spacing w:line="360" w:lineRule="auto"/>
      <w:ind w:firstLine="200" w:firstLineChars="200"/>
    </w:pPr>
    <w:rPr>
      <w:rFonts w:ascii="Times New Roman"/>
      <w:sz w:val="24"/>
      <w:szCs w:val="24"/>
    </w:rPr>
  </w:style>
  <w:style w:type="character" w:customStyle="1" w:styleId="1451">
    <w:name w:val="样式 热电厂正文 + 首行缩进:  2 字符 Char Char Char Char"/>
    <w:link w:val="1452"/>
    <w:qFormat/>
    <w:uiPriority w:val="0"/>
    <w:rPr>
      <w:rFonts w:ascii="宋体" w:hAnsi="宋体" w:cs="宋体"/>
      <w:kern w:val="2"/>
      <w:sz w:val="24"/>
      <w:szCs w:val="24"/>
    </w:rPr>
  </w:style>
  <w:style w:type="paragraph" w:customStyle="1" w:styleId="1452">
    <w:name w:val="样式 热电厂正文 + 首行缩进:  2 字符 Char"/>
    <w:basedOn w:val="1"/>
    <w:link w:val="1451"/>
    <w:qFormat/>
    <w:uiPriority w:val="0"/>
    <w:pPr>
      <w:widowControl/>
      <w:spacing w:line="480" w:lineRule="exact"/>
      <w:ind w:firstLine="480" w:firstLineChars="200"/>
      <w:jc w:val="left"/>
    </w:pPr>
    <w:rPr>
      <w:rFonts w:hAnsi="宋体" w:cs="宋体"/>
      <w:sz w:val="24"/>
      <w:szCs w:val="24"/>
    </w:rPr>
  </w:style>
  <w:style w:type="paragraph" w:customStyle="1" w:styleId="1453">
    <w:name w:val="正文文本缩进 31"/>
    <w:basedOn w:val="1"/>
    <w:qFormat/>
    <w:uiPriority w:val="0"/>
    <w:pPr>
      <w:widowControl/>
      <w:adjustRightInd w:val="0"/>
      <w:ind w:firstLine="640"/>
      <w:jc w:val="left"/>
    </w:pPr>
    <w:rPr>
      <w:rFonts w:ascii="仿宋_GB2312" w:hAnsi="宋体" w:eastAsia="仿宋_GB2312" w:cs="宋体"/>
      <w:color w:val="FF0000"/>
      <w:kern w:val="0"/>
      <w:sz w:val="32"/>
      <w:szCs w:val="24"/>
    </w:rPr>
  </w:style>
  <w:style w:type="paragraph" w:customStyle="1" w:styleId="1454">
    <w:name w:val="样式 Arial 行距: 多倍行距 1.45 字行"/>
    <w:basedOn w:val="1"/>
    <w:qFormat/>
    <w:uiPriority w:val="0"/>
    <w:pPr>
      <w:widowControl/>
      <w:spacing w:line="480" w:lineRule="exact"/>
      <w:ind w:firstLine="500"/>
      <w:jc w:val="left"/>
    </w:pPr>
    <w:rPr>
      <w:rFonts w:hAnsi="宋体" w:cs="宋体"/>
      <w:kern w:val="0"/>
      <w:sz w:val="24"/>
      <w:szCs w:val="24"/>
    </w:rPr>
  </w:style>
  <w:style w:type="paragraph" w:customStyle="1" w:styleId="1455">
    <w:name w:val="正文-中宋 小4"/>
    <w:qFormat/>
    <w:uiPriority w:val="0"/>
    <w:pPr>
      <w:overflowPunct w:val="0"/>
      <w:autoSpaceDE w:val="0"/>
      <w:autoSpaceDN w:val="0"/>
      <w:adjustRightInd w:val="0"/>
      <w:snapToGrid w:val="0"/>
      <w:spacing w:line="500" w:lineRule="exact"/>
      <w:ind w:firstLine="480" w:firstLineChars="200"/>
    </w:pPr>
    <w:rPr>
      <w:rFonts w:ascii="Times New Roman" w:hAnsi="Times New Roman" w:eastAsia="华文中宋" w:cs="Times New Roman"/>
      <w:sz w:val="24"/>
      <w:szCs w:val="24"/>
      <w:lang w:val="en-US" w:eastAsia="zh-CN" w:bidi="ar-SA"/>
    </w:rPr>
  </w:style>
  <w:style w:type="paragraph" w:customStyle="1" w:styleId="1456">
    <w:name w:val="二"/>
    <w:basedOn w:val="1"/>
    <w:qFormat/>
    <w:uiPriority w:val="0"/>
    <w:pPr>
      <w:widowControl/>
      <w:jc w:val="left"/>
    </w:pPr>
    <w:rPr>
      <w:rFonts w:ascii="黑体" w:hAnsi="宋体" w:eastAsia="黑体" w:cs="宋体"/>
      <w:b/>
      <w:kern w:val="0"/>
      <w:sz w:val="24"/>
      <w:szCs w:val="24"/>
    </w:rPr>
  </w:style>
  <w:style w:type="paragraph" w:customStyle="1" w:styleId="1457">
    <w:name w:val="目次、标准名称标题"/>
    <w:basedOn w:val="1"/>
    <w:next w:val="395"/>
    <w:qFormat/>
    <w:uiPriority w:val="0"/>
    <w:pPr>
      <w:widowControl/>
      <w:shd w:val="clear" w:color="auto" w:fill="FFFFFF"/>
      <w:spacing w:before="640" w:after="560" w:line="460" w:lineRule="exact"/>
      <w:jc w:val="center"/>
      <w:outlineLvl w:val="0"/>
    </w:pPr>
    <w:rPr>
      <w:rFonts w:ascii="黑体" w:eastAsia="黑体"/>
      <w:kern w:val="0"/>
      <w:sz w:val="32"/>
      <w:szCs w:val="20"/>
    </w:rPr>
  </w:style>
  <w:style w:type="paragraph" w:customStyle="1" w:styleId="1458">
    <w:name w:val="标题样式3"/>
    <w:basedOn w:val="5"/>
    <w:qFormat/>
    <w:uiPriority w:val="0"/>
    <w:pPr>
      <w:spacing w:before="120" w:after="120" w:line="360" w:lineRule="auto"/>
    </w:pPr>
    <w:rPr>
      <w:rFonts w:ascii="黑体"/>
      <w:i/>
      <w:iCs/>
      <w:color w:val="0000FF"/>
      <w:sz w:val="24"/>
      <w:szCs w:val="24"/>
    </w:rPr>
  </w:style>
  <w:style w:type="paragraph" w:customStyle="1" w:styleId="1459">
    <w:name w:val="Q-正文"/>
    <w:basedOn w:val="1"/>
    <w:qFormat/>
    <w:uiPriority w:val="0"/>
    <w:pPr>
      <w:autoSpaceDE w:val="0"/>
      <w:autoSpaceDN w:val="0"/>
      <w:spacing w:before="120" w:after="120" w:line="560" w:lineRule="exact"/>
      <w:ind w:firstLine="200" w:firstLineChars="200"/>
    </w:pPr>
    <w:rPr>
      <w:rFonts w:ascii="Times New Roman"/>
      <w:sz w:val="28"/>
      <w:szCs w:val="20"/>
      <w:lang w:val="zh-CN"/>
    </w:rPr>
  </w:style>
  <w:style w:type="character" w:customStyle="1" w:styleId="1460">
    <w:name w:val="表格正文 Char Char"/>
    <w:qFormat/>
    <w:uiPriority w:val="0"/>
    <w:rPr>
      <w:kern w:val="2"/>
      <w:sz w:val="24"/>
      <w:szCs w:val="24"/>
    </w:rPr>
  </w:style>
  <w:style w:type="character" w:customStyle="1" w:styleId="1461">
    <w:name w:val="四号 正文 Char1"/>
    <w:link w:val="1462"/>
    <w:qFormat/>
    <w:uiPriority w:val="0"/>
    <w:rPr>
      <w:rFonts w:ascii="宋体" w:hAnsi="宋体" w:cs="宋体"/>
      <w:spacing w:val="6"/>
      <w:sz w:val="28"/>
      <w:szCs w:val="24"/>
    </w:rPr>
  </w:style>
  <w:style w:type="paragraph" w:customStyle="1" w:styleId="1462">
    <w:name w:val="四号 正文"/>
    <w:basedOn w:val="1"/>
    <w:link w:val="1461"/>
    <w:qFormat/>
    <w:uiPriority w:val="0"/>
    <w:pPr>
      <w:widowControl/>
      <w:ind w:firstLine="584" w:firstLineChars="200"/>
      <w:jc w:val="left"/>
    </w:pPr>
    <w:rPr>
      <w:rFonts w:hAnsi="宋体" w:cs="宋体"/>
      <w:spacing w:val="6"/>
      <w:kern w:val="0"/>
      <w:sz w:val="28"/>
      <w:szCs w:val="24"/>
    </w:rPr>
  </w:style>
  <w:style w:type="character" w:customStyle="1" w:styleId="1463">
    <w:name w:val="表头(G) Char Char"/>
    <w:link w:val="1464"/>
    <w:qFormat/>
    <w:uiPriority w:val="0"/>
    <w:rPr>
      <w:rFonts w:ascii="黑体" w:hAnsi="黑体" w:eastAsia="黑体"/>
      <w:b/>
      <w:color w:val="000000"/>
      <w:kern w:val="24"/>
      <w:sz w:val="24"/>
      <w:szCs w:val="24"/>
    </w:rPr>
  </w:style>
  <w:style w:type="paragraph" w:customStyle="1" w:styleId="1464">
    <w:name w:val="表头(G)"/>
    <w:basedOn w:val="1"/>
    <w:link w:val="1463"/>
    <w:qFormat/>
    <w:uiPriority w:val="0"/>
    <w:pPr>
      <w:tabs>
        <w:tab w:val="left" w:pos="1021"/>
      </w:tabs>
      <w:spacing w:line="288" w:lineRule="auto"/>
      <w:ind w:firstLine="200" w:firstLineChars="200"/>
      <w:jc w:val="center"/>
    </w:pPr>
    <w:rPr>
      <w:rFonts w:ascii="黑体" w:hAnsi="黑体" w:eastAsia="黑体"/>
      <w:b/>
      <w:color w:val="000000"/>
      <w:kern w:val="24"/>
      <w:sz w:val="24"/>
      <w:szCs w:val="24"/>
    </w:rPr>
  </w:style>
  <w:style w:type="paragraph" w:customStyle="1" w:styleId="1465">
    <w:name w:val="T正文"/>
    <w:link w:val="1466"/>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character" w:customStyle="1" w:styleId="1466">
    <w:name w:val="T正文 Char"/>
    <w:link w:val="1465"/>
    <w:qFormat/>
    <w:uiPriority w:val="0"/>
    <w:rPr>
      <w:rFonts w:eastAsia="楷体_GB2312"/>
      <w:sz w:val="28"/>
    </w:rPr>
  </w:style>
  <w:style w:type="paragraph" w:customStyle="1" w:styleId="1467">
    <w:name w:val="9"/>
    <w:basedOn w:val="1"/>
    <w:next w:val="48"/>
    <w:qFormat/>
    <w:uiPriority w:val="0"/>
    <w:pPr>
      <w:adjustRightInd w:val="0"/>
      <w:spacing w:line="520" w:lineRule="exact"/>
      <w:ind w:firstLine="560" w:firstLineChars="200"/>
    </w:pPr>
    <w:rPr>
      <w:rFonts w:ascii="Times New Roman"/>
      <w:sz w:val="28"/>
      <w:szCs w:val="20"/>
    </w:rPr>
  </w:style>
  <w:style w:type="paragraph" w:customStyle="1" w:styleId="1468">
    <w:name w:val="正文首行不缩进"/>
    <w:basedOn w:val="1"/>
    <w:qFormat/>
    <w:uiPriority w:val="0"/>
    <w:pPr>
      <w:keepNext/>
      <w:keepLines/>
      <w:adjustRightInd w:val="0"/>
      <w:snapToGrid w:val="0"/>
      <w:spacing w:line="360" w:lineRule="auto"/>
    </w:pPr>
    <w:rPr>
      <w:rFonts w:ascii="Arial Narrow" w:hAnsi="Arial Narrow"/>
      <w:sz w:val="28"/>
      <w:szCs w:val="24"/>
    </w:rPr>
  </w:style>
  <w:style w:type="paragraph" w:customStyle="1" w:styleId="1469">
    <w:name w:val="s16qcsl240slmult0nowidct"/>
    <w:qFormat/>
    <w:uiPriority w:val="0"/>
    <w:pPr>
      <w:widowControl w:val="0"/>
      <w:adjustRightInd w:val="0"/>
    </w:pPr>
    <w:rPr>
      <w:rFonts w:ascii="Times New Roman" w:hAnsi="Times New Roman" w:eastAsia="宋体" w:cs="Times New Roman"/>
      <w:sz w:val="21"/>
      <w:lang w:val="en-US" w:eastAsia="zh-CN" w:bidi="ar-SA"/>
    </w:rPr>
  </w:style>
  <w:style w:type="paragraph" w:customStyle="1" w:styleId="1470">
    <w:name w:val="农业部一"/>
    <w:next w:val="32"/>
    <w:qFormat/>
    <w:uiPriority w:val="0"/>
    <w:pPr>
      <w:widowControl w:val="0"/>
      <w:topLinePunct/>
      <w:spacing w:line="360" w:lineRule="exact"/>
      <w:jc w:val="center"/>
    </w:pPr>
    <w:rPr>
      <w:rFonts w:ascii="Times New Roman" w:hAnsi="Times New Roman" w:eastAsia="宋体" w:cs="Times New Roman"/>
      <w:kern w:val="2"/>
      <w:sz w:val="24"/>
      <w:lang w:val="en-US" w:eastAsia="zh-CN" w:bidi="ar-SA"/>
    </w:rPr>
  </w:style>
  <w:style w:type="paragraph" w:customStyle="1" w:styleId="1471">
    <w:name w:val="正文宋体四号字"/>
    <w:basedOn w:val="1"/>
    <w:qFormat/>
    <w:uiPriority w:val="0"/>
    <w:pPr>
      <w:widowControl/>
      <w:adjustRightInd w:val="0"/>
      <w:spacing w:line="560" w:lineRule="exact"/>
      <w:ind w:firstLine="567"/>
      <w:jc w:val="left"/>
    </w:pPr>
    <w:rPr>
      <w:rFonts w:ascii="Arial" w:hAnsi="Arial" w:cs="宋体"/>
      <w:spacing w:val="2"/>
      <w:kern w:val="0"/>
      <w:sz w:val="28"/>
      <w:szCs w:val="24"/>
    </w:rPr>
  </w:style>
  <w:style w:type="paragraph" w:customStyle="1" w:styleId="1472">
    <w:name w:val="样式 首行缩进:  2 字符1"/>
    <w:basedOn w:val="1"/>
    <w:qFormat/>
    <w:uiPriority w:val="0"/>
    <w:pPr>
      <w:widowControl/>
      <w:spacing w:line="440" w:lineRule="exact"/>
      <w:ind w:firstLine="480" w:firstLineChars="200"/>
      <w:jc w:val="left"/>
    </w:pPr>
    <w:rPr>
      <w:rFonts w:hAnsi="宋体" w:cs="宋体"/>
      <w:kern w:val="0"/>
      <w:sz w:val="24"/>
      <w:szCs w:val="24"/>
    </w:rPr>
  </w:style>
  <w:style w:type="paragraph" w:customStyle="1" w:styleId="1473">
    <w:name w:val="解  正文"/>
    <w:basedOn w:val="1"/>
    <w:qFormat/>
    <w:uiPriority w:val="0"/>
    <w:pPr>
      <w:adjustRightInd w:val="0"/>
      <w:snapToGrid w:val="0"/>
      <w:spacing w:line="360" w:lineRule="auto"/>
      <w:ind w:firstLine="480" w:firstLineChars="200"/>
    </w:pPr>
    <w:rPr>
      <w:rFonts w:ascii="Times New Roman" w:eastAsia="仿宋_GB2312"/>
      <w:sz w:val="24"/>
      <w:szCs w:val="20"/>
    </w:rPr>
  </w:style>
  <w:style w:type="paragraph" w:customStyle="1" w:styleId="1474">
    <w:name w:val="二级标题 Char Char Char"/>
    <w:basedOn w:val="1"/>
    <w:next w:val="1"/>
    <w:qFormat/>
    <w:uiPriority w:val="0"/>
    <w:pPr>
      <w:widowControl/>
      <w:spacing w:line="529" w:lineRule="exact"/>
      <w:ind w:firstLine="200" w:firstLineChars="200"/>
      <w:jc w:val="left"/>
    </w:pPr>
    <w:rPr>
      <w:rFonts w:hAnsi="宋体" w:cs="宋体"/>
      <w:kern w:val="0"/>
      <w:sz w:val="24"/>
      <w:szCs w:val="24"/>
    </w:rPr>
  </w:style>
  <w:style w:type="paragraph" w:customStyle="1" w:styleId="1475">
    <w:name w:val="样式 首行缩进:  2 字符14"/>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476">
    <w:name w:val="gb1"/>
    <w:basedOn w:val="1"/>
    <w:qFormat/>
    <w:uiPriority w:val="0"/>
    <w:pPr>
      <w:widowControl/>
      <w:tabs>
        <w:tab w:val="left" w:pos="227"/>
      </w:tabs>
      <w:overflowPunct w:val="0"/>
      <w:autoSpaceDE w:val="0"/>
      <w:autoSpaceDN w:val="0"/>
      <w:adjustRightInd w:val="0"/>
      <w:spacing w:before="120" w:after="120"/>
      <w:jc w:val="left"/>
    </w:pPr>
    <w:rPr>
      <w:rFonts w:ascii="Arial" w:hAnsi="Arial" w:eastAsia="仿宋体" w:cs="宋体"/>
      <w:kern w:val="0"/>
      <w:sz w:val="24"/>
      <w:szCs w:val="24"/>
    </w:rPr>
  </w:style>
  <w:style w:type="paragraph" w:customStyle="1" w:styleId="1477">
    <w:name w:val="样式 标题 2 + 段前: 6 磅 段后: 6 磅 行距: 最小值 24 磅"/>
    <w:basedOn w:val="4"/>
    <w:qFormat/>
    <w:uiPriority w:val="0"/>
    <w:pPr>
      <w:widowControl/>
      <w:adjustRightInd w:val="0"/>
      <w:snapToGrid w:val="0"/>
      <w:spacing w:before="120" w:after="120" w:line="480" w:lineRule="exact"/>
      <w:jc w:val="left"/>
    </w:pPr>
    <w:rPr>
      <w:rFonts w:ascii="Times New Roman" w:hAnsi="Times New Roman"/>
      <w:b w:val="0"/>
      <w:bCs w:val="0"/>
      <w:smallCaps/>
      <w:snapToGrid/>
      <w:sz w:val="30"/>
      <w:szCs w:val="20"/>
    </w:rPr>
  </w:style>
  <w:style w:type="paragraph" w:customStyle="1" w:styleId="1478">
    <w:name w:val="BIG BOLD"/>
    <w:basedOn w:val="1"/>
    <w:qFormat/>
    <w:uiPriority w:val="0"/>
    <w:pPr>
      <w:widowControl/>
      <w:tabs>
        <w:tab w:val="left" w:leader="underscore" w:pos="1134"/>
      </w:tabs>
      <w:jc w:val="left"/>
    </w:pPr>
    <w:rPr>
      <w:rFonts w:hAnsi="宋体" w:cs="宋体"/>
      <w:kern w:val="0"/>
      <w:sz w:val="24"/>
      <w:szCs w:val="24"/>
    </w:rPr>
  </w:style>
  <w:style w:type="paragraph" w:customStyle="1" w:styleId="1479">
    <w:name w:val="表格文字中对齐"/>
    <w:basedOn w:val="1"/>
    <w:qFormat/>
    <w:uiPriority w:val="0"/>
    <w:pPr>
      <w:spacing w:line="300" w:lineRule="auto"/>
      <w:jc w:val="center"/>
    </w:pPr>
    <w:rPr>
      <w:rFonts w:ascii="Arial Narrow" w:hAnsi="Arial Narrow" w:eastAsia="仿宋_GB2312"/>
      <w:sz w:val="21"/>
      <w:szCs w:val="21"/>
    </w:rPr>
  </w:style>
  <w:style w:type="paragraph" w:customStyle="1" w:styleId="1480">
    <w:name w:val="样式表头"/>
    <w:basedOn w:val="1"/>
    <w:qFormat/>
    <w:uiPriority w:val="0"/>
    <w:pPr>
      <w:widowControl/>
      <w:snapToGrid w:val="0"/>
      <w:spacing w:line="312" w:lineRule="auto"/>
      <w:jc w:val="center"/>
    </w:pPr>
    <w:rPr>
      <w:rFonts w:ascii="黑体" w:hAnsi="宋体" w:eastAsia="黑体" w:cs="宋体"/>
      <w:b/>
      <w:bCs/>
      <w:spacing w:val="6"/>
      <w:kern w:val="0"/>
      <w:sz w:val="32"/>
      <w:szCs w:val="32"/>
    </w:rPr>
  </w:style>
  <w:style w:type="paragraph" w:customStyle="1" w:styleId="1481">
    <w:name w:val="y表格"/>
    <w:basedOn w:val="32"/>
    <w:qFormat/>
    <w:uiPriority w:val="0"/>
    <w:pPr>
      <w:widowControl/>
      <w:snapToGrid w:val="0"/>
      <w:spacing w:after="0"/>
      <w:jc w:val="center"/>
    </w:pPr>
    <w:rPr>
      <w:rFonts w:ascii="Times New Roman"/>
      <w:sz w:val="21"/>
      <w:szCs w:val="20"/>
    </w:rPr>
  </w:style>
  <w:style w:type="paragraph" w:customStyle="1" w:styleId="1482">
    <w:name w:val="依据文字"/>
    <w:basedOn w:val="83"/>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pPr>
    <w:rPr>
      <w:rFonts w:hint="eastAsia" w:ascii="宋体" w:hAnsi="宋体" w:cs="宋体"/>
      <w:sz w:val="24"/>
      <w:szCs w:val="28"/>
    </w:rPr>
  </w:style>
  <w:style w:type="paragraph" w:customStyle="1" w:styleId="1483">
    <w:name w:val="样式 样式 标题 3标题 3 Char + 黑色 行距: 固定值 26 磅 + 段前: 1 行 段后: 1 行"/>
    <w:basedOn w:val="1199"/>
    <w:qFormat/>
    <w:uiPriority w:val="0"/>
    <w:pPr>
      <w:spacing w:beforeLines="50"/>
    </w:pPr>
  </w:style>
  <w:style w:type="paragraph" w:customStyle="1" w:styleId="1484">
    <w:name w:val="附录标识"/>
    <w:basedOn w:val="1"/>
    <w:qFormat/>
    <w:uiPriority w:val="0"/>
    <w:pPr>
      <w:widowControl/>
      <w:shd w:val="clear" w:color="auto" w:fill="FFFFFF"/>
      <w:tabs>
        <w:tab w:val="left" w:pos="6405"/>
      </w:tabs>
      <w:spacing w:before="640" w:after="200"/>
      <w:jc w:val="center"/>
      <w:outlineLvl w:val="0"/>
    </w:pPr>
    <w:rPr>
      <w:rFonts w:ascii="黑体" w:hAnsi="宋体" w:eastAsia="黑体" w:cs="宋体"/>
      <w:kern w:val="0"/>
      <w:sz w:val="24"/>
      <w:szCs w:val="24"/>
    </w:rPr>
  </w:style>
  <w:style w:type="paragraph" w:customStyle="1" w:styleId="1485">
    <w:name w:val="样式 标题 1 + 加粗 首行缩进:  0 厘米"/>
    <w:basedOn w:val="3"/>
    <w:qFormat/>
    <w:uiPriority w:val="0"/>
    <w:pPr>
      <w:widowControl/>
      <w:adjustRightInd w:val="0"/>
      <w:snapToGrid w:val="0"/>
      <w:spacing w:beforeLines="0" w:after="360" w:line="480" w:lineRule="exact"/>
      <w:jc w:val="left"/>
    </w:pPr>
    <w:rPr>
      <w:rFonts w:ascii="宋体" w:hAnsi="宋体" w:eastAsia="宋体" w:cs="宋体"/>
      <w:b/>
      <w:snapToGrid/>
      <w:sz w:val="36"/>
      <w:szCs w:val="20"/>
    </w:rPr>
  </w:style>
  <w:style w:type="paragraph" w:customStyle="1" w:styleId="1486">
    <w:name w:val="dxj表内容"/>
    <w:basedOn w:val="1"/>
    <w:next w:val="1"/>
    <w:qFormat/>
    <w:uiPriority w:val="0"/>
    <w:pPr>
      <w:spacing w:line="280" w:lineRule="exact"/>
      <w:jc w:val="center"/>
    </w:pPr>
    <w:rPr>
      <w:rFonts w:ascii="Times New Roman"/>
      <w:sz w:val="18"/>
      <w:szCs w:val="18"/>
    </w:rPr>
  </w:style>
  <w:style w:type="character" w:customStyle="1" w:styleId="1487">
    <w:name w:val="样式 标题 2标题2二级 标题 2H2h2第一层条标题 2 Char节标题节11 Char标题 2 Cha...3 Char Char"/>
    <w:link w:val="1488"/>
    <w:qFormat/>
    <w:uiPriority w:val="0"/>
    <w:rPr>
      <w:rFonts w:ascii="Arial" w:hAnsi="Arial" w:cs="Arial"/>
      <w:b/>
      <w:kern w:val="2"/>
      <w:sz w:val="21"/>
    </w:rPr>
  </w:style>
  <w:style w:type="paragraph" w:customStyle="1" w:styleId="1488">
    <w:name w:val="样式 标题 2标题2二级 标题 2H2h2第一层条标题 2 Char节标题节11 Char标题 2 Cha...3"/>
    <w:basedOn w:val="4"/>
    <w:link w:val="1487"/>
    <w:qFormat/>
    <w:uiPriority w:val="0"/>
    <w:pPr>
      <w:keepNext w:val="0"/>
      <w:keepLines w:val="0"/>
      <w:widowControl/>
      <w:adjustRightInd w:val="0"/>
      <w:spacing w:before="240" w:after="240" w:line="360" w:lineRule="exact"/>
      <w:ind w:left="578" w:hanging="578"/>
      <w:jc w:val="left"/>
    </w:pPr>
    <w:rPr>
      <w:rFonts w:ascii="Arial" w:hAnsi="Arial" w:cs="Arial"/>
      <w:bCs w:val="0"/>
      <w:snapToGrid/>
      <w:sz w:val="21"/>
      <w:szCs w:val="20"/>
    </w:rPr>
  </w:style>
  <w:style w:type="paragraph" w:customStyle="1" w:styleId="1489">
    <w:name w:val="样式 样式 标题 2标题2二级 标题 2H2h2第一层条标题 2 Char节标题节11 Char标题 2 Cha... +1"/>
    <w:basedOn w:val="1"/>
    <w:qFormat/>
    <w:uiPriority w:val="0"/>
    <w:pPr>
      <w:widowControl/>
      <w:tabs>
        <w:tab w:val="left" w:pos="720"/>
      </w:tabs>
      <w:adjustRightInd w:val="0"/>
      <w:spacing w:before="240" w:after="160" w:line="312" w:lineRule="auto"/>
      <w:jc w:val="left"/>
      <w:outlineLvl w:val="1"/>
    </w:pPr>
    <w:rPr>
      <w:rFonts w:hAnsi="宋体" w:eastAsia="仿宋_GB2312" w:cs="宋体"/>
      <w:b/>
      <w:kern w:val="0"/>
      <w:sz w:val="24"/>
      <w:szCs w:val="24"/>
    </w:rPr>
  </w:style>
  <w:style w:type="paragraph" w:customStyle="1" w:styleId="1490">
    <w:name w:val="样式 正文文本正文文字 + 四号 红色 首行缩进:  2 字符"/>
    <w:basedOn w:val="32"/>
    <w:qFormat/>
    <w:uiPriority w:val="0"/>
    <w:pPr>
      <w:widowControl/>
      <w:adjustRightInd w:val="0"/>
      <w:snapToGrid w:val="0"/>
      <w:spacing w:before="60" w:after="60" w:line="264" w:lineRule="auto"/>
      <w:ind w:firstLine="560" w:firstLineChars="200"/>
      <w:jc w:val="left"/>
    </w:pPr>
    <w:rPr>
      <w:rFonts w:ascii="Times New Roman" w:eastAsia="仿宋_GB2312"/>
      <w:color w:val="FF0000"/>
      <w:sz w:val="21"/>
      <w:szCs w:val="20"/>
    </w:rPr>
  </w:style>
  <w:style w:type="paragraph" w:customStyle="1" w:styleId="1491">
    <w:name w:val="mark 标题 3 + 左侧:  2 字符"/>
    <w:basedOn w:val="5"/>
    <w:qFormat/>
    <w:uiPriority w:val="0"/>
    <w:pPr>
      <w:spacing w:before="0" w:after="120" w:line="240" w:lineRule="auto"/>
    </w:pPr>
    <w:rPr>
      <w:rFonts w:cs="宋体"/>
      <w:i/>
      <w:iCs/>
      <w:szCs w:val="20"/>
    </w:rPr>
  </w:style>
  <w:style w:type="character" w:customStyle="1" w:styleId="1492">
    <w:name w:val="正文(首行缩进) Char Char"/>
    <w:qFormat/>
    <w:uiPriority w:val="0"/>
    <w:rPr>
      <w:kern w:val="2"/>
      <w:sz w:val="24"/>
      <w:szCs w:val="24"/>
    </w:rPr>
  </w:style>
  <w:style w:type="paragraph" w:customStyle="1" w:styleId="1493">
    <w:name w:val="样式 首行缩进:  2 字符18"/>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494">
    <w:name w:val="普通(网站)11"/>
    <w:basedOn w:val="1"/>
    <w:qFormat/>
    <w:uiPriority w:val="0"/>
    <w:pPr>
      <w:widowControl/>
      <w:spacing w:line="360" w:lineRule="auto"/>
      <w:ind w:firstLine="200" w:firstLineChars="200"/>
      <w:jc w:val="left"/>
    </w:pPr>
    <w:rPr>
      <w:rFonts w:hAnsi="宋体" w:cs="宋体"/>
      <w:kern w:val="0"/>
      <w:sz w:val="24"/>
      <w:szCs w:val="24"/>
    </w:rPr>
  </w:style>
  <w:style w:type="character" w:customStyle="1" w:styleId="1495">
    <w:name w:val="自己的正文 Char Char"/>
    <w:link w:val="1496"/>
    <w:qFormat/>
    <w:uiPriority w:val="0"/>
    <w:rPr>
      <w:rFonts w:ascii="Calibri" w:hAnsi="Calibri" w:cs="Calibri"/>
      <w:kern w:val="2"/>
      <w:sz w:val="21"/>
      <w:szCs w:val="22"/>
    </w:rPr>
  </w:style>
  <w:style w:type="paragraph" w:customStyle="1" w:styleId="1496">
    <w:name w:val="自己的正文"/>
    <w:link w:val="1495"/>
    <w:qFormat/>
    <w:uiPriority w:val="0"/>
    <w:rPr>
      <w:rFonts w:ascii="Calibri" w:hAnsi="Calibri" w:eastAsia="宋体" w:cs="Calibri"/>
      <w:kern w:val="2"/>
      <w:sz w:val="21"/>
      <w:szCs w:val="22"/>
      <w:lang w:val="en-US" w:eastAsia="zh-CN" w:bidi="ar-SA"/>
    </w:rPr>
  </w:style>
  <w:style w:type="paragraph" w:customStyle="1" w:styleId="1497">
    <w:name w:val="样式 题注 + 首行缩进:  2 字符1"/>
    <w:basedOn w:val="21"/>
    <w:qFormat/>
    <w:uiPriority w:val="0"/>
    <w:pPr>
      <w:keepNext/>
      <w:widowControl/>
      <w:spacing w:before="152" w:after="160" w:line="360" w:lineRule="auto"/>
      <w:ind w:firstLine="200" w:firstLineChars="200"/>
    </w:pPr>
    <w:rPr>
      <w:rFonts w:hint="eastAsia" w:eastAsia="宋体" w:cs="Times New Roman"/>
      <w:sz w:val="21"/>
    </w:rPr>
  </w:style>
  <w:style w:type="paragraph" w:customStyle="1" w:styleId="1498">
    <w:name w:val="编号圆圈数字"/>
    <w:basedOn w:val="1"/>
    <w:qFormat/>
    <w:uiPriority w:val="0"/>
    <w:pPr>
      <w:widowControl/>
      <w:tabs>
        <w:tab w:val="left" w:pos="597"/>
      </w:tabs>
      <w:spacing w:line="360" w:lineRule="auto"/>
      <w:ind w:left="140" w:firstLine="480"/>
      <w:jc w:val="left"/>
    </w:pPr>
    <w:rPr>
      <w:rFonts w:hAnsi="宋体" w:cs="宋体"/>
      <w:kern w:val="0"/>
      <w:sz w:val="24"/>
      <w:szCs w:val="24"/>
    </w:rPr>
  </w:style>
  <w:style w:type="paragraph" w:customStyle="1" w:styleId="1499">
    <w:name w:val="样式 行距: 固定值 24 磅"/>
    <w:basedOn w:val="1"/>
    <w:qFormat/>
    <w:uiPriority w:val="0"/>
    <w:pPr>
      <w:widowControl/>
      <w:spacing w:line="480" w:lineRule="exact"/>
      <w:ind w:firstLine="200" w:firstLineChars="200"/>
      <w:jc w:val="left"/>
    </w:pPr>
    <w:rPr>
      <w:rFonts w:hAnsi="宋体" w:cs="宋体"/>
      <w:kern w:val="0"/>
      <w:sz w:val="24"/>
      <w:szCs w:val="24"/>
    </w:rPr>
  </w:style>
  <w:style w:type="paragraph" w:customStyle="1" w:styleId="1500">
    <w:name w:val="redtext"/>
    <w:basedOn w:val="1"/>
    <w:qFormat/>
    <w:uiPriority w:val="0"/>
    <w:pPr>
      <w:widowControl/>
      <w:spacing w:before="100" w:beforeAutospacing="1" w:after="100" w:afterAutospacing="1" w:line="400" w:lineRule="exact"/>
      <w:jc w:val="left"/>
    </w:pPr>
    <w:rPr>
      <w:rFonts w:ascii="Arial" w:hAnsi="Arial" w:eastAsia="仿宋_GB2312" w:cs="宋体"/>
      <w:kern w:val="0"/>
      <w:sz w:val="20"/>
      <w:szCs w:val="24"/>
    </w:rPr>
  </w:style>
  <w:style w:type="paragraph" w:customStyle="1" w:styleId="1501">
    <w:name w:val="a表格"/>
    <w:basedOn w:val="1"/>
    <w:qFormat/>
    <w:uiPriority w:val="0"/>
    <w:pPr>
      <w:widowControl/>
      <w:snapToGrid w:val="0"/>
      <w:jc w:val="center"/>
    </w:pPr>
    <w:rPr>
      <w:rFonts w:hAnsi="宋体" w:cs="宋体"/>
      <w:kern w:val="0"/>
      <w:sz w:val="24"/>
      <w:szCs w:val="24"/>
    </w:rPr>
  </w:style>
  <w:style w:type="paragraph" w:customStyle="1" w:styleId="1502">
    <w:name w:val="样式 小四 黑色 首行缩进:  0.74 厘米 行距: 固定值 20 磅"/>
    <w:basedOn w:val="1"/>
    <w:qFormat/>
    <w:uiPriority w:val="0"/>
    <w:pPr>
      <w:widowControl/>
      <w:spacing w:line="440" w:lineRule="exact"/>
      <w:ind w:firstLine="454"/>
      <w:jc w:val="left"/>
    </w:pPr>
    <w:rPr>
      <w:rFonts w:hAnsi="宋体" w:cs="宋体"/>
      <w:color w:val="000000"/>
      <w:kern w:val="0"/>
      <w:sz w:val="24"/>
      <w:szCs w:val="24"/>
    </w:rPr>
  </w:style>
  <w:style w:type="paragraph" w:customStyle="1" w:styleId="1503">
    <w:name w:val="小表格"/>
    <w:basedOn w:val="1"/>
    <w:qFormat/>
    <w:uiPriority w:val="0"/>
    <w:pPr>
      <w:widowControl/>
      <w:autoSpaceDE w:val="0"/>
      <w:autoSpaceDN w:val="0"/>
      <w:adjustRightInd w:val="0"/>
      <w:snapToGrid w:val="0"/>
      <w:ind w:firstLine="200" w:firstLineChars="200"/>
      <w:jc w:val="center"/>
    </w:pPr>
    <w:rPr>
      <w:rFonts w:ascii="仿宋_GB2312" w:hAnsi="Arial" w:cs="仿宋_GB2312"/>
      <w:kern w:val="0"/>
      <w:sz w:val="24"/>
      <w:szCs w:val="21"/>
    </w:rPr>
  </w:style>
  <w:style w:type="paragraph" w:customStyle="1" w:styleId="1504">
    <w:name w:val="样式 左侧:  -0.52 厘米 悬挂缩进: 3.42 字符"/>
    <w:basedOn w:val="1"/>
    <w:qFormat/>
    <w:uiPriority w:val="0"/>
    <w:pPr>
      <w:widowControl/>
      <w:adjustRightInd w:val="0"/>
      <w:snapToGrid w:val="0"/>
      <w:spacing w:line="240" w:lineRule="exact"/>
      <w:jc w:val="left"/>
    </w:pPr>
    <w:rPr>
      <w:rFonts w:hAnsi="宋体" w:cs="宋体"/>
      <w:kern w:val="0"/>
      <w:sz w:val="24"/>
      <w:szCs w:val="21"/>
    </w:rPr>
  </w:style>
  <w:style w:type="paragraph" w:customStyle="1" w:styleId="1505">
    <w:name w:val="插图1"/>
    <w:basedOn w:val="1"/>
    <w:qFormat/>
    <w:uiPriority w:val="0"/>
    <w:pPr>
      <w:widowControl/>
      <w:adjustRightInd w:val="0"/>
      <w:spacing w:before="120" w:after="120"/>
      <w:jc w:val="left"/>
    </w:pPr>
    <w:rPr>
      <w:rFonts w:hAnsi="宋体" w:cs="宋体"/>
      <w:kern w:val="0"/>
      <w:sz w:val="24"/>
      <w:szCs w:val="28"/>
    </w:rPr>
  </w:style>
  <w:style w:type="paragraph" w:customStyle="1" w:styleId="1506">
    <w:name w:val="批注主题1"/>
    <w:basedOn w:val="26"/>
    <w:next w:val="26"/>
    <w:qFormat/>
    <w:uiPriority w:val="0"/>
    <w:pPr>
      <w:spacing w:line="360" w:lineRule="auto"/>
      <w:ind w:firstLine="200" w:firstLineChars="200"/>
    </w:pPr>
    <w:rPr>
      <w:rFonts w:ascii="Times New Roman"/>
      <w:b/>
      <w:bCs/>
      <w:sz w:val="24"/>
      <w:szCs w:val="24"/>
    </w:rPr>
  </w:style>
  <w:style w:type="paragraph" w:customStyle="1" w:styleId="1507">
    <w:name w:val="1表格头"/>
    <w:basedOn w:val="1"/>
    <w:qFormat/>
    <w:uiPriority w:val="0"/>
    <w:pPr>
      <w:widowControl/>
      <w:snapToGrid w:val="0"/>
      <w:spacing w:line="300" w:lineRule="auto"/>
      <w:jc w:val="center"/>
      <w:outlineLvl w:val="3"/>
    </w:pPr>
    <w:rPr>
      <w:rFonts w:hAnsi="宋体" w:eastAsia="黑体" w:cs="宋体"/>
      <w:b/>
      <w:spacing w:val="4"/>
      <w:kern w:val="0"/>
      <w:sz w:val="24"/>
      <w:szCs w:val="24"/>
    </w:rPr>
  </w:style>
  <w:style w:type="paragraph" w:customStyle="1" w:styleId="1508">
    <w:name w:val="样式 样式 四号 黑色 首行缩进:  2 字符 + 自动设置 首行缩进:  2 字符 行距: 固定值 24 磅"/>
    <w:basedOn w:val="1175"/>
    <w:qFormat/>
    <w:uiPriority w:val="0"/>
    <w:pPr>
      <w:widowControl w:val="0"/>
      <w:ind w:firstLine="480"/>
      <w:jc w:val="both"/>
    </w:pPr>
    <w:rPr>
      <w:rFonts w:ascii="Times New Roman" w:hAnsi="Times New Roman"/>
      <w:color w:val="auto"/>
      <w:kern w:val="2"/>
      <w:szCs w:val="20"/>
    </w:rPr>
  </w:style>
  <w:style w:type="paragraph" w:customStyle="1" w:styleId="1509">
    <w:name w:val="样式 标题 1 + 首行缩进:  2 字符 段前: 12 磅 段后: 12 磅 行距: 最小值 24 磅"/>
    <w:basedOn w:val="3"/>
    <w:qFormat/>
    <w:uiPriority w:val="0"/>
    <w:pPr>
      <w:widowControl/>
      <w:adjustRightInd w:val="0"/>
      <w:snapToGrid w:val="0"/>
      <w:spacing w:beforeLines="0" w:after="240" w:line="480" w:lineRule="exact"/>
      <w:jc w:val="left"/>
    </w:pPr>
    <w:rPr>
      <w:rFonts w:ascii="宋体" w:hAnsi="宋体" w:eastAsia="宋体" w:cs="宋体"/>
      <w:b/>
      <w:snapToGrid/>
      <w:sz w:val="32"/>
      <w:szCs w:val="20"/>
    </w:rPr>
  </w:style>
  <w:style w:type="paragraph" w:customStyle="1" w:styleId="1510">
    <w:name w:val="样式 (中文) 仿宋_GB2312 段前: 0 磅"/>
    <w:basedOn w:val="1"/>
    <w:qFormat/>
    <w:uiPriority w:val="0"/>
    <w:pPr>
      <w:widowControl/>
      <w:adjustRightInd w:val="0"/>
      <w:jc w:val="left"/>
    </w:pPr>
    <w:rPr>
      <w:rFonts w:hAnsi="宋体" w:eastAsia="仿宋_GB2312" w:cs="宋体"/>
      <w:kern w:val="0"/>
      <w:sz w:val="24"/>
      <w:szCs w:val="24"/>
    </w:rPr>
  </w:style>
  <w:style w:type="paragraph" w:customStyle="1" w:styleId="1511">
    <w:name w:val="标注"/>
    <w:basedOn w:val="1"/>
    <w:qFormat/>
    <w:uiPriority w:val="0"/>
    <w:pPr>
      <w:adjustRightInd w:val="0"/>
      <w:spacing w:line="360" w:lineRule="auto"/>
      <w:ind w:firstLine="425"/>
      <w:jc w:val="left"/>
    </w:pPr>
    <w:rPr>
      <w:rFonts w:cs="宋体"/>
      <w:kern w:val="0"/>
      <w:sz w:val="24"/>
      <w:szCs w:val="24"/>
    </w:rPr>
  </w:style>
  <w:style w:type="paragraph" w:customStyle="1" w:styleId="1512">
    <w:name w:val="样式 标题 3标题 3 Char条标题1.1.13h33rd levelH3l3CT + 段前: 0.5 行 ..."/>
    <w:basedOn w:val="5"/>
    <w:qFormat/>
    <w:uiPriority w:val="0"/>
    <w:pPr>
      <w:tabs>
        <w:tab w:val="left" w:pos="720"/>
        <w:tab w:val="left" w:pos="900"/>
        <w:tab w:val="left" w:pos="1260"/>
        <w:tab w:val="left" w:pos="1800"/>
      </w:tabs>
      <w:adjustRightInd w:val="0"/>
      <w:spacing w:beforeLines="50" w:after="0" w:line="240" w:lineRule="auto"/>
      <w:ind w:left="1080" w:hanging="1080"/>
    </w:pPr>
    <w:rPr>
      <w:rFonts w:ascii="宋体" w:cs="宋体"/>
      <w:b w:val="0"/>
      <w:i/>
      <w:iCs/>
      <w:sz w:val="28"/>
      <w:szCs w:val="28"/>
    </w:rPr>
  </w:style>
  <w:style w:type="paragraph" w:customStyle="1" w:styleId="1513">
    <w:name w:val="填表内容"/>
    <w:basedOn w:val="1"/>
    <w:qFormat/>
    <w:uiPriority w:val="0"/>
    <w:pPr>
      <w:adjustRightInd w:val="0"/>
      <w:spacing w:line="480" w:lineRule="exact"/>
      <w:ind w:firstLine="560" w:firstLineChars="200"/>
      <w:jc w:val="left"/>
    </w:pPr>
    <w:rPr>
      <w:rFonts w:ascii="楷体_GB2312" w:eastAsia="楷体_GB2312"/>
      <w:sz w:val="28"/>
      <w:szCs w:val="20"/>
    </w:rPr>
  </w:style>
  <w:style w:type="paragraph" w:customStyle="1" w:styleId="1514">
    <w:name w:val="样式 小四 首行缩进:  0.74 厘米 行距: 固定值 20 磅"/>
    <w:basedOn w:val="1"/>
    <w:qFormat/>
    <w:uiPriority w:val="0"/>
    <w:pPr>
      <w:widowControl/>
      <w:spacing w:line="440" w:lineRule="exact"/>
      <w:ind w:firstLine="454"/>
      <w:jc w:val="left"/>
    </w:pPr>
    <w:rPr>
      <w:rFonts w:hAnsi="宋体" w:cs="宋体"/>
      <w:kern w:val="0"/>
      <w:sz w:val="24"/>
      <w:szCs w:val="24"/>
    </w:rPr>
  </w:style>
  <w:style w:type="paragraph" w:customStyle="1" w:styleId="1515">
    <w:name w:val="样式 标题 4 + 首行缩进:  2 字符1"/>
    <w:basedOn w:val="6"/>
    <w:qFormat/>
    <w:uiPriority w:val="0"/>
    <w:pPr>
      <w:keepNext/>
      <w:keepLines/>
      <w:widowControl/>
      <w:tabs>
        <w:tab w:val="clear" w:pos="360"/>
        <w:tab w:val="clear" w:pos="2207"/>
      </w:tabs>
      <w:adjustRightInd w:val="0"/>
      <w:snapToGrid w:val="0"/>
      <w:spacing w:beforeLines="0" w:afterLines="0" w:line="480" w:lineRule="exact"/>
      <w:ind w:firstLine="480" w:firstLineChars="200"/>
      <w:jc w:val="left"/>
    </w:pPr>
    <w:rPr>
      <w:rFonts w:ascii="Arial" w:hAnsi="Arial" w:eastAsia="宋体"/>
      <w:b/>
      <w:snapToGrid/>
      <w:color w:val="auto"/>
      <w:kern w:val="0"/>
      <w:szCs w:val="20"/>
    </w:rPr>
  </w:style>
  <w:style w:type="paragraph" w:customStyle="1" w:styleId="1516">
    <w:name w:val="Char Char Char Char Char Char Char Char Char Char Char Char Char Char Char Char Char Char"/>
    <w:basedOn w:val="1"/>
    <w:qFormat/>
    <w:uiPriority w:val="0"/>
    <w:rPr>
      <w:rFonts w:ascii="Times New Roman"/>
      <w:sz w:val="21"/>
      <w:szCs w:val="21"/>
    </w:rPr>
  </w:style>
  <w:style w:type="paragraph" w:customStyle="1" w:styleId="1517">
    <w:name w:val="样式"/>
    <w:basedOn w:val="1"/>
    <w:next w:val="33"/>
    <w:qFormat/>
    <w:uiPriority w:val="0"/>
    <w:pPr>
      <w:widowControl/>
      <w:adjustRightInd w:val="0"/>
      <w:spacing w:line="360" w:lineRule="auto"/>
      <w:ind w:firstLine="480"/>
      <w:jc w:val="left"/>
    </w:pPr>
    <w:rPr>
      <w:rFonts w:hAnsi="宋体" w:cs="宋体"/>
      <w:kern w:val="0"/>
      <w:sz w:val="24"/>
      <w:szCs w:val="24"/>
    </w:rPr>
  </w:style>
  <w:style w:type="paragraph" w:customStyle="1" w:styleId="1518">
    <w:name w:val="表格目录"/>
    <w:basedOn w:val="1"/>
    <w:next w:val="1"/>
    <w:qFormat/>
    <w:uiPriority w:val="0"/>
    <w:pPr>
      <w:widowControl/>
      <w:jc w:val="center"/>
    </w:pPr>
    <w:rPr>
      <w:rFonts w:hAnsi="宋体" w:cs="宋体"/>
      <w:b/>
      <w:kern w:val="0"/>
      <w:sz w:val="22"/>
      <w:szCs w:val="24"/>
    </w:rPr>
  </w:style>
  <w:style w:type="character" w:customStyle="1" w:styleId="1519">
    <w:name w:val="表格题注 Char Char"/>
    <w:link w:val="1520"/>
    <w:qFormat/>
    <w:uiPriority w:val="0"/>
    <w:rPr>
      <w:rFonts w:ascii="宋体" w:hAnsi="宋体"/>
      <w:kern w:val="2"/>
      <w:sz w:val="24"/>
      <w:szCs w:val="24"/>
    </w:rPr>
  </w:style>
  <w:style w:type="paragraph" w:customStyle="1" w:styleId="1520">
    <w:name w:val="表格题注"/>
    <w:basedOn w:val="1"/>
    <w:link w:val="1519"/>
    <w:qFormat/>
    <w:uiPriority w:val="0"/>
    <w:pPr>
      <w:widowControl/>
      <w:ind w:firstLine="200" w:firstLineChars="200"/>
      <w:jc w:val="center"/>
    </w:pPr>
    <w:rPr>
      <w:rFonts w:hAnsi="宋体"/>
      <w:sz w:val="24"/>
      <w:szCs w:val="24"/>
    </w:rPr>
  </w:style>
  <w:style w:type="paragraph" w:customStyle="1" w:styleId="1521">
    <w:name w:val="1标题4级"/>
    <w:basedOn w:val="1371"/>
    <w:qFormat/>
    <w:uiPriority w:val="0"/>
    <w:pPr>
      <w:spacing w:beforeLines="0"/>
      <w:jc w:val="both"/>
    </w:pPr>
  </w:style>
  <w:style w:type="paragraph" w:customStyle="1" w:styleId="1522">
    <w:name w:val="标题1样式"/>
    <w:basedOn w:val="3"/>
    <w:qFormat/>
    <w:uiPriority w:val="0"/>
    <w:pPr>
      <w:widowControl/>
      <w:spacing w:beforeLines="0" w:after="180" w:line="500" w:lineRule="exact"/>
      <w:jc w:val="left"/>
    </w:pPr>
    <w:rPr>
      <w:rFonts w:ascii="黑体" w:hAnsi="宋体" w:eastAsia="宋体" w:cs="宋体"/>
      <w:b/>
      <w:bCs/>
      <w:snapToGrid/>
      <w:color w:val="0000FF"/>
      <w:kern w:val="2"/>
      <w:szCs w:val="30"/>
    </w:rPr>
  </w:style>
  <w:style w:type="paragraph" w:customStyle="1" w:styleId="1523">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1524">
    <w:name w:val="样式 宋体 黑色 居中"/>
    <w:basedOn w:val="1"/>
    <w:qFormat/>
    <w:uiPriority w:val="0"/>
    <w:pPr>
      <w:widowControl/>
      <w:ind w:firstLine="405" w:firstLineChars="193"/>
      <w:jc w:val="center"/>
    </w:pPr>
    <w:rPr>
      <w:rFonts w:hAnsi="宋体" w:eastAsia="仿宋_GB2312" w:cs="宋体"/>
      <w:color w:val="000000"/>
      <w:kern w:val="0"/>
      <w:sz w:val="24"/>
      <w:szCs w:val="24"/>
    </w:rPr>
  </w:style>
  <w:style w:type="paragraph" w:customStyle="1" w:styleId="1525">
    <w:name w:val="正文缩近"/>
    <w:basedOn w:val="1"/>
    <w:qFormat/>
    <w:uiPriority w:val="0"/>
    <w:pPr>
      <w:widowControl/>
      <w:spacing w:line="360" w:lineRule="auto"/>
      <w:ind w:firstLine="560" w:firstLineChars="200"/>
      <w:jc w:val="left"/>
    </w:pPr>
    <w:rPr>
      <w:rFonts w:hAnsi="宋体" w:cs="宋体"/>
      <w:kern w:val="0"/>
      <w:sz w:val="28"/>
      <w:szCs w:val="28"/>
    </w:rPr>
  </w:style>
  <w:style w:type="paragraph" w:customStyle="1" w:styleId="1526">
    <w:name w:val="xl50"/>
    <w:basedOn w:val="1"/>
    <w:qFormat/>
    <w:uiPriority w:val="0"/>
    <w:pPr>
      <w:widowControl/>
      <w:pBdr>
        <w:left w:val="single" w:color="auto" w:sz="8" w:space="0"/>
        <w:bottom w:val="single" w:color="auto" w:sz="8" w:space="0"/>
        <w:right w:val="single" w:color="auto" w:sz="4" w:space="0"/>
      </w:pBdr>
      <w:spacing w:before="100" w:beforeAutospacing="1" w:after="100" w:afterAutospacing="1" w:line="360" w:lineRule="auto"/>
      <w:jc w:val="center"/>
    </w:pPr>
    <w:rPr>
      <w:rFonts w:hAnsi="宋体" w:cs="宋体"/>
      <w:kern w:val="0"/>
      <w:sz w:val="24"/>
      <w:szCs w:val="24"/>
    </w:rPr>
  </w:style>
  <w:style w:type="character" w:customStyle="1" w:styleId="1527">
    <w:name w:val="通用正文 Char Char"/>
    <w:link w:val="1528"/>
    <w:qFormat/>
    <w:uiPriority w:val="0"/>
    <w:rPr>
      <w:rFonts w:ascii="新宋体" w:hAnsi="新宋体" w:eastAsia="新宋体"/>
      <w:kern w:val="2"/>
      <w:sz w:val="24"/>
      <w:szCs w:val="24"/>
    </w:rPr>
  </w:style>
  <w:style w:type="paragraph" w:customStyle="1" w:styleId="1528">
    <w:name w:val="通用正文"/>
    <w:basedOn w:val="1"/>
    <w:link w:val="1527"/>
    <w:qFormat/>
    <w:uiPriority w:val="0"/>
    <w:pPr>
      <w:widowControl/>
      <w:spacing w:line="600" w:lineRule="exact"/>
      <w:ind w:firstLine="200" w:firstLineChars="200"/>
      <w:jc w:val="left"/>
    </w:pPr>
    <w:rPr>
      <w:rFonts w:ascii="新宋体" w:hAnsi="新宋体" w:eastAsia="新宋体"/>
      <w:sz w:val="24"/>
      <w:szCs w:val="24"/>
    </w:rPr>
  </w:style>
  <w:style w:type="paragraph" w:customStyle="1" w:styleId="152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宋体"/>
      <w:kern w:val="0"/>
      <w:sz w:val="24"/>
      <w:szCs w:val="21"/>
    </w:rPr>
  </w:style>
  <w:style w:type="paragraph" w:customStyle="1" w:styleId="1530">
    <w:name w:val="环正文"/>
    <w:basedOn w:val="1"/>
    <w:qFormat/>
    <w:uiPriority w:val="0"/>
    <w:pPr>
      <w:widowControl/>
      <w:suppressAutoHyphens/>
      <w:adjustRightInd w:val="0"/>
      <w:spacing w:line="312" w:lineRule="exact"/>
      <w:ind w:firstLine="508" w:firstLineChars="200"/>
      <w:jc w:val="left"/>
    </w:pPr>
    <w:rPr>
      <w:rFonts w:hAnsi="宋体" w:cs="宋体"/>
      <w:spacing w:val="-10"/>
      <w:kern w:val="0"/>
      <w:sz w:val="24"/>
      <w:szCs w:val="21"/>
    </w:rPr>
  </w:style>
  <w:style w:type="paragraph" w:customStyle="1" w:styleId="1531">
    <w:name w:val="正文 Char Char Char"/>
    <w:basedOn w:val="1"/>
    <w:qFormat/>
    <w:uiPriority w:val="0"/>
    <w:pPr>
      <w:widowControl/>
      <w:spacing w:line="520" w:lineRule="exact"/>
      <w:ind w:firstLine="200" w:firstLineChars="200"/>
      <w:jc w:val="left"/>
    </w:pPr>
    <w:rPr>
      <w:rFonts w:hAnsi="宋体" w:cs="宋体"/>
      <w:kern w:val="0"/>
      <w:sz w:val="24"/>
      <w:szCs w:val="24"/>
    </w:rPr>
  </w:style>
  <w:style w:type="character" w:customStyle="1" w:styleId="1532">
    <w:name w:val="dxj表头 Char Char"/>
    <w:link w:val="1533"/>
    <w:qFormat/>
    <w:uiPriority w:val="0"/>
    <w:rPr>
      <w:rFonts w:ascii="黑体" w:hAnsi="黑体" w:eastAsia="黑体"/>
      <w:szCs w:val="21"/>
    </w:rPr>
  </w:style>
  <w:style w:type="paragraph" w:customStyle="1" w:styleId="1533">
    <w:name w:val="dxj表头"/>
    <w:basedOn w:val="1"/>
    <w:link w:val="1532"/>
    <w:qFormat/>
    <w:uiPriority w:val="0"/>
    <w:pPr>
      <w:spacing w:line="360" w:lineRule="auto"/>
      <w:jc w:val="center"/>
    </w:pPr>
    <w:rPr>
      <w:rFonts w:ascii="黑体" w:hAnsi="黑体" w:eastAsia="黑体"/>
      <w:kern w:val="0"/>
      <w:sz w:val="20"/>
      <w:szCs w:val="21"/>
    </w:rPr>
  </w:style>
  <w:style w:type="paragraph" w:customStyle="1" w:styleId="1534">
    <w:name w:val="样式001"/>
    <w:basedOn w:val="3"/>
    <w:qFormat/>
    <w:uiPriority w:val="0"/>
    <w:pPr>
      <w:widowControl/>
      <w:spacing w:beforeLines="0"/>
      <w:jc w:val="left"/>
    </w:pPr>
    <w:rPr>
      <w:rFonts w:ascii="宋体" w:hAnsi="宋体" w:cs="宋体"/>
      <w:b/>
      <w:bCs/>
      <w:snapToGrid/>
      <w:spacing w:val="16"/>
      <w:sz w:val="28"/>
      <w:szCs w:val="28"/>
    </w:rPr>
  </w:style>
  <w:style w:type="paragraph" w:customStyle="1" w:styleId="1535">
    <w:name w:val="正文（首行缩进两字） Char Char Char11"/>
    <w:basedOn w:val="1"/>
    <w:next w:val="1"/>
    <w:qFormat/>
    <w:uiPriority w:val="0"/>
    <w:pPr>
      <w:widowControl/>
      <w:spacing w:line="440" w:lineRule="exact"/>
      <w:ind w:firstLine="200" w:firstLineChars="200"/>
      <w:jc w:val="left"/>
    </w:pPr>
    <w:rPr>
      <w:rFonts w:ascii="Arial" w:hAnsi="Arial" w:cs="宋体"/>
      <w:kern w:val="0"/>
      <w:sz w:val="24"/>
      <w:szCs w:val="24"/>
    </w:rPr>
  </w:style>
  <w:style w:type="paragraph" w:customStyle="1" w:styleId="1536">
    <w:name w:val="表文2"/>
    <w:basedOn w:val="1"/>
    <w:qFormat/>
    <w:uiPriority w:val="0"/>
    <w:pPr>
      <w:widowControl/>
      <w:spacing w:line="360" w:lineRule="exact"/>
      <w:jc w:val="center"/>
    </w:pPr>
    <w:rPr>
      <w:rFonts w:ascii="Arial" w:hAnsi="Arial" w:cs="宋体"/>
      <w:color w:val="000000"/>
      <w:kern w:val="24"/>
      <w:sz w:val="24"/>
      <w:szCs w:val="24"/>
    </w:rPr>
  </w:style>
  <w:style w:type="character" w:customStyle="1" w:styleId="1537">
    <w:name w:val="文本 Char Char"/>
    <w:link w:val="1538"/>
    <w:qFormat/>
    <w:uiPriority w:val="0"/>
    <w:rPr>
      <w:rFonts w:ascii="宋体" w:hAnsi="宋体" w:cs="宋体"/>
      <w:spacing w:val="-10"/>
      <w:kern w:val="2"/>
      <w:sz w:val="24"/>
      <w:lang w:val="en-GB"/>
    </w:rPr>
  </w:style>
  <w:style w:type="paragraph" w:customStyle="1" w:styleId="1538">
    <w:name w:val="文本"/>
    <w:basedOn w:val="33"/>
    <w:link w:val="1537"/>
    <w:qFormat/>
    <w:uiPriority w:val="0"/>
    <w:pPr>
      <w:widowControl/>
      <w:spacing w:line="360" w:lineRule="auto"/>
      <w:ind w:left="882" w:leftChars="420" w:firstLine="0"/>
      <w:jc w:val="left"/>
    </w:pPr>
    <w:rPr>
      <w:rFonts w:hint="default" w:cs="宋体"/>
      <w:spacing w:val="-10"/>
      <w:szCs w:val="20"/>
      <w:lang w:val="en-GB"/>
    </w:rPr>
  </w:style>
  <w:style w:type="character" w:customStyle="1" w:styleId="1539">
    <w:name w:val="标题-4 Char Char"/>
    <w:link w:val="1540"/>
    <w:qFormat/>
    <w:uiPriority w:val="0"/>
    <w:rPr>
      <w:rFonts w:ascii="Arial" w:hAnsi="Arial" w:cs="Arial"/>
      <w:b/>
      <w:sz w:val="24"/>
      <w:szCs w:val="24"/>
    </w:rPr>
  </w:style>
  <w:style w:type="paragraph" w:customStyle="1" w:styleId="1540">
    <w:name w:val="标题-4"/>
    <w:basedOn w:val="6"/>
    <w:link w:val="1539"/>
    <w:qFormat/>
    <w:uiPriority w:val="0"/>
    <w:pPr>
      <w:keepNext/>
      <w:keepLines/>
      <w:tabs>
        <w:tab w:val="clear" w:pos="360"/>
        <w:tab w:val="clear" w:pos="2207"/>
      </w:tabs>
      <w:adjustRightInd w:val="0"/>
      <w:snapToGrid w:val="0"/>
      <w:spacing w:afterLines="0" w:line="360" w:lineRule="auto"/>
    </w:pPr>
    <w:rPr>
      <w:rFonts w:ascii="Arial" w:hAnsi="Arial" w:eastAsia="宋体" w:cs="Arial"/>
      <w:b/>
      <w:snapToGrid/>
      <w:color w:val="auto"/>
      <w:kern w:val="0"/>
    </w:rPr>
  </w:style>
  <w:style w:type="paragraph" w:customStyle="1" w:styleId="1541">
    <w:name w:val="样式 黑体 首行缩进:  2 字符 行距: 最小值 24 磅"/>
    <w:basedOn w:val="1"/>
    <w:qFormat/>
    <w:uiPriority w:val="0"/>
    <w:pPr>
      <w:widowControl/>
      <w:spacing w:line="480" w:lineRule="exact"/>
      <w:ind w:firstLine="480" w:firstLineChars="200"/>
      <w:jc w:val="left"/>
    </w:pPr>
    <w:rPr>
      <w:rFonts w:ascii="黑体" w:hAnsi="宋体" w:eastAsia="黑体" w:cs="宋体"/>
      <w:kern w:val="0"/>
      <w:sz w:val="24"/>
      <w:szCs w:val="24"/>
    </w:rPr>
  </w:style>
  <w:style w:type="paragraph" w:customStyle="1" w:styleId="1542">
    <w:name w:val="样式 标题 1 + 宋体 小四 加粗 行距: 1.5 倍行距"/>
    <w:basedOn w:val="3"/>
    <w:qFormat/>
    <w:uiPriority w:val="0"/>
    <w:pPr>
      <w:keepLines w:val="0"/>
      <w:widowControl/>
      <w:spacing w:beforeLines="0" w:after="180"/>
      <w:jc w:val="left"/>
    </w:pPr>
    <w:rPr>
      <w:rFonts w:ascii="黑体" w:hAnsi="宋体" w:cs="宋体"/>
      <w:b/>
      <w:bCs/>
      <w:snapToGrid/>
      <w:kern w:val="2"/>
      <w:sz w:val="30"/>
      <w:szCs w:val="28"/>
    </w:rPr>
  </w:style>
  <w:style w:type="paragraph" w:customStyle="1" w:styleId="1543">
    <w:name w:val="项目符号2"/>
    <w:basedOn w:val="1"/>
    <w:qFormat/>
    <w:uiPriority w:val="0"/>
    <w:pPr>
      <w:widowControl/>
      <w:tabs>
        <w:tab w:val="left" w:pos="720"/>
      </w:tabs>
      <w:overflowPunct w:val="0"/>
      <w:snapToGrid w:val="0"/>
      <w:spacing w:line="480" w:lineRule="exact"/>
      <w:ind w:left="720" w:hanging="720"/>
      <w:jc w:val="left"/>
    </w:pPr>
    <w:rPr>
      <w:rFonts w:ascii="Arial" w:hAnsi="Arial" w:eastAsia="仿宋_GB2312" w:cs="宋体"/>
      <w:kern w:val="0"/>
      <w:sz w:val="28"/>
      <w:szCs w:val="24"/>
    </w:rPr>
  </w:style>
  <w:style w:type="paragraph" w:customStyle="1" w:styleId="1544">
    <w:name w:val="样式 标题 2 + 两端对齐 段前: 12 磅 段后: 12 磅 行距: 多倍行距 1.3 字行"/>
    <w:basedOn w:val="4"/>
    <w:qFormat/>
    <w:uiPriority w:val="0"/>
    <w:pPr>
      <w:widowControl/>
      <w:adjustRightInd w:val="0"/>
      <w:spacing w:before="120" w:after="120" w:line="312" w:lineRule="auto"/>
      <w:jc w:val="left"/>
    </w:pPr>
    <w:rPr>
      <w:rFonts w:ascii="Times New Roman" w:hAnsi="Times New Roman"/>
      <w:bCs w:val="0"/>
      <w:smallCaps/>
      <w:snapToGrid/>
      <w:color w:val="000000"/>
      <w:sz w:val="28"/>
      <w:szCs w:val="20"/>
    </w:rPr>
  </w:style>
  <w:style w:type="paragraph" w:customStyle="1" w:styleId="1545">
    <w:name w:val="表头右"/>
    <w:basedOn w:val="1"/>
    <w:qFormat/>
    <w:uiPriority w:val="0"/>
    <w:pPr>
      <w:widowControl/>
      <w:spacing w:line="360" w:lineRule="auto"/>
      <w:ind w:firstLine="448" w:firstLineChars="200"/>
      <w:jc w:val="right"/>
    </w:pPr>
    <w:rPr>
      <w:rFonts w:hAnsi="宋体" w:cs="宋体"/>
      <w:kern w:val="0"/>
      <w:sz w:val="24"/>
      <w:szCs w:val="24"/>
    </w:rPr>
  </w:style>
  <w:style w:type="paragraph" w:customStyle="1" w:styleId="1546">
    <w:name w:val="环表头"/>
    <w:basedOn w:val="1"/>
    <w:next w:val="1"/>
    <w:qFormat/>
    <w:uiPriority w:val="0"/>
    <w:pPr>
      <w:widowControl/>
      <w:suppressAutoHyphens/>
      <w:adjustRightInd w:val="0"/>
      <w:spacing w:line="420" w:lineRule="exact"/>
      <w:ind w:right="28"/>
      <w:jc w:val="center"/>
    </w:pPr>
    <w:rPr>
      <w:rFonts w:ascii="黑体" w:hAnsi="宋体" w:eastAsia="黑体" w:cs="宋体"/>
      <w:color w:val="000000"/>
      <w:kern w:val="0"/>
      <w:sz w:val="24"/>
      <w:szCs w:val="24"/>
    </w:rPr>
  </w:style>
  <w:style w:type="paragraph" w:customStyle="1" w:styleId="1547">
    <w:name w:val="T表格"/>
    <w:qFormat/>
    <w:uiPriority w:val="0"/>
    <w:pPr>
      <w:jc w:val="center"/>
    </w:pPr>
    <w:rPr>
      <w:rFonts w:ascii="Times New Roman" w:hAnsi="Times New Roman" w:eastAsia="宋体" w:cs="Times New Roman"/>
      <w:sz w:val="21"/>
      <w:lang w:val="en-US" w:eastAsia="zh-CN" w:bidi="ar-SA"/>
    </w:rPr>
  </w:style>
  <w:style w:type="paragraph" w:customStyle="1" w:styleId="1548">
    <w:name w:val="正文（首行缩进两字） Char Char Char Char1"/>
    <w:basedOn w:val="1"/>
    <w:next w:val="20"/>
    <w:qFormat/>
    <w:uiPriority w:val="0"/>
    <w:pPr>
      <w:spacing w:line="440" w:lineRule="exact"/>
      <w:ind w:firstLine="200" w:firstLineChars="200"/>
    </w:pPr>
    <w:rPr>
      <w:rFonts w:ascii="Arial" w:hAnsi="Arial"/>
      <w:sz w:val="24"/>
      <w:szCs w:val="20"/>
    </w:rPr>
  </w:style>
  <w:style w:type="paragraph" w:customStyle="1" w:styleId="1549">
    <w:name w:val="style4"/>
    <w:basedOn w:val="1"/>
    <w:qFormat/>
    <w:uiPriority w:val="0"/>
    <w:pPr>
      <w:widowControl/>
      <w:spacing w:before="100" w:beforeAutospacing="1" w:after="100" w:afterAutospacing="1" w:line="450" w:lineRule="exact"/>
      <w:jc w:val="left"/>
    </w:pPr>
    <w:rPr>
      <w:rFonts w:ascii="Arial Unicode MS" w:hAnsi="Arial Unicode MS" w:eastAsia="Arial Unicode MS" w:cs="Arial Unicode MS"/>
      <w:kern w:val="0"/>
      <w:sz w:val="24"/>
      <w:szCs w:val="21"/>
    </w:rPr>
  </w:style>
  <w:style w:type="character" w:customStyle="1" w:styleId="1550">
    <w:name w:val="标题4 Char1"/>
    <w:qFormat/>
    <w:uiPriority w:val="0"/>
    <w:rPr>
      <w:rFonts w:ascii="宋体" w:hAnsi="宋体"/>
      <w:kern w:val="2"/>
      <w:sz w:val="24"/>
      <w:szCs w:val="24"/>
    </w:rPr>
  </w:style>
  <w:style w:type="character" w:customStyle="1" w:styleId="1551">
    <w:name w:val="1-正文 Char Char"/>
    <w:link w:val="1552"/>
    <w:qFormat/>
    <w:uiPriority w:val="0"/>
    <w:rPr>
      <w:rFonts w:ascii="宋体" w:hAnsi="宋体"/>
      <w:kern w:val="2"/>
      <w:sz w:val="24"/>
      <w:szCs w:val="24"/>
    </w:rPr>
  </w:style>
  <w:style w:type="paragraph" w:customStyle="1" w:styleId="1552">
    <w:name w:val="1-正文"/>
    <w:basedOn w:val="1"/>
    <w:link w:val="1551"/>
    <w:qFormat/>
    <w:uiPriority w:val="0"/>
    <w:pPr>
      <w:widowControl/>
      <w:spacing w:line="360" w:lineRule="auto"/>
      <w:ind w:firstLine="480" w:firstLineChars="200"/>
      <w:jc w:val="left"/>
    </w:pPr>
    <w:rPr>
      <w:rFonts w:hAnsi="宋体"/>
      <w:sz w:val="24"/>
      <w:szCs w:val="24"/>
    </w:rPr>
  </w:style>
  <w:style w:type="paragraph" w:customStyle="1" w:styleId="1553">
    <w:name w:val="标题  1"/>
    <w:basedOn w:val="1"/>
    <w:qFormat/>
    <w:uiPriority w:val="0"/>
    <w:pPr>
      <w:widowControl/>
      <w:tabs>
        <w:tab w:val="left" w:pos="425"/>
      </w:tabs>
      <w:spacing w:line="360" w:lineRule="auto"/>
      <w:ind w:left="425" w:hanging="425"/>
      <w:jc w:val="left"/>
    </w:pPr>
    <w:rPr>
      <w:rFonts w:ascii="Tahoma" w:hAnsi="Tahoma" w:cs="宋体"/>
      <w:kern w:val="0"/>
      <w:sz w:val="24"/>
      <w:szCs w:val="24"/>
    </w:rPr>
  </w:style>
  <w:style w:type="paragraph" w:customStyle="1" w:styleId="1554">
    <w:name w:val="生物中文类名"/>
    <w:basedOn w:val="1"/>
    <w:qFormat/>
    <w:uiPriority w:val="0"/>
    <w:pPr>
      <w:widowControl/>
      <w:tabs>
        <w:tab w:val="left" w:pos="-120"/>
      </w:tabs>
      <w:overflowPunct w:val="0"/>
      <w:topLinePunct/>
      <w:autoSpaceDE w:val="0"/>
      <w:adjustRightInd w:val="0"/>
      <w:snapToGrid w:val="0"/>
      <w:spacing w:before="60" w:line="310" w:lineRule="exact"/>
      <w:ind w:firstLine="454"/>
      <w:jc w:val="left"/>
    </w:pPr>
    <w:rPr>
      <w:rFonts w:hAnsi="宋体" w:cs="宋体"/>
      <w:b/>
      <w:spacing w:val="20"/>
      <w:kern w:val="0"/>
      <w:sz w:val="24"/>
      <w:szCs w:val="24"/>
    </w:rPr>
  </w:style>
  <w:style w:type="paragraph" w:customStyle="1" w:styleId="1555">
    <w:name w:val="表头4"/>
    <w:basedOn w:val="1244"/>
    <w:qFormat/>
    <w:uiPriority w:val="0"/>
    <w:pPr>
      <w:tabs>
        <w:tab w:val="left" w:pos="360"/>
        <w:tab w:val="clear" w:pos="625"/>
      </w:tabs>
      <w:ind w:left="0" w:firstLine="0"/>
    </w:pPr>
  </w:style>
  <w:style w:type="paragraph" w:customStyle="1" w:styleId="1556">
    <w:name w:val="样式 标题 3 + 左侧:  0.64 厘米"/>
    <w:basedOn w:val="5"/>
    <w:qFormat/>
    <w:uiPriority w:val="0"/>
    <w:pPr>
      <w:tabs>
        <w:tab w:val="left" w:pos="855"/>
      </w:tabs>
      <w:adjustRightInd w:val="0"/>
      <w:snapToGrid w:val="0"/>
      <w:spacing w:beforeLines="50" w:after="0" w:line="288" w:lineRule="auto"/>
      <w:ind w:left="855" w:hanging="855" w:hangingChars="6"/>
    </w:pPr>
    <w:rPr>
      <w:rFonts w:eastAsia="黑体" w:cs="宋体"/>
      <w:bCs w:val="0"/>
      <w:i/>
      <w:iCs/>
      <w:kern w:val="18"/>
      <w:sz w:val="28"/>
      <w:szCs w:val="20"/>
    </w:rPr>
  </w:style>
  <w:style w:type="paragraph" w:customStyle="1" w:styleId="1557">
    <w:name w:val="表格后样式"/>
    <w:basedOn w:val="1306"/>
    <w:qFormat/>
    <w:uiPriority w:val="0"/>
    <w:pPr>
      <w:spacing w:before="0" w:after="0"/>
    </w:pPr>
    <w:rPr>
      <w:lang w:val="en-US"/>
    </w:rPr>
  </w:style>
  <w:style w:type="paragraph" w:customStyle="1" w:styleId="1558">
    <w:name w:val="表加粗"/>
    <w:basedOn w:val="11"/>
    <w:qFormat/>
    <w:uiPriority w:val="0"/>
    <w:pPr>
      <w:keepNext w:val="0"/>
      <w:keepLines w:val="0"/>
      <w:widowControl/>
      <w:tabs>
        <w:tab w:val="left" w:pos="1584"/>
      </w:tabs>
      <w:topLinePunct/>
      <w:adjustRightInd/>
      <w:snapToGrid w:val="0"/>
      <w:spacing w:before="0" w:after="0" w:line="360" w:lineRule="exact"/>
      <w:jc w:val="center"/>
      <w:textAlignment w:val="auto"/>
      <w:outlineLvl w:val="9"/>
    </w:pPr>
    <w:rPr>
      <w:rFonts w:eastAsia="仿宋_GB2312" w:cs="宋体"/>
      <w:b/>
      <w:color w:val="000000"/>
      <w:sz w:val="21"/>
      <w:szCs w:val="24"/>
    </w:rPr>
  </w:style>
  <w:style w:type="paragraph" w:customStyle="1" w:styleId="1559">
    <w:name w:val="图表目录1"/>
    <w:next w:val="1"/>
    <w:qFormat/>
    <w:uiPriority w:val="0"/>
    <w:pPr>
      <w:tabs>
        <w:tab w:val="right" w:leader="dot" w:pos="8296"/>
      </w:tabs>
      <w:adjustRightInd w:val="0"/>
      <w:snapToGrid w:val="0"/>
      <w:ind w:left="48" w:leftChars="20"/>
    </w:pPr>
    <w:rPr>
      <w:rFonts w:ascii="Times New Roman" w:hAnsi="Times New Roman" w:eastAsia="华文楷体" w:cs="Times New Roman"/>
      <w:kern w:val="2"/>
      <w:sz w:val="24"/>
      <w:szCs w:val="24"/>
      <w:lang w:val="en-US" w:eastAsia="zh-CN" w:bidi="ar-SA"/>
    </w:rPr>
  </w:style>
  <w:style w:type="paragraph" w:customStyle="1" w:styleId="1560">
    <w:name w:val="样式 首行缩进:  2 字符16"/>
    <w:basedOn w:val="1"/>
    <w:qFormat/>
    <w:uiPriority w:val="0"/>
    <w:pPr>
      <w:widowControl/>
      <w:spacing w:line="520" w:lineRule="exact"/>
      <w:ind w:firstLine="560" w:firstLineChars="200"/>
      <w:jc w:val="left"/>
    </w:pPr>
    <w:rPr>
      <w:rFonts w:hAnsi="宋体" w:cs="宋体"/>
      <w:kern w:val="0"/>
      <w:sz w:val="24"/>
      <w:szCs w:val="24"/>
    </w:rPr>
  </w:style>
  <w:style w:type="character" w:customStyle="1" w:styleId="1561">
    <w:name w:val="mark正文 Char Char"/>
    <w:link w:val="1562"/>
    <w:qFormat/>
    <w:uiPriority w:val="0"/>
    <w:rPr>
      <w:sz w:val="28"/>
      <w:szCs w:val="28"/>
    </w:rPr>
  </w:style>
  <w:style w:type="paragraph" w:customStyle="1" w:styleId="1562">
    <w:name w:val="mark正文"/>
    <w:basedOn w:val="1"/>
    <w:next w:val="83"/>
    <w:link w:val="1561"/>
    <w:qFormat/>
    <w:uiPriority w:val="0"/>
    <w:pPr>
      <w:spacing w:line="360" w:lineRule="auto"/>
      <w:ind w:firstLine="527" w:firstLineChars="200"/>
    </w:pPr>
    <w:rPr>
      <w:rFonts w:ascii="Times New Roman"/>
      <w:kern w:val="0"/>
      <w:sz w:val="28"/>
      <w:szCs w:val="28"/>
    </w:rPr>
  </w:style>
  <w:style w:type="paragraph" w:customStyle="1" w:styleId="1563">
    <w:name w:val="文章副标题"/>
    <w:basedOn w:val="1"/>
    <w:next w:val="3"/>
    <w:qFormat/>
    <w:uiPriority w:val="0"/>
    <w:pPr>
      <w:widowControl/>
      <w:spacing w:before="104" w:after="104" w:line="0" w:lineRule="atLeast"/>
      <w:ind w:left="1"/>
      <w:jc w:val="center"/>
    </w:pPr>
    <w:rPr>
      <w:rFonts w:hAnsi="宋体" w:cs="宋体"/>
      <w:kern w:val="0"/>
      <w:sz w:val="36"/>
      <w:szCs w:val="24"/>
    </w:rPr>
  </w:style>
  <w:style w:type="paragraph" w:customStyle="1" w:styleId="1564">
    <w:name w:val="王标题3"/>
    <w:basedOn w:val="5"/>
    <w:qFormat/>
    <w:uiPriority w:val="0"/>
    <w:pPr>
      <w:spacing w:beforeLines="30" w:after="0" w:line="560" w:lineRule="exact"/>
    </w:pPr>
    <w:rPr>
      <w:rFonts w:eastAsia="黑体"/>
      <w:i/>
      <w:iCs/>
      <w:color w:val="000000"/>
      <w:sz w:val="28"/>
    </w:rPr>
  </w:style>
  <w:style w:type="character" w:customStyle="1" w:styleId="1565">
    <w:name w:val="样式 样式1 + (符号) 宋体 Char Char"/>
    <w:link w:val="1566"/>
    <w:qFormat/>
    <w:uiPriority w:val="0"/>
    <w:rPr>
      <w:rFonts w:ascii="宋体" w:hAnsi="宋体"/>
      <w:kern w:val="2"/>
      <w:sz w:val="24"/>
      <w:szCs w:val="24"/>
    </w:rPr>
  </w:style>
  <w:style w:type="paragraph" w:customStyle="1" w:styleId="1566">
    <w:name w:val="样式 样式1 + (符号) 宋体"/>
    <w:basedOn w:val="253"/>
    <w:link w:val="1565"/>
    <w:qFormat/>
    <w:uiPriority w:val="0"/>
    <w:pPr>
      <w:spacing w:line="460" w:lineRule="exact"/>
    </w:pPr>
    <w:rPr>
      <w:rFonts w:ascii="宋体" w:hAnsi="宋体"/>
      <w:kern w:val="2"/>
    </w:rPr>
  </w:style>
  <w:style w:type="character" w:customStyle="1" w:styleId="1567">
    <w:name w:val="样式 标题 4 + 蓝色 Char Char"/>
    <w:link w:val="1568"/>
    <w:qFormat/>
    <w:uiPriority w:val="0"/>
    <w:rPr>
      <w:rFonts w:ascii="新宋体" w:hAnsi="Arial" w:eastAsia="新宋体"/>
      <w:b/>
      <w:bCs/>
      <w:color w:val="0000FF"/>
      <w:kern w:val="2"/>
      <w:sz w:val="28"/>
      <w:szCs w:val="28"/>
    </w:rPr>
  </w:style>
  <w:style w:type="paragraph" w:customStyle="1" w:styleId="1568">
    <w:name w:val="样式 标题 4 + 蓝色"/>
    <w:basedOn w:val="6"/>
    <w:link w:val="1567"/>
    <w:qFormat/>
    <w:uiPriority w:val="0"/>
    <w:pPr>
      <w:keepNext/>
      <w:keepLines/>
      <w:widowControl/>
      <w:tabs>
        <w:tab w:val="clear" w:pos="360"/>
        <w:tab w:val="clear" w:pos="2207"/>
      </w:tabs>
      <w:spacing w:beforeLines="0" w:afterLines="0" w:line="520" w:lineRule="exact"/>
      <w:jc w:val="left"/>
    </w:pPr>
    <w:rPr>
      <w:rFonts w:ascii="新宋体" w:hAnsi="Arial" w:eastAsia="新宋体"/>
      <w:b/>
      <w:bCs/>
      <w:snapToGrid/>
      <w:color w:val="0000FF"/>
      <w:sz w:val="28"/>
      <w:szCs w:val="28"/>
    </w:rPr>
  </w:style>
  <w:style w:type="paragraph" w:customStyle="1" w:styleId="1569">
    <w:name w:val="引用文章"/>
    <w:basedOn w:val="1"/>
    <w:qFormat/>
    <w:uiPriority w:val="0"/>
    <w:pPr>
      <w:widowControl/>
      <w:spacing w:line="360" w:lineRule="auto"/>
      <w:ind w:firstLine="420" w:firstLineChars="200"/>
      <w:jc w:val="left"/>
    </w:pPr>
    <w:rPr>
      <w:rFonts w:hAnsi="宋体" w:eastAsia="楷体_GB2312" w:cs="宋体"/>
      <w:kern w:val="0"/>
      <w:sz w:val="24"/>
      <w:szCs w:val="24"/>
    </w:rPr>
  </w:style>
  <w:style w:type="paragraph" w:customStyle="1" w:styleId="1570">
    <w:name w:val="小四表格"/>
    <w:basedOn w:val="1"/>
    <w:next w:val="1"/>
    <w:qFormat/>
    <w:uiPriority w:val="0"/>
    <w:pPr>
      <w:widowControl/>
      <w:snapToGrid w:val="0"/>
      <w:jc w:val="center"/>
    </w:pPr>
    <w:rPr>
      <w:rFonts w:ascii="Arial" w:hAnsi="Arial" w:cs="宋体"/>
      <w:kern w:val="0"/>
      <w:sz w:val="24"/>
      <w:szCs w:val="24"/>
    </w:rPr>
  </w:style>
  <w:style w:type="paragraph" w:customStyle="1" w:styleId="1571">
    <w:name w:val="jiu1"/>
    <w:basedOn w:val="1"/>
    <w:qFormat/>
    <w:uiPriority w:val="0"/>
    <w:pPr>
      <w:widowControl/>
      <w:spacing w:before="100" w:beforeAutospacing="1" w:after="100" w:afterAutospacing="1"/>
      <w:jc w:val="left"/>
    </w:pPr>
    <w:rPr>
      <w:rFonts w:hAnsi="宋体" w:cs="宋体"/>
      <w:kern w:val="0"/>
      <w:sz w:val="24"/>
      <w:szCs w:val="24"/>
    </w:rPr>
  </w:style>
  <w:style w:type="paragraph" w:customStyle="1" w:styleId="1572">
    <w:name w:val="Char Char Char Char Char Char Char Char Char1 Char"/>
    <w:basedOn w:val="1"/>
    <w:qFormat/>
    <w:uiPriority w:val="0"/>
    <w:pPr>
      <w:widowControl/>
      <w:spacing w:line="360" w:lineRule="auto"/>
      <w:ind w:firstLine="200" w:firstLineChars="200"/>
      <w:jc w:val="left"/>
    </w:pPr>
    <w:rPr>
      <w:rFonts w:hAnsi="宋体" w:cs="宋体"/>
      <w:kern w:val="0"/>
      <w:sz w:val="24"/>
      <w:szCs w:val="24"/>
    </w:rPr>
  </w:style>
  <w:style w:type="paragraph" w:customStyle="1" w:styleId="1573">
    <w:name w:val="Char Char Char Char Char Char Char Char Char Char Char Char Char Char Char Char Char Char Char"/>
    <w:basedOn w:val="1"/>
    <w:link w:val="1574"/>
    <w:qFormat/>
    <w:uiPriority w:val="0"/>
    <w:pPr>
      <w:widowControl/>
      <w:spacing w:line="360" w:lineRule="auto"/>
      <w:ind w:firstLine="200" w:firstLineChars="200"/>
      <w:jc w:val="left"/>
    </w:pPr>
    <w:rPr>
      <w:rFonts w:hAnsi="宋体" w:cs="宋体"/>
      <w:kern w:val="0"/>
      <w:sz w:val="24"/>
      <w:szCs w:val="24"/>
    </w:rPr>
  </w:style>
  <w:style w:type="character" w:customStyle="1" w:styleId="1574">
    <w:name w:val="Char Char Char Char Char Char Char Char Char Char Char Char Char Char Char Char Char Char Char Char"/>
    <w:link w:val="1573"/>
    <w:qFormat/>
    <w:uiPriority w:val="0"/>
    <w:rPr>
      <w:rFonts w:ascii="宋体" w:hAnsi="宋体" w:cs="宋体"/>
      <w:sz w:val="24"/>
      <w:szCs w:val="24"/>
    </w:rPr>
  </w:style>
  <w:style w:type="paragraph" w:customStyle="1" w:styleId="1575">
    <w:name w:val="style26"/>
    <w:basedOn w:val="1"/>
    <w:qFormat/>
    <w:uiPriority w:val="0"/>
    <w:pPr>
      <w:widowControl/>
      <w:spacing w:before="100" w:beforeAutospacing="1" w:after="100" w:afterAutospacing="1"/>
      <w:jc w:val="left"/>
    </w:pPr>
    <w:rPr>
      <w:rFonts w:hAnsi="宋体" w:cs="宋体"/>
      <w:kern w:val="0"/>
      <w:sz w:val="24"/>
      <w:szCs w:val="21"/>
    </w:rPr>
  </w:style>
  <w:style w:type="paragraph" w:customStyle="1" w:styleId="1576">
    <w:name w:val="新标题3"/>
    <w:basedOn w:val="1"/>
    <w:qFormat/>
    <w:uiPriority w:val="0"/>
    <w:pPr>
      <w:keepNext/>
      <w:widowControl/>
      <w:autoSpaceDE w:val="0"/>
      <w:autoSpaceDN w:val="0"/>
      <w:adjustRightInd w:val="0"/>
      <w:spacing w:before="120" w:after="120" w:line="460" w:lineRule="exact"/>
      <w:jc w:val="left"/>
      <w:outlineLvl w:val="2"/>
    </w:pPr>
    <w:rPr>
      <w:rFonts w:ascii="黑体" w:hAnsi="宋体" w:eastAsia="黑体" w:cs="宋体"/>
      <w:b/>
      <w:bCs/>
      <w:color w:val="000000"/>
      <w:kern w:val="0"/>
      <w:sz w:val="24"/>
      <w:szCs w:val="24"/>
      <w:lang w:val="zh-CN"/>
    </w:rPr>
  </w:style>
  <w:style w:type="paragraph" w:customStyle="1" w:styleId="1577">
    <w:name w:val="样式 宋体 小四 段后: 2.5 磅 行距: 固定值 20 磅"/>
    <w:basedOn w:val="1"/>
    <w:qFormat/>
    <w:uiPriority w:val="0"/>
    <w:pPr>
      <w:widowControl/>
      <w:spacing w:after="50" w:line="400" w:lineRule="exact"/>
      <w:ind w:firstLine="720" w:firstLineChars="300"/>
      <w:jc w:val="left"/>
    </w:pPr>
    <w:rPr>
      <w:rFonts w:hAnsi="宋体" w:eastAsia="仿宋_GB2312" w:cs="宋体"/>
      <w:kern w:val="0"/>
      <w:sz w:val="24"/>
      <w:szCs w:val="24"/>
    </w:rPr>
  </w:style>
  <w:style w:type="paragraph" w:customStyle="1" w:styleId="1578">
    <w:name w:val="样式 标题 1 + 宋体 小四 加粗 左1"/>
    <w:basedOn w:val="3"/>
    <w:qFormat/>
    <w:uiPriority w:val="0"/>
    <w:pPr>
      <w:keepNext w:val="0"/>
      <w:keepLines w:val="0"/>
      <w:pageBreakBefore/>
      <w:widowControl/>
      <w:spacing w:beforeLines="0" w:after="180" w:line="440" w:lineRule="exact"/>
      <w:jc w:val="left"/>
    </w:pPr>
    <w:rPr>
      <w:rFonts w:ascii="宋体" w:hAnsi="宋体" w:eastAsia="宋体" w:cs="宋体"/>
      <w:b/>
      <w:snapToGrid/>
      <w:kern w:val="2"/>
      <w:szCs w:val="20"/>
    </w:rPr>
  </w:style>
  <w:style w:type="paragraph" w:customStyle="1" w:styleId="1579">
    <w:name w:val="样式 标题 1一、 + (中文) 仿宋_GB2312 段前: 6 磅"/>
    <w:basedOn w:val="3"/>
    <w:qFormat/>
    <w:uiPriority w:val="0"/>
    <w:pPr>
      <w:widowControl/>
      <w:tabs>
        <w:tab w:val="left" w:pos="845"/>
      </w:tabs>
      <w:adjustRightInd w:val="0"/>
      <w:snapToGrid w:val="0"/>
      <w:spacing w:beforeLines="0" w:after="240" w:line="240" w:lineRule="auto"/>
      <w:ind w:left="845" w:hanging="420"/>
      <w:jc w:val="left"/>
    </w:pPr>
    <w:rPr>
      <w:rFonts w:ascii="宋体" w:hAnsi="宋体" w:eastAsia="仿宋_GB2312" w:cs="宋体"/>
      <w:b/>
      <w:snapToGrid/>
      <w:sz w:val="36"/>
      <w:szCs w:val="20"/>
    </w:rPr>
  </w:style>
  <w:style w:type="paragraph" w:customStyle="1" w:styleId="1580">
    <w:name w:val="自定义正文"/>
    <w:basedOn w:val="20"/>
    <w:qFormat/>
    <w:uiPriority w:val="0"/>
    <w:pPr>
      <w:widowControl/>
      <w:adjustRightInd w:val="0"/>
      <w:spacing w:line="360" w:lineRule="auto"/>
      <w:ind w:firstLine="200" w:firstLineChars="200"/>
      <w:jc w:val="left"/>
    </w:pPr>
    <w:rPr>
      <w:rFonts w:eastAsia="宋体"/>
      <w:snapToGrid/>
      <w:sz w:val="28"/>
      <w:szCs w:val="21"/>
    </w:rPr>
  </w:style>
  <w:style w:type="character" w:customStyle="1" w:styleId="1581">
    <w:name w:val="正 Char Char"/>
    <w:qFormat/>
    <w:uiPriority w:val="0"/>
    <w:rPr>
      <w:kern w:val="2"/>
      <w:sz w:val="24"/>
    </w:rPr>
  </w:style>
  <w:style w:type="paragraph" w:customStyle="1" w:styleId="1582">
    <w:name w:val="Char Char Char1 Char Char Char Char Char Char Char Char Char Char"/>
    <w:basedOn w:val="1"/>
    <w:next w:val="1"/>
    <w:qFormat/>
    <w:uiPriority w:val="0"/>
    <w:pPr>
      <w:spacing w:line="360" w:lineRule="auto"/>
      <w:ind w:firstLine="200" w:firstLineChars="200"/>
    </w:pPr>
    <w:rPr>
      <w:rFonts w:hAnsi="宋体" w:eastAsia="仿宋_GB2312" w:cs="宋体"/>
      <w:sz w:val="24"/>
      <w:szCs w:val="24"/>
    </w:rPr>
  </w:style>
  <w:style w:type="paragraph" w:customStyle="1" w:styleId="1583">
    <w:name w:val="Char Char Char2"/>
    <w:basedOn w:val="1"/>
    <w:qFormat/>
    <w:uiPriority w:val="0"/>
    <w:rPr>
      <w:rFonts w:ascii="Times New Roman"/>
      <w:sz w:val="24"/>
      <w:szCs w:val="20"/>
    </w:rPr>
  </w:style>
  <w:style w:type="paragraph" w:customStyle="1" w:styleId="1584">
    <w:name w:val="样式 宋体 小四 首行缩进:  1.59 厘米 段后: 6 磅 行距: 固定值 20 磅"/>
    <w:basedOn w:val="1"/>
    <w:qFormat/>
    <w:uiPriority w:val="0"/>
    <w:pPr>
      <w:widowControl/>
      <w:spacing w:after="120" w:line="400" w:lineRule="exact"/>
      <w:ind w:firstLine="900"/>
      <w:jc w:val="left"/>
    </w:pPr>
    <w:rPr>
      <w:rFonts w:hAnsi="宋体" w:eastAsia="仿宋_GB2312" w:cs="宋体"/>
      <w:kern w:val="0"/>
      <w:sz w:val="24"/>
      <w:szCs w:val="24"/>
    </w:rPr>
  </w:style>
  <w:style w:type="paragraph" w:customStyle="1" w:styleId="1585">
    <w:name w:val="编号标题"/>
    <w:basedOn w:val="5"/>
    <w:qFormat/>
    <w:uiPriority w:val="0"/>
    <w:pPr>
      <w:spacing w:before="160" w:after="0" w:line="460" w:lineRule="exact"/>
      <w:ind w:firstLine="420" w:firstLineChars="200"/>
      <w:outlineLvl w:val="9"/>
    </w:pPr>
    <w:rPr>
      <w:rFonts w:ascii="宋体"/>
      <w:b w:val="0"/>
      <w:bCs w:val="0"/>
      <w:i/>
      <w:iCs/>
      <w:color w:val="000000"/>
      <w:sz w:val="21"/>
      <w:szCs w:val="24"/>
    </w:rPr>
  </w:style>
  <w:style w:type="paragraph" w:customStyle="1" w:styleId="1586">
    <w:name w:val="样式 标题 3 + 首行缩进:  0 厘米"/>
    <w:basedOn w:val="5"/>
    <w:qFormat/>
    <w:uiPriority w:val="0"/>
    <w:pPr>
      <w:adjustRightInd w:val="0"/>
      <w:snapToGrid w:val="0"/>
      <w:spacing w:before="240" w:after="120" w:line="360" w:lineRule="auto"/>
      <w:ind w:firstLine="567"/>
    </w:pPr>
    <w:rPr>
      <w:rFonts w:cs="宋体"/>
      <w:i/>
      <w:iCs/>
      <w:sz w:val="24"/>
      <w:szCs w:val="20"/>
    </w:rPr>
  </w:style>
  <w:style w:type="paragraph" w:customStyle="1" w:styleId="1587">
    <w:name w:val="样式 小四 行距: 1.5 倍行距"/>
    <w:basedOn w:val="1"/>
    <w:qFormat/>
    <w:uiPriority w:val="0"/>
    <w:pPr>
      <w:spacing w:line="360" w:lineRule="auto"/>
      <w:ind w:firstLine="200" w:firstLineChars="200"/>
    </w:pPr>
    <w:rPr>
      <w:rFonts w:ascii="Times New Roman"/>
      <w:sz w:val="24"/>
      <w:szCs w:val="24"/>
    </w:rPr>
  </w:style>
  <w:style w:type="paragraph" w:customStyle="1" w:styleId="1588">
    <w:name w:val="4标题(治)"/>
    <w:basedOn w:val="1"/>
    <w:next w:val="1"/>
    <w:qFormat/>
    <w:uiPriority w:val="0"/>
    <w:pPr>
      <w:widowControl/>
      <w:adjustRightInd w:val="0"/>
      <w:snapToGrid w:val="0"/>
      <w:spacing w:line="360" w:lineRule="auto"/>
      <w:jc w:val="left"/>
      <w:outlineLvl w:val="3"/>
    </w:pPr>
    <w:rPr>
      <w:rFonts w:hAnsi="宋体" w:eastAsia="黑体" w:cs="宋体"/>
      <w:b/>
      <w:bCs/>
      <w:kern w:val="0"/>
      <w:sz w:val="28"/>
      <w:szCs w:val="24"/>
    </w:rPr>
  </w:style>
  <w:style w:type="paragraph" w:customStyle="1" w:styleId="1589">
    <w:name w:val="Body Single"/>
    <w:qFormat/>
    <w:uiPriority w:val="0"/>
    <w:pPr>
      <w:widowControl w:val="0"/>
      <w:autoSpaceDE w:val="0"/>
      <w:autoSpaceDN w:val="0"/>
      <w:adjustRightInd w:val="0"/>
    </w:pPr>
    <w:rPr>
      <w:rFonts w:ascii="MingLiU" w:hAnsi="Times New Roman" w:eastAsia="MingLiU" w:cs="Times New Roman"/>
      <w:color w:val="000000"/>
      <w:sz w:val="24"/>
      <w:lang w:val="en-US" w:eastAsia="zh-TW" w:bidi="ar-SA"/>
    </w:rPr>
  </w:style>
  <w:style w:type="paragraph" w:customStyle="1" w:styleId="1590">
    <w:name w:val="样式 首行缩进:  2 字符6"/>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591">
    <w:name w:val="大妹正文 Char"/>
    <w:basedOn w:val="3"/>
    <w:qFormat/>
    <w:uiPriority w:val="0"/>
    <w:pPr>
      <w:keepNext w:val="0"/>
      <w:keepLines w:val="0"/>
      <w:widowControl/>
      <w:spacing w:beforeLines="0" w:afterLines="100" w:line="240" w:lineRule="exact"/>
      <w:ind w:left="-126" w:leftChars="-60" w:right="-113" w:rightChars="-54"/>
      <w:jc w:val="left"/>
      <w:outlineLvl w:val="9"/>
    </w:pPr>
    <w:rPr>
      <w:rFonts w:ascii="宋体" w:hAnsi="宋体" w:eastAsia="宋体" w:cs="宋体"/>
      <w:snapToGrid/>
    </w:rPr>
  </w:style>
  <w:style w:type="paragraph" w:customStyle="1" w:styleId="1592">
    <w:name w:val="样式 样式 四号 首行缩进:  2 字符 + 首行缩进:  2 字符"/>
    <w:basedOn w:val="1"/>
    <w:qFormat/>
    <w:uiPriority w:val="0"/>
    <w:pPr>
      <w:widowControl/>
      <w:spacing w:line="480" w:lineRule="exact"/>
      <w:ind w:firstLine="480" w:firstLineChars="200"/>
      <w:jc w:val="left"/>
    </w:pPr>
    <w:rPr>
      <w:rFonts w:hAnsi="宋体" w:cs="宋体"/>
      <w:kern w:val="0"/>
      <w:sz w:val="24"/>
      <w:szCs w:val="24"/>
    </w:rPr>
  </w:style>
  <w:style w:type="paragraph" w:customStyle="1" w:styleId="1593">
    <w:name w:val="样式 样式 首行缩进:  1.69 厘米 + (中文) 宋体"/>
    <w:basedOn w:val="1"/>
    <w:qFormat/>
    <w:uiPriority w:val="0"/>
    <w:pPr>
      <w:widowControl/>
      <w:tabs>
        <w:tab w:val="left" w:pos="-180"/>
      </w:tabs>
      <w:adjustRightInd w:val="0"/>
      <w:spacing w:before="60"/>
      <w:ind w:firstLine="200" w:firstLineChars="200"/>
      <w:jc w:val="left"/>
    </w:pPr>
    <w:rPr>
      <w:rFonts w:hAnsi="宋体" w:eastAsia="仿宋_GB2312" w:cs="宋体"/>
      <w:kern w:val="0"/>
      <w:sz w:val="24"/>
      <w:szCs w:val="24"/>
    </w:rPr>
  </w:style>
  <w:style w:type="paragraph" w:customStyle="1" w:styleId="1594">
    <w:name w:val="表、图名"/>
    <w:basedOn w:val="1"/>
    <w:link w:val="1595"/>
    <w:qFormat/>
    <w:uiPriority w:val="0"/>
    <w:pPr>
      <w:widowControl/>
      <w:adjustRightInd w:val="0"/>
      <w:snapToGrid w:val="0"/>
      <w:spacing w:line="360" w:lineRule="auto"/>
      <w:jc w:val="center"/>
    </w:pPr>
    <w:rPr>
      <w:rFonts w:hAnsi="宋体" w:cs="宋体"/>
      <w:kern w:val="0"/>
      <w:sz w:val="24"/>
      <w:szCs w:val="24"/>
    </w:rPr>
  </w:style>
  <w:style w:type="character" w:customStyle="1" w:styleId="1595">
    <w:name w:val="表、图名 Char"/>
    <w:link w:val="1594"/>
    <w:qFormat/>
    <w:uiPriority w:val="0"/>
    <w:rPr>
      <w:rFonts w:ascii="宋体" w:hAnsi="宋体" w:cs="宋体"/>
      <w:sz w:val="24"/>
      <w:szCs w:val="24"/>
    </w:rPr>
  </w:style>
  <w:style w:type="paragraph" w:customStyle="1" w:styleId="1596">
    <w:name w:val="dxj标题3"/>
    <w:basedOn w:val="5"/>
    <w:qFormat/>
    <w:uiPriority w:val="0"/>
    <w:pPr>
      <w:spacing w:before="0" w:after="0" w:line="360" w:lineRule="auto"/>
    </w:pPr>
    <w:rPr>
      <w:rFonts w:eastAsia="黑体"/>
      <w:b w:val="0"/>
      <w:i/>
      <w:iCs/>
      <w:sz w:val="24"/>
    </w:rPr>
  </w:style>
  <w:style w:type="paragraph" w:customStyle="1" w:styleId="1597">
    <w:name w:val="仪征1.1.1"/>
    <w:basedOn w:val="5"/>
    <w:qFormat/>
    <w:uiPriority w:val="0"/>
    <w:pPr>
      <w:tabs>
        <w:tab w:val="left" w:pos="720"/>
      </w:tabs>
      <w:adjustRightInd w:val="0"/>
      <w:spacing w:before="120" w:after="120" w:line="360" w:lineRule="exact"/>
      <w:ind w:left="720" w:hanging="720"/>
    </w:pPr>
    <w:rPr>
      <w:rFonts w:eastAsia="黑体"/>
      <w:bCs w:val="0"/>
      <w:i/>
      <w:iCs/>
      <w:sz w:val="24"/>
      <w:szCs w:val="24"/>
    </w:rPr>
  </w:style>
  <w:style w:type="character" w:customStyle="1" w:styleId="1598">
    <w:name w:val="段落 Char Char"/>
    <w:link w:val="1599"/>
    <w:qFormat/>
    <w:uiPriority w:val="0"/>
    <w:rPr>
      <w:rFonts w:ascii="宋体" w:hAnsi="宋体"/>
      <w:sz w:val="21"/>
    </w:rPr>
  </w:style>
  <w:style w:type="paragraph" w:customStyle="1" w:styleId="1599">
    <w:name w:val="段落"/>
    <w:basedOn w:val="1"/>
    <w:link w:val="1598"/>
    <w:qFormat/>
    <w:uiPriority w:val="0"/>
    <w:pPr>
      <w:widowControl/>
      <w:spacing w:beforeLines="100" w:line="288" w:lineRule="auto"/>
      <w:ind w:firstLine="420" w:firstLineChars="200"/>
      <w:jc w:val="left"/>
    </w:pPr>
    <w:rPr>
      <w:rFonts w:hAnsi="宋体"/>
      <w:kern w:val="0"/>
      <w:sz w:val="21"/>
      <w:szCs w:val="20"/>
    </w:rPr>
  </w:style>
  <w:style w:type="paragraph" w:customStyle="1" w:styleId="1600">
    <w:name w:val="1标题1级"/>
    <w:basedOn w:val="1"/>
    <w:qFormat/>
    <w:uiPriority w:val="0"/>
    <w:pPr>
      <w:keepNext/>
      <w:widowControl/>
      <w:snapToGrid w:val="0"/>
      <w:spacing w:beforeLines="100"/>
      <w:jc w:val="left"/>
      <w:outlineLvl w:val="0"/>
    </w:pPr>
    <w:rPr>
      <w:rFonts w:hAnsi="宋体" w:eastAsia="黑体" w:cs="宋体"/>
      <w:b/>
      <w:kern w:val="0"/>
      <w:sz w:val="30"/>
      <w:szCs w:val="24"/>
    </w:rPr>
  </w:style>
  <w:style w:type="paragraph" w:customStyle="1" w:styleId="1601">
    <w:name w:val="3标题(治)"/>
    <w:basedOn w:val="5"/>
    <w:qFormat/>
    <w:uiPriority w:val="0"/>
    <w:pPr>
      <w:tabs>
        <w:tab w:val="left" w:pos="1260"/>
        <w:tab w:val="left" w:pos="1800"/>
      </w:tabs>
      <w:adjustRightInd w:val="0"/>
      <w:spacing w:before="0" w:after="0" w:line="360" w:lineRule="auto"/>
    </w:pPr>
    <w:rPr>
      <w:rFonts w:eastAsia="黑体"/>
      <w:bCs w:val="0"/>
      <w:i/>
      <w:iCs/>
      <w:sz w:val="28"/>
      <w:szCs w:val="24"/>
    </w:rPr>
  </w:style>
  <w:style w:type="paragraph" w:customStyle="1" w:styleId="1602">
    <w:name w:val="样式 标题 3一标题3H3h33rd level第二层条头标题 3 Char Char标题 3 Char2标...1"/>
    <w:basedOn w:val="5"/>
    <w:qFormat/>
    <w:uiPriority w:val="0"/>
    <w:pPr>
      <w:tabs>
        <w:tab w:val="left" w:pos="720"/>
      </w:tabs>
      <w:spacing w:beforeLines="50" w:after="0" w:line="288" w:lineRule="auto"/>
      <w:ind w:left="720" w:hanging="720"/>
    </w:pPr>
    <w:rPr>
      <w:rFonts w:eastAsia="仿宋_GB2312"/>
      <w:b w:val="0"/>
      <w:bCs w:val="0"/>
      <w:i/>
      <w:iCs/>
      <w:sz w:val="24"/>
      <w:szCs w:val="24"/>
    </w:rPr>
  </w:style>
  <w:style w:type="paragraph" w:customStyle="1" w:styleId="1603">
    <w:name w:val="普通(网站)12"/>
    <w:basedOn w:val="1"/>
    <w:qFormat/>
    <w:uiPriority w:val="0"/>
    <w:pPr>
      <w:widowControl/>
      <w:adjustRightInd w:val="0"/>
      <w:spacing w:before="100" w:after="100"/>
      <w:jc w:val="left"/>
    </w:pPr>
    <w:rPr>
      <w:rFonts w:hAnsi="宋体" w:cs="宋体"/>
      <w:color w:val="000000"/>
      <w:kern w:val="0"/>
      <w:sz w:val="24"/>
      <w:szCs w:val="24"/>
    </w:rPr>
  </w:style>
  <w:style w:type="paragraph" w:customStyle="1" w:styleId="1604">
    <w:name w:val="样式 标题 4 + 左侧:  -0 厘米 首行缩进:  0 厘米 段后: 1.8 磅"/>
    <w:basedOn w:val="6"/>
    <w:qFormat/>
    <w:uiPriority w:val="0"/>
    <w:pPr>
      <w:keepNext/>
      <w:widowControl/>
      <w:tabs>
        <w:tab w:val="left" w:pos="1800"/>
        <w:tab w:val="clear" w:pos="2207"/>
      </w:tabs>
      <w:autoSpaceDE w:val="0"/>
      <w:autoSpaceDN w:val="0"/>
      <w:adjustRightInd w:val="0"/>
      <w:spacing w:beforeLines="0" w:afterLines="0" w:line="312" w:lineRule="auto"/>
      <w:ind w:left="360" w:hanging="360" w:hangingChars="200"/>
      <w:jc w:val="left"/>
    </w:pPr>
    <w:rPr>
      <w:rFonts w:ascii="Times New Roman" w:hAnsi="Times New Roman" w:eastAsia="仿宋_GB2312"/>
      <w:snapToGrid/>
      <w:kern w:val="0"/>
      <w:szCs w:val="20"/>
    </w:rPr>
  </w:style>
  <w:style w:type="paragraph" w:customStyle="1" w:styleId="1605">
    <w:name w:val="样式 标题 1 + 宋体 小四 加粗 左"/>
    <w:basedOn w:val="3"/>
    <w:qFormat/>
    <w:uiPriority w:val="0"/>
    <w:pPr>
      <w:keepNext w:val="0"/>
      <w:keepLines w:val="0"/>
      <w:pageBreakBefore/>
      <w:widowControl/>
      <w:spacing w:beforeLines="0" w:after="180" w:line="440" w:lineRule="exact"/>
      <w:jc w:val="left"/>
    </w:pPr>
    <w:rPr>
      <w:rFonts w:ascii="宋体" w:hAnsi="宋体" w:eastAsia="宋体" w:cs="宋体"/>
      <w:b/>
      <w:snapToGrid/>
      <w:kern w:val="2"/>
      <w:szCs w:val="20"/>
    </w:rPr>
  </w:style>
  <w:style w:type="paragraph" w:customStyle="1" w:styleId="1606">
    <w:name w:val="WW-纯文本"/>
    <w:basedOn w:val="1"/>
    <w:qFormat/>
    <w:uiPriority w:val="0"/>
    <w:pPr>
      <w:widowControl/>
      <w:suppressAutoHyphens/>
      <w:spacing w:line="360" w:lineRule="auto"/>
      <w:jc w:val="left"/>
    </w:pPr>
    <w:rPr>
      <w:rFonts w:hAnsi="宋体" w:cs="宋体"/>
      <w:sz w:val="24"/>
      <w:szCs w:val="24"/>
      <w:lang w:eastAsia="ar-SA"/>
    </w:rPr>
  </w:style>
  <w:style w:type="paragraph" w:customStyle="1" w:styleId="1607">
    <w:name w:val="报告书表格5"/>
    <w:basedOn w:val="435"/>
    <w:qFormat/>
    <w:uiPriority w:val="0"/>
    <w:pPr>
      <w:widowControl/>
      <w:spacing w:line="240" w:lineRule="exact"/>
      <w:ind w:left="-96" w:leftChars="-40" w:right="-110" w:rightChars="-46"/>
      <w:textAlignment w:val="auto"/>
    </w:pPr>
    <w:rPr>
      <w:rFonts w:hint="eastAsia" w:ascii="宋体" w:hAnsi="宋体" w:eastAsia="宋体" w:cs="宋体"/>
      <w:snapToGrid/>
      <w:sz w:val="24"/>
    </w:rPr>
  </w:style>
  <w:style w:type="paragraph" w:customStyle="1" w:styleId="1608">
    <w:name w:val="题目"/>
    <w:basedOn w:val="3"/>
    <w:next w:val="1"/>
    <w:qFormat/>
    <w:uiPriority w:val="0"/>
    <w:pPr>
      <w:widowControl/>
      <w:spacing w:beforeLines="0" w:beforeAutospacing="1" w:after="100" w:afterAutospacing="1" w:line="240" w:lineRule="auto"/>
      <w:ind w:left="100" w:leftChars="100" w:right="100" w:rightChars="100"/>
      <w:jc w:val="center"/>
    </w:pPr>
    <w:rPr>
      <w:rFonts w:ascii="宋体" w:hAnsi="宋体" w:cs="宋体"/>
      <w:b/>
      <w:bCs/>
      <w:snapToGrid/>
      <w:sz w:val="30"/>
      <w:szCs w:val="30"/>
    </w:rPr>
  </w:style>
  <w:style w:type="paragraph" w:customStyle="1" w:styleId="1609">
    <w:name w:val="table"/>
    <w:basedOn w:val="1"/>
    <w:qFormat/>
    <w:uiPriority w:val="0"/>
    <w:pPr>
      <w:widowControl/>
      <w:adjustRightInd w:val="0"/>
      <w:spacing w:line="240" w:lineRule="exact"/>
      <w:jc w:val="left"/>
    </w:pPr>
    <w:rPr>
      <w:rFonts w:ascii="Arial" w:hAnsi="Arial" w:cs="宋体"/>
      <w:spacing w:val="-2"/>
      <w:kern w:val="0"/>
      <w:sz w:val="24"/>
      <w:szCs w:val="24"/>
    </w:rPr>
  </w:style>
  <w:style w:type="paragraph" w:customStyle="1" w:styleId="1610">
    <w:name w:val="基准标题"/>
    <w:basedOn w:val="32"/>
    <w:next w:val="32"/>
    <w:qFormat/>
    <w:uiPriority w:val="0"/>
    <w:pPr>
      <w:widowControl/>
      <w:spacing w:after="0" w:line="360" w:lineRule="auto"/>
      <w:jc w:val="left"/>
    </w:pPr>
    <w:rPr>
      <w:rFonts w:ascii="Times New Roman"/>
      <w:sz w:val="21"/>
      <w:szCs w:val="20"/>
    </w:rPr>
  </w:style>
  <w:style w:type="paragraph" w:customStyle="1" w:styleId="1611">
    <w:name w:val="样式 标题 2标题2二级 标题 2H2h2第一层条标题 2 Char节标题节11 Char标题 2 Cha...1"/>
    <w:basedOn w:val="4"/>
    <w:qFormat/>
    <w:uiPriority w:val="0"/>
    <w:pPr>
      <w:keepNext w:val="0"/>
      <w:keepLines w:val="0"/>
      <w:widowControl/>
      <w:adjustRightInd w:val="0"/>
      <w:spacing w:before="240" w:after="240" w:line="360" w:lineRule="exact"/>
      <w:ind w:left="578" w:hanging="578"/>
      <w:jc w:val="left"/>
    </w:pPr>
    <w:rPr>
      <w:rFonts w:ascii="Times New Roman" w:hAnsi="Times New Roman" w:eastAsia="仿宋_GB2312"/>
      <w:bCs w:val="0"/>
      <w:smallCaps/>
      <w:snapToGrid/>
      <w:sz w:val="24"/>
      <w:szCs w:val="20"/>
    </w:rPr>
  </w:style>
  <w:style w:type="character" w:customStyle="1" w:styleId="1612">
    <w:name w:val="样式 样式 首行缩进:  2 字符 行距: 最小值 24 磅 + 首行缩进:  2 字符 Char Char Char"/>
    <w:link w:val="1613"/>
    <w:qFormat/>
    <w:uiPriority w:val="0"/>
    <w:rPr>
      <w:rFonts w:ascii="宋体" w:hAnsi="宋体" w:cs="宋体"/>
      <w:kern w:val="2"/>
      <w:sz w:val="24"/>
    </w:rPr>
  </w:style>
  <w:style w:type="paragraph" w:customStyle="1" w:styleId="1613">
    <w:name w:val="样式 样式 首行缩进:  2 字符 行距: 最小值 24 磅 + 首行缩进:  2 字符 Char"/>
    <w:basedOn w:val="1"/>
    <w:link w:val="1612"/>
    <w:qFormat/>
    <w:uiPriority w:val="0"/>
    <w:pPr>
      <w:widowControl/>
      <w:spacing w:line="480" w:lineRule="exact"/>
      <w:ind w:firstLine="480" w:firstLineChars="200"/>
      <w:jc w:val="left"/>
    </w:pPr>
    <w:rPr>
      <w:rFonts w:hAnsi="宋体" w:cs="宋体"/>
      <w:sz w:val="24"/>
      <w:szCs w:val="20"/>
    </w:rPr>
  </w:style>
  <w:style w:type="paragraph" w:customStyle="1" w:styleId="1614">
    <w:name w:val="安评 标题 2 + 宋体 四号 黑色 段前: 7.8 磅 段后: 0 磅 行距: 单倍行距"/>
    <w:basedOn w:val="4"/>
    <w:qFormat/>
    <w:uiPriority w:val="0"/>
    <w:pPr>
      <w:spacing w:before="156" w:after="0" w:line="240" w:lineRule="auto"/>
    </w:pPr>
    <w:rPr>
      <w:rFonts w:ascii="宋体" w:hAnsi="宋体"/>
      <w:smallCaps/>
      <w:snapToGrid/>
      <w:color w:val="000000"/>
      <w:sz w:val="28"/>
      <w:szCs w:val="20"/>
    </w:rPr>
  </w:style>
  <w:style w:type="paragraph" w:customStyle="1" w:styleId="1615">
    <w:name w:val="Char1 Char Char Char3"/>
    <w:basedOn w:val="1"/>
    <w:qFormat/>
    <w:uiPriority w:val="0"/>
    <w:pPr>
      <w:widowControl/>
      <w:snapToGrid w:val="0"/>
      <w:spacing w:line="360" w:lineRule="auto"/>
      <w:ind w:firstLine="529" w:firstLineChars="200"/>
      <w:jc w:val="left"/>
    </w:pPr>
    <w:rPr>
      <w:rFonts w:hAnsi="宋体" w:cs="宋体"/>
      <w:b/>
      <w:kern w:val="0"/>
      <w:sz w:val="24"/>
      <w:szCs w:val="24"/>
    </w:rPr>
  </w:style>
  <w:style w:type="character" w:customStyle="1" w:styleId="1616">
    <w:name w:val="syh2级标题 Char Char"/>
    <w:link w:val="1617"/>
    <w:qFormat/>
    <w:uiPriority w:val="0"/>
    <w:rPr>
      <w:rFonts w:ascii="黑体" w:hAnsi="宋体" w:eastAsia="黑体"/>
      <w:b/>
      <w:sz w:val="28"/>
      <w:szCs w:val="28"/>
      <w:lang w:val="zh-CN"/>
    </w:rPr>
  </w:style>
  <w:style w:type="paragraph" w:customStyle="1" w:styleId="1617">
    <w:name w:val="syh2级标题"/>
    <w:basedOn w:val="1"/>
    <w:link w:val="1616"/>
    <w:qFormat/>
    <w:uiPriority w:val="0"/>
    <w:pPr>
      <w:keepNext/>
      <w:widowControl/>
      <w:spacing w:line="520" w:lineRule="exact"/>
      <w:jc w:val="left"/>
      <w:outlineLvl w:val="1"/>
    </w:pPr>
    <w:rPr>
      <w:rFonts w:ascii="黑体" w:hAnsi="宋体" w:eastAsia="黑体"/>
      <w:b/>
      <w:kern w:val="0"/>
      <w:sz w:val="28"/>
      <w:szCs w:val="28"/>
      <w:lang w:val="zh-CN"/>
    </w:rPr>
  </w:style>
  <w:style w:type="character" w:customStyle="1" w:styleId="1618">
    <w:name w:val="燕山正文 Char Char"/>
    <w:qFormat/>
    <w:uiPriority w:val="0"/>
    <w:rPr>
      <w:rFonts w:ascii="宋体" w:hAnsi="宋体"/>
      <w:color w:val="000000"/>
      <w:kern w:val="2"/>
      <w:sz w:val="24"/>
      <w:szCs w:val="28"/>
    </w:rPr>
  </w:style>
  <w:style w:type="paragraph" w:customStyle="1" w:styleId="1619">
    <w:name w:val="正文格式111"/>
    <w:basedOn w:val="1"/>
    <w:qFormat/>
    <w:uiPriority w:val="0"/>
    <w:pPr>
      <w:widowControl/>
      <w:snapToGrid w:val="0"/>
      <w:spacing w:line="300" w:lineRule="auto"/>
      <w:ind w:firstLine="480" w:firstLineChars="200"/>
      <w:jc w:val="left"/>
    </w:pPr>
    <w:rPr>
      <w:rFonts w:hAnsi="宋体" w:cs="宋体"/>
      <w:kern w:val="0"/>
      <w:sz w:val="24"/>
      <w:szCs w:val="24"/>
    </w:rPr>
  </w:style>
  <w:style w:type="character" w:customStyle="1" w:styleId="1620">
    <w:name w:val="样式 表文 + (西文) Arial (中文) 宋体 (复杂文种) Arial (西文)粗体 Char Char"/>
    <w:link w:val="1621"/>
    <w:qFormat/>
    <w:uiPriority w:val="0"/>
    <w:rPr>
      <w:rFonts w:ascii="Arial" w:hAnsi="Arial" w:cs="Arial"/>
      <w:b/>
      <w:kern w:val="2"/>
      <w:sz w:val="21"/>
    </w:rPr>
  </w:style>
  <w:style w:type="paragraph" w:customStyle="1" w:styleId="1621">
    <w:name w:val="样式 表文 + (西文) Arial (中文) 宋体 (复杂文种) Arial (西文)粗体"/>
    <w:basedOn w:val="212"/>
    <w:link w:val="1620"/>
    <w:qFormat/>
    <w:uiPriority w:val="0"/>
    <w:pPr>
      <w:adjustRightInd/>
      <w:snapToGrid/>
      <w:spacing w:line="360" w:lineRule="exact"/>
    </w:pPr>
    <w:rPr>
      <w:rFonts w:ascii="Arial" w:hAnsi="Arial" w:cs="Arial"/>
      <w:b/>
      <w:snapToGrid/>
      <w:kern w:val="2"/>
      <w:szCs w:val="20"/>
    </w:rPr>
  </w:style>
  <w:style w:type="paragraph" w:customStyle="1" w:styleId="1622">
    <w:name w:val="样式 标题 3 + 行距: 1.5 倍行距"/>
    <w:basedOn w:val="5"/>
    <w:qFormat/>
    <w:uiPriority w:val="0"/>
    <w:pPr>
      <w:adjustRightInd w:val="0"/>
      <w:spacing w:before="120" w:after="120" w:line="520" w:lineRule="exact"/>
    </w:pPr>
    <w:rPr>
      <w:rFonts w:ascii="Gungsuh" w:hAnsi="Gungsuh" w:cs="宋体"/>
      <w:i/>
      <w:iCs/>
      <w:sz w:val="24"/>
      <w:szCs w:val="24"/>
    </w:rPr>
  </w:style>
  <w:style w:type="paragraph" w:customStyle="1" w:styleId="1623">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624">
    <w:name w:val="Char Char Char1 Char Char Char"/>
    <w:basedOn w:val="5"/>
    <w:qFormat/>
    <w:uiPriority w:val="0"/>
    <w:pPr>
      <w:tabs>
        <w:tab w:val="left" w:pos="360"/>
        <w:tab w:val="left" w:pos="900"/>
      </w:tabs>
      <w:snapToGrid w:val="0"/>
      <w:spacing w:before="120" w:after="120" w:line="360" w:lineRule="auto"/>
      <w:ind w:left="542" w:leftChars="-12" w:firstLine="200" w:firstLineChars="200"/>
    </w:pPr>
    <w:rPr>
      <w:bCs w:val="0"/>
      <w:i/>
      <w:iCs/>
      <w:sz w:val="24"/>
      <w:szCs w:val="24"/>
    </w:rPr>
  </w:style>
  <w:style w:type="paragraph" w:customStyle="1" w:styleId="1625">
    <w:name w:val="7表格(治)"/>
    <w:qFormat/>
    <w:uiPriority w:val="0"/>
    <w:pPr>
      <w:widowControl w:val="0"/>
      <w:spacing w:line="320" w:lineRule="exact"/>
      <w:jc w:val="center"/>
    </w:pPr>
    <w:rPr>
      <w:rFonts w:ascii="宋体" w:hAnsi="宋体" w:eastAsia="宋体" w:cs="Times New Roman"/>
      <w:sz w:val="21"/>
      <w:szCs w:val="21"/>
      <w:lang w:val="en-US" w:eastAsia="zh-CN" w:bidi="ar-SA"/>
    </w:rPr>
  </w:style>
  <w:style w:type="paragraph" w:customStyle="1" w:styleId="1626">
    <w:name w:val="基准页眉样式"/>
    <w:basedOn w:val="32"/>
    <w:qFormat/>
    <w:uiPriority w:val="0"/>
    <w:pPr>
      <w:keepLines/>
      <w:widowControl/>
      <w:tabs>
        <w:tab w:val="center" w:pos="-18551"/>
        <w:tab w:val="right" w:pos="4320"/>
      </w:tabs>
      <w:spacing w:after="0" w:line="240" w:lineRule="exact"/>
      <w:jc w:val="center"/>
    </w:pPr>
    <w:rPr>
      <w:rFonts w:ascii="Garamond" w:hAnsi="Garamond"/>
      <w:smallCaps/>
      <w:spacing w:val="15"/>
      <w:sz w:val="21"/>
      <w:szCs w:val="20"/>
    </w:rPr>
  </w:style>
  <w:style w:type="paragraph" w:customStyle="1" w:styleId="1627">
    <w:name w:val="项目符号1"/>
    <w:basedOn w:val="1"/>
    <w:qFormat/>
    <w:uiPriority w:val="0"/>
    <w:pPr>
      <w:widowControl/>
      <w:tabs>
        <w:tab w:val="left" w:pos="1200"/>
      </w:tabs>
      <w:overflowPunct w:val="0"/>
      <w:snapToGrid w:val="0"/>
      <w:spacing w:line="480" w:lineRule="exact"/>
      <w:ind w:left="1200" w:firstLine="567"/>
      <w:jc w:val="left"/>
    </w:pPr>
    <w:rPr>
      <w:rFonts w:ascii="Arial" w:hAnsi="Arial" w:eastAsia="仿宋_GB2312" w:cs="宋体"/>
      <w:kern w:val="0"/>
      <w:sz w:val="28"/>
      <w:szCs w:val="24"/>
    </w:rPr>
  </w:style>
  <w:style w:type="paragraph" w:customStyle="1" w:styleId="1628">
    <w:name w:val="正文(1)"/>
    <w:basedOn w:val="1"/>
    <w:qFormat/>
    <w:uiPriority w:val="0"/>
    <w:pPr>
      <w:widowControl/>
      <w:adjustRightInd w:val="0"/>
      <w:snapToGrid w:val="0"/>
      <w:jc w:val="center"/>
    </w:pPr>
    <w:rPr>
      <w:rFonts w:hAnsi="宋体" w:cs="宋体"/>
      <w:kern w:val="0"/>
      <w:sz w:val="24"/>
      <w:szCs w:val="24"/>
    </w:rPr>
  </w:style>
  <w:style w:type="paragraph" w:customStyle="1" w:styleId="1629">
    <w:name w:val="表粗"/>
    <w:basedOn w:val="1"/>
    <w:qFormat/>
    <w:uiPriority w:val="0"/>
    <w:pPr>
      <w:widowControl/>
      <w:spacing w:line="360" w:lineRule="exact"/>
      <w:jc w:val="center"/>
      <w:outlineLvl w:val="8"/>
    </w:pPr>
    <w:rPr>
      <w:rFonts w:ascii="Arial" w:hAnsi="Arial" w:eastAsia="仿宋_GB2312" w:cs="宋体"/>
      <w:b/>
      <w:kern w:val="0"/>
      <w:sz w:val="24"/>
      <w:szCs w:val="24"/>
    </w:rPr>
  </w:style>
  <w:style w:type="paragraph" w:customStyle="1" w:styleId="1630">
    <w:name w:val="样式 标题 2节节1节2节11节3节12节4节13节21节111 Char Char Char Char ..."/>
    <w:basedOn w:val="4"/>
    <w:qFormat/>
    <w:uiPriority w:val="0"/>
    <w:pPr>
      <w:widowControl/>
      <w:spacing w:before="120" w:after="120" w:line="440" w:lineRule="exact"/>
      <w:ind w:firstLine="200" w:firstLineChars="200"/>
    </w:pPr>
    <w:rPr>
      <w:rFonts w:ascii="Arial" w:hAnsi="Arial" w:cs="宋体"/>
      <w:smallCaps/>
      <w:snapToGrid/>
      <w:kern w:val="28"/>
      <w:szCs w:val="21"/>
    </w:rPr>
  </w:style>
  <w:style w:type="paragraph" w:customStyle="1" w:styleId="1631">
    <w:name w:val="样式 首行缩进:  2 字符2"/>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632">
    <w:name w:val="图题注"/>
    <w:basedOn w:val="21"/>
    <w:qFormat/>
    <w:uiPriority w:val="0"/>
    <w:pPr>
      <w:widowControl/>
      <w:snapToGrid w:val="0"/>
      <w:spacing w:before="120" w:after="240"/>
      <w:jc w:val="center"/>
    </w:pPr>
    <w:rPr>
      <w:rFonts w:hint="eastAsia" w:ascii="黑体" w:eastAsia="宋体" w:cs="Times New Roman"/>
      <w:sz w:val="21"/>
      <w:szCs w:val="21"/>
    </w:rPr>
  </w:style>
  <w:style w:type="paragraph" w:customStyle="1" w:styleId="1633">
    <w:name w:val="样式 标题 1 + 左侧:  0 厘米 首行缩进:  0 厘米"/>
    <w:basedOn w:val="3"/>
    <w:qFormat/>
    <w:uiPriority w:val="0"/>
    <w:pPr>
      <w:widowControl/>
      <w:tabs>
        <w:tab w:val="left" w:pos="0"/>
        <w:tab w:val="left" w:pos="432"/>
        <w:tab w:val="left" w:pos="1200"/>
      </w:tabs>
      <w:autoSpaceDE w:val="0"/>
      <w:autoSpaceDN w:val="0"/>
      <w:adjustRightInd w:val="0"/>
      <w:spacing w:beforeLines="0" w:after="120" w:line="240" w:lineRule="auto"/>
      <w:ind w:left="432" w:hanging="432"/>
      <w:jc w:val="left"/>
    </w:pPr>
    <w:rPr>
      <w:rFonts w:ascii="宋体" w:hAnsi="宋体" w:cs="宋体"/>
      <w:b/>
      <w:snapToGrid/>
      <w:color w:val="000000"/>
      <w:sz w:val="28"/>
      <w:szCs w:val="20"/>
    </w:rPr>
  </w:style>
  <w:style w:type="paragraph" w:customStyle="1" w:styleId="1634">
    <w:name w:val="样式 生物附录 + 小四 段前: 6 磅 段后: 6 磅 非加宽量 / 紧缩量  行距: 1.5 倍行距"/>
    <w:basedOn w:val="1"/>
    <w:qFormat/>
    <w:uiPriority w:val="0"/>
    <w:pPr>
      <w:widowControl/>
      <w:spacing w:before="100" w:beforeAutospacing="1" w:after="100" w:afterAutospacing="1" w:line="360" w:lineRule="auto"/>
      <w:jc w:val="left"/>
    </w:pPr>
    <w:rPr>
      <w:rFonts w:hAnsi="宋体" w:cs="宋体"/>
      <w:b/>
      <w:bCs/>
      <w:kern w:val="0"/>
      <w:sz w:val="24"/>
      <w:szCs w:val="24"/>
    </w:rPr>
  </w:style>
  <w:style w:type="paragraph" w:customStyle="1" w:styleId="1635">
    <w:name w:val="样式 目录 2 + 左侧:  2 字符"/>
    <w:basedOn w:val="70"/>
    <w:qFormat/>
    <w:uiPriority w:val="0"/>
    <w:pPr>
      <w:widowControl/>
      <w:tabs>
        <w:tab w:val="left" w:pos="1050"/>
      </w:tabs>
      <w:spacing w:line="276" w:lineRule="auto"/>
      <w:ind w:left="420" w:leftChars="200"/>
      <w:jc w:val="both"/>
    </w:pPr>
    <w:rPr>
      <w:rFonts w:ascii="Vladimir Script" w:hAnsi="Vladimir Script" w:eastAsia="楷体_GB2312"/>
      <w:bCs/>
      <w:sz w:val="21"/>
    </w:rPr>
  </w:style>
  <w:style w:type="paragraph" w:customStyle="1" w:styleId="1636">
    <w:name w:val="三级标题"/>
    <w:basedOn w:val="1"/>
    <w:qFormat/>
    <w:uiPriority w:val="0"/>
    <w:pPr>
      <w:widowControl/>
      <w:spacing w:line="360" w:lineRule="auto"/>
      <w:jc w:val="left"/>
    </w:pPr>
    <w:rPr>
      <w:rFonts w:hAnsi="宋体" w:cs="宋体"/>
      <w:kern w:val="0"/>
      <w:sz w:val="24"/>
      <w:szCs w:val="24"/>
    </w:rPr>
  </w:style>
  <w:style w:type="paragraph" w:customStyle="1" w:styleId="1637">
    <w:name w:val="brdrw15brsp20 tqctx4153t"/>
    <w:qFormat/>
    <w:uiPriority w:val="0"/>
    <w:pPr>
      <w:widowControl w:val="0"/>
      <w:pBdr>
        <w:bottom w:val="single" w:color="auto" w:sz="6" w:space="0"/>
      </w:pBdr>
      <w:adjustRightInd w:val="0"/>
      <w:spacing w:line="312" w:lineRule="exact"/>
      <w:jc w:val="center"/>
    </w:pPr>
    <w:rPr>
      <w:rFonts w:ascii="Times New Roman" w:hAnsi="Times New Roman" w:eastAsia="宋体" w:cs="Times New Roman"/>
      <w:sz w:val="21"/>
      <w:lang w:val="en-US" w:eastAsia="zh-CN" w:bidi="ar-SA"/>
    </w:rPr>
  </w:style>
  <w:style w:type="paragraph" w:customStyle="1" w:styleId="1638">
    <w:name w:val="样式 样式 标题 2 + 宋体 行距: 固定值 30 磅 + 字距调整三号"/>
    <w:basedOn w:val="1240"/>
    <w:qFormat/>
    <w:uiPriority w:val="0"/>
    <w:pPr>
      <w:snapToGrid/>
    </w:pPr>
    <w:rPr>
      <w:rFonts w:ascii="Gungsuh" w:hAnsi="Gungsuh" w:eastAsia="黑体"/>
      <w:kern w:val="32"/>
      <w:sz w:val="28"/>
      <w:szCs w:val="24"/>
    </w:rPr>
  </w:style>
  <w:style w:type="paragraph" w:customStyle="1" w:styleId="1639">
    <w:name w:val="表格右"/>
    <w:basedOn w:val="282"/>
    <w:qFormat/>
    <w:uiPriority w:val="0"/>
    <w:pPr>
      <w:widowControl/>
      <w:suppressAutoHyphens/>
      <w:adjustRightInd/>
      <w:snapToGrid w:val="0"/>
      <w:spacing w:before="20" w:after="20" w:line="240" w:lineRule="auto"/>
      <w:ind w:firstLine="351" w:firstLineChars="167"/>
      <w:jc w:val="both"/>
    </w:pPr>
    <w:rPr>
      <w:kern w:val="2"/>
      <w:sz w:val="21"/>
      <w:lang w:val="zh-CN"/>
    </w:rPr>
  </w:style>
  <w:style w:type="paragraph" w:customStyle="1" w:styleId="1640">
    <w:name w:val="海港-3级标题"/>
    <w:basedOn w:val="1"/>
    <w:qFormat/>
    <w:uiPriority w:val="0"/>
    <w:pPr>
      <w:keepNext/>
      <w:keepLines/>
      <w:spacing w:beforeLines="100" w:line="360" w:lineRule="auto"/>
      <w:outlineLvl w:val="2"/>
    </w:pPr>
    <w:rPr>
      <w:rFonts w:ascii="Times New Roman"/>
      <w:b/>
      <w:spacing w:val="5"/>
      <w:sz w:val="28"/>
      <w:szCs w:val="20"/>
    </w:rPr>
  </w:style>
  <w:style w:type="paragraph" w:customStyle="1" w:styleId="1641">
    <w:name w:val="LT标题4"/>
    <w:basedOn w:val="1"/>
    <w:next w:val="1"/>
    <w:qFormat/>
    <w:uiPriority w:val="0"/>
    <w:pPr>
      <w:spacing w:beforeLines="100" w:line="360" w:lineRule="auto"/>
    </w:pPr>
    <w:rPr>
      <w:rFonts w:ascii="Times New Roman"/>
      <w:b/>
      <w:color w:val="0000FF"/>
      <w:sz w:val="24"/>
      <w:szCs w:val="20"/>
    </w:rPr>
  </w:style>
  <w:style w:type="paragraph" w:customStyle="1" w:styleId="1642">
    <w:name w:val="框图文字1"/>
    <w:basedOn w:val="1"/>
    <w:qFormat/>
    <w:uiPriority w:val="0"/>
    <w:pPr>
      <w:widowControl/>
      <w:adjustRightInd w:val="0"/>
      <w:snapToGrid w:val="0"/>
      <w:spacing w:beforeLines="25"/>
      <w:jc w:val="center"/>
    </w:pPr>
    <w:rPr>
      <w:rFonts w:hAnsi="宋体" w:cs="宋体"/>
      <w:kern w:val="0"/>
      <w:sz w:val="18"/>
      <w:szCs w:val="24"/>
    </w:rPr>
  </w:style>
  <w:style w:type="paragraph" w:customStyle="1" w:styleId="1643">
    <w:name w:val="热电厂正文 Char Char Char Char"/>
    <w:basedOn w:val="1"/>
    <w:qFormat/>
    <w:uiPriority w:val="0"/>
    <w:pPr>
      <w:spacing w:line="440" w:lineRule="exact"/>
      <w:ind w:firstLine="480" w:firstLineChars="200"/>
    </w:pPr>
    <w:rPr>
      <w:rFonts w:ascii="Times New Roman"/>
      <w:sz w:val="24"/>
      <w:szCs w:val="20"/>
    </w:rPr>
  </w:style>
  <w:style w:type="paragraph" w:customStyle="1" w:styleId="1644">
    <w:name w:val="样式 样式7 + 小四"/>
    <w:basedOn w:val="587"/>
    <w:qFormat/>
    <w:uiPriority w:val="0"/>
    <w:pPr>
      <w:keepNext/>
      <w:keepLines/>
      <w:tabs>
        <w:tab w:val="left" w:pos="560"/>
      </w:tabs>
      <w:adjustRightInd w:val="0"/>
      <w:snapToGrid w:val="0"/>
      <w:spacing w:before="120" w:line="480" w:lineRule="exact"/>
      <w:ind w:firstLine="0" w:firstLineChars="0"/>
      <w:outlineLvl w:val="2"/>
    </w:pPr>
    <w:rPr>
      <w:rFonts w:ascii="Times New Roman" w:hAnsi="Times New Roman" w:eastAsia="黑体" w:cs="Arial"/>
      <w:color w:val="000000"/>
      <w:kern w:val="0"/>
      <w:szCs w:val="20"/>
    </w:rPr>
  </w:style>
  <w:style w:type="paragraph" w:customStyle="1" w:styleId="1645">
    <w:name w:val="1)"/>
    <w:basedOn w:val="1"/>
    <w:qFormat/>
    <w:uiPriority w:val="0"/>
    <w:pPr>
      <w:widowControl/>
      <w:adjustRightInd w:val="0"/>
      <w:spacing w:line="360" w:lineRule="auto"/>
      <w:ind w:firstLine="845"/>
      <w:jc w:val="left"/>
    </w:pPr>
    <w:rPr>
      <w:rFonts w:hAnsi="宋体" w:cs="宋体"/>
      <w:kern w:val="0"/>
      <w:sz w:val="28"/>
      <w:szCs w:val="24"/>
    </w:rPr>
  </w:style>
  <w:style w:type="paragraph" w:customStyle="1" w:styleId="1646">
    <w:name w:val="生物中文名"/>
    <w:basedOn w:val="1"/>
    <w:qFormat/>
    <w:uiPriority w:val="0"/>
    <w:pPr>
      <w:widowControl/>
      <w:tabs>
        <w:tab w:val="left" w:pos="-120"/>
      </w:tabs>
      <w:overflowPunct w:val="0"/>
      <w:topLinePunct/>
      <w:autoSpaceDE w:val="0"/>
      <w:adjustRightInd w:val="0"/>
      <w:snapToGrid w:val="0"/>
      <w:spacing w:before="60" w:line="0" w:lineRule="atLeast"/>
      <w:ind w:firstLine="454"/>
      <w:jc w:val="left"/>
    </w:pPr>
    <w:rPr>
      <w:rFonts w:hAnsi="宋体" w:cs="宋体"/>
      <w:spacing w:val="20"/>
      <w:kern w:val="0"/>
      <w:sz w:val="24"/>
      <w:szCs w:val="24"/>
    </w:rPr>
  </w:style>
  <w:style w:type="paragraph" w:customStyle="1" w:styleId="1647">
    <w:name w:val="样式 首行缩进:  2 字符7"/>
    <w:basedOn w:val="1"/>
    <w:qFormat/>
    <w:uiPriority w:val="0"/>
    <w:pPr>
      <w:widowControl/>
      <w:spacing w:line="520" w:lineRule="exact"/>
      <w:ind w:firstLine="560" w:firstLineChars="200"/>
      <w:jc w:val="left"/>
    </w:pPr>
    <w:rPr>
      <w:rFonts w:hAnsi="宋体" w:cs="宋体"/>
      <w:kern w:val="0"/>
      <w:sz w:val="24"/>
      <w:szCs w:val="24"/>
    </w:rPr>
  </w:style>
  <w:style w:type="paragraph" w:customStyle="1" w:styleId="1648">
    <w:name w:val="新标题2"/>
    <w:basedOn w:val="1"/>
    <w:qFormat/>
    <w:uiPriority w:val="0"/>
    <w:pPr>
      <w:keepNext/>
      <w:widowControl/>
      <w:autoSpaceDE w:val="0"/>
      <w:autoSpaceDN w:val="0"/>
      <w:adjustRightInd w:val="0"/>
      <w:spacing w:before="120" w:after="120" w:line="460" w:lineRule="exact"/>
      <w:jc w:val="left"/>
      <w:outlineLvl w:val="1"/>
    </w:pPr>
    <w:rPr>
      <w:rFonts w:ascii="黑体" w:hAnsi="宋体" w:eastAsia="黑体" w:cs="宋体"/>
      <w:b/>
      <w:bCs/>
      <w:color w:val="000000"/>
      <w:kern w:val="0"/>
      <w:sz w:val="24"/>
      <w:szCs w:val="24"/>
      <w:lang w:val="zh-CN"/>
    </w:rPr>
  </w:style>
  <w:style w:type="paragraph" w:customStyle="1" w:styleId="1649">
    <w:name w:val="样式 五号 居中 行距: 固定值 20 磅"/>
    <w:basedOn w:val="1"/>
    <w:qFormat/>
    <w:uiPriority w:val="0"/>
    <w:pPr>
      <w:widowControl/>
      <w:spacing w:line="400" w:lineRule="exact"/>
      <w:ind w:firstLine="2"/>
      <w:jc w:val="center"/>
    </w:pPr>
    <w:rPr>
      <w:rFonts w:hAnsi="宋体" w:cs="宋体"/>
      <w:kern w:val="0"/>
      <w:sz w:val="24"/>
      <w:szCs w:val="24"/>
    </w:rPr>
  </w:style>
  <w:style w:type="paragraph" w:customStyle="1" w:styleId="1650">
    <w:name w:val="样式 标题 4 + 段前: 7.8 磅"/>
    <w:basedOn w:val="6"/>
    <w:qFormat/>
    <w:uiPriority w:val="0"/>
    <w:pPr>
      <w:keepNext/>
      <w:keepLines/>
      <w:widowControl/>
      <w:tabs>
        <w:tab w:val="left" w:pos="1865"/>
        <w:tab w:val="clear" w:pos="2207"/>
      </w:tabs>
      <w:spacing w:beforeLines="0" w:afterLines="0" w:line="240" w:lineRule="exact"/>
      <w:jc w:val="left"/>
    </w:pPr>
    <w:rPr>
      <w:rFonts w:ascii="Times New Roman" w:hAnsi="Times New Roman" w:eastAsia="仿宋_GB2312"/>
      <w:b/>
      <w:snapToGrid/>
      <w:color w:val="auto"/>
      <w:kern w:val="0"/>
      <w:sz w:val="21"/>
      <w:szCs w:val="20"/>
    </w:rPr>
  </w:style>
  <w:style w:type="paragraph" w:customStyle="1" w:styleId="1651">
    <w:name w:val="CM126"/>
    <w:basedOn w:val="1"/>
    <w:next w:val="1"/>
    <w:qFormat/>
    <w:uiPriority w:val="0"/>
    <w:pPr>
      <w:widowControl/>
      <w:autoSpaceDE w:val="0"/>
      <w:autoSpaceDN w:val="0"/>
      <w:adjustRightInd w:val="0"/>
      <w:spacing w:after="310"/>
      <w:jc w:val="left"/>
    </w:pPr>
    <w:rPr>
      <w:rFonts w:hAnsi="宋体" w:cs="宋体"/>
      <w:kern w:val="0"/>
      <w:sz w:val="24"/>
      <w:szCs w:val="24"/>
    </w:rPr>
  </w:style>
  <w:style w:type="paragraph" w:customStyle="1" w:styleId="1652">
    <w:name w:val="样式 标题 1 + 三号"/>
    <w:basedOn w:val="3"/>
    <w:qFormat/>
    <w:uiPriority w:val="0"/>
    <w:pPr>
      <w:keepNext w:val="0"/>
      <w:keepLines w:val="0"/>
      <w:pageBreakBefore/>
      <w:widowControl/>
      <w:spacing w:beforeLines="0" w:after="180" w:line="440" w:lineRule="exact"/>
      <w:jc w:val="left"/>
    </w:pPr>
    <w:rPr>
      <w:rFonts w:ascii="宋体" w:hAnsi="宋体" w:eastAsia="宋体" w:cs="宋体"/>
      <w:b/>
      <w:bCs/>
      <w:snapToGrid/>
      <w:kern w:val="2"/>
    </w:rPr>
  </w:style>
  <w:style w:type="paragraph" w:customStyle="1" w:styleId="1653">
    <w:name w:val="1表格"/>
    <w:basedOn w:val="1259"/>
    <w:qFormat/>
    <w:uiPriority w:val="0"/>
    <w:pPr>
      <w:spacing w:line="320" w:lineRule="exact"/>
      <w:ind w:firstLine="0" w:firstLineChars="0"/>
      <w:jc w:val="center"/>
      <w:outlineLvl w:val="9"/>
    </w:pPr>
    <w:rPr>
      <w:rFonts w:ascii="Times New Roman" w:hAnsi="Times New Roman" w:cs="Times New Roman"/>
      <w:bCs w:val="0"/>
      <w:spacing w:val="-20"/>
      <w:kern w:val="2"/>
      <w:sz w:val="21"/>
      <w:szCs w:val="21"/>
    </w:rPr>
  </w:style>
  <w:style w:type="paragraph" w:customStyle="1" w:styleId="1654">
    <w:name w:val="插图"/>
    <w:basedOn w:val="1"/>
    <w:link w:val="1655"/>
    <w:qFormat/>
    <w:uiPriority w:val="0"/>
    <w:pPr>
      <w:widowControl/>
      <w:jc w:val="left"/>
    </w:pPr>
    <w:rPr>
      <w:rFonts w:hAnsi="宋体" w:cs="宋体"/>
      <w:kern w:val="0"/>
      <w:sz w:val="24"/>
      <w:szCs w:val="24"/>
    </w:rPr>
  </w:style>
  <w:style w:type="character" w:customStyle="1" w:styleId="1655">
    <w:name w:val="插图 Char Char"/>
    <w:link w:val="1654"/>
    <w:qFormat/>
    <w:uiPriority w:val="0"/>
    <w:rPr>
      <w:rFonts w:ascii="宋体" w:hAnsi="宋体" w:cs="宋体"/>
      <w:sz w:val="24"/>
      <w:szCs w:val="24"/>
    </w:rPr>
  </w:style>
  <w:style w:type="paragraph" w:customStyle="1" w:styleId="1656">
    <w:name w:val="样式 标题 3 + 首行缩进:  2 字符"/>
    <w:basedOn w:val="5"/>
    <w:qFormat/>
    <w:uiPriority w:val="0"/>
    <w:pPr>
      <w:spacing w:before="60" w:after="60" w:line="440" w:lineRule="exact"/>
    </w:pPr>
    <w:rPr>
      <w:bCs w:val="0"/>
      <w:i/>
      <w:iCs/>
      <w:sz w:val="24"/>
      <w:szCs w:val="24"/>
    </w:rPr>
  </w:style>
  <w:style w:type="paragraph" w:customStyle="1" w:styleId="1657">
    <w:name w:val="主要行岗位规范"/>
    <w:basedOn w:val="1"/>
    <w:qFormat/>
    <w:uiPriority w:val="0"/>
    <w:pPr>
      <w:widowControl/>
      <w:spacing w:line="280" w:lineRule="exact"/>
      <w:jc w:val="center"/>
    </w:pPr>
    <w:rPr>
      <w:rFonts w:hAnsi="宋体" w:cs="宋体"/>
      <w:kern w:val="0"/>
      <w:sz w:val="24"/>
      <w:szCs w:val="24"/>
    </w:rPr>
  </w:style>
  <w:style w:type="paragraph" w:customStyle="1" w:styleId="1658">
    <w:name w:val="表注-西江"/>
    <w:basedOn w:val="1289"/>
    <w:qFormat/>
    <w:uiPriority w:val="0"/>
    <w:pPr>
      <w:spacing w:before="120"/>
      <w:jc w:val="both"/>
    </w:pPr>
    <w:rPr>
      <w:sz w:val="21"/>
      <w:szCs w:val="21"/>
    </w:rPr>
  </w:style>
  <w:style w:type="paragraph" w:customStyle="1" w:styleId="1659">
    <w:name w:val="样式 生物附录 + 小四 段前: 6 磅 段后: 6 磅 非加宽量 / 紧缩量  行距: 1.5 倍行距1"/>
    <w:basedOn w:val="1"/>
    <w:qFormat/>
    <w:uiPriority w:val="0"/>
    <w:pPr>
      <w:widowControl/>
      <w:spacing w:before="120" w:after="120" w:line="360" w:lineRule="auto"/>
      <w:jc w:val="left"/>
    </w:pPr>
    <w:rPr>
      <w:rFonts w:hAnsi="宋体" w:cs="宋体"/>
      <w:b/>
      <w:bCs/>
      <w:kern w:val="0"/>
      <w:sz w:val="24"/>
      <w:szCs w:val="24"/>
    </w:rPr>
  </w:style>
  <w:style w:type="character" w:customStyle="1" w:styleId="1660">
    <w:name w:val="正文DG Char Char"/>
    <w:link w:val="1661"/>
    <w:qFormat/>
    <w:uiPriority w:val="0"/>
    <w:rPr>
      <w:rFonts w:ascii="新宋体" w:hAnsi="新宋体" w:eastAsia="新宋体"/>
      <w:kern w:val="2"/>
      <w:sz w:val="24"/>
      <w:szCs w:val="24"/>
    </w:rPr>
  </w:style>
  <w:style w:type="paragraph" w:customStyle="1" w:styleId="1661">
    <w:name w:val="正文DG"/>
    <w:basedOn w:val="1"/>
    <w:link w:val="1660"/>
    <w:qFormat/>
    <w:uiPriority w:val="0"/>
    <w:pPr>
      <w:widowControl/>
      <w:spacing w:line="520" w:lineRule="exact"/>
      <w:ind w:firstLine="480" w:firstLineChars="200"/>
      <w:jc w:val="left"/>
    </w:pPr>
    <w:rPr>
      <w:rFonts w:ascii="新宋体" w:hAnsi="新宋体" w:eastAsia="新宋体"/>
      <w:sz w:val="24"/>
      <w:szCs w:val="24"/>
    </w:rPr>
  </w:style>
  <w:style w:type="paragraph" w:customStyle="1" w:styleId="1662">
    <w:name w:val="正文王"/>
    <w:basedOn w:val="42"/>
    <w:qFormat/>
    <w:uiPriority w:val="0"/>
    <w:pPr>
      <w:widowControl/>
      <w:spacing w:line="440" w:lineRule="exact"/>
    </w:pPr>
    <w:rPr>
      <w:rFonts w:hint="eastAsia" w:ascii="Arial" w:hAnsi="Arial"/>
      <w:spacing w:val="0"/>
      <w:kern w:val="0"/>
      <w:sz w:val="24"/>
      <w:szCs w:val="20"/>
    </w:rPr>
  </w:style>
  <w:style w:type="paragraph" w:customStyle="1" w:styleId="1663">
    <w:name w:val="海港表格文字"/>
    <w:basedOn w:val="1269"/>
    <w:qFormat/>
    <w:uiPriority w:val="0"/>
    <w:pPr>
      <w:tabs>
        <w:tab w:val="clear" w:pos="5040"/>
      </w:tabs>
      <w:adjustRightInd w:val="0"/>
      <w:spacing w:line="300" w:lineRule="exact"/>
      <w:ind w:left="-56" w:leftChars="-30" w:right="-63" w:rightChars="-30" w:firstLine="0" w:firstLineChars="0"/>
    </w:pPr>
    <w:rPr>
      <w:rFonts w:eastAsia="仿宋_GB2312"/>
      <w:color w:val="auto"/>
      <w:kern w:val="21"/>
      <w:sz w:val="21"/>
    </w:rPr>
  </w:style>
  <w:style w:type="paragraph" w:customStyle="1" w:styleId="1664">
    <w:name w:val="样式 标题 2 +"/>
    <w:basedOn w:val="4"/>
    <w:qFormat/>
    <w:uiPriority w:val="0"/>
    <w:pPr>
      <w:widowControl/>
      <w:tabs>
        <w:tab w:val="left" w:pos="360"/>
      </w:tabs>
      <w:spacing w:before="60" w:after="60" w:line="480" w:lineRule="exact"/>
      <w:ind w:left="-567" w:firstLine="567"/>
      <w:jc w:val="left"/>
    </w:pPr>
    <w:rPr>
      <w:rFonts w:ascii="Times New Roman" w:hAnsi="Times New Roman"/>
      <w:b w:val="0"/>
      <w:smallCaps/>
      <w:snapToGrid/>
      <w:szCs w:val="21"/>
    </w:rPr>
  </w:style>
  <w:style w:type="paragraph" w:customStyle="1" w:styleId="1665">
    <w:name w:val="样式 标题 2 + Times New Roman 段前: 0.5 行 段后: 0.5 行"/>
    <w:basedOn w:val="4"/>
    <w:qFormat/>
    <w:uiPriority w:val="0"/>
    <w:pPr>
      <w:widowControl/>
      <w:tabs>
        <w:tab w:val="left" w:pos="4500"/>
      </w:tabs>
      <w:adjustRightInd w:val="0"/>
      <w:snapToGrid w:val="0"/>
      <w:spacing w:beforeLines="50" w:afterLines="50" w:line="460" w:lineRule="exact"/>
      <w:jc w:val="left"/>
    </w:pPr>
    <w:rPr>
      <w:rFonts w:ascii="Times New Roman" w:hAnsi="Times New Roman"/>
      <w:bCs w:val="0"/>
      <w:smallCaps/>
      <w:snapToGrid/>
      <w:sz w:val="28"/>
      <w:szCs w:val="20"/>
    </w:rPr>
  </w:style>
  <w:style w:type="paragraph" w:customStyle="1" w:styleId="1666">
    <w:name w:val="样式 标题 2 + (西文) Times New Roman (中文) 宋体 小三 段前: 6 磅 段后: 6 磅 行..."/>
    <w:basedOn w:val="5"/>
    <w:qFormat/>
    <w:uiPriority w:val="0"/>
    <w:pPr>
      <w:tabs>
        <w:tab w:val="left" w:pos="780"/>
        <w:tab w:val="left" w:pos="1155"/>
      </w:tabs>
      <w:adjustRightInd w:val="0"/>
      <w:snapToGrid w:val="0"/>
      <w:spacing w:beforeLines="50" w:after="0" w:line="240" w:lineRule="auto"/>
    </w:pPr>
    <w:rPr>
      <w:rFonts w:ascii="黑体" w:eastAsia="黑体"/>
      <w:b w:val="0"/>
      <w:i/>
      <w:iCs/>
      <w:sz w:val="24"/>
      <w:szCs w:val="24"/>
    </w:rPr>
  </w:style>
  <w:style w:type="character" w:customStyle="1" w:styleId="1667">
    <w:name w:val="表1 Char Char"/>
    <w:link w:val="1668"/>
    <w:qFormat/>
    <w:uiPriority w:val="0"/>
    <w:rPr>
      <w:sz w:val="21"/>
    </w:rPr>
  </w:style>
  <w:style w:type="paragraph" w:customStyle="1" w:styleId="1668">
    <w:name w:val="表1"/>
    <w:next w:val="1"/>
    <w:link w:val="1667"/>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1669">
    <w:name w:val="正文文本 211"/>
    <w:basedOn w:val="1"/>
    <w:qFormat/>
    <w:uiPriority w:val="0"/>
    <w:pPr>
      <w:widowControl/>
      <w:adjustRightInd w:val="0"/>
      <w:spacing w:line="432" w:lineRule="auto"/>
      <w:ind w:firstLine="480"/>
      <w:jc w:val="left"/>
    </w:pPr>
    <w:rPr>
      <w:rFonts w:hAnsi="宋体" w:cs="宋体"/>
      <w:kern w:val="0"/>
      <w:sz w:val="24"/>
      <w:szCs w:val="24"/>
    </w:rPr>
  </w:style>
  <w:style w:type="paragraph" w:customStyle="1" w:styleId="1670">
    <w:name w:val="标题样式2"/>
    <w:basedOn w:val="4"/>
    <w:qFormat/>
    <w:uiPriority w:val="0"/>
    <w:pPr>
      <w:widowControl/>
      <w:spacing w:before="120" w:after="120" w:line="360" w:lineRule="auto"/>
      <w:jc w:val="left"/>
    </w:pPr>
    <w:rPr>
      <w:rFonts w:ascii="黑体" w:hAnsi="Times New Roman"/>
      <w:smallCaps/>
      <w:snapToGrid/>
      <w:color w:val="0000FF"/>
      <w:sz w:val="24"/>
      <w:szCs w:val="24"/>
    </w:rPr>
  </w:style>
  <w:style w:type="paragraph" w:customStyle="1" w:styleId="1671">
    <w:name w:val="样式 四号 行距: 1.0 倍行距"/>
    <w:basedOn w:val="1"/>
    <w:qFormat/>
    <w:uiPriority w:val="0"/>
    <w:pPr>
      <w:widowControl/>
      <w:spacing w:line="360" w:lineRule="auto"/>
      <w:jc w:val="left"/>
    </w:pPr>
    <w:rPr>
      <w:rFonts w:hAnsi="宋体" w:cs="宋体"/>
      <w:kern w:val="0"/>
      <w:sz w:val="28"/>
      <w:szCs w:val="24"/>
    </w:rPr>
  </w:style>
  <w:style w:type="paragraph" w:customStyle="1" w:styleId="1672">
    <w:name w:val="样式 表格"/>
    <w:basedOn w:val="82"/>
    <w:next w:val="82"/>
    <w:qFormat/>
    <w:uiPriority w:val="0"/>
    <w:pPr>
      <w:adjustRightInd w:val="0"/>
      <w:snapToGrid w:val="0"/>
      <w:spacing w:after="0" w:line="240" w:lineRule="exact"/>
      <w:ind w:left="-107" w:leftChars="-51" w:right="-107" w:rightChars="-51" w:firstLine="0" w:firstLineChars="0"/>
      <w:jc w:val="left"/>
    </w:pPr>
    <w:rPr>
      <w:rFonts w:hint="default" w:ascii="Times New Roman" w:hAnsi="Times New Roman" w:cs="Times New Roman"/>
      <w:kern w:val="0"/>
      <w:sz w:val="21"/>
      <w:szCs w:val="20"/>
    </w:rPr>
  </w:style>
  <w:style w:type="paragraph" w:customStyle="1" w:styleId="1673">
    <w:name w:val="图文框"/>
    <w:basedOn w:val="1"/>
    <w:qFormat/>
    <w:uiPriority w:val="0"/>
    <w:pPr>
      <w:widowControl/>
      <w:ind w:left="56" w:leftChars="-45" w:right="-28" w:rightChars="-28" w:hanging="164" w:hangingChars="78"/>
    </w:pPr>
    <w:rPr>
      <w:rFonts w:hAnsi="宋体"/>
      <w:kern w:val="0"/>
      <w:sz w:val="21"/>
      <w:szCs w:val="20"/>
    </w:rPr>
  </w:style>
  <w:style w:type="paragraph" w:customStyle="1" w:styleId="1674">
    <w:name w:val="表题"/>
    <w:basedOn w:val="1"/>
    <w:qFormat/>
    <w:uiPriority w:val="0"/>
    <w:pPr>
      <w:widowControl/>
      <w:shd w:val="pct10" w:color="auto" w:fill="FFFFFF"/>
      <w:tabs>
        <w:tab w:val="left" w:pos="4305"/>
      </w:tabs>
      <w:adjustRightInd w:val="0"/>
      <w:snapToGrid w:val="0"/>
      <w:ind w:firstLine="480" w:firstLineChars="200"/>
      <w:jc w:val="center"/>
    </w:pPr>
    <w:rPr>
      <w:rFonts w:hAnsi="宋体" w:cs="宋体"/>
      <w:color w:val="000000"/>
      <w:kern w:val="0"/>
      <w:sz w:val="24"/>
      <w:szCs w:val="24"/>
    </w:rPr>
  </w:style>
  <w:style w:type="paragraph" w:customStyle="1" w:styleId="1675">
    <w:name w:val="表头样式1"/>
    <w:basedOn w:val="1"/>
    <w:qFormat/>
    <w:uiPriority w:val="0"/>
    <w:pPr>
      <w:widowControl/>
      <w:autoSpaceDE w:val="0"/>
      <w:autoSpaceDN w:val="0"/>
      <w:adjustRightInd w:val="0"/>
      <w:spacing w:beforeLines="30"/>
      <w:jc w:val="center"/>
    </w:pPr>
    <w:rPr>
      <w:rFonts w:ascii="黑体" w:hAnsi="宋体" w:eastAsia="黑体" w:cs="宋体"/>
      <w:color w:val="000000"/>
      <w:kern w:val="0"/>
      <w:sz w:val="24"/>
      <w:szCs w:val="24"/>
    </w:rPr>
  </w:style>
  <w:style w:type="paragraph" w:customStyle="1" w:styleId="1676">
    <w:name w:val="表格文字样式"/>
    <w:basedOn w:val="1216"/>
    <w:qFormat/>
    <w:uiPriority w:val="0"/>
    <w:pPr>
      <w:widowControl w:val="0"/>
      <w:spacing w:line="240" w:lineRule="auto"/>
      <w:ind w:firstLine="0"/>
      <w:jc w:val="center"/>
    </w:pPr>
    <w:rPr>
      <w:rFonts w:ascii="Times New Roman" w:hAnsi="Times New Roman" w:eastAsia="华文中宋" w:cs="Times New Roman"/>
      <w:spacing w:val="0"/>
      <w:kern w:val="2"/>
    </w:rPr>
  </w:style>
  <w:style w:type="paragraph" w:customStyle="1" w:styleId="1677">
    <w:name w:val="表头居右"/>
    <w:basedOn w:val="278"/>
    <w:qFormat/>
    <w:uiPriority w:val="0"/>
    <w:pPr>
      <w:widowControl/>
      <w:adjustRightInd w:val="0"/>
      <w:snapToGrid w:val="0"/>
      <w:spacing w:beforeLines="100" w:line="500" w:lineRule="exact"/>
      <w:ind w:firstLine="240" w:firstLineChars="100"/>
    </w:pPr>
    <w:rPr>
      <w:rFonts w:hint="eastAsia" w:hAnsi="黑体" w:eastAsia="宋体"/>
      <w:spacing w:val="0"/>
      <w:kern w:val="2"/>
      <w:sz w:val="24"/>
      <w:szCs w:val="20"/>
    </w:rPr>
  </w:style>
  <w:style w:type="paragraph" w:customStyle="1" w:styleId="1678">
    <w:name w:val="正文（首行缩进两字） Char Char Char Char1 Char11"/>
    <w:basedOn w:val="1"/>
    <w:next w:val="20"/>
    <w:qFormat/>
    <w:uiPriority w:val="0"/>
    <w:pPr>
      <w:widowControl/>
      <w:spacing w:line="440" w:lineRule="exact"/>
      <w:ind w:firstLine="200" w:firstLineChars="200"/>
      <w:jc w:val="left"/>
    </w:pPr>
    <w:rPr>
      <w:rFonts w:ascii="Arial" w:hAnsi="Arial" w:cs="宋体"/>
      <w:kern w:val="0"/>
      <w:sz w:val="24"/>
      <w:szCs w:val="24"/>
    </w:rPr>
  </w:style>
  <w:style w:type="character" w:customStyle="1" w:styleId="1679">
    <w:name w:val="正明正文 Char Char"/>
    <w:link w:val="1680"/>
    <w:qFormat/>
    <w:uiPriority w:val="0"/>
    <w:rPr>
      <w:rFonts w:ascii="宋体" w:hAnsi="宋体"/>
      <w:color w:val="000000"/>
      <w:kern w:val="2"/>
      <w:sz w:val="24"/>
      <w:szCs w:val="24"/>
    </w:rPr>
  </w:style>
  <w:style w:type="paragraph" w:customStyle="1" w:styleId="1680">
    <w:name w:val="正明正文"/>
    <w:basedOn w:val="1"/>
    <w:link w:val="1679"/>
    <w:qFormat/>
    <w:uiPriority w:val="0"/>
    <w:pPr>
      <w:tabs>
        <w:tab w:val="left" w:pos="360"/>
        <w:tab w:val="left" w:pos="1440"/>
        <w:tab w:val="left" w:pos="2340"/>
        <w:tab w:val="left" w:pos="7200"/>
      </w:tabs>
      <w:spacing w:line="500" w:lineRule="exact"/>
      <w:ind w:firstLine="200" w:firstLineChars="200"/>
    </w:pPr>
    <w:rPr>
      <w:rFonts w:hAnsi="宋体"/>
      <w:color w:val="000000"/>
      <w:sz w:val="24"/>
      <w:szCs w:val="24"/>
    </w:rPr>
  </w:style>
  <w:style w:type="character" w:customStyle="1" w:styleId="1681">
    <w:name w:val="标题33 Char Char"/>
    <w:link w:val="1682"/>
    <w:qFormat/>
    <w:uiPriority w:val="0"/>
    <w:rPr>
      <w:rFonts w:ascii="Arial" w:hAnsi="Arial" w:eastAsia="楷体_GB2312" w:cs="宋体"/>
      <w:b/>
      <w:bCs/>
      <w:kern w:val="2"/>
      <w:sz w:val="24"/>
      <w:szCs w:val="24"/>
    </w:rPr>
  </w:style>
  <w:style w:type="paragraph" w:customStyle="1" w:styleId="1682">
    <w:name w:val="标题33"/>
    <w:basedOn w:val="1"/>
    <w:link w:val="1681"/>
    <w:qFormat/>
    <w:uiPriority w:val="0"/>
    <w:pPr>
      <w:tabs>
        <w:tab w:val="left" w:pos="1247"/>
        <w:tab w:val="left" w:pos="1808"/>
      </w:tabs>
      <w:spacing w:beforeLines="50" w:line="360" w:lineRule="auto"/>
      <w:ind w:left="1808" w:hanging="420"/>
    </w:pPr>
    <w:rPr>
      <w:rFonts w:ascii="Arial" w:hAnsi="Arial" w:eastAsia="楷体_GB2312" w:cs="宋体"/>
      <w:b/>
      <w:bCs/>
      <w:sz w:val="24"/>
      <w:szCs w:val="24"/>
    </w:rPr>
  </w:style>
  <w:style w:type="paragraph" w:customStyle="1" w:styleId="1683">
    <w:name w:val="样式 标题 1标题 1 Char + 黑体 小二 加粗 居中 段前: 6 磅 段后: 6 磅 行距: 1.5 倍行距"/>
    <w:basedOn w:val="3"/>
    <w:qFormat/>
    <w:uiPriority w:val="0"/>
    <w:pPr>
      <w:keepLines w:val="0"/>
      <w:spacing w:beforeLines="50" w:afterLines="50" w:line="240" w:lineRule="auto"/>
      <w:jc w:val="left"/>
    </w:pPr>
    <w:rPr>
      <w:rFonts w:ascii="黑体" w:hAnsi="宋体"/>
      <w:bCs/>
      <w:snapToGrid/>
    </w:rPr>
  </w:style>
  <w:style w:type="paragraph" w:customStyle="1" w:styleId="1684">
    <w:name w:val="样式 居中 段前: 4 磅 段后: 4 磅"/>
    <w:basedOn w:val="1"/>
    <w:qFormat/>
    <w:uiPriority w:val="0"/>
    <w:pPr>
      <w:widowControl/>
      <w:snapToGrid w:val="0"/>
      <w:spacing w:before="80" w:after="80"/>
      <w:jc w:val="center"/>
    </w:pPr>
    <w:rPr>
      <w:rFonts w:hAnsi="宋体" w:cs="宋体"/>
      <w:kern w:val="0"/>
      <w:sz w:val="24"/>
      <w:szCs w:val="24"/>
    </w:rPr>
  </w:style>
  <w:style w:type="character" w:customStyle="1" w:styleId="1685">
    <w:name w:val="样式 标题 1 + 非加宽量 / 紧缩量 Char Char"/>
    <w:link w:val="1686"/>
    <w:qFormat/>
    <w:uiPriority w:val="0"/>
    <w:rPr>
      <w:rFonts w:ascii="黑体" w:hAnsi="黑体" w:eastAsia="黑体"/>
      <w:b/>
      <w:bCs/>
      <w:kern w:val="44"/>
      <w:sz w:val="28"/>
      <w:szCs w:val="28"/>
    </w:rPr>
  </w:style>
  <w:style w:type="paragraph" w:customStyle="1" w:styleId="1686">
    <w:name w:val="样式 标题 1 + 非加宽量 / 紧缩量"/>
    <w:basedOn w:val="3"/>
    <w:link w:val="1685"/>
    <w:qFormat/>
    <w:uiPriority w:val="0"/>
    <w:pPr>
      <w:widowControl/>
      <w:spacing w:beforeLines="0"/>
      <w:jc w:val="left"/>
    </w:pPr>
    <w:rPr>
      <w:rFonts w:ascii="黑体" w:hAnsi="黑体"/>
      <w:b/>
      <w:bCs/>
      <w:snapToGrid/>
      <w:sz w:val="28"/>
      <w:szCs w:val="28"/>
    </w:rPr>
  </w:style>
  <w:style w:type="paragraph" w:customStyle="1" w:styleId="1687">
    <w:name w:val="样式 题注 + 首行缩进:  2 字符"/>
    <w:basedOn w:val="1"/>
    <w:link w:val="1688"/>
    <w:qFormat/>
    <w:uiPriority w:val="0"/>
    <w:pPr>
      <w:widowControl/>
      <w:spacing w:before="100" w:beforeAutospacing="1" w:after="100" w:afterAutospacing="1" w:line="360" w:lineRule="auto"/>
      <w:ind w:firstLine="200" w:firstLineChars="200"/>
      <w:jc w:val="left"/>
    </w:pPr>
    <w:rPr>
      <w:rFonts w:ascii="Arial" w:hAnsi="Arial" w:eastAsia="黑体" w:cs="宋体"/>
      <w:kern w:val="0"/>
      <w:sz w:val="24"/>
      <w:szCs w:val="24"/>
    </w:rPr>
  </w:style>
  <w:style w:type="character" w:customStyle="1" w:styleId="1688">
    <w:name w:val="样式 题注 + 首行缩进:  2 字符 Char"/>
    <w:link w:val="1687"/>
    <w:qFormat/>
    <w:uiPriority w:val="0"/>
    <w:rPr>
      <w:rFonts w:ascii="Arial" w:hAnsi="Arial" w:eastAsia="黑体" w:cs="宋体"/>
      <w:sz w:val="24"/>
      <w:szCs w:val="24"/>
    </w:rPr>
  </w:style>
  <w:style w:type="paragraph" w:customStyle="1" w:styleId="1689">
    <w:name w:val="生物拉丁文名"/>
    <w:basedOn w:val="1"/>
    <w:qFormat/>
    <w:uiPriority w:val="0"/>
    <w:pPr>
      <w:widowControl/>
      <w:tabs>
        <w:tab w:val="left" w:pos="-120"/>
      </w:tabs>
      <w:overflowPunct w:val="0"/>
      <w:topLinePunct/>
      <w:autoSpaceDE w:val="0"/>
      <w:adjustRightInd w:val="0"/>
      <w:snapToGrid w:val="0"/>
      <w:spacing w:before="60" w:line="0" w:lineRule="atLeast"/>
      <w:ind w:firstLine="454"/>
      <w:jc w:val="left"/>
    </w:pPr>
    <w:rPr>
      <w:rFonts w:hAnsi="宋体" w:cs="宋体"/>
      <w:i/>
      <w:spacing w:val="20"/>
      <w:kern w:val="0"/>
      <w:sz w:val="24"/>
      <w:szCs w:val="24"/>
    </w:rPr>
  </w:style>
  <w:style w:type="character" w:customStyle="1" w:styleId="1690">
    <w:name w:val="样式 首行缩进:  2 字符 行距: 最小值 24 磅 Char Char Char"/>
    <w:link w:val="1691"/>
    <w:qFormat/>
    <w:uiPriority w:val="0"/>
    <w:rPr>
      <w:spacing w:val="6"/>
      <w:sz w:val="24"/>
    </w:rPr>
  </w:style>
  <w:style w:type="paragraph" w:customStyle="1" w:styleId="1691">
    <w:name w:val="样式 首行缩进:  2 字符 行距: 最小值 24 磅 Char"/>
    <w:basedOn w:val="1"/>
    <w:link w:val="1690"/>
    <w:qFormat/>
    <w:uiPriority w:val="0"/>
    <w:pPr>
      <w:widowControl/>
      <w:spacing w:line="480" w:lineRule="exact"/>
      <w:ind w:firstLine="560" w:firstLineChars="200"/>
      <w:jc w:val="left"/>
    </w:pPr>
    <w:rPr>
      <w:rFonts w:ascii="Times New Roman"/>
      <w:spacing w:val="6"/>
      <w:kern w:val="0"/>
      <w:sz w:val="24"/>
      <w:szCs w:val="20"/>
    </w:rPr>
  </w:style>
  <w:style w:type="paragraph" w:customStyle="1" w:styleId="1692">
    <w:name w:val="样式 正文（首行缩进两字） + 宋体 小四 加粗 首行缩进:  0.85 厘米 行距: 固定值 24 磅"/>
    <w:basedOn w:val="20"/>
    <w:qFormat/>
    <w:uiPriority w:val="0"/>
    <w:pPr>
      <w:widowControl/>
      <w:adjustRightInd w:val="0"/>
      <w:spacing w:line="480" w:lineRule="exact"/>
      <w:ind w:firstLine="482"/>
      <w:jc w:val="left"/>
    </w:pPr>
    <w:rPr>
      <w:rFonts w:eastAsia="宋体"/>
      <w:snapToGrid/>
      <w:sz w:val="24"/>
      <w:szCs w:val="20"/>
    </w:rPr>
  </w:style>
  <w:style w:type="paragraph" w:customStyle="1" w:styleId="1693">
    <w:name w:val="dxj表后"/>
    <w:basedOn w:val="718"/>
    <w:qFormat/>
    <w:uiPriority w:val="0"/>
    <w:pPr>
      <w:keepLines/>
      <w:spacing w:line="280" w:lineRule="exact"/>
      <w:ind w:firstLine="0" w:firstLineChars="0"/>
    </w:pPr>
    <w:rPr>
      <w:kern w:val="0"/>
      <w:sz w:val="18"/>
    </w:rPr>
  </w:style>
  <w:style w:type="paragraph" w:customStyle="1" w:styleId="1694">
    <w:name w:val="环标3"/>
    <w:basedOn w:val="5"/>
    <w:qFormat/>
    <w:uiPriority w:val="0"/>
    <w:pPr>
      <w:keepNext w:val="0"/>
      <w:keepLines w:val="0"/>
      <w:adjustRightInd w:val="0"/>
      <w:spacing w:before="0" w:after="0" w:line="312" w:lineRule="exact"/>
    </w:pPr>
    <w:rPr>
      <w:rFonts w:ascii="宋体"/>
      <w:b w:val="0"/>
      <w:bCs w:val="0"/>
      <w:i/>
      <w:iCs/>
      <w:sz w:val="24"/>
      <w:szCs w:val="24"/>
    </w:rPr>
  </w:style>
  <w:style w:type="character" w:customStyle="1" w:styleId="1695">
    <w:name w:val="正文qrz Char Char"/>
    <w:link w:val="1696"/>
    <w:qFormat/>
    <w:uiPriority w:val="0"/>
    <w:rPr>
      <w:rFonts w:ascii="宋体" w:hAnsi="宋体" w:cs="宋体"/>
      <w:kern w:val="2"/>
      <w:sz w:val="24"/>
      <w:szCs w:val="21"/>
    </w:rPr>
  </w:style>
  <w:style w:type="paragraph" w:customStyle="1" w:styleId="1696">
    <w:name w:val="正文qrz"/>
    <w:basedOn w:val="1"/>
    <w:link w:val="1695"/>
    <w:qFormat/>
    <w:uiPriority w:val="0"/>
    <w:pPr>
      <w:spacing w:beforeLines="50" w:line="360" w:lineRule="auto"/>
      <w:ind w:firstLine="480" w:firstLineChars="200"/>
      <w:jc w:val="left"/>
    </w:pPr>
    <w:rPr>
      <w:rFonts w:hAnsi="宋体" w:cs="宋体"/>
      <w:sz w:val="24"/>
      <w:szCs w:val="21"/>
    </w:rPr>
  </w:style>
  <w:style w:type="paragraph" w:customStyle="1" w:styleId="1697">
    <w:name w:val="Char Char Char Char Char Char1 Char"/>
    <w:basedOn w:val="1"/>
    <w:qFormat/>
    <w:uiPriority w:val="0"/>
    <w:pPr>
      <w:tabs>
        <w:tab w:val="left" w:pos="360"/>
      </w:tabs>
    </w:pPr>
    <w:rPr>
      <w:rFonts w:ascii="Times New Roman"/>
      <w:sz w:val="21"/>
      <w:szCs w:val="20"/>
    </w:rPr>
  </w:style>
  <w:style w:type="character" w:customStyle="1" w:styleId="1698">
    <w:name w:val="样式25 Char Char"/>
    <w:link w:val="1699"/>
    <w:qFormat/>
    <w:uiPriority w:val="0"/>
    <w:rPr>
      <w:rFonts w:ascii="宋体" w:hAnsi="宋体"/>
      <w:kern w:val="10"/>
      <w:sz w:val="28"/>
      <w:szCs w:val="28"/>
    </w:rPr>
  </w:style>
  <w:style w:type="paragraph" w:customStyle="1" w:styleId="1699">
    <w:name w:val="样式25"/>
    <w:basedOn w:val="1"/>
    <w:link w:val="1698"/>
    <w:qFormat/>
    <w:uiPriority w:val="0"/>
    <w:pPr>
      <w:spacing w:line="360" w:lineRule="auto"/>
      <w:jc w:val="left"/>
      <w:outlineLvl w:val="2"/>
    </w:pPr>
    <w:rPr>
      <w:rFonts w:hAnsi="宋体"/>
      <w:kern w:val="10"/>
      <w:sz w:val="28"/>
      <w:szCs w:val="28"/>
    </w:rPr>
  </w:style>
  <w:style w:type="character" w:customStyle="1" w:styleId="1700">
    <w:name w:val="样式 首行缩进:  2 字符 Char Char"/>
    <w:qFormat/>
    <w:uiPriority w:val="0"/>
    <w:rPr>
      <w:rFonts w:ascii="宋体" w:hAnsi="宋体" w:cs="宋体"/>
      <w:kern w:val="2"/>
      <w:sz w:val="24"/>
      <w:szCs w:val="24"/>
    </w:rPr>
  </w:style>
  <w:style w:type="paragraph" w:customStyle="1" w:styleId="1701">
    <w:name w:val="q表格"/>
    <w:basedOn w:val="1"/>
    <w:qFormat/>
    <w:uiPriority w:val="99"/>
    <w:pPr>
      <w:adjustRightInd w:val="0"/>
      <w:snapToGrid w:val="0"/>
      <w:spacing w:line="360" w:lineRule="exact"/>
      <w:jc w:val="center"/>
    </w:pPr>
    <w:rPr>
      <w:rFonts w:ascii="Times New Roman" w:cs="Tahoma"/>
      <w:kern w:val="0"/>
      <w:sz w:val="21"/>
      <w:szCs w:val="21"/>
    </w:rPr>
  </w:style>
  <w:style w:type="paragraph" w:customStyle="1" w:styleId="1702">
    <w:name w:val="表格左对齐"/>
    <w:basedOn w:val="1"/>
    <w:qFormat/>
    <w:uiPriority w:val="0"/>
    <w:pPr>
      <w:widowControl/>
      <w:spacing w:line="264" w:lineRule="auto"/>
      <w:jc w:val="center"/>
    </w:pPr>
    <w:rPr>
      <w:rFonts w:hAnsi="宋体" w:eastAsia="仿宋_GB2312" w:cs="宋体"/>
      <w:bCs/>
      <w:kern w:val="0"/>
      <w:sz w:val="24"/>
      <w:szCs w:val="24"/>
    </w:rPr>
  </w:style>
  <w:style w:type="paragraph" w:customStyle="1" w:styleId="1703">
    <w:name w:val="样式 标题 3标题3H3h33rd level第二层条头 + 小四 加粗 左侧:  0 厘米 首行缩进:  0..."/>
    <w:basedOn w:val="5"/>
    <w:qFormat/>
    <w:uiPriority w:val="0"/>
    <w:pPr>
      <w:keepLines w:val="0"/>
      <w:tabs>
        <w:tab w:val="left" w:pos="607"/>
      </w:tabs>
      <w:adjustRightInd w:val="0"/>
      <w:spacing w:before="120" w:after="120" w:line="360" w:lineRule="exact"/>
      <w:ind w:left="607" w:hanging="607"/>
    </w:pPr>
    <w:rPr>
      <w:rFonts w:eastAsia="仿宋_GB2312"/>
      <w:b w:val="0"/>
      <w:bCs w:val="0"/>
      <w:i/>
      <w:iCs/>
      <w:sz w:val="24"/>
      <w:szCs w:val="24"/>
    </w:rPr>
  </w:style>
  <w:style w:type="paragraph" w:customStyle="1" w:styleId="1704">
    <w:name w:val="小标题(1)"/>
    <w:basedOn w:val="32"/>
    <w:qFormat/>
    <w:uiPriority w:val="0"/>
    <w:pPr>
      <w:widowControl/>
      <w:adjustRightInd w:val="0"/>
      <w:snapToGrid w:val="0"/>
      <w:spacing w:before="60" w:after="60" w:line="264" w:lineRule="auto"/>
      <w:ind w:firstLine="240" w:firstLineChars="100"/>
      <w:jc w:val="left"/>
    </w:pPr>
    <w:rPr>
      <w:rFonts w:ascii="Times New Roman" w:eastAsia="仿宋_GB2312"/>
      <w:sz w:val="21"/>
      <w:szCs w:val="20"/>
    </w:rPr>
  </w:style>
  <w:style w:type="paragraph" w:customStyle="1" w:styleId="1705">
    <w:name w:val="自定义缩进"/>
    <w:basedOn w:val="1"/>
    <w:qFormat/>
    <w:uiPriority w:val="0"/>
    <w:pPr>
      <w:keepNext/>
      <w:widowControl/>
      <w:spacing w:line="336" w:lineRule="auto"/>
      <w:ind w:firstLine="480" w:firstLineChars="200"/>
      <w:jc w:val="left"/>
    </w:pPr>
    <w:rPr>
      <w:rFonts w:hAnsi="宋体" w:cs="宋体"/>
      <w:kern w:val="0"/>
      <w:sz w:val="24"/>
      <w:szCs w:val="24"/>
    </w:rPr>
  </w:style>
  <w:style w:type="paragraph" w:customStyle="1" w:styleId="1706">
    <w:name w:val="五号表格"/>
    <w:basedOn w:val="1"/>
    <w:qFormat/>
    <w:uiPriority w:val="0"/>
    <w:pPr>
      <w:widowControl/>
      <w:spacing w:line="240" w:lineRule="exact"/>
      <w:jc w:val="center"/>
    </w:pPr>
    <w:rPr>
      <w:rFonts w:hAnsi="宋体" w:cs="宋体"/>
      <w:kern w:val="0"/>
      <w:sz w:val="24"/>
      <w:szCs w:val="24"/>
    </w:rPr>
  </w:style>
  <w:style w:type="paragraph" w:customStyle="1" w:styleId="1707">
    <w:name w:val="样式 燕山正文 + 首行缩进:  2 字符"/>
    <w:basedOn w:val="1"/>
    <w:qFormat/>
    <w:uiPriority w:val="0"/>
    <w:pPr>
      <w:widowControl/>
      <w:tabs>
        <w:tab w:val="left" w:pos="4680"/>
      </w:tabs>
      <w:adjustRightInd w:val="0"/>
      <w:snapToGrid w:val="0"/>
      <w:spacing w:line="360" w:lineRule="auto"/>
      <w:ind w:firstLine="480" w:firstLineChars="200"/>
      <w:jc w:val="left"/>
    </w:pPr>
    <w:rPr>
      <w:rFonts w:hAnsi="宋体" w:cs="宋体"/>
      <w:color w:val="000000"/>
      <w:kern w:val="0"/>
      <w:sz w:val="24"/>
      <w:szCs w:val="24"/>
    </w:rPr>
  </w:style>
  <w:style w:type="paragraph" w:customStyle="1" w:styleId="1708">
    <w:name w:val="A标题"/>
    <w:basedOn w:val="6"/>
    <w:qFormat/>
    <w:uiPriority w:val="0"/>
    <w:pPr>
      <w:keepNext/>
      <w:keepLines/>
      <w:widowControl/>
      <w:tabs>
        <w:tab w:val="left" w:pos="-120"/>
        <w:tab w:val="left" w:pos="625"/>
        <w:tab w:val="clear" w:pos="360"/>
        <w:tab w:val="clear" w:pos="2207"/>
      </w:tabs>
      <w:spacing w:beforeLines="0" w:afterLines="0" w:line="264" w:lineRule="auto"/>
      <w:ind w:left="625" w:hanging="425"/>
      <w:jc w:val="left"/>
    </w:pPr>
    <w:rPr>
      <w:rFonts w:ascii="Times New Roman" w:hAnsi="Times New Roman"/>
      <w:bCs/>
      <w:snapToGrid/>
      <w:color w:val="auto"/>
      <w:spacing w:val="20"/>
      <w:kern w:val="0"/>
      <w:szCs w:val="20"/>
    </w:rPr>
  </w:style>
  <w:style w:type="paragraph" w:customStyle="1" w:styleId="1709">
    <w:name w:val="大题注"/>
    <w:basedOn w:val="1"/>
    <w:qFormat/>
    <w:uiPriority w:val="0"/>
    <w:pPr>
      <w:widowControl/>
      <w:spacing w:before="100" w:beforeAutospacing="1" w:after="100" w:afterAutospacing="1"/>
      <w:ind w:firstLine="480" w:firstLineChars="200"/>
      <w:jc w:val="left"/>
    </w:pPr>
    <w:rPr>
      <w:rFonts w:ascii="Arial" w:hAnsi="Arial" w:eastAsia="黑体" w:cs="宋体"/>
      <w:kern w:val="0"/>
      <w:sz w:val="24"/>
      <w:szCs w:val="24"/>
    </w:rPr>
  </w:style>
  <w:style w:type="paragraph" w:customStyle="1" w:styleId="1710">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11">
    <w:name w:val="样式2 Char Char"/>
    <w:qFormat/>
    <w:uiPriority w:val="0"/>
    <w:rPr>
      <w:rFonts w:ascii="黑体" w:hAnsi="黑体" w:eastAsia="黑体"/>
      <w:b/>
      <w:kern w:val="44"/>
      <w:sz w:val="30"/>
      <w:szCs w:val="30"/>
    </w:rPr>
  </w:style>
  <w:style w:type="paragraph" w:customStyle="1" w:styleId="1712">
    <w:name w:val="样式 标题 1 + 首行缩进:  0 厘米"/>
    <w:basedOn w:val="3"/>
    <w:qFormat/>
    <w:uiPriority w:val="0"/>
    <w:pPr>
      <w:adjustRightInd w:val="0"/>
      <w:snapToGrid w:val="0"/>
      <w:spacing w:beforeLines="0" w:after="200"/>
      <w:ind w:firstLine="567"/>
      <w:jc w:val="left"/>
    </w:pPr>
    <w:rPr>
      <w:rFonts w:eastAsia="宋体" w:cs="宋体"/>
      <w:b/>
      <w:bCs/>
      <w:snapToGrid/>
      <w:sz w:val="32"/>
      <w:szCs w:val="20"/>
    </w:rPr>
  </w:style>
  <w:style w:type="paragraph" w:customStyle="1" w:styleId="1713">
    <w:name w:val="海港标题2"/>
    <w:basedOn w:val="4"/>
    <w:qFormat/>
    <w:uiPriority w:val="0"/>
    <w:pPr>
      <w:keepNext w:val="0"/>
      <w:keepLines w:val="0"/>
      <w:widowControl/>
      <w:tabs>
        <w:tab w:val="left" w:pos="576"/>
      </w:tabs>
      <w:adjustRightInd w:val="0"/>
      <w:spacing w:before="240" w:after="240" w:line="360" w:lineRule="exact"/>
      <w:ind w:left="576" w:hanging="576"/>
      <w:jc w:val="left"/>
    </w:pPr>
    <w:rPr>
      <w:rFonts w:ascii="Times New Roman" w:hAnsi="Times New Roman" w:eastAsia="仿宋_GB2312"/>
      <w:bCs w:val="0"/>
      <w:smallCaps/>
      <w:snapToGrid/>
      <w:sz w:val="24"/>
      <w:szCs w:val="20"/>
    </w:rPr>
  </w:style>
  <w:style w:type="character" w:customStyle="1" w:styleId="1714">
    <w:name w:val="样式 标题4 + 五号 Char Char"/>
    <w:link w:val="1715"/>
    <w:qFormat/>
    <w:uiPriority w:val="0"/>
    <w:rPr>
      <w:b/>
      <w:bCs/>
      <w:szCs w:val="32"/>
    </w:rPr>
  </w:style>
  <w:style w:type="paragraph" w:customStyle="1" w:styleId="1715">
    <w:name w:val="样式 标题4 + 五号"/>
    <w:link w:val="1714"/>
    <w:qFormat/>
    <w:uiPriority w:val="0"/>
    <w:pPr>
      <w:keepNext/>
      <w:keepLines/>
      <w:spacing w:before="20" w:after="20" w:line="412" w:lineRule="auto"/>
      <w:outlineLvl w:val="2"/>
    </w:pPr>
    <w:rPr>
      <w:rFonts w:ascii="Times New Roman" w:hAnsi="Times New Roman" w:eastAsia="宋体" w:cs="Times New Roman"/>
      <w:b/>
      <w:bCs/>
      <w:szCs w:val="32"/>
      <w:lang w:val="en-US" w:eastAsia="zh-CN" w:bidi="ar-SA"/>
    </w:rPr>
  </w:style>
  <w:style w:type="paragraph" w:customStyle="1" w:styleId="1716">
    <w:name w:val="样式 标题 3标题 3 Char + 段前: 0 磅 段后: 0 磅 行距: 最小值 24 磅"/>
    <w:basedOn w:val="5"/>
    <w:qFormat/>
    <w:uiPriority w:val="0"/>
    <w:pPr>
      <w:tabs>
        <w:tab w:val="left" w:pos="720"/>
        <w:tab w:val="left" w:pos="900"/>
        <w:tab w:val="left" w:pos="1260"/>
        <w:tab w:val="left" w:pos="1800"/>
      </w:tabs>
      <w:adjustRightInd w:val="0"/>
      <w:spacing w:beforeLines="50" w:after="0" w:line="240" w:lineRule="auto"/>
      <w:ind w:firstLine="567"/>
    </w:pPr>
    <w:rPr>
      <w:rFonts w:ascii="宋体" w:cs="宋体"/>
      <w:b w:val="0"/>
      <w:i/>
      <w:iCs/>
      <w:szCs w:val="24"/>
    </w:rPr>
  </w:style>
  <w:style w:type="character" w:customStyle="1" w:styleId="1717">
    <w:name w:val="表格中的文字 Char Char"/>
    <w:link w:val="1718"/>
    <w:qFormat/>
    <w:uiPriority w:val="0"/>
    <w:rPr>
      <w:rFonts w:ascii="宋体" w:hAnsi="宋体" w:cs="宋体"/>
      <w:sz w:val="21"/>
    </w:rPr>
  </w:style>
  <w:style w:type="paragraph" w:customStyle="1" w:styleId="1718">
    <w:name w:val="表格中的文字"/>
    <w:basedOn w:val="1"/>
    <w:link w:val="1717"/>
    <w:qFormat/>
    <w:uiPriority w:val="0"/>
    <w:pPr>
      <w:widowControl/>
      <w:jc w:val="center"/>
    </w:pPr>
    <w:rPr>
      <w:rFonts w:hAnsi="宋体" w:cs="宋体"/>
      <w:kern w:val="0"/>
      <w:sz w:val="21"/>
      <w:szCs w:val="20"/>
    </w:rPr>
  </w:style>
  <w:style w:type="paragraph" w:customStyle="1" w:styleId="1719">
    <w:name w:val="WW-表格1"/>
    <w:basedOn w:val="1"/>
    <w:qFormat/>
    <w:uiPriority w:val="0"/>
    <w:pPr>
      <w:widowControl/>
      <w:suppressAutoHyphens/>
      <w:snapToGrid w:val="0"/>
      <w:spacing w:before="20" w:after="20"/>
      <w:jc w:val="center"/>
    </w:pPr>
    <w:rPr>
      <w:rFonts w:hAnsi="宋体" w:cs="宋体"/>
      <w:sz w:val="24"/>
      <w:szCs w:val="24"/>
      <w:lang w:eastAsia="ar-SA"/>
    </w:rPr>
  </w:style>
  <w:style w:type="character" w:customStyle="1" w:styleId="1720">
    <w:name w:val="样式 标题 2 + Times New Roman Char Char"/>
    <w:link w:val="1721"/>
    <w:qFormat/>
    <w:uiPriority w:val="0"/>
    <w:rPr>
      <w:rFonts w:ascii="黑体" w:hAnsi="黑体" w:eastAsia="黑体"/>
      <w:b/>
      <w:bCs/>
      <w:sz w:val="28"/>
      <w:szCs w:val="32"/>
    </w:rPr>
  </w:style>
  <w:style w:type="paragraph" w:customStyle="1" w:styleId="1721">
    <w:name w:val="样式 标题 2 + Times New Roman"/>
    <w:basedOn w:val="4"/>
    <w:link w:val="1720"/>
    <w:qFormat/>
    <w:uiPriority w:val="0"/>
    <w:pPr>
      <w:adjustRightInd w:val="0"/>
      <w:snapToGrid w:val="0"/>
      <w:spacing w:before="140" w:after="140" w:line="415" w:lineRule="auto"/>
    </w:pPr>
    <w:rPr>
      <w:rFonts w:ascii="黑体" w:hAnsi="黑体" w:eastAsia="黑体"/>
      <w:snapToGrid/>
      <w:kern w:val="0"/>
      <w:sz w:val="28"/>
    </w:rPr>
  </w:style>
  <w:style w:type="paragraph" w:customStyle="1" w:styleId="1722">
    <w:name w:val="样式 标题 2标题2节（节） + 左 段前: 6 磅 段后: 6 磅 行距: 单倍行距"/>
    <w:basedOn w:val="4"/>
    <w:qFormat/>
    <w:uiPriority w:val="0"/>
    <w:pPr>
      <w:keepNext w:val="0"/>
      <w:keepLines w:val="0"/>
      <w:widowControl/>
      <w:tabs>
        <w:tab w:val="left" w:pos="567"/>
      </w:tabs>
      <w:adjustRightInd w:val="0"/>
      <w:spacing w:before="120" w:after="120" w:line="360" w:lineRule="exact"/>
      <w:ind w:left="578" w:hanging="578"/>
      <w:jc w:val="left"/>
    </w:pPr>
    <w:rPr>
      <w:rFonts w:ascii="宋体" w:hAnsi="Times New Roman"/>
      <w:bCs w:val="0"/>
      <w:smallCaps/>
      <w:snapToGrid/>
      <w:sz w:val="24"/>
      <w:szCs w:val="20"/>
    </w:rPr>
  </w:style>
  <w:style w:type="character" w:customStyle="1" w:styleId="1723">
    <w:name w:val="我的正文文 Char"/>
    <w:link w:val="1724"/>
    <w:qFormat/>
    <w:uiPriority w:val="0"/>
    <w:rPr>
      <w:kern w:val="2"/>
      <w:sz w:val="24"/>
      <w:szCs w:val="24"/>
    </w:rPr>
  </w:style>
  <w:style w:type="paragraph" w:customStyle="1" w:styleId="1724">
    <w:name w:val="我的正文文"/>
    <w:basedOn w:val="1"/>
    <w:link w:val="1723"/>
    <w:qFormat/>
    <w:uiPriority w:val="0"/>
    <w:pPr>
      <w:spacing w:line="480" w:lineRule="exact"/>
      <w:ind w:firstLine="480" w:firstLineChars="200"/>
    </w:pPr>
    <w:rPr>
      <w:rFonts w:ascii="Times New Roman"/>
      <w:sz w:val="24"/>
      <w:szCs w:val="24"/>
    </w:rPr>
  </w:style>
  <w:style w:type="character" w:customStyle="1" w:styleId="1725">
    <w:name w:val="我的图表标题 Char"/>
    <w:link w:val="1726"/>
    <w:qFormat/>
    <w:uiPriority w:val="0"/>
    <w:rPr>
      <w:b/>
      <w:kern w:val="2"/>
      <w:sz w:val="24"/>
      <w:szCs w:val="24"/>
    </w:rPr>
  </w:style>
  <w:style w:type="paragraph" w:customStyle="1" w:styleId="1726">
    <w:name w:val="我的图表标题"/>
    <w:basedOn w:val="1724"/>
    <w:link w:val="1725"/>
    <w:qFormat/>
    <w:uiPriority w:val="0"/>
    <w:pPr>
      <w:ind w:firstLine="0" w:firstLineChars="0"/>
      <w:jc w:val="center"/>
    </w:pPr>
    <w:rPr>
      <w:b/>
    </w:rPr>
  </w:style>
  <w:style w:type="character" w:customStyle="1" w:styleId="1727">
    <w:name w:val="我的图 Char"/>
    <w:link w:val="1728"/>
    <w:qFormat/>
    <w:uiPriority w:val="0"/>
    <w:rPr>
      <w:rFonts w:ascii="宋体" w:hAnsi="宋体" w:cs="宋体"/>
      <w:color w:val="000000"/>
      <w:sz w:val="24"/>
      <w:szCs w:val="24"/>
    </w:rPr>
  </w:style>
  <w:style w:type="paragraph" w:customStyle="1" w:styleId="1728">
    <w:name w:val="我的图"/>
    <w:basedOn w:val="1724"/>
    <w:link w:val="1727"/>
    <w:qFormat/>
    <w:uiPriority w:val="0"/>
    <w:pPr>
      <w:spacing w:line="240" w:lineRule="exact"/>
      <w:ind w:firstLine="0" w:firstLineChars="0"/>
      <w:jc w:val="center"/>
    </w:pPr>
    <w:rPr>
      <w:rFonts w:ascii="宋体" w:hAnsi="宋体" w:cs="宋体"/>
      <w:color w:val="000000"/>
      <w:kern w:val="0"/>
    </w:rPr>
  </w:style>
  <w:style w:type="character" w:customStyle="1" w:styleId="1729">
    <w:name w:val="ae正文zzzzzzzz Char"/>
    <w:link w:val="1730"/>
    <w:qFormat/>
    <w:uiPriority w:val="0"/>
    <w:rPr>
      <w:rFonts w:ascii="宋体" w:hAnsi="宋体" w:cs="宋体"/>
      <w:kern w:val="2"/>
      <w:sz w:val="24"/>
    </w:rPr>
  </w:style>
  <w:style w:type="paragraph" w:customStyle="1" w:styleId="1730">
    <w:name w:val="ae正文zzzzzzzz"/>
    <w:basedOn w:val="1"/>
    <w:link w:val="1729"/>
    <w:qFormat/>
    <w:uiPriority w:val="0"/>
    <w:pPr>
      <w:spacing w:line="520" w:lineRule="exact"/>
      <w:ind w:firstLine="200" w:firstLineChars="200"/>
    </w:pPr>
    <w:rPr>
      <w:rFonts w:hAnsi="宋体" w:cs="宋体"/>
      <w:sz w:val="24"/>
      <w:szCs w:val="20"/>
    </w:rPr>
  </w:style>
  <w:style w:type="character" w:styleId="1731">
    <w:name w:val="Placeholder Text"/>
    <w:qFormat/>
    <w:uiPriority w:val="99"/>
    <w:rPr>
      <w:color w:val="808080"/>
    </w:rPr>
  </w:style>
  <w:style w:type="character" w:customStyle="1" w:styleId="1732">
    <w:name w:val="标题 3 Char1 Char Char"/>
    <w:qFormat/>
    <w:uiPriority w:val="0"/>
    <w:rPr>
      <w:rFonts w:hint="eastAsia" w:ascii="宋体" w:hAnsi="宋体" w:eastAsia="宋体"/>
      <w:b/>
      <w:bCs/>
      <w:kern w:val="2"/>
      <w:sz w:val="32"/>
      <w:szCs w:val="32"/>
      <w:lang w:val="en-US" w:eastAsia="zh-CN" w:bidi="ar-SA"/>
    </w:rPr>
  </w:style>
  <w:style w:type="character" w:customStyle="1" w:styleId="1733">
    <w:name w:val="hg21"/>
    <w:qFormat/>
    <w:uiPriority w:val="0"/>
    <w:rPr>
      <w:color w:val="000000"/>
      <w:sz w:val="28"/>
      <w:szCs w:val="28"/>
    </w:rPr>
  </w:style>
  <w:style w:type="character" w:customStyle="1" w:styleId="1734">
    <w:name w:val="样式 正文文本正文文字 + 仿宋_GB2312 四号 红色 Char"/>
    <w:qFormat/>
    <w:uiPriority w:val="0"/>
    <w:rPr>
      <w:rFonts w:hint="eastAsia" w:ascii="仿宋_GB2312" w:hAnsi="仿宋_GB2312" w:eastAsia="仿宋_GB2312"/>
      <w:snapToGrid/>
      <w:color w:val="FF0000"/>
      <w:kern w:val="2"/>
      <w:sz w:val="24"/>
      <w:lang w:val="en-US" w:eastAsia="zh-CN"/>
    </w:rPr>
  </w:style>
  <w:style w:type="character" w:customStyle="1" w:styleId="1735">
    <w:name w:val="Char Char4"/>
    <w:qFormat/>
    <w:uiPriority w:val="0"/>
    <w:rPr>
      <w:rFonts w:hint="eastAsia" w:ascii="宋体" w:hAnsi="宋体" w:eastAsia="宋体"/>
      <w:kern w:val="2"/>
      <w:sz w:val="21"/>
      <w:lang w:val="en-US" w:eastAsia="zh-CN" w:bidi="ar-SA"/>
    </w:rPr>
  </w:style>
  <w:style w:type="character" w:customStyle="1" w:styleId="1736">
    <w:name w:val="small_12px1"/>
    <w:qFormat/>
    <w:uiPriority w:val="0"/>
    <w:rPr>
      <w:rFonts w:hint="default" w:ascii="Verdana" w:hAnsi="Verdana"/>
      <w:sz w:val="18"/>
      <w:szCs w:val="18"/>
    </w:rPr>
  </w:style>
  <w:style w:type="character" w:customStyle="1" w:styleId="1737">
    <w:name w:val="14bv11"/>
    <w:qFormat/>
    <w:uiPriority w:val="0"/>
    <w:rPr>
      <w:b/>
      <w:color w:val="6595D6"/>
      <w:sz w:val="21"/>
      <w:u w:val="none"/>
    </w:rPr>
  </w:style>
  <w:style w:type="character" w:customStyle="1" w:styleId="1738">
    <w:name w:val="Char Char Char"/>
    <w:qFormat/>
    <w:uiPriority w:val="0"/>
    <w:rPr>
      <w:rFonts w:hint="eastAsia" w:ascii="宋体" w:hAnsi="Arial" w:eastAsia="宋体"/>
      <w:b/>
      <w:bCs/>
      <w:kern w:val="44"/>
      <w:sz w:val="30"/>
      <w:lang w:val="en-US" w:eastAsia="zh-CN" w:bidi="ar-SA"/>
    </w:rPr>
  </w:style>
  <w:style w:type="character" w:customStyle="1" w:styleId="1739">
    <w:name w:val="even Char1"/>
    <w:qFormat/>
    <w:uiPriority w:val="0"/>
    <w:rPr>
      <w:rFonts w:hint="eastAsia" w:ascii="宋体" w:hAnsi="宋体" w:eastAsia="宋体"/>
      <w:kern w:val="2"/>
      <w:sz w:val="18"/>
      <w:szCs w:val="18"/>
      <w:lang w:val="en-US" w:eastAsia="zh-CN" w:bidi="ar-SA"/>
    </w:rPr>
  </w:style>
  <w:style w:type="character" w:customStyle="1" w:styleId="1740">
    <w:name w:val="tpc_content1"/>
    <w:qFormat/>
    <w:uiPriority w:val="0"/>
    <w:rPr>
      <w:sz w:val="18"/>
      <w:szCs w:val="18"/>
    </w:rPr>
  </w:style>
  <w:style w:type="character" w:customStyle="1" w:styleId="1741">
    <w:name w:val="0031"/>
    <w:qFormat/>
    <w:uiPriority w:val="0"/>
    <w:rPr>
      <w:sz w:val="21"/>
      <w:szCs w:val="21"/>
    </w:rPr>
  </w:style>
  <w:style w:type="character" w:customStyle="1" w:styleId="1742">
    <w:name w:val="hei141"/>
    <w:qFormat/>
    <w:uiPriority w:val="0"/>
    <w:rPr>
      <w:color w:val="000000"/>
      <w:sz w:val="21"/>
      <w:szCs w:val="21"/>
    </w:rPr>
  </w:style>
  <w:style w:type="character" w:customStyle="1" w:styleId="1743">
    <w:name w:val="mn_school"/>
    <w:basedOn w:val="129"/>
    <w:qFormat/>
    <w:uiPriority w:val="0"/>
  </w:style>
  <w:style w:type="character" w:customStyle="1" w:styleId="1744">
    <w:name w:val="content_normal_bold_title1"/>
    <w:qFormat/>
    <w:uiPriority w:val="0"/>
    <w:rPr>
      <w:rFonts w:hint="default" w:ascii="Arial" w:hAnsi="Arial" w:eastAsia="宋体" w:cs="Arial"/>
      <w:b/>
      <w:bCs/>
      <w:color w:val="000000"/>
      <w:sz w:val="36"/>
      <w:szCs w:val="36"/>
      <w:u w:val="none"/>
    </w:rPr>
  </w:style>
  <w:style w:type="character" w:customStyle="1" w:styleId="1745">
    <w:name w:val="p4"/>
    <w:basedOn w:val="129"/>
    <w:qFormat/>
    <w:uiPriority w:val="0"/>
  </w:style>
  <w:style w:type="character" w:customStyle="1" w:styleId="1746">
    <w:name w:val="Char Char1"/>
    <w:qFormat/>
    <w:uiPriority w:val="0"/>
    <w:rPr>
      <w:rFonts w:hint="default" w:ascii="Arial" w:hAnsi="Arial" w:cs="Arial"/>
      <w:sz w:val="24"/>
      <w:szCs w:val="24"/>
    </w:rPr>
  </w:style>
  <w:style w:type="character" w:customStyle="1" w:styleId="1747">
    <w:name w:val="要点1"/>
    <w:qFormat/>
    <w:uiPriority w:val="0"/>
    <w:rPr>
      <w:b/>
    </w:rPr>
  </w:style>
  <w:style w:type="character" w:customStyle="1" w:styleId="1748">
    <w:name w:val="Char Char19"/>
    <w:qFormat/>
    <w:uiPriority w:val="0"/>
    <w:rPr>
      <w:rFonts w:hint="default" w:ascii="Arial" w:hAnsi="Arial" w:eastAsia="黑体" w:cs="Arial"/>
      <w:b/>
      <w:sz w:val="24"/>
      <w:lang w:val="en-US" w:eastAsia="zh-CN" w:bidi="ar-SA"/>
    </w:rPr>
  </w:style>
  <w:style w:type="character" w:customStyle="1" w:styleId="1749">
    <w:name w:val="表 Char1"/>
    <w:qFormat/>
    <w:uiPriority w:val="0"/>
    <w:rPr>
      <w:rFonts w:hint="eastAsia" w:ascii="仿宋_GB2312" w:eastAsia="仿宋_GB2312"/>
      <w:color w:val="FF0000"/>
      <w:kern w:val="2"/>
      <w:sz w:val="21"/>
      <w:lang w:val="en-US" w:eastAsia="zh-CN"/>
    </w:rPr>
  </w:style>
  <w:style w:type="character" w:customStyle="1" w:styleId="1750">
    <w:name w:val="Char Char7"/>
    <w:qFormat/>
    <w:uiPriority w:val="0"/>
    <w:rPr>
      <w:rFonts w:hint="eastAsia" w:ascii="宋体" w:hAnsi="宋体" w:eastAsia="宋体" w:cs="Arial"/>
      <w:kern w:val="2"/>
      <w:sz w:val="24"/>
      <w:lang w:val="en-US" w:eastAsia="zh-CN" w:bidi="ar-SA"/>
    </w:rPr>
  </w:style>
  <w:style w:type="character" w:customStyle="1" w:styleId="1751">
    <w:name w:val="td71"/>
    <w:qFormat/>
    <w:uiPriority w:val="0"/>
    <w:rPr>
      <w:color w:val="3B3B3B"/>
      <w:sz w:val="21"/>
      <w:szCs w:val="21"/>
    </w:rPr>
  </w:style>
  <w:style w:type="character" w:customStyle="1" w:styleId="1752">
    <w:name w:val="Char Char17"/>
    <w:qFormat/>
    <w:uiPriority w:val="0"/>
    <w:rPr>
      <w:rFonts w:hint="default" w:ascii="Arial" w:hAnsi="Arial" w:eastAsia="黑体" w:cs="Arial"/>
      <w:kern w:val="2"/>
      <w:sz w:val="24"/>
      <w:lang w:val="en-US" w:eastAsia="zh-CN" w:bidi="ar-SA"/>
    </w:rPr>
  </w:style>
  <w:style w:type="character" w:customStyle="1" w:styleId="1753">
    <w:name w:val="jiu"/>
    <w:basedOn w:val="129"/>
    <w:qFormat/>
    <w:uiPriority w:val="0"/>
  </w:style>
  <w:style w:type="character" w:customStyle="1" w:styleId="1754">
    <w:name w:val="表粗 Char Char"/>
    <w:qFormat/>
    <w:uiPriority w:val="0"/>
    <w:rPr>
      <w:rFonts w:hint="default" w:ascii="Arial" w:hAnsi="Arial" w:eastAsia="仿宋_GB2312" w:cs="Arial"/>
      <w:b/>
      <w:kern w:val="2"/>
      <w:sz w:val="21"/>
      <w:lang w:val="en-US" w:eastAsia="zh-CN"/>
    </w:rPr>
  </w:style>
  <w:style w:type="character" w:customStyle="1" w:styleId="1755">
    <w:name w:val="章标题 Char Char"/>
    <w:qFormat/>
    <w:uiPriority w:val="0"/>
    <w:rPr>
      <w:rFonts w:hint="eastAsia" w:ascii="宋体" w:hAnsi="宋体" w:eastAsia="宋体"/>
      <w:b/>
      <w:bCs/>
      <w:kern w:val="44"/>
      <w:sz w:val="44"/>
      <w:szCs w:val="44"/>
      <w:lang w:val="en-US" w:eastAsia="zh-CN" w:bidi="ar-SA"/>
    </w:rPr>
  </w:style>
  <w:style w:type="character" w:customStyle="1" w:styleId="1756">
    <w:name w:val="search_content1"/>
    <w:qFormat/>
    <w:uiPriority w:val="0"/>
    <w:rPr>
      <w:sz w:val="24"/>
      <w:szCs w:val="24"/>
    </w:rPr>
  </w:style>
  <w:style w:type="character" w:customStyle="1" w:styleId="1757">
    <w:name w:val="s1"/>
    <w:qFormat/>
    <w:uiPriority w:val="0"/>
    <w:rPr>
      <w:sz w:val="18"/>
      <w:szCs w:val="18"/>
    </w:rPr>
  </w:style>
  <w:style w:type="character" w:customStyle="1" w:styleId="1758">
    <w:name w:val="标题 2 Char Char Char Char Char2"/>
    <w:qFormat/>
    <w:uiPriority w:val="0"/>
    <w:rPr>
      <w:rFonts w:hint="default" w:ascii="Arial" w:hAnsi="Arial" w:eastAsia="宋体" w:cs="Arial"/>
      <w:b/>
      <w:snapToGrid/>
      <w:sz w:val="32"/>
      <w:szCs w:val="32"/>
      <w:lang w:val="en-US" w:eastAsia="zh-CN" w:bidi="ar-SA"/>
    </w:rPr>
  </w:style>
  <w:style w:type="character" w:customStyle="1" w:styleId="1759">
    <w:name w:val="正文文本缩进 Char Char"/>
    <w:link w:val="1760"/>
    <w:qFormat/>
    <w:uiPriority w:val="0"/>
    <w:rPr>
      <w:rFonts w:hint="eastAsia" w:ascii="宋体" w:hAnsi="宋体" w:eastAsia="宋体"/>
      <w:color w:val="000000"/>
      <w:kern w:val="2"/>
      <w:sz w:val="21"/>
      <w:szCs w:val="21"/>
      <w:lang w:val="zh-CN" w:eastAsia="zh-CN" w:bidi="ar-SA"/>
    </w:rPr>
  </w:style>
  <w:style w:type="paragraph" w:customStyle="1" w:styleId="1760">
    <w:name w:val="Body Text Indent1"/>
    <w:basedOn w:val="1"/>
    <w:link w:val="1759"/>
    <w:qFormat/>
    <w:uiPriority w:val="0"/>
    <w:pPr>
      <w:spacing w:beforeLines="50" w:afterLines="50" w:line="440" w:lineRule="exact"/>
      <w:ind w:left="420" w:leftChars="200" w:firstLine="480" w:firstLineChars="200"/>
    </w:pPr>
    <w:rPr>
      <w:rFonts w:hint="eastAsia" w:hAnsi="宋体"/>
      <w:color w:val="000000"/>
      <w:sz w:val="21"/>
      <w:szCs w:val="21"/>
      <w:lang w:val="zh-CN"/>
    </w:rPr>
  </w:style>
  <w:style w:type="character" w:customStyle="1" w:styleId="1761">
    <w:name w:val="注释标题 Char1"/>
    <w:basedOn w:val="129"/>
    <w:semiHidden/>
    <w:qFormat/>
    <w:uiPriority w:val="99"/>
    <w:rPr>
      <w:rFonts w:ascii="宋体"/>
      <w:kern w:val="2"/>
      <w:sz w:val="25"/>
      <w:szCs w:val="25"/>
    </w:rPr>
  </w:style>
  <w:style w:type="character" w:customStyle="1" w:styleId="1762">
    <w:name w:val="kait"/>
    <w:basedOn w:val="129"/>
    <w:qFormat/>
    <w:uiPriority w:val="0"/>
  </w:style>
  <w:style w:type="character" w:customStyle="1" w:styleId="1763">
    <w:name w:val="Char Char6"/>
    <w:qFormat/>
    <w:uiPriority w:val="0"/>
    <w:rPr>
      <w:rFonts w:hint="eastAsia" w:ascii="宋体" w:hAnsi="宋体" w:eastAsia="宋体"/>
      <w:kern w:val="2"/>
      <w:sz w:val="24"/>
      <w:lang w:val="en-US" w:eastAsia="zh-CN" w:bidi="ar-SA"/>
    </w:rPr>
  </w:style>
  <w:style w:type="character" w:customStyle="1" w:styleId="1764">
    <w:name w:val="题注 Char1 Char1"/>
    <w:qFormat/>
    <w:uiPriority w:val="0"/>
    <w:rPr>
      <w:rFonts w:hint="eastAsia" w:ascii="宋体" w:hAnsi="宋体" w:eastAsia="宋体"/>
      <w:kern w:val="2"/>
      <w:sz w:val="24"/>
      <w:lang w:val="en-US" w:eastAsia="zh-CN" w:bidi="ar-SA"/>
    </w:rPr>
  </w:style>
  <w:style w:type="character" w:customStyle="1" w:styleId="1765">
    <w:name w:val="超链接1"/>
    <w:qFormat/>
    <w:uiPriority w:val="0"/>
    <w:rPr>
      <w:rFonts w:hint="default"/>
      <w:color w:val="auto"/>
      <w:sz w:val="18"/>
      <w:u w:val="none"/>
    </w:rPr>
  </w:style>
  <w:style w:type="character" w:customStyle="1" w:styleId="1766">
    <w:name w:val="Char Char13"/>
    <w:qFormat/>
    <w:uiPriority w:val="0"/>
    <w:rPr>
      <w:rFonts w:hint="eastAsia" w:ascii="宋体" w:hAnsi="宋体" w:eastAsia="宋体"/>
      <w:sz w:val="24"/>
      <w:lang w:val="en-US" w:eastAsia="zh-CN"/>
    </w:rPr>
  </w:style>
  <w:style w:type="character" w:customStyle="1" w:styleId="1767">
    <w:name w:val="style11"/>
    <w:qFormat/>
    <w:uiPriority w:val="0"/>
    <w:rPr>
      <w:color w:val="FF0000"/>
    </w:rPr>
  </w:style>
  <w:style w:type="character" w:customStyle="1" w:styleId="1768">
    <w:name w:val="tit"/>
    <w:basedOn w:val="129"/>
    <w:qFormat/>
    <w:uiPriority w:val="0"/>
  </w:style>
  <w:style w:type="character" w:customStyle="1" w:styleId="1769">
    <w:name w:val="Char Char21"/>
    <w:qFormat/>
    <w:uiPriority w:val="0"/>
    <w:rPr>
      <w:rFonts w:hint="eastAsia" w:ascii="宋体" w:hAnsi="宋体" w:eastAsia="宋体"/>
      <w:sz w:val="28"/>
      <w:lang w:val="en-US" w:eastAsia="zh-CN" w:bidi="ar-SA"/>
    </w:rPr>
  </w:style>
  <w:style w:type="character" w:customStyle="1" w:styleId="1770">
    <w:name w:val="访问过的超链接1"/>
    <w:qFormat/>
    <w:uiPriority w:val="0"/>
    <w:rPr>
      <w:color w:val="800080"/>
      <w:u w:val="single"/>
    </w:rPr>
  </w:style>
  <w:style w:type="character" w:customStyle="1" w:styleId="1771">
    <w:name w:val="样式2 Char1"/>
    <w:qFormat/>
    <w:uiPriority w:val="0"/>
    <w:rPr>
      <w:rFonts w:hint="default" w:ascii="Arial" w:hAnsi="Arial" w:eastAsia="宋体" w:cs="Arial"/>
      <w:kern w:val="2"/>
      <w:sz w:val="24"/>
      <w:lang w:val="en-US" w:eastAsia="zh-CN" w:bidi="ar-SA"/>
    </w:rPr>
  </w:style>
  <w:style w:type="character" w:customStyle="1" w:styleId="1772">
    <w:name w:val="标题 4(G) Char1"/>
    <w:qFormat/>
    <w:uiPriority w:val="0"/>
    <w:rPr>
      <w:rFonts w:hint="default" w:ascii="Arial" w:hAnsi="Arial" w:eastAsia="黑体" w:cs="Arial"/>
      <w:b/>
      <w:bCs/>
      <w:kern w:val="2"/>
      <w:sz w:val="28"/>
      <w:szCs w:val="28"/>
    </w:rPr>
  </w:style>
  <w:style w:type="character" w:customStyle="1" w:styleId="1773">
    <w:name w:val="样式11 Char"/>
    <w:qFormat/>
    <w:uiPriority w:val="0"/>
    <w:rPr>
      <w:rFonts w:hint="eastAsia" w:ascii="宋体" w:hAnsi="宋体" w:eastAsia="宋体"/>
      <w:kern w:val="2"/>
      <w:sz w:val="28"/>
      <w:szCs w:val="28"/>
      <w:lang w:val="en-US" w:eastAsia="zh-CN" w:bidi="ar-SA"/>
    </w:rPr>
  </w:style>
  <w:style w:type="character" w:customStyle="1" w:styleId="1774">
    <w:name w:val="正文文本缩进 3 Char Char Char"/>
    <w:qFormat/>
    <w:uiPriority w:val="0"/>
    <w:rPr>
      <w:rFonts w:hint="eastAsia" w:ascii="宋体" w:hAnsi="宋体" w:eastAsia="宋体"/>
      <w:kern w:val="2"/>
      <w:sz w:val="16"/>
      <w:lang w:val="en-US" w:eastAsia="zh-CN"/>
    </w:rPr>
  </w:style>
  <w:style w:type="character" w:customStyle="1" w:styleId="1775">
    <w:name w:val="Body Text Indent 3 Char Char"/>
    <w:qFormat/>
    <w:uiPriority w:val="0"/>
    <w:rPr>
      <w:rFonts w:hint="eastAsia" w:ascii="宋体" w:hAnsi="宋体" w:eastAsia="宋体"/>
      <w:kern w:val="2"/>
      <w:sz w:val="16"/>
      <w:szCs w:val="16"/>
      <w:lang w:val="en-US" w:eastAsia="zh-CN" w:bidi="ar-SA"/>
    </w:rPr>
  </w:style>
  <w:style w:type="character" w:customStyle="1" w:styleId="1776">
    <w:name w:val="二 Char Char Char Char"/>
    <w:qFormat/>
    <w:uiPriority w:val="0"/>
    <w:rPr>
      <w:rFonts w:hint="eastAsia" w:ascii="黑体" w:hAnsi="黑体" w:eastAsia="黑体"/>
      <w:b/>
      <w:kern w:val="2"/>
      <w:sz w:val="24"/>
      <w:lang w:val="en-US" w:eastAsia="zh-CN"/>
    </w:rPr>
  </w:style>
  <w:style w:type="character" w:customStyle="1" w:styleId="1777">
    <w:name w:val="引用文章 Char Char"/>
    <w:qFormat/>
    <w:uiPriority w:val="0"/>
    <w:rPr>
      <w:rFonts w:hint="eastAsia" w:ascii="楷体_GB2312" w:eastAsia="楷体_GB2312" w:cs="宋体"/>
      <w:kern w:val="2"/>
      <w:sz w:val="24"/>
      <w:lang w:val="en-US" w:eastAsia="zh-CN" w:bidi="ar-SA"/>
    </w:rPr>
  </w:style>
  <w:style w:type="character" w:customStyle="1" w:styleId="1778">
    <w:name w:val="text3_blu"/>
    <w:basedOn w:val="129"/>
    <w:qFormat/>
    <w:uiPriority w:val="0"/>
  </w:style>
  <w:style w:type="character" w:customStyle="1" w:styleId="1779">
    <w:name w:val="style21 style24"/>
    <w:basedOn w:val="129"/>
    <w:qFormat/>
    <w:uiPriority w:val="0"/>
  </w:style>
  <w:style w:type="character" w:customStyle="1" w:styleId="1780">
    <w:name w:val="p1481"/>
    <w:qFormat/>
    <w:uiPriority w:val="0"/>
    <w:rPr>
      <w:color w:val="515151"/>
      <w:sz w:val="22"/>
      <w:szCs w:val="22"/>
    </w:rPr>
  </w:style>
  <w:style w:type="character" w:customStyle="1" w:styleId="1781">
    <w:name w:val="占位符文本2"/>
    <w:qFormat/>
    <w:uiPriority w:val="0"/>
    <w:rPr>
      <w:color w:val="808080"/>
    </w:rPr>
  </w:style>
  <w:style w:type="character" w:customStyle="1" w:styleId="1782">
    <w:name w:val="Char Char15"/>
    <w:qFormat/>
    <w:uiPriority w:val="0"/>
    <w:rPr>
      <w:rFonts w:hint="default" w:ascii="Arial" w:hAnsi="Arial" w:eastAsia="宋体" w:cs="Arial"/>
      <w:kern w:val="24"/>
      <w:sz w:val="24"/>
    </w:rPr>
  </w:style>
  <w:style w:type="character" w:customStyle="1" w:styleId="1783">
    <w:name w:val="text3_blu1"/>
    <w:qFormat/>
    <w:uiPriority w:val="0"/>
    <w:rPr>
      <w:rFonts w:hint="default" w:ascii="Arial" w:hAnsi="Arial" w:cs="Arial"/>
      <w:color w:val="000066"/>
      <w:spacing w:val="24"/>
      <w:sz w:val="20"/>
      <w:szCs w:val="20"/>
    </w:rPr>
  </w:style>
  <w:style w:type="character" w:customStyle="1" w:styleId="1784">
    <w:name w:val="line11"/>
    <w:qFormat/>
    <w:uiPriority w:val="0"/>
    <w:rPr>
      <w:color w:val="993333"/>
    </w:rPr>
  </w:style>
  <w:style w:type="character" w:customStyle="1" w:styleId="1785">
    <w:name w:val="Char Char431"/>
    <w:qFormat/>
    <w:uiPriority w:val="0"/>
    <w:rPr>
      <w:rFonts w:hint="eastAsia" w:ascii="宋体" w:hAnsi="宋体" w:eastAsia="宋体"/>
      <w:sz w:val="18"/>
    </w:rPr>
  </w:style>
  <w:style w:type="character" w:customStyle="1" w:styleId="1786">
    <w:name w:val="style14"/>
    <w:basedOn w:val="129"/>
    <w:qFormat/>
    <w:uiPriority w:val="0"/>
  </w:style>
  <w:style w:type="character" w:customStyle="1" w:styleId="1787">
    <w:name w:val="p11"/>
    <w:qFormat/>
    <w:uiPriority w:val="0"/>
    <w:rPr>
      <w:color w:val="666666"/>
      <w:sz w:val="18"/>
      <w:szCs w:val="18"/>
    </w:rPr>
  </w:style>
  <w:style w:type="character" w:customStyle="1" w:styleId="1788">
    <w:name w:val="Char Char10"/>
    <w:qFormat/>
    <w:uiPriority w:val="0"/>
    <w:rPr>
      <w:rFonts w:hint="eastAsia" w:ascii="宋体" w:hAnsi="宋体" w:eastAsia="宋体"/>
      <w:kern w:val="2"/>
      <w:sz w:val="21"/>
      <w:lang w:val="en-US" w:eastAsia="zh-CN" w:bidi="ar-SA"/>
    </w:rPr>
  </w:style>
  <w:style w:type="character" w:customStyle="1" w:styleId="1789">
    <w:name w:val="批注引用1"/>
    <w:qFormat/>
    <w:uiPriority w:val="0"/>
    <w:rPr>
      <w:sz w:val="21"/>
      <w:szCs w:val="21"/>
    </w:rPr>
  </w:style>
  <w:style w:type="character" w:customStyle="1" w:styleId="1790">
    <w:name w:val="title011"/>
    <w:qFormat/>
    <w:uiPriority w:val="0"/>
    <w:rPr>
      <w:rFonts w:hint="eastAsia" w:ascii="宋体" w:hAnsi="宋体" w:eastAsia="宋体"/>
      <w:kern w:val="2"/>
      <w:sz w:val="38"/>
      <w:u w:val="none"/>
      <w:lang w:val="en-US" w:eastAsia="zh-CN"/>
    </w:rPr>
  </w:style>
  <w:style w:type="character" w:customStyle="1" w:styleId="1791">
    <w:name w:val="Char Char14"/>
    <w:qFormat/>
    <w:uiPriority w:val="0"/>
    <w:rPr>
      <w:rFonts w:hint="eastAsia" w:ascii="宋体" w:hAnsi="宋体" w:eastAsia="宋体"/>
      <w:kern w:val="2"/>
      <w:sz w:val="24"/>
      <w:lang w:val="en-US" w:eastAsia="zh-CN" w:bidi="ar-SA"/>
    </w:rPr>
  </w:style>
  <w:style w:type="character" w:customStyle="1" w:styleId="1792">
    <w:name w:val="title-blue1"/>
    <w:qFormat/>
    <w:uiPriority w:val="0"/>
    <w:rPr>
      <w:rFonts w:hint="default" w:ascii="Verdana" w:hAnsi="Verdana"/>
      <w:b/>
      <w:bCs/>
      <w:color w:val="CC3300"/>
      <w:sz w:val="21"/>
      <w:szCs w:val="21"/>
      <w:u w:val="none"/>
    </w:rPr>
  </w:style>
  <w:style w:type="character" w:customStyle="1" w:styleId="1793">
    <w:name w:val="content3"/>
    <w:basedOn w:val="129"/>
    <w:qFormat/>
    <w:uiPriority w:val="0"/>
  </w:style>
  <w:style w:type="character" w:customStyle="1" w:styleId="1794">
    <w:name w:val="样式 小四 Char Char"/>
    <w:qFormat/>
    <w:uiPriority w:val="0"/>
    <w:rPr>
      <w:rFonts w:hint="eastAsia" w:ascii="宋体" w:hAnsi="宋体" w:eastAsia="宋体"/>
      <w:sz w:val="24"/>
      <w:szCs w:val="21"/>
      <w:lang w:val="en-US" w:eastAsia="zh-CN" w:bidi="ar-SA"/>
    </w:rPr>
  </w:style>
  <w:style w:type="character" w:customStyle="1" w:styleId="1795">
    <w:name w:val="样式 正文文本缩进 2正文文字缩进 2 + 四号 蓝色 Char Char Char Char Char"/>
    <w:qFormat/>
    <w:uiPriority w:val="0"/>
    <w:rPr>
      <w:rFonts w:hint="eastAsia" w:ascii="宋体" w:hAnsi="宋体" w:eastAsia="宋体"/>
      <w:color w:val="0000FF"/>
      <w:sz w:val="24"/>
      <w:szCs w:val="24"/>
      <w:lang w:val="en-US" w:eastAsia="zh-CN" w:bidi="ar-SA"/>
    </w:rPr>
  </w:style>
  <w:style w:type="character" w:customStyle="1" w:styleId="1796">
    <w:name w:val="标题 3 Char1 Char Char1"/>
    <w:qFormat/>
    <w:uiPriority w:val="0"/>
    <w:rPr>
      <w:rFonts w:hint="eastAsia" w:ascii="宋体" w:hAnsi="宋体" w:eastAsia="宋体"/>
      <w:b/>
      <w:bCs/>
      <w:kern w:val="2"/>
      <w:sz w:val="32"/>
      <w:szCs w:val="32"/>
      <w:lang w:val="en-US" w:eastAsia="zh-CN" w:bidi="ar-SA"/>
    </w:rPr>
  </w:style>
  <w:style w:type="character" w:customStyle="1" w:styleId="1797">
    <w:name w:val="heading1"/>
    <w:qFormat/>
    <w:uiPriority w:val="0"/>
    <w:rPr>
      <w:rFonts w:hint="default" w:ascii="ӗԲ" w:hAnsi="ӗԲ"/>
      <w:b/>
      <w:i/>
      <w:color w:val="000000"/>
      <w:sz w:val="32"/>
    </w:rPr>
  </w:style>
  <w:style w:type="character" w:customStyle="1" w:styleId="1798">
    <w:name w:val="content1"/>
    <w:qFormat/>
    <w:uiPriority w:val="0"/>
    <w:rPr>
      <w:rFonts w:hint="eastAsia" w:ascii="宋体" w:hAnsi="宋体" w:eastAsia="宋体"/>
      <w:color w:val="333333"/>
      <w:sz w:val="21"/>
      <w:szCs w:val="21"/>
    </w:rPr>
  </w:style>
  <w:style w:type="character" w:customStyle="1" w:styleId="1799">
    <w:name w:val="超链接11"/>
    <w:qFormat/>
    <w:uiPriority w:val="0"/>
    <w:rPr>
      <w:color w:val="auto"/>
      <w:sz w:val="18"/>
      <w:u w:val="none"/>
    </w:rPr>
  </w:style>
  <w:style w:type="character" w:customStyle="1" w:styleId="1800">
    <w:name w:val="1.标题 1 Char Char"/>
    <w:qFormat/>
    <w:uiPriority w:val="0"/>
    <w:rPr>
      <w:rFonts w:hint="eastAsia" w:ascii="黑体" w:hAnsi="黑体" w:eastAsia="黑体"/>
      <w:b/>
      <w:kern w:val="44"/>
      <w:sz w:val="28"/>
      <w:lang w:val="en-US" w:eastAsia="zh-CN"/>
    </w:rPr>
  </w:style>
  <w:style w:type="character" w:customStyle="1" w:styleId="1801">
    <w:name w:val="Char Char2"/>
    <w:qFormat/>
    <w:uiPriority w:val="0"/>
    <w:rPr>
      <w:rFonts w:hint="eastAsia" w:ascii="宋体" w:hAnsi="Arial" w:eastAsia="宋体" w:cs="Arial"/>
      <w:kern w:val="2"/>
      <w:sz w:val="21"/>
      <w:lang w:val="en-US" w:eastAsia="zh-CN" w:bidi="ar-SA"/>
    </w:rPr>
  </w:style>
  <w:style w:type="character" w:customStyle="1" w:styleId="1802">
    <w:name w:val="even Char"/>
    <w:qFormat/>
    <w:uiPriority w:val="0"/>
    <w:rPr>
      <w:rFonts w:hint="eastAsia" w:ascii="宋体" w:hAnsi="宋体" w:eastAsia="宋体"/>
      <w:kern w:val="2"/>
      <w:sz w:val="18"/>
      <w:szCs w:val="18"/>
      <w:lang w:val="en-US" w:eastAsia="zh-CN" w:bidi="ar-SA"/>
    </w:rPr>
  </w:style>
  <w:style w:type="character" w:customStyle="1" w:styleId="1803">
    <w:name w:val="要点11"/>
    <w:qFormat/>
    <w:uiPriority w:val="0"/>
    <w:rPr>
      <w:b/>
    </w:rPr>
  </w:style>
  <w:style w:type="character" w:customStyle="1" w:styleId="1804">
    <w:name w:val="题注 Char1 Char"/>
    <w:qFormat/>
    <w:uiPriority w:val="0"/>
    <w:rPr>
      <w:rFonts w:hint="default" w:ascii="Arial" w:hAnsi="Arial" w:eastAsia="黑体" w:cs="Arial"/>
      <w:kern w:val="2"/>
      <w:lang w:val="en-US" w:eastAsia="zh-CN" w:bidi="ar-SA"/>
    </w:rPr>
  </w:style>
  <w:style w:type="character" w:customStyle="1" w:styleId="1805">
    <w:name w:val="右 Char Char Char1"/>
    <w:qFormat/>
    <w:uiPriority w:val="0"/>
    <w:rPr>
      <w:rFonts w:hint="eastAsia" w:ascii="宋体" w:hAnsi="宋体" w:eastAsia="宋体"/>
      <w:kern w:val="2"/>
      <w:sz w:val="18"/>
      <w:lang w:val="en-US" w:eastAsia="zh-CN" w:bidi="ar-SA"/>
    </w:rPr>
  </w:style>
  <w:style w:type="character" w:customStyle="1" w:styleId="1806">
    <w:name w:val="链接"/>
    <w:qFormat/>
    <w:uiPriority w:val="0"/>
    <w:rPr>
      <w:color w:val="0000FF"/>
      <w:u w:val="single" w:color="0000FF"/>
    </w:rPr>
  </w:style>
  <w:style w:type="character" w:customStyle="1" w:styleId="1807">
    <w:name w:val="报告正文 Char Char Char"/>
    <w:qFormat/>
    <w:uiPriority w:val="0"/>
    <w:rPr>
      <w:rFonts w:hint="eastAsia" w:ascii="宋体" w:hAnsi="宋体" w:eastAsia="宋体"/>
      <w:kern w:val="2"/>
      <w:sz w:val="24"/>
      <w:szCs w:val="24"/>
      <w:lang w:val="en-US" w:eastAsia="zh-CN" w:bidi="ar-SA"/>
    </w:rPr>
  </w:style>
  <w:style w:type="character" w:customStyle="1" w:styleId="1808">
    <w:name w:val="m2  style8"/>
    <w:basedOn w:val="129"/>
    <w:qFormat/>
    <w:uiPriority w:val="0"/>
  </w:style>
  <w:style w:type="character" w:customStyle="1" w:styleId="1809">
    <w:name w:val="标题-2 Char Char"/>
    <w:qFormat/>
    <w:uiPriority w:val="0"/>
    <w:rPr>
      <w:rFonts w:hint="default" w:ascii="Arial" w:hAnsi="Arial" w:eastAsia="黑体" w:cs="Arial"/>
      <w:b/>
      <w:kern w:val="2"/>
      <w:sz w:val="32"/>
      <w:lang w:val="en-US" w:eastAsia="zh-CN" w:bidi="ar-SA"/>
    </w:rPr>
  </w:style>
  <w:style w:type="character" w:customStyle="1" w:styleId="1810">
    <w:name w:val="char"/>
    <w:basedOn w:val="129"/>
    <w:qFormat/>
    <w:uiPriority w:val="0"/>
  </w:style>
  <w:style w:type="character" w:customStyle="1" w:styleId="1811">
    <w:name w:val="正文 Char Char"/>
    <w:qFormat/>
    <w:uiPriority w:val="0"/>
    <w:rPr>
      <w:rFonts w:hint="eastAsia" w:ascii="宋体" w:hAnsi="宋体" w:eastAsia="宋体"/>
      <w:kern w:val="2"/>
      <w:sz w:val="24"/>
      <w:lang w:val="en-US" w:eastAsia="zh-CN"/>
    </w:rPr>
  </w:style>
  <w:style w:type="character" w:customStyle="1" w:styleId="1812">
    <w:name w:val="style281"/>
    <w:qFormat/>
    <w:uiPriority w:val="0"/>
    <w:rPr>
      <w:rFonts w:hint="eastAsia" w:ascii="新宋体" w:hAnsi="新宋体" w:eastAsia="新宋体"/>
    </w:rPr>
  </w:style>
  <w:style w:type="character" w:customStyle="1" w:styleId="1813">
    <w:name w:val="Char Char18"/>
    <w:qFormat/>
    <w:uiPriority w:val="0"/>
    <w:rPr>
      <w:rFonts w:hint="eastAsia" w:ascii="宋体" w:hAnsi="宋体" w:eastAsia="宋体"/>
      <w:b/>
      <w:kern w:val="2"/>
      <w:sz w:val="24"/>
      <w:lang w:val="en-US" w:eastAsia="zh-CN" w:bidi="ar-SA"/>
    </w:rPr>
  </w:style>
  <w:style w:type="character" w:customStyle="1" w:styleId="1814">
    <w:name w:val="未命名51"/>
    <w:qFormat/>
    <w:uiPriority w:val="0"/>
    <w:rPr>
      <w:sz w:val="23"/>
    </w:rPr>
  </w:style>
  <w:style w:type="character" w:customStyle="1" w:styleId="1815">
    <w:name w:val="Font Style38"/>
    <w:qFormat/>
    <w:uiPriority w:val="0"/>
    <w:rPr>
      <w:rFonts w:hint="default" w:ascii="Times New Roman" w:hAnsi="Times New Roman" w:cs="Times New Roman"/>
      <w:sz w:val="22"/>
      <w:szCs w:val="22"/>
    </w:rPr>
  </w:style>
  <w:style w:type="character" w:customStyle="1" w:styleId="1816">
    <w:name w:val="正文缩进4 Char"/>
    <w:qFormat/>
    <w:uiPriority w:val="0"/>
    <w:rPr>
      <w:rFonts w:hint="eastAsia" w:ascii="宋体" w:hAnsi="宋体" w:eastAsia="宋体"/>
      <w:kern w:val="2"/>
      <w:sz w:val="24"/>
      <w:lang w:val="en-US" w:eastAsia="zh-CN" w:bidi="ar-SA"/>
    </w:rPr>
  </w:style>
  <w:style w:type="character" w:customStyle="1" w:styleId="1817">
    <w:name w:val="p131"/>
    <w:qFormat/>
    <w:uiPriority w:val="0"/>
    <w:rPr>
      <w:b/>
      <w:color w:val="FF6600"/>
      <w:sz w:val="28"/>
    </w:rPr>
  </w:style>
  <w:style w:type="character" w:customStyle="1" w:styleId="1818">
    <w:name w:val="cn1"/>
    <w:basedOn w:val="129"/>
    <w:qFormat/>
    <w:uiPriority w:val="0"/>
  </w:style>
  <w:style w:type="character" w:customStyle="1" w:styleId="1819">
    <w:name w:val="正文文本 Char Char1"/>
    <w:qFormat/>
    <w:uiPriority w:val="0"/>
    <w:rPr>
      <w:rFonts w:hint="eastAsia" w:ascii="仿宋_GB2312" w:eastAsia="仿宋_GB2312"/>
      <w:snapToGrid/>
      <w:kern w:val="2"/>
      <w:sz w:val="24"/>
      <w:lang w:val="en-US" w:eastAsia="zh-CN"/>
    </w:rPr>
  </w:style>
  <w:style w:type="character" w:customStyle="1" w:styleId="1820">
    <w:name w:val="tit02"/>
    <w:basedOn w:val="129"/>
    <w:qFormat/>
    <w:uiPriority w:val="0"/>
  </w:style>
  <w:style w:type="character" w:customStyle="1" w:styleId="1821">
    <w:name w:val="h31"/>
    <w:qFormat/>
    <w:uiPriority w:val="0"/>
    <w:rPr>
      <w:sz w:val="23"/>
      <w:szCs w:val="23"/>
    </w:rPr>
  </w:style>
  <w:style w:type="character" w:customStyle="1" w:styleId="1822">
    <w:name w:val="example2"/>
    <w:basedOn w:val="129"/>
    <w:qFormat/>
    <w:uiPriority w:val="0"/>
  </w:style>
  <w:style w:type="character" w:customStyle="1" w:styleId="1823">
    <w:name w:val="亚行正文 Char"/>
    <w:qFormat/>
    <w:uiPriority w:val="0"/>
    <w:rPr>
      <w:rFonts w:hint="eastAsia" w:ascii="宋体" w:hAnsi="宋体" w:eastAsia="宋体"/>
      <w:kern w:val="2"/>
      <w:sz w:val="24"/>
      <w:szCs w:val="24"/>
      <w:lang w:val="en-US" w:eastAsia="zh-CN" w:bidi="ar-SA"/>
    </w:rPr>
  </w:style>
  <w:style w:type="character" w:customStyle="1" w:styleId="1824">
    <w:name w:val="访问过的超链接11"/>
    <w:qFormat/>
    <w:uiPriority w:val="0"/>
    <w:rPr>
      <w:color w:val="800080"/>
      <w:u w:val="single"/>
    </w:rPr>
  </w:style>
  <w:style w:type="character" w:customStyle="1" w:styleId="1825">
    <w:name w:val="content_size_131"/>
    <w:qFormat/>
    <w:uiPriority w:val="0"/>
    <w:rPr>
      <w:sz w:val="20"/>
      <w:szCs w:val="20"/>
    </w:rPr>
  </w:style>
  <w:style w:type="character" w:customStyle="1" w:styleId="1826">
    <w:name w:val="r1"/>
    <w:qFormat/>
    <w:uiPriority w:val="0"/>
    <w:rPr>
      <w:sz w:val="20"/>
      <w:szCs w:val="20"/>
    </w:rPr>
  </w:style>
  <w:style w:type="character" w:customStyle="1" w:styleId="1827">
    <w:name w:val="f151"/>
    <w:qFormat/>
    <w:uiPriority w:val="0"/>
    <w:rPr>
      <w:sz w:val="19"/>
      <w:szCs w:val="19"/>
    </w:rPr>
  </w:style>
  <w:style w:type="character" w:customStyle="1" w:styleId="1828">
    <w:name w:val="目录 2 Char Char Char Char"/>
    <w:qFormat/>
    <w:uiPriority w:val="0"/>
    <w:rPr>
      <w:rFonts w:hint="eastAsia" w:ascii="宋体" w:hAnsi="宋体" w:eastAsia="宋体"/>
      <w:b/>
      <w:bCs/>
      <w:kern w:val="2"/>
      <w:lang w:val="en-US" w:eastAsia="zh-CN" w:bidi="ar-SA"/>
    </w:rPr>
  </w:style>
  <w:style w:type="character" w:customStyle="1" w:styleId="1829">
    <w:name w:val="Font Style18"/>
    <w:qFormat/>
    <w:uiPriority w:val="0"/>
    <w:rPr>
      <w:rFonts w:hint="eastAsia" w:ascii="黑体" w:hAnsi="黑体" w:eastAsia="黑体" w:cs="黑体"/>
      <w:sz w:val="22"/>
      <w:szCs w:val="22"/>
    </w:rPr>
  </w:style>
  <w:style w:type="character" w:customStyle="1" w:styleId="1830">
    <w:name w:val="apple-style-span"/>
    <w:basedOn w:val="129"/>
    <w:qFormat/>
    <w:uiPriority w:val="0"/>
  </w:style>
  <w:style w:type="character" w:customStyle="1" w:styleId="1831">
    <w:name w:val="g Char Char"/>
    <w:qFormat/>
    <w:uiPriority w:val="0"/>
    <w:rPr>
      <w:rFonts w:hint="eastAsia" w:ascii="宋体" w:hAnsi="宋体" w:eastAsia="宋体"/>
      <w:kern w:val="2"/>
      <w:sz w:val="18"/>
      <w:szCs w:val="18"/>
      <w:lang w:val="en-US" w:eastAsia="zh-CN" w:bidi="ar-SA"/>
    </w:rPr>
  </w:style>
  <w:style w:type="character" w:customStyle="1" w:styleId="1832">
    <w:name w:val="style191"/>
    <w:qFormat/>
    <w:uiPriority w:val="0"/>
    <w:rPr>
      <w:b/>
      <w:bCs/>
      <w:color w:val="FF0000"/>
    </w:rPr>
  </w:style>
  <w:style w:type="character" w:customStyle="1" w:styleId="1833">
    <w:name w:val="font_21"/>
    <w:qFormat/>
    <w:uiPriority w:val="0"/>
    <w:rPr>
      <w:b/>
      <w:bCs/>
      <w:sz w:val="21"/>
      <w:szCs w:val="21"/>
    </w:rPr>
  </w:style>
  <w:style w:type="character" w:customStyle="1" w:styleId="1834">
    <w:name w:val="a0021"/>
    <w:qFormat/>
    <w:uiPriority w:val="0"/>
    <w:rPr>
      <w:color w:val="333333"/>
      <w:sz w:val="20"/>
      <w:szCs w:val="20"/>
    </w:rPr>
  </w:style>
  <w:style w:type="character" w:customStyle="1" w:styleId="1835">
    <w:name w:val="正文缩进1 Char Char"/>
    <w:qFormat/>
    <w:uiPriority w:val="0"/>
    <w:rPr>
      <w:rFonts w:hint="eastAsia" w:ascii="宋体" w:hAnsi="宋体" w:eastAsia="宋体"/>
      <w:kern w:val="2"/>
      <w:sz w:val="28"/>
      <w:szCs w:val="24"/>
      <w:lang w:val="en-US" w:eastAsia="zh-CN" w:bidi="ar-SA"/>
    </w:rPr>
  </w:style>
  <w:style w:type="character" w:customStyle="1" w:styleId="1836">
    <w:name w:val="dfgdfg Char"/>
    <w:qFormat/>
    <w:uiPriority w:val="0"/>
    <w:rPr>
      <w:rFonts w:hint="default" w:ascii="Arial" w:hAnsi="Arial" w:eastAsia="黑体" w:cs="Arial"/>
      <w:kern w:val="2"/>
      <w:sz w:val="24"/>
      <w:lang w:val="en-US" w:eastAsia="zh-CN"/>
    </w:rPr>
  </w:style>
  <w:style w:type="character" w:customStyle="1" w:styleId="1837">
    <w:name w:val="jianjie_index"/>
    <w:basedOn w:val="129"/>
    <w:qFormat/>
    <w:uiPriority w:val="0"/>
  </w:style>
  <w:style w:type="character" w:customStyle="1" w:styleId="1838">
    <w:name w:val="main141"/>
    <w:qFormat/>
    <w:uiPriority w:val="0"/>
    <w:rPr>
      <w:sz w:val="22"/>
      <w:szCs w:val="22"/>
    </w:rPr>
  </w:style>
  <w:style w:type="character" w:customStyle="1" w:styleId="1839">
    <w:name w:val="占位符文本1"/>
    <w:qFormat/>
    <w:uiPriority w:val="0"/>
    <w:rPr>
      <w:color w:val="808080"/>
    </w:rPr>
  </w:style>
  <w:style w:type="character" w:customStyle="1" w:styleId="1840">
    <w:name w:val="正文缩进4 Char1"/>
    <w:qFormat/>
    <w:uiPriority w:val="0"/>
    <w:rPr>
      <w:rFonts w:hint="eastAsia" w:ascii="宋体" w:hAnsi="宋体" w:eastAsia="宋体"/>
      <w:kern w:val="2"/>
      <w:sz w:val="24"/>
      <w:szCs w:val="24"/>
      <w:lang w:val="en-US" w:eastAsia="zh-CN" w:bidi="ar-SA"/>
    </w:rPr>
  </w:style>
  <w:style w:type="character" w:customStyle="1" w:styleId="1841">
    <w:name w:val="blue1"/>
    <w:qFormat/>
    <w:uiPriority w:val="0"/>
    <w:rPr>
      <w:color w:val="626E83"/>
    </w:rPr>
  </w:style>
  <w:style w:type="character" w:customStyle="1" w:styleId="1842">
    <w:name w:val="标题 2 Char Char Char Char Char Char C"/>
    <w:qFormat/>
    <w:uiPriority w:val="0"/>
    <w:rPr>
      <w:rFonts w:hint="eastAsia" w:ascii="宋体" w:hAnsi="Arial" w:eastAsia="宋体"/>
      <w:b/>
      <w:sz w:val="28"/>
    </w:rPr>
  </w:style>
  <w:style w:type="character" w:customStyle="1" w:styleId="1843">
    <w:name w:val="样式 (中文) 仿宋_GB2312 小四"/>
    <w:qFormat/>
    <w:uiPriority w:val="0"/>
    <w:rPr>
      <w:rFonts w:hint="default" w:ascii="Times New Roman" w:hAnsi="Times New Roman" w:eastAsia="仿宋_GB2312" w:cs="Times New Roman"/>
      <w:sz w:val="24"/>
    </w:rPr>
  </w:style>
  <w:style w:type="character" w:customStyle="1" w:styleId="1844">
    <w:name w:val="条标题1.1.1 Char1"/>
    <w:qFormat/>
    <w:uiPriority w:val="0"/>
    <w:rPr>
      <w:b/>
      <w:bCs/>
      <w:kern w:val="2"/>
      <w:sz w:val="32"/>
      <w:szCs w:val="32"/>
    </w:rPr>
  </w:style>
  <w:style w:type="character" w:customStyle="1" w:styleId="1845">
    <w:name w:val="正文文字 Char1"/>
    <w:qFormat/>
    <w:uiPriority w:val="0"/>
    <w:rPr>
      <w:rFonts w:hint="default" w:ascii="Arial" w:hAnsi="Arial" w:eastAsia="宋体" w:cs="Arial"/>
      <w:kern w:val="2"/>
      <w:sz w:val="24"/>
      <w:lang w:val="en-US" w:eastAsia="zh-CN" w:bidi="ar-SA"/>
    </w:rPr>
  </w:style>
  <w:style w:type="character" w:customStyle="1" w:styleId="1846">
    <w:name w:val="题注 Char1 Char2"/>
    <w:qFormat/>
    <w:uiPriority w:val="0"/>
    <w:rPr>
      <w:rFonts w:hint="eastAsia" w:ascii="宋体" w:hAnsi="Arial" w:eastAsia="宋体" w:cs="Arial"/>
      <w:kern w:val="2"/>
      <w:sz w:val="21"/>
      <w:lang w:val="en-US" w:eastAsia="zh-CN" w:bidi="ar-SA"/>
    </w:rPr>
  </w:style>
  <w:style w:type="character" w:customStyle="1" w:styleId="1847">
    <w:name w:val="p121"/>
    <w:qFormat/>
    <w:uiPriority w:val="0"/>
    <w:rPr>
      <w:rFonts w:hint="eastAsia" w:ascii="宋体" w:hAnsi="宋体" w:eastAsia="宋体"/>
      <w:kern w:val="2"/>
      <w:sz w:val="18"/>
      <w:szCs w:val="18"/>
      <w:lang w:val="en-US" w:eastAsia="zh-CN" w:bidi="ar-SA"/>
    </w:rPr>
  </w:style>
  <w:style w:type="character" w:customStyle="1" w:styleId="1848">
    <w:name w:val="show"/>
    <w:basedOn w:val="129"/>
    <w:qFormat/>
    <w:uiPriority w:val="0"/>
  </w:style>
  <w:style w:type="character" w:customStyle="1" w:styleId="1849">
    <w:name w:val="标题 1 Char Char1"/>
    <w:qFormat/>
    <w:uiPriority w:val="0"/>
    <w:rPr>
      <w:rFonts w:hint="default" w:ascii="Arial" w:hAnsi="Arial" w:eastAsia="宋体" w:cs="Arial"/>
      <w:sz w:val="24"/>
      <w:lang w:val="en-US" w:eastAsia="zh-CN"/>
    </w:rPr>
  </w:style>
  <w:style w:type="paragraph" w:customStyle="1" w:styleId="1850">
    <w:name w:val="海港表头"/>
    <w:basedOn w:val="1"/>
    <w:link w:val="1851"/>
    <w:qFormat/>
    <w:uiPriority w:val="0"/>
    <w:rPr>
      <w:rFonts w:ascii="Times New Roman"/>
      <w:sz w:val="21"/>
      <w:szCs w:val="24"/>
    </w:rPr>
  </w:style>
  <w:style w:type="character" w:customStyle="1" w:styleId="1851">
    <w:name w:val="海港表头 Char Char"/>
    <w:link w:val="1850"/>
    <w:qFormat/>
    <w:uiPriority w:val="0"/>
    <w:rPr>
      <w:kern w:val="2"/>
      <w:sz w:val="21"/>
      <w:szCs w:val="24"/>
    </w:rPr>
  </w:style>
  <w:style w:type="character" w:customStyle="1" w:styleId="1852">
    <w:name w:val="样式 正文文字 + Char1"/>
    <w:qFormat/>
    <w:uiPriority w:val="0"/>
    <w:rPr>
      <w:rFonts w:hint="eastAsia" w:ascii="仿宋_GB2312" w:eastAsia="仿宋_GB2312"/>
      <w:sz w:val="24"/>
      <w:lang w:val="en-US" w:eastAsia="zh-CN"/>
    </w:rPr>
  </w:style>
  <w:style w:type="character" w:customStyle="1" w:styleId="1853">
    <w:name w:val="正文文本 Char Char"/>
    <w:qFormat/>
    <w:uiPriority w:val="0"/>
    <w:rPr>
      <w:rFonts w:hint="eastAsia" w:ascii="宋体" w:hAnsi="宋体" w:eastAsia="宋体"/>
      <w:kern w:val="2"/>
      <w:sz w:val="21"/>
      <w:szCs w:val="24"/>
      <w:lang w:val="en-US" w:eastAsia="zh-CN" w:bidi="ar-SA"/>
    </w:rPr>
  </w:style>
  <w:style w:type="character" w:customStyle="1" w:styleId="1854">
    <w:name w:val="正文文本缩进 311"/>
    <w:qFormat/>
    <w:uiPriority w:val="0"/>
    <w:rPr>
      <w:rFonts w:hint="eastAsia" w:ascii="宋体" w:hAnsi="宋体" w:eastAsia="宋体"/>
      <w:b/>
      <w:kern w:val="2"/>
      <w:sz w:val="24"/>
      <w:lang w:val="en-US" w:eastAsia="zh-CN"/>
    </w:rPr>
  </w:style>
  <w:style w:type="character" w:customStyle="1" w:styleId="1855">
    <w:name w:val="标题6"/>
    <w:qFormat/>
    <w:uiPriority w:val="0"/>
  </w:style>
  <w:style w:type="character" w:customStyle="1" w:styleId="1856">
    <w:name w:val="text1411"/>
    <w:qFormat/>
    <w:uiPriority w:val="0"/>
    <w:rPr>
      <w:rFonts w:hint="default" w:ascii="ˎ̥" w:hAnsi="ˎ̥"/>
      <w:color w:val="CA3E00"/>
      <w:sz w:val="21"/>
      <w:szCs w:val="21"/>
    </w:rPr>
  </w:style>
  <w:style w:type="character" w:customStyle="1" w:styleId="1857">
    <w:name w:val="font201"/>
    <w:qFormat/>
    <w:uiPriority w:val="0"/>
  </w:style>
  <w:style w:type="character" w:customStyle="1" w:styleId="1858">
    <w:name w:val="表格头 Char Char Char"/>
    <w:qFormat/>
    <w:uiPriority w:val="0"/>
    <w:rPr>
      <w:rFonts w:hint="default" w:ascii="Tahoma" w:hAnsi="Tahoma" w:eastAsia="黑体" w:cs="Tahoma"/>
      <w:b/>
      <w:snapToGrid/>
      <w:color w:val="000000"/>
      <w:spacing w:val="-4"/>
      <w:sz w:val="24"/>
      <w:szCs w:val="22"/>
      <w:lang w:bidi="ar-SA"/>
    </w:rPr>
  </w:style>
  <w:style w:type="character" w:customStyle="1" w:styleId="1859">
    <w:name w:val="Char Char11"/>
    <w:qFormat/>
    <w:uiPriority w:val="0"/>
    <w:rPr>
      <w:rFonts w:hint="eastAsia" w:ascii="宋体" w:hAnsi="Courier New" w:eastAsia="宋体" w:cs="Courier New"/>
      <w:kern w:val="2"/>
      <w:sz w:val="21"/>
      <w:szCs w:val="21"/>
      <w:lang w:val="en-US" w:eastAsia="zh-CN" w:bidi="ar-SA"/>
    </w:rPr>
  </w:style>
  <w:style w:type="character" w:customStyle="1" w:styleId="1860">
    <w:name w:val="尾注文本 Char1"/>
    <w:basedOn w:val="129"/>
    <w:qFormat/>
    <w:uiPriority w:val="0"/>
    <w:rPr>
      <w:rFonts w:ascii="宋体"/>
      <w:kern w:val="2"/>
      <w:sz w:val="25"/>
      <w:szCs w:val="25"/>
    </w:rPr>
  </w:style>
  <w:style w:type="character" w:customStyle="1" w:styleId="1861">
    <w:name w:val="称呼 Char1"/>
    <w:basedOn w:val="129"/>
    <w:semiHidden/>
    <w:qFormat/>
    <w:uiPriority w:val="99"/>
    <w:rPr>
      <w:rFonts w:ascii="宋体"/>
      <w:kern w:val="2"/>
      <w:sz w:val="25"/>
      <w:szCs w:val="25"/>
    </w:rPr>
  </w:style>
  <w:style w:type="character" w:customStyle="1" w:styleId="1862">
    <w:name w:val="脚注文本 Char1"/>
    <w:basedOn w:val="129"/>
    <w:qFormat/>
    <w:uiPriority w:val="0"/>
    <w:rPr>
      <w:rFonts w:ascii="宋体"/>
      <w:kern w:val="2"/>
      <w:sz w:val="18"/>
      <w:szCs w:val="18"/>
    </w:rPr>
  </w:style>
  <w:style w:type="table" w:customStyle="1" w:styleId="1863">
    <w:name w:val="网格型171"/>
    <w:basedOn w:val="8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64">
    <w:name w:val="正文样式2"/>
    <w:basedOn w:val="458"/>
    <w:qFormat/>
    <w:uiPriority w:val="0"/>
    <w:pPr>
      <w:adjustRightInd/>
      <w:snapToGrid/>
      <w:spacing w:line="240" w:lineRule="auto"/>
      <w:ind w:firstLine="420" w:firstLineChars="200"/>
      <w:textAlignment w:val="auto"/>
    </w:pPr>
    <w:rPr>
      <w:rFonts w:ascii="宋体" w:hAnsi="Courier New" w:cs="Courier New"/>
      <w:kern w:val="0"/>
      <w:sz w:val="21"/>
      <w:szCs w:val="21"/>
    </w:rPr>
  </w:style>
  <w:style w:type="paragraph" w:customStyle="1" w:styleId="1865">
    <w:name w:val="编号汉字数字"/>
    <w:basedOn w:val="1436"/>
    <w:next w:val="1"/>
    <w:qFormat/>
    <w:uiPriority w:val="0"/>
    <w:pPr>
      <w:tabs>
        <w:tab w:val="left" w:pos="0"/>
      </w:tabs>
      <w:ind w:left="0" w:firstLine="822"/>
      <w:outlineLvl w:val="9"/>
    </w:pPr>
  </w:style>
  <w:style w:type="paragraph" w:customStyle="1" w:styleId="1866">
    <w:name w:val="样式 表格文字统一样式 + Arial 小五 非加粗 自动设置 行距: 单倍行距1"/>
    <w:basedOn w:val="1230"/>
    <w:qFormat/>
    <w:uiPriority w:val="0"/>
    <w:rPr>
      <w:rFonts w:ascii="Arial" w:hAnsi="Arial"/>
    </w:rPr>
  </w:style>
  <w:style w:type="paragraph" w:customStyle="1" w:styleId="1867">
    <w:name w:val="样式 样式 表格文字统一样式 + Arial 小五 非加粗 自动设置 行距: 单倍行距1 + 段后: 0.5 行1"/>
    <w:basedOn w:val="1866"/>
    <w:qFormat/>
    <w:uiPriority w:val="0"/>
  </w:style>
  <w:style w:type="paragraph" w:customStyle="1" w:styleId="1868">
    <w:name w:val="样式 样式 表格文字统一样式 + Arial 小五 非加粗 自动设置 行距: 单倍行距1 + 段后: 0.5 行"/>
    <w:basedOn w:val="1866"/>
    <w:qFormat/>
    <w:uiPriority w:val="0"/>
  </w:style>
  <w:style w:type="paragraph" w:customStyle="1" w:styleId="1869">
    <w:name w:val="样式 样式 标题 3标题3H3h33rd level第二层条头小标题小节标题标题 3 Char Char一海港标... +"/>
    <w:basedOn w:val="1349"/>
    <w:qFormat/>
    <w:uiPriority w:val="0"/>
    <w:rPr>
      <w:rFonts w:ascii="Times New Roman" w:hAnsi="Times New Roman"/>
    </w:rPr>
  </w:style>
  <w:style w:type="paragraph" w:customStyle="1" w:styleId="1870">
    <w:name w:val="样式 样式 样式 标题 3标题3H3h33rd level第二层条头小标题小节标题标题 3 Char Char一海港标... + +"/>
    <w:basedOn w:val="1869"/>
    <w:qFormat/>
    <w:uiPriority w:val="0"/>
    <w:pPr>
      <w:spacing w:after="120"/>
    </w:pPr>
  </w:style>
  <w:style w:type="paragraph" w:customStyle="1" w:styleId="1871">
    <w:name w:val="样式 样式 标题 2标题2二级 标题 2H2h2第一层条标题 2 Char节标题节11 Char标题 2 Cha...1 +"/>
    <w:basedOn w:val="1611"/>
    <w:qFormat/>
    <w:uiPriority w:val="0"/>
  </w:style>
  <w:style w:type="paragraph" w:customStyle="1" w:styleId="1872">
    <w:name w:val="样式 样式 样式 标题 2标题2二级 标题 2H2h2第一层条标题 2 Char节标题节11 Char标题 2 Cha...1 ..."/>
    <w:basedOn w:val="1871"/>
    <w:qFormat/>
    <w:uiPriority w:val="0"/>
  </w:style>
  <w:style w:type="paragraph" w:customStyle="1" w:styleId="1873">
    <w:name w:val="小于节标题"/>
    <w:basedOn w:val="1216"/>
    <w:qFormat/>
    <w:uiPriority w:val="0"/>
    <w:pPr>
      <w:widowControl w:val="0"/>
      <w:ind w:firstLine="0"/>
      <w:jc w:val="both"/>
    </w:pPr>
    <w:rPr>
      <w:rFonts w:ascii="Times New Roman" w:hAnsi="Times New Roman" w:eastAsia="华文中宋" w:cs="Times New Roman"/>
      <w:kern w:val="2"/>
      <w:szCs w:val="20"/>
    </w:rPr>
  </w:style>
  <w:style w:type="paragraph" w:customStyle="1" w:styleId="1874">
    <w:name w:val="表头6"/>
    <w:basedOn w:val="1244"/>
    <w:qFormat/>
    <w:uiPriority w:val="0"/>
    <w:pPr>
      <w:tabs>
        <w:tab w:val="left" w:pos="843"/>
        <w:tab w:val="left" w:pos="1774"/>
      </w:tabs>
      <w:ind w:left="992" w:leftChars="0" w:hanging="363"/>
    </w:pPr>
  </w:style>
  <w:style w:type="paragraph" w:customStyle="1" w:styleId="1875">
    <w:name w:val="表头8"/>
    <w:basedOn w:val="1874"/>
    <w:qFormat/>
    <w:uiPriority w:val="0"/>
    <w:pPr>
      <w:tabs>
        <w:tab w:val="left" w:pos="903"/>
        <w:tab w:val="left" w:pos="1728"/>
      </w:tabs>
      <w:ind w:left="845"/>
    </w:pPr>
  </w:style>
  <w:style w:type="paragraph" w:customStyle="1" w:styleId="1876">
    <w:name w:val="附录一级条标题"/>
    <w:basedOn w:val="1270"/>
    <w:next w:val="1"/>
    <w:qFormat/>
    <w:uiPriority w:val="0"/>
    <w:pPr>
      <w:autoSpaceDN w:val="0"/>
      <w:spacing w:beforeLines="0"/>
      <w:outlineLvl w:val="2"/>
    </w:pPr>
  </w:style>
  <w:style w:type="paragraph" w:customStyle="1" w:styleId="1877">
    <w:name w:val="附录二级条标题"/>
    <w:basedOn w:val="1876"/>
    <w:next w:val="1"/>
    <w:qFormat/>
    <w:uiPriority w:val="0"/>
    <w:pPr>
      <w:outlineLvl w:val="3"/>
    </w:pPr>
  </w:style>
  <w:style w:type="paragraph" w:customStyle="1" w:styleId="1878">
    <w:name w:val="附录三级条标题"/>
    <w:basedOn w:val="1877"/>
    <w:next w:val="1"/>
    <w:qFormat/>
    <w:uiPriority w:val="0"/>
    <w:pPr>
      <w:outlineLvl w:val="4"/>
    </w:pPr>
  </w:style>
  <w:style w:type="paragraph" w:customStyle="1" w:styleId="1879">
    <w:name w:val="附录四级条标题"/>
    <w:basedOn w:val="1878"/>
    <w:next w:val="1"/>
    <w:qFormat/>
    <w:uiPriority w:val="0"/>
    <w:pPr>
      <w:outlineLvl w:val="5"/>
    </w:pPr>
  </w:style>
  <w:style w:type="paragraph" w:customStyle="1" w:styleId="1880">
    <w:name w:val="附录五级条标题"/>
    <w:basedOn w:val="1879"/>
    <w:next w:val="1"/>
    <w:qFormat/>
    <w:uiPriority w:val="0"/>
    <w:pPr>
      <w:outlineLvl w:val="6"/>
    </w:pPr>
  </w:style>
  <w:style w:type="paragraph" w:customStyle="1" w:styleId="1881">
    <w:name w:val="1目录"/>
    <w:basedOn w:val="1371"/>
    <w:qFormat/>
    <w:uiPriority w:val="0"/>
    <w:pPr>
      <w:keepNext w:val="0"/>
      <w:tabs>
        <w:tab w:val="left" w:leader="middleDot" w:pos="8190"/>
      </w:tabs>
      <w:spacing w:beforeLines="0"/>
      <w:ind w:left="80" w:leftChars="80"/>
      <w:jc w:val="both"/>
    </w:pPr>
    <w:rPr>
      <w:rFonts w:eastAsia="宋体"/>
      <w:b w:val="0"/>
      <w:bCs/>
    </w:rPr>
  </w:style>
  <w:style w:type="paragraph" w:customStyle="1" w:styleId="1882">
    <w:name w:val="表头居左"/>
    <w:basedOn w:val="1677"/>
    <w:qFormat/>
    <w:uiPriority w:val="0"/>
    <w:pPr>
      <w:spacing w:beforeLines="0" w:line="260" w:lineRule="exact"/>
      <w:ind w:firstLine="254"/>
      <w:jc w:val="both"/>
    </w:pPr>
  </w:style>
  <w:style w:type="paragraph" w:customStyle="1" w:styleId="1883">
    <w:name w:val="样式 热电厂正文 + 四号 首行缩进:  2 字符"/>
    <w:basedOn w:val="215"/>
    <w:qFormat/>
    <w:uiPriority w:val="0"/>
    <w:pPr>
      <w:widowControl/>
      <w:spacing w:line="480" w:lineRule="exact"/>
      <w:ind w:firstLine="200"/>
      <w:jc w:val="left"/>
    </w:pPr>
  </w:style>
  <w:style w:type="paragraph" w:customStyle="1" w:styleId="1884">
    <w:name w:val="样式 样式 标题 4 + 首行缩进:  2 字符1 + 首行缩进:  2 字符"/>
    <w:basedOn w:val="1515"/>
    <w:qFormat/>
    <w:uiPriority w:val="0"/>
    <w:pPr>
      <w:ind w:firstLine="482"/>
    </w:pPr>
    <w:rPr>
      <w:rFonts w:ascii="Times New Roman" w:hAnsi="Times New Roman"/>
    </w:rPr>
  </w:style>
  <w:style w:type="paragraph" w:customStyle="1" w:styleId="1885">
    <w:name w:val="样式 样式 标题 4 + 四号 + 首行缩进:  2 字符"/>
    <w:basedOn w:val="1214"/>
    <w:qFormat/>
    <w:uiPriority w:val="0"/>
    <w:pPr/>
  </w:style>
  <w:style w:type="paragraph" w:customStyle="1" w:styleId="1886">
    <w:name w:val="样式 样式 样式 标题 3标题3H3h33rd level第二层条头小标题小节标题标题 3 Char Char一海港标... +..."/>
    <w:basedOn w:val="1396"/>
    <w:qFormat/>
    <w:uiPriority w:val="0"/>
  </w:style>
  <w:style w:type="paragraph" w:customStyle="1" w:styleId="1887">
    <w:name w:val="样式 样式 样式 样式 标题 3标题3H3h33rd level第二层条头小标题小节标题标题 3 Char Char一海港标....."/>
    <w:basedOn w:val="1886"/>
    <w:qFormat/>
    <w:uiPriority w:val="0"/>
    <w:pPr>
      <w:spacing w:beforeLines="0"/>
    </w:pPr>
  </w:style>
  <w:style w:type="paragraph" w:customStyle="1" w:styleId="1888">
    <w:name w:val="表格04左"/>
    <w:basedOn w:val="1303"/>
    <w:qFormat/>
    <w:uiPriority w:val="0"/>
    <w:pPr>
      <w:snapToGrid w:val="0"/>
      <w:jc w:val="left"/>
    </w:pPr>
    <w:rPr>
      <w:rFonts w:cs="宋体"/>
      <w:spacing w:val="0"/>
    </w:rPr>
  </w:style>
  <w:style w:type="paragraph" w:customStyle="1" w:styleId="1889">
    <w:name w:val="正式表格"/>
    <w:basedOn w:val="1256"/>
    <w:qFormat/>
    <w:uiPriority w:val="0"/>
    <w:pPr>
      <w:spacing w:before="60" w:after="60" w:line="240" w:lineRule="auto"/>
      <w:ind w:firstLine="0"/>
      <w:jc w:val="center"/>
    </w:pPr>
    <w:rPr>
      <w:rFonts w:hAnsi="宋体" w:cs="Times New Roman"/>
      <w:kern w:val="2"/>
      <w:sz w:val="24"/>
      <w:szCs w:val="24"/>
    </w:rPr>
  </w:style>
  <w:style w:type="table" w:customStyle="1" w:styleId="1890">
    <w:name w:val="彩色型 27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91">
    <w:name w:val="彩色型 37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92">
    <w:name w:val="彩色型 17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93">
    <w:name w:val="网格型 27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894">
    <w:name w:val="网格型 57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95">
    <w:name w:val="网格型19"/>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6">
    <w:name w:val="网格型 114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897">
    <w:name w:val="彩色型 14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898">
    <w:name w:val="彩色型 24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899">
    <w:name w:val="彩色型 34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900">
    <w:name w:val="网格型 24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901">
    <w:name w:val="网格型 54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902">
    <w:name w:val="网格型20"/>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3">
    <w:name w:val="网格型25"/>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4">
    <w:name w:val="网格型（pxg）3"/>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5">
    <w:name w:val="网格型 58"/>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906">
    <w:name w:val="网格型110"/>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7">
    <w:name w:val="表格样式7777"/>
    <w:basedOn w:val="85"/>
    <w:qFormat/>
    <w:uiPriority w:val="0"/>
    <w:pPr>
      <w:widowControl w:val="0"/>
      <w:spacing w:line="300" w:lineRule="exact"/>
      <w:jc w:val="both"/>
    </w:pPr>
    <w:rPr>
      <w:rFonts w:ascii="Calibri" w:hAnsi="Calibri" w:eastAsia="Times New Roman"/>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1908">
    <w:name w:val="彩色型 18"/>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909">
    <w:name w:val="彩色型 28"/>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910">
    <w:name w:val="彩色型 38"/>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character" w:customStyle="1" w:styleId="1911">
    <w:name w:val="标题7"/>
    <w:qFormat/>
    <w:uiPriority w:val="0"/>
  </w:style>
  <w:style w:type="table" w:customStyle="1" w:styleId="1912">
    <w:name w:val="网格型 17"/>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1913">
    <w:name w:val="正文7"/>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table" w:customStyle="1" w:styleId="1914">
    <w:name w:val="网格型 28"/>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paragraph" w:customStyle="1" w:styleId="1915">
    <w:name w:val="正文文本缩进4"/>
    <w:basedOn w:val="1"/>
    <w:qFormat/>
    <w:uiPriority w:val="0"/>
    <w:pPr>
      <w:spacing w:after="120"/>
      <w:ind w:left="420" w:leftChars="200"/>
    </w:pPr>
    <w:rPr>
      <w:rFonts w:ascii="Times New Roman"/>
      <w:sz w:val="21"/>
      <w:szCs w:val="24"/>
    </w:rPr>
  </w:style>
  <w:style w:type="table" w:customStyle="1" w:styleId="1916">
    <w:name w:val="标准样式"/>
    <w:basedOn w:val="84"/>
    <w:qFormat/>
    <w:uiPriority w:val="99"/>
    <w:pPr>
      <w:spacing w:line="300" w:lineRule="exact"/>
    </w:pPr>
    <w:tblPr>
      <w:jc w:val="center"/>
      <w:tblBorders>
        <w:top w:val="single" w:color="auto" w:sz="4" w:space="0"/>
        <w:bottom w:val="single" w:color="auto" w:sz="4" w:space="0"/>
        <w:insideH w:val="single" w:color="auto" w:sz="4" w:space="0"/>
        <w:insideV w:val="single" w:color="auto" w:sz="4" w:space="0"/>
      </w:tblBorders>
      <w:tblCellMar>
        <w:top w:w="0" w:type="dxa"/>
        <w:left w:w="28" w:type="dxa"/>
        <w:bottom w:w="0" w:type="dxa"/>
        <w:right w:w="28" w:type="dxa"/>
      </w:tblCellMar>
    </w:tblPr>
    <w:trPr>
      <w:jc w:val="center"/>
    </w:trPr>
    <w:tcPr>
      <w:vAlign w:val="center"/>
    </w:tcPr>
  </w:style>
  <w:style w:type="character" w:customStyle="1" w:styleId="1917">
    <w:name w:val="不明显强调2"/>
    <w:qFormat/>
    <w:uiPriority w:val="0"/>
    <w:rPr>
      <w:i/>
      <w:iCs/>
      <w:color w:val="808080"/>
    </w:rPr>
  </w:style>
  <w:style w:type="paragraph" w:customStyle="1" w:styleId="1918">
    <w:name w:val="表头FF"/>
    <w:basedOn w:val="1"/>
    <w:link w:val="1919"/>
    <w:qFormat/>
    <w:uiPriority w:val="0"/>
    <w:pPr>
      <w:spacing w:line="460" w:lineRule="exact"/>
      <w:jc w:val="center"/>
    </w:pPr>
    <w:rPr>
      <w:rFonts w:ascii="Times New Roman"/>
      <w:b/>
      <w:color w:val="000000"/>
      <w:sz w:val="24"/>
      <w:szCs w:val="24"/>
    </w:rPr>
  </w:style>
  <w:style w:type="character" w:customStyle="1" w:styleId="1919">
    <w:name w:val="表头FF Char"/>
    <w:link w:val="1918"/>
    <w:qFormat/>
    <w:uiPriority w:val="0"/>
    <w:rPr>
      <w:b/>
      <w:color w:val="000000"/>
      <w:kern w:val="2"/>
      <w:sz w:val="24"/>
      <w:szCs w:val="24"/>
    </w:rPr>
  </w:style>
  <w:style w:type="paragraph" w:customStyle="1" w:styleId="1920">
    <w:name w:val="正文FF"/>
    <w:basedOn w:val="1"/>
    <w:link w:val="1921"/>
    <w:qFormat/>
    <w:uiPriority w:val="0"/>
    <w:pPr>
      <w:tabs>
        <w:tab w:val="left" w:pos="1170"/>
      </w:tabs>
      <w:spacing w:line="480" w:lineRule="exact"/>
      <w:ind w:firstLine="480" w:firstLineChars="200"/>
    </w:pPr>
    <w:rPr>
      <w:rFonts w:ascii="Times New Roman" w:eastAsia="Times New Roman"/>
      <w:color w:val="000000"/>
      <w:sz w:val="24"/>
      <w:szCs w:val="20"/>
    </w:rPr>
  </w:style>
  <w:style w:type="character" w:customStyle="1" w:styleId="1921">
    <w:name w:val="正文FF Char"/>
    <w:link w:val="1920"/>
    <w:qFormat/>
    <w:uiPriority w:val="0"/>
    <w:rPr>
      <w:rFonts w:eastAsia="Times New Roman"/>
      <w:color w:val="000000"/>
      <w:kern w:val="2"/>
      <w:sz w:val="24"/>
    </w:rPr>
  </w:style>
  <w:style w:type="paragraph" w:customStyle="1" w:styleId="1922">
    <w:name w:val="我的表头"/>
    <w:basedOn w:val="66"/>
    <w:link w:val="1923"/>
    <w:qFormat/>
    <w:uiPriority w:val="0"/>
    <w:pPr>
      <w:spacing w:line="480" w:lineRule="exact"/>
      <w:ind w:firstLine="0" w:firstLineChars="0"/>
      <w:jc w:val="center"/>
    </w:pPr>
    <w:rPr>
      <w:b/>
      <w:color w:val="000000"/>
      <w:sz w:val="24"/>
    </w:rPr>
  </w:style>
  <w:style w:type="character" w:customStyle="1" w:styleId="1923">
    <w:name w:val="我的表头 Char"/>
    <w:link w:val="1922"/>
    <w:qFormat/>
    <w:uiPriority w:val="0"/>
    <w:rPr>
      <w:b/>
      <w:color w:val="000000"/>
      <w:kern w:val="2"/>
      <w:sz w:val="24"/>
      <w:szCs w:val="24"/>
    </w:rPr>
  </w:style>
  <w:style w:type="table" w:customStyle="1" w:styleId="1924">
    <w:name w:val="样式12"/>
    <w:basedOn w:val="84"/>
    <w:qFormat/>
    <w:uiPriority w:val="99"/>
    <w:pPr>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
    <w:trPr>
      <w:jc w:val="center"/>
    </w:trPr>
    <w:tcPr>
      <w:vAlign w:val="center"/>
    </w:tcPr>
  </w:style>
  <w:style w:type="paragraph" w:customStyle="1" w:styleId="1925">
    <w:name w:val="修订2"/>
    <w:hidden/>
    <w:qFormat/>
    <w:uiPriority w:val="0"/>
    <w:rPr>
      <w:rFonts w:ascii="Times New Roman" w:hAnsi="Times New Roman" w:eastAsia="宋体" w:cs="Times New Roman"/>
      <w:kern w:val="2"/>
      <w:sz w:val="21"/>
      <w:lang w:val="en-US" w:eastAsia="zh-CN" w:bidi="ar-SA"/>
    </w:rPr>
  </w:style>
  <w:style w:type="character" w:customStyle="1" w:styleId="1926">
    <w:name w:val="Char Char191"/>
    <w:qFormat/>
    <w:uiPriority w:val="0"/>
    <w:rPr>
      <w:rFonts w:ascii="Arial" w:hAnsi="Arial" w:eastAsia="黑体"/>
      <w:b/>
      <w:sz w:val="24"/>
      <w:lang w:val="en-US" w:eastAsia="zh-CN" w:bidi="ar-SA"/>
    </w:rPr>
  </w:style>
  <w:style w:type="character" w:customStyle="1" w:styleId="1927">
    <w:name w:val="Char Char71"/>
    <w:qFormat/>
    <w:uiPriority w:val="0"/>
    <w:rPr>
      <w:rFonts w:eastAsia="宋体" w:cs="Arial"/>
      <w:kern w:val="2"/>
      <w:sz w:val="24"/>
      <w:lang w:val="en-US" w:eastAsia="zh-CN" w:bidi="ar-SA"/>
    </w:rPr>
  </w:style>
  <w:style w:type="character" w:customStyle="1" w:styleId="1928">
    <w:name w:val="Char Char41"/>
    <w:qFormat/>
    <w:uiPriority w:val="0"/>
    <w:rPr>
      <w:rFonts w:eastAsia="宋体"/>
      <w:kern w:val="2"/>
      <w:sz w:val="21"/>
      <w:lang w:val="en-US" w:eastAsia="zh-CN" w:bidi="ar-SA"/>
    </w:rPr>
  </w:style>
  <w:style w:type="character" w:customStyle="1" w:styleId="1929">
    <w:name w:val="Char Char31"/>
    <w:qFormat/>
    <w:uiPriority w:val="0"/>
    <w:rPr>
      <w:rFonts w:eastAsia="宋体"/>
      <w:smallCaps/>
      <w:kern w:val="2"/>
      <w:lang w:val="en-US" w:eastAsia="zh-CN" w:bidi="ar-SA"/>
    </w:rPr>
  </w:style>
  <w:style w:type="character" w:customStyle="1" w:styleId="1930">
    <w:name w:val="Char Char81"/>
    <w:qFormat/>
    <w:uiPriority w:val="0"/>
    <w:rPr>
      <w:rFonts w:eastAsia="宋体"/>
      <w:kern w:val="2"/>
      <w:sz w:val="21"/>
      <w:szCs w:val="24"/>
      <w:lang w:val="en-US" w:eastAsia="zh-CN" w:bidi="ar-SA"/>
    </w:rPr>
  </w:style>
  <w:style w:type="character" w:customStyle="1" w:styleId="1931">
    <w:name w:val="Char Char101"/>
    <w:qFormat/>
    <w:uiPriority w:val="0"/>
    <w:rPr>
      <w:rFonts w:eastAsia="宋体"/>
      <w:kern w:val="2"/>
      <w:sz w:val="21"/>
      <w:lang w:val="en-US" w:eastAsia="zh-CN" w:bidi="ar-SA"/>
    </w:rPr>
  </w:style>
  <w:style w:type="character" w:customStyle="1" w:styleId="1932">
    <w:name w:val="Char Char151"/>
    <w:qFormat/>
    <w:uiPriority w:val="0"/>
    <w:rPr>
      <w:rFonts w:ascii="Arial" w:hAnsi="Arial" w:eastAsia="宋体"/>
      <w:kern w:val="24"/>
      <w:sz w:val="24"/>
    </w:rPr>
  </w:style>
  <w:style w:type="character" w:customStyle="1" w:styleId="1933">
    <w:name w:val="Char Char211"/>
    <w:qFormat/>
    <w:uiPriority w:val="0"/>
    <w:rPr>
      <w:rFonts w:eastAsia="宋体"/>
      <w:sz w:val="28"/>
      <w:lang w:val="en-US" w:eastAsia="zh-CN" w:bidi="ar-SA"/>
    </w:rPr>
  </w:style>
  <w:style w:type="character" w:customStyle="1" w:styleId="1934">
    <w:name w:val="Char Char12"/>
    <w:qFormat/>
    <w:uiPriority w:val="0"/>
    <w:rPr>
      <w:rFonts w:ascii="Arial" w:hAnsi="Arial"/>
      <w:sz w:val="24"/>
      <w:szCs w:val="24"/>
    </w:rPr>
  </w:style>
  <w:style w:type="character" w:customStyle="1" w:styleId="1935">
    <w:name w:val="Char Char171"/>
    <w:qFormat/>
    <w:uiPriority w:val="0"/>
    <w:rPr>
      <w:rFonts w:ascii="Arial" w:hAnsi="Arial" w:eastAsia="黑体"/>
      <w:kern w:val="2"/>
      <w:sz w:val="24"/>
      <w:lang w:val="en-US" w:eastAsia="zh-CN" w:bidi="ar-SA"/>
    </w:rPr>
  </w:style>
  <w:style w:type="character" w:customStyle="1" w:styleId="1936">
    <w:name w:val="Char Char181"/>
    <w:qFormat/>
    <w:uiPriority w:val="0"/>
    <w:rPr>
      <w:rFonts w:eastAsia="宋体"/>
      <w:b/>
      <w:kern w:val="2"/>
      <w:sz w:val="24"/>
      <w:lang w:val="en-US" w:eastAsia="zh-CN" w:bidi="ar-SA"/>
    </w:rPr>
  </w:style>
  <w:style w:type="character" w:customStyle="1" w:styleId="1937">
    <w:name w:val="Char Char61"/>
    <w:qFormat/>
    <w:uiPriority w:val="0"/>
    <w:rPr>
      <w:rFonts w:eastAsia="宋体"/>
      <w:kern w:val="2"/>
      <w:sz w:val="24"/>
      <w:lang w:val="en-US" w:eastAsia="zh-CN" w:bidi="ar-SA"/>
    </w:rPr>
  </w:style>
  <w:style w:type="character" w:customStyle="1" w:styleId="1938">
    <w:name w:val="Char Char131"/>
    <w:qFormat/>
    <w:uiPriority w:val="0"/>
    <w:rPr>
      <w:rFonts w:eastAsia="宋体"/>
      <w:sz w:val="24"/>
      <w:lang w:val="en-US" w:eastAsia="zh-CN"/>
    </w:rPr>
  </w:style>
  <w:style w:type="character" w:customStyle="1" w:styleId="1939">
    <w:name w:val="Char Char51"/>
    <w:qFormat/>
    <w:uiPriority w:val="0"/>
    <w:rPr>
      <w:rFonts w:eastAsia="宋体"/>
      <w:kern w:val="2"/>
      <w:sz w:val="28"/>
      <w:lang w:val="en-US" w:eastAsia="zh-CN" w:bidi="ar-SA"/>
    </w:rPr>
  </w:style>
  <w:style w:type="character" w:customStyle="1" w:styleId="1940">
    <w:name w:val="Char Char141"/>
    <w:qFormat/>
    <w:uiPriority w:val="0"/>
    <w:rPr>
      <w:rFonts w:eastAsia="宋体"/>
      <w:kern w:val="2"/>
      <w:sz w:val="24"/>
      <w:lang w:val="en-US" w:eastAsia="zh-CN" w:bidi="ar-SA"/>
    </w:rPr>
  </w:style>
  <w:style w:type="character" w:customStyle="1" w:styleId="1941">
    <w:name w:val="Char Char111"/>
    <w:qFormat/>
    <w:uiPriority w:val="0"/>
    <w:rPr>
      <w:rFonts w:ascii="宋体" w:hAnsi="Courier New" w:eastAsia="宋体" w:cs="Courier New"/>
      <w:kern w:val="2"/>
      <w:sz w:val="21"/>
      <w:szCs w:val="21"/>
      <w:lang w:val="en-US" w:eastAsia="zh-CN" w:bidi="ar-SA"/>
    </w:rPr>
  </w:style>
  <w:style w:type="paragraph" w:customStyle="1" w:styleId="1942">
    <w:name w:val="Char Char1 Char Char Char Char Char Char Char1"/>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943">
    <w:name w:val="标题51"/>
    <w:basedOn w:val="1"/>
    <w:qFormat/>
    <w:uiPriority w:val="0"/>
    <w:pPr>
      <w:widowControl/>
      <w:spacing w:line="480" w:lineRule="exact"/>
      <w:ind w:firstLine="480" w:firstLineChars="200"/>
      <w:jc w:val="left"/>
    </w:pPr>
    <w:rPr>
      <w:rFonts w:hAnsi="宋体" w:cs="宋体"/>
      <w:kern w:val="0"/>
      <w:sz w:val="24"/>
      <w:szCs w:val="24"/>
    </w:rPr>
  </w:style>
  <w:style w:type="paragraph" w:customStyle="1" w:styleId="1944">
    <w:name w:val="正文文本缩进 212"/>
    <w:basedOn w:val="1"/>
    <w:qFormat/>
    <w:uiPriority w:val="0"/>
    <w:pPr>
      <w:widowControl/>
      <w:adjustRightInd w:val="0"/>
      <w:spacing w:line="460" w:lineRule="exact"/>
      <w:ind w:firstLine="480"/>
      <w:jc w:val="left"/>
      <w:textAlignment w:val="baseline"/>
    </w:pPr>
    <w:rPr>
      <w:rFonts w:hAnsi="宋体" w:cs="宋体"/>
      <w:kern w:val="0"/>
      <w:sz w:val="24"/>
      <w:szCs w:val="24"/>
    </w:rPr>
  </w:style>
  <w:style w:type="paragraph" w:customStyle="1" w:styleId="1945">
    <w:name w:val="Char Char Char Char Char Char11"/>
    <w:basedOn w:val="1"/>
    <w:qFormat/>
    <w:uiPriority w:val="0"/>
    <w:pPr>
      <w:widowControl/>
      <w:spacing w:after="160" w:line="240" w:lineRule="exact"/>
      <w:jc w:val="left"/>
    </w:pPr>
    <w:rPr>
      <w:rFonts w:ascii="Verdana" w:hAnsi="Verdana" w:cs="宋体"/>
      <w:kern w:val="0"/>
      <w:sz w:val="20"/>
      <w:szCs w:val="24"/>
      <w:lang w:eastAsia="en-US"/>
    </w:rPr>
  </w:style>
  <w:style w:type="paragraph" w:customStyle="1" w:styleId="1946">
    <w:name w:val="标题 32"/>
    <w:basedOn w:val="1"/>
    <w:next w:val="1"/>
    <w:qFormat/>
    <w:uiPriority w:val="0"/>
    <w:pPr>
      <w:keepNext/>
      <w:keepLines/>
      <w:widowControl/>
      <w:spacing w:before="260" w:after="260" w:line="413" w:lineRule="auto"/>
      <w:ind w:firstLine="200" w:firstLineChars="200"/>
      <w:jc w:val="left"/>
      <w:outlineLvl w:val="2"/>
    </w:pPr>
    <w:rPr>
      <w:rFonts w:ascii="Times New Roman"/>
      <w:b/>
      <w:sz w:val="32"/>
      <w:szCs w:val="20"/>
    </w:rPr>
  </w:style>
  <w:style w:type="paragraph" w:customStyle="1" w:styleId="1947">
    <w:name w:val="Char Char7 Char Char Char1"/>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948">
    <w:name w:val="Char Char7 Char Char Char Char Char Char1"/>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napToGrid w:val="0"/>
      <w:sz w:val="24"/>
      <w:szCs w:val="24"/>
    </w:rPr>
  </w:style>
  <w:style w:type="paragraph" w:customStyle="1" w:styleId="1949">
    <w:name w:val="Char Char201"/>
    <w:basedOn w:val="1"/>
    <w:qFormat/>
    <w:uiPriority w:val="0"/>
    <w:pPr>
      <w:spacing w:line="375" w:lineRule="atLeast"/>
      <w:ind w:firstLine="128" w:firstLineChars="50"/>
      <w:jc w:val="left"/>
    </w:pPr>
    <w:rPr>
      <w:rFonts w:ascii="Times New Roman"/>
      <w:sz w:val="24"/>
      <w:szCs w:val="24"/>
    </w:rPr>
  </w:style>
  <w:style w:type="paragraph" w:customStyle="1" w:styleId="1950">
    <w:name w:val="日期11"/>
    <w:basedOn w:val="1"/>
    <w:next w:val="1"/>
    <w:qFormat/>
    <w:uiPriority w:val="0"/>
    <w:pPr>
      <w:spacing w:line="360" w:lineRule="auto"/>
      <w:ind w:left="100" w:leftChars="2500" w:firstLine="200" w:firstLineChars="200"/>
    </w:pPr>
    <w:rPr>
      <w:rFonts w:ascii="Times New Roman"/>
      <w:sz w:val="21"/>
      <w:szCs w:val="24"/>
    </w:rPr>
  </w:style>
  <w:style w:type="paragraph" w:customStyle="1" w:styleId="1951">
    <w:name w:val="Char Char Char11"/>
    <w:basedOn w:val="1"/>
    <w:qFormat/>
    <w:uiPriority w:val="0"/>
    <w:pPr>
      <w:widowControl/>
      <w:jc w:val="left"/>
    </w:pPr>
    <w:rPr>
      <w:rFonts w:hAnsi="宋体" w:cs="宋体"/>
      <w:kern w:val="0"/>
      <w:sz w:val="24"/>
      <w:szCs w:val="24"/>
    </w:rPr>
  </w:style>
  <w:style w:type="paragraph" w:customStyle="1" w:styleId="1952">
    <w:name w:val="纯文本2"/>
    <w:basedOn w:val="1"/>
    <w:qFormat/>
    <w:uiPriority w:val="0"/>
    <w:pPr>
      <w:widowControl/>
      <w:spacing w:line="360" w:lineRule="auto"/>
      <w:ind w:firstLine="200" w:firstLineChars="200"/>
      <w:jc w:val="left"/>
    </w:pPr>
    <w:rPr>
      <w:rFonts w:hAnsi="宋体" w:cs="宋体"/>
      <w:spacing w:val="8"/>
      <w:kern w:val="0"/>
      <w:sz w:val="24"/>
      <w:szCs w:val="24"/>
    </w:rPr>
  </w:style>
  <w:style w:type="paragraph" w:customStyle="1" w:styleId="1953">
    <w:name w:val="Char Char1 Char Char1 Char Char1 Char Char1 Char Char Char Char Char Char Char1"/>
    <w:basedOn w:val="1"/>
    <w:qFormat/>
    <w:uiPriority w:val="0"/>
    <w:pPr>
      <w:widowControl/>
      <w:jc w:val="left"/>
    </w:pPr>
    <w:rPr>
      <w:rFonts w:hAnsi="宋体" w:cs="宋体"/>
      <w:kern w:val="0"/>
      <w:sz w:val="24"/>
      <w:szCs w:val="24"/>
    </w:rPr>
  </w:style>
  <w:style w:type="paragraph" w:customStyle="1" w:styleId="1954">
    <w:name w:val="Char Char5 Char Char Char Char Char Char Char Char Char2 Char2"/>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955">
    <w:name w:val="Char1 Char Char Char4"/>
    <w:basedOn w:val="1"/>
    <w:qFormat/>
    <w:uiPriority w:val="0"/>
    <w:pPr>
      <w:widowControl/>
      <w:spacing w:after="160" w:line="240" w:lineRule="exact"/>
      <w:jc w:val="left"/>
    </w:pPr>
    <w:rPr>
      <w:rFonts w:ascii="Verdana" w:hAnsi="Verdana" w:cs="宋体"/>
      <w:kern w:val="0"/>
      <w:sz w:val="20"/>
      <w:szCs w:val="24"/>
      <w:lang w:eastAsia="en-US"/>
    </w:rPr>
  </w:style>
  <w:style w:type="paragraph" w:customStyle="1" w:styleId="1956">
    <w:name w:val="正文文本缩进 33"/>
    <w:basedOn w:val="1"/>
    <w:qFormat/>
    <w:uiPriority w:val="0"/>
    <w:pPr>
      <w:widowControl/>
      <w:adjustRightInd w:val="0"/>
      <w:ind w:firstLine="640"/>
      <w:jc w:val="left"/>
      <w:textAlignment w:val="baseline"/>
    </w:pPr>
    <w:rPr>
      <w:rFonts w:ascii="仿宋_GB2312" w:hAnsi="宋体" w:eastAsia="仿宋_GB2312" w:cs="宋体"/>
      <w:color w:val="FF0000"/>
      <w:kern w:val="0"/>
      <w:sz w:val="32"/>
      <w:szCs w:val="24"/>
    </w:rPr>
  </w:style>
  <w:style w:type="paragraph" w:customStyle="1" w:styleId="1957">
    <w:name w:val="Char Char Char Char Char1 Char1"/>
    <w:basedOn w:val="5"/>
    <w:qFormat/>
    <w:uiPriority w:val="0"/>
    <w:pPr>
      <w:tabs>
        <w:tab w:val="left" w:pos="360"/>
        <w:tab w:val="left" w:pos="900"/>
      </w:tabs>
      <w:snapToGrid w:val="0"/>
      <w:spacing w:before="120" w:after="120" w:line="360" w:lineRule="auto"/>
      <w:ind w:left="542" w:leftChars="-12" w:firstLine="200" w:firstLineChars="200"/>
    </w:pPr>
    <w:rPr>
      <w:bCs w:val="0"/>
      <w:i/>
      <w:iCs/>
      <w:snapToGrid w:val="0"/>
      <w:sz w:val="24"/>
      <w:szCs w:val="24"/>
    </w:rPr>
  </w:style>
  <w:style w:type="paragraph" w:customStyle="1" w:styleId="1958">
    <w:name w:val="Char Char Char2 Char Char Char Char1"/>
    <w:basedOn w:val="1"/>
    <w:qFormat/>
    <w:uiPriority w:val="0"/>
    <w:pPr>
      <w:tabs>
        <w:tab w:val="left" w:pos="7380"/>
      </w:tabs>
      <w:spacing w:before="120" w:after="120"/>
      <w:ind w:firstLine="200" w:firstLineChars="200"/>
    </w:pPr>
    <w:rPr>
      <w:rFonts w:ascii="Times New Roman"/>
      <w:sz w:val="24"/>
      <w:szCs w:val="24"/>
    </w:rPr>
  </w:style>
  <w:style w:type="paragraph" w:customStyle="1" w:styleId="1959">
    <w:name w:val="Char Char Char Char Char Char Char Char Char Char Char Char Char Char Char Char Char Char Char11"/>
    <w:basedOn w:val="1"/>
    <w:qFormat/>
    <w:uiPriority w:val="0"/>
    <w:pPr>
      <w:widowControl/>
      <w:spacing w:line="360" w:lineRule="auto"/>
      <w:ind w:firstLine="200" w:firstLineChars="200"/>
      <w:jc w:val="left"/>
    </w:pPr>
    <w:rPr>
      <w:rFonts w:hAnsi="宋体" w:cs="宋体"/>
      <w:kern w:val="0"/>
      <w:sz w:val="24"/>
      <w:szCs w:val="24"/>
    </w:rPr>
  </w:style>
  <w:style w:type="paragraph" w:customStyle="1" w:styleId="1960">
    <w:name w:val="Char Char8 Char1"/>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961">
    <w:name w:val="Char Char Char Char Char Char Char Char Char2"/>
    <w:basedOn w:val="1"/>
    <w:qFormat/>
    <w:uiPriority w:val="0"/>
    <w:rPr>
      <w:rFonts w:ascii="Times New Roman"/>
      <w:sz w:val="24"/>
      <w:szCs w:val="20"/>
    </w:rPr>
  </w:style>
  <w:style w:type="paragraph" w:customStyle="1" w:styleId="1962">
    <w:name w:val="Char Char Char Char Char Char Char Char Char Char Char Char Char Char Char Char Char Char Char Char Char Char Char Char1"/>
    <w:basedOn w:val="1"/>
    <w:qFormat/>
    <w:uiPriority w:val="0"/>
    <w:pPr>
      <w:widowControl/>
      <w:jc w:val="left"/>
    </w:pPr>
    <w:rPr>
      <w:rFonts w:hAnsi="宋体" w:cs="宋体"/>
      <w:kern w:val="0"/>
      <w:sz w:val="24"/>
      <w:szCs w:val="24"/>
    </w:rPr>
  </w:style>
  <w:style w:type="paragraph" w:customStyle="1" w:styleId="1963">
    <w:name w:val="Char Char Char Char Char Char Char Char Char Char Char Char Char1"/>
    <w:basedOn w:val="1"/>
    <w:qFormat/>
    <w:uiPriority w:val="0"/>
    <w:pPr>
      <w:widowControl/>
      <w:jc w:val="left"/>
    </w:pPr>
    <w:rPr>
      <w:rFonts w:hAnsi="宋体" w:cs="宋体"/>
      <w:kern w:val="0"/>
      <w:sz w:val="24"/>
      <w:szCs w:val="24"/>
    </w:rPr>
  </w:style>
  <w:style w:type="paragraph" w:customStyle="1" w:styleId="1964">
    <w:name w:val="Char Char1 Char1"/>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1965">
    <w:name w:val="Char Char1 Char Char Char Char1"/>
    <w:basedOn w:val="1"/>
    <w:qFormat/>
    <w:uiPriority w:val="0"/>
    <w:pPr>
      <w:widowControl/>
      <w:ind w:firstLine="200" w:firstLineChars="200"/>
      <w:jc w:val="left"/>
    </w:pPr>
    <w:rPr>
      <w:rFonts w:hAnsi="宋体" w:cs="宋体"/>
      <w:kern w:val="0"/>
      <w:sz w:val="24"/>
      <w:szCs w:val="24"/>
    </w:rPr>
  </w:style>
  <w:style w:type="paragraph" w:customStyle="1" w:styleId="1966">
    <w:name w:val="Char Char Char1 Char Char Char Char Char Char Char Char Char1"/>
    <w:basedOn w:val="1"/>
    <w:qFormat/>
    <w:uiPriority w:val="0"/>
    <w:pPr>
      <w:widowControl/>
      <w:jc w:val="left"/>
    </w:pPr>
    <w:rPr>
      <w:rFonts w:hAnsi="宋体" w:eastAsia="楷体_GB2312" w:cs="宋体"/>
      <w:b/>
      <w:kern w:val="0"/>
      <w:sz w:val="28"/>
      <w:szCs w:val="28"/>
    </w:rPr>
  </w:style>
  <w:style w:type="paragraph" w:customStyle="1" w:styleId="1967">
    <w:name w:val="Char Char Char Char Char Char2"/>
    <w:basedOn w:val="1"/>
    <w:qFormat/>
    <w:uiPriority w:val="0"/>
    <w:pPr>
      <w:widowControl/>
      <w:spacing w:after="160" w:line="240" w:lineRule="exact"/>
      <w:jc w:val="left"/>
    </w:pPr>
    <w:rPr>
      <w:rFonts w:ascii="Verdana" w:hAnsi="Verdana" w:cs="宋体"/>
      <w:kern w:val="0"/>
      <w:sz w:val="20"/>
      <w:szCs w:val="24"/>
      <w:lang w:eastAsia="en-US"/>
    </w:rPr>
  </w:style>
  <w:style w:type="paragraph" w:customStyle="1" w:styleId="1968">
    <w:name w:val="Char Char9 Char Char Char Char Char Char Char Char Char1 Char Char Char Char Char Char Char1"/>
    <w:basedOn w:val="5"/>
    <w:qFormat/>
    <w:uiPriority w:val="0"/>
    <w:pPr>
      <w:tabs>
        <w:tab w:val="left" w:pos="360"/>
        <w:tab w:val="left" w:pos="900"/>
      </w:tabs>
      <w:snapToGrid w:val="0"/>
      <w:spacing w:before="120" w:after="120" w:line="360" w:lineRule="auto"/>
      <w:ind w:left="542" w:leftChars="-12" w:firstLine="200" w:firstLineChars="200"/>
    </w:pPr>
    <w:rPr>
      <w:rFonts w:eastAsia="黑体"/>
      <w:b w:val="0"/>
      <w:bCs w:val="0"/>
      <w:i/>
      <w:iCs/>
      <w:sz w:val="24"/>
      <w:szCs w:val="24"/>
    </w:rPr>
  </w:style>
  <w:style w:type="paragraph" w:customStyle="1" w:styleId="1969">
    <w:name w:val="字元 字元21"/>
    <w:basedOn w:val="1"/>
    <w:qFormat/>
    <w:uiPriority w:val="0"/>
    <w:pPr>
      <w:adjustRightInd w:val="0"/>
      <w:snapToGrid w:val="0"/>
      <w:spacing w:line="360" w:lineRule="auto"/>
      <w:ind w:firstLine="200" w:firstLineChars="200"/>
    </w:pPr>
    <w:rPr>
      <w:rFonts w:ascii="Times New Roman"/>
      <w:sz w:val="24"/>
      <w:szCs w:val="24"/>
    </w:rPr>
  </w:style>
  <w:style w:type="paragraph" w:customStyle="1" w:styleId="1970">
    <w:name w:val="正文21"/>
    <w:basedOn w:val="1"/>
    <w:qFormat/>
    <w:uiPriority w:val="0"/>
    <w:pPr>
      <w:widowControl/>
      <w:spacing w:line="360" w:lineRule="auto"/>
      <w:ind w:firstLine="480" w:firstLineChars="200"/>
      <w:jc w:val="left"/>
    </w:pPr>
    <w:rPr>
      <w:rFonts w:hAnsi="宋体" w:cs="宋体"/>
      <w:kern w:val="0"/>
      <w:sz w:val="24"/>
      <w:szCs w:val="24"/>
    </w:rPr>
  </w:style>
  <w:style w:type="paragraph" w:customStyle="1" w:styleId="1971">
    <w:name w:val="Char Char Char Char Char Char Char Char Char Char Char Char Char Char Char Char Char Char Char2"/>
    <w:basedOn w:val="1"/>
    <w:qFormat/>
    <w:uiPriority w:val="0"/>
    <w:pPr>
      <w:widowControl/>
      <w:spacing w:line="360" w:lineRule="auto"/>
      <w:ind w:firstLine="200" w:firstLineChars="200"/>
      <w:jc w:val="left"/>
    </w:pPr>
    <w:rPr>
      <w:rFonts w:hAnsi="宋体" w:cs="宋体"/>
      <w:kern w:val="0"/>
      <w:sz w:val="24"/>
      <w:szCs w:val="24"/>
    </w:rPr>
  </w:style>
  <w:style w:type="paragraph" w:customStyle="1" w:styleId="1972">
    <w:name w:val="Char Char Char Char Char Char Char Char Char1 Char1"/>
    <w:basedOn w:val="1"/>
    <w:qFormat/>
    <w:uiPriority w:val="0"/>
    <w:pPr>
      <w:widowControl/>
      <w:spacing w:line="360" w:lineRule="auto"/>
      <w:ind w:firstLine="200" w:firstLineChars="200"/>
      <w:jc w:val="left"/>
    </w:pPr>
    <w:rPr>
      <w:rFonts w:hAnsi="宋体" w:cs="宋体"/>
      <w:kern w:val="0"/>
      <w:sz w:val="24"/>
      <w:szCs w:val="24"/>
    </w:rPr>
  </w:style>
  <w:style w:type="paragraph" w:customStyle="1" w:styleId="1973">
    <w:name w:val="Char Char Char3 Char Char Char Char1"/>
    <w:basedOn w:val="1"/>
    <w:next w:val="1"/>
    <w:qFormat/>
    <w:uiPriority w:val="0"/>
    <w:pPr>
      <w:spacing w:line="360" w:lineRule="auto"/>
      <w:ind w:firstLine="200" w:firstLineChars="200"/>
    </w:pPr>
    <w:rPr>
      <w:rFonts w:hAnsi="宋体" w:eastAsia="仿宋_GB2312" w:cs="宋体"/>
      <w:sz w:val="24"/>
      <w:szCs w:val="24"/>
    </w:rPr>
  </w:style>
  <w:style w:type="paragraph" w:customStyle="1" w:styleId="1974">
    <w:name w:val="Char Char Char1 Char Char Char1"/>
    <w:basedOn w:val="5"/>
    <w:qFormat/>
    <w:uiPriority w:val="0"/>
    <w:pPr>
      <w:tabs>
        <w:tab w:val="left" w:pos="360"/>
        <w:tab w:val="left" w:pos="900"/>
      </w:tabs>
      <w:snapToGrid w:val="0"/>
      <w:spacing w:before="120" w:after="120" w:line="360" w:lineRule="auto"/>
      <w:ind w:left="542" w:leftChars="-12" w:firstLine="200" w:firstLineChars="200"/>
    </w:pPr>
    <w:rPr>
      <w:bCs w:val="0"/>
      <w:i/>
      <w:iCs/>
      <w:snapToGrid w:val="0"/>
      <w:sz w:val="24"/>
      <w:szCs w:val="24"/>
    </w:rPr>
  </w:style>
  <w:style w:type="paragraph" w:customStyle="1" w:styleId="1975">
    <w:name w:val="Char1 Char Char Char Char Char Char Char Char Char Char Char Char1"/>
    <w:basedOn w:val="1"/>
    <w:qFormat/>
    <w:uiPriority w:val="0"/>
    <w:pPr>
      <w:widowControl/>
      <w:jc w:val="left"/>
    </w:pPr>
    <w:rPr>
      <w:rFonts w:hAnsi="宋体" w:cs="宋体"/>
      <w:kern w:val="0"/>
      <w:sz w:val="24"/>
      <w:szCs w:val="24"/>
    </w:rPr>
  </w:style>
  <w:style w:type="paragraph" w:customStyle="1" w:styleId="1976">
    <w:name w:val="S正文段落"/>
    <w:basedOn w:val="1"/>
    <w:qFormat/>
    <w:uiPriority w:val="0"/>
    <w:pPr>
      <w:snapToGrid w:val="0"/>
      <w:spacing w:line="360" w:lineRule="auto"/>
      <w:ind w:firstLine="200" w:firstLineChars="200"/>
    </w:pPr>
    <w:rPr>
      <w:rFonts w:ascii="Times New Roman"/>
      <w:kern w:val="0"/>
      <w:sz w:val="24"/>
      <w:szCs w:val="24"/>
    </w:rPr>
  </w:style>
  <w:style w:type="character" w:customStyle="1" w:styleId="1977">
    <w:name w:val="博泵1 Char"/>
    <w:link w:val="1978"/>
    <w:qFormat/>
    <w:uiPriority w:val="0"/>
    <w:rPr>
      <w:rFonts w:hAnsi="宋体" w:cs="宋体"/>
      <w:color w:val="000000"/>
      <w:sz w:val="24"/>
    </w:rPr>
  </w:style>
  <w:style w:type="paragraph" w:customStyle="1" w:styleId="1978">
    <w:name w:val="博泵1"/>
    <w:basedOn w:val="1"/>
    <w:link w:val="1977"/>
    <w:qFormat/>
    <w:uiPriority w:val="0"/>
    <w:pPr>
      <w:adjustRightInd w:val="0"/>
      <w:spacing w:line="480" w:lineRule="exact"/>
      <w:ind w:firstLine="200" w:firstLineChars="200"/>
      <w:jc w:val="left"/>
      <w:textAlignment w:val="baseline"/>
    </w:pPr>
    <w:rPr>
      <w:rFonts w:ascii="Times New Roman" w:hAnsi="宋体" w:cs="宋体"/>
      <w:color w:val="000000"/>
      <w:kern w:val="0"/>
      <w:sz w:val="24"/>
      <w:szCs w:val="20"/>
    </w:rPr>
  </w:style>
  <w:style w:type="paragraph" w:customStyle="1" w:styleId="1979">
    <w:name w:val="Table Paragraph"/>
    <w:basedOn w:val="1"/>
    <w:qFormat/>
    <w:uiPriority w:val="1"/>
    <w:pPr>
      <w:widowControl/>
      <w:jc w:val="left"/>
    </w:pPr>
    <w:rPr>
      <w:rFonts w:ascii="Calibri" w:hAnsi="Calibri" w:cs="Calibri"/>
      <w:kern w:val="0"/>
      <w:sz w:val="22"/>
      <w:szCs w:val="22"/>
    </w:rPr>
  </w:style>
  <w:style w:type="paragraph" w:customStyle="1" w:styleId="1980">
    <w:name w:val="1表头"/>
    <w:basedOn w:val="1"/>
    <w:link w:val="1981"/>
    <w:qFormat/>
    <w:uiPriority w:val="0"/>
    <w:pPr>
      <w:spacing w:line="360" w:lineRule="auto"/>
      <w:jc w:val="center"/>
    </w:pPr>
    <w:rPr>
      <w:rFonts w:ascii="Times New Roman"/>
      <w:b/>
      <w:kern w:val="0"/>
      <w:sz w:val="24"/>
      <w:szCs w:val="20"/>
    </w:rPr>
  </w:style>
  <w:style w:type="character" w:customStyle="1" w:styleId="1981">
    <w:name w:val="1表头 Char"/>
    <w:link w:val="1980"/>
    <w:qFormat/>
    <w:uiPriority w:val="0"/>
    <w:rPr>
      <w:b/>
      <w:sz w:val="24"/>
    </w:rPr>
  </w:style>
  <w:style w:type="paragraph" w:customStyle="1" w:styleId="1982">
    <w:name w:val="ab二级标题zzzzzz"/>
    <w:basedOn w:val="1"/>
    <w:next w:val="1"/>
    <w:qFormat/>
    <w:uiPriority w:val="0"/>
    <w:pPr>
      <w:spacing w:line="520" w:lineRule="exact"/>
      <w:outlineLvl w:val="1"/>
    </w:pPr>
    <w:rPr>
      <w:rFonts w:ascii="Times New Roman"/>
      <w:b/>
      <w:sz w:val="30"/>
      <w:szCs w:val="22"/>
    </w:rPr>
  </w:style>
  <w:style w:type="table" w:customStyle="1" w:styleId="1983">
    <w:name w:val="网格型26"/>
    <w:basedOn w:val="8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4">
    <w:name w:val="网格型27"/>
    <w:basedOn w:val="8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5">
    <w:name w:val="网格型28"/>
    <w:basedOn w:val="8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6">
    <w:name w:val="网格型（pxg）4"/>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7">
    <w:name w:val="网格型29"/>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8">
    <w:name w:val="网格型30"/>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9">
    <w:name w:val="网格型 115"/>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90">
    <w:name w:val="网格型114"/>
    <w:basedOn w:val="8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1">
    <w:name w:val="彩色型 19"/>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992">
    <w:name w:val="彩色型 29"/>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993">
    <w:name w:val="彩色型 39"/>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994">
    <w:name w:val="网格型 29"/>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995">
    <w:name w:val="网格型 59"/>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996">
    <w:name w:val="彩色型 243"/>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97">
    <w:name w:val="彩色型 343"/>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98">
    <w:name w:val="彩色型 143"/>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99">
    <w:name w:val="网格型 243"/>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000">
    <w:name w:val="网格型 543"/>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01">
    <w:name w:val="彩色型 141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2002">
    <w:name w:val="彩色型 241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003">
    <w:name w:val="彩色型 341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004">
    <w:name w:val="网格型 241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2005">
    <w:name w:val="网格型 541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006">
    <w:name w:val="网格型172"/>
    <w:basedOn w:val="8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7">
    <w:name w:val="彩色型 272"/>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008">
    <w:name w:val="彩色型 372"/>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09">
    <w:name w:val="彩色型 172"/>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010">
    <w:name w:val="网格型 272"/>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011">
    <w:name w:val="网格型 572"/>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12">
    <w:name w:val="网格型 1142"/>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013">
    <w:name w:val="网格型115"/>
    <w:basedOn w:val="8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14">
    <w:name w:val="_Style 1"/>
    <w:basedOn w:val="1"/>
    <w:qFormat/>
    <w:uiPriority w:val="34"/>
    <w:pPr>
      <w:widowControl/>
      <w:adjustRightInd w:val="0"/>
      <w:snapToGrid w:val="0"/>
      <w:spacing w:after="200" w:line="440" w:lineRule="exact"/>
      <w:ind w:firstLine="420" w:firstLineChars="200"/>
      <w:jc w:val="left"/>
    </w:pPr>
    <w:rPr>
      <w:rFonts w:ascii="Calibri" w:hAnsi="Calibri"/>
      <w:kern w:val="0"/>
      <w:sz w:val="24"/>
      <w:szCs w:val="24"/>
    </w:rPr>
  </w:style>
  <w:style w:type="paragraph" w:customStyle="1" w:styleId="2015">
    <w:name w:val="_Style 10"/>
    <w:basedOn w:val="1"/>
    <w:qFormat/>
    <w:uiPriority w:val="0"/>
    <w:pPr>
      <w:widowControl/>
      <w:adjustRightInd w:val="0"/>
      <w:snapToGrid w:val="0"/>
      <w:spacing w:after="200" w:line="440" w:lineRule="exact"/>
      <w:ind w:firstLine="420" w:firstLineChars="200"/>
      <w:jc w:val="left"/>
    </w:pPr>
    <w:rPr>
      <w:rFonts w:ascii="Times New Roman" w:eastAsia="仿宋_GB2312"/>
      <w:kern w:val="0"/>
      <w:sz w:val="24"/>
      <w:szCs w:val="24"/>
    </w:rPr>
  </w:style>
  <w:style w:type="paragraph" w:customStyle="1" w:styleId="2016">
    <w:name w:val="样式 样式 样式 标题 3小标题H3条标题1.1.11.1.1标题 3H31H32H33u3标题 3 Char Char ......"/>
    <w:qFormat/>
    <w:uiPriority w:val="0"/>
    <w:rPr>
      <w:rFonts w:ascii="Times New Roman" w:hAnsi="Times New Roman" w:eastAsia="宋体" w:cs="Times New Roman"/>
      <w:lang w:val="en-US" w:eastAsia="zh-CN" w:bidi="ar-SA"/>
    </w:rPr>
  </w:style>
  <w:style w:type="paragraph" w:customStyle="1" w:styleId="2017">
    <w:name w:val="样式 样式 标题 3小标题H3条标题1.1.11.1.1标题 3H31H32H33u3标题 3 Char Char ... + ..."/>
    <w:qFormat/>
    <w:uiPriority w:val="0"/>
    <w:rPr>
      <w:rFonts w:ascii="Times New Roman" w:hAnsi="Times New Roman" w:eastAsia="宋体" w:cs="Times New Roman"/>
      <w:lang w:val="en-US" w:eastAsia="zh-CN" w:bidi="ar-SA"/>
    </w:rPr>
  </w:style>
  <w:style w:type="paragraph" w:customStyle="1" w:styleId="2018">
    <w:name w:val="样式 标题 3小标题H3条标题1.1.11.1.1标题 3H31H32H33u3标题 3 Char Char ..."/>
    <w:basedOn w:val="5"/>
    <w:qFormat/>
    <w:uiPriority w:val="0"/>
    <w:pPr>
      <w:spacing w:before="60" w:after="60" w:line="440" w:lineRule="exact"/>
    </w:pPr>
    <w:rPr>
      <w:rFonts w:cs="宋体"/>
      <w:bCs w:val="0"/>
      <w:kern w:val="0"/>
      <w:sz w:val="24"/>
      <w:szCs w:val="24"/>
    </w:rPr>
  </w:style>
  <w:style w:type="paragraph" w:customStyle="1" w:styleId="2019">
    <w:name w:val="新利正文"/>
    <w:basedOn w:val="1"/>
    <w:qFormat/>
    <w:uiPriority w:val="0"/>
    <w:pPr>
      <w:widowControl/>
      <w:adjustRightInd w:val="0"/>
      <w:snapToGrid w:val="0"/>
      <w:spacing w:line="500" w:lineRule="exact"/>
      <w:ind w:firstLine="200" w:firstLineChars="200"/>
    </w:pPr>
    <w:rPr>
      <w:rFonts w:ascii="Times New Roman"/>
      <w:kern w:val="0"/>
      <w:sz w:val="24"/>
      <w:szCs w:val="24"/>
    </w:rPr>
  </w:style>
  <w:style w:type="paragraph" w:customStyle="1" w:styleId="2020">
    <w:name w:val="样式 正文文本缩进 3正文文字缩进 3 + 四号 段后: 7.8 磅 行距: 多倍行距 1.25 字行"/>
    <w:basedOn w:val="66"/>
    <w:qFormat/>
    <w:uiPriority w:val="0"/>
    <w:pPr>
      <w:widowControl/>
      <w:tabs>
        <w:tab w:val="clear" w:pos="0"/>
      </w:tabs>
      <w:adjustRightInd w:val="0"/>
      <w:snapToGrid w:val="0"/>
      <w:spacing w:after="156" w:line="312" w:lineRule="auto"/>
      <w:ind w:firstLine="228" w:firstLineChars="228"/>
      <w:jc w:val="left"/>
    </w:pPr>
    <w:rPr>
      <w:rFonts w:eastAsia="仿宋_GB2312" w:cs="宋体"/>
      <w:kern w:val="0"/>
      <w:szCs w:val="20"/>
    </w:rPr>
  </w:style>
  <w:style w:type="paragraph" w:customStyle="1" w:styleId="2021">
    <w:name w:val="字元 字元1"/>
    <w:basedOn w:val="1"/>
    <w:qFormat/>
    <w:uiPriority w:val="0"/>
    <w:rPr>
      <w:rFonts w:ascii="Times New Roman"/>
      <w:sz w:val="21"/>
      <w:szCs w:val="24"/>
    </w:rPr>
  </w:style>
  <w:style w:type="table" w:customStyle="1" w:styleId="2022">
    <w:name w:val="网格型65"/>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3">
    <w:name w:val="网格型71"/>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4">
    <w:name w:val="网格型66"/>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5">
    <w:name w:val="网格型81"/>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6">
    <w:name w:val="网格型72"/>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7">
    <w:name w:val="网格型35"/>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28">
    <w:name w:val="Char Char152"/>
    <w:qFormat/>
    <w:uiPriority w:val="0"/>
    <w:rPr>
      <w:rFonts w:hint="default" w:ascii="幼圆" w:hAnsi="幼圆" w:eastAsia="FLGPEK+TimesNewRoman,Italic" w:cs="ˎ̥"/>
      <w:kern w:val="24"/>
      <w:sz w:val="24"/>
      <w:szCs w:val="20"/>
    </w:rPr>
  </w:style>
  <w:style w:type="character" w:customStyle="1" w:styleId="2029">
    <w:name w:val="标题2-自建可研 Char Char Char"/>
    <w:qFormat/>
    <w:uiPriority w:val="0"/>
    <w:rPr>
      <w:rFonts w:ascii="Arial" w:hAnsi="Arial" w:eastAsia="宋体"/>
      <w:b/>
      <w:kern w:val="2"/>
      <w:sz w:val="28"/>
      <w:lang w:val="en-US" w:eastAsia="zh-CN"/>
    </w:rPr>
  </w:style>
  <w:style w:type="character" w:customStyle="1" w:styleId="2030">
    <w:name w:val="超链接3"/>
    <w:qFormat/>
    <w:uiPriority w:val="0"/>
    <w:rPr>
      <w:color w:val="auto"/>
      <w:sz w:val="18"/>
      <w:u w:val="none"/>
    </w:rPr>
  </w:style>
  <w:style w:type="character" w:customStyle="1" w:styleId="2031">
    <w:name w:val="WW8Num1413z1"/>
    <w:semiHidden/>
    <w:qFormat/>
    <w:uiPriority w:val="0"/>
    <w:rPr>
      <w:rFonts w:ascii="Wingdings" w:hAnsi="Wingdings"/>
    </w:rPr>
  </w:style>
  <w:style w:type="character" w:customStyle="1" w:styleId="2032">
    <w:name w:val="正文小四 Char1"/>
    <w:qFormat/>
    <w:uiPriority w:val="0"/>
    <w:rPr>
      <w:rFonts w:ascii="Times New Roman" w:hAnsi="Times New Roman" w:eastAsia="宋体" w:cs="Times New Roman"/>
      <w:kern w:val="2"/>
      <w:sz w:val="24"/>
    </w:rPr>
  </w:style>
  <w:style w:type="character" w:customStyle="1" w:styleId="2033">
    <w:name w:val="宋体 13 磅 行距: 固定值 24 磅 Char Char Char"/>
    <w:qFormat/>
    <w:uiPriority w:val="0"/>
    <w:rPr>
      <w:rFonts w:ascii="宋体" w:hAnsi="宋体" w:eastAsia="宋体" w:cs="宋体"/>
      <w:kern w:val="2"/>
      <w:sz w:val="26"/>
    </w:rPr>
  </w:style>
  <w:style w:type="character" w:customStyle="1" w:styleId="2034">
    <w:name w:val="newstopic-h1"/>
    <w:qFormat/>
    <w:uiPriority w:val="0"/>
    <w:rPr>
      <w:rFonts w:hint="default"/>
      <w:b/>
      <w:color w:val="333333"/>
      <w:spacing w:val="0"/>
      <w:sz w:val="21"/>
    </w:rPr>
  </w:style>
  <w:style w:type="character" w:customStyle="1" w:styleId="2035">
    <w:name w:val="Lead-in Emphasis"/>
    <w:qFormat/>
    <w:uiPriority w:val="0"/>
    <w:rPr>
      <w:rFonts w:ascii="ˎ̥" w:hAnsi="ˎ̥"/>
      <w:b/>
      <w:spacing w:val="-8"/>
      <w:sz w:val="18"/>
    </w:rPr>
  </w:style>
  <w:style w:type="character" w:customStyle="1" w:styleId="2036">
    <w:name w:val="表号 Char2"/>
    <w:link w:val="2037"/>
    <w:qFormat/>
    <w:uiPriority w:val="0"/>
    <w:rPr>
      <w:rFonts w:ascii="黑体" w:eastAsia="黑体"/>
      <w:b/>
      <w:sz w:val="24"/>
    </w:rPr>
  </w:style>
  <w:style w:type="paragraph" w:customStyle="1" w:styleId="2037">
    <w:name w:val="表号"/>
    <w:basedOn w:val="699"/>
    <w:next w:val="699"/>
    <w:link w:val="2036"/>
    <w:qFormat/>
    <w:uiPriority w:val="0"/>
    <w:pPr>
      <w:spacing w:before="120" w:after="120" w:line="240" w:lineRule="atLeast"/>
    </w:pPr>
    <w:rPr>
      <w:rFonts w:ascii="黑体" w:eastAsia="黑体"/>
      <w:b/>
      <w:color w:val="auto"/>
      <w:sz w:val="24"/>
    </w:rPr>
  </w:style>
  <w:style w:type="character" w:customStyle="1" w:styleId="2038">
    <w:name w:val="页脚 Char3"/>
    <w:qFormat/>
    <w:uiPriority w:val="0"/>
    <w:rPr>
      <w:sz w:val="18"/>
      <w:szCs w:val="18"/>
    </w:rPr>
  </w:style>
  <w:style w:type="character" w:customStyle="1" w:styleId="2039">
    <w:name w:val="ljsh Char"/>
    <w:link w:val="2040"/>
    <w:qFormat/>
    <w:uiPriority w:val="0"/>
    <w:rPr>
      <w:rFonts w:ascii="宋体" w:hAnsi="宋体"/>
      <w:snapToGrid w:val="0"/>
      <w:color w:val="000000"/>
    </w:rPr>
  </w:style>
  <w:style w:type="paragraph" w:customStyle="1" w:styleId="2040">
    <w:name w:val="ljsh"/>
    <w:link w:val="2039"/>
    <w:qFormat/>
    <w:uiPriority w:val="0"/>
    <w:pPr>
      <w:adjustRightInd w:val="0"/>
      <w:snapToGrid w:val="0"/>
      <w:spacing w:line="360" w:lineRule="auto"/>
      <w:ind w:left="350" w:leftChars="350" w:firstLine="200" w:firstLineChars="200"/>
    </w:pPr>
    <w:rPr>
      <w:rFonts w:ascii="宋体" w:hAnsi="宋体" w:eastAsia="宋体" w:cs="Times New Roman"/>
      <w:snapToGrid w:val="0"/>
      <w:color w:val="000000"/>
      <w:lang w:val="en-US" w:eastAsia="zh-CN" w:bidi="ar-SA"/>
    </w:rPr>
  </w:style>
  <w:style w:type="character" w:customStyle="1" w:styleId="2041">
    <w:name w:val="样式 正文首行缩进可研-正文首行缩进 + 首行缩进:  2 字符 Char"/>
    <w:qFormat/>
    <w:uiPriority w:val="0"/>
    <w:rPr>
      <w:rFonts w:ascii="宋体" w:hAnsi="宋体" w:eastAsia="宋体" w:cs="宋体"/>
      <w:sz w:val="28"/>
      <w:lang w:val="en-US" w:eastAsia="zh-CN" w:bidi="ar-SA"/>
    </w:rPr>
  </w:style>
  <w:style w:type="character" w:customStyle="1" w:styleId="2042">
    <w:name w:val="Job"/>
    <w:basedOn w:val="129"/>
    <w:qFormat/>
    <w:uiPriority w:val="0"/>
  </w:style>
  <w:style w:type="character" w:customStyle="1" w:styleId="2043">
    <w:name w:val="样式 正文@ + 首行缩进:  2 字符2 Char"/>
    <w:link w:val="2044"/>
    <w:qFormat/>
    <w:uiPriority w:val="0"/>
    <w:rPr>
      <w:rFonts w:ascii="宋体" w:hAnsi="宋体" w:cs="宋体"/>
      <w:sz w:val="24"/>
    </w:rPr>
  </w:style>
  <w:style w:type="paragraph" w:customStyle="1" w:styleId="2044">
    <w:name w:val="样式 正文@ + 首行缩进:  2 字符2"/>
    <w:basedOn w:val="1"/>
    <w:link w:val="2043"/>
    <w:qFormat/>
    <w:uiPriority w:val="0"/>
    <w:pPr>
      <w:spacing w:line="360" w:lineRule="auto"/>
      <w:ind w:firstLine="480" w:firstLineChars="200"/>
    </w:pPr>
    <w:rPr>
      <w:rFonts w:hAnsi="宋体" w:cs="宋体"/>
      <w:kern w:val="0"/>
      <w:sz w:val="24"/>
      <w:szCs w:val="20"/>
    </w:rPr>
  </w:style>
  <w:style w:type="character" w:customStyle="1" w:styleId="2045">
    <w:name w:val="comment-link1"/>
    <w:qFormat/>
    <w:uiPriority w:val="0"/>
    <w:rPr>
      <w:rFonts w:hint="default" w:ascii="Arial" w:hAnsi="Arial" w:cs="Arial"/>
      <w:color w:val="133DB6"/>
    </w:rPr>
  </w:style>
  <w:style w:type="character" w:customStyle="1" w:styleId="2046">
    <w:name w:val="图 z Char Char"/>
    <w:qFormat/>
    <w:uiPriority w:val="0"/>
    <w:rPr>
      <w:sz w:val="24"/>
      <w:lang w:bidi="ar-SA"/>
    </w:rPr>
  </w:style>
  <w:style w:type="character" w:customStyle="1" w:styleId="2047">
    <w:name w:val="发布"/>
    <w:qFormat/>
    <w:uiPriority w:val="0"/>
    <w:rPr>
      <w:rFonts w:ascii="黑体" w:eastAsia="黑体"/>
      <w:spacing w:val="22"/>
      <w:w w:val="100"/>
      <w:position w:val="3"/>
      <w:sz w:val="28"/>
    </w:rPr>
  </w:style>
  <w:style w:type="character" w:customStyle="1" w:styleId="2048">
    <w:name w:val="批注框文本 Char Char Char"/>
    <w:qFormat/>
    <w:uiPriority w:val="0"/>
    <w:rPr>
      <w:kern w:val="2"/>
      <w:sz w:val="18"/>
      <w:lang w:bidi="ar-SA"/>
    </w:rPr>
  </w:style>
  <w:style w:type="character" w:customStyle="1" w:styleId="2049">
    <w:name w:val="样式 标题 4 + 蓝色 Char"/>
    <w:qFormat/>
    <w:uiPriority w:val="0"/>
    <w:rPr>
      <w:rFonts w:ascii="新宋体" w:hAnsi="Arial" w:eastAsia="新宋体"/>
      <w:b/>
      <w:bCs/>
      <w:color w:val="0000FF"/>
      <w:sz w:val="28"/>
      <w:szCs w:val="28"/>
    </w:rPr>
  </w:style>
  <w:style w:type="character" w:customStyle="1" w:styleId="2050">
    <w:name w:val="正文段落 Char1"/>
    <w:qFormat/>
    <w:uiPriority w:val="0"/>
    <w:rPr>
      <w:rFonts w:eastAsia="宋体"/>
      <w:bCs/>
      <w:kern w:val="2"/>
      <w:sz w:val="24"/>
      <w:szCs w:val="24"/>
      <w:lang w:val="en-US" w:eastAsia="zh-CN" w:bidi="ar-SA"/>
    </w:rPr>
  </w:style>
  <w:style w:type="character" w:customStyle="1" w:styleId="2051">
    <w:name w:val="段落1 Char Char Char Char"/>
    <w:qFormat/>
    <w:uiPriority w:val="0"/>
    <w:rPr>
      <w:rFonts w:eastAsia="宋体"/>
      <w:spacing w:val="8"/>
      <w:kern w:val="2"/>
      <w:sz w:val="24"/>
      <w:lang w:val="en-US" w:eastAsia="zh-CN" w:bidi="ar-SA"/>
    </w:rPr>
  </w:style>
  <w:style w:type="character" w:customStyle="1" w:styleId="2052">
    <w:name w:val="样式 仪征正文 + 黑色 Char"/>
    <w:qFormat/>
    <w:uiPriority w:val="0"/>
    <w:rPr>
      <w:rFonts w:ascii="Arial" w:hAnsi="Arial" w:eastAsia="仿宋_GB2312"/>
      <w:color w:val="000000"/>
      <w:sz w:val="24"/>
    </w:rPr>
  </w:style>
  <w:style w:type="character" w:customStyle="1" w:styleId="2053">
    <w:name w:val="访问过的超链接2"/>
    <w:qFormat/>
    <w:uiPriority w:val="0"/>
    <w:rPr>
      <w:color w:val="800080"/>
      <w:u w:val="single"/>
    </w:rPr>
  </w:style>
  <w:style w:type="character" w:customStyle="1" w:styleId="2054">
    <w:name w:val="样式 样式 首行缩进:  2 字符 行距: 最小值 24 磅 + 首行缩进:  2 字符 Char Char"/>
    <w:qFormat/>
    <w:uiPriority w:val="0"/>
    <w:rPr>
      <w:rFonts w:cs="宋体"/>
      <w:sz w:val="24"/>
    </w:rPr>
  </w:style>
  <w:style w:type="character" w:customStyle="1" w:styleId="2055">
    <w:name w:val="文本框文字 Char"/>
    <w:link w:val="2056"/>
    <w:qFormat/>
    <w:uiPriority w:val="0"/>
  </w:style>
  <w:style w:type="paragraph" w:customStyle="1" w:styleId="2056">
    <w:name w:val="文本框文字"/>
    <w:basedOn w:val="1"/>
    <w:link w:val="2055"/>
    <w:semiHidden/>
    <w:qFormat/>
    <w:uiPriority w:val="0"/>
    <w:pPr>
      <w:adjustRightInd w:val="0"/>
      <w:jc w:val="center"/>
    </w:pPr>
    <w:rPr>
      <w:rFonts w:ascii="Times New Roman"/>
      <w:kern w:val="0"/>
      <w:sz w:val="20"/>
      <w:szCs w:val="20"/>
    </w:rPr>
  </w:style>
  <w:style w:type="character" w:customStyle="1" w:styleId="2057">
    <w:name w:val="表格 规划 Char Char"/>
    <w:link w:val="2058"/>
    <w:qFormat/>
    <w:uiPriority w:val="0"/>
    <w:rPr>
      <w:rFonts w:ascii="宋体" w:hAnsi="宋体"/>
      <w:color w:val="000000"/>
    </w:rPr>
  </w:style>
  <w:style w:type="paragraph" w:customStyle="1" w:styleId="2058">
    <w:name w:val="表格 规划"/>
    <w:basedOn w:val="1"/>
    <w:link w:val="2057"/>
    <w:qFormat/>
    <w:uiPriority w:val="0"/>
    <w:pPr>
      <w:snapToGrid w:val="0"/>
      <w:spacing w:line="300" w:lineRule="exact"/>
      <w:jc w:val="center"/>
    </w:pPr>
    <w:rPr>
      <w:rFonts w:hAnsi="宋体"/>
      <w:color w:val="000000"/>
      <w:kern w:val="0"/>
      <w:sz w:val="20"/>
      <w:szCs w:val="20"/>
    </w:rPr>
  </w:style>
  <w:style w:type="character" w:customStyle="1" w:styleId="2059">
    <w:name w:val="表头------------- Char"/>
    <w:link w:val="2060"/>
    <w:qFormat/>
    <w:uiPriority w:val="0"/>
    <w:rPr>
      <w:rFonts w:ascii="黑体" w:eastAsia="黑体" w:cs="宋体"/>
      <w:sz w:val="24"/>
    </w:rPr>
  </w:style>
  <w:style w:type="paragraph" w:customStyle="1" w:styleId="2060">
    <w:name w:val="表头-------------"/>
    <w:basedOn w:val="1"/>
    <w:link w:val="2059"/>
    <w:qFormat/>
    <w:uiPriority w:val="0"/>
    <w:pPr>
      <w:spacing w:line="460" w:lineRule="exact"/>
      <w:jc w:val="center"/>
    </w:pPr>
    <w:rPr>
      <w:rFonts w:ascii="黑体" w:eastAsia="黑体" w:cs="宋体"/>
      <w:kern w:val="0"/>
      <w:sz w:val="24"/>
      <w:szCs w:val="20"/>
    </w:rPr>
  </w:style>
  <w:style w:type="character" w:customStyle="1" w:styleId="2061">
    <w:name w:val="text_edit editable-title"/>
    <w:basedOn w:val="129"/>
    <w:qFormat/>
    <w:uiPriority w:val="0"/>
  </w:style>
  <w:style w:type="character" w:customStyle="1" w:styleId="2062">
    <w:name w:val="正文(首行缩进) Char1"/>
    <w:qFormat/>
    <w:uiPriority w:val="0"/>
    <w:rPr>
      <w:rFonts w:hint="eastAsia" w:ascii="黑体" w:eastAsia="黑体"/>
      <w:bCs/>
      <w:snapToGrid w:val="0"/>
      <w:color w:val="000000"/>
      <w:kern w:val="2"/>
      <w:sz w:val="24"/>
      <w:lang w:val="en-US" w:eastAsia="zh-CN" w:bidi="ar-SA"/>
    </w:rPr>
  </w:style>
  <w:style w:type="character" w:customStyle="1" w:styleId="2063">
    <w:name w:val="Char Char59"/>
    <w:qFormat/>
    <w:uiPriority w:val="0"/>
    <w:rPr>
      <w:rFonts w:hint="eastAsia" w:ascii="宋体" w:hAnsi="宋体" w:eastAsia="宋体"/>
      <w:b/>
      <w:bCs/>
      <w:kern w:val="2"/>
      <w:sz w:val="24"/>
      <w:szCs w:val="28"/>
      <w:lang w:val="en-US" w:eastAsia="zh-CN" w:bidi="ar-SA"/>
    </w:rPr>
  </w:style>
  <w:style w:type="character" w:customStyle="1" w:styleId="2064">
    <w:name w:val="样式 标题 3 + 加粗 Char"/>
    <w:qFormat/>
    <w:uiPriority w:val="0"/>
    <w:rPr>
      <w:rFonts w:ascii="宋体" w:hAnsi="Calibri" w:eastAsia="宋体" w:cs="Times New Roman"/>
      <w:b/>
      <w:bCs/>
      <w:sz w:val="28"/>
      <w:szCs w:val="24"/>
      <w:lang w:val="en-US" w:eastAsia="zh-CN" w:bidi="ar-SA"/>
    </w:rPr>
  </w:style>
  <w:style w:type="character" w:customStyle="1" w:styleId="2065">
    <w:name w:val="jianjie"/>
    <w:basedOn w:val="129"/>
    <w:qFormat/>
    <w:uiPriority w:val="0"/>
  </w:style>
  <w:style w:type="character" w:customStyle="1" w:styleId="2066">
    <w:name w:val="ljszhengwen Char"/>
    <w:link w:val="2067"/>
    <w:qFormat/>
    <w:uiPriority w:val="0"/>
    <w:rPr>
      <w:rFonts w:ascii="宋体" w:hAnsi="宋体"/>
      <w:bCs/>
      <w:snapToGrid w:val="0"/>
      <w:sz w:val="24"/>
      <w:szCs w:val="24"/>
    </w:rPr>
  </w:style>
  <w:style w:type="paragraph" w:customStyle="1" w:styleId="2067">
    <w:name w:val="ljszhengwen"/>
    <w:link w:val="2066"/>
    <w:qFormat/>
    <w:uiPriority w:val="0"/>
    <w:pPr>
      <w:adjustRightInd w:val="0"/>
      <w:snapToGrid w:val="0"/>
      <w:spacing w:line="360" w:lineRule="auto"/>
      <w:ind w:left="350" w:leftChars="350" w:firstLine="200" w:firstLineChars="200"/>
    </w:pPr>
    <w:rPr>
      <w:rFonts w:ascii="宋体" w:hAnsi="宋体" w:eastAsia="宋体" w:cs="Times New Roman"/>
      <w:bCs/>
      <w:snapToGrid w:val="0"/>
      <w:sz w:val="24"/>
      <w:szCs w:val="24"/>
      <w:lang w:val="en-US" w:eastAsia="zh-CN" w:bidi="ar-SA"/>
    </w:rPr>
  </w:style>
  <w:style w:type="character" w:customStyle="1" w:styleId="2068">
    <w:name w:val="样式 样式 样式 样式 正文 首行缩进 + 首行缩进:  2 字符 行距: 单倍行距 + 首行缩进:  2 字符 + 小四 首行...2 Char"/>
    <w:link w:val="2069"/>
    <w:qFormat/>
    <w:uiPriority w:val="0"/>
    <w:rPr>
      <w:rFonts w:ascii="Arial" w:hAnsi="Arial" w:cs="宋体"/>
      <w:sz w:val="24"/>
    </w:rPr>
  </w:style>
  <w:style w:type="paragraph" w:customStyle="1" w:styleId="2069">
    <w:name w:val="样式 样式 样式 样式 正文 首行缩进 + 首行缩进:  2 字符 行距: 单倍行距 + 首行缩进:  2 字符 + 小四 首行...2"/>
    <w:basedOn w:val="1"/>
    <w:link w:val="2068"/>
    <w:qFormat/>
    <w:uiPriority w:val="0"/>
    <w:pPr>
      <w:spacing w:line="312" w:lineRule="auto"/>
      <w:ind w:firstLine="480" w:firstLineChars="200"/>
    </w:pPr>
    <w:rPr>
      <w:rFonts w:ascii="Arial" w:hAnsi="Arial" w:cs="宋体"/>
      <w:kern w:val="0"/>
      <w:sz w:val="24"/>
      <w:szCs w:val="20"/>
    </w:rPr>
  </w:style>
  <w:style w:type="character" w:customStyle="1" w:styleId="2070">
    <w:name w:val="style150"/>
    <w:qFormat/>
    <w:uiPriority w:val="0"/>
  </w:style>
  <w:style w:type="character" w:customStyle="1" w:styleId="2071">
    <w:name w:val="样式 标题 21标题2H2h2第一层条1.1标题 2节标题 1.11.1标题2节标题 1.1 Char1.1... Char Char"/>
    <w:qFormat/>
    <w:uiPriority w:val="0"/>
    <w:rPr>
      <w:rFonts w:hint="default" w:ascii="Arial" w:hAnsi="Arial" w:cs="Arial"/>
      <w:b/>
      <w:bCs/>
      <w:kern w:val="2"/>
      <w:sz w:val="30"/>
      <w:szCs w:val="32"/>
      <w:lang w:bidi="ar-SA"/>
    </w:rPr>
  </w:style>
  <w:style w:type="character" w:customStyle="1" w:styleId="2072">
    <w:name w:val="标题 5 Char3"/>
    <w:qFormat/>
    <w:uiPriority w:val="0"/>
    <w:rPr>
      <w:rFonts w:eastAsia="宋体"/>
      <w:b/>
      <w:kern w:val="2"/>
      <w:sz w:val="28"/>
      <w:szCs w:val="24"/>
      <w:lang w:val="en-US" w:eastAsia="zh-CN" w:bidi="ar-SA"/>
    </w:rPr>
  </w:style>
  <w:style w:type="character" w:customStyle="1" w:styleId="2073">
    <w:name w:val="标题 8 Char2"/>
    <w:qFormat/>
    <w:uiPriority w:val="0"/>
    <w:rPr>
      <w:rFonts w:ascii="ˎ̥" w:hAnsi="ˎ̥" w:eastAsia="FLGPEK+TimesNewRoman,Italic" w:cs="Batang"/>
      <w:sz w:val="24"/>
      <w:lang w:val="en-US" w:eastAsia="zh-CN" w:bidi="ar-SA"/>
    </w:rPr>
  </w:style>
  <w:style w:type="character" w:customStyle="1" w:styleId="2074">
    <w:name w:val="引入重点"/>
    <w:qFormat/>
    <w:uiPriority w:val="0"/>
    <w:rPr>
      <w:rFonts w:ascii="Arial" w:hAnsi="Arial" w:eastAsia="黑体"/>
      <w:b/>
      <w:spacing w:val="-4"/>
      <w:sz w:val="21"/>
    </w:rPr>
  </w:style>
  <w:style w:type="character" w:customStyle="1" w:styleId="2075">
    <w:name w:val="样式 样式 小四 左 行距: 固定值 28 磅 + 黑体 Char"/>
    <w:link w:val="2076"/>
    <w:qFormat/>
    <w:uiPriority w:val="0"/>
    <w:rPr>
      <w:rFonts w:ascii="黑体" w:hAnsi="黑体" w:eastAsia="黑体" w:cs="宋体"/>
      <w:sz w:val="24"/>
    </w:rPr>
  </w:style>
  <w:style w:type="paragraph" w:customStyle="1" w:styleId="2076">
    <w:name w:val="样式 样式 小四 左 行距: 固定值 28 磅 + 黑体"/>
    <w:link w:val="2075"/>
    <w:qFormat/>
    <w:uiPriority w:val="0"/>
    <w:rPr>
      <w:rFonts w:ascii="黑体" w:hAnsi="黑体" w:eastAsia="黑体" w:cs="Times New Roman"/>
      <w:lang w:val="en-US" w:eastAsia="zh-CN" w:bidi="ar-SA"/>
    </w:rPr>
  </w:style>
  <w:style w:type="paragraph" w:customStyle="1" w:styleId="2077">
    <w:name w:val="样式 小四 左 行距: 固定值 28 磅"/>
    <w:basedOn w:val="1"/>
    <w:link w:val="2078"/>
    <w:qFormat/>
    <w:uiPriority w:val="0"/>
    <w:pPr>
      <w:spacing w:line="560" w:lineRule="exact"/>
      <w:jc w:val="left"/>
    </w:pPr>
    <w:rPr>
      <w:rFonts w:hAnsi="宋体" w:cs="宋体"/>
      <w:kern w:val="0"/>
      <w:sz w:val="24"/>
      <w:szCs w:val="20"/>
    </w:rPr>
  </w:style>
  <w:style w:type="character" w:customStyle="1" w:styleId="2078">
    <w:name w:val="样式 小四 左 行距: 固定值 28 磅 Char"/>
    <w:link w:val="2077"/>
    <w:qFormat/>
    <w:uiPriority w:val="0"/>
    <w:rPr>
      <w:rFonts w:ascii="宋体" w:hAnsi="宋体" w:cs="宋体"/>
      <w:sz w:val="24"/>
    </w:rPr>
  </w:style>
  <w:style w:type="character" w:customStyle="1" w:styleId="2079">
    <w:name w:val="Char Char32"/>
    <w:qFormat/>
    <w:uiPriority w:val="0"/>
    <w:rPr>
      <w:rFonts w:ascii="FLGPEK+TimesNewRoman,Italic" w:hAnsi="FLGPEK+TimesNewRoman,Italic" w:eastAsia="FLGPEK+TimesNewRoman,Italic"/>
      <w:sz w:val="28"/>
      <w:lang w:val="en-US" w:eastAsia="zh-CN" w:bidi="ar-SA"/>
    </w:rPr>
  </w:style>
  <w:style w:type="character" w:customStyle="1" w:styleId="2080">
    <w:name w:val="正文1 Char Char Char"/>
    <w:qFormat/>
    <w:uiPriority w:val="0"/>
    <w:rPr>
      <w:rFonts w:ascii="宋体" w:hAnsi="Calibri" w:eastAsia="宋体" w:cs="Times New Roman"/>
      <w:sz w:val="24"/>
      <w:szCs w:val="22"/>
      <w:lang w:bidi="ar-SA"/>
    </w:rPr>
  </w:style>
  <w:style w:type="character" w:customStyle="1" w:styleId="2081">
    <w:name w:val="标题3-自建 Char Char Char Char"/>
    <w:qFormat/>
    <w:uiPriority w:val="0"/>
    <w:rPr>
      <w:rFonts w:eastAsia="宋体"/>
      <w:b/>
      <w:kern w:val="2"/>
      <w:sz w:val="28"/>
      <w:lang w:val="en-US" w:eastAsia="zh-CN"/>
    </w:rPr>
  </w:style>
  <w:style w:type="character" w:customStyle="1" w:styleId="2082">
    <w:name w:val="d1"/>
    <w:qFormat/>
    <w:uiPriority w:val="0"/>
    <w:rPr>
      <w:rFonts w:hint="default" w:ascii="ˎ̥" w:hAnsi="ˎ̥" w:eastAsia="宋体" w:cs="Times New Roman"/>
      <w:color w:val="5C5C5C"/>
      <w:sz w:val="23"/>
      <w:szCs w:val="23"/>
      <w:u w:val="none"/>
    </w:rPr>
  </w:style>
  <w:style w:type="character" w:customStyle="1" w:styleId="2083">
    <w:name w:val="表头及表尾 Char"/>
    <w:qFormat/>
    <w:uiPriority w:val="0"/>
    <w:rPr>
      <w:b/>
      <w:snapToGrid w:val="0"/>
      <w:szCs w:val="21"/>
    </w:rPr>
  </w:style>
  <w:style w:type="character" w:customStyle="1" w:styleId="2084">
    <w:name w:val="Char Char182"/>
    <w:qFormat/>
    <w:uiPriority w:val="0"/>
    <w:rPr>
      <w:rFonts w:ascii="宋体" w:hAnsi="Courier New" w:eastAsia="宋体"/>
      <w:spacing w:val="5"/>
      <w:kern w:val="2"/>
      <w:sz w:val="25"/>
      <w:szCs w:val="25"/>
      <w:lang w:val="en-US" w:eastAsia="zh-CN" w:bidi="ar-SA"/>
    </w:rPr>
  </w:style>
  <w:style w:type="character" w:customStyle="1" w:styleId="2085">
    <w:name w:val="unnamed41"/>
    <w:qFormat/>
    <w:uiPriority w:val="0"/>
    <w:rPr>
      <w:color w:val="666666"/>
      <w:sz w:val="24"/>
      <w:szCs w:val="24"/>
    </w:rPr>
  </w:style>
  <w:style w:type="character" w:customStyle="1" w:styleId="2086">
    <w:name w:val="样式 表图头@ + 段前: 0.5 行 Char"/>
    <w:qFormat/>
    <w:uiPriority w:val="0"/>
    <w:rPr>
      <w:rFonts w:ascii="宋体" w:hAnsi="宋体" w:cs="宋体"/>
      <w:sz w:val="24"/>
      <w:szCs w:val="24"/>
    </w:rPr>
  </w:style>
  <w:style w:type="character" w:customStyle="1" w:styleId="2087">
    <w:name w:val="breakword"/>
    <w:basedOn w:val="129"/>
    <w:qFormat/>
    <w:uiPriority w:val="0"/>
  </w:style>
  <w:style w:type="character" w:customStyle="1" w:styleId="2088">
    <w:name w:val="纯文本 字符1"/>
    <w:semiHidden/>
    <w:qFormat/>
    <w:uiPriority w:val="99"/>
    <w:rPr>
      <w:rFonts w:ascii="宋体" w:hAnsi="Courier New" w:eastAsia="宋体" w:cs="Courier New"/>
    </w:rPr>
  </w:style>
  <w:style w:type="character" w:customStyle="1" w:styleId="2089">
    <w:name w:val="正文＋黑体 Char Char"/>
    <w:link w:val="2090"/>
    <w:qFormat/>
    <w:uiPriority w:val="0"/>
    <w:rPr>
      <w:rFonts w:ascii="Arial" w:hAnsi="Arial" w:eastAsia="黑体"/>
      <w:sz w:val="24"/>
      <w:szCs w:val="24"/>
    </w:rPr>
  </w:style>
  <w:style w:type="paragraph" w:customStyle="1" w:styleId="2090">
    <w:name w:val="正文＋黑体"/>
    <w:basedOn w:val="1"/>
    <w:link w:val="2089"/>
    <w:qFormat/>
    <w:uiPriority w:val="0"/>
    <w:pPr>
      <w:spacing w:beforeLines="50" w:afterLines="50"/>
      <w:ind w:firstLine="480" w:firstLineChars="200"/>
      <w:jc w:val="left"/>
    </w:pPr>
    <w:rPr>
      <w:rFonts w:ascii="Arial" w:hAnsi="Arial" w:eastAsia="黑体"/>
      <w:kern w:val="0"/>
      <w:sz w:val="24"/>
      <w:szCs w:val="24"/>
    </w:rPr>
  </w:style>
  <w:style w:type="character" w:customStyle="1" w:styleId="2091">
    <w:name w:val="样式 报告书表格 + Char Char"/>
    <w:link w:val="2092"/>
    <w:qFormat/>
    <w:uiPriority w:val="0"/>
    <w:rPr>
      <w:color w:val="000000"/>
      <w:sz w:val="24"/>
      <w:szCs w:val="24"/>
    </w:rPr>
  </w:style>
  <w:style w:type="paragraph" w:customStyle="1" w:styleId="2092">
    <w:name w:val="样式 报告书表格 +"/>
    <w:basedOn w:val="1"/>
    <w:link w:val="2091"/>
    <w:qFormat/>
    <w:uiPriority w:val="0"/>
    <w:pPr>
      <w:overflowPunct w:val="0"/>
      <w:spacing w:line="360" w:lineRule="auto"/>
      <w:ind w:firstLine="480" w:firstLineChars="200"/>
      <w:jc w:val="left"/>
    </w:pPr>
    <w:rPr>
      <w:rFonts w:ascii="Times New Roman"/>
      <w:color w:val="000000"/>
      <w:kern w:val="0"/>
      <w:sz w:val="24"/>
      <w:szCs w:val="24"/>
    </w:rPr>
  </w:style>
  <w:style w:type="character" w:customStyle="1" w:styleId="2093">
    <w:name w:val="px141"/>
    <w:qFormat/>
    <w:uiPriority w:val="0"/>
    <w:rPr>
      <w:sz w:val="21"/>
      <w:szCs w:val="21"/>
    </w:rPr>
  </w:style>
  <w:style w:type="character" w:customStyle="1" w:styleId="2094">
    <w:name w:val="文本 Char"/>
    <w:qFormat/>
    <w:uiPriority w:val="0"/>
    <w:rPr>
      <w:rFonts w:ascii="宋体" w:hAnsi="宋体" w:cs="宋体"/>
      <w:spacing w:val="-10"/>
      <w:sz w:val="24"/>
      <w:lang w:val="en-GB"/>
    </w:rPr>
  </w:style>
  <w:style w:type="character" w:customStyle="1" w:styleId="2095">
    <w:name w:val="段落 Char"/>
    <w:qFormat/>
    <w:uiPriority w:val="0"/>
    <w:rPr>
      <w:rFonts w:hAnsi="宋体"/>
      <w:kern w:val="24"/>
      <w:sz w:val="24"/>
      <w:szCs w:val="24"/>
    </w:rPr>
  </w:style>
  <w:style w:type="character" w:customStyle="1" w:styleId="2096">
    <w:name w:val="正文dg Char Char"/>
    <w:link w:val="2097"/>
    <w:qFormat/>
    <w:uiPriority w:val="0"/>
    <w:rPr>
      <w:rFonts w:ascii="新宋体" w:hAnsi="新宋体" w:eastAsia="新宋体"/>
      <w:sz w:val="24"/>
      <w:szCs w:val="24"/>
    </w:rPr>
  </w:style>
  <w:style w:type="paragraph" w:customStyle="1" w:styleId="2097">
    <w:name w:val="正文dg"/>
    <w:basedOn w:val="1"/>
    <w:link w:val="2096"/>
    <w:qFormat/>
    <w:uiPriority w:val="0"/>
    <w:pPr>
      <w:spacing w:line="520" w:lineRule="exact"/>
      <w:ind w:firstLine="480" w:firstLineChars="200"/>
    </w:pPr>
    <w:rPr>
      <w:rFonts w:ascii="新宋体" w:hAnsi="新宋体" w:eastAsia="新宋体"/>
      <w:kern w:val="0"/>
      <w:sz w:val="24"/>
      <w:szCs w:val="24"/>
    </w:rPr>
  </w:style>
  <w:style w:type="character" w:customStyle="1" w:styleId="2098">
    <w:name w:val="明显引用 Char"/>
    <w:link w:val="2099"/>
    <w:qFormat/>
    <w:uiPriority w:val="0"/>
    <w:rPr>
      <w:rFonts w:eastAsia="Sim Sun"/>
      <w:b/>
      <w:bCs/>
      <w:i/>
      <w:iCs/>
      <w:color w:val="4F81BD"/>
    </w:rPr>
  </w:style>
  <w:style w:type="paragraph" w:customStyle="1" w:styleId="2099">
    <w:name w:val="明显引用1"/>
    <w:basedOn w:val="1"/>
    <w:next w:val="1"/>
    <w:link w:val="2098"/>
    <w:qFormat/>
    <w:uiPriority w:val="0"/>
    <w:pPr>
      <w:pBdr>
        <w:bottom w:val="single" w:color="4F81BD" w:sz="4" w:space="4"/>
      </w:pBdr>
      <w:spacing w:before="200" w:after="280" w:line="440" w:lineRule="exact"/>
      <w:ind w:left="936" w:right="936" w:firstLine="200" w:firstLineChars="200"/>
    </w:pPr>
    <w:rPr>
      <w:rFonts w:ascii="Times New Roman" w:eastAsia="Sim Sun"/>
      <w:b/>
      <w:bCs/>
      <w:i/>
      <w:iCs/>
      <w:color w:val="4F81BD"/>
      <w:kern w:val="0"/>
      <w:sz w:val="20"/>
      <w:szCs w:val="20"/>
    </w:rPr>
  </w:style>
  <w:style w:type="character" w:customStyle="1" w:styleId="2100">
    <w:name w:val="正文小四首缩1.3行距 Char Char Char"/>
    <w:qFormat/>
    <w:uiPriority w:val="0"/>
    <w:rPr>
      <w:rFonts w:ascii="Calibri" w:hAnsi="Times New Roman" w:eastAsia="宋体" w:cs="Times New Roman"/>
      <w:kern w:val="2"/>
      <w:sz w:val="24"/>
      <w:szCs w:val="24"/>
    </w:rPr>
  </w:style>
  <w:style w:type="character" w:customStyle="1" w:styleId="2101">
    <w:name w:val="表格命名 Char Char"/>
    <w:link w:val="2102"/>
    <w:qFormat/>
    <w:uiPriority w:val="0"/>
    <w:rPr>
      <w:rFonts w:hAnsi="宋体"/>
      <w:b/>
      <w:bCs/>
      <w:sz w:val="28"/>
      <w:szCs w:val="28"/>
    </w:rPr>
  </w:style>
  <w:style w:type="paragraph" w:customStyle="1" w:styleId="2102">
    <w:name w:val="表格命名"/>
    <w:basedOn w:val="1"/>
    <w:link w:val="2101"/>
    <w:qFormat/>
    <w:uiPriority w:val="0"/>
    <w:pPr>
      <w:widowControl/>
      <w:spacing w:afterLines="50" w:line="480" w:lineRule="exact"/>
      <w:ind w:right="4"/>
      <w:jc w:val="center"/>
    </w:pPr>
    <w:rPr>
      <w:rFonts w:ascii="Times New Roman" w:hAnsi="宋体"/>
      <w:b/>
      <w:bCs/>
      <w:kern w:val="0"/>
      <w:sz w:val="28"/>
      <w:szCs w:val="28"/>
    </w:rPr>
  </w:style>
  <w:style w:type="character" w:customStyle="1" w:styleId="2103">
    <w:name w:val="已访问的超链接1"/>
    <w:qFormat/>
    <w:uiPriority w:val="0"/>
    <w:rPr>
      <w:color w:val="800080"/>
      <w:u w:val="single"/>
    </w:rPr>
  </w:style>
  <w:style w:type="character" w:customStyle="1" w:styleId="2104">
    <w:name w:val="(.a表格内容 Char Char"/>
    <w:link w:val="2105"/>
    <w:qFormat/>
    <w:uiPriority w:val="0"/>
    <w:rPr>
      <w:rFonts w:cs="Arial"/>
      <w:bCs/>
      <w:szCs w:val="24"/>
    </w:rPr>
  </w:style>
  <w:style w:type="paragraph" w:customStyle="1" w:styleId="2105">
    <w:name w:val="(.a表格内容"/>
    <w:link w:val="2104"/>
    <w:qFormat/>
    <w:uiPriority w:val="0"/>
    <w:pPr>
      <w:adjustRightInd w:val="0"/>
      <w:spacing w:line="0" w:lineRule="atLeast"/>
      <w:jc w:val="center"/>
    </w:pPr>
    <w:rPr>
      <w:rFonts w:ascii="Times New Roman" w:hAnsi="Times New Roman" w:eastAsia="宋体" w:cs="Arial"/>
      <w:szCs w:val="24"/>
      <w:lang w:val="en-US" w:eastAsia="zh-CN" w:bidi="ar-SA"/>
    </w:rPr>
  </w:style>
  <w:style w:type="paragraph" w:customStyle="1" w:styleId="2106">
    <w:name w:val="（.a正文"/>
    <w:link w:val="2690"/>
    <w:qFormat/>
    <w:uiPriority w:val="0"/>
    <w:pPr>
      <w:adjustRightInd w:val="0"/>
      <w:spacing w:line="480" w:lineRule="exact"/>
      <w:ind w:firstLine="200" w:firstLineChars="200"/>
      <w:jc w:val="both"/>
    </w:pPr>
    <w:rPr>
      <w:rFonts w:ascii="Times New Roman" w:hAnsi="Times New Roman" w:eastAsia="宋体" w:cs="Times New Roman"/>
      <w:bCs/>
      <w:sz w:val="24"/>
      <w:szCs w:val="24"/>
      <w:lang w:val="en-US" w:eastAsia="zh-CN" w:bidi="ar-SA"/>
    </w:rPr>
  </w:style>
  <w:style w:type="character" w:customStyle="1" w:styleId="2107">
    <w:name w:val="正文文字 3 Char Char"/>
    <w:qFormat/>
    <w:uiPriority w:val="0"/>
    <w:rPr>
      <w:rFonts w:eastAsia="宋体"/>
      <w:kern w:val="2"/>
      <w:sz w:val="16"/>
      <w:szCs w:val="16"/>
      <w:lang w:val="en-US" w:eastAsia="zh-CN" w:bidi="ar-SA"/>
    </w:rPr>
  </w:style>
  <w:style w:type="character" w:customStyle="1" w:styleId="2108">
    <w:name w:val="表蕊居中 Char"/>
    <w:link w:val="2109"/>
    <w:qFormat/>
    <w:uiPriority w:val="0"/>
    <w:rPr>
      <w:rFonts w:ascii="宋体" w:hAnsi="宋体"/>
      <w:szCs w:val="21"/>
    </w:rPr>
  </w:style>
  <w:style w:type="paragraph" w:customStyle="1" w:styleId="2109">
    <w:name w:val="表蕊居中"/>
    <w:basedOn w:val="1"/>
    <w:link w:val="2108"/>
    <w:qFormat/>
    <w:uiPriority w:val="0"/>
    <w:pPr>
      <w:spacing w:line="300" w:lineRule="exact"/>
      <w:jc w:val="center"/>
    </w:pPr>
    <w:rPr>
      <w:rFonts w:hAnsi="宋体"/>
      <w:kern w:val="0"/>
      <w:sz w:val="20"/>
      <w:szCs w:val="21"/>
    </w:rPr>
  </w:style>
  <w:style w:type="character" w:customStyle="1" w:styleId="2110">
    <w:name w:val="标题1.1.1.1.1.1 Char Char"/>
    <w:qFormat/>
    <w:uiPriority w:val="0"/>
    <w:rPr>
      <w:rFonts w:ascii="Arial" w:hAnsi="Arial" w:eastAsia="黑体"/>
      <w:b/>
      <w:bCs/>
      <w:spacing w:val="5"/>
      <w:kern w:val="2"/>
      <w:sz w:val="24"/>
      <w:szCs w:val="24"/>
      <w:lang w:val="en-US" w:eastAsia="zh-CN" w:bidi="ar-SA"/>
    </w:rPr>
  </w:style>
  <w:style w:type="character" w:customStyle="1" w:styleId="2111">
    <w:name w:val="批注文字 Char Char"/>
    <w:qFormat/>
    <w:uiPriority w:val="0"/>
    <w:rPr>
      <w:rFonts w:ascii="Calibri" w:hAnsi="Calibri" w:eastAsia="宋体" w:cs="Times New Roman"/>
    </w:rPr>
  </w:style>
  <w:style w:type="character" w:customStyle="1" w:styleId="2112">
    <w:name w:val="Normal Char"/>
    <w:qFormat/>
    <w:uiPriority w:val="0"/>
    <w:rPr>
      <w:rFonts w:ascii="宋体" w:hAnsi="宋体" w:eastAsia="宋体"/>
      <w:sz w:val="24"/>
    </w:rPr>
  </w:style>
  <w:style w:type="character" w:customStyle="1" w:styleId="2113">
    <w:name w:val="ljszhengwen Char Char"/>
    <w:qFormat/>
    <w:uiPriority w:val="0"/>
    <w:rPr>
      <w:rFonts w:hint="eastAsia" w:ascii="宋体" w:hAnsi="宋体" w:eastAsia="宋体"/>
      <w:bCs/>
      <w:sz w:val="24"/>
      <w:szCs w:val="24"/>
      <w:lang w:bidi="ar-SA"/>
    </w:rPr>
  </w:style>
  <w:style w:type="character" w:customStyle="1" w:styleId="2114">
    <w:name w:val="表格 Char Char Char Char"/>
    <w:qFormat/>
    <w:uiPriority w:val="0"/>
    <w:rPr>
      <w:rFonts w:ascii="Calibri" w:hAnsi="Calibri" w:eastAsia="宋体" w:cs="Times New Roman"/>
      <w:kern w:val="2"/>
      <w:szCs w:val="21"/>
      <w:lang w:bidi="ar-SA"/>
    </w:rPr>
  </w:style>
  <w:style w:type="character" w:customStyle="1" w:styleId="2115">
    <w:name w:val="样式 热电厂正文 + 首行缩进:  2 字符 Char Char"/>
    <w:qFormat/>
    <w:uiPriority w:val="0"/>
    <w:rPr>
      <w:rFonts w:eastAsia="宋体" w:cs="宋体"/>
      <w:kern w:val="2"/>
      <w:sz w:val="24"/>
      <w:szCs w:val="24"/>
      <w:lang w:val="en-US" w:eastAsia="zh-CN" w:bidi="ar-SA"/>
    </w:rPr>
  </w:style>
  <w:style w:type="character" w:customStyle="1" w:styleId="2116">
    <w:name w:val="报告书 正文 Char"/>
    <w:link w:val="2117"/>
    <w:qFormat/>
    <w:uiPriority w:val="0"/>
    <w:rPr>
      <w:rFonts w:ascii="宋体" w:hAnsi="宋体"/>
      <w:spacing w:val="5"/>
      <w:sz w:val="25"/>
      <w:szCs w:val="25"/>
    </w:rPr>
  </w:style>
  <w:style w:type="paragraph" w:customStyle="1" w:styleId="2117">
    <w:name w:val="报告书 正文"/>
    <w:basedOn w:val="1"/>
    <w:link w:val="2116"/>
    <w:qFormat/>
    <w:uiPriority w:val="0"/>
    <w:pPr>
      <w:spacing w:line="250" w:lineRule="auto"/>
      <w:ind w:firstLine="527" w:firstLineChars="200"/>
    </w:pPr>
    <w:rPr>
      <w:rFonts w:hAnsi="宋体"/>
      <w:spacing w:val="5"/>
      <w:kern w:val="0"/>
    </w:rPr>
  </w:style>
  <w:style w:type="character" w:customStyle="1" w:styleId="2118">
    <w:name w:val="nota"/>
    <w:qFormat/>
    <w:uiPriority w:val="0"/>
    <w:rPr>
      <w:i/>
      <w:iCs/>
      <w:sz w:val="20"/>
    </w:rPr>
  </w:style>
  <w:style w:type="character" w:customStyle="1" w:styleId="2119">
    <w:name w:val="content"/>
    <w:basedOn w:val="129"/>
    <w:qFormat/>
    <w:uiPriority w:val="0"/>
  </w:style>
  <w:style w:type="character" w:customStyle="1" w:styleId="2120">
    <w:name w:val="样式 亚行正文 + 自动设置 Char Char"/>
    <w:link w:val="2121"/>
    <w:qFormat/>
    <w:uiPriority w:val="0"/>
    <w:rPr>
      <w:snapToGrid w:val="0"/>
      <w:spacing w:val="-2"/>
      <w:sz w:val="24"/>
      <w:szCs w:val="24"/>
    </w:rPr>
  </w:style>
  <w:style w:type="paragraph" w:customStyle="1" w:styleId="2121">
    <w:name w:val="样式 亚行正文 + 自动设置"/>
    <w:basedOn w:val="1"/>
    <w:link w:val="2120"/>
    <w:qFormat/>
    <w:uiPriority w:val="0"/>
    <w:pPr>
      <w:spacing w:line="360" w:lineRule="auto"/>
      <w:ind w:firstLine="200" w:firstLineChars="200"/>
    </w:pPr>
    <w:rPr>
      <w:rFonts w:ascii="Times New Roman"/>
      <w:snapToGrid w:val="0"/>
      <w:spacing w:val="-2"/>
      <w:kern w:val="0"/>
      <w:sz w:val="24"/>
      <w:szCs w:val="24"/>
    </w:rPr>
  </w:style>
  <w:style w:type="character" w:customStyle="1" w:styleId="2122">
    <w:name w:val="要点2"/>
    <w:qFormat/>
    <w:uiPriority w:val="0"/>
    <w:rPr>
      <w:b/>
    </w:rPr>
  </w:style>
  <w:style w:type="character" w:customStyle="1" w:styleId="2123">
    <w:name w:val="珠江啤酒正文 Char"/>
    <w:link w:val="2124"/>
    <w:qFormat/>
    <w:uiPriority w:val="0"/>
    <w:rPr>
      <w:rFonts w:ascii="Sim Sun" w:hAnsi="Sim Sun"/>
    </w:rPr>
  </w:style>
  <w:style w:type="paragraph" w:customStyle="1" w:styleId="2124">
    <w:name w:val="珠江啤酒正文"/>
    <w:basedOn w:val="1"/>
    <w:link w:val="2123"/>
    <w:qFormat/>
    <w:uiPriority w:val="0"/>
    <w:pPr>
      <w:spacing w:line="440" w:lineRule="exact"/>
      <w:ind w:firstLine="200" w:firstLineChars="200"/>
    </w:pPr>
    <w:rPr>
      <w:rFonts w:ascii="Sim Sun" w:hAnsi="Sim Sun"/>
      <w:kern w:val="0"/>
      <w:sz w:val="20"/>
      <w:szCs w:val="20"/>
    </w:rPr>
  </w:style>
  <w:style w:type="character" w:customStyle="1" w:styleId="2125">
    <w:name w:val="样式4 Char Char Char Char Char"/>
    <w:qFormat/>
    <w:uiPriority w:val="0"/>
    <w:rPr>
      <w:rFonts w:ascii="Arial" w:hAnsi="Arial" w:eastAsia="宋体" w:cs="Times New Roman"/>
      <w:kern w:val="2"/>
      <w:sz w:val="24"/>
      <w:szCs w:val="24"/>
      <w:lang w:val="en-US" w:eastAsia="zh-CN"/>
    </w:rPr>
  </w:style>
  <w:style w:type="character" w:customStyle="1" w:styleId="2126">
    <w:name w:val="Char Char27"/>
    <w:qFormat/>
    <w:uiPriority w:val="0"/>
    <w:rPr>
      <w:rFonts w:hint="default" w:ascii="Arial" w:hAnsi="Arial" w:eastAsia="黑体" w:cs="Arial"/>
      <w:kern w:val="2"/>
      <w:sz w:val="24"/>
      <w:lang w:val="en-US" w:eastAsia="zh-CN" w:bidi="ar-SA"/>
    </w:rPr>
  </w:style>
  <w:style w:type="character" w:customStyle="1" w:styleId="2127">
    <w:name w:val="正文(首行缩进) Char Char Char"/>
    <w:qFormat/>
    <w:uiPriority w:val="0"/>
    <w:rPr>
      <w:rFonts w:ascii="Calibri" w:hAnsi="Calibri" w:eastAsia="宋体" w:cs="Times New Roman"/>
      <w:snapToGrid w:val="0"/>
      <w:sz w:val="24"/>
      <w:szCs w:val="24"/>
      <w:lang w:bidi="ar-SA"/>
    </w:rPr>
  </w:style>
  <w:style w:type="character" w:customStyle="1" w:styleId="2128">
    <w:name w:val="lff Char"/>
    <w:link w:val="2129"/>
    <w:qFormat/>
    <w:uiPriority w:val="0"/>
    <w:rPr>
      <w:rFonts w:ascii="宋体" w:hAnsi="宋体"/>
      <w:b/>
      <w:color w:val="0000FF"/>
      <w:szCs w:val="21"/>
    </w:rPr>
  </w:style>
  <w:style w:type="paragraph" w:customStyle="1" w:styleId="2129">
    <w:name w:val="lff"/>
    <w:basedOn w:val="82"/>
    <w:link w:val="2128"/>
    <w:qFormat/>
    <w:uiPriority w:val="0"/>
    <w:pPr>
      <w:snapToGrid w:val="0"/>
      <w:spacing w:after="0" w:line="360" w:lineRule="auto"/>
      <w:ind w:firstLine="422" w:firstLineChars="200"/>
    </w:pPr>
    <w:rPr>
      <w:rFonts w:hint="default" w:cs="Times New Roman"/>
      <w:b/>
      <w:color w:val="0000FF"/>
      <w:kern w:val="0"/>
      <w:sz w:val="20"/>
      <w:szCs w:val="21"/>
    </w:rPr>
  </w:style>
  <w:style w:type="character" w:customStyle="1" w:styleId="2130">
    <w:name w:val="正文文字 3 Char Char1"/>
    <w:qFormat/>
    <w:uiPriority w:val="0"/>
    <w:rPr>
      <w:rFonts w:eastAsia="宋体"/>
      <w:kern w:val="2"/>
      <w:sz w:val="24"/>
      <w:lang w:val="en-US" w:eastAsia="zh-CN" w:bidi="ar-SA"/>
    </w:rPr>
  </w:style>
  <w:style w:type="character" w:customStyle="1" w:styleId="2131">
    <w:name w:val="表格文字统一样式 Char"/>
    <w:qFormat/>
    <w:uiPriority w:val="0"/>
    <w:rPr>
      <w:rFonts w:eastAsia="仿宋_GB2312"/>
    </w:rPr>
  </w:style>
  <w:style w:type="character" w:customStyle="1" w:styleId="2132">
    <w:name w:val="Char Char92"/>
    <w:qFormat/>
    <w:uiPriority w:val="0"/>
    <w:rPr>
      <w:rFonts w:hint="eastAsia" w:ascii="FLGPEK+TimesNewRoman,Italic" w:hAnsi="ˎ̥" w:eastAsia="FLGPEK+TimesNewRoman,Italic" w:cs="ˎ̥"/>
      <w:sz w:val="18"/>
      <w:szCs w:val="18"/>
    </w:rPr>
  </w:style>
  <w:style w:type="character" w:customStyle="1" w:styleId="2133">
    <w:name w:val="行号1"/>
    <w:basedOn w:val="129"/>
    <w:qFormat/>
    <w:uiPriority w:val="0"/>
  </w:style>
  <w:style w:type="character" w:customStyle="1" w:styleId="2134">
    <w:name w:val="标题2 Char Char"/>
    <w:qFormat/>
    <w:uiPriority w:val="0"/>
    <w:rPr>
      <w:rFonts w:ascii="ˎ̥" w:hAnsi="ˎ̥" w:eastAsia="FLGPEK+TimesNewRoman,Italic"/>
      <w:b/>
      <w:bCs/>
      <w:kern w:val="2"/>
      <w:sz w:val="32"/>
      <w:szCs w:val="32"/>
      <w:lang w:val="en-US" w:eastAsia="zh-CN" w:bidi="ar-SA"/>
    </w:rPr>
  </w:style>
  <w:style w:type="character" w:customStyle="1" w:styleId="2135">
    <w:name w:val="注释标题1 Char Char"/>
    <w:qFormat/>
    <w:uiPriority w:val="0"/>
    <w:rPr>
      <w:rFonts w:eastAsia="宋体"/>
      <w:kern w:val="2"/>
      <w:sz w:val="21"/>
      <w:lang w:val="en-US" w:eastAsia="zh-CN" w:bidi="ar-SA"/>
    </w:rPr>
  </w:style>
  <w:style w:type="character" w:customStyle="1" w:styleId="2136">
    <w:name w:val="font10pt"/>
    <w:basedOn w:val="129"/>
    <w:qFormat/>
    <w:uiPriority w:val="0"/>
  </w:style>
  <w:style w:type="character" w:customStyle="1" w:styleId="2137">
    <w:name w:val="文本框五号1.5倍行距 Char Char"/>
    <w:semiHidden/>
    <w:qFormat/>
    <w:uiPriority w:val="0"/>
    <w:rPr>
      <w:rFonts w:hint="eastAsia" w:ascii="仿宋_GB2312" w:eastAsia="仿宋_GB2312"/>
      <w:sz w:val="21"/>
      <w:szCs w:val="21"/>
    </w:rPr>
  </w:style>
  <w:style w:type="character" w:customStyle="1" w:styleId="2138">
    <w:name w:val="Char Char410"/>
    <w:qFormat/>
    <w:uiPriority w:val="0"/>
    <w:rPr>
      <w:rFonts w:eastAsia="宋体"/>
      <w:kern w:val="2"/>
      <w:sz w:val="16"/>
      <w:lang w:val="en-US" w:eastAsia="zh-CN" w:bidi="ar-SA"/>
    </w:rPr>
  </w:style>
  <w:style w:type="character" w:customStyle="1" w:styleId="2139">
    <w:name w:val="样式11 Char Char"/>
    <w:qFormat/>
    <w:uiPriority w:val="0"/>
    <w:rPr>
      <w:rFonts w:hint="eastAsia" w:ascii="宋体" w:hAnsi="宋体" w:eastAsia="宋体"/>
      <w:kern w:val="2"/>
      <w:sz w:val="28"/>
      <w:szCs w:val="28"/>
      <w:lang w:bidi="ar-SA"/>
    </w:rPr>
  </w:style>
  <w:style w:type="character" w:customStyle="1" w:styleId="2140">
    <w:name w:val="标题 9 Char Char"/>
    <w:qFormat/>
    <w:uiPriority w:val="0"/>
    <w:rPr>
      <w:rFonts w:ascii="Arial" w:hAnsi="Arial" w:eastAsia="黑体"/>
      <w:color w:val="000000"/>
      <w:kern w:val="24"/>
      <w:sz w:val="30"/>
      <w:lang w:val="en-US" w:eastAsia="zh-CN"/>
    </w:rPr>
  </w:style>
  <w:style w:type="character" w:customStyle="1" w:styleId="2141">
    <w:name w:val="超链接21"/>
    <w:qFormat/>
    <w:uiPriority w:val="0"/>
    <w:rPr>
      <w:rFonts w:hint="default"/>
      <w:color w:val="auto"/>
      <w:sz w:val="18"/>
      <w:u w:val="none"/>
    </w:rPr>
  </w:style>
  <w:style w:type="character" w:customStyle="1" w:styleId="2142">
    <w:name w:val="Char Char54"/>
    <w:qFormat/>
    <w:uiPriority w:val="0"/>
    <w:rPr>
      <w:rFonts w:hint="eastAsia" w:ascii="宋体" w:hAnsi="宋体" w:eastAsia="宋体"/>
      <w:color w:val="000000"/>
      <w:kern w:val="2"/>
      <w:sz w:val="24"/>
      <w:szCs w:val="21"/>
      <w:lang w:val="en-US" w:eastAsia="zh-CN" w:bidi="ar-SA"/>
    </w:rPr>
  </w:style>
  <w:style w:type="character" w:customStyle="1" w:styleId="2143">
    <w:name w:val="表格题注 Char Char Char"/>
    <w:qFormat/>
    <w:uiPriority w:val="0"/>
    <w:rPr>
      <w:rFonts w:ascii="宋体" w:hAnsi="Times New Roman" w:eastAsia="宋体" w:cs="Times New Roman"/>
      <w:kern w:val="2"/>
      <w:sz w:val="24"/>
      <w:szCs w:val="24"/>
    </w:rPr>
  </w:style>
  <w:style w:type="character" w:customStyle="1" w:styleId="2144">
    <w:name w:val="段落(G) Char"/>
    <w:qFormat/>
    <w:uiPriority w:val="0"/>
    <w:rPr>
      <w:color w:val="000000"/>
      <w:kern w:val="24"/>
      <w:sz w:val="24"/>
      <w:szCs w:val="24"/>
      <w:lang w:val="zh-CN"/>
    </w:rPr>
  </w:style>
  <w:style w:type="character" w:customStyle="1" w:styleId="2145">
    <w:name w:val="页脚 Char6"/>
    <w:qFormat/>
    <w:uiPriority w:val="0"/>
    <w:rPr>
      <w:kern w:val="2"/>
      <w:sz w:val="18"/>
      <w:szCs w:val="18"/>
    </w:rPr>
  </w:style>
  <w:style w:type="character" w:customStyle="1" w:styleId="2146">
    <w:name w:val="陈正文 Char Char"/>
    <w:link w:val="2147"/>
    <w:qFormat/>
    <w:uiPriority w:val="0"/>
    <w:rPr>
      <w:sz w:val="24"/>
    </w:rPr>
  </w:style>
  <w:style w:type="paragraph" w:customStyle="1" w:styleId="2147">
    <w:name w:val="陈正文"/>
    <w:basedOn w:val="1"/>
    <w:next w:val="1"/>
    <w:link w:val="2146"/>
    <w:qFormat/>
    <w:uiPriority w:val="0"/>
    <w:pPr>
      <w:spacing w:beforeLines="50" w:afterLines="50" w:line="336" w:lineRule="auto"/>
      <w:ind w:firstLine="480" w:firstLineChars="200"/>
    </w:pPr>
    <w:rPr>
      <w:rFonts w:ascii="Times New Roman"/>
      <w:kern w:val="0"/>
      <w:sz w:val="24"/>
      <w:szCs w:val="20"/>
    </w:rPr>
  </w:style>
  <w:style w:type="character" w:customStyle="1" w:styleId="2148">
    <w:name w:val="Char Char103"/>
    <w:qFormat/>
    <w:uiPriority w:val="0"/>
    <w:rPr>
      <w:rFonts w:eastAsia="宋体"/>
      <w:b/>
      <w:bCs/>
      <w:kern w:val="2"/>
      <w:sz w:val="32"/>
      <w:szCs w:val="32"/>
      <w:lang w:val="en-US" w:eastAsia="zh-CN" w:bidi="ar-SA"/>
    </w:rPr>
  </w:style>
  <w:style w:type="character" w:customStyle="1" w:styleId="2149">
    <w:name w:val="日期 Char Char"/>
    <w:qFormat/>
    <w:uiPriority w:val="0"/>
    <w:rPr>
      <w:rFonts w:hint="default" w:ascii="Verdana" w:hAnsi="Verdana"/>
      <w:kern w:val="2"/>
      <w:sz w:val="21"/>
      <w:szCs w:val="24"/>
      <w:lang w:bidi="ar-SA"/>
    </w:rPr>
  </w:style>
  <w:style w:type="character" w:customStyle="1" w:styleId="2150">
    <w:name w:val="正文样式 Char1"/>
    <w:qFormat/>
    <w:uiPriority w:val="0"/>
    <w:rPr>
      <w:rFonts w:ascii="宋体" w:hAnsi="宋体" w:eastAsia="宋体"/>
      <w:color w:val="000000"/>
      <w:kern w:val="2"/>
      <w:sz w:val="24"/>
      <w:szCs w:val="24"/>
      <w:lang w:val="en-US" w:eastAsia="zh-CN" w:bidi="ar-SA"/>
    </w:rPr>
  </w:style>
  <w:style w:type="character" w:customStyle="1" w:styleId="2151">
    <w:name w:val="表格（纵向） Char1"/>
    <w:link w:val="2152"/>
    <w:qFormat/>
    <w:uiPriority w:val="0"/>
    <w:rPr>
      <w:rFonts w:ascii="Arial Narrow" w:hAnsi="Arial Narrow" w:cs="宋体"/>
      <w:sz w:val="16"/>
    </w:rPr>
  </w:style>
  <w:style w:type="paragraph" w:customStyle="1" w:styleId="2152">
    <w:name w:val="表格（纵向）"/>
    <w:basedOn w:val="1"/>
    <w:link w:val="2151"/>
    <w:qFormat/>
    <w:uiPriority w:val="0"/>
    <w:pPr>
      <w:adjustRightInd w:val="0"/>
      <w:spacing w:before="160" w:line="240" w:lineRule="atLeast"/>
      <w:jc w:val="right"/>
      <w:textAlignment w:val="baseline"/>
    </w:pPr>
    <w:rPr>
      <w:rFonts w:ascii="Arial Narrow" w:hAnsi="Arial Narrow" w:cs="宋体"/>
      <w:kern w:val="0"/>
      <w:sz w:val="16"/>
      <w:szCs w:val="20"/>
    </w:rPr>
  </w:style>
  <w:style w:type="character" w:customStyle="1" w:styleId="2153">
    <w:name w:val="表格文字居中 Char1"/>
    <w:qFormat/>
    <w:uiPriority w:val="0"/>
    <w:rPr>
      <w:rFonts w:ascii="宋体" w:eastAsia="宋体"/>
      <w:color w:val="000000"/>
      <w:spacing w:val="-12"/>
      <w:sz w:val="21"/>
      <w:szCs w:val="24"/>
      <w:lang w:val="en-US" w:eastAsia="zh-CN" w:bidi="ar-SA"/>
    </w:rPr>
  </w:style>
  <w:style w:type="character" w:customStyle="1" w:styleId="2154">
    <w:name w:val="Subtle Emphasis_2e2a3a2f-5417-4beb-bc64-9e038e496322"/>
    <w:qFormat/>
    <w:uiPriority w:val="0"/>
    <w:rPr>
      <w:rFonts w:ascii="Calibri" w:hAnsi="Calibri" w:eastAsia="宋体" w:cs="Times New Roman"/>
      <w:i/>
      <w:iCs/>
      <w:color w:val="808080"/>
    </w:rPr>
  </w:style>
  <w:style w:type="character" w:customStyle="1" w:styleId="2155">
    <w:name w:val="正文（首行缩进两字） Char Char Char Char Char Char"/>
    <w:semiHidden/>
    <w:qFormat/>
    <w:uiPriority w:val="0"/>
    <w:rPr>
      <w:rFonts w:hint="eastAsia" w:ascii="宋体" w:hAnsi="宋体" w:eastAsia="宋体" w:cs="宋体"/>
      <w:sz w:val="30"/>
      <w:szCs w:val="24"/>
    </w:rPr>
  </w:style>
  <w:style w:type="character" w:customStyle="1" w:styleId="2156">
    <w:name w:val="样式表 Char"/>
    <w:link w:val="2157"/>
    <w:qFormat/>
    <w:uiPriority w:val="0"/>
    <w:rPr>
      <w:b/>
      <w:snapToGrid w:val="0"/>
      <w:color w:val="000000"/>
      <w:szCs w:val="21"/>
    </w:rPr>
  </w:style>
  <w:style w:type="paragraph" w:customStyle="1" w:styleId="2157">
    <w:name w:val="样式表"/>
    <w:basedOn w:val="21"/>
    <w:link w:val="2156"/>
    <w:qFormat/>
    <w:uiPriority w:val="0"/>
    <w:pPr>
      <w:widowControl/>
      <w:adjustRightInd w:val="0"/>
      <w:snapToGrid w:val="0"/>
      <w:spacing w:line="360" w:lineRule="auto"/>
      <w:jc w:val="center"/>
    </w:pPr>
    <w:rPr>
      <w:rFonts w:ascii="Times New Roman" w:hAnsi="Times New Roman" w:eastAsia="宋体" w:cs="Times New Roman"/>
      <w:b/>
      <w:snapToGrid w:val="0"/>
      <w:color w:val="000000"/>
      <w:kern w:val="0"/>
      <w:szCs w:val="21"/>
    </w:rPr>
  </w:style>
  <w:style w:type="character" w:customStyle="1" w:styleId="2158">
    <w:name w:val="font121"/>
    <w:qFormat/>
    <w:uiPriority w:val="0"/>
    <w:rPr>
      <w:sz w:val="18"/>
    </w:rPr>
  </w:style>
  <w:style w:type="character" w:customStyle="1" w:styleId="2159">
    <w:name w:val="篇号"/>
    <w:qFormat/>
    <w:uiPriority w:val="0"/>
    <w:rPr>
      <w:rFonts w:eastAsia="Sim Sun"/>
      <w:sz w:val="28"/>
      <w:szCs w:val="28"/>
    </w:rPr>
  </w:style>
  <w:style w:type="character" w:customStyle="1" w:styleId="2160">
    <w:name w:val="标题33 Char"/>
    <w:qFormat/>
    <w:uiPriority w:val="0"/>
    <w:rPr>
      <w:rFonts w:ascii="Arial" w:hAnsi="Arial" w:eastAsia="楷体_GB2312" w:cs="宋体"/>
      <w:b/>
      <w:bCs/>
      <w:sz w:val="24"/>
      <w:szCs w:val="24"/>
    </w:rPr>
  </w:style>
  <w:style w:type="character" w:customStyle="1" w:styleId="2161">
    <w:name w:val="居中 Char"/>
    <w:link w:val="2162"/>
    <w:qFormat/>
    <w:uiPriority w:val="0"/>
    <w:rPr>
      <w:rFonts w:ascii="宋体" w:hAnsi="宋体" w:cs="宋体"/>
    </w:rPr>
  </w:style>
  <w:style w:type="paragraph" w:customStyle="1" w:styleId="2162">
    <w:name w:val="居中"/>
    <w:basedOn w:val="1"/>
    <w:link w:val="2161"/>
    <w:qFormat/>
    <w:uiPriority w:val="0"/>
    <w:pPr>
      <w:spacing w:before="100" w:beforeAutospacing="1" w:after="100" w:afterAutospacing="1" w:line="360" w:lineRule="auto"/>
      <w:jc w:val="center"/>
    </w:pPr>
    <w:rPr>
      <w:rFonts w:hAnsi="宋体" w:cs="宋体"/>
      <w:kern w:val="0"/>
      <w:sz w:val="20"/>
      <w:szCs w:val="20"/>
    </w:rPr>
  </w:style>
  <w:style w:type="character" w:customStyle="1" w:styleId="2163">
    <w:name w:val="表文字 Char1"/>
    <w:qFormat/>
    <w:uiPriority w:val="0"/>
    <w:rPr>
      <w:rFonts w:ascii="Arial" w:hAnsi="Arial" w:eastAsia="宋体" w:cs="Arial"/>
      <w:sz w:val="24"/>
      <w:szCs w:val="24"/>
    </w:rPr>
  </w:style>
  <w:style w:type="character" w:customStyle="1" w:styleId="2164">
    <w:name w:val="HTML 变量2"/>
    <w:qFormat/>
    <w:uiPriority w:val="0"/>
    <w:rPr>
      <w:i/>
      <w:iCs/>
    </w:rPr>
  </w:style>
  <w:style w:type="character" w:customStyle="1" w:styleId="2165">
    <w:name w:val="标题3 Char Char Char"/>
    <w:link w:val="2166"/>
    <w:qFormat/>
    <w:uiPriority w:val="0"/>
    <w:rPr>
      <w:rFonts w:ascii="Sim Sun" w:hAnsi="Sim Sun" w:eastAsia="Sim Sun" w:cs="Batang"/>
      <w:b/>
      <w:sz w:val="24"/>
      <w:szCs w:val="24"/>
    </w:rPr>
  </w:style>
  <w:style w:type="paragraph" w:customStyle="1" w:styleId="2166">
    <w:name w:val="标题3 Char Char"/>
    <w:basedOn w:val="5"/>
    <w:next w:val="1"/>
    <w:link w:val="2165"/>
    <w:qFormat/>
    <w:uiPriority w:val="0"/>
    <w:pPr>
      <w:widowControl/>
      <w:tabs>
        <w:tab w:val="left" w:pos="1571"/>
      </w:tabs>
      <w:spacing w:before="80" w:after="80" w:line="440" w:lineRule="atLeast"/>
      <w:ind w:left="1418" w:hanging="567"/>
    </w:pPr>
    <w:rPr>
      <w:rFonts w:ascii="Sim Sun" w:hAnsi="Sim Sun" w:eastAsia="Sim Sun" w:cs="Batang"/>
      <w:bCs w:val="0"/>
      <w:kern w:val="0"/>
      <w:sz w:val="24"/>
      <w:szCs w:val="24"/>
    </w:rPr>
  </w:style>
  <w:style w:type="character" w:customStyle="1" w:styleId="2167">
    <w:name w:val="样式 样式 样式 样式 正文 首行缩进 + 首行缩进:  2 字符 行距: 单倍行距 + 首行缩进:  2 字符 + 小四 首行...2 Char Char Char"/>
    <w:qFormat/>
    <w:uiPriority w:val="0"/>
    <w:rPr>
      <w:rFonts w:ascii="Arial" w:hAnsi="Arial" w:eastAsia="宋体" w:cs="宋体"/>
      <w:kern w:val="2"/>
      <w:sz w:val="24"/>
    </w:rPr>
  </w:style>
  <w:style w:type="character" w:customStyle="1" w:styleId="2168">
    <w:name w:val="样式 黑色"/>
    <w:qFormat/>
    <w:uiPriority w:val="0"/>
    <w:rPr>
      <w:color w:val="auto"/>
    </w:rPr>
  </w:style>
  <w:style w:type="character" w:customStyle="1" w:styleId="2169">
    <w:name w:val="2应急预案 图标表头 Char Char"/>
    <w:link w:val="2170"/>
    <w:qFormat/>
    <w:uiPriority w:val="0"/>
    <w:rPr>
      <w:rFonts w:ascii="Verdana" w:hAnsi="Verdana"/>
      <w:b/>
      <w:sz w:val="24"/>
    </w:rPr>
  </w:style>
  <w:style w:type="paragraph" w:customStyle="1" w:styleId="2170">
    <w:name w:val="2应急预案 图标表头"/>
    <w:basedOn w:val="1"/>
    <w:link w:val="2169"/>
    <w:qFormat/>
    <w:uiPriority w:val="0"/>
    <w:pPr>
      <w:spacing w:beforeLines="50" w:line="360" w:lineRule="auto"/>
      <w:ind w:firstLine="480" w:firstLineChars="200"/>
      <w:jc w:val="center"/>
    </w:pPr>
    <w:rPr>
      <w:rFonts w:ascii="Verdana" w:hAnsi="Verdana"/>
      <w:b/>
      <w:kern w:val="0"/>
      <w:sz w:val="24"/>
      <w:szCs w:val="20"/>
    </w:rPr>
  </w:style>
  <w:style w:type="character" w:customStyle="1" w:styleId="2171">
    <w:name w:val="正文正文正文 1.5 倍行距 Char Char"/>
    <w:link w:val="2172"/>
    <w:qFormat/>
    <w:uiPriority w:val="0"/>
    <w:rPr>
      <w:rFonts w:ascii="宋体" w:hAnsi="宋体" w:cs="宋体"/>
      <w:sz w:val="24"/>
    </w:rPr>
  </w:style>
  <w:style w:type="paragraph" w:customStyle="1" w:styleId="2172">
    <w:name w:val="正文正文正文 1.5 倍行距"/>
    <w:basedOn w:val="1"/>
    <w:link w:val="2171"/>
    <w:qFormat/>
    <w:uiPriority w:val="0"/>
    <w:pPr>
      <w:spacing w:line="360" w:lineRule="auto"/>
      <w:ind w:firstLine="480" w:firstLineChars="200"/>
    </w:pPr>
    <w:rPr>
      <w:rFonts w:hAnsi="宋体" w:cs="宋体"/>
      <w:kern w:val="0"/>
      <w:sz w:val="24"/>
      <w:szCs w:val="20"/>
    </w:rPr>
  </w:style>
  <w:style w:type="character" w:customStyle="1" w:styleId="2173">
    <w:name w:val="正文-自建 Char Char"/>
    <w:qFormat/>
    <w:uiPriority w:val="0"/>
    <w:rPr>
      <w:sz w:val="28"/>
    </w:rPr>
  </w:style>
  <w:style w:type="character" w:customStyle="1" w:styleId="2174">
    <w:name w:val="标题 6 Char1"/>
    <w:qFormat/>
    <w:uiPriority w:val="0"/>
    <w:rPr>
      <w:rFonts w:ascii="Arial" w:hAnsi="Arial" w:eastAsia="黑体"/>
      <w:b/>
      <w:kern w:val="2"/>
      <w:sz w:val="24"/>
      <w:szCs w:val="24"/>
      <w:lang w:val="en-US" w:eastAsia="zh-CN" w:bidi="ar-SA"/>
    </w:rPr>
  </w:style>
  <w:style w:type="character" w:customStyle="1" w:styleId="2175">
    <w:name w:val="black"/>
    <w:basedOn w:val="129"/>
    <w:qFormat/>
    <w:uiPriority w:val="0"/>
  </w:style>
  <w:style w:type="character" w:customStyle="1" w:styleId="2176">
    <w:name w:val="111111正文 Char Char"/>
    <w:link w:val="2177"/>
    <w:qFormat/>
    <w:uiPriority w:val="0"/>
    <w:rPr>
      <w:sz w:val="24"/>
      <w:szCs w:val="24"/>
    </w:rPr>
  </w:style>
  <w:style w:type="paragraph" w:customStyle="1" w:styleId="2177">
    <w:name w:val="111111正文"/>
    <w:basedOn w:val="1"/>
    <w:link w:val="2176"/>
    <w:qFormat/>
    <w:uiPriority w:val="0"/>
    <w:pPr>
      <w:spacing w:line="360" w:lineRule="auto"/>
      <w:ind w:firstLine="200" w:firstLineChars="200"/>
    </w:pPr>
    <w:rPr>
      <w:rFonts w:ascii="Times New Roman"/>
      <w:kern w:val="0"/>
      <w:sz w:val="24"/>
      <w:szCs w:val="24"/>
    </w:rPr>
  </w:style>
  <w:style w:type="character" w:customStyle="1" w:styleId="2178">
    <w:name w:val="1biaoge Char"/>
    <w:link w:val="2179"/>
    <w:qFormat/>
    <w:uiPriority w:val="0"/>
    <w:rPr>
      <w:szCs w:val="21"/>
    </w:rPr>
  </w:style>
  <w:style w:type="paragraph" w:customStyle="1" w:styleId="2179">
    <w:name w:val="1biaoge"/>
    <w:basedOn w:val="1"/>
    <w:link w:val="2178"/>
    <w:qFormat/>
    <w:uiPriority w:val="0"/>
    <w:pPr>
      <w:spacing w:line="300" w:lineRule="exact"/>
      <w:jc w:val="center"/>
    </w:pPr>
    <w:rPr>
      <w:rFonts w:ascii="Times New Roman"/>
      <w:kern w:val="0"/>
      <w:sz w:val="20"/>
      <w:szCs w:val="21"/>
    </w:rPr>
  </w:style>
  <w:style w:type="character" w:customStyle="1" w:styleId="2180">
    <w:name w:val="【标题2】 Char"/>
    <w:link w:val="2181"/>
    <w:qFormat/>
    <w:uiPriority w:val="0"/>
    <w:rPr>
      <w:rFonts w:ascii="宋体" w:hAnsi="宋体"/>
      <w:b/>
      <w:bCs/>
      <w:sz w:val="32"/>
    </w:rPr>
  </w:style>
  <w:style w:type="paragraph" w:customStyle="1" w:styleId="2181">
    <w:name w:val="【标题2】"/>
    <w:basedOn w:val="4"/>
    <w:link w:val="2180"/>
    <w:qFormat/>
    <w:uiPriority w:val="0"/>
    <w:pPr>
      <w:tabs>
        <w:tab w:val="left" w:pos="992"/>
      </w:tabs>
      <w:ind w:left="992" w:hanging="567"/>
    </w:pPr>
    <w:rPr>
      <w:rFonts w:ascii="宋体" w:hAnsi="宋体"/>
      <w:snapToGrid/>
      <w:kern w:val="0"/>
      <w:szCs w:val="20"/>
    </w:rPr>
  </w:style>
  <w:style w:type="character" w:customStyle="1" w:styleId="2182">
    <w:name w:val="正文（首行缩进两字） Char Char Char Char"/>
    <w:qFormat/>
    <w:uiPriority w:val="0"/>
    <w:rPr>
      <w:rFonts w:ascii="Arial" w:hAnsi="Arial" w:eastAsia="宋体"/>
      <w:snapToGrid w:val="0"/>
      <w:kern w:val="2"/>
      <w:sz w:val="24"/>
      <w:szCs w:val="24"/>
      <w:lang w:val="en-US" w:eastAsia="zh-CN" w:bidi="ar-SA"/>
    </w:rPr>
  </w:style>
  <w:style w:type="character" w:customStyle="1" w:styleId="2183">
    <w:name w:val="Footer1 Char Char"/>
    <w:qFormat/>
    <w:uiPriority w:val="0"/>
    <w:rPr>
      <w:rFonts w:eastAsia="宋体"/>
      <w:spacing w:val="8"/>
      <w:kern w:val="2"/>
      <w:sz w:val="18"/>
      <w:lang w:val="en-US" w:eastAsia="zh-CN" w:bidi="ar-SA"/>
    </w:rPr>
  </w:style>
  <w:style w:type="character" w:customStyle="1" w:styleId="2184">
    <w:name w:val="样式5 Char1"/>
    <w:qFormat/>
    <w:uiPriority w:val="0"/>
    <w:rPr>
      <w:rFonts w:eastAsia="宋体"/>
      <w:sz w:val="24"/>
      <w:lang w:val="en-US" w:eastAsia="zh-CN" w:bidi="ar-SA"/>
    </w:rPr>
  </w:style>
  <w:style w:type="character" w:customStyle="1" w:styleId="2185">
    <w:name w:val="fliesstext1"/>
    <w:qFormat/>
    <w:uiPriority w:val="0"/>
    <w:rPr>
      <w:rFonts w:hint="default" w:ascii="ˎ̥" w:hAnsi="ˎ̥" w:cs="ˎ̥"/>
      <w:color w:val="000000"/>
      <w:sz w:val="18"/>
      <w:szCs w:val="18"/>
    </w:rPr>
  </w:style>
  <w:style w:type="character" w:customStyle="1" w:styleId="2186">
    <w:name w:val="目录 2 Char2"/>
    <w:qFormat/>
    <w:uiPriority w:val="0"/>
    <w:rPr>
      <w:rFonts w:eastAsia="宋体" w:cs="宋体"/>
      <w:smallCaps/>
      <w:sz w:val="21"/>
      <w:lang w:val="en-US" w:eastAsia="zh-CN" w:bidi="ar-SA"/>
    </w:rPr>
  </w:style>
  <w:style w:type="character" w:customStyle="1" w:styleId="2187">
    <w:name w:val="四号正文 Char Char"/>
    <w:qFormat/>
    <w:uiPriority w:val="0"/>
    <w:rPr>
      <w:rFonts w:hint="default" w:ascii="Verdana" w:hAnsi="Verdana"/>
      <w:spacing w:val="6"/>
      <w:kern w:val="2"/>
      <w:sz w:val="28"/>
      <w:lang w:bidi="ar-SA"/>
    </w:rPr>
  </w:style>
  <w:style w:type="character" w:customStyle="1" w:styleId="2188">
    <w:name w:val="样式 首行缩进:  2 字符 行距: 最小值 24 磅 Char Char"/>
    <w:qFormat/>
    <w:uiPriority w:val="0"/>
    <w:rPr>
      <w:rFonts w:cs="宋体"/>
      <w:sz w:val="24"/>
    </w:rPr>
  </w:style>
  <w:style w:type="character" w:customStyle="1" w:styleId="2189">
    <w:name w:val="正文（首行缩进两字） Char Char Char3"/>
    <w:qFormat/>
    <w:uiPriority w:val="0"/>
    <w:rPr>
      <w:rFonts w:ascii="Arial" w:hAnsi="Arial" w:eastAsia="宋体"/>
      <w:snapToGrid w:val="0"/>
      <w:sz w:val="24"/>
      <w:lang w:val="en-US" w:eastAsia="zh-CN" w:bidi="ar-SA"/>
    </w:rPr>
  </w:style>
  <w:style w:type="character" w:customStyle="1" w:styleId="2190">
    <w:name w:val="样式 表格文字 Char + 段前: 0.5 行 Char Char"/>
    <w:link w:val="2191"/>
    <w:qFormat/>
    <w:uiPriority w:val="0"/>
    <w:rPr>
      <w:sz w:val="24"/>
    </w:rPr>
  </w:style>
  <w:style w:type="paragraph" w:customStyle="1" w:styleId="2191">
    <w:name w:val="样式 表格文字 Char + 段前: 0.5 行"/>
    <w:basedOn w:val="1"/>
    <w:link w:val="2190"/>
    <w:qFormat/>
    <w:uiPriority w:val="0"/>
    <w:pPr>
      <w:spacing w:beforeLines="50"/>
      <w:jc w:val="center"/>
    </w:pPr>
    <w:rPr>
      <w:rFonts w:ascii="Times New Roman"/>
      <w:kern w:val="0"/>
      <w:sz w:val="24"/>
      <w:szCs w:val="20"/>
    </w:rPr>
  </w:style>
  <w:style w:type="character" w:customStyle="1" w:styleId="2192">
    <w:name w:val="正文首行缩进 2 + Times New Roman Char Char"/>
    <w:link w:val="2193"/>
    <w:qFormat/>
    <w:uiPriority w:val="0"/>
    <w:rPr>
      <w:sz w:val="24"/>
      <w:szCs w:val="24"/>
    </w:rPr>
  </w:style>
  <w:style w:type="paragraph" w:customStyle="1" w:styleId="2193">
    <w:name w:val="正文首行缩进 2 + Times New Roman Char"/>
    <w:basedOn w:val="1"/>
    <w:link w:val="2192"/>
    <w:qFormat/>
    <w:uiPriority w:val="0"/>
    <w:pPr>
      <w:tabs>
        <w:tab w:val="left" w:pos="0"/>
        <w:tab w:val="left" w:pos="870"/>
        <w:tab w:val="left" w:pos="3150"/>
      </w:tabs>
      <w:autoSpaceDE w:val="0"/>
      <w:autoSpaceDN w:val="0"/>
      <w:spacing w:line="360" w:lineRule="auto"/>
      <w:ind w:firstLine="480" w:firstLineChars="200"/>
    </w:pPr>
    <w:rPr>
      <w:rFonts w:ascii="Times New Roman"/>
      <w:kern w:val="0"/>
      <w:sz w:val="24"/>
      <w:szCs w:val="24"/>
    </w:rPr>
  </w:style>
  <w:style w:type="character" w:customStyle="1" w:styleId="2194">
    <w:name w:val="hang"/>
    <w:basedOn w:val="129"/>
    <w:qFormat/>
    <w:uiPriority w:val="0"/>
  </w:style>
  <w:style w:type="character" w:customStyle="1" w:styleId="2195">
    <w:name w:val="style151"/>
    <w:qFormat/>
    <w:uiPriority w:val="0"/>
    <w:rPr>
      <w:b/>
      <w:bCs/>
      <w:color w:val="FF0000"/>
    </w:rPr>
  </w:style>
  <w:style w:type="character" w:customStyle="1" w:styleId="2196">
    <w:name w:val="称呼 Char2"/>
    <w:semiHidden/>
    <w:qFormat/>
    <w:uiPriority w:val="0"/>
    <w:rPr>
      <w:rFonts w:ascii="Times New Roman" w:hAnsi="Times New Roman" w:eastAsia="宋体" w:cs="Times New Roman"/>
      <w:szCs w:val="20"/>
    </w:rPr>
  </w:style>
  <w:style w:type="character" w:customStyle="1" w:styleId="2197">
    <w:name w:val="正文DG Char"/>
    <w:qFormat/>
    <w:uiPriority w:val="0"/>
    <w:rPr>
      <w:rFonts w:ascii="新宋体" w:hAnsi="新宋体" w:eastAsia="新宋体"/>
      <w:sz w:val="24"/>
      <w:szCs w:val="24"/>
    </w:rPr>
  </w:style>
  <w:style w:type="character" w:customStyle="1" w:styleId="2198">
    <w:name w:val="表－左对齐 Char Char Char"/>
    <w:qFormat/>
    <w:uiPriority w:val="0"/>
    <w:rPr>
      <w:rFonts w:ascii="Calibri" w:hAnsi="Times New Roman" w:eastAsia="宋体" w:cs="Times New Roman"/>
      <w:kern w:val="2"/>
      <w:szCs w:val="24"/>
    </w:rPr>
  </w:style>
  <w:style w:type="character" w:customStyle="1" w:styleId="2199">
    <w:name w:val="样式 标题 1 + 宋体 小四 加粗 Char"/>
    <w:qFormat/>
    <w:uiPriority w:val="0"/>
    <w:rPr>
      <w:rFonts w:ascii="黑体" w:hAnsi="Calibri" w:eastAsia="黑体"/>
      <w:b/>
      <w:bCs/>
      <w:sz w:val="28"/>
      <w:szCs w:val="28"/>
    </w:rPr>
  </w:style>
  <w:style w:type="character" w:customStyle="1" w:styleId="2200">
    <w:name w:val="标题4，攀 Char Char"/>
    <w:link w:val="2201"/>
    <w:qFormat/>
    <w:uiPriority w:val="0"/>
    <w:rPr>
      <w:rFonts w:ascii="宋体" w:hAnsi="宋体" w:eastAsia="黑体"/>
      <w:b/>
      <w:color w:val="000000"/>
      <w:sz w:val="24"/>
    </w:rPr>
  </w:style>
  <w:style w:type="paragraph" w:customStyle="1" w:styleId="2201">
    <w:name w:val="标题4，攀"/>
    <w:basedOn w:val="1"/>
    <w:next w:val="1"/>
    <w:link w:val="2200"/>
    <w:qFormat/>
    <w:uiPriority w:val="0"/>
    <w:pPr>
      <w:spacing w:beforeLines="50" w:afterLines="50" w:line="360" w:lineRule="auto"/>
    </w:pPr>
    <w:rPr>
      <w:rFonts w:hAnsi="宋体" w:eastAsia="黑体"/>
      <w:b/>
      <w:color w:val="000000"/>
      <w:kern w:val="0"/>
      <w:sz w:val="24"/>
      <w:szCs w:val="20"/>
    </w:rPr>
  </w:style>
  <w:style w:type="character" w:customStyle="1" w:styleId="2202">
    <w:name w:val="redfont"/>
    <w:semiHidden/>
    <w:qFormat/>
    <w:uiPriority w:val="0"/>
    <w:rPr>
      <w:rFonts w:hint="eastAsia" w:ascii="黑体" w:eastAsia="黑体" w:cs="宋体"/>
      <w:sz w:val="28"/>
      <w:szCs w:val="24"/>
    </w:rPr>
  </w:style>
  <w:style w:type="character" w:customStyle="1" w:styleId="2203">
    <w:name w:val="尾注文本 Char3"/>
    <w:semiHidden/>
    <w:qFormat/>
    <w:uiPriority w:val="99"/>
    <w:rPr>
      <w:rFonts w:ascii="宋体" w:hAnsi="宋体" w:eastAsia="宋体" w:cs="宋体"/>
      <w:kern w:val="0"/>
      <w:sz w:val="24"/>
      <w:szCs w:val="24"/>
    </w:rPr>
  </w:style>
  <w:style w:type="character" w:customStyle="1" w:styleId="2204">
    <w:name w:val="style81"/>
    <w:qFormat/>
    <w:uiPriority w:val="0"/>
    <w:rPr>
      <w:sz w:val="24"/>
      <w:szCs w:val="24"/>
    </w:rPr>
  </w:style>
  <w:style w:type="character" w:customStyle="1" w:styleId="2205">
    <w:name w:val="【表中文字】 Char"/>
    <w:link w:val="2206"/>
    <w:qFormat/>
    <w:uiPriority w:val="0"/>
    <w:rPr>
      <w:rFonts w:ascii="宋体" w:hAnsi="宋体"/>
    </w:rPr>
  </w:style>
  <w:style w:type="paragraph" w:customStyle="1" w:styleId="2206">
    <w:name w:val="【表中文字】"/>
    <w:basedOn w:val="1"/>
    <w:link w:val="2205"/>
    <w:qFormat/>
    <w:uiPriority w:val="0"/>
    <w:pPr>
      <w:jc w:val="center"/>
    </w:pPr>
    <w:rPr>
      <w:rFonts w:hAnsi="宋体"/>
      <w:kern w:val="0"/>
      <w:sz w:val="20"/>
      <w:szCs w:val="20"/>
    </w:rPr>
  </w:style>
  <w:style w:type="character" w:customStyle="1" w:styleId="2207">
    <w:name w:val="【正文】 Char"/>
    <w:link w:val="2208"/>
    <w:qFormat/>
    <w:uiPriority w:val="0"/>
    <w:rPr>
      <w:rFonts w:cs="宋体"/>
      <w:sz w:val="24"/>
    </w:rPr>
  </w:style>
  <w:style w:type="paragraph" w:customStyle="1" w:styleId="2208">
    <w:name w:val="【正文】"/>
    <w:basedOn w:val="1"/>
    <w:link w:val="2207"/>
    <w:qFormat/>
    <w:uiPriority w:val="0"/>
    <w:pPr>
      <w:spacing w:before="120" w:after="120" w:line="312" w:lineRule="auto"/>
      <w:ind w:firstLine="200" w:firstLineChars="200"/>
    </w:pPr>
    <w:rPr>
      <w:rFonts w:ascii="Times New Roman" w:cs="宋体"/>
      <w:kern w:val="0"/>
      <w:sz w:val="24"/>
      <w:szCs w:val="20"/>
    </w:rPr>
  </w:style>
  <w:style w:type="character" w:customStyle="1" w:styleId="2209">
    <w:name w:val="textclass"/>
    <w:basedOn w:val="129"/>
    <w:qFormat/>
    <w:uiPriority w:val="0"/>
  </w:style>
  <w:style w:type="character" w:customStyle="1" w:styleId="2210">
    <w:name w:val="WW8Num1313z0"/>
    <w:semiHidden/>
    <w:qFormat/>
    <w:uiPriority w:val="0"/>
    <w:rPr>
      <w:rFonts w:ascii="Times New Roman" w:hAnsi="Times New Roman" w:cs="Times New Roman"/>
      <w:spacing w:val="0"/>
      <w:position w:val="0"/>
      <w:sz w:val="24"/>
      <w:u w:val="none"/>
      <w:vertAlign w:val="baseline"/>
    </w:rPr>
  </w:style>
  <w:style w:type="character" w:customStyle="1" w:styleId="2211">
    <w:name w:val="Char Char93"/>
    <w:qFormat/>
    <w:uiPriority w:val="0"/>
    <w:rPr>
      <w:rFonts w:ascii="宋体" w:hAnsi="Times New Roman" w:eastAsia="宋体"/>
      <w:sz w:val="18"/>
    </w:rPr>
  </w:style>
  <w:style w:type="character" w:customStyle="1" w:styleId="2212">
    <w:name w:val="普通 (Web) Char Char"/>
    <w:qFormat/>
    <w:uiPriority w:val="0"/>
    <w:rPr>
      <w:rFonts w:ascii="宋体" w:hAnsi="宋体" w:eastAsia="宋体"/>
      <w:sz w:val="24"/>
      <w:lang w:val="en-US" w:eastAsia="zh-CN" w:bidi="ar-SA"/>
    </w:rPr>
  </w:style>
  <w:style w:type="character" w:customStyle="1" w:styleId="2213">
    <w:name w:val="样式2 Char Char Char"/>
    <w:qFormat/>
    <w:uiPriority w:val="0"/>
    <w:rPr>
      <w:rFonts w:ascii="Calibri" w:hAnsi="Times New Roman" w:eastAsia="黑体" w:cs="Times New Roman"/>
      <w:b/>
      <w:bCs/>
      <w:spacing w:val="-4"/>
      <w:kern w:val="2"/>
      <w:sz w:val="32"/>
      <w:szCs w:val="32"/>
    </w:rPr>
  </w:style>
  <w:style w:type="character" w:customStyle="1" w:styleId="2214">
    <w:name w:val="arti_name"/>
    <w:basedOn w:val="129"/>
    <w:qFormat/>
    <w:uiPriority w:val="0"/>
  </w:style>
  <w:style w:type="character" w:customStyle="1" w:styleId="2215">
    <w:name w:val="表头 Char2"/>
    <w:qFormat/>
    <w:uiPriority w:val="0"/>
    <w:rPr>
      <w:rFonts w:eastAsia="黑体"/>
      <w:spacing w:val="10"/>
      <w:sz w:val="28"/>
      <w:lang w:val="en-US" w:eastAsia="zh-CN" w:bidi="ar-SA"/>
    </w:rPr>
  </w:style>
  <w:style w:type="character" w:customStyle="1" w:styleId="2216">
    <w:name w:val="goog_qs-tidbit-1"/>
    <w:basedOn w:val="129"/>
    <w:qFormat/>
    <w:uiPriority w:val="0"/>
  </w:style>
  <w:style w:type="character" w:customStyle="1" w:styleId="2217">
    <w:name w:val="亚通1.1.1.1"/>
    <w:qFormat/>
    <w:uiPriority w:val="0"/>
    <w:rPr>
      <w:rFonts w:hint="eastAsia" w:ascii="仿宋_GB2312" w:hAnsi="仿宋_GB2312" w:eastAsia="仿宋_GB2312"/>
      <w:color w:val="000000"/>
      <w:sz w:val="28"/>
    </w:rPr>
  </w:style>
  <w:style w:type="character" w:customStyle="1" w:styleId="2218">
    <w:name w:val="javascript1"/>
    <w:qFormat/>
    <w:uiPriority w:val="0"/>
    <w:rPr>
      <w:rFonts w:hint="default" w:ascii="Tahoma" w:hAnsi="Tahoma" w:eastAsia="宋体" w:cs="Tahoma"/>
      <w:sz w:val="18"/>
      <w:szCs w:val="18"/>
    </w:rPr>
  </w:style>
  <w:style w:type="character" w:customStyle="1" w:styleId="2219">
    <w:name w:val="公式2 Char Char"/>
    <w:link w:val="2220"/>
    <w:qFormat/>
    <w:uiPriority w:val="0"/>
    <w:rPr>
      <w:rFonts w:ascii="楷体_GB2312" w:eastAsia="楷体_GB2312"/>
    </w:rPr>
  </w:style>
  <w:style w:type="paragraph" w:customStyle="1" w:styleId="2220">
    <w:name w:val="公式2"/>
    <w:basedOn w:val="1"/>
    <w:link w:val="2219"/>
    <w:qFormat/>
    <w:uiPriority w:val="0"/>
    <w:pPr>
      <w:spacing w:before="120" w:after="120" w:line="360" w:lineRule="auto"/>
      <w:ind w:firstLine="480" w:firstLineChars="200"/>
    </w:pPr>
    <w:rPr>
      <w:rFonts w:ascii="楷体_GB2312" w:eastAsia="楷体_GB2312"/>
      <w:kern w:val="0"/>
      <w:sz w:val="20"/>
      <w:szCs w:val="20"/>
    </w:rPr>
  </w:style>
  <w:style w:type="character" w:customStyle="1" w:styleId="2221">
    <w:name w:val="四号 正文 Char"/>
    <w:qFormat/>
    <w:uiPriority w:val="0"/>
    <w:rPr>
      <w:rFonts w:ascii="黑体" w:hAnsi="宋体" w:eastAsia="黑体"/>
      <w:b/>
      <w:spacing w:val="6"/>
      <w:kern w:val="2"/>
      <w:sz w:val="24"/>
      <w:szCs w:val="24"/>
      <w:lang w:val="en-US" w:eastAsia="zh-CN" w:bidi="ar-SA"/>
    </w:rPr>
  </w:style>
  <w:style w:type="character" w:customStyle="1" w:styleId="2222">
    <w:name w:val="样式 正文首行缩进 + 四号 Char"/>
    <w:link w:val="2223"/>
    <w:qFormat/>
    <w:uiPriority w:val="0"/>
    <w:rPr>
      <w:rFonts w:ascii="Sim Sun" w:hAnsi="宋体"/>
      <w:spacing w:val="5"/>
      <w:sz w:val="28"/>
      <w:szCs w:val="24"/>
    </w:rPr>
  </w:style>
  <w:style w:type="paragraph" w:customStyle="1" w:styleId="2223">
    <w:name w:val="样式 正文首行缩进 + 四号"/>
    <w:basedOn w:val="230"/>
    <w:link w:val="2222"/>
    <w:qFormat/>
    <w:uiPriority w:val="0"/>
    <w:pPr>
      <w:keepLines/>
      <w:tabs>
        <w:tab w:val="left" w:pos="0"/>
        <w:tab w:val="left" w:pos="1727"/>
        <w:tab w:val="left" w:pos="1884"/>
        <w:tab w:val="left" w:pos="8480"/>
      </w:tabs>
      <w:adjustRightInd w:val="0"/>
      <w:snapToGrid w:val="0"/>
      <w:ind w:left="-15" w:leftChars="-7"/>
    </w:pPr>
    <w:rPr>
      <w:rFonts w:hint="default" w:ascii="Sim Sun"/>
      <w:kern w:val="0"/>
      <w:sz w:val="28"/>
    </w:rPr>
  </w:style>
  <w:style w:type="character" w:customStyle="1" w:styleId="2224">
    <w:name w:val="Char Char55"/>
    <w:qFormat/>
    <w:uiPriority w:val="0"/>
    <w:rPr>
      <w:rFonts w:hint="default" w:ascii="Arial" w:hAnsi="Arial" w:eastAsia="黑体" w:cs="Arial"/>
      <w:kern w:val="2"/>
      <w:sz w:val="24"/>
      <w:szCs w:val="24"/>
      <w:lang w:val="en-US" w:eastAsia="zh-CN" w:bidi="ar-SA"/>
    </w:rPr>
  </w:style>
  <w:style w:type="character" w:customStyle="1" w:styleId="2225">
    <w:name w:val="正文1 Char Char Char Char"/>
    <w:qFormat/>
    <w:uiPriority w:val="0"/>
    <w:rPr>
      <w:rFonts w:ascii="ˎ̥" w:hAnsi="ˎ̥" w:eastAsia="FLGPEK+TimesNewRoman,Italic" w:cs="ˎ̥"/>
      <w:sz w:val="24"/>
      <w:szCs w:val="24"/>
    </w:rPr>
  </w:style>
  <w:style w:type="character" w:customStyle="1" w:styleId="2226">
    <w:name w:val="fb1"/>
    <w:qFormat/>
    <w:uiPriority w:val="0"/>
    <w:rPr>
      <w:b/>
      <w:bCs/>
    </w:rPr>
  </w:style>
  <w:style w:type="character" w:customStyle="1" w:styleId="2227">
    <w:name w:val="about1"/>
    <w:qFormat/>
    <w:uiPriority w:val="0"/>
    <w:rPr>
      <w:color w:val="000000"/>
      <w:sz w:val="18"/>
      <w:szCs w:val="18"/>
    </w:rPr>
  </w:style>
  <w:style w:type="character" w:customStyle="1" w:styleId="2228">
    <w:name w:val="文字缩进 Char Char"/>
    <w:qFormat/>
    <w:uiPriority w:val="0"/>
    <w:rPr>
      <w:rFonts w:ascii="宋体" w:hAnsi="Courier New"/>
      <w:kern w:val="2"/>
      <w:sz w:val="21"/>
    </w:rPr>
  </w:style>
  <w:style w:type="character" w:customStyle="1" w:styleId="2229">
    <w:name w:val="样式 样式2 + (符号) 宋体1 Char"/>
    <w:qFormat/>
    <w:uiPriority w:val="0"/>
    <w:rPr>
      <w:rFonts w:ascii="宋体" w:eastAsia="宋体"/>
      <w:kern w:val="2"/>
      <w:sz w:val="28"/>
      <w:lang w:val="en-US" w:eastAsia="zh-CN"/>
    </w:rPr>
  </w:style>
  <w:style w:type="character" w:customStyle="1" w:styleId="2230">
    <w:name w:val="样式 正文文字缩进 + 左侧:  -0.05 字符 悬挂缩进: 0.05 字符"/>
    <w:qFormat/>
    <w:uiPriority w:val="0"/>
    <w:rPr>
      <w:rFonts w:hint="eastAsia" w:ascii="Sim Sun" w:hAnsi="Sim Sun" w:eastAsia="Sim Sun"/>
      <w:b/>
      <w:sz w:val="24"/>
    </w:rPr>
  </w:style>
  <w:style w:type="character" w:customStyle="1" w:styleId="2231">
    <w:name w:val="样式 正文首行缩进＋湿地 + 首行缩进:  2 字符1 Char Char"/>
    <w:qFormat/>
    <w:uiPriority w:val="0"/>
    <w:rPr>
      <w:rFonts w:ascii="仿宋_GB2312" w:hAnsi="宋体" w:eastAsia="仿宋_GB2312" w:cs="宋体"/>
      <w:sz w:val="28"/>
      <w:lang w:val="en-US" w:eastAsia="zh-CN" w:bidi="ar-SA"/>
    </w:rPr>
  </w:style>
  <w:style w:type="character" w:customStyle="1" w:styleId="2232">
    <w:name w:val="Char Char110"/>
    <w:qFormat/>
    <w:uiPriority w:val="0"/>
    <w:rPr>
      <w:rFonts w:ascii="Arial" w:hAnsi="Arial"/>
      <w:sz w:val="24"/>
      <w:szCs w:val="24"/>
    </w:rPr>
  </w:style>
  <w:style w:type="character" w:customStyle="1" w:styleId="2233">
    <w:name w:val="Char Char242"/>
    <w:qFormat/>
    <w:uiPriority w:val="0"/>
    <w:rPr>
      <w:kern w:val="2"/>
      <w:sz w:val="21"/>
      <w:szCs w:val="24"/>
    </w:rPr>
  </w:style>
  <w:style w:type="character" w:customStyle="1" w:styleId="2234">
    <w:name w:val="正文首行缩进＋湿地 Char Char Char"/>
    <w:qFormat/>
    <w:uiPriority w:val="0"/>
    <w:rPr>
      <w:rFonts w:ascii="仿宋_GB2312" w:eastAsia="仿宋_GB2312"/>
      <w:sz w:val="28"/>
      <w:lang w:val="en-US" w:eastAsia="zh-CN" w:bidi="ar-SA"/>
    </w:rPr>
  </w:style>
  <w:style w:type="character" w:customStyle="1" w:styleId="2235">
    <w:name w:val="Char Char62"/>
    <w:qFormat/>
    <w:uiPriority w:val="0"/>
    <w:rPr>
      <w:rFonts w:eastAsia="宋体"/>
      <w:kern w:val="2"/>
      <w:sz w:val="24"/>
      <w:lang w:val="en-US" w:eastAsia="zh-CN" w:bidi="ar-SA"/>
    </w:rPr>
  </w:style>
  <w:style w:type="character" w:customStyle="1" w:styleId="2236">
    <w:name w:val="正文文字 2 Char Char2"/>
    <w:qFormat/>
    <w:uiPriority w:val="0"/>
    <w:rPr>
      <w:rFonts w:hint="eastAsia" w:ascii="宋体" w:hAnsi="宋体" w:eastAsia="宋体"/>
      <w:kern w:val="2"/>
      <w:sz w:val="21"/>
      <w:szCs w:val="24"/>
      <w:lang w:val="en-US" w:eastAsia="zh-CN" w:bidi="ar-SA"/>
    </w:rPr>
  </w:style>
  <w:style w:type="character" w:customStyle="1" w:styleId="2237">
    <w:name w:val="Char Char133"/>
    <w:qFormat/>
    <w:uiPriority w:val="0"/>
    <w:rPr>
      <w:rFonts w:eastAsia="宋体"/>
      <w:sz w:val="24"/>
      <w:lang w:val="en-US" w:eastAsia="zh-CN"/>
    </w:rPr>
  </w:style>
  <w:style w:type="character" w:customStyle="1" w:styleId="2238">
    <w:name w:val="表格标题 Char Char"/>
    <w:qFormat/>
    <w:uiPriority w:val="0"/>
    <w:rPr>
      <w:rFonts w:eastAsia="宋体"/>
      <w:sz w:val="24"/>
    </w:rPr>
  </w:style>
  <w:style w:type="character" w:customStyle="1" w:styleId="2239">
    <w:name w:val="表内容@ Char"/>
    <w:qFormat/>
    <w:uiPriority w:val="0"/>
    <w:rPr>
      <w:rFonts w:ascii="宋体" w:hAnsi="宋体" w:cs="Arial"/>
      <w:szCs w:val="21"/>
    </w:rPr>
  </w:style>
  <w:style w:type="character" w:customStyle="1" w:styleId="2240">
    <w:name w:val="123YJ Char Char"/>
    <w:qFormat/>
    <w:uiPriority w:val="0"/>
    <w:rPr>
      <w:kern w:val="2"/>
      <w:sz w:val="18"/>
      <w:szCs w:val="18"/>
    </w:rPr>
  </w:style>
  <w:style w:type="character" w:customStyle="1" w:styleId="2241">
    <w:name w:val="样式 正文文本 + Char"/>
    <w:qFormat/>
    <w:uiPriority w:val="0"/>
    <w:rPr>
      <w:rFonts w:eastAsia="仿宋_GB2312"/>
      <w:snapToGrid w:val="0"/>
      <w:spacing w:val="-6"/>
      <w:sz w:val="18"/>
    </w:rPr>
  </w:style>
  <w:style w:type="character" w:customStyle="1" w:styleId="2242">
    <w:name w:val="小表左 Char Char"/>
    <w:link w:val="2243"/>
    <w:qFormat/>
    <w:uiPriority w:val="0"/>
    <w:rPr>
      <w:rFonts w:ascii="宋体" w:hAnsi="宋体"/>
      <w:szCs w:val="21"/>
    </w:rPr>
  </w:style>
  <w:style w:type="paragraph" w:customStyle="1" w:styleId="2243">
    <w:name w:val="小表左"/>
    <w:basedOn w:val="1"/>
    <w:link w:val="2242"/>
    <w:qFormat/>
    <w:uiPriority w:val="0"/>
    <w:pPr>
      <w:keepNext/>
      <w:adjustRightInd w:val="0"/>
      <w:snapToGrid w:val="0"/>
      <w:spacing w:line="240" w:lineRule="atLeast"/>
    </w:pPr>
    <w:rPr>
      <w:rFonts w:hAnsi="宋体"/>
      <w:kern w:val="0"/>
      <w:sz w:val="20"/>
      <w:szCs w:val="21"/>
    </w:rPr>
  </w:style>
  <w:style w:type="character" w:customStyle="1" w:styleId="2244">
    <w:name w:val="tit2"/>
    <w:qFormat/>
    <w:uiPriority w:val="0"/>
    <w:rPr>
      <w:b/>
      <w:bCs/>
      <w:sz w:val="48"/>
      <w:szCs w:val="48"/>
    </w:rPr>
  </w:style>
  <w:style w:type="character" w:customStyle="1" w:styleId="2245">
    <w:name w:val="样式 亚行正文 + 自动设置 Char Char Char"/>
    <w:qFormat/>
    <w:uiPriority w:val="0"/>
    <w:rPr>
      <w:rFonts w:ascii="宋体" w:hAnsi="宋体" w:eastAsia="宋体"/>
      <w:snapToGrid w:val="0"/>
      <w:color w:val="000000"/>
      <w:spacing w:val="-2"/>
      <w:sz w:val="24"/>
      <w:szCs w:val="24"/>
      <w:lang w:val="en-US" w:eastAsia="zh-CN" w:bidi="ar-SA"/>
    </w:rPr>
  </w:style>
  <w:style w:type="character" w:customStyle="1" w:styleId="2246">
    <w:name w:val="普通文字 Char Char1"/>
    <w:qFormat/>
    <w:uiPriority w:val="0"/>
    <w:rPr>
      <w:rFonts w:ascii="宋体" w:hAnsi="Courier New" w:eastAsia="宋体"/>
      <w:kern w:val="2"/>
      <w:sz w:val="21"/>
      <w:szCs w:val="21"/>
      <w:lang w:val="en-US" w:eastAsia="zh-CN" w:bidi="ar-SA"/>
    </w:rPr>
  </w:style>
  <w:style w:type="character" w:customStyle="1" w:styleId="2247">
    <w:name w:val="宋体 13 磅 行距: 固定值 24 磅 Char Char"/>
    <w:qFormat/>
    <w:uiPriority w:val="0"/>
    <w:rPr>
      <w:rFonts w:ascii="宋体" w:hAnsi="宋体" w:eastAsia="宋体" w:cs="宋体"/>
      <w:kern w:val="2"/>
      <w:sz w:val="26"/>
    </w:rPr>
  </w:style>
  <w:style w:type="character" w:customStyle="1" w:styleId="2248">
    <w:name w:val="样式 正文1 + 加粗 Char Char"/>
    <w:link w:val="2249"/>
    <w:qFormat/>
    <w:uiPriority w:val="0"/>
    <w:rPr>
      <w:sz w:val="24"/>
    </w:rPr>
  </w:style>
  <w:style w:type="paragraph" w:customStyle="1" w:styleId="2249">
    <w:name w:val="样式 正文1 + 加粗"/>
    <w:basedOn w:val="148"/>
    <w:link w:val="2248"/>
    <w:qFormat/>
    <w:uiPriority w:val="0"/>
    <w:pPr>
      <w:spacing w:beforeLines="20"/>
      <w:ind w:firstLine="480"/>
    </w:pPr>
    <w:rPr>
      <w:rFonts w:eastAsia="宋体"/>
    </w:rPr>
  </w:style>
  <w:style w:type="character" w:customStyle="1" w:styleId="2250">
    <w:name w:val="Char Char53"/>
    <w:qFormat/>
    <w:uiPriority w:val="0"/>
    <w:rPr>
      <w:kern w:val="2"/>
      <w:sz w:val="24"/>
      <w:lang w:bidi="ar-SA"/>
    </w:rPr>
  </w:style>
  <w:style w:type="character" w:customStyle="1" w:styleId="2251">
    <w:name w:val="表格标题dg Char"/>
    <w:link w:val="2252"/>
    <w:qFormat/>
    <w:uiPriority w:val="0"/>
    <w:rPr>
      <w:rFonts w:ascii="微软雅黑" w:hAnsi="微软雅黑" w:eastAsia="微软雅黑"/>
      <w:sz w:val="24"/>
      <w:lang w:bidi="en-US"/>
    </w:rPr>
  </w:style>
  <w:style w:type="paragraph" w:customStyle="1" w:styleId="2252">
    <w:name w:val="表格标题dg"/>
    <w:basedOn w:val="1"/>
    <w:next w:val="1"/>
    <w:link w:val="2251"/>
    <w:qFormat/>
    <w:uiPriority w:val="0"/>
    <w:pPr>
      <w:keepNext/>
      <w:widowControl/>
      <w:spacing w:line="560" w:lineRule="exact"/>
      <w:jc w:val="center"/>
    </w:pPr>
    <w:rPr>
      <w:rFonts w:ascii="微软雅黑" w:hAnsi="微软雅黑" w:eastAsia="微软雅黑"/>
      <w:kern w:val="0"/>
      <w:sz w:val="24"/>
      <w:szCs w:val="20"/>
      <w:lang w:bidi="en-US"/>
    </w:rPr>
  </w:style>
  <w:style w:type="character" w:customStyle="1" w:styleId="2253">
    <w:name w:val="样式 四号 首行缩进:  0.93 厘米 Char Char Char Char Char Char Char"/>
    <w:link w:val="2254"/>
    <w:qFormat/>
    <w:uiPriority w:val="0"/>
    <w:rPr>
      <w:spacing w:val="-4"/>
      <w:sz w:val="28"/>
      <w:szCs w:val="28"/>
    </w:rPr>
  </w:style>
  <w:style w:type="paragraph" w:customStyle="1" w:styleId="2254">
    <w:name w:val="样式 四号 首行缩进:  0.93 厘米 Char Char Char Char Char Char"/>
    <w:basedOn w:val="1"/>
    <w:link w:val="2253"/>
    <w:qFormat/>
    <w:uiPriority w:val="0"/>
    <w:pPr>
      <w:spacing w:line="600" w:lineRule="exact"/>
      <w:ind w:firstLine="544" w:firstLineChars="200"/>
    </w:pPr>
    <w:rPr>
      <w:rFonts w:ascii="Times New Roman"/>
      <w:spacing w:val="-4"/>
      <w:kern w:val="0"/>
      <w:sz w:val="28"/>
      <w:szCs w:val="28"/>
    </w:rPr>
  </w:style>
  <w:style w:type="character" w:customStyle="1" w:styleId="2255">
    <w:name w:val="标题 5 Char2"/>
    <w:qFormat/>
    <w:uiPriority w:val="0"/>
    <w:rPr>
      <w:rFonts w:ascii="Batang" w:hAnsi="Batang" w:eastAsia="宋体-方正超大字符集" w:cs="Batang"/>
      <w:b/>
      <w:sz w:val="28"/>
      <w:lang w:val="en-US" w:eastAsia="zh-CN" w:bidi="ar-SA"/>
    </w:rPr>
  </w:style>
  <w:style w:type="character" w:customStyle="1" w:styleId="2256">
    <w:name w:val="珠江啤酒正文 Char Char"/>
    <w:qFormat/>
    <w:uiPriority w:val="0"/>
    <w:rPr>
      <w:sz w:val="24"/>
      <w:lang w:bidi="ar-SA"/>
    </w:rPr>
  </w:style>
  <w:style w:type="character" w:customStyle="1" w:styleId="2257">
    <w:name w:val="tdword"/>
    <w:qFormat/>
    <w:uiPriority w:val="0"/>
    <w:rPr>
      <w:rFonts w:ascii="Calibri" w:hAnsi="Calibri" w:eastAsia="宋体" w:cs="Times New Roman"/>
    </w:rPr>
  </w:style>
  <w:style w:type="character" w:customStyle="1" w:styleId="2258">
    <w:name w:val="Char Char72"/>
    <w:qFormat/>
    <w:uiPriority w:val="0"/>
    <w:rPr>
      <w:rFonts w:hint="default" w:ascii="ˎ̥" w:hAnsi="ˎ̥" w:eastAsia="FLGPEK+TimesNewRoman,Italic" w:cs="ˎ̥"/>
      <w:sz w:val="16"/>
      <w:szCs w:val="16"/>
    </w:rPr>
  </w:style>
  <w:style w:type="character" w:customStyle="1" w:styleId="2259">
    <w:name w:val="Char Char73"/>
    <w:qFormat/>
    <w:uiPriority w:val="0"/>
    <w:rPr>
      <w:rFonts w:eastAsia="黑体"/>
      <w:b/>
      <w:kern w:val="44"/>
      <w:sz w:val="28"/>
      <w:lang w:val="en-US" w:eastAsia="zh-CN" w:bidi="ar-SA"/>
    </w:rPr>
  </w:style>
  <w:style w:type="character" w:customStyle="1" w:styleId="2260">
    <w:name w:val="表头 Char Char Char"/>
    <w:qFormat/>
    <w:uiPriority w:val="0"/>
    <w:rPr>
      <w:rFonts w:ascii="黑体" w:hAnsi="Times New Roman" w:eastAsia="黑体" w:cs="Times New Roman"/>
      <w:b/>
      <w:kern w:val="2"/>
      <w:sz w:val="24"/>
    </w:rPr>
  </w:style>
  <w:style w:type="character" w:customStyle="1" w:styleId="2261">
    <w:name w:val="无框文本框 Char"/>
    <w:link w:val="2262"/>
    <w:qFormat/>
    <w:uiPriority w:val="0"/>
    <w:rPr>
      <w:rFonts w:ascii="宋体" w:hAnsi="宋体"/>
      <w:snapToGrid w:val="0"/>
      <w:sz w:val="18"/>
    </w:rPr>
  </w:style>
  <w:style w:type="paragraph" w:customStyle="1" w:styleId="2262">
    <w:name w:val="无框文本框"/>
    <w:basedOn w:val="1"/>
    <w:link w:val="2261"/>
    <w:qFormat/>
    <w:uiPriority w:val="0"/>
    <w:pPr>
      <w:adjustRightInd w:val="0"/>
      <w:snapToGrid w:val="0"/>
      <w:spacing w:beforeLines="20"/>
    </w:pPr>
    <w:rPr>
      <w:rFonts w:hAnsi="宋体"/>
      <w:snapToGrid w:val="0"/>
      <w:kern w:val="0"/>
      <w:sz w:val="18"/>
      <w:szCs w:val="20"/>
    </w:rPr>
  </w:style>
  <w:style w:type="character" w:customStyle="1" w:styleId="2263">
    <w:name w:val="题注 Char2"/>
    <w:qFormat/>
    <w:uiPriority w:val="0"/>
    <w:rPr>
      <w:sz w:val="24"/>
      <w:lang w:bidi="ar-SA"/>
    </w:rPr>
  </w:style>
  <w:style w:type="character" w:customStyle="1" w:styleId="2264">
    <w:name w:val="Char Char29"/>
    <w:qFormat/>
    <w:uiPriority w:val="0"/>
    <w:rPr>
      <w:rFonts w:hint="eastAsia" w:ascii="宋体" w:hAnsi="宋体" w:eastAsia="宋体"/>
      <w:b/>
      <w:kern w:val="44"/>
      <w:sz w:val="25"/>
    </w:rPr>
  </w:style>
  <w:style w:type="character" w:customStyle="1" w:styleId="2265">
    <w:name w:val="标题5 Char"/>
    <w:qFormat/>
    <w:uiPriority w:val="0"/>
    <w:rPr>
      <w:rFonts w:ascii="宋体" w:hAnsi="宋体"/>
      <w:sz w:val="24"/>
      <w:szCs w:val="24"/>
    </w:rPr>
  </w:style>
  <w:style w:type="character" w:customStyle="1" w:styleId="2266">
    <w:name w:val="批注引用2"/>
    <w:qFormat/>
    <w:uiPriority w:val="0"/>
    <w:rPr>
      <w:sz w:val="21"/>
      <w:szCs w:val="21"/>
    </w:rPr>
  </w:style>
  <w:style w:type="character" w:customStyle="1" w:styleId="2267">
    <w:name w:val="正文000 Char"/>
    <w:qFormat/>
    <w:uiPriority w:val="0"/>
    <w:rPr>
      <w:sz w:val="24"/>
    </w:rPr>
  </w:style>
  <w:style w:type="character" w:customStyle="1" w:styleId="2268">
    <w:name w:val="b128"/>
    <w:basedOn w:val="129"/>
    <w:qFormat/>
    <w:uiPriority w:val="0"/>
  </w:style>
  <w:style w:type="character" w:customStyle="1" w:styleId="2269">
    <w:name w:val="Char Char63"/>
    <w:qFormat/>
    <w:uiPriority w:val="0"/>
    <w:rPr>
      <w:rFonts w:eastAsia="宋体"/>
      <w:kern w:val="2"/>
      <w:sz w:val="24"/>
      <w:lang w:val="en-US" w:eastAsia="zh-CN" w:bidi="ar-SA"/>
    </w:rPr>
  </w:style>
  <w:style w:type="character" w:customStyle="1" w:styleId="2270">
    <w:name w:val="Char Char39"/>
    <w:qFormat/>
    <w:uiPriority w:val="0"/>
    <w:rPr>
      <w:rFonts w:hint="eastAsia" w:ascii="宋体" w:hAnsi="Arial" w:eastAsia="宋体" w:cs="Arial"/>
      <w:kern w:val="2"/>
      <w:sz w:val="21"/>
    </w:rPr>
  </w:style>
  <w:style w:type="character" w:customStyle="1" w:styleId="2271">
    <w:name w:val="样式4 Char Char Char Char"/>
    <w:qFormat/>
    <w:uiPriority w:val="0"/>
    <w:rPr>
      <w:rFonts w:ascii="Arial" w:hAnsi="Arial" w:eastAsia="宋体" w:cs="Times New Roman"/>
      <w:kern w:val="2"/>
      <w:sz w:val="24"/>
      <w:szCs w:val="24"/>
      <w:lang w:val="en-US" w:eastAsia="zh-CN"/>
    </w:rPr>
  </w:style>
  <w:style w:type="character" w:customStyle="1" w:styleId="2272">
    <w:name w:val="标5 Char Char"/>
    <w:qFormat/>
    <w:uiPriority w:val="0"/>
    <w:rPr>
      <w:rFonts w:ascii="Sim Sun" w:hAnsi="Sim Sun" w:eastAsia="Sim Sun"/>
      <w:sz w:val="28"/>
      <w:szCs w:val="28"/>
      <w:lang w:val="en-US" w:eastAsia="zh-CN"/>
    </w:rPr>
  </w:style>
  <w:style w:type="character" w:customStyle="1" w:styleId="2273">
    <w:name w:val="格式3 Char Char"/>
    <w:link w:val="2274"/>
    <w:qFormat/>
    <w:uiPriority w:val="0"/>
    <w:rPr>
      <w:rFonts w:eastAsia="黑体"/>
      <w:b/>
      <w:bCs/>
      <w:sz w:val="24"/>
      <w:szCs w:val="32"/>
    </w:rPr>
  </w:style>
  <w:style w:type="paragraph" w:customStyle="1" w:styleId="2274">
    <w:name w:val="格式3"/>
    <w:basedOn w:val="5"/>
    <w:link w:val="2273"/>
    <w:qFormat/>
    <w:uiPriority w:val="0"/>
    <w:pPr>
      <w:tabs>
        <w:tab w:val="left" w:pos="0"/>
        <w:tab w:val="left" w:pos="1571"/>
      </w:tabs>
      <w:snapToGrid w:val="0"/>
      <w:spacing w:before="240" w:after="0"/>
      <w:jc w:val="left"/>
    </w:pPr>
    <w:rPr>
      <w:rFonts w:eastAsia="黑体"/>
      <w:kern w:val="0"/>
      <w:sz w:val="24"/>
    </w:rPr>
  </w:style>
  <w:style w:type="character" w:customStyle="1" w:styleId="2275">
    <w:name w:val="font9black"/>
    <w:basedOn w:val="129"/>
    <w:qFormat/>
    <w:uiPriority w:val="0"/>
  </w:style>
  <w:style w:type="character" w:customStyle="1" w:styleId="2276">
    <w:name w:val="dxj表头 Char"/>
    <w:qFormat/>
    <w:uiPriority w:val="0"/>
    <w:rPr>
      <w:rFonts w:eastAsia="黑体"/>
      <w:szCs w:val="21"/>
      <w:lang w:val="zh-CN"/>
    </w:rPr>
  </w:style>
  <w:style w:type="character" w:customStyle="1" w:styleId="2277">
    <w:name w:val="正文样式 Char Char"/>
    <w:qFormat/>
    <w:uiPriority w:val="0"/>
    <w:rPr>
      <w:rFonts w:ascii="Times New Roman" w:hAnsi="Times New Roman" w:eastAsia="宋体" w:cs="Times New Roman"/>
      <w:kern w:val="2"/>
      <w:sz w:val="24"/>
      <w:szCs w:val="24"/>
    </w:rPr>
  </w:style>
  <w:style w:type="character" w:customStyle="1" w:styleId="2278">
    <w:name w:val="样式 正文（首行缩进两字） + 行距: 固定值 20 磅 Char"/>
    <w:qFormat/>
    <w:uiPriority w:val="0"/>
    <w:rPr>
      <w:rFonts w:eastAsia="仿宋_GB2312"/>
      <w:sz w:val="24"/>
    </w:rPr>
  </w:style>
  <w:style w:type="character" w:customStyle="1" w:styleId="2279">
    <w:name w:val="样式 (西文) 宋体 (中文) 仿宋_GB2312 黑色"/>
    <w:semiHidden/>
    <w:qFormat/>
    <w:uiPriority w:val="0"/>
    <w:rPr>
      <w:rFonts w:hint="default" w:ascii="Times New Roman" w:hAnsi="Times New Roman" w:eastAsia="仿宋_GB2312" w:cs="Times New Roman"/>
      <w:color w:val="000000"/>
    </w:rPr>
  </w:style>
  <w:style w:type="character" w:customStyle="1" w:styleId="2280">
    <w:name w:val="样式 标题 1 + 宋体 小四 加粗 Char1"/>
    <w:qFormat/>
    <w:uiPriority w:val="0"/>
    <w:rPr>
      <w:rFonts w:hint="eastAsia" w:ascii="Gungsuh" w:hAnsi="Gungsuh" w:eastAsia="黑体"/>
      <w:b/>
      <w:bCs/>
      <w:kern w:val="2"/>
      <w:sz w:val="30"/>
      <w:szCs w:val="28"/>
      <w:lang w:val="en-US" w:eastAsia="zh-CN" w:bidi="ar-SA"/>
    </w:rPr>
  </w:style>
  <w:style w:type="character" w:customStyle="1" w:styleId="2281">
    <w:name w:val="一 Char Char"/>
    <w:qFormat/>
    <w:uiPriority w:val="0"/>
    <w:rPr>
      <w:rFonts w:ascii="@幼圆" w:eastAsia="@幼圆"/>
      <w:b/>
      <w:kern w:val="2"/>
      <w:sz w:val="28"/>
      <w:lang w:val="en-US" w:eastAsia="zh-CN" w:bidi="ar-SA"/>
    </w:rPr>
  </w:style>
  <w:style w:type="character" w:customStyle="1" w:styleId="2282">
    <w:name w:val="正文缩进 Char2"/>
    <w:link w:val="2283"/>
    <w:qFormat/>
    <w:uiPriority w:val="0"/>
    <w:rPr>
      <w:color w:val="000000"/>
      <w:sz w:val="24"/>
    </w:rPr>
  </w:style>
  <w:style w:type="paragraph" w:customStyle="1" w:styleId="2283">
    <w:name w:val="正文缩进2"/>
    <w:basedOn w:val="1"/>
    <w:link w:val="2282"/>
    <w:qFormat/>
    <w:uiPriority w:val="0"/>
    <w:pPr>
      <w:tabs>
        <w:tab w:val="left" w:pos="0"/>
      </w:tabs>
      <w:spacing w:line="480" w:lineRule="exact"/>
      <w:ind w:firstLine="480" w:firstLineChars="200"/>
      <w:jc w:val="left"/>
    </w:pPr>
    <w:rPr>
      <w:rFonts w:ascii="Times New Roman"/>
      <w:color w:val="000000"/>
      <w:kern w:val="0"/>
      <w:sz w:val="24"/>
      <w:szCs w:val="20"/>
    </w:rPr>
  </w:style>
  <w:style w:type="character" w:customStyle="1" w:styleId="2284">
    <w:name w:val="表格（纵向） Char Char Char Char"/>
    <w:qFormat/>
    <w:uiPriority w:val="0"/>
    <w:rPr>
      <w:rFonts w:ascii="宋体" w:hAnsi="宋体" w:eastAsia="宋体"/>
      <w:sz w:val="16"/>
      <w:lang w:val="en-US" w:eastAsia="zh-CN" w:bidi="ar-SA"/>
    </w:rPr>
  </w:style>
  <w:style w:type="character" w:customStyle="1" w:styleId="2285">
    <w:name w:val="f9wen1"/>
    <w:qFormat/>
    <w:uiPriority w:val="0"/>
    <w:rPr>
      <w:spacing w:val="12"/>
      <w:sz w:val="18"/>
      <w:szCs w:val="18"/>
      <w:u w:val="none"/>
    </w:rPr>
  </w:style>
  <w:style w:type="character" w:customStyle="1" w:styleId="2286">
    <w:name w:val="燕山正文 Char"/>
    <w:qFormat/>
    <w:uiPriority w:val="0"/>
    <w:rPr>
      <w:rFonts w:ascii="宋体" w:hAnsi="宋体"/>
      <w:color w:val="000000"/>
      <w:sz w:val="24"/>
      <w:szCs w:val="28"/>
    </w:rPr>
  </w:style>
  <w:style w:type="character" w:customStyle="1" w:styleId="2287">
    <w:name w:val="样式 正文首行缩进 + 首行缩进:  2 字符 Char"/>
    <w:link w:val="2288"/>
    <w:qFormat/>
    <w:uiPriority w:val="0"/>
    <w:rPr>
      <w:rFonts w:ascii="宋体" w:cs="宋体"/>
      <w:color w:val="000000"/>
      <w:sz w:val="28"/>
      <w:szCs w:val="28"/>
    </w:rPr>
  </w:style>
  <w:style w:type="paragraph" w:customStyle="1" w:styleId="2288">
    <w:name w:val="样式 正文首行缩进 + 首行缩进:  2 字符"/>
    <w:basedOn w:val="82"/>
    <w:link w:val="2287"/>
    <w:qFormat/>
    <w:uiPriority w:val="0"/>
    <w:pPr>
      <w:tabs>
        <w:tab w:val="left" w:pos="628"/>
        <w:tab w:val="left" w:pos="1727"/>
        <w:tab w:val="left" w:pos="1884"/>
        <w:tab w:val="left" w:pos="2660"/>
        <w:tab w:val="left" w:pos="5460"/>
      </w:tabs>
      <w:adjustRightInd w:val="0"/>
      <w:snapToGrid w:val="0"/>
      <w:spacing w:after="0" w:line="360" w:lineRule="auto"/>
      <w:ind w:firstLine="560" w:firstLineChars="200"/>
    </w:pPr>
    <w:rPr>
      <w:rFonts w:hint="default" w:hAnsi="Times New Roman"/>
      <w:color w:val="000000"/>
      <w:kern w:val="0"/>
      <w:sz w:val="28"/>
      <w:szCs w:val="28"/>
    </w:rPr>
  </w:style>
  <w:style w:type="character" w:customStyle="1" w:styleId="2289">
    <w:name w:val="页码2"/>
    <w:basedOn w:val="129"/>
    <w:qFormat/>
    <w:uiPriority w:val="0"/>
  </w:style>
  <w:style w:type="character" w:customStyle="1" w:styleId="2290">
    <w:name w:val="表－左对齐 Char Char"/>
    <w:qFormat/>
    <w:uiPriority w:val="0"/>
    <w:rPr>
      <w:rFonts w:ascii="Calibri" w:hAnsi="Calibri" w:eastAsia="宋体" w:cs="Times New Roman"/>
      <w:kern w:val="2"/>
      <w:sz w:val="21"/>
      <w:szCs w:val="24"/>
    </w:rPr>
  </w:style>
  <w:style w:type="character" w:customStyle="1" w:styleId="2291">
    <w:name w:val="样式3 Char Char Char"/>
    <w:qFormat/>
    <w:uiPriority w:val="0"/>
    <w:rPr>
      <w:rFonts w:ascii="Arial" w:hAnsi="Arial" w:eastAsia="宋体"/>
      <w:kern w:val="2"/>
      <w:sz w:val="24"/>
      <w:lang w:val="en-US" w:eastAsia="zh-CN"/>
    </w:rPr>
  </w:style>
  <w:style w:type="character" w:customStyle="1" w:styleId="2292">
    <w:name w:val="样式 题注 + 首行缩进:  2 字符2 Char"/>
    <w:link w:val="2293"/>
    <w:qFormat/>
    <w:uiPriority w:val="0"/>
    <w:rPr>
      <w:rFonts w:ascii="Arial Unicode MS" w:hAnsi="Arial Unicode MS"/>
      <w:sz w:val="24"/>
    </w:rPr>
  </w:style>
  <w:style w:type="paragraph" w:customStyle="1" w:styleId="2293">
    <w:name w:val="样式 题注 + 首行缩进:  2 字符2"/>
    <w:basedOn w:val="21"/>
    <w:link w:val="2292"/>
    <w:qFormat/>
    <w:uiPriority w:val="0"/>
    <w:pPr>
      <w:keepNext/>
      <w:adjustRightInd w:val="0"/>
      <w:snapToGrid w:val="0"/>
      <w:ind w:firstLine="480" w:firstLineChars="200"/>
    </w:pPr>
    <w:rPr>
      <w:rFonts w:ascii="Arial Unicode MS" w:hAnsi="Arial Unicode MS" w:eastAsia="宋体" w:cs="Times New Roman"/>
      <w:kern w:val="0"/>
      <w:sz w:val="24"/>
    </w:rPr>
  </w:style>
  <w:style w:type="character" w:customStyle="1" w:styleId="2294">
    <w:name w:val="正文28磅 Char"/>
    <w:qFormat/>
    <w:uiPriority w:val="0"/>
    <w:rPr>
      <w:color w:val="000000"/>
      <w:kern w:val="28"/>
      <w:sz w:val="28"/>
      <w:u w:color="000000"/>
      <w:lang w:val="en-GB"/>
    </w:rPr>
  </w:style>
  <w:style w:type="character" w:customStyle="1" w:styleId="2295">
    <w:name w:val="zhei1"/>
    <w:qFormat/>
    <w:uiPriority w:val="0"/>
    <w:rPr>
      <w:color w:val="4C4545"/>
      <w:sz w:val="28"/>
      <w:u w:val="none"/>
    </w:rPr>
  </w:style>
  <w:style w:type="character" w:customStyle="1" w:styleId="2296">
    <w:name w:val="样式 标题 3 + Arial Char Char"/>
    <w:link w:val="2297"/>
    <w:qFormat/>
    <w:uiPriority w:val="0"/>
    <w:rPr>
      <w:rFonts w:ascii="Arial" w:hAnsi="Arial"/>
      <w:b/>
      <w:iCs/>
      <w:sz w:val="32"/>
      <w:szCs w:val="32"/>
    </w:rPr>
  </w:style>
  <w:style w:type="paragraph" w:customStyle="1" w:styleId="2297">
    <w:name w:val="样式 标题 3 + Arial"/>
    <w:basedOn w:val="5"/>
    <w:link w:val="2296"/>
    <w:qFormat/>
    <w:uiPriority w:val="0"/>
    <w:pPr>
      <w:tabs>
        <w:tab w:val="left" w:pos="0"/>
        <w:tab w:val="left" w:pos="1571"/>
      </w:tabs>
      <w:snapToGrid w:val="0"/>
      <w:spacing w:line="415" w:lineRule="auto"/>
    </w:pPr>
    <w:rPr>
      <w:rFonts w:ascii="Arial" w:hAnsi="Arial"/>
      <w:bCs w:val="0"/>
      <w:iCs/>
      <w:kern w:val="0"/>
      <w:sz w:val="32"/>
    </w:rPr>
  </w:style>
  <w:style w:type="character" w:customStyle="1" w:styleId="2298">
    <w:name w:val="表－左对齐 Char"/>
    <w:link w:val="2299"/>
    <w:qFormat/>
    <w:uiPriority w:val="0"/>
    <w:rPr>
      <w:szCs w:val="24"/>
    </w:rPr>
  </w:style>
  <w:style w:type="paragraph" w:customStyle="1" w:styleId="2299">
    <w:name w:val="表－左对齐"/>
    <w:basedOn w:val="1"/>
    <w:link w:val="2298"/>
    <w:qFormat/>
    <w:uiPriority w:val="0"/>
    <w:pPr>
      <w:adjustRightInd w:val="0"/>
      <w:snapToGrid w:val="0"/>
    </w:pPr>
    <w:rPr>
      <w:rFonts w:ascii="Times New Roman"/>
      <w:kern w:val="0"/>
      <w:sz w:val="20"/>
      <w:szCs w:val="24"/>
    </w:rPr>
  </w:style>
  <w:style w:type="character" w:customStyle="1" w:styleId="2300">
    <w:name w:val="lh131"/>
    <w:basedOn w:val="129"/>
    <w:qFormat/>
    <w:uiPriority w:val="0"/>
  </w:style>
  <w:style w:type="character" w:customStyle="1" w:styleId="2301">
    <w:name w:val="f12 fgy"/>
    <w:basedOn w:val="129"/>
    <w:qFormat/>
    <w:uiPriority w:val="0"/>
  </w:style>
  <w:style w:type="character" w:customStyle="1" w:styleId="2302">
    <w:name w:val="Char Char43"/>
    <w:qFormat/>
    <w:uiPriority w:val="0"/>
    <w:rPr>
      <w:rFonts w:ascii="Arial" w:hAnsi="Arial" w:eastAsia="黑体"/>
      <w:b/>
      <w:kern w:val="2"/>
      <w:sz w:val="24"/>
      <w:lang w:val="zh-CN" w:eastAsia="zh-CN" w:bidi="ar-SA"/>
    </w:rPr>
  </w:style>
  <w:style w:type="character" w:customStyle="1" w:styleId="2303">
    <w:name w:val="font_cn_14"/>
    <w:basedOn w:val="129"/>
    <w:qFormat/>
    <w:uiPriority w:val="0"/>
  </w:style>
  <w:style w:type="character" w:customStyle="1" w:styleId="2304">
    <w:name w:val="表样式1 Char Char"/>
    <w:link w:val="2305"/>
    <w:qFormat/>
    <w:uiPriority w:val="0"/>
    <w:rPr>
      <w:b/>
      <w:sz w:val="24"/>
      <w:szCs w:val="24"/>
    </w:rPr>
  </w:style>
  <w:style w:type="paragraph" w:customStyle="1" w:styleId="2305">
    <w:name w:val="表样式1"/>
    <w:basedOn w:val="1"/>
    <w:link w:val="2304"/>
    <w:qFormat/>
    <w:uiPriority w:val="0"/>
    <w:pPr>
      <w:widowControl/>
      <w:spacing w:line="460" w:lineRule="exact"/>
      <w:jc w:val="center"/>
    </w:pPr>
    <w:rPr>
      <w:rFonts w:ascii="Times New Roman"/>
      <w:b/>
      <w:kern w:val="0"/>
      <w:sz w:val="24"/>
      <w:szCs w:val="24"/>
    </w:rPr>
  </w:style>
  <w:style w:type="character" w:customStyle="1" w:styleId="2306">
    <w:name w:val="ljsh Char Char"/>
    <w:qFormat/>
    <w:uiPriority w:val="0"/>
    <w:rPr>
      <w:rFonts w:hint="eastAsia" w:ascii="宋体" w:hAnsi="宋体" w:eastAsia="宋体"/>
      <w:color w:val="000000"/>
      <w:lang w:bidi="ar-SA"/>
    </w:rPr>
  </w:style>
  <w:style w:type="character" w:customStyle="1" w:styleId="2307">
    <w:name w:val="3级标题 Char"/>
    <w:qFormat/>
    <w:uiPriority w:val="0"/>
    <w:rPr>
      <w:rFonts w:eastAsia="黑体"/>
      <w:kern w:val="2"/>
      <w:sz w:val="25"/>
    </w:rPr>
  </w:style>
  <w:style w:type="character" w:customStyle="1" w:styleId="2308">
    <w:name w:val="样式 样式 仪征正文 + 黑色 + 红色 Char"/>
    <w:qFormat/>
    <w:uiPriority w:val="0"/>
    <w:rPr>
      <w:rFonts w:ascii="Arial" w:hAnsi="Arial" w:eastAsia="仿宋_GB2312"/>
      <w:color w:val="000000"/>
      <w:sz w:val="24"/>
    </w:rPr>
  </w:style>
  <w:style w:type="character" w:customStyle="1" w:styleId="2309">
    <w:name w:val="样式 正文文本 + 首行缩进:  2 字符 Char Char"/>
    <w:qFormat/>
    <w:uiPriority w:val="0"/>
    <w:rPr>
      <w:rFonts w:cs="宋体"/>
      <w:sz w:val="28"/>
    </w:rPr>
  </w:style>
  <w:style w:type="character" w:customStyle="1" w:styleId="2310">
    <w:name w:val="报告书正文 Char Char Char Char Char Char"/>
    <w:qFormat/>
    <w:uiPriority w:val="0"/>
    <w:rPr>
      <w:rFonts w:eastAsia="宋体"/>
      <w:kern w:val="2"/>
      <w:sz w:val="24"/>
      <w:lang w:val="en-US" w:eastAsia="zh-CN" w:bidi="ar-SA"/>
    </w:rPr>
  </w:style>
  <w:style w:type="character" w:customStyle="1" w:styleId="2311">
    <w:name w:val="正文段落 Char Char"/>
    <w:link w:val="2312"/>
    <w:qFormat/>
    <w:uiPriority w:val="0"/>
    <w:rPr>
      <w:rFonts w:ascii="ˎ̥" w:hAnsi="ˎ̥" w:cs="Batang"/>
      <w:color w:val="000000"/>
      <w:w w:val="90"/>
      <w:kern w:val="28"/>
      <w:sz w:val="28"/>
    </w:rPr>
  </w:style>
  <w:style w:type="paragraph" w:customStyle="1" w:styleId="2312">
    <w:name w:val="正文段落"/>
    <w:basedOn w:val="1"/>
    <w:link w:val="2311"/>
    <w:qFormat/>
    <w:uiPriority w:val="0"/>
    <w:pPr>
      <w:autoSpaceDE w:val="0"/>
      <w:autoSpaceDN w:val="0"/>
      <w:adjustRightInd w:val="0"/>
      <w:spacing w:line="500" w:lineRule="atLeast"/>
      <w:ind w:firstLine="567"/>
      <w:textAlignment w:val="baseline"/>
    </w:pPr>
    <w:rPr>
      <w:rFonts w:ascii="ˎ̥" w:hAnsi="ˎ̥" w:cs="Batang"/>
      <w:color w:val="000000"/>
      <w:w w:val="90"/>
      <w:kern w:val="28"/>
      <w:sz w:val="28"/>
      <w:szCs w:val="20"/>
    </w:rPr>
  </w:style>
  <w:style w:type="character" w:customStyle="1" w:styleId="2313">
    <w:name w:val="文本 Char Char Char"/>
    <w:qFormat/>
    <w:uiPriority w:val="0"/>
    <w:rPr>
      <w:rFonts w:ascii="宋体" w:hAnsi="宋体" w:eastAsia="宋体" w:cs="宋体"/>
      <w:spacing w:val="-10"/>
      <w:kern w:val="2"/>
      <w:sz w:val="24"/>
    </w:rPr>
  </w:style>
  <w:style w:type="character" w:customStyle="1" w:styleId="2314">
    <w:name w:val="标题 8 Char3"/>
    <w:qFormat/>
    <w:uiPriority w:val="0"/>
    <w:rPr>
      <w:rFonts w:ascii="Arial" w:hAnsi="Arial" w:eastAsia="黑体"/>
      <w:kern w:val="2"/>
      <w:sz w:val="24"/>
      <w:szCs w:val="24"/>
      <w:lang w:val="en-US" w:eastAsia="zh-CN" w:bidi="ar-SA"/>
    </w:rPr>
  </w:style>
  <w:style w:type="character" w:customStyle="1" w:styleId="2315">
    <w:name w:val="着重强调"/>
    <w:qFormat/>
    <w:uiPriority w:val="0"/>
    <w:rPr>
      <w:rFonts w:ascii="Arial" w:hAnsi="Arial"/>
      <w:b/>
      <w:spacing w:val="-4"/>
    </w:rPr>
  </w:style>
  <w:style w:type="character" w:customStyle="1" w:styleId="2316">
    <w:name w:val="正文01 Char1"/>
    <w:qFormat/>
    <w:uiPriority w:val="0"/>
    <w:rPr>
      <w:sz w:val="24"/>
    </w:rPr>
  </w:style>
  <w:style w:type="character" w:customStyle="1" w:styleId="2317">
    <w:name w:val="不明显强调21"/>
    <w:qFormat/>
    <w:uiPriority w:val="0"/>
    <w:rPr>
      <w:i/>
      <w:iCs/>
      <w:color w:val="808080"/>
    </w:rPr>
  </w:style>
  <w:style w:type="character" w:customStyle="1" w:styleId="2318">
    <w:name w:val="标题3-自建 Char Char Char"/>
    <w:link w:val="2319"/>
    <w:qFormat/>
    <w:uiPriority w:val="0"/>
    <w:rPr>
      <w:b/>
      <w:sz w:val="28"/>
    </w:rPr>
  </w:style>
  <w:style w:type="paragraph" w:customStyle="1" w:styleId="2319">
    <w:name w:val="标题3-自建"/>
    <w:basedOn w:val="5"/>
    <w:link w:val="2318"/>
    <w:qFormat/>
    <w:uiPriority w:val="0"/>
    <w:pPr>
      <w:tabs>
        <w:tab w:val="left" w:pos="1571"/>
      </w:tabs>
      <w:spacing w:before="0" w:after="0" w:line="600" w:lineRule="exact"/>
      <w:jc w:val="left"/>
    </w:pPr>
    <w:rPr>
      <w:bCs w:val="0"/>
      <w:kern w:val="0"/>
      <w:sz w:val="28"/>
      <w:szCs w:val="20"/>
    </w:rPr>
  </w:style>
  <w:style w:type="character" w:customStyle="1" w:styleId="2320">
    <w:name w:val="Char Char192"/>
    <w:qFormat/>
    <w:uiPriority w:val="0"/>
    <w:rPr>
      <w:rFonts w:ascii="Arial" w:hAnsi="Arial" w:eastAsia="黑体"/>
      <w:b/>
      <w:sz w:val="24"/>
      <w:lang w:val="en-US" w:eastAsia="zh-CN" w:bidi="ar-SA"/>
    </w:rPr>
  </w:style>
  <w:style w:type="character" w:customStyle="1" w:styleId="2321">
    <w:name w:val="新标题1x Char"/>
    <w:link w:val="2322"/>
    <w:qFormat/>
    <w:uiPriority w:val="0"/>
    <w:rPr>
      <w:rFonts w:ascii="黑体" w:hAnsi="Cambria" w:eastAsia="黑体"/>
      <w:bCs/>
      <w:kern w:val="44"/>
      <w:sz w:val="28"/>
      <w:szCs w:val="28"/>
    </w:rPr>
  </w:style>
  <w:style w:type="paragraph" w:customStyle="1" w:styleId="2322">
    <w:name w:val="标题1x"/>
    <w:basedOn w:val="1"/>
    <w:link w:val="2321"/>
    <w:qFormat/>
    <w:uiPriority w:val="0"/>
    <w:pPr>
      <w:keepNext/>
      <w:keepLines/>
      <w:spacing w:before="120" w:line="360" w:lineRule="auto"/>
      <w:outlineLvl w:val="0"/>
    </w:pPr>
    <w:rPr>
      <w:rFonts w:ascii="黑体" w:hAnsi="Cambria" w:eastAsia="黑体"/>
      <w:bCs/>
      <w:kern w:val="44"/>
      <w:sz w:val="28"/>
      <w:szCs w:val="28"/>
    </w:rPr>
  </w:style>
  <w:style w:type="character" w:customStyle="1" w:styleId="2323">
    <w:name w:val="Char Char132"/>
    <w:qFormat/>
    <w:uiPriority w:val="0"/>
    <w:rPr>
      <w:rFonts w:ascii="FLGPEK+TimesNewRoman,Italic" w:hAnsi="FLGPEK+TimesNewRoman,Italic" w:eastAsia="FLGPEK+TimesNewRoman,Italic"/>
      <w:sz w:val="24"/>
      <w:lang w:val="en-US" w:eastAsia="zh-CN" w:bidi="ar-SA"/>
    </w:rPr>
  </w:style>
  <w:style w:type="character" w:customStyle="1" w:styleId="2324">
    <w:name w:val="宏文本 Char2"/>
    <w:qFormat/>
    <w:uiPriority w:val="0"/>
    <w:rPr>
      <w:rFonts w:ascii="Courier New" w:hAnsi="Courier New" w:cs="Courier New"/>
      <w:sz w:val="24"/>
      <w:szCs w:val="24"/>
    </w:rPr>
  </w:style>
  <w:style w:type="character" w:customStyle="1" w:styleId="2325">
    <w:name w:val="样式 标题 11.标题 1一、标题 1 Char Char Char Char1 南陵标题 1标题 1 Char标题...1 Char"/>
    <w:qFormat/>
    <w:uiPriority w:val="0"/>
    <w:rPr>
      <w:rFonts w:ascii="Calibri" w:hAnsi="Calibri" w:eastAsia="仿宋_GB2312"/>
      <w:b/>
      <w:sz w:val="28"/>
    </w:rPr>
  </w:style>
  <w:style w:type="character" w:customStyle="1" w:styleId="2326">
    <w:name w:val="正文qrz Char"/>
    <w:qFormat/>
    <w:uiPriority w:val="0"/>
    <w:rPr>
      <w:rFonts w:hint="eastAsia" w:ascii="宋体" w:hAnsi="宋体" w:eastAsia="宋体"/>
      <w:sz w:val="24"/>
      <w:lang w:val="en-US" w:eastAsia="zh-CN" w:bidi="ar-SA"/>
    </w:rPr>
  </w:style>
  <w:style w:type="character" w:customStyle="1" w:styleId="2327">
    <w:name w:val="普通文字 Char4"/>
    <w:qFormat/>
    <w:uiPriority w:val="0"/>
    <w:rPr>
      <w:rFonts w:ascii="宋体" w:hAnsi="Courier New" w:eastAsia="宋体"/>
      <w:spacing w:val="5"/>
      <w:kern w:val="2"/>
      <w:sz w:val="25"/>
      <w:szCs w:val="25"/>
      <w:lang w:val="en-US" w:eastAsia="zh-CN" w:bidi="ar-SA"/>
    </w:rPr>
  </w:style>
  <w:style w:type="character" w:customStyle="1" w:styleId="2328">
    <w:name w:val="HTML 变量1"/>
    <w:qFormat/>
    <w:uiPriority w:val="0"/>
    <w:rPr>
      <w:i/>
      <w:iCs/>
    </w:rPr>
  </w:style>
  <w:style w:type="character" w:customStyle="1" w:styleId="2329">
    <w:name w:val="表题 Char Char Char"/>
    <w:qFormat/>
    <w:uiPriority w:val="0"/>
    <w:rPr>
      <w:rFonts w:ascii="宋体" w:hAnsi="宋体" w:eastAsia="宋体"/>
      <w:bCs/>
      <w:kern w:val="2"/>
      <w:sz w:val="24"/>
      <w:szCs w:val="24"/>
      <w:lang w:val="en-US" w:eastAsia="zh-CN" w:bidi="ar-SA"/>
    </w:rPr>
  </w:style>
  <w:style w:type="character" w:customStyle="1" w:styleId="2330">
    <w:name w:val="表头名称 Char Char"/>
    <w:qFormat/>
    <w:uiPriority w:val="0"/>
    <w:rPr>
      <w:rFonts w:ascii="黑体" w:hAnsi="宋体" w:eastAsia="黑体"/>
      <w:kern w:val="2"/>
      <w:sz w:val="24"/>
      <w:szCs w:val="24"/>
      <w:lang w:val="en-US" w:eastAsia="zh-CN" w:bidi="ar-SA"/>
    </w:rPr>
  </w:style>
  <w:style w:type="character" w:customStyle="1" w:styleId="2331">
    <w:name w:val="cpjs1"/>
    <w:qFormat/>
    <w:uiPriority w:val="0"/>
    <w:rPr>
      <w:rFonts w:hint="default" w:ascii="ˎ̥" w:hAnsi="ˎ̥"/>
      <w:color w:val="666666"/>
      <w:spacing w:val="56"/>
      <w:sz w:val="26"/>
    </w:rPr>
  </w:style>
  <w:style w:type="character" w:customStyle="1" w:styleId="2332">
    <w:name w:val="11表格格式1 Char"/>
    <w:link w:val="2333"/>
    <w:qFormat/>
    <w:uiPriority w:val="0"/>
    <w:rPr>
      <w:rFonts w:cs="宋体"/>
    </w:rPr>
  </w:style>
  <w:style w:type="paragraph" w:customStyle="1" w:styleId="2333">
    <w:name w:val="11表格格式1"/>
    <w:basedOn w:val="1"/>
    <w:link w:val="2332"/>
    <w:qFormat/>
    <w:uiPriority w:val="0"/>
    <w:pPr>
      <w:spacing w:line="360" w:lineRule="exact"/>
      <w:jc w:val="center"/>
    </w:pPr>
    <w:rPr>
      <w:rFonts w:ascii="Times New Roman" w:cs="宋体"/>
      <w:kern w:val="0"/>
      <w:sz w:val="20"/>
      <w:szCs w:val="20"/>
    </w:rPr>
  </w:style>
  <w:style w:type="character" w:customStyle="1" w:styleId="2334">
    <w:name w:val="样式 正文首行缩进 + 自动设置 Char"/>
    <w:qFormat/>
    <w:uiPriority w:val="0"/>
    <w:rPr>
      <w:rFonts w:ascii="宋体" w:hAnsi="宋体" w:eastAsia="宋体"/>
      <w:b/>
      <w:bCs/>
      <w:snapToGrid w:val="0"/>
      <w:color w:val="000000"/>
      <w:kern w:val="2"/>
      <w:sz w:val="28"/>
      <w:szCs w:val="28"/>
      <w:lang w:val="en-US" w:eastAsia="zh-CN" w:bidi="ar-SA"/>
    </w:rPr>
  </w:style>
  <w:style w:type="character" w:customStyle="1" w:styleId="2335">
    <w:name w:val="仿宋体正文 Char Char"/>
    <w:qFormat/>
    <w:uiPriority w:val="0"/>
    <w:rPr>
      <w:rFonts w:ascii="宋体" w:hAnsi="宋体"/>
      <w:snapToGrid w:val="0"/>
      <w:color w:val="000000"/>
      <w:sz w:val="28"/>
      <w:szCs w:val="28"/>
    </w:rPr>
  </w:style>
  <w:style w:type="character" w:customStyle="1" w:styleId="2336">
    <w:name w:val="样式 标题 2标题2H2h2第一层条 + 小三 Char Char"/>
    <w:link w:val="2337"/>
    <w:qFormat/>
    <w:uiPriority w:val="0"/>
    <w:rPr>
      <w:rFonts w:ascii="Arial" w:hAnsi="Arial" w:eastAsia="黑体"/>
      <w:b/>
      <w:bCs/>
      <w:sz w:val="30"/>
      <w:szCs w:val="24"/>
    </w:rPr>
  </w:style>
  <w:style w:type="paragraph" w:customStyle="1" w:styleId="2337">
    <w:name w:val="样式 标题 2标题2H2h2第一层条 + 小三"/>
    <w:basedOn w:val="4"/>
    <w:link w:val="2336"/>
    <w:qFormat/>
    <w:uiPriority w:val="0"/>
    <w:pPr>
      <w:tabs>
        <w:tab w:val="left" w:pos="756"/>
        <w:tab w:val="left" w:pos="992"/>
        <w:tab w:val="left" w:pos="3000"/>
      </w:tabs>
      <w:adjustRightInd w:val="0"/>
      <w:spacing w:before="120" w:after="120" w:line="416" w:lineRule="atLeast"/>
      <w:ind w:left="756" w:hanging="576"/>
      <w:textAlignment w:val="baseline"/>
    </w:pPr>
    <w:rPr>
      <w:rFonts w:ascii="Arial" w:hAnsi="Arial" w:eastAsia="黑体"/>
      <w:snapToGrid/>
      <w:kern w:val="0"/>
      <w:sz w:val="30"/>
      <w:szCs w:val="24"/>
    </w:rPr>
  </w:style>
  <w:style w:type="character" w:customStyle="1" w:styleId="2338">
    <w:name w:val="f121"/>
    <w:qFormat/>
    <w:uiPriority w:val="0"/>
    <w:rPr>
      <w:sz w:val="24"/>
    </w:rPr>
  </w:style>
  <w:style w:type="character" w:customStyle="1" w:styleId="2339">
    <w:name w:val="海南化工城正文 Char Char Char"/>
    <w:link w:val="2340"/>
    <w:qFormat/>
    <w:uiPriority w:val="0"/>
    <w:rPr>
      <w:rFonts w:ascii="宋体" w:hAnsi="宋体" w:cs="宋体"/>
      <w:sz w:val="24"/>
      <w:szCs w:val="24"/>
    </w:rPr>
  </w:style>
  <w:style w:type="paragraph" w:customStyle="1" w:styleId="2340">
    <w:name w:val="海南化工城正文 Char Char"/>
    <w:basedOn w:val="1"/>
    <w:link w:val="2339"/>
    <w:qFormat/>
    <w:uiPriority w:val="0"/>
    <w:pPr>
      <w:spacing w:line="324" w:lineRule="auto"/>
      <w:ind w:firstLine="480" w:firstLineChars="200"/>
    </w:pPr>
    <w:rPr>
      <w:rFonts w:hAnsi="宋体" w:cs="宋体"/>
      <w:kern w:val="0"/>
      <w:sz w:val="24"/>
      <w:szCs w:val="24"/>
    </w:rPr>
  </w:style>
  <w:style w:type="character" w:customStyle="1" w:styleId="2341">
    <w:name w:val="textcontents"/>
    <w:basedOn w:val="129"/>
    <w:qFormat/>
    <w:uiPriority w:val="0"/>
  </w:style>
  <w:style w:type="character" w:customStyle="1" w:styleId="2342">
    <w:name w:val="正文dg Char"/>
    <w:qFormat/>
    <w:uiPriority w:val="0"/>
    <w:rPr>
      <w:rFonts w:ascii="新宋体" w:hAnsi="新宋体" w:eastAsia="新宋体"/>
      <w:sz w:val="24"/>
      <w:szCs w:val="24"/>
    </w:rPr>
  </w:style>
  <w:style w:type="character" w:customStyle="1" w:styleId="2343">
    <w:name w:val="样式5 Char Char Char"/>
    <w:qFormat/>
    <w:uiPriority w:val="0"/>
    <w:rPr>
      <w:rFonts w:ascii="黑体" w:eastAsia="黑体"/>
      <w:spacing w:val="5"/>
      <w:kern w:val="2"/>
      <w:sz w:val="25"/>
      <w:lang w:val="en-US" w:eastAsia="zh-CN" w:bidi="ar-SA"/>
    </w:rPr>
  </w:style>
  <w:style w:type="character" w:customStyle="1" w:styleId="2344">
    <w:name w:val="duanluo1"/>
    <w:basedOn w:val="129"/>
    <w:qFormat/>
    <w:uiPriority w:val="0"/>
  </w:style>
  <w:style w:type="character" w:customStyle="1" w:styleId="2345">
    <w:name w:val="lff Char Char"/>
    <w:qFormat/>
    <w:uiPriority w:val="0"/>
    <w:rPr>
      <w:rFonts w:hint="eastAsia" w:ascii="宋体" w:hAnsi="宋体" w:eastAsia="宋体"/>
      <w:b/>
      <w:color w:val="0000FF"/>
      <w:kern w:val="2"/>
      <w:sz w:val="21"/>
      <w:szCs w:val="21"/>
      <w:lang w:bidi="ar-SA"/>
    </w:rPr>
  </w:style>
  <w:style w:type="character" w:customStyle="1" w:styleId="2346">
    <w:name w:val="Char Char45"/>
    <w:qFormat/>
    <w:uiPriority w:val="0"/>
    <w:rPr>
      <w:sz w:val="18"/>
      <w:lang w:bidi="ar-SA"/>
    </w:rPr>
  </w:style>
  <w:style w:type="character" w:customStyle="1" w:styleId="2347">
    <w:name w:val="燕山正文 Char Char Char Char"/>
    <w:qFormat/>
    <w:uiPriority w:val="0"/>
    <w:rPr>
      <w:snapToGrid w:val="0"/>
      <w:color w:val="000000"/>
      <w:sz w:val="24"/>
      <w:szCs w:val="24"/>
    </w:rPr>
  </w:style>
  <w:style w:type="character" w:customStyle="1" w:styleId="2348">
    <w:name w:val="wen1"/>
    <w:basedOn w:val="129"/>
    <w:qFormat/>
    <w:uiPriority w:val="0"/>
  </w:style>
  <w:style w:type="character" w:customStyle="1" w:styleId="2349">
    <w:name w:val="t Char Char"/>
    <w:link w:val="2350"/>
    <w:qFormat/>
    <w:uiPriority w:val="0"/>
    <w:rPr>
      <w:rFonts w:ascii="宋体" w:hAnsi="宋体"/>
      <w:b/>
      <w:snapToGrid w:val="0"/>
      <w:sz w:val="24"/>
      <w:szCs w:val="24"/>
    </w:rPr>
  </w:style>
  <w:style w:type="paragraph" w:customStyle="1" w:styleId="2350">
    <w:name w:val="t"/>
    <w:basedOn w:val="1"/>
    <w:link w:val="2349"/>
    <w:qFormat/>
    <w:uiPriority w:val="0"/>
    <w:pPr>
      <w:tabs>
        <w:tab w:val="left" w:pos="2145"/>
        <w:tab w:val="left" w:pos="5040"/>
      </w:tabs>
      <w:adjustRightInd w:val="0"/>
      <w:snapToGrid w:val="0"/>
      <w:spacing w:line="288" w:lineRule="auto"/>
      <w:ind w:firstLine="361" w:firstLineChars="150"/>
    </w:pPr>
    <w:rPr>
      <w:rFonts w:hAnsi="宋体"/>
      <w:b/>
      <w:snapToGrid w:val="0"/>
      <w:kern w:val="0"/>
      <w:sz w:val="24"/>
      <w:szCs w:val="24"/>
    </w:rPr>
  </w:style>
  <w:style w:type="character" w:customStyle="1" w:styleId="2351">
    <w:name w:val="Char Char Char3"/>
    <w:qFormat/>
    <w:uiPriority w:val="0"/>
    <w:rPr>
      <w:rFonts w:ascii="Sim Sun" w:hAnsi="ˎ̥" w:eastAsia="Sim Sun"/>
      <w:b/>
      <w:bCs/>
      <w:kern w:val="44"/>
      <w:sz w:val="30"/>
      <w:lang w:val="en-US" w:eastAsia="zh-CN"/>
    </w:rPr>
  </w:style>
  <w:style w:type="character" w:customStyle="1" w:styleId="2352">
    <w:name w:val="正文文字 2 Char Char1"/>
    <w:qFormat/>
    <w:uiPriority w:val="0"/>
    <w:rPr>
      <w:rFonts w:eastAsia="宋体"/>
      <w:b/>
      <w:kern w:val="2"/>
      <w:sz w:val="30"/>
      <w:lang w:val="en-US" w:eastAsia="zh-CN" w:bidi="ar-SA"/>
    </w:rPr>
  </w:style>
  <w:style w:type="character" w:customStyle="1" w:styleId="2353">
    <w:name w:val="new-title1"/>
    <w:qFormat/>
    <w:uiPriority w:val="0"/>
    <w:rPr>
      <w:b/>
      <w:color w:val="FF0000"/>
      <w:sz w:val="24"/>
    </w:rPr>
  </w:style>
  <w:style w:type="character" w:customStyle="1" w:styleId="2354">
    <w:name w:val="标语"/>
    <w:qFormat/>
    <w:uiPriority w:val="0"/>
    <w:rPr>
      <w:i/>
      <w:spacing w:val="-6"/>
      <w:sz w:val="24"/>
    </w:rPr>
  </w:style>
  <w:style w:type="character" w:customStyle="1" w:styleId="2355">
    <w:name w:val="标题4-自建 Char Char"/>
    <w:link w:val="2356"/>
    <w:qFormat/>
    <w:uiPriority w:val="0"/>
    <w:rPr>
      <w:rFonts w:ascii="Arial" w:hAnsi="Arial"/>
      <w:b/>
      <w:sz w:val="28"/>
    </w:rPr>
  </w:style>
  <w:style w:type="paragraph" w:customStyle="1" w:styleId="2356">
    <w:name w:val="标题4-自建"/>
    <w:basedOn w:val="6"/>
    <w:link w:val="2355"/>
    <w:qFormat/>
    <w:uiPriority w:val="0"/>
    <w:pPr>
      <w:keepNext/>
      <w:keepLines/>
      <w:tabs>
        <w:tab w:val="left" w:pos="249"/>
        <w:tab w:val="left" w:pos="996"/>
        <w:tab w:val="left" w:pos="1245"/>
        <w:tab w:val="left" w:pos="2356"/>
        <w:tab w:val="clear" w:pos="360"/>
        <w:tab w:val="clear" w:pos="2207"/>
      </w:tabs>
      <w:spacing w:beforeLines="0" w:afterLines="0" w:line="600" w:lineRule="exact"/>
      <w:jc w:val="left"/>
    </w:pPr>
    <w:rPr>
      <w:rFonts w:ascii="Arial" w:hAnsi="Arial" w:eastAsia="宋体"/>
      <w:b/>
      <w:snapToGrid/>
      <w:color w:val="auto"/>
      <w:kern w:val="0"/>
      <w:sz w:val="28"/>
      <w:szCs w:val="20"/>
    </w:rPr>
  </w:style>
  <w:style w:type="character" w:customStyle="1" w:styleId="2357">
    <w:name w:val="Char Char511"/>
    <w:qFormat/>
    <w:uiPriority w:val="0"/>
    <w:rPr>
      <w:rFonts w:eastAsia="宋体"/>
      <w:kern w:val="2"/>
      <w:sz w:val="28"/>
      <w:lang w:val="en-US" w:eastAsia="zh-CN" w:bidi="ar-SA"/>
    </w:rPr>
  </w:style>
  <w:style w:type="character" w:customStyle="1" w:styleId="2358">
    <w:name w:val="正文条款 Char"/>
    <w:qFormat/>
    <w:uiPriority w:val="0"/>
    <w:rPr>
      <w:rFonts w:eastAsia="宋体"/>
      <w:kern w:val="2"/>
      <w:sz w:val="24"/>
      <w:szCs w:val="28"/>
      <w:lang w:val="en-US" w:eastAsia="zh-CN" w:bidi="ar-SA"/>
    </w:rPr>
  </w:style>
  <w:style w:type="character" w:customStyle="1" w:styleId="2359">
    <w:name w:val="red_f30_12"/>
    <w:basedOn w:val="129"/>
    <w:qFormat/>
    <w:uiPriority w:val="0"/>
  </w:style>
  <w:style w:type="character" w:customStyle="1" w:styleId="2360">
    <w:name w:val="正文缩进 Char3"/>
    <w:qFormat/>
    <w:uiPriority w:val="0"/>
    <w:rPr>
      <w:rFonts w:ascii="Tahoma" w:hAnsi="Tahoma" w:eastAsia="宋体" w:cs="Tahoma"/>
      <w:kern w:val="2"/>
      <w:sz w:val="21"/>
      <w:lang w:val="en-US" w:eastAsia="zh-CN" w:bidi="ar-SA"/>
    </w:rPr>
  </w:style>
  <w:style w:type="character" w:customStyle="1" w:styleId="2361">
    <w:name w:val="px14"/>
    <w:basedOn w:val="129"/>
    <w:qFormat/>
    <w:uiPriority w:val="0"/>
  </w:style>
  <w:style w:type="character" w:customStyle="1" w:styleId="2362">
    <w:name w:val="表头 Char1"/>
    <w:qFormat/>
    <w:uiPriority w:val="0"/>
    <w:rPr>
      <w:rFonts w:ascii="宋体" w:hAnsi="宋体" w:eastAsia="宋体"/>
      <w:spacing w:val="6"/>
      <w:sz w:val="24"/>
      <w:szCs w:val="24"/>
      <w:lang w:val="en-US" w:eastAsia="zh-CN" w:bidi="ar-SA"/>
    </w:rPr>
  </w:style>
  <w:style w:type="character" w:customStyle="1" w:styleId="2363">
    <w:name w:val="样式 仿宋_GB2312 小四2"/>
    <w:semiHidden/>
    <w:qFormat/>
    <w:uiPriority w:val="0"/>
    <w:rPr>
      <w:rFonts w:hint="default" w:ascii="Times New Roman" w:hAnsi="Times New Roman" w:eastAsia="仿宋_GB2312" w:cs="Times New Roman"/>
      <w:sz w:val="24"/>
      <w:szCs w:val="24"/>
    </w:rPr>
  </w:style>
  <w:style w:type="character" w:customStyle="1" w:styleId="2364">
    <w:name w:val="正文文字标准 Char Char"/>
    <w:link w:val="2365"/>
    <w:qFormat/>
    <w:uiPriority w:val="0"/>
    <w:rPr>
      <w:sz w:val="28"/>
      <w:szCs w:val="24"/>
    </w:rPr>
  </w:style>
  <w:style w:type="paragraph" w:customStyle="1" w:styleId="2365">
    <w:name w:val="正文文字标准"/>
    <w:basedOn w:val="82"/>
    <w:link w:val="2364"/>
    <w:qFormat/>
    <w:uiPriority w:val="0"/>
    <w:pPr>
      <w:spacing w:after="0" w:line="480" w:lineRule="exact"/>
      <w:ind w:firstLine="200" w:firstLineChars="200"/>
    </w:pPr>
    <w:rPr>
      <w:rFonts w:hint="default" w:ascii="Times New Roman" w:hAnsi="Times New Roman" w:cs="Times New Roman"/>
      <w:kern w:val="0"/>
      <w:sz w:val="28"/>
    </w:rPr>
  </w:style>
  <w:style w:type="character" w:customStyle="1" w:styleId="2366">
    <w:name w:val="样式 正文首行缩进＋湿地 + 首行缩进:  2 字符 Char Char"/>
    <w:qFormat/>
    <w:uiPriority w:val="0"/>
    <w:rPr>
      <w:rFonts w:ascii="仿宋_GB2312" w:hAnsi="宋体" w:eastAsia="仿宋_GB2312" w:cs="宋体"/>
      <w:sz w:val="28"/>
      <w:lang w:val="en-US" w:eastAsia="zh-CN" w:bidi="ar-SA"/>
    </w:rPr>
  </w:style>
  <w:style w:type="character" w:customStyle="1" w:styleId="2367">
    <w:name w:val="电子邮件签名 Char1"/>
    <w:semiHidden/>
    <w:qFormat/>
    <w:uiPriority w:val="0"/>
    <w:rPr>
      <w:rFonts w:ascii="Times New Roman" w:hAnsi="Times New Roman" w:eastAsia="宋体" w:cs="Times New Roman"/>
      <w:szCs w:val="24"/>
    </w:rPr>
  </w:style>
  <w:style w:type="character" w:customStyle="1" w:styleId="2368">
    <w:name w:val="cucd-0 Char1"/>
    <w:qFormat/>
    <w:uiPriority w:val="0"/>
    <w:rPr>
      <w:rFonts w:eastAsia="宋体"/>
      <w:kern w:val="2"/>
      <w:sz w:val="24"/>
      <w:szCs w:val="24"/>
      <w:lang w:val="en-US" w:eastAsia="zh-CN" w:bidi="ar-SA"/>
    </w:rPr>
  </w:style>
  <w:style w:type="character" w:customStyle="1" w:styleId="2369">
    <w:name w:val="要点21"/>
    <w:qFormat/>
    <w:uiPriority w:val="0"/>
    <w:rPr>
      <w:b/>
    </w:rPr>
  </w:style>
  <w:style w:type="character" w:customStyle="1" w:styleId="2370">
    <w:name w:val="A2 Char"/>
    <w:link w:val="2371"/>
    <w:qFormat/>
    <w:uiPriority w:val="0"/>
    <w:rPr>
      <w:rFonts w:ascii="Batang" w:hAnsi="Batang" w:eastAsia="宋体-方正超大字符集" w:cs="Batang"/>
      <w:sz w:val="30"/>
      <w:szCs w:val="24"/>
    </w:rPr>
  </w:style>
  <w:style w:type="paragraph" w:customStyle="1" w:styleId="2371">
    <w:name w:val="A2"/>
    <w:basedOn w:val="1"/>
    <w:link w:val="2370"/>
    <w:qFormat/>
    <w:uiPriority w:val="0"/>
    <w:pPr>
      <w:spacing w:line="360" w:lineRule="auto"/>
      <w:ind w:firstLine="570"/>
    </w:pPr>
    <w:rPr>
      <w:rFonts w:ascii="Batang" w:hAnsi="Batang" w:eastAsia="宋体-方正超大字符集" w:cs="Batang"/>
      <w:kern w:val="0"/>
      <w:sz w:val="30"/>
      <w:szCs w:val="24"/>
    </w:rPr>
  </w:style>
  <w:style w:type="character" w:customStyle="1" w:styleId="2372">
    <w:name w:val="style5"/>
    <w:qFormat/>
    <w:uiPriority w:val="0"/>
    <w:rPr>
      <w:rFonts w:ascii="Calibri" w:hAnsi="Calibri" w:eastAsia="宋体" w:cs="Times New Roman"/>
    </w:rPr>
  </w:style>
  <w:style w:type="character" w:customStyle="1" w:styleId="2373">
    <w:name w:val="Char Char49"/>
    <w:qFormat/>
    <w:uiPriority w:val="0"/>
    <w:rPr>
      <w:rFonts w:hint="eastAsia" w:ascii="宋体" w:hAnsi="宋体" w:eastAsia="宋体"/>
      <w:kern w:val="2"/>
      <w:sz w:val="21"/>
      <w:szCs w:val="24"/>
      <w:lang w:val="en-US" w:eastAsia="zh-CN" w:bidi="ar-SA"/>
    </w:rPr>
  </w:style>
  <w:style w:type="character" w:customStyle="1" w:styleId="2374">
    <w:name w:val="z-窗体顶端 Char Char Char"/>
    <w:qFormat/>
    <w:uiPriority w:val="0"/>
    <w:rPr>
      <w:rFonts w:ascii="Arial"/>
      <w:vanish/>
      <w:sz w:val="16"/>
      <w:lang w:bidi="ar-SA"/>
    </w:rPr>
  </w:style>
  <w:style w:type="character" w:customStyle="1" w:styleId="2375">
    <w:name w:val="标题5 Char Char"/>
    <w:qFormat/>
    <w:uiPriority w:val="0"/>
    <w:rPr>
      <w:rFonts w:ascii="宋体" w:hAnsi="宋体" w:eastAsia="宋体"/>
      <w:kern w:val="2"/>
      <w:sz w:val="24"/>
      <w:lang w:val="en-US" w:eastAsia="zh-CN" w:bidi="ar-SA"/>
    </w:rPr>
  </w:style>
  <w:style w:type="character" w:customStyle="1" w:styleId="2376">
    <w:name w:val="标题4-自建 Char Char Char"/>
    <w:qFormat/>
    <w:uiPriority w:val="0"/>
    <w:rPr>
      <w:rFonts w:ascii="Arial" w:hAnsi="Arial" w:eastAsia="宋体"/>
      <w:b/>
      <w:kern w:val="2"/>
      <w:sz w:val="28"/>
      <w:lang w:val="en-US" w:eastAsia="zh-CN"/>
    </w:rPr>
  </w:style>
  <w:style w:type="character" w:customStyle="1" w:styleId="2377">
    <w:name w:val="da1"/>
    <w:qFormat/>
    <w:uiPriority w:val="0"/>
    <w:rPr>
      <w:rFonts w:hint="default"/>
      <w:color w:val="000000"/>
      <w:sz w:val="21"/>
      <w:u w:val="none"/>
    </w:rPr>
  </w:style>
  <w:style w:type="character" w:customStyle="1" w:styleId="2378">
    <w:name w:val="Default Char Char"/>
    <w:qFormat/>
    <w:uiPriority w:val="0"/>
    <w:rPr>
      <w:rFonts w:ascii="黑体" w:hAnsi="Times New Roman" w:eastAsia="黑体" w:cs="黑体"/>
      <w:color w:val="000000"/>
      <w:kern w:val="0"/>
      <w:sz w:val="24"/>
      <w:szCs w:val="24"/>
    </w:rPr>
  </w:style>
  <w:style w:type="character" w:customStyle="1" w:styleId="2379">
    <w:name w:val="Char Char271"/>
    <w:qFormat/>
    <w:uiPriority w:val="0"/>
    <w:rPr>
      <w:rFonts w:ascii="FLGPEK+TimesNewRoman,Italic" w:hAnsi="Vladimir Script" w:eastAsia="Calibri" w:cs="Chicago"/>
      <w:kern w:val="2"/>
      <w:sz w:val="21"/>
      <w:lang w:val="en-US" w:eastAsia="zh-CN" w:bidi="ar-SA"/>
    </w:rPr>
  </w:style>
  <w:style w:type="character" w:customStyle="1" w:styleId="2380">
    <w:name w:val="标题 2XW Char Char1"/>
    <w:qFormat/>
    <w:uiPriority w:val="0"/>
    <w:rPr>
      <w:b/>
      <w:bCs/>
      <w:kern w:val="2"/>
      <w:sz w:val="30"/>
      <w:szCs w:val="32"/>
    </w:rPr>
  </w:style>
  <w:style w:type="character" w:customStyle="1" w:styleId="2381">
    <w:name w:val="项标题(1) Char Char"/>
    <w:qFormat/>
    <w:uiPriority w:val="0"/>
    <w:rPr>
      <w:rFonts w:eastAsia="宋体"/>
      <w:b/>
      <w:bCs/>
      <w:kern w:val="2"/>
      <w:sz w:val="24"/>
      <w:szCs w:val="24"/>
      <w:lang w:val="en-US" w:eastAsia="zh-CN" w:bidi="ar-SA"/>
    </w:rPr>
  </w:style>
  <w:style w:type="character" w:customStyle="1" w:styleId="2382">
    <w:name w:val="样式4 Char Char Char Char Char Char"/>
    <w:qFormat/>
    <w:uiPriority w:val="0"/>
    <w:rPr>
      <w:rFonts w:ascii="Arial" w:hAnsi="Arial" w:eastAsia="宋体" w:cs="Times New Roman"/>
      <w:kern w:val="2"/>
      <w:sz w:val="24"/>
    </w:rPr>
  </w:style>
  <w:style w:type="character" w:customStyle="1" w:styleId="2383">
    <w:name w:val="z-窗体底端 Char Char Char"/>
    <w:qFormat/>
    <w:uiPriority w:val="0"/>
    <w:rPr>
      <w:rFonts w:ascii="Arial"/>
      <w:vanish/>
      <w:sz w:val="16"/>
      <w:lang w:bidi="ar-SA"/>
    </w:rPr>
  </w:style>
  <w:style w:type="character" w:customStyle="1" w:styleId="2384">
    <w:name w:val="正文文字 2 Char"/>
    <w:qFormat/>
    <w:uiPriority w:val="0"/>
    <w:rPr>
      <w:rFonts w:eastAsia="宋体"/>
      <w:kern w:val="2"/>
      <w:sz w:val="21"/>
      <w:lang w:val="en-US" w:eastAsia="zh-CN" w:bidi="ar-SA"/>
    </w:rPr>
  </w:style>
  <w:style w:type="character" w:customStyle="1" w:styleId="2385">
    <w:name w:val="Char Char Char Char Char Char Char Char Char Char Char3"/>
    <w:qFormat/>
    <w:uiPriority w:val="0"/>
    <w:rPr>
      <w:rFonts w:eastAsia="宋体"/>
      <w:kern w:val="2"/>
      <w:sz w:val="21"/>
      <w:lang w:val="en-US" w:eastAsia="zh-CN" w:bidi="ar-SA"/>
    </w:rPr>
  </w:style>
  <w:style w:type="character" w:customStyle="1" w:styleId="2386">
    <w:name w:val="style161"/>
    <w:qFormat/>
    <w:uiPriority w:val="0"/>
    <w:rPr>
      <w:rFonts w:eastAsia="宋体"/>
      <w:bCs/>
      <w:snapToGrid w:val="0"/>
      <w:color w:val="334D55"/>
      <w:kern w:val="2"/>
      <w:sz w:val="24"/>
      <w:szCs w:val="24"/>
      <w:lang w:val="en-US" w:eastAsia="zh-CN" w:bidi="ar-SA"/>
    </w:rPr>
  </w:style>
  <w:style w:type="character" w:customStyle="1" w:styleId="2387">
    <w:name w:val="正文部分 Char"/>
    <w:qFormat/>
    <w:uiPriority w:val="0"/>
    <w:rPr>
      <w:rFonts w:hint="eastAsia" w:ascii="宋体" w:hAnsi="宋体" w:eastAsia="宋体" w:cs="宋体"/>
      <w:bCs/>
      <w:sz w:val="28"/>
      <w:szCs w:val="32"/>
      <w:lang w:val="en-US" w:eastAsia="zh-CN" w:bidi="ar-SA"/>
    </w:rPr>
  </w:style>
  <w:style w:type="character" w:customStyle="1" w:styleId="2388">
    <w:name w:val="通用正文 Char Char Char"/>
    <w:qFormat/>
    <w:uiPriority w:val="0"/>
    <w:rPr>
      <w:rFonts w:ascii="新宋体" w:hAnsi="新宋体" w:eastAsia="新宋体"/>
      <w:kern w:val="2"/>
      <w:sz w:val="24"/>
      <w:szCs w:val="24"/>
      <w:lang w:val="en-US" w:eastAsia="zh-CN" w:bidi="ar-SA"/>
    </w:rPr>
  </w:style>
  <w:style w:type="character" w:customStyle="1" w:styleId="2389">
    <w:name w:val="可研-正文首行缩进 Char Char1"/>
    <w:qFormat/>
    <w:uiPriority w:val="0"/>
    <w:rPr>
      <w:rFonts w:ascii="Sim Sun" w:hAnsi="Sim Sun" w:eastAsia="Sim Sun"/>
      <w:color w:val="000000"/>
      <w:sz w:val="28"/>
      <w:szCs w:val="28"/>
      <w:lang w:val="en-US" w:eastAsia="zh-CN"/>
    </w:rPr>
  </w:style>
  <w:style w:type="character" w:customStyle="1" w:styleId="2390">
    <w:name w:val="样式 标题 1 + (中文) 宋体 小四 Char"/>
    <w:qFormat/>
    <w:uiPriority w:val="0"/>
    <w:rPr>
      <w:b/>
      <w:sz w:val="44"/>
      <w:szCs w:val="24"/>
    </w:rPr>
  </w:style>
  <w:style w:type="character" w:customStyle="1" w:styleId="2391">
    <w:name w:val="曹文本 Char Char"/>
    <w:qFormat/>
    <w:uiPriority w:val="0"/>
    <w:rPr>
      <w:sz w:val="24"/>
    </w:rPr>
  </w:style>
  <w:style w:type="character" w:customStyle="1" w:styleId="2392">
    <w:name w:val="正 Char Char Char"/>
    <w:qFormat/>
    <w:uiPriority w:val="0"/>
    <w:rPr>
      <w:kern w:val="2"/>
      <w:sz w:val="24"/>
      <w:lang w:bidi="ar-SA"/>
    </w:rPr>
  </w:style>
  <w:style w:type="character" w:customStyle="1" w:styleId="2393">
    <w:name w:val="宋小四缩 Char Char"/>
    <w:link w:val="2394"/>
    <w:qFormat/>
    <w:uiPriority w:val="0"/>
    <w:rPr>
      <w:rFonts w:ascii="宋体" w:hAnsi="宋体"/>
      <w:color w:val="000000"/>
      <w:sz w:val="24"/>
      <w:szCs w:val="24"/>
    </w:rPr>
  </w:style>
  <w:style w:type="paragraph" w:customStyle="1" w:styleId="2394">
    <w:name w:val="宋小四缩"/>
    <w:basedOn w:val="1"/>
    <w:link w:val="2393"/>
    <w:qFormat/>
    <w:uiPriority w:val="0"/>
    <w:pPr>
      <w:spacing w:line="360" w:lineRule="auto"/>
      <w:ind w:firstLine="480" w:firstLineChars="200"/>
      <w:jc w:val="left"/>
    </w:pPr>
    <w:rPr>
      <w:rFonts w:hAnsi="宋体"/>
      <w:color w:val="000000"/>
      <w:kern w:val="0"/>
      <w:sz w:val="24"/>
      <w:szCs w:val="24"/>
    </w:rPr>
  </w:style>
  <w:style w:type="character" w:customStyle="1" w:styleId="2395">
    <w:name w:val="syh1级标题 Char"/>
    <w:link w:val="2396"/>
    <w:qFormat/>
    <w:uiPriority w:val="0"/>
    <w:rPr>
      <w:b/>
      <w:sz w:val="30"/>
      <w:szCs w:val="30"/>
    </w:rPr>
  </w:style>
  <w:style w:type="paragraph" w:customStyle="1" w:styleId="2396">
    <w:name w:val="syh1级标题"/>
    <w:basedOn w:val="1"/>
    <w:link w:val="2395"/>
    <w:qFormat/>
    <w:uiPriority w:val="0"/>
    <w:pPr>
      <w:keepNext/>
      <w:keepLines/>
      <w:pageBreakBefore/>
      <w:adjustRightInd w:val="0"/>
      <w:snapToGrid w:val="0"/>
      <w:spacing w:before="180" w:after="180" w:line="440" w:lineRule="exact"/>
      <w:jc w:val="left"/>
      <w:outlineLvl w:val="0"/>
    </w:pPr>
    <w:rPr>
      <w:rFonts w:ascii="Times New Roman"/>
      <w:b/>
      <w:kern w:val="0"/>
      <w:sz w:val="30"/>
      <w:szCs w:val="30"/>
    </w:rPr>
  </w:style>
  <w:style w:type="character" w:customStyle="1" w:styleId="2397">
    <w:name w:val="表格头 Char"/>
    <w:qFormat/>
    <w:uiPriority w:val="0"/>
    <w:rPr>
      <w:rFonts w:ascii="Tahoma" w:hAnsi="Tahoma" w:eastAsia="黑体"/>
      <w:b/>
      <w:snapToGrid w:val="0"/>
      <w:color w:val="000000"/>
      <w:spacing w:val="-4"/>
      <w:sz w:val="24"/>
      <w:szCs w:val="22"/>
      <w:lang w:bidi="ar-SA"/>
    </w:rPr>
  </w:style>
  <w:style w:type="character" w:customStyle="1" w:styleId="2398">
    <w:name w:val="标题2-自建 Char Char Char"/>
    <w:qFormat/>
    <w:uiPriority w:val="0"/>
    <w:rPr>
      <w:rFonts w:ascii="Arial" w:hAnsi="Arial" w:eastAsia="宋体"/>
      <w:b/>
      <w:kern w:val="2"/>
      <w:sz w:val="28"/>
      <w:lang w:val="en-US" w:eastAsia="zh-CN"/>
    </w:rPr>
  </w:style>
  <w:style w:type="character" w:customStyle="1" w:styleId="2399">
    <w:name w:val="ca-10"/>
    <w:basedOn w:val="129"/>
    <w:qFormat/>
    <w:uiPriority w:val="0"/>
  </w:style>
  <w:style w:type="character" w:customStyle="1" w:styleId="2400">
    <w:name w:val="批注主题 字符1"/>
    <w:semiHidden/>
    <w:qFormat/>
    <w:uiPriority w:val="99"/>
    <w:rPr>
      <w:rFonts w:ascii="Calibri" w:hAnsi="Calibri" w:eastAsia="宋体" w:cs="Times New Roman"/>
      <w:b/>
      <w:bCs/>
    </w:rPr>
  </w:style>
  <w:style w:type="character" w:customStyle="1" w:styleId="2401">
    <w:name w:val="arr1"/>
    <w:basedOn w:val="129"/>
    <w:qFormat/>
    <w:uiPriority w:val="0"/>
  </w:style>
  <w:style w:type="character" w:customStyle="1" w:styleId="2402">
    <w:name w:val="wb31"/>
    <w:qFormat/>
    <w:uiPriority w:val="0"/>
    <w:rPr>
      <w:color w:val="000000"/>
      <w:sz w:val="21"/>
      <w:szCs w:val="21"/>
    </w:rPr>
  </w:style>
  <w:style w:type="character" w:customStyle="1" w:styleId="2403">
    <w:name w:val="样式 样式 正文@ + 首行缩进:  2 字符 字距调整小四 紧缩量  0.2 磅 + 首行缩进:  2 字符 Char"/>
    <w:link w:val="2404"/>
    <w:qFormat/>
    <w:uiPriority w:val="0"/>
    <w:rPr>
      <w:rFonts w:ascii="宋体" w:hAnsi="宋体" w:cs="宋体"/>
      <w:kern w:val="24"/>
      <w:sz w:val="24"/>
      <w:szCs w:val="24"/>
    </w:rPr>
  </w:style>
  <w:style w:type="paragraph" w:customStyle="1" w:styleId="2404">
    <w:name w:val="样式 样式 正文@ + 首行缩进:  2 字符 字距调整小四 紧缩量  0.2 磅 + 首行缩进:  2 字符"/>
    <w:basedOn w:val="1"/>
    <w:link w:val="2403"/>
    <w:qFormat/>
    <w:uiPriority w:val="0"/>
    <w:pPr>
      <w:spacing w:line="360" w:lineRule="auto"/>
      <w:ind w:firstLine="480" w:firstLineChars="200"/>
    </w:pPr>
    <w:rPr>
      <w:rFonts w:hAnsi="宋体" w:cs="宋体"/>
      <w:kern w:val="24"/>
      <w:sz w:val="24"/>
      <w:szCs w:val="24"/>
    </w:rPr>
  </w:style>
  <w:style w:type="character" w:customStyle="1" w:styleId="2405">
    <w:name w:val="样式 样式 标题 21标题2H2h2第一层条1.1标题 2节标题 1.11.1标题2节标题 1.1 Char1.1... + 加... Char Char"/>
    <w:qFormat/>
    <w:uiPriority w:val="0"/>
    <w:rPr>
      <w:rFonts w:hint="default" w:ascii="Arial" w:hAnsi="Arial" w:cs="Arial"/>
      <w:b/>
      <w:bCs/>
      <w:spacing w:val="8"/>
      <w:kern w:val="2"/>
      <w:sz w:val="28"/>
      <w:szCs w:val="32"/>
      <w:lang w:bidi="ar-SA"/>
    </w:rPr>
  </w:style>
  <w:style w:type="character" w:customStyle="1" w:styleId="2406">
    <w:name w:val="图名 Char"/>
    <w:qFormat/>
    <w:uiPriority w:val="0"/>
    <w:rPr>
      <w:rFonts w:cs="宋体"/>
      <w:b/>
      <w:snapToGrid w:val="0"/>
      <w:sz w:val="24"/>
      <w:szCs w:val="24"/>
      <w:lang w:bidi="he-IL"/>
    </w:rPr>
  </w:style>
  <w:style w:type="character" w:customStyle="1" w:styleId="2407">
    <w:name w:val="样式 正文1 + 加粗1 Char Char Char"/>
    <w:qFormat/>
    <w:uiPriority w:val="0"/>
    <w:rPr>
      <w:rFonts w:eastAsia="宋体"/>
      <w:kern w:val="2"/>
      <w:sz w:val="24"/>
      <w:lang w:val="en-US" w:eastAsia="zh-CN" w:bidi="ar-SA"/>
    </w:rPr>
  </w:style>
  <w:style w:type="character" w:customStyle="1" w:styleId="2408">
    <w:name w:val="Char Char57"/>
    <w:qFormat/>
    <w:uiPriority w:val="0"/>
    <w:rPr>
      <w:rFonts w:hint="default" w:ascii="Arial" w:hAnsi="Arial" w:eastAsia="黑体" w:cs="Arial"/>
      <w:b/>
      <w:bCs/>
      <w:color w:val="000000"/>
      <w:kern w:val="2"/>
      <w:sz w:val="24"/>
      <w:szCs w:val="24"/>
      <w:lang w:val="en-US" w:eastAsia="zh-CN" w:bidi="ar-SA"/>
    </w:rPr>
  </w:style>
  <w:style w:type="character" w:customStyle="1" w:styleId="2409">
    <w:name w:val="xl35 Char"/>
    <w:qFormat/>
    <w:uiPriority w:val="0"/>
    <w:rPr>
      <w:rFonts w:ascii="Arial Unicode MS" w:hAnsi="Arial Unicode MS" w:eastAsia="Arial Unicode MS" w:cs="Arial Unicode MS"/>
      <w:szCs w:val="24"/>
      <w:shd w:val="clear" w:color="auto" w:fill="FFCC00"/>
    </w:rPr>
  </w:style>
  <w:style w:type="character" w:customStyle="1" w:styleId="2410">
    <w:name w:val="dan7-1 Char Char Char"/>
    <w:qFormat/>
    <w:uiPriority w:val="0"/>
    <w:rPr>
      <w:rFonts w:ascii="Calibri" w:hAnsi="Times New Roman" w:eastAsia="宋体" w:cs="Times New Roman"/>
      <w:kern w:val="2"/>
      <w:sz w:val="24"/>
      <w:szCs w:val="24"/>
    </w:rPr>
  </w:style>
  <w:style w:type="character" w:customStyle="1" w:styleId="2411">
    <w:name w:val="样式 样式 样式 样式 正文 首行缩进 + 首行缩进:  2 字符 行距: 单倍行距 + 首行缩进:  2 字符 + 小四 首行...2 Char Char"/>
    <w:qFormat/>
    <w:uiPriority w:val="0"/>
    <w:rPr>
      <w:rFonts w:ascii="Arial" w:hAnsi="Arial" w:eastAsia="宋体" w:cs="宋体"/>
      <w:kern w:val="2"/>
      <w:sz w:val="24"/>
    </w:rPr>
  </w:style>
  <w:style w:type="character" w:customStyle="1" w:styleId="2412">
    <w:name w:val="表格题注 Char"/>
    <w:qFormat/>
    <w:uiPriority w:val="0"/>
    <w:rPr>
      <w:rFonts w:ascii="宋体"/>
      <w:sz w:val="24"/>
      <w:szCs w:val="24"/>
    </w:rPr>
  </w:style>
  <w:style w:type="character" w:customStyle="1" w:styleId="2413">
    <w:name w:val="规划正文样式 Char"/>
    <w:qFormat/>
    <w:uiPriority w:val="0"/>
    <w:rPr>
      <w:rFonts w:hint="eastAsia" w:ascii="宋体" w:hAnsi="宋体" w:eastAsia="宋体"/>
      <w:kern w:val="2"/>
      <w:sz w:val="24"/>
      <w:szCs w:val="24"/>
      <w:lang w:val="en-US" w:eastAsia="zh-CN" w:bidi="ar-SA"/>
    </w:rPr>
  </w:style>
  <w:style w:type="character" w:customStyle="1" w:styleId="2414">
    <w:name w:val="样式 正文1 + 加粗 Char Char Char"/>
    <w:qFormat/>
    <w:uiPriority w:val="0"/>
    <w:rPr>
      <w:rFonts w:eastAsia="宋体"/>
      <w:kern w:val="2"/>
      <w:sz w:val="24"/>
      <w:lang w:val="en-US" w:eastAsia="zh-CN"/>
    </w:rPr>
  </w:style>
  <w:style w:type="character" w:customStyle="1" w:styleId="2415">
    <w:name w:val="zhengw11"/>
    <w:qFormat/>
    <w:uiPriority w:val="0"/>
    <w:rPr>
      <w:rFonts w:hint="default"/>
      <w:sz w:val="21"/>
      <w:szCs w:val="21"/>
    </w:rPr>
  </w:style>
  <w:style w:type="character" w:customStyle="1" w:styleId="2416">
    <w:name w:val="标题 1 Char2"/>
    <w:qFormat/>
    <w:uiPriority w:val="0"/>
    <w:rPr>
      <w:rFonts w:ascii="Times New Roman" w:hAnsi="Times New Roman" w:eastAsia="宋体" w:cs="Times New Roman"/>
      <w:b/>
      <w:kern w:val="44"/>
      <w:sz w:val="44"/>
      <w:szCs w:val="20"/>
    </w:rPr>
  </w:style>
  <w:style w:type="character" w:customStyle="1" w:styleId="2417">
    <w:name w:val="mainfirst1"/>
    <w:semiHidden/>
    <w:qFormat/>
    <w:uiPriority w:val="0"/>
    <w:rPr>
      <w:rFonts w:hint="eastAsia" w:ascii="黑体" w:eastAsia="黑体" w:cs="宋体"/>
      <w:b/>
      <w:bCs/>
      <w:color w:val="FF0000"/>
      <w:sz w:val="36"/>
      <w:szCs w:val="36"/>
    </w:rPr>
  </w:style>
  <w:style w:type="character" w:customStyle="1" w:styleId="2418">
    <w:name w:val="表头(G) Char"/>
    <w:qFormat/>
    <w:uiPriority w:val="0"/>
    <w:rPr>
      <w:rFonts w:eastAsia="黑体"/>
      <w:b/>
      <w:color w:val="000000"/>
      <w:kern w:val="24"/>
      <w:sz w:val="24"/>
      <w:szCs w:val="24"/>
      <w:lang w:val="zh-CN"/>
    </w:rPr>
  </w:style>
  <w:style w:type="character" w:customStyle="1" w:styleId="2419">
    <w:name w:val="无间隔 Char Char"/>
    <w:qFormat/>
    <w:uiPriority w:val="0"/>
    <w:rPr>
      <w:rFonts w:eastAsia="Times New Roman"/>
      <w:kern w:val="2"/>
      <w:sz w:val="22"/>
      <w:lang w:val="en-US" w:eastAsia="zh-CN" w:bidi="ar-SA"/>
    </w:rPr>
  </w:style>
  <w:style w:type="character" w:customStyle="1" w:styleId="2420">
    <w:name w:val="宏文本 Char1"/>
    <w:qFormat/>
    <w:uiPriority w:val="0"/>
    <w:rPr>
      <w:rFonts w:ascii="Courier New" w:hAnsi="Courier New" w:eastAsia="宋体" w:cs="Courier New"/>
      <w:kern w:val="2"/>
      <w:sz w:val="24"/>
      <w:szCs w:val="24"/>
    </w:rPr>
  </w:style>
  <w:style w:type="character" w:customStyle="1" w:styleId="2421">
    <w:name w:val="syh3级标题 Char"/>
    <w:link w:val="2422"/>
    <w:qFormat/>
    <w:uiPriority w:val="0"/>
    <w:rPr>
      <w:rFonts w:ascii="黑体" w:hAnsi="宋体" w:eastAsia="黑体"/>
      <w:b/>
      <w:sz w:val="24"/>
      <w:szCs w:val="24"/>
    </w:rPr>
  </w:style>
  <w:style w:type="paragraph" w:customStyle="1" w:styleId="2422">
    <w:name w:val="syh3级标题"/>
    <w:basedOn w:val="1"/>
    <w:link w:val="2421"/>
    <w:qFormat/>
    <w:uiPriority w:val="0"/>
    <w:pPr>
      <w:keepNext/>
      <w:widowControl/>
      <w:spacing w:line="520" w:lineRule="exact"/>
      <w:jc w:val="left"/>
      <w:outlineLvl w:val="2"/>
    </w:pPr>
    <w:rPr>
      <w:rFonts w:ascii="黑体" w:hAnsi="宋体" w:eastAsia="黑体"/>
      <w:b/>
      <w:kern w:val="0"/>
      <w:sz w:val="24"/>
      <w:szCs w:val="24"/>
    </w:rPr>
  </w:style>
  <w:style w:type="character" w:customStyle="1" w:styleId="2423">
    <w:name w:val="标题 2 Char3"/>
    <w:qFormat/>
    <w:uiPriority w:val="0"/>
    <w:rPr>
      <w:rFonts w:ascii="Arial" w:hAnsi="Arial" w:eastAsia="黑体"/>
      <w:b/>
      <w:bCs/>
      <w:kern w:val="2"/>
      <w:sz w:val="32"/>
      <w:szCs w:val="32"/>
      <w:lang w:val="en-US" w:eastAsia="zh-CN" w:bidi="ar-SA"/>
    </w:rPr>
  </w:style>
  <w:style w:type="character" w:customStyle="1" w:styleId="2424">
    <w:name w:val="标题3报告 Char"/>
    <w:link w:val="2425"/>
    <w:qFormat/>
    <w:uiPriority w:val="0"/>
    <w:rPr>
      <w:b/>
      <w:sz w:val="28"/>
      <w:szCs w:val="28"/>
    </w:rPr>
  </w:style>
  <w:style w:type="paragraph" w:customStyle="1" w:styleId="2425">
    <w:name w:val="标题3报告"/>
    <w:basedOn w:val="5"/>
    <w:link w:val="2424"/>
    <w:qFormat/>
    <w:uiPriority w:val="0"/>
    <w:pPr>
      <w:widowControl/>
      <w:adjustRightInd w:val="0"/>
      <w:snapToGrid w:val="0"/>
      <w:spacing w:before="50" w:after="50" w:line="360" w:lineRule="auto"/>
      <w:jc w:val="left"/>
    </w:pPr>
    <w:rPr>
      <w:bCs w:val="0"/>
      <w:kern w:val="0"/>
      <w:sz w:val="28"/>
      <w:szCs w:val="28"/>
    </w:rPr>
  </w:style>
  <w:style w:type="character" w:customStyle="1" w:styleId="2426">
    <w:name w:val="Char Char50"/>
    <w:qFormat/>
    <w:uiPriority w:val="0"/>
    <w:rPr>
      <w:rFonts w:hint="eastAsia" w:ascii="宋体" w:hAnsi="宋体" w:eastAsia="宋体"/>
      <w:b/>
      <w:kern w:val="2"/>
      <w:sz w:val="28"/>
      <w:szCs w:val="28"/>
      <w:lang w:val="en-US" w:eastAsia="zh-CN" w:bidi="ar-SA"/>
    </w:rPr>
  </w:style>
  <w:style w:type="character" w:customStyle="1" w:styleId="2427">
    <w:name w:val="HTML 变量11"/>
    <w:qFormat/>
    <w:uiPriority w:val="0"/>
    <w:rPr>
      <w:i/>
      <w:iCs/>
    </w:rPr>
  </w:style>
  <w:style w:type="character" w:customStyle="1" w:styleId="2428">
    <w:name w:val="text_he1"/>
    <w:qFormat/>
    <w:uiPriority w:val="0"/>
    <w:rPr>
      <w:sz w:val="24"/>
      <w:szCs w:val="24"/>
    </w:rPr>
  </w:style>
  <w:style w:type="character" w:customStyle="1" w:styleId="2429">
    <w:name w:val="visited style1"/>
    <w:basedOn w:val="129"/>
    <w:qFormat/>
    <w:uiPriority w:val="0"/>
  </w:style>
  <w:style w:type="character" w:customStyle="1" w:styleId="2430">
    <w:name w:val="c91"/>
    <w:qFormat/>
    <w:uiPriority w:val="0"/>
    <w:rPr>
      <w:color w:val="414141"/>
      <w:sz w:val="18"/>
      <w:szCs w:val="18"/>
    </w:rPr>
  </w:style>
  <w:style w:type="character" w:customStyle="1" w:styleId="2431">
    <w:name w:val="样式 表文 + (西文) Arial (中文) 宋体 (复杂文种) Arial (西文)粗体 Char"/>
    <w:qFormat/>
    <w:uiPriority w:val="0"/>
    <w:rPr>
      <w:rFonts w:ascii="Arial" w:hAnsi="Arial"/>
      <w:b/>
    </w:rPr>
  </w:style>
  <w:style w:type="character" w:customStyle="1" w:styleId="2432">
    <w:name w:val="通用正文 Char"/>
    <w:qFormat/>
    <w:uiPriority w:val="0"/>
    <w:rPr>
      <w:rFonts w:ascii="新宋体" w:hAnsi="新宋体" w:eastAsia="新宋体"/>
      <w:sz w:val="24"/>
      <w:szCs w:val="24"/>
    </w:rPr>
  </w:style>
  <w:style w:type="character" w:customStyle="1" w:styleId="2433">
    <w:name w:val="x正文 Char"/>
    <w:link w:val="2434"/>
    <w:semiHidden/>
    <w:qFormat/>
    <w:uiPriority w:val="0"/>
    <w:rPr>
      <w:rFonts w:ascii="仿宋_GB2312" w:eastAsia="仿宋_GB2312"/>
      <w:bCs/>
      <w:sz w:val="28"/>
    </w:rPr>
  </w:style>
  <w:style w:type="paragraph" w:customStyle="1" w:styleId="2434">
    <w:name w:val="x正文"/>
    <w:basedOn w:val="1272"/>
    <w:link w:val="2433"/>
    <w:semiHidden/>
    <w:qFormat/>
    <w:uiPriority w:val="0"/>
    <w:pPr>
      <w:widowControl w:val="0"/>
      <w:snapToGrid w:val="0"/>
      <w:spacing w:line="360" w:lineRule="auto"/>
      <w:ind w:firstLine="480" w:firstLineChars="200"/>
      <w:jc w:val="both"/>
    </w:pPr>
    <w:rPr>
      <w:rFonts w:hAnsi="Times New Roman" w:cs="Times New Roman"/>
      <w:szCs w:val="20"/>
    </w:rPr>
  </w:style>
  <w:style w:type="character" w:customStyle="1" w:styleId="2435">
    <w:name w:val="默认段落 Char Char"/>
    <w:link w:val="2436"/>
    <w:qFormat/>
    <w:uiPriority w:val="0"/>
    <w:rPr>
      <w:rFonts w:cs="宋体"/>
      <w:sz w:val="24"/>
    </w:rPr>
  </w:style>
  <w:style w:type="paragraph" w:customStyle="1" w:styleId="2436">
    <w:name w:val="默认段落"/>
    <w:basedOn w:val="1"/>
    <w:link w:val="2435"/>
    <w:qFormat/>
    <w:uiPriority w:val="0"/>
    <w:pPr>
      <w:spacing w:line="360" w:lineRule="auto"/>
      <w:ind w:firstLine="480" w:firstLineChars="200"/>
    </w:pPr>
    <w:rPr>
      <w:rFonts w:ascii="Times New Roman" w:cs="宋体"/>
      <w:kern w:val="0"/>
      <w:sz w:val="24"/>
      <w:szCs w:val="20"/>
    </w:rPr>
  </w:style>
  <w:style w:type="character" w:customStyle="1" w:styleId="2437">
    <w:name w:val="图表名 Char Char"/>
    <w:qFormat/>
    <w:uiPriority w:val="0"/>
    <w:rPr>
      <w:rFonts w:hint="eastAsia" w:ascii="宋体" w:hAnsi="Courier New" w:eastAsia="宋体"/>
      <w:b/>
      <w:bCs/>
      <w:sz w:val="24"/>
      <w:szCs w:val="28"/>
      <w:lang w:bidi="ar-SA"/>
    </w:rPr>
  </w:style>
  <w:style w:type="character" w:customStyle="1" w:styleId="2438">
    <w:name w:val="样式 表格备注 Char"/>
    <w:link w:val="2439"/>
    <w:qFormat/>
    <w:uiPriority w:val="0"/>
    <w:rPr>
      <w:rFonts w:ascii="Sim Sun" w:hAnsi="Sim Sun" w:eastAsia="宋体-方正超大字符集"/>
      <w:sz w:val="24"/>
    </w:rPr>
  </w:style>
  <w:style w:type="paragraph" w:customStyle="1" w:styleId="2439">
    <w:name w:val="样式 表格备注"/>
    <w:basedOn w:val="1"/>
    <w:link w:val="2438"/>
    <w:qFormat/>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Sim Sun" w:hAnsi="Sim Sun" w:eastAsia="宋体-方正超大字符集"/>
      <w:kern w:val="0"/>
      <w:sz w:val="24"/>
      <w:szCs w:val="20"/>
    </w:rPr>
  </w:style>
  <w:style w:type="character" w:customStyle="1" w:styleId="2440">
    <w:name w:val="Char Char153"/>
    <w:qFormat/>
    <w:uiPriority w:val="0"/>
    <w:rPr>
      <w:rFonts w:ascii="Arial" w:hAnsi="Arial" w:eastAsia="宋体"/>
      <w:kern w:val="24"/>
      <w:sz w:val="24"/>
    </w:rPr>
  </w:style>
  <w:style w:type="character" w:customStyle="1" w:styleId="2441">
    <w:name w:val="Char Char83"/>
    <w:qFormat/>
    <w:uiPriority w:val="0"/>
    <w:rPr>
      <w:rFonts w:eastAsia="宋体"/>
      <w:kern w:val="2"/>
      <w:sz w:val="21"/>
      <w:szCs w:val="24"/>
      <w:lang w:val="en-US" w:eastAsia="zh-CN" w:bidi="ar-SA"/>
    </w:rPr>
  </w:style>
  <w:style w:type="character" w:customStyle="1" w:styleId="2442">
    <w:name w:val="批注文字 字符1"/>
    <w:semiHidden/>
    <w:qFormat/>
    <w:uiPriority w:val="99"/>
    <w:rPr>
      <w:rFonts w:ascii="Calibri" w:hAnsi="Calibri" w:eastAsia="宋体" w:cs="Times New Roman"/>
    </w:rPr>
  </w:style>
  <w:style w:type="character" w:customStyle="1" w:styleId="2443">
    <w:name w:val="t1 style2"/>
    <w:basedOn w:val="129"/>
    <w:qFormat/>
    <w:uiPriority w:val="0"/>
  </w:style>
  <w:style w:type="character" w:customStyle="1" w:styleId="2444">
    <w:name w:val="落款 Char Char"/>
    <w:qFormat/>
    <w:uiPriority w:val="0"/>
    <w:rPr>
      <w:rFonts w:eastAsia="FLGPEK+TimesNewRoman,Italic"/>
      <w:kern w:val="2"/>
      <w:sz w:val="24"/>
      <w:lang w:val="en-US" w:eastAsia="zh-CN" w:bidi="ar-SA"/>
    </w:rPr>
  </w:style>
  <w:style w:type="character" w:customStyle="1" w:styleId="2445">
    <w:name w:val="正文正文 Char Char"/>
    <w:link w:val="2446"/>
    <w:qFormat/>
    <w:uiPriority w:val="0"/>
    <w:rPr>
      <w:sz w:val="24"/>
      <w:szCs w:val="24"/>
    </w:rPr>
  </w:style>
  <w:style w:type="paragraph" w:customStyle="1" w:styleId="2446">
    <w:name w:val="正文正文"/>
    <w:basedOn w:val="1"/>
    <w:link w:val="2445"/>
    <w:qFormat/>
    <w:uiPriority w:val="0"/>
    <w:pPr>
      <w:spacing w:before="156" w:after="156" w:line="440" w:lineRule="exact"/>
      <w:ind w:firstLine="480" w:firstLineChars="200"/>
    </w:pPr>
    <w:rPr>
      <w:rFonts w:ascii="Times New Roman"/>
      <w:kern w:val="0"/>
      <w:sz w:val="24"/>
      <w:szCs w:val="24"/>
    </w:rPr>
  </w:style>
  <w:style w:type="character" w:customStyle="1" w:styleId="2447">
    <w:name w:val="样式 题注 + (西文) Times New Roman (中文) 宋体 小四 加粗 黑色 Char Char"/>
    <w:link w:val="2448"/>
    <w:qFormat/>
    <w:uiPriority w:val="0"/>
    <w:rPr>
      <w:rFonts w:ascii="Vladimir Script" w:hAnsi="Vladimir Script" w:eastAsia="Vladimir Script" w:cs="ˎ̥"/>
      <w:b/>
      <w:bCs/>
      <w:color w:val="000000"/>
      <w:sz w:val="24"/>
      <w:szCs w:val="24"/>
    </w:rPr>
  </w:style>
  <w:style w:type="paragraph" w:customStyle="1" w:styleId="2448">
    <w:name w:val="样式 题注 + (西文) Times New Roman (中文) 宋体 小四 加粗 黑色 Char"/>
    <w:basedOn w:val="21"/>
    <w:link w:val="2447"/>
    <w:qFormat/>
    <w:uiPriority w:val="0"/>
    <w:pPr>
      <w:adjustRightInd w:val="0"/>
      <w:spacing w:beforeLines="100" w:line="360" w:lineRule="auto"/>
      <w:ind w:firstLine="200" w:firstLineChars="200"/>
      <w:jc w:val="center"/>
    </w:pPr>
    <w:rPr>
      <w:rFonts w:ascii="Vladimir Script" w:hAnsi="Vladimir Script" w:eastAsia="Vladimir Script" w:cs="ˎ̥"/>
      <w:b/>
      <w:bCs/>
      <w:color w:val="000000"/>
      <w:kern w:val="0"/>
      <w:sz w:val="24"/>
      <w:szCs w:val="24"/>
    </w:rPr>
  </w:style>
  <w:style w:type="character" w:customStyle="1" w:styleId="2449">
    <w:name w:val="mytext1"/>
    <w:basedOn w:val="129"/>
    <w:qFormat/>
    <w:uiPriority w:val="0"/>
  </w:style>
  <w:style w:type="character" w:customStyle="1" w:styleId="2450">
    <w:name w:val="表格中的文字 Char"/>
    <w:qFormat/>
    <w:uiPriority w:val="0"/>
    <w:rPr>
      <w:rFonts w:ascii="宋体" w:hAnsi="宋体" w:cs="宋体"/>
    </w:rPr>
  </w:style>
  <w:style w:type="character" w:customStyle="1" w:styleId="2451">
    <w:name w:val="标题3-自建 Char Char"/>
    <w:qFormat/>
    <w:uiPriority w:val="0"/>
    <w:rPr>
      <w:rFonts w:eastAsia="宋体"/>
      <w:b/>
      <w:kern w:val="2"/>
      <w:sz w:val="28"/>
      <w:lang w:val="en-US" w:eastAsia="zh-CN"/>
    </w:rPr>
  </w:style>
  <w:style w:type="character" w:customStyle="1" w:styleId="2452">
    <w:name w:val="正文段落（宋旭峰） Char Char"/>
    <w:link w:val="2453"/>
    <w:qFormat/>
    <w:uiPriority w:val="0"/>
    <w:rPr>
      <w:snapToGrid w:val="0"/>
      <w:sz w:val="24"/>
    </w:rPr>
  </w:style>
  <w:style w:type="paragraph" w:customStyle="1" w:styleId="2453">
    <w:name w:val="正文段落（宋旭峰）"/>
    <w:basedOn w:val="1"/>
    <w:link w:val="2452"/>
    <w:qFormat/>
    <w:uiPriority w:val="0"/>
    <w:pPr>
      <w:spacing w:line="360" w:lineRule="auto"/>
      <w:ind w:firstLine="200" w:firstLineChars="200"/>
      <w:jc w:val="left"/>
    </w:pPr>
    <w:rPr>
      <w:rFonts w:ascii="Times New Roman"/>
      <w:snapToGrid w:val="0"/>
      <w:kern w:val="0"/>
      <w:sz w:val="24"/>
      <w:szCs w:val="20"/>
    </w:rPr>
  </w:style>
  <w:style w:type="character" w:customStyle="1" w:styleId="2454">
    <w:name w:val="辅助 Char Char"/>
    <w:link w:val="2455"/>
    <w:qFormat/>
    <w:uiPriority w:val="0"/>
    <w:rPr>
      <w:rFonts w:ascii="仿宋_GB2312" w:eastAsia="仿宋_GB2312"/>
      <w:outline/>
      <w:vanish/>
      <w:color w:val="FF6600"/>
      <w:sz w:val="24"/>
      <w:szCs w:val="24"/>
      <w14:textOutline w14:w="9525" w14:cap="flat" w14:cmpd="sng" w14:algn="ctr">
        <w14:solidFill>
          <w14:srgbClr w14:val="FF6600"/>
        </w14:solidFill>
        <w14:prstDash w14:val="solid"/>
        <w14:round/>
      </w14:textOutline>
      <w14:textFill>
        <w14:noFill/>
      </w14:textFill>
    </w:rPr>
  </w:style>
  <w:style w:type="paragraph" w:customStyle="1" w:styleId="2455">
    <w:name w:val="辅助"/>
    <w:basedOn w:val="1"/>
    <w:link w:val="2454"/>
    <w:qFormat/>
    <w:uiPriority w:val="0"/>
    <w:pPr>
      <w:spacing w:line="360" w:lineRule="auto"/>
      <w:jc w:val="center"/>
      <w:textAlignment w:val="center"/>
    </w:pPr>
    <w:rPr>
      <w:rFonts w:ascii="仿宋_GB2312" w:eastAsia="仿宋_GB2312"/>
      <w:outline/>
      <w:vanish/>
      <w:color w:val="FF6600"/>
      <w:kern w:val="0"/>
      <w:sz w:val="24"/>
      <w:szCs w:val="24"/>
      <w14:textOutline w14:w="9525" w14:cap="flat" w14:cmpd="sng" w14:algn="ctr">
        <w14:solidFill>
          <w14:srgbClr w14:val="FF6600"/>
        </w14:solidFill>
        <w14:prstDash w14:val="solid"/>
        <w14:round/>
      </w14:textOutline>
      <w14:textFill>
        <w14:noFill/>
      </w14:textFill>
    </w:rPr>
  </w:style>
  <w:style w:type="character" w:customStyle="1" w:styleId="2456">
    <w:name w:val="subtitle1"/>
    <w:qFormat/>
    <w:uiPriority w:val="0"/>
    <w:rPr>
      <w:rFonts w:hint="default" w:ascii="ˎ̥" w:hAnsi="ˎ̥"/>
      <w:sz w:val="20"/>
      <w:szCs w:val="20"/>
    </w:rPr>
  </w:style>
  <w:style w:type="character" w:customStyle="1" w:styleId="2457">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2458">
    <w:name w:val="样式 样式 样式 样式 正文 首行缩进 + 首行缩进:  2 字符 行距: 单倍行距 + 首行缩进:  2 字符 + 小四 首行...1 Char Char Char"/>
    <w:qFormat/>
    <w:uiPriority w:val="0"/>
    <w:rPr>
      <w:rFonts w:ascii="Calibri" w:hAnsi="Times New Roman" w:eastAsia="宋体" w:cs="宋体"/>
      <w:kern w:val="2"/>
      <w:sz w:val="24"/>
    </w:rPr>
  </w:style>
  <w:style w:type="character" w:customStyle="1" w:styleId="2459">
    <w:name w:val="正文(首行缩进) Char2"/>
    <w:qFormat/>
    <w:uiPriority w:val="0"/>
    <w:rPr>
      <w:rFonts w:hint="eastAsia" w:ascii="黑体" w:eastAsia="黑体"/>
      <w:bCs/>
      <w:snapToGrid w:val="0"/>
      <w:color w:val="000000"/>
      <w:kern w:val="2"/>
      <w:sz w:val="24"/>
      <w:lang w:val="en-US" w:eastAsia="zh-CN" w:bidi="ar-SA"/>
    </w:rPr>
  </w:style>
  <w:style w:type="character" w:customStyle="1" w:styleId="2460">
    <w:name w:val="正文2 Char Char Char"/>
    <w:qFormat/>
    <w:uiPriority w:val="0"/>
    <w:rPr>
      <w:rFonts w:eastAsia="Times New Roman"/>
      <w:spacing w:val="18"/>
      <w:sz w:val="32"/>
      <w:lang w:val="en-US" w:eastAsia="zh-CN" w:bidi="ar-SA"/>
    </w:rPr>
  </w:style>
  <w:style w:type="character" w:customStyle="1" w:styleId="2461">
    <w:name w:val="段 Char Char"/>
    <w:qFormat/>
    <w:uiPriority w:val="0"/>
    <w:rPr>
      <w:rFonts w:hint="eastAsia" w:ascii="宋体" w:hAnsi="宋体" w:eastAsia="宋体"/>
      <w:sz w:val="21"/>
      <w:lang w:bidi="ar-SA"/>
    </w:rPr>
  </w:style>
  <w:style w:type="character" w:customStyle="1" w:styleId="2462">
    <w:name w:val="texd1"/>
    <w:qFormat/>
    <w:uiPriority w:val="0"/>
    <w:rPr>
      <w:rFonts w:hint="default"/>
      <w:sz w:val="20"/>
      <w:szCs w:val="20"/>
    </w:rPr>
  </w:style>
  <w:style w:type="character" w:customStyle="1" w:styleId="2463">
    <w:name w:val="表头 Char Char Char Char Char"/>
    <w:qFormat/>
    <w:uiPriority w:val="0"/>
    <w:rPr>
      <w:rFonts w:ascii="宋体" w:hAnsi="宋体" w:eastAsia="宋体"/>
      <w:color w:val="000000"/>
      <w:kern w:val="4"/>
      <w:sz w:val="24"/>
      <w:szCs w:val="24"/>
      <w:lang w:val="en-US" w:eastAsia="zh-CN" w:bidi="ar-SA"/>
    </w:rPr>
  </w:style>
  <w:style w:type="character" w:customStyle="1" w:styleId="2464">
    <w:name w:val="尾注文本 Char2"/>
    <w:qFormat/>
    <w:uiPriority w:val="0"/>
    <w:rPr>
      <w:rFonts w:ascii="宋体" w:hAnsi="宋体" w:cs="宋体"/>
      <w:sz w:val="24"/>
      <w:szCs w:val="24"/>
    </w:rPr>
  </w:style>
  <w:style w:type="character" w:customStyle="1" w:styleId="2465">
    <w:name w:val="WW8Num1456z0"/>
    <w:semiHidden/>
    <w:qFormat/>
    <w:uiPriority w:val="0"/>
    <w:rPr>
      <w:rFonts w:ascii="Wingdings" w:hAnsi="Wingdings"/>
      <w:sz w:val="24"/>
    </w:rPr>
  </w:style>
  <w:style w:type="character" w:customStyle="1" w:styleId="2466">
    <w:name w:val="正文文字 2 Char Char"/>
    <w:qFormat/>
    <w:uiPriority w:val="0"/>
    <w:rPr>
      <w:rFonts w:eastAsia="宋体"/>
      <w:b/>
      <w:kern w:val="2"/>
      <w:sz w:val="30"/>
      <w:lang w:val="en-US" w:eastAsia="zh-CN" w:bidi="ar-SA"/>
    </w:rPr>
  </w:style>
  <w:style w:type="character" w:customStyle="1" w:styleId="2467">
    <w:name w:val="Char Char42"/>
    <w:qFormat/>
    <w:uiPriority w:val="0"/>
    <w:rPr>
      <w:rFonts w:hint="eastAsia" w:ascii="宋体" w:hAnsi="宋体" w:eastAsia="宋体"/>
      <w:kern w:val="2"/>
      <w:sz w:val="24"/>
      <w:lang w:val="en-US" w:eastAsia="zh-CN" w:bidi="ar-SA"/>
    </w:rPr>
  </w:style>
  <w:style w:type="character" w:customStyle="1" w:styleId="2468">
    <w:name w:val="biaoti"/>
    <w:basedOn w:val="129"/>
    <w:semiHidden/>
    <w:qFormat/>
    <w:uiPriority w:val="0"/>
  </w:style>
  <w:style w:type="character" w:customStyle="1" w:styleId="2469">
    <w:name w:val="正文 Char1"/>
    <w:qFormat/>
    <w:uiPriority w:val="0"/>
    <w:rPr>
      <w:rFonts w:eastAsia="宋体"/>
      <w:sz w:val="24"/>
      <w:szCs w:val="24"/>
      <w:lang w:val="en-US" w:eastAsia="zh-CN" w:bidi="ar-SA"/>
    </w:rPr>
  </w:style>
  <w:style w:type="character" w:customStyle="1" w:styleId="2470">
    <w:name w:val="text"/>
    <w:qFormat/>
    <w:uiPriority w:val="0"/>
    <w:rPr>
      <w:rFonts w:ascii="Times New Roman" w:hAnsi="Calibri" w:eastAsia="宋体" w:cs="Times New Roman"/>
      <w:color w:val="000000"/>
      <w:spacing w:val="0"/>
      <w:w w:val="100"/>
      <w:sz w:val="21"/>
      <w:u w:val="none" w:color="000000"/>
      <w:vertAlign w:val="baseline"/>
      <w:lang w:val="en-US" w:eastAsia="zh-CN"/>
    </w:rPr>
  </w:style>
  <w:style w:type="character" w:customStyle="1" w:styleId="2471">
    <w:name w:val="图头 Char"/>
    <w:link w:val="2472"/>
    <w:qFormat/>
    <w:uiPriority w:val="0"/>
    <w:rPr>
      <w:b/>
      <w:sz w:val="24"/>
      <w:szCs w:val="24"/>
    </w:rPr>
  </w:style>
  <w:style w:type="paragraph" w:customStyle="1" w:styleId="2472">
    <w:name w:val="图头"/>
    <w:basedOn w:val="278"/>
    <w:next w:val="148"/>
    <w:link w:val="2471"/>
    <w:qFormat/>
    <w:uiPriority w:val="0"/>
    <w:pPr>
      <w:spacing w:before="78" w:after="78" w:line="240" w:lineRule="auto"/>
    </w:pPr>
    <w:rPr>
      <w:rFonts w:eastAsia="宋体"/>
      <w:b/>
      <w:spacing w:val="0"/>
      <w:sz w:val="24"/>
      <w:szCs w:val="24"/>
    </w:rPr>
  </w:style>
  <w:style w:type="character" w:customStyle="1" w:styleId="2473">
    <w:name w:val="Char Char154"/>
    <w:qFormat/>
    <w:uiPriority w:val="0"/>
    <w:rPr>
      <w:rFonts w:ascii="Arial" w:hAnsi="Arial" w:eastAsia="宋体"/>
      <w:kern w:val="24"/>
      <w:sz w:val="24"/>
    </w:rPr>
  </w:style>
  <w:style w:type="character" w:customStyle="1" w:styleId="2474">
    <w:name w:val="样式 样式 样式 样式 正文 首行缩进 + 首行缩进:  2 字符 行距: 单倍行距 + 首行缩进:  2 字符 + 小四 首行...1 Char"/>
    <w:link w:val="2475"/>
    <w:qFormat/>
    <w:uiPriority w:val="0"/>
    <w:rPr>
      <w:rFonts w:cs="宋体"/>
      <w:sz w:val="24"/>
    </w:rPr>
  </w:style>
  <w:style w:type="paragraph" w:customStyle="1" w:styleId="2475">
    <w:name w:val="样式 样式 样式 样式 正文 首行缩进 + 首行缩进:  2 字符 行距: 单倍行距 + 首行缩进:  2 字符 + 小四 首行...1"/>
    <w:basedOn w:val="1"/>
    <w:link w:val="2474"/>
    <w:qFormat/>
    <w:uiPriority w:val="0"/>
    <w:pPr>
      <w:spacing w:line="312" w:lineRule="auto"/>
      <w:ind w:firstLine="480" w:firstLineChars="200"/>
    </w:pPr>
    <w:rPr>
      <w:rFonts w:ascii="Times New Roman" w:cs="宋体"/>
      <w:kern w:val="0"/>
      <w:sz w:val="24"/>
      <w:szCs w:val="20"/>
    </w:rPr>
  </w:style>
  <w:style w:type="character" w:customStyle="1" w:styleId="2476">
    <w:name w:val="样式表 Char Char"/>
    <w:qFormat/>
    <w:uiPriority w:val="0"/>
    <w:rPr>
      <w:rFonts w:ascii="Calibri" w:hAnsi="Calibri" w:eastAsia="宋体" w:cs="Times New Roman"/>
      <w:b/>
      <w:snapToGrid w:val="0"/>
      <w:color w:val="000000"/>
      <w:sz w:val="21"/>
      <w:szCs w:val="21"/>
    </w:rPr>
  </w:style>
  <w:style w:type="character" w:customStyle="1" w:styleId="2477">
    <w:name w:val="Char Char60"/>
    <w:qFormat/>
    <w:uiPriority w:val="0"/>
    <w:rPr>
      <w:rFonts w:hint="default" w:ascii="Arial" w:hAnsi="Arial" w:eastAsia="黑体" w:cs="Arial"/>
      <w:b/>
      <w:bCs/>
      <w:kern w:val="2"/>
      <w:sz w:val="32"/>
      <w:szCs w:val="32"/>
      <w:lang w:val="en-US" w:eastAsia="zh-CN" w:bidi="ar-SA"/>
    </w:rPr>
  </w:style>
  <w:style w:type="character" w:customStyle="1" w:styleId="2478">
    <w:name w:val="正文2 Char Char"/>
    <w:qFormat/>
    <w:uiPriority w:val="0"/>
    <w:rPr>
      <w:rFonts w:ascii="宋体" w:hAnsi="Times New Roman" w:eastAsia="宋体" w:cs="Times New Roman"/>
      <w:kern w:val="2"/>
      <w:sz w:val="24"/>
      <w:szCs w:val="22"/>
      <w:lang w:val="en-US" w:eastAsia="zh-CN" w:bidi="ar-SA"/>
    </w:rPr>
  </w:style>
  <w:style w:type="character" w:customStyle="1" w:styleId="2479">
    <w:name w:val="Char Char172"/>
    <w:qFormat/>
    <w:uiPriority w:val="0"/>
    <w:rPr>
      <w:rFonts w:ascii="Arial" w:hAnsi="Arial" w:eastAsia="黑体"/>
      <w:kern w:val="2"/>
      <w:sz w:val="24"/>
      <w:lang w:val="en-US" w:eastAsia="zh-CN" w:bidi="ar-SA"/>
    </w:rPr>
  </w:style>
  <w:style w:type="character" w:customStyle="1" w:styleId="2480">
    <w:name w:val="图表注 Char4"/>
    <w:qFormat/>
    <w:uiPriority w:val="0"/>
    <w:rPr>
      <w:rFonts w:eastAsia="宋体"/>
      <w:kern w:val="2"/>
      <w:sz w:val="24"/>
      <w:lang w:val="en-US" w:eastAsia="zh-CN" w:bidi="ar-SA"/>
    </w:rPr>
  </w:style>
  <w:style w:type="character" w:customStyle="1" w:styleId="2481">
    <w:name w:val="题注+ Char Char"/>
    <w:qFormat/>
    <w:uiPriority w:val="0"/>
    <w:rPr>
      <w:rFonts w:ascii="仿宋体" w:hAnsi="ˎ̥" w:eastAsia="仿宋体"/>
      <w:sz w:val="24"/>
      <w:szCs w:val="24"/>
      <w:lang w:val="en-US" w:eastAsia="zh-CN"/>
    </w:rPr>
  </w:style>
  <w:style w:type="character" w:customStyle="1" w:styleId="2482">
    <w:name w:val="Char Char94"/>
    <w:qFormat/>
    <w:uiPriority w:val="0"/>
    <w:rPr>
      <w:rFonts w:ascii="宋体" w:hAnsi="Times New Roman" w:eastAsia="宋体"/>
      <w:sz w:val="18"/>
    </w:rPr>
  </w:style>
  <w:style w:type="character" w:customStyle="1" w:styleId="2483">
    <w:name w:val="样式 报告正文 + 首行缩进:  2 字符 Char"/>
    <w:qFormat/>
    <w:uiPriority w:val="0"/>
    <w:rPr>
      <w:rFonts w:cs="宋体"/>
      <w:sz w:val="24"/>
    </w:rPr>
  </w:style>
  <w:style w:type="character" w:customStyle="1" w:styleId="2484">
    <w:name w:val="company-content"/>
    <w:qFormat/>
    <w:uiPriority w:val="0"/>
    <w:rPr>
      <w:rFonts w:ascii="Calibri" w:hAnsi="Calibri" w:eastAsia="宋体" w:cs="Times New Roman"/>
    </w:rPr>
  </w:style>
  <w:style w:type="character" w:customStyle="1" w:styleId="2485">
    <w:name w:val="Char Char212"/>
    <w:qFormat/>
    <w:uiPriority w:val="0"/>
    <w:rPr>
      <w:rFonts w:ascii="宋体" w:hAnsi="Courier New" w:eastAsia="宋体"/>
      <w:kern w:val="2"/>
      <w:sz w:val="21"/>
      <w:lang w:val="en-US" w:eastAsia="zh-CN" w:bidi="ar-SA"/>
    </w:rPr>
  </w:style>
  <w:style w:type="character" w:customStyle="1" w:styleId="2486">
    <w:name w:val="Char Char183"/>
    <w:qFormat/>
    <w:uiPriority w:val="0"/>
    <w:rPr>
      <w:rFonts w:ascii="宋体" w:hAnsi="Courier New" w:eastAsia="宋体"/>
      <w:spacing w:val="5"/>
      <w:kern w:val="2"/>
      <w:sz w:val="25"/>
      <w:szCs w:val="25"/>
      <w:lang w:val="en-US" w:eastAsia="zh-CN" w:bidi="ar-SA"/>
    </w:rPr>
  </w:style>
  <w:style w:type="character" w:customStyle="1" w:styleId="2487">
    <w:name w:val="韩奇 Char Char"/>
    <w:link w:val="2488"/>
    <w:qFormat/>
    <w:uiPriority w:val="0"/>
    <w:rPr>
      <w:rFonts w:eastAsia="楷体_GB2312"/>
      <w:sz w:val="28"/>
    </w:rPr>
  </w:style>
  <w:style w:type="paragraph" w:customStyle="1" w:styleId="2488">
    <w:name w:val="韩奇"/>
    <w:basedOn w:val="1"/>
    <w:link w:val="2487"/>
    <w:qFormat/>
    <w:uiPriority w:val="0"/>
    <w:pPr>
      <w:adjustRightInd w:val="0"/>
      <w:spacing w:before="120" w:line="480" w:lineRule="exact"/>
      <w:ind w:firstLine="560" w:firstLineChars="200"/>
      <w:textAlignment w:val="baseline"/>
    </w:pPr>
    <w:rPr>
      <w:rFonts w:ascii="Times New Roman" w:eastAsia="楷体_GB2312"/>
      <w:kern w:val="0"/>
      <w:sz w:val="28"/>
      <w:szCs w:val="20"/>
    </w:rPr>
  </w:style>
  <w:style w:type="character" w:customStyle="1" w:styleId="2489">
    <w:name w:val="unnamed21"/>
    <w:qFormat/>
    <w:uiPriority w:val="0"/>
    <w:rPr>
      <w:sz w:val="28"/>
      <w:u w:val="none"/>
    </w:rPr>
  </w:style>
  <w:style w:type="character" w:customStyle="1" w:styleId="2490">
    <w:name w:val="标题 7 Char2"/>
    <w:qFormat/>
    <w:uiPriority w:val="0"/>
    <w:rPr>
      <w:rFonts w:eastAsia="宋体"/>
      <w:b/>
      <w:kern w:val="2"/>
      <w:sz w:val="24"/>
      <w:szCs w:val="24"/>
      <w:lang w:val="en-US" w:eastAsia="zh-CN" w:bidi="ar-SA"/>
    </w:rPr>
  </w:style>
  <w:style w:type="character" w:customStyle="1" w:styleId="2491">
    <w:name w:val="text-dong21"/>
    <w:qFormat/>
    <w:uiPriority w:val="0"/>
    <w:rPr>
      <w:sz w:val="18"/>
      <w:szCs w:val="18"/>
    </w:rPr>
  </w:style>
  <w:style w:type="character" w:customStyle="1" w:styleId="2492">
    <w:name w:val="表头 Char Char Char Char"/>
    <w:qFormat/>
    <w:uiPriority w:val="0"/>
    <w:rPr>
      <w:rFonts w:ascii="黑体" w:eastAsia="黑体"/>
      <w:kern w:val="2"/>
      <w:sz w:val="25"/>
      <w:lang w:val="en-US" w:eastAsia="zh-CN"/>
    </w:rPr>
  </w:style>
  <w:style w:type="character" w:customStyle="1" w:styleId="2493">
    <w:name w:val="ourfont3"/>
    <w:qFormat/>
    <w:uiPriority w:val="0"/>
  </w:style>
  <w:style w:type="character" w:customStyle="1" w:styleId="2494">
    <w:name w:val="km Char Char"/>
    <w:link w:val="2495"/>
    <w:qFormat/>
    <w:uiPriority w:val="0"/>
    <w:rPr>
      <w:rFonts w:ascii="Sim Sun" w:hAnsi="Sim Sun" w:eastAsia="宋体-方正超大字符集" w:cs="Batang"/>
      <w:sz w:val="28"/>
      <w:szCs w:val="28"/>
    </w:rPr>
  </w:style>
  <w:style w:type="paragraph" w:customStyle="1" w:styleId="2495">
    <w:name w:val="km Char"/>
    <w:basedOn w:val="1"/>
    <w:link w:val="2494"/>
    <w:qFormat/>
    <w:uiPriority w:val="0"/>
    <w:pPr>
      <w:ind w:firstLine="567"/>
    </w:pPr>
    <w:rPr>
      <w:rFonts w:ascii="Sim Sun" w:hAnsi="Sim Sun" w:eastAsia="宋体-方正超大字符集" w:cs="Batang"/>
      <w:kern w:val="0"/>
      <w:sz w:val="28"/>
      <w:szCs w:val="28"/>
    </w:rPr>
  </w:style>
  <w:style w:type="character" w:customStyle="1" w:styleId="2496">
    <w:name w:val="正明正文 Char"/>
    <w:qFormat/>
    <w:uiPriority w:val="0"/>
    <w:rPr>
      <w:rFonts w:ascii="宋体"/>
      <w:color w:val="000000"/>
      <w:sz w:val="24"/>
      <w:szCs w:val="24"/>
    </w:rPr>
  </w:style>
  <w:style w:type="character" w:customStyle="1" w:styleId="2497">
    <w:name w:val="样式 2 Char Char"/>
    <w:qFormat/>
    <w:uiPriority w:val="0"/>
    <w:rPr>
      <w:rFonts w:ascii="Arial" w:hAnsi="Arial" w:eastAsia="黑体"/>
      <w:b/>
      <w:bCs/>
      <w:kern w:val="2"/>
      <w:sz w:val="32"/>
      <w:szCs w:val="32"/>
      <w:lang w:val="en-US" w:eastAsia="zh-CN" w:bidi="ar-SA"/>
    </w:rPr>
  </w:style>
  <w:style w:type="character" w:customStyle="1" w:styleId="2498">
    <w:name w:val="标题 3 Char Char2"/>
    <w:qFormat/>
    <w:uiPriority w:val="0"/>
    <w:rPr>
      <w:rFonts w:eastAsia="宋体"/>
      <w:b/>
      <w:kern w:val="2"/>
      <w:sz w:val="32"/>
      <w:lang w:val="en-US" w:eastAsia="zh-CN" w:bidi="ar-SA"/>
    </w:rPr>
  </w:style>
  <w:style w:type="character" w:customStyle="1" w:styleId="2499">
    <w:name w:val="样式 标题 21标题2H2h2第一层条1.1标题 2节标题 1.11.1标题2节标题 1.1 Char1.1... Char"/>
    <w:link w:val="2500"/>
    <w:qFormat/>
    <w:uiPriority w:val="0"/>
    <w:rPr>
      <w:rFonts w:ascii="Arial" w:hAnsi="Arial" w:cs="宋体"/>
      <w:b/>
      <w:bCs/>
      <w:sz w:val="30"/>
      <w:szCs w:val="44"/>
    </w:rPr>
  </w:style>
  <w:style w:type="paragraph" w:customStyle="1" w:styleId="2500">
    <w:name w:val="样式 标题 21标题2H2h2第一层条1.1标题 2节标题 1.11.1标题2节标题 1.1 Char1.1..."/>
    <w:basedOn w:val="4"/>
    <w:link w:val="2499"/>
    <w:qFormat/>
    <w:uiPriority w:val="0"/>
    <w:pPr>
      <w:tabs>
        <w:tab w:val="left" w:pos="992"/>
      </w:tabs>
      <w:spacing w:before="0" w:after="0" w:line="415" w:lineRule="auto"/>
      <w:ind w:left="992" w:firstLine="420" w:firstLineChars="200"/>
    </w:pPr>
    <w:rPr>
      <w:rFonts w:ascii="Arial" w:hAnsi="Arial" w:cs="宋体"/>
      <w:snapToGrid/>
      <w:kern w:val="0"/>
      <w:sz w:val="30"/>
      <w:szCs w:val="44"/>
    </w:rPr>
  </w:style>
  <w:style w:type="character" w:customStyle="1" w:styleId="2501">
    <w:name w:val="Char Char52"/>
    <w:qFormat/>
    <w:uiPriority w:val="0"/>
    <w:rPr>
      <w:kern w:val="2"/>
      <w:sz w:val="18"/>
      <w:szCs w:val="18"/>
    </w:rPr>
  </w:style>
  <w:style w:type="character" w:customStyle="1" w:styleId="2502">
    <w:name w:val="style131"/>
    <w:qFormat/>
    <w:uiPriority w:val="0"/>
    <w:rPr>
      <w:color w:val="2977C1"/>
      <w:sz w:val="18"/>
      <w:szCs w:val="18"/>
    </w:rPr>
  </w:style>
  <w:style w:type="character" w:customStyle="1" w:styleId="2503">
    <w:name w:val="表头文字 Char Char Char"/>
    <w:qFormat/>
    <w:uiPriority w:val="0"/>
    <w:rPr>
      <w:rFonts w:eastAsia="黑体"/>
      <w:kern w:val="2"/>
      <w:sz w:val="24"/>
      <w:lang w:val="en-US" w:eastAsia="zh-CN" w:bidi="ar-SA"/>
    </w:rPr>
  </w:style>
  <w:style w:type="character" w:customStyle="1" w:styleId="2504">
    <w:name w:val="页码31"/>
    <w:basedOn w:val="129"/>
    <w:qFormat/>
    <w:uiPriority w:val="0"/>
  </w:style>
  <w:style w:type="character" w:customStyle="1" w:styleId="2505">
    <w:name w:val="Char Char521"/>
    <w:qFormat/>
    <w:uiPriority w:val="0"/>
    <w:rPr>
      <w:kern w:val="2"/>
      <w:sz w:val="18"/>
      <w:szCs w:val="18"/>
    </w:rPr>
  </w:style>
  <w:style w:type="character" w:customStyle="1" w:styleId="2506">
    <w:name w:val="样式 标题 2节标题1.1Se节标题 1.11.1标题2W21.1标题 2标题 2 Char Char Char... Char"/>
    <w:link w:val="2507"/>
    <w:qFormat/>
    <w:uiPriority w:val="0"/>
    <w:rPr>
      <w:rFonts w:ascii="Arial" w:hAnsi="Arial" w:eastAsia="黑体"/>
      <w:b/>
      <w:sz w:val="32"/>
    </w:rPr>
  </w:style>
  <w:style w:type="paragraph" w:customStyle="1" w:styleId="2507">
    <w:name w:val="样式 标题 2节标题1.1Se节标题 1.11.1标题2W21.1标题 2标题 2 Char Char Char..."/>
    <w:basedOn w:val="4"/>
    <w:link w:val="2506"/>
    <w:qFormat/>
    <w:uiPriority w:val="0"/>
    <w:pPr>
      <w:tabs>
        <w:tab w:val="left" w:pos="992"/>
      </w:tabs>
      <w:ind w:left="992" w:hanging="567"/>
    </w:pPr>
    <w:rPr>
      <w:rFonts w:ascii="Arial" w:hAnsi="Arial" w:eastAsia="黑体"/>
      <w:bCs w:val="0"/>
      <w:snapToGrid/>
      <w:kern w:val="0"/>
      <w:szCs w:val="20"/>
    </w:rPr>
  </w:style>
  <w:style w:type="character" w:customStyle="1" w:styleId="2508">
    <w:name w:val="标题 5 Char1"/>
    <w:qFormat/>
    <w:uiPriority w:val="0"/>
    <w:rPr>
      <w:rFonts w:ascii="Calibri" w:hAnsi="Calibri" w:eastAsia="宋体" w:cs="Times New Roman"/>
      <w:b/>
      <w:bCs/>
      <w:kern w:val="2"/>
      <w:sz w:val="28"/>
      <w:szCs w:val="28"/>
    </w:rPr>
  </w:style>
  <w:style w:type="character" w:customStyle="1" w:styleId="2509">
    <w:name w:val="样式5 Char Char"/>
    <w:qFormat/>
    <w:uiPriority w:val="0"/>
    <w:rPr>
      <w:rFonts w:ascii="黑体" w:eastAsia="黑体"/>
      <w:spacing w:val="5"/>
      <w:sz w:val="25"/>
      <w:szCs w:val="25"/>
    </w:rPr>
  </w:style>
  <w:style w:type="character" w:customStyle="1" w:styleId="2510">
    <w:name w:val="格式正 Char Char"/>
    <w:link w:val="2511"/>
    <w:qFormat/>
    <w:uiPriority w:val="0"/>
    <w:rPr>
      <w:b/>
      <w:sz w:val="24"/>
      <w:szCs w:val="24"/>
    </w:rPr>
  </w:style>
  <w:style w:type="paragraph" w:customStyle="1" w:styleId="2511">
    <w:name w:val="格式正"/>
    <w:basedOn w:val="32"/>
    <w:link w:val="2510"/>
    <w:qFormat/>
    <w:uiPriority w:val="0"/>
    <w:pPr>
      <w:snapToGrid w:val="0"/>
      <w:spacing w:after="0"/>
      <w:jc w:val="center"/>
    </w:pPr>
    <w:rPr>
      <w:rFonts w:ascii="Times New Roman"/>
      <w:b/>
      <w:kern w:val="0"/>
      <w:sz w:val="24"/>
      <w:szCs w:val="24"/>
    </w:rPr>
  </w:style>
  <w:style w:type="character" w:customStyle="1" w:styleId="2512">
    <w:name w:val="t_tag hover"/>
    <w:basedOn w:val="129"/>
    <w:qFormat/>
    <w:uiPriority w:val="0"/>
  </w:style>
  <w:style w:type="character" w:customStyle="1" w:styleId="2513">
    <w:name w:val="样式 (符号) 宋体 13 磅"/>
    <w:qFormat/>
    <w:uiPriority w:val="0"/>
    <w:rPr>
      <w:rFonts w:hint="eastAsia" w:ascii="宋体" w:hAnsi="宋体" w:eastAsia="宋体"/>
      <w:sz w:val="27"/>
      <w:szCs w:val="27"/>
    </w:rPr>
  </w:style>
  <w:style w:type="character" w:customStyle="1" w:styleId="2514">
    <w:name w:val="主标题 Char Char"/>
    <w:qFormat/>
    <w:uiPriority w:val="0"/>
    <w:rPr>
      <w:rFonts w:hint="default" w:ascii="Cambria" w:hAnsi="Cambria"/>
      <w:b/>
      <w:bCs/>
      <w:kern w:val="2"/>
      <w:sz w:val="32"/>
      <w:szCs w:val="32"/>
      <w:lang w:bidi="ar-SA"/>
    </w:rPr>
  </w:style>
  <w:style w:type="character" w:customStyle="1" w:styleId="2515">
    <w:name w:val="引用 Char1"/>
    <w:qFormat/>
    <w:uiPriority w:val="29"/>
    <w:rPr>
      <w:rFonts w:ascii="Times New Roman" w:hAnsi="Times New Roman" w:eastAsia="宋体" w:cs="Times New Roman"/>
      <w:i/>
      <w:iCs/>
      <w:color w:val="000000"/>
      <w:szCs w:val="24"/>
    </w:rPr>
  </w:style>
  <w:style w:type="character" w:customStyle="1" w:styleId="2516">
    <w:name w:val="文本匡小五号 Char Char Char"/>
    <w:semiHidden/>
    <w:qFormat/>
    <w:uiPriority w:val="0"/>
    <w:rPr>
      <w:rFonts w:hint="eastAsia" w:ascii="仿宋_GB2312" w:eastAsia="仿宋_GB2312"/>
      <w:sz w:val="18"/>
      <w:szCs w:val="24"/>
    </w:rPr>
  </w:style>
  <w:style w:type="character" w:customStyle="1" w:styleId="2517">
    <w:name w:val="样式 样式 样式 正文 首行缩进 + 首行缩进:  2 字符 行距: 单倍行距 + 首行缩进:  2 字符 + 小四 首行缩进... Char"/>
    <w:link w:val="2518"/>
    <w:qFormat/>
    <w:uiPriority w:val="0"/>
    <w:rPr>
      <w:rFonts w:cs="宋体"/>
      <w:sz w:val="24"/>
    </w:rPr>
  </w:style>
  <w:style w:type="paragraph" w:customStyle="1" w:styleId="2518">
    <w:name w:val="样式 样式 样式 正文 首行缩进 + 首行缩进:  2 字符 行距: 单倍行距 + 首行缩进:  2 字符 + 小四 首行缩进..."/>
    <w:basedOn w:val="1"/>
    <w:link w:val="2517"/>
    <w:qFormat/>
    <w:uiPriority w:val="0"/>
    <w:pPr>
      <w:spacing w:line="312" w:lineRule="auto"/>
      <w:ind w:firstLine="200" w:firstLineChars="200"/>
    </w:pPr>
    <w:rPr>
      <w:rFonts w:ascii="Times New Roman" w:cs="宋体"/>
      <w:kern w:val="0"/>
      <w:sz w:val="24"/>
      <w:szCs w:val="20"/>
    </w:rPr>
  </w:style>
  <w:style w:type="character" w:customStyle="1" w:styleId="2519">
    <w:name w:val="标题10"/>
    <w:basedOn w:val="129"/>
    <w:qFormat/>
    <w:uiPriority w:val="0"/>
  </w:style>
  <w:style w:type="character" w:customStyle="1" w:styleId="2520">
    <w:name w:val="上标样式"/>
    <w:qFormat/>
    <w:uiPriority w:val="0"/>
    <w:rPr>
      <w:rFonts w:hint="eastAsia" w:ascii="宋体" w:hAnsi="宋体" w:eastAsia="宋体"/>
      <w:b/>
      <w:sz w:val="28"/>
      <w:szCs w:val="28"/>
      <w:vertAlign w:val="superscript"/>
    </w:rPr>
  </w:style>
  <w:style w:type="character" w:customStyle="1" w:styleId="2521">
    <w:name w:val="Char Char58"/>
    <w:qFormat/>
    <w:uiPriority w:val="0"/>
    <w:rPr>
      <w:rFonts w:hint="eastAsia" w:ascii="宋体" w:hAnsi="宋体" w:eastAsia="宋体"/>
      <w:color w:val="000000"/>
      <w:kern w:val="2"/>
      <w:sz w:val="24"/>
      <w:szCs w:val="24"/>
      <w:lang w:val="en-US" w:eastAsia="zh-CN" w:bidi="ar-SA"/>
    </w:rPr>
  </w:style>
  <w:style w:type="character" w:customStyle="1" w:styleId="2522">
    <w:name w:val="样式 2 Char"/>
    <w:qFormat/>
    <w:uiPriority w:val="0"/>
    <w:rPr>
      <w:rFonts w:eastAsia="黑体"/>
      <w:spacing w:val="10"/>
      <w:sz w:val="30"/>
      <w:lang w:val="en-US" w:eastAsia="zh-CN" w:bidi="ar-SA"/>
    </w:rPr>
  </w:style>
  <w:style w:type="character" w:customStyle="1" w:styleId="2523">
    <w:name w:val="Char Char163"/>
    <w:qFormat/>
    <w:uiPriority w:val="0"/>
    <w:rPr>
      <w:rFonts w:ascii="Arial" w:hAnsi="Arial" w:eastAsia="黑体"/>
      <w:kern w:val="2"/>
      <w:sz w:val="21"/>
      <w:lang w:val="en-US" w:eastAsia="zh-CN" w:bidi="ar-SA"/>
    </w:rPr>
  </w:style>
  <w:style w:type="character" w:customStyle="1" w:styleId="2524">
    <w:name w:val="large"/>
    <w:basedOn w:val="129"/>
    <w:qFormat/>
    <w:uiPriority w:val="0"/>
  </w:style>
  <w:style w:type="character" w:customStyle="1" w:styleId="2525">
    <w:name w:val="样式 宋体 小四 Char"/>
    <w:qFormat/>
    <w:uiPriority w:val="0"/>
    <w:rPr>
      <w:rFonts w:ascii="宋体" w:hAnsi="宋体" w:eastAsia="宋体"/>
      <w:kern w:val="2"/>
      <w:sz w:val="24"/>
      <w:lang w:val="en-US" w:eastAsia="zh-CN"/>
    </w:rPr>
  </w:style>
  <w:style w:type="character" w:customStyle="1" w:styleId="2526">
    <w:name w:val="样式 样式 样式 正文 首行缩进 + 首行缩进:  2 字符 行距: 单倍行距 + 首行缩进:  2 字符 + 小四 首行缩进... Char Char"/>
    <w:qFormat/>
    <w:uiPriority w:val="0"/>
    <w:rPr>
      <w:rFonts w:ascii="Calibri" w:hAnsi="Calibri" w:eastAsia="宋体" w:cs="宋体"/>
      <w:kern w:val="2"/>
      <w:sz w:val="24"/>
    </w:rPr>
  </w:style>
  <w:style w:type="character" w:customStyle="1" w:styleId="2527">
    <w:name w:val="Char Char433"/>
    <w:qFormat/>
    <w:uiPriority w:val="0"/>
    <w:rPr>
      <w:rFonts w:ascii="Arial" w:hAnsi="Arial" w:eastAsia="黑体"/>
      <w:b/>
      <w:kern w:val="2"/>
      <w:sz w:val="24"/>
      <w:lang w:val="zh-CN" w:eastAsia="zh-CN" w:bidi="ar-SA"/>
    </w:rPr>
  </w:style>
  <w:style w:type="character" w:customStyle="1" w:styleId="2528">
    <w:name w:val="(.a表格 Char Char"/>
    <w:link w:val="2529"/>
    <w:qFormat/>
    <w:uiPriority w:val="0"/>
    <w:rPr>
      <w:rFonts w:eastAsia="黑体"/>
      <w:sz w:val="24"/>
      <w:szCs w:val="24"/>
    </w:rPr>
  </w:style>
  <w:style w:type="paragraph" w:customStyle="1" w:styleId="2529">
    <w:name w:val="...表格标题"/>
    <w:link w:val="2528"/>
    <w:qFormat/>
    <w:uiPriority w:val="0"/>
    <w:pPr>
      <w:spacing w:line="480" w:lineRule="exact"/>
      <w:jc w:val="center"/>
    </w:pPr>
    <w:rPr>
      <w:rFonts w:ascii="Times New Roman" w:hAnsi="Times New Roman" w:eastAsia="黑体" w:cs="Times New Roman"/>
      <w:sz w:val="24"/>
      <w:szCs w:val="24"/>
      <w:lang w:val="en-US" w:eastAsia="zh-CN" w:bidi="ar-SA"/>
    </w:rPr>
  </w:style>
  <w:style w:type="character" w:customStyle="1" w:styleId="2530">
    <w:name w:val="4 Char"/>
    <w:qFormat/>
    <w:uiPriority w:val="0"/>
    <w:rPr>
      <w:rFonts w:ascii="Times New Roman" w:hAnsi="Times New Roman" w:eastAsia="宋体" w:cs="Times New Roman"/>
      <w:sz w:val="28"/>
      <w:szCs w:val="20"/>
    </w:rPr>
  </w:style>
  <w:style w:type="character" w:customStyle="1" w:styleId="2531">
    <w:name w:val="正文文字 Char Char Char Char Char"/>
    <w:qFormat/>
    <w:uiPriority w:val="0"/>
    <w:rPr>
      <w:rFonts w:eastAsia="Sim Sun"/>
      <w:kern w:val="2"/>
      <w:sz w:val="24"/>
      <w:lang w:val="en-US" w:eastAsia="zh-CN"/>
    </w:rPr>
  </w:style>
  <w:style w:type="character" w:customStyle="1" w:styleId="2532">
    <w:name w:val="Char Char34"/>
    <w:qFormat/>
    <w:uiPriority w:val="0"/>
    <w:rPr>
      <w:rFonts w:hint="eastAsia" w:ascii="黑体" w:eastAsia="黑体"/>
      <w:bCs/>
      <w:kern w:val="2"/>
      <w:sz w:val="28"/>
      <w:szCs w:val="32"/>
      <w:lang w:val="en-US" w:eastAsia="zh-CN" w:bidi="ar-SA"/>
    </w:rPr>
  </w:style>
  <w:style w:type="character" w:customStyle="1" w:styleId="2533">
    <w:name w:val="访问过的超链接3"/>
    <w:qFormat/>
    <w:uiPriority w:val="0"/>
    <w:rPr>
      <w:color w:val="800080"/>
      <w:u w:val="single"/>
    </w:rPr>
  </w:style>
  <w:style w:type="character" w:customStyle="1" w:styleId="2534">
    <w:name w:val="样式 首行缩进:  1 字符 Char Char"/>
    <w:link w:val="2535"/>
    <w:qFormat/>
    <w:uiPriority w:val="0"/>
    <w:rPr>
      <w:rFonts w:ascii="宋体" w:cs="宋体"/>
      <w:snapToGrid w:val="0"/>
      <w:sz w:val="24"/>
      <w:szCs w:val="24"/>
    </w:rPr>
  </w:style>
  <w:style w:type="paragraph" w:customStyle="1" w:styleId="2535">
    <w:name w:val="样式 首行缩进:  1 字符"/>
    <w:basedOn w:val="1"/>
    <w:link w:val="2534"/>
    <w:qFormat/>
    <w:uiPriority w:val="0"/>
    <w:pPr>
      <w:adjustRightInd w:val="0"/>
      <w:snapToGrid w:val="0"/>
      <w:spacing w:line="360" w:lineRule="auto"/>
      <w:ind w:firstLine="200" w:firstLineChars="200"/>
    </w:pPr>
    <w:rPr>
      <w:rFonts w:cs="宋体"/>
      <w:snapToGrid w:val="0"/>
      <w:kern w:val="0"/>
      <w:sz w:val="24"/>
      <w:szCs w:val="24"/>
    </w:rPr>
  </w:style>
  <w:style w:type="character" w:customStyle="1" w:styleId="2536">
    <w:name w:val="样式 居中 段前: 1.55 磅 段后: 1.55 磅 底端: (单实线 自动设置  0.75 磅 行宽)"/>
    <w:qFormat/>
    <w:uiPriority w:val="0"/>
    <w:rPr>
      <w:sz w:val="18"/>
    </w:rPr>
  </w:style>
  <w:style w:type="character" w:customStyle="1" w:styleId="2537">
    <w:name w:val="Char Char162"/>
    <w:qFormat/>
    <w:uiPriority w:val="0"/>
    <w:rPr>
      <w:rFonts w:ascii="Arial" w:hAnsi="Arial" w:eastAsia="黑体"/>
      <w:kern w:val="2"/>
      <w:sz w:val="21"/>
      <w:lang w:val="en-US" w:eastAsia="zh-CN" w:bidi="ar-SA"/>
    </w:rPr>
  </w:style>
  <w:style w:type="character" w:customStyle="1" w:styleId="2538">
    <w:name w:val="一级条 Char2"/>
    <w:qFormat/>
    <w:uiPriority w:val="0"/>
    <w:rPr>
      <w:rFonts w:ascii="ˎ̥" w:hAnsi="ˎ̥" w:eastAsia="Sim Sun"/>
      <w:b/>
      <w:bCs/>
      <w:kern w:val="2"/>
      <w:sz w:val="28"/>
      <w:szCs w:val="32"/>
      <w:lang w:val="en-US" w:eastAsia="zh-CN" w:bidi="ar-SA"/>
    </w:rPr>
  </w:style>
  <w:style w:type="character" w:customStyle="1" w:styleId="2539">
    <w:name w:val="批注框文本 Char Char"/>
    <w:link w:val="2540"/>
    <w:qFormat/>
    <w:uiPriority w:val="0"/>
    <w:rPr>
      <w:sz w:val="18"/>
    </w:rPr>
  </w:style>
  <w:style w:type="paragraph" w:customStyle="1" w:styleId="2540">
    <w:name w:val="批注框文本1"/>
    <w:basedOn w:val="1"/>
    <w:link w:val="2539"/>
    <w:qFormat/>
    <w:uiPriority w:val="0"/>
    <w:rPr>
      <w:rFonts w:ascii="Times New Roman"/>
      <w:kern w:val="0"/>
      <w:sz w:val="18"/>
      <w:szCs w:val="20"/>
    </w:rPr>
  </w:style>
  <w:style w:type="character" w:customStyle="1" w:styleId="2541">
    <w:name w:val="中文报告书样式 Char1"/>
    <w:qFormat/>
    <w:uiPriority w:val="0"/>
    <w:rPr>
      <w:kern w:val="24"/>
      <w:sz w:val="24"/>
    </w:rPr>
  </w:style>
  <w:style w:type="character" w:customStyle="1" w:styleId="2542">
    <w:name w:val="引用 Char"/>
    <w:link w:val="2543"/>
    <w:qFormat/>
    <w:uiPriority w:val="0"/>
    <w:rPr>
      <w:rFonts w:ascii="Calibri" w:hAnsi="Calibri" w:cs="Calibri"/>
      <w:i/>
      <w:sz w:val="24"/>
      <w:szCs w:val="24"/>
      <w:lang w:eastAsia="en-US" w:bidi="en-US"/>
    </w:rPr>
  </w:style>
  <w:style w:type="paragraph" w:customStyle="1" w:styleId="2543">
    <w:name w:val="引用1"/>
    <w:basedOn w:val="1"/>
    <w:next w:val="1"/>
    <w:link w:val="2542"/>
    <w:qFormat/>
    <w:uiPriority w:val="0"/>
    <w:rPr>
      <w:rFonts w:ascii="Calibri" w:hAnsi="Calibri" w:cs="Calibri"/>
      <w:i/>
      <w:kern w:val="0"/>
      <w:sz w:val="24"/>
      <w:szCs w:val="24"/>
      <w:lang w:eastAsia="en-US" w:bidi="en-US"/>
    </w:rPr>
  </w:style>
  <w:style w:type="character" w:customStyle="1" w:styleId="2544">
    <w:name w:val="表格文字 Char Char Char"/>
    <w:qFormat/>
    <w:uiPriority w:val="0"/>
    <w:rPr>
      <w:rFonts w:ascii="Calibri" w:hAnsi="Times New Roman" w:eastAsia="宋体" w:cs="Times New Roman"/>
      <w:spacing w:val="6"/>
      <w:kern w:val="0"/>
      <w:sz w:val="20"/>
      <w:szCs w:val="20"/>
    </w:rPr>
  </w:style>
  <w:style w:type="character" w:customStyle="1" w:styleId="2545">
    <w:name w:val="样式 标题4 + 五号 Char"/>
    <w:qFormat/>
    <w:uiPriority w:val="0"/>
    <w:rPr>
      <w:b/>
      <w:bCs/>
      <w:szCs w:val="32"/>
      <w:lang w:val="zh-CN"/>
    </w:rPr>
  </w:style>
  <w:style w:type="character" w:customStyle="1" w:styleId="2546">
    <w:name w:val="表格文字居中 Char"/>
    <w:link w:val="2547"/>
    <w:qFormat/>
    <w:uiPriority w:val="0"/>
    <w:rPr>
      <w:rFonts w:ascii="Arial Unicode MS" w:hAnsi="Arial Unicode MS"/>
      <w:szCs w:val="24"/>
    </w:rPr>
  </w:style>
  <w:style w:type="paragraph" w:customStyle="1" w:styleId="2547">
    <w:name w:val="表格文字居中"/>
    <w:basedOn w:val="1"/>
    <w:link w:val="2546"/>
    <w:qFormat/>
    <w:uiPriority w:val="0"/>
    <w:pPr>
      <w:widowControl/>
      <w:tabs>
        <w:tab w:val="left" w:pos="-1843"/>
        <w:tab w:val="left" w:pos="1458"/>
        <w:tab w:val="left" w:pos="1727"/>
        <w:tab w:val="left" w:pos="1884"/>
      </w:tabs>
      <w:spacing w:line="360" w:lineRule="exact"/>
      <w:ind w:firstLine="200" w:firstLineChars="200"/>
      <w:jc w:val="center"/>
      <w:textAlignment w:val="bottom"/>
      <w:outlineLvl w:val="0"/>
    </w:pPr>
    <w:rPr>
      <w:rFonts w:ascii="Arial Unicode MS" w:hAnsi="Arial Unicode MS"/>
      <w:kern w:val="0"/>
      <w:sz w:val="20"/>
      <w:szCs w:val="24"/>
    </w:rPr>
  </w:style>
  <w:style w:type="character" w:customStyle="1" w:styleId="2548">
    <w:name w:val="Char Char38"/>
    <w:qFormat/>
    <w:uiPriority w:val="0"/>
    <w:rPr>
      <w:rFonts w:hint="eastAsia" w:ascii="宋体" w:hAnsi="宋体" w:eastAsia="宋体"/>
      <w:kern w:val="2"/>
      <w:sz w:val="24"/>
      <w:lang w:val="en-US" w:eastAsia="zh-CN" w:bidi="ar-SA"/>
    </w:rPr>
  </w:style>
  <w:style w:type="character" w:customStyle="1" w:styleId="2549">
    <w:name w:val="标题2-自建 Char Char"/>
    <w:link w:val="2550"/>
    <w:qFormat/>
    <w:uiPriority w:val="0"/>
    <w:rPr>
      <w:rFonts w:ascii="Arial" w:hAnsi="Arial"/>
      <w:b/>
      <w:sz w:val="28"/>
    </w:rPr>
  </w:style>
  <w:style w:type="paragraph" w:customStyle="1" w:styleId="2550">
    <w:name w:val="标题2-自建"/>
    <w:basedOn w:val="4"/>
    <w:link w:val="2549"/>
    <w:qFormat/>
    <w:uiPriority w:val="0"/>
    <w:pPr>
      <w:tabs>
        <w:tab w:val="left" w:pos="992"/>
      </w:tabs>
      <w:spacing w:before="0" w:after="0" w:line="600" w:lineRule="exact"/>
      <w:jc w:val="left"/>
    </w:pPr>
    <w:rPr>
      <w:rFonts w:ascii="Arial" w:hAnsi="Arial"/>
      <w:bCs w:val="0"/>
      <w:snapToGrid/>
      <w:kern w:val="0"/>
      <w:sz w:val="28"/>
      <w:szCs w:val="20"/>
    </w:rPr>
  </w:style>
  <w:style w:type="character" w:customStyle="1" w:styleId="2551">
    <w:name w:val="正文首行缩进＋湿地 Char Char"/>
    <w:qFormat/>
    <w:uiPriority w:val="0"/>
    <w:rPr>
      <w:rFonts w:ascii="仿宋_GB2312" w:eastAsia="仿宋_GB2312"/>
      <w:sz w:val="28"/>
      <w:lang w:val="en-US" w:eastAsia="zh-CN" w:bidi="ar-SA"/>
    </w:rPr>
  </w:style>
  <w:style w:type="character" w:customStyle="1" w:styleId="2552">
    <w:name w:val="5-正文 Char"/>
    <w:qFormat/>
    <w:uiPriority w:val="0"/>
    <w:rPr>
      <w:rFonts w:ascii="Times New Roman" w:hAnsi="Times New Roman" w:eastAsia="宋体" w:cs="Times New Roman"/>
      <w:kern w:val="0"/>
      <w:sz w:val="24"/>
      <w:szCs w:val="20"/>
      <w:lang w:val="zh-CN" w:eastAsia="zh-CN"/>
    </w:rPr>
  </w:style>
  <w:style w:type="character" w:customStyle="1" w:styleId="2553">
    <w:name w:val="nfont14black"/>
    <w:basedOn w:val="129"/>
    <w:qFormat/>
    <w:uiPriority w:val="0"/>
  </w:style>
  <w:style w:type="character" w:customStyle="1" w:styleId="2554">
    <w:name w:val="Char Char311"/>
    <w:qFormat/>
    <w:uiPriority w:val="0"/>
    <w:rPr>
      <w:rFonts w:hint="default" w:ascii="Arial" w:hAnsi="Arial" w:eastAsia="宋体" w:cs="Arial"/>
      <w:color w:val="000000"/>
      <w:kern w:val="2"/>
      <w:sz w:val="24"/>
      <w:lang w:val="en-US" w:eastAsia="zh-CN"/>
    </w:rPr>
  </w:style>
  <w:style w:type="character" w:customStyle="1" w:styleId="2555">
    <w:name w:val="dan7-1 Char"/>
    <w:qFormat/>
    <w:uiPriority w:val="0"/>
    <w:rPr>
      <w:sz w:val="24"/>
      <w:szCs w:val="24"/>
    </w:rPr>
  </w:style>
  <w:style w:type="character" w:customStyle="1" w:styleId="2556">
    <w:name w:val="条标题1.1.1.1 Char"/>
    <w:qFormat/>
    <w:uiPriority w:val="0"/>
    <w:rPr>
      <w:rFonts w:ascii="ˎ̥" w:hAnsi="ˎ̥" w:eastAsia="Sim Sun"/>
      <w:b/>
      <w:bCs/>
      <w:kern w:val="2"/>
      <w:sz w:val="28"/>
      <w:szCs w:val="28"/>
      <w:lang w:val="en-US" w:eastAsia="zh-CN" w:bidi="ar-SA"/>
    </w:rPr>
  </w:style>
  <w:style w:type="character" w:customStyle="1" w:styleId="2557">
    <w:name w:val="页码4"/>
    <w:basedOn w:val="129"/>
    <w:qFormat/>
    <w:uiPriority w:val="0"/>
  </w:style>
  <w:style w:type="character" w:customStyle="1" w:styleId="2558">
    <w:name w:val="标题 2 Char Char Char Char Char Char Char"/>
    <w:qFormat/>
    <w:uiPriority w:val="0"/>
    <w:rPr>
      <w:rFonts w:ascii="Arial" w:hAnsi="Arial" w:eastAsia="黑体"/>
      <w:b/>
      <w:bCs/>
      <w:kern w:val="2"/>
      <w:sz w:val="32"/>
      <w:szCs w:val="32"/>
      <w:lang w:val="en-US" w:eastAsia="zh-CN" w:bidi="ar-SA"/>
    </w:rPr>
  </w:style>
  <w:style w:type="character" w:customStyle="1" w:styleId="2559">
    <w:name w:val="070706正文样式 Char"/>
    <w:qFormat/>
    <w:uiPriority w:val="0"/>
    <w:rPr>
      <w:rFonts w:ascii="宋体" w:hAnsi="宋体"/>
      <w:snapToGrid w:val="0"/>
      <w:sz w:val="24"/>
    </w:rPr>
  </w:style>
  <w:style w:type="character" w:customStyle="1" w:styleId="2560">
    <w:name w:val="newstitle"/>
    <w:basedOn w:val="129"/>
    <w:qFormat/>
    <w:uiPriority w:val="0"/>
  </w:style>
  <w:style w:type="character" w:customStyle="1" w:styleId="2561">
    <w:name w:val="样式8 Char"/>
    <w:qFormat/>
    <w:uiPriority w:val="0"/>
    <w:rPr>
      <w:rFonts w:ascii="宋体" w:hAnsi="宋体"/>
      <w:sz w:val="18"/>
    </w:rPr>
  </w:style>
  <w:style w:type="character" w:customStyle="1" w:styleId="2562">
    <w:name w:val="v-split2"/>
    <w:qFormat/>
    <w:uiPriority w:val="0"/>
    <w:rPr>
      <w:color w:val="C1C1C1"/>
    </w:rPr>
  </w:style>
  <w:style w:type="character" w:customStyle="1" w:styleId="2563">
    <w:name w:val="标题-4 Char"/>
    <w:qFormat/>
    <w:uiPriority w:val="0"/>
    <w:rPr>
      <w:rFonts w:ascii="幼圆" w:hAnsi="幼圆" w:eastAsia="FLGPEK+TimesNewRoman,Italic" w:cs="ˎ̥"/>
      <w:b/>
      <w:sz w:val="24"/>
      <w:szCs w:val="24"/>
    </w:rPr>
  </w:style>
  <w:style w:type="character" w:customStyle="1" w:styleId="2564">
    <w:name w:val="信息标题 Char1"/>
    <w:semiHidden/>
    <w:qFormat/>
    <w:uiPriority w:val="0"/>
    <w:rPr>
      <w:rFonts w:ascii="Cambria" w:hAnsi="Cambria" w:eastAsia="宋体" w:cs="Times New Roman"/>
      <w:sz w:val="24"/>
      <w:szCs w:val="24"/>
      <w:shd w:val="pct20" w:color="auto" w:fill="auto"/>
    </w:rPr>
  </w:style>
  <w:style w:type="character" w:customStyle="1" w:styleId="2565">
    <w:name w:val="Char Char432"/>
    <w:qFormat/>
    <w:uiPriority w:val="0"/>
    <w:rPr>
      <w:rFonts w:ascii="Arial" w:hAnsi="Arial" w:eastAsia="黑体"/>
      <w:b/>
      <w:kern w:val="2"/>
      <w:sz w:val="24"/>
      <w:lang w:val="zh-CN" w:eastAsia="zh-CN" w:bidi="ar-SA"/>
    </w:rPr>
  </w:style>
  <w:style w:type="character" w:customStyle="1" w:styleId="2566">
    <w:name w:val="Char Char522"/>
    <w:qFormat/>
    <w:uiPriority w:val="0"/>
    <w:rPr>
      <w:kern w:val="2"/>
      <w:sz w:val="18"/>
      <w:szCs w:val="18"/>
    </w:rPr>
  </w:style>
  <w:style w:type="character" w:customStyle="1" w:styleId="2567">
    <w:name w:val="样式 样式 样式 正文 首行缩进 + 首行缩进:  2 字符 行距: 单倍行距 + 首行缩进:  2 字符 + 小四 首行缩进... Char Char Char"/>
    <w:qFormat/>
    <w:uiPriority w:val="0"/>
    <w:rPr>
      <w:rFonts w:ascii="Calibri" w:hAnsi="Times New Roman" w:eastAsia="宋体" w:cs="宋体"/>
      <w:kern w:val="2"/>
      <w:sz w:val="24"/>
    </w:rPr>
  </w:style>
  <w:style w:type="character" w:customStyle="1" w:styleId="2568">
    <w:name w:val="表格文字 Char1"/>
    <w:qFormat/>
    <w:uiPriority w:val="0"/>
    <w:rPr>
      <w:rFonts w:ascii="Sim Sun" w:hAnsi="DFKai-SB" w:eastAsia="Sim Sun" w:cs="DFKai-SB"/>
      <w:kern w:val="2"/>
      <w:sz w:val="21"/>
      <w:szCs w:val="21"/>
      <w:lang w:val="en-US" w:eastAsia="zh-CN" w:bidi="ar-SA"/>
    </w:rPr>
  </w:style>
  <w:style w:type="character" w:customStyle="1" w:styleId="2569">
    <w:name w:val="样式 标题 1 + 黑体 三号 Char"/>
    <w:link w:val="2570"/>
    <w:qFormat/>
    <w:uiPriority w:val="0"/>
    <w:rPr>
      <w:rFonts w:ascii="黑体" w:hAnsi="黑体" w:eastAsia="黑体"/>
      <w:b/>
      <w:bCs/>
      <w:kern w:val="44"/>
      <w:sz w:val="32"/>
      <w:szCs w:val="44"/>
    </w:rPr>
  </w:style>
  <w:style w:type="paragraph" w:customStyle="1" w:styleId="2570">
    <w:name w:val="样式 标题 1 + 黑体 三号"/>
    <w:basedOn w:val="3"/>
    <w:link w:val="2569"/>
    <w:qFormat/>
    <w:uiPriority w:val="0"/>
    <w:pPr>
      <w:tabs>
        <w:tab w:val="left" w:pos="425"/>
      </w:tabs>
      <w:spacing w:beforeLines="0" w:after="330" w:line="578" w:lineRule="auto"/>
      <w:ind w:left="100" w:leftChars="100" w:right="100" w:rightChars="100" w:hanging="425"/>
    </w:pPr>
    <w:rPr>
      <w:rFonts w:ascii="黑体" w:hAnsi="黑体"/>
      <w:b/>
      <w:bCs/>
      <w:snapToGrid/>
      <w:sz w:val="32"/>
      <w:szCs w:val="44"/>
    </w:rPr>
  </w:style>
  <w:style w:type="character" w:customStyle="1" w:styleId="2571">
    <w:name w:val="正文（首行缩进两字） Char Char6"/>
    <w:qFormat/>
    <w:uiPriority w:val="0"/>
    <w:rPr>
      <w:rFonts w:ascii="仿宋_GB2312" w:eastAsia="仿宋_GB2312"/>
      <w:kern w:val="2"/>
      <w:sz w:val="28"/>
      <w:szCs w:val="24"/>
      <w:lang w:val="en-US" w:eastAsia="zh-CN" w:bidi="ar-SA"/>
    </w:rPr>
  </w:style>
  <w:style w:type="character" w:customStyle="1" w:styleId="2572">
    <w:name w:val="Char Char26"/>
    <w:qFormat/>
    <w:uiPriority w:val="0"/>
    <w:rPr>
      <w:rFonts w:hint="eastAsia" w:ascii="宋体" w:hAnsi="宋体" w:eastAsia="宋体"/>
      <w:kern w:val="2"/>
      <w:sz w:val="18"/>
      <w:szCs w:val="24"/>
      <w:lang w:val="en-US" w:eastAsia="zh-CN" w:bidi="ar-SA"/>
    </w:rPr>
  </w:style>
  <w:style w:type="character" w:customStyle="1" w:styleId="2573">
    <w:name w:val="文本框小四 Char Char"/>
    <w:semiHidden/>
    <w:qFormat/>
    <w:uiPriority w:val="0"/>
    <w:rPr>
      <w:rFonts w:hint="eastAsia" w:ascii="仿宋_GB2312" w:eastAsia="仿宋_GB2312"/>
      <w:sz w:val="24"/>
      <w:szCs w:val="24"/>
    </w:rPr>
  </w:style>
  <w:style w:type="character" w:customStyle="1" w:styleId="2574">
    <w:name w:val="样式 标题 2 + Times New Roman Char"/>
    <w:qFormat/>
    <w:uiPriority w:val="0"/>
    <w:rPr>
      <w:rFonts w:eastAsia="黑体"/>
      <w:b/>
      <w:bCs/>
      <w:sz w:val="28"/>
      <w:szCs w:val="32"/>
      <w:lang w:val="zh-CN"/>
    </w:rPr>
  </w:style>
  <w:style w:type="character" w:customStyle="1" w:styleId="2575">
    <w:name w:val="fr21"/>
    <w:qFormat/>
    <w:uiPriority w:val="0"/>
    <w:rPr>
      <w:rFonts w:hint="default" w:ascii="Century Schoolbook" w:hAnsi="Century Schoolbook"/>
      <w:color w:val="333333"/>
      <w:sz w:val="18"/>
      <w:szCs w:val="18"/>
    </w:rPr>
  </w:style>
  <w:style w:type="character" w:customStyle="1" w:styleId="2576">
    <w:name w:val="Char Char481"/>
    <w:qFormat/>
    <w:uiPriority w:val="0"/>
    <w:rPr>
      <w:rFonts w:ascii="Arial" w:hAnsi="Arial" w:eastAsia="宋体"/>
      <w:kern w:val="2"/>
      <w:sz w:val="24"/>
      <w:szCs w:val="24"/>
      <w:lang w:val="en-US" w:eastAsia="zh-CN" w:bidi="ar-SA"/>
    </w:rPr>
  </w:style>
  <w:style w:type="character" w:customStyle="1" w:styleId="2577">
    <w:name w:val="目录 2 Char1"/>
    <w:qFormat/>
    <w:uiPriority w:val="0"/>
    <w:rPr>
      <w:rFonts w:eastAsia="宋体-方正超大字符集"/>
      <w:bCs/>
      <w:smallCaps/>
      <w:kern w:val="2"/>
      <w:sz w:val="24"/>
      <w:szCs w:val="21"/>
      <w:lang w:val="en-US" w:eastAsia="zh-CN" w:bidi="ar-SA"/>
    </w:rPr>
  </w:style>
  <w:style w:type="character" w:customStyle="1" w:styleId="2578">
    <w:name w:val="正文dg Char Char Char"/>
    <w:qFormat/>
    <w:uiPriority w:val="0"/>
    <w:rPr>
      <w:rFonts w:ascii="新宋体" w:hAnsi="新宋体" w:eastAsia="新宋体"/>
      <w:kern w:val="2"/>
      <w:sz w:val="24"/>
      <w:szCs w:val="24"/>
      <w:lang w:val="en-US" w:eastAsia="zh-CN" w:bidi="ar-SA"/>
    </w:rPr>
  </w:style>
  <w:style w:type="character" w:customStyle="1" w:styleId="2579">
    <w:name w:val="Char Char112"/>
    <w:qFormat/>
    <w:uiPriority w:val="0"/>
    <w:rPr>
      <w:rFonts w:ascii="宋体" w:hAnsi="Courier New" w:eastAsia="宋体" w:cs="Courier New"/>
      <w:kern w:val="2"/>
      <w:sz w:val="21"/>
      <w:szCs w:val="21"/>
      <w:lang w:val="en-US" w:eastAsia="zh-CN" w:bidi="ar-SA"/>
    </w:rPr>
  </w:style>
  <w:style w:type="character" w:customStyle="1" w:styleId="2580">
    <w:name w:val="表 头 Char1"/>
    <w:link w:val="2581"/>
    <w:qFormat/>
    <w:uiPriority w:val="0"/>
    <w:rPr>
      <w:rFonts w:eastAsia="黑体"/>
      <w:spacing w:val="10"/>
      <w:sz w:val="24"/>
    </w:rPr>
  </w:style>
  <w:style w:type="paragraph" w:customStyle="1" w:styleId="2581">
    <w:name w:val="表 头"/>
    <w:basedOn w:val="1"/>
    <w:link w:val="2580"/>
    <w:qFormat/>
    <w:uiPriority w:val="0"/>
    <w:pPr>
      <w:adjustRightInd w:val="0"/>
      <w:spacing w:before="120" w:after="120" w:line="360" w:lineRule="atLeast"/>
      <w:jc w:val="center"/>
    </w:pPr>
    <w:rPr>
      <w:rFonts w:ascii="Times New Roman" w:eastAsia="黑体"/>
      <w:spacing w:val="10"/>
      <w:kern w:val="0"/>
      <w:sz w:val="24"/>
      <w:szCs w:val="20"/>
    </w:rPr>
  </w:style>
  <w:style w:type="character" w:customStyle="1" w:styleId="2582">
    <w:name w:val="Char Char121"/>
    <w:qFormat/>
    <w:uiPriority w:val="0"/>
    <w:rPr>
      <w:rFonts w:eastAsia="FLGPEK+TimesNewRoman,Italic"/>
      <w:kern w:val="2"/>
      <w:sz w:val="21"/>
      <w:szCs w:val="24"/>
      <w:lang w:val="en-US" w:eastAsia="zh-CN" w:bidi="ar-SA"/>
    </w:rPr>
  </w:style>
  <w:style w:type="character" w:customStyle="1" w:styleId="2583">
    <w:name w:val="style12"/>
    <w:basedOn w:val="129"/>
    <w:qFormat/>
    <w:uiPriority w:val="0"/>
  </w:style>
  <w:style w:type="character" w:customStyle="1" w:styleId="2584">
    <w:name w:val="标题2-自建可研 Char Char"/>
    <w:link w:val="2585"/>
    <w:qFormat/>
    <w:uiPriority w:val="0"/>
    <w:rPr>
      <w:rFonts w:ascii="Arial" w:hAnsi="Arial"/>
      <w:b/>
      <w:bCs/>
      <w:sz w:val="28"/>
    </w:rPr>
  </w:style>
  <w:style w:type="paragraph" w:customStyle="1" w:styleId="2585">
    <w:name w:val="标题2-自建可研"/>
    <w:basedOn w:val="2550"/>
    <w:link w:val="2584"/>
    <w:qFormat/>
    <w:uiPriority w:val="0"/>
    <w:pPr>
      <w:jc w:val="center"/>
    </w:pPr>
    <w:rPr>
      <w:bCs/>
    </w:rPr>
  </w:style>
  <w:style w:type="character" w:customStyle="1" w:styleId="2586">
    <w:name w:val="word221"/>
    <w:basedOn w:val="129"/>
    <w:qFormat/>
    <w:uiPriority w:val="0"/>
  </w:style>
  <w:style w:type="character" w:customStyle="1" w:styleId="2587">
    <w:name w:val="普通文字 Char Char Char Char Char C Char Char Char Char Char Char Char"/>
    <w:semiHidden/>
    <w:qFormat/>
    <w:uiPriority w:val="0"/>
    <w:rPr>
      <w:rFonts w:hint="default" w:ascii="Courier New" w:hAnsi="Courier New" w:cs="宋体"/>
      <w:sz w:val="28"/>
      <w:szCs w:val="24"/>
    </w:rPr>
  </w:style>
  <w:style w:type="character" w:customStyle="1" w:styleId="2588">
    <w:name w:val="attach-title1"/>
    <w:qFormat/>
    <w:uiPriority w:val="0"/>
    <w:rPr>
      <w:b/>
      <w:bCs/>
      <w:color w:val="008080"/>
      <w:sz w:val="27"/>
      <w:szCs w:val="27"/>
    </w:rPr>
  </w:style>
  <w:style w:type="character" w:customStyle="1" w:styleId="2589">
    <w:name w:val="正文段落（宋旭峰） Char Char Char"/>
    <w:qFormat/>
    <w:uiPriority w:val="0"/>
    <w:rPr>
      <w:rFonts w:eastAsia="宋体"/>
      <w:snapToGrid w:val="0"/>
      <w:sz w:val="24"/>
      <w:lang w:val="en-US" w:eastAsia="zh-CN"/>
    </w:rPr>
  </w:style>
  <w:style w:type="character" w:customStyle="1" w:styleId="2590">
    <w:name w:val="文本正文 Char Char"/>
    <w:qFormat/>
    <w:uiPriority w:val="0"/>
    <w:rPr>
      <w:kern w:val="2"/>
      <w:sz w:val="24"/>
      <w:szCs w:val="24"/>
      <w:lang w:bidi="ar-SA"/>
    </w:rPr>
  </w:style>
  <w:style w:type="character" w:customStyle="1" w:styleId="2591">
    <w:name w:val="表内小5 Char"/>
    <w:qFormat/>
    <w:uiPriority w:val="0"/>
    <w:rPr>
      <w:rFonts w:ascii="宋体" w:hAnsi="宋体" w:eastAsia="宋体"/>
      <w:kern w:val="2"/>
      <w:sz w:val="18"/>
      <w:szCs w:val="24"/>
      <w:lang w:val="en-US" w:eastAsia="zh-CN" w:bidi="ar-SA"/>
    </w:rPr>
  </w:style>
  <w:style w:type="character" w:customStyle="1" w:styleId="2592">
    <w:name w:val="表格格 Char"/>
    <w:link w:val="2593"/>
    <w:qFormat/>
    <w:uiPriority w:val="0"/>
    <w:rPr>
      <w:rFonts w:ascii="宋体" w:hAnsi="宋体"/>
      <w:snapToGrid w:val="0"/>
      <w:sz w:val="24"/>
      <w:szCs w:val="24"/>
    </w:rPr>
  </w:style>
  <w:style w:type="paragraph" w:customStyle="1" w:styleId="2593">
    <w:name w:val="表格格"/>
    <w:basedOn w:val="282"/>
    <w:link w:val="2592"/>
    <w:qFormat/>
    <w:uiPriority w:val="0"/>
    <w:pPr>
      <w:snapToGrid w:val="0"/>
      <w:spacing w:line="240" w:lineRule="auto"/>
      <w:textAlignment w:val="baseline"/>
    </w:pPr>
    <w:rPr>
      <w:rFonts w:ascii="宋体" w:hAnsi="宋体"/>
      <w:snapToGrid w:val="0"/>
      <w:szCs w:val="24"/>
    </w:rPr>
  </w:style>
  <w:style w:type="character" w:customStyle="1" w:styleId="2594">
    <w:name w:val="mark正文 Char"/>
    <w:qFormat/>
    <w:uiPriority w:val="0"/>
    <w:rPr>
      <w:sz w:val="28"/>
      <w:szCs w:val="28"/>
    </w:rPr>
  </w:style>
  <w:style w:type="character" w:customStyle="1" w:styleId="2595">
    <w:name w:val="Char Char36"/>
    <w:qFormat/>
    <w:uiPriority w:val="0"/>
    <w:rPr>
      <w:rFonts w:eastAsia="黑体"/>
      <w:b/>
      <w:kern w:val="2"/>
      <w:sz w:val="28"/>
      <w:lang w:val="en-US" w:eastAsia="zh-CN" w:bidi="ar-SA"/>
    </w:rPr>
  </w:style>
  <w:style w:type="character" w:customStyle="1" w:styleId="2596">
    <w:name w:val="1应急预案 正文 Char Char"/>
    <w:link w:val="2597"/>
    <w:qFormat/>
    <w:uiPriority w:val="0"/>
    <w:rPr>
      <w:rFonts w:ascii="Verdana" w:hAnsi="Verdana" w:eastAsia="仿宋_GB2312"/>
      <w:sz w:val="28"/>
      <w:szCs w:val="28"/>
    </w:rPr>
  </w:style>
  <w:style w:type="paragraph" w:customStyle="1" w:styleId="2597">
    <w:name w:val="1应急预案 正文"/>
    <w:basedOn w:val="1"/>
    <w:link w:val="2596"/>
    <w:qFormat/>
    <w:uiPriority w:val="0"/>
    <w:pPr>
      <w:spacing w:beforeLines="50" w:afterLines="50" w:line="360" w:lineRule="auto"/>
      <w:ind w:firstLine="560" w:firstLineChars="200"/>
    </w:pPr>
    <w:rPr>
      <w:rFonts w:ascii="Verdana" w:hAnsi="Verdana" w:eastAsia="仿宋_GB2312"/>
      <w:kern w:val="0"/>
      <w:sz w:val="28"/>
      <w:szCs w:val="28"/>
    </w:rPr>
  </w:style>
  <w:style w:type="character" w:customStyle="1" w:styleId="2598">
    <w:name w:val="一般正文 Char1"/>
    <w:link w:val="2599"/>
    <w:qFormat/>
    <w:uiPriority w:val="0"/>
    <w:rPr>
      <w:rFonts w:ascii="Sim Sun" w:hAnsi="Sim Sun" w:eastAsia="Sim Sun"/>
      <w:sz w:val="28"/>
    </w:rPr>
  </w:style>
  <w:style w:type="paragraph" w:customStyle="1" w:styleId="2599">
    <w:name w:val="一般正文"/>
    <w:basedOn w:val="1"/>
    <w:link w:val="2598"/>
    <w:qFormat/>
    <w:uiPriority w:val="0"/>
    <w:pPr>
      <w:spacing w:before="120" w:after="120" w:line="360" w:lineRule="auto"/>
      <w:ind w:right="1" w:rightChars="1" w:firstLine="560" w:firstLineChars="200"/>
    </w:pPr>
    <w:rPr>
      <w:rFonts w:ascii="Sim Sun" w:hAnsi="Sim Sun" w:eastAsia="Sim Sun"/>
      <w:kern w:val="0"/>
      <w:sz w:val="28"/>
      <w:szCs w:val="20"/>
    </w:rPr>
  </w:style>
  <w:style w:type="character" w:customStyle="1" w:styleId="2600">
    <w:name w:val="word1"/>
    <w:basedOn w:val="129"/>
    <w:qFormat/>
    <w:uiPriority w:val="0"/>
  </w:style>
  <w:style w:type="character" w:customStyle="1" w:styleId="2601">
    <w:name w:val="Char Char48"/>
    <w:qFormat/>
    <w:uiPriority w:val="0"/>
    <w:rPr>
      <w:rFonts w:ascii="Arial" w:hAnsi="Arial" w:eastAsia="宋体"/>
      <w:kern w:val="2"/>
      <w:sz w:val="24"/>
      <w:szCs w:val="24"/>
      <w:lang w:val="en-US" w:eastAsia="zh-CN" w:bidi="ar-SA"/>
    </w:rPr>
  </w:style>
  <w:style w:type="character" w:customStyle="1" w:styleId="2602">
    <w:name w:val="样式 样式 样式 样式 正文 首行缩进 + 首行缩进:  2 字符 行距: 单倍行距 + 首行缩进:  2 字符 + 小四 首行...1 Char Char"/>
    <w:qFormat/>
    <w:uiPriority w:val="0"/>
    <w:rPr>
      <w:rFonts w:ascii="Calibri" w:hAnsi="Calibri" w:eastAsia="宋体" w:cs="宋体"/>
      <w:kern w:val="2"/>
      <w:sz w:val="24"/>
    </w:rPr>
  </w:style>
  <w:style w:type="character" w:customStyle="1" w:styleId="2603">
    <w:name w:val="标题 12 Char Char"/>
    <w:qFormat/>
    <w:uiPriority w:val="0"/>
    <w:rPr>
      <w:rFonts w:ascii="Arial" w:hAnsi="Arial" w:eastAsia="黑体"/>
      <w:b/>
      <w:bCs/>
      <w:kern w:val="2"/>
      <w:sz w:val="32"/>
      <w:szCs w:val="32"/>
      <w:lang w:val="en-US" w:eastAsia="zh-CN" w:bidi="ar-SA"/>
    </w:rPr>
  </w:style>
  <w:style w:type="character" w:customStyle="1" w:styleId="2604">
    <w:name w:val="Char Char47"/>
    <w:qFormat/>
    <w:uiPriority w:val="0"/>
    <w:rPr>
      <w:rFonts w:hint="default" w:ascii="Verdana" w:hAnsi="Verdana"/>
      <w:kern w:val="2"/>
      <w:sz w:val="21"/>
      <w:lang w:bidi="ar-SA"/>
    </w:rPr>
  </w:style>
  <w:style w:type="character" w:customStyle="1" w:styleId="2605">
    <w:name w:val="BG5 Char Char"/>
    <w:link w:val="2606"/>
    <w:qFormat/>
    <w:uiPriority w:val="0"/>
    <w:rPr>
      <w:rFonts w:ascii="@宋体" w:eastAsia="楷体_GB2312"/>
      <w:b/>
      <w:sz w:val="24"/>
    </w:rPr>
  </w:style>
  <w:style w:type="paragraph" w:customStyle="1" w:styleId="2606">
    <w:name w:val="BG5"/>
    <w:basedOn w:val="1"/>
    <w:link w:val="2605"/>
    <w:qFormat/>
    <w:uiPriority w:val="0"/>
    <w:pPr>
      <w:autoSpaceDE w:val="0"/>
      <w:autoSpaceDN w:val="0"/>
      <w:adjustRightInd w:val="0"/>
      <w:spacing w:line="360" w:lineRule="auto"/>
      <w:jc w:val="center"/>
      <w:textAlignment w:val="baseline"/>
    </w:pPr>
    <w:rPr>
      <w:rFonts w:ascii="@宋体" w:eastAsia="楷体_GB2312"/>
      <w:b/>
      <w:kern w:val="0"/>
      <w:sz w:val="24"/>
      <w:szCs w:val="20"/>
    </w:rPr>
  </w:style>
  <w:style w:type="character" w:customStyle="1" w:styleId="2607">
    <w:name w:val="表格 Char Char Char Char Char"/>
    <w:qFormat/>
    <w:uiPriority w:val="0"/>
    <w:rPr>
      <w:rFonts w:ascii="Tahoma" w:hAnsi="Tahoma" w:eastAsia="宋体" w:cs="Tahoma"/>
      <w:kern w:val="2"/>
      <w:szCs w:val="21"/>
    </w:rPr>
  </w:style>
  <w:style w:type="character" w:customStyle="1" w:styleId="2608">
    <w:name w:val="正文条款 Char Char"/>
    <w:link w:val="2609"/>
    <w:qFormat/>
    <w:uiPriority w:val="0"/>
    <w:rPr>
      <w:rFonts w:ascii="Verdana" w:hAnsi="Verdana"/>
      <w:sz w:val="24"/>
      <w:szCs w:val="28"/>
    </w:rPr>
  </w:style>
  <w:style w:type="paragraph" w:customStyle="1" w:styleId="2609">
    <w:name w:val="正文条款"/>
    <w:basedOn w:val="1"/>
    <w:link w:val="2608"/>
    <w:qFormat/>
    <w:uiPriority w:val="0"/>
    <w:pPr>
      <w:spacing w:line="360" w:lineRule="exact"/>
      <w:ind w:left="1617" w:leftChars="770"/>
    </w:pPr>
    <w:rPr>
      <w:rFonts w:ascii="Verdana" w:hAnsi="Verdana"/>
      <w:kern w:val="0"/>
      <w:sz w:val="24"/>
      <w:szCs w:val="28"/>
    </w:rPr>
  </w:style>
  <w:style w:type="character" w:customStyle="1" w:styleId="2610">
    <w:name w:val="9dpi1"/>
    <w:qFormat/>
    <w:uiPriority w:val="0"/>
    <w:rPr>
      <w:spacing w:val="30"/>
      <w:sz w:val="18"/>
      <w:szCs w:val="18"/>
    </w:rPr>
  </w:style>
  <w:style w:type="character" w:customStyle="1" w:styleId="2611">
    <w:name w:val="10"/>
    <w:qFormat/>
    <w:uiPriority w:val="0"/>
    <w:rPr>
      <w:rFonts w:hint="default" w:ascii="Times New Roman" w:hAnsi="Times New Roman" w:cs="Times New Roman"/>
      <w:sz w:val="20"/>
      <w:szCs w:val="20"/>
    </w:rPr>
  </w:style>
  <w:style w:type="character" w:customStyle="1" w:styleId="2612">
    <w:name w:val="3zw1"/>
    <w:qFormat/>
    <w:uiPriority w:val="0"/>
    <w:rPr>
      <w:color w:val="000000"/>
      <w:sz w:val="21"/>
      <w:szCs w:val="21"/>
    </w:rPr>
  </w:style>
  <w:style w:type="character" w:customStyle="1" w:styleId="2613">
    <w:name w:val="引用文章 Char"/>
    <w:qFormat/>
    <w:uiPriority w:val="0"/>
    <w:rPr>
      <w:rFonts w:eastAsia="楷体_GB2312" w:cs="宋体"/>
      <w:kern w:val="2"/>
      <w:sz w:val="24"/>
      <w:lang w:val="en-US" w:eastAsia="zh-CN" w:bidi="ar-SA"/>
    </w:rPr>
  </w:style>
  <w:style w:type="character" w:customStyle="1" w:styleId="2614">
    <w:name w:val="标题 2XW Char Char"/>
    <w:qFormat/>
    <w:uiPriority w:val="0"/>
    <w:rPr>
      <w:rFonts w:eastAsia="宋体"/>
      <w:b/>
      <w:kern w:val="2"/>
      <w:sz w:val="30"/>
      <w:lang w:val="en-US" w:eastAsia="zh-CN" w:bidi="ar-SA"/>
    </w:rPr>
  </w:style>
  <w:style w:type="character" w:customStyle="1" w:styleId="2615">
    <w:name w:val="正文 Char"/>
    <w:qFormat/>
    <w:uiPriority w:val="0"/>
    <w:rPr>
      <w:rFonts w:eastAsia="宋体"/>
      <w:kern w:val="2"/>
      <w:sz w:val="24"/>
      <w:lang w:val="en-US" w:eastAsia="zh-CN"/>
    </w:rPr>
  </w:style>
  <w:style w:type="character" w:customStyle="1" w:styleId="2616">
    <w:name w:val="样式表 Char Char Char"/>
    <w:qFormat/>
    <w:uiPriority w:val="0"/>
    <w:rPr>
      <w:rFonts w:ascii="Calibri" w:hAnsi="Times New Roman" w:eastAsia="宋体" w:cs="Times New Roman"/>
      <w:b/>
      <w:snapToGrid w:val="0"/>
      <w:szCs w:val="21"/>
    </w:rPr>
  </w:style>
  <w:style w:type="character" w:customStyle="1" w:styleId="2617">
    <w:name w:val="新标题4 Char"/>
    <w:link w:val="2618"/>
    <w:qFormat/>
    <w:uiPriority w:val="0"/>
    <w:rPr>
      <w:rFonts w:ascii="ˎ̥" w:hAnsi="ˎ̥"/>
      <w:b/>
      <w:bCs/>
      <w:spacing w:val="8"/>
      <w:sz w:val="24"/>
    </w:rPr>
  </w:style>
  <w:style w:type="paragraph" w:customStyle="1" w:styleId="2618">
    <w:name w:val="新标题4"/>
    <w:basedOn w:val="6"/>
    <w:link w:val="2617"/>
    <w:qFormat/>
    <w:uiPriority w:val="0"/>
    <w:pPr>
      <w:keepNext/>
      <w:keepLines/>
      <w:tabs>
        <w:tab w:val="left" w:pos="512"/>
        <w:tab w:val="left" w:pos="1024"/>
        <w:tab w:val="left" w:pos="1583"/>
        <w:tab w:val="left" w:pos="2356"/>
        <w:tab w:val="clear" w:pos="360"/>
        <w:tab w:val="clear" w:pos="2207"/>
      </w:tabs>
      <w:overflowPunct w:val="0"/>
      <w:topLinePunct/>
      <w:autoSpaceDE w:val="0"/>
      <w:autoSpaceDN w:val="0"/>
      <w:adjustRightInd w:val="0"/>
      <w:snapToGrid w:val="0"/>
      <w:spacing w:beforeLines="0" w:afterLines="0" w:line="440" w:lineRule="exact"/>
      <w:ind w:left="1583" w:hanging="851" w:firstLineChars="200"/>
      <w:jc w:val="left"/>
    </w:pPr>
    <w:rPr>
      <w:rFonts w:ascii="ˎ̥" w:hAnsi="ˎ̥" w:eastAsia="宋体"/>
      <w:b/>
      <w:bCs/>
      <w:snapToGrid/>
      <w:color w:val="auto"/>
      <w:spacing w:val="8"/>
      <w:kern w:val="0"/>
      <w:szCs w:val="20"/>
    </w:rPr>
  </w:style>
  <w:style w:type="character" w:customStyle="1" w:styleId="2619">
    <w:name w:val="样式 标题 2标题2二级 标题 2H2h2第一层条标题 2 Char节标题节11 Char标题 2 Cha...3 Char"/>
    <w:qFormat/>
    <w:uiPriority w:val="0"/>
    <w:rPr>
      <w:rFonts w:ascii="Arial" w:hAnsi="Arial"/>
      <w:b/>
    </w:rPr>
  </w:style>
  <w:style w:type="character" w:customStyle="1" w:styleId="2620">
    <w:name w:val="样式 正文文字 + 首行缩进:  2 字符 行距: 最小值 24 磅 Char Char"/>
    <w:qFormat/>
    <w:uiPriority w:val="0"/>
    <w:rPr>
      <w:rFonts w:hAnsi="Calibri" w:cs="宋体"/>
      <w:color w:val="000000"/>
      <w:sz w:val="24"/>
      <w:u w:color="000000"/>
    </w:rPr>
  </w:style>
  <w:style w:type="character" w:customStyle="1" w:styleId="2621">
    <w:name w:val="样式 正文A + (中文) PMingLiU Char Char"/>
    <w:qFormat/>
    <w:uiPriority w:val="0"/>
    <w:rPr>
      <w:rFonts w:hint="eastAsia" w:ascii="Sim Sun" w:hAnsi="Sim Sun" w:eastAsia="Sim Sun" w:cs="Sim Sun"/>
      <w:kern w:val="2"/>
      <w:sz w:val="24"/>
      <w:szCs w:val="24"/>
      <w:lang w:val="en-US" w:eastAsia="zh-CN" w:bidi="ar-SA"/>
    </w:rPr>
  </w:style>
  <w:style w:type="character" w:customStyle="1" w:styleId="2622">
    <w:name w:val="标题 9 Char Char Char"/>
    <w:qFormat/>
    <w:uiPriority w:val="0"/>
    <w:rPr>
      <w:rFonts w:ascii="Arial" w:hAnsi="Arial" w:eastAsia="黑体"/>
      <w:kern w:val="2"/>
      <w:sz w:val="21"/>
      <w:szCs w:val="21"/>
      <w:lang w:val="en-US" w:eastAsia="zh-CN" w:bidi="ar-SA"/>
    </w:rPr>
  </w:style>
  <w:style w:type="character" w:customStyle="1" w:styleId="2623">
    <w:name w:val="1级标题 Char"/>
    <w:qFormat/>
    <w:uiPriority w:val="0"/>
    <w:rPr>
      <w:rFonts w:eastAsia="宋体"/>
      <w:b/>
      <w:kern w:val="44"/>
      <w:sz w:val="44"/>
      <w:lang w:val="en-US" w:eastAsia="zh-CN"/>
    </w:rPr>
  </w:style>
  <w:style w:type="character" w:customStyle="1" w:styleId="2624">
    <w:name w:val="syh2级标题 Char"/>
    <w:qFormat/>
    <w:uiPriority w:val="0"/>
    <w:rPr>
      <w:rFonts w:ascii="黑体" w:hAnsi="宋体" w:eastAsia="黑体"/>
      <w:b/>
      <w:sz w:val="28"/>
      <w:szCs w:val="28"/>
      <w:lang w:val="zh-CN"/>
    </w:rPr>
  </w:style>
  <w:style w:type="character" w:customStyle="1" w:styleId="2625">
    <w:name w:val="样式 正文文本缩进 2正文文字缩进 2 + 四号 蓝色 Char Char Char"/>
    <w:qFormat/>
    <w:uiPriority w:val="0"/>
    <w:rPr>
      <w:rFonts w:ascii="Times New Roman" w:hAnsi="Times New Roman" w:eastAsia="宋体" w:cs="Times New Roman"/>
      <w:color w:val="0000FF"/>
      <w:kern w:val="0"/>
      <w:sz w:val="24"/>
      <w:szCs w:val="24"/>
    </w:rPr>
  </w:style>
  <w:style w:type="character" w:customStyle="1" w:styleId="2626">
    <w:name w:val="注释标题 Char2"/>
    <w:semiHidden/>
    <w:qFormat/>
    <w:uiPriority w:val="0"/>
    <w:rPr>
      <w:rFonts w:ascii="Times New Roman" w:hAnsi="Times New Roman" w:eastAsia="宋体" w:cs="Times New Roman"/>
      <w:szCs w:val="20"/>
    </w:rPr>
  </w:style>
  <w:style w:type="character" w:customStyle="1" w:styleId="2627">
    <w:name w:val="样式7 Char"/>
    <w:qFormat/>
    <w:uiPriority w:val="0"/>
    <w:rPr>
      <w:rFonts w:ascii="宋体" w:hAnsi="宋体" w:cs="宋体"/>
      <w:color w:val="000000"/>
      <w:sz w:val="24"/>
      <w:szCs w:val="24"/>
      <w:lang w:val="en-US" w:eastAsia="zh-CN"/>
    </w:rPr>
  </w:style>
  <w:style w:type="character" w:customStyle="1" w:styleId="2628">
    <w:name w:val="正文01 Char Char Char Char"/>
    <w:link w:val="2629"/>
    <w:qFormat/>
    <w:uiPriority w:val="0"/>
    <w:rPr>
      <w:snapToGrid w:val="0"/>
      <w:color w:val="000000"/>
      <w:sz w:val="24"/>
    </w:rPr>
  </w:style>
  <w:style w:type="paragraph" w:customStyle="1" w:styleId="2629">
    <w:name w:val="正文01 Char Char"/>
    <w:basedOn w:val="1"/>
    <w:link w:val="2628"/>
    <w:qFormat/>
    <w:uiPriority w:val="0"/>
    <w:pPr>
      <w:adjustRightInd w:val="0"/>
      <w:snapToGrid w:val="0"/>
      <w:spacing w:before="60" w:line="460" w:lineRule="exact"/>
      <w:ind w:firstLine="200" w:firstLineChars="200"/>
    </w:pPr>
    <w:rPr>
      <w:rFonts w:ascii="Times New Roman"/>
      <w:snapToGrid w:val="0"/>
      <w:color w:val="000000"/>
      <w:kern w:val="0"/>
      <w:sz w:val="24"/>
      <w:szCs w:val="20"/>
    </w:rPr>
  </w:style>
  <w:style w:type="character" w:customStyle="1" w:styleId="2630">
    <w:name w:val="四号 正文 Char Char"/>
    <w:qFormat/>
    <w:uiPriority w:val="0"/>
    <w:rPr>
      <w:rFonts w:hint="eastAsia" w:ascii="黑体" w:hAnsi="宋体" w:eastAsia="黑体"/>
      <w:b/>
      <w:spacing w:val="6"/>
      <w:kern w:val="2"/>
      <w:sz w:val="24"/>
      <w:szCs w:val="24"/>
      <w:lang w:bidi="ar-SA"/>
    </w:rPr>
  </w:style>
  <w:style w:type="character" w:customStyle="1" w:styleId="2631">
    <w:name w:val="样式 仿宋_GB2312 小四 黑色"/>
    <w:semiHidden/>
    <w:qFormat/>
    <w:uiPriority w:val="0"/>
    <w:rPr>
      <w:rFonts w:hint="default" w:ascii="Times New Roman" w:hAnsi="Times New Roman" w:eastAsia="仿宋_GB2312" w:cs="Times New Roman"/>
      <w:color w:val="000000"/>
      <w:sz w:val="24"/>
      <w:szCs w:val="24"/>
    </w:rPr>
  </w:style>
  <w:style w:type="character" w:customStyle="1" w:styleId="2632">
    <w:name w:val="武正文 Char"/>
    <w:qFormat/>
    <w:uiPriority w:val="0"/>
    <w:rPr>
      <w:color w:val="000000"/>
      <w:sz w:val="24"/>
      <w:szCs w:val="24"/>
    </w:rPr>
  </w:style>
  <w:style w:type="character" w:customStyle="1" w:styleId="2633">
    <w:name w:val="新正文样式 Char"/>
    <w:qFormat/>
    <w:uiPriority w:val="0"/>
    <w:rPr>
      <w:spacing w:val="20"/>
      <w:sz w:val="24"/>
    </w:rPr>
  </w:style>
  <w:style w:type="character" w:customStyle="1" w:styleId="2634">
    <w:name w:val="col_41"/>
    <w:qFormat/>
    <w:uiPriority w:val="0"/>
    <w:rPr>
      <w:color w:val="999999"/>
    </w:rPr>
  </w:style>
  <w:style w:type="character" w:customStyle="1" w:styleId="2635">
    <w:name w:val="2应急预案 图标内容 Char Char"/>
    <w:link w:val="2636"/>
    <w:qFormat/>
    <w:uiPriority w:val="0"/>
    <w:rPr>
      <w:rFonts w:ascii="Calibri" w:hAnsi="Calibri"/>
    </w:rPr>
  </w:style>
  <w:style w:type="paragraph" w:customStyle="1" w:styleId="2636">
    <w:name w:val="2应急预案 图标内容"/>
    <w:basedOn w:val="2170"/>
    <w:link w:val="2635"/>
    <w:qFormat/>
    <w:uiPriority w:val="0"/>
    <w:rPr>
      <w:rFonts w:ascii="Calibri" w:hAnsi="Calibri"/>
      <w:b w:val="0"/>
      <w:sz w:val="20"/>
    </w:rPr>
  </w:style>
  <w:style w:type="character" w:customStyle="1" w:styleId="2637">
    <w:name w:val="样式 正文首行缩进 + (西文) Cambria Math 倾斜 Char Char"/>
    <w:link w:val="2638"/>
    <w:qFormat/>
    <w:uiPriority w:val="0"/>
    <w:rPr>
      <w:rFonts w:ascii="Cambria Math" w:hAnsi="Cambria Math"/>
      <w:b/>
      <w:i/>
      <w:iCs/>
      <w:sz w:val="24"/>
    </w:rPr>
  </w:style>
  <w:style w:type="paragraph" w:customStyle="1" w:styleId="2638">
    <w:name w:val="样式 正文首行缩进 + (西文) Cambria Math 倾斜"/>
    <w:basedOn w:val="1"/>
    <w:link w:val="2637"/>
    <w:qFormat/>
    <w:uiPriority w:val="0"/>
    <w:pPr>
      <w:spacing w:before="50" w:after="50" w:line="360" w:lineRule="auto"/>
      <w:ind w:firstLine="200" w:firstLineChars="200"/>
    </w:pPr>
    <w:rPr>
      <w:rFonts w:ascii="Cambria Math" w:hAnsi="Cambria Math"/>
      <w:b/>
      <w:i/>
      <w:iCs/>
      <w:kern w:val="0"/>
      <w:sz w:val="24"/>
      <w:szCs w:val="20"/>
    </w:rPr>
  </w:style>
  <w:style w:type="character" w:customStyle="1" w:styleId="2639">
    <w:name w:val="Char Char Char Char Char Char Char Char Char Char Char2"/>
    <w:qFormat/>
    <w:uiPriority w:val="0"/>
    <w:rPr>
      <w:rFonts w:eastAsia="宋体"/>
      <w:kern w:val="2"/>
      <w:sz w:val="21"/>
      <w:lang w:val="en-US" w:eastAsia="zh-CN" w:bidi="ar-SA"/>
    </w:rPr>
  </w:style>
  <w:style w:type="character" w:customStyle="1" w:styleId="2640">
    <w:name w:val="Char Char113"/>
    <w:qFormat/>
    <w:uiPriority w:val="0"/>
    <w:rPr>
      <w:rFonts w:ascii="宋体" w:hAnsi="Courier New" w:eastAsia="宋体" w:cs="Courier New"/>
      <w:kern w:val="2"/>
      <w:sz w:val="21"/>
      <w:szCs w:val="21"/>
      <w:lang w:val="en-US" w:eastAsia="zh-CN" w:bidi="ar-SA"/>
    </w:rPr>
  </w:style>
  <w:style w:type="character" w:customStyle="1" w:styleId="2641">
    <w:name w:val="超链接2"/>
    <w:qFormat/>
    <w:uiPriority w:val="0"/>
    <w:rPr>
      <w:color w:val="auto"/>
      <w:sz w:val="18"/>
      <w:u w:val="none"/>
    </w:rPr>
  </w:style>
  <w:style w:type="character" w:customStyle="1" w:styleId="2642">
    <w:name w:val="hb3 Char"/>
    <w:qFormat/>
    <w:uiPriority w:val="0"/>
    <w:rPr>
      <w:rFonts w:hint="eastAsia" w:ascii="宋体" w:hAnsi="宋体" w:eastAsia="宋体"/>
      <w:b/>
      <w:kern w:val="2"/>
      <w:sz w:val="24"/>
      <w:szCs w:val="24"/>
      <w:lang w:val="en-US" w:eastAsia="zh-CN" w:bidi="ar-SA"/>
    </w:rPr>
  </w:style>
  <w:style w:type="character" w:customStyle="1" w:styleId="2643">
    <w:name w:val="标题四 Char"/>
    <w:link w:val="2644"/>
    <w:qFormat/>
    <w:uiPriority w:val="0"/>
    <w:rPr>
      <w:rFonts w:ascii="宋体" w:hAnsi="宋体"/>
      <w:snapToGrid w:val="0"/>
      <w:sz w:val="24"/>
    </w:rPr>
  </w:style>
  <w:style w:type="paragraph" w:customStyle="1" w:styleId="2644">
    <w:name w:val="标题四"/>
    <w:link w:val="2643"/>
    <w:qFormat/>
    <w:uiPriority w:val="0"/>
    <w:pPr>
      <w:keepNext/>
      <w:keepLines/>
      <w:tabs>
        <w:tab w:val="left" w:pos="360"/>
        <w:tab w:val="left" w:pos="2207"/>
      </w:tabs>
      <w:ind w:left="2160" w:hanging="420"/>
      <w:outlineLvl w:val="3"/>
    </w:pPr>
    <w:rPr>
      <w:rFonts w:ascii="Times New Roman" w:hAnsi="宋体" w:eastAsia="宋体" w:cs="Times New Roman"/>
      <w:snapToGrid w:val="0"/>
      <w:sz w:val="24"/>
      <w:lang w:val="en-US" w:eastAsia="zh-CN" w:bidi="ar-SA"/>
    </w:rPr>
  </w:style>
  <w:style w:type="paragraph" w:customStyle="1" w:styleId="2645">
    <w:name w:val="标题4444"/>
    <w:basedOn w:val="6"/>
    <w:qFormat/>
    <w:uiPriority w:val="0"/>
    <w:rPr>
      <w:szCs w:val="20"/>
    </w:rPr>
  </w:style>
  <w:style w:type="character" w:customStyle="1" w:styleId="2646">
    <w:name w:val="Placeholder Text_ee3fbfbb-45f4-4dce-966b-b5e1c4937679"/>
    <w:qFormat/>
    <w:uiPriority w:val="0"/>
    <w:rPr>
      <w:rFonts w:ascii="Calibri" w:hAnsi="Calibri" w:eastAsia="宋体" w:cs="Times New Roman"/>
      <w:color w:val="808080"/>
    </w:rPr>
  </w:style>
  <w:style w:type="character" w:customStyle="1" w:styleId="2647">
    <w:name w:val="Char Char123"/>
    <w:qFormat/>
    <w:uiPriority w:val="0"/>
    <w:rPr>
      <w:rFonts w:ascii="Arial" w:hAnsi="Arial" w:eastAsia="宋体"/>
      <w:sz w:val="24"/>
      <w:lang w:val="en-US" w:eastAsia="zh-CN"/>
    </w:rPr>
  </w:style>
  <w:style w:type="character" w:customStyle="1" w:styleId="2648">
    <w:name w:val="maintxt11"/>
    <w:qFormat/>
    <w:uiPriority w:val="0"/>
    <w:rPr>
      <w:rFonts w:hint="default" w:ascii="Arial" w:hAnsi="Arial"/>
      <w:color w:val="000000"/>
      <w:sz w:val="21"/>
    </w:rPr>
  </w:style>
  <w:style w:type="character" w:customStyle="1" w:styleId="2649">
    <w:name w:val="tb1"/>
    <w:qFormat/>
    <w:uiPriority w:val="0"/>
    <w:rPr>
      <w:rFonts w:hint="eastAsia" w:ascii="新宋体" w:hAnsi="新宋体" w:eastAsia="新宋体"/>
      <w:color w:val="330099"/>
      <w:sz w:val="21"/>
      <w:szCs w:val="21"/>
      <w:u w:val="none"/>
    </w:rPr>
  </w:style>
  <w:style w:type="character" w:customStyle="1" w:styleId="2650">
    <w:name w:val="lh171"/>
    <w:basedOn w:val="129"/>
    <w:qFormat/>
    <w:uiPriority w:val="0"/>
  </w:style>
  <w:style w:type="character" w:customStyle="1" w:styleId="2651">
    <w:name w:val="td3"/>
    <w:basedOn w:val="129"/>
    <w:qFormat/>
    <w:uiPriority w:val="0"/>
  </w:style>
  <w:style w:type="character" w:customStyle="1" w:styleId="2652">
    <w:name w:val="Char Char56"/>
    <w:qFormat/>
    <w:uiPriority w:val="0"/>
    <w:rPr>
      <w:rFonts w:hint="eastAsia" w:ascii="宋体" w:hAnsi="宋体" w:eastAsia="宋体"/>
      <w:b/>
      <w:kern w:val="2"/>
      <w:sz w:val="24"/>
      <w:lang w:val="en-US" w:eastAsia="zh-CN" w:bidi="ar-SA"/>
    </w:rPr>
  </w:style>
  <w:style w:type="character" w:customStyle="1" w:styleId="2653">
    <w:name w:val="zhenwen14"/>
    <w:basedOn w:val="129"/>
    <w:qFormat/>
    <w:uiPriority w:val="0"/>
  </w:style>
  <w:style w:type="character" w:customStyle="1" w:styleId="2654">
    <w:name w:val="正文01 Char Char Char Char Char"/>
    <w:qFormat/>
    <w:uiPriority w:val="0"/>
    <w:rPr>
      <w:rFonts w:eastAsia="宋体"/>
      <w:snapToGrid w:val="0"/>
      <w:color w:val="000000"/>
      <w:sz w:val="24"/>
      <w:lang w:val="en-US" w:eastAsia="zh-CN" w:bidi="ar-SA"/>
    </w:rPr>
  </w:style>
  <w:style w:type="character" w:customStyle="1" w:styleId="2655">
    <w:name w:val="标题 3 Char2"/>
    <w:qFormat/>
    <w:uiPriority w:val="0"/>
    <w:rPr>
      <w:rFonts w:eastAsia="宋体"/>
      <w:b/>
      <w:kern w:val="2"/>
      <w:sz w:val="32"/>
      <w:lang w:val="en-US" w:eastAsia="zh-CN" w:bidi="ar-SA"/>
    </w:rPr>
  </w:style>
  <w:style w:type="character" w:customStyle="1" w:styleId="2656">
    <w:name w:val="标题91"/>
    <w:basedOn w:val="129"/>
    <w:qFormat/>
    <w:uiPriority w:val="0"/>
  </w:style>
  <w:style w:type="character" w:customStyle="1" w:styleId="2657">
    <w:name w:val="报告正文 Char1"/>
    <w:qFormat/>
    <w:uiPriority w:val="0"/>
    <w:rPr>
      <w:sz w:val="24"/>
      <w:szCs w:val="24"/>
    </w:rPr>
  </w:style>
  <w:style w:type="character" w:customStyle="1" w:styleId="2658">
    <w:name w:val="正文缩进 Char1"/>
    <w:qFormat/>
    <w:uiPriority w:val="0"/>
    <w:rPr>
      <w:kern w:val="2"/>
      <w:sz w:val="28"/>
      <w:szCs w:val="24"/>
    </w:rPr>
  </w:style>
  <w:style w:type="character" w:customStyle="1" w:styleId="2659">
    <w:name w:val="标题3dg Char"/>
    <w:link w:val="2660"/>
    <w:qFormat/>
    <w:uiPriority w:val="0"/>
    <w:rPr>
      <w:rFonts w:ascii="黑体" w:hAnsi="宋体" w:eastAsia="黑体"/>
      <w:b/>
      <w:bCs/>
      <w:sz w:val="24"/>
      <w:szCs w:val="28"/>
      <w:lang w:val="zh-CN"/>
    </w:rPr>
  </w:style>
  <w:style w:type="paragraph" w:customStyle="1" w:styleId="2660">
    <w:name w:val="标题3dg"/>
    <w:basedOn w:val="5"/>
    <w:link w:val="2659"/>
    <w:qFormat/>
    <w:uiPriority w:val="0"/>
    <w:pPr>
      <w:tabs>
        <w:tab w:val="left" w:pos="1571"/>
      </w:tabs>
      <w:spacing w:line="413" w:lineRule="auto"/>
      <w:ind w:left="1418" w:hanging="567"/>
    </w:pPr>
    <w:rPr>
      <w:rFonts w:ascii="黑体" w:hAnsi="宋体" w:eastAsia="黑体"/>
      <w:kern w:val="0"/>
      <w:sz w:val="24"/>
      <w:szCs w:val="28"/>
      <w:lang w:val="zh-CN"/>
    </w:rPr>
  </w:style>
  <w:style w:type="character" w:customStyle="1" w:styleId="2661">
    <w:name w:val="Char Char122"/>
    <w:qFormat/>
    <w:uiPriority w:val="0"/>
    <w:rPr>
      <w:rFonts w:ascii="Arial" w:hAnsi="Arial" w:eastAsia="宋体"/>
      <w:sz w:val="24"/>
      <w:lang w:val="en-US" w:eastAsia="zh-CN"/>
    </w:rPr>
  </w:style>
  <w:style w:type="character" w:customStyle="1" w:styleId="2662">
    <w:name w:val="Char Char46"/>
    <w:qFormat/>
    <w:uiPriority w:val="0"/>
    <w:rPr>
      <w:rFonts w:hint="eastAsia" w:ascii="黑体" w:hAnsi="Courier New" w:eastAsia="黑体"/>
      <w:lang w:bidi="ar-SA"/>
    </w:rPr>
  </w:style>
  <w:style w:type="character" w:customStyle="1" w:styleId="2663">
    <w:name w:val="Char Char482"/>
    <w:qFormat/>
    <w:uiPriority w:val="0"/>
    <w:rPr>
      <w:rFonts w:ascii="Arial" w:hAnsi="Arial" w:eastAsia="宋体"/>
      <w:kern w:val="2"/>
      <w:sz w:val="24"/>
      <w:szCs w:val="24"/>
      <w:lang w:val="en-US" w:eastAsia="zh-CN" w:bidi="ar-SA"/>
    </w:rPr>
  </w:style>
  <w:style w:type="character" w:customStyle="1" w:styleId="2664">
    <w:name w:val="style23"/>
    <w:basedOn w:val="129"/>
    <w:qFormat/>
    <w:uiPriority w:val="0"/>
  </w:style>
  <w:style w:type="character" w:customStyle="1" w:styleId="2665">
    <w:name w:val="样式 表格图文 + Times New Roman Char"/>
    <w:link w:val="2666"/>
    <w:qFormat/>
    <w:uiPriority w:val="0"/>
    <w:rPr>
      <w:rFonts w:cs="宋体"/>
      <w:color w:val="000000"/>
      <w:szCs w:val="21"/>
    </w:rPr>
  </w:style>
  <w:style w:type="paragraph" w:customStyle="1" w:styleId="2666">
    <w:name w:val="样式 表格图文 + Times New Roman"/>
    <w:basedOn w:val="282"/>
    <w:link w:val="2665"/>
    <w:qFormat/>
    <w:uiPriority w:val="0"/>
    <w:pPr>
      <w:widowControl/>
      <w:adjustRightInd/>
      <w:spacing w:line="360" w:lineRule="exact"/>
    </w:pPr>
    <w:rPr>
      <w:rFonts w:cs="宋体"/>
      <w:color w:val="000000"/>
      <w:sz w:val="20"/>
      <w:szCs w:val="21"/>
    </w:rPr>
  </w:style>
  <w:style w:type="character" w:customStyle="1" w:styleId="2667">
    <w:name w:val="样式 首行缩进:  2 字符 Char Char Char"/>
    <w:qFormat/>
    <w:uiPriority w:val="0"/>
    <w:rPr>
      <w:rFonts w:eastAsia="宋体"/>
      <w:kern w:val="2"/>
      <w:sz w:val="24"/>
      <w:lang w:val="en-US" w:eastAsia="zh-CN" w:bidi="ar-SA"/>
    </w:rPr>
  </w:style>
  <w:style w:type="character" w:customStyle="1" w:styleId="2668">
    <w:name w:val="样式 四号"/>
    <w:qFormat/>
    <w:uiPriority w:val="0"/>
    <w:rPr>
      <w:sz w:val="24"/>
    </w:rPr>
  </w:style>
  <w:style w:type="character" w:customStyle="1" w:styleId="2669">
    <w:name w:val="图表名 Char"/>
    <w:link w:val="2670"/>
    <w:qFormat/>
    <w:uiPriority w:val="0"/>
    <w:rPr>
      <w:rFonts w:ascii="宋体" w:hAnsi="Courier New" w:cs="Courier New"/>
      <w:b/>
      <w:bCs/>
      <w:sz w:val="24"/>
      <w:szCs w:val="28"/>
    </w:rPr>
  </w:style>
  <w:style w:type="paragraph" w:customStyle="1" w:styleId="2670">
    <w:name w:val="图表名"/>
    <w:basedOn w:val="1"/>
    <w:link w:val="2669"/>
    <w:qFormat/>
    <w:uiPriority w:val="0"/>
    <w:pPr>
      <w:adjustRightInd w:val="0"/>
      <w:snapToGrid w:val="0"/>
      <w:spacing w:beforeLines="30"/>
      <w:jc w:val="center"/>
    </w:pPr>
    <w:rPr>
      <w:rFonts w:hAnsi="Courier New" w:cs="Courier New"/>
      <w:b/>
      <w:bCs/>
      <w:kern w:val="0"/>
      <w:sz w:val="24"/>
      <w:szCs w:val="28"/>
    </w:rPr>
  </w:style>
  <w:style w:type="character" w:customStyle="1" w:styleId="2671">
    <w:name w:val="Char Char33"/>
    <w:qFormat/>
    <w:uiPriority w:val="0"/>
    <w:rPr>
      <w:rFonts w:hint="eastAsia" w:ascii="黑体" w:eastAsia="黑体"/>
      <w:bCs/>
      <w:kern w:val="2"/>
      <w:sz w:val="24"/>
      <w:szCs w:val="32"/>
      <w:lang w:val="en-US" w:eastAsia="zh-CN" w:bidi="ar-SA"/>
    </w:rPr>
  </w:style>
  <w:style w:type="character" w:customStyle="1" w:styleId="2672">
    <w:name w:val="段落 Char Char Char Char Char"/>
    <w:link w:val="2673"/>
    <w:qFormat/>
    <w:uiPriority w:val="0"/>
    <w:rPr>
      <w:spacing w:val="6"/>
      <w:kern w:val="24"/>
      <w:sz w:val="24"/>
      <w:szCs w:val="24"/>
    </w:rPr>
  </w:style>
  <w:style w:type="paragraph" w:customStyle="1" w:styleId="2673">
    <w:name w:val="段落 Char Char Char"/>
    <w:basedOn w:val="1"/>
    <w:link w:val="2672"/>
    <w:qFormat/>
    <w:uiPriority w:val="0"/>
    <w:pPr>
      <w:spacing w:line="440" w:lineRule="exact"/>
      <w:ind w:firstLine="630" w:firstLineChars="250"/>
      <w:jc w:val="left"/>
      <w:textAlignment w:val="baseline"/>
    </w:pPr>
    <w:rPr>
      <w:rFonts w:ascii="Times New Roman"/>
      <w:spacing w:val="6"/>
      <w:kern w:val="24"/>
      <w:sz w:val="24"/>
      <w:szCs w:val="24"/>
    </w:rPr>
  </w:style>
  <w:style w:type="character" w:customStyle="1" w:styleId="2674">
    <w:name w:val="报告书图表 表头 Char Char"/>
    <w:link w:val="2675"/>
    <w:qFormat/>
    <w:uiPriority w:val="0"/>
    <w:rPr>
      <w:rFonts w:eastAsia="黑体"/>
      <w:sz w:val="24"/>
    </w:rPr>
  </w:style>
  <w:style w:type="paragraph" w:customStyle="1" w:styleId="2675">
    <w:name w:val="报告书图表 表头"/>
    <w:basedOn w:val="1"/>
    <w:link w:val="2674"/>
    <w:qFormat/>
    <w:uiPriority w:val="0"/>
    <w:pPr>
      <w:jc w:val="center"/>
    </w:pPr>
    <w:rPr>
      <w:rFonts w:ascii="Times New Roman" w:eastAsia="黑体"/>
      <w:kern w:val="0"/>
      <w:sz w:val="24"/>
      <w:szCs w:val="20"/>
    </w:rPr>
  </w:style>
  <w:style w:type="character" w:customStyle="1" w:styleId="2676">
    <w:name w:val="Char Char82"/>
    <w:qFormat/>
    <w:uiPriority w:val="0"/>
    <w:rPr>
      <w:rFonts w:eastAsia="宋体"/>
      <w:kern w:val="2"/>
      <w:sz w:val="21"/>
      <w:szCs w:val="24"/>
      <w:lang w:val="en-US" w:eastAsia="zh-CN" w:bidi="ar-SA"/>
    </w:rPr>
  </w:style>
  <w:style w:type="character" w:customStyle="1" w:styleId="2677">
    <w:name w:val="新标题2x Char"/>
    <w:link w:val="2678"/>
    <w:qFormat/>
    <w:uiPriority w:val="0"/>
    <w:rPr>
      <w:rFonts w:ascii="黑体" w:hAnsi="Cambria" w:eastAsia="黑体"/>
      <w:bCs/>
      <w:kern w:val="44"/>
      <w:sz w:val="28"/>
      <w:szCs w:val="44"/>
    </w:rPr>
  </w:style>
  <w:style w:type="paragraph" w:customStyle="1" w:styleId="2678">
    <w:name w:val="标题2x"/>
    <w:basedOn w:val="1648"/>
    <w:link w:val="2677"/>
    <w:qFormat/>
    <w:uiPriority w:val="0"/>
    <w:pPr>
      <w:keepLines/>
      <w:widowControl w:val="0"/>
      <w:autoSpaceDE/>
      <w:autoSpaceDN/>
      <w:adjustRightInd/>
      <w:spacing w:after="0" w:line="360" w:lineRule="auto"/>
      <w:jc w:val="both"/>
    </w:pPr>
    <w:rPr>
      <w:rFonts w:hAnsi="Cambria" w:cs="Times New Roman"/>
      <w:b w:val="0"/>
      <w:color w:val="auto"/>
      <w:kern w:val="44"/>
      <w:sz w:val="28"/>
      <w:szCs w:val="44"/>
      <w:lang w:val="en-US"/>
    </w:rPr>
  </w:style>
  <w:style w:type="character" w:customStyle="1" w:styleId="2679">
    <w:name w:val="图表注 Char Char"/>
    <w:qFormat/>
    <w:uiPriority w:val="0"/>
    <w:rPr>
      <w:rFonts w:ascii="宋体" w:eastAsia="宋体"/>
      <w:kern w:val="2"/>
      <w:sz w:val="21"/>
      <w:lang w:val="en-US" w:eastAsia="zh-CN" w:bidi="ar-SA"/>
    </w:rPr>
  </w:style>
  <w:style w:type="character" w:customStyle="1" w:styleId="2680">
    <w:name w:val="同方正文 Char Char"/>
    <w:link w:val="2681"/>
    <w:qFormat/>
    <w:uiPriority w:val="0"/>
    <w:rPr>
      <w:rFonts w:ascii="仿宋_GB2312" w:eastAsia="仿宋_GB2312"/>
      <w:sz w:val="24"/>
      <w:szCs w:val="24"/>
    </w:rPr>
  </w:style>
  <w:style w:type="paragraph" w:customStyle="1" w:styleId="2681">
    <w:name w:val="同方正文"/>
    <w:basedOn w:val="1"/>
    <w:link w:val="2680"/>
    <w:qFormat/>
    <w:uiPriority w:val="0"/>
    <w:pPr>
      <w:spacing w:line="360" w:lineRule="auto"/>
      <w:ind w:firstLine="480" w:firstLineChars="200"/>
    </w:pPr>
    <w:rPr>
      <w:rFonts w:ascii="仿宋_GB2312" w:eastAsia="仿宋_GB2312"/>
      <w:kern w:val="0"/>
      <w:sz w:val="24"/>
      <w:szCs w:val="24"/>
    </w:rPr>
  </w:style>
  <w:style w:type="character" w:customStyle="1" w:styleId="2682">
    <w:name w:val="正文何黎 Char"/>
    <w:link w:val="2683"/>
    <w:qFormat/>
    <w:uiPriority w:val="0"/>
    <w:rPr>
      <w:rFonts w:ascii="宋体" w:hAnsi="宋体" w:cs="宋体"/>
      <w:sz w:val="24"/>
    </w:rPr>
  </w:style>
  <w:style w:type="paragraph" w:customStyle="1" w:styleId="2683">
    <w:name w:val="正文何黎"/>
    <w:basedOn w:val="1"/>
    <w:link w:val="2682"/>
    <w:qFormat/>
    <w:uiPriority w:val="0"/>
    <w:pPr>
      <w:spacing w:line="360" w:lineRule="auto"/>
      <w:ind w:firstLine="480" w:firstLineChars="200"/>
    </w:pPr>
    <w:rPr>
      <w:rFonts w:hAnsi="宋体" w:cs="宋体"/>
      <w:kern w:val="0"/>
      <w:sz w:val="24"/>
      <w:szCs w:val="20"/>
    </w:rPr>
  </w:style>
  <w:style w:type="character" w:customStyle="1" w:styleId="2684">
    <w:name w:val="上标"/>
    <w:qFormat/>
    <w:uiPriority w:val="0"/>
    <w:rPr>
      <w:b/>
      <w:vertAlign w:val="superscript"/>
    </w:rPr>
  </w:style>
  <w:style w:type="character" w:customStyle="1" w:styleId="2685">
    <w:name w:val="样式 正文文本缩进 2正文文字缩进 2 + 四号 蓝色 Char Char Char Char Char Char Char Char"/>
    <w:link w:val="2686"/>
    <w:qFormat/>
    <w:uiPriority w:val="0"/>
    <w:rPr>
      <w:rFonts w:ascii="Arial Unicode MS" w:hAnsi="Arial Unicode MS"/>
      <w:color w:val="0000FF"/>
      <w:sz w:val="24"/>
      <w:szCs w:val="24"/>
    </w:rPr>
  </w:style>
  <w:style w:type="paragraph" w:customStyle="1" w:styleId="2686">
    <w:name w:val="样式 正文文本缩进 2正文文字缩进 2 + 四号 蓝色 Char Char Char Char Char Char Char"/>
    <w:basedOn w:val="48"/>
    <w:link w:val="2685"/>
    <w:qFormat/>
    <w:uiPriority w:val="0"/>
    <w:pPr>
      <w:adjustRightInd w:val="0"/>
      <w:spacing w:after="0" w:line="480" w:lineRule="exact"/>
      <w:ind w:left="0" w:leftChars="0" w:firstLine="709" w:firstLineChars="200"/>
      <w:textAlignment w:val="baseline"/>
    </w:pPr>
    <w:rPr>
      <w:rFonts w:ascii="Arial Unicode MS" w:hAnsi="Arial Unicode MS" w:eastAsia="宋体"/>
      <w:snapToGrid/>
      <w:color w:val="0000FF"/>
      <w:kern w:val="0"/>
      <w:sz w:val="24"/>
    </w:rPr>
  </w:style>
  <w:style w:type="character" w:customStyle="1" w:styleId="2687">
    <w:name w:val="小标 Char Char"/>
    <w:link w:val="2688"/>
    <w:qFormat/>
    <w:uiPriority w:val="0"/>
    <w:rPr>
      <w:sz w:val="24"/>
      <w:szCs w:val="24"/>
    </w:rPr>
  </w:style>
  <w:style w:type="paragraph" w:customStyle="1" w:styleId="2688">
    <w:name w:val="小标"/>
    <w:basedOn w:val="1"/>
    <w:link w:val="2687"/>
    <w:qFormat/>
    <w:uiPriority w:val="0"/>
    <w:pPr>
      <w:tabs>
        <w:tab w:val="left" w:pos="0"/>
        <w:tab w:val="left" w:pos="1320"/>
      </w:tabs>
      <w:adjustRightInd w:val="0"/>
      <w:snapToGrid w:val="0"/>
      <w:spacing w:line="360" w:lineRule="auto"/>
      <w:ind w:left="1320" w:hanging="420"/>
    </w:pPr>
    <w:rPr>
      <w:rFonts w:ascii="Times New Roman"/>
      <w:kern w:val="0"/>
      <w:sz w:val="24"/>
      <w:szCs w:val="24"/>
    </w:rPr>
  </w:style>
  <w:style w:type="character" w:customStyle="1" w:styleId="2689">
    <w:name w:val="自己的正文 Char"/>
    <w:qFormat/>
    <w:uiPriority w:val="0"/>
  </w:style>
  <w:style w:type="character" w:customStyle="1" w:styleId="2690">
    <w:name w:val="（.a正文 Char"/>
    <w:link w:val="2106"/>
    <w:qFormat/>
    <w:uiPriority w:val="0"/>
    <w:rPr>
      <w:bCs/>
      <w:sz w:val="24"/>
      <w:szCs w:val="24"/>
    </w:rPr>
  </w:style>
  <w:style w:type="character" w:customStyle="1" w:styleId="2691">
    <w:name w:val="样式25 Char"/>
    <w:qFormat/>
    <w:uiPriority w:val="0"/>
    <w:rPr>
      <w:rFonts w:ascii="宋体" w:hAnsi="宋体"/>
      <w:kern w:val="10"/>
      <w:sz w:val="28"/>
      <w:szCs w:val="28"/>
    </w:rPr>
  </w:style>
  <w:style w:type="character" w:customStyle="1" w:styleId="2692">
    <w:name w:val="新正文 Char"/>
    <w:qFormat/>
    <w:uiPriority w:val="0"/>
    <w:rPr>
      <w:rFonts w:ascii="仿宋_GB2312" w:eastAsia="仿宋_GB2312"/>
      <w:bCs/>
      <w:sz w:val="28"/>
    </w:rPr>
  </w:style>
  <w:style w:type="character" w:customStyle="1" w:styleId="2693">
    <w:name w:val="title41"/>
    <w:qFormat/>
    <w:uiPriority w:val="0"/>
    <w:rPr>
      <w:rFonts w:hint="eastAsia" w:ascii="宋体" w:hAnsi="宋体" w:eastAsia="宋体"/>
      <w:color w:val="FF6600"/>
      <w:sz w:val="36"/>
      <w:szCs w:val="36"/>
    </w:rPr>
  </w:style>
  <w:style w:type="character" w:customStyle="1" w:styleId="2694">
    <w:name w:val="海港表头 Char"/>
    <w:qFormat/>
    <w:uiPriority w:val="0"/>
    <w:rPr>
      <w:bCs/>
      <w:color w:val="000000"/>
      <w:szCs w:val="24"/>
    </w:rPr>
  </w:style>
  <w:style w:type="character" w:customStyle="1" w:styleId="2695">
    <w:name w:val="linkred02 m0"/>
    <w:basedOn w:val="129"/>
    <w:qFormat/>
    <w:uiPriority w:val="0"/>
  </w:style>
  <w:style w:type="character" w:customStyle="1" w:styleId="2696">
    <w:name w:val="表五号 Char"/>
    <w:link w:val="2697"/>
    <w:qFormat/>
    <w:uiPriority w:val="0"/>
    <w:rPr>
      <w:rFonts w:ascii="ˎ̥" w:hAnsi="Batang" w:eastAsia="FLGPEK+TimesNewRoman,Italic" w:cs="Batang"/>
      <w:snapToGrid w:val="0"/>
      <w:spacing w:val="-20"/>
      <w:szCs w:val="21"/>
    </w:rPr>
  </w:style>
  <w:style w:type="paragraph" w:customStyle="1" w:styleId="2697">
    <w:name w:val="表五号"/>
    <w:basedOn w:val="282"/>
    <w:link w:val="2696"/>
    <w:qFormat/>
    <w:uiPriority w:val="0"/>
    <w:pPr>
      <w:snapToGrid w:val="0"/>
      <w:spacing w:line="240" w:lineRule="auto"/>
      <w:ind w:left="-7" w:leftChars="-3" w:right="-95" w:rightChars="-40"/>
      <w:textAlignment w:val="baseline"/>
    </w:pPr>
    <w:rPr>
      <w:rFonts w:ascii="ˎ̥" w:hAnsi="Batang" w:eastAsia="FLGPEK+TimesNewRoman,Italic" w:cs="Batang"/>
      <w:snapToGrid w:val="0"/>
      <w:spacing w:val="-20"/>
      <w:sz w:val="20"/>
      <w:szCs w:val="21"/>
    </w:rPr>
  </w:style>
  <w:style w:type="character" w:customStyle="1" w:styleId="2698">
    <w:name w:val="广鹿岛 Char"/>
    <w:link w:val="2699"/>
    <w:qFormat/>
    <w:uiPriority w:val="0"/>
    <w:rPr>
      <w:sz w:val="24"/>
      <w:lang w:val="zh-CN"/>
    </w:rPr>
  </w:style>
  <w:style w:type="paragraph" w:customStyle="1" w:styleId="2699">
    <w:name w:val="广鹿岛"/>
    <w:basedOn w:val="1"/>
    <w:link w:val="2698"/>
    <w:qFormat/>
    <w:uiPriority w:val="0"/>
    <w:pPr>
      <w:spacing w:line="500" w:lineRule="exact"/>
      <w:ind w:firstLine="200" w:firstLineChars="200"/>
    </w:pPr>
    <w:rPr>
      <w:rFonts w:ascii="Times New Roman"/>
      <w:kern w:val="0"/>
      <w:sz w:val="24"/>
      <w:szCs w:val="20"/>
      <w:lang w:val="zh-CN"/>
    </w:rPr>
  </w:style>
  <w:style w:type="character" w:customStyle="1" w:styleId="2700">
    <w:name w:val="明显引用 Char1"/>
    <w:qFormat/>
    <w:uiPriority w:val="0"/>
    <w:rPr>
      <w:rFonts w:ascii="Times New Roman" w:hAnsi="Times New Roman" w:eastAsia="宋体" w:cs="Times New Roman"/>
      <w:b/>
      <w:bCs/>
      <w:i/>
      <w:iCs/>
      <w:color w:val="4F81BD"/>
      <w:szCs w:val="24"/>
    </w:rPr>
  </w:style>
  <w:style w:type="character" w:customStyle="1" w:styleId="2701">
    <w:name w:val="dxj正文 Char"/>
    <w:qFormat/>
    <w:uiPriority w:val="0"/>
    <w:rPr>
      <w:sz w:val="24"/>
      <w:szCs w:val="24"/>
    </w:rPr>
  </w:style>
  <w:style w:type="character" w:customStyle="1" w:styleId="2702">
    <w:name w:val="HTML 变量3"/>
    <w:qFormat/>
    <w:uiPriority w:val="0"/>
    <w:rPr>
      <w:i/>
      <w:iCs/>
    </w:rPr>
  </w:style>
  <w:style w:type="character" w:customStyle="1" w:styleId="2703">
    <w:name w:val="样式 样式1 + (符号) 宋体 Char"/>
    <w:qFormat/>
    <w:uiPriority w:val="0"/>
    <w:rPr>
      <w:rFonts w:ascii="宋体" w:hAnsi="宋体"/>
      <w:snapToGrid w:val="0"/>
      <w:sz w:val="24"/>
      <w:szCs w:val="24"/>
    </w:rPr>
  </w:style>
  <w:style w:type="character" w:customStyle="1" w:styleId="2704">
    <w:name w:val="Char Char35"/>
    <w:qFormat/>
    <w:uiPriority w:val="0"/>
    <w:rPr>
      <w:rFonts w:hint="eastAsia" w:ascii="宋体" w:hAnsi="宋体" w:eastAsia="宋体"/>
      <w:kern w:val="2"/>
      <w:sz w:val="21"/>
      <w:szCs w:val="24"/>
      <w:lang w:val="en-US" w:eastAsia="zh-CN" w:bidi="ar-SA"/>
    </w:rPr>
  </w:style>
  <w:style w:type="character" w:customStyle="1" w:styleId="2705">
    <w:name w:val="hui141"/>
    <w:qFormat/>
    <w:uiPriority w:val="0"/>
    <w:rPr>
      <w:color w:val="B3B2B2"/>
      <w:sz w:val="21"/>
      <w:szCs w:val="21"/>
    </w:rPr>
  </w:style>
  <w:style w:type="character" w:customStyle="1" w:styleId="2706">
    <w:name w:val="结束语 Char1"/>
    <w:semiHidden/>
    <w:qFormat/>
    <w:uiPriority w:val="0"/>
    <w:rPr>
      <w:rFonts w:ascii="Times New Roman" w:hAnsi="Times New Roman" w:eastAsia="宋体" w:cs="Times New Roman"/>
      <w:szCs w:val="24"/>
    </w:rPr>
  </w:style>
  <w:style w:type="character" w:customStyle="1" w:styleId="2707">
    <w:name w:val="新标题3x Char"/>
    <w:link w:val="2708"/>
    <w:qFormat/>
    <w:uiPriority w:val="0"/>
    <w:rPr>
      <w:rFonts w:ascii="黑体" w:eastAsia="黑体" w:cs="宋体"/>
      <w:b/>
      <w:bCs/>
      <w:color w:val="000000"/>
      <w:sz w:val="24"/>
      <w:szCs w:val="24"/>
      <w:lang w:val="zh-CN"/>
    </w:rPr>
  </w:style>
  <w:style w:type="paragraph" w:customStyle="1" w:styleId="2708">
    <w:name w:val="标题3x"/>
    <w:basedOn w:val="1"/>
    <w:link w:val="2707"/>
    <w:qFormat/>
    <w:uiPriority w:val="0"/>
    <w:pPr>
      <w:keepNext/>
      <w:keepLines/>
      <w:spacing w:before="120" w:line="360" w:lineRule="auto"/>
      <w:outlineLvl w:val="2"/>
    </w:pPr>
    <w:rPr>
      <w:rFonts w:ascii="黑体" w:eastAsia="黑体" w:cs="宋体"/>
      <w:b/>
      <w:bCs/>
      <w:color w:val="000000"/>
      <w:kern w:val="0"/>
      <w:sz w:val="24"/>
      <w:szCs w:val="24"/>
      <w:lang w:val="zh-CN"/>
    </w:rPr>
  </w:style>
  <w:style w:type="character" w:customStyle="1" w:styleId="2709">
    <w:name w:val="nr1"/>
    <w:qFormat/>
    <w:uiPriority w:val="0"/>
    <w:rPr>
      <w:sz w:val="18"/>
    </w:rPr>
  </w:style>
  <w:style w:type="character" w:customStyle="1" w:styleId="2710">
    <w:name w:val="干标题(a) Char Char"/>
    <w:qFormat/>
    <w:uiPriority w:val="0"/>
    <w:rPr>
      <w:rFonts w:ascii="Cambria" w:hAnsi="Cambria" w:eastAsia="宋体"/>
      <w:kern w:val="2"/>
      <w:sz w:val="24"/>
      <w:szCs w:val="21"/>
      <w:lang w:val="en-US" w:eastAsia="zh-CN" w:bidi="ar-SA"/>
    </w:rPr>
  </w:style>
  <w:style w:type="character" w:customStyle="1" w:styleId="2711">
    <w:name w:val="文本框五号 Char Char Char"/>
    <w:semiHidden/>
    <w:qFormat/>
    <w:uiPriority w:val="0"/>
    <w:rPr>
      <w:rFonts w:hint="eastAsia" w:ascii="仿宋_GB2312" w:eastAsia="仿宋_GB2312"/>
      <w:sz w:val="21"/>
      <w:szCs w:val="21"/>
    </w:rPr>
  </w:style>
  <w:style w:type="character" w:customStyle="1" w:styleId="2712">
    <w:name w:val="Char Char44"/>
    <w:qFormat/>
    <w:uiPriority w:val="0"/>
    <w:rPr>
      <w:rFonts w:eastAsia="宋体"/>
      <w:kern w:val="2"/>
      <w:sz w:val="16"/>
      <w:lang w:val="en-US" w:eastAsia="zh-CN" w:bidi="ar-SA"/>
    </w:rPr>
  </w:style>
  <w:style w:type="character" w:customStyle="1" w:styleId="2713">
    <w:name w:val="标题 3 Char3"/>
    <w:qFormat/>
    <w:uiPriority w:val="0"/>
    <w:rPr>
      <w:rFonts w:ascii="宋体" w:hAnsi="宋体" w:eastAsia="宋体" w:cs="Times New Roman"/>
      <w:b/>
      <w:bCs/>
      <w:sz w:val="28"/>
      <w:szCs w:val="32"/>
    </w:rPr>
  </w:style>
  <w:style w:type="character" w:customStyle="1" w:styleId="2714">
    <w:name w:val="throwbtl-link-span"/>
    <w:basedOn w:val="129"/>
    <w:qFormat/>
    <w:uiPriority w:val="0"/>
  </w:style>
  <w:style w:type="character" w:customStyle="1" w:styleId="2715">
    <w:name w:val="Char Char28"/>
    <w:qFormat/>
    <w:uiPriority w:val="0"/>
    <w:rPr>
      <w:rFonts w:hint="eastAsia" w:ascii="黑体" w:eastAsia="黑体"/>
      <w:sz w:val="28"/>
    </w:rPr>
  </w:style>
  <w:style w:type="character" w:customStyle="1" w:styleId="2716">
    <w:name w:val="表格 Char Char Char"/>
    <w:qFormat/>
    <w:uiPriority w:val="0"/>
    <w:rPr>
      <w:rFonts w:ascii="Calibri" w:hAnsi="Times New Roman" w:eastAsia="宋体" w:cs="Times New Roman"/>
      <w:kern w:val="2"/>
      <w:sz w:val="24"/>
      <w:szCs w:val="24"/>
    </w:rPr>
  </w:style>
  <w:style w:type="character" w:customStyle="1" w:styleId="2717">
    <w:name w:val="cucd-0 Char Char"/>
    <w:link w:val="2718"/>
    <w:qFormat/>
    <w:uiPriority w:val="0"/>
    <w:rPr>
      <w:rFonts w:eastAsia="Times New Roman"/>
      <w:sz w:val="24"/>
      <w:szCs w:val="24"/>
    </w:rPr>
  </w:style>
  <w:style w:type="paragraph" w:customStyle="1" w:styleId="2718">
    <w:name w:val="cucd-0"/>
    <w:link w:val="2717"/>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719">
    <w:name w:val="李勇志地下水正文 Char Char"/>
    <w:link w:val="2720"/>
    <w:qFormat/>
    <w:uiPriority w:val="0"/>
    <w:rPr>
      <w:sz w:val="28"/>
      <w:szCs w:val="28"/>
    </w:rPr>
  </w:style>
  <w:style w:type="paragraph" w:customStyle="1" w:styleId="2720">
    <w:name w:val="李勇志地下水正文"/>
    <w:basedOn w:val="1"/>
    <w:link w:val="2719"/>
    <w:qFormat/>
    <w:uiPriority w:val="0"/>
    <w:pPr>
      <w:widowControl/>
      <w:spacing w:afterLines="50" w:line="480" w:lineRule="exact"/>
      <w:ind w:firstLine="560" w:firstLineChars="200"/>
      <w:jc w:val="left"/>
    </w:pPr>
    <w:rPr>
      <w:rFonts w:ascii="Times New Roman"/>
      <w:kern w:val="0"/>
      <w:sz w:val="28"/>
      <w:szCs w:val="28"/>
    </w:rPr>
  </w:style>
  <w:style w:type="character" w:customStyle="1" w:styleId="2721">
    <w:name w:val="样式 标题 1 + 非加宽量 / 紧缩量 Char"/>
    <w:qFormat/>
    <w:uiPriority w:val="0"/>
    <w:rPr>
      <w:rFonts w:eastAsia="黑体"/>
      <w:b/>
      <w:bCs/>
      <w:kern w:val="44"/>
      <w:sz w:val="28"/>
      <w:szCs w:val="28"/>
    </w:rPr>
  </w:style>
  <w:style w:type="character" w:customStyle="1" w:styleId="2722">
    <w:name w:val="新正文样式 Char Char Char"/>
    <w:qFormat/>
    <w:uiPriority w:val="0"/>
    <w:rPr>
      <w:rFonts w:eastAsia="宋体"/>
      <w:spacing w:val="20"/>
      <w:kern w:val="2"/>
      <w:sz w:val="24"/>
      <w:lang w:val="en-US" w:eastAsia="zh-CN" w:bidi="ar-SA"/>
    </w:rPr>
  </w:style>
  <w:style w:type="character" w:customStyle="1" w:styleId="2723">
    <w:name w:val="正文tree Char Char"/>
    <w:link w:val="2724"/>
    <w:qFormat/>
    <w:uiPriority w:val="0"/>
    <w:rPr>
      <w:sz w:val="24"/>
      <w:szCs w:val="28"/>
    </w:rPr>
  </w:style>
  <w:style w:type="paragraph" w:customStyle="1" w:styleId="2724">
    <w:name w:val="正文tree"/>
    <w:basedOn w:val="1"/>
    <w:link w:val="2723"/>
    <w:qFormat/>
    <w:uiPriority w:val="0"/>
    <w:pPr>
      <w:spacing w:line="440" w:lineRule="exact"/>
      <w:ind w:firstLine="480" w:firstLineChars="200"/>
    </w:pPr>
    <w:rPr>
      <w:rFonts w:ascii="Times New Roman"/>
      <w:kern w:val="0"/>
      <w:sz w:val="24"/>
      <w:szCs w:val="28"/>
    </w:rPr>
  </w:style>
  <w:style w:type="character" w:customStyle="1" w:styleId="2725">
    <w:name w:val="样式 (符号) 宋体 粗波浪线"/>
    <w:qFormat/>
    <w:uiPriority w:val="0"/>
    <w:rPr>
      <w:rFonts w:eastAsia="宋体"/>
      <w:sz w:val="25"/>
      <w:u w:val="wavyHeavy"/>
    </w:rPr>
  </w:style>
  <w:style w:type="character" w:customStyle="1" w:styleId="2726">
    <w:name w:val="c1"/>
    <w:qFormat/>
    <w:uiPriority w:val="0"/>
    <w:rPr>
      <w:sz w:val="30"/>
      <w:szCs w:val="30"/>
    </w:rPr>
  </w:style>
  <w:style w:type="character" w:customStyle="1" w:styleId="2727">
    <w:name w:val="样式3 Char Char"/>
    <w:qFormat/>
    <w:uiPriority w:val="0"/>
    <w:rPr>
      <w:rFonts w:eastAsia="宋体"/>
      <w:b/>
      <w:bCs/>
      <w:kern w:val="2"/>
      <w:sz w:val="28"/>
      <w:szCs w:val="28"/>
      <w:lang w:val="en-US" w:eastAsia="zh-CN" w:bidi="ar-SA"/>
    </w:rPr>
  </w:style>
  <w:style w:type="character" w:customStyle="1" w:styleId="2728">
    <w:name w:val="Char Char37"/>
    <w:qFormat/>
    <w:uiPriority w:val="0"/>
    <w:rPr>
      <w:rFonts w:eastAsia="黑体"/>
      <w:b/>
      <w:kern w:val="2"/>
      <w:sz w:val="28"/>
      <w:lang w:val="en-US" w:eastAsia="zh-CN" w:bidi="ar-SA"/>
    </w:rPr>
  </w:style>
  <w:style w:type="character" w:customStyle="1" w:styleId="2729">
    <w:name w:val="(一) Char"/>
    <w:qFormat/>
    <w:uiPriority w:val="0"/>
    <w:rPr>
      <w:rFonts w:ascii="Arial" w:hAnsi="Arial" w:eastAsia="黑体"/>
      <w:b/>
      <w:sz w:val="28"/>
      <w:szCs w:val="28"/>
    </w:rPr>
  </w:style>
  <w:style w:type="character" w:customStyle="1" w:styleId="2730">
    <w:name w:val="s2h1"/>
    <w:qFormat/>
    <w:uiPriority w:val="0"/>
    <w:rPr>
      <w:color w:val="000000"/>
      <w:sz w:val="18"/>
      <w:szCs w:val="18"/>
    </w:rPr>
  </w:style>
  <w:style w:type="character" w:customStyle="1" w:styleId="2731">
    <w:name w:val="四号正文 Char"/>
    <w:link w:val="2732"/>
    <w:qFormat/>
    <w:uiPriority w:val="0"/>
    <w:rPr>
      <w:rFonts w:cs="宋体"/>
      <w:spacing w:val="6"/>
      <w:sz w:val="28"/>
    </w:rPr>
  </w:style>
  <w:style w:type="paragraph" w:customStyle="1" w:styleId="2732">
    <w:name w:val="四号正文"/>
    <w:basedOn w:val="1"/>
    <w:link w:val="2731"/>
    <w:qFormat/>
    <w:uiPriority w:val="0"/>
    <w:pPr>
      <w:ind w:firstLine="200" w:firstLineChars="200"/>
    </w:pPr>
    <w:rPr>
      <w:rFonts w:ascii="Times New Roman" w:cs="宋体"/>
      <w:spacing w:val="6"/>
      <w:kern w:val="0"/>
      <w:sz w:val="28"/>
      <w:szCs w:val="20"/>
    </w:rPr>
  </w:style>
  <w:style w:type="character" w:customStyle="1" w:styleId="2733">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2734">
    <w:name w:val="表格文字2004"/>
    <w:qFormat/>
    <w:uiPriority w:val="0"/>
    <w:rPr>
      <w:rFonts w:hint="eastAsia" w:ascii="宋体" w:hAnsi="宋体" w:eastAsia="宋体"/>
      <w:sz w:val="24"/>
    </w:rPr>
  </w:style>
  <w:style w:type="character" w:customStyle="1" w:styleId="2735">
    <w:name w:val="文本框五号 Char Char Char Char"/>
    <w:semiHidden/>
    <w:qFormat/>
    <w:uiPriority w:val="0"/>
    <w:rPr>
      <w:rFonts w:hint="eastAsia" w:ascii="仿宋_GB2312" w:eastAsia="仿宋_GB2312"/>
      <w:sz w:val="21"/>
      <w:szCs w:val="21"/>
    </w:rPr>
  </w:style>
  <w:style w:type="character" w:customStyle="1" w:styleId="2736">
    <w:name w:val="图头 Char Char"/>
    <w:qFormat/>
    <w:uiPriority w:val="0"/>
    <w:rPr>
      <w:b/>
      <w:kern w:val="2"/>
      <w:sz w:val="24"/>
      <w:szCs w:val="24"/>
      <w:lang w:bidi="ar-SA"/>
    </w:rPr>
  </w:style>
  <w:style w:type="character" w:customStyle="1" w:styleId="2737">
    <w:name w:val="正文-自建 Char Char Char"/>
    <w:qFormat/>
    <w:uiPriority w:val="0"/>
    <w:rPr>
      <w:rFonts w:eastAsia="宋体"/>
      <w:kern w:val="2"/>
      <w:sz w:val="28"/>
      <w:lang w:val="en-US" w:eastAsia="zh-CN"/>
    </w:rPr>
  </w:style>
  <w:style w:type="character" w:customStyle="1" w:styleId="2738">
    <w:name w:val="珠江啤酒正文 Char Char Char"/>
    <w:qFormat/>
    <w:uiPriority w:val="0"/>
    <w:rPr>
      <w:sz w:val="24"/>
      <w:lang w:bidi="ar-SA"/>
    </w:rPr>
  </w:style>
  <w:style w:type="character" w:customStyle="1" w:styleId="2739">
    <w:name w:val="条文首行缩进 Char"/>
    <w:link w:val="2740"/>
    <w:qFormat/>
    <w:uiPriority w:val="0"/>
    <w:rPr>
      <w:rFonts w:ascii="Arial" w:hAnsi="Arial"/>
      <w:sz w:val="24"/>
      <w:szCs w:val="24"/>
    </w:rPr>
  </w:style>
  <w:style w:type="paragraph" w:customStyle="1" w:styleId="2740">
    <w:name w:val="条文首行缩进"/>
    <w:basedOn w:val="1"/>
    <w:link w:val="2739"/>
    <w:qFormat/>
    <w:uiPriority w:val="0"/>
    <w:pPr>
      <w:ind w:firstLine="480" w:firstLineChars="200"/>
    </w:pPr>
    <w:rPr>
      <w:rFonts w:ascii="Arial" w:hAnsi="Arial"/>
      <w:kern w:val="0"/>
      <w:sz w:val="24"/>
      <w:szCs w:val="24"/>
    </w:rPr>
  </w:style>
  <w:style w:type="character" w:customStyle="1" w:styleId="2741">
    <w:name w:val="报告 Char"/>
    <w:link w:val="2742"/>
    <w:qFormat/>
    <w:uiPriority w:val="0"/>
    <w:rPr>
      <w:rFonts w:ascii="ˎ̥" w:hAnsi="ˎ̥" w:eastAsia="FLGPEK+TimesNewRoman,Italic" w:cs="ˎ̥"/>
      <w:sz w:val="24"/>
    </w:rPr>
  </w:style>
  <w:style w:type="paragraph" w:customStyle="1" w:styleId="2742">
    <w:name w:val="报告"/>
    <w:basedOn w:val="1"/>
    <w:link w:val="2741"/>
    <w:qFormat/>
    <w:uiPriority w:val="0"/>
    <w:pPr>
      <w:adjustRightInd w:val="0"/>
      <w:spacing w:line="360" w:lineRule="auto"/>
      <w:ind w:firstLine="505"/>
      <w:textAlignment w:val="baseline"/>
    </w:pPr>
    <w:rPr>
      <w:rFonts w:ascii="ˎ̥" w:hAnsi="ˎ̥" w:eastAsia="FLGPEK+TimesNewRoman,Italic" w:cs="ˎ̥"/>
      <w:kern w:val="0"/>
      <w:sz w:val="24"/>
      <w:szCs w:val="20"/>
    </w:rPr>
  </w:style>
  <w:style w:type="character" w:customStyle="1" w:styleId="2743">
    <w:name w:val="段落1 Char Char1"/>
    <w:qFormat/>
    <w:uiPriority w:val="0"/>
    <w:rPr>
      <w:rFonts w:eastAsia="宋体"/>
      <w:spacing w:val="8"/>
      <w:kern w:val="2"/>
      <w:sz w:val="24"/>
      <w:lang w:val="en-US" w:eastAsia="zh-CN" w:bidi="ar-SA"/>
    </w:rPr>
  </w:style>
  <w:style w:type="character" w:customStyle="1" w:styleId="2744">
    <w:name w:val="word21"/>
    <w:qFormat/>
    <w:uiPriority w:val="0"/>
    <w:rPr>
      <w:rFonts w:hint="default" w:ascii="Verdana" w:hAnsi="Verdana"/>
      <w:sz w:val="18"/>
      <w:szCs w:val="18"/>
    </w:rPr>
  </w:style>
  <w:style w:type="character" w:customStyle="1" w:styleId="2745">
    <w:name w:val="报告格式—正文 Char"/>
    <w:link w:val="2746"/>
    <w:qFormat/>
    <w:uiPriority w:val="0"/>
    <w:rPr>
      <w:spacing w:val="6"/>
      <w:sz w:val="28"/>
      <w:szCs w:val="36"/>
    </w:rPr>
  </w:style>
  <w:style w:type="paragraph" w:customStyle="1" w:styleId="2746">
    <w:name w:val="报告格式—正文"/>
    <w:basedOn w:val="1"/>
    <w:link w:val="2745"/>
    <w:qFormat/>
    <w:uiPriority w:val="0"/>
    <w:pPr>
      <w:spacing w:line="580" w:lineRule="exact"/>
      <w:ind w:firstLine="584" w:firstLineChars="200"/>
    </w:pPr>
    <w:rPr>
      <w:rFonts w:ascii="Times New Roman"/>
      <w:spacing w:val="6"/>
      <w:kern w:val="0"/>
      <w:sz w:val="28"/>
      <w:szCs w:val="36"/>
    </w:rPr>
  </w:style>
  <w:style w:type="character" w:customStyle="1" w:styleId="2747">
    <w:name w:val="Char Char134"/>
    <w:qFormat/>
    <w:uiPriority w:val="0"/>
    <w:rPr>
      <w:rFonts w:eastAsia="宋体"/>
      <w:sz w:val="24"/>
      <w:lang w:val="en-US" w:eastAsia="zh-CN"/>
    </w:rPr>
  </w:style>
  <w:style w:type="character" w:customStyle="1" w:styleId="2748">
    <w:name w:val="广鹿岛 Char Char"/>
    <w:qFormat/>
    <w:uiPriority w:val="0"/>
    <w:rPr>
      <w:kern w:val="2"/>
      <w:sz w:val="24"/>
      <w:lang w:bidi="ar-SA"/>
    </w:rPr>
  </w:style>
  <w:style w:type="character" w:customStyle="1" w:styleId="2749">
    <w:name w:val="正文缩进2 Char"/>
    <w:qFormat/>
    <w:uiPriority w:val="0"/>
    <w:rPr>
      <w:rFonts w:ascii="Sim Sun" w:hAnsi="Sim Sun" w:eastAsia="Sim Sun"/>
      <w:kern w:val="2"/>
      <w:sz w:val="24"/>
      <w:lang w:val="en-US" w:eastAsia="zh-CN"/>
    </w:rPr>
  </w:style>
  <w:style w:type="character" w:customStyle="1" w:styleId="2750">
    <w:name w:val="要点3"/>
    <w:qFormat/>
    <w:uiPriority w:val="0"/>
    <w:rPr>
      <w:b/>
    </w:rPr>
  </w:style>
  <w:style w:type="character" w:customStyle="1" w:styleId="2751">
    <w:name w:val="1-正文 Char"/>
    <w:qFormat/>
    <w:uiPriority w:val="0"/>
    <w:rPr>
      <w:rFonts w:ascii="宋体" w:hAnsi="宋体"/>
      <w:sz w:val="24"/>
    </w:rPr>
  </w:style>
  <w:style w:type="character" w:customStyle="1" w:styleId="2752">
    <w:name w:val="重点"/>
    <w:qFormat/>
    <w:uiPriority w:val="0"/>
    <w:rPr>
      <w:i/>
    </w:rPr>
  </w:style>
  <w:style w:type="character" w:customStyle="1" w:styleId="2753">
    <w:name w:val="标题 5 Char Char"/>
    <w:qFormat/>
    <w:uiPriority w:val="0"/>
    <w:rPr>
      <w:rFonts w:eastAsia="宋体"/>
      <w:b/>
      <w:bCs/>
      <w:kern w:val="2"/>
      <w:sz w:val="21"/>
      <w:szCs w:val="24"/>
      <w:lang w:val="en-US" w:eastAsia="zh-CN" w:bidi="ar-SA"/>
    </w:rPr>
  </w:style>
  <w:style w:type="character" w:customStyle="1" w:styleId="2754">
    <w:name w:val="文本正文 Char1"/>
    <w:qFormat/>
    <w:uiPriority w:val="0"/>
    <w:rPr>
      <w:rFonts w:eastAsia="宋体"/>
      <w:kern w:val="2"/>
      <w:sz w:val="24"/>
      <w:szCs w:val="24"/>
      <w:lang w:val="en-US" w:eastAsia="zh-CN" w:bidi="ar-SA"/>
    </w:rPr>
  </w:style>
  <w:style w:type="character" w:customStyle="1" w:styleId="2755">
    <w:name w:val="news"/>
    <w:basedOn w:val="129"/>
    <w:qFormat/>
    <w:uiPriority w:val="0"/>
  </w:style>
  <w:style w:type="character" w:customStyle="1" w:styleId="2756">
    <w:name w:val="ht091"/>
    <w:qFormat/>
    <w:uiPriority w:val="0"/>
    <w:rPr>
      <w:rFonts w:hint="eastAsia" w:ascii="Sim Sun" w:hAnsi="Sim Sun" w:eastAsia="Sim Sun"/>
      <w:sz w:val="18"/>
      <w:szCs w:val="18"/>
    </w:rPr>
  </w:style>
  <w:style w:type="character" w:customStyle="1" w:styleId="2757">
    <w:name w:val="text31"/>
    <w:qFormat/>
    <w:uiPriority w:val="0"/>
    <w:rPr>
      <w:sz w:val="18"/>
    </w:rPr>
  </w:style>
  <w:style w:type="character" w:customStyle="1" w:styleId="2758">
    <w:name w:val="[1]正文 Char Char"/>
    <w:link w:val="2759"/>
    <w:qFormat/>
    <w:uiPriority w:val="0"/>
    <w:rPr>
      <w:sz w:val="24"/>
      <w:szCs w:val="28"/>
    </w:rPr>
  </w:style>
  <w:style w:type="paragraph" w:customStyle="1" w:styleId="2759">
    <w:name w:val="[1]正文"/>
    <w:basedOn w:val="1"/>
    <w:link w:val="2758"/>
    <w:qFormat/>
    <w:uiPriority w:val="0"/>
    <w:pPr>
      <w:widowControl/>
      <w:snapToGrid w:val="0"/>
      <w:spacing w:line="440" w:lineRule="exact"/>
      <w:ind w:firstLine="200" w:firstLineChars="200"/>
      <w:jc w:val="left"/>
    </w:pPr>
    <w:rPr>
      <w:rFonts w:ascii="Times New Roman"/>
      <w:kern w:val="0"/>
      <w:sz w:val="24"/>
      <w:szCs w:val="28"/>
    </w:rPr>
  </w:style>
  <w:style w:type="character" w:customStyle="1" w:styleId="2760">
    <w:name w:val="标题 6 Char Char1"/>
    <w:qFormat/>
    <w:uiPriority w:val="0"/>
    <w:rPr>
      <w:rFonts w:ascii="黑体" w:hAnsi="Arial" w:eastAsia="黑体"/>
      <w:bCs/>
      <w:kern w:val="2"/>
      <w:sz w:val="24"/>
      <w:szCs w:val="24"/>
      <w:lang w:val="en-US" w:eastAsia="zh-CN" w:bidi="ar-SA"/>
    </w:rPr>
  </w:style>
  <w:style w:type="character" w:customStyle="1" w:styleId="2761">
    <w:name w:val="正文首缩 Char Char"/>
    <w:qFormat/>
    <w:uiPriority w:val="0"/>
    <w:rPr>
      <w:rFonts w:hint="default" w:ascii="Verdana" w:hAnsi="Verdana"/>
      <w:kern w:val="2"/>
      <w:sz w:val="24"/>
      <w:lang w:bidi="ar-SA"/>
    </w:rPr>
  </w:style>
  <w:style w:type="character" w:customStyle="1" w:styleId="2762">
    <w:name w:val="style91"/>
    <w:qFormat/>
    <w:uiPriority w:val="0"/>
    <w:rPr>
      <w:rFonts w:hint="default" w:ascii="Times New Roman" w:hAnsi="Times New Roman" w:cs="Times New Roman"/>
      <w:color w:val="333333"/>
    </w:rPr>
  </w:style>
  <w:style w:type="character" w:customStyle="1" w:styleId="2763">
    <w:name w:val="页码3"/>
    <w:basedOn w:val="129"/>
    <w:qFormat/>
    <w:uiPriority w:val="0"/>
  </w:style>
  <w:style w:type="character" w:customStyle="1" w:styleId="2764">
    <w:name w:val="标题 6 Char2"/>
    <w:qFormat/>
    <w:uiPriority w:val="0"/>
    <w:rPr>
      <w:rFonts w:ascii="Calibri" w:hAnsi="Calibri" w:eastAsia="宋体" w:cs="Times New Roman"/>
      <w:b/>
      <w:bCs/>
      <w:kern w:val="2"/>
      <w:sz w:val="24"/>
      <w:szCs w:val="24"/>
    </w:rPr>
  </w:style>
  <w:style w:type="character" w:customStyle="1" w:styleId="2765">
    <w:name w:val="报告格式—正文 Char Char"/>
    <w:qFormat/>
    <w:uiPriority w:val="0"/>
    <w:rPr>
      <w:spacing w:val="6"/>
      <w:kern w:val="2"/>
      <w:sz w:val="28"/>
      <w:szCs w:val="36"/>
      <w:lang w:bidi="ar-SA"/>
    </w:rPr>
  </w:style>
  <w:style w:type="character" w:customStyle="1" w:styleId="2766">
    <w:name w:val="样式 标题 3 + 宋体 四号 Char Char Char"/>
    <w:link w:val="2767"/>
    <w:qFormat/>
    <w:uiPriority w:val="0"/>
    <w:rPr>
      <w:rFonts w:ascii="宋体" w:hAnsi="宋体"/>
      <w:b/>
      <w:sz w:val="28"/>
    </w:rPr>
  </w:style>
  <w:style w:type="paragraph" w:customStyle="1" w:styleId="2767">
    <w:name w:val="样式 标题 3 + 宋体 四号 Char"/>
    <w:basedOn w:val="5"/>
    <w:link w:val="2766"/>
    <w:qFormat/>
    <w:uiPriority w:val="0"/>
    <w:pPr>
      <w:tabs>
        <w:tab w:val="left" w:pos="1571"/>
      </w:tabs>
      <w:spacing w:beforeLines="80" w:afterLines="40" w:line="360" w:lineRule="auto"/>
      <w:ind w:left="200" w:leftChars="200" w:hanging="567"/>
    </w:pPr>
    <w:rPr>
      <w:rFonts w:ascii="宋体" w:hAnsi="宋体"/>
      <w:bCs w:val="0"/>
      <w:kern w:val="0"/>
      <w:sz w:val="28"/>
      <w:szCs w:val="20"/>
    </w:rPr>
  </w:style>
  <w:style w:type="character" w:customStyle="1" w:styleId="2768">
    <w:name w:val="页眉 Char3"/>
    <w:qFormat/>
    <w:uiPriority w:val="0"/>
    <w:rPr>
      <w:kern w:val="2"/>
      <w:sz w:val="18"/>
      <w:szCs w:val="24"/>
    </w:rPr>
  </w:style>
  <w:style w:type="character" w:customStyle="1" w:styleId="2769">
    <w:name w:val="标题4，攀 Char Char Char"/>
    <w:qFormat/>
    <w:uiPriority w:val="0"/>
    <w:rPr>
      <w:rFonts w:ascii="宋体" w:hAnsi="宋体" w:eastAsia="黑体"/>
      <w:b/>
      <w:color w:val="000000"/>
      <w:kern w:val="2"/>
      <w:sz w:val="24"/>
      <w:lang w:val="en-US" w:eastAsia="zh-CN"/>
    </w:rPr>
  </w:style>
  <w:style w:type="character" w:customStyle="1" w:styleId="2770">
    <w:name w:val="表格内容1 Char"/>
    <w:qFormat/>
    <w:uiPriority w:val="0"/>
    <w:rPr>
      <w:rFonts w:ascii="宋体"/>
      <w:snapToGrid w:val="0"/>
      <w:szCs w:val="24"/>
    </w:rPr>
  </w:style>
  <w:style w:type="character" w:customStyle="1" w:styleId="2771">
    <w:name w:val="样式1 Char Char Char"/>
    <w:qFormat/>
    <w:uiPriority w:val="0"/>
    <w:rPr>
      <w:rFonts w:ascii="Arial" w:hAnsi="Arial"/>
      <w:snapToGrid w:val="0"/>
      <w:sz w:val="24"/>
    </w:rPr>
  </w:style>
  <w:style w:type="character" w:customStyle="1" w:styleId="2772">
    <w:name w:val="Char Char210"/>
    <w:qFormat/>
    <w:uiPriority w:val="0"/>
    <w:rPr>
      <w:rFonts w:ascii="宋体" w:hAnsi="Courier New" w:eastAsia="宋体"/>
      <w:kern w:val="2"/>
      <w:sz w:val="21"/>
      <w:lang w:val="en-US" w:eastAsia="zh-CN" w:bidi="ar-SA"/>
    </w:rPr>
  </w:style>
  <w:style w:type="character" w:customStyle="1" w:styleId="2773">
    <w:name w:val="Char Char510"/>
    <w:qFormat/>
    <w:uiPriority w:val="0"/>
    <w:rPr>
      <w:rFonts w:eastAsia="宋体"/>
      <w:kern w:val="2"/>
      <w:sz w:val="28"/>
      <w:lang w:val="en-US" w:eastAsia="zh-CN" w:bidi="ar-SA"/>
    </w:rPr>
  </w:style>
  <w:style w:type="character" w:customStyle="1" w:styleId="2774">
    <w:name w:val="表标题 Char Char"/>
    <w:qFormat/>
    <w:uiPriority w:val="0"/>
    <w:rPr>
      <w:rFonts w:ascii="宋体" w:hAnsi="宋体" w:cs="宋体"/>
      <w:b/>
      <w:bCs/>
      <w:color w:val="000000"/>
      <w:sz w:val="24"/>
      <w:szCs w:val="24"/>
    </w:rPr>
  </w:style>
  <w:style w:type="character" w:customStyle="1" w:styleId="2775">
    <w:name w:val="CT Char Char"/>
    <w:qFormat/>
    <w:uiPriority w:val="0"/>
    <w:rPr>
      <w:rFonts w:eastAsia="FLGPEK+TimesNewRoman,Italic"/>
      <w:sz w:val="28"/>
      <w:szCs w:val="28"/>
      <w:lang w:val="en-US" w:eastAsia="zh-CN" w:bidi="ar-SA"/>
    </w:rPr>
  </w:style>
  <w:style w:type="character" w:customStyle="1" w:styleId="2776">
    <w:name w:val="正文    首行缩进:  2 字符1 + 首行缩进:  2 字符1 Char Char"/>
    <w:link w:val="2777"/>
    <w:qFormat/>
    <w:uiPriority w:val="0"/>
    <w:rPr>
      <w:rFonts w:ascii="Sim Sun" w:hAnsi="Sim Sun" w:eastAsia="宋体-方正超大字符集" w:cs="Sim Sun"/>
      <w:kern w:val="24"/>
      <w:sz w:val="24"/>
      <w:szCs w:val="24"/>
    </w:rPr>
  </w:style>
  <w:style w:type="paragraph" w:customStyle="1" w:styleId="2777">
    <w:name w:val="正文    首行缩进:  2 字符1 + 首行缩进:  2 字符1"/>
    <w:basedOn w:val="1"/>
    <w:link w:val="2776"/>
    <w:qFormat/>
    <w:uiPriority w:val="0"/>
    <w:pPr>
      <w:widowControl/>
      <w:adjustRightInd w:val="0"/>
      <w:snapToGrid w:val="0"/>
      <w:spacing w:line="360" w:lineRule="auto"/>
      <w:ind w:firstLine="480" w:firstLineChars="200"/>
    </w:pPr>
    <w:rPr>
      <w:rFonts w:ascii="Sim Sun" w:hAnsi="Sim Sun" w:eastAsia="宋体-方正超大字符集" w:cs="Sim Sun"/>
      <w:kern w:val="24"/>
      <w:sz w:val="24"/>
      <w:szCs w:val="24"/>
      <w:shd w:val="clear" w:color="auto" w:fill="FFFFFF"/>
    </w:rPr>
  </w:style>
  <w:style w:type="character" w:customStyle="1" w:styleId="2778">
    <w:name w:val="zw1"/>
    <w:qFormat/>
    <w:uiPriority w:val="0"/>
    <w:rPr>
      <w:rFonts w:ascii="Calibri" w:hAnsi="Calibri" w:eastAsia="宋体" w:cs="Times New Roman"/>
    </w:rPr>
  </w:style>
  <w:style w:type="character" w:customStyle="1" w:styleId="2779">
    <w:name w:val="表格dg Char"/>
    <w:link w:val="2780"/>
    <w:qFormat/>
    <w:uiPriority w:val="0"/>
    <w:rPr>
      <w:rFonts w:ascii="新宋体" w:hAnsi="新宋体" w:eastAsia="新宋体"/>
      <w:szCs w:val="21"/>
      <w:lang w:val="zh-CN" w:eastAsia="en-US" w:bidi="en-US"/>
    </w:rPr>
  </w:style>
  <w:style w:type="paragraph" w:customStyle="1" w:styleId="2780">
    <w:name w:val="表格dg"/>
    <w:basedOn w:val="1"/>
    <w:link w:val="2779"/>
    <w:qFormat/>
    <w:uiPriority w:val="0"/>
    <w:pPr>
      <w:widowControl/>
      <w:autoSpaceDE w:val="0"/>
      <w:autoSpaceDN w:val="0"/>
      <w:adjustRightInd w:val="0"/>
      <w:jc w:val="center"/>
    </w:pPr>
    <w:rPr>
      <w:rFonts w:ascii="新宋体" w:hAnsi="新宋体" w:eastAsia="新宋体"/>
      <w:kern w:val="0"/>
      <w:sz w:val="20"/>
      <w:szCs w:val="21"/>
      <w:lang w:val="zh-CN" w:eastAsia="en-US" w:bidi="en-US"/>
    </w:rPr>
  </w:style>
  <w:style w:type="character" w:customStyle="1" w:styleId="2781">
    <w:name w:val="报告书正文 Char Char Char"/>
    <w:qFormat/>
    <w:uiPriority w:val="0"/>
    <w:rPr>
      <w:rFonts w:eastAsia="宋体"/>
      <w:kern w:val="2"/>
      <w:sz w:val="25"/>
      <w:lang w:val="en-US" w:eastAsia="zh-CN" w:bidi="ar-SA"/>
    </w:rPr>
  </w:style>
  <w:style w:type="character" w:customStyle="1" w:styleId="2782">
    <w:name w:val="正文样式 Char Char Char"/>
    <w:qFormat/>
    <w:uiPriority w:val="0"/>
    <w:rPr>
      <w:rFonts w:ascii="Calibri" w:hAnsi="Times New Roman" w:eastAsia="宋体" w:cs="Times New Roman"/>
      <w:kern w:val="2"/>
      <w:sz w:val="24"/>
      <w:szCs w:val="24"/>
    </w:rPr>
  </w:style>
  <w:style w:type="character" w:customStyle="1" w:styleId="2783">
    <w:name w:val="标题6 Char"/>
    <w:link w:val="2784"/>
    <w:qFormat/>
    <w:uiPriority w:val="0"/>
    <w:rPr>
      <w:rFonts w:ascii="Arial Unicode MS" w:hAnsi="Arial Unicode MS"/>
      <w:sz w:val="28"/>
      <w:szCs w:val="21"/>
    </w:rPr>
  </w:style>
  <w:style w:type="paragraph" w:customStyle="1" w:styleId="2784">
    <w:name w:val="标题61"/>
    <w:basedOn w:val="1"/>
    <w:next w:val="230"/>
    <w:link w:val="2783"/>
    <w:qFormat/>
    <w:uiPriority w:val="0"/>
    <w:pPr>
      <w:keepNext/>
      <w:spacing w:line="360" w:lineRule="auto"/>
      <w:ind w:firstLine="567" w:firstLineChars="200"/>
      <w:jc w:val="left"/>
      <w:outlineLvl w:val="5"/>
    </w:pPr>
    <w:rPr>
      <w:rFonts w:ascii="Arial Unicode MS" w:hAnsi="Arial Unicode MS"/>
      <w:kern w:val="0"/>
      <w:sz w:val="28"/>
      <w:szCs w:val="21"/>
    </w:rPr>
  </w:style>
  <w:style w:type="character" w:customStyle="1" w:styleId="2785">
    <w:name w:val="访问过的超链接21"/>
    <w:qFormat/>
    <w:uiPriority w:val="0"/>
    <w:rPr>
      <w:color w:val="800080"/>
      <w:u w:val="single"/>
    </w:rPr>
  </w:style>
  <w:style w:type="character" w:customStyle="1" w:styleId="2786">
    <w:name w:val="图表标题 Char Char"/>
    <w:qFormat/>
    <w:uiPriority w:val="0"/>
    <w:rPr>
      <w:rFonts w:ascii="Arial" w:hAnsi="Arial" w:eastAsia="仿宋_GB2312"/>
      <w:sz w:val="28"/>
      <w:szCs w:val="28"/>
    </w:rPr>
  </w:style>
  <w:style w:type="character" w:customStyle="1" w:styleId="2787">
    <w:name w:val="Char Char74"/>
    <w:qFormat/>
    <w:uiPriority w:val="0"/>
    <w:rPr>
      <w:rFonts w:eastAsia="黑体"/>
      <w:b/>
      <w:kern w:val="44"/>
      <w:sz w:val="28"/>
      <w:lang w:val="en-US" w:eastAsia="zh-CN" w:bidi="ar-SA"/>
    </w:rPr>
  </w:style>
  <w:style w:type="character" w:customStyle="1" w:styleId="2788">
    <w:name w:val="Char Char102"/>
    <w:qFormat/>
    <w:uiPriority w:val="0"/>
    <w:rPr>
      <w:rFonts w:eastAsia="宋体"/>
      <w:b/>
      <w:bCs/>
      <w:kern w:val="2"/>
      <w:sz w:val="32"/>
      <w:szCs w:val="32"/>
      <w:lang w:val="en-US" w:eastAsia="zh-CN" w:bidi="ar-SA"/>
    </w:rPr>
  </w:style>
  <w:style w:type="character" w:customStyle="1" w:styleId="2789">
    <w:name w:val="样式 样式 标题 21标题2H2h2第一层条1.1标题 2节标题 1.11.1标题2节标题 1.1 Char1.1... + 加... Char"/>
    <w:link w:val="2790"/>
    <w:qFormat/>
    <w:uiPriority w:val="0"/>
    <w:rPr>
      <w:rFonts w:ascii="Arial" w:hAnsi="Arial" w:cs="宋体"/>
      <w:b/>
      <w:bCs/>
      <w:spacing w:val="8"/>
      <w:sz w:val="28"/>
      <w:szCs w:val="44"/>
    </w:rPr>
  </w:style>
  <w:style w:type="paragraph" w:customStyle="1" w:styleId="2790">
    <w:name w:val="样式 样式 标题 21标题2H2h2第一层条1.1标题 2节标题 1.11.1标题2节标题 1.1 Char1.1... + 加..."/>
    <w:basedOn w:val="2500"/>
    <w:link w:val="2789"/>
    <w:qFormat/>
    <w:uiPriority w:val="0"/>
    <w:rPr>
      <w:spacing w:val="8"/>
      <w:sz w:val="28"/>
    </w:rPr>
  </w:style>
  <w:style w:type="character" w:customStyle="1" w:styleId="2791">
    <w:name w:val="干标题(a) Char"/>
    <w:qFormat/>
    <w:uiPriority w:val="0"/>
    <w:rPr>
      <w:rFonts w:ascii="Arial" w:hAnsi="Arial" w:eastAsia="黑体"/>
      <w:kern w:val="2"/>
      <w:sz w:val="24"/>
      <w:lang w:val="en-US" w:eastAsia="zh-CN" w:bidi="ar-SA"/>
    </w:rPr>
  </w:style>
  <w:style w:type="character" w:customStyle="1" w:styleId="2792">
    <w:name w:val="正文DG Char Char Char"/>
    <w:qFormat/>
    <w:uiPriority w:val="0"/>
    <w:rPr>
      <w:rFonts w:ascii="新宋体" w:hAnsi="新宋体" w:eastAsia="新宋体"/>
      <w:kern w:val="2"/>
      <w:sz w:val="24"/>
      <w:szCs w:val="24"/>
      <w:lang w:val="en-US" w:eastAsia="zh-CN" w:bidi="ar-SA"/>
    </w:rPr>
  </w:style>
  <w:style w:type="character" w:customStyle="1" w:styleId="2793">
    <w:name w:val="表1 Char"/>
    <w:qFormat/>
    <w:uiPriority w:val="0"/>
    <w:rPr>
      <w:rFonts w:ascii="宋体"/>
    </w:rPr>
  </w:style>
  <w:style w:type="character" w:customStyle="1" w:styleId="2794">
    <w:name w:val="图 z Char"/>
    <w:link w:val="2795"/>
    <w:qFormat/>
    <w:uiPriority w:val="0"/>
    <w:rPr>
      <w:sz w:val="24"/>
    </w:rPr>
  </w:style>
  <w:style w:type="paragraph" w:customStyle="1" w:styleId="2795">
    <w:name w:val="图 z"/>
    <w:basedOn w:val="1"/>
    <w:link w:val="2794"/>
    <w:qFormat/>
    <w:uiPriority w:val="0"/>
    <w:pPr>
      <w:jc w:val="center"/>
    </w:pPr>
    <w:rPr>
      <w:rFonts w:ascii="Times New Roman"/>
      <w:kern w:val="0"/>
      <w:sz w:val="24"/>
      <w:szCs w:val="20"/>
    </w:rPr>
  </w:style>
  <w:style w:type="character" w:customStyle="1" w:styleId="2796">
    <w:name w:val="1正文zzzzzzzz Char"/>
    <w:link w:val="2797"/>
    <w:qFormat/>
    <w:uiPriority w:val="0"/>
    <w:rPr>
      <w:rFonts w:cs="宋体"/>
      <w:sz w:val="24"/>
    </w:rPr>
  </w:style>
  <w:style w:type="paragraph" w:customStyle="1" w:styleId="2797">
    <w:name w:val="1正文zzzzzzzz"/>
    <w:basedOn w:val="1"/>
    <w:link w:val="2796"/>
    <w:qFormat/>
    <w:uiPriority w:val="0"/>
    <w:pPr>
      <w:spacing w:line="440" w:lineRule="exact"/>
      <w:ind w:firstLine="200" w:firstLineChars="200"/>
    </w:pPr>
    <w:rPr>
      <w:rFonts w:ascii="Times New Roman" w:cs="宋体"/>
      <w:kern w:val="0"/>
      <w:sz w:val="24"/>
      <w:szCs w:val="20"/>
    </w:rPr>
  </w:style>
  <w:style w:type="character" w:customStyle="1" w:styleId="2798">
    <w:name w:val="图题 Char"/>
    <w:link w:val="2799"/>
    <w:qFormat/>
    <w:uiPriority w:val="0"/>
    <w:rPr>
      <w:rFonts w:ascii="ӗԲ" w:eastAsia="ӗԲ"/>
      <w:sz w:val="24"/>
      <w:szCs w:val="24"/>
    </w:rPr>
  </w:style>
  <w:style w:type="paragraph" w:customStyle="1" w:styleId="2799">
    <w:name w:val="图题"/>
    <w:basedOn w:val="2283"/>
    <w:link w:val="2798"/>
    <w:qFormat/>
    <w:uiPriority w:val="0"/>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2800">
    <w:name w:val="XCHG论文正文"/>
    <w:basedOn w:val="1"/>
    <w:qFormat/>
    <w:uiPriority w:val="0"/>
    <w:pPr>
      <w:spacing w:line="300" w:lineRule="auto"/>
      <w:ind w:firstLine="480" w:firstLineChars="200"/>
    </w:pPr>
    <w:rPr>
      <w:rFonts w:ascii="Times New Roman"/>
      <w:color w:val="000000"/>
      <w:sz w:val="24"/>
      <w:szCs w:val="24"/>
    </w:rPr>
  </w:style>
  <w:style w:type="paragraph" w:customStyle="1" w:styleId="2801">
    <w:name w:val="表格文本 五号 居中 单倍行距"/>
    <w:basedOn w:val="1"/>
    <w:qFormat/>
    <w:uiPriority w:val="0"/>
    <w:pPr>
      <w:keepNext/>
      <w:adjustRightInd w:val="0"/>
      <w:snapToGrid w:val="0"/>
      <w:jc w:val="center"/>
      <w:textAlignment w:val="baseline"/>
    </w:pPr>
    <w:rPr>
      <w:rFonts w:ascii="Times New Roman" w:cs="宋体"/>
      <w:sz w:val="21"/>
      <w:szCs w:val="20"/>
    </w:rPr>
  </w:style>
  <w:style w:type="paragraph" w:customStyle="1" w:styleId="2802">
    <w:name w:val="文本1"/>
    <w:basedOn w:val="1"/>
    <w:qFormat/>
    <w:uiPriority w:val="0"/>
    <w:pPr>
      <w:adjustRightInd w:val="0"/>
      <w:snapToGrid w:val="0"/>
      <w:spacing w:before="156" w:line="360" w:lineRule="exact"/>
      <w:ind w:firstLine="420"/>
    </w:pPr>
    <w:rPr>
      <w:rFonts w:ascii="Times New Roman" w:eastAsia="仿宋_GB2312"/>
      <w:kern w:val="0"/>
      <w:sz w:val="21"/>
      <w:szCs w:val="20"/>
    </w:rPr>
  </w:style>
  <w:style w:type="character" w:customStyle="1" w:styleId="2803">
    <w:name w:val="正文文本 Char3"/>
    <w:basedOn w:val="129"/>
    <w:semiHidden/>
    <w:qFormat/>
    <w:uiPriority w:val="99"/>
  </w:style>
  <w:style w:type="character" w:customStyle="1" w:styleId="2804">
    <w:name w:val="正文首行缩进 Char4"/>
    <w:basedOn w:val="2803"/>
    <w:semiHidden/>
    <w:qFormat/>
    <w:uiPriority w:val="99"/>
  </w:style>
  <w:style w:type="paragraph" w:customStyle="1" w:styleId="2805">
    <w:name w:val="Char1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2806">
    <w:name w:val="正文文本 31"/>
    <w:basedOn w:val="1"/>
    <w:qFormat/>
    <w:uiPriority w:val="0"/>
    <w:pPr>
      <w:spacing w:line="440" w:lineRule="exact"/>
      <w:ind w:firstLine="200" w:firstLineChars="200"/>
    </w:pPr>
    <w:rPr>
      <w:rFonts w:ascii="Times New Roman"/>
      <w:sz w:val="16"/>
      <w:szCs w:val="16"/>
    </w:rPr>
  </w:style>
  <w:style w:type="paragraph" w:customStyle="1" w:styleId="2807">
    <w:name w:val="图表目录2"/>
    <w:qFormat/>
    <w:uiPriority w:val="0"/>
    <w:pPr>
      <w:tabs>
        <w:tab w:val="right" w:leader="dot" w:pos="8051"/>
      </w:tabs>
      <w:ind w:left="840" w:hanging="840"/>
    </w:pPr>
    <w:rPr>
      <w:rFonts w:ascii="Times New Roman" w:hAnsi="Times New Roman" w:eastAsia="宋体" w:cs="Times New Roman"/>
      <w:lang w:val="en-US" w:eastAsia="zh-CN" w:bidi="ar-SA"/>
    </w:rPr>
  </w:style>
  <w:style w:type="paragraph" w:customStyle="1" w:styleId="2808">
    <w:name w:val="正文51"/>
    <w:qFormat/>
    <w:uiPriority w:val="0"/>
    <w:pPr>
      <w:widowControl w:val="0"/>
      <w:adjustRightInd w:val="0"/>
      <w:spacing w:line="360" w:lineRule="atLeast"/>
    </w:pPr>
    <w:rPr>
      <w:rFonts w:ascii="宋体" w:hAnsi="Calibri" w:eastAsia="宋体" w:cs="Times New Roman"/>
      <w:sz w:val="24"/>
      <w:lang w:val="en-US" w:eastAsia="zh-CN" w:bidi="ar-SA"/>
    </w:rPr>
  </w:style>
  <w:style w:type="paragraph" w:customStyle="1" w:styleId="2809">
    <w:name w:val="5 Char Char Char Char"/>
    <w:basedOn w:val="1"/>
    <w:qFormat/>
    <w:uiPriority w:val="0"/>
    <w:rPr>
      <w:rFonts w:ascii="ˎ̥" w:hAnsi="ˎ̥" w:eastAsia="FLGPEK+TimesNewRoman,Italic" w:cs="ˎ̥"/>
      <w:sz w:val="21"/>
      <w:szCs w:val="24"/>
    </w:rPr>
  </w:style>
  <w:style w:type="character" w:customStyle="1" w:styleId="2810">
    <w:name w:val="正文文本缩进 Char3"/>
    <w:basedOn w:val="129"/>
    <w:semiHidden/>
    <w:qFormat/>
    <w:uiPriority w:val="99"/>
  </w:style>
  <w:style w:type="character" w:customStyle="1" w:styleId="2811">
    <w:name w:val="纯文本 Char3"/>
    <w:semiHidden/>
    <w:qFormat/>
    <w:uiPriority w:val="99"/>
    <w:rPr>
      <w:rFonts w:ascii="宋体" w:hAnsi="Courier New" w:eastAsia="宋体" w:cs="Courier New"/>
      <w:szCs w:val="21"/>
    </w:rPr>
  </w:style>
  <w:style w:type="character" w:customStyle="1" w:styleId="2812">
    <w:name w:val="结束语 Char2"/>
    <w:basedOn w:val="129"/>
    <w:semiHidden/>
    <w:qFormat/>
    <w:uiPriority w:val="99"/>
    <w:rPr>
      <w:rFonts w:ascii="宋体"/>
      <w:kern w:val="2"/>
      <w:sz w:val="25"/>
      <w:szCs w:val="25"/>
    </w:rPr>
  </w:style>
  <w:style w:type="paragraph" w:customStyle="1" w:styleId="2813">
    <w:name w:val="文-7"/>
    <w:qFormat/>
    <w:uiPriority w:val="0"/>
    <w:pPr>
      <w:tabs>
        <w:tab w:val="right" w:leader="dot" w:pos="8789"/>
      </w:tabs>
      <w:ind w:left="1701"/>
    </w:pPr>
    <w:rPr>
      <w:rFonts w:ascii="Times New Roman" w:hAnsi="Times New Roman" w:eastAsia="宋体" w:cs="Times New Roman"/>
      <w:lang w:val="en-US" w:eastAsia="zh-CN" w:bidi="ar-SA"/>
    </w:rPr>
  </w:style>
  <w:style w:type="paragraph" w:customStyle="1" w:styleId="2814">
    <w:name w:val="文-5"/>
    <w:basedOn w:val="1"/>
    <w:qFormat/>
    <w:uiPriority w:val="0"/>
    <w:pPr>
      <w:tabs>
        <w:tab w:val="right" w:leader="dot" w:pos="8789"/>
      </w:tabs>
      <w:spacing w:before="120"/>
      <w:ind w:left="1276" w:firstLine="482"/>
    </w:pPr>
    <w:rPr>
      <w:rFonts w:ascii="Batang" w:hAnsi="Batang" w:cs="Batang"/>
      <w:sz w:val="24"/>
      <w:szCs w:val="20"/>
    </w:rPr>
  </w:style>
  <w:style w:type="paragraph" w:customStyle="1" w:styleId="2815">
    <w:name w:val="CM7"/>
    <w:basedOn w:val="154"/>
    <w:next w:val="154"/>
    <w:qFormat/>
    <w:uiPriority w:val="0"/>
    <w:pPr>
      <w:spacing w:line="471" w:lineRule="atLeast"/>
    </w:pPr>
    <w:rPr>
      <w:rFonts w:ascii="宋体" w:hAnsi="Calibri" w:eastAsia="宋体" w:cs="Times New Roman"/>
      <w:color w:val="auto"/>
      <w:kern w:val="2"/>
    </w:rPr>
  </w:style>
  <w:style w:type="paragraph" w:customStyle="1" w:styleId="2816">
    <w:name w:val="正文文本缩进7"/>
    <w:basedOn w:val="1"/>
    <w:qFormat/>
    <w:uiPriority w:val="0"/>
    <w:pPr>
      <w:spacing w:line="360" w:lineRule="exact"/>
      <w:ind w:firstLine="480" w:firstLineChars="200"/>
    </w:pPr>
    <w:rPr>
      <w:rFonts w:ascii="Times New Roman"/>
      <w:sz w:val="24"/>
      <w:szCs w:val="20"/>
    </w:rPr>
  </w:style>
  <w:style w:type="character" w:customStyle="1" w:styleId="2817">
    <w:name w:val="标题 Char3"/>
    <w:qFormat/>
    <w:uiPriority w:val="10"/>
    <w:rPr>
      <w:rFonts w:ascii="Cambria" w:hAnsi="Cambria" w:eastAsia="宋体" w:cs="Times New Roman"/>
      <w:b/>
      <w:bCs/>
      <w:sz w:val="32"/>
      <w:szCs w:val="32"/>
    </w:rPr>
  </w:style>
  <w:style w:type="paragraph" w:customStyle="1" w:styleId="2818">
    <w:name w:val="Char Char11 Char Char1"/>
    <w:basedOn w:val="1"/>
    <w:next w:val="1"/>
    <w:qFormat/>
    <w:uiPriority w:val="0"/>
    <w:pPr>
      <w:spacing w:line="360" w:lineRule="auto"/>
      <w:ind w:firstLine="200" w:firstLineChars="200"/>
    </w:pPr>
    <w:rPr>
      <w:rFonts w:hAnsi="宋体" w:cs="宋体"/>
      <w:sz w:val="24"/>
      <w:szCs w:val="24"/>
    </w:rPr>
  </w:style>
  <w:style w:type="paragraph" w:customStyle="1" w:styleId="2819">
    <w:name w:val="流程文字"/>
    <w:basedOn w:val="1"/>
    <w:qFormat/>
    <w:uiPriority w:val="0"/>
    <w:pPr>
      <w:tabs>
        <w:tab w:val="left" w:pos="6480"/>
      </w:tabs>
      <w:topLinePunct/>
      <w:adjustRightInd w:val="0"/>
      <w:snapToGrid w:val="0"/>
      <w:jc w:val="center"/>
    </w:pPr>
    <w:rPr>
      <w:rFonts w:ascii="Times New Roman" w:eastAsia="仿宋_GB2312"/>
      <w:sz w:val="21"/>
      <w:szCs w:val="20"/>
    </w:rPr>
  </w:style>
  <w:style w:type="paragraph" w:customStyle="1" w:styleId="2820">
    <w:name w:val="框图格式2"/>
    <w:basedOn w:val="1"/>
    <w:semiHidden/>
    <w:qFormat/>
    <w:uiPriority w:val="0"/>
    <w:rPr>
      <w:rFonts w:ascii="Times New Roman"/>
      <w:sz w:val="18"/>
      <w:szCs w:val="24"/>
    </w:rPr>
  </w:style>
  <w:style w:type="paragraph" w:customStyle="1" w:styleId="2821">
    <w:name w:val="尾注文本1"/>
    <w:basedOn w:val="797"/>
    <w:qFormat/>
    <w:uiPriority w:val="0"/>
    <w:pPr>
      <w:spacing w:line="360" w:lineRule="atLeast"/>
      <w:jc w:val="left"/>
      <w:textAlignment w:val="auto"/>
    </w:pPr>
    <w:rPr>
      <w:rFonts w:hint="eastAsia" w:ascii="宋体" w:hAnsi="宋体" w:eastAsia="宋体"/>
      <w:spacing w:val="0"/>
      <w:kern w:val="2"/>
      <w:sz w:val="21"/>
      <w:szCs w:val="22"/>
    </w:rPr>
  </w:style>
  <w:style w:type="character" w:customStyle="1" w:styleId="2822">
    <w:name w:val="正文文本缩进 3 Char3"/>
    <w:semiHidden/>
    <w:qFormat/>
    <w:uiPriority w:val="99"/>
    <w:rPr>
      <w:sz w:val="16"/>
      <w:szCs w:val="16"/>
    </w:rPr>
  </w:style>
  <w:style w:type="paragraph" w:customStyle="1" w:styleId="2823">
    <w:name w:val="Char Char Char1 Char12"/>
    <w:basedOn w:val="1"/>
    <w:qFormat/>
    <w:uiPriority w:val="0"/>
    <w:pPr>
      <w:adjustRightInd w:val="0"/>
      <w:snapToGrid w:val="0"/>
      <w:ind w:left="-45"/>
    </w:pPr>
    <w:rPr>
      <w:rFonts w:ascii="Times New Roman"/>
      <w:sz w:val="21"/>
      <w:szCs w:val="24"/>
    </w:rPr>
  </w:style>
  <w:style w:type="character" w:customStyle="1" w:styleId="2824">
    <w:name w:val="信息标题 Char2"/>
    <w:basedOn w:val="129"/>
    <w:semiHidden/>
    <w:qFormat/>
    <w:uiPriority w:val="99"/>
    <w:rPr>
      <w:rFonts w:asciiTheme="majorHAnsi" w:hAnsiTheme="majorHAnsi" w:eastAsiaTheme="majorEastAsia" w:cstheme="majorBidi"/>
      <w:kern w:val="2"/>
      <w:sz w:val="24"/>
      <w:szCs w:val="24"/>
      <w:shd w:val="pct20" w:color="auto" w:fill="auto"/>
    </w:rPr>
  </w:style>
  <w:style w:type="paragraph" w:customStyle="1" w:styleId="2825">
    <w:name w:val="普通(网站)21"/>
    <w:basedOn w:val="1"/>
    <w:qFormat/>
    <w:uiPriority w:val="0"/>
    <w:pPr>
      <w:widowControl/>
      <w:spacing w:before="100" w:beforeAutospacing="1" w:after="100" w:afterAutospacing="1"/>
    </w:pPr>
    <w:rPr>
      <w:rFonts w:hAnsi="宋体"/>
      <w:sz w:val="24"/>
      <w:szCs w:val="22"/>
    </w:rPr>
  </w:style>
  <w:style w:type="paragraph" w:customStyle="1" w:styleId="2826">
    <w:name w:val="Char Char Char Char Char Char Char Char Char Char Char Char1 Char2"/>
    <w:basedOn w:val="1"/>
    <w:qFormat/>
    <w:uiPriority w:val="0"/>
    <w:rPr>
      <w:rFonts w:ascii="Times New Roman"/>
      <w:sz w:val="21"/>
      <w:szCs w:val="24"/>
    </w:rPr>
  </w:style>
  <w:style w:type="paragraph" w:customStyle="1" w:styleId="2827">
    <w:name w:val="标题6-自建"/>
    <w:basedOn w:val="8"/>
    <w:qFormat/>
    <w:uiPriority w:val="0"/>
    <w:pPr>
      <w:keepNext/>
      <w:keepLines/>
      <w:tabs>
        <w:tab w:val="left" w:pos="3566"/>
        <w:tab w:val="clear" w:pos="1800"/>
        <w:tab w:val="clear" w:pos="3047"/>
      </w:tabs>
      <w:spacing w:line="900" w:lineRule="exact"/>
    </w:pPr>
    <w:rPr>
      <w:rFonts w:ascii="Arial" w:hAnsi="Arial"/>
      <w:b/>
      <w:sz w:val="28"/>
    </w:rPr>
  </w:style>
  <w:style w:type="character" w:customStyle="1" w:styleId="2828">
    <w:name w:val="文档结构图 Char3"/>
    <w:semiHidden/>
    <w:qFormat/>
    <w:uiPriority w:val="99"/>
    <w:rPr>
      <w:rFonts w:ascii="宋体" w:eastAsia="宋体"/>
      <w:sz w:val="18"/>
      <w:szCs w:val="18"/>
    </w:rPr>
  </w:style>
  <w:style w:type="paragraph" w:customStyle="1" w:styleId="2829">
    <w:name w:val="样式 标题 21.1标题 21.1标题2标题 2 Char1节标2_Heading 2一级条 + 段前: 0....3"/>
    <w:basedOn w:val="82"/>
    <w:next w:val="82"/>
    <w:qFormat/>
    <w:uiPriority w:val="0"/>
    <w:pPr>
      <w:tabs>
        <w:tab w:val="left" w:pos="628"/>
        <w:tab w:val="left" w:pos="1680"/>
        <w:tab w:val="left" w:pos="1727"/>
        <w:tab w:val="left" w:pos="1884"/>
        <w:tab w:val="left" w:pos="4900"/>
      </w:tabs>
      <w:adjustRightInd w:val="0"/>
      <w:spacing w:beforeLines="50" w:afterLines="50" w:line="360" w:lineRule="auto"/>
      <w:ind w:left="-200" w:hanging="420" w:firstLineChars="0"/>
      <w:jc w:val="left"/>
    </w:pPr>
    <w:rPr>
      <w:rFonts w:hint="default" w:eastAsia="黑体"/>
      <w:kern w:val="0"/>
      <w:sz w:val="28"/>
      <w:szCs w:val="28"/>
    </w:rPr>
  </w:style>
  <w:style w:type="character" w:customStyle="1" w:styleId="2830">
    <w:name w:val="副标题 Char3"/>
    <w:qFormat/>
    <w:uiPriority w:val="11"/>
    <w:rPr>
      <w:rFonts w:ascii="Cambria" w:hAnsi="Cambria" w:eastAsia="宋体" w:cs="Times New Roman"/>
      <w:b/>
      <w:bCs/>
      <w:kern w:val="28"/>
      <w:sz w:val="32"/>
      <w:szCs w:val="32"/>
    </w:rPr>
  </w:style>
  <w:style w:type="paragraph" w:customStyle="1" w:styleId="2831">
    <w:name w:val="样式 列表 2 + 华文仿宋 居中"/>
    <w:basedOn w:val="35"/>
    <w:qFormat/>
    <w:uiPriority w:val="0"/>
    <w:pPr>
      <w:spacing w:line="240" w:lineRule="auto"/>
    </w:pPr>
    <w:rPr>
      <w:rFonts w:ascii="Times New Roman" w:eastAsia="楷体_GB2312" w:cs="宋体"/>
      <w:color w:val="000000"/>
      <w:szCs w:val="21"/>
    </w:rPr>
  </w:style>
  <w:style w:type="character" w:customStyle="1" w:styleId="2832">
    <w:name w:val="HTML 地址 Char1"/>
    <w:basedOn w:val="129"/>
    <w:semiHidden/>
    <w:qFormat/>
    <w:uiPriority w:val="99"/>
    <w:rPr>
      <w:rFonts w:ascii="宋体"/>
      <w:i/>
      <w:iCs/>
      <w:kern w:val="2"/>
      <w:sz w:val="25"/>
      <w:szCs w:val="25"/>
    </w:rPr>
  </w:style>
  <w:style w:type="paragraph" w:customStyle="1" w:styleId="2833">
    <w:name w:val="正文首行缩进31"/>
    <w:basedOn w:val="32"/>
    <w:qFormat/>
    <w:uiPriority w:val="0"/>
    <w:pPr>
      <w:adjustRightInd w:val="0"/>
      <w:snapToGrid w:val="0"/>
      <w:spacing w:after="0" w:line="312" w:lineRule="auto"/>
    </w:pPr>
    <w:rPr>
      <w:rFonts w:ascii="Calibri" w:hAnsi="Calibri"/>
      <w:kern w:val="0"/>
      <w:sz w:val="28"/>
      <w:szCs w:val="22"/>
    </w:rPr>
  </w:style>
  <w:style w:type="character" w:customStyle="1" w:styleId="2834">
    <w:name w:val="称呼 Char3"/>
    <w:basedOn w:val="129"/>
    <w:semiHidden/>
    <w:qFormat/>
    <w:uiPriority w:val="99"/>
  </w:style>
  <w:style w:type="paragraph" w:customStyle="1" w:styleId="2835">
    <w:name w:val="Char Char Char Char Char Char Char Char Char Char Char1 Char Char Char Char Char Char Char1"/>
    <w:basedOn w:val="1"/>
    <w:qFormat/>
    <w:uiPriority w:val="0"/>
    <w:rPr>
      <w:rFonts w:ascii="Times New Roman"/>
      <w:sz w:val="21"/>
      <w:szCs w:val="24"/>
    </w:rPr>
  </w:style>
  <w:style w:type="paragraph" w:customStyle="1" w:styleId="2836">
    <w:name w:val="Char52"/>
    <w:basedOn w:val="1"/>
    <w:qFormat/>
    <w:uiPriority w:val="0"/>
    <w:pPr>
      <w:spacing w:line="360" w:lineRule="auto"/>
      <w:ind w:firstLine="200" w:firstLineChars="200"/>
    </w:pPr>
    <w:rPr>
      <w:rFonts w:ascii="Times New Roman"/>
      <w:sz w:val="21"/>
      <w:szCs w:val="20"/>
    </w:rPr>
  </w:style>
  <w:style w:type="character" w:customStyle="1" w:styleId="2837">
    <w:name w:val="脚注文本 Char2"/>
    <w:semiHidden/>
    <w:qFormat/>
    <w:uiPriority w:val="99"/>
    <w:rPr>
      <w:sz w:val="18"/>
      <w:szCs w:val="18"/>
    </w:rPr>
  </w:style>
  <w:style w:type="paragraph" w:customStyle="1" w:styleId="2838">
    <w:name w:val="3 级样式"/>
    <w:basedOn w:val="5"/>
    <w:qFormat/>
    <w:uiPriority w:val="0"/>
    <w:pPr>
      <w:tabs>
        <w:tab w:val="left" w:pos="425"/>
        <w:tab w:val="left" w:pos="1571"/>
      </w:tabs>
      <w:spacing w:beforeLines="20" w:afterLines="30" w:line="360" w:lineRule="auto"/>
      <w:ind w:left="425" w:hanging="425" w:firstLineChars="200"/>
      <w:jc w:val="left"/>
    </w:pPr>
    <w:rPr>
      <w:rFonts w:ascii="Sim Sun" w:hAnsi="Sim Sun" w:eastAsia="仿宋体" w:cs="Sim Sun"/>
      <w:b w:val="0"/>
      <w:color w:val="000000"/>
      <w:kern w:val="28"/>
      <w:sz w:val="28"/>
      <w:szCs w:val="28"/>
    </w:rPr>
  </w:style>
  <w:style w:type="character" w:customStyle="1" w:styleId="2839">
    <w:name w:val="尾注文本 Char4"/>
    <w:basedOn w:val="129"/>
    <w:semiHidden/>
    <w:qFormat/>
    <w:uiPriority w:val="99"/>
  </w:style>
  <w:style w:type="character" w:customStyle="1" w:styleId="2840">
    <w:name w:val="批注文字 Char3"/>
    <w:basedOn w:val="129"/>
    <w:semiHidden/>
    <w:qFormat/>
    <w:uiPriority w:val="99"/>
  </w:style>
  <w:style w:type="paragraph" w:customStyle="1" w:styleId="2841">
    <w:name w:val="样式 正文缩进 + (西文) Arial (中文) 楷体_GB2312 四号"/>
    <w:basedOn w:val="20"/>
    <w:qFormat/>
    <w:uiPriority w:val="0"/>
    <w:pPr>
      <w:tabs>
        <w:tab w:val="left" w:pos="720"/>
      </w:tabs>
      <w:ind w:firstLine="560" w:firstLineChars="200"/>
    </w:pPr>
    <w:rPr>
      <w:rFonts w:eastAsia="宋体"/>
      <w:snapToGrid/>
      <w:sz w:val="28"/>
    </w:rPr>
  </w:style>
  <w:style w:type="paragraph" w:customStyle="1" w:styleId="2842">
    <w:name w:val="表内小4"/>
    <w:qFormat/>
    <w:uiPriority w:val="0"/>
    <w:pPr>
      <w:ind w:left="240" w:hanging="240"/>
    </w:pPr>
    <w:rPr>
      <w:rFonts w:ascii="Times New Roman" w:hAnsi="Times New Roman" w:eastAsia="宋体" w:cs="Times New Roman"/>
      <w:sz w:val="18"/>
      <w:szCs w:val="18"/>
      <w:lang w:val="en-US" w:eastAsia="zh-CN" w:bidi="ar-SA"/>
    </w:rPr>
  </w:style>
  <w:style w:type="paragraph" w:customStyle="1" w:styleId="2843">
    <w:name w:val="表内文字大"/>
    <w:basedOn w:val="1"/>
    <w:qFormat/>
    <w:uiPriority w:val="0"/>
    <w:pPr>
      <w:adjustRightInd w:val="0"/>
      <w:snapToGrid w:val="0"/>
      <w:spacing w:line="320" w:lineRule="exact"/>
      <w:ind w:firstLine="200" w:firstLineChars="200"/>
      <w:jc w:val="center"/>
    </w:pPr>
    <w:rPr>
      <w:rFonts w:ascii="Arial Unicode MS" w:hAnsi="Arial Unicode MS" w:cs="Vladimir Script"/>
      <w:sz w:val="21"/>
      <w:szCs w:val="21"/>
    </w:rPr>
  </w:style>
  <w:style w:type="paragraph" w:customStyle="1" w:styleId="2844">
    <w:name w:val="单行表格样式(5号)"/>
    <w:qFormat/>
    <w:uiPriority w:val="0"/>
    <w:rPr>
      <w:rFonts w:ascii="宋体" w:hAnsi="宋体" w:eastAsia="宋体" w:cs="Times New Roman"/>
      <w:kern w:val="2"/>
      <w:sz w:val="21"/>
      <w:szCs w:val="24"/>
      <w:lang w:val="en-US" w:eastAsia="zh-CN" w:bidi="ar-SA"/>
    </w:rPr>
  </w:style>
  <w:style w:type="character" w:customStyle="1" w:styleId="2845">
    <w:name w:val="宏文本 Char3"/>
    <w:basedOn w:val="129"/>
    <w:semiHidden/>
    <w:qFormat/>
    <w:uiPriority w:val="99"/>
    <w:rPr>
      <w:rFonts w:ascii="Courier New" w:hAnsi="Courier New" w:cs="Courier New"/>
      <w:kern w:val="2"/>
      <w:sz w:val="24"/>
      <w:szCs w:val="24"/>
    </w:rPr>
  </w:style>
  <w:style w:type="paragraph" w:customStyle="1" w:styleId="2846">
    <w:name w:val="z-窗体顶端3"/>
    <w:basedOn w:val="1"/>
    <w:next w:val="1"/>
    <w:qFormat/>
    <w:uiPriority w:val="0"/>
    <w:pPr>
      <w:widowControl/>
      <w:pBdr>
        <w:bottom w:val="single" w:color="auto" w:sz="6" w:space="1"/>
      </w:pBdr>
      <w:jc w:val="center"/>
    </w:pPr>
    <w:rPr>
      <w:rFonts w:ascii="Arial"/>
      <w:vanish/>
      <w:kern w:val="0"/>
      <w:sz w:val="16"/>
      <w:szCs w:val="20"/>
      <w:lang w:val="zh-CN"/>
    </w:rPr>
  </w:style>
  <w:style w:type="paragraph" w:customStyle="1" w:styleId="2847">
    <w:name w:val="书正文"/>
    <w:basedOn w:val="1"/>
    <w:qFormat/>
    <w:uiPriority w:val="0"/>
    <w:pPr>
      <w:spacing w:line="400" w:lineRule="atLeast"/>
      <w:ind w:firstLine="200" w:firstLineChars="200"/>
    </w:pPr>
    <w:rPr>
      <w:rFonts w:ascii="Times New Roman"/>
      <w:sz w:val="28"/>
      <w:szCs w:val="24"/>
    </w:rPr>
  </w:style>
  <w:style w:type="paragraph" w:customStyle="1" w:styleId="2848">
    <w:name w:val="河石管道 表格文字小五"/>
    <w:qFormat/>
    <w:uiPriority w:val="0"/>
    <w:pPr>
      <w:tabs>
        <w:tab w:val="left" w:pos="277"/>
        <w:tab w:val="left" w:pos="600"/>
        <w:tab w:val="left" w:pos="780"/>
        <w:tab w:val="left" w:pos="2517"/>
      </w:tabs>
      <w:adjustRightInd w:val="0"/>
      <w:jc w:val="center"/>
      <w:textAlignment w:val="baseline"/>
    </w:pPr>
    <w:rPr>
      <w:rFonts w:ascii="Calibri" w:hAnsi="Calibri" w:eastAsia="宋体" w:cs="Times New Roman"/>
      <w:kern w:val="2"/>
      <w:sz w:val="18"/>
      <w:szCs w:val="21"/>
      <w:lang w:val="en-US" w:eastAsia="zh-CN" w:bidi="ar-SA"/>
    </w:rPr>
  </w:style>
  <w:style w:type="paragraph" w:customStyle="1" w:styleId="2849">
    <w:name w:val="正文样式11"/>
    <w:basedOn w:val="1"/>
    <w:qFormat/>
    <w:uiPriority w:val="0"/>
    <w:pPr>
      <w:adjustRightInd w:val="0"/>
      <w:snapToGrid w:val="0"/>
      <w:spacing w:line="360" w:lineRule="auto"/>
      <w:ind w:firstLine="560"/>
    </w:pPr>
    <w:rPr>
      <w:rFonts w:ascii="Times New Roman"/>
      <w:sz w:val="24"/>
      <w:szCs w:val="24"/>
    </w:rPr>
  </w:style>
  <w:style w:type="paragraph" w:customStyle="1" w:styleId="2850">
    <w:name w:val="TY"/>
    <w:basedOn w:val="1"/>
    <w:qFormat/>
    <w:uiPriority w:val="0"/>
    <w:pPr>
      <w:adjustRightInd w:val="0"/>
      <w:snapToGrid w:val="0"/>
      <w:spacing w:before="40" w:after="40"/>
    </w:pPr>
    <w:rPr>
      <w:rFonts w:ascii="Times New Roman"/>
      <w:sz w:val="21"/>
      <w:szCs w:val="20"/>
    </w:rPr>
  </w:style>
  <w:style w:type="paragraph" w:customStyle="1" w:styleId="2851">
    <w:name w:val="样式 燕山正文 + 首行缩进:  3.5 字符"/>
    <w:basedOn w:val="940"/>
    <w:qFormat/>
    <w:uiPriority w:val="0"/>
    <w:pPr>
      <w:ind w:firstLine="560"/>
    </w:pPr>
    <w:rPr>
      <w:rFonts w:ascii="宋体"/>
      <w:color w:val="000000"/>
      <w:sz w:val="28"/>
      <w:szCs w:val="20"/>
    </w:rPr>
  </w:style>
  <w:style w:type="character" w:customStyle="1" w:styleId="2852">
    <w:name w:val="电子邮件签名 Char2"/>
    <w:basedOn w:val="129"/>
    <w:semiHidden/>
    <w:qFormat/>
    <w:uiPriority w:val="99"/>
    <w:rPr>
      <w:rFonts w:ascii="宋体"/>
      <w:kern w:val="2"/>
      <w:sz w:val="25"/>
      <w:szCs w:val="25"/>
    </w:rPr>
  </w:style>
  <w:style w:type="paragraph" w:customStyle="1" w:styleId="2853">
    <w:name w:val="样式 标题2　自动设置"/>
    <w:basedOn w:val="4"/>
    <w:qFormat/>
    <w:uiPriority w:val="0"/>
    <w:pPr>
      <w:tabs>
        <w:tab w:val="left" w:pos="992"/>
      </w:tabs>
      <w:ind w:left="992" w:hanging="567"/>
    </w:pPr>
    <w:rPr>
      <w:rFonts w:ascii="Arial" w:hAnsi="Arial" w:eastAsia="黑体"/>
      <w:snapToGrid/>
    </w:rPr>
  </w:style>
  <w:style w:type="paragraph" w:customStyle="1" w:styleId="2854">
    <w:name w:val="曹标题4"/>
    <w:basedOn w:val="336"/>
    <w:qFormat/>
    <w:uiPriority w:val="0"/>
    <w:pPr>
      <w:spacing w:beforeLines="0" w:afterLines="0" w:line="360" w:lineRule="auto"/>
      <w:jc w:val="left"/>
    </w:pPr>
    <w:rPr>
      <w:rFonts w:ascii="Calibri" w:hAnsi="Calibri"/>
      <w:b/>
      <w:szCs w:val="28"/>
    </w:rPr>
  </w:style>
  <w:style w:type="character" w:customStyle="1" w:styleId="2855">
    <w:name w:val="正文文本 3 Char3"/>
    <w:semiHidden/>
    <w:qFormat/>
    <w:uiPriority w:val="99"/>
    <w:rPr>
      <w:sz w:val="16"/>
      <w:szCs w:val="16"/>
    </w:rPr>
  </w:style>
  <w:style w:type="paragraph" w:customStyle="1" w:styleId="2856">
    <w:name w:val="_Style 5"/>
    <w:basedOn w:val="1"/>
    <w:qFormat/>
    <w:uiPriority w:val="0"/>
    <w:pPr>
      <w:widowControl/>
      <w:spacing w:after="160" w:line="240" w:lineRule="exact"/>
      <w:ind w:left="100" w:leftChars="-100" w:hanging="200" w:hangingChars="200"/>
      <w:jc w:val="left"/>
    </w:pPr>
    <w:rPr>
      <w:rFonts w:ascii="Times New Roman"/>
      <w:sz w:val="21"/>
      <w:szCs w:val="24"/>
    </w:rPr>
  </w:style>
  <w:style w:type="character" w:customStyle="1" w:styleId="2857">
    <w:name w:val="注释标题 Char3"/>
    <w:basedOn w:val="129"/>
    <w:semiHidden/>
    <w:qFormat/>
    <w:uiPriority w:val="99"/>
  </w:style>
  <w:style w:type="paragraph" w:customStyle="1" w:styleId="2858">
    <w:name w:val="样式 表格 + 居中"/>
    <w:basedOn w:val="1"/>
    <w:semiHidden/>
    <w:qFormat/>
    <w:uiPriority w:val="0"/>
    <w:pPr>
      <w:kinsoku w:val="0"/>
      <w:overflowPunct w:val="0"/>
      <w:adjustRightInd w:val="0"/>
      <w:snapToGrid w:val="0"/>
      <w:jc w:val="center"/>
    </w:pPr>
    <w:rPr>
      <w:rFonts w:ascii="Times New Roman"/>
      <w:color w:val="000000"/>
      <w:kern w:val="0"/>
      <w:sz w:val="24"/>
      <w:szCs w:val="24"/>
    </w:rPr>
  </w:style>
  <w:style w:type="paragraph" w:customStyle="1" w:styleId="2859">
    <w:name w:val="样式 正文（首行缩进两字） + 首行缩进:  2 字符"/>
    <w:basedOn w:val="20"/>
    <w:qFormat/>
    <w:uiPriority w:val="0"/>
    <w:pPr>
      <w:adjustRightInd w:val="0"/>
      <w:snapToGrid w:val="0"/>
      <w:spacing w:line="500" w:lineRule="atLeast"/>
      <w:ind w:firstLine="200" w:firstLineChars="200"/>
    </w:pPr>
    <w:rPr>
      <w:rFonts w:ascii="宋体" w:eastAsia="宋体" w:cs="宋体"/>
      <w:snapToGrid/>
      <w:sz w:val="28"/>
      <w:szCs w:val="22"/>
      <w:lang w:val="zh-CN"/>
    </w:rPr>
  </w:style>
  <w:style w:type="paragraph" w:customStyle="1" w:styleId="2860">
    <w:name w:val="题图"/>
    <w:basedOn w:val="1"/>
    <w:qFormat/>
    <w:uiPriority w:val="0"/>
    <w:pPr>
      <w:adjustRightInd w:val="0"/>
      <w:snapToGrid w:val="0"/>
      <w:spacing w:line="440" w:lineRule="exact"/>
      <w:ind w:firstLine="200" w:firstLineChars="200"/>
      <w:jc w:val="center"/>
    </w:pPr>
    <w:rPr>
      <w:rFonts w:ascii="Sim Sun" w:hAnsi="Arial Unicode MS" w:cs="Vladimir Script"/>
      <w:sz w:val="28"/>
      <w:szCs w:val="24"/>
    </w:rPr>
  </w:style>
  <w:style w:type="character" w:customStyle="1" w:styleId="2861">
    <w:name w:val="批注主题 Char3"/>
    <w:semiHidden/>
    <w:qFormat/>
    <w:uiPriority w:val="99"/>
    <w:rPr>
      <w:b/>
      <w:bCs/>
    </w:rPr>
  </w:style>
  <w:style w:type="paragraph" w:customStyle="1" w:styleId="2862">
    <w:name w:val="表格注释"/>
    <w:basedOn w:val="1"/>
    <w:qFormat/>
    <w:uiPriority w:val="0"/>
    <w:pPr>
      <w:spacing w:line="360" w:lineRule="auto"/>
      <w:ind w:firstLine="480" w:firstLineChars="200"/>
      <w:jc w:val="center"/>
    </w:pPr>
    <w:rPr>
      <w:rFonts w:ascii="Times New Roman" w:cs="宋体"/>
      <w:sz w:val="28"/>
      <w:szCs w:val="20"/>
    </w:rPr>
  </w:style>
  <w:style w:type="paragraph" w:customStyle="1" w:styleId="2863">
    <w:name w:val="部分副题目"/>
    <w:basedOn w:val="1"/>
    <w:next w:val="32"/>
    <w:qFormat/>
    <w:uiPriority w:val="0"/>
    <w:pPr>
      <w:keepNext/>
      <w:keepLines/>
      <w:widowControl/>
      <w:spacing w:after="160" w:line="400" w:lineRule="atLeast"/>
      <w:ind w:left="1080" w:right="2160"/>
      <w:jc w:val="left"/>
    </w:pPr>
    <w:rPr>
      <w:rFonts w:ascii="Times New Roman"/>
      <w:i/>
      <w:spacing w:val="-14"/>
      <w:kern w:val="28"/>
      <w:sz w:val="34"/>
      <w:szCs w:val="20"/>
    </w:rPr>
  </w:style>
  <w:style w:type="paragraph" w:customStyle="1" w:styleId="2864">
    <w:name w:val="陆晶 表中正文五号"/>
    <w:basedOn w:val="1"/>
    <w:qFormat/>
    <w:uiPriority w:val="0"/>
    <w:pPr>
      <w:spacing w:line="480" w:lineRule="exact"/>
      <w:jc w:val="center"/>
    </w:pPr>
    <w:rPr>
      <w:rFonts w:hAnsi="宋体"/>
      <w:bCs/>
      <w:sz w:val="21"/>
      <w:szCs w:val="21"/>
    </w:rPr>
  </w:style>
  <w:style w:type="paragraph" w:customStyle="1" w:styleId="2865">
    <w:name w:val="首选正文"/>
    <w:basedOn w:val="1"/>
    <w:qFormat/>
    <w:uiPriority w:val="0"/>
    <w:pPr>
      <w:widowControl/>
      <w:spacing w:line="460" w:lineRule="exact"/>
      <w:ind w:firstLine="480" w:firstLineChars="200"/>
      <w:jc w:val="left"/>
    </w:pPr>
    <w:rPr>
      <w:rFonts w:ascii="Arial Unicode MS" w:hAnsi="Arial Unicode MS" w:cs="Sim Sun"/>
      <w:kern w:val="0"/>
      <w:sz w:val="24"/>
      <w:szCs w:val="24"/>
    </w:rPr>
  </w:style>
  <w:style w:type="paragraph" w:customStyle="1" w:styleId="2866">
    <w:name w:val="正文文本缩进31"/>
    <w:basedOn w:val="1"/>
    <w:qFormat/>
    <w:uiPriority w:val="0"/>
    <w:pPr>
      <w:spacing w:after="120"/>
      <w:ind w:left="420"/>
    </w:pPr>
    <w:rPr>
      <w:rFonts w:ascii="Times New Roman"/>
      <w:sz w:val="21"/>
      <w:szCs w:val="21"/>
    </w:rPr>
  </w:style>
  <w:style w:type="paragraph" w:customStyle="1" w:styleId="2867">
    <w:name w:val="样式 正文文字缩进正文文字( 首段缩进两字）正文文字缩进2字符正文文本缩进 Char2正文文本缩进 Char1 Char..."/>
    <w:basedOn w:val="33"/>
    <w:qFormat/>
    <w:uiPriority w:val="0"/>
    <w:pPr>
      <w:spacing w:line="480" w:lineRule="exact"/>
      <w:ind w:firstLine="567"/>
    </w:pPr>
    <w:rPr>
      <w:rFonts w:hint="default" w:hAnsi="Times New Roman" w:cs="Times New Roman"/>
      <w:spacing w:val="6"/>
      <w:sz w:val="28"/>
      <w:szCs w:val="28"/>
    </w:rPr>
  </w:style>
  <w:style w:type="paragraph" w:customStyle="1" w:styleId="2868">
    <w:name w:val="表格方案样式2"/>
    <w:basedOn w:val="1"/>
    <w:qFormat/>
    <w:uiPriority w:val="0"/>
    <w:pPr>
      <w:tabs>
        <w:tab w:val="left" w:pos="567"/>
      </w:tabs>
      <w:jc w:val="center"/>
    </w:pPr>
    <w:rPr>
      <w:rFonts w:ascii="Times New Roman" w:eastAsia="华文中宋"/>
      <w:sz w:val="24"/>
      <w:szCs w:val="20"/>
    </w:rPr>
  </w:style>
  <w:style w:type="paragraph" w:customStyle="1" w:styleId="2869">
    <w:name w:val="reader-word-layer reader-word-s1-0"/>
    <w:basedOn w:val="1"/>
    <w:qFormat/>
    <w:uiPriority w:val="0"/>
    <w:pPr>
      <w:widowControl/>
      <w:spacing w:before="100" w:beforeAutospacing="1" w:after="100" w:afterAutospacing="1"/>
      <w:jc w:val="left"/>
    </w:pPr>
    <w:rPr>
      <w:rFonts w:hAnsi="宋体" w:cs="宋体"/>
      <w:kern w:val="0"/>
      <w:sz w:val="24"/>
      <w:szCs w:val="24"/>
    </w:rPr>
  </w:style>
  <w:style w:type="paragraph" w:customStyle="1" w:styleId="2870">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200" w:firstLineChars="200"/>
      <w:jc w:val="left"/>
    </w:pPr>
    <w:rPr>
      <w:rFonts w:ascii="ˎ̥" w:hAnsi="ˎ̥" w:cs="Vladimir Script"/>
      <w:b/>
      <w:spacing w:val="-10"/>
      <w:kern w:val="0"/>
      <w:position w:val="7"/>
      <w:sz w:val="20"/>
      <w:szCs w:val="20"/>
    </w:rPr>
  </w:style>
  <w:style w:type="paragraph" w:customStyle="1" w:styleId="2871">
    <w:name w:val="正文文本缩进6"/>
    <w:basedOn w:val="1"/>
    <w:qFormat/>
    <w:uiPriority w:val="0"/>
    <w:pPr>
      <w:ind w:left="629"/>
    </w:pPr>
    <w:rPr>
      <w:rFonts w:ascii="Times New Roman"/>
      <w:sz w:val="32"/>
      <w:szCs w:val="20"/>
    </w:rPr>
  </w:style>
  <w:style w:type="paragraph" w:customStyle="1" w:styleId="2872">
    <w:name w:val="样式 标题 3 + 段前: 0.3 行"/>
    <w:basedOn w:val="5"/>
    <w:qFormat/>
    <w:uiPriority w:val="0"/>
    <w:pPr>
      <w:keepNext w:val="0"/>
      <w:tabs>
        <w:tab w:val="left" w:pos="1571"/>
      </w:tabs>
      <w:spacing w:beforeLines="50" w:after="120" w:line="440" w:lineRule="exact"/>
      <w:ind w:left="1418" w:firstLine="493"/>
    </w:pPr>
    <w:rPr>
      <w:rFonts w:ascii="Arial" w:hAnsi="Arial" w:eastAsia="黑体"/>
      <w:b w:val="0"/>
      <w:bCs w:val="0"/>
      <w:spacing w:val="16"/>
      <w:w w:val="95"/>
      <w:kern w:val="0"/>
      <w:sz w:val="26"/>
      <w:szCs w:val="20"/>
    </w:rPr>
  </w:style>
  <w:style w:type="paragraph" w:customStyle="1" w:styleId="2873">
    <w:name w:val="表标题3.4"/>
    <w:basedOn w:val="1"/>
    <w:qFormat/>
    <w:uiPriority w:val="0"/>
    <w:pPr>
      <w:tabs>
        <w:tab w:val="left" w:pos="720"/>
      </w:tabs>
      <w:spacing w:beforeLines="100" w:line="0" w:lineRule="atLeast"/>
      <w:ind w:left="284" w:firstLine="6"/>
    </w:pPr>
    <w:rPr>
      <w:rFonts w:ascii="Times New Roman" w:eastAsia="黑体"/>
      <w:b/>
      <w:sz w:val="24"/>
      <w:szCs w:val="24"/>
    </w:rPr>
  </w:style>
  <w:style w:type="paragraph" w:customStyle="1" w:styleId="2874">
    <w:name w:val="四号"/>
    <w:basedOn w:val="1"/>
    <w:qFormat/>
    <w:uiPriority w:val="0"/>
    <w:pPr>
      <w:overflowPunct w:val="0"/>
      <w:spacing w:line="360" w:lineRule="auto"/>
      <w:jc w:val="left"/>
      <w:textAlignment w:val="baseline"/>
    </w:pPr>
    <w:rPr>
      <w:rFonts w:ascii="Times New Roman"/>
      <w:sz w:val="28"/>
      <w:szCs w:val="20"/>
    </w:rPr>
  </w:style>
  <w:style w:type="paragraph" w:customStyle="1" w:styleId="2875">
    <w:name w:val="Char2 Char Char Char1 Char Char Char2"/>
    <w:basedOn w:val="1"/>
    <w:qFormat/>
    <w:uiPriority w:val="0"/>
    <w:pPr>
      <w:widowControl/>
      <w:spacing w:after="160" w:line="240" w:lineRule="exact"/>
      <w:jc w:val="left"/>
    </w:pPr>
    <w:rPr>
      <w:rFonts w:ascii="Arial" w:hAnsi="Arial"/>
      <w:spacing w:val="3"/>
      <w:kern w:val="0"/>
      <w:sz w:val="20"/>
      <w:szCs w:val="20"/>
      <w:lang w:eastAsia="en-US"/>
    </w:rPr>
  </w:style>
  <w:style w:type="paragraph" w:customStyle="1" w:styleId="2876">
    <w:name w:val="文本框五号"/>
    <w:semiHidden/>
    <w:qFormat/>
    <w:uiPriority w:val="0"/>
    <w:pPr>
      <w:adjustRightInd w:val="0"/>
      <w:snapToGrid w:val="0"/>
      <w:spacing w:line="240" w:lineRule="atLeast"/>
      <w:jc w:val="center"/>
    </w:pPr>
    <w:rPr>
      <w:rFonts w:ascii="Calibri" w:hAnsi="Calibri" w:eastAsia="仿宋_GB2312" w:cs="Times New Roman"/>
      <w:kern w:val="2"/>
      <w:sz w:val="21"/>
      <w:szCs w:val="21"/>
      <w:lang w:val="en-US" w:eastAsia="zh-CN" w:bidi="ar-SA"/>
    </w:rPr>
  </w:style>
  <w:style w:type="paragraph" w:customStyle="1" w:styleId="2877">
    <w:name w:val="Char Char Char Char Char Char1 Char2"/>
    <w:basedOn w:val="1"/>
    <w:qFormat/>
    <w:uiPriority w:val="0"/>
    <w:pPr>
      <w:widowControl/>
      <w:spacing w:after="160" w:line="240" w:lineRule="exact"/>
      <w:jc w:val="left"/>
    </w:pPr>
    <w:rPr>
      <w:rFonts w:ascii="Arial" w:hAnsi="Arial" w:eastAsia="Times New Roman"/>
      <w:b/>
      <w:kern w:val="0"/>
      <w:sz w:val="24"/>
      <w:szCs w:val="20"/>
      <w:lang w:eastAsia="en-US"/>
    </w:rPr>
  </w:style>
  <w:style w:type="paragraph" w:customStyle="1" w:styleId="2878">
    <w:name w:val="正文文字xin"/>
    <w:qFormat/>
    <w:uiPriority w:val="0"/>
    <w:pPr>
      <w:tabs>
        <w:tab w:val="left" w:pos="283"/>
      </w:tabs>
    </w:pPr>
    <w:rPr>
      <w:rFonts w:ascii="Times New Roman" w:hAnsi="Times New Roman" w:eastAsia="宋体" w:cs="Times New Roman"/>
      <w:lang w:val="en-US" w:eastAsia="zh-CN" w:bidi="ar-SA"/>
    </w:rPr>
  </w:style>
  <w:style w:type="paragraph" w:customStyle="1" w:styleId="2879">
    <w:name w:val="a正文格式"/>
    <w:basedOn w:val="1"/>
    <w:qFormat/>
    <w:uiPriority w:val="0"/>
    <w:pPr>
      <w:tabs>
        <w:tab w:val="left" w:pos="283"/>
      </w:tabs>
      <w:ind w:firstLine="200"/>
    </w:pPr>
    <w:rPr>
      <w:rFonts w:ascii="Times New Roman"/>
      <w:sz w:val="21"/>
      <w:szCs w:val="24"/>
    </w:rPr>
  </w:style>
  <w:style w:type="paragraph" w:customStyle="1" w:styleId="2880">
    <w:name w:val="Char Char202"/>
    <w:basedOn w:val="1"/>
    <w:qFormat/>
    <w:uiPriority w:val="0"/>
    <w:pPr>
      <w:spacing w:line="375" w:lineRule="atLeast"/>
      <w:ind w:firstLine="128" w:firstLineChars="50"/>
      <w:jc w:val="left"/>
    </w:pPr>
    <w:rPr>
      <w:rFonts w:ascii="Times New Roman"/>
      <w:sz w:val="24"/>
      <w:szCs w:val="24"/>
    </w:rPr>
  </w:style>
  <w:style w:type="paragraph" w:customStyle="1" w:styleId="2881">
    <w:name w:val="样式 标题 4表图题H4 + 段前: 0.5 行1"/>
    <w:basedOn w:val="6"/>
    <w:qFormat/>
    <w:uiPriority w:val="0"/>
    <w:pPr>
      <w:keepNext/>
      <w:keepLines/>
      <w:tabs>
        <w:tab w:val="left" w:pos="720"/>
        <w:tab w:val="left" w:pos="2160"/>
        <w:tab w:val="left" w:pos="2356"/>
        <w:tab w:val="clear" w:pos="360"/>
        <w:tab w:val="clear" w:pos="2207"/>
      </w:tabs>
      <w:spacing w:beforeLines="0" w:afterLines="0" w:line="377" w:lineRule="auto"/>
      <w:ind w:left="2160" w:hanging="420"/>
    </w:pPr>
    <w:rPr>
      <w:rFonts w:ascii="Arial" w:hAnsi="Arial" w:eastAsia="宋体" w:cs="宋体"/>
      <w:snapToGrid/>
      <w:color w:val="auto"/>
    </w:rPr>
  </w:style>
  <w:style w:type="paragraph" w:customStyle="1" w:styleId="2882">
    <w:name w:val="说明书"/>
    <w:basedOn w:val="1"/>
    <w:qFormat/>
    <w:uiPriority w:val="0"/>
    <w:pPr>
      <w:spacing w:line="400" w:lineRule="exact"/>
      <w:ind w:firstLine="567"/>
    </w:pPr>
    <w:rPr>
      <w:rFonts w:ascii="Times New Roman" w:eastAsia="仿宋_GB2312"/>
      <w:sz w:val="28"/>
      <w:szCs w:val="20"/>
    </w:rPr>
  </w:style>
  <w:style w:type="paragraph" w:customStyle="1" w:styleId="2883">
    <w:name w:val="节1.1"/>
    <w:basedOn w:val="4"/>
    <w:qFormat/>
    <w:uiPriority w:val="0"/>
    <w:pPr>
      <w:keepLines w:val="0"/>
      <w:widowControl/>
      <w:spacing w:before="200" w:after="200" w:line="360" w:lineRule="auto"/>
      <w:jc w:val="left"/>
    </w:pPr>
    <w:rPr>
      <w:rFonts w:ascii="Arial" w:hAnsi="Arial"/>
      <w:bCs w:val="0"/>
      <w:i/>
      <w:snapToGrid/>
      <w:kern w:val="0"/>
      <w:sz w:val="20"/>
      <w:szCs w:val="20"/>
    </w:rPr>
  </w:style>
  <w:style w:type="paragraph" w:customStyle="1" w:styleId="2884">
    <w:name w:val="_Style 3"/>
    <w:basedOn w:val="1"/>
    <w:qFormat/>
    <w:uiPriority w:val="0"/>
    <w:rPr>
      <w:rFonts w:ascii="Times New Roman"/>
      <w:sz w:val="21"/>
      <w:szCs w:val="20"/>
    </w:rPr>
  </w:style>
  <w:style w:type="paragraph" w:customStyle="1" w:styleId="2885">
    <w:name w:val="正文+宋体"/>
    <w:basedOn w:val="1"/>
    <w:qFormat/>
    <w:uiPriority w:val="0"/>
    <w:pPr>
      <w:tabs>
        <w:tab w:val="left" w:pos="4680"/>
      </w:tabs>
      <w:jc w:val="center"/>
    </w:pPr>
    <w:rPr>
      <w:rFonts w:hAnsi="宋体"/>
      <w:color w:val="0000FF"/>
      <w:spacing w:val="-12"/>
      <w:sz w:val="21"/>
      <w:szCs w:val="21"/>
    </w:rPr>
  </w:style>
  <w:style w:type="paragraph" w:customStyle="1" w:styleId="2886">
    <w:name w:val="河石管道 表格正文"/>
    <w:qFormat/>
    <w:uiPriority w:val="0"/>
    <w:pPr>
      <w:adjustRightInd w:val="0"/>
      <w:snapToGrid w:val="0"/>
      <w:jc w:val="center"/>
    </w:pPr>
    <w:rPr>
      <w:rFonts w:ascii="Calibri" w:hAnsi="Calibri" w:eastAsia="宋体" w:cs="Times New Roman"/>
      <w:kern w:val="2"/>
      <w:sz w:val="21"/>
      <w:szCs w:val="21"/>
      <w:lang w:val="en-US" w:eastAsia="zh-CN" w:bidi="ar-SA"/>
    </w:rPr>
  </w:style>
  <w:style w:type="paragraph" w:customStyle="1" w:styleId="2887">
    <w:name w:val="Char Char Char Char Char Char14"/>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2888">
    <w:name w:val="默认段落字体 Para Char Char Char Char Char Char Char Char Char Char Char"/>
    <w:basedOn w:val="5"/>
    <w:qFormat/>
    <w:uiPriority w:val="0"/>
    <w:pPr>
      <w:tabs>
        <w:tab w:val="left" w:pos="360"/>
        <w:tab w:val="left" w:pos="900"/>
        <w:tab w:val="left" w:pos="1571"/>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2889">
    <w:name w:val="表格内容2"/>
    <w:next w:val="1"/>
    <w:qFormat/>
    <w:uiPriority w:val="0"/>
    <w:pPr>
      <w:jc w:val="center"/>
    </w:pPr>
    <w:rPr>
      <w:rFonts w:ascii="Calibri" w:hAnsi="Calibri" w:eastAsia="宋体" w:cs="宋体"/>
      <w:kern w:val="2"/>
      <w:sz w:val="21"/>
      <w:szCs w:val="21"/>
      <w:lang w:val="en-US" w:eastAsia="zh-CN" w:bidi="ar-SA"/>
    </w:rPr>
  </w:style>
  <w:style w:type="paragraph" w:customStyle="1" w:styleId="2890">
    <w:name w:val="垃圾 表格"/>
    <w:basedOn w:val="1"/>
    <w:next w:val="1"/>
    <w:qFormat/>
    <w:uiPriority w:val="0"/>
    <w:pPr>
      <w:snapToGrid w:val="0"/>
      <w:spacing w:line="240" w:lineRule="exact"/>
      <w:jc w:val="center"/>
    </w:pPr>
    <w:rPr>
      <w:rFonts w:ascii="Times New Roman" w:eastAsia="仿宋_GB2312"/>
      <w:color w:val="000000"/>
      <w:kern w:val="0"/>
      <w:sz w:val="21"/>
      <w:szCs w:val="21"/>
    </w:rPr>
  </w:style>
  <w:style w:type="paragraph" w:customStyle="1" w:styleId="2891">
    <w:name w:val="默认段落字体 Para Char Char Char Char Char"/>
    <w:basedOn w:val="1"/>
    <w:qFormat/>
    <w:uiPriority w:val="0"/>
    <w:pPr>
      <w:ind w:firstLine="200" w:firstLineChars="200"/>
      <w:jc w:val="left"/>
    </w:pPr>
    <w:rPr>
      <w:rFonts w:ascii="Times New Roman"/>
      <w:sz w:val="28"/>
      <w:szCs w:val="24"/>
    </w:rPr>
  </w:style>
  <w:style w:type="paragraph" w:customStyle="1" w:styleId="2892">
    <w:name w:val="无间隔21"/>
    <w:basedOn w:val="20"/>
    <w:qFormat/>
    <w:uiPriority w:val="0"/>
    <w:pPr>
      <w:tabs>
        <w:tab w:val="left" w:pos="1523"/>
      </w:tabs>
      <w:ind w:firstLine="0"/>
      <w:textAlignment w:val="baseline"/>
      <w:outlineLvl w:val="3"/>
    </w:pPr>
    <w:rPr>
      <w:rFonts w:hint="eastAsia" w:eastAsia="宋体"/>
      <w:snapToGrid/>
      <w:sz w:val="25"/>
      <w:szCs w:val="22"/>
    </w:rPr>
  </w:style>
  <w:style w:type="paragraph" w:customStyle="1" w:styleId="2893">
    <w:name w:val="表中正文内容"/>
    <w:basedOn w:val="1"/>
    <w:qFormat/>
    <w:uiPriority w:val="0"/>
    <w:pPr>
      <w:adjustRightInd w:val="0"/>
      <w:spacing w:line="480" w:lineRule="exact"/>
      <w:ind w:firstLine="560" w:firstLineChars="200"/>
      <w:jc w:val="left"/>
      <w:textAlignment w:val="baseline"/>
    </w:pPr>
    <w:rPr>
      <w:rFonts w:ascii="Times New Roman"/>
      <w:sz w:val="28"/>
      <w:szCs w:val="20"/>
    </w:rPr>
  </w:style>
  <w:style w:type="paragraph" w:customStyle="1" w:styleId="2894">
    <w:name w:val="title 01"/>
    <w:basedOn w:val="1"/>
    <w:qFormat/>
    <w:uiPriority w:val="0"/>
    <w:pPr>
      <w:jc w:val="center"/>
    </w:pPr>
    <w:rPr>
      <w:rFonts w:ascii="Times New Roman" w:cs="宋体"/>
      <w:sz w:val="44"/>
      <w:szCs w:val="20"/>
    </w:rPr>
  </w:style>
  <w:style w:type="paragraph" w:customStyle="1" w:styleId="2895">
    <w:name w:val="reader-word-layer reader-word-s28-8"/>
    <w:basedOn w:val="1"/>
    <w:qFormat/>
    <w:uiPriority w:val="0"/>
    <w:pPr>
      <w:widowControl/>
      <w:spacing w:before="100" w:beforeAutospacing="1" w:after="100" w:afterAutospacing="1"/>
      <w:jc w:val="left"/>
    </w:pPr>
    <w:rPr>
      <w:rFonts w:hAnsi="宋体" w:cs="宋体"/>
      <w:kern w:val="0"/>
      <w:sz w:val="24"/>
      <w:szCs w:val="24"/>
    </w:rPr>
  </w:style>
  <w:style w:type="paragraph" w:customStyle="1" w:styleId="2896">
    <w:name w:val="表格（横向）"/>
    <w:qFormat/>
    <w:uiPriority w:val="0"/>
    <w:pPr>
      <w:spacing w:line="160" w:lineRule="atLeast"/>
    </w:pPr>
    <w:rPr>
      <w:rFonts w:ascii="Arial Narrow" w:hAnsi="Arial Narrow" w:eastAsia="宋体" w:cs="Times New Roman"/>
      <w:b/>
      <w:spacing w:val="-10"/>
      <w:sz w:val="24"/>
      <w:szCs w:val="24"/>
      <w:lang w:val="en-US" w:eastAsia="zh-CN" w:bidi="ar-SA"/>
    </w:rPr>
  </w:style>
  <w:style w:type="paragraph" w:customStyle="1" w:styleId="2897">
    <w:name w:val="正文文本缩进 23"/>
    <w:basedOn w:val="1"/>
    <w:qFormat/>
    <w:uiPriority w:val="0"/>
    <w:pPr>
      <w:adjustRightInd w:val="0"/>
      <w:spacing w:line="460" w:lineRule="exact"/>
      <w:ind w:firstLine="480"/>
      <w:textAlignment w:val="baseline"/>
    </w:pPr>
    <w:rPr>
      <w:rFonts w:ascii="Times New Roman"/>
      <w:sz w:val="24"/>
      <w:szCs w:val="20"/>
    </w:rPr>
  </w:style>
  <w:style w:type="paragraph" w:customStyle="1" w:styleId="2898">
    <w:name w:val="样式 样式 正文首行缩进 + 黑色 + 首行缩进:  1 字符"/>
    <w:basedOn w:val="1"/>
    <w:qFormat/>
    <w:uiPriority w:val="0"/>
    <w:pPr>
      <w:spacing w:line="360" w:lineRule="auto"/>
    </w:pPr>
    <w:rPr>
      <w:rFonts w:cs="宋体"/>
      <w:color w:val="000000"/>
      <w:sz w:val="24"/>
      <w:szCs w:val="20"/>
    </w:rPr>
  </w:style>
  <w:style w:type="paragraph" w:customStyle="1" w:styleId="2899">
    <w:name w:val="GM"/>
    <w:basedOn w:val="3"/>
    <w:semiHidden/>
    <w:qFormat/>
    <w:uiPriority w:val="0"/>
    <w:pPr>
      <w:tabs>
        <w:tab w:val="left" w:pos="425"/>
      </w:tabs>
      <w:spacing w:beforeLines="0" w:after="330" w:line="576" w:lineRule="auto"/>
      <w:ind w:left="425" w:hanging="425"/>
    </w:pPr>
    <w:rPr>
      <w:rFonts w:eastAsia="宋体"/>
      <w:b/>
      <w:snapToGrid/>
      <w:sz w:val="44"/>
      <w:szCs w:val="20"/>
    </w:rPr>
  </w:style>
  <w:style w:type="paragraph" w:customStyle="1" w:styleId="2900">
    <w:name w:val="标题1+渔阳1"/>
    <w:basedOn w:val="3"/>
    <w:qFormat/>
    <w:uiPriority w:val="0"/>
    <w:pPr>
      <w:tabs>
        <w:tab w:val="left" w:pos="425"/>
      </w:tabs>
      <w:spacing w:beforeLines="0" w:after="120"/>
      <w:ind w:left="425" w:hanging="425"/>
    </w:pPr>
    <w:rPr>
      <w:rFonts w:ascii="黑体"/>
      <w:b/>
      <w:bCs/>
      <w:snapToGrid/>
      <w:sz w:val="44"/>
      <w:szCs w:val="44"/>
    </w:rPr>
  </w:style>
  <w:style w:type="paragraph" w:customStyle="1" w:styleId="2901">
    <w:name w:val="Char Char Char Char Char Char Char Char Char Char Char1 Char Char Char Char"/>
    <w:basedOn w:val="1"/>
    <w:qFormat/>
    <w:uiPriority w:val="0"/>
    <w:rPr>
      <w:rFonts w:ascii="Batang" w:hAnsi="Batang" w:cs="Batang"/>
      <w:sz w:val="21"/>
      <w:szCs w:val="24"/>
    </w:rPr>
  </w:style>
  <w:style w:type="paragraph" w:customStyle="1" w:styleId="2902">
    <w:name w:val="Char Char2 Char"/>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b w:val="0"/>
      <w:bCs w:val="0"/>
      <w:snapToGrid w:val="0"/>
      <w:sz w:val="24"/>
      <w:szCs w:val="20"/>
    </w:rPr>
  </w:style>
  <w:style w:type="paragraph" w:customStyle="1" w:styleId="2903">
    <w:name w:val="样式 样式 标题 1 + 宋体 小四 加粗 + 行距: 1.5 倍行距"/>
    <w:basedOn w:val="1387"/>
    <w:qFormat/>
    <w:uiPriority w:val="0"/>
    <w:pPr>
      <w:pageBreakBefore/>
      <w:widowControl w:val="0"/>
      <w:tabs>
        <w:tab w:val="left" w:pos="425"/>
      </w:tabs>
      <w:spacing w:after="0" w:line="520" w:lineRule="exact"/>
      <w:jc w:val="both"/>
    </w:pPr>
    <w:rPr>
      <w:rFonts w:ascii="Gungsuh" w:hAnsi="Gungsuh" w:cs="宋体"/>
      <w:bCs w:val="0"/>
      <w:sz w:val="30"/>
    </w:rPr>
  </w:style>
  <w:style w:type="paragraph" w:customStyle="1" w:styleId="2904">
    <w:name w:val="列表1"/>
    <w:basedOn w:val="1"/>
    <w:qFormat/>
    <w:uiPriority w:val="0"/>
    <w:pPr>
      <w:spacing w:line="320" w:lineRule="exact"/>
      <w:ind w:firstLine="200" w:firstLineChars="200"/>
      <w:jc w:val="center"/>
    </w:pPr>
    <w:rPr>
      <w:rFonts w:ascii="Garamond" w:hAnsi="Arial Unicode MS" w:eastAsia="Garamond"/>
      <w:snapToGrid w:val="0"/>
      <w:sz w:val="24"/>
      <w:szCs w:val="22"/>
    </w:rPr>
  </w:style>
  <w:style w:type="paragraph" w:customStyle="1" w:styleId="2905">
    <w:name w:val="采用正文"/>
    <w:basedOn w:val="5"/>
    <w:qFormat/>
    <w:uiPriority w:val="0"/>
    <w:pPr>
      <w:keepNext w:val="0"/>
      <w:keepLines w:val="0"/>
      <w:tabs>
        <w:tab w:val="left" w:pos="0"/>
        <w:tab w:val="left" w:pos="1571"/>
      </w:tabs>
      <w:snapToGrid w:val="0"/>
      <w:spacing w:before="0" w:after="0" w:line="560" w:lineRule="exact"/>
      <w:ind w:firstLine="200" w:firstLineChars="200"/>
      <w:outlineLvl w:val="9"/>
    </w:pPr>
    <w:rPr>
      <w:rFonts w:eastAsia="仿宋_GB2312"/>
      <w:b w:val="0"/>
      <w:bCs w:val="0"/>
      <w:sz w:val="24"/>
    </w:rPr>
  </w:style>
  <w:style w:type="paragraph" w:customStyle="1" w:styleId="2906">
    <w:name w:val="CM5"/>
    <w:basedOn w:val="154"/>
    <w:next w:val="154"/>
    <w:qFormat/>
    <w:uiPriority w:val="0"/>
    <w:pPr>
      <w:spacing w:line="436" w:lineRule="atLeast"/>
    </w:pPr>
    <w:rPr>
      <w:rFonts w:ascii="仿宋_GB2312" w:hAnsi="Calibri" w:eastAsia="仿宋_GB2312" w:cs="Times New Roman"/>
      <w:color w:val="auto"/>
      <w:kern w:val="2"/>
    </w:rPr>
  </w:style>
  <w:style w:type="paragraph" w:customStyle="1" w:styleId="2907">
    <w:name w:val="2 Char Char Char Char Char Char Char"/>
    <w:basedOn w:val="1"/>
    <w:qFormat/>
    <w:uiPriority w:val="0"/>
    <w:rPr>
      <w:rFonts w:ascii="Batang" w:hAnsi="Batang" w:cs="Batang"/>
      <w:sz w:val="21"/>
      <w:szCs w:val="24"/>
    </w:rPr>
  </w:style>
  <w:style w:type="paragraph" w:customStyle="1" w:styleId="2908">
    <w:name w:val="样式 桔黄 首行缩进:  1 厘米 行距: 固定值 25 磅"/>
    <w:basedOn w:val="1"/>
    <w:qFormat/>
    <w:uiPriority w:val="0"/>
    <w:pPr>
      <w:adjustRightInd w:val="0"/>
      <w:spacing w:line="500" w:lineRule="exact"/>
      <w:ind w:firstLine="560" w:firstLineChars="200"/>
    </w:pPr>
    <w:rPr>
      <w:rFonts w:ascii="Sim Sun" w:hAnsi="Sim Sun" w:cs="Sim Sun"/>
      <w:kern w:val="0"/>
      <w:sz w:val="28"/>
      <w:szCs w:val="20"/>
    </w:rPr>
  </w:style>
  <w:style w:type="paragraph" w:customStyle="1" w:styleId="2909">
    <w:name w:val="Main"/>
    <w:basedOn w:val="1"/>
    <w:qFormat/>
    <w:uiPriority w:val="0"/>
    <w:pPr>
      <w:spacing w:line="480" w:lineRule="atLeast"/>
      <w:ind w:left="400" w:leftChars="400" w:right="400" w:rightChars="400" w:firstLine="200" w:firstLineChars="200"/>
    </w:pPr>
    <w:rPr>
      <w:rFonts w:ascii="仿宋_GB2312" w:hAnsi="仿宋_GB2312" w:cs="Batang"/>
      <w:sz w:val="28"/>
      <w:szCs w:val="28"/>
    </w:rPr>
  </w:style>
  <w:style w:type="paragraph" w:customStyle="1" w:styleId="2910">
    <w:name w:val="a9"/>
    <w:basedOn w:val="1"/>
    <w:qFormat/>
    <w:uiPriority w:val="0"/>
    <w:pPr>
      <w:widowControl/>
      <w:spacing w:before="100" w:beforeAutospacing="1" w:after="100" w:afterAutospacing="1"/>
      <w:jc w:val="left"/>
    </w:pPr>
    <w:rPr>
      <w:rFonts w:hAnsi="宋体" w:cs="宋体"/>
      <w:kern w:val="0"/>
      <w:sz w:val="24"/>
      <w:szCs w:val="24"/>
    </w:rPr>
  </w:style>
  <w:style w:type="paragraph" w:customStyle="1" w:styleId="2911">
    <w:name w:val="样式 宋体 小四 行距: 固定值 18.5 磅"/>
    <w:basedOn w:val="1"/>
    <w:qFormat/>
    <w:uiPriority w:val="0"/>
    <w:pPr>
      <w:spacing w:line="370" w:lineRule="exact"/>
      <w:ind w:firstLine="480" w:firstLineChars="200"/>
    </w:pPr>
    <w:rPr>
      <w:rFonts w:hAnsi="宋体" w:cs="宋体"/>
      <w:sz w:val="24"/>
      <w:szCs w:val="20"/>
    </w:rPr>
  </w:style>
  <w:style w:type="paragraph" w:customStyle="1" w:styleId="2912">
    <w:name w:val="飞行基地"/>
    <w:basedOn w:val="32"/>
    <w:qFormat/>
    <w:uiPriority w:val="0"/>
    <w:pPr>
      <w:spacing w:after="0" w:line="520" w:lineRule="exact"/>
      <w:ind w:firstLine="480" w:firstLineChars="200"/>
    </w:pPr>
    <w:rPr>
      <w:rFonts w:ascii="Times New Roman"/>
      <w:sz w:val="24"/>
      <w:szCs w:val="20"/>
    </w:rPr>
  </w:style>
  <w:style w:type="paragraph" w:customStyle="1" w:styleId="2913">
    <w:name w:val="reader-word-layer reader-word-s28-10 reader-word-s28-21"/>
    <w:basedOn w:val="1"/>
    <w:qFormat/>
    <w:uiPriority w:val="0"/>
    <w:pPr>
      <w:widowControl/>
      <w:spacing w:before="100" w:beforeAutospacing="1" w:after="100" w:afterAutospacing="1"/>
      <w:jc w:val="left"/>
    </w:pPr>
    <w:rPr>
      <w:rFonts w:hAnsi="宋体" w:cs="宋体"/>
      <w:kern w:val="0"/>
      <w:sz w:val="24"/>
      <w:szCs w:val="24"/>
    </w:rPr>
  </w:style>
  <w:style w:type="paragraph" w:customStyle="1" w:styleId="2914">
    <w:name w:val="样式 表头 + Times New Roman 两端对齐 行距: 固定值 22 磅"/>
    <w:basedOn w:val="278"/>
    <w:qFormat/>
    <w:uiPriority w:val="0"/>
    <w:pPr>
      <w:widowControl/>
      <w:spacing w:line="440" w:lineRule="exact"/>
      <w:ind w:firstLine="200" w:firstLineChars="200"/>
      <w:jc w:val="both"/>
    </w:pPr>
    <w:rPr>
      <w:rFonts w:ascii="Calibri" w:hAnsi="Calibri" w:eastAsia="宋体" w:cs="宋体"/>
      <w:b/>
      <w:bCs/>
      <w:color w:val="0F0F0F"/>
      <w:spacing w:val="0"/>
      <w:kern w:val="2"/>
      <w:sz w:val="24"/>
      <w:szCs w:val="20"/>
    </w:rPr>
  </w:style>
  <w:style w:type="paragraph" w:customStyle="1" w:styleId="2915">
    <w:name w:val="表标题3.2"/>
    <w:basedOn w:val="1"/>
    <w:qFormat/>
    <w:uiPriority w:val="0"/>
    <w:pPr>
      <w:tabs>
        <w:tab w:val="left" w:pos="1280"/>
      </w:tabs>
      <w:spacing w:beforeLines="100" w:line="0" w:lineRule="atLeast"/>
      <w:ind w:left="1280" w:hanging="720"/>
    </w:pPr>
    <w:rPr>
      <w:rFonts w:ascii="Times New Roman" w:eastAsia="黑体"/>
      <w:b/>
      <w:sz w:val="24"/>
      <w:szCs w:val="24"/>
    </w:rPr>
  </w:style>
  <w:style w:type="paragraph" w:customStyle="1" w:styleId="2916">
    <w:name w:val="reader-word-layer reader-word-s3-5"/>
    <w:basedOn w:val="1"/>
    <w:qFormat/>
    <w:uiPriority w:val="0"/>
    <w:pPr>
      <w:widowControl/>
      <w:spacing w:before="100" w:beforeAutospacing="1" w:after="100" w:afterAutospacing="1"/>
      <w:jc w:val="left"/>
    </w:pPr>
    <w:rPr>
      <w:rFonts w:hAnsi="宋体" w:cs="宋体"/>
      <w:kern w:val="0"/>
      <w:sz w:val="24"/>
      <w:szCs w:val="24"/>
    </w:rPr>
  </w:style>
  <w:style w:type="paragraph" w:customStyle="1" w:styleId="2917">
    <w:name w:val="样式 样式 标题 1 + 宋体 小四 加粗 行距: 1.5 倍行距 + 行距: 固定值 25 磅"/>
    <w:basedOn w:val="1542"/>
    <w:qFormat/>
    <w:uiPriority w:val="0"/>
    <w:pPr>
      <w:widowControl w:val="0"/>
      <w:tabs>
        <w:tab w:val="left" w:pos="425"/>
      </w:tabs>
      <w:spacing w:before="180"/>
      <w:ind w:left="425" w:hanging="425"/>
      <w:jc w:val="both"/>
    </w:pPr>
    <w:rPr>
      <w:rFonts w:hAnsi="Times New Roman"/>
    </w:rPr>
  </w:style>
  <w:style w:type="paragraph" w:customStyle="1" w:styleId="2918">
    <w:name w:val="基准索引样式"/>
    <w:basedOn w:val="1"/>
    <w:qFormat/>
    <w:uiPriority w:val="0"/>
    <w:pPr>
      <w:widowControl/>
      <w:spacing w:line="220" w:lineRule="atLeast"/>
      <w:ind w:left="360"/>
      <w:jc w:val="left"/>
    </w:pPr>
    <w:rPr>
      <w:rFonts w:ascii="Times New Roman"/>
      <w:kern w:val="0"/>
      <w:sz w:val="20"/>
      <w:szCs w:val="20"/>
    </w:rPr>
  </w:style>
  <w:style w:type="paragraph" w:customStyle="1" w:styleId="2919">
    <w:name w:val="悬挂式正文"/>
    <w:basedOn w:val="1"/>
    <w:qFormat/>
    <w:uiPriority w:val="0"/>
    <w:pPr>
      <w:tabs>
        <w:tab w:val="center" w:pos="6804"/>
        <w:tab w:val="right" w:pos="7371"/>
      </w:tabs>
      <w:overflowPunct w:val="0"/>
      <w:adjustRightInd w:val="0"/>
      <w:spacing w:line="360" w:lineRule="auto"/>
      <w:ind w:left="1701" w:hanging="1134"/>
    </w:pPr>
    <w:rPr>
      <w:rFonts w:ascii="Times New Roman"/>
      <w:kern w:val="0"/>
      <w:sz w:val="28"/>
      <w:szCs w:val="20"/>
    </w:rPr>
  </w:style>
  <w:style w:type="paragraph" w:customStyle="1" w:styleId="2920">
    <w:name w:val="1级样式."/>
    <w:basedOn w:val="1"/>
    <w:qFormat/>
    <w:uiPriority w:val="0"/>
    <w:pPr>
      <w:keepNext/>
      <w:keepLines/>
      <w:widowControl/>
      <w:tabs>
        <w:tab w:val="left" w:pos="900"/>
      </w:tabs>
      <w:spacing w:beforeLines="50" w:afterLines="100" w:line="360" w:lineRule="auto"/>
      <w:ind w:left="900" w:hanging="420" w:firstLineChars="200"/>
      <w:jc w:val="left"/>
      <w:outlineLvl w:val="0"/>
    </w:pPr>
    <w:rPr>
      <w:rFonts w:ascii="Arial Unicode MS" w:hAnsi="Arial Unicode MS" w:eastAsia="仿宋体" w:cs="Vladimir Script"/>
      <w:color w:val="000000"/>
      <w:kern w:val="44"/>
      <w:sz w:val="36"/>
      <w:szCs w:val="36"/>
    </w:rPr>
  </w:style>
  <w:style w:type="paragraph" w:customStyle="1" w:styleId="2921">
    <w:name w:val="字元 字元 字元2"/>
    <w:basedOn w:val="1"/>
    <w:semiHidden/>
    <w:qFormat/>
    <w:uiPriority w:val="0"/>
    <w:pPr>
      <w:spacing w:line="360" w:lineRule="auto"/>
      <w:ind w:firstLine="200" w:firstLineChars="200"/>
    </w:pPr>
    <w:rPr>
      <w:rFonts w:hAnsi="宋体" w:cs="宋体"/>
      <w:sz w:val="24"/>
      <w:szCs w:val="24"/>
    </w:rPr>
  </w:style>
  <w:style w:type="paragraph" w:customStyle="1" w:styleId="2922">
    <w:name w:val="正文文本缩进 25"/>
    <w:basedOn w:val="1"/>
    <w:qFormat/>
    <w:uiPriority w:val="0"/>
    <w:pPr>
      <w:adjustRightInd w:val="0"/>
      <w:spacing w:line="460" w:lineRule="exact"/>
      <w:ind w:firstLine="480"/>
      <w:textAlignment w:val="baseline"/>
    </w:pPr>
    <w:rPr>
      <w:rFonts w:ascii="Times New Roman"/>
      <w:sz w:val="24"/>
      <w:szCs w:val="20"/>
    </w:rPr>
  </w:style>
  <w:style w:type="paragraph" w:customStyle="1" w:styleId="2923">
    <w:name w:val="zrf表头"/>
    <w:basedOn w:val="1"/>
    <w:qFormat/>
    <w:uiPriority w:val="0"/>
    <w:pPr>
      <w:spacing w:line="480" w:lineRule="exact"/>
      <w:jc w:val="center"/>
    </w:pPr>
    <w:rPr>
      <w:rFonts w:ascii="Times New Roman" w:cs="宋体"/>
      <w:snapToGrid w:val="0"/>
      <w:color w:val="000000"/>
      <w:sz w:val="21"/>
      <w:szCs w:val="24"/>
    </w:rPr>
  </w:style>
  <w:style w:type="paragraph" w:customStyle="1" w:styleId="2924">
    <w:name w:val="四级标题"/>
    <w:basedOn w:val="6"/>
    <w:qFormat/>
    <w:uiPriority w:val="0"/>
    <w:pPr>
      <w:keepNext/>
      <w:keepLines/>
      <w:tabs>
        <w:tab w:val="left" w:pos="864"/>
        <w:tab w:val="left" w:pos="2356"/>
        <w:tab w:val="clear" w:pos="360"/>
        <w:tab w:val="clear" w:pos="2207"/>
      </w:tabs>
      <w:spacing w:beforeLines="0" w:after="290"/>
      <w:ind w:left="864" w:hanging="864"/>
    </w:pPr>
    <w:rPr>
      <w:rFonts w:ascii="Times New Roman" w:hAnsi="Times New Roman"/>
      <w:bCs/>
      <w:snapToGrid/>
      <w:color w:val="auto"/>
      <w:szCs w:val="28"/>
    </w:rPr>
  </w:style>
  <w:style w:type="paragraph" w:customStyle="1" w:styleId="2925">
    <w:name w:val="汉沽正文"/>
    <w:basedOn w:val="1"/>
    <w:qFormat/>
    <w:uiPriority w:val="0"/>
    <w:pPr>
      <w:spacing w:line="360" w:lineRule="auto"/>
      <w:ind w:firstLine="200" w:firstLineChars="200"/>
    </w:pPr>
    <w:rPr>
      <w:rFonts w:ascii="Calibri" w:hAnsi="Calibri"/>
      <w:sz w:val="24"/>
      <w:szCs w:val="22"/>
    </w:rPr>
  </w:style>
  <w:style w:type="paragraph" w:customStyle="1" w:styleId="2926">
    <w:name w:val="样式 正文首行缩进 + 小四"/>
    <w:basedOn w:val="82"/>
    <w:qFormat/>
    <w:uiPriority w:val="0"/>
    <w:pPr>
      <w:spacing w:after="0" w:line="360" w:lineRule="auto"/>
      <w:ind w:firstLine="200" w:firstLineChars="200"/>
    </w:pPr>
    <w:rPr>
      <w:rFonts w:hint="default" w:hAnsi="Times New Roman"/>
      <w:sz w:val="28"/>
      <w:szCs w:val="20"/>
    </w:rPr>
  </w:style>
  <w:style w:type="paragraph" w:customStyle="1" w:styleId="2927">
    <w:name w:val="Char Char Char12"/>
    <w:basedOn w:val="1"/>
    <w:qFormat/>
    <w:uiPriority w:val="0"/>
    <w:rPr>
      <w:rFonts w:ascii="Times New Roman"/>
      <w:sz w:val="21"/>
      <w:szCs w:val="24"/>
    </w:rPr>
  </w:style>
  <w:style w:type="paragraph" w:customStyle="1" w:styleId="2928">
    <w:name w:val="标-4"/>
    <w:basedOn w:val="1"/>
    <w:qFormat/>
    <w:uiPriority w:val="0"/>
    <w:pPr>
      <w:spacing w:before="120"/>
      <w:ind w:left="851" w:hanging="851"/>
    </w:pPr>
    <w:rPr>
      <w:rFonts w:ascii="Batang" w:hAnsi="Batang" w:cs="Batang"/>
      <w:sz w:val="24"/>
      <w:szCs w:val="20"/>
    </w:rPr>
  </w:style>
  <w:style w:type="paragraph" w:customStyle="1" w:styleId="2929">
    <w:name w:val="Char Char Char Char Char Char Char Char Char4"/>
    <w:basedOn w:val="1"/>
    <w:qFormat/>
    <w:uiPriority w:val="0"/>
    <w:rPr>
      <w:rFonts w:ascii="Times New Roman"/>
      <w:sz w:val="24"/>
      <w:szCs w:val="20"/>
    </w:rPr>
  </w:style>
  <w:style w:type="paragraph" w:customStyle="1" w:styleId="2930">
    <w:name w:val="reader-word-layer reader-word-s30-9"/>
    <w:basedOn w:val="1"/>
    <w:qFormat/>
    <w:uiPriority w:val="0"/>
    <w:pPr>
      <w:widowControl/>
      <w:spacing w:before="100" w:beforeAutospacing="1" w:after="100" w:afterAutospacing="1"/>
      <w:jc w:val="left"/>
    </w:pPr>
    <w:rPr>
      <w:rFonts w:hAnsi="宋体" w:cs="宋体"/>
      <w:kern w:val="0"/>
      <w:sz w:val="24"/>
      <w:szCs w:val="24"/>
    </w:rPr>
  </w:style>
  <w:style w:type="paragraph" w:customStyle="1" w:styleId="2931">
    <w:name w:val="Char Char8 Char3"/>
    <w:basedOn w:val="5"/>
    <w:semiHidden/>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2932">
    <w:name w:val="我的表格格子"/>
    <w:basedOn w:val="1"/>
    <w:qFormat/>
    <w:uiPriority w:val="0"/>
    <w:pPr>
      <w:spacing w:line="360" w:lineRule="exact"/>
      <w:jc w:val="center"/>
    </w:pPr>
    <w:rPr>
      <w:rFonts w:ascii="Times New Roman" w:hAnsi="宋体"/>
      <w:color w:val="000000"/>
      <w:sz w:val="21"/>
      <w:szCs w:val="20"/>
    </w:rPr>
  </w:style>
  <w:style w:type="paragraph" w:customStyle="1" w:styleId="2933">
    <w:name w:val="Char4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934">
    <w:name w:val="注释标题2"/>
    <w:basedOn w:val="1"/>
    <w:next w:val="1"/>
    <w:qFormat/>
    <w:uiPriority w:val="0"/>
    <w:pPr>
      <w:spacing w:line="440" w:lineRule="exact"/>
      <w:ind w:firstLine="200" w:firstLineChars="200"/>
      <w:jc w:val="center"/>
    </w:pPr>
    <w:rPr>
      <w:rFonts w:ascii="Calibri" w:hAnsi="Calibri"/>
      <w:sz w:val="21"/>
      <w:szCs w:val="22"/>
    </w:rPr>
  </w:style>
  <w:style w:type="paragraph" w:customStyle="1" w:styleId="2935">
    <w:name w:val="样式 标题1 + 段后: 0.5 行"/>
    <w:basedOn w:val="1"/>
    <w:qFormat/>
    <w:uiPriority w:val="0"/>
    <w:pPr>
      <w:spacing w:afterLines="50" w:line="300" w:lineRule="auto"/>
    </w:pPr>
    <w:rPr>
      <w:rFonts w:ascii="Times New Roman" w:eastAsia="黑体"/>
      <w:sz w:val="36"/>
      <w:szCs w:val="20"/>
    </w:rPr>
  </w:style>
  <w:style w:type="paragraph" w:customStyle="1" w:styleId="2936">
    <w:name w:val="样式 宋体 小四 行距: 固定值 25 磅1"/>
    <w:basedOn w:val="1"/>
    <w:qFormat/>
    <w:uiPriority w:val="0"/>
    <w:pPr>
      <w:spacing w:line="500" w:lineRule="exact"/>
    </w:pPr>
    <w:rPr>
      <w:rFonts w:hAnsi="宋体" w:cs="宋体"/>
      <w:sz w:val="24"/>
      <w:szCs w:val="20"/>
    </w:rPr>
  </w:style>
  <w:style w:type="paragraph" w:customStyle="1" w:styleId="2937">
    <w:name w:val="样式 标题 1 + 自动设置"/>
    <w:basedOn w:val="3"/>
    <w:qFormat/>
    <w:uiPriority w:val="0"/>
    <w:pPr>
      <w:tabs>
        <w:tab w:val="left" w:pos="425"/>
      </w:tabs>
      <w:spacing w:beforeLines="0" w:after="330" w:line="576" w:lineRule="auto"/>
      <w:ind w:left="425" w:hanging="425"/>
    </w:pPr>
    <w:rPr>
      <w:rFonts w:eastAsia="宋体"/>
      <w:b/>
      <w:snapToGrid/>
      <w:sz w:val="44"/>
      <w:szCs w:val="20"/>
    </w:rPr>
  </w:style>
  <w:style w:type="paragraph" w:customStyle="1" w:styleId="2938">
    <w:name w:val="样式 行距: 固定值 25 磅1"/>
    <w:basedOn w:val="1"/>
    <w:qFormat/>
    <w:uiPriority w:val="0"/>
    <w:pPr>
      <w:adjustRightInd w:val="0"/>
      <w:snapToGrid w:val="0"/>
      <w:spacing w:line="300" w:lineRule="auto"/>
      <w:ind w:firstLine="560" w:firstLineChars="200"/>
      <w:textAlignment w:val="baseline"/>
    </w:pPr>
    <w:rPr>
      <w:rFonts w:ascii="Times New Roman"/>
      <w:kern w:val="0"/>
      <w:sz w:val="28"/>
      <w:szCs w:val="20"/>
    </w:rPr>
  </w:style>
  <w:style w:type="paragraph" w:customStyle="1" w:styleId="2939">
    <w:name w:val="页脚4"/>
    <w:basedOn w:val="1369"/>
    <w:qFormat/>
    <w:uiPriority w:val="0"/>
    <w:pPr>
      <w:tabs>
        <w:tab w:val="center" w:pos="4153"/>
        <w:tab w:val="right" w:pos="8306"/>
      </w:tabs>
      <w:spacing w:line="240" w:lineRule="atLeast"/>
      <w:jc w:val="left"/>
    </w:pPr>
    <w:rPr>
      <w:rFonts w:ascii="宋体" w:hAnsi="Calibri" w:eastAsia="宋体"/>
      <w:spacing w:val="0"/>
      <w:sz w:val="18"/>
    </w:rPr>
  </w:style>
  <w:style w:type="paragraph" w:customStyle="1" w:styleId="2940">
    <w:name w:val="Char Char5 Char Char Char Char Char Char Char Char Char Char Char Char Char Char Char1 Char5"/>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2941">
    <w:name w:val="xl44"/>
    <w:basedOn w:val="1"/>
    <w:qFormat/>
    <w:uiPriority w:val="0"/>
    <w:pPr>
      <w:widowControl/>
      <w:pBdr>
        <w:top w:val="single" w:color="auto" w:sz="4" w:space="0"/>
        <w:right w:val="single" w:color="auto" w:sz="4" w:space="0"/>
      </w:pBdr>
      <w:spacing w:before="100" w:beforeAutospacing="1" w:after="100" w:afterAutospacing="1"/>
      <w:jc w:val="center"/>
    </w:pPr>
    <w:rPr>
      <w:rFonts w:ascii="Verdana" w:hAnsi="Verdana" w:eastAsia="黑体" w:cs="黑体"/>
      <w:b/>
      <w:bCs/>
      <w:kern w:val="0"/>
      <w:sz w:val="20"/>
      <w:szCs w:val="20"/>
    </w:rPr>
  </w:style>
  <w:style w:type="paragraph" w:customStyle="1" w:styleId="2942">
    <w:name w:val="正文[858D7CFB-ED40-4347-BF05-701D383B685F][858D7CFB-ED40-4347-BF05-701D383B685F]"/>
    <w:basedOn w:val="148"/>
    <w:qFormat/>
    <w:uiPriority w:val="0"/>
    <w:pPr>
      <w:snapToGrid w:val="0"/>
      <w:ind w:firstLine="480" w:firstLineChars="200"/>
    </w:pPr>
    <w:rPr>
      <w:rFonts w:hAnsi="Calibri" w:eastAsia="宋体"/>
      <w:szCs w:val="24"/>
    </w:rPr>
  </w:style>
  <w:style w:type="paragraph" w:customStyle="1" w:styleId="2943">
    <w:name w:val="Char Char Char1 Char Char Char Char2"/>
    <w:basedOn w:val="1"/>
    <w:next w:val="1"/>
    <w:qFormat/>
    <w:uiPriority w:val="0"/>
    <w:pPr>
      <w:spacing w:line="360" w:lineRule="auto"/>
      <w:ind w:firstLine="200" w:firstLineChars="200"/>
    </w:pPr>
    <w:rPr>
      <w:rFonts w:hAnsi="宋体" w:eastAsia="汉鼎简书宋" w:cs="宋体"/>
      <w:sz w:val="24"/>
      <w:szCs w:val="24"/>
    </w:rPr>
  </w:style>
  <w:style w:type="paragraph" w:customStyle="1" w:styleId="2944">
    <w:name w:val="reader-word-layer reader-word-s30-11 reader-word-s30-16"/>
    <w:basedOn w:val="1"/>
    <w:qFormat/>
    <w:uiPriority w:val="0"/>
    <w:pPr>
      <w:widowControl/>
      <w:spacing w:before="100" w:beforeAutospacing="1" w:after="100" w:afterAutospacing="1"/>
      <w:jc w:val="left"/>
    </w:pPr>
    <w:rPr>
      <w:rFonts w:hAnsi="宋体" w:cs="宋体"/>
      <w:kern w:val="0"/>
      <w:sz w:val="24"/>
      <w:szCs w:val="24"/>
    </w:rPr>
  </w:style>
  <w:style w:type="paragraph" w:customStyle="1" w:styleId="2945">
    <w:name w:val="Body Text First Indent1"/>
    <w:basedOn w:val="32"/>
    <w:qFormat/>
    <w:uiPriority w:val="0"/>
    <w:pPr>
      <w:spacing w:beforeLines="50" w:afterLines="50" w:line="360" w:lineRule="auto"/>
      <w:ind w:firstLine="420" w:firstLineChars="100"/>
    </w:pPr>
    <w:rPr>
      <w:rFonts w:ascii="Arial" w:hAnsi="Arial" w:eastAsia="Times New Roman"/>
      <w:kern w:val="28"/>
      <w:sz w:val="24"/>
      <w:szCs w:val="22"/>
    </w:rPr>
  </w:style>
  <w:style w:type="paragraph" w:customStyle="1" w:styleId="2946">
    <w:name w:val="reader-word-layer reader-word-s20-13"/>
    <w:basedOn w:val="1"/>
    <w:qFormat/>
    <w:uiPriority w:val="0"/>
    <w:pPr>
      <w:widowControl/>
      <w:spacing w:before="100" w:beforeAutospacing="1" w:after="100" w:afterAutospacing="1"/>
      <w:jc w:val="left"/>
    </w:pPr>
    <w:rPr>
      <w:rFonts w:hAnsi="宋体" w:cs="宋体"/>
      <w:kern w:val="0"/>
      <w:sz w:val="24"/>
      <w:szCs w:val="24"/>
    </w:rPr>
  </w:style>
  <w:style w:type="paragraph" w:customStyle="1" w:styleId="2947">
    <w:name w:val="首页脚注"/>
    <w:basedOn w:val="51"/>
    <w:qFormat/>
    <w:uiPriority w:val="0"/>
    <w:pPr>
      <w:keepLines/>
      <w:widowControl/>
      <w:tabs>
        <w:tab w:val="center" w:pos="4320"/>
        <w:tab w:val="clear" w:pos="4153"/>
        <w:tab w:val="clear" w:pos="8306"/>
      </w:tabs>
      <w:overflowPunct w:val="0"/>
      <w:autoSpaceDE w:val="0"/>
      <w:autoSpaceDN w:val="0"/>
      <w:adjustRightInd w:val="0"/>
      <w:snapToGrid/>
      <w:spacing w:line="360" w:lineRule="auto"/>
      <w:ind w:firstLine="200" w:firstLineChars="200"/>
      <w:jc w:val="center"/>
      <w:textAlignment w:val="baseline"/>
    </w:pPr>
    <w:rPr>
      <w:rFonts w:eastAsia="Sim Sun" w:cs="Vladimir Script"/>
      <w:snapToGrid/>
      <w:kern w:val="0"/>
      <w:sz w:val="28"/>
      <w:szCs w:val="20"/>
    </w:rPr>
  </w:style>
  <w:style w:type="paragraph" w:customStyle="1" w:styleId="2948">
    <w:name w:val="样式 样式 样式 正文 + 首行缩进:  2 字符 段前: 0.5 行 段后: 0.5 行 + 首行缩进:  2 字符 段前: ..."/>
    <w:basedOn w:val="1"/>
    <w:qFormat/>
    <w:uiPriority w:val="0"/>
    <w:pPr>
      <w:ind w:firstLine="448" w:firstLineChars="200"/>
      <w:jc w:val="left"/>
    </w:pPr>
    <w:rPr>
      <w:rFonts w:cs="宋体"/>
      <w:spacing w:val="2"/>
      <w:kern w:val="0"/>
      <w:sz w:val="22"/>
      <w:szCs w:val="20"/>
    </w:rPr>
  </w:style>
  <w:style w:type="paragraph" w:customStyle="1" w:styleId="2949">
    <w:name w:val="字元 字元 Char Char 字元 字元1 Char Char Char3"/>
    <w:basedOn w:val="1"/>
    <w:qFormat/>
    <w:uiPriority w:val="0"/>
    <w:rPr>
      <w:rFonts w:ascii="Times New Roman"/>
      <w:sz w:val="24"/>
      <w:szCs w:val="24"/>
    </w:rPr>
  </w:style>
  <w:style w:type="paragraph" w:customStyle="1" w:styleId="2950">
    <w:name w:val="样式 日期 + 宋体 行距: 1.5 倍行距"/>
    <w:basedOn w:val="47"/>
    <w:qFormat/>
    <w:uiPriority w:val="0"/>
    <w:pPr>
      <w:widowControl/>
      <w:overflowPunct w:val="0"/>
      <w:autoSpaceDE w:val="0"/>
      <w:autoSpaceDN w:val="0"/>
      <w:adjustRightInd w:val="0"/>
      <w:spacing w:line="480" w:lineRule="exact"/>
      <w:ind w:firstLine="200" w:firstLineChars="200"/>
      <w:textAlignment w:val="baseline"/>
    </w:pPr>
    <w:rPr>
      <w:rFonts w:hAnsi="宋体" w:eastAsia="宋体" w:cs="宋体"/>
      <w:snapToGrid/>
      <w:lang w:val="en-GB"/>
    </w:rPr>
  </w:style>
  <w:style w:type="paragraph" w:customStyle="1" w:styleId="2951">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2952">
    <w:name w:val="样式 正文(首行缩进) + 8 磅 加粗 首行缩进:  2 字符"/>
    <w:basedOn w:val="1"/>
    <w:semiHidden/>
    <w:qFormat/>
    <w:uiPriority w:val="0"/>
    <w:pPr>
      <w:adjustRightInd w:val="0"/>
      <w:snapToGrid w:val="0"/>
      <w:ind w:firstLine="200" w:firstLineChars="200"/>
    </w:pPr>
    <w:rPr>
      <w:rFonts w:ascii="Times New Roman" w:cs="宋体"/>
      <w:b/>
      <w:bCs/>
      <w:kern w:val="0"/>
      <w:sz w:val="16"/>
      <w:szCs w:val="20"/>
    </w:rPr>
  </w:style>
  <w:style w:type="paragraph" w:customStyle="1" w:styleId="2953">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Batang" w:hAnsi="Batang" w:cs="Batang"/>
      <w:kern w:val="0"/>
      <w:sz w:val="24"/>
      <w:szCs w:val="24"/>
    </w:rPr>
  </w:style>
  <w:style w:type="paragraph" w:customStyle="1" w:styleId="2954">
    <w:name w:val="BG1"/>
    <w:basedOn w:val="1"/>
    <w:qFormat/>
    <w:uiPriority w:val="0"/>
    <w:pPr>
      <w:snapToGrid w:val="0"/>
      <w:jc w:val="center"/>
    </w:pPr>
    <w:rPr>
      <w:rFonts w:ascii="Batang" w:hAnsi="Batang" w:cs="Batang"/>
      <w:color w:val="000000"/>
      <w:sz w:val="21"/>
      <w:szCs w:val="24"/>
    </w:rPr>
  </w:style>
  <w:style w:type="paragraph" w:customStyle="1" w:styleId="2955">
    <w:name w:val="表内文字小"/>
    <w:basedOn w:val="1"/>
    <w:qFormat/>
    <w:uiPriority w:val="0"/>
    <w:pPr>
      <w:adjustRightInd w:val="0"/>
      <w:snapToGrid w:val="0"/>
      <w:spacing w:line="440" w:lineRule="exact"/>
      <w:ind w:left="-25" w:firstLine="200" w:firstLineChars="200"/>
      <w:jc w:val="center"/>
    </w:pPr>
    <w:rPr>
      <w:rFonts w:ascii="Arial Unicode MS" w:hAnsi="Arial Unicode MS" w:cs="Vladimir Script"/>
      <w:sz w:val="18"/>
      <w:szCs w:val="18"/>
    </w:rPr>
  </w:style>
  <w:style w:type="paragraph" w:customStyle="1" w:styleId="2956">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kern w:val="0"/>
      <w:sz w:val="18"/>
      <w:szCs w:val="18"/>
    </w:rPr>
  </w:style>
  <w:style w:type="paragraph" w:customStyle="1" w:styleId="2957">
    <w:name w:val="图形"/>
    <w:basedOn w:val="1"/>
    <w:qFormat/>
    <w:uiPriority w:val="0"/>
    <w:pPr>
      <w:jc w:val="center"/>
    </w:pPr>
    <w:rPr>
      <w:rFonts w:hAnsi="宋体"/>
      <w:sz w:val="24"/>
      <w:szCs w:val="24"/>
    </w:rPr>
  </w:style>
  <w:style w:type="paragraph" w:customStyle="1" w:styleId="2958">
    <w:name w:val="页号"/>
    <w:basedOn w:val="51"/>
    <w:qFormat/>
    <w:uiPriority w:val="0"/>
    <w:pPr>
      <w:tabs>
        <w:tab w:val="center" w:pos="4320"/>
        <w:tab w:val="right" w:pos="8640"/>
        <w:tab w:val="clear" w:pos="4153"/>
        <w:tab w:val="clear" w:pos="8306"/>
      </w:tabs>
      <w:adjustRightInd w:val="0"/>
      <w:snapToGrid/>
      <w:spacing w:line="440" w:lineRule="exact"/>
      <w:ind w:firstLine="200" w:firstLineChars="200"/>
      <w:jc w:val="center"/>
      <w:textAlignment w:val="baseline"/>
    </w:pPr>
    <w:rPr>
      <w:rFonts w:ascii="Sim Sun" w:hAnsi="ˎ̥" w:eastAsia="Sim Sun" w:cs="Vladimir Script"/>
      <w:snapToGrid/>
      <w:spacing w:val="3"/>
      <w:kern w:val="24"/>
      <w:sz w:val="24"/>
      <w:szCs w:val="20"/>
    </w:rPr>
  </w:style>
  <w:style w:type="paragraph" w:customStyle="1" w:styleId="2959">
    <w:name w:val="CM112"/>
    <w:basedOn w:val="154"/>
    <w:next w:val="154"/>
    <w:qFormat/>
    <w:uiPriority w:val="0"/>
    <w:rPr>
      <w:rFonts w:ascii="仿宋_GB2312" w:hAnsi="Calibri" w:eastAsia="仿宋_GB2312" w:cs="Times New Roman"/>
      <w:color w:val="auto"/>
      <w:kern w:val="2"/>
    </w:rPr>
  </w:style>
  <w:style w:type="paragraph" w:customStyle="1" w:styleId="2960">
    <w:name w:val="CM99"/>
    <w:basedOn w:val="154"/>
    <w:next w:val="154"/>
    <w:qFormat/>
    <w:uiPriority w:val="0"/>
    <w:pPr>
      <w:spacing w:after="275"/>
    </w:pPr>
    <w:rPr>
      <w:rFonts w:ascii="黑体" w:hAnsi="Calibri" w:eastAsia="黑体" w:cs="黑体"/>
      <w:color w:val="auto"/>
      <w:kern w:val="2"/>
    </w:rPr>
  </w:style>
  <w:style w:type="paragraph" w:customStyle="1" w:styleId="2961">
    <w:name w:val="msoacetate"/>
    <w:basedOn w:val="1"/>
    <w:qFormat/>
    <w:uiPriority w:val="0"/>
    <w:pPr>
      <w:adjustRightInd w:val="0"/>
      <w:spacing w:line="360" w:lineRule="atLeast"/>
      <w:ind w:firstLine="567" w:firstLineChars="200"/>
    </w:pPr>
    <w:rPr>
      <w:rFonts w:ascii="Arial Unicode MS" w:hAnsi="Arial Unicode MS" w:cs="Vladimir Script"/>
      <w:kern w:val="0"/>
      <w:sz w:val="18"/>
      <w:szCs w:val="18"/>
    </w:rPr>
  </w:style>
  <w:style w:type="paragraph" w:customStyle="1" w:styleId="2962">
    <w:name w:val="样式 标题 3条标题1.1.1二级节名h33rd level3H3l3CTBSH-3heading 3- b..."/>
    <w:basedOn w:val="5"/>
    <w:qFormat/>
    <w:uiPriority w:val="0"/>
    <w:pPr>
      <w:tabs>
        <w:tab w:val="left" w:pos="1571"/>
      </w:tabs>
      <w:spacing w:line="413" w:lineRule="auto"/>
      <w:ind w:left="1418" w:hanging="567"/>
    </w:pPr>
    <w:rPr>
      <w:bCs w:val="0"/>
      <w:sz w:val="32"/>
      <w:szCs w:val="20"/>
    </w:rPr>
  </w:style>
  <w:style w:type="paragraph" w:customStyle="1" w:styleId="2963">
    <w:name w:val="无缩进正文"/>
    <w:basedOn w:val="1"/>
    <w:qFormat/>
    <w:uiPriority w:val="0"/>
    <w:pPr>
      <w:adjustRightInd w:val="0"/>
      <w:snapToGrid w:val="0"/>
      <w:spacing w:line="288" w:lineRule="auto"/>
      <w:jc w:val="center"/>
    </w:pPr>
    <w:rPr>
      <w:rFonts w:ascii="Times New Roman"/>
      <w:kern w:val="0"/>
      <w:sz w:val="21"/>
      <w:szCs w:val="24"/>
    </w:rPr>
  </w:style>
  <w:style w:type="paragraph" w:customStyle="1" w:styleId="2964">
    <w:name w:val="列表 41"/>
    <w:basedOn w:val="1"/>
    <w:qFormat/>
    <w:uiPriority w:val="0"/>
    <w:pPr>
      <w:ind w:left="100" w:leftChars="600" w:hanging="200" w:hangingChars="200"/>
    </w:pPr>
    <w:rPr>
      <w:rFonts w:ascii="Arial Unicode MS" w:hAnsi="Arial Unicode MS" w:cs="Vladimir Script"/>
      <w:sz w:val="21"/>
      <w:szCs w:val="24"/>
    </w:rPr>
  </w:style>
  <w:style w:type="paragraph" w:customStyle="1" w:styleId="2965">
    <w:name w:val="xl54"/>
    <w:basedOn w:val="1"/>
    <w:qFormat/>
    <w:uiPriority w:val="0"/>
    <w:pPr>
      <w:widowControl/>
      <w:pBdr>
        <w:bottom w:val="single" w:color="auto" w:sz="4" w:space="0"/>
        <w:right w:val="single" w:color="auto" w:sz="4" w:space="0"/>
      </w:pBdr>
      <w:spacing w:before="100" w:after="100"/>
      <w:jc w:val="center"/>
      <w:textAlignment w:val="center"/>
    </w:pPr>
    <w:rPr>
      <w:rFonts w:ascii="Sim Sun" w:hAnsi="Sim Sun" w:cs="Batang"/>
      <w:kern w:val="0"/>
      <w:sz w:val="28"/>
      <w:szCs w:val="28"/>
    </w:rPr>
  </w:style>
  <w:style w:type="paragraph" w:customStyle="1" w:styleId="2966">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200" w:firstLineChars="200"/>
      <w:jc w:val="left"/>
    </w:pPr>
    <w:rPr>
      <w:rFonts w:ascii="ˎ̥" w:hAnsi="ˎ̥" w:cs="Vladimir Script"/>
      <w:b/>
      <w:spacing w:val="-10"/>
      <w:kern w:val="0"/>
      <w:position w:val="7"/>
      <w:sz w:val="20"/>
      <w:szCs w:val="20"/>
    </w:rPr>
  </w:style>
  <w:style w:type="paragraph" w:customStyle="1" w:styleId="2967">
    <w:name w:val="a3"/>
    <w:basedOn w:val="1"/>
    <w:qFormat/>
    <w:uiPriority w:val="0"/>
    <w:pPr>
      <w:widowControl/>
      <w:spacing w:before="100" w:beforeAutospacing="1" w:after="100" w:afterAutospacing="1"/>
      <w:jc w:val="left"/>
    </w:pPr>
    <w:rPr>
      <w:rFonts w:hAnsi="宋体"/>
      <w:color w:val="000000"/>
      <w:kern w:val="0"/>
      <w:sz w:val="24"/>
      <w:szCs w:val="24"/>
    </w:rPr>
  </w:style>
  <w:style w:type="paragraph" w:customStyle="1" w:styleId="2968">
    <w:name w:val="正文 小四 行距: 1.5 倍行距"/>
    <w:basedOn w:val="1"/>
    <w:qFormat/>
    <w:uiPriority w:val="0"/>
    <w:pPr>
      <w:spacing w:line="360" w:lineRule="auto"/>
      <w:ind w:firstLine="480" w:firstLineChars="200"/>
    </w:pPr>
    <w:rPr>
      <w:rFonts w:ascii="Times New Roman" w:cs="宋体"/>
      <w:sz w:val="24"/>
      <w:szCs w:val="20"/>
    </w:rPr>
  </w:style>
  <w:style w:type="paragraph" w:customStyle="1" w:styleId="2969">
    <w:name w:val="格式2"/>
    <w:basedOn w:val="4"/>
    <w:qFormat/>
    <w:uiPriority w:val="0"/>
    <w:pPr>
      <w:tabs>
        <w:tab w:val="left" w:pos="756"/>
        <w:tab w:val="left" w:pos="992"/>
      </w:tabs>
      <w:spacing w:beforeLines="100" w:after="0" w:line="360" w:lineRule="auto"/>
    </w:pPr>
    <w:rPr>
      <w:rFonts w:ascii="宋体" w:hAnsi="宋体" w:eastAsia="黑体"/>
      <w:snapToGrid/>
      <w:sz w:val="24"/>
      <w:szCs w:val="24"/>
    </w:rPr>
  </w:style>
  <w:style w:type="paragraph" w:customStyle="1" w:styleId="2970">
    <w:name w:val="列表编号 41"/>
    <w:basedOn w:val="1"/>
    <w:qFormat/>
    <w:uiPriority w:val="0"/>
    <w:pPr>
      <w:tabs>
        <w:tab w:val="left" w:pos="1620"/>
      </w:tabs>
      <w:spacing w:line="480" w:lineRule="exact"/>
      <w:ind w:left="1620" w:leftChars="600" w:hanging="360" w:hangingChars="200"/>
    </w:pPr>
    <w:rPr>
      <w:rFonts w:ascii="Arial Unicode MS" w:hAnsi="Arial Unicode MS" w:cs="Vladimir Script"/>
      <w:sz w:val="24"/>
      <w:szCs w:val="24"/>
    </w:rPr>
  </w:style>
  <w:style w:type="paragraph" w:customStyle="1" w:styleId="2971">
    <w:name w:val="proposal"/>
    <w:basedOn w:val="1"/>
    <w:qFormat/>
    <w:uiPriority w:val="0"/>
    <w:pPr>
      <w:widowControl/>
      <w:spacing w:line="300" w:lineRule="auto"/>
      <w:ind w:left="1440" w:hanging="1440"/>
    </w:pPr>
    <w:rPr>
      <w:rFonts w:ascii="Times New Roman"/>
      <w:kern w:val="0"/>
      <w:sz w:val="24"/>
      <w:szCs w:val="20"/>
      <w:lang w:val="en-GB" w:eastAsia="en-GB"/>
    </w:rPr>
  </w:style>
  <w:style w:type="paragraph" w:customStyle="1" w:styleId="2972">
    <w:name w:val="Char1 Char Char Char Char Char Char12"/>
    <w:basedOn w:val="5"/>
    <w:qFormat/>
    <w:uiPriority w:val="0"/>
    <w:pPr>
      <w:tabs>
        <w:tab w:val="left" w:pos="360"/>
        <w:tab w:val="left" w:pos="900"/>
        <w:tab w:val="left" w:pos="1571"/>
      </w:tabs>
      <w:snapToGrid w:val="0"/>
      <w:spacing w:before="120" w:after="120" w:line="360" w:lineRule="auto"/>
      <w:ind w:left="-12" w:leftChars="-12" w:firstLine="200" w:firstLineChars="200"/>
      <w:jc w:val="left"/>
    </w:pPr>
    <w:rPr>
      <w:rFonts w:eastAsia="黑体"/>
      <w:b w:val="0"/>
      <w:bCs w:val="0"/>
      <w:sz w:val="24"/>
      <w:szCs w:val="24"/>
    </w:rPr>
  </w:style>
  <w:style w:type="paragraph" w:customStyle="1" w:styleId="2973">
    <w:name w:val="样式－表"/>
    <w:basedOn w:val="1"/>
    <w:qFormat/>
    <w:uiPriority w:val="0"/>
    <w:pPr>
      <w:adjustRightInd w:val="0"/>
      <w:snapToGrid w:val="0"/>
      <w:spacing w:before="62"/>
      <w:jc w:val="center"/>
    </w:pPr>
    <w:rPr>
      <w:rFonts w:ascii="Times New Roman"/>
      <w:snapToGrid w:val="0"/>
      <w:color w:val="000000"/>
      <w:kern w:val="0"/>
      <w:sz w:val="24"/>
      <w:szCs w:val="20"/>
    </w:rPr>
  </w:style>
  <w:style w:type="paragraph" w:customStyle="1" w:styleId="2974">
    <w:name w:val="样式 标题 4 + (中文) 宋体"/>
    <w:basedOn w:val="6"/>
    <w:qFormat/>
    <w:uiPriority w:val="0"/>
    <w:pPr>
      <w:keepNext/>
      <w:keepLines/>
      <w:tabs>
        <w:tab w:val="left" w:pos="2356"/>
        <w:tab w:val="clear" w:pos="360"/>
        <w:tab w:val="clear" w:pos="2207"/>
      </w:tabs>
      <w:spacing w:beforeLines="0" w:afterLines="0" w:line="376" w:lineRule="auto"/>
      <w:ind w:left="1984" w:hanging="708"/>
    </w:pPr>
    <w:rPr>
      <w:rFonts w:ascii="Arial" w:hAnsi="Arial"/>
      <w:b/>
      <w:bCs/>
      <w:snapToGrid/>
      <w:color w:val="auto"/>
      <w:sz w:val="28"/>
      <w:szCs w:val="28"/>
    </w:rPr>
  </w:style>
  <w:style w:type="paragraph" w:customStyle="1" w:styleId="2975">
    <w:name w:val="样式 标题 2标题2Se节标题 1.11.1标题2条标题h2l22nd levelTitre22Heade..."/>
    <w:basedOn w:val="4"/>
    <w:qFormat/>
    <w:uiPriority w:val="0"/>
    <w:pPr>
      <w:tabs>
        <w:tab w:val="left" w:pos="992"/>
      </w:tabs>
      <w:spacing w:before="240" w:after="120" w:line="413" w:lineRule="auto"/>
      <w:ind w:left="992" w:hanging="567"/>
    </w:pPr>
    <w:rPr>
      <w:rFonts w:ascii="宋体" w:hAnsi="华文中宋" w:eastAsia="黑体"/>
      <w:bCs w:val="0"/>
      <w:snapToGrid/>
      <w:sz w:val="28"/>
      <w:szCs w:val="24"/>
    </w:rPr>
  </w:style>
  <w:style w:type="paragraph" w:customStyle="1" w:styleId="2976">
    <w:name w:val="样式 标题 2h22Header 2nd PageA.B.C.h2 main h标题2 + 仿宋_GB2312 行距..."/>
    <w:basedOn w:val="4"/>
    <w:qFormat/>
    <w:uiPriority w:val="0"/>
    <w:pPr>
      <w:widowControl/>
      <w:tabs>
        <w:tab w:val="left" w:pos="992"/>
      </w:tabs>
      <w:spacing w:line="360" w:lineRule="auto"/>
      <w:ind w:left="992" w:firstLine="455" w:firstLineChars="162"/>
      <w:jc w:val="left"/>
    </w:pPr>
    <w:rPr>
      <w:rFonts w:ascii="@幼圆" w:hAnsi="华文新魏" w:eastAsia="@幼圆" w:cs="Sim Sun"/>
      <w:b w:val="0"/>
      <w:bCs w:val="0"/>
      <w:smallCaps/>
      <w:snapToGrid/>
      <w:sz w:val="28"/>
      <w:szCs w:val="21"/>
    </w:rPr>
  </w:style>
  <w:style w:type="paragraph" w:customStyle="1" w:styleId="2977">
    <w:name w:val="样式 样式 标题 1 + 宋体 居中 左侧:  0 厘米 首行缩进:  0 厘米 段前: 0 磅 段后: 12 磅 行距:......"/>
    <w:basedOn w:val="1"/>
    <w:qFormat/>
    <w:uiPriority w:val="0"/>
    <w:pPr>
      <w:keepNext/>
      <w:keepLines/>
      <w:spacing w:before="320" w:after="320" w:line="360" w:lineRule="auto"/>
      <w:jc w:val="center"/>
      <w:outlineLvl w:val="1"/>
    </w:pPr>
    <w:rPr>
      <w:rFonts w:hAnsi="宋体"/>
      <w:b/>
      <w:sz w:val="30"/>
      <w:szCs w:val="20"/>
    </w:rPr>
  </w:style>
  <w:style w:type="paragraph" w:customStyle="1" w:styleId="2978">
    <w:name w:val="样式 小四 居中 行距: 单倍行距"/>
    <w:basedOn w:val="1"/>
    <w:qFormat/>
    <w:uiPriority w:val="0"/>
    <w:pPr>
      <w:adjustRightInd w:val="0"/>
      <w:spacing w:line="500" w:lineRule="atLeast"/>
      <w:ind w:firstLine="567" w:firstLineChars="200"/>
      <w:jc w:val="center"/>
    </w:pPr>
    <w:rPr>
      <w:rFonts w:ascii="Arial Unicode MS" w:hAnsi="Arial Unicode MS" w:cs="Vladimir Script"/>
      <w:kern w:val="0"/>
      <w:sz w:val="24"/>
      <w:szCs w:val="20"/>
    </w:rPr>
  </w:style>
  <w:style w:type="paragraph" w:customStyle="1" w:styleId="2979">
    <w:name w:val="表格6号"/>
    <w:qFormat/>
    <w:uiPriority w:val="0"/>
    <w:rPr>
      <w:rFonts w:ascii="Times New Roman" w:hAnsi="Times New Roman" w:eastAsia="宋体" w:cs="Times New Roman"/>
      <w:sz w:val="15"/>
      <w:szCs w:val="15"/>
      <w:lang w:val="en-US" w:eastAsia="zh-CN" w:bidi="ar-SA"/>
    </w:rPr>
  </w:style>
  <w:style w:type="paragraph" w:customStyle="1" w:styleId="2980">
    <w:name w:val="表格5号"/>
    <w:basedOn w:val="1"/>
    <w:qFormat/>
    <w:uiPriority w:val="0"/>
    <w:pPr>
      <w:widowControl/>
      <w:snapToGrid w:val="0"/>
      <w:jc w:val="center"/>
      <w:textAlignment w:val="baseline"/>
    </w:pPr>
    <w:rPr>
      <w:rFonts w:ascii="Arial Narrow" w:hAnsi="Arial Narrow" w:cs="宋体"/>
      <w:bCs/>
      <w:color w:val="000000"/>
      <w:kern w:val="0"/>
      <w:sz w:val="21"/>
      <w:szCs w:val="21"/>
    </w:rPr>
  </w:style>
  <w:style w:type="paragraph" w:customStyle="1" w:styleId="2981">
    <w:name w:val="样式 标题 3标题 3XW3h33rd levelH3l3CT + 四号 段前: 0 磅 段后: 0 磅 行..."/>
    <w:basedOn w:val="5"/>
    <w:qFormat/>
    <w:uiPriority w:val="0"/>
    <w:pPr>
      <w:keepNext w:val="0"/>
      <w:keepLines w:val="0"/>
      <w:widowControl/>
      <w:tabs>
        <w:tab w:val="left" w:pos="720"/>
        <w:tab w:val="left" w:pos="1571"/>
      </w:tabs>
      <w:spacing w:before="0" w:after="0" w:line="360" w:lineRule="auto"/>
      <w:ind w:left="720" w:hanging="720"/>
    </w:pPr>
    <w:rPr>
      <w:bCs w:val="0"/>
      <w:sz w:val="24"/>
      <w:szCs w:val="20"/>
    </w:rPr>
  </w:style>
  <w:style w:type="paragraph" w:customStyle="1" w:styleId="2982">
    <w:name w:val="Char Char4 Char Char Char Char"/>
    <w:basedOn w:val="5"/>
    <w:qFormat/>
    <w:uiPriority w:val="0"/>
    <w:pPr>
      <w:tabs>
        <w:tab w:val="left" w:pos="360"/>
        <w:tab w:val="left" w:pos="900"/>
        <w:tab w:val="left" w:pos="2268"/>
        <w:tab w:val="left" w:pos="3600"/>
      </w:tabs>
      <w:adjustRightInd w:val="0"/>
      <w:snapToGrid w:val="0"/>
      <w:spacing w:beforeLines="50" w:afterLines="50" w:line="360" w:lineRule="auto"/>
      <w:ind w:left="542" w:leftChars="-12" w:firstLine="200" w:firstLineChars="200"/>
      <w:jc w:val="left"/>
    </w:pPr>
    <w:rPr>
      <w:rFonts w:eastAsia="黑体"/>
      <w:b w:val="0"/>
      <w:bCs w:val="0"/>
      <w:kern w:val="0"/>
      <w:sz w:val="24"/>
      <w:szCs w:val="24"/>
    </w:rPr>
  </w:style>
  <w:style w:type="paragraph" w:customStyle="1" w:styleId="2983">
    <w:name w:val="Char Char1 Char Char Char Char Char Char"/>
    <w:basedOn w:val="1"/>
    <w:qFormat/>
    <w:uiPriority w:val="0"/>
    <w:rPr>
      <w:rFonts w:ascii="Batang" w:hAnsi="Batang" w:cs="Batang"/>
      <w:sz w:val="21"/>
      <w:szCs w:val="24"/>
    </w:rPr>
  </w:style>
  <w:style w:type="paragraph" w:customStyle="1" w:styleId="2984">
    <w:name w:val="样式 标题 2节标题 1.1b2H2BSH-2标题 2 Char节标题 1.1 Charb2 CharH2 Ch..."/>
    <w:basedOn w:val="4"/>
    <w:qFormat/>
    <w:uiPriority w:val="0"/>
    <w:pPr>
      <w:keepLines w:val="0"/>
      <w:tabs>
        <w:tab w:val="left" w:pos="992"/>
      </w:tabs>
      <w:spacing w:before="120" w:after="60" w:line="360" w:lineRule="auto"/>
      <w:ind w:left="567" w:hanging="567"/>
      <w:jc w:val="left"/>
    </w:pPr>
    <w:rPr>
      <w:rFonts w:ascii="Times New Roman" w:hAnsi="Times New Roman"/>
      <w:bCs w:val="0"/>
      <w:snapToGrid/>
      <w:szCs w:val="20"/>
    </w:rPr>
  </w:style>
  <w:style w:type="paragraph" w:customStyle="1" w:styleId="2985">
    <w:name w:val="表内宋5"/>
    <w:basedOn w:val="1264"/>
    <w:qFormat/>
    <w:uiPriority w:val="0"/>
    <w:pPr>
      <w:snapToGrid w:val="0"/>
      <w:spacing w:beforeAutospacing="1" w:afterAutospacing="1" w:line="440" w:lineRule="exact"/>
      <w:ind w:firstLine="200" w:firstLineChars="200"/>
      <w:jc w:val="both"/>
    </w:pPr>
    <w:rPr>
      <w:rFonts w:ascii="Sim Sun" w:hAnsi="Sim Sun" w:eastAsia="Sim Sun" w:cs="Vladimir Script"/>
      <w:sz w:val="21"/>
    </w:rPr>
  </w:style>
  <w:style w:type="paragraph" w:customStyle="1" w:styleId="2986">
    <w:name w:val="条(二级)"/>
    <w:basedOn w:val="4"/>
    <w:qFormat/>
    <w:uiPriority w:val="0"/>
    <w:pPr>
      <w:tabs>
        <w:tab w:val="left" w:pos="992"/>
      </w:tabs>
      <w:adjustRightInd w:val="0"/>
      <w:spacing w:before="0" w:after="0" w:line="460" w:lineRule="exact"/>
      <w:ind w:left="992" w:firstLine="200" w:firstLineChars="200"/>
      <w:jc w:val="left"/>
      <w:textAlignment w:val="baseline"/>
      <w:outlineLvl w:val="9"/>
    </w:pPr>
    <w:rPr>
      <w:rFonts w:ascii="Sim Sun" w:hAnsi="ˎ̥" w:eastAsia="宋体-方正超大字符集" w:cs="Vladimir Script"/>
      <w:smallCaps/>
      <w:snapToGrid/>
      <w:spacing w:val="3"/>
      <w:kern w:val="24"/>
      <w:sz w:val="24"/>
      <w:szCs w:val="21"/>
    </w:rPr>
  </w:style>
  <w:style w:type="paragraph" w:customStyle="1" w:styleId="2987">
    <w:name w:val="条(三级)"/>
    <w:basedOn w:val="2986"/>
    <w:next w:val="1"/>
    <w:qFormat/>
    <w:uiPriority w:val="0"/>
    <w:rPr>
      <w:b w:val="0"/>
    </w:rPr>
  </w:style>
  <w:style w:type="paragraph" w:customStyle="1" w:styleId="2988">
    <w:name w:val="Address 1"/>
    <w:basedOn w:val="1"/>
    <w:qFormat/>
    <w:uiPriority w:val="0"/>
    <w:pPr>
      <w:widowControl/>
      <w:spacing w:line="200" w:lineRule="atLeast"/>
      <w:ind w:firstLine="200" w:firstLineChars="200"/>
      <w:jc w:val="left"/>
    </w:pPr>
    <w:rPr>
      <w:rFonts w:ascii="Arial Unicode MS" w:hAnsi="Arial Unicode MS" w:cs="Vladimir Script"/>
      <w:kern w:val="0"/>
      <w:sz w:val="16"/>
      <w:szCs w:val="20"/>
    </w:rPr>
  </w:style>
  <w:style w:type="paragraph" w:customStyle="1" w:styleId="2989">
    <w:name w:val="CM107"/>
    <w:basedOn w:val="154"/>
    <w:next w:val="154"/>
    <w:qFormat/>
    <w:uiPriority w:val="0"/>
    <w:pPr>
      <w:spacing w:after="127"/>
    </w:pPr>
    <w:rPr>
      <w:rFonts w:ascii="黑体" w:hAnsi="Batang" w:eastAsia="黑体" w:cs="Batang"/>
      <w:color w:val="auto"/>
      <w:kern w:val="2"/>
    </w:rPr>
  </w:style>
  <w:style w:type="paragraph" w:customStyle="1" w:styleId="2990">
    <w:name w:val="标题 421"/>
    <w:basedOn w:val="1"/>
    <w:next w:val="1"/>
    <w:qFormat/>
    <w:uiPriority w:val="0"/>
    <w:pPr>
      <w:keepNext/>
      <w:keepLines/>
      <w:tabs>
        <w:tab w:val="left" w:pos="900"/>
        <w:tab w:val="left" w:pos="1080"/>
        <w:tab w:val="left" w:pos="1440"/>
      </w:tabs>
      <w:spacing w:before="120" w:after="120"/>
      <w:ind w:firstLine="562" w:firstLineChars="200"/>
      <w:outlineLvl w:val="3"/>
    </w:pPr>
    <w:rPr>
      <w:rFonts w:hint="eastAsia" w:ascii="Times New Roman"/>
      <w:b/>
      <w:sz w:val="28"/>
      <w:szCs w:val="20"/>
    </w:rPr>
  </w:style>
  <w:style w:type="paragraph" w:customStyle="1" w:styleId="2991">
    <w:name w:val="Char Char Char Char Char2 Char Char Char Char2"/>
    <w:basedOn w:val="1"/>
    <w:qFormat/>
    <w:uiPriority w:val="0"/>
    <w:pPr>
      <w:adjustRightInd w:val="0"/>
      <w:snapToGrid w:val="0"/>
      <w:spacing w:line="360" w:lineRule="auto"/>
      <w:ind w:firstLine="200" w:firstLineChars="200"/>
    </w:pPr>
    <w:rPr>
      <w:rFonts w:hAnsi="宋体" w:cs="宋体"/>
      <w:sz w:val="24"/>
      <w:szCs w:val="26"/>
    </w:rPr>
  </w:style>
  <w:style w:type="paragraph" w:customStyle="1" w:styleId="2992">
    <w:name w:val="CM3"/>
    <w:basedOn w:val="154"/>
    <w:next w:val="154"/>
    <w:qFormat/>
    <w:uiPriority w:val="0"/>
    <w:pPr>
      <w:spacing w:line="468" w:lineRule="atLeast"/>
    </w:pPr>
    <w:rPr>
      <w:rFonts w:ascii="宋体" w:hAnsi="Calibri" w:eastAsia="宋体" w:cs="Times New Roman"/>
      <w:color w:val="auto"/>
      <w:kern w:val="2"/>
    </w:rPr>
  </w:style>
  <w:style w:type="paragraph" w:customStyle="1" w:styleId="2993">
    <w:name w:val="表格文本"/>
    <w:basedOn w:val="1"/>
    <w:next w:val="1"/>
    <w:qFormat/>
    <w:uiPriority w:val="99"/>
    <w:pPr>
      <w:spacing w:line="240" w:lineRule="exact"/>
    </w:pPr>
    <w:rPr>
      <w:rFonts w:ascii="Times New Roman"/>
      <w:sz w:val="21"/>
      <w:szCs w:val="20"/>
    </w:rPr>
  </w:style>
  <w:style w:type="paragraph" w:customStyle="1" w:styleId="2994">
    <w:name w:val="Char Char10 Char Char2"/>
    <w:basedOn w:val="1"/>
    <w:semiHidden/>
    <w:qFormat/>
    <w:uiPriority w:val="0"/>
    <w:pPr>
      <w:adjustRightInd w:val="0"/>
      <w:snapToGrid w:val="0"/>
      <w:spacing w:line="360" w:lineRule="auto"/>
      <w:ind w:firstLine="200" w:firstLineChars="200"/>
    </w:pPr>
    <w:rPr>
      <w:rFonts w:hAnsi="宋体" w:cs="宋体"/>
      <w:sz w:val="24"/>
      <w:szCs w:val="26"/>
    </w:rPr>
  </w:style>
  <w:style w:type="paragraph" w:customStyle="1" w:styleId="2995">
    <w:name w:val="样式 首行缩进:  0.77 厘米 行距: 固定值 20 磅4"/>
    <w:basedOn w:val="1"/>
    <w:qFormat/>
    <w:uiPriority w:val="0"/>
    <w:pPr>
      <w:spacing w:line="360" w:lineRule="auto"/>
      <w:ind w:firstLine="435"/>
    </w:pPr>
    <w:rPr>
      <w:rFonts w:ascii="Times New Roman" w:cs="宋体"/>
      <w:sz w:val="24"/>
      <w:szCs w:val="20"/>
    </w:rPr>
  </w:style>
  <w:style w:type="paragraph" w:customStyle="1" w:styleId="2996">
    <w:name w:val="CM40"/>
    <w:basedOn w:val="154"/>
    <w:next w:val="154"/>
    <w:qFormat/>
    <w:uiPriority w:val="0"/>
    <w:rPr>
      <w:rFonts w:ascii="宋体" w:hAnsi="Calibri" w:eastAsia="宋体" w:cs="Times New Roman"/>
      <w:color w:val="auto"/>
      <w:kern w:val="2"/>
    </w:rPr>
  </w:style>
  <w:style w:type="paragraph" w:customStyle="1" w:styleId="2997">
    <w:name w:val="样式 样式 样式 正文首行缩进 + 黑色 + 首行缩进:  1 字符 + 居中"/>
    <w:basedOn w:val="2898"/>
    <w:qFormat/>
    <w:uiPriority w:val="0"/>
    <w:pPr>
      <w:jc w:val="center"/>
    </w:pPr>
  </w:style>
  <w:style w:type="paragraph" w:customStyle="1" w:styleId="2998">
    <w:name w:val="Char Char Char Char Char Char Char Char Char Char Char Char Char Char Char Char Char Char Char4"/>
    <w:basedOn w:val="1"/>
    <w:qFormat/>
    <w:uiPriority w:val="0"/>
    <w:pPr>
      <w:spacing w:line="360" w:lineRule="auto"/>
      <w:ind w:firstLine="200" w:firstLineChars="200"/>
    </w:pPr>
    <w:rPr>
      <w:rFonts w:hAnsi="宋体"/>
      <w:sz w:val="24"/>
      <w:szCs w:val="20"/>
    </w:rPr>
  </w:style>
  <w:style w:type="paragraph" w:customStyle="1" w:styleId="2999">
    <w:name w:val="Char1 Char Char Char Char Char Char Char Char Char Char Char Char3"/>
    <w:basedOn w:val="1"/>
    <w:qFormat/>
    <w:uiPriority w:val="0"/>
    <w:rPr>
      <w:rFonts w:ascii="Times New Roman"/>
      <w:sz w:val="24"/>
      <w:szCs w:val="20"/>
    </w:rPr>
  </w:style>
  <w:style w:type="paragraph" w:customStyle="1" w:styleId="3000">
    <w:name w:val="样式 (中文) 黑体 小四 左 行距: 固定值 28 磅"/>
    <w:basedOn w:val="1"/>
    <w:qFormat/>
    <w:uiPriority w:val="0"/>
    <w:pPr>
      <w:spacing w:line="560" w:lineRule="exact"/>
      <w:outlineLvl w:val="2"/>
    </w:pPr>
    <w:rPr>
      <w:rFonts w:hAnsi="宋体" w:cs="宋体"/>
      <w:b/>
      <w:sz w:val="24"/>
      <w:szCs w:val="20"/>
      <w:lang w:val="zh-CN"/>
    </w:rPr>
  </w:style>
  <w:style w:type="paragraph" w:customStyle="1" w:styleId="3001">
    <w:name w:val="Level 2 Body Text"/>
    <w:basedOn w:val="1"/>
    <w:qFormat/>
    <w:uiPriority w:val="0"/>
    <w:pPr>
      <w:widowControl/>
      <w:spacing w:after="240"/>
      <w:ind w:left="1138"/>
      <w:jc w:val="left"/>
    </w:pPr>
    <w:rPr>
      <w:rFonts w:ascii="Times New Roman"/>
      <w:kern w:val="0"/>
      <w:sz w:val="22"/>
      <w:szCs w:val="22"/>
      <w:lang w:eastAsia="en-US"/>
    </w:rPr>
  </w:style>
  <w:style w:type="paragraph" w:customStyle="1" w:styleId="3002">
    <w:name w:val="121111111111"/>
    <w:basedOn w:val="1"/>
    <w:qFormat/>
    <w:uiPriority w:val="0"/>
    <w:pPr>
      <w:spacing w:line="460" w:lineRule="atLeast"/>
      <w:jc w:val="center"/>
    </w:pPr>
    <w:rPr>
      <w:rFonts w:ascii="Times New Roman" w:eastAsia="黑体"/>
      <w:color w:val="000000"/>
      <w:spacing w:val="16"/>
      <w:sz w:val="24"/>
      <w:szCs w:val="24"/>
    </w:rPr>
  </w:style>
  <w:style w:type="paragraph" w:customStyle="1" w:styleId="3003">
    <w:name w:val="Heading Base"/>
    <w:basedOn w:val="32"/>
    <w:next w:val="32"/>
    <w:qFormat/>
    <w:uiPriority w:val="0"/>
    <w:pPr>
      <w:keepNext/>
      <w:keepLines/>
      <w:widowControl/>
      <w:spacing w:after="0" w:line="220" w:lineRule="atLeast"/>
      <w:ind w:right="-360" w:firstLine="200" w:firstLineChars="200"/>
      <w:jc w:val="left"/>
    </w:pPr>
    <w:rPr>
      <w:rFonts w:ascii="ˎ̥" w:hAnsi="ˎ̥" w:eastAsia="Vladimir Script" w:cs="Vladimir Script"/>
      <w:spacing w:val="-4"/>
      <w:kern w:val="0"/>
      <w:sz w:val="18"/>
      <w:szCs w:val="20"/>
    </w:rPr>
  </w:style>
  <w:style w:type="paragraph" w:customStyle="1" w:styleId="3004">
    <w:name w:val="分标题"/>
    <w:basedOn w:val="1"/>
    <w:next w:val="1"/>
    <w:qFormat/>
    <w:uiPriority w:val="0"/>
    <w:pPr>
      <w:widowControl/>
      <w:spacing w:before="60" w:after="60" w:line="360" w:lineRule="auto"/>
      <w:ind w:firstLine="200" w:firstLineChars="200"/>
      <w:jc w:val="left"/>
    </w:pPr>
    <w:rPr>
      <w:rFonts w:ascii="Sim Sun" w:hAnsi="Arial Unicode MS" w:cs="Vladimir Script"/>
      <w:b/>
      <w:kern w:val="0"/>
      <w:sz w:val="24"/>
      <w:szCs w:val="24"/>
    </w:rPr>
  </w:style>
  <w:style w:type="paragraph" w:customStyle="1" w:styleId="3005">
    <w:name w:val="Char Char1 Char Char Char Char2"/>
    <w:basedOn w:val="1"/>
    <w:qFormat/>
    <w:uiPriority w:val="0"/>
    <w:pPr>
      <w:ind w:firstLine="200" w:firstLineChars="200"/>
    </w:pPr>
    <w:rPr>
      <w:rFonts w:ascii="Times New Roman"/>
      <w:sz w:val="24"/>
      <w:szCs w:val="24"/>
    </w:rPr>
  </w:style>
  <w:style w:type="paragraph" w:customStyle="1" w:styleId="3006">
    <w:name w:val="样式 正文文字 + 首行缩进:  2 字符"/>
    <w:basedOn w:val="32"/>
    <w:qFormat/>
    <w:uiPriority w:val="0"/>
    <w:pPr>
      <w:widowControl/>
      <w:spacing w:after="0" w:line="420" w:lineRule="atLeast"/>
      <w:ind w:firstLine="200" w:firstLineChars="200"/>
      <w:jc w:val="left"/>
    </w:pPr>
    <w:rPr>
      <w:rFonts w:ascii="Arial Unicode MS" w:hAnsi="Arial Unicode MS" w:eastAsia="Vladimir Script" w:cs="Vladimir Script"/>
      <w:color w:val="FF0000"/>
      <w:kern w:val="0"/>
      <w:sz w:val="24"/>
      <w:szCs w:val="24"/>
    </w:rPr>
  </w:style>
  <w:style w:type="paragraph" w:customStyle="1" w:styleId="3007">
    <w:name w:val="说明书1"/>
    <w:basedOn w:val="1"/>
    <w:qFormat/>
    <w:uiPriority w:val="0"/>
    <w:pPr>
      <w:spacing w:line="520" w:lineRule="exact"/>
      <w:ind w:firstLine="567"/>
    </w:pPr>
    <w:rPr>
      <w:rFonts w:ascii="Times New Roman"/>
      <w:sz w:val="28"/>
      <w:szCs w:val="20"/>
    </w:rPr>
  </w:style>
  <w:style w:type="paragraph" w:customStyle="1" w:styleId="3008">
    <w:name w:val="批注框文本3"/>
    <w:basedOn w:val="1"/>
    <w:qFormat/>
    <w:uiPriority w:val="0"/>
    <w:rPr>
      <w:rFonts w:ascii="Times New Roman"/>
      <w:sz w:val="18"/>
      <w:szCs w:val="20"/>
      <w:lang w:val="zh-CN"/>
    </w:rPr>
  </w:style>
  <w:style w:type="paragraph" w:customStyle="1" w:styleId="3009">
    <w:name w:val="偶数页篇眉"/>
    <w:basedOn w:val="53"/>
    <w:qFormat/>
    <w:uiPriority w:val="0"/>
    <w:pPr>
      <w:keepLines/>
      <w:widowControl/>
      <w:pBdr>
        <w:top w:val="none" w:color="auto" w:sz="0" w:space="0"/>
        <w:left w:val="none" w:color="auto" w:sz="0" w:space="0"/>
        <w:bottom w:val="none" w:color="auto" w:sz="0" w:space="0"/>
        <w:right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eastAsia="宋体"/>
      <w:snapToGrid/>
      <w:kern w:val="0"/>
      <w:sz w:val="20"/>
      <w:szCs w:val="20"/>
    </w:rPr>
  </w:style>
  <w:style w:type="paragraph" w:customStyle="1" w:styleId="3010">
    <w:name w:val="样式 样式 表格 + (符号) 宋体 五号 居中 + 小五"/>
    <w:basedOn w:val="1"/>
    <w:semiHidden/>
    <w:qFormat/>
    <w:uiPriority w:val="0"/>
    <w:pPr>
      <w:kinsoku w:val="0"/>
      <w:overflowPunct w:val="0"/>
      <w:adjustRightInd w:val="0"/>
      <w:snapToGrid w:val="0"/>
      <w:jc w:val="center"/>
    </w:pPr>
    <w:rPr>
      <w:rFonts w:ascii="Times New Roman"/>
      <w:kern w:val="0"/>
      <w:sz w:val="18"/>
      <w:szCs w:val="21"/>
    </w:rPr>
  </w:style>
  <w:style w:type="paragraph" w:customStyle="1" w:styleId="3011">
    <w:name w:val="样式 样式 样式 样式 样式 样式 样式 正文缩进 + 首行缩进:  2 字符1 + 首行缩进:  2 字符1 + 四号 + 首..."/>
    <w:basedOn w:val="1"/>
    <w:qFormat/>
    <w:uiPriority w:val="0"/>
    <w:pPr>
      <w:spacing w:line="520" w:lineRule="exact"/>
      <w:ind w:firstLine="592" w:firstLineChars="200"/>
    </w:pPr>
    <w:rPr>
      <w:rFonts w:ascii="@幼圆" w:hAnsi="Batang" w:eastAsia="@幼圆" w:cs="Batang"/>
      <w:kern w:val="0"/>
      <w:sz w:val="28"/>
      <w:szCs w:val="20"/>
    </w:rPr>
  </w:style>
  <w:style w:type="paragraph" w:customStyle="1" w:styleId="3012">
    <w:name w:val="样式 表格文字居中 + 行距: 单倍行距"/>
    <w:basedOn w:val="1"/>
    <w:qFormat/>
    <w:uiPriority w:val="0"/>
    <w:pPr>
      <w:keepNext/>
      <w:tabs>
        <w:tab w:val="left" w:pos="628"/>
        <w:tab w:val="left" w:pos="1727"/>
        <w:tab w:val="left" w:pos="1884"/>
      </w:tabs>
      <w:adjustRightInd w:val="0"/>
      <w:snapToGrid w:val="0"/>
      <w:spacing w:beforeLines="10" w:line="440" w:lineRule="exact"/>
      <w:ind w:firstLine="200" w:firstLineChars="200"/>
      <w:jc w:val="center"/>
    </w:pPr>
    <w:rPr>
      <w:rFonts w:ascii="Sim Sun" w:hAnsi="Sim Sun" w:cs="Sim Sun"/>
      <w:color w:val="FF0000"/>
      <w:kern w:val="0"/>
      <w:sz w:val="21"/>
      <w:szCs w:val="21"/>
    </w:rPr>
  </w:style>
  <w:style w:type="paragraph" w:customStyle="1" w:styleId="3013">
    <w:name w:val="正文文本 25"/>
    <w:basedOn w:val="1"/>
    <w:qFormat/>
    <w:uiPriority w:val="0"/>
    <w:pPr>
      <w:adjustRightInd w:val="0"/>
      <w:spacing w:line="432" w:lineRule="auto"/>
      <w:ind w:firstLine="480"/>
    </w:pPr>
    <w:rPr>
      <w:rFonts w:ascii="Times New Roman"/>
      <w:sz w:val="24"/>
      <w:szCs w:val="20"/>
    </w:rPr>
  </w:style>
  <w:style w:type="paragraph" w:customStyle="1" w:styleId="3014">
    <w:name w:val="reader-word-layer reader-word-s20-20"/>
    <w:basedOn w:val="1"/>
    <w:qFormat/>
    <w:uiPriority w:val="0"/>
    <w:pPr>
      <w:widowControl/>
      <w:spacing w:before="100" w:beforeAutospacing="1" w:after="100" w:afterAutospacing="1"/>
      <w:jc w:val="left"/>
    </w:pPr>
    <w:rPr>
      <w:rFonts w:hAnsi="宋体" w:cs="宋体"/>
      <w:kern w:val="0"/>
      <w:sz w:val="24"/>
      <w:szCs w:val="24"/>
    </w:rPr>
  </w:style>
  <w:style w:type="paragraph" w:customStyle="1" w:styleId="3015">
    <w:name w:val="项目点符号"/>
    <w:basedOn w:val="1"/>
    <w:qFormat/>
    <w:uiPriority w:val="0"/>
    <w:pPr>
      <w:spacing w:line="360" w:lineRule="auto"/>
      <w:ind w:firstLine="539" w:firstLineChars="198"/>
    </w:pPr>
    <w:rPr>
      <w:rFonts w:ascii="Times New Roman" w:hAnsi="宋体"/>
      <w:color w:val="000000"/>
      <w:spacing w:val="16"/>
      <w:sz w:val="24"/>
      <w:szCs w:val="24"/>
    </w:rPr>
  </w:style>
  <w:style w:type="paragraph" w:customStyle="1" w:styleId="3016">
    <w:name w:val="Char12 Char Char Char2"/>
    <w:basedOn w:val="1"/>
    <w:qFormat/>
    <w:uiPriority w:val="0"/>
    <w:pPr>
      <w:spacing w:after="160" w:line="240" w:lineRule="exact"/>
      <w:jc w:val="left"/>
    </w:pPr>
    <w:rPr>
      <w:rFonts w:ascii="Times New Roman"/>
      <w:sz w:val="21"/>
      <w:szCs w:val="24"/>
    </w:rPr>
  </w:style>
  <w:style w:type="paragraph" w:customStyle="1" w:styleId="3017">
    <w:name w:val="副标题3"/>
    <w:basedOn w:val="1"/>
    <w:qFormat/>
    <w:uiPriority w:val="0"/>
    <w:pPr>
      <w:keepLines/>
      <w:tabs>
        <w:tab w:val="left" w:pos="672"/>
        <w:tab w:val="left" w:pos="720"/>
        <w:tab w:val="left" w:pos="2160"/>
      </w:tabs>
      <w:adjustRightInd w:val="0"/>
      <w:snapToGrid w:val="0"/>
      <w:spacing w:line="400" w:lineRule="atLeast"/>
      <w:ind w:left="672" w:hanging="348"/>
      <w:outlineLvl w:val="3"/>
    </w:pPr>
    <w:rPr>
      <w:rFonts w:ascii="Sim Sun" w:hAnsi="Batang" w:cs="Batang"/>
      <w:snapToGrid w:val="0"/>
      <w:kern w:val="0"/>
      <w:sz w:val="24"/>
      <w:szCs w:val="24"/>
    </w:rPr>
  </w:style>
  <w:style w:type="paragraph" w:customStyle="1" w:styleId="3018">
    <w:name w:val="赵正文"/>
    <w:basedOn w:val="1"/>
    <w:qFormat/>
    <w:uiPriority w:val="0"/>
    <w:pPr>
      <w:tabs>
        <w:tab w:val="left" w:pos="0"/>
      </w:tabs>
      <w:ind w:firstLine="200"/>
    </w:pPr>
    <w:rPr>
      <w:rFonts w:hAnsi="宋体"/>
      <w:color w:val="000000"/>
      <w:kern w:val="0"/>
      <w:sz w:val="24"/>
      <w:szCs w:val="20"/>
    </w:rPr>
  </w:style>
  <w:style w:type="paragraph" w:customStyle="1" w:styleId="3019">
    <w:name w:val="_Style 63"/>
    <w:basedOn w:val="1"/>
    <w:qFormat/>
    <w:uiPriority w:val="0"/>
    <w:rPr>
      <w:rFonts w:ascii="Times New Roman"/>
      <w:sz w:val="21"/>
      <w:szCs w:val="24"/>
    </w:rPr>
  </w:style>
  <w:style w:type="paragraph" w:customStyle="1" w:styleId="3020">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kern w:val="0"/>
      <w:sz w:val="18"/>
      <w:szCs w:val="18"/>
    </w:rPr>
  </w:style>
  <w:style w:type="paragraph" w:customStyle="1" w:styleId="3021">
    <w:name w:val="Char Char Char1 Char13"/>
    <w:basedOn w:val="1"/>
    <w:qFormat/>
    <w:uiPriority w:val="0"/>
    <w:pPr>
      <w:adjustRightInd w:val="0"/>
      <w:snapToGrid w:val="0"/>
      <w:ind w:left="-45"/>
    </w:pPr>
    <w:rPr>
      <w:rFonts w:ascii="Times New Roman"/>
      <w:sz w:val="21"/>
      <w:szCs w:val="24"/>
    </w:rPr>
  </w:style>
  <w:style w:type="paragraph" w:customStyle="1" w:styleId="3022">
    <w:name w:val="Char Char5 Char Char Char Char Char Char Char Char Char2 Char4"/>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0"/>
    </w:rPr>
  </w:style>
  <w:style w:type="paragraph" w:customStyle="1" w:styleId="3023">
    <w:name w:val="zxl正文首行缩进  2 字符 行距: Char Char"/>
    <w:basedOn w:val="1"/>
    <w:qFormat/>
    <w:uiPriority w:val="0"/>
    <w:pPr>
      <w:widowControl/>
      <w:tabs>
        <w:tab w:val="left" w:pos="-1843"/>
        <w:tab w:val="left" w:pos="0"/>
        <w:tab w:val="left" w:pos="1727"/>
        <w:tab w:val="left" w:pos="1884"/>
      </w:tabs>
      <w:spacing w:line="360" w:lineRule="auto"/>
      <w:ind w:firstLine="482" w:firstLineChars="200"/>
      <w:jc w:val="left"/>
      <w:textAlignment w:val="bottom"/>
      <w:outlineLvl w:val="0"/>
    </w:pPr>
    <w:rPr>
      <w:rFonts w:ascii="Sim Sun" w:hAnsi="Sim Sun" w:cs="Vladimir Script"/>
      <w:color w:val="000000"/>
      <w:sz w:val="24"/>
      <w:szCs w:val="20"/>
    </w:rPr>
  </w:style>
  <w:style w:type="paragraph" w:customStyle="1" w:styleId="3024">
    <w:name w:val="z-窗体顶端21"/>
    <w:basedOn w:val="1"/>
    <w:next w:val="1"/>
    <w:qFormat/>
    <w:uiPriority w:val="0"/>
    <w:pPr>
      <w:widowControl/>
      <w:pBdr>
        <w:bottom w:val="single" w:color="auto" w:sz="6" w:space="1"/>
      </w:pBdr>
      <w:jc w:val="center"/>
    </w:pPr>
    <w:rPr>
      <w:rFonts w:ascii="Arial" w:hAnsi="Arial" w:cs="Arial"/>
      <w:vanish/>
      <w:sz w:val="16"/>
      <w:szCs w:val="22"/>
    </w:rPr>
  </w:style>
  <w:style w:type="paragraph" w:customStyle="1" w:styleId="3025">
    <w:name w:val="CM17"/>
    <w:basedOn w:val="154"/>
    <w:next w:val="154"/>
    <w:qFormat/>
    <w:uiPriority w:val="0"/>
    <w:pPr>
      <w:spacing w:line="468" w:lineRule="atLeast"/>
    </w:pPr>
    <w:rPr>
      <w:rFonts w:ascii="黑体" w:hAnsi="Calibri" w:eastAsia="黑体" w:cs="黑体"/>
      <w:color w:val="auto"/>
      <w:kern w:val="2"/>
    </w:rPr>
  </w:style>
  <w:style w:type="paragraph" w:customStyle="1" w:styleId="3026">
    <w:name w:val="Char Char Char Char Char2 Char Char Char Char1"/>
    <w:basedOn w:val="1"/>
    <w:qFormat/>
    <w:uiPriority w:val="0"/>
    <w:pPr>
      <w:adjustRightInd w:val="0"/>
      <w:snapToGrid w:val="0"/>
      <w:spacing w:line="360" w:lineRule="auto"/>
      <w:ind w:firstLine="200" w:firstLineChars="200"/>
    </w:pPr>
    <w:rPr>
      <w:rFonts w:hAnsi="宋体" w:cs="宋体"/>
      <w:sz w:val="24"/>
      <w:szCs w:val="26"/>
    </w:rPr>
  </w:style>
  <w:style w:type="paragraph" w:customStyle="1" w:styleId="3027">
    <w:name w:val="段落标题"/>
    <w:basedOn w:val="1"/>
    <w:qFormat/>
    <w:uiPriority w:val="0"/>
    <w:pPr>
      <w:tabs>
        <w:tab w:val="left" w:pos="425"/>
      </w:tabs>
      <w:adjustRightInd w:val="0"/>
      <w:spacing w:line="400" w:lineRule="exact"/>
      <w:textAlignment w:val="baseline"/>
    </w:pPr>
    <w:rPr>
      <w:rFonts w:ascii="Batang" w:hAnsi="Batang" w:cs="Batang"/>
      <w:b/>
      <w:sz w:val="28"/>
      <w:szCs w:val="20"/>
    </w:rPr>
  </w:style>
  <w:style w:type="paragraph" w:customStyle="1" w:styleId="3028">
    <w:name w:val="表内式样"/>
    <w:qFormat/>
    <w:uiPriority w:val="0"/>
    <w:pPr>
      <w:widowControl w:val="0"/>
      <w:adjustRightInd w:val="0"/>
      <w:jc w:val="center"/>
      <w:textAlignment w:val="baseline"/>
    </w:pPr>
    <w:rPr>
      <w:rFonts w:ascii="宋体" w:hAnsi="宋体" w:eastAsia="宋体" w:cs="Times New Roman"/>
      <w:snapToGrid w:val="0"/>
      <w:color w:val="FF0000"/>
      <w:sz w:val="21"/>
      <w:szCs w:val="21"/>
      <w:lang w:val="en-US" w:eastAsia="zh-CN" w:bidi="ar-SA"/>
    </w:rPr>
  </w:style>
  <w:style w:type="paragraph" w:customStyle="1" w:styleId="3029">
    <w:name w:val="——"/>
    <w:semiHidden/>
    <w:qFormat/>
    <w:uiPriority w:val="0"/>
    <w:pPr>
      <w:ind w:firstLine="660" w:firstLineChars="300"/>
    </w:pPr>
    <w:rPr>
      <w:rFonts w:ascii="Times New Roman" w:hAnsi="Times New Roman" w:eastAsia="宋体" w:cs="Times New Roman"/>
      <w:lang w:val="en-US" w:eastAsia="zh-CN" w:bidi="ar-SA"/>
    </w:rPr>
  </w:style>
  <w:style w:type="paragraph" w:customStyle="1" w:styleId="3030">
    <w:name w:val="Texte"/>
    <w:basedOn w:val="1"/>
    <w:semiHidden/>
    <w:qFormat/>
    <w:uiPriority w:val="0"/>
    <w:pPr>
      <w:widowControl/>
      <w:spacing w:before="120" w:after="120"/>
      <w:ind w:left="851" w:firstLine="200" w:firstLineChars="200"/>
    </w:pPr>
    <w:rPr>
      <w:rFonts w:ascii="Arial" w:hAnsi="Arial"/>
      <w:kern w:val="0"/>
      <w:sz w:val="22"/>
      <w:szCs w:val="20"/>
      <w:lang w:val="en-GB"/>
    </w:rPr>
  </w:style>
  <w:style w:type="paragraph" w:customStyle="1" w:styleId="3031">
    <w:name w:val="wg"/>
    <w:basedOn w:val="1"/>
    <w:qFormat/>
    <w:uiPriority w:val="0"/>
    <w:rPr>
      <w:rFonts w:ascii="Times New Roman"/>
      <w:sz w:val="28"/>
      <w:szCs w:val="20"/>
    </w:rPr>
  </w:style>
  <w:style w:type="paragraph" w:customStyle="1" w:styleId="3032">
    <w:name w:val="Char2 Char Char Char3"/>
    <w:basedOn w:val="1"/>
    <w:qFormat/>
    <w:uiPriority w:val="0"/>
    <w:pPr>
      <w:adjustRightInd w:val="0"/>
      <w:snapToGrid w:val="0"/>
    </w:pPr>
    <w:rPr>
      <w:rFonts w:ascii="Times New Roman" w:eastAsia="黑体"/>
      <w:snapToGrid w:val="0"/>
      <w:sz w:val="24"/>
      <w:szCs w:val="24"/>
    </w:rPr>
  </w:style>
  <w:style w:type="paragraph" w:customStyle="1" w:styleId="3033">
    <w:name w:val="cucd-TB"/>
    <w:qFormat/>
    <w:uiPriority w:val="0"/>
    <w:pPr>
      <w:spacing w:line="360" w:lineRule="auto"/>
      <w:jc w:val="center"/>
    </w:pPr>
    <w:rPr>
      <w:rFonts w:ascii="Calibri" w:hAnsi="Calibri" w:eastAsia="宋体" w:cs="Times New Roman"/>
      <w:kern w:val="2"/>
      <w:sz w:val="21"/>
      <w:szCs w:val="24"/>
      <w:lang w:val="en-US" w:eastAsia="zh-CN" w:bidi="ar-SA"/>
    </w:rPr>
  </w:style>
  <w:style w:type="paragraph" w:customStyle="1" w:styleId="3034">
    <w:name w:val="z表格"/>
    <w:basedOn w:val="1"/>
    <w:qFormat/>
    <w:uiPriority w:val="0"/>
    <w:pPr>
      <w:widowControl/>
      <w:spacing w:line="360" w:lineRule="exact"/>
      <w:jc w:val="center"/>
    </w:pPr>
    <w:rPr>
      <w:rFonts w:ascii="Times New Roman"/>
      <w:sz w:val="21"/>
      <w:szCs w:val="21"/>
    </w:rPr>
  </w:style>
  <w:style w:type="paragraph" w:customStyle="1" w:styleId="3035">
    <w:name w:val="项目编号"/>
    <w:basedOn w:val="1"/>
    <w:next w:val="1"/>
    <w:qFormat/>
    <w:uiPriority w:val="0"/>
    <w:pPr>
      <w:tabs>
        <w:tab w:val="left" w:pos="360"/>
      </w:tabs>
      <w:spacing w:before="120" w:after="120" w:line="360" w:lineRule="auto"/>
    </w:pPr>
    <w:rPr>
      <w:rFonts w:ascii="Times New Roman"/>
      <w:sz w:val="24"/>
      <w:szCs w:val="20"/>
    </w:rPr>
  </w:style>
  <w:style w:type="paragraph" w:customStyle="1" w:styleId="3036">
    <w:name w:val="样式 正文缩进 + 首行缩进:  2 字符1"/>
    <w:basedOn w:val="20"/>
    <w:qFormat/>
    <w:uiPriority w:val="0"/>
    <w:pPr>
      <w:widowControl/>
      <w:adjustRightInd w:val="0"/>
      <w:snapToGrid w:val="0"/>
      <w:spacing w:line="460" w:lineRule="exact"/>
      <w:ind w:firstLine="392" w:firstLineChars="200"/>
      <w:jc w:val="left"/>
    </w:pPr>
    <w:rPr>
      <w:rFonts w:ascii="宋体" w:hAnsi="宋体" w:eastAsia="仿宋_GB2312" w:cs="宋体"/>
      <w:snapToGrid/>
      <w:kern w:val="24"/>
      <w:sz w:val="32"/>
      <w:szCs w:val="22"/>
      <w:shd w:val="clear" w:color="auto" w:fill="FFFFFF"/>
    </w:rPr>
  </w:style>
  <w:style w:type="paragraph" w:customStyle="1" w:styleId="3037">
    <w:name w:val="列表 51"/>
    <w:basedOn w:val="1"/>
    <w:qFormat/>
    <w:uiPriority w:val="0"/>
    <w:pPr>
      <w:ind w:left="100" w:leftChars="800" w:hanging="200" w:hangingChars="200"/>
    </w:pPr>
    <w:rPr>
      <w:rFonts w:ascii="Arial Unicode MS" w:hAnsi="Arial Unicode MS" w:cs="Vladimir Script"/>
      <w:sz w:val="21"/>
      <w:szCs w:val="24"/>
    </w:rPr>
  </w:style>
  <w:style w:type="paragraph" w:customStyle="1" w:styleId="3038">
    <w:name w:val="副标题2"/>
    <w:basedOn w:val="4"/>
    <w:qFormat/>
    <w:uiPriority w:val="0"/>
    <w:pPr>
      <w:tabs>
        <w:tab w:val="left" w:pos="285"/>
        <w:tab w:val="left" w:pos="992"/>
      </w:tabs>
      <w:spacing w:line="360" w:lineRule="auto"/>
      <w:ind w:left="992" w:hanging="567"/>
      <w:jc w:val="center"/>
    </w:pPr>
    <w:rPr>
      <w:rFonts w:ascii="Arial" w:hAnsi="Arial" w:eastAsia="黑体" w:cs="宋体"/>
      <w:snapToGrid/>
      <w:sz w:val="30"/>
      <w:szCs w:val="24"/>
    </w:rPr>
  </w:style>
  <w:style w:type="paragraph" w:customStyle="1" w:styleId="3039">
    <w:name w:val="样式 (符号) 宋体 三号 黑色 首行缩进:  2 字符"/>
    <w:basedOn w:val="1"/>
    <w:qFormat/>
    <w:uiPriority w:val="0"/>
    <w:pPr>
      <w:spacing w:line="440" w:lineRule="exact"/>
      <w:ind w:firstLine="640" w:firstLineChars="200"/>
    </w:pPr>
    <w:rPr>
      <w:rFonts w:ascii="Times New Roman" w:hAnsi="宋体" w:cs="宋体"/>
      <w:color w:val="000000"/>
      <w:sz w:val="28"/>
      <w:szCs w:val="28"/>
    </w:rPr>
  </w:style>
  <w:style w:type="paragraph" w:customStyle="1" w:styleId="3040">
    <w:name w:val="Char Char Char Char Char 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3041">
    <w:name w:val="reader-word-layer reader-word-s1-35"/>
    <w:basedOn w:val="1"/>
    <w:qFormat/>
    <w:uiPriority w:val="0"/>
    <w:pPr>
      <w:widowControl/>
      <w:spacing w:before="100" w:beforeAutospacing="1" w:after="100" w:afterAutospacing="1"/>
      <w:jc w:val="left"/>
    </w:pPr>
    <w:rPr>
      <w:rFonts w:hAnsi="宋体" w:cs="宋体"/>
      <w:kern w:val="0"/>
      <w:sz w:val="24"/>
      <w:szCs w:val="24"/>
    </w:rPr>
  </w:style>
  <w:style w:type="paragraph" w:customStyle="1" w:styleId="3042">
    <w:name w:val="表中字"/>
    <w:basedOn w:val="1"/>
    <w:qFormat/>
    <w:uiPriority w:val="0"/>
    <w:pPr>
      <w:spacing w:line="360" w:lineRule="auto"/>
      <w:jc w:val="center"/>
    </w:pPr>
    <w:rPr>
      <w:rFonts w:hAnsi="宋体"/>
      <w:sz w:val="24"/>
      <w:szCs w:val="24"/>
    </w:rPr>
  </w:style>
  <w:style w:type="paragraph" w:customStyle="1" w:styleId="3043">
    <w:name w:val="样式 首行缩进:  0.99 厘米"/>
    <w:basedOn w:val="1"/>
    <w:qFormat/>
    <w:uiPriority w:val="0"/>
    <w:pPr>
      <w:adjustRightInd w:val="0"/>
      <w:snapToGrid w:val="0"/>
      <w:spacing w:line="500" w:lineRule="exact"/>
      <w:ind w:firstLine="560" w:firstLineChars="200"/>
    </w:pPr>
    <w:rPr>
      <w:rFonts w:ascii="仿宋_GB2312" w:eastAsia="仿宋_GB2312"/>
      <w:color w:val="000000"/>
      <w:sz w:val="28"/>
      <w:szCs w:val="24"/>
    </w:rPr>
  </w:style>
  <w:style w:type="paragraph" w:customStyle="1" w:styleId="3044">
    <w:name w:val="样式 正文文字缩进 2 + 首行缩进:  2 字符"/>
    <w:basedOn w:val="48"/>
    <w:qFormat/>
    <w:uiPriority w:val="0"/>
    <w:pPr>
      <w:spacing w:after="0" w:line="480" w:lineRule="atLeast"/>
      <w:ind w:left="0" w:leftChars="0" w:firstLine="200" w:firstLineChars="200"/>
    </w:pPr>
    <w:rPr>
      <w:rFonts w:ascii="Calibri" w:hAnsi="Calibri" w:eastAsia="宋体" w:cs="宋体"/>
      <w:snapToGrid/>
      <w:sz w:val="24"/>
    </w:rPr>
  </w:style>
  <w:style w:type="paragraph" w:customStyle="1" w:styleId="3045">
    <w:name w:val="Char Char Char Char Char Char Char Char Char Char Char"/>
    <w:basedOn w:val="1"/>
    <w:qFormat/>
    <w:uiPriority w:val="0"/>
    <w:rPr>
      <w:rFonts w:ascii="Batang" w:hAnsi="Batang" w:cs="Batang"/>
      <w:sz w:val="21"/>
      <w:szCs w:val="24"/>
    </w:rPr>
  </w:style>
  <w:style w:type="paragraph" w:customStyle="1" w:styleId="3046">
    <w:name w:val="Char Char Char Char Char Char Char Char Char Char Char1 Char Char Char Char Char Char Char"/>
    <w:basedOn w:val="1"/>
    <w:qFormat/>
    <w:uiPriority w:val="0"/>
    <w:rPr>
      <w:rFonts w:ascii="Batang" w:hAnsi="Batang" w:cs="Batang"/>
      <w:sz w:val="21"/>
      <w:szCs w:val="24"/>
    </w:rPr>
  </w:style>
  <w:style w:type="paragraph" w:customStyle="1" w:styleId="3047">
    <w:name w:val="无间隔3"/>
    <w:basedOn w:val="20"/>
    <w:qFormat/>
    <w:uiPriority w:val="0"/>
    <w:pPr>
      <w:tabs>
        <w:tab w:val="left" w:pos="1523"/>
      </w:tabs>
      <w:ind w:firstLine="0"/>
      <w:outlineLvl w:val="3"/>
    </w:pPr>
    <w:rPr>
      <w:rFonts w:eastAsia="宋体"/>
      <w:snapToGrid/>
      <w:sz w:val="25"/>
      <w:szCs w:val="22"/>
    </w:rPr>
  </w:style>
  <w:style w:type="paragraph" w:customStyle="1" w:styleId="3048">
    <w:name w:val="2 Char Char Char Char Char Char Char Char Char Char"/>
    <w:basedOn w:val="1"/>
    <w:qFormat/>
    <w:uiPriority w:val="0"/>
    <w:rPr>
      <w:rFonts w:ascii="Batang" w:hAnsi="Batang" w:cs="Batang"/>
      <w:sz w:val="21"/>
      <w:szCs w:val="24"/>
    </w:rPr>
  </w:style>
  <w:style w:type="paragraph" w:customStyle="1" w:styleId="3049">
    <w:name w:val="样式表格"/>
    <w:basedOn w:val="1"/>
    <w:qFormat/>
    <w:uiPriority w:val="0"/>
    <w:pPr>
      <w:widowControl/>
      <w:adjustRightInd w:val="0"/>
      <w:snapToGrid w:val="0"/>
      <w:jc w:val="center"/>
    </w:pPr>
    <w:rPr>
      <w:rFonts w:ascii="Times New Roman"/>
      <w:snapToGrid w:val="0"/>
      <w:kern w:val="0"/>
      <w:sz w:val="21"/>
      <w:szCs w:val="21"/>
    </w:rPr>
  </w:style>
  <w:style w:type="paragraph" w:customStyle="1" w:styleId="3050">
    <w:name w:val="couv"/>
    <w:basedOn w:val="1"/>
    <w:semiHidden/>
    <w:qFormat/>
    <w:uiPriority w:val="0"/>
    <w:pPr>
      <w:widowControl/>
      <w:spacing w:before="120" w:after="120"/>
      <w:ind w:firstLine="200" w:firstLineChars="200"/>
      <w:jc w:val="center"/>
    </w:pPr>
    <w:rPr>
      <w:rFonts w:ascii="Times New Roman"/>
      <w:b/>
      <w:kern w:val="0"/>
      <w:sz w:val="40"/>
      <w:szCs w:val="20"/>
      <w:lang w:val="en-GB"/>
    </w:rPr>
  </w:style>
  <w:style w:type="paragraph" w:customStyle="1" w:styleId="3051">
    <w:name w:val="City/State"/>
    <w:basedOn w:val="32"/>
    <w:next w:val="32"/>
    <w:qFormat/>
    <w:uiPriority w:val="0"/>
    <w:pPr>
      <w:keepNext/>
      <w:widowControl/>
      <w:spacing w:after="220" w:line="220" w:lineRule="atLeast"/>
      <w:ind w:right="-360" w:firstLine="200" w:firstLineChars="200"/>
      <w:jc w:val="left"/>
    </w:pPr>
    <w:rPr>
      <w:rFonts w:ascii="Arial Unicode MS" w:hAnsi="Arial Unicode MS" w:eastAsia="Vladimir Script" w:cs="Vladimir Script"/>
      <w:kern w:val="0"/>
      <w:sz w:val="20"/>
      <w:szCs w:val="20"/>
    </w:rPr>
  </w:style>
  <w:style w:type="paragraph" w:customStyle="1" w:styleId="3052">
    <w:name w:val="xl43"/>
    <w:basedOn w:val="1"/>
    <w:qFormat/>
    <w:uiPriority w:val="0"/>
    <w:pPr>
      <w:widowControl/>
      <w:pBdr>
        <w:top w:val="single" w:color="auto" w:sz="4" w:space="0"/>
        <w:left w:val="single" w:color="auto" w:sz="4" w:space="0"/>
      </w:pBdr>
      <w:spacing w:before="100" w:beforeAutospacing="1" w:after="100" w:afterAutospacing="1"/>
      <w:jc w:val="center"/>
    </w:pPr>
    <w:rPr>
      <w:rFonts w:ascii="Verdana" w:hAnsi="Verdana" w:eastAsia="黑体" w:cs="黑体"/>
      <w:b/>
      <w:bCs/>
      <w:kern w:val="0"/>
      <w:sz w:val="18"/>
      <w:szCs w:val="18"/>
    </w:rPr>
  </w:style>
  <w:style w:type="paragraph" w:customStyle="1" w:styleId="3053">
    <w:name w:val="Char42"/>
    <w:basedOn w:val="1"/>
    <w:qFormat/>
    <w:uiPriority w:val="0"/>
    <w:pPr>
      <w:spacing w:line="360" w:lineRule="auto"/>
      <w:ind w:firstLine="200" w:firstLineChars="200"/>
    </w:pPr>
    <w:rPr>
      <w:rFonts w:hAnsi="宋体" w:cs="宋体"/>
      <w:sz w:val="24"/>
      <w:szCs w:val="24"/>
    </w:rPr>
  </w:style>
  <w:style w:type="paragraph" w:customStyle="1" w:styleId="3054">
    <w:name w:val="A表格A"/>
    <w:basedOn w:val="1"/>
    <w:next w:val="1"/>
    <w:qFormat/>
    <w:uiPriority w:val="0"/>
    <w:pPr>
      <w:widowControl/>
      <w:adjustRightInd w:val="0"/>
      <w:snapToGrid w:val="0"/>
      <w:jc w:val="center"/>
    </w:pPr>
    <w:rPr>
      <w:rFonts w:hAnsi="宋体"/>
      <w:color w:val="0000FF"/>
      <w:sz w:val="21"/>
      <w:szCs w:val="21"/>
    </w:rPr>
  </w:style>
  <w:style w:type="paragraph" w:customStyle="1" w:styleId="3055">
    <w:name w:val="标题 2级"/>
    <w:basedOn w:val="1"/>
    <w:next w:val="1"/>
    <w:qFormat/>
    <w:uiPriority w:val="0"/>
    <w:pPr>
      <w:snapToGrid w:val="0"/>
      <w:spacing w:beforeLines="50" w:afterLines="50"/>
      <w:outlineLvl w:val="1"/>
    </w:pPr>
    <w:rPr>
      <w:rFonts w:ascii="ˎ̥" w:hAnsi="ˎ̥" w:eastAsia="FLGPEK+TimesNewRoman,Italic" w:cs="ˎ̥"/>
      <w:b/>
      <w:sz w:val="28"/>
      <w:szCs w:val="24"/>
    </w:rPr>
  </w:style>
  <w:style w:type="paragraph" w:customStyle="1" w:styleId="3056">
    <w:name w:val="文-1"/>
    <w:basedOn w:val="1"/>
    <w:semiHidden/>
    <w:qFormat/>
    <w:uiPriority w:val="0"/>
    <w:pPr>
      <w:spacing w:before="120"/>
      <w:ind w:left="851" w:firstLine="482"/>
    </w:pPr>
    <w:rPr>
      <w:rFonts w:ascii="Times New Roman"/>
      <w:sz w:val="24"/>
      <w:szCs w:val="20"/>
    </w:rPr>
  </w:style>
  <w:style w:type="paragraph" w:customStyle="1" w:styleId="3057">
    <w:name w:val="样式 标题 22级样式 + 段前: 0.3 行 段后: 0.3 行1"/>
    <w:basedOn w:val="4"/>
    <w:qFormat/>
    <w:uiPriority w:val="0"/>
    <w:pPr>
      <w:tabs>
        <w:tab w:val="left" w:pos="992"/>
      </w:tabs>
      <w:adjustRightInd w:val="0"/>
      <w:spacing w:beforeLines="30" w:afterLines="30" w:line="360" w:lineRule="auto"/>
      <w:ind w:left="992" w:firstLine="200" w:firstLineChars="200"/>
      <w:jc w:val="left"/>
    </w:pPr>
    <w:rPr>
      <w:rFonts w:ascii="Arial Unicode MS" w:hAnsi="Arial Unicode MS" w:eastAsia="仿宋体" w:cs="Sim Sun"/>
      <w:b w:val="0"/>
      <w:smallCaps/>
      <w:snapToGrid/>
      <w:color w:val="003300"/>
      <w:sz w:val="28"/>
      <w:szCs w:val="21"/>
    </w:rPr>
  </w:style>
  <w:style w:type="paragraph" w:customStyle="1" w:styleId="3058">
    <w:name w:val="图表中内容"/>
    <w:basedOn w:val="1"/>
    <w:qFormat/>
    <w:uiPriority w:val="0"/>
    <w:pPr>
      <w:jc w:val="center"/>
    </w:pPr>
    <w:rPr>
      <w:rFonts w:ascii="Times New Roman" w:cs="Arial"/>
      <w:sz w:val="21"/>
      <w:szCs w:val="21"/>
    </w:rPr>
  </w:style>
  <w:style w:type="paragraph" w:customStyle="1" w:styleId="3059">
    <w:name w:val="表格文字左"/>
    <w:basedOn w:val="1"/>
    <w:qFormat/>
    <w:uiPriority w:val="0"/>
    <w:pPr>
      <w:spacing w:line="240" w:lineRule="atLeast"/>
      <w:jc w:val="center"/>
    </w:pPr>
    <w:rPr>
      <w:rFonts w:hAnsi="宋体"/>
      <w:color w:val="000000"/>
      <w:kern w:val="0"/>
      <w:sz w:val="24"/>
      <w:szCs w:val="24"/>
    </w:rPr>
  </w:style>
  <w:style w:type="paragraph" w:customStyle="1" w:styleId="3060">
    <w:name w:val="No Spacing_32b6ed3b-2770-48fc-9969-35763682442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61">
    <w:name w:val="表头名称"/>
    <w:basedOn w:val="20"/>
    <w:qFormat/>
    <w:uiPriority w:val="0"/>
    <w:pPr>
      <w:autoSpaceDE w:val="0"/>
      <w:autoSpaceDN w:val="0"/>
      <w:adjustRightInd w:val="0"/>
      <w:spacing w:line="440" w:lineRule="exact"/>
      <w:ind w:firstLine="0"/>
      <w:jc w:val="center"/>
    </w:pPr>
    <w:rPr>
      <w:rFonts w:ascii="黑体" w:hAnsi="宋体"/>
      <w:snapToGrid/>
      <w:kern w:val="0"/>
      <w:sz w:val="24"/>
      <w:szCs w:val="22"/>
    </w:rPr>
  </w:style>
  <w:style w:type="paragraph" w:customStyle="1" w:styleId="3062">
    <w:name w:val="样式 Times New Roman 加粗 两端对齐 段前: 3 磅 段后: 3 磅 行距: 固定值 22 磅"/>
    <w:basedOn w:val="1"/>
    <w:qFormat/>
    <w:uiPriority w:val="0"/>
    <w:pPr>
      <w:widowControl/>
      <w:spacing w:before="60" w:after="60" w:line="440" w:lineRule="exact"/>
    </w:pPr>
    <w:rPr>
      <w:rFonts w:ascii="Times New Roman" w:cs="宋体"/>
      <w:b/>
      <w:bCs/>
      <w:kern w:val="0"/>
      <w:sz w:val="24"/>
      <w:szCs w:val="20"/>
    </w:rPr>
  </w:style>
  <w:style w:type="paragraph" w:customStyle="1" w:styleId="3063">
    <w:name w:val="插图标题"/>
    <w:basedOn w:val="1"/>
    <w:semiHidden/>
    <w:qFormat/>
    <w:uiPriority w:val="0"/>
    <w:pPr>
      <w:tabs>
        <w:tab w:val="left" w:pos="1134"/>
        <w:tab w:val="right" w:pos="7371"/>
      </w:tabs>
      <w:overflowPunct w:val="0"/>
      <w:adjustRightInd w:val="0"/>
      <w:spacing w:line="360" w:lineRule="auto"/>
      <w:ind w:firstLine="567"/>
      <w:jc w:val="center"/>
    </w:pPr>
    <w:rPr>
      <w:rFonts w:ascii="黑体" w:eastAsia="黑体"/>
      <w:kern w:val="0"/>
      <w:sz w:val="28"/>
      <w:szCs w:val="20"/>
    </w:rPr>
  </w:style>
  <w:style w:type="paragraph" w:customStyle="1" w:styleId="3064">
    <w:name w:val="样式 样式 标题 2h22Header 2nd PageA.B.C.h2 main h标题2 + 仿宋_GB2312 行距......1"/>
    <w:basedOn w:val="2976"/>
    <w:qFormat/>
    <w:uiPriority w:val="0"/>
    <w:pPr>
      <w:ind w:firstLine="454"/>
    </w:pPr>
    <w:rPr>
      <w:b/>
      <w:bCs/>
    </w:rPr>
  </w:style>
  <w:style w:type="paragraph" w:customStyle="1" w:styleId="3065">
    <w:name w:val="ch中文正文"/>
    <w:qFormat/>
    <w:uiPriority w:val="0"/>
    <w:pPr>
      <w:spacing w:beforeLines="50" w:afterLines="50" w:line="360" w:lineRule="auto"/>
      <w:ind w:firstLine="200" w:firstLineChars="200"/>
    </w:pPr>
    <w:rPr>
      <w:rFonts w:ascii="Arial Unicode MS" w:hAnsi="Arial Unicode MS" w:eastAsia="宋体" w:cs="Vladimir Script"/>
      <w:sz w:val="24"/>
      <w:lang w:val="en-US" w:eastAsia="zh-CN" w:bidi="ar-SA"/>
    </w:rPr>
  </w:style>
  <w:style w:type="paragraph" w:customStyle="1" w:styleId="3066">
    <w:name w:val="Char51"/>
    <w:basedOn w:val="1"/>
    <w:qFormat/>
    <w:uiPriority w:val="0"/>
    <w:pPr>
      <w:spacing w:line="360" w:lineRule="auto"/>
      <w:ind w:firstLine="200" w:firstLineChars="200"/>
    </w:pPr>
    <w:rPr>
      <w:rFonts w:ascii="Times New Roman"/>
      <w:sz w:val="21"/>
      <w:szCs w:val="20"/>
    </w:rPr>
  </w:style>
  <w:style w:type="paragraph" w:customStyle="1" w:styleId="3067">
    <w:name w:val="目录 111"/>
    <w:basedOn w:val="1"/>
    <w:next w:val="1"/>
    <w:qFormat/>
    <w:uiPriority w:val="0"/>
    <w:pPr>
      <w:tabs>
        <w:tab w:val="right" w:leader="dot" w:pos="8777"/>
      </w:tabs>
      <w:spacing w:before="120" w:after="120"/>
    </w:pPr>
    <w:rPr>
      <w:rFonts w:hint="eastAsia" w:ascii="Times New Roman"/>
      <w:caps/>
      <w:color w:val="000000"/>
      <w:sz w:val="24"/>
      <w:szCs w:val="20"/>
    </w:rPr>
  </w:style>
  <w:style w:type="paragraph" w:customStyle="1" w:styleId="3068">
    <w:name w:val="CM110"/>
    <w:basedOn w:val="1"/>
    <w:next w:val="1"/>
    <w:qFormat/>
    <w:uiPriority w:val="0"/>
    <w:pPr>
      <w:autoSpaceDE w:val="0"/>
      <w:autoSpaceDN w:val="0"/>
      <w:adjustRightInd w:val="0"/>
      <w:spacing w:after="313"/>
      <w:jc w:val="left"/>
    </w:pPr>
    <w:rPr>
      <w:rFonts w:ascii="Arial Unicode MS" w:hAnsi="Batang" w:eastAsia="Arial Unicode MS" w:cs="Batang"/>
      <w:kern w:val="0"/>
      <w:sz w:val="24"/>
      <w:szCs w:val="24"/>
    </w:rPr>
  </w:style>
  <w:style w:type="paragraph" w:customStyle="1" w:styleId="3069">
    <w:name w:val="xl79"/>
    <w:basedOn w:val="1"/>
    <w:qFormat/>
    <w:uiPriority w:val="0"/>
    <w:pPr>
      <w:widowControl/>
      <w:pBdr>
        <w:bottom w:val="single" w:color="auto" w:sz="8" w:space="0"/>
      </w:pBdr>
      <w:spacing w:before="100" w:after="100"/>
      <w:jc w:val="center"/>
      <w:textAlignment w:val="center"/>
    </w:pPr>
    <w:rPr>
      <w:rFonts w:ascii="Batang" w:hAnsi="Batang" w:cs="Batang"/>
      <w:kern w:val="0"/>
      <w:sz w:val="24"/>
      <w:szCs w:val="24"/>
    </w:rPr>
  </w:style>
  <w:style w:type="paragraph" w:customStyle="1" w:styleId="3070">
    <w:name w:val="副题目 – 封页"/>
    <w:next w:val="32"/>
    <w:qFormat/>
    <w:uiPriority w:val="0"/>
    <w:pPr>
      <w:spacing w:before="1520"/>
      <w:ind w:right="1680"/>
    </w:pPr>
    <w:rPr>
      <w:rFonts w:ascii="Times New Roman" w:hAnsi="Times New Roman" w:eastAsia="宋体" w:cs="Times New Roman"/>
      <w:i/>
      <w:spacing w:val="-20"/>
      <w:sz w:val="36"/>
      <w:lang w:val="en-US" w:eastAsia="zh-CN" w:bidi="ar-SA"/>
    </w:rPr>
  </w:style>
  <w:style w:type="paragraph" w:customStyle="1" w:styleId="3071">
    <w:name w:val="题目封页"/>
    <w:basedOn w:val="1610"/>
    <w:next w:val="1"/>
    <w:qFormat/>
    <w:uiPriority w:val="0"/>
    <w:pPr>
      <w:keepNext/>
      <w:keepLines/>
      <w:spacing w:before="1800" w:line="240" w:lineRule="atLeast"/>
      <w:ind w:left="1080"/>
    </w:pPr>
    <w:rPr>
      <w:rFonts w:ascii="Arial" w:hAnsi="Arial"/>
      <w:b/>
      <w:spacing w:val="-48"/>
      <w:kern w:val="28"/>
      <w:sz w:val="72"/>
    </w:rPr>
  </w:style>
  <w:style w:type="paragraph" w:customStyle="1" w:styleId="3072">
    <w:name w:val="Char Char Char Char Char Char Char Char Char Char Char Char Char Char Char Char Char Char Char Char Char Char Char Char Char Char Char Char Char Char Char Char Char Char Char Char Char Char Char Char Char Char1"/>
    <w:basedOn w:val="1"/>
    <w:qFormat/>
    <w:uiPriority w:val="0"/>
    <w:rPr>
      <w:rFonts w:ascii="Times New Roman"/>
      <w:sz w:val="21"/>
      <w:szCs w:val="24"/>
    </w:rPr>
  </w:style>
  <w:style w:type="paragraph" w:customStyle="1" w:styleId="3073">
    <w:name w:val="Char8 Char Char Char1"/>
    <w:basedOn w:val="1"/>
    <w:qFormat/>
    <w:uiPriority w:val="0"/>
    <w:pPr>
      <w:spacing w:line="360" w:lineRule="auto"/>
      <w:ind w:firstLine="200" w:firstLineChars="200"/>
    </w:pPr>
    <w:rPr>
      <w:rFonts w:hAnsi="宋体" w:cs="宋体"/>
      <w:sz w:val="24"/>
      <w:szCs w:val="24"/>
    </w:rPr>
  </w:style>
  <w:style w:type="paragraph" w:customStyle="1" w:styleId="3074">
    <w:name w:val="环境规划标题2+四黑"/>
    <w:basedOn w:val="4"/>
    <w:qFormat/>
    <w:uiPriority w:val="0"/>
    <w:pPr>
      <w:tabs>
        <w:tab w:val="left" w:pos="756"/>
        <w:tab w:val="left" w:pos="992"/>
      </w:tabs>
      <w:spacing w:before="160" w:after="160" w:line="360" w:lineRule="auto"/>
    </w:pPr>
    <w:rPr>
      <w:rFonts w:ascii="Times New Roman" w:hAnsi="Times New Roman" w:eastAsia="黑体"/>
      <w:snapToGrid/>
      <w:color w:val="000000"/>
      <w:sz w:val="28"/>
    </w:rPr>
  </w:style>
  <w:style w:type="paragraph" w:customStyle="1" w:styleId="3075">
    <w:name w:val="列表编号 51"/>
    <w:basedOn w:val="1"/>
    <w:qFormat/>
    <w:uiPriority w:val="0"/>
    <w:pPr>
      <w:tabs>
        <w:tab w:val="left" w:pos="2040"/>
      </w:tabs>
      <w:spacing w:line="480" w:lineRule="exact"/>
      <w:ind w:left="2040" w:leftChars="800" w:hanging="360" w:hangingChars="200"/>
    </w:pPr>
    <w:rPr>
      <w:rFonts w:ascii="Arial Unicode MS" w:hAnsi="Arial Unicode MS" w:cs="Vladimir Script"/>
      <w:sz w:val="24"/>
      <w:szCs w:val="24"/>
    </w:rPr>
  </w:style>
  <w:style w:type="paragraph" w:customStyle="1" w:styleId="3076">
    <w:name w:val="1级标题"/>
    <w:basedOn w:val="3"/>
    <w:qFormat/>
    <w:uiPriority w:val="0"/>
    <w:pPr>
      <w:keepNext w:val="0"/>
      <w:keepLines w:val="0"/>
      <w:tabs>
        <w:tab w:val="left" w:pos="425"/>
      </w:tabs>
      <w:adjustRightInd w:val="0"/>
      <w:snapToGrid w:val="0"/>
      <w:spacing w:beforeLines="0"/>
      <w:ind w:left="425" w:hanging="425"/>
    </w:pPr>
    <w:rPr>
      <w:rFonts w:ascii="黑体"/>
      <w:bCs/>
      <w:snapToGrid/>
      <w:sz w:val="32"/>
      <w:szCs w:val="30"/>
    </w:rPr>
  </w:style>
  <w:style w:type="paragraph" w:customStyle="1" w:styleId="3077">
    <w:name w:val="样式 正文（首行缩进两字） Char1标题4 + (符号) 宋体 小四 首行缩进:  0.85 厘米"/>
    <w:basedOn w:val="1"/>
    <w:qFormat/>
    <w:uiPriority w:val="0"/>
    <w:pPr>
      <w:adjustRightInd w:val="0"/>
      <w:spacing w:line="440" w:lineRule="atLeast"/>
      <w:ind w:firstLine="482" w:firstLineChars="200"/>
    </w:pPr>
    <w:rPr>
      <w:rFonts w:ascii="Arial Unicode MS" w:hAnsi="Sim Sun" w:cs="Sim Sun"/>
      <w:kern w:val="0"/>
      <w:sz w:val="24"/>
      <w:szCs w:val="20"/>
    </w:rPr>
  </w:style>
  <w:style w:type="paragraph" w:customStyle="1" w:styleId="3078">
    <w:name w:val="Char Char Char Char Char Char1 Char3"/>
    <w:basedOn w:val="1"/>
    <w:qFormat/>
    <w:uiPriority w:val="0"/>
    <w:pPr>
      <w:widowControl/>
      <w:spacing w:after="160" w:line="240" w:lineRule="exact"/>
      <w:jc w:val="left"/>
    </w:pPr>
    <w:rPr>
      <w:rFonts w:ascii="Arial" w:hAnsi="Arial" w:eastAsia="Times New Roman"/>
      <w:b/>
      <w:kern w:val="0"/>
      <w:sz w:val="24"/>
      <w:szCs w:val="20"/>
      <w:lang w:eastAsia="en-US"/>
    </w:rPr>
  </w:style>
  <w:style w:type="paragraph" w:customStyle="1" w:styleId="3079">
    <w:name w:val="Char Char Char Char Char Char Char Char Char Char Char Char Char Char Char Char Char Char Char Char Char Char Char Char Char Char Char Char Char Char Char Char Char Char Char Char Char Char Char Char Char Char"/>
    <w:basedOn w:val="1"/>
    <w:qFormat/>
    <w:uiPriority w:val="0"/>
    <w:rPr>
      <w:rFonts w:ascii="Times New Roman"/>
      <w:sz w:val="21"/>
      <w:szCs w:val="24"/>
    </w:rPr>
  </w:style>
  <w:style w:type="paragraph" w:customStyle="1" w:styleId="3080">
    <w:name w:val="样式 小四 加粗 行距: 1.5 倍行距"/>
    <w:basedOn w:val="1"/>
    <w:semiHidden/>
    <w:qFormat/>
    <w:uiPriority w:val="0"/>
    <w:pPr>
      <w:spacing w:line="360" w:lineRule="auto"/>
    </w:pPr>
    <w:rPr>
      <w:rFonts w:ascii="Times New Roman" w:cs="宋体"/>
      <w:b/>
      <w:bCs/>
      <w:sz w:val="24"/>
      <w:szCs w:val="20"/>
    </w:rPr>
  </w:style>
  <w:style w:type="paragraph" w:customStyle="1" w:styleId="3081">
    <w:name w:val="特殊标题３"/>
    <w:basedOn w:val="1"/>
    <w:qFormat/>
    <w:uiPriority w:val="0"/>
    <w:pPr>
      <w:overflowPunct w:val="0"/>
      <w:autoSpaceDE w:val="0"/>
      <w:autoSpaceDN w:val="0"/>
      <w:adjustRightInd w:val="0"/>
      <w:spacing w:line="360" w:lineRule="auto"/>
    </w:pPr>
    <w:rPr>
      <w:rFonts w:ascii="Times New Roman" w:eastAsia="仿宋_GB2312"/>
      <w:kern w:val="0"/>
      <w:sz w:val="28"/>
      <w:szCs w:val="20"/>
    </w:rPr>
  </w:style>
  <w:style w:type="paragraph" w:customStyle="1" w:styleId="3082">
    <w:name w:val="五号 加粗 居中"/>
    <w:basedOn w:val="1"/>
    <w:qFormat/>
    <w:uiPriority w:val="0"/>
    <w:pPr>
      <w:tabs>
        <w:tab w:val="left" w:pos="7755"/>
      </w:tabs>
      <w:spacing w:line="360" w:lineRule="auto"/>
      <w:jc w:val="center"/>
    </w:pPr>
    <w:rPr>
      <w:rFonts w:ascii="Times New Roman"/>
      <w:b/>
      <w:sz w:val="21"/>
      <w:szCs w:val="20"/>
    </w:rPr>
  </w:style>
  <w:style w:type="paragraph" w:customStyle="1" w:styleId="3083">
    <w:name w:val="main-font"/>
    <w:basedOn w:val="1"/>
    <w:qFormat/>
    <w:uiPriority w:val="0"/>
    <w:pPr>
      <w:widowControl/>
      <w:spacing w:before="75" w:after="75" w:line="300" w:lineRule="atLeast"/>
      <w:ind w:left="75" w:right="75" w:firstLine="480"/>
      <w:jc w:val="left"/>
    </w:pPr>
    <w:rPr>
      <w:rFonts w:hAnsi="宋体"/>
      <w:color w:val="000000"/>
      <w:kern w:val="0"/>
      <w:sz w:val="18"/>
      <w:szCs w:val="20"/>
    </w:rPr>
  </w:style>
  <w:style w:type="paragraph" w:customStyle="1" w:styleId="3084">
    <w:name w:val="Char Char7 Char Char Char Char Char Char2"/>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ascii="Sim Sun" w:hAnsi="Sim Sun" w:eastAsia="仿宋体" w:cs="Vladimir Script"/>
      <w:b w:val="0"/>
      <w:snapToGrid w:val="0"/>
      <w:color w:val="000000"/>
      <w:szCs w:val="24"/>
    </w:rPr>
  </w:style>
  <w:style w:type="paragraph" w:customStyle="1" w:styleId="3085">
    <w:name w:val="Char Char Char Char Char"/>
    <w:basedOn w:val="1"/>
    <w:qFormat/>
    <w:uiPriority w:val="0"/>
    <w:rPr>
      <w:rFonts w:ascii="Batang" w:hAnsi="Batang" w:cs="Batang"/>
      <w:sz w:val="21"/>
      <w:szCs w:val="24"/>
    </w:rPr>
  </w:style>
  <w:style w:type="paragraph" w:customStyle="1" w:styleId="3086">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kern w:val="0"/>
      <w:sz w:val="24"/>
      <w:szCs w:val="24"/>
    </w:rPr>
  </w:style>
  <w:style w:type="paragraph" w:customStyle="1" w:styleId="3087">
    <w:name w:val="样式 段落1 + 左 首行缩进:  2 字符 加宽量  0.3 磅"/>
    <w:basedOn w:val="1"/>
    <w:qFormat/>
    <w:uiPriority w:val="0"/>
    <w:pPr>
      <w:tabs>
        <w:tab w:val="left" w:pos="4254"/>
      </w:tabs>
      <w:adjustRightInd w:val="0"/>
      <w:snapToGrid w:val="0"/>
      <w:spacing w:line="360" w:lineRule="auto"/>
      <w:textAlignment w:val="baseline"/>
    </w:pPr>
    <w:rPr>
      <w:rFonts w:hAnsi="宋体"/>
      <w:bCs/>
      <w:spacing w:val="6"/>
      <w:kern w:val="0"/>
      <w:sz w:val="24"/>
      <w:szCs w:val="24"/>
    </w:rPr>
  </w:style>
  <w:style w:type="paragraph" w:customStyle="1" w:styleId="3088">
    <w:name w:val="样式 标题2-自建 +"/>
    <w:basedOn w:val="2550"/>
    <w:qFormat/>
    <w:uiPriority w:val="0"/>
    <w:pPr>
      <w:spacing w:line="900" w:lineRule="exact"/>
    </w:pPr>
  </w:style>
  <w:style w:type="paragraph" w:customStyle="1" w:styleId="3089">
    <w:name w:val="reader-word-layer reader-word-s22-18"/>
    <w:basedOn w:val="1"/>
    <w:qFormat/>
    <w:uiPriority w:val="0"/>
    <w:pPr>
      <w:widowControl/>
      <w:spacing w:before="100" w:beforeAutospacing="1" w:after="100" w:afterAutospacing="1"/>
      <w:jc w:val="left"/>
    </w:pPr>
    <w:rPr>
      <w:rFonts w:hAnsi="宋体" w:cs="宋体"/>
      <w:kern w:val="0"/>
      <w:sz w:val="24"/>
      <w:szCs w:val="24"/>
    </w:rPr>
  </w:style>
  <w:style w:type="paragraph" w:customStyle="1" w:styleId="3090">
    <w:name w:val="样式 标题 1文章标题-*+章标题 1章节标题标题2b1H1Heading 1 (NN)h11st leve..."/>
    <w:basedOn w:val="3"/>
    <w:qFormat/>
    <w:uiPriority w:val="0"/>
    <w:pPr>
      <w:tabs>
        <w:tab w:val="left" w:pos="425"/>
      </w:tabs>
      <w:spacing w:beforeLines="0" w:after="330" w:line="576" w:lineRule="auto"/>
      <w:ind w:left="425" w:hanging="425"/>
    </w:pPr>
    <w:rPr>
      <w:rFonts w:eastAsia="宋体"/>
      <w:b/>
      <w:snapToGrid/>
      <w:sz w:val="44"/>
      <w:szCs w:val="20"/>
    </w:rPr>
  </w:style>
  <w:style w:type="paragraph" w:customStyle="1" w:styleId="3091">
    <w:name w:val="Char Char Char Char Char Char Char Char Char Char Char Char Char Char Char Char Char Char1"/>
    <w:basedOn w:val="1"/>
    <w:qFormat/>
    <w:uiPriority w:val="0"/>
    <w:rPr>
      <w:rFonts w:ascii="Batang" w:hAnsi="Batang" w:cs="Batang"/>
      <w:sz w:val="21"/>
      <w:szCs w:val="24"/>
    </w:rPr>
  </w:style>
  <w:style w:type="paragraph" w:customStyle="1" w:styleId="3092">
    <w:name w:val="列表 31"/>
    <w:basedOn w:val="1"/>
    <w:qFormat/>
    <w:uiPriority w:val="0"/>
    <w:pPr>
      <w:spacing w:line="480" w:lineRule="exact"/>
      <w:ind w:left="100" w:leftChars="400" w:hanging="200" w:hangingChars="200"/>
    </w:pPr>
    <w:rPr>
      <w:rFonts w:ascii="Arial Unicode MS" w:hAnsi="Arial Unicode MS" w:cs="Vladimir Script"/>
      <w:sz w:val="24"/>
      <w:szCs w:val="24"/>
    </w:rPr>
  </w:style>
  <w:style w:type="paragraph" w:customStyle="1" w:styleId="3093">
    <w:name w:val="Char1 Char Char Char Char Char Char13"/>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094">
    <w:name w:val="陈光的正文"/>
    <w:basedOn w:val="1"/>
    <w:qFormat/>
    <w:uiPriority w:val="0"/>
    <w:pPr>
      <w:adjustRightInd w:val="0"/>
      <w:snapToGrid w:val="0"/>
      <w:spacing w:beforeLines="10" w:afterLines="10" w:line="360" w:lineRule="auto"/>
      <w:ind w:firstLine="560" w:firstLineChars="200"/>
    </w:pPr>
    <w:rPr>
      <w:rFonts w:ascii="Times New Roman"/>
      <w:sz w:val="28"/>
      <w:szCs w:val="20"/>
    </w:rPr>
  </w:style>
  <w:style w:type="paragraph" w:customStyle="1" w:styleId="3095">
    <w:name w:val="Char Char7 Char Char Char Char Char Char4"/>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096">
    <w:name w:val="文档结构图2"/>
    <w:basedOn w:val="1"/>
    <w:qFormat/>
    <w:uiPriority w:val="0"/>
    <w:pPr>
      <w:spacing w:line="440" w:lineRule="exact"/>
      <w:ind w:firstLine="200" w:firstLineChars="200"/>
    </w:pPr>
    <w:rPr>
      <w:rFonts w:hint="eastAsia" w:hAnsi="宋体"/>
      <w:sz w:val="18"/>
      <w:szCs w:val="18"/>
    </w:rPr>
  </w:style>
  <w:style w:type="paragraph" w:customStyle="1" w:styleId="3097">
    <w:name w:val="图片居中"/>
    <w:basedOn w:val="352"/>
    <w:next w:val="352"/>
    <w:qFormat/>
    <w:uiPriority w:val="0"/>
    <w:pPr>
      <w:spacing w:beforeLines="0" w:afterLines="0" w:line="240" w:lineRule="auto"/>
      <w:ind w:firstLine="0" w:firstLineChars="0"/>
      <w:jc w:val="center"/>
    </w:pPr>
    <w:rPr>
      <w:rFonts w:cs="宋体"/>
      <w:spacing w:val="5"/>
      <w:sz w:val="21"/>
      <w:szCs w:val="20"/>
    </w:rPr>
  </w:style>
  <w:style w:type="paragraph" w:customStyle="1" w:styleId="3098">
    <w:name w:val="Char Char Char Char Char Char Char Char Char Char Char Char Char Char Char Char Char Char Char Char Char Char Char Char2"/>
    <w:basedOn w:val="1"/>
    <w:qFormat/>
    <w:uiPriority w:val="0"/>
    <w:rPr>
      <w:rFonts w:ascii="Times New Roman"/>
      <w:sz w:val="21"/>
      <w:szCs w:val="24"/>
    </w:rPr>
  </w:style>
  <w:style w:type="paragraph" w:customStyle="1" w:styleId="3099">
    <w:name w:val="样式 首行缩进:  1.01 厘米 行距: 固定值 22 磅"/>
    <w:basedOn w:val="1"/>
    <w:qFormat/>
    <w:uiPriority w:val="0"/>
    <w:pPr>
      <w:spacing w:line="440" w:lineRule="exact"/>
      <w:ind w:firstLine="570"/>
    </w:pPr>
    <w:rPr>
      <w:rFonts w:hint="eastAsia" w:ascii="Times New Roman"/>
      <w:sz w:val="24"/>
      <w:szCs w:val="20"/>
    </w:rPr>
  </w:style>
  <w:style w:type="paragraph" w:customStyle="1" w:styleId="3100">
    <w:name w:val="Char Char9 Char Char Char Char Char Char Char Char Char1 Char Char Char Char Char Char Char2"/>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101">
    <w:name w:val="样式 样式 正文首行缩进 + 首行缩进:  2 字符1 + 段前: 8.3 磅"/>
    <w:qFormat/>
    <w:uiPriority w:val="0"/>
    <w:pPr>
      <w:spacing w:before="166"/>
    </w:pPr>
    <w:rPr>
      <w:rFonts w:ascii="Times New Roman" w:hAnsi="Times New Roman" w:eastAsia="宋体" w:cs="Times New Roman"/>
      <w:lang w:val="en-US" w:eastAsia="zh-CN" w:bidi="ar-SA"/>
    </w:rPr>
  </w:style>
  <w:style w:type="paragraph" w:customStyle="1" w:styleId="3102">
    <w:name w:val="样式 正文首行缩进 + 首行缩进:  2 字符1"/>
    <w:basedOn w:val="230"/>
    <w:qFormat/>
    <w:uiPriority w:val="0"/>
    <w:pPr>
      <w:spacing w:after="0" w:line="360" w:lineRule="auto"/>
      <w:ind w:firstLine="480" w:firstLineChars="200"/>
    </w:pPr>
    <w:rPr>
      <w:lang w:val="zh-CN"/>
    </w:rPr>
  </w:style>
  <w:style w:type="paragraph" w:customStyle="1" w:styleId="3103">
    <w:name w:val="Char8 Char Char Char2"/>
    <w:basedOn w:val="1"/>
    <w:qFormat/>
    <w:uiPriority w:val="0"/>
    <w:pPr>
      <w:spacing w:line="360" w:lineRule="auto"/>
      <w:ind w:firstLine="200" w:firstLineChars="200"/>
    </w:pPr>
    <w:rPr>
      <w:rFonts w:hAnsi="宋体" w:cs="宋体"/>
      <w:sz w:val="24"/>
      <w:szCs w:val="24"/>
    </w:rPr>
  </w:style>
  <w:style w:type="paragraph" w:customStyle="1" w:styleId="3104">
    <w:name w:val="样式 正文首行缩进可研-正文首行缩进 + 首行缩进:  2 字符"/>
    <w:basedOn w:val="82"/>
    <w:qFormat/>
    <w:uiPriority w:val="0"/>
    <w:pPr>
      <w:tabs>
        <w:tab w:val="left" w:pos="628"/>
        <w:tab w:val="left" w:pos="1413"/>
        <w:tab w:val="left" w:pos="1727"/>
        <w:tab w:val="left" w:pos="1884"/>
        <w:tab w:val="left" w:pos="4900"/>
      </w:tabs>
      <w:adjustRightInd w:val="0"/>
      <w:snapToGrid w:val="0"/>
      <w:spacing w:after="0" w:line="360" w:lineRule="auto"/>
      <w:ind w:firstLine="560" w:firstLineChars="200"/>
    </w:pPr>
    <w:rPr>
      <w:rFonts w:hint="default"/>
      <w:kern w:val="0"/>
      <w:sz w:val="28"/>
      <w:szCs w:val="20"/>
    </w:rPr>
  </w:style>
  <w:style w:type="paragraph" w:customStyle="1" w:styleId="3105">
    <w:name w:val="样式 正文首行缩进 + 自动设置"/>
    <w:basedOn w:val="82"/>
    <w:qFormat/>
    <w:uiPriority w:val="0"/>
    <w:pPr>
      <w:tabs>
        <w:tab w:val="left" w:pos="628"/>
        <w:tab w:val="left" w:pos="1727"/>
        <w:tab w:val="left" w:pos="1884"/>
        <w:tab w:val="left" w:pos="2660"/>
        <w:tab w:val="left" w:pos="5460"/>
      </w:tabs>
      <w:adjustRightInd w:val="0"/>
      <w:snapToGrid w:val="0"/>
      <w:spacing w:after="0" w:line="360" w:lineRule="auto"/>
      <w:ind w:firstLine="560" w:firstLineChars="200"/>
    </w:pPr>
    <w:rPr>
      <w:rFonts w:hint="default"/>
      <w:sz w:val="28"/>
      <w:szCs w:val="28"/>
    </w:rPr>
  </w:style>
  <w:style w:type="paragraph" w:customStyle="1" w:styleId="3106">
    <w:name w:val="reader-word-layer reader-word-s1-18"/>
    <w:basedOn w:val="1"/>
    <w:qFormat/>
    <w:uiPriority w:val="0"/>
    <w:pPr>
      <w:widowControl/>
      <w:spacing w:before="100" w:beforeAutospacing="1" w:after="100" w:afterAutospacing="1"/>
      <w:jc w:val="left"/>
    </w:pPr>
    <w:rPr>
      <w:rFonts w:hAnsi="宋体" w:cs="宋体"/>
      <w:kern w:val="0"/>
      <w:sz w:val="24"/>
      <w:szCs w:val="24"/>
    </w:rPr>
  </w:style>
  <w:style w:type="paragraph" w:customStyle="1" w:styleId="3107">
    <w:name w:val="Bullet"/>
    <w:qFormat/>
    <w:uiPriority w:val="0"/>
    <w:pPr>
      <w:widowControl w:val="0"/>
      <w:autoSpaceDE w:val="0"/>
      <w:autoSpaceDN w:val="0"/>
      <w:adjustRightInd w:val="0"/>
      <w:ind w:left="288"/>
      <w:textAlignment w:val="baseline"/>
    </w:pPr>
    <w:rPr>
      <w:rFonts w:ascii="宋体" w:hAnsi="Calibri" w:eastAsia="宋体" w:cs="Times New Roman"/>
      <w:color w:val="000000"/>
      <w:sz w:val="24"/>
      <w:lang w:val="en-US" w:eastAsia="zh-CN" w:bidi="ar-SA"/>
    </w:rPr>
  </w:style>
  <w:style w:type="paragraph" w:customStyle="1" w:styleId="3108">
    <w:name w:val="zg1"/>
    <w:basedOn w:val="33"/>
    <w:qFormat/>
    <w:uiPriority w:val="0"/>
    <w:pPr>
      <w:spacing w:line="360" w:lineRule="auto"/>
      <w:ind w:firstLine="425"/>
    </w:pPr>
    <w:rPr>
      <w:rFonts w:hint="default" w:ascii="Times New Roman" w:hAnsi="Times New Roman" w:cs="Times New Roman"/>
      <w:szCs w:val="20"/>
    </w:rPr>
  </w:style>
  <w:style w:type="paragraph" w:customStyle="1" w:styleId="3109">
    <w:name w:val="正文999"/>
    <w:basedOn w:val="1"/>
    <w:semiHidden/>
    <w:qFormat/>
    <w:uiPriority w:val="0"/>
    <w:pPr>
      <w:spacing w:line="360" w:lineRule="auto"/>
      <w:ind w:firstLine="480" w:firstLineChars="200"/>
    </w:pPr>
    <w:rPr>
      <w:rFonts w:hAnsi="宋体"/>
      <w:sz w:val="24"/>
      <w:szCs w:val="24"/>
    </w:rPr>
  </w:style>
  <w:style w:type="paragraph" w:customStyle="1" w:styleId="3110">
    <w:name w:val="样式 行距: 固定值 23 磅"/>
    <w:basedOn w:val="1"/>
    <w:qFormat/>
    <w:uiPriority w:val="0"/>
    <w:pPr>
      <w:spacing w:line="480" w:lineRule="exact"/>
      <w:ind w:firstLine="200" w:firstLineChars="200"/>
      <w:jc w:val="left"/>
      <w:textAlignment w:val="baseline"/>
    </w:pPr>
    <w:rPr>
      <w:rFonts w:cs="宋体"/>
      <w:kern w:val="0"/>
      <w:sz w:val="21"/>
      <w:szCs w:val="20"/>
    </w:rPr>
  </w:style>
  <w:style w:type="paragraph" w:customStyle="1" w:styleId="3111">
    <w:name w:val="标题 2 + 段前: 0.3 行 段后: 0.3 行1"/>
    <w:basedOn w:val="4"/>
    <w:next w:val="1"/>
    <w:qFormat/>
    <w:uiPriority w:val="0"/>
    <w:pPr>
      <w:widowControl/>
      <w:tabs>
        <w:tab w:val="left" w:pos="992"/>
      </w:tabs>
      <w:adjustRightInd w:val="0"/>
      <w:snapToGrid w:val="0"/>
      <w:spacing w:before="120" w:after="120" w:line="480" w:lineRule="exact"/>
      <w:ind w:left="1" w:firstLine="1" w:firstLineChars="200"/>
    </w:pPr>
    <w:rPr>
      <w:rFonts w:ascii="Arial Unicode MS" w:hAnsi="Arial Unicode MS" w:eastAsia="仿宋体" w:cs="Sim Sun"/>
      <w:b w:val="0"/>
      <w:bCs w:val="0"/>
      <w:smallCaps/>
      <w:snapToGrid/>
      <w:kern w:val="0"/>
      <w:sz w:val="30"/>
      <w:szCs w:val="21"/>
    </w:rPr>
  </w:style>
  <w:style w:type="paragraph" w:customStyle="1" w:styleId="3112">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Batang" w:hAnsi="Batang" w:cs="Batang"/>
      <w:kern w:val="0"/>
      <w:sz w:val="24"/>
      <w:szCs w:val="24"/>
    </w:rPr>
  </w:style>
  <w:style w:type="paragraph" w:customStyle="1" w:styleId="3113">
    <w:name w:val="1-1-1"/>
    <w:basedOn w:val="1"/>
    <w:qFormat/>
    <w:uiPriority w:val="0"/>
    <w:pPr>
      <w:spacing w:line="360" w:lineRule="auto"/>
    </w:pPr>
    <w:rPr>
      <w:rFonts w:ascii="Times New Roman" w:eastAsia="黑体"/>
      <w:b/>
      <w:szCs w:val="20"/>
    </w:rPr>
  </w:style>
  <w:style w:type="paragraph" w:customStyle="1" w:styleId="3114">
    <w:name w:val="Char Char Char1 Char4"/>
    <w:basedOn w:val="1"/>
    <w:next w:val="1"/>
    <w:qFormat/>
    <w:uiPriority w:val="0"/>
    <w:pPr>
      <w:spacing w:line="360" w:lineRule="auto"/>
      <w:ind w:firstLine="200" w:firstLineChars="200"/>
    </w:pPr>
    <w:rPr>
      <w:rFonts w:hAnsi="宋体" w:eastAsia="汉鼎简书宋" w:cs="宋体"/>
      <w:sz w:val="24"/>
      <w:szCs w:val="24"/>
    </w:rPr>
  </w:style>
  <w:style w:type="paragraph" w:customStyle="1" w:styleId="3115">
    <w:name w:val="自定义表格文字居中"/>
    <w:basedOn w:val="1"/>
    <w:qFormat/>
    <w:uiPriority w:val="0"/>
    <w:pPr>
      <w:keepNext/>
      <w:adjustRightInd w:val="0"/>
      <w:snapToGrid w:val="0"/>
      <w:spacing w:line="360" w:lineRule="exact"/>
      <w:ind w:left="5" w:hanging="5" w:firstLineChars="200"/>
      <w:jc w:val="center"/>
      <w:outlineLvl w:val="0"/>
    </w:pPr>
    <w:rPr>
      <w:rFonts w:ascii="Arial Unicode MS" w:hAnsi="Arial Unicode MS" w:cs="Vladimir Script"/>
      <w:color w:val="FF0000"/>
      <w:kern w:val="0"/>
      <w:sz w:val="21"/>
      <w:szCs w:val="20"/>
    </w:rPr>
  </w:style>
  <w:style w:type="paragraph" w:customStyle="1" w:styleId="3116">
    <w:name w:val="Char Char Char1 Char2"/>
    <w:basedOn w:val="1"/>
    <w:qFormat/>
    <w:uiPriority w:val="0"/>
    <w:pPr>
      <w:ind w:left="432" w:hanging="432"/>
    </w:pPr>
    <w:rPr>
      <w:rFonts w:ascii="Times New Roman"/>
      <w:sz w:val="21"/>
      <w:szCs w:val="20"/>
    </w:rPr>
  </w:style>
  <w:style w:type="paragraph" w:customStyle="1" w:styleId="3117">
    <w:name w:val="发布日期"/>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3118">
    <w:name w:val="样式 样式 标题 4 + 黑色 左侧:  -0.01 厘米 首行缩进:  0.01 厘米 + 左侧:  0 厘米 首行缩进: ..."/>
    <w:basedOn w:val="1"/>
    <w:qFormat/>
    <w:uiPriority w:val="0"/>
    <w:pPr>
      <w:tabs>
        <w:tab w:val="left" w:pos="851"/>
      </w:tabs>
      <w:spacing w:line="360" w:lineRule="auto"/>
      <w:ind w:firstLine="200" w:firstLineChars="200"/>
      <w:outlineLvl w:val="3"/>
    </w:pPr>
    <w:rPr>
      <w:rFonts w:ascii="Times New Roman" w:cs="宋体"/>
      <w:b/>
      <w:color w:val="000000"/>
      <w:sz w:val="24"/>
      <w:szCs w:val="20"/>
    </w:rPr>
  </w:style>
  <w:style w:type="paragraph" w:customStyle="1" w:styleId="3119">
    <w:name w:val="Text tab"/>
    <w:basedOn w:val="1"/>
    <w:qFormat/>
    <w:uiPriority w:val="0"/>
    <w:pPr>
      <w:widowControl/>
      <w:overflowPunct w:val="0"/>
      <w:autoSpaceDE w:val="0"/>
      <w:autoSpaceDN w:val="0"/>
      <w:adjustRightInd w:val="0"/>
      <w:spacing w:before="60" w:after="60"/>
      <w:textAlignment w:val="baseline"/>
    </w:pPr>
    <w:rPr>
      <w:rFonts w:ascii="ˎ̥" w:hAnsi="ˎ̥" w:cs="Batang"/>
      <w:kern w:val="0"/>
      <w:sz w:val="22"/>
      <w:szCs w:val="20"/>
      <w:lang w:val="en-GB"/>
    </w:rPr>
  </w:style>
  <w:style w:type="paragraph" w:customStyle="1" w:styleId="3120">
    <w:name w:val="样式 标题 3 + 宋体"/>
    <w:basedOn w:val="5"/>
    <w:qFormat/>
    <w:uiPriority w:val="0"/>
    <w:pPr>
      <w:tabs>
        <w:tab w:val="left" w:pos="1571"/>
      </w:tabs>
      <w:spacing w:before="40" w:after="40" w:line="440" w:lineRule="exact"/>
      <w:ind w:left="1418" w:hanging="567"/>
    </w:pPr>
    <w:rPr>
      <w:rFonts w:ascii="Sim Sun" w:hAnsi="Sim Sun" w:eastAsia="Sim Sun" w:cs="Batang"/>
      <w:b w:val="0"/>
      <w:sz w:val="28"/>
    </w:rPr>
  </w:style>
  <w:style w:type="paragraph" w:customStyle="1" w:styleId="3121">
    <w:name w:val="_Style 19"/>
    <w:basedOn w:val="1"/>
    <w:qFormat/>
    <w:uiPriority w:val="0"/>
    <w:pPr>
      <w:widowControl/>
      <w:spacing w:after="160" w:line="240" w:lineRule="exact"/>
      <w:jc w:val="left"/>
    </w:pPr>
    <w:rPr>
      <w:rFonts w:ascii="Times New Roman"/>
      <w:sz w:val="21"/>
      <w:szCs w:val="20"/>
    </w:rPr>
  </w:style>
  <w:style w:type="paragraph" w:customStyle="1" w:styleId="3122">
    <w:name w:val="表格02"/>
    <w:basedOn w:val="555"/>
    <w:qFormat/>
    <w:uiPriority w:val="0"/>
    <w:pPr>
      <w:snapToGrid w:val="0"/>
      <w:spacing w:line="400" w:lineRule="exact"/>
      <w:textAlignment w:val="auto"/>
    </w:pPr>
    <w:rPr>
      <w:rFonts w:ascii="Calibri" w:hAnsi="Calibri" w:cs="宋体"/>
      <w:kern w:val="2"/>
      <w:sz w:val="24"/>
      <w:szCs w:val="24"/>
      <w:lang w:val="en-GB"/>
    </w:rPr>
  </w:style>
  <w:style w:type="paragraph" w:customStyle="1" w:styleId="3123">
    <w:name w:val="样式 标题 4标题 4 Char Char + 两端对齐 左侧:  0 厘米 段前: 0 磅 段后: 0 磅"/>
    <w:basedOn w:val="6"/>
    <w:qFormat/>
    <w:uiPriority w:val="0"/>
    <w:pPr>
      <w:keepNext/>
      <w:keepLines/>
      <w:tabs>
        <w:tab w:val="left" w:pos="2160"/>
        <w:tab w:val="left" w:pos="2356"/>
        <w:tab w:val="left" w:pos="4500"/>
        <w:tab w:val="clear" w:pos="360"/>
        <w:tab w:val="clear" w:pos="2207"/>
      </w:tabs>
      <w:snapToGrid w:val="0"/>
      <w:spacing w:beforeLines="0" w:afterLines="0" w:line="440" w:lineRule="atLeast"/>
      <w:ind w:left="2160" w:hanging="420" w:firstLineChars="200"/>
      <w:jc w:val="left"/>
    </w:pPr>
    <w:rPr>
      <w:rFonts w:ascii="ˎ̥" w:hAnsi="ˎ̥" w:eastAsia="仿宋体" w:cs="Sim Sun"/>
      <w:bCs/>
      <w:snapToGrid/>
      <w:color w:val="auto"/>
      <w:szCs w:val="20"/>
    </w:rPr>
  </w:style>
  <w:style w:type="paragraph" w:customStyle="1" w:styleId="3124">
    <w:name w:val="样式 标题 3 + 宋体 非全部大写"/>
    <w:basedOn w:val="5"/>
    <w:qFormat/>
    <w:uiPriority w:val="0"/>
    <w:pPr>
      <w:keepNext w:val="0"/>
      <w:keepLines w:val="0"/>
      <w:widowControl/>
      <w:tabs>
        <w:tab w:val="left" w:pos="360"/>
        <w:tab w:val="left" w:pos="720"/>
        <w:tab w:val="left" w:pos="1571"/>
      </w:tabs>
      <w:spacing w:before="0" w:after="0" w:line="360" w:lineRule="auto"/>
      <w:ind w:left="720" w:hanging="720"/>
    </w:pPr>
    <w:rPr>
      <w:rFonts w:hAnsi="宋体"/>
      <w:bCs w:val="0"/>
      <w:sz w:val="28"/>
      <w:szCs w:val="20"/>
    </w:rPr>
  </w:style>
  <w:style w:type="paragraph" w:customStyle="1" w:styleId="3125">
    <w:name w:val="表中正文"/>
    <w:basedOn w:val="1"/>
    <w:qFormat/>
    <w:uiPriority w:val="0"/>
    <w:pPr>
      <w:tabs>
        <w:tab w:val="left" w:pos="7320"/>
        <w:tab w:val="left" w:pos="8160"/>
      </w:tabs>
      <w:adjustRightInd w:val="0"/>
      <w:spacing w:line="360" w:lineRule="atLeast"/>
      <w:ind w:right="113"/>
      <w:jc w:val="center"/>
      <w:textAlignment w:val="baseline"/>
    </w:pPr>
    <w:rPr>
      <w:rFonts w:hAnsi="宋体"/>
      <w:color w:val="000000"/>
      <w:spacing w:val="6"/>
      <w:kern w:val="0"/>
      <w:sz w:val="21"/>
      <w:szCs w:val="18"/>
    </w:rPr>
  </w:style>
  <w:style w:type="paragraph" w:customStyle="1" w:styleId="3126">
    <w:name w:val="标题 2新"/>
    <w:basedOn w:val="4"/>
    <w:qFormat/>
    <w:uiPriority w:val="0"/>
    <w:pPr>
      <w:tabs>
        <w:tab w:val="left" w:pos="612"/>
        <w:tab w:val="left" w:pos="992"/>
      </w:tabs>
      <w:spacing w:before="120" w:after="120" w:line="240" w:lineRule="auto"/>
      <w:ind w:left="992" w:hanging="567"/>
    </w:pPr>
    <w:rPr>
      <w:rFonts w:ascii="Arial" w:hAnsi="Arial" w:eastAsia="黑体"/>
      <w:bCs w:val="0"/>
      <w:snapToGrid/>
      <w:szCs w:val="20"/>
    </w:rPr>
  </w:style>
  <w:style w:type="paragraph" w:customStyle="1" w:styleId="3127">
    <w:name w:val="Char Char Char2 Char Char Char Char2"/>
    <w:basedOn w:val="1"/>
    <w:qFormat/>
    <w:uiPriority w:val="0"/>
    <w:pPr>
      <w:tabs>
        <w:tab w:val="left" w:pos="7380"/>
      </w:tabs>
      <w:spacing w:before="120" w:after="120"/>
      <w:ind w:firstLine="200" w:firstLineChars="200"/>
    </w:pPr>
    <w:rPr>
      <w:rFonts w:ascii="Times New Roman"/>
      <w:sz w:val="24"/>
      <w:szCs w:val="24"/>
    </w:rPr>
  </w:style>
  <w:style w:type="paragraph" w:customStyle="1" w:styleId="3128">
    <w:name w:val="z-窗体底端3"/>
    <w:basedOn w:val="1"/>
    <w:next w:val="1"/>
    <w:qFormat/>
    <w:uiPriority w:val="0"/>
    <w:pPr>
      <w:widowControl/>
      <w:pBdr>
        <w:top w:val="single" w:color="auto" w:sz="6" w:space="1"/>
      </w:pBdr>
      <w:jc w:val="center"/>
    </w:pPr>
    <w:rPr>
      <w:rFonts w:ascii="Arial"/>
      <w:vanish/>
      <w:kern w:val="0"/>
      <w:sz w:val="16"/>
      <w:szCs w:val="20"/>
      <w:lang w:val="zh-CN"/>
    </w:rPr>
  </w:style>
  <w:style w:type="paragraph" w:customStyle="1" w:styleId="3129">
    <w:name w:val="样式 标题 6无节标题8二级项 + 首行缩进:  0 厘米"/>
    <w:qFormat/>
    <w:uiPriority w:val="0"/>
    <w:pPr>
      <w:tabs>
        <w:tab w:val="left" w:pos="420"/>
        <w:tab w:val="left" w:pos="840"/>
      </w:tabs>
      <w:snapToGrid w:val="0"/>
      <w:spacing w:line="360" w:lineRule="auto"/>
      <w:ind w:left="420" w:hanging="420"/>
    </w:pPr>
    <w:rPr>
      <w:rFonts w:ascii="宋体" w:hAnsi="宋体" w:eastAsia="宋体" w:cs="Times New Roman"/>
      <w:sz w:val="24"/>
      <w:lang w:val="zh-CN" w:eastAsia="zh-CN" w:bidi="ar-SA"/>
    </w:rPr>
  </w:style>
  <w:style w:type="paragraph" w:customStyle="1" w:styleId="3130">
    <w:name w:val="首页脚样式"/>
    <w:basedOn w:val="51"/>
    <w:qFormat/>
    <w:uiPriority w:val="0"/>
    <w:pPr>
      <w:keepLines/>
      <w:widowControl/>
      <w:pBdr>
        <w:bottom w:val="single" w:color="auto" w:sz="6" w:space="1"/>
      </w:pBdr>
      <w:tabs>
        <w:tab w:val="center" w:pos="-18551"/>
        <w:tab w:val="right" w:pos="4320"/>
        <w:tab w:val="clear" w:pos="4153"/>
        <w:tab w:val="clear" w:pos="8306"/>
      </w:tabs>
      <w:snapToGrid/>
      <w:spacing w:before="600"/>
      <w:ind w:left="1080"/>
    </w:pPr>
    <w:rPr>
      <w:rFonts w:ascii="Arial" w:hAnsi="Arial" w:eastAsia="宋体"/>
      <w:b/>
      <w:snapToGrid/>
      <w:spacing w:val="-4"/>
      <w:kern w:val="0"/>
      <w:sz w:val="20"/>
      <w:szCs w:val="20"/>
    </w:rPr>
  </w:style>
  <w:style w:type="paragraph" w:customStyle="1" w:styleId="3131">
    <w:name w:val="Char Char1 Char Char Char Char3"/>
    <w:basedOn w:val="1"/>
    <w:semiHidden/>
    <w:qFormat/>
    <w:uiPriority w:val="0"/>
    <w:pPr>
      <w:ind w:firstLine="200" w:firstLineChars="200"/>
    </w:pPr>
    <w:rPr>
      <w:rFonts w:ascii="Times New Roman"/>
      <w:sz w:val="24"/>
      <w:szCs w:val="24"/>
    </w:rPr>
  </w:style>
  <w:style w:type="paragraph" w:customStyle="1" w:styleId="3132">
    <w:name w:val="Char Char1 Char Char Char Char Char Char Char Char Char Char Char Char Char Char Char Char Char Char Char Char1 Char3"/>
    <w:basedOn w:val="1"/>
    <w:qFormat/>
    <w:uiPriority w:val="0"/>
    <w:pPr>
      <w:spacing w:line="360" w:lineRule="auto"/>
      <w:ind w:firstLine="200" w:firstLineChars="200"/>
    </w:pPr>
    <w:rPr>
      <w:rFonts w:ascii="Times New Roman"/>
      <w:sz w:val="21"/>
      <w:szCs w:val="20"/>
    </w:rPr>
  </w:style>
  <w:style w:type="paragraph" w:customStyle="1" w:styleId="3133">
    <w:name w:val="列表编号 21"/>
    <w:basedOn w:val="1"/>
    <w:qFormat/>
    <w:uiPriority w:val="0"/>
    <w:pPr>
      <w:tabs>
        <w:tab w:val="left" w:pos="780"/>
      </w:tabs>
      <w:spacing w:line="480" w:lineRule="exact"/>
      <w:ind w:left="780" w:leftChars="200" w:hanging="360" w:hangingChars="200"/>
    </w:pPr>
    <w:rPr>
      <w:rFonts w:ascii="Arial Unicode MS" w:hAnsi="Arial Unicode MS" w:cs="Vladimir Script"/>
      <w:sz w:val="24"/>
      <w:szCs w:val="24"/>
    </w:rPr>
  </w:style>
  <w:style w:type="paragraph" w:customStyle="1" w:styleId="3134">
    <w:name w:val="样式 仿宋_GB2312 四号 行距: 1.5 倍行距 首行缩进:  2 字符"/>
    <w:basedOn w:val="1"/>
    <w:qFormat/>
    <w:uiPriority w:val="0"/>
    <w:pPr>
      <w:spacing w:line="360" w:lineRule="auto"/>
      <w:ind w:firstLine="560" w:firstLineChars="200"/>
    </w:pPr>
    <w:rPr>
      <w:rFonts w:ascii="@幼圆" w:hAnsi="Batang" w:eastAsia="@幼圆" w:cs="Sim Sun"/>
      <w:sz w:val="28"/>
      <w:szCs w:val="20"/>
    </w:rPr>
  </w:style>
  <w:style w:type="paragraph" w:customStyle="1" w:styleId="3135">
    <w:name w:val="00表体"/>
    <w:basedOn w:val="1"/>
    <w:qFormat/>
    <w:uiPriority w:val="0"/>
    <w:pPr>
      <w:overflowPunct w:val="0"/>
      <w:adjustRightInd w:val="0"/>
      <w:spacing w:line="0" w:lineRule="atLeast"/>
      <w:jc w:val="center"/>
    </w:pPr>
    <w:rPr>
      <w:color w:val="000000"/>
      <w:kern w:val="24"/>
      <w:sz w:val="18"/>
      <w:szCs w:val="20"/>
    </w:rPr>
  </w:style>
  <w:style w:type="paragraph" w:customStyle="1" w:styleId="3136">
    <w:name w:val="z-窗体底端21"/>
    <w:basedOn w:val="1"/>
    <w:next w:val="1"/>
    <w:qFormat/>
    <w:uiPriority w:val="0"/>
    <w:pPr>
      <w:widowControl/>
      <w:pBdr>
        <w:top w:val="single" w:color="auto" w:sz="6" w:space="1"/>
      </w:pBdr>
      <w:jc w:val="center"/>
    </w:pPr>
    <w:rPr>
      <w:rFonts w:ascii="Arial" w:hAnsi="Arial" w:cs="Arial"/>
      <w:vanish/>
      <w:sz w:val="16"/>
      <w:szCs w:val="22"/>
    </w:rPr>
  </w:style>
  <w:style w:type="paragraph" w:customStyle="1" w:styleId="3137">
    <w:name w:val="xl57"/>
    <w:basedOn w:val="1"/>
    <w:qFormat/>
    <w:uiPriority w:val="0"/>
    <w:pPr>
      <w:widowControl/>
      <w:pBdr>
        <w:top w:val="single" w:color="auto" w:sz="8" w:space="0"/>
        <w:bottom w:val="single" w:color="auto" w:sz="4" w:space="0"/>
      </w:pBdr>
      <w:spacing w:before="100" w:after="100"/>
      <w:jc w:val="center"/>
      <w:textAlignment w:val="center"/>
    </w:pPr>
    <w:rPr>
      <w:rFonts w:ascii="Sim Sun" w:hAnsi="Sim Sun" w:cs="Batang"/>
      <w:kern w:val="0"/>
      <w:sz w:val="28"/>
      <w:szCs w:val="28"/>
    </w:rPr>
  </w:style>
  <w:style w:type="paragraph" w:customStyle="1" w:styleId="3138">
    <w:name w:val="样式 正文文本缩进 + 黑色 行距: 固定值 24 磅"/>
    <w:basedOn w:val="33"/>
    <w:qFormat/>
    <w:uiPriority w:val="0"/>
    <w:pPr>
      <w:spacing w:line="480" w:lineRule="exact"/>
      <w:ind w:firstLine="560" w:firstLineChars="200"/>
    </w:pPr>
    <w:rPr>
      <w:rFonts w:hint="default" w:cs="宋体"/>
      <w:color w:val="000000"/>
      <w:szCs w:val="20"/>
    </w:rPr>
  </w:style>
  <w:style w:type="paragraph" w:customStyle="1" w:styleId="3139">
    <w:name w:val="样式 标题 1"/>
    <w:basedOn w:val="3"/>
    <w:qFormat/>
    <w:uiPriority w:val="0"/>
    <w:pPr>
      <w:tabs>
        <w:tab w:val="left" w:pos="425"/>
      </w:tabs>
      <w:adjustRightInd w:val="0"/>
      <w:spacing w:beforeLines="0" w:after="120"/>
      <w:ind w:left="425" w:hanging="425"/>
      <w:textAlignment w:val="baseline"/>
    </w:pPr>
    <w:rPr>
      <w:rFonts w:ascii="宋体" w:hAnsi="宋体" w:eastAsia="宋体" w:cs="宋体"/>
      <w:b/>
      <w:bCs/>
      <w:snapToGrid/>
      <w:sz w:val="30"/>
    </w:rPr>
  </w:style>
  <w:style w:type="paragraph" w:customStyle="1" w:styleId="3140">
    <w:name w:val="reader-word-layer reader-word-s30-15"/>
    <w:basedOn w:val="1"/>
    <w:qFormat/>
    <w:uiPriority w:val="0"/>
    <w:pPr>
      <w:widowControl/>
      <w:spacing w:before="100" w:beforeAutospacing="1" w:after="100" w:afterAutospacing="1"/>
      <w:jc w:val="left"/>
    </w:pPr>
    <w:rPr>
      <w:rFonts w:hAnsi="宋体" w:cs="宋体"/>
      <w:kern w:val="0"/>
      <w:sz w:val="24"/>
      <w:szCs w:val="24"/>
    </w:rPr>
  </w:style>
  <w:style w:type="paragraph" w:customStyle="1" w:styleId="3141">
    <w:name w:val="In Table (II)"/>
    <w:basedOn w:val="773"/>
    <w:qFormat/>
    <w:uiPriority w:val="0"/>
    <w:pPr>
      <w:widowControl w:val="0"/>
      <w:spacing w:before="60" w:after="60"/>
      <w:ind w:left="52" w:firstLine="200" w:firstLineChars="200"/>
      <w:jc w:val="left"/>
    </w:pPr>
    <w:rPr>
      <w:rFonts w:ascii="@幼圆" w:hAnsi="@幼圆" w:eastAsia="仿宋_GB2312" w:cs="Vladimir Script"/>
      <w:kern w:val="2"/>
      <w:szCs w:val="20"/>
    </w:rPr>
  </w:style>
  <w:style w:type="paragraph" w:customStyle="1" w:styleId="3142">
    <w:name w:val="样式 样式 标题 3 + 段前: 0 磅 段后: 0 磅 行距: 1.5 倍行距 + 非加粗"/>
    <w:basedOn w:val="1"/>
    <w:qFormat/>
    <w:uiPriority w:val="0"/>
    <w:pPr>
      <w:spacing w:before="80" w:after="80" w:line="360" w:lineRule="auto"/>
      <w:ind w:left="249"/>
      <w:jc w:val="left"/>
      <w:outlineLvl w:val="2"/>
    </w:pPr>
    <w:rPr>
      <w:rFonts w:ascii="Times New Roman"/>
      <w:b/>
      <w:sz w:val="28"/>
      <w:szCs w:val="20"/>
    </w:rPr>
  </w:style>
  <w:style w:type="paragraph" w:customStyle="1" w:styleId="3143">
    <w:name w:val="样式 样式 标题 3 + 右侧:  1 字符1 + 右侧:  1 字符"/>
    <w:basedOn w:val="1"/>
    <w:qFormat/>
    <w:uiPriority w:val="0"/>
    <w:pPr>
      <w:keepNext/>
      <w:keepLines/>
      <w:tabs>
        <w:tab w:val="left" w:pos="0"/>
        <w:tab w:val="left" w:pos="630"/>
      </w:tabs>
      <w:adjustRightInd w:val="0"/>
      <w:snapToGrid w:val="0"/>
      <w:spacing w:line="360" w:lineRule="auto"/>
      <w:outlineLvl w:val="2"/>
    </w:pPr>
    <w:rPr>
      <w:rFonts w:ascii="Times New Roman"/>
      <w:b/>
      <w:sz w:val="24"/>
      <w:szCs w:val="24"/>
    </w:rPr>
  </w:style>
  <w:style w:type="paragraph" w:customStyle="1" w:styleId="3144">
    <w:name w:val="Char Char Char Char Char Char Char Char Char6"/>
    <w:basedOn w:val="1"/>
    <w:qFormat/>
    <w:uiPriority w:val="0"/>
    <w:rPr>
      <w:rFonts w:ascii="Times New Roman"/>
      <w:sz w:val="24"/>
      <w:szCs w:val="20"/>
    </w:rPr>
  </w:style>
  <w:style w:type="paragraph" w:customStyle="1" w:styleId="3145">
    <w:name w:val="CM115"/>
    <w:basedOn w:val="154"/>
    <w:next w:val="154"/>
    <w:qFormat/>
    <w:uiPriority w:val="0"/>
    <w:pPr>
      <w:spacing w:after="368"/>
    </w:pPr>
    <w:rPr>
      <w:rFonts w:ascii="黑体" w:hAnsi="Batang" w:eastAsia="黑体" w:cs="Batang"/>
      <w:color w:val="auto"/>
      <w:kern w:val="2"/>
    </w:rPr>
  </w:style>
  <w:style w:type="paragraph" w:customStyle="1" w:styleId="3146">
    <w:name w:val="首页页眉样式"/>
    <w:basedOn w:val="53"/>
    <w:qFormat/>
    <w:uiPriority w:val="0"/>
    <w:pPr>
      <w:keepLines/>
      <w:widowControl/>
      <w:pBdr>
        <w:top w:val="none" w:color="auto" w:sz="0" w:space="0"/>
        <w:left w:val="none" w:color="auto" w:sz="0" w:space="0"/>
        <w:bottom w:val="none" w:color="auto" w:sz="0" w:space="0"/>
        <w:right w:val="none" w:color="auto" w:sz="0" w:space="0"/>
      </w:pBdr>
      <w:tabs>
        <w:tab w:val="center" w:pos="-18551"/>
        <w:tab w:val="right" w:pos="4320"/>
        <w:tab w:val="clear" w:pos="4153"/>
        <w:tab w:val="clear" w:pos="8306"/>
      </w:tabs>
      <w:snapToGrid/>
      <w:ind w:left="1080"/>
      <w:jc w:val="left"/>
    </w:pPr>
    <w:rPr>
      <w:rFonts w:ascii="Arial" w:hAnsi="Arial" w:eastAsia="宋体"/>
      <w:snapToGrid/>
      <w:spacing w:val="-4"/>
      <w:kern w:val="0"/>
      <w:sz w:val="20"/>
      <w:szCs w:val="20"/>
    </w:rPr>
  </w:style>
  <w:style w:type="paragraph" w:customStyle="1" w:styleId="3147">
    <w:name w:val="Char43"/>
    <w:basedOn w:val="1"/>
    <w:qFormat/>
    <w:uiPriority w:val="0"/>
    <w:pPr>
      <w:spacing w:line="360" w:lineRule="auto"/>
      <w:ind w:firstLine="200" w:firstLineChars="200"/>
    </w:pPr>
    <w:rPr>
      <w:rFonts w:hAnsi="宋体" w:cs="宋体"/>
      <w:sz w:val="24"/>
      <w:szCs w:val="24"/>
    </w:rPr>
  </w:style>
  <w:style w:type="paragraph" w:customStyle="1" w:styleId="3148">
    <w:name w:val="小4黑居中行1"/>
    <w:qFormat/>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3149">
    <w:name w:val="标-5"/>
    <w:basedOn w:val="1"/>
    <w:qFormat/>
    <w:uiPriority w:val="0"/>
    <w:pPr>
      <w:tabs>
        <w:tab w:val="right" w:leader="dot" w:pos="8789"/>
      </w:tabs>
      <w:spacing w:before="120"/>
      <w:ind w:left="1276" w:hanging="425"/>
    </w:pPr>
    <w:rPr>
      <w:rFonts w:ascii="Batang" w:hAnsi="Batang" w:cs="Batang"/>
      <w:sz w:val="24"/>
      <w:szCs w:val="20"/>
    </w:rPr>
  </w:style>
  <w:style w:type="paragraph" w:customStyle="1" w:styleId="3150">
    <w:name w:val="目录 12"/>
    <w:basedOn w:val="1"/>
    <w:next w:val="1"/>
    <w:qFormat/>
    <w:uiPriority w:val="0"/>
    <w:pPr>
      <w:tabs>
        <w:tab w:val="right" w:leader="dot" w:pos="8777"/>
      </w:tabs>
      <w:spacing w:before="120" w:after="120"/>
    </w:pPr>
    <w:rPr>
      <w:rFonts w:ascii="Times New Roman"/>
      <w:caps/>
      <w:color w:val="000000"/>
      <w:sz w:val="24"/>
      <w:szCs w:val="20"/>
    </w:rPr>
  </w:style>
  <w:style w:type="paragraph" w:customStyle="1" w:styleId="3151">
    <w:name w:val="95正文"/>
    <w:qFormat/>
    <w:uiPriority w:val="0"/>
    <w:pPr>
      <w:adjustRightInd w:val="0"/>
      <w:snapToGrid w:val="0"/>
      <w:spacing w:line="298" w:lineRule="auto"/>
      <w:ind w:firstLine="454"/>
    </w:pPr>
    <w:rPr>
      <w:rFonts w:ascii="Calibri" w:hAnsi="Calibri" w:eastAsia="宋体" w:cs="Times New Roman"/>
      <w:kern w:val="2"/>
      <w:sz w:val="24"/>
      <w:szCs w:val="24"/>
      <w:lang w:val="en-US" w:eastAsia="zh-CN" w:bidi="ar-SA"/>
    </w:rPr>
  </w:style>
  <w:style w:type="paragraph" w:customStyle="1" w:styleId="3152">
    <w:name w:val="xl75"/>
    <w:basedOn w:val="1"/>
    <w:qFormat/>
    <w:uiPriority w:val="0"/>
    <w:pPr>
      <w:widowControl/>
      <w:pBdr>
        <w:left w:val="single" w:color="auto" w:sz="4" w:space="0"/>
      </w:pBdr>
      <w:spacing w:before="100" w:after="100"/>
      <w:jc w:val="center"/>
      <w:textAlignment w:val="center"/>
    </w:pPr>
    <w:rPr>
      <w:rFonts w:ascii="Batang" w:hAnsi="Batang" w:cs="Batang"/>
      <w:kern w:val="0"/>
      <w:sz w:val="24"/>
      <w:szCs w:val="24"/>
    </w:rPr>
  </w:style>
  <w:style w:type="paragraph" w:customStyle="1" w:styleId="3153">
    <w:name w:val="Company Name One"/>
    <w:next w:val="1"/>
    <w:qFormat/>
    <w:uiPriority w:val="0"/>
    <w:pPr>
      <w:tabs>
        <w:tab w:val="left" w:pos="2160"/>
        <w:tab w:val="right" w:pos="6480"/>
      </w:tabs>
    </w:pPr>
    <w:rPr>
      <w:rFonts w:ascii="Times New Roman" w:hAnsi="Times New Roman" w:eastAsia="宋体" w:cs="Times New Roman"/>
      <w:lang w:val="en-US" w:eastAsia="zh-CN" w:bidi="ar-SA"/>
    </w:rPr>
  </w:style>
  <w:style w:type="paragraph" w:customStyle="1" w:styleId="3154">
    <w:name w:val="Company Name"/>
    <w:basedOn w:val="1"/>
    <w:next w:val="1"/>
    <w:qFormat/>
    <w:uiPriority w:val="0"/>
    <w:pPr>
      <w:widowControl/>
      <w:tabs>
        <w:tab w:val="left" w:pos="2160"/>
        <w:tab w:val="right" w:pos="6480"/>
      </w:tabs>
      <w:spacing w:before="220" w:after="40" w:line="220" w:lineRule="atLeast"/>
      <w:ind w:right="-360" w:firstLine="200" w:firstLineChars="200"/>
      <w:jc w:val="left"/>
    </w:pPr>
    <w:rPr>
      <w:rFonts w:ascii="Arial Unicode MS" w:hAnsi="Arial Unicode MS" w:cs="Vladimir Script"/>
      <w:kern w:val="0"/>
      <w:sz w:val="20"/>
      <w:szCs w:val="20"/>
    </w:rPr>
  </w:style>
  <w:style w:type="paragraph" w:customStyle="1" w:styleId="3155">
    <w:name w:val="封面2"/>
    <w:basedOn w:val="1"/>
    <w:qFormat/>
    <w:uiPriority w:val="0"/>
    <w:pPr>
      <w:adjustRightInd w:val="0"/>
      <w:snapToGrid w:val="0"/>
      <w:spacing w:line="360" w:lineRule="auto"/>
      <w:ind w:firstLine="200" w:firstLineChars="200"/>
    </w:pPr>
    <w:rPr>
      <w:rFonts w:ascii="Times New Roman"/>
      <w:b/>
      <w:bCs/>
      <w:sz w:val="32"/>
      <w:szCs w:val="32"/>
    </w:rPr>
  </w:style>
  <w:style w:type="paragraph" w:customStyle="1" w:styleId="3156">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黑体"/>
      <w:kern w:val="0"/>
      <w:sz w:val="18"/>
      <w:szCs w:val="18"/>
    </w:rPr>
  </w:style>
  <w:style w:type="paragraph" w:customStyle="1" w:styleId="3157">
    <w:name w:val="正文 + 仿宋_GB2312"/>
    <w:basedOn w:val="1"/>
    <w:qFormat/>
    <w:uiPriority w:val="0"/>
    <w:pPr>
      <w:ind w:firstLine="600" w:firstLineChars="200"/>
    </w:pPr>
    <w:rPr>
      <w:rFonts w:ascii="仿宋_GB2312" w:eastAsia="仿宋_GB2312"/>
      <w:sz w:val="30"/>
      <w:szCs w:val="20"/>
    </w:rPr>
  </w:style>
  <w:style w:type="paragraph" w:customStyle="1" w:styleId="3158">
    <w:name w:val="块引用"/>
    <w:basedOn w:val="32"/>
    <w:qFormat/>
    <w:uiPriority w:val="0"/>
    <w:pPr>
      <w:keepLines/>
      <w:widowControl/>
      <w:pBdr>
        <w:left w:val="single" w:color="808080" w:sz="36" w:space="3"/>
        <w:bottom w:val="single" w:color="FFFFFF" w:sz="48" w:space="3"/>
      </w:pBdr>
      <w:spacing w:after="60" w:line="220" w:lineRule="atLeast"/>
      <w:ind w:left="1440" w:right="720"/>
      <w:jc w:val="left"/>
    </w:pPr>
    <w:rPr>
      <w:rFonts w:ascii="Times New Roman"/>
      <w:i/>
      <w:kern w:val="0"/>
      <w:sz w:val="20"/>
      <w:szCs w:val="20"/>
    </w:rPr>
  </w:style>
  <w:style w:type="paragraph" w:customStyle="1" w:styleId="3159">
    <w:name w:val="Char Char1 Char Char Char Char Char Char Char4"/>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160">
    <w:name w:val="a8"/>
    <w:basedOn w:val="1"/>
    <w:qFormat/>
    <w:uiPriority w:val="0"/>
    <w:pPr>
      <w:widowControl/>
      <w:spacing w:before="100" w:beforeAutospacing="1" w:after="100" w:afterAutospacing="1"/>
      <w:jc w:val="left"/>
    </w:pPr>
    <w:rPr>
      <w:rFonts w:hAnsi="宋体" w:cs="宋体"/>
      <w:kern w:val="0"/>
      <w:sz w:val="24"/>
      <w:szCs w:val="24"/>
    </w:rPr>
  </w:style>
  <w:style w:type="paragraph" w:customStyle="1" w:styleId="316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3162">
    <w:name w:val="reader-word-layer reader-word-s25-6"/>
    <w:basedOn w:val="1"/>
    <w:qFormat/>
    <w:uiPriority w:val="0"/>
    <w:pPr>
      <w:widowControl/>
      <w:spacing w:before="100" w:beforeAutospacing="1" w:after="100" w:afterAutospacing="1"/>
      <w:jc w:val="left"/>
    </w:pPr>
    <w:rPr>
      <w:rFonts w:hAnsi="宋体" w:cs="宋体"/>
      <w:kern w:val="0"/>
      <w:sz w:val="24"/>
      <w:szCs w:val="24"/>
    </w:rPr>
  </w:style>
  <w:style w:type="paragraph" w:customStyle="1" w:styleId="3163">
    <w:name w:val="reader-word-layer reader-word-s1-25"/>
    <w:basedOn w:val="1"/>
    <w:qFormat/>
    <w:uiPriority w:val="0"/>
    <w:pPr>
      <w:widowControl/>
      <w:spacing w:before="100" w:beforeAutospacing="1" w:after="100" w:afterAutospacing="1"/>
      <w:jc w:val="left"/>
    </w:pPr>
    <w:rPr>
      <w:rFonts w:hAnsi="宋体" w:cs="宋体"/>
      <w:kern w:val="0"/>
      <w:sz w:val="24"/>
      <w:szCs w:val="24"/>
    </w:rPr>
  </w:style>
  <w:style w:type="paragraph" w:customStyle="1" w:styleId="3164">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kern w:val="0"/>
      <w:sz w:val="24"/>
      <w:szCs w:val="24"/>
    </w:rPr>
  </w:style>
  <w:style w:type="paragraph" w:customStyle="1" w:styleId="3165">
    <w:name w:val="灯泡注释(打印无效)"/>
    <w:basedOn w:val="82"/>
    <w:qFormat/>
    <w:uiPriority w:val="0"/>
    <w:pPr>
      <w:snapToGrid w:val="0"/>
      <w:spacing w:after="0"/>
      <w:ind w:firstLine="0" w:firstLineChars="0"/>
    </w:pPr>
    <w:rPr>
      <w:rFonts w:hint="default" w:ascii="Calibri" w:hAnsi="Calibri"/>
      <w:i/>
      <w:vanish/>
      <w:color w:val="FF0000"/>
      <w:sz w:val="21"/>
      <w:szCs w:val="21"/>
    </w:rPr>
  </w:style>
  <w:style w:type="paragraph" w:customStyle="1" w:styleId="3166">
    <w:name w:val="CM111"/>
    <w:basedOn w:val="154"/>
    <w:next w:val="154"/>
    <w:qFormat/>
    <w:uiPriority w:val="0"/>
    <w:pPr>
      <w:spacing w:after="430"/>
    </w:pPr>
    <w:rPr>
      <w:rFonts w:ascii="黑体" w:hAnsi="Batang" w:eastAsia="黑体" w:cs="Batang"/>
      <w:color w:val="auto"/>
      <w:kern w:val="2"/>
    </w:rPr>
  </w:style>
  <w:style w:type="paragraph" w:customStyle="1" w:styleId="3167">
    <w:name w:val="列表 21"/>
    <w:basedOn w:val="1"/>
    <w:qFormat/>
    <w:uiPriority w:val="0"/>
    <w:pPr>
      <w:spacing w:line="300" w:lineRule="auto"/>
      <w:ind w:left="100" w:leftChars="200" w:hanging="200" w:hangingChars="200"/>
    </w:pPr>
    <w:rPr>
      <w:rFonts w:ascii="Courier New" w:hAnsi="Courier New" w:eastAsia="Garamond" w:cs="Vladimir Script"/>
      <w:sz w:val="24"/>
      <w:szCs w:val="20"/>
    </w:rPr>
  </w:style>
  <w:style w:type="paragraph" w:customStyle="1" w:styleId="3168">
    <w:name w:val="标题 2 垃圾"/>
    <w:basedOn w:val="4"/>
    <w:qFormat/>
    <w:uiPriority w:val="0"/>
    <w:pPr>
      <w:tabs>
        <w:tab w:val="left" w:pos="540"/>
        <w:tab w:val="left" w:pos="992"/>
      </w:tabs>
      <w:spacing w:before="120" w:after="120" w:line="440" w:lineRule="exact"/>
    </w:pPr>
    <w:rPr>
      <w:rFonts w:ascii="Arial" w:hAnsi="Times New Roman"/>
      <w:bCs w:val="0"/>
      <w:snapToGrid/>
      <w:color w:val="000000"/>
      <w:sz w:val="24"/>
    </w:rPr>
  </w:style>
  <w:style w:type="paragraph" w:customStyle="1" w:styleId="3169">
    <w:name w:val="font1"/>
    <w:basedOn w:val="1"/>
    <w:qFormat/>
    <w:uiPriority w:val="0"/>
    <w:pPr>
      <w:widowControl/>
      <w:spacing w:before="100" w:beforeAutospacing="1" w:after="100" w:afterAutospacing="1"/>
      <w:jc w:val="left"/>
    </w:pPr>
    <w:rPr>
      <w:rFonts w:ascii="ˎ̥" w:hAnsi="ˎ̥" w:eastAsia="黑体" w:cs="ˎ̥"/>
      <w:b/>
      <w:bCs/>
      <w:kern w:val="0"/>
      <w:sz w:val="20"/>
      <w:szCs w:val="20"/>
    </w:rPr>
  </w:style>
  <w:style w:type="paragraph" w:customStyle="1" w:styleId="3170">
    <w:name w:val="标准文本 首行缩进:2 字符 行距1倍"/>
    <w:basedOn w:val="1"/>
    <w:qFormat/>
    <w:uiPriority w:val="0"/>
    <w:pPr>
      <w:adjustRightInd w:val="0"/>
      <w:snapToGrid w:val="0"/>
      <w:spacing w:line="440" w:lineRule="exact"/>
      <w:jc w:val="center"/>
      <w:textAlignment w:val="center"/>
    </w:pPr>
    <w:rPr>
      <w:rFonts w:ascii="黑体" w:hAnsi="宋体" w:eastAsia="黑体" w:cs="宋体"/>
      <w:b/>
      <w:color w:val="000000"/>
      <w:sz w:val="24"/>
      <w:szCs w:val="24"/>
    </w:rPr>
  </w:style>
  <w:style w:type="paragraph" w:customStyle="1" w:styleId="3171">
    <w:name w:val="文字"/>
    <w:basedOn w:val="1"/>
    <w:qFormat/>
    <w:uiPriority w:val="0"/>
    <w:pPr>
      <w:adjustRightInd w:val="0"/>
      <w:snapToGrid w:val="0"/>
      <w:spacing w:line="312" w:lineRule="auto"/>
      <w:ind w:firstLine="567"/>
    </w:pPr>
    <w:rPr>
      <w:rFonts w:hAnsi="宋体"/>
      <w:snapToGrid w:val="0"/>
      <w:color w:val="000000"/>
      <w:spacing w:val="6"/>
      <w:sz w:val="28"/>
      <w:szCs w:val="20"/>
    </w:rPr>
  </w:style>
  <w:style w:type="paragraph" w:customStyle="1" w:styleId="3172">
    <w:name w:val="标题12"/>
    <w:basedOn w:val="1"/>
    <w:qFormat/>
    <w:uiPriority w:val="0"/>
    <w:pPr>
      <w:keepNext/>
      <w:keepLines/>
      <w:tabs>
        <w:tab w:val="left" w:pos="1134"/>
      </w:tabs>
      <w:spacing w:before="120" w:line="360" w:lineRule="auto"/>
      <w:jc w:val="left"/>
    </w:pPr>
    <w:rPr>
      <w:rFonts w:ascii="Times New Roman"/>
      <w:b/>
      <w:sz w:val="28"/>
      <w:szCs w:val="20"/>
    </w:rPr>
  </w:style>
  <w:style w:type="paragraph" w:customStyle="1" w:styleId="3173">
    <w:name w:val="reader-word-layer reader-word-s28-10"/>
    <w:basedOn w:val="1"/>
    <w:qFormat/>
    <w:uiPriority w:val="0"/>
    <w:pPr>
      <w:widowControl/>
      <w:spacing w:before="100" w:beforeAutospacing="1" w:after="100" w:afterAutospacing="1"/>
      <w:jc w:val="left"/>
    </w:pPr>
    <w:rPr>
      <w:rFonts w:hAnsi="宋体" w:cs="宋体"/>
      <w:kern w:val="0"/>
      <w:sz w:val="24"/>
      <w:szCs w:val="24"/>
    </w:rPr>
  </w:style>
  <w:style w:type="paragraph" w:customStyle="1" w:styleId="3174">
    <w:name w:val="Header Base"/>
    <w:basedOn w:val="1"/>
    <w:qFormat/>
    <w:uiPriority w:val="0"/>
    <w:pPr>
      <w:widowControl/>
      <w:spacing w:line="440" w:lineRule="exact"/>
      <w:ind w:right="-360" w:firstLine="200" w:firstLineChars="200"/>
      <w:jc w:val="left"/>
    </w:pPr>
    <w:rPr>
      <w:rFonts w:ascii="Arial Unicode MS" w:hAnsi="Arial Unicode MS" w:cs="Vladimir Script"/>
      <w:kern w:val="0"/>
      <w:sz w:val="20"/>
      <w:szCs w:val="20"/>
    </w:rPr>
  </w:style>
  <w:style w:type="paragraph" w:customStyle="1" w:styleId="3175">
    <w:name w:val="CM75"/>
    <w:basedOn w:val="154"/>
    <w:next w:val="154"/>
    <w:qFormat/>
    <w:uiPriority w:val="0"/>
    <w:rPr>
      <w:rFonts w:ascii="黑体" w:hAnsi="Batang" w:eastAsia="黑体" w:cs="Batang"/>
      <w:color w:val="auto"/>
      <w:kern w:val="2"/>
    </w:rPr>
  </w:style>
  <w:style w:type="paragraph" w:customStyle="1" w:styleId="3176">
    <w:name w:val="样式 样式2 + 首行缩进:  2 字符"/>
    <w:basedOn w:val="1"/>
    <w:qFormat/>
    <w:uiPriority w:val="0"/>
    <w:pPr>
      <w:adjustRightInd w:val="0"/>
      <w:snapToGrid w:val="0"/>
      <w:spacing w:line="360" w:lineRule="auto"/>
      <w:ind w:firstLine="200" w:firstLineChars="200"/>
    </w:pPr>
    <w:rPr>
      <w:rFonts w:ascii="Sim Sun" w:hAnsi="Sim Sun" w:cs="Sim Sun"/>
      <w:b/>
      <w:sz w:val="28"/>
      <w:szCs w:val="28"/>
    </w:rPr>
  </w:style>
  <w:style w:type="paragraph" w:customStyle="1" w:styleId="3177">
    <w:name w:val="xl74"/>
    <w:basedOn w:val="1"/>
    <w:qFormat/>
    <w:uiPriority w:val="0"/>
    <w:pPr>
      <w:widowControl/>
      <w:pBdr>
        <w:top w:val="single" w:color="auto" w:sz="8" w:space="0"/>
        <w:right w:val="single" w:color="auto" w:sz="8" w:space="0"/>
      </w:pBdr>
      <w:spacing w:before="100" w:after="100"/>
      <w:jc w:val="center"/>
      <w:textAlignment w:val="center"/>
    </w:pPr>
    <w:rPr>
      <w:rFonts w:ascii="Batang" w:hAnsi="Batang" w:cs="Batang"/>
      <w:kern w:val="0"/>
      <w:sz w:val="24"/>
      <w:szCs w:val="24"/>
    </w:rPr>
  </w:style>
  <w:style w:type="paragraph" w:customStyle="1" w:styleId="3178">
    <w:name w:val="9正文"/>
    <w:basedOn w:val="1"/>
    <w:qFormat/>
    <w:uiPriority w:val="0"/>
    <w:pPr>
      <w:widowControl/>
      <w:spacing w:afterLines="50" w:line="360" w:lineRule="auto"/>
      <w:ind w:firstLine="200" w:firstLineChars="200"/>
      <w:jc w:val="left"/>
      <w:textAlignment w:val="center"/>
    </w:pPr>
    <w:rPr>
      <w:rFonts w:ascii="Times New Roman"/>
      <w:kern w:val="0"/>
      <w:sz w:val="24"/>
      <w:szCs w:val="24"/>
      <w:lang w:eastAsia="en-US" w:bidi="en-US"/>
    </w:rPr>
  </w:style>
  <w:style w:type="paragraph" w:customStyle="1" w:styleId="3179">
    <w:name w:val="Char2 Char Char1 Char2"/>
    <w:basedOn w:val="1"/>
    <w:qFormat/>
    <w:uiPriority w:val="0"/>
    <w:pPr>
      <w:spacing w:line="360" w:lineRule="auto"/>
      <w:ind w:firstLine="200" w:firstLineChars="200"/>
    </w:pPr>
    <w:rPr>
      <w:rFonts w:hAnsi="宋体" w:cs="宋体"/>
      <w:sz w:val="24"/>
      <w:szCs w:val="24"/>
    </w:rPr>
  </w:style>
  <w:style w:type="paragraph" w:customStyle="1" w:styleId="3180">
    <w:name w:val="xl76"/>
    <w:basedOn w:val="1"/>
    <w:qFormat/>
    <w:uiPriority w:val="0"/>
    <w:pPr>
      <w:widowControl/>
      <w:spacing w:before="100" w:after="100"/>
      <w:jc w:val="center"/>
      <w:textAlignment w:val="center"/>
    </w:pPr>
    <w:rPr>
      <w:rFonts w:ascii="Batang" w:hAnsi="Batang" w:cs="Batang"/>
      <w:kern w:val="0"/>
      <w:sz w:val="24"/>
      <w:szCs w:val="24"/>
    </w:rPr>
  </w:style>
  <w:style w:type="paragraph" w:customStyle="1" w:styleId="3181">
    <w:name w:val="正文文本 24"/>
    <w:basedOn w:val="1"/>
    <w:qFormat/>
    <w:uiPriority w:val="0"/>
    <w:pPr>
      <w:adjustRightInd w:val="0"/>
      <w:spacing w:line="432" w:lineRule="auto"/>
      <w:ind w:firstLine="480"/>
    </w:pPr>
    <w:rPr>
      <w:rFonts w:ascii="Times New Roman"/>
      <w:sz w:val="24"/>
      <w:szCs w:val="20"/>
    </w:rPr>
  </w:style>
  <w:style w:type="paragraph" w:customStyle="1" w:styleId="3182">
    <w:name w:val="xl77"/>
    <w:basedOn w:val="1"/>
    <w:qFormat/>
    <w:uiPriority w:val="0"/>
    <w:pPr>
      <w:widowControl/>
      <w:pBdr>
        <w:right w:val="single" w:color="auto" w:sz="8" w:space="0"/>
      </w:pBdr>
      <w:spacing w:before="100" w:after="100"/>
      <w:jc w:val="center"/>
      <w:textAlignment w:val="center"/>
    </w:pPr>
    <w:rPr>
      <w:rFonts w:ascii="Batang" w:hAnsi="Batang" w:cs="Batang"/>
      <w:kern w:val="0"/>
      <w:sz w:val="24"/>
      <w:szCs w:val="24"/>
    </w:rPr>
  </w:style>
  <w:style w:type="paragraph" w:customStyle="1" w:styleId="3183">
    <w:name w:val="待定小"/>
    <w:basedOn w:val="2955"/>
    <w:qFormat/>
    <w:uiPriority w:val="0"/>
    <w:rPr>
      <w:rFonts w:ascii="Sim Sun"/>
      <w:color w:val="0000FF"/>
      <w:sz w:val="21"/>
      <w:szCs w:val="20"/>
    </w:rPr>
  </w:style>
  <w:style w:type="paragraph" w:customStyle="1" w:styleId="3184">
    <w:name w:val="样式 样式 标题 3 + Times New Roman + 段前: 0.3 行"/>
    <w:qFormat/>
    <w:uiPriority w:val="0"/>
    <w:pPr>
      <w:tabs>
        <w:tab w:val="left" w:pos="1571"/>
      </w:tabs>
      <w:spacing w:beforeLines="20" w:afterLines="30"/>
    </w:pPr>
    <w:rPr>
      <w:rFonts w:ascii="Times New Roman" w:hAnsi="Times New Roman" w:eastAsia="宋体" w:cs="Times New Roman"/>
      <w:lang w:val="en-US" w:eastAsia="zh-CN" w:bidi="ar-SA"/>
    </w:rPr>
  </w:style>
  <w:style w:type="paragraph" w:customStyle="1" w:styleId="3185">
    <w:name w:val="样式 标题 3 + Times New Roman"/>
    <w:basedOn w:val="5"/>
    <w:qFormat/>
    <w:uiPriority w:val="0"/>
    <w:pPr>
      <w:tabs>
        <w:tab w:val="left" w:pos="1571"/>
      </w:tabs>
      <w:spacing w:beforeLines="30" w:after="160" w:line="460" w:lineRule="exact"/>
      <w:ind w:left="1418" w:hanging="567"/>
    </w:pPr>
    <w:rPr>
      <w:rFonts w:eastAsia="黑体"/>
      <w:b w:val="0"/>
      <w:bCs w:val="0"/>
      <w:sz w:val="28"/>
      <w:szCs w:val="28"/>
    </w:rPr>
  </w:style>
  <w:style w:type="paragraph" w:customStyle="1" w:styleId="3186">
    <w:name w:val="Achievement"/>
    <w:basedOn w:val="32"/>
    <w:qFormat/>
    <w:uiPriority w:val="0"/>
    <w:pPr>
      <w:widowControl/>
      <w:tabs>
        <w:tab w:val="left" w:pos="960"/>
      </w:tabs>
      <w:spacing w:after="60" w:line="220" w:lineRule="atLeast"/>
      <w:ind w:left="960" w:right="-360" w:hanging="960" w:firstLineChars="200"/>
      <w:jc w:val="left"/>
    </w:pPr>
    <w:rPr>
      <w:rFonts w:ascii="Arial Unicode MS" w:hAnsi="Arial Unicode MS" w:eastAsia="Vladimir Script" w:cs="Vladimir Script"/>
      <w:kern w:val="0"/>
      <w:sz w:val="20"/>
      <w:szCs w:val="24"/>
    </w:rPr>
  </w:style>
  <w:style w:type="paragraph" w:customStyle="1" w:styleId="3187">
    <w:name w:val="Char Char1 Char Char1 Char Char1 Char Char1 Char Char Char Char Char Char Char2"/>
    <w:basedOn w:val="1"/>
    <w:qFormat/>
    <w:uiPriority w:val="0"/>
    <w:pPr>
      <w:spacing w:line="440" w:lineRule="exact"/>
      <w:ind w:firstLine="200" w:firstLineChars="200"/>
    </w:pPr>
    <w:rPr>
      <w:rFonts w:ascii="Arial Unicode MS" w:hAnsi="Arial Unicode MS" w:cs="Vladimir Script"/>
      <w:sz w:val="21"/>
      <w:szCs w:val="20"/>
    </w:rPr>
  </w:style>
  <w:style w:type="paragraph" w:customStyle="1" w:styleId="3188">
    <w:name w:val="表图头"/>
    <w:basedOn w:val="1"/>
    <w:qFormat/>
    <w:uiPriority w:val="0"/>
    <w:pPr>
      <w:jc w:val="center"/>
    </w:pPr>
    <w:rPr>
      <w:rFonts w:ascii="Times New Roman"/>
      <w:bCs/>
      <w:snapToGrid w:val="0"/>
      <w:sz w:val="21"/>
      <w:szCs w:val="24"/>
    </w:rPr>
  </w:style>
  <w:style w:type="paragraph" w:customStyle="1" w:styleId="3189">
    <w:name w:val="head"/>
    <w:basedOn w:val="1"/>
    <w:next w:val="82"/>
    <w:qFormat/>
    <w:uiPriority w:val="0"/>
    <w:pPr>
      <w:keepNext/>
      <w:keepLines/>
      <w:snapToGrid w:val="0"/>
      <w:spacing w:before="120" w:after="120" w:line="360" w:lineRule="auto"/>
      <w:jc w:val="left"/>
    </w:pPr>
    <w:rPr>
      <w:rFonts w:hAnsi="宋体" w:cs="宋体"/>
      <w:sz w:val="32"/>
      <w:szCs w:val="32"/>
    </w:rPr>
  </w:style>
  <w:style w:type="paragraph" w:customStyle="1" w:styleId="3190">
    <w:name w:val="CM6"/>
    <w:basedOn w:val="154"/>
    <w:next w:val="154"/>
    <w:qFormat/>
    <w:uiPriority w:val="0"/>
    <w:pPr>
      <w:spacing w:line="626" w:lineRule="atLeast"/>
    </w:pPr>
    <w:rPr>
      <w:rFonts w:ascii="宋体" w:hAnsi="Calibri" w:eastAsia="宋体" w:cs="Times New Roman"/>
      <w:color w:val="auto"/>
      <w:kern w:val="2"/>
    </w:rPr>
  </w:style>
  <w:style w:type="paragraph" w:customStyle="1" w:styleId="3191">
    <w:name w:val="条(四级)"/>
    <w:basedOn w:val="1"/>
    <w:next w:val="1"/>
    <w:qFormat/>
    <w:uiPriority w:val="0"/>
    <w:pPr>
      <w:keepNext/>
      <w:keepLines/>
      <w:widowControl/>
      <w:autoSpaceDE w:val="0"/>
      <w:autoSpaceDN w:val="0"/>
      <w:adjustRightInd w:val="0"/>
      <w:spacing w:line="460" w:lineRule="exact"/>
      <w:ind w:firstLine="200" w:firstLineChars="200"/>
      <w:jc w:val="left"/>
      <w:textAlignment w:val="bottom"/>
    </w:pPr>
    <w:rPr>
      <w:rFonts w:ascii="Sim Sun" w:hAnsi="ˎ̥" w:cs="Vladimir Script"/>
      <w:spacing w:val="3"/>
      <w:kern w:val="24"/>
      <w:sz w:val="26"/>
      <w:szCs w:val="20"/>
    </w:rPr>
  </w:style>
  <w:style w:type="paragraph" w:customStyle="1" w:styleId="3192">
    <w:name w:val="样式 表格文字"/>
    <w:basedOn w:val="278"/>
    <w:qFormat/>
    <w:uiPriority w:val="0"/>
    <w:pPr>
      <w:tabs>
        <w:tab w:val="left" w:pos="2520"/>
      </w:tabs>
      <w:spacing w:before="62" w:after="120" w:line="240" w:lineRule="auto"/>
      <w:ind w:left="120"/>
      <w:outlineLvl w:val="0"/>
    </w:pPr>
    <w:rPr>
      <w:rFonts w:ascii="宋体" w:hAnsi="宋体" w:eastAsia="宋体" w:cs="宋体"/>
      <w:spacing w:val="6"/>
      <w:kern w:val="2"/>
      <w:sz w:val="24"/>
      <w:szCs w:val="20"/>
    </w:rPr>
  </w:style>
  <w:style w:type="paragraph" w:customStyle="1" w:styleId="3193">
    <w:name w:val="Char Char Char Char Char Char Char Char Char Char Char Char Char Char Char Char Char Char1 Char Char Char Char Char Char Char Char Char Char Char Char1 Char Char Char"/>
    <w:basedOn w:val="1"/>
    <w:next w:val="1"/>
    <w:qFormat/>
    <w:uiPriority w:val="0"/>
    <w:pPr>
      <w:spacing w:line="360" w:lineRule="auto"/>
      <w:ind w:firstLine="200" w:firstLineChars="200"/>
    </w:pPr>
    <w:rPr>
      <w:rFonts w:hAnsi="宋体" w:cs="宋体"/>
      <w:sz w:val="24"/>
      <w:szCs w:val="24"/>
    </w:rPr>
  </w:style>
  <w:style w:type="paragraph" w:customStyle="1" w:styleId="3194">
    <w:name w:val="Objective"/>
    <w:basedOn w:val="1"/>
    <w:next w:val="32"/>
    <w:qFormat/>
    <w:uiPriority w:val="0"/>
    <w:pPr>
      <w:widowControl/>
      <w:spacing w:before="220" w:after="220" w:line="220" w:lineRule="atLeast"/>
      <w:ind w:firstLine="200" w:firstLineChars="200"/>
      <w:jc w:val="left"/>
    </w:pPr>
    <w:rPr>
      <w:rFonts w:ascii="Arial Unicode MS" w:hAnsi="Arial Unicode MS" w:cs="Vladimir Script"/>
      <w:kern w:val="0"/>
      <w:sz w:val="20"/>
      <w:szCs w:val="20"/>
    </w:rPr>
  </w:style>
  <w:style w:type="paragraph" w:customStyle="1" w:styleId="3195">
    <w:name w:val="Char Char Char Char Char Char Char Char Char Char Char Char Char Char Char1 Char Char Char Char Char Char Char Char Char Char"/>
    <w:basedOn w:val="5"/>
    <w:qFormat/>
    <w:uiPriority w:val="0"/>
    <w:pPr>
      <w:tabs>
        <w:tab w:val="left" w:pos="0"/>
        <w:tab w:val="left" w:pos="1571"/>
      </w:tabs>
      <w:spacing w:line="240" w:lineRule="atLeast"/>
      <w:jc w:val="left"/>
    </w:pPr>
    <w:rPr>
      <w:kern w:val="0"/>
      <w:sz w:val="24"/>
      <w:szCs w:val="21"/>
    </w:rPr>
  </w:style>
  <w:style w:type="paragraph" w:customStyle="1" w:styleId="3196">
    <w:name w:val="样式 标题 21.1标题 21.1_Heading 2标题 2 Char1节标2节标题 1.11.1标题2h..."/>
    <w:basedOn w:val="4"/>
    <w:qFormat/>
    <w:uiPriority w:val="0"/>
    <w:pPr>
      <w:keepNext w:val="0"/>
      <w:keepLines w:val="0"/>
      <w:tabs>
        <w:tab w:val="left" w:pos="992"/>
        <w:tab w:val="left" w:pos="1320"/>
      </w:tabs>
      <w:adjustRightInd w:val="0"/>
      <w:spacing w:before="0" w:after="0" w:line="360" w:lineRule="auto"/>
      <w:ind w:left="1320" w:hanging="420" w:firstLineChars="200"/>
      <w:jc w:val="left"/>
    </w:pPr>
    <w:rPr>
      <w:rFonts w:ascii="Arial Unicode MS" w:hAnsi="Arial Unicode MS" w:eastAsia="仿宋体" w:cs="Vladimir Script"/>
      <w:b w:val="0"/>
      <w:smallCaps/>
      <w:snapToGrid/>
      <w:color w:val="0000FF"/>
      <w:sz w:val="28"/>
      <w:szCs w:val="28"/>
    </w:rPr>
  </w:style>
  <w:style w:type="paragraph" w:customStyle="1" w:styleId="3197">
    <w:name w:val="图表1"/>
    <w:basedOn w:val="62"/>
    <w:qFormat/>
    <w:uiPriority w:val="0"/>
    <w:pPr>
      <w:snapToGrid w:val="0"/>
      <w:spacing w:line="360" w:lineRule="exact"/>
      <w:ind w:left="0" w:firstLine="0" w:firstLineChars="0"/>
      <w:jc w:val="center"/>
    </w:pPr>
    <w:rPr>
      <w:rFonts w:ascii="宋体" w:hAnsi="宋体" w:cs="宋体"/>
      <w:spacing w:val="6"/>
      <w:sz w:val="24"/>
    </w:rPr>
  </w:style>
  <w:style w:type="paragraph" w:customStyle="1" w:styleId="3198">
    <w:name w:val="word"/>
    <w:basedOn w:val="1"/>
    <w:qFormat/>
    <w:uiPriority w:val="0"/>
    <w:pPr>
      <w:spacing w:line="440" w:lineRule="exact"/>
      <w:ind w:firstLine="360" w:firstLineChars="150"/>
    </w:pPr>
    <w:rPr>
      <w:rFonts w:hAnsi="宋体"/>
      <w:color w:val="FF0000"/>
      <w:sz w:val="24"/>
      <w:szCs w:val="24"/>
    </w:rPr>
  </w:style>
  <w:style w:type="paragraph" w:customStyle="1" w:styleId="3199">
    <w:name w:val="标题1-自建"/>
    <w:basedOn w:val="3"/>
    <w:qFormat/>
    <w:uiPriority w:val="0"/>
    <w:pPr>
      <w:tabs>
        <w:tab w:val="left" w:pos="425"/>
      </w:tabs>
      <w:spacing w:beforeLines="0" w:after="330" w:line="576" w:lineRule="auto"/>
      <w:ind w:left="425" w:hanging="425"/>
      <w:jc w:val="center"/>
    </w:pPr>
    <w:rPr>
      <w:rFonts w:eastAsia="宋体"/>
      <w:b/>
      <w:snapToGrid/>
      <w:sz w:val="28"/>
      <w:szCs w:val="20"/>
    </w:rPr>
  </w:style>
  <w:style w:type="paragraph" w:customStyle="1" w:styleId="3200">
    <w:name w:val="文本块1"/>
    <w:basedOn w:val="1"/>
    <w:qFormat/>
    <w:uiPriority w:val="0"/>
    <w:pPr>
      <w:spacing w:line="360" w:lineRule="auto"/>
      <w:ind w:left="471" w:leftChars="200" w:firstLine="706" w:firstLineChars="300"/>
    </w:pPr>
    <w:rPr>
      <w:rFonts w:ascii="Arial Unicode MS" w:hAnsi="Arial Unicode MS" w:cs="Vladimir Script"/>
      <w:sz w:val="24"/>
      <w:szCs w:val="24"/>
    </w:rPr>
  </w:style>
  <w:style w:type="paragraph" w:customStyle="1" w:styleId="3201">
    <w:name w:val="样式 样式 样式 样式 样式 样式 样式 样式9 + 段前: 0.5 行 段后: 0.5 行 + 段前: 1 行 段后: 0.5..."/>
    <w:basedOn w:val="1"/>
    <w:qFormat/>
    <w:uiPriority w:val="0"/>
    <w:pPr>
      <w:keepNext/>
      <w:keepLines/>
      <w:tabs>
        <w:tab w:val="left" w:pos="420"/>
      </w:tabs>
      <w:spacing w:beforeLines="100" w:afterLines="50" w:line="480" w:lineRule="exact"/>
      <w:ind w:hanging="420"/>
      <w:jc w:val="left"/>
      <w:outlineLvl w:val="1"/>
    </w:pPr>
    <w:rPr>
      <w:rFonts w:ascii="Arial" w:hAnsi="Arial" w:eastAsia="黑体"/>
      <w:color w:val="000000"/>
      <w:spacing w:val="6"/>
      <w:sz w:val="28"/>
      <w:szCs w:val="20"/>
    </w:rPr>
  </w:style>
  <w:style w:type="paragraph" w:customStyle="1" w:styleId="3202">
    <w:name w:val="(文字) (文字)1"/>
    <w:basedOn w:val="1"/>
    <w:qFormat/>
    <w:uiPriority w:val="0"/>
    <w:pPr>
      <w:widowControl/>
      <w:spacing w:after="160" w:line="240" w:lineRule="exact"/>
      <w:jc w:val="left"/>
    </w:pPr>
    <w:rPr>
      <w:rFonts w:ascii="Verdana" w:hAnsi="Verdana"/>
      <w:kern w:val="0"/>
      <w:sz w:val="20"/>
      <w:szCs w:val="20"/>
      <w:lang w:eastAsia="en-US"/>
    </w:rPr>
  </w:style>
  <w:style w:type="paragraph" w:customStyle="1" w:styleId="3203">
    <w:name w:val="标题5-自建"/>
    <w:basedOn w:val="7"/>
    <w:qFormat/>
    <w:uiPriority w:val="0"/>
    <w:pPr>
      <w:keepNext/>
      <w:keepLines/>
      <w:tabs>
        <w:tab w:val="left" w:pos="2781"/>
        <w:tab w:val="clear" w:pos="1440"/>
        <w:tab w:val="clear" w:pos="2627"/>
      </w:tabs>
      <w:spacing w:line="900" w:lineRule="exact"/>
      <w:ind w:left="2551" w:hanging="850"/>
      <w:jc w:val="left"/>
    </w:pPr>
    <w:rPr>
      <w:rFonts w:hint="default" w:ascii="Arial" w:hAnsi="Arial"/>
    </w:rPr>
  </w:style>
  <w:style w:type="paragraph" w:customStyle="1" w:styleId="3204">
    <w:name w:val="索引 81"/>
    <w:basedOn w:val="1"/>
    <w:next w:val="1"/>
    <w:qFormat/>
    <w:uiPriority w:val="0"/>
    <w:pPr>
      <w:spacing w:line="440" w:lineRule="exact"/>
      <w:ind w:left="2000" w:hanging="250" w:firstLineChars="200"/>
      <w:jc w:val="left"/>
    </w:pPr>
    <w:rPr>
      <w:rFonts w:ascii="ˎ̥" w:hAnsi="ˎ̥" w:eastAsia="仿宋体" w:cs="ˎ̥"/>
      <w:spacing w:val="5"/>
      <w:sz w:val="20"/>
      <w:szCs w:val="20"/>
    </w:rPr>
  </w:style>
  <w:style w:type="paragraph" w:customStyle="1" w:styleId="3205">
    <w:name w:val="样2"/>
    <w:basedOn w:val="1"/>
    <w:next w:val="1"/>
    <w:qFormat/>
    <w:uiPriority w:val="0"/>
    <w:pPr>
      <w:adjustRightInd w:val="0"/>
      <w:jc w:val="center"/>
      <w:textAlignment w:val="baseline"/>
    </w:pPr>
    <w:rPr>
      <w:rFonts w:ascii="Batang" w:hAnsi="Batang" w:cs="Batang"/>
      <w:kern w:val="0"/>
      <w:sz w:val="24"/>
      <w:szCs w:val="20"/>
    </w:rPr>
  </w:style>
  <w:style w:type="paragraph" w:customStyle="1" w:styleId="3206">
    <w:name w:val="样式 样式 蓝色 首行缩进:  1 厘米 行距: 固定值 25 磅 + 首行缩进:  2 字符"/>
    <w:basedOn w:val="1"/>
    <w:qFormat/>
    <w:uiPriority w:val="0"/>
    <w:pPr>
      <w:spacing w:line="500" w:lineRule="exact"/>
      <w:ind w:firstLine="560" w:firstLineChars="200"/>
    </w:pPr>
    <w:rPr>
      <w:rFonts w:ascii="Arial Unicode MS" w:hAnsi="Arial Unicode MS" w:cs="Sim Sun"/>
      <w:sz w:val="28"/>
      <w:szCs w:val="20"/>
    </w:rPr>
  </w:style>
  <w:style w:type="paragraph" w:customStyle="1" w:styleId="3207">
    <w:name w:val="Char Char10 Char Char1"/>
    <w:basedOn w:val="1"/>
    <w:semiHidden/>
    <w:qFormat/>
    <w:uiPriority w:val="0"/>
    <w:pPr>
      <w:adjustRightInd w:val="0"/>
      <w:snapToGrid w:val="0"/>
      <w:spacing w:line="360" w:lineRule="auto"/>
      <w:ind w:firstLine="200" w:firstLineChars="200"/>
    </w:pPr>
    <w:rPr>
      <w:rFonts w:hAnsi="宋体" w:cs="宋体"/>
      <w:sz w:val="24"/>
      <w:szCs w:val="26"/>
    </w:rPr>
  </w:style>
  <w:style w:type="paragraph" w:customStyle="1" w:styleId="3208">
    <w:name w:val="Char Char Char Char Char Char Char Char Char Char Char Char Char3"/>
    <w:basedOn w:val="1"/>
    <w:qFormat/>
    <w:uiPriority w:val="0"/>
    <w:rPr>
      <w:rFonts w:ascii="Times New Roman"/>
      <w:sz w:val="21"/>
      <w:szCs w:val="24"/>
    </w:rPr>
  </w:style>
  <w:style w:type="paragraph" w:customStyle="1" w:styleId="3209">
    <w:name w:val="正文首行缩进5"/>
    <w:basedOn w:val="32"/>
    <w:qFormat/>
    <w:uiPriority w:val="0"/>
    <w:pPr>
      <w:adjustRightInd w:val="0"/>
      <w:snapToGrid w:val="0"/>
      <w:spacing w:after="0" w:line="312" w:lineRule="auto"/>
    </w:pPr>
    <w:rPr>
      <w:rFonts w:ascii="Calibri" w:hAnsi="Calibri"/>
      <w:kern w:val="0"/>
      <w:sz w:val="28"/>
      <w:szCs w:val="22"/>
    </w:rPr>
  </w:style>
  <w:style w:type="paragraph" w:customStyle="1" w:styleId="3210">
    <w:name w:val="Char Char5 Char Char Char Char Char Char Char Char Char Char Char Char Char Char Char1 Char4"/>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211">
    <w:name w:val="表格表头"/>
    <w:qFormat/>
    <w:uiPriority w:val="0"/>
    <w:pPr>
      <w:pBdr>
        <w:top w:val="none" w:color="auto" w:sz="0" w:space="1"/>
        <w:left w:val="none" w:color="auto" w:sz="0" w:space="4"/>
        <w:bottom w:val="none" w:color="auto" w:sz="0" w:space="1"/>
        <w:right w:val="none" w:color="auto" w:sz="0" w:space="4"/>
      </w:pBdr>
      <w:spacing w:line="360" w:lineRule="auto"/>
      <w:jc w:val="center"/>
    </w:pPr>
    <w:rPr>
      <w:rFonts w:ascii="Times New Roman" w:hAnsi="Times New Roman" w:eastAsia="宋体" w:cs="Times New Roman"/>
      <w:b/>
      <w:sz w:val="21"/>
      <w:szCs w:val="21"/>
      <w:lang w:val="en-US" w:eastAsia="zh-CN" w:bidi="ar-SA"/>
    </w:rPr>
  </w:style>
  <w:style w:type="paragraph" w:customStyle="1" w:styleId="3212">
    <w:name w:val="表头名"/>
    <w:basedOn w:val="2670"/>
    <w:qFormat/>
    <w:uiPriority w:val="0"/>
  </w:style>
  <w:style w:type="paragraph" w:customStyle="1" w:styleId="3213">
    <w:name w:val="tuxing"/>
    <w:basedOn w:val="1"/>
    <w:next w:val="82"/>
    <w:qFormat/>
    <w:uiPriority w:val="0"/>
    <w:pPr>
      <w:jc w:val="center"/>
    </w:pPr>
    <w:rPr>
      <w:rFonts w:ascii="Times New Roman"/>
      <w:sz w:val="21"/>
      <w:szCs w:val="24"/>
    </w:rPr>
  </w:style>
  <w:style w:type="paragraph" w:customStyle="1" w:styleId="3214">
    <w:name w:val="xl67"/>
    <w:basedOn w:val="1"/>
    <w:qFormat/>
    <w:uiPriority w:val="0"/>
    <w:pPr>
      <w:widowControl/>
      <w:pBdr>
        <w:right w:val="single" w:color="auto" w:sz="4" w:space="0"/>
      </w:pBdr>
      <w:spacing w:before="100" w:after="100"/>
      <w:jc w:val="center"/>
      <w:textAlignment w:val="top"/>
    </w:pPr>
    <w:rPr>
      <w:rFonts w:ascii="Batang" w:hAnsi="Batang" w:cs="Batang"/>
      <w:kern w:val="0"/>
      <w:sz w:val="24"/>
      <w:szCs w:val="24"/>
    </w:rPr>
  </w:style>
  <w:style w:type="paragraph" w:customStyle="1" w:styleId="3215">
    <w:name w:val="Char1 Char Char Char Char Char Char Char Char Char Char Char Char2"/>
    <w:basedOn w:val="1"/>
    <w:qFormat/>
    <w:uiPriority w:val="0"/>
    <w:rPr>
      <w:rFonts w:ascii="Times New Roman"/>
      <w:sz w:val="24"/>
      <w:szCs w:val="20"/>
    </w:rPr>
  </w:style>
  <w:style w:type="paragraph" w:customStyle="1" w:styleId="3216">
    <w:name w:val="reader-word-layer reader-word-s28-10 reader-word-s28-23"/>
    <w:basedOn w:val="1"/>
    <w:qFormat/>
    <w:uiPriority w:val="0"/>
    <w:pPr>
      <w:widowControl/>
      <w:spacing w:before="100" w:beforeAutospacing="1" w:after="100" w:afterAutospacing="1"/>
      <w:jc w:val="left"/>
    </w:pPr>
    <w:rPr>
      <w:rFonts w:hAnsi="宋体" w:cs="宋体"/>
      <w:kern w:val="0"/>
      <w:sz w:val="24"/>
      <w:szCs w:val="24"/>
    </w:rPr>
  </w:style>
  <w:style w:type="paragraph" w:customStyle="1" w:styleId="3217">
    <w:name w:val="正文 + 首行缩进:  2 字符"/>
    <w:basedOn w:val="1"/>
    <w:qFormat/>
    <w:uiPriority w:val="0"/>
    <w:pPr>
      <w:spacing w:line="460" w:lineRule="atLeast"/>
      <w:ind w:firstLine="528" w:firstLineChars="200"/>
    </w:pPr>
    <w:rPr>
      <w:rFonts w:ascii="Times New Roman"/>
      <w:spacing w:val="12"/>
      <w:sz w:val="24"/>
      <w:szCs w:val="20"/>
    </w:rPr>
  </w:style>
  <w:style w:type="paragraph" w:customStyle="1" w:styleId="3218">
    <w:name w:val="样式 标题 2节标题 1.1h2Header 2nd PageA.B.C.h2 main headingA1.1标..."/>
    <w:basedOn w:val="4"/>
    <w:qFormat/>
    <w:uiPriority w:val="0"/>
    <w:pPr>
      <w:tabs>
        <w:tab w:val="left" w:pos="992"/>
      </w:tabs>
      <w:ind w:left="992" w:hanging="567"/>
    </w:pPr>
    <w:rPr>
      <w:rFonts w:ascii="Arial" w:hAnsi="Arial" w:eastAsia="黑体"/>
      <w:snapToGrid/>
    </w:rPr>
  </w:style>
  <w:style w:type="paragraph" w:customStyle="1" w:styleId="3219">
    <w:name w:val="Char Char7 Char Char Char3"/>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220">
    <w:name w:val="Body Text First Indent3"/>
    <w:basedOn w:val="32"/>
    <w:qFormat/>
    <w:uiPriority w:val="0"/>
    <w:pPr>
      <w:adjustRightInd w:val="0"/>
      <w:spacing w:after="0" w:line="312" w:lineRule="auto"/>
      <w:ind w:firstLine="567"/>
    </w:pPr>
    <w:rPr>
      <w:rFonts w:ascii="Calibri" w:hAnsi="Calibri"/>
      <w:kern w:val="0"/>
      <w:sz w:val="28"/>
      <w:szCs w:val="22"/>
    </w:rPr>
  </w:style>
  <w:style w:type="paragraph" w:customStyle="1" w:styleId="3221">
    <w:name w:val="reader-word-layer reader-word-s25-17"/>
    <w:basedOn w:val="1"/>
    <w:qFormat/>
    <w:uiPriority w:val="0"/>
    <w:pPr>
      <w:widowControl/>
      <w:spacing w:before="100" w:beforeAutospacing="1" w:after="100" w:afterAutospacing="1"/>
      <w:jc w:val="left"/>
    </w:pPr>
    <w:rPr>
      <w:rFonts w:hAnsi="宋体" w:cs="宋体"/>
      <w:kern w:val="0"/>
      <w:sz w:val="24"/>
      <w:szCs w:val="24"/>
    </w:rPr>
  </w:style>
  <w:style w:type="paragraph" w:customStyle="1" w:styleId="3222">
    <w:name w:val="样式 正文首行缩进＋湿地 + 首行缩进:  2 字符1"/>
    <w:qFormat/>
    <w:uiPriority w:val="0"/>
    <w:pPr>
      <w:ind w:firstLine="560" w:firstLineChars="200"/>
    </w:pPr>
    <w:rPr>
      <w:rFonts w:ascii="Times New Roman" w:hAnsi="Times New Roman" w:eastAsia="宋体" w:cs="Times New Roman"/>
      <w:lang w:val="en-US" w:eastAsia="zh-CN" w:bidi="ar-SA"/>
    </w:rPr>
  </w:style>
  <w:style w:type="paragraph" w:customStyle="1" w:styleId="3223">
    <w:name w:val="正文首行缩进＋湿地"/>
    <w:basedOn w:val="1"/>
    <w:qFormat/>
    <w:uiPriority w:val="0"/>
    <w:pPr>
      <w:spacing w:line="440" w:lineRule="exact"/>
      <w:ind w:firstLine="540" w:firstLineChars="225"/>
    </w:pPr>
    <w:rPr>
      <w:rFonts w:ascii="仿宋_GB2312" w:hAnsi="宋体" w:eastAsia="仿宋_GB2312"/>
      <w:kern w:val="0"/>
      <w:sz w:val="28"/>
      <w:szCs w:val="20"/>
    </w:rPr>
  </w:style>
  <w:style w:type="paragraph" w:customStyle="1" w:styleId="3224">
    <w:name w:val="表标头"/>
    <w:basedOn w:val="1"/>
    <w:qFormat/>
    <w:uiPriority w:val="0"/>
    <w:pPr>
      <w:tabs>
        <w:tab w:val="left" w:pos="360"/>
      </w:tabs>
      <w:spacing w:before="60" w:after="60" w:line="240" w:lineRule="atLeast"/>
      <w:jc w:val="center"/>
    </w:pPr>
    <w:rPr>
      <w:rFonts w:ascii="Times New Roman"/>
      <w:b/>
      <w:bCs/>
      <w:sz w:val="24"/>
      <w:szCs w:val="24"/>
    </w:rPr>
  </w:style>
  <w:style w:type="paragraph" w:customStyle="1" w:styleId="3225">
    <w:name w:val="节标"/>
    <w:basedOn w:val="1"/>
    <w:qFormat/>
    <w:uiPriority w:val="0"/>
    <w:pPr>
      <w:widowControl/>
      <w:autoSpaceDE w:val="0"/>
      <w:autoSpaceDN w:val="0"/>
      <w:adjustRightInd w:val="0"/>
      <w:spacing w:line="480" w:lineRule="exact"/>
      <w:ind w:firstLine="567" w:firstLineChars="200"/>
      <w:jc w:val="center"/>
      <w:textAlignment w:val="bottom"/>
    </w:pPr>
    <w:rPr>
      <w:rFonts w:ascii="Arial Unicode MS" w:hAnsi="Arial Unicode MS" w:cs="Vladimir Script"/>
      <w:b/>
      <w:kern w:val="0"/>
      <w:sz w:val="30"/>
      <w:szCs w:val="20"/>
    </w:rPr>
  </w:style>
  <w:style w:type="paragraph" w:customStyle="1" w:styleId="3226">
    <w:name w:val="正文文本 231"/>
    <w:basedOn w:val="1"/>
    <w:qFormat/>
    <w:uiPriority w:val="0"/>
    <w:pPr>
      <w:adjustRightInd w:val="0"/>
      <w:spacing w:line="360" w:lineRule="auto"/>
      <w:ind w:firstLine="480"/>
    </w:pPr>
    <w:rPr>
      <w:rFonts w:ascii="Times New Roman"/>
      <w:sz w:val="24"/>
      <w:szCs w:val="20"/>
    </w:rPr>
  </w:style>
  <w:style w:type="paragraph" w:customStyle="1" w:styleId="3227">
    <w:name w:val="正文部分"/>
    <w:basedOn w:val="1"/>
    <w:qFormat/>
    <w:uiPriority w:val="0"/>
    <w:pPr>
      <w:spacing w:line="360" w:lineRule="auto"/>
      <w:ind w:firstLine="480"/>
    </w:pPr>
    <w:rPr>
      <w:rFonts w:ascii="Arial" w:hAnsi="Arial"/>
      <w:sz w:val="24"/>
      <w:szCs w:val="20"/>
    </w:rPr>
  </w:style>
  <w:style w:type="paragraph" w:customStyle="1" w:styleId="3228">
    <w:name w:val="文本匡小五号 Char Char"/>
    <w:semiHidden/>
    <w:qFormat/>
    <w:uiPriority w:val="0"/>
    <w:pPr>
      <w:jc w:val="center"/>
    </w:pPr>
    <w:rPr>
      <w:rFonts w:ascii="Calibri" w:hAnsi="Calibri" w:eastAsia="仿宋_GB2312" w:cs="Times New Roman"/>
      <w:sz w:val="18"/>
      <w:szCs w:val="24"/>
      <w:lang w:val="en-US" w:eastAsia="zh-CN" w:bidi="ar-SA"/>
    </w:rPr>
  </w:style>
  <w:style w:type="paragraph" w:customStyle="1" w:styleId="3229">
    <w:name w:val="font12"/>
    <w:basedOn w:val="1"/>
    <w:qFormat/>
    <w:uiPriority w:val="0"/>
    <w:pPr>
      <w:widowControl/>
      <w:spacing w:before="100" w:beforeAutospacing="1" w:after="100" w:afterAutospacing="1"/>
      <w:jc w:val="left"/>
    </w:pPr>
    <w:rPr>
      <w:rFonts w:ascii="Batang" w:hAnsi="Batang" w:eastAsia="黑体" w:cs="Batang"/>
      <w:kern w:val="0"/>
      <w:sz w:val="18"/>
      <w:szCs w:val="18"/>
    </w:rPr>
  </w:style>
  <w:style w:type="paragraph" w:customStyle="1" w:styleId="3230">
    <w:name w:val="Char Char Char1 Char Char Char Char Char Char Char Char Char Char1"/>
    <w:basedOn w:val="1"/>
    <w:qFormat/>
    <w:uiPriority w:val="0"/>
    <w:pPr>
      <w:adjustRightInd w:val="0"/>
      <w:spacing w:line="480" w:lineRule="exact"/>
      <w:ind w:left="-54" w:leftChars="-21" w:firstLine="200" w:firstLineChars="200"/>
      <w:jc w:val="left"/>
    </w:pPr>
    <w:rPr>
      <w:rFonts w:ascii="Times New Roman"/>
      <w:sz w:val="21"/>
      <w:szCs w:val="20"/>
    </w:rPr>
  </w:style>
  <w:style w:type="paragraph" w:customStyle="1" w:styleId="3231">
    <w:name w:val="Char Char Char1 Char11"/>
    <w:basedOn w:val="1"/>
    <w:qFormat/>
    <w:uiPriority w:val="0"/>
    <w:pPr>
      <w:adjustRightInd w:val="0"/>
      <w:snapToGrid w:val="0"/>
      <w:spacing w:line="440" w:lineRule="exact"/>
      <w:ind w:left="-45" w:firstLine="200" w:firstLineChars="200"/>
    </w:pPr>
    <w:rPr>
      <w:rFonts w:ascii="Arial Unicode MS" w:hAnsi="Arial Unicode MS" w:cs="Vladimir Script"/>
      <w:sz w:val="21"/>
      <w:szCs w:val="24"/>
    </w:rPr>
  </w:style>
  <w:style w:type="paragraph" w:customStyle="1" w:styleId="3232">
    <w:name w:val="da"/>
    <w:basedOn w:val="1"/>
    <w:qFormat/>
    <w:uiPriority w:val="0"/>
    <w:pPr>
      <w:widowControl/>
      <w:spacing w:before="100" w:beforeAutospacing="1" w:after="100" w:afterAutospacing="1" w:line="270" w:lineRule="atLeast"/>
      <w:jc w:val="left"/>
    </w:pPr>
    <w:rPr>
      <w:rFonts w:ascii="Arial Unicode MS" w:hAnsi="Arial Unicode MS"/>
      <w:kern w:val="0"/>
      <w:sz w:val="21"/>
      <w:szCs w:val="21"/>
    </w:rPr>
  </w:style>
  <w:style w:type="paragraph" w:customStyle="1" w:styleId="3233">
    <w:name w:val="样式 标题 3 + 首行缩进:  0.74 厘米"/>
    <w:basedOn w:val="5"/>
    <w:qFormat/>
    <w:uiPriority w:val="0"/>
    <w:pPr>
      <w:tabs>
        <w:tab w:val="left" w:pos="1571"/>
      </w:tabs>
      <w:spacing w:before="0" w:after="0" w:line="240" w:lineRule="auto"/>
      <w:ind w:left="1418" w:firstLine="420"/>
    </w:pPr>
    <w:rPr>
      <w:rFonts w:cs="宋体"/>
      <w:sz w:val="28"/>
      <w:szCs w:val="20"/>
    </w:rPr>
  </w:style>
  <w:style w:type="paragraph" w:customStyle="1" w:styleId="3234">
    <w:name w:val="样式 样式 四号 首行缩进:  1.92 字符 + 宋体"/>
    <w:basedOn w:val="1"/>
    <w:qFormat/>
    <w:uiPriority w:val="0"/>
    <w:pPr>
      <w:widowControl/>
      <w:ind w:firstLine="560" w:firstLineChars="200"/>
    </w:pPr>
    <w:rPr>
      <w:rFonts w:hAnsi="宋体"/>
      <w:sz w:val="28"/>
      <w:szCs w:val="20"/>
    </w:rPr>
  </w:style>
  <w:style w:type="paragraph" w:customStyle="1" w:styleId="3235">
    <w:name w:val="ENUM"/>
    <w:basedOn w:val="1"/>
    <w:semiHidden/>
    <w:qFormat/>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3236">
    <w:name w:val="样式 Times New Roman 四号 加粗 两端对齐 段前: 6 磅 段后: 6 磅 行距: 固定值 22 磅"/>
    <w:basedOn w:val="1"/>
    <w:qFormat/>
    <w:uiPriority w:val="0"/>
    <w:pPr>
      <w:widowControl/>
      <w:spacing w:before="120" w:after="120" w:line="440" w:lineRule="exact"/>
    </w:pPr>
    <w:rPr>
      <w:rFonts w:ascii="Times New Roman" w:cs="宋体"/>
      <w:b/>
      <w:bCs/>
      <w:kern w:val="0"/>
      <w:sz w:val="28"/>
      <w:szCs w:val="20"/>
    </w:rPr>
  </w:style>
  <w:style w:type="paragraph" w:customStyle="1" w:styleId="3237">
    <w:name w:val="Pa1"/>
    <w:basedOn w:val="1"/>
    <w:next w:val="1"/>
    <w:qFormat/>
    <w:uiPriority w:val="0"/>
    <w:pPr>
      <w:autoSpaceDE w:val="0"/>
      <w:autoSpaceDN w:val="0"/>
      <w:spacing w:line="221" w:lineRule="atLeast"/>
      <w:jc w:val="left"/>
    </w:pPr>
    <w:rPr>
      <w:rFonts w:ascii="黑体" w:hAnsi="黑体" w:eastAsia="黑体"/>
      <w:color w:val="000000"/>
      <w:kern w:val="0"/>
      <w:sz w:val="24"/>
      <w:szCs w:val="20"/>
    </w:rPr>
  </w:style>
  <w:style w:type="paragraph" w:customStyle="1" w:styleId="3238">
    <w:name w:val="标题4+四号"/>
    <w:basedOn w:val="6"/>
    <w:qFormat/>
    <w:uiPriority w:val="0"/>
    <w:pPr>
      <w:keepNext/>
      <w:tabs>
        <w:tab w:val="left" w:pos="851"/>
        <w:tab w:val="left" w:pos="2356"/>
        <w:tab w:val="left" w:pos="4920"/>
        <w:tab w:val="clear" w:pos="360"/>
        <w:tab w:val="clear" w:pos="2207"/>
      </w:tabs>
      <w:adjustRightInd w:val="0"/>
      <w:snapToGrid w:val="0"/>
      <w:spacing w:beforeLines="0" w:afterLines="0" w:line="288" w:lineRule="auto"/>
      <w:ind w:left="851" w:hanging="851"/>
    </w:pPr>
    <w:rPr>
      <w:rFonts w:ascii="Times New Roman" w:hAnsi="Times New Roman" w:eastAsia="仿宋_GB2312"/>
      <w:snapToGrid/>
      <w:color w:val="auto"/>
      <w:kern w:val="0"/>
      <w:sz w:val="28"/>
      <w:szCs w:val="28"/>
    </w:rPr>
  </w:style>
  <w:style w:type="paragraph" w:customStyle="1" w:styleId="3239">
    <w:name w:val="样式 表格标题 + 段前: 0.5 行1"/>
    <w:basedOn w:val="1"/>
    <w:qFormat/>
    <w:uiPriority w:val="0"/>
    <w:pPr>
      <w:autoSpaceDE w:val="0"/>
      <w:autoSpaceDN w:val="0"/>
      <w:adjustRightInd w:val="0"/>
      <w:spacing w:beforeLines="50" w:line="400" w:lineRule="exact"/>
      <w:jc w:val="center"/>
    </w:pPr>
    <w:rPr>
      <w:rFonts w:ascii="@幼圆" w:hAnsi="ˎ̥" w:eastAsia="@幼圆" w:cs="FLGPEK+TimesNewRoman,Italic"/>
      <w:bCs/>
      <w:sz w:val="24"/>
      <w:szCs w:val="20"/>
      <w:lang w:val="zh-CN"/>
    </w:rPr>
  </w:style>
  <w:style w:type="paragraph" w:customStyle="1" w:styleId="3240">
    <w:name w:val="l_text"/>
    <w:basedOn w:val="1"/>
    <w:qFormat/>
    <w:uiPriority w:val="0"/>
    <w:pPr>
      <w:widowControl/>
      <w:overflowPunct w:val="0"/>
      <w:autoSpaceDE w:val="0"/>
      <w:autoSpaceDN w:val="0"/>
      <w:adjustRightInd w:val="0"/>
      <w:spacing w:line="360" w:lineRule="auto"/>
      <w:ind w:firstLine="680"/>
      <w:textAlignment w:val="baseline"/>
    </w:pPr>
    <w:rPr>
      <w:rFonts w:ascii="楷体" w:eastAsia="楷体"/>
      <w:kern w:val="0"/>
      <w:sz w:val="28"/>
      <w:szCs w:val="20"/>
    </w:rPr>
  </w:style>
  <w:style w:type="paragraph" w:customStyle="1" w:styleId="3241">
    <w:name w:val="样式 标题 2样式 2 + 首行缩进:  2 字符"/>
    <w:basedOn w:val="4"/>
    <w:next w:val="4"/>
    <w:qFormat/>
    <w:uiPriority w:val="0"/>
    <w:pPr>
      <w:tabs>
        <w:tab w:val="left" w:pos="992"/>
        <w:tab w:val="left" w:pos="1080"/>
        <w:tab w:val="left" w:pos="2880"/>
      </w:tabs>
      <w:adjustRightInd w:val="0"/>
      <w:spacing w:before="156" w:after="156" w:line="400" w:lineRule="exact"/>
      <w:textAlignment w:val="baseline"/>
    </w:pPr>
    <w:rPr>
      <w:rFonts w:ascii="Times New Roman" w:hAnsi="Times New Roman" w:eastAsia="黑体"/>
      <w:b w:val="0"/>
      <w:bCs w:val="0"/>
      <w:snapToGrid/>
      <w:spacing w:val="4"/>
    </w:rPr>
  </w:style>
  <w:style w:type="paragraph" w:customStyle="1" w:styleId="3242">
    <w:name w:val="编号4号"/>
    <w:basedOn w:val="1"/>
    <w:qFormat/>
    <w:uiPriority w:val="0"/>
    <w:pPr>
      <w:widowControl/>
      <w:snapToGrid w:val="0"/>
      <w:spacing w:line="312" w:lineRule="auto"/>
    </w:pPr>
    <w:rPr>
      <w:rFonts w:ascii="Arial" w:hAnsi="Arial" w:cs="Arial"/>
      <w:sz w:val="21"/>
      <w:szCs w:val="24"/>
    </w:rPr>
  </w:style>
  <w:style w:type="paragraph" w:customStyle="1" w:styleId="3243">
    <w:name w:val="样式 首行缩进:  2 字符 行距: 1.5 倍行距"/>
    <w:basedOn w:val="1"/>
    <w:qFormat/>
    <w:uiPriority w:val="0"/>
    <w:pPr>
      <w:spacing w:line="440" w:lineRule="exact"/>
      <w:ind w:firstLine="200" w:firstLineChars="200"/>
    </w:pPr>
    <w:rPr>
      <w:rFonts w:ascii="Arial Unicode MS" w:hAnsi="Arial Unicode MS" w:cs="Sim Sun"/>
      <w:sz w:val="24"/>
      <w:szCs w:val="20"/>
    </w:rPr>
  </w:style>
  <w:style w:type="paragraph" w:customStyle="1" w:styleId="3244">
    <w:name w:val="表格文字自调"/>
    <w:basedOn w:val="42"/>
    <w:qFormat/>
    <w:uiPriority w:val="0"/>
    <w:pPr>
      <w:jc w:val="center"/>
    </w:pPr>
    <w:rPr>
      <w:rFonts w:ascii="Times New Roman" w:hAnsi="Times New Roman"/>
      <w:spacing w:val="0"/>
      <w:sz w:val="24"/>
      <w:szCs w:val="21"/>
    </w:rPr>
  </w:style>
  <w:style w:type="paragraph" w:customStyle="1" w:styleId="3245">
    <w:name w:val="Char1 Char Char Char Char Char Char3"/>
    <w:basedOn w:val="1"/>
    <w:qFormat/>
    <w:uiPriority w:val="0"/>
    <w:rPr>
      <w:rFonts w:ascii="Tahoma" w:hAnsi="Tahoma"/>
      <w:sz w:val="24"/>
      <w:szCs w:val="20"/>
    </w:rPr>
  </w:style>
  <w:style w:type="paragraph" w:customStyle="1" w:styleId="3246">
    <w:name w:val="CM108"/>
    <w:basedOn w:val="154"/>
    <w:next w:val="154"/>
    <w:qFormat/>
    <w:uiPriority w:val="0"/>
    <w:pPr>
      <w:spacing w:after="78"/>
    </w:pPr>
    <w:rPr>
      <w:rFonts w:ascii="黑体" w:hAnsi="Batang" w:eastAsia="黑体" w:cs="Batang"/>
      <w:color w:val="auto"/>
      <w:kern w:val="2"/>
    </w:rPr>
  </w:style>
  <w:style w:type="paragraph" w:customStyle="1" w:styleId="3247">
    <w:name w:val="正文图五"/>
    <w:basedOn w:val="1"/>
    <w:semiHidden/>
    <w:qFormat/>
    <w:uiPriority w:val="0"/>
    <w:pPr>
      <w:adjustRightInd w:val="0"/>
      <w:snapToGrid w:val="0"/>
      <w:jc w:val="center"/>
    </w:pPr>
    <w:rPr>
      <w:rFonts w:ascii="Times New Roman" w:eastAsia="仿宋_GB2312"/>
      <w:spacing w:val="6"/>
      <w:sz w:val="21"/>
      <w:szCs w:val="20"/>
    </w:rPr>
  </w:style>
  <w:style w:type="paragraph" w:customStyle="1" w:styleId="3248">
    <w:name w:val="Char Char Char Char Char Char Char Char Char Char4"/>
    <w:basedOn w:val="1"/>
    <w:qFormat/>
    <w:uiPriority w:val="0"/>
    <w:pPr>
      <w:spacing w:line="360" w:lineRule="auto"/>
      <w:ind w:firstLine="200" w:firstLineChars="200"/>
    </w:pPr>
    <w:rPr>
      <w:rFonts w:hAnsi="宋体" w:cs="宋体"/>
      <w:sz w:val="24"/>
      <w:szCs w:val="24"/>
    </w:rPr>
  </w:style>
  <w:style w:type="paragraph" w:customStyle="1" w:styleId="3249">
    <w:name w:val="回信地址"/>
    <w:basedOn w:val="1"/>
    <w:qFormat/>
    <w:uiPriority w:val="0"/>
    <w:pPr>
      <w:keepLines/>
      <w:framePr w:w="2160" w:h="1200" w:wrap="notBeside" w:vAnchor="page" w:hAnchor="page" w:x="9241" w:y="673" w:anchorLock="1"/>
      <w:widowControl/>
      <w:spacing w:line="220" w:lineRule="atLeast"/>
      <w:ind w:left="1080"/>
      <w:jc w:val="left"/>
    </w:pPr>
    <w:rPr>
      <w:rFonts w:ascii="Times New Roman"/>
      <w:kern w:val="0"/>
      <w:sz w:val="15"/>
      <w:szCs w:val="20"/>
    </w:rPr>
  </w:style>
  <w:style w:type="paragraph" w:customStyle="1" w:styleId="3250">
    <w:name w:val="部分标签"/>
    <w:basedOn w:val="1610"/>
    <w:next w:val="1"/>
    <w:qFormat/>
    <w:uiPriority w:val="0"/>
    <w:pPr>
      <w:keepNext/>
      <w:keepLines/>
      <w:spacing w:before="400" w:after="440" w:line="220" w:lineRule="atLeast"/>
      <w:ind w:left="1080"/>
    </w:pPr>
    <w:rPr>
      <w:spacing w:val="-30"/>
      <w:kern w:val="28"/>
      <w:sz w:val="60"/>
    </w:rPr>
  </w:style>
  <w:style w:type="paragraph" w:customStyle="1" w:styleId="3251">
    <w:name w:val="p18"/>
    <w:basedOn w:val="1"/>
    <w:qFormat/>
    <w:uiPriority w:val="0"/>
    <w:pPr>
      <w:widowControl/>
    </w:pPr>
    <w:rPr>
      <w:rFonts w:ascii="Times New Roman"/>
      <w:kern w:val="0"/>
      <w:sz w:val="21"/>
      <w:szCs w:val="21"/>
    </w:rPr>
  </w:style>
  <w:style w:type="paragraph" w:customStyle="1" w:styleId="3252">
    <w:name w:val="CM113"/>
    <w:basedOn w:val="154"/>
    <w:next w:val="154"/>
    <w:qFormat/>
    <w:uiPriority w:val="0"/>
    <w:pPr>
      <w:spacing w:after="62"/>
    </w:pPr>
    <w:rPr>
      <w:rFonts w:ascii="黑体" w:hAnsi="Batang" w:eastAsia="黑体" w:cs="Batang"/>
      <w:color w:val="auto"/>
      <w:kern w:val="2"/>
    </w:rPr>
  </w:style>
  <w:style w:type="paragraph" w:customStyle="1" w:styleId="3253">
    <w:name w:val="样式 标题 4 + 行距: 固定值 24 磅"/>
    <w:basedOn w:val="6"/>
    <w:qFormat/>
    <w:uiPriority w:val="0"/>
    <w:pPr>
      <w:keepNext/>
      <w:keepLines/>
      <w:tabs>
        <w:tab w:val="left" w:pos="2356"/>
        <w:tab w:val="clear" w:pos="360"/>
        <w:tab w:val="clear" w:pos="2207"/>
      </w:tabs>
      <w:spacing w:beforeLines="0" w:afterLines="0" w:line="376" w:lineRule="auto"/>
      <w:ind w:left="1984" w:hanging="708"/>
    </w:pPr>
    <w:rPr>
      <w:rFonts w:ascii="Arial" w:hAnsi="Arial"/>
      <w:b/>
      <w:bCs/>
      <w:snapToGrid/>
      <w:color w:val="auto"/>
      <w:sz w:val="28"/>
      <w:szCs w:val="28"/>
    </w:rPr>
  </w:style>
  <w:style w:type="paragraph" w:customStyle="1" w:styleId="3254">
    <w:name w:val="表题 Char Char"/>
    <w:basedOn w:val="1"/>
    <w:qFormat/>
    <w:uiPriority w:val="0"/>
    <w:pPr>
      <w:spacing w:line="360" w:lineRule="auto"/>
      <w:ind w:firstLine="480" w:firstLineChars="200"/>
    </w:pPr>
    <w:rPr>
      <w:rFonts w:hAnsi="宋体"/>
      <w:bCs/>
      <w:sz w:val="24"/>
      <w:szCs w:val="24"/>
    </w:rPr>
  </w:style>
  <w:style w:type="paragraph" w:customStyle="1" w:styleId="3255">
    <w:name w:val="目录 11"/>
    <w:basedOn w:val="1"/>
    <w:next w:val="1"/>
    <w:qFormat/>
    <w:uiPriority w:val="0"/>
    <w:pPr>
      <w:tabs>
        <w:tab w:val="right" w:leader="dot" w:pos="8777"/>
      </w:tabs>
      <w:spacing w:before="120" w:after="120"/>
    </w:pPr>
    <w:rPr>
      <w:rFonts w:hint="eastAsia" w:ascii="Times New Roman"/>
      <w:caps/>
      <w:color w:val="000000"/>
      <w:sz w:val="24"/>
      <w:szCs w:val="20"/>
    </w:rPr>
  </w:style>
  <w:style w:type="paragraph" w:customStyle="1" w:styleId="3256">
    <w:name w:val="样式 正文首行缩进 + 首行缩进:  1 字符"/>
    <w:basedOn w:val="82"/>
    <w:qFormat/>
    <w:uiPriority w:val="0"/>
    <w:pPr>
      <w:spacing w:after="0"/>
      <w:ind w:firstLine="100"/>
    </w:pPr>
    <w:rPr>
      <w:rFonts w:hint="default" w:ascii="Times New Roman" w:hAnsi="Times New Roman"/>
      <w:szCs w:val="20"/>
    </w:rPr>
  </w:style>
  <w:style w:type="paragraph" w:customStyle="1" w:styleId="3257">
    <w:name w:val="封面单位"/>
    <w:basedOn w:val="1"/>
    <w:qFormat/>
    <w:uiPriority w:val="0"/>
    <w:pPr>
      <w:adjustRightInd w:val="0"/>
      <w:snapToGrid w:val="0"/>
      <w:spacing w:line="360" w:lineRule="auto"/>
      <w:jc w:val="center"/>
    </w:pPr>
    <w:rPr>
      <w:rFonts w:ascii="Times New Roman"/>
      <w:b/>
      <w:bCs/>
      <w:kern w:val="0"/>
      <w:sz w:val="36"/>
      <w:szCs w:val="24"/>
    </w:rPr>
  </w:style>
  <w:style w:type="paragraph" w:customStyle="1" w:styleId="3258">
    <w:name w:val="a表头zzzzzzzzzzzzzz"/>
    <w:basedOn w:val="1"/>
    <w:next w:val="1"/>
    <w:qFormat/>
    <w:uiPriority w:val="0"/>
    <w:pPr>
      <w:spacing w:before="62" w:after="62" w:line="520" w:lineRule="exact"/>
      <w:ind w:firstLine="200" w:firstLineChars="200"/>
      <w:jc w:val="center"/>
    </w:pPr>
    <w:rPr>
      <w:rFonts w:ascii="Times New Roman" w:cs="宋体"/>
      <w:b/>
      <w:sz w:val="24"/>
      <w:szCs w:val="20"/>
    </w:rPr>
  </w:style>
  <w:style w:type="paragraph" w:customStyle="1" w:styleId="3259">
    <w:name w:val="标题40"/>
    <w:basedOn w:val="2283"/>
    <w:qFormat/>
    <w:uiPriority w:val="0"/>
    <w:pPr>
      <w:tabs>
        <w:tab w:val="clear" w:pos="0"/>
      </w:tabs>
      <w:spacing w:beforeLines="50" w:line="360" w:lineRule="auto"/>
      <w:ind w:firstLine="0" w:firstLineChars="0"/>
      <w:jc w:val="both"/>
      <w:outlineLvl w:val="3"/>
    </w:pPr>
    <w:rPr>
      <w:rFonts w:ascii="Sim Sun" w:hAnsi="Sim Sun"/>
      <w:bCs/>
      <w:snapToGrid w:val="0"/>
      <w:color w:val="auto"/>
    </w:rPr>
  </w:style>
  <w:style w:type="paragraph" w:customStyle="1" w:styleId="3260">
    <w:name w:val="1112"/>
    <w:basedOn w:val="1"/>
    <w:qFormat/>
    <w:uiPriority w:val="0"/>
    <w:pPr>
      <w:spacing w:line="375" w:lineRule="atLeast"/>
      <w:ind w:firstLine="128" w:firstLineChars="50"/>
      <w:jc w:val="left"/>
    </w:pPr>
    <w:rPr>
      <w:rFonts w:ascii="Times New Roman"/>
      <w:sz w:val="21"/>
      <w:szCs w:val="24"/>
    </w:rPr>
  </w:style>
  <w:style w:type="paragraph" w:customStyle="1" w:styleId="3261">
    <w:name w:val="样式 样式 样式 首行缩进:  2 字符 + 左侧:  4 字符 首行缩进:  2 字符 + 左侧:  4 字符"/>
    <w:basedOn w:val="1"/>
    <w:qFormat/>
    <w:uiPriority w:val="0"/>
    <w:pPr>
      <w:spacing w:line="400" w:lineRule="exact"/>
      <w:ind w:left="300" w:leftChars="300"/>
    </w:pPr>
    <w:rPr>
      <w:rFonts w:ascii="Times New Roman" w:cs="宋体"/>
      <w:sz w:val="24"/>
      <w:szCs w:val="20"/>
    </w:rPr>
  </w:style>
  <w:style w:type="paragraph" w:customStyle="1" w:styleId="3262">
    <w:name w:val="样式 首行缩进:  2 字符13"/>
    <w:basedOn w:val="1"/>
    <w:qFormat/>
    <w:uiPriority w:val="0"/>
    <w:pPr>
      <w:spacing w:line="520" w:lineRule="exact"/>
      <w:ind w:firstLine="560"/>
      <w:jc w:val="left"/>
    </w:pPr>
    <w:rPr>
      <w:rFonts w:ascii="Times New Roman"/>
      <w:sz w:val="24"/>
      <w:szCs w:val="24"/>
    </w:rPr>
  </w:style>
  <w:style w:type="paragraph" w:customStyle="1" w:styleId="3263">
    <w:name w:val="w4"/>
    <w:basedOn w:val="1"/>
    <w:next w:val="5"/>
    <w:qFormat/>
    <w:uiPriority w:val="0"/>
    <w:pPr>
      <w:adjustRightInd w:val="0"/>
      <w:snapToGrid w:val="0"/>
      <w:textAlignment w:val="baseline"/>
    </w:pPr>
    <w:rPr>
      <w:rFonts w:hAnsi="宋体"/>
      <w:kern w:val="0"/>
      <w:sz w:val="28"/>
      <w:szCs w:val="20"/>
    </w:rPr>
  </w:style>
  <w:style w:type="paragraph" w:customStyle="1" w:styleId="3264">
    <w:name w:val="Char Char Char Char Char Char Char Char Char Char Char1"/>
    <w:basedOn w:val="1"/>
    <w:qFormat/>
    <w:uiPriority w:val="0"/>
    <w:rPr>
      <w:rFonts w:ascii="Batang" w:hAnsi="Batang" w:cs="Batang"/>
      <w:sz w:val="21"/>
      <w:szCs w:val="24"/>
    </w:rPr>
  </w:style>
  <w:style w:type="paragraph" w:customStyle="1" w:styleId="3265">
    <w:name w:val="样式 样式 样式 标题 1 + 段前: 1.5 行 + 段前: 1.5 行"/>
    <w:qFormat/>
    <w:uiPriority w:val="0"/>
    <w:pPr>
      <w:tabs>
        <w:tab w:val="left" w:pos="425"/>
      </w:tabs>
    </w:pPr>
    <w:rPr>
      <w:rFonts w:ascii="Times New Roman" w:hAnsi="Times New Roman" w:eastAsia="宋体" w:cs="Times New Roman"/>
      <w:lang w:val="en-US" w:eastAsia="zh-CN" w:bidi="ar-SA"/>
    </w:rPr>
  </w:style>
  <w:style w:type="paragraph" w:customStyle="1" w:styleId="3266">
    <w:name w:val="样式 样式 标题 1 + 段前: 1.5 行"/>
    <w:basedOn w:val="3139"/>
    <w:qFormat/>
    <w:uiPriority w:val="0"/>
    <w:pPr>
      <w:spacing w:beforeLines="50"/>
    </w:pPr>
  </w:style>
  <w:style w:type="paragraph" w:customStyle="1" w:styleId="3267">
    <w:name w:val="节标签"/>
    <w:basedOn w:val="1610"/>
    <w:next w:val="32"/>
    <w:qFormat/>
    <w:uiPriority w:val="0"/>
    <w:pPr>
      <w:keepNext/>
      <w:keepLines/>
      <w:spacing w:before="400" w:after="440" w:line="220" w:lineRule="atLeast"/>
      <w:ind w:left="1080"/>
    </w:pPr>
    <w:rPr>
      <w:spacing w:val="-30"/>
      <w:kern w:val="28"/>
      <w:sz w:val="60"/>
    </w:rPr>
  </w:style>
  <w:style w:type="paragraph" w:customStyle="1" w:styleId="3268">
    <w:name w:val="正文0"/>
    <w:basedOn w:val="1"/>
    <w:qFormat/>
    <w:uiPriority w:val="0"/>
    <w:pPr>
      <w:ind w:firstLine="763" w:firstLineChars="298"/>
    </w:pPr>
    <w:rPr>
      <w:rFonts w:ascii="楷体_GB2312" w:eastAsia="楷体_GB2312"/>
      <w:sz w:val="28"/>
      <w:szCs w:val="28"/>
    </w:rPr>
  </w:style>
  <w:style w:type="paragraph" w:customStyle="1" w:styleId="3269">
    <w:name w:val="表格标题—小四"/>
    <w:basedOn w:val="1"/>
    <w:qFormat/>
    <w:uiPriority w:val="0"/>
    <w:pPr>
      <w:tabs>
        <w:tab w:val="left" w:pos="857"/>
      </w:tabs>
      <w:spacing w:before="100" w:beforeAutospacing="1"/>
      <w:ind w:left="857" w:hanging="375"/>
      <w:jc w:val="center"/>
    </w:pPr>
    <w:rPr>
      <w:rFonts w:ascii="Times New Roman"/>
      <w:b/>
      <w:sz w:val="24"/>
      <w:szCs w:val="24"/>
    </w:rPr>
  </w:style>
  <w:style w:type="paragraph" w:customStyle="1" w:styleId="3270">
    <w:name w:val="封面工程名"/>
    <w:basedOn w:val="1"/>
    <w:qFormat/>
    <w:uiPriority w:val="0"/>
    <w:pPr>
      <w:adjustRightInd w:val="0"/>
      <w:snapToGrid w:val="0"/>
      <w:spacing w:line="360" w:lineRule="auto"/>
      <w:jc w:val="center"/>
    </w:pPr>
    <w:rPr>
      <w:rFonts w:ascii="Times New Roman" w:eastAsia="华文中宋"/>
      <w:b/>
      <w:bCs/>
      <w:snapToGrid w:val="0"/>
      <w:kern w:val="0"/>
      <w:sz w:val="36"/>
      <w:szCs w:val="24"/>
    </w:rPr>
  </w:style>
  <w:style w:type="paragraph" w:customStyle="1" w:styleId="3271">
    <w:name w:val="样式 样式3 + 宋体 行距: 固定值 22 磅"/>
    <w:basedOn w:val="1"/>
    <w:qFormat/>
    <w:uiPriority w:val="0"/>
    <w:pPr>
      <w:spacing w:line="440" w:lineRule="exact"/>
      <w:ind w:firstLine="200" w:firstLineChars="200"/>
    </w:pPr>
    <w:rPr>
      <w:rFonts w:hAnsi="宋体" w:cs="宋体"/>
      <w:sz w:val="24"/>
      <w:szCs w:val="20"/>
    </w:rPr>
  </w:style>
  <w:style w:type="paragraph" w:customStyle="1" w:styleId="3272">
    <w:name w:val="Char Char Char1 Char Char Char Char Char Char Char Char Char Char Char Char Char Char Char Char Char Char Char Char Char Char1"/>
    <w:basedOn w:val="1"/>
    <w:qFormat/>
    <w:uiPriority w:val="0"/>
    <w:rPr>
      <w:rFonts w:hAnsi="宋体" w:cs="Courier New"/>
      <w:sz w:val="32"/>
      <w:szCs w:val="32"/>
    </w:rPr>
  </w:style>
  <w:style w:type="paragraph" w:customStyle="1" w:styleId="3273">
    <w:name w:val="表左"/>
    <w:basedOn w:val="1"/>
    <w:semiHidden/>
    <w:qFormat/>
    <w:uiPriority w:val="0"/>
    <w:pPr>
      <w:spacing w:line="280" w:lineRule="exact"/>
      <w:jc w:val="left"/>
    </w:pPr>
    <w:rPr>
      <w:color w:val="000000"/>
      <w:sz w:val="18"/>
      <w:szCs w:val="24"/>
    </w:rPr>
  </w:style>
  <w:style w:type="paragraph" w:customStyle="1" w:styleId="3274">
    <w:name w:val="reader-word-layer reader-word-s3-7"/>
    <w:basedOn w:val="1"/>
    <w:qFormat/>
    <w:uiPriority w:val="0"/>
    <w:pPr>
      <w:widowControl/>
      <w:spacing w:before="100" w:beforeAutospacing="1" w:after="100" w:afterAutospacing="1"/>
      <w:jc w:val="left"/>
    </w:pPr>
    <w:rPr>
      <w:rFonts w:hAnsi="宋体" w:cs="宋体"/>
      <w:kern w:val="0"/>
      <w:sz w:val="24"/>
      <w:szCs w:val="24"/>
    </w:rPr>
  </w:style>
  <w:style w:type="paragraph" w:customStyle="1" w:styleId="3275">
    <w:name w:val="页脚2"/>
    <w:basedOn w:val="51"/>
    <w:qFormat/>
    <w:uiPriority w:val="0"/>
    <w:pPr>
      <w:spacing w:line="240" w:lineRule="atLeast"/>
      <w:ind w:right="360"/>
    </w:pPr>
    <w:rPr>
      <w:rFonts w:ascii="仿宋_GB2312" w:eastAsia="宋体"/>
      <w:b/>
      <w:snapToGrid/>
      <w:sz w:val="21"/>
      <w:szCs w:val="21"/>
    </w:rPr>
  </w:style>
  <w:style w:type="paragraph" w:customStyle="1" w:styleId="3276">
    <w:name w:val="Char1 Char Char Char Char Char Char2"/>
    <w:basedOn w:val="1"/>
    <w:qFormat/>
    <w:uiPriority w:val="0"/>
    <w:rPr>
      <w:rFonts w:ascii="Tahoma" w:hAnsi="Tahoma"/>
      <w:sz w:val="24"/>
      <w:szCs w:val="20"/>
    </w:rPr>
  </w:style>
  <w:style w:type="paragraph" w:customStyle="1" w:styleId="3277">
    <w:name w:val="样式 标题 4 + Times New Roman"/>
    <w:basedOn w:val="6"/>
    <w:qFormat/>
    <w:uiPriority w:val="0"/>
    <w:pPr>
      <w:keepNext/>
      <w:keepLines/>
      <w:tabs>
        <w:tab w:val="left" w:pos="1920"/>
        <w:tab w:val="left" w:pos="2356"/>
        <w:tab w:val="clear" w:pos="360"/>
        <w:tab w:val="clear" w:pos="2207"/>
      </w:tabs>
      <w:spacing w:before="280" w:after="290" w:line="460" w:lineRule="exact"/>
      <w:ind w:left="1920" w:hanging="420"/>
    </w:pPr>
    <w:rPr>
      <w:rFonts w:ascii="Times New Roman" w:hAnsi="Times New Roman"/>
      <w:snapToGrid/>
      <w:color w:val="auto"/>
    </w:rPr>
  </w:style>
  <w:style w:type="paragraph" w:customStyle="1" w:styleId="3278">
    <w:name w:val="Document Label"/>
    <w:basedOn w:val="1"/>
    <w:next w:val="1"/>
    <w:qFormat/>
    <w:uiPriority w:val="0"/>
    <w:pPr>
      <w:widowControl/>
      <w:spacing w:after="220" w:line="440" w:lineRule="exact"/>
      <w:ind w:right="-360" w:firstLine="200" w:firstLineChars="200"/>
      <w:jc w:val="left"/>
    </w:pPr>
    <w:rPr>
      <w:rFonts w:ascii="Arial Unicode MS" w:hAnsi="Arial Unicode MS" w:cs="Vladimir Script"/>
      <w:spacing w:val="-20"/>
      <w:kern w:val="0"/>
      <w:sz w:val="48"/>
      <w:szCs w:val="20"/>
    </w:rPr>
  </w:style>
  <w:style w:type="paragraph" w:customStyle="1" w:styleId="3279">
    <w:name w:val="索引标题1"/>
    <w:basedOn w:val="1"/>
    <w:qFormat/>
    <w:uiPriority w:val="0"/>
    <w:pPr>
      <w:spacing w:line="440" w:lineRule="exact"/>
      <w:ind w:firstLine="200" w:firstLineChars="200"/>
    </w:pPr>
    <w:rPr>
      <w:rFonts w:ascii="Arial Unicode MS" w:hAnsi="Arial Unicode MS" w:cs="Vladimir Script"/>
      <w:sz w:val="21"/>
      <w:szCs w:val="24"/>
    </w:rPr>
  </w:style>
  <w:style w:type="paragraph" w:customStyle="1" w:styleId="3280">
    <w:name w:val="索引 11"/>
    <w:basedOn w:val="1"/>
    <w:next w:val="1"/>
    <w:qFormat/>
    <w:uiPriority w:val="0"/>
    <w:pPr>
      <w:tabs>
        <w:tab w:val="left" w:pos="3420"/>
      </w:tabs>
      <w:spacing w:line="380" w:lineRule="exact"/>
      <w:ind w:firstLine="200" w:firstLineChars="200"/>
      <w:jc w:val="center"/>
    </w:pPr>
    <w:rPr>
      <w:rFonts w:ascii="Arial Unicode MS" w:hAnsi="Arial Unicode MS" w:cs="Vladimir Script"/>
      <w:sz w:val="24"/>
      <w:szCs w:val="20"/>
    </w:rPr>
  </w:style>
  <w:style w:type="paragraph" w:customStyle="1" w:styleId="3281">
    <w:name w:val="xl72"/>
    <w:basedOn w:val="1"/>
    <w:qFormat/>
    <w:uiPriority w:val="0"/>
    <w:pPr>
      <w:widowControl/>
      <w:pBdr>
        <w:top w:val="single" w:color="auto" w:sz="8" w:space="0"/>
        <w:left w:val="single" w:color="auto" w:sz="4" w:space="0"/>
      </w:pBdr>
      <w:spacing w:before="100" w:after="100"/>
      <w:jc w:val="center"/>
      <w:textAlignment w:val="center"/>
    </w:pPr>
    <w:rPr>
      <w:rFonts w:ascii="Sim Sun" w:hAnsi="Sim Sun" w:cs="Batang"/>
      <w:kern w:val="0"/>
      <w:sz w:val="24"/>
      <w:szCs w:val="24"/>
    </w:rPr>
  </w:style>
  <w:style w:type="paragraph" w:customStyle="1" w:styleId="3282">
    <w:name w:val="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83">
    <w:name w:val="ac三级标题zzzzz"/>
    <w:basedOn w:val="1"/>
    <w:next w:val="1"/>
    <w:qFormat/>
    <w:uiPriority w:val="0"/>
    <w:pPr>
      <w:keepNext/>
      <w:keepLines/>
      <w:spacing w:line="520" w:lineRule="exact"/>
      <w:outlineLvl w:val="2"/>
    </w:pPr>
    <w:rPr>
      <w:rFonts w:ascii="Times New Roman" w:cs="宋体"/>
      <w:b/>
      <w:bCs/>
      <w:sz w:val="24"/>
      <w:szCs w:val="20"/>
    </w:rPr>
  </w:style>
  <w:style w:type="paragraph" w:customStyle="1" w:styleId="3284">
    <w:name w:val="表格样式"/>
    <w:basedOn w:val="1"/>
    <w:qFormat/>
    <w:uiPriority w:val="0"/>
    <w:pPr>
      <w:jc w:val="center"/>
    </w:pPr>
    <w:rPr>
      <w:rFonts w:hAnsi="宋体" w:cs="Arial Unicode MS"/>
      <w:sz w:val="21"/>
      <w:szCs w:val="24"/>
    </w:rPr>
  </w:style>
  <w:style w:type="paragraph" w:customStyle="1" w:styleId="3285">
    <w:name w:val="reader-word-layer reader-word-s21-4"/>
    <w:basedOn w:val="1"/>
    <w:qFormat/>
    <w:uiPriority w:val="0"/>
    <w:pPr>
      <w:widowControl/>
      <w:spacing w:before="100" w:beforeAutospacing="1" w:after="100" w:afterAutospacing="1"/>
      <w:jc w:val="left"/>
    </w:pPr>
    <w:rPr>
      <w:rFonts w:hAnsi="宋体" w:cs="宋体"/>
      <w:kern w:val="0"/>
      <w:sz w:val="24"/>
      <w:szCs w:val="24"/>
    </w:rPr>
  </w:style>
  <w:style w:type="paragraph" w:customStyle="1" w:styleId="3286">
    <w:name w:val="Pa3"/>
    <w:basedOn w:val="154"/>
    <w:next w:val="154"/>
    <w:qFormat/>
    <w:uiPriority w:val="0"/>
    <w:pPr>
      <w:adjustRightInd/>
      <w:spacing w:line="241" w:lineRule="atLeast"/>
    </w:pPr>
    <w:rPr>
      <w:rFonts w:ascii="黑体" w:hAnsi="黑体" w:eastAsia="黑体" w:cs="Times New Roman"/>
      <w:kern w:val="2"/>
      <w:szCs w:val="20"/>
    </w:rPr>
  </w:style>
  <w:style w:type="paragraph" w:customStyle="1" w:styleId="3287">
    <w:name w:val="Char Char 字元 字元 字元 Char Char Char Char1"/>
    <w:basedOn w:val="1"/>
    <w:qFormat/>
    <w:uiPriority w:val="0"/>
    <w:pPr>
      <w:adjustRightInd w:val="0"/>
      <w:spacing w:line="360" w:lineRule="auto"/>
    </w:pPr>
    <w:rPr>
      <w:rFonts w:ascii="Times New Roman"/>
      <w:kern w:val="0"/>
      <w:sz w:val="24"/>
      <w:szCs w:val="20"/>
    </w:rPr>
  </w:style>
  <w:style w:type="paragraph" w:customStyle="1" w:styleId="3288">
    <w:name w:val="CM106"/>
    <w:basedOn w:val="154"/>
    <w:next w:val="154"/>
    <w:qFormat/>
    <w:uiPriority w:val="0"/>
    <w:pPr>
      <w:spacing w:after="653"/>
    </w:pPr>
    <w:rPr>
      <w:rFonts w:ascii="黑体" w:hAnsi="Batang" w:eastAsia="黑体" w:cs="Batang"/>
      <w:color w:val="auto"/>
      <w:kern w:val="2"/>
    </w:rPr>
  </w:style>
  <w:style w:type="paragraph" w:customStyle="1" w:styleId="3289">
    <w:name w:val="样式 标题 4表图题H4 + 段前: 0.5 行"/>
    <w:basedOn w:val="6"/>
    <w:next w:val="276"/>
    <w:qFormat/>
    <w:uiPriority w:val="0"/>
    <w:pPr>
      <w:keepNext/>
      <w:keepLines/>
      <w:tabs>
        <w:tab w:val="left" w:pos="864"/>
        <w:tab w:val="left" w:pos="2160"/>
        <w:tab w:val="left" w:pos="2356"/>
        <w:tab w:val="clear" w:pos="360"/>
        <w:tab w:val="clear" w:pos="2207"/>
      </w:tabs>
      <w:spacing w:beforeLines="0" w:afterLines="0" w:line="377" w:lineRule="auto"/>
      <w:ind w:left="2160" w:hanging="420"/>
    </w:pPr>
    <w:rPr>
      <w:rFonts w:ascii="Arial" w:hAnsi="Arial" w:eastAsia="宋体" w:cs="宋体"/>
      <w:snapToGrid/>
      <w:color w:val="auto"/>
    </w:rPr>
  </w:style>
  <w:style w:type="paragraph" w:customStyle="1" w:styleId="3290">
    <w:name w:val="表内5"/>
    <w:basedOn w:val="1"/>
    <w:qFormat/>
    <w:uiPriority w:val="0"/>
    <w:pPr>
      <w:adjustRightInd w:val="0"/>
      <w:snapToGrid w:val="0"/>
      <w:spacing w:line="300" w:lineRule="auto"/>
      <w:ind w:firstLine="200" w:firstLineChars="200"/>
      <w:jc w:val="left"/>
    </w:pPr>
    <w:rPr>
      <w:rFonts w:ascii="Sim Sun" w:hAnsi="Arial Unicode MS" w:cs="Vladimir Script"/>
      <w:sz w:val="21"/>
      <w:szCs w:val="20"/>
    </w:rPr>
  </w:style>
  <w:style w:type="paragraph" w:customStyle="1" w:styleId="3291">
    <w:name w:val="Normal - Schedule"/>
    <w:qFormat/>
    <w:uiPriority w:val="0"/>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Calibri" w:hAnsi="Calibri" w:eastAsia="宋体" w:cs="Times New Roman"/>
      <w:lang w:val="en-AU" w:eastAsia="en-US" w:bidi="ar-SA"/>
    </w:rPr>
  </w:style>
  <w:style w:type="paragraph" w:customStyle="1" w:styleId="3292">
    <w:name w:val="标题3+ Char"/>
    <w:basedOn w:val="5"/>
    <w:semiHidden/>
    <w:qFormat/>
    <w:uiPriority w:val="0"/>
    <w:pPr>
      <w:tabs>
        <w:tab w:val="left" w:pos="1571"/>
      </w:tabs>
      <w:spacing w:line="413" w:lineRule="auto"/>
      <w:ind w:left="1418" w:hanging="567"/>
    </w:pPr>
    <w:rPr>
      <w:bCs w:val="0"/>
      <w:sz w:val="32"/>
      <w:szCs w:val="20"/>
    </w:rPr>
  </w:style>
  <w:style w:type="paragraph" w:customStyle="1" w:styleId="3293">
    <w:name w:val="纯文本3"/>
    <w:basedOn w:val="1"/>
    <w:qFormat/>
    <w:uiPriority w:val="0"/>
    <w:rPr>
      <w:rFonts w:ascii="Courier New" w:hAnsi="Courier New"/>
      <w:sz w:val="15"/>
      <w:szCs w:val="20"/>
    </w:rPr>
  </w:style>
  <w:style w:type="paragraph" w:customStyle="1" w:styleId="3294">
    <w:name w:val="称呼1"/>
    <w:basedOn w:val="1"/>
    <w:next w:val="1"/>
    <w:qFormat/>
    <w:uiPriority w:val="0"/>
    <w:pPr>
      <w:spacing w:line="440" w:lineRule="exact"/>
      <w:ind w:firstLine="200" w:firstLineChars="200"/>
    </w:pPr>
    <w:rPr>
      <w:rFonts w:ascii="Arial Unicode MS" w:hAnsi="Arial Unicode MS" w:eastAsia="Times New Roman"/>
      <w:kern w:val="0"/>
      <w:sz w:val="28"/>
      <w:szCs w:val="20"/>
    </w:rPr>
  </w:style>
  <w:style w:type="paragraph" w:customStyle="1" w:styleId="3295">
    <w:name w:val="标题71"/>
    <w:basedOn w:val="1"/>
    <w:next w:val="1"/>
    <w:qFormat/>
    <w:uiPriority w:val="0"/>
    <w:pPr>
      <w:jc w:val="center"/>
    </w:pPr>
    <w:rPr>
      <w:rFonts w:ascii="Times New Roman" w:eastAsia="黑体"/>
      <w:sz w:val="32"/>
      <w:szCs w:val="20"/>
    </w:rPr>
  </w:style>
  <w:style w:type="paragraph" w:customStyle="1" w:styleId="3296">
    <w:name w:val="CM122"/>
    <w:basedOn w:val="154"/>
    <w:next w:val="154"/>
    <w:qFormat/>
    <w:uiPriority w:val="0"/>
    <w:pPr>
      <w:spacing w:after="1880"/>
    </w:pPr>
    <w:rPr>
      <w:rFonts w:ascii="黑体" w:hAnsi="Calibri" w:eastAsia="黑体" w:cs="黑体"/>
      <w:color w:val="auto"/>
      <w:kern w:val="2"/>
    </w:rPr>
  </w:style>
  <w:style w:type="paragraph" w:customStyle="1" w:styleId="3297">
    <w:name w:val="样式 标题 3标题 3 Char Char Char Char标题 31 Char标题 32标题 3 Char Char..."/>
    <w:basedOn w:val="5"/>
    <w:qFormat/>
    <w:uiPriority w:val="0"/>
    <w:pPr>
      <w:tabs>
        <w:tab w:val="left" w:pos="1571"/>
        <w:tab w:val="left" w:pos="2040"/>
      </w:tabs>
      <w:adjustRightInd w:val="0"/>
      <w:snapToGrid w:val="0"/>
      <w:spacing w:before="50" w:after="50" w:line="360" w:lineRule="auto"/>
      <w:ind w:left="2040" w:leftChars="800" w:hanging="360" w:hangingChars="200"/>
      <w:jc w:val="left"/>
      <w:textAlignment w:val="baseline"/>
    </w:pPr>
    <w:rPr>
      <w:rFonts w:hAnsi="宋体" w:cs="宋体"/>
      <w:b w:val="0"/>
      <w:bCs w:val="0"/>
      <w:sz w:val="24"/>
      <w:szCs w:val="20"/>
    </w:rPr>
  </w:style>
  <w:style w:type="paragraph" w:customStyle="1" w:styleId="3298">
    <w:name w:val="样式 标题 21.1标题 21.1标题2标题 2 Char1节标2_Heading 2一级条 + 段前: 0....2"/>
    <w:basedOn w:val="1"/>
    <w:next w:val="82"/>
    <w:qFormat/>
    <w:uiPriority w:val="0"/>
    <w:pPr>
      <w:keepNext/>
      <w:widowControl/>
      <w:tabs>
        <w:tab w:val="left" w:pos="1260"/>
      </w:tabs>
      <w:spacing w:before="120" w:after="120" w:line="324" w:lineRule="auto"/>
      <w:ind w:left="1260" w:firstLine="200" w:firstLineChars="200"/>
      <w:jc w:val="center"/>
    </w:pPr>
    <w:rPr>
      <w:rFonts w:hAnsi="宋体"/>
      <w:kern w:val="0"/>
      <w:sz w:val="24"/>
      <w:szCs w:val="24"/>
    </w:rPr>
  </w:style>
  <w:style w:type="paragraph" w:customStyle="1" w:styleId="3299">
    <w:name w:val="Char Char Char Char2 Char Char Char Char"/>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paragraph" w:customStyle="1" w:styleId="3300">
    <w:name w:val="標準インデント　2"/>
    <w:basedOn w:val="20"/>
    <w:semiHidden/>
    <w:qFormat/>
    <w:uiPriority w:val="0"/>
    <w:pPr>
      <w:overflowPunct w:val="0"/>
      <w:autoSpaceDE w:val="0"/>
      <w:autoSpaceDN w:val="0"/>
      <w:adjustRightInd w:val="0"/>
      <w:ind w:left="2900" w:hanging="2038"/>
      <w:jc w:val="left"/>
    </w:pPr>
    <w:rPr>
      <w:rFonts w:eastAsia="MS Mincho"/>
      <w:snapToGrid/>
      <w:kern w:val="0"/>
      <w:sz w:val="20"/>
      <w:szCs w:val="22"/>
      <w:lang w:eastAsia="ja-JP"/>
    </w:rPr>
  </w:style>
  <w:style w:type="paragraph" w:customStyle="1" w:styleId="3301">
    <w:name w:val="列表接续 41"/>
    <w:basedOn w:val="1"/>
    <w:qFormat/>
    <w:uiPriority w:val="0"/>
    <w:pPr>
      <w:spacing w:after="120"/>
      <w:ind w:left="1680" w:leftChars="800"/>
    </w:pPr>
    <w:rPr>
      <w:rFonts w:ascii="Arial Unicode MS" w:hAnsi="Arial Unicode MS" w:cs="Vladimir Script"/>
      <w:sz w:val="21"/>
      <w:szCs w:val="24"/>
    </w:rPr>
  </w:style>
  <w:style w:type="paragraph" w:customStyle="1" w:styleId="3302">
    <w:name w:val="a表后第一行zzzzzzzzzzzzzz"/>
    <w:basedOn w:val="1"/>
    <w:qFormat/>
    <w:uiPriority w:val="0"/>
    <w:pPr>
      <w:widowControl/>
      <w:spacing w:beforeLines="50" w:line="520" w:lineRule="exact"/>
      <w:ind w:firstLine="1040" w:firstLineChars="200"/>
      <w:jc w:val="left"/>
    </w:pPr>
    <w:rPr>
      <w:rFonts w:hAnsi="宋体" w:cs="宋体"/>
      <w:kern w:val="0"/>
      <w:sz w:val="24"/>
      <w:szCs w:val="20"/>
    </w:rPr>
  </w:style>
  <w:style w:type="paragraph" w:customStyle="1" w:styleId="3303">
    <w:name w:val="表样式"/>
    <w:basedOn w:val="1"/>
    <w:qFormat/>
    <w:uiPriority w:val="0"/>
    <w:pPr>
      <w:jc w:val="center"/>
    </w:pPr>
    <w:rPr>
      <w:rFonts w:ascii="仿宋_GB2312" w:eastAsia="黑体"/>
      <w:sz w:val="21"/>
      <w:szCs w:val="24"/>
    </w:rPr>
  </w:style>
  <w:style w:type="paragraph" w:customStyle="1" w:styleId="3304">
    <w:name w:val="Char2 Char Char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ascii="Times New Roman" w:eastAsia="仿宋_GB2312"/>
      <w:color w:val="000000"/>
      <w:sz w:val="24"/>
      <w:szCs w:val="24"/>
    </w:rPr>
  </w:style>
  <w:style w:type="paragraph" w:customStyle="1" w:styleId="3305">
    <w:name w:val="zxl正文首行缩进  2 字符 行距: Char"/>
    <w:basedOn w:val="1"/>
    <w:qFormat/>
    <w:uiPriority w:val="0"/>
    <w:pPr>
      <w:widowControl/>
      <w:tabs>
        <w:tab w:val="left" w:pos="-1843"/>
        <w:tab w:val="left" w:pos="1727"/>
        <w:tab w:val="left" w:pos="1884"/>
      </w:tabs>
      <w:spacing w:line="336" w:lineRule="auto"/>
      <w:ind w:firstLine="560" w:firstLineChars="200"/>
      <w:jc w:val="left"/>
      <w:outlineLvl w:val="0"/>
    </w:pPr>
    <w:rPr>
      <w:rFonts w:ascii="Sim Sun" w:hAnsi="Sim Sun" w:cs="Vladimir Script"/>
      <w:sz w:val="28"/>
      <w:szCs w:val="28"/>
    </w:rPr>
  </w:style>
  <w:style w:type="paragraph" w:customStyle="1" w:styleId="3306">
    <w:name w:val="索引 41"/>
    <w:basedOn w:val="1"/>
    <w:next w:val="1"/>
    <w:qFormat/>
    <w:uiPriority w:val="0"/>
    <w:pPr>
      <w:spacing w:line="440" w:lineRule="exact"/>
      <w:ind w:left="1000" w:hanging="250" w:firstLineChars="200"/>
      <w:jc w:val="left"/>
    </w:pPr>
    <w:rPr>
      <w:rFonts w:ascii="ˎ̥" w:hAnsi="ˎ̥" w:eastAsia="仿宋体" w:cs="ˎ̥"/>
      <w:spacing w:val="5"/>
      <w:sz w:val="20"/>
      <w:szCs w:val="20"/>
    </w:rPr>
  </w:style>
  <w:style w:type="paragraph" w:customStyle="1" w:styleId="3307">
    <w:name w:val="样式 标题 2 + Arial 五号 两端对齐 段前: 15.6 磅 段后: 15.6 磅 行距: 多倍行距 1.3 ..."/>
    <w:basedOn w:val="1"/>
    <w:qFormat/>
    <w:uiPriority w:val="0"/>
    <w:pPr>
      <w:tabs>
        <w:tab w:val="left" w:pos="576"/>
      </w:tabs>
      <w:ind w:left="576" w:hanging="576"/>
    </w:pPr>
    <w:rPr>
      <w:rFonts w:ascii="Sim Sun" w:hAnsi="Batang" w:cs="Batang"/>
      <w:sz w:val="24"/>
      <w:szCs w:val="20"/>
    </w:rPr>
  </w:style>
  <w:style w:type="paragraph" w:customStyle="1" w:styleId="3308">
    <w:name w:val="条文2"/>
    <w:basedOn w:val="6"/>
    <w:qFormat/>
    <w:uiPriority w:val="0"/>
    <w:pPr>
      <w:tabs>
        <w:tab w:val="left" w:pos="2356"/>
        <w:tab w:val="clear" w:pos="360"/>
        <w:tab w:val="clear" w:pos="2207"/>
      </w:tabs>
      <w:adjustRightInd w:val="0"/>
      <w:spacing w:beforeLines="0" w:afterLines="0" w:line="460" w:lineRule="exact"/>
      <w:ind w:left="1151" w:hanging="708"/>
      <w:jc w:val="left"/>
      <w:textAlignment w:val="baseline"/>
      <w:outlineLvl w:val="9"/>
    </w:pPr>
    <w:rPr>
      <w:rFonts w:hAnsi="Arial" w:eastAsia="宋体"/>
      <w:snapToGrid/>
      <w:color w:val="auto"/>
      <w:spacing w:val="3"/>
      <w:kern w:val="24"/>
      <w:szCs w:val="20"/>
    </w:rPr>
  </w:style>
  <w:style w:type="paragraph" w:customStyle="1" w:styleId="3309">
    <w:name w:val="正文表头"/>
    <w:basedOn w:val="1"/>
    <w:next w:val="1204"/>
    <w:qFormat/>
    <w:uiPriority w:val="0"/>
    <w:pPr>
      <w:keepNext/>
      <w:tabs>
        <w:tab w:val="center" w:pos="4253"/>
        <w:tab w:val="right" w:pos="8505"/>
      </w:tabs>
      <w:overflowPunct w:val="0"/>
      <w:adjustRightInd w:val="0"/>
      <w:spacing w:before="120" w:line="360" w:lineRule="auto"/>
      <w:jc w:val="center"/>
    </w:pPr>
    <w:rPr>
      <w:rFonts w:ascii="Times New Roman" w:eastAsia="黑体"/>
      <w:kern w:val="0"/>
      <w:sz w:val="28"/>
      <w:szCs w:val="20"/>
    </w:rPr>
  </w:style>
  <w:style w:type="paragraph" w:customStyle="1" w:styleId="3310">
    <w:name w:val="样式 样式 样式 样式 标题 3 + 宋体 小四 段前: 7.8 磅 段后: 7.8 磅 行距: 多倍行距 0.5 字行 + 行...1"/>
    <w:basedOn w:val="5"/>
    <w:next w:val="1"/>
    <w:qFormat/>
    <w:uiPriority w:val="0"/>
    <w:pPr>
      <w:tabs>
        <w:tab w:val="left" w:pos="1571"/>
      </w:tabs>
      <w:spacing w:beforeLines="50" w:afterLines="50" w:line="360" w:lineRule="exact"/>
      <w:ind w:left="1418" w:hanging="567"/>
    </w:pPr>
    <w:rPr>
      <w:sz w:val="24"/>
    </w:rPr>
  </w:style>
  <w:style w:type="paragraph" w:customStyle="1" w:styleId="3311">
    <w:name w:val="标-7"/>
    <w:basedOn w:val="1"/>
    <w:qFormat/>
    <w:uiPriority w:val="0"/>
    <w:pPr>
      <w:tabs>
        <w:tab w:val="left" w:pos="420"/>
      </w:tabs>
      <w:spacing w:before="120"/>
      <w:ind w:left="1701" w:hanging="425"/>
    </w:pPr>
    <w:rPr>
      <w:rFonts w:ascii="Batang" w:hAnsi="Batang" w:cs="Batang"/>
      <w:sz w:val="24"/>
      <w:szCs w:val="20"/>
    </w:rPr>
  </w:style>
  <w:style w:type="paragraph" w:customStyle="1" w:styleId="3312">
    <w:name w:val="1-zhu-标题2"/>
    <w:qFormat/>
    <w:uiPriority w:val="0"/>
    <w:pPr>
      <w:spacing w:beforeLines="50" w:afterLines="50" w:line="500" w:lineRule="exact"/>
    </w:pPr>
    <w:rPr>
      <w:rFonts w:ascii="Calibri" w:hAnsi="Calibri" w:eastAsia="黑体" w:cs="Times New Roman"/>
      <w:kern w:val="2"/>
      <w:sz w:val="28"/>
      <w:szCs w:val="28"/>
      <w:lang w:val="en-US" w:eastAsia="zh-CN" w:bidi="ar-SA"/>
    </w:rPr>
  </w:style>
  <w:style w:type="paragraph" w:customStyle="1" w:styleId="3313">
    <w:name w:val="样式1－表头"/>
    <w:basedOn w:val="1"/>
    <w:qFormat/>
    <w:uiPriority w:val="0"/>
    <w:pPr>
      <w:adjustRightInd w:val="0"/>
      <w:snapToGrid w:val="0"/>
      <w:spacing w:beforeLines="50" w:line="336" w:lineRule="auto"/>
      <w:jc w:val="center"/>
    </w:pPr>
    <w:rPr>
      <w:rFonts w:ascii="Times New Roman" w:eastAsia="黑体"/>
      <w:spacing w:val="6"/>
      <w:sz w:val="24"/>
      <w:szCs w:val="20"/>
    </w:rPr>
  </w:style>
  <w:style w:type="paragraph" w:customStyle="1" w:styleId="3314">
    <w:name w:val="Char Char2 Char1"/>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b w:val="0"/>
      <w:bCs w:val="0"/>
      <w:snapToGrid w:val="0"/>
      <w:sz w:val="24"/>
      <w:szCs w:val="20"/>
    </w:rPr>
  </w:style>
  <w:style w:type="paragraph" w:customStyle="1" w:styleId="3315">
    <w:name w:val="2 Char Char Char"/>
    <w:basedOn w:val="1"/>
    <w:qFormat/>
    <w:uiPriority w:val="0"/>
    <w:rPr>
      <w:rFonts w:ascii="Batang" w:hAnsi="Batang" w:cs="Batang"/>
      <w:sz w:val="21"/>
      <w:szCs w:val="24"/>
    </w:rPr>
  </w:style>
  <w:style w:type="paragraph" w:customStyle="1" w:styleId="3316">
    <w:name w:val="表格样式3"/>
    <w:basedOn w:val="1"/>
    <w:qFormat/>
    <w:uiPriority w:val="0"/>
    <w:pPr>
      <w:spacing w:line="320" w:lineRule="exact"/>
      <w:ind w:right="105" w:rightChars="50"/>
      <w:jc w:val="center"/>
    </w:pPr>
    <w:rPr>
      <w:rFonts w:hAnsi="宋体"/>
      <w:sz w:val="21"/>
      <w:szCs w:val="21"/>
    </w:rPr>
  </w:style>
  <w:style w:type="paragraph" w:customStyle="1" w:styleId="3317">
    <w:name w:val="reader-word-layer reader-word-s25-10"/>
    <w:basedOn w:val="1"/>
    <w:qFormat/>
    <w:uiPriority w:val="0"/>
    <w:pPr>
      <w:widowControl/>
      <w:spacing w:before="100" w:beforeAutospacing="1" w:after="100" w:afterAutospacing="1"/>
      <w:jc w:val="left"/>
    </w:pPr>
    <w:rPr>
      <w:rFonts w:hAnsi="宋体" w:cs="宋体"/>
      <w:kern w:val="0"/>
      <w:sz w:val="24"/>
      <w:szCs w:val="24"/>
    </w:rPr>
  </w:style>
  <w:style w:type="paragraph" w:customStyle="1" w:styleId="3318">
    <w:name w:val="样式 样式 正文首行缩进 + 首行缩进:  2 字符1 + 首行缩进:  2 字符"/>
    <w:basedOn w:val="3102"/>
    <w:qFormat/>
    <w:uiPriority w:val="0"/>
    <w:rPr>
      <w:rFonts w:ascii="Times New Roman" w:hAnsi="Times New Roman"/>
      <w:lang w:val="en-US"/>
    </w:rPr>
  </w:style>
  <w:style w:type="paragraph" w:customStyle="1" w:styleId="3319">
    <w:name w:val="样式 标题 3 + Times New Roman 四号 加粗"/>
    <w:basedOn w:val="5"/>
    <w:qFormat/>
    <w:uiPriority w:val="0"/>
    <w:pPr>
      <w:tabs>
        <w:tab w:val="left" w:pos="1571"/>
      </w:tabs>
      <w:adjustRightInd w:val="0"/>
      <w:snapToGrid w:val="0"/>
      <w:spacing w:before="0" w:after="0" w:line="320" w:lineRule="atLeast"/>
      <w:ind w:left="1418" w:firstLine="200" w:firstLineChars="200"/>
    </w:pPr>
    <w:rPr>
      <w:rFonts w:ascii="Sim Sun" w:hAnsi="Sim Sun" w:eastAsia="宋体-方正超大字符集" w:cs="Vladimir Script"/>
      <w:color w:val="000000"/>
      <w:kern w:val="0"/>
      <w:sz w:val="28"/>
      <w:szCs w:val="28"/>
    </w:rPr>
  </w:style>
  <w:style w:type="paragraph" w:customStyle="1" w:styleId="3320">
    <w:name w:val="样式 表格 + (符号) 宋体 自动设置"/>
    <w:basedOn w:val="282"/>
    <w:qFormat/>
    <w:uiPriority w:val="0"/>
    <w:pPr>
      <w:widowControl/>
      <w:tabs>
        <w:tab w:val="left" w:pos="2940"/>
      </w:tabs>
      <w:spacing w:line="440" w:lineRule="exact"/>
      <w:ind w:left="2940" w:firstLine="200" w:firstLineChars="200"/>
      <w:jc w:val="left"/>
    </w:pPr>
    <w:rPr>
      <w:rFonts w:ascii="宋体" w:hAnsi="Calibri"/>
      <w:kern w:val="2"/>
      <w:szCs w:val="24"/>
    </w:rPr>
  </w:style>
  <w:style w:type="paragraph" w:customStyle="1" w:styleId="3321">
    <w:name w:val="Char Char 字元 字元 字元 Char Char Char Char"/>
    <w:basedOn w:val="1"/>
    <w:qFormat/>
    <w:uiPriority w:val="0"/>
    <w:pPr>
      <w:adjustRightInd w:val="0"/>
      <w:spacing w:line="360" w:lineRule="auto"/>
    </w:pPr>
    <w:rPr>
      <w:rFonts w:ascii="Times New Roman"/>
      <w:kern w:val="0"/>
      <w:sz w:val="24"/>
      <w:szCs w:val="20"/>
    </w:rPr>
  </w:style>
  <w:style w:type="paragraph" w:customStyle="1" w:styleId="3322">
    <w:name w:val="单位"/>
    <w:basedOn w:val="1"/>
    <w:qFormat/>
    <w:uiPriority w:val="0"/>
    <w:pPr>
      <w:tabs>
        <w:tab w:val="right" w:pos="0"/>
      </w:tabs>
      <w:adjustRightInd w:val="0"/>
      <w:snapToGrid w:val="0"/>
      <w:jc w:val="right"/>
    </w:pPr>
    <w:rPr>
      <w:bCs/>
      <w:spacing w:val="10"/>
      <w:sz w:val="21"/>
      <w:szCs w:val="24"/>
    </w:rPr>
  </w:style>
  <w:style w:type="paragraph" w:customStyle="1" w:styleId="3323">
    <w:name w:val="关键词"/>
    <w:basedOn w:val="1"/>
    <w:qFormat/>
    <w:uiPriority w:val="0"/>
    <w:rPr>
      <w:rFonts w:ascii="Times New Roman" w:eastAsia="黑体"/>
      <w:sz w:val="18"/>
      <w:szCs w:val="24"/>
    </w:rPr>
  </w:style>
  <w:style w:type="paragraph" w:customStyle="1" w:styleId="3324">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hAnsi="宋体" w:cs="宋体"/>
      <w:sz w:val="24"/>
      <w:szCs w:val="24"/>
    </w:rPr>
  </w:style>
  <w:style w:type="paragraph" w:customStyle="1" w:styleId="3325">
    <w:name w:val="lz3"/>
    <w:basedOn w:val="1"/>
    <w:qFormat/>
    <w:uiPriority w:val="0"/>
    <w:pPr>
      <w:spacing w:line="540" w:lineRule="exact"/>
    </w:pPr>
    <w:rPr>
      <w:rFonts w:ascii="ӗԲ" w:hAnsi="Sim Sun" w:eastAsia="ӗԲ" w:cs="Batang"/>
      <w:sz w:val="30"/>
      <w:szCs w:val="20"/>
    </w:rPr>
  </w:style>
  <w:style w:type="paragraph" w:customStyle="1" w:styleId="3326">
    <w:name w:val="调研内容"/>
    <w:basedOn w:val="1"/>
    <w:qFormat/>
    <w:uiPriority w:val="0"/>
    <w:pPr>
      <w:numPr>
        <w:ilvl w:val="1"/>
        <w:numId w:val="1"/>
      </w:numPr>
      <w:tabs>
        <w:tab w:val="clear" w:pos="720"/>
      </w:tabs>
      <w:spacing w:line="360" w:lineRule="auto"/>
      <w:ind w:left="0" w:firstLine="0"/>
    </w:pPr>
    <w:rPr>
      <w:rFonts w:ascii="Times New Roman"/>
      <w:sz w:val="21"/>
      <w:szCs w:val="20"/>
    </w:rPr>
  </w:style>
  <w:style w:type="paragraph" w:customStyle="1" w:styleId="3327">
    <w:name w:val="标题13"/>
    <w:basedOn w:val="1"/>
    <w:next w:val="1"/>
    <w:qFormat/>
    <w:uiPriority w:val="0"/>
    <w:pPr>
      <w:jc w:val="center"/>
    </w:pPr>
    <w:rPr>
      <w:rFonts w:ascii="Times New Roman" w:eastAsia="黑体"/>
      <w:sz w:val="32"/>
      <w:szCs w:val="20"/>
    </w:rPr>
  </w:style>
  <w:style w:type="paragraph" w:customStyle="1" w:styleId="3328">
    <w:name w:val="Char Char Char Char Char Char Char Char Char Char Char Char Char Char Char Char Char Char1 Char Char Char Char1"/>
    <w:basedOn w:val="1"/>
    <w:qFormat/>
    <w:uiPriority w:val="0"/>
    <w:rPr>
      <w:rFonts w:ascii="Times New Roman"/>
      <w:sz w:val="21"/>
      <w:szCs w:val="24"/>
    </w:rPr>
  </w:style>
  <w:style w:type="paragraph" w:customStyle="1" w:styleId="3329">
    <w:name w:val="参考标题"/>
    <w:basedOn w:val="32"/>
    <w:next w:val="1"/>
    <w:semiHidden/>
    <w:qFormat/>
    <w:uiPriority w:val="0"/>
    <w:pPr>
      <w:widowControl/>
      <w:spacing w:before="560" w:after="160" w:line="360" w:lineRule="auto"/>
      <w:jc w:val="center"/>
    </w:pPr>
    <w:rPr>
      <w:rFonts w:ascii="黑体" w:hAnsi="Calibri" w:eastAsia="黑体"/>
      <w:kern w:val="0"/>
      <w:sz w:val="18"/>
      <w:szCs w:val="22"/>
    </w:rPr>
  </w:style>
  <w:style w:type="paragraph" w:customStyle="1" w:styleId="3330">
    <w:name w:val="reader-word-layer reader-word-s28-5"/>
    <w:basedOn w:val="1"/>
    <w:qFormat/>
    <w:uiPriority w:val="0"/>
    <w:pPr>
      <w:widowControl/>
      <w:spacing w:before="100" w:beforeAutospacing="1" w:after="100" w:afterAutospacing="1"/>
      <w:jc w:val="left"/>
    </w:pPr>
    <w:rPr>
      <w:rFonts w:hAnsi="宋体" w:cs="宋体"/>
      <w:kern w:val="0"/>
      <w:sz w:val="24"/>
      <w:szCs w:val="24"/>
    </w:rPr>
  </w:style>
  <w:style w:type="paragraph" w:customStyle="1" w:styleId="3331">
    <w:name w:val="框内容"/>
    <w:basedOn w:val="32"/>
    <w:semiHidden/>
    <w:qFormat/>
    <w:uiPriority w:val="0"/>
    <w:pPr>
      <w:suppressAutoHyphens/>
      <w:spacing w:after="0"/>
      <w:jc w:val="center"/>
    </w:pPr>
    <w:rPr>
      <w:rFonts w:ascii="Times New Roman"/>
      <w:kern w:val="1"/>
      <w:sz w:val="18"/>
      <w:szCs w:val="24"/>
      <w:lang w:eastAsia="ar-SA"/>
    </w:rPr>
  </w:style>
  <w:style w:type="paragraph" w:customStyle="1" w:styleId="3332">
    <w:name w:val="斜体正文"/>
    <w:basedOn w:val="1"/>
    <w:qFormat/>
    <w:uiPriority w:val="0"/>
    <w:pPr>
      <w:spacing w:line="360" w:lineRule="auto"/>
      <w:ind w:firstLine="200" w:firstLineChars="200"/>
    </w:pPr>
    <w:rPr>
      <w:rFonts w:ascii="Times New Roman"/>
      <w:b/>
      <w:i/>
      <w:spacing w:val="6"/>
      <w:sz w:val="24"/>
      <w:szCs w:val="24"/>
    </w:rPr>
  </w:style>
  <w:style w:type="paragraph" w:customStyle="1" w:styleId="3333">
    <w:name w:val="明显引用2"/>
    <w:basedOn w:val="1"/>
    <w:next w:val="1"/>
    <w:qFormat/>
    <w:uiPriority w:val="0"/>
    <w:pPr>
      <w:pBdr>
        <w:bottom w:val="single" w:color="4F81BD" w:sz="4" w:space="4"/>
      </w:pBdr>
      <w:spacing w:before="200" w:after="280"/>
      <w:ind w:left="936" w:right="936"/>
    </w:pPr>
    <w:rPr>
      <w:rFonts w:ascii="Calibri" w:hAnsi="Calibri" w:cs="Calibri"/>
      <w:b/>
      <w:i/>
      <w:sz w:val="24"/>
      <w:szCs w:val="22"/>
      <w:lang w:eastAsia="en-US" w:bidi="en-US"/>
    </w:rPr>
  </w:style>
  <w:style w:type="paragraph" w:customStyle="1" w:styleId="3334">
    <w:name w:val="reader-word-layer reader-word-s25-20"/>
    <w:basedOn w:val="1"/>
    <w:qFormat/>
    <w:uiPriority w:val="0"/>
    <w:pPr>
      <w:widowControl/>
      <w:spacing w:before="100" w:beforeAutospacing="1" w:after="100" w:afterAutospacing="1"/>
      <w:jc w:val="left"/>
    </w:pPr>
    <w:rPr>
      <w:rFonts w:hAnsi="宋体" w:cs="宋体"/>
      <w:kern w:val="0"/>
      <w:sz w:val="24"/>
      <w:szCs w:val="24"/>
    </w:rPr>
  </w:style>
  <w:style w:type="paragraph" w:customStyle="1" w:styleId="3335">
    <w:name w:val="表格 32"/>
    <w:basedOn w:val="1"/>
    <w:qFormat/>
    <w:uiPriority w:val="0"/>
    <w:pPr>
      <w:autoSpaceDE w:val="0"/>
      <w:autoSpaceDN w:val="0"/>
      <w:adjustRightInd w:val="0"/>
      <w:spacing w:line="360" w:lineRule="auto"/>
      <w:jc w:val="center"/>
      <w:textAlignment w:val="baseline"/>
    </w:pPr>
    <w:rPr>
      <w:rFonts w:ascii="Times New Roman" w:eastAsia="楷体_GB2312"/>
      <w:kern w:val="0"/>
      <w:sz w:val="24"/>
      <w:szCs w:val="20"/>
    </w:rPr>
  </w:style>
  <w:style w:type="paragraph" w:customStyle="1" w:styleId="3336">
    <w:name w:val="表格+行距18磅"/>
    <w:basedOn w:val="1"/>
    <w:qFormat/>
    <w:uiPriority w:val="0"/>
    <w:pPr>
      <w:snapToGrid w:val="0"/>
      <w:spacing w:line="360" w:lineRule="exact"/>
      <w:jc w:val="center"/>
    </w:pPr>
    <w:rPr>
      <w:rFonts w:ascii="仿宋_GB2312" w:eastAsia="仿宋_GB2312"/>
      <w:color w:val="000000"/>
      <w:sz w:val="21"/>
      <w:szCs w:val="20"/>
    </w:rPr>
  </w:style>
  <w:style w:type="paragraph" w:customStyle="1" w:styleId="3337">
    <w:name w:val="正文首行缩进6"/>
    <w:basedOn w:val="32"/>
    <w:qFormat/>
    <w:uiPriority w:val="0"/>
    <w:pPr>
      <w:spacing w:line="440" w:lineRule="exact"/>
      <w:ind w:firstLine="420" w:firstLineChars="100"/>
    </w:pPr>
    <w:rPr>
      <w:rFonts w:hAnsi="宋体" w:cs="宋体"/>
      <w:kern w:val="0"/>
      <w:sz w:val="24"/>
      <w:szCs w:val="24"/>
    </w:rPr>
  </w:style>
  <w:style w:type="paragraph" w:customStyle="1" w:styleId="3338">
    <w:name w:val="批注框文本2"/>
    <w:basedOn w:val="1"/>
    <w:qFormat/>
    <w:uiPriority w:val="0"/>
    <w:rPr>
      <w:rFonts w:ascii="Calibri" w:hAnsi="Calibri"/>
      <w:sz w:val="18"/>
      <w:szCs w:val="22"/>
    </w:rPr>
  </w:style>
  <w:style w:type="paragraph" w:customStyle="1" w:styleId="3339">
    <w:name w:val="Char24"/>
    <w:basedOn w:val="1"/>
    <w:qFormat/>
    <w:uiPriority w:val="0"/>
    <w:rPr>
      <w:rFonts w:hAnsi="宋体" w:cs="Courier New"/>
      <w:sz w:val="32"/>
      <w:szCs w:val="32"/>
    </w:rPr>
  </w:style>
  <w:style w:type="paragraph" w:customStyle="1" w:styleId="3340">
    <w:name w:val="样式 燕山正文 + 首行缩进:  3.5 字符2"/>
    <w:basedOn w:val="940"/>
    <w:qFormat/>
    <w:uiPriority w:val="0"/>
    <w:pPr>
      <w:spacing w:beforeLines="30" w:afterLines="30"/>
    </w:pPr>
    <w:rPr>
      <w:rFonts w:hAnsi="Times New Roman"/>
      <w:color w:val="000000"/>
    </w:rPr>
  </w:style>
  <w:style w:type="paragraph" w:customStyle="1" w:styleId="3341">
    <w:name w:val="样式 小四 黑色 行距: 固定值 25 磅 首行缩进:  2 字符"/>
    <w:basedOn w:val="1"/>
    <w:qFormat/>
    <w:uiPriority w:val="0"/>
    <w:pPr>
      <w:spacing w:line="500" w:lineRule="exact"/>
      <w:ind w:firstLine="480" w:firstLineChars="200"/>
    </w:pPr>
    <w:rPr>
      <w:rFonts w:ascii="Times New Roman"/>
      <w:szCs w:val="20"/>
    </w:rPr>
  </w:style>
  <w:style w:type="paragraph" w:customStyle="1" w:styleId="3342">
    <w:name w:val="样式 正文首行缩进＋湿地 + 首行缩进:  2 字符"/>
    <w:basedOn w:val="3223"/>
    <w:qFormat/>
    <w:uiPriority w:val="0"/>
    <w:pPr>
      <w:ind w:firstLine="560" w:firstLineChars="200"/>
      <w:jc w:val="left"/>
    </w:pPr>
    <w:rPr>
      <w:rFonts w:cs="宋体"/>
    </w:rPr>
  </w:style>
  <w:style w:type="paragraph" w:customStyle="1" w:styleId="3343">
    <w:name w:val="样式 标题 2 + 段前: 0.3 行 段后: 0.3 行"/>
    <w:basedOn w:val="4"/>
    <w:qFormat/>
    <w:uiPriority w:val="0"/>
    <w:pPr>
      <w:widowControl/>
      <w:tabs>
        <w:tab w:val="left" w:pos="992"/>
      </w:tabs>
      <w:adjustRightInd w:val="0"/>
      <w:snapToGrid w:val="0"/>
      <w:spacing w:before="120" w:after="120" w:line="480" w:lineRule="exact"/>
      <w:ind w:left="992" w:firstLine="200" w:firstLineChars="200"/>
    </w:pPr>
    <w:rPr>
      <w:rFonts w:ascii="Arial Unicode MS" w:hAnsi="Arial Unicode MS" w:eastAsia="仿宋体" w:cs="Sim Sun"/>
      <w:bCs w:val="0"/>
      <w:smallCaps/>
      <w:snapToGrid/>
      <w:kern w:val="0"/>
      <w:sz w:val="30"/>
      <w:szCs w:val="21"/>
    </w:rPr>
  </w:style>
  <w:style w:type="paragraph" w:customStyle="1" w:styleId="3344">
    <w:name w:val="样式 正文宋体小四 + 首行缩进:  2 字符"/>
    <w:basedOn w:val="1"/>
    <w:qFormat/>
    <w:uiPriority w:val="0"/>
    <w:pPr>
      <w:spacing w:line="440" w:lineRule="exact"/>
      <w:ind w:firstLine="480" w:firstLineChars="200"/>
    </w:pPr>
    <w:rPr>
      <w:rFonts w:ascii="Arial Unicode MS" w:hAnsi="Arial Unicode MS" w:cs="Sim Sun"/>
      <w:sz w:val="21"/>
      <w:szCs w:val="24"/>
    </w:rPr>
  </w:style>
  <w:style w:type="paragraph" w:customStyle="1" w:styleId="3345">
    <w:name w:val="正文（缩进）"/>
    <w:basedOn w:val="273"/>
    <w:qFormat/>
    <w:uiPriority w:val="0"/>
    <w:rPr>
      <w:rFonts w:ascii="Calibri" w:hAnsi="Calibri"/>
      <w:kern w:val="2"/>
    </w:rPr>
  </w:style>
  <w:style w:type="paragraph" w:customStyle="1" w:styleId="3346">
    <w:name w:val="cardlist-value"/>
    <w:basedOn w:val="1"/>
    <w:qFormat/>
    <w:uiPriority w:val="0"/>
    <w:pPr>
      <w:widowControl/>
      <w:spacing w:before="100" w:beforeAutospacing="1" w:after="100" w:afterAutospacing="1"/>
      <w:jc w:val="left"/>
    </w:pPr>
    <w:rPr>
      <w:rFonts w:hAnsi="宋体" w:cs="宋体"/>
      <w:kern w:val="0"/>
      <w:sz w:val="24"/>
      <w:szCs w:val="24"/>
    </w:rPr>
  </w:style>
  <w:style w:type="paragraph" w:customStyle="1" w:styleId="3347">
    <w:name w:val="样式 样式2 +"/>
    <w:basedOn w:val="442"/>
    <w:qFormat/>
    <w:uiPriority w:val="0"/>
    <w:pPr>
      <w:widowControl/>
      <w:pBdr>
        <w:bottom w:val="none" w:color="auto" w:sz="0" w:space="0"/>
      </w:pBdr>
      <w:tabs>
        <w:tab w:val="left" w:pos="2520"/>
        <w:tab w:val="clear" w:pos="4153"/>
        <w:tab w:val="clear" w:pos="8306"/>
      </w:tabs>
      <w:snapToGrid/>
      <w:spacing w:beforeLines="100" w:line="520" w:lineRule="exact"/>
      <w:ind w:left="2520" w:hanging="420"/>
      <w:jc w:val="left"/>
    </w:pPr>
    <w:rPr>
      <w:rFonts w:ascii="宋体" w:eastAsia="宋体"/>
      <w:bCs/>
      <w:caps/>
      <w:spacing w:val="0"/>
      <w:kern w:val="0"/>
      <w:sz w:val="24"/>
      <w:szCs w:val="24"/>
    </w:rPr>
  </w:style>
  <w:style w:type="paragraph" w:customStyle="1" w:styleId="3348">
    <w:name w:val="表内小5中"/>
    <w:basedOn w:val="1"/>
    <w:qFormat/>
    <w:uiPriority w:val="0"/>
    <w:rPr>
      <w:sz w:val="18"/>
      <w:szCs w:val="18"/>
    </w:rPr>
  </w:style>
  <w:style w:type="paragraph" w:customStyle="1" w:styleId="3349">
    <w:name w:val="数字表"/>
    <w:basedOn w:val="32"/>
    <w:qFormat/>
    <w:uiPriority w:val="0"/>
    <w:pPr>
      <w:spacing w:after="0"/>
      <w:jc w:val="center"/>
    </w:pPr>
    <w:rPr>
      <w:rFonts w:hAnsi="宋体"/>
      <w:sz w:val="21"/>
      <w:szCs w:val="21"/>
    </w:rPr>
  </w:style>
  <w:style w:type="paragraph" w:customStyle="1" w:styleId="3350">
    <w:name w:val="Char2 Char Char1 Char1"/>
    <w:basedOn w:val="1"/>
    <w:qFormat/>
    <w:uiPriority w:val="0"/>
    <w:pPr>
      <w:spacing w:line="360" w:lineRule="auto"/>
      <w:ind w:firstLine="200" w:firstLineChars="200"/>
    </w:pPr>
    <w:rPr>
      <w:rFonts w:hAnsi="宋体" w:cs="宋体"/>
      <w:sz w:val="24"/>
      <w:szCs w:val="24"/>
    </w:rPr>
  </w:style>
  <w:style w:type="paragraph" w:customStyle="1" w:styleId="3351">
    <w:name w:val="正文图竖五"/>
    <w:basedOn w:val="1"/>
    <w:semiHidden/>
    <w:qFormat/>
    <w:uiPriority w:val="0"/>
    <w:pPr>
      <w:jc w:val="center"/>
    </w:pPr>
    <w:rPr>
      <w:rFonts w:ascii="Times New Roman" w:eastAsia="仿宋_GB2312"/>
      <w:color w:val="000000"/>
      <w:kern w:val="0"/>
      <w:sz w:val="21"/>
      <w:szCs w:val="21"/>
    </w:rPr>
  </w:style>
  <w:style w:type="paragraph" w:customStyle="1" w:styleId="3352">
    <w:name w:val="aaa表格标题"/>
    <w:basedOn w:val="2797"/>
    <w:qFormat/>
    <w:uiPriority w:val="0"/>
    <w:pPr>
      <w:jc w:val="center"/>
    </w:pPr>
    <w:rPr>
      <w:b/>
    </w:rPr>
  </w:style>
  <w:style w:type="paragraph" w:customStyle="1" w:styleId="3353">
    <w:name w:val="正文文本缩进 211"/>
    <w:basedOn w:val="1"/>
    <w:qFormat/>
    <w:uiPriority w:val="0"/>
    <w:pPr>
      <w:adjustRightInd w:val="0"/>
      <w:spacing w:line="440" w:lineRule="exact"/>
      <w:ind w:firstLine="640" w:firstLineChars="200"/>
      <w:textAlignment w:val="baseline"/>
    </w:pPr>
    <w:rPr>
      <w:rFonts w:ascii="Arial Unicode MS" w:hAnsi="Arial Unicode MS" w:eastAsia="Garamond" w:cs="Vladimir Script"/>
      <w:color w:val="0000FF"/>
      <w:sz w:val="32"/>
      <w:szCs w:val="20"/>
    </w:rPr>
  </w:style>
  <w:style w:type="paragraph" w:customStyle="1" w:styleId="3354">
    <w:name w:val="文本匡小五号 Char"/>
    <w:semiHidden/>
    <w:qFormat/>
    <w:uiPriority w:val="0"/>
    <w:pPr>
      <w:snapToGrid w:val="0"/>
      <w:spacing w:line="100" w:lineRule="atLeast"/>
      <w:jc w:val="center"/>
    </w:pPr>
    <w:rPr>
      <w:rFonts w:ascii="Calibri" w:hAnsi="Calibri" w:eastAsia="仿宋_GB2312" w:cs="Times New Roman"/>
      <w:sz w:val="21"/>
      <w:szCs w:val="21"/>
      <w:lang w:val="en-US" w:eastAsia="zh-CN" w:bidi="ar-SA"/>
    </w:rPr>
  </w:style>
  <w:style w:type="paragraph" w:customStyle="1" w:styleId="3355">
    <w:name w:val="样式 标题 1 + Times New Roman 小三"/>
    <w:basedOn w:val="3"/>
    <w:qFormat/>
    <w:uiPriority w:val="0"/>
    <w:pPr>
      <w:tabs>
        <w:tab w:val="left" w:pos="425"/>
      </w:tabs>
      <w:spacing w:beforeLines="0" w:after="120" w:line="520" w:lineRule="exact"/>
      <w:ind w:left="425" w:hanging="425"/>
    </w:pPr>
    <w:rPr>
      <w:rFonts w:eastAsia="宋体"/>
      <w:b/>
      <w:snapToGrid/>
      <w:color w:val="000000"/>
      <w:sz w:val="30"/>
      <w:szCs w:val="20"/>
    </w:rPr>
  </w:style>
  <w:style w:type="paragraph" w:customStyle="1" w:styleId="3356">
    <w:name w:val="标题3，小四黑体，6磅"/>
    <w:basedOn w:val="1"/>
    <w:qFormat/>
    <w:uiPriority w:val="0"/>
    <w:pPr>
      <w:keepNext/>
      <w:keepLines/>
      <w:spacing w:before="120" w:after="120" w:line="415" w:lineRule="auto"/>
      <w:outlineLvl w:val="2"/>
    </w:pPr>
    <w:rPr>
      <w:rFonts w:ascii="黑体" w:eastAsia="黑体"/>
      <w:b/>
      <w:bCs/>
      <w:sz w:val="24"/>
      <w:szCs w:val="32"/>
    </w:rPr>
  </w:style>
  <w:style w:type="paragraph" w:customStyle="1" w:styleId="3357">
    <w:name w:val="湛江码头表"/>
    <w:basedOn w:val="1"/>
    <w:semiHidden/>
    <w:qFormat/>
    <w:uiPriority w:val="0"/>
    <w:pPr>
      <w:jc w:val="center"/>
    </w:pPr>
    <w:rPr>
      <w:rFonts w:ascii="Times New Roman" w:eastAsia="仿宋_GB2312"/>
      <w:kern w:val="0"/>
      <w:sz w:val="21"/>
      <w:szCs w:val="24"/>
      <w:lang w:eastAsia="zh-TW"/>
    </w:rPr>
  </w:style>
  <w:style w:type="paragraph" w:customStyle="1" w:styleId="3358">
    <w:name w:val="样式 表头 + 段前: 0.5 行 段后: 0.5 行"/>
    <w:basedOn w:val="278"/>
    <w:qFormat/>
    <w:uiPriority w:val="0"/>
    <w:pPr>
      <w:spacing w:line="240" w:lineRule="auto"/>
      <w:ind w:firstLine="499"/>
    </w:pPr>
    <w:rPr>
      <w:rFonts w:ascii="Calibri" w:hAnsi="Calibri" w:eastAsia="宋体" w:cs="宋体"/>
      <w:b/>
      <w:bCs/>
      <w:spacing w:val="0"/>
      <w:kern w:val="2"/>
      <w:sz w:val="24"/>
      <w:szCs w:val="20"/>
    </w:rPr>
  </w:style>
  <w:style w:type="paragraph" w:customStyle="1" w:styleId="3359">
    <w:name w:val="Char Char5 Char Char Char Char Char Char Char Char Char2 Char3"/>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0"/>
    </w:rPr>
  </w:style>
  <w:style w:type="paragraph" w:customStyle="1" w:styleId="3360">
    <w:name w:val="111表格内"/>
    <w:basedOn w:val="2797"/>
    <w:qFormat/>
    <w:uiPriority w:val="0"/>
    <w:pPr>
      <w:pBdr>
        <w:top w:val="single" w:color="auto" w:sz="4" w:space="1"/>
        <w:left w:val="single" w:color="auto" w:sz="4" w:space="4"/>
        <w:bottom w:val="single" w:color="auto" w:sz="4" w:space="1"/>
        <w:right w:val="single" w:color="auto" w:sz="4" w:space="4"/>
      </w:pBdr>
      <w:spacing w:line="360" w:lineRule="exact"/>
      <w:ind w:firstLine="0" w:firstLineChars="0"/>
      <w:jc w:val="center"/>
    </w:pPr>
    <w:rPr>
      <w:sz w:val="21"/>
    </w:rPr>
  </w:style>
  <w:style w:type="paragraph" w:customStyle="1" w:styleId="3361">
    <w:name w:val="2 级样式"/>
    <w:basedOn w:val="4"/>
    <w:qFormat/>
    <w:uiPriority w:val="0"/>
    <w:pPr>
      <w:tabs>
        <w:tab w:val="left" w:pos="425"/>
        <w:tab w:val="left" w:pos="992"/>
      </w:tabs>
      <w:adjustRightInd w:val="0"/>
      <w:spacing w:beforeLines="30" w:afterLines="30" w:line="360" w:lineRule="auto"/>
      <w:ind w:left="425" w:hanging="425" w:firstLineChars="200"/>
      <w:jc w:val="left"/>
    </w:pPr>
    <w:rPr>
      <w:rFonts w:ascii="Arial Unicode MS" w:hAnsi="Arial Unicode MS" w:eastAsia="仿宋体" w:cs="Sim Sun"/>
      <w:b w:val="0"/>
      <w:smallCaps/>
      <w:snapToGrid/>
      <w:color w:val="003300"/>
      <w:sz w:val="30"/>
      <w:szCs w:val="30"/>
    </w:rPr>
  </w:style>
  <w:style w:type="paragraph" w:customStyle="1" w:styleId="3362">
    <w:name w:val="Tabella"/>
    <w:basedOn w:val="1"/>
    <w:qFormat/>
    <w:uiPriority w:val="0"/>
    <w:pPr>
      <w:widowControl/>
      <w:tabs>
        <w:tab w:val="left" w:pos="851"/>
        <w:tab w:val="left" w:pos="3969"/>
        <w:tab w:val="right" w:pos="5387"/>
        <w:tab w:val="left" w:pos="6237"/>
      </w:tabs>
      <w:spacing w:before="120"/>
    </w:pPr>
    <w:rPr>
      <w:rFonts w:ascii="ˎ̥" w:hAnsi="ˎ̥" w:cs="ˎ̥"/>
      <w:kern w:val="0"/>
      <w:sz w:val="20"/>
      <w:szCs w:val="20"/>
      <w:lang w:val="en-GB" w:eastAsia="it-IT"/>
    </w:rPr>
  </w:style>
  <w:style w:type="paragraph" w:customStyle="1" w:styleId="3363">
    <w:name w:val="666666-表中文字"/>
    <w:basedOn w:val="1"/>
    <w:qFormat/>
    <w:uiPriority w:val="0"/>
    <w:pPr>
      <w:jc w:val="center"/>
    </w:pPr>
    <w:rPr>
      <w:rFonts w:ascii="Times New Roman"/>
      <w:sz w:val="21"/>
      <w:szCs w:val="20"/>
    </w:rPr>
  </w:style>
  <w:style w:type="paragraph" w:customStyle="1" w:styleId="3364">
    <w:name w:val="样式 正文首行缩进:  2 字符 + 首行缩进:  2 字符"/>
    <w:basedOn w:val="1"/>
    <w:qFormat/>
    <w:uiPriority w:val="0"/>
    <w:pPr>
      <w:spacing w:line="360" w:lineRule="auto"/>
      <w:ind w:firstLine="480" w:firstLineChars="200"/>
    </w:pPr>
    <w:rPr>
      <w:rFonts w:ascii="Times New Roman" w:cs="宋体"/>
      <w:sz w:val="24"/>
      <w:szCs w:val="20"/>
    </w:rPr>
  </w:style>
  <w:style w:type="paragraph" w:customStyle="1" w:styleId="3365">
    <w:name w:val="尾注文本2"/>
    <w:basedOn w:val="2808"/>
    <w:qFormat/>
    <w:uiPriority w:val="0"/>
    <w:rPr>
      <w:sz w:val="21"/>
    </w:rPr>
  </w:style>
  <w:style w:type="paragraph" w:customStyle="1" w:styleId="3366">
    <w:name w:val="表标题4.4 行"/>
    <w:basedOn w:val="1"/>
    <w:qFormat/>
    <w:uiPriority w:val="0"/>
    <w:pPr>
      <w:tabs>
        <w:tab w:val="left" w:pos="1260"/>
        <w:tab w:val="left" w:pos="2723"/>
      </w:tabs>
      <w:spacing w:beforeLines="100" w:line="0" w:lineRule="atLeast"/>
      <w:ind w:left="1260" w:hanging="780" w:firstLineChars="200"/>
      <w:jc w:val="center"/>
    </w:pPr>
    <w:rPr>
      <w:rFonts w:ascii="Arial Unicode MS" w:hAnsi="Arial Unicode MS" w:eastAsia="仿宋体" w:cs="Sim Sun"/>
      <w:b/>
      <w:bCs/>
      <w:color w:val="000000"/>
      <w:sz w:val="24"/>
      <w:szCs w:val="20"/>
    </w:rPr>
  </w:style>
  <w:style w:type="paragraph" w:customStyle="1" w:styleId="3367">
    <w:name w:val="表格应用模板3"/>
    <w:basedOn w:val="1"/>
    <w:qFormat/>
    <w:uiPriority w:val="0"/>
    <w:pPr>
      <w:ind w:firstLine="420" w:firstLineChars="200"/>
      <w:jc w:val="center"/>
    </w:pPr>
    <w:rPr>
      <w:rFonts w:ascii="Times New Roman" w:hAnsi="宋体" w:cs="宋体"/>
      <w:sz w:val="21"/>
      <w:szCs w:val="20"/>
    </w:rPr>
  </w:style>
  <w:style w:type="paragraph" w:customStyle="1" w:styleId="3368">
    <w:name w:val="xl45"/>
    <w:basedOn w:val="1"/>
    <w:qFormat/>
    <w:uiPriority w:val="0"/>
    <w:pPr>
      <w:widowControl/>
      <w:pBdr>
        <w:left w:val="single" w:color="auto" w:sz="4" w:space="0"/>
        <w:bottom w:val="single" w:color="auto" w:sz="4" w:space="0"/>
      </w:pBdr>
      <w:spacing w:before="100" w:beforeAutospacing="1" w:after="100" w:afterAutospacing="1"/>
      <w:jc w:val="center"/>
    </w:pPr>
    <w:rPr>
      <w:rFonts w:ascii="Verdana" w:hAnsi="Verdana" w:eastAsia="黑体" w:cs="黑体"/>
      <w:b/>
      <w:bCs/>
      <w:kern w:val="0"/>
      <w:sz w:val="20"/>
      <w:szCs w:val="20"/>
    </w:rPr>
  </w:style>
  <w:style w:type="paragraph" w:customStyle="1" w:styleId="3369">
    <w:name w:val="列表编号 31"/>
    <w:basedOn w:val="1"/>
    <w:qFormat/>
    <w:uiPriority w:val="0"/>
    <w:pPr>
      <w:tabs>
        <w:tab w:val="left" w:pos="1200"/>
      </w:tabs>
      <w:spacing w:line="480" w:lineRule="exact"/>
      <w:ind w:left="1200" w:leftChars="400" w:hanging="360" w:hangingChars="200"/>
    </w:pPr>
    <w:rPr>
      <w:rFonts w:ascii="Arial Unicode MS" w:hAnsi="Arial Unicode MS" w:cs="Vladimir Script"/>
      <w:sz w:val="24"/>
      <w:szCs w:val="24"/>
    </w:rPr>
  </w:style>
  <w:style w:type="paragraph" w:customStyle="1" w:styleId="3370">
    <w:name w:val="Sun"/>
    <w:basedOn w:val="1"/>
    <w:qFormat/>
    <w:uiPriority w:val="0"/>
    <w:pPr>
      <w:adjustRightInd w:val="0"/>
      <w:spacing w:line="360" w:lineRule="auto"/>
      <w:ind w:firstLine="567" w:firstLineChars="200"/>
      <w:textAlignment w:val="baseline"/>
    </w:pPr>
    <w:rPr>
      <w:rFonts w:ascii="Arial Unicode MS" w:hAnsi="Arial Unicode MS" w:cs="Vladimir Script"/>
      <w:kern w:val="28"/>
      <w:sz w:val="28"/>
      <w:szCs w:val="20"/>
    </w:rPr>
  </w:style>
  <w:style w:type="paragraph" w:customStyle="1" w:styleId="3371">
    <w:name w:val="样式 表内小5中 + 下划线 居中"/>
    <w:basedOn w:val="3348"/>
    <w:qFormat/>
    <w:uiPriority w:val="0"/>
    <w:pPr>
      <w:jc w:val="center"/>
    </w:pPr>
    <w:rPr>
      <w:szCs w:val="20"/>
      <w:u w:val="single"/>
    </w:rPr>
  </w:style>
  <w:style w:type="paragraph" w:customStyle="1" w:styleId="3372">
    <w:name w:val="Char Char1 Char Char Char Char Char Char Char3"/>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373">
    <w:name w:val="Char Char5 Char Char Char Char Char Char Char Char Char2 Char5"/>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374">
    <w:name w:val="p7"/>
    <w:basedOn w:val="1"/>
    <w:qFormat/>
    <w:uiPriority w:val="0"/>
    <w:pPr>
      <w:widowControl/>
      <w:spacing w:before="240" w:after="64" w:line="319" w:lineRule="auto"/>
    </w:pPr>
    <w:rPr>
      <w:rFonts w:ascii="Wingdings" w:hAnsi="Wingdings" w:cs="宋体"/>
      <w:b/>
      <w:bCs/>
      <w:kern w:val="0"/>
      <w:sz w:val="24"/>
      <w:szCs w:val="24"/>
    </w:rPr>
  </w:style>
  <w:style w:type="paragraph" w:customStyle="1" w:styleId="3375">
    <w:name w:val="reader-word-layer reader-word-s21-8"/>
    <w:basedOn w:val="1"/>
    <w:qFormat/>
    <w:uiPriority w:val="0"/>
    <w:pPr>
      <w:widowControl/>
      <w:spacing w:before="100" w:beforeAutospacing="1" w:after="100" w:afterAutospacing="1"/>
      <w:jc w:val="left"/>
    </w:pPr>
    <w:rPr>
      <w:rFonts w:hAnsi="宋体" w:cs="宋体"/>
      <w:kern w:val="0"/>
      <w:sz w:val="24"/>
      <w:szCs w:val="24"/>
    </w:rPr>
  </w:style>
  <w:style w:type="paragraph" w:customStyle="1" w:styleId="3376">
    <w:name w:val="无间隔4"/>
    <w:basedOn w:val="20"/>
    <w:qFormat/>
    <w:uiPriority w:val="0"/>
    <w:pPr>
      <w:tabs>
        <w:tab w:val="left" w:pos="1523"/>
      </w:tabs>
      <w:ind w:firstLine="0"/>
      <w:textAlignment w:val="baseline"/>
      <w:outlineLvl w:val="3"/>
    </w:pPr>
    <w:rPr>
      <w:rFonts w:hint="eastAsia" w:eastAsia="宋体"/>
      <w:snapToGrid/>
      <w:sz w:val="25"/>
      <w:szCs w:val="22"/>
    </w:rPr>
  </w:style>
  <w:style w:type="paragraph" w:customStyle="1" w:styleId="3377">
    <w:name w:val="reader-word-layer reader-word-s25-18"/>
    <w:basedOn w:val="1"/>
    <w:qFormat/>
    <w:uiPriority w:val="0"/>
    <w:pPr>
      <w:widowControl/>
      <w:spacing w:before="100" w:beforeAutospacing="1" w:after="100" w:afterAutospacing="1"/>
      <w:jc w:val="left"/>
    </w:pPr>
    <w:rPr>
      <w:rFonts w:hAnsi="宋体" w:cs="宋体"/>
      <w:kern w:val="0"/>
      <w:sz w:val="24"/>
      <w:szCs w:val="24"/>
    </w:rPr>
  </w:style>
  <w:style w:type="paragraph" w:customStyle="1" w:styleId="3378">
    <w:name w:val="00 正文"/>
    <w:qFormat/>
    <w:uiPriority w:val="0"/>
    <w:pPr>
      <w:tabs>
        <w:tab w:val="left" w:pos="780"/>
        <w:tab w:val="left" w:pos="1260"/>
      </w:tabs>
      <w:spacing w:line="520" w:lineRule="exact"/>
      <w:ind w:left="1260" w:hanging="780"/>
      <w:jc w:val="both"/>
    </w:pPr>
    <w:rPr>
      <w:rFonts w:ascii="Calibri" w:hAnsi="宋体" w:eastAsia="宋体" w:cs="Times New Roman"/>
      <w:snapToGrid w:val="0"/>
      <w:color w:val="000000"/>
      <w:sz w:val="24"/>
      <w:szCs w:val="24"/>
      <w:lang w:val="en-US" w:eastAsia="zh-CN" w:bidi="ar-SA"/>
    </w:rPr>
  </w:style>
  <w:style w:type="paragraph" w:customStyle="1" w:styleId="3379">
    <w:name w:val="封面正文"/>
    <w:qFormat/>
    <w:uiPriority w:val="0"/>
    <w:pPr>
      <w:jc w:val="both"/>
    </w:pPr>
    <w:rPr>
      <w:rFonts w:ascii="Calibri" w:hAnsi="Calibri" w:eastAsia="宋体" w:cs="Times New Roman"/>
      <w:lang w:val="en-US" w:eastAsia="zh-CN" w:bidi="ar-SA"/>
    </w:rPr>
  </w:style>
  <w:style w:type="paragraph" w:customStyle="1" w:styleId="3380">
    <w:name w:val="垃圾 表标题"/>
    <w:basedOn w:val="1"/>
    <w:qFormat/>
    <w:uiPriority w:val="0"/>
    <w:pPr>
      <w:snapToGrid w:val="0"/>
      <w:spacing w:line="440" w:lineRule="exact"/>
      <w:jc w:val="center"/>
    </w:pPr>
    <w:rPr>
      <w:rFonts w:ascii="仿宋_GB2312" w:eastAsia="仿宋_GB2312"/>
      <w:sz w:val="28"/>
      <w:szCs w:val="28"/>
    </w:rPr>
  </w:style>
  <w:style w:type="paragraph" w:customStyle="1" w:styleId="3381">
    <w:name w:val="表内字体"/>
    <w:basedOn w:val="1"/>
    <w:qFormat/>
    <w:uiPriority w:val="0"/>
    <w:pPr>
      <w:jc w:val="center"/>
    </w:pPr>
    <w:rPr>
      <w:rFonts w:hAnsi="宋体"/>
      <w:sz w:val="21"/>
      <w:szCs w:val="21"/>
    </w:rPr>
  </w:style>
  <w:style w:type="paragraph" w:customStyle="1" w:styleId="3382">
    <w:name w:val="样式 首行缩进:  0.77 厘米 行距: 固定值 20 磅"/>
    <w:basedOn w:val="1"/>
    <w:qFormat/>
    <w:uiPriority w:val="0"/>
    <w:pPr>
      <w:spacing w:line="360" w:lineRule="auto"/>
      <w:ind w:firstLine="435"/>
    </w:pPr>
    <w:rPr>
      <w:rFonts w:ascii="Times New Roman"/>
      <w:sz w:val="24"/>
      <w:szCs w:val="20"/>
    </w:rPr>
  </w:style>
  <w:style w:type="paragraph" w:customStyle="1" w:styleId="3383">
    <w:name w:val="样式 样式 样式 00正文 + 左侧:  1.27 厘米 + 首行缩进:  2 字符 + 首行缩进:  2 字符"/>
    <w:basedOn w:val="1"/>
    <w:qFormat/>
    <w:uiPriority w:val="0"/>
    <w:pPr>
      <w:snapToGrid w:val="0"/>
      <w:spacing w:line="360" w:lineRule="auto"/>
      <w:ind w:firstLine="560" w:firstLineChars="200"/>
      <w:jc w:val="left"/>
    </w:pPr>
    <w:rPr>
      <w:rFonts w:ascii="Times New Roman" w:eastAsia="新宋体" w:cs="宋体"/>
      <w:sz w:val="28"/>
      <w:szCs w:val="20"/>
    </w:rPr>
  </w:style>
  <w:style w:type="paragraph" w:customStyle="1" w:styleId="3384">
    <w:name w:val="报告表格"/>
    <w:basedOn w:val="1"/>
    <w:qFormat/>
    <w:uiPriority w:val="0"/>
    <w:pPr>
      <w:autoSpaceDE w:val="0"/>
      <w:autoSpaceDN w:val="0"/>
      <w:adjustRightInd w:val="0"/>
      <w:spacing w:before="40" w:after="40"/>
      <w:jc w:val="center"/>
      <w:textAlignment w:val="baseline"/>
    </w:pPr>
    <w:rPr>
      <w:rFonts w:ascii="Times New Roman"/>
      <w:kern w:val="0"/>
      <w:sz w:val="20"/>
      <w:szCs w:val="20"/>
    </w:rPr>
  </w:style>
  <w:style w:type="paragraph" w:customStyle="1" w:styleId="3385">
    <w:name w:val="reader-word-layer reader-word-s25-12"/>
    <w:basedOn w:val="1"/>
    <w:qFormat/>
    <w:uiPriority w:val="0"/>
    <w:pPr>
      <w:widowControl/>
      <w:spacing w:before="100" w:beforeAutospacing="1" w:after="100" w:afterAutospacing="1"/>
      <w:jc w:val="left"/>
    </w:pPr>
    <w:rPr>
      <w:rFonts w:hAnsi="宋体" w:cs="宋体"/>
      <w:kern w:val="0"/>
      <w:sz w:val="24"/>
      <w:szCs w:val="24"/>
    </w:rPr>
  </w:style>
  <w:style w:type="paragraph" w:customStyle="1" w:styleId="3386">
    <w:name w:val="aaa正文"/>
    <w:basedOn w:val="1"/>
    <w:qFormat/>
    <w:uiPriority w:val="0"/>
    <w:pPr>
      <w:spacing w:line="360" w:lineRule="auto"/>
      <w:ind w:firstLine="200" w:firstLineChars="200"/>
    </w:pPr>
    <w:rPr>
      <w:rFonts w:ascii="Times New Roman"/>
      <w:kern w:val="0"/>
      <w:sz w:val="24"/>
      <w:szCs w:val="20"/>
    </w:rPr>
  </w:style>
  <w:style w:type="paragraph" w:customStyle="1" w:styleId="3387">
    <w:name w:val="样式3wf"/>
    <w:basedOn w:val="442"/>
    <w:qFormat/>
    <w:uiPriority w:val="0"/>
    <w:pPr>
      <w:pBdr>
        <w:bottom w:val="none" w:color="auto" w:sz="0" w:space="0"/>
      </w:pBdr>
      <w:tabs>
        <w:tab w:val="clear" w:pos="4153"/>
        <w:tab w:val="clear" w:pos="8306"/>
      </w:tabs>
      <w:autoSpaceDE w:val="0"/>
      <w:autoSpaceDN w:val="0"/>
      <w:adjustRightInd w:val="0"/>
      <w:spacing w:before="120"/>
    </w:pPr>
    <w:rPr>
      <w:rFonts w:ascii="Times New Roman" w:eastAsia="宋体" w:cs="Arial"/>
      <w:spacing w:val="0"/>
      <w:sz w:val="21"/>
      <w:szCs w:val="21"/>
    </w:rPr>
  </w:style>
  <w:style w:type="paragraph" w:customStyle="1" w:styleId="3388">
    <w:name w:val="标题9"/>
    <w:basedOn w:val="1"/>
    <w:next w:val="1"/>
    <w:qFormat/>
    <w:uiPriority w:val="0"/>
    <w:pPr>
      <w:jc w:val="center"/>
    </w:pPr>
    <w:rPr>
      <w:rFonts w:ascii="Times New Roman" w:eastAsia="黑体"/>
      <w:sz w:val="32"/>
      <w:szCs w:val="20"/>
    </w:rPr>
  </w:style>
  <w:style w:type="paragraph" w:customStyle="1" w:styleId="3389">
    <w:name w:val="ljw子标题"/>
    <w:basedOn w:val="1"/>
    <w:next w:val="32"/>
    <w:qFormat/>
    <w:uiPriority w:val="0"/>
    <w:pPr>
      <w:adjustRightInd w:val="0"/>
      <w:snapToGrid w:val="0"/>
      <w:spacing w:beforeLines="50" w:afterLines="50" w:line="440" w:lineRule="exact"/>
      <w:ind w:firstLine="200" w:firstLineChars="200"/>
      <w:jc w:val="left"/>
    </w:pPr>
    <w:rPr>
      <w:rFonts w:ascii="Sim Sun" w:hAnsi="Sim Sun" w:cs="Vladimir Script"/>
      <w:b/>
      <w:sz w:val="24"/>
      <w:szCs w:val="28"/>
    </w:rPr>
  </w:style>
  <w:style w:type="paragraph" w:customStyle="1" w:styleId="3390">
    <w:name w:val="正文文本 221"/>
    <w:basedOn w:val="1"/>
    <w:qFormat/>
    <w:uiPriority w:val="0"/>
    <w:pPr>
      <w:adjustRightInd w:val="0"/>
      <w:spacing w:line="440" w:lineRule="exact"/>
      <w:ind w:firstLine="425" w:firstLineChars="200"/>
      <w:textAlignment w:val="baseline"/>
    </w:pPr>
    <w:rPr>
      <w:rFonts w:ascii="Arial Unicode MS" w:hAnsi="Arial Unicode MS" w:cs="Vladimir Script"/>
      <w:sz w:val="21"/>
      <w:szCs w:val="20"/>
    </w:rPr>
  </w:style>
  <w:style w:type="paragraph" w:customStyle="1" w:styleId="3391">
    <w:name w:val="样式 图表 + 首行缩进:  2 字符1"/>
    <w:basedOn w:val="1"/>
    <w:semiHidden/>
    <w:qFormat/>
    <w:uiPriority w:val="0"/>
    <w:pPr>
      <w:adjustRightInd w:val="0"/>
      <w:snapToGrid w:val="0"/>
      <w:spacing w:beforeLines="20"/>
      <w:ind w:left="-102" w:leftChars="-50" w:right="-105" w:rightChars="-50" w:hanging="3"/>
      <w:jc w:val="center"/>
    </w:pPr>
    <w:rPr>
      <w:rFonts w:ascii="Times New Roman" w:eastAsia="仿宋_GB2312"/>
      <w:color w:val="000000"/>
      <w:sz w:val="21"/>
      <w:szCs w:val="24"/>
    </w:rPr>
  </w:style>
  <w:style w:type="paragraph" w:customStyle="1" w:styleId="3392">
    <w:name w:val="TOC Heading_49260e00-ec12-49b4-a81f-e8df7c667bae"/>
    <w:basedOn w:val="3"/>
    <w:next w:val="1"/>
    <w:qFormat/>
    <w:uiPriority w:val="0"/>
    <w:pPr>
      <w:spacing w:beforeLines="0" w:after="330" w:line="578" w:lineRule="auto"/>
      <w:outlineLvl w:val="9"/>
    </w:pPr>
    <w:rPr>
      <w:rFonts w:ascii="Calibri" w:hAnsi="Calibri" w:eastAsia="宋体"/>
      <w:b/>
      <w:bCs/>
      <w:snapToGrid/>
      <w:sz w:val="44"/>
      <w:szCs w:val="44"/>
    </w:rPr>
  </w:style>
  <w:style w:type="paragraph" w:customStyle="1" w:styleId="3393">
    <w:name w:val="Char2 Char Char Char Char Char Char4"/>
    <w:basedOn w:val="1"/>
    <w:qFormat/>
    <w:uiPriority w:val="0"/>
    <w:rPr>
      <w:rFonts w:ascii="Times New Roman"/>
      <w:sz w:val="21"/>
      <w:szCs w:val="20"/>
    </w:rPr>
  </w:style>
  <w:style w:type="paragraph" w:customStyle="1" w:styleId="3394">
    <w:name w:val="图表头2"/>
    <w:basedOn w:val="160"/>
    <w:qFormat/>
    <w:uiPriority w:val="0"/>
    <w:pPr>
      <w:spacing w:line="240" w:lineRule="auto"/>
      <w:ind w:right="42" w:rightChars="20"/>
    </w:pPr>
    <w:rPr>
      <w:rFonts w:hAnsi="宋体"/>
      <w:kern w:val="2"/>
      <w:szCs w:val="21"/>
    </w:rPr>
  </w:style>
  <w:style w:type="paragraph" w:customStyle="1" w:styleId="3395">
    <w:name w:val="Char12 Char Char Char1"/>
    <w:basedOn w:val="1"/>
    <w:qFormat/>
    <w:uiPriority w:val="0"/>
    <w:pPr>
      <w:spacing w:after="160" w:line="240" w:lineRule="exact"/>
      <w:jc w:val="left"/>
    </w:pPr>
    <w:rPr>
      <w:rFonts w:ascii="Times New Roman"/>
      <w:sz w:val="21"/>
      <w:szCs w:val="24"/>
    </w:rPr>
  </w:style>
  <w:style w:type="paragraph" w:customStyle="1" w:styleId="3396">
    <w:name w:val="图号样式100"/>
    <w:basedOn w:val="32"/>
    <w:qFormat/>
    <w:uiPriority w:val="0"/>
    <w:pPr>
      <w:widowControl/>
      <w:spacing w:after="0" w:line="360" w:lineRule="auto"/>
      <w:jc w:val="center"/>
    </w:pPr>
    <w:rPr>
      <w:rFonts w:hAnsi="宋体"/>
      <w:kern w:val="0"/>
      <w:sz w:val="24"/>
      <w:szCs w:val="24"/>
    </w:rPr>
  </w:style>
  <w:style w:type="paragraph" w:customStyle="1" w:styleId="3397">
    <w:name w:val="样式 标题 1 + 宋体 二号 加粗 两端对齐 段前: 17 磅 段后: 16.5 磅 行距: 多倍行距 2.41 ..."/>
    <w:basedOn w:val="3"/>
    <w:qFormat/>
    <w:uiPriority w:val="0"/>
    <w:pPr>
      <w:tabs>
        <w:tab w:val="left" w:pos="425"/>
      </w:tabs>
      <w:spacing w:beforeLines="0" w:after="330" w:line="578" w:lineRule="auto"/>
      <w:ind w:left="425" w:hanging="425"/>
    </w:pPr>
    <w:rPr>
      <w:rFonts w:ascii="Arial" w:hAnsi="Arial" w:eastAsia="宋体"/>
      <w:b/>
      <w:bCs/>
      <w:snapToGrid/>
      <w:sz w:val="44"/>
      <w:szCs w:val="44"/>
    </w:rPr>
  </w:style>
  <w:style w:type="paragraph" w:customStyle="1" w:styleId="3398">
    <w:name w:val="尾注文本3"/>
    <w:basedOn w:val="1369"/>
    <w:qFormat/>
    <w:uiPriority w:val="0"/>
    <w:pPr>
      <w:spacing w:line="360" w:lineRule="atLeast"/>
      <w:jc w:val="left"/>
    </w:pPr>
    <w:rPr>
      <w:rFonts w:ascii="宋体" w:hAnsi="Calibri" w:eastAsia="宋体"/>
      <w:spacing w:val="0"/>
      <w:sz w:val="21"/>
    </w:rPr>
  </w:style>
  <w:style w:type="paragraph" w:customStyle="1" w:styleId="3399">
    <w:name w:val="封面环评"/>
    <w:basedOn w:val="1"/>
    <w:qFormat/>
    <w:uiPriority w:val="0"/>
    <w:pPr>
      <w:adjustRightInd w:val="0"/>
      <w:snapToGrid w:val="0"/>
      <w:spacing w:line="360" w:lineRule="auto"/>
      <w:jc w:val="center"/>
    </w:pPr>
    <w:rPr>
      <w:rFonts w:ascii="Times New Roman" w:eastAsia="楷体_GB2312"/>
      <w:b/>
      <w:bCs/>
      <w:snapToGrid w:val="0"/>
      <w:kern w:val="0"/>
      <w:sz w:val="36"/>
      <w:szCs w:val="24"/>
    </w:rPr>
  </w:style>
  <w:style w:type="paragraph" w:customStyle="1" w:styleId="3400">
    <w:name w:val="段标"/>
    <w:basedOn w:val="1"/>
    <w:qFormat/>
    <w:uiPriority w:val="0"/>
    <w:pPr>
      <w:adjustRightInd w:val="0"/>
      <w:spacing w:line="360" w:lineRule="auto"/>
      <w:ind w:firstLine="567" w:firstLineChars="200"/>
      <w:jc w:val="left"/>
      <w:textAlignment w:val="baseline"/>
    </w:pPr>
    <w:rPr>
      <w:rFonts w:ascii="Arial Unicode MS" w:hAnsi="Arial Unicode MS" w:cs="Vladimir Script"/>
      <w:kern w:val="0"/>
      <w:sz w:val="28"/>
      <w:szCs w:val="20"/>
    </w:rPr>
  </w:style>
  <w:style w:type="paragraph" w:customStyle="1" w:styleId="3401">
    <w:name w:val="样式 标题 4条标题1.1.1.1款标题1.1.1.1H4Subsection1.1.1.1标题 4.1.1.1.1...1"/>
    <w:basedOn w:val="6"/>
    <w:qFormat/>
    <w:uiPriority w:val="0"/>
    <w:pPr>
      <w:tabs>
        <w:tab w:val="left" w:pos="2356"/>
        <w:tab w:val="clear" w:pos="360"/>
        <w:tab w:val="clear" w:pos="2207"/>
      </w:tabs>
      <w:adjustRightInd w:val="0"/>
      <w:spacing w:beforeLines="0" w:afterLines="0" w:line="312" w:lineRule="auto"/>
      <w:ind w:left="1984" w:firstLine="57"/>
      <w:jc w:val="left"/>
      <w:textAlignment w:val="baseline"/>
    </w:pPr>
    <w:rPr>
      <w:rFonts w:eastAsia="宋体" w:cs="宋体"/>
      <w:b/>
      <w:bCs/>
      <w:snapToGrid/>
      <w:color w:val="auto"/>
      <w:kern w:val="0"/>
      <w:szCs w:val="20"/>
    </w:rPr>
  </w:style>
  <w:style w:type="paragraph" w:customStyle="1" w:styleId="3402">
    <w:name w:val="样式 正文 +1"/>
    <w:basedOn w:val="1"/>
    <w:qFormat/>
    <w:uiPriority w:val="0"/>
    <w:pPr>
      <w:spacing w:line="360" w:lineRule="auto"/>
      <w:ind w:firstLine="200" w:firstLineChars="200"/>
      <w:jc w:val="left"/>
    </w:pPr>
    <w:rPr>
      <w:rFonts w:ascii="Times New Roman" w:cs="宋体"/>
      <w:sz w:val="24"/>
      <w:szCs w:val="20"/>
    </w:rPr>
  </w:style>
  <w:style w:type="paragraph" w:customStyle="1" w:styleId="3403">
    <w:name w:val="样式 (符号) 宋体 加粗"/>
    <w:basedOn w:val="1"/>
    <w:qFormat/>
    <w:uiPriority w:val="0"/>
    <w:pPr>
      <w:tabs>
        <w:tab w:val="left" w:pos="864"/>
      </w:tabs>
      <w:spacing w:line="360" w:lineRule="auto"/>
      <w:ind w:left="864" w:hanging="864"/>
      <w:outlineLvl w:val="3"/>
    </w:pPr>
    <w:rPr>
      <w:rFonts w:ascii="Times New Roman"/>
      <w:b/>
      <w:sz w:val="24"/>
      <w:szCs w:val="20"/>
    </w:rPr>
  </w:style>
  <w:style w:type="paragraph" w:customStyle="1" w:styleId="3404">
    <w:name w:val="reader-word-layer reader-word-s20-15"/>
    <w:basedOn w:val="1"/>
    <w:qFormat/>
    <w:uiPriority w:val="0"/>
    <w:pPr>
      <w:widowControl/>
      <w:spacing w:before="100" w:beforeAutospacing="1" w:after="100" w:afterAutospacing="1"/>
      <w:jc w:val="left"/>
    </w:pPr>
    <w:rPr>
      <w:rFonts w:hAnsi="宋体" w:cs="宋体"/>
      <w:kern w:val="0"/>
      <w:sz w:val="24"/>
      <w:szCs w:val="24"/>
    </w:rPr>
  </w:style>
  <w:style w:type="paragraph" w:customStyle="1" w:styleId="3405">
    <w:name w:val="样式 标题 1 + 段前: 2 行 段后: 2 行"/>
    <w:basedOn w:val="3"/>
    <w:qFormat/>
    <w:uiPriority w:val="0"/>
    <w:pPr>
      <w:widowControl/>
      <w:tabs>
        <w:tab w:val="left" w:pos="425"/>
        <w:tab w:val="left" w:pos="1280"/>
      </w:tabs>
      <w:spacing w:before="340" w:afterLines="200" w:line="240" w:lineRule="auto"/>
      <w:ind w:left="1280" w:hanging="720"/>
      <w:jc w:val="center"/>
    </w:pPr>
    <w:rPr>
      <w:snapToGrid/>
      <w:color w:val="000000"/>
      <w:sz w:val="36"/>
      <w:szCs w:val="20"/>
    </w:rPr>
  </w:style>
  <w:style w:type="paragraph" w:customStyle="1" w:styleId="3406">
    <w:name w:val="档案号"/>
    <w:basedOn w:val="53"/>
    <w:qFormat/>
    <w:uiPriority w:val="0"/>
    <w:pPr>
      <w:pBdr>
        <w:top w:val="none" w:color="auto" w:sz="0" w:space="0"/>
        <w:left w:val="none" w:color="auto" w:sz="0" w:space="0"/>
        <w:bottom w:val="none" w:color="auto" w:sz="0" w:space="0"/>
        <w:right w:val="none" w:color="auto" w:sz="0" w:space="0"/>
      </w:pBdr>
      <w:tabs>
        <w:tab w:val="center" w:pos="4320"/>
        <w:tab w:val="right" w:pos="8640"/>
        <w:tab w:val="clear" w:pos="4153"/>
        <w:tab w:val="clear" w:pos="8306"/>
      </w:tabs>
      <w:adjustRightInd w:val="0"/>
      <w:snapToGrid/>
      <w:spacing w:line="460" w:lineRule="exact"/>
      <w:ind w:firstLine="200" w:firstLineChars="200"/>
      <w:jc w:val="right"/>
      <w:textAlignment w:val="baseline"/>
    </w:pPr>
    <w:rPr>
      <w:rFonts w:ascii="Sim Sun" w:hAnsi="ˎ̥" w:eastAsia="Sim Sun" w:cs="Vladimir Script"/>
      <w:snapToGrid/>
      <w:spacing w:val="3"/>
      <w:kern w:val="24"/>
      <w:sz w:val="24"/>
      <w:szCs w:val="20"/>
    </w:rPr>
  </w:style>
  <w:style w:type="paragraph" w:customStyle="1" w:styleId="3407">
    <w:name w:val="样式 正文（首行缩进两字） Char1标题4 + 宋体 小四 首行缩进:  0.85 厘米"/>
    <w:basedOn w:val="1"/>
    <w:qFormat/>
    <w:uiPriority w:val="0"/>
    <w:pPr>
      <w:adjustRightInd w:val="0"/>
      <w:spacing w:line="440" w:lineRule="atLeast"/>
      <w:ind w:firstLine="482" w:firstLineChars="200"/>
    </w:pPr>
    <w:rPr>
      <w:rFonts w:ascii="Sim Sun" w:hAnsi="Sim Sun" w:cs="Sim Sun"/>
      <w:kern w:val="0"/>
      <w:sz w:val="24"/>
      <w:szCs w:val="20"/>
    </w:rPr>
  </w:style>
  <w:style w:type="paragraph" w:customStyle="1" w:styleId="3408">
    <w:name w:val="表格小4号"/>
    <w:basedOn w:val="1"/>
    <w:qFormat/>
    <w:uiPriority w:val="0"/>
    <w:pPr>
      <w:widowControl/>
      <w:snapToGrid w:val="0"/>
      <w:jc w:val="center"/>
      <w:textAlignment w:val="baseline"/>
    </w:pPr>
    <w:rPr>
      <w:rFonts w:ascii="Arial Narrow" w:hAnsi="Arial Narrow"/>
      <w:spacing w:val="-20"/>
      <w:kern w:val="0"/>
      <w:sz w:val="24"/>
      <w:szCs w:val="24"/>
    </w:rPr>
  </w:style>
  <w:style w:type="paragraph" w:customStyle="1" w:styleId="3409">
    <w:name w:val="附图"/>
    <w:basedOn w:val="1"/>
    <w:qFormat/>
    <w:uiPriority w:val="0"/>
    <w:pPr>
      <w:widowControl/>
      <w:wordWrap w:val="0"/>
      <w:adjustRightInd w:val="0"/>
      <w:spacing w:beforeLines="10" w:afterLines="10" w:line="360" w:lineRule="auto"/>
      <w:ind w:firstLine="471"/>
      <w:textAlignment w:val="baseline"/>
    </w:pPr>
    <w:rPr>
      <w:rFonts w:hAnsi="宋体"/>
      <w:b/>
      <w:kern w:val="0"/>
      <w:sz w:val="28"/>
      <w:szCs w:val="28"/>
    </w:rPr>
  </w:style>
  <w:style w:type="paragraph" w:customStyle="1" w:styleId="3410">
    <w:name w:val="样式 表格1 + 首行缩进:  2 字符1"/>
    <w:basedOn w:val="620"/>
    <w:qFormat/>
    <w:uiPriority w:val="0"/>
    <w:pPr>
      <w:widowControl w:val="0"/>
      <w:adjustRightInd/>
      <w:spacing w:line="400" w:lineRule="exact"/>
      <w:ind w:firstLine="200" w:firstLineChars="200"/>
      <w:jc w:val="left"/>
      <w:textAlignment w:val="auto"/>
    </w:pPr>
    <w:rPr>
      <w:rFonts w:ascii="Arial Unicode MS" w:hAnsi="Arial Unicode MS" w:cs="Sim Sun"/>
      <w:kern w:val="2"/>
      <w:sz w:val="21"/>
      <w:szCs w:val="20"/>
    </w:rPr>
  </w:style>
  <w:style w:type="paragraph" w:customStyle="1" w:styleId="3411">
    <w:name w:val="59"/>
    <w:basedOn w:val="1"/>
    <w:qFormat/>
    <w:uiPriority w:val="0"/>
    <w:pPr>
      <w:spacing w:before="160"/>
      <w:ind w:firstLine="526" w:firstLineChars="200"/>
    </w:pPr>
    <w:rPr>
      <w:rFonts w:hAnsi="宋体"/>
      <w:spacing w:val="5"/>
    </w:rPr>
  </w:style>
  <w:style w:type="paragraph" w:customStyle="1" w:styleId="3412">
    <w:name w:val="目录3"/>
    <w:basedOn w:val="1"/>
    <w:next w:val="1"/>
    <w:semiHidden/>
    <w:qFormat/>
    <w:uiPriority w:val="0"/>
    <w:pPr>
      <w:widowControl/>
      <w:tabs>
        <w:tab w:val="left" w:leader="dot" w:pos="8492"/>
      </w:tabs>
      <w:spacing w:line="748" w:lineRule="atLeast"/>
      <w:ind w:left="419" w:firstLine="419"/>
    </w:pPr>
    <w:rPr>
      <w:color w:val="000000"/>
      <w:kern w:val="0"/>
      <w:sz w:val="21"/>
      <w:szCs w:val="20"/>
      <w:u w:color="000000"/>
    </w:rPr>
  </w:style>
  <w:style w:type="paragraph" w:customStyle="1" w:styleId="3413">
    <w:name w:val="表中居中文字"/>
    <w:basedOn w:val="1"/>
    <w:qFormat/>
    <w:uiPriority w:val="0"/>
    <w:pPr>
      <w:jc w:val="center"/>
    </w:pPr>
    <w:rPr>
      <w:rFonts w:ascii="Times New Roman"/>
      <w:sz w:val="21"/>
      <w:szCs w:val="18"/>
    </w:rPr>
  </w:style>
  <w:style w:type="paragraph" w:customStyle="1" w:styleId="3414">
    <w:name w:val="Char Char Char1 Char Char Char Char Char Char Char Char Char Char Char Char Char Char Char Char Char Char Char Char Char Char3"/>
    <w:basedOn w:val="1"/>
    <w:qFormat/>
    <w:uiPriority w:val="0"/>
    <w:rPr>
      <w:rFonts w:hAnsi="宋体" w:cs="Courier New"/>
      <w:sz w:val="32"/>
      <w:szCs w:val="32"/>
    </w:rPr>
  </w:style>
  <w:style w:type="paragraph" w:customStyle="1" w:styleId="3415">
    <w:name w:val="图表后"/>
    <w:basedOn w:val="1"/>
    <w:qFormat/>
    <w:uiPriority w:val="0"/>
    <w:rPr>
      <w:rFonts w:ascii="Times New Roman"/>
      <w:sz w:val="18"/>
      <w:szCs w:val="24"/>
    </w:rPr>
  </w:style>
  <w:style w:type="paragraph" w:customStyle="1" w:styleId="3416">
    <w:name w:val="环评小于节的标题"/>
    <w:basedOn w:val="1"/>
    <w:qFormat/>
    <w:uiPriority w:val="0"/>
    <w:pPr>
      <w:spacing w:before="200" w:after="200"/>
    </w:pPr>
    <w:rPr>
      <w:rFonts w:ascii="Times New Roman" w:eastAsia="黑体"/>
      <w:b/>
      <w:spacing w:val="20"/>
      <w:sz w:val="28"/>
      <w:szCs w:val="20"/>
    </w:rPr>
  </w:style>
  <w:style w:type="paragraph" w:customStyle="1" w:styleId="3417">
    <w:name w:val="小标题2"/>
    <w:basedOn w:val="1"/>
    <w:qFormat/>
    <w:uiPriority w:val="0"/>
    <w:pPr>
      <w:tabs>
        <w:tab w:val="left" w:pos="5400"/>
      </w:tabs>
      <w:overflowPunct w:val="0"/>
      <w:spacing w:line="336" w:lineRule="auto"/>
      <w:ind w:firstLine="480" w:firstLineChars="200"/>
    </w:pPr>
    <w:rPr>
      <w:rFonts w:ascii="Batang" w:hAnsi="Batang" w:cs="Batang"/>
      <w:sz w:val="24"/>
      <w:szCs w:val="24"/>
    </w:rPr>
  </w:style>
  <w:style w:type="paragraph" w:customStyle="1" w:styleId="3418">
    <w:name w:val="表注+左对齐"/>
    <w:basedOn w:val="1"/>
    <w:qFormat/>
    <w:uiPriority w:val="0"/>
    <w:pPr>
      <w:widowControl/>
      <w:adjustRightInd w:val="0"/>
      <w:snapToGrid w:val="0"/>
      <w:spacing w:line="240" w:lineRule="atLeast"/>
      <w:ind w:firstLine="840" w:firstLineChars="400"/>
      <w:textAlignment w:val="baseline"/>
    </w:pPr>
    <w:rPr>
      <w:rFonts w:ascii="仿宋_GB2312" w:eastAsia="仿宋_GB2312"/>
      <w:sz w:val="21"/>
      <w:szCs w:val="24"/>
    </w:rPr>
  </w:style>
  <w:style w:type="paragraph" w:customStyle="1" w:styleId="3419">
    <w:name w:val="reader-word-layer reader-word-s21-6 reader-word-s21-10"/>
    <w:basedOn w:val="1"/>
    <w:qFormat/>
    <w:uiPriority w:val="0"/>
    <w:pPr>
      <w:widowControl/>
      <w:spacing w:before="100" w:beforeAutospacing="1" w:after="100" w:afterAutospacing="1"/>
      <w:jc w:val="left"/>
    </w:pPr>
    <w:rPr>
      <w:rFonts w:hAnsi="宋体" w:cs="宋体"/>
      <w:kern w:val="0"/>
      <w:sz w:val="24"/>
      <w:szCs w:val="24"/>
    </w:rPr>
  </w:style>
  <w:style w:type="paragraph" w:customStyle="1" w:styleId="3420">
    <w:name w:val="Char Char1 Char Char1 Char Char1 Char Char1 Char Char Char Char Char Char Char3"/>
    <w:basedOn w:val="1"/>
    <w:qFormat/>
    <w:uiPriority w:val="0"/>
    <w:rPr>
      <w:rFonts w:ascii="Times New Roman"/>
      <w:sz w:val="21"/>
      <w:szCs w:val="20"/>
    </w:rPr>
  </w:style>
  <w:style w:type="paragraph" w:customStyle="1" w:styleId="3421">
    <w:name w:val="reader-word-layer reader-word-s28-10 reader-word-s28-22"/>
    <w:basedOn w:val="1"/>
    <w:qFormat/>
    <w:uiPriority w:val="0"/>
    <w:pPr>
      <w:widowControl/>
      <w:spacing w:before="100" w:beforeAutospacing="1" w:after="100" w:afterAutospacing="1"/>
      <w:jc w:val="left"/>
    </w:pPr>
    <w:rPr>
      <w:rFonts w:hAnsi="宋体" w:cs="宋体"/>
      <w:kern w:val="0"/>
      <w:sz w:val="24"/>
      <w:szCs w:val="24"/>
    </w:rPr>
  </w:style>
  <w:style w:type="paragraph" w:customStyle="1" w:styleId="3422">
    <w:name w:val="清除格式"/>
    <w:basedOn w:val="1"/>
    <w:qFormat/>
    <w:uiPriority w:val="0"/>
    <w:pPr>
      <w:spacing w:line="360" w:lineRule="auto"/>
      <w:ind w:firstLine="540" w:firstLineChars="200"/>
      <w:jc w:val="left"/>
    </w:pPr>
    <w:rPr>
      <w:rFonts w:ascii="Times New Roman"/>
      <w:sz w:val="30"/>
      <w:szCs w:val="20"/>
    </w:rPr>
  </w:style>
  <w:style w:type="paragraph" w:customStyle="1" w:styleId="3423">
    <w:name w:val="a1"/>
    <w:basedOn w:val="1"/>
    <w:qFormat/>
    <w:uiPriority w:val="0"/>
    <w:pPr>
      <w:widowControl/>
      <w:spacing w:before="100" w:beforeAutospacing="1" w:after="100" w:afterAutospacing="1"/>
      <w:jc w:val="left"/>
    </w:pPr>
    <w:rPr>
      <w:rFonts w:hAnsi="宋体"/>
      <w:color w:val="000000"/>
      <w:kern w:val="0"/>
      <w:sz w:val="24"/>
      <w:szCs w:val="24"/>
    </w:rPr>
  </w:style>
  <w:style w:type="paragraph" w:customStyle="1" w:styleId="3424">
    <w:name w:val="日期4"/>
    <w:basedOn w:val="1"/>
    <w:next w:val="1"/>
    <w:qFormat/>
    <w:uiPriority w:val="0"/>
    <w:pPr>
      <w:adjustRightInd w:val="0"/>
      <w:snapToGrid w:val="0"/>
      <w:textAlignment w:val="baseline"/>
    </w:pPr>
    <w:rPr>
      <w:rFonts w:ascii="Times New Roman"/>
      <w:sz w:val="21"/>
      <w:szCs w:val="20"/>
    </w:rPr>
  </w:style>
  <w:style w:type="paragraph" w:customStyle="1" w:styleId="3425">
    <w:name w:val="新标题1"/>
    <w:basedOn w:val="3"/>
    <w:qFormat/>
    <w:uiPriority w:val="0"/>
    <w:pPr>
      <w:tabs>
        <w:tab w:val="left" w:pos="425"/>
        <w:tab w:val="left" w:pos="845"/>
      </w:tabs>
      <w:overflowPunct w:val="0"/>
      <w:topLinePunct/>
      <w:autoSpaceDE w:val="0"/>
      <w:autoSpaceDN w:val="0"/>
      <w:adjustRightInd w:val="0"/>
      <w:snapToGrid w:val="0"/>
      <w:spacing w:beforeLines="0" w:after="120" w:line="440" w:lineRule="exact"/>
      <w:ind w:left="845" w:firstLine="200" w:firstLineChars="200"/>
      <w:textAlignment w:val="baseline"/>
    </w:pPr>
    <w:rPr>
      <w:rFonts w:ascii="Arial Unicode MS" w:hAnsi="Arial Unicode MS" w:eastAsia="Sim Sun" w:cs="Sim Sun"/>
      <w:b/>
      <w:bCs/>
      <w:snapToGrid/>
      <w:color w:val="000000"/>
      <w:sz w:val="30"/>
      <w:szCs w:val="20"/>
    </w:rPr>
  </w:style>
  <w:style w:type="paragraph" w:customStyle="1" w:styleId="3426">
    <w:name w:val="L0.5"/>
    <w:basedOn w:val="858"/>
    <w:qFormat/>
    <w:uiPriority w:val="0"/>
    <w:pPr>
      <w:tabs>
        <w:tab w:val="left" w:pos="465"/>
      </w:tabs>
      <w:spacing w:line="480" w:lineRule="atLeast"/>
      <w:ind w:left="284" w:hanging="465"/>
      <w:jc w:val="left"/>
    </w:pPr>
    <w:rPr>
      <w:rFonts w:ascii="華康中楷體" w:hAnsi="Calibri" w:eastAsia="華康中楷體"/>
      <w:spacing w:val="0"/>
      <w:kern w:val="2"/>
      <w:sz w:val="24"/>
      <w:szCs w:val="22"/>
      <w:lang w:eastAsia="zh-TW"/>
    </w:rPr>
  </w:style>
  <w:style w:type="paragraph" w:customStyle="1" w:styleId="3427">
    <w:name w:val="样式 标题 2标题2H2h2第一层条 + 黑体 四号 非加粗 段前: 0 磅 段后: 0 磅 行距: 固定值 ..."/>
    <w:basedOn w:val="4"/>
    <w:qFormat/>
    <w:uiPriority w:val="0"/>
    <w:pPr>
      <w:tabs>
        <w:tab w:val="left" w:pos="567"/>
        <w:tab w:val="left" w:pos="992"/>
      </w:tabs>
      <w:adjustRightInd w:val="0"/>
      <w:spacing w:before="0" w:after="0" w:line="500" w:lineRule="exact"/>
      <w:ind w:left="567" w:hanging="567"/>
      <w:textAlignment w:val="baseline"/>
    </w:pPr>
    <w:rPr>
      <w:rFonts w:ascii="黑体" w:hAnsi="黑体" w:eastAsia="黑体" w:cs="宋体"/>
      <w:b w:val="0"/>
      <w:bCs w:val="0"/>
      <w:snapToGrid/>
      <w:sz w:val="28"/>
      <w:szCs w:val="24"/>
    </w:rPr>
  </w:style>
  <w:style w:type="paragraph" w:customStyle="1" w:styleId="3428">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3429">
    <w:name w:val="左五"/>
    <w:basedOn w:val="1"/>
    <w:semiHidden/>
    <w:qFormat/>
    <w:uiPriority w:val="0"/>
    <w:pPr>
      <w:adjustRightInd w:val="0"/>
      <w:snapToGrid w:val="0"/>
      <w:spacing w:line="280" w:lineRule="exact"/>
      <w:jc w:val="left"/>
    </w:pPr>
    <w:rPr>
      <w:rFonts w:hAnsi="Symusic"/>
      <w:color w:val="000000"/>
      <w:sz w:val="18"/>
      <w:szCs w:val="24"/>
    </w:rPr>
  </w:style>
  <w:style w:type="paragraph" w:customStyle="1" w:styleId="3430">
    <w:name w:val="样式 样式 标题 4 + 段前: 0.5 行 段后: 0.5 行 + 段前: 0.5 行 段后: 0.5 行"/>
    <w:basedOn w:val="1"/>
    <w:semiHidden/>
    <w:qFormat/>
    <w:uiPriority w:val="0"/>
    <w:pPr>
      <w:keepNext/>
      <w:keepLines/>
      <w:tabs>
        <w:tab w:val="left" w:pos="2160"/>
      </w:tabs>
      <w:spacing w:beforeLines="50" w:afterLines="50" w:line="360" w:lineRule="auto"/>
      <w:ind w:left="2160" w:hanging="420"/>
      <w:jc w:val="left"/>
      <w:outlineLvl w:val="3"/>
    </w:pPr>
    <w:rPr>
      <w:rFonts w:ascii="Times New Roman" w:eastAsia="楷体_GB2312" w:cs="宋体"/>
      <w:color w:val="000000"/>
      <w:sz w:val="24"/>
      <w:szCs w:val="20"/>
    </w:rPr>
  </w:style>
  <w:style w:type="paragraph" w:customStyle="1" w:styleId="3431">
    <w:name w:val="+标题3"/>
    <w:basedOn w:val="5"/>
    <w:qFormat/>
    <w:uiPriority w:val="0"/>
    <w:pPr>
      <w:tabs>
        <w:tab w:val="left" w:pos="0"/>
        <w:tab w:val="left" w:pos="1571"/>
        <w:tab w:val="left" w:pos="1740"/>
      </w:tabs>
      <w:snapToGrid w:val="0"/>
      <w:spacing w:before="240" w:after="0" w:line="360" w:lineRule="auto"/>
      <w:ind w:left="1740" w:firstLine="480"/>
      <w:outlineLvl w:val="0"/>
    </w:pPr>
    <w:rPr>
      <w:b w:val="0"/>
      <w:bCs w:val="0"/>
      <w:sz w:val="24"/>
      <w:szCs w:val="24"/>
    </w:rPr>
  </w:style>
  <w:style w:type="paragraph" w:customStyle="1" w:styleId="3432">
    <w:name w:val="右五"/>
    <w:basedOn w:val="3429"/>
    <w:next w:val="1"/>
    <w:semiHidden/>
    <w:qFormat/>
    <w:uiPriority w:val="0"/>
    <w:pPr>
      <w:jc w:val="right"/>
    </w:pPr>
  </w:style>
  <w:style w:type="paragraph" w:customStyle="1" w:styleId="3433">
    <w:name w:val="样式 样式 正文首行缩进 + 首行缩进:  2 字符1 + 段前: 6 磅"/>
    <w:basedOn w:val="3102"/>
    <w:qFormat/>
    <w:uiPriority w:val="0"/>
    <w:pPr>
      <w:spacing w:before="240"/>
      <w:ind w:firstLine="200"/>
    </w:pPr>
    <w:rPr>
      <w:rFonts w:ascii="Times New Roman" w:hAnsi="Times New Roman"/>
      <w:szCs w:val="20"/>
      <w:lang w:val="en-US"/>
    </w:rPr>
  </w:style>
  <w:style w:type="paragraph" w:customStyle="1" w:styleId="3434">
    <w:name w:val="扉页格式"/>
    <w:basedOn w:val="1"/>
    <w:qFormat/>
    <w:uiPriority w:val="0"/>
    <w:pPr>
      <w:widowControl/>
      <w:spacing w:before="120" w:line="360" w:lineRule="auto"/>
      <w:ind w:firstLine="1980" w:firstLineChars="618"/>
    </w:pPr>
    <w:rPr>
      <w:rFonts w:hAnsi="宋体"/>
      <w:kern w:val="0"/>
      <w:sz w:val="32"/>
      <w:szCs w:val="32"/>
    </w:rPr>
  </w:style>
  <w:style w:type="paragraph" w:customStyle="1" w:styleId="3435">
    <w:name w:val="正文仿宋"/>
    <w:basedOn w:val="1"/>
    <w:semiHidden/>
    <w:qFormat/>
    <w:uiPriority w:val="0"/>
    <w:pPr>
      <w:adjustRightInd w:val="0"/>
      <w:snapToGrid w:val="0"/>
      <w:spacing w:line="360" w:lineRule="auto"/>
      <w:ind w:firstLine="567"/>
    </w:pPr>
    <w:rPr>
      <w:rFonts w:ascii="Times New Roman" w:eastAsia="仿宋_GB2312"/>
      <w:kern w:val="0"/>
      <w:sz w:val="24"/>
      <w:szCs w:val="20"/>
    </w:rPr>
  </w:style>
  <w:style w:type="paragraph" w:customStyle="1" w:styleId="3436">
    <w:name w:val="样式 标题 1标题 1宋旭峰标题1章节H1h11headingHeader 1st Pageh1 chapte..."/>
    <w:basedOn w:val="3"/>
    <w:semiHidden/>
    <w:qFormat/>
    <w:uiPriority w:val="0"/>
    <w:pPr>
      <w:tabs>
        <w:tab w:val="left" w:pos="425"/>
      </w:tabs>
      <w:spacing w:beforeLines="0" w:after="330" w:line="576" w:lineRule="auto"/>
      <w:ind w:left="425" w:hanging="425"/>
    </w:pPr>
    <w:rPr>
      <w:rFonts w:eastAsia="宋体"/>
      <w:b/>
      <w:snapToGrid/>
      <w:sz w:val="44"/>
      <w:szCs w:val="20"/>
    </w:rPr>
  </w:style>
  <w:style w:type="paragraph" w:customStyle="1" w:styleId="3437">
    <w:name w:val="reader-word-layer reader-word-s20-18"/>
    <w:basedOn w:val="1"/>
    <w:qFormat/>
    <w:uiPriority w:val="0"/>
    <w:pPr>
      <w:widowControl/>
      <w:spacing w:before="100" w:beforeAutospacing="1" w:after="100" w:afterAutospacing="1"/>
      <w:jc w:val="left"/>
    </w:pPr>
    <w:rPr>
      <w:rFonts w:hAnsi="宋体" w:cs="宋体"/>
      <w:kern w:val="0"/>
      <w:sz w:val="24"/>
      <w:szCs w:val="24"/>
    </w:rPr>
  </w:style>
  <w:style w:type="paragraph" w:customStyle="1" w:styleId="3438">
    <w:name w:val="reader-word-layer reader-word-s1-16"/>
    <w:basedOn w:val="1"/>
    <w:qFormat/>
    <w:uiPriority w:val="0"/>
    <w:pPr>
      <w:widowControl/>
      <w:spacing w:before="100" w:beforeAutospacing="1" w:after="100" w:afterAutospacing="1"/>
      <w:jc w:val="left"/>
    </w:pPr>
    <w:rPr>
      <w:rFonts w:hAnsi="宋体" w:cs="宋体"/>
      <w:kern w:val="0"/>
      <w:sz w:val="24"/>
      <w:szCs w:val="24"/>
    </w:rPr>
  </w:style>
  <w:style w:type="paragraph" w:customStyle="1" w:styleId="3439">
    <w:name w:val="文本样式应用1保留下标"/>
    <w:basedOn w:val="1"/>
    <w:qFormat/>
    <w:uiPriority w:val="0"/>
    <w:pPr>
      <w:spacing w:line="440" w:lineRule="exact"/>
      <w:ind w:firstLine="480" w:firstLineChars="200"/>
    </w:pPr>
    <w:rPr>
      <w:rFonts w:ascii="Times New Roman"/>
      <w:sz w:val="24"/>
      <w:szCs w:val="24"/>
    </w:rPr>
  </w:style>
  <w:style w:type="paragraph" w:customStyle="1" w:styleId="3440">
    <w:name w:val="居中正文"/>
    <w:basedOn w:val="82"/>
    <w:qFormat/>
    <w:uiPriority w:val="0"/>
    <w:pPr>
      <w:adjustRightInd w:val="0"/>
      <w:spacing w:before="120" w:after="0" w:line="360" w:lineRule="auto"/>
      <w:ind w:firstLine="0" w:firstLineChars="0"/>
      <w:jc w:val="center"/>
    </w:pPr>
    <w:rPr>
      <w:rFonts w:hAnsi="Times New Roman"/>
      <w:kern w:val="28"/>
      <w:szCs w:val="20"/>
    </w:rPr>
  </w:style>
  <w:style w:type="paragraph" w:customStyle="1" w:styleId="3441">
    <w:name w:val=".."/>
    <w:basedOn w:val="154"/>
    <w:next w:val="154"/>
    <w:qFormat/>
    <w:uiPriority w:val="0"/>
    <w:rPr>
      <w:rFonts w:ascii="Sim Sun" w:hAnsi="Batang" w:eastAsia="宋体" w:cs="Batang"/>
      <w:color w:val="auto"/>
      <w:kern w:val="2"/>
    </w:rPr>
  </w:style>
  <w:style w:type="paragraph" w:customStyle="1" w:styleId="3442">
    <w:name w:val="样式 样式 样式 样式 样式 样式 标题 21.1标题 21.1标题2标题 2 Char1节标2_Heading 2一级条 + ..."/>
    <w:basedOn w:val="1"/>
    <w:qFormat/>
    <w:uiPriority w:val="0"/>
    <w:pPr>
      <w:keepNext/>
      <w:keepLines/>
      <w:tabs>
        <w:tab w:val="left" w:pos="720"/>
      </w:tabs>
      <w:adjustRightInd w:val="0"/>
      <w:spacing w:beforeLines="50" w:afterLines="50"/>
      <w:ind w:left="720" w:hanging="720"/>
      <w:outlineLvl w:val="1"/>
    </w:pPr>
    <w:rPr>
      <w:rFonts w:ascii="黑体" w:hAnsi="Arial" w:eastAsia="黑体" w:cs="宋体"/>
      <w:kern w:val="0"/>
      <w:sz w:val="28"/>
      <w:szCs w:val="20"/>
    </w:rPr>
  </w:style>
  <w:style w:type="paragraph" w:customStyle="1" w:styleId="3443">
    <w:name w:val="目录1"/>
    <w:basedOn w:val="55"/>
    <w:next w:val="55"/>
    <w:semiHidden/>
    <w:qFormat/>
    <w:uiPriority w:val="0"/>
    <w:pPr>
      <w:widowControl/>
      <w:tabs>
        <w:tab w:val="right" w:leader="dot" w:pos="8302"/>
        <w:tab w:val="left" w:leader="dot" w:pos="8492"/>
        <w:tab w:val="right" w:leader="dot" w:pos="8525"/>
      </w:tabs>
      <w:adjustRightInd w:val="0"/>
      <w:snapToGrid w:val="0"/>
      <w:spacing w:before="0" w:after="0" w:line="360" w:lineRule="exact"/>
      <w:ind w:firstLine="420" w:firstLineChars="200"/>
      <w:jc w:val="both"/>
    </w:pPr>
    <w:rPr>
      <w:rFonts w:ascii="宋体"/>
      <w:b w:val="0"/>
      <w:bCs w:val="0"/>
      <w:color w:val="000000"/>
      <w:kern w:val="0"/>
      <w:sz w:val="24"/>
      <w:szCs w:val="21"/>
      <w:u w:color="000000"/>
    </w:rPr>
  </w:style>
  <w:style w:type="paragraph" w:customStyle="1" w:styleId="3444">
    <w:name w:val="样式 标题 41.1.1.1标题 4.1.1.1.1标题 4 Char款1.1.1.1 Char标4 + 两端对齐"/>
    <w:basedOn w:val="6"/>
    <w:qFormat/>
    <w:uiPriority w:val="0"/>
    <w:pPr>
      <w:tabs>
        <w:tab w:val="left" w:pos="420"/>
        <w:tab w:val="left" w:pos="864"/>
        <w:tab w:val="left" w:pos="2115"/>
        <w:tab w:val="left" w:pos="2356"/>
        <w:tab w:val="clear" w:pos="360"/>
        <w:tab w:val="clear" w:pos="2207"/>
      </w:tabs>
      <w:spacing w:beforeLines="0" w:afterLines="0" w:line="360" w:lineRule="auto"/>
      <w:ind w:left="864" w:hanging="864"/>
      <w:jc w:val="left"/>
      <w:textAlignment w:val="baseline"/>
    </w:pPr>
    <w:rPr>
      <w:rFonts w:hAnsi="Arial" w:eastAsia="宋体"/>
      <w:snapToGrid/>
      <w:color w:val="auto"/>
      <w:sz w:val="28"/>
      <w:szCs w:val="28"/>
      <w:lang w:val="sq-AL"/>
    </w:rPr>
  </w:style>
  <w:style w:type="paragraph" w:customStyle="1" w:styleId="3445">
    <w:name w:val="Char Char Char Char Char Char3"/>
    <w:basedOn w:val="1"/>
    <w:qFormat/>
    <w:uiPriority w:val="0"/>
    <w:pPr>
      <w:widowControl/>
      <w:spacing w:after="160" w:line="240" w:lineRule="exact"/>
      <w:ind w:firstLine="200" w:firstLineChars="200"/>
      <w:jc w:val="left"/>
    </w:pPr>
    <w:rPr>
      <w:rFonts w:ascii="Chicago" w:hAnsi="Chicago" w:cs="Vladimir Script"/>
      <w:kern w:val="0"/>
      <w:sz w:val="20"/>
      <w:szCs w:val="20"/>
      <w:lang w:eastAsia="en-US"/>
    </w:rPr>
  </w:style>
  <w:style w:type="paragraph" w:customStyle="1" w:styleId="3446">
    <w:name w:val="图表目录4"/>
    <w:basedOn w:val="1"/>
    <w:next w:val="1"/>
    <w:qFormat/>
    <w:uiPriority w:val="0"/>
    <w:pPr>
      <w:spacing w:line="440" w:lineRule="exact"/>
      <w:ind w:left="840" w:leftChars="200" w:hanging="420" w:hangingChars="200"/>
    </w:pPr>
    <w:rPr>
      <w:rFonts w:ascii="Arial Unicode MS" w:hAnsi="Arial Unicode MS" w:cs="Vladimir Script"/>
      <w:sz w:val="24"/>
      <w:szCs w:val="24"/>
    </w:rPr>
  </w:style>
  <w:style w:type="paragraph" w:customStyle="1" w:styleId="3447">
    <w:name w:val="xl64"/>
    <w:basedOn w:val="1"/>
    <w:qFormat/>
    <w:uiPriority w:val="0"/>
    <w:pPr>
      <w:widowControl/>
      <w:pBdr>
        <w:top w:val="single" w:color="auto" w:sz="8" w:space="0"/>
        <w:right w:val="single" w:color="auto" w:sz="4" w:space="0"/>
      </w:pBdr>
      <w:spacing w:before="100" w:after="100"/>
      <w:jc w:val="center"/>
      <w:textAlignment w:val="top"/>
    </w:pPr>
    <w:rPr>
      <w:rFonts w:ascii="Batang" w:hAnsi="Batang" w:cs="Batang"/>
      <w:kern w:val="0"/>
      <w:sz w:val="24"/>
      <w:szCs w:val="24"/>
    </w:rPr>
  </w:style>
  <w:style w:type="paragraph" w:customStyle="1" w:styleId="3448">
    <w:name w:val="Name"/>
    <w:basedOn w:val="1"/>
    <w:next w:val="1"/>
    <w:qFormat/>
    <w:uiPriority w:val="0"/>
    <w:pPr>
      <w:widowControl/>
      <w:spacing w:after="440" w:line="240" w:lineRule="atLeast"/>
      <w:ind w:left="2160" w:firstLine="200" w:firstLineChars="200"/>
      <w:jc w:val="left"/>
    </w:pPr>
    <w:rPr>
      <w:rFonts w:ascii="Arial Unicode MS" w:hAnsi="Arial Unicode MS" w:cs="Vladimir Script"/>
      <w:spacing w:val="-20"/>
      <w:kern w:val="0"/>
      <w:sz w:val="48"/>
      <w:szCs w:val="20"/>
    </w:rPr>
  </w:style>
  <w:style w:type="paragraph" w:customStyle="1" w:styleId="3449">
    <w:name w:val="Char Char Char Char Char Char Char Char Char Char Char Char1 Char1"/>
    <w:basedOn w:val="1"/>
    <w:qFormat/>
    <w:uiPriority w:val="0"/>
    <w:rPr>
      <w:rFonts w:ascii="Times New Roman"/>
      <w:sz w:val="21"/>
      <w:szCs w:val="24"/>
    </w:rPr>
  </w:style>
  <w:style w:type="paragraph" w:customStyle="1" w:styleId="3450">
    <w:name w:val="Institution"/>
    <w:basedOn w:val="1"/>
    <w:next w:val="3186"/>
    <w:qFormat/>
    <w:uiPriority w:val="0"/>
    <w:pPr>
      <w:widowControl/>
      <w:tabs>
        <w:tab w:val="left" w:pos="2160"/>
        <w:tab w:val="right" w:pos="6480"/>
      </w:tabs>
      <w:spacing w:before="220" w:after="60" w:line="220" w:lineRule="atLeast"/>
      <w:ind w:right="-360" w:firstLine="200" w:firstLineChars="200"/>
      <w:jc w:val="left"/>
    </w:pPr>
    <w:rPr>
      <w:rFonts w:ascii="Arial Unicode MS" w:hAnsi="Arial Unicode MS" w:cs="Vladimir Script"/>
      <w:kern w:val="0"/>
      <w:sz w:val="20"/>
      <w:szCs w:val="20"/>
    </w:rPr>
  </w:style>
  <w:style w:type="paragraph" w:customStyle="1" w:styleId="3451">
    <w:name w:val="样式 标题 4 + Times New Roman 两端对齐 行距: 固定值 22 磅"/>
    <w:basedOn w:val="6"/>
    <w:qFormat/>
    <w:uiPriority w:val="0"/>
    <w:pPr>
      <w:keepNext/>
      <w:keepLines/>
      <w:widowControl/>
      <w:tabs>
        <w:tab w:val="left" w:pos="2356"/>
        <w:tab w:val="clear" w:pos="360"/>
        <w:tab w:val="clear" w:pos="2207"/>
      </w:tabs>
      <w:spacing w:beforeLines="0" w:afterLines="0" w:line="440" w:lineRule="exact"/>
      <w:ind w:left="1984" w:hanging="708"/>
    </w:pPr>
    <w:rPr>
      <w:rFonts w:ascii="Times New Roman" w:hAnsi="Times New Roman" w:eastAsia="宋体" w:cs="宋体"/>
      <w:snapToGrid/>
      <w:color w:val="auto"/>
      <w:szCs w:val="20"/>
    </w:rPr>
  </w:style>
  <w:style w:type="paragraph" w:customStyle="1" w:styleId="3452">
    <w:name w:val="索引 91"/>
    <w:basedOn w:val="1"/>
    <w:next w:val="1"/>
    <w:qFormat/>
    <w:uiPriority w:val="0"/>
    <w:pPr>
      <w:spacing w:line="440" w:lineRule="exact"/>
      <w:ind w:left="2250" w:hanging="250" w:firstLineChars="200"/>
      <w:jc w:val="left"/>
    </w:pPr>
    <w:rPr>
      <w:rFonts w:ascii="ˎ̥" w:hAnsi="ˎ̥" w:eastAsia="仿宋体" w:cs="ˎ̥"/>
      <w:spacing w:val="5"/>
      <w:sz w:val="20"/>
      <w:szCs w:val="20"/>
    </w:rPr>
  </w:style>
  <w:style w:type="paragraph" w:customStyle="1" w:styleId="3453">
    <w:name w:val="reader-word-layer reader-word-s1-34"/>
    <w:basedOn w:val="1"/>
    <w:qFormat/>
    <w:uiPriority w:val="0"/>
    <w:pPr>
      <w:widowControl/>
      <w:spacing w:before="100" w:beforeAutospacing="1" w:after="100" w:afterAutospacing="1"/>
      <w:jc w:val="left"/>
    </w:pPr>
    <w:rPr>
      <w:rFonts w:hAnsi="宋体" w:cs="宋体"/>
      <w:kern w:val="0"/>
      <w:sz w:val="24"/>
      <w:szCs w:val="24"/>
    </w:rPr>
  </w:style>
  <w:style w:type="paragraph" w:customStyle="1" w:styleId="3454">
    <w:name w:val="正文文本缩进5"/>
    <w:basedOn w:val="1"/>
    <w:qFormat/>
    <w:uiPriority w:val="0"/>
    <w:pPr>
      <w:ind w:left="629"/>
    </w:pPr>
    <w:rPr>
      <w:rFonts w:ascii="Times New Roman"/>
      <w:sz w:val="32"/>
      <w:szCs w:val="20"/>
    </w:rPr>
  </w:style>
  <w:style w:type="paragraph" w:customStyle="1" w:styleId="3455">
    <w:name w:val="目录 13"/>
    <w:basedOn w:val="1"/>
    <w:next w:val="1"/>
    <w:qFormat/>
    <w:uiPriority w:val="0"/>
    <w:pPr>
      <w:tabs>
        <w:tab w:val="right" w:leader="dot" w:pos="8777"/>
      </w:tabs>
      <w:spacing w:before="120" w:after="120"/>
    </w:pPr>
    <w:rPr>
      <w:rFonts w:hint="eastAsia" w:ascii="Times New Roman"/>
      <w:caps/>
      <w:color w:val="000000"/>
      <w:sz w:val="24"/>
      <w:szCs w:val="20"/>
    </w:rPr>
  </w:style>
  <w:style w:type="paragraph" w:customStyle="1" w:styleId="3456">
    <w:name w:val="正文文字缩进加重"/>
    <w:basedOn w:val="33"/>
    <w:next w:val="33"/>
    <w:qFormat/>
    <w:uiPriority w:val="0"/>
    <w:pPr>
      <w:adjustRightInd w:val="0"/>
      <w:spacing w:line="360" w:lineRule="auto"/>
      <w:ind w:firstLine="562" w:firstLineChars="200"/>
      <w:textAlignment w:val="baseline"/>
    </w:pPr>
    <w:rPr>
      <w:rFonts w:hint="default" w:hAnsi="Times New Roman" w:cs="Times New Roman"/>
      <w:b/>
      <w:bCs/>
      <w:spacing w:val="5"/>
      <w:kern w:val="0"/>
      <w:sz w:val="28"/>
      <w:szCs w:val="20"/>
    </w:rPr>
  </w:style>
  <w:style w:type="paragraph" w:customStyle="1" w:styleId="3457">
    <w:name w:val="Body Text 22"/>
    <w:basedOn w:val="1"/>
    <w:qFormat/>
    <w:uiPriority w:val="0"/>
    <w:pPr>
      <w:adjustRightInd w:val="0"/>
      <w:spacing w:line="440" w:lineRule="atLeast"/>
      <w:ind w:firstLine="480"/>
      <w:textAlignment w:val="baseline"/>
    </w:pPr>
    <w:rPr>
      <w:rFonts w:ascii="Times New Roman" w:eastAsia="仿宋_GB2312"/>
      <w:sz w:val="24"/>
      <w:szCs w:val="20"/>
    </w:rPr>
  </w:style>
  <w:style w:type="paragraph" w:customStyle="1" w:styleId="3458">
    <w:name w:val="样式 居中 段前: 1.55 磅 段后: 1.55 磅 底端: (单实线 自动设置  0.75 磅 行宽) 行距: ..."/>
    <w:basedOn w:val="1"/>
    <w:next w:val="1"/>
    <w:qFormat/>
    <w:uiPriority w:val="0"/>
    <w:pPr>
      <w:pBdr>
        <w:bottom w:val="single" w:color="auto" w:sz="6" w:space="1"/>
      </w:pBdr>
      <w:spacing w:before="31" w:after="31" w:line="40" w:lineRule="atLeast"/>
      <w:jc w:val="center"/>
    </w:pPr>
    <w:rPr>
      <w:rFonts w:ascii="Batang" w:hAnsi="Batang" w:cs="Sim Sun"/>
      <w:sz w:val="21"/>
      <w:szCs w:val="21"/>
    </w:rPr>
  </w:style>
  <w:style w:type="paragraph" w:customStyle="1" w:styleId="3459">
    <w:name w:val="xl73"/>
    <w:basedOn w:val="1"/>
    <w:qFormat/>
    <w:uiPriority w:val="0"/>
    <w:pPr>
      <w:widowControl/>
      <w:pBdr>
        <w:top w:val="single" w:color="auto" w:sz="8" w:space="0"/>
      </w:pBdr>
      <w:spacing w:before="100" w:after="100"/>
      <w:jc w:val="center"/>
      <w:textAlignment w:val="center"/>
    </w:pPr>
    <w:rPr>
      <w:rFonts w:ascii="Batang" w:hAnsi="Batang" w:cs="Batang"/>
      <w:kern w:val="0"/>
      <w:sz w:val="24"/>
      <w:szCs w:val="24"/>
    </w:rPr>
  </w:style>
  <w:style w:type="paragraph" w:customStyle="1" w:styleId="3460">
    <w:name w:val="reader-word-layer reader-word-s17-4"/>
    <w:basedOn w:val="1"/>
    <w:qFormat/>
    <w:uiPriority w:val="0"/>
    <w:pPr>
      <w:widowControl/>
      <w:spacing w:before="100" w:beforeAutospacing="1" w:after="100" w:afterAutospacing="1"/>
      <w:jc w:val="left"/>
    </w:pPr>
    <w:rPr>
      <w:rFonts w:hAnsi="宋体" w:cs="宋体"/>
      <w:kern w:val="0"/>
      <w:sz w:val="24"/>
      <w:szCs w:val="24"/>
    </w:rPr>
  </w:style>
  <w:style w:type="paragraph" w:customStyle="1" w:styleId="3461">
    <w:name w:val=".y.."/>
    <w:basedOn w:val="1"/>
    <w:next w:val="1"/>
    <w:qFormat/>
    <w:uiPriority w:val="0"/>
    <w:pPr>
      <w:autoSpaceDE w:val="0"/>
      <w:autoSpaceDN w:val="0"/>
      <w:adjustRightInd w:val="0"/>
      <w:jc w:val="left"/>
    </w:pPr>
    <w:rPr>
      <w:rFonts w:ascii="JIJGJC+TimesNewRomanPS" w:eastAsia="JIJGJC+TimesNewRomanPS"/>
      <w:kern w:val="0"/>
      <w:sz w:val="24"/>
      <w:szCs w:val="24"/>
    </w:rPr>
  </w:style>
  <w:style w:type="paragraph" w:customStyle="1" w:styleId="3462">
    <w:name w:val="bt_content"/>
    <w:basedOn w:val="1"/>
    <w:qFormat/>
    <w:uiPriority w:val="0"/>
    <w:pPr>
      <w:widowControl/>
      <w:spacing w:before="100" w:beforeAutospacing="1" w:after="100" w:afterAutospacing="1"/>
      <w:jc w:val="left"/>
    </w:pPr>
    <w:rPr>
      <w:rFonts w:hAnsi="宋体" w:cs="宋体"/>
      <w:kern w:val="0"/>
      <w:sz w:val="24"/>
      <w:szCs w:val="24"/>
    </w:rPr>
  </w:style>
  <w:style w:type="paragraph" w:customStyle="1" w:styleId="3463">
    <w:name w:val="Section Subtitle"/>
    <w:basedOn w:val="2966"/>
    <w:next w:val="1"/>
    <w:qFormat/>
    <w:uiPriority w:val="0"/>
    <w:pPr>
      <w:pBdr>
        <w:top w:val="none" w:color="auto" w:sz="0" w:space="0"/>
      </w:pBdr>
    </w:pPr>
    <w:rPr>
      <w:b w:val="0"/>
      <w:spacing w:val="0"/>
      <w:position w:val="6"/>
    </w:rPr>
  </w:style>
  <w:style w:type="paragraph" w:customStyle="1" w:styleId="3464">
    <w:name w:val="Char12 Char Char Char"/>
    <w:basedOn w:val="1"/>
    <w:qFormat/>
    <w:uiPriority w:val="0"/>
    <w:pPr>
      <w:spacing w:after="160" w:line="240" w:lineRule="exact"/>
      <w:jc w:val="left"/>
    </w:pPr>
    <w:rPr>
      <w:rFonts w:ascii="ˎ̥" w:hAnsi="ˎ̥" w:eastAsia="Batang" w:cs="Wingdings"/>
      <w:b/>
      <w:kern w:val="0"/>
      <w:sz w:val="24"/>
      <w:szCs w:val="24"/>
      <w:lang w:eastAsia="en-US"/>
    </w:rPr>
  </w:style>
  <w:style w:type="paragraph" w:customStyle="1" w:styleId="3465">
    <w:name w:val="样式 样式 首行缩进:  2 字符1 + 首行缩进:  2 字符"/>
    <w:basedOn w:val="1"/>
    <w:qFormat/>
    <w:uiPriority w:val="0"/>
    <w:pPr>
      <w:spacing w:line="520" w:lineRule="exact"/>
      <w:ind w:firstLine="480"/>
      <w:jc w:val="left"/>
    </w:pPr>
    <w:rPr>
      <w:rFonts w:ascii="Times New Roman" w:cs="宋体"/>
      <w:sz w:val="24"/>
      <w:szCs w:val="20"/>
    </w:rPr>
  </w:style>
  <w:style w:type="paragraph" w:customStyle="1" w:styleId="3466">
    <w:name w:val="sms"/>
    <w:basedOn w:val="1"/>
    <w:qFormat/>
    <w:uiPriority w:val="0"/>
    <w:pPr>
      <w:widowControl/>
      <w:overflowPunct w:val="0"/>
      <w:autoSpaceDE w:val="0"/>
      <w:autoSpaceDN w:val="0"/>
      <w:adjustRightInd w:val="0"/>
      <w:spacing w:line="360" w:lineRule="auto"/>
      <w:ind w:left="2126" w:right="992" w:firstLine="709" w:firstLineChars="200"/>
      <w:jc w:val="left"/>
      <w:textAlignment w:val="baseline"/>
    </w:pPr>
    <w:rPr>
      <w:rFonts w:ascii="Sim Sun" w:hAnsi="Arial Unicode MS" w:cs="Vladimir Script"/>
      <w:spacing w:val="20"/>
      <w:kern w:val="0"/>
      <w:sz w:val="26"/>
      <w:szCs w:val="20"/>
    </w:rPr>
  </w:style>
  <w:style w:type="paragraph" w:customStyle="1" w:styleId="3467">
    <w:name w:val="样式2+地下水"/>
    <w:basedOn w:val="1"/>
    <w:next w:val="1"/>
    <w:qFormat/>
    <w:uiPriority w:val="0"/>
    <w:pPr>
      <w:widowControl/>
      <w:spacing w:line="360" w:lineRule="auto"/>
      <w:ind w:firstLine="200"/>
    </w:pPr>
    <w:rPr>
      <w:rFonts w:ascii="Times New Roman" w:hAnsi="宋体"/>
      <w:kern w:val="0"/>
      <w:sz w:val="24"/>
      <w:szCs w:val="24"/>
    </w:rPr>
  </w:style>
  <w:style w:type="paragraph" w:customStyle="1" w:styleId="3468">
    <w:name w:val="表内5中"/>
    <w:basedOn w:val="1"/>
    <w:qFormat/>
    <w:uiPriority w:val="0"/>
    <w:pPr>
      <w:adjustRightInd w:val="0"/>
      <w:snapToGrid w:val="0"/>
      <w:jc w:val="center"/>
    </w:pPr>
    <w:rPr>
      <w:sz w:val="21"/>
      <w:szCs w:val="21"/>
    </w:rPr>
  </w:style>
  <w:style w:type="paragraph" w:customStyle="1" w:styleId="3469">
    <w:name w:val="表格头jophy"/>
    <w:basedOn w:val="1"/>
    <w:qFormat/>
    <w:uiPriority w:val="0"/>
    <w:pPr>
      <w:adjustRightInd w:val="0"/>
      <w:snapToGrid w:val="0"/>
      <w:jc w:val="center"/>
      <w:textAlignment w:val="baseline"/>
    </w:pPr>
    <w:rPr>
      <w:rFonts w:ascii="Times New Roman"/>
      <w:b/>
      <w:bCs/>
      <w:spacing w:val="-10"/>
      <w:kern w:val="0"/>
      <w:sz w:val="21"/>
      <w:szCs w:val="28"/>
    </w:rPr>
  </w:style>
  <w:style w:type="paragraph" w:customStyle="1" w:styleId="3470">
    <w:name w:val="CM4"/>
    <w:basedOn w:val="154"/>
    <w:next w:val="154"/>
    <w:qFormat/>
    <w:uiPriority w:val="0"/>
    <w:rPr>
      <w:rFonts w:ascii="黑体" w:hAnsi="Calibri" w:eastAsia="黑体" w:cs="黑体"/>
      <w:color w:val="auto"/>
      <w:kern w:val="2"/>
    </w:rPr>
  </w:style>
  <w:style w:type="paragraph" w:customStyle="1" w:styleId="3471">
    <w:name w:val="目次"/>
    <w:basedOn w:val="230"/>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Sim Sun" w:hAnsi="Sim Sun"/>
      <w:b/>
      <w:bCs/>
      <w:color w:val="000000"/>
      <w:sz w:val="28"/>
      <w:szCs w:val="28"/>
    </w:rPr>
  </w:style>
  <w:style w:type="paragraph" w:customStyle="1" w:styleId="3472">
    <w:name w:val="text3"/>
    <w:basedOn w:val="1"/>
    <w:qFormat/>
    <w:uiPriority w:val="0"/>
    <w:pPr>
      <w:widowControl/>
      <w:spacing w:before="100" w:beforeAutospacing="1" w:after="100" w:afterAutospacing="1" w:line="360" w:lineRule="auto"/>
      <w:jc w:val="left"/>
    </w:pPr>
    <w:rPr>
      <w:rFonts w:hAnsi="宋体"/>
      <w:kern w:val="0"/>
      <w:sz w:val="18"/>
      <w:szCs w:val="20"/>
    </w:rPr>
  </w:style>
  <w:style w:type="paragraph" w:customStyle="1" w:styleId="3473">
    <w:name w:val="Char Char2 Char Char Char Char Char Char"/>
    <w:basedOn w:val="1"/>
    <w:qFormat/>
    <w:uiPriority w:val="0"/>
    <w:rPr>
      <w:rFonts w:hint="eastAsia" w:hAnsi="宋体"/>
      <w:sz w:val="22"/>
      <w:szCs w:val="20"/>
    </w:rPr>
  </w:style>
  <w:style w:type="paragraph" w:customStyle="1" w:styleId="3474">
    <w:name w:val="表中字样"/>
    <w:qFormat/>
    <w:uiPriority w:val="0"/>
    <w:pPr>
      <w:spacing w:line="320" w:lineRule="atLeast"/>
      <w:jc w:val="center"/>
    </w:pPr>
    <w:rPr>
      <w:rFonts w:ascii="Calibri" w:hAnsi="Calibri" w:eastAsia="宋体" w:cs="Times New Roman"/>
      <w:spacing w:val="4"/>
      <w:lang w:val="en-US" w:eastAsia="zh-CN" w:bidi="ar-SA"/>
    </w:rPr>
  </w:style>
  <w:style w:type="paragraph" w:customStyle="1" w:styleId="3475">
    <w:name w:val="样式 样式 宋体 自动设置 左侧:  0.51 厘米 首行缩进:  0.74 厘米 行距: 固定值 20 磅 + 段前: 0.5..."/>
    <w:basedOn w:val="1"/>
    <w:qFormat/>
    <w:uiPriority w:val="0"/>
    <w:pPr>
      <w:adjustRightInd w:val="0"/>
      <w:spacing w:beforeLines="50" w:afterLines="50" w:line="360" w:lineRule="auto"/>
      <w:ind w:left="289" w:firstLine="420"/>
      <w:jc w:val="left"/>
      <w:textAlignment w:val="baseline"/>
    </w:pPr>
    <w:rPr>
      <w:rFonts w:hAnsi="宋体"/>
      <w:spacing w:val="10"/>
      <w:kern w:val="0"/>
      <w:sz w:val="24"/>
      <w:szCs w:val="20"/>
    </w:rPr>
  </w:style>
  <w:style w:type="paragraph" w:customStyle="1" w:styleId="3476">
    <w:name w:val="样式 样式 标题 1 + 宋体 小四 加粗 + 非加粗"/>
    <w:basedOn w:val="1387"/>
    <w:qFormat/>
    <w:uiPriority w:val="0"/>
    <w:pPr>
      <w:pageBreakBefore/>
      <w:widowControl w:val="0"/>
      <w:tabs>
        <w:tab w:val="left" w:pos="425"/>
      </w:tabs>
      <w:spacing w:after="0" w:line="600" w:lineRule="exact"/>
      <w:jc w:val="both"/>
    </w:pPr>
    <w:rPr>
      <w:rFonts w:ascii="Gungsuh" w:hAnsi="Gungsuh"/>
      <w:sz w:val="30"/>
    </w:rPr>
  </w:style>
  <w:style w:type="paragraph" w:customStyle="1" w:styleId="3477">
    <w:name w:val="Char Char Char Char Char Char Char Char Char Char Char Char Char Char Char Char Char Char Char12"/>
    <w:basedOn w:val="1"/>
    <w:qFormat/>
    <w:uiPriority w:val="0"/>
    <w:pPr>
      <w:spacing w:line="360" w:lineRule="auto"/>
      <w:ind w:firstLine="200" w:firstLineChars="200"/>
    </w:pPr>
    <w:rPr>
      <w:rFonts w:ascii="Sim Sun" w:hAnsi="Sim Sun" w:cs="Vladimir Script"/>
      <w:sz w:val="24"/>
      <w:szCs w:val="20"/>
    </w:rPr>
  </w:style>
  <w:style w:type="paragraph" w:customStyle="1" w:styleId="3478">
    <w:name w:val="此篇标题2"/>
    <w:qFormat/>
    <w:uiPriority w:val="0"/>
    <w:pPr>
      <w:outlineLvl w:val="1"/>
    </w:pPr>
    <w:rPr>
      <w:rFonts w:ascii="仿宋_GB2312" w:hAnsi="Arial" w:eastAsia="宋体" w:cs="Times New Roman"/>
      <w:b/>
      <w:kern w:val="2"/>
      <w:sz w:val="30"/>
      <w:lang w:val="en-US" w:eastAsia="zh-CN" w:bidi="ar-SA"/>
    </w:rPr>
  </w:style>
  <w:style w:type="paragraph" w:customStyle="1" w:styleId="3479">
    <w:name w:val="表格内"/>
    <w:basedOn w:val="1"/>
    <w:qFormat/>
    <w:uiPriority w:val="0"/>
    <w:pPr>
      <w:adjustRightInd w:val="0"/>
      <w:spacing w:line="240" w:lineRule="atLeast"/>
      <w:ind w:firstLine="200" w:firstLineChars="200"/>
      <w:jc w:val="center"/>
      <w:textAlignment w:val="baseline"/>
    </w:pPr>
    <w:rPr>
      <w:rFonts w:ascii="Sim Sun" w:hAnsi="Arial Unicode MS" w:cs="Vladimir Script"/>
      <w:kern w:val="0"/>
      <w:sz w:val="28"/>
      <w:szCs w:val="20"/>
    </w:rPr>
  </w:style>
  <w:style w:type="paragraph" w:customStyle="1" w:styleId="3480">
    <w:name w:val="样式 表格 + (符号) 宋体 四号1"/>
    <w:basedOn w:val="77"/>
    <w:qFormat/>
    <w:uiPriority w:val="0"/>
    <w:pPr>
      <w:widowControl w:val="0"/>
      <w:snapToGrid w:val="0"/>
      <w:spacing w:before="0" w:beforeAutospacing="0" w:after="0" w:afterAutospacing="0" w:line="340" w:lineRule="exact"/>
      <w:jc w:val="center"/>
    </w:pPr>
    <w:rPr>
      <w:rFonts w:ascii="仿宋_GB2312" w:hAnsi="Calibri" w:eastAsia="仿宋_GB2312" w:cs="宋体"/>
      <w:color w:val="000000"/>
      <w:kern w:val="2"/>
      <w:sz w:val="21"/>
      <w:szCs w:val="20"/>
    </w:rPr>
  </w:style>
  <w:style w:type="paragraph" w:customStyle="1" w:styleId="3481">
    <w:name w:val="正文文本缩进 231"/>
    <w:basedOn w:val="1"/>
    <w:qFormat/>
    <w:uiPriority w:val="0"/>
    <w:pPr>
      <w:adjustRightInd w:val="0"/>
      <w:spacing w:line="460" w:lineRule="exact"/>
      <w:ind w:firstLine="480"/>
      <w:textAlignment w:val="baseline"/>
    </w:pPr>
    <w:rPr>
      <w:rFonts w:ascii="Times New Roman"/>
      <w:sz w:val="24"/>
      <w:szCs w:val="20"/>
    </w:rPr>
  </w:style>
  <w:style w:type="paragraph" w:customStyle="1" w:styleId="3482">
    <w:name w:val="索引 61"/>
    <w:basedOn w:val="1"/>
    <w:next w:val="1"/>
    <w:qFormat/>
    <w:uiPriority w:val="0"/>
    <w:pPr>
      <w:spacing w:line="440" w:lineRule="exact"/>
      <w:ind w:left="1260" w:hanging="210" w:firstLineChars="200"/>
      <w:jc w:val="left"/>
    </w:pPr>
    <w:rPr>
      <w:rFonts w:ascii="ˎ̥" w:hAnsi="ˎ̥" w:eastAsia="仿宋体" w:cs="ˎ̥"/>
      <w:sz w:val="21"/>
      <w:szCs w:val="20"/>
    </w:rPr>
  </w:style>
  <w:style w:type="paragraph" w:customStyle="1" w:styleId="3483">
    <w:name w:val="引文目录标题1"/>
    <w:basedOn w:val="1"/>
    <w:next w:val="1"/>
    <w:qFormat/>
    <w:uiPriority w:val="0"/>
    <w:pPr>
      <w:spacing w:before="120" w:line="440" w:lineRule="exact"/>
      <w:ind w:firstLine="200" w:firstLineChars="200"/>
    </w:pPr>
    <w:rPr>
      <w:rFonts w:ascii="Century Schoolbook" w:hAnsi="Century Schoolbook" w:eastAsia="仿宋体" w:cs="ˎ̥"/>
      <w:b/>
      <w:sz w:val="21"/>
      <w:szCs w:val="20"/>
    </w:rPr>
  </w:style>
  <w:style w:type="paragraph" w:customStyle="1" w:styleId="3484">
    <w:name w:val="样式 正文首行缩进＋湿地"/>
    <w:basedOn w:val="1"/>
    <w:qFormat/>
    <w:uiPriority w:val="0"/>
    <w:pPr>
      <w:spacing w:line="440" w:lineRule="exact"/>
      <w:ind w:firstLine="480" w:firstLineChars="200"/>
      <w:jc w:val="center"/>
    </w:pPr>
    <w:rPr>
      <w:rFonts w:ascii="Times New Roman" w:hAnsi="宋体"/>
      <w:kern w:val="0"/>
      <w:sz w:val="24"/>
      <w:szCs w:val="24"/>
    </w:rPr>
  </w:style>
  <w:style w:type="paragraph" w:customStyle="1" w:styleId="3485">
    <w:name w:val="样式 标题 2 + 黑体 小三"/>
    <w:basedOn w:val="4"/>
    <w:qFormat/>
    <w:uiPriority w:val="0"/>
    <w:pPr>
      <w:tabs>
        <w:tab w:val="left" w:pos="992"/>
      </w:tabs>
      <w:snapToGrid w:val="0"/>
      <w:spacing w:before="0" w:after="0" w:line="360" w:lineRule="auto"/>
      <w:ind w:left="992" w:hanging="567"/>
    </w:pPr>
    <w:rPr>
      <w:rFonts w:ascii="黑体" w:hAnsi="黑体" w:eastAsia="黑体"/>
      <w:b w:val="0"/>
      <w:snapToGrid/>
      <w:spacing w:val="5"/>
      <w:sz w:val="30"/>
    </w:rPr>
  </w:style>
  <w:style w:type="paragraph" w:customStyle="1" w:styleId="3486">
    <w:name w:val="CONT-0"/>
    <w:basedOn w:val="1"/>
    <w:qFormat/>
    <w:uiPriority w:val="0"/>
    <w:pPr>
      <w:adjustRightInd w:val="0"/>
      <w:spacing w:line="480" w:lineRule="atLeast"/>
      <w:ind w:firstLine="567"/>
      <w:textAlignment w:val="baseline"/>
    </w:pPr>
    <w:rPr>
      <w:rFonts w:ascii="Times New Roman" w:eastAsia="DFKai-SB"/>
      <w:kern w:val="0"/>
      <w:sz w:val="28"/>
      <w:szCs w:val="20"/>
      <w:lang w:eastAsia="zh-TW"/>
    </w:rPr>
  </w:style>
  <w:style w:type="paragraph" w:customStyle="1" w:styleId="3487">
    <w:name w:val="环评正文"/>
    <w:basedOn w:val="3"/>
    <w:qFormat/>
    <w:uiPriority w:val="0"/>
    <w:pPr>
      <w:keepNext w:val="0"/>
      <w:keepLines w:val="0"/>
      <w:tabs>
        <w:tab w:val="left" w:pos="425"/>
      </w:tabs>
      <w:spacing w:beforeLines="0" w:after="60" w:line="400" w:lineRule="exact"/>
      <w:ind w:left="425" w:firstLine="480" w:firstLineChars="200"/>
      <w:outlineLvl w:val="9"/>
    </w:pPr>
    <w:rPr>
      <w:rFonts w:eastAsia="仿宋_GB2312"/>
      <w:bCs/>
      <w:snapToGrid/>
      <w:szCs w:val="28"/>
    </w:rPr>
  </w:style>
  <w:style w:type="paragraph" w:customStyle="1" w:styleId="3488">
    <w:name w:val="样式 样式 燕山正文 + 首行缩进:  2 字符 + 首行缩进:  2 字符"/>
    <w:basedOn w:val="1707"/>
    <w:qFormat/>
    <w:uiPriority w:val="0"/>
    <w:pPr>
      <w:widowControl w:val="0"/>
      <w:spacing w:beforeLines="50" w:afterLines="50" w:line="300" w:lineRule="auto"/>
      <w:jc w:val="both"/>
    </w:pPr>
    <w:rPr>
      <w:rFonts w:ascii="Times New Roman" w:hAnsi="Times New Roman" w:cs="Times New Roman"/>
      <w:color w:val="auto"/>
      <w:kern w:val="2"/>
      <w:szCs w:val="20"/>
    </w:rPr>
  </w:style>
  <w:style w:type="paragraph" w:customStyle="1" w:styleId="3489">
    <w:name w:val="Char Char Char Char6"/>
    <w:basedOn w:val="1"/>
    <w:qFormat/>
    <w:uiPriority w:val="0"/>
    <w:rPr>
      <w:rFonts w:ascii="Times New Roman"/>
      <w:sz w:val="21"/>
      <w:szCs w:val="20"/>
    </w:rPr>
  </w:style>
  <w:style w:type="paragraph" w:customStyle="1" w:styleId="3490">
    <w:name w:val="Content"/>
    <w:basedOn w:val="1"/>
    <w:semiHidden/>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3491">
    <w:name w:val="正文 + 宋体"/>
    <w:basedOn w:val="1"/>
    <w:qFormat/>
    <w:uiPriority w:val="0"/>
    <w:pPr>
      <w:snapToGrid w:val="0"/>
      <w:spacing w:line="600" w:lineRule="exact"/>
      <w:ind w:firstLine="570"/>
      <w:jc w:val="left"/>
    </w:pPr>
    <w:rPr>
      <w:rFonts w:hAnsi="宋体"/>
      <w:sz w:val="28"/>
      <w:szCs w:val="28"/>
    </w:rPr>
  </w:style>
  <w:style w:type="paragraph" w:customStyle="1" w:styleId="3492">
    <w:name w:val="5 Char"/>
    <w:basedOn w:val="1"/>
    <w:qFormat/>
    <w:uiPriority w:val="0"/>
    <w:rPr>
      <w:rFonts w:ascii="Tahoma" w:hAnsi="Tahoma"/>
      <w:sz w:val="24"/>
      <w:szCs w:val="20"/>
    </w:rPr>
  </w:style>
  <w:style w:type="paragraph" w:customStyle="1" w:styleId="3493">
    <w:name w:val="样式 Times New Roman 小三 加粗 两端对齐 段前: 9 磅 段后: 9 磅 行距: 固定值 22 磅"/>
    <w:basedOn w:val="1"/>
    <w:qFormat/>
    <w:uiPriority w:val="0"/>
    <w:pPr>
      <w:widowControl/>
      <w:spacing w:before="180" w:after="180" w:line="440" w:lineRule="exact"/>
    </w:pPr>
    <w:rPr>
      <w:rFonts w:ascii="Times New Roman" w:cs="宋体"/>
      <w:b/>
      <w:bCs/>
      <w:kern w:val="44"/>
      <w:sz w:val="30"/>
      <w:szCs w:val="20"/>
    </w:rPr>
  </w:style>
  <w:style w:type="paragraph" w:customStyle="1" w:styleId="3494">
    <w:name w:val="正文首行缩进4"/>
    <w:basedOn w:val="32"/>
    <w:qFormat/>
    <w:uiPriority w:val="0"/>
    <w:pPr>
      <w:adjustRightInd w:val="0"/>
      <w:snapToGrid w:val="0"/>
      <w:spacing w:after="0" w:line="312" w:lineRule="auto"/>
    </w:pPr>
    <w:rPr>
      <w:rFonts w:ascii="Calibri" w:hAnsi="Calibri"/>
      <w:kern w:val="0"/>
      <w:sz w:val="28"/>
      <w:szCs w:val="22"/>
    </w:rPr>
  </w:style>
  <w:style w:type="paragraph" w:customStyle="1" w:styleId="3495">
    <w:name w:val="Char Char Char Char2 Char Char Char Char1"/>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paragraph" w:customStyle="1" w:styleId="3496">
    <w:name w:val="Char Char Char1 Char Char Char Char Char Char Char Char Char Char Char Char Char Char Char Char Char Char Char Char Char Char"/>
    <w:basedOn w:val="1"/>
    <w:qFormat/>
    <w:uiPriority w:val="0"/>
    <w:rPr>
      <w:rFonts w:hAnsi="宋体" w:cs="Courier New"/>
      <w:sz w:val="32"/>
      <w:szCs w:val="32"/>
    </w:rPr>
  </w:style>
  <w:style w:type="paragraph" w:customStyle="1" w:styleId="3497">
    <w:name w:val="封面标题2"/>
    <w:basedOn w:val="1"/>
    <w:qFormat/>
    <w:uiPriority w:val="0"/>
    <w:pPr>
      <w:widowControl/>
      <w:spacing w:before="120" w:line="360" w:lineRule="auto"/>
      <w:jc w:val="center"/>
    </w:pPr>
    <w:rPr>
      <w:rFonts w:hAnsi="宋体"/>
      <w:kern w:val="0"/>
      <w:sz w:val="52"/>
      <w:szCs w:val="52"/>
    </w:rPr>
  </w:style>
  <w:style w:type="paragraph" w:customStyle="1" w:styleId="3498">
    <w:name w:val="Char Char17 Char Char"/>
    <w:basedOn w:val="1"/>
    <w:qFormat/>
    <w:uiPriority w:val="0"/>
    <w:pPr>
      <w:widowControl/>
      <w:jc w:val="left"/>
    </w:pPr>
    <w:rPr>
      <w:rFonts w:hAnsi="宋体" w:cs="宋体"/>
      <w:kern w:val="0"/>
      <w:sz w:val="21"/>
      <w:szCs w:val="24"/>
    </w:rPr>
  </w:style>
  <w:style w:type="paragraph" w:customStyle="1" w:styleId="3499">
    <w:name w:val="Char Char7 Char Char Char Char Char Char Char Char Char Char Char Char Char"/>
    <w:basedOn w:val="1"/>
    <w:qFormat/>
    <w:uiPriority w:val="0"/>
    <w:rPr>
      <w:rFonts w:ascii="Times New Roman"/>
      <w:sz w:val="28"/>
      <w:szCs w:val="24"/>
    </w:rPr>
  </w:style>
  <w:style w:type="paragraph" w:customStyle="1" w:styleId="3500">
    <w:name w:val="Char Char Char1 Char Char Char Char Char Char Char Char Char2"/>
    <w:basedOn w:val="1"/>
    <w:qFormat/>
    <w:uiPriority w:val="0"/>
    <w:rPr>
      <w:rFonts w:ascii="Times New Roman" w:eastAsia="楷体_GB2312"/>
      <w:b/>
      <w:sz w:val="28"/>
      <w:szCs w:val="28"/>
    </w:rPr>
  </w:style>
  <w:style w:type="paragraph" w:customStyle="1" w:styleId="3501">
    <w:name w:val="91"/>
    <w:basedOn w:val="1"/>
    <w:qFormat/>
    <w:uiPriority w:val="0"/>
    <w:pPr>
      <w:keepNext/>
      <w:spacing w:beforeLines="30" w:afterLines="30" w:line="360" w:lineRule="auto"/>
      <w:ind w:firstLine="200" w:firstLineChars="200"/>
    </w:pPr>
    <w:rPr>
      <w:rFonts w:ascii="Arial Unicode MS" w:hAnsi="Arial Unicode MS" w:cs="Vladimir Script"/>
      <w:sz w:val="24"/>
      <w:szCs w:val="24"/>
    </w:rPr>
  </w:style>
  <w:style w:type="paragraph" w:customStyle="1" w:styleId="3502">
    <w:name w:val="Char Char1 Char2"/>
    <w:basedOn w:val="1"/>
    <w:next w:val="1"/>
    <w:qFormat/>
    <w:uiPriority w:val="0"/>
    <w:pPr>
      <w:widowControl/>
      <w:spacing w:line="360" w:lineRule="auto"/>
      <w:ind w:firstLine="200" w:firstLineChars="200"/>
      <w:jc w:val="left"/>
    </w:pPr>
    <w:rPr>
      <w:rFonts w:hAnsi="宋体" w:cs="宋体"/>
      <w:kern w:val="0"/>
      <w:sz w:val="24"/>
      <w:szCs w:val="24"/>
    </w:rPr>
  </w:style>
  <w:style w:type="paragraph" w:customStyle="1" w:styleId="3503">
    <w:name w:val="Char Char7 Char Char Char Char Char Char3"/>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504">
    <w:name w:val="_Style 28"/>
    <w:basedOn w:val="1"/>
    <w:qFormat/>
    <w:uiPriority w:val="0"/>
    <w:rPr>
      <w:rFonts w:ascii="ˎ̥" w:hAnsi="ˎ̥" w:eastAsia="FLGPEK+TimesNewRoman,Italic" w:cs="ˎ̥"/>
      <w:sz w:val="21"/>
      <w:szCs w:val="20"/>
    </w:rPr>
  </w:style>
  <w:style w:type="paragraph" w:customStyle="1" w:styleId="3505">
    <w:name w:val="表内小5"/>
    <w:basedOn w:val="1"/>
    <w:qFormat/>
    <w:uiPriority w:val="0"/>
    <w:pPr>
      <w:adjustRightInd w:val="0"/>
      <w:snapToGrid w:val="0"/>
      <w:spacing w:line="300" w:lineRule="auto"/>
      <w:ind w:left="176"/>
    </w:pPr>
    <w:rPr>
      <w:rFonts w:hAnsi="宋体"/>
      <w:sz w:val="18"/>
      <w:szCs w:val="24"/>
    </w:rPr>
  </w:style>
  <w:style w:type="paragraph" w:customStyle="1" w:styleId="3506">
    <w:name w:val="样式 (符号) 宋体"/>
    <w:basedOn w:val="1"/>
    <w:qFormat/>
    <w:uiPriority w:val="0"/>
    <w:pPr>
      <w:spacing w:line="360" w:lineRule="auto"/>
      <w:ind w:firstLine="359" w:firstLineChars="171"/>
    </w:pPr>
    <w:rPr>
      <w:rFonts w:ascii="Times New Roman" w:hAnsi="宋体" w:cs="宋体"/>
      <w:sz w:val="24"/>
      <w:szCs w:val="20"/>
    </w:rPr>
  </w:style>
  <w:style w:type="paragraph" w:customStyle="1" w:styleId="3507">
    <w:name w:val="标题 4新"/>
    <w:basedOn w:val="6"/>
    <w:next w:val="150"/>
    <w:qFormat/>
    <w:uiPriority w:val="0"/>
    <w:pPr>
      <w:keepNext/>
      <w:keepLines/>
      <w:tabs>
        <w:tab w:val="left" w:pos="612"/>
        <w:tab w:val="left" w:pos="2356"/>
        <w:tab w:val="clear" w:pos="2207"/>
      </w:tabs>
      <w:spacing w:beforeLines="0" w:afterLines="0"/>
      <w:ind w:left="1984" w:hanging="708"/>
    </w:pPr>
    <w:rPr>
      <w:rFonts w:ascii="Times New Roman" w:hAnsi="Times New Roman" w:eastAsia="宋体"/>
      <w:snapToGrid/>
      <w:color w:val="auto"/>
      <w:sz w:val="28"/>
    </w:rPr>
  </w:style>
  <w:style w:type="paragraph" w:customStyle="1" w:styleId="3508">
    <w:name w:val="正文首行缩进7"/>
    <w:basedOn w:val="32"/>
    <w:qFormat/>
    <w:uiPriority w:val="0"/>
    <w:pPr>
      <w:adjustRightInd w:val="0"/>
      <w:spacing w:after="0" w:line="312" w:lineRule="auto"/>
      <w:ind w:firstLine="567"/>
      <w:textAlignment w:val="baseline"/>
    </w:pPr>
    <w:rPr>
      <w:rFonts w:ascii="Times New Roman"/>
      <w:kern w:val="0"/>
      <w:sz w:val="28"/>
      <w:szCs w:val="20"/>
    </w:rPr>
  </w:style>
  <w:style w:type="paragraph" w:customStyle="1" w:styleId="3509">
    <w:name w:val="(文字) (文字)"/>
    <w:basedOn w:val="1"/>
    <w:qFormat/>
    <w:uiPriority w:val="0"/>
    <w:pPr>
      <w:widowControl/>
      <w:spacing w:after="160" w:line="240" w:lineRule="exact"/>
      <w:jc w:val="left"/>
    </w:pPr>
    <w:rPr>
      <w:rFonts w:ascii="Verdana" w:hAnsi="Verdana"/>
      <w:kern w:val="0"/>
      <w:sz w:val="20"/>
      <w:szCs w:val="20"/>
      <w:lang w:eastAsia="en-US"/>
    </w:rPr>
  </w:style>
  <w:style w:type="paragraph" w:customStyle="1" w:styleId="3510">
    <w:name w:val="样式 样式 (中文) 黑体 小四 左 行距: 固定值 28 磅 + 首行缩进:  0 字符"/>
    <w:basedOn w:val="3000"/>
    <w:qFormat/>
    <w:uiPriority w:val="0"/>
    <w:rPr>
      <w:rFonts w:eastAsia="黑体"/>
      <w:bCs/>
    </w:rPr>
  </w:style>
  <w:style w:type="paragraph" w:customStyle="1" w:styleId="3511">
    <w:name w:val="正文单倍行距"/>
    <w:basedOn w:val="1"/>
    <w:semiHidden/>
    <w:qFormat/>
    <w:uiPriority w:val="0"/>
    <w:pPr>
      <w:tabs>
        <w:tab w:val="left" w:pos="8640"/>
      </w:tabs>
      <w:snapToGrid w:val="0"/>
      <w:ind w:firstLine="200" w:firstLineChars="200"/>
    </w:pPr>
    <w:rPr>
      <w:rFonts w:ascii="Times New Roman" w:eastAsia="仿宋_GB2312"/>
      <w:sz w:val="24"/>
      <w:szCs w:val="24"/>
    </w:rPr>
  </w:style>
  <w:style w:type="paragraph" w:customStyle="1" w:styleId="3512">
    <w:name w:val="报告书二级"/>
    <w:basedOn w:val="4"/>
    <w:qFormat/>
    <w:uiPriority w:val="0"/>
    <w:pPr>
      <w:tabs>
        <w:tab w:val="left" w:pos="756"/>
        <w:tab w:val="left" w:pos="992"/>
      </w:tabs>
      <w:spacing w:before="0" w:after="0" w:line="360" w:lineRule="auto"/>
    </w:pPr>
    <w:rPr>
      <w:rFonts w:ascii="Times New Roman" w:hAnsi="Times New Roman" w:cs="宋体"/>
      <w:snapToGrid/>
      <w:sz w:val="28"/>
      <w:szCs w:val="24"/>
    </w:rPr>
  </w:style>
  <w:style w:type="paragraph" w:customStyle="1" w:styleId="3513">
    <w:name w:val="Char23"/>
    <w:basedOn w:val="1"/>
    <w:qFormat/>
    <w:uiPriority w:val="0"/>
    <w:rPr>
      <w:rFonts w:hAnsi="宋体" w:cs="Courier New"/>
      <w:sz w:val="32"/>
      <w:szCs w:val="32"/>
    </w:rPr>
  </w:style>
  <w:style w:type="paragraph" w:customStyle="1" w:styleId="3514">
    <w:name w:val="正文文本 321"/>
    <w:basedOn w:val="1"/>
    <w:qFormat/>
    <w:uiPriority w:val="0"/>
    <w:pPr>
      <w:snapToGrid w:val="0"/>
      <w:spacing w:beforeLines="20" w:afterLines="20" w:line="240" w:lineRule="atLeast"/>
      <w:jc w:val="right"/>
    </w:pPr>
    <w:rPr>
      <w:rFonts w:ascii="Times New Roman"/>
      <w:sz w:val="16"/>
      <w:szCs w:val="16"/>
    </w:rPr>
  </w:style>
  <w:style w:type="paragraph" w:customStyle="1" w:styleId="3515">
    <w:name w:val="reader-word-layer reader-word-s21-15"/>
    <w:basedOn w:val="1"/>
    <w:qFormat/>
    <w:uiPriority w:val="0"/>
    <w:pPr>
      <w:widowControl/>
      <w:spacing w:before="100" w:beforeAutospacing="1" w:after="100" w:afterAutospacing="1"/>
      <w:jc w:val="left"/>
    </w:pPr>
    <w:rPr>
      <w:rFonts w:hAnsi="宋体" w:cs="宋体"/>
      <w:kern w:val="0"/>
      <w:sz w:val="24"/>
      <w:szCs w:val="24"/>
    </w:rPr>
  </w:style>
  <w:style w:type="paragraph" w:customStyle="1" w:styleId="3516">
    <w:name w:val="Char Char5 Char Char Char Char Char Char Char Char Char Char Char Char Char Char Char1 Char3"/>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517">
    <w:name w:val="样式 样式 样式 正文首行缩进 + 首行缩进:  2 字符 + 首行缩进:  2 字符 + 首行缩进:  2 字符"/>
    <w:basedOn w:val="1"/>
    <w:qFormat/>
    <w:uiPriority w:val="0"/>
    <w:pPr>
      <w:widowControl/>
      <w:tabs>
        <w:tab w:val="left" w:pos="628"/>
        <w:tab w:val="left" w:pos="1727"/>
        <w:tab w:val="left" w:pos="1884"/>
        <w:tab w:val="left" w:pos="2660"/>
        <w:tab w:val="left" w:pos="5460"/>
      </w:tabs>
      <w:autoSpaceDE w:val="0"/>
      <w:snapToGrid w:val="0"/>
      <w:spacing w:line="360" w:lineRule="auto"/>
      <w:ind w:firstLine="200" w:firstLineChars="200"/>
      <w:jc w:val="left"/>
    </w:pPr>
    <w:rPr>
      <w:rFonts w:cs="宋体"/>
      <w:snapToGrid w:val="0"/>
      <w:color w:val="000000"/>
      <w:kern w:val="0"/>
      <w:sz w:val="28"/>
      <w:szCs w:val="20"/>
    </w:rPr>
  </w:style>
  <w:style w:type="paragraph" w:customStyle="1" w:styleId="3518">
    <w:name w:val="报告书正文 Char Char Char1"/>
    <w:basedOn w:val="1"/>
    <w:qFormat/>
    <w:uiPriority w:val="0"/>
    <w:pPr>
      <w:spacing w:line="300" w:lineRule="auto"/>
      <w:ind w:firstLine="480" w:firstLineChars="200"/>
    </w:pPr>
    <w:rPr>
      <w:rFonts w:ascii="Times New Roman"/>
      <w:sz w:val="24"/>
      <w:szCs w:val="24"/>
    </w:rPr>
  </w:style>
  <w:style w:type="paragraph" w:customStyle="1" w:styleId="3519">
    <w:name w:val="xl55"/>
    <w:basedOn w:val="1"/>
    <w:qFormat/>
    <w:uiPriority w:val="0"/>
    <w:pPr>
      <w:widowControl/>
      <w:pBdr>
        <w:bottom w:val="single" w:color="auto" w:sz="4" w:space="0"/>
        <w:right w:val="single" w:color="auto" w:sz="8" w:space="0"/>
      </w:pBdr>
      <w:spacing w:before="100" w:after="100"/>
      <w:jc w:val="center"/>
      <w:textAlignment w:val="center"/>
    </w:pPr>
    <w:rPr>
      <w:rFonts w:ascii="Sim Sun" w:hAnsi="Sim Sun" w:cs="Batang"/>
      <w:kern w:val="0"/>
      <w:sz w:val="28"/>
      <w:szCs w:val="28"/>
    </w:rPr>
  </w:style>
  <w:style w:type="paragraph" w:customStyle="1" w:styleId="3520">
    <w:name w:val="样式 样式 样式2 + + 小四"/>
    <w:basedOn w:val="3347"/>
    <w:qFormat/>
    <w:uiPriority w:val="0"/>
    <w:pPr>
      <w:tabs>
        <w:tab w:val="left" w:pos="2100"/>
      </w:tabs>
      <w:ind w:left="2100"/>
    </w:pPr>
    <w:rPr>
      <w:bCs w:val="0"/>
    </w:rPr>
  </w:style>
  <w:style w:type="paragraph" w:customStyle="1" w:styleId="3521">
    <w:name w:val="bh1"/>
    <w:basedOn w:val="1"/>
    <w:qFormat/>
    <w:uiPriority w:val="0"/>
    <w:pPr>
      <w:widowControl/>
      <w:jc w:val="left"/>
    </w:pPr>
    <w:rPr>
      <w:rFonts w:hAnsi="宋体" w:cs="宋体"/>
      <w:kern w:val="0"/>
      <w:sz w:val="24"/>
      <w:szCs w:val="24"/>
    </w:rPr>
  </w:style>
  <w:style w:type="paragraph" w:customStyle="1" w:styleId="3522">
    <w:name w:val="reader-word-layer reader-word-s25-1"/>
    <w:basedOn w:val="1"/>
    <w:qFormat/>
    <w:uiPriority w:val="0"/>
    <w:pPr>
      <w:widowControl/>
      <w:spacing w:before="100" w:beforeAutospacing="1" w:after="100" w:afterAutospacing="1"/>
      <w:jc w:val="left"/>
    </w:pPr>
    <w:rPr>
      <w:rFonts w:hAnsi="宋体" w:cs="宋体"/>
      <w:kern w:val="0"/>
      <w:sz w:val="24"/>
      <w:szCs w:val="24"/>
    </w:rPr>
  </w:style>
  <w:style w:type="paragraph" w:customStyle="1" w:styleId="3523">
    <w:name w:val="正文-第几条"/>
    <w:basedOn w:val="1"/>
    <w:qFormat/>
    <w:uiPriority w:val="0"/>
    <w:pPr>
      <w:tabs>
        <w:tab w:val="left" w:pos="360"/>
        <w:tab w:val="left" w:pos="1021"/>
      </w:tabs>
      <w:spacing w:line="360" w:lineRule="auto"/>
      <w:ind w:left="360" w:hanging="360"/>
    </w:pPr>
    <w:rPr>
      <w:rFonts w:ascii="Times New Roman"/>
      <w:sz w:val="24"/>
      <w:szCs w:val="24"/>
    </w:rPr>
  </w:style>
  <w:style w:type="paragraph" w:customStyle="1" w:styleId="3524">
    <w:name w:val="5#表格"/>
    <w:basedOn w:val="1"/>
    <w:qFormat/>
    <w:uiPriority w:val="0"/>
    <w:pPr>
      <w:tabs>
        <w:tab w:val="left" w:pos="600"/>
      </w:tabs>
      <w:adjustRightInd w:val="0"/>
      <w:spacing w:line="360" w:lineRule="exact"/>
      <w:ind w:firstLine="200" w:firstLineChars="200"/>
      <w:jc w:val="center"/>
    </w:pPr>
    <w:rPr>
      <w:rFonts w:ascii="Arial Unicode MS" w:hAnsi="Arial Unicode MS" w:cs="Vladimir Script"/>
      <w:kern w:val="0"/>
      <w:sz w:val="21"/>
      <w:szCs w:val="21"/>
    </w:rPr>
  </w:style>
  <w:style w:type="paragraph" w:customStyle="1" w:styleId="3525">
    <w:name w:val="zhj"/>
    <w:next w:val="1"/>
    <w:qFormat/>
    <w:uiPriority w:val="0"/>
    <w:pPr>
      <w:autoSpaceDE w:val="0"/>
      <w:autoSpaceDN w:val="0"/>
      <w:adjustRightInd w:val="0"/>
      <w:snapToGrid w:val="0"/>
      <w:spacing w:line="360" w:lineRule="auto"/>
      <w:ind w:left="350" w:leftChars="350" w:firstLine="200" w:firstLineChars="200"/>
      <w:jc w:val="both"/>
    </w:pPr>
    <w:rPr>
      <w:rFonts w:ascii="宋体" w:hAnsi="宋体" w:eastAsia="宋体" w:cs="Times New Roman"/>
      <w:spacing w:val="6"/>
      <w:kern w:val="2"/>
      <w:sz w:val="24"/>
      <w:lang w:val="en-US" w:eastAsia="zh-CN" w:bidi="ar-SA"/>
    </w:rPr>
  </w:style>
  <w:style w:type="paragraph" w:customStyle="1" w:styleId="3526">
    <w:name w:val="批注框文本11"/>
    <w:basedOn w:val="1"/>
    <w:qFormat/>
    <w:uiPriority w:val="0"/>
    <w:rPr>
      <w:rFonts w:ascii="Calibri" w:hAnsi="Calibri"/>
      <w:sz w:val="18"/>
      <w:szCs w:val="22"/>
    </w:rPr>
  </w:style>
  <w:style w:type="paragraph" w:customStyle="1" w:styleId="3527">
    <w:name w:val="样式 样式 标题 1标题 1 Char标1章 + 段前: 0.5 行 段后: 0.5 行3 + 段前: 0.5 行 段后: 0..."/>
    <w:basedOn w:val="1"/>
    <w:qFormat/>
    <w:uiPriority w:val="0"/>
    <w:pPr>
      <w:keepNext/>
      <w:widowControl/>
      <w:tabs>
        <w:tab w:val="left" w:pos="420"/>
      </w:tabs>
      <w:spacing w:beforeLines="50" w:afterLines="50"/>
      <w:ind w:left="420" w:hanging="420"/>
      <w:outlineLvl w:val="0"/>
    </w:pPr>
    <w:rPr>
      <w:rFonts w:ascii="黑体" w:hAnsi="Arial" w:eastAsia="黑体" w:cs="宋体"/>
      <w:kern w:val="24"/>
      <w:sz w:val="28"/>
      <w:szCs w:val="20"/>
    </w:rPr>
  </w:style>
  <w:style w:type="paragraph" w:customStyle="1" w:styleId="3528">
    <w:name w:val="字元 字元 字元3"/>
    <w:basedOn w:val="1"/>
    <w:semiHidden/>
    <w:qFormat/>
    <w:uiPriority w:val="0"/>
    <w:pPr>
      <w:spacing w:line="360" w:lineRule="auto"/>
      <w:ind w:firstLine="200" w:firstLineChars="200"/>
    </w:pPr>
    <w:rPr>
      <w:rFonts w:hAnsi="宋体" w:cs="宋体"/>
      <w:sz w:val="24"/>
      <w:szCs w:val="24"/>
    </w:rPr>
  </w:style>
  <w:style w:type="paragraph" w:customStyle="1" w:styleId="3529">
    <w:name w:val="副标题4"/>
    <w:basedOn w:val="3017"/>
    <w:qFormat/>
    <w:uiPriority w:val="0"/>
    <w:pPr>
      <w:tabs>
        <w:tab w:val="left" w:pos="1275"/>
        <w:tab w:val="left" w:pos="2100"/>
        <w:tab w:val="left" w:pos="2580"/>
        <w:tab w:val="clear" w:pos="672"/>
        <w:tab w:val="clear" w:pos="720"/>
        <w:tab w:val="clear" w:pos="2160"/>
      </w:tabs>
      <w:ind w:left="1275" w:hanging="705"/>
      <w:outlineLvl w:val="4"/>
    </w:pPr>
  </w:style>
  <w:style w:type="paragraph" w:customStyle="1" w:styleId="3530">
    <w:name w:val="msolistparagraph"/>
    <w:basedOn w:val="1"/>
    <w:qFormat/>
    <w:uiPriority w:val="0"/>
    <w:pPr>
      <w:ind w:firstLine="420" w:firstLineChars="200"/>
    </w:pPr>
    <w:rPr>
      <w:rFonts w:ascii="Calibri" w:hAnsi="Calibri"/>
      <w:sz w:val="21"/>
      <w:szCs w:val="22"/>
    </w:rPr>
  </w:style>
  <w:style w:type="paragraph" w:customStyle="1" w:styleId="3531">
    <w:name w:val="排序（1）（2）"/>
    <w:basedOn w:val="1"/>
    <w:qFormat/>
    <w:uiPriority w:val="0"/>
    <w:pPr>
      <w:spacing w:line="460" w:lineRule="atLeast"/>
    </w:pPr>
    <w:rPr>
      <w:rFonts w:ascii="Times New Roman"/>
      <w:spacing w:val="12"/>
      <w:sz w:val="24"/>
      <w:szCs w:val="24"/>
    </w:rPr>
  </w:style>
  <w:style w:type="paragraph" w:customStyle="1" w:styleId="3532">
    <w:name w:val="标题 42"/>
    <w:basedOn w:val="1"/>
    <w:next w:val="1"/>
    <w:qFormat/>
    <w:uiPriority w:val="0"/>
    <w:pPr>
      <w:keepNext/>
      <w:keepLines/>
      <w:tabs>
        <w:tab w:val="left" w:pos="900"/>
        <w:tab w:val="left" w:pos="1080"/>
        <w:tab w:val="left" w:pos="1440"/>
      </w:tabs>
      <w:spacing w:before="120" w:after="120"/>
      <w:ind w:firstLine="562" w:firstLineChars="200"/>
      <w:outlineLvl w:val="3"/>
    </w:pPr>
    <w:rPr>
      <w:rFonts w:hint="eastAsia" w:ascii="Times New Roman"/>
      <w:b/>
      <w:sz w:val="28"/>
      <w:szCs w:val="20"/>
    </w:rPr>
  </w:style>
  <w:style w:type="paragraph" w:customStyle="1" w:styleId="3533">
    <w:name w:val="表格内容格式"/>
    <w:basedOn w:val="1"/>
    <w:qFormat/>
    <w:uiPriority w:val="0"/>
    <w:pPr>
      <w:adjustRightInd w:val="0"/>
      <w:snapToGrid w:val="0"/>
      <w:spacing w:line="340" w:lineRule="exact"/>
      <w:jc w:val="center"/>
      <w:textAlignment w:val="baseline"/>
    </w:pPr>
    <w:rPr>
      <w:rFonts w:hAnsi="宋体"/>
      <w:snapToGrid w:val="0"/>
      <w:spacing w:val="16"/>
      <w:kern w:val="0"/>
      <w:sz w:val="21"/>
      <w:szCs w:val="21"/>
    </w:rPr>
  </w:style>
  <w:style w:type="paragraph" w:customStyle="1" w:styleId="3534">
    <w:name w:val="Char1 Char Char Char6"/>
    <w:basedOn w:val="1"/>
    <w:qFormat/>
    <w:uiPriority w:val="0"/>
    <w:pPr>
      <w:widowControl/>
      <w:spacing w:after="160" w:line="240" w:lineRule="exact"/>
      <w:jc w:val="left"/>
    </w:pPr>
    <w:rPr>
      <w:rFonts w:ascii="Verdana" w:hAnsi="Verdana"/>
      <w:kern w:val="0"/>
      <w:sz w:val="20"/>
      <w:szCs w:val="20"/>
      <w:lang w:eastAsia="en-US"/>
    </w:rPr>
  </w:style>
  <w:style w:type="paragraph" w:customStyle="1" w:styleId="3535">
    <w:name w:val="表格，五宋"/>
    <w:qFormat/>
    <w:uiPriority w:val="0"/>
    <w:pPr>
      <w:keepNext/>
      <w:widowControl w:val="0"/>
      <w:adjustRightInd w:val="0"/>
      <w:spacing w:line="360" w:lineRule="exact"/>
      <w:jc w:val="both"/>
    </w:pPr>
    <w:rPr>
      <w:rFonts w:ascii="Batang" w:hAnsi="Batang" w:eastAsia="宋体" w:cs="Batang"/>
      <w:sz w:val="21"/>
      <w:lang w:val="en-US" w:eastAsia="zh-CN" w:bidi="ar-SA"/>
    </w:rPr>
  </w:style>
  <w:style w:type="paragraph" w:customStyle="1" w:styleId="3536">
    <w:name w:val="font13"/>
    <w:basedOn w:val="1"/>
    <w:qFormat/>
    <w:uiPriority w:val="0"/>
    <w:pPr>
      <w:widowControl/>
      <w:spacing w:before="100" w:beforeAutospacing="1" w:after="100" w:afterAutospacing="1" w:line="440" w:lineRule="exact"/>
      <w:ind w:firstLine="200" w:firstLineChars="200"/>
      <w:jc w:val="left"/>
    </w:pPr>
    <w:rPr>
      <w:rFonts w:ascii="ˎ̥" w:hAnsi="ˎ̥" w:cs="Vladimir Script"/>
      <w:kern w:val="0"/>
      <w:sz w:val="18"/>
      <w:szCs w:val="18"/>
    </w:rPr>
  </w:style>
  <w:style w:type="paragraph" w:customStyle="1" w:styleId="3537">
    <w:name w:val="样式 标题 3 + 加粗 行距: 多倍行距 1.25 字行"/>
    <w:basedOn w:val="5"/>
    <w:qFormat/>
    <w:uiPriority w:val="0"/>
    <w:pPr>
      <w:tabs>
        <w:tab w:val="left" w:pos="1571"/>
      </w:tabs>
      <w:spacing w:line="300" w:lineRule="auto"/>
      <w:ind w:firstLine="561" w:firstLineChars="200"/>
    </w:pPr>
    <w:rPr>
      <w:rFonts w:eastAsia="仿宋_GB2312"/>
      <w:b w:val="0"/>
      <w:bCs w:val="0"/>
      <w:szCs w:val="20"/>
    </w:rPr>
  </w:style>
  <w:style w:type="paragraph" w:customStyle="1" w:styleId="3538">
    <w:name w:val="章(一级)"/>
    <w:basedOn w:val="3"/>
    <w:next w:val="2986"/>
    <w:qFormat/>
    <w:uiPriority w:val="0"/>
    <w:pPr>
      <w:tabs>
        <w:tab w:val="left" w:pos="425"/>
      </w:tabs>
      <w:adjustRightInd w:val="0"/>
      <w:spacing w:beforeLines="0" w:line="460" w:lineRule="exact"/>
      <w:ind w:left="425" w:firstLine="200" w:firstLineChars="200"/>
      <w:jc w:val="left"/>
      <w:textAlignment w:val="baseline"/>
      <w:outlineLvl w:val="9"/>
    </w:pPr>
    <w:rPr>
      <w:rFonts w:ascii="Sim Sun" w:hAnsi="ˎ̥" w:eastAsia="Sim Sun" w:cs="Vladimir Script"/>
      <w:b/>
      <w:snapToGrid/>
      <w:color w:val="000000"/>
      <w:kern w:val="24"/>
      <w:szCs w:val="20"/>
    </w:rPr>
  </w:style>
  <w:style w:type="paragraph" w:customStyle="1" w:styleId="3539">
    <w:name w:val="样式 样式 (中文) 黑体 小四 左 行距: 固定值 28 磅 + 首行缩进:  2 字符"/>
    <w:basedOn w:val="3000"/>
    <w:qFormat/>
    <w:uiPriority w:val="0"/>
    <w:rPr>
      <w:bCs/>
    </w:rPr>
  </w:style>
  <w:style w:type="paragraph" w:customStyle="1" w:styleId="3540">
    <w:name w:val="样式 标题 3条标题1.1.1 + 宋体 加粗 段前: 13 磅 段后: 13 磅 行距: 多倍行距 1.73 字行"/>
    <w:basedOn w:val="5"/>
    <w:qFormat/>
    <w:uiPriority w:val="0"/>
    <w:pPr>
      <w:tabs>
        <w:tab w:val="left" w:pos="1571"/>
      </w:tabs>
      <w:adjustRightInd w:val="0"/>
      <w:snapToGrid w:val="0"/>
      <w:spacing w:line="416" w:lineRule="auto"/>
      <w:ind w:left="1418" w:hanging="567"/>
    </w:pPr>
    <w:rPr>
      <w:rFonts w:ascii="Arial" w:hAnsi="Arial"/>
      <w:sz w:val="28"/>
      <w:szCs w:val="28"/>
    </w:rPr>
  </w:style>
  <w:style w:type="paragraph" w:customStyle="1" w:styleId="3541">
    <w:name w:val="注释标题1"/>
    <w:basedOn w:val="1"/>
    <w:next w:val="1"/>
    <w:qFormat/>
    <w:uiPriority w:val="0"/>
    <w:pPr>
      <w:spacing w:line="440" w:lineRule="exact"/>
      <w:ind w:firstLine="200" w:firstLineChars="200"/>
      <w:jc w:val="center"/>
    </w:pPr>
    <w:rPr>
      <w:rFonts w:ascii="Sim Sun" w:hAnsi="Arial Unicode MS" w:eastAsia="Times New Roman"/>
      <w:kern w:val="0"/>
      <w:sz w:val="21"/>
      <w:szCs w:val="20"/>
    </w:rPr>
  </w:style>
  <w:style w:type="paragraph" w:customStyle="1" w:styleId="3542">
    <w:name w:val="hb3"/>
    <w:qFormat/>
    <w:uiPriority w:val="0"/>
    <w:pPr>
      <w:spacing w:beforeLines="100" w:line="360" w:lineRule="auto"/>
      <w:outlineLvl w:val="2"/>
    </w:pPr>
    <w:rPr>
      <w:rFonts w:ascii="Calibri" w:hAnsi="Calibri" w:eastAsia="宋体" w:cs="Times New Roman"/>
      <w:b/>
      <w:kern w:val="2"/>
      <w:sz w:val="24"/>
      <w:szCs w:val="24"/>
      <w:lang w:val="en-US" w:eastAsia="zh-CN" w:bidi="ar-SA"/>
    </w:rPr>
  </w:style>
  <w:style w:type="paragraph" w:customStyle="1" w:styleId="3543">
    <w:name w:val="样式 小四 左 行距: 固定值 22 磅"/>
    <w:basedOn w:val="1"/>
    <w:qFormat/>
    <w:uiPriority w:val="0"/>
    <w:pPr>
      <w:widowControl/>
      <w:jc w:val="left"/>
    </w:pPr>
    <w:rPr>
      <w:rFonts w:hAnsi="宋体" w:cs="宋体"/>
      <w:kern w:val="0"/>
      <w:sz w:val="21"/>
      <w:szCs w:val="24"/>
    </w:rPr>
  </w:style>
  <w:style w:type="paragraph" w:customStyle="1" w:styleId="3544">
    <w:name w:val="正文（首行缩进两字） + 首行缩进:  2 字符1"/>
    <w:basedOn w:val="20"/>
    <w:next w:val="20"/>
    <w:qFormat/>
    <w:uiPriority w:val="0"/>
    <w:pPr>
      <w:tabs>
        <w:tab w:val="left" w:pos="945"/>
        <w:tab w:val="right" w:leader="dot" w:pos="1155"/>
        <w:tab w:val="left" w:pos="8715"/>
      </w:tabs>
      <w:adjustRightInd w:val="0"/>
      <w:snapToGrid w:val="0"/>
      <w:spacing w:line="360" w:lineRule="auto"/>
      <w:ind w:firstLine="480" w:firstLineChars="200"/>
    </w:pPr>
    <w:rPr>
      <w:rFonts w:ascii="宋体" w:hAnsi="宋体" w:eastAsia="宋体"/>
      <w:kern w:val="0"/>
      <w:sz w:val="24"/>
      <w:szCs w:val="21"/>
    </w:rPr>
  </w:style>
  <w:style w:type="paragraph" w:customStyle="1" w:styleId="3545">
    <w:name w:val="表中正文居中"/>
    <w:qFormat/>
    <w:uiPriority w:val="0"/>
    <w:pPr>
      <w:spacing w:before="120" w:after="120" w:line="240" w:lineRule="atLeast"/>
      <w:jc w:val="center"/>
    </w:pPr>
    <w:rPr>
      <w:rFonts w:ascii="宋体" w:hAnsi="Calibri" w:eastAsia="宋体" w:cs="Times New Roman"/>
      <w:kern w:val="2"/>
      <w:sz w:val="21"/>
      <w:lang w:val="en-US" w:eastAsia="zh-CN" w:bidi="ar-SA"/>
    </w:rPr>
  </w:style>
  <w:style w:type="paragraph" w:customStyle="1" w:styleId="3546">
    <w:name w:val="Default + 两端对齐"/>
    <w:basedOn w:val="1"/>
    <w:qFormat/>
    <w:uiPriority w:val="0"/>
    <w:pPr>
      <w:autoSpaceDE w:val="0"/>
      <w:autoSpaceDN w:val="0"/>
      <w:adjustRightInd w:val="0"/>
      <w:ind w:firstLine="380"/>
      <w:jc w:val="center"/>
    </w:pPr>
    <w:rPr>
      <w:rFonts w:hAnsi="宋体"/>
      <w:kern w:val="0"/>
      <w:sz w:val="21"/>
      <w:szCs w:val="21"/>
    </w:rPr>
  </w:style>
  <w:style w:type="paragraph" w:customStyle="1" w:styleId="3547">
    <w:name w:val="Char Char Char1 Char Char Char Char1"/>
    <w:basedOn w:val="1"/>
    <w:next w:val="1"/>
    <w:qFormat/>
    <w:uiPriority w:val="0"/>
    <w:pPr>
      <w:spacing w:line="360" w:lineRule="auto"/>
      <w:ind w:firstLine="200" w:firstLineChars="200"/>
    </w:pPr>
    <w:rPr>
      <w:rFonts w:hAnsi="宋体" w:eastAsia="汉鼎简书宋" w:cs="宋体"/>
      <w:sz w:val="24"/>
      <w:szCs w:val="24"/>
    </w:rPr>
  </w:style>
  <w:style w:type="paragraph" w:customStyle="1" w:styleId="3548">
    <w:name w:val="Char Char9 Char Char Char Char Char Char Char Char Char1 Char Char Char Char Char Char Char3"/>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549">
    <w:name w:val="征文"/>
    <w:basedOn w:val="1"/>
    <w:qFormat/>
    <w:uiPriority w:val="0"/>
    <w:pPr>
      <w:adjustRightInd w:val="0"/>
      <w:snapToGrid w:val="0"/>
      <w:spacing w:line="312" w:lineRule="auto"/>
      <w:jc w:val="center"/>
    </w:pPr>
    <w:rPr>
      <w:rFonts w:hAnsi="宋体"/>
      <w:sz w:val="21"/>
      <w:szCs w:val="20"/>
    </w:rPr>
  </w:style>
  <w:style w:type="paragraph" w:customStyle="1" w:styleId="3550">
    <w:name w:val="通用"/>
    <w:basedOn w:val="1"/>
    <w:qFormat/>
    <w:uiPriority w:val="0"/>
    <w:pPr>
      <w:widowControl/>
      <w:spacing w:before="120" w:after="120" w:line="300" w:lineRule="exact"/>
      <w:ind w:right="216"/>
      <w:jc w:val="left"/>
    </w:pPr>
    <w:rPr>
      <w:rFonts w:ascii="幼圆" w:hAnsi="幼圆" w:cs="Batang"/>
      <w:spacing w:val="40"/>
      <w:kern w:val="0"/>
      <w:sz w:val="24"/>
      <w:szCs w:val="20"/>
    </w:rPr>
  </w:style>
  <w:style w:type="paragraph" w:customStyle="1" w:styleId="3551">
    <w:name w:val="xl62"/>
    <w:basedOn w:val="1"/>
    <w:qFormat/>
    <w:uiPriority w:val="0"/>
    <w:pPr>
      <w:widowControl/>
      <w:pBdr>
        <w:top w:val="single" w:color="auto" w:sz="8" w:space="0"/>
        <w:left w:val="single" w:color="auto" w:sz="4" w:space="0"/>
      </w:pBdr>
      <w:spacing w:before="100" w:after="100"/>
      <w:jc w:val="center"/>
      <w:textAlignment w:val="top"/>
    </w:pPr>
    <w:rPr>
      <w:rFonts w:ascii="Batang" w:hAnsi="Batang" w:cs="Batang"/>
      <w:kern w:val="0"/>
      <w:sz w:val="24"/>
      <w:szCs w:val="24"/>
    </w:rPr>
  </w:style>
  <w:style w:type="paragraph" w:customStyle="1" w:styleId="3552">
    <w:name w:val="标题1（新）"/>
    <w:basedOn w:val="1"/>
    <w:next w:val="1"/>
    <w:qFormat/>
    <w:uiPriority w:val="0"/>
    <w:pPr>
      <w:widowControl/>
      <w:tabs>
        <w:tab w:val="left" w:pos="1200"/>
      </w:tabs>
      <w:spacing w:beforeLines="50" w:afterLines="50" w:line="440" w:lineRule="exact"/>
      <w:ind w:left="1200" w:hanging="720" w:firstLineChars="200"/>
      <w:jc w:val="left"/>
    </w:pPr>
    <w:rPr>
      <w:rFonts w:ascii="Arial Unicode MS" w:hAnsi="Arial Unicode MS" w:eastAsia="仿宋体" w:cs="Vladimir Script"/>
      <w:kern w:val="0"/>
      <w:sz w:val="24"/>
      <w:szCs w:val="28"/>
    </w:rPr>
  </w:style>
  <w:style w:type="paragraph" w:customStyle="1" w:styleId="3553">
    <w:name w:val="样式 标题 1章标题 1文章标题h11st levelSection Headl1章b1H1章节标题1标题..."/>
    <w:basedOn w:val="3"/>
    <w:qFormat/>
    <w:uiPriority w:val="0"/>
    <w:pPr>
      <w:keepNext w:val="0"/>
      <w:keepLines w:val="0"/>
      <w:tabs>
        <w:tab w:val="left" w:pos="425"/>
        <w:tab w:val="left" w:pos="1260"/>
      </w:tabs>
      <w:spacing w:beforeLines="0"/>
      <w:ind w:left="1260" w:hanging="780" w:firstLineChars="200"/>
      <w:jc w:val="left"/>
      <w:textAlignment w:val="baseline"/>
    </w:pPr>
    <w:rPr>
      <w:rFonts w:ascii="Arial Unicode MS" w:hAnsi="Arial Unicode MS" w:eastAsia="仿宋体" w:cs="Vladimir Script"/>
      <w:snapToGrid/>
      <w:color w:val="0000FF"/>
      <w:sz w:val="32"/>
      <w:szCs w:val="32"/>
    </w:rPr>
  </w:style>
  <w:style w:type="paragraph" w:customStyle="1" w:styleId="3554">
    <w:name w:val="样式 批注文字"/>
    <w:basedOn w:val="26"/>
    <w:next w:val="1"/>
    <w:qFormat/>
    <w:uiPriority w:val="0"/>
    <w:rPr>
      <w:rFonts w:ascii="Times New Roman" w:cs="宋体"/>
      <w:color w:val="000000"/>
      <w:kern w:val="0"/>
      <w:sz w:val="18"/>
      <w:szCs w:val="24"/>
    </w:rPr>
  </w:style>
  <w:style w:type="paragraph" w:customStyle="1" w:styleId="3555">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Sim Sun" w:hAnsi="Sim Sun" w:cs="Batang"/>
      <w:kern w:val="0"/>
      <w:sz w:val="28"/>
      <w:szCs w:val="28"/>
    </w:rPr>
  </w:style>
  <w:style w:type="paragraph" w:customStyle="1" w:styleId="3556">
    <w:name w:val="表题 Char"/>
    <w:basedOn w:val="1"/>
    <w:qFormat/>
    <w:uiPriority w:val="0"/>
    <w:pPr>
      <w:spacing w:line="360" w:lineRule="auto"/>
      <w:jc w:val="center"/>
    </w:pPr>
    <w:rPr>
      <w:rFonts w:ascii="黑体" w:hAnsi="宋体" w:eastAsia="黑体"/>
      <w:b/>
      <w:bCs/>
      <w:sz w:val="24"/>
      <w:szCs w:val="24"/>
    </w:rPr>
  </w:style>
  <w:style w:type="paragraph" w:customStyle="1" w:styleId="3557">
    <w:name w:val="图表目录3"/>
    <w:basedOn w:val="1369"/>
    <w:next w:val="1369"/>
    <w:qFormat/>
    <w:uiPriority w:val="0"/>
    <w:pPr>
      <w:tabs>
        <w:tab w:val="right" w:leader="dot" w:pos="8051"/>
      </w:tabs>
      <w:spacing w:line="360" w:lineRule="atLeast"/>
      <w:ind w:left="840" w:hanging="840"/>
      <w:jc w:val="left"/>
    </w:pPr>
    <w:rPr>
      <w:rFonts w:ascii="宋体" w:hAnsi="Calibri" w:eastAsia="宋体"/>
      <w:spacing w:val="0"/>
      <w:sz w:val="24"/>
    </w:rPr>
  </w:style>
  <w:style w:type="paragraph" w:customStyle="1" w:styleId="3558">
    <w:name w:val="样式 目录 2 + 行距: 1.5 倍行距"/>
    <w:basedOn w:val="70"/>
    <w:qFormat/>
    <w:uiPriority w:val="0"/>
    <w:pPr>
      <w:tabs>
        <w:tab w:val="left" w:pos="1260"/>
        <w:tab w:val="right" w:leader="dot" w:pos="8302"/>
        <w:tab w:val="right" w:leader="dot" w:pos="8777"/>
      </w:tabs>
      <w:spacing w:line="360" w:lineRule="auto"/>
      <w:ind w:left="420" w:leftChars="200" w:firstLine="200" w:firstLineChars="200"/>
    </w:pPr>
    <w:rPr>
      <w:rFonts w:ascii="宋体" w:hAnsi="宋体" w:eastAsia="仿宋_GB2312" w:cs="宋体"/>
      <w:bCs/>
      <w:iCs/>
      <w:smallCaps w:val="0"/>
      <w:sz w:val="28"/>
      <w:szCs w:val="24"/>
    </w:rPr>
  </w:style>
  <w:style w:type="paragraph" w:customStyle="1" w:styleId="3559">
    <w:name w:val="Char Char Char Char Char Char1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3560">
    <w:name w:val="样式 标题 4标4 + (符号) 宋体"/>
    <w:basedOn w:val="6"/>
    <w:qFormat/>
    <w:uiPriority w:val="0"/>
    <w:pPr>
      <w:keepNext/>
      <w:keepLines/>
      <w:tabs>
        <w:tab w:val="left" w:pos="2356"/>
        <w:tab w:val="clear" w:pos="2207"/>
      </w:tabs>
      <w:spacing w:beforeLines="0" w:afterLines="0" w:line="336" w:lineRule="auto"/>
      <w:ind w:left="245" w:hanging="245" w:firstLineChars="200"/>
      <w:jc w:val="left"/>
    </w:pPr>
    <w:rPr>
      <w:rFonts w:ascii="Sim Sun" w:hAnsi="Arial Unicode MS" w:eastAsia="宋体-方正超大字符集" w:cs="Vladimir Script"/>
      <w:bCs/>
      <w:snapToGrid/>
      <w:color w:val="auto"/>
      <w:kern w:val="0"/>
      <w:szCs w:val="20"/>
    </w:rPr>
  </w:style>
  <w:style w:type="paragraph" w:customStyle="1" w:styleId="3561">
    <w:name w:val="样式 标题 6无节标题8二级项标题6，6级标题，小四中宋粗，无序号标题6，6级标题，小四中宋粗，无序号 Char标6..."/>
    <w:basedOn w:val="8"/>
    <w:qFormat/>
    <w:uiPriority w:val="0"/>
    <w:pPr>
      <w:keepLines/>
      <w:numPr>
        <w:ilvl w:val="0"/>
        <w:numId w:val="2"/>
      </w:numPr>
      <w:tabs>
        <w:tab w:val="left" w:pos="425"/>
        <w:tab w:val="left" w:pos="3566"/>
        <w:tab w:val="clear" w:pos="1800"/>
        <w:tab w:val="clear" w:pos="3047"/>
      </w:tabs>
      <w:autoSpaceDN w:val="0"/>
      <w:spacing w:line="360" w:lineRule="auto"/>
      <w:ind w:left="425" w:hanging="425"/>
    </w:pPr>
    <w:rPr>
      <w:rFonts w:ascii="宋体" w:hAnsi="宋体"/>
      <w:sz w:val="28"/>
    </w:rPr>
  </w:style>
  <w:style w:type="paragraph" w:customStyle="1" w:styleId="3562">
    <w:name w:val="Char Char Char Char Char Char Char Char Char Char Char Char Char Char Char Char Char Char Char14"/>
    <w:basedOn w:val="1"/>
    <w:qFormat/>
    <w:uiPriority w:val="0"/>
    <w:pPr>
      <w:spacing w:line="360" w:lineRule="auto"/>
      <w:ind w:firstLine="200" w:firstLineChars="200"/>
    </w:pPr>
    <w:rPr>
      <w:rFonts w:hAnsi="宋体"/>
      <w:sz w:val="24"/>
      <w:szCs w:val="20"/>
    </w:rPr>
  </w:style>
  <w:style w:type="paragraph" w:customStyle="1" w:styleId="3563">
    <w:name w:val="索引 51"/>
    <w:basedOn w:val="1"/>
    <w:next w:val="1"/>
    <w:qFormat/>
    <w:uiPriority w:val="0"/>
    <w:pPr>
      <w:spacing w:line="440" w:lineRule="exact"/>
      <w:ind w:left="1250" w:hanging="250" w:firstLineChars="200"/>
      <w:jc w:val="left"/>
    </w:pPr>
    <w:rPr>
      <w:rFonts w:ascii="ˎ̥" w:hAnsi="ˎ̥" w:eastAsia="仿宋体" w:cs="ˎ̥"/>
      <w:spacing w:val="5"/>
      <w:sz w:val="20"/>
      <w:szCs w:val="20"/>
    </w:rPr>
  </w:style>
  <w:style w:type="paragraph" w:customStyle="1" w:styleId="3564">
    <w:name w:val="图文字"/>
    <w:basedOn w:val="1"/>
    <w:next w:val="1"/>
    <w:qFormat/>
    <w:uiPriority w:val="0"/>
    <w:pPr>
      <w:snapToGrid w:val="0"/>
    </w:pPr>
    <w:rPr>
      <w:rFonts w:ascii="Arial" w:hAnsi="Arial" w:eastAsia="楷体_GB2312"/>
      <w:sz w:val="24"/>
      <w:szCs w:val="20"/>
    </w:rPr>
  </w:style>
  <w:style w:type="paragraph" w:customStyle="1" w:styleId="3565">
    <w:name w:val="Char Char Char Char Char Char Char Char Char Char Char Char1 Char"/>
    <w:basedOn w:val="1"/>
    <w:qFormat/>
    <w:uiPriority w:val="0"/>
    <w:rPr>
      <w:rFonts w:ascii="Times New Roman"/>
      <w:sz w:val="21"/>
      <w:szCs w:val="24"/>
    </w:rPr>
  </w:style>
  <w:style w:type="paragraph" w:customStyle="1" w:styleId="3566">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Sim Sun" w:hAnsi="Sim Sun" w:cs="Batang"/>
      <w:kern w:val="0"/>
      <w:sz w:val="24"/>
      <w:szCs w:val="24"/>
    </w:rPr>
  </w:style>
  <w:style w:type="paragraph" w:customStyle="1" w:styleId="3567">
    <w:name w:val="字元 字元 字元"/>
    <w:basedOn w:val="1"/>
    <w:semiHidden/>
    <w:qFormat/>
    <w:uiPriority w:val="0"/>
    <w:pPr>
      <w:spacing w:line="360" w:lineRule="auto"/>
      <w:ind w:firstLine="200" w:firstLineChars="200"/>
    </w:pPr>
    <w:rPr>
      <w:rFonts w:hAnsi="宋体" w:cs="宋体"/>
      <w:sz w:val="24"/>
      <w:szCs w:val="24"/>
    </w:rPr>
  </w:style>
  <w:style w:type="paragraph" w:customStyle="1" w:styleId="3568">
    <w:name w:val="样式 正文缩进正文缩进 Char正文缩进1 Char正文缩进1正文（首行缩进两字） Char正文缩进 Char Cha..."/>
    <w:basedOn w:val="20"/>
    <w:qFormat/>
    <w:uiPriority w:val="0"/>
    <w:pPr>
      <w:spacing w:beforeLines="50" w:line="360" w:lineRule="auto"/>
      <w:ind w:firstLine="567"/>
      <w:jc w:val="left"/>
    </w:pPr>
    <w:rPr>
      <w:rFonts w:eastAsia="宋体"/>
      <w:snapToGrid/>
      <w:sz w:val="24"/>
      <w:szCs w:val="22"/>
    </w:rPr>
  </w:style>
  <w:style w:type="paragraph" w:customStyle="1" w:styleId="3569">
    <w:name w:val="普通(网站)2"/>
    <w:basedOn w:val="1"/>
    <w:qFormat/>
    <w:uiPriority w:val="0"/>
    <w:pPr>
      <w:widowControl/>
      <w:adjustRightInd w:val="0"/>
      <w:spacing w:before="100" w:after="100"/>
      <w:jc w:val="left"/>
      <w:textAlignment w:val="baseline"/>
    </w:pPr>
    <w:rPr>
      <w:rFonts w:hAnsi="宋体"/>
      <w:color w:val="000000"/>
      <w:kern w:val="0"/>
      <w:sz w:val="24"/>
      <w:szCs w:val="20"/>
    </w:rPr>
  </w:style>
  <w:style w:type="paragraph" w:customStyle="1" w:styleId="3570">
    <w:name w:val="Char Char Char Char2 Char Char Char Char2"/>
    <w:basedOn w:val="1"/>
    <w:qFormat/>
    <w:uiPriority w:val="0"/>
    <w:pPr>
      <w:autoSpaceDE w:val="0"/>
      <w:autoSpaceDN w:val="0"/>
      <w:adjustRightInd w:val="0"/>
      <w:snapToGrid w:val="0"/>
      <w:spacing w:before="50" w:after="50" w:line="360" w:lineRule="auto"/>
      <w:ind w:firstLine="560" w:firstLineChars="200"/>
    </w:pPr>
    <w:rPr>
      <w:rFonts w:ascii="Times New Roman"/>
      <w:sz w:val="21"/>
      <w:szCs w:val="20"/>
    </w:rPr>
  </w:style>
  <w:style w:type="paragraph" w:customStyle="1" w:styleId="3571">
    <w:name w:val="表表"/>
    <w:basedOn w:val="1"/>
    <w:qFormat/>
    <w:uiPriority w:val="0"/>
    <w:pPr>
      <w:spacing w:before="60" w:after="60"/>
      <w:jc w:val="center"/>
    </w:pPr>
    <w:rPr>
      <w:rFonts w:ascii="Times New Roman"/>
      <w:sz w:val="21"/>
      <w:szCs w:val="20"/>
    </w:rPr>
  </w:style>
  <w:style w:type="paragraph" w:customStyle="1" w:styleId="3572">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3573">
    <w:name w:val="正文[858D7CFB-ED40-4347-BF05-701D383B685F][858D7CFB-ED40-4347-BF05-701D383B685F]1"/>
    <w:basedOn w:val="148"/>
    <w:qFormat/>
    <w:uiPriority w:val="0"/>
    <w:pPr>
      <w:snapToGrid w:val="0"/>
      <w:ind w:firstLine="480" w:firstLineChars="200"/>
    </w:pPr>
    <w:rPr>
      <w:rFonts w:hAnsi="Calibri" w:eastAsia="宋体"/>
      <w:szCs w:val="24"/>
    </w:rPr>
  </w:style>
  <w:style w:type="paragraph" w:customStyle="1" w:styleId="3574">
    <w:name w:val="表名1"/>
    <w:basedOn w:val="2742"/>
    <w:qFormat/>
    <w:uiPriority w:val="0"/>
    <w:pPr>
      <w:tabs>
        <w:tab w:val="left" w:pos="2940"/>
      </w:tabs>
      <w:spacing w:line="480" w:lineRule="exact"/>
      <w:ind w:left="2940" w:hanging="420"/>
      <w:jc w:val="center"/>
    </w:pPr>
    <w:rPr>
      <w:rFonts w:ascii="宋体" w:hAnsi="Times New Roman" w:eastAsia="宋体"/>
      <w:b/>
    </w:rPr>
  </w:style>
  <w:style w:type="paragraph" w:customStyle="1" w:styleId="3575">
    <w:name w:val="偶页页眉样式"/>
    <w:basedOn w:val="53"/>
    <w:qFormat/>
    <w:uiPriority w:val="0"/>
    <w:pPr>
      <w:keepLines/>
      <w:widowControl/>
      <w:pBdr>
        <w:top w:val="none" w:color="auto" w:sz="0" w:space="0"/>
        <w:left w:val="none" w:color="auto" w:sz="0" w:space="0"/>
        <w:bottom w:val="none" w:color="auto" w:sz="0" w:space="0"/>
        <w:right w:val="none" w:color="auto" w:sz="0" w:space="0"/>
      </w:pBdr>
      <w:tabs>
        <w:tab w:val="center" w:pos="-18551"/>
        <w:tab w:val="right" w:pos="4320"/>
        <w:tab w:val="clear" w:pos="4153"/>
        <w:tab w:val="clear" w:pos="8306"/>
      </w:tabs>
      <w:snapToGrid/>
      <w:ind w:left="1080"/>
      <w:jc w:val="left"/>
    </w:pPr>
    <w:rPr>
      <w:rFonts w:ascii="Arial" w:hAnsi="Arial" w:eastAsia="宋体"/>
      <w:snapToGrid/>
      <w:spacing w:val="-4"/>
      <w:kern w:val="0"/>
      <w:sz w:val="20"/>
      <w:szCs w:val="20"/>
    </w:rPr>
  </w:style>
  <w:style w:type="paragraph" w:customStyle="1" w:styleId="3576">
    <w:name w:val="Char Char Char Char Char Char Char Char"/>
    <w:basedOn w:val="1"/>
    <w:qFormat/>
    <w:uiPriority w:val="0"/>
    <w:pPr>
      <w:widowControl/>
      <w:spacing w:after="160" w:line="240" w:lineRule="exact"/>
      <w:jc w:val="left"/>
    </w:pPr>
    <w:rPr>
      <w:rFonts w:ascii="Times New Roman"/>
      <w:sz w:val="21"/>
      <w:szCs w:val="20"/>
    </w:rPr>
  </w:style>
  <w:style w:type="paragraph" w:customStyle="1" w:styleId="3577">
    <w:name w:val="正文文本缩进8"/>
    <w:basedOn w:val="1"/>
    <w:qFormat/>
    <w:uiPriority w:val="0"/>
    <w:pPr>
      <w:spacing w:after="120"/>
      <w:ind w:left="420" w:leftChars="200"/>
    </w:pPr>
    <w:rPr>
      <w:rFonts w:ascii="Times New Roman"/>
      <w:sz w:val="21"/>
      <w:szCs w:val="24"/>
    </w:rPr>
  </w:style>
  <w:style w:type="paragraph" w:customStyle="1" w:styleId="3578">
    <w:name w:val="小5"/>
    <w:basedOn w:val="1"/>
    <w:qFormat/>
    <w:uiPriority w:val="0"/>
    <w:pPr>
      <w:widowControl/>
      <w:adjustRightInd w:val="0"/>
      <w:snapToGrid w:val="0"/>
      <w:jc w:val="center"/>
    </w:pPr>
    <w:rPr>
      <w:rFonts w:hAnsi="宋体" w:cs="宋体"/>
      <w:kern w:val="0"/>
      <w:sz w:val="18"/>
      <w:szCs w:val="18"/>
    </w:rPr>
  </w:style>
  <w:style w:type="paragraph" w:customStyle="1" w:styleId="3579">
    <w:name w:val="正文首行缩进3"/>
    <w:basedOn w:val="32"/>
    <w:qFormat/>
    <w:uiPriority w:val="0"/>
    <w:pPr>
      <w:adjustRightInd w:val="0"/>
      <w:spacing w:after="0" w:line="312" w:lineRule="auto"/>
      <w:ind w:firstLine="567"/>
      <w:textAlignment w:val="baseline"/>
    </w:pPr>
    <w:rPr>
      <w:rFonts w:ascii="Times New Roman"/>
      <w:kern w:val="0"/>
      <w:sz w:val="28"/>
      <w:szCs w:val="20"/>
    </w:rPr>
  </w:style>
  <w:style w:type="paragraph" w:customStyle="1" w:styleId="3580">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kern w:val="0"/>
      <w:sz w:val="28"/>
      <w:szCs w:val="20"/>
    </w:rPr>
  </w:style>
  <w:style w:type="paragraph" w:customStyle="1" w:styleId="3581">
    <w:name w:val="报告书正文 Char1"/>
    <w:basedOn w:val="1"/>
    <w:qFormat/>
    <w:uiPriority w:val="0"/>
    <w:pPr>
      <w:spacing w:line="300" w:lineRule="auto"/>
      <w:ind w:firstLine="200" w:firstLineChars="200"/>
    </w:pPr>
    <w:rPr>
      <w:rFonts w:ascii="Times New Roman"/>
      <w:sz w:val="24"/>
      <w:szCs w:val="20"/>
    </w:rPr>
  </w:style>
  <w:style w:type="paragraph" w:customStyle="1" w:styleId="3582">
    <w:name w:val="Char Char Char Char Char Char Char Char Char Char Char1 Char Char Char Char Char Char Char2"/>
    <w:basedOn w:val="1"/>
    <w:qFormat/>
    <w:uiPriority w:val="0"/>
    <w:rPr>
      <w:rFonts w:ascii="Times New Roman"/>
      <w:sz w:val="21"/>
      <w:szCs w:val="24"/>
    </w:rPr>
  </w:style>
  <w:style w:type="paragraph" w:customStyle="1" w:styleId="3583">
    <w:name w:val="Char Char Char Char Char Char Char Char Char3"/>
    <w:basedOn w:val="1"/>
    <w:qFormat/>
    <w:uiPriority w:val="0"/>
    <w:rPr>
      <w:rFonts w:ascii="Times New Roman"/>
      <w:sz w:val="24"/>
      <w:szCs w:val="20"/>
    </w:rPr>
  </w:style>
  <w:style w:type="paragraph" w:customStyle="1" w:styleId="3584">
    <w:name w:val="Char Char Char Char Char Char Char Char Char Char Char Char Char2"/>
    <w:basedOn w:val="1"/>
    <w:qFormat/>
    <w:uiPriority w:val="0"/>
    <w:rPr>
      <w:rFonts w:ascii="Times New Roman"/>
      <w:sz w:val="21"/>
      <w:szCs w:val="24"/>
    </w:rPr>
  </w:style>
  <w:style w:type="paragraph" w:customStyle="1" w:styleId="3585">
    <w:name w:val="图表名称"/>
    <w:basedOn w:val="1"/>
    <w:next w:val="1"/>
    <w:qFormat/>
    <w:uiPriority w:val="0"/>
    <w:pPr>
      <w:spacing w:beforeLines="50" w:afterLines="20" w:line="400" w:lineRule="exact"/>
      <w:ind w:firstLine="471"/>
      <w:jc w:val="center"/>
    </w:pPr>
    <w:rPr>
      <w:rFonts w:hAnsi="宋体" w:eastAsia="黑体"/>
      <w:sz w:val="24"/>
      <w:szCs w:val="24"/>
    </w:rPr>
  </w:style>
  <w:style w:type="paragraph" w:customStyle="1" w:styleId="3586">
    <w:name w:val="CM15"/>
    <w:basedOn w:val="154"/>
    <w:next w:val="154"/>
    <w:qFormat/>
    <w:uiPriority w:val="0"/>
    <w:pPr>
      <w:spacing w:line="468" w:lineRule="atLeast"/>
    </w:pPr>
    <w:rPr>
      <w:rFonts w:ascii="黑体" w:hAnsi="Calibri" w:eastAsia="黑体" w:cs="黑体"/>
      <w:color w:val="auto"/>
      <w:kern w:val="2"/>
    </w:rPr>
  </w:style>
  <w:style w:type="paragraph" w:customStyle="1" w:styleId="3587">
    <w:name w:val="hg表格"/>
    <w:basedOn w:val="77"/>
    <w:qFormat/>
    <w:uiPriority w:val="0"/>
    <w:pPr>
      <w:widowControl w:val="0"/>
      <w:snapToGrid w:val="0"/>
      <w:spacing w:before="0" w:beforeAutospacing="0" w:after="0" w:afterAutospacing="0"/>
      <w:jc w:val="center"/>
    </w:pPr>
    <w:rPr>
      <w:rFonts w:ascii="Calibri" w:hAnsi="Calibri" w:cs="宋体"/>
      <w:kern w:val="2"/>
      <w:sz w:val="21"/>
      <w:szCs w:val="21"/>
    </w:rPr>
  </w:style>
  <w:style w:type="paragraph" w:customStyle="1" w:styleId="3588">
    <w:name w:val="Job Title"/>
    <w:next w:val="3186"/>
    <w:qFormat/>
    <w:uiPriority w:val="0"/>
    <w:pPr>
      <w:spacing w:after="40" w:line="220" w:lineRule="atLeast"/>
    </w:pPr>
    <w:rPr>
      <w:rFonts w:ascii="ˎ̥" w:hAnsi="ˎ̥" w:eastAsia="宋体" w:cs="Vladimir Script"/>
      <w:b/>
      <w:spacing w:val="-10"/>
      <w:lang w:val="en-US" w:eastAsia="zh-CN" w:bidi="ar-SA"/>
    </w:rPr>
  </w:style>
  <w:style w:type="paragraph" w:customStyle="1" w:styleId="3589">
    <w:name w:val="字元 字元 字元1"/>
    <w:basedOn w:val="1"/>
    <w:semiHidden/>
    <w:qFormat/>
    <w:uiPriority w:val="0"/>
    <w:pPr>
      <w:spacing w:line="360" w:lineRule="auto"/>
      <w:ind w:firstLine="200" w:firstLineChars="200"/>
    </w:pPr>
    <w:rPr>
      <w:rFonts w:hAnsi="宋体" w:cs="宋体"/>
      <w:sz w:val="24"/>
      <w:szCs w:val="24"/>
    </w:rPr>
  </w:style>
  <w:style w:type="paragraph" w:customStyle="1" w:styleId="3590">
    <w:name w:val="横文本框"/>
    <w:basedOn w:val="1"/>
    <w:qFormat/>
    <w:uiPriority w:val="0"/>
    <w:pPr>
      <w:snapToGrid w:val="0"/>
      <w:jc w:val="center"/>
    </w:pPr>
    <w:rPr>
      <w:rFonts w:ascii="仿宋_GB2312" w:eastAsia="仿宋_GB2312"/>
      <w:sz w:val="24"/>
      <w:szCs w:val="20"/>
    </w:rPr>
  </w:style>
  <w:style w:type="paragraph" w:customStyle="1" w:styleId="3591">
    <w:name w:val="Char Char Char Char Char Char Char Char Char Char Char Char Char Char Char1 Char Char Char Char Char Char Char Char Char Char2"/>
    <w:basedOn w:val="5"/>
    <w:qFormat/>
    <w:uiPriority w:val="0"/>
    <w:pPr>
      <w:tabs>
        <w:tab w:val="left" w:pos="0"/>
        <w:tab w:val="left" w:pos="1571"/>
      </w:tabs>
      <w:spacing w:line="240" w:lineRule="atLeast"/>
      <w:jc w:val="left"/>
    </w:pPr>
    <w:rPr>
      <w:kern w:val="0"/>
      <w:sz w:val="24"/>
      <w:szCs w:val="21"/>
    </w:rPr>
  </w:style>
  <w:style w:type="paragraph" w:customStyle="1" w:styleId="3592">
    <w:name w:val="样式 标题 4款标题1.1.1.1标题 4 Char标题 4 Char CharL4 + 宋体 小四 非加粗1"/>
    <w:basedOn w:val="6"/>
    <w:qFormat/>
    <w:uiPriority w:val="0"/>
    <w:pPr>
      <w:keepNext/>
      <w:keepLines/>
      <w:tabs>
        <w:tab w:val="left" w:pos="2356"/>
        <w:tab w:val="clear" w:pos="360"/>
        <w:tab w:val="clear" w:pos="2207"/>
      </w:tabs>
      <w:spacing w:before="280" w:after="290" w:line="377" w:lineRule="auto"/>
      <w:ind w:left="1984" w:firstLine="200" w:firstLineChars="200"/>
      <w:jc w:val="left"/>
    </w:pPr>
    <w:rPr>
      <w:rFonts w:ascii="Sim Sun" w:hAnsi="Sim Sun" w:eastAsia="宋体-方正超大字符集" w:cs="Vladimir Script"/>
      <w:bCs/>
      <w:snapToGrid/>
      <w:color w:val="auto"/>
      <w:szCs w:val="20"/>
    </w:rPr>
  </w:style>
  <w:style w:type="paragraph" w:customStyle="1" w:styleId="3593">
    <w:name w:val="mytext11"/>
    <w:basedOn w:val="1"/>
    <w:qFormat/>
    <w:uiPriority w:val="0"/>
    <w:pPr>
      <w:widowControl/>
      <w:spacing w:before="100" w:beforeAutospacing="1" w:after="100" w:afterAutospacing="1"/>
      <w:jc w:val="left"/>
    </w:pPr>
    <w:rPr>
      <w:rFonts w:hAnsi="宋体" w:cs="宋体"/>
      <w:color w:val="000000"/>
      <w:kern w:val="0"/>
      <w:sz w:val="24"/>
      <w:szCs w:val="24"/>
    </w:rPr>
  </w:style>
  <w:style w:type="paragraph" w:customStyle="1" w:styleId="3594">
    <w:name w:val="Char Char17 Char Char1"/>
    <w:basedOn w:val="1"/>
    <w:qFormat/>
    <w:uiPriority w:val="0"/>
    <w:pPr>
      <w:widowControl/>
      <w:jc w:val="left"/>
    </w:pPr>
    <w:rPr>
      <w:rFonts w:hAnsi="宋体" w:cs="宋体"/>
      <w:kern w:val="0"/>
      <w:sz w:val="21"/>
      <w:szCs w:val="24"/>
    </w:rPr>
  </w:style>
  <w:style w:type="paragraph" w:customStyle="1" w:styleId="3595">
    <w:name w:val="_Style 60"/>
    <w:basedOn w:val="1"/>
    <w:qFormat/>
    <w:uiPriority w:val="0"/>
    <w:pPr>
      <w:adjustRightInd w:val="0"/>
      <w:spacing w:line="312" w:lineRule="atLeast"/>
      <w:ind w:firstLine="200" w:firstLineChars="200"/>
      <w:textAlignment w:val="baseline"/>
    </w:pPr>
    <w:rPr>
      <w:rFonts w:ascii="Times New Roman"/>
      <w:kern w:val="0"/>
      <w:sz w:val="28"/>
      <w:szCs w:val="20"/>
    </w:rPr>
  </w:style>
  <w:style w:type="paragraph" w:customStyle="1" w:styleId="3596">
    <w:name w:val="Char25"/>
    <w:basedOn w:val="1"/>
    <w:qFormat/>
    <w:uiPriority w:val="0"/>
    <w:rPr>
      <w:rFonts w:hAnsi="宋体" w:cs="Courier New"/>
      <w:sz w:val="32"/>
      <w:szCs w:val="32"/>
    </w:rPr>
  </w:style>
  <w:style w:type="paragraph" w:customStyle="1" w:styleId="3597">
    <w:name w:val="表格样式应用1"/>
    <w:basedOn w:val="1"/>
    <w:qFormat/>
    <w:uiPriority w:val="0"/>
    <w:pPr>
      <w:spacing w:line="360" w:lineRule="exact"/>
      <w:jc w:val="center"/>
    </w:pPr>
    <w:rPr>
      <w:rFonts w:ascii="Times New Roman"/>
      <w:sz w:val="21"/>
      <w:szCs w:val="21"/>
    </w:rPr>
  </w:style>
  <w:style w:type="paragraph" w:customStyle="1" w:styleId="3598">
    <w:name w:val="题注+"/>
    <w:basedOn w:val="21"/>
    <w:next w:val="1"/>
    <w:qFormat/>
    <w:uiPriority w:val="0"/>
    <w:pPr>
      <w:keepNext/>
      <w:widowControl/>
      <w:spacing w:line="336" w:lineRule="auto"/>
      <w:ind w:firstLine="200" w:firstLineChars="200"/>
      <w:jc w:val="center"/>
      <w:outlineLvl w:val="6"/>
    </w:pPr>
    <w:rPr>
      <w:rFonts w:ascii="仿宋体" w:hAnsi="ˎ̥" w:eastAsia="仿宋体" w:cs="Vladimir Script"/>
      <w:kern w:val="0"/>
      <w:sz w:val="24"/>
      <w:szCs w:val="24"/>
    </w:rPr>
  </w:style>
  <w:style w:type="paragraph" w:customStyle="1" w:styleId="3599">
    <w:name w:val="样式 样式 标题 1 + 黑体 三号 + 右侧:  1 字符1"/>
    <w:basedOn w:val="2570"/>
    <w:qFormat/>
    <w:uiPriority w:val="0"/>
    <w:pPr>
      <w:ind w:right="210"/>
    </w:pPr>
    <w:rPr>
      <w:rFonts w:cs="宋体"/>
      <w:szCs w:val="20"/>
    </w:rPr>
  </w:style>
  <w:style w:type="paragraph" w:customStyle="1" w:styleId="3600">
    <w:name w:val="正文图"/>
    <w:basedOn w:val="1"/>
    <w:semiHidden/>
    <w:qFormat/>
    <w:uiPriority w:val="0"/>
    <w:pPr>
      <w:adjustRightInd w:val="0"/>
      <w:snapToGrid w:val="0"/>
      <w:spacing w:before="40"/>
      <w:jc w:val="center"/>
    </w:pPr>
    <w:rPr>
      <w:kern w:val="0"/>
      <w:sz w:val="24"/>
      <w:szCs w:val="20"/>
    </w:rPr>
  </w:style>
  <w:style w:type="paragraph" w:customStyle="1" w:styleId="3601">
    <w:name w:val="reader-word-layer reader-word-s20-21"/>
    <w:basedOn w:val="1"/>
    <w:qFormat/>
    <w:uiPriority w:val="0"/>
    <w:pPr>
      <w:widowControl/>
      <w:spacing w:before="100" w:beforeAutospacing="1" w:after="100" w:afterAutospacing="1"/>
      <w:jc w:val="left"/>
    </w:pPr>
    <w:rPr>
      <w:rFonts w:hAnsi="宋体" w:cs="宋体"/>
      <w:kern w:val="0"/>
      <w:sz w:val="24"/>
      <w:szCs w:val="24"/>
    </w:rPr>
  </w:style>
  <w:style w:type="paragraph" w:customStyle="1" w:styleId="3602">
    <w:name w:val="样式 周表目录 + 段前: 0 磅 段后: 0 周表目录"/>
    <w:basedOn w:val="1"/>
    <w:qFormat/>
    <w:uiPriority w:val="0"/>
    <w:pPr>
      <w:keepNext/>
      <w:spacing w:line="300" w:lineRule="auto"/>
      <w:jc w:val="center"/>
    </w:pPr>
    <w:rPr>
      <w:rFonts w:hAnsi="宋体" w:cs="宋体"/>
      <w:b/>
      <w:bCs/>
      <w:spacing w:val="6"/>
      <w:sz w:val="21"/>
      <w:szCs w:val="20"/>
    </w:rPr>
  </w:style>
  <w:style w:type="paragraph" w:customStyle="1" w:styleId="3603">
    <w:name w:val="xl389"/>
    <w:basedOn w:val="1"/>
    <w:qFormat/>
    <w:uiPriority w:val="0"/>
    <w:pPr>
      <w:widowControl/>
      <w:pBdr>
        <w:left w:val="single" w:color="auto" w:sz="4" w:space="0"/>
        <w:bottom w:val="single" w:color="auto" w:sz="4" w:space="0"/>
      </w:pBdr>
      <w:spacing w:before="100" w:after="100" w:line="440" w:lineRule="exact"/>
      <w:ind w:firstLine="200" w:firstLineChars="200"/>
      <w:jc w:val="center"/>
      <w:textAlignment w:val="center"/>
    </w:pPr>
    <w:rPr>
      <w:rFonts w:hint="eastAsia" w:ascii="Sim Sun" w:hAnsi="Sim Sun" w:cs="Vladimir Script"/>
      <w:kern w:val="0"/>
      <w:sz w:val="24"/>
      <w:szCs w:val="20"/>
    </w:rPr>
  </w:style>
  <w:style w:type="paragraph" w:customStyle="1" w:styleId="3604">
    <w:name w:val="样式 样式 样式 样式 标题 21.1标题 21.1标题2标题 2 Char1节标2_Heading 2一级条 + 段前: 0...."/>
    <w:basedOn w:val="1"/>
    <w:qFormat/>
    <w:uiPriority w:val="0"/>
    <w:pPr>
      <w:keepNext/>
      <w:keepLines/>
      <w:tabs>
        <w:tab w:val="left" w:pos="840"/>
      </w:tabs>
      <w:adjustRightInd w:val="0"/>
      <w:spacing w:beforeLines="50" w:afterLines="50"/>
      <w:ind w:left="840" w:hanging="420"/>
      <w:outlineLvl w:val="1"/>
    </w:pPr>
    <w:rPr>
      <w:rFonts w:ascii="黑体" w:hAnsi="Arial" w:eastAsia="黑体" w:cs="宋体"/>
      <w:kern w:val="0"/>
      <w:sz w:val="28"/>
      <w:szCs w:val="20"/>
    </w:rPr>
  </w:style>
  <w:style w:type="paragraph" w:customStyle="1" w:styleId="3605">
    <w:name w:val="规划正文样式"/>
    <w:basedOn w:val="1"/>
    <w:qFormat/>
    <w:uiPriority w:val="0"/>
    <w:pPr>
      <w:spacing w:line="400" w:lineRule="exact"/>
      <w:ind w:firstLine="480" w:firstLineChars="200"/>
    </w:pPr>
    <w:rPr>
      <w:rFonts w:ascii="Times New Roman"/>
      <w:sz w:val="24"/>
      <w:szCs w:val="24"/>
    </w:rPr>
  </w:style>
  <w:style w:type="paragraph" w:customStyle="1" w:styleId="3606">
    <w:name w:val="reader-word-layer reader-word-s28-19"/>
    <w:basedOn w:val="1"/>
    <w:qFormat/>
    <w:uiPriority w:val="0"/>
    <w:pPr>
      <w:widowControl/>
      <w:spacing w:before="100" w:beforeAutospacing="1" w:after="100" w:afterAutospacing="1"/>
      <w:jc w:val="left"/>
    </w:pPr>
    <w:rPr>
      <w:rFonts w:hAnsi="宋体" w:cs="宋体"/>
      <w:kern w:val="0"/>
      <w:sz w:val="24"/>
      <w:szCs w:val="24"/>
    </w:rPr>
  </w:style>
  <w:style w:type="paragraph" w:customStyle="1" w:styleId="3607">
    <w:name w:val="xl66"/>
    <w:basedOn w:val="1"/>
    <w:qFormat/>
    <w:uiPriority w:val="0"/>
    <w:pPr>
      <w:widowControl/>
      <w:spacing w:before="100" w:after="100"/>
      <w:jc w:val="center"/>
    </w:pPr>
    <w:rPr>
      <w:rFonts w:ascii="Batang" w:hAnsi="Batang" w:cs="Batang"/>
      <w:kern w:val="0"/>
      <w:sz w:val="24"/>
      <w:szCs w:val="20"/>
    </w:rPr>
  </w:style>
  <w:style w:type="paragraph" w:customStyle="1" w:styleId="3608">
    <w:name w:val="段落文字1"/>
    <w:basedOn w:val="1"/>
    <w:qFormat/>
    <w:uiPriority w:val="0"/>
    <w:pPr>
      <w:ind w:firstLine="560" w:firstLineChars="200"/>
    </w:pPr>
    <w:rPr>
      <w:rFonts w:ascii="Times New Roman"/>
      <w:color w:val="000000"/>
      <w:sz w:val="28"/>
      <w:szCs w:val="28"/>
    </w:rPr>
  </w:style>
  <w:style w:type="paragraph" w:customStyle="1" w:styleId="3609">
    <w:name w:val="Char2 Char Char Char1 Char Char Char3"/>
    <w:basedOn w:val="1"/>
    <w:qFormat/>
    <w:uiPriority w:val="0"/>
    <w:pPr>
      <w:widowControl/>
      <w:spacing w:after="160" w:line="240" w:lineRule="exact"/>
      <w:jc w:val="left"/>
    </w:pPr>
    <w:rPr>
      <w:rFonts w:ascii="Arial" w:hAnsi="Arial"/>
      <w:spacing w:val="3"/>
      <w:kern w:val="0"/>
      <w:sz w:val="20"/>
      <w:szCs w:val="20"/>
      <w:lang w:eastAsia="en-US"/>
    </w:rPr>
  </w:style>
  <w:style w:type="paragraph" w:customStyle="1" w:styleId="3610">
    <w:name w:val="reader-word-layer reader-word-s3-3"/>
    <w:basedOn w:val="1"/>
    <w:qFormat/>
    <w:uiPriority w:val="0"/>
    <w:pPr>
      <w:widowControl/>
      <w:spacing w:before="100" w:beforeAutospacing="1" w:after="100" w:afterAutospacing="1"/>
      <w:jc w:val="left"/>
    </w:pPr>
    <w:rPr>
      <w:rFonts w:hAnsi="宋体" w:cs="宋体"/>
      <w:kern w:val="0"/>
      <w:sz w:val="24"/>
      <w:szCs w:val="24"/>
    </w:rPr>
  </w:style>
  <w:style w:type="paragraph" w:customStyle="1" w:styleId="3611">
    <w:name w:val="表(5号)"/>
    <w:basedOn w:val="1"/>
    <w:qFormat/>
    <w:uiPriority w:val="0"/>
    <w:pPr>
      <w:spacing w:line="360" w:lineRule="auto"/>
      <w:jc w:val="center"/>
    </w:pPr>
    <w:rPr>
      <w:rFonts w:hAnsi="宋体"/>
      <w:sz w:val="21"/>
      <w:szCs w:val="20"/>
    </w:rPr>
  </w:style>
  <w:style w:type="paragraph" w:customStyle="1" w:styleId="3612">
    <w:name w:val="正文文本 232"/>
    <w:basedOn w:val="1"/>
    <w:qFormat/>
    <w:uiPriority w:val="0"/>
    <w:pPr>
      <w:adjustRightInd w:val="0"/>
      <w:ind w:firstLine="840"/>
    </w:pPr>
    <w:rPr>
      <w:rFonts w:ascii="Times New Roman"/>
      <w:sz w:val="21"/>
      <w:szCs w:val="20"/>
    </w:rPr>
  </w:style>
  <w:style w:type="paragraph" w:customStyle="1" w:styleId="3613">
    <w:name w:val="标题 44"/>
    <w:basedOn w:val="1"/>
    <w:next w:val="1"/>
    <w:qFormat/>
    <w:uiPriority w:val="0"/>
    <w:pPr>
      <w:keepNext/>
      <w:keepLines/>
      <w:tabs>
        <w:tab w:val="left" w:pos="900"/>
        <w:tab w:val="left" w:pos="1080"/>
        <w:tab w:val="left" w:pos="1440"/>
      </w:tabs>
      <w:spacing w:before="120" w:after="120"/>
      <w:ind w:firstLine="562" w:firstLineChars="200"/>
      <w:outlineLvl w:val="3"/>
    </w:pPr>
    <w:rPr>
      <w:rFonts w:hint="eastAsia" w:ascii="Times New Roman"/>
      <w:b/>
      <w:sz w:val="28"/>
      <w:szCs w:val="20"/>
    </w:rPr>
  </w:style>
  <w:style w:type="paragraph" w:customStyle="1" w:styleId="3614">
    <w:name w:val="标题样工7"/>
    <w:basedOn w:val="1"/>
    <w:qFormat/>
    <w:uiPriority w:val="0"/>
    <w:pPr>
      <w:widowControl/>
    </w:pPr>
    <w:rPr>
      <w:rFonts w:ascii="华文楷体" w:hAnsi="华文楷体" w:eastAsia="仿宋_GB2312"/>
      <w:kern w:val="0"/>
      <w:position w:val="-6"/>
      <w:sz w:val="24"/>
      <w:szCs w:val="20"/>
    </w:rPr>
  </w:style>
  <w:style w:type="paragraph" w:customStyle="1" w:styleId="3615">
    <w:name w:val="正文8"/>
    <w:qFormat/>
    <w:uiPriority w:val="0"/>
    <w:pPr>
      <w:widowControl w:val="0"/>
      <w:adjustRightInd w:val="0"/>
      <w:spacing w:line="312" w:lineRule="atLeast"/>
      <w:jc w:val="both"/>
      <w:textAlignment w:val="baseline"/>
    </w:pPr>
    <w:rPr>
      <w:rFonts w:ascii="Arial" w:hAnsi="Calibri" w:eastAsia="楷体_GB2312" w:cs="Times New Roman"/>
      <w:spacing w:val="-6"/>
      <w:sz w:val="28"/>
      <w:lang w:val="en-US" w:eastAsia="zh-CN" w:bidi="ar-SA"/>
    </w:rPr>
  </w:style>
  <w:style w:type="paragraph" w:customStyle="1" w:styleId="3616">
    <w:name w:val="reader-word-layer reader-word-s30-11"/>
    <w:basedOn w:val="1"/>
    <w:qFormat/>
    <w:uiPriority w:val="0"/>
    <w:pPr>
      <w:widowControl/>
      <w:spacing w:before="100" w:beforeAutospacing="1" w:after="100" w:afterAutospacing="1"/>
      <w:jc w:val="left"/>
    </w:pPr>
    <w:rPr>
      <w:rFonts w:hAnsi="宋体" w:cs="宋体"/>
      <w:kern w:val="0"/>
      <w:sz w:val="24"/>
      <w:szCs w:val="24"/>
    </w:rPr>
  </w:style>
  <w:style w:type="paragraph" w:customStyle="1" w:styleId="3617">
    <w:name w:val="MG"/>
    <w:basedOn w:val="3"/>
    <w:semiHidden/>
    <w:qFormat/>
    <w:uiPriority w:val="0"/>
    <w:pPr>
      <w:tabs>
        <w:tab w:val="left" w:pos="425"/>
      </w:tabs>
      <w:spacing w:beforeLines="0" w:after="330" w:line="576" w:lineRule="auto"/>
      <w:ind w:left="425" w:hanging="425"/>
    </w:pPr>
    <w:rPr>
      <w:rFonts w:eastAsia="宋体"/>
      <w:b/>
      <w:snapToGrid/>
      <w:sz w:val="44"/>
      <w:szCs w:val="20"/>
    </w:rPr>
  </w:style>
  <w:style w:type="paragraph" w:customStyle="1" w:styleId="3618">
    <w:name w:val="Char6 Char Char Char Char Char Char Char Char Char2"/>
    <w:basedOn w:val="1"/>
    <w:qFormat/>
    <w:uiPriority w:val="0"/>
    <w:pPr>
      <w:spacing w:line="440" w:lineRule="exact"/>
      <w:ind w:firstLine="200" w:firstLineChars="200"/>
    </w:pPr>
    <w:rPr>
      <w:rFonts w:ascii="Sim Sun" w:hAnsi="Sim Sun" w:cs="Vladimir Script"/>
      <w:color w:val="000000"/>
      <w:sz w:val="28"/>
      <w:szCs w:val="20"/>
    </w:rPr>
  </w:style>
  <w:style w:type="paragraph" w:customStyle="1" w:styleId="3619">
    <w:name w:val="Char Char Char Char Char Char1 Char1"/>
    <w:basedOn w:val="4"/>
    <w:qFormat/>
    <w:uiPriority w:val="0"/>
    <w:pPr>
      <w:tabs>
        <w:tab w:val="left" w:pos="992"/>
      </w:tabs>
      <w:spacing w:before="0" w:after="0" w:line="415" w:lineRule="auto"/>
      <w:ind w:left="992" w:firstLine="420" w:firstLineChars="200"/>
    </w:pPr>
    <w:rPr>
      <w:rFonts w:ascii="Arial" w:hAnsi="Arial"/>
      <w:snapToGrid/>
      <w:sz w:val="28"/>
    </w:rPr>
  </w:style>
  <w:style w:type="paragraph" w:customStyle="1" w:styleId="3620">
    <w:name w:val="样式 四号 行距: 固定值 25 磅"/>
    <w:basedOn w:val="1"/>
    <w:qFormat/>
    <w:uiPriority w:val="0"/>
    <w:pPr>
      <w:spacing w:line="480" w:lineRule="atLeast"/>
      <w:ind w:firstLine="200" w:firstLineChars="200"/>
    </w:pPr>
    <w:rPr>
      <w:rFonts w:ascii="ˎ̥" w:hAnsi="ˎ̥" w:eastAsia="FLGPEK+TimesNewRoman,Italic" w:cs="ˎ̥"/>
      <w:sz w:val="24"/>
      <w:szCs w:val="20"/>
    </w:rPr>
  </w:style>
  <w:style w:type="paragraph" w:customStyle="1" w:styleId="3621">
    <w:name w:val="L0.9"/>
    <w:basedOn w:val="3426"/>
    <w:qFormat/>
    <w:uiPriority w:val="0"/>
    <w:pPr>
      <w:tabs>
        <w:tab w:val="left" w:pos="1260"/>
        <w:tab w:val="clear" w:pos="465"/>
      </w:tabs>
      <w:ind w:left="510" w:hanging="420"/>
    </w:pPr>
  </w:style>
  <w:style w:type="paragraph" w:customStyle="1" w:styleId="3622">
    <w:name w:val="Char Char10 Char Char"/>
    <w:basedOn w:val="1"/>
    <w:semiHidden/>
    <w:qFormat/>
    <w:uiPriority w:val="0"/>
    <w:pPr>
      <w:adjustRightInd w:val="0"/>
      <w:snapToGrid w:val="0"/>
      <w:spacing w:line="360" w:lineRule="auto"/>
      <w:ind w:firstLine="200" w:firstLineChars="200"/>
    </w:pPr>
    <w:rPr>
      <w:rFonts w:hAnsi="宋体" w:cs="宋体"/>
      <w:sz w:val="24"/>
      <w:szCs w:val="26"/>
    </w:rPr>
  </w:style>
  <w:style w:type="paragraph" w:customStyle="1" w:styleId="3623">
    <w:name w:val="三级正文"/>
    <w:basedOn w:val="1636"/>
    <w:qFormat/>
    <w:uiPriority w:val="0"/>
    <w:pPr>
      <w:adjustRightInd w:val="0"/>
      <w:spacing w:line="300" w:lineRule="auto"/>
      <w:ind w:firstLine="567"/>
      <w:jc w:val="both"/>
      <w:textAlignment w:val="baseline"/>
    </w:pPr>
    <w:rPr>
      <w:rFonts w:ascii="Batang" w:hAnsi="Batang" w:eastAsia="Sim Sun" w:cs="Batang"/>
      <w:kern w:val="28"/>
      <w:sz w:val="28"/>
      <w:szCs w:val="20"/>
    </w:rPr>
  </w:style>
  <w:style w:type="paragraph" w:customStyle="1" w:styleId="3624">
    <w:name w:val="正文文本缩进 24"/>
    <w:basedOn w:val="1"/>
    <w:qFormat/>
    <w:uiPriority w:val="0"/>
    <w:pPr>
      <w:adjustRightInd w:val="0"/>
      <w:spacing w:line="460" w:lineRule="exact"/>
      <w:ind w:firstLine="480"/>
    </w:pPr>
    <w:rPr>
      <w:rFonts w:ascii="Times New Roman"/>
      <w:sz w:val="21"/>
      <w:szCs w:val="20"/>
    </w:rPr>
  </w:style>
  <w:style w:type="paragraph" w:customStyle="1" w:styleId="3625">
    <w:name w:val="样式 标题 3 + 段前: 0.5 行 段后: 0.5 行"/>
    <w:basedOn w:val="5"/>
    <w:qFormat/>
    <w:uiPriority w:val="0"/>
    <w:pPr>
      <w:tabs>
        <w:tab w:val="left" w:pos="425"/>
        <w:tab w:val="left" w:pos="1571"/>
      </w:tabs>
      <w:spacing w:beforeLines="50" w:afterLines="50" w:line="240" w:lineRule="auto"/>
      <w:ind w:left="425" w:hanging="425"/>
    </w:pPr>
    <w:rPr>
      <w:rFonts w:eastAsia="黑体"/>
      <w:sz w:val="28"/>
      <w:szCs w:val="20"/>
    </w:rPr>
  </w:style>
  <w:style w:type="paragraph" w:customStyle="1" w:styleId="3626">
    <w:name w:val="样式 宋体 四号 左 行距: 固定值 24 磅"/>
    <w:basedOn w:val="1"/>
    <w:qFormat/>
    <w:uiPriority w:val="0"/>
    <w:pPr>
      <w:spacing w:line="480" w:lineRule="exact"/>
      <w:ind w:firstLine="560" w:firstLineChars="200"/>
      <w:jc w:val="left"/>
    </w:pPr>
    <w:rPr>
      <w:rFonts w:hAnsi="宋体" w:cs="宋体"/>
      <w:sz w:val="24"/>
      <w:szCs w:val="20"/>
    </w:rPr>
  </w:style>
  <w:style w:type="paragraph" w:customStyle="1" w:styleId="3627">
    <w:name w:val="_Style 13"/>
    <w:basedOn w:val="1"/>
    <w:next w:val="33"/>
    <w:qFormat/>
    <w:uiPriority w:val="0"/>
    <w:pPr>
      <w:spacing w:after="120"/>
      <w:ind w:left="420" w:leftChars="200"/>
    </w:pPr>
    <w:rPr>
      <w:spacing w:val="5"/>
      <w:szCs w:val="20"/>
    </w:rPr>
  </w:style>
  <w:style w:type="paragraph" w:customStyle="1" w:styleId="3628">
    <w:name w:val="Char Char Char1 Char Char Char1 Char Char Char Char Char Char1 Char Char Char1 Char"/>
    <w:basedOn w:val="1"/>
    <w:semiHidden/>
    <w:qFormat/>
    <w:uiPriority w:val="0"/>
    <w:rPr>
      <w:rFonts w:ascii="Times New Roman"/>
      <w:sz w:val="21"/>
      <w:szCs w:val="24"/>
    </w:rPr>
  </w:style>
  <w:style w:type="paragraph" w:customStyle="1" w:styleId="3629">
    <w:name w:val="题注何黎"/>
    <w:basedOn w:val="21"/>
    <w:next w:val="2683"/>
    <w:qFormat/>
    <w:uiPriority w:val="0"/>
    <w:pPr>
      <w:keepNext/>
      <w:snapToGrid w:val="0"/>
      <w:spacing w:line="440" w:lineRule="exact"/>
      <w:ind w:firstLine="498" w:firstLineChars="200"/>
    </w:pPr>
    <w:rPr>
      <w:rFonts w:ascii="Times New Roman" w:hAnsi="Times New Roman" w:eastAsia="宋体" w:cs="Times New Roman"/>
      <w:b/>
      <w:bCs/>
      <w:color w:val="000000"/>
      <w:spacing w:val="4"/>
      <w:sz w:val="24"/>
      <w:szCs w:val="24"/>
    </w:rPr>
  </w:style>
  <w:style w:type="paragraph" w:customStyle="1" w:styleId="3630">
    <w:name w:val="环标2"/>
    <w:basedOn w:val="4"/>
    <w:qFormat/>
    <w:uiPriority w:val="0"/>
    <w:pPr>
      <w:tabs>
        <w:tab w:val="left" w:pos="992"/>
      </w:tabs>
      <w:ind w:left="992" w:hanging="567"/>
    </w:pPr>
    <w:rPr>
      <w:rFonts w:ascii="Arial" w:hAnsi="Arial" w:eastAsia="黑体"/>
      <w:snapToGrid/>
    </w:rPr>
  </w:style>
  <w:style w:type="paragraph" w:customStyle="1" w:styleId="3631">
    <w:name w:val="表格03"/>
    <w:basedOn w:val="1"/>
    <w:qFormat/>
    <w:uiPriority w:val="0"/>
    <w:pPr>
      <w:spacing w:line="400" w:lineRule="exact"/>
      <w:jc w:val="center"/>
    </w:pPr>
    <w:rPr>
      <w:rFonts w:ascii="Times New Roman"/>
      <w:sz w:val="21"/>
      <w:szCs w:val="20"/>
    </w:rPr>
  </w:style>
  <w:style w:type="paragraph" w:customStyle="1" w:styleId="3632">
    <w:name w:val="TableHead"/>
    <w:basedOn w:val="32"/>
    <w:qFormat/>
    <w:uiPriority w:val="0"/>
    <w:pPr>
      <w:spacing w:after="0"/>
      <w:jc w:val="center"/>
    </w:pPr>
    <w:rPr>
      <w:rFonts w:hAnsi="宋体" w:cs="楷体_GB2312"/>
      <w:b/>
      <w:bCs/>
      <w:sz w:val="21"/>
      <w:szCs w:val="24"/>
    </w:rPr>
  </w:style>
  <w:style w:type="paragraph" w:customStyle="1" w:styleId="3633">
    <w:name w:val="Char Char 字元 字元 字元 Char Char Char Char2"/>
    <w:basedOn w:val="1"/>
    <w:qFormat/>
    <w:uiPriority w:val="0"/>
    <w:pPr>
      <w:adjustRightInd w:val="0"/>
      <w:spacing w:line="360" w:lineRule="auto"/>
    </w:pPr>
    <w:rPr>
      <w:rFonts w:ascii="Times New Roman"/>
      <w:kern w:val="0"/>
      <w:sz w:val="24"/>
      <w:szCs w:val="20"/>
    </w:rPr>
  </w:style>
  <w:style w:type="paragraph" w:customStyle="1" w:styleId="3634">
    <w:name w:val="样式 标题 3标题 3 Char Char Char Char标题 31 Char标题 32标题 3 Char Char...1"/>
    <w:basedOn w:val="5"/>
    <w:qFormat/>
    <w:uiPriority w:val="0"/>
    <w:pPr>
      <w:tabs>
        <w:tab w:val="left" w:pos="0"/>
        <w:tab w:val="left" w:pos="1571"/>
        <w:tab w:val="left" w:pos="1740"/>
      </w:tabs>
      <w:adjustRightInd w:val="0"/>
      <w:snapToGrid w:val="0"/>
      <w:spacing w:before="50" w:after="50" w:line="360" w:lineRule="auto"/>
      <w:ind w:left="1740" w:hanging="420"/>
      <w:textAlignment w:val="baseline"/>
    </w:pPr>
    <w:rPr>
      <w:rFonts w:hAnsi="宋体" w:cs="宋体"/>
      <w:bCs w:val="0"/>
      <w:sz w:val="24"/>
      <w:szCs w:val="20"/>
    </w:rPr>
  </w:style>
  <w:style w:type="paragraph" w:customStyle="1" w:styleId="3635">
    <w:name w:val="样式 标题 2 + 宋体 非全部大写"/>
    <w:basedOn w:val="4"/>
    <w:qFormat/>
    <w:uiPriority w:val="0"/>
    <w:pPr>
      <w:tabs>
        <w:tab w:val="left" w:pos="0"/>
        <w:tab w:val="left" w:pos="992"/>
      </w:tabs>
      <w:spacing w:before="0" w:after="0" w:line="240" w:lineRule="auto"/>
      <w:ind w:left="431" w:hanging="431"/>
    </w:pPr>
    <w:rPr>
      <w:rFonts w:ascii="宋体" w:hAnsi="宋体"/>
      <w:bCs w:val="0"/>
      <w:snapToGrid/>
      <w:sz w:val="30"/>
      <w:szCs w:val="24"/>
    </w:rPr>
  </w:style>
  <w:style w:type="paragraph" w:customStyle="1" w:styleId="3636">
    <w:name w:val="Char Char11 Char Char Char Char2"/>
    <w:basedOn w:val="1"/>
    <w:next w:val="1"/>
    <w:qFormat/>
    <w:uiPriority w:val="0"/>
    <w:pPr>
      <w:spacing w:line="360" w:lineRule="auto"/>
      <w:ind w:firstLine="200" w:firstLineChars="200"/>
    </w:pPr>
    <w:rPr>
      <w:rFonts w:hAnsi="宋体" w:cs="宋体"/>
      <w:sz w:val="24"/>
      <w:szCs w:val="24"/>
    </w:rPr>
  </w:style>
  <w:style w:type="paragraph" w:customStyle="1" w:styleId="3637">
    <w:name w:val="Paratitre"/>
    <w:basedOn w:val="1"/>
    <w:qFormat/>
    <w:uiPriority w:val="0"/>
    <w:pPr>
      <w:widowControl/>
      <w:overflowPunct w:val="0"/>
      <w:autoSpaceDE w:val="0"/>
      <w:autoSpaceDN w:val="0"/>
      <w:adjustRightInd w:val="0"/>
      <w:spacing w:before="240"/>
      <w:ind w:left="700"/>
      <w:textAlignment w:val="baseline"/>
    </w:pPr>
    <w:rPr>
      <w:rFonts w:ascii="ˎ̥" w:hAnsi="ˎ̥" w:cs="Batang"/>
      <w:kern w:val="0"/>
      <w:sz w:val="20"/>
      <w:szCs w:val="20"/>
      <w:lang w:val="fr-FR"/>
    </w:rPr>
  </w:style>
  <w:style w:type="paragraph" w:customStyle="1" w:styleId="3638">
    <w:name w:val="Char Char Char Char Char Char4"/>
    <w:basedOn w:val="1"/>
    <w:qFormat/>
    <w:uiPriority w:val="0"/>
    <w:pPr>
      <w:widowControl/>
      <w:spacing w:after="160" w:line="240" w:lineRule="exact"/>
      <w:jc w:val="left"/>
    </w:pPr>
    <w:rPr>
      <w:rFonts w:ascii="Verdana" w:hAnsi="Verdana" w:cs="宋体"/>
      <w:kern w:val="0"/>
      <w:sz w:val="20"/>
      <w:szCs w:val="24"/>
      <w:lang w:eastAsia="en-US"/>
    </w:rPr>
  </w:style>
  <w:style w:type="paragraph" w:customStyle="1" w:styleId="3639">
    <w:name w:val="Char Char Char Char Char Char Char Char Char Char Char Char Char Char Char Char Char"/>
    <w:basedOn w:val="1"/>
    <w:qFormat/>
    <w:uiPriority w:val="0"/>
    <w:rPr>
      <w:rFonts w:ascii="Batang" w:hAnsi="Batang" w:cs="Batang"/>
      <w:sz w:val="21"/>
      <w:szCs w:val="24"/>
    </w:rPr>
  </w:style>
  <w:style w:type="paragraph" w:customStyle="1" w:styleId="3640">
    <w:name w:val="Title1"/>
    <w:basedOn w:val="1"/>
    <w:qFormat/>
    <w:uiPriority w:val="0"/>
    <w:pPr>
      <w:keepNext/>
      <w:tabs>
        <w:tab w:val="left" w:pos="936"/>
      </w:tabs>
      <w:overflowPunct w:val="0"/>
      <w:autoSpaceDE w:val="0"/>
      <w:autoSpaceDN w:val="0"/>
      <w:adjustRightInd w:val="0"/>
      <w:spacing w:before="160" w:after="80"/>
      <w:textAlignment w:val="baseline"/>
    </w:pPr>
    <w:rPr>
      <w:rFonts w:ascii="Times New Roman" w:eastAsia="Mincho"/>
      <w:b/>
      <w:kern w:val="0"/>
      <w:sz w:val="24"/>
      <w:szCs w:val="20"/>
      <w:lang w:eastAsia="ja-JP"/>
    </w:rPr>
  </w:style>
  <w:style w:type="paragraph" w:customStyle="1" w:styleId="3641">
    <w:name w:val="正文001"/>
    <w:basedOn w:val="1"/>
    <w:qFormat/>
    <w:uiPriority w:val="0"/>
    <w:pPr>
      <w:spacing w:before="60" w:line="460" w:lineRule="exact"/>
      <w:ind w:firstLine="200" w:firstLineChars="200"/>
    </w:pPr>
    <w:rPr>
      <w:rFonts w:ascii="Times New Roman"/>
      <w:sz w:val="24"/>
      <w:szCs w:val="24"/>
    </w:rPr>
  </w:style>
  <w:style w:type="paragraph" w:customStyle="1" w:styleId="3642">
    <w:name w:val="font"/>
    <w:basedOn w:val="1"/>
    <w:qFormat/>
    <w:uiPriority w:val="0"/>
    <w:pPr>
      <w:widowControl/>
      <w:spacing w:before="100" w:beforeAutospacing="1" w:after="100" w:afterAutospacing="1" w:line="262" w:lineRule="atLeast"/>
      <w:jc w:val="left"/>
      <w:textAlignment w:val="top"/>
    </w:pPr>
    <w:rPr>
      <w:rFonts w:ascii="ˎ̥" w:hAnsi="ˎ̥"/>
      <w:color w:val="000000"/>
      <w:kern w:val="0"/>
      <w:sz w:val="18"/>
      <w:szCs w:val="20"/>
    </w:rPr>
  </w:style>
  <w:style w:type="paragraph" w:customStyle="1" w:styleId="3643">
    <w:name w:val="样式 正文(首行缩进) + 8 磅 加粗 首行缩进:  2 字符1"/>
    <w:basedOn w:val="1"/>
    <w:semiHidden/>
    <w:qFormat/>
    <w:uiPriority w:val="0"/>
    <w:pPr>
      <w:adjustRightInd w:val="0"/>
      <w:snapToGrid w:val="0"/>
      <w:ind w:firstLine="200" w:firstLineChars="200"/>
    </w:pPr>
    <w:rPr>
      <w:rFonts w:ascii="Times New Roman" w:cs="宋体"/>
      <w:b/>
      <w:bCs/>
      <w:kern w:val="0"/>
      <w:sz w:val="16"/>
      <w:szCs w:val="20"/>
    </w:rPr>
  </w:style>
  <w:style w:type="paragraph" w:customStyle="1" w:styleId="3644">
    <w:name w:val="Char Char Char Char Char Char Char Char Char1 Char2"/>
    <w:basedOn w:val="1"/>
    <w:qFormat/>
    <w:uiPriority w:val="0"/>
    <w:pPr>
      <w:spacing w:line="360" w:lineRule="auto"/>
      <w:ind w:firstLine="200" w:firstLineChars="200"/>
    </w:pPr>
    <w:rPr>
      <w:rFonts w:hAnsi="宋体" w:cs="宋体"/>
      <w:sz w:val="24"/>
      <w:szCs w:val="24"/>
    </w:rPr>
  </w:style>
  <w:style w:type="paragraph" w:customStyle="1" w:styleId="3645">
    <w:name w:val="样式 正文首行缩进 2 +"/>
    <w:basedOn w:val="83"/>
    <w:qFormat/>
    <w:uiPriority w:val="0"/>
    <w:pPr>
      <w:spacing w:after="0" w:line="360" w:lineRule="auto"/>
      <w:ind w:left="0" w:leftChars="0" w:firstLine="560"/>
    </w:pPr>
    <w:rPr>
      <w:rFonts w:ascii="宋体" w:cs="宋体"/>
      <w:sz w:val="28"/>
      <w:szCs w:val="24"/>
    </w:rPr>
  </w:style>
  <w:style w:type="paragraph" w:customStyle="1" w:styleId="3646">
    <w:name w:val="封面标题3"/>
    <w:basedOn w:val="3497"/>
    <w:qFormat/>
    <w:uiPriority w:val="0"/>
    <w:rPr>
      <w:sz w:val="44"/>
      <w:szCs w:val="44"/>
    </w:rPr>
  </w:style>
  <w:style w:type="paragraph" w:customStyle="1" w:styleId="3647">
    <w:name w:val="unnamed1"/>
    <w:basedOn w:val="1"/>
    <w:qFormat/>
    <w:uiPriority w:val="0"/>
    <w:pPr>
      <w:widowControl/>
      <w:spacing w:before="100" w:beforeAutospacing="1" w:after="100" w:afterAutospacing="1" w:line="375" w:lineRule="atLeast"/>
      <w:jc w:val="left"/>
    </w:pPr>
    <w:rPr>
      <w:rFonts w:ascii="Sim Sun" w:hAnsi="Sim Sun" w:cs="Batang"/>
      <w:color w:val="000000"/>
      <w:kern w:val="0"/>
      <w:sz w:val="24"/>
      <w:szCs w:val="24"/>
    </w:rPr>
  </w:style>
  <w:style w:type="paragraph" w:customStyle="1" w:styleId="3648">
    <w:name w:val="三级标题+王永红"/>
    <w:basedOn w:val="5"/>
    <w:qFormat/>
    <w:uiPriority w:val="0"/>
    <w:pPr>
      <w:tabs>
        <w:tab w:val="left" w:pos="0"/>
        <w:tab w:val="left" w:pos="1571"/>
      </w:tabs>
      <w:snapToGrid w:val="0"/>
      <w:spacing w:before="0" w:after="0" w:line="415" w:lineRule="auto"/>
    </w:pPr>
    <w:rPr>
      <w:rFonts w:hAnsi="宋体"/>
      <w:iCs/>
    </w:rPr>
  </w:style>
  <w:style w:type="paragraph" w:customStyle="1" w:styleId="3649">
    <w:name w:val="默认段落字体 Para Char Char Char Char Char Char Char Char Char Char Char Char1 Char Char"/>
    <w:basedOn w:val="1"/>
    <w:qFormat/>
    <w:uiPriority w:val="0"/>
    <w:pPr>
      <w:spacing w:line="360" w:lineRule="auto"/>
      <w:ind w:firstLine="200" w:firstLineChars="200"/>
    </w:pPr>
    <w:rPr>
      <w:rFonts w:ascii="Times New Roman"/>
      <w:kern w:val="0"/>
      <w:sz w:val="20"/>
      <w:szCs w:val="24"/>
    </w:rPr>
  </w:style>
  <w:style w:type="paragraph" w:customStyle="1" w:styleId="3650">
    <w:name w:val="reader-word-layer reader-word-s20-10"/>
    <w:basedOn w:val="1"/>
    <w:qFormat/>
    <w:uiPriority w:val="0"/>
    <w:pPr>
      <w:widowControl/>
      <w:spacing w:before="100" w:beforeAutospacing="1" w:after="100" w:afterAutospacing="1"/>
      <w:jc w:val="left"/>
    </w:pPr>
    <w:rPr>
      <w:rFonts w:hAnsi="宋体" w:cs="宋体"/>
      <w:kern w:val="0"/>
      <w:sz w:val="24"/>
      <w:szCs w:val="24"/>
    </w:rPr>
  </w:style>
  <w:style w:type="paragraph" w:customStyle="1" w:styleId="3651">
    <w:name w:val="Char Char Char Char Char Char Char Char Char Char Char Char Char Char Char Char Char Char Char13"/>
    <w:basedOn w:val="1"/>
    <w:qFormat/>
    <w:uiPriority w:val="0"/>
    <w:pPr>
      <w:spacing w:line="360" w:lineRule="auto"/>
      <w:ind w:firstLine="200" w:firstLineChars="200"/>
    </w:pPr>
    <w:rPr>
      <w:rFonts w:hAnsi="宋体"/>
      <w:sz w:val="24"/>
      <w:szCs w:val="20"/>
    </w:rPr>
  </w:style>
  <w:style w:type="paragraph" w:customStyle="1" w:styleId="3652">
    <w:name w:val="样式2－王鹏"/>
    <w:basedOn w:val="1"/>
    <w:qFormat/>
    <w:uiPriority w:val="0"/>
    <w:pPr>
      <w:autoSpaceDE w:val="0"/>
      <w:autoSpaceDN w:val="0"/>
      <w:adjustRightInd w:val="0"/>
      <w:snapToGrid w:val="0"/>
      <w:spacing w:line="300" w:lineRule="auto"/>
      <w:jc w:val="center"/>
      <w:textAlignment w:val="baseline"/>
    </w:pPr>
    <w:rPr>
      <w:rFonts w:ascii="Sim Sun" w:hAnsi="Sim Sun" w:cs="Batang"/>
      <w:snapToGrid w:val="0"/>
      <w:kern w:val="0"/>
      <w:sz w:val="21"/>
      <w:szCs w:val="21"/>
    </w:rPr>
  </w:style>
  <w:style w:type="paragraph" w:customStyle="1" w:styleId="3653">
    <w:name w:val="样式 行距: 最小值 25 磅3"/>
    <w:basedOn w:val="1"/>
    <w:qFormat/>
    <w:uiPriority w:val="0"/>
    <w:pPr>
      <w:adjustRightInd w:val="0"/>
      <w:snapToGrid w:val="0"/>
      <w:spacing w:beforeLines="50" w:afterLines="50" w:line="300" w:lineRule="auto"/>
      <w:ind w:firstLine="562" w:firstLineChars="200"/>
      <w:textAlignment w:val="baseline"/>
    </w:pPr>
    <w:rPr>
      <w:rFonts w:ascii="Times New Roman"/>
      <w:b/>
      <w:kern w:val="0"/>
      <w:sz w:val="28"/>
      <w:szCs w:val="20"/>
    </w:rPr>
  </w:style>
  <w:style w:type="paragraph" w:customStyle="1" w:styleId="3654">
    <w:name w:val="样式 标题 1 + 两端对齐"/>
    <w:basedOn w:val="3"/>
    <w:qFormat/>
    <w:uiPriority w:val="0"/>
    <w:pPr>
      <w:tabs>
        <w:tab w:val="left" w:pos="425"/>
        <w:tab w:val="left" w:pos="1485"/>
        <w:tab w:val="left" w:pos="1980"/>
      </w:tabs>
      <w:adjustRightInd w:val="0"/>
      <w:spacing w:beforeLines="0" w:after="120"/>
      <w:ind w:left="425" w:hanging="720"/>
      <w:jc w:val="center"/>
    </w:pPr>
    <w:rPr>
      <w:rFonts w:ascii="仿宋_GB2312" w:eastAsia="仿宋_GB2312" w:cs="宋体"/>
      <w:b/>
      <w:bCs/>
      <w:snapToGrid/>
      <w:sz w:val="36"/>
    </w:rPr>
  </w:style>
  <w:style w:type="paragraph" w:customStyle="1" w:styleId="3655">
    <w:name w:val="Char1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3656">
    <w:name w:val="报告书"/>
    <w:basedOn w:val="1"/>
    <w:qFormat/>
    <w:uiPriority w:val="0"/>
    <w:pPr>
      <w:spacing w:line="300" w:lineRule="auto"/>
      <w:ind w:firstLine="480" w:firstLineChars="200"/>
    </w:pPr>
    <w:rPr>
      <w:rFonts w:ascii="Times New Roman"/>
      <w:sz w:val="24"/>
      <w:szCs w:val="24"/>
    </w:rPr>
  </w:style>
  <w:style w:type="paragraph" w:customStyle="1" w:styleId="3657">
    <w:name w:val="puce"/>
    <w:basedOn w:val="1"/>
    <w:qFormat/>
    <w:uiPriority w:val="0"/>
    <w:pPr>
      <w:widowControl/>
      <w:tabs>
        <w:tab w:val="left" w:pos="425"/>
        <w:tab w:val="left" w:pos="945"/>
        <w:tab w:val="left" w:pos="1200"/>
      </w:tabs>
      <w:adjustRightInd w:val="0"/>
      <w:snapToGrid w:val="0"/>
      <w:spacing w:line="336" w:lineRule="auto"/>
      <w:ind w:left="425" w:firstLine="480" w:firstLineChars="200"/>
    </w:pPr>
    <w:rPr>
      <w:rFonts w:ascii="ˎ̥" w:hAnsi="ˎ̥" w:cs="Batang"/>
      <w:kern w:val="0"/>
      <w:sz w:val="24"/>
      <w:szCs w:val="20"/>
    </w:rPr>
  </w:style>
  <w:style w:type="paragraph" w:customStyle="1" w:styleId="3658">
    <w:name w:val="样式 正文首行缩进 + 左侧:  -0.1 字符"/>
    <w:basedOn w:val="82"/>
    <w:qFormat/>
    <w:uiPriority w:val="0"/>
    <w:pPr>
      <w:keepNext/>
      <w:tabs>
        <w:tab w:val="left" w:pos="628"/>
        <w:tab w:val="left" w:pos="1380"/>
        <w:tab w:val="left" w:pos="1727"/>
        <w:tab w:val="left" w:pos="1884"/>
        <w:tab w:val="left" w:pos="4900"/>
      </w:tabs>
      <w:autoSpaceDE w:val="0"/>
      <w:autoSpaceDN w:val="0"/>
      <w:adjustRightInd w:val="0"/>
      <w:snapToGrid w:val="0"/>
      <w:spacing w:after="0" w:line="360" w:lineRule="auto"/>
      <w:ind w:firstLine="200" w:firstLineChars="200"/>
      <w:jc w:val="left"/>
    </w:pPr>
    <w:rPr>
      <w:rFonts w:hint="default" w:hAnsi="Times New Roman"/>
      <w:kern w:val="0"/>
      <w:sz w:val="28"/>
      <w:szCs w:val="20"/>
      <w:lang w:val="zh-CN"/>
    </w:rPr>
  </w:style>
  <w:style w:type="paragraph" w:customStyle="1" w:styleId="3659">
    <w:name w:val="Char Char Char Char Char Char12"/>
    <w:basedOn w:val="1"/>
    <w:qFormat/>
    <w:uiPriority w:val="0"/>
    <w:pPr>
      <w:widowControl/>
      <w:spacing w:after="160" w:line="240" w:lineRule="exact"/>
      <w:ind w:firstLine="200" w:firstLineChars="200"/>
      <w:jc w:val="left"/>
    </w:pPr>
    <w:rPr>
      <w:rFonts w:ascii="Chicago" w:hAnsi="Chicago" w:cs="Vladimir Script"/>
      <w:kern w:val="0"/>
      <w:sz w:val="20"/>
      <w:szCs w:val="20"/>
      <w:lang w:eastAsia="en-US"/>
    </w:rPr>
  </w:style>
  <w:style w:type="paragraph" w:customStyle="1" w:styleId="3660">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3661">
    <w:name w:val="Char Char17 Char Char2"/>
    <w:basedOn w:val="1"/>
    <w:qFormat/>
    <w:uiPriority w:val="0"/>
    <w:pPr>
      <w:widowControl/>
      <w:jc w:val="left"/>
    </w:pPr>
    <w:rPr>
      <w:rFonts w:hAnsi="宋体" w:cs="宋体"/>
      <w:kern w:val="0"/>
      <w:sz w:val="21"/>
      <w:szCs w:val="24"/>
    </w:rPr>
  </w:style>
  <w:style w:type="paragraph" w:customStyle="1" w:styleId="3662">
    <w:name w:val="表格文本 小五 居中"/>
    <w:basedOn w:val="1"/>
    <w:qFormat/>
    <w:uiPriority w:val="0"/>
    <w:pPr>
      <w:adjustRightInd w:val="0"/>
      <w:snapToGrid w:val="0"/>
      <w:spacing w:line="360" w:lineRule="auto"/>
      <w:jc w:val="center"/>
    </w:pPr>
    <w:rPr>
      <w:rFonts w:ascii="Times New Roman" w:cs="宋体"/>
      <w:color w:val="FF0000"/>
      <w:sz w:val="18"/>
      <w:szCs w:val="18"/>
    </w:rPr>
  </w:style>
  <w:style w:type="paragraph" w:customStyle="1" w:styleId="3663">
    <w:name w:val="文档标签"/>
    <w:basedOn w:val="1610"/>
    <w:next w:val="32"/>
    <w:qFormat/>
    <w:uiPriority w:val="0"/>
    <w:pPr>
      <w:keepNext/>
      <w:keepLines/>
      <w:spacing w:before="160" w:line="220" w:lineRule="atLeast"/>
      <w:ind w:left="1080"/>
    </w:pPr>
    <w:rPr>
      <w:spacing w:val="-30"/>
      <w:kern w:val="28"/>
      <w:sz w:val="60"/>
    </w:rPr>
  </w:style>
  <w:style w:type="paragraph" w:customStyle="1" w:styleId="3664">
    <w:name w:val="样式 标题 2节标题 1.1标题节第一层条H2Heading 2 HiddenHeading 2 CCBSPIM2..."/>
    <w:basedOn w:val="4"/>
    <w:qFormat/>
    <w:uiPriority w:val="0"/>
    <w:pPr>
      <w:tabs>
        <w:tab w:val="left" w:pos="992"/>
      </w:tabs>
      <w:spacing w:line="415" w:lineRule="auto"/>
      <w:ind w:left="992" w:hanging="567"/>
    </w:pPr>
    <w:rPr>
      <w:rFonts w:ascii="Arial" w:hAnsi="Arial" w:eastAsia="黑体"/>
      <w:snapToGrid/>
      <w:szCs w:val="20"/>
    </w:rPr>
  </w:style>
  <w:style w:type="paragraph" w:customStyle="1" w:styleId="3665">
    <w:name w:val="Char1 Char Char Char Char Char Char4"/>
    <w:basedOn w:val="1"/>
    <w:qFormat/>
    <w:uiPriority w:val="0"/>
    <w:rPr>
      <w:rFonts w:ascii="Tahoma" w:hAnsi="Tahoma"/>
      <w:sz w:val="24"/>
      <w:szCs w:val="20"/>
    </w:rPr>
  </w:style>
  <w:style w:type="paragraph" w:customStyle="1" w:styleId="3666">
    <w:name w:val="标准文本 居中 单倍行距 Char"/>
    <w:basedOn w:val="1"/>
    <w:qFormat/>
    <w:uiPriority w:val="0"/>
    <w:pPr>
      <w:adjustRightInd w:val="0"/>
      <w:snapToGrid w:val="0"/>
      <w:spacing w:before="120" w:line="480" w:lineRule="exact"/>
      <w:jc w:val="center"/>
      <w:textAlignment w:val="center"/>
    </w:pPr>
    <w:rPr>
      <w:rFonts w:ascii="黑体" w:eastAsia="黑体" w:cs="宋体"/>
      <w:b/>
      <w:sz w:val="24"/>
      <w:szCs w:val="24"/>
    </w:rPr>
  </w:style>
  <w:style w:type="paragraph" w:customStyle="1" w:styleId="3667">
    <w:name w:val="Char Char Char Char Char2 Char Char Char Char"/>
    <w:basedOn w:val="1"/>
    <w:semiHidden/>
    <w:qFormat/>
    <w:uiPriority w:val="0"/>
    <w:pPr>
      <w:adjustRightInd w:val="0"/>
      <w:snapToGrid w:val="0"/>
      <w:spacing w:line="360" w:lineRule="auto"/>
      <w:ind w:firstLine="200" w:firstLineChars="200"/>
    </w:pPr>
    <w:rPr>
      <w:rFonts w:hAnsi="宋体" w:cs="宋体"/>
      <w:sz w:val="24"/>
      <w:szCs w:val="26"/>
    </w:rPr>
  </w:style>
  <w:style w:type="paragraph" w:customStyle="1" w:styleId="3668">
    <w:name w:val="验收正文"/>
    <w:basedOn w:val="1"/>
    <w:qFormat/>
    <w:uiPriority w:val="0"/>
    <w:pPr>
      <w:spacing w:line="480" w:lineRule="auto"/>
      <w:ind w:firstLine="200" w:firstLineChars="200"/>
    </w:pPr>
    <w:rPr>
      <w:rFonts w:ascii="Times New Roman"/>
      <w:sz w:val="24"/>
      <w:szCs w:val="22"/>
    </w:rPr>
  </w:style>
  <w:style w:type="paragraph" w:customStyle="1" w:styleId="3669">
    <w:name w:val="正文文本 26"/>
    <w:basedOn w:val="1"/>
    <w:qFormat/>
    <w:uiPriority w:val="0"/>
    <w:pPr>
      <w:adjustRightInd w:val="0"/>
      <w:spacing w:line="432" w:lineRule="auto"/>
      <w:ind w:firstLine="480"/>
    </w:pPr>
    <w:rPr>
      <w:rFonts w:ascii="Times New Roman"/>
      <w:sz w:val="24"/>
      <w:szCs w:val="20"/>
    </w:rPr>
  </w:style>
  <w:style w:type="paragraph" w:customStyle="1" w:styleId="3670">
    <w:name w:val="封面正文 Char Char Char"/>
    <w:basedOn w:val="1"/>
    <w:qFormat/>
    <w:uiPriority w:val="0"/>
    <w:rPr>
      <w:rFonts w:ascii="Tahoma" w:hAnsi="Tahoma"/>
      <w:sz w:val="24"/>
      <w:szCs w:val="20"/>
    </w:rPr>
  </w:style>
  <w:style w:type="paragraph" w:customStyle="1" w:styleId="3671">
    <w:name w:val="样式 样式 表格1 + 首行缩进:  2 字符 + 首行缩进:  2 字符"/>
    <w:basedOn w:val="1"/>
    <w:qFormat/>
    <w:uiPriority w:val="0"/>
    <w:pPr>
      <w:spacing w:line="400" w:lineRule="exact"/>
      <w:ind w:firstLine="200" w:firstLineChars="200"/>
      <w:jc w:val="left"/>
    </w:pPr>
    <w:rPr>
      <w:rFonts w:ascii="Arial Unicode MS" w:hAnsi="Arial Unicode MS" w:cs="Sim Sun"/>
      <w:sz w:val="21"/>
      <w:szCs w:val="20"/>
    </w:rPr>
  </w:style>
  <w:style w:type="paragraph" w:customStyle="1" w:styleId="3672">
    <w:name w:val="Char Char Char Char Char Char Char Char Char Char Char Char Char Char Char"/>
    <w:basedOn w:val="1"/>
    <w:qFormat/>
    <w:uiPriority w:val="0"/>
    <w:rPr>
      <w:rFonts w:ascii="Batang" w:hAnsi="Batang" w:cs="Batang"/>
      <w:sz w:val="21"/>
      <w:szCs w:val="24"/>
    </w:rPr>
  </w:style>
  <w:style w:type="paragraph" w:customStyle="1" w:styleId="3673">
    <w:name w:val="列表项目符号1."/>
    <w:basedOn w:val="1"/>
    <w:qFormat/>
    <w:uiPriority w:val="0"/>
    <w:pPr>
      <w:keepNext/>
      <w:adjustRightInd w:val="0"/>
      <w:spacing w:line="312" w:lineRule="atLeast"/>
      <w:ind w:left="425" w:hanging="425" w:firstLineChars="200"/>
      <w:textAlignment w:val="baseline"/>
    </w:pPr>
    <w:rPr>
      <w:rFonts w:ascii="Arial Unicode MS" w:hAnsi="Arial Unicode MS" w:cs="Vladimir Script"/>
      <w:kern w:val="0"/>
      <w:sz w:val="21"/>
      <w:szCs w:val="21"/>
    </w:rPr>
  </w:style>
  <w:style w:type="paragraph" w:customStyle="1" w:styleId="3674">
    <w:name w:val="注："/>
    <w:next w:val="1"/>
    <w:semiHidden/>
    <w:qFormat/>
    <w:uiPriority w:val="0"/>
    <w:pPr>
      <w:widowControl w:val="0"/>
      <w:tabs>
        <w:tab w:val="left" w:pos="895"/>
      </w:tabs>
      <w:autoSpaceDE w:val="0"/>
      <w:autoSpaceDN w:val="0"/>
      <w:ind w:left="895" w:hanging="420"/>
      <w:jc w:val="both"/>
    </w:pPr>
    <w:rPr>
      <w:rFonts w:ascii="宋体" w:hAnsi="Calibri" w:eastAsia="宋体" w:cs="Times New Roman"/>
      <w:sz w:val="18"/>
      <w:lang w:val="en-US" w:eastAsia="zh-CN" w:bidi="ar-SA"/>
    </w:rPr>
  </w:style>
  <w:style w:type="paragraph" w:customStyle="1" w:styleId="3675">
    <w:name w:val="lw正文"/>
    <w:basedOn w:val="1"/>
    <w:qFormat/>
    <w:uiPriority w:val="0"/>
    <w:pPr>
      <w:autoSpaceDE w:val="0"/>
      <w:autoSpaceDN w:val="0"/>
      <w:adjustRightInd w:val="0"/>
      <w:spacing w:line="360" w:lineRule="auto"/>
      <w:ind w:firstLine="420"/>
      <w:jc w:val="left"/>
    </w:pPr>
    <w:rPr>
      <w:rFonts w:ascii="Times New Roman"/>
      <w:kern w:val="0"/>
      <w:sz w:val="24"/>
      <w:szCs w:val="20"/>
    </w:rPr>
  </w:style>
  <w:style w:type="paragraph" w:customStyle="1" w:styleId="3676">
    <w:name w:val="列项——（一级）"/>
    <w:qFormat/>
    <w:uiPriority w:val="0"/>
    <w:pPr>
      <w:widowControl w:val="0"/>
      <w:numPr>
        <w:ilvl w:val="0"/>
        <w:numId w:val="3"/>
      </w:numPr>
      <w:tabs>
        <w:tab w:val="left" w:pos="854"/>
        <w:tab w:val="clear" w:pos="1140"/>
      </w:tabs>
      <w:ind w:left="200" w:leftChars="200" w:hanging="200" w:hangingChars="200"/>
      <w:jc w:val="both"/>
    </w:pPr>
    <w:rPr>
      <w:rFonts w:ascii="宋体" w:hAnsi="Calibri" w:eastAsia="宋体" w:cs="Times New Roman"/>
      <w:sz w:val="21"/>
      <w:lang w:val="en-US" w:eastAsia="zh-CN" w:bidi="ar-SA"/>
    </w:rPr>
  </w:style>
  <w:style w:type="paragraph" w:customStyle="1" w:styleId="3677">
    <w:name w:val="Char Char Char3 Char Char Char Char2"/>
    <w:basedOn w:val="1"/>
    <w:qFormat/>
    <w:uiPriority w:val="0"/>
    <w:pPr>
      <w:spacing w:line="360" w:lineRule="auto"/>
      <w:ind w:firstLine="200" w:firstLineChars="200"/>
    </w:pPr>
    <w:rPr>
      <w:rFonts w:hAnsi="宋体" w:cs="宋体"/>
      <w:sz w:val="24"/>
      <w:szCs w:val="24"/>
    </w:rPr>
  </w:style>
  <w:style w:type="paragraph" w:customStyle="1" w:styleId="3678">
    <w:name w:val="样式 标题 7 + 段前: 0.5 行1"/>
    <w:basedOn w:val="9"/>
    <w:qFormat/>
    <w:uiPriority w:val="0"/>
    <w:pPr>
      <w:tabs>
        <w:tab w:val="left" w:pos="420"/>
        <w:tab w:val="left" w:pos="1820"/>
        <w:tab w:val="left" w:pos="4351"/>
        <w:tab w:val="clear" w:pos="2160"/>
        <w:tab w:val="clear" w:pos="3467"/>
      </w:tabs>
      <w:adjustRightInd w:val="0"/>
      <w:snapToGrid w:val="0"/>
      <w:spacing w:before="120" w:line="300" w:lineRule="auto"/>
      <w:ind w:firstLine="1120" w:firstLineChars="400"/>
      <w:outlineLvl w:val="3"/>
    </w:pPr>
    <w:rPr>
      <w:rFonts w:ascii="宋体" w:hAnsi="宋体"/>
      <w:sz w:val="28"/>
      <w:szCs w:val="28"/>
    </w:rPr>
  </w:style>
  <w:style w:type="paragraph" w:customStyle="1" w:styleId="3679">
    <w:name w:val="标题41"/>
    <w:basedOn w:val="1"/>
    <w:qFormat/>
    <w:uiPriority w:val="0"/>
    <w:pPr>
      <w:tabs>
        <w:tab w:val="left" w:pos="1200"/>
      </w:tabs>
      <w:spacing w:line="480" w:lineRule="exact"/>
      <w:ind w:left="1200" w:hanging="720"/>
    </w:pPr>
    <w:rPr>
      <w:rFonts w:hAnsi="宋体"/>
      <w:sz w:val="24"/>
      <w:szCs w:val="24"/>
    </w:rPr>
  </w:style>
  <w:style w:type="paragraph" w:customStyle="1" w:styleId="3680">
    <w:name w:val="索引 21"/>
    <w:basedOn w:val="1"/>
    <w:next w:val="1"/>
    <w:qFormat/>
    <w:uiPriority w:val="0"/>
    <w:pPr>
      <w:spacing w:line="440" w:lineRule="exact"/>
      <w:ind w:left="500" w:hanging="250" w:firstLineChars="200"/>
      <w:jc w:val="left"/>
    </w:pPr>
    <w:rPr>
      <w:rFonts w:ascii="ˎ̥" w:hAnsi="ˎ̥" w:eastAsia="仿宋体" w:cs="ˎ̥"/>
      <w:spacing w:val="5"/>
      <w:sz w:val="20"/>
      <w:szCs w:val="20"/>
    </w:rPr>
  </w:style>
  <w:style w:type="paragraph" w:customStyle="1" w:styleId="3681">
    <w:name w:val="CM8"/>
    <w:basedOn w:val="154"/>
    <w:next w:val="154"/>
    <w:qFormat/>
    <w:uiPriority w:val="0"/>
    <w:pPr>
      <w:spacing w:line="436" w:lineRule="atLeast"/>
    </w:pPr>
    <w:rPr>
      <w:rFonts w:ascii="仿宋_GB2312" w:hAnsi="Calibri" w:eastAsia="仿宋_GB2312" w:cs="Times New Roman"/>
      <w:color w:val="auto"/>
      <w:kern w:val="2"/>
    </w:rPr>
  </w:style>
  <w:style w:type="paragraph" w:customStyle="1" w:styleId="3682">
    <w:name w:val="实施日期"/>
    <w:basedOn w:val="3117"/>
    <w:qFormat/>
    <w:uiPriority w:val="0"/>
    <w:pPr>
      <w:framePr w:hSpace="0" w:xAlign="right"/>
      <w:jc w:val="right"/>
    </w:pPr>
  </w:style>
  <w:style w:type="paragraph" w:customStyle="1" w:styleId="3683">
    <w:name w:val="4级标题"/>
    <w:basedOn w:val="6"/>
    <w:qFormat/>
    <w:uiPriority w:val="0"/>
    <w:pPr>
      <w:keepNext/>
      <w:tabs>
        <w:tab w:val="left" w:pos="2356"/>
        <w:tab w:val="clear" w:pos="360"/>
        <w:tab w:val="clear" w:pos="2207"/>
      </w:tabs>
      <w:adjustRightInd w:val="0"/>
      <w:snapToGrid w:val="0"/>
      <w:spacing w:beforeLines="0" w:afterLines="0"/>
      <w:ind w:left="1984" w:firstLine="480" w:firstLineChars="200"/>
    </w:pPr>
    <w:rPr>
      <w:rFonts w:ascii="Times New Roman" w:hAnsi="Times New Roman"/>
      <w:snapToGrid/>
      <w:color w:val="auto"/>
    </w:rPr>
  </w:style>
  <w:style w:type="paragraph" w:customStyle="1" w:styleId="3684">
    <w:name w:val="reader-word-layer reader-word-s30-6"/>
    <w:basedOn w:val="1"/>
    <w:qFormat/>
    <w:uiPriority w:val="0"/>
    <w:pPr>
      <w:widowControl/>
      <w:spacing w:before="100" w:beforeAutospacing="1" w:after="100" w:afterAutospacing="1"/>
      <w:jc w:val="left"/>
    </w:pPr>
    <w:rPr>
      <w:rFonts w:hAnsi="宋体" w:cs="宋体"/>
      <w:kern w:val="0"/>
      <w:sz w:val="24"/>
      <w:szCs w:val="24"/>
    </w:rPr>
  </w:style>
  <w:style w:type="paragraph" w:customStyle="1" w:styleId="3685">
    <w:name w:val="文件"/>
    <w:basedOn w:val="1"/>
    <w:qFormat/>
    <w:uiPriority w:val="0"/>
    <w:pPr>
      <w:widowControl/>
      <w:tabs>
        <w:tab w:val="left" w:pos="300"/>
      </w:tabs>
      <w:spacing w:line="360" w:lineRule="auto"/>
      <w:ind w:left="900"/>
    </w:pPr>
    <w:rPr>
      <w:rFonts w:ascii="楷体_GB2312" w:hAnsi="宋体" w:eastAsia="楷体_GB2312"/>
      <w:kern w:val="0"/>
      <w:sz w:val="30"/>
      <w:szCs w:val="24"/>
    </w:rPr>
  </w:style>
  <w:style w:type="paragraph" w:customStyle="1" w:styleId="3686">
    <w:name w:val="reader-word-layer reader-word-s28-1"/>
    <w:basedOn w:val="1"/>
    <w:qFormat/>
    <w:uiPriority w:val="0"/>
    <w:pPr>
      <w:widowControl/>
      <w:spacing w:before="100" w:beforeAutospacing="1" w:after="100" w:afterAutospacing="1"/>
      <w:jc w:val="left"/>
    </w:pPr>
    <w:rPr>
      <w:rFonts w:hAnsi="宋体" w:cs="宋体"/>
      <w:kern w:val="0"/>
      <w:sz w:val="24"/>
      <w:szCs w:val="24"/>
    </w:rPr>
  </w:style>
  <w:style w:type="paragraph" w:customStyle="1" w:styleId="3687">
    <w:name w:val="表字"/>
    <w:basedOn w:val="1"/>
    <w:next w:val="1"/>
    <w:qFormat/>
    <w:uiPriority w:val="0"/>
    <w:pPr>
      <w:keepNext/>
      <w:spacing w:line="360" w:lineRule="atLeast"/>
      <w:jc w:val="center"/>
    </w:pPr>
    <w:rPr>
      <w:rFonts w:ascii="Arial" w:hAnsi="Arial"/>
      <w:sz w:val="21"/>
      <w:szCs w:val="20"/>
    </w:rPr>
  </w:style>
  <w:style w:type="paragraph" w:customStyle="1" w:styleId="3688">
    <w:name w:val="注释"/>
    <w:basedOn w:val="1"/>
    <w:qFormat/>
    <w:uiPriority w:val="0"/>
    <w:pPr>
      <w:adjustRightInd w:val="0"/>
      <w:snapToGrid w:val="0"/>
      <w:ind w:left="664" w:hanging="454"/>
      <w:jc w:val="left"/>
    </w:pPr>
    <w:rPr>
      <w:rFonts w:ascii="Times New Roman"/>
      <w:kern w:val="21"/>
      <w:sz w:val="18"/>
      <w:szCs w:val="20"/>
    </w:rPr>
  </w:style>
  <w:style w:type="paragraph" w:customStyle="1" w:styleId="3689">
    <w:name w:val="样式 标题 3标题 3 Char标题 3 Char Char标题 3 Char Char Char条标题1.1.1BS...1"/>
    <w:basedOn w:val="5"/>
    <w:qFormat/>
    <w:uiPriority w:val="0"/>
    <w:pPr>
      <w:keepNext w:val="0"/>
      <w:keepLines w:val="0"/>
      <w:tabs>
        <w:tab w:val="left" w:pos="1571"/>
      </w:tabs>
      <w:spacing w:before="80" w:after="80" w:line="360" w:lineRule="auto"/>
      <w:ind w:left="709" w:hanging="709"/>
      <w:jc w:val="left"/>
    </w:pPr>
    <w:rPr>
      <w:bCs w:val="0"/>
      <w:sz w:val="28"/>
      <w:szCs w:val="20"/>
    </w:rPr>
  </w:style>
  <w:style w:type="paragraph" w:customStyle="1" w:styleId="3690">
    <w:name w:val="大田正文"/>
    <w:basedOn w:val="33"/>
    <w:qFormat/>
    <w:uiPriority w:val="0"/>
    <w:pPr>
      <w:spacing w:line="500" w:lineRule="exact"/>
      <w:ind w:firstLine="567"/>
    </w:pPr>
    <w:rPr>
      <w:rFonts w:hint="default" w:hAnsi="Times New Roman" w:cs="Times New Roman"/>
      <w:sz w:val="28"/>
      <w:szCs w:val="20"/>
    </w:rPr>
  </w:style>
  <w:style w:type="paragraph" w:customStyle="1" w:styleId="3691">
    <w:name w:val="Char Char Char Char Char Char15"/>
    <w:basedOn w:val="1"/>
    <w:qFormat/>
    <w:uiPriority w:val="0"/>
    <w:pPr>
      <w:widowControl/>
      <w:spacing w:after="160" w:line="240" w:lineRule="exact"/>
      <w:jc w:val="left"/>
    </w:pPr>
    <w:rPr>
      <w:rFonts w:ascii="Verdana" w:hAnsi="Verdana"/>
      <w:kern w:val="0"/>
      <w:sz w:val="20"/>
      <w:szCs w:val="24"/>
      <w:lang w:eastAsia="en-US"/>
    </w:rPr>
  </w:style>
  <w:style w:type="paragraph" w:customStyle="1" w:styleId="3692">
    <w:name w:val="样式 标题 2 + 首行缩进:  1.13 厘米"/>
    <w:basedOn w:val="4"/>
    <w:qFormat/>
    <w:uiPriority w:val="0"/>
    <w:pPr>
      <w:tabs>
        <w:tab w:val="left" w:pos="756"/>
        <w:tab w:val="left" w:pos="992"/>
      </w:tabs>
      <w:spacing w:line="360" w:lineRule="auto"/>
      <w:ind w:left="756" w:hanging="576"/>
    </w:pPr>
    <w:rPr>
      <w:rFonts w:ascii="Arial" w:hAnsi="Arial" w:eastAsia="黑体" w:cs="宋体"/>
      <w:snapToGrid/>
      <w:szCs w:val="24"/>
    </w:rPr>
  </w:style>
  <w:style w:type="paragraph" w:customStyle="1" w:styleId="3693">
    <w:name w:val="章节副题目"/>
    <w:next w:val="32"/>
    <w:qFormat/>
    <w:uiPriority w:val="0"/>
    <w:pPr>
      <w:spacing w:line="400" w:lineRule="atLeast"/>
    </w:pPr>
    <w:rPr>
      <w:rFonts w:ascii="Times New Roman" w:hAnsi="Times New Roman" w:eastAsia="宋体" w:cs="Times New Roman"/>
      <w:i/>
      <w:spacing w:val="-14"/>
      <w:sz w:val="34"/>
      <w:lang w:val="en-US" w:eastAsia="zh-CN" w:bidi="ar-SA"/>
    </w:rPr>
  </w:style>
  <w:style w:type="paragraph" w:customStyle="1" w:styleId="3694">
    <w:name w:val="章节题目"/>
    <w:basedOn w:val="1610"/>
    <w:next w:val="1"/>
    <w:qFormat/>
    <w:uiPriority w:val="0"/>
    <w:pPr>
      <w:keepNext/>
      <w:keepLines/>
      <w:spacing w:before="720" w:after="400" w:line="540" w:lineRule="atLeast"/>
      <w:ind w:left="1080" w:right="2160"/>
    </w:pPr>
    <w:rPr>
      <w:spacing w:val="-40"/>
      <w:kern w:val="28"/>
      <w:sz w:val="60"/>
    </w:rPr>
  </w:style>
  <w:style w:type="paragraph" w:customStyle="1" w:styleId="3695">
    <w:name w:val="正文41"/>
    <w:qFormat/>
    <w:uiPriority w:val="0"/>
    <w:pPr>
      <w:widowControl w:val="0"/>
      <w:adjustRightInd w:val="0"/>
      <w:spacing w:line="315" w:lineRule="atLeast"/>
      <w:jc w:val="both"/>
      <w:textAlignment w:val="baseline"/>
    </w:pPr>
    <w:rPr>
      <w:rFonts w:ascii="Sim Sun" w:hAnsi="Arial Unicode MS" w:eastAsia="宋体" w:cs="Vladimir Script"/>
      <w:sz w:val="24"/>
      <w:lang w:val="en-US" w:eastAsia="zh-CN" w:bidi="ar-SA"/>
    </w:rPr>
  </w:style>
  <w:style w:type="paragraph" w:customStyle="1" w:styleId="3696">
    <w:name w:val="90v"/>
    <w:basedOn w:val="1"/>
    <w:qFormat/>
    <w:uiPriority w:val="0"/>
    <w:pPr>
      <w:widowControl/>
      <w:spacing w:before="100" w:beforeAutospacing="1" w:after="100" w:afterAutospacing="1"/>
      <w:jc w:val="left"/>
    </w:pPr>
    <w:rPr>
      <w:rFonts w:hAnsi="宋体"/>
      <w:kern w:val="0"/>
      <w:sz w:val="24"/>
      <w:szCs w:val="20"/>
    </w:rPr>
  </w:style>
  <w:style w:type="paragraph" w:customStyle="1" w:styleId="3697">
    <w:name w:val="样式 正文首行缩进 + (符号) 宋体1"/>
    <w:basedOn w:val="82"/>
    <w:qFormat/>
    <w:uiPriority w:val="0"/>
    <w:pPr>
      <w:tabs>
        <w:tab w:val="left" w:pos="420"/>
      </w:tabs>
      <w:spacing w:after="0" w:line="360" w:lineRule="auto"/>
      <w:ind w:left="420" w:hanging="420" w:firstLineChars="0"/>
    </w:pPr>
    <w:rPr>
      <w:rFonts w:hint="default" w:hAnsi="Times New Roman"/>
      <w:sz w:val="28"/>
      <w:szCs w:val="20"/>
    </w:rPr>
  </w:style>
  <w:style w:type="paragraph" w:customStyle="1" w:styleId="3698">
    <w:name w:val="表中字居中"/>
    <w:basedOn w:val="1"/>
    <w:qFormat/>
    <w:uiPriority w:val="0"/>
    <w:pPr>
      <w:tabs>
        <w:tab w:val="left" w:pos="5940"/>
      </w:tabs>
      <w:spacing w:line="360" w:lineRule="auto"/>
      <w:jc w:val="center"/>
    </w:pPr>
    <w:rPr>
      <w:rFonts w:hAnsi="宋体"/>
      <w:sz w:val="24"/>
      <w:szCs w:val="24"/>
    </w:rPr>
  </w:style>
  <w:style w:type="paragraph" w:customStyle="1" w:styleId="3699">
    <w:name w:val="签名1"/>
    <w:basedOn w:val="1"/>
    <w:qFormat/>
    <w:uiPriority w:val="0"/>
    <w:pPr>
      <w:spacing w:line="440" w:lineRule="exact"/>
      <w:ind w:left="100" w:leftChars="2100" w:firstLine="200" w:firstLineChars="200"/>
    </w:pPr>
    <w:rPr>
      <w:rFonts w:ascii="Sim Sun" w:hAnsi="Arial Unicode MS" w:eastAsia="Times New Roman"/>
      <w:spacing w:val="5"/>
      <w:kern w:val="0"/>
    </w:rPr>
  </w:style>
  <w:style w:type="paragraph" w:customStyle="1" w:styleId="3700">
    <w:name w:val="section2"/>
    <w:basedOn w:val="1"/>
    <w:qFormat/>
    <w:uiPriority w:val="0"/>
    <w:pPr>
      <w:widowControl/>
      <w:spacing w:before="100" w:beforeAutospacing="1" w:after="100" w:afterAutospacing="1"/>
      <w:jc w:val="left"/>
    </w:pPr>
    <w:rPr>
      <w:rFonts w:hAnsi="宋体" w:cs="宋体"/>
      <w:color w:val="000000"/>
      <w:kern w:val="0"/>
      <w:sz w:val="24"/>
      <w:szCs w:val="24"/>
    </w:rPr>
  </w:style>
  <w:style w:type="paragraph" w:customStyle="1" w:styleId="3701">
    <w:name w:val="reader-word-layer reader-word-s17-8"/>
    <w:basedOn w:val="1"/>
    <w:qFormat/>
    <w:uiPriority w:val="0"/>
    <w:pPr>
      <w:widowControl/>
      <w:spacing w:before="100" w:beforeAutospacing="1" w:after="100" w:afterAutospacing="1"/>
      <w:jc w:val="left"/>
    </w:pPr>
    <w:rPr>
      <w:rFonts w:hAnsi="宋体" w:cs="宋体"/>
      <w:kern w:val="0"/>
      <w:sz w:val="24"/>
      <w:szCs w:val="24"/>
    </w:rPr>
  </w:style>
  <w:style w:type="paragraph" w:customStyle="1" w:styleId="3702">
    <w:name w:val="bt2"/>
    <w:basedOn w:val="1"/>
    <w:qFormat/>
    <w:uiPriority w:val="0"/>
    <w:pPr>
      <w:spacing w:line="500" w:lineRule="exact"/>
      <w:ind w:firstLine="567"/>
    </w:pPr>
    <w:rPr>
      <w:rFonts w:ascii="Times New Roman"/>
      <w:b/>
      <w:sz w:val="24"/>
      <w:szCs w:val="20"/>
    </w:rPr>
  </w:style>
  <w:style w:type="paragraph" w:customStyle="1" w:styleId="3703">
    <w:name w:val="陆晶 表中正文居中"/>
    <w:qFormat/>
    <w:uiPriority w:val="0"/>
    <w:pPr>
      <w:tabs>
        <w:tab w:val="left" w:pos="1279"/>
      </w:tabs>
      <w:spacing w:before="120" w:after="120" w:line="240" w:lineRule="atLeast"/>
      <w:jc w:val="both"/>
    </w:pPr>
    <w:rPr>
      <w:rFonts w:ascii="宋体" w:hAnsi="Calibri" w:eastAsia="宋体" w:cs="Times New Roman"/>
      <w:kern w:val="2"/>
      <w:sz w:val="21"/>
      <w:szCs w:val="21"/>
      <w:lang w:val="en-US" w:eastAsia="zh-CN" w:bidi="ar-SA"/>
    </w:rPr>
  </w:style>
  <w:style w:type="paragraph" w:customStyle="1" w:styleId="3704">
    <w:name w:val="Char Char8 Char2"/>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705">
    <w:name w:val="公众调查表"/>
    <w:basedOn w:val="1"/>
    <w:qFormat/>
    <w:uiPriority w:val="0"/>
    <w:pPr>
      <w:adjustRightInd w:val="0"/>
      <w:snapToGrid w:val="0"/>
      <w:spacing w:line="360" w:lineRule="auto"/>
      <w:ind w:firstLine="620" w:firstLineChars="200"/>
    </w:pPr>
    <w:rPr>
      <w:rFonts w:ascii="Times New Roman"/>
      <w:kern w:val="0"/>
      <w:sz w:val="24"/>
      <w:szCs w:val="21"/>
    </w:rPr>
  </w:style>
  <w:style w:type="paragraph" w:customStyle="1" w:styleId="3706">
    <w:name w:val="reader-word-layer reader-word-s28-8 reader-word-s28-22"/>
    <w:basedOn w:val="1"/>
    <w:qFormat/>
    <w:uiPriority w:val="0"/>
    <w:pPr>
      <w:widowControl/>
      <w:spacing w:before="100" w:beforeAutospacing="1" w:after="100" w:afterAutospacing="1"/>
      <w:jc w:val="left"/>
    </w:pPr>
    <w:rPr>
      <w:rFonts w:hAnsi="宋体" w:cs="宋体"/>
      <w:kern w:val="0"/>
      <w:sz w:val="24"/>
      <w:szCs w:val="24"/>
    </w:rPr>
  </w:style>
  <w:style w:type="paragraph" w:customStyle="1" w:styleId="3707">
    <w:name w:val="样式 首行缩进:  2 字符20"/>
    <w:basedOn w:val="1"/>
    <w:qFormat/>
    <w:uiPriority w:val="0"/>
    <w:pPr>
      <w:spacing w:line="520" w:lineRule="exact"/>
      <w:ind w:firstLine="560" w:firstLineChars="200"/>
    </w:pPr>
    <w:rPr>
      <w:rFonts w:ascii="Arial Unicode MS" w:hAnsi="Arial Unicode MS" w:cs="Sim Sun"/>
      <w:sz w:val="24"/>
      <w:szCs w:val="20"/>
    </w:rPr>
  </w:style>
  <w:style w:type="paragraph" w:customStyle="1" w:styleId="3708">
    <w:name w:val="Personal Info"/>
    <w:basedOn w:val="3186"/>
    <w:qFormat/>
    <w:uiPriority w:val="0"/>
    <w:pPr>
      <w:tabs>
        <w:tab w:val="left" w:pos="425"/>
        <w:tab w:val="clear" w:pos="960"/>
      </w:tabs>
      <w:spacing w:before="220"/>
      <w:ind w:left="425" w:hanging="425"/>
    </w:pPr>
    <w:rPr>
      <w:szCs w:val="20"/>
    </w:rPr>
  </w:style>
  <w:style w:type="paragraph" w:customStyle="1" w:styleId="3709">
    <w:name w:val="MTDisplayEquation"/>
    <w:basedOn w:val="1"/>
    <w:next w:val="1"/>
    <w:qFormat/>
    <w:uiPriority w:val="0"/>
    <w:pPr>
      <w:tabs>
        <w:tab w:val="center" w:pos="4360"/>
        <w:tab w:val="right" w:pos="8720"/>
      </w:tabs>
      <w:ind w:firstLine="435"/>
    </w:pPr>
    <w:rPr>
      <w:rFonts w:ascii="Times New Roman"/>
      <w:sz w:val="24"/>
      <w:szCs w:val="24"/>
    </w:rPr>
  </w:style>
  <w:style w:type="paragraph" w:customStyle="1" w:styleId="3710">
    <w:name w:val="1 Char Char Char Char Char Char1 Char"/>
    <w:basedOn w:val="1"/>
    <w:next w:val="1"/>
    <w:qFormat/>
    <w:uiPriority w:val="0"/>
    <w:pPr>
      <w:spacing w:line="360" w:lineRule="auto"/>
      <w:ind w:firstLine="200" w:firstLineChars="200"/>
    </w:pPr>
    <w:rPr>
      <w:rFonts w:hAnsi="宋体" w:cs="宋体"/>
      <w:sz w:val="24"/>
      <w:szCs w:val="24"/>
    </w:rPr>
  </w:style>
  <w:style w:type="paragraph" w:customStyle="1" w:styleId="3711">
    <w:name w:val="样式 正文文本 3 + 加粗1"/>
    <w:basedOn w:val="29"/>
    <w:qFormat/>
    <w:uiPriority w:val="0"/>
    <w:pPr>
      <w:snapToGrid w:val="0"/>
      <w:spacing w:after="0" w:line="320" w:lineRule="exact"/>
    </w:pPr>
    <w:rPr>
      <w:rFonts w:ascii="Calibri" w:hAnsi="Calibri" w:eastAsia="仿宋_GB2312" w:cs="宋体"/>
      <w:b/>
      <w:bCs/>
      <w:spacing w:val="4"/>
      <w:sz w:val="21"/>
      <w:szCs w:val="20"/>
    </w:rPr>
  </w:style>
  <w:style w:type="paragraph" w:customStyle="1" w:styleId="3712">
    <w:name w:val="reader-word-layer reader-word-s30-29"/>
    <w:basedOn w:val="1"/>
    <w:qFormat/>
    <w:uiPriority w:val="0"/>
    <w:pPr>
      <w:widowControl/>
      <w:spacing w:before="100" w:beforeAutospacing="1" w:after="100" w:afterAutospacing="1"/>
      <w:jc w:val="left"/>
    </w:pPr>
    <w:rPr>
      <w:rFonts w:hAnsi="宋体" w:cs="宋体"/>
      <w:kern w:val="0"/>
      <w:sz w:val="24"/>
      <w:szCs w:val="24"/>
    </w:rPr>
  </w:style>
  <w:style w:type="paragraph" w:customStyle="1" w:styleId="3713">
    <w:name w:val="11-4-2"/>
    <w:basedOn w:val="1"/>
    <w:qFormat/>
    <w:uiPriority w:val="0"/>
    <w:pPr>
      <w:keepNext/>
      <w:keepLines/>
      <w:spacing w:line="360" w:lineRule="auto"/>
      <w:outlineLvl w:val="1"/>
    </w:pPr>
    <w:rPr>
      <w:rFonts w:ascii="黑体" w:hAnsi="Arial" w:eastAsia="黑体"/>
      <w:bCs/>
      <w:sz w:val="28"/>
      <w:szCs w:val="28"/>
    </w:rPr>
  </w:style>
  <w:style w:type="paragraph" w:customStyle="1" w:styleId="3714">
    <w:name w:val="项目名称"/>
    <w:next w:val="1"/>
    <w:qFormat/>
    <w:uiPriority w:val="0"/>
    <w:pPr>
      <w:spacing w:beforeLines="50" w:afterLines="50"/>
      <w:jc w:val="center"/>
    </w:pPr>
    <w:rPr>
      <w:rFonts w:ascii="宋体" w:hAnsi="宋体" w:eastAsia="宋体" w:cs="Times New Roman"/>
      <w:b/>
      <w:bCs/>
      <w:sz w:val="36"/>
      <w:szCs w:val="36"/>
      <w:lang w:val="en-US" w:eastAsia="zh-CN" w:bidi="ar-SA"/>
    </w:rPr>
  </w:style>
  <w:style w:type="paragraph" w:customStyle="1" w:styleId="3715">
    <w:name w:val="IDC A-Head (2nd Line)"/>
    <w:basedOn w:val="1"/>
    <w:next w:val="1"/>
    <w:qFormat/>
    <w:uiPriority w:val="0"/>
    <w:pPr>
      <w:widowControl/>
      <w:jc w:val="center"/>
    </w:pPr>
    <w:rPr>
      <w:rFonts w:ascii="Times New Roman"/>
      <w:caps/>
      <w:kern w:val="0"/>
      <w:sz w:val="24"/>
      <w:szCs w:val="20"/>
    </w:rPr>
  </w:style>
  <w:style w:type="paragraph" w:customStyle="1" w:styleId="3716">
    <w:name w:val="样式 标题 1 + 华文中宋 两端对齐 左侧:  0 厘米"/>
    <w:basedOn w:val="3"/>
    <w:qFormat/>
    <w:uiPriority w:val="0"/>
    <w:pPr>
      <w:tabs>
        <w:tab w:val="left" w:pos="420"/>
      </w:tabs>
      <w:spacing w:beforeLines="0" w:after="330" w:line="240" w:lineRule="auto"/>
      <w:ind w:left="420" w:hanging="420"/>
    </w:pPr>
    <w:rPr>
      <w:rFonts w:ascii="华文中宋" w:hAnsi="华文中宋" w:eastAsia="华文中宋" w:cs="宋体"/>
      <w:b/>
      <w:bCs/>
      <w:snapToGrid/>
      <w:sz w:val="44"/>
      <w:szCs w:val="44"/>
    </w:rPr>
  </w:style>
  <w:style w:type="paragraph" w:customStyle="1" w:styleId="3717">
    <w:name w:val="xl82"/>
    <w:basedOn w:val="1"/>
    <w:qFormat/>
    <w:uiPriority w:val="0"/>
    <w:pPr>
      <w:widowControl/>
      <w:pBdr>
        <w:left w:val="single" w:color="auto" w:sz="4" w:space="0"/>
        <w:right w:val="single" w:color="auto" w:sz="4" w:space="0"/>
      </w:pBdr>
      <w:spacing w:before="100" w:after="100"/>
      <w:jc w:val="center"/>
      <w:textAlignment w:val="center"/>
    </w:pPr>
    <w:rPr>
      <w:rFonts w:ascii="Batang" w:hAnsi="Batang" w:cs="Batang"/>
      <w:kern w:val="0"/>
      <w:sz w:val="24"/>
      <w:szCs w:val="24"/>
    </w:rPr>
  </w:style>
  <w:style w:type="paragraph" w:customStyle="1" w:styleId="3718">
    <w:name w:val="z正文"/>
    <w:basedOn w:val="33"/>
    <w:qFormat/>
    <w:uiPriority w:val="0"/>
    <w:pPr>
      <w:autoSpaceDE w:val="0"/>
      <w:autoSpaceDN w:val="0"/>
      <w:adjustRightInd w:val="0"/>
      <w:snapToGrid w:val="0"/>
      <w:spacing w:line="360" w:lineRule="auto"/>
      <w:ind w:firstLine="539"/>
      <w:textAlignment w:val="baseline"/>
    </w:pPr>
    <w:rPr>
      <w:rFonts w:hint="default" w:ascii="Arial" w:hAnsi="Arial" w:cs="Times New Roman"/>
      <w:kern w:val="0"/>
    </w:rPr>
  </w:style>
  <w:style w:type="paragraph" w:customStyle="1" w:styleId="3719">
    <w:name w:val="Char Char Char2 Char"/>
    <w:basedOn w:val="1"/>
    <w:qFormat/>
    <w:uiPriority w:val="0"/>
    <w:pPr>
      <w:spacing w:line="360" w:lineRule="auto"/>
      <w:ind w:firstLine="200" w:firstLineChars="200"/>
    </w:pPr>
    <w:rPr>
      <w:rFonts w:hAnsi="宋体"/>
      <w:sz w:val="24"/>
      <w:szCs w:val="20"/>
    </w:rPr>
  </w:style>
  <w:style w:type="paragraph" w:customStyle="1" w:styleId="3720">
    <w:name w:val="Char Char Char1 Char Char Char Char Char Char Char Char Char3"/>
    <w:basedOn w:val="1"/>
    <w:qFormat/>
    <w:uiPriority w:val="0"/>
    <w:rPr>
      <w:rFonts w:ascii="Times New Roman" w:eastAsia="楷体_GB2312"/>
      <w:b/>
      <w:sz w:val="28"/>
      <w:szCs w:val="28"/>
    </w:rPr>
  </w:style>
  <w:style w:type="paragraph" w:customStyle="1" w:styleId="3721">
    <w:name w:val="正文-使用"/>
    <w:basedOn w:val="1"/>
    <w:qFormat/>
    <w:uiPriority w:val="0"/>
    <w:pPr>
      <w:adjustRightInd w:val="0"/>
      <w:snapToGrid w:val="0"/>
      <w:spacing w:line="360" w:lineRule="auto"/>
      <w:ind w:firstLine="482"/>
    </w:pPr>
    <w:rPr>
      <w:rFonts w:ascii="Times New Roman"/>
      <w:sz w:val="24"/>
      <w:szCs w:val="20"/>
    </w:rPr>
  </w:style>
  <w:style w:type="paragraph" w:customStyle="1" w:styleId="3722">
    <w:name w:val="表格+儿童2"/>
    <w:basedOn w:val="1"/>
    <w:qFormat/>
    <w:uiPriority w:val="0"/>
    <w:pPr>
      <w:adjustRightInd w:val="0"/>
      <w:snapToGrid w:val="0"/>
      <w:spacing w:line="360" w:lineRule="exact"/>
    </w:pPr>
    <w:rPr>
      <w:rFonts w:hAnsi="宋体"/>
      <w:color w:val="000000"/>
      <w:kern w:val="0"/>
      <w:sz w:val="21"/>
      <w:szCs w:val="21"/>
    </w:rPr>
  </w:style>
  <w:style w:type="paragraph" w:customStyle="1" w:styleId="3723">
    <w:name w:val="样式 题注 + (西文) Arial (中文) 黑体 小四 Char Char"/>
    <w:basedOn w:val="21"/>
    <w:qFormat/>
    <w:uiPriority w:val="0"/>
    <w:pPr>
      <w:keepNext/>
      <w:adjustRightInd w:val="0"/>
      <w:snapToGrid w:val="0"/>
      <w:spacing w:line="360" w:lineRule="auto"/>
      <w:ind w:firstLine="200" w:firstLineChars="200"/>
      <w:jc w:val="center"/>
    </w:pPr>
    <w:rPr>
      <w:kern w:val="0"/>
      <w:sz w:val="24"/>
      <w:szCs w:val="24"/>
    </w:rPr>
  </w:style>
  <w:style w:type="paragraph" w:customStyle="1" w:styleId="3724">
    <w:name w:val="Char Char Char Char Char Char Char Char Char Char Char Char Char Char Char Char2"/>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725">
    <w:name w:val="样式 样式 样式 标题 1 + 宋体 居中 左侧:  0 厘米 首行缩进:  0 厘米 段前: 0 磅 段后: 12 磅 行距:..."/>
    <w:basedOn w:val="1"/>
    <w:qFormat/>
    <w:uiPriority w:val="0"/>
    <w:pPr>
      <w:keepNext/>
      <w:keepLines/>
      <w:spacing w:before="320" w:after="320" w:line="360" w:lineRule="auto"/>
      <w:jc w:val="center"/>
      <w:outlineLvl w:val="1"/>
    </w:pPr>
    <w:rPr>
      <w:rFonts w:hAnsi="宋体"/>
      <w:b/>
      <w:sz w:val="28"/>
      <w:szCs w:val="20"/>
    </w:rPr>
  </w:style>
  <w:style w:type="paragraph" w:customStyle="1" w:styleId="3726">
    <w:name w:val="Identation 2"/>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color w:val="000000"/>
      <w:sz w:val="24"/>
      <w:lang w:val="en-US" w:eastAsia="zh-CN" w:bidi="ar-SA"/>
    </w:rPr>
  </w:style>
  <w:style w:type="paragraph" w:customStyle="1" w:styleId="3727">
    <w:name w:val="假设列表"/>
    <w:qFormat/>
    <w:uiPriority w:val="0"/>
    <w:pPr>
      <w:tabs>
        <w:tab w:val="left" w:pos="900"/>
      </w:tabs>
      <w:spacing w:before="156"/>
      <w:ind w:left="900" w:hanging="420"/>
    </w:pPr>
    <w:rPr>
      <w:rFonts w:ascii="仿宋_GB2312" w:hAnsi="Calibri" w:eastAsia="仿宋_GB2312" w:cs="Times New Roman"/>
      <w:sz w:val="24"/>
      <w:lang w:val="en-US" w:eastAsia="zh-CN" w:bidi="ar-SA"/>
    </w:rPr>
  </w:style>
  <w:style w:type="paragraph" w:customStyle="1" w:styleId="3728">
    <w:name w:val="表的格式（小四）"/>
    <w:basedOn w:val="1"/>
    <w:qFormat/>
    <w:uiPriority w:val="0"/>
    <w:pPr>
      <w:adjustRightInd w:val="0"/>
      <w:spacing w:line="360" w:lineRule="atLeast"/>
      <w:jc w:val="center"/>
    </w:pPr>
    <w:rPr>
      <w:rFonts w:ascii="Times New Roman"/>
      <w:kern w:val="0"/>
      <w:sz w:val="24"/>
      <w:szCs w:val="20"/>
    </w:rPr>
  </w:style>
  <w:style w:type="paragraph" w:customStyle="1" w:styleId="3729">
    <w:name w:val="Char2 Char Char Char4"/>
    <w:basedOn w:val="1"/>
    <w:qFormat/>
    <w:uiPriority w:val="0"/>
    <w:pPr>
      <w:adjustRightInd w:val="0"/>
      <w:snapToGrid w:val="0"/>
    </w:pPr>
    <w:rPr>
      <w:rFonts w:ascii="Times New Roman" w:eastAsia="黑体"/>
      <w:snapToGrid w:val="0"/>
      <w:sz w:val="24"/>
      <w:szCs w:val="24"/>
    </w:rPr>
  </w:style>
  <w:style w:type="paragraph" w:customStyle="1" w:styleId="3730">
    <w:name w:val="样式 正文文本缩进 + 行距: 固定值 24 磅"/>
    <w:basedOn w:val="33"/>
    <w:qFormat/>
    <w:uiPriority w:val="0"/>
    <w:pPr>
      <w:spacing w:line="480" w:lineRule="exact"/>
      <w:ind w:firstLine="0"/>
    </w:pPr>
    <w:rPr>
      <w:rFonts w:hint="default" w:cs="宋体"/>
      <w:bCs/>
      <w:iCs/>
      <w:szCs w:val="20"/>
    </w:rPr>
  </w:style>
  <w:style w:type="paragraph" w:customStyle="1" w:styleId="3731">
    <w:name w:val="正文文本 23"/>
    <w:basedOn w:val="1"/>
    <w:qFormat/>
    <w:uiPriority w:val="0"/>
    <w:pPr>
      <w:adjustRightInd w:val="0"/>
      <w:spacing w:line="432" w:lineRule="auto"/>
      <w:ind w:firstLine="480"/>
    </w:pPr>
    <w:rPr>
      <w:rFonts w:ascii="Times New Roman"/>
      <w:sz w:val="24"/>
      <w:szCs w:val="20"/>
    </w:rPr>
  </w:style>
  <w:style w:type="paragraph" w:customStyle="1" w:styleId="3732">
    <w:name w:val="竖文本框"/>
    <w:basedOn w:val="1"/>
    <w:qFormat/>
    <w:uiPriority w:val="0"/>
    <w:pPr>
      <w:snapToGrid w:val="0"/>
      <w:jc w:val="left"/>
    </w:pPr>
    <w:rPr>
      <w:rFonts w:ascii="仿宋_GB2312" w:eastAsia="仿宋_GB2312"/>
      <w:sz w:val="24"/>
      <w:szCs w:val="20"/>
    </w:rPr>
  </w:style>
  <w:style w:type="paragraph" w:customStyle="1" w:styleId="3733">
    <w:name w:val="reader-word-layer reader-word-s30-27"/>
    <w:basedOn w:val="1"/>
    <w:qFormat/>
    <w:uiPriority w:val="0"/>
    <w:pPr>
      <w:widowControl/>
      <w:spacing w:before="100" w:beforeAutospacing="1" w:after="100" w:afterAutospacing="1"/>
      <w:jc w:val="left"/>
    </w:pPr>
    <w:rPr>
      <w:rFonts w:hAnsi="宋体" w:cs="宋体"/>
      <w:kern w:val="0"/>
      <w:sz w:val="24"/>
      <w:szCs w:val="24"/>
    </w:rPr>
  </w:style>
  <w:style w:type="paragraph" w:customStyle="1" w:styleId="3734">
    <w:name w:val="样式 标题2 + 段前: 0.5 行 段后: 0.5 行"/>
    <w:basedOn w:val="4"/>
    <w:qFormat/>
    <w:uiPriority w:val="0"/>
    <w:pPr>
      <w:keepNext w:val="0"/>
      <w:keepLines w:val="0"/>
      <w:tabs>
        <w:tab w:val="left" w:pos="756"/>
        <w:tab w:val="left" w:pos="992"/>
      </w:tabs>
      <w:spacing w:beforeLines="50" w:afterLines="50" w:line="440" w:lineRule="exact"/>
      <w:ind w:firstLine="200" w:firstLineChars="200"/>
      <w:outlineLvl w:val="0"/>
    </w:pPr>
    <w:rPr>
      <w:rFonts w:ascii="Times New Roman" w:hAnsi="Times New Roman" w:eastAsia="黑体" w:cs="宋体"/>
      <w:b w:val="0"/>
      <w:bCs w:val="0"/>
      <w:snapToGrid/>
      <w:sz w:val="24"/>
      <w:szCs w:val="24"/>
    </w:rPr>
  </w:style>
  <w:style w:type="paragraph" w:customStyle="1" w:styleId="3735">
    <w:name w:val="样式 样式 样式 标题 1 + 段前: 1.5 行 + 段前: 1.5 行 段后: 0 磅"/>
    <w:basedOn w:val="3266"/>
    <w:qFormat/>
    <w:uiPriority w:val="0"/>
    <w:pPr>
      <w:spacing w:beforeLines="0" w:after="0"/>
    </w:pPr>
  </w:style>
  <w:style w:type="paragraph" w:customStyle="1" w:styleId="3736">
    <w:name w:val="表格编号"/>
    <w:basedOn w:val="1"/>
    <w:next w:val="1"/>
    <w:qFormat/>
    <w:uiPriority w:val="0"/>
    <w:pPr>
      <w:tabs>
        <w:tab w:val="left" w:pos="360"/>
      </w:tabs>
      <w:spacing w:before="300" w:after="200" w:line="360" w:lineRule="auto"/>
      <w:ind w:left="360" w:hanging="360" w:hangingChars="200"/>
      <w:jc w:val="center"/>
    </w:pPr>
    <w:rPr>
      <w:rFonts w:ascii="Times New Roman"/>
      <w:sz w:val="24"/>
      <w:szCs w:val="20"/>
    </w:rPr>
  </w:style>
  <w:style w:type="paragraph" w:customStyle="1" w:styleId="3737">
    <w:name w:val="正文可研"/>
    <w:basedOn w:val="1"/>
    <w:qFormat/>
    <w:uiPriority w:val="0"/>
    <w:pPr>
      <w:autoSpaceDE w:val="0"/>
      <w:autoSpaceDN w:val="0"/>
      <w:adjustRightInd w:val="0"/>
      <w:spacing w:line="360" w:lineRule="auto"/>
      <w:ind w:firstLine="480" w:firstLineChars="200"/>
      <w:textAlignment w:val="baseline"/>
    </w:pPr>
    <w:rPr>
      <w:rFonts w:ascii="Arial Black" w:hAnsi="Sim Sun+ 2" w:cs="Arial Black"/>
      <w:kern w:val="0"/>
      <w:sz w:val="24"/>
      <w:szCs w:val="20"/>
    </w:rPr>
  </w:style>
  <w:style w:type="paragraph" w:customStyle="1" w:styleId="3738">
    <w:name w:val="样式 样式 样式 正文首行缩进 + 首行缩进:  2 字符1 + 段前: 6 磅 + 首行缩进:  2 字符"/>
    <w:basedOn w:val="3433"/>
    <w:qFormat/>
    <w:uiPriority w:val="0"/>
    <w:pPr>
      <w:ind w:firstLine="480"/>
    </w:pPr>
  </w:style>
  <w:style w:type="paragraph" w:customStyle="1" w:styleId="3739">
    <w:name w:val="Char Char Char Char Char Char Char Char Char Char Char Char Char Char Char Char Char Char Char15"/>
    <w:basedOn w:val="1"/>
    <w:qFormat/>
    <w:uiPriority w:val="0"/>
    <w:pPr>
      <w:spacing w:line="360" w:lineRule="auto"/>
      <w:ind w:firstLine="200" w:firstLineChars="200"/>
    </w:pPr>
    <w:rPr>
      <w:rFonts w:hAnsi="宋体" w:cs="宋体"/>
      <w:sz w:val="24"/>
      <w:szCs w:val="24"/>
    </w:rPr>
  </w:style>
  <w:style w:type="paragraph" w:customStyle="1" w:styleId="3740">
    <w:name w:val="新标题样式"/>
    <w:basedOn w:val="1"/>
    <w:qFormat/>
    <w:uiPriority w:val="0"/>
    <w:pPr>
      <w:tabs>
        <w:tab w:val="left" w:pos="567"/>
      </w:tabs>
      <w:spacing w:line="360" w:lineRule="auto"/>
    </w:pPr>
    <w:rPr>
      <w:rFonts w:ascii="Times New Roman" w:eastAsia="黑体"/>
      <w:b/>
      <w:spacing w:val="20"/>
      <w:sz w:val="24"/>
      <w:szCs w:val="20"/>
    </w:rPr>
  </w:style>
  <w:style w:type="paragraph" w:customStyle="1" w:styleId="3741">
    <w:name w:val="xl59"/>
    <w:basedOn w:val="1"/>
    <w:qFormat/>
    <w:uiPriority w:val="0"/>
    <w:pPr>
      <w:widowControl/>
      <w:pBdr>
        <w:top w:val="single" w:color="auto" w:sz="8" w:space="0"/>
        <w:left w:val="single" w:color="auto" w:sz="8" w:space="0"/>
        <w:right w:val="single" w:color="auto" w:sz="4" w:space="0"/>
      </w:pBdr>
      <w:spacing w:before="100" w:after="100"/>
      <w:jc w:val="center"/>
      <w:textAlignment w:val="top"/>
    </w:pPr>
    <w:rPr>
      <w:rFonts w:ascii="Batang" w:hAnsi="Batang" w:cs="Batang"/>
      <w:kern w:val="0"/>
      <w:sz w:val="24"/>
      <w:szCs w:val="24"/>
    </w:rPr>
  </w:style>
  <w:style w:type="paragraph" w:customStyle="1" w:styleId="3742">
    <w:name w:val="(文字) (文字)2"/>
    <w:basedOn w:val="1"/>
    <w:qFormat/>
    <w:uiPriority w:val="0"/>
    <w:pPr>
      <w:widowControl/>
      <w:spacing w:after="160" w:line="240" w:lineRule="exact"/>
      <w:jc w:val="left"/>
    </w:pPr>
    <w:rPr>
      <w:rFonts w:ascii="Verdana" w:hAnsi="Verdana"/>
      <w:kern w:val="0"/>
      <w:sz w:val="20"/>
      <w:szCs w:val="20"/>
      <w:lang w:eastAsia="en-US"/>
    </w:rPr>
  </w:style>
  <w:style w:type="paragraph" w:customStyle="1" w:styleId="3743">
    <w:name w:val="Char Char Char Char Char Char Char Char Char Char3"/>
    <w:basedOn w:val="1"/>
    <w:qFormat/>
    <w:uiPriority w:val="0"/>
    <w:pPr>
      <w:spacing w:line="360" w:lineRule="auto"/>
      <w:ind w:firstLine="200" w:firstLineChars="200"/>
    </w:pPr>
    <w:rPr>
      <w:rFonts w:hAnsi="宋体" w:cs="宋体"/>
      <w:sz w:val="24"/>
      <w:szCs w:val="24"/>
    </w:rPr>
  </w:style>
  <w:style w:type="paragraph" w:customStyle="1" w:styleId="3744">
    <w:name w:val="表格标题01"/>
    <w:basedOn w:val="1"/>
    <w:qFormat/>
    <w:uiPriority w:val="0"/>
    <w:pPr>
      <w:adjustRightInd w:val="0"/>
      <w:snapToGrid w:val="0"/>
      <w:spacing w:line="480" w:lineRule="exact"/>
      <w:jc w:val="center"/>
    </w:pPr>
    <w:rPr>
      <w:rFonts w:ascii="Times New Roman"/>
      <w:kern w:val="0"/>
      <w:sz w:val="28"/>
      <w:szCs w:val="28"/>
    </w:rPr>
  </w:style>
  <w:style w:type="paragraph" w:customStyle="1" w:styleId="3745">
    <w:name w:val="索引 71"/>
    <w:basedOn w:val="1"/>
    <w:next w:val="1"/>
    <w:qFormat/>
    <w:uiPriority w:val="0"/>
    <w:pPr>
      <w:spacing w:line="440" w:lineRule="exact"/>
      <w:ind w:left="1750" w:hanging="250" w:firstLineChars="200"/>
      <w:jc w:val="left"/>
    </w:pPr>
    <w:rPr>
      <w:rFonts w:ascii="ˎ̥" w:hAnsi="ˎ̥" w:eastAsia="仿宋体" w:cs="ˎ̥"/>
      <w:spacing w:val="5"/>
      <w:sz w:val="20"/>
      <w:szCs w:val="20"/>
    </w:rPr>
  </w:style>
  <w:style w:type="paragraph" w:customStyle="1" w:styleId="3746">
    <w:name w:val="author"/>
    <w:basedOn w:val="1"/>
    <w:qFormat/>
    <w:uiPriority w:val="0"/>
    <w:pPr>
      <w:widowControl/>
      <w:pBdr>
        <w:top w:val="single" w:color="DDDDEE" w:sz="6" w:space="5"/>
      </w:pBdr>
      <w:shd w:val="clear" w:color="auto" w:fill="EEEEFF"/>
      <w:spacing w:before="100" w:beforeAutospacing="1" w:after="100" w:afterAutospacing="1"/>
      <w:jc w:val="left"/>
    </w:pPr>
    <w:rPr>
      <w:rFonts w:hAnsi="宋体" w:cs="宋体"/>
      <w:kern w:val="0"/>
      <w:sz w:val="24"/>
      <w:szCs w:val="24"/>
    </w:rPr>
  </w:style>
  <w:style w:type="paragraph" w:customStyle="1" w:styleId="3747">
    <w:name w:val="Char Char Char Char Char2 Char Char Char Char3"/>
    <w:basedOn w:val="1"/>
    <w:qFormat/>
    <w:uiPriority w:val="0"/>
    <w:pPr>
      <w:adjustRightInd w:val="0"/>
      <w:snapToGrid w:val="0"/>
      <w:spacing w:line="360" w:lineRule="auto"/>
      <w:ind w:firstLine="200" w:firstLineChars="200"/>
    </w:pPr>
    <w:rPr>
      <w:rFonts w:hAnsi="宋体" w:cs="宋体"/>
      <w:sz w:val="24"/>
      <w:szCs w:val="26"/>
    </w:rPr>
  </w:style>
  <w:style w:type="paragraph" w:customStyle="1" w:styleId="3748">
    <w:name w:val="正文9"/>
    <w:qFormat/>
    <w:uiPriority w:val="0"/>
    <w:pPr>
      <w:widowControl w:val="0"/>
      <w:adjustRightInd w:val="0"/>
      <w:spacing w:line="312" w:lineRule="atLeast"/>
      <w:jc w:val="both"/>
      <w:textAlignment w:val="baseline"/>
    </w:pPr>
    <w:rPr>
      <w:rFonts w:ascii="Arial" w:hAnsi="Calibri" w:eastAsia="楷体_GB2312" w:cs="Times New Roman"/>
      <w:spacing w:val="-6"/>
      <w:sz w:val="28"/>
      <w:lang w:val="en-US" w:eastAsia="zh-CN" w:bidi="ar-SA"/>
    </w:rPr>
  </w:style>
  <w:style w:type="paragraph" w:customStyle="1" w:styleId="3749">
    <w:name w:val="标题2-1"/>
    <w:basedOn w:val="4"/>
    <w:qFormat/>
    <w:uiPriority w:val="0"/>
    <w:pPr>
      <w:tabs>
        <w:tab w:val="left" w:pos="992"/>
      </w:tabs>
      <w:spacing w:before="0" w:after="0" w:line="500" w:lineRule="exact"/>
      <w:ind w:left="992" w:hanging="567"/>
    </w:pPr>
    <w:rPr>
      <w:rFonts w:ascii="宋体" w:hAnsi="宋体"/>
      <w:bCs w:val="0"/>
      <w:snapToGrid/>
      <w:color w:val="339966"/>
      <w:kern w:val="44"/>
      <w:sz w:val="24"/>
      <w:szCs w:val="44"/>
    </w:rPr>
  </w:style>
  <w:style w:type="paragraph" w:customStyle="1" w:styleId="3750">
    <w:name w:val="Normal2"/>
    <w:basedOn w:val="1"/>
    <w:qFormat/>
    <w:uiPriority w:val="0"/>
    <w:pPr>
      <w:adjustRightInd w:val="0"/>
      <w:spacing w:line="480" w:lineRule="exact"/>
      <w:textAlignment w:val="baseline"/>
    </w:pPr>
    <w:rPr>
      <w:rFonts w:ascii="Batang" w:hAnsi="Batang" w:cs="Batang"/>
      <w:spacing w:val="-2"/>
      <w:kern w:val="0"/>
      <w:sz w:val="28"/>
      <w:szCs w:val="20"/>
    </w:rPr>
  </w:style>
  <w:style w:type="paragraph" w:customStyle="1" w:styleId="3751">
    <w:name w:val="报告书三级"/>
    <w:basedOn w:val="5"/>
    <w:qFormat/>
    <w:uiPriority w:val="0"/>
    <w:pPr>
      <w:tabs>
        <w:tab w:val="left" w:pos="0"/>
        <w:tab w:val="left" w:pos="1571"/>
      </w:tabs>
      <w:snapToGrid w:val="0"/>
      <w:spacing w:before="0" w:after="0" w:line="360" w:lineRule="auto"/>
    </w:pPr>
    <w:rPr>
      <w:rFonts w:cs="宋体"/>
      <w:sz w:val="24"/>
      <w:szCs w:val="20"/>
    </w:rPr>
  </w:style>
  <w:style w:type="paragraph" w:customStyle="1" w:styleId="3752">
    <w:name w:val="段落2"/>
    <w:basedOn w:val="1"/>
    <w:qFormat/>
    <w:uiPriority w:val="0"/>
    <w:pPr>
      <w:adjustRightInd w:val="0"/>
      <w:spacing w:line="440" w:lineRule="atLeast"/>
    </w:pPr>
    <w:rPr>
      <w:rFonts w:ascii="Times New Roman"/>
      <w:spacing w:val="6"/>
      <w:sz w:val="28"/>
      <w:szCs w:val="20"/>
    </w:rPr>
  </w:style>
  <w:style w:type="paragraph" w:customStyle="1" w:styleId="3753">
    <w:name w:val="区划正文"/>
    <w:basedOn w:val="1"/>
    <w:qFormat/>
    <w:uiPriority w:val="0"/>
    <w:pPr>
      <w:snapToGrid w:val="0"/>
      <w:spacing w:line="440" w:lineRule="exact"/>
      <w:ind w:firstLine="200" w:firstLineChars="200"/>
    </w:pPr>
    <w:rPr>
      <w:rFonts w:ascii="Arial Unicode MS" w:hAnsi="Arial Unicode MS" w:cs="Sim Sun"/>
      <w:sz w:val="21"/>
      <w:szCs w:val="20"/>
    </w:rPr>
  </w:style>
  <w:style w:type="paragraph" w:customStyle="1" w:styleId="3754">
    <w:name w:val="样式 正文首行缩进 + 首行缩进:  0 厘米"/>
    <w:basedOn w:val="230"/>
    <w:qFormat/>
    <w:uiPriority w:val="0"/>
    <w:pPr>
      <w:spacing w:after="0" w:line="240" w:lineRule="exact"/>
      <w:ind w:firstLine="0" w:firstLineChars="0"/>
      <w:jc w:val="left"/>
    </w:pPr>
    <w:rPr>
      <w:rFonts w:ascii="Sim Sun" w:hAnsi="Sim Sun" w:cs="Sim Sun"/>
    </w:rPr>
  </w:style>
  <w:style w:type="paragraph" w:customStyle="1" w:styleId="3755">
    <w:name w:val="Char Char Char Char Char Char Char Char Char Char Char Char Char Char Char1 Char Char Char Char Char Char Char Char Char Char1"/>
    <w:basedOn w:val="5"/>
    <w:qFormat/>
    <w:uiPriority w:val="0"/>
    <w:pPr>
      <w:tabs>
        <w:tab w:val="left" w:pos="0"/>
        <w:tab w:val="left" w:pos="1571"/>
      </w:tabs>
      <w:spacing w:line="240" w:lineRule="atLeast"/>
      <w:jc w:val="left"/>
    </w:pPr>
    <w:rPr>
      <w:kern w:val="0"/>
      <w:sz w:val="24"/>
      <w:szCs w:val="21"/>
    </w:rPr>
  </w:style>
  <w:style w:type="paragraph" w:customStyle="1" w:styleId="3756">
    <w:name w:val="xl46"/>
    <w:basedOn w:val="1"/>
    <w:qFormat/>
    <w:uiPriority w:val="0"/>
    <w:pPr>
      <w:widowControl/>
      <w:pBdr>
        <w:bottom w:val="single" w:color="auto" w:sz="4" w:space="0"/>
        <w:right w:val="single" w:color="auto" w:sz="4" w:space="0"/>
      </w:pBdr>
      <w:spacing w:before="100" w:beforeAutospacing="1" w:after="100" w:afterAutospacing="1"/>
      <w:jc w:val="center"/>
    </w:pPr>
    <w:rPr>
      <w:rFonts w:ascii="Verdana" w:hAnsi="Verdana" w:eastAsia="黑体" w:cs="黑体"/>
      <w:b/>
      <w:bCs/>
      <w:kern w:val="0"/>
      <w:sz w:val="20"/>
      <w:szCs w:val="20"/>
    </w:rPr>
  </w:style>
  <w:style w:type="paragraph" w:customStyle="1" w:styleId="3757">
    <w:name w:val="可研正文k"/>
    <w:basedOn w:val="1"/>
    <w:next w:val="1"/>
    <w:qFormat/>
    <w:uiPriority w:val="0"/>
    <w:pPr>
      <w:spacing w:line="360" w:lineRule="auto"/>
      <w:ind w:firstLine="420" w:firstLineChars="200"/>
    </w:pPr>
    <w:rPr>
      <w:rFonts w:ascii="ˎ̥" w:hAnsi="ˎ̥" w:eastAsia="FLGPEK+TimesNewRoman,Italic" w:cs="ˎ̥"/>
      <w:color w:val="000000"/>
      <w:kern w:val="0"/>
      <w:sz w:val="28"/>
      <w:szCs w:val="20"/>
    </w:rPr>
  </w:style>
  <w:style w:type="paragraph" w:customStyle="1" w:styleId="3758">
    <w:name w:val="Char4 Char Char Char1"/>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759">
    <w:name w:val="样式 样式 标题 2节标题1.1Se节标题 1.11.1标题2W21.1标题 2标题 2 Char Char Char... +..."/>
    <w:basedOn w:val="1"/>
    <w:qFormat/>
    <w:uiPriority w:val="0"/>
    <w:pPr>
      <w:keepNext/>
      <w:keepLines/>
      <w:spacing w:line="500" w:lineRule="exact"/>
      <w:jc w:val="left"/>
      <w:outlineLvl w:val="1"/>
    </w:pPr>
    <w:rPr>
      <w:rFonts w:ascii="黑体" w:eastAsia="黑体" w:cs="宋体"/>
      <w:b/>
      <w:bCs/>
      <w:sz w:val="28"/>
      <w:szCs w:val="20"/>
    </w:rPr>
  </w:style>
  <w:style w:type="paragraph" w:customStyle="1" w:styleId="3760">
    <w:name w:val="样式 标题 1 + 段前: 0 磅 段后: 0 磅 行距: 1.5 倍行距"/>
    <w:basedOn w:val="3"/>
    <w:qFormat/>
    <w:uiPriority w:val="0"/>
    <w:pPr>
      <w:pageBreakBefore/>
      <w:tabs>
        <w:tab w:val="left" w:pos="425"/>
      </w:tabs>
      <w:spacing w:beforeLines="0"/>
      <w:ind w:left="425" w:hanging="425"/>
    </w:pPr>
    <w:rPr>
      <w:rFonts w:eastAsia="宋体"/>
      <w:b/>
      <w:snapToGrid/>
      <w:kern w:val="2"/>
      <w:sz w:val="32"/>
    </w:rPr>
  </w:style>
  <w:style w:type="paragraph" w:customStyle="1" w:styleId="3761">
    <w:name w:val="Char Char7 Char Char Char4"/>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762">
    <w:name w:val="样式 样式 标题 2 + 宋体 行距: 固定值 30 磅 + 行距: 1.5 倍行距"/>
    <w:basedOn w:val="1240"/>
    <w:qFormat/>
    <w:uiPriority w:val="0"/>
    <w:pPr>
      <w:widowControl w:val="0"/>
      <w:numPr>
        <w:ilvl w:val="1"/>
        <w:numId w:val="4"/>
      </w:numPr>
      <w:tabs>
        <w:tab w:val="left" w:pos="992"/>
        <w:tab w:val="clear" w:pos="975"/>
      </w:tabs>
      <w:jc w:val="both"/>
    </w:pPr>
    <w:rPr>
      <w:rFonts w:cs="宋体"/>
      <w:smallCaps w:val="0"/>
    </w:rPr>
  </w:style>
  <w:style w:type="paragraph" w:customStyle="1" w:styleId="3763">
    <w:name w:val="样式 标题 2节标题 1.11.1标题2h2l22nd levelTitre2Header 2节H2Head..."/>
    <w:basedOn w:val="4"/>
    <w:qFormat/>
    <w:uiPriority w:val="0"/>
    <w:pPr>
      <w:tabs>
        <w:tab w:val="left" w:pos="992"/>
      </w:tabs>
      <w:ind w:left="992" w:hanging="567"/>
    </w:pPr>
    <w:rPr>
      <w:rFonts w:ascii="Arial" w:hAnsi="Arial" w:eastAsia="黑体"/>
      <w:snapToGrid/>
    </w:rPr>
  </w:style>
  <w:style w:type="paragraph" w:customStyle="1" w:styleId="3764">
    <w:name w:val="105v"/>
    <w:basedOn w:val="1"/>
    <w:qFormat/>
    <w:uiPriority w:val="0"/>
    <w:pPr>
      <w:widowControl/>
      <w:spacing w:before="100" w:beforeAutospacing="1" w:after="100" w:afterAutospacing="1"/>
      <w:jc w:val="left"/>
    </w:pPr>
    <w:rPr>
      <w:rFonts w:hAnsi="宋体" w:cs="宋体"/>
      <w:kern w:val="0"/>
      <w:sz w:val="21"/>
      <w:szCs w:val="21"/>
    </w:rPr>
  </w:style>
  <w:style w:type="paragraph" w:customStyle="1" w:styleId="3765">
    <w:name w:val="样式 正文缩进正文（首行缩进两字）正文（首行缩进两字） Char Char Char Char Char Char Char..."/>
    <w:basedOn w:val="20"/>
    <w:semiHidden/>
    <w:qFormat/>
    <w:uiPriority w:val="0"/>
    <w:pPr>
      <w:tabs>
        <w:tab w:val="left" w:pos="3360"/>
      </w:tabs>
      <w:adjustRightInd w:val="0"/>
      <w:snapToGrid w:val="0"/>
      <w:spacing w:line="360" w:lineRule="auto"/>
      <w:ind w:firstLine="480" w:firstLineChars="200"/>
    </w:pPr>
    <w:rPr>
      <w:rFonts w:ascii="楷体_GB2312" w:eastAsia="楷体_GB2312"/>
      <w:snapToGrid/>
      <w:kern w:val="0"/>
      <w:sz w:val="24"/>
    </w:rPr>
  </w:style>
  <w:style w:type="paragraph" w:customStyle="1" w:styleId="3766">
    <w:name w:val="基准脚注"/>
    <w:basedOn w:val="1"/>
    <w:qFormat/>
    <w:uiPriority w:val="0"/>
    <w:pPr>
      <w:widowControl/>
      <w:jc w:val="left"/>
    </w:pPr>
    <w:rPr>
      <w:rFonts w:ascii="幼圆" w:hAnsi="幼圆" w:cs="Batang"/>
      <w:kern w:val="0"/>
      <w:sz w:val="24"/>
      <w:szCs w:val="20"/>
    </w:rPr>
  </w:style>
  <w:style w:type="paragraph" w:customStyle="1" w:styleId="3767">
    <w:name w:val="文本框五号 Char"/>
    <w:semiHidden/>
    <w:qFormat/>
    <w:uiPriority w:val="0"/>
    <w:pPr>
      <w:jc w:val="center"/>
    </w:pPr>
    <w:rPr>
      <w:rFonts w:ascii="Calibri" w:hAnsi="Calibri" w:eastAsia="仿宋_GB2312" w:cs="Times New Roman"/>
      <w:kern w:val="2"/>
      <w:sz w:val="21"/>
      <w:szCs w:val="21"/>
      <w:lang w:val="en-US" w:eastAsia="zh-CN" w:bidi="ar-SA"/>
    </w:rPr>
  </w:style>
  <w:style w:type="paragraph" w:customStyle="1" w:styleId="3768">
    <w:name w:val="Char Char11 Char Char Char Char1"/>
    <w:basedOn w:val="1"/>
    <w:next w:val="1"/>
    <w:qFormat/>
    <w:uiPriority w:val="0"/>
    <w:pPr>
      <w:spacing w:line="360" w:lineRule="auto"/>
      <w:ind w:firstLine="200" w:firstLineChars="200"/>
    </w:pPr>
    <w:rPr>
      <w:rFonts w:hAnsi="宋体" w:cs="宋体"/>
      <w:sz w:val="24"/>
      <w:szCs w:val="24"/>
    </w:rPr>
  </w:style>
  <w:style w:type="paragraph" w:customStyle="1" w:styleId="3769">
    <w:name w:val="CM51"/>
    <w:basedOn w:val="154"/>
    <w:next w:val="154"/>
    <w:qFormat/>
    <w:uiPriority w:val="0"/>
    <w:rPr>
      <w:rFonts w:ascii="宋体" w:hAnsi="Calibri" w:eastAsia="宋体" w:cs="Times New Roman"/>
      <w:color w:val="auto"/>
      <w:kern w:val="2"/>
    </w:rPr>
  </w:style>
  <w:style w:type="paragraph" w:customStyle="1" w:styleId="3770">
    <w:name w:val="正文文本 33"/>
    <w:basedOn w:val="1"/>
    <w:qFormat/>
    <w:uiPriority w:val="0"/>
    <w:pPr>
      <w:snapToGrid w:val="0"/>
      <w:spacing w:beforeLines="20" w:afterLines="20" w:line="240" w:lineRule="atLeast"/>
      <w:jc w:val="right"/>
    </w:pPr>
    <w:rPr>
      <w:rFonts w:ascii="Times New Roman"/>
      <w:sz w:val="24"/>
      <w:szCs w:val="24"/>
    </w:rPr>
  </w:style>
  <w:style w:type="paragraph" w:customStyle="1" w:styleId="3771">
    <w:name w:val="TOCI"/>
    <w:basedOn w:val="154"/>
    <w:next w:val="154"/>
    <w:qFormat/>
    <w:uiPriority w:val="0"/>
    <w:rPr>
      <w:rFonts w:ascii="Sim Sun" w:hAnsi="Batang" w:eastAsia="宋体" w:cs="Batang"/>
      <w:color w:val="auto"/>
      <w:kern w:val="2"/>
    </w:rPr>
  </w:style>
  <w:style w:type="paragraph" w:customStyle="1" w:styleId="3772">
    <w:name w:val="样式 小四 段前: 7.8 磅 段后: 7.8 磅 行距: 1.5 倍行距"/>
    <w:basedOn w:val="1"/>
    <w:qFormat/>
    <w:uiPriority w:val="0"/>
    <w:pPr>
      <w:spacing w:line="360" w:lineRule="auto"/>
      <w:ind w:firstLine="480" w:firstLineChars="200"/>
    </w:pPr>
    <w:rPr>
      <w:rFonts w:ascii="Times New Roman"/>
      <w:sz w:val="24"/>
      <w:szCs w:val="24"/>
    </w:rPr>
  </w:style>
  <w:style w:type="paragraph" w:customStyle="1" w:styleId="3773">
    <w:name w:val="样式 仿宋_GB2312 小四1"/>
    <w:basedOn w:val="1"/>
    <w:semiHidden/>
    <w:qFormat/>
    <w:uiPriority w:val="0"/>
    <w:pPr>
      <w:adjustRightInd w:val="0"/>
      <w:spacing w:line="360" w:lineRule="auto"/>
      <w:ind w:firstLine="480" w:firstLineChars="200"/>
    </w:pPr>
    <w:rPr>
      <w:rFonts w:ascii="Times New Roman" w:eastAsia="仿宋_GB2312"/>
      <w:kern w:val="0"/>
      <w:sz w:val="24"/>
      <w:szCs w:val="24"/>
    </w:rPr>
  </w:style>
  <w:style w:type="paragraph" w:customStyle="1" w:styleId="3774">
    <w:name w:val="样式 标题 1 + 小三 非加粗"/>
    <w:basedOn w:val="3"/>
    <w:qFormat/>
    <w:uiPriority w:val="0"/>
    <w:pPr>
      <w:tabs>
        <w:tab w:val="left" w:pos="180"/>
        <w:tab w:val="left" w:pos="425"/>
      </w:tabs>
      <w:spacing w:beforeLines="70" w:afterLines="70"/>
      <w:ind w:left="425" w:hanging="425"/>
      <w:contextualSpacing/>
      <w:jc w:val="left"/>
      <w:textAlignment w:val="baseline"/>
    </w:pPr>
    <w:rPr>
      <w:rFonts w:ascii="宋体" w:hAnsi="宋体" w:eastAsia="宋体"/>
      <w:iCs/>
      <w:sz w:val="30"/>
      <w:szCs w:val="28"/>
    </w:rPr>
  </w:style>
  <w:style w:type="paragraph" w:customStyle="1" w:styleId="3775">
    <w:name w:val="条文1"/>
    <w:basedOn w:val="1"/>
    <w:qFormat/>
    <w:uiPriority w:val="0"/>
    <w:pPr>
      <w:widowControl/>
      <w:autoSpaceDE w:val="0"/>
      <w:autoSpaceDN w:val="0"/>
      <w:adjustRightInd w:val="0"/>
      <w:spacing w:line="460" w:lineRule="exact"/>
      <w:ind w:left="907" w:hanging="425" w:firstLineChars="200"/>
      <w:textAlignment w:val="bottom"/>
    </w:pPr>
    <w:rPr>
      <w:rFonts w:ascii="Sim Sun" w:hAnsi="幼圆" w:cs="Vladimir Script"/>
      <w:spacing w:val="3"/>
      <w:kern w:val="24"/>
      <w:sz w:val="26"/>
      <w:szCs w:val="20"/>
    </w:rPr>
  </w:style>
  <w:style w:type="paragraph" w:customStyle="1" w:styleId="3776">
    <w:name w:val="样式 小四 Char"/>
    <w:basedOn w:val="1"/>
    <w:qFormat/>
    <w:uiPriority w:val="0"/>
    <w:pPr>
      <w:adjustRightInd w:val="0"/>
      <w:spacing w:line="480" w:lineRule="atLeast"/>
      <w:ind w:firstLine="510"/>
      <w:textAlignment w:val="baseline"/>
    </w:pPr>
    <w:rPr>
      <w:rFonts w:ascii="Times New Roman"/>
      <w:kern w:val="0"/>
      <w:sz w:val="24"/>
      <w:szCs w:val="21"/>
    </w:rPr>
  </w:style>
  <w:style w:type="paragraph" w:customStyle="1" w:styleId="3777">
    <w:name w:val="字元 字元 Char Char 字元 字元1 Char Char Char"/>
    <w:basedOn w:val="1"/>
    <w:qFormat/>
    <w:uiPriority w:val="0"/>
    <w:rPr>
      <w:rFonts w:ascii="Times New Roman"/>
      <w:sz w:val="24"/>
      <w:szCs w:val="24"/>
    </w:rPr>
  </w:style>
  <w:style w:type="paragraph" w:customStyle="1" w:styleId="3778">
    <w:name w:val="内部地址姓名"/>
    <w:basedOn w:val="1"/>
    <w:qFormat/>
    <w:uiPriority w:val="0"/>
    <w:pPr>
      <w:widowControl/>
      <w:ind w:left="1080"/>
      <w:jc w:val="left"/>
    </w:pPr>
    <w:rPr>
      <w:rFonts w:ascii="Times New Roman"/>
      <w:kern w:val="0"/>
      <w:sz w:val="20"/>
      <w:szCs w:val="20"/>
    </w:rPr>
  </w:style>
  <w:style w:type="paragraph" w:customStyle="1" w:styleId="3779">
    <w:name w:val="字元 字元 Char Char 字元 字元1 Char Char Char1"/>
    <w:basedOn w:val="1"/>
    <w:qFormat/>
    <w:uiPriority w:val="0"/>
    <w:rPr>
      <w:rFonts w:ascii="Times New Roman"/>
      <w:sz w:val="24"/>
      <w:szCs w:val="24"/>
    </w:rPr>
  </w:style>
  <w:style w:type="paragraph" w:customStyle="1" w:styleId="3780">
    <w:name w:val="图表名zw"/>
    <w:basedOn w:val="32"/>
    <w:qFormat/>
    <w:uiPriority w:val="0"/>
    <w:pPr>
      <w:adjustRightInd w:val="0"/>
      <w:snapToGrid w:val="0"/>
      <w:spacing w:before="131" w:after="0"/>
      <w:jc w:val="center"/>
    </w:pPr>
    <w:rPr>
      <w:rFonts w:ascii="Times New Roman" w:hAnsi="Courier New" w:cs="Courier New"/>
      <w:kern w:val="0"/>
      <w:sz w:val="24"/>
      <w:szCs w:val="24"/>
    </w:rPr>
  </w:style>
  <w:style w:type="paragraph" w:customStyle="1" w:styleId="3781">
    <w:name w:val="默认段落字体 Para Char Char Char1 Char"/>
    <w:basedOn w:val="1"/>
    <w:qFormat/>
    <w:uiPriority w:val="0"/>
    <w:pPr>
      <w:spacing w:line="240" w:lineRule="atLeast"/>
      <w:ind w:left="420" w:firstLine="420"/>
    </w:pPr>
    <w:rPr>
      <w:rFonts w:ascii="Times New Roman"/>
      <w:kern w:val="0"/>
      <w:sz w:val="21"/>
      <w:szCs w:val="21"/>
    </w:rPr>
  </w:style>
  <w:style w:type="paragraph" w:customStyle="1" w:styleId="3782">
    <w:name w:val="表标题3.1"/>
    <w:basedOn w:val="1"/>
    <w:qFormat/>
    <w:uiPriority w:val="0"/>
    <w:pPr>
      <w:tabs>
        <w:tab w:val="left" w:pos="1280"/>
      </w:tabs>
      <w:spacing w:before="240" w:line="0" w:lineRule="atLeast"/>
      <w:jc w:val="center"/>
    </w:pPr>
    <w:rPr>
      <w:rFonts w:ascii="Times New Roman" w:eastAsia="黑体"/>
      <w:b/>
      <w:sz w:val="24"/>
      <w:szCs w:val="24"/>
    </w:rPr>
  </w:style>
  <w:style w:type="paragraph" w:customStyle="1" w:styleId="3783">
    <w:name w:val="Char Char Char1 Char3"/>
    <w:basedOn w:val="1"/>
    <w:next w:val="1"/>
    <w:qFormat/>
    <w:uiPriority w:val="0"/>
    <w:pPr>
      <w:spacing w:line="360" w:lineRule="auto"/>
      <w:ind w:firstLine="200" w:firstLineChars="200"/>
    </w:pPr>
    <w:rPr>
      <w:rFonts w:hAnsi="宋体" w:eastAsia="汉鼎简书宋" w:cs="宋体"/>
      <w:sz w:val="24"/>
      <w:szCs w:val="24"/>
    </w:rPr>
  </w:style>
  <w:style w:type="paragraph" w:customStyle="1" w:styleId="3784">
    <w:name w:val="样式 表格 + 五号1"/>
    <w:basedOn w:val="1"/>
    <w:qFormat/>
    <w:uiPriority w:val="0"/>
    <w:pPr>
      <w:spacing w:line="400" w:lineRule="exact"/>
      <w:ind w:firstLine="200" w:firstLineChars="200"/>
      <w:jc w:val="center"/>
    </w:pPr>
    <w:rPr>
      <w:rFonts w:ascii="Arial Unicode MS" w:hAnsi="Arial Unicode MS" w:cs="Vladimir Script"/>
      <w:sz w:val="21"/>
      <w:szCs w:val="21"/>
    </w:rPr>
  </w:style>
  <w:style w:type="paragraph" w:customStyle="1" w:styleId="3785">
    <w:name w:val="目录2"/>
    <w:basedOn w:val="70"/>
    <w:next w:val="1"/>
    <w:semiHidden/>
    <w:qFormat/>
    <w:uiPriority w:val="0"/>
    <w:pPr>
      <w:widowControl/>
      <w:tabs>
        <w:tab w:val="left" w:leader="dot" w:pos="8492"/>
      </w:tabs>
      <w:adjustRightInd w:val="0"/>
      <w:spacing w:beforeLines="50" w:line="500" w:lineRule="exact"/>
      <w:ind w:left="0" w:firstLine="420" w:firstLineChars="200"/>
      <w:jc w:val="both"/>
    </w:pPr>
    <w:rPr>
      <w:rFonts w:ascii="宋体" w:hAnsi="Arial" w:cs="Calibri"/>
      <w:b/>
      <w:bCs/>
      <w:smallCaps w:val="0"/>
      <w:color w:val="000000"/>
      <w:sz w:val="24"/>
      <w:szCs w:val="24"/>
      <w:u w:color="000000"/>
    </w:rPr>
  </w:style>
  <w:style w:type="paragraph" w:customStyle="1" w:styleId="3786">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Wingdings" w:hAnsi="Wingdings"/>
      <w:kern w:val="0"/>
      <w:sz w:val="24"/>
      <w:szCs w:val="24"/>
    </w:rPr>
  </w:style>
  <w:style w:type="paragraph" w:customStyle="1" w:styleId="3787">
    <w:name w:val="表内59"/>
    <w:basedOn w:val="1"/>
    <w:qFormat/>
    <w:uiPriority w:val="0"/>
    <w:pPr>
      <w:adjustRightInd w:val="0"/>
      <w:snapToGrid w:val="0"/>
      <w:jc w:val="center"/>
    </w:pPr>
    <w:rPr>
      <w:rFonts w:ascii="Times New Roman"/>
      <w:sz w:val="21"/>
      <w:szCs w:val="20"/>
    </w:rPr>
  </w:style>
  <w:style w:type="paragraph" w:customStyle="1" w:styleId="3788">
    <w:name w:val="Char Char Char Char Char Char Char Char Char Char Char Char Char Char Char Char Char Char1 Char Char Char Char"/>
    <w:basedOn w:val="1"/>
    <w:qFormat/>
    <w:uiPriority w:val="0"/>
    <w:rPr>
      <w:rFonts w:ascii="Times New Roman"/>
      <w:sz w:val="21"/>
      <w:szCs w:val="24"/>
    </w:rPr>
  </w:style>
  <w:style w:type="paragraph" w:customStyle="1" w:styleId="3789">
    <w:name w:val="样式 样式6 + 首行缩进:  2 字符"/>
    <w:basedOn w:val="678"/>
    <w:qFormat/>
    <w:uiPriority w:val="0"/>
    <w:pPr>
      <w:tabs>
        <w:tab w:val="left" w:pos="2150"/>
      </w:tabs>
      <w:snapToGrid/>
      <w:spacing w:line="360" w:lineRule="auto"/>
      <w:ind w:left="2150" w:firstLine="200" w:firstLineChars="200"/>
      <w:jc w:val="both"/>
    </w:pPr>
    <w:rPr>
      <w:rFonts w:ascii="Times New Roman" w:hAnsi="Calibri" w:cs="宋体"/>
      <w:szCs w:val="20"/>
    </w:rPr>
  </w:style>
  <w:style w:type="paragraph" w:customStyle="1" w:styleId="3790">
    <w:name w:val="表格下方正文"/>
    <w:basedOn w:val="1"/>
    <w:qFormat/>
    <w:uiPriority w:val="0"/>
    <w:pPr>
      <w:spacing w:before="400" w:line="460" w:lineRule="exact"/>
      <w:ind w:firstLine="200" w:firstLineChars="200"/>
    </w:pPr>
    <w:rPr>
      <w:rFonts w:ascii="Times New Roman"/>
      <w:kern w:val="0"/>
      <w:sz w:val="24"/>
      <w:szCs w:val="20"/>
    </w:rPr>
  </w:style>
  <w:style w:type="paragraph" w:customStyle="1" w:styleId="3791">
    <w:name w:val="==&gt;"/>
    <w:qFormat/>
    <w:uiPriority w:val="0"/>
    <w:pPr>
      <w:overflowPunct w:val="0"/>
      <w:autoSpaceDE w:val="0"/>
      <w:autoSpaceDN w:val="0"/>
      <w:adjustRightInd w:val="0"/>
    </w:pPr>
    <w:rPr>
      <w:rFonts w:ascii="Calibri" w:hAnsi="Calibri" w:eastAsia="宋体" w:cs="Times New Roman"/>
      <w:lang w:val="en-GB" w:eastAsia="zh-CN" w:bidi="ar-SA"/>
    </w:rPr>
  </w:style>
  <w:style w:type="paragraph" w:customStyle="1" w:styleId="3792">
    <w:name w:val="河石管道 表头"/>
    <w:qFormat/>
    <w:uiPriority w:val="0"/>
    <w:pPr>
      <w:spacing w:before="156" w:after="156"/>
      <w:jc w:val="center"/>
    </w:pPr>
    <w:rPr>
      <w:rFonts w:ascii="Calibri" w:hAnsi="Calibri" w:eastAsia="宋体" w:cs="Times New Roman"/>
      <w:bCs/>
      <w:sz w:val="21"/>
      <w:szCs w:val="21"/>
      <w:lang w:val="en-US" w:eastAsia="zh-CN" w:bidi="ar-SA"/>
    </w:rPr>
  </w:style>
  <w:style w:type="paragraph" w:customStyle="1" w:styleId="3793">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kern w:val="0"/>
      <w:sz w:val="18"/>
      <w:szCs w:val="18"/>
    </w:rPr>
  </w:style>
  <w:style w:type="paragraph" w:customStyle="1" w:styleId="3794">
    <w:name w:val="xl78"/>
    <w:basedOn w:val="1"/>
    <w:qFormat/>
    <w:uiPriority w:val="0"/>
    <w:pPr>
      <w:widowControl/>
      <w:pBdr>
        <w:left w:val="single" w:color="auto" w:sz="4" w:space="0"/>
        <w:bottom w:val="single" w:color="auto" w:sz="8" w:space="0"/>
      </w:pBdr>
      <w:spacing w:before="100" w:after="100"/>
      <w:jc w:val="center"/>
      <w:textAlignment w:val="center"/>
    </w:pPr>
    <w:rPr>
      <w:rFonts w:ascii="Batang" w:hAnsi="Batang" w:cs="Batang"/>
      <w:kern w:val="0"/>
      <w:sz w:val="24"/>
      <w:szCs w:val="24"/>
    </w:rPr>
  </w:style>
  <w:style w:type="paragraph" w:customStyle="1" w:styleId="3795">
    <w:name w:val="Char Char1 Char Char1 Char Char1 Char Char1 Char Char Char Char Char Char Char4"/>
    <w:basedOn w:val="1"/>
    <w:qFormat/>
    <w:uiPriority w:val="0"/>
    <w:rPr>
      <w:rFonts w:ascii="Times New Roman"/>
      <w:sz w:val="21"/>
      <w:szCs w:val="20"/>
    </w:rPr>
  </w:style>
  <w:style w:type="paragraph" w:customStyle="1" w:styleId="3796">
    <w:name w:val="章1"/>
    <w:basedOn w:val="1"/>
    <w:next w:val="1"/>
    <w:qFormat/>
    <w:uiPriority w:val="0"/>
    <w:pPr>
      <w:keepNext/>
      <w:snapToGrid w:val="0"/>
      <w:spacing w:beforeLines="150" w:afterLines="150" w:line="360" w:lineRule="auto"/>
      <w:outlineLvl w:val="0"/>
    </w:pPr>
    <w:rPr>
      <w:rFonts w:ascii="Calibri" w:hAnsi="Calibri"/>
      <w:b/>
      <w:color w:val="000000"/>
      <w:sz w:val="32"/>
      <w:szCs w:val="24"/>
    </w:rPr>
  </w:style>
  <w:style w:type="paragraph" w:customStyle="1" w:styleId="3797">
    <w:name w:val="样式 题注 + (西文) Times New Roman (中文) 宋体 小四 加粗 黑色 居中 段前: 3 磅 ..."/>
    <w:basedOn w:val="21"/>
    <w:qFormat/>
    <w:uiPriority w:val="0"/>
    <w:pPr>
      <w:adjustRightInd w:val="0"/>
      <w:spacing w:afterLines="100" w:line="360" w:lineRule="auto"/>
      <w:ind w:firstLine="200" w:firstLineChars="200"/>
      <w:jc w:val="center"/>
    </w:pPr>
    <w:rPr>
      <w:rFonts w:ascii="Vladimir Script" w:hAnsi="Vladimir Script" w:eastAsia="Vladimir Script" w:cs="Sim Sun"/>
      <w:b/>
      <w:bCs/>
      <w:color w:val="000000"/>
      <w:kern w:val="0"/>
      <w:sz w:val="24"/>
      <w:szCs w:val="22"/>
    </w:rPr>
  </w:style>
  <w:style w:type="paragraph" w:customStyle="1" w:styleId="3798">
    <w:name w:val="正文标题3"/>
    <w:basedOn w:val="5"/>
    <w:qFormat/>
    <w:uiPriority w:val="0"/>
    <w:pPr>
      <w:tabs>
        <w:tab w:val="left" w:pos="1571"/>
      </w:tabs>
      <w:spacing w:line="413" w:lineRule="auto"/>
      <w:ind w:left="1418" w:hanging="567"/>
    </w:pPr>
    <w:rPr>
      <w:bCs w:val="0"/>
      <w:sz w:val="32"/>
      <w:szCs w:val="20"/>
    </w:rPr>
  </w:style>
  <w:style w:type="paragraph" w:customStyle="1" w:styleId="3799">
    <w:name w:val="Char6 Char Char Char Char Char Char Char Char Char1"/>
    <w:basedOn w:val="1"/>
    <w:qFormat/>
    <w:uiPriority w:val="0"/>
    <w:pPr>
      <w:spacing w:line="440" w:lineRule="exact"/>
      <w:ind w:firstLine="200" w:firstLineChars="200"/>
    </w:pPr>
    <w:rPr>
      <w:rFonts w:ascii="Sim Sun" w:hAnsi="Sim Sun" w:cs="Vladimir Script"/>
      <w:color w:val="000000"/>
      <w:sz w:val="28"/>
      <w:szCs w:val="20"/>
    </w:rPr>
  </w:style>
  <w:style w:type="paragraph" w:customStyle="1" w:styleId="3800">
    <w:name w:val="样式 五号 黑色 居中 首行缩进:  23.65 磅 行距: 固定值 18 磅"/>
    <w:basedOn w:val="1"/>
    <w:qFormat/>
    <w:uiPriority w:val="0"/>
    <w:pPr>
      <w:shd w:val="clear" w:color="auto" w:fill="FFFFFF"/>
      <w:spacing w:line="360" w:lineRule="exact"/>
      <w:ind w:firstLine="473"/>
      <w:jc w:val="center"/>
    </w:pPr>
    <w:rPr>
      <w:rFonts w:ascii="Times New Roman" w:cs="宋体"/>
      <w:color w:val="000000"/>
      <w:sz w:val="21"/>
      <w:szCs w:val="21"/>
    </w:rPr>
  </w:style>
  <w:style w:type="paragraph" w:customStyle="1" w:styleId="3801">
    <w:name w:val="newstopic-h"/>
    <w:basedOn w:val="1"/>
    <w:qFormat/>
    <w:uiPriority w:val="0"/>
    <w:pPr>
      <w:widowControl/>
      <w:spacing w:before="100" w:beforeAutospacing="1" w:after="100" w:afterAutospacing="1"/>
    </w:pPr>
    <w:rPr>
      <w:rFonts w:ascii="Times New Roman"/>
      <w:b/>
      <w:color w:val="333333"/>
      <w:kern w:val="0"/>
      <w:sz w:val="21"/>
      <w:szCs w:val="20"/>
    </w:rPr>
  </w:style>
  <w:style w:type="paragraph" w:customStyle="1" w:styleId="3802">
    <w:name w:val="样式 样式 正文文本缩进 + 行距: 固定值 24 磅1 + 首行缩进:  2 字符"/>
    <w:basedOn w:val="1"/>
    <w:qFormat/>
    <w:uiPriority w:val="0"/>
    <w:pPr>
      <w:spacing w:line="480" w:lineRule="exact"/>
      <w:ind w:firstLine="480" w:firstLineChars="200"/>
    </w:pPr>
    <w:rPr>
      <w:rFonts w:hAnsi="宋体" w:cs="宋体"/>
      <w:sz w:val="24"/>
      <w:szCs w:val="20"/>
    </w:rPr>
  </w:style>
  <w:style w:type="paragraph" w:customStyle="1" w:styleId="3803">
    <w:name w:val="Char2 Char Char Char1 Char Char Char1"/>
    <w:basedOn w:val="1"/>
    <w:qFormat/>
    <w:uiPriority w:val="0"/>
    <w:pPr>
      <w:widowControl/>
      <w:spacing w:after="160" w:line="240" w:lineRule="exact"/>
      <w:jc w:val="left"/>
    </w:pPr>
    <w:rPr>
      <w:rFonts w:ascii="Arial" w:hAnsi="Arial"/>
      <w:spacing w:val="3"/>
      <w:kern w:val="0"/>
      <w:sz w:val="20"/>
      <w:szCs w:val="20"/>
      <w:lang w:eastAsia="en-US"/>
    </w:rPr>
  </w:style>
  <w:style w:type="paragraph" w:customStyle="1" w:styleId="3804">
    <w:name w:val="列表2"/>
    <w:basedOn w:val="1"/>
    <w:qFormat/>
    <w:uiPriority w:val="0"/>
    <w:pPr>
      <w:snapToGrid w:val="0"/>
      <w:spacing w:line="320" w:lineRule="exact"/>
      <w:ind w:firstLine="200" w:firstLineChars="200"/>
      <w:jc w:val="center"/>
    </w:pPr>
    <w:rPr>
      <w:rFonts w:ascii="Garamond" w:hAnsi="Arial Unicode MS" w:eastAsia="Garamond"/>
      <w:sz w:val="24"/>
      <w:szCs w:val="22"/>
    </w:rPr>
  </w:style>
  <w:style w:type="paragraph" w:customStyle="1" w:styleId="3805">
    <w:name w:val="连续正文文字"/>
    <w:basedOn w:val="32"/>
    <w:qFormat/>
    <w:uiPriority w:val="0"/>
    <w:pPr>
      <w:keepNext/>
      <w:widowControl/>
      <w:spacing w:after="220" w:line="220" w:lineRule="atLeast"/>
      <w:ind w:left="1080"/>
      <w:jc w:val="left"/>
    </w:pPr>
    <w:rPr>
      <w:rFonts w:ascii="Times New Roman"/>
      <w:kern w:val="0"/>
      <w:sz w:val="20"/>
      <w:szCs w:val="20"/>
    </w:rPr>
  </w:style>
  <w:style w:type="paragraph" w:customStyle="1" w:styleId="3806">
    <w:name w:val="正文文本缩进32"/>
    <w:basedOn w:val="1"/>
    <w:qFormat/>
    <w:uiPriority w:val="0"/>
    <w:pPr>
      <w:spacing w:line="360" w:lineRule="exact"/>
      <w:ind w:firstLine="480" w:firstLineChars="200"/>
    </w:pPr>
    <w:rPr>
      <w:rFonts w:ascii="Times New Roman"/>
      <w:sz w:val="21"/>
      <w:szCs w:val="20"/>
    </w:rPr>
  </w:style>
  <w:style w:type="paragraph" w:customStyle="1" w:styleId="3807">
    <w:name w:val="样式 样式 样式 正文@ + 首行缩进:  2 字符 字距调整小四 紧缩量  0.2 磅 + 首行缩进:  2 字符 + 黑色..."/>
    <w:basedOn w:val="1"/>
    <w:qFormat/>
    <w:uiPriority w:val="0"/>
    <w:pPr>
      <w:spacing w:line="440" w:lineRule="exact"/>
      <w:ind w:firstLine="502" w:firstLineChars="200"/>
    </w:pPr>
    <w:rPr>
      <w:rFonts w:hAnsi="宋体" w:cs="宋体"/>
      <w:color w:val="000000"/>
      <w:kern w:val="24"/>
      <w:sz w:val="24"/>
      <w:szCs w:val="20"/>
    </w:rPr>
  </w:style>
  <w:style w:type="paragraph" w:customStyle="1" w:styleId="3808">
    <w:name w:val="Char Char Char Char Char Char1 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3809">
    <w:name w:val="正文aa"/>
    <w:basedOn w:val="1"/>
    <w:qFormat/>
    <w:uiPriority w:val="0"/>
    <w:pPr>
      <w:spacing w:line="360" w:lineRule="auto"/>
      <w:ind w:firstLine="200" w:firstLineChars="200"/>
    </w:pPr>
    <w:rPr>
      <w:rFonts w:ascii="Times New Roman"/>
      <w:sz w:val="24"/>
      <w:szCs w:val="24"/>
    </w:rPr>
  </w:style>
  <w:style w:type="paragraph" w:customStyle="1" w:styleId="3810">
    <w:name w:val="样式 样式 标题 4款标题1.1.1.1标题 4 Char标题 4 Char CharL4 + 宋体 小四 非加粗1 + 段前:..."/>
    <w:basedOn w:val="3592"/>
    <w:qFormat/>
    <w:uiPriority w:val="0"/>
    <w:rPr>
      <w:rFonts w:cs="Sim Sun"/>
    </w:rPr>
  </w:style>
  <w:style w:type="paragraph" w:customStyle="1" w:styleId="3811">
    <w:name w:val="样式 Times New Roman 加粗 两端对齐 左侧:  0.85 厘米 行距: 固定值 22 磅"/>
    <w:basedOn w:val="1"/>
    <w:qFormat/>
    <w:uiPriority w:val="0"/>
    <w:pPr>
      <w:widowControl/>
      <w:spacing w:line="440" w:lineRule="exact"/>
      <w:ind w:firstLine="200" w:firstLineChars="200"/>
    </w:pPr>
    <w:rPr>
      <w:rFonts w:ascii="Times New Roman" w:cs="宋体"/>
      <w:b/>
      <w:bCs/>
      <w:kern w:val="0"/>
      <w:sz w:val="24"/>
      <w:szCs w:val="20"/>
    </w:rPr>
  </w:style>
  <w:style w:type="paragraph" w:customStyle="1" w:styleId="3812">
    <w:name w:val="公式样式1"/>
    <w:basedOn w:val="1"/>
    <w:qFormat/>
    <w:uiPriority w:val="0"/>
    <w:pPr>
      <w:jc w:val="center"/>
    </w:pPr>
    <w:rPr>
      <w:rFonts w:ascii="Times New Roman"/>
      <w:color w:val="000000"/>
      <w:sz w:val="21"/>
      <w:szCs w:val="24"/>
    </w:rPr>
  </w:style>
  <w:style w:type="paragraph" w:customStyle="1" w:styleId="3813">
    <w:name w:val="图表脚注"/>
    <w:next w:val="395"/>
    <w:qFormat/>
    <w:uiPriority w:val="0"/>
    <w:pPr>
      <w:ind w:left="200" w:leftChars="200" w:hanging="100" w:hangingChars="100"/>
      <w:jc w:val="both"/>
    </w:pPr>
    <w:rPr>
      <w:rFonts w:ascii="宋体" w:hAnsi="Calibri" w:eastAsia="宋体" w:cs="Times New Roman"/>
      <w:sz w:val="18"/>
      <w:lang w:val="en-US" w:eastAsia="zh-CN" w:bidi="ar-SA"/>
    </w:rPr>
  </w:style>
  <w:style w:type="paragraph" w:customStyle="1" w:styleId="3814">
    <w:name w:val="样式 样式 标题 3标题 3 Char Char Char Char标题 31 Char标题 32标题 3 Char Char...."/>
    <w:basedOn w:val="3634"/>
    <w:qFormat/>
    <w:uiPriority w:val="0"/>
    <w:pPr>
      <w:tabs>
        <w:tab w:val="left" w:pos="1080"/>
      </w:tabs>
      <w:ind w:left="1080"/>
    </w:pPr>
  </w:style>
  <w:style w:type="paragraph" w:customStyle="1" w:styleId="3815">
    <w:name w:val="样式 标题 1章标题Ch章标题 1章节标题b1heading 1H1Heading 1 (NN)文章标题-*..."/>
    <w:basedOn w:val="3"/>
    <w:qFormat/>
    <w:uiPriority w:val="0"/>
    <w:pPr>
      <w:tabs>
        <w:tab w:val="left" w:pos="425"/>
      </w:tabs>
      <w:spacing w:beforeLines="0" w:after="330" w:line="576" w:lineRule="auto"/>
      <w:ind w:left="425" w:hanging="425"/>
    </w:pPr>
    <w:rPr>
      <w:rFonts w:eastAsia="宋体"/>
      <w:b/>
      <w:snapToGrid/>
      <w:sz w:val="44"/>
      <w:szCs w:val="20"/>
    </w:rPr>
  </w:style>
  <w:style w:type="paragraph" w:customStyle="1" w:styleId="3816">
    <w:name w:val="reader-word-layer reader-word-s28-8 reader-word-s28-21"/>
    <w:basedOn w:val="1"/>
    <w:qFormat/>
    <w:uiPriority w:val="0"/>
    <w:pPr>
      <w:widowControl/>
      <w:spacing w:before="100" w:beforeAutospacing="1" w:after="100" w:afterAutospacing="1"/>
      <w:jc w:val="left"/>
    </w:pPr>
    <w:rPr>
      <w:rFonts w:hAnsi="宋体" w:cs="宋体"/>
      <w:kern w:val="0"/>
      <w:sz w:val="24"/>
      <w:szCs w:val="24"/>
    </w:rPr>
  </w:style>
  <w:style w:type="paragraph" w:customStyle="1" w:styleId="3817">
    <w:name w:val="日期21"/>
    <w:basedOn w:val="1"/>
    <w:next w:val="1"/>
    <w:qFormat/>
    <w:uiPriority w:val="0"/>
    <w:pPr>
      <w:adjustRightInd w:val="0"/>
      <w:spacing w:line="312" w:lineRule="atLeast"/>
      <w:ind w:firstLine="200" w:firstLineChars="200"/>
      <w:jc w:val="right"/>
    </w:pPr>
    <w:rPr>
      <w:rFonts w:ascii="Arial Unicode MS" w:hAnsi="Arial Unicode MS" w:cs="Vladimir Script"/>
      <w:kern w:val="0"/>
      <w:sz w:val="21"/>
      <w:szCs w:val="20"/>
    </w:rPr>
  </w:style>
  <w:style w:type="paragraph" w:customStyle="1" w:styleId="3818">
    <w:name w:val="法规"/>
    <w:basedOn w:val="1"/>
    <w:qFormat/>
    <w:uiPriority w:val="0"/>
    <w:pPr>
      <w:tabs>
        <w:tab w:val="left" w:pos="400"/>
      </w:tabs>
      <w:spacing w:line="440" w:lineRule="exact"/>
      <w:ind w:firstLine="400"/>
    </w:pPr>
    <w:rPr>
      <w:rFonts w:ascii="Times New Roman"/>
      <w:kern w:val="0"/>
      <w:szCs w:val="20"/>
    </w:rPr>
  </w:style>
  <w:style w:type="paragraph" w:customStyle="1" w:styleId="3819">
    <w:name w:val=".. 2"/>
    <w:basedOn w:val="154"/>
    <w:next w:val="154"/>
    <w:qFormat/>
    <w:uiPriority w:val="0"/>
    <w:pPr>
      <w:spacing w:before="260" w:after="260"/>
    </w:pPr>
    <w:rPr>
      <w:rFonts w:ascii="Sim Sun" w:hAnsi="Batang" w:eastAsia="宋体" w:cs="Batang"/>
      <w:color w:val="auto"/>
      <w:kern w:val="2"/>
    </w:rPr>
  </w:style>
  <w:style w:type="paragraph" w:customStyle="1" w:styleId="3820">
    <w:name w:val="批注主题2"/>
    <w:basedOn w:val="26"/>
    <w:next w:val="26"/>
    <w:qFormat/>
    <w:uiPriority w:val="0"/>
    <w:pPr>
      <w:spacing w:line="440" w:lineRule="exact"/>
      <w:ind w:firstLine="200" w:firstLineChars="200"/>
      <w:jc w:val="both"/>
    </w:pPr>
    <w:rPr>
      <w:rFonts w:ascii="Calibri" w:hAnsi="Calibri" w:cs="宋体"/>
      <w:b/>
      <w:bCs/>
      <w:sz w:val="21"/>
      <w:szCs w:val="22"/>
    </w:rPr>
  </w:style>
  <w:style w:type="paragraph" w:customStyle="1" w:styleId="3821">
    <w:name w:val="索引 31"/>
    <w:basedOn w:val="1"/>
    <w:next w:val="1"/>
    <w:qFormat/>
    <w:uiPriority w:val="0"/>
    <w:pPr>
      <w:spacing w:line="440" w:lineRule="exact"/>
      <w:ind w:left="750" w:hanging="250" w:firstLineChars="200"/>
      <w:jc w:val="left"/>
    </w:pPr>
    <w:rPr>
      <w:rFonts w:ascii="ˎ̥" w:hAnsi="ˎ̥" w:eastAsia="仿宋体" w:cs="ˎ̥"/>
      <w:spacing w:val="5"/>
      <w:sz w:val="20"/>
      <w:szCs w:val="20"/>
    </w:rPr>
  </w:style>
  <w:style w:type="paragraph" w:customStyle="1" w:styleId="3822">
    <w:name w:val="样式 标题 2标题21.1H2h2第一层条2Header 2nd PageA.B.C.h2 main head..."/>
    <w:basedOn w:val="4"/>
    <w:semiHidden/>
    <w:qFormat/>
    <w:uiPriority w:val="0"/>
    <w:pPr>
      <w:tabs>
        <w:tab w:val="left" w:pos="992"/>
      </w:tabs>
      <w:ind w:left="992" w:hanging="567"/>
    </w:pPr>
    <w:rPr>
      <w:rFonts w:ascii="Arial" w:hAnsi="Arial" w:eastAsia="黑体"/>
      <w:snapToGrid/>
    </w:rPr>
  </w:style>
  <w:style w:type="paragraph" w:customStyle="1" w:styleId="3823">
    <w:name w:val="主表"/>
    <w:basedOn w:val="1"/>
    <w:qFormat/>
    <w:uiPriority w:val="0"/>
    <w:pPr>
      <w:adjustRightInd w:val="0"/>
      <w:spacing w:line="360" w:lineRule="auto"/>
      <w:jc w:val="center"/>
      <w:textAlignment w:val="baseline"/>
    </w:pPr>
    <w:rPr>
      <w:rFonts w:ascii="Times New Roman" w:eastAsia="隶书"/>
      <w:b/>
      <w:bCs/>
      <w:sz w:val="28"/>
      <w:szCs w:val="20"/>
    </w:rPr>
  </w:style>
  <w:style w:type="paragraph" w:customStyle="1" w:styleId="3824">
    <w:name w:val="reader-word-layer reader-word-s22-14"/>
    <w:basedOn w:val="1"/>
    <w:qFormat/>
    <w:uiPriority w:val="0"/>
    <w:pPr>
      <w:widowControl/>
      <w:spacing w:before="100" w:beforeAutospacing="1" w:after="100" w:afterAutospacing="1"/>
      <w:jc w:val="left"/>
    </w:pPr>
    <w:rPr>
      <w:rFonts w:hAnsi="宋体" w:cs="宋体"/>
      <w:kern w:val="0"/>
      <w:sz w:val="24"/>
      <w:szCs w:val="24"/>
    </w:rPr>
  </w:style>
  <w:style w:type="paragraph" w:customStyle="1" w:styleId="3825">
    <w:name w:val="reader-word-layer reader-word-s21-6"/>
    <w:basedOn w:val="1"/>
    <w:qFormat/>
    <w:uiPriority w:val="0"/>
    <w:pPr>
      <w:widowControl/>
      <w:spacing w:before="100" w:beforeAutospacing="1" w:after="100" w:afterAutospacing="1"/>
      <w:jc w:val="left"/>
    </w:pPr>
    <w:rPr>
      <w:rFonts w:hAnsi="宋体" w:cs="宋体"/>
      <w:kern w:val="0"/>
      <w:sz w:val="24"/>
      <w:szCs w:val="24"/>
    </w:rPr>
  </w:style>
  <w:style w:type="paragraph" w:customStyle="1" w:styleId="3826">
    <w:name w:val="部分题目"/>
    <w:basedOn w:val="1610"/>
    <w:next w:val="2863"/>
    <w:qFormat/>
    <w:uiPriority w:val="0"/>
    <w:pPr>
      <w:keepNext/>
      <w:keepLines/>
      <w:spacing w:before="660" w:after="400" w:line="540" w:lineRule="atLeast"/>
      <w:ind w:left="1080" w:right="2160"/>
    </w:pPr>
    <w:rPr>
      <w:spacing w:val="-40"/>
      <w:kern w:val="28"/>
      <w:sz w:val="60"/>
    </w:rPr>
  </w:style>
  <w:style w:type="paragraph" w:customStyle="1" w:styleId="3827">
    <w:name w:val="M"/>
    <w:basedOn w:val="3"/>
    <w:semiHidden/>
    <w:qFormat/>
    <w:uiPriority w:val="0"/>
    <w:pPr>
      <w:tabs>
        <w:tab w:val="left" w:pos="425"/>
      </w:tabs>
      <w:spacing w:beforeLines="0" w:after="330" w:line="576" w:lineRule="auto"/>
      <w:ind w:left="425" w:hanging="425"/>
    </w:pPr>
    <w:rPr>
      <w:rFonts w:eastAsia="宋体"/>
      <w:b/>
      <w:snapToGrid/>
      <w:sz w:val="44"/>
      <w:szCs w:val="20"/>
    </w:rPr>
  </w:style>
  <w:style w:type="paragraph" w:customStyle="1" w:styleId="3828">
    <w:name w:val="奇页脚样式"/>
    <w:basedOn w:val="51"/>
    <w:qFormat/>
    <w:uiPriority w:val="0"/>
    <w:pPr>
      <w:keepLines/>
      <w:widowControl/>
      <w:pBdr>
        <w:bottom w:val="single" w:color="auto" w:sz="6" w:space="1"/>
      </w:pBdr>
      <w:tabs>
        <w:tab w:val="center" w:pos="-18551"/>
        <w:tab w:val="right" w:pos="4320"/>
        <w:tab w:val="clear" w:pos="4153"/>
        <w:tab w:val="clear" w:pos="8306"/>
      </w:tabs>
      <w:snapToGrid/>
      <w:spacing w:before="600"/>
      <w:ind w:left="1080"/>
    </w:pPr>
    <w:rPr>
      <w:rFonts w:ascii="Arial" w:hAnsi="Arial" w:eastAsia="宋体"/>
      <w:b/>
      <w:snapToGrid/>
      <w:spacing w:val="-4"/>
      <w:kern w:val="0"/>
      <w:sz w:val="20"/>
      <w:szCs w:val="20"/>
    </w:rPr>
  </w:style>
  <w:style w:type="paragraph" w:customStyle="1" w:styleId="3829">
    <w:name w:val="reader-word-layer reader-word-s30-28"/>
    <w:basedOn w:val="1"/>
    <w:qFormat/>
    <w:uiPriority w:val="0"/>
    <w:pPr>
      <w:widowControl/>
      <w:spacing w:before="100" w:beforeAutospacing="1" w:after="100" w:afterAutospacing="1"/>
      <w:jc w:val="left"/>
    </w:pPr>
    <w:rPr>
      <w:rFonts w:hAnsi="宋体" w:cs="宋体"/>
      <w:kern w:val="0"/>
      <w:sz w:val="24"/>
      <w:szCs w:val="24"/>
    </w:rPr>
  </w:style>
  <w:style w:type="paragraph" w:customStyle="1" w:styleId="3830">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Sim Sun" w:hAnsi="Sim Sun" w:cs="Batang"/>
      <w:kern w:val="0"/>
      <w:sz w:val="28"/>
      <w:szCs w:val="28"/>
    </w:rPr>
  </w:style>
  <w:style w:type="paragraph" w:customStyle="1" w:styleId="3831">
    <w:name w:val="_Style 482"/>
    <w:basedOn w:val="5"/>
    <w:qFormat/>
    <w:uiPriority w:val="0"/>
    <w:pPr>
      <w:tabs>
        <w:tab w:val="left" w:pos="0"/>
        <w:tab w:val="left" w:pos="1571"/>
      </w:tabs>
      <w:spacing w:line="240" w:lineRule="atLeast"/>
      <w:jc w:val="left"/>
    </w:pPr>
    <w:rPr>
      <w:kern w:val="0"/>
      <w:sz w:val="24"/>
      <w:szCs w:val="21"/>
    </w:rPr>
  </w:style>
  <w:style w:type="paragraph" w:customStyle="1" w:styleId="3832">
    <w:name w:val="样式 标题 4款标题1.1.1.1H4标题 4 Char段项1.1.1.1标题 4.1.1.1.1款L4标题..."/>
    <w:basedOn w:val="6"/>
    <w:qFormat/>
    <w:uiPriority w:val="0"/>
    <w:pPr>
      <w:keepNext/>
      <w:keepLines/>
      <w:tabs>
        <w:tab w:val="left" w:pos="2356"/>
        <w:tab w:val="clear" w:pos="360"/>
        <w:tab w:val="clear" w:pos="2207"/>
      </w:tabs>
      <w:spacing w:beforeLines="0" w:afterLines="0" w:line="376" w:lineRule="auto"/>
      <w:ind w:left="1984" w:hanging="708"/>
    </w:pPr>
    <w:rPr>
      <w:rFonts w:ascii="Arial" w:hAnsi="Arial"/>
      <w:b/>
      <w:bCs/>
      <w:snapToGrid/>
      <w:color w:val="auto"/>
      <w:sz w:val="28"/>
      <w:szCs w:val="28"/>
    </w:rPr>
  </w:style>
  <w:style w:type="paragraph" w:customStyle="1" w:styleId="3833">
    <w:name w:val="样式 标题 4款标题1.1.1.1标题 4 Char标题 4 Char CharL4 + 宋体 小四 非加粗"/>
    <w:basedOn w:val="6"/>
    <w:qFormat/>
    <w:uiPriority w:val="0"/>
    <w:pPr>
      <w:keepNext/>
      <w:keepLines/>
      <w:tabs>
        <w:tab w:val="left" w:pos="2356"/>
        <w:tab w:val="clear" w:pos="360"/>
        <w:tab w:val="clear" w:pos="2207"/>
      </w:tabs>
      <w:spacing w:beforeLines="0" w:afterLines="0" w:line="377" w:lineRule="auto"/>
      <w:ind w:left="1984" w:firstLine="200" w:firstLineChars="200"/>
      <w:jc w:val="left"/>
    </w:pPr>
    <w:rPr>
      <w:rFonts w:ascii="Sim Sun" w:hAnsi="Sim Sun" w:eastAsia="宋体-方正超大字符集" w:cs="Vladimir Script"/>
      <w:bCs/>
      <w:snapToGrid/>
      <w:color w:val="auto"/>
    </w:rPr>
  </w:style>
  <w:style w:type="paragraph" w:customStyle="1" w:styleId="3834">
    <w:name w:val="表格样式文字"/>
    <w:basedOn w:val="1"/>
    <w:qFormat/>
    <w:uiPriority w:val="0"/>
    <w:pPr>
      <w:tabs>
        <w:tab w:val="left" w:pos="3312"/>
      </w:tabs>
      <w:snapToGrid w:val="0"/>
      <w:spacing w:line="400" w:lineRule="exact"/>
    </w:pPr>
    <w:rPr>
      <w:sz w:val="24"/>
      <w:szCs w:val="20"/>
    </w:rPr>
  </w:style>
  <w:style w:type="paragraph" w:customStyle="1" w:styleId="3835">
    <w:name w:val="样式 表格文字居中 + 左 首行缩进:  0 厘米"/>
    <w:basedOn w:val="2547"/>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 w:val="24"/>
      <w:szCs w:val="20"/>
    </w:rPr>
  </w:style>
  <w:style w:type="paragraph" w:customStyle="1" w:styleId="3836">
    <w:name w:val="pa-6"/>
    <w:basedOn w:val="1"/>
    <w:qFormat/>
    <w:uiPriority w:val="0"/>
    <w:pPr>
      <w:widowControl/>
      <w:spacing w:before="150" w:after="150"/>
      <w:jc w:val="left"/>
    </w:pPr>
    <w:rPr>
      <w:rFonts w:hAnsi="宋体" w:cs="宋体"/>
      <w:kern w:val="0"/>
      <w:sz w:val="24"/>
      <w:szCs w:val="24"/>
    </w:rPr>
  </w:style>
  <w:style w:type="paragraph" w:customStyle="1" w:styleId="3837">
    <w:name w:val="样式 宋体 小四 加粗 行距: 固定值 25 磅"/>
    <w:basedOn w:val="1"/>
    <w:next w:val="1"/>
    <w:qFormat/>
    <w:uiPriority w:val="0"/>
    <w:pPr>
      <w:spacing w:line="500" w:lineRule="exact"/>
      <w:jc w:val="left"/>
    </w:pPr>
    <w:rPr>
      <w:rFonts w:hAnsi="宋体" w:eastAsia="黑体" w:cs="宋体"/>
      <w:b/>
      <w:bCs/>
      <w:sz w:val="24"/>
      <w:szCs w:val="20"/>
    </w:rPr>
  </w:style>
  <w:style w:type="paragraph" w:customStyle="1" w:styleId="3838">
    <w:name w:val="样式 标题 2 Char + 黑色 右侧:  1 字符"/>
    <w:basedOn w:val="4"/>
    <w:qFormat/>
    <w:uiPriority w:val="0"/>
    <w:pPr>
      <w:keepNext w:val="0"/>
      <w:keepLines w:val="0"/>
      <w:tabs>
        <w:tab w:val="left" w:pos="756"/>
        <w:tab w:val="left" w:pos="992"/>
      </w:tabs>
      <w:adjustRightInd w:val="0"/>
      <w:snapToGrid w:val="0"/>
      <w:spacing w:before="240" w:after="120" w:line="360" w:lineRule="auto"/>
      <w:ind w:firstLine="522" w:firstLineChars="200"/>
      <w:jc w:val="left"/>
    </w:pPr>
    <w:rPr>
      <w:rFonts w:ascii="Arial" w:hAnsi="Arial"/>
      <w:bCs w:val="0"/>
      <w:snapToGrid/>
      <w:spacing w:val="10"/>
      <w:sz w:val="24"/>
      <w:szCs w:val="24"/>
    </w:rPr>
  </w:style>
  <w:style w:type="paragraph" w:customStyle="1" w:styleId="3839">
    <w:name w:val=".. 3"/>
    <w:basedOn w:val="154"/>
    <w:next w:val="154"/>
    <w:qFormat/>
    <w:uiPriority w:val="0"/>
    <w:pPr>
      <w:spacing w:before="260" w:after="260"/>
    </w:pPr>
    <w:rPr>
      <w:rFonts w:ascii="Sim Sun" w:hAnsi="Batang" w:eastAsia="宋体" w:cs="Batang"/>
      <w:color w:val="auto"/>
      <w:kern w:val="2"/>
    </w:rPr>
  </w:style>
  <w:style w:type="paragraph" w:customStyle="1" w:styleId="3840">
    <w:name w:val="Char Char Char13"/>
    <w:basedOn w:val="1"/>
    <w:qFormat/>
    <w:uiPriority w:val="0"/>
    <w:rPr>
      <w:rFonts w:ascii="Times New Roman"/>
      <w:sz w:val="21"/>
      <w:szCs w:val="24"/>
    </w:rPr>
  </w:style>
  <w:style w:type="paragraph" w:customStyle="1" w:styleId="3841">
    <w:name w:val="aa一级标题zzzzz"/>
    <w:basedOn w:val="1"/>
    <w:next w:val="1"/>
    <w:qFormat/>
    <w:uiPriority w:val="0"/>
    <w:pPr>
      <w:keepNext/>
      <w:keepLines/>
      <w:spacing w:line="520" w:lineRule="exact"/>
      <w:outlineLvl w:val="0"/>
    </w:pPr>
    <w:rPr>
      <w:rFonts w:ascii="Times New Roman" w:cs="宋体"/>
      <w:b/>
      <w:kern w:val="44"/>
      <w:sz w:val="32"/>
      <w:szCs w:val="20"/>
    </w:rPr>
  </w:style>
  <w:style w:type="paragraph" w:customStyle="1" w:styleId="3842">
    <w:name w:val="正文文本缩进11"/>
    <w:basedOn w:val="1"/>
    <w:qFormat/>
    <w:uiPriority w:val="0"/>
    <w:pPr>
      <w:spacing w:line="360" w:lineRule="exact"/>
      <w:ind w:firstLine="480" w:firstLineChars="200"/>
    </w:pPr>
    <w:rPr>
      <w:rFonts w:ascii="Arial Unicode MS" w:hAnsi="Arial Unicode MS" w:cs="Vladimir Script"/>
      <w:sz w:val="24"/>
      <w:szCs w:val="20"/>
    </w:rPr>
  </w:style>
  <w:style w:type="paragraph" w:customStyle="1" w:styleId="3843">
    <w:name w:val="样式 标题 51)项标题 5 Char1) Char项 Char标5一级项 + (符号) 宋体"/>
    <w:basedOn w:val="7"/>
    <w:qFormat/>
    <w:uiPriority w:val="0"/>
    <w:pPr>
      <w:tabs>
        <w:tab w:val="left" w:pos="992"/>
        <w:tab w:val="left" w:pos="1140"/>
        <w:tab w:val="left" w:pos="2781"/>
        <w:tab w:val="clear" w:pos="1440"/>
        <w:tab w:val="clear" w:pos="2627"/>
      </w:tabs>
      <w:adjustRightInd w:val="0"/>
      <w:snapToGrid w:val="0"/>
      <w:spacing w:line="360" w:lineRule="auto"/>
      <w:ind w:left="1140" w:hanging="720"/>
    </w:pPr>
    <w:rPr>
      <w:rFonts w:hint="default" w:hAnsi="Arial" w:cs="宋体"/>
      <w:color w:val="auto"/>
      <w:kern w:val="24"/>
      <w:sz w:val="28"/>
      <w:szCs w:val="28"/>
    </w:rPr>
  </w:style>
  <w:style w:type="paragraph" w:customStyle="1" w:styleId="3844">
    <w:name w:val="公司名"/>
    <w:basedOn w:val="3663"/>
    <w:qFormat/>
    <w:uiPriority w:val="0"/>
    <w:pPr>
      <w:spacing w:before="0"/>
    </w:pPr>
  </w:style>
  <w:style w:type="paragraph" w:customStyle="1" w:styleId="3845">
    <w:name w:val="样式 标题 3 + 加粗 行距: 1.5 倍行距"/>
    <w:basedOn w:val="5"/>
    <w:qFormat/>
    <w:uiPriority w:val="0"/>
    <w:pPr>
      <w:keepLines w:val="0"/>
      <w:tabs>
        <w:tab w:val="left" w:pos="2268"/>
        <w:tab w:val="left" w:pos="3600"/>
      </w:tabs>
      <w:adjustRightInd w:val="0"/>
      <w:snapToGrid w:val="0"/>
      <w:spacing w:beforeLines="50" w:afterLines="50" w:line="360" w:lineRule="auto"/>
    </w:pPr>
    <w:rPr>
      <w:rFonts w:ascii="仿宋_GB2312" w:eastAsia="仿宋_GB2312" w:cs="宋体"/>
      <w:kern w:val="0"/>
      <w:sz w:val="28"/>
      <w:szCs w:val="28"/>
    </w:rPr>
  </w:style>
  <w:style w:type="paragraph" w:customStyle="1" w:styleId="3846">
    <w:name w:val="样式 标题 51)项标题 5 Char1) Char项 Char标5一级项 + 首行缩进:  0.99 厘米"/>
    <w:basedOn w:val="7"/>
    <w:qFormat/>
    <w:uiPriority w:val="0"/>
    <w:pPr>
      <w:tabs>
        <w:tab w:val="left" w:pos="2781"/>
        <w:tab w:val="clear" w:pos="1440"/>
        <w:tab w:val="clear" w:pos="2627"/>
      </w:tabs>
      <w:spacing w:line="360" w:lineRule="auto"/>
      <w:ind w:left="2551" w:hanging="850"/>
    </w:pPr>
    <w:rPr>
      <w:rFonts w:hint="default" w:hAnsi="Arial" w:cs="宋体"/>
      <w:color w:val="auto"/>
      <w:kern w:val="24"/>
      <w:sz w:val="28"/>
      <w:szCs w:val="20"/>
    </w:rPr>
  </w:style>
  <w:style w:type="paragraph" w:customStyle="1" w:styleId="3847">
    <w:name w:val="xl69"/>
    <w:basedOn w:val="1"/>
    <w:qFormat/>
    <w:uiPriority w:val="0"/>
    <w:pPr>
      <w:widowControl/>
      <w:pBdr>
        <w:bottom w:val="single" w:color="auto" w:sz="8" w:space="0"/>
      </w:pBdr>
      <w:spacing w:before="100" w:after="100"/>
      <w:jc w:val="center"/>
      <w:textAlignment w:val="top"/>
    </w:pPr>
    <w:rPr>
      <w:rFonts w:ascii="Batang" w:hAnsi="Batang" w:cs="Batang"/>
      <w:kern w:val="0"/>
      <w:sz w:val="24"/>
      <w:szCs w:val="24"/>
    </w:rPr>
  </w:style>
  <w:style w:type="paragraph" w:customStyle="1" w:styleId="3848">
    <w:name w:val="样式 标题 3 + 小四"/>
    <w:basedOn w:val="5"/>
    <w:qFormat/>
    <w:uiPriority w:val="0"/>
    <w:pPr>
      <w:keepNext w:val="0"/>
      <w:keepLines w:val="0"/>
      <w:widowControl/>
      <w:tabs>
        <w:tab w:val="left" w:pos="720"/>
        <w:tab w:val="left" w:pos="1571"/>
      </w:tabs>
      <w:spacing w:before="0" w:after="0" w:line="360" w:lineRule="auto"/>
      <w:ind w:left="720" w:hanging="720"/>
      <w:outlineLvl w:val="3"/>
    </w:pPr>
    <w:rPr>
      <w:bCs w:val="0"/>
      <w:sz w:val="24"/>
      <w:szCs w:val="20"/>
    </w:rPr>
  </w:style>
  <w:style w:type="paragraph" w:customStyle="1" w:styleId="3849">
    <w:name w:val="标题 43"/>
    <w:basedOn w:val="1"/>
    <w:next w:val="1"/>
    <w:qFormat/>
    <w:uiPriority w:val="0"/>
    <w:pPr>
      <w:keepNext/>
      <w:keepLines/>
      <w:tabs>
        <w:tab w:val="left" w:pos="900"/>
        <w:tab w:val="left" w:pos="1080"/>
        <w:tab w:val="left" w:pos="1440"/>
      </w:tabs>
      <w:spacing w:before="120" w:after="120"/>
      <w:ind w:firstLine="562" w:firstLineChars="200"/>
      <w:outlineLvl w:val="3"/>
    </w:pPr>
    <w:rPr>
      <w:rFonts w:ascii="Times New Roman"/>
      <w:b/>
      <w:sz w:val="28"/>
      <w:szCs w:val="20"/>
    </w:rPr>
  </w:style>
  <w:style w:type="paragraph" w:customStyle="1" w:styleId="3850">
    <w:name w:val="样式 宋体 首行缩进:  2 字符 段前: 0.5 行"/>
    <w:basedOn w:val="1"/>
    <w:qFormat/>
    <w:uiPriority w:val="0"/>
    <w:pPr>
      <w:spacing w:beforeLines="50" w:line="360" w:lineRule="auto"/>
      <w:ind w:firstLine="480" w:firstLineChars="200"/>
      <w:jc w:val="left"/>
    </w:pPr>
    <w:rPr>
      <w:rFonts w:hAnsi="宋体"/>
      <w:spacing w:val="5"/>
      <w:kern w:val="0"/>
      <w:sz w:val="24"/>
      <w:szCs w:val="20"/>
    </w:rPr>
  </w:style>
  <w:style w:type="paragraph" w:customStyle="1" w:styleId="3851">
    <w:name w:val="样式 宋体 四号 行距: 固定值 24 磅"/>
    <w:basedOn w:val="1"/>
    <w:qFormat/>
    <w:uiPriority w:val="0"/>
    <w:pPr>
      <w:spacing w:line="480" w:lineRule="exact"/>
    </w:pPr>
    <w:rPr>
      <w:rFonts w:hAnsi="宋体" w:cs="宋体"/>
      <w:sz w:val="24"/>
      <w:szCs w:val="20"/>
    </w:rPr>
  </w:style>
  <w:style w:type="paragraph" w:customStyle="1" w:styleId="3852">
    <w:name w:val="基准目录样式"/>
    <w:basedOn w:val="1"/>
    <w:qFormat/>
    <w:uiPriority w:val="0"/>
    <w:pPr>
      <w:widowControl/>
      <w:tabs>
        <w:tab w:val="right" w:leader="dot" w:pos="-18551"/>
      </w:tabs>
      <w:spacing w:after="220" w:line="220" w:lineRule="atLeast"/>
      <w:ind w:left="1080"/>
      <w:jc w:val="left"/>
    </w:pPr>
    <w:rPr>
      <w:rFonts w:ascii="Arial" w:hAnsi="Arial"/>
      <w:kern w:val="0"/>
      <w:sz w:val="20"/>
      <w:szCs w:val="20"/>
    </w:rPr>
  </w:style>
  <w:style w:type="paragraph" w:customStyle="1" w:styleId="3853">
    <w:name w:val="表格（小4）"/>
    <w:basedOn w:val="1"/>
    <w:qFormat/>
    <w:uiPriority w:val="0"/>
    <w:pPr>
      <w:spacing w:line="360" w:lineRule="auto"/>
      <w:jc w:val="center"/>
    </w:pPr>
    <w:rPr>
      <w:rFonts w:hAnsi="宋体"/>
      <w:sz w:val="24"/>
      <w:szCs w:val="20"/>
    </w:rPr>
  </w:style>
  <w:style w:type="paragraph" w:customStyle="1" w:styleId="3854">
    <w:name w:val="4级样式"/>
    <w:basedOn w:val="6"/>
    <w:qFormat/>
    <w:uiPriority w:val="0"/>
    <w:pPr>
      <w:keepNext/>
      <w:keepLines/>
      <w:tabs>
        <w:tab w:val="left" w:pos="425"/>
        <w:tab w:val="left" w:pos="2356"/>
        <w:tab w:val="clear" w:pos="360"/>
        <w:tab w:val="clear" w:pos="2207"/>
      </w:tabs>
      <w:spacing w:beforeLines="0" w:afterLines="0" w:line="360" w:lineRule="auto"/>
      <w:ind w:left="425" w:hanging="425" w:firstLineChars="200"/>
      <w:jc w:val="left"/>
    </w:pPr>
    <w:rPr>
      <w:rFonts w:ascii="Arial Unicode MS" w:hAnsi="Arial Unicode MS" w:eastAsia="仿宋体" w:cs="Sim Sun"/>
      <w:bCs/>
      <w:snapToGrid/>
      <w:color w:val="auto"/>
    </w:rPr>
  </w:style>
  <w:style w:type="paragraph" w:customStyle="1" w:styleId="3855">
    <w:name w:val="列表项目符号1.缩2"/>
    <w:basedOn w:val="3673"/>
    <w:qFormat/>
    <w:uiPriority w:val="0"/>
    <w:pPr>
      <w:tabs>
        <w:tab w:val="left" w:pos="945"/>
      </w:tabs>
      <w:spacing w:line="360" w:lineRule="auto"/>
      <w:ind w:left="0" w:firstLine="425"/>
    </w:pPr>
    <w:rPr>
      <w:sz w:val="24"/>
      <w:szCs w:val="24"/>
    </w:rPr>
  </w:style>
  <w:style w:type="paragraph" w:customStyle="1" w:styleId="3856">
    <w:name w:val="等核实"/>
    <w:basedOn w:val="598"/>
    <w:qFormat/>
    <w:uiPriority w:val="0"/>
    <w:pPr>
      <w:tabs>
        <w:tab w:val="left" w:pos="4305"/>
      </w:tabs>
      <w:snapToGrid w:val="0"/>
      <w:spacing w:after="0" w:line="300" w:lineRule="auto"/>
      <w:ind w:left="0" w:leftChars="0" w:firstLine="567"/>
    </w:pPr>
    <w:rPr>
      <w:rFonts w:ascii="Sim Sun" w:hAnsi="Sim Sun" w:eastAsia="Vladimir Script" w:cs="Vladimir Script"/>
      <w:color w:val="0000FF"/>
      <w:sz w:val="28"/>
      <w:szCs w:val="20"/>
    </w:rPr>
  </w:style>
  <w:style w:type="paragraph" w:customStyle="1" w:styleId="3857">
    <w:name w:val="xl53"/>
    <w:basedOn w:val="1"/>
    <w:qFormat/>
    <w:uiPriority w:val="0"/>
    <w:pPr>
      <w:widowControl/>
      <w:pBdr>
        <w:bottom w:val="single" w:color="auto" w:sz="4" w:space="0"/>
      </w:pBdr>
      <w:spacing w:before="100" w:after="100"/>
      <w:jc w:val="center"/>
      <w:textAlignment w:val="center"/>
    </w:pPr>
    <w:rPr>
      <w:rFonts w:ascii="Sim Sun" w:hAnsi="Sim Sun" w:cs="Batang"/>
      <w:kern w:val="0"/>
      <w:sz w:val="28"/>
      <w:szCs w:val="28"/>
    </w:rPr>
  </w:style>
  <w:style w:type="paragraph" w:customStyle="1" w:styleId="3858">
    <w:name w:val="Char Char Char Char Char Char Char Char Char5"/>
    <w:basedOn w:val="1"/>
    <w:qFormat/>
    <w:uiPriority w:val="0"/>
    <w:rPr>
      <w:rFonts w:ascii="Times New Roman"/>
      <w:sz w:val="24"/>
      <w:szCs w:val="20"/>
    </w:rPr>
  </w:style>
  <w:style w:type="paragraph" w:customStyle="1" w:styleId="3859">
    <w:name w:val="文1"/>
    <w:basedOn w:val="1"/>
    <w:qFormat/>
    <w:uiPriority w:val="0"/>
    <w:pPr>
      <w:autoSpaceDE w:val="0"/>
      <w:autoSpaceDN w:val="0"/>
      <w:spacing w:line="312" w:lineRule="auto"/>
      <w:ind w:firstLine="567"/>
    </w:pPr>
    <w:rPr>
      <w:spacing w:val="6"/>
      <w:sz w:val="28"/>
      <w:szCs w:val="20"/>
    </w:rPr>
  </w:style>
  <w:style w:type="paragraph" w:customStyle="1" w:styleId="3860">
    <w:name w:val="S表格"/>
    <w:basedOn w:val="1"/>
    <w:qFormat/>
    <w:uiPriority w:val="0"/>
    <w:pPr>
      <w:spacing w:before="240" w:line="360" w:lineRule="auto"/>
      <w:outlineLvl w:val="2"/>
    </w:pPr>
    <w:rPr>
      <w:rFonts w:ascii="Times New Roman"/>
      <w:bCs/>
      <w:sz w:val="24"/>
      <w:szCs w:val="24"/>
    </w:rPr>
  </w:style>
  <w:style w:type="paragraph" w:customStyle="1" w:styleId="3861">
    <w:name w:val="Char Char11 Char Char Char Char Char Char"/>
    <w:basedOn w:val="1"/>
    <w:next w:val="1"/>
    <w:qFormat/>
    <w:uiPriority w:val="0"/>
    <w:pPr>
      <w:spacing w:line="360" w:lineRule="auto"/>
      <w:ind w:firstLine="200" w:firstLineChars="200"/>
    </w:pPr>
    <w:rPr>
      <w:rFonts w:hAnsi="宋体" w:cs="宋体"/>
      <w:sz w:val="24"/>
      <w:szCs w:val="24"/>
    </w:rPr>
  </w:style>
  <w:style w:type="paragraph" w:customStyle="1" w:styleId="3862">
    <w:name w:val="报告书正文 Char Char Char Char"/>
    <w:basedOn w:val="1"/>
    <w:qFormat/>
    <w:uiPriority w:val="0"/>
    <w:pPr>
      <w:spacing w:line="300" w:lineRule="auto"/>
      <w:ind w:firstLine="480" w:firstLineChars="200"/>
    </w:pPr>
    <w:rPr>
      <w:rFonts w:ascii="Times New Roman"/>
      <w:sz w:val="24"/>
      <w:szCs w:val="24"/>
    </w:rPr>
  </w:style>
  <w:style w:type="paragraph" w:customStyle="1" w:styleId="3863">
    <w:name w:val="表内541"/>
    <w:basedOn w:val="1"/>
    <w:qFormat/>
    <w:uiPriority w:val="0"/>
    <w:pPr>
      <w:adjustRightInd w:val="0"/>
      <w:snapToGrid w:val="0"/>
      <w:spacing w:line="300" w:lineRule="auto"/>
      <w:jc w:val="center"/>
    </w:pPr>
    <w:rPr>
      <w:rFonts w:hAnsi="宋体" w:cs="宋体"/>
      <w:sz w:val="21"/>
      <w:szCs w:val="20"/>
    </w:rPr>
  </w:style>
  <w:style w:type="paragraph" w:customStyle="1" w:styleId="3864">
    <w:name w:val="g14"/>
    <w:basedOn w:val="1"/>
    <w:qFormat/>
    <w:uiPriority w:val="0"/>
    <w:pPr>
      <w:widowControl/>
      <w:spacing w:before="100" w:beforeAutospacing="1" w:after="100" w:afterAutospacing="1" w:line="253" w:lineRule="atLeast"/>
      <w:jc w:val="left"/>
    </w:pPr>
    <w:rPr>
      <w:rFonts w:hAnsi="宋体" w:cs="宋体"/>
      <w:color w:val="009900"/>
      <w:kern w:val="0"/>
      <w:sz w:val="16"/>
      <w:szCs w:val="16"/>
    </w:rPr>
  </w:style>
  <w:style w:type="paragraph" w:customStyle="1" w:styleId="3865">
    <w:name w:val="xl68"/>
    <w:basedOn w:val="1"/>
    <w:qFormat/>
    <w:uiPriority w:val="0"/>
    <w:pPr>
      <w:widowControl/>
      <w:pBdr>
        <w:left w:val="single" w:color="auto" w:sz="4" w:space="0"/>
        <w:bottom w:val="single" w:color="auto" w:sz="8" w:space="0"/>
      </w:pBdr>
      <w:spacing w:before="100" w:after="100"/>
      <w:jc w:val="center"/>
      <w:textAlignment w:val="top"/>
    </w:pPr>
    <w:rPr>
      <w:rFonts w:ascii="Batang" w:hAnsi="Batang" w:cs="Batang"/>
      <w:kern w:val="0"/>
      <w:sz w:val="24"/>
      <w:szCs w:val="24"/>
    </w:rPr>
  </w:style>
  <w:style w:type="paragraph" w:customStyle="1" w:styleId="3866">
    <w:name w:val="表内5中4"/>
    <w:basedOn w:val="1"/>
    <w:qFormat/>
    <w:uiPriority w:val="0"/>
    <w:pPr>
      <w:adjustRightInd w:val="0"/>
      <w:snapToGrid w:val="0"/>
      <w:jc w:val="center"/>
    </w:pPr>
    <w:rPr>
      <w:rFonts w:ascii="Times New Roman"/>
      <w:bCs/>
      <w:sz w:val="21"/>
      <w:szCs w:val="20"/>
    </w:rPr>
  </w:style>
  <w:style w:type="paragraph" w:customStyle="1" w:styleId="3867">
    <w:name w:val="样式 样式 样式 标题 + 段前: 24 磅 段后: 24 磅 行距: 1.5 倍行距 + 四号 + 小四"/>
    <w:basedOn w:val="1"/>
    <w:qFormat/>
    <w:uiPriority w:val="0"/>
    <w:pPr>
      <w:keepNext/>
      <w:keepLines/>
      <w:tabs>
        <w:tab w:val="left" w:pos="0"/>
        <w:tab w:val="left" w:pos="425"/>
      </w:tabs>
      <w:spacing w:before="840" w:after="480" w:line="360" w:lineRule="auto"/>
      <w:ind w:hanging="425"/>
      <w:jc w:val="center"/>
      <w:outlineLvl w:val="0"/>
    </w:pPr>
    <w:rPr>
      <w:rFonts w:ascii="Times New Roman" w:eastAsia="黑体"/>
      <w:b/>
      <w:kern w:val="44"/>
      <w:sz w:val="32"/>
      <w:szCs w:val="20"/>
    </w:rPr>
  </w:style>
  <w:style w:type="paragraph" w:customStyle="1" w:styleId="3868">
    <w:name w:val="表名称 Char"/>
    <w:basedOn w:val="1"/>
    <w:qFormat/>
    <w:uiPriority w:val="0"/>
    <w:pPr>
      <w:tabs>
        <w:tab w:val="left" w:pos="-120"/>
      </w:tabs>
      <w:overflowPunct w:val="0"/>
      <w:topLinePunct/>
      <w:autoSpaceDE w:val="0"/>
      <w:adjustRightInd w:val="0"/>
      <w:snapToGrid w:val="0"/>
      <w:spacing w:before="120" w:after="120"/>
      <w:jc w:val="center"/>
      <w:textAlignment w:val="baseline"/>
    </w:pPr>
    <w:rPr>
      <w:rFonts w:ascii="Times New Roman"/>
      <w:b/>
      <w:kern w:val="0"/>
      <w:sz w:val="24"/>
      <w:szCs w:val="24"/>
    </w:rPr>
  </w:style>
  <w:style w:type="paragraph" w:customStyle="1" w:styleId="3869">
    <w:name w:val="CM102"/>
    <w:basedOn w:val="154"/>
    <w:next w:val="154"/>
    <w:qFormat/>
    <w:uiPriority w:val="0"/>
    <w:pPr>
      <w:spacing w:after="190"/>
    </w:pPr>
    <w:rPr>
      <w:rFonts w:ascii="黑体" w:hAnsi="Batang" w:eastAsia="黑体" w:cs="Batang"/>
      <w:color w:val="auto"/>
      <w:kern w:val="2"/>
    </w:rPr>
  </w:style>
  <w:style w:type="paragraph" w:customStyle="1" w:styleId="3870">
    <w:name w:val="Char Char1 Char Char Char Char Char Char Char2"/>
    <w:basedOn w:val="5"/>
    <w:qFormat/>
    <w:uiPriority w:val="0"/>
    <w:pPr>
      <w:tabs>
        <w:tab w:val="left" w:pos="360"/>
        <w:tab w:val="left" w:pos="900"/>
        <w:tab w:val="left" w:pos="1571"/>
      </w:tabs>
      <w:snapToGrid w:val="0"/>
      <w:spacing w:before="120" w:after="120" w:line="440" w:lineRule="atLeast"/>
      <w:ind w:left="542" w:leftChars="-12" w:firstLine="200" w:firstLineChars="200"/>
      <w:jc w:val="left"/>
    </w:pPr>
    <w:rPr>
      <w:rFonts w:ascii="Sim Sun" w:hAnsi="Sim Sun" w:eastAsia="仿宋体" w:cs="Vladimir Script"/>
      <w:b w:val="0"/>
      <w:snapToGrid w:val="0"/>
      <w:color w:val="000000"/>
      <w:szCs w:val="24"/>
    </w:rPr>
  </w:style>
  <w:style w:type="paragraph" w:customStyle="1" w:styleId="3871">
    <w:name w:val="Char2 Char Char1 Char"/>
    <w:basedOn w:val="1"/>
    <w:qFormat/>
    <w:uiPriority w:val="0"/>
    <w:pPr>
      <w:spacing w:line="360" w:lineRule="auto"/>
      <w:ind w:firstLine="200" w:firstLineChars="200"/>
    </w:pPr>
    <w:rPr>
      <w:rFonts w:hAnsi="宋体" w:cs="宋体"/>
      <w:sz w:val="24"/>
      <w:szCs w:val="24"/>
    </w:rPr>
  </w:style>
  <w:style w:type="paragraph" w:customStyle="1" w:styleId="3872">
    <w:name w:val="列表接续 31"/>
    <w:basedOn w:val="1"/>
    <w:qFormat/>
    <w:uiPriority w:val="0"/>
    <w:pPr>
      <w:spacing w:after="120"/>
      <w:ind w:left="1260" w:leftChars="600"/>
    </w:pPr>
    <w:rPr>
      <w:rFonts w:ascii="Arial Unicode MS" w:hAnsi="Arial Unicode MS" w:cs="Vladimir Script"/>
      <w:sz w:val="21"/>
      <w:szCs w:val="24"/>
    </w:rPr>
  </w:style>
  <w:style w:type="paragraph" w:customStyle="1" w:styleId="3873">
    <w:name w:val="List Paragraph1"/>
    <w:basedOn w:val="1"/>
    <w:qFormat/>
    <w:uiPriority w:val="0"/>
    <w:pPr>
      <w:ind w:firstLine="420" w:firstLineChars="200"/>
    </w:pPr>
    <w:rPr>
      <w:rFonts w:ascii="Calibri" w:hAnsi="Calibri"/>
      <w:sz w:val="21"/>
      <w:szCs w:val="22"/>
    </w:rPr>
  </w:style>
  <w:style w:type="paragraph" w:customStyle="1" w:styleId="3874">
    <w:name w:val="样式1 + 四号 居中"/>
    <w:basedOn w:val="1"/>
    <w:qFormat/>
    <w:uiPriority w:val="0"/>
    <w:pPr>
      <w:spacing w:line="336" w:lineRule="auto"/>
      <w:jc w:val="center"/>
    </w:pPr>
    <w:rPr>
      <w:rFonts w:ascii="Batang" w:hAnsi="Batang" w:cs="Batang"/>
      <w:sz w:val="28"/>
      <w:szCs w:val="20"/>
    </w:rPr>
  </w:style>
  <w:style w:type="paragraph" w:customStyle="1" w:styleId="3875">
    <w:name w:val="msonormalcxspmiddle"/>
    <w:basedOn w:val="1"/>
    <w:qFormat/>
    <w:uiPriority w:val="0"/>
    <w:pPr>
      <w:widowControl/>
      <w:spacing w:before="100" w:beforeAutospacing="1" w:after="100" w:afterAutospacing="1"/>
      <w:jc w:val="left"/>
    </w:pPr>
    <w:rPr>
      <w:rFonts w:hAnsi="宋体" w:cs="宋体"/>
      <w:kern w:val="0"/>
      <w:sz w:val="24"/>
      <w:szCs w:val="24"/>
    </w:rPr>
  </w:style>
  <w:style w:type="paragraph" w:customStyle="1" w:styleId="3876">
    <w:name w:val="WW-正文首行缩进"/>
    <w:basedOn w:val="1"/>
    <w:qFormat/>
    <w:uiPriority w:val="0"/>
    <w:pPr>
      <w:tabs>
        <w:tab w:val="center" w:pos="8505"/>
      </w:tabs>
      <w:suppressAutoHyphens/>
      <w:spacing w:line="312" w:lineRule="auto"/>
      <w:ind w:firstLine="567"/>
      <w:jc w:val="center"/>
      <w:textAlignment w:val="baseline"/>
    </w:pPr>
    <w:rPr>
      <w:rFonts w:ascii="Times New Roman" w:eastAsia="黑体"/>
      <w:kern w:val="17153"/>
      <w:sz w:val="28"/>
      <w:szCs w:val="20"/>
    </w:rPr>
  </w:style>
  <w:style w:type="paragraph" w:customStyle="1" w:styleId="3877">
    <w:name w:val="Char4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878">
    <w:name w:val="页脚3"/>
    <w:basedOn w:val="2808"/>
    <w:qFormat/>
    <w:uiPriority w:val="0"/>
    <w:pPr>
      <w:tabs>
        <w:tab w:val="center" w:pos="4153"/>
        <w:tab w:val="right" w:pos="8306"/>
      </w:tabs>
      <w:spacing w:line="240" w:lineRule="atLeast"/>
    </w:pPr>
    <w:rPr>
      <w:sz w:val="18"/>
    </w:rPr>
  </w:style>
  <w:style w:type="paragraph" w:customStyle="1" w:styleId="3879">
    <w:name w:val="文本框五号1.5倍行距"/>
    <w:basedOn w:val="3767"/>
    <w:semiHidden/>
    <w:qFormat/>
    <w:uiPriority w:val="0"/>
    <w:pPr>
      <w:spacing w:line="360" w:lineRule="auto"/>
    </w:pPr>
  </w:style>
  <w:style w:type="paragraph" w:customStyle="1" w:styleId="3880">
    <w:name w:val="样式 样式 样式 样式 宋体 小四 首行缩进:  0.74 厘米 行距: 最小值 0 磅 + 左侧:  2 字符 + 左侧:  ..."/>
    <w:basedOn w:val="1"/>
    <w:qFormat/>
    <w:uiPriority w:val="0"/>
    <w:pPr>
      <w:spacing w:line="360" w:lineRule="auto"/>
      <w:ind w:left="400" w:leftChars="400" w:firstLine="567"/>
    </w:pPr>
    <w:rPr>
      <w:rFonts w:hAnsi="宋体"/>
      <w:sz w:val="24"/>
      <w:szCs w:val="20"/>
    </w:rPr>
  </w:style>
  <w:style w:type="paragraph" w:customStyle="1" w:styleId="3881">
    <w:name w:val="条1.1.1"/>
    <w:basedOn w:val="5"/>
    <w:qFormat/>
    <w:uiPriority w:val="0"/>
    <w:pPr>
      <w:tabs>
        <w:tab w:val="left" w:pos="2268"/>
        <w:tab w:val="left" w:pos="3600"/>
      </w:tabs>
      <w:adjustRightInd w:val="0"/>
      <w:snapToGrid w:val="0"/>
      <w:spacing w:beforeLines="50" w:afterLines="50" w:line="360" w:lineRule="auto"/>
    </w:pPr>
    <w:rPr>
      <w:rFonts w:ascii="Calibri" w:hAnsi="Calibri"/>
      <w:color w:val="000000"/>
      <w:kern w:val="0"/>
      <w:sz w:val="24"/>
    </w:rPr>
  </w:style>
  <w:style w:type="paragraph" w:customStyle="1" w:styleId="3882">
    <w:name w:val="框图内容"/>
    <w:basedOn w:val="1"/>
    <w:semiHidden/>
    <w:qFormat/>
    <w:uiPriority w:val="0"/>
    <w:pPr>
      <w:jc w:val="center"/>
    </w:pPr>
    <w:rPr>
      <w:sz w:val="21"/>
      <w:szCs w:val="24"/>
      <w:lang w:val="en-GB"/>
    </w:rPr>
  </w:style>
  <w:style w:type="paragraph" w:customStyle="1" w:styleId="3883">
    <w:name w:val="Char Char Char Char Char Char Char Char Char Char Char Char Char Char Char Char Char Char Char3"/>
    <w:basedOn w:val="1"/>
    <w:qFormat/>
    <w:uiPriority w:val="0"/>
    <w:pPr>
      <w:spacing w:line="360" w:lineRule="auto"/>
      <w:ind w:firstLine="200" w:firstLineChars="200"/>
    </w:pPr>
    <w:rPr>
      <w:rFonts w:hAnsi="宋体"/>
      <w:sz w:val="24"/>
      <w:szCs w:val="20"/>
    </w:rPr>
  </w:style>
  <w:style w:type="paragraph" w:customStyle="1" w:styleId="3884">
    <w:name w:val="Char53"/>
    <w:basedOn w:val="1"/>
    <w:qFormat/>
    <w:uiPriority w:val="0"/>
    <w:rPr>
      <w:rFonts w:ascii="Times New Roman"/>
      <w:sz w:val="21"/>
      <w:szCs w:val="24"/>
    </w:rPr>
  </w:style>
  <w:style w:type="paragraph" w:customStyle="1" w:styleId="3885">
    <w:name w:val="样式 样式 标题 4 + Times New Roman + 左侧:  0 厘米 段前: 0.5 行 段后: 0.5 行"/>
    <w:basedOn w:val="3277"/>
    <w:qFormat/>
    <w:uiPriority w:val="0"/>
    <w:pPr>
      <w:spacing w:before="48" w:after="72"/>
      <w:ind w:left="0"/>
    </w:pPr>
    <w:rPr>
      <w:szCs w:val="20"/>
    </w:rPr>
  </w:style>
  <w:style w:type="paragraph" w:customStyle="1" w:styleId="3886">
    <w:name w:val="右侧"/>
    <w:qFormat/>
    <w:uiPriority w:val="0"/>
    <w:pPr>
      <w:spacing w:line="280" w:lineRule="exact"/>
      <w:jc w:val="right"/>
    </w:pPr>
    <w:rPr>
      <w:rFonts w:ascii="华文行楷" w:hAnsi="华文行楷" w:eastAsia="宋体" w:cs="Vladimir Script"/>
      <w:color w:val="000000"/>
      <w:sz w:val="18"/>
      <w:lang w:val="en-US" w:eastAsia="zh-CN" w:bidi="ar-SA"/>
    </w:rPr>
  </w:style>
  <w:style w:type="paragraph" w:customStyle="1" w:styleId="3887">
    <w:name w:val="Char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3888">
    <w:name w:val="Char Char Char Char Char Char Char Char Char Char Char Char Char Char Char Char Char Char Char Char Char Char Char Char3"/>
    <w:basedOn w:val="1"/>
    <w:qFormat/>
    <w:uiPriority w:val="0"/>
    <w:rPr>
      <w:rFonts w:ascii="Times New Roman"/>
      <w:sz w:val="21"/>
      <w:szCs w:val="24"/>
    </w:rPr>
  </w:style>
  <w:style w:type="paragraph" w:customStyle="1" w:styleId="3889">
    <w:name w:val="表文左对齐"/>
    <w:basedOn w:val="1"/>
    <w:qFormat/>
    <w:uiPriority w:val="0"/>
    <w:pPr>
      <w:jc w:val="left"/>
    </w:pPr>
    <w:rPr>
      <w:rFonts w:ascii="Times New Roman" w:eastAsia="仿宋_GB2312"/>
      <w:sz w:val="21"/>
      <w:szCs w:val="21"/>
    </w:rPr>
  </w:style>
  <w:style w:type="paragraph" w:customStyle="1" w:styleId="3890">
    <w:name w:val="Char Char Char1 Char Char Char Char Char Char Char Char Char Char Char Char Char Char Char Char Char Char Char Char Char Char2"/>
    <w:basedOn w:val="1"/>
    <w:qFormat/>
    <w:uiPriority w:val="0"/>
    <w:rPr>
      <w:rFonts w:hAnsi="宋体" w:cs="Courier New"/>
      <w:sz w:val="32"/>
      <w:szCs w:val="32"/>
    </w:rPr>
  </w:style>
  <w:style w:type="paragraph" w:customStyle="1" w:styleId="3891">
    <w:name w:val="f14"/>
    <w:basedOn w:val="1"/>
    <w:qFormat/>
    <w:uiPriority w:val="0"/>
    <w:pPr>
      <w:widowControl/>
      <w:wordWrap w:val="0"/>
      <w:spacing w:before="100" w:beforeAutospacing="1" w:after="100" w:afterAutospacing="1"/>
      <w:jc w:val="left"/>
    </w:pPr>
    <w:rPr>
      <w:rFonts w:hAnsi="宋体" w:cs="宋体"/>
      <w:color w:val="333333"/>
      <w:kern w:val="0"/>
      <w:sz w:val="21"/>
      <w:szCs w:val="21"/>
    </w:rPr>
  </w:style>
  <w:style w:type="paragraph" w:customStyle="1" w:styleId="3892">
    <w:name w:val="章节号"/>
    <w:basedOn w:val="1610"/>
    <w:next w:val="3694"/>
    <w:qFormat/>
    <w:uiPriority w:val="0"/>
    <w:pPr>
      <w:keepNext/>
      <w:keepLines/>
      <w:spacing w:before="770" w:after="440" w:line="220" w:lineRule="atLeast"/>
      <w:ind w:left="1080"/>
    </w:pPr>
    <w:rPr>
      <w:spacing w:val="-30"/>
      <w:kern w:val="28"/>
      <w:sz w:val="60"/>
    </w:rPr>
  </w:style>
  <w:style w:type="paragraph" w:customStyle="1" w:styleId="3893">
    <w:name w:val="样式 标题 3条标题1.1.1二级节名h33rd levelBSH-3H3l3CTheading 3- bod..."/>
    <w:basedOn w:val="5"/>
    <w:qFormat/>
    <w:uiPriority w:val="0"/>
    <w:pPr>
      <w:tabs>
        <w:tab w:val="left" w:pos="1571"/>
      </w:tabs>
      <w:spacing w:line="413" w:lineRule="auto"/>
      <w:ind w:left="1418" w:hanging="567"/>
    </w:pPr>
    <w:rPr>
      <w:bCs w:val="0"/>
      <w:sz w:val="32"/>
      <w:szCs w:val="20"/>
    </w:rPr>
  </w:style>
  <w:style w:type="paragraph" w:customStyle="1" w:styleId="3894">
    <w:name w:val="Address 2"/>
    <w:basedOn w:val="1"/>
    <w:qFormat/>
    <w:uiPriority w:val="0"/>
    <w:pPr>
      <w:widowControl/>
      <w:spacing w:line="200" w:lineRule="atLeast"/>
      <w:ind w:firstLine="200" w:firstLineChars="200"/>
      <w:jc w:val="left"/>
    </w:pPr>
    <w:rPr>
      <w:rFonts w:ascii="Arial Unicode MS" w:hAnsi="Arial Unicode MS" w:cs="Vladimir Script"/>
      <w:kern w:val="0"/>
      <w:sz w:val="16"/>
      <w:szCs w:val="20"/>
    </w:rPr>
  </w:style>
  <w:style w:type="paragraph" w:customStyle="1" w:styleId="3895">
    <w:name w:val="reader-word-layer reader-word-s1-23"/>
    <w:basedOn w:val="1"/>
    <w:qFormat/>
    <w:uiPriority w:val="0"/>
    <w:pPr>
      <w:widowControl/>
      <w:spacing w:before="100" w:beforeAutospacing="1" w:after="100" w:afterAutospacing="1"/>
      <w:jc w:val="left"/>
    </w:pPr>
    <w:rPr>
      <w:rFonts w:hAnsi="宋体" w:cs="宋体"/>
      <w:kern w:val="0"/>
      <w:sz w:val="24"/>
      <w:szCs w:val="24"/>
    </w:rPr>
  </w:style>
  <w:style w:type="paragraph" w:customStyle="1" w:styleId="3896">
    <w:name w:val="Char Char Char1 Char Char Char Char Char Char Char Char Char4"/>
    <w:basedOn w:val="1"/>
    <w:qFormat/>
    <w:uiPriority w:val="0"/>
    <w:rPr>
      <w:rFonts w:ascii="Times New Roman" w:eastAsia="楷体_GB2312"/>
      <w:b/>
      <w:sz w:val="28"/>
      <w:szCs w:val="28"/>
    </w:rPr>
  </w:style>
  <w:style w:type="paragraph" w:customStyle="1" w:styleId="3897">
    <w:name w:val="Char Char Char Char Char2 Char Char Char Char4"/>
    <w:basedOn w:val="1"/>
    <w:semiHidden/>
    <w:qFormat/>
    <w:uiPriority w:val="0"/>
    <w:pPr>
      <w:adjustRightInd w:val="0"/>
      <w:snapToGrid w:val="0"/>
      <w:spacing w:line="360" w:lineRule="auto"/>
      <w:ind w:firstLine="200" w:firstLineChars="200"/>
    </w:pPr>
    <w:rPr>
      <w:rFonts w:hAnsi="宋体" w:cs="宋体"/>
      <w:sz w:val="24"/>
      <w:szCs w:val="26"/>
    </w:rPr>
  </w:style>
  <w:style w:type="paragraph" w:customStyle="1" w:styleId="3898">
    <w:name w:val="CM109"/>
    <w:basedOn w:val="154"/>
    <w:next w:val="154"/>
    <w:qFormat/>
    <w:uiPriority w:val="0"/>
    <w:rPr>
      <w:rFonts w:ascii="仿宋_GB2312" w:hAnsi="Calibri" w:eastAsia="仿宋_GB2312" w:cs="Times New Roman"/>
      <w:color w:val="auto"/>
      <w:kern w:val="2"/>
    </w:rPr>
  </w:style>
  <w:style w:type="paragraph" w:customStyle="1" w:styleId="3899">
    <w:name w:val="reader-word-layer reader-word-s21-1"/>
    <w:basedOn w:val="1"/>
    <w:qFormat/>
    <w:uiPriority w:val="0"/>
    <w:pPr>
      <w:widowControl/>
      <w:spacing w:before="100" w:beforeAutospacing="1" w:after="100" w:afterAutospacing="1"/>
      <w:jc w:val="left"/>
    </w:pPr>
    <w:rPr>
      <w:rFonts w:hAnsi="宋体" w:cs="宋体"/>
      <w:kern w:val="0"/>
      <w:sz w:val="24"/>
      <w:szCs w:val="24"/>
    </w:rPr>
  </w:style>
  <w:style w:type="paragraph" w:customStyle="1" w:styleId="3900">
    <w:name w:val="样式 标题 2H2H21节标题 + 宋体 四号 段前: 0 磅 段后: 0 磅 行距: 固定值 25 磅"/>
    <w:basedOn w:val="4"/>
    <w:next w:val="1"/>
    <w:qFormat/>
    <w:uiPriority w:val="0"/>
    <w:pPr>
      <w:tabs>
        <w:tab w:val="left" w:pos="992"/>
      </w:tabs>
      <w:ind w:left="992" w:hanging="567"/>
    </w:pPr>
    <w:rPr>
      <w:rFonts w:ascii="Arial" w:hAnsi="Arial" w:eastAsia="黑体"/>
      <w:snapToGrid/>
    </w:rPr>
  </w:style>
  <w:style w:type="paragraph" w:customStyle="1" w:styleId="3901">
    <w:name w:val="_Style 39"/>
    <w:basedOn w:val="1"/>
    <w:qFormat/>
    <w:uiPriority w:val="0"/>
    <w:rPr>
      <w:rFonts w:ascii="Times New Roman"/>
      <w:snapToGrid w:val="0"/>
      <w:kern w:val="0"/>
      <w:sz w:val="28"/>
      <w:szCs w:val="20"/>
    </w:rPr>
  </w:style>
  <w:style w:type="paragraph" w:customStyle="1" w:styleId="3902">
    <w:name w:val="aff0"/>
    <w:basedOn w:val="1"/>
    <w:qFormat/>
    <w:uiPriority w:val="0"/>
    <w:pPr>
      <w:widowControl/>
      <w:spacing w:before="100" w:beforeAutospacing="1" w:after="100" w:afterAutospacing="1"/>
      <w:jc w:val="left"/>
    </w:pPr>
    <w:rPr>
      <w:rFonts w:hAnsi="宋体" w:cs="宋体"/>
      <w:kern w:val="0"/>
      <w:sz w:val="24"/>
      <w:szCs w:val="24"/>
    </w:rPr>
  </w:style>
  <w:style w:type="paragraph" w:customStyle="1" w:styleId="3903">
    <w:name w:val="reader-word-layer reader-word-s30-10"/>
    <w:basedOn w:val="1"/>
    <w:qFormat/>
    <w:uiPriority w:val="0"/>
    <w:pPr>
      <w:widowControl/>
      <w:spacing w:before="100" w:beforeAutospacing="1" w:after="100" w:afterAutospacing="1"/>
      <w:jc w:val="left"/>
    </w:pPr>
    <w:rPr>
      <w:rFonts w:hAnsi="宋体" w:cs="宋体"/>
      <w:kern w:val="0"/>
      <w:sz w:val="24"/>
      <w:szCs w:val="24"/>
    </w:rPr>
  </w:style>
  <w:style w:type="paragraph" w:customStyle="1" w:styleId="3904">
    <w:name w:val="正文首行缩进2字符"/>
    <w:basedOn w:val="1"/>
    <w:qFormat/>
    <w:uiPriority w:val="0"/>
    <w:pPr>
      <w:adjustRightInd w:val="0"/>
      <w:snapToGrid w:val="0"/>
      <w:spacing w:before="30" w:after="30" w:line="360" w:lineRule="auto"/>
      <w:ind w:firstLine="480" w:firstLineChars="200"/>
    </w:pPr>
    <w:rPr>
      <w:rFonts w:ascii="Times New Roman"/>
      <w:sz w:val="24"/>
      <w:szCs w:val="24"/>
    </w:rPr>
  </w:style>
  <w:style w:type="paragraph" w:customStyle="1" w:styleId="3905">
    <w:name w:val="样式 样式2 + 段前: 6 磅 行距: 单倍行距2"/>
    <w:basedOn w:val="442"/>
    <w:qFormat/>
    <w:uiPriority w:val="0"/>
    <w:pPr>
      <w:pBdr>
        <w:bottom w:val="none" w:color="auto" w:sz="0" w:space="0"/>
      </w:pBdr>
      <w:tabs>
        <w:tab w:val="clear" w:pos="4153"/>
        <w:tab w:val="clear" w:pos="8306"/>
      </w:tabs>
      <w:autoSpaceDE w:val="0"/>
      <w:autoSpaceDN w:val="0"/>
      <w:adjustRightInd w:val="0"/>
      <w:spacing w:before="120"/>
    </w:pPr>
    <w:rPr>
      <w:rFonts w:ascii="Times New Roman" w:eastAsia="宋体" w:cs="Arial"/>
      <w:spacing w:val="-16"/>
      <w:sz w:val="21"/>
      <w:szCs w:val="21"/>
    </w:rPr>
  </w:style>
  <w:style w:type="paragraph" w:customStyle="1" w:styleId="3906">
    <w:name w:val="公式1"/>
    <w:basedOn w:val="1"/>
    <w:qFormat/>
    <w:uiPriority w:val="0"/>
    <w:pPr>
      <w:widowControl/>
      <w:adjustRightInd w:val="0"/>
      <w:snapToGrid w:val="0"/>
      <w:spacing w:beforeLines="50" w:afterLines="50" w:line="360" w:lineRule="auto"/>
      <w:ind w:firstLine="400" w:firstLineChars="400"/>
    </w:pPr>
    <w:rPr>
      <w:bCs/>
      <w:spacing w:val="5"/>
      <w:kern w:val="0"/>
      <w:sz w:val="28"/>
      <w:szCs w:val="20"/>
    </w:rPr>
  </w:style>
  <w:style w:type="paragraph" w:customStyle="1" w:styleId="3907">
    <w:name w:val="正文文本 32"/>
    <w:basedOn w:val="1"/>
    <w:qFormat/>
    <w:uiPriority w:val="0"/>
    <w:pPr>
      <w:snapToGrid w:val="0"/>
      <w:spacing w:beforeLines="20" w:afterLines="20" w:line="240" w:lineRule="atLeast"/>
      <w:jc w:val="right"/>
    </w:pPr>
    <w:rPr>
      <w:rFonts w:ascii="Times New Roman"/>
      <w:sz w:val="24"/>
      <w:szCs w:val="24"/>
    </w:rPr>
  </w:style>
  <w:style w:type="paragraph" w:customStyle="1" w:styleId="3908">
    <w:name w:val="样式 表格标题 + 自动设置"/>
    <w:basedOn w:val="1"/>
    <w:qFormat/>
    <w:uiPriority w:val="0"/>
    <w:pPr>
      <w:adjustRightInd w:val="0"/>
      <w:snapToGrid w:val="0"/>
      <w:jc w:val="center"/>
    </w:pPr>
    <w:rPr>
      <w:rFonts w:ascii="黑体" w:hAnsi="宋体" w:eastAsia="黑体" w:cs="Arial"/>
      <w:color w:val="000000"/>
      <w:sz w:val="24"/>
      <w:szCs w:val="24"/>
    </w:rPr>
  </w:style>
  <w:style w:type="paragraph" w:customStyle="1" w:styleId="3909">
    <w:name w:val="Char Char Char Char Char Char Char Char Char Char Char Char Char Char Char Char3"/>
    <w:basedOn w:val="5"/>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910">
    <w:name w:val="正文-报告书"/>
    <w:basedOn w:val="1"/>
    <w:qFormat/>
    <w:uiPriority w:val="0"/>
    <w:pPr>
      <w:snapToGrid w:val="0"/>
      <w:spacing w:line="460" w:lineRule="exact"/>
      <w:ind w:firstLine="480" w:firstLineChars="200"/>
    </w:pPr>
    <w:rPr>
      <w:rFonts w:ascii="Times New Roman"/>
      <w:sz w:val="24"/>
      <w:szCs w:val="24"/>
    </w:rPr>
  </w:style>
  <w:style w:type="paragraph" w:customStyle="1" w:styleId="3911">
    <w:name w:val="Char Char Char Char Char1 Char2"/>
    <w:basedOn w:val="5"/>
    <w:semiHidden/>
    <w:qFormat/>
    <w:uiPriority w:val="0"/>
    <w:pPr>
      <w:tabs>
        <w:tab w:val="left" w:pos="360"/>
        <w:tab w:val="left" w:pos="425"/>
        <w:tab w:val="left" w:pos="900"/>
        <w:tab w:val="left" w:pos="1571"/>
      </w:tabs>
      <w:snapToGrid w:val="0"/>
      <w:spacing w:before="120" w:after="120" w:line="360" w:lineRule="auto"/>
      <w:ind w:left="542" w:leftChars="-12" w:firstLine="200" w:firstLineChars="200"/>
      <w:jc w:val="left"/>
    </w:pPr>
    <w:rPr>
      <w:bCs w:val="0"/>
      <w:snapToGrid w:val="0"/>
      <w:sz w:val="24"/>
      <w:szCs w:val="24"/>
    </w:rPr>
  </w:style>
  <w:style w:type="paragraph" w:customStyle="1" w:styleId="3912">
    <w:name w:val="Char6 Char Char Char Char Char Char Char Char Char"/>
    <w:basedOn w:val="1"/>
    <w:qFormat/>
    <w:uiPriority w:val="0"/>
    <w:pPr>
      <w:spacing w:line="440" w:lineRule="exact"/>
      <w:ind w:firstLine="200" w:firstLineChars="200"/>
    </w:pPr>
    <w:rPr>
      <w:rFonts w:ascii="Sim Sun" w:hAnsi="Sim Sun" w:cs="Vladimir Script"/>
      <w:color w:val="000000"/>
      <w:sz w:val="28"/>
      <w:szCs w:val="20"/>
    </w:rPr>
  </w:style>
  <w:style w:type="paragraph" w:customStyle="1" w:styleId="3913">
    <w:name w:val="ljw表格"/>
    <w:basedOn w:val="1"/>
    <w:next w:val="1"/>
    <w:qFormat/>
    <w:uiPriority w:val="0"/>
    <w:pPr>
      <w:adjustRightInd w:val="0"/>
      <w:snapToGrid w:val="0"/>
      <w:spacing w:beforeLines="25" w:afterLines="25" w:line="440" w:lineRule="exact"/>
      <w:ind w:firstLine="200" w:firstLineChars="200"/>
      <w:jc w:val="center"/>
    </w:pPr>
    <w:rPr>
      <w:rFonts w:ascii="Sim Sun" w:hAnsi="Sim Sun" w:cs="Vladimir Script"/>
      <w:bCs/>
      <w:sz w:val="22"/>
      <w:szCs w:val="28"/>
    </w:rPr>
  </w:style>
  <w:style w:type="paragraph" w:customStyle="1" w:styleId="3914">
    <w:name w:val="reader-word-layer reader-word-s20-17"/>
    <w:basedOn w:val="1"/>
    <w:qFormat/>
    <w:uiPriority w:val="0"/>
    <w:pPr>
      <w:widowControl/>
      <w:spacing w:before="100" w:beforeAutospacing="1" w:after="100" w:afterAutospacing="1"/>
      <w:jc w:val="left"/>
    </w:pPr>
    <w:rPr>
      <w:rFonts w:hAnsi="宋体" w:cs="宋体"/>
      <w:kern w:val="0"/>
      <w:sz w:val="24"/>
      <w:szCs w:val="24"/>
    </w:rPr>
  </w:style>
  <w:style w:type="paragraph" w:customStyle="1" w:styleId="3915">
    <w:name w:val="Char2 Char Char Char5"/>
    <w:basedOn w:val="1"/>
    <w:semiHidden/>
    <w:qFormat/>
    <w:uiPriority w:val="0"/>
    <w:pPr>
      <w:adjustRightInd w:val="0"/>
      <w:snapToGrid w:val="0"/>
    </w:pPr>
    <w:rPr>
      <w:rFonts w:ascii="Times New Roman" w:eastAsia="黑体"/>
      <w:snapToGrid w:val="0"/>
      <w:sz w:val="24"/>
      <w:szCs w:val="24"/>
    </w:rPr>
  </w:style>
  <w:style w:type="paragraph" w:customStyle="1" w:styleId="3916">
    <w:name w:val="表格文字中"/>
    <w:basedOn w:val="1"/>
    <w:qFormat/>
    <w:uiPriority w:val="0"/>
    <w:pPr>
      <w:keepNext/>
      <w:tabs>
        <w:tab w:val="left" w:pos="628"/>
        <w:tab w:val="left" w:pos="980"/>
        <w:tab w:val="left" w:pos="1727"/>
        <w:tab w:val="left" w:pos="1884"/>
      </w:tabs>
      <w:autoSpaceDE w:val="0"/>
      <w:autoSpaceDN w:val="0"/>
      <w:adjustRightInd w:val="0"/>
      <w:snapToGrid w:val="0"/>
      <w:spacing w:line="440" w:lineRule="exact"/>
      <w:ind w:firstLine="560" w:firstLineChars="200"/>
      <w:outlineLvl w:val="0"/>
    </w:pPr>
    <w:rPr>
      <w:rFonts w:ascii="Sim Sun" w:hAnsi="Sim Sun" w:cs="Vladimir Script"/>
      <w:color w:val="000000"/>
      <w:kern w:val="0"/>
      <w:sz w:val="24"/>
      <w:szCs w:val="24"/>
      <w:lang w:val="zh-CN"/>
    </w:rPr>
  </w:style>
  <w:style w:type="paragraph" w:customStyle="1" w:styleId="3917">
    <w:name w:val="正文图小四"/>
    <w:basedOn w:val="1"/>
    <w:semiHidden/>
    <w:qFormat/>
    <w:uiPriority w:val="0"/>
    <w:pPr>
      <w:adjustRightInd w:val="0"/>
      <w:snapToGrid w:val="0"/>
      <w:jc w:val="center"/>
    </w:pPr>
    <w:rPr>
      <w:kern w:val="0"/>
      <w:sz w:val="24"/>
      <w:szCs w:val="24"/>
    </w:rPr>
  </w:style>
  <w:style w:type="paragraph" w:customStyle="1" w:styleId="3918">
    <w:name w:val="表格文字居中 Char Char"/>
    <w:basedOn w:val="230"/>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Sim Sun" w:hAnsi="Sim Sun"/>
      <w:color w:val="FF0000"/>
      <w:spacing w:val="-12"/>
      <w:sz w:val="28"/>
      <w:szCs w:val="28"/>
      <w:lang w:val="zh-CN"/>
    </w:rPr>
  </w:style>
  <w:style w:type="paragraph" w:customStyle="1" w:styleId="3919">
    <w:name w:val="List Paragraph_9332e4d2-87a6-4f5d-98bc-ce8baac3635b"/>
    <w:basedOn w:val="1"/>
    <w:qFormat/>
    <w:uiPriority w:val="0"/>
    <w:pPr>
      <w:ind w:firstLine="420" w:firstLineChars="200"/>
    </w:pPr>
    <w:rPr>
      <w:rFonts w:ascii="Calibri" w:hAnsi="Calibri"/>
      <w:sz w:val="21"/>
      <w:szCs w:val="22"/>
    </w:rPr>
  </w:style>
  <w:style w:type="paragraph" w:customStyle="1" w:styleId="3920">
    <w:name w:val="Char Char Char Char Char Char Char Char Char Char Char1 Char Char Char Char Char Char Char Char Char"/>
    <w:basedOn w:val="1"/>
    <w:qFormat/>
    <w:uiPriority w:val="0"/>
    <w:rPr>
      <w:rFonts w:ascii="Batang" w:hAnsi="Batang" w:cs="Batang"/>
      <w:sz w:val="21"/>
      <w:szCs w:val="24"/>
    </w:rPr>
  </w:style>
  <w:style w:type="paragraph" w:customStyle="1" w:styleId="3921">
    <w:name w:val="【图题】"/>
    <w:next w:val="82"/>
    <w:qFormat/>
    <w:uiPriority w:val="0"/>
    <w:pPr>
      <w:jc w:val="center"/>
    </w:pPr>
    <w:rPr>
      <w:rFonts w:ascii="Calibri" w:hAnsi="Calibri" w:eastAsia="黑体" w:cs="宋体"/>
      <w:sz w:val="24"/>
      <w:szCs w:val="24"/>
      <w:lang w:val="en-US" w:eastAsia="zh-CN" w:bidi="ar-SA"/>
    </w:rPr>
  </w:style>
  <w:style w:type="paragraph" w:customStyle="1" w:styleId="3922">
    <w:name w:val="岳阳用"/>
    <w:basedOn w:val="1"/>
    <w:qFormat/>
    <w:uiPriority w:val="0"/>
    <w:pPr>
      <w:spacing w:line="400" w:lineRule="atLeast"/>
      <w:ind w:firstLine="644"/>
      <w:jc w:val="left"/>
    </w:pPr>
    <w:rPr>
      <w:rFonts w:ascii="仿宋_GB2312" w:hAnsi="宋体"/>
      <w:spacing w:val="21"/>
      <w:kern w:val="0"/>
      <w:sz w:val="28"/>
      <w:szCs w:val="20"/>
    </w:rPr>
  </w:style>
  <w:style w:type="paragraph" w:customStyle="1" w:styleId="3923">
    <w:name w:val="正文首行缩进 21"/>
    <w:basedOn w:val="598"/>
    <w:qFormat/>
    <w:uiPriority w:val="0"/>
    <w:pPr>
      <w:spacing w:line="360" w:lineRule="auto"/>
      <w:ind w:firstLine="420" w:firstLineChars="200"/>
    </w:pPr>
    <w:rPr>
      <w:rFonts w:ascii="Arial Unicode MS" w:hAnsi="Arial Unicode MS" w:eastAsia="Times New Roman"/>
      <w:kern w:val="0"/>
      <w:sz w:val="24"/>
    </w:rPr>
  </w:style>
  <w:style w:type="paragraph" w:customStyle="1" w:styleId="3924">
    <w:name w:val="Items"/>
    <w:basedOn w:val="1"/>
    <w:qFormat/>
    <w:uiPriority w:val="0"/>
    <w:pPr>
      <w:tabs>
        <w:tab w:val="left" w:pos="992"/>
        <w:tab w:val="left" w:pos="1553"/>
      </w:tabs>
      <w:spacing w:before="10" w:after="20" w:line="460" w:lineRule="atLeast"/>
      <w:ind w:left="992" w:hanging="425" w:firstLineChars="200"/>
    </w:pPr>
    <w:rPr>
      <w:rFonts w:ascii="@幼圆" w:hAnsi="@幼圆" w:eastAsia="仿宋_GB2312" w:cs="Vladimir Script"/>
      <w:sz w:val="28"/>
      <w:szCs w:val="20"/>
    </w:rPr>
  </w:style>
  <w:style w:type="paragraph" w:customStyle="1" w:styleId="3925">
    <w:name w:val="Char Char Char1 Char1"/>
    <w:basedOn w:val="1"/>
    <w:qFormat/>
    <w:uiPriority w:val="0"/>
    <w:pPr>
      <w:spacing w:line="440" w:lineRule="exact"/>
      <w:ind w:left="432" w:hanging="432" w:firstLineChars="200"/>
    </w:pPr>
    <w:rPr>
      <w:rFonts w:ascii="Arial Unicode MS" w:hAnsi="Arial Unicode MS" w:cs="Vladimir Script"/>
      <w:sz w:val="21"/>
      <w:szCs w:val="20"/>
    </w:rPr>
  </w:style>
  <w:style w:type="paragraph" w:customStyle="1" w:styleId="3926">
    <w:name w:val="字元 字元 Char Char 字元 字元1 Char Char Char2"/>
    <w:basedOn w:val="1"/>
    <w:qFormat/>
    <w:uiPriority w:val="0"/>
    <w:rPr>
      <w:rFonts w:ascii="Times New Roman"/>
      <w:sz w:val="24"/>
      <w:szCs w:val="24"/>
    </w:rPr>
  </w:style>
  <w:style w:type="paragraph" w:customStyle="1" w:styleId="3927">
    <w:name w:val="表格小4"/>
    <w:basedOn w:val="2980"/>
    <w:qFormat/>
    <w:uiPriority w:val="0"/>
    <w:rPr>
      <w:rFonts w:cs="Times New Roman"/>
      <w:color w:val="auto"/>
      <w:sz w:val="24"/>
      <w:szCs w:val="24"/>
    </w:rPr>
  </w:style>
  <w:style w:type="paragraph" w:customStyle="1" w:styleId="3928">
    <w:name w:val="1111表格标题"/>
    <w:basedOn w:val="1"/>
    <w:qFormat/>
    <w:uiPriority w:val="0"/>
    <w:pPr>
      <w:widowControl/>
      <w:spacing w:line="440" w:lineRule="exact"/>
      <w:jc w:val="center"/>
    </w:pPr>
    <w:rPr>
      <w:rFonts w:ascii="Times New Roman"/>
      <w:b/>
      <w:kern w:val="0"/>
      <w:sz w:val="24"/>
      <w:szCs w:val="24"/>
    </w:rPr>
  </w:style>
  <w:style w:type="paragraph" w:customStyle="1" w:styleId="3929">
    <w:name w:val="样式19"/>
    <w:basedOn w:val="4"/>
    <w:semiHidden/>
    <w:qFormat/>
    <w:uiPriority w:val="0"/>
    <w:pPr>
      <w:tabs>
        <w:tab w:val="left" w:pos="992"/>
      </w:tabs>
      <w:ind w:left="992" w:hanging="567"/>
    </w:pPr>
    <w:rPr>
      <w:rFonts w:ascii="Arial" w:hAnsi="Arial" w:eastAsia="黑体"/>
      <w:snapToGrid/>
    </w:rPr>
  </w:style>
  <w:style w:type="paragraph" w:customStyle="1" w:styleId="3930">
    <w:name w:val="列表接续 21"/>
    <w:basedOn w:val="1"/>
    <w:qFormat/>
    <w:uiPriority w:val="0"/>
    <w:pPr>
      <w:spacing w:after="120" w:line="480" w:lineRule="exact"/>
      <w:ind w:left="840" w:leftChars="400" w:firstLine="200" w:firstLineChars="200"/>
    </w:pPr>
    <w:rPr>
      <w:rFonts w:ascii="Arial Unicode MS" w:hAnsi="Arial Unicode MS" w:cs="Vladimir Script"/>
      <w:sz w:val="24"/>
      <w:szCs w:val="24"/>
    </w:rPr>
  </w:style>
  <w:style w:type="paragraph" w:customStyle="1" w:styleId="3931">
    <w:name w:val="Char Char1 Char Char Char Char4"/>
    <w:basedOn w:val="1"/>
    <w:semiHidden/>
    <w:qFormat/>
    <w:uiPriority w:val="0"/>
    <w:pPr>
      <w:ind w:firstLine="200" w:firstLineChars="200"/>
    </w:pPr>
    <w:rPr>
      <w:rFonts w:ascii="Times New Roman"/>
      <w:sz w:val="24"/>
      <w:szCs w:val="24"/>
    </w:rPr>
  </w:style>
  <w:style w:type="paragraph" w:customStyle="1" w:styleId="3932">
    <w:name w:val="Char Char7 Char Char Char2"/>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3933">
    <w:name w:val="Char Char Char Char Char Char Char Char Char Char Char Char Char Char Char Char Char Char1 Char Char Char Char2"/>
    <w:basedOn w:val="1"/>
    <w:qFormat/>
    <w:uiPriority w:val="0"/>
    <w:rPr>
      <w:rFonts w:ascii="Times New Roman"/>
      <w:sz w:val="21"/>
      <w:szCs w:val="24"/>
    </w:rPr>
  </w:style>
  <w:style w:type="paragraph" w:customStyle="1" w:styleId="3934">
    <w:name w:val="小节标题"/>
    <w:basedOn w:val="1"/>
    <w:next w:val="1"/>
    <w:qFormat/>
    <w:uiPriority w:val="0"/>
    <w:pPr>
      <w:widowControl/>
      <w:spacing w:before="175" w:after="102" w:line="351" w:lineRule="atLeast"/>
      <w:textAlignment w:val="baseline"/>
    </w:pPr>
    <w:rPr>
      <w:rFonts w:ascii="Times New Roman" w:eastAsia="黑体"/>
      <w:color w:val="000000"/>
      <w:kern w:val="0"/>
      <w:sz w:val="21"/>
      <w:szCs w:val="20"/>
      <w:u w:color="000000"/>
    </w:rPr>
  </w:style>
  <w:style w:type="paragraph" w:customStyle="1" w:styleId="3935">
    <w:name w:val="Pa9"/>
    <w:basedOn w:val="1"/>
    <w:next w:val="1"/>
    <w:qFormat/>
    <w:uiPriority w:val="0"/>
    <w:pPr>
      <w:autoSpaceDE w:val="0"/>
      <w:autoSpaceDN w:val="0"/>
      <w:adjustRightInd w:val="0"/>
      <w:spacing w:line="221" w:lineRule="atLeast"/>
      <w:jc w:val="left"/>
    </w:pPr>
    <w:rPr>
      <w:rFonts w:ascii="黑体" w:hAnsi="Calibri" w:eastAsia="黑体"/>
      <w:kern w:val="0"/>
      <w:sz w:val="24"/>
      <w:szCs w:val="24"/>
    </w:rPr>
  </w:style>
  <w:style w:type="paragraph" w:customStyle="1" w:styleId="3936">
    <w:name w:val="样式 居中 行距: 单倍行距"/>
    <w:basedOn w:val="1"/>
    <w:qFormat/>
    <w:uiPriority w:val="0"/>
    <w:pPr>
      <w:jc w:val="center"/>
    </w:pPr>
    <w:rPr>
      <w:rFonts w:hAnsi="宋体"/>
      <w:sz w:val="24"/>
      <w:szCs w:val="20"/>
    </w:rPr>
  </w:style>
  <w:style w:type="paragraph" w:customStyle="1" w:styleId="3937">
    <w:name w:val="kh2"/>
    <w:basedOn w:val="1"/>
    <w:qFormat/>
    <w:uiPriority w:val="0"/>
    <w:pPr>
      <w:widowControl/>
      <w:spacing w:before="100" w:beforeAutospacing="1" w:after="100" w:afterAutospacing="1"/>
      <w:jc w:val="left"/>
    </w:pPr>
    <w:rPr>
      <w:rFonts w:hAnsi="宋体"/>
      <w:kern w:val="0"/>
      <w:sz w:val="18"/>
      <w:szCs w:val="18"/>
    </w:rPr>
  </w:style>
  <w:style w:type="paragraph" w:customStyle="1" w:styleId="3938">
    <w:name w:val="表内序号"/>
    <w:basedOn w:val="1"/>
    <w:qFormat/>
    <w:uiPriority w:val="0"/>
    <w:pPr>
      <w:widowControl/>
      <w:tabs>
        <w:tab w:val="left" w:pos="675"/>
      </w:tabs>
      <w:adjustRightInd w:val="0"/>
      <w:snapToGrid w:val="0"/>
      <w:spacing w:line="360" w:lineRule="auto"/>
      <w:ind w:left="675" w:hanging="675"/>
      <w:jc w:val="left"/>
    </w:pPr>
    <w:rPr>
      <w:rFonts w:ascii="Times New Roman"/>
      <w:kern w:val="0"/>
      <w:sz w:val="24"/>
      <w:szCs w:val="20"/>
    </w:rPr>
  </w:style>
  <w:style w:type="paragraph" w:customStyle="1" w:styleId="3939">
    <w:name w:val="样式 段落1 + 首行缩进:  2 字符"/>
    <w:basedOn w:val="1298"/>
    <w:qFormat/>
    <w:uiPriority w:val="0"/>
    <w:pPr>
      <w:spacing w:line="480" w:lineRule="exact"/>
      <w:ind w:firstLine="504" w:firstLineChars="200"/>
      <w:jc w:val="left"/>
      <w:textAlignment w:val="baseline"/>
    </w:pPr>
    <w:rPr>
      <w:rFonts w:ascii="Calibri" w:hAnsi="Calibri" w:eastAsia="宋体" w:cs="宋体"/>
      <w:spacing w:val="6"/>
      <w:kern w:val="2"/>
      <w:sz w:val="24"/>
      <w:szCs w:val="22"/>
    </w:rPr>
  </w:style>
  <w:style w:type="paragraph" w:customStyle="1" w:styleId="3940">
    <w:name w:val="Char Char2 Char2"/>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b w:val="0"/>
      <w:bCs w:val="0"/>
      <w:snapToGrid w:val="0"/>
      <w:sz w:val="24"/>
      <w:szCs w:val="20"/>
    </w:rPr>
  </w:style>
  <w:style w:type="paragraph" w:customStyle="1" w:styleId="3941">
    <w:name w:val="J【表中文字】"/>
    <w:basedOn w:val="1"/>
    <w:qFormat/>
    <w:uiPriority w:val="0"/>
    <w:pPr>
      <w:jc w:val="center"/>
      <w:textAlignment w:val="center"/>
    </w:pPr>
    <w:rPr>
      <w:rFonts w:ascii="Batang" w:hAnsi="Batang" w:cs="Sim Sun"/>
      <w:sz w:val="21"/>
      <w:szCs w:val="21"/>
    </w:rPr>
  </w:style>
  <w:style w:type="paragraph" w:customStyle="1" w:styleId="3942">
    <w:name w:val="reader-word-layer reader-word-s25-16"/>
    <w:basedOn w:val="1"/>
    <w:qFormat/>
    <w:uiPriority w:val="0"/>
    <w:pPr>
      <w:widowControl/>
      <w:spacing w:before="100" w:beforeAutospacing="1" w:after="100" w:afterAutospacing="1"/>
      <w:jc w:val="left"/>
    </w:pPr>
    <w:rPr>
      <w:rFonts w:hAnsi="宋体" w:cs="宋体"/>
      <w:kern w:val="0"/>
      <w:sz w:val="24"/>
      <w:szCs w:val="24"/>
    </w:rPr>
  </w:style>
  <w:style w:type="paragraph" w:customStyle="1" w:styleId="3943">
    <w:name w:val="验收表格"/>
    <w:basedOn w:val="1"/>
    <w:qFormat/>
    <w:uiPriority w:val="0"/>
    <w:pPr>
      <w:jc w:val="center"/>
    </w:pPr>
    <w:rPr>
      <w:rFonts w:ascii="Times New Roman"/>
      <w:sz w:val="21"/>
      <w:szCs w:val="22"/>
    </w:rPr>
  </w:style>
  <w:style w:type="paragraph" w:customStyle="1" w:styleId="3944">
    <w:name w:val="6级 （1）"/>
    <w:basedOn w:val="1"/>
    <w:qFormat/>
    <w:uiPriority w:val="0"/>
    <w:pPr>
      <w:adjustRightInd w:val="0"/>
      <w:ind w:firstLine="340"/>
      <w:outlineLvl w:val="5"/>
    </w:pPr>
    <w:rPr>
      <w:rFonts w:ascii="Times New Roman"/>
      <w:sz w:val="21"/>
      <w:szCs w:val="20"/>
    </w:rPr>
  </w:style>
  <w:style w:type="paragraph" w:customStyle="1" w:styleId="3945">
    <w:name w:val="xl63"/>
    <w:basedOn w:val="1"/>
    <w:qFormat/>
    <w:uiPriority w:val="0"/>
    <w:pPr>
      <w:widowControl/>
      <w:pBdr>
        <w:top w:val="single" w:color="auto" w:sz="8" w:space="0"/>
      </w:pBdr>
      <w:spacing w:before="100" w:after="100"/>
      <w:jc w:val="center"/>
      <w:textAlignment w:val="top"/>
    </w:pPr>
    <w:rPr>
      <w:rFonts w:ascii="Batang" w:hAnsi="Batang" w:cs="Batang"/>
      <w:kern w:val="0"/>
      <w:sz w:val="24"/>
      <w:szCs w:val="24"/>
    </w:rPr>
  </w:style>
  <w:style w:type="paragraph" w:customStyle="1" w:styleId="3946">
    <w:name w:val="1 Char Char Char Char Char Char Char"/>
    <w:basedOn w:val="1"/>
    <w:qFormat/>
    <w:uiPriority w:val="0"/>
    <w:rPr>
      <w:rFonts w:ascii="Times New Roman"/>
      <w:sz w:val="21"/>
      <w:szCs w:val="24"/>
    </w:rPr>
  </w:style>
  <w:style w:type="paragraph" w:customStyle="1" w:styleId="3947">
    <w:name w:val="Char Char Char1 Char Char Char2"/>
    <w:basedOn w:val="1"/>
    <w:qFormat/>
    <w:uiPriority w:val="0"/>
    <w:pPr>
      <w:autoSpaceDE w:val="0"/>
      <w:autoSpaceDN w:val="0"/>
      <w:adjustRightInd w:val="0"/>
      <w:snapToGrid w:val="0"/>
      <w:spacing w:before="50" w:after="50" w:line="360" w:lineRule="auto"/>
      <w:ind w:firstLine="560" w:firstLineChars="200"/>
    </w:pPr>
    <w:rPr>
      <w:rFonts w:hAnsi="宋体" w:eastAsia="仿宋_GB2312"/>
      <w:color w:val="000000"/>
      <w:sz w:val="24"/>
      <w:szCs w:val="20"/>
    </w:rPr>
  </w:style>
  <w:style w:type="paragraph" w:customStyle="1" w:styleId="3948">
    <w:name w:val="Char Char Char Char Char Char Char Char Char Char Char Char Char Char Char Char Char Char Char Char Char Char Char Char Char Char Char"/>
    <w:basedOn w:val="1"/>
    <w:qFormat/>
    <w:uiPriority w:val="0"/>
    <w:rPr>
      <w:rFonts w:ascii="Times New Roman"/>
      <w:sz w:val="21"/>
      <w:szCs w:val="24"/>
    </w:rPr>
  </w:style>
  <w:style w:type="paragraph" w:customStyle="1" w:styleId="3949">
    <w:name w:val="样式 样式 样式 标题 2 + 首行缩进:  0 厘米 + (中文) 仿宋_GB2312 四号 黑色 首行缩进:  0 厘米 ...."/>
    <w:basedOn w:val="1"/>
    <w:qFormat/>
    <w:uiPriority w:val="0"/>
    <w:pPr>
      <w:keepNext/>
      <w:keepLines/>
      <w:widowControl/>
      <w:tabs>
        <w:tab w:val="left" w:pos="840"/>
      </w:tabs>
      <w:overflowPunct w:val="0"/>
      <w:adjustRightInd w:val="0"/>
      <w:snapToGrid w:val="0"/>
      <w:spacing w:before="100" w:beforeAutospacing="1" w:line="560" w:lineRule="exact"/>
      <w:ind w:left="840" w:hanging="420"/>
      <w:jc w:val="left"/>
      <w:outlineLvl w:val="1"/>
    </w:pPr>
    <w:rPr>
      <w:rFonts w:ascii="Times New Roman" w:cs="宋体"/>
      <w:b/>
      <w:bCs/>
      <w:color w:val="000000"/>
      <w:kern w:val="0"/>
      <w:sz w:val="28"/>
      <w:szCs w:val="20"/>
    </w:rPr>
  </w:style>
  <w:style w:type="paragraph" w:customStyle="1" w:styleId="3950">
    <w:name w:val="Char2 Char Char Char1 Char Char Char"/>
    <w:basedOn w:val="1"/>
    <w:qFormat/>
    <w:uiPriority w:val="0"/>
    <w:pPr>
      <w:widowControl/>
      <w:spacing w:after="160" w:line="240" w:lineRule="exact"/>
      <w:jc w:val="left"/>
    </w:pPr>
    <w:rPr>
      <w:rFonts w:ascii="Arial" w:hAnsi="Arial"/>
      <w:spacing w:val="3"/>
      <w:kern w:val="0"/>
      <w:sz w:val="20"/>
      <w:szCs w:val="20"/>
      <w:lang w:eastAsia="en-US"/>
    </w:rPr>
  </w:style>
  <w:style w:type="paragraph" w:customStyle="1" w:styleId="3951">
    <w:name w:val="2级标题"/>
    <w:basedOn w:val="4"/>
    <w:qFormat/>
    <w:uiPriority w:val="0"/>
    <w:pPr>
      <w:keepNext w:val="0"/>
      <w:keepLines w:val="0"/>
      <w:tabs>
        <w:tab w:val="left" w:pos="992"/>
      </w:tabs>
      <w:snapToGrid w:val="0"/>
      <w:spacing w:before="0" w:after="0" w:line="360" w:lineRule="auto"/>
      <w:ind w:left="992" w:hanging="567"/>
      <w:jc w:val="left"/>
    </w:pPr>
    <w:rPr>
      <w:rFonts w:ascii="Times New Roman" w:hAnsi="Times New Roman" w:cs="宋体"/>
      <w:sz w:val="28"/>
      <w:szCs w:val="30"/>
    </w:rPr>
  </w:style>
  <w:style w:type="paragraph" w:customStyle="1" w:styleId="3952">
    <w:name w:val="样式 标题 3样式　标题 3　自动设置标题 3 Char章 + Times New 表题3"/>
    <w:basedOn w:val="5"/>
    <w:qFormat/>
    <w:uiPriority w:val="0"/>
    <w:pPr>
      <w:tabs>
        <w:tab w:val="left" w:pos="1571"/>
      </w:tabs>
      <w:spacing w:line="413" w:lineRule="auto"/>
      <w:ind w:left="1418" w:hanging="567"/>
    </w:pPr>
    <w:rPr>
      <w:bCs w:val="0"/>
      <w:sz w:val="32"/>
      <w:szCs w:val="20"/>
    </w:rPr>
  </w:style>
  <w:style w:type="paragraph" w:customStyle="1" w:styleId="3953">
    <w:name w:val="Char8 Char Char Char"/>
    <w:basedOn w:val="1"/>
    <w:qFormat/>
    <w:uiPriority w:val="0"/>
    <w:pPr>
      <w:spacing w:line="360" w:lineRule="auto"/>
      <w:ind w:firstLine="200" w:firstLineChars="200"/>
    </w:pPr>
    <w:rPr>
      <w:rFonts w:hAnsi="宋体" w:cs="宋体"/>
      <w:sz w:val="24"/>
      <w:szCs w:val="24"/>
    </w:rPr>
  </w:style>
  <w:style w:type="paragraph" w:customStyle="1" w:styleId="3954">
    <w:name w:val="页眉中"/>
    <w:basedOn w:val="20"/>
    <w:qFormat/>
    <w:uiPriority w:val="0"/>
    <w:pPr>
      <w:tabs>
        <w:tab w:val="left" w:pos="1200"/>
      </w:tabs>
      <w:adjustRightInd w:val="0"/>
      <w:snapToGrid w:val="0"/>
      <w:spacing w:line="300" w:lineRule="auto"/>
      <w:ind w:firstLine="200" w:firstLineChars="200"/>
      <w:jc w:val="left"/>
    </w:pPr>
    <w:rPr>
      <w:rFonts w:ascii="仿宋体" w:hAnsi="Vladimir Script" w:eastAsia="仿宋体" w:cs="Arial Unicode MS"/>
      <w:bCs/>
      <w:snapToGrid/>
      <w:sz w:val="24"/>
      <w:szCs w:val="22"/>
    </w:rPr>
  </w:style>
  <w:style w:type="paragraph" w:customStyle="1" w:styleId="3955">
    <w:name w:val="_Style 38"/>
    <w:basedOn w:val="5"/>
    <w:qFormat/>
    <w:uiPriority w:val="0"/>
    <w:pPr>
      <w:tabs>
        <w:tab w:val="left" w:pos="360"/>
        <w:tab w:val="left" w:pos="900"/>
        <w:tab w:val="left" w:pos="1571"/>
      </w:tabs>
      <w:snapToGrid w:val="0"/>
      <w:spacing w:before="120" w:after="120" w:line="360" w:lineRule="auto"/>
      <w:ind w:left="542" w:leftChars="-12" w:firstLine="200" w:firstLineChars="200"/>
      <w:jc w:val="left"/>
    </w:pPr>
    <w:rPr>
      <w:rFonts w:ascii="宋体"/>
      <w:spacing w:val="5"/>
      <w:sz w:val="32"/>
    </w:rPr>
  </w:style>
  <w:style w:type="paragraph" w:customStyle="1" w:styleId="3956">
    <w:name w:val="样式 表格标题 + 段前: 0.5 行"/>
    <w:basedOn w:val="1"/>
    <w:qFormat/>
    <w:uiPriority w:val="0"/>
    <w:pPr>
      <w:spacing w:beforeLines="20" w:line="360" w:lineRule="auto"/>
      <w:jc w:val="center"/>
    </w:pPr>
    <w:rPr>
      <w:rFonts w:ascii="Times New Roman" w:eastAsia="黑体"/>
      <w:sz w:val="24"/>
      <w:szCs w:val="24"/>
    </w:rPr>
  </w:style>
  <w:style w:type="paragraph" w:customStyle="1" w:styleId="3957">
    <w:name w:val="1 Char"/>
    <w:basedOn w:val="1"/>
    <w:qFormat/>
    <w:uiPriority w:val="0"/>
    <w:rPr>
      <w:rFonts w:ascii="Tahoma" w:hAnsi="Tahoma"/>
      <w:sz w:val="24"/>
      <w:szCs w:val="20"/>
    </w:rPr>
  </w:style>
  <w:style w:type="paragraph" w:customStyle="1" w:styleId="3958">
    <w:name w:val="正文的样式"/>
    <w:basedOn w:val="1"/>
    <w:qFormat/>
    <w:uiPriority w:val="0"/>
    <w:pPr>
      <w:adjustRightInd w:val="0"/>
      <w:snapToGrid w:val="0"/>
      <w:spacing w:before="60" w:after="45" w:line="360" w:lineRule="auto"/>
      <w:ind w:right="36" w:rightChars="15" w:firstLine="200" w:firstLineChars="200"/>
    </w:pPr>
    <w:rPr>
      <w:rFonts w:hAnsi="Symbol"/>
      <w:sz w:val="24"/>
      <w:szCs w:val="24"/>
    </w:rPr>
  </w:style>
  <w:style w:type="paragraph" w:customStyle="1" w:styleId="3959">
    <w:name w:val="节正文"/>
    <w:basedOn w:val="1"/>
    <w:qFormat/>
    <w:uiPriority w:val="0"/>
    <w:pPr>
      <w:spacing w:beforeLines="20" w:afterLines="20" w:line="360" w:lineRule="auto"/>
      <w:ind w:left="100" w:leftChars="100" w:firstLine="200" w:firstLineChars="200"/>
    </w:pPr>
    <w:rPr>
      <w:rFonts w:ascii="Batang" w:hAnsi="Batang" w:cs="Batang"/>
      <w:sz w:val="24"/>
      <w:szCs w:val="24"/>
    </w:rPr>
  </w:style>
  <w:style w:type="paragraph" w:customStyle="1" w:styleId="3960">
    <w:name w:val="xl80"/>
    <w:basedOn w:val="1"/>
    <w:qFormat/>
    <w:uiPriority w:val="0"/>
    <w:pPr>
      <w:widowControl/>
      <w:pBdr>
        <w:bottom w:val="single" w:color="auto" w:sz="8" w:space="0"/>
        <w:right w:val="single" w:color="auto" w:sz="8" w:space="0"/>
      </w:pBdr>
      <w:spacing w:before="100" w:after="100"/>
      <w:jc w:val="center"/>
      <w:textAlignment w:val="center"/>
    </w:pPr>
    <w:rPr>
      <w:rFonts w:ascii="Batang" w:hAnsi="Batang" w:cs="Batang"/>
      <w:kern w:val="0"/>
      <w:sz w:val="24"/>
      <w:szCs w:val="24"/>
    </w:rPr>
  </w:style>
  <w:style w:type="paragraph" w:customStyle="1" w:styleId="3961">
    <w:name w:val="T1 0.5"/>
    <w:basedOn w:val="1"/>
    <w:qFormat/>
    <w:uiPriority w:val="0"/>
    <w:pPr>
      <w:tabs>
        <w:tab w:val="left" w:pos="840"/>
      </w:tabs>
      <w:adjustRightInd w:val="0"/>
      <w:spacing w:before="240" w:after="120" w:line="360" w:lineRule="atLeast"/>
      <w:ind w:left="840" w:hanging="420"/>
      <w:jc w:val="left"/>
      <w:textAlignment w:val="baseline"/>
    </w:pPr>
    <w:rPr>
      <w:rFonts w:ascii="華康中楷體" w:eastAsia="華康中楷體"/>
      <w:kern w:val="0"/>
      <w:sz w:val="28"/>
      <w:szCs w:val="20"/>
      <w:lang w:eastAsia="zh-TW"/>
    </w:rPr>
  </w:style>
  <w:style w:type="paragraph" w:customStyle="1" w:styleId="3962">
    <w:name w:val="样式 表内5 + 首行缩进:  2 字符"/>
    <w:basedOn w:val="3290"/>
    <w:qFormat/>
    <w:uiPriority w:val="0"/>
    <w:pPr>
      <w:tabs>
        <w:tab w:val="left" w:pos="4305"/>
      </w:tabs>
      <w:spacing w:line="400" w:lineRule="exact"/>
      <w:ind w:firstLine="420"/>
      <w:jc w:val="center"/>
    </w:pPr>
    <w:rPr>
      <w:rFonts w:ascii="宋体" w:hAnsi="宋体" w:cs="Times New Roman"/>
      <w:color w:val="000000"/>
      <w:shd w:val="pct10" w:color="auto" w:fill="FFFFFF"/>
    </w:rPr>
  </w:style>
  <w:style w:type="paragraph" w:customStyle="1" w:styleId="3963">
    <w:name w:val="正文OK"/>
    <w:basedOn w:val="1"/>
    <w:qFormat/>
    <w:uiPriority w:val="0"/>
    <w:pPr>
      <w:spacing w:line="360" w:lineRule="auto"/>
      <w:ind w:firstLine="200" w:firstLineChars="200"/>
    </w:pPr>
    <w:rPr>
      <w:rFonts w:ascii="Times New Roman"/>
      <w:kern w:val="0"/>
      <w:sz w:val="24"/>
      <w:szCs w:val="24"/>
    </w:rPr>
  </w:style>
  <w:style w:type="paragraph" w:customStyle="1" w:styleId="3964">
    <w:name w:val="图p"/>
    <w:basedOn w:val="1"/>
    <w:qFormat/>
    <w:uiPriority w:val="0"/>
    <w:pPr>
      <w:adjustRightInd w:val="0"/>
      <w:snapToGrid w:val="0"/>
      <w:jc w:val="center"/>
    </w:pPr>
    <w:rPr>
      <w:rFonts w:ascii="Times New Roman"/>
      <w:bCs/>
      <w:snapToGrid w:val="0"/>
      <w:sz w:val="21"/>
      <w:szCs w:val="24"/>
    </w:rPr>
  </w:style>
  <w:style w:type="paragraph" w:customStyle="1" w:styleId="3965">
    <w:name w:val="reader-word-layer reader-word-s20-22"/>
    <w:basedOn w:val="1"/>
    <w:qFormat/>
    <w:uiPriority w:val="0"/>
    <w:pPr>
      <w:widowControl/>
      <w:spacing w:before="100" w:beforeAutospacing="1" w:after="100" w:afterAutospacing="1"/>
      <w:jc w:val="left"/>
    </w:pPr>
    <w:rPr>
      <w:rFonts w:hAnsi="宋体" w:cs="宋体"/>
      <w:kern w:val="0"/>
      <w:sz w:val="24"/>
      <w:szCs w:val="24"/>
    </w:rPr>
  </w:style>
  <w:style w:type="paragraph" w:customStyle="1" w:styleId="3966">
    <w:name w:val="样式 一般正文 + 行距: 多倍行距 1.15 字行"/>
    <w:basedOn w:val="2599"/>
    <w:qFormat/>
    <w:uiPriority w:val="0"/>
    <w:pPr>
      <w:spacing w:line="240" w:lineRule="auto"/>
      <w:ind w:right="0" w:rightChars="0" w:firstLine="200"/>
    </w:pPr>
    <w:rPr>
      <w:rFonts w:cs="Sim Sun"/>
    </w:rPr>
  </w:style>
  <w:style w:type="paragraph" w:customStyle="1" w:styleId="3967">
    <w:name w:val="样式 标题 1 + 首行缩进:  0.74 厘米"/>
    <w:basedOn w:val="3"/>
    <w:qFormat/>
    <w:uiPriority w:val="0"/>
    <w:pPr>
      <w:tabs>
        <w:tab w:val="left" w:pos="425"/>
      </w:tabs>
      <w:spacing w:beforeLines="0" w:after="330" w:line="240" w:lineRule="exact"/>
      <w:ind w:left="425" w:firstLine="422"/>
    </w:pPr>
    <w:rPr>
      <w:rFonts w:eastAsia="宋体" w:cs="宋体"/>
      <w:b/>
      <w:bCs/>
      <w:snapToGrid/>
      <w:sz w:val="32"/>
      <w:szCs w:val="20"/>
    </w:rPr>
  </w:style>
  <w:style w:type="paragraph" w:customStyle="1" w:styleId="3968">
    <w:name w:val="偶页脚样式"/>
    <w:basedOn w:val="51"/>
    <w:qFormat/>
    <w:uiPriority w:val="0"/>
    <w:pPr>
      <w:keepLines/>
      <w:widowControl/>
      <w:pBdr>
        <w:bottom w:val="single" w:color="auto" w:sz="6" w:space="1"/>
      </w:pBdr>
      <w:tabs>
        <w:tab w:val="center" w:pos="-18551"/>
        <w:tab w:val="right" w:pos="4320"/>
        <w:tab w:val="clear" w:pos="4153"/>
        <w:tab w:val="clear" w:pos="8306"/>
      </w:tabs>
      <w:snapToGrid/>
      <w:spacing w:before="600"/>
      <w:ind w:left="1080"/>
    </w:pPr>
    <w:rPr>
      <w:rFonts w:ascii="Arial" w:hAnsi="Arial" w:eastAsia="宋体"/>
      <w:b/>
      <w:snapToGrid/>
      <w:spacing w:val="-4"/>
      <w:kern w:val="0"/>
      <w:sz w:val="20"/>
      <w:szCs w:val="20"/>
    </w:rPr>
  </w:style>
  <w:style w:type="paragraph" w:customStyle="1" w:styleId="3969">
    <w:name w:val="reader-word-layer reader-word-s20-15 reader-word-s20-25"/>
    <w:basedOn w:val="1"/>
    <w:qFormat/>
    <w:uiPriority w:val="0"/>
    <w:pPr>
      <w:widowControl/>
      <w:spacing w:before="100" w:beforeAutospacing="1" w:after="100" w:afterAutospacing="1"/>
      <w:jc w:val="left"/>
    </w:pPr>
    <w:rPr>
      <w:rFonts w:hAnsi="宋体" w:cs="宋体"/>
      <w:kern w:val="0"/>
      <w:sz w:val="24"/>
      <w:szCs w:val="24"/>
    </w:rPr>
  </w:style>
  <w:style w:type="paragraph" w:customStyle="1" w:styleId="3970">
    <w:name w:val="标准段落"/>
    <w:basedOn w:val="1"/>
    <w:next w:val="1"/>
    <w:qFormat/>
    <w:uiPriority w:val="0"/>
    <w:pPr>
      <w:snapToGrid w:val="0"/>
      <w:spacing w:line="360" w:lineRule="auto"/>
      <w:ind w:firstLine="480" w:firstLineChars="200"/>
    </w:pPr>
    <w:rPr>
      <w:rFonts w:ascii="Times New Roman" w:hAnsi="宋体"/>
      <w:sz w:val="24"/>
      <w:szCs w:val="24"/>
    </w:rPr>
  </w:style>
  <w:style w:type="paragraph" w:customStyle="1" w:styleId="3971">
    <w:name w:val="垃圾 正文首行缩进"/>
    <w:basedOn w:val="1"/>
    <w:qFormat/>
    <w:uiPriority w:val="0"/>
    <w:pPr>
      <w:tabs>
        <w:tab w:val="center" w:pos="4804"/>
      </w:tabs>
      <w:adjustRightInd w:val="0"/>
      <w:snapToGrid w:val="0"/>
      <w:spacing w:line="420" w:lineRule="exact"/>
      <w:ind w:firstLine="200" w:firstLineChars="200"/>
    </w:pPr>
    <w:rPr>
      <w:rFonts w:ascii="仿宋_GB2312" w:hAnsi="宋体" w:eastAsia="仿宋_GB2312"/>
      <w:color w:val="000000"/>
      <w:kern w:val="0"/>
      <w:sz w:val="28"/>
      <w:szCs w:val="20"/>
    </w:rPr>
  </w:style>
  <w:style w:type="paragraph" w:customStyle="1" w:styleId="3972">
    <w:name w:val="Char Char11 Char Char Char Char"/>
    <w:basedOn w:val="1"/>
    <w:next w:val="1"/>
    <w:qFormat/>
    <w:uiPriority w:val="0"/>
    <w:pPr>
      <w:spacing w:line="360" w:lineRule="auto"/>
      <w:ind w:firstLine="200" w:firstLineChars="200"/>
    </w:pPr>
    <w:rPr>
      <w:rFonts w:hAnsi="宋体" w:cs="宋体"/>
      <w:sz w:val="24"/>
      <w:szCs w:val="24"/>
    </w:rPr>
  </w:style>
  <w:style w:type="paragraph" w:customStyle="1" w:styleId="3973">
    <w:name w:val="样式 样式 标题 1 + 黑体 三号 + 右侧:  1 字符"/>
    <w:basedOn w:val="2570"/>
    <w:qFormat/>
    <w:uiPriority w:val="0"/>
    <w:pPr>
      <w:ind w:right="210"/>
      <w:jc w:val="left"/>
    </w:pPr>
    <w:rPr>
      <w:rFonts w:cs="宋体"/>
      <w:szCs w:val="20"/>
    </w:rPr>
  </w:style>
  <w:style w:type="paragraph" w:customStyle="1" w:styleId="3974">
    <w:name w:val="样式 标题 51)项标题 5 Char1) Char项 Char标5一级项 + 小四"/>
    <w:basedOn w:val="7"/>
    <w:qFormat/>
    <w:uiPriority w:val="0"/>
    <w:pPr>
      <w:tabs>
        <w:tab w:val="left" w:pos="2781"/>
        <w:tab w:val="clear" w:pos="1440"/>
        <w:tab w:val="clear" w:pos="2627"/>
      </w:tabs>
      <w:spacing w:line="360" w:lineRule="auto"/>
      <w:ind w:left="880" w:firstLine="200"/>
    </w:pPr>
    <w:rPr>
      <w:rFonts w:hint="default" w:hAnsi="Arial" w:cs="宋体"/>
      <w:color w:val="auto"/>
      <w:kern w:val="24"/>
      <w:sz w:val="28"/>
      <w:szCs w:val="28"/>
    </w:rPr>
  </w:style>
  <w:style w:type="paragraph" w:customStyle="1" w:styleId="3975">
    <w:name w:val="样式 小四 首行缩进:  1.01 厘米 行距: 1.5 倍行距"/>
    <w:basedOn w:val="1"/>
    <w:qFormat/>
    <w:uiPriority w:val="0"/>
    <w:pPr>
      <w:adjustRightInd w:val="0"/>
      <w:snapToGrid w:val="0"/>
      <w:spacing w:line="360" w:lineRule="auto"/>
      <w:ind w:firstLine="200" w:firstLineChars="200"/>
    </w:pPr>
    <w:rPr>
      <w:rFonts w:ascii="Times New Roman" w:cs="宋体"/>
      <w:snapToGrid w:val="0"/>
      <w:kern w:val="24"/>
      <w:sz w:val="24"/>
      <w:szCs w:val="24"/>
    </w:rPr>
  </w:style>
  <w:style w:type="paragraph" w:customStyle="1" w:styleId="3976">
    <w:name w:val="报告正文文字"/>
    <w:basedOn w:val="1"/>
    <w:qFormat/>
    <w:uiPriority w:val="0"/>
    <w:pPr>
      <w:widowControl/>
      <w:autoSpaceDE w:val="0"/>
      <w:autoSpaceDN w:val="0"/>
      <w:spacing w:line="360" w:lineRule="auto"/>
      <w:ind w:firstLine="480" w:firstLineChars="200"/>
    </w:pPr>
    <w:rPr>
      <w:rFonts w:hAnsi="宋体"/>
      <w:color w:val="000000"/>
      <w:spacing w:val="4"/>
      <w:kern w:val="0"/>
      <w:sz w:val="24"/>
      <w:szCs w:val="20"/>
    </w:rPr>
  </w:style>
  <w:style w:type="paragraph" w:customStyle="1" w:styleId="3977">
    <w:name w:val="章标题(不加入目录内)"/>
    <w:basedOn w:val="80"/>
    <w:qFormat/>
    <w:uiPriority w:val="0"/>
    <w:pPr>
      <w:keepLines/>
      <w:pageBreakBefore/>
      <w:spacing w:after="120"/>
      <w:outlineLvl w:val="9"/>
    </w:pPr>
    <w:rPr>
      <w:rFonts w:ascii="Arial" w:hAnsi="Arial" w:eastAsia="黑体" w:cs="宋体"/>
      <w:bCs w:val="0"/>
      <w:spacing w:val="0"/>
      <w:sz w:val="36"/>
      <w:szCs w:val="20"/>
    </w:rPr>
  </w:style>
  <w:style w:type="paragraph" w:customStyle="1" w:styleId="3978">
    <w:name w:val="样式 标题 2节标题 1.1b21.1标题2b21 Char1.1标题2 Char标题 21节标题 1.11b2..."/>
    <w:basedOn w:val="4"/>
    <w:qFormat/>
    <w:uiPriority w:val="0"/>
    <w:pPr>
      <w:keepNext w:val="0"/>
      <w:keepLines w:val="0"/>
      <w:widowControl/>
      <w:tabs>
        <w:tab w:val="left" w:pos="0"/>
        <w:tab w:val="left" w:pos="576"/>
        <w:tab w:val="left" w:pos="992"/>
      </w:tabs>
      <w:adjustRightInd w:val="0"/>
      <w:spacing w:before="360" w:after="0" w:line="480" w:lineRule="auto"/>
      <w:ind w:left="992" w:firstLine="200" w:firstLineChars="200"/>
      <w:jc w:val="left"/>
    </w:pPr>
    <w:rPr>
      <w:rFonts w:ascii="仿宋体" w:hAnsi="Arial Unicode MS" w:eastAsia="仿宋体" w:cs="Sim Sun"/>
      <w:b w:val="0"/>
      <w:bCs w:val="0"/>
      <w:smallCaps/>
      <w:snapToGrid/>
      <w:kern w:val="0"/>
      <w:sz w:val="28"/>
      <w:szCs w:val="28"/>
    </w:rPr>
  </w:style>
  <w:style w:type="paragraph" w:customStyle="1" w:styleId="3979">
    <w:name w:val="表尾"/>
    <w:basedOn w:val="1"/>
    <w:next w:val="1"/>
    <w:qFormat/>
    <w:uiPriority w:val="0"/>
    <w:pPr>
      <w:ind w:right="28"/>
      <w:jc w:val="left"/>
    </w:pPr>
    <w:rPr>
      <w:rFonts w:hAnsi="宋体"/>
      <w:snapToGrid w:val="0"/>
      <w:color w:val="FF0000"/>
      <w:sz w:val="18"/>
      <w:szCs w:val="18"/>
    </w:rPr>
  </w:style>
  <w:style w:type="paragraph" w:customStyle="1" w:styleId="3980">
    <w:name w:val="文本框5号两端齐"/>
    <w:basedOn w:val="1"/>
    <w:semiHidden/>
    <w:qFormat/>
    <w:uiPriority w:val="0"/>
    <w:pPr>
      <w:widowControl/>
    </w:pPr>
    <w:rPr>
      <w:rFonts w:ascii="Times New Roman" w:eastAsia="仿宋_GB2312"/>
      <w:sz w:val="21"/>
      <w:szCs w:val="21"/>
    </w:rPr>
  </w:style>
  <w:style w:type="paragraph" w:customStyle="1" w:styleId="3981">
    <w:name w:val="reader-word-layer reader-word-s28-8 reader-word-s28-15"/>
    <w:basedOn w:val="1"/>
    <w:qFormat/>
    <w:uiPriority w:val="0"/>
    <w:pPr>
      <w:widowControl/>
      <w:spacing w:before="100" w:beforeAutospacing="1" w:after="100" w:afterAutospacing="1"/>
      <w:jc w:val="left"/>
    </w:pPr>
    <w:rPr>
      <w:rFonts w:hAnsi="宋体" w:cs="宋体"/>
      <w:kern w:val="0"/>
      <w:sz w:val="24"/>
      <w:szCs w:val="24"/>
    </w:rPr>
  </w:style>
  <w:style w:type="paragraph" w:customStyle="1" w:styleId="3982">
    <w:name w:val="表格内容（新）"/>
    <w:basedOn w:val="1"/>
    <w:qFormat/>
    <w:uiPriority w:val="0"/>
    <w:pPr>
      <w:jc w:val="center"/>
    </w:pPr>
    <w:rPr>
      <w:rFonts w:ascii="Times New Roman" w:cs="宋体"/>
      <w:color w:val="339966"/>
      <w:sz w:val="18"/>
      <w:szCs w:val="18"/>
    </w:rPr>
  </w:style>
  <w:style w:type="paragraph" w:customStyle="1" w:styleId="3983">
    <w:name w:val="reader-word-layer reader-word-s28-24"/>
    <w:basedOn w:val="1"/>
    <w:qFormat/>
    <w:uiPriority w:val="0"/>
    <w:pPr>
      <w:widowControl/>
      <w:spacing w:before="100" w:beforeAutospacing="1" w:after="100" w:afterAutospacing="1"/>
      <w:jc w:val="left"/>
    </w:pPr>
    <w:rPr>
      <w:rFonts w:hAnsi="宋体" w:cs="宋体"/>
      <w:kern w:val="0"/>
      <w:sz w:val="24"/>
      <w:szCs w:val="24"/>
    </w:rPr>
  </w:style>
  <w:style w:type="paragraph" w:customStyle="1" w:styleId="3984">
    <w:name w:val="封面标题"/>
    <w:qFormat/>
    <w:uiPriority w:val="0"/>
    <w:pPr>
      <w:jc w:val="center"/>
    </w:pPr>
    <w:rPr>
      <w:rFonts w:ascii="Calibri" w:hAnsi="Calibri" w:eastAsia="宋体" w:cs="Times New Roman"/>
      <w:b/>
      <w:bCs/>
      <w:sz w:val="52"/>
      <w:szCs w:val="52"/>
      <w:lang w:val="en-US" w:eastAsia="zh-CN" w:bidi="ar-SA"/>
    </w:rPr>
  </w:style>
  <w:style w:type="paragraph" w:customStyle="1" w:styleId="3985">
    <w:name w:val="reader-word-layer reader-word-s20-19"/>
    <w:basedOn w:val="1"/>
    <w:qFormat/>
    <w:uiPriority w:val="0"/>
    <w:pPr>
      <w:widowControl/>
      <w:spacing w:before="100" w:beforeAutospacing="1" w:after="100" w:afterAutospacing="1"/>
      <w:jc w:val="left"/>
    </w:pPr>
    <w:rPr>
      <w:rFonts w:hAnsi="宋体" w:cs="宋体"/>
      <w:kern w:val="0"/>
      <w:sz w:val="24"/>
      <w:szCs w:val="24"/>
    </w:rPr>
  </w:style>
  <w:style w:type="paragraph" w:customStyle="1" w:styleId="3986">
    <w:name w:val="样式 燕山正文 + 首行缩进:  3.5 字符1"/>
    <w:basedOn w:val="940"/>
    <w:qFormat/>
    <w:uiPriority w:val="0"/>
    <w:pPr>
      <w:spacing w:beforeLines="30" w:afterLines="30"/>
      <w:ind w:firstLine="200"/>
    </w:pPr>
    <w:rPr>
      <w:rFonts w:hAnsi="Times New Roman"/>
      <w:color w:val="000000"/>
      <w:sz w:val="28"/>
      <w:szCs w:val="20"/>
    </w:rPr>
  </w:style>
  <w:style w:type="paragraph" w:customStyle="1" w:styleId="3987">
    <w:name w:val="正文加粗"/>
    <w:basedOn w:val="1"/>
    <w:qFormat/>
    <w:uiPriority w:val="0"/>
    <w:pPr>
      <w:spacing w:line="360" w:lineRule="auto"/>
    </w:pPr>
    <w:rPr>
      <w:b/>
      <w:sz w:val="24"/>
      <w:szCs w:val="20"/>
    </w:rPr>
  </w:style>
  <w:style w:type="paragraph" w:customStyle="1" w:styleId="3988">
    <w:name w:val="Char Char Char Char Char Char Char Char Char Char Char1 Char Char Char Char Char Char Char3"/>
    <w:basedOn w:val="1"/>
    <w:qFormat/>
    <w:uiPriority w:val="0"/>
    <w:rPr>
      <w:rFonts w:ascii="Times New Roman"/>
      <w:sz w:val="21"/>
      <w:szCs w:val="24"/>
    </w:rPr>
  </w:style>
  <w:style w:type="paragraph" w:customStyle="1" w:styleId="3989">
    <w:name w:val="普通(网站)3"/>
    <w:basedOn w:val="1"/>
    <w:qFormat/>
    <w:uiPriority w:val="0"/>
    <w:pPr>
      <w:widowControl/>
      <w:adjustRightInd w:val="0"/>
      <w:spacing w:before="100" w:after="100"/>
      <w:jc w:val="left"/>
      <w:textAlignment w:val="baseline"/>
    </w:pPr>
    <w:rPr>
      <w:rFonts w:hAnsi="宋体"/>
      <w:color w:val="000000"/>
      <w:kern w:val="0"/>
      <w:sz w:val="24"/>
      <w:szCs w:val="20"/>
    </w:rPr>
  </w:style>
  <w:style w:type="paragraph" w:customStyle="1" w:styleId="3990">
    <w:name w:val="样式 样式 正文缩进 + 首行缩进:  2 字符1 + 首行缩进:  2 字符1"/>
    <w:basedOn w:val="3036"/>
    <w:qFormat/>
    <w:uiPriority w:val="0"/>
    <w:pPr>
      <w:ind w:firstLine="512"/>
      <w:jc w:val="both"/>
    </w:pPr>
    <w:rPr>
      <w:rFonts w:ascii="Times New Roman" w:hAnsi="Times New Roman"/>
      <w:color w:val="000000"/>
    </w:rPr>
  </w:style>
  <w:style w:type="paragraph" w:customStyle="1" w:styleId="3991">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kern w:val="0"/>
      <w:sz w:val="18"/>
      <w:szCs w:val="18"/>
    </w:rPr>
  </w:style>
  <w:style w:type="paragraph" w:customStyle="1" w:styleId="3992">
    <w:name w:val="Char Char Char1 Char5"/>
    <w:basedOn w:val="1"/>
    <w:next w:val="1"/>
    <w:qFormat/>
    <w:uiPriority w:val="0"/>
    <w:pPr>
      <w:spacing w:line="360" w:lineRule="auto"/>
      <w:ind w:firstLine="200" w:firstLineChars="200"/>
    </w:pPr>
    <w:rPr>
      <w:rFonts w:hAnsi="宋体" w:eastAsia="汉鼎简书宋" w:cs="宋体"/>
      <w:sz w:val="24"/>
      <w:szCs w:val="24"/>
    </w:rPr>
  </w:style>
  <w:style w:type="paragraph" w:customStyle="1" w:styleId="3993">
    <w:name w:val="reader-word-layer reader-word-s1-19"/>
    <w:basedOn w:val="1"/>
    <w:qFormat/>
    <w:uiPriority w:val="0"/>
    <w:pPr>
      <w:widowControl/>
      <w:spacing w:before="100" w:beforeAutospacing="1" w:after="100" w:afterAutospacing="1"/>
      <w:jc w:val="left"/>
    </w:pPr>
    <w:rPr>
      <w:rFonts w:hAnsi="宋体" w:cs="宋体"/>
      <w:kern w:val="0"/>
      <w:sz w:val="24"/>
      <w:szCs w:val="24"/>
    </w:rPr>
  </w:style>
  <w:style w:type="paragraph" w:customStyle="1" w:styleId="3994">
    <w:name w:val="样式 宋体 小四 加粗 黑色"/>
    <w:basedOn w:val="1"/>
    <w:qFormat/>
    <w:uiPriority w:val="0"/>
    <w:pPr>
      <w:spacing w:line="440" w:lineRule="exact"/>
      <w:ind w:firstLine="494" w:firstLineChars="196"/>
    </w:pPr>
    <w:rPr>
      <w:rFonts w:hAnsi="宋体" w:cs="宋体"/>
      <w:b/>
      <w:bCs/>
      <w:color w:val="000000"/>
      <w:sz w:val="24"/>
      <w:szCs w:val="20"/>
    </w:rPr>
  </w:style>
  <w:style w:type="table" w:customStyle="1" w:styleId="3995">
    <w:name w:val="网格型模版131"/>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96">
    <w:name w:val="斜头22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7">
    <w:name w:val="网格型 5211"/>
    <w:basedOn w:val="84"/>
    <w:qFormat/>
    <w:uiPriority w:val="0"/>
    <w:pPr>
      <w:widowControl w:val="0"/>
      <w:spacing w:line="52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8">
    <w:name w:val="网格型36"/>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99">
    <w:name w:val="表格样式121"/>
    <w:basedOn w:val="85"/>
    <w:qFormat/>
    <w:uiPriority w:val="0"/>
    <w:pPr>
      <w:widowControl w:val="0"/>
      <w:spacing w:line="360" w:lineRule="exact"/>
      <w:jc w:val="both"/>
    </w:pPr>
    <w:rPr>
      <w:rFonts w:ascii="Calibri" w:hAnsi="Calibri"/>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0">
    <w:name w:val="表格样式1"/>
    <w:basedOn w:val="85"/>
    <w:qFormat/>
    <w:uiPriority w:val="0"/>
    <w:pPr>
      <w:widowControl w:val="0"/>
      <w:spacing w:line="360" w:lineRule="exact"/>
      <w:jc w:val="center"/>
    </w:pPr>
    <w:rPr>
      <w:rFonts w:ascii="Calibri" w:hAnsi="Calibri"/>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4001">
    <w:name w:val="表格样式12"/>
    <w:basedOn w:val="85"/>
    <w:qFormat/>
    <w:uiPriority w:val="0"/>
    <w:pPr>
      <w:widowControl w:val="0"/>
      <w:spacing w:line="360" w:lineRule="exact"/>
      <w:jc w:val="both"/>
    </w:pPr>
    <w:rPr>
      <w:rFonts w:ascii="Calibri" w:hAnsi="Calibri"/>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2">
    <w:name w:val="表格主题7"/>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3">
    <w:name w:val="斜头13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4">
    <w:name w:val="网格型 18"/>
    <w:basedOn w:val="84"/>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5">
    <w:name w:val="表格样式1112"/>
    <w:basedOn w:val="85"/>
    <w:qFormat/>
    <w:uiPriority w:val="0"/>
    <w:pPr>
      <w:widowControl w:val="0"/>
      <w:spacing w:line="360" w:lineRule="exact"/>
      <w:jc w:val="center"/>
    </w:pPr>
    <w:rPr>
      <w:rFonts w:ascii="Calibri" w:hAnsi="Calibri"/>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6">
    <w:name w:val="彩色型 110"/>
    <w:basedOn w:val="84"/>
    <w:unhideWhenUsed/>
    <w:qFormat/>
    <w:uiPriority w:val="0"/>
    <w:pPr>
      <w:widowControl w:val="0"/>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4007">
    <w:name w:val="网格型模版71"/>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8">
    <w:name w:val="斜头212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9">
    <w:name w:val="彩色型 210"/>
    <w:basedOn w:val="84"/>
    <w:unhideWhenUsed/>
    <w:qFormat/>
    <w:uiPriority w:val="0"/>
    <w:pPr>
      <w:widowControl w:val="0"/>
      <w:jc w:val="both"/>
    </w:pPr>
    <w:rPr>
      <w:rFonts w:ascii="Calibri" w:hAnsi="Calibri"/>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4010">
    <w:name w:val="斜头112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1">
    <w:name w:val="彩色型 310"/>
    <w:basedOn w:val="84"/>
    <w:unhideWhenUsed/>
    <w:qFormat/>
    <w:uiPriority w:val="0"/>
    <w:pPr>
      <w:widowControl w:val="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12">
    <w:name w:val="网格型模版51"/>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3">
    <w:name w:val="斜头11113"/>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4">
    <w:name w:val="斜头7"/>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5">
    <w:name w:val="网格型-无边竖线1"/>
    <w:basedOn w:val="84"/>
    <w:qFormat/>
    <w:uiPriority w:val="0"/>
    <w:rPr>
      <w:rFonts w:ascii="Wingdings" w:hAnsi="Wingding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4016">
    <w:name w:val="斜头14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17">
    <w:name w:val="网格型55"/>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8">
    <w:name w:val="网格型134"/>
    <w:basedOn w:val="84"/>
    <w:qFormat/>
    <w:uiPriority w:val="0"/>
    <w:pPr>
      <w:widowControl w:val="0"/>
      <w:autoSpaceDE w:val="0"/>
      <w:autoSpaceDN w:val="0"/>
      <w:adjustRightInd w:val="0"/>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9">
    <w:name w:val="专业型2"/>
    <w:basedOn w:val="84"/>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20">
    <w:name w:val="网格型 210"/>
    <w:basedOn w:val="84"/>
    <w:qFormat/>
    <w:uiPriority w:val="0"/>
    <w:pPr>
      <w:widowControl w:val="0"/>
      <w:jc w:val="both"/>
    </w:pPr>
    <w:rPr>
      <w:rFonts w:ascii="Calibri" w:hAnsi="Calibri"/>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4021">
    <w:name w:val="报告书样式2"/>
    <w:basedOn w:val="85"/>
    <w:qFormat/>
    <w:uiPriority w:val="0"/>
    <w:pPr>
      <w:widowControl w:val="0"/>
      <w:spacing w:line="360" w:lineRule="auto"/>
      <w:jc w:val="center"/>
    </w:pPr>
    <w:rPr>
      <w:rFonts w:ascii="Calibri" w:hAnsi="Calibri"/>
      <w:sz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tcPr>
      <w:vAlign w:val="center"/>
    </w:tcPr>
  </w:style>
  <w:style w:type="table" w:customStyle="1" w:styleId="4022">
    <w:name w:val="网格型 510"/>
    <w:basedOn w:val="84"/>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3">
    <w:name w:val="网格型67"/>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4">
    <w:name w:val="斜头44"/>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5">
    <w:name w:val="自定义1"/>
    <w:basedOn w:val="85"/>
    <w:qFormat/>
    <w:uiPriority w:val="0"/>
    <w:pPr>
      <w:widowControl w:val="0"/>
      <w:spacing w:line="360" w:lineRule="exact"/>
      <w:jc w:val="center"/>
    </w:pPr>
    <w:rPr>
      <w:rFonts w:ascii="Calibri" w:hAnsi="Calibri"/>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6">
    <w:name w:val="网格型模版371"/>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7">
    <w:name w:val="网格型321"/>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8">
    <w:name w:val="斜头11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9">
    <w:name w:val="网格型 116"/>
    <w:basedOn w:val="84"/>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0">
    <w:name w:val="斜头221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1">
    <w:name w:val="环评11"/>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2">
    <w:name w:val="列表型 32"/>
    <w:basedOn w:val="84"/>
    <w:qFormat/>
    <w:uiPriority w:val="0"/>
    <w:pPr>
      <w:widowControl w:val="0"/>
      <w:jc w:val="both"/>
    </w:pPr>
    <w:rPr>
      <w:rFonts w:ascii="Calibri" w:hAnsi="Calibri"/>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4033">
    <w:name w:val="网格型73"/>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4">
    <w:name w:val="表格样式111"/>
    <w:basedOn w:val="85"/>
    <w:qFormat/>
    <w:uiPriority w:val="0"/>
    <w:pPr>
      <w:widowControl w:val="0"/>
      <w:spacing w:line="360" w:lineRule="exact"/>
      <w:jc w:val="both"/>
    </w:pPr>
    <w:rPr>
      <w:rFonts w:ascii="Calibri" w:hAnsi="Calibri"/>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5">
    <w:name w:val="网格型模版8"/>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6">
    <w:name w:val="表格样式1111"/>
    <w:basedOn w:val="85"/>
    <w:qFormat/>
    <w:uiPriority w:val="0"/>
    <w:pPr>
      <w:widowControl w:val="0"/>
      <w:spacing w:line="360" w:lineRule="exact"/>
      <w:jc w:val="both"/>
    </w:pPr>
    <w:rPr>
      <w:rFonts w:ascii="Calibri" w:hAnsi="Calibri"/>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7">
    <w:name w:val="网格型210"/>
    <w:basedOn w:val="8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8">
    <w:name w:val="网格型151"/>
    <w:basedOn w:val="84"/>
    <w:qFormat/>
    <w:uiPriority w:val="0"/>
    <w:pPr>
      <w:widowControl w:val="0"/>
      <w:autoSpaceDE w:val="0"/>
      <w:autoSpaceDN w:val="0"/>
      <w:adjustRightInd w:val="0"/>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9">
    <w:name w:val="斜头511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0">
    <w:name w:val="斜头141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1">
    <w:name w:val="斜头16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2">
    <w:name w:val="网格型91"/>
    <w:basedOn w:val="84"/>
    <w:unhideWhenUsed/>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3">
    <w:name w:val="斜头112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4">
    <w:name w:val="斜头21"/>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45">
    <w:name w:val="网格型模版15"/>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6">
    <w:name w:val="普通表格17"/>
    <w:semiHidden/>
    <w:qFormat/>
    <w:uiPriority w:val="0"/>
    <w:rPr>
      <w:rFonts w:ascii="Calibri" w:hAnsi="Calibri" w:eastAsia="Times New Roman"/>
    </w:rPr>
    <w:tblPr>
      <w:tblCellMar>
        <w:top w:w="0" w:type="dxa"/>
        <w:left w:w="108" w:type="dxa"/>
        <w:bottom w:w="0" w:type="dxa"/>
        <w:right w:w="108" w:type="dxa"/>
      </w:tblCellMar>
    </w:tblPr>
  </w:style>
  <w:style w:type="table" w:customStyle="1" w:styleId="4047">
    <w:name w:val="网格型模版17"/>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8">
    <w:name w:val="网格型模版251"/>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9">
    <w:name w:val="报告表格式"/>
    <w:basedOn w:val="85"/>
    <w:qFormat/>
    <w:uiPriority w:val="0"/>
    <w:pPr>
      <w:widowControl w:val="0"/>
      <w:spacing w:line="360" w:lineRule="exact"/>
      <w:jc w:val="center"/>
    </w:pPr>
    <w:rPr>
      <w:rFonts w:ascii="Calibri" w:hAnsi="Calibri"/>
      <w:sz w:val="21"/>
    </w:rPr>
    <w:tblPr>
      <w:jc w:val="cente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4050">
    <w:name w:val="dg"/>
    <w:basedOn w:val="84"/>
    <w:qFormat/>
    <w:uiPriority w:val="0"/>
    <w:pPr>
      <w:jc w:val="center"/>
    </w:pPr>
    <w:rPr>
      <w:rFonts w:ascii="宋体" w:hAnsi="宋体" w:cs="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4051">
    <w:name w:val="网格型模版27"/>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2">
    <w:name w:val="斜头32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3">
    <w:name w:val="报告书样式1"/>
    <w:basedOn w:val="85"/>
    <w:qFormat/>
    <w:uiPriority w:val="0"/>
    <w:pPr>
      <w:widowControl w:val="0"/>
      <w:spacing w:line="360" w:lineRule="auto"/>
      <w:jc w:val="center"/>
    </w:pPr>
    <w:rPr>
      <w:rFonts w:ascii="Calibri" w:hAnsi="Calibri"/>
      <w:sz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tcPr>
      <w:vAlign w:val="center"/>
    </w:tcPr>
  </w:style>
  <w:style w:type="table" w:customStyle="1" w:styleId="4054">
    <w:name w:val="网格型241"/>
    <w:basedOn w:val="84"/>
    <w:qFormat/>
    <w:uiPriority w:val="0"/>
    <w:pPr>
      <w:widowControl w:val="0"/>
      <w:spacing w:line="0" w:lineRule="atLeast"/>
      <w:jc w:val="center"/>
    </w:pPr>
    <w:rPr>
      <w:rFonts w:ascii="Calibri" w:hAnsi="Calibri"/>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
    <w:tcPr>
      <w:vAlign w:val="center"/>
    </w:tcPr>
  </w:style>
  <w:style w:type="table" w:customStyle="1" w:styleId="4055">
    <w:name w:val="网格型模版39"/>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6">
    <w:name w:val="斜头151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7">
    <w:name w:val="网格型模版521"/>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8">
    <w:name w:val="网格型c5"/>
    <w:basedOn w:val="8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9">
    <w:name w:val="斜头212"/>
    <w:basedOn w:val="1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0">
    <w:name w:val="网格型模版14"/>
    <w:basedOn w:val="84"/>
    <w:qFormat/>
    <w:uiPriority w:val="0"/>
    <w:pPr>
      <w:widowControl w:val="0"/>
      <w:spacing w:line="360" w:lineRule="exact"/>
      <w:jc w:val="center"/>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61">
    <w:name w:val="网格型37"/>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62">
    <w:name w:val="网格型38"/>
    <w:basedOn w:val="84"/>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063">
    <w:name w:val="正文文本缩进 2 Char2"/>
    <w:qFormat/>
    <w:uiPriority w:val="0"/>
    <w:rPr>
      <w:rFonts w:eastAsia="黑体"/>
      <w:snapToGrid w:val="0"/>
      <w:kern w:val="2"/>
      <w:sz w:val="21"/>
      <w:szCs w:val="24"/>
    </w:rPr>
  </w:style>
  <w:style w:type="paragraph" w:customStyle="1" w:styleId="4064">
    <w:name w:val="z-窗体顶端4"/>
    <w:basedOn w:val="1"/>
    <w:next w:val="1"/>
    <w:unhideWhenUsed/>
    <w:qFormat/>
    <w:uiPriority w:val="0"/>
    <w:pPr>
      <w:pBdr>
        <w:bottom w:val="single" w:color="auto" w:sz="6" w:space="1"/>
      </w:pBdr>
      <w:jc w:val="center"/>
    </w:pPr>
    <w:rPr>
      <w:rFonts w:ascii="Arial" w:hAnsi="Arial" w:cs="Arial"/>
      <w:vanish/>
      <w:spacing w:val="5"/>
      <w:sz w:val="16"/>
      <w:szCs w:val="16"/>
    </w:rPr>
  </w:style>
  <w:style w:type="character" w:customStyle="1" w:styleId="4065">
    <w:name w:val="z-窗体顶端 Char3"/>
    <w:basedOn w:val="129"/>
    <w:qFormat/>
    <w:uiPriority w:val="0"/>
    <w:rPr>
      <w:rFonts w:ascii="Arial" w:hAnsi="Arial" w:cs="Arial"/>
      <w:vanish/>
      <w:kern w:val="2"/>
      <w:sz w:val="16"/>
      <w:szCs w:val="16"/>
    </w:rPr>
  </w:style>
  <w:style w:type="paragraph" w:customStyle="1" w:styleId="4066">
    <w:name w:val="TOC 标题4"/>
    <w:basedOn w:val="3"/>
    <w:next w:val="1"/>
    <w:qFormat/>
    <w:uiPriority w:val="39"/>
    <w:pPr>
      <w:widowControl/>
      <w:spacing w:beforeLines="0" w:line="276" w:lineRule="auto"/>
      <w:jc w:val="left"/>
      <w:outlineLvl w:val="9"/>
    </w:pPr>
    <w:rPr>
      <w:rFonts w:ascii="Cambria" w:hAnsi="Cambria" w:eastAsia="宋体"/>
      <w:b/>
      <w:bCs/>
      <w:snapToGrid/>
      <w:color w:val="365F91"/>
      <w:kern w:val="0"/>
      <w:sz w:val="28"/>
      <w:szCs w:val="28"/>
    </w:rPr>
  </w:style>
  <w:style w:type="paragraph" w:customStyle="1" w:styleId="4067">
    <w:name w:val="z-窗体底端4"/>
    <w:basedOn w:val="1"/>
    <w:next w:val="1"/>
    <w:unhideWhenUsed/>
    <w:qFormat/>
    <w:uiPriority w:val="0"/>
    <w:pPr>
      <w:pBdr>
        <w:top w:val="single" w:color="auto" w:sz="6" w:space="1"/>
      </w:pBdr>
      <w:jc w:val="center"/>
    </w:pPr>
    <w:rPr>
      <w:rFonts w:ascii="Arial" w:hAnsi="Arial" w:cs="Arial"/>
      <w:vanish/>
      <w:spacing w:val="5"/>
      <w:sz w:val="16"/>
      <w:szCs w:val="16"/>
    </w:rPr>
  </w:style>
  <w:style w:type="character" w:customStyle="1" w:styleId="4068">
    <w:name w:val="z-窗体底端 Char3"/>
    <w:basedOn w:val="129"/>
    <w:qFormat/>
    <w:uiPriority w:val="0"/>
    <w:rPr>
      <w:rFonts w:ascii="Arial" w:hAnsi="Arial" w:cs="Arial"/>
      <w:vanish/>
      <w:kern w:val="2"/>
      <w:sz w:val="16"/>
      <w:szCs w:val="16"/>
    </w:rPr>
  </w:style>
  <w:style w:type="table" w:customStyle="1" w:styleId="4069">
    <w:name w:val="网格型 581"/>
    <w:basedOn w:val="8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070">
    <w:name w:val="彩色型 181"/>
    <w:basedOn w:val="84"/>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071">
    <w:name w:val="彩色型 281"/>
    <w:basedOn w:val="84"/>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4072">
    <w:name w:val="彩色型 381"/>
    <w:basedOn w:val="84"/>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4073">
    <w:name w:val="网格型 171"/>
    <w:basedOn w:val="8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4074">
    <w:name w:val="网格型 281"/>
    <w:basedOn w:val="84"/>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character" w:customStyle="1" w:styleId="4075">
    <w:name w:val="不明显强调3"/>
    <w:qFormat/>
    <w:uiPriority w:val="19"/>
    <w:rPr>
      <w:i/>
      <w:iCs/>
      <w:color w:val="808080"/>
    </w:rPr>
  </w:style>
  <w:style w:type="paragraph" w:customStyle="1" w:styleId="4076">
    <w:name w:val="修订3"/>
    <w:hidden/>
    <w:qFormat/>
    <w:uiPriority w:val="0"/>
    <w:rPr>
      <w:rFonts w:ascii="Times New Roman" w:hAnsi="Times New Roman" w:eastAsia="宋体" w:cs="Times New Roman"/>
      <w:kern w:val="2"/>
      <w:sz w:val="21"/>
      <w:lang w:val="en-US" w:eastAsia="zh-CN" w:bidi="ar-SA"/>
    </w:rPr>
  </w:style>
  <w:style w:type="table" w:customStyle="1" w:styleId="4077">
    <w:name w:val="立体型 21"/>
    <w:basedOn w:val="84"/>
    <w:unhideWhenUsed/>
    <w:qFormat/>
    <w:uiPriority w:val="0"/>
    <w:pPr>
      <w:widowControl w:val="0"/>
      <w:jc w:val="both"/>
    </w:pPr>
    <w:rPr>
      <w:rFonts w:ascii="Calibri" w:hAnsi="Calibri"/>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78">
    <w:name w:val="竖列型 21"/>
    <w:basedOn w:val="84"/>
    <w:unhideWhenUsed/>
    <w:qFormat/>
    <w:uiPriority w:val="0"/>
    <w:pPr>
      <w:widowControl w:val="0"/>
      <w:jc w:val="both"/>
    </w:pPr>
    <w:rPr>
      <w:rFonts w:ascii="Calibri" w:hAnsi="Calibri"/>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79">
    <w:name w:val="立体型 31"/>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0">
    <w:name w:val="竖列型 41"/>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4081">
    <w:name w:val="精巧型 11"/>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2">
    <w:name w:val="网格型371"/>
    <w:basedOn w:val="8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83">
    <w:name w:val="精巧型 12"/>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4">
    <w:name w:val="立体型 22"/>
    <w:basedOn w:val="84"/>
    <w:unhideWhenUsed/>
    <w:qFormat/>
    <w:uiPriority w:val="0"/>
    <w:pPr>
      <w:widowControl w:val="0"/>
      <w:jc w:val="both"/>
    </w:pPr>
    <w:rPr>
      <w:rFonts w:ascii="Calibri" w:hAnsi="Calibri"/>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5">
    <w:name w:val="立体型 32"/>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6">
    <w:name w:val="竖列型 22"/>
    <w:basedOn w:val="84"/>
    <w:unhideWhenUsed/>
    <w:qFormat/>
    <w:uiPriority w:val="0"/>
    <w:pPr>
      <w:widowControl w:val="0"/>
      <w:jc w:val="both"/>
    </w:pPr>
    <w:rPr>
      <w:rFonts w:ascii="Calibri" w:hAnsi="Calibri"/>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7">
    <w:name w:val="竖列型 42"/>
    <w:basedOn w:val="84"/>
    <w:unhideWhenUsed/>
    <w:qFormat/>
    <w:uiPriority w:val="0"/>
    <w:pPr>
      <w:widowControl w:val="0"/>
      <w:jc w:val="both"/>
    </w:pPr>
    <w:rPr>
      <w:rFonts w:ascii="Calibri" w:hAnsi="Calibri"/>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paragraph" w:customStyle="1" w:styleId="4088">
    <w:name w:val="z-窗体顶端5"/>
    <w:basedOn w:val="1"/>
    <w:next w:val="1"/>
    <w:link w:val="4089"/>
    <w:unhideWhenUsed/>
    <w:qFormat/>
    <w:uiPriority w:val="0"/>
    <w:pPr>
      <w:pBdr>
        <w:bottom w:val="single" w:color="auto" w:sz="6" w:space="1"/>
      </w:pBdr>
      <w:jc w:val="center"/>
    </w:pPr>
    <w:rPr>
      <w:rFonts w:ascii="Arial" w:hAnsi="Arial" w:cs="Arial"/>
      <w:vanish/>
      <w:spacing w:val="5"/>
      <w:sz w:val="16"/>
      <w:szCs w:val="16"/>
    </w:rPr>
  </w:style>
  <w:style w:type="character" w:customStyle="1" w:styleId="4089">
    <w:name w:val="z-窗体顶端 字符"/>
    <w:basedOn w:val="129"/>
    <w:link w:val="4088"/>
    <w:qFormat/>
    <w:uiPriority w:val="0"/>
    <w:rPr>
      <w:rFonts w:ascii="Arial" w:hAnsi="Arial" w:cs="Arial"/>
      <w:vanish/>
      <w:spacing w:val="5"/>
      <w:kern w:val="2"/>
      <w:sz w:val="16"/>
      <w:szCs w:val="16"/>
    </w:rPr>
  </w:style>
  <w:style w:type="paragraph" w:customStyle="1" w:styleId="4090">
    <w:name w:val="TOC 标题5"/>
    <w:basedOn w:val="3"/>
    <w:next w:val="1"/>
    <w:qFormat/>
    <w:uiPriority w:val="39"/>
    <w:pPr>
      <w:widowControl/>
      <w:spacing w:beforeLines="0" w:line="276" w:lineRule="auto"/>
      <w:jc w:val="left"/>
      <w:outlineLvl w:val="9"/>
    </w:pPr>
    <w:rPr>
      <w:rFonts w:ascii="Cambria" w:hAnsi="Cambria" w:eastAsia="宋体"/>
      <w:b/>
      <w:bCs/>
      <w:snapToGrid/>
      <w:color w:val="365F91"/>
      <w:kern w:val="0"/>
      <w:sz w:val="28"/>
      <w:szCs w:val="28"/>
    </w:rPr>
  </w:style>
  <w:style w:type="paragraph" w:customStyle="1" w:styleId="4091">
    <w:name w:val="z-窗体底端5"/>
    <w:basedOn w:val="1"/>
    <w:next w:val="1"/>
    <w:unhideWhenUsed/>
    <w:qFormat/>
    <w:uiPriority w:val="0"/>
    <w:pPr>
      <w:pBdr>
        <w:top w:val="single" w:color="auto" w:sz="6" w:space="1"/>
      </w:pBdr>
      <w:jc w:val="center"/>
    </w:pPr>
    <w:rPr>
      <w:rFonts w:ascii="Arial" w:hAnsi="Arial" w:cs="Arial"/>
      <w:vanish/>
      <w:spacing w:val="5"/>
      <w:sz w:val="16"/>
      <w:szCs w:val="16"/>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75.jpeg"/><Relationship Id="rId96" Type="http://schemas.openxmlformats.org/officeDocument/2006/relationships/image" Target="media/image74.jpe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footer" Target="foot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header" Target="head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wmf"/><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wmf"/><Relationship Id="rId66" Type="http://schemas.openxmlformats.org/officeDocument/2006/relationships/image" Target="media/image44.png"/><Relationship Id="rId65" Type="http://schemas.openxmlformats.org/officeDocument/2006/relationships/image" Target="media/image43.wmf"/><Relationship Id="rId64" Type="http://schemas.openxmlformats.org/officeDocument/2006/relationships/image" Target="media/image42.wmf"/><Relationship Id="rId63" Type="http://schemas.openxmlformats.org/officeDocument/2006/relationships/image" Target="media/image41.wmf"/><Relationship Id="rId62" Type="http://schemas.openxmlformats.org/officeDocument/2006/relationships/image" Target="media/image40.png"/><Relationship Id="rId61" Type="http://schemas.openxmlformats.org/officeDocument/2006/relationships/chart" Target="charts/chart4.xml"/><Relationship Id="rId60" Type="http://schemas.openxmlformats.org/officeDocument/2006/relationships/chart" Target="charts/chart3.xml"/><Relationship Id="rId6" Type="http://schemas.openxmlformats.org/officeDocument/2006/relationships/header" Target="header2.xml"/><Relationship Id="rId59" Type="http://schemas.openxmlformats.org/officeDocument/2006/relationships/image" Target="media/image39.wmf"/><Relationship Id="rId58" Type="http://schemas.openxmlformats.org/officeDocument/2006/relationships/image" Target="media/image38.wmf"/><Relationship Id="rId57" Type="http://schemas.openxmlformats.org/officeDocument/2006/relationships/image" Target="media/image37.wmf"/><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emf"/><Relationship Id="rId53" Type="http://schemas.openxmlformats.org/officeDocument/2006/relationships/image" Target="media/image33.jpeg"/><Relationship Id="rId52" Type="http://schemas.openxmlformats.org/officeDocument/2006/relationships/image" Target="media/image32.pn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footer" Target="footer2.xml"/><Relationship Id="rId49" Type="http://schemas.openxmlformats.org/officeDocument/2006/relationships/image" Target="media/image29.emf"/><Relationship Id="rId48" Type="http://schemas.openxmlformats.org/officeDocument/2006/relationships/chart" Target="charts/chart2.xml"/><Relationship Id="rId47" Type="http://schemas.openxmlformats.org/officeDocument/2006/relationships/chart" Target="charts/chart1.xml"/><Relationship Id="rId46" Type="http://schemas.openxmlformats.org/officeDocument/2006/relationships/image" Target="media/image28.wmf"/><Relationship Id="rId45" Type="http://schemas.openxmlformats.org/officeDocument/2006/relationships/image" Target="media/image27.wmf"/><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emf"/><Relationship Id="rId41" Type="http://schemas.openxmlformats.org/officeDocument/2006/relationships/image" Target="media/image23.emf"/><Relationship Id="rId40" Type="http://schemas.openxmlformats.org/officeDocument/2006/relationships/image" Target="media/image22.png"/><Relationship Id="rId4" Type="http://schemas.openxmlformats.org/officeDocument/2006/relationships/header" Target="head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emf"/><Relationship Id="rId36" Type="http://schemas.openxmlformats.org/officeDocument/2006/relationships/image" Target="media/image18.jpe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emf"/><Relationship Id="rId25" Type="http://schemas.openxmlformats.org/officeDocument/2006/relationships/image" Target="media/image7.pn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wmf"/><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0" Type="http://schemas.openxmlformats.org/officeDocument/2006/relationships/fontTable" Target="fontTable.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BaiduSyncdisk\&#27668;&#35937;&#25968;&#25454;\&#21776;&#23665;&#24066;\54535&#26361;&#22915;&#30008;\2004-2023&#24180;&#22320;&#38754;&#27668;&#35937;&#32479;&#35745;\&#27668;&#35937;&#25968;&#25454;&#32479;&#357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BaiduSyncdisk\&#27668;&#35937;&#25968;&#25454;\&#21776;&#23665;&#24066;\54535&#26361;&#22915;&#30008;\2004-2023&#24180;&#22320;&#38754;&#27668;&#35937;&#32479;&#35745;\&#27668;&#35937;&#25968;&#25454;&#32479;&#357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ZJ\&#29615;&#35780;\&#25253;&#21578;&#20070;\2023.8.1\6&#24352;&#23478;&#21475;&#32996;&#26771;&#23433;&#38450;&#35774;&#22791;&#21046;&#36896;&#26377;&#38480;&#20844;&#21496;\&#22320;&#19979;&#27700;&#39044;&#27979;(&#20108;&#30002;&#33519;&#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ZJ\&#29615;&#35780;\&#25253;&#21578;&#20070;\&#21776;&#23665;\&#20844;&#31034;\&#22320;&#19979;&#27700;&#39044;&#27979;(COD&#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宋体" panose="02010600030101010101" charset="-122"/>
                <a:cs typeface="+mn-cs"/>
              </a:defRPr>
            </a:pPr>
            <a:r>
              <a:rPr lang="zh-CN" altLang="en-US" sz="1200"/>
              <a:t>温度</a:t>
            </a:r>
            <a:endParaRPr lang="zh-CN" altLang="en-US" sz="1200"/>
          </a:p>
        </c:rich>
      </c:tx>
      <c:layout/>
      <c:overlay val="0"/>
      <c:spPr>
        <a:noFill/>
        <a:ln>
          <a:noFill/>
        </a:ln>
        <a:effectLst/>
      </c:spPr>
    </c:title>
    <c:autoTitleDeleted val="0"/>
    <c:plotArea>
      <c:layout>
        <c:manualLayout>
          <c:layoutTarget val="inner"/>
          <c:xMode val="edge"/>
          <c:yMode val="edge"/>
          <c:x val="0.130576334208224"/>
          <c:y val="0.167592592592593"/>
          <c:w val="0.777756999125109"/>
          <c:h val="0.781481481481481"/>
        </c:manualLayout>
      </c:layout>
      <c:scatterChart>
        <c:scatterStyle val="smoothMarker"/>
        <c:varyColors val="0"/>
        <c:ser>
          <c:idx val="0"/>
          <c:order val="0"/>
          <c:tx>
            <c:strRef>
              <c:f>Sheet1!$A$2</c:f>
              <c:strCache>
                <c:ptCount val="1"/>
                <c:pt idx="0">
                  <c:v>温度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strRef>
              <c:f>Sheet1!$B$1:$M$1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xVal>
          <c:yVal>
            <c:numRef>
              <c:f>Sheet1!$B$2:$M$2</c:f>
              <c:numCache>
                <c:formatCode>General</c:formatCode>
                <c:ptCount val="12"/>
                <c:pt idx="0">
                  <c:v>-3.72</c:v>
                </c:pt>
                <c:pt idx="1">
                  <c:v>-0.8</c:v>
                </c:pt>
                <c:pt idx="2">
                  <c:v>6.07</c:v>
                </c:pt>
                <c:pt idx="3">
                  <c:v>13.3</c:v>
                </c:pt>
                <c:pt idx="4">
                  <c:v>19.69</c:v>
                </c:pt>
                <c:pt idx="5">
                  <c:v>23.66</c:v>
                </c:pt>
                <c:pt idx="6">
                  <c:v>26.19</c:v>
                </c:pt>
                <c:pt idx="7">
                  <c:v>25.57</c:v>
                </c:pt>
                <c:pt idx="8">
                  <c:v>21.35</c:v>
                </c:pt>
                <c:pt idx="9">
                  <c:v>13.95</c:v>
                </c:pt>
                <c:pt idx="10">
                  <c:v>5.51</c:v>
                </c:pt>
                <c:pt idx="11">
                  <c:v>-1.81</c:v>
                </c:pt>
              </c:numCache>
            </c:numRef>
          </c:yVal>
          <c:smooth val="1"/>
        </c:ser>
        <c:dLbls>
          <c:showLegendKey val="0"/>
          <c:showVal val="0"/>
          <c:showCatName val="0"/>
          <c:showSerName val="0"/>
          <c:showPercent val="0"/>
          <c:showBubbleSize val="0"/>
        </c:dLbls>
        <c:axId val="538115072"/>
        <c:axId val="537924352"/>
      </c:scatterChart>
      <c:valAx>
        <c:axId val="538115072"/>
        <c:scaling>
          <c:orientation val="minMax"/>
          <c:max val="12"/>
          <c:min val="1"/>
        </c:scaling>
        <c:delete val="0"/>
        <c:axPos val="b"/>
        <c:numFmt formatCode="d&quot;月&quot;;@"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p>
        </c:txPr>
        <c:crossAx val="537924352"/>
        <c:crosses val="autoZero"/>
        <c:crossBetween val="midCat"/>
        <c:majorUnit val="1"/>
      </c:valAx>
      <c:valAx>
        <c:axId val="5379243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r>
                  <a:rPr lang="zh-CN" altLang="en-US"/>
                  <a:t>摄氏度（</a:t>
                </a:r>
                <a:r>
                  <a:rPr lang="zh-CN" altLang="en-US">
                    <a:latin typeface="Times New Roman" panose="02020603050405020304" charset="0"/>
                    <a:cs typeface="Times New Roman" panose="02020603050405020304" charset="0"/>
                  </a:rPr>
                  <a:t>℃</a:t>
                </a:r>
                <a:r>
                  <a:rPr lang="zh-CN" altLang="en-US"/>
                  <a:t>）</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p>
        </c:txPr>
        <c:crossAx val="538115072"/>
        <c:crosses val="autoZero"/>
        <c:crossBetween val="midCat"/>
      </c:valAx>
      <c:spPr>
        <a:solidFill>
          <a:srgbClr val="FF9999">
            <a:alpha val="0"/>
          </a:srgbClr>
        </a:solidFill>
        <a:ln>
          <a:noFill/>
        </a:ln>
        <a:effectLst/>
      </c:spPr>
    </c:plotArea>
    <c:plotVisOnly val="1"/>
    <c:dispBlanksAs val="gap"/>
    <c:showDLblsOverMax val="0"/>
    <c:extLst>
      <c:ext uri="{0b15fc19-7d7d-44ad-8c2d-2c3a37ce22c3}">
        <chartProps xmlns="https://web.wps.cn/et/2018/main" chartId="{91b83c7a-632c-4177-9d22-615972fcd41d}"/>
      </c:ext>
    </c:extLst>
  </c:chart>
  <c:spPr>
    <a:solidFill>
      <a:schemeClr val="bg1"/>
    </a:solidFill>
    <a:ln w="6350" cap="flat" cmpd="sng" algn="ctr">
      <a:solidFill>
        <a:schemeClr val="tx1"/>
      </a:solidFill>
      <a:prstDash val="solid"/>
      <a:round/>
    </a:ln>
    <a:effectLst/>
  </c:spPr>
  <c:txPr>
    <a:bodyPr/>
    <a:lstStyle/>
    <a:p>
      <a:pPr>
        <a:defRPr lang="zh-CN" baseline="0">
          <a:latin typeface="Times New Roman" panose="02020603050405020304" charset="0"/>
          <a:ea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宋体" panose="02010600030101010101" charset="-122"/>
                <a:cs typeface="+mn-cs"/>
              </a:defRPr>
            </a:pPr>
            <a:r>
              <a:rPr lang="zh-CN" altLang="en-US"/>
              <a:t>风速</a:t>
            </a:r>
            <a:endParaRPr lang="zh-CN" altLang="en-US"/>
          </a:p>
        </c:rich>
      </c:tx>
      <c:layout/>
      <c:overlay val="0"/>
      <c:spPr>
        <a:noFill/>
        <a:ln>
          <a:noFill/>
        </a:ln>
        <a:effectLst/>
      </c:spPr>
    </c:title>
    <c:autoTitleDeleted val="0"/>
    <c:plotArea>
      <c:layout>
        <c:manualLayout>
          <c:layoutTarget val="inner"/>
          <c:xMode val="edge"/>
          <c:yMode val="edge"/>
          <c:x val="0.130576334208224"/>
          <c:y val="0.167592592592593"/>
          <c:w val="0.777756999125109"/>
          <c:h val="0.781481481481481"/>
        </c:manualLayout>
      </c:layout>
      <c:scatterChart>
        <c:scatterStyle val="smooth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Sheet1!$B$28:$M$28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Sheet1!$B$29:$M$29</c:f>
              <c:numCache>
                <c:formatCode>General</c:formatCode>
                <c:ptCount val="12"/>
                <c:pt idx="0">
                  <c:v>2.24</c:v>
                </c:pt>
                <c:pt idx="1">
                  <c:v>2.53</c:v>
                </c:pt>
                <c:pt idx="2">
                  <c:v>3.08</c:v>
                </c:pt>
                <c:pt idx="3">
                  <c:v>3.39</c:v>
                </c:pt>
                <c:pt idx="4">
                  <c:v>3.14</c:v>
                </c:pt>
                <c:pt idx="5">
                  <c:v>2.65</c:v>
                </c:pt>
                <c:pt idx="6">
                  <c:v>2.33</c:v>
                </c:pt>
                <c:pt idx="7">
                  <c:v>2</c:v>
                </c:pt>
                <c:pt idx="8">
                  <c:v>1.99</c:v>
                </c:pt>
                <c:pt idx="9">
                  <c:v>2.1</c:v>
                </c:pt>
                <c:pt idx="10">
                  <c:v>2.26</c:v>
                </c:pt>
                <c:pt idx="11">
                  <c:v>2.29</c:v>
                </c:pt>
              </c:numCache>
            </c:numRef>
          </c:yVal>
          <c:smooth val="1"/>
        </c:ser>
        <c:dLbls>
          <c:showLegendKey val="0"/>
          <c:showVal val="0"/>
          <c:showCatName val="0"/>
          <c:showSerName val="0"/>
          <c:showPercent val="0"/>
          <c:showBubbleSize val="0"/>
        </c:dLbls>
        <c:axId val="537953024"/>
        <c:axId val="537954560"/>
      </c:scatterChart>
      <c:valAx>
        <c:axId val="537953024"/>
        <c:scaling>
          <c:orientation val="minMax"/>
          <c:max val="12"/>
          <c:min val="1"/>
        </c:scaling>
        <c:delete val="0"/>
        <c:axPos val="b"/>
        <c:numFmt formatCode="d&quot;月&quot;;@"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p>
        </c:txPr>
        <c:crossAx val="537954560"/>
        <c:crosses val="autoZero"/>
        <c:crossBetween val="midCat"/>
        <c:majorUnit val="1"/>
      </c:valAx>
      <c:valAx>
        <c:axId val="537954560"/>
        <c:scaling>
          <c:orientation val="minMax"/>
          <c:min val="1.5"/>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r>
                  <a:rPr lang="en-US" altLang="zh-CN"/>
                  <a:t>m/s</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mn-cs"/>
              </a:defRPr>
            </a:pPr>
          </a:p>
        </c:txPr>
        <c:crossAx val="537953024"/>
        <c:crosses val="autoZero"/>
        <c:crossBetween val="midCat"/>
      </c:valAx>
      <c:spPr>
        <a:solidFill>
          <a:srgbClr val="FF9999">
            <a:alpha val="0"/>
          </a:srgbClr>
        </a:solidFill>
        <a:ln>
          <a:noFill/>
        </a:ln>
        <a:effectLst/>
      </c:spPr>
    </c:plotArea>
    <c:plotVisOnly val="1"/>
    <c:dispBlanksAs val="gap"/>
    <c:showDLblsOverMax val="0"/>
    <c:extLst>
      <c:ext uri="{0b15fc19-7d7d-44ad-8c2d-2c3a37ce22c3}">
        <chartProps xmlns="https://web.wps.cn/et/2018/main" chartId="{f919dbdf-0f9e-4cbd-8ba5-b42fa514251e}"/>
      </c:ext>
    </c:extLst>
  </c:chart>
  <c:spPr>
    <a:solidFill>
      <a:schemeClr val="bg1"/>
    </a:solidFill>
    <a:ln w="3175" cap="flat" cmpd="sng" algn="ctr">
      <a:solidFill>
        <a:schemeClr val="tx1"/>
      </a:solidFill>
      <a:prstDash val="solid"/>
      <a:round/>
    </a:ln>
    <a:effectLst/>
  </c:spPr>
  <c:txPr>
    <a:bodyPr/>
    <a:lstStyle/>
    <a:p>
      <a:pPr>
        <a:defRPr lang="zh-CN" baseline="0">
          <a:latin typeface="Times New Roman" panose="02020603050405020304" charset="0"/>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b="1">
                <a:latin typeface="Times New Roman" panose="02020603050405020304" charset="0"/>
                <a:ea typeface="Times New Roman" panose="02020603050405020304" charset="0"/>
                <a:cs typeface="Times New Roman" panose="02020603050405020304" charset="0"/>
                <a:sym typeface="Times New Roman" panose="02020603050405020304" charset="0"/>
              </a:rPr>
              <a:t>COD</a:t>
            </a:r>
            <a:r>
              <a:rPr b="1">
                <a:latin typeface="Times New Roman" panose="02020603050405020304" charset="0"/>
                <a:ea typeface="Times New Roman" panose="02020603050405020304" charset="0"/>
                <a:cs typeface="Times New Roman" panose="02020603050405020304" charset="0"/>
                <a:sym typeface="Times New Roman" panose="02020603050405020304" charset="0"/>
              </a:rPr>
              <a:t>（叠加背景值后）</a:t>
            </a:r>
            <a:endParaRPr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13385315139701"/>
          <c:y val="0.0682261208576999"/>
        </c:manualLayout>
      </c:layout>
      <c:overlay val="0"/>
      <c:spPr>
        <a:noFill/>
        <a:ln>
          <a:noFill/>
        </a:ln>
        <a:effectLst/>
      </c:spPr>
    </c:title>
    <c:autoTitleDeleted val="0"/>
    <c:plotArea>
      <c:layout>
        <c:manualLayout>
          <c:layoutTarget val="inner"/>
          <c:xMode val="edge"/>
          <c:yMode val="edge"/>
          <c:x val="0.102846003898635"/>
          <c:y val="0.317089018843405"/>
          <c:w val="0.837374918778428"/>
          <c:h val="0.495040069309075"/>
        </c:manualLayout>
      </c:layout>
      <c:scatterChart>
        <c:scatterStyle val="smoothMarker"/>
        <c:varyColors val="0"/>
        <c:ser>
          <c:idx val="0"/>
          <c:order val="0"/>
          <c:tx>
            <c:strRef>
              <c:f>'[地下水预测(二甲苯）.xlsx]耗氧量'!$H$1</c:f>
              <c:strCache>
                <c:ptCount val="1"/>
                <c:pt idx="0">
                  <c:v>100d</c:v>
                </c:pt>
              </c:strCache>
            </c:strRef>
          </c:tx>
          <c:spPr>
            <a:ln w="19050" cap="rnd" cmpd="sng" algn="ctr">
              <a:solidFill>
                <a:schemeClr val="accent1"/>
              </a:solidFill>
              <a:prstDash val="solid"/>
              <a:round/>
            </a:ln>
            <a:effectLst/>
          </c:spPr>
          <c:marker>
            <c:symbol val="none"/>
          </c:marker>
          <c:dLbls>
            <c:delete val="1"/>
          </c:dLbls>
          <c:xVal>
            <c:numRef>
              <c:f>'[地下水预测(二甲苯）.xlsx]耗氧量'!$G$2:$G$52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'[地下水预测(二甲苯）.xlsx]耗氧量'!$H$2:$H$52</c:f>
              <c:numCache>
                <c:formatCode>General</c:formatCode>
                <c:ptCount val="51"/>
                <c:pt idx="0">
                  <c:v>13.18453</c:v>
                </c:pt>
                <c:pt idx="1">
                  <c:v>10.59407</c:v>
                </c:pt>
                <c:pt idx="2">
                  <c:v>5.163138</c:v>
                </c:pt>
                <c:pt idx="3">
                  <c:v>1.526221</c:v>
                </c:pt>
                <c:pt idx="4">
                  <c:v>0.2736363</c:v>
                </c:pt>
                <c:pt idx="5">
                  <c:v>0.02975656</c:v>
                </c:pt>
                <c:pt idx="6">
                  <c:v>0.001962658</c:v>
                </c:pt>
                <c:pt idx="7">
                  <c:v>7.85162000000001e-5</c:v>
                </c:pt>
                <c:pt idx="8">
                  <c:v>1.905139e-6</c:v>
                </c:pt>
                <c:pt idx="9">
                  <c:v>2.803799e-8</c:v>
                </c:pt>
                <c:pt idx="10">
                  <c:v>2.502763e-10</c:v>
                </c:pt>
                <c:pt idx="11">
                  <c:v>1.355019e-12</c:v>
                </c:pt>
                <c:pt idx="12">
                  <c:v>4.44963000000001e-15</c:v>
                </c:pt>
                <c:pt idx="13">
                  <c:v>8.86247600000002e-18</c:v>
                </c:pt>
                <c:pt idx="14">
                  <c:v>1.070629e-20</c:v>
                </c:pt>
                <c:pt idx="15">
                  <c:v>7.84468900000002e-24</c:v>
                </c:pt>
                <c:pt idx="16">
                  <c:v>3.48630400000001e-27</c:v>
                </c:pt>
                <c:pt idx="17">
                  <c:v>9.39739400000003e-31</c:v>
                </c:pt>
                <c:pt idx="18">
                  <c:v>1.53639300000001e-34</c:v>
                </c:pt>
                <c:pt idx="19">
                  <c:v>1.52352700000001e-38</c:v>
                </c:pt>
                <c:pt idx="20">
                  <c:v>9.16449200000005e-43</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yVal>
          <c:smooth val="1"/>
        </c:ser>
        <c:ser>
          <c:idx val="1"/>
          <c:order val="1"/>
          <c:tx>
            <c:strRef>
              <c:f>'[地下水预测(二甲苯）.xlsx]耗氧量'!$I$1</c:f>
              <c:strCache>
                <c:ptCount val="1"/>
                <c:pt idx="0">
                  <c:v>1000d</c:v>
                </c:pt>
              </c:strCache>
            </c:strRef>
          </c:tx>
          <c:spPr>
            <a:ln w="19050" cap="rnd" cmpd="sng" algn="ctr">
              <a:solidFill>
                <a:schemeClr val="accent2"/>
              </a:solidFill>
              <a:prstDash val="solid"/>
              <a:round/>
            </a:ln>
            <a:effectLst/>
          </c:spPr>
          <c:marker>
            <c:symbol val="none"/>
          </c:marker>
          <c:dLbls>
            <c:delete val="1"/>
          </c:dLbls>
          <c:xVal>
            <c:numRef>
              <c:f>'[地下水预测(二甲苯）.xlsx]耗氧量'!$G$2:$G$52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'[地下水预测(二甲苯）.xlsx]耗氧量'!$I$2:$I$52</c:f>
              <c:numCache>
                <c:formatCode>General</c:formatCode>
                <c:ptCount val="51"/>
                <c:pt idx="0">
                  <c:v>4.132832</c:v>
                </c:pt>
                <c:pt idx="1">
                  <c:v>4.158743</c:v>
                </c:pt>
                <c:pt idx="2">
                  <c:v>3.980721</c:v>
                </c:pt>
                <c:pt idx="3">
                  <c:v>3.624488</c:v>
                </c:pt>
                <c:pt idx="4">
                  <c:v>3.139184</c:v>
                </c:pt>
                <c:pt idx="5">
                  <c:v>2.58626</c:v>
                </c:pt>
                <c:pt idx="6">
                  <c:v>2.026809</c:v>
                </c:pt>
                <c:pt idx="7">
                  <c:v>1.510911</c:v>
                </c:pt>
                <c:pt idx="8">
                  <c:v>1.071396</c:v>
                </c:pt>
                <c:pt idx="9">
                  <c:v>0.7226812</c:v>
                </c:pt>
                <c:pt idx="10">
                  <c:v>0.4636909</c:v>
                </c:pt>
                <c:pt idx="11">
                  <c:v>0.283006</c:v>
                </c:pt>
                <c:pt idx="12">
                  <c:v>0.164304</c:v>
                </c:pt>
                <c:pt idx="13">
                  <c:v>0.09073727</c:v>
                </c:pt>
                <c:pt idx="14">
                  <c:v>0.04766599</c:v>
                </c:pt>
                <c:pt idx="15">
                  <c:v>0.02381863</c:v>
                </c:pt>
                <c:pt idx="16">
                  <c:v>0.01132167</c:v>
                </c:pt>
                <c:pt idx="17">
                  <c:v>0.005119047</c:v>
                </c:pt>
                <c:pt idx="18">
                  <c:v>0.002201675</c:v>
                </c:pt>
                <c:pt idx="19">
                  <c:v>0.0009007461</c:v>
                </c:pt>
                <c:pt idx="20">
                  <c:v>0.0003505395</c:v>
                </c:pt>
                <c:pt idx="21">
                  <c:v>0.0001297648</c:v>
                </c:pt>
                <c:pt idx="22">
                  <c:v>4.569429e-5</c:v>
                </c:pt>
                <c:pt idx="23">
                  <c:v>1.530567e-5</c:v>
                </c:pt>
                <c:pt idx="24">
                  <c:v>4.876723e-6</c:v>
                </c:pt>
                <c:pt idx="25">
                  <c:v>1.47805e-6</c:v>
                </c:pt>
                <c:pt idx="26">
                  <c:v>4.261233e-7</c:v>
                </c:pt>
                <c:pt idx="27">
                  <c:v>1.168602e-7</c:v>
                </c:pt>
                <c:pt idx="28">
                  <c:v>3.048482e-8</c:v>
                </c:pt>
                <c:pt idx="29">
                  <c:v>7.564594e-9</c:v>
                </c:pt>
                <c:pt idx="30">
                  <c:v>1.785554e-9</c:v>
                </c:pt>
                <c:pt idx="31">
                  <c:v>4.00908800000001e-10</c:v>
                </c:pt>
                <c:pt idx="32">
                  <c:v>8.56255800000001e-11</c:v>
                </c:pt>
                <c:pt idx="33">
                  <c:v>1.739589e-11</c:v>
                </c:pt>
                <c:pt idx="34">
                  <c:v>3.361825e-12</c:v>
                </c:pt>
                <c:pt idx="35">
                  <c:v>6.18000600000001e-13</c:v>
                </c:pt>
                <c:pt idx="36">
                  <c:v>1.080657e-13</c:v>
                </c:pt>
                <c:pt idx="37">
                  <c:v>1.797513e-14</c:v>
                </c:pt>
                <c:pt idx="38">
                  <c:v>2.844079e-15</c:v>
                </c:pt>
                <c:pt idx="39">
                  <c:v>4.28052000000001e-16</c:v>
                </c:pt>
                <c:pt idx="40">
                  <c:v>6.12825200000001e-17</c:v>
                </c:pt>
                <c:pt idx="41">
                  <c:v>8.34568500000002e-18</c:v>
                </c:pt>
                <c:pt idx="42">
                  <c:v>1.081117e-18</c:v>
                </c:pt>
                <c:pt idx="43">
                  <c:v>1.332197e-19</c:v>
                </c:pt>
                <c:pt idx="44">
                  <c:v>1.561528e-20</c:v>
                </c:pt>
                <c:pt idx="45">
                  <c:v>1.74107e-21</c:v>
                </c:pt>
                <c:pt idx="46">
                  <c:v>1.846579e-22</c:v>
                </c:pt>
                <c:pt idx="47">
                  <c:v>1.862966e-23</c:v>
                </c:pt>
                <c:pt idx="48">
                  <c:v>1.787835e-24</c:v>
                </c:pt>
                <c:pt idx="49">
                  <c:v>1.632055e-25</c:v>
                </c:pt>
                <c:pt idx="50">
                  <c:v>1.417189e-26</c:v>
                </c:pt>
              </c:numCache>
            </c:numRef>
          </c:yVal>
          <c:smooth val="1"/>
        </c:ser>
        <c:ser>
          <c:idx val="2"/>
          <c:order val="2"/>
          <c:tx>
            <c:strRef>
              <c:f>'[地下水预测(二甲苯）.xlsx]耗氧量'!$J$1</c:f>
              <c:strCache>
                <c:ptCount val="1"/>
                <c:pt idx="0">
                  <c:v>3650d</c:v>
                </c:pt>
              </c:strCache>
            </c:strRef>
          </c:tx>
          <c:spPr>
            <a:ln w="19050" cap="rnd" cmpd="sng" algn="ctr">
              <a:solidFill>
                <a:srgbClr val="92D050"/>
              </a:solidFill>
              <a:prstDash val="solid"/>
              <a:round/>
            </a:ln>
            <a:effectLst/>
          </c:spPr>
          <c:marker>
            <c:symbol val="none"/>
          </c:marker>
          <c:dLbls>
            <c:delete val="1"/>
          </c:dLbls>
          <c:xVal>
            <c:numRef>
              <c:f>'[地下水预测(二甲苯）.xlsx]耗氧量'!$G$2:$G$52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'[地下水预测(二甲苯）.xlsx]耗氧量'!$J$2:$J$52</c:f>
              <c:numCache>
                <c:formatCode>General</c:formatCode>
                <c:ptCount val="51"/>
                <c:pt idx="0">
                  <c:v>2.10796</c:v>
                </c:pt>
                <c:pt idx="1">
                  <c:v>2.160028</c:v>
                </c:pt>
                <c:pt idx="2">
                  <c:v>2.183269</c:v>
                </c:pt>
                <c:pt idx="3">
                  <c:v>2.176736</c:v>
                </c:pt>
                <c:pt idx="4">
                  <c:v>2.140697</c:v>
                </c:pt>
                <c:pt idx="5">
                  <c:v>2.076612</c:v>
                </c:pt>
                <c:pt idx="6">
                  <c:v>1.987038</c:v>
                </c:pt>
                <c:pt idx="7">
                  <c:v>1.87546</c:v>
                </c:pt>
                <c:pt idx="8">
                  <c:v>1.746064</c:v>
                </c:pt>
                <c:pt idx="9">
                  <c:v>1.603479</c:v>
                </c:pt>
                <c:pt idx="10">
                  <c:v>1.452504</c:v>
                </c:pt>
                <c:pt idx="11">
                  <c:v>1.297843</c:v>
                </c:pt>
                <c:pt idx="12">
                  <c:v>1.143872</c:v>
                </c:pt>
                <c:pt idx="13">
                  <c:v>0.9944516</c:v>
                </c:pt>
                <c:pt idx="14">
                  <c:v>0.8527871</c:v>
                </c:pt>
                <c:pt idx="15">
                  <c:v>0.7213539</c:v>
                </c:pt>
                <c:pt idx="16">
                  <c:v>0.6018758</c:v>
                </c:pt>
                <c:pt idx="17">
                  <c:v>0.4953545</c:v>
                </c:pt>
                <c:pt idx="18">
                  <c:v>0.4021389</c:v>
                </c:pt>
                <c:pt idx="19">
                  <c:v>0.322023</c:v>
                </c:pt>
                <c:pt idx="20">
                  <c:v>0.2543598</c:v>
                </c:pt>
                <c:pt idx="21">
                  <c:v>0.1981804</c:v>
                </c:pt>
                <c:pt idx="22">
                  <c:v>0.1523084</c:v>
                </c:pt>
                <c:pt idx="23">
                  <c:v>0.1154616</c:v>
                </c:pt>
                <c:pt idx="24">
                  <c:v>0.08633804</c:v>
                </c:pt>
                <c:pt idx="25">
                  <c:v>0.06368212</c:v>
                </c:pt>
                <c:pt idx="26">
                  <c:v>0.04633227</c:v>
                </c:pt>
                <c:pt idx="27">
                  <c:v>0.03325067</c:v>
                </c:pt>
                <c:pt idx="28">
                  <c:v>0.02353792</c:v>
                </c:pt>
                <c:pt idx="29">
                  <c:v>0.01643563</c:v>
                </c:pt>
                <c:pt idx="30">
                  <c:v>0.01132024</c:v>
                </c:pt>
                <c:pt idx="31">
                  <c:v>0.00769087</c:v>
                </c:pt>
                <c:pt idx="32">
                  <c:v>0.005154021</c:v>
                </c:pt>
                <c:pt idx="33">
                  <c:v>0.003406964</c:v>
                </c:pt>
                <c:pt idx="34">
                  <c:v>0.002221466</c:v>
                </c:pt>
                <c:pt idx="35">
                  <c:v>0.001428771</c:v>
                </c:pt>
                <c:pt idx="36">
                  <c:v>0.0009064344</c:v>
                </c:pt>
                <c:pt idx="37">
                  <c:v>0.0005672321</c:v>
                </c:pt>
                <c:pt idx="38">
                  <c:v>0.0003501354</c:v>
                </c:pt>
                <c:pt idx="39">
                  <c:v>0.0002131877</c:v>
                </c:pt>
                <c:pt idx="40">
                  <c:v>0.000128038</c:v>
                </c:pt>
                <c:pt idx="41">
                  <c:v>7.585187e-5</c:v>
                </c:pt>
                <c:pt idx="42">
                  <c:v>4.432457e-5</c:v>
                </c:pt>
                <c:pt idx="43">
                  <c:v>2.554898e-5</c:v>
                </c:pt>
                <c:pt idx="44">
                  <c:v>1.452624e-5</c:v>
                </c:pt>
                <c:pt idx="45">
                  <c:v>8.146741e-6</c:v>
                </c:pt>
                <c:pt idx="46">
                  <c:v>4.506768e-6</c:v>
                </c:pt>
                <c:pt idx="47">
                  <c:v>2.45922e-6</c:v>
                </c:pt>
                <c:pt idx="48">
                  <c:v>1.323671e-6</c:v>
                </c:pt>
                <c:pt idx="49">
                  <c:v>7.027708e-7</c:v>
                </c:pt>
                <c:pt idx="50">
                  <c:v>3.680426e-7</c:v>
                </c:pt>
              </c:numCache>
            </c:numRef>
          </c:yVal>
          <c:smooth val="1"/>
        </c:ser>
        <c:ser>
          <c:idx val="3"/>
          <c:order val="3"/>
          <c:tx>
            <c:strRef>
              <c:f>'[地下水预测(二甲苯）.xlsx]耗氧量'!$K$1</c:f>
              <c:strCache>
                <c:ptCount val="1"/>
                <c:pt idx="0">
                  <c:v>5000d</c:v>
                </c:pt>
              </c:strCache>
            </c:strRef>
          </c:tx>
          <c:spPr>
            <a:ln w="19050" cap="rnd" cmpd="sng" algn="ctr">
              <a:solidFill>
                <a:srgbClr val="FF0000"/>
              </a:solidFill>
              <a:prstDash val="solid"/>
              <a:round/>
            </a:ln>
            <a:effectLst/>
          </c:spPr>
          <c:marker>
            <c:symbol val="none"/>
          </c:marker>
          <c:dLbls>
            <c:delete val="1"/>
          </c:dLbls>
          <c:xVal>
            <c:numRef>
              <c:f>'[地下水预测(二甲苯）.xlsx]耗氧量'!$G$2:$G$52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'[地下水预测(二甲苯）.xlsx]耗氧量'!$K$2:$K$52</c:f>
              <c:numCache>
                <c:formatCode>General</c:formatCode>
                <c:ptCount val="51"/>
                <c:pt idx="0">
                  <c:v>1.777453</c:v>
                </c:pt>
                <c:pt idx="1">
                  <c:v>1.824729</c:v>
                </c:pt>
                <c:pt idx="2">
                  <c:v>1.854623</c:v>
                </c:pt>
                <c:pt idx="3">
                  <c:v>1.866251</c:v>
                </c:pt>
                <c:pt idx="4">
                  <c:v>1.859265</c:v>
                </c:pt>
                <c:pt idx="5">
                  <c:v>1.833875</c:v>
                </c:pt>
                <c:pt idx="6">
                  <c:v>1.790834</c:v>
                </c:pt>
                <c:pt idx="7">
                  <c:v>1.731402</c:v>
                </c:pt>
                <c:pt idx="8">
                  <c:v>1.657286</c:v>
                </c:pt>
                <c:pt idx="9">
                  <c:v>1.570559</c:v>
                </c:pt>
                <c:pt idx="10">
                  <c:v>1.47356</c:v>
                </c:pt>
                <c:pt idx="11">
                  <c:v>1.368796</c:v>
                </c:pt>
                <c:pt idx="12">
                  <c:v>1.258828</c:v>
                </c:pt>
                <c:pt idx="13">
                  <c:v>1.146176</c:v>
                </c:pt>
                <c:pt idx="14">
                  <c:v>1.033221</c:v>
                </c:pt>
                <c:pt idx="15">
                  <c:v>0.9221305</c:v>
                </c:pt>
                <c:pt idx="16">
                  <c:v>0.8147951</c:v>
                </c:pt>
                <c:pt idx="17">
                  <c:v>0.7127899</c:v>
                </c:pt>
                <c:pt idx="18">
                  <c:v>0.6173504</c:v>
                </c:pt>
                <c:pt idx="19">
                  <c:v>0.5293695</c:v>
                </c:pt>
                <c:pt idx="20">
                  <c:v>0.4494105</c:v>
                </c:pt>
                <c:pt idx="21">
                  <c:v>0.3777327</c:v>
                </c:pt>
                <c:pt idx="22">
                  <c:v>0.3143279</c:v>
                </c:pt>
                <c:pt idx="23">
                  <c:v>0.2589634</c:v>
                </c:pt>
                <c:pt idx="24">
                  <c:v>0.2112277</c:v>
                </c:pt>
                <c:pt idx="25">
                  <c:v>0.170577</c:v>
                </c:pt>
                <c:pt idx="26">
                  <c:v>0.1363789</c:v>
                </c:pt>
                <c:pt idx="27">
                  <c:v>0.107952</c:v>
                </c:pt>
                <c:pt idx="28">
                  <c:v>0.08460021</c:v>
                </c:pt>
                <c:pt idx="29">
                  <c:v>0.0656401</c:v>
                </c:pt>
                <c:pt idx="30">
                  <c:v>0.05042246</c:v>
                </c:pt>
                <c:pt idx="31">
                  <c:v>0.0383474</c:v>
                </c:pt>
                <c:pt idx="32">
                  <c:v>0.02887386</c:v>
                </c:pt>
                <c:pt idx="33">
                  <c:v>0.02152439</c:v>
                </c:pt>
                <c:pt idx="34">
                  <c:v>0.01588598</c:v>
                </c:pt>
                <c:pt idx="35">
                  <c:v>0.01160791</c:v>
                </c:pt>
                <c:pt idx="36">
                  <c:v>0.008397522</c:v>
                </c:pt>
                <c:pt idx="37">
                  <c:v>0.006014581</c:v>
                </c:pt>
                <c:pt idx="38">
                  <c:v>0.004264977</c:v>
                </c:pt>
                <c:pt idx="39">
                  <c:v>0.002994229</c:v>
                </c:pt>
                <c:pt idx="40">
                  <c:v>0.002081183</c:v>
                </c:pt>
                <c:pt idx="41">
                  <c:v>0.001432164</c:v>
                </c:pt>
                <c:pt idx="42">
                  <c:v>0.000975736</c:v>
                </c:pt>
                <c:pt idx="43">
                  <c:v>0.000658156</c:v>
                </c:pt>
                <c:pt idx="44">
                  <c:v>0.0004395239</c:v>
                </c:pt>
                <c:pt idx="45">
                  <c:v>0.0002905983</c:v>
                </c:pt>
                <c:pt idx="46">
                  <c:v>0.000190222</c:v>
                </c:pt>
                <c:pt idx="47">
                  <c:v>0.000123278</c:v>
                </c:pt>
                <c:pt idx="48">
                  <c:v>7.909835e-5</c:v>
                </c:pt>
                <c:pt idx="49">
                  <c:v>5.024656e-5</c:v>
                </c:pt>
                <c:pt idx="50">
                  <c:v>3.16011e-5</c:v>
                </c:pt>
              </c:numCache>
            </c:numRef>
          </c:yVal>
          <c:smooth val="1"/>
        </c:ser>
        <c:dLbls>
          <c:showLegendKey val="0"/>
          <c:showVal val="0"/>
          <c:showCatName val="0"/>
          <c:showSerName val="0"/>
          <c:showPercent val="0"/>
          <c:showBubbleSize val="0"/>
        </c:dLbls>
        <c:axId val="538143360"/>
        <c:axId val="538161920"/>
      </c:scatterChart>
      <c:valAx>
        <c:axId val="53814336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a:latin typeface="Times New Roman" panose="02020603050405020304" charset="0"/>
                    <a:ea typeface="Times New Roman" panose="02020603050405020304" charset="0"/>
                    <a:cs typeface="Times New Roman" panose="02020603050405020304" charset="0"/>
                    <a:sym typeface="Times New Roman" panose="02020603050405020304" charset="0"/>
                  </a:rPr>
                  <a:t>距离</a:t>
                </a: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m</a:t>
                </a:r>
                <a:endPar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872044346978557"/>
              <c:y val="0.9036224821312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38161920"/>
        <c:crosses val="autoZero"/>
        <c:crossBetween val="midCat"/>
      </c:valAx>
      <c:valAx>
        <c:axId val="5381619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a:latin typeface="Times New Roman" panose="02020603050405020304" charset="0"/>
                    <a:ea typeface="Times New Roman" panose="02020603050405020304" charset="0"/>
                    <a:cs typeface="Times New Roman" panose="02020603050405020304" charset="0"/>
                    <a:sym typeface="Times New Roman" panose="02020603050405020304" charset="0"/>
                  </a:rPr>
                  <a:t>浓度</a:t>
                </a: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mg/L</a:t>
                </a:r>
                <a:endPar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46133853151397"/>
              <c:y val="0.03876976391596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38143360"/>
        <c:crosses val="autoZero"/>
        <c:crossBetween val="midCat"/>
      </c:valAx>
      <c:spPr>
        <a:noFill/>
        <a:ln>
          <a:noFill/>
        </a:ln>
        <a:effectLst/>
      </c:spPr>
    </c:plotArea>
    <c:legend>
      <c:legendPos val="b"/>
      <c:legendEntry>
        <c:idx val="0"/>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29824561403509"/>
          <c:y val="0.180853367987871"/>
        </c:manualLayout>
      </c:layout>
      <c:overlay val="0"/>
      <c:spPr>
        <a:noFill/>
        <a:ln>
          <a:noFill/>
        </a:ln>
        <a:effectLst/>
      </c:spPr>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74da1625-fe25-4a32-bfdd-4c5d5d5660e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b="1">
                <a:latin typeface="Times New Roman" panose="02020603050405020304" charset="0"/>
                <a:ea typeface="Times New Roman" panose="02020603050405020304" charset="0"/>
                <a:cs typeface="Times New Roman" panose="02020603050405020304" charset="0"/>
                <a:sym typeface="Times New Roman" panose="02020603050405020304" charset="0"/>
              </a:rPr>
              <a:t>石油类（叠加背景值后）</a:t>
            </a:r>
            <a:endParaRPr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13385315139701"/>
          <c:y val="0.0682261208576999"/>
        </c:manualLayout>
      </c:layout>
      <c:overlay val="0"/>
      <c:spPr>
        <a:noFill/>
        <a:ln>
          <a:noFill/>
        </a:ln>
        <a:effectLst/>
      </c:spPr>
    </c:title>
    <c:autoTitleDeleted val="0"/>
    <c:plotArea>
      <c:layout>
        <c:manualLayout>
          <c:layoutTarget val="inner"/>
          <c:xMode val="edge"/>
          <c:yMode val="edge"/>
          <c:x val="0.102846003898635"/>
          <c:y val="0.317089018843405"/>
          <c:w val="0.837374918778428"/>
          <c:h val="0.495040069309075"/>
        </c:manualLayout>
      </c:layout>
      <c:scatterChart>
        <c:scatterStyle val="smoothMarker"/>
        <c:varyColors val="0"/>
        <c:ser>
          <c:idx val="0"/>
          <c:order val="0"/>
          <c:tx>
            <c:strRef>
              <c:f>'[地下水预测(COD）.xlsx]耗氧量'!$H$1</c:f>
              <c:strCache>
                <c:ptCount val="1"/>
                <c:pt idx="0">
                  <c:v>100d</c:v>
                </c:pt>
              </c:strCache>
            </c:strRef>
          </c:tx>
          <c:spPr>
            <a:ln w="19050" cap="rnd" cmpd="sng" algn="ctr">
              <a:solidFill>
                <a:schemeClr val="accent1"/>
              </a:solidFill>
              <a:prstDash val="solid"/>
              <a:round/>
            </a:ln>
            <a:effectLst/>
          </c:spPr>
          <c:marker>
            <c:symbol val="none"/>
          </c:marker>
          <c:dLbls>
            <c:delete val="1"/>
          </c:dLbls>
          <c:xVal>
            <c:numRef>
              <c:f>'[地下水预测(COD）.xlsx]耗氧量'!$G$2:$G$52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'[地下水预测(COD）.xlsx]耗氧量'!$H$2:$H$52</c:f>
              <c:numCache>
                <c:formatCode>General</c:formatCode>
                <c:ptCount val="51"/>
                <c:pt idx="0">
                  <c:v>0.3301134</c:v>
                </c:pt>
                <c:pt idx="1">
                  <c:v>0.2653518</c:v>
                </c:pt>
                <c:pt idx="2">
                  <c:v>0.1295784</c:v>
                </c:pt>
                <c:pt idx="3">
                  <c:v>0.03865551</c:v>
                </c:pt>
                <c:pt idx="4">
                  <c:v>0.007340907</c:v>
                </c:pt>
                <c:pt idx="5">
                  <c:v>0.0012439142</c:v>
                </c:pt>
                <c:pt idx="6">
                  <c:v>0.00054906646</c:v>
                </c:pt>
                <c:pt idx="7">
                  <c:v>0.000501962905</c:v>
                </c:pt>
                <c:pt idx="8">
                  <c:v>0.00050004762848</c:v>
                </c:pt>
                <c:pt idx="9">
                  <c:v>0.0005000007009497</c:v>
                </c:pt>
                <c:pt idx="10">
                  <c:v>0.000500000006256908</c:v>
                </c:pt>
                <c:pt idx="11">
                  <c:v>0.000500000000033875</c:v>
                </c:pt>
                <c:pt idx="12">
                  <c:v>0.000500000000000111</c:v>
                </c:pt>
                <c:pt idx="13">
                  <c:v>0.0005</c:v>
                </c:pt>
                <c:pt idx="14">
                  <c:v>0.0005</c:v>
                </c:pt>
                <c:pt idx="15">
                  <c:v>0.0005</c:v>
                </c:pt>
                <c:pt idx="16">
                  <c:v>0.0005</c:v>
                </c:pt>
                <c:pt idx="17">
                  <c:v>0.0005</c:v>
                </c:pt>
                <c:pt idx="18">
                  <c:v>0.0005</c:v>
                </c:pt>
                <c:pt idx="19">
                  <c:v>0.0005</c:v>
                </c:pt>
                <c:pt idx="20">
                  <c:v>0.0005</c:v>
                </c:pt>
                <c:pt idx="21">
                  <c:v>0.0005</c:v>
                </c:pt>
                <c:pt idx="22">
                  <c:v>0.0005</c:v>
                </c:pt>
                <c:pt idx="23">
                  <c:v>0.0005</c:v>
                </c:pt>
                <c:pt idx="24">
                  <c:v>0.0005</c:v>
                </c:pt>
                <c:pt idx="25">
                  <c:v>0.0005</c:v>
                </c:pt>
                <c:pt idx="26">
                  <c:v>0.0005</c:v>
                </c:pt>
                <c:pt idx="27">
                  <c:v>0.0005</c:v>
                </c:pt>
                <c:pt idx="28">
                  <c:v>0.0005</c:v>
                </c:pt>
                <c:pt idx="29">
                  <c:v>0.0005</c:v>
                </c:pt>
                <c:pt idx="30">
                  <c:v>0.0005</c:v>
                </c:pt>
                <c:pt idx="31">
                  <c:v>0.0005</c:v>
                </c:pt>
                <c:pt idx="32">
                  <c:v>0.0005</c:v>
                </c:pt>
                <c:pt idx="33">
                  <c:v>0.0005</c:v>
                </c:pt>
                <c:pt idx="34">
                  <c:v>0.0005</c:v>
                </c:pt>
                <c:pt idx="35">
                  <c:v>0.0005</c:v>
                </c:pt>
                <c:pt idx="36">
                  <c:v>0.0005</c:v>
                </c:pt>
                <c:pt idx="37">
                  <c:v>0.0005</c:v>
                </c:pt>
                <c:pt idx="38">
                  <c:v>0.0005</c:v>
                </c:pt>
                <c:pt idx="39">
                  <c:v>0.0005</c:v>
                </c:pt>
                <c:pt idx="40">
                  <c:v>0.0005</c:v>
                </c:pt>
                <c:pt idx="41">
                  <c:v>0.0005</c:v>
                </c:pt>
                <c:pt idx="42">
                  <c:v>0.0005</c:v>
                </c:pt>
                <c:pt idx="43">
                  <c:v>0.0005</c:v>
                </c:pt>
                <c:pt idx="44">
                  <c:v>0.0005</c:v>
                </c:pt>
                <c:pt idx="45">
                  <c:v>0.0005</c:v>
                </c:pt>
                <c:pt idx="46">
                  <c:v>0.0005</c:v>
                </c:pt>
                <c:pt idx="47">
                  <c:v>0.0005</c:v>
                </c:pt>
                <c:pt idx="48">
                  <c:v>0.0005</c:v>
                </c:pt>
                <c:pt idx="49">
                  <c:v>0.0005</c:v>
                </c:pt>
                <c:pt idx="50">
                  <c:v>0.0005</c:v>
                </c:pt>
              </c:numCache>
            </c:numRef>
          </c:yVal>
          <c:smooth val="1"/>
        </c:ser>
        <c:ser>
          <c:idx val="1"/>
          <c:order val="1"/>
          <c:tx>
            <c:strRef>
              <c:f>'[地下水预测(COD）.xlsx]耗氧量'!$I$1</c:f>
              <c:strCache>
                <c:ptCount val="1"/>
                <c:pt idx="0">
                  <c:v>1000d</c:v>
                </c:pt>
              </c:strCache>
            </c:strRef>
          </c:tx>
          <c:spPr>
            <a:ln w="19050" cap="rnd" cmpd="sng" algn="ctr">
              <a:solidFill>
                <a:schemeClr val="accent2"/>
              </a:solidFill>
              <a:prstDash val="solid"/>
              <a:round/>
            </a:ln>
            <a:effectLst/>
          </c:spPr>
          <c:marker>
            <c:symbol val="none"/>
          </c:marker>
          <c:dLbls>
            <c:delete val="1"/>
          </c:dLbls>
          <c:xVal>
            <c:numRef>
              <c:f>'[地下水预测(COD）.xlsx]耗氧量'!$G$2:$G$52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'[地下水预测(COD）.xlsx]耗氧量'!$I$2:$I$52</c:f>
              <c:numCache>
                <c:formatCode>General</c:formatCode>
                <c:ptCount val="51"/>
                <c:pt idx="0">
                  <c:v>0.1038208</c:v>
                </c:pt>
                <c:pt idx="1">
                  <c:v>0.1044686</c:v>
                </c:pt>
                <c:pt idx="2">
                  <c:v>0.10001802</c:v>
                </c:pt>
                <c:pt idx="3">
                  <c:v>0.09111219</c:v>
                </c:pt>
                <c:pt idx="4">
                  <c:v>0.0789796</c:v>
                </c:pt>
                <c:pt idx="5">
                  <c:v>0.0651565</c:v>
                </c:pt>
                <c:pt idx="6">
                  <c:v>0.05117024</c:v>
                </c:pt>
                <c:pt idx="7">
                  <c:v>0.03827278</c:v>
                </c:pt>
                <c:pt idx="8">
                  <c:v>0.02728491</c:v>
                </c:pt>
                <c:pt idx="9">
                  <c:v>0.01856703</c:v>
                </c:pt>
                <c:pt idx="10">
                  <c:v>0.01209227</c:v>
                </c:pt>
                <c:pt idx="11">
                  <c:v>0.00757515</c:v>
                </c:pt>
                <c:pt idx="12">
                  <c:v>0.004607599</c:v>
                </c:pt>
                <c:pt idx="13">
                  <c:v>0.002768432</c:v>
                </c:pt>
                <c:pt idx="14">
                  <c:v>0.00169165</c:v>
                </c:pt>
                <c:pt idx="15">
                  <c:v>0.0010954658</c:v>
                </c:pt>
                <c:pt idx="16">
                  <c:v>0.0007830416</c:v>
                </c:pt>
                <c:pt idx="17">
                  <c:v>0.0006279762</c:v>
                </c:pt>
                <c:pt idx="18">
                  <c:v>0.00055504186</c:v>
                </c:pt>
                <c:pt idx="19">
                  <c:v>0.00052251865</c:v>
                </c:pt>
                <c:pt idx="20">
                  <c:v>0.000508763488</c:v>
                </c:pt>
                <c:pt idx="21">
                  <c:v>0.00050324412</c:v>
                </c:pt>
                <c:pt idx="22">
                  <c:v>0.000501142357</c:v>
                </c:pt>
                <c:pt idx="23">
                  <c:v>0.0005003826418</c:v>
                </c:pt>
                <c:pt idx="24">
                  <c:v>0.0005001219181</c:v>
                </c:pt>
                <c:pt idx="25">
                  <c:v>0.00050003695124</c:v>
                </c:pt>
                <c:pt idx="26">
                  <c:v>0.00050001065308</c:v>
                </c:pt>
                <c:pt idx="27">
                  <c:v>0.000500002921506</c:v>
                </c:pt>
                <c:pt idx="28">
                  <c:v>0.0005000007621204</c:v>
                </c:pt>
                <c:pt idx="29">
                  <c:v>0.0005000001891149</c:v>
                </c:pt>
                <c:pt idx="30">
                  <c:v>0.00050000004463885</c:v>
                </c:pt>
                <c:pt idx="31">
                  <c:v>0.00050000001002272</c:v>
                </c:pt>
                <c:pt idx="32">
                  <c:v>0.000500000002140639</c:v>
                </c:pt>
                <c:pt idx="33">
                  <c:v>0.000500000000434897</c:v>
                </c:pt>
                <c:pt idx="34">
                  <c:v>0.000500000000084046</c:v>
                </c:pt>
                <c:pt idx="35">
                  <c:v>0.00050000000001545</c:v>
                </c:pt>
                <c:pt idx="36">
                  <c:v>0.000500000000002702</c:v>
                </c:pt>
                <c:pt idx="37">
                  <c:v>0.000500000000000449</c:v>
                </c:pt>
                <c:pt idx="38">
                  <c:v>0.000500000000000071</c:v>
                </c:pt>
                <c:pt idx="39">
                  <c:v>0.000500000000000011</c:v>
                </c:pt>
                <c:pt idx="40">
                  <c:v>0.000500000000000002</c:v>
                </c:pt>
                <c:pt idx="41">
                  <c:v>0.0005</c:v>
                </c:pt>
                <c:pt idx="42">
                  <c:v>0.0005</c:v>
                </c:pt>
                <c:pt idx="43">
                  <c:v>0.0005</c:v>
                </c:pt>
                <c:pt idx="44">
                  <c:v>0.0005</c:v>
                </c:pt>
                <c:pt idx="45">
                  <c:v>0.0005</c:v>
                </c:pt>
                <c:pt idx="46">
                  <c:v>0.0005</c:v>
                </c:pt>
                <c:pt idx="47">
                  <c:v>0.0005</c:v>
                </c:pt>
                <c:pt idx="48">
                  <c:v>0.0005</c:v>
                </c:pt>
                <c:pt idx="49">
                  <c:v>0.0005</c:v>
                </c:pt>
                <c:pt idx="50">
                  <c:v>0.0005</c:v>
                </c:pt>
              </c:numCache>
            </c:numRef>
          </c:yVal>
          <c:smooth val="1"/>
        </c:ser>
        <c:ser>
          <c:idx val="2"/>
          <c:order val="2"/>
          <c:tx>
            <c:strRef>
              <c:f>'[地下水预测(COD）.xlsx]耗氧量'!$J$1</c:f>
              <c:strCache>
                <c:ptCount val="1"/>
                <c:pt idx="0">
                  <c:v>3650d</c:v>
                </c:pt>
              </c:strCache>
            </c:strRef>
          </c:tx>
          <c:spPr>
            <a:ln w="19050" cap="rnd" cmpd="sng" algn="ctr">
              <a:solidFill>
                <a:srgbClr val="92D050"/>
              </a:solidFill>
              <a:prstDash val="solid"/>
              <a:round/>
            </a:ln>
            <a:effectLst/>
          </c:spPr>
          <c:marker>
            <c:symbol val="none"/>
          </c:marker>
          <c:dLbls>
            <c:delete val="1"/>
          </c:dLbls>
          <c:xVal>
            <c:numRef>
              <c:f>'[地下水预测(COD）.xlsx]耗氧量'!$G$2:$G$52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'[地下水预测(COD）.xlsx]耗氧量'!$J$2:$J$52</c:f>
              <c:numCache>
                <c:formatCode>General</c:formatCode>
                <c:ptCount val="51"/>
                <c:pt idx="0">
                  <c:v>0.05319899</c:v>
                </c:pt>
                <c:pt idx="1">
                  <c:v>0.05450069</c:v>
                </c:pt>
                <c:pt idx="2">
                  <c:v>0.05508172</c:v>
                </c:pt>
                <c:pt idx="3">
                  <c:v>0.0549184</c:v>
                </c:pt>
                <c:pt idx="4">
                  <c:v>0.05401742</c:v>
                </c:pt>
                <c:pt idx="5">
                  <c:v>0.05241529</c:v>
                </c:pt>
                <c:pt idx="6">
                  <c:v>0.05017595</c:v>
                </c:pt>
                <c:pt idx="7">
                  <c:v>0.0473865</c:v>
                </c:pt>
                <c:pt idx="8">
                  <c:v>0.04415161</c:v>
                </c:pt>
                <c:pt idx="9">
                  <c:v>0.04058698</c:v>
                </c:pt>
                <c:pt idx="10">
                  <c:v>0.0368126</c:v>
                </c:pt>
                <c:pt idx="11">
                  <c:v>0.03294606</c:v>
                </c:pt>
                <c:pt idx="12">
                  <c:v>0.0290968</c:v>
                </c:pt>
                <c:pt idx="13">
                  <c:v>0.02536129</c:v>
                </c:pt>
                <c:pt idx="14">
                  <c:v>0.02181968</c:v>
                </c:pt>
                <c:pt idx="15">
                  <c:v>0.01853385</c:v>
                </c:pt>
                <c:pt idx="16">
                  <c:v>0.01554689</c:v>
                </c:pt>
                <c:pt idx="17">
                  <c:v>0.01288386</c:v>
                </c:pt>
                <c:pt idx="18">
                  <c:v>0.01055347</c:v>
                </c:pt>
                <c:pt idx="19">
                  <c:v>0.008550575</c:v>
                </c:pt>
                <c:pt idx="20">
                  <c:v>0.006858994</c:v>
                </c:pt>
                <c:pt idx="21">
                  <c:v>0.00545451</c:v>
                </c:pt>
                <c:pt idx="22">
                  <c:v>0.004307709</c:v>
                </c:pt>
                <c:pt idx="23">
                  <c:v>0.00338654</c:v>
                </c:pt>
                <c:pt idx="24">
                  <c:v>0.002658451</c:v>
                </c:pt>
                <c:pt idx="25">
                  <c:v>0.002092053</c:v>
                </c:pt>
                <c:pt idx="26">
                  <c:v>0.001658307</c:v>
                </c:pt>
                <c:pt idx="27">
                  <c:v>0.0013312669</c:v>
                </c:pt>
                <c:pt idx="28">
                  <c:v>0.001088448</c:v>
                </c:pt>
                <c:pt idx="29">
                  <c:v>0.0009108908</c:v>
                </c:pt>
                <c:pt idx="30">
                  <c:v>0.000783006</c:v>
                </c:pt>
                <c:pt idx="31">
                  <c:v>0.0006922717</c:v>
                </c:pt>
                <c:pt idx="32">
                  <c:v>0.0006288505</c:v>
                </c:pt>
                <c:pt idx="33">
                  <c:v>0.00058517411</c:v>
                </c:pt>
                <c:pt idx="34">
                  <c:v>0.00055553666</c:v>
                </c:pt>
                <c:pt idx="35">
                  <c:v>0.00053571928</c:v>
                </c:pt>
                <c:pt idx="36">
                  <c:v>0.00052266086</c:v>
                </c:pt>
                <c:pt idx="37">
                  <c:v>0.0005141808</c:v>
                </c:pt>
                <c:pt idx="38">
                  <c:v>0.000508753386</c:v>
                </c:pt>
                <c:pt idx="39">
                  <c:v>0.000505329691</c:v>
                </c:pt>
                <c:pt idx="40">
                  <c:v>0.000503200949</c:v>
                </c:pt>
                <c:pt idx="41">
                  <c:v>0.000501896297</c:v>
                </c:pt>
                <c:pt idx="42">
                  <c:v>0.000501108114</c:v>
                </c:pt>
                <c:pt idx="43">
                  <c:v>0.0005006387245</c:v>
                </c:pt>
                <c:pt idx="44">
                  <c:v>0.0005003631561</c:v>
                </c:pt>
                <c:pt idx="45">
                  <c:v>0.0005002036685</c:v>
                </c:pt>
                <c:pt idx="46">
                  <c:v>0.0005001126692</c:v>
                </c:pt>
                <c:pt idx="47">
                  <c:v>0.00050006148048</c:v>
                </c:pt>
                <c:pt idx="48">
                  <c:v>0.00050003309178</c:v>
                </c:pt>
                <c:pt idx="49">
                  <c:v>0.00050001756927</c:v>
                </c:pt>
                <c:pt idx="50">
                  <c:v>0.000500009201064</c:v>
                </c:pt>
              </c:numCache>
            </c:numRef>
          </c:yVal>
          <c:smooth val="1"/>
        </c:ser>
        <c:ser>
          <c:idx val="3"/>
          <c:order val="3"/>
          <c:tx>
            <c:strRef>
              <c:f>'[地下水预测(COD）.xlsx]耗氧量'!$K$1</c:f>
              <c:strCache>
                <c:ptCount val="1"/>
                <c:pt idx="0">
                  <c:v>5000d</c:v>
                </c:pt>
              </c:strCache>
            </c:strRef>
          </c:tx>
          <c:spPr>
            <a:ln w="19050" cap="rnd" cmpd="sng" algn="ctr">
              <a:solidFill>
                <a:srgbClr val="FF0000"/>
              </a:solidFill>
              <a:prstDash val="solid"/>
              <a:round/>
            </a:ln>
            <a:effectLst/>
          </c:spPr>
          <c:marker>
            <c:symbol val="none"/>
          </c:marker>
          <c:dLbls>
            <c:delete val="1"/>
          </c:dLbls>
          <c:xVal>
            <c:numRef>
              <c:f>'[地下水预测(COD）.xlsx]耗氧量'!$G$2:$G$52</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xVal>
          <c:yVal>
            <c:numRef>
              <c:f>'[地下水预测(COD）.xlsx]耗氧量'!$K$2:$K$52</c:f>
              <c:numCache>
                <c:formatCode>General</c:formatCode>
                <c:ptCount val="51"/>
                <c:pt idx="0">
                  <c:v>0.04493632</c:v>
                </c:pt>
                <c:pt idx="1">
                  <c:v>0.04611822</c:v>
                </c:pt>
                <c:pt idx="2">
                  <c:v>0.04686557</c:v>
                </c:pt>
                <c:pt idx="3">
                  <c:v>0.04715627</c:v>
                </c:pt>
                <c:pt idx="4">
                  <c:v>0.04698164</c:v>
                </c:pt>
                <c:pt idx="5">
                  <c:v>0.04634689</c:v>
                </c:pt>
                <c:pt idx="6">
                  <c:v>0.04527085</c:v>
                </c:pt>
                <c:pt idx="7">
                  <c:v>0.04378505</c:v>
                </c:pt>
                <c:pt idx="8">
                  <c:v>0.04193216</c:v>
                </c:pt>
                <c:pt idx="9">
                  <c:v>0.03976397</c:v>
                </c:pt>
                <c:pt idx="10">
                  <c:v>0.03733901</c:v>
                </c:pt>
                <c:pt idx="11">
                  <c:v>0.0347199</c:v>
                </c:pt>
                <c:pt idx="12">
                  <c:v>0.03197071</c:v>
                </c:pt>
                <c:pt idx="13">
                  <c:v>0.02915441</c:v>
                </c:pt>
                <c:pt idx="14">
                  <c:v>0.02633053</c:v>
                </c:pt>
                <c:pt idx="15">
                  <c:v>0.02355326</c:v>
                </c:pt>
                <c:pt idx="16">
                  <c:v>0.02086988</c:v>
                </c:pt>
                <c:pt idx="17">
                  <c:v>0.01831975</c:v>
                </c:pt>
                <c:pt idx="18">
                  <c:v>0.01593376</c:v>
                </c:pt>
                <c:pt idx="19">
                  <c:v>0.01373424</c:v>
                </c:pt>
                <c:pt idx="20">
                  <c:v>0.01173526</c:v>
                </c:pt>
                <c:pt idx="21">
                  <c:v>0.009943317</c:v>
                </c:pt>
                <c:pt idx="22">
                  <c:v>0.008358198</c:v>
                </c:pt>
                <c:pt idx="23">
                  <c:v>0.006974085</c:v>
                </c:pt>
                <c:pt idx="24">
                  <c:v>0.005780693</c:v>
                </c:pt>
                <c:pt idx="25">
                  <c:v>0.004764425</c:v>
                </c:pt>
                <c:pt idx="26">
                  <c:v>0.003909471</c:v>
                </c:pt>
                <c:pt idx="27">
                  <c:v>0.0031988</c:v>
                </c:pt>
                <c:pt idx="28">
                  <c:v>0.002615005</c:v>
                </c:pt>
                <c:pt idx="29">
                  <c:v>0.002141002</c:v>
                </c:pt>
                <c:pt idx="30">
                  <c:v>0.001760562</c:v>
                </c:pt>
                <c:pt idx="31">
                  <c:v>0.001458685</c:v>
                </c:pt>
                <c:pt idx="32">
                  <c:v>0.0012218465</c:v>
                </c:pt>
                <c:pt idx="33">
                  <c:v>0.0010381097</c:v>
                </c:pt>
                <c:pt idx="34">
                  <c:v>0.000897149400000001</c:v>
                </c:pt>
                <c:pt idx="35">
                  <c:v>0.0007901978</c:v>
                </c:pt>
                <c:pt idx="36">
                  <c:v>0.0007099381</c:v>
                </c:pt>
                <c:pt idx="37">
                  <c:v>0.0006503645</c:v>
                </c:pt>
                <c:pt idx="38">
                  <c:v>0.0006066244</c:v>
                </c:pt>
                <c:pt idx="39">
                  <c:v>0.00057485572</c:v>
                </c:pt>
                <c:pt idx="40">
                  <c:v>0.00055202959</c:v>
                </c:pt>
                <c:pt idx="41">
                  <c:v>0.00053580411</c:v>
                </c:pt>
                <c:pt idx="42">
                  <c:v>0.0005243934</c:v>
                </c:pt>
                <c:pt idx="43">
                  <c:v>0.0005164539</c:v>
                </c:pt>
                <c:pt idx="44">
                  <c:v>0.0005109881</c:v>
                </c:pt>
                <c:pt idx="45">
                  <c:v>0.000507264959</c:v>
                </c:pt>
                <c:pt idx="46">
                  <c:v>0.000504755551</c:v>
                </c:pt>
                <c:pt idx="47">
                  <c:v>0.00050308195</c:v>
                </c:pt>
                <c:pt idx="48">
                  <c:v>0.000501977459</c:v>
                </c:pt>
                <c:pt idx="49">
                  <c:v>0.000501256164</c:v>
                </c:pt>
                <c:pt idx="50">
                  <c:v>0.0005007900276</c:v>
                </c:pt>
              </c:numCache>
            </c:numRef>
          </c:yVal>
          <c:smooth val="1"/>
        </c:ser>
        <c:dLbls>
          <c:showLegendKey val="0"/>
          <c:showVal val="0"/>
          <c:showCatName val="0"/>
          <c:showSerName val="0"/>
          <c:showPercent val="0"/>
          <c:showBubbleSize val="0"/>
        </c:dLbls>
        <c:axId val="538024576"/>
        <c:axId val="538043136"/>
      </c:scatterChart>
      <c:valAx>
        <c:axId val="538024576"/>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a:latin typeface="Times New Roman" panose="02020603050405020304" charset="0"/>
                    <a:ea typeface="Times New Roman" panose="02020603050405020304" charset="0"/>
                    <a:cs typeface="Times New Roman" panose="02020603050405020304" charset="0"/>
                    <a:sym typeface="Times New Roman" panose="02020603050405020304" charset="0"/>
                  </a:rPr>
                  <a:t>距离</a:t>
                </a: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m</a:t>
                </a:r>
                <a:endPar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872044346978557"/>
              <c:y val="0.9036224821312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38043136"/>
        <c:crosses val="autoZero"/>
        <c:crossBetween val="midCat"/>
      </c:valAx>
      <c:valAx>
        <c:axId val="5380431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a:latin typeface="Times New Roman" panose="02020603050405020304" charset="0"/>
                    <a:ea typeface="Times New Roman" panose="02020603050405020304" charset="0"/>
                    <a:cs typeface="Times New Roman" panose="02020603050405020304" charset="0"/>
                    <a:sym typeface="Times New Roman" panose="02020603050405020304" charset="0"/>
                  </a:rPr>
                  <a:t>浓度</a:t>
                </a:r>
                <a:r>
                  <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rPr>
                  <a:t>mg/L</a:t>
                </a:r>
                <a:endParaRPr lang="en-US" altLang="zh-CN"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46133853151397"/>
              <c:y val="0.03876976391596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38024576"/>
        <c:crosses val="autoZero"/>
        <c:crossBetween val="midCat"/>
      </c:valAx>
      <c:spPr>
        <a:noFill/>
        <a:ln>
          <a:noFill/>
        </a:ln>
        <a:effectLst/>
      </c:spPr>
    </c:plotArea>
    <c:legend>
      <c:legendPos val="b"/>
      <c:legendEntry>
        <c:idx val="0"/>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229824561403509"/>
          <c:y val="0.180853367987871"/>
        </c:manualLayout>
      </c:layout>
      <c:overlay val="0"/>
      <c:spPr>
        <a:noFill/>
        <a:ln>
          <a:noFill/>
        </a:ln>
        <a:effectLst/>
      </c:spPr>
      <c:txPr>
        <a:bodyPr rot="0" spcFirstLastPara="0"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7f47be9a-d024-4ebd-aa54-4730e4cf25e8}"/>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358</Pages>
  <Words>12024</Words>
  <Characters>13433</Characters>
  <Lines>1938</Lines>
  <Paragraphs>545</Paragraphs>
  <TotalTime>16</TotalTime>
  <ScaleCrop>false</ScaleCrop>
  <LinksUpToDate>false</LinksUpToDate>
  <CharactersWithSpaces>13647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2021-11-05T14:54:00Z</dcterms:created>
  <dc:creator>a</dc:creator>
  <cp:lastModifiedBy>张家铭</cp:lastModifiedBy>
  <cp:lastPrinted>2025-02-13T15:53:00Z</cp:lastPrinted>
  <dcterms:modified xsi:type="dcterms:W3CDTF">2025-08-25T01:49:27Z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2FAE5A9FCC2D4068832BBF26C4269E7A_13</vt:lpwstr>
  </property>
  <property fmtid="{D5CDD505-2E9C-101B-9397-08002B2CF9AE}" pid="4" name="KSOTemplateDocerSaveRecord">
    <vt:lpwstr>eyJoZGlkIjoiM2NiMDMwY2JhOTU3YWM4NTAyMDM5ZWU1NTA3MWE2NDkiLCJ1c2VySWQiOiIxMDY5MjY3MDk2In0=</vt:lpwstr>
  </property>
</Properties>
</file>